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0.xml" ContentType="application/vnd.openxmlformats-officedocument.wordprocessingml.footer+xml"/>
  <Override PartName="/word/header18.xml" ContentType="application/vnd.openxmlformats-officedocument.wordprocessingml.header+xml"/>
  <Override PartName="/word/footer1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2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18.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19.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oter20.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footer21.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footer2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oter23.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footer24.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36.xml" ContentType="application/vnd.openxmlformats-officedocument.wordprocessingml.foot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footer37.xml" ContentType="application/vnd.openxmlformats-officedocument.wordprocessingml.footer+xml"/>
  <Override PartName="/word/header60.xml" ContentType="application/vnd.openxmlformats-officedocument.wordprocessingml.header+xml"/>
  <Override PartName="/word/footer38.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39.xml" ContentType="application/vnd.openxmlformats-officedocument.wordprocessingml.footer+xml"/>
  <Override PartName="/word/header63.xml" ContentType="application/vnd.openxmlformats-officedocument.wordprocessingml.header+xml"/>
  <Override PartName="/word/footer40.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41.xml" ContentType="application/vnd.openxmlformats-officedocument.wordprocessingml.footer+xml"/>
  <Override PartName="/word/header66.xml" ContentType="application/vnd.openxmlformats-officedocument.wordprocessingml.header+xml"/>
  <Override PartName="/word/footer42.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43.xml" ContentType="application/vnd.openxmlformats-officedocument.wordprocessingml.footer+xml"/>
  <Override PartName="/word/header69.xml" ContentType="application/vnd.openxmlformats-officedocument.wordprocessingml.header+xml"/>
  <Override PartName="/word/footer44.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79.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80.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footer60.xml" ContentType="application/vnd.openxmlformats-officedocument.wordprocessingml.footer+xml"/>
  <Override PartName="/word/header84.xml" ContentType="application/vnd.openxmlformats-officedocument.wordprocessingml.header+xml"/>
  <Override PartName="/word/header85.xml" ContentType="application/vnd.openxmlformats-officedocument.wordprocessingml.header+xml"/>
  <Override PartName="/word/footer61.xml" ContentType="application/vnd.openxmlformats-officedocument.wordprocessingml.footer+xml"/>
  <Override PartName="/word/header86.xml" ContentType="application/vnd.openxmlformats-officedocument.wordprocessingml.header+xml"/>
  <Override PartName="/word/footer62.xml" ContentType="application/vnd.openxmlformats-officedocument.wordprocessingml.footer+xml"/>
  <Override PartName="/word/header87.xml" ContentType="application/vnd.openxmlformats-officedocument.wordprocessingml.header+xml"/>
  <Override PartName="/word/header88.xml" ContentType="application/vnd.openxmlformats-officedocument.wordprocessingml.header+xml"/>
  <Override PartName="/word/footer63.xml" ContentType="application/vnd.openxmlformats-officedocument.wordprocessingml.footer+xml"/>
  <Override PartName="/word/header89.xml" ContentType="application/vnd.openxmlformats-officedocument.wordprocessingml.header+xml"/>
  <Override PartName="/word/footer6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9ECA36" w14:textId="6148EF75" w:rsidR="00BE283F" w:rsidRPr="002029AF" w:rsidRDefault="00BE283F" w:rsidP="00BE283F">
      <w:pPr>
        <w:pStyle w:val="ARpublicationtitle"/>
      </w:pPr>
      <w:bookmarkStart w:id="0" w:name="_Hlk21859892"/>
      <w:r w:rsidRPr="002029AF">
        <w:t>Department of Health and Human Services annual report 2019–</w:t>
      </w:r>
      <w:bookmarkEnd w:id="0"/>
      <w:r w:rsidRPr="002029AF">
        <w:t>20</w:t>
      </w:r>
    </w:p>
    <w:p w14:paraId="21D076FE" w14:textId="3791D373" w:rsidR="00AE157B" w:rsidRPr="002029AF" w:rsidRDefault="00AE157B" w:rsidP="00BE283F">
      <w:pPr>
        <w:pStyle w:val="ARpublicationtitle"/>
      </w:pPr>
      <w:r w:rsidRPr="002029AF">
        <w:rPr>
          <w:noProof/>
          <w:lang w:eastAsia="en-AU" w:bidi="as-IN"/>
        </w:rPr>
        <w:drawing>
          <wp:anchor distT="0" distB="0" distL="114300" distR="114300" simplePos="0" relativeHeight="251659264" behindDoc="0" locked="1" layoutInCell="1" allowOverlap="1" wp14:anchorId="7069BC04" wp14:editId="57268843">
            <wp:simplePos x="0" y="0"/>
            <wp:positionH relativeFrom="page">
              <wp:posOffset>0</wp:posOffset>
            </wp:positionH>
            <wp:positionV relativeFrom="page">
              <wp:posOffset>0</wp:posOffset>
            </wp:positionV>
            <wp:extent cx="7563600" cy="10694160"/>
            <wp:effectExtent l="0" t="0" r="0" b="0"/>
            <wp:wrapNone/>
            <wp:docPr id="1" name="Picture 1" descr="Department of Health and Human Services annual report 2019-20 - Victoria State Government Department of Health and Human Servi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Department of Health and Human Services annual report 2019-20 - Victoria State Government Department of Health and Human Services"/>
                    <pic:cNvPicPr preferRelativeResize="0">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63600" cy="106941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18EA21" w14:textId="4EACF5BF" w:rsidR="000F13EA" w:rsidRPr="002029AF" w:rsidRDefault="000F13EA" w:rsidP="000F13EA">
      <w:pPr>
        <w:rPr>
          <w:rFonts w:eastAsiaTheme="minorEastAsia"/>
          <w:color w:val="87189D"/>
          <w:sz w:val="18"/>
          <w:szCs w:val="18"/>
        </w:rPr>
      </w:pPr>
      <w:r w:rsidRPr="002029AF">
        <w:rPr>
          <w:rFonts w:eastAsiaTheme="minorEastAsia"/>
          <w:color w:val="87189D"/>
          <w:sz w:val="18"/>
          <w:szCs w:val="18"/>
        </w:rPr>
        <w:br w:type="page"/>
      </w:r>
    </w:p>
    <w:p w14:paraId="3FB2E341" w14:textId="77777777" w:rsidR="00CF72D5" w:rsidRPr="002029AF" w:rsidRDefault="00CF72D5" w:rsidP="000F13EA">
      <w:pPr>
        <w:pStyle w:val="ARbody"/>
        <w:sectPr w:rsidR="00CF72D5" w:rsidRPr="002029AF" w:rsidSect="00953329">
          <w:footnotePr>
            <w:numFmt w:val="chicago"/>
            <w:numRestart w:val="eachPage"/>
          </w:footnotePr>
          <w:pgSz w:w="11906" w:h="16838"/>
          <w:pgMar w:top="720" w:right="720" w:bottom="720" w:left="720" w:header="708" w:footer="708" w:gutter="0"/>
          <w:cols w:space="708"/>
          <w:docGrid w:linePitch="360"/>
          <w15:footnoteColumns w:val="1"/>
        </w:sectPr>
      </w:pPr>
    </w:p>
    <w:p w14:paraId="1AB18ACF" w14:textId="217E87DA" w:rsidR="00CF72D5" w:rsidRPr="002029AF" w:rsidRDefault="00CF72D5" w:rsidP="00B27393">
      <w:pPr>
        <w:pStyle w:val="ARbody"/>
        <w:rPr>
          <w:rStyle w:val="Strong"/>
        </w:rPr>
      </w:pPr>
      <w:r w:rsidRPr="002029AF">
        <w:rPr>
          <w:rStyle w:val="Strong"/>
        </w:rPr>
        <w:lastRenderedPageBreak/>
        <w:t>The</w:t>
      </w:r>
      <w:r w:rsidR="000A5329" w:rsidRPr="002029AF">
        <w:rPr>
          <w:rStyle w:val="Strong"/>
        </w:rPr>
        <w:t xml:space="preserve"> </w:t>
      </w:r>
      <w:r w:rsidRPr="002029AF">
        <w:rPr>
          <w:rStyle w:val="Strong"/>
        </w:rPr>
        <w:t>department</w:t>
      </w:r>
      <w:r w:rsidR="000A5329" w:rsidRPr="002029AF">
        <w:rPr>
          <w:rStyle w:val="Strong"/>
        </w:rPr>
        <w:t xml:space="preserve"> </w:t>
      </w:r>
      <w:r w:rsidRPr="002029AF">
        <w:rPr>
          <w:rStyle w:val="Strong"/>
        </w:rPr>
        <w:t>proudly</w:t>
      </w:r>
      <w:r w:rsidR="000A5329" w:rsidRPr="002029AF">
        <w:rPr>
          <w:rStyle w:val="Strong"/>
        </w:rPr>
        <w:t xml:space="preserve"> </w:t>
      </w:r>
      <w:r w:rsidRPr="002029AF">
        <w:rPr>
          <w:rStyle w:val="Strong"/>
        </w:rPr>
        <w:t>acknowledges</w:t>
      </w:r>
      <w:r w:rsidR="000A5329" w:rsidRPr="002029AF">
        <w:rPr>
          <w:rStyle w:val="Strong"/>
        </w:rPr>
        <w:t xml:space="preserve"> </w:t>
      </w:r>
      <w:r w:rsidRPr="002029AF">
        <w:rPr>
          <w:rStyle w:val="Strong"/>
        </w:rPr>
        <w:t>Victoria’s</w:t>
      </w:r>
      <w:r w:rsidR="000A5329" w:rsidRPr="002029AF">
        <w:rPr>
          <w:rStyle w:val="Strong"/>
        </w:rPr>
        <w:t xml:space="preserve"> </w:t>
      </w:r>
      <w:r w:rsidRPr="002029AF">
        <w:rPr>
          <w:rStyle w:val="Strong"/>
        </w:rPr>
        <w:t>Aboriginal</w:t>
      </w:r>
      <w:r w:rsidR="000A5329" w:rsidRPr="002029AF">
        <w:rPr>
          <w:rStyle w:val="Strong"/>
        </w:rPr>
        <w:t xml:space="preserve"> </w:t>
      </w:r>
      <w:r w:rsidRPr="002029AF">
        <w:rPr>
          <w:rStyle w:val="Strong"/>
        </w:rPr>
        <w:t>communities</w:t>
      </w:r>
      <w:r w:rsidR="000A5329" w:rsidRPr="002029AF">
        <w:rPr>
          <w:rStyle w:val="Strong"/>
        </w:rPr>
        <w:t xml:space="preserve"> </w:t>
      </w:r>
      <w:r w:rsidRPr="002029AF">
        <w:rPr>
          <w:rStyle w:val="Strong"/>
        </w:rPr>
        <w:t>and</w:t>
      </w:r>
      <w:r w:rsidR="000A5329" w:rsidRPr="002029AF">
        <w:rPr>
          <w:rStyle w:val="Strong"/>
        </w:rPr>
        <w:t xml:space="preserve"> </w:t>
      </w:r>
      <w:r w:rsidRPr="002029AF">
        <w:rPr>
          <w:rStyle w:val="Strong"/>
        </w:rPr>
        <w:t>their</w:t>
      </w:r>
      <w:r w:rsidR="000A5329" w:rsidRPr="002029AF">
        <w:rPr>
          <w:rStyle w:val="Strong"/>
        </w:rPr>
        <w:t xml:space="preserve"> </w:t>
      </w:r>
      <w:r w:rsidRPr="002029AF">
        <w:rPr>
          <w:rStyle w:val="Strong"/>
        </w:rPr>
        <w:t>rich</w:t>
      </w:r>
      <w:r w:rsidR="000A5329" w:rsidRPr="002029AF">
        <w:rPr>
          <w:rStyle w:val="Strong"/>
        </w:rPr>
        <w:t xml:space="preserve"> </w:t>
      </w:r>
      <w:r w:rsidRPr="002029AF">
        <w:rPr>
          <w:rStyle w:val="Strong"/>
        </w:rPr>
        <w:t>culture</w:t>
      </w:r>
      <w:r w:rsidR="000A5329" w:rsidRPr="002029AF">
        <w:rPr>
          <w:rStyle w:val="Strong"/>
        </w:rPr>
        <w:t xml:space="preserve"> </w:t>
      </w:r>
      <w:r w:rsidRPr="002029AF">
        <w:rPr>
          <w:rStyle w:val="Strong"/>
        </w:rPr>
        <w:t>and</w:t>
      </w:r>
      <w:r w:rsidR="00017335">
        <w:rPr>
          <w:rStyle w:val="Strong"/>
        </w:rPr>
        <w:t> </w:t>
      </w:r>
      <w:r w:rsidRPr="002029AF">
        <w:rPr>
          <w:rStyle w:val="Strong"/>
        </w:rPr>
        <w:t>pays</w:t>
      </w:r>
      <w:r w:rsidR="000A5329" w:rsidRPr="002029AF">
        <w:rPr>
          <w:rStyle w:val="Strong"/>
        </w:rPr>
        <w:t xml:space="preserve"> </w:t>
      </w:r>
      <w:r w:rsidRPr="002029AF">
        <w:rPr>
          <w:rStyle w:val="Strong"/>
        </w:rPr>
        <w:t>respect</w:t>
      </w:r>
      <w:r w:rsidR="000A5329" w:rsidRPr="002029AF">
        <w:rPr>
          <w:rStyle w:val="Strong"/>
        </w:rPr>
        <w:t xml:space="preserve"> </w:t>
      </w:r>
      <w:r w:rsidRPr="002029AF">
        <w:rPr>
          <w:rStyle w:val="Strong"/>
        </w:rPr>
        <w:t>to</w:t>
      </w:r>
      <w:r w:rsidR="000A5329" w:rsidRPr="002029AF">
        <w:rPr>
          <w:rStyle w:val="Strong"/>
        </w:rPr>
        <w:t xml:space="preserve"> </w:t>
      </w:r>
      <w:r w:rsidRPr="002029AF">
        <w:rPr>
          <w:rStyle w:val="Strong"/>
        </w:rPr>
        <w:t>their</w:t>
      </w:r>
      <w:r w:rsidR="000A5329" w:rsidRPr="002029AF">
        <w:rPr>
          <w:rStyle w:val="Strong"/>
        </w:rPr>
        <w:t xml:space="preserve"> </w:t>
      </w:r>
      <w:r w:rsidRPr="002029AF">
        <w:rPr>
          <w:rStyle w:val="Strong"/>
        </w:rPr>
        <w:t>Elders</w:t>
      </w:r>
      <w:r w:rsidR="000A5329" w:rsidRPr="002029AF">
        <w:rPr>
          <w:rStyle w:val="Strong"/>
        </w:rPr>
        <w:t xml:space="preserve"> </w:t>
      </w:r>
      <w:r w:rsidRPr="002029AF">
        <w:rPr>
          <w:rStyle w:val="Strong"/>
        </w:rPr>
        <w:t>past</w:t>
      </w:r>
      <w:r w:rsidR="000A5329" w:rsidRPr="002029AF">
        <w:rPr>
          <w:rStyle w:val="Strong"/>
        </w:rPr>
        <w:t xml:space="preserve"> </w:t>
      </w:r>
      <w:r w:rsidRPr="002029AF">
        <w:rPr>
          <w:rStyle w:val="Strong"/>
        </w:rPr>
        <w:t>and</w:t>
      </w:r>
      <w:r w:rsidR="000A5329" w:rsidRPr="002029AF">
        <w:rPr>
          <w:rStyle w:val="Strong"/>
        </w:rPr>
        <w:t xml:space="preserve"> </w:t>
      </w:r>
      <w:r w:rsidRPr="002029AF">
        <w:rPr>
          <w:rStyle w:val="Strong"/>
        </w:rPr>
        <w:t>present.</w:t>
      </w:r>
    </w:p>
    <w:p w14:paraId="2826DCC6" w14:textId="27A9A55D" w:rsidR="00CF72D5" w:rsidRPr="002029AF" w:rsidRDefault="00CF72D5" w:rsidP="00B27393">
      <w:pPr>
        <w:pStyle w:val="ARbody"/>
        <w:rPr>
          <w:rStyle w:val="Strong"/>
        </w:rPr>
      </w:pPr>
      <w:r w:rsidRPr="002029AF">
        <w:rPr>
          <w:rStyle w:val="Strong"/>
        </w:rPr>
        <w:t>We</w:t>
      </w:r>
      <w:r w:rsidR="000A5329" w:rsidRPr="002029AF">
        <w:rPr>
          <w:rStyle w:val="Strong"/>
        </w:rPr>
        <w:t xml:space="preserve"> </w:t>
      </w:r>
      <w:r w:rsidRPr="002029AF">
        <w:rPr>
          <w:rStyle w:val="Strong"/>
        </w:rPr>
        <w:t>acknowledge</w:t>
      </w:r>
      <w:r w:rsidR="000A5329" w:rsidRPr="002029AF">
        <w:rPr>
          <w:rStyle w:val="Strong"/>
        </w:rPr>
        <w:t xml:space="preserve"> </w:t>
      </w:r>
      <w:r w:rsidRPr="002029AF">
        <w:rPr>
          <w:rStyle w:val="Strong"/>
        </w:rPr>
        <w:t>Aboriginal</w:t>
      </w:r>
      <w:r w:rsidR="000A5329" w:rsidRPr="002029AF">
        <w:rPr>
          <w:rStyle w:val="Strong"/>
        </w:rPr>
        <w:t xml:space="preserve"> </w:t>
      </w:r>
      <w:r w:rsidRPr="002029AF">
        <w:rPr>
          <w:rStyle w:val="Strong"/>
        </w:rPr>
        <w:t>people</w:t>
      </w:r>
      <w:r w:rsidR="000A5329" w:rsidRPr="002029AF">
        <w:rPr>
          <w:rStyle w:val="Strong"/>
        </w:rPr>
        <w:t xml:space="preserve"> </w:t>
      </w:r>
      <w:r w:rsidRPr="002029AF">
        <w:rPr>
          <w:rStyle w:val="Strong"/>
        </w:rPr>
        <w:t>as</w:t>
      </w:r>
      <w:r w:rsidR="000A5329" w:rsidRPr="002029AF">
        <w:rPr>
          <w:rStyle w:val="Strong"/>
        </w:rPr>
        <w:t xml:space="preserve"> </w:t>
      </w:r>
      <w:r w:rsidRPr="002029AF">
        <w:rPr>
          <w:rStyle w:val="Strong"/>
        </w:rPr>
        <w:t>Australia’s</w:t>
      </w:r>
      <w:r w:rsidR="000A5329" w:rsidRPr="002029AF">
        <w:rPr>
          <w:rStyle w:val="Strong"/>
        </w:rPr>
        <w:t xml:space="preserve"> </w:t>
      </w:r>
      <w:r w:rsidRPr="002029AF">
        <w:rPr>
          <w:rStyle w:val="Strong"/>
        </w:rPr>
        <w:t>first</w:t>
      </w:r>
      <w:r w:rsidR="000A5329" w:rsidRPr="002029AF">
        <w:rPr>
          <w:rStyle w:val="Strong"/>
        </w:rPr>
        <w:t xml:space="preserve"> </w:t>
      </w:r>
      <w:r w:rsidRPr="002029AF">
        <w:rPr>
          <w:rStyle w:val="Strong"/>
        </w:rPr>
        <w:t>peoples</w:t>
      </w:r>
      <w:r w:rsidR="000A5329" w:rsidRPr="002029AF">
        <w:rPr>
          <w:rStyle w:val="Strong"/>
        </w:rPr>
        <w:t xml:space="preserve"> </w:t>
      </w:r>
      <w:r w:rsidRPr="002029AF">
        <w:rPr>
          <w:rStyle w:val="Strong"/>
        </w:rPr>
        <w:t>and</w:t>
      </w:r>
      <w:r w:rsidR="000A5329" w:rsidRPr="002029AF">
        <w:rPr>
          <w:rStyle w:val="Strong"/>
        </w:rPr>
        <w:t xml:space="preserve"> </w:t>
      </w:r>
      <w:r w:rsidRPr="002029AF">
        <w:rPr>
          <w:rStyle w:val="Strong"/>
        </w:rPr>
        <w:t>as</w:t>
      </w:r>
      <w:r w:rsidR="000A5329" w:rsidRPr="002029AF">
        <w:rPr>
          <w:rStyle w:val="Strong"/>
        </w:rPr>
        <w:t xml:space="preserve"> </w:t>
      </w:r>
      <w:r w:rsidRPr="002029AF">
        <w:rPr>
          <w:rStyle w:val="Strong"/>
        </w:rPr>
        <w:t>the</w:t>
      </w:r>
      <w:r w:rsidR="000A5329" w:rsidRPr="002029AF">
        <w:rPr>
          <w:rStyle w:val="Strong"/>
        </w:rPr>
        <w:t xml:space="preserve"> </w:t>
      </w:r>
      <w:r w:rsidRPr="002029AF">
        <w:rPr>
          <w:rStyle w:val="Strong"/>
        </w:rPr>
        <w:t>Traditional</w:t>
      </w:r>
      <w:r w:rsidR="000A5329" w:rsidRPr="002029AF">
        <w:rPr>
          <w:rStyle w:val="Strong"/>
        </w:rPr>
        <w:t xml:space="preserve"> </w:t>
      </w:r>
      <w:r w:rsidRPr="002029AF">
        <w:rPr>
          <w:rStyle w:val="Strong"/>
        </w:rPr>
        <w:t>Owners</w:t>
      </w:r>
      <w:r w:rsidR="000A5329" w:rsidRPr="002029AF">
        <w:rPr>
          <w:rStyle w:val="Strong"/>
        </w:rPr>
        <w:t xml:space="preserve"> </w:t>
      </w:r>
      <w:r w:rsidRPr="002029AF">
        <w:rPr>
          <w:rStyle w:val="Strong"/>
        </w:rPr>
        <w:t>and</w:t>
      </w:r>
      <w:r w:rsidR="00017335">
        <w:rPr>
          <w:rStyle w:val="Strong"/>
        </w:rPr>
        <w:t> </w:t>
      </w:r>
      <w:r w:rsidRPr="002029AF">
        <w:rPr>
          <w:rStyle w:val="Strong"/>
        </w:rPr>
        <w:t>custodians</w:t>
      </w:r>
      <w:r w:rsidR="000A5329" w:rsidRPr="002029AF">
        <w:rPr>
          <w:rStyle w:val="Strong"/>
        </w:rPr>
        <w:t xml:space="preserve"> </w:t>
      </w:r>
      <w:r w:rsidRPr="002029AF">
        <w:rPr>
          <w:rStyle w:val="Strong"/>
        </w:rPr>
        <w:t>of</w:t>
      </w:r>
      <w:r w:rsidR="000A5329" w:rsidRPr="002029AF">
        <w:rPr>
          <w:rStyle w:val="Strong"/>
        </w:rPr>
        <w:t xml:space="preserve"> </w:t>
      </w:r>
      <w:r w:rsidRPr="002029AF">
        <w:rPr>
          <w:rStyle w:val="Strong"/>
        </w:rPr>
        <w:t>the</w:t>
      </w:r>
      <w:r w:rsidR="000A5329" w:rsidRPr="002029AF">
        <w:rPr>
          <w:rStyle w:val="Strong"/>
        </w:rPr>
        <w:t xml:space="preserve"> </w:t>
      </w:r>
      <w:r w:rsidRPr="002029AF">
        <w:rPr>
          <w:rStyle w:val="Strong"/>
        </w:rPr>
        <w:t>land</w:t>
      </w:r>
      <w:r w:rsidR="000A5329" w:rsidRPr="002029AF">
        <w:rPr>
          <w:rStyle w:val="Strong"/>
        </w:rPr>
        <w:t xml:space="preserve"> </w:t>
      </w:r>
      <w:r w:rsidRPr="002029AF">
        <w:rPr>
          <w:rStyle w:val="Strong"/>
        </w:rPr>
        <w:t>and</w:t>
      </w:r>
      <w:r w:rsidR="000A5329" w:rsidRPr="002029AF">
        <w:rPr>
          <w:rStyle w:val="Strong"/>
        </w:rPr>
        <w:t xml:space="preserve"> </w:t>
      </w:r>
      <w:r w:rsidRPr="002029AF">
        <w:rPr>
          <w:rStyle w:val="Strong"/>
        </w:rPr>
        <w:t>water</w:t>
      </w:r>
      <w:r w:rsidR="000A5329" w:rsidRPr="002029AF">
        <w:rPr>
          <w:rStyle w:val="Strong"/>
        </w:rPr>
        <w:t xml:space="preserve"> </w:t>
      </w:r>
      <w:r w:rsidRPr="002029AF">
        <w:rPr>
          <w:rStyle w:val="Strong"/>
        </w:rPr>
        <w:t>on</w:t>
      </w:r>
      <w:r w:rsidR="000A5329" w:rsidRPr="002029AF">
        <w:rPr>
          <w:rStyle w:val="Strong"/>
        </w:rPr>
        <w:t xml:space="preserve"> </w:t>
      </w:r>
      <w:r w:rsidRPr="002029AF">
        <w:rPr>
          <w:rStyle w:val="Strong"/>
        </w:rPr>
        <w:t>which</w:t>
      </w:r>
      <w:r w:rsidR="000A5329" w:rsidRPr="002029AF">
        <w:rPr>
          <w:rStyle w:val="Strong"/>
        </w:rPr>
        <w:t xml:space="preserve"> </w:t>
      </w:r>
      <w:r w:rsidRPr="002029AF">
        <w:rPr>
          <w:rStyle w:val="Strong"/>
        </w:rPr>
        <w:t>we</w:t>
      </w:r>
      <w:r w:rsidR="000A5329" w:rsidRPr="002029AF">
        <w:rPr>
          <w:rStyle w:val="Strong"/>
        </w:rPr>
        <w:t xml:space="preserve"> </w:t>
      </w:r>
      <w:r w:rsidRPr="002029AF">
        <w:rPr>
          <w:rStyle w:val="Strong"/>
        </w:rPr>
        <w:t>rely.</w:t>
      </w:r>
    </w:p>
    <w:p w14:paraId="75F06CE5" w14:textId="1C563007" w:rsidR="00CF72D5" w:rsidRPr="002029AF" w:rsidRDefault="00CF72D5" w:rsidP="00B27393">
      <w:pPr>
        <w:pStyle w:val="ARbody"/>
        <w:rPr>
          <w:rStyle w:val="Strong"/>
        </w:rPr>
      </w:pPr>
      <w:r w:rsidRPr="002029AF">
        <w:rPr>
          <w:rStyle w:val="Strong"/>
        </w:rPr>
        <w:t>We</w:t>
      </w:r>
      <w:r w:rsidR="000A5329" w:rsidRPr="002029AF">
        <w:rPr>
          <w:rStyle w:val="Strong"/>
        </w:rPr>
        <w:t xml:space="preserve"> </w:t>
      </w:r>
      <w:r w:rsidRPr="002029AF">
        <w:rPr>
          <w:rStyle w:val="Strong"/>
        </w:rPr>
        <w:t>recognise</w:t>
      </w:r>
      <w:r w:rsidR="000A5329" w:rsidRPr="002029AF">
        <w:rPr>
          <w:rStyle w:val="Strong"/>
        </w:rPr>
        <w:t xml:space="preserve"> </w:t>
      </w:r>
      <w:r w:rsidRPr="002029AF">
        <w:rPr>
          <w:rStyle w:val="Strong"/>
        </w:rPr>
        <w:t>and</w:t>
      </w:r>
      <w:r w:rsidR="000A5329" w:rsidRPr="002029AF">
        <w:rPr>
          <w:rStyle w:val="Strong"/>
        </w:rPr>
        <w:t xml:space="preserve"> </w:t>
      </w:r>
      <w:r w:rsidRPr="002029AF">
        <w:rPr>
          <w:rStyle w:val="Strong"/>
        </w:rPr>
        <w:t>value</w:t>
      </w:r>
      <w:r w:rsidR="000A5329" w:rsidRPr="002029AF">
        <w:rPr>
          <w:rStyle w:val="Strong"/>
        </w:rPr>
        <w:t xml:space="preserve"> </w:t>
      </w:r>
      <w:r w:rsidRPr="002029AF">
        <w:rPr>
          <w:rStyle w:val="Strong"/>
        </w:rPr>
        <w:t>the</w:t>
      </w:r>
      <w:r w:rsidR="000A5329" w:rsidRPr="002029AF">
        <w:rPr>
          <w:rStyle w:val="Strong"/>
        </w:rPr>
        <w:t xml:space="preserve"> </w:t>
      </w:r>
      <w:r w:rsidRPr="002029AF">
        <w:rPr>
          <w:rStyle w:val="Strong"/>
        </w:rPr>
        <w:t>ongoing</w:t>
      </w:r>
      <w:r w:rsidR="000A5329" w:rsidRPr="002029AF">
        <w:rPr>
          <w:rStyle w:val="Strong"/>
        </w:rPr>
        <w:t xml:space="preserve"> </w:t>
      </w:r>
      <w:r w:rsidRPr="002029AF">
        <w:rPr>
          <w:rStyle w:val="Strong"/>
        </w:rPr>
        <w:t>contribution</w:t>
      </w:r>
      <w:r w:rsidR="000A5329" w:rsidRPr="002029AF">
        <w:rPr>
          <w:rStyle w:val="Strong"/>
        </w:rPr>
        <w:t xml:space="preserve"> </w:t>
      </w:r>
      <w:r w:rsidRPr="002029AF">
        <w:rPr>
          <w:rStyle w:val="Strong"/>
        </w:rPr>
        <w:t>of</w:t>
      </w:r>
      <w:r w:rsidR="000A5329" w:rsidRPr="002029AF">
        <w:rPr>
          <w:rStyle w:val="Strong"/>
        </w:rPr>
        <w:t xml:space="preserve"> </w:t>
      </w:r>
      <w:r w:rsidRPr="002029AF">
        <w:rPr>
          <w:rStyle w:val="Strong"/>
        </w:rPr>
        <w:t>Aboriginal</w:t>
      </w:r>
      <w:r w:rsidR="000A5329" w:rsidRPr="002029AF">
        <w:rPr>
          <w:rStyle w:val="Strong"/>
        </w:rPr>
        <w:t xml:space="preserve"> </w:t>
      </w:r>
      <w:r w:rsidRPr="002029AF">
        <w:rPr>
          <w:rStyle w:val="Strong"/>
        </w:rPr>
        <w:t>people</w:t>
      </w:r>
      <w:r w:rsidR="000A5329" w:rsidRPr="002029AF">
        <w:rPr>
          <w:rStyle w:val="Strong"/>
        </w:rPr>
        <w:t xml:space="preserve"> </w:t>
      </w:r>
      <w:r w:rsidRPr="002029AF">
        <w:rPr>
          <w:rStyle w:val="Strong"/>
        </w:rPr>
        <w:t>and</w:t>
      </w:r>
      <w:r w:rsidR="000A5329" w:rsidRPr="002029AF">
        <w:rPr>
          <w:rStyle w:val="Strong"/>
        </w:rPr>
        <w:t xml:space="preserve"> </w:t>
      </w:r>
      <w:r w:rsidRPr="002029AF">
        <w:rPr>
          <w:rStyle w:val="Strong"/>
        </w:rPr>
        <w:t>communities</w:t>
      </w:r>
      <w:r w:rsidR="000A5329" w:rsidRPr="002029AF">
        <w:rPr>
          <w:rStyle w:val="Strong"/>
        </w:rPr>
        <w:t xml:space="preserve"> </w:t>
      </w:r>
      <w:r w:rsidRPr="002029AF">
        <w:rPr>
          <w:rStyle w:val="Strong"/>
        </w:rPr>
        <w:t>to</w:t>
      </w:r>
      <w:r w:rsidR="000A5329" w:rsidRPr="002029AF">
        <w:rPr>
          <w:rStyle w:val="Strong"/>
        </w:rPr>
        <w:t xml:space="preserve"> </w:t>
      </w:r>
      <w:r w:rsidRPr="002029AF">
        <w:rPr>
          <w:rStyle w:val="Strong"/>
        </w:rPr>
        <w:t>Victorian</w:t>
      </w:r>
      <w:r w:rsidR="00017335">
        <w:rPr>
          <w:rStyle w:val="Strong"/>
        </w:rPr>
        <w:t> </w:t>
      </w:r>
      <w:r w:rsidRPr="002029AF">
        <w:rPr>
          <w:rStyle w:val="Strong"/>
        </w:rPr>
        <w:t>life</w:t>
      </w:r>
      <w:r w:rsidR="000A5329" w:rsidRPr="002029AF">
        <w:rPr>
          <w:rStyle w:val="Strong"/>
        </w:rPr>
        <w:t xml:space="preserve"> </w:t>
      </w:r>
      <w:r w:rsidRPr="002029AF">
        <w:rPr>
          <w:rStyle w:val="Strong"/>
        </w:rPr>
        <w:t>and</w:t>
      </w:r>
      <w:r w:rsidR="000A5329" w:rsidRPr="002029AF">
        <w:rPr>
          <w:rStyle w:val="Strong"/>
        </w:rPr>
        <w:t xml:space="preserve"> </w:t>
      </w:r>
      <w:r w:rsidRPr="002029AF">
        <w:rPr>
          <w:rStyle w:val="Strong"/>
        </w:rPr>
        <w:t>how</w:t>
      </w:r>
      <w:r w:rsidR="000A5329" w:rsidRPr="002029AF">
        <w:rPr>
          <w:rStyle w:val="Strong"/>
        </w:rPr>
        <w:t xml:space="preserve"> </w:t>
      </w:r>
      <w:r w:rsidRPr="002029AF">
        <w:rPr>
          <w:rStyle w:val="Strong"/>
        </w:rPr>
        <w:t>this</w:t>
      </w:r>
      <w:r w:rsidR="000A5329" w:rsidRPr="002029AF">
        <w:rPr>
          <w:rStyle w:val="Strong"/>
        </w:rPr>
        <w:t xml:space="preserve"> </w:t>
      </w:r>
      <w:r w:rsidRPr="002029AF">
        <w:rPr>
          <w:rStyle w:val="Strong"/>
        </w:rPr>
        <w:t>enriches</w:t>
      </w:r>
      <w:r w:rsidR="000A5329" w:rsidRPr="002029AF">
        <w:rPr>
          <w:rStyle w:val="Strong"/>
        </w:rPr>
        <w:t xml:space="preserve"> </w:t>
      </w:r>
      <w:r w:rsidRPr="002029AF">
        <w:rPr>
          <w:rStyle w:val="Strong"/>
        </w:rPr>
        <w:t>us.</w:t>
      </w:r>
    </w:p>
    <w:p w14:paraId="69E40878" w14:textId="67415144" w:rsidR="003C6F78" w:rsidRDefault="00CF72D5" w:rsidP="009950F3">
      <w:pPr>
        <w:pStyle w:val="ARbody"/>
        <w:spacing w:after="4000"/>
        <w:rPr>
          <w:rStyle w:val="Strong"/>
        </w:rPr>
      </w:pPr>
      <w:r w:rsidRPr="002029AF">
        <w:rPr>
          <w:rStyle w:val="Strong"/>
        </w:rPr>
        <w:t>We</w:t>
      </w:r>
      <w:r w:rsidR="000A5329" w:rsidRPr="002029AF">
        <w:rPr>
          <w:rStyle w:val="Strong"/>
        </w:rPr>
        <w:t xml:space="preserve"> </w:t>
      </w:r>
      <w:r w:rsidRPr="002029AF">
        <w:rPr>
          <w:rStyle w:val="Strong"/>
        </w:rPr>
        <w:t>embrace</w:t>
      </w:r>
      <w:r w:rsidR="000A5329" w:rsidRPr="002029AF">
        <w:rPr>
          <w:rStyle w:val="Strong"/>
        </w:rPr>
        <w:t xml:space="preserve"> </w:t>
      </w:r>
      <w:r w:rsidRPr="002029AF">
        <w:rPr>
          <w:rStyle w:val="Strong"/>
        </w:rPr>
        <w:t>the</w:t>
      </w:r>
      <w:r w:rsidR="000A5329" w:rsidRPr="002029AF">
        <w:rPr>
          <w:rStyle w:val="Strong"/>
        </w:rPr>
        <w:t xml:space="preserve"> </w:t>
      </w:r>
      <w:r w:rsidRPr="002029AF">
        <w:rPr>
          <w:rStyle w:val="Strong"/>
        </w:rPr>
        <w:t>spirit</w:t>
      </w:r>
      <w:r w:rsidR="000A5329" w:rsidRPr="002029AF">
        <w:rPr>
          <w:rStyle w:val="Strong"/>
        </w:rPr>
        <w:t xml:space="preserve"> </w:t>
      </w:r>
      <w:r w:rsidRPr="002029AF">
        <w:rPr>
          <w:rStyle w:val="Strong"/>
        </w:rPr>
        <w:t>of</w:t>
      </w:r>
      <w:r w:rsidR="000A5329" w:rsidRPr="002029AF">
        <w:rPr>
          <w:rStyle w:val="Strong"/>
        </w:rPr>
        <w:t xml:space="preserve"> </w:t>
      </w:r>
      <w:r w:rsidRPr="002029AF">
        <w:rPr>
          <w:rStyle w:val="Strong"/>
        </w:rPr>
        <w:t>reconciliation,</w:t>
      </w:r>
      <w:r w:rsidR="000A5329" w:rsidRPr="002029AF">
        <w:rPr>
          <w:rStyle w:val="Strong"/>
        </w:rPr>
        <w:t xml:space="preserve"> </w:t>
      </w:r>
      <w:r w:rsidRPr="002029AF">
        <w:rPr>
          <w:rStyle w:val="Strong"/>
        </w:rPr>
        <w:t>working</w:t>
      </w:r>
      <w:r w:rsidR="000A5329" w:rsidRPr="002029AF">
        <w:rPr>
          <w:rStyle w:val="Strong"/>
        </w:rPr>
        <w:t xml:space="preserve"> </w:t>
      </w:r>
      <w:r w:rsidRPr="002029AF">
        <w:rPr>
          <w:rStyle w:val="Strong"/>
        </w:rPr>
        <w:t>towards</w:t>
      </w:r>
      <w:r w:rsidR="000A5329" w:rsidRPr="002029AF">
        <w:rPr>
          <w:rStyle w:val="Strong"/>
        </w:rPr>
        <w:t xml:space="preserve"> </w:t>
      </w:r>
      <w:r w:rsidRPr="002029AF">
        <w:rPr>
          <w:rStyle w:val="Strong"/>
        </w:rPr>
        <w:t>the</w:t>
      </w:r>
      <w:r w:rsidR="000A5329" w:rsidRPr="002029AF">
        <w:rPr>
          <w:rStyle w:val="Strong"/>
        </w:rPr>
        <w:t xml:space="preserve"> </w:t>
      </w:r>
      <w:r w:rsidRPr="002029AF">
        <w:rPr>
          <w:rStyle w:val="Strong"/>
        </w:rPr>
        <w:t>equality</w:t>
      </w:r>
      <w:r w:rsidR="000A5329" w:rsidRPr="002029AF">
        <w:rPr>
          <w:rStyle w:val="Strong"/>
        </w:rPr>
        <w:t xml:space="preserve"> </w:t>
      </w:r>
      <w:r w:rsidRPr="002029AF">
        <w:rPr>
          <w:rStyle w:val="Strong"/>
        </w:rPr>
        <w:t>of</w:t>
      </w:r>
      <w:r w:rsidR="000A5329" w:rsidRPr="002029AF">
        <w:rPr>
          <w:rStyle w:val="Strong"/>
        </w:rPr>
        <w:t xml:space="preserve"> </w:t>
      </w:r>
      <w:r w:rsidRPr="002029AF">
        <w:rPr>
          <w:rStyle w:val="Strong"/>
        </w:rPr>
        <w:t>outcomes</w:t>
      </w:r>
      <w:r w:rsidR="000A5329" w:rsidRPr="002029AF">
        <w:rPr>
          <w:rStyle w:val="Strong"/>
        </w:rPr>
        <w:t xml:space="preserve"> </w:t>
      </w:r>
      <w:r w:rsidRPr="002029AF">
        <w:rPr>
          <w:rStyle w:val="Strong"/>
        </w:rPr>
        <w:t>and</w:t>
      </w:r>
      <w:r w:rsidR="000A5329" w:rsidRPr="002029AF">
        <w:rPr>
          <w:rStyle w:val="Strong"/>
        </w:rPr>
        <w:t xml:space="preserve"> </w:t>
      </w:r>
      <w:r w:rsidRPr="002029AF">
        <w:rPr>
          <w:rStyle w:val="Strong"/>
        </w:rPr>
        <w:t>ensuring</w:t>
      </w:r>
      <w:r w:rsidR="000A5329" w:rsidRPr="002029AF">
        <w:rPr>
          <w:rStyle w:val="Strong"/>
        </w:rPr>
        <w:t xml:space="preserve"> </w:t>
      </w:r>
      <w:r w:rsidRPr="002029AF">
        <w:rPr>
          <w:rStyle w:val="Strong"/>
        </w:rPr>
        <w:t>an</w:t>
      </w:r>
      <w:r w:rsidR="00017335">
        <w:rPr>
          <w:rStyle w:val="Strong"/>
        </w:rPr>
        <w:t> </w:t>
      </w:r>
      <w:r w:rsidRPr="002029AF">
        <w:rPr>
          <w:rStyle w:val="Strong"/>
        </w:rPr>
        <w:t>equal</w:t>
      </w:r>
      <w:r w:rsidR="000A5329" w:rsidRPr="002029AF">
        <w:rPr>
          <w:rStyle w:val="Strong"/>
        </w:rPr>
        <w:t xml:space="preserve"> </w:t>
      </w:r>
      <w:r w:rsidRPr="002029AF">
        <w:rPr>
          <w:rStyle w:val="Strong"/>
        </w:rPr>
        <w:t>voice.</w:t>
      </w:r>
    </w:p>
    <w:p w14:paraId="2EB66EBC" w14:textId="706DF729" w:rsidR="00CF72D5" w:rsidRPr="002029AF" w:rsidRDefault="00CF72D5" w:rsidP="00DD4043">
      <w:pPr>
        <w:pStyle w:val="ARbody"/>
      </w:pPr>
      <w:r w:rsidRPr="002029AF">
        <w:t>To</w:t>
      </w:r>
      <w:r w:rsidR="000A5329" w:rsidRPr="002029AF">
        <w:t xml:space="preserve"> </w:t>
      </w:r>
      <w:r w:rsidRPr="002029AF">
        <w:t>receive</w:t>
      </w:r>
      <w:r w:rsidR="000A5329" w:rsidRPr="002029AF">
        <w:t xml:space="preserve"> </w:t>
      </w:r>
      <w:r w:rsidRPr="002029AF">
        <w:t>this</w:t>
      </w:r>
      <w:r w:rsidR="000A5329" w:rsidRPr="002029AF">
        <w:t xml:space="preserve"> </w:t>
      </w:r>
      <w:r w:rsidRPr="002029AF">
        <w:t>publication</w:t>
      </w:r>
      <w:r w:rsidR="000A5329" w:rsidRPr="002029AF">
        <w:t xml:space="preserve"> </w:t>
      </w:r>
      <w:r w:rsidRPr="002029AF">
        <w:t>in</w:t>
      </w:r>
      <w:r w:rsidR="000A5329" w:rsidRPr="002029AF">
        <w:t xml:space="preserve"> </w:t>
      </w:r>
      <w:r w:rsidRPr="002029AF">
        <w:t>an</w:t>
      </w:r>
      <w:r w:rsidR="000A5329" w:rsidRPr="002029AF">
        <w:t xml:space="preserve"> </w:t>
      </w:r>
      <w:r w:rsidRPr="002029AF">
        <w:t>accessible</w:t>
      </w:r>
      <w:r w:rsidR="000A5329" w:rsidRPr="002029AF">
        <w:t xml:space="preserve"> </w:t>
      </w:r>
      <w:r w:rsidRPr="002029AF">
        <w:t>format,</w:t>
      </w:r>
      <w:r w:rsidR="000A5329" w:rsidRPr="002029AF">
        <w:t xml:space="preserve"> </w:t>
      </w:r>
      <w:hyperlink r:id="rId12" w:history="1">
        <w:r w:rsidRPr="002029AF">
          <w:rPr>
            <w:rStyle w:val="Hyperlink"/>
          </w:rPr>
          <w:t>email</w:t>
        </w:r>
        <w:r w:rsidR="000A5329" w:rsidRPr="002029AF">
          <w:rPr>
            <w:rStyle w:val="Hyperlink"/>
          </w:rPr>
          <w:t xml:space="preserve"> </w:t>
        </w:r>
        <w:r w:rsidRPr="002029AF">
          <w:rPr>
            <w:rStyle w:val="Hyperlink"/>
          </w:rPr>
          <w:t>corporate</w:t>
        </w:r>
        <w:r w:rsidR="000A5329" w:rsidRPr="002029AF">
          <w:rPr>
            <w:rStyle w:val="Hyperlink"/>
          </w:rPr>
          <w:t xml:space="preserve"> </w:t>
        </w:r>
        <w:r w:rsidRPr="002029AF">
          <w:rPr>
            <w:rStyle w:val="Hyperlink"/>
          </w:rPr>
          <w:t>reporting</w:t>
        </w:r>
      </w:hyperlink>
      <w:r w:rsidR="000A5329" w:rsidRPr="002029AF">
        <w:t xml:space="preserve"> </w:t>
      </w:r>
      <w:r w:rsidRPr="002029AF">
        <w:t>&lt;corporate.reporting@dhhs.vic.gov.au&gt;.</w:t>
      </w:r>
    </w:p>
    <w:p w14:paraId="27C2DF24" w14:textId="07AE91E6" w:rsidR="00CF72D5" w:rsidRPr="002029AF" w:rsidRDefault="00CF72D5" w:rsidP="00897193">
      <w:pPr>
        <w:pStyle w:val="ARbody"/>
      </w:pPr>
      <w:r w:rsidRPr="002029AF">
        <w:t>Authorised</w:t>
      </w:r>
      <w:r w:rsidR="000A5329" w:rsidRPr="002029AF">
        <w:t xml:space="preserve"> </w:t>
      </w:r>
      <w:r w:rsidRPr="002029AF">
        <w:t>and</w:t>
      </w:r>
      <w:r w:rsidR="000A5329" w:rsidRPr="002029AF">
        <w:t xml:space="preserve"> </w:t>
      </w:r>
      <w:r w:rsidRPr="002029AF">
        <w:t>published</w:t>
      </w:r>
      <w:r w:rsidR="000A5329" w:rsidRPr="002029AF">
        <w:t xml:space="preserve"> </w:t>
      </w:r>
      <w:r w:rsidRPr="002029AF">
        <w:t>by</w:t>
      </w:r>
      <w:r w:rsidR="000A5329" w:rsidRPr="002029AF">
        <w:t xml:space="preserve"> </w:t>
      </w:r>
      <w:r w:rsidRPr="002029AF">
        <w:t>the</w:t>
      </w:r>
      <w:r w:rsidR="000A5329" w:rsidRPr="002029AF">
        <w:t xml:space="preserve"> </w:t>
      </w:r>
      <w:r w:rsidRPr="002029AF">
        <w:t>Victorian</w:t>
      </w:r>
      <w:r w:rsidR="000A5329" w:rsidRPr="002029AF">
        <w:t xml:space="preserve"> </w:t>
      </w:r>
      <w:r w:rsidRPr="002029AF">
        <w:t>Government,</w:t>
      </w:r>
      <w:r w:rsidR="000A5329" w:rsidRPr="002029AF">
        <w:t xml:space="preserve"> </w:t>
      </w:r>
      <w:r w:rsidRPr="002029AF">
        <w:t>1</w:t>
      </w:r>
      <w:r w:rsidR="000A5329" w:rsidRPr="002029AF">
        <w:t xml:space="preserve"> </w:t>
      </w:r>
      <w:r w:rsidRPr="002029AF">
        <w:t>Treasury</w:t>
      </w:r>
      <w:r w:rsidR="000A5329" w:rsidRPr="002029AF">
        <w:t xml:space="preserve"> </w:t>
      </w:r>
      <w:r w:rsidRPr="002029AF">
        <w:t>Place,</w:t>
      </w:r>
      <w:r w:rsidR="000A5329" w:rsidRPr="002029AF">
        <w:t xml:space="preserve"> </w:t>
      </w:r>
      <w:r w:rsidRPr="002029AF">
        <w:t>Melbourne.</w:t>
      </w:r>
    </w:p>
    <w:p w14:paraId="79F72E6F" w14:textId="2C2EA93F" w:rsidR="00CF72D5" w:rsidRPr="002029AF" w:rsidRDefault="00CF72D5" w:rsidP="00897193">
      <w:pPr>
        <w:pStyle w:val="ARbody"/>
      </w:pPr>
      <w:r w:rsidRPr="002029AF">
        <w:t>©</w:t>
      </w:r>
      <w:r w:rsidR="000A5329" w:rsidRPr="002029AF">
        <w:t xml:space="preserve"> </w:t>
      </w:r>
      <w:r w:rsidRPr="002029AF">
        <w:t>State</w:t>
      </w:r>
      <w:r w:rsidR="000A5329" w:rsidRPr="002029AF">
        <w:t xml:space="preserve"> </w:t>
      </w:r>
      <w:r w:rsidRPr="002029AF">
        <w:t>of</w:t>
      </w:r>
      <w:r w:rsidR="000A5329" w:rsidRPr="002029AF">
        <w:t xml:space="preserve"> </w:t>
      </w:r>
      <w:r w:rsidRPr="002029AF">
        <w:t>Victoria,</w:t>
      </w:r>
      <w:r w:rsidR="000A5329" w:rsidRPr="002029AF">
        <w:t xml:space="preserve"> </w:t>
      </w:r>
      <w:r w:rsidRPr="002029AF">
        <w:t>Australia</w:t>
      </w:r>
      <w:r w:rsidR="000A5329" w:rsidRPr="002029AF">
        <w:t xml:space="preserve"> </w:t>
      </w:r>
      <w:r w:rsidRPr="002029AF">
        <w:t>(Department</w:t>
      </w:r>
      <w:r w:rsidR="000A5329" w:rsidRPr="002029AF">
        <w:t xml:space="preserve"> </w:t>
      </w:r>
      <w:r w:rsidRPr="002029AF">
        <w:t>of</w:t>
      </w:r>
      <w:r w:rsidR="000A5329" w:rsidRPr="002029AF">
        <w:t xml:space="preserve"> </w:t>
      </w:r>
      <w:r w:rsidRPr="002029AF">
        <w:t>Health</w:t>
      </w:r>
      <w:r w:rsidR="000A5329" w:rsidRPr="002029AF">
        <w:t xml:space="preserve"> </w:t>
      </w:r>
      <w:r w:rsidRPr="002029AF">
        <w:t>and</w:t>
      </w:r>
      <w:r w:rsidR="000A5329" w:rsidRPr="002029AF">
        <w:t xml:space="preserve"> </w:t>
      </w:r>
      <w:r w:rsidRPr="002029AF">
        <w:t>Human</w:t>
      </w:r>
      <w:r w:rsidR="000A5329" w:rsidRPr="002029AF">
        <w:t xml:space="preserve"> </w:t>
      </w:r>
      <w:r w:rsidRPr="002029AF">
        <w:t>Services),</w:t>
      </w:r>
      <w:r w:rsidR="000A5329" w:rsidRPr="002029AF">
        <w:t xml:space="preserve"> </w:t>
      </w:r>
      <w:r w:rsidRPr="002029AF">
        <w:t>October</w:t>
      </w:r>
      <w:r w:rsidR="000A5329" w:rsidRPr="002029AF">
        <w:t xml:space="preserve"> </w:t>
      </w:r>
      <w:r w:rsidRPr="002029AF">
        <w:t>2020.</w:t>
      </w:r>
    </w:p>
    <w:p w14:paraId="1ABD47AC" w14:textId="77777777" w:rsidR="00CF72D5" w:rsidRPr="002029AF" w:rsidRDefault="00CF72D5" w:rsidP="00B27393">
      <w:pPr>
        <w:pStyle w:val="ARbody"/>
      </w:pPr>
      <w:r>
        <w:rPr>
          <w:noProof/>
          <w:lang w:eastAsia="en-AU" w:bidi="as-IN"/>
        </w:rPr>
        <w:drawing>
          <wp:inline distT="0" distB="0" distL="0" distR="0" wp14:anchorId="0CC63214" wp14:editId="647A1D63">
            <wp:extent cx="1233170" cy="425450"/>
            <wp:effectExtent l="0" t="0" r="5080" b="0"/>
            <wp:docPr id="6" name="Picture 6"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3">
                      <a:extLst>
                        <a:ext uri="{28A0092B-C50C-407E-A947-70E740481C1C}">
                          <a14:useLocalDpi xmlns:a14="http://schemas.microsoft.com/office/drawing/2010/main" val="0"/>
                        </a:ext>
                      </a:extLst>
                    </a:blip>
                    <a:stretch>
                      <a:fillRect/>
                    </a:stretch>
                  </pic:blipFill>
                  <pic:spPr>
                    <a:xfrm>
                      <a:off x="0" y="0"/>
                      <a:ext cx="1233170" cy="425450"/>
                    </a:xfrm>
                    <a:prstGeom prst="rect">
                      <a:avLst/>
                    </a:prstGeom>
                  </pic:spPr>
                </pic:pic>
              </a:graphicData>
            </a:graphic>
          </wp:inline>
        </w:drawing>
      </w:r>
    </w:p>
    <w:p w14:paraId="6A7341F6" w14:textId="449AC126" w:rsidR="00CF72D5" w:rsidRPr="002029AF" w:rsidRDefault="00CF72D5" w:rsidP="00B27393">
      <w:pPr>
        <w:pStyle w:val="ARbody"/>
      </w:pPr>
      <w:r w:rsidRPr="002029AF">
        <w:t>With</w:t>
      </w:r>
      <w:r w:rsidR="000A5329" w:rsidRPr="002029AF">
        <w:t xml:space="preserve"> </w:t>
      </w:r>
      <w:r w:rsidRPr="002029AF">
        <w:t>the</w:t>
      </w:r>
      <w:r w:rsidR="000A5329" w:rsidRPr="002029AF">
        <w:t xml:space="preserve"> </w:t>
      </w:r>
      <w:r w:rsidRPr="002029AF">
        <w:t>exception</w:t>
      </w:r>
      <w:r w:rsidR="000A5329" w:rsidRPr="002029AF">
        <w:t xml:space="preserve"> </w:t>
      </w:r>
      <w:r w:rsidRPr="002029AF">
        <w:t>of</w:t>
      </w:r>
      <w:r w:rsidR="000A5329" w:rsidRPr="002029AF">
        <w:t xml:space="preserve"> </w:t>
      </w:r>
      <w:r w:rsidRPr="002029AF">
        <w:t>any</w:t>
      </w:r>
      <w:r w:rsidR="000A5329" w:rsidRPr="002029AF">
        <w:t xml:space="preserve"> </w:t>
      </w:r>
      <w:r w:rsidRPr="002029AF">
        <w:t>images,</w:t>
      </w:r>
      <w:r w:rsidR="000A5329" w:rsidRPr="002029AF">
        <w:t xml:space="preserve"> </w:t>
      </w:r>
      <w:r w:rsidRPr="002029AF">
        <w:t>photographs</w:t>
      </w:r>
      <w:r w:rsidR="000A5329" w:rsidRPr="002029AF">
        <w:t xml:space="preserve"> </w:t>
      </w:r>
      <w:r w:rsidRPr="002029AF">
        <w:t>or</w:t>
      </w:r>
      <w:r w:rsidR="000A5329" w:rsidRPr="002029AF">
        <w:t xml:space="preserve"> </w:t>
      </w:r>
      <w:r w:rsidRPr="002029AF">
        <w:t>branding</w:t>
      </w:r>
      <w:r w:rsidR="000A5329" w:rsidRPr="002029AF">
        <w:t xml:space="preserve"> </w:t>
      </w:r>
      <w:r w:rsidRPr="002029AF">
        <w:t>(including,</w:t>
      </w:r>
      <w:r w:rsidR="000A5329" w:rsidRPr="002029AF">
        <w:t xml:space="preserve"> </w:t>
      </w:r>
      <w:r w:rsidRPr="002029AF">
        <w:t>but</w:t>
      </w:r>
      <w:r w:rsidR="000A5329" w:rsidRPr="002029AF">
        <w:t xml:space="preserve"> </w:t>
      </w:r>
      <w:r w:rsidRPr="002029AF">
        <w:t>not</w:t>
      </w:r>
      <w:r w:rsidR="000A5329" w:rsidRPr="002029AF">
        <w:t xml:space="preserve"> </w:t>
      </w:r>
      <w:r w:rsidRPr="002029AF">
        <w:t>limited</w:t>
      </w:r>
      <w:r w:rsidR="000A5329" w:rsidRPr="002029AF">
        <w:t xml:space="preserve"> </w:t>
      </w:r>
      <w:r w:rsidRPr="002029AF">
        <w:t>to</w:t>
      </w:r>
      <w:r w:rsidR="000A5329" w:rsidRPr="002029AF">
        <w:t xml:space="preserve"> </w:t>
      </w:r>
      <w:r w:rsidRPr="002029AF">
        <w:t>the</w:t>
      </w:r>
      <w:r w:rsidR="000A5329" w:rsidRPr="002029AF">
        <w:t xml:space="preserve"> </w:t>
      </w:r>
      <w:r w:rsidRPr="002029AF">
        <w:t>Victorian</w:t>
      </w:r>
      <w:r w:rsidR="000A5329" w:rsidRPr="002029AF">
        <w:t xml:space="preserve"> </w:t>
      </w:r>
      <w:r w:rsidRPr="002029AF">
        <w:t>Coat</w:t>
      </w:r>
      <w:r w:rsidR="000A5329" w:rsidRPr="002029AF">
        <w:t xml:space="preserve"> </w:t>
      </w:r>
      <w:r w:rsidRPr="002029AF">
        <w:t>of</w:t>
      </w:r>
      <w:r w:rsidR="00017335">
        <w:t> </w:t>
      </w:r>
      <w:r w:rsidRPr="002029AF">
        <w:t>Arms,</w:t>
      </w:r>
      <w:r w:rsidR="000A5329" w:rsidRPr="002029AF">
        <w:t xml:space="preserve"> </w:t>
      </w:r>
      <w:r w:rsidRPr="002029AF">
        <w:t>the</w:t>
      </w:r>
      <w:r w:rsidR="000A5329" w:rsidRPr="002029AF">
        <w:t xml:space="preserve"> </w:t>
      </w:r>
      <w:r w:rsidRPr="002029AF">
        <w:t>Victorian</w:t>
      </w:r>
      <w:r w:rsidR="000A5329" w:rsidRPr="002029AF">
        <w:t xml:space="preserve"> </w:t>
      </w:r>
      <w:r w:rsidRPr="002029AF">
        <w:t>Government</w:t>
      </w:r>
      <w:r w:rsidR="000A5329" w:rsidRPr="002029AF">
        <w:t xml:space="preserve"> </w:t>
      </w:r>
      <w:r w:rsidRPr="002029AF">
        <w:t>logo</w:t>
      </w:r>
      <w:r w:rsidR="000A5329" w:rsidRPr="002029AF">
        <w:t xml:space="preserve"> </w:t>
      </w:r>
      <w:r w:rsidRPr="002029AF">
        <w:t>or</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of</w:t>
      </w:r>
      <w:r w:rsidR="000A5329" w:rsidRPr="002029AF">
        <w:t xml:space="preserve"> </w:t>
      </w:r>
      <w:r w:rsidRPr="002029AF">
        <w:t>Health</w:t>
      </w:r>
      <w:r w:rsidR="000A5329" w:rsidRPr="002029AF">
        <w:t xml:space="preserve"> </w:t>
      </w:r>
      <w:r w:rsidRPr="002029AF">
        <w:t>and</w:t>
      </w:r>
      <w:r w:rsidR="000A5329" w:rsidRPr="002029AF">
        <w:t xml:space="preserve"> </w:t>
      </w:r>
      <w:r w:rsidRPr="002029AF">
        <w:t>Human</w:t>
      </w:r>
      <w:r w:rsidR="000A5329" w:rsidRPr="002029AF">
        <w:t xml:space="preserve"> </w:t>
      </w:r>
      <w:r w:rsidRPr="002029AF">
        <w:t>Services</w:t>
      </w:r>
      <w:r w:rsidR="000A5329" w:rsidRPr="002029AF">
        <w:t xml:space="preserve"> </w:t>
      </w:r>
      <w:r w:rsidRPr="002029AF">
        <w:t>logo),</w:t>
      </w:r>
      <w:r w:rsidR="000A5329" w:rsidRPr="002029AF">
        <w:t xml:space="preserve"> </w:t>
      </w:r>
      <w:r w:rsidRPr="002029AF">
        <w:t>this</w:t>
      </w:r>
      <w:r w:rsidR="000A5329" w:rsidRPr="002029AF">
        <w:t xml:space="preserve"> </w:t>
      </w:r>
      <w:r w:rsidRPr="002029AF">
        <w:t>work,</w:t>
      </w:r>
      <w:r w:rsidR="000A5329" w:rsidRPr="002029AF">
        <w:rPr>
          <w:i/>
        </w:rPr>
        <w:t xml:space="preserve"> </w:t>
      </w:r>
      <w:r w:rsidRPr="002029AF">
        <w:rPr>
          <w:i/>
        </w:rPr>
        <w:t>Department</w:t>
      </w:r>
      <w:r w:rsidR="000A5329" w:rsidRPr="002029AF">
        <w:rPr>
          <w:i/>
        </w:rPr>
        <w:t xml:space="preserve"> </w:t>
      </w:r>
      <w:r w:rsidRPr="002029AF">
        <w:rPr>
          <w:i/>
        </w:rPr>
        <w:t>of</w:t>
      </w:r>
      <w:r w:rsidR="000A5329" w:rsidRPr="002029AF">
        <w:rPr>
          <w:i/>
        </w:rPr>
        <w:t xml:space="preserve"> </w:t>
      </w:r>
      <w:r w:rsidRPr="002029AF">
        <w:rPr>
          <w:i/>
        </w:rPr>
        <w:t>Health</w:t>
      </w:r>
      <w:r w:rsidR="000A5329" w:rsidRPr="002029AF">
        <w:rPr>
          <w:i/>
        </w:rPr>
        <w:t xml:space="preserve"> </w:t>
      </w:r>
      <w:r w:rsidRPr="002029AF">
        <w:rPr>
          <w:i/>
        </w:rPr>
        <w:t>and</w:t>
      </w:r>
      <w:r w:rsidR="000A5329" w:rsidRPr="002029AF">
        <w:rPr>
          <w:i/>
        </w:rPr>
        <w:t xml:space="preserve"> </w:t>
      </w:r>
      <w:r w:rsidRPr="002029AF">
        <w:rPr>
          <w:i/>
        </w:rPr>
        <w:t>Human</w:t>
      </w:r>
      <w:r w:rsidR="000A5329" w:rsidRPr="002029AF">
        <w:rPr>
          <w:i/>
        </w:rPr>
        <w:t xml:space="preserve"> </w:t>
      </w:r>
      <w:r w:rsidRPr="002029AF">
        <w:rPr>
          <w:i/>
        </w:rPr>
        <w:t>Services</w:t>
      </w:r>
      <w:r w:rsidR="000A5329" w:rsidRPr="002029AF">
        <w:t xml:space="preserve"> </w:t>
      </w:r>
      <w:r w:rsidRPr="002029AF">
        <w:rPr>
          <w:i/>
        </w:rPr>
        <w:t>annual</w:t>
      </w:r>
      <w:r w:rsidR="000A5329" w:rsidRPr="002029AF">
        <w:rPr>
          <w:i/>
        </w:rPr>
        <w:t xml:space="preserve"> </w:t>
      </w:r>
      <w:r w:rsidRPr="002029AF">
        <w:rPr>
          <w:i/>
        </w:rPr>
        <w:t>report</w:t>
      </w:r>
      <w:r w:rsidR="000A5329" w:rsidRPr="002029AF">
        <w:rPr>
          <w:i/>
        </w:rPr>
        <w:t xml:space="preserve"> </w:t>
      </w:r>
      <w:r w:rsidRPr="002029AF">
        <w:rPr>
          <w:i/>
        </w:rPr>
        <w:t>2019–20</w:t>
      </w:r>
      <w:r w:rsidRPr="002029AF">
        <w:t>,</w:t>
      </w:r>
      <w:r w:rsidR="000A5329" w:rsidRPr="002029AF">
        <w:t xml:space="preserve"> </w:t>
      </w:r>
      <w:r w:rsidRPr="002029AF">
        <w:t>is</w:t>
      </w:r>
      <w:r w:rsidR="000A5329" w:rsidRPr="002029AF">
        <w:t xml:space="preserve"> </w:t>
      </w:r>
      <w:r w:rsidRPr="002029AF">
        <w:t>licensed</w:t>
      </w:r>
      <w:r w:rsidR="000A5329" w:rsidRPr="002029AF">
        <w:t xml:space="preserve"> </w:t>
      </w:r>
      <w:r w:rsidRPr="002029AF">
        <w:t>under</w:t>
      </w:r>
      <w:r w:rsidR="000A5329" w:rsidRPr="002029AF">
        <w:t xml:space="preserve"> </w:t>
      </w:r>
      <w:r w:rsidRPr="002029AF">
        <w:t>a</w:t>
      </w:r>
      <w:r w:rsidR="000A5329" w:rsidRPr="002029AF">
        <w:t xml:space="preserve"> </w:t>
      </w:r>
      <w:r w:rsidRPr="002029AF">
        <w:t>Creative</w:t>
      </w:r>
      <w:r w:rsidR="000A5329" w:rsidRPr="002029AF">
        <w:t xml:space="preserve"> </w:t>
      </w:r>
      <w:r w:rsidRPr="002029AF">
        <w:t>Commons</w:t>
      </w:r>
      <w:r w:rsidR="000A5329" w:rsidRPr="002029AF">
        <w:t xml:space="preserve"> </w:t>
      </w:r>
      <w:r w:rsidRPr="002029AF">
        <w:t>Attribution</w:t>
      </w:r>
      <w:r w:rsidR="000A5329" w:rsidRPr="002029AF">
        <w:t xml:space="preserve"> </w:t>
      </w:r>
      <w:r w:rsidRPr="002029AF">
        <w:t>4.0</w:t>
      </w:r>
      <w:r w:rsidR="000A5329" w:rsidRPr="002029AF">
        <w:t xml:space="preserve"> </w:t>
      </w:r>
      <w:r w:rsidRPr="002029AF">
        <w:t>licence.</w:t>
      </w:r>
    </w:p>
    <w:p w14:paraId="62B66836" w14:textId="45AFD38C" w:rsidR="00CF72D5" w:rsidRPr="002029AF" w:rsidRDefault="00CF72D5" w:rsidP="00897193">
      <w:pPr>
        <w:pStyle w:val="ARbody"/>
      </w:pPr>
      <w:r w:rsidRPr="002029AF">
        <w:t>The</w:t>
      </w:r>
      <w:r w:rsidR="000A5329" w:rsidRPr="002029AF">
        <w:t xml:space="preserve"> </w:t>
      </w:r>
      <w:r w:rsidRPr="002029AF">
        <w:t>terms</w:t>
      </w:r>
      <w:r w:rsidR="000A5329" w:rsidRPr="002029AF">
        <w:t xml:space="preserve"> </w:t>
      </w:r>
      <w:r w:rsidRPr="002029AF">
        <w:t>and</w:t>
      </w:r>
      <w:r w:rsidR="000A5329" w:rsidRPr="002029AF">
        <w:t xml:space="preserve"> </w:t>
      </w:r>
      <w:r w:rsidRPr="002029AF">
        <w:t>conditions</w:t>
      </w:r>
      <w:r w:rsidR="000A5329" w:rsidRPr="002029AF">
        <w:t xml:space="preserve"> </w:t>
      </w:r>
      <w:r w:rsidRPr="002029AF">
        <w:t>of</w:t>
      </w:r>
      <w:r w:rsidR="000A5329" w:rsidRPr="002029AF">
        <w:t xml:space="preserve"> </w:t>
      </w:r>
      <w:r w:rsidRPr="002029AF">
        <w:t>this</w:t>
      </w:r>
      <w:r w:rsidR="000A5329" w:rsidRPr="002029AF">
        <w:t xml:space="preserve"> </w:t>
      </w:r>
      <w:r w:rsidRPr="002029AF">
        <w:t>licence,</w:t>
      </w:r>
      <w:r w:rsidR="000A5329" w:rsidRPr="002029AF">
        <w:t xml:space="preserve"> </w:t>
      </w:r>
      <w:r w:rsidRPr="002029AF">
        <w:t>including</w:t>
      </w:r>
      <w:r w:rsidR="000A5329" w:rsidRPr="002029AF">
        <w:t xml:space="preserve"> </w:t>
      </w:r>
      <w:r w:rsidRPr="002029AF">
        <w:t>disclaimer</w:t>
      </w:r>
      <w:r w:rsidR="000A5329" w:rsidRPr="002029AF">
        <w:t xml:space="preserve"> </w:t>
      </w:r>
      <w:r w:rsidRPr="002029AF">
        <w:t>of</w:t>
      </w:r>
      <w:r w:rsidR="000A5329" w:rsidRPr="002029AF">
        <w:t xml:space="preserve"> </w:t>
      </w:r>
      <w:r w:rsidRPr="002029AF">
        <w:t>warranties</w:t>
      </w:r>
      <w:r w:rsidR="000A5329" w:rsidRPr="002029AF">
        <w:t xml:space="preserve"> </w:t>
      </w:r>
      <w:r w:rsidRPr="002029AF">
        <w:t>and</w:t>
      </w:r>
      <w:r w:rsidR="000A5329" w:rsidRPr="002029AF">
        <w:t xml:space="preserve"> </w:t>
      </w:r>
      <w:r w:rsidRPr="002029AF">
        <w:t>limitation</w:t>
      </w:r>
      <w:r w:rsidR="000A5329" w:rsidRPr="002029AF">
        <w:t xml:space="preserve"> </w:t>
      </w:r>
      <w:r w:rsidRPr="002029AF">
        <w:t>of</w:t>
      </w:r>
      <w:r w:rsidR="000A5329" w:rsidRPr="002029AF">
        <w:t xml:space="preserve"> </w:t>
      </w:r>
      <w:r w:rsidRPr="002029AF">
        <w:t>liability</w:t>
      </w:r>
      <w:r w:rsidR="000A5329" w:rsidRPr="002029AF">
        <w:t xml:space="preserve"> </w:t>
      </w:r>
      <w:r w:rsidRPr="002029AF">
        <w:t>are</w:t>
      </w:r>
      <w:r w:rsidR="000A5329" w:rsidRPr="002029AF">
        <w:t xml:space="preserve"> </w:t>
      </w:r>
      <w:r w:rsidRPr="002029AF">
        <w:t>available</w:t>
      </w:r>
      <w:r w:rsidR="000A5329" w:rsidRPr="002029AF">
        <w:t xml:space="preserve"> </w:t>
      </w:r>
      <w:r w:rsidRPr="002029AF">
        <w:t>at</w:t>
      </w:r>
      <w:r w:rsidR="000A5329" w:rsidRPr="002029AF">
        <w:t xml:space="preserve"> </w:t>
      </w:r>
      <w:hyperlink r:id="rId14" w:history="1">
        <w:r w:rsidRPr="002029AF">
          <w:rPr>
            <w:rStyle w:val="Hyperlink"/>
          </w:rPr>
          <w:t>Creative</w:t>
        </w:r>
        <w:r w:rsidR="000A5329" w:rsidRPr="002029AF">
          <w:rPr>
            <w:rStyle w:val="Hyperlink"/>
          </w:rPr>
          <w:t xml:space="preserve"> </w:t>
        </w:r>
        <w:r w:rsidRPr="002029AF">
          <w:rPr>
            <w:rStyle w:val="Hyperlink"/>
          </w:rPr>
          <w:t>Commons</w:t>
        </w:r>
        <w:r w:rsidR="000A5329" w:rsidRPr="002029AF">
          <w:rPr>
            <w:rStyle w:val="Hyperlink"/>
          </w:rPr>
          <w:t xml:space="preserve"> </w:t>
        </w:r>
        <w:r w:rsidRPr="002029AF">
          <w:rPr>
            <w:rStyle w:val="Hyperlink"/>
          </w:rPr>
          <w:t>Attribution</w:t>
        </w:r>
        <w:r w:rsidR="000A5329" w:rsidRPr="002029AF">
          <w:rPr>
            <w:rStyle w:val="Hyperlink"/>
          </w:rPr>
          <w:t xml:space="preserve"> </w:t>
        </w:r>
        <w:r w:rsidRPr="002029AF">
          <w:rPr>
            <w:rStyle w:val="Hyperlink"/>
          </w:rPr>
          <w:t>4.0</w:t>
        </w:r>
        <w:r w:rsidR="000A5329" w:rsidRPr="002029AF">
          <w:rPr>
            <w:rStyle w:val="Hyperlink"/>
          </w:rPr>
          <w:t xml:space="preserve"> </w:t>
        </w:r>
        <w:r w:rsidRPr="002029AF">
          <w:rPr>
            <w:rStyle w:val="Hyperlink"/>
          </w:rPr>
          <w:t>International</w:t>
        </w:r>
      </w:hyperlink>
      <w:r w:rsidR="000A5329" w:rsidRPr="002029AF">
        <w:t xml:space="preserve"> </w:t>
      </w:r>
      <w:r w:rsidRPr="002029AF">
        <w:t>&lt;https://creativecommons.org/licenses/by/4.0/legalcode&gt;.</w:t>
      </w:r>
    </w:p>
    <w:p w14:paraId="0AC8C466" w14:textId="4BD6DA4A" w:rsidR="00CF72D5" w:rsidRPr="002029AF" w:rsidRDefault="00CF72D5" w:rsidP="00897193">
      <w:pPr>
        <w:pStyle w:val="ARbody"/>
      </w:pPr>
      <w:r w:rsidRPr="002029AF">
        <w:t>You</w:t>
      </w:r>
      <w:r w:rsidR="000A5329" w:rsidRPr="002029AF">
        <w:t xml:space="preserve"> </w:t>
      </w:r>
      <w:r w:rsidRPr="002029AF">
        <w:t>are</w:t>
      </w:r>
      <w:r w:rsidR="000A5329" w:rsidRPr="002029AF">
        <w:t xml:space="preserve"> </w:t>
      </w:r>
      <w:r w:rsidRPr="002029AF">
        <w:t>free</w:t>
      </w:r>
      <w:r w:rsidR="000A5329" w:rsidRPr="002029AF">
        <w:t xml:space="preserve"> </w:t>
      </w:r>
      <w:r w:rsidRPr="002029AF">
        <w:t>to</w:t>
      </w:r>
      <w:r w:rsidR="000A5329" w:rsidRPr="002029AF">
        <w:t xml:space="preserve"> </w:t>
      </w:r>
      <w:r w:rsidRPr="002029AF">
        <w:t>reuse</w:t>
      </w:r>
      <w:r w:rsidR="000A5329" w:rsidRPr="002029AF">
        <w:t xml:space="preserve"> </w:t>
      </w:r>
      <w:r w:rsidRPr="002029AF">
        <w:t>the</w:t>
      </w:r>
      <w:r w:rsidR="000A5329" w:rsidRPr="002029AF">
        <w:t xml:space="preserve"> </w:t>
      </w:r>
      <w:r w:rsidRPr="002029AF">
        <w:t>work</w:t>
      </w:r>
      <w:r w:rsidR="000A5329" w:rsidRPr="002029AF">
        <w:t xml:space="preserve"> </w:t>
      </w:r>
      <w:r w:rsidRPr="002029AF">
        <w:t>under</w:t>
      </w:r>
      <w:r w:rsidR="000A5329" w:rsidRPr="002029AF">
        <w:t xml:space="preserve"> </w:t>
      </w:r>
      <w:r w:rsidRPr="002029AF">
        <w:t>that</w:t>
      </w:r>
      <w:r w:rsidR="000A5329" w:rsidRPr="002029AF">
        <w:t xml:space="preserve"> </w:t>
      </w:r>
      <w:r w:rsidRPr="002029AF">
        <w:t>licence,</w:t>
      </w:r>
      <w:r w:rsidR="000A5329" w:rsidRPr="002029AF">
        <w:t xml:space="preserve"> </w:t>
      </w:r>
      <w:r w:rsidRPr="002029AF">
        <w:t>on</w:t>
      </w:r>
      <w:r w:rsidR="000A5329" w:rsidRPr="002029AF">
        <w:t xml:space="preserve"> </w:t>
      </w:r>
      <w:r w:rsidRPr="002029AF">
        <w:t>the</w:t>
      </w:r>
      <w:r w:rsidR="000A5329" w:rsidRPr="002029AF">
        <w:t xml:space="preserve"> </w:t>
      </w:r>
      <w:r w:rsidRPr="002029AF">
        <w:t>condition</w:t>
      </w:r>
      <w:r w:rsidR="000A5329" w:rsidRPr="002029AF">
        <w:t xml:space="preserve"> </w:t>
      </w:r>
      <w:r w:rsidRPr="002029AF">
        <w:t>that</w:t>
      </w:r>
      <w:r w:rsidR="000A5329" w:rsidRPr="002029AF">
        <w:t xml:space="preserve"> </w:t>
      </w:r>
      <w:r w:rsidRPr="002029AF">
        <w:t>you</w:t>
      </w:r>
      <w:r w:rsidR="000A5329" w:rsidRPr="002029AF">
        <w:t xml:space="preserve"> </w:t>
      </w:r>
      <w:r w:rsidRPr="002029AF">
        <w:t>credit</w:t>
      </w:r>
      <w:r w:rsidR="000A5329" w:rsidRPr="002029AF">
        <w:t xml:space="preserve"> </w:t>
      </w:r>
      <w:r w:rsidRPr="002029AF">
        <w:t>the</w:t>
      </w:r>
      <w:r w:rsidR="000A5329" w:rsidRPr="002029AF">
        <w:t xml:space="preserve"> </w:t>
      </w:r>
      <w:r w:rsidRPr="002029AF">
        <w:t>State</w:t>
      </w:r>
      <w:r w:rsidR="000A5329" w:rsidRPr="002029AF">
        <w:t xml:space="preserve"> </w:t>
      </w:r>
      <w:r w:rsidRPr="002029AF">
        <w:t>of</w:t>
      </w:r>
      <w:r w:rsidR="000A5329" w:rsidRPr="002029AF">
        <w:t xml:space="preserve"> </w:t>
      </w:r>
      <w:r w:rsidRPr="002029AF">
        <w:t>Victoria,</w:t>
      </w:r>
      <w:r w:rsidR="000A5329" w:rsidRPr="002029AF">
        <w:t xml:space="preserve"> </w:t>
      </w:r>
      <w:r w:rsidRPr="002029AF">
        <w:t>Australia</w:t>
      </w:r>
      <w:r w:rsidR="000A5329" w:rsidRPr="002029AF">
        <w:t xml:space="preserve"> </w:t>
      </w:r>
      <w:r w:rsidRPr="002029AF">
        <w:t>(Department</w:t>
      </w:r>
      <w:r w:rsidR="000A5329" w:rsidRPr="002029AF">
        <w:t xml:space="preserve"> </w:t>
      </w:r>
      <w:r w:rsidRPr="002029AF">
        <w:t>of</w:t>
      </w:r>
      <w:r w:rsidR="000A5329" w:rsidRPr="002029AF">
        <w:t xml:space="preserve"> </w:t>
      </w:r>
      <w:r w:rsidRPr="002029AF">
        <w:t>Health</w:t>
      </w:r>
      <w:r w:rsidR="000A5329" w:rsidRPr="002029AF">
        <w:t xml:space="preserve"> </w:t>
      </w:r>
      <w:r w:rsidRPr="002029AF">
        <w:t>and</w:t>
      </w:r>
      <w:r w:rsidR="000A5329" w:rsidRPr="002029AF">
        <w:t xml:space="preserve"> </w:t>
      </w:r>
      <w:r w:rsidRPr="002029AF">
        <w:t>Human</w:t>
      </w:r>
      <w:r w:rsidR="000A5329" w:rsidRPr="002029AF">
        <w:t xml:space="preserve"> </w:t>
      </w:r>
      <w:r w:rsidRPr="002029AF">
        <w:t>Services)</w:t>
      </w:r>
      <w:r w:rsidR="000A5329" w:rsidRPr="002029AF">
        <w:t xml:space="preserve"> </w:t>
      </w:r>
      <w:r w:rsidRPr="002029AF">
        <w:t>as</w:t>
      </w:r>
      <w:r w:rsidR="000A5329" w:rsidRPr="002029AF">
        <w:t xml:space="preserve"> </w:t>
      </w:r>
      <w:r w:rsidRPr="002029AF">
        <w:t>the</w:t>
      </w:r>
      <w:r w:rsidR="000A5329" w:rsidRPr="002029AF">
        <w:t xml:space="preserve"> </w:t>
      </w:r>
      <w:r w:rsidRPr="002029AF">
        <w:t>author</w:t>
      </w:r>
      <w:r w:rsidR="000A5329" w:rsidRPr="002029AF">
        <w:t xml:space="preserve"> </w:t>
      </w:r>
      <w:r w:rsidRPr="002029AF">
        <w:t>and/or</w:t>
      </w:r>
      <w:r w:rsidR="000A5329" w:rsidRPr="002029AF">
        <w:t xml:space="preserve"> </w:t>
      </w:r>
      <w:r w:rsidRPr="002029AF">
        <w:t>owner</w:t>
      </w:r>
      <w:r w:rsidR="000A5329" w:rsidRPr="002029AF">
        <w:t xml:space="preserve"> </w:t>
      </w:r>
      <w:r w:rsidRPr="002029AF">
        <w:t>of</w:t>
      </w:r>
      <w:r w:rsidR="000A5329" w:rsidRPr="002029AF">
        <w:t xml:space="preserve"> </w:t>
      </w:r>
      <w:r w:rsidRPr="002029AF">
        <w:t>the</w:t>
      </w:r>
      <w:r w:rsidR="000A5329" w:rsidRPr="002029AF">
        <w:t xml:space="preserve"> </w:t>
      </w:r>
      <w:r w:rsidRPr="002029AF">
        <w:t>work,</w:t>
      </w:r>
      <w:r w:rsidR="000A5329" w:rsidRPr="002029AF">
        <w:t xml:space="preserve"> </w:t>
      </w:r>
      <w:r w:rsidRPr="002029AF">
        <w:t>indicate</w:t>
      </w:r>
      <w:r w:rsidR="000A5329" w:rsidRPr="002029AF">
        <w:t xml:space="preserve"> </w:t>
      </w:r>
      <w:r w:rsidRPr="002029AF">
        <w:t>if</w:t>
      </w:r>
      <w:r w:rsidR="00017335">
        <w:t> </w:t>
      </w:r>
      <w:r w:rsidRPr="002029AF">
        <w:t>any</w:t>
      </w:r>
      <w:r w:rsidR="00017335">
        <w:t> </w:t>
      </w:r>
      <w:r w:rsidRPr="002029AF">
        <w:t>changes</w:t>
      </w:r>
      <w:r w:rsidR="000A5329" w:rsidRPr="002029AF">
        <w:t xml:space="preserve"> </w:t>
      </w:r>
      <w:r w:rsidRPr="002029AF">
        <w:t>have</w:t>
      </w:r>
      <w:r w:rsidR="000A5329" w:rsidRPr="002029AF">
        <w:t xml:space="preserve"> </w:t>
      </w:r>
      <w:r w:rsidRPr="002029AF">
        <w:t>been</w:t>
      </w:r>
      <w:r w:rsidR="000A5329" w:rsidRPr="002029AF">
        <w:t xml:space="preserve"> </w:t>
      </w:r>
      <w:r w:rsidRPr="002029AF">
        <w:t>made</w:t>
      </w:r>
      <w:r w:rsidR="000A5329" w:rsidRPr="002029AF">
        <w:t xml:space="preserve"> </w:t>
      </w:r>
      <w:r w:rsidRPr="002029AF">
        <w:t>to</w:t>
      </w:r>
      <w:r w:rsidR="000A5329" w:rsidRPr="002029AF">
        <w:t xml:space="preserve"> </w:t>
      </w:r>
      <w:r w:rsidRPr="002029AF">
        <w:t>the</w:t>
      </w:r>
      <w:r w:rsidR="000A5329" w:rsidRPr="002029AF">
        <w:t xml:space="preserve"> </w:t>
      </w:r>
      <w:r w:rsidRPr="002029AF">
        <w:t>work</w:t>
      </w:r>
      <w:r w:rsidR="000A5329" w:rsidRPr="002029AF">
        <w:t xml:space="preserve"> </w:t>
      </w:r>
      <w:r w:rsidRPr="002029AF">
        <w:t>and</w:t>
      </w:r>
      <w:r w:rsidR="000A5329" w:rsidRPr="002029AF">
        <w:t xml:space="preserve"> </w:t>
      </w:r>
      <w:r w:rsidRPr="002029AF">
        <w:t>comply</w:t>
      </w:r>
      <w:r w:rsidR="000A5329" w:rsidRPr="002029AF">
        <w:t xml:space="preserve"> </w:t>
      </w:r>
      <w:r w:rsidRPr="002029AF">
        <w:t>with</w:t>
      </w:r>
      <w:r w:rsidR="000A5329" w:rsidRPr="002029AF">
        <w:t xml:space="preserve"> </w:t>
      </w:r>
      <w:r w:rsidRPr="002029AF">
        <w:t>the</w:t>
      </w:r>
      <w:r w:rsidR="000A5329" w:rsidRPr="002029AF">
        <w:t xml:space="preserve"> </w:t>
      </w:r>
      <w:r w:rsidRPr="002029AF">
        <w:t>other</w:t>
      </w:r>
      <w:r w:rsidR="000A5329" w:rsidRPr="002029AF">
        <w:t xml:space="preserve"> </w:t>
      </w:r>
      <w:r w:rsidRPr="002029AF">
        <w:t>licence</w:t>
      </w:r>
      <w:r w:rsidR="000A5329" w:rsidRPr="002029AF">
        <w:t xml:space="preserve"> </w:t>
      </w:r>
      <w:r w:rsidRPr="002029AF">
        <w:t>terms.</w:t>
      </w:r>
    </w:p>
    <w:p w14:paraId="53233C4B" w14:textId="4ED37F43" w:rsidR="00CF72D5" w:rsidRPr="002029AF" w:rsidRDefault="00CF72D5" w:rsidP="00897193">
      <w:pPr>
        <w:pStyle w:val="ARbody"/>
      </w:pPr>
      <w:r w:rsidRPr="002029AF">
        <w:t>In</w:t>
      </w:r>
      <w:r w:rsidR="000A5329" w:rsidRPr="002029AF">
        <w:t xml:space="preserve"> </w:t>
      </w:r>
      <w:r w:rsidRPr="002029AF">
        <w:t>this</w:t>
      </w:r>
      <w:r w:rsidR="000A5329" w:rsidRPr="002029AF">
        <w:t xml:space="preserve"> </w:t>
      </w:r>
      <w:r w:rsidRPr="002029AF">
        <w:t>document,</w:t>
      </w:r>
      <w:r w:rsidR="000A5329" w:rsidRPr="002029AF">
        <w:t xml:space="preserve"> </w:t>
      </w:r>
      <w:r w:rsidRPr="002029AF">
        <w:t>‘Aboriginal’</w:t>
      </w:r>
      <w:r w:rsidR="000A5329" w:rsidRPr="002029AF">
        <w:t xml:space="preserve"> </w:t>
      </w:r>
      <w:r w:rsidRPr="002029AF">
        <w:t>refers</w:t>
      </w:r>
      <w:r w:rsidR="000A5329" w:rsidRPr="002029AF">
        <w:t xml:space="preserve"> </w:t>
      </w:r>
      <w:r w:rsidRPr="002029AF">
        <w:t>to</w:t>
      </w:r>
      <w:r w:rsidR="000A5329" w:rsidRPr="002029AF">
        <w:t xml:space="preserve"> </w:t>
      </w:r>
      <w:r w:rsidRPr="002029AF">
        <w:t>both</w:t>
      </w:r>
      <w:r w:rsidR="000A5329" w:rsidRPr="002029AF">
        <w:t xml:space="preserve"> </w:t>
      </w:r>
      <w:r w:rsidRPr="002029AF">
        <w:t>Aboriginal</w:t>
      </w:r>
      <w:r w:rsidR="000A5329" w:rsidRPr="002029AF">
        <w:t xml:space="preserve"> </w:t>
      </w:r>
      <w:r w:rsidRPr="002029AF">
        <w:t>and</w:t>
      </w:r>
      <w:r w:rsidR="000A5329" w:rsidRPr="002029AF">
        <w:t xml:space="preserve"> </w:t>
      </w:r>
      <w:r w:rsidRPr="002029AF">
        <w:t>Torres</w:t>
      </w:r>
      <w:r w:rsidR="000A5329" w:rsidRPr="002029AF">
        <w:t xml:space="preserve"> </w:t>
      </w:r>
      <w:r w:rsidRPr="002029AF">
        <w:t>Strait</w:t>
      </w:r>
      <w:r w:rsidR="000A5329" w:rsidRPr="002029AF">
        <w:t xml:space="preserve"> </w:t>
      </w:r>
      <w:r w:rsidRPr="002029AF">
        <w:t>Islander</w:t>
      </w:r>
      <w:r w:rsidR="000A5329" w:rsidRPr="002029AF">
        <w:t xml:space="preserve"> </w:t>
      </w:r>
      <w:r w:rsidRPr="002029AF">
        <w:t>people.</w:t>
      </w:r>
      <w:r w:rsidR="000A5329" w:rsidRPr="002029AF">
        <w:t xml:space="preserve"> </w:t>
      </w:r>
      <w:r w:rsidRPr="002029AF">
        <w:t>‘Indigenous’</w:t>
      </w:r>
      <w:r w:rsidR="000A5329" w:rsidRPr="002029AF">
        <w:t xml:space="preserve"> </w:t>
      </w:r>
      <w:r w:rsidRPr="002029AF">
        <w:t>or</w:t>
      </w:r>
      <w:r w:rsidR="00017335">
        <w:t> </w:t>
      </w:r>
      <w:r w:rsidRPr="002029AF">
        <w:t>‘Koori/Koorie’</w:t>
      </w:r>
      <w:r w:rsidR="000A5329" w:rsidRPr="002029AF">
        <w:t xml:space="preserve"> </w:t>
      </w:r>
      <w:r w:rsidRPr="002029AF">
        <w:t>is</w:t>
      </w:r>
      <w:r w:rsidR="000A5329" w:rsidRPr="002029AF">
        <w:t xml:space="preserve"> </w:t>
      </w:r>
      <w:r w:rsidRPr="002029AF">
        <w:t>retained</w:t>
      </w:r>
      <w:r w:rsidR="000A5329" w:rsidRPr="002029AF">
        <w:t xml:space="preserve"> </w:t>
      </w:r>
      <w:r w:rsidRPr="002029AF">
        <w:t>when</w:t>
      </w:r>
      <w:r w:rsidR="000A5329" w:rsidRPr="002029AF">
        <w:t xml:space="preserve"> </w:t>
      </w:r>
      <w:r w:rsidRPr="002029AF">
        <w:t>part</w:t>
      </w:r>
      <w:r w:rsidR="000A5329" w:rsidRPr="002029AF">
        <w:t xml:space="preserve"> </w:t>
      </w:r>
      <w:r w:rsidRPr="002029AF">
        <w:t>of</w:t>
      </w:r>
      <w:r w:rsidR="000A5329" w:rsidRPr="002029AF">
        <w:t xml:space="preserve"> </w:t>
      </w:r>
      <w:r w:rsidRPr="002029AF">
        <w:t>the</w:t>
      </w:r>
      <w:r w:rsidR="000A5329" w:rsidRPr="002029AF">
        <w:t xml:space="preserve"> </w:t>
      </w:r>
      <w:r w:rsidRPr="002029AF">
        <w:t>title</w:t>
      </w:r>
      <w:r w:rsidR="000A5329" w:rsidRPr="002029AF">
        <w:t xml:space="preserve"> </w:t>
      </w:r>
      <w:r w:rsidRPr="002029AF">
        <w:t>of</w:t>
      </w:r>
      <w:r w:rsidR="000A5329" w:rsidRPr="002029AF">
        <w:t xml:space="preserve"> </w:t>
      </w:r>
      <w:r w:rsidRPr="002029AF">
        <w:t>a</w:t>
      </w:r>
      <w:r w:rsidR="000A5329" w:rsidRPr="002029AF">
        <w:t xml:space="preserve"> </w:t>
      </w:r>
      <w:r w:rsidRPr="002029AF">
        <w:t>report,</w:t>
      </w:r>
      <w:r w:rsidR="000A5329" w:rsidRPr="002029AF">
        <w:t xml:space="preserve"> </w:t>
      </w:r>
      <w:r w:rsidRPr="002029AF">
        <w:t>program</w:t>
      </w:r>
      <w:r w:rsidR="000A5329" w:rsidRPr="002029AF">
        <w:t xml:space="preserve"> </w:t>
      </w:r>
      <w:r w:rsidRPr="002029AF">
        <w:t>or</w:t>
      </w:r>
      <w:r w:rsidR="000A5329" w:rsidRPr="002029AF">
        <w:t xml:space="preserve"> </w:t>
      </w:r>
      <w:r w:rsidRPr="002029AF">
        <w:t>quotation.</w:t>
      </w:r>
    </w:p>
    <w:p w14:paraId="15F1007E" w14:textId="6274E8D9" w:rsidR="00CF72D5" w:rsidRPr="002029AF" w:rsidRDefault="00CF72D5" w:rsidP="00897193">
      <w:pPr>
        <w:pStyle w:val="ARbody"/>
      </w:pPr>
      <w:r w:rsidRPr="002029AF">
        <w:t>ISSN</w:t>
      </w:r>
      <w:r w:rsidR="000A5329" w:rsidRPr="002029AF">
        <w:t xml:space="preserve"> </w:t>
      </w:r>
      <w:r w:rsidRPr="002029AF">
        <w:t>2205-5401</w:t>
      </w:r>
      <w:r w:rsidR="000A5329" w:rsidRPr="002029AF">
        <w:t xml:space="preserve"> </w:t>
      </w:r>
      <w:r w:rsidRPr="002029AF">
        <w:t>(online)</w:t>
      </w:r>
    </w:p>
    <w:p w14:paraId="59AC9E17" w14:textId="05537675" w:rsidR="00CF72D5" w:rsidRPr="002029AF" w:rsidRDefault="00CF72D5" w:rsidP="00897193">
      <w:pPr>
        <w:pStyle w:val="ARbody"/>
        <w:rPr>
          <w:szCs w:val="20"/>
        </w:rPr>
      </w:pPr>
      <w:r w:rsidRPr="002029AF">
        <w:rPr>
          <w:szCs w:val="19"/>
        </w:rPr>
        <w:t>Available</w:t>
      </w:r>
      <w:r w:rsidR="000A5329" w:rsidRPr="002029AF">
        <w:rPr>
          <w:szCs w:val="19"/>
        </w:rPr>
        <w:t xml:space="preserve"> </w:t>
      </w:r>
      <w:r w:rsidRPr="002029AF">
        <w:rPr>
          <w:szCs w:val="19"/>
        </w:rPr>
        <w:t>at</w:t>
      </w:r>
      <w:r w:rsidR="000A5329" w:rsidRPr="002029AF">
        <w:rPr>
          <w:szCs w:val="19"/>
        </w:rPr>
        <w:t xml:space="preserve"> </w:t>
      </w:r>
      <w:hyperlink r:id="rId15" w:history="1">
        <w:r w:rsidRPr="002029AF">
          <w:rPr>
            <w:rStyle w:val="Hyperlink"/>
          </w:rPr>
          <w:t>Department</w:t>
        </w:r>
        <w:r w:rsidR="000A5329" w:rsidRPr="002029AF">
          <w:rPr>
            <w:rStyle w:val="Hyperlink"/>
          </w:rPr>
          <w:t xml:space="preserve"> </w:t>
        </w:r>
        <w:r w:rsidRPr="002029AF">
          <w:rPr>
            <w:rStyle w:val="Hyperlink"/>
          </w:rPr>
          <w:t>of</w:t>
        </w:r>
        <w:r w:rsidR="000A5329" w:rsidRPr="002029AF">
          <w:rPr>
            <w:rStyle w:val="Hyperlink"/>
          </w:rPr>
          <w:t xml:space="preserve"> </w:t>
        </w:r>
        <w:r w:rsidRPr="002029AF">
          <w:rPr>
            <w:rStyle w:val="Hyperlink"/>
          </w:rPr>
          <w:t>Health</w:t>
        </w:r>
        <w:r w:rsidR="000A5329" w:rsidRPr="002029AF">
          <w:rPr>
            <w:rStyle w:val="Hyperlink"/>
          </w:rPr>
          <w:t xml:space="preserve"> </w:t>
        </w:r>
        <w:r w:rsidRPr="002029AF">
          <w:rPr>
            <w:rStyle w:val="Hyperlink"/>
          </w:rPr>
          <w:t>and</w:t>
        </w:r>
        <w:r w:rsidR="000A5329" w:rsidRPr="002029AF">
          <w:rPr>
            <w:rStyle w:val="Hyperlink"/>
          </w:rPr>
          <w:t xml:space="preserve"> </w:t>
        </w:r>
        <w:r w:rsidRPr="002029AF">
          <w:rPr>
            <w:rStyle w:val="Hyperlink"/>
          </w:rPr>
          <w:t>Human</w:t>
        </w:r>
        <w:r w:rsidR="000A5329" w:rsidRPr="002029AF">
          <w:rPr>
            <w:rStyle w:val="Hyperlink"/>
          </w:rPr>
          <w:t xml:space="preserve"> </w:t>
        </w:r>
        <w:r w:rsidRPr="002029AF">
          <w:rPr>
            <w:rStyle w:val="Hyperlink"/>
          </w:rPr>
          <w:t>Services</w:t>
        </w:r>
        <w:r w:rsidR="000A5329" w:rsidRPr="002029AF">
          <w:rPr>
            <w:rStyle w:val="Hyperlink"/>
          </w:rPr>
          <w:t xml:space="preserve"> </w:t>
        </w:r>
        <w:r w:rsidRPr="002029AF">
          <w:rPr>
            <w:rStyle w:val="Hyperlink"/>
          </w:rPr>
          <w:t>annual</w:t>
        </w:r>
        <w:r w:rsidR="000A5329" w:rsidRPr="002029AF">
          <w:rPr>
            <w:rStyle w:val="Hyperlink"/>
          </w:rPr>
          <w:t xml:space="preserve"> </w:t>
        </w:r>
        <w:r w:rsidRPr="002029AF">
          <w:rPr>
            <w:rStyle w:val="Hyperlink"/>
          </w:rPr>
          <w:t>reports</w:t>
        </w:r>
      </w:hyperlink>
      <w:r w:rsidR="000A5329" w:rsidRPr="002029AF">
        <w:rPr>
          <w:szCs w:val="19"/>
        </w:rPr>
        <w:t xml:space="preserve"> </w:t>
      </w:r>
      <w:r w:rsidRPr="002029AF">
        <w:rPr>
          <w:szCs w:val="19"/>
        </w:rPr>
        <w:t>&lt;</w:t>
      </w:r>
      <w:r w:rsidRPr="002029AF">
        <w:rPr>
          <w:szCs w:val="20"/>
        </w:rPr>
        <w:t>https://www.dhhs.vic.gov.au/publications/annual-reports&gt;</w:t>
      </w:r>
    </w:p>
    <w:p w14:paraId="17BACB3A" w14:textId="0A9F14D4" w:rsidR="00CF72D5" w:rsidRPr="002029AF" w:rsidRDefault="00CF72D5" w:rsidP="00B442E2">
      <w:pPr>
        <w:pStyle w:val="ARbody"/>
      </w:pPr>
    </w:p>
    <w:p w14:paraId="74131DC6" w14:textId="77777777" w:rsidR="00CF72D5" w:rsidRPr="002029AF" w:rsidRDefault="00CF72D5" w:rsidP="00B442E2">
      <w:pPr>
        <w:pStyle w:val="ARbody"/>
        <w:sectPr w:rsidR="00CF72D5" w:rsidRPr="002029AF" w:rsidSect="00F06373">
          <w:headerReference w:type="even" r:id="rId16"/>
          <w:headerReference w:type="default" r:id="rId17"/>
          <w:headerReference w:type="first" r:id="rId18"/>
          <w:footnotePr>
            <w:numFmt w:val="chicago"/>
            <w:numRestart w:val="eachPage"/>
          </w:footnotePr>
          <w:pgSz w:w="11906" w:h="16838" w:code="9"/>
          <w:pgMar w:top="1985" w:right="851" w:bottom="851" w:left="1418" w:header="510" w:footer="340" w:gutter="0"/>
          <w:cols w:space="708"/>
          <w:docGrid w:linePitch="360"/>
          <w15:footnoteColumns w:val="1"/>
        </w:sectPr>
      </w:pPr>
    </w:p>
    <w:p w14:paraId="1C6A2D7E" w14:textId="3BBA230D" w:rsidR="00CF72D5" w:rsidRPr="002029AF" w:rsidRDefault="00CF72D5" w:rsidP="00897193">
      <w:pPr>
        <w:pStyle w:val="Heading1"/>
        <w:ind w:right="1796"/>
      </w:pPr>
      <w:bookmarkStart w:id="1" w:name="_Ref21957502"/>
      <w:bookmarkStart w:id="2" w:name="_Toc54690761"/>
      <w:r w:rsidRPr="002029AF">
        <w:rPr>
          <w:color w:val="87189D" w:themeColor="accent1"/>
        </w:rPr>
        <w:lastRenderedPageBreak/>
        <w:t>Responsible</w:t>
      </w:r>
      <w:r w:rsidR="000A5329" w:rsidRPr="002029AF">
        <w:rPr>
          <w:color w:val="87189D" w:themeColor="accent1"/>
        </w:rPr>
        <w:t xml:space="preserve"> </w:t>
      </w:r>
      <w:r w:rsidRPr="002029AF">
        <w:t>body’s</w:t>
      </w:r>
      <w:r w:rsidR="000A5329" w:rsidRPr="002029AF">
        <w:t xml:space="preserve"> </w:t>
      </w:r>
      <w:r w:rsidRPr="002029AF">
        <w:t>declaration</w:t>
      </w:r>
      <w:bookmarkEnd w:id="1"/>
      <w:bookmarkEnd w:id="2"/>
    </w:p>
    <w:p w14:paraId="4407628C" w14:textId="77777777" w:rsidR="00F74122" w:rsidRPr="002029AF" w:rsidRDefault="00E23244" w:rsidP="00F74122">
      <w:pPr>
        <w:pStyle w:val="ARbody"/>
        <w:spacing w:after="0"/>
      </w:pPr>
      <w:r w:rsidRPr="002029AF">
        <w:t>Martin Foley MP</w:t>
      </w:r>
      <w:r w:rsidR="00CF72D5" w:rsidRPr="002029AF">
        <w:br/>
      </w:r>
      <w:r w:rsidRPr="002029AF">
        <w:t>Minister for Health</w:t>
      </w:r>
    </w:p>
    <w:p w14:paraId="02E90E92" w14:textId="77777777" w:rsidR="003C6F78" w:rsidRDefault="00E23244" w:rsidP="00F74122">
      <w:pPr>
        <w:pStyle w:val="ARbody"/>
        <w:spacing w:after="0"/>
      </w:pPr>
      <w:r w:rsidRPr="002029AF">
        <w:t>Minister for Ambulance Services</w:t>
      </w:r>
    </w:p>
    <w:p w14:paraId="185C8C94" w14:textId="6C25D854" w:rsidR="00A179B8" w:rsidRPr="002029AF" w:rsidRDefault="00A179B8" w:rsidP="00B27393">
      <w:pPr>
        <w:pStyle w:val="ARbody"/>
      </w:pPr>
      <w:r w:rsidRPr="002029AF">
        <w:t xml:space="preserve">Minister for the Coordination of Health and Human Services </w:t>
      </w:r>
      <w:r w:rsidRPr="002029AF">
        <w:rPr>
          <w:b/>
        </w:rPr>
        <w:t>–</w:t>
      </w:r>
      <w:r w:rsidRPr="002029AF">
        <w:t xml:space="preserve"> COVID-19</w:t>
      </w:r>
    </w:p>
    <w:p w14:paraId="6CC50D97" w14:textId="0C223BCB" w:rsidR="00CF72D5" w:rsidRPr="002029AF" w:rsidRDefault="00F74122" w:rsidP="00B27393">
      <w:pPr>
        <w:pStyle w:val="ARbody"/>
      </w:pPr>
      <w:r w:rsidRPr="002029AF">
        <w:t>The Hon. James Merlino MP</w:t>
      </w:r>
      <w:r w:rsidR="00CF72D5" w:rsidRPr="002029AF">
        <w:br/>
        <w:t>Minister</w:t>
      </w:r>
      <w:r w:rsidR="000A5329" w:rsidRPr="002029AF">
        <w:t xml:space="preserve"> </w:t>
      </w:r>
      <w:r w:rsidR="00CF72D5" w:rsidRPr="002029AF">
        <w:t>for</w:t>
      </w:r>
      <w:r w:rsidR="000A5329" w:rsidRPr="002029AF">
        <w:t xml:space="preserve"> </w:t>
      </w:r>
      <w:r w:rsidR="00CF72D5" w:rsidRPr="002029AF">
        <w:t>Mental</w:t>
      </w:r>
      <w:r w:rsidR="000A5329" w:rsidRPr="002029AF">
        <w:t xml:space="preserve"> </w:t>
      </w:r>
      <w:r w:rsidR="00CF72D5" w:rsidRPr="002029AF">
        <w:t>Health</w:t>
      </w:r>
    </w:p>
    <w:p w14:paraId="1091FF91" w14:textId="77777777" w:rsidR="00010839" w:rsidRPr="002029AF" w:rsidRDefault="00010839" w:rsidP="00010839">
      <w:pPr>
        <w:pStyle w:val="ARbody"/>
      </w:pPr>
      <w:r w:rsidRPr="002029AF">
        <w:t>Gabrielle Williams MP</w:t>
      </w:r>
      <w:r w:rsidRPr="002029AF">
        <w:br/>
        <w:t>Minister for the Prevention of Family Violence</w:t>
      </w:r>
    </w:p>
    <w:p w14:paraId="52E0DE18" w14:textId="2A830BC9" w:rsidR="00CF72D5" w:rsidRPr="002029AF" w:rsidRDefault="00CF72D5" w:rsidP="00B27393">
      <w:pPr>
        <w:pStyle w:val="ARbody"/>
      </w:pPr>
      <w:r w:rsidRPr="002029AF">
        <w:t>The</w:t>
      </w:r>
      <w:r w:rsidR="000A5329" w:rsidRPr="002029AF">
        <w:t xml:space="preserve"> </w:t>
      </w:r>
      <w:r w:rsidRPr="002029AF">
        <w:t>Hon.</w:t>
      </w:r>
      <w:r w:rsidR="000A5329" w:rsidRPr="002029AF">
        <w:t xml:space="preserve"> </w:t>
      </w:r>
      <w:r w:rsidRPr="002029AF">
        <w:t>Luke</w:t>
      </w:r>
      <w:r w:rsidR="000A5329" w:rsidRPr="002029AF">
        <w:t xml:space="preserve"> </w:t>
      </w:r>
      <w:r w:rsidRPr="002029AF">
        <w:t>Donnellan</w:t>
      </w:r>
      <w:r w:rsidR="000A5329" w:rsidRPr="002029AF">
        <w:t xml:space="preserve"> </w:t>
      </w:r>
      <w:r w:rsidRPr="002029AF">
        <w:t>MP</w:t>
      </w:r>
      <w:r w:rsidR="000A5329" w:rsidRPr="002029AF">
        <w:t xml:space="preserve"> </w:t>
      </w:r>
      <w:r w:rsidRPr="002029AF">
        <w:br/>
        <w:t>Minister</w:t>
      </w:r>
      <w:r w:rsidR="000A5329" w:rsidRPr="002029AF">
        <w:t xml:space="preserve"> </w:t>
      </w:r>
      <w:r w:rsidRPr="002029AF">
        <w:t>for</w:t>
      </w:r>
      <w:r w:rsidR="000A5329" w:rsidRPr="002029AF">
        <w:t xml:space="preserve"> </w:t>
      </w:r>
      <w:r w:rsidRPr="002029AF">
        <w:t>Child</w:t>
      </w:r>
      <w:r w:rsidR="000A5329" w:rsidRPr="002029AF">
        <w:t xml:space="preserve"> </w:t>
      </w:r>
      <w:r w:rsidRPr="002029AF">
        <w:t>Protection</w:t>
      </w:r>
      <w:r w:rsidRPr="002029AF">
        <w:br/>
        <w:t>Minister</w:t>
      </w:r>
      <w:r w:rsidR="000A5329" w:rsidRPr="002029AF">
        <w:t xml:space="preserve"> </w:t>
      </w:r>
      <w:r w:rsidRPr="002029AF">
        <w:t>for</w:t>
      </w:r>
      <w:r w:rsidR="000A5329" w:rsidRPr="002029AF">
        <w:t xml:space="preserve"> </w:t>
      </w:r>
      <w:r w:rsidRPr="002029AF">
        <w:t>Disability,</w:t>
      </w:r>
      <w:r w:rsidR="000A5329" w:rsidRPr="002029AF">
        <w:t xml:space="preserve"> </w:t>
      </w:r>
      <w:r w:rsidRPr="002029AF">
        <w:t>Ageing</w:t>
      </w:r>
      <w:r w:rsidR="000A5329" w:rsidRPr="002029AF">
        <w:t xml:space="preserve"> </w:t>
      </w:r>
      <w:r w:rsidRPr="002029AF">
        <w:t>and</w:t>
      </w:r>
      <w:r w:rsidR="000A5329" w:rsidRPr="002029AF">
        <w:t xml:space="preserve"> </w:t>
      </w:r>
      <w:r w:rsidRPr="002029AF">
        <w:t>Carers</w:t>
      </w:r>
    </w:p>
    <w:p w14:paraId="20FD8922" w14:textId="77777777" w:rsidR="00010839" w:rsidRPr="002029AF" w:rsidRDefault="00010839" w:rsidP="00010839">
      <w:pPr>
        <w:pStyle w:val="ARbody"/>
      </w:pPr>
      <w:r w:rsidRPr="002029AF">
        <w:t>The Hon. Richard Wynne MP</w:t>
      </w:r>
      <w:r w:rsidRPr="002029AF">
        <w:br/>
        <w:t>Minister for Housing</w:t>
      </w:r>
    </w:p>
    <w:p w14:paraId="0E2E3166" w14:textId="4228221E" w:rsidR="00CF72D5" w:rsidRPr="002029AF" w:rsidRDefault="00CF72D5" w:rsidP="00020FE5">
      <w:pPr>
        <w:pStyle w:val="ARbody"/>
        <w:spacing w:before="480"/>
      </w:pPr>
      <w:r w:rsidRPr="002029AF">
        <w:t>Dear</w:t>
      </w:r>
      <w:r w:rsidR="000A5329" w:rsidRPr="002029AF">
        <w:t xml:space="preserve"> </w:t>
      </w:r>
      <w:r w:rsidRPr="002029AF">
        <w:t>ministers</w:t>
      </w:r>
    </w:p>
    <w:p w14:paraId="1D29D3B9" w14:textId="6CCFCD1A" w:rsidR="00CF72D5" w:rsidRDefault="00CF72D5" w:rsidP="00B27393">
      <w:pPr>
        <w:pStyle w:val="ARbody"/>
      </w:pPr>
      <w:r w:rsidRPr="002029AF">
        <w:t>In</w:t>
      </w:r>
      <w:r w:rsidR="000A5329" w:rsidRPr="002029AF">
        <w:t xml:space="preserve"> </w:t>
      </w:r>
      <w:r w:rsidRPr="002029AF">
        <w:t>accordance</w:t>
      </w:r>
      <w:r w:rsidR="000A5329" w:rsidRPr="002029AF">
        <w:t xml:space="preserve"> </w:t>
      </w:r>
      <w:r w:rsidRPr="002029AF">
        <w:t>with</w:t>
      </w:r>
      <w:r w:rsidR="000A5329" w:rsidRPr="002029AF">
        <w:t xml:space="preserve"> </w:t>
      </w:r>
      <w:r w:rsidRPr="002029AF">
        <w:t>the</w:t>
      </w:r>
      <w:r w:rsidR="000A5329" w:rsidRPr="002029AF">
        <w:t xml:space="preserve"> </w:t>
      </w:r>
      <w:r w:rsidRPr="002029AF">
        <w:rPr>
          <w:i/>
          <w:iCs/>
        </w:rPr>
        <w:t>Financial</w:t>
      </w:r>
      <w:r w:rsidR="000A5329" w:rsidRPr="002029AF">
        <w:rPr>
          <w:i/>
          <w:iCs/>
        </w:rPr>
        <w:t xml:space="preserve"> </w:t>
      </w:r>
      <w:r w:rsidRPr="002029AF">
        <w:rPr>
          <w:i/>
          <w:iCs/>
        </w:rPr>
        <w:t>Management</w:t>
      </w:r>
      <w:r w:rsidR="000A5329" w:rsidRPr="002029AF">
        <w:rPr>
          <w:i/>
          <w:iCs/>
        </w:rPr>
        <w:t xml:space="preserve"> </w:t>
      </w:r>
      <w:r w:rsidRPr="002029AF">
        <w:rPr>
          <w:i/>
          <w:iCs/>
        </w:rPr>
        <w:t>Act</w:t>
      </w:r>
      <w:r w:rsidR="000A5329" w:rsidRPr="002029AF">
        <w:rPr>
          <w:i/>
          <w:iCs/>
        </w:rPr>
        <w:t xml:space="preserve"> </w:t>
      </w:r>
      <w:r w:rsidRPr="002029AF">
        <w:rPr>
          <w:i/>
          <w:iCs/>
        </w:rPr>
        <w:t>1994</w:t>
      </w:r>
      <w:r w:rsidRPr="002029AF">
        <w:t>,</w:t>
      </w:r>
      <w:r w:rsidR="000A5329" w:rsidRPr="002029AF">
        <w:t xml:space="preserve"> </w:t>
      </w:r>
      <w:r w:rsidRPr="002029AF">
        <w:t>I</w:t>
      </w:r>
      <w:r w:rsidR="000A5329" w:rsidRPr="002029AF">
        <w:t xml:space="preserve"> </w:t>
      </w:r>
      <w:r w:rsidRPr="002029AF">
        <w:t>am</w:t>
      </w:r>
      <w:r w:rsidR="000A5329" w:rsidRPr="002029AF">
        <w:t xml:space="preserve"> </w:t>
      </w:r>
      <w:r w:rsidRPr="002029AF">
        <w:t>pleased</w:t>
      </w:r>
      <w:r w:rsidR="000A5329" w:rsidRPr="002029AF">
        <w:t xml:space="preserve"> </w:t>
      </w:r>
      <w:r w:rsidRPr="002029AF">
        <w:t>to</w:t>
      </w:r>
      <w:r w:rsidR="000A5329" w:rsidRPr="002029AF">
        <w:t xml:space="preserve"> </w:t>
      </w:r>
      <w:r w:rsidRPr="002029AF">
        <w:t>present</w:t>
      </w:r>
      <w:r w:rsidR="000A5329" w:rsidRPr="002029AF">
        <w:t xml:space="preserve"> </w:t>
      </w:r>
      <w:r w:rsidRPr="002029AF">
        <w:t>the</w:t>
      </w:r>
      <w:r w:rsidR="000A5329" w:rsidRPr="002029AF">
        <w:t xml:space="preserve"> </w:t>
      </w:r>
      <w:r w:rsidRPr="002029AF">
        <w:br/>
        <w:t>Department</w:t>
      </w:r>
      <w:r w:rsidR="000A5329" w:rsidRPr="002029AF">
        <w:t xml:space="preserve"> </w:t>
      </w:r>
      <w:r w:rsidRPr="002029AF">
        <w:t>of</w:t>
      </w:r>
      <w:r w:rsidR="000A5329" w:rsidRPr="002029AF">
        <w:t xml:space="preserve"> </w:t>
      </w:r>
      <w:r w:rsidRPr="002029AF">
        <w:t>Health</w:t>
      </w:r>
      <w:r w:rsidR="000A5329" w:rsidRPr="002029AF">
        <w:t xml:space="preserve"> </w:t>
      </w:r>
      <w:r w:rsidRPr="002029AF">
        <w:t>and</w:t>
      </w:r>
      <w:r w:rsidR="000A5329" w:rsidRPr="002029AF">
        <w:t xml:space="preserve"> </w:t>
      </w:r>
      <w:r w:rsidRPr="002029AF">
        <w:t>Human</w:t>
      </w:r>
      <w:r w:rsidR="000A5329" w:rsidRPr="002029AF">
        <w:t xml:space="preserve"> </w:t>
      </w:r>
      <w:r w:rsidRPr="002029AF">
        <w:t>Services</w:t>
      </w:r>
      <w:r w:rsidR="000A5329" w:rsidRPr="002029AF">
        <w:t xml:space="preserve"> </w:t>
      </w:r>
      <w:r w:rsidRPr="002029AF">
        <w:t>Annual</w:t>
      </w:r>
      <w:r w:rsidR="000A5329" w:rsidRPr="002029AF">
        <w:t xml:space="preserve"> </w:t>
      </w:r>
      <w:r w:rsidRPr="002029AF">
        <w:t>Report</w:t>
      </w:r>
      <w:r w:rsidR="000A5329" w:rsidRPr="002029AF">
        <w:t xml:space="preserve"> </w:t>
      </w:r>
      <w:r w:rsidRPr="002029AF">
        <w:t>for</w:t>
      </w:r>
      <w:r w:rsidR="000A5329" w:rsidRPr="002029AF">
        <w:t xml:space="preserve"> </w:t>
      </w:r>
      <w:r w:rsidRPr="002029AF">
        <w:t>the</w:t>
      </w:r>
      <w:r w:rsidR="000A5329" w:rsidRPr="002029AF">
        <w:t xml:space="preserve"> </w:t>
      </w:r>
      <w:r w:rsidRPr="002029AF">
        <w:t>year</w:t>
      </w:r>
      <w:r w:rsidR="000A5329" w:rsidRPr="002029AF">
        <w:t xml:space="preserve"> </w:t>
      </w:r>
      <w:r w:rsidRPr="002029AF">
        <w:t>ending</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p>
    <w:p w14:paraId="2F4D71C9" w14:textId="37E1CF05" w:rsidR="00CF72D5" w:rsidRPr="00AA2F8F" w:rsidRDefault="00AA2F8F" w:rsidP="00020FE5">
      <w:pPr>
        <w:pStyle w:val="ARbody"/>
        <w:spacing w:before="400"/>
      </w:pPr>
      <w:r w:rsidRPr="00AA2F8F">
        <w:rPr>
          <w:noProof/>
          <w:lang w:eastAsia="en-AU" w:bidi="as-IN"/>
        </w:rPr>
        <w:drawing>
          <wp:inline distT="0" distB="0" distL="0" distR="0" wp14:anchorId="6BE912ED" wp14:editId="464EC434">
            <wp:extent cx="1967478" cy="972000"/>
            <wp:effectExtent l="0" t="0" r="0" b="0"/>
            <wp:docPr id="3" name="Picture 3" descr="Kym Peake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Kym Peake signatur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67478" cy="972000"/>
                    </a:xfrm>
                    <a:prstGeom prst="rect">
                      <a:avLst/>
                    </a:prstGeom>
                  </pic:spPr>
                </pic:pic>
              </a:graphicData>
            </a:graphic>
          </wp:inline>
        </w:drawing>
      </w:r>
    </w:p>
    <w:p w14:paraId="05CEF331" w14:textId="093C9136" w:rsidR="00CF72D5" w:rsidRPr="002029AF" w:rsidRDefault="00CF72D5" w:rsidP="00B27393">
      <w:pPr>
        <w:pStyle w:val="ARbody"/>
      </w:pPr>
      <w:r w:rsidRPr="00AA2F8F">
        <w:t>Kym</w:t>
      </w:r>
      <w:r w:rsidR="000A5329" w:rsidRPr="00AA2F8F">
        <w:t xml:space="preserve"> </w:t>
      </w:r>
      <w:r w:rsidRPr="00AA2F8F">
        <w:t>Peake</w:t>
      </w:r>
      <w:r w:rsidR="00A518E2" w:rsidRPr="00AA2F8F">
        <w:br/>
      </w:r>
      <w:r w:rsidRPr="00AA2F8F">
        <w:t>Secretary</w:t>
      </w:r>
      <w:r w:rsidR="00A518E2" w:rsidRPr="002029AF">
        <w:br/>
      </w:r>
      <w:r w:rsidRPr="002029AF">
        <w:t>Department</w:t>
      </w:r>
      <w:r w:rsidR="000A5329" w:rsidRPr="002029AF">
        <w:t xml:space="preserve"> </w:t>
      </w:r>
      <w:r w:rsidRPr="002029AF">
        <w:t>of</w:t>
      </w:r>
      <w:r w:rsidR="000A5329" w:rsidRPr="002029AF">
        <w:t xml:space="preserve"> </w:t>
      </w:r>
      <w:r w:rsidRPr="002029AF">
        <w:t>Health</w:t>
      </w:r>
      <w:r w:rsidR="000A5329" w:rsidRPr="002029AF">
        <w:t xml:space="preserve"> </w:t>
      </w:r>
      <w:r w:rsidRPr="002029AF">
        <w:t>and</w:t>
      </w:r>
      <w:r w:rsidR="000A5329" w:rsidRPr="002029AF">
        <w:t xml:space="preserve"> </w:t>
      </w:r>
      <w:r w:rsidRPr="002029AF">
        <w:t>Human</w:t>
      </w:r>
      <w:r w:rsidR="000A5329" w:rsidRPr="002029AF">
        <w:t xml:space="preserve"> </w:t>
      </w:r>
      <w:r w:rsidRPr="002029AF">
        <w:t>Services</w:t>
      </w:r>
    </w:p>
    <w:p w14:paraId="6F544BAE" w14:textId="4F17E440" w:rsidR="00CF72D5" w:rsidRPr="002029AF" w:rsidRDefault="00AA2F8F" w:rsidP="00B442E2">
      <w:pPr>
        <w:pStyle w:val="ARbody"/>
      </w:pPr>
      <w:r>
        <w:t>13</w:t>
      </w:r>
      <w:r w:rsidR="00982B7B">
        <w:t>/10/2020</w:t>
      </w:r>
    </w:p>
    <w:p w14:paraId="0FE84AD9" w14:textId="77777777" w:rsidR="00CF72D5" w:rsidRPr="002029AF" w:rsidRDefault="00CF72D5" w:rsidP="00B442E2">
      <w:pPr>
        <w:pStyle w:val="ARbody"/>
        <w:sectPr w:rsidR="00CF72D5" w:rsidRPr="002029AF" w:rsidSect="003E0147">
          <w:headerReference w:type="even" r:id="rId20"/>
          <w:headerReference w:type="default" r:id="rId21"/>
          <w:footerReference w:type="even" r:id="rId22"/>
          <w:footerReference w:type="default" r:id="rId23"/>
          <w:headerReference w:type="first" r:id="rId24"/>
          <w:footerReference w:type="first" r:id="rId25"/>
          <w:footnotePr>
            <w:numFmt w:val="chicago"/>
            <w:numRestart w:val="eachPage"/>
          </w:footnotePr>
          <w:pgSz w:w="11906" w:h="16838" w:code="9"/>
          <w:pgMar w:top="1985" w:right="851" w:bottom="851" w:left="1418" w:header="510" w:footer="340" w:gutter="0"/>
          <w:cols w:space="708"/>
          <w:docGrid w:linePitch="360"/>
          <w15:footnoteColumns w:val="1"/>
        </w:sectPr>
      </w:pPr>
    </w:p>
    <w:p w14:paraId="5D8C2B64" w14:textId="77777777" w:rsidR="00CF72D5" w:rsidRPr="002029AF" w:rsidRDefault="00CF72D5" w:rsidP="00897193">
      <w:pPr>
        <w:pStyle w:val="ARTOCheading"/>
        <w:rPr>
          <w:lang w:val="en-AU"/>
        </w:rPr>
      </w:pPr>
      <w:r w:rsidRPr="002029AF">
        <w:rPr>
          <w:lang w:val="en-AU"/>
        </w:rPr>
        <w:lastRenderedPageBreak/>
        <w:t>Contents</w:t>
      </w:r>
    </w:p>
    <w:p w14:paraId="0DAD6CD6" w14:textId="6A54CAE2" w:rsidR="00B3569E" w:rsidRDefault="00CF72D5">
      <w:pPr>
        <w:pStyle w:val="TOC1"/>
        <w:rPr>
          <w:rFonts w:asciiTheme="minorHAnsi" w:hAnsiTheme="minorHAnsi"/>
          <w:sz w:val="22"/>
          <w:szCs w:val="22"/>
          <w:lang w:eastAsia="en-AU"/>
        </w:rPr>
      </w:pPr>
      <w:r w:rsidRPr="002029AF">
        <w:rPr>
          <w:noProof w:val="0"/>
          <w:color w:val="53565A"/>
          <w:sz w:val="22"/>
        </w:rPr>
        <w:fldChar w:fldCharType="begin"/>
      </w:r>
      <w:r w:rsidRPr="002029AF">
        <w:rPr>
          <w:noProof w:val="0"/>
        </w:rPr>
        <w:instrText xml:space="preserve"> TOC \o "1-1" \h \z \u </w:instrText>
      </w:r>
      <w:r w:rsidRPr="002029AF">
        <w:rPr>
          <w:noProof w:val="0"/>
          <w:color w:val="53565A"/>
          <w:sz w:val="22"/>
        </w:rPr>
        <w:fldChar w:fldCharType="separate"/>
      </w:r>
      <w:hyperlink w:anchor="_Toc54690761" w:history="1">
        <w:r w:rsidR="00B3569E" w:rsidRPr="00221B14">
          <w:rPr>
            <w:rStyle w:val="Hyperlink"/>
          </w:rPr>
          <w:t>Responsible body’s declaration</w:t>
        </w:r>
        <w:r w:rsidR="00B3569E">
          <w:rPr>
            <w:webHidden/>
          </w:rPr>
          <w:tab/>
        </w:r>
        <w:r w:rsidR="00B3569E">
          <w:rPr>
            <w:webHidden/>
          </w:rPr>
          <w:fldChar w:fldCharType="begin"/>
        </w:r>
        <w:r w:rsidR="00B3569E">
          <w:rPr>
            <w:webHidden/>
          </w:rPr>
          <w:instrText xml:space="preserve"> PAGEREF _Toc54690761 \h </w:instrText>
        </w:r>
        <w:r w:rsidR="00B3569E">
          <w:rPr>
            <w:webHidden/>
          </w:rPr>
        </w:r>
        <w:r w:rsidR="00B3569E">
          <w:rPr>
            <w:webHidden/>
          </w:rPr>
          <w:fldChar w:fldCharType="separate"/>
        </w:r>
        <w:r w:rsidR="00F3275D">
          <w:rPr>
            <w:webHidden/>
          </w:rPr>
          <w:t>3</w:t>
        </w:r>
        <w:r w:rsidR="00B3569E">
          <w:rPr>
            <w:webHidden/>
          </w:rPr>
          <w:fldChar w:fldCharType="end"/>
        </w:r>
      </w:hyperlink>
    </w:p>
    <w:p w14:paraId="51350171" w14:textId="36EDF9E1" w:rsidR="00B3569E" w:rsidRDefault="00F3275D">
      <w:pPr>
        <w:pStyle w:val="TOC1"/>
        <w:rPr>
          <w:rFonts w:asciiTheme="minorHAnsi" w:hAnsiTheme="minorHAnsi"/>
          <w:sz w:val="22"/>
          <w:szCs w:val="22"/>
          <w:lang w:eastAsia="en-AU"/>
        </w:rPr>
      </w:pPr>
      <w:hyperlink w:anchor="_Toc54690762" w:history="1">
        <w:r w:rsidR="00B3569E" w:rsidRPr="00221B14">
          <w:rPr>
            <w:rStyle w:val="Hyperlink"/>
          </w:rPr>
          <w:t>Secretary’s foreword</w:t>
        </w:r>
        <w:r w:rsidR="00B3569E">
          <w:rPr>
            <w:webHidden/>
          </w:rPr>
          <w:tab/>
        </w:r>
        <w:r w:rsidR="00B3569E">
          <w:rPr>
            <w:webHidden/>
          </w:rPr>
          <w:fldChar w:fldCharType="begin"/>
        </w:r>
        <w:r w:rsidR="00B3569E">
          <w:rPr>
            <w:webHidden/>
          </w:rPr>
          <w:instrText xml:space="preserve"> PAGEREF _Toc54690762 \h </w:instrText>
        </w:r>
        <w:r w:rsidR="00B3569E">
          <w:rPr>
            <w:webHidden/>
          </w:rPr>
        </w:r>
        <w:r w:rsidR="00B3569E">
          <w:rPr>
            <w:webHidden/>
          </w:rPr>
          <w:fldChar w:fldCharType="separate"/>
        </w:r>
        <w:r>
          <w:rPr>
            <w:webHidden/>
          </w:rPr>
          <w:t>5</w:t>
        </w:r>
        <w:r w:rsidR="00B3569E">
          <w:rPr>
            <w:webHidden/>
          </w:rPr>
          <w:fldChar w:fldCharType="end"/>
        </w:r>
      </w:hyperlink>
    </w:p>
    <w:p w14:paraId="798532A0" w14:textId="79C61586" w:rsidR="00B3569E" w:rsidRDefault="00F3275D">
      <w:pPr>
        <w:pStyle w:val="TOC1"/>
        <w:rPr>
          <w:rFonts w:asciiTheme="minorHAnsi" w:hAnsiTheme="minorHAnsi"/>
          <w:sz w:val="22"/>
          <w:szCs w:val="22"/>
          <w:lang w:eastAsia="en-AU"/>
        </w:rPr>
      </w:pPr>
      <w:hyperlink w:anchor="_Toc54690763" w:history="1">
        <w:r w:rsidR="00B3569E" w:rsidRPr="00221B14">
          <w:rPr>
            <w:rStyle w:val="Hyperlink"/>
          </w:rPr>
          <w:t>Introduction</w:t>
        </w:r>
        <w:r w:rsidR="00B3569E">
          <w:rPr>
            <w:webHidden/>
          </w:rPr>
          <w:tab/>
        </w:r>
        <w:r w:rsidR="00B3569E">
          <w:rPr>
            <w:webHidden/>
          </w:rPr>
          <w:fldChar w:fldCharType="begin"/>
        </w:r>
        <w:r w:rsidR="00B3569E">
          <w:rPr>
            <w:webHidden/>
          </w:rPr>
          <w:instrText xml:space="preserve"> PAGEREF _Toc54690763 \h </w:instrText>
        </w:r>
        <w:r w:rsidR="00B3569E">
          <w:rPr>
            <w:webHidden/>
          </w:rPr>
        </w:r>
        <w:r w:rsidR="00B3569E">
          <w:rPr>
            <w:webHidden/>
          </w:rPr>
          <w:fldChar w:fldCharType="separate"/>
        </w:r>
        <w:r>
          <w:rPr>
            <w:webHidden/>
          </w:rPr>
          <w:t>7</w:t>
        </w:r>
        <w:r w:rsidR="00B3569E">
          <w:rPr>
            <w:webHidden/>
          </w:rPr>
          <w:fldChar w:fldCharType="end"/>
        </w:r>
      </w:hyperlink>
    </w:p>
    <w:p w14:paraId="05F41785" w14:textId="65DBDDB5" w:rsidR="00B3569E" w:rsidRDefault="00F3275D">
      <w:pPr>
        <w:pStyle w:val="TOC1"/>
        <w:rPr>
          <w:rFonts w:asciiTheme="minorHAnsi" w:hAnsiTheme="minorHAnsi"/>
          <w:sz w:val="22"/>
          <w:szCs w:val="22"/>
          <w:lang w:eastAsia="en-AU"/>
        </w:rPr>
      </w:pPr>
      <w:hyperlink w:anchor="_Toc54690764" w:history="1">
        <w:r w:rsidR="00B3569E" w:rsidRPr="00221B14">
          <w:rPr>
            <w:rStyle w:val="Hyperlink"/>
          </w:rPr>
          <w:t>The department’s ministers</w:t>
        </w:r>
        <w:r w:rsidR="00B3569E">
          <w:rPr>
            <w:webHidden/>
          </w:rPr>
          <w:tab/>
        </w:r>
        <w:r w:rsidR="00B3569E">
          <w:rPr>
            <w:webHidden/>
          </w:rPr>
          <w:fldChar w:fldCharType="begin"/>
        </w:r>
        <w:r w:rsidR="00B3569E">
          <w:rPr>
            <w:webHidden/>
          </w:rPr>
          <w:instrText xml:space="preserve"> PAGEREF _Toc54690764 \h </w:instrText>
        </w:r>
        <w:r w:rsidR="00B3569E">
          <w:rPr>
            <w:webHidden/>
          </w:rPr>
        </w:r>
        <w:r w:rsidR="00B3569E">
          <w:rPr>
            <w:webHidden/>
          </w:rPr>
          <w:fldChar w:fldCharType="separate"/>
        </w:r>
        <w:r>
          <w:rPr>
            <w:webHidden/>
          </w:rPr>
          <w:t>19</w:t>
        </w:r>
        <w:r w:rsidR="00B3569E">
          <w:rPr>
            <w:webHidden/>
          </w:rPr>
          <w:fldChar w:fldCharType="end"/>
        </w:r>
      </w:hyperlink>
    </w:p>
    <w:p w14:paraId="0036F24E" w14:textId="17F820EB" w:rsidR="00B3569E" w:rsidRDefault="00F3275D">
      <w:pPr>
        <w:pStyle w:val="TOC1"/>
        <w:rPr>
          <w:rFonts w:asciiTheme="minorHAnsi" w:hAnsiTheme="minorHAnsi"/>
          <w:sz w:val="22"/>
          <w:szCs w:val="22"/>
          <w:lang w:eastAsia="en-AU"/>
        </w:rPr>
      </w:pPr>
      <w:hyperlink w:anchor="_Toc54690765" w:history="1">
        <w:r w:rsidR="00B3569E" w:rsidRPr="00221B14">
          <w:rPr>
            <w:rStyle w:val="Hyperlink"/>
          </w:rPr>
          <w:t>Year in review</w:t>
        </w:r>
        <w:r w:rsidR="00B3569E">
          <w:rPr>
            <w:webHidden/>
          </w:rPr>
          <w:tab/>
        </w:r>
        <w:r w:rsidR="00B3569E">
          <w:rPr>
            <w:webHidden/>
          </w:rPr>
          <w:fldChar w:fldCharType="begin"/>
        </w:r>
        <w:r w:rsidR="00B3569E">
          <w:rPr>
            <w:webHidden/>
          </w:rPr>
          <w:instrText xml:space="preserve"> PAGEREF _Toc54690765 \h </w:instrText>
        </w:r>
        <w:r w:rsidR="00B3569E">
          <w:rPr>
            <w:webHidden/>
          </w:rPr>
        </w:r>
        <w:r w:rsidR="00B3569E">
          <w:rPr>
            <w:webHidden/>
          </w:rPr>
          <w:fldChar w:fldCharType="separate"/>
        </w:r>
        <w:r>
          <w:rPr>
            <w:webHidden/>
          </w:rPr>
          <w:t>21</w:t>
        </w:r>
        <w:r w:rsidR="00B3569E">
          <w:rPr>
            <w:webHidden/>
          </w:rPr>
          <w:fldChar w:fldCharType="end"/>
        </w:r>
      </w:hyperlink>
    </w:p>
    <w:p w14:paraId="56FA5B86" w14:textId="7A15D4C0" w:rsidR="00B3569E" w:rsidRDefault="00F3275D">
      <w:pPr>
        <w:pStyle w:val="TOC1"/>
        <w:rPr>
          <w:rFonts w:asciiTheme="minorHAnsi" w:hAnsiTheme="minorHAnsi"/>
          <w:sz w:val="22"/>
          <w:szCs w:val="22"/>
          <w:lang w:eastAsia="en-AU"/>
        </w:rPr>
      </w:pPr>
      <w:hyperlink w:anchor="_Toc54690766" w:history="1">
        <w:r w:rsidR="00B3569E" w:rsidRPr="00221B14">
          <w:rPr>
            <w:rStyle w:val="Hyperlink"/>
          </w:rPr>
          <w:t>Performance reporting</w:t>
        </w:r>
        <w:r w:rsidR="00B3569E">
          <w:rPr>
            <w:webHidden/>
          </w:rPr>
          <w:tab/>
        </w:r>
        <w:r w:rsidR="00B3569E">
          <w:rPr>
            <w:webHidden/>
          </w:rPr>
          <w:fldChar w:fldCharType="begin"/>
        </w:r>
        <w:r w:rsidR="00B3569E">
          <w:rPr>
            <w:webHidden/>
          </w:rPr>
          <w:instrText xml:space="preserve"> PAGEREF _Toc54690766 \h </w:instrText>
        </w:r>
        <w:r w:rsidR="00B3569E">
          <w:rPr>
            <w:webHidden/>
          </w:rPr>
        </w:r>
        <w:r w:rsidR="00B3569E">
          <w:rPr>
            <w:webHidden/>
          </w:rPr>
          <w:fldChar w:fldCharType="separate"/>
        </w:r>
        <w:r>
          <w:rPr>
            <w:webHidden/>
          </w:rPr>
          <w:t>81</w:t>
        </w:r>
        <w:r w:rsidR="00B3569E">
          <w:rPr>
            <w:webHidden/>
          </w:rPr>
          <w:fldChar w:fldCharType="end"/>
        </w:r>
      </w:hyperlink>
    </w:p>
    <w:p w14:paraId="5D95FE91" w14:textId="50888FDE" w:rsidR="00B3569E" w:rsidRDefault="00F3275D">
      <w:pPr>
        <w:pStyle w:val="TOC1"/>
        <w:rPr>
          <w:rFonts w:asciiTheme="minorHAnsi" w:hAnsiTheme="minorHAnsi"/>
          <w:sz w:val="22"/>
          <w:szCs w:val="22"/>
          <w:lang w:eastAsia="en-AU"/>
        </w:rPr>
      </w:pPr>
      <w:hyperlink w:anchor="_Toc54690767" w:history="1">
        <w:r w:rsidR="00B3569E" w:rsidRPr="00221B14">
          <w:rPr>
            <w:rStyle w:val="Hyperlink"/>
          </w:rPr>
          <w:t>Finance and budgetary performance</w:t>
        </w:r>
        <w:r w:rsidR="00B3569E">
          <w:rPr>
            <w:webHidden/>
          </w:rPr>
          <w:tab/>
        </w:r>
        <w:r w:rsidR="00B3569E">
          <w:rPr>
            <w:webHidden/>
          </w:rPr>
          <w:fldChar w:fldCharType="begin"/>
        </w:r>
        <w:r w:rsidR="00B3569E">
          <w:rPr>
            <w:webHidden/>
          </w:rPr>
          <w:instrText xml:space="preserve"> PAGEREF _Toc54690767 \h </w:instrText>
        </w:r>
        <w:r w:rsidR="00B3569E">
          <w:rPr>
            <w:webHidden/>
          </w:rPr>
        </w:r>
        <w:r w:rsidR="00B3569E">
          <w:rPr>
            <w:webHidden/>
          </w:rPr>
          <w:fldChar w:fldCharType="separate"/>
        </w:r>
        <w:r>
          <w:rPr>
            <w:webHidden/>
          </w:rPr>
          <w:t>107</w:t>
        </w:r>
        <w:r w:rsidR="00B3569E">
          <w:rPr>
            <w:webHidden/>
          </w:rPr>
          <w:fldChar w:fldCharType="end"/>
        </w:r>
      </w:hyperlink>
    </w:p>
    <w:p w14:paraId="5E53F590" w14:textId="130B43F8" w:rsidR="00B3569E" w:rsidRDefault="00F3275D">
      <w:pPr>
        <w:pStyle w:val="TOC1"/>
        <w:rPr>
          <w:rFonts w:asciiTheme="minorHAnsi" w:hAnsiTheme="minorHAnsi"/>
          <w:sz w:val="22"/>
          <w:szCs w:val="22"/>
          <w:lang w:eastAsia="en-AU"/>
        </w:rPr>
      </w:pPr>
      <w:hyperlink w:anchor="_Toc54690768" w:history="1">
        <w:r w:rsidR="00B3569E" w:rsidRPr="00221B14">
          <w:rPr>
            <w:rStyle w:val="Hyperlink"/>
          </w:rPr>
          <w:t>Governance</w:t>
        </w:r>
        <w:r w:rsidR="00B3569E">
          <w:rPr>
            <w:webHidden/>
          </w:rPr>
          <w:tab/>
        </w:r>
        <w:r w:rsidR="00B3569E">
          <w:rPr>
            <w:webHidden/>
          </w:rPr>
          <w:fldChar w:fldCharType="begin"/>
        </w:r>
        <w:r w:rsidR="00B3569E">
          <w:rPr>
            <w:webHidden/>
          </w:rPr>
          <w:instrText xml:space="preserve"> PAGEREF _Toc54690768 \h </w:instrText>
        </w:r>
        <w:r w:rsidR="00B3569E">
          <w:rPr>
            <w:webHidden/>
          </w:rPr>
        </w:r>
        <w:r w:rsidR="00B3569E">
          <w:rPr>
            <w:webHidden/>
          </w:rPr>
          <w:fldChar w:fldCharType="separate"/>
        </w:r>
        <w:r>
          <w:rPr>
            <w:webHidden/>
          </w:rPr>
          <w:t>109</w:t>
        </w:r>
        <w:r w:rsidR="00B3569E">
          <w:rPr>
            <w:webHidden/>
          </w:rPr>
          <w:fldChar w:fldCharType="end"/>
        </w:r>
      </w:hyperlink>
    </w:p>
    <w:p w14:paraId="56007CF0" w14:textId="27EBCDB7" w:rsidR="00B3569E" w:rsidRDefault="00F3275D">
      <w:pPr>
        <w:pStyle w:val="TOC1"/>
        <w:rPr>
          <w:rFonts w:asciiTheme="minorHAnsi" w:hAnsiTheme="minorHAnsi"/>
          <w:sz w:val="22"/>
          <w:szCs w:val="22"/>
          <w:lang w:eastAsia="en-AU"/>
        </w:rPr>
      </w:pPr>
      <w:hyperlink w:anchor="_Toc54690769" w:history="1">
        <w:r w:rsidR="00B3569E" w:rsidRPr="00221B14">
          <w:rPr>
            <w:rStyle w:val="Hyperlink"/>
          </w:rPr>
          <w:t>People</w:t>
        </w:r>
        <w:r w:rsidR="00B3569E">
          <w:rPr>
            <w:webHidden/>
          </w:rPr>
          <w:tab/>
        </w:r>
        <w:r w:rsidR="00B3569E">
          <w:rPr>
            <w:webHidden/>
          </w:rPr>
          <w:fldChar w:fldCharType="begin"/>
        </w:r>
        <w:r w:rsidR="00B3569E">
          <w:rPr>
            <w:webHidden/>
          </w:rPr>
          <w:instrText xml:space="preserve"> PAGEREF _Toc54690769 \h </w:instrText>
        </w:r>
        <w:r w:rsidR="00B3569E">
          <w:rPr>
            <w:webHidden/>
          </w:rPr>
        </w:r>
        <w:r w:rsidR="00B3569E">
          <w:rPr>
            <w:webHidden/>
          </w:rPr>
          <w:fldChar w:fldCharType="separate"/>
        </w:r>
        <w:r>
          <w:rPr>
            <w:webHidden/>
          </w:rPr>
          <w:t>116</w:t>
        </w:r>
        <w:r w:rsidR="00B3569E">
          <w:rPr>
            <w:webHidden/>
          </w:rPr>
          <w:fldChar w:fldCharType="end"/>
        </w:r>
      </w:hyperlink>
    </w:p>
    <w:p w14:paraId="6BC5E50B" w14:textId="543CA2BA" w:rsidR="00B3569E" w:rsidRDefault="00F3275D">
      <w:pPr>
        <w:pStyle w:val="TOC1"/>
        <w:rPr>
          <w:rFonts w:asciiTheme="minorHAnsi" w:hAnsiTheme="minorHAnsi"/>
          <w:sz w:val="22"/>
          <w:szCs w:val="22"/>
          <w:lang w:eastAsia="en-AU"/>
        </w:rPr>
      </w:pPr>
      <w:hyperlink w:anchor="_Toc54690770" w:history="1">
        <w:r w:rsidR="00B3569E" w:rsidRPr="00221B14">
          <w:rPr>
            <w:rStyle w:val="Hyperlink"/>
            <w:rFonts w:cs="Arial"/>
          </w:rPr>
          <w:t>Disclosures</w:t>
        </w:r>
        <w:r w:rsidR="00B3569E">
          <w:rPr>
            <w:webHidden/>
          </w:rPr>
          <w:tab/>
        </w:r>
        <w:r w:rsidR="00B3569E">
          <w:rPr>
            <w:webHidden/>
          </w:rPr>
          <w:fldChar w:fldCharType="begin"/>
        </w:r>
        <w:r w:rsidR="00B3569E">
          <w:rPr>
            <w:webHidden/>
          </w:rPr>
          <w:instrText xml:space="preserve"> PAGEREF _Toc54690770 \h </w:instrText>
        </w:r>
        <w:r w:rsidR="00B3569E">
          <w:rPr>
            <w:webHidden/>
          </w:rPr>
        </w:r>
        <w:r w:rsidR="00B3569E">
          <w:rPr>
            <w:webHidden/>
          </w:rPr>
          <w:fldChar w:fldCharType="separate"/>
        </w:r>
        <w:r>
          <w:rPr>
            <w:webHidden/>
          </w:rPr>
          <w:t>149</w:t>
        </w:r>
        <w:r w:rsidR="00B3569E">
          <w:rPr>
            <w:webHidden/>
          </w:rPr>
          <w:fldChar w:fldCharType="end"/>
        </w:r>
      </w:hyperlink>
    </w:p>
    <w:p w14:paraId="21F0B961" w14:textId="4CA3B183" w:rsidR="00B3569E" w:rsidRDefault="00F3275D">
      <w:pPr>
        <w:pStyle w:val="TOC1"/>
        <w:rPr>
          <w:rFonts w:asciiTheme="minorHAnsi" w:hAnsiTheme="minorHAnsi"/>
          <w:sz w:val="22"/>
          <w:szCs w:val="22"/>
          <w:lang w:eastAsia="en-AU"/>
        </w:rPr>
      </w:pPr>
      <w:hyperlink w:anchor="_Toc54690771" w:history="1">
        <w:r w:rsidR="00B3569E" w:rsidRPr="00221B14">
          <w:rPr>
            <w:rStyle w:val="Hyperlink"/>
          </w:rPr>
          <w:t xml:space="preserve">Department of Health and Human Services: Financial statements for the financial year </w:t>
        </w:r>
        <w:r w:rsidR="00B3569E">
          <w:rPr>
            <w:rStyle w:val="Hyperlink"/>
          </w:rPr>
          <w:br/>
        </w:r>
        <w:r w:rsidR="00B3569E" w:rsidRPr="00221B14">
          <w:rPr>
            <w:rStyle w:val="Hyperlink"/>
          </w:rPr>
          <w:t>ended 30 June 2020</w:t>
        </w:r>
        <w:r w:rsidR="00B3569E">
          <w:rPr>
            <w:webHidden/>
          </w:rPr>
          <w:tab/>
        </w:r>
        <w:r w:rsidR="00B3569E">
          <w:rPr>
            <w:webHidden/>
          </w:rPr>
          <w:fldChar w:fldCharType="begin"/>
        </w:r>
        <w:r w:rsidR="00B3569E">
          <w:rPr>
            <w:webHidden/>
          </w:rPr>
          <w:instrText xml:space="preserve"> PAGEREF _Toc54690771 \h </w:instrText>
        </w:r>
        <w:r w:rsidR="00B3569E">
          <w:rPr>
            <w:webHidden/>
          </w:rPr>
        </w:r>
        <w:r w:rsidR="00B3569E">
          <w:rPr>
            <w:webHidden/>
          </w:rPr>
          <w:fldChar w:fldCharType="separate"/>
        </w:r>
        <w:r>
          <w:rPr>
            <w:webHidden/>
          </w:rPr>
          <w:t>192</w:t>
        </w:r>
        <w:r w:rsidR="00B3569E">
          <w:rPr>
            <w:webHidden/>
          </w:rPr>
          <w:fldChar w:fldCharType="end"/>
        </w:r>
      </w:hyperlink>
    </w:p>
    <w:p w14:paraId="2B0484BF" w14:textId="5B6DAC01" w:rsidR="00B3569E" w:rsidRDefault="00F3275D">
      <w:pPr>
        <w:pStyle w:val="TOC1"/>
        <w:rPr>
          <w:rFonts w:asciiTheme="minorHAnsi" w:hAnsiTheme="minorHAnsi"/>
          <w:sz w:val="22"/>
          <w:szCs w:val="22"/>
          <w:lang w:eastAsia="en-AU"/>
        </w:rPr>
      </w:pPr>
      <w:hyperlink w:anchor="_Toc54690772" w:history="1">
        <w:r w:rsidR="00B3569E" w:rsidRPr="00221B14">
          <w:rPr>
            <w:rStyle w:val="Hyperlink"/>
          </w:rPr>
          <w:t>Appendices</w:t>
        </w:r>
        <w:r w:rsidR="00B3569E">
          <w:rPr>
            <w:webHidden/>
          </w:rPr>
          <w:tab/>
        </w:r>
        <w:r w:rsidR="00B3569E">
          <w:rPr>
            <w:webHidden/>
          </w:rPr>
          <w:fldChar w:fldCharType="begin"/>
        </w:r>
        <w:r w:rsidR="00B3569E">
          <w:rPr>
            <w:webHidden/>
          </w:rPr>
          <w:instrText xml:space="preserve"> PAGEREF _Toc54690772 \h </w:instrText>
        </w:r>
        <w:r w:rsidR="00B3569E">
          <w:rPr>
            <w:webHidden/>
          </w:rPr>
        </w:r>
        <w:r w:rsidR="00B3569E">
          <w:rPr>
            <w:webHidden/>
          </w:rPr>
          <w:fldChar w:fldCharType="separate"/>
        </w:r>
        <w:r>
          <w:rPr>
            <w:webHidden/>
          </w:rPr>
          <w:t>279</w:t>
        </w:r>
        <w:r w:rsidR="00B3569E">
          <w:rPr>
            <w:webHidden/>
          </w:rPr>
          <w:fldChar w:fldCharType="end"/>
        </w:r>
      </w:hyperlink>
    </w:p>
    <w:p w14:paraId="1EEB6254" w14:textId="67656A4D" w:rsidR="00CF72D5" w:rsidRPr="002029AF" w:rsidRDefault="00CF72D5" w:rsidP="00B442E2">
      <w:pPr>
        <w:pStyle w:val="ARbody"/>
      </w:pPr>
      <w:r w:rsidRPr="002029AF">
        <w:fldChar w:fldCharType="end"/>
      </w:r>
    </w:p>
    <w:p w14:paraId="4727EAE2" w14:textId="77777777" w:rsidR="00CF72D5" w:rsidRPr="002029AF" w:rsidRDefault="00CF72D5" w:rsidP="00B442E2">
      <w:pPr>
        <w:pStyle w:val="ARbody"/>
      </w:pPr>
    </w:p>
    <w:p w14:paraId="616ACD0C" w14:textId="77777777" w:rsidR="00CF72D5" w:rsidRPr="002029AF" w:rsidRDefault="00CF72D5" w:rsidP="00B442E2">
      <w:pPr>
        <w:pStyle w:val="ARbody"/>
        <w:sectPr w:rsidR="00CF72D5" w:rsidRPr="002029AF" w:rsidSect="003E0147">
          <w:headerReference w:type="even" r:id="rId26"/>
          <w:headerReference w:type="default" r:id="rId27"/>
          <w:footerReference w:type="even" r:id="rId28"/>
          <w:footerReference w:type="default" r:id="rId29"/>
          <w:headerReference w:type="first" r:id="rId30"/>
          <w:footerReference w:type="first" r:id="rId31"/>
          <w:footnotePr>
            <w:numFmt w:val="chicago"/>
            <w:numRestart w:val="eachPage"/>
          </w:footnotePr>
          <w:pgSz w:w="11906" w:h="16838" w:code="9"/>
          <w:pgMar w:top="1985" w:right="851" w:bottom="851" w:left="1418" w:header="510" w:footer="340" w:gutter="0"/>
          <w:cols w:space="708"/>
          <w:docGrid w:linePitch="360"/>
          <w15:footnoteColumns w:val="1"/>
        </w:sectPr>
      </w:pPr>
    </w:p>
    <w:p w14:paraId="5949233E" w14:textId="113F2986" w:rsidR="00CF72D5" w:rsidRPr="002029AF" w:rsidRDefault="00CF72D5" w:rsidP="00897193">
      <w:pPr>
        <w:pStyle w:val="Heading1"/>
      </w:pPr>
      <w:bookmarkStart w:id="3" w:name="_Toc21682715"/>
      <w:bookmarkStart w:id="4" w:name="_Toc54690762"/>
      <w:r w:rsidRPr="002029AF">
        <w:lastRenderedPageBreak/>
        <w:t>Secretary’s</w:t>
      </w:r>
      <w:r w:rsidR="000A5329" w:rsidRPr="002029AF">
        <w:t xml:space="preserve"> </w:t>
      </w:r>
      <w:r w:rsidRPr="002029AF">
        <w:t>foreword</w:t>
      </w:r>
      <w:bookmarkEnd w:id="3"/>
      <w:bookmarkEnd w:id="4"/>
    </w:p>
    <w:p w14:paraId="65D9F237" w14:textId="4FC80AEB" w:rsidR="00CF72D5" w:rsidRPr="002029AF" w:rsidRDefault="00CF72D5" w:rsidP="00897193">
      <w:pPr>
        <w:pStyle w:val="Heading1"/>
        <w:tabs>
          <w:tab w:val="left" w:pos="8190"/>
        </w:tabs>
        <w:sectPr w:rsidR="00CF72D5" w:rsidRPr="002029AF" w:rsidSect="003566F1">
          <w:headerReference w:type="even" r:id="rId32"/>
          <w:headerReference w:type="default" r:id="rId33"/>
          <w:footerReference w:type="even" r:id="rId34"/>
          <w:headerReference w:type="first" r:id="rId35"/>
          <w:footerReference w:type="first" r:id="rId36"/>
          <w:footnotePr>
            <w:numFmt w:val="chicago"/>
            <w:numRestart w:val="eachPage"/>
          </w:footnotePr>
          <w:endnotePr>
            <w:numFmt w:val="decimal"/>
          </w:endnotePr>
          <w:pgSz w:w="11900" w:h="16840" w:code="9"/>
          <w:pgMar w:top="1985" w:right="851" w:bottom="851" w:left="1418" w:header="510" w:footer="340" w:gutter="0"/>
          <w:cols w:space="720"/>
          <w15:footnoteColumns w:val="1"/>
        </w:sectPr>
      </w:pPr>
    </w:p>
    <w:p w14:paraId="752E0902" w14:textId="77777777" w:rsidR="00CF72D5" w:rsidRPr="002029AF" w:rsidRDefault="00CF72D5" w:rsidP="00897193">
      <w:pPr>
        <w:pStyle w:val="ARbody"/>
      </w:pPr>
      <w:r>
        <w:rPr>
          <w:noProof/>
          <w:lang w:eastAsia="en-AU" w:bidi="as-IN"/>
        </w:rPr>
        <w:drawing>
          <wp:inline distT="0" distB="0" distL="0" distR="0" wp14:anchorId="25E068DD" wp14:editId="562B6CE2">
            <wp:extent cx="926465" cy="969645"/>
            <wp:effectExtent l="0" t="0" r="6985" b="1905"/>
            <wp:docPr id="288" name="Picture 288" descr="Kym Peake, Secretary,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pic:nvPicPr>
                  <pic:blipFill>
                    <a:blip r:embed="rId37">
                      <a:extLst>
                        <a:ext uri="{28A0092B-C50C-407E-A947-70E740481C1C}">
                          <a14:useLocalDpi xmlns:a14="http://schemas.microsoft.com/office/drawing/2010/main" val="0"/>
                        </a:ext>
                      </a:extLst>
                    </a:blip>
                    <a:stretch>
                      <a:fillRect/>
                    </a:stretch>
                  </pic:blipFill>
                  <pic:spPr>
                    <a:xfrm>
                      <a:off x="0" y="0"/>
                      <a:ext cx="926465" cy="969645"/>
                    </a:xfrm>
                    <a:prstGeom prst="rect">
                      <a:avLst/>
                    </a:prstGeom>
                  </pic:spPr>
                </pic:pic>
              </a:graphicData>
            </a:graphic>
          </wp:inline>
        </w:drawing>
      </w:r>
    </w:p>
    <w:p w14:paraId="1E61BA6A" w14:textId="48CB5A0E" w:rsidR="006950DD" w:rsidRPr="002029AF" w:rsidRDefault="003E7B76" w:rsidP="00020FE5">
      <w:pPr>
        <w:pStyle w:val="ARbody"/>
        <w:spacing w:after="100"/>
      </w:pPr>
      <w:r w:rsidRPr="002029AF">
        <w:t>I</w:t>
      </w:r>
      <w:r w:rsidR="000A5329" w:rsidRPr="002029AF">
        <w:t xml:space="preserve"> </w:t>
      </w:r>
      <w:r w:rsidRPr="002029AF">
        <w:t>feel</w:t>
      </w:r>
      <w:r w:rsidR="000A5329" w:rsidRPr="002029AF">
        <w:t xml:space="preserve"> </w:t>
      </w:r>
      <w:r w:rsidRPr="002029AF">
        <w:t>privileged</w:t>
      </w:r>
      <w:r w:rsidR="000A5329" w:rsidRPr="002029AF">
        <w:t xml:space="preserve"> </w:t>
      </w:r>
      <w:r w:rsidRPr="002029AF">
        <w:t>to</w:t>
      </w:r>
      <w:r w:rsidR="000A5329" w:rsidRPr="002029AF">
        <w:t xml:space="preserve"> </w:t>
      </w:r>
      <w:r w:rsidRPr="002029AF">
        <w:t>lead</w:t>
      </w:r>
      <w:r w:rsidR="000A5329" w:rsidRPr="002029AF">
        <w:t xml:space="preserve"> </w:t>
      </w:r>
      <w:r w:rsidRPr="002029AF">
        <w:t>an</w:t>
      </w:r>
      <w:r w:rsidR="000A5329" w:rsidRPr="002029AF">
        <w:t xml:space="preserve"> </w:t>
      </w:r>
      <w:r w:rsidRPr="002029AF">
        <w:t>organisation</w:t>
      </w:r>
      <w:r w:rsidR="000A5329" w:rsidRPr="002029AF">
        <w:t xml:space="preserve"> </w:t>
      </w:r>
      <w:r w:rsidRPr="002029AF">
        <w:t>where</w:t>
      </w:r>
      <w:r w:rsidR="000A5329" w:rsidRPr="002029AF">
        <w:t xml:space="preserve"> </w:t>
      </w:r>
      <w:r w:rsidRPr="002029AF">
        <w:t>I</w:t>
      </w:r>
      <w:r w:rsidR="000A5329" w:rsidRPr="002029AF">
        <w:t xml:space="preserve"> </w:t>
      </w:r>
      <w:r w:rsidRPr="002029AF">
        <w:t>get</w:t>
      </w:r>
      <w:r w:rsidR="000A5329" w:rsidRPr="002029AF">
        <w:t xml:space="preserve"> </w:t>
      </w:r>
      <w:r w:rsidRPr="002029AF">
        <w:t>to</w:t>
      </w:r>
      <w:r w:rsidR="000A5329" w:rsidRPr="002029AF">
        <w:t xml:space="preserve"> </w:t>
      </w:r>
      <w:r w:rsidRPr="002029AF">
        <w:t>work</w:t>
      </w:r>
      <w:r w:rsidR="000A5329" w:rsidRPr="002029AF">
        <w:t xml:space="preserve"> </w:t>
      </w:r>
      <w:r w:rsidRPr="002029AF">
        <w:t>with</w:t>
      </w:r>
      <w:r w:rsidR="000A5329" w:rsidRPr="002029AF">
        <w:t xml:space="preserve"> </w:t>
      </w:r>
      <w:r w:rsidRPr="002029AF">
        <w:t>so</w:t>
      </w:r>
      <w:r w:rsidR="000A5329" w:rsidRPr="002029AF">
        <w:t xml:space="preserve"> </w:t>
      </w:r>
      <w:r w:rsidRPr="002029AF">
        <w:t>many</w:t>
      </w:r>
      <w:r w:rsidR="000A5329" w:rsidRPr="002029AF">
        <w:t xml:space="preserve"> </w:t>
      </w:r>
      <w:r w:rsidRPr="002029AF">
        <w:t>extraordinary,</w:t>
      </w:r>
      <w:r w:rsidR="000A5329" w:rsidRPr="002029AF">
        <w:t xml:space="preserve"> </w:t>
      </w:r>
      <w:r w:rsidRPr="002029AF">
        <w:t>purpose-driven</w:t>
      </w:r>
      <w:r w:rsidR="000A5329" w:rsidRPr="002029AF">
        <w:t xml:space="preserve"> </w:t>
      </w:r>
      <w:r w:rsidRPr="002029AF">
        <w:t>people,</w:t>
      </w:r>
      <w:r w:rsidR="000A5329" w:rsidRPr="002029AF">
        <w:t xml:space="preserve"> </w:t>
      </w:r>
      <w:r w:rsidRPr="002029AF">
        <w:t>not</w:t>
      </w:r>
      <w:r w:rsidR="000A5329" w:rsidRPr="002029AF">
        <w:t xml:space="preserve"> </w:t>
      </w:r>
      <w:r w:rsidRPr="002029AF">
        <w:t>only</w:t>
      </w:r>
      <w:r w:rsidR="000A5329" w:rsidRPr="002029AF">
        <w:t xml:space="preserve"> </w:t>
      </w:r>
      <w:r w:rsidRPr="002029AF">
        <w:t>in</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of</w:t>
      </w:r>
      <w:r w:rsidR="000A5329" w:rsidRPr="002029AF">
        <w:t xml:space="preserve"> </w:t>
      </w:r>
      <w:r w:rsidRPr="002029AF">
        <w:t>Health</w:t>
      </w:r>
      <w:r w:rsidR="000A5329" w:rsidRPr="002029AF">
        <w:t xml:space="preserve"> </w:t>
      </w:r>
      <w:r w:rsidRPr="002029AF">
        <w:t>and</w:t>
      </w:r>
      <w:r w:rsidR="000A5329" w:rsidRPr="002029AF">
        <w:t xml:space="preserve"> </w:t>
      </w:r>
      <w:r w:rsidRPr="002029AF">
        <w:t>Human</w:t>
      </w:r>
      <w:r w:rsidR="000A5329" w:rsidRPr="002029AF">
        <w:t xml:space="preserve"> </w:t>
      </w:r>
      <w:r w:rsidRPr="002029AF">
        <w:t>Services,</w:t>
      </w:r>
      <w:r w:rsidR="000A5329" w:rsidRPr="002029AF">
        <w:t xml:space="preserve"> </w:t>
      </w:r>
      <w:r w:rsidRPr="002029AF">
        <w:t>but</w:t>
      </w:r>
      <w:r w:rsidR="000A5329" w:rsidRPr="002029AF">
        <w:t xml:space="preserve"> </w:t>
      </w:r>
      <w:r w:rsidRPr="002029AF">
        <w:t>right</w:t>
      </w:r>
      <w:r w:rsidR="000A5329" w:rsidRPr="002029AF">
        <w:t xml:space="preserve"> </w:t>
      </w:r>
      <w:r w:rsidRPr="002029AF">
        <w:t>across</w:t>
      </w:r>
      <w:r w:rsidR="000A5329" w:rsidRPr="002029AF">
        <w:t xml:space="preserve"> </w:t>
      </w:r>
      <w:r w:rsidRPr="002029AF">
        <w:t>the</w:t>
      </w:r>
      <w:r w:rsidR="000A5329" w:rsidRPr="002029AF">
        <w:t xml:space="preserve"> </w:t>
      </w:r>
      <w:r w:rsidRPr="002029AF">
        <w:t>state.</w:t>
      </w:r>
      <w:r w:rsidR="000A5329" w:rsidRPr="002029AF">
        <w:t xml:space="preserve"> </w:t>
      </w:r>
      <w:r w:rsidRPr="002029AF">
        <w:t>I’ve</w:t>
      </w:r>
      <w:r w:rsidR="000A5329" w:rsidRPr="002029AF">
        <w:t xml:space="preserve"> </w:t>
      </w:r>
      <w:r w:rsidRPr="002029AF">
        <w:t>felt</w:t>
      </w:r>
      <w:r w:rsidR="009950F3">
        <w:t> </w:t>
      </w:r>
      <w:r w:rsidRPr="002029AF">
        <w:t>this</w:t>
      </w:r>
      <w:r w:rsidR="000A5329" w:rsidRPr="002029AF">
        <w:t xml:space="preserve"> </w:t>
      </w:r>
      <w:r w:rsidR="000F0E37" w:rsidRPr="002029AF">
        <w:t>more</w:t>
      </w:r>
      <w:r w:rsidR="000A5329" w:rsidRPr="002029AF">
        <w:t xml:space="preserve"> </w:t>
      </w:r>
      <w:r w:rsidR="000F0E37" w:rsidRPr="002029AF">
        <w:t>strongly</w:t>
      </w:r>
      <w:r w:rsidR="000A5329" w:rsidRPr="002029AF">
        <w:t xml:space="preserve"> </w:t>
      </w:r>
      <w:r w:rsidRPr="002029AF">
        <w:t>this</w:t>
      </w:r>
      <w:r w:rsidR="000A5329" w:rsidRPr="002029AF">
        <w:t xml:space="preserve"> </w:t>
      </w:r>
      <w:r w:rsidRPr="002029AF">
        <w:t>year</w:t>
      </w:r>
      <w:r w:rsidR="000A5329" w:rsidRPr="002029AF">
        <w:t xml:space="preserve"> </w:t>
      </w:r>
      <w:r w:rsidRPr="002029AF">
        <w:t>than</w:t>
      </w:r>
      <w:r w:rsidR="000A5329" w:rsidRPr="002029AF">
        <w:t xml:space="preserve"> </w:t>
      </w:r>
      <w:r w:rsidRPr="002029AF">
        <w:t>any</w:t>
      </w:r>
      <w:r w:rsidR="000A5329" w:rsidRPr="002029AF">
        <w:t xml:space="preserve"> </w:t>
      </w:r>
      <w:r w:rsidRPr="002029AF">
        <w:t>other.</w:t>
      </w:r>
    </w:p>
    <w:p w14:paraId="4AC8DFFF" w14:textId="2515EF38" w:rsidR="00E60314" w:rsidRPr="002029AF" w:rsidRDefault="00866C75" w:rsidP="00020FE5">
      <w:pPr>
        <w:pStyle w:val="ARbody"/>
        <w:spacing w:after="100"/>
      </w:pPr>
      <w:r w:rsidRPr="002029AF">
        <w:t>Between</w:t>
      </w:r>
      <w:r w:rsidR="000A5329" w:rsidRPr="002029AF">
        <w:t xml:space="preserve"> </w:t>
      </w:r>
      <w:r w:rsidRPr="002029AF">
        <w:t>the</w:t>
      </w:r>
      <w:r w:rsidR="000A5329" w:rsidRPr="002029AF">
        <w:t xml:space="preserve"> </w:t>
      </w:r>
      <w:r w:rsidRPr="002029AF">
        <w:t>devastating</w:t>
      </w:r>
      <w:r w:rsidR="000A5329" w:rsidRPr="002029AF">
        <w:t xml:space="preserve"> </w:t>
      </w:r>
      <w:r w:rsidRPr="002029AF">
        <w:t>bushfires</w:t>
      </w:r>
      <w:r w:rsidR="000A5329" w:rsidRPr="002029AF">
        <w:t xml:space="preserve"> </w:t>
      </w:r>
      <w:r w:rsidRPr="002029AF">
        <w:t>that</w:t>
      </w:r>
      <w:r w:rsidR="000A5329" w:rsidRPr="002029AF">
        <w:t xml:space="preserve"> </w:t>
      </w:r>
      <w:r w:rsidRPr="002029AF">
        <w:t>ravaged</w:t>
      </w:r>
      <w:r w:rsidR="000A5329" w:rsidRPr="002029AF">
        <w:t xml:space="preserve"> </w:t>
      </w:r>
      <w:r w:rsidRPr="002029AF">
        <w:t>much</w:t>
      </w:r>
      <w:r w:rsidR="000A5329" w:rsidRPr="002029AF">
        <w:t xml:space="preserve"> </w:t>
      </w:r>
      <w:r w:rsidRPr="002029AF">
        <w:t>of</w:t>
      </w:r>
      <w:r w:rsidR="000A5329" w:rsidRPr="002029AF">
        <w:t xml:space="preserve"> </w:t>
      </w:r>
      <w:r w:rsidRPr="002029AF">
        <w:t>our</w:t>
      </w:r>
      <w:r w:rsidR="000A5329" w:rsidRPr="002029AF">
        <w:t xml:space="preserve"> </w:t>
      </w:r>
      <w:r w:rsidRPr="002029AF">
        <w:t>state</w:t>
      </w:r>
      <w:r w:rsidR="000A5329" w:rsidRPr="002029AF">
        <w:t xml:space="preserve"> </w:t>
      </w:r>
      <w:r w:rsidRPr="002029AF">
        <w:t>in</w:t>
      </w:r>
      <w:r w:rsidR="000A5329" w:rsidRPr="002029AF">
        <w:t xml:space="preserve"> </w:t>
      </w:r>
      <w:r w:rsidRPr="002029AF">
        <w:t>the</w:t>
      </w:r>
      <w:r w:rsidR="000A5329" w:rsidRPr="002029AF">
        <w:t xml:space="preserve"> </w:t>
      </w:r>
      <w:r w:rsidRPr="002029AF">
        <w:t>early</w:t>
      </w:r>
      <w:r w:rsidR="000A5329" w:rsidRPr="002029AF">
        <w:t xml:space="preserve"> </w:t>
      </w:r>
      <w:r w:rsidRPr="002029AF">
        <w:t>part</w:t>
      </w:r>
      <w:r w:rsidR="000A5329" w:rsidRPr="002029AF">
        <w:t xml:space="preserve"> </w:t>
      </w:r>
      <w:r w:rsidRPr="002029AF">
        <w:t>of</w:t>
      </w:r>
      <w:r w:rsidR="000A5329" w:rsidRPr="002029AF">
        <w:t xml:space="preserve"> </w:t>
      </w:r>
      <w:r w:rsidRPr="002029AF">
        <w:t>2020</w:t>
      </w:r>
      <w:r w:rsidR="000A5329" w:rsidRPr="002029AF">
        <w:t xml:space="preserve"> </w:t>
      </w:r>
      <w:r w:rsidRPr="002029AF">
        <w:t>and</w:t>
      </w:r>
      <w:r w:rsidR="000A5329" w:rsidRPr="002029AF">
        <w:t xml:space="preserve"> </w:t>
      </w:r>
      <w:r w:rsidRPr="002029AF">
        <w:t>the</w:t>
      </w:r>
      <w:r w:rsidR="009950F3">
        <w:t> </w:t>
      </w:r>
      <w:r w:rsidRPr="002029AF">
        <w:t>coronavirus</w:t>
      </w:r>
      <w:r w:rsidR="000A5329" w:rsidRPr="002029AF">
        <w:t xml:space="preserve"> </w:t>
      </w:r>
      <w:r w:rsidRPr="002029AF">
        <w:t>(COVID-19)</w:t>
      </w:r>
      <w:r w:rsidR="000A5329" w:rsidRPr="002029AF">
        <w:t xml:space="preserve"> </w:t>
      </w:r>
      <w:r w:rsidRPr="002029AF">
        <w:t>pandemic,</w:t>
      </w:r>
      <w:r w:rsidR="000A5329" w:rsidRPr="002029AF">
        <w:t xml:space="preserve"> </w:t>
      </w:r>
      <w:r w:rsidR="00CE58AA">
        <w:t>which has</w:t>
      </w:r>
      <w:r w:rsidR="009950F3">
        <w:t> </w:t>
      </w:r>
      <w:r w:rsidR="00CE58AA">
        <w:t>impacted every single Victorian in some way</w:t>
      </w:r>
      <w:r w:rsidR="00CE58AA" w:rsidRPr="002029AF">
        <w:t xml:space="preserve">, </w:t>
      </w:r>
      <w:r w:rsidRPr="002029AF">
        <w:t>our</w:t>
      </w:r>
      <w:r w:rsidR="000A5329" w:rsidRPr="002029AF">
        <w:t xml:space="preserve"> </w:t>
      </w:r>
      <w:r w:rsidRPr="002029AF">
        <w:t>staff</w:t>
      </w:r>
      <w:r w:rsidR="000A5329" w:rsidRPr="002029AF">
        <w:t xml:space="preserve"> </w:t>
      </w:r>
      <w:r w:rsidRPr="002029AF">
        <w:t>have</w:t>
      </w:r>
      <w:r w:rsidR="000A5329" w:rsidRPr="002029AF">
        <w:t xml:space="preserve"> </w:t>
      </w:r>
      <w:r w:rsidRPr="002029AF">
        <w:t>been</w:t>
      </w:r>
      <w:r w:rsidR="000A5329" w:rsidRPr="002029AF">
        <w:t xml:space="preserve"> </w:t>
      </w:r>
      <w:r w:rsidRPr="002029AF">
        <w:t>at</w:t>
      </w:r>
      <w:r w:rsidR="000A5329" w:rsidRPr="002029AF">
        <w:t xml:space="preserve"> </w:t>
      </w:r>
      <w:r w:rsidRPr="002029AF">
        <w:t>the</w:t>
      </w:r>
      <w:r w:rsidR="000A5329" w:rsidRPr="002029AF">
        <w:t xml:space="preserve"> </w:t>
      </w:r>
      <w:r w:rsidRPr="002029AF">
        <w:t>frontline</w:t>
      </w:r>
      <w:r w:rsidR="000A5329" w:rsidRPr="002029AF">
        <w:t xml:space="preserve"> </w:t>
      </w:r>
      <w:r w:rsidRPr="002029AF">
        <w:t>of</w:t>
      </w:r>
      <w:r w:rsidR="000A5329" w:rsidRPr="002029AF">
        <w:t xml:space="preserve"> </w:t>
      </w:r>
      <w:r w:rsidRPr="002029AF">
        <w:t>some</w:t>
      </w:r>
      <w:r w:rsidR="000A5329" w:rsidRPr="002029AF">
        <w:t xml:space="preserve"> </w:t>
      </w:r>
      <w:r w:rsidRPr="002029AF">
        <w:t>of</w:t>
      </w:r>
      <w:r w:rsidR="000A5329" w:rsidRPr="002029AF">
        <w:t xml:space="preserve"> </w:t>
      </w:r>
      <w:r w:rsidRPr="002029AF">
        <w:t>the</w:t>
      </w:r>
      <w:r w:rsidR="000A5329" w:rsidRPr="002029AF">
        <w:t xml:space="preserve"> </w:t>
      </w:r>
      <w:r w:rsidRPr="002029AF">
        <w:t>most</w:t>
      </w:r>
      <w:r w:rsidR="000A5329" w:rsidRPr="002029AF">
        <w:t xml:space="preserve"> </w:t>
      </w:r>
      <w:r w:rsidRPr="002029AF">
        <w:t>critical</w:t>
      </w:r>
      <w:r w:rsidR="000A5329" w:rsidRPr="002029AF">
        <w:t xml:space="preserve"> </w:t>
      </w:r>
      <w:r w:rsidRPr="002029AF">
        <w:t>health</w:t>
      </w:r>
      <w:r w:rsidR="000A5329" w:rsidRPr="002029AF">
        <w:t xml:space="preserve"> </w:t>
      </w:r>
      <w:r w:rsidRPr="002029AF">
        <w:t>and</w:t>
      </w:r>
      <w:r w:rsidR="000A5329" w:rsidRPr="002029AF">
        <w:t xml:space="preserve"> </w:t>
      </w:r>
      <w:r w:rsidRPr="002029AF">
        <w:t>human</w:t>
      </w:r>
      <w:r w:rsidR="000A5329" w:rsidRPr="002029AF">
        <w:t xml:space="preserve"> </w:t>
      </w:r>
      <w:r w:rsidRPr="002029AF">
        <w:t>services</w:t>
      </w:r>
      <w:r w:rsidR="000A5329" w:rsidRPr="002029AF">
        <w:t xml:space="preserve"> </w:t>
      </w:r>
      <w:r w:rsidR="00397C91" w:rsidRPr="002029AF">
        <w:t>work</w:t>
      </w:r>
      <w:r w:rsidR="000A5329" w:rsidRPr="002029AF">
        <w:t xml:space="preserve"> </w:t>
      </w:r>
      <w:r w:rsidR="00397C91" w:rsidRPr="002029AF">
        <w:t>of</w:t>
      </w:r>
      <w:r w:rsidR="000A5329" w:rsidRPr="002029AF">
        <w:t xml:space="preserve"> </w:t>
      </w:r>
      <w:r w:rsidR="00397C91" w:rsidRPr="002029AF">
        <w:t>our</w:t>
      </w:r>
      <w:r w:rsidR="000A5329" w:rsidRPr="002029AF">
        <w:t xml:space="preserve"> </w:t>
      </w:r>
      <w:r w:rsidR="00397C91" w:rsidRPr="002029AF">
        <w:t>lifetime.</w:t>
      </w:r>
      <w:r w:rsidR="000A5329" w:rsidRPr="002029AF">
        <w:t xml:space="preserve"> </w:t>
      </w:r>
      <w:r w:rsidR="00397C91" w:rsidRPr="002029AF">
        <w:t>This</w:t>
      </w:r>
      <w:r w:rsidR="000A5329" w:rsidRPr="002029AF">
        <w:t xml:space="preserve"> </w:t>
      </w:r>
      <w:r w:rsidR="00397C91" w:rsidRPr="002029AF">
        <w:t>annual</w:t>
      </w:r>
      <w:r w:rsidR="000A5329" w:rsidRPr="002029AF">
        <w:t xml:space="preserve"> </w:t>
      </w:r>
      <w:r w:rsidR="00397C91" w:rsidRPr="002029AF">
        <w:t>report</w:t>
      </w:r>
      <w:r w:rsidR="000A5329" w:rsidRPr="002029AF">
        <w:t xml:space="preserve"> </w:t>
      </w:r>
      <w:r w:rsidR="00397C91" w:rsidRPr="002029AF">
        <w:t>provides</w:t>
      </w:r>
      <w:r w:rsidR="000A5329" w:rsidRPr="002029AF">
        <w:t xml:space="preserve"> </w:t>
      </w:r>
      <w:r w:rsidR="00397C91" w:rsidRPr="002029AF">
        <w:t>a</w:t>
      </w:r>
      <w:r w:rsidR="000A5329" w:rsidRPr="002029AF">
        <w:t xml:space="preserve"> </w:t>
      </w:r>
      <w:r w:rsidR="00397C91" w:rsidRPr="002029AF">
        <w:t>snapshot</w:t>
      </w:r>
      <w:r w:rsidR="000A5329" w:rsidRPr="002029AF">
        <w:t xml:space="preserve"> </w:t>
      </w:r>
      <w:r w:rsidR="00397C91" w:rsidRPr="002029AF">
        <w:t>of</w:t>
      </w:r>
      <w:r w:rsidR="000A5329" w:rsidRPr="002029AF">
        <w:t xml:space="preserve"> </w:t>
      </w:r>
      <w:r w:rsidR="00397C91" w:rsidRPr="002029AF">
        <w:t>the</w:t>
      </w:r>
      <w:r w:rsidR="000A5329" w:rsidRPr="002029AF">
        <w:t xml:space="preserve"> </w:t>
      </w:r>
      <w:r w:rsidR="007B1948" w:rsidRPr="002029AF">
        <w:t>significant</w:t>
      </w:r>
      <w:r w:rsidR="000A5329" w:rsidRPr="002029AF">
        <w:t xml:space="preserve"> </w:t>
      </w:r>
      <w:r w:rsidR="00397C91" w:rsidRPr="002029AF">
        <w:t>efforts</w:t>
      </w:r>
      <w:r w:rsidR="000A5329" w:rsidRPr="002029AF">
        <w:t xml:space="preserve"> </w:t>
      </w:r>
      <w:r w:rsidR="00397C91" w:rsidRPr="002029AF">
        <w:t>of</w:t>
      </w:r>
      <w:r w:rsidR="000A5329" w:rsidRPr="002029AF">
        <w:t xml:space="preserve"> </w:t>
      </w:r>
      <w:r w:rsidR="00397C91" w:rsidRPr="002029AF">
        <w:t>hundreds</w:t>
      </w:r>
      <w:r w:rsidR="000A5329" w:rsidRPr="002029AF">
        <w:t xml:space="preserve"> </w:t>
      </w:r>
      <w:r w:rsidR="00397C91" w:rsidRPr="002029AF">
        <w:t>of</w:t>
      </w:r>
      <w:r w:rsidR="000A5329" w:rsidRPr="002029AF">
        <w:t xml:space="preserve"> </w:t>
      </w:r>
      <w:r w:rsidR="00397C91" w:rsidRPr="002029AF">
        <w:t>thousands</w:t>
      </w:r>
      <w:r w:rsidR="000A5329" w:rsidRPr="002029AF">
        <w:t xml:space="preserve"> </w:t>
      </w:r>
      <w:r w:rsidR="00397C91" w:rsidRPr="002029AF">
        <w:t>of</w:t>
      </w:r>
      <w:r w:rsidR="000A5329" w:rsidRPr="002029AF">
        <w:t xml:space="preserve"> </w:t>
      </w:r>
      <w:r w:rsidR="00397C91" w:rsidRPr="002029AF">
        <w:t>people</w:t>
      </w:r>
      <w:r w:rsidR="000A5329" w:rsidRPr="002029AF">
        <w:t xml:space="preserve"> </w:t>
      </w:r>
      <w:r w:rsidR="00397C91" w:rsidRPr="002029AF">
        <w:t>working</w:t>
      </w:r>
      <w:r w:rsidR="000A5329" w:rsidRPr="002029AF">
        <w:t xml:space="preserve"> </w:t>
      </w:r>
      <w:r w:rsidR="00397C91" w:rsidRPr="002029AF">
        <w:t>with</w:t>
      </w:r>
      <w:r w:rsidR="000A5329" w:rsidRPr="002029AF">
        <w:t xml:space="preserve"> </w:t>
      </w:r>
      <w:r w:rsidR="00397C91" w:rsidRPr="002029AF">
        <w:t>our</w:t>
      </w:r>
      <w:r w:rsidR="000A5329" w:rsidRPr="002029AF">
        <w:t xml:space="preserve"> </w:t>
      </w:r>
      <w:r w:rsidR="00397C91" w:rsidRPr="002029AF">
        <w:t>communities</w:t>
      </w:r>
      <w:r w:rsidR="000A5329" w:rsidRPr="002029AF">
        <w:t xml:space="preserve"> </w:t>
      </w:r>
      <w:r w:rsidR="00397C91" w:rsidRPr="002029AF">
        <w:t>across</w:t>
      </w:r>
      <w:r w:rsidR="000A5329" w:rsidRPr="002029AF">
        <w:t xml:space="preserve"> </w:t>
      </w:r>
      <w:r w:rsidR="00397C91" w:rsidRPr="002029AF">
        <w:t>the</w:t>
      </w:r>
      <w:r w:rsidR="000A5329" w:rsidRPr="002029AF">
        <w:t xml:space="preserve"> </w:t>
      </w:r>
      <w:r w:rsidR="00397C91" w:rsidRPr="002029AF">
        <w:t>sect</w:t>
      </w:r>
      <w:r w:rsidR="001E3B55" w:rsidRPr="002029AF">
        <w:t>or</w:t>
      </w:r>
      <w:r w:rsidR="000A5329" w:rsidRPr="002029AF">
        <w:t xml:space="preserve"> </w:t>
      </w:r>
      <w:r w:rsidR="00397C91" w:rsidRPr="002029AF">
        <w:t>in</w:t>
      </w:r>
      <w:r w:rsidR="000A5329" w:rsidRPr="002029AF">
        <w:t xml:space="preserve"> </w:t>
      </w:r>
      <w:r w:rsidR="00397C91" w:rsidRPr="002029AF">
        <w:t>201</w:t>
      </w:r>
      <w:r w:rsidR="00DB53E6" w:rsidRPr="002029AF">
        <w:t>9–</w:t>
      </w:r>
      <w:r w:rsidR="00397C91" w:rsidRPr="002029AF">
        <w:t>20.</w:t>
      </w:r>
    </w:p>
    <w:p w14:paraId="747288FC" w14:textId="34F0E031" w:rsidR="00E60314" w:rsidRPr="002029AF" w:rsidRDefault="00A23EF9" w:rsidP="00E60314">
      <w:pPr>
        <w:pStyle w:val="ARbody"/>
      </w:pPr>
      <w:r w:rsidRPr="002029AF">
        <w:t>Although</w:t>
      </w:r>
      <w:r w:rsidR="000A5329" w:rsidRPr="002029AF">
        <w:t xml:space="preserve"> </w:t>
      </w:r>
      <w:r w:rsidRPr="002029AF">
        <w:t>it</w:t>
      </w:r>
      <w:r w:rsidR="000A5329" w:rsidRPr="002029AF">
        <w:t xml:space="preserve"> </w:t>
      </w:r>
      <w:r w:rsidRPr="002029AF">
        <w:t>has</w:t>
      </w:r>
      <w:r w:rsidR="000A5329" w:rsidRPr="002029AF">
        <w:t xml:space="preserve"> </w:t>
      </w:r>
      <w:r w:rsidRPr="002029AF">
        <w:t>been</w:t>
      </w:r>
      <w:r w:rsidR="000A5329" w:rsidRPr="002029AF">
        <w:t xml:space="preserve"> </w:t>
      </w:r>
      <w:r w:rsidRPr="002029AF">
        <w:t>an</w:t>
      </w:r>
      <w:r w:rsidR="000A5329" w:rsidRPr="002029AF">
        <w:t xml:space="preserve"> </w:t>
      </w:r>
      <w:r w:rsidRPr="002029AF">
        <w:t>incred</w:t>
      </w:r>
      <w:r w:rsidR="00276667" w:rsidRPr="002029AF">
        <w:t>ibly</w:t>
      </w:r>
      <w:r w:rsidR="000A5329" w:rsidRPr="002029AF">
        <w:t xml:space="preserve"> </w:t>
      </w:r>
      <w:r w:rsidR="00276667" w:rsidRPr="002029AF">
        <w:t>challenging</w:t>
      </w:r>
      <w:r w:rsidR="000A5329" w:rsidRPr="002029AF">
        <w:t xml:space="preserve"> </w:t>
      </w:r>
      <w:r w:rsidR="00276667" w:rsidRPr="002029AF">
        <w:t>year,</w:t>
      </w:r>
      <w:r w:rsidR="009950F3">
        <w:t> </w:t>
      </w:r>
      <w:r w:rsidR="00276667" w:rsidRPr="002029AF">
        <w:t>our</w:t>
      </w:r>
      <w:r w:rsidR="000A5329" w:rsidRPr="002029AF">
        <w:t xml:space="preserve"> </w:t>
      </w:r>
      <w:r w:rsidR="00276667" w:rsidRPr="002029AF">
        <w:t>focus</w:t>
      </w:r>
      <w:r w:rsidR="000A5329" w:rsidRPr="002029AF">
        <w:t xml:space="preserve"> </w:t>
      </w:r>
      <w:r w:rsidR="00276667" w:rsidRPr="002029AF">
        <w:t>has</w:t>
      </w:r>
      <w:r w:rsidR="000A5329" w:rsidRPr="002029AF">
        <w:t xml:space="preserve"> </w:t>
      </w:r>
      <w:r w:rsidR="00276667" w:rsidRPr="002029AF">
        <w:t>remained</w:t>
      </w:r>
      <w:r w:rsidR="000A5329" w:rsidRPr="002029AF">
        <w:t xml:space="preserve"> </w:t>
      </w:r>
      <w:r w:rsidR="00276667" w:rsidRPr="002029AF">
        <w:t>on</w:t>
      </w:r>
      <w:r w:rsidR="000A5329" w:rsidRPr="002029AF">
        <w:t xml:space="preserve"> </w:t>
      </w:r>
      <w:r w:rsidR="00276667" w:rsidRPr="002029AF">
        <w:t>ensuring</w:t>
      </w:r>
      <w:r w:rsidR="000A5329" w:rsidRPr="002029AF">
        <w:t xml:space="preserve"> </w:t>
      </w:r>
      <w:r w:rsidR="00276667" w:rsidRPr="002029AF">
        <w:t>we</w:t>
      </w:r>
      <w:r w:rsidR="000A5329" w:rsidRPr="002029AF">
        <w:t xml:space="preserve"> </w:t>
      </w:r>
      <w:r w:rsidR="00276667" w:rsidRPr="002029AF">
        <w:t>fulfil</w:t>
      </w:r>
      <w:r w:rsidR="000A5329" w:rsidRPr="002029AF">
        <w:t xml:space="preserve"> </w:t>
      </w:r>
      <w:r w:rsidR="00276667" w:rsidRPr="002029AF">
        <w:t>our</w:t>
      </w:r>
      <w:r w:rsidR="000A5329" w:rsidRPr="002029AF">
        <w:t xml:space="preserve"> </w:t>
      </w:r>
      <w:r w:rsidR="00B57F5F" w:rsidRPr="002029AF">
        <w:t>responsibility</w:t>
      </w:r>
      <w:r w:rsidR="000A5329" w:rsidRPr="002029AF">
        <w:t xml:space="preserve"> </w:t>
      </w:r>
      <w:r w:rsidR="00B57F5F" w:rsidRPr="002029AF">
        <w:t>to</w:t>
      </w:r>
      <w:r w:rsidR="000A5329" w:rsidRPr="002029AF">
        <w:t xml:space="preserve"> </w:t>
      </w:r>
      <w:r w:rsidR="00B57F5F" w:rsidRPr="002029AF">
        <w:t>keep</w:t>
      </w:r>
      <w:r w:rsidR="000A5329" w:rsidRPr="002029AF">
        <w:t xml:space="preserve"> </w:t>
      </w:r>
      <w:r w:rsidR="00B57F5F" w:rsidRPr="002029AF">
        <w:t>Victorian</w:t>
      </w:r>
      <w:r w:rsidR="00B54742" w:rsidRPr="002029AF">
        <w:t>s</w:t>
      </w:r>
      <w:r w:rsidR="000A5329" w:rsidRPr="002029AF">
        <w:t xml:space="preserve"> </w:t>
      </w:r>
      <w:r w:rsidR="00B54742" w:rsidRPr="002029AF">
        <w:t>safe,</w:t>
      </w:r>
      <w:r w:rsidR="000A5329" w:rsidRPr="002029AF">
        <w:t xml:space="preserve"> </w:t>
      </w:r>
      <w:r w:rsidR="00B54742" w:rsidRPr="002029AF">
        <w:t>healthy</w:t>
      </w:r>
      <w:r w:rsidR="000A5329" w:rsidRPr="002029AF">
        <w:t xml:space="preserve"> </w:t>
      </w:r>
      <w:r w:rsidR="00B54742" w:rsidRPr="002029AF">
        <w:t>and</w:t>
      </w:r>
      <w:r w:rsidR="000A5329" w:rsidRPr="002029AF">
        <w:t xml:space="preserve"> </w:t>
      </w:r>
      <w:r w:rsidR="00B54742" w:rsidRPr="002029AF">
        <w:t>able</w:t>
      </w:r>
      <w:r w:rsidR="000A5329" w:rsidRPr="002029AF">
        <w:t xml:space="preserve"> </w:t>
      </w:r>
      <w:r w:rsidR="00B54742" w:rsidRPr="002029AF">
        <w:t>to</w:t>
      </w:r>
      <w:r w:rsidR="000A5329" w:rsidRPr="002029AF">
        <w:t xml:space="preserve"> </w:t>
      </w:r>
      <w:r w:rsidR="00B54742" w:rsidRPr="002029AF">
        <w:t>live</w:t>
      </w:r>
      <w:r w:rsidR="000A5329" w:rsidRPr="002029AF">
        <w:t xml:space="preserve"> </w:t>
      </w:r>
      <w:r w:rsidR="00B54742" w:rsidRPr="002029AF">
        <w:t>a</w:t>
      </w:r>
      <w:r w:rsidR="000A5329" w:rsidRPr="002029AF">
        <w:t xml:space="preserve"> </w:t>
      </w:r>
      <w:r w:rsidR="00B54742" w:rsidRPr="002029AF">
        <w:t>life</w:t>
      </w:r>
      <w:r w:rsidR="000A5329" w:rsidRPr="002029AF">
        <w:t xml:space="preserve"> </w:t>
      </w:r>
      <w:r w:rsidR="000272A9" w:rsidRPr="002029AF">
        <w:t>they</w:t>
      </w:r>
      <w:r w:rsidR="000A5329" w:rsidRPr="002029AF">
        <w:t xml:space="preserve"> </w:t>
      </w:r>
      <w:r w:rsidR="000272A9" w:rsidRPr="002029AF">
        <w:t>value.</w:t>
      </w:r>
    </w:p>
    <w:p w14:paraId="5E3FF5DD" w14:textId="21B20938" w:rsidR="000272A9" w:rsidRPr="002029AF" w:rsidRDefault="000272A9" w:rsidP="004026AD">
      <w:pPr>
        <w:pStyle w:val="Heading2foreword"/>
      </w:pPr>
      <w:r w:rsidRPr="002029AF">
        <w:t>Our</w:t>
      </w:r>
      <w:r w:rsidR="000A5329" w:rsidRPr="002029AF">
        <w:t xml:space="preserve"> </w:t>
      </w:r>
      <w:r w:rsidR="008622AC">
        <w:t>f</w:t>
      </w:r>
      <w:r w:rsidR="00BD2E67">
        <w:t>ocus</w:t>
      </w:r>
    </w:p>
    <w:p w14:paraId="4173322E" w14:textId="737801C3" w:rsidR="0096489F" w:rsidRPr="002029AF" w:rsidRDefault="00D031C2" w:rsidP="00020FE5">
      <w:pPr>
        <w:pStyle w:val="ARbody"/>
        <w:spacing w:after="100"/>
      </w:pPr>
      <w:r w:rsidRPr="00D031C2">
        <w:t xml:space="preserve">Over the last five years a </w:t>
      </w:r>
      <w:r w:rsidR="00A41F05">
        <w:t>key</w:t>
      </w:r>
      <w:r w:rsidRPr="00D031C2">
        <w:t xml:space="preserve"> focus of our strategic plan has been building stronger connections between health and human services</w:t>
      </w:r>
      <w:r w:rsidR="00A41F05">
        <w:t>,</w:t>
      </w:r>
      <w:r w:rsidR="00753EC3">
        <w:t xml:space="preserve"> to make a difference and</w:t>
      </w:r>
      <w:r w:rsidRPr="00D031C2">
        <w:t xml:space="preserve"> improve people’s health and wellbeing. Out of the tragedy of the pandemic, quantum steps forward have been made. Adopting a focus on population health and wellbeing, local clusters of health services have formed and enabled stronger collaboration between primary, community, specialist and acute care.</w:t>
      </w:r>
    </w:p>
    <w:p w14:paraId="68F629F1" w14:textId="09699220" w:rsidR="00D031C2" w:rsidRPr="00D031C2" w:rsidRDefault="00D031C2" w:rsidP="00020FE5">
      <w:pPr>
        <w:pStyle w:val="ARbody"/>
        <w:spacing w:after="100"/>
      </w:pPr>
      <w:r w:rsidRPr="00D031C2">
        <w:t xml:space="preserve">And these clusters have forged stronger relationships with community sector organisations to tackle risks of infection prevention and control and support people isolating at home or in residential facilities. Health, mental health and social care </w:t>
      </w:r>
      <w:r>
        <w:t>have</w:t>
      </w:r>
      <w:r w:rsidRPr="00D031C2">
        <w:t xml:space="preserve"> been combined in novel ways to support the tenants of our public housing estates, our </w:t>
      </w:r>
      <w:r>
        <w:t>culturally and linguistically diverse</w:t>
      </w:r>
      <w:r w:rsidRPr="00D031C2">
        <w:t xml:space="preserve"> communities, people living in communal housing in the community, and our aged care facilities.</w:t>
      </w:r>
    </w:p>
    <w:p w14:paraId="0230EAE2" w14:textId="7250E19C" w:rsidR="00D031C2" w:rsidRPr="00D031C2" w:rsidRDefault="00D031C2" w:rsidP="00D031C2">
      <w:pPr>
        <w:pStyle w:val="ARbody"/>
      </w:pPr>
      <w:r w:rsidRPr="00D031C2">
        <w:t>A broad range of partners – local government, community health, primary health care networks, Aboriginal community and health services, and community sector partners – have worked together through incident management teams and cluster governance arrangements to engage with their local communities and rapidly design and deploy new service models. Technology has been used differently to connect people and support them to be safe and well at home.</w:t>
      </w:r>
    </w:p>
    <w:p w14:paraId="5069DEAE" w14:textId="4C13CCED" w:rsidR="00D031C2" w:rsidRPr="00D031C2" w:rsidRDefault="00D031C2" w:rsidP="00D031C2">
      <w:pPr>
        <w:pStyle w:val="ARbody"/>
      </w:pPr>
      <w:r w:rsidRPr="00D031C2">
        <w:t xml:space="preserve">Regional and local public health units </w:t>
      </w:r>
      <w:r w:rsidR="00753EC3">
        <w:t xml:space="preserve">will </w:t>
      </w:r>
      <w:r w:rsidRPr="00D031C2">
        <w:t xml:space="preserve">continue to be critical to our ongoing ability to prevent and contain </w:t>
      </w:r>
      <w:r w:rsidR="00170C22">
        <w:t>coronavirus (</w:t>
      </w:r>
      <w:r w:rsidRPr="00D031C2">
        <w:t>COVID-19</w:t>
      </w:r>
      <w:r w:rsidR="00170C22">
        <w:t>)</w:t>
      </w:r>
      <w:r w:rsidRPr="00D031C2">
        <w:t xml:space="preserve"> outbreaks. </w:t>
      </w:r>
      <w:r w:rsidR="00DF1208">
        <w:t>And</w:t>
      </w:r>
      <w:r w:rsidR="00020FE5">
        <w:t> </w:t>
      </w:r>
      <w:r w:rsidR="008622AC">
        <w:t xml:space="preserve">they will </w:t>
      </w:r>
      <w:r w:rsidRPr="008622AC">
        <w:t>provide</w:t>
      </w:r>
      <w:r w:rsidRPr="00D031C2">
        <w:t xml:space="preserve"> a basis for even stronger partnerships with local government on prevention and health protection for entire communities.</w:t>
      </w:r>
    </w:p>
    <w:p w14:paraId="08909886" w14:textId="572B9E80" w:rsidR="00D031C2" w:rsidRPr="00D031C2" w:rsidRDefault="00D031C2" w:rsidP="00D031C2">
      <w:pPr>
        <w:pStyle w:val="ARbody"/>
      </w:pPr>
      <w:r w:rsidRPr="00D031C2">
        <w:t xml:space="preserve">New departmental governance and emergency management operations have enabled sharing of evidence, data and intelligence on the ground. </w:t>
      </w:r>
      <w:r w:rsidR="008622AC">
        <w:t xml:space="preserve">At the same time, </w:t>
      </w:r>
      <w:r w:rsidRPr="00D031C2">
        <w:t>crisis structures have enabled</w:t>
      </w:r>
      <w:r w:rsidR="008622AC">
        <w:t xml:space="preserve"> the</w:t>
      </w:r>
      <w:r w:rsidRPr="00D031C2">
        <w:t xml:space="preserve"> rapid development, implementation and continuous improvement of policies and programs to support new ways of delivering services.</w:t>
      </w:r>
    </w:p>
    <w:p w14:paraId="35AFCD1A" w14:textId="5EEFA55D" w:rsidR="00D031C2" w:rsidRPr="00D031C2" w:rsidRDefault="00D031C2" w:rsidP="00D031C2">
      <w:pPr>
        <w:pStyle w:val="ARbody"/>
      </w:pPr>
      <w:r w:rsidRPr="00D031C2">
        <w:t xml:space="preserve">Not everything tried during the pandemic has worked or </w:t>
      </w:r>
      <w:r w:rsidR="00DF1208">
        <w:t>remains</w:t>
      </w:r>
      <w:r w:rsidRPr="00D031C2">
        <w:t xml:space="preserve"> the best way to deliver services going forward. But many of the innovative service models have received positive feedback from our patients and clients and have reached more people than ever before.</w:t>
      </w:r>
    </w:p>
    <w:p w14:paraId="0E22A4DA" w14:textId="404754F5" w:rsidR="002B48E7" w:rsidRPr="002029AF" w:rsidRDefault="00D031C2" w:rsidP="002B48E7">
      <w:pPr>
        <w:pStyle w:val="ARbody"/>
      </w:pPr>
      <w:r w:rsidRPr="00D031C2">
        <w:t xml:space="preserve">As we emerge from the second wave of the pandemic, there is an enormous opportunity to build on the trust, partnerships and innovations of </w:t>
      </w:r>
      <w:r w:rsidRPr="008622AC">
        <w:t xml:space="preserve">the last few months. </w:t>
      </w:r>
      <w:r w:rsidR="00DF1208" w:rsidRPr="007F32E0">
        <w:t>We look not to</w:t>
      </w:r>
      <w:r w:rsidRPr="007F32E0">
        <w:t xml:space="preserve"> retreat</w:t>
      </w:r>
      <w:r w:rsidR="008622AC" w:rsidRPr="00AB6C0B">
        <w:t>ing</w:t>
      </w:r>
      <w:r w:rsidRPr="008622AC">
        <w:t xml:space="preserve"> back to professional or sectoral silo</w:t>
      </w:r>
      <w:r w:rsidRPr="009F38F3">
        <w:t>s, but to further</w:t>
      </w:r>
      <w:r w:rsidRPr="00D031C2">
        <w:t xml:space="preserve"> develop</w:t>
      </w:r>
      <w:r w:rsidR="008622AC">
        <w:t>ing</w:t>
      </w:r>
      <w:r w:rsidRPr="00D031C2">
        <w:t xml:space="preserve"> and matur</w:t>
      </w:r>
      <w:r w:rsidR="008622AC">
        <w:t>ing</w:t>
      </w:r>
      <w:r w:rsidRPr="00D031C2">
        <w:t xml:space="preserve"> new models of care and new forms of partnership to enable local planning and commissioning of services.</w:t>
      </w:r>
    </w:p>
    <w:p w14:paraId="28FB401B" w14:textId="217CF7B5" w:rsidR="00172E03" w:rsidRPr="002029AF" w:rsidRDefault="00172E03" w:rsidP="004026AD">
      <w:pPr>
        <w:pStyle w:val="Heading2foreword"/>
      </w:pPr>
      <w:r w:rsidRPr="002029AF">
        <w:t>Our</w:t>
      </w:r>
      <w:r w:rsidR="000A5329" w:rsidRPr="002029AF">
        <w:t xml:space="preserve"> </w:t>
      </w:r>
      <w:r w:rsidR="007F32E0">
        <w:t>o</w:t>
      </w:r>
      <w:r w:rsidR="00D031C2">
        <w:t xml:space="preserve">ngoing </w:t>
      </w:r>
      <w:r w:rsidR="007F32E0">
        <w:t>c</w:t>
      </w:r>
      <w:r w:rsidR="00BD2E67">
        <w:t>ommitment</w:t>
      </w:r>
    </w:p>
    <w:p w14:paraId="31427CDD" w14:textId="5237A289" w:rsidR="00D031C2" w:rsidRPr="002029AF" w:rsidRDefault="001477ED" w:rsidP="00D031C2">
      <w:pPr>
        <w:pStyle w:val="ARbody"/>
      </w:pPr>
      <w:r>
        <w:t>Our ongoing work has</w:t>
      </w:r>
      <w:r w:rsidR="00D031C2" w:rsidRPr="002029AF">
        <w:t xml:space="preserve"> continued to build the capabilities of the workforces that deliver our services, creating jobs and strengthening the safety, quality, performance and design of our systems. We have </w:t>
      </w:r>
      <w:r>
        <w:t xml:space="preserve">continued to </w:t>
      </w:r>
      <w:r w:rsidR="00D031C2" w:rsidRPr="002029AF">
        <w:t xml:space="preserve">deepen our engagement with patients, clients, victim survivors, staff, funded agencies and communities to design </w:t>
      </w:r>
      <w:r w:rsidR="00D031C2" w:rsidRPr="002029AF">
        <w:lastRenderedPageBreak/>
        <w:t>and improve our services and to strengthen our internal systems, equipping our staff to deliver better outcomes.</w:t>
      </w:r>
    </w:p>
    <w:p w14:paraId="673EE87E" w14:textId="162353A9" w:rsidR="00172E03" w:rsidRPr="002029AF" w:rsidRDefault="00172E03" w:rsidP="00897193">
      <w:pPr>
        <w:pStyle w:val="ARbody"/>
      </w:pPr>
      <w:r w:rsidRPr="002029AF">
        <w:t>It</w:t>
      </w:r>
      <w:r w:rsidR="000A5329" w:rsidRPr="002029AF">
        <w:t xml:space="preserve"> </w:t>
      </w:r>
      <w:r w:rsidRPr="002029AF">
        <w:t>is</w:t>
      </w:r>
      <w:r w:rsidR="000A5329" w:rsidRPr="002029AF">
        <w:t xml:space="preserve"> </w:t>
      </w:r>
      <w:r w:rsidRPr="002029AF">
        <w:t>important</w:t>
      </w:r>
      <w:r w:rsidR="000A5329" w:rsidRPr="002029AF">
        <w:t xml:space="preserve"> </w:t>
      </w:r>
      <w:r w:rsidRPr="002029AF">
        <w:t>to</w:t>
      </w:r>
      <w:r w:rsidR="000A5329" w:rsidRPr="002029AF">
        <w:t xml:space="preserve"> </w:t>
      </w:r>
      <w:r w:rsidRPr="002029AF">
        <w:t>acknowledge</w:t>
      </w:r>
      <w:r w:rsidR="000A5329" w:rsidRPr="002029AF">
        <w:t xml:space="preserve"> </w:t>
      </w:r>
      <w:r w:rsidRPr="002029AF">
        <w:t>that</w:t>
      </w:r>
      <w:r w:rsidR="000A5329" w:rsidRPr="002029AF">
        <w:t xml:space="preserve"> </w:t>
      </w:r>
      <w:r w:rsidR="004349EF" w:rsidRPr="002029AF">
        <w:t>other</w:t>
      </w:r>
      <w:r w:rsidR="000A5329" w:rsidRPr="002029AF">
        <w:t xml:space="preserve"> </w:t>
      </w:r>
      <w:r w:rsidRPr="002029AF">
        <w:t>vital</w:t>
      </w:r>
      <w:r w:rsidR="000A5329" w:rsidRPr="002029AF">
        <w:t xml:space="preserve"> </w:t>
      </w:r>
      <w:r w:rsidRPr="002029AF">
        <w:t>work</w:t>
      </w:r>
      <w:r w:rsidR="000A5329" w:rsidRPr="002029AF">
        <w:t xml:space="preserve"> </w:t>
      </w:r>
      <w:r w:rsidRPr="002029AF">
        <w:t>continued</w:t>
      </w:r>
      <w:r w:rsidR="000A5329" w:rsidRPr="002029AF">
        <w:t xml:space="preserve"> </w:t>
      </w:r>
      <w:r w:rsidRPr="002029AF">
        <w:t>alongside</w:t>
      </w:r>
      <w:r w:rsidR="000A5329" w:rsidRPr="002029AF">
        <w:t xml:space="preserve"> </w:t>
      </w:r>
      <w:r w:rsidRPr="002029AF">
        <w:t>our</w:t>
      </w:r>
      <w:r w:rsidR="000A5329" w:rsidRPr="002029AF">
        <w:t xml:space="preserve"> </w:t>
      </w:r>
      <w:r w:rsidRPr="002029AF">
        <w:t>response</w:t>
      </w:r>
      <w:r w:rsidR="000A5329" w:rsidRPr="002029AF">
        <w:t xml:space="preserve"> </w:t>
      </w:r>
      <w:r w:rsidRPr="002029AF">
        <w:t>to</w:t>
      </w:r>
      <w:r w:rsidR="000A5329" w:rsidRPr="002029AF">
        <w:t xml:space="preserve"> </w:t>
      </w:r>
      <w:r w:rsidRPr="002029AF">
        <w:t>coronavirus</w:t>
      </w:r>
      <w:r w:rsidR="000A5329" w:rsidRPr="002029AF">
        <w:t xml:space="preserve"> </w:t>
      </w:r>
      <w:r w:rsidRPr="002029AF">
        <w:t>(CO</w:t>
      </w:r>
      <w:r w:rsidR="0059089D" w:rsidRPr="002029AF">
        <w:t>VID-19).</w:t>
      </w:r>
      <w:r w:rsidR="000A5329" w:rsidRPr="002029AF">
        <w:t xml:space="preserve"> </w:t>
      </w:r>
      <w:r w:rsidR="0059089D" w:rsidRPr="002029AF">
        <w:t>This</w:t>
      </w:r>
      <w:r w:rsidR="000A5329" w:rsidRPr="002029AF">
        <w:t xml:space="preserve"> </w:t>
      </w:r>
      <w:r w:rsidR="0059089D" w:rsidRPr="002029AF">
        <w:t>included:</w:t>
      </w:r>
    </w:p>
    <w:p w14:paraId="319DD6EB" w14:textId="4271E00D" w:rsidR="00F628AF" w:rsidRPr="002029AF" w:rsidRDefault="00304CAF" w:rsidP="00340CF4">
      <w:pPr>
        <w:pStyle w:val="ARbullet1"/>
      </w:pPr>
      <w:r w:rsidRPr="002029AF">
        <w:t>c</w:t>
      </w:r>
      <w:r w:rsidR="00340CF4" w:rsidRPr="002029AF">
        <w:t>oordinating</w:t>
      </w:r>
      <w:r w:rsidR="000A5329" w:rsidRPr="002029AF">
        <w:t xml:space="preserve"> </w:t>
      </w:r>
      <w:r w:rsidR="00340CF4" w:rsidRPr="002029AF">
        <w:t>health-related</w:t>
      </w:r>
      <w:r w:rsidR="000A5329" w:rsidRPr="002029AF">
        <w:t xml:space="preserve"> </w:t>
      </w:r>
      <w:r w:rsidR="00340CF4" w:rsidRPr="002029AF">
        <w:t>relief</w:t>
      </w:r>
      <w:r w:rsidR="000A5329" w:rsidRPr="002029AF">
        <w:t xml:space="preserve"> </w:t>
      </w:r>
      <w:r w:rsidR="00340CF4" w:rsidRPr="002029AF">
        <w:t>and</w:t>
      </w:r>
      <w:r w:rsidR="000A5329" w:rsidRPr="002029AF">
        <w:t xml:space="preserve"> </w:t>
      </w:r>
      <w:r w:rsidR="00340CF4" w:rsidRPr="002029AF">
        <w:t>recovery</w:t>
      </w:r>
      <w:r w:rsidR="000A5329" w:rsidRPr="002029AF">
        <w:t xml:space="preserve"> </w:t>
      </w:r>
      <w:r w:rsidR="00340CF4" w:rsidRPr="002029AF">
        <w:t>efforts</w:t>
      </w:r>
      <w:r w:rsidR="000A5329" w:rsidRPr="002029AF">
        <w:t xml:space="preserve"> </w:t>
      </w:r>
      <w:r w:rsidR="00340CF4" w:rsidRPr="002029AF">
        <w:t>for</w:t>
      </w:r>
      <w:r w:rsidR="000A5329" w:rsidRPr="002029AF">
        <w:t xml:space="preserve"> </w:t>
      </w:r>
      <w:r w:rsidR="00340CF4" w:rsidRPr="002029AF">
        <w:t>the</w:t>
      </w:r>
      <w:r w:rsidR="000A5329" w:rsidRPr="002029AF">
        <w:t xml:space="preserve"> </w:t>
      </w:r>
      <w:r w:rsidR="00340CF4" w:rsidRPr="002029AF">
        <w:t>Victorian</w:t>
      </w:r>
      <w:r w:rsidR="000A5329" w:rsidRPr="002029AF">
        <w:t xml:space="preserve"> </w:t>
      </w:r>
      <w:r w:rsidR="00340CF4" w:rsidRPr="002029AF">
        <w:t>bushfires</w:t>
      </w:r>
    </w:p>
    <w:p w14:paraId="36D5ED4E" w14:textId="654FF047" w:rsidR="00317370" w:rsidRPr="002029AF" w:rsidRDefault="00304CAF" w:rsidP="009950F3">
      <w:pPr>
        <w:pStyle w:val="ARbullet1"/>
        <w:keepLines/>
      </w:pPr>
      <w:r w:rsidRPr="002029AF">
        <w:t>e</w:t>
      </w:r>
      <w:r w:rsidR="00485CFC" w:rsidRPr="002029AF">
        <w:t>stablishing</w:t>
      </w:r>
      <w:r w:rsidR="000A5329" w:rsidRPr="002029AF">
        <w:t xml:space="preserve"> </w:t>
      </w:r>
      <w:r w:rsidR="00485CFC" w:rsidRPr="002029AF">
        <w:t>Mental</w:t>
      </w:r>
      <w:r w:rsidR="000A5329" w:rsidRPr="002029AF">
        <w:t xml:space="preserve"> </w:t>
      </w:r>
      <w:r w:rsidR="00485CFC" w:rsidRPr="002029AF">
        <w:t>Health</w:t>
      </w:r>
      <w:r w:rsidR="000A5329" w:rsidRPr="002029AF">
        <w:t xml:space="preserve"> </w:t>
      </w:r>
      <w:r w:rsidR="00485CFC" w:rsidRPr="002029AF">
        <w:t>Reform</w:t>
      </w:r>
      <w:r w:rsidR="000A5329" w:rsidRPr="002029AF">
        <w:t xml:space="preserve"> </w:t>
      </w:r>
      <w:r w:rsidR="00485CFC" w:rsidRPr="002029AF">
        <w:t>Victoria</w:t>
      </w:r>
      <w:r w:rsidR="000A5329" w:rsidRPr="002029AF">
        <w:t xml:space="preserve"> </w:t>
      </w:r>
      <w:r w:rsidR="00485CFC" w:rsidRPr="002029AF">
        <w:t>to</w:t>
      </w:r>
      <w:r w:rsidR="009950F3">
        <w:t> </w:t>
      </w:r>
      <w:r w:rsidR="00485CFC" w:rsidRPr="002029AF">
        <w:t>lead</w:t>
      </w:r>
      <w:r w:rsidR="000A5329" w:rsidRPr="002029AF">
        <w:t xml:space="preserve"> </w:t>
      </w:r>
      <w:r w:rsidR="00485CFC" w:rsidRPr="002029AF">
        <w:t>the</w:t>
      </w:r>
      <w:r w:rsidR="000A5329" w:rsidRPr="002029AF">
        <w:t xml:space="preserve"> </w:t>
      </w:r>
      <w:r w:rsidR="00485CFC" w:rsidRPr="002029AF">
        <w:t>implementation</w:t>
      </w:r>
      <w:r w:rsidR="000A5329" w:rsidRPr="002029AF">
        <w:t xml:space="preserve"> </w:t>
      </w:r>
      <w:r w:rsidR="00485CFC" w:rsidRPr="002029AF">
        <w:t>of</w:t>
      </w:r>
      <w:r w:rsidR="000A5329" w:rsidRPr="002029AF">
        <w:t xml:space="preserve"> </w:t>
      </w:r>
      <w:r w:rsidR="00485CFC" w:rsidRPr="002029AF">
        <w:t>the</w:t>
      </w:r>
      <w:r w:rsidR="000A5329" w:rsidRPr="002029AF">
        <w:t xml:space="preserve"> </w:t>
      </w:r>
      <w:r w:rsidR="004871EE" w:rsidRPr="002029AF">
        <w:t>Royal</w:t>
      </w:r>
      <w:r w:rsidR="000A5329" w:rsidRPr="002029AF">
        <w:t xml:space="preserve"> </w:t>
      </w:r>
      <w:r w:rsidR="004871EE" w:rsidRPr="002029AF">
        <w:t>Commission</w:t>
      </w:r>
      <w:r w:rsidR="000A5329" w:rsidRPr="002029AF">
        <w:t xml:space="preserve"> </w:t>
      </w:r>
      <w:r w:rsidR="004871EE" w:rsidRPr="002029AF">
        <w:t>into</w:t>
      </w:r>
      <w:r w:rsidR="000A5329" w:rsidRPr="002029AF">
        <w:t xml:space="preserve"> </w:t>
      </w:r>
      <w:r w:rsidR="004871EE" w:rsidRPr="002029AF">
        <w:t>Victoria’s</w:t>
      </w:r>
      <w:r w:rsidR="000A5329" w:rsidRPr="002029AF">
        <w:t xml:space="preserve"> </w:t>
      </w:r>
      <w:r w:rsidR="00FC1195" w:rsidRPr="002029AF">
        <w:t>Mental</w:t>
      </w:r>
      <w:r w:rsidR="000A5329" w:rsidRPr="002029AF">
        <w:t xml:space="preserve"> </w:t>
      </w:r>
      <w:r w:rsidR="00FC1195" w:rsidRPr="002029AF">
        <w:t>Health</w:t>
      </w:r>
      <w:r w:rsidR="000A5329" w:rsidRPr="002029AF">
        <w:t xml:space="preserve"> </w:t>
      </w:r>
      <w:r w:rsidR="00FC1195" w:rsidRPr="002029AF">
        <w:t>System</w:t>
      </w:r>
      <w:r w:rsidR="000A5329" w:rsidRPr="002029AF">
        <w:t xml:space="preserve"> </w:t>
      </w:r>
      <w:r w:rsidR="00FC1195" w:rsidRPr="002029AF">
        <w:t>recommendations</w:t>
      </w:r>
    </w:p>
    <w:p w14:paraId="7455CCBD" w14:textId="1E2EA25A" w:rsidR="00FC1195" w:rsidRPr="002029AF" w:rsidRDefault="00FC1195" w:rsidP="00340CF4">
      <w:pPr>
        <w:pStyle w:val="ARbullet1"/>
      </w:pPr>
      <w:r w:rsidRPr="002029AF">
        <w:t>extending</w:t>
      </w:r>
      <w:r w:rsidR="000A5329" w:rsidRPr="002029AF">
        <w:t xml:space="preserve"> </w:t>
      </w:r>
      <w:r w:rsidRPr="002029AF">
        <w:t>the</w:t>
      </w:r>
      <w:r w:rsidR="000A5329" w:rsidRPr="002029AF">
        <w:t xml:space="preserve"> </w:t>
      </w:r>
      <w:r w:rsidRPr="002029AF">
        <w:t>medically</w:t>
      </w:r>
      <w:r w:rsidR="000A5329" w:rsidRPr="002029AF">
        <w:t xml:space="preserve"> </w:t>
      </w:r>
      <w:r w:rsidRPr="002029AF">
        <w:t>supervised</w:t>
      </w:r>
      <w:r w:rsidR="000A5329" w:rsidRPr="002029AF">
        <w:t xml:space="preserve"> </w:t>
      </w:r>
      <w:r w:rsidRPr="002029AF">
        <w:t>injecting</w:t>
      </w:r>
      <w:r w:rsidR="009950F3">
        <w:t> </w:t>
      </w:r>
      <w:r w:rsidRPr="002029AF">
        <w:t>room</w:t>
      </w:r>
      <w:r w:rsidR="000A5329" w:rsidRPr="002029AF">
        <w:t xml:space="preserve"> </w:t>
      </w:r>
      <w:r w:rsidRPr="002029AF">
        <w:t>trial</w:t>
      </w:r>
      <w:r w:rsidR="000A5329" w:rsidRPr="002029AF">
        <w:t xml:space="preserve"> </w:t>
      </w:r>
      <w:r w:rsidRPr="002029AF">
        <w:t>in</w:t>
      </w:r>
      <w:r w:rsidR="000A5329" w:rsidRPr="002029AF">
        <w:t xml:space="preserve"> </w:t>
      </w:r>
      <w:r w:rsidRPr="002029AF">
        <w:t>North</w:t>
      </w:r>
      <w:r w:rsidR="000A5329" w:rsidRPr="002029AF">
        <w:t xml:space="preserve"> </w:t>
      </w:r>
      <w:r w:rsidRPr="002029AF">
        <w:t>Richmond</w:t>
      </w:r>
    </w:p>
    <w:p w14:paraId="241C650C" w14:textId="3EE2058C" w:rsidR="00F563A7" w:rsidRPr="002029AF" w:rsidRDefault="00C15E23" w:rsidP="00340CF4">
      <w:pPr>
        <w:pStyle w:val="ARbullet1"/>
      </w:pPr>
      <w:r w:rsidRPr="002029AF">
        <w:t>launching</w:t>
      </w:r>
      <w:r w:rsidR="000A5329" w:rsidRPr="002029AF">
        <w:t xml:space="preserve"> </w:t>
      </w:r>
      <w:r w:rsidRPr="002029AF">
        <w:t>Victoria’s</w:t>
      </w:r>
      <w:r w:rsidR="000A5329" w:rsidRPr="002029AF">
        <w:t xml:space="preserve"> </w:t>
      </w:r>
      <w:r w:rsidRPr="002029AF">
        <w:t>first</w:t>
      </w:r>
      <w:r w:rsidR="000A5329" w:rsidRPr="002029AF">
        <w:t xml:space="preserve"> </w:t>
      </w:r>
      <w:r w:rsidRPr="002029AF">
        <w:t>strategy</w:t>
      </w:r>
      <w:r w:rsidR="000A5329" w:rsidRPr="002029AF">
        <w:t xml:space="preserve"> </w:t>
      </w:r>
      <w:r w:rsidRPr="002029AF">
        <w:t>to</w:t>
      </w:r>
      <w:r w:rsidR="000A5329" w:rsidRPr="002029AF">
        <w:t xml:space="preserve"> </w:t>
      </w:r>
      <w:r w:rsidRPr="002029AF">
        <w:t>support</w:t>
      </w:r>
      <w:r w:rsidR="000A5329" w:rsidRPr="002029AF">
        <w:t xml:space="preserve"> </w:t>
      </w:r>
      <w:r w:rsidRPr="002029AF">
        <w:t>kinship,</w:t>
      </w:r>
      <w:r w:rsidR="000A5329" w:rsidRPr="002029AF">
        <w:t xml:space="preserve"> </w:t>
      </w:r>
      <w:r w:rsidRPr="002029AF">
        <w:t>foster</w:t>
      </w:r>
      <w:r w:rsidR="000A5329" w:rsidRPr="002029AF">
        <w:t xml:space="preserve"> </w:t>
      </w:r>
      <w:r w:rsidRPr="002029AF">
        <w:t>and</w:t>
      </w:r>
      <w:r w:rsidR="000A5329" w:rsidRPr="002029AF">
        <w:t xml:space="preserve"> </w:t>
      </w:r>
      <w:r w:rsidRPr="002029AF">
        <w:t>permanent</w:t>
      </w:r>
      <w:r w:rsidR="000A5329" w:rsidRPr="002029AF">
        <w:t xml:space="preserve"> </w:t>
      </w:r>
      <w:r w:rsidRPr="002029AF">
        <w:t>carers</w:t>
      </w:r>
    </w:p>
    <w:p w14:paraId="2F0E2C9C" w14:textId="1202A7BD" w:rsidR="00C15E23" w:rsidRPr="002029AF" w:rsidRDefault="00C15E23" w:rsidP="00340CF4">
      <w:pPr>
        <w:pStyle w:val="ARbullet1"/>
      </w:pPr>
      <w:r w:rsidRPr="002029AF">
        <w:t>introducing</w:t>
      </w:r>
      <w:r w:rsidR="000A5329" w:rsidRPr="002029AF">
        <w:t xml:space="preserve"> </w:t>
      </w:r>
      <w:r w:rsidRPr="002029AF">
        <w:t>legislation</w:t>
      </w:r>
      <w:r w:rsidR="000A5329" w:rsidRPr="002029AF">
        <w:t xml:space="preserve"> </w:t>
      </w:r>
      <w:r w:rsidRPr="002029AF">
        <w:t>to</w:t>
      </w:r>
      <w:r w:rsidR="000A5329" w:rsidRPr="002029AF">
        <w:t xml:space="preserve"> </w:t>
      </w:r>
      <w:r w:rsidRPr="002029AF">
        <w:t>include</w:t>
      </w:r>
      <w:r w:rsidR="000A5329" w:rsidRPr="002029AF">
        <w:t xml:space="preserve"> </w:t>
      </w:r>
      <w:r w:rsidRPr="002029AF">
        <w:t>people</w:t>
      </w:r>
      <w:r w:rsidR="000A5329" w:rsidRPr="002029AF">
        <w:t xml:space="preserve"> </w:t>
      </w:r>
      <w:r w:rsidRPr="002029AF">
        <w:t>in</w:t>
      </w:r>
      <w:r w:rsidR="000A5329" w:rsidRPr="002029AF">
        <w:t xml:space="preserve"> </w:t>
      </w:r>
      <w:r w:rsidRPr="002029AF">
        <w:t>religious</w:t>
      </w:r>
      <w:r w:rsidR="000A5329" w:rsidRPr="002029AF">
        <w:t xml:space="preserve"> </w:t>
      </w:r>
      <w:r w:rsidR="00FE1CA2" w:rsidRPr="002029AF">
        <w:t>ministry</w:t>
      </w:r>
      <w:r w:rsidR="000A5329" w:rsidRPr="002029AF">
        <w:t xml:space="preserve"> </w:t>
      </w:r>
      <w:r w:rsidR="00FE1CA2" w:rsidRPr="002029AF">
        <w:t>a</w:t>
      </w:r>
      <w:r w:rsidR="002B388E" w:rsidRPr="002029AF">
        <w:t>s</w:t>
      </w:r>
      <w:r w:rsidR="000A5329" w:rsidRPr="002029AF">
        <w:t xml:space="preserve"> </w:t>
      </w:r>
      <w:r w:rsidR="00FE1CA2" w:rsidRPr="002029AF">
        <w:t>mandatory</w:t>
      </w:r>
      <w:r w:rsidR="000A5329" w:rsidRPr="002029AF">
        <w:t xml:space="preserve"> </w:t>
      </w:r>
      <w:r w:rsidR="00FE1CA2" w:rsidRPr="002029AF">
        <w:t>reporters,</w:t>
      </w:r>
      <w:r w:rsidR="000A5329" w:rsidRPr="002029AF">
        <w:t xml:space="preserve"> </w:t>
      </w:r>
      <w:r w:rsidR="00FE1CA2" w:rsidRPr="002029AF">
        <w:t>further</w:t>
      </w:r>
      <w:r w:rsidR="009950F3">
        <w:t> </w:t>
      </w:r>
      <w:r w:rsidR="00FE1CA2" w:rsidRPr="002029AF">
        <w:t>protecting</w:t>
      </w:r>
      <w:r w:rsidR="000A5329" w:rsidRPr="002029AF">
        <w:t xml:space="preserve"> </w:t>
      </w:r>
      <w:r w:rsidR="00FE1CA2" w:rsidRPr="002029AF">
        <w:t>vulnerable</w:t>
      </w:r>
      <w:r w:rsidR="000A5329" w:rsidRPr="002029AF">
        <w:t xml:space="preserve"> </w:t>
      </w:r>
      <w:r w:rsidR="00FE1CA2" w:rsidRPr="002029AF">
        <w:t>children</w:t>
      </w:r>
    </w:p>
    <w:p w14:paraId="59E29409" w14:textId="6EA6372D" w:rsidR="00FE1CA2" w:rsidRPr="002029AF" w:rsidRDefault="00FE1CA2" w:rsidP="00340CF4">
      <w:pPr>
        <w:pStyle w:val="ARbullet1"/>
      </w:pPr>
      <w:r w:rsidRPr="002029AF">
        <w:t>funding</w:t>
      </w:r>
      <w:r w:rsidR="000A5329" w:rsidRPr="002029AF">
        <w:t xml:space="preserve"> </w:t>
      </w:r>
      <w:r w:rsidRPr="002029AF">
        <w:t>more</w:t>
      </w:r>
      <w:r w:rsidR="000A5329" w:rsidRPr="002029AF">
        <w:t xml:space="preserve"> </w:t>
      </w:r>
      <w:r w:rsidRPr="002029AF">
        <w:t>than</w:t>
      </w:r>
      <w:r w:rsidR="000A5329" w:rsidRPr="002029AF">
        <w:t xml:space="preserve"> </w:t>
      </w:r>
      <w:r w:rsidRPr="002029AF">
        <w:t>780</w:t>
      </w:r>
      <w:r w:rsidR="000A5329" w:rsidRPr="002029AF">
        <w:t xml:space="preserve"> </w:t>
      </w:r>
      <w:r w:rsidRPr="002029AF">
        <w:t>new</w:t>
      </w:r>
      <w:r w:rsidR="000A5329" w:rsidRPr="002029AF">
        <w:t xml:space="preserve"> </w:t>
      </w:r>
      <w:r w:rsidRPr="002029AF">
        <w:t>social</w:t>
      </w:r>
      <w:r w:rsidR="000A5329" w:rsidRPr="002029AF">
        <w:t xml:space="preserve"> </w:t>
      </w:r>
      <w:r w:rsidRPr="002029AF">
        <w:t>housing</w:t>
      </w:r>
      <w:r w:rsidR="000A5329" w:rsidRPr="002029AF">
        <w:t xml:space="preserve"> </w:t>
      </w:r>
      <w:r w:rsidRPr="002029AF">
        <w:t>dwellings</w:t>
      </w:r>
      <w:r w:rsidR="000A5329" w:rsidRPr="002029AF">
        <w:t xml:space="preserve"> </w:t>
      </w:r>
      <w:r w:rsidRPr="002029AF">
        <w:t>across</w:t>
      </w:r>
      <w:r w:rsidR="000A5329" w:rsidRPr="002029AF">
        <w:t xml:space="preserve"> </w:t>
      </w:r>
      <w:r w:rsidRPr="002029AF">
        <w:t>Victoria</w:t>
      </w:r>
    </w:p>
    <w:p w14:paraId="642B1059" w14:textId="7B5274EC" w:rsidR="00486A1D" w:rsidRPr="002029AF" w:rsidRDefault="0096312F" w:rsidP="00340CF4">
      <w:pPr>
        <w:pStyle w:val="ARbullet1"/>
      </w:pPr>
      <w:r w:rsidRPr="002029AF">
        <w:t>delivering</w:t>
      </w:r>
      <w:r w:rsidR="000A5329" w:rsidRPr="002029AF">
        <w:t xml:space="preserve"> </w:t>
      </w:r>
      <w:r w:rsidRPr="002029AF">
        <w:t>major</w:t>
      </w:r>
      <w:r w:rsidR="000A5329" w:rsidRPr="002029AF">
        <w:t xml:space="preserve"> </w:t>
      </w:r>
      <w:r w:rsidRPr="002029AF">
        <w:t>capital</w:t>
      </w:r>
      <w:r w:rsidR="000A5329" w:rsidRPr="002029AF">
        <w:t xml:space="preserve"> </w:t>
      </w:r>
      <w:r w:rsidRPr="002029AF">
        <w:t>investments,</w:t>
      </w:r>
      <w:r w:rsidR="000A5329" w:rsidRPr="002029AF">
        <w:t xml:space="preserve"> </w:t>
      </w:r>
      <w:r w:rsidRPr="002029AF">
        <w:t>including</w:t>
      </w:r>
      <w:r w:rsidR="000A5329" w:rsidRPr="002029AF">
        <w:t xml:space="preserve"> </w:t>
      </w:r>
      <w:r w:rsidRPr="002029AF">
        <w:t>the</w:t>
      </w:r>
      <w:r w:rsidR="000A5329" w:rsidRPr="002029AF">
        <w:t xml:space="preserve"> </w:t>
      </w:r>
      <w:r w:rsidRPr="002029AF">
        <w:t>Barwon</w:t>
      </w:r>
      <w:r w:rsidR="000A5329" w:rsidRPr="002029AF">
        <w:t xml:space="preserve"> </w:t>
      </w:r>
      <w:r w:rsidRPr="002029AF">
        <w:t>Health</w:t>
      </w:r>
      <w:r w:rsidR="000A5329" w:rsidRPr="002029AF">
        <w:t xml:space="preserve"> </w:t>
      </w:r>
      <w:r w:rsidRPr="002029AF">
        <w:t>North</w:t>
      </w:r>
      <w:r w:rsidR="000A5329" w:rsidRPr="002029AF">
        <w:t xml:space="preserve"> </w:t>
      </w:r>
      <w:r w:rsidRPr="002029AF">
        <w:t>facility,</w:t>
      </w:r>
      <w:r w:rsidR="000A5329" w:rsidRPr="002029AF">
        <w:t xml:space="preserve"> </w:t>
      </w:r>
      <w:r w:rsidRPr="002029AF">
        <w:t>Phillip</w:t>
      </w:r>
      <w:r w:rsidR="000A5329" w:rsidRPr="002029AF">
        <w:t xml:space="preserve"> </w:t>
      </w:r>
      <w:r w:rsidRPr="002029AF">
        <w:t>Island</w:t>
      </w:r>
      <w:r w:rsidR="000A5329" w:rsidRPr="002029AF">
        <w:t xml:space="preserve"> </w:t>
      </w:r>
      <w:r w:rsidRPr="002029AF">
        <w:t>Health</w:t>
      </w:r>
      <w:r w:rsidR="000A5329" w:rsidRPr="002029AF">
        <w:t xml:space="preserve"> </w:t>
      </w:r>
      <w:r w:rsidRPr="002029AF">
        <w:t>Hub</w:t>
      </w:r>
      <w:r w:rsidR="000A5329" w:rsidRPr="002029AF">
        <w:t xml:space="preserve"> </w:t>
      </w:r>
      <w:r w:rsidRPr="002029AF">
        <w:t>and</w:t>
      </w:r>
      <w:r w:rsidR="000A5329" w:rsidRPr="002029AF">
        <w:t xml:space="preserve"> </w:t>
      </w:r>
      <w:r w:rsidRPr="002029AF">
        <w:t>a</w:t>
      </w:r>
      <w:r w:rsidR="000A5329" w:rsidRPr="002029AF">
        <w:t xml:space="preserve"> </w:t>
      </w:r>
      <w:r w:rsidRPr="002029AF">
        <w:t>multipurpose</w:t>
      </w:r>
      <w:r w:rsidR="000A5329" w:rsidRPr="002029AF">
        <w:t xml:space="preserve"> </w:t>
      </w:r>
      <w:r w:rsidR="00AA7BB3" w:rsidRPr="002029AF">
        <w:t>hub</w:t>
      </w:r>
      <w:r w:rsidR="000A5329" w:rsidRPr="002029AF">
        <w:t xml:space="preserve"> </w:t>
      </w:r>
      <w:r w:rsidR="00AA7BB3" w:rsidRPr="002029AF">
        <w:t>for</w:t>
      </w:r>
      <w:r w:rsidR="000A5329" w:rsidRPr="002029AF">
        <w:t xml:space="preserve"> </w:t>
      </w:r>
      <w:r w:rsidR="00AA7BB3" w:rsidRPr="002029AF">
        <w:t>health</w:t>
      </w:r>
      <w:r w:rsidR="000A5329" w:rsidRPr="002029AF">
        <w:t xml:space="preserve"> </w:t>
      </w:r>
      <w:r w:rsidR="00AA7BB3" w:rsidRPr="002029AF">
        <w:t>and</w:t>
      </w:r>
      <w:r w:rsidR="000A5329" w:rsidRPr="002029AF">
        <w:t xml:space="preserve"> </w:t>
      </w:r>
      <w:r w:rsidR="00AA7BB3" w:rsidRPr="002029AF">
        <w:t>community</w:t>
      </w:r>
      <w:r w:rsidR="000A5329" w:rsidRPr="002029AF">
        <w:t xml:space="preserve"> </w:t>
      </w:r>
      <w:r w:rsidR="00AA7BB3" w:rsidRPr="002029AF">
        <w:t>services</w:t>
      </w:r>
      <w:r w:rsidR="000A5329" w:rsidRPr="002029AF">
        <w:t xml:space="preserve"> </w:t>
      </w:r>
      <w:r w:rsidR="00AA7BB3" w:rsidRPr="002029AF">
        <w:t>in</w:t>
      </w:r>
      <w:r w:rsidR="000A5329" w:rsidRPr="002029AF">
        <w:t xml:space="preserve"> </w:t>
      </w:r>
      <w:r w:rsidR="00AA7BB3" w:rsidRPr="002029AF">
        <w:t>Kyneton</w:t>
      </w:r>
    </w:p>
    <w:p w14:paraId="4F33FBB2" w14:textId="4952AB73" w:rsidR="00AA7BB3" w:rsidRPr="002029AF" w:rsidRDefault="00AA7BB3" w:rsidP="00340CF4">
      <w:pPr>
        <w:pStyle w:val="ARbullet1"/>
      </w:pPr>
      <w:r w:rsidRPr="002029AF">
        <w:t>increasing</w:t>
      </w:r>
      <w:r w:rsidR="000A5329" w:rsidRPr="002029AF">
        <w:t xml:space="preserve"> </w:t>
      </w:r>
      <w:r w:rsidRPr="002029AF">
        <w:t>community</w:t>
      </w:r>
      <w:r w:rsidR="000A5329" w:rsidRPr="002029AF">
        <w:t xml:space="preserve"> </w:t>
      </w:r>
      <w:r w:rsidRPr="002029AF">
        <w:t>participation</w:t>
      </w:r>
      <w:r w:rsidR="000A5329" w:rsidRPr="002029AF">
        <w:t xml:space="preserve"> </w:t>
      </w:r>
      <w:r w:rsidRPr="002029AF">
        <w:t>for</w:t>
      </w:r>
      <w:r w:rsidR="000A5329" w:rsidRPr="002029AF">
        <w:t xml:space="preserve"> </w:t>
      </w:r>
      <w:r w:rsidRPr="002029AF">
        <w:t>Victorians</w:t>
      </w:r>
      <w:r w:rsidR="009950F3">
        <w:t> </w:t>
      </w:r>
      <w:r w:rsidRPr="002029AF">
        <w:t>with</w:t>
      </w:r>
      <w:r w:rsidR="000A5329" w:rsidRPr="002029AF">
        <w:t xml:space="preserve"> </w:t>
      </w:r>
      <w:r w:rsidRPr="002029AF">
        <w:t>a</w:t>
      </w:r>
      <w:r w:rsidR="000A5329" w:rsidRPr="002029AF">
        <w:t xml:space="preserve"> </w:t>
      </w:r>
      <w:r w:rsidRPr="002029AF">
        <w:t>disability</w:t>
      </w:r>
      <w:r w:rsidR="000A5329" w:rsidRPr="002029AF">
        <w:t xml:space="preserve"> </w:t>
      </w:r>
      <w:r w:rsidRPr="002029AF">
        <w:t>throug</w:t>
      </w:r>
      <w:r w:rsidR="00042989" w:rsidRPr="002029AF">
        <w:t>h</w:t>
      </w:r>
      <w:r w:rsidR="000A5329" w:rsidRPr="002029AF">
        <w:t xml:space="preserve"> </w:t>
      </w:r>
      <w:r w:rsidR="00042989" w:rsidRPr="002029AF">
        <w:t>Victoria’s</w:t>
      </w:r>
      <w:r w:rsidR="000A5329" w:rsidRPr="002029AF">
        <w:t xml:space="preserve"> </w:t>
      </w:r>
      <w:r w:rsidR="00042989" w:rsidRPr="002029AF">
        <w:t>first</w:t>
      </w:r>
      <w:r w:rsidR="009950F3">
        <w:t> </w:t>
      </w:r>
      <w:r w:rsidR="00042989" w:rsidRPr="002029AF">
        <w:t>autism</w:t>
      </w:r>
      <w:r w:rsidR="000A5329" w:rsidRPr="002029AF">
        <w:t xml:space="preserve"> </w:t>
      </w:r>
      <w:r w:rsidR="00042989" w:rsidRPr="002029AF">
        <w:t>plan.</w:t>
      </w:r>
    </w:p>
    <w:p w14:paraId="232B2F4F" w14:textId="4E12FB52" w:rsidR="0097789F" w:rsidRPr="002029AF" w:rsidRDefault="00042989" w:rsidP="00DB53E6">
      <w:pPr>
        <w:pStyle w:val="ARbodyafterbullets"/>
      </w:pPr>
      <w:r w:rsidRPr="002029AF">
        <w:t>You</w:t>
      </w:r>
      <w:r w:rsidR="000A5329" w:rsidRPr="002029AF">
        <w:t xml:space="preserve"> </w:t>
      </w:r>
      <w:r w:rsidRPr="002029AF">
        <w:t>can</w:t>
      </w:r>
      <w:r w:rsidR="000A5329" w:rsidRPr="002029AF">
        <w:t xml:space="preserve"> </w:t>
      </w:r>
      <w:r w:rsidRPr="002029AF">
        <w:t>read</w:t>
      </w:r>
      <w:r w:rsidR="000A5329" w:rsidRPr="002029AF">
        <w:t xml:space="preserve"> </w:t>
      </w:r>
      <w:r w:rsidRPr="002029AF">
        <w:t>more</w:t>
      </w:r>
      <w:r w:rsidR="000A5329" w:rsidRPr="002029AF">
        <w:t xml:space="preserve"> </w:t>
      </w:r>
      <w:r w:rsidRPr="002029AF">
        <w:t>about</w:t>
      </w:r>
      <w:r w:rsidR="000A5329" w:rsidRPr="002029AF">
        <w:t xml:space="preserve"> </w:t>
      </w:r>
      <w:r w:rsidRPr="002029AF">
        <w:t>our</w:t>
      </w:r>
      <w:r w:rsidR="000A5329" w:rsidRPr="002029AF">
        <w:t xml:space="preserve"> </w:t>
      </w:r>
      <w:r w:rsidRPr="002029AF">
        <w:t>work</w:t>
      </w:r>
      <w:r w:rsidR="000A5329" w:rsidRPr="002029AF">
        <w:t xml:space="preserve"> </w:t>
      </w:r>
      <w:r w:rsidRPr="002029AF">
        <w:t>in</w:t>
      </w:r>
      <w:r w:rsidR="000A5329" w:rsidRPr="002029AF">
        <w:t xml:space="preserve"> </w:t>
      </w:r>
      <w:r w:rsidR="009950F3">
        <w:br/>
      </w:r>
      <w:r w:rsidRPr="002029AF">
        <w:t>201</w:t>
      </w:r>
      <w:r w:rsidR="00DB53E6" w:rsidRPr="002029AF">
        <w:t>9–</w:t>
      </w:r>
      <w:r w:rsidRPr="002029AF">
        <w:t>20</w:t>
      </w:r>
      <w:r w:rsidR="000A5329" w:rsidRPr="002029AF">
        <w:t xml:space="preserve"> </w:t>
      </w:r>
      <w:r w:rsidRPr="002029AF">
        <w:t>throughout</w:t>
      </w:r>
      <w:r w:rsidR="000A5329" w:rsidRPr="002029AF">
        <w:t xml:space="preserve"> </w:t>
      </w:r>
      <w:r w:rsidRPr="002029AF">
        <w:t>this</w:t>
      </w:r>
      <w:r w:rsidR="000A5329" w:rsidRPr="002029AF">
        <w:t xml:space="preserve"> </w:t>
      </w:r>
      <w:r w:rsidRPr="002029AF">
        <w:t>report.</w:t>
      </w:r>
    </w:p>
    <w:p w14:paraId="10942A70" w14:textId="656084F0" w:rsidR="00A1560D" w:rsidRPr="002029AF" w:rsidRDefault="00A1560D" w:rsidP="004026AD">
      <w:pPr>
        <w:pStyle w:val="Heading2foreword"/>
      </w:pPr>
      <w:r w:rsidRPr="002029AF">
        <w:t>Thank</w:t>
      </w:r>
      <w:r w:rsidR="000A5329" w:rsidRPr="002029AF">
        <w:t xml:space="preserve"> </w:t>
      </w:r>
      <w:r w:rsidRPr="002029AF">
        <w:t>you</w:t>
      </w:r>
    </w:p>
    <w:p w14:paraId="15CC4426" w14:textId="00973317" w:rsidR="00BD2E67" w:rsidRDefault="001477ED" w:rsidP="00BD2E67">
      <w:pPr>
        <w:pStyle w:val="ARbody"/>
      </w:pPr>
      <w:r w:rsidRPr="00BD2E67">
        <w:t>I would like to take this opportunity to acknowledge the</w:t>
      </w:r>
      <w:r w:rsidR="002F3409" w:rsidRPr="00BD2E67">
        <w:t xml:space="preserve"> significant </w:t>
      </w:r>
      <w:r w:rsidR="002F3409">
        <w:t xml:space="preserve">impact </w:t>
      </w:r>
      <w:r w:rsidR="0093627A">
        <w:t xml:space="preserve">of coronavirus (COVID-19) </w:t>
      </w:r>
      <w:r w:rsidR="002F3409">
        <w:t>on</w:t>
      </w:r>
      <w:r w:rsidR="00020FE5">
        <w:t> </w:t>
      </w:r>
      <w:r w:rsidR="002F3409">
        <w:t>families, communities and industries across the state. The</w:t>
      </w:r>
      <w:r w:rsidR="002F3409" w:rsidRPr="002029AF">
        <w:t xml:space="preserve"> response </w:t>
      </w:r>
      <w:r w:rsidR="002F3409">
        <w:t xml:space="preserve">required has been </w:t>
      </w:r>
      <w:r w:rsidR="002F3409" w:rsidRPr="002029AF">
        <w:t>a whole-of-community effort</w:t>
      </w:r>
      <w:r w:rsidR="002F3409">
        <w:t xml:space="preserve"> and one</w:t>
      </w:r>
      <w:r w:rsidR="002F3409" w:rsidRPr="002029AF">
        <w:t xml:space="preserve"> </w:t>
      </w:r>
      <w:r w:rsidR="002F3409">
        <w:t>where</w:t>
      </w:r>
      <w:r w:rsidR="002F3409" w:rsidRPr="002029AF">
        <w:t xml:space="preserve"> Victorians have risen to the challenge. </w:t>
      </w:r>
      <w:r w:rsidR="00BD2E67" w:rsidRPr="002029AF">
        <w:t>I have seen people act with</w:t>
      </w:r>
      <w:r w:rsidR="00020FE5">
        <w:t> </w:t>
      </w:r>
      <w:r w:rsidR="00BD2E67" w:rsidRPr="002029AF">
        <w:t>kindness and solidarity as they support the vulnerable, their neighbours and families</w:t>
      </w:r>
      <w:r w:rsidR="00BD2E67">
        <w:t>.</w:t>
      </w:r>
      <w:r w:rsidR="00BD2E67" w:rsidRPr="00BD2E67">
        <w:t xml:space="preserve"> </w:t>
      </w:r>
      <w:r w:rsidR="00BD2E67">
        <w:t>This time</w:t>
      </w:r>
      <w:r w:rsidR="002F3409" w:rsidRPr="002029AF">
        <w:t xml:space="preserve"> has not been easy</w:t>
      </w:r>
      <w:r w:rsidR="002F3409">
        <w:t xml:space="preserve"> and my sympathies are with those who have lost a loved one</w:t>
      </w:r>
      <w:r w:rsidR="00BD2E67">
        <w:t>.</w:t>
      </w:r>
    </w:p>
    <w:p w14:paraId="5DD56021" w14:textId="6B9CC031" w:rsidR="00BD2E67" w:rsidRPr="002029AF" w:rsidRDefault="00BD2E67" w:rsidP="00BD2E67">
      <w:pPr>
        <w:pStyle w:val="ARbody"/>
      </w:pPr>
      <w:r w:rsidRPr="002029AF">
        <w:t>My heartfelt thanks and appreciation go out to the thousands of dedicated staff across the department</w:t>
      </w:r>
      <w:r>
        <w:t xml:space="preserve"> and our partners</w:t>
      </w:r>
      <w:r w:rsidRPr="002029AF">
        <w:t xml:space="preserve"> </w:t>
      </w:r>
      <w:r w:rsidR="00CE0139">
        <w:t xml:space="preserve">for their positivity and dedication </w:t>
      </w:r>
      <w:r w:rsidR="00CE0139" w:rsidRPr="007F32E0">
        <w:t xml:space="preserve">to </w:t>
      </w:r>
      <w:r w:rsidR="00CE0139" w:rsidRPr="005432DB">
        <w:t>keep</w:t>
      </w:r>
      <w:r w:rsidR="007F32E0" w:rsidRPr="009F38F3">
        <w:t>ing</w:t>
      </w:r>
      <w:r w:rsidR="00CE0139" w:rsidRPr="009F38F3">
        <w:t xml:space="preserve"> Victorians safe and keep</w:t>
      </w:r>
      <w:r w:rsidR="007F32E0" w:rsidRPr="009F38F3">
        <w:t>ing</w:t>
      </w:r>
      <w:r w:rsidR="00CE0139" w:rsidRPr="00CB4DD6">
        <w:t xml:space="preserve"> hope alive</w:t>
      </w:r>
      <w:r w:rsidR="00CE0139">
        <w:t>.</w:t>
      </w:r>
      <w:r w:rsidRPr="002029AF">
        <w:t xml:space="preserve"> </w:t>
      </w:r>
      <w:r w:rsidR="00D33543">
        <w:rPr>
          <w:color w:val="201F1E"/>
        </w:rPr>
        <w:t>And</w:t>
      </w:r>
      <w:r w:rsidR="00E37245">
        <w:rPr>
          <w:color w:val="201F1E"/>
        </w:rPr>
        <w:t>,</w:t>
      </w:r>
      <w:r w:rsidR="00D33543">
        <w:rPr>
          <w:color w:val="201F1E"/>
        </w:rPr>
        <w:t xml:space="preserve"> of course</w:t>
      </w:r>
      <w:r w:rsidR="00E37245">
        <w:rPr>
          <w:color w:val="201F1E"/>
        </w:rPr>
        <w:t>,</w:t>
      </w:r>
      <w:r w:rsidR="00D33543">
        <w:rPr>
          <w:color w:val="201F1E"/>
        </w:rPr>
        <w:t xml:space="preserve"> to our communities for their unwavering commitment to helping us fight the coronavirus </w:t>
      </w:r>
      <w:r w:rsidR="0093627A">
        <w:rPr>
          <w:color w:val="201F1E"/>
        </w:rPr>
        <w:t xml:space="preserve">(COVID-19) </w:t>
      </w:r>
      <w:r w:rsidR="00D33543">
        <w:rPr>
          <w:color w:val="201F1E"/>
        </w:rPr>
        <w:t>pandemic.</w:t>
      </w:r>
    </w:p>
    <w:p w14:paraId="1C1FF19C" w14:textId="5E960BA7" w:rsidR="00E05C72" w:rsidRDefault="0007308C" w:rsidP="002B388E">
      <w:pPr>
        <w:pStyle w:val="ARbody"/>
      </w:pPr>
      <w:r w:rsidRPr="002029AF">
        <w:t>I</w:t>
      </w:r>
      <w:r w:rsidR="000A5329" w:rsidRPr="002029AF">
        <w:t xml:space="preserve"> </w:t>
      </w:r>
      <w:r w:rsidR="004F4DF0" w:rsidRPr="002029AF">
        <w:t>am</w:t>
      </w:r>
      <w:r w:rsidR="000A5329" w:rsidRPr="002029AF">
        <w:t xml:space="preserve"> </w:t>
      </w:r>
      <w:r w:rsidR="00CA3F48" w:rsidRPr="002029AF">
        <w:t>eternally</w:t>
      </w:r>
      <w:r w:rsidR="000A5329" w:rsidRPr="002029AF">
        <w:t xml:space="preserve"> </w:t>
      </w:r>
      <w:r w:rsidR="00CA3F48" w:rsidRPr="002029AF">
        <w:t>grateful</w:t>
      </w:r>
      <w:r w:rsidR="000A5329" w:rsidRPr="002029AF">
        <w:t xml:space="preserve"> </w:t>
      </w:r>
      <w:r w:rsidR="00CA3F48" w:rsidRPr="002029AF">
        <w:t>to</w:t>
      </w:r>
      <w:r w:rsidR="000A5329" w:rsidRPr="002029AF">
        <w:t xml:space="preserve"> </w:t>
      </w:r>
      <w:r w:rsidR="00CA3F48" w:rsidRPr="002029AF">
        <w:t>all</w:t>
      </w:r>
      <w:r w:rsidR="000A5329" w:rsidRPr="002029AF">
        <w:t xml:space="preserve"> </w:t>
      </w:r>
      <w:r w:rsidR="00CA3F48" w:rsidRPr="002029AF">
        <w:t>our</w:t>
      </w:r>
      <w:r w:rsidR="000A5329" w:rsidRPr="002029AF">
        <w:t xml:space="preserve"> </w:t>
      </w:r>
      <w:r w:rsidR="00CA3F48" w:rsidRPr="002029AF">
        <w:t>staff,</w:t>
      </w:r>
      <w:r w:rsidR="000A5329" w:rsidRPr="002029AF">
        <w:t xml:space="preserve"> </w:t>
      </w:r>
      <w:r w:rsidR="00CA3F48" w:rsidRPr="002029AF">
        <w:t>partners,</w:t>
      </w:r>
      <w:r w:rsidR="000A5329" w:rsidRPr="002029AF">
        <w:t xml:space="preserve"> </w:t>
      </w:r>
      <w:r w:rsidR="00CA3F48" w:rsidRPr="002029AF">
        <w:t>agencies</w:t>
      </w:r>
      <w:r w:rsidR="000A5329" w:rsidRPr="002029AF">
        <w:t xml:space="preserve"> </w:t>
      </w:r>
      <w:r w:rsidR="00CA3F48" w:rsidRPr="002029AF">
        <w:t>and</w:t>
      </w:r>
      <w:r w:rsidR="000A5329" w:rsidRPr="002029AF">
        <w:t xml:space="preserve"> </w:t>
      </w:r>
      <w:r w:rsidR="00CA3F48" w:rsidRPr="002029AF">
        <w:t>communities</w:t>
      </w:r>
      <w:r w:rsidR="000A5329" w:rsidRPr="002029AF">
        <w:t xml:space="preserve"> </w:t>
      </w:r>
      <w:r w:rsidR="00CA3F48" w:rsidRPr="002029AF">
        <w:t>whose</w:t>
      </w:r>
      <w:r w:rsidR="000A5329" w:rsidRPr="002029AF">
        <w:t xml:space="preserve"> </w:t>
      </w:r>
      <w:r w:rsidR="00CA3F48" w:rsidRPr="002029AF">
        <w:t>efforts,</w:t>
      </w:r>
      <w:r w:rsidR="000A5329" w:rsidRPr="002029AF">
        <w:t xml:space="preserve"> </w:t>
      </w:r>
      <w:r w:rsidR="00CA3F48" w:rsidRPr="002029AF">
        <w:t>commitment</w:t>
      </w:r>
      <w:r w:rsidR="000A5329" w:rsidRPr="002029AF">
        <w:t xml:space="preserve"> </w:t>
      </w:r>
      <w:r w:rsidR="00CA3F48" w:rsidRPr="002029AF">
        <w:t>and</w:t>
      </w:r>
      <w:r w:rsidR="000A5329" w:rsidRPr="002029AF">
        <w:t xml:space="preserve"> </w:t>
      </w:r>
      <w:r w:rsidR="00CA3F48" w:rsidRPr="002029AF">
        <w:t>leadership</w:t>
      </w:r>
      <w:r w:rsidR="000A5329" w:rsidRPr="002029AF">
        <w:t xml:space="preserve"> </w:t>
      </w:r>
      <w:r w:rsidR="00CA3F48" w:rsidRPr="002029AF">
        <w:t>continue</w:t>
      </w:r>
      <w:r w:rsidR="000A5329" w:rsidRPr="002029AF">
        <w:t xml:space="preserve"> </w:t>
      </w:r>
      <w:r w:rsidR="00CA3F48" w:rsidRPr="002029AF">
        <w:t>to</w:t>
      </w:r>
      <w:r w:rsidR="000A5329" w:rsidRPr="002029AF">
        <w:t xml:space="preserve"> </w:t>
      </w:r>
      <w:r w:rsidR="00CA3F48" w:rsidRPr="002029AF">
        <w:t>make</w:t>
      </w:r>
      <w:r w:rsidR="000A5329" w:rsidRPr="002029AF">
        <w:t xml:space="preserve"> </w:t>
      </w:r>
      <w:r w:rsidR="00CA3F48" w:rsidRPr="002029AF">
        <w:t>a</w:t>
      </w:r>
      <w:r w:rsidR="009950F3">
        <w:t> </w:t>
      </w:r>
      <w:r w:rsidR="00CA3F48" w:rsidRPr="002029AF">
        <w:t>very</w:t>
      </w:r>
      <w:r w:rsidR="000A5329" w:rsidRPr="002029AF">
        <w:t xml:space="preserve"> </w:t>
      </w:r>
      <w:r w:rsidR="00CA3F48" w:rsidRPr="002029AF">
        <w:t>real</w:t>
      </w:r>
      <w:r w:rsidR="000A5329" w:rsidRPr="002029AF">
        <w:t xml:space="preserve"> </w:t>
      </w:r>
      <w:r w:rsidR="00CA3F48" w:rsidRPr="002029AF">
        <w:t>difference</w:t>
      </w:r>
      <w:r w:rsidR="000A5329" w:rsidRPr="002029AF">
        <w:t xml:space="preserve"> </w:t>
      </w:r>
      <w:r w:rsidR="00CA3F48" w:rsidRPr="002029AF">
        <w:t>to</w:t>
      </w:r>
      <w:r w:rsidR="000A5329" w:rsidRPr="002029AF">
        <w:t xml:space="preserve"> </w:t>
      </w:r>
      <w:r w:rsidR="00CA3F48" w:rsidRPr="002029AF">
        <w:t>the</w:t>
      </w:r>
      <w:r w:rsidR="000A5329" w:rsidRPr="002029AF">
        <w:t xml:space="preserve"> </w:t>
      </w:r>
      <w:r w:rsidR="00CA3F48" w:rsidRPr="002029AF">
        <w:t>lives,</w:t>
      </w:r>
      <w:r w:rsidR="000A5329" w:rsidRPr="002029AF">
        <w:t xml:space="preserve"> </w:t>
      </w:r>
      <w:r w:rsidR="00CA3F48" w:rsidRPr="002029AF">
        <w:t>health</w:t>
      </w:r>
      <w:r w:rsidR="000A5329" w:rsidRPr="002029AF">
        <w:t xml:space="preserve"> </w:t>
      </w:r>
      <w:r w:rsidR="00CA3F48" w:rsidRPr="002029AF">
        <w:t>and</w:t>
      </w:r>
      <w:r w:rsidR="000A5329" w:rsidRPr="002029AF">
        <w:t xml:space="preserve"> </w:t>
      </w:r>
      <w:r w:rsidR="00CA3F48" w:rsidRPr="002029AF">
        <w:t>wellbeing</w:t>
      </w:r>
      <w:r w:rsidR="000A5329" w:rsidRPr="002029AF">
        <w:t xml:space="preserve"> </w:t>
      </w:r>
      <w:r w:rsidR="00CA3F48" w:rsidRPr="002029AF">
        <w:t>of</w:t>
      </w:r>
      <w:r w:rsidR="000A5329" w:rsidRPr="002029AF">
        <w:t xml:space="preserve"> </w:t>
      </w:r>
      <w:r w:rsidR="00CA3F48" w:rsidRPr="002029AF">
        <w:t>Victorians</w:t>
      </w:r>
      <w:r w:rsidR="00D33543">
        <w:t>.</w:t>
      </w:r>
    </w:p>
    <w:p w14:paraId="1480A4C6" w14:textId="77777777" w:rsidR="0055156D" w:rsidRPr="002029AF" w:rsidRDefault="0055156D" w:rsidP="0055156D">
      <w:pPr>
        <w:pStyle w:val="ARbody"/>
        <w:spacing w:before="400"/>
      </w:pPr>
      <w:r>
        <w:rPr>
          <w:noProof/>
          <w:lang w:eastAsia="en-AU" w:bidi="as-IN"/>
        </w:rPr>
        <w:drawing>
          <wp:inline distT="0" distB="0" distL="0" distR="0" wp14:anchorId="339298BA" wp14:editId="1C3E4255">
            <wp:extent cx="1204595" cy="672465"/>
            <wp:effectExtent l="0" t="0" r="0" b="0"/>
            <wp:docPr id="36" name="Picture 36" descr="Kim Peake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pic:nvPicPr>
                  <pic:blipFill>
                    <a:blip r:embed="rId38">
                      <a:extLst>
                        <a:ext uri="{28A0092B-C50C-407E-A947-70E740481C1C}">
                          <a14:useLocalDpi xmlns:a14="http://schemas.microsoft.com/office/drawing/2010/main" val="0"/>
                        </a:ext>
                      </a:extLst>
                    </a:blip>
                    <a:stretch>
                      <a:fillRect/>
                    </a:stretch>
                  </pic:blipFill>
                  <pic:spPr>
                    <a:xfrm>
                      <a:off x="0" y="0"/>
                      <a:ext cx="1204595" cy="672465"/>
                    </a:xfrm>
                    <a:prstGeom prst="rect">
                      <a:avLst/>
                    </a:prstGeom>
                  </pic:spPr>
                </pic:pic>
              </a:graphicData>
            </a:graphic>
          </wp:inline>
        </w:drawing>
      </w:r>
    </w:p>
    <w:p w14:paraId="263DFFFF" w14:textId="77777777" w:rsidR="0055156D" w:rsidRPr="002029AF" w:rsidRDefault="0055156D" w:rsidP="0055156D">
      <w:pPr>
        <w:pStyle w:val="ARbodynospace"/>
      </w:pPr>
      <w:r w:rsidRPr="002029AF">
        <w:t>Kym Peake</w:t>
      </w:r>
      <w:r w:rsidRPr="002029AF">
        <w:br/>
        <w:t>Secretary</w:t>
      </w:r>
      <w:r w:rsidRPr="002029AF">
        <w:br/>
        <w:t>Department of Health and Human Services</w:t>
      </w:r>
    </w:p>
    <w:p w14:paraId="5583A027" w14:textId="4A74C87F" w:rsidR="0055156D" w:rsidRPr="002029AF" w:rsidRDefault="0055156D" w:rsidP="002B388E">
      <w:pPr>
        <w:pStyle w:val="ARbody"/>
        <w:sectPr w:rsidR="0055156D" w:rsidRPr="002029AF" w:rsidSect="00C22356">
          <w:headerReference w:type="even" r:id="rId39"/>
          <w:headerReference w:type="default" r:id="rId40"/>
          <w:footerReference w:type="even" r:id="rId41"/>
          <w:headerReference w:type="first" r:id="rId42"/>
          <w:footnotePr>
            <w:numFmt w:val="chicago"/>
            <w:numRestart w:val="eachPage"/>
          </w:footnotePr>
          <w:endnotePr>
            <w:numFmt w:val="decimal"/>
          </w:endnotePr>
          <w:type w:val="continuous"/>
          <w:pgSz w:w="11900" w:h="16840" w:code="9"/>
          <w:pgMar w:top="1985" w:right="851" w:bottom="851" w:left="1418" w:header="510" w:footer="340" w:gutter="0"/>
          <w:cols w:num="2" w:space="454"/>
          <w15:footnoteColumns w:val="1"/>
        </w:sectPr>
      </w:pPr>
    </w:p>
    <w:p w14:paraId="267B658C" w14:textId="77777777" w:rsidR="00CF72D5" w:rsidRPr="002029AF" w:rsidRDefault="00CF72D5" w:rsidP="00B442E2">
      <w:pPr>
        <w:pStyle w:val="ARbody"/>
      </w:pPr>
    </w:p>
    <w:p w14:paraId="03BE1148" w14:textId="77777777" w:rsidR="006A3638" w:rsidRPr="002029AF" w:rsidRDefault="006A3638" w:rsidP="00B442E2">
      <w:pPr>
        <w:pStyle w:val="ARbody"/>
        <w:sectPr w:rsidR="006A3638" w:rsidRPr="002029AF" w:rsidSect="00C22356">
          <w:footnotePr>
            <w:numFmt w:val="chicago"/>
            <w:numRestart w:val="eachPage"/>
          </w:footnotePr>
          <w:endnotePr>
            <w:numFmt w:val="decimal"/>
          </w:endnotePr>
          <w:type w:val="continuous"/>
          <w:pgSz w:w="11900" w:h="16840" w:code="9"/>
          <w:pgMar w:top="1985" w:right="851" w:bottom="851" w:left="1418" w:header="510" w:footer="340" w:gutter="0"/>
          <w:cols w:num="2" w:space="454"/>
          <w15:footnoteColumns w:val="1"/>
        </w:sectPr>
      </w:pPr>
      <w:bookmarkStart w:id="5" w:name="_Ref492894141"/>
      <w:bookmarkStart w:id="6" w:name="_Toc21682716"/>
    </w:p>
    <w:p w14:paraId="579ABEC2" w14:textId="417A1680" w:rsidR="00770DE1" w:rsidRPr="002029AF" w:rsidRDefault="00770DE1" w:rsidP="00C22356">
      <w:pPr>
        <w:pStyle w:val="Heading1"/>
      </w:pPr>
      <w:bookmarkStart w:id="7" w:name="_Toc54690763"/>
      <w:r w:rsidRPr="002029AF">
        <w:lastRenderedPageBreak/>
        <w:t>Introduction</w:t>
      </w:r>
      <w:bookmarkEnd w:id="7"/>
    </w:p>
    <w:bookmarkEnd w:id="5"/>
    <w:bookmarkEnd w:id="6"/>
    <w:p w14:paraId="2AE73E14" w14:textId="77777777" w:rsidR="00B442E2" w:rsidRPr="002029AF" w:rsidRDefault="00B442E2" w:rsidP="00C22356">
      <w:pPr>
        <w:pStyle w:val="Heading2"/>
        <w:spacing w:before="200"/>
        <w:sectPr w:rsidR="00B442E2" w:rsidRPr="002029AF" w:rsidSect="003566F1">
          <w:footnotePr>
            <w:numFmt w:val="chicago"/>
            <w:numRestart w:val="eachPage"/>
          </w:footnotePr>
          <w:endnotePr>
            <w:numFmt w:val="decimal"/>
          </w:endnotePr>
          <w:pgSz w:w="11900" w:h="16840" w:code="9"/>
          <w:pgMar w:top="1985" w:right="851" w:bottom="851" w:left="1418" w:header="510" w:footer="340" w:gutter="0"/>
          <w:cols w:space="454"/>
          <w15:footnoteColumns w:val="1"/>
        </w:sectPr>
      </w:pPr>
    </w:p>
    <w:p w14:paraId="66950C63" w14:textId="3CFEDD3D" w:rsidR="00770DE1" w:rsidRPr="002029AF" w:rsidRDefault="00770DE1" w:rsidP="003566F1">
      <w:pPr>
        <w:pStyle w:val="Heading2"/>
        <w:spacing w:before="0"/>
      </w:pPr>
      <w:r w:rsidRPr="002029AF">
        <w:t>Our</w:t>
      </w:r>
      <w:r w:rsidR="000A5329" w:rsidRPr="002029AF">
        <w:t xml:space="preserve"> </w:t>
      </w:r>
      <w:r w:rsidRPr="002029AF">
        <w:t>vision</w:t>
      </w:r>
    </w:p>
    <w:p w14:paraId="7F093217" w14:textId="25480712" w:rsidR="00770DE1" w:rsidRPr="002029AF" w:rsidRDefault="00770DE1" w:rsidP="00FE1BE0">
      <w:pPr>
        <w:pStyle w:val="ARbody"/>
      </w:pPr>
      <w:r w:rsidRPr="002029AF">
        <w:rPr>
          <w:lang w:eastAsia="en-AU"/>
        </w:rPr>
        <w:t>To</w:t>
      </w:r>
      <w:r w:rsidR="000A5329" w:rsidRPr="002029AF">
        <w:rPr>
          <w:lang w:eastAsia="en-AU"/>
        </w:rPr>
        <w:t xml:space="preserve"> </w:t>
      </w:r>
      <w:r w:rsidRPr="002029AF">
        <w:rPr>
          <w:lang w:eastAsia="en-AU"/>
        </w:rPr>
        <w:t>achieve</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best</w:t>
      </w:r>
      <w:r w:rsidR="000A5329" w:rsidRPr="002029AF">
        <w:rPr>
          <w:lang w:eastAsia="en-AU"/>
        </w:rPr>
        <w:t xml:space="preserve"> </w:t>
      </w:r>
      <w:r w:rsidRPr="002029AF">
        <w:rPr>
          <w:lang w:eastAsia="en-AU"/>
        </w:rPr>
        <w:t>health,</w:t>
      </w:r>
      <w:r w:rsidR="000A5329" w:rsidRPr="002029AF">
        <w:rPr>
          <w:lang w:eastAsia="en-AU"/>
        </w:rPr>
        <w:t xml:space="preserve"> </w:t>
      </w:r>
      <w:r w:rsidRPr="002029AF">
        <w:rPr>
          <w:lang w:eastAsia="en-AU"/>
        </w:rPr>
        <w:t>wellbeing</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safety</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all</w:t>
      </w:r>
      <w:r w:rsidR="000A5329" w:rsidRPr="002029AF">
        <w:rPr>
          <w:lang w:eastAsia="en-AU"/>
        </w:rPr>
        <w:t xml:space="preserve"> </w:t>
      </w:r>
      <w:r w:rsidRPr="002029AF">
        <w:rPr>
          <w:lang w:eastAsia="en-AU"/>
        </w:rPr>
        <w:t>Victorians</w:t>
      </w:r>
      <w:r w:rsidR="000A5329" w:rsidRPr="002029AF">
        <w:rPr>
          <w:lang w:eastAsia="en-AU"/>
        </w:rPr>
        <w:t xml:space="preserve"> </w:t>
      </w:r>
      <w:r w:rsidRPr="002029AF">
        <w:rPr>
          <w:lang w:eastAsia="en-AU"/>
        </w:rPr>
        <w:t>so</w:t>
      </w:r>
      <w:r w:rsidR="000A5329" w:rsidRPr="002029AF">
        <w:rPr>
          <w:lang w:eastAsia="en-AU"/>
        </w:rPr>
        <w:t xml:space="preserve"> </w:t>
      </w:r>
      <w:r w:rsidRPr="002029AF">
        <w:rPr>
          <w:lang w:eastAsia="en-AU"/>
        </w:rPr>
        <w:t>that</w:t>
      </w:r>
      <w:r w:rsidR="000A5329" w:rsidRPr="002029AF">
        <w:rPr>
          <w:lang w:eastAsia="en-AU"/>
        </w:rPr>
        <w:t xml:space="preserve"> </w:t>
      </w:r>
      <w:r w:rsidRPr="002029AF">
        <w:rPr>
          <w:lang w:eastAsia="en-AU"/>
        </w:rPr>
        <w:t>they</w:t>
      </w:r>
      <w:r w:rsidR="000A5329" w:rsidRPr="002029AF">
        <w:rPr>
          <w:lang w:eastAsia="en-AU"/>
        </w:rPr>
        <w:t xml:space="preserve"> </w:t>
      </w:r>
      <w:r w:rsidRPr="002029AF">
        <w:rPr>
          <w:lang w:eastAsia="en-AU"/>
        </w:rPr>
        <w:t>can</w:t>
      </w:r>
      <w:r w:rsidR="000A5329" w:rsidRPr="002029AF">
        <w:rPr>
          <w:lang w:eastAsia="en-AU"/>
        </w:rPr>
        <w:t xml:space="preserve"> </w:t>
      </w:r>
      <w:r w:rsidRPr="002029AF">
        <w:rPr>
          <w:lang w:eastAsia="en-AU"/>
        </w:rPr>
        <w:t>live</w:t>
      </w:r>
      <w:r w:rsidR="000A5329" w:rsidRPr="002029AF">
        <w:rPr>
          <w:lang w:eastAsia="en-AU"/>
        </w:rPr>
        <w:t xml:space="preserve"> </w:t>
      </w:r>
      <w:r w:rsidRPr="002029AF">
        <w:rPr>
          <w:lang w:eastAsia="en-AU"/>
        </w:rPr>
        <w:t>a</w:t>
      </w:r>
      <w:r w:rsidR="000A5329" w:rsidRPr="002029AF">
        <w:rPr>
          <w:lang w:eastAsia="en-AU"/>
        </w:rPr>
        <w:t xml:space="preserve"> </w:t>
      </w:r>
      <w:r w:rsidRPr="002029AF">
        <w:rPr>
          <w:lang w:eastAsia="en-AU"/>
        </w:rPr>
        <w:t>life</w:t>
      </w:r>
      <w:r w:rsidR="000A5329" w:rsidRPr="002029AF">
        <w:rPr>
          <w:lang w:eastAsia="en-AU"/>
        </w:rPr>
        <w:t xml:space="preserve"> </w:t>
      </w:r>
      <w:r w:rsidRPr="002029AF">
        <w:rPr>
          <w:lang w:eastAsia="en-AU"/>
        </w:rPr>
        <w:t>they</w:t>
      </w:r>
      <w:r w:rsidR="000A5329" w:rsidRPr="002029AF">
        <w:rPr>
          <w:lang w:eastAsia="en-AU"/>
        </w:rPr>
        <w:t xml:space="preserve"> </w:t>
      </w:r>
      <w:r w:rsidRPr="002029AF">
        <w:rPr>
          <w:lang w:eastAsia="en-AU"/>
        </w:rPr>
        <w:t>value.</w:t>
      </w:r>
    </w:p>
    <w:p w14:paraId="1ED38D6D" w14:textId="65FA872E" w:rsidR="00770DE1" w:rsidRPr="002029AF" w:rsidRDefault="00770DE1" w:rsidP="00C22356">
      <w:pPr>
        <w:pStyle w:val="Heading2"/>
      </w:pPr>
      <w:r w:rsidRPr="002029AF">
        <w:t>Our</w:t>
      </w:r>
      <w:r w:rsidR="000A5329" w:rsidRPr="002029AF">
        <w:t xml:space="preserve"> </w:t>
      </w:r>
      <w:r w:rsidRPr="002029AF">
        <w:t>values</w:t>
      </w:r>
    </w:p>
    <w:p w14:paraId="34E545D2" w14:textId="5BAB61E2" w:rsidR="00770DE1" w:rsidRPr="002029AF" w:rsidRDefault="00770DE1" w:rsidP="00FE1BE0">
      <w:pPr>
        <w:pStyle w:val="ARbody"/>
      </w:pPr>
      <w:r w:rsidRPr="002029AF">
        <w:t>Our</w:t>
      </w:r>
      <w:r w:rsidR="000A5329" w:rsidRPr="002029AF">
        <w:t xml:space="preserve"> </w:t>
      </w:r>
      <w:r w:rsidRPr="002029AF">
        <w:t>values</w:t>
      </w:r>
      <w:r w:rsidR="000A5329" w:rsidRPr="002029AF">
        <w:t xml:space="preserve"> </w:t>
      </w:r>
      <w:r w:rsidRPr="002029AF">
        <w:t>describe</w:t>
      </w:r>
      <w:r w:rsidR="000A5329" w:rsidRPr="002029AF">
        <w:t xml:space="preserve"> </w:t>
      </w:r>
      <w:r w:rsidRPr="002029AF">
        <w:t>what</w:t>
      </w:r>
      <w:r w:rsidR="000A5329" w:rsidRPr="002029AF">
        <w:t xml:space="preserve"> </w:t>
      </w:r>
      <w:r w:rsidRPr="002029AF">
        <w:t>we</w:t>
      </w:r>
      <w:r w:rsidR="000A5329" w:rsidRPr="002029AF">
        <w:t xml:space="preserve"> </w:t>
      </w:r>
      <w:r w:rsidRPr="002029AF">
        <w:t>stand</w:t>
      </w:r>
      <w:r w:rsidR="000A5329" w:rsidRPr="002029AF">
        <w:t xml:space="preserve"> </w:t>
      </w:r>
      <w:r w:rsidRPr="002029AF">
        <w:t>for</w:t>
      </w:r>
      <w:r w:rsidR="000A5329" w:rsidRPr="002029AF">
        <w:t xml:space="preserve"> </w:t>
      </w:r>
      <w:r w:rsidRPr="002029AF">
        <w:t>at</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how</w:t>
      </w:r>
      <w:r w:rsidR="000A5329" w:rsidRPr="002029AF">
        <w:t xml:space="preserve"> </w:t>
      </w:r>
      <w:r w:rsidRPr="002029AF">
        <w:t>we</w:t>
      </w:r>
      <w:r w:rsidR="000A5329" w:rsidRPr="002029AF">
        <w:t xml:space="preserve"> </w:t>
      </w:r>
      <w:r w:rsidRPr="002029AF">
        <w:t>want</w:t>
      </w:r>
      <w:r w:rsidR="000A5329" w:rsidRPr="002029AF">
        <w:t xml:space="preserve"> </w:t>
      </w:r>
      <w:r w:rsidRPr="002029AF">
        <w:t>to</w:t>
      </w:r>
      <w:r w:rsidR="000A5329" w:rsidRPr="002029AF">
        <w:t xml:space="preserve"> </w:t>
      </w:r>
      <w:r w:rsidRPr="002029AF">
        <w:t>make</w:t>
      </w:r>
      <w:r w:rsidR="000A5329" w:rsidRPr="002029AF">
        <w:t xml:space="preserve"> </w:t>
      </w:r>
      <w:r w:rsidRPr="002029AF">
        <w:t>decisions</w:t>
      </w:r>
      <w:r w:rsidR="000A5329" w:rsidRPr="002029AF">
        <w:t xml:space="preserve"> </w:t>
      </w:r>
      <w:r w:rsidRPr="002029AF">
        <w:t>and</w:t>
      </w:r>
      <w:r w:rsidR="009950F3">
        <w:t> </w:t>
      </w:r>
      <w:r w:rsidRPr="002029AF">
        <w:t>how</w:t>
      </w:r>
      <w:r w:rsidR="000A5329" w:rsidRPr="002029AF">
        <w:t xml:space="preserve"> </w:t>
      </w:r>
      <w:r w:rsidRPr="002029AF">
        <w:t>we</w:t>
      </w:r>
      <w:r w:rsidR="000A5329" w:rsidRPr="002029AF">
        <w:t xml:space="preserve"> </w:t>
      </w:r>
      <w:r w:rsidRPr="002029AF">
        <w:t>expect</w:t>
      </w:r>
      <w:r w:rsidR="000A5329" w:rsidRPr="002029AF">
        <w:t xml:space="preserve"> </w:t>
      </w:r>
      <w:r w:rsidRPr="002029AF">
        <w:t>each</w:t>
      </w:r>
      <w:r w:rsidR="000A5329" w:rsidRPr="002029AF">
        <w:t xml:space="preserve"> </w:t>
      </w:r>
      <w:r w:rsidRPr="002029AF">
        <w:t>other</w:t>
      </w:r>
      <w:r w:rsidR="000A5329" w:rsidRPr="002029AF">
        <w:t xml:space="preserve"> </w:t>
      </w:r>
      <w:r w:rsidRPr="002029AF">
        <w:t>to</w:t>
      </w:r>
      <w:r w:rsidR="000A5329" w:rsidRPr="002029AF">
        <w:t xml:space="preserve"> </w:t>
      </w:r>
      <w:r w:rsidRPr="002029AF">
        <w:t>behave.</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708"/>
        <w:gridCol w:w="3880"/>
      </w:tblGrid>
      <w:tr w:rsidR="00770DE1" w:rsidRPr="002029AF" w14:paraId="78D7081B" w14:textId="77777777" w:rsidTr="2B634061">
        <w:tc>
          <w:tcPr>
            <w:tcW w:w="708" w:type="dxa"/>
            <w:tcMar>
              <w:top w:w="57" w:type="dxa"/>
            </w:tcMar>
            <w:vAlign w:val="center"/>
          </w:tcPr>
          <w:p w14:paraId="5AB45E1B" w14:textId="77777777" w:rsidR="00770DE1" w:rsidRPr="002029AF" w:rsidRDefault="23064F71" w:rsidP="00C22356">
            <w:r>
              <w:rPr>
                <w:noProof/>
                <w:lang w:bidi="as-IN"/>
              </w:rPr>
              <w:drawing>
                <wp:inline distT="0" distB="0" distL="0" distR="0" wp14:anchorId="424A1D48" wp14:editId="23DCB244">
                  <wp:extent cx="378000" cy="378000"/>
                  <wp:effectExtent l="0" t="0" r="3175" b="3175"/>
                  <wp:docPr id="33" name="Picture 33" descr="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78000" cy="378000"/>
                          </a:xfrm>
                          <a:prstGeom prst="rect">
                            <a:avLst/>
                          </a:prstGeom>
                        </pic:spPr>
                      </pic:pic>
                    </a:graphicData>
                  </a:graphic>
                </wp:inline>
              </w:drawing>
            </w:r>
          </w:p>
        </w:tc>
        <w:tc>
          <w:tcPr>
            <w:tcW w:w="3880" w:type="dxa"/>
            <w:tcMar>
              <w:top w:w="57" w:type="dxa"/>
            </w:tcMar>
            <w:vAlign w:val="center"/>
          </w:tcPr>
          <w:p w14:paraId="548B2353" w14:textId="39109387" w:rsidR="00770DE1" w:rsidRPr="002029AF" w:rsidRDefault="00770DE1" w:rsidP="005231C4">
            <w:pPr>
              <w:pStyle w:val="ARbody"/>
              <w:rPr>
                <w:b/>
                <w:bCs/>
                <w:color w:val="87189D"/>
              </w:rPr>
            </w:pPr>
            <w:r w:rsidRPr="002029AF">
              <w:rPr>
                <w:b/>
                <w:bCs/>
                <w:color w:val="87189D"/>
              </w:rPr>
              <w:t>We</w:t>
            </w:r>
            <w:r w:rsidR="000A5329" w:rsidRPr="002029AF">
              <w:rPr>
                <w:b/>
                <w:bCs/>
                <w:color w:val="87189D"/>
              </w:rPr>
              <w:t xml:space="preserve"> </w:t>
            </w:r>
            <w:r w:rsidRPr="002029AF">
              <w:rPr>
                <w:b/>
                <w:bCs/>
                <w:color w:val="87189D"/>
              </w:rPr>
              <w:t>are</w:t>
            </w:r>
            <w:r w:rsidR="000A5329" w:rsidRPr="002029AF">
              <w:rPr>
                <w:b/>
                <w:bCs/>
                <w:color w:val="87189D"/>
              </w:rPr>
              <w:t xml:space="preserve"> </w:t>
            </w:r>
            <w:r w:rsidRPr="002029AF">
              <w:rPr>
                <w:b/>
                <w:bCs/>
                <w:color w:val="87189D"/>
              </w:rPr>
              <w:t>respectful</w:t>
            </w:r>
          </w:p>
        </w:tc>
      </w:tr>
    </w:tbl>
    <w:p w14:paraId="6C5EF5A8" w14:textId="64BDD0E4" w:rsidR="00770DE1" w:rsidRPr="002029AF" w:rsidRDefault="00770DE1" w:rsidP="001E768A">
      <w:pPr>
        <w:pStyle w:val="ARbullet1"/>
        <w:ind w:left="568"/>
      </w:pPr>
      <w:r w:rsidRPr="002029AF">
        <w:t>We</w:t>
      </w:r>
      <w:r w:rsidR="000A5329" w:rsidRPr="002029AF">
        <w:t xml:space="preserve"> </w:t>
      </w:r>
      <w:r w:rsidRPr="002029AF">
        <w:t>treat</w:t>
      </w:r>
      <w:r w:rsidR="000A5329" w:rsidRPr="002029AF">
        <w:t xml:space="preserve"> </w:t>
      </w:r>
      <w:r w:rsidRPr="002029AF">
        <w:t>people</w:t>
      </w:r>
      <w:r w:rsidR="000A5329" w:rsidRPr="002029AF">
        <w:t xml:space="preserve"> </w:t>
      </w:r>
      <w:r w:rsidRPr="002029AF">
        <w:t>with</w:t>
      </w:r>
      <w:r w:rsidR="000A5329" w:rsidRPr="002029AF">
        <w:t xml:space="preserve"> </w:t>
      </w:r>
      <w:r w:rsidRPr="002029AF">
        <w:t>fairness,</w:t>
      </w:r>
      <w:r w:rsidR="000A5329" w:rsidRPr="002029AF">
        <w:t xml:space="preserve"> </w:t>
      </w:r>
      <w:r w:rsidRPr="002029AF">
        <w:t>objectivity</w:t>
      </w:r>
      <w:r w:rsidR="009950F3">
        <w:t> </w:t>
      </w:r>
      <w:r w:rsidRPr="002029AF">
        <w:t>and</w:t>
      </w:r>
      <w:r w:rsidR="00B97ABC" w:rsidRPr="002029AF">
        <w:t> </w:t>
      </w:r>
      <w:r w:rsidRPr="002029AF">
        <w:t>courtesy.</w:t>
      </w:r>
    </w:p>
    <w:p w14:paraId="120325FF" w14:textId="4926773B" w:rsidR="00770DE1" w:rsidRPr="002029AF" w:rsidRDefault="00770DE1" w:rsidP="001E768A">
      <w:pPr>
        <w:pStyle w:val="ARbullet1"/>
        <w:ind w:left="568"/>
      </w:pPr>
      <w:r w:rsidRPr="002029AF">
        <w:t>We</w:t>
      </w:r>
      <w:r w:rsidR="000A5329" w:rsidRPr="002029AF">
        <w:t xml:space="preserve"> </w:t>
      </w:r>
      <w:r w:rsidRPr="002029AF">
        <w:t>listen</w:t>
      </w:r>
      <w:r w:rsidR="000A5329" w:rsidRPr="002029AF">
        <w:t xml:space="preserve"> </w:t>
      </w:r>
      <w:r w:rsidRPr="002029AF">
        <w:t>and</w:t>
      </w:r>
      <w:r w:rsidR="000A5329" w:rsidRPr="002029AF">
        <w:t xml:space="preserve"> </w:t>
      </w:r>
      <w:r w:rsidRPr="002029AF">
        <w:t>communicate</w:t>
      </w:r>
      <w:r w:rsidR="000A5329" w:rsidRPr="002029AF">
        <w:t xml:space="preserve"> </w:t>
      </w:r>
      <w:r w:rsidRPr="002029AF">
        <w:t>honestly</w:t>
      </w:r>
      <w:r w:rsidR="000A5329" w:rsidRPr="002029AF">
        <w:t xml:space="preserve"> </w:t>
      </w:r>
      <w:r w:rsidRPr="002029AF">
        <w:t>and</w:t>
      </w:r>
      <w:r w:rsidR="009950F3">
        <w:t> </w:t>
      </w:r>
      <w:r w:rsidRPr="002029AF">
        <w:t>clearly.</w:t>
      </w:r>
    </w:p>
    <w:p w14:paraId="1DD553C6" w14:textId="13D3FF08" w:rsidR="00770DE1" w:rsidRPr="002029AF" w:rsidRDefault="00770DE1" w:rsidP="001E768A">
      <w:pPr>
        <w:pStyle w:val="ARbullet1"/>
        <w:ind w:left="568"/>
      </w:pPr>
      <w:r w:rsidRPr="002029AF">
        <w:t>We</w:t>
      </w:r>
      <w:r w:rsidR="000A5329" w:rsidRPr="002029AF">
        <w:t xml:space="preserve"> </w:t>
      </w:r>
      <w:r w:rsidRPr="002029AF">
        <w:t>seek</w:t>
      </w:r>
      <w:r w:rsidR="000A5329" w:rsidRPr="002029AF">
        <w:t xml:space="preserve"> </w:t>
      </w:r>
      <w:r w:rsidRPr="002029AF">
        <w:t>to</w:t>
      </w:r>
      <w:r w:rsidR="000A5329" w:rsidRPr="002029AF">
        <w:t xml:space="preserve"> </w:t>
      </w:r>
      <w:r w:rsidRPr="002029AF">
        <w:t>understand</w:t>
      </w:r>
      <w:r w:rsidR="000A5329" w:rsidRPr="002029AF">
        <w:t xml:space="preserve"> </w:t>
      </w:r>
      <w:r w:rsidRPr="002029AF">
        <w:t>others’</w:t>
      </w:r>
      <w:r w:rsidR="000A5329" w:rsidRPr="002029AF">
        <w:t xml:space="preserve"> </w:t>
      </w:r>
      <w:r w:rsidRPr="002029AF">
        <w:t>perspectives,</w:t>
      </w:r>
      <w:r w:rsidR="000A5329" w:rsidRPr="002029AF">
        <w:t xml:space="preserve"> </w:t>
      </w:r>
      <w:r w:rsidRPr="002029AF">
        <w:t>experiences</w:t>
      </w:r>
      <w:r w:rsidR="000A5329" w:rsidRPr="002029AF">
        <w:t xml:space="preserve"> </w:t>
      </w:r>
      <w:r w:rsidRPr="002029AF">
        <w:t>and</w:t>
      </w:r>
      <w:r w:rsidR="000A5329" w:rsidRPr="002029AF">
        <w:t xml:space="preserve"> </w:t>
      </w:r>
      <w:r w:rsidRPr="002029AF">
        <w:t>contributions.</w:t>
      </w:r>
    </w:p>
    <w:p w14:paraId="1BFB85E2" w14:textId="039AE937" w:rsidR="00770DE1" w:rsidRPr="002029AF" w:rsidRDefault="00770DE1" w:rsidP="001E768A">
      <w:pPr>
        <w:pStyle w:val="ARbullet1"/>
        <w:ind w:left="568"/>
      </w:pPr>
      <w:r w:rsidRPr="002029AF">
        <w:t>We</w:t>
      </w:r>
      <w:r w:rsidR="000A5329" w:rsidRPr="002029AF">
        <w:t xml:space="preserve"> </w:t>
      </w:r>
      <w:r w:rsidRPr="002029AF">
        <w:t>recognise</w:t>
      </w:r>
      <w:r w:rsidR="000A5329" w:rsidRPr="002029AF">
        <w:t xml:space="preserve"> </w:t>
      </w:r>
      <w:r w:rsidRPr="002029AF">
        <w:t>and</w:t>
      </w:r>
      <w:r w:rsidR="000A5329" w:rsidRPr="002029AF">
        <w:t xml:space="preserve"> </w:t>
      </w:r>
      <w:r w:rsidRPr="002029AF">
        <w:t>value</w:t>
      </w:r>
      <w:r w:rsidR="000A5329" w:rsidRPr="002029AF">
        <w:t xml:space="preserve"> </w:t>
      </w:r>
      <w:r w:rsidRPr="002029AF">
        <w:t>people’s</w:t>
      </w:r>
      <w:r w:rsidR="000A5329" w:rsidRPr="002029AF">
        <w:t xml:space="preserve"> </w:t>
      </w:r>
      <w:r w:rsidRPr="002029AF">
        <w:t>diversity,</w:t>
      </w:r>
      <w:r w:rsidR="000A5329" w:rsidRPr="002029AF">
        <w:t xml:space="preserve"> </w:t>
      </w:r>
      <w:r w:rsidRPr="002029AF">
        <w:t>equality</w:t>
      </w:r>
      <w:r w:rsidR="000A5329" w:rsidRPr="002029AF">
        <w:t xml:space="preserve"> </w:t>
      </w:r>
      <w:r w:rsidRPr="002029AF">
        <w:t>and</w:t>
      </w:r>
      <w:r w:rsidR="000A5329" w:rsidRPr="002029AF">
        <w:t xml:space="preserve"> </w:t>
      </w:r>
      <w:r w:rsidRPr="002029AF">
        <w:t>human</w:t>
      </w:r>
      <w:r w:rsidR="000A5329" w:rsidRPr="002029AF">
        <w:t xml:space="preserve"> </w:t>
      </w:r>
      <w:r w:rsidRPr="002029AF">
        <w:t>rights.</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708"/>
        <w:gridCol w:w="3880"/>
      </w:tblGrid>
      <w:tr w:rsidR="00770DE1" w:rsidRPr="002029AF" w14:paraId="73B9EA36" w14:textId="77777777" w:rsidTr="2B634061">
        <w:tc>
          <w:tcPr>
            <w:tcW w:w="678" w:type="dxa"/>
            <w:tcMar>
              <w:top w:w="57" w:type="dxa"/>
            </w:tcMar>
            <w:vAlign w:val="center"/>
          </w:tcPr>
          <w:p w14:paraId="1B4BF65C" w14:textId="77777777" w:rsidR="00770DE1" w:rsidRPr="002029AF" w:rsidRDefault="23064F71" w:rsidP="00C22356">
            <w:r>
              <w:rPr>
                <w:noProof/>
                <w:lang w:bidi="as-IN"/>
              </w:rPr>
              <w:drawing>
                <wp:inline distT="0" distB="0" distL="0" distR="0" wp14:anchorId="5A89B056" wp14:editId="5B47BCB3">
                  <wp:extent cx="378000" cy="378000"/>
                  <wp:effectExtent l="0" t="0" r="3175" b="3175"/>
                  <wp:docPr id="146" name="Picture 146" descr="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78000" cy="378000"/>
                          </a:xfrm>
                          <a:prstGeom prst="rect">
                            <a:avLst/>
                          </a:prstGeom>
                        </pic:spPr>
                      </pic:pic>
                    </a:graphicData>
                  </a:graphic>
                </wp:inline>
              </w:drawing>
            </w:r>
          </w:p>
        </w:tc>
        <w:tc>
          <w:tcPr>
            <w:tcW w:w="3910" w:type="dxa"/>
            <w:tcMar>
              <w:top w:w="57" w:type="dxa"/>
            </w:tcMar>
            <w:vAlign w:val="center"/>
          </w:tcPr>
          <w:p w14:paraId="4C36F74C" w14:textId="0ED7021F" w:rsidR="00770DE1" w:rsidRPr="002029AF" w:rsidRDefault="00770DE1" w:rsidP="005231C4">
            <w:pPr>
              <w:pStyle w:val="ARbody"/>
              <w:rPr>
                <w:b/>
                <w:bCs/>
                <w:color w:val="87189D"/>
              </w:rPr>
            </w:pPr>
            <w:r w:rsidRPr="002029AF">
              <w:rPr>
                <w:b/>
                <w:bCs/>
                <w:color w:val="87189D"/>
              </w:rPr>
              <w:t>We</w:t>
            </w:r>
            <w:r w:rsidR="000A5329" w:rsidRPr="002029AF">
              <w:rPr>
                <w:b/>
                <w:bCs/>
                <w:color w:val="87189D"/>
              </w:rPr>
              <w:t xml:space="preserve"> </w:t>
            </w:r>
            <w:r w:rsidRPr="002029AF">
              <w:rPr>
                <w:b/>
                <w:bCs/>
                <w:color w:val="87189D"/>
              </w:rPr>
              <w:t>have</w:t>
            </w:r>
            <w:r w:rsidR="000A5329" w:rsidRPr="002029AF">
              <w:rPr>
                <w:b/>
                <w:bCs/>
                <w:color w:val="87189D"/>
              </w:rPr>
              <w:t xml:space="preserve"> </w:t>
            </w:r>
            <w:r w:rsidRPr="002029AF">
              <w:rPr>
                <w:b/>
                <w:bCs/>
                <w:color w:val="87189D"/>
              </w:rPr>
              <w:t>integrity</w:t>
            </w:r>
          </w:p>
        </w:tc>
      </w:tr>
    </w:tbl>
    <w:p w14:paraId="3E5AFE06" w14:textId="02F21FB5" w:rsidR="00770DE1" w:rsidRPr="002029AF" w:rsidRDefault="00770DE1" w:rsidP="001E768A">
      <w:pPr>
        <w:pStyle w:val="ARbullet1"/>
        <w:ind w:left="568"/>
      </w:pPr>
      <w:r w:rsidRPr="002029AF">
        <w:t>We</w:t>
      </w:r>
      <w:r w:rsidR="000A5329" w:rsidRPr="002029AF">
        <w:t xml:space="preserve"> </w:t>
      </w:r>
      <w:r w:rsidRPr="002029AF">
        <w:t>are</w:t>
      </w:r>
      <w:r w:rsidR="000A5329" w:rsidRPr="002029AF">
        <w:t xml:space="preserve"> </w:t>
      </w:r>
      <w:r w:rsidRPr="002029AF">
        <w:t>trustworthy,</w:t>
      </w:r>
      <w:r w:rsidR="000A5329" w:rsidRPr="002029AF">
        <w:t xml:space="preserve"> </w:t>
      </w:r>
      <w:r w:rsidRPr="002029AF">
        <w:t>and</w:t>
      </w:r>
      <w:r w:rsidR="000A5329" w:rsidRPr="002029AF">
        <w:t xml:space="preserve"> </w:t>
      </w:r>
      <w:r w:rsidRPr="002029AF">
        <w:t>we</w:t>
      </w:r>
      <w:r w:rsidR="000A5329" w:rsidRPr="002029AF">
        <w:t xml:space="preserve"> </w:t>
      </w:r>
      <w:r w:rsidRPr="002029AF">
        <w:t>do</w:t>
      </w:r>
      <w:r w:rsidR="000A5329" w:rsidRPr="002029AF">
        <w:t xml:space="preserve"> </w:t>
      </w:r>
      <w:r w:rsidRPr="002029AF">
        <w:t>what</w:t>
      </w:r>
      <w:r w:rsidR="000A5329" w:rsidRPr="002029AF">
        <w:t xml:space="preserve"> </w:t>
      </w:r>
      <w:r w:rsidRPr="002029AF">
        <w:t>we</w:t>
      </w:r>
      <w:r w:rsidR="009950F3">
        <w:t> </w:t>
      </w:r>
      <w:r w:rsidRPr="002029AF">
        <w:t>say</w:t>
      </w:r>
      <w:r w:rsidR="009950F3">
        <w:t> </w:t>
      </w:r>
      <w:r w:rsidRPr="002029AF">
        <w:t>we</w:t>
      </w:r>
      <w:r w:rsidR="000A5329" w:rsidRPr="002029AF">
        <w:t xml:space="preserve"> </w:t>
      </w:r>
      <w:r w:rsidRPr="002029AF">
        <w:t>will</w:t>
      </w:r>
      <w:r w:rsidR="000A5329" w:rsidRPr="002029AF">
        <w:t xml:space="preserve"> </w:t>
      </w:r>
      <w:r w:rsidRPr="002029AF">
        <w:t>do.</w:t>
      </w:r>
    </w:p>
    <w:p w14:paraId="43CFEEF1" w14:textId="3D00439D" w:rsidR="00770DE1" w:rsidRPr="002029AF" w:rsidRDefault="00770DE1" w:rsidP="001E768A">
      <w:pPr>
        <w:pStyle w:val="ARbullet1"/>
        <w:ind w:left="568"/>
      </w:pPr>
      <w:r w:rsidRPr="002029AF">
        <w:t>We</w:t>
      </w:r>
      <w:r w:rsidR="000A5329" w:rsidRPr="002029AF">
        <w:t xml:space="preserve"> </w:t>
      </w:r>
      <w:r w:rsidRPr="002029AF">
        <w:t>are</w:t>
      </w:r>
      <w:r w:rsidR="000A5329" w:rsidRPr="002029AF">
        <w:t xml:space="preserve"> </w:t>
      </w:r>
      <w:r w:rsidRPr="002029AF">
        <w:t>professional</w:t>
      </w:r>
      <w:r w:rsidR="000A5329" w:rsidRPr="002029AF">
        <w:t xml:space="preserve"> </w:t>
      </w:r>
      <w:r w:rsidRPr="002029AF">
        <w:t>in</w:t>
      </w:r>
      <w:r w:rsidR="000A5329" w:rsidRPr="002029AF">
        <w:t xml:space="preserve"> </w:t>
      </w:r>
      <w:r w:rsidRPr="002029AF">
        <w:t>all</w:t>
      </w:r>
      <w:r w:rsidR="000A5329" w:rsidRPr="002029AF">
        <w:t xml:space="preserve"> </w:t>
      </w:r>
      <w:r w:rsidRPr="002029AF">
        <w:t>our</w:t>
      </w:r>
      <w:r w:rsidR="000A5329" w:rsidRPr="002029AF">
        <w:t xml:space="preserve"> </w:t>
      </w:r>
      <w:r w:rsidRPr="002029AF">
        <w:t>dealings</w:t>
      </w:r>
      <w:r w:rsidR="000A5329" w:rsidRPr="002029AF">
        <w:t xml:space="preserve"> </w:t>
      </w:r>
      <w:r w:rsidRPr="002029AF">
        <w:t>with</w:t>
      </w:r>
      <w:r w:rsidR="009950F3">
        <w:t> </w:t>
      </w:r>
      <w:r w:rsidRPr="002029AF">
        <w:t>others.</w:t>
      </w:r>
    </w:p>
    <w:p w14:paraId="1B0E6753" w14:textId="7FA65257" w:rsidR="00770DE1" w:rsidRPr="002029AF" w:rsidRDefault="00770DE1" w:rsidP="001E768A">
      <w:pPr>
        <w:pStyle w:val="ARbullet1"/>
        <w:ind w:left="568"/>
      </w:pPr>
      <w:r w:rsidRPr="002029AF">
        <w:t>We</w:t>
      </w:r>
      <w:r w:rsidR="000A5329" w:rsidRPr="002029AF">
        <w:t xml:space="preserve"> </w:t>
      </w:r>
      <w:r w:rsidRPr="002029AF">
        <w:t>stay</w:t>
      </w:r>
      <w:r w:rsidR="000A5329" w:rsidRPr="002029AF">
        <w:t xml:space="preserve"> </w:t>
      </w:r>
      <w:r w:rsidRPr="002029AF">
        <w:t>true</w:t>
      </w:r>
      <w:r w:rsidR="000A5329" w:rsidRPr="002029AF">
        <w:t xml:space="preserve"> </w:t>
      </w:r>
      <w:r w:rsidRPr="002029AF">
        <w:t>to</w:t>
      </w:r>
      <w:r w:rsidR="000A5329" w:rsidRPr="002029AF">
        <w:t xml:space="preserve"> </w:t>
      </w:r>
      <w:r w:rsidRPr="002029AF">
        <w:t>our</w:t>
      </w:r>
      <w:r w:rsidR="000A5329" w:rsidRPr="002029AF">
        <w:t xml:space="preserve"> </w:t>
      </w:r>
      <w:r w:rsidRPr="002029AF">
        <w:t>values</w:t>
      </w:r>
      <w:r w:rsidR="000A5329" w:rsidRPr="002029AF">
        <w:t xml:space="preserve"> </w:t>
      </w:r>
      <w:r w:rsidRPr="002029AF">
        <w:t>when</w:t>
      </w:r>
      <w:r w:rsidR="000A5329" w:rsidRPr="002029AF">
        <w:t xml:space="preserve"> </w:t>
      </w:r>
      <w:r w:rsidRPr="002029AF">
        <w:t>it</w:t>
      </w:r>
      <w:r w:rsidR="000A5329" w:rsidRPr="002029AF">
        <w:t xml:space="preserve"> </w:t>
      </w:r>
      <w:r w:rsidRPr="002029AF">
        <w:t>is</w:t>
      </w:r>
      <w:r w:rsidR="000A5329" w:rsidRPr="002029AF">
        <w:t xml:space="preserve"> </w:t>
      </w:r>
      <w:r w:rsidRPr="002029AF">
        <w:t>easy</w:t>
      </w:r>
      <w:r w:rsidR="009950F3">
        <w:t> </w:t>
      </w:r>
      <w:r w:rsidRPr="002029AF">
        <w:t>and</w:t>
      </w:r>
      <w:r w:rsidR="000A5329" w:rsidRPr="002029AF">
        <w:t xml:space="preserve"> </w:t>
      </w:r>
      <w:r w:rsidRPr="002029AF">
        <w:t>when</w:t>
      </w:r>
      <w:r w:rsidR="000A5329" w:rsidRPr="002029AF">
        <w:t xml:space="preserve"> </w:t>
      </w:r>
      <w:r w:rsidRPr="002029AF">
        <w:t>it</w:t>
      </w:r>
      <w:r w:rsidR="000A5329" w:rsidRPr="002029AF">
        <w:t xml:space="preserve"> </w:t>
      </w:r>
      <w:r w:rsidRPr="002029AF">
        <w:t>is</w:t>
      </w:r>
      <w:r w:rsidR="000A5329" w:rsidRPr="002029AF">
        <w:t xml:space="preserve"> </w:t>
      </w:r>
      <w:r w:rsidRPr="002029AF">
        <w:t>difficult.</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708"/>
        <w:gridCol w:w="3880"/>
      </w:tblGrid>
      <w:tr w:rsidR="00770DE1" w:rsidRPr="002029AF" w14:paraId="71321E20" w14:textId="77777777" w:rsidTr="2B634061">
        <w:tc>
          <w:tcPr>
            <w:tcW w:w="678" w:type="dxa"/>
            <w:vAlign w:val="center"/>
          </w:tcPr>
          <w:p w14:paraId="129E917A" w14:textId="77777777" w:rsidR="00770DE1" w:rsidRPr="002029AF" w:rsidRDefault="00770DE1" w:rsidP="00C22356">
            <w:pPr>
              <w:spacing w:before="120"/>
            </w:pPr>
            <w:r w:rsidRPr="002029AF">
              <w:br w:type="column"/>
            </w:r>
            <w:r w:rsidRPr="002029AF">
              <w:rPr>
                <w:noProof/>
                <w:sz w:val="32"/>
                <w:szCs w:val="32"/>
                <w:lang w:bidi="as-IN"/>
              </w:rPr>
              <w:drawing>
                <wp:inline distT="0" distB="0" distL="0" distR="0" wp14:anchorId="526331B9" wp14:editId="0D8595F2">
                  <wp:extent cx="378000" cy="378000"/>
                  <wp:effectExtent l="0" t="0" r="3175" b="3175"/>
                  <wp:docPr id="264" name="Picture 264" descr="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Picture 264" descr="Icon"/>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378000" cy="378000"/>
                          </a:xfrm>
                          <a:prstGeom prst="rect">
                            <a:avLst/>
                          </a:prstGeom>
                          <a:noFill/>
                          <a:ln>
                            <a:noFill/>
                          </a:ln>
                        </pic:spPr>
                      </pic:pic>
                    </a:graphicData>
                  </a:graphic>
                </wp:inline>
              </w:drawing>
            </w:r>
          </w:p>
        </w:tc>
        <w:tc>
          <w:tcPr>
            <w:tcW w:w="3910" w:type="dxa"/>
            <w:vAlign w:val="center"/>
          </w:tcPr>
          <w:p w14:paraId="683FC33E" w14:textId="097A7C40" w:rsidR="00770DE1" w:rsidRPr="002029AF" w:rsidRDefault="00770DE1" w:rsidP="005231C4">
            <w:pPr>
              <w:pStyle w:val="ARbody"/>
              <w:rPr>
                <w:b/>
                <w:bCs/>
                <w:color w:val="87189D"/>
              </w:rPr>
            </w:pPr>
            <w:r w:rsidRPr="002029AF">
              <w:rPr>
                <w:b/>
                <w:bCs/>
                <w:color w:val="87189D"/>
              </w:rPr>
              <w:t>We</w:t>
            </w:r>
            <w:r w:rsidR="000A5329" w:rsidRPr="002029AF">
              <w:rPr>
                <w:b/>
                <w:bCs/>
                <w:color w:val="87189D"/>
              </w:rPr>
              <w:t xml:space="preserve"> </w:t>
            </w:r>
            <w:r w:rsidRPr="002029AF">
              <w:rPr>
                <w:b/>
                <w:bCs/>
                <w:color w:val="87189D"/>
              </w:rPr>
              <w:t>collaborate</w:t>
            </w:r>
          </w:p>
        </w:tc>
      </w:tr>
    </w:tbl>
    <w:p w14:paraId="2ABAB474" w14:textId="30575ECF" w:rsidR="00770DE1" w:rsidRPr="002029AF" w:rsidRDefault="00770DE1" w:rsidP="001E768A">
      <w:pPr>
        <w:pStyle w:val="ARbullet1"/>
        <w:ind w:left="568"/>
      </w:pPr>
      <w:r w:rsidRPr="002029AF">
        <w:t>We</w:t>
      </w:r>
      <w:r w:rsidR="000A5329" w:rsidRPr="002029AF">
        <w:t xml:space="preserve"> </w:t>
      </w:r>
      <w:r w:rsidRPr="002029AF">
        <w:t>help</w:t>
      </w:r>
      <w:r w:rsidR="000A5329" w:rsidRPr="002029AF">
        <w:t xml:space="preserve"> </w:t>
      </w:r>
      <w:r w:rsidRPr="002029AF">
        <w:t>each</w:t>
      </w:r>
      <w:r w:rsidR="000A5329" w:rsidRPr="002029AF">
        <w:t xml:space="preserve"> </w:t>
      </w:r>
      <w:r w:rsidRPr="002029AF">
        <w:t>other</w:t>
      </w:r>
      <w:r w:rsidR="000A5329" w:rsidRPr="002029AF">
        <w:t xml:space="preserve"> </w:t>
      </w:r>
      <w:r w:rsidRPr="002029AF">
        <w:t>as</w:t>
      </w:r>
      <w:r w:rsidR="000A5329" w:rsidRPr="002029AF">
        <w:t xml:space="preserve"> </w:t>
      </w:r>
      <w:r w:rsidRPr="002029AF">
        <w:t>colleagues.</w:t>
      </w:r>
    </w:p>
    <w:p w14:paraId="57A97F4F" w14:textId="5A76E5AE" w:rsidR="00770DE1" w:rsidRPr="002029AF" w:rsidRDefault="00770DE1" w:rsidP="001E768A">
      <w:pPr>
        <w:pStyle w:val="ARbullet1"/>
        <w:ind w:left="568"/>
      </w:pPr>
      <w:r w:rsidRPr="002029AF">
        <w:t>We</w:t>
      </w:r>
      <w:r w:rsidR="000A5329" w:rsidRPr="002029AF">
        <w:t xml:space="preserve"> </w:t>
      </w:r>
      <w:r w:rsidRPr="002029AF">
        <w:t>generously</w:t>
      </w:r>
      <w:r w:rsidR="000A5329" w:rsidRPr="002029AF">
        <w:t xml:space="preserve"> </w:t>
      </w:r>
      <w:r w:rsidRPr="002029AF">
        <w:t>share</w:t>
      </w:r>
      <w:r w:rsidR="000A5329" w:rsidRPr="002029AF">
        <w:t xml:space="preserve"> </w:t>
      </w:r>
      <w:r w:rsidRPr="002029AF">
        <w:t>our</w:t>
      </w:r>
      <w:r w:rsidR="000A5329" w:rsidRPr="002029AF">
        <w:t xml:space="preserve"> </w:t>
      </w:r>
      <w:r w:rsidRPr="002029AF">
        <w:t>knowledge,</w:t>
      </w:r>
      <w:r w:rsidR="000A5329" w:rsidRPr="002029AF">
        <w:t xml:space="preserve"> </w:t>
      </w:r>
      <w:r w:rsidRPr="002029AF">
        <w:t>expertise</w:t>
      </w:r>
      <w:r w:rsidR="000A5329" w:rsidRPr="002029AF">
        <w:t xml:space="preserve"> </w:t>
      </w:r>
      <w:r w:rsidRPr="002029AF">
        <w:t>and</w:t>
      </w:r>
      <w:r w:rsidR="000A5329" w:rsidRPr="002029AF">
        <w:t xml:space="preserve"> </w:t>
      </w:r>
      <w:r w:rsidRPr="002029AF">
        <w:t>skills.</w:t>
      </w:r>
    </w:p>
    <w:p w14:paraId="1C85EA3E" w14:textId="49EF635C" w:rsidR="00770DE1" w:rsidRPr="002029AF" w:rsidRDefault="00770DE1" w:rsidP="001E768A">
      <w:pPr>
        <w:pStyle w:val="ARbullet1"/>
        <w:ind w:left="568"/>
      </w:pPr>
      <w:r w:rsidRPr="002029AF">
        <w:t>We</w:t>
      </w:r>
      <w:r w:rsidR="000A5329" w:rsidRPr="002029AF">
        <w:t xml:space="preserve"> </w:t>
      </w:r>
      <w:r w:rsidRPr="002029AF">
        <w:t>work</w:t>
      </w:r>
      <w:r w:rsidR="000A5329" w:rsidRPr="002029AF">
        <w:t xml:space="preserve"> </w:t>
      </w:r>
      <w:r w:rsidRPr="002029AF">
        <w:t>in</w:t>
      </w:r>
      <w:r w:rsidR="000A5329" w:rsidRPr="002029AF">
        <w:t xml:space="preserve"> </w:t>
      </w:r>
      <w:r w:rsidRPr="002029AF">
        <w:t>partnership</w:t>
      </w:r>
      <w:r w:rsidR="000A5329" w:rsidRPr="002029AF">
        <w:t xml:space="preserve"> </w:t>
      </w:r>
      <w:r w:rsidRPr="002029AF">
        <w:t>with</w:t>
      </w:r>
      <w:r w:rsidR="000A5329" w:rsidRPr="002029AF">
        <w:t xml:space="preserve"> </w:t>
      </w:r>
      <w:r w:rsidRPr="002029AF">
        <w:t>people</w:t>
      </w:r>
      <w:r w:rsidR="000A5329" w:rsidRPr="002029AF">
        <w:t xml:space="preserve"> </w:t>
      </w:r>
      <w:r w:rsidRPr="002029AF">
        <w:t>and</w:t>
      </w:r>
      <w:r w:rsidR="000A5329" w:rsidRPr="002029AF">
        <w:t xml:space="preserve"> </w:t>
      </w:r>
      <w:r w:rsidRPr="002029AF">
        <w:t>organisations</w:t>
      </w:r>
      <w:r w:rsidR="000A5329" w:rsidRPr="002029AF">
        <w:t xml:space="preserve"> </w:t>
      </w:r>
      <w:r w:rsidRPr="002029AF">
        <w:t>to</w:t>
      </w:r>
      <w:r w:rsidR="000A5329" w:rsidRPr="002029AF">
        <w:t xml:space="preserve"> </w:t>
      </w:r>
      <w:r w:rsidRPr="002029AF">
        <w:t>find</w:t>
      </w:r>
      <w:r w:rsidR="000A5329" w:rsidRPr="002029AF">
        <w:t xml:space="preserve"> </w:t>
      </w:r>
      <w:r w:rsidRPr="002029AF">
        <w:t>the</w:t>
      </w:r>
      <w:r w:rsidR="000A5329" w:rsidRPr="002029AF">
        <w:t xml:space="preserve"> </w:t>
      </w:r>
      <w:r w:rsidRPr="002029AF">
        <w:t>best</w:t>
      </w:r>
      <w:r w:rsidR="000A5329" w:rsidRPr="002029AF">
        <w:t xml:space="preserve"> </w:t>
      </w:r>
      <w:r w:rsidRPr="002029AF">
        <w:t>approach.</w:t>
      </w:r>
    </w:p>
    <w:p w14:paraId="58781F9E" w14:textId="7EA167C1" w:rsidR="00770DE1" w:rsidRPr="002029AF" w:rsidRDefault="00770DE1" w:rsidP="001E768A">
      <w:pPr>
        <w:pStyle w:val="ARbullet1"/>
        <w:ind w:left="568"/>
      </w:pPr>
      <w:r w:rsidRPr="002029AF">
        <w:t>We</w:t>
      </w:r>
      <w:r w:rsidR="000A5329" w:rsidRPr="002029AF">
        <w:t xml:space="preserve"> </w:t>
      </w:r>
      <w:r w:rsidRPr="002029AF">
        <w:t>are</w:t>
      </w:r>
      <w:r w:rsidR="000A5329" w:rsidRPr="002029AF">
        <w:t xml:space="preserve"> </w:t>
      </w:r>
      <w:r w:rsidRPr="002029AF">
        <w:t>inclusive</w:t>
      </w:r>
      <w:r w:rsidR="000A5329" w:rsidRPr="002029AF">
        <w:t xml:space="preserve"> </w:t>
      </w:r>
      <w:r w:rsidRPr="002029AF">
        <w:t>and</w:t>
      </w:r>
      <w:r w:rsidR="000A5329" w:rsidRPr="002029AF">
        <w:t xml:space="preserve"> </w:t>
      </w:r>
      <w:r w:rsidRPr="002029AF">
        <w:t>seek</w:t>
      </w:r>
      <w:r w:rsidR="000A5329" w:rsidRPr="002029AF">
        <w:t xml:space="preserve"> </w:t>
      </w:r>
      <w:r w:rsidRPr="002029AF">
        <w:t>people’s</w:t>
      </w:r>
      <w:r w:rsidR="000A5329" w:rsidRPr="002029AF">
        <w:t xml:space="preserve"> </w:t>
      </w:r>
      <w:r w:rsidRPr="002029AF">
        <w:t>input</w:t>
      </w:r>
      <w:r w:rsidR="000A5329" w:rsidRPr="002029AF">
        <w:t xml:space="preserve"> </w:t>
      </w:r>
      <w:r w:rsidRPr="002029AF">
        <w:t>and</w:t>
      </w:r>
      <w:r w:rsidR="00B97ABC" w:rsidRPr="002029AF">
        <w:t> </w:t>
      </w:r>
      <w:r w:rsidRPr="002029AF">
        <w:t>involvement.</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708"/>
        <w:gridCol w:w="3880"/>
      </w:tblGrid>
      <w:tr w:rsidR="00770DE1" w:rsidRPr="002029AF" w14:paraId="4051712B" w14:textId="77777777" w:rsidTr="2B634061">
        <w:tc>
          <w:tcPr>
            <w:tcW w:w="678" w:type="dxa"/>
            <w:vAlign w:val="center"/>
          </w:tcPr>
          <w:p w14:paraId="1361DB19" w14:textId="77777777" w:rsidR="00770DE1" w:rsidRPr="002029AF" w:rsidRDefault="23064F71" w:rsidP="003566F1">
            <w:pPr>
              <w:keepNext/>
              <w:spacing w:before="120"/>
            </w:pPr>
            <w:r>
              <w:rPr>
                <w:noProof/>
                <w:lang w:bidi="as-IN"/>
              </w:rPr>
              <w:drawing>
                <wp:inline distT="0" distB="0" distL="0" distR="0" wp14:anchorId="79A972A6" wp14:editId="3B43EA84">
                  <wp:extent cx="378000" cy="378000"/>
                  <wp:effectExtent l="0" t="0" r="3175" b="3175"/>
                  <wp:docPr id="143" name="Picture 143" descr="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78000" cy="378000"/>
                          </a:xfrm>
                          <a:prstGeom prst="rect">
                            <a:avLst/>
                          </a:prstGeom>
                        </pic:spPr>
                      </pic:pic>
                    </a:graphicData>
                  </a:graphic>
                </wp:inline>
              </w:drawing>
            </w:r>
          </w:p>
        </w:tc>
        <w:tc>
          <w:tcPr>
            <w:tcW w:w="3910" w:type="dxa"/>
            <w:vAlign w:val="center"/>
          </w:tcPr>
          <w:p w14:paraId="2C1F1ABC" w14:textId="16978A6B" w:rsidR="00770DE1" w:rsidRPr="002029AF" w:rsidRDefault="00770DE1" w:rsidP="005231C4">
            <w:pPr>
              <w:pStyle w:val="ARbody"/>
              <w:rPr>
                <w:b/>
                <w:bCs/>
                <w:color w:val="87189D"/>
              </w:rPr>
            </w:pPr>
            <w:r w:rsidRPr="002029AF">
              <w:rPr>
                <w:b/>
                <w:bCs/>
                <w:color w:val="87189D"/>
              </w:rPr>
              <w:t>We</w:t>
            </w:r>
            <w:r w:rsidR="000A5329" w:rsidRPr="002029AF">
              <w:rPr>
                <w:b/>
                <w:bCs/>
                <w:color w:val="87189D"/>
              </w:rPr>
              <w:t xml:space="preserve"> </w:t>
            </w:r>
            <w:r w:rsidRPr="002029AF">
              <w:rPr>
                <w:b/>
                <w:bCs/>
                <w:color w:val="87189D"/>
              </w:rPr>
              <w:t>care</w:t>
            </w:r>
            <w:r w:rsidR="000A5329" w:rsidRPr="002029AF">
              <w:rPr>
                <w:b/>
                <w:bCs/>
                <w:color w:val="87189D"/>
              </w:rPr>
              <w:t xml:space="preserve"> </w:t>
            </w:r>
            <w:r w:rsidRPr="002029AF">
              <w:rPr>
                <w:b/>
                <w:bCs/>
                <w:color w:val="87189D"/>
              </w:rPr>
              <w:t>for</w:t>
            </w:r>
            <w:r w:rsidR="000A5329" w:rsidRPr="002029AF">
              <w:rPr>
                <w:b/>
                <w:bCs/>
                <w:color w:val="87189D"/>
              </w:rPr>
              <w:t xml:space="preserve"> </w:t>
            </w:r>
            <w:r w:rsidRPr="002029AF">
              <w:rPr>
                <w:b/>
                <w:bCs/>
                <w:color w:val="87189D"/>
              </w:rPr>
              <w:t>people,</w:t>
            </w:r>
            <w:r w:rsidR="000A5329" w:rsidRPr="002029AF">
              <w:rPr>
                <w:b/>
                <w:bCs/>
                <w:color w:val="87189D"/>
              </w:rPr>
              <w:t xml:space="preserve"> </w:t>
            </w:r>
            <w:r w:rsidRPr="002029AF">
              <w:rPr>
                <w:b/>
                <w:bCs/>
                <w:color w:val="87189D"/>
              </w:rPr>
              <w:t>families</w:t>
            </w:r>
            <w:r w:rsidR="000A5329" w:rsidRPr="002029AF">
              <w:rPr>
                <w:b/>
                <w:bCs/>
                <w:color w:val="87189D"/>
              </w:rPr>
              <w:t xml:space="preserve"> </w:t>
            </w:r>
            <w:r w:rsidRPr="002029AF">
              <w:rPr>
                <w:b/>
                <w:bCs/>
                <w:color w:val="87189D"/>
              </w:rPr>
              <w:t>and</w:t>
            </w:r>
            <w:r w:rsidR="009950F3">
              <w:rPr>
                <w:b/>
                <w:bCs/>
                <w:color w:val="87189D"/>
              </w:rPr>
              <w:t> </w:t>
            </w:r>
            <w:r w:rsidRPr="002029AF">
              <w:rPr>
                <w:b/>
                <w:bCs/>
                <w:color w:val="87189D"/>
              </w:rPr>
              <w:t>communities</w:t>
            </w:r>
          </w:p>
        </w:tc>
      </w:tr>
    </w:tbl>
    <w:p w14:paraId="0F6F546B" w14:textId="4F550B37" w:rsidR="00770DE1" w:rsidRPr="002029AF" w:rsidRDefault="00770DE1" w:rsidP="001E768A">
      <w:pPr>
        <w:pStyle w:val="ARbullet1"/>
        <w:keepNext/>
        <w:ind w:left="568"/>
      </w:pPr>
      <w:r w:rsidRPr="002029AF">
        <w:t>We</w:t>
      </w:r>
      <w:r w:rsidR="000A5329" w:rsidRPr="002029AF">
        <w:t xml:space="preserve"> </w:t>
      </w:r>
      <w:r w:rsidRPr="002029AF">
        <w:t>involve</w:t>
      </w:r>
      <w:r w:rsidR="000A5329" w:rsidRPr="002029AF">
        <w:t xml:space="preserve"> </w:t>
      </w:r>
      <w:r w:rsidRPr="002029AF">
        <w:t>people</w:t>
      </w:r>
      <w:r w:rsidR="000A5329" w:rsidRPr="002029AF">
        <w:t xml:space="preserve"> </w:t>
      </w:r>
      <w:r w:rsidRPr="002029AF">
        <w:t>in</w:t>
      </w:r>
      <w:r w:rsidR="000A5329" w:rsidRPr="002029AF">
        <w:t xml:space="preserve"> </w:t>
      </w:r>
      <w:r w:rsidRPr="002029AF">
        <w:t>decisions</w:t>
      </w:r>
      <w:r w:rsidR="000A5329" w:rsidRPr="002029AF">
        <w:t xml:space="preserve"> </w:t>
      </w:r>
      <w:r w:rsidRPr="002029AF">
        <w:t>that</w:t>
      </w:r>
      <w:r w:rsidR="000A5329" w:rsidRPr="002029AF">
        <w:t xml:space="preserve"> </w:t>
      </w:r>
      <w:r w:rsidRPr="002029AF">
        <w:t>affect</w:t>
      </w:r>
      <w:r w:rsidR="009950F3">
        <w:t> </w:t>
      </w:r>
      <w:r w:rsidRPr="002029AF">
        <w:t>their</w:t>
      </w:r>
      <w:r w:rsidR="000A5329" w:rsidRPr="002029AF">
        <w:t xml:space="preserve"> </w:t>
      </w:r>
      <w:r w:rsidRPr="002029AF">
        <w:t>lives.</w:t>
      </w:r>
    </w:p>
    <w:p w14:paraId="3D063F86" w14:textId="03996D4E" w:rsidR="00770DE1" w:rsidRPr="002029AF" w:rsidRDefault="00770DE1" w:rsidP="001E768A">
      <w:pPr>
        <w:pStyle w:val="ARbullet1"/>
        <w:ind w:left="568"/>
      </w:pPr>
      <w:r w:rsidRPr="002029AF">
        <w:t>We</w:t>
      </w:r>
      <w:r w:rsidR="000A5329" w:rsidRPr="002029AF">
        <w:t xml:space="preserve"> </w:t>
      </w:r>
      <w:r w:rsidRPr="002029AF">
        <w:t>value</w:t>
      </w:r>
      <w:r w:rsidR="000A5329" w:rsidRPr="002029AF">
        <w:t xml:space="preserve"> </w:t>
      </w:r>
      <w:r w:rsidRPr="002029AF">
        <w:t>our</w:t>
      </w:r>
      <w:r w:rsidR="000A5329" w:rsidRPr="002029AF">
        <w:t xml:space="preserve"> </w:t>
      </w:r>
      <w:r w:rsidRPr="002029AF">
        <w:t>colleagues,</w:t>
      </w:r>
      <w:r w:rsidR="000A5329" w:rsidRPr="002029AF">
        <w:t xml:space="preserve"> </w:t>
      </w:r>
      <w:r w:rsidRPr="002029AF">
        <w:t>and</w:t>
      </w:r>
      <w:r w:rsidR="000A5329" w:rsidRPr="002029AF">
        <w:t xml:space="preserve"> </w:t>
      </w:r>
      <w:r w:rsidRPr="002029AF">
        <w:t>we</w:t>
      </w:r>
      <w:r w:rsidR="000A5329" w:rsidRPr="002029AF">
        <w:t xml:space="preserve"> </w:t>
      </w:r>
      <w:r w:rsidRPr="002029AF">
        <w:t>develop</w:t>
      </w:r>
      <w:r w:rsidR="009950F3">
        <w:t> </w:t>
      </w:r>
      <w:r w:rsidRPr="002029AF">
        <w:t>and</w:t>
      </w:r>
      <w:r w:rsidR="000A5329" w:rsidRPr="002029AF">
        <w:t xml:space="preserve"> </w:t>
      </w:r>
      <w:r w:rsidRPr="002029AF">
        <w:t>support</w:t>
      </w:r>
      <w:r w:rsidR="000A5329" w:rsidRPr="002029AF">
        <w:t xml:space="preserve"> </w:t>
      </w:r>
      <w:r w:rsidRPr="002029AF">
        <w:t>them</w:t>
      </w:r>
      <w:r w:rsidR="000A5329" w:rsidRPr="002029AF">
        <w:t xml:space="preserve"> </w:t>
      </w:r>
      <w:r w:rsidRPr="002029AF">
        <w:t>to</w:t>
      </w:r>
      <w:r w:rsidR="000A5329" w:rsidRPr="002029AF">
        <w:t xml:space="preserve"> </w:t>
      </w:r>
      <w:r w:rsidRPr="002029AF">
        <w:t>be</w:t>
      </w:r>
      <w:r w:rsidR="000A5329" w:rsidRPr="002029AF">
        <w:t xml:space="preserve"> </w:t>
      </w:r>
      <w:r w:rsidRPr="002029AF">
        <w:t>resilient</w:t>
      </w:r>
      <w:r w:rsidR="000A5329" w:rsidRPr="002029AF">
        <w:t xml:space="preserve"> </w:t>
      </w:r>
      <w:r w:rsidRPr="002029AF">
        <w:t>and</w:t>
      </w:r>
      <w:r w:rsidR="009950F3">
        <w:t> </w:t>
      </w:r>
      <w:r w:rsidRPr="002029AF">
        <w:t>effective.</w:t>
      </w:r>
    </w:p>
    <w:p w14:paraId="33BFC96D" w14:textId="4A219605" w:rsidR="00770DE1" w:rsidRPr="002029AF" w:rsidRDefault="00770DE1" w:rsidP="001E768A">
      <w:pPr>
        <w:pStyle w:val="ARbullet1"/>
        <w:ind w:left="568"/>
      </w:pPr>
      <w:r w:rsidRPr="002029AF">
        <w:t>We</w:t>
      </w:r>
      <w:r w:rsidR="000A5329" w:rsidRPr="002029AF">
        <w:t xml:space="preserve"> </w:t>
      </w:r>
      <w:r w:rsidRPr="002029AF">
        <w:t>have</w:t>
      </w:r>
      <w:r w:rsidR="000A5329" w:rsidRPr="002029AF">
        <w:t xml:space="preserve"> </w:t>
      </w:r>
      <w:r w:rsidRPr="002029AF">
        <w:t>empathy</w:t>
      </w:r>
      <w:r w:rsidR="000A5329" w:rsidRPr="002029AF">
        <w:t xml:space="preserve"> </w:t>
      </w:r>
      <w:r w:rsidRPr="002029AF">
        <w:t>for</w:t>
      </w:r>
      <w:r w:rsidR="000A5329" w:rsidRPr="002029AF">
        <w:t xml:space="preserve"> </w:t>
      </w:r>
      <w:r w:rsidRPr="002029AF">
        <w:t>people</w:t>
      </w:r>
      <w:r w:rsidR="000A5329" w:rsidRPr="002029AF">
        <w:t xml:space="preserve"> </w:t>
      </w:r>
      <w:r w:rsidRPr="002029AF">
        <w:t>and</w:t>
      </w:r>
      <w:r w:rsidR="000A5329" w:rsidRPr="002029AF">
        <w:t xml:space="preserve"> </w:t>
      </w:r>
      <w:r w:rsidRPr="002029AF">
        <w:t>seek</w:t>
      </w:r>
      <w:r w:rsidR="000A5329" w:rsidRPr="002029AF">
        <w:t xml:space="preserve"> </w:t>
      </w:r>
      <w:r w:rsidRPr="002029AF">
        <w:t>to</w:t>
      </w:r>
      <w:r w:rsidR="009950F3">
        <w:t> </w:t>
      </w:r>
      <w:r w:rsidRPr="002029AF">
        <w:t>understand</w:t>
      </w:r>
      <w:r w:rsidR="000A5329" w:rsidRPr="002029AF">
        <w:t xml:space="preserve"> </w:t>
      </w:r>
      <w:r w:rsidRPr="002029AF">
        <w:t>their</w:t>
      </w:r>
      <w:r w:rsidR="000A5329" w:rsidRPr="002029AF">
        <w:t xml:space="preserve"> </w:t>
      </w:r>
      <w:r w:rsidRPr="002029AF">
        <w:t>perspectives.</w:t>
      </w:r>
    </w:p>
    <w:p w14:paraId="5F9F3AF4" w14:textId="67FA4F06" w:rsidR="00770DE1" w:rsidRPr="002029AF" w:rsidRDefault="00770DE1" w:rsidP="001E768A">
      <w:pPr>
        <w:pStyle w:val="ARbullet1"/>
        <w:ind w:left="568"/>
      </w:pPr>
      <w:r w:rsidRPr="002029AF">
        <w:t>We</w:t>
      </w:r>
      <w:r w:rsidR="000A5329" w:rsidRPr="002029AF">
        <w:t xml:space="preserve"> </w:t>
      </w:r>
      <w:r w:rsidRPr="002029AF">
        <w:t>support</w:t>
      </w:r>
      <w:r w:rsidR="000A5329" w:rsidRPr="002029AF">
        <w:t xml:space="preserve"> </w:t>
      </w:r>
      <w:r w:rsidRPr="002029AF">
        <w:t>and</w:t>
      </w:r>
      <w:r w:rsidR="000A5329" w:rsidRPr="002029AF">
        <w:t xml:space="preserve"> </w:t>
      </w:r>
      <w:r w:rsidRPr="002029AF">
        <w:t>empower</w:t>
      </w:r>
      <w:r w:rsidR="000A5329" w:rsidRPr="002029AF">
        <w:t xml:space="preserve"> </w:t>
      </w:r>
      <w:r w:rsidRPr="002029AF">
        <w:t>people</w:t>
      </w:r>
      <w:r w:rsidR="000A5329" w:rsidRPr="002029AF">
        <w:t xml:space="preserve"> </w:t>
      </w:r>
      <w:r w:rsidRPr="002029AF">
        <w:t>through</w:t>
      </w:r>
      <w:r w:rsidR="000A5329" w:rsidRPr="002029AF">
        <w:t xml:space="preserve"> </w:t>
      </w:r>
      <w:r w:rsidRPr="002029AF">
        <w:t>our</w:t>
      </w:r>
      <w:r w:rsidR="000A5329" w:rsidRPr="002029AF">
        <w:t xml:space="preserve"> </w:t>
      </w:r>
      <w:r w:rsidRPr="002029AF">
        <w:t>work.</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708"/>
        <w:gridCol w:w="3880"/>
      </w:tblGrid>
      <w:tr w:rsidR="00770DE1" w:rsidRPr="002029AF" w14:paraId="2C80036E" w14:textId="77777777" w:rsidTr="2B634061">
        <w:tc>
          <w:tcPr>
            <w:tcW w:w="678" w:type="dxa"/>
            <w:vAlign w:val="center"/>
          </w:tcPr>
          <w:p w14:paraId="7AA5931B" w14:textId="77777777" w:rsidR="00770DE1" w:rsidRPr="002029AF" w:rsidRDefault="23064F71" w:rsidP="00C22356">
            <w:pPr>
              <w:spacing w:before="120"/>
            </w:pPr>
            <w:r>
              <w:rPr>
                <w:noProof/>
                <w:lang w:bidi="as-IN"/>
              </w:rPr>
              <w:drawing>
                <wp:inline distT="0" distB="0" distL="0" distR="0" wp14:anchorId="41AB0DC1" wp14:editId="27A0915E">
                  <wp:extent cx="378000" cy="378000"/>
                  <wp:effectExtent l="0" t="0" r="3175" b="3175"/>
                  <wp:docPr id="142" name="Picture 142" descr="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78000" cy="378000"/>
                          </a:xfrm>
                          <a:prstGeom prst="rect">
                            <a:avLst/>
                          </a:prstGeom>
                        </pic:spPr>
                      </pic:pic>
                    </a:graphicData>
                  </a:graphic>
                </wp:inline>
              </w:drawing>
            </w:r>
          </w:p>
        </w:tc>
        <w:tc>
          <w:tcPr>
            <w:tcW w:w="3910" w:type="dxa"/>
            <w:vAlign w:val="center"/>
          </w:tcPr>
          <w:p w14:paraId="3D09654D" w14:textId="6B8DBF1F" w:rsidR="00770DE1" w:rsidRPr="002029AF" w:rsidRDefault="00770DE1" w:rsidP="005231C4">
            <w:pPr>
              <w:pStyle w:val="ARbody"/>
              <w:rPr>
                <w:b/>
                <w:bCs/>
                <w:color w:val="87189D"/>
              </w:rPr>
            </w:pPr>
            <w:r w:rsidRPr="002029AF">
              <w:rPr>
                <w:b/>
                <w:bCs/>
                <w:color w:val="87189D"/>
              </w:rPr>
              <w:t>We</w:t>
            </w:r>
            <w:r w:rsidR="000A5329" w:rsidRPr="002029AF">
              <w:rPr>
                <w:b/>
                <w:bCs/>
                <w:color w:val="87189D"/>
              </w:rPr>
              <w:t xml:space="preserve"> </w:t>
            </w:r>
            <w:r w:rsidRPr="002029AF">
              <w:rPr>
                <w:b/>
                <w:bCs/>
                <w:color w:val="87189D"/>
              </w:rPr>
              <w:t>are</w:t>
            </w:r>
            <w:r w:rsidR="000A5329" w:rsidRPr="002029AF">
              <w:rPr>
                <w:b/>
                <w:bCs/>
                <w:color w:val="87189D"/>
              </w:rPr>
              <w:t xml:space="preserve"> </w:t>
            </w:r>
            <w:r w:rsidRPr="002029AF">
              <w:rPr>
                <w:b/>
                <w:bCs/>
                <w:color w:val="87189D"/>
              </w:rPr>
              <w:t>accountable</w:t>
            </w:r>
          </w:p>
        </w:tc>
      </w:tr>
    </w:tbl>
    <w:p w14:paraId="46105F3D" w14:textId="60A99A04" w:rsidR="00770DE1" w:rsidRPr="002029AF" w:rsidRDefault="00770DE1" w:rsidP="001E768A">
      <w:pPr>
        <w:pStyle w:val="ARbullet1"/>
        <w:ind w:left="568"/>
      </w:pPr>
      <w:r w:rsidRPr="002029AF">
        <w:t>We</w:t>
      </w:r>
      <w:r w:rsidR="000A5329" w:rsidRPr="002029AF">
        <w:t xml:space="preserve"> </w:t>
      </w:r>
      <w:r w:rsidRPr="002029AF">
        <w:t>each</w:t>
      </w:r>
      <w:r w:rsidR="000A5329" w:rsidRPr="002029AF">
        <w:t xml:space="preserve"> </w:t>
      </w:r>
      <w:r w:rsidRPr="002029AF">
        <w:t>take</w:t>
      </w:r>
      <w:r w:rsidR="000A5329" w:rsidRPr="002029AF">
        <w:t xml:space="preserve"> </w:t>
      </w:r>
      <w:r w:rsidRPr="002029AF">
        <w:t>ownership</w:t>
      </w:r>
      <w:r w:rsidR="000A5329" w:rsidRPr="002029AF">
        <w:t xml:space="preserve"> </w:t>
      </w:r>
      <w:r w:rsidRPr="002029AF">
        <w:t>of</w:t>
      </w:r>
      <w:r w:rsidR="000A5329" w:rsidRPr="002029AF">
        <w:t xml:space="preserve"> </w:t>
      </w:r>
      <w:r w:rsidRPr="002029AF">
        <w:t>the</w:t>
      </w:r>
      <w:r w:rsidR="000A5329" w:rsidRPr="002029AF">
        <w:t xml:space="preserve"> </w:t>
      </w:r>
      <w:r w:rsidRPr="002029AF">
        <w:t>quality</w:t>
      </w:r>
      <w:r w:rsidR="000A5329" w:rsidRPr="002029AF">
        <w:t xml:space="preserve"> </w:t>
      </w:r>
      <w:r w:rsidRPr="002029AF">
        <w:t>and</w:t>
      </w:r>
      <w:r w:rsidR="009950F3">
        <w:t> </w:t>
      </w:r>
      <w:r w:rsidRPr="002029AF">
        <w:t>demonstrable</w:t>
      </w:r>
      <w:r w:rsidR="000A5329" w:rsidRPr="002029AF">
        <w:t xml:space="preserve"> </w:t>
      </w:r>
      <w:r w:rsidRPr="002029AF">
        <w:t>impacts</w:t>
      </w:r>
      <w:r w:rsidR="000A5329" w:rsidRPr="002029AF">
        <w:t xml:space="preserve"> </w:t>
      </w:r>
      <w:r w:rsidRPr="002029AF">
        <w:t>of</w:t>
      </w:r>
      <w:r w:rsidR="000A5329" w:rsidRPr="002029AF">
        <w:t xml:space="preserve"> </w:t>
      </w:r>
      <w:r w:rsidRPr="002029AF">
        <w:t>our</w:t>
      </w:r>
      <w:r w:rsidR="000A5329" w:rsidRPr="002029AF">
        <w:t xml:space="preserve"> </w:t>
      </w:r>
      <w:r w:rsidRPr="002029AF">
        <w:t>work.</w:t>
      </w:r>
    </w:p>
    <w:p w14:paraId="7D227D8D" w14:textId="73C2B38E" w:rsidR="00770DE1" w:rsidRPr="002029AF" w:rsidRDefault="00770DE1" w:rsidP="001E768A">
      <w:pPr>
        <w:pStyle w:val="ARbullet1"/>
        <w:ind w:left="568"/>
      </w:pPr>
      <w:r w:rsidRPr="002029AF">
        <w:t>We</w:t>
      </w:r>
      <w:r w:rsidR="000A5329" w:rsidRPr="002029AF">
        <w:t xml:space="preserve"> </w:t>
      </w:r>
      <w:r w:rsidRPr="002029AF">
        <w:t>ensure</w:t>
      </w:r>
      <w:r w:rsidR="000A5329" w:rsidRPr="002029AF">
        <w:t xml:space="preserve"> </w:t>
      </w:r>
      <w:r w:rsidRPr="002029AF">
        <w:t>that</w:t>
      </w:r>
      <w:r w:rsidR="000A5329" w:rsidRPr="002029AF">
        <w:t xml:space="preserve"> </w:t>
      </w:r>
      <w:r w:rsidRPr="002029AF">
        <w:t>our</w:t>
      </w:r>
      <w:r w:rsidR="000A5329" w:rsidRPr="002029AF">
        <w:t xml:space="preserve"> </w:t>
      </w:r>
      <w:r w:rsidRPr="002029AF">
        <w:t>decisions</w:t>
      </w:r>
      <w:r w:rsidR="000A5329" w:rsidRPr="002029AF">
        <w:t xml:space="preserve"> </w:t>
      </w:r>
      <w:r w:rsidRPr="002029AF">
        <w:t>and</w:t>
      </w:r>
      <w:r w:rsidR="000A5329" w:rsidRPr="002029AF">
        <w:t xml:space="preserve"> </w:t>
      </w:r>
      <w:r w:rsidRPr="002029AF">
        <w:t>actions</w:t>
      </w:r>
      <w:r w:rsidR="000A5329" w:rsidRPr="002029AF">
        <w:t xml:space="preserve"> </w:t>
      </w:r>
      <w:r w:rsidRPr="002029AF">
        <w:t>are</w:t>
      </w:r>
      <w:r w:rsidR="009950F3">
        <w:t> </w:t>
      </w:r>
      <w:r w:rsidRPr="002029AF">
        <w:t>evidence</w:t>
      </w:r>
      <w:r w:rsidR="000A5329" w:rsidRPr="002029AF">
        <w:t xml:space="preserve"> </w:t>
      </w:r>
      <w:r w:rsidRPr="002029AF">
        <w:t>based</w:t>
      </w:r>
      <w:r w:rsidR="000A5329" w:rsidRPr="002029AF">
        <w:t xml:space="preserve"> </w:t>
      </w:r>
      <w:r w:rsidRPr="002029AF">
        <w:t>and</w:t>
      </w:r>
      <w:r w:rsidR="000A5329" w:rsidRPr="002029AF">
        <w:t xml:space="preserve"> </w:t>
      </w:r>
      <w:r w:rsidRPr="002029AF">
        <w:t>outcomes</w:t>
      </w:r>
      <w:r w:rsidR="000A5329" w:rsidRPr="002029AF">
        <w:t xml:space="preserve"> </w:t>
      </w:r>
      <w:r w:rsidRPr="002029AF">
        <w:t>focused.</w:t>
      </w:r>
    </w:p>
    <w:p w14:paraId="2F37749F" w14:textId="770E0BEE" w:rsidR="00770DE1" w:rsidRPr="002029AF" w:rsidRDefault="00770DE1" w:rsidP="001E768A">
      <w:pPr>
        <w:pStyle w:val="ARbullet1"/>
        <w:ind w:left="568"/>
      </w:pPr>
      <w:r w:rsidRPr="002029AF">
        <w:t>We</w:t>
      </w:r>
      <w:r w:rsidR="000A5329" w:rsidRPr="002029AF">
        <w:t xml:space="preserve"> </w:t>
      </w:r>
      <w:r w:rsidRPr="002029AF">
        <w:t>are</w:t>
      </w:r>
      <w:r w:rsidR="000A5329" w:rsidRPr="002029AF">
        <w:t xml:space="preserve"> </w:t>
      </w:r>
      <w:r w:rsidRPr="002029AF">
        <w:t>careful</w:t>
      </w:r>
      <w:r w:rsidR="000A5329" w:rsidRPr="002029AF">
        <w:t xml:space="preserve"> </w:t>
      </w:r>
      <w:r w:rsidRPr="002029AF">
        <w:t>about</w:t>
      </w:r>
      <w:r w:rsidR="000A5329" w:rsidRPr="002029AF">
        <w:t xml:space="preserve"> </w:t>
      </w:r>
      <w:r w:rsidRPr="002029AF">
        <w:t>and</w:t>
      </w:r>
      <w:r w:rsidR="000A5329" w:rsidRPr="002029AF">
        <w:t xml:space="preserve"> </w:t>
      </w:r>
      <w:r w:rsidRPr="002029AF">
        <w:t>transparent</w:t>
      </w:r>
      <w:r w:rsidR="000A5329" w:rsidRPr="002029AF">
        <w:t xml:space="preserve"> </w:t>
      </w:r>
      <w:r w:rsidRPr="002029AF">
        <w:t>in</w:t>
      </w:r>
      <w:r w:rsidR="000A5329" w:rsidRPr="002029AF">
        <w:t xml:space="preserve"> </w:t>
      </w:r>
      <w:r w:rsidRPr="002029AF">
        <w:t>how</w:t>
      </w:r>
      <w:r w:rsidR="000A5329" w:rsidRPr="002029AF">
        <w:t xml:space="preserve"> </w:t>
      </w:r>
      <w:r w:rsidRPr="002029AF">
        <w:t>we</w:t>
      </w:r>
      <w:r w:rsidR="000A5329" w:rsidRPr="002029AF">
        <w:t xml:space="preserve"> </w:t>
      </w:r>
      <w:r w:rsidRPr="002029AF">
        <w:t>use</w:t>
      </w:r>
      <w:r w:rsidR="000A5329" w:rsidRPr="002029AF">
        <w:t xml:space="preserve"> </w:t>
      </w:r>
      <w:r w:rsidRPr="002029AF">
        <w:t>public</w:t>
      </w:r>
      <w:r w:rsidR="000A5329" w:rsidRPr="002029AF">
        <w:t xml:space="preserve"> </w:t>
      </w:r>
      <w:r w:rsidRPr="002029AF">
        <w:t>resources.</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708"/>
        <w:gridCol w:w="3880"/>
      </w:tblGrid>
      <w:tr w:rsidR="00770DE1" w:rsidRPr="002029AF" w14:paraId="1A7FECE0" w14:textId="77777777" w:rsidTr="2B634061">
        <w:tc>
          <w:tcPr>
            <w:tcW w:w="678" w:type="dxa"/>
            <w:vAlign w:val="center"/>
          </w:tcPr>
          <w:p w14:paraId="7D81CEE6" w14:textId="77777777" w:rsidR="00770DE1" w:rsidRPr="002029AF" w:rsidRDefault="23064F71" w:rsidP="00C22356">
            <w:pPr>
              <w:spacing w:before="120"/>
            </w:pPr>
            <w:r>
              <w:rPr>
                <w:noProof/>
                <w:lang w:bidi="as-IN"/>
              </w:rPr>
              <w:drawing>
                <wp:inline distT="0" distB="0" distL="0" distR="0" wp14:anchorId="3600F9A5" wp14:editId="5AE090E1">
                  <wp:extent cx="378000" cy="378000"/>
                  <wp:effectExtent l="0" t="0" r="3175" b="3175"/>
                  <wp:docPr id="140" name="Picture 140" descr="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78000" cy="378000"/>
                          </a:xfrm>
                          <a:prstGeom prst="rect">
                            <a:avLst/>
                          </a:prstGeom>
                        </pic:spPr>
                      </pic:pic>
                    </a:graphicData>
                  </a:graphic>
                </wp:inline>
              </w:drawing>
            </w:r>
          </w:p>
        </w:tc>
        <w:tc>
          <w:tcPr>
            <w:tcW w:w="3910" w:type="dxa"/>
            <w:vAlign w:val="center"/>
          </w:tcPr>
          <w:p w14:paraId="77EB5745" w14:textId="76E66B48" w:rsidR="00770DE1" w:rsidRPr="002029AF" w:rsidRDefault="00770DE1" w:rsidP="005231C4">
            <w:pPr>
              <w:pStyle w:val="ARbody"/>
              <w:rPr>
                <w:b/>
                <w:bCs/>
                <w:color w:val="87189D"/>
              </w:rPr>
            </w:pPr>
            <w:r w:rsidRPr="002029AF">
              <w:rPr>
                <w:b/>
                <w:bCs/>
                <w:color w:val="87189D"/>
              </w:rPr>
              <w:t>We</w:t>
            </w:r>
            <w:r w:rsidR="000A5329" w:rsidRPr="002029AF">
              <w:rPr>
                <w:b/>
                <w:bCs/>
                <w:color w:val="87189D"/>
              </w:rPr>
              <w:t xml:space="preserve"> </w:t>
            </w:r>
            <w:r w:rsidRPr="002029AF">
              <w:rPr>
                <w:b/>
                <w:bCs/>
                <w:color w:val="87189D"/>
              </w:rPr>
              <w:t>are</w:t>
            </w:r>
            <w:r w:rsidR="000A5329" w:rsidRPr="002029AF">
              <w:rPr>
                <w:b/>
                <w:bCs/>
                <w:color w:val="87189D"/>
              </w:rPr>
              <w:t xml:space="preserve"> </w:t>
            </w:r>
            <w:r w:rsidRPr="002029AF">
              <w:rPr>
                <w:b/>
                <w:bCs/>
                <w:color w:val="87189D"/>
              </w:rPr>
              <w:t>innovative</w:t>
            </w:r>
          </w:p>
        </w:tc>
      </w:tr>
    </w:tbl>
    <w:p w14:paraId="38AF1C20" w14:textId="1269D7CB" w:rsidR="00770DE1" w:rsidRPr="002029AF" w:rsidRDefault="00770DE1" w:rsidP="001E768A">
      <w:pPr>
        <w:pStyle w:val="ARbullet1"/>
        <w:ind w:left="568"/>
      </w:pPr>
      <w:r w:rsidRPr="002029AF">
        <w:t>We</w:t>
      </w:r>
      <w:r w:rsidR="000A5329" w:rsidRPr="002029AF">
        <w:t xml:space="preserve"> </w:t>
      </w:r>
      <w:r w:rsidRPr="002029AF">
        <w:t>are</w:t>
      </w:r>
      <w:r w:rsidR="000A5329" w:rsidRPr="002029AF">
        <w:t xml:space="preserve"> </w:t>
      </w:r>
      <w:r w:rsidRPr="002029AF">
        <w:t>flexible,</w:t>
      </w:r>
      <w:r w:rsidR="000A5329" w:rsidRPr="002029AF">
        <w:t xml:space="preserve"> </w:t>
      </w:r>
      <w:r w:rsidRPr="002029AF">
        <w:t>creative</w:t>
      </w:r>
      <w:r w:rsidR="000A5329" w:rsidRPr="002029AF">
        <w:t xml:space="preserve"> </w:t>
      </w:r>
      <w:r w:rsidRPr="002029AF">
        <w:t>and</w:t>
      </w:r>
      <w:r w:rsidR="000A5329" w:rsidRPr="002029AF">
        <w:t xml:space="preserve"> </w:t>
      </w:r>
      <w:r w:rsidRPr="002029AF">
        <w:t>responsive</w:t>
      </w:r>
      <w:r w:rsidR="009950F3">
        <w:t> </w:t>
      </w:r>
      <w:r w:rsidRPr="002029AF">
        <w:t>to</w:t>
      </w:r>
      <w:r w:rsidR="009950F3">
        <w:t> </w:t>
      </w:r>
      <w:r w:rsidRPr="002029AF">
        <w:t>changing</w:t>
      </w:r>
      <w:r w:rsidR="000A5329" w:rsidRPr="002029AF">
        <w:t xml:space="preserve"> </w:t>
      </w:r>
      <w:r w:rsidRPr="002029AF">
        <w:t>needs.</w:t>
      </w:r>
    </w:p>
    <w:p w14:paraId="30D6CDCB" w14:textId="1DDA495D" w:rsidR="00770DE1" w:rsidRPr="002029AF" w:rsidRDefault="00770DE1" w:rsidP="001E768A">
      <w:pPr>
        <w:pStyle w:val="ARbullet1"/>
        <w:ind w:left="568"/>
      </w:pPr>
      <w:r w:rsidRPr="002029AF">
        <w:t>We</w:t>
      </w:r>
      <w:r w:rsidR="000A5329" w:rsidRPr="002029AF">
        <w:t xml:space="preserve"> </w:t>
      </w:r>
      <w:r w:rsidRPr="002029AF">
        <w:t>have</w:t>
      </w:r>
      <w:r w:rsidR="000A5329" w:rsidRPr="002029AF">
        <w:t xml:space="preserve"> </w:t>
      </w:r>
      <w:r w:rsidRPr="002029AF">
        <w:t>the</w:t>
      </w:r>
      <w:r w:rsidR="000A5329" w:rsidRPr="002029AF">
        <w:t xml:space="preserve"> </w:t>
      </w:r>
      <w:r w:rsidRPr="002029AF">
        <w:t>courage</w:t>
      </w:r>
      <w:r w:rsidR="000A5329" w:rsidRPr="002029AF">
        <w:t xml:space="preserve"> </w:t>
      </w:r>
      <w:r w:rsidRPr="002029AF">
        <w:t>to</w:t>
      </w:r>
      <w:r w:rsidR="000A5329" w:rsidRPr="002029AF">
        <w:t xml:space="preserve"> </w:t>
      </w:r>
      <w:r w:rsidRPr="002029AF">
        <w:t>take</w:t>
      </w:r>
      <w:r w:rsidR="000A5329" w:rsidRPr="002029AF">
        <w:t xml:space="preserve"> </w:t>
      </w:r>
      <w:r w:rsidRPr="002029AF">
        <w:t>informed</w:t>
      </w:r>
      <w:r w:rsidR="000A5329" w:rsidRPr="002029AF">
        <w:t xml:space="preserve"> </w:t>
      </w:r>
      <w:r w:rsidRPr="002029AF">
        <w:t>risks</w:t>
      </w:r>
      <w:r w:rsidR="009950F3">
        <w:t> </w:t>
      </w:r>
      <w:r w:rsidRPr="002029AF">
        <w:t>and</w:t>
      </w:r>
      <w:r w:rsidR="000A5329" w:rsidRPr="002029AF">
        <w:t xml:space="preserve"> </w:t>
      </w:r>
      <w:r w:rsidRPr="002029AF">
        <w:t>try</w:t>
      </w:r>
      <w:r w:rsidR="000A5329" w:rsidRPr="002029AF">
        <w:t xml:space="preserve"> </w:t>
      </w:r>
      <w:r w:rsidRPr="002029AF">
        <w:t>something</w:t>
      </w:r>
      <w:r w:rsidR="000A5329" w:rsidRPr="002029AF">
        <w:t xml:space="preserve"> </w:t>
      </w:r>
      <w:r w:rsidRPr="002029AF">
        <w:t>new.</w:t>
      </w:r>
    </w:p>
    <w:p w14:paraId="3BA1BA3D" w14:textId="7C1B0C03" w:rsidR="00770DE1" w:rsidRPr="002029AF" w:rsidRDefault="00770DE1" w:rsidP="001E768A">
      <w:pPr>
        <w:pStyle w:val="ARbullet1"/>
        <w:ind w:left="568"/>
      </w:pPr>
      <w:r w:rsidRPr="002029AF">
        <w:t>We</w:t>
      </w:r>
      <w:r w:rsidR="000A5329" w:rsidRPr="002029AF">
        <w:t xml:space="preserve"> </w:t>
      </w:r>
      <w:r w:rsidRPr="002029AF">
        <w:t>are</w:t>
      </w:r>
      <w:r w:rsidR="000A5329" w:rsidRPr="002029AF">
        <w:t xml:space="preserve"> </w:t>
      </w:r>
      <w:r w:rsidRPr="002029AF">
        <w:t>reflective</w:t>
      </w:r>
      <w:r w:rsidR="000A5329" w:rsidRPr="002029AF">
        <w:t xml:space="preserve"> </w:t>
      </w:r>
      <w:r w:rsidRPr="002029AF">
        <w:t>and</w:t>
      </w:r>
      <w:r w:rsidR="000A5329" w:rsidRPr="002029AF">
        <w:t xml:space="preserve"> </w:t>
      </w:r>
      <w:r w:rsidRPr="002029AF">
        <w:t>seek</w:t>
      </w:r>
      <w:r w:rsidR="000A5329" w:rsidRPr="002029AF">
        <w:t xml:space="preserve"> </w:t>
      </w:r>
      <w:r w:rsidRPr="002029AF">
        <w:t>feedback</w:t>
      </w:r>
      <w:r w:rsidR="000A5329" w:rsidRPr="002029AF">
        <w:t xml:space="preserve"> </w:t>
      </w:r>
      <w:r w:rsidRPr="002029AF">
        <w:t>to</w:t>
      </w:r>
      <w:r w:rsidR="009950F3">
        <w:t> </w:t>
      </w:r>
      <w:r w:rsidRPr="002029AF">
        <w:t>inform</w:t>
      </w:r>
      <w:r w:rsidR="000A5329" w:rsidRPr="002029AF">
        <w:t xml:space="preserve"> </w:t>
      </w:r>
      <w:r w:rsidRPr="002029AF">
        <w:t>and</w:t>
      </w:r>
      <w:r w:rsidR="000A5329" w:rsidRPr="002029AF">
        <w:t xml:space="preserve"> </w:t>
      </w:r>
      <w:r w:rsidRPr="002029AF">
        <w:t>shape</w:t>
      </w:r>
      <w:r w:rsidR="000A5329" w:rsidRPr="002029AF">
        <w:t xml:space="preserve"> </w:t>
      </w:r>
      <w:r w:rsidRPr="002029AF">
        <w:t>our</w:t>
      </w:r>
      <w:r w:rsidR="000A5329" w:rsidRPr="002029AF">
        <w:t xml:space="preserve"> </w:t>
      </w:r>
      <w:r w:rsidRPr="002029AF">
        <w:t>work.</w:t>
      </w:r>
    </w:p>
    <w:p w14:paraId="467299AA" w14:textId="4FF7C68C" w:rsidR="00770DE1" w:rsidRPr="002029AF" w:rsidRDefault="00770DE1" w:rsidP="005231C4">
      <w:pPr>
        <w:pStyle w:val="ARbodyafterbullets"/>
      </w:pPr>
      <w:r w:rsidRPr="002029AF">
        <w:t>The</w:t>
      </w:r>
      <w:r w:rsidR="000A5329" w:rsidRPr="002029AF">
        <w:t xml:space="preserve"> </w:t>
      </w:r>
      <w:r w:rsidRPr="002029AF">
        <w:t>values</w:t>
      </w:r>
      <w:r w:rsidR="000A5329" w:rsidRPr="002029AF">
        <w:t xml:space="preserve"> </w:t>
      </w:r>
      <w:r w:rsidRPr="002029AF">
        <w:t>are</w:t>
      </w:r>
      <w:r w:rsidR="000A5329" w:rsidRPr="002029AF">
        <w:t xml:space="preserve"> </w:t>
      </w:r>
      <w:r w:rsidRPr="002029AF">
        <w:t>available</w:t>
      </w:r>
      <w:r w:rsidR="000A5329" w:rsidRPr="002029AF">
        <w:t xml:space="preserve"> </w:t>
      </w:r>
      <w:r w:rsidRPr="002029AF">
        <w:t>in</w:t>
      </w:r>
      <w:r w:rsidR="000A5329" w:rsidRPr="002029AF">
        <w:t xml:space="preserve"> </w:t>
      </w:r>
      <w:r w:rsidRPr="002029AF">
        <w:t>full</w:t>
      </w:r>
      <w:r w:rsidR="000A5329" w:rsidRPr="002029AF">
        <w:t xml:space="preserve"> </w:t>
      </w:r>
      <w:r w:rsidRPr="002029AF">
        <w:t>at</w:t>
      </w:r>
      <w:r w:rsidR="000A5329" w:rsidRPr="002029AF">
        <w:t xml:space="preserve"> </w:t>
      </w:r>
      <w:hyperlink r:id="rId49" w:history="1">
        <w:r w:rsidRPr="002029AF">
          <w:rPr>
            <w:rStyle w:val="Hyperlink"/>
          </w:rPr>
          <w:t>Our</w:t>
        </w:r>
        <w:r w:rsidR="000A5329" w:rsidRPr="002029AF">
          <w:rPr>
            <w:rStyle w:val="Hyperlink"/>
          </w:rPr>
          <w:t xml:space="preserve"> </w:t>
        </w:r>
        <w:r w:rsidRPr="002029AF">
          <w:rPr>
            <w:rStyle w:val="Hyperlink"/>
          </w:rPr>
          <w:t>values</w:t>
        </w:r>
      </w:hyperlink>
      <w:r w:rsidR="000A5329" w:rsidRPr="002029AF">
        <w:t xml:space="preserve"> </w:t>
      </w:r>
      <w:r w:rsidRPr="002029AF">
        <w:t>&lt;https://www.dhhs.vic.gov.au/our-values&gt;.</w:t>
      </w:r>
    </w:p>
    <w:p w14:paraId="111B3640" w14:textId="77777777" w:rsidR="00B442E2" w:rsidRPr="002029AF" w:rsidRDefault="00B442E2" w:rsidP="00B442E2">
      <w:pPr>
        <w:pStyle w:val="ARbody"/>
      </w:pPr>
      <w:r w:rsidRPr="002029AF">
        <w:br w:type="page"/>
      </w:r>
    </w:p>
    <w:p w14:paraId="357DF0FD" w14:textId="4C871ECD" w:rsidR="00770DE1" w:rsidRPr="002029AF" w:rsidRDefault="00770DE1" w:rsidP="00C22356">
      <w:pPr>
        <w:pStyle w:val="Heading2"/>
      </w:pPr>
      <w:r w:rsidRPr="002029AF">
        <w:lastRenderedPageBreak/>
        <w:t>V</w:t>
      </w:r>
      <w:r w:rsidR="78B07A02" w:rsidRPr="002029AF">
        <w:t>ictorian</w:t>
      </w:r>
      <w:r w:rsidR="000A5329" w:rsidRPr="002029AF">
        <w:t xml:space="preserve"> </w:t>
      </w:r>
      <w:r w:rsidRPr="002029AF">
        <w:t>P</w:t>
      </w:r>
      <w:r w:rsidR="54241AE5" w:rsidRPr="002029AF">
        <w:t>ublic</w:t>
      </w:r>
      <w:r w:rsidR="000A5329" w:rsidRPr="002029AF">
        <w:t xml:space="preserve"> </w:t>
      </w:r>
      <w:r w:rsidRPr="002029AF">
        <w:t>S</w:t>
      </w:r>
      <w:r w:rsidR="626A7239" w:rsidRPr="002029AF">
        <w:t>ervice</w:t>
      </w:r>
      <w:r w:rsidR="000A5329" w:rsidRPr="002029AF">
        <w:t xml:space="preserve"> </w:t>
      </w:r>
      <w:r w:rsidR="2D215915" w:rsidRPr="002029AF">
        <w:t>m</w:t>
      </w:r>
      <w:r w:rsidRPr="002029AF">
        <w:t>issions</w:t>
      </w:r>
      <w:r w:rsidR="000A5329" w:rsidRPr="002029AF">
        <w:t xml:space="preserve"> </w:t>
      </w:r>
      <w:r w:rsidR="312140FF" w:rsidRPr="002029AF">
        <w:t>d</w:t>
      </w:r>
      <w:r w:rsidRPr="002029AF">
        <w:t>uring</w:t>
      </w:r>
      <w:r w:rsidR="000A5329" w:rsidRPr="002029AF">
        <w:t xml:space="preserve"> </w:t>
      </w:r>
      <w:r w:rsidR="2779951A" w:rsidRPr="002029AF">
        <w:t>c</w:t>
      </w:r>
      <w:r w:rsidRPr="002029AF">
        <w:t>oronavirus</w:t>
      </w:r>
      <w:r w:rsidR="000A5329" w:rsidRPr="002029AF">
        <w:t xml:space="preserve"> </w:t>
      </w:r>
      <w:r w:rsidRPr="002029AF">
        <w:t>(COVID-19)</w:t>
      </w:r>
    </w:p>
    <w:p w14:paraId="3B92F8C5" w14:textId="4F82600A" w:rsidR="00770DE1" w:rsidRPr="002029AF" w:rsidRDefault="00770DE1" w:rsidP="005231C4">
      <w:pPr>
        <w:pStyle w:val="ARbody"/>
      </w:pPr>
      <w:r w:rsidRPr="002029AF">
        <w:t>From</w:t>
      </w:r>
      <w:r w:rsidR="000A5329" w:rsidRPr="002029AF">
        <w:t xml:space="preserve"> </w:t>
      </w:r>
      <w:r w:rsidRPr="002029AF">
        <w:t>April</w:t>
      </w:r>
      <w:r w:rsidR="000A5329" w:rsidRPr="002029AF">
        <w:t xml:space="preserve"> </w:t>
      </w:r>
      <w:r w:rsidRPr="002029AF">
        <w:t>2020</w:t>
      </w:r>
      <w:r w:rsidR="000A5329" w:rsidRPr="002029AF">
        <w:t xml:space="preserve"> </w:t>
      </w:r>
      <w:r w:rsidRPr="002029AF">
        <w:t>the</w:t>
      </w:r>
      <w:r w:rsidR="000A5329" w:rsidRPr="002029AF">
        <w:t xml:space="preserve"> </w:t>
      </w:r>
      <w:r w:rsidRPr="002029AF">
        <w:t>most</w:t>
      </w:r>
      <w:r w:rsidR="000A5329" w:rsidRPr="002029AF">
        <w:t xml:space="preserve"> </w:t>
      </w:r>
      <w:r w:rsidRPr="002029AF">
        <w:t>senior</w:t>
      </w:r>
      <w:r w:rsidR="000A5329" w:rsidRPr="002029AF">
        <w:t xml:space="preserve"> </w:t>
      </w:r>
      <w:r w:rsidRPr="002029AF">
        <w:t>levels</w:t>
      </w:r>
      <w:r w:rsidR="000A5329" w:rsidRPr="002029AF">
        <w:t xml:space="preserve"> </w:t>
      </w:r>
      <w:r w:rsidRPr="002029AF">
        <w:t>of</w:t>
      </w:r>
      <w:r w:rsidR="000A5329" w:rsidRPr="002029AF">
        <w:t xml:space="preserve"> </w:t>
      </w:r>
      <w:r w:rsidRPr="002029AF">
        <w:t>the</w:t>
      </w:r>
      <w:r w:rsidR="000A5329" w:rsidRPr="002029AF">
        <w:t xml:space="preserve"> </w:t>
      </w:r>
      <w:r w:rsidRPr="002029AF">
        <w:t>Victorian</w:t>
      </w:r>
      <w:r w:rsidR="000A5329" w:rsidRPr="002029AF">
        <w:t xml:space="preserve"> </w:t>
      </w:r>
      <w:r w:rsidRPr="002029AF">
        <w:t>Public</w:t>
      </w:r>
      <w:r w:rsidR="000A5329" w:rsidRPr="002029AF">
        <w:t xml:space="preserve"> </w:t>
      </w:r>
      <w:r w:rsidRPr="002029AF">
        <w:t>Service</w:t>
      </w:r>
      <w:r w:rsidR="000A5329" w:rsidRPr="002029AF">
        <w:t xml:space="preserve"> </w:t>
      </w:r>
      <w:r w:rsidRPr="002029AF">
        <w:t>were</w:t>
      </w:r>
      <w:r w:rsidR="000A5329" w:rsidRPr="002029AF">
        <w:t xml:space="preserve"> </w:t>
      </w:r>
      <w:r w:rsidRPr="002029AF">
        <w:t>structured</w:t>
      </w:r>
      <w:r w:rsidR="000A5329" w:rsidRPr="002029AF">
        <w:t xml:space="preserve"> </w:t>
      </w:r>
      <w:r w:rsidR="567B38E1" w:rsidRPr="002029AF">
        <w:t>so</w:t>
      </w:r>
      <w:r w:rsidR="000A5329" w:rsidRPr="002029AF">
        <w:t xml:space="preserve"> </w:t>
      </w:r>
      <w:r w:rsidR="567B38E1" w:rsidRPr="002029AF">
        <w:t>as</w:t>
      </w:r>
      <w:r w:rsidR="000A5329" w:rsidRPr="002029AF">
        <w:t xml:space="preserve"> </w:t>
      </w:r>
      <w:r w:rsidRPr="002029AF">
        <w:t>to</w:t>
      </w:r>
      <w:r w:rsidR="000A5329" w:rsidRPr="002029AF">
        <w:t xml:space="preserve"> </w:t>
      </w:r>
      <w:r w:rsidRPr="002029AF">
        <w:t>focus</w:t>
      </w:r>
      <w:r w:rsidR="000A5329" w:rsidRPr="002029AF">
        <w:t xml:space="preserve"> </w:t>
      </w:r>
      <w:r w:rsidRPr="002029AF">
        <w:t>on</w:t>
      </w:r>
      <w:r w:rsidR="000A5329" w:rsidRPr="002029AF">
        <w:t xml:space="preserve"> </w:t>
      </w:r>
      <w:r w:rsidRPr="002029AF">
        <w:t>a</w:t>
      </w:r>
      <w:r w:rsidR="000A5329" w:rsidRPr="002029AF">
        <w:t xml:space="preserve"> </w:t>
      </w:r>
      <w:r w:rsidRPr="002029AF">
        <w:t>small</w:t>
      </w:r>
      <w:r w:rsidR="000A5329" w:rsidRPr="002029AF">
        <w:t xml:space="preserve"> </w:t>
      </w:r>
      <w:r w:rsidRPr="002029AF">
        <w:t>number</w:t>
      </w:r>
      <w:r w:rsidR="000A5329" w:rsidRPr="002029AF">
        <w:t xml:space="preserve"> </w:t>
      </w:r>
      <w:r w:rsidRPr="002029AF">
        <w:t>of</w:t>
      </w:r>
      <w:r w:rsidR="000A5329" w:rsidRPr="002029AF">
        <w:t xml:space="preserve"> </w:t>
      </w:r>
      <w:r w:rsidRPr="002029AF">
        <w:t>core</w:t>
      </w:r>
      <w:r w:rsidR="000A5329" w:rsidRPr="002029AF">
        <w:t xml:space="preserve"> </w:t>
      </w:r>
      <w:r w:rsidRPr="002029AF">
        <w:t>missions</w:t>
      </w:r>
      <w:r w:rsidR="000A5329" w:rsidRPr="002029AF">
        <w:t xml:space="preserve"> </w:t>
      </w:r>
      <w:r w:rsidRPr="002029AF">
        <w:t>to</w:t>
      </w:r>
      <w:r w:rsidR="000A5329" w:rsidRPr="002029AF">
        <w:t xml:space="preserve"> </w:t>
      </w:r>
      <w:r w:rsidRPr="002029AF">
        <w:t>help</w:t>
      </w:r>
      <w:r w:rsidR="000A5329" w:rsidRPr="002029AF">
        <w:t xml:space="preserve"> </w:t>
      </w:r>
      <w:r w:rsidRPr="002029AF">
        <w:t>respond</w:t>
      </w:r>
      <w:r w:rsidR="000A5329" w:rsidRPr="002029AF">
        <w:t xml:space="preserve"> </w:t>
      </w:r>
      <w:r w:rsidRPr="002029AF">
        <w:t>to</w:t>
      </w:r>
      <w:r w:rsidR="000A5329" w:rsidRPr="002029AF">
        <w:t xml:space="preserve"> </w:t>
      </w:r>
      <w:r w:rsidRPr="002029AF">
        <w:t>the</w:t>
      </w:r>
      <w:r w:rsidR="000A5329" w:rsidRPr="002029AF">
        <w:t xml:space="preserve"> </w:t>
      </w:r>
      <w:r w:rsidR="4C5096C2" w:rsidRPr="002029AF">
        <w:t>c</w:t>
      </w:r>
      <w:r w:rsidRPr="002029AF">
        <w:t>oronavirus</w:t>
      </w:r>
      <w:r w:rsidR="000A5329" w:rsidRPr="002029AF">
        <w:t xml:space="preserve"> </w:t>
      </w:r>
      <w:r w:rsidRPr="002029AF">
        <w:t>(COVID-19)</w:t>
      </w:r>
      <w:r w:rsidR="000A5329" w:rsidRPr="002029AF">
        <w:t xml:space="preserve"> </w:t>
      </w:r>
      <w:r w:rsidRPr="002029AF">
        <w:t>pandemic</w:t>
      </w:r>
      <w:r w:rsidR="000A5329" w:rsidRPr="002029AF">
        <w:t xml:space="preserve"> </w:t>
      </w:r>
      <w:r w:rsidRPr="002029AF">
        <w:t>crisis,</w:t>
      </w:r>
      <w:r w:rsidR="000A5329" w:rsidRPr="002029AF">
        <w:t xml:space="preserve"> </w:t>
      </w:r>
      <w:r w:rsidRPr="002029AF">
        <w:t>and</w:t>
      </w:r>
      <w:r w:rsidR="000A5329" w:rsidRPr="002029AF">
        <w:t xml:space="preserve"> </w:t>
      </w:r>
      <w:r w:rsidRPr="002029AF">
        <w:t>to</w:t>
      </w:r>
      <w:r w:rsidR="000A5329" w:rsidRPr="002029AF">
        <w:t xml:space="preserve"> </w:t>
      </w:r>
      <w:r w:rsidRPr="002029AF">
        <w:t>prepare</w:t>
      </w:r>
      <w:r w:rsidR="000A5329" w:rsidRPr="002029AF">
        <w:t xml:space="preserve"> </w:t>
      </w:r>
      <w:r w:rsidRPr="002029AF">
        <w:t>for</w:t>
      </w:r>
      <w:r w:rsidR="000A5329" w:rsidRPr="002029AF">
        <w:t xml:space="preserve"> </w:t>
      </w:r>
      <w:r w:rsidRPr="002029AF">
        <w:t>the</w:t>
      </w:r>
      <w:r w:rsidR="000A5329" w:rsidRPr="002029AF">
        <w:t xml:space="preserve"> </w:t>
      </w:r>
      <w:r w:rsidRPr="002029AF">
        <w:t>recovery</w:t>
      </w:r>
      <w:r w:rsidR="000A5329" w:rsidRPr="002029AF">
        <w:t xml:space="preserve"> </w:t>
      </w:r>
      <w:r w:rsidRPr="002029AF">
        <w:t>and</w:t>
      </w:r>
      <w:r w:rsidR="000A5329" w:rsidRPr="002029AF">
        <w:t xml:space="preserve"> </w:t>
      </w:r>
      <w:r w:rsidRPr="002029AF">
        <w:t>post-crisis</w:t>
      </w:r>
      <w:r w:rsidR="000A5329" w:rsidRPr="002029AF">
        <w:t xml:space="preserve"> </w:t>
      </w:r>
      <w:r w:rsidRPr="002029AF">
        <w:t>restoration</w:t>
      </w:r>
      <w:r w:rsidR="000A5329" w:rsidRPr="002029AF">
        <w:t xml:space="preserve"> </w:t>
      </w:r>
      <w:r w:rsidRPr="002029AF">
        <w:t>of</w:t>
      </w:r>
      <w:r w:rsidR="000A5329" w:rsidRPr="002029AF">
        <w:t xml:space="preserve"> </w:t>
      </w:r>
      <w:r w:rsidRPr="002029AF">
        <w:t>Victoria.</w:t>
      </w:r>
    </w:p>
    <w:p w14:paraId="105E75C3" w14:textId="5C4831BC" w:rsidR="00770DE1" w:rsidRPr="002029AF" w:rsidRDefault="7A21F264" w:rsidP="005231C4">
      <w:pPr>
        <w:pStyle w:val="ARbody"/>
      </w:pPr>
      <w:r w:rsidRPr="002029AF">
        <w:t>The</w:t>
      </w:r>
      <w:r w:rsidR="000A5329" w:rsidRPr="002029AF">
        <w:t xml:space="preserve"> </w:t>
      </w:r>
      <w:r w:rsidRPr="002029AF">
        <w:t>Premier</w:t>
      </w:r>
      <w:r w:rsidR="000A5329" w:rsidRPr="002029AF">
        <w:t xml:space="preserve"> </w:t>
      </w:r>
      <w:r w:rsidRPr="002029AF">
        <w:t>appointed</w:t>
      </w:r>
      <w:r w:rsidR="000A5329" w:rsidRPr="002029AF">
        <w:t xml:space="preserve"> </w:t>
      </w:r>
      <w:r w:rsidR="00770DE1" w:rsidRPr="002029AF">
        <w:t>Departmental</w:t>
      </w:r>
      <w:r w:rsidR="000A5329" w:rsidRPr="002029AF">
        <w:t xml:space="preserve"> </w:t>
      </w:r>
      <w:r w:rsidR="000343EC" w:rsidRPr="002029AF">
        <w:t>Secretaries</w:t>
      </w:r>
      <w:r w:rsidR="000A5329" w:rsidRPr="002029AF">
        <w:t xml:space="preserve"> </w:t>
      </w:r>
      <w:r w:rsidR="000343EC" w:rsidRPr="002029AF">
        <w:t>as</w:t>
      </w:r>
      <w:r w:rsidR="000A5329" w:rsidRPr="002029AF">
        <w:t xml:space="preserve"> </w:t>
      </w:r>
      <w:r w:rsidR="00770DE1" w:rsidRPr="002029AF">
        <w:t>Mission</w:t>
      </w:r>
      <w:r w:rsidR="000A5329" w:rsidRPr="002029AF">
        <w:t xml:space="preserve"> </w:t>
      </w:r>
      <w:r w:rsidR="00770DE1" w:rsidRPr="002029AF">
        <w:t>Leads</w:t>
      </w:r>
      <w:r w:rsidR="000A5329" w:rsidRPr="002029AF">
        <w:t xml:space="preserve"> </w:t>
      </w:r>
      <w:r w:rsidR="40420523" w:rsidRPr="002029AF">
        <w:t>in</w:t>
      </w:r>
      <w:r w:rsidR="000A5329" w:rsidRPr="002029AF">
        <w:t xml:space="preserve"> </w:t>
      </w:r>
      <w:r w:rsidR="40420523" w:rsidRPr="002029AF">
        <w:t>which</w:t>
      </w:r>
      <w:r w:rsidR="000A5329" w:rsidRPr="002029AF">
        <w:t xml:space="preserve"> </w:t>
      </w:r>
      <w:r w:rsidR="40420523" w:rsidRPr="002029AF">
        <w:t>roles</w:t>
      </w:r>
      <w:r w:rsidR="000A5329" w:rsidRPr="002029AF">
        <w:t xml:space="preserve"> </w:t>
      </w:r>
      <w:r w:rsidR="40420523" w:rsidRPr="002029AF">
        <w:t>they</w:t>
      </w:r>
      <w:r w:rsidR="000A5329" w:rsidRPr="002029AF">
        <w:t xml:space="preserve"> </w:t>
      </w:r>
      <w:r w:rsidR="40420523" w:rsidRPr="002029AF">
        <w:t>would</w:t>
      </w:r>
      <w:r w:rsidR="000A5329" w:rsidRPr="002029AF">
        <w:t xml:space="preserve"> </w:t>
      </w:r>
      <w:r w:rsidR="000343EC" w:rsidRPr="002029AF">
        <w:t>be,</w:t>
      </w:r>
      <w:r w:rsidR="000A5329" w:rsidRPr="002029AF">
        <w:t xml:space="preserve"> </w:t>
      </w:r>
      <w:r w:rsidR="00770DE1" w:rsidRPr="002029AF">
        <w:t>responsible</w:t>
      </w:r>
      <w:r w:rsidR="000A5329" w:rsidRPr="002029AF">
        <w:t xml:space="preserve"> </w:t>
      </w:r>
      <w:r w:rsidR="00770DE1" w:rsidRPr="002029AF">
        <w:t>for</w:t>
      </w:r>
      <w:r w:rsidR="000A5329" w:rsidRPr="002029AF">
        <w:t xml:space="preserve"> </w:t>
      </w:r>
      <w:r w:rsidR="590B3431" w:rsidRPr="002029AF">
        <w:t>the</w:t>
      </w:r>
      <w:r w:rsidR="000A5329" w:rsidRPr="002029AF">
        <w:t xml:space="preserve"> </w:t>
      </w:r>
      <w:r w:rsidR="00770DE1" w:rsidRPr="002029AF">
        <w:t>planning</w:t>
      </w:r>
      <w:r w:rsidR="000A5329" w:rsidRPr="002029AF">
        <w:t xml:space="preserve"> </w:t>
      </w:r>
      <w:r w:rsidR="00770DE1" w:rsidRPr="002029AF">
        <w:t>and</w:t>
      </w:r>
      <w:r w:rsidR="000A5329" w:rsidRPr="002029AF">
        <w:t xml:space="preserve"> </w:t>
      </w:r>
      <w:r w:rsidR="00770DE1" w:rsidRPr="002029AF">
        <w:t>delivery</w:t>
      </w:r>
      <w:r w:rsidR="000A5329" w:rsidRPr="002029AF">
        <w:t xml:space="preserve"> </w:t>
      </w:r>
      <w:r w:rsidR="00770DE1" w:rsidRPr="002029AF">
        <w:t>of</w:t>
      </w:r>
      <w:r w:rsidR="000A5329" w:rsidRPr="002029AF">
        <w:t xml:space="preserve"> </w:t>
      </w:r>
      <w:r w:rsidR="00770DE1" w:rsidRPr="002029AF">
        <w:t>the</w:t>
      </w:r>
      <w:r w:rsidR="000A5329" w:rsidRPr="002029AF">
        <w:t xml:space="preserve"> </w:t>
      </w:r>
      <w:r w:rsidR="00770DE1" w:rsidRPr="002029AF">
        <w:t>missions.</w:t>
      </w:r>
      <w:r w:rsidR="000A5329" w:rsidRPr="002029AF">
        <w:t xml:space="preserve"> </w:t>
      </w:r>
      <w:r w:rsidR="00770DE1" w:rsidRPr="002029AF">
        <w:t>Mission</w:t>
      </w:r>
      <w:r w:rsidR="000A5329" w:rsidRPr="002029AF">
        <w:t xml:space="preserve"> </w:t>
      </w:r>
      <w:r w:rsidR="00770DE1" w:rsidRPr="002029AF">
        <w:t>Leads</w:t>
      </w:r>
      <w:r w:rsidR="000A5329" w:rsidRPr="002029AF">
        <w:t xml:space="preserve"> </w:t>
      </w:r>
      <w:r w:rsidR="00770DE1" w:rsidRPr="002029AF">
        <w:t>engage</w:t>
      </w:r>
      <w:r w:rsidR="000A5329" w:rsidRPr="002029AF">
        <w:t xml:space="preserve"> </w:t>
      </w:r>
      <w:r w:rsidR="00770DE1" w:rsidRPr="002029AF">
        <w:t>with</w:t>
      </w:r>
      <w:r w:rsidR="000A5329" w:rsidRPr="002029AF">
        <w:t xml:space="preserve"> </w:t>
      </w:r>
      <w:r w:rsidR="00770DE1" w:rsidRPr="002029AF">
        <w:t>the</w:t>
      </w:r>
      <w:r w:rsidR="000A5329" w:rsidRPr="002029AF">
        <w:t xml:space="preserve"> </w:t>
      </w:r>
      <w:r w:rsidR="00770DE1" w:rsidRPr="002029AF">
        <w:t>Crisis</w:t>
      </w:r>
      <w:r w:rsidR="000A5329" w:rsidRPr="002029AF">
        <w:t xml:space="preserve"> </w:t>
      </w:r>
      <w:r w:rsidR="00770DE1" w:rsidRPr="002029AF">
        <w:t>Council</w:t>
      </w:r>
      <w:r w:rsidR="000A5329" w:rsidRPr="002029AF">
        <w:t xml:space="preserve"> </w:t>
      </w:r>
      <w:r w:rsidR="00770DE1" w:rsidRPr="002029AF">
        <w:t>of</w:t>
      </w:r>
      <w:r w:rsidR="000A5329" w:rsidRPr="002029AF">
        <w:t xml:space="preserve"> </w:t>
      </w:r>
      <w:r w:rsidR="00770DE1" w:rsidRPr="002029AF">
        <w:t>Cabinet</w:t>
      </w:r>
      <w:r w:rsidR="000A5329" w:rsidRPr="002029AF">
        <w:t xml:space="preserve"> </w:t>
      </w:r>
      <w:r w:rsidR="00770DE1" w:rsidRPr="002029AF">
        <w:t>(CCC)</w:t>
      </w:r>
      <w:r w:rsidR="000A5329" w:rsidRPr="002029AF">
        <w:t xml:space="preserve"> </w:t>
      </w:r>
      <w:r w:rsidR="718FBA62" w:rsidRPr="002029AF">
        <w:t>c</w:t>
      </w:r>
      <w:r w:rsidR="00770DE1" w:rsidRPr="002029AF">
        <w:t>oordinating</w:t>
      </w:r>
      <w:r w:rsidR="000A5329" w:rsidRPr="002029AF">
        <w:t xml:space="preserve"> </w:t>
      </w:r>
      <w:r w:rsidR="70B77437" w:rsidRPr="002029AF">
        <w:t>m</w:t>
      </w:r>
      <w:r w:rsidR="00770DE1" w:rsidRPr="002029AF">
        <w:t>inisters</w:t>
      </w:r>
      <w:r w:rsidR="000A5329" w:rsidRPr="002029AF">
        <w:t xml:space="preserve"> </w:t>
      </w:r>
      <w:r w:rsidR="00770DE1" w:rsidRPr="002029AF">
        <w:t>and</w:t>
      </w:r>
      <w:r w:rsidR="000A5329" w:rsidRPr="002029AF">
        <w:t xml:space="preserve"> </w:t>
      </w:r>
      <w:r w:rsidR="00770DE1" w:rsidRPr="002029AF">
        <w:t>support</w:t>
      </w:r>
      <w:r w:rsidR="000A5329" w:rsidRPr="002029AF">
        <w:t xml:space="preserve"> </w:t>
      </w:r>
      <w:r w:rsidR="00770DE1" w:rsidRPr="002029AF">
        <w:t>the</w:t>
      </w:r>
      <w:r w:rsidR="000A5329" w:rsidRPr="002029AF">
        <w:t xml:space="preserve"> </w:t>
      </w:r>
      <w:r w:rsidR="00770DE1" w:rsidRPr="002029AF">
        <w:t>CCC</w:t>
      </w:r>
      <w:r w:rsidR="000A5329" w:rsidRPr="002029AF">
        <w:t xml:space="preserve"> </w:t>
      </w:r>
      <w:r w:rsidR="00770DE1" w:rsidRPr="002029AF">
        <w:t>as</w:t>
      </w:r>
      <w:r w:rsidR="000A5329" w:rsidRPr="002029AF">
        <w:t xml:space="preserve"> </w:t>
      </w:r>
      <w:r w:rsidR="000343EC" w:rsidRPr="002029AF">
        <w:t>the</w:t>
      </w:r>
      <w:r w:rsidR="000A5329" w:rsidRPr="002029AF">
        <w:t xml:space="preserve"> </w:t>
      </w:r>
      <w:r w:rsidR="000343EC" w:rsidRPr="002029AF">
        <w:t>core</w:t>
      </w:r>
      <w:r w:rsidR="000A5329" w:rsidRPr="002029AF">
        <w:t xml:space="preserve"> </w:t>
      </w:r>
      <w:r w:rsidR="00770DE1" w:rsidRPr="002029AF">
        <w:t>decision-making</w:t>
      </w:r>
      <w:r w:rsidR="000A5329" w:rsidRPr="002029AF">
        <w:t xml:space="preserve"> </w:t>
      </w:r>
      <w:r w:rsidR="00770DE1" w:rsidRPr="002029AF">
        <w:t>forum.</w:t>
      </w:r>
    </w:p>
    <w:p w14:paraId="12D8654D" w14:textId="65F96BE5" w:rsidR="00770DE1" w:rsidRPr="002029AF" w:rsidRDefault="00770DE1" w:rsidP="005231C4">
      <w:pPr>
        <w:pStyle w:val="ARbody"/>
      </w:pPr>
      <w:r w:rsidRPr="002029AF">
        <w:t>A</w:t>
      </w:r>
      <w:r w:rsidR="000A5329" w:rsidRPr="002029AF">
        <w:t xml:space="preserve"> </w:t>
      </w:r>
      <w:r w:rsidRPr="002029AF">
        <w:t>Mission</w:t>
      </w:r>
      <w:r w:rsidR="000A5329" w:rsidRPr="002029AF">
        <w:t xml:space="preserve"> </w:t>
      </w:r>
      <w:r w:rsidRPr="002029AF">
        <w:t>Coordination</w:t>
      </w:r>
      <w:r w:rsidR="000A5329" w:rsidRPr="002029AF">
        <w:t xml:space="preserve"> </w:t>
      </w:r>
      <w:r w:rsidRPr="002029AF">
        <w:t>Committee,</w:t>
      </w:r>
      <w:r w:rsidR="000A5329" w:rsidRPr="002029AF">
        <w:t xml:space="preserve"> </w:t>
      </w:r>
      <w:r w:rsidRPr="002029AF">
        <w:t>chaired</w:t>
      </w:r>
      <w:r w:rsidR="000A5329" w:rsidRPr="002029AF">
        <w:t xml:space="preserve"> </w:t>
      </w:r>
      <w:r w:rsidRPr="002029AF">
        <w:t>by</w:t>
      </w:r>
      <w:r w:rsidR="000A5329" w:rsidRPr="002029AF">
        <w:t xml:space="preserve"> </w:t>
      </w:r>
      <w:r w:rsidRPr="002029AF">
        <w:t>the</w:t>
      </w:r>
      <w:r w:rsidR="00B97ABC" w:rsidRPr="002029AF">
        <w:t> </w:t>
      </w:r>
      <w:r w:rsidRPr="002029AF">
        <w:t>Secretary</w:t>
      </w:r>
      <w:r w:rsidR="000A5329" w:rsidRPr="002029AF">
        <w:t xml:space="preserve"> </w:t>
      </w:r>
      <w:r w:rsidRPr="002029AF">
        <w:t>of</w:t>
      </w:r>
      <w:r w:rsidR="000A5329" w:rsidRPr="002029AF">
        <w:t xml:space="preserve"> </w:t>
      </w:r>
      <w:r w:rsidR="00BE7B1E" w:rsidRPr="002029AF">
        <w:t>the</w:t>
      </w:r>
      <w:r w:rsidR="000A5329" w:rsidRPr="002029AF">
        <w:t xml:space="preserve"> </w:t>
      </w:r>
      <w:r w:rsidRPr="002029AF">
        <w:t>D</w:t>
      </w:r>
      <w:r w:rsidR="00BE7B1E" w:rsidRPr="002029AF">
        <w:t>epart</w:t>
      </w:r>
      <w:r w:rsidR="00503B94" w:rsidRPr="002029AF">
        <w:t>ment</w:t>
      </w:r>
      <w:r w:rsidR="000A5329" w:rsidRPr="002029AF">
        <w:t xml:space="preserve"> </w:t>
      </w:r>
      <w:r w:rsidR="00503B94" w:rsidRPr="002029AF">
        <w:t>of</w:t>
      </w:r>
      <w:r w:rsidR="000A5329" w:rsidRPr="002029AF">
        <w:t xml:space="preserve"> </w:t>
      </w:r>
      <w:r w:rsidRPr="002029AF">
        <w:t>P</w:t>
      </w:r>
      <w:r w:rsidR="00503B94" w:rsidRPr="002029AF">
        <w:t>remier</w:t>
      </w:r>
      <w:r w:rsidR="000A5329" w:rsidRPr="002029AF">
        <w:t xml:space="preserve"> </w:t>
      </w:r>
      <w:r w:rsidR="00503B94" w:rsidRPr="002029AF">
        <w:t>and</w:t>
      </w:r>
      <w:r w:rsidR="000A5329" w:rsidRPr="002029AF">
        <w:t xml:space="preserve"> </w:t>
      </w:r>
      <w:r w:rsidRPr="002029AF">
        <w:t>C</w:t>
      </w:r>
      <w:r w:rsidR="00503B94" w:rsidRPr="002029AF">
        <w:t>abinet</w:t>
      </w:r>
      <w:r w:rsidR="000A5329" w:rsidRPr="002029AF">
        <w:t xml:space="preserve"> </w:t>
      </w:r>
      <w:r w:rsidR="00503B94" w:rsidRPr="002029AF">
        <w:t>and</w:t>
      </w:r>
      <w:r w:rsidR="000A5329" w:rsidRPr="002029AF">
        <w:t xml:space="preserve"> </w:t>
      </w:r>
      <w:r w:rsidR="00503B94" w:rsidRPr="002029AF">
        <w:t>reporting</w:t>
      </w:r>
      <w:r w:rsidR="000A5329" w:rsidRPr="002029AF">
        <w:t xml:space="preserve"> </w:t>
      </w:r>
      <w:r w:rsidR="00503B94" w:rsidRPr="002029AF">
        <w:t>to</w:t>
      </w:r>
      <w:r w:rsidR="000A5329" w:rsidRPr="002029AF">
        <w:t xml:space="preserve"> </w:t>
      </w:r>
      <w:r w:rsidR="00503B94" w:rsidRPr="002029AF">
        <w:t>the</w:t>
      </w:r>
      <w:r w:rsidR="000A5329" w:rsidRPr="002029AF">
        <w:t xml:space="preserve"> </w:t>
      </w:r>
      <w:r w:rsidR="00503B94" w:rsidRPr="002029AF">
        <w:t>CCC</w:t>
      </w:r>
      <w:r w:rsidRPr="002029AF">
        <w:t>,</w:t>
      </w:r>
      <w:r w:rsidR="000A5329" w:rsidRPr="002029AF">
        <w:t xml:space="preserve"> </w:t>
      </w:r>
      <w:r w:rsidRPr="002029AF">
        <w:t>was</w:t>
      </w:r>
      <w:r w:rsidR="000A5329" w:rsidRPr="002029AF">
        <w:t xml:space="preserve"> </w:t>
      </w:r>
      <w:r w:rsidRPr="002029AF">
        <w:t>also</w:t>
      </w:r>
      <w:r w:rsidR="000A5329" w:rsidRPr="002029AF">
        <w:t xml:space="preserve"> </w:t>
      </w:r>
      <w:r w:rsidRPr="002029AF">
        <w:t>established</w:t>
      </w:r>
      <w:r w:rsidR="000A5329" w:rsidRPr="002029AF">
        <w:t xml:space="preserve"> </w:t>
      </w:r>
      <w:r w:rsidRPr="002029AF">
        <w:t>as</w:t>
      </w:r>
      <w:r w:rsidR="000A5329" w:rsidRPr="002029AF">
        <w:t xml:space="preserve"> </w:t>
      </w:r>
      <w:r w:rsidRPr="002029AF">
        <w:t>the</w:t>
      </w:r>
      <w:r w:rsidR="000A5329" w:rsidRPr="002029AF">
        <w:t xml:space="preserve"> </w:t>
      </w:r>
      <w:r w:rsidRPr="002029AF">
        <w:t>key</w:t>
      </w:r>
      <w:r w:rsidR="000A5329" w:rsidRPr="002029AF">
        <w:t xml:space="preserve"> </w:t>
      </w:r>
      <w:r w:rsidRPr="002029AF">
        <w:t>officials</w:t>
      </w:r>
      <w:r w:rsidR="005F298C">
        <w:t>’</w:t>
      </w:r>
      <w:r w:rsidR="000A5329" w:rsidRPr="002029AF">
        <w:t xml:space="preserve"> </w:t>
      </w:r>
      <w:r w:rsidRPr="002029AF">
        <w:t>forum</w:t>
      </w:r>
      <w:r w:rsidR="000A5329" w:rsidRPr="002029AF">
        <w:t xml:space="preserve"> </w:t>
      </w:r>
      <w:r w:rsidRPr="002029AF">
        <w:t>to</w:t>
      </w:r>
      <w:r w:rsidR="000A5329" w:rsidRPr="002029AF">
        <w:t xml:space="preserve"> </w:t>
      </w:r>
      <w:r w:rsidRPr="002029AF">
        <w:t>support</w:t>
      </w:r>
      <w:r w:rsidR="000A5329" w:rsidRPr="002029AF">
        <w:t xml:space="preserve"> </w:t>
      </w:r>
      <w:r w:rsidRPr="002029AF">
        <w:t>delivery</w:t>
      </w:r>
      <w:r w:rsidR="000A5329" w:rsidRPr="002029AF">
        <w:t xml:space="preserve"> </w:t>
      </w:r>
      <w:r w:rsidRPr="002029AF">
        <w:t>of</w:t>
      </w:r>
      <w:r w:rsidR="000A5329" w:rsidRPr="002029AF">
        <w:t xml:space="preserve"> </w:t>
      </w:r>
      <w:r w:rsidRPr="002029AF">
        <w:t>the</w:t>
      </w:r>
      <w:r w:rsidR="000A5329" w:rsidRPr="002029AF">
        <w:t xml:space="preserve"> </w:t>
      </w:r>
      <w:r w:rsidRPr="002029AF">
        <w:t>missions.</w:t>
      </w:r>
      <w:r w:rsidR="000A5329" w:rsidRPr="002029AF">
        <w:t xml:space="preserve"> </w:t>
      </w:r>
      <w:r w:rsidRPr="002029AF">
        <w:t>This</w:t>
      </w:r>
      <w:r w:rsidR="000A5329" w:rsidRPr="002029AF">
        <w:t xml:space="preserve"> </w:t>
      </w:r>
      <w:r w:rsidR="00671515" w:rsidRPr="002029AF">
        <w:t>m</w:t>
      </w:r>
      <w:r w:rsidRPr="002029AF">
        <w:t>ission</w:t>
      </w:r>
      <w:r w:rsidR="000A5329" w:rsidRPr="002029AF">
        <w:t xml:space="preserve"> </w:t>
      </w:r>
      <w:r w:rsidRPr="002029AF">
        <w:t>structure</w:t>
      </w:r>
      <w:r w:rsidR="000A5329" w:rsidRPr="002029AF">
        <w:t xml:space="preserve"> </w:t>
      </w:r>
      <w:r w:rsidRPr="002029AF">
        <w:t>has</w:t>
      </w:r>
      <w:r w:rsidR="000A5329" w:rsidRPr="002029AF">
        <w:t xml:space="preserve"> </w:t>
      </w:r>
      <w:r w:rsidRPr="002029AF">
        <w:t>allowed</w:t>
      </w:r>
      <w:r w:rsidR="000A5329" w:rsidRPr="002029AF">
        <w:t xml:space="preserve"> </w:t>
      </w:r>
      <w:r w:rsidRPr="002029AF">
        <w:t>the</w:t>
      </w:r>
      <w:r w:rsidR="000A5329" w:rsidRPr="002029AF">
        <w:t xml:space="preserve"> </w:t>
      </w:r>
      <w:r w:rsidRPr="002029AF">
        <w:t>Victorian</w:t>
      </w:r>
      <w:r w:rsidR="000A5329" w:rsidRPr="002029AF">
        <w:t xml:space="preserve"> </w:t>
      </w:r>
      <w:r w:rsidRPr="002029AF">
        <w:t>Public</w:t>
      </w:r>
      <w:r w:rsidR="000A5329" w:rsidRPr="002029AF">
        <w:t xml:space="preserve"> </w:t>
      </w:r>
      <w:r w:rsidRPr="002029AF">
        <w:t>Service</w:t>
      </w:r>
      <w:r w:rsidR="000A5329" w:rsidRPr="002029AF">
        <w:t xml:space="preserve"> </w:t>
      </w:r>
      <w:r w:rsidRPr="002029AF">
        <w:t>to</w:t>
      </w:r>
      <w:r w:rsidR="000A5329" w:rsidRPr="002029AF">
        <w:t xml:space="preserve"> </w:t>
      </w:r>
      <w:r w:rsidRPr="002029AF">
        <w:t>effectively</w:t>
      </w:r>
      <w:r w:rsidR="000A5329" w:rsidRPr="002029AF">
        <w:t xml:space="preserve"> </w:t>
      </w:r>
      <w:r w:rsidRPr="002029AF">
        <w:t>focus</w:t>
      </w:r>
      <w:r w:rsidR="000A5329" w:rsidRPr="002029AF">
        <w:t xml:space="preserve"> </w:t>
      </w:r>
      <w:r w:rsidRPr="002029AF">
        <w:t>activity,</w:t>
      </w:r>
      <w:r w:rsidR="000A5329" w:rsidRPr="002029AF">
        <w:t xml:space="preserve"> </w:t>
      </w:r>
      <w:r w:rsidRPr="002029AF">
        <w:t>share</w:t>
      </w:r>
      <w:r w:rsidR="000A5329" w:rsidRPr="002029AF">
        <w:t xml:space="preserve"> </w:t>
      </w:r>
      <w:r w:rsidRPr="002029AF">
        <w:t>resources</w:t>
      </w:r>
      <w:r w:rsidR="000A5329" w:rsidRPr="002029AF">
        <w:t xml:space="preserve"> </w:t>
      </w:r>
      <w:r w:rsidRPr="002029AF">
        <w:t>and</w:t>
      </w:r>
      <w:r w:rsidR="000A5329" w:rsidRPr="002029AF">
        <w:t xml:space="preserve"> </w:t>
      </w:r>
      <w:r w:rsidRPr="002029AF">
        <w:t>coordinate</w:t>
      </w:r>
      <w:r w:rsidR="000A5329" w:rsidRPr="002029AF">
        <w:t xml:space="preserve"> </w:t>
      </w:r>
      <w:r w:rsidR="00671515" w:rsidRPr="002029AF">
        <w:t>c</w:t>
      </w:r>
      <w:r w:rsidRPr="002029AF">
        <w:t>oronavirus</w:t>
      </w:r>
      <w:r w:rsidR="000A5329" w:rsidRPr="002029AF">
        <w:t xml:space="preserve"> </w:t>
      </w:r>
      <w:r w:rsidRPr="002029AF">
        <w:t>(COVID-19)</w:t>
      </w:r>
      <w:r w:rsidR="000A5329" w:rsidRPr="002029AF">
        <w:t xml:space="preserve"> </w:t>
      </w:r>
      <w:r w:rsidRPr="002029AF">
        <w:t>responses</w:t>
      </w:r>
      <w:r w:rsidR="000A5329" w:rsidRPr="002029AF">
        <w:t xml:space="preserve"> </w:t>
      </w:r>
      <w:r w:rsidRPr="002029AF">
        <w:t>across</w:t>
      </w:r>
      <w:r w:rsidR="000A5329" w:rsidRPr="002029AF">
        <w:t xml:space="preserve"> </w:t>
      </w:r>
      <w:r w:rsidRPr="002029AF">
        <w:t>departments.</w:t>
      </w:r>
    </w:p>
    <w:p w14:paraId="12B2FBF0" w14:textId="7A4AD486" w:rsidR="00770DE1" w:rsidRPr="002029AF" w:rsidRDefault="00770DE1" w:rsidP="005231C4">
      <w:pPr>
        <w:pStyle w:val="ARbody"/>
      </w:pPr>
      <w:r w:rsidRPr="002029AF">
        <w:t>From</w:t>
      </w:r>
      <w:r w:rsidR="000A5329" w:rsidRPr="002029AF">
        <w:t xml:space="preserve"> </w:t>
      </w:r>
      <w:r w:rsidRPr="002029AF">
        <w:t>June</w:t>
      </w:r>
      <w:r w:rsidR="000A5329" w:rsidRPr="002029AF">
        <w:t xml:space="preserve"> </w:t>
      </w:r>
      <w:r w:rsidRPr="002029AF">
        <w:t>2020,</w:t>
      </w:r>
      <w:r w:rsidR="000A5329" w:rsidRPr="002029AF">
        <w:t xml:space="preserve"> </w:t>
      </w:r>
      <w:r w:rsidRPr="002029AF">
        <w:t>the</w:t>
      </w:r>
      <w:r w:rsidR="000A5329" w:rsidRPr="002029AF">
        <w:t xml:space="preserve"> </w:t>
      </w:r>
      <w:r w:rsidRPr="002029AF">
        <w:t>initial</w:t>
      </w:r>
      <w:r w:rsidR="000A5329" w:rsidRPr="002029AF">
        <w:t xml:space="preserve"> </w:t>
      </w:r>
      <w:r w:rsidRPr="002029AF">
        <w:t>eight</w:t>
      </w:r>
      <w:r w:rsidR="000A5329" w:rsidRPr="002029AF">
        <w:t xml:space="preserve"> </w:t>
      </w:r>
      <w:r w:rsidRPr="002029AF">
        <w:t>public</w:t>
      </w:r>
      <w:r w:rsidR="000A5329" w:rsidRPr="002029AF">
        <w:t xml:space="preserve"> </w:t>
      </w:r>
      <w:r w:rsidRPr="002029AF">
        <w:t>service</w:t>
      </w:r>
      <w:r w:rsidR="000A5329" w:rsidRPr="002029AF">
        <w:t xml:space="preserve"> </w:t>
      </w:r>
      <w:r w:rsidRPr="002029AF">
        <w:t>missions</w:t>
      </w:r>
      <w:r w:rsidR="000A5329" w:rsidRPr="002029AF">
        <w:t xml:space="preserve"> </w:t>
      </w:r>
      <w:r w:rsidRPr="002029AF">
        <w:t>were</w:t>
      </w:r>
      <w:r w:rsidR="000A5329" w:rsidRPr="002029AF">
        <w:t xml:space="preserve"> </w:t>
      </w:r>
      <w:r w:rsidRPr="002029AF">
        <w:t>consolidated</w:t>
      </w:r>
      <w:r w:rsidR="000A5329" w:rsidRPr="002029AF">
        <w:t xml:space="preserve"> </w:t>
      </w:r>
      <w:r w:rsidRPr="002029AF">
        <w:t>into</w:t>
      </w:r>
      <w:r w:rsidR="000A5329" w:rsidRPr="002029AF">
        <w:t xml:space="preserve"> </w:t>
      </w:r>
      <w:r w:rsidRPr="002029AF">
        <w:t>six</w:t>
      </w:r>
      <w:r w:rsidR="000A5329" w:rsidRPr="002029AF">
        <w:t xml:space="preserve"> </w:t>
      </w:r>
      <w:r w:rsidRPr="002029AF">
        <w:t>key</w:t>
      </w:r>
      <w:r w:rsidR="000A5329" w:rsidRPr="002029AF">
        <w:t xml:space="preserve"> </w:t>
      </w:r>
      <w:r w:rsidRPr="002029AF">
        <w:t>missions,</w:t>
      </w:r>
      <w:r w:rsidR="000A5329" w:rsidRPr="002029AF">
        <w:t xml:space="preserve"> </w:t>
      </w:r>
      <w:r w:rsidRPr="002029AF">
        <w:t>to</w:t>
      </w:r>
      <w:r w:rsidR="000A5329" w:rsidRPr="002029AF">
        <w:t xml:space="preserve"> </w:t>
      </w:r>
      <w:r w:rsidRPr="002029AF">
        <w:t>support</w:t>
      </w:r>
      <w:r w:rsidR="000A5329" w:rsidRPr="002029AF">
        <w:t xml:space="preserve"> </w:t>
      </w:r>
      <w:r w:rsidRPr="002029AF">
        <w:t>a</w:t>
      </w:r>
      <w:r w:rsidR="000A5329" w:rsidRPr="002029AF">
        <w:t xml:space="preserve"> </w:t>
      </w:r>
      <w:r w:rsidRPr="002029AF">
        <w:t>more</w:t>
      </w:r>
      <w:r w:rsidR="000A5329" w:rsidRPr="002029AF">
        <w:t xml:space="preserve"> </w:t>
      </w:r>
      <w:r w:rsidRPr="002029AF">
        <w:t>focused</w:t>
      </w:r>
      <w:r w:rsidR="000A5329" w:rsidRPr="002029AF">
        <w:t xml:space="preserve"> </w:t>
      </w:r>
      <w:r w:rsidRPr="002029AF">
        <w:t>effort</w:t>
      </w:r>
      <w:r w:rsidR="000A5329" w:rsidRPr="002029AF">
        <w:t xml:space="preserve"> </w:t>
      </w:r>
      <w:r w:rsidRPr="002029AF">
        <w:t>on</w:t>
      </w:r>
      <w:r w:rsidR="000A5329" w:rsidRPr="002029AF">
        <w:t xml:space="preserve"> </w:t>
      </w:r>
      <w:r w:rsidR="00671515" w:rsidRPr="002029AF">
        <w:t>the</w:t>
      </w:r>
      <w:r w:rsidR="000A5329" w:rsidRPr="002029AF">
        <w:t xml:space="preserve"> </w:t>
      </w:r>
      <w:r w:rsidRPr="002029AF">
        <w:t>public</w:t>
      </w:r>
      <w:r w:rsidR="000A5329" w:rsidRPr="002029AF">
        <w:t xml:space="preserve"> </w:t>
      </w:r>
      <w:r w:rsidRPr="002029AF">
        <w:t>health</w:t>
      </w:r>
      <w:r w:rsidR="000A5329" w:rsidRPr="002029AF">
        <w:t xml:space="preserve"> </w:t>
      </w:r>
      <w:r w:rsidRPr="002029AF">
        <w:t>response</w:t>
      </w:r>
      <w:r w:rsidR="000A5329" w:rsidRPr="002029AF">
        <w:t xml:space="preserve"> </w:t>
      </w:r>
      <w:r w:rsidRPr="002029AF">
        <w:t>and</w:t>
      </w:r>
      <w:r w:rsidR="000A5329" w:rsidRPr="002029AF">
        <w:t xml:space="preserve"> </w:t>
      </w:r>
      <w:r w:rsidRPr="002029AF">
        <w:t>resilience,</w:t>
      </w:r>
      <w:r w:rsidR="000A5329" w:rsidRPr="002029AF">
        <w:t xml:space="preserve"> </w:t>
      </w:r>
      <w:r w:rsidRPr="002029AF">
        <w:t>and</w:t>
      </w:r>
      <w:r w:rsidR="000A5329" w:rsidRPr="002029AF">
        <w:t xml:space="preserve"> </w:t>
      </w:r>
      <w:r w:rsidRPr="002029AF">
        <w:t>the</w:t>
      </w:r>
      <w:r w:rsidR="000A5329" w:rsidRPr="002029AF">
        <w:t xml:space="preserve"> </w:t>
      </w:r>
      <w:r w:rsidRPr="002029AF">
        <w:t>delivery</w:t>
      </w:r>
      <w:r w:rsidR="000A5329" w:rsidRPr="002029AF">
        <w:t xml:space="preserve"> </w:t>
      </w:r>
      <w:r w:rsidRPr="002029AF">
        <w:t>of</w:t>
      </w:r>
      <w:r w:rsidR="00020FE5">
        <w:t> </w:t>
      </w:r>
      <w:r w:rsidRPr="002029AF">
        <w:t>the</w:t>
      </w:r>
      <w:r w:rsidR="000A5329" w:rsidRPr="002029AF">
        <w:t xml:space="preserve"> </w:t>
      </w:r>
      <w:r w:rsidRPr="002029AF">
        <w:t>deferred</w:t>
      </w:r>
      <w:r w:rsidR="000A5329" w:rsidRPr="002029AF">
        <w:t xml:space="preserve"> </w:t>
      </w:r>
      <w:r w:rsidRPr="002029AF">
        <w:t>202</w:t>
      </w:r>
      <w:r w:rsidR="00DB53E6" w:rsidRPr="002029AF">
        <w:t>0–</w:t>
      </w:r>
      <w:r w:rsidRPr="002029AF">
        <w:t>21</w:t>
      </w:r>
      <w:r w:rsidR="000A5329" w:rsidRPr="002029AF">
        <w:t xml:space="preserve"> </w:t>
      </w:r>
      <w:r w:rsidR="00F34ECC" w:rsidRPr="002029AF">
        <w:t>S</w:t>
      </w:r>
      <w:r w:rsidRPr="002029AF">
        <w:t>tate</w:t>
      </w:r>
      <w:r w:rsidR="000A5329" w:rsidRPr="002029AF">
        <w:t xml:space="preserve"> </w:t>
      </w:r>
      <w:r w:rsidR="00F34ECC" w:rsidRPr="002029AF">
        <w:t>B</w:t>
      </w:r>
      <w:r w:rsidRPr="002029AF">
        <w:t>udget.</w:t>
      </w:r>
      <w:r w:rsidR="000A5329" w:rsidRPr="002029AF">
        <w:t xml:space="preserve"> </w:t>
      </w:r>
      <w:r w:rsidRPr="002029AF">
        <w:t>These</w:t>
      </w:r>
      <w:r w:rsidR="000A5329" w:rsidRPr="002029AF">
        <w:t xml:space="preserve"> </w:t>
      </w:r>
      <w:r w:rsidRPr="002029AF">
        <w:t>six</w:t>
      </w:r>
      <w:r w:rsidR="000A5329" w:rsidRPr="002029AF">
        <w:t xml:space="preserve"> </w:t>
      </w:r>
      <w:r w:rsidRPr="002029AF">
        <w:t>key</w:t>
      </w:r>
      <w:r w:rsidR="000A5329" w:rsidRPr="002029AF">
        <w:t xml:space="preserve"> </w:t>
      </w:r>
      <w:r w:rsidRPr="002029AF">
        <w:t>missions</w:t>
      </w:r>
      <w:r w:rsidR="000A5329" w:rsidRPr="002029AF">
        <w:t xml:space="preserve"> </w:t>
      </w:r>
      <w:r w:rsidRPr="002029AF">
        <w:t>are:</w:t>
      </w:r>
    </w:p>
    <w:p w14:paraId="7777EC2B" w14:textId="77777777" w:rsidR="00770DE1" w:rsidRPr="002029AF" w:rsidRDefault="00770DE1" w:rsidP="00B442E2">
      <w:pPr>
        <w:pStyle w:val="ARbody"/>
      </w:pPr>
    </w:p>
    <w:p w14:paraId="4EAC207C" w14:textId="77777777" w:rsidR="00770DE1" w:rsidRPr="002029AF" w:rsidRDefault="00770DE1" w:rsidP="00B442E2">
      <w:pPr>
        <w:pStyle w:val="ARbody"/>
        <w:sectPr w:rsidR="00770DE1" w:rsidRPr="002029AF" w:rsidSect="00B442E2">
          <w:footnotePr>
            <w:numFmt w:val="chicago"/>
            <w:numRestart w:val="eachPage"/>
          </w:footnotePr>
          <w:endnotePr>
            <w:numFmt w:val="decimal"/>
          </w:endnotePr>
          <w:type w:val="continuous"/>
          <w:pgSz w:w="11900" w:h="16840" w:code="9"/>
          <w:pgMar w:top="1985" w:right="851" w:bottom="851" w:left="1418" w:header="510" w:footer="340" w:gutter="0"/>
          <w:cols w:num="2" w:space="454"/>
          <w15:footnoteColumns w:val="1"/>
        </w:sectPr>
      </w:pPr>
    </w:p>
    <w:tbl>
      <w:tblPr>
        <w:tblStyle w:val="TableGrid"/>
        <w:tblW w:w="0" w:type="auto"/>
        <w:tblLook w:val="06A0" w:firstRow="1" w:lastRow="0" w:firstColumn="1" w:lastColumn="0" w:noHBand="1" w:noVBand="1"/>
      </w:tblPr>
      <w:tblGrid>
        <w:gridCol w:w="1985"/>
        <w:gridCol w:w="3055"/>
        <w:gridCol w:w="4581"/>
      </w:tblGrid>
      <w:tr w:rsidR="00770DE1" w:rsidRPr="002029AF" w14:paraId="74AC2D7A" w14:textId="77777777" w:rsidTr="00B97ABC">
        <w:trPr>
          <w:cnfStyle w:val="100000000000" w:firstRow="1" w:lastRow="0" w:firstColumn="0" w:lastColumn="0" w:oddVBand="0" w:evenVBand="0" w:oddHBand="0" w:evenHBand="0" w:firstRowFirstColumn="0" w:firstRowLastColumn="0" w:lastRowFirstColumn="0" w:lastRowLastColumn="0"/>
          <w:tblHeader/>
        </w:trPr>
        <w:tc>
          <w:tcPr>
            <w:tcW w:w="1985" w:type="dxa"/>
            <w:hideMark/>
          </w:tcPr>
          <w:p w14:paraId="3C67206B" w14:textId="40AA7DD9" w:rsidR="00770DE1" w:rsidRPr="002029AF" w:rsidRDefault="00770DE1" w:rsidP="001B41BE">
            <w:pPr>
              <w:pStyle w:val="ARtablecolhead"/>
              <w:spacing w:before="300"/>
              <w:rPr>
                <w:bCs/>
              </w:rPr>
            </w:pPr>
            <w:r w:rsidRPr="002029AF">
              <w:t>Mission</w:t>
            </w:r>
          </w:p>
        </w:tc>
        <w:tc>
          <w:tcPr>
            <w:tcW w:w="3055" w:type="dxa"/>
            <w:hideMark/>
          </w:tcPr>
          <w:p w14:paraId="5B538DE0" w14:textId="61AE5A3C" w:rsidR="00770DE1" w:rsidRPr="002029AF" w:rsidRDefault="00770DE1" w:rsidP="005231C4">
            <w:pPr>
              <w:pStyle w:val="ARtablecolhead"/>
              <w:rPr>
                <w:bCs/>
              </w:rPr>
            </w:pPr>
            <w:r w:rsidRPr="002029AF">
              <w:t>Lead</w:t>
            </w:r>
            <w:r w:rsidR="000A5329" w:rsidRPr="002029AF">
              <w:t xml:space="preserve"> </w:t>
            </w:r>
            <w:r w:rsidRPr="002029AF">
              <w:t>Secretary</w:t>
            </w:r>
          </w:p>
        </w:tc>
        <w:tc>
          <w:tcPr>
            <w:tcW w:w="0" w:type="auto"/>
            <w:hideMark/>
          </w:tcPr>
          <w:p w14:paraId="2F769E85" w14:textId="43A60929" w:rsidR="00770DE1" w:rsidRPr="002029AF" w:rsidRDefault="00770DE1" w:rsidP="005231C4">
            <w:pPr>
              <w:pStyle w:val="ARtablecolhead"/>
              <w:rPr>
                <w:bCs/>
              </w:rPr>
            </w:pPr>
            <w:r w:rsidRPr="002029AF">
              <w:t>Description</w:t>
            </w:r>
          </w:p>
        </w:tc>
      </w:tr>
      <w:tr w:rsidR="00770DE1" w:rsidRPr="002029AF" w14:paraId="7316ECEC" w14:textId="77777777" w:rsidTr="001B41BE">
        <w:trPr>
          <w:cantSplit w:val="0"/>
        </w:trPr>
        <w:tc>
          <w:tcPr>
            <w:tcW w:w="1985" w:type="dxa"/>
            <w:hideMark/>
          </w:tcPr>
          <w:p w14:paraId="0C59A75F" w14:textId="57CD3176" w:rsidR="00770DE1" w:rsidRPr="002029AF" w:rsidRDefault="00770DE1" w:rsidP="001B41BE">
            <w:pPr>
              <w:pStyle w:val="ARtabletext"/>
            </w:pPr>
            <w:r w:rsidRPr="002029AF">
              <w:t>Public</w:t>
            </w:r>
            <w:r w:rsidR="000A5329" w:rsidRPr="002029AF">
              <w:t xml:space="preserve"> </w:t>
            </w:r>
            <w:r w:rsidRPr="002029AF">
              <w:t>health</w:t>
            </w:r>
            <w:r w:rsidR="000A5329" w:rsidRPr="002029AF">
              <w:t xml:space="preserve"> </w:t>
            </w:r>
            <w:r w:rsidRPr="002029AF">
              <w:t>resilience</w:t>
            </w:r>
          </w:p>
        </w:tc>
        <w:tc>
          <w:tcPr>
            <w:tcW w:w="3055" w:type="dxa"/>
            <w:hideMark/>
          </w:tcPr>
          <w:p w14:paraId="66769956" w14:textId="2C299933" w:rsidR="00770DE1" w:rsidRPr="002029AF" w:rsidRDefault="00770DE1" w:rsidP="001B41BE">
            <w:pPr>
              <w:pStyle w:val="ARtabletext"/>
            </w:pPr>
            <w:r w:rsidRPr="002029AF">
              <w:t>Secretary,</w:t>
            </w:r>
            <w:r w:rsidR="000A5329" w:rsidRPr="002029AF">
              <w:t xml:space="preserve"> </w:t>
            </w:r>
            <w:r w:rsidRPr="002029AF">
              <w:t>Department</w:t>
            </w:r>
            <w:r w:rsidR="000A5329" w:rsidRPr="002029AF">
              <w:t xml:space="preserve"> </w:t>
            </w:r>
            <w:r w:rsidRPr="002029AF">
              <w:t>of</w:t>
            </w:r>
            <w:r w:rsidR="000A5329" w:rsidRPr="002029AF">
              <w:t xml:space="preserve"> </w:t>
            </w:r>
            <w:r w:rsidRPr="002029AF">
              <w:t>Health</w:t>
            </w:r>
            <w:r w:rsidR="000A5329" w:rsidRPr="002029AF">
              <w:t xml:space="preserve"> </w:t>
            </w:r>
            <w:r w:rsidR="00EC1D6D" w:rsidRPr="002029AF">
              <w:t>and</w:t>
            </w:r>
            <w:r w:rsidR="000A5329" w:rsidRPr="002029AF">
              <w:t xml:space="preserve"> </w:t>
            </w:r>
            <w:r w:rsidRPr="002029AF">
              <w:t>Human</w:t>
            </w:r>
            <w:r w:rsidR="000A5329" w:rsidRPr="002029AF">
              <w:t xml:space="preserve"> </w:t>
            </w:r>
            <w:r w:rsidRPr="002029AF">
              <w:t>Services</w:t>
            </w:r>
          </w:p>
        </w:tc>
        <w:tc>
          <w:tcPr>
            <w:tcW w:w="0" w:type="auto"/>
            <w:hideMark/>
          </w:tcPr>
          <w:p w14:paraId="6EE5706D" w14:textId="65F6BE47" w:rsidR="00770DE1" w:rsidRPr="002029AF" w:rsidRDefault="00770DE1" w:rsidP="001B41BE">
            <w:pPr>
              <w:pStyle w:val="ARtabletext"/>
            </w:pPr>
            <w:r w:rsidRPr="002029AF">
              <w:t>Leadership</w:t>
            </w:r>
            <w:r w:rsidR="000A5329" w:rsidRPr="002029AF">
              <w:t xml:space="preserve"> </w:t>
            </w:r>
            <w:r w:rsidRPr="002029AF">
              <w:t>of</w:t>
            </w:r>
            <w:r w:rsidR="000A5329" w:rsidRPr="002029AF">
              <w:t xml:space="preserve"> </w:t>
            </w:r>
            <w:r w:rsidRPr="002029AF">
              <w:t>the</w:t>
            </w:r>
            <w:r w:rsidR="000A5329" w:rsidRPr="002029AF">
              <w:t xml:space="preserve"> </w:t>
            </w:r>
            <w:r w:rsidRPr="002029AF">
              <w:t>ongoing</w:t>
            </w:r>
            <w:r w:rsidR="000A5329" w:rsidRPr="002029AF">
              <w:t xml:space="preserve"> </w:t>
            </w:r>
            <w:r w:rsidRPr="002029AF">
              <w:t>public</w:t>
            </w:r>
            <w:r w:rsidR="000A5329" w:rsidRPr="002029AF">
              <w:t xml:space="preserve"> </w:t>
            </w:r>
            <w:r w:rsidRPr="002029AF">
              <w:t>health</w:t>
            </w:r>
            <w:r w:rsidR="000A5329" w:rsidRPr="002029AF">
              <w:t xml:space="preserve"> </w:t>
            </w:r>
            <w:r w:rsidRPr="002029AF">
              <w:t>response</w:t>
            </w:r>
            <w:r w:rsidR="000A5329" w:rsidRPr="002029AF">
              <w:t xml:space="preserve"> </w:t>
            </w:r>
            <w:r w:rsidRPr="002029AF">
              <w:t>to</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and</w:t>
            </w:r>
            <w:r w:rsidR="000A5329" w:rsidRPr="002029AF">
              <w:t xml:space="preserve"> </w:t>
            </w:r>
            <w:r w:rsidRPr="002029AF">
              <w:t>hospital</w:t>
            </w:r>
            <w:r w:rsidR="000A5329" w:rsidRPr="002029AF">
              <w:t xml:space="preserve"> </w:t>
            </w:r>
            <w:r w:rsidRPr="002029AF">
              <w:t>and</w:t>
            </w:r>
            <w:r w:rsidR="000A5329" w:rsidRPr="002029AF">
              <w:t xml:space="preserve"> </w:t>
            </w:r>
            <w:r w:rsidRPr="002029AF">
              <w:t>system</w:t>
            </w:r>
            <w:r w:rsidR="000A5329" w:rsidRPr="002029AF">
              <w:t xml:space="preserve"> </w:t>
            </w:r>
            <w:r w:rsidRPr="002029AF">
              <w:t>reform</w:t>
            </w:r>
            <w:r w:rsidR="00C929E0" w:rsidRPr="002029AF">
              <w:t>.</w:t>
            </w:r>
          </w:p>
        </w:tc>
      </w:tr>
      <w:tr w:rsidR="00770DE1" w:rsidRPr="002029AF" w14:paraId="0A90F1A7" w14:textId="77777777" w:rsidTr="001B41BE">
        <w:trPr>
          <w:cantSplit w:val="0"/>
        </w:trPr>
        <w:tc>
          <w:tcPr>
            <w:tcW w:w="1985" w:type="dxa"/>
            <w:hideMark/>
          </w:tcPr>
          <w:p w14:paraId="518C0628" w14:textId="12A61564" w:rsidR="00770DE1" w:rsidRPr="002029AF" w:rsidRDefault="00770DE1" w:rsidP="001B41BE">
            <w:pPr>
              <w:pStyle w:val="ARtabletext"/>
            </w:pPr>
            <w:r w:rsidRPr="002029AF">
              <w:t>Economic</w:t>
            </w:r>
            <w:r w:rsidR="000A5329" w:rsidRPr="002029AF">
              <w:t xml:space="preserve"> </w:t>
            </w:r>
            <w:r w:rsidRPr="002029AF">
              <w:t>management</w:t>
            </w:r>
            <w:r w:rsidR="000A5329" w:rsidRPr="002029AF">
              <w:t xml:space="preserve"> </w:t>
            </w:r>
            <w:r w:rsidRPr="002029AF">
              <w:t>and</w:t>
            </w:r>
            <w:r w:rsidR="000A5329" w:rsidRPr="002029AF">
              <w:t xml:space="preserve"> </w:t>
            </w:r>
            <w:r w:rsidRPr="002029AF">
              <w:t>preparation</w:t>
            </w:r>
            <w:r w:rsidR="000A5329" w:rsidRPr="002029AF">
              <w:t xml:space="preserve"> </w:t>
            </w:r>
            <w:r w:rsidRPr="002029AF">
              <w:t>of</w:t>
            </w:r>
            <w:r w:rsidR="000A5329" w:rsidRPr="002029AF">
              <w:t xml:space="preserve"> </w:t>
            </w:r>
            <w:r w:rsidRPr="002029AF">
              <w:t>the</w:t>
            </w:r>
            <w:r w:rsidR="000A5329" w:rsidRPr="002029AF">
              <w:t xml:space="preserve"> </w:t>
            </w:r>
            <w:r w:rsidRPr="002029AF">
              <w:t>202</w:t>
            </w:r>
            <w:r w:rsidR="00DB53E6" w:rsidRPr="002029AF">
              <w:t>0–</w:t>
            </w:r>
            <w:r w:rsidR="00C47CE6" w:rsidRPr="002029AF">
              <w:t>202</w:t>
            </w:r>
            <w:r w:rsidRPr="002029AF">
              <w:t>1</w:t>
            </w:r>
            <w:r w:rsidR="000A5329" w:rsidRPr="002029AF">
              <w:t xml:space="preserve"> </w:t>
            </w:r>
            <w:r w:rsidR="00C47CE6" w:rsidRPr="002029AF">
              <w:t>B</w:t>
            </w:r>
            <w:r w:rsidRPr="002029AF">
              <w:t>udget</w:t>
            </w:r>
          </w:p>
        </w:tc>
        <w:tc>
          <w:tcPr>
            <w:tcW w:w="3055" w:type="dxa"/>
            <w:hideMark/>
          </w:tcPr>
          <w:p w14:paraId="03D50015" w14:textId="52E6F851" w:rsidR="00770DE1" w:rsidRPr="002029AF" w:rsidRDefault="00770DE1" w:rsidP="001B41BE">
            <w:pPr>
              <w:pStyle w:val="ARtabletext"/>
            </w:pPr>
            <w:r w:rsidRPr="002029AF">
              <w:t>Secretary,</w:t>
            </w:r>
            <w:r w:rsidR="000A5329" w:rsidRPr="002029AF">
              <w:t xml:space="preserve"> </w:t>
            </w:r>
            <w:r w:rsidRPr="002029AF">
              <w:t>Department</w:t>
            </w:r>
            <w:r w:rsidR="000A5329" w:rsidRPr="002029AF">
              <w:t xml:space="preserve"> </w:t>
            </w:r>
            <w:r w:rsidRPr="002029AF">
              <w:t>of</w:t>
            </w:r>
            <w:r w:rsidR="000A5329" w:rsidRPr="002029AF">
              <w:t xml:space="preserve"> </w:t>
            </w:r>
            <w:r w:rsidRPr="002029AF">
              <w:t>Treasury</w:t>
            </w:r>
            <w:r w:rsidR="000A5329" w:rsidRPr="002029AF">
              <w:t xml:space="preserve"> </w:t>
            </w:r>
            <w:r w:rsidR="00EC1D6D" w:rsidRPr="002029AF">
              <w:t>and</w:t>
            </w:r>
            <w:r w:rsidR="000A5329" w:rsidRPr="002029AF">
              <w:t xml:space="preserve"> </w:t>
            </w:r>
            <w:r w:rsidRPr="002029AF">
              <w:t>Finance</w:t>
            </w:r>
          </w:p>
        </w:tc>
        <w:tc>
          <w:tcPr>
            <w:tcW w:w="0" w:type="auto"/>
            <w:hideMark/>
          </w:tcPr>
          <w:p w14:paraId="1D70C70D" w14:textId="53CAFE9A" w:rsidR="00770DE1" w:rsidRPr="002029AF" w:rsidRDefault="00770DE1" w:rsidP="001B41BE">
            <w:pPr>
              <w:pStyle w:val="ARtabletext"/>
            </w:pPr>
            <w:r w:rsidRPr="002029AF">
              <w:t>Leadership</w:t>
            </w:r>
            <w:r w:rsidR="000A5329" w:rsidRPr="002029AF">
              <w:t xml:space="preserve"> </w:t>
            </w:r>
            <w:r w:rsidRPr="002029AF">
              <w:t>for</w:t>
            </w:r>
            <w:r w:rsidR="000A5329" w:rsidRPr="002029AF">
              <w:t xml:space="preserve"> </w:t>
            </w:r>
            <w:r w:rsidRPr="002029AF">
              <w:t>monitoring</w:t>
            </w:r>
            <w:r w:rsidR="000A5329" w:rsidRPr="002029AF">
              <w:t xml:space="preserve"> </w:t>
            </w:r>
            <w:r w:rsidRPr="002029AF">
              <w:t>economic</w:t>
            </w:r>
            <w:r w:rsidR="000A5329" w:rsidRPr="002029AF">
              <w:t xml:space="preserve"> </w:t>
            </w:r>
            <w:r w:rsidRPr="002029AF">
              <w:t>and</w:t>
            </w:r>
            <w:r w:rsidR="000A5329" w:rsidRPr="002029AF">
              <w:t xml:space="preserve"> </w:t>
            </w:r>
            <w:r w:rsidRPr="002029AF">
              <w:t>business</w:t>
            </w:r>
            <w:r w:rsidR="000A5329" w:rsidRPr="002029AF">
              <w:t xml:space="preserve"> </w:t>
            </w:r>
            <w:r w:rsidRPr="002029AF">
              <w:t>conditions</w:t>
            </w:r>
            <w:r w:rsidR="000A5329" w:rsidRPr="002029AF">
              <w:t xml:space="preserve"> </w:t>
            </w:r>
            <w:r w:rsidRPr="002029AF">
              <w:t>and</w:t>
            </w:r>
            <w:r w:rsidR="000A5329" w:rsidRPr="002029AF">
              <w:t xml:space="preserve"> </w:t>
            </w:r>
            <w:r w:rsidRPr="002029AF">
              <w:t>managing</w:t>
            </w:r>
            <w:r w:rsidR="000A5329" w:rsidRPr="002029AF">
              <w:t xml:space="preserve"> </w:t>
            </w:r>
            <w:r w:rsidRPr="002029AF">
              <w:t>the</w:t>
            </w:r>
            <w:r w:rsidR="000A5329" w:rsidRPr="002029AF">
              <w:t xml:space="preserve"> </w:t>
            </w:r>
            <w:r w:rsidRPr="002029AF">
              <w:t>Victorian</w:t>
            </w:r>
            <w:r w:rsidR="000A5329" w:rsidRPr="002029AF">
              <w:t xml:space="preserve"> </w:t>
            </w:r>
            <w:r w:rsidRPr="002029AF">
              <w:t>State</w:t>
            </w:r>
            <w:r w:rsidR="000A5329" w:rsidRPr="002029AF">
              <w:t xml:space="preserve"> </w:t>
            </w:r>
            <w:r w:rsidR="00EC1D6D" w:rsidRPr="002029AF">
              <w:t>B</w:t>
            </w:r>
            <w:r w:rsidRPr="002029AF">
              <w:t>udget</w:t>
            </w:r>
            <w:r w:rsidR="000A5329" w:rsidRPr="002029AF">
              <w:t xml:space="preserve"> </w:t>
            </w:r>
            <w:r w:rsidRPr="002029AF">
              <w:t>and</w:t>
            </w:r>
            <w:r w:rsidR="000A5329" w:rsidRPr="002029AF">
              <w:t xml:space="preserve"> </w:t>
            </w:r>
            <w:r w:rsidRPr="002029AF">
              <w:t>financing</w:t>
            </w:r>
            <w:r w:rsidR="000A5329" w:rsidRPr="002029AF">
              <w:t xml:space="preserve"> </w:t>
            </w:r>
            <w:r w:rsidRPr="002029AF">
              <w:t>including</w:t>
            </w:r>
            <w:r w:rsidR="000A5329" w:rsidRPr="002029AF">
              <w:t xml:space="preserve"> </w:t>
            </w:r>
            <w:r w:rsidRPr="002029AF">
              <w:t>tax</w:t>
            </w:r>
            <w:r w:rsidR="000A5329" w:rsidRPr="002029AF">
              <w:t xml:space="preserve"> </w:t>
            </w:r>
            <w:r w:rsidRPr="002029AF">
              <w:t>reform</w:t>
            </w:r>
            <w:r w:rsidR="00C929E0" w:rsidRPr="002029AF">
              <w:t>.</w:t>
            </w:r>
          </w:p>
        </w:tc>
      </w:tr>
      <w:tr w:rsidR="001B41BE" w:rsidRPr="002029AF" w14:paraId="513BD75B" w14:textId="77777777" w:rsidTr="001B41BE">
        <w:trPr>
          <w:cantSplit w:val="0"/>
        </w:trPr>
        <w:tc>
          <w:tcPr>
            <w:tcW w:w="1985" w:type="dxa"/>
            <w:hideMark/>
          </w:tcPr>
          <w:p w14:paraId="7593426C" w14:textId="15C8D2EB" w:rsidR="001B41BE" w:rsidRPr="002029AF" w:rsidRDefault="001B41BE" w:rsidP="001B41BE">
            <w:pPr>
              <w:pStyle w:val="ARtabletext"/>
            </w:pPr>
            <w:r w:rsidRPr="002029AF">
              <w:t>Economic program delivery, supply, logistics and procurement</w:t>
            </w:r>
          </w:p>
        </w:tc>
        <w:tc>
          <w:tcPr>
            <w:tcW w:w="3055" w:type="dxa"/>
            <w:hideMark/>
          </w:tcPr>
          <w:p w14:paraId="2D681043" w14:textId="01D11D83" w:rsidR="001B41BE" w:rsidRPr="002029AF" w:rsidRDefault="001B41BE" w:rsidP="001B41BE">
            <w:pPr>
              <w:pStyle w:val="ARtabletext"/>
            </w:pPr>
            <w:r w:rsidRPr="002029AF">
              <w:t>Secretary, Department of Jobs, Precincts and Regions</w:t>
            </w:r>
          </w:p>
        </w:tc>
        <w:tc>
          <w:tcPr>
            <w:tcW w:w="0" w:type="auto"/>
            <w:hideMark/>
          </w:tcPr>
          <w:p w14:paraId="056497E6" w14:textId="77777777" w:rsidR="001B41BE" w:rsidRPr="002029AF" w:rsidRDefault="001B41BE" w:rsidP="001B41BE">
            <w:pPr>
              <w:pStyle w:val="ARtabletext"/>
            </w:pPr>
            <w:r w:rsidRPr="002029AF">
              <w:t>Leadership and delivery for the economic programs needed to support business and employment</w:t>
            </w:r>
          </w:p>
          <w:p w14:paraId="1B02B08D" w14:textId="131B1AA3" w:rsidR="001B41BE" w:rsidRPr="002029AF" w:rsidRDefault="001B41BE" w:rsidP="001B41BE">
            <w:pPr>
              <w:pStyle w:val="ARtabletext"/>
            </w:pPr>
            <w:r w:rsidRPr="002029AF">
              <w:t>Leadership for the supply and transport of essential goods, and the timely procurement of goods and services and potentially premises</w:t>
            </w:r>
            <w:r w:rsidR="00C929E0" w:rsidRPr="002029AF">
              <w:t>.</w:t>
            </w:r>
          </w:p>
        </w:tc>
      </w:tr>
      <w:tr w:rsidR="001B41BE" w:rsidRPr="002029AF" w14:paraId="00FC0AC5" w14:textId="77777777" w:rsidTr="001B41BE">
        <w:trPr>
          <w:cantSplit w:val="0"/>
        </w:trPr>
        <w:tc>
          <w:tcPr>
            <w:tcW w:w="1985" w:type="dxa"/>
            <w:hideMark/>
          </w:tcPr>
          <w:p w14:paraId="62D26A34" w14:textId="07E79CB6" w:rsidR="001B41BE" w:rsidRPr="002029AF" w:rsidRDefault="001B41BE" w:rsidP="001B41BE">
            <w:pPr>
              <w:pStyle w:val="ARtabletext"/>
            </w:pPr>
            <w:r w:rsidRPr="002029AF">
              <w:t>Restoration and reform of public services – People</w:t>
            </w:r>
          </w:p>
        </w:tc>
        <w:tc>
          <w:tcPr>
            <w:tcW w:w="3055" w:type="dxa"/>
            <w:hideMark/>
          </w:tcPr>
          <w:p w14:paraId="260E2153" w14:textId="77777777" w:rsidR="001B41BE" w:rsidRPr="002029AF" w:rsidRDefault="001B41BE" w:rsidP="001B41BE">
            <w:pPr>
              <w:pStyle w:val="ARtabletext"/>
            </w:pPr>
            <w:r w:rsidRPr="002029AF">
              <w:t>Secretary, Department of Justice and Community Safety</w:t>
            </w:r>
          </w:p>
          <w:p w14:paraId="07213310" w14:textId="33AEF33E" w:rsidR="001B41BE" w:rsidRPr="002029AF" w:rsidRDefault="001B41BE" w:rsidP="001B41BE">
            <w:pPr>
              <w:pStyle w:val="ARtabletext"/>
            </w:pPr>
            <w:r w:rsidRPr="002029AF">
              <w:t>Secretary, Department of Health and Human Services</w:t>
            </w:r>
          </w:p>
          <w:p w14:paraId="098B6DAF" w14:textId="4CFC566E" w:rsidR="001B41BE" w:rsidRPr="002029AF" w:rsidRDefault="001B41BE" w:rsidP="001B41BE">
            <w:pPr>
              <w:pStyle w:val="ARtabletext"/>
            </w:pPr>
            <w:r w:rsidRPr="002029AF">
              <w:t>Secretary, Department of Education and Training</w:t>
            </w:r>
          </w:p>
        </w:tc>
        <w:tc>
          <w:tcPr>
            <w:tcW w:w="0" w:type="auto"/>
            <w:hideMark/>
          </w:tcPr>
          <w:p w14:paraId="44FB8A79" w14:textId="591198AD" w:rsidR="001B41BE" w:rsidRPr="002029AF" w:rsidRDefault="001B41BE" w:rsidP="001B41BE">
            <w:pPr>
              <w:pStyle w:val="ARtabletext"/>
            </w:pPr>
            <w:r w:rsidRPr="002029AF">
              <w:t>Leadership for the recovery and reform of key government justice, education and human services</w:t>
            </w:r>
            <w:r w:rsidR="00C929E0" w:rsidRPr="002029AF">
              <w:t>.</w:t>
            </w:r>
          </w:p>
        </w:tc>
      </w:tr>
      <w:tr w:rsidR="001B41BE" w:rsidRPr="002029AF" w14:paraId="20C71A5D" w14:textId="77777777" w:rsidTr="001B41BE">
        <w:trPr>
          <w:cantSplit w:val="0"/>
        </w:trPr>
        <w:tc>
          <w:tcPr>
            <w:tcW w:w="1985" w:type="dxa"/>
            <w:hideMark/>
          </w:tcPr>
          <w:p w14:paraId="1297FD8D" w14:textId="645CCBC9" w:rsidR="001B41BE" w:rsidRPr="002029AF" w:rsidRDefault="001B41BE" w:rsidP="001B41BE">
            <w:pPr>
              <w:pStyle w:val="ARtabletext"/>
            </w:pPr>
            <w:r w:rsidRPr="002029AF">
              <w:t>Restoration and reform of public services – Economic (public sector)</w:t>
            </w:r>
          </w:p>
        </w:tc>
        <w:tc>
          <w:tcPr>
            <w:tcW w:w="3055" w:type="dxa"/>
            <w:hideMark/>
          </w:tcPr>
          <w:p w14:paraId="092D2F9D" w14:textId="77777777" w:rsidR="001B41BE" w:rsidRPr="002029AF" w:rsidRDefault="001B41BE" w:rsidP="001B41BE">
            <w:pPr>
              <w:pStyle w:val="ARtabletext"/>
            </w:pPr>
            <w:r w:rsidRPr="002029AF">
              <w:t>Secretary, Department of Transport</w:t>
            </w:r>
          </w:p>
          <w:p w14:paraId="52387CC9" w14:textId="46916C59" w:rsidR="001B41BE" w:rsidRPr="002029AF" w:rsidRDefault="001B41BE" w:rsidP="001B41BE">
            <w:pPr>
              <w:pStyle w:val="ARtabletext"/>
            </w:pPr>
            <w:r w:rsidRPr="002029AF">
              <w:t>Secretary, Department of Environment, Land, Water and Planning</w:t>
            </w:r>
          </w:p>
        </w:tc>
        <w:tc>
          <w:tcPr>
            <w:tcW w:w="0" w:type="auto"/>
            <w:hideMark/>
          </w:tcPr>
          <w:p w14:paraId="5C1806BB" w14:textId="445702C2" w:rsidR="001B41BE" w:rsidRPr="002029AF" w:rsidRDefault="001B41BE" w:rsidP="001B41BE">
            <w:pPr>
              <w:pStyle w:val="ARtabletext"/>
            </w:pPr>
            <w:r w:rsidRPr="002029AF">
              <w:t>Leadership for the recovery and reform of key government economic services, including to support economic recovery by rapidly restarting and commissioning infrastructure projects</w:t>
            </w:r>
            <w:r w:rsidR="00C929E0" w:rsidRPr="002029AF">
              <w:t>.</w:t>
            </w:r>
          </w:p>
        </w:tc>
      </w:tr>
      <w:tr w:rsidR="001B41BE" w:rsidRPr="002029AF" w14:paraId="70566EA1" w14:textId="77777777" w:rsidTr="001B41BE">
        <w:trPr>
          <w:cantSplit w:val="0"/>
        </w:trPr>
        <w:tc>
          <w:tcPr>
            <w:tcW w:w="1985" w:type="dxa"/>
            <w:hideMark/>
          </w:tcPr>
          <w:p w14:paraId="09710598" w14:textId="5702C57F" w:rsidR="001B41BE" w:rsidRPr="002029AF" w:rsidRDefault="001B41BE" w:rsidP="001B41BE">
            <w:pPr>
              <w:pStyle w:val="ARtabletext"/>
            </w:pPr>
            <w:r w:rsidRPr="002029AF">
              <w:t>Economic Recovery and growth</w:t>
            </w:r>
          </w:p>
        </w:tc>
        <w:tc>
          <w:tcPr>
            <w:tcW w:w="3055" w:type="dxa"/>
            <w:hideMark/>
          </w:tcPr>
          <w:p w14:paraId="39166298" w14:textId="77777777" w:rsidR="001B41BE" w:rsidRPr="002029AF" w:rsidRDefault="001B41BE" w:rsidP="001B41BE">
            <w:pPr>
              <w:pStyle w:val="ARtabletext"/>
            </w:pPr>
            <w:r w:rsidRPr="002029AF">
              <w:t>Secretary, Department of Jobs, Precincts and Regions</w:t>
            </w:r>
          </w:p>
          <w:p w14:paraId="52D3A378" w14:textId="2AD12DCC" w:rsidR="001B41BE" w:rsidRPr="002029AF" w:rsidRDefault="001B41BE" w:rsidP="001B41BE">
            <w:pPr>
              <w:pStyle w:val="ARtabletext"/>
            </w:pPr>
            <w:r w:rsidRPr="002029AF">
              <w:t>CEO Invest Victoria</w:t>
            </w:r>
          </w:p>
        </w:tc>
        <w:tc>
          <w:tcPr>
            <w:tcW w:w="0" w:type="auto"/>
            <w:hideMark/>
          </w:tcPr>
          <w:p w14:paraId="1C331FC4" w14:textId="0937C802" w:rsidR="001B41BE" w:rsidRPr="002029AF" w:rsidRDefault="001B41BE" w:rsidP="001B41BE">
            <w:pPr>
              <w:pStyle w:val="ARtabletext"/>
            </w:pPr>
            <w:r w:rsidRPr="002029AF">
              <w:t>Leadership for the identification of recovery and growth strategies and actions for Victoria to recover economically.</w:t>
            </w:r>
          </w:p>
        </w:tc>
      </w:tr>
    </w:tbl>
    <w:p w14:paraId="14EC7853" w14:textId="77777777" w:rsidR="005F608E" w:rsidRPr="002029AF" w:rsidRDefault="005F608E" w:rsidP="005F608E">
      <w:pPr>
        <w:pStyle w:val="ARbody"/>
      </w:pPr>
      <w:r w:rsidRPr="002029AF">
        <w:br w:type="page"/>
      </w:r>
    </w:p>
    <w:p w14:paraId="5ECA6723" w14:textId="64456068" w:rsidR="00770DE1" w:rsidRPr="002029AF" w:rsidRDefault="00770DE1" w:rsidP="005F608E">
      <w:pPr>
        <w:pStyle w:val="ARbodyaftertable"/>
      </w:pPr>
      <w:r w:rsidRPr="002029AF">
        <w:lastRenderedPageBreak/>
        <w:t>Two</w:t>
      </w:r>
      <w:r w:rsidR="000A5329" w:rsidRPr="002029AF">
        <w:t xml:space="preserve"> </w:t>
      </w:r>
      <w:r w:rsidRPr="002029AF">
        <w:t>enabling</w:t>
      </w:r>
      <w:r w:rsidR="000A5329" w:rsidRPr="002029AF">
        <w:t xml:space="preserve"> </w:t>
      </w:r>
      <w:r w:rsidRPr="002029AF">
        <w:t>programs</w:t>
      </w:r>
      <w:r w:rsidR="000A5329" w:rsidRPr="002029AF">
        <w:t xml:space="preserve"> </w:t>
      </w:r>
      <w:r w:rsidRPr="002029AF">
        <w:t>of</w:t>
      </w:r>
      <w:r w:rsidR="000A5329" w:rsidRPr="002029AF">
        <w:t xml:space="preserve"> </w:t>
      </w:r>
      <w:r w:rsidRPr="002029AF">
        <w:t>work</w:t>
      </w:r>
      <w:r w:rsidR="000A5329" w:rsidRPr="002029AF">
        <w:t xml:space="preserve"> </w:t>
      </w:r>
      <w:r w:rsidRPr="002029AF">
        <w:t>were</w:t>
      </w:r>
      <w:r w:rsidR="000A5329" w:rsidRPr="002029AF">
        <w:t xml:space="preserve"> </w:t>
      </w:r>
      <w:r w:rsidRPr="002029AF">
        <w:t>also</w:t>
      </w:r>
      <w:r w:rsidR="000A5329" w:rsidRPr="002029AF">
        <w:t xml:space="preserve"> </w:t>
      </w:r>
      <w:r w:rsidRPr="002029AF">
        <w:t>established</w:t>
      </w:r>
      <w:r w:rsidR="000A5329" w:rsidRPr="002029AF">
        <w:t xml:space="preserve"> </w:t>
      </w:r>
      <w:r w:rsidRPr="002029AF">
        <w:t>to</w:t>
      </w:r>
      <w:r w:rsidR="000A5329" w:rsidRPr="002029AF">
        <w:t xml:space="preserve"> </w:t>
      </w:r>
      <w:r w:rsidRPr="002029AF">
        <w:t>guide</w:t>
      </w:r>
      <w:r w:rsidR="000A5329" w:rsidRPr="002029AF">
        <w:t xml:space="preserve"> </w:t>
      </w:r>
      <w:r w:rsidRPr="002029AF">
        <w:t>the</w:t>
      </w:r>
      <w:r w:rsidR="000A5329" w:rsidRPr="002029AF">
        <w:t xml:space="preserve"> </w:t>
      </w:r>
      <w:r w:rsidR="00203E00" w:rsidRPr="002029AF">
        <w:t>s</w:t>
      </w:r>
      <w:r w:rsidRPr="002029AF">
        <w:t>tate’s</w:t>
      </w:r>
      <w:r w:rsidR="000A5329" w:rsidRPr="002029AF">
        <w:t xml:space="preserve"> </w:t>
      </w:r>
      <w:r w:rsidRPr="002029AF">
        <w:t>response</w:t>
      </w:r>
      <w:r w:rsidR="000A5329" w:rsidRPr="002029AF">
        <w:t xml:space="preserve"> </w:t>
      </w:r>
      <w:r w:rsidRPr="002029AF">
        <w:t>to</w:t>
      </w:r>
      <w:r w:rsidR="000A5329" w:rsidRPr="002029AF">
        <w:t xml:space="preserve"> </w:t>
      </w:r>
      <w:r w:rsidRPr="002029AF">
        <w:t>the</w:t>
      </w:r>
      <w:r w:rsidR="000A5329" w:rsidRPr="002029AF">
        <w:t xml:space="preserve"> </w:t>
      </w:r>
      <w:r w:rsidRPr="002029AF">
        <w:t>pandemic,</w:t>
      </w:r>
      <w:r w:rsidR="000A5329" w:rsidRPr="002029AF">
        <w:t xml:space="preserve"> </w:t>
      </w:r>
      <w:r w:rsidRPr="002029AF">
        <w:t>and</w:t>
      </w:r>
      <w:r w:rsidR="009950F3">
        <w:t> </w:t>
      </w:r>
      <w:r w:rsidRPr="002029AF">
        <w:t>support</w:t>
      </w:r>
      <w:r w:rsidR="000A5329" w:rsidRPr="002029AF">
        <w:t xml:space="preserve"> </w:t>
      </w:r>
      <w:r w:rsidRPr="002029AF">
        <w:t>the</w:t>
      </w:r>
      <w:r w:rsidR="000A5329" w:rsidRPr="002029AF">
        <w:t xml:space="preserve"> </w:t>
      </w:r>
      <w:r w:rsidRPr="002029AF">
        <w:t>six</w:t>
      </w:r>
      <w:r w:rsidR="000A5329" w:rsidRPr="002029AF">
        <w:t xml:space="preserve"> </w:t>
      </w:r>
      <w:r w:rsidR="00203E00" w:rsidRPr="002029AF">
        <w:t>m</w:t>
      </w:r>
      <w:r w:rsidRPr="002029AF">
        <w:t>issions:</w:t>
      </w:r>
    </w:p>
    <w:tbl>
      <w:tblPr>
        <w:tblStyle w:val="TableGrid"/>
        <w:tblW w:w="0" w:type="auto"/>
        <w:tblLook w:val="06A0" w:firstRow="1" w:lastRow="0" w:firstColumn="1" w:lastColumn="0" w:noHBand="1" w:noVBand="1"/>
      </w:tblPr>
      <w:tblGrid>
        <w:gridCol w:w="2658"/>
        <w:gridCol w:w="2136"/>
        <w:gridCol w:w="4827"/>
      </w:tblGrid>
      <w:tr w:rsidR="00770DE1" w:rsidRPr="002029AF" w14:paraId="6A1821DF" w14:textId="77777777" w:rsidTr="001B41BE">
        <w:trPr>
          <w:cnfStyle w:val="100000000000" w:firstRow="1" w:lastRow="0" w:firstColumn="0" w:lastColumn="0" w:oddVBand="0" w:evenVBand="0" w:oddHBand="0" w:evenHBand="0" w:firstRowFirstColumn="0" w:firstRowLastColumn="0" w:lastRowFirstColumn="0" w:lastRowLastColumn="0"/>
          <w:trHeight w:val="20"/>
          <w:tblHeader/>
        </w:trPr>
        <w:tc>
          <w:tcPr>
            <w:tcW w:w="0" w:type="auto"/>
            <w:hideMark/>
          </w:tcPr>
          <w:p w14:paraId="15E3910B" w14:textId="5A48FB85" w:rsidR="00770DE1" w:rsidRPr="002029AF" w:rsidRDefault="00770DE1" w:rsidP="005F608E">
            <w:pPr>
              <w:pStyle w:val="ARtablecolhead"/>
            </w:pPr>
            <w:r w:rsidRPr="002029AF">
              <w:t>Enabling</w:t>
            </w:r>
            <w:r w:rsidR="000A5329" w:rsidRPr="002029AF">
              <w:t xml:space="preserve"> </w:t>
            </w:r>
            <w:r w:rsidR="009A73FA" w:rsidRPr="002029AF">
              <w:t>p</w:t>
            </w:r>
            <w:r w:rsidRPr="002029AF">
              <w:t>rogram</w:t>
            </w:r>
          </w:p>
        </w:tc>
        <w:tc>
          <w:tcPr>
            <w:tcW w:w="0" w:type="auto"/>
            <w:hideMark/>
          </w:tcPr>
          <w:p w14:paraId="564018FA" w14:textId="61639BDE" w:rsidR="00770DE1" w:rsidRPr="002029AF" w:rsidRDefault="00770DE1" w:rsidP="005F608E">
            <w:pPr>
              <w:pStyle w:val="ARtablecolhead"/>
            </w:pPr>
            <w:r w:rsidRPr="002029AF">
              <w:t>Lead</w:t>
            </w:r>
            <w:r w:rsidR="000A5329" w:rsidRPr="002029AF">
              <w:t xml:space="preserve"> </w:t>
            </w:r>
            <w:r w:rsidRPr="002029AF">
              <w:t>Secretary</w:t>
            </w:r>
          </w:p>
        </w:tc>
        <w:tc>
          <w:tcPr>
            <w:tcW w:w="0" w:type="auto"/>
            <w:hideMark/>
          </w:tcPr>
          <w:p w14:paraId="740B21AF" w14:textId="76280DA7" w:rsidR="00770DE1" w:rsidRPr="002029AF" w:rsidRDefault="00770DE1" w:rsidP="005F608E">
            <w:pPr>
              <w:pStyle w:val="ARtablecolhead"/>
            </w:pPr>
            <w:r w:rsidRPr="002029AF">
              <w:t>Description</w:t>
            </w:r>
          </w:p>
        </w:tc>
      </w:tr>
      <w:tr w:rsidR="00770DE1" w:rsidRPr="002029AF" w14:paraId="27386037" w14:textId="77777777" w:rsidTr="001B41BE">
        <w:trPr>
          <w:trHeight w:val="20"/>
        </w:trPr>
        <w:tc>
          <w:tcPr>
            <w:tcW w:w="0" w:type="auto"/>
            <w:hideMark/>
          </w:tcPr>
          <w:p w14:paraId="3AD8460C" w14:textId="24BEF094" w:rsidR="00770DE1" w:rsidRPr="002029AF" w:rsidRDefault="00770DE1" w:rsidP="005F608E">
            <w:pPr>
              <w:pStyle w:val="ARtabletext"/>
            </w:pPr>
            <w:r w:rsidRPr="002029AF">
              <w:t>Critical</w:t>
            </w:r>
            <w:r w:rsidR="000A5329" w:rsidRPr="002029AF">
              <w:t xml:space="preserve"> </w:t>
            </w:r>
            <w:r w:rsidRPr="002029AF">
              <w:t>risks</w:t>
            </w:r>
            <w:r w:rsidR="000A5329" w:rsidRPr="002029AF">
              <w:t xml:space="preserve"> </w:t>
            </w:r>
            <w:r w:rsidRPr="002029AF">
              <w:t>and</w:t>
            </w:r>
            <w:r w:rsidR="000A5329" w:rsidRPr="002029AF">
              <w:t xml:space="preserve"> </w:t>
            </w:r>
            <w:r w:rsidRPr="002029AF">
              <w:t>opportunities</w:t>
            </w:r>
            <w:r w:rsidR="000A5329" w:rsidRPr="002029AF">
              <w:t xml:space="preserve"> </w:t>
            </w:r>
          </w:p>
        </w:tc>
        <w:tc>
          <w:tcPr>
            <w:tcW w:w="0" w:type="auto"/>
            <w:hideMark/>
          </w:tcPr>
          <w:p w14:paraId="160412A1" w14:textId="68B03F9D" w:rsidR="00770DE1" w:rsidRPr="002029AF" w:rsidRDefault="00770DE1" w:rsidP="005F608E">
            <w:pPr>
              <w:pStyle w:val="ARtabletext"/>
            </w:pPr>
            <w:r w:rsidRPr="002029AF">
              <w:t>Secretary,</w:t>
            </w:r>
            <w:r w:rsidR="000A5329" w:rsidRPr="002029AF">
              <w:t xml:space="preserve"> </w:t>
            </w:r>
            <w:r w:rsidRPr="002029AF">
              <w:t>Department</w:t>
            </w:r>
            <w:r w:rsidR="000A5329" w:rsidRPr="002029AF">
              <w:t xml:space="preserve"> </w:t>
            </w:r>
            <w:r w:rsidRPr="002029AF">
              <w:t>of</w:t>
            </w:r>
            <w:r w:rsidR="000A5329" w:rsidRPr="002029AF">
              <w:t xml:space="preserve"> </w:t>
            </w:r>
            <w:r w:rsidRPr="002029AF">
              <w:t>Premier</w:t>
            </w:r>
            <w:r w:rsidR="000A5329" w:rsidRPr="002029AF">
              <w:t xml:space="preserve"> </w:t>
            </w:r>
            <w:r w:rsidRPr="002029AF">
              <w:t>and</w:t>
            </w:r>
            <w:r w:rsidR="000A5329" w:rsidRPr="002029AF">
              <w:t xml:space="preserve"> </w:t>
            </w:r>
            <w:r w:rsidRPr="002029AF">
              <w:t>Cabinet</w:t>
            </w:r>
          </w:p>
        </w:tc>
        <w:tc>
          <w:tcPr>
            <w:tcW w:w="0" w:type="auto"/>
            <w:hideMark/>
          </w:tcPr>
          <w:p w14:paraId="354B5CEA" w14:textId="11AB4502" w:rsidR="00770DE1" w:rsidRPr="002029AF" w:rsidRDefault="00770DE1" w:rsidP="005F608E">
            <w:pPr>
              <w:pStyle w:val="ARtabletext"/>
            </w:pPr>
            <w:r w:rsidRPr="002029AF">
              <w:t>Leadership</w:t>
            </w:r>
            <w:r w:rsidR="000A5329" w:rsidRPr="002029AF">
              <w:t xml:space="preserve"> </w:t>
            </w:r>
            <w:r w:rsidRPr="002029AF">
              <w:t>for</w:t>
            </w:r>
            <w:r w:rsidR="000A5329" w:rsidRPr="002029AF">
              <w:t xml:space="preserve"> </w:t>
            </w:r>
            <w:r w:rsidRPr="002029AF">
              <w:t>the</w:t>
            </w:r>
            <w:r w:rsidR="000A5329" w:rsidRPr="002029AF">
              <w:t xml:space="preserve"> </w:t>
            </w:r>
            <w:r w:rsidRPr="002029AF">
              <w:t>identification</w:t>
            </w:r>
            <w:r w:rsidR="000A5329" w:rsidRPr="002029AF">
              <w:t xml:space="preserve"> </w:t>
            </w:r>
            <w:r w:rsidRPr="002029AF">
              <w:t>of</w:t>
            </w:r>
            <w:r w:rsidR="000A5329" w:rsidRPr="002029AF">
              <w:t xml:space="preserve"> </w:t>
            </w:r>
            <w:r w:rsidRPr="002029AF">
              <w:t>critical</w:t>
            </w:r>
            <w:r w:rsidR="000A5329" w:rsidRPr="002029AF">
              <w:t xml:space="preserve"> </w:t>
            </w:r>
            <w:r w:rsidRPr="002029AF">
              <w:t>risks,</w:t>
            </w:r>
            <w:r w:rsidR="000A5329" w:rsidRPr="002029AF">
              <w:t xml:space="preserve"> </w:t>
            </w:r>
            <w:r w:rsidRPr="002029AF">
              <w:t>vulnerabilities</w:t>
            </w:r>
            <w:r w:rsidR="000A5329" w:rsidRPr="002029AF">
              <w:t xml:space="preserve"> </w:t>
            </w:r>
            <w:r w:rsidRPr="002029AF">
              <w:t>and</w:t>
            </w:r>
            <w:r w:rsidR="000A5329" w:rsidRPr="002029AF">
              <w:t xml:space="preserve"> </w:t>
            </w:r>
            <w:r w:rsidRPr="002029AF">
              <w:t>post-event</w:t>
            </w:r>
            <w:r w:rsidR="000A5329" w:rsidRPr="002029AF">
              <w:t xml:space="preserve"> </w:t>
            </w:r>
            <w:r w:rsidRPr="002029AF">
              <w:t>reform</w:t>
            </w:r>
            <w:r w:rsidR="000A5329" w:rsidRPr="002029AF">
              <w:t xml:space="preserve"> </w:t>
            </w:r>
            <w:r w:rsidRPr="002029AF">
              <w:t>opportunities</w:t>
            </w:r>
            <w:r w:rsidR="000A5329" w:rsidRPr="002029AF">
              <w:t xml:space="preserve"> </w:t>
            </w:r>
            <w:r w:rsidRPr="002029AF">
              <w:t>for</w:t>
            </w:r>
            <w:r w:rsidR="009950F3">
              <w:t> </w:t>
            </w:r>
            <w:r w:rsidRPr="002029AF">
              <w:t>the</w:t>
            </w:r>
            <w:r w:rsidR="009950F3">
              <w:t> </w:t>
            </w:r>
            <w:r w:rsidRPr="002029AF">
              <w:t>public</w:t>
            </w:r>
            <w:r w:rsidR="000A5329" w:rsidRPr="002029AF">
              <w:t xml:space="preserve"> </w:t>
            </w:r>
            <w:r w:rsidRPr="002029AF">
              <w:t>sector</w:t>
            </w:r>
            <w:r w:rsidR="00C929E0" w:rsidRPr="002029AF">
              <w:t>.</w:t>
            </w:r>
          </w:p>
        </w:tc>
      </w:tr>
      <w:tr w:rsidR="00770DE1" w:rsidRPr="002029AF" w14:paraId="2C6DADFC" w14:textId="77777777" w:rsidTr="001B41BE">
        <w:trPr>
          <w:trHeight w:val="20"/>
        </w:trPr>
        <w:tc>
          <w:tcPr>
            <w:tcW w:w="0" w:type="auto"/>
            <w:hideMark/>
          </w:tcPr>
          <w:p w14:paraId="38CFE457" w14:textId="65D1DF63" w:rsidR="00770DE1" w:rsidRPr="002029AF" w:rsidRDefault="00770DE1" w:rsidP="005F608E">
            <w:pPr>
              <w:pStyle w:val="ARtabletext"/>
            </w:pPr>
            <w:r w:rsidRPr="002029AF">
              <w:t>Behaviour</w:t>
            </w:r>
            <w:r w:rsidR="000A5329" w:rsidRPr="002029AF">
              <w:t xml:space="preserve"> </w:t>
            </w:r>
            <w:r w:rsidR="001837BB" w:rsidRPr="002029AF">
              <w:t>c</w:t>
            </w:r>
            <w:r w:rsidRPr="002029AF">
              <w:t>hange,</w:t>
            </w:r>
            <w:r w:rsidR="000A5329" w:rsidRPr="002029AF">
              <w:t xml:space="preserve"> </w:t>
            </w:r>
            <w:r w:rsidRPr="002029AF">
              <w:t>social</w:t>
            </w:r>
            <w:r w:rsidR="000A5329" w:rsidRPr="002029AF">
              <w:t xml:space="preserve"> </w:t>
            </w:r>
            <w:r w:rsidRPr="002029AF">
              <w:t>cohesion</w:t>
            </w:r>
            <w:r w:rsidR="000A5329" w:rsidRPr="002029AF">
              <w:t xml:space="preserve"> </w:t>
            </w:r>
            <w:r w:rsidRPr="002029AF">
              <w:t>and</w:t>
            </w:r>
            <w:r w:rsidR="000A5329" w:rsidRPr="002029AF">
              <w:t xml:space="preserve"> </w:t>
            </w:r>
            <w:r w:rsidRPr="002029AF">
              <w:t>communications</w:t>
            </w:r>
          </w:p>
        </w:tc>
        <w:tc>
          <w:tcPr>
            <w:tcW w:w="0" w:type="auto"/>
            <w:hideMark/>
          </w:tcPr>
          <w:p w14:paraId="1A77A697" w14:textId="1F7F8CE5" w:rsidR="00770DE1" w:rsidRPr="002029AF" w:rsidRDefault="00770DE1" w:rsidP="005F608E">
            <w:pPr>
              <w:pStyle w:val="ARtabletext"/>
            </w:pPr>
            <w:r w:rsidRPr="002029AF">
              <w:t>Secretary,</w:t>
            </w:r>
            <w:r w:rsidR="000A5329" w:rsidRPr="002029AF">
              <w:t xml:space="preserve"> </w:t>
            </w:r>
            <w:r w:rsidRPr="002029AF">
              <w:t>Department</w:t>
            </w:r>
            <w:r w:rsidR="000A5329" w:rsidRPr="002029AF">
              <w:t xml:space="preserve"> </w:t>
            </w:r>
            <w:r w:rsidRPr="002029AF">
              <w:t>of</w:t>
            </w:r>
            <w:r w:rsidR="000A5329" w:rsidRPr="002029AF">
              <w:t xml:space="preserve"> </w:t>
            </w:r>
            <w:r w:rsidRPr="002029AF">
              <w:t>Premier</w:t>
            </w:r>
            <w:r w:rsidR="000A5329" w:rsidRPr="002029AF">
              <w:t xml:space="preserve"> </w:t>
            </w:r>
            <w:r w:rsidRPr="002029AF">
              <w:t>and</w:t>
            </w:r>
            <w:r w:rsidR="000A5329" w:rsidRPr="002029AF">
              <w:t xml:space="preserve"> </w:t>
            </w:r>
            <w:r w:rsidRPr="002029AF">
              <w:t>Cabinet</w:t>
            </w:r>
          </w:p>
        </w:tc>
        <w:tc>
          <w:tcPr>
            <w:tcW w:w="0" w:type="auto"/>
            <w:hideMark/>
          </w:tcPr>
          <w:p w14:paraId="7B3E9F2E" w14:textId="6C30D905" w:rsidR="00770DE1" w:rsidRPr="002029AF" w:rsidRDefault="00770DE1" w:rsidP="005F608E">
            <w:pPr>
              <w:pStyle w:val="ARtabletext"/>
            </w:pPr>
            <w:r w:rsidRPr="002029AF">
              <w:t>Leadership</w:t>
            </w:r>
            <w:r w:rsidR="000A5329" w:rsidRPr="002029AF">
              <w:t xml:space="preserve"> </w:t>
            </w:r>
            <w:r w:rsidRPr="002029AF">
              <w:t>for</w:t>
            </w:r>
            <w:r w:rsidR="000A5329" w:rsidRPr="002029AF">
              <w:t xml:space="preserve"> </w:t>
            </w:r>
            <w:r w:rsidRPr="002029AF">
              <w:t>the</w:t>
            </w:r>
            <w:r w:rsidR="000A5329" w:rsidRPr="002029AF">
              <w:t xml:space="preserve"> </w:t>
            </w:r>
            <w:r w:rsidRPr="002029AF">
              <w:t>design</w:t>
            </w:r>
            <w:r w:rsidR="000A5329" w:rsidRPr="002029AF">
              <w:t xml:space="preserve"> </w:t>
            </w:r>
            <w:r w:rsidRPr="002029AF">
              <w:t>and</w:t>
            </w:r>
            <w:r w:rsidR="000A5329" w:rsidRPr="002029AF">
              <w:t xml:space="preserve"> </w:t>
            </w:r>
            <w:r w:rsidRPr="002029AF">
              <w:t>coordinated</w:t>
            </w:r>
            <w:r w:rsidR="000A5329" w:rsidRPr="002029AF">
              <w:t xml:space="preserve"> </w:t>
            </w:r>
            <w:r w:rsidRPr="002029AF">
              <w:t>implementation</w:t>
            </w:r>
            <w:r w:rsidR="000A5329" w:rsidRPr="002029AF">
              <w:t xml:space="preserve"> </w:t>
            </w:r>
            <w:r w:rsidRPr="002029AF">
              <w:t>of</w:t>
            </w:r>
            <w:r w:rsidR="000A5329" w:rsidRPr="002029AF">
              <w:t xml:space="preserve"> </w:t>
            </w:r>
            <w:r w:rsidRPr="002029AF">
              <w:t>communication,</w:t>
            </w:r>
            <w:r w:rsidR="000A5329" w:rsidRPr="002029AF">
              <w:t xml:space="preserve"> </w:t>
            </w:r>
            <w:r w:rsidRPr="002029AF">
              <w:t>community</w:t>
            </w:r>
            <w:r w:rsidR="000A5329" w:rsidRPr="002029AF">
              <w:t xml:space="preserve"> </w:t>
            </w:r>
            <w:r w:rsidRPr="002029AF">
              <w:t>activation</w:t>
            </w:r>
            <w:r w:rsidR="000A5329" w:rsidRPr="002029AF">
              <w:t xml:space="preserve"> </w:t>
            </w:r>
            <w:r w:rsidRPr="002029AF">
              <w:t>and</w:t>
            </w:r>
            <w:r w:rsidR="000A5329" w:rsidRPr="002029AF">
              <w:t xml:space="preserve"> </w:t>
            </w:r>
            <w:r w:rsidRPr="002029AF">
              <w:t>engagement</w:t>
            </w:r>
            <w:r w:rsidR="000A5329" w:rsidRPr="002029AF">
              <w:t xml:space="preserve"> </w:t>
            </w:r>
            <w:r w:rsidRPr="002029AF">
              <w:t>activities</w:t>
            </w:r>
            <w:r w:rsidR="00C929E0" w:rsidRPr="002029AF">
              <w:t>.</w:t>
            </w:r>
          </w:p>
        </w:tc>
      </w:tr>
    </w:tbl>
    <w:p w14:paraId="06B86335" w14:textId="77777777" w:rsidR="00770DE1" w:rsidRPr="002029AF" w:rsidRDefault="00770DE1" w:rsidP="00C22356">
      <w:pPr>
        <w:sectPr w:rsidR="00770DE1" w:rsidRPr="002029AF" w:rsidSect="00C22356">
          <w:footnotePr>
            <w:numFmt w:val="chicago"/>
            <w:numRestart w:val="eachPage"/>
          </w:footnotePr>
          <w:endnotePr>
            <w:numFmt w:val="decimal"/>
          </w:endnotePr>
          <w:type w:val="continuous"/>
          <w:pgSz w:w="11900" w:h="16840" w:code="9"/>
          <w:pgMar w:top="1985" w:right="851" w:bottom="851" w:left="1418" w:header="510" w:footer="340" w:gutter="0"/>
          <w:cols w:space="454"/>
          <w15:footnoteColumns w:val="1"/>
        </w:sectPr>
      </w:pPr>
    </w:p>
    <w:p w14:paraId="6AC2A6BE" w14:textId="6B077AC2" w:rsidR="00770DE1" w:rsidRPr="002029AF" w:rsidRDefault="00770DE1" w:rsidP="003566F1">
      <w:pPr>
        <w:pStyle w:val="Heading2"/>
        <w:spacing w:before="0"/>
      </w:pPr>
      <w:r w:rsidRPr="002029AF">
        <w:lastRenderedPageBreak/>
        <w:t>Strategic</w:t>
      </w:r>
      <w:r w:rsidR="000A5329" w:rsidRPr="002029AF">
        <w:t xml:space="preserve"> </w:t>
      </w:r>
      <w:r w:rsidRPr="002029AF">
        <w:t>directions</w:t>
      </w:r>
    </w:p>
    <w:p w14:paraId="4883B398" w14:textId="04F69A09" w:rsidR="00770DE1" w:rsidRPr="002029AF" w:rsidRDefault="00770DE1" w:rsidP="00AD3894">
      <w:pPr>
        <w:pStyle w:val="ARbody"/>
      </w:pP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four</w:t>
      </w:r>
      <w:r w:rsidR="000A5329" w:rsidRPr="002029AF">
        <w:t xml:space="preserve"> </w:t>
      </w:r>
      <w:r w:rsidRPr="002029AF">
        <w:t>strategic</w:t>
      </w:r>
      <w:r w:rsidR="000A5329" w:rsidRPr="002029AF">
        <w:t xml:space="preserve"> </w:t>
      </w:r>
      <w:r w:rsidRPr="002029AF">
        <w:t>directions.</w:t>
      </w:r>
      <w:r w:rsidR="000A5329" w:rsidRPr="002029AF">
        <w:t xml:space="preserve"> </w:t>
      </w:r>
      <w:r w:rsidRPr="002029AF">
        <w:t>The</w:t>
      </w:r>
      <w:r w:rsidR="000A5329" w:rsidRPr="002029AF">
        <w:t xml:space="preserve"> </w:t>
      </w:r>
      <w:r w:rsidRPr="002029AF">
        <w:t>directions</w:t>
      </w:r>
      <w:r w:rsidR="000A5329" w:rsidRPr="002029AF">
        <w:t xml:space="preserve"> </w:t>
      </w:r>
      <w:r w:rsidRPr="002029AF">
        <w:t>work</w:t>
      </w:r>
      <w:r w:rsidR="000A5329" w:rsidRPr="002029AF">
        <w:t xml:space="preserve"> </w:t>
      </w:r>
      <w:r w:rsidRPr="002029AF">
        <w:t>together</w:t>
      </w:r>
      <w:r w:rsidR="000A5329" w:rsidRPr="002029AF">
        <w:t xml:space="preserve"> </w:t>
      </w:r>
      <w:r w:rsidRPr="002029AF">
        <w:t>to</w:t>
      </w:r>
      <w:r w:rsidR="000A5329" w:rsidRPr="002029AF">
        <w:t xml:space="preserve"> </w:t>
      </w:r>
      <w:r w:rsidRPr="002029AF">
        <w:t>generate</w:t>
      </w:r>
      <w:r w:rsidR="000A5329" w:rsidRPr="002029AF">
        <w:t xml:space="preserve"> </w:t>
      </w:r>
      <w:r w:rsidRPr="002029AF">
        <w:t>improvements</w:t>
      </w:r>
      <w:r w:rsidR="000A5329" w:rsidRPr="002029AF">
        <w:t xml:space="preserve"> </w:t>
      </w:r>
      <w:r w:rsidRPr="002029AF">
        <w:t>in</w:t>
      </w:r>
      <w:r w:rsidR="000A5329" w:rsidRPr="002029AF">
        <w:t xml:space="preserve"> </w:t>
      </w:r>
      <w:r w:rsidRPr="002029AF">
        <w:t>the</w:t>
      </w:r>
      <w:r w:rsidR="000A5329" w:rsidRPr="002029AF">
        <w:t xml:space="preserve"> </w:t>
      </w:r>
      <w:r w:rsidRPr="002029AF">
        <w:t>impact</w:t>
      </w:r>
      <w:r w:rsidR="000A5329" w:rsidRPr="002029AF">
        <w:t xml:space="preserve"> </w:t>
      </w:r>
      <w:r w:rsidRPr="002029AF">
        <w:t>of</w:t>
      </w:r>
      <w:r w:rsidR="000A5329" w:rsidRPr="002029AF">
        <w:t xml:space="preserve"> </w:t>
      </w:r>
      <w:r w:rsidRPr="002029AF">
        <w:t>our</w:t>
      </w:r>
      <w:r w:rsidR="000A5329" w:rsidRPr="002029AF">
        <w:t xml:space="preserve"> </w:t>
      </w:r>
      <w:r w:rsidRPr="002029AF">
        <w:t>services</w:t>
      </w:r>
      <w:r w:rsidR="000A5329" w:rsidRPr="002029AF">
        <w:t xml:space="preserve"> </w:t>
      </w:r>
      <w:r w:rsidRPr="002029AF">
        <w:t>and</w:t>
      </w:r>
      <w:r w:rsidR="000A5329" w:rsidRPr="002029AF">
        <w:t xml:space="preserve"> </w:t>
      </w:r>
      <w:r w:rsidRPr="002029AF">
        <w:t>activities</w:t>
      </w:r>
      <w:r w:rsidR="000A5329" w:rsidRPr="002029AF">
        <w:t xml:space="preserve"> </w:t>
      </w:r>
      <w:r w:rsidRPr="002029AF">
        <w:t>on</w:t>
      </w:r>
      <w:r w:rsidR="000A5329" w:rsidRPr="002029AF">
        <w:t xml:space="preserve"> </w:t>
      </w:r>
      <w:r w:rsidRPr="002029AF">
        <w:t>the</w:t>
      </w:r>
      <w:r w:rsidR="000A5329" w:rsidRPr="002029AF">
        <w:t xml:space="preserve"> </w:t>
      </w:r>
      <w:r w:rsidRPr="002029AF">
        <w:t>lives</w:t>
      </w:r>
      <w:r w:rsidR="000A5329" w:rsidRPr="002029AF">
        <w:t xml:space="preserve"> </w:t>
      </w:r>
      <w:r w:rsidRPr="002029AF">
        <w:t>of</w:t>
      </w:r>
      <w:r w:rsidR="000A5329" w:rsidRPr="002029AF">
        <w:t xml:space="preserve"> </w:t>
      </w:r>
      <w:r w:rsidRPr="002029AF">
        <w:t>Victorians.</w:t>
      </w:r>
    </w:p>
    <w:p w14:paraId="7F8DAF9F" w14:textId="0E9DBD3B" w:rsidR="00770DE1" w:rsidRPr="002029AF" w:rsidRDefault="00770DE1" w:rsidP="00AD3894">
      <w:pPr>
        <w:pStyle w:val="ARbody"/>
      </w:pPr>
      <w:r w:rsidRPr="002029AF">
        <w:t>The</w:t>
      </w:r>
      <w:r w:rsidR="000A5329" w:rsidRPr="002029AF">
        <w:t xml:space="preserve"> </w:t>
      </w:r>
      <w:r w:rsidRPr="002029AF">
        <w:t>directions</w:t>
      </w:r>
      <w:r w:rsidR="000A5329" w:rsidRPr="002029AF">
        <w:t xml:space="preserve"> </w:t>
      </w:r>
      <w:r w:rsidRPr="002029AF">
        <w:t>inform</w:t>
      </w:r>
      <w:r w:rsidR="000A5329" w:rsidRPr="002029AF">
        <w:t xml:space="preserve"> </w:t>
      </w:r>
      <w:r w:rsidRPr="002029AF">
        <w:t>the</w:t>
      </w:r>
      <w:r w:rsidR="000A5329" w:rsidRPr="002029AF">
        <w:t xml:space="preserve"> </w:t>
      </w:r>
      <w:r w:rsidR="00320767" w:rsidRPr="002029AF">
        <w:t>department’s</w:t>
      </w:r>
      <w:r w:rsidR="000A5329" w:rsidRPr="002029AF">
        <w:t xml:space="preserve"> </w:t>
      </w:r>
      <w:r w:rsidRPr="002029AF">
        <w:t>three</w:t>
      </w:r>
      <w:r w:rsidR="000A5329" w:rsidRPr="002029AF">
        <w:t xml:space="preserve"> </w:t>
      </w:r>
      <w:r w:rsidRPr="002029AF">
        <w:t>roles:</w:t>
      </w:r>
    </w:p>
    <w:p w14:paraId="79976C0E" w14:textId="50AAB729" w:rsidR="00770DE1" w:rsidRPr="002029AF" w:rsidRDefault="00770DE1" w:rsidP="001E768A">
      <w:pPr>
        <w:pStyle w:val="ARbullet1"/>
      </w:pPr>
      <w:r w:rsidRPr="002029AF">
        <w:t>steward</w:t>
      </w:r>
      <w:r w:rsidR="000A5329" w:rsidRPr="002029AF">
        <w:t xml:space="preserve"> </w:t>
      </w:r>
      <w:r w:rsidRPr="002029AF">
        <w:t>–</w:t>
      </w:r>
      <w:r w:rsidR="000A5329" w:rsidRPr="002029AF">
        <w:t xml:space="preserve"> </w:t>
      </w:r>
      <w:r w:rsidRPr="002029AF">
        <w:t>how</w:t>
      </w:r>
      <w:r w:rsidR="000A5329" w:rsidRPr="002029AF">
        <w:t xml:space="preserve"> </w:t>
      </w:r>
      <w:r w:rsidRPr="002029AF">
        <w:t>we</w:t>
      </w:r>
      <w:r w:rsidR="000A5329" w:rsidRPr="002029AF">
        <w:t xml:space="preserve"> </w:t>
      </w:r>
      <w:r w:rsidRPr="002029AF">
        <w:t>develop</w:t>
      </w:r>
      <w:r w:rsidR="000A5329" w:rsidRPr="002029AF">
        <w:t xml:space="preserve"> </w:t>
      </w:r>
      <w:r w:rsidRPr="002029AF">
        <w:t>and</w:t>
      </w:r>
      <w:r w:rsidR="000A5329" w:rsidRPr="002029AF">
        <w:t xml:space="preserve"> </w:t>
      </w:r>
      <w:r w:rsidRPr="002029AF">
        <w:t>oversee</w:t>
      </w:r>
      <w:r w:rsidR="000A5329" w:rsidRPr="002029AF">
        <w:t xml:space="preserve"> </w:t>
      </w:r>
      <w:r w:rsidRPr="002029AF">
        <w:t>policy</w:t>
      </w:r>
    </w:p>
    <w:p w14:paraId="41195AAF" w14:textId="40266474" w:rsidR="00770DE1" w:rsidRPr="002029AF" w:rsidRDefault="00770DE1" w:rsidP="001E768A">
      <w:pPr>
        <w:pStyle w:val="ARbullet1"/>
      </w:pPr>
      <w:r w:rsidRPr="002029AF">
        <w:t>system</w:t>
      </w:r>
      <w:r w:rsidR="000A5329" w:rsidRPr="002029AF">
        <w:t xml:space="preserve"> </w:t>
      </w:r>
      <w:r w:rsidRPr="002029AF">
        <w:t>manager</w:t>
      </w:r>
      <w:r w:rsidR="000A5329" w:rsidRPr="002029AF">
        <w:t xml:space="preserve"> </w:t>
      </w:r>
      <w:r w:rsidRPr="002029AF">
        <w:t>–</w:t>
      </w:r>
      <w:r w:rsidR="000A5329" w:rsidRPr="002029AF">
        <w:t xml:space="preserve"> </w:t>
      </w:r>
      <w:r w:rsidRPr="002029AF">
        <w:t>how</w:t>
      </w:r>
      <w:r w:rsidR="000A5329" w:rsidRPr="002029AF">
        <w:t xml:space="preserve"> </w:t>
      </w:r>
      <w:r w:rsidRPr="002029AF">
        <w:t>we</w:t>
      </w:r>
      <w:r w:rsidR="000A5329" w:rsidRPr="002029AF">
        <w:t xml:space="preserve"> </w:t>
      </w:r>
      <w:r w:rsidRPr="002029AF">
        <w:t>design</w:t>
      </w:r>
      <w:r w:rsidR="000A5329" w:rsidRPr="002029AF">
        <w:t xml:space="preserve"> </w:t>
      </w:r>
      <w:r w:rsidRPr="002029AF">
        <w:t>funding</w:t>
      </w:r>
      <w:r w:rsidR="000A5329" w:rsidRPr="002029AF">
        <w:t xml:space="preserve"> </w:t>
      </w:r>
      <w:r w:rsidRPr="002029AF">
        <w:t>and</w:t>
      </w:r>
      <w:r w:rsidR="000A5329" w:rsidRPr="002029AF">
        <w:t xml:space="preserve"> </w:t>
      </w:r>
      <w:r w:rsidRPr="002029AF">
        <w:t>regulate</w:t>
      </w:r>
    </w:p>
    <w:p w14:paraId="04B8C052" w14:textId="0A623632" w:rsidR="00770DE1" w:rsidRPr="002029AF" w:rsidRDefault="00770DE1" w:rsidP="001E768A">
      <w:pPr>
        <w:pStyle w:val="ARbullet1"/>
      </w:pPr>
      <w:r w:rsidRPr="002029AF">
        <w:t>agent</w:t>
      </w:r>
      <w:r w:rsidR="000A5329" w:rsidRPr="002029AF">
        <w:t xml:space="preserve"> </w:t>
      </w:r>
      <w:r w:rsidRPr="002029AF">
        <w:t>–</w:t>
      </w:r>
      <w:r w:rsidR="000A5329" w:rsidRPr="002029AF">
        <w:t xml:space="preserve"> </w:t>
      </w:r>
      <w:r w:rsidRPr="002029AF">
        <w:t>how</w:t>
      </w:r>
      <w:r w:rsidR="000A5329" w:rsidRPr="002029AF">
        <w:t xml:space="preserve"> </w:t>
      </w:r>
      <w:r w:rsidRPr="002029AF">
        <w:t>we</w:t>
      </w:r>
      <w:r w:rsidR="000A5329" w:rsidRPr="002029AF">
        <w:t xml:space="preserve"> </w:t>
      </w:r>
      <w:r w:rsidRPr="002029AF">
        <w:t>deliver</w:t>
      </w:r>
      <w:r w:rsidR="000A5329" w:rsidRPr="002029AF">
        <w:t xml:space="preserve"> </w:t>
      </w:r>
      <w:r w:rsidRPr="002029AF">
        <w:t>services</w:t>
      </w:r>
      <w:r w:rsidR="000A5329" w:rsidRPr="002029AF">
        <w:t xml:space="preserve"> </w:t>
      </w:r>
      <w:r w:rsidRPr="002029AF">
        <w:t>and</w:t>
      </w:r>
      <w:r w:rsidR="000A5329" w:rsidRPr="002029AF">
        <w:t xml:space="preserve"> </w:t>
      </w:r>
      <w:r w:rsidRPr="002029AF">
        <w:t>build</w:t>
      </w:r>
      <w:r w:rsidR="000A5329" w:rsidRPr="002029AF">
        <w:t xml:space="preserve"> </w:t>
      </w:r>
      <w:r w:rsidRPr="002029AF">
        <w:t>capacity</w:t>
      </w:r>
      <w:r w:rsidR="000A5329" w:rsidRPr="002029AF">
        <w:t xml:space="preserve"> </w:t>
      </w:r>
      <w:r w:rsidRPr="002029AF">
        <w:t>and</w:t>
      </w:r>
      <w:r w:rsidR="000A5329" w:rsidRPr="002029AF">
        <w:t xml:space="preserve"> </w:t>
      </w:r>
      <w:r w:rsidRPr="002029AF">
        <w:t>influence.</w:t>
      </w:r>
    </w:p>
    <w:p w14:paraId="3EB6CDF9" w14:textId="1722423B" w:rsidR="00770DE1" w:rsidRPr="002029AF" w:rsidRDefault="00770DE1" w:rsidP="00AD3894">
      <w:pPr>
        <w:pStyle w:val="ARbodyafterbullets"/>
      </w:pPr>
      <w:r w:rsidRPr="002029AF">
        <w:t>A</w:t>
      </w:r>
      <w:r w:rsidR="000A5329" w:rsidRPr="002029AF">
        <w:t xml:space="preserve"> </w:t>
      </w:r>
      <w:r w:rsidRPr="002029AF">
        <w:t>summary</w:t>
      </w:r>
      <w:r w:rsidR="000A5329" w:rsidRPr="002029AF">
        <w:t xml:space="preserve"> </w:t>
      </w:r>
      <w:r w:rsidRPr="002029AF">
        <w:t>of</w:t>
      </w:r>
      <w:r w:rsidR="000A5329" w:rsidRPr="002029AF">
        <w:t xml:space="preserve"> </w:t>
      </w:r>
      <w:r w:rsidRPr="002029AF">
        <w:t>each</w:t>
      </w:r>
      <w:r w:rsidR="000A5329" w:rsidRPr="002029AF">
        <w:t xml:space="preserve"> </w:t>
      </w:r>
      <w:r w:rsidRPr="002029AF">
        <w:t>strategic</w:t>
      </w:r>
      <w:r w:rsidR="000A5329" w:rsidRPr="002029AF">
        <w:t xml:space="preserve"> </w:t>
      </w:r>
      <w:r w:rsidRPr="002029AF">
        <w:t>direction</w:t>
      </w:r>
      <w:r w:rsidR="000A5329" w:rsidRPr="002029AF">
        <w:t xml:space="preserve"> </w:t>
      </w:r>
      <w:r w:rsidRPr="002029AF">
        <w:t>is</w:t>
      </w:r>
      <w:r w:rsidR="000A5329" w:rsidRPr="002029AF">
        <w:t xml:space="preserve"> </w:t>
      </w:r>
      <w:r w:rsidRPr="002029AF">
        <w:t>provided</w:t>
      </w:r>
      <w:r w:rsidR="000A5329" w:rsidRPr="002029AF">
        <w:t xml:space="preserve"> </w:t>
      </w:r>
      <w:r w:rsidRPr="002029AF">
        <w:t>below.</w:t>
      </w:r>
    </w:p>
    <w:p w14:paraId="0608AE8A" w14:textId="124BB4EE" w:rsidR="00770DE1" w:rsidRPr="002029AF" w:rsidRDefault="00770DE1" w:rsidP="00C22356">
      <w:pPr>
        <w:pStyle w:val="Heading3"/>
      </w:pPr>
      <w:r w:rsidRPr="002029AF">
        <w:t>1.</w:t>
      </w:r>
      <w:r w:rsidR="000A5329" w:rsidRPr="002029AF">
        <w:t xml:space="preserve"> </w:t>
      </w:r>
      <w:r w:rsidRPr="002029AF">
        <w:t>Person-centred</w:t>
      </w:r>
      <w:r w:rsidR="000A5329" w:rsidRPr="002029AF">
        <w:t xml:space="preserve"> </w:t>
      </w:r>
      <w:r w:rsidRPr="002029AF">
        <w:t>services</w:t>
      </w:r>
      <w:r w:rsidR="000A5329" w:rsidRPr="002029AF">
        <w:t xml:space="preserve"> </w:t>
      </w:r>
      <w:r w:rsidRPr="002029AF">
        <w:t>and</w:t>
      </w:r>
      <w:r w:rsidR="000A5329" w:rsidRPr="002029AF">
        <w:t xml:space="preserve"> </w:t>
      </w:r>
      <w:r w:rsidRPr="002029AF">
        <w:t>care</w:t>
      </w:r>
    </w:p>
    <w:p w14:paraId="161C98E3" w14:textId="09F72DF4" w:rsidR="00770DE1" w:rsidRPr="002029AF" w:rsidRDefault="00770DE1" w:rsidP="00D271CB">
      <w:pPr>
        <w:pStyle w:val="ARbody"/>
      </w:pPr>
      <w:r w:rsidRPr="002029AF">
        <w:t>Person-centred</w:t>
      </w:r>
      <w:r w:rsidR="000A5329" w:rsidRPr="002029AF">
        <w:t xml:space="preserve"> </w:t>
      </w:r>
      <w:r w:rsidRPr="002029AF">
        <w:t>services</w:t>
      </w:r>
      <w:r w:rsidR="000A5329" w:rsidRPr="002029AF">
        <w:t xml:space="preserve"> </w:t>
      </w:r>
      <w:r w:rsidRPr="002029AF">
        <w:t>and</w:t>
      </w:r>
      <w:r w:rsidR="000A5329" w:rsidRPr="002029AF">
        <w:t xml:space="preserve"> </w:t>
      </w:r>
      <w:r w:rsidRPr="002029AF">
        <w:t>care</w:t>
      </w:r>
      <w:r w:rsidR="000A5329" w:rsidRPr="002029AF">
        <w:t xml:space="preserve"> </w:t>
      </w:r>
      <w:r w:rsidRPr="002029AF">
        <w:t>take</w:t>
      </w:r>
      <w:r w:rsidR="000A5329" w:rsidRPr="002029AF">
        <w:t xml:space="preserve"> </w:t>
      </w:r>
      <w:r w:rsidRPr="002029AF">
        <w:t>into</w:t>
      </w:r>
      <w:r w:rsidR="000A5329" w:rsidRPr="002029AF">
        <w:t xml:space="preserve"> </w:t>
      </w:r>
      <w:r w:rsidRPr="002029AF">
        <w:t>consideration</w:t>
      </w:r>
      <w:r w:rsidR="000A5329" w:rsidRPr="002029AF">
        <w:t xml:space="preserve"> </w:t>
      </w:r>
      <w:r w:rsidRPr="002029AF">
        <w:t>all</w:t>
      </w:r>
      <w:r w:rsidR="000A5329" w:rsidRPr="002029AF">
        <w:t xml:space="preserve"> </w:t>
      </w:r>
      <w:r w:rsidRPr="002029AF">
        <w:t>the</w:t>
      </w:r>
      <w:r w:rsidR="000A5329" w:rsidRPr="002029AF">
        <w:t xml:space="preserve"> </w:t>
      </w:r>
      <w:r w:rsidRPr="002029AF">
        <w:t>influences</w:t>
      </w:r>
      <w:r w:rsidR="000A5329" w:rsidRPr="002029AF">
        <w:t xml:space="preserve"> </w:t>
      </w:r>
      <w:r w:rsidRPr="002029AF">
        <w:t>on</w:t>
      </w:r>
      <w:r w:rsidR="000A5329" w:rsidRPr="002029AF">
        <w:t xml:space="preserve"> </w:t>
      </w:r>
      <w:r w:rsidRPr="002029AF">
        <w:t>a</w:t>
      </w:r>
      <w:r w:rsidR="000A5329" w:rsidRPr="002029AF">
        <w:t xml:space="preserve"> </w:t>
      </w:r>
      <w:r w:rsidRPr="002029AF">
        <w:t>person’s</w:t>
      </w:r>
      <w:r w:rsidR="000A5329" w:rsidRPr="002029AF">
        <w:t xml:space="preserve"> </w:t>
      </w:r>
      <w:r w:rsidRPr="002029AF">
        <w:t>health</w:t>
      </w:r>
      <w:r w:rsidR="000A5329" w:rsidRPr="002029AF">
        <w:t xml:space="preserve"> </w:t>
      </w:r>
      <w:r w:rsidRPr="002029AF">
        <w:t>and</w:t>
      </w:r>
      <w:r w:rsidR="000A5329" w:rsidRPr="002029AF">
        <w:t xml:space="preserve"> </w:t>
      </w:r>
      <w:r w:rsidRPr="002029AF">
        <w:t>wellbeing.</w:t>
      </w:r>
    </w:p>
    <w:p w14:paraId="6221EB25" w14:textId="2B908E89" w:rsidR="00770DE1" w:rsidRPr="002029AF" w:rsidRDefault="00770DE1" w:rsidP="00D271CB">
      <w:pPr>
        <w:pStyle w:val="ARbody"/>
      </w:pPr>
      <w:r w:rsidRPr="002029AF">
        <w:t>The</w:t>
      </w:r>
      <w:r w:rsidR="000A5329" w:rsidRPr="002029AF">
        <w:t xml:space="preserve"> </w:t>
      </w:r>
      <w:r w:rsidRPr="002029AF">
        <w:t>department</w:t>
      </w:r>
      <w:r w:rsidR="000A5329" w:rsidRPr="002029AF">
        <w:t xml:space="preserve"> </w:t>
      </w:r>
      <w:r w:rsidRPr="002029AF">
        <w:t>and</w:t>
      </w:r>
      <w:r w:rsidR="000A5329" w:rsidRPr="002029AF">
        <w:t xml:space="preserve"> </w:t>
      </w:r>
      <w:r w:rsidRPr="002029AF">
        <w:t>its</w:t>
      </w:r>
      <w:r w:rsidR="000A5329" w:rsidRPr="002029AF">
        <w:t xml:space="preserve"> </w:t>
      </w:r>
      <w:r w:rsidRPr="002029AF">
        <w:t>agencies</w:t>
      </w:r>
      <w:r w:rsidR="000A5329" w:rsidRPr="002029AF">
        <w:t xml:space="preserve"> </w:t>
      </w:r>
      <w:r w:rsidRPr="002029AF">
        <w:t>have</w:t>
      </w:r>
      <w:r w:rsidR="000A5329" w:rsidRPr="002029AF">
        <w:t xml:space="preserve"> </w:t>
      </w:r>
      <w:r w:rsidRPr="002029AF">
        <w:t>created</w:t>
      </w:r>
      <w:r w:rsidR="000A5329" w:rsidRPr="002029AF">
        <w:t xml:space="preserve"> </w:t>
      </w:r>
      <w:r w:rsidRPr="002029AF">
        <w:t>new</w:t>
      </w:r>
      <w:r w:rsidR="009950F3">
        <w:t> </w:t>
      </w:r>
      <w:r w:rsidRPr="002029AF">
        <w:t>mechanisms</w:t>
      </w:r>
      <w:r w:rsidR="000A5329" w:rsidRPr="002029AF">
        <w:t xml:space="preserve"> </w:t>
      </w:r>
      <w:r w:rsidRPr="002029AF">
        <w:t>to</w:t>
      </w:r>
      <w:r w:rsidR="000A5329" w:rsidRPr="002029AF">
        <w:t xml:space="preserve"> </w:t>
      </w:r>
      <w:r w:rsidRPr="002029AF">
        <w:t>enable</w:t>
      </w:r>
      <w:r w:rsidR="000A5329" w:rsidRPr="002029AF">
        <w:t xml:space="preserve"> </w:t>
      </w:r>
      <w:r w:rsidRPr="002029AF">
        <w:t>input</w:t>
      </w:r>
      <w:r w:rsidR="000A5329" w:rsidRPr="002029AF">
        <w:t xml:space="preserve"> </w:t>
      </w:r>
      <w:r w:rsidRPr="002029AF">
        <w:t>from</w:t>
      </w:r>
      <w:r w:rsidR="000A5329" w:rsidRPr="002029AF">
        <w:t xml:space="preserve"> </w:t>
      </w:r>
      <w:r w:rsidRPr="002029AF">
        <w:t>consumers,</w:t>
      </w:r>
      <w:r w:rsidR="000A5329" w:rsidRPr="002029AF">
        <w:t xml:space="preserve"> </w:t>
      </w:r>
      <w:r w:rsidRPr="002029AF">
        <w:t>families</w:t>
      </w:r>
      <w:r w:rsidR="000A5329" w:rsidRPr="002029AF">
        <w:t xml:space="preserve"> </w:t>
      </w:r>
      <w:r w:rsidRPr="002029AF">
        <w:t>and</w:t>
      </w:r>
      <w:r w:rsidR="000A5329" w:rsidRPr="002029AF">
        <w:t xml:space="preserve"> </w:t>
      </w:r>
      <w:r w:rsidRPr="002029AF">
        <w:t>carers</w:t>
      </w:r>
      <w:r w:rsidR="000A5329" w:rsidRPr="002029AF">
        <w:t xml:space="preserve"> </w:t>
      </w:r>
      <w:r w:rsidRPr="002029AF">
        <w:t>into</w:t>
      </w:r>
      <w:r w:rsidR="000A5329" w:rsidRPr="002029AF">
        <w:t xml:space="preserve"> </w:t>
      </w:r>
      <w:r w:rsidRPr="002029AF">
        <w:t>the</w:t>
      </w:r>
      <w:r w:rsidR="000A5329" w:rsidRPr="002029AF">
        <w:t xml:space="preserve"> </w:t>
      </w:r>
      <w:r w:rsidRPr="002029AF">
        <w:t>design</w:t>
      </w:r>
      <w:r w:rsidR="000A5329" w:rsidRPr="002029AF">
        <w:t xml:space="preserve"> </w:t>
      </w:r>
      <w:r w:rsidRPr="002029AF">
        <w:t>of</w:t>
      </w:r>
      <w:r w:rsidR="000A5329" w:rsidRPr="002029AF">
        <w:t xml:space="preserve"> </w:t>
      </w:r>
      <w:r w:rsidRPr="002029AF">
        <w:t>models</w:t>
      </w:r>
      <w:r w:rsidR="000A5329" w:rsidRPr="002029AF">
        <w:t xml:space="preserve"> </w:t>
      </w:r>
      <w:r w:rsidRPr="002029AF">
        <w:t>of</w:t>
      </w:r>
      <w:r w:rsidR="000A5329" w:rsidRPr="002029AF">
        <w:t xml:space="preserve"> </w:t>
      </w:r>
      <w:r w:rsidRPr="002029AF">
        <w:t>care</w:t>
      </w:r>
      <w:r w:rsidR="000A5329" w:rsidRPr="002029AF">
        <w:t xml:space="preserve"> </w:t>
      </w:r>
      <w:r w:rsidRPr="002029AF">
        <w:t>and</w:t>
      </w:r>
      <w:r w:rsidR="000A5329" w:rsidRPr="002029AF">
        <w:t xml:space="preserve"> </w:t>
      </w:r>
      <w:r w:rsidRPr="002029AF">
        <w:t>care</w:t>
      </w:r>
      <w:r w:rsidR="000A5329" w:rsidRPr="002029AF">
        <w:t xml:space="preserve"> </w:t>
      </w:r>
      <w:r w:rsidRPr="002029AF">
        <w:t>pathways,</w:t>
      </w:r>
      <w:r w:rsidR="000A5329" w:rsidRPr="002029AF">
        <w:t xml:space="preserve"> </w:t>
      </w:r>
      <w:r w:rsidRPr="002029AF">
        <w:t>while</w:t>
      </w:r>
      <w:r w:rsidR="000A5329" w:rsidRPr="002029AF">
        <w:t xml:space="preserve"> </w:t>
      </w:r>
      <w:r w:rsidRPr="002029AF">
        <w:t>also</w:t>
      </w:r>
      <w:r w:rsidR="000A5329" w:rsidRPr="002029AF">
        <w:t xml:space="preserve"> </w:t>
      </w:r>
      <w:r w:rsidRPr="002029AF">
        <w:t>supporting</w:t>
      </w:r>
      <w:r w:rsidR="000A5329" w:rsidRPr="002029AF">
        <w:t xml:space="preserve"> </w:t>
      </w:r>
      <w:r w:rsidRPr="002029AF">
        <w:t>consumers</w:t>
      </w:r>
      <w:r w:rsidR="000A5329" w:rsidRPr="002029AF">
        <w:t xml:space="preserve"> </w:t>
      </w:r>
      <w:r w:rsidRPr="002029AF">
        <w:t>to</w:t>
      </w:r>
      <w:r w:rsidR="000A5329" w:rsidRPr="002029AF">
        <w:t xml:space="preserve"> </w:t>
      </w:r>
      <w:r w:rsidRPr="002029AF">
        <w:t>be</w:t>
      </w:r>
      <w:r w:rsidR="000A5329" w:rsidRPr="002029AF">
        <w:t xml:space="preserve"> </w:t>
      </w:r>
      <w:r w:rsidRPr="002029AF">
        <w:t>partners</w:t>
      </w:r>
      <w:r w:rsidR="000A5329" w:rsidRPr="002029AF">
        <w:t xml:space="preserve"> </w:t>
      </w:r>
      <w:r w:rsidRPr="002029AF">
        <w:t>in</w:t>
      </w:r>
      <w:r w:rsidR="000A5329" w:rsidRPr="002029AF">
        <w:t xml:space="preserve"> </w:t>
      </w:r>
      <w:r w:rsidRPr="002029AF">
        <w:t>their</w:t>
      </w:r>
      <w:r w:rsidR="000A5329" w:rsidRPr="002029AF">
        <w:t xml:space="preserve"> </w:t>
      </w:r>
      <w:r w:rsidRPr="002029AF">
        <w:t>own</w:t>
      </w:r>
      <w:r w:rsidR="000A5329" w:rsidRPr="002029AF">
        <w:t xml:space="preserve"> </w:t>
      </w:r>
      <w:r w:rsidRPr="002029AF">
        <w:t>care.</w:t>
      </w:r>
    </w:p>
    <w:p w14:paraId="60BDC367" w14:textId="47598BDD" w:rsidR="000A5329" w:rsidRPr="002029AF" w:rsidRDefault="00770DE1" w:rsidP="00D271CB">
      <w:pPr>
        <w:pStyle w:val="ARbody"/>
      </w:pPr>
      <w:r w:rsidRPr="002029AF">
        <w:t>Research</w:t>
      </w:r>
      <w:r w:rsidR="000A5329" w:rsidRPr="002029AF">
        <w:t xml:space="preserve"> </w:t>
      </w:r>
      <w:r w:rsidRPr="002029AF">
        <w:t>has</w:t>
      </w:r>
      <w:r w:rsidR="000A5329" w:rsidRPr="002029AF">
        <w:t xml:space="preserve"> </w:t>
      </w:r>
      <w:r w:rsidRPr="002029AF">
        <w:t>found</w:t>
      </w:r>
      <w:r w:rsidR="000A5329" w:rsidRPr="002029AF">
        <w:t xml:space="preserve"> </w:t>
      </w:r>
      <w:r w:rsidRPr="002029AF">
        <w:t>that</w:t>
      </w:r>
      <w:r w:rsidR="000A5329" w:rsidRPr="002029AF">
        <w:t xml:space="preserve"> </w:t>
      </w:r>
      <w:r w:rsidRPr="002029AF">
        <w:t>person-centred</w:t>
      </w:r>
      <w:r w:rsidR="000A5329" w:rsidRPr="002029AF">
        <w:t xml:space="preserve"> </w:t>
      </w:r>
      <w:r w:rsidRPr="002029AF">
        <w:t>care</w:t>
      </w:r>
      <w:r w:rsidR="000A5329" w:rsidRPr="002029AF">
        <w:t xml:space="preserve"> </w:t>
      </w:r>
      <w:r w:rsidRPr="002029AF">
        <w:t>can</w:t>
      </w:r>
      <w:r w:rsidR="009950F3">
        <w:t> </w:t>
      </w:r>
      <w:r w:rsidRPr="002029AF">
        <w:t>have</w:t>
      </w:r>
      <w:r w:rsidR="000A5329" w:rsidRPr="002029AF">
        <w:t xml:space="preserve"> </w:t>
      </w:r>
      <w:r w:rsidRPr="002029AF">
        <w:t>a</w:t>
      </w:r>
      <w:r w:rsidR="000A5329" w:rsidRPr="002029AF">
        <w:t xml:space="preserve"> </w:t>
      </w:r>
      <w:r w:rsidRPr="002029AF">
        <w:t>big</w:t>
      </w:r>
      <w:r w:rsidR="000A5329" w:rsidRPr="002029AF">
        <w:t xml:space="preserve"> </w:t>
      </w:r>
      <w:r w:rsidRPr="002029AF">
        <w:t>impact</w:t>
      </w:r>
      <w:r w:rsidR="000A5329" w:rsidRPr="002029AF">
        <w:t xml:space="preserve"> </w:t>
      </w:r>
      <w:r w:rsidRPr="002029AF">
        <w:t>on</w:t>
      </w:r>
      <w:r w:rsidR="000A5329" w:rsidRPr="002029AF">
        <w:t xml:space="preserve"> </w:t>
      </w:r>
      <w:r w:rsidRPr="002029AF">
        <w:t>quality</w:t>
      </w:r>
      <w:r w:rsidR="000A5329" w:rsidRPr="002029AF">
        <w:t xml:space="preserve"> </w:t>
      </w:r>
      <w:r w:rsidRPr="002029AF">
        <w:t>and</w:t>
      </w:r>
      <w:r w:rsidR="000A5329" w:rsidRPr="002029AF">
        <w:t xml:space="preserve"> </w:t>
      </w:r>
      <w:r w:rsidRPr="002029AF">
        <w:t>efficiency</w:t>
      </w:r>
      <w:r w:rsidR="000A5329" w:rsidRPr="002029AF">
        <w:t xml:space="preserve"> </w:t>
      </w:r>
      <w:r w:rsidRPr="002029AF">
        <w:t>–</w:t>
      </w:r>
      <w:r w:rsidR="000A5329" w:rsidRPr="002029AF">
        <w:t xml:space="preserve"> </w:t>
      </w:r>
      <w:r w:rsidRPr="002029AF">
        <w:t>including</w:t>
      </w:r>
      <w:r w:rsidR="000A5329" w:rsidRPr="002029AF">
        <w:t xml:space="preserve"> </w:t>
      </w:r>
      <w:r w:rsidRPr="002029AF">
        <w:t>by</w:t>
      </w:r>
      <w:r w:rsidR="000A5329" w:rsidRPr="002029AF">
        <w:t xml:space="preserve"> </w:t>
      </w:r>
      <w:r w:rsidRPr="002029AF">
        <w:t>helping</w:t>
      </w:r>
      <w:r w:rsidR="000A5329" w:rsidRPr="002029AF">
        <w:t xml:space="preserve"> </w:t>
      </w:r>
      <w:r w:rsidRPr="002029AF">
        <w:t>people</w:t>
      </w:r>
      <w:r w:rsidR="000A5329" w:rsidRPr="002029AF">
        <w:t xml:space="preserve"> </w:t>
      </w:r>
      <w:r w:rsidRPr="002029AF">
        <w:t>to</w:t>
      </w:r>
      <w:r w:rsidR="000A5329" w:rsidRPr="002029AF">
        <w:t xml:space="preserve"> </w:t>
      </w:r>
      <w:r w:rsidRPr="002029AF">
        <w:t>learn</w:t>
      </w:r>
      <w:r w:rsidR="000A5329" w:rsidRPr="002029AF">
        <w:t xml:space="preserve"> </w:t>
      </w:r>
      <w:r w:rsidRPr="002029AF">
        <w:t>more</w:t>
      </w:r>
      <w:r w:rsidR="000A5329" w:rsidRPr="002029AF">
        <w:t xml:space="preserve"> </w:t>
      </w:r>
      <w:r w:rsidRPr="002029AF">
        <w:t>about</w:t>
      </w:r>
      <w:r w:rsidR="000A5329" w:rsidRPr="002029AF">
        <w:t xml:space="preserve"> </w:t>
      </w:r>
      <w:r w:rsidRPr="002029AF">
        <w:t>their</w:t>
      </w:r>
      <w:r w:rsidR="000A5329" w:rsidRPr="002029AF">
        <w:t xml:space="preserve"> </w:t>
      </w:r>
      <w:r w:rsidRPr="002029AF">
        <w:t>health</w:t>
      </w:r>
      <w:r w:rsidR="000A5329" w:rsidRPr="002029AF">
        <w:t xml:space="preserve"> </w:t>
      </w:r>
      <w:r w:rsidRPr="002029AF">
        <w:t>conditions</w:t>
      </w:r>
      <w:r w:rsidR="000A5329" w:rsidRPr="002029AF">
        <w:t xml:space="preserve"> </w:t>
      </w:r>
      <w:r w:rsidRPr="002029AF">
        <w:t>and</w:t>
      </w:r>
      <w:r w:rsidR="000A5329" w:rsidRPr="002029AF">
        <w:t xml:space="preserve"> </w:t>
      </w:r>
      <w:r w:rsidRPr="002029AF">
        <w:t>prompting</w:t>
      </w:r>
      <w:r w:rsidR="000A5329" w:rsidRPr="002029AF">
        <w:t xml:space="preserve"> </w:t>
      </w:r>
      <w:r w:rsidRPr="002029AF">
        <w:t>them</w:t>
      </w:r>
      <w:r w:rsidR="000A5329" w:rsidRPr="002029AF">
        <w:t xml:space="preserve"> </w:t>
      </w:r>
      <w:r w:rsidRPr="002029AF">
        <w:t>to</w:t>
      </w:r>
      <w:r w:rsidR="000A5329" w:rsidRPr="002029AF">
        <w:t xml:space="preserve"> </w:t>
      </w:r>
      <w:r w:rsidRPr="002029AF">
        <w:t>better</w:t>
      </w:r>
      <w:r w:rsidR="000A5329" w:rsidRPr="002029AF">
        <w:t xml:space="preserve"> </w:t>
      </w:r>
      <w:r w:rsidRPr="002029AF">
        <w:t>understand</w:t>
      </w:r>
      <w:r w:rsidR="000A5329" w:rsidRPr="002029AF">
        <w:t xml:space="preserve"> </w:t>
      </w:r>
      <w:r w:rsidRPr="002029AF">
        <w:t>their</w:t>
      </w:r>
      <w:r w:rsidR="000A5329" w:rsidRPr="002029AF">
        <w:t xml:space="preserve"> </w:t>
      </w:r>
      <w:r w:rsidRPr="002029AF">
        <w:t>own</w:t>
      </w:r>
      <w:r w:rsidR="000A5329" w:rsidRPr="002029AF">
        <w:t xml:space="preserve"> </w:t>
      </w:r>
      <w:r w:rsidRPr="002029AF">
        <w:t>needs,</w:t>
      </w:r>
      <w:r w:rsidR="000A5329" w:rsidRPr="002029AF">
        <w:t xml:space="preserve"> </w:t>
      </w:r>
      <w:r w:rsidRPr="002029AF">
        <w:t>be</w:t>
      </w:r>
      <w:r w:rsidR="000A5329" w:rsidRPr="002029AF">
        <w:t xml:space="preserve"> </w:t>
      </w:r>
      <w:r w:rsidRPr="002029AF">
        <w:t>more</w:t>
      </w:r>
      <w:r w:rsidR="000A5329" w:rsidRPr="002029AF">
        <w:t xml:space="preserve"> </w:t>
      </w:r>
      <w:r w:rsidRPr="002029AF">
        <w:t>engaged</w:t>
      </w:r>
      <w:r w:rsidR="000A5329" w:rsidRPr="002029AF">
        <w:t xml:space="preserve"> </w:t>
      </w:r>
      <w:r w:rsidRPr="002029AF">
        <w:t>in</w:t>
      </w:r>
      <w:r w:rsidR="000A5329" w:rsidRPr="002029AF">
        <w:t xml:space="preserve"> </w:t>
      </w:r>
      <w:r w:rsidRPr="002029AF">
        <w:t>their</w:t>
      </w:r>
      <w:r w:rsidR="000A5329" w:rsidRPr="002029AF">
        <w:t xml:space="preserve"> </w:t>
      </w:r>
      <w:r w:rsidRPr="002029AF">
        <w:t>care</w:t>
      </w:r>
      <w:r w:rsidR="000A5329" w:rsidRPr="002029AF">
        <w:t xml:space="preserve"> </w:t>
      </w:r>
      <w:r w:rsidRPr="002029AF">
        <w:t>and</w:t>
      </w:r>
      <w:r w:rsidR="000A5329" w:rsidRPr="002029AF">
        <w:t xml:space="preserve"> </w:t>
      </w:r>
      <w:r w:rsidRPr="002029AF">
        <w:t>be</w:t>
      </w:r>
      <w:r w:rsidR="000A5329" w:rsidRPr="002029AF">
        <w:t xml:space="preserve"> </w:t>
      </w:r>
      <w:r w:rsidRPr="002029AF">
        <w:t>more</w:t>
      </w:r>
      <w:r w:rsidR="000A5329" w:rsidRPr="002029AF">
        <w:t xml:space="preserve"> </w:t>
      </w:r>
      <w:r w:rsidRPr="002029AF">
        <w:t>motivated</w:t>
      </w:r>
      <w:r w:rsidR="000A5329" w:rsidRPr="002029AF">
        <w:t xml:space="preserve"> </w:t>
      </w:r>
      <w:r w:rsidRPr="002029AF">
        <w:t>and</w:t>
      </w:r>
      <w:r w:rsidR="000A5329" w:rsidRPr="002029AF">
        <w:t xml:space="preserve"> </w:t>
      </w:r>
      <w:r w:rsidRPr="002029AF">
        <w:t>empowered</w:t>
      </w:r>
      <w:r w:rsidR="000A5329" w:rsidRPr="002029AF">
        <w:t xml:space="preserve"> </w:t>
      </w:r>
      <w:r w:rsidRPr="002029AF">
        <w:t>to</w:t>
      </w:r>
      <w:r w:rsidR="000A5329" w:rsidRPr="002029AF">
        <w:t xml:space="preserve"> </w:t>
      </w:r>
      <w:r w:rsidRPr="002029AF">
        <w:t>make</w:t>
      </w:r>
      <w:r w:rsidR="000A5329" w:rsidRPr="002029AF">
        <w:t xml:space="preserve"> </w:t>
      </w:r>
      <w:r w:rsidRPr="002029AF">
        <w:t>changes</w:t>
      </w:r>
      <w:r w:rsidR="000A5329" w:rsidRPr="002029AF">
        <w:t xml:space="preserve"> </w:t>
      </w:r>
      <w:r w:rsidRPr="002029AF">
        <w:t>in</w:t>
      </w:r>
      <w:r w:rsidR="000A5329" w:rsidRPr="002029AF">
        <w:t xml:space="preserve"> </w:t>
      </w:r>
      <w:r w:rsidRPr="002029AF">
        <w:t>their</w:t>
      </w:r>
      <w:r w:rsidR="000A5329" w:rsidRPr="002029AF">
        <w:t xml:space="preserve"> </w:t>
      </w:r>
      <w:r w:rsidRPr="002029AF">
        <w:t>own</w:t>
      </w:r>
      <w:r w:rsidR="000A5329" w:rsidRPr="002029AF">
        <w:t xml:space="preserve"> </w:t>
      </w:r>
      <w:r w:rsidRPr="002029AF">
        <w:t>lives.</w:t>
      </w:r>
    </w:p>
    <w:p w14:paraId="36F69E4C" w14:textId="1C0367AE" w:rsidR="000A5329" w:rsidRPr="002029AF" w:rsidRDefault="00770DE1" w:rsidP="00D271CB">
      <w:pPr>
        <w:pStyle w:val="ARbody"/>
      </w:pPr>
      <w:r w:rsidRPr="002029AF">
        <w:t>We</w:t>
      </w:r>
      <w:r w:rsidR="000A5329" w:rsidRPr="002029AF">
        <w:t xml:space="preserve"> </w:t>
      </w:r>
      <w:r w:rsidRPr="002029AF">
        <w:t>are</w:t>
      </w:r>
      <w:r w:rsidR="000A5329" w:rsidRPr="002029AF">
        <w:t xml:space="preserve"> </w:t>
      </w:r>
      <w:r w:rsidRPr="002029AF">
        <w:t>committed</w:t>
      </w:r>
      <w:r w:rsidR="000A5329" w:rsidRPr="002029AF">
        <w:t xml:space="preserve"> </w:t>
      </w:r>
      <w:r w:rsidRPr="002029AF">
        <w:t>to</w:t>
      </w:r>
      <w:r w:rsidR="000A5329" w:rsidRPr="002029AF">
        <w:t xml:space="preserve"> </w:t>
      </w:r>
      <w:r w:rsidRPr="002029AF">
        <w:t>elevating</w:t>
      </w:r>
      <w:r w:rsidR="000A5329" w:rsidRPr="002029AF">
        <w:t xml:space="preserve"> </w:t>
      </w:r>
      <w:r w:rsidRPr="002029AF">
        <w:t>clients,</w:t>
      </w:r>
      <w:r w:rsidR="000A5329" w:rsidRPr="002029AF">
        <w:t xml:space="preserve"> </w:t>
      </w:r>
      <w:r w:rsidRPr="002029AF">
        <w:t>patients,</w:t>
      </w:r>
      <w:r w:rsidR="000A5329" w:rsidRPr="002029AF">
        <w:t xml:space="preserve"> </w:t>
      </w:r>
      <w:r w:rsidRPr="002029AF">
        <w:t>carers</w:t>
      </w:r>
      <w:r w:rsidR="000A5329" w:rsidRPr="002029AF">
        <w:t xml:space="preserve"> </w:t>
      </w:r>
      <w:r w:rsidRPr="002029AF">
        <w:t>and</w:t>
      </w:r>
      <w:r w:rsidR="000A5329" w:rsidRPr="002029AF">
        <w:t xml:space="preserve"> </w:t>
      </w:r>
      <w:r w:rsidRPr="002029AF">
        <w:t>families</w:t>
      </w:r>
      <w:r w:rsidR="000A5329" w:rsidRPr="002029AF">
        <w:t xml:space="preserve"> </w:t>
      </w:r>
      <w:r w:rsidR="00D25E8C" w:rsidRPr="002029AF">
        <w:t>so</w:t>
      </w:r>
      <w:r w:rsidR="000A5329" w:rsidRPr="002029AF">
        <w:t xml:space="preserve"> </w:t>
      </w:r>
      <w:r w:rsidR="00D25E8C" w:rsidRPr="002029AF">
        <w:t>that</w:t>
      </w:r>
      <w:r w:rsidR="000A5329" w:rsidRPr="002029AF">
        <w:t xml:space="preserve"> </w:t>
      </w:r>
      <w:r w:rsidR="00D25E8C" w:rsidRPr="002029AF">
        <w:t>they</w:t>
      </w:r>
      <w:r w:rsidR="000A5329" w:rsidRPr="002029AF">
        <w:t xml:space="preserve"> </w:t>
      </w:r>
      <w:r w:rsidR="00D25E8C" w:rsidRPr="002029AF">
        <w:t>are</w:t>
      </w:r>
      <w:r w:rsidR="000A5329" w:rsidRPr="002029AF">
        <w:t xml:space="preserve"> </w:t>
      </w:r>
      <w:r w:rsidR="00D25E8C" w:rsidRPr="002029AF">
        <w:t>at</w:t>
      </w:r>
      <w:r w:rsidR="000A5329" w:rsidRPr="002029AF">
        <w:t xml:space="preserve"> </w:t>
      </w:r>
      <w:r w:rsidRPr="002029AF">
        <w:t>the</w:t>
      </w:r>
      <w:r w:rsidR="000A5329" w:rsidRPr="002029AF">
        <w:t xml:space="preserve"> </w:t>
      </w:r>
      <w:r w:rsidRPr="002029AF">
        <w:t>centre</w:t>
      </w:r>
      <w:r w:rsidR="000A5329" w:rsidRPr="002029AF">
        <w:t xml:space="preserve"> </w:t>
      </w:r>
      <w:r w:rsidRPr="002029AF">
        <w:t>of</w:t>
      </w:r>
      <w:r w:rsidR="00B97ABC" w:rsidRPr="002029AF">
        <w:t> </w:t>
      </w:r>
      <w:r w:rsidRPr="002029AF">
        <w:t>our</w:t>
      </w:r>
      <w:r w:rsidR="000A5329" w:rsidRPr="002029AF">
        <w:t xml:space="preserve"> </w:t>
      </w:r>
      <w:r w:rsidRPr="002029AF">
        <w:t>service</w:t>
      </w:r>
      <w:r w:rsidR="000A5329" w:rsidRPr="002029AF">
        <w:t xml:space="preserve"> </w:t>
      </w:r>
      <w:r w:rsidRPr="002029AF">
        <w:t>and</w:t>
      </w:r>
      <w:r w:rsidR="000A5329" w:rsidRPr="002029AF">
        <w:t xml:space="preserve"> </w:t>
      </w:r>
      <w:r w:rsidRPr="002029AF">
        <w:t>policy</w:t>
      </w:r>
      <w:r w:rsidR="000A5329" w:rsidRPr="002029AF">
        <w:t xml:space="preserve"> </w:t>
      </w:r>
      <w:r w:rsidRPr="002029AF">
        <w:t>development</w:t>
      </w:r>
      <w:r w:rsidR="000A5329" w:rsidRPr="002029AF">
        <w:t xml:space="preserve"> </w:t>
      </w:r>
      <w:r w:rsidRPr="002029AF">
        <w:t>processes.</w:t>
      </w:r>
    </w:p>
    <w:p w14:paraId="2859436B" w14:textId="257601CC" w:rsidR="000A5329" w:rsidRPr="002029AF" w:rsidRDefault="00770DE1" w:rsidP="00D271CB">
      <w:pPr>
        <w:pStyle w:val="ARbody"/>
      </w:pPr>
      <w:r w:rsidRPr="002029AF">
        <w:t>We</w:t>
      </w:r>
      <w:r w:rsidR="000A5329" w:rsidRPr="002029AF">
        <w:t xml:space="preserve"> </w:t>
      </w:r>
      <w:r w:rsidR="00D25E8C" w:rsidRPr="002029AF">
        <w:t>are</w:t>
      </w:r>
      <w:r w:rsidR="000A5329" w:rsidRPr="002029AF">
        <w:t xml:space="preserve"> </w:t>
      </w:r>
      <w:r w:rsidRPr="002029AF">
        <w:t>engag</w:t>
      </w:r>
      <w:r w:rsidR="002904D1" w:rsidRPr="002029AF">
        <w:t>ing</w:t>
      </w:r>
      <w:r w:rsidR="000A5329" w:rsidRPr="002029AF">
        <w:t xml:space="preserve"> </w:t>
      </w:r>
      <w:r w:rsidRPr="002029AF">
        <w:t>with</w:t>
      </w:r>
      <w:r w:rsidR="000A5329" w:rsidRPr="002029AF">
        <w:t xml:space="preserve"> </w:t>
      </w:r>
      <w:r w:rsidRPr="002029AF">
        <w:t>patients</w:t>
      </w:r>
      <w:r w:rsidR="000A5329" w:rsidRPr="002029AF">
        <w:t xml:space="preserve"> </w:t>
      </w:r>
      <w:r w:rsidRPr="002029AF">
        <w:t>and</w:t>
      </w:r>
      <w:r w:rsidR="000A5329" w:rsidRPr="002029AF">
        <w:t xml:space="preserve"> </w:t>
      </w:r>
      <w:r w:rsidRPr="002029AF">
        <w:t>clients</w:t>
      </w:r>
      <w:r w:rsidR="000A5329" w:rsidRPr="002029AF">
        <w:t xml:space="preserve"> </w:t>
      </w:r>
      <w:r w:rsidRPr="002029AF">
        <w:t>more</w:t>
      </w:r>
      <w:r w:rsidR="000A5329" w:rsidRPr="002029AF">
        <w:t xml:space="preserve"> </w:t>
      </w:r>
      <w:r w:rsidRPr="002029AF">
        <w:t>than</w:t>
      </w:r>
      <w:r w:rsidR="000A5329" w:rsidRPr="002029AF">
        <w:t xml:space="preserve"> </w:t>
      </w:r>
      <w:r w:rsidRPr="002029AF">
        <w:t>ever</w:t>
      </w:r>
      <w:r w:rsidR="000A5329" w:rsidRPr="002029AF">
        <w:t xml:space="preserve"> </w:t>
      </w:r>
      <w:r w:rsidRPr="002029AF">
        <w:t>before</w:t>
      </w:r>
      <w:r w:rsidR="000A5329" w:rsidRPr="002029AF">
        <w:t xml:space="preserve"> </w:t>
      </w:r>
      <w:r w:rsidRPr="002029AF">
        <w:t>–</w:t>
      </w:r>
      <w:r w:rsidR="000A5329" w:rsidRPr="002029AF">
        <w:t xml:space="preserve"> </w:t>
      </w:r>
      <w:r w:rsidRPr="002029AF">
        <w:t>while</w:t>
      </w:r>
      <w:r w:rsidR="000A5329" w:rsidRPr="002029AF">
        <w:t xml:space="preserve"> </w:t>
      </w:r>
      <w:r w:rsidRPr="002029AF">
        <w:t>supporting</w:t>
      </w:r>
      <w:r w:rsidR="000A5329" w:rsidRPr="002029AF">
        <w:t xml:space="preserve"> </w:t>
      </w:r>
      <w:r w:rsidRPr="002029AF">
        <w:t>them</w:t>
      </w:r>
      <w:r w:rsidR="000A5329" w:rsidRPr="002029AF">
        <w:t xml:space="preserve"> </w:t>
      </w:r>
      <w:r w:rsidRPr="002029AF">
        <w:t>to</w:t>
      </w:r>
      <w:r w:rsidR="000A5329" w:rsidRPr="002029AF">
        <w:t xml:space="preserve"> </w:t>
      </w:r>
      <w:r w:rsidRPr="002029AF">
        <w:t>take</w:t>
      </w:r>
      <w:r w:rsidR="000A5329" w:rsidRPr="002029AF">
        <w:t xml:space="preserve"> </w:t>
      </w:r>
      <w:r w:rsidRPr="002029AF">
        <w:t>up</w:t>
      </w:r>
      <w:r w:rsidR="009950F3">
        <w:t> </w:t>
      </w:r>
      <w:r w:rsidRPr="002029AF">
        <w:t>opportunities</w:t>
      </w:r>
      <w:r w:rsidR="000A5329" w:rsidRPr="002029AF">
        <w:t xml:space="preserve"> </w:t>
      </w:r>
      <w:r w:rsidRPr="002029AF">
        <w:t>to</w:t>
      </w:r>
      <w:r w:rsidR="000A5329" w:rsidRPr="002029AF">
        <w:t xml:space="preserve"> </w:t>
      </w:r>
      <w:r w:rsidRPr="002029AF">
        <w:t>be</w:t>
      </w:r>
      <w:r w:rsidR="000A5329" w:rsidRPr="002029AF">
        <w:t xml:space="preserve"> </w:t>
      </w:r>
      <w:r w:rsidRPr="002029AF">
        <w:t>active</w:t>
      </w:r>
      <w:r w:rsidR="000A5329" w:rsidRPr="002029AF">
        <w:t xml:space="preserve"> </w:t>
      </w:r>
      <w:r w:rsidRPr="002029AF">
        <w:t>partners</w:t>
      </w:r>
      <w:r w:rsidR="000A5329" w:rsidRPr="002029AF">
        <w:t xml:space="preserve"> </w:t>
      </w:r>
      <w:r w:rsidRPr="002029AF">
        <w:t>in</w:t>
      </w:r>
      <w:r w:rsidR="000A5329" w:rsidRPr="002029AF">
        <w:t xml:space="preserve"> </w:t>
      </w:r>
      <w:r w:rsidRPr="002029AF">
        <w:t>their</w:t>
      </w:r>
      <w:r w:rsidR="000A5329" w:rsidRPr="002029AF">
        <w:t xml:space="preserve"> </w:t>
      </w:r>
      <w:r w:rsidRPr="002029AF">
        <w:t>own</w:t>
      </w:r>
      <w:r w:rsidR="000A5329" w:rsidRPr="002029AF">
        <w:t xml:space="preserve"> </w:t>
      </w:r>
      <w:r w:rsidRPr="002029AF">
        <w:t>care.</w:t>
      </w:r>
    </w:p>
    <w:p w14:paraId="4BFD51D6" w14:textId="52724EF6" w:rsidR="00770DE1" w:rsidRPr="002029AF" w:rsidRDefault="00770DE1" w:rsidP="00D271CB">
      <w:pPr>
        <w:pStyle w:val="ARbody"/>
      </w:pPr>
      <w:r w:rsidRPr="002029AF">
        <w:t>Over</w:t>
      </w:r>
      <w:r w:rsidR="000A5329" w:rsidRPr="002029AF">
        <w:t xml:space="preserve"> </w:t>
      </w:r>
      <w:r w:rsidRPr="002029AF">
        <w:t>the</w:t>
      </w:r>
      <w:r w:rsidR="000A5329" w:rsidRPr="002029AF">
        <w:t xml:space="preserve"> </w:t>
      </w:r>
      <w:r w:rsidRPr="002029AF">
        <w:t>past</w:t>
      </w:r>
      <w:r w:rsidR="000A5329" w:rsidRPr="002029AF">
        <w:t xml:space="preserve"> </w:t>
      </w:r>
      <w:r w:rsidRPr="002029AF">
        <w:t>12</w:t>
      </w:r>
      <w:r w:rsidR="000A5329" w:rsidRPr="002029AF">
        <w:t xml:space="preserve"> </w:t>
      </w:r>
      <w:r w:rsidRPr="002029AF">
        <w:t>months,</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and</w:t>
      </w:r>
      <w:r w:rsidR="000A5329" w:rsidRPr="002029AF">
        <w:t xml:space="preserve"> </w:t>
      </w:r>
      <w:r w:rsidRPr="002029AF">
        <w:t>its</w:t>
      </w:r>
      <w:r w:rsidR="000A5329" w:rsidRPr="002029AF">
        <w:t xml:space="preserve"> </w:t>
      </w:r>
      <w:r w:rsidRPr="002029AF">
        <w:t>agencies</w:t>
      </w:r>
      <w:r w:rsidR="000A5329" w:rsidRPr="002029AF">
        <w:t xml:space="preserve"> </w:t>
      </w:r>
      <w:r w:rsidRPr="002029AF">
        <w:t>have</w:t>
      </w:r>
      <w:r w:rsidR="000A5329" w:rsidRPr="002029AF">
        <w:t xml:space="preserve"> </w:t>
      </w:r>
      <w:r w:rsidRPr="002029AF">
        <w:t>continued</w:t>
      </w:r>
      <w:r w:rsidR="000A5329" w:rsidRPr="002029AF">
        <w:t xml:space="preserve"> </w:t>
      </w:r>
      <w:r w:rsidRPr="002029AF">
        <w:t>to</w:t>
      </w:r>
      <w:r w:rsidR="000A5329" w:rsidRPr="002029AF">
        <w:t xml:space="preserve"> </w:t>
      </w:r>
      <w:r w:rsidRPr="002029AF">
        <w:t>progress</w:t>
      </w:r>
      <w:r w:rsidR="000A5329" w:rsidRPr="002029AF">
        <w:t xml:space="preserve"> </w:t>
      </w:r>
      <w:r w:rsidRPr="002029AF">
        <w:t>this</w:t>
      </w:r>
      <w:r w:rsidR="000A5329" w:rsidRPr="002029AF">
        <w:t xml:space="preserve"> </w:t>
      </w:r>
      <w:r w:rsidRPr="002029AF">
        <w:t>strategic</w:t>
      </w:r>
      <w:r w:rsidR="000A5329" w:rsidRPr="002029AF">
        <w:t xml:space="preserve"> </w:t>
      </w:r>
      <w:r w:rsidRPr="002029AF">
        <w:t>direction.</w:t>
      </w:r>
      <w:r w:rsidR="000A5329" w:rsidRPr="002029AF">
        <w:t xml:space="preserve"> </w:t>
      </w:r>
      <w:r w:rsidRPr="002029AF">
        <w:t>Some</w:t>
      </w:r>
      <w:r w:rsidR="000A5329" w:rsidRPr="002029AF">
        <w:t xml:space="preserve"> </w:t>
      </w:r>
      <w:r w:rsidRPr="002029AF">
        <w:t>examples</w:t>
      </w:r>
      <w:r w:rsidR="000A5329" w:rsidRPr="002029AF">
        <w:t xml:space="preserve"> </w:t>
      </w:r>
      <w:r w:rsidRPr="002029AF">
        <w:t>are</w:t>
      </w:r>
      <w:r w:rsidR="000A5329" w:rsidRPr="002029AF">
        <w:t xml:space="preserve"> </w:t>
      </w:r>
      <w:r w:rsidRPr="002029AF">
        <w:t>detailed</w:t>
      </w:r>
      <w:r w:rsidR="000A5329" w:rsidRPr="002029AF">
        <w:t xml:space="preserve"> </w:t>
      </w:r>
      <w:r w:rsidRPr="002029AF">
        <w:t>below.</w:t>
      </w:r>
    </w:p>
    <w:p w14:paraId="5039591B" w14:textId="20F940B4" w:rsidR="00770DE1" w:rsidRPr="002029AF" w:rsidRDefault="00770DE1" w:rsidP="001E768A">
      <w:pPr>
        <w:pStyle w:val="ARbullet1"/>
      </w:pPr>
      <w:r w:rsidRPr="002029AF">
        <w:t>The</w:t>
      </w:r>
      <w:r w:rsidR="000A5329" w:rsidRPr="002029AF">
        <w:t xml:space="preserve"> </w:t>
      </w:r>
      <w:r w:rsidRPr="002029AF">
        <w:t>Client</w:t>
      </w:r>
      <w:r w:rsidR="000A5329" w:rsidRPr="002029AF">
        <w:t xml:space="preserve"> </w:t>
      </w:r>
      <w:r w:rsidRPr="002029AF">
        <w:t>voice</w:t>
      </w:r>
      <w:r w:rsidR="000A5329" w:rsidRPr="002029AF">
        <w:t xml:space="preserve"> </w:t>
      </w:r>
      <w:r w:rsidRPr="002029AF">
        <w:t>framework</w:t>
      </w:r>
      <w:r w:rsidR="000A5329" w:rsidRPr="002029AF">
        <w:t xml:space="preserve"> </w:t>
      </w:r>
      <w:r w:rsidRPr="002029AF">
        <w:t>for</w:t>
      </w:r>
      <w:r w:rsidR="000A5329" w:rsidRPr="002029AF">
        <w:t xml:space="preserve"> </w:t>
      </w:r>
      <w:r w:rsidRPr="002029AF">
        <w:t>community</w:t>
      </w:r>
      <w:r w:rsidR="000A5329" w:rsidRPr="002029AF">
        <w:t xml:space="preserve"> </w:t>
      </w:r>
      <w:r w:rsidRPr="002029AF">
        <w:t>services</w:t>
      </w:r>
      <w:r w:rsidR="000A5329" w:rsidRPr="002029AF">
        <w:t xml:space="preserve"> </w:t>
      </w:r>
      <w:r w:rsidRPr="002029AF">
        <w:t>was</w:t>
      </w:r>
      <w:r w:rsidR="000A5329" w:rsidRPr="002029AF">
        <w:t xml:space="preserve"> </w:t>
      </w:r>
      <w:r w:rsidRPr="002029AF">
        <w:t>released</w:t>
      </w:r>
      <w:r w:rsidR="000A5329" w:rsidRPr="002029AF">
        <w:t xml:space="preserve"> </w:t>
      </w:r>
      <w:r w:rsidRPr="002029AF">
        <w:t>on</w:t>
      </w:r>
      <w:r w:rsidR="000A5329" w:rsidRPr="002029AF">
        <w:t xml:space="preserve"> </w:t>
      </w:r>
      <w:r w:rsidRPr="002029AF">
        <w:t>7</w:t>
      </w:r>
      <w:r w:rsidR="000A5329" w:rsidRPr="002029AF">
        <w:t xml:space="preserve"> </w:t>
      </w:r>
      <w:r w:rsidRPr="002029AF">
        <w:t>November</w:t>
      </w:r>
      <w:r w:rsidR="000A5329" w:rsidRPr="002029AF">
        <w:t xml:space="preserve"> </w:t>
      </w:r>
      <w:r w:rsidRPr="002029AF">
        <w:t>2019.</w:t>
      </w:r>
      <w:r w:rsidR="000A5329" w:rsidRPr="002029AF">
        <w:t xml:space="preserve"> </w:t>
      </w:r>
      <w:r w:rsidRPr="002029AF">
        <w:t>The</w:t>
      </w:r>
      <w:r w:rsidR="000A5329" w:rsidRPr="002029AF">
        <w:t xml:space="preserve"> </w:t>
      </w:r>
      <w:r w:rsidRPr="002029AF">
        <w:t>framework</w:t>
      </w:r>
      <w:r w:rsidR="000A5329" w:rsidRPr="002029AF">
        <w:t xml:space="preserve"> </w:t>
      </w:r>
      <w:r w:rsidRPr="002029AF">
        <w:t>was</w:t>
      </w:r>
      <w:r w:rsidR="000A5329" w:rsidRPr="002029AF">
        <w:t xml:space="preserve"> </w:t>
      </w:r>
      <w:r w:rsidRPr="002029AF">
        <w:t>written</w:t>
      </w:r>
      <w:r w:rsidR="000A5329" w:rsidRPr="002029AF">
        <w:t xml:space="preserve"> </w:t>
      </w:r>
      <w:r w:rsidRPr="002029AF">
        <w:t>with</w:t>
      </w:r>
      <w:r w:rsidR="000A5329" w:rsidRPr="002029AF">
        <w:t xml:space="preserve"> </w:t>
      </w:r>
      <w:r w:rsidRPr="002029AF">
        <w:t>the</w:t>
      </w:r>
      <w:r w:rsidR="000A5329" w:rsidRPr="002029AF">
        <w:t xml:space="preserve"> </w:t>
      </w:r>
      <w:r w:rsidRPr="002029AF">
        <w:t>help</w:t>
      </w:r>
      <w:r w:rsidR="000A5329" w:rsidRPr="002029AF">
        <w:t xml:space="preserve"> </w:t>
      </w:r>
      <w:r w:rsidRPr="002029AF">
        <w:t>of</w:t>
      </w:r>
      <w:r w:rsidR="000A5329" w:rsidRPr="002029AF">
        <w:t xml:space="preserve"> </w:t>
      </w:r>
      <w:r w:rsidRPr="002029AF">
        <w:t>people</w:t>
      </w:r>
      <w:r w:rsidR="000A5329" w:rsidRPr="002029AF">
        <w:t xml:space="preserve"> </w:t>
      </w:r>
      <w:r w:rsidRPr="002029AF">
        <w:t>who</w:t>
      </w:r>
      <w:r w:rsidR="000A5329" w:rsidRPr="002029AF">
        <w:t xml:space="preserve"> </w:t>
      </w:r>
      <w:r w:rsidRPr="002029AF">
        <w:t>have</w:t>
      </w:r>
      <w:r w:rsidR="000A5329" w:rsidRPr="002029AF">
        <w:t xml:space="preserve"> </w:t>
      </w:r>
      <w:r w:rsidRPr="002029AF">
        <w:t>received</w:t>
      </w:r>
      <w:r w:rsidR="000A5329" w:rsidRPr="002029AF">
        <w:t xml:space="preserve"> </w:t>
      </w:r>
      <w:r w:rsidRPr="002029AF">
        <w:t>care</w:t>
      </w:r>
      <w:r w:rsidR="000A5329" w:rsidRPr="002029AF">
        <w:t xml:space="preserve"> </w:t>
      </w:r>
      <w:r w:rsidRPr="002029AF">
        <w:t>and</w:t>
      </w:r>
      <w:r w:rsidR="000A5329" w:rsidRPr="002029AF">
        <w:t xml:space="preserve"> </w:t>
      </w:r>
      <w:r w:rsidRPr="002029AF">
        <w:t>support</w:t>
      </w:r>
      <w:r w:rsidR="000A5329" w:rsidRPr="002029AF">
        <w:t xml:space="preserve"> </w:t>
      </w:r>
      <w:r w:rsidRPr="002029AF">
        <w:t>through</w:t>
      </w:r>
      <w:r w:rsidR="000A5329" w:rsidRPr="002029AF">
        <w:t xml:space="preserve"> </w:t>
      </w:r>
      <w:r w:rsidRPr="002029AF">
        <w:t>community</w:t>
      </w:r>
      <w:r w:rsidR="000A5329" w:rsidRPr="002029AF">
        <w:t xml:space="preserve"> </w:t>
      </w:r>
      <w:r w:rsidRPr="002029AF">
        <w:t>services,</w:t>
      </w:r>
      <w:r w:rsidR="000A5329" w:rsidRPr="002029AF">
        <w:t xml:space="preserve"> </w:t>
      </w:r>
      <w:r w:rsidR="002904D1" w:rsidRPr="002029AF">
        <w:t>so</w:t>
      </w:r>
      <w:r w:rsidR="000A5329" w:rsidRPr="002029AF">
        <w:t xml:space="preserve"> </w:t>
      </w:r>
      <w:r w:rsidR="002904D1" w:rsidRPr="002029AF">
        <w:t>that</w:t>
      </w:r>
      <w:r w:rsidR="000A5329" w:rsidRPr="002029AF">
        <w:t xml:space="preserve"> </w:t>
      </w:r>
      <w:r w:rsidRPr="002029AF">
        <w:t>every</w:t>
      </w:r>
      <w:r w:rsidR="000A5329" w:rsidRPr="002029AF">
        <w:t xml:space="preserve"> </w:t>
      </w:r>
      <w:r w:rsidRPr="002029AF">
        <w:t>worker</w:t>
      </w:r>
      <w:r w:rsidR="000A5329" w:rsidRPr="002029AF">
        <w:t xml:space="preserve"> </w:t>
      </w:r>
      <w:r w:rsidRPr="002029AF">
        <w:t>in</w:t>
      </w:r>
      <w:r w:rsidR="000A5329" w:rsidRPr="002029AF">
        <w:t xml:space="preserve"> </w:t>
      </w:r>
      <w:r w:rsidRPr="002029AF">
        <w:t>the</w:t>
      </w:r>
      <w:r w:rsidR="000A5329" w:rsidRPr="002029AF">
        <w:t xml:space="preserve"> </w:t>
      </w:r>
      <w:r w:rsidRPr="002029AF">
        <w:t>state</w:t>
      </w:r>
      <w:r w:rsidR="000A5329" w:rsidRPr="002029AF">
        <w:t xml:space="preserve"> </w:t>
      </w:r>
      <w:r w:rsidR="007C1048" w:rsidRPr="002029AF">
        <w:t>can</w:t>
      </w:r>
      <w:r w:rsidR="000A5329" w:rsidRPr="002029AF">
        <w:t xml:space="preserve"> </w:t>
      </w:r>
      <w:r w:rsidRPr="002029AF">
        <w:t>learn</w:t>
      </w:r>
      <w:r w:rsidR="000A5329" w:rsidRPr="002029AF">
        <w:t xml:space="preserve"> </w:t>
      </w:r>
      <w:r w:rsidRPr="002029AF">
        <w:t>from</w:t>
      </w:r>
      <w:r w:rsidR="000A5329" w:rsidRPr="002029AF">
        <w:t xml:space="preserve"> </w:t>
      </w:r>
      <w:r w:rsidRPr="002029AF">
        <w:t>their</w:t>
      </w:r>
      <w:r w:rsidR="000A5329" w:rsidRPr="002029AF">
        <w:t xml:space="preserve"> </w:t>
      </w:r>
      <w:r w:rsidRPr="002029AF">
        <w:t>experiences.</w:t>
      </w:r>
      <w:r w:rsidR="000A5329" w:rsidRPr="002029AF">
        <w:t xml:space="preserve"> </w:t>
      </w:r>
      <w:r w:rsidRPr="002029AF">
        <w:t>The</w:t>
      </w:r>
      <w:r w:rsidR="000A5329" w:rsidRPr="002029AF">
        <w:t xml:space="preserve"> </w:t>
      </w:r>
      <w:r w:rsidRPr="002029AF">
        <w:t>framework</w:t>
      </w:r>
      <w:r w:rsidR="000A5329" w:rsidRPr="002029AF">
        <w:t xml:space="preserve"> </w:t>
      </w:r>
      <w:r w:rsidRPr="002029AF">
        <w:t>will</w:t>
      </w:r>
      <w:r w:rsidR="000A5329" w:rsidRPr="002029AF">
        <w:t xml:space="preserve"> </w:t>
      </w:r>
      <w:r w:rsidRPr="002029AF">
        <w:t>help</w:t>
      </w:r>
      <w:r w:rsidR="000A5329" w:rsidRPr="002029AF">
        <w:t xml:space="preserve"> </w:t>
      </w:r>
      <w:r w:rsidRPr="002029AF">
        <w:t>ensure</w:t>
      </w:r>
      <w:r w:rsidR="000A5329" w:rsidRPr="002029AF">
        <w:t xml:space="preserve"> </w:t>
      </w:r>
      <w:r w:rsidRPr="002029AF">
        <w:t>the</w:t>
      </w:r>
      <w:r w:rsidR="00020FE5">
        <w:t> </w:t>
      </w:r>
      <w:r w:rsidRPr="002029AF">
        <w:t>voice</w:t>
      </w:r>
      <w:r w:rsidR="000A5329" w:rsidRPr="002029AF">
        <w:t xml:space="preserve"> </w:t>
      </w:r>
      <w:r w:rsidRPr="002029AF">
        <w:t>of</w:t>
      </w:r>
      <w:r w:rsidR="000A5329" w:rsidRPr="002029AF">
        <w:t xml:space="preserve"> </w:t>
      </w:r>
      <w:r w:rsidRPr="002029AF">
        <w:t>the</w:t>
      </w:r>
      <w:r w:rsidR="000A5329" w:rsidRPr="002029AF">
        <w:t xml:space="preserve"> </w:t>
      </w:r>
      <w:r w:rsidRPr="002029AF">
        <w:t>client</w:t>
      </w:r>
      <w:r w:rsidR="000A5329" w:rsidRPr="002029AF">
        <w:t xml:space="preserve"> </w:t>
      </w:r>
      <w:r w:rsidRPr="002029AF">
        <w:t>is</w:t>
      </w:r>
      <w:r w:rsidR="000A5329" w:rsidRPr="002029AF">
        <w:t xml:space="preserve"> </w:t>
      </w:r>
      <w:r w:rsidRPr="002029AF">
        <w:t>front</w:t>
      </w:r>
      <w:r w:rsidR="000A5329" w:rsidRPr="002029AF">
        <w:t xml:space="preserve"> </w:t>
      </w:r>
      <w:r w:rsidRPr="002029AF">
        <w:t>and</w:t>
      </w:r>
      <w:r w:rsidR="000A5329" w:rsidRPr="002029AF">
        <w:t xml:space="preserve"> </w:t>
      </w:r>
      <w:r w:rsidRPr="002029AF">
        <w:t>centre</w:t>
      </w:r>
      <w:r w:rsidR="000A5329" w:rsidRPr="002029AF">
        <w:t xml:space="preserve"> </w:t>
      </w:r>
      <w:r w:rsidRPr="002029AF">
        <w:t>in</w:t>
      </w:r>
      <w:r w:rsidR="000A5329" w:rsidRPr="002029AF">
        <w:t xml:space="preserve"> </w:t>
      </w:r>
      <w:r w:rsidRPr="002029AF">
        <w:t>all</w:t>
      </w:r>
      <w:r w:rsidR="00020FE5">
        <w:t> </w:t>
      </w:r>
      <w:r w:rsidRPr="002029AF">
        <w:t>the</w:t>
      </w:r>
      <w:r w:rsidR="000A5329" w:rsidRPr="002029AF">
        <w:t xml:space="preserve"> </w:t>
      </w:r>
      <w:r w:rsidRPr="002029AF">
        <w:t>work</w:t>
      </w:r>
      <w:r w:rsidR="000A5329" w:rsidRPr="002029AF">
        <w:t xml:space="preserve"> </w:t>
      </w:r>
      <w:r w:rsidRPr="002029AF">
        <w:t>we</w:t>
      </w:r>
      <w:r w:rsidR="000A5329" w:rsidRPr="002029AF">
        <w:t xml:space="preserve"> </w:t>
      </w:r>
      <w:r w:rsidRPr="002029AF">
        <w:t>do</w:t>
      </w:r>
      <w:r w:rsidR="000A5329" w:rsidRPr="002029AF">
        <w:t xml:space="preserve"> </w:t>
      </w:r>
      <w:r w:rsidRPr="002029AF">
        <w:t>–</w:t>
      </w:r>
      <w:r w:rsidR="000A5329" w:rsidRPr="002029AF">
        <w:t xml:space="preserve"> </w:t>
      </w:r>
      <w:r w:rsidRPr="002029AF">
        <w:t>and</w:t>
      </w:r>
      <w:r w:rsidR="000A5329" w:rsidRPr="002029AF">
        <w:t xml:space="preserve"> </w:t>
      </w:r>
      <w:r w:rsidRPr="002029AF">
        <w:t>as</w:t>
      </w:r>
      <w:r w:rsidR="000A5329" w:rsidRPr="002029AF">
        <w:t xml:space="preserve"> </w:t>
      </w:r>
      <w:r w:rsidRPr="002029AF">
        <w:t>a</w:t>
      </w:r>
      <w:r w:rsidR="000A5329" w:rsidRPr="002029AF">
        <w:t xml:space="preserve"> </w:t>
      </w:r>
      <w:r w:rsidRPr="002029AF">
        <w:t>result,</w:t>
      </w:r>
      <w:r w:rsidR="000A5329" w:rsidRPr="002029AF">
        <w:t xml:space="preserve"> </w:t>
      </w:r>
      <w:r w:rsidRPr="002029AF">
        <w:t>improve</w:t>
      </w:r>
      <w:r w:rsidR="000A5329" w:rsidRPr="002029AF">
        <w:t xml:space="preserve"> </w:t>
      </w:r>
      <w:r w:rsidRPr="002029AF">
        <w:t>the</w:t>
      </w:r>
      <w:r w:rsidR="00020FE5">
        <w:t> </w:t>
      </w:r>
      <w:r w:rsidRPr="002029AF">
        <w:t>quality</w:t>
      </w:r>
      <w:r w:rsidR="000A5329" w:rsidRPr="002029AF">
        <w:t xml:space="preserve"> </w:t>
      </w:r>
      <w:r w:rsidRPr="002029AF">
        <w:t>and</w:t>
      </w:r>
      <w:r w:rsidR="000A5329" w:rsidRPr="002029AF">
        <w:t xml:space="preserve"> </w:t>
      </w:r>
      <w:r w:rsidRPr="002029AF">
        <w:t>safety</w:t>
      </w:r>
      <w:r w:rsidR="000A5329" w:rsidRPr="002029AF">
        <w:t xml:space="preserve"> </w:t>
      </w:r>
      <w:r w:rsidRPr="002029AF">
        <w:t>of</w:t>
      </w:r>
      <w:r w:rsidR="000A5329" w:rsidRPr="002029AF">
        <w:t xml:space="preserve"> </w:t>
      </w:r>
      <w:r w:rsidRPr="002029AF">
        <w:t>services,</w:t>
      </w:r>
      <w:r w:rsidR="000A5329" w:rsidRPr="002029AF">
        <w:t xml:space="preserve"> </w:t>
      </w:r>
      <w:r w:rsidRPr="002029AF">
        <w:t>and</w:t>
      </w:r>
      <w:r w:rsidR="000A5329" w:rsidRPr="002029AF">
        <w:t xml:space="preserve"> </w:t>
      </w:r>
      <w:r w:rsidRPr="002029AF">
        <w:t>the</w:t>
      </w:r>
      <w:r w:rsidR="000A5329" w:rsidRPr="002029AF">
        <w:t xml:space="preserve"> </w:t>
      </w:r>
      <w:r w:rsidRPr="002029AF">
        <w:t>experience</w:t>
      </w:r>
      <w:r w:rsidR="000A5329" w:rsidRPr="002029AF">
        <w:t xml:space="preserve"> </w:t>
      </w:r>
      <w:r w:rsidRPr="002029AF">
        <w:t>of</w:t>
      </w:r>
      <w:r w:rsidR="000A5329" w:rsidRPr="002029AF">
        <w:t xml:space="preserve"> </w:t>
      </w:r>
      <w:r w:rsidRPr="002029AF">
        <w:t>those</w:t>
      </w:r>
      <w:r w:rsidR="000A5329" w:rsidRPr="002029AF">
        <w:t xml:space="preserve"> </w:t>
      </w:r>
      <w:r w:rsidRPr="002029AF">
        <w:t>who</w:t>
      </w:r>
      <w:r w:rsidR="000A5329" w:rsidRPr="002029AF">
        <w:t xml:space="preserve"> </w:t>
      </w:r>
      <w:r w:rsidRPr="002029AF">
        <w:t>use</w:t>
      </w:r>
      <w:r w:rsidR="000A5329" w:rsidRPr="002029AF">
        <w:t xml:space="preserve"> </w:t>
      </w:r>
      <w:r w:rsidRPr="002029AF">
        <w:t>them.</w:t>
      </w:r>
    </w:p>
    <w:p w14:paraId="431C485C" w14:textId="03C255F2" w:rsidR="00770DE1" w:rsidRPr="002029AF" w:rsidRDefault="00770DE1" w:rsidP="001E768A">
      <w:pPr>
        <w:pStyle w:val="ARbullet1"/>
      </w:pPr>
      <w:r w:rsidRPr="002029AF">
        <w:t>The</w:t>
      </w:r>
      <w:r w:rsidR="000A5329" w:rsidRPr="002029AF">
        <w:t xml:space="preserve"> </w:t>
      </w:r>
      <w:r w:rsidRPr="002029AF">
        <w:t>Victorian</w:t>
      </w:r>
      <w:r w:rsidR="000A5329" w:rsidRPr="002029AF">
        <w:t xml:space="preserve"> </w:t>
      </w:r>
      <w:r w:rsidRPr="002029AF">
        <w:t>Government</w:t>
      </w:r>
      <w:r w:rsidR="000A5329" w:rsidRPr="002029AF">
        <w:t xml:space="preserve"> </w:t>
      </w:r>
      <w:r w:rsidRPr="002029AF">
        <w:t>submitted</w:t>
      </w:r>
      <w:r w:rsidR="000A5329" w:rsidRPr="002029AF">
        <w:t xml:space="preserve"> </w:t>
      </w:r>
      <w:r w:rsidRPr="002029AF">
        <w:t>24</w:t>
      </w:r>
      <w:r w:rsidR="000A5329" w:rsidRPr="002029AF">
        <w:t xml:space="preserve"> </w:t>
      </w:r>
      <w:r w:rsidRPr="002029AF">
        <w:t>recommendations</w:t>
      </w:r>
      <w:r w:rsidR="000A5329" w:rsidRPr="002029AF">
        <w:t xml:space="preserve"> </w:t>
      </w:r>
      <w:r w:rsidRPr="002029AF">
        <w:t>to</w:t>
      </w:r>
      <w:r w:rsidR="000A5329" w:rsidRPr="002029AF">
        <w:t xml:space="preserve"> </w:t>
      </w:r>
      <w:r w:rsidRPr="002029AF">
        <w:t>the</w:t>
      </w:r>
      <w:r w:rsidR="000A5329" w:rsidRPr="002029AF">
        <w:t xml:space="preserve"> </w:t>
      </w:r>
      <w:r w:rsidRPr="002029AF">
        <w:t>Royal</w:t>
      </w:r>
      <w:r w:rsidR="000A5329" w:rsidRPr="002029AF">
        <w:t xml:space="preserve"> </w:t>
      </w:r>
      <w:r w:rsidRPr="002029AF">
        <w:t>Commission</w:t>
      </w:r>
      <w:r w:rsidR="000A5329" w:rsidRPr="002029AF">
        <w:t xml:space="preserve"> </w:t>
      </w:r>
      <w:r w:rsidRPr="002029AF">
        <w:t>into</w:t>
      </w:r>
      <w:r w:rsidR="000A5329" w:rsidRPr="002029AF">
        <w:t xml:space="preserve"> </w:t>
      </w:r>
      <w:r w:rsidRPr="002029AF">
        <w:t>Aged</w:t>
      </w:r>
      <w:r w:rsidR="000A5329" w:rsidRPr="002029AF">
        <w:t xml:space="preserve"> </w:t>
      </w:r>
      <w:r w:rsidRPr="002029AF">
        <w:t>Care</w:t>
      </w:r>
      <w:r w:rsidR="000A5329" w:rsidRPr="002029AF">
        <w:t xml:space="preserve"> </w:t>
      </w:r>
      <w:r w:rsidRPr="002029AF">
        <w:t>Quality</w:t>
      </w:r>
      <w:r w:rsidR="000A5329" w:rsidRPr="002029AF">
        <w:t xml:space="preserve"> </w:t>
      </w:r>
      <w:r w:rsidRPr="002029AF">
        <w:t>and</w:t>
      </w:r>
      <w:r w:rsidR="000A5329" w:rsidRPr="002029AF">
        <w:t xml:space="preserve"> </w:t>
      </w:r>
      <w:r w:rsidRPr="002029AF">
        <w:t>Safety</w:t>
      </w:r>
      <w:r w:rsidR="000A5329" w:rsidRPr="002029AF">
        <w:t xml:space="preserve"> </w:t>
      </w:r>
      <w:r w:rsidRPr="002029AF">
        <w:t>in</w:t>
      </w:r>
      <w:r w:rsidR="000A5329" w:rsidRPr="002029AF">
        <w:t xml:space="preserve"> </w:t>
      </w:r>
      <w:r w:rsidRPr="002029AF">
        <w:t>October</w:t>
      </w:r>
      <w:r w:rsidR="000A5329" w:rsidRPr="002029AF">
        <w:t xml:space="preserve"> </w:t>
      </w:r>
      <w:r w:rsidRPr="002029AF">
        <w:t>2019.</w:t>
      </w:r>
      <w:r w:rsidR="000A5329" w:rsidRPr="002029AF">
        <w:t xml:space="preserve"> </w:t>
      </w:r>
      <w:r w:rsidRPr="002029AF">
        <w:t>The</w:t>
      </w:r>
      <w:r w:rsidR="000A5329" w:rsidRPr="002029AF">
        <w:t xml:space="preserve"> </w:t>
      </w:r>
      <w:r w:rsidRPr="002029AF">
        <w:t>submission</w:t>
      </w:r>
      <w:r w:rsidR="000A5329" w:rsidRPr="002029AF">
        <w:t xml:space="preserve"> </w:t>
      </w:r>
      <w:r w:rsidRPr="002029AF">
        <w:t>covered</w:t>
      </w:r>
      <w:r w:rsidR="000A5329" w:rsidRPr="002029AF">
        <w:t xml:space="preserve"> </w:t>
      </w:r>
      <w:r w:rsidRPr="002029AF">
        <w:t>a</w:t>
      </w:r>
      <w:r w:rsidR="000A5329" w:rsidRPr="002029AF">
        <w:t xml:space="preserve"> </w:t>
      </w:r>
      <w:r w:rsidRPr="002029AF">
        <w:t>range</w:t>
      </w:r>
      <w:r w:rsidR="000A5329" w:rsidRPr="002029AF">
        <w:t xml:space="preserve"> </w:t>
      </w:r>
      <w:r w:rsidRPr="002029AF">
        <w:t>of</w:t>
      </w:r>
      <w:r w:rsidR="000A5329" w:rsidRPr="002029AF">
        <w:t xml:space="preserve"> </w:t>
      </w:r>
      <w:r w:rsidRPr="002029AF">
        <w:t>areas</w:t>
      </w:r>
      <w:r w:rsidR="000A5329" w:rsidRPr="002029AF">
        <w:t xml:space="preserve"> </w:t>
      </w:r>
      <w:r w:rsidRPr="002029AF">
        <w:t>focused</w:t>
      </w:r>
      <w:r w:rsidR="000A5329" w:rsidRPr="002029AF">
        <w:t xml:space="preserve"> </w:t>
      </w:r>
      <w:r w:rsidRPr="002029AF">
        <w:t>around</w:t>
      </w:r>
      <w:r w:rsidR="000A5329" w:rsidRPr="002029AF">
        <w:t xml:space="preserve"> </w:t>
      </w:r>
      <w:r w:rsidRPr="002029AF">
        <w:t>supporting</w:t>
      </w:r>
      <w:r w:rsidR="000A5329" w:rsidRPr="002029AF">
        <w:t xml:space="preserve"> </w:t>
      </w:r>
      <w:r w:rsidRPr="002029AF">
        <w:t>choice</w:t>
      </w:r>
      <w:r w:rsidR="000A5329" w:rsidRPr="002029AF">
        <w:t xml:space="preserve"> </w:t>
      </w:r>
      <w:r w:rsidRPr="002029AF">
        <w:t>and</w:t>
      </w:r>
      <w:r w:rsidR="000A5329" w:rsidRPr="002029AF">
        <w:t xml:space="preserve"> </w:t>
      </w:r>
      <w:r w:rsidRPr="002029AF">
        <w:t>enabling</w:t>
      </w:r>
      <w:r w:rsidR="000A5329" w:rsidRPr="002029AF">
        <w:t xml:space="preserve"> </w:t>
      </w:r>
      <w:r w:rsidRPr="002029AF">
        <w:t>personalised</w:t>
      </w:r>
      <w:r w:rsidR="000A5329" w:rsidRPr="002029AF">
        <w:t xml:space="preserve"> </w:t>
      </w:r>
      <w:r w:rsidRPr="002029AF">
        <w:t>approaches</w:t>
      </w:r>
      <w:r w:rsidR="000A5329" w:rsidRPr="002029AF">
        <w:t xml:space="preserve"> </w:t>
      </w:r>
      <w:r w:rsidRPr="002029AF">
        <w:t>to</w:t>
      </w:r>
      <w:r w:rsidR="000A5329" w:rsidRPr="002029AF">
        <w:t xml:space="preserve"> </w:t>
      </w:r>
      <w:r w:rsidRPr="002029AF">
        <w:t>care,</w:t>
      </w:r>
      <w:r w:rsidR="000A5329" w:rsidRPr="002029AF">
        <w:t xml:space="preserve"> </w:t>
      </w:r>
      <w:r w:rsidRPr="002029AF">
        <w:t>including</w:t>
      </w:r>
      <w:r w:rsidR="000A5329" w:rsidRPr="002029AF">
        <w:t xml:space="preserve"> </w:t>
      </w:r>
      <w:r w:rsidR="007C1048" w:rsidRPr="002029AF">
        <w:t>in</w:t>
      </w:r>
      <w:r w:rsidR="000A5329" w:rsidRPr="002029AF">
        <w:t xml:space="preserve"> </w:t>
      </w:r>
      <w:r w:rsidR="007C1048" w:rsidRPr="002029AF">
        <w:t>relation</w:t>
      </w:r>
      <w:r w:rsidR="000A5329" w:rsidRPr="002029AF">
        <w:t xml:space="preserve"> </w:t>
      </w:r>
      <w:r w:rsidR="007C1048" w:rsidRPr="002029AF">
        <w:t>to</w:t>
      </w:r>
      <w:r w:rsidR="000A5329" w:rsidRPr="002029AF">
        <w:t xml:space="preserve"> </w:t>
      </w:r>
      <w:r w:rsidRPr="002029AF">
        <w:t>supporting</w:t>
      </w:r>
      <w:r w:rsidR="000A5329" w:rsidRPr="002029AF">
        <w:t xml:space="preserve"> </w:t>
      </w:r>
      <w:r w:rsidRPr="002029AF">
        <w:t>people</w:t>
      </w:r>
      <w:r w:rsidR="000A5329" w:rsidRPr="002029AF">
        <w:t xml:space="preserve"> </w:t>
      </w:r>
      <w:r w:rsidRPr="002029AF">
        <w:t>to</w:t>
      </w:r>
      <w:r w:rsidR="000A5329" w:rsidRPr="002029AF">
        <w:t xml:space="preserve"> </w:t>
      </w:r>
      <w:r w:rsidRPr="002029AF">
        <w:t>stay</w:t>
      </w:r>
      <w:r w:rsidR="000A5329" w:rsidRPr="002029AF">
        <w:t xml:space="preserve"> </w:t>
      </w:r>
      <w:r w:rsidRPr="002029AF">
        <w:t>in</w:t>
      </w:r>
      <w:r w:rsidR="000A5329" w:rsidRPr="002029AF">
        <w:t xml:space="preserve"> </w:t>
      </w:r>
      <w:r w:rsidRPr="002029AF">
        <w:t>their</w:t>
      </w:r>
      <w:r w:rsidR="000A5329" w:rsidRPr="002029AF">
        <w:t xml:space="preserve"> </w:t>
      </w:r>
      <w:r w:rsidRPr="002029AF">
        <w:t>homes</w:t>
      </w:r>
      <w:r w:rsidR="000A5329" w:rsidRPr="002029AF">
        <w:t xml:space="preserve"> </w:t>
      </w:r>
      <w:r w:rsidRPr="002029AF">
        <w:t>for</w:t>
      </w:r>
      <w:r w:rsidR="000A5329" w:rsidRPr="002029AF">
        <w:t xml:space="preserve"> </w:t>
      </w:r>
      <w:r w:rsidRPr="002029AF">
        <w:t>as</w:t>
      </w:r>
      <w:r w:rsidR="000A5329" w:rsidRPr="002029AF">
        <w:t xml:space="preserve"> </w:t>
      </w:r>
      <w:r w:rsidRPr="002029AF">
        <w:t>long</w:t>
      </w:r>
      <w:r w:rsidR="000A5329" w:rsidRPr="002029AF">
        <w:t xml:space="preserve"> </w:t>
      </w:r>
      <w:r w:rsidRPr="002029AF">
        <w:t>as</w:t>
      </w:r>
      <w:r w:rsidR="000A5329" w:rsidRPr="002029AF">
        <w:t xml:space="preserve"> </w:t>
      </w:r>
      <w:r w:rsidRPr="002029AF">
        <w:t>possible</w:t>
      </w:r>
      <w:r w:rsidR="000A5329" w:rsidRPr="002029AF">
        <w:t xml:space="preserve"> </w:t>
      </w:r>
      <w:r w:rsidRPr="002029AF">
        <w:t>and</w:t>
      </w:r>
      <w:r w:rsidR="000A5329" w:rsidRPr="002029AF">
        <w:t xml:space="preserve"> </w:t>
      </w:r>
      <w:r w:rsidRPr="002029AF">
        <w:t>reducing</w:t>
      </w:r>
      <w:r w:rsidR="000A5329" w:rsidRPr="002029AF">
        <w:t xml:space="preserve"> </w:t>
      </w:r>
      <w:r w:rsidRPr="002029AF">
        <w:t>the</w:t>
      </w:r>
      <w:r w:rsidR="00020FE5">
        <w:t> </w:t>
      </w:r>
      <w:r w:rsidRPr="002029AF">
        <w:t>use</w:t>
      </w:r>
      <w:r w:rsidR="000A5329" w:rsidRPr="002029AF">
        <w:t xml:space="preserve"> </w:t>
      </w:r>
      <w:r w:rsidRPr="002029AF">
        <w:t>of</w:t>
      </w:r>
      <w:r w:rsidR="000A5329" w:rsidRPr="002029AF">
        <w:t xml:space="preserve"> </w:t>
      </w:r>
      <w:r w:rsidRPr="002029AF">
        <w:t>physical</w:t>
      </w:r>
      <w:r w:rsidR="000A5329" w:rsidRPr="002029AF">
        <w:t xml:space="preserve"> </w:t>
      </w:r>
      <w:r w:rsidRPr="002029AF">
        <w:t>and</w:t>
      </w:r>
      <w:r w:rsidR="000A5329" w:rsidRPr="002029AF">
        <w:t xml:space="preserve"> </w:t>
      </w:r>
      <w:r w:rsidRPr="002029AF">
        <w:t>chemical</w:t>
      </w:r>
      <w:r w:rsidR="000A5329" w:rsidRPr="002029AF">
        <w:t xml:space="preserve"> </w:t>
      </w:r>
      <w:r w:rsidRPr="002029AF">
        <w:t>restraint.</w:t>
      </w:r>
    </w:p>
    <w:p w14:paraId="2F10CC50" w14:textId="01FFF597" w:rsidR="00770DE1" w:rsidRPr="002029AF" w:rsidRDefault="00770DE1" w:rsidP="001E768A">
      <w:pPr>
        <w:pStyle w:val="ARbullet1"/>
      </w:pPr>
      <w:r w:rsidRPr="002029AF">
        <w:t>One</w:t>
      </w:r>
      <w:r w:rsidR="000A5329" w:rsidRPr="002029AF">
        <w:t xml:space="preserve"> </w:t>
      </w:r>
      <w:r w:rsidRPr="002029AF">
        <w:t>hundred</w:t>
      </w:r>
      <w:r w:rsidR="000A5329" w:rsidRPr="002029AF">
        <w:t xml:space="preserve"> </w:t>
      </w:r>
      <w:r w:rsidRPr="002029AF">
        <w:t>and</w:t>
      </w:r>
      <w:r w:rsidR="000A5329" w:rsidRPr="002029AF">
        <w:t xml:space="preserve"> </w:t>
      </w:r>
      <w:r w:rsidRPr="002029AF">
        <w:t>twenty-four</w:t>
      </w:r>
      <w:r w:rsidR="008C09FB" w:rsidRPr="00F70C03">
        <w:footnoteReference w:id="2"/>
      </w:r>
      <w:r w:rsidR="004326A1">
        <w:t xml:space="preserve"> </w:t>
      </w:r>
      <w:r w:rsidRPr="002029AF">
        <w:t>Victorians</w:t>
      </w:r>
      <w:r w:rsidR="000A5329" w:rsidRPr="002029AF">
        <w:t xml:space="preserve"> </w:t>
      </w:r>
      <w:r w:rsidRPr="002029AF">
        <w:t>suffering</w:t>
      </w:r>
      <w:r w:rsidR="000A5329" w:rsidRPr="002029AF">
        <w:t xml:space="preserve"> </w:t>
      </w:r>
      <w:r w:rsidRPr="002029AF">
        <w:t>with</w:t>
      </w:r>
      <w:r w:rsidR="000A5329" w:rsidRPr="002029AF">
        <w:t xml:space="preserve"> </w:t>
      </w:r>
      <w:r w:rsidRPr="002029AF">
        <w:t>a</w:t>
      </w:r>
      <w:r w:rsidR="000A5329" w:rsidRPr="002029AF">
        <w:t xml:space="preserve"> </w:t>
      </w:r>
      <w:r w:rsidRPr="002029AF">
        <w:t>terminal</w:t>
      </w:r>
      <w:r w:rsidR="000A5329" w:rsidRPr="002029AF">
        <w:t xml:space="preserve"> </w:t>
      </w:r>
      <w:r w:rsidRPr="002029AF">
        <w:t>illness</w:t>
      </w:r>
      <w:r w:rsidR="000A5329" w:rsidRPr="002029AF">
        <w:t xml:space="preserve"> </w:t>
      </w:r>
      <w:r w:rsidRPr="002029AF">
        <w:t>accessed</w:t>
      </w:r>
      <w:r w:rsidR="000A5329" w:rsidRPr="002029AF">
        <w:t xml:space="preserve"> </w:t>
      </w:r>
      <w:r w:rsidRPr="002029AF">
        <w:t>voluntary</w:t>
      </w:r>
      <w:r w:rsidR="000A5329" w:rsidRPr="002029AF">
        <w:t xml:space="preserve"> </w:t>
      </w:r>
      <w:r w:rsidRPr="002029AF">
        <w:t>assisted</w:t>
      </w:r>
      <w:r w:rsidR="000A5329" w:rsidRPr="002029AF">
        <w:t xml:space="preserve"> </w:t>
      </w:r>
      <w:r w:rsidRPr="002029AF">
        <w:t>dying</w:t>
      </w:r>
      <w:r w:rsidR="000A5329" w:rsidRPr="002029AF">
        <w:t xml:space="preserve"> </w:t>
      </w:r>
      <w:r w:rsidRPr="002029AF">
        <w:t>in</w:t>
      </w:r>
      <w:r w:rsidR="000A5329" w:rsidRPr="002029AF">
        <w:t xml:space="preserve"> </w:t>
      </w:r>
      <w:r w:rsidRPr="002029AF">
        <w:t>the</w:t>
      </w:r>
      <w:r w:rsidR="000A5329" w:rsidRPr="002029AF">
        <w:t xml:space="preserve"> </w:t>
      </w:r>
      <w:r w:rsidR="005C6D11" w:rsidRPr="002029AF">
        <w:t>12-month</w:t>
      </w:r>
      <w:r w:rsidR="000A5329" w:rsidRPr="002029AF">
        <w:t xml:space="preserve"> </w:t>
      </w:r>
      <w:r w:rsidR="006C7826" w:rsidRPr="002029AF">
        <w:t>period</w:t>
      </w:r>
      <w:r w:rsidR="000A5329" w:rsidRPr="002029AF">
        <w:t xml:space="preserve"> </w:t>
      </w:r>
      <w:r w:rsidR="006C7826" w:rsidRPr="002029AF">
        <w:t>from</w:t>
      </w:r>
      <w:r w:rsidR="000A5329" w:rsidRPr="002029AF">
        <w:t xml:space="preserve"> </w:t>
      </w:r>
      <w:r w:rsidR="006C7826" w:rsidRPr="002029AF">
        <w:t>June</w:t>
      </w:r>
      <w:r w:rsidR="000A5329" w:rsidRPr="002029AF">
        <w:t xml:space="preserve"> </w:t>
      </w:r>
      <w:r w:rsidR="006C7826" w:rsidRPr="002029AF">
        <w:t>2019</w:t>
      </w:r>
      <w:r w:rsidR="000A5329" w:rsidRPr="002029AF">
        <w:t xml:space="preserve"> </w:t>
      </w:r>
      <w:r w:rsidR="006C7826" w:rsidRPr="002029AF">
        <w:t>to</w:t>
      </w:r>
      <w:r w:rsidR="000A5329" w:rsidRPr="002029AF">
        <w:t xml:space="preserve"> </w:t>
      </w:r>
      <w:r w:rsidR="006C7826" w:rsidRPr="002029AF">
        <w:t>June</w:t>
      </w:r>
      <w:r w:rsidR="000A5329" w:rsidRPr="002029AF">
        <w:t xml:space="preserve"> </w:t>
      </w:r>
      <w:r w:rsidR="006C7826" w:rsidRPr="002029AF">
        <w:t>2020</w:t>
      </w:r>
      <w:r w:rsidRPr="002029AF">
        <w:t>.</w:t>
      </w:r>
      <w:r w:rsidR="000A5329" w:rsidRPr="002029AF">
        <w:t xml:space="preserve"> </w:t>
      </w:r>
      <w:r w:rsidR="006C7826" w:rsidRPr="002029AF">
        <w:t>Victoria’s</w:t>
      </w:r>
      <w:r w:rsidR="000A5329" w:rsidRPr="002029AF">
        <w:t xml:space="preserve"> </w:t>
      </w:r>
      <w:r w:rsidRPr="002029AF">
        <w:t>nation-leading</w:t>
      </w:r>
      <w:r w:rsidR="000A5329" w:rsidRPr="002029AF">
        <w:t xml:space="preserve"> </w:t>
      </w:r>
      <w:r w:rsidRPr="002029AF">
        <w:t>laws</w:t>
      </w:r>
      <w:r w:rsidR="000A5329" w:rsidRPr="002029AF">
        <w:t xml:space="preserve"> </w:t>
      </w:r>
      <w:r w:rsidR="006C7826" w:rsidRPr="002029AF">
        <w:t>in</w:t>
      </w:r>
      <w:r w:rsidR="000A5329" w:rsidRPr="002029AF">
        <w:t xml:space="preserve"> </w:t>
      </w:r>
      <w:r w:rsidR="006C7826" w:rsidRPr="002029AF">
        <w:t>this</w:t>
      </w:r>
      <w:r w:rsidR="000A5329" w:rsidRPr="002029AF">
        <w:t xml:space="preserve"> </w:t>
      </w:r>
      <w:r w:rsidR="006C7826" w:rsidRPr="002029AF">
        <w:t>field</w:t>
      </w:r>
      <w:r w:rsidR="000A5329" w:rsidRPr="002029AF">
        <w:t xml:space="preserve"> </w:t>
      </w:r>
      <w:r w:rsidRPr="002029AF">
        <w:t>are</w:t>
      </w:r>
      <w:r w:rsidR="000A5329" w:rsidRPr="002029AF">
        <w:t xml:space="preserve"> </w:t>
      </w:r>
      <w:r w:rsidRPr="002029AF">
        <w:t>giving</w:t>
      </w:r>
      <w:r w:rsidR="000A5329" w:rsidRPr="002029AF">
        <w:t xml:space="preserve"> </w:t>
      </w:r>
      <w:r w:rsidR="00C111B5" w:rsidRPr="002029AF">
        <w:t>people</w:t>
      </w:r>
      <w:r w:rsidR="000A5329" w:rsidRPr="002029AF">
        <w:t xml:space="preserve"> </w:t>
      </w:r>
      <w:r w:rsidRPr="002029AF">
        <w:t>with</w:t>
      </w:r>
      <w:r w:rsidR="000A5329" w:rsidRPr="002029AF">
        <w:t xml:space="preserve"> </w:t>
      </w:r>
      <w:r w:rsidRPr="002029AF">
        <w:t>an</w:t>
      </w:r>
      <w:r w:rsidR="000A5329" w:rsidRPr="002029AF">
        <w:t xml:space="preserve"> </w:t>
      </w:r>
      <w:r w:rsidRPr="002029AF">
        <w:t>incurable</w:t>
      </w:r>
      <w:r w:rsidR="000A5329" w:rsidRPr="002029AF">
        <w:t xml:space="preserve"> </w:t>
      </w:r>
      <w:r w:rsidRPr="002029AF">
        <w:t>illness</w:t>
      </w:r>
      <w:r w:rsidR="000A5329" w:rsidRPr="002029AF">
        <w:t xml:space="preserve"> </w:t>
      </w:r>
      <w:r w:rsidRPr="002029AF">
        <w:t>a</w:t>
      </w:r>
      <w:r w:rsidR="000A5329" w:rsidRPr="002029AF">
        <w:t xml:space="preserve"> </w:t>
      </w:r>
      <w:r w:rsidRPr="002029AF">
        <w:t>compassionate</w:t>
      </w:r>
      <w:r w:rsidR="000A5329" w:rsidRPr="002029AF">
        <w:t xml:space="preserve"> </w:t>
      </w:r>
      <w:r w:rsidRPr="002029AF">
        <w:t>choice</w:t>
      </w:r>
      <w:r w:rsidR="000A5329" w:rsidRPr="002029AF">
        <w:t xml:space="preserve"> </w:t>
      </w:r>
      <w:r w:rsidRPr="002029AF">
        <w:t>over</w:t>
      </w:r>
      <w:r w:rsidR="000A5329" w:rsidRPr="002029AF">
        <w:t xml:space="preserve"> </w:t>
      </w:r>
      <w:r w:rsidRPr="002029AF">
        <w:t>the</w:t>
      </w:r>
      <w:r w:rsidR="000A5329" w:rsidRPr="002029AF">
        <w:t xml:space="preserve"> </w:t>
      </w:r>
      <w:r w:rsidRPr="002029AF">
        <w:t>timing</w:t>
      </w:r>
      <w:r w:rsidR="000A5329" w:rsidRPr="002029AF">
        <w:t xml:space="preserve"> </w:t>
      </w:r>
      <w:r w:rsidRPr="002029AF">
        <w:t>and</w:t>
      </w:r>
      <w:r w:rsidR="000A5329" w:rsidRPr="002029AF">
        <w:t xml:space="preserve"> </w:t>
      </w:r>
      <w:r w:rsidRPr="002029AF">
        <w:t>manner</w:t>
      </w:r>
      <w:r w:rsidR="000A5329" w:rsidRPr="002029AF">
        <w:t xml:space="preserve"> </w:t>
      </w:r>
      <w:r w:rsidRPr="002029AF">
        <w:t>of</w:t>
      </w:r>
      <w:r w:rsidR="000A5329" w:rsidRPr="002029AF">
        <w:t xml:space="preserve"> </w:t>
      </w:r>
      <w:r w:rsidRPr="002029AF">
        <w:t>their</w:t>
      </w:r>
      <w:r w:rsidR="000A5329" w:rsidRPr="002029AF">
        <w:t xml:space="preserve"> </w:t>
      </w:r>
      <w:r w:rsidRPr="002029AF">
        <w:t>death,</w:t>
      </w:r>
      <w:r w:rsidR="000A5329" w:rsidRPr="002029AF">
        <w:t xml:space="preserve"> </w:t>
      </w:r>
      <w:r w:rsidRPr="002029AF">
        <w:t>and</w:t>
      </w:r>
      <w:r w:rsidR="000A5329" w:rsidRPr="002029AF">
        <w:t xml:space="preserve"> </w:t>
      </w:r>
      <w:r w:rsidRPr="002029AF">
        <w:t>relief</w:t>
      </w:r>
      <w:r w:rsidR="000A5329" w:rsidRPr="002029AF">
        <w:t xml:space="preserve"> </w:t>
      </w:r>
      <w:r w:rsidRPr="002029AF">
        <w:t>from</w:t>
      </w:r>
      <w:r w:rsidR="000A5329" w:rsidRPr="002029AF">
        <w:t xml:space="preserve"> </w:t>
      </w:r>
      <w:r w:rsidRPr="002029AF">
        <w:t>their</w:t>
      </w:r>
      <w:r w:rsidR="000A5329" w:rsidRPr="002029AF">
        <w:t xml:space="preserve"> </w:t>
      </w:r>
      <w:r w:rsidRPr="002029AF">
        <w:t>suffering.</w:t>
      </w:r>
    </w:p>
    <w:p w14:paraId="327AD934" w14:textId="54DC8D75" w:rsidR="00770DE1" w:rsidRPr="002029AF" w:rsidRDefault="00770DE1" w:rsidP="001E768A">
      <w:pPr>
        <w:pStyle w:val="ARbullet1"/>
      </w:pPr>
      <w:r w:rsidRPr="002029AF">
        <w:t>Family</w:t>
      </w:r>
      <w:r w:rsidR="000A5329" w:rsidRPr="002029AF">
        <w:t xml:space="preserve"> </w:t>
      </w:r>
      <w:r w:rsidRPr="002029AF">
        <w:t>Safety</w:t>
      </w:r>
      <w:r w:rsidR="000A5329" w:rsidRPr="002029AF">
        <w:t xml:space="preserve"> </w:t>
      </w:r>
      <w:r w:rsidRPr="002029AF">
        <w:t>Victoria</w:t>
      </w:r>
      <w:r w:rsidR="000A5329" w:rsidRPr="002029AF">
        <w:t xml:space="preserve"> </w:t>
      </w:r>
      <w:r w:rsidRPr="002029AF">
        <w:t>continued</w:t>
      </w:r>
      <w:r w:rsidR="000A5329" w:rsidRPr="002029AF">
        <w:t xml:space="preserve"> </w:t>
      </w:r>
      <w:r w:rsidRPr="002029AF">
        <w:t>to</w:t>
      </w:r>
      <w:r w:rsidR="000A5329" w:rsidRPr="002029AF">
        <w:t xml:space="preserve"> </w:t>
      </w:r>
      <w:r w:rsidRPr="002029AF">
        <w:t>work</w:t>
      </w:r>
      <w:r w:rsidR="000A5329" w:rsidRPr="002029AF">
        <w:t xml:space="preserve"> </w:t>
      </w:r>
      <w:r w:rsidRPr="002029AF">
        <w:t>in</w:t>
      </w:r>
      <w:r w:rsidR="000A5329" w:rsidRPr="002029AF">
        <w:t xml:space="preserve"> </w:t>
      </w:r>
      <w:r w:rsidRPr="002029AF">
        <w:t>partnership</w:t>
      </w:r>
      <w:r w:rsidR="000A5329" w:rsidRPr="002029AF">
        <w:t xml:space="preserve"> </w:t>
      </w:r>
      <w:r w:rsidRPr="002029AF">
        <w:t>with</w:t>
      </w:r>
      <w:r w:rsidR="000A5329" w:rsidRPr="002029AF">
        <w:t xml:space="preserve"> </w:t>
      </w:r>
      <w:r w:rsidRPr="002029AF">
        <w:t>the</w:t>
      </w:r>
      <w:r w:rsidR="000A5329" w:rsidRPr="002029AF">
        <w:t xml:space="preserve"> </w:t>
      </w:r>
      <w:r w:rsidRPr="002029AF">
        <w:t>Victim</w:t>
      </w:r>
      <w:r w:rsidR="000A5329" w:rsidRPr="002029AF">
        <w:t xml:space="preserve"> </w:t>
      </w:r>
      <w:r w:rsidRPr="002029AF">
        <w:t>Survivors’</w:t>
      </w:r>
      <w:r w:rsidR="000A5329" w:rsidRPr="002029AF">
        <w:t xml:space="preserve"> </w:t>
      </w:r>
      <w:r w:rsidRPr="002029AF">
        <w:t>Advisory</w:t>
      </w:r>
      <w:r w:rsidR="000A5329" w:rsidRPr="002029AF">
        <w:t xml:space="preserve"> </w:t>
      </w:r>
      <w:r w:rsidRPr="002029AF">
        <w:t>Council</w:t>
      </w:r>
      <w:r w:rsidR="000A5329" w:rsidRPr="002029AF">
        <w:t xml:space="preserve"> </w:t>
      </w:r>
      <w:r w:rsidRPr="002029AF">
        <w:t>and</w:t>
      </w:r>
      <w:r w:rsidR="000A5329" w:rsidRPr="002029AF">
        <w:t xml:space="preserve"> </w:t>
      </w:r>
      <w:r w:rsidRPr="002029AF">
        <w:t>other</w:t>
      </w:r>
      <w:r w:rsidR="000A5329" w:rsidRPr="002029AF">
        <w:t xml:space="preserve"> </w:t>
      </w:r>
      <w:r w:rsidRPr="002029AF">
        <w:t>people</w:t>
      </w:r>
      <w:r w:rsidR="000A5329" w:rsidRPr="002029AF">
        <w:t xml:space="preserve"> </w:t>
      </w:r>
      <w:r w:rsidRPr="002029AF">
        <w:t>with</w:t>
      </w:r>
      <w:r w:rsidR="000A5329" w:rsidRPr="002029AF">
        <w:t xml:space="preserve"> </w:t>
      </w:r>
      <w:r w:rsidRPr="002029AF">
        <w:t>lived</w:t>
      </w:r>
      <w:r w:rsidR="000A5329" w:rsidRPr="002029AF">
        <w:t xml:space="preserve"> </w:t>
      </w:r>
      <w:r w:rsidRPr="002029AF">
        <w:t>experience</w:t>
      </w:r>
      <w:r w:rsidR="000A5329" w:rsidRPr="002029AF">
        <w:t xml:space="preserve"> </w:t>
      </w:r>
      <w:r w:rsidR="00670C60" w:rsidRPr="002029AF">
        <w:t>of</w:t>
      </w:r>
      <w:r w:rsidR="000A5329" w:rsidRPr="002029AF">
        <w:t xml:space="preserve"> </w:t>
      </w:r>
      <w:r w:rsidR="00670C60" w:rsidRPr="002029AF">
        <w:t>family</w:t>
      </w:r>
      <w:r w:rsidR="000A5329" w:rsidRPr="002029AF">
        <w:t xml:space="preserve"> </w:t>
      </w:r>
      <w:r w:rsidR="00670C60" w:rsidRPr="002029AF">
        <w:t>violence</w:t>
      </w:r>
      <w:r w:rsidR="000A5329" w:rsidRPr="002029AF">
        <w:t xml:space="preserve"> </w:t>
      </w:r>
      <w:r w:rsidRPr="002029AF">
        <w:t>to</w:t>
      </w:r>
      <w:r w:rsidR="000A5329" w:rsidRPr="002029AF">
        <w:t xml:space="preserve"> </w:t>
      </w:r>
      <w:r w:rsidRPr="002029AF">
        <w:t>ensure</w:t>
      </w:r>
      <w:r w:rsidR="000A5329" w:rsidRPr="002029AF">
        <w:t xml:space="preserve"> </w:t>
      </w:r>
      <w:r w:rsidRPr="002029AF">
        <w:t>the</w:t>
      </w:r>
      <w:r w:rsidR="00670C60" w:rsidRPr="002029AF">
        <w:t>ir</w:t>
      </w:r>
      <w:r w:rsidR="000A5329" w:rsidRPr="002029AF">
        <w:t xml:space="preserve"> </w:t>
      </w:r>
      <w:r w:rsidRPr="002029AF">
        <w:t>voices</w:t>
      </w:r>
      <w:r w:rsidR="000A5329" w:rsidRPr="002029AF">
        <w:t xml:space="preserve"> </w:t>
      </w:r>
      <w:r w:rsidRPr="002029AF">
        <w:t>inform</w:t>
      </w:r>
      <w:r w:rsidR="000A5329" w:rsidRPr="002029AF">
        <w:t xml:space="preserve"> </w:t>
      </w:r>
      <w:r w:rsidRPr="002029AF">
        <w:t>system</w:t>
      </w:r>
      <w:r w:rsidR="000A5329" w:rsidRPr="002029AF">
        <w:t xml:space="preserve"> </w:t>
      </w:r>
      <w:r w:rsidRPr="002029AF">
        <w:t>reform.</w:t>
      </w:r>
    </w:p>
    <w:p w14:paraId="2DEB65F3" w14:textId="272BF4C2" w:rsidR="00770DE1" w:rsidRPr="002029AF" w:rsidRDefault="00770DE1" w:rsidP="001E768A">
      <w:pPr>
        <w:pStyle w:val="ARbullet1"/>
      </w:pPr>
      <w:r w:rsidRPr="002029AF">
        <w:t>This</w:t>
      </w:r>
      <w:r w:rsidR="000A5329" w:rsidRPr="002029AF">
        <w:t xml:space="preserve"> </w:t>
      </w:r>
      <w:r w:rsidRPr="002029AF">
        <w:t>year</w:t>
      </w:r>
      <w:r w:rsidR="00912638" w:rsidRPr="002029AF">
        <w:t>,</w:t>
      </w:r>
      <w:r w:rsidR="000A5329" w:rsidRPr="002029AF">
        <w:t xml:space="preserve"> </w:t>
      </w:r>
      <w:r w:rsidR="00912638" w:rsidRPr="002029AF">
        <w:t>via</w:t>
      </w:r>
      <w:r w:rsidR="000A5329" w:rsidRPr="002029AF">
        <w:t xml:space="preserve"> </w:t>
      </w:r>
      <w:r w:rsidR="002A798C" w:rsidRPr="002029AF">
        <w:t>the</w:t>
      </w:r>
      <w:r w:rsidR="000A5329" w:rsidRPr="002029AF">
        <w:t xml:space="preserve"> </w:t>
      </w:r>
      <w:r w:rsidR="002A798C" w:rsidRPr="002029AF">
        <w:t>Victorian</w:t>
      </w:r>
      <w:r w:rsidR="000A5329" w:rsidRPr="002029AF">
        <w:t xml:space="preserve"> </w:t>
      </w:r>
      <w:r w:rsidR="002A798C" w:rsidRPr="002029AF">
        <w:t>Government’s</w:t>
      </w:r>
      <w:r w:rsidR="000A5329" w:rsidRPr="002029AF">
        <w:t xml:space="preserve"> </w:t>
      </w:r>
      <w:r w:rsidR="002A798C" w:rsidRPr="002029AF">
        <w:t>Engage</w:t>
      </w:r>
      <w:r w:rsidR="000A5329" w:rsidRPr="002029AF">
        <w:t xml:space="preserve"> </w:t>
      </w:r>
      <w:r w:rsidR="002A798C" w:rsidRPr="002029AF">
        <w:t>Victoria</w:t>
      </w:r>
      <w:r w:rsidR="000A5329" w:rsidRPr="002029AF">
        <w:t xml:space="preserve"> </w:t>
      </w:r>
      <w:r w:rsidR="002A798C" w:rsidRPr="002029AF">
        <w:t>website</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sought</w:t>
      </w:r>
      <w:r w:rsidR="000A5329" w:rsidRPr="002029AF">
        <w:t xml:space="preserve"> </w:t>
      </w:r>
      <w:r w:rsidRPr="002029AF">
        <w:t>the</w:t>
      </w:r>
      <w:r w:rsidR="000A5329" w:rsidRPr="002029AF">
        <w:t xml:space="preserve"> </w:t>
      </w:r>
      <w:r w:rsidRPr="002029AF">
        <w:t>views</w:t>
      </w:r>
      <w:r w:rsidR="000A5329" w:rsidRPr="002029AF">
        <w:t xml:space="preserve"> </w:t>
      </w:r>
      <w:r w:rsidRPr="002029AF">
        <w:t>of</w:t>
      </w:r>
      <w:r w:rsidR="000A5329" w:rsidRPr="002029AF">
        <w:t xml:space="preserve"> </w:t>
      </w:r>
      <w:r w:rsidRPr="002029AF">
        <w:t>the</w:t>
      </w:r>
      <w:r w:rsidR="000A5329" w:rsidRPr="002029AF">
        <w:t xml:space="preserve"> </w:t>
      </w:r>
      <w:r w:rsidRPr="002029AF">
        <w:t>public</w:t>
      </w:r>
      <w:r w:rsidR="000A5329" w:rsidRPr="002029AF">
        <w:t xml:space="preserve"> </w:t>
      </w:r>
      <w:r w:rsidR="0093726A" w:rsidRPr="002029AF">
        <w:t>to</w:t>
      </w:r>
      <w:r w:rsidR="000A5329" w:rsidRPr="002029AF">
        <w:t xml:space="preserve"> </w:t>
      </w:r>
      <w:r w:rsidR="00264E4E" w:rsidRPr="002029AF">
        <w:t>inform</w:t>
      </w:r>
      <w:r w:rsidR="000A5329" w:rsidRPr="002029AF">
        <w:t xml:space="preserve"> </w:t>
      </w:r>
      <w:r w:rsidR="00264E4E" w:rsidRPr="002029AF">
        <w:t>a</w:t>
      </w:r>
      <w:r w:rsidR="000A5329" w:rsidRPr="002029AF">
        <w:t xml:space="preserve"> </w:t>
      </w:r>
      <w:r w:rsidR="00264E4E" w:rsidRPr="002029AF">
        <w:t>range</w:t>
      </w:r>
      <w:r w:rsidR="000A5329" w:rsidRPr="002029AF">
        <w:t xml:space="preserve"> </w:t>
      </w:r>
      <w:r w:rsidR="00264E4E" w:rsidRPr="002029AF">
        <w:t>of</w:t>
      </w:r>
      <w:r w:rsidR="000A5329" w:rsidRPr="002029AF">
        <w:t xml:space="preserve"> </w:t>
      </w:r>
      <w:r w:rsidR="00264E4E" w:rsidRPr="002029AF">
        <w:t>initiatives.</w:t>
      </w:r>
      <w:r w:rsidR="000A5329" w:rsidRPr="002029AF">
        <w:t xml:space="preserve"> </w:t>
      </w:r>
      <w:r w:rsidR="00264E4E" w:rsidRPr="002029AF">
        <w:t>Seeking</w:t>
      </w:r>
      <w:r w:rsidR="000A5329" w:rsidRPr="002029AF">
        <w:t xml:space="preserve"> </w:t>
      </w:r>
      <w:r w:rsidR="00264E4E" w:rsidRPr="002029AF">
        <w:t>people’s</w:t>
      </w:r>
      <w:r w:rsidR="000A5329" w:rsidRPr="002029AF">
        <w:t xml:space="preserve"> </w:t>
      </w:r>
      <w:r w:rsidR="00264E4E" w:rsidRPr="002029AF">
        <w:t>view</w:t>
      </w:r>
      <w:r w:rsidR="000A5329" w:rsidRPr="002029AF">
        <w:t xml:space="preserve"> </w:t>
      </w:r>
      <w:r w:rsidR="00264E4E" w:rsidRPr="002029AF">
        <w:t>in</w:t>
      </w:r>
      <w:r w:rsidR="000A5329" w:rsidRPr="002029AF">
        <w:t xml:space="preserve"> </w:t>
      </w:r>
      <w:r w:rsidR="00264E4E" w:rsidRPr="002029AF">
        <w:t>this</w:t>
      </w:r>
      <w:r w:rsidR="000A5329" w:rsidRPr="002029AF">
        <w:t xml:space="preserve"> </w:t>
      </w:r>
      <w:r w:rsidR="00264E4E" w:rsidRPr="002029AF">
        <w:t>way</w:t>
      </w:r>
      <w:r w:rsidR="000A5329" w:rsidRPr="002029AF">
        <w:t xml:space="preserve"> </w:t>
      </w:r>
      <w:r w:rsidRPr="002029AF">
        <w:t>helps</w:t>
      </w:r>
      <w:r w:rsidR="000A5329" w:rsidRPr="002029AF">
        <w:t xml:space="preserve"> </w:t>
      </w:r>
      <w:r w:rsidRPr="002029AF">
        <w:t>to</w:t>
      </w:r>
      <w:r w:rsidR="000A5329" w:rsidRPr="002029AF">
        <w:t xml:space="preserve"> </w:t>
      </w:r>
      <w:r w:rsidRPr="002029AF">
        <w:t>ensure</w:t>
      </w:r>
      <w:r w:rsidR="000A5329" w:rsidRPr="002029AF">
        <w:t xml:space="preserve"> </w:t>
      </w:r>
      <w:r w:rsidRPr="002029AF">
        <w:t>programs</w:t>
      </w:r>
      <w:r w:rsidR="000A5329" w:rsidRPr="002029AF">
        <w:t xml:space="preserve"> </w:t>
      </w:r>
      <w:r w:rsidRPr="002029AF">
        <w:t>and</w:t>
      </w:r>
      <w:r w:rsidR="000A5329" w:rsidRPr="002029AF">
        <w:t xml:space="preserve"> </w:t>
      </w:r>
      <w:r w:rsidRPr="002029AF">
        <w:t>services</w:t>
      </w:r>
      <w:r w:rsidR="000A5329" w:rsidRPr="002029AF">
        <w:t xml:space="preserve"> </w:t>
      </w:r>
      <w:r w:rsidRPr="002029AF">
        <w:t>respond</w:t>
      </w:r>
      <w:r w:rsidR="000A5329" w:rsidRPr="002029AF">
        <w:t xml:space="preserve"> </w:t>
      </w:r>
      <w:r w:rsidRPr="002029AF">
        <w:t>to</w:t>
      </w:r>
      <w:r w:rsidR="000A5329" w:rsidRPr="002029AF">
        <w:t xml:space="preserve"> </w:t>
      </w:r>
      <w:r w:rsidRPr="002029AF">
        <w:t>service</w:t>
      </w:r>
      <w:r w:rsidR="000A5329" w:rsidRPr="002029AF">
        <w:t xml:space="preserve"> </w:t>
      </w:r>
      <w:r w:rsidRPr="002029AF">
        <w:t>users’</w:t>
      </w:r>
      <w:r w:rsidR="000A5329" w:rsidRPr="002029AF">
        <w:t xml:space="preserve"> </w:t>
      </w:r>
      <w:r w:rsidRPr="002029AF">
        <w:t>preferences</w:t>
      </w:r>
      <w:r w:rsidR="000A5329" w:rsidRPr="002029AF">
        <w:t xml:space="preserve"> </w:t>
      </w:r>
      <w:r w:rsidRPr="002029AF">
        <w:t>and</w:t>
      </w:r>
      <w:r w:rsidR="000A5329" w:rsidRPr="002029AF">
        <w:t xml:space="preserve"> </w:t>
      </w:r>
      <w:r w:rsidRPr="002029AF">
        <w:t>needs.</w:t>
      </w:r>
      <w:r w:rsidR="000A5329" w:rsidRPr="002029AF">
        <w:t xml:space="preserve"> </w:t>
      </w:r>
      <w:r w:rsidRPr="002029AF">
        <w:t>Some</w:t>
      </w:r>
      <w:r w:rsidR="000A5329" w:rsidRPr="002029AF">
        <w:t xml:space="preserve"> </w:t>
      </w:r>
      <w:r w:rsidRPr="002029AF">
        <w:t>examples</w:t>
      </w:r>
      <w:r w:rsidR="000A5329" w:rsidRPr="002029AF">
        <w:t xml:space="preserve"> </w:t>
      </w:r>
      <w:r w:rsidRPr="002029AF">
        <w:t>of</w:t>
      </w:r>
      <w:r w:rsidR="000A5329" w:rsidRPr="002029AF">
        <w:t xml:space="preserve"> </w:t>
      </w:r>
      <w:r w:rsidRPr="002029AF">
        <w:t>initiatives</w:t>
      </w:r>
      <w:r w:rsidR="000A5329" w:rsidRPr="002029AF">
        <w:t xml:space="preserve"> </w:t>
      </w:r>
      <w:r w:rsidRPr="002029AF">
        <w:t>that</w:t>
      </w:r>
      <w:r w:rsidR="000A5329" w:rsidRPr="002029AF">
        <w:t xml:space="preserve"> </w:t>
      </w:r>
      <w:r w:rsidRPr="002029AF">
        <w:t>involved</w:t>
      </w:r>
      <w:r w:rsidR="000A5329" w:rsidRPr="002029AF">
        <w:t xml:space="preserve"> </w:t>
      </w:r>
      <w:r w:rsidRPr="002029AF">
        <w:t>public</w:t>
      </w:r>
      <w:r w:rsidR="000A5329" w:rsidRPr="002029AF">
        <w:t xml:space="preserve"> </w:t>
      </w:r>
      <w:r w:rsidRPr="002029AF">
        <w:t>consultation</w:t>
      </w:r>
      <w:r w:rsidR="000A5329" w:rsidRPr="002029AF">
        <w:t xml:space="preserve"> </w:t>
      </w:r>
      <w:r w:rsidRPr="002029AF">
        <w:t>via</w:t>
      </w:r>
      <w:r w:rsidR="000A5329" w:rsidRPr="002029AF">
        <w:t xml:space="preserve"> </w:t>
      </w:r>
      <w:r w:rsidRPr="002029AF">
        <w:t>Engage</w:t>
      </w:r>
      <w:r w:rsidR="000A5329" w:rsidRPr="002029AF">
        <w:t xml:space="preserve"> </w:t>
      </w:r>
      <w:r w:rsidRPr="002029AF">
        <w:t>Victoria</w:t>
      </w:r>
      <w:r w:rsidR="000A5329" w:rsidRPr="002029AF">
        <w:t xml:space="preserve"> </w:t>
      </w:r>
      <w:r w:rsidRPr="002029AF">
        <w:t>this</w:t>
      </w:r>
      <w:r w:rsidR="000A5329" w:rsidRPr="002029AF">
        <w:t xml:space="preserve"> </w:t>
      </w:r>
      <w:r w:rsidRPr="002029AF">
        <w:t>year</w:t>
      </w:r>
      <w:r w:rsidR="000A5329" w:rsidRPr="002029AF">
        <w:t xml:space="preserve"> </w:t>
      </w:r>
      <w:r w:rsidRPr="002029AF">
        <w:t>include:</w:t>
      </w:r>
    </w:p>
    <w:p w14:paraId="62CE6459" w14:textId="77777777" w:rsidR="00667FC4" w:rsidRPr="002029AF" w:rsidRDefault="00667FC4" w:rsidP="00667FC4">
      <w:pPr>
        <w:pStyle w:val="ARbullet2"/>
      </w:pPr>
      <w:r w:rsidRPr="002029AF">
        <w:t>the review of assisted reproductive treatment in Victoria</w:t>
      </w:r>
    </w:p>
    <w:p w14:paraId="22EC8632" w14:textId="77777777" w:rsidR="00667FC4" w:rsidRPr="002029AF" w:rsidRDefault="00667FC4" w:rsidP="00667FC4">
      <w:pPr>
        <w:pStyle w:val="ARbullet2"/>
      </w:pPr>
      <w:r w:rsidRPr="002029AF">
        <w:t xml:space="preserve">the </w:t>
      </w:r>
      <w:r w:rsidRPr="00B032FB">
        <w:rPr>
          <w:i/>
          <w:iCs/>
        </w:rPr>
        <w:t xml:space="preserve">Allied </w:t>
      </w:r>
      <w:r>
        <w:rPr>
          <w:i/>
          <w:iCs/>
        </w:rPr>
        <w:t>h</w:t>
      </w:r>
      <w:r w:rsidRPr="00B032FB">
        <w:rPr>
          <w:i/>
          <w:iCs/>
        </w:rPr>
        <w:t xml:space="preserve">ealth National Disability Insurance Scheme </w:t>
      </w:r>
      <w:r>
        <w:rPr>
          <w:i/>
          <w:iCs/>
        </w:rPr>
        <w:t>c</w:t>
      </w:r>
      <w:r w:rsidRPr="00B032FB">
        <w:rPr>
          <w:i/>
          <w:iCs/>
        </w:rPr>
        <w:t>apability framework</w:t>
      </w:r>
    </w:p>
    <w:p w14:paraId="66E4FA2A" w14:textId="77777777" w:rsidR="00667FC4" w:rsidRPr="002029AF" w:rsidRDefault="00667FC4" w:rsidP="00667FC4">
      <w:pPr>
        <w:pStyle w:val="ARbullet2"/>
      </w:pPr>
      <w:r w:rsidRPr="002029AF">
        <w:t xml:space="preserve">the </w:t>
      </w:r>
      <w:r w:rsidRPr="00B032FB">
        <w:rPr>
          <w:i/>
          <w:iCs/>
        </w:rPr>
        <w:t>Victorian cancer plan 2020–2024</w:t>
      </w:r>
    </w:p>
    <w:p w14:paraId="795DFA77" w14:textId="77777777" w:rsidR="00667FC4" w:rsidRPr="002029AF" w:rsidRDefault="00667FC4" w:rsidP="00667FC4">
      <w:pPr>
        <w:pStyle w:val="ARbullet2"/>
      </w:pPr>
      <w:r w:rsidRPr="002029AF">
        <w:t>the Victorian sexual health services review</w:t>
      </w:r>
    </w:p>
    <w:p w14:paraId="255EA5F0" w14:textId="77777777" w:rsidR="00667FC4" w:rsidRPr="002029AF" w:rsidRDefault="00667FC4" w:rsidP="00667FC4">
      <w:pPr>
        <w:pStyle w:val="ARbullet2"/>
      </w:pPr>
      <w:r w:rsidRPr="002029AF">
        <w:t>the community hospitals program</w:t>
      </w:r>
    </w:p>
    <w:p w14:paraId="3B10A1A8" w14:textId="77777777" w:rsidR="00667FC4" w:rsidRPr="002029AF" w:rsidRDefault="00667FC4" w:rsidP="00667FC4">
      <w:pPr>
        <w:pStyle w:val="ARbullet2"/>
      </w:pPr>
      <w:r w:rsidRPr="002029AF">
        <w:t>the future health care needs of Mildura</w:t>
      </w:r>
    </w:p>
    <w:p w14:paraId="08169016" w14:textId="77777777" w:rsidR="00667FC4" w:rsidRPr="002029AF" w:rsidRDefault="00667FC4" w:rsidP="00667FC4">
      <w:pPr>
        <w:pStyle w:val="ARbullet2"/>
      </w:pPr>
      <w:r w:rsidRPr="002029AF">
        <w:t>the future health care needs of the Mallee</w:t>
      </w:r>
    </w:p>
    <w:p w14:paraId="64A25E9A" w14:textId="77777777" w:rsidR="00667FC4" w:rsidRPr="002029AF" w:rsidRDefault="00667FC4" w:rsidP="00667FC4">
      <w:pPr>
        <w:pStyle w:val="ARbullet2"/>
      </w:pPr>
      <w:r w:rsidRPr="002029AF">
        <w:t>planning for the new Footscray Hospital</w:t>
      </w:r>
    </w:p>
    <w:p w14:paraId="44142624" w14:textId="17DF8643" w:rsidR="00667FC4" w:rsidRPr="002029AF" w:rsidRDefault="00667FC4" w:rsidP="00667FC4">
      <w:pPr>
        <w:pStyle w:val="ARbullet2"/>
      </w:pPr>
      <w:r w:rsidRPr="002029AF">
        <w:lastRenderedPageBreak/>
        <w:t>the Royal Commission into Victoria’s Mental</w:t>
      </w:r>
      <w:r w:rsidR="00020FE5">
        <w:t> </w:t>
      </w:r>
      <w:r w:rsidRPr="002029AF">
        <w:t>Health System.</w:t>
      </w:r>
    </w:p>
    <w:p w14:paraId="3DD8EFEA" w14:textId="1C607EC9" w:rsidR="00770DE1" w:rsidRPr="002029AF" w:rsidRDefault="00770DE1" w:rsidP="001E768A">
      <w:pPr>
        <w:pStyle w:val="ARbullet1"/>
      </w:pPr>
      <w:r w:rsidRPr="002029AF">
        <w:t>The</w:t>
      </w:r>
      <w:r w:rsidR="000A5329" w:rsidRPr="002029AF">
        <w:t xml:space="preserve"> </w:t>
      </w:r>
      <w:r w:rsidRPr="002029AF">
        <w:t>statewide</w:t>
      </w:r>
      <w:r w:rsidR="000A5329" w:rsidRPr="002029AF">
        <w:t xml:space="preserve"> </w:t>
      </w:r>
      <w:r w:rsidRPr="002029AF">
        <w:t>rollout</w:t>
      </w:r>
      <w:r w:rsidR="000A5329" w:rsidRPr="002029AF">
        <w:t xml:space="preserve"> </w:t>
      </w:r>
      <w:r w:rsidRPr="002029AF">
        <w:t>of</w:t>
      </w:r>
      <w:r w:rsidR="000A5329" w:rsidRPr="002029AF">
        <w:t xml:space="preserve"> </w:t>
      </w:r>
      <w:r w:rsidRPr="002029AF">
        <w:t>the</w:t>
      </w:r>
      <w:r w:rsidR="000A5329" w:rsidRPr="002029AF">
        <w:t xml:space="preserve"> </w:t>
      </w:r>
      <w:r w:rsidRPr="002029AF">
        <w:t>Hospital</w:t>
      </w:r>
      <w:r w:rsidR="000A5329" w:rsidRPr="002029AF">
        <w:t xml:space="preserve"> </w:t>
      </w:r>
      <w:r w:rsidRPr="002029AF">
        <w:t>Outreach</w:t>
      </w:r>
      <w:r w:rsidR="000A5329" w:rsidRPr="002029AF">
        <w:t xml:space="preserve"> </w:t>
      </w:r>
      <w:r w:rsidRPr="002029AF">
        <w:t>Post-Suicidal</w:t>
      </w:r>
      <w:r w:rsidR="000A5329" w:rsidRPr="002029AF">
        <w:t xml:space="preserve"> </w:t>
      </w:r>
      <w:r w:rsidRPr="002029AF">
        <w:t>Engagement</w:t>
      </w:r>
      <w:r w:rsidR="000A5329" w:rsidRPr="002029AF">
        <w:t xml:space="preserve"> </w:t>
      </w:r>
      <w:r w:rsidRPr="002029AF">
        <w:t>(HOPE)</w:t>
      </w:r>
      <w:r w:rsidR="000A5329" w:rsidRPr="002029AF">
        <w:t xml:space="preserve"> </w:t>
      </w:r>
      <w:r w:rsidRPr="002029AF">
        <w:t>program</w:t>
      </w:r>
      <w:r w:rsidR="000A5329" w:rsidRPr="002029AF">
        <w:t xml:space="preserve"> </w:t>
      </w:r>
      <w:r w:rsidRPr="002029AF">
        <w:t>continued</w:t>
      </w:r>
      <w:r w:rsidR="000A5329" w:rsidRPr="002029AF">
        <w:t xml:space="preserve"> </w:t>
      </w:r>
      <w:r w:rsidRPr="002029AF">
        <w:t>this</w:t>
      </w:r>
      <w:r w:rsidR="000A5329" w:rsidRPr="002029AF">
        <w:t xml:space="preserve"> </w:t>
      </w:r>
      <w:r w:rsidRPr="002029AF">
        <w:t>year.</w:t>
      </w:r>
      <w:r w:rsidR="000A5329" w:rsidRPr="002029AF">
        <w:t xml:space="preserve"> </w:t>
      </w:r>
      <w:r w:rsidRPr="002029AF">
        <w:t>The</w:t>
      </w:r>
      <w:r w:rsidR="000A5329" w:rsidRPr="002029AF">
        <w:t xml:space="preserve"> </w:t>
      </w:r>
      <w:r w:rsidRPr="002029AF">
        <w:t>HOPE</w:t>
      </w:r>
      <w:r w:rsidR="000A5329" w:rsidRPr="002029AF">
        <w:t xml:space="preserve"> </w:t>
      </w:r>
      <w:r w:rsidRPr="002029AF">
        <w:t>initiative</w:t>
      </w:r>
      <w:r w:rsidR="000A5329" w:rsidRPr="002029AF">
        <w:t xml:space="preserve"> </w:t>
      </w:r>
      <w:r w:rsidRPr="002029AF">
        <w:t>offers</w:t>
      </w:r>
      <w:r w:rsidR="000A5329" w:rsidRPr="002029AF">
        <w:t xml:space="preserve"> </w:t>
      </w:r>
      <w:r w:rsidRPr="002029AF">
        <w:t>enhanced</w:t>
      </w:r>
      <w:r w:rsidR="000A5329" w:rsidRPr="002029AF">
        <w:t xml:space="preserve"> </w:t>
      </w:r>
      <w:r w:rsidRPr="002029AF">
        <w:t>support</w:t>
      </w:r>
      <w:r w:rsidR="000A5329" w:rsidRPr="002029AF">
        <w:t xml:space="preserve"> </w:t>
      </w:r>
      <w:r w:rsidRPr="002029AF">
        <w:t>and</w:t>
      </w:r>
      <w:r w:rsidR="000A5329" w:rsidRPr="002029AF">
        <w:t xml:space="preserve"> </w:t>
      </w:r>
      <w:r w:rsidRPr="002029AF">
        <w:t>assertive</w:t>
      </w:r>
      <w:r w:rsidR="000A5329" w:rsidRPr="002029AF">
        <w:t xml:space="preserve"> </w:t>
      </w:r>
      <w:r w:rsidRPr="002029AF">
        <w:t>outreach</w:t>
      </w:r>
      <w:r w:rsidR="000A5329" w:rsidRPr="002029AF">
        <w:t xml:space="preserve"> </w:t>
      </w:r>
      <w:r w:rsidRPr="002029AF">
        <w:t>for</w:t>
      </w:r>
      <w:r w:rsidR="000A5329" w:rsidRPr="002029AF">
        <w:t xml:space="preserve"> </w:t>
      </w:r>
      <w:r w:rsidRPr="002029AF">
        <w:t>people</w:t>
      </w:r>
      <w:r w:rsidR="000A5329" w:rsidRPr="002029AF">
        <w:t xml:space="preserve"> </w:t>
      </w:r>
      <w:r w:rsidRPr="002029AF">
        <w:t>leaving</w:t>
      </w:r>
      <w:r w:rsidR="000A5329" w:rsidRPr="002029AF">
        <w:t xml:space="preserve"> </w:t>
      </w:r>
      <w:r w:rsidRPr="002029AF">
        <w:t>an</w:t>
      </w:r>
      <w:r w:rsidR="000A5329" w:rsidRPr="002029AF">
        <w:t xml:space="preserve"> </w:t>
      </w:r>
      <w:r w:rsidRPr="002029AF">
        <w:t>emergency</w:t>
      </w:r>
      <w:r w:rsidR="000A5329" w:rsidRPr="002029AF">
        <w:t xml:space="preserve"> </w:t>
      </w:r>
      <w:r w:rsidRPr="002029AF">
        <w:t>department</w:t>
      </w:r>
      <w:r w:rsidR="000A5329" w:rsidRPr="002029AF">
        <w:t xml:space="preserve"> </w:t>
      </w:r>
      <w:r w:rsidRPr="002029AF">
        <w:t>or</w:t>
      </w:r>
      <w:r w:rsidR="000A5329" w:rsidRPr="002029AF">
        <w:t xml:space="preserve"> </w:t>
      </w:r>
      <w:r w:rsidRPr="002029AF">
        <w:t>medical</w:t>
      </w:r>
      <w:r w:rsidR="000A5329" w:rsidRPr="002029AF">
        <w:t xml:space="preserve"> </w:t>
      </w:r>
      <w:r w:rsidRPr="002029AF">
        <w:t>ward</w:t>
      </w:r>
      <w:r w:rsidR="000A5329" w:rsidRPr="002029AF">
        <w:t xml:space="preserve"> </w:t>
      </w:r>
      <w:r w:rsidRPr="002029AF">
        <w:t>following</w:t>
      </w:r>
      <w:r w:rsidR="000A5329" w:rsidRPr="002029AF">
        <w:t xml:space="preserve"> </w:t>
      </w:r>
      <w:r w:rsidRPr="002029AF">
        <w:t>treatment</w:t>
      </w:r>
      <w:r w:rsidR="000A5329" w:rsidRPr="002029AF">
        <w:t xml:space="preserve"> </w:t>
      </w:r>
      <w:r w:rsidRPr="002029AF">
        <w:t>for</w:t>
      </w:r>
      <w:r w:rsidR="000A5329" w:rsidRPr="002029AF">
        <w:t xml:space="preserve"> </w:t>
      </w:r>
      <w:r w:rsidRPr="002029AF">
        <w:t>an</w:t>
      </w:r>
      <w:r w:rsidR="000A5329" w:rsidRPr="002029AF">
        <w:t xml:space="preserve"> </w:t>
      </w:r>
      <w:r w:rsidRPr="002029AF">
        <w:t>attempted</w:t>
      </w:r>
      <w:r w:rsidR="000A5329" w:rsidRPr="002029AF">
        <w:t xml:space="preserve"> </w:t>
      </w:r>
      <w:r w:rsidRPr="002029AF">
        <w:t>suicide.</w:t>
      </w:r>
      <w:r w:rsidR="000A5329" w:rsidRPr="002029AF">
        <w:t xml:space="preserve"> </w:t>
      </w:r>
      <w:r w:rsidRPr="002029AF">
        <w:t>HOPE</w:t>
      </w:r>
      <w:r w:rsidR="000A5329" w:rsidRPr="002029AF">
        <w:t xml:space="preserve"> </w:t>
      </w:r>
      <w:r w:rsidRPr="002029AF">
        <w:t>provides</w:t>
      </w:r>
      <w:r w:rsidR="000A5329" w:rsidRPr="002029AF">
        <w:t xml:space="preserve"> </w:t>
      </w:r>
      <w:r w:rsidRPr="002029AF">
        <w:t>intensive,</w:t>
      </w:r>
      <w:r w:rsidR="000A5329" w:rsidRPr="002029AF">
        <w:t xml:space="preserve"> </w:t>
      </w:r>
      <w:r w:rsidRPr="002029AF">
        <w:t>person-centred</w:t>
      </w:r>
      <w:r w:rsidR="000A5329" w:rsidRPr="002029AF">
        <w:t xml:space="preserve"> </w:t>
      </w:r>
      <w:r w:rsidRPr="002029AF">
        <w:t>support</w:t>
      </w:r>
      <w:r w:rsidR="000A5329" w:rsidRPr="002029AF">
        <w:t xml:space="preserve"> </w:t>
      </w:r>
      <w:r w:rsidRPr="002029AF">
        <w:t>which</w:t>
      </w:r>
      <w:r w:rsidR="000A5329" w:rsidRPr="002029AF">
        <w:t xml:space="preserve"> </w:t>
      </w:r>
      <w:r w:rsidRPr="002029AF">
        <w:t>is</w:t>
      </w:r>
      <w:r w:rsidR="000A5329" w:rsidRPr="002029AF">
        <w:t xml:space="preserve"> </w:t>
      </w:r>
      <w:r w:rsidRPr="002029AF">
        <w:t>tailored</w:t>
      </w:r>
      <w:r w:rsidR="000A5329" w:rsidRPr="002029AF">
        <w:t xml:space="preserve"> </w:t>
      </w:r>
      <w:r w:rsidRPr="002029AF">
        <w:t>to</w:t>
      </w:r>
      <w:r w:rsidR="000A5329" w:rsidRPr="002029AF">
        <w:t xml:space="preserve"> </w:t>
      </w:r>
      <w:r w:rsidRPr="002029AF">
        <w:t>the</w:t>
      </w:r>
      <w:r w:rsidR="000A5329" w:rsidRPr="002029AF">
        <w:t xml:space="preserve"> </w:t>
      </w:r>
      <w:r w:rsidRPr="002029AF">
        <w:t>unique</w:t>
      </w:r>
      <w:r w:rsidR="000A5329" w:rsidRPr="002029AF">
        <w:t xml:space="preserve"> </w:t>
      </w:r>
      <w:r w:rsidRPr="002029AF">
        <w:t>needs</w:t>
      </w:r>
      <w:r w:rsidR="000A5329" w:rsidRPr="002029AF">
        <w:t xml:space="preserve"> </w:t>
      </w:r>
      <w:r w:rsidRPr="002029AF">
        <w:t>and</w:t>
      </w:r>
      <w:r w:rsidR="000A5329" w:rsidRPr="002029AF">
        <w:t xml:space="preserve"> </w:t>
      </w:r>
      <w:r w:rsidRPr="002029AF">
        <w:t>circumstances</w:t>
      </w:r>
      <w:r w:rsidR="000A5329" w:rsidRPr="002029AF">
        <w:t xml:space="preserve"> </w:t>
      </w:r>
      <w:r w:rsidRPr="002029AF">
        <w:t>of</w:t>
      </w:r>
      <w:r w:rsidR="000A5329" w:rsidRPr="002029AF">
        <w:t xml:space="preserve"> </w:t>
      </w:r>
      <w:r w:rsidRPr="002029AF">
        <w:t>the</w:t>
      </w:r>
      <w:r w:rsidR="000A5329" w:rsidRPr="002029AF">
        <w:t xml:space="preserve"> </w:t>
      </w:r>
      <w:r w:rsidRPr="002029AF">
        <w:t>individual.</w:t>
      </w:r>
    </w:p>
    <w:p w14:paraId="4678C09E" w14:textId="09B674EC" w:rsidR="00770DE1" w:rsidRPr="002029AF" w:rsidRDefault="00770DE1" w:rsidP="001E768A">
      <w:pPr>
        <w:pStyle w:val="ARbullet1"/>
      </w:pPr>
      <w:r w:rsidRPr="002029AF">
        <w:t>In</w:t>
      </w:r>
      <w:r w:rsidR="000A5329" w:rsidRPr="002029AF">
        <w:t xml:space="preserve"> </w:t>
      </w:r>
      <w:r w:rsidRPr="002029AF">
        <w:t>October</w:t>
      </w:r>
      <w:r w:rsidR="000A5329" w:rsidRPr="002029AF">
        <w:t xml:space="preserve"> </w:t>
      </w:r>
      <w:r w:rsidRPr="002029AF">
        <w:t>2019,</w:t>
      </w:r>
      <w:r w:rsidR="000A5329" w:rsidRPr="002029AF">
        <w:t xml:space="preserve"> </w:t>
      </w:r>
      <w:r w:rsidRPr="002029AF">
        <w:t>following</w:t>
      </w:r>
      <w:r w:rsidR="000A5329" w:rsidRPr="002029AF">
        <w:t xml:space="preserve"> </w:t>
      </w:r>
      <w:r w:rsidRPr="002029AF">
        <w:t>close</w:t>
      </w:r>
      <w:r w:rsidR="000A5329" w:rsidRPr="002029AF">
        <w:t xml:space="preserve"> </w:t>
      </w:r>
      <w:r w:rsidRPr="002029AF">
        <w:t>consultation</w:t>
      </w:r>
      <w:r w:rsidR="000A5329" w:rsidRPr="002029AF">
        <w:t xml:space="preserve"> </w:t>
      </w:r>
      <w:r w:rsidRPr="002029AF">
        <w:t>with</w:t>
      </w:r>
      <w:r w:rsidR="000A5329" w:rsidRPr="002029AF">
        <w:t xml:space="preserve"> </w:t>
      </w:r>
      <w:r w:rsidRPr="002029AF">
        <w:t>key</w:t>
      </w:r>
      <w:r w:rsidR="000A5329" w:rsidRPr="002029AF">
        <w:t xml:space="preserve"> </w:t>
      </w:r>
      <w:r w:rsidRPr="002029AF">
        <w:t>stakeholders,</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launched</w:t>
      </w:r>
      <w:r w:rsidR="000A5329" w:rsidRPr="002029AF">
        <w:t xml:space="preserve"> </w:t>
      </w:r>
      <w:r w:rsidR="00F76363" w:rsidRPr="002029AF">
        <w:rPr>
          <w:i/>
          <w:iCs/>
        </w:rPr>
        <w:t>Strong</w:t>
      </w:r>
      <w:r w:rsidR="000A5329" w:rsidRPr="002029AF">
        <w:rPr>
          <w:i/>
          <w:iCs/>
        </w:rPr>
        <w:t xml:space="preserve"> </w:t>
      </w:r>
      <w:r w:rsidR="00F76363" w:rsidRPr="002029AF">
        <w:rPr>
          <w:i/>
          <w:iCs/>
        </w:rPr>
        <w:t>carers,</w:t>
      </w:r>
      <w:r w:rsidR="000A5329" w:rsidRPr="002029AF">
        <w:rPr>
          <w:i/>
          <w:iCs/>
        </w:rPr>
        <w:t xml:space="preserve"> </w:t>
      </w:r>
      <w:r w:rsidR="00F76363" w:rsidRPr="002029AF">
        <w:rPr>
          <w:i/>
          <w:iCs/>
        </w:rPr>
        <w:t>stronger</w:t>
      </w:r>
      <w:r w:rsidR="000A5329" w:rsidRPr="002029AF">
        <w:t xml:space="preserve"> </w:t>
      </w:r>
      <w:r w:rsidR="00F76363" w:rsidRPr="002029AF">
        <w:rPr>
          <w:i/>
          <w:iCs/>
        </w:rPr>
        <w:t>children</w:t>
      </w:r>
      <w:r w:rsidR="00F76363" w:rsidRPr="002029AF">
        <w:t>,</w:t>
      </w:r>
      <w:r w:rsidR="000A5329" w:rsidRPr="002029AF">
        <w:t xml:space="preserve"> </w:t>
      </w:r>
      <w:r w:rsidRPr="002029AF">
        <w:t>Victoria’s</w:t>
      </w:r>
      <w:r w:rsidR="000A5329" w:rsidRPr="002029AF">
        <w:t xml:space="preserve"> </w:t>
      </w:r>
      <w:r w:rsidRPr="002029AF">
        <w:t>strategy</w:t>
      </w:r>
      <w:r w:rsidR="000A5329" w:rsidRPr="002029AF">
        <w:t xml:space="preserve"> </w:t>
      </w:r>
      <w:r w:rsidRPr="002029AF">
        <w:t>to</w:t>
      </w:r>
      <w:r w:rsidR="000A5329" w:rsidRPr="002029AF">
        <w:t xml:space="preserve"> </w:t>
      </w:r>
      <w:r w:rsidRPr="002029AF">
        <w:t>support</w:t>
      </w:r>
      <w:r w:rsidR="000A5329" w:rsidRPr="002029AF">
        <w:t xml:space="preserve"> </w:t>
      </w:r>
      <w:r w:rsidRPr="002029AF">
        <w:t>kinship,</w:t>
      </w:r>
      <w:r w:rsidR="000A5329" w:rsidRPr="002029AF">
        <w:t xml:space="preserve"> </w:t>
      </w:r>
      <w:r w:rsidRPr="002029AF">
        <w:t>foster</w:t>
      </w:r>
      <w:r w:rsidR="000A5329" w:rsidRPr="002029AF">
        <w:t xml:space="preserve"> </w:t>
      </w:r>
      <w:r w:rsidRPr="002029AF">
        <w:t>and</w:t>
      </w:r>
      <w:r w:rsidR="000A5329" w:rsidRPr="002029AF">
        <w:t xml:space="preserve"> </w:t>
      </w:r>
      <w:r w:rsidRPr="002029AF">
        <w:t>permanent</w:t>
      </w:r>
      <w:r w:rsidR="000A5329" w:rsidRPr="002029AF">
        <w:t xml:space="preserve"> </w:t>
      </w:r>
      <w:r w:rsidRPr="002029AF">
        <w:t>carers</w:t>
      </w:r>
      <w:r w:rsidR="003D68B4" w:rsidRPr="002029AF">
        <w:t>.</w:t>
      </w:r>
      <w:r w:rsidR="000A5329" w:rsidRPr="002029AF">
        <w:t xml:space="preserve"> </w:t>
      </w:r>
      <w:r w:rsidRPr="002029AF">
        <w:t>The</w:t>
      </w:r>
      <w:r w:rsidR="000A5329" w:rsidRPr="002029AF">
        <w:t xml:space="preserve"> </w:t>
      </w:r>
      <w:r w:rsidRPr="002029AF">
        <w:t>strategy</w:t>
      </w:r>
      <w:r w:rsidR="000A5329" w:rsidRPr="002029AF">
        <w:t xml:space="preserve"> </w:t>
      </w:r>
      <w:r w:rsidRPr="002029AF">
        <w:t>sets</w:t>
      </w:r>
      <w:r w:rsidR="000A5329" w:rsidRPr="002029AF">
        <w:t xml:space="preserve"> </w:t>
      </w:r>
      <w:r w:rsidRPr="002029AF">
        <w:t>out</w:t>
      </w:r>
      <w:r w:rsidR="000A5329" w:rsidRPr="002029AF">
        <w:t xml:space="preserve"> </w:t>
      </w:r>
      <w:r w:rsidRPr="002029AF">
        <w:t>six</w:t>
      </w:r>
      <w:r w:rsidR="000A5329" w:rsidRPr="002029AF">
        <w:t xml:space="preserve"> </w:t>
      </w:r>
      <w:r w:rsidRPr="002029AF">
        <w:t>goals</w:t>
      </w:r>
      <w:r w:rsidR="000A5329" w:rsidRPr="002029AF">
        <w:t xml:space="preserve"> </w:t>
      </w:r>
      <w:r w:rsidRPr="002029AF">
        <w:t>to</w:t>
      </w:r>
      <w:r w:rsidR="000A5329" w:rsidRPr="002029AF">
        <w:t xml:space="preserve"> </w:t>
      </w:r>
      <w:r w:rsidRPr="002029AF">
        <w:t>improve</w:t>
      </w:r>
      <w:r w:rsidR="000A5329" w:rsidRPr="002029AF">
        <w:t xml:space="preserve"> </w:t>
      </w:r>
      <w:r w:rsidRPr="002029AF">
        <w:t>the</w:t>
      </w:r>
      <w:r w:rsidR="000A5329" w:rsidRPr="002029AF">
        <w:t xml:space="preserve"> </w:t>
      </w:r>
      <w:r w:rsidRPr="002029AF">
        <w:t>experience</w:t>
      </w:r>
      <w:r w:rsidR="000A5329" w:rsidRPr="002029AF">
        <w:t xml:space="preserve"> </w:t>
      </w:r>
      <w:r w:rsidRPr="002029AF">
        <w:t>of</w:t>
      </w:r>
      <w:r w:rsidR="000A5329" w:rsidRPr="002029AF">
        <w:t xml:space="preserve"> </w:t>
      </w:r>
      <w:r w:rsidRPr="002029AF">
        <w:t>Victoria</w:t>
      </w:r>
      <w:r w:rsidR="005F298C">
        <w:t>’</w:t>
      </w:r>
      <w:r w:rsidRPr="002029AF">
        <w:t>s</w:t>
      </w:r>
      <w:r w:rsidR="000A5329" w:rsidRPr="002029AF">
        <w:t xml:space="preserve"> </w:t>
      </w:r>
      <w:r w:rsidRPr="002029AF">
        <w:t>dedicated</w:t>
      </w:r>
      <w:r w:rsidR="000A5329" w:rsidRPr="002029AF">
        <w:t xml:space="preserve"> </w:t>
      </w:r>
      <w:r w:rsidRPr="002029AF">
        <w:t>carers,</w:t>
      </w:r>
      <w:r w:rsidR="000A5329" w:rsidRPr="002029AF">
        <w:t xml:space="preserve"> </w:t>
      </w:r>
      <w:r w:rsidR="0090786B" w:rsidRPr="002029AF">
        <w:t>as</w:t>
      </w:r>
      <w:r w:rsidR="000A5329" w:rsidRPr="002029AF">
        <w:t xml:space="preserve"> </w:t>
      </w:r>
      <w:r w:rsidR="0090786B" w:rsidRPr="002029AF">
        <w:t>we</w:t>
      </w:r>
      <w:r w:rsidR="00322209" w:rsidRPr="002029AF">
        <w:t>ll</w:t>
      </w:r>
      <w:r w:rsidR="000A5329" w:rsidRPr="002029AF">
        <w:t xml:space="preserve"> </w:t>
      </w:r>
      <w:r w:rsidR="00322209" w:rsidRPr="002029AF">
        <w:t>as</w:t>
      </w:r>
      <w:r w:rsidR="000A5329" w:rsidRPr="002029AF">
        <w:t xml:space="preserve"> </w:t>
      </w:r>
      <w:r w:rsidRPr="002029AF">
        <w:t>the</w:t>
      </w:r>
      <w:r w:rsidR="000A5329" w:rsidRPr="002029AF">
        <w:t xml:space="preserve"> </w:t>
      </w:r>
      <w:r w:rsidRPr="002029AF">
        <w:t>lives</w:t>
      </w:r>
      <w:r w:rsidR="000A5329" w:rsidRPr="002029AF">
        <w:t xml:space="preserve"> </w:t>
      </w:r>
      <w:r w:rsidRPr="002029AF">
        <w:t>and</w:t>
      </w:r>
      <w:r w:rsidR="000A5329" w:rsidRPr="002029AF">
        <w:t xml:space="preserve"> </w:t>
      </w:r>
      <w:r w:rsidRPr="002029AF">
        <w:t>futures</w:t>
      </w:r>
      <w:r w:rsidR="000A5329" w:rsidRPr="002029AF">
        <w:t xml:space="preserve"> </w:t>
      </w:r>
      <w:r w:rsidRPr="002029AF">
        <w:t>of</w:t>
      </w:r>
      <w:r w:rsidR="000A5329" w:rsidRPr="002029AF">
        <w:t xml:space="preserve"> </w:t>
      </w:r>
      <w:r w:rsidRPr="002029AF">
        <w:t>the</w:t>
      </w:r>
      <w:r w:rsidR="000A5329" w:rsidRPr="002029AF">
        <w:t xml:space="preserve"> </w:t>
      </w:r>
      <w:r w:rsidRPr="002029AF">
        <w:t>children</w:t>
      </w:r>
      <w:r w:rsidR="000A5329" w:rsidRPr="002029AF">
        <w:t xml:space="preserve"> </w:t>
      </w:r>
      <w:r w:rsidRPr="002029AF">
        <w:t>and</w:t>
      </w:r>
      <w:r w:rsidR="000A5329" w:rsidRPr="002029AF">
        <w:t xml:space="preserve"> </w:t>
      </w:r>
      <w:r w:rsidRPr="002029AF">
        <w:t>young</w:t>
      </w:r>
      <w:r w:rsidR="000A5329" w:rsidRPr="002029AF">
        <w:t xml:space="preserve"> </w:t>
      </w:r>
      <w:r w:rsidRPr="002029AF">
        <w:t>people</w:t>
      </w:r>
      <w:r w:rsidR="000A5329" w:rsidRPr="002029AF">
        <w:t xml:space="preserve"> </w:t>
      </w:r>
      <w:r w:rsidRPr="002029AF">
        <w:t>they</w:t>
      </w:r>
      <w:r w:rsidR="000A5329" w:rsidRPr="002029AF">
        <w:t xml:space="preserve"> </w:t>
      </w:r>
      <w:r w:rsidRPr="002029AF">
        <w:t>care</w:t>
      </w:r>
      <w:r w:rsidR="000A5329" w:rsidRPr="002029AF">
        <w:t xml:space="preserve"> </w:t>
      </w:r>
      <w:r w:rsidRPr="002029AF">
        <w:t>for.</w:t>
      </w:r>
      <w:r w:rsidR="000A5329" w:rsidRPr="002029AF">
        <w:t xml:space="preserve"> </w:t>
      </w:r>
      <w:r w:rsidRPr="002029AF">
        <w:t>Developed</w:t>
      </w:r>
      <w:r w:rsidR="000A5329" w:rsidRPr="002029AF">
        <w:t xml:space="preserve"> </w:t>
      </w:r>
      <w:r w:rsidRPr="002029AF">
        <w:t>by</w:t>
      </w:r>
      <w:r w:rsidR="000A5329" w:rsidRPr="002029AF">
        <w:t xml:space="preserve"> </w:t>
      </w:r>
      <w:r w:rsidRPr="002029AF">
        <w:t>carers,</w:t>
      </w:r>
      <w:r w:rsidR="000A5329" w:rsidRPr="002029AF">
        <w:t xml:space="preserve"> </w:t>
      </w:r>
      <w:r w:rsidRPr="002029AF">
        <w:t>for</w:t>
      </w:r>
      <w:r w:rsidR="000A5329" w:rsidRPr="002029AF">
        <w:t xml:space="preserve"> </w:t>
      </w:r>
      <w:r w:rsidRPr="002029AF">
        <w:t>carers,</w:t>
      </w:r>
      <w:r w:rsidR="000A5329" w:rsidRPr="002029AF">
        <w:t xml:space="preserve"> </w:t>
      </w:r>
      <w:r w:rsidRPr="002029AF">
        <w:t>the</w:t>
      </w:r>
      <w:r w:rsidR="000A5329" w:rsidRPr="002029AF">
        <w:t xml:space="preserve"> </w:t>
      </w:r>
      <w:r w:rsidRPr="002029AF">
        <w:t>strategy</w:t>
      </w:r>
      <w:r w:rsidR="000A5329" w:rsidRPr="002029AF">
        <w:t xml:space="preserve"> </w:t>
      </w:r>
      <w:r w:rsidRPr="002029AF">
        <w:t>acknowledges</w:t>
      </w:r>
      <w:r w:rsidR="000A5329" w:rsidRPr="002029AF">
        <w:t xml:space="preserve"> </w:t>
      </w:r>
      <w:r w:rsidRPr="002029AF">
        <w:t>the</w:t>
      </w:r>
      <w:r w:rsidR="000A5329" w:rsidRPr="002029AF">
        <w:t xml:space="preserve"> </w:t>
      </w:r>
      <w:r w:rsidRPr="002029AF">
        <w:t>complex</w:t>
      </w:r>
      <w:r w:rsidR="000A5329" w:rsidRPr="002029AF">
        <w:t xml:space="preserve"> </w:t>
      </w:r>
      <w:r w:rsidRPr="002029AF">
        <w:t>challenges</w:t>
      </w:r>
      <w:r w:rsidR="000A5329" w:rsidRPr="002029AF">
        <w:t xml:space="preserve"> </w:t>
      </w:r>
      <w:r w:rsidRPr="002029AF">
        <w:t>carers</w:t>
      </w:r>
      <w:r w:rsidR="000A5329" w:rsidRPr="002029AF">
        <w:t xml:space="preserve"> </w:t>
      </w:r>
      <w:r w:rsidRPr="002029AF">
        <w:t>face</w:t>
      </w:r>
      <w:r w:rsidR="000A5329" w:rsidRPr="002029AF">
        <w:t xml:space="preserve"> </w:t>
      </w:r>
      <w:r w:rsidRPr="002029AF">
        <w:t>every</w:t>
      </w:r>
      <w:r w:rsidR="000A5329" w:rsidRPr="002029AF">
        <w:t xml:space="preserve"> </w:t>
      </w:r>
      <w:r w:rsidRPr="002029AF">
        <w:t>day.</w:t>
      </w:r>
    </w:p>
    <w:p w14:paraId="21825AB9" w14:textId="1A2A7B87" w:rsidR="00770DE1" w:rsidRPr="002029AF" w:rsidRDefault="00770DE1" w:rsidP="001E768A">
      <w:pPr>
        <w:pStyle w:val="ARbullet1"/>
      </w:pPr>
      <w:r w:rsidRPr="002029AF">
        <w:t>In</w:t>
      </w:r>
      <w:r w:rsidR="000A5329" w:rsidRPr="002029AF">
        <w:t xml:space="preserve"> </w:t>
      </w:r>
      <w:r w:rsidRPr="002029AF">
        <w:t>201</w:t>
      </w:r>
      <w:r w:rsidR="00DB53E6" w:rsidRPr="002029AF">
        <w:t>9–</w:t>
      </w:r>
      <w:r w:rsidRPr="002029AF">
        <w:t>20</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continued</w:t>
      </w:r>
      <w:r w:rsidR="000A5329" w:rsidRPr="002029AF">
        <w:t xml:space="preserve"> </w:t>
      </w:r>
      <w:r w:rsidRPr="002029AF">
        <w:t>to</w:t>
      </w:r>
      <w:r w:rsidR="000A5329" w:rsidRPr="002029AF">
        <w:t xml:space="preserve"> </w:t>
      </w:r>
      <w:r w:rsidRPr="002029AF">
        <w:t>operationalise</w:t>
      </w:r>
      <w:r w:rsidR="000A5329" w:rsidRPr="002029AF">
        <w:t xml:space="preserve"> </w:t>
      </w:r>
      <w:r w:rsidRPr="002029AF">
        <w:t>the</w:t>
      </w:r>
      <w:r w:rsidR="000A5329" w:rsidRPr="002029AF">
        <w:t xml:space="preserve"> </w:t>
      </w:r>
      <w:r w:rsidRPr="002029AF">
        <w:t>principles</w:t>
      </w:r>
      <w:r w:rsidR="000A5329" w:rsidRPr="002029AF">
        <w:t xml:space="preserve"> </w:t>
      </w:r>
      <w:r w:rsidRPr="002029AF">
        <w:t>of</w:t>
      </w:r>
      <w:r w:rsidR="000A5329" w:rsidRPr="002029AF">
        <w:t xml:space="preserve"> </w:t>
      </w:r>
      <w:r w:rsidRPr="002029AF">
        <w:t>Aboriginal</w:t>
      </w:r>
      <w:r w:rsidR="000A5329" w:rsidRPr="002029AF">
        <w:t xml:space="preserve"> </w:t>
      </w:r>
      <w:r w:rsidRPr="002029AF">
        <w:t>self-determination</w:t>
      </w:r>
      <w:r w:rsidR="000A5329" w:rsidRPr="002029AF">
        <w:t xml:space="preserve"> </w:t>
      </w:r>
      <w:r w:rsidRPr="002029AF">
        <w:t>across</w:t>
      </w:r>
      <w:r w:rsidR="000A5329" w:rsidRPr="002029AF">
        <w:t xml:space="preserve"> </w:t>
      </w:r>
      <w:r w:rsidRPr="002029AF">
        <w:t>the</w:t>
      </w:r>
      <w:r w:rsidR="000A5329" w:rsidRPr="002029AF">
        <w:t xml:space="preserve"> </w:t>
      </w:r>
      <w:r w:rsidRPr="002029AF">
        <w:t>services</w:t>
      </w:r>
      <w:r w:rsidR="000A5329" w:rsidRPr="002029AF">
        <w:t xml:space="preserve"> </w:t>
      </w:r>
      <w:r w:rsidRPr="002029AF">
        <w:t>it</w:t>
      </w:r>
      <w:r w:rsidR="000A5329" w:rsidRPr="002029AF">
        <w:t xml:space="preserve"> </w:t>
      </w:r>
      <w:r w:rsidRPr="002029AF">
        <w:t>funds</w:t>
      </w:r>
      <w:r w:rsidR="000A5329" w:rsidRPr="002029AF">
        <w:t xml:space="preserve"> </w:t>
      </w:r>
      <w:r w:rsidRPr="002029AF">
        <w:t>and</w:t>
      </w:r>
      <w:r w:rsidR="000A5329" w:rsidRPr="002029AF">
        <w:t xml:space="preserve"> </w:t>
      </w:r>
      <w:r w:rsidRPr="002029AF">
        <w:t>delivers.</w:t>
      </w:r>
      <w:r w:rsidR="000A5329" w:rsidRPr="002029AF">
        <w:t xml:space="preserve"> </w:t>
      </w:r>
      <w:r w:rsidRPr="002029AF">
        <w:t>Key</w:t>
      </w:r>
      <w:r w:rsidR="000A5329" w:rsidRPr="002029AF">
        <w:t xml:space="preserve"> </w:t>
      </w:r>
      <w:r w:rsidRPr="002029AF">
        <w:t>work</w:t>
      </w:r>
      <w:r w:rsidR="000A5329" w:rsidRPr="002029AF">
        <w:t xml:space="preserve"> </w:t>
      </w:r>
      <w:r w:rsidRPr="002029AF">
        <w:t>in</w:t>
      </w:r>
      <w:r w:rsidR="000A5329" w:rsidRPr="002029AF">
        <w:t xml:space="preserve"> </w:t>
      </w:r>
      <w:r w:rsidRPr="002029AF">
        <w:t>advancing</w:t>
      </w:r>
      <w:r w:rsidR="000A5329" w:rsidRPr="002029AF">
        <w:t xml:space="preserve"> </w:t>
      </w:r>
      <w:r w:rsidRPr="002029AF">
        <w:t>Aboriginal</w:t>
      </w:r>
      <w:r w:rsidR="000A5329" w:rsidRPr="002029AF">
        <w:t xml:space="preserve"> </w:t>
      </w:r>
      <w:r w:rsidRPr="002029AF">
        <w:t>self-determination</w:t>
      </w:r>
      <w:r w:rsidR="000A5329" w:rsidRPr="002029AF">
        <w:t xml:space="preserve"> </w:t>
      </w:r>
      <w:r w:rsidRPr="002029AF">
        <w:t>this</w:t>
      </w:r>
      <w:r w:rsidR="000A5329" w:rsidRPr="002029AF">
        <w:t xml:space="preserve"> </w:t>
      </w:r>
      <w:r w:rsidRPr="002029AF">
        <w:t>year</w:t>
      </w:r>
      <w:r w:rsidR="000A5329" w:rsidRPr="002029AF">
        <w:t xml:space="preserve"> </w:t>
      </w:r>
      <w:r w:rsidRPr="002029AF">
        <w:t>included:</w:t>
      </w:r>
    </w:p>
    <w:p w14:paraId="20DF1F36" w14:textId="41DFD174" w:rsidR="00770DE1" w:rsidRPr="002029AF" w:rsidRDefault="00770DE1" w:rsidP="001E768A">
      <w:pPr>
        <w:pStyle w:val="ARbullet2"/>
      </w:pPr>
      <w:r w:rsidRPr="002029AF">
        <w:t>Ongoing</w:t>
      </w:r>
      <w:r w:rsidR="000A5329" w:rsidRPr="002029AF">
        <w:t xml:space="preserve"> </w:t>
      </w:r>
      <w:r w:rsidRPr="002029AF">
        <w:t>implementation</w:t>
      </w:r>
      <w:r w:rsidR="000A5329" w:rsidRPr="002029AF">
        <w:t xml:space="preserve"> </w:t>
      </w:r>
      <w:r w:rsidRPr="002029AF">
        <w:t>of</w:t>
      </w:r>
      <w:r w:rsidR="000A5329" w:rsidRPr="002029AF">
        <w:t xml:space="preserve"> </w:t>
      </w:r>
      <w:r w:rsidRPr="002029AF">
        <w:rPr>
          <w:i/>
        </w:rPr>
        <w:t>Wungurilwil</w:t>
      </w:r>
      <w:r w:rsidR="000A5329" w:rsidRPr="002029AF">
        <w:rPr>
          <w:i/>
        </w:rPr>
        <w:t xml:space="preserve"> </w:t>
      </w:r>
      <w:r w:rsidRPr="002029AF">
        <w:rPr>
          <w:i/>
        </w:rPr>
        <w:t>Gapgapduir</w:t>
      </w:r>
      <w:r w:rsidRPr="002029AF">
        <w:t>,</w:t>
      </w:r>
      <w:r w:rsidR="000A5329" w:rsidRPr="002029AF">
        <w:t xml:space="preserve"> </w:t>
      </w:r>
      <w:r w:rsidRPr="002029AF">
        <w:t>which</w:t>
      </w:r>
      <w:r w:rsidR="000A5329" w:rsidRPr="002029AF">
        <w:t xml:space="preserve"> </w:t>
      </w:r>
      <w:r w:rsidRPr="002029AF">
        <w:t>formalises</w:t>
      </w:r>
      <w:r w:rsidR="000A5329" w:rsidRPr="002029AF">
        <w:t xml:space="preserve"> </w:t>
      </w:r>
      <w:r w:rsidRPr="002029AF">
        <w:t>our</w:t>
      </w:r>
      <w:r w:rsidR="000A5329" w:rsidRPr="002029AF">
        <w:t xml:space="preserve"> </w:t>
      </w:r>
      <w:r w:rsidRPr="002029AF">
        <w:t>commitment</w:t>
      </w:r>
      <w:r w:rsidR="000A5329" w:rsidRPr="002029AF">
        <w:t xml:space="preserve"> </w:t>
      </w:r>
      <w:r w:rsidRPr="002029AF">
        <w:t>to</w:t>
      </w:r>
      <w:r w:rsidR="000A5329" w:rsidRPr="002029AF">
        <w:t xml:space="preserve"> </w:t>
      </w:r>
      <w:r w:rsidRPr="002029AF">
        <w:t>ensure</w:t>
      </w:r>
      <w:r w:rsidR="000A5329" w:rsidRPr="002029AF">
        <w:t xml:space="preserve"> </w:t>
      </w:r>
      <w:r w:rsidRPr="002029AF">
        <w:t>all</w:t>
      </w:r>
      <w:r w:rsidR="000A5329" w:rsidRPr="002029AF">
        <w:t xml:space="preserve"> </w:t>
      </w:r>
      <w:r w:rsidRPr="002029AF">
        <w:t>Aboriginal</w:t>
      </w:r>
      <w:r w:rsidR="000A5329" w:rsidRPr="002029AF">
        <w:t xml:space="preserve"> </w:t>
      </w:r>
      <w:r w:rsidRPr="002029AF">
        <w:t>children</w:t>
      </w:r>
      <w:r w:rsidR="000A5329" w:rsidRPr="002029AF">
        <w:t xml:space="preserve"> </w:t>
      </w:r>
      <w:r w:rsidRPr="002029AF">
        <w:t>and</w:t>
      </w:r>
      <w:r w:rsidR="000A5329" w:rsidRPr="002029AF">
        <w:t xml:space="preserve"> </w:t>
      </w:r>
      <w:r w:rsidRPr="002029AF">
        <w:t>young</w:t>
      </w:r>
      <w:r w:rsidR="000A5329" w:rsidRPr="002029AF">
        <w:t xml:space="preserve"> </w:t>
      </w:r>
      <w:r w:rsidRPr="002029AF">
        <w:t>people</w:t>
      </w:r>
      <w:r w:rsidR="000A5329" w:rsidRPr="002029AF">
        <w:t xml:space="preserve"> </w:t>
      </w:r>
      <w:r w:rsidRPr="002029AF">
        <w:t>in</w:t>
      </w:r>
      <w:r w:rsidR="000A5329" w:rsidRPr="002029AF">
        <w:t xml:space="preserve"> </w:t>
      </w:r>
      <w:r w:rsidRPr="002029AF">
        <w:t>Victoria</w:t>
      </w:r>
      <w:r w:rsidR="000A5329" w:rsidRPr="002029AF">
        <w:t xml:space="preserve"> </w:t>
      </w:r>
      <w:r w:rsidRPr="002029AF">
        <w:t>are</w:t>
      </w:r>
      <w:r w:rsidR="000A5329" w:rsidRPr="002029AF">
        <w:t xml:space="preserve"> </w:t>
      </w:r>
      <w:r w:rsidRPr="002029AF">
        <w:t>safe,</w:t>
      </w:r>
      <w:r w:rsidR="000A5329" w:rsidRPr="002029AF">
        <w:t xml:space="preserve"> </w:t>
      </w:r>
      <w:r w:rsidRPr="002029AF">
        <w:t>resilient,</w:t>
      </w:r>
      <w:r w:rsidR="000A5329" w:rsidRPr="002029AF">
        <w:t xml:space="preserve"> </w:t>
      </w:r>
      <w:r w:rsidRPr="002029AF">
        <w:t>thriving</w:t>
      </w:r>
      <w:r w:rsidR="000A5329" w:rsidRPr="002029AF">
        <w:t xml:space="preserve"> </w:t>
      </w:r>
      <w:r w:rsidRPr="002029AF">
        <w:t>and</w:t>
      </w:r>
      <w:r w:rsidR="000A5329" w:rsidRPr="002029AF">
        <w:t xml:space="preserve"> </w:t>
      </w:r>
      <w:r w:rsidRPr="002029AF">
        <w:t>living</w:t>
      </w:r>
      <w:r w:rsidR="000A5329" w:rsidRPr="002029AF">
        <w:t xml:space="preserve"> </w:t>
      </w:r>
      <w:r w:rsidRPr="002029AF">
        <w:t>in</w:t>
      </w:r>
      <w:r w:rsidR="000A5329" w:rsidRPr="002029AF">
        <w:t xml:space="preserve"> </w:t>
      </w:r>
      <w:r w:rsidRPr="002029AF">
        <w:t>culturally</w:t>
      </w:r>
      <w:r w:rsidR="000A5329" w:rsidRPr="002029AF">
        <w:t xml:space="preserve"> </w:t>
      </w:r>
      <w:r w:rsidRPr="002029AF">
        <w:t>rich</w:t>
      </w:r>
      <w:r w:rsidR="000A5329" w:rsidRPr="002029AF">
        <w:t xml:space="preserve"> </w:t>
      </w:r>
      <w:r w:rsidRPr="002029AF">
        <w:t>and</w:t>
      </w:r>
      <w:r w:rsidR="000A5329" w:rsidRPr="002029AF">
        <w:t xml:space="preserve"> </w:t>
      </w:r>
      <w:r w:rsidRPr="002029AF">
        <w:t>strong</w:t>
      </w:r>
      <w:r w:rsidR="000A5329" w:rsidRPr="002029AF">
        <w:t xml:space="preserve"> </w:t>
      </w:r>
      <w:r w:rsidRPr="002029AF">
        <w:t>Aboriginal</w:t>
      </w:r>
      <w:r w:rsidR="000A5329" w:rsidRPr="002029AF">
        <w:t xml:space="preserve"> </w:t>
      </w:r>
      <w:r w:rsidRPr="002029AF">
        <w:t>families</w:t>
      </w:r>
      <w:r w:rsidR="000A5329" w:rsidRPr="002029AF">
        <w:t xml:space="preserve"> </w:t>
      </w:r>
      <w:r w:rsidRPr="002029AF">
        <w:t>and</w:t>
      </w:r>
      <w:r w:rsidR="000A5329" w:rsidRPr="002029AF">
        <w:t xml:space="preserve"> </w:t>
      </w:r>
      <w:r w:rsidRPr="002029AF">
        <w:t>communities.</w:t>
      </w:r>
    </w:p>
    <w:p w14:paraId="4ABCC678" w14:textId="52056565" w:rsidR="000A5329" w:rsidRPr="002029AF" w:rsidRDefault="00770DE1" w:rsidP="001E768A">
      <w:pPr>
        <w:pStyle w:val="ARbullet2"/>
      </w:pPr>
      <w:r w:rsidRPr="002029AF">
        <w:t>Continuation</w:t>
      </w:r>
      <w:r w:rsidR="000A5329" w:rsidRPr="002029AF">
        <w:t xml:space="preserve"> </w:t>
      </w:r>
      <w:r w:rsidRPr="002029AF">
        <w:t>of</w:t>
      </w:r>
      <w:r w:rsidR="000A5329" w:rsidRPr="002029AF">
        <w:t xml:space="preserve"> </w:t>
      </w:r>
      <w:r w:rsidRPr="002029AF">
        <w:t>the</w:t>
      </w:r>
      <w:r w:rsidR="000A5329" w:rsidRPr="002029AF">
        <w:t xml:space="preserve"> </w:t>
      </w:r>
      <w:r w:rsidRPr="002029AF">
        <w:t>Aboriginal</w:t>
      </w:r>
      <w:r w:rsidR="000A5329" w:rsidRPr="002029AF">
        <w:t xml:space="preserve"> </w:t>
      </w:r>
      <w:r w:rsidRPr="002029AF">
        <w:t>Children’s</w:t>
      </w:r>
      <w:r w:rsidR="000A5329" w:rsidRPr="002029AF">
        <w:t xml:space="preserve"> </w:t>
      </w:r>
      <w:r w:rsidRPr="002029AF">
        <w:t>Forum</w:t>
      </w:r>
      <w:r w:rsidR="000A5329" w:rsidRPr="002029AF">
        <w:t xml:space="preserve"> </w:t>
      </w:r>
      <w:r w:rsidRPr="002029AF">
        <w:t>which</w:t>
      </w:r>
      <w:r w:rsidR="000A5329" w:rsidRPr="002029AF">
        <w:t xml:space="preserve"> </w:t>
      </w:r>
      <w:r w:rsidRPr="002029AF">
        <w:t>meets</w:t>
      </w:r>
      <w:r w:rsidR="000A5329" w:rsidRPr="002029AF">
        <w:t xml:space="preserve"> </w:t>
      </w:r>
      <w:r w:rsidRPr="002029AF">
        <w:t>quarterly</w:t>
      </w:r>
      <w:r w:rsidR="000A5329" w:rsidRPr="002029AF">
        <w:t xml:space="preserve"> </w:t>
      </w:r>
      <w:r w:rsidRPr="002029AF">
        <w:t>to</w:t>
      </w:r>
      <w:r w:rsidR="000A5329" w:rsidRPr="002029AF">
        <w:t xml:space="preserve"> </w:t>
      </w:r>
      <w:r w:rsidRPr="002029AF">
        <w:t>drive</w:t>
      </w:r>
      <w:r w:rsidR="000A5329" w:rsidRPr="002029AF">
        <w:t xml:space="preserve"> </w:t>
      </w:r>
      <w:r w:rsidRPr="002029AF">
        <w:t>the</w:t>
      </w:r>
      <w:r w:rsidR="000A5329" w:rsidRPr="002029AF">
        <w:t xml:space="preserve"> </w:t>
      </w:r>
      <w:r w:rsidRPr="002029AF">
        <w:t>safety</w:t>
      </w:r>
      <w:r w:rsidR="000A5329" w:rsidRPr="002029AF">
        <w:t xml:space="preserve"> </w:t>
      </w:r>
      <w:r w:rsidRPr="002029AF">
        <w:t>and</w:t>
      </w:r>
      <w:r w:rsidR="000A5329" w:rsidRPr="002029AF">
        <w:t xml:space="preserve"> </w:t>
      </w:r>
      <w:r w:rsidRPr="002029AF">
        <w:t>wellbeing</w:t>
      </w:r>
      <w:r w:rsidR="000A5329" w:rsidRPr="002029AF">
        <w:t xml:space="preserve"> </w:t>
      </w:r>
      <w:r w:rsidRPr="002029AF">
        <w:t>of</w:t>
      </w:r>
      <w:r w:rsidR="000A5329" w:rsidRPr="002029AF">
        <w:t xml:space="preserve"> </w:t>
      </w:r>
      <w:r w:rsidRPr="002029AF">
        <w:t>Aboriginal</w:t>
      </w:r>
      <w:r w:rsidR="000A5329" w:rsidRPr="002029AF">
        <w:t xml:space="preserve"> </w:t>
      </w:r>
      <w:r w:rsidRPr="002029AF">
        <w:t>children</w:t>
      </w:r>
      <w:r w:rsidR="000A5329" w:rsidRPr="002029AF">
        <w:t xml:space="preserve"> </w:t>
      </w:r>
      <w:r w:rsidRPr="002029AF">
        <w:t>in,</w:t>
      </w:r>
      <w:r w:rsidR="000A5329" w:rsidRPr="002029AF">
        <w:t xml:space="preserve"> </w:t>
      </w:r>
      <w:r w:rsidRPr="002029AF">
        <w:t>or</w:t>
      </w:r>
      <w:r w:rsidR="000A5329" w:rsidRPr="002029AF">
        <w:t xml:space="preserve"> </w:t>
      </w:r>
      <w:r w:rsidRPr="002029AF">
        <w:t>at</w:t>
      </w:r>
      <w:r w:rsidR="000A5329" w:rsidRPr="002029AF">
        <w:t xml:space="preserve"> </w:t>
      </w:r>
      <w:r w:rsidRPr="002029AF">
        <w:t>risk</w:t>
      </w:r>
      <w:r w:rsidR="000A5329" w:rsidRPr="002029AF">
        <w:t xml:space="preserve"> </w:t>
      </w:r>
      <w:r w:rsidRPr="002029AF">
        <w:t>of</w:t>
      </w:r>
      <w:r w:rsidR="000A5329" w:rsidRPr="002029AF">
        <w:t xml:space="preserve"> </w:t>
      </w:r>
      <w:r w:rsidRPr="002029AF">
        <w:t>entry</w:t>
      </w:r>
      <w:r w:rsidR="000A5329" w:rsidRPr="002029AF">
        <w:t xml:space="preserve"> </w:t>
      </w:r>
      <w:r w:rsidRPr="002029AF">
        <w:t>into</w:t>
      </w:r>
      <w:r w:rsidR="000A5329" w:rsidRPr="002029AF">
        <w:t xml:space="preserve"> </w:t>
      </w:r>
      <w:r w:rsidRPr="002029AF">
        <w:t>out</w:t>
      </w:r>
      <w:r w:rsidR="000A5329" w:rsidRPr="002029AF">
        <w:t xml:space="preserve"> </w:t>
      </w:r>
      <w:r w:rsidRPr="002029AF">
        <w:t>of</w:t>
      </w:r>
      <w:r w:rsidR="000A5329" w:rsidRPr="002029AF">
        <w:t xml:space="preserve"> </w:t>
      </w:r>
      <w:r w:rsidRPr="002029AF">
        <w:t>home</w:t>
      </w:r>
      <w:r w:rsidR="000A5329" w:rsidRPr="002029AF">
        <w:t xml:space="preserve"> </w:t>
      </w:r>
      <w:r w:rsidRPr="002029AF">
        <w:t>care.</w:t>
      </w:r>
    </w:p>
    <w:p w14:paraId="3228BC83" w14:textId="4FB3C0B8" w:rsidR="00770DE1" w:rsidRPr="002029AF" w:rsidRDefault="00770DE1" w:rsidP="001E768A">
      <w:pPr>
        <w:pStyle w:val="ARbullet2"/>
      </w:pPr>
      <w:r w:rsidRPr="002029AF">
        <w:t>Ongoing</w:t>
      </w:r>
      <w:r w:rsidR="000A5329" w:rsidRPr="002029AF">
        <w:t xml:space="preserve"> </w:t>
      </w:r>
      <w:r w:rsidRPr="002029AF">
        <w:t>implementation</w:t>
      </w:r>
      <w:r w:rsidR="000A5329" w:rsidRPr="002029AF">
        <w:t xml:space="preserve"> </w:t>
      </w:r>
      <w:r w:rsidRPr="002029AF">
        <w:t>of</w:t>
      </w:r>
      <w:r w:rsidR="000A5329" w:rsidRPr="002029AF">
        <w:t xml:space="preserve"> </w:t>
      </w:r>
      <w:r w:rsidRPr="002029AF">
        <w:rPr>
          <w:i/>
        </w:rPr>
        <w:t>Korin</w:t>
      </w:r>
      <w:r w:rsidR="000A5329" w:rsidRPr="002029AF">
        <w:rPr>
          <w:i/>
        </w:rPr>
        <w:t xml:space="preserve"> </w:t>
      </w:r>
      <w:r w:rsidRPr="002029AF">
        <w:rPr>
          <w:i/>
        </w:rPr>
        <w:t>Korin</w:t>
      </w:r>
      <w:r w:rsidR="000A5329" w:rsidRPr="002029AF">
        <w:rPr>
          <w:i/>
        </w:rPr>
        <w:t xml:space="preserve"> </w:t>
      </w:r>
      <w:r w:rsidRPr="002029AF">
        <w:rPr>
          <w:i/>
        </w:rPr>
        <w:t>Balit-Djak</w:t>
      </w:r>
      <w:r w:rsidRPr="002029AF">
        <w:t>,</w:t>
      </w:r>
      <w:r w:rsidR="000A5329" w:rsidRPr="002029AF">
        <w:t xml:space="preserve"> </w:t>
      </w:r>
      <w:r w:rsidRPr="002029AF">
        <w:t>which</w:t>
      </w:r>
      <w:r w:rsidR="000A5329" w:rsidRPr="002029AF">
        <w:t xml:space="preserve"> </w:t>
      </w:r>
      <w:r w:rsidRPr="002029AF">
        <w:t>details</w:t>
      </w:r>
      <w:r w:rsidR="000A5329" w:rsidRPr="002029AF">
        <w:t xml:space="preserve"> </w:t>
      </w:r>
      <w:r w:rsidRPr="002029AF">
        <w:t>how</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will</w:t>
      </w:r>
      <w:r w:rsidR="000A5329" w:rsidRPr="002029AF">
        <w:t xml:space="preserve"> </w:t>
      </w:r>
      <w:r w:rsidRPr="002029AF">
        <w:t>work</w:t>
      </w:r>
      <w:r w:rsidR="000A5329" w:rsidRPr="002029AF">
        <w:t xml:space="preserve"> </w:t>
      </w:r>
      <w:r w:rsidRPr="002029AF">
        <w:t>with</w:t>
      </w:r>
      <w:r w:rsidR="000A5329" w:rsidRPr="002029AF">
        <w:t xml:space="preserve"> </w:t>
      </w:r>
      <w:r w:rsidRPr="002029AF">
        <w:t>Aboriginal</w:t>
      </w:r>
      <w:r w:rsidR="000A5329" w:rsidRPr="002029AF">
        <w:t xml:space="preserve"> </w:t>
      </w:r>
      <w:r w:rsidRPr="002029AF">
        <w:t>communities,</w:t>
      </w:r>
      <w:r w:rsidR="000A5329" w:rsidRPr="002029AF">
        <w:t xml:space="preserve"> </w:t>
      </w:r>
      <w:r w:rsidRPr="002029AF">
        <w:t>community</w:t>
      </w:r>
      <w:r w:rsidR="000A5329" w:rsidRPr="002029AF">
        <w:t xml:space="preserve"> </w:t>
      </w:r>
      <w:r w:rsidRPr="002029AF">
        <w:t>organisations,</w:t>
      </w:r>
      <w:r w:rsidR="000A5329" w:rsidRPr="002029AF">
        <w:t xml:space="preserve"> </w:t>
      </w:r>
      <w:r w:rsidRPr="002029AF">
        <w:t>other</w:t>
      </w:r>
      <w:r w:rsidR="000A5329" w:rsidRPr="002029AF">
        <w:t xml:space="preserve"> </w:t>
      </w:r>
      <w:r w:rsidRPr="002029AF">
        <w:t>government</w:t>
      </w:r>
      <w:r w:rsidR="000A5329" w:rsidRPr="002029AF">
        <w:t xml:space="preserve"> </w:t>
      </w:r>
      <w:r w:rsidRPr="002029AF">
        <w:t>departments</w:t>
      </w:r>
      <w:r w:rsidR="000A5329" w:rsidRPr="002029AF">
        <w:t xml:space="preserve"> </w:t>
      </w:r>
      <w:r w:rsidRPr="002029AF">
        <w:t>and</w:t>
      </w:r>
      <w:r w:rsidR="000A5329" w:rsidRPr="002029AF">
        <w:t xml:space="preserve"> </w:t>
      </w:r>
      <w:r w:rsidRPr="002029AF">
        <w:t>mainstream</w:t>
      </w:r>
      <w:r w:rsidR="000A5329" w:rsidRPr="002029AF">
        <w:t xml:space="preserve"> </w:t>
      </w:r>
      <w:r w:rsidRPr="002029AF">
        <w:t>service</w:t>
      </w:r>
      <w:r w:rsidR="000A5329" w:rsidRPr="002029AF">
        <w:t xml:space="preserve"> </w:t>
      </w:r>
      <w:r w:rsidRPr="002029AF">
        <w:t>providers</w:t>
      </w:r>
      <w:r w:rsidR="000A5329" w:rsidRPr="002029AF">
        <w:t xml:space="preserve"> </w:t>
      </w:r>
      <w:r w:rsidRPr="002029AF">
        <w:t>to</w:t>
      </w:r>
      <w:r w:rsidR="000A5329" w:rsidRPr="002029AF">
        <w:t xml:space="preserve"> </w:t>
      </w:r>
      <w:r w:rsidRPr="002029AF">
        <w:t>improve</w:t>
      </w:r>
      <w:r w:rsidR="000A5329" w:rsidRPr="002029AF">
        <w:t xml:space="preserve"> </w:t>
      </w:r>
      <w:r w:rsidRPr="002029AF">
        <w:t>the</w:t>
      </w:r>
      <w:r w:rsidR="000A5329" w:rsidRPr="002029AF">
        <w:t xml:space="preserve"> </w:t>
      </w:r>
      <w:r w:rsidRPr="002029AF">
        <w:t>health,</w:t>
      </w:r>
      <w:r w:rsidR="000A5329" w:rsidRPr="002029AF">
        <w:t xml:space="preserve"> </w:t>
      </w:r>
      <w:r w:rsidRPr="002029AF">
        <w:t>wellbeing</w:t>
      </w:r>
      <w:r w:rsidR="000A5329" w:rsidRPr="002029AF">
        <w:t xml:space="preserve"> </w:t>
      </w:r>
      <w:r w:rsidRPr="002029AF">
        <w:t>and</w:t>
      </w:r>
      <w:r w:rsidR="000A5329" w:rsidRPr="002029AF">
        <w:t xml:space="preserve"> </w:t>
      </w:r>
      <w:r w:rsidRPr="002029AF">
        <w:t>safety</w:t>
      </w:r>
      <w:r w:rsidR="000A5329" w:rsidRPr="002029AF">
        <w:t xml:space="preserve"> </w:t>
      </w:r>
      <w:r w:rsidRPr="002029AF">
        <w:t>of</w:t>
      </w:r>
      <w:r w:rsidR="000A5329" w:rsidRPr="002029AF">
        <w:t xml:space="preserve"> </w:t>
      </w:r>
      <w:r w:rsidRPr="002029AF">
        <w:t>Aboriginal</w:t>
      </w:r>
      <w:r w:rsidR="000A5329" w:rsidRPr="002029AF">
        <w:t xml:space="preserve"> </w:t>
      </w:r>
      <w:r w:rsidRPr="002029AF">
        <w:t>people</w:t>
      </w:r>
      <w:r w:rsidR="000A5329" w:rsidRPr="002029AF">
        <w:t xml:space="preserve"> </w:t>
      </w:r>
      <w:r w:rsidRPr="002029AF">
        <w:t>in</w:t>
      </w:r>
      <w:r w:rsidR="000A5329" w:rsidRPr="002029AF">
        <w:t xml:space="preserve"> </w:t>
      </w:r>
      <w:r w:rsidRPr="002029AF">
        <w:t>Victoria.</w:t>
      </w:r>
    </w:p>
    <w:p w14:paraId="5FD4BE70" w14:textId="7C74FB9E" w:rsidR="00770DE1" w:rsidRPr="002029AF" w:rsidRDefault="00770DE1" w:rsidP="001E768A">
      <w:pPr>
        <w:pStyle w:val="ARbullet2"/>
      </w:pPr>
      <w:r w:rsidRPr="002029AF">
        <w:t>Commencement</w:t>
      </w:r>
      <w:r w:rsidR="000A5329" w:rsidRPr="002029AF">
        <w:t xml:space="preserve"> </w:t>
      </w:r>
      <w:r w:rsidRPr="002029AF">
        <w:t>of</w:t>
      </w:r>
      <w:r w:rsidR="000A5329" w:rsidRPr="002029AF">
        <w:t xml:space="preserve"> </w:t>
      </w:r>
      <w:r w:rsidRPr="002029AF">
        <w:t>work</w:t>
      </w:r>
      <w:r w:rsidR="000A5329" w:rsidRPr="002029AF">
        <w:t xml:space="preserve"> </w:t>
      </w:r>
      <w:r w:rsidRPr="002029AF">
        <w:t>on</w:t>
      </w:r>
      <w:r w:rsidR="000A5329" w:rsidRPr="002029AF">
        <w:t xml:space="preserve"> </w:t>
      </w:r>
      <w:r w:rsidRPr="002029AF">
        <w:t>the</w:t>
      </w:r>
      <w:r w:rsidR="000A5329" w:rsidRPr="002029AF">
        <w:t xml:space="preserve"> </w:t>
      </w:r>
      <w:r w:rsidRPr="002029AF">
        <w:t>Aboriginal</w:t>
      </w:r>
      <w:r w:rsidR="000A5329" w:rsidRPr="002029AF">
        <w:t xml:space="preserve"> </w:t>
      </w:r>
      <w:r w:rsidRPr="002029AF">
        <w:t>Private</w:t>
      </w:r>
      <w:r w:rsidR="000A5329" w:rsidRPr="002029AF">
        <w:t xml:space="preserve"> </w:t>
      </w:r>
      <w:r w:rsidRPr="002029AF">
        <w:t>Rental</w:t>
      </w:r>
      <w:r w:rsidR="000A5329" w:rsidRPr="002029AF">
        <w:t xml:space="preserve"> </w:t>
      </w:r>
      <w:r w:rsidRPr="002029AF">
        <w:t>Assistance</w:t>
      </w:r>
      <w:r w:rsidR="000A5329" w:rsidRPr="002029AF">
        <w:t xml:space="preserve"> </w:t>
      </w:r>
      <w:r w:rsidRPr="002029AF">
        <w:t>Program</w:t>
      </w:r>
      <w:r w:rsidR="000A5329" w:rsidRPr="002029AF">
        <w:t xml:space="preserve"> </w:t>
      </w:r>
      <w:r w:rsidRPr="002029AF">
        <w:t>in</w:t>
      </w:r>
      <w:r w:rsidR="000A5329" w:rsidRPr="002029AF">
        <w:t xml:space="preserve"> </w:t>
      </w:r>
      <w:r w:rsidRPr="002029AF">
        <w:t>line</w:t>
      </w:r>
      <w:r w:rsidR="000A5329" w:rsidRPr="002029AF">
        <w:t xml:space="preserve"> </w:t>
      </w:r>
      <w:r w:rsidRPr="002029AF">
        <w:t>with</w:t>
      </w:r>
      <w:r w:rsidR="000A5329" w:rsidRPr="002029AF">
        <w:t xml:space="preserve"> </w:t>
      </w:r>
      <w:r w:rsidRPr="002029AF">
        <w:t>the</w:t>
      </w:r>
      <w:r w:rsidR="000A5329" w:rsidRPr="002029AF">
        <w:t xml:space="preserve"> </w:t>
      </w:r>
      <w:r w:rsidRPr="002029AF">
        <w:t>department</w:t>
      </w:r>
      <w:r w:rsidR="005F298C">
        <w:t>’</w:t>
      </w:r>
      <w:r w:rsidRPr="002029AF">
        <w:t>s</w:t>
      </w:r>
      <w:r w:rsidR="000A5329" w:rsidRPr="002029AF">
        <w:t xml:space="preserve"> </w:t>
      </w:r>
      <w:r w:rsidRPr="002029AF">
        <w:t>policies</w:t>
      </w:r>
      <w:r w:rsidR="000A5329" w:rsidRPr="002029AF">
        <w:t xml:space="preserve"> </w:t>
      </w:r>
      <w:r w:rsidRPr="002029AF">
        <w:t>of</w:t>
      </w:r>
      <w:r w:rsidR="000A5329" w:rsidRPr="002029AF">
        <w:t xml:space="preserve"> </w:t>
      </w:r>
      <w:r w:rsidRPr="002029AF">
        <w:t>self-determination</w:t>
      </w:r>
      <w:r w:rsidR="000A5329" w:rsidRPr="002029AF">
        <w:t xml:space="preserve"> </w:t>
      </w:r>
      <w:r w:rsidRPr="002029AF">
        <w:t>and</w:t>
      </w:r>
      <w:r w:rsidR="000A5329" w:rsidRPr="002029AF">
        <w:t xml:space="preserve"> </w:t>
      </w:r>
      <w:r w:rsidRPr="002029AF">
        <w:t>the</w:t>
      </w:r>
      <w:r w:rsidR="000A5329" w:rsidRPr="002029AF">
        <w:t xml:space="preserve"> </w:t>
      </w:r>
      <w:r w:rsidRPr="002029AF">
        <w:t>objectives</w:t>
      </w:r>
      <w:r w:rsidR="000A5329" w:rsidRPr="002029AF">
        <w:t xml:space="preserve"> </w:t>
      </w:r>
      <w:r w:rsidRPr="002029AF">
        <w:t>identified</w:t>
      </w:r>
      <w:r w:rsidR="000A5329" w:rsidRPr="002029AF">
        <w:t xml:space="preserve"> </w:t>
      </w:r>
      <w:r w:rsidRPr="002029AF">
        <w:t>in</w:t>
      </w:r>
      <w:r w:rsidR="000A5329" w:rsidRPr="002029AF">
        <w:t xml:space="preserve"> </w:t>
      </w:r>
      <w:r w:rsidRPr="002029AF">
        <w:t>the</w:t>
      </w:r>
      <w:r w:rsidR="000A5329" w:rsidRPr="002029AF">
        <w:t xml:space="preserve"> </w:t>
      </w:r>
      <w:r w:rsidRPr="002029AF">
        <w:rPr>
          <w:i/>
        </w:rPr>
        <w:t>Victorian</w:t>
      </w:r>
      <w:r w:rsidR="000A5329" w:rsidRPr="002029AF">
        <w:rPr>
          <w:i/>
        </w:rPr>
        <w:t xml:space="preserve"> </w:t>
      </w:r>
      <w:r w:rsidRPr="002029AF">
        <w:rPr>
          <w:i/>
        </w:rPr>
        <w:t>Aboriginal</w:t>
      </w:r>
      <w:r w:rsidR="000A5329" w:rsidRPr="002029AF">
        <w:rPr>
          <w:i/>
        </w:rPr>
        <w:t xml:space="preserve"> </w:t>
      </w:r>
      <w:r w:rsidR="005F4E0A" w:rsidRPr="002029AF">
        <w:rPr>
          <w:i/>
        </w:rPr>
        <w:t>h</w:t>
      </w:r>
      <w:r w:rsidRPr="002029AF">
        <w:rPr>
          <w:i/>
        </w:rPr>
        <w:t>ousing</w:t>
      </w:r>
      <w:r w:rsidR="000A5329" w:rsidRPr="002029AF">
        <w:rPr>
          <w:i/>
        </w:rPr>
        <w:t xml:space="preserve"> </w:t>
      </w:r>
      <w:r w:rsidRPr="002029AF">
        <w:rPr>
          <w:i/>
        </w:rPr>
        <w:t>and</w:t>
      </w:r>
      <w:r w:rsidR="000A5329" w:rsidRPr="002029AF">
        <w:rPr>
          <w:i/>
        </w:rPr>
        <w:t xml:space="preserve"> </w:t>
      </w:r>
      <w:r w:rsidR="00E874FB" w:rsidRPr="002029AF">
        <w:rPr>
          <w:i/>
        </w:rPr>
        <w:t>h</w:t>
      </w:r>
      <w:r w:rsidRPr="002029AF">
        <w:rPr>
          <w:i/>
        </w:rPr>
        <w:t>omelessness</w:t>
      </w:r>
      <w:r w:rsidR="000A5329" w:rsidRPr="002029AF">
        <w:rPr>
          <w:i/>
        </w:rPr>
        <w:t xml:space="preserve"> </w:t>
      </w:r>
      <w:r w:rsidR="00E874FB" w:rsidRPr="002029AF">
        <w:rPr>
          <w:i/>
        </w:rPr>
        <w:t>f</w:t>
      </w:r>
      <w:r w:rsidRPr="002029AF">
        <w:rPr>
          <w:i/>
        </w:rPr>
        <w:t>ramework</w:t>
      </w:r>
      <w:r w:rsidR="000A5329" w:rsidRPr="002029AF">
        <w:t xml:space="preserve"> </w:t>
      </w:r>
      <w:r w:rsidRPr="002029AF">
        <w:t>released</w:t>
      </w:r>
      <w:r w:rsidR="000A5329" w:rsidRPr="002029AF">
        <w:t xml:space="preserve"> </w:t>
      </w:r>
      <w:r w:rsidRPr="002029AF">
        <w:t>in</w:t>
      </w:r>
      <w:r w:rsidR="000A5329" w:rsidRPr="002029AF">
        <w:t xml:space="preserve"> </w:t>
      </w:r>
      <w:r w:rsidRPr="002029AF">
        <w:t>February</w:t>
      </w:r>
      <w:r w:rsidR="000A5329" w:rsidRPr="002029AF">
        <w:t xml:space="preserve"> </w:t>
      </w:r>
      <w:r w:rsidRPr="002029AF">
        <w:t>2020.</w:t>
      </w:r>
    </w:p>
    <w:p w14:paraId="7F9AA826" w14:textId="0722FBA2" w:rsidR="00770DE1" w:rsidRPr="002029AF" w:rsidRDefault="00770DE1" w:rsidP="001E768A">
      <w:pPr>
        <w:pStyle w:val="ARbullet2"/>
      </w:pPr>
      <w:r w:rsidRPr="002029AF">
        <w:t>In</w:t>
      </w:r>
      <w:r w:rsidR="000A5329" w:rsidRPr="002029AF">
        <w:t xml:space="preserve"> </w:t>
      </w:r>
      <w:r w:rsidRPr="002029AF">
        <w:t>response</w:t>
      </w:r>
      <w:r w:rsidR="000A5329" w:rsidRPr="002029AF">
        <w:t xml:space="preserve"> </w:t>
      </w:r>
      <w:r w:rsidRPr="002029AF">
        <w:t>to</w:t>
      </w:r>
      <w:r w:rsidR="000A5329" w:rsidRPr="002029AF">
        <w:t xml:space="preserve"> </w:t>
      </w:r>
      <w:r w:rsidRPr="002029AF">
        <w:t>the</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pandemic,</w:t>
      </w:r>
      <w:r w:rsidR="000A5329" w:rsidRPr="002029AF">
        <w:t xml:space="preserve"> </w:t>
      </w:r>
      <w:r w:rsidRPr="002029AF">
        <w:t>the</w:t>
      </w:r>
      <w:r w:rsidR="000A5329" w:rsidRPr="002029AF">
        <w:t xml:space="preserve"> </w:t>
      </w:r>
      <w:r w:rsidRPr="002029AF">
        <w:t>Victorian</w:t>
      </w:r>
      <w:r w:rsidR="000A5329" w:rsidRPr="002029AF">
        <w:t xml:space="preserve"> </w:t>
      </w:r>
      <w:r w:rsidRPr="002029AF">
        <w:t>Government</w:t>
      </w:r>
      <w:r w:rsidR="000A5329" w:rsidRPr="002029AF">
        <w:t xml:space="preserve"> </w:t>
      </w:r>
      <w:r w:rsidRPr="002029AF">
        <w:t>invested</w:t>
      </w:r>
      <w:r w:rsidR="000A5329" w:rsidRPr="002029AF">
        <w:t xml:space="preserve"> </w:t>
      </w:r>
      <w:r w:rsidRPr="002029AF">
        <w:t>$23</w:t>
      </w:r>
      <w:r w:rsidR="000A5329" w:rsidRPr="002029AF">
        <w:t xml:space="preserve"> </w:t>
      </w:r>
      <w:r w:rsidRPr="002029AF">
        <w:t>million</w:t>
      </w:r>
      <w:r w:rsidR="000A5329" w:rsidRPr="002029AF">
        <w:t xml:space="preserve"> </w:t>
      </w:r>
      <w:r w:rsidRPr="002029AF">
        <w:t>in</w:t>
      </w:r>
      <w:r w:rsidR="000A5329" w:rsidRPr="002029AF">
        <w:t xml:space="preserve"> </w:t>
      </w:r>
      <w:r w:rsidRPr="002029AF">
        <w:t>Aboriginal</w:t>
      </w:r>
      <w:r w:rsidR="000A5329" w:rsidRPr="002029AF">
        <w:t xml:space="preserve"> </w:t>
      </w:r>
      <w:r w:rsidRPr="002029AF">
        <w:t>community-controlled</w:t>
      </w:r>
      <w:r w:rsidR="000A5329" w:rsidRPr="002029AF">
        <w:t xml:space="preserve"> </w:t>
      </w:r>
      <w:r w:rsidRPr="002029AF">
        <w:t>organisations</w:t>
      </w:r>
      <w:r w:rsidR="000A5329" w:rsidRPr="002029AF">
        <w:t xml:space="preserve"> </w:t>
      </w:r>
      <w:r w:rsidRPr="002029AF">
        <w:t>and</w:t>
      </w:r>
      <w:r w:rsidR="000A5329" w:rsidRPr="002029AF">
        <w:t xml:space="preserve"> </w:t>
      </w:r>
      <w:r w:rsidRPr="002029AF">
        <w:t>Aboriginal</w:t>
      </w:r>
      <w:r w:rsidR="000A5329" w:rsidRPr="002029AF">
        <w:t xml:space="preserve"> </w:t>
      </w:r>
      <w:r w:rsidRPr="002029AF">
        <w:t>community-controlled</w:t>
      </w:r>
      <w:r w:rsidR="000A5329" w:rsidRPr="002029AF">
        <w:t xml:space="preserve"> </w:t>
      </w:r>
      <w:r w:rsidRPr="002029AF">
        <w:t>health</w:t>
      </w:r>
      <w:r w:rsidR="000A5329" w:rsidRPr="002029AF">
        <w:t xml:space="preserve"> </w:t>
      </w:r>
      <w:r w:rsidRPr="002029AF">
        <w:t>organisations</w:t>
      </w:r>
      <w:r w:rsidR="000A5329" w:rsidRPr="002029AF">
        <w:t xml:space="preserve"> </w:t>
      </w:r>
      <w:r w:rsidRPr="002029AF">
        <w:t>to</w:t>
      </w:r>
      <w:r w:rsidR="000A5329" w:rsidRPr="002029AF">
        <w:t xml:space="preserve"> </w:t>
      </w:r>
      <w:r w:rsidRPr="002029AF">
        <w:t>provide</w:t>
      </w:r>
      <w:r w:rsidR="000A5329" w:rsidRPr="002029AF">
        <w:t xml:space="preserve"> </w:t>
      </w:r>
      <w:r w:rsidRPr="002029AF">
        <w:t>culturally</w:t>
      </w:r>
      <w:r w:rsidR="000A5329" w:rsidRPr="002029AF">
        <w:t xml:space="preserve"> </w:t>
      </w:r>
      <w:r w:rsidRPr="002029AF">
        <w:t>safer</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services</w:t>
      </w:r>
      <w:r w:rsidR="000A5329" w:rsidRPr="002029AF">
        <w:t xml:space="preserve"> </w:t>
      </w:r>
      <w:r w:rsidRPr="002029AF">
        <w:t>and</w:t>
      </w:r>
      <w:r w:rsidR="000A5329" w:rsidRPr="002029AF">
        <w:t xml:space="preserve"> </w:t>
      </w:r>
      <w:r w:rsidRPr="002029AF">
        <w:t>public</w:t>
      </w:r>
      <w:r w:rsidR="000A5329" w:rsidRPr="002029AF">
        <w:t xml:space="preserve"> </w:t>
      </w:r>
      <w:r w:rsidRPr="002029AF">
        <w:t>health</w:t>
      </w:r>
      <w:r w:rsidR="000A5329" w:rsidRPr="002029AF">
        <w:t xml:space="preserve"> </w:t>
      </w:r>
      <w:r w:rsidRPr="002029AF">
        <w:t>information</w:t>
      </w:r>
      <w:r w:rsidR="000A5329" w:rsidRPr="002029AF">
        <w:t xml:space="preserve"> </w:t>
      </w:r>
      <w:r w:rsidRPr="002029AF">
        <w:t>to</w:t>
      </w:r>
      <w:r w:rsidR="000A5329" w:rsidRPr="002029AF">
        <w:t xml:space="preserve"> </w:t>
      </w:r>
      <w:r w:rsidRPr="002029AF">
        <w:t>Aboriginal</w:t>
      </w:r>
      <w:r w:rsidR="000A5329" w:rsidRPr="002029AF">
        <w:t xml:space="preserve"> </w:t>
      </w:r>
      <w:r w:rsidRPr="002029AF">
        <w:t>Victorians.</w:t>
      </w:r>
      <w:r w:rsidR="000A5329" w:rsidRPr="002029AF">
        <w:t xml:space="preserve"> </w:t>
      </w:r>
      <w:r w:rsidRPr="002029AF">
        <w:t>The</w:t>
      </w:r>
      <w:r w:rsidR="000A5329" w:rsidRPr="002029AF">
        <w:t xml:space="preserve"> </w:t>
      </w:r>
      <w:r w:rsidRPr="002029AF">
        <w:t>funding</w:t>
      </w:r>
      <w:r w:rsidR="000A5329" w:rsidRPr="002029AF">
        <w:t xml:space="preserve"> </w:t>
      </w:r>
      <w:r w:rsidRPr="002029AF">
        <w:t>supported</w:t>
      </w:r>
      <w:r w:rsidR="000A5329" w:rsidRPr="002029AF">
        <w:t xml:space="preserve"> </w:t>
      </w:r>
      <w:r w:rsidRPr="002029AF">
        <w:t>self-determination</w:t>
      </w:r>
      <w:r w:rsidR="000A5329" w:rsidRPr="002029AF">
        <w:t xml:space="preserve"> </w:t>
      </w:r>
      <w:r w:rsidRPr="002029AF">
        <w:t>by</w:t>
      </w:r>
      <w:r w:rsidR="000A5329" w:rsidRPr="002029AF">
        <w:t xml:space="preserve"> </w:t>
      </w:r>
      <w:r w:rsidRPr="002029AF">
        <w:t>putting</w:t>
      </w:r>
      <w:r w:rsidR="000A5329" w:rsidRPr="002029AF">
        <w:t xml:space="preserve"> </w:t>
      </w:r>
      <w:r w:rsidRPr="002029AF">
        <w:t>decision-making</w:t>
      </w:r>
      <w:r w:rsidR="000A5329" w:rsidRPr="002029AF">
        <w:t xml:space="preserve"> </w:t>
      </w:r>
      <w:r w:rsidRPr="002029AF">
        <w:t>power</w:t>
      </w:r>
      <w:r w:rsidR="000A5329" w:rsidRPr="002029AF">
        <w:t xml:space="preserve"> </w:t>
      </w:r>
      <w:r w:rsidRPr="002029AF">
        <w:t>back</w:t>
      </w:r>
      <w:r w:rsidR="000A5329" w:rsidRPr="002029AF">
        <w:t xml:space="preserve"> </w:t>
      </w:r>
      <w:r w:rsidRPr="002029AF">
        <w:t>in</w:t>
      </w:r>
      <w:r w:rsidR="000A5329" w:rsidRPr="002029AF">
        <w:t xml:space="preserve"> </w:t>
      </w:r>
      <w:r w:rsidRPr="002029AF">
        <w:t>the</w:t>
      </w:r>
      <w:r w:rsidR="000A5329" w:rsidRPr="002029AF">
        <w:t xml:space="preserve"> </w:t>
      </w:r>
      <w:r w:rsidRPr="002029AF">
        <w:t>hands</w:t>
      </w:r>
      <w:r w:rsidR="000A5329" w:rsidRPr="002029AF">
        <w:t xml:space="preserve"> </w:t>
      </w:r>
      <w:r w:rsidRPr="002029AF">
        <w:t>of</w:t>
      </w:r>
      <w:r w:rsidR="000A5329" w:rsidRPr="002029AF">
        <w:t xml:space="preserve"> </w:t>
      </w:r>
      <w:r w:rsidRPr="002029AF">
        <w:t>Aboriginal</w:t>
      </w:r>
      <w:r w:rsidR="000A5329" w:rsidRPr="002029AF">
        <w:t xml:space="preserve"> </w:t>
      </w:r>
      <w:r w:rsidRPr="002029AF">
        <w:t>communities.</w:t>
      </w:r>
    </w:p>
    <w:p w14:paraId="6B31B55C" w14:textId="09E99E19" w:rsidR="00770DE1" w:rsidRPr="002029AF" w:rsidRDefault="00770DE1" w:rsidP="00C22356">
      <w:pPr>
        <w:pStyle w:val="Heading3"/>
      </w:pPr>
      <w:r w:rsidRPr="002029AF">
        <w:t>2.</w:t>
      </w:r>
      <w:r w:rsidR="000A5329" w:rsidRPr="002029AF">
        <w:t xml:space="preserve"> </w:t>
      </w:r>
      <w:r w:rsidRPr="002029AF">
        <w:t>Local</w:t>
      </w:r>
      <w:r w:rsidR="000A5329" w:rsidRPr="002029AF">
        <w:t xml:space="preserve"> </w:t>
      </w:r>
      <w:r w:rsidRPr="002029AF">
        <w:t>solutions</w:t>
      </w:r>
    </w:p>
    <w:p w14:paraId="4EBED1B8" w14:textId="2F2F75E2" w:rsidR="000A5329" w:rsidRPr="002029AF" w:rsidRDefault="00770DE1" w:rsidP="00D271CB">
      <w:pPr>
        <w:pStyle w:val="ARbody"/>
      </w:pPr>
      <w:r w:rsidRPr="002029AF">
        <w:t>Person-centred</w:t>
      </w:r>
      <w:r w:rsidR="000A5329" w:rsidRPr="002029AF">
        <w:t xml:space="preserve"> </w:t>
      </w:r>
      <w:r w:rsidRPr="002029AF">
        <w:t>solutions</w:t>
      </w:r>
      <w:r w:rsidR="000A5329" w:rsidRPr="002029AF">
        <w:t xml:space="preserve"> </w:t>
      </w:r>
      <w:r w:rsidRPr="002029AF">
        <w:t>work</w:t>
      </w:r>
      <w:r w:rsidR="000A5329" w:rsidRPr="002029AF">
        <w:t xml:space="preserve"> </w:t>
      </w:r>
      <w:r w:rsidRPr="002029AF">
        <w:t>best</w:t>
      </w:r>
      <w:r w:rsidR="000A5329" w:rsidRPr="002029AF">
        <w:t xml:space="preserve"> </w:t>
      </w:r>
      <w:r w:rsidRPr="002029AF">
        <w:t>when</w:t>
      </w:r>
      <w:r w:rsidR="000A5329" w:rsidRPr="002029AF">
        <w:t xml:space="preserve"> </w:t>
      </w:r>
      <w:r w:rsidRPr="002029AF">
        <w:t>they</w:t>
      </w:r>
      <w:r w:rsidR="000A5329" w:rsidRPr="002029AF">
        <w:t xml:space="preserve"> </w:t>
      </w:r>
      <w:r w:rsidRPr="002029AF">
        <w:t>are</w:t>
      </w:r>
      <w:r w:rsidR="000A5329" w:rsidRPr="002029AF">
        <w:t xml:space="preserve"> </w:t>
      </w:r>
      <w:r w:rsidRPr="002029AF">
        <w:t>part</w:t>
      </w:r>
      <w:r w:rsidR="000A5329" w:rsidRPr="002029AF">
        <w:t xml:space="preserve"> </w:t>
      </w:r>
      <w:r w:rsidRPr="002029AF">
        <w:t>of</w:t>
      </w:r>
      <w:r w:rsidR="000A5329" w:rsidRPr="002029AF">
        <w:t xml:space="preserve"> </w:t>
      </w:r>
      <w:r w:rsidRPr="002029AF">
        <w:t>services</w:t>
      </w:r>
      <w:r w:rsidR="000A5329" w:rsidRPr="002029AF">
        <w:t xml:space="preserve"> </w:t>
      </w:r>
      <w:r w:rsidRPr="002029AF">
        <w:t>that</w:t>
      </w:r>
      <w:r w:rsidR="000A5329" w:rsidRPr="002029AF">
        <w:t xml:space="preserve"> </w:t>
      </w:r>
      <w:r w:rsidRPr="002029AF">
        <w:t>respond</w:t>
      </w:r>
      <w:r w:rsidR="000A5329" w:rsidRPr="002029AF">
        <w:t xml:space="preserve"> </w:t>
      </w:r>
      <w:r w:rsidRPr="002029AF">
        <w:t>to</w:t>
      </w:r>
      <w:r w:rsidR="000A5329" w:rsidRPr="002029AF">
        <w:t xml:space="preserve"> </w:t>
      </w:r>
      <w:r w:rsidRPr="002029AF">
        <w:t>the</w:t>
      </w:r>
      <w:r w:rsidR="000A5329" w:rsidRPr="002029AF">
        <w:t xml:space="preserve"> </w:t>
      </w:r>
      <w:r w:rsidRPr="002029AF">
        <w:t>needs</w:t>
      </w:r>
      <w:r w:rsidR="000A5329" w:rsidRPr="002029AF">
        <w:t xml:space="preserve"> </w:t>
      </w:r>
      <w:r w:rsidRPr="002029AF">
        <w:t>of</w:t>
      </w:r>
      <w:r w:rsidR="000A5329" w:rsidRPr="002029AF">
        <w:t xml:space="preserve"> </w:t>
      </w:r>
      <w:r w:rsidRPr="002029AF">
        <w:t>local</w:t>
      </w:r>
      <w:r w:rsidR="000A5329" w:rsidRPr="002029AF">
        <w:t xml:space="preserve"> </w:t>
      </w:r>
      <w:r w:rsidRPr="002029AF">
        <w:t>communities</w:t>
      </w:r>
      <w:r w:rsidR="000A5329" w:rsidRPr="002029AF">
        <w:t xml:space="preserve"> </w:t>
      </w:r>
      <w:r w:rsidRPr="002029AF">
        <w:t>as</w:t>
      </w:r>
      <w:r w:rsidR="000A5329" w:rsidRPr="002029AF">
        <w:t xml:space="preserve"> </w:t>
      </w:r>
      <w:r w:rsidRPr="002029AF">
        <w:t>a</w:t>
      </w:r>
      <w:r w:rsidR="000A5329" w:rsidRPr="002029AF">
        <w:t xml:space="preserve"> </w:t>
      </w:r>
      <w:r w:rsidRPr="002029AF">
        <w:t>whole,</w:t>
      </w:r>
      <w:r w:rsidR="000A5329" w:rsidRPr="002029AF">
        <w:t xml:space="preserve"> </w:t>
      </w:r>
      <w:r w:rsidRPr="002029AF">
        <w:t>not</w:t>
      </w:r>
      <w:r w:rsidR="000A5329" w:rsidRPr="002029AF">
        <w:t xml:space="preserve"> </w:t>
      </w:r>
      <w:r w:rsidRPr="002029AF">
        <w:t>just</w:t>
      </w:r>
      <w:r w:rsidR="000A5329" w:rsidRPr="002029AF">
        <w:t xml:space="preserve"> </w:t>
      </w:r>
      <w:r w:rsidRPr="002029AF">
        <w:t>individual</w:t>
      </w:r>
      <w:r w:rsidR="000A5329" w:rsidRPr="002029AF">
        <w:t xml:space="preserve"> </w:t>
      </w:r>
      <w:r w:rsidRPr="002029AF">
        <w:t>clients.</w:t>
      </w:r>
    </w:p>
    <w:p w14:paraId="52A64D2B" w14:textId="25555C16" w:rsidR="00770DE1" w:rsidRPr="002029AF" w:rsidRDefault="00770DE1" w:rsidP="00D271CB">
      <w:pPr>
        <w:pStyle w:val="ARbody"/>
      </w:pPr>
      <w:r w:rsidRPr="002029AF">
        <w:t>We</w:t>
      </w:r>
      <w:r w:rsidR="000A5329" w:rsidRPr="002029AF">
        <w:t xml:space="preserve"> </w:t>
      </w:r>
      <w:r w:rsidRPr="002029AF">
        <w:t>recognise</w:t>
      </w:r>
      <w:r w:rsidR="000A5329" w:rsidRPr="002029AF">
        <w:t xml:space="preserve"> </w:t>
      </w:r>
      <w:r w:rsidRPr="002029AF">
        <w:t>that</w:t>
      </w:r>
      <w:r w:rsidR="000A5329" w:rsidRPr="002029AF">
        <w:t xml:space="preserve"> </w:t>
      </w:r>
      <w:r w:rsidRPr="002029AF">
        <w:t>co-design</w:t>
      </w:r>
      <w:r w:rsidR="000A5329" w:rsidRPr="002029AF">
        <w:t xml:space="preserve"> </w:t>
      </w:r>
      <w:r w:rsidRPr="002029AF">
        <w:t>and</w:t>
      </w:r>
      <w:r w:rsidR="000A5329" w:rsidRPr="002029AF">
        <w:t xml:space="preserve"> </w:t>
      </w:r>
      <w:r w:rsidRPr="002029AF">
        <w:t>delivery</w:t>
      </w:r>
      <w:r w:rsidR="000A5329" w:rsidRPr="002029AF">
        <w:t xml:space="preserve"> </w:t>
      </w:r>
      <w:r w:rsidRPr="002029AF">
        <w:t>should</w:t>
      </w:r>
      <w:r w:rsidR="000A5329" w:rsidRPr="002029AF">
        <w:t xml:space="preserve"> </w:t>
      </w:r>
      <w:r w:rsidRPr="002029AF">
        <w:t>be</w:t>
      </w:r>
      <w:r w:rsidR="000A5329" w:rsidRPr="002029AF">
        <w:t xml:space="preserve"> </w:t>
      </w:r>
      <w:r w:rsidRPr="002029AF">
        <w:t>taken</w:t>
      </w:r>
      <w:r w:rsidR="000A5329" w:rsidRPr="002029AF">
        <w:t xml:space="preserve"> </w:t>
      </w:r>
      <w:r w:rsidRPr="002029AF">
        <w:t>into</w:t>
      </w:r>
      <w:r w:rsidR="000A5329" w:rsidRPr="002029AF">
        <w:t xml:space="preserve"> </w:t>
      </w:r>
      <w:r w:rsidRPr="002029AF">
        <w:t>account</w:t>
      </w:r>
      <w:r w:rsidR="000A5329" w:rsidRPr="002029AF">
        <w:t xml:space="preserve"> </w:t>
      </w:r>
      <w:r w:rsidRPr="002029AF">
        <w:t>at</w:t>
      </w:r>
      <w:r w:rsidR="000A5329" w:rsidRPr="002029AF">
        <w:t xml:space="preserve"> </w:t>
      </w:r>
      <w:r w:rsidRPr="002029AF">
        <w:t>every</w:t>
      </w:r>
      <w:r w:rsidR="000A5329" w:rsidRPr="002029AF">
        <w:t xml:space="preserve"> </w:t>
      </w:r>
      <w:r w:rsidRPr="002029AF">
        <w:t>level.</w:t>
      </w:r>
      <w:r w:rsidR="000A5329" w:rsidRPr="002029AF">
        <w:t xml:space="preserve"> </w:t>
      </w:r>
      <w:r w:rsidRPr="002029AF">
        <w:t>By</w:t>
      </w:r>
      <w:r w:rsidR="000A5329" w:rsidRPr="002029AF">
        <w:t xml:space="preserve"> </w:t>
      </w:r>
      <w:r w:rsidRPr="002029AF">
        <w:t>working</w:t>
      </w:r>
      <w:r w:rsidR="000A5329" w:rsidRPr="002029AF">
        <w:t xml:space="preserve"> </w:t>
      </w:r>
      <w:r w:rsidRPr="002029AF">
        <w:t>with</w:t>
      </w:r>
      <w:r w:rsidR="000A5329" w:rsidRPr="002029AF">
        <w:t xml:space="preserve"> </w:t>
      </w:r>
      <w:r w:rsidRPr="002029AF">
        <w:t>individuals</w:t>
      </w:r>
      <w:r w:rsidR="000A5329" w:rsidRPr="002029AF">
        <w:t xml:space="preserve"> </w:t>
      </w:r>
      <w:r w:rsidRPr="002029AF">
        <w:t>and</w:t>
      </w:r>
      <w:r w:rsidR="000A5329" w:rsidRPr="002029AF">
        <w:t xml:space="preserve"> </w:t>
      </w:r>
      <w:r w:rsidRPr="002029AF">
        <w:t>providers</w:t>
      </w:r>
      <w:r w:rsidR="000A5329" w:rsidRPr="002029AF">
        <w:t xml:space="preserve"> </w:t>
      </w:r>
      <w:r w:rsidRPr="002029AF">
        <w:t>to</w:t>
      </w:r>
      <w:r w:rsidR="000A5329" w:rsidRPr="002029AF">
        <w:t xml:space="preserve"> </w:t>
      </w:r>
      <w:r w:rsidRPr="002029AF">
        <w:t>guide</w:t>
      </w:r>
      <w:r w:rsidR="000A5329" w:rsidRPr="002029AF">
        <w:t xml:space="preserve"> </w:t>
      </w:r>
      <w:r w:rsidRPr="002029AF">
        <w:t>policy,</w:t>
      </w:r>
      <w:r w:rsidR="000A5329" w:rsidRPr="002029AF">
        <w:t xml:space="preserve"> </w:t>
      </w:r>
      <w:r w:rsidRPr="002029AF">
        <w:t>program</w:t>
      </w:r>
      <w:r w:rsidR="000A5329" w:rsidRPr="002029AF">
        <w:t xml:space="preserve"> </w:t>
      </w:r>
      <w:r w:rsidRPr="002029AF">
        <w:t>and</w:t>
      </w:r>
      <w:r w:rsidR="000A5329" w:rsidRPr="002029AF">
        <w:t xml:space="preserve"> </w:t>
      </w:r>
      <w:r w:rsidRPr="002029AF">
        <w:t>service</w:t>
      </w:r>
      <w:r w:rsidR="000A5329" w:rsidRPr="002029AF">
        <w:t xml:space="preserve"> </w:t>
      </w:r>
      <w:r w:rsidRPr="002029AF">
        <w:t>design</w:t>
      </w:r>
      <w:r w:rsidR="000A5329" w:rsidRPr="002029AF">
        <w:t xml:space="preserve"> </w:t>
      </w:r>
      <w:r w:rsidRPr="002029AF">
        <w:t>and</w:t>
      </w:r>
      <w:r w:rsidR="000A5329" w:rsidRPr="002029AF">
        <w:t xml:space="preserve"> </w:t>
      </w:r>
      <w:r w:rsidRPr="002029AF">
        <w:t>delivery,</w:t>
      </w:r>
      <w:r w:rsidR="000A5329" w:rsidRPr="002029AF">
        <w:t xml:space="preserve"> </w:t>
      </w:r>
      <w:r w:rsidRPr="002029AF">
        <w:t>we</w:t>
      </w:r>
      <w:r w:rsidR="000A5329" w:rsidRPr="002029AF">
        <w:t xml:space="preserve"> </w:t>
      </w:r>
      <w:r w:rsidRPr="002029AF">
        <w:t>can</w:t>
      </w:r>
      <w:r w:rsidR="000A5329" w:rsidRPr="002029AF">
        <w:t xml:space="preserve"> </w:t>
      </w:r>
      <w:r w:rsidRPr="002029AF">
        <w:t>better</w:t>
      </w:r>
      <w:r w:rsidR="000A5329" w:rsidRPr="002029AF">
        <w:t xml:space="preserve"> </w:t>
      </w:r>
      <w:r w:rsidRPr="002029AF">
        <w:t>understand</w:t>
      </w:r>
      <w:r w:rsidR="000A5329" w:rsidRPr="002029AF">
        <w:t xml:space="preserve"> </w:t>
      </w:r>
      <w:r w:rsidRPr="002029AF">
        <w:t>local</w:t>
      </w:r>
      <w:r w:rsidR="000A5329" w:rsidRPr="002029AF">
        <w:t xml:space="preserve"> </w:t>
      </w:r>
      <w:r w:rsidRPr="002029AF">
        <w:t>communities</w:t>
      </w:r>
      <w:r w:rsidR="000A5329" w:rsidRPr="002029AF">
        <w:t xml:space="preserve"> </w:t>
      </w:r>
      <w:r w:rsidRPr="002029AF">
        <w:t>and</w:t>
      </w:r>
      <w:r w:rsidR="000A5329" w:rsidRPr="002029AF">
        <w:t xml:space="preserve"> </w:t>
      </w:r>
      <w:r w:rsidRPr="002029AF">
        <w:t>promote</w:t>
      </w:r>
      <w:r w:rsidR="000A5329" w:rsidRPr="002029AF">
        <w:t xml:space="preserve"> </w:t>
      </w:r>
      <w:r w:rsidRPr="002029AF">
        <w:t>equitable</w:t>
      </w:r>
      <w:r w:rsidR="000A5329" w:rsidRPr="002029AF">
        <w:t xml:space="preserve"> </w:t>
      </w:r>
      <w:r w:rsidRPr="002029AF">
        <w:t>access</w:t>
      </w:r>
      <w:r w:rsidR="000A5329" w:rsidRPr="002029AF">
        <w:t xml:space="preserve"> </w:t>
      </w:r>
      <w:r w:rsidRPr="002029AF">
        <w:t>for</w:t>
      </w:r>
      <w:r w:rsidR="000A5329" w:rsidRPr="002029AF">
        <w:t xml:space="preserve"> </w:t>
      </w:r>
      <w:r w:rsidRPr="002029AF">
        <w:t>people</w:t>
      </w:r>
      <w:r w:rsidR="000A5329" w:rsidRPr="002029AF">
        <w:t xml:space="preserve"> </w:t>
      </w:r>
      <w:r w:rsidRPr="002029AF">
        <w:t>with</w:t>
      </w:r>
      <w:r w:rsidR="000A5329" w:rsidRPr="002029AF">
        <w:t xml:space="preserve"> </w:t>
      </w:r>
      <w:r w:rsidRPr="002029AF">
        <w:t>diverse</w:t>
      </w:r>
      <w:r w:rsidR="000A5329" w:rsidRPr="002029AF">
        <w:t xml:space="preserve"> </w:t>
      </w:r>
      <w:r w:rsidRPr="002029AF">
        <w:t>needs</w:t>
      </w:r>
      <w:r w:rsidR="000A5329" w:rsidRPr="002029AF">
        <w:t xml:space="preserve"> </w:t>
      </w:r>
      <w:r w:rsidRPr="002029AF">
        <w:t>and</w:t>
      </w:r>
      <w:r w:rsidR="000A5329" w:rsidRPr="002029AF">
        <w:t xml:space="preserve"> </w:t>
      </w:r>
      <w:r w:rsidRPr="002029AF">
        <w:t>identities.</w:t>
      </w:r>
    </w:p>
    <w:p w14:paraId="1F4A7A3A" w14:textId="5E976037" w:rsidR="000A5329" w:rsidRPr="002029AF" w:rsidRDefault="00770DE1" w:rsidP="00D271CB">
      <w:pPr>
        <w:pStyle w:val="ARbody"/>
      </w:pPr>
      <w:r w:rsidRPr="002029AF">
        <w:t>A</w:t>
      </w:r>
      <w:r w:rsidR="000A5329" w:rsidRPr="002029AF">
        <w:t xml:space="preserve"> </w:t>
      </w:r>
      <w:r w:rsidRPr="002029AF">
        <w:t>second</w:t>
      </w:r>
      <w:r w:rsidR="000A5329" w:rsidRPr="002029AF">
        <w:t xml:space="preserve"> </w:t>
      </w:r>
      <w:r w:rsidRPr="002029AF">
        <w:t>type</w:t>
      </w:r>
      <w:r w:rsidR="000A5329" w:rsidRPr="002029AF">
        <w:t xml:space="preserve"> </w:t>
      </w:r>
      <w:r w:rsidRPr="002029AF">
        <w:t>of</w:t>
      </w:r>
      <w:r w:rsidR="000A5329" w:rsidRPr="002029AF">
        <w:t xml:space="preserve"> </w:t>
      </w:r>
      <w:r w:rsidRPr="002029AF">
        <w:t>local</w:t>
      </w:r>
      <w:r w:rsidR="000A5329" w:rsidRPr="002029AF">
        <w:t xml:space="preserve"> </w:t>
      </w:r>
      <w:r w:rsidRPr="002029AF">
        <w:t>solution</w:t>
      </w:r>
      <w:r w:rsidR="000A5329" w:rsidRPr="002029AF">
        <w:t xml:space="preserve"> </w:t>
      </w:r>
      <w:r w:rsidRPr="002029AF">
        <w:t>extends</w:t>
      </w:r>
      <w:r w:rsidR="000A5329" w:rsidRPr="002029AF">
        <w:t xml:space="preserve"> </w:t>
      </w:r>
      <w:r w:rsidRPr="002029AF">
        <w:t>well</w:t>
      </w:r>
      <w:r w:rsidR="000A5329" w:rsidRPr="002029AF">
        <w:t xml:space="preserve"> </w:t>
      </w:r>
      <w:r w:rsidRPr="002029AF">
        <w:t>beyond</w:t>
      </w:r>
      <w:r w:rsidR="000A5329" w:rsidRPr="002029AF">
        <w:t xml:space="preserve"> </w:t>
      </w:r>
      <w:r w:rsidRPr="002029AF">
        <w:t>how</w:t>
      </w:r>
      <w:r w:rsidR="000A5329" w:rsidRPr="002029AF">
        <w:t xml:space="preserve"> </w:t>
      </w:r>
      <w:r w:rsidRPr="002029AF">
        <w:t>services</w:t>
      </w:r>
      <w:r w:rsidR="000A5329" w:rsidRPr="002029AF">
        <w:t xml:space="preserve"> </w:t>
      </w:r>
      <w:r w:rsidRPr="002029AF">
        <w:t>are</w:t>
      </w:r>
      <w:r w:rsidR="000A5329" w:rsidRPr="002029AF">
        <w:t xml:space="preserve"> </w:t>
      </w:r>
      <w:r w:rsidRPr="002029AF">
        <w:t>provided.</w:t>
      </w:r>
      <w:r w:rsidR="000A5329" w:rsidRPr="002029AF">
        <w:t xml:space="preserve"> </w:t>
      </w:r>
      <w:r w:rsidRPr="002029AF">
        <w:t>The</w:t>
      </w:r>
      <w:r w:rsidR="000A5329" w:rsidRPr="002029AF">
        <w:t xml:space="preserve"> </w:t>
      </w:r>
      <w:r w:rsidRPr="002029AF">
        <w:t>conditions</w:t>
      </w:r>
      <w:r w:rsidR="000A5329" w:rsidRPr="002029AF">
        <w:t xml:space="preserve"> </w:t>
      </w:r>
      <w:r w:rsidRPr="002029AF">
        <w:t>in</w:t>
      </w:r>
      <w:r w:rsidR="000A5329" w:rsidRPr="002029AF">
        <w:t xml:space="preserve"> </w:t>
      </w:r>
      <w:r w:rsidRPr="002029AF">
        <w:t>which</w:t>
      </w:r>
      <w:r w:rsidR="000A5329" w:rsidRPr="002029AF">
        <w:t xml:space="preserve"> </w:t>
      </w:r>
      <w:r w:rsidRPr="002029AF">
        <w:t>people</w:t>
      </w:r>
      <w:r w:rsidR="000A5329" w:rsidRPr="002029AF">
        <w:t xml:space="preserve"> </w:t>
      </w:r>
      <w:r w:rsidRPr="002029AF">
        <w:t>are</w:t>
      </w:r>
      <w:r w:rsidR="000A5329" w:rsidRPr="002029AF">
        <w:t xml:space="preserve"> </w:t>
      </w:r>
      <w:r w:rsidRPr="002029AF">
        <w:t>born,</w:t>
      </w:r>
      <w:r w:rsidR="000A5329" w:rsidRPr="002029AF">
        <w:t xml:space="preserve"> </w:t>
      </w:r>
      <w:r w:rsidRPr="002029AF">
        <w:t>grow,</w:t>
      </w:r>
      <w:r w:rsidR="000A5329" w:rsidRPr="002029AF">
        <w:t xml:space="preserve"> </w:t>
      </w:r>
      <w:r w:rsidRPr="002029AF">
        <w:t>live,</w:t>
      </w:r>
      <w:r w:rsidR="000A5329" w:rsidRPr="002029AF">
        <w:t xml:space="preserve"> </w:t>
      </w:r>
      <w:r w:rsidRPr="002029AF">
        <w:t>work</w:t>
      </w:r>
      <w:r w:rsidR="000A5329" w:rsidRPr="002029AF">
        <w:t xml:space="preserve"> </w:t>
      </w:r>
      <w:r w:rsidRPr="002029AF">
        <w:t>and</w:t>
      </w:r>
      <w:r w:rsidR="000A5329" w:rsidRPr="002029AF">
        <w:t xml:space="preserve"> </w:t>
      </w:r>
      <w:r w:rsidRPr="002029AF">
        <w:t>age</w:t>
      </w:r>
      <w:r w:rsidR="000A5329" w:rsidRPr="002029AF">
        <w:t xml:space="preserve"> </w:t>
      </w:r>
      <w:r w:rsidRPr="002029AF">
        <w:t>are</w:t>
      </w:r>
      <w:r w:rsidR="000A5329" w:rsidRPr="002029AF">
        <w:t xml:space="preserve"> </w:t>
      </w:r>
      <w:r w:rsidRPr="002029AF">
        <w:t>intimately</w:t>
      </w:r>
      <w:r w:rsidR="000A5329" w:rsidRPr="002029AF">
        <w:t xml:space="preserve"> </w:t>
      </w:r>
      <w:r w:rsidRPr="002029AF">
        <w:t>linked</w:t>
      </w:r>
      <w:r w:rsidR="000A5329" w:rsidRPr="002029AF">
        <w:t xml:space="preserve"> </w:t>
      </w:r>
      <w:r w:rsidRPr="002029AF">
        <w:t>to</w:t>
      </w:r>
      <w:r w:rsidR="000A5329" w:rsidRPr="002029AF">
        <w:t xml:space="preserve"> </w:t>
      </w:r>
      <w:r w:rsidRPr="002029AF">
        <w:t>place</w:t>
      </w:r>
      <w:r w:rsidR="000A5329" w:rsidRPr="002029AF">
        <w:t xml:space="preserve"> </w:t>
      </w:r>
      <w:r w:rsidRPr="002029AF">
        <w:t>and</w:t>
      </w:r>
      <w:r w:rsidR="000A5329" w:rsidRPr="002029AF">
        <w:t xml:space="preserve"> </w:t>
      </w:r>
      <w:r w:rsidRPr="002029AF">
        <w:t>recognised</w:t>
      </w:r>
      <w:r w:rsidR="000A5329" w:rsidRPr="002029AF">
        <w:t xml:space="preserve"> </w:t>
      </w:r>
      <w:r w:rsidRPr="002029AF">
        <w:t>by</w:t>
      </w:r>
      <w:r w:rsidR="000A5329" w:rsidRPr="002029AF">
        <w:t xml:space="preserve"> </w:t>
      </w:r>
      <w:r w:rsidRPr="002029AF">
        <w:t>the</w:t>
      </w:r>
      <w:r w:rsidR="000A5329" w:rsidRPr="002029AF">
        <w:t xml:space="preserve"> </w:t>
      </w:r>
      <w:r w:rsidRPr="002029AF">
        <w:t>World</w:t>
      </w:r>
      <w:r w:rsidR="000A5329" w:rsidRPr="002029AF">
        <w:t xml:space="preserve"> </w:t>
      </w:r>
      <w:r w:rsidRPr="002029AF">
        <w:t>Health</w:t>
      </w:r>
      <w:r w:rsidR="000A5329" w:rsidRPr="002029AF">
        <w:t xml:space="preserve"> </w:t>
      </w:r>
      <w:r w:rsidRPr="002029AF">
        <w:t>Organization</w:t>
      </w:r>
      <w:r w:rsidR="000A5329" w:rsidRPr="002029AF">
        <w:t xml:space="preserve"> </w:t>
      </w:r>
      <w:r w:rsidRPr="002029AF">
        <w:t>as</w:t>
      </w:r>
      <w:r w:rsidR="000A5329" w:rsidRPr="002029AF">
        <w:t xml:space="preserve"> </w:t>
      </w:r>
      <w:r w:rsidRPr="002029AF">
        <w:t>the</w:t>
      </w:r>
      <w:r w:rsidR="000A5329" w:rsidRPr="002029AF">
        <w:t xml:space="preserve"> </w:t>
      </w:r>
      <w:r w:rsidRPr="002029AF">
        <w:t>major</w:t>
      </w:r>
      <w:r w:rsidR="000A5329" w:rsidRPr="002029AF">
        <w:t xml:space="preserve"> </w:t>
      </w:r>
      <w:r w:rsidRPr="002029AF">
        <w:t>causes</w:t>
      </w:r>
      <w:r w:rsidR="000A5329" w:rsidRPr="002029AF">
        <w:t xml:space="preserve"> </w:t>
      </w:r>
      <w:r w:rsidRPr="002029AF">
        <w:t>of</w:t>
      </w:r>
      <w:r w:rsidR="000A5329" w:rsidRPr="002029AF">
        <w:t xml:space="preserve"> </w:t>
      </w:r>
      <w:r w:rsidRPr="002029AF">
        <w:t>avoidable</w:t>
      </w:r>
      <w:r w:rsidR="000A5329" w:rsidRPr="002029AF">
        <w:t xml:space="preserve"> </w:t>
      </w:r>
      <w:r w:rsidRPr="002029AF">
        <w:t>and</w:t>
      </w:r>
      <w:r w:rsidR="000A5329" w:rsidRPr="002029AF">
        <w:t xml:space="preserve"> </w:t>
      </w:r>
      <w:r w:rsidRPr="002029AF">
        <w:t>inequitable</w:t>
      </w:r>
      <w:r w:rsidR="000A5329" w:rsidRPr="002029AF">
        <w:t xml:space="preserve"> </w:t>
      </w:r>
      <w:r w:rsidRPr="002029AF">
        <w:t>health</w:t>
      </w:r>
      <w:r w:rsidR="000A5329" w:rsidRPr="002029AF">
        <w:t xml:space="preserve"> </w:t>
      </w:r>
      <w:r w:rsidRPr="002029AF">
        <w:t>issues.</w:t>
      </w:r>
      <w:r w:rsidR="000A5329" w:rsidRPr="002029AF">
        <w:t xml:space="preserve"> </w:t>
      </w:r>
      <w:r w:rsidRPr="002029AF">
        <w:t>Changing</w:t>
      </w:r>
      <w:r w:rsidR="000A5329" w:rsidRPr="002029AF">
        <w:t xml:space="preserve"> </w:t>
      </w:r>
      <w:r w:rsidRPr="002029AF">
        <w:t>these</w:t>
      </w:r>
      <w:r w:rsidR="000A5329" w:rsidRPr="002029AF">
        <w:t xml:space="preserve"> </w:t>
      </w:r>
      <w:r w:rsidRPr="002029AF">
        <w:t>conditions</w:t>
      </w:r>
      <w:r w:rsidR="000A5329" w:rsidRPr="002029AF">
        <w:t xml:space="preserve"> </w:t>
      </w:r>
      <w:r w:rsidRPr="002029AF">
        <w:t>requires</w:t>
      </w:r>
      <w:r w:rsidR="000A5329" w:rsidRPr="002029AF">
        <w:t xml:space="preserve"> </w:t>
      </w:r>
      <w:r w:rsidRPr="002029AF">
        <w:t>a</w:t>
      </w:r>
      <w:r w:rsidR="000A5329" w:rsidRPr="002029AF">
        <w:t xml:space="preserve"> </w:t>
      </w:r>
      <w:r w:rsidRPr="002029AF">
        <w:t>new</w:t>
      </w:r>
      <w:r w:rsidR="000A5329" w:rsidRPr="002029AF">
        <w:t xml:space="preserve"> </w:t>
      </w:r>
      <w:r w:rsidRPr="002029AF">
        <w:t>kind</w:t>
      </w:r>
      <w:r w:rsidR="000A5329" w:rsidRPr="002029AF">
        <w:t xml:space="preserve"> </w:t>
      </w:r>
      <w:r w:rsidRPr="002029AF">
        <w:t>of</w:t>
      </w:r>
      <w:r w:rsidR="000A5329" w:rsidRPr="002029AF">
        <w:t xml:space="preserve"> </w:t>
      </w:r>
      <w:r w:rsidRPr="002029AF">
        <w:t>partnership</w:t>
      </w:r>
      <w:r w:rsidR="000A5329" w:rsidRPr="002029AF">
        <w:t xml:space="preserve"> </w:t>
      </w:r>
      <w:r w:rsidRPr="002029AF">
        <w:t>between</w:t>
      </w:r>
      <w:r w:rsidR="000A5329" w:rsidRPr="002029AF">
        <w:t xml:space="preserve"> </w:t>
      </w:r>
      <w:r w:rsidRPr="002029AF">
        <w:t>government</w:t>
      </w:r>
      <w:r w:rsidR="000A5329" w:rsidRPr="002029AF">
        <w:t xml:space="preserve"> </w:t>
      </w:r>
      <w:r w:rsidRPr="002029AF">
        <w:t>and</w:t>
      </w:r>
      <w:r w:rsidR="000A5329" w:rsidRPr="002029AF">
        <w:t xml:space="preserve"> </w:t>
      </w:r>
      <w:r w:rsidRPr="002029AF">
        <w:t>local</w:t>
      </w:r>
      <w:r w:rsidR="000A5329" w:rsidRPr="002029AF">
        <w:t xml:space="preserve"> </w:t>
      </w:r>
      <w:r w:rsidRPr="002029AF">
        <w:t>communities.</w:t>
      </w:r>
    </w:p>
    <w:p w14:paraId="34A0CFA2" w14:textId="526E964A" w:rsidR="000A5329" w:rsidRPr="002029AF" w:rsidRDefault="00770DE1" w:rsidP="00D271CB">
      <w:pPr>
        <w:pStyle w:val="ARbody"/>
        <w:rPr>
          <w:rFonts w:ascii="ArialMT" w:eastAsia="Times New Roman" w:hAnsi="ArialMT" w:cs="Times New Roman"/>
          <w:lang w:eastAsia="zh-CN"/>
        </w:rPr>
      </w:pPr>
      <w:r w:rsidRPr="002029AF">
        <w:rPr>
          <w:rFonts w:ascii="ArialMT" w:eastAsia="Times New Roman" w:hAnsi="ArialMT" w:cs="Times New Roman"/>
          <w:lang w:eastAsia="zh-CN"/>
        </w:rPr>
        <w:t>Some</w:t>
      </w:r>
      <w:r w:rsidR="000A5329" w:rsidRPr="002029AF">
        <w:rPr>
          <w:rFonts w:ascii="ArialMT" w:eastAsia="Times New Roman" w:hAnsi="ArialMT" w:cs="Times New Roman"/>
          <w:lang w:eastAsia="zh-CN"/>
        </w:rPr>
        <w:t xml:space="preserve"> </w:t>
      </w:r>
      <w:r w:rsidRPr="002029AF">
        <w:rPr>
          <w:rFonts w:ascii="ArialMT" w:eastAsia="Times New Roman" w:hAnsi="ArialMT" w:cs="Times New Roman"/>
          <w:lang w:eastAsia="zh-CN"/>
        </w:rPr>
        <w:t>communities</w:t>
      </w:r>
      <w:r w:rsidR="000A5329" w:rsidRPr="002029AF">
        <w:rPr>
          <w:rFonts w:ascii="ArialMT" w:eastAsia="Times New Roman" w:hAnsi="ArialMT" w:cs="Times New Roman"/>
          <w:lang w:eastAsia="zh-CN"/>
        </w:rPr>
        <w:t xml:space="preserve"> </w:t>
      </w:r>
      <w:r w:rsidRPr="002029AF">
        <w:rPr>
          <w:rFonts w:ascii="ArialMT" w:eastAsia="Times New Roman" w:hAnsi="ArialMT" w:cs="Times New Roman"/>
          <w:lang w:eastAsia="zh-CN"/>
        </w:rPr>
        <w:t>face</w:t>
      </w:r>
      <w:r w:rsidR="000A5329" w:rsidRPr="002029AF">
        <w:rPr>
          <w:rFonts w:ascii="ArialMT" w:eastAsia="Times New Roman" w:hAnsi="ArialMT" w:cs="Times New Roman"/>
          <w:lang w:eastAsia="zh-CN"/>
        </w:rPr>
        <w:t xml:space="preserve"> </w:t>
      </w:r>
      <w:r w:rsidRPr="002029AF">
        <w:rPr>
          <w:rFonts w:ascii="ArialMT" w:eastAsia="Times New Roman" w:hAnsi="ArialMT" w:cs="Times New Roman"/>
          <w:lang w:eastAsia="zh-CN"/>
        </w:rPr>
        <w:t>seemingly</w:t>
      </w:r>
      <w:r w:rsidR="000A5329" w:rsidRPr="002029AF">
        <w:rPr>
          <w:rFonts w:ascii="ArialMT" w:eastAsia="Times New Roman" w:hAnsi="ArialMT" w:cs="Times New Roman"/>
          <w:lang w:eastAsia="zh-CN"/>
        </w:rPr>
        <w:t xml:space="preserve"> </w:t>
      </w:r>
      <w:r w:rsidRPr="002029AF">
        <w:rPr>
          <w:rFonts w:ascii="ArialMT" w:eastAsia="Times New Roman" w:hAnsi="ArialMT" w:cs="Times New Roman"/>
          <w:lang w:eastAsia="zh-CN"/>
        </w:rPr>
        <w:t>intractable</w:t>
      </w:r>
      <w:r w:rsidR="000A5329" w:rsidRPr="002029AF">
        <w:rPr>
          <w:rFonts w:ascii="ArialMT" w:eastAsia="Times New Roman" w:hAnsi="ArialMT" w:cs="Times New Roman"/>
          <w:lang w:eastAsia="zh-CN"/>
        </w:rPr>
        <w:t xml:space="preserve"> </w:t>
      </w:r>
      <w:r w:rsidRPr="002029AF">
        <w:rPr>
          <w:rFonts w:ascii="ArialMT" w:eastAsia="Times New Roman" w:hAnsi="ArialMT" w:cs="Times New Roman"/>
          <w:lang w:eastAsia="zh-CN"/>
        </w:rPr>
        <w:t>social</w:t>
      </w:r>
      <w:r w:rsidR="000A5329" w:rsidRPr="002029AF">
        <w:rPr>
          <w:rFonts w:ascii="ArialMT" w:eastAsia="Times New Roman" w:hAnsi="ArialMT" w:cs="Times New Roman"/>
          <w:lang w:eastAsia="zh-CN"/>
        </w:rPr>
        <w:t xml:space="preserve"> </w:t>
      </w:r>
      <w:r w:rsidRPr="002029AF">
        <w:rPr>
          <w:rFonts w:ascii="ArialMT" w:eastAsia="Times New Roman" w:hAnsi="ArialMT" w:cs="Times New Roman"/>
          <w:lang w:eastAsia="zh-CN"/>
        </w:rPr>
        <w:t>disadvantage</w:t>
      </w:r>
      <w:r w:rsidR="000A5329" w:rsidRPr="002029AF">
        <w:rPr>
          <w:rFonts w:ascii="ArialMT" w:eastAsia="Times New Roman" w:hAnsi="ArialMT" w:cs="Times New Roman"/>
          <w:lang w:eastAsia="zh-CN"/>
        </w:rPr>
        <w:t xml:space="preserve"> </w:t>
      </w:r>
      <w:r w:rsidRPr="002029AF">
        <w:rPr>
          <w:rFonts w:ascii="ArialMT" w:eastAsia="Times New Roman" w:hAnsi="ArialMT" w:cs="Times New Roman"/>
          <w:lang w:eastAsia="zh-CN"/>
        </w:rPr>
        <w:t>that</w:t>
      </w:r>
      <w:r w:rsidR="000A5329" w:rsidRPr="002029AF">
        <w:rPr>
          <w:rFonts w:ascii="ArialMT" w:eastAsia="Times New Roman" w:hAnsi="ArialMT" w:cs="Times New Roman"/>
          <w:lang w:eastAsia="zh-CN"/>
        </w:rPr>
        <w:t xml:space="preserve"> </w:t>
      </w:r>
      <w:r w:rsidRPr="002029AF">
        <w:rPr>
          <w:rFonts w:ascii="ArialMT" w:eastAsia="Times New Roman" w:hAnsi="ArialMT" w:cs="Times New Roman"/>
          <w:lang w:eastAsia="zh-CN"/>
        </w:rPr>
        <w:t>cannot</w:t>
      </w:r>
      <w:r w:rsidR="000A5329" w:rsidRPr="002029AF">
        <w:rPr>
          <w:rFonts w:ascii="ArialMT" w:eastAsia="Times New Roman" w:hAnsi="ArialMT" w:cs="Times New Roman"/>
          <w:lang w:eastAsia="zh-CN"/>
        </w:rPr>
        <w:t xml:space="preserve"> </w:t>
      </w:r>
      <w:r w:rsidRPr="002029AF">
        <w:rPr>
          <w:rFonts w:ascii="ArialMT" w:eastAsia="Times New Roman" w:hAnsi="ArialMT" w:cs="Times New Roman"/>
          <w:lang w:eastAsia="zh-CN"/>
        </w:rPr>
        <w:t>be</w:t>
      </w:r>
      <w:r w:rsidR="000A5329" w:rsidRPr="002029AF">
        <w:rPr>
          <w:rFonts w:ascii="ArialMT" w:eastAsia="Times New Roman" w:hAnsi="ArialMT" w:cs="Times New Roman"/>
          <w:lang w:eastAsia="zh-CN"/>
        </w:rPr>
        <w:t xml:space="preserve"> </w:t>
      </w:r>
      <w:r w:rsidRPr="002029AF">
        <w:rPr>
          <w:rFonts w:ascii="ArialMT" w:eastAsia="Times New Roman" w:hAnsi="ArialMT" w:cs="Times New Roman"/>
          <w:lang w:eastAsia="zh-CN"/>
        </w:rPr>
        <w:t>solved</w:t>
      </w:r>
      <w:r w:rsidR="000A5329" w:rsidRPr="002029AF">
        <w:rPr>
          <w:rFonts w:ascii="ArialMT" w:eastAsia="Times New Roman" w:hAnsi="ArialMT" w:cs="Times New Roman"/>
          <w:lang w:eastAsia="zh-CN"/>
        </w:rPr>
        <w:t xml:space="preserve"> </w:t>
      </w:r>
      <w:r w:rsidRPr="002029AF">
        <w:rPr>
          <w:rFonts w:ascii="ArialMT" w:eastAsia="Times New Roman" w:hAnsi="ArialMT" w:cs="Times New Roman"/>
          <w:lang w:eastAsia="zh-CN"/>
        </w:rPr>
        <w:t>by</w:t>
      </w:r>
      <w:r w:rsidR="000A5329" w:rsidRPr="002029AF">
        <w:rPr>
          <w:rFonts w:ascii="ArialMT" w:eastAsia="Times New Roman" w:hAnsi="ArialMT" w:cs="Times New Roman"/>
          <w:lang w:eastAsia="zh-CN"/>
        </w:rPr>
        <w:t xml:space="preserve"> </w:t>
      </w:r>
      <w:r w:rsidRPr="002029AF">
        <w:rPr>
          <w:rFonts w:ascii="ArialMT" w:eastAsia="Times New Roman" w:hAnsi="ArialMT" w:cs="Times New Roman"/>
          <w:lang w:eastAsia="zh-CN"/>
        </w:rPr>
        <w:t>government</w:t>
      </w:r>
      <w:r w:rsidR="000A5329" w:rsidRPr="002029AF">
        <w:rPr>
          <w:rFonts w:ascii="ArialMT" w:eastAsia="Times New Roman" w:hAnsi="ArialMT" w:cs="Times New Roman"/>
          <w:lang w:eastAsia="zh-CN"/>
        </w:rPr>
        <w:t xml:space="preserve"> </w:t>
      </w:r>
      <w:r w:rsidRPr="002029AF">
        <w:rPr>
          <w:rFonts w:ascii="ArialMT" w:eastAsia="Times New Roman" w:hAnsi="ArialMT" w:cs="Times New Roman"/>
          <w:lang w:eastAsia="zh-CN"/>
        </w:rPr>
        <w:t>acting</w:t>
      </w:r>
      <w:r w:rsidR="000A5329" w:rsidRPr="002029AF">
        <w:rPr>
          <w:rFonts w:ascii="ArialMT" w:eastAsia="Times New Roman" w:hAnsi="ArialMT" w:cs="Times New Roman"/>
          <w:lang w:eastAsia="zh-CN"/>
        </w:rPr>
        <w:t xml:space="preserve"> </w:t>
      </w:r>
      <w:r w:rsidRPr="002029AF">
        <w:rPr>
          <w:rFonts w:ascii="ArialMT" w:eastAsia="Times New Roman" w:hAnsi="ArialMT" w:cs="Times New Roman"/>
          <w:lang w:eastAsia="zh-CN"/>
        </w:rPr>
        <w:t>alone.</w:t>
      </w:r>
      <w:r w:rsidR="000A5329" w:rsidRPr="002029AF">
        <w:rPr>
          <w:rFonts w:ascii="ArialMT" w:eastAsia="Times New Roman" w:hAnsi="ArialMT" w:cs="Times New Roman"/>
          <w:lang w:eastAsia="zh-CN"/>
        </w:rPr>
        <w:t xml:space="preserve"> </w:t>
      </w:r>
      <w:r w:rsidRPr="002029AF">
        <w:rPr>
          <w:rFonts w:ascii="ArialMT" w:eastAsia="Times New Roman" w:hAnsi="ArialMT" w:cs="Times New Roman"/>
          <w:lang w:eastAsia="zh-CN"/>
        </w:rPr>
        <w:t>The</w:t>
      </w:r>
      <w:r w:rsidR="000A5329" w:rsidRPr="002029AF">
        <w:rPr>
          <w:rFonts w:ascii="ArialMT" w:eastAsia="Times New Roman" w:hAnsi="ArialMT" w:cs="Times New Roman"/>
          <w:lang w:eastAsia="zh-CN"/>
        </w:rPr>
        <w:t xml:space="preserve"> </w:t>
      </w:r>
      <w:r w:rsidRPr="002029AF">
        <w:rPr>
          <w:rFonts w:ascii="ArialMT" w:eastAsia="Times New Roman" w:hAnsi="ArialMT" w:cs="Times New Roman"/>
          <w:lang w:eastAsia="zh-CN"/>
        </w:rPr>
        <w:t>scale</w:t>
      </w:r>
      <w:r w:rsidR="000A5329" w:rsidRPr="002029AF">
        <w:rPr>
          <w:rFonts w:ascii="ArialMT" w:eastAsia="Times New Roman" w:hAnsi="ArialMT" w:cs="Times New Roman"/>
          <w:lang w:eastAsia="zh-CN"/>
        </w:rPr>
        <w:t xml:space="preserve"> </w:t>
      </w:r>
      <w:r w:rsidRPr="002029AF">
        <w:rPr>
          <w:rFonts w:ascii="ArialMT" w:eastAsia="Times New Roman" w:hAnsi="ArialMT" w:cs="Times New Roman"/>
          <w:lang w:eastAsia="zh-CN"/>
        </w:rPr>
        <w:t>and</w:t>
      </w:r>
      <w:r w:rsidR="000A5329" w:rsidRPr="002029AF">
        <w:rPr>
          <w:rFonts w:ascii="ArialMT" w:eastAsia="Times New Roman" w:hAnsi="ArialMT" w:cs="Times New Roman"/>
          <w:lang w:eastAsia="zh-CN"/>
        </w:rPr>
        <w:t xml:space="preserve"> </w:t>
      </w:r>
      <w:r w:rsidRPr="002029AF">
        <w:rPr>
          <w:rFonts w:ascii="ArialMT" w:eastAsia="Times New Roman" w:hAnsi="ArialMT" w:cs="Times New Roman"/>
          <w:lang w:eastAsia="zh-CN"/>
        </w:rPr>
        <w:t>complexity</w:t>
      </w:r>
      <w:r w:rsidR="000A5329" w:rsidRPr="002029AF">
        <w:rPr>
          <w:rFonts w:ascii="ArialMT" w:eastAsia="Times New Roman" w:hAnsi="ArialMT" w:cs="Times New Roman"/>
          <w:lang w:eastAsia="zh-CN"/>
        </w:rPr>
        <w:t xml:space="preserve"> </w:t>
      </w:r>
      <w:r w:rsidRPr="002029AF">
        <w:rPr>
          <w:rFonts w:ascii="ArialMT" w:eastAsia="Times New Roman" w:hAnsi="ArialMT" w:cs="Times New Roman"/>
          <w:lang w:eastAsia="zh-CN"/>
        </w:rPr>
        <w:t>of</w:t>
      </w:r>
      <w:r w:rsidR="000A5329" w:rsidRPr="002029AF">
        <w:rPr>
          <w:rFonts w:ascii="ArialMT" w:eastAsia="Times New Roman" w:hAnsi="ArialMT" w:cs="Times New Roman"/>
          <w:lang w:eastAsia="zh-CN"/>
        </w:rPr>
        <w:t xml:space="preserve"> </w:t>
      </w:r>
      <w:r w:rsidRPr="002029AF">
        <w:rPr>
          <w:rFonts w:ascii="ArialMT" w:eastAsia="Times New Roman" w:hAnsi="ArialMT" w:cs="Times New Roman"/>
          <w:lang w:eastAsia="zh-CN"/>
        </w:rPr>
        <w:t>these</w:t>
      </w:r>
      <w:r w:rsidR="000A5329" w:rsidRPr="002029AF">
        <w:rPr>
          <w:rFonts w:ascii="ArialMT" w:eastAsia="Times New Roman" w:hAnsi="ArialMT" w:cs="Times New Roman"/>
          <w:lang w:eastAsia="zh-CN"/>
        </w:rPr>
        <w:t xml:space="preserve"> </w:t>
      </w:r>
      <w:r w:rsidRPr="002029AF">
        <w:rPr>
          <w:rFonts w:ascii="ArialMT" w:eastAsia="Times New Roman" w:hAnsi="ArialMT" w:cs="Times New Roman"/>
          <w:lang w:eastAsia="zh-CN"/>
        </w:rPr>
        <w:t>challenges</w:t>
      </w:r>
      <w:r w:rsidR="000A5329" w:rsidRPr="002029AF">
        <w:rPr>
          <w:rFonts w:ascii="ArialMT" w:eastAsia="Times New Roman" w:hAnsi="ArialMT" w:cs="Times New Roman"/>
          <w:lang w:eastAsia="zh-CN"/>
        </w:rPr>
        <w:t xml:space="preserve"> </w:t>
      </w:r>
      <w:r w:rsidRPr="002029AF">
        <w:rPr>
          <w:rFonts w:ascii="ArialMT" w:eastAsia="Times New Roman" w:hAnsi="ArialMT" w:cs="Times New Roman"/>
          <w:lang w:eastAsia="zh-CN"/>
        </w:rPr>
        <w:t>demand</w:t>
      </w:r>
      <w:r w:rsidR="000A5329" w:rsidRPr="002029AF">
        <w:rPr>
          <w:rFonts w:ascii="ArialMT" w:eastAsia="Times New Roman" w:hAnsi="ArialMT" w:cs="Times New Roman"/>
          <w:lang w:eastAsia="zh-CN"/>
        </w:rPr>
        <w:t xml:space="preserve"> </w:t>
      </w:r>
      <w:r w:rsidRPr="002029AF">
        <w:rPr>
          <w:rFonts w:ascii="ArialMT" w:eastAsia="Times New Roman" w:hAnsi="ArialMT" w:cs="Times New Roman"/>
          <w:lang w:eastAsia="zh-CN"/>
        </w:rPr>
        <w:t>collective</w:t>
      </w:r>
      <w:r w:rsidR="000A5329" w:rsidRPr="002029AF">
        <w:rPr>
          <w:rFonts w:ascii="ArialMT" w:eastAsia="Times New Roman" w:hAnsi="ArialMT" w:cs="Times New Roman"/>
          <w:lang w:eastAsia="zh-CN"/>
        </w:rPr>
        <w:t xml:space="preserve"> </w:t>
      </w:r>
      <w:r w:rsidRPr="002029AF">
        <w:rPr>
          <w:rFonts w:ascii="ArialMT" w:eastAsia="Times New Roman" w:hAnsi="ArialMT" w:cs="Times New Roman"/>
          <w:lang w:eastAsia="zh-CN"/>
        </w:rPr>
        <w:t>action</w:t>
      </w:r>
      <w:r w:rsidR="000A5329" w:rsidRPr="002029AF">
        <w:rPr>
          <w:rFonts w:ascii="ArialMT" w:eastAsia="Times New Roman" w:hAnsi="ArialMT" w:cs="Times New Roman"/>
          <w:lang w:eastAsia="zh-CN"/>
        </w:rPr>
        <w:t xml:space="preserve"> </w:t>
      </w:r>
      <w:r w:rsidRPr="002029AF">
        <w:rPr>
          <w:rFonts w:ascii="ArialMT" w:eastAsia="Times New Roman" w:hAnsi="ArialMT" w:cs="Times New Roman"/>
          <w:lang w:eastAsia="zh-CN"/>
        </w:rPr>
        <w:t>across</w:t>
      </w:r>
      <w:r w:rsidR="000A5329" w:rsidRPr="002029AF">
        <w:rPr>
          <w:rFonts w:ascii="ArialMT" w:eastAsia="Times New Roman" w:hAnsi="ArialMT" w:cs="Times New Roman"/>
          <w:lang w:eastAsia="zh-CN"/>
        </w:rPr>
        <w:t xml:space="preserve"> </w:t>
      </w:r>
      <w:r w:rsidRPr="002029AF">
        <w:rPr>
          <w:rFonts w:ascii="ArialMT" w:eastAsia="Times New Roman" w:hAnsi="ArialMT" w:cs="Times New Roman"/>
          <w:lang w:eastAsia="zh-CN"/>
        </w:rPr>
        <w:t>all</w:t>
      </w:r>
      <w:r w:rsidR="000A5329" w:rsidRPr="002029AF">
        <w:rPr>
          <w:rFonts w:ascii="ArialMT" w:eastAsia="Times New Roman" w:hAnsi="ArialMT" w:cs="Times New Roman"/>
          <w:lang w:eastAsia="zh-CN"/>
        </w:rPr>
        <w:t xml:space="preserve"> </w:t>
      </w:r>
      <w:r w:rsidRPr="002029AF">
        <w:rPr>
          <w:rFonts w:ascii="ArialMT" w:eastAsia="Times New Roman" w:hAnsi="ArialMT" w:cs="Times New Roman"/>
          <w:lang w:eastAsia="zh-CN"/>
        </w:rPr>
        <w:t>levels</w:t>
      </w:r>
      <w:r w:rsidR="000A5329" w:rsidRPr="002029AF">
        <w:rPr>
          <w:rFonts w:ascii="ArialMT" w:eastAsia="Times New Roman" w:hAnsi="ArialMT" w:cs="Times New Roman"/>
          <w:lang w:eastAsia="zh-CN"/>
        </w:rPr>
        <w:t xml:space="preserve"> </w:t>
      </w:r>
      <w:r w:rsidRPr="002029AF">
        <w:rPr>
          <w:rFonts w:ascii="ArialMT" w:eastAsia="Times New Roman" w:hAnsi="ArialMT" w:cs="Times New Roman"/>
          <w:lang w:eastAsia="zh-CN"/>
        </w:rPr>
        <w:t>of</w:t>
      </w:r>
      <w:r w:rsidR="000A5329" w:rsidRPr="002029AF">
        <w:rPr>
          <w:rFonts w:ascii="ArialMT" w:eastAsia="Times New Roman" w:hAnsi="ArialMT" w:cs="Times New Roman"/>
          <w:lang w:eastAsia="zh-CN"/>
        </w:rPr>
        <w:t xml:space="preserve"> </w:t>
      </w:r>
      <w:r w:rsidRPr="002029AF">
        <w:rPr>
          <w:rFonts w:ascii="ArialMT" w:eastAsia="Times New Roman" w:hAnsi="ArialMT" w:cs="Times New Roman"/>
          <w:lang w:eastAsia="zh-CN"/>
        </w:rPr>
        <w:t>government</w:t>
      </w:r>
      <w:r w:rsidR="000A5329" w:rsidRPr="002029AF">
        <w:rPr>
          <w:rFonts w:ascii="ArialMT" w:eastAsia="Times New Roman" w:hAnsi="ArialMT" w:cs="Times New Roman"/>
          <w:lang w:eastAsia="zh-CN"/>
        </w:rPr>
        <w:t xml:space="preserve"> </w:t>
      </w:r>
      <w:r w:rsidRPr="002029AF">
        <w:rPr>
          <w:rFonts w:ascii="ArialMT" w:eastAsia="Times New Roman" w:hAnsi="ArialMT" w:cs="Times New Roman"/>
          <w:lang w:eastAsia="zh-CN"/>
        </w:rPr>
        <w:t>and</w:t>
      </w:r>
      <w:r w:rsidR="000A5329" w:rsidRPr="002029AF">
        <w:rPr>
          <w:rFonts w:ascii="ArialMT" w:eastAsia="Times New Roman" w:hAnsi="ArialMT" w:cs="Times New Roman"/>
          <w:lang w:eastAsia="zh-CN"/>
        </w:rPr>
        <w:t xml:space="preserve"> </w:t>
      </w:r>
      <w:r w:rsidRPr="002029AF">
        <w:rPr>
          <w:rFonts w:ascii="ArialMT" w:eastAsia="Times New Roman" w:hAnsi="ArialMT" w:cs="Times New Roman"/>
          <w:lang w:eastAsia="zh-CN"/>
        </w:rPr>
        <w:t>communities.</w:t>
      </w:r>
    </w:p>
    <w:p w14:paraId="7DC9FE1E" w14:textId="07C7330E" w:rsidR="00770DE1" w:rsidRPr="002029AF" w:rsidRDefault="00770DE1" w:rsidP="00D271CB">
      <w:pPr>
        <w:pStyle w:val="ARbody"/>
      </w:pPr>
      <w:r w:rsidRPr="002029AF">
        <w:t>Over</w:t>
      </w:r>
      <w:r w:rsidR="000A5329" w:rsidRPr="002029AF">
        <w:t xml:space="preserve"> </w:t>
      </w:r>
      <w:r w:rsidRPr="002029AF">
        <w:t>the</w:t>
      </w:r>
      <w:r w:rsidR="000A5329" w:rsidRPr="002029AF">
        <w:t xml:space="preserve"> </w:t>
      </w:r>
      <w:r w:rsidRPr="002029AF">
        <w:t>past</w:t>
      </w:r>
      <w:r w:rsidR="000A5329" w:rsidRPr="002029AF">
        <w:t xml:space="preserve"> </w:t>
      </w:r>
      <w:r w:rsidRPr="002029AF">
        <w:t>12</w:t>
      </w:r>
      <w:r w:rsidR="000A5329" w:rsidRPr="002029AF">
        <w:t xml:space="preserve"> </w:t>
      </w:r>
      <w:r w:rsidRPr="002029AF">
        <w:t>months,</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facilitated</w:t>
      </w:r>
      <w:r w:rsidR="000A5329" w:rsidRPr="002029AF">
        <w:t xml:space="preserve"> </w:t>
      </w:r>
      <w:r w:rsidRPr="002029AF">
        <w:t>and</w:t>
      </w:r>
      <w:r w:rsidR="000A5329" w:rsidRPr="002029AF">
        <w:t xml:space="preserve"> </w:t>
      </w:r>
      <w:r w:rsidRPr="002029AF">
        <w:t>supported</w:t>
      </w:r>
      <w:r w:rsidR="000A5329" w:rsidRPr="002029AF">
        <w:t xml:space="preserve"> </w:t>
      </w:r>
      <w:r w:rsidRPr="002029AF">
        <w:t>local</w:t>
      </w:r>
      <w:r w:rsidR="000A5329" w:rsidRPr="002029AF">
        <w:t xml:space="preserve"> </w:t>
      </w:r>
      <w:r w:rsidRPr="002029AF">
        <w:t>service</w:t>
      </w:r>
      <w:r w:rsidR="000A5329" w:rsidRPr="002029AF">
        <w:t xml:space="preserve"> </w:t>
      </w:r>
      <w:r w:rsidRPr="002029AF">
        <w:t>responses</w:t>
      </w:r>
      <w:r w:rsidR="000A5329" w:rsidRPr="002029AF">
        <w:t xml:space="preserve"> </w:t>
      </w:r>
      <w:r w:rsidRPr="002029AF">
        <w:t>through</w:t>
      </w:r>
      <w:r w:rsidR="000A5329" w:rsidRPr="002029AF">
        <w:t xml:space="preserve"> </w:t>
      </w:r>
      <w:r w:rsidRPr="002029AF">
        <w:t>a</w:t>
      </w:r>
      <w:r w:rsidR="000A5329" w:rsidRPr="002029AF">
        <w:t xml:space="preserve"> </w:t>
      </w:r>
      <w:r w:rsidRPr="002029AF">
        <w:t>range</w:t>
      </w:r>
      <w:r w:rsidR="000A5329" w:rsidRPr="002029AF">
        <w:t xml:space="preserve"> </w:t>
      </w:r>
      <w:r w:rsidRPr="002029AF">
        <w:t>of</w:t>
      </w:r>
      <w:r w:rsidR="000A5329" w:rsidRPr="002029AF">
        <w:t xml:space="preserve"> </w:t>
      </w:r>
      <w:r w:rsidRPr="002029AF">
        <w:t>community-led</w:t>
      </w:r>
      <w:r w:rsidR="000A5329" w:rsidRPr="002029AF">
        <w:t xml:space="preserve"> </w:t>
      </w:r>
      <w:r w:rsidRPr="002029AF">
        <w:t>initiatives</w:t>
      </w:r>
      <w:r w:rsidR="000A5329" w:rsidRPr="002029AF">
        <w:t xml:space="preserve"> </w:t>
      </w:r>
      <w:r w:rsidRPr="002029AF">
        <w:t>and</w:t>
      </w:r>
      <w:r w:rsidR="000A5329" w:rsidRPr="002029AF">
        <w:t xml:space="preserve"> </w:t>
      </w:r>
      <w:r w:rsidRPr="002029AF">
        <w:t>targeted</w:t>
      </w:r>
      <w:r w:rsidR="000A5329" w:rsidRPr="002029AF">
        <w:t xml:space="preserve"> </w:t>
      </w:r>
      <w:r w:rsidRPr="002029AF">
        <w:t>supports.</w:t>
      </w:r>
      <w:r w:rsidR="000A5329" w:rsidRPr="002029AF">
        <w:t xml:space="preserve"> </w:t>
      </w:r>
      <w:r w:rsidRPr="002029AF">
        <w:t>Some</w:t>
      </w:r>
      <w:r w:rsidR="000A5329" w:rsidRPr="002029AF">
        <w:t xml:space="preserve"> </w:t>
      </w:r>
      <w:r w:rsidRPr="002029AF">
        <w:t>examples</w:t>
      </w:r>
      <w:r w:rsidR="000A5329" w:rsidRPr="002029AF">
        <w:t xml:space="preserve"> </w:t>
      </w:r>
      <w:r w:rsidRPr="002029AF">
        <w:t>are</w:t>
      </w:r>
      <w:r w:rsidR="000A5329" w:rsidRPr="002029AF">
        <w:t xml:space="preserve"> </w:t>
      </w:r>
      <w:r w:rsidRPr="002029AF">
        <w:t>detailed</w:t>
      </w:r>
      <w:r w:rsidR="000A5329" w:rsidRPr="002029AF">
        <w:t xml:space="preserve"> </w:t>
      </w:r>
      <w:r w:rsidRPr="002029AF">
        <w:t>below.</w:t>
      </w:r>
    </w:p>
    <w:p w14:paraId="4926B36B" w14:textId="64FD42B0" w:rsidR="00770DE1" w:rsidRPr="002029AF" w:rsidRDefault="00770DE1" w:rsidP="001E768A">
      <w:pPr>
        <w:pStyle w:val="ARbullet1"/>
      </w:pPr>
      <w:r w:rsidRPr="002029AF">
        <w:t>The</w:t>
      </w:r>
      <w:r w:rsidR="000A5329" w:rsidRPr="002029AF">
        <w:t xml:space="preserve"> </w:t>
      </w:r>
      <w:r w:rsidRPr="002029AF">
        <w:t>Victorian</w:t>
      </w:r>
      <w:r w:rsidR="000A5329" w:rsidRPr="002029AF">
        <w:t xml:space="preserve"> </w:t>
      </w:r>
      <w:r w:rsidRPr="002029AF">
        <w:t>Government</w:t>
      </w:r>
      <w:r w:rsidR="000A5329" w:rsidRPr="002029AF">
        <w:t xml:space="preserve"> </w:t>
      </w:r>
      <w:r w:rsidRPr="002029AF">
        <w:t>continues</w:t>
      </w:r>
      <w:r w:rsidR="000A5329" w:rsidRPr="002029AF">
        <w:t xml:space="preserve"> </w:t>
      </w:r>
      <w:r w:rsidRPr="002029AF">
        <w:t>to</w:t>
      </w:r>
      <w:r w:rsidR="000A5329" w:rsidRPr="002029AF">
        <w:t xml:space="preserve"> </w:t>
      </w:r>
      <w:r w:rsidRPr="002029AF">
        <w:t>partner</w:t>
      </w:r>
      <w:r w:rsidR="000A5329" w:rsidRPr="002029AF">
        <w:t xml:space="preserve"> </w:t>
      </w:r>
      <w:r w:rsidRPr="002029AF">
        <w:t>with</w:t>
      </w:r>
      <w:r w:rsidR="000A5329" w:rsidRPr="002029AF">
        <w:t xml:space="preserve"> </w:t>
      </w:r>
      <w:r w:rsidRPr="002029AF">
        <w:t>Primary</w:t>
      </w:r>
      <w:r w:rsidR="000A5329" w:rsidRPr="002029AF">
        <w:t xml:space="preserve"> </w:t>
      </w:r>
      <w:r w:rsidRPr="002029AF">
        <w:t>Health</w:t>
      </w:r>
      <w:r w:rsidR="000A5329" w:rsidRPr="002029AF">
        <w:t xml:space="preserve"> </w:t>
      </w:r>
      <w:r w:rsidRPr="002029AF">
        <w:t>Networks</w:t>
      </w:r>
      <w:r w:rsidR="000A5329" w:rsidRPr="002029AF">
        <w:t xml:space="preserve"> </w:t>
      </w:r>
      <w:r w:rsidRPr="002029AF">
        <w:t>to</w:t>
      </w:r>
      <w:r w:rsidR="000A5329" w:rsidRPr="002029AF">
        <w:t xml:space="preserve"> </w:t>
      </w:r>
      <w:r w:rsidRPr="002029AF">
        <w:t>help</w:t>
      </w:r>
      <w:r w:rsidR="000A5329" w:rsidRPr="002029AF">
        <w:t xml:space="preserve"> </w:t>
      </w:r>
      <w:r w:rsidRPr="002029AF">
        <w:t>local</w:t>
      </w:r>
      <w:r w:rsidR="000A5329" w:rsidRPr="002029AF">
        <w:t xml:space="preserve"> </w:t>
      </w:r>
      <w:r w:rsidRPr="002029AF">
        <w:t>communities</w:t>
      </w:r>
      <w:r w:rsidR="000A5329" w:rsidRPr="002029AF">
        <w:t xml:space="preserve"> </w:t>
      </w:r>
      <w:r w:rsidRPr="002029AF">
        <w:t>develop</w:t>
      </w:r>
      <w:r w:rsidR="000A5329" w:rsidRPr="002029AF">
        <w:t xml:space="preserve"> </w:t>
      </w:r>
      <w:r w:rsidRPr="002029AF">
        <w:t>and</w:t>
      </w:r>
      <w:r w:rsidR="000A5329" w:rsidRPr="002029AF">
        <w:t xml:space="preserve"> </w:t>
      </w:r>
      <w:r w:rsidRPr="002029AF">
        <w:t>implement</w:t>
      </w:r>
      <w:r w:rsidR="000A5329" w:rsidRPr="002029AF">
        <w:t xml:space="preserve"> </w:t>
      </w:r>
      <w:r w:rsidRPr="002029AF">
        <w:t>coordinated</w:t>
      </w:r>
      <w:r w:rsidR="000A5329" w:rsidRPr="002029AF">
        <w:t xml:space="preserve"> </w:t>
      </w:r>
      <w:r w:rsidRPr="002029AF">
        <w:t>place-based</w:t>
      </w:r>
      <w:r w:rsidR="000A5329" w:rsidRPr="002029AF">
        <w:t xml:space="preserve"> </w:t>
      </w:r>
      <w:r w:rsidRPr="002029AF">
        <w:t>approaches</w:t>
      </w:r>
      <w:r w:rsidR="000A5329" w:rsidRPr="002029AF">
        <w:t xml:space="preserve"> </w:t>
      </w:r>
      <w:r w:rsidRPr="002029AF">
        <w:t>to</w:t>
      </w:r>
      <w:r w:rsidR="000A5329" w:rsidRPr="002029AF">
        <w:t xml:space="preserve"> </w:t>
      </w:r>
      <w:r w:rsidRPr="002029AF">
        <w:t>suicide</w:t>
      </w:r>
      <w:r w:rsidR="000A5329" w:rsidRPr="002029AF">
        <w:t xml:space="preserve"> </w:t>
      </w:r>
      <w:r w:rsidRPr="002029AF">
        <w:t>prevention.</w:t>
      </w:r>
      <w:r w:rsidR="000A5329" w:rsidRPr="002029AF">
        <w:t xml:space="preserve"> </w:t>
      </w:r>
      <w:r w:rsidRPr="002029AF">
        <w:t>Guided</w:t>
      </w:r>
      <w:r w:rsidR="000A5329" w:rsidRPr="002029AF">
        <w:t xml:space="preserve"> </w:t>
      </w:r>
      <w:r w:rsidRPr="002029AF">
        <w:t>by</w:t>
      </w:r>
      <w:r w:rsidR="000A5329" w:rsidRPr="002029AF">
        <w:t xml:space="preserve"> </w:t>
      </w:r>
      <w:r w:rsidRPr="002029AF">
        <w:t>a</w:t>
      </w:r>
      <w:r w:rsidR="000A5329" w:rsidRPr="002029AF">
        <w:t xml:space="preserve"> </w:t>
      </w:r>
      <w:r w:rsidRPr="002029AF">
        <w:t>common</w:t>
      </w:r>
      <w:r w:rsidR="000A5329" w:rsidRPr="002029AF">
        <w:t xml:space="preserve"> </w:t>
      </w:r>
      <w:r w:rsidRPr="002029AF">
        <w:t>agenda,</w:t>
      </w:r>
      <w:r w:rsidR="000A5329" w:rsidRPr="002029AF">
        <w:t xml:space="preserve"> </w:t>
      </w:r>
      <w:r w:rsidRPr="002029AF">
        <w:t>operating</w:t>
      </w:r>
      <w:r w:rsidR="000A5329" w:rsidRPr="002029AF">
        <w:t xml:space="preserve"> </w:t>
      </w:r>
      <w:r w:rsidRPr="002029AF">
        <w:t>model,</w:t>
      </w:r>
      <w:r w:rsidR="000A5329" w:rsidRPr="002029AF">
        <w:t xml:space="preserve"> </w:t>
      </w:r>
      <w:r w:rsidRPr="002029AF">
        <w:t>communications,</w:t>
      </w:r>
      <w:r w:rsidR="000A5329" w:rsidRPr="002029AF">
        <w:t xml:space="preserve"> </w:t>
      </w:r>
      <w:r w:rsidRPr="002029AF">
        <w:t>and</w:t>
      </w:r>
      <w:r w:rsidR="000A5329" w:rsidRPr="002029AF">
        <w:t xml:space="preserve"> </w:t>
      </w:r>
      <w:r w:rsidRPr="002029AF">
        <w:t>evaluation</w:t>
      </w:r>
      <w:r w:rsidR="000A5329" w:rsidRPr="002029AF">
        <w:t xml:space="preserve"> </w:t>
      </w:r>
      <w:r w:rsidRPr="002029AF">
        <w:t>frameworks,</w:t>
      </w:r>
      <w:r w:rsidR="000A5329" w:rsidRPr="002029AF">
        <w:t xml:space="preserve"> </w:t>
      </w:r>
      <w:r w:rsidRPr="002029AF">
        <w:t>these</w:t>
      </w:r>
      <w:r w:rsidR="000A5329" w:rsidRPr="002029AF">
        <w:t xml:space="preserve"> </w:t>
      </w:r>
      <w:r w:rsidRPr="002029AF">
        <w:t>trials</w:t>
      </w:r>
      <w:r w:rsidR="000A5329" w:rsidRPr="002029AF">
        <w:t xml:space="preserve"> </w:t>
      </w:r>
      <w:r w:rsidRPr="002029AF">
        <w:t>are</w:t>
      </w:r>
      <w:r w:rsidR="000A5329" w:rsidRPr="002029AF">
        <w:t xml:space="preserve"> </w:t>
      </w:r>
      <w:r w:rsidRPr="002029AF">
        <w:lastRenderedPageBreak/>
        <w:t>harnessing</w:t>
      </w:r>
      <w:r w:rsidR="000A5329" w:rsidRPr="002029AF">
        <w:t xml:space="preserve"> </w:t>
      </w:r>
      <w:r w:rsidRPr="002029AF">
        <w:t>local</w:t>
      </w:r>
      <w:r w:rsidR="000A5329" w:rsidRPr="002029AF">
        <w:t xml:space="preserve"> </w:t>
      </w:r>
      <w:r w:rsidRPr="002029AF">
        <w:t>skills,</w:t>
      </w:r>
      <w:r w:rsidR="000A5329" w:rsidRPr="002029AF">
        <w:t xml:space="preserve"> </w:t>
      </w:r>
      <w:r w:rsidRPr="002029AF">
        <w:t>expertise</w:t>
      </w:r>
      <w:r w:rsidR="000A5329" w:rsidRPr="002029AF">
        <w:t xml:space="preserve"> </w:t>
      </w:r>
      <w:r w:rsidRPr="002029AF">
        <w:t>and</w:t>
      </w:r>
      <w:r w:rsidR="000A5329" w:rsidRPr="002029AF">
        <w:t xml:space="preserve"> </w:t>
      </w:r>
      <w:r w:rsidRPr="002029AF">
        <w:t>resources</w:t>
      </w:r>
      <w:r w:rsidR="000A5329" w:rsidRPr="002029AF">
        <w:t xml:space="preserve"> </w:t>
      </w:r>
      <w:r w:rsidRPr="002029AF">
        <w:t>to</w:t>
      </w:r>
      <w:r w:rsidR="000A5329" w:rsidRPr="002029AF">
        <w:t xml:space="preserve"> </w:t>
      </w:r>
      <w:r w:rsidRPr="002029AF">
        <w:t>implement</w:t>
      </w:r>
      <w:r w:rsidR="000A5329" w:rsidRPr="002029AF">
        <w:t xml:space="preserve"> </w:t>
      </w:r>
      <w:r w:rsidRPr="002029AF">
        <w:t>tailored,</w:t>
      </w:r>
      <w:r w:rsidR="000A5329" w:rsidRPr="002029AF">
        <w:t xml:space="preserve"> </w:t>
      </w:r>
      <w:r w:rsidRPr="002029AF">
        <w:t>evidence-based</w:t>
      </w:r>
      <w:r w:rsidR="000A5329" w:rsidRPr="002029AF">
        <w:t xml:space="preserve"> </w:t>
      </w:r>
      <w:r w:rsidRPr="002029AF">
        <w:t>initiatives</w:t>
      </w:r>
      <w:r w:rsidR="000A5329" w:rsidRPr="002029AF">
        <w:t xml:space="preserve"> </w:t>
      </w:r>
      <w:r w:rsidRPr="002029AF">
        <w:t>in</w:t>
      </w:r>
      <w:r w:rsidR="000A5329" w:rsidRPr="002029AF">
        <w:t xml:space="preserve"> </w:t>
      </w:r>
      <w:r w:rsidRPr="002029AF">
        <w:t>local</w:t>
      </w:r>
      <w:r w:rsidR="000A5329" w:rsidRPr="002029AF">
        <w:t xml:space="preserve"> </w:t>
      </w:r>
      <w:r w:rsidRPr="002029AF">
        <w:t>communities.</w:t>
      </w:r>
      <w:r w:rsidR="000A5329" w:rsidRPr="002029AF">
        <w:t xml:space="preserve"> </w:t>
      </w:r>
      <w:r w:rsidRPr="002029AF">
        <w:t>At</w:t>
      </w:r>
      <w:r w:rsidR="000A5329" w:rsidRPr="002029AF">
        <w:t xml:space="preserve"> </w:t>
      </w:r>
      <w:r w:rsidRPr="002029AF">
        <w:t>each</w:t>
      </w:r>
      <w:r w:rsidR="000A5329" w:rsidRPr="002029AF">
        <w:t xml:space="preserve"> </w:t>
      </w:r>
      <w:r w:rsidRPr="002029AF">
        <w:t>site,</w:t>
      </w:r>
      <w:r w:rsidR="000A5329" w:rsidRPr="002029AF">
        <w:t xml:space="preserve"> </w:t>
      </w:r>
      <w:r w:rsidRPr="002029AF">
        <w:t>organisations,</w:t>
      </w:r>
      <w:r w:rsidR="000A5329" w:rsidRPr="002029AF">
        <w:t xml:space="preserve"> </w:t>
      </w:r>
      <w:r w:rsidRPr="002029AF">
        <w:t>services</w:t>
      </w:r>
      <w:r w:rsidR="000A5329" w:rsidRPr="002029AF">
        <w:t xml:space="preserve"> </w:t>
      </w:r>
      <w:r w:rsidRPr="002029AF">
        <w:t>and</w:t>
      </w:r>
      <w:r w:rsidR="000A5329" w:rsidRPr="002029AF">
        <w:t xml:space="preserve"> </w:t>
      </w:r>
      <w:r w:rsidRPr="002029AF">
        <w:t>community</w:t>
      </w:r>
      <w:r w:rsidR="000A5329" w:rsidRPr="002029AF">
        <w:t xml:space="preserve"> </w:t>
      </w:r>
      <w:r w:rsidRPr="002029AF">
        <w:t>work</w:t>
      </w:r>
      <w:r w:rsidR="000A5329" w:rsidRPr="002029AF">
        <w:t xml:space="preserve"> </w:t>
      </w:r>
      <w:r w:rsidRPr="002029AF">
        <w:t>together</w:t>
      </w:r>
      <w:r w:rsidR="000A5329" w:rsidRPr="002029AF">
        <w:t xml:space="preserve"> </w:t>
      </w:r>
      <w:r w:rsidRPr="002029AF">
        <w:t>and</w:t>
      </w:r>
      <w:r w:rsidR="000A5329" w:rsidRPr="002029AF">
        <w:t xml:space="preserve"> </w:t>
      </w:r>
      <w:r w:rsidRPr="002029AF">
        <w:t>with</w:t>
      </w:r>
      <w:r w:rsidR="000A5329" w:rsidRPr="002029AF">
        <w:t xml:space="preserve"> </w:t>
      </w:r>
      <w:r w:rsidRPr="002029AF">
        <w:t>the</w:t>
      </w:r>
      <w:r w:rsidR="000A5329" w:rsidRPr="002029AF">
        <w:t xml:space="preserve"> </w:t>
      </w:r>
      <w:r w:rsidRPr="002029AF">
        <w:t>local</w:t>
      </w:r>
      <w:r w:rsidR="000A5329" w:rsidRPr="002029AF">
        <w:t xml:space="preserve"> </w:t>
      </w:r>
      <w:r w:rsidRPr="002029AF">
        <w:t>Primary</w:t>
      </w:r>
      <w:r w:rsidR="000A5329" w:rsidRPr="002029AF">
        <w:t xml:space="preserve"> </w:t>
      </w:r>
      <w:r w:rsidRPr="002029AF">
        <w:t>Health</w:t>
      </w:r>
      <w:r w:rsidR="000A5329" w:rsidRPr="002029AF">
        <w:t xml:space="preserve"> </w:t>
      </w:r>
      <w:r w:rsidRPr="002029AF">
        <w:t>Network</w:t>
      </w:r>
      <w:r w:rsidR="000A5329" w:rsidRPr="002029AF">
        <w:t xml:space="preserve"> </w:t>
      </w:r>
      <w:r w:rsidRPr="002029AF">
        <w:t>to</w:t>
      </w:r>
      <w:r w:rsidR="000A5329" w:rsidRPr="002029AF">
        <w:t xml:space="preserve"> </w:t>
      </w:r>
      <w:r w:rsidRPr="002029AF">
        <w:t>develop</w:t>
      </w:r>
      <w:r w:rsidR="000A5329" w:rsidRPr="002029AF">
        <w:t xml:space="preserve"> </w:t>
      </w:r>
      <w:r w:rsidRPr="002029AF">
        <w:t>a</w:t>
      </w:r>
      <w:r w:rsidR="000A5329" w:rsidRPr="002029AF">
        <w:t xml:space="preserve"> </w:t>
      </w:r>
      <w:r w:rsidRPr="002029AF">
        <w:t>plan</w:t>
      </w:r>
      <w:r w:rsidR="000A5329" w:rsidRPr="002029AF">
        <w:t xml:space="preserve"> </w:t>
      </w:r>
      <w:r w:rsidRPr="002029AF">
        <w:t>to</w:t>
      </w:r>
      <w:r w:rsidR="000A5329" w:rsidRPr="002029AF">
        <w:t xml:space="preserve"> </w:t>
      </w:r>
      <w:r w:rsidRPr="002029AF">
        <w:t>reduce</w:t>
      </w:r>
      <w:r w:rsidR="000A5329" w:rsidRPr="002029AF">
        <w:t xml:space="preserve"> </w:t>
      </w:r>
      <w:r w:rsidRPr="002029AF">
        <w:t>suicides</w:t>
      </w:r>
      <w:r w:rsidR="000A5329" w:rsidRPr="002029AF">
        <w:t xml:space="preserve"> </w:t>
      </w:r>
      <w:r w:rsidRPr="002029AF">
        <w:t>and</w:t>
      </w:r>
      <w:r w:rsidR="000A5329" w:rsidRPr="002029AF">
        <w:t xml:space="preserve"> </w:t>
      </w:r>
      <w:r w:rsidRPr="002029AF">
        <w:t>to</w:t>
      </w:r>
      <w:r w:rsidR="000A5329" w:rsidRPr="002029AF">
        <w:t xml:space="preserve"> </w:t>
      </w:r>
      <w:r w:rsidRPr="002029AF">
        <w:t>deliver</w:t>
      </w:r>
      <w:r w:rsidR="000A5329" w:rsidRPr="002029AF">
        <w:t xml:space="preserve"> </w:t>
      </w:r>
      <w:r w:rsidRPr="002029AF">
        <w:t>effective</w:t>
      </w:r>
      <w:r w:rsidR="000A5329" w:rsidRPr="002029AF">
        <w:t xml:space="preserve"> </w:t>
      </w:r>
      <w:r w:rsidRPr="002029AF">
        <w:t>suicide</w:t>
      </w:r>
      <w:r w:rsidR="000A5329" w:rsidRPr="002029AF">
        <w:t xml:space="preserve"> </w:t>
      </w:r>
      <w:r w:rsidRPr="002029AF">
        <w:t>prevention</w:t>
      </w:r>
      <w:r w:rsidR="000A5329" w:rsidRPr="002029AF">
        <w:t xml:space="preserve"> </w:t>
      </w:r>
      <w:r w:rsidRPr="002029AF">
        <w:t>at</w:t>
      </w:r>
      <w:r w:rsidR="00B97ABC" w:rsidRPr="002029AF">
        <w:t> </w:t>
      </w:r>
      <w:r w:rsidRPr="002029AF">
        <w:t>a</w:t>
      </w:r>
      <w:r w:rsidR="00B97ABC" w:rsidRPr="002029AF">
        <w:t> </w:t>
      </w:r>
      <w:r w:rsidRPr="002029AF">
        <w:t>local</w:t>
      </w:r>
      <w:r w:rsidR="000A5329" w:rsidRPr="002029AF">
        <w:t xml:space="preserve"> </w:t>
      </w:r>
      <w:r w:rsidRPr="002029AF">
        <w:t>level.</w:t>
      </w:r>
      <w:r w:rsidR="000A5329" w:rsidRPr="002029AF">
        <w:t xml:space="preserve"> </w:t>
      </w:r>
      <w:r w:rsidRPr="002029AF">
        <w:t>Engag</w:t>
      </w:r>
      <w:r w:rsidR="00C12AAE" w:rsidRPr="002029AF">
        <w:t>ing</w:t>
      </w:r>
      <w:r w:rsidR="000A5329" w:rsidRPr="002029AF">
        <w:t xml:space="preserve"> </w:t>
      </w:r>
      <w:r w:rsidRPr="002029AF">
        <w:t>with</w:t>
      </w:r>
      <w:r w:rsidR="000A5329" w:rsidRPr="002029AF">
        <w:t xml:space="preserve"> </w:t>
      </w:r>
      <w:r w:rsidRPr="002029AF">
        <w:t>Aboriginal</w:t>
      </w:r>
      <w:r w:rsidR="000A5329" w:rsidRPr="002029AF">
        <w:t xml:space="preserve"> </w:t>
      </w:r>
      <w:r w:rsidRPr="002029AF">
        <w:t>communities</w:t>
      </w:r>
      <w:r w:rsidR="000A5329" w:rsidRPr="002029AF">
        <w:t xml:space="preserve"> </w:t>
      </w:r>
      <w:r w:rsidRPr="002029AF">
        <w:t>and</w:t>
      </w:r>
      <w:r w:rsidR="000A5329" w:rsidRPr="002029AF">
        <w:t xml:space="preserve"> </w:t>
      </w:r>
      <w:r w:rsidRPr="002029AF">
        <w:t>exploring</w:t>
      </w:r>
      <w:r w:rsidR="000A5329" w:rsidRPr="002029AF">
        <w:t xml:space="preserve"> </w:t>
      </w:r>
      <w:r w:rsidRPr="002029AF">
        <w:t>specific</w:t>
      </w:r>
      <w:r w:rsidR="000A5329" w:rsidRPr="002029AF">
        <w:t xml:space="preserve"> </w:t>
      </w:r>
      <w:r w:rsidRPr="002029AF">
        <w:t>issues</w:t>
      </w:r>
      <w:r w:rsidR="000A5329" w:rsidRPr="002029AF">
        <w:t xml:space="preserve"> </w:t>
      </w:r>
      <w:r w:rsidRPr="002029AF">
        <w:t>for</w:t>
      </w:r>
      <w:r w:rsidR="00B97ABC" w:rsidRPr="002029AF">
        <w:t> </w:t>
      </w:r>
      <w:r w:rsidRPr="002029AF">
        <w:t>Aboriginal</w:t>
      </w:r>
      <w:r w:rsidR="000A5329" w:rsidRPr="002029AF">
        <w:t xml:space="preserve"> </w:t>
      </w:r>
      <w:r w:rsidRPr="002029AF">
        <w:t>people</w:t>
      </w:r>
      <w:r w:rsidR="000A5329" w:rsidRPr="002029AF">
        <w:t xml:space="preserve"> </w:t>
      </w:r>
      <w:r w:rsidRPr="002029AF">
        <w:t>is</w:t>
      </w:r>
      <w:r w:rsidR="000A5329" w:rsidRPr="002029AF">
        <w:t xml:space="preserve"> </w:t>
      </w:r>
      <w:r w:rsidRPr="002029AF">
        <w:t>an</w:t>
      </w:r>
      <w:r w:rsidR="000A5329" w:rsidRPr="002029AF">
        <w:t xml:space="preserve"> </w:t>
      </w:r>
      <w:r w:rsidRPr="002029AF">
        <w:t>important</w:t>
      </w:r>
      <w:r w:rsidR="000A5329" w:rsidRPr="002029AF">
        <w:t xml:space="preserve"> </w:t>
      </w:r>
      <w:r w:rsidRPr="002029AF">
        <w:t>component</w:t>
      </w:r>
      <w:r w:rsidR="000A5329" w:rsidRPr="002029AF">
        <w:t xml:space="preserve"> </w:t>
      </w:r>
      <w:r w:rsidRPr="002029AF">
        <w:t>of</w:t>
      </w:r>
      <w:r w:rsidR="000A5329" w:rsidRPr="002029AF">
        <w:t xml:space="preserve"> </w:t>
      </w:r>
      <w:r w:rsidRPr="002029AF">
        <w:t>these</w:t>
      </w:r>
      <w:r w:rsidR="000A5329" w:rsidRPr="002029AF">
        <w:t xml:space="preserve"> </w:t>
      </w:r>
      <w:r w:rsidRPr="002029AF">
        <w:t>trials.</w:t>
      </w:r>
    </w:p>
    <w:p w14:paraId="7AACD6DE" w14:textId="1215F527" w:rsidR="00756414" w:rsidRDefault="00756414" w:rsidP="00756414">
      <w:pPr>
        <w:pStyle w:val="ARbullet1"/>
        <w:rPr>
          <w:rFonts w:asciiTheme="minorHAnsi" w:eastAsiaTheme="minorEastAsia" w:hAnsiTheme="minorHAnsi" w:cstheme="minorBidi"/>
          <w:color w:val="87189D" w:themeColor="accent1"/>
          <w:szCs w:val="20"/>
        </w:rPr>
      </w:pPr>
      <w:r w:rsidRPr="3955980E">
        <w:t>In 2018 the Department committed $30</w:t>
      </w:r>
      <w:r>
        <w:t xml:space="preserve"> </w:t>
      </w:r>
      <w:r w:rsidRPr="3955980E">
        <w:t>m</w:t>
      </w:r>
      <w:r>
        <w:t>illion</w:t>
      </w:r>
      <w:r w:rsidRPr="3955980E">
        <w:t xml:space="preserve"> to the Regional Estate Revitalisation program to</w:t>
      </w:r>
      <w:r w:rsidR="00020FE5">
        <w:t> </w:t>
      </w:r>
      <w:r w:rsidRPr="3955980E">
        <w:t>renew and improve three regional public housing estates: Delacombe Estate (Delacombe, Ballarat), Virginia Hill Estate (Eaglehawk, Bendigo) and Benalla West Estate (Benalla). Each estate was allocated $10</w:t>
      </w:r>
      <w:r>
        <w:t xml:space="preserve"> </w:t>
      </w:r>
      <w:r w:rsidRPr="3955980E">
        <w:t>m</w:t>
      </w:r>
      <w:r>
        <w:t>illion</w:t>
      </w:r>
      <w:r w:rsidRPr="3955980E">
        <w:t xml:space="preserve"> in seed funding. This project seeks to improve housing, public areas and connections with the surrounding community</w:t>
      </w:r>
      <w:r>
        <w:t xml:space="preserve"> and was</w:t>
      </w:r>
      <w:r w:rsidRPr="3955980E">
        <w:t xml:space="preserve"> introduced to the community in late 2019 </w:t>
      </w:r>
      <w:r>
        <w:t>with</w:t>
      </w:r>
      <w:r w:rsidRPr="3955980E">
        <w:t xml:space="preserve"> residents </w:t>
      </w:r>
      <w:r>
        <w:t>being</w:t>
      </w:r>
      <w:r w:rsidRPr="3955980E">
        <w:t xml:space="preserve"> asked what they like about their estate and what they’d like to see improved. In February 2020, a Consultative Committee was established at each site to provide residents and community groups the opportunity to take part in the project and provide detailed feedback. Community feedback was used to develop a set of proposed key directions to guide the masterplan. In March – April 2020, the community was consulted on the proposed key directions. The next phase will involve consultation with the community and other stakeholders on the draft masterplans.</w:t>
      </w:r>
    </w:p>
    <w:p w14:paraId="746E5682" w14:textId="3412375A" w:rsidR="000A5329" w:rsidRPr="002029AF" w:rsidRDefault="00770DE1" w:rsidP="001E768A">
      <w:pPr>
        <w:pStyle w:val="ARbullet1"/>
      </w:pPr>
      <w:r w:rsidRPr="002029AF">
        <w:t>The</w:t>
      </w:r>
      <w:r w:rsidR="000A5329" w:rsidRPr="002029AF">
        <w:t xml:space="preserve"> </w:t>
      </w:r>
      <w:r w:rsidRPr="002029AF">
        <w:t>third</w:t>
      </w:r>
      <w:r w:rsidR="000A5329" w:rsidRPr="002029AF">
        <w:rPr>
          <w:i/>
          <w:iCs/>
        </w:rPr>
        <w:t xml:space="preserve"> </w:t>
      </w:r>
      <w:r w:rsidR="00BA3034" w:rsidRPr="002029AF">
        <w:rPr>
          <w:i/>
          <w:iCs/>
        </w:rPr>
        <w:t>Victorian</w:t>
      </w:r>
      <w:r w:rsidR="000A5329" w:rsidRPr="002029AF">
        <w:t xml:space="preserve"> </w:t>
      </w:r>
      <w:r w:rsidRPr="00667FC4">
        <w:rPr>
          <w:i/>
          <w:iCs/>
        </w:rPr>
        <w:t>public</w:t>
      </w:r>
      <w:r w:rsidR="000A5329" w:rsidRPr="00667FC4">
        <w:rPr>
          <w:i/>
          <w:iCs/>
        </w:rPr>
        <w:t xml:space="preserve"> </w:t>
      </w:r>
      <w:r w:rsidRPr="00667FC4">
        <w:rPr>
          <w:i/>
          <w:iCs/>
        </w:rPr>
        <w:t>health</w:t>
      </w:r>
      <w:r w:rsidR="000A5329" w:rsidRPr="00667FC4">
        <w:rPr>
          <w:i/>
          <w:iCs/>
        </w:rPr>
        <w:t xml:space="preserve"> </w:t>
      </w:r>
      <w:r w:rsidRPr="00667FC4">
        <w:rPr>
          <w:i/>
          <w:iCs/>
        </w:rPr>
        <w:t>and</w:t>
      </w:r>
      <w:r w:rsidR="000A5329" w:rsidRPr="00667FC4">
        <w:rPr>
          <w:i/>
          <w:iCs/>
        </w:rPr>
        <w:t xml:space="preserve"> </w:t>
      </w:r>
      <w:r w:rsidRPr="00667FC4">
        <w:rPr>
          <w:i/>
          <w:iCs/>
        </w:rPr>
        <w:t>wellbeing</w:t>
      </w:r>
      <w:r w:rsidR="000A5329" w:rsidRPr="00667FC4">
        <w:rPr>
          <w:i/>
          <w:iCs/>
        </w:rPr>
        <w:t xml:space="preserve"> </w:t>
      </w:r>
      <w:r w:rsidRPr="00667FC4">
        <w:rPr>
          <w:i/>
          <w:iCs/>
        </w:rPr>
        <w:t>plan</w:t>
      </w:r>
      <w:r w:rsidR="000A5329" w:rsidRPr="00667FC4">
        <w:rPr>
          <w:i/>
          <w:iCs/>
        </w:rPr>
        <w:t xml:space="preserve"> </w:t>
      </w:r>
      <w:r w:rsidRPr="002029AF">
        <w:t>was</w:t>
      </w:r>
      <w:r w:rsidR="000A5329" w:rsidRPr="002029AF">
        <w:t xml:space="preserve"> </w:t>
      </w:r>
      <w:r w:rsidRPr="002029AF">
        <w:t>published</w:t>
      </w:r>
      <w:r w:rsidR="000A5329" w:rsidRPr="002029AF">
        <w:t xml:space="preserve"> </w:t>
      </w:r>
      <w:r w:rsidRPr="002029AF">
        <w:t>in</w:t>
      </w:r>
      <w:r w:rsidR="000A5329" w:rsidRPr="002029AF">
        <w:t xml:space="preserve"> </w:t>
      </w:r>
      <w:r w:rsidRPr="002029AF">
        <w:t>August</w:t>
      </w:r>
      <w:r w:rsidR="000A5329" w:rsidRPr="002029AF">
        <w:t xml:space="preserve"> </w:t>
      </w:r>
      <w:r w:rsidRPr="002029AF">
        <w:t>2019.</w:t>
      </w:r>
      <w:r w:rsidR="000A5329" w:rsidRPr="002029AF">
        <w:t xml:space="preserve"> </w:t>
      </w:r>
      <w:r w:rsidRPr="002029AF">
        <w:t>It</w:t>
      </w:r>
      <w:r w:rsidR="000A5329" w:rsidRPr="002029AF">
        <w:t xml:space="preserve"> </w:t>
      </w:r>
      <w:r w:rsidRPr="002029AF">
        <w:t>sets</w:t>
      </w:r>
      <w:r w:rsidR="000A5329" w:rsidRPr="002029AF">
        <w:t xml:space="preserve"> </w:t>
      </w:r>
      <w:r w:rsidRPr="002029AF">
        <w:t>out</w:t>
      </w:r>
      <w:r w:rsidR="000A5329" w:rsidRPr="002029AF">
        <w:t xml:space="preserve"> </w:t>
      </w:r>
      <w:r w:rsidRPr="002029AF">
        <w:t>a</w:t>
      </w:r>
      <w:r w:rsidR="000A5329" w:rsidRPr="002029AF">
        <w:t xml:space="preserve"> </w:t>
      </w:r>
      <w:r w:rsidRPr="002029AF">
        <w:t>comprehensive</w:t>
      </w:r>
      <w:r w:rsidR="000A5329" w:rsidRPr="002029AF">
        <w:t xml:space="preserve"> </w:t>
      </w:r>
      <w:r w:rsidRPr="002029AF">
        <w:t>approach</w:t>
      </w:r>
      <w:r w:rsidR="000A5329" w:rsidRPr="002029AF">
        <w:t xml:space="preserve"> </w:t>
      </w:r>
      <w:r w:rsidRPr="002029AF">
        <w:t>to</w:t>
      </w:r>
      <w:r w:rsidR="000A5329" w:rsidRPr="002029AF">
        <w:t xml:space="preserve"> </w:t>
      </w:r>
      <w:r w:rsidRPr="002029AF">
        <w:t>deliver</w:t>
      </w:r>
      <w:r w:rsidR="00F3363D" w:rsidRPr="002029AF">
        <w:t>ing</w:t>
      </w:r>
      <w:r w:rsidR="000A5329" w:rsidRPr="002029AF">
        <w:t xml:space="preserve"> </w:t>
      </w:r>
      <w:r w:rsidRPr="002029AF">
        <w:t>improved</w:t>
      </w:r>
      <w:r w:rsidR="000A5329" w:rsidRPr="002029AF">
        <w:t xml:space="preserve"> </w:t>
      </w:r>
      <w:r w:rsidRPr="002029AF">
        <w:t>public</w:t>
      </w:r>
      <w:r w:rsidR="000A5329" w:rsidRPr="002029AF">
        <w:t xml:space="preserve"> </w:t>
      </w:r>
      <w:r w:rsidRPr="002029AF">
        <w:t>health</w:t>
      </w:r>
      <w:r w:rsidR="000A5329" w:rsidRPr="002029AF">
        <w:t xml:space="preserve"> </w:t>
      </w:r>
      <w:r w:rsidRPr="002029AF">
        <w:t>and</w:t>
      </w:r>
      <w:r w:rsidR="000A5329" w:rsidRPr="002029AF">
        <w:t xml:space="preserve"> </w:t>
      </w:r>
      <w:r w:rsidRPr="002029AF">
        <w:t>wellbeing</w:t>
      </w:r>
      <w:r w:rsidR="000A5329" w:rsidRPr="002029AF">
        <w:t xml:space="preserve"> </w:t>
      </w:r>
      <w:r w:rsidRPr="002029AF">
        <w:t>outcomes</w:t>
      </w:r>
      <w:r w:rsidR="000A5329" w:rsidRPr="002029AF">
        <w:t xml:space="preserve"> </w:t>
      </w:r>
      <w:r w:rsidRPr="002029AF">
        <w:t>for</w:t>
      </w:r>
      <w:r w:rsidR="000A5329" w:rsidRPr="002029AF">
        <w:t xml:space="preserve"> </w:t>
      </w:r>
      <w:r w:rsidRPr="002029AF">
        <w:t>all</w:t>
      </w:r>
      <w:r w:rsidR="000A5329" w:rsidRPr="002029AF">
        <w:t xml:space="preserve"> </w:t>
      </w:r>
      <w:r w:rsidRPr="002029AF">
        <w:t>Victorians.</w:t>
      </w:r>
      <w:r w:rsidR="000A5329" w:rsidRPr="002029AF">
        <w:t xml:space="preserve"> </w:t>
      </w:r>
      <w:r w:rsidRPr="002029AF">
        <w:t>Public</w:t>
      </w:r>
      <w:r w:rsidR="000A5329" w:rsidRPr="002029AF">
        <w:t xml:space="preserve"> </w:t>
      </w:r>
      <w:r w:rsidRPr="002029AF">
        <w:t>health</w:t>
      </w:r>
      <w:r w:rsidR="000A5329" w:rsidRPr="002029AF">
        <w:t xml:space="preserve"> </w:t>
      </w:r>
      <w:r w:rsidRPr="002029AF">
        <w:t>and</w:t>
      </w:r>
      <w:r w:rsidR="000A5329" w:rsidRPr="002029AF">
        <w:t xml:space="preserve"> </w:t>
      </w:r>
      <w:r w:rsidRPr="002029AF">
        <w:t>wellbeing</w:t>
      </w:r>
      <w:r w:rsidR="000A5329" w:rsidRPr="002029AF">
        <w:t xml:space="preserve"> </w:t>
      </w:r>
      <w:r w:rsidRPr="002029AF">
        <w:t>plans</w:t>
      </w:r>
      <w:r w:rsidR="000A5329" w:rsidRPr="002029AF">
        <w:t xml:space="preserve"> </w:t>
      </w:r>
      <w:r w:rsidRPr="002029AF">
        <w:t>are</w:t>
      </w:r>
      <w:r w:rsidR="009950F3">
        <w:t> </w:t>
      </w:r>
      <w:r w:rsidRPr="002029AF">
        <w:t>developed</w:t>
      </w:r>
      <w:r w:rsidR="000A5329" w:rsidRPr="002029AF">
        <w:t xml:space="preserve"> </w:t>
      </w:r>
      <w:r w:rsidRPr="002029AF">
        <w:t>by</w:t>
      </w:r>
      <w:r w:rsidR="000A5329" w:rsidRPr="002029AF">
        <w:t xml:space="preserve"> </w:t>
      </w:r>
      <w:r w:rsidRPr="002029AF">
        <w:t>local</w:t>
      </w:r>
      <w:r w:rsidR="000A5329" w:rsidRPr="002029AF">
        <w:t xml:space="preserve"> </w:t>
      </w:r>
      <w:r w:rsidRPr="002029AF">
        <w:t>governments</w:t>
      </w:r>
      <w:r w:rsidR="000A5329" w:rsidRPr="002029AF">
        <w:t xml:space="preserve"> </w:t>
      </w:r>
      <w:r w:rsidRPr="002029AF">
        <w:t>with</w:t>
      </w:r>
      <w:r w:rsidR="000A5329" w:rsidRPr="002029AF">
        <w:t xml:space="preserve"> </w:t>
      </w:r>
      <w:r w:rsidRPr="002029AF">
        <w:t>their</w:t>
      </w:r>
      <w:r w:rsidR="000A5329" w:rsidRPr="002029AF">
        <w:t xml:space="preserve"> </w:t>
      </w:r>
      <w:r w:rsidRPr="002029AF">
        <w:t>communities</w:t>
      </w:r>
      <w:r w:rsidR="000A5329" w:rsidRPr="002029AF">
        <w:t xml:space="preserve"> </w:t>
      </w:r>
      <w:r w:rsidRPr="002029AF">
        <w:t>to</w:t>
      </w:r>
      <w:r w:rsidR="000A5329" w:rsidRPr="002029AF">
        <w:t xml:space="preserve"> </w:t>
      </w:r>
      <w:r w:rsidRPr="002029AF">
        <w:t>address</w:t>
      </w:r>
      <w:r w:rsidR="000A5329" w:rsidRPr="002029AF">
        <w:t xml:space="preserve"> </w:t>
      </w:r>
      <w:r w:rsidRPr="002029AF">
        <w:t>local</w:t>
      </w:r>
      <w:r w:rsidR="000A5329" w:rsidRPr="002029AF">
        <w:t xml:space="preserve"> </w:t>
      </w:r>
      <w:r w:rsidRPr="002029AF">
        <w:t>factors</w:t>
      </w:r>
      <w:r w:rsidR="000A5329" w:rsidRPr="002029AF">
        <w:t xml:space="preserve"> </w:t>
      </w:r>
      <w:r w:rsidRPr="002029AF">
        <w:t>in</w:t>
      </w:r>
      <w:r w:rsidR="000A5329" w:rsidRPr="002029AF">
        <w:t xml:space="preserve"> </w:t>
      </w:r>
      <w:r w:rsidRPr="002029AF">
        <w:t>poor</w:t>
      </w:r>
      <w:r w:rsidR="000A5329" w:rsidRPr="002029AF">
        <w:t xml:space="preserve"> </w:t>
      </w:r>
      <w:r w:rsidRPr="002029AF">
        <w:t>health,</w:t>
      </w:r>
      <w:r w:rsidR="000A5329" w:rsidRPr="002029AF">
        <w:t xml:space="preserve"> </w:t>
      </w:r>
      <w:r w:rsidRPr="002029AF">
        <w:t>wellbeing</w:t>
      </w:r>
      <w:r w:rsidR="000A5329" w:rsidRPr="002029AF">
        <w:t xml:space="preserve"> </w:t>
      </w:r>
      <w:r w:rsidRPr="002029AF">
        <w:t>and</w:t>
      </w:r>
      <w:r w:rsidR="000A5329" w:rsidRPr="002029AF">
        <w:t xml:space="preserve"> </w:t>
      </w:r>
      <w:r w:rsidRPr="002029AF">
        <w:t>disease</w:t>
      </w:r>
      <w:r w:rsidR="000A5329" w:rsidRPr="002029AF">
        <w:t xml:space="preserve"> </w:t>
      </w:r>
      <w:r w:rsidRPr="002029AF">
        <w:t>including</w:t>
      </w:r>
      <w:r w:rsidR="000A5329" w:rsidRPr="002029AF">
        <w:t xml:space="preserve"> </w:t>
      </w:r>
      <w:r w:rsidR="00F3363D" w:rsidRPr="002029AF">
        <w:t>by</w:t>
      </w:r>
      <w:r w:rsidR="000A5329" w:rsidRPr="002029AF">
        <w:t xml:space="preserve"> </w:t>
      </w:r>
      <w:r w:rsidRPr="002029AF">
        <w:t>reducing</w:t>
      </w:r>
      <w:r w:rsidR="000A5329" w:rsidRPr="002029AF">
        <w:t xml:space="preserve"> </w:t>
      </w:r>
      <w:r w:rsidRPr="002029AF">
        <w:t>injury,</w:t>
      </w:r>
      <w:r w:rsidR="000A5329" w:rsidRPr="002029AF">
        <w:t xml:space="preserve"> </w:t>
      </w:r>
      <w:r w:rsidRPr="002029AF">
        <w:t>reducing</w:t>
      </w:r>
      <w:r w:rsidR="000A5329" w:rsidRPr="002029AF">
        <w:t xml:space="preserve"> </w:t>
      </w:r>
      <w:r w:rsidRPr="002029AF">
        <w:t>smoking</w:t>
      </w:r>
      <w:r w:rsidR="000A5329" w:rsidRPr="002029AF">
        <w:t xml:space="preserve"> </w:t>
      </w:r>
      <w:r w:rsidRPr="002029AF">
        <w:t>and</w:t>
      </w:r>
      <w:r w:rsidR="000A5329" w:rsidRPr="002029AF">
        <w:t xml:space="preserve"> </w:t>
      </w:r>
      <w:r w:rsidRPr="002029AF">
        <w:t>improving</w:t>
      </w:r>
      <w:r w:rsidR="000A5329" w:rsidRPr="002029AF">
        <w:t xml:space="preserve"> </w:t>
      </w:r>
      <w:r w:rsidRPr="002029AF">
        <w:t>mental</w:t>
      </w:r>
      <w:r w:rsidR="000A5329" w:rsidRPr="002029AF">
        <w:t xml:space="preserve"> </w:t>
      </w:r>
      <w:r w:rsidRPr="002029AF">
        <w:t>wellbeing.</w:t>
      </w:r>
      <w:r w:rsidR="000A5329" w:rsidRPr="002029AF">
        <w:t xml:space="preserve"> </w:t>
      </w:r>
      <w:r w:rsidRPr="002029AF">
        <w:t>They</w:t>
      </w:r>
      <w:r w:rsidR="000A5329" w:rsidRPr="002029AF">
        <w:t xml:space="preserve"> </w:t>
      </w:r>
      <w:r w:rsidRPr="002029AF">
        <w:t>represent</w:t>
      </w:r>
      <w:r w:rsidR="000A5329" w:rsidRPr="002029AF">
        <w:t xml:space="preserve"> </w:t>
      </w:r>
      <w:r w:rsidRPr="002029AF">
        <w:t>a</w:t>
      </w:r>
      <w:r w:rsidR="000A5329" w:rsidRPr="002029AF">
        <w:t xml:space="preserve"> </w:t>
      </w:r>
      <w:r w:rsidRPr="002029AF">
        <w:t>tool</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uses</w:t>
      </w:r>
      <w:r w:rsidR="000A5329" w:rsidRPr="002029AF">
        <w:t xml:space="preserve"> </w:t>
      </w:r>
      <w:r w:rsidRPr="002029AF">
        <w:t>to</w:t>
      </w:r>
      <w:r w:rsidR="000A5329" w:rsidRPr="002029AF">
        <w:t xml:space="preserve"> </w:t>
      </w:r>
      <w:r w:rsidRPr="002029AF">
        <w:t>support</w:t>
      </w:r>
      <w:r w:rsidR="000A5329" w:rsidRPr="002029AF">
        <w:t xml:space="preserve"> </w:t>
      </w:r>
      <w:r w:rsidRPr="002029AF">
        <w:t>the</w:t>
      </w:r>
      <w:r w:rsidR="000A5329" w:rsidRPr="002029AF">
        <w:t xml:space="preserve"> </w:t>
      </w:r>
      <w:r w:rsidRPr="002029AF">
        <w:t>effective</w:t>
      </w:r>
      <w:r w:rsidR="000A5329" w:rsidRPr="002029AF">
        <w:t xml:space="preserve"> </w:t>
      </w:r>
      <w:r w:rsidRPr="002029AF">
        <w:t>local</w:t>
      </w:r>
      <w:r w:rsidR="000A5329" w:rsidRPr="002029AF">
        <w:t xml:space="preserve"> </w:t>
      </w:r>
      <w:r w:rsidRPr="002029AF">
        <w:t>development</w:t>
      </w:r>
      <w:r w:rsidR="000A5329" w:rsidRPr="002029AF">
        <w:t xml:space="preserve"> </w:t>
      </w:r>
      <w:r w:rsidRPr="002029AF">
        <w:t>and</w:t>
      </w:r>
      <w:r w:rsidR="000A5329" w:rsidRPr="002029AF">
        <w:t xml:space="preserve"> </w:t>
      </w:r>
      <w:r w:rsidRPr="002029AF">
        <w:t>delivery</w:t>
      </w:r>
      <w:r w:rsidR="000A5329" w:rsidRPr="002029AF">
        <w:t xml:space="preserve"> </w:t>
      </w:r>
      <w:r w:rsidRPr="002029AF">
        <w:t>of</w:t>
      </w:r>
      <w:r w:rsidR="000A5329" w:rsidRPr="002029AF">
        <w:t xml:space="preserve"> </w:t>
      </w:r>
      <w:r w:rsidRPr="002029AF">
        <w:t>health</w:t>
      </w:r>
      <w:r w:rsidR="000A5329" w:rsidRPr="002029AF">
        <w:t xml:space="preserve"> </w:t>
      </w:r>
      <w:r w:rsidRPr="002029AF">
        <w:t>and</w:t>
      </w:r>
      <w:r w:rsidR="000A5329" w:rsidRPr="002029AF">
        <w:t xml:space="preserve"> </w:t>
      </w:r>
      <w:r w:rsidRPr="002029AF">
        <w:t>wellbeing</w:t>
      </w:r>
      <w:r w:rsidR="000A5329" w:rsidRPr="002029AF">
        <w:t xml:space="preserve"> </w:t>
      </w:r>
      <w:r w:rsidRPr="002029AF">
        <w:t>improvements.</w:t>
      </w:r>
    </w:p>
    <w:p w14:paraId="1E45DF4C" w14:textId="14CDD94F" w:rsidR="00770DE1" w:rsidRPr="002029AF" w:rsidRDefault="00770DE1" w:rsidP="001E768A">
      <w:pPr>
        <w:pStyle w:val="ARbullet1"/>
      </w:pPr>
      <w:r w:rsidRPr="002029AF">
        <w:t>Ten</w:t>
      </w:r>
      <w:r w:rsidR="000A5329" w:rsidRPr="002029AF">
        <w:t xml:space="preserve"> </w:t>
      </w:r>
      <w:r w:rsidRPr="002029AF">
        <w:t>community</w:t>
      </w:r>
      <w:r w:rsidR="000A5329" w:rsidRPr="002029AF">
        <w:t xml:space="preserve"> </w:t>
      </w:r>
      <w:r w:rsidRPr="002029AF">
        <w:t>consultative</w:t>
      </w:r>
      <w:r w:rsidR="000A5329" w:rsidRPr="002029AF">
        <w:t xml:space="preserve"> </w:t>
      </w:r>
      <w:r w:rsidRPr="002029AF">
        <w:t>committees</w:t>
      </w:r>
      <w:r w:rsidR="000A5329" w:rsidRPr="002029AF">
        <w:t xml:space="preserve"> </w:t>
      </w:r>
      <w:r w:rsidRPr="002029AF">
        <w:t>have</w:t>
      </w:r>
      <w:r w:rsidR="000A5329" w:rsidRPr="002029AF">
        <w:t xml:space="preserve"> </w:t>
      </w:r>
      <w:r w:rsidRPr="002029AF">
        <w:t>been</w:t>
      </w:r>
      <w:r w:rsidR="000A5329" w:rsidRPr="002029AF">
        <w:t xml:space="preserve"> </w:t>
      </w:r>
      <w:r w:rsidRPr="002029AF">
        <w:t>established</w:t>
      </w:r>
      <w:r w:rsidR="000A5329" w:rsidRPr="002029AF">
        <w:t xml:space="preserve"> </w:t>
      </w:r>
      <w:r w:rsidRPr="002029AF">
        <w:t>to</w:t>
      </w:r>
      <w:r w:rsidR="000A5329" w:rsidRPr="002029AF">
        <w:t xml:space="preserve"> </w:t>
      </w:r>
      <w:r w:rsidRPr="002029AF">
        <w:t>inform</w:t>
      </w:r>
      <w:r w:rsidR="000A5329" w:rsidRPr="002029AF">
        <w:t xml:space="preserve"> </w:t>
      </w:r>
      <w:r w:rsidRPr="002029AF">
        <w:t>the</w:t>
      </w:r>
      <w:r w:rsidR="000A5329" w:rsidRPr="002029AF">
        <w:t xml:space="preserve"> </w:t>
      </w:r>
      <w:r w:rsidRPr="002029AF">
        <w:t>design</w:t>
      </w:r>
      <w:r w:rsidR="000A5329" w:rsidRPr="002029AF">
        <w:t xml:space="preserve"> </w:t>
      </w:r>
      <w:r w:rsidRPr="002029AF">
        <w:t>of</w:t>
      </w:r>
      <w:r w:rsidR="000A5329" w:rsidRPr="002029AF">
        <w:t xml:space="preserve"> </w:t>
      </w:r>
      <w:r w:rsidRPr="002029AF">
        <w:t>the</w:t>
      </w:r>
      <w:r w:rsidR="000A5329" w:rsidRPr="002029AF">
        <w:t xml:space="preserve"> </w:t>
      </w:r>
      <w:r w:rsidRPr="002029AF">
        <w:t>10</w:t>
      </w:r>
      <w:r w:rsidR="00B97ABC" w:rsidRPr="002029AF">
        <w:t> </w:t>
      </w:r>
      <w:r w:rsidRPr="002029AF">
        <w:t>community</w:t>
      </w:r>
      <w:r w:rsidR="000A5329" w:rsidRPr="002029AF">
        <w:t xml:space="preserve"> </w:t>
      </w:r>
      <w:r w:rsidRPr="002029AF">
        <w:t>hospitals</w:t>
      </w:r>
      <w:r w:rsidR="000A5329" w:rsidRPr="002029AF">
        <w:t xml:space="preserve"> </w:t>
      </w:r>
      <w:r w:rsidRPr="002029AF">
        <w:t>being</w:t>
      </w:r>
      <w:r w:rsidR="000A5329" w:rsidRPr="002029AF">
        <w:t xml:space="preserve"> </w:t>
      </w:r>
      <w:r w:rsidRPr="002029AF">
        <w:t>developed</w:t>
      </w:r>
      <w:r w:rsidR="000A5329" w:rsidRPr="002029AF">
        <w:t xml:space="preserve"> </w:t>
      </w:r>
      <w:r w:rsidRPr="002029AF">
        <w:t>in</w:t>
      </w:r>
      <w:r w:rsidR="000A5329" w:rsidRPr="002029AF">
        <w:t xml:space="preserve"> </w:t>
      </w:r>
      <w:r w:rsidRPr="002029AF">
        <w:t>growth</w:t>
      </w:r>
      <w:r w:rsidR="000A5329" w:rsidRPr="002029AF">
        <w:t xml:space="preserve"> </w:t>
      </w:r>
      <w:r w:rsidRPr="002029AF">
        <w:t>areas.</w:t>
      </w:r>
      <w:r w:rsidR="000A5329" w:rsidRPr="002029AF">
        <w:t xml:space="preserve"> </w:t>
      </w:r>
      <w:r w:rsidRPr="002029AF">
        <w:t>Community</w:t>
      </w:r>
      <w:r w:rsidR="000A5329" w:rsidRPr="002029AF">
        <w:t xml:space="preserve"> </w:t>
      </w:r>
      <w:r w:rsidRPr="002029AF">
        <w:t>consultative</w:t>
      </w:r>
      <w:r w:rsidR="000A5329" w:rsidRPr="002029AF">
        <w:t xml:space="preserve"> </w:t>
      </w:r>
      <w:r w:rsidRPr="002029AF">
        <w:t>committees</w:t>
      </w:r>
      <w:r w:rsidR="000A5329" w:rsidRPr="002029AF">
        <w:t xml:space="preserve"> </w:t>
      </w:r>
      <w:r w:rsidRPr="002029AF">
        <w:t>comprise</w:t>
      </w:r>
      <w:r w:rsidR="000A5329" w:rsidRPr="002029AF">
        <w:t xml:space="preserve"> </w:t>
      </w:r>
      <w:r w:rsidRPr="002029AF">
        <w:t>local</w:t>
      </w:r>
      <w:r w:rsidR="000A5329" w:rsidRPr="002029AF">
        <w:t xml:space="preserve"> </w:t>
      </w:r>
      <w:r w:rsidRPr="002029AF">
        <w:t>residents,</w:t>
      </w:r>
      <w:r w:rsidR="000A5329" w:rsidRPr="002029AF">
        <w:t xml:space="preserve"> </w:t>
      </w:r>
      <w:r w:rsidRPr="002029AF">
        <w:t>business</w:t>
      </w:r>
      <w:r w:rsidR="000A5329" w:rsidRPr="002029AF">
        <w:t xml:space="preserve"> </w:t>
      </w:r>
      <w:r w:rsidRPr="002029AF">
        <w:t>owners,</w:t>
      </w:r>
      <w:r w:rsidR="000A5329" w:rsidRPr="002029AF">
        <w:t xml:space="preserve"> </w:t>
      </w:r>
      <w:r w:rsidRPr="002029AF">
        <w:t>service</w:t>
      </w:r>
      <w:r w:rsidR="000A5329" w:rsidRPr="002029AF">
        <w:t xml:space="preserve"> </w:t>
      </w:r>
      <w:r w:rsidRPr="002029AF">
        <w:t>providers</w:t>
      </w:r>
      <w:r w:rsidR="000A5329" w:rsidRPr="002029AF">
        <w:t xml:space="preserve"> </w:t>
      </w:r>
      <w:r w:rsidRPr="002029AF">
        <w:t>and</w:t>
      </w:r>
      <w:r w:rsidR="000A5329" w:rsidRPr="002029AF">
        <w:t xml:space="preserve"> </w:t>
      </w:r>
      <w:r w:rsidRPr="002029AF">
        <w:t>interest</w:t>
      </w:r>
      <w:r w:rsidR="000A5329" w:rsidRPr="002029AF">
        <w:t xml:space="preserve"> </w:t>
      </w:r>
      <w:r w:rsidRPr="002029AF">
        <w:t>groups</w:t>
      </w:r>
      <w:r w:rsidR="000A5329" w:rsidRPr="002029AF">
        <w:t xml:space="preserve"> </w:t>
      </w:r>
      <w:r w:rsidR="004A0C83" w:rsidRPr="002029AF">
        <w:t>and</w:t>
      </w:r>
      <w:r w:rsidR="000A5329" w:rsidRPr="002029AF">
        <w:t xml:space="preserve"> </w:t>
      </w:r>
      <w:r w:rsidR="004A0C83" w:rsidRPr="002029AF">
        <w:t>they</w:t>
      </w:r>
      <w:r w:rsidR="000A5329" w:rsidRPr="002029AF">
        <w:t xml:space="preserve"> </w:t>
      </w:r>
      <w:r w:rsidRPr="002029AF">
        <w:t>help</w:t>
      </w:r>
      <w:r w:rsidR="000A5329" w:rsidRPr="002029AF">
        <w:t xml:space="preserve"> </w:t>
      </w:r>
      <w:r w:rsidRPr="002029AF">
        <w:t>project</w:t>
      </w:r>
      <w:r w:rsidR="000A5329" w:rsidRPr="002029AF">
        <w:t xml:space="preserve"> </w:t>
      </w:r>
      <w:r w:rsidRPr="002029AF">
        <w:t>teams</w:t>
      </w:r>
      <w:r w:rsidR="000A5329" w:rsidRPr="002029AF">
        <w:t xml:space="preserve"> </w:t>
      </w:r>
      <w:r w:rsidRPr="002029AF">
        <w:t>have</w:t>
      </w:r>
      <w:r w:rsidR="000A5329" w:rsidRPr="002029AF">
        <w:t xml:space="preserve"> </w:t>
      </w:r>
      <w:r w:rsidRPr="002029AF">
        <w:t>meaningful</w:t>
      </w:r>
      <w:r w:rsidR="000A5329" w:rsidRPr="002029AF">
        <w:t xml:space="preserve"> </w:t>
      </w:r>
      <w:r w:rsidRPr="002029AF">
        <w:t>and</w:t>
      </w:r>
      <w:r w:rsidR="000A5329" w:rsidRPr="002029AF">
        <w:t xml:space="preserve"> </w:t>
      </w:r>
      <w:r w:rsidRPr="002029AF">
        <w:t>effective</w:t>
      </w:r>
      <w:r w:rsidR="000A5329" w:rsidRPr="002029AF">
        <w:t xml:space="preserve"> </w:t>
      </w:r>
      <w:r w:rsidRPr="002029AF">
        <w:t>communication</w:t>
      </w:r>
      <w:r w:rsidR="000A5329" w:rsidRPr="002029AF">
        <w:t xml:space="preserve"> </w:t>
      </w:r>
      <w:r w:rsidRPr="002029AF">
        <w:t>and</w:t>
      </w:r>
      <w:r w:rsidR="000A5329" w:rsidRPr="002029AF">
        <w:t xml:space="preserve"> </w:t>
      </w:r>
      <w:r w:rsidRPr="002029AF">
        <w:t>discussions</w:t>
      </w:r>
      <w:r w:rsidR="000A5329" w:rsidRPr="002029AF">
        <w:t xml:space="preserve"> </w:t>
      </w:r>
      <w:r w:rsidRPr="002029AF">
        <w:t>with</w:t>
      </w:r>
      <w:r w:rsidR="000A5329" w:rsidRPr="002029AF">
        <w:t xml:space="preserve"> </w:t>
      </w:r>
      <w:r w:rsidRPr="002029AF">
        <w:t>the</w:t>
      </w:r>
      <w:r w:rsidR="000A5329" w:rsidRPr="002029AF">
        <w:t xml:space="preserve"> </w:t>
      </w:r>
      <w:r w:rsidRPr="002029AF">
        <w:t>communit</w:t>
      </w:r>
      <w:r w:rsidR="004A0C83" w:rsidRPr="002029AF">
        <w:t>ies</w:t>
      </w:r>
      <w:r w:rsidR="000A5329" w:rsidRPr="002029AF">
        <w:t xml:space="preserve"> </w:t>
      </w:r>
      <w:r w:rsidRPr="002029AF">
        <w:t>affected</w:t>
      </w:r>
      <w:r w:rsidR="000A5329" w:rsidRPr="002029AF">
        <w:t xml:space="preserve"> </w:t>
      </w:r>
      <w:r w:rsidRPr="002029AF">
        <w:t>by</w:t>
      </w:r>
      <w:r w:rsidR="000A5329" w:rsidRPr="002029AF">
        <w:t xml:space="preserve"> </w:t>
      </w:r>
      <w:r w:rsidRPr="002029AF">
        <w:t>the</w:t>
      </w:r>
      <w:r w:rsidR="000A5329" w:rsidRPr="002029AF">
        <w:t xml:space="preserve"> </w:t>
      </w:r>
      <w:r w:rsidR="00A35DBF" w:rsidRPr="002029AF">
        <w:t>respective</w:t>
      </w:r>
      <w:r w:rsidR="000A5329" w:rsidRPr="002029AF">
        <w:t xml:space="preserve"> </w:t>
      </w:r>
      <w:r w:rsidRPr="002029AF">
        <w:t>project.</w:t>
      </w:r>
      <w:r w:rsidR="000A5329" w:rsidRPr="002029AF">
        <w:t xml:space="preserve"> </w:t>
      </w:r>
      <w:r w:rsidRPr="002029AF">
        <w:t>The</w:t>
      </w:r>
      <w:r w:rsidR="000A5329" w:rsidRPr="002029AF">
        <w:t xml:space="preserve"> </w:t>
      </w:r>
      <w:r w:rsidRPr="002029AF">
        <w:t>inclusion</w:t>
      </w:r>
      <w:r w:rsidR="000A5329" w:rsidRPr="002029AF">
        <w:t xml:space="preserve"> </w:t>
      </w:r>
      <w:r w:rsidRPr="002029AF">
        <w:t>of</w:t>
      </w:r>
      <w:r w:rsidR="000A5329" w:rsidRPr="002029AF">
        <w:t xml:space="preserve"> </w:t>
      </w:r>
      <w:r w:rsidRPr="002029AF">
        <w:t>community</w:t>
      </w:r>
      <w:r w:rsidR="000A5329" w:rsidRPr="002029AF">
        <w:t xml:space="preserve"> </w:t>
      </w:r>
      <w:r w:rsidRPr="002029AF">
        <w:t>members</w:t>
      </w:r>
      <w:r w:rsidR="000A5329" w:rsidRPr="002029AF">
        <w:t xml:space="preserve"> </w:t>
      </w:r>
      <w:r w:rsidRPr="002029AF">
        <w:t>in</w:t>
      </w:r>
      <w:r w:rsidR="000A5329" w:rsidRPr="002029AF">
        <w:t xml:space="preserve"> </w:t>
      </w:r>
      <w:r w:rsidRPr="002029AF">
        <w:t>the</w:t>
      </w:r>
      <w:r w:rsidR="000A5329" w:rsidRPr="002029AF">
        <w:t xml:space="preserve"> </w:t>
      </w:r>
      <w:r w:rsidRPr="002029AF">
        <w:t>design</w:t>
      </w:r>
      <w:r w:rsidR="000A5329" w:rsidRPr="002029AF">
        <w:t xml:space="preserve"> </w:t>
      </w:r>
      <w:r w:rsidRPr="002029AF">
        <w:t>of</w:t>
      </w:r>
      <w:r w:rsidR="000A5329" w:rsidRPr="002029AF">
        <w:t xml:space="preserve"> </w:t>
      </w:r>
      <w:r w:rsidRPr="002029AF">
        <w:t>services</w:t>
      </w:r>
      <w:r w:rsidR="000A5329" w:rsidRPr="002029AF">
        <w:t xml:space="preserve"> </w:t>
      </w:r>
      <w:r w:rsidR="00437B61" w:rsidRPr="002029AF">
        <w:t>is</w:t>
      </w:r>
      <w:r w:rsidR="000A5329" w:rsidRPr="002029AF">
        <w:t xml:space="preserve"> </w:t>
      </w:r>
      <w:r w:rsidR="00437B61" w:rsidRPr="002029AF">
        <w:t>aimed</w:t>
      </w:r>
      <w:r w:rsidR="000A5329" w:rsidRPr="002029AF">
        <w:t xml:space="preserve"> </w:t>
      </w:r>
      <w:r w:rsidR="00437B61" w:rsidRPr="002029AF">
        <w:t>at</w:t>
      </w:r>
      <w:r w:rsidR="000A5329" w:rsidRPr="002029AF">
        <w:t xml:space="preserve"> </w:t>
      </w:r>
      <w:r w:rsidRPr="002029AF">
        <w:t>increas</w:t>
      </w:r>
      <w:r w:rsidR="00437B61" w:rsidRPr="002029AF">
        <w:t>ing</w:t>
      </w:r>
      <w:r w:rsidR="000A5329" w:rsidRPr="002029AF">
        <w:t xml:space="preserve"> </w:t>
      </w:r>
      <w:r w:rsidRPr="002029AF">
        <w:t>the</w:t>
      </w:r>
      <w:r w:rsidR="000A5329" w:rsidRPr="002029AF">
        <w:t xml:space="preserve"> </w:t>
      </w:r>
      <w:r w:rsidRPr="002029AF">
        <w:t>functionality</w:t>
      </w:r>
      <w:r w:rsidR="000A5329" w:rsidRPr="002029AF">
        <w:t xml:space="preserve"> </w:t>
      </w:r>
      <w:r w:rsidRPr="002029AF">
        <w:t>and</w:t>
      </w:r>
      <w:r w:rsidR="000A5329" w:rsidRPr="002029AF">
        <w:t xml:space="preserve"> </w:t>
      </w:r>
      <w:r w:rsidRPr="002029AF">
        <w:t>use</w:t>
      </w:r>
      <w:r w:rsidR="000A5329" w:rsidRPr="002029AF">
        <w:t xml:space="preserve"> </w:t>
      </w:r>
      <w:r w:rsidR="008D3C88" w:rsidRPr="002029AF">
        <w:t>of</w:t>
      </w:r>
      <w:r w:rsidR="000A5329" w:rsidRPr="002029AF">
        <w:t xml:space="preserve"> </w:t>
      </w:r>
      <w:r w:rsidRPr="002029AF">
        <w:t>the</w:t>
      </w:r>
      <w:r w:rsidR="000A5329" w:rsidRPr="002029AF">
        <w:t xml:space="preserve"> </w:t>
      </w:r>
      <w:r w:rsidRPr="002029AF">
        <w:t>community</w:t>
      </w:r>
      <w:r w:rsidR="000A5329" w:rsidRPr="002029AF">
        <w:t xml:space="preserve"> </w:t>
      </w:r>
      <w:r w:rsidRPr="002029AF">
        <w:t>hospitals.</w:t>
      </w:r>
    </w:p>
    <w:p w14:paraId="799433C8" w14:textId="51F3D71B" w:rsidR="00770DE1" w:rsidRPr="002029AF" w:rsidRDefault="00770DE1" w:rsidP="001E768A">
      <w:pPr>
        <w:pStyle w:val="ARbullet1"/>
      </w:pPr>
      <w:r w:rsidRPr="002029AF">
        <w:t>The</w:t>
      </w:r>
      <w:r w:rsidR="000A5329" w:rsidRPr="002029AF">
        <w:t xml:space="preserve"> </w:t>
      </w:r>
      <w:r w:rsidRPr="002029AF">
        <w:t>Victorian</w:t>
      </w:r>
      <w:r w:rsidR="000A5329" w:rsidRPr="002029AF">
        <w:t xml:space="preserve"> </w:t>
      </w:r>
      <w:r w:rsidRPr="002029AF">
        <w:t>Government</w:t>
      </w:r>
      <w:r w:rsidR="000A5329" w:rsidRPr="002029AF">
        <w:t xml:space="preserve"> </w:t>
      </w:r>
      <w:r w:rsidRPr="002029AF">
        <w:t>has</w:t>
      </w:r>
      <w:r w:rsidR="000A5329" w:rsidRPr="002029AF">
        <w:t xml:space="preserve"> </w:t>
      </w:r>
      <w:r w:rsidRPr="002029AF">
        <w:t>supported</w:t>
      </w:r>
      <w:r w:rsidR="000A5329" w:rsidRPr="002029AF">
        <w:t xml:space="preserve"> </w:t>
      </w:r>
      <w:r w:rsidRPr="002029AF">
        <w:t>the</w:t>
      </w:r>
      <w:r w:rsidR="000A5329" w:rsidRPr="002029AF">
        <w:t xml:space="preserve"> </w:t>
      </w:r>
      <w:r w:rsidRPr="002029AF">
        <w:t>development</w:t>
      </w:r>
      <w:r w:rsidR="000A5329" w:rsidRPr="002029AF">
        <w:t xml:space="preserve"> </w:t>
      </w:r>
      <w:r w:rsidRPr="002029AF">
        <w:t>of</w:t>
      </w:r>
      <w:r w:rsidR="000A5329" w:rsidRPr="002029AF">
        <w:t xml:space="preserve"> </w:t>
      </w:r>
      <w:r w:rsidRPr="002029AF">
        <w:t>resources</w:t>
      </w:r>
      <w:r w:rsidR="000A5329" w:rsidRPr="002029AF">
        <w:t xml:space="preserve"> </w:t>
      </w:r>
      <w:r w:rsidRPr="002029AF">
        <w:t>to</w:t>
      </w:r>
      <w:r w:rsidR="000A5329" w:rsidRPr="002029AF">
        <w:t xml:space="preserve"> </w:t>
      </w:r>
      <w:r w:rsidRPr="002029AF">
        <w:t>prevent</w:t>
      </w:r>
      <w:r w:rsidR="000A5329" w:rsidRPr="002029AF">
        <w:t xml:space="preserve"> </w:t>
      </w:r>
      <w:r w:rsidRPr="002029AF">
        <w:t>elder</w:t>
      </w:r>
      <w:r w:rsidR="000A5329" w:rsidRPr="002029AF">
        <w:t xml:space="preserve"> </w:t>
      </w:r>
      <w:r w:rsidRPr="002029AF">
        <w:t>abuse</w:t>
      </w:r>
      <w:r w:rsidR="000A5329" w:rsidRPr="002029AF">
        <w:t xml:space="preserve"> </w:t>
      </w:r>
      <w:r w:rsidRPr="002029AF">
        <w:t>including</w:t>
      </w:r>
      <w:r w:rsidR="000A5329" w:rsidRPr="002029AF">
        <w:t xml:space="preserve"> </w:t>
      </w:r>
      <w:r w:rsidRPr="002029AF">
        <w:t>the</w:t>
      </w:r>
      <w:r w:rsidR="000A5329" w:rsidRPr="002029AF">
        <w:t xml:space="preserve"> </w:t>
      </w:r>
      <w:r w:rsidRPr="002029AF">
        <w:t>establishment</w:t>
      </w:r>
      <w:r w:rsidR="000A5329" w:rsidRPr="002029AF">
        <w:t xml:space="preserve"> </w:t>
      </w:r>
      <w:r w:rsidRPr="002029AF">
        <w:t>of</w:t>
      </w:r>
      <w:r w:rsidR="000A5329" w:rsidRPr="002029AF">
        <w:t xml:space="preserve"> </w:t>
      </w:r>
      <w:r w:rsidRPr="002029AF">
        <w:t>10</w:t>
      </w:r>
      <w:r w:rsidR="000A5329" w:rsidRPr="002029AF">
        <w:t xml:space="preserve"> </w:t>
      </w:r>
      <w:r w:rsidRPr="002029AF">
        <w:t>local</w:t>
      </w:r>
      <w:r w:rsidR="000A5329" w:rsidRPr="002029AF">
        <w:t xml:space="preserve"> </w:t>
      </w:r>
      <w:r w:rsidRPr="002029AF">
        <w:t>elder</w:t>
      </w:r>
      <w:r w:rsidR="000A5329" w:rsidRPr="002029AF">
        <w:t xml:space="preserve"> </w:t>
      </w:r>
      <w:r w:rsidRPr="002029AF">
        <w:t>abuse</w:t>
      </w:r>
      <w:r w:rsidR="000A5329" w:rsidRPr="002029AF">
        <w:t xml:space="preserve"> </w:t>
      </w:r>
      <w:r w:rsidRPr="002029AF">
        <w:t>prevention</w:t>
      </w:r>
      <w:r w:rsidR="000A5329" w:rsidRPr="002029AF">
        <w:t xml:space="preserve"> </w:t>
      </w:r>
      <w:r w:rsidRPr="002029AF">
        <w:t>networks</w:t>
      </w:r>
      <w:r w:rsidR="000A5329" w:rsidRPr="002029AF">
        <w:t xml:space="preserve"> </w:t>
      </w:r>
      <w:r w:rsidRPr="002029AF">
        <w:t>that</w:t>
      </w:r>
      <w:r w:rsidR="000A5329" w:rsidRPr="002029AF">
        <w:t xml:space="preserve"> </w:t>
      </w:r>
      <w:r w:rsidRPr="002029AF">
        <w:t>aim</w:t>
      </w:r>
      <w:r w:rsidR="000A5329" w:rsidRPr="002029AF">
        <w:t xml:space="preserve"> </w:t>
      </w:r>
      <w:r w:rsidRPr="002029AF">
        <w:t>to</w:t>
      </w:r>
      <w:r w:rsidR="000A5329" w:rsidRPr="002029AF">
        <w:t xml:space="preserve"> </w:t>
      </w:r>
      <w:r w:rsidRPr="002029AF">
        <w:t>link</w:t>
      </w:r>
      <w:r w:rsidR="00B97ABC" w:rsidRPr="002029AF">
        <w:t> </w:t>
      </w:r>
      <w:r w:rsidRPr="002029AF">
        <w:t>local</w:t>
      </w:r>
      <w:r w:rsidR="000A5329" w:rsidRPr="002029AF">
        <w:t xml:space="preserve"> </w:t>
      </w:r>
      <w:r w:rsidRPr="002029AF">
        <w:t>organisations</w:t>
      </w:r>
      <w:r w:rsidR="00A02740" w:rsidRPr="002029AF">
        <w:t>,</w:t>
      </w:r>
      <w:r w:rsidR="000A5329" w:rsidRPr="002029AF">
        <w:t xml:space="preserve"> </w:t>
      </w:r>
      <w:r w:rsidRPr="002029AF">
        <w:t>such</w:t>
      </w:r>
      <w:r w:rsidR="000A5329" w:rsidRPr="002029AF">
        <w:t xml:space="preserve"> </w:t>
      </w:r>
      <w:r w:rsidRPr="002029AF">
        <w:t>as</w:t>
      </w:r>
      <w:r w:rsidR="000A5329" w:rsidRPr="002029AF">
        <w:t xml:space="preserve"> </w:t>
      </w:r>
      <w:r w:rsidRPr="002029AF">
        <w:t>health</w:t>
      </w:r>
      <w:r w:rsidR="000A5329" w:rsidRPr="002029AF">
        <w:t xml:space="preserve"> </w:t>
      </w:r>
      <w:r w:rsidRPr="002029AF">
        <w:t>centres,</w:t>
      </w:r>
      <w:r w:rsidR="000A5329" w:rsidRPr="002029AF">
        <w:t xml:space="preserve"> </w:t>
      </w:r>
      <w:r w:rsidRPr="002029AF">
        <w:t>council</w:t>
      </w:r>
      <w:r w:rsidR="000A5329" w:rsidRPr="002029AF">
        <w:t xml:space="preserve"> </w:t>
      </w:r>
      <w:r w:rsidRPr="002029AF">
        <w:t>home</w:t>
      </w:r>
      <w:r w:rsidR="000A5329" w:rsidRPr="002029AF">
        <w:t xml:space="preserve"> </w:t>
      </w:r>
      <w:r w:rsidRPr="002029AF">
        <w:t>carers</w:t>
      </w:r>
      <w:r w:rsidR="000A5329" w:rsidRPr="002029AF">
        <w:t xml:space="preserve"> </w:t>
      </w:r>
      <w:r w:rsidRPr="002029AF">
        <w:t>and</w:t>
      </w:r>
      <w:r w:rsidR="000A5329" w:rsidRPr="002029AF">
        <w:t xml:space="preserve"> </w:t>
      </w:r>
      <w:r w:rsidRPr="002029AF">
        <w:t>seniors’</w:t>
      </w:r>
      <w:r w:rsidR="000A5329" w:rsidRPr="002029AF">
        <w:t xml:space="preserve"> </w:t>
      </w:r>
      <w:r w:rsidRPr="002029AF">
        <w:t>clubs</w:t>
      </w:r>
      <w:r w:rsidR="00A02740" w:rsidRPr="002029AF">
        <w:t>,</w:t>
      </w:r>
      <w:r w:rsidR="000A5329" w:rsidRPr="002029AF">
        <w:t xml:space="preserve"> </w:t>
      </w:r>
      <w:r w:rsidR="00A02740" w:rsidRPr="002029AF">
        <w:t>so</w:t>
      </w:r>
      <w:r w:rsidR="000A5329" w:rsidRPr="002029AF">
        <w:t xml:space="preserve"> </w:t>
      </w:r>
      <w:r w:rsidR="00A02740" w:rsidRPr="002029AF">
        <w:t>as</w:t>
      </w:r>
      <w:r w:rsidR="000A5329" w:rsidRPr="002029AF">
        <w:t xml:space="preserve"> </w:t>
      </w:r>
      <w:r w:rsidRPr="002029AF">
        <w:t>to</w:t>
      </w:r>
      <w:r w:rsidR="000A5329" w:rsidRPr="002029AF">
        <w:t xml:space="preserve"> </w:t>
      </w:r>
      <w:r w:rsidRPr="002029AF">
        <w:t>raise</w:t>
      </w:r>
      <w:r w:rsidR="000A5329" w:rsidRPr="002029AF">
        <w:t xml:space="preserve"> </w:t>
      </w:r>
      <w:r w:rsidRPr="002029AF">
        <w:t>awareness</w:t>
      </w:r>
      <w:r w:rsidR="000A5329" w:rsidRPr="002029AF">
        <w:t xml:space="preserve"> </w:t>
      </w:r>
      <w:r w:rsidRPr="002029AF">
        <w:t>of</w:t>
      </w:r>
      <w:r w:rsidR="000A5329" w:rsidRPr="002029AF">
        <w:t xml:space="preserve"> </w:t>
      </w:r>
      <w:r w:rsidRPr="002029AF">
        <w:t>elder</w:t>
      </w:r>
      <w:r w:rsidR="000A5329" w:rsidRPr="002029AF">
        <w:t xml:space="preserve"> </w:t>
      </w:r>
      <w:r w:rsidRPr="002029AF">
        <w:t>abuse</w:t>
      </w:r>
      <w:r w:rsidR="000A5329" w:rsidRPr="002029AF">
        <w:t xml:space="preserve"> </w:t>
      </w:r>
      <w:r w:rsidRPr="002029AF">
        <w:t>and</w:t>
      </w:r>
      <w:r w:rsidR="000A5329" w:rsidRPr="002029AF">
        <w:t xml:space="preserve"> </w:t>
      </w:r>
      <w:r w:rsidRPr="002029AF">
        <w:t>implement</w:t>
      </w:r>
      <w:r w:rsidR="000A5329" w:rsidRPr="002029AF">
        <w:t xml:space="preserve"> </w:t>
      </w:r>
      <w:r w:rsidRPr="002029AF">
        <w:t>local</w:t>
      </w:r>
      <w:r w:rsidR="000A5329" w:rsidRPr="002029AF">
        <w:t xml:space="preserve"> </w:t>
      </w:r>
      <w:r w:rsidRPr="002029AF">
        <w:t>prevention</w:t>
      </w:r>
      <w:r w:rsidR="000A5329" w:rsidRPr="002029AF">
        <w:t xml:space="preserve"> </w:t>
      </w:r>
      <w:r w:rsidRPr="002029AF">
        <w:t>strategies.</w:t>
      </w:r>
    </w:p>
    <w:p w14:paraId="4FA5213A" w14:textId="45277FC9" w:rsidR="000A5329" w:rsidRPr="002029AF" w:rsidRDefault="00770DE1" w:rsidP="001E768A">
      <w:pPr>
        <w:pStyle w:val="ARbullet1"/>
      </w:pPr>
      <w:r w:rsidRPr="002029AF">
        <w:t>A</w:t>
      </w:r>
      <w:r w:rsidR="000A5329" w:rsidRPr="002029AF">
        <w:t xml:space="preserve"> </w:t>
      </w:r>
      <w:r w:rsidRPr="002029AF">
        <w:t>new</w:t>
      </w:r>
      <w:r w:rsidR="000A5329" w:rsidRPr="002029AF">
        <w:t xml:space="preserve"> </w:t>
      </w:r>
      <w:r w:rsidRPr="002029AF">
        <w:t>‘outbreak</w:t>
      </w:r>
      <w:r w:rsidR="000A5329" w:rsidRPr="002029AF">
        <w:t xml:space="preserve"> </w:t>
      </w:r>
      <w:r w:rsidRPr="002029AF">
        <w:t>unit’</w:t>
      </w:r>
      <w:r w:rsidR="000A5329" w:rsidRPr="002029AF">
        <w:t xml:space="preserve"> </w:t>
      </w:r>
      <w:r w:rsidRPr="002029AF">
        <w:t>tasked</w:t>
      </w:r>
      <w:r w:rsidR="000A5329" w:rsidRPr="002029AF">
        <w:t xml:space="preserve"> </w:t>
      </w:r>
      <w:r w:rsidRPr="002029AF">
        <w:t>with</w:t>
      </w:r>
      <w:r w:rsidR="000A5329" w:rsidRPr="002029AF">
        <w:t xml:space="preserve"> </w:t>
      </w:r>
      <w:r w:rsidRPr="002029AF">
        <w:t>preventing,</w:t>
      </w:r>
      <w:r w:rsidR="000A5329" w:rsidRPr="002029AF">
        <w:t xml:space="preserve"> </w:t>
      </w:r>
      <w:r w:rsidRPr="002029AF">
        <w:t>responding</w:t>
      </w:r>
      <w:r w:rsidR="000A5329" w:rsidRPr="002029AF">
        <w:t xml:space="preserve"> </w:t>
      </w:r>
      <w:r w:rsidRPr="002029AF">
        <w:t>and</w:t>
      </w:r>
      <w:r w:rsidR="000A5329" w:rsidRPr="002029AF">
        <w:t xml:space="preserve"> </w:t>
      </w:r>
      <w:r w:rsidRPr="002029AF">
        <w:t>limiting</w:t>
      </w:r>
      <w:r w:rsidR="000A5329" w:rsidRPr="002029AF">
        <w:t xml:space="preserve"> </w:t>
      </w:r>
      <w:r w:rsidRPr="002029AF">
        <w:t>outbreaks</w:t>
      </w:r>
      <w:r w:rsidR="000A5329" w:rsidRPr="002029AF">
        <w:t xml:space="preserve"> </w:t>
      </w:r>
      <w:r w:rsidRPr="002029AF">
        <w:t>of</w:t>
      </w:r>
      <w:r w:rsidR="000A5329" w:rsidRPr="002029AF">
        <w:t xml:space="preserve"> </w:t>
      </w:r>
      <w:r w:rsidRPr="002029AF">
        <w:t>coronavirus</w:t>
      </w:r>
      <w:r w:rsidR="000A5329" w:rsidRPr="002029AF">
        <w:t xml:space="preserve"> </w:t>
      </w:r>
      <w:r w:rsidRPr="002029AF">
        <w:t>(COVID-19)</w:t>
      </w:r>
      <w:r w:rsidR="000A5329" w:rsidRPr="002029AF">
        <w:t xml:space="preserve"> </w:t>
      </w:r>
      <w:r w:rsidR="00982B80" w:rsidRPr="002029AF">
        <w:t>was</w:t>
      </w:r>
      <w:r w:rsidR="000A5329" w:rsidRPr="002029AF">
        <w:t xml:space="preserve"> </w:t>
      </w:r>
      <w:r w:rsidR="00982B80" w:rsidRPr="002029AF">
        <w:t>established</w:t>
      </w:r>
      <w:r w:rsidR="000A5329" w:rsidRPr="002029AF">
        <w:t xml:space="preserve"> </w:t>
      </w:r>
      <w:r w:rsidR="00982B80" w:rsidRPr="002029AF">
        <w:t>within</w:t>
      </w:r>
      <w:r w:rsidR="000A5329" w:rsidRPr="002029AF">
        <w:t xml:space="preserve"> </w:t>
      </w:r>
      <w:r w:rsidR="00982B80" w:rsidRPr="002029AF">
        <w:t>the</w:t>
      </w:r>
      <w:r w:rsidR="000A5329" w:rsidRPr="002029AF">
        <w:t xml:space="preserve"> </w:t>
      </w:r>
      <w:r w:rsidR="00982B80" w:rsidRPr="002029AF">
        <w:t>department’s</w:t>
      </w:r>
      <w:r w:rsidR="000A5329" w:rsidRPr="002029AF">
        <w:t xml:space="preserve"> </w:t>
      </w:r>
      <w:r w:rsidR="00982B80" w:rsidRPr="002029AF">
        <w:t>public</w:t>
      </w:r>
      <w:r w:rsidR="000A5329" w:rsidRPr="002029AF">
        <w:t xml:space="preserve"> </w:t>
      </w:r>
      <w:r w:rsidR="00982B80" w:rsidRPr="002029AF">
        <w:t>health</w:t>
      </w:r>
      <w:r w:rsidR="000A5329" w:rsidRPr="002029AF">
        <w:t xml:space="preserve"> </w:t>
      </w:r>
      <w:r w:rsidR="00982B80" w:rsidRPr="002029AF">
        <w:t>team</w:t>
      </w:r>
      <w:r w:rsidRPr="002029AF">
        <w:t>.</w:t>
      </w:r>
      <w:r w:rsidR="000A5329" w:rsidRPr="002029AF">
        <w:t xml:space="preserve"> </w:t>
      </w:r>
      <w:r w:rsidRPr="002029AF">
        <w:t>The</w:t>
      </w:r>
      <w:r w:rsidR="000A5329" w:rsidRPr="002029AF">
        <w:t xml:space="preserve"> </w:t>
      </w:r>
      <w:r w:rsidRPr="002029AF">
        <w:t>unit</w:t>
      </w:r>
      <w:r w:rsidR="000A5329" w:rsidRPr="002029AF">
        <w:t xml:space="preserve"> </w:t>
      </w:r>
      <w:r w:rsidRPr="002029AF">
        <w:t>include</w:t>
      </w:r>
      <w:r w:rsidR="00982B80" w:rsidRPr="002029AF">
        <w:t>s</w:t>
      </w:r>
      <w:r w:rsidR="000A5329" w:rsidRPr="002029AF">
        <w:t xml:space="preserve"> </w:t>
      </w:r>
      <w:r w:rsidRPr="002029AF">
        <w:t>new</w:t>
      </w:r>
      <w:r w:rsidR="000A5329" w:rsidRPr="002029AF">
        <w:t xml:space="preserve"> </w:t>
      </w:r>
      <w:r w:rsidRPr="002029AF">
        <w:t>rapid</w:t>
      </w:r>
      <w:r w:rsidR="000A5329" w:rsidRPr="002029AF">
        <w:t xml:space="preserve"> </w:t>
      </w:r>
      <w:r w:rsidRPr="002029AF">
        <w:t>response</w:t>
      </w:r>
      <w:r w:rsidR="000A5329" w:rsidRPr="002029AF">
        <w:t xml:space="preserve"> </w:t>
      </w:r>
      <w:r w:rsidRPr="002029AF">
        <w:t>outbreak</w:t>
      </w:r>
      <w:r w:rsidR="000A5329" w:rsidRPr="002029AF">
        <w:t xml:space="preserve"> </w:t>
      </w:r>
      <w:r w:rsidRPr="002029AF">
        <w:t>squads,</w:t>
      </w:r>
      <w:r w:rsidR="000A5329" w:rsidRPr="002029AF">
        <w:t xml:space="preserve"> </w:t>
      </w:r>
      <w:r w:rsidRPr="002029AF">
        <w:t>staffed</w:t>
      </w:r>
      <w:r w:rsidR="000A5329" w:rsidRPr="002029AF">
        <w:t xml:space="preserve"> </w:t>
      </w:r>
      <w:r w:rsidRPr="002029AF">
        <w:t>by</w:t>
      </w:r>
      <w:r w:rsidR="000A5329" w:rsidRPr="002029AF">
        <w:t xml:space="preserve"> </w:t>
      </w:r>
      <w:r w:rsidRPr="002029AF">
        <w:t>public</w:t>
      </w:r>
      <w:r w:rsidR="000A5329" w:rsidRPr="002029AF">
        <w:t xml:space="preserve"> </w:t>
      </w:r>
      <w:r w:rsidRPr="002029AF">
        <w:t>health</w:t>
      </w:r>
      <w:r w:rsidR="000A5329" w:rsidRPr="002029AF">
        <w:t xml:space="preserve"> </w:t>
      </w:r>
      <w:r w:rsidRPr="002029AF">
        <w:t>specialists</w:t>
      </w:r>
      <w:r w:rsidR="000A5329" w:rsidRPr="002029AF">
        <w:t xml:space="preserve"> </w:t>
      </w:r>
      <w:r w:rsidRPr="002029AF">
        <w:t>and</w:t>
      </w:r>
      <w:r w:rsidR="000A5329" w:rsidRPr="002029AF">
        <w:t xml:space="preserve"> </w:t>
      </w:r>
      <w:r w:rsidRPr="002029AF">
        <w:t>clinicians,</w:t>
      </w:r>
      <w:r w:rsidR="000A5329" w:rsidRPr="002029AF">
        <w:t xml:space="preserve"> </w:t>
      </w:r>
      <w:r w:rsidRPr="002029AF">
        <w:t>who</w:t>
      </w:r>
      <w:r w:rsidR="000A5329" w:rsidRPr="002029AF">
        <w:t xml:space="preserve"> </w:t>
      </w:r>
      <w:r w:rsidRPr="002029AF">
        <w:t>ensure</w:t>
      </w:r>
      <w:r w:rsidR="000A5329" w:rsidRPr="002029AF">
        <w:t xml:space="preserve"> </w:t>
      </w:r>
      <w:r w:rsidRPr="002029AF">
        <w:t>appropriate</w:t>
      </w:r>
      <w:r w:rsidR="000A5329" w:rsidRPr="002029AF">
        <w:t xml:space="preserve"> </w:t>
      </w:r>
      <w:r w:rsidRPr="002029AF">
        <w:t>testing,</w:t>
      </w:r>
      <w:r w:rsidR="000A5329" w:rsidRPr="002029AF">
        <w:t xml:space="preserve"> </w:t>
      </w:r>
      <w:r w:rsidRPr="002029AF">
        <w:t>contact</w:t>
      </w:r>
      <w:r w:rsidR="000A5329" w:rsidRPr="002029AF">
        <w:t xml:space="preserve"> </w:t>
      </w:r>
      <w:r w:rsidRPr="002029AF">
        <w:t>tracing</w:t>
      </w:r>
      <w:r w:rsidR="000A5329" w:rsidRPr="002029AF">
        <w:t xml:space="preserve"> </w:t>
      </w:r>
      <w:r w:rsidRPr="002029AF">
        <w:t>and</w:t>
      </w:r>
      <w:r w:rsidR="000A5329" w:rsidRPr="002029AF">
        <w:t xml:space="preserve"> </w:t>
      </w:r>
      <w:r w:rsidRPr="002029AF">
        <w:t>deep</w:t>
      </w:r>
      <w:r w:rsidR="000A5329" w:rsidRPr="002029AF">
        <w:t xml:space="preserve"> </w:t>
      </w:r>
      <w:r w:rsidRPr="002029AF">
        <w:t>cleaning</w:t>
      </w:r>
      <w:r w:rsidR="000A5329" w:rsidRPr="002029AF">
        <w:t xml:space="preserve"> </w:t>
      </w:r>
      <w:r w:rsidR="00DD432B" w:rsidRPr="002029AF">
        <w:t>are</w:t>
      </w:r>
      <w:r w:rsidR="000A5329" w:rsidRPr="002029AF">
        <w:t xml:space="preserve"> </w:t>
      </w:r>
      <w:r w:rsidRPr="002029AF">
        <w:t>carried</w:t>
      </w:r>
      <w:r w:rsidR="000A5329" w:rsidRPr="002029AF">
        <w:t xml:space="preserve"> </w:t>
      </w:r>
      <w:r w:rsidRPr="002029AF">
        <w:t>out</w:t>
      </w:r>
      <w:r w:rsidR="000A5329" w:rsidRPr="002029AF">
        <w:t xml:space="preserve"> </w:t>
      </w:r>
      <w:r w:rsidRPr="002029AF">
        <w:t>as</w:t>
      </w:r>
      <w:r w:rsidR="000A5329" w:rsidRPr="002029AF">
        <w:t xml:space="preserve"> </w:t>
      </w:r>
      <w:r w:rsidRPr="002029AF">
        <w:t>soon</w:t>
      </w:r>
      <w:r w:rsidR="000A5329" w:rsidRPr="002029AF">
        <w:t xml:space="preserve"> </w:t>
      </w:r>
      <w:r w:rsidRPr="002029AF">
        <w:t>as</w:t>
      </w:r>
      <w:r w:rsidR="000A5329" w:rsidRPr="002029AF">
        <w:t xml:space="preserve"> </w:t>
      </w:r>
      <w:r w:rsidRPr="002029AF">
        <w:t>a</w:t>
      </w:r>
      <w:r w:rsidR="000A5329" w:rsidRPr="002029AF">
        <w:t xml:space="preserve"> </w:t>
      </w:r>
      <w:r w:rsidRPr="002029AF">
        <w:t>cluster</w:t>
      </w:r>
      <w:r w:rsidR="000A5329" w:rsidRPr="002029AF">
        <w:t xml:space="preserve"> </w:t>
      </w:r>
      <w:r w:rsidR="00DD432B" w:rsidRPr="002029AF">
        <w:t>is</w:t>
      </w:r>
      <w:r w:rsidR="000A5329" w:rsidRPr="002029AF">
        <w:t xml:space="preserve"> </w:t>
      </w:r>
      <w:r w:rsidRPr="002029AF">
        <w:t>identified.</w:t>
      </w:r>
      <w:r w:rsidR="000A5329" w:rsidRPr="002029AF">
        <w:t xml:space="preserve"> </w:t>
      </w:r>
      <w:r w:rsidRPr="002029AF">
        <w:t>The</w:t>
      </w:r>
      <w:r w:rsidR="000A5329" w:rsidRPr="002029AF">
        <w:t xml:space="preserve"> </w:t>
      </w:r>
      <w:r w:rsidRPr="002029AF">
        <w:t>squads</w:t>
      </w:r>
      <w:r w:rsidR="000A5329" w:rsidRPr="002029AF">
        <w:t xml:space="preserve"> </w:t>
      </w:r>
      <w:r w:rsidRPr="002029AF">
        <w:t>ma</w:t>
      </w:r>
      <w:r w:rsidR="00DD432B" w:rsidRPr="002029AF">
        <w:t>k</w:t>
      </w:r>
      <w:r w:rsidRPr="002029AF">
        <w:t>e</w:t>
      </w:r>
      <w:r w:rsidR="000A5329" w:rsidRPr="002029AF">
        <w:t xml:space="preserve"> </w:t>
      </w:r>
      <w:r w:rsidRPr="002029AF">
        <w:t>proactive</w:t>
      </w:r>
      <w:r w:rsidR="000A5329" w:rsidRPr="002029AF">
        <w:t xml:space="preserve"> </w:t>
      </w:r>
      <w:r w:rsidRPr="002029AF">
        <w:t>visits</w:t>
      </w:r>
      <w:r w:rsidR="000A5329" w:rsidRPr="002029AF">
        <w:t xml:space="preserve"> </w:t>
      </w:r>
      <w:r w:rsidRPr="002029AF">
        <w:t>to</w:t>
      </w:r>
      <w:r w:rsidR="000A5329" w:rsidRPr="002029AF">
        <w:t xml:space="preserve"> </w:t>
      </w:r>
      <w:r w:rsidRPr="002029AF">
        <w:t>high-risk</w:t>
      </w:r>
      <w:r w:rsidR="000A5329" w:rsidRPr="002029AF">
        <w:t xml:space="preserve"> </w:t>
      </w:r>
      <w:r w:rsidRPr="002029AF">
        <w:t>facilities,</w:t>
      </w:r>
      <w:r w:rsidR="000A5329" w:rsidRPr="002029AF">
        <w:t xml:space="preserve"> </w:t>
      </w:r>
      <w:r w:rsidRPr="002029AF">
        <w:t>businesses</w:t>
      </w:r>
      <w:r w:rsidR="000A5329" w:rsidRPr="002029AF">
        <w:t xml:space="preserve"> </w:t>
      </w:r>
      <w:r w:rsidRPr="002029AF">
        <w:t>and</w:t>
      </w:r>
      <w:r w:rsidR="000A5329" w:rsidRPr="002029AF">
        <w:t xml:space="preserve"> </w:t>
      </w:r>
      <w:r w:rsidRPr="002029AF">
        <w:t>industries</w:t>
      </w:r>
      <w:r w:rsidR="000A5329" w:rsidRPr="002029AF">
        <w:t xml:space="preserve"> </w:t>
      </w:r>
      <w:r w:rsidRPr="002029AF">
        <w:t>and</w:t>
      </w:r>
      <w:r w:rsidR="000A5329" w:rsidRPr="002029AF">
        <w:t xml:space="preserve"> </w:t>
      </w:r>
      <w:r w:rsidRPr="002029AF">
        <w:t>work</w:t>
      </w:r>
      <w:r w:rsidR="000A5329" w:rsidRPr="002029AF">
        <w:t xml:space="preserve"> </w:t>
      </w:r>
      <w:r w:rsidRPr="002029AF">
        <w:t>with</w:t>
      </w:r>
      <w:r w:rsidR="000A5329" w:rsidRPr="002029AF">
        <w:t xml:space="preserve"> </w:t>
      </w:r>
      <w:r w:rsidRPr="002029AF">
        <w:t>local</w:t>
      </w:r>
      <w:r w:rsidR="000A5329" w:rsidRPr="002029AF">
        <w:t xml:space="preserve"> </w:t>
      </w:r>
      <w:r w:rsidRPr="002029AF">
        <w:t>services</w:t>
      </w:r>
      <w:r w:rsidR="000A5329" w:rsidRPr="002029AF">
        <w:t xml:space="preserve"> </w:t>
      </w:r>
      <w:r w:rsidRPr="002029AF">
        <w:t>on</w:t>
      </w:r>
      <w:r w:rsidR="000A5329" w:rsidRPr="002029AF">
        <w:t xml:space="preserve"> </w:t>
      </w:r>
      <w:r w:rsidRPr="002029AF">
        <w:t>infection</w:t>
      </w:r>
      <w:r w:rsidR="000A5329" w:rsidRPr="002029AF">
        <w:t xml:space="preserve"> </w:t>
      </w:r>
      <w:r w:rsidRPr="002029AF">
        <w:t>control</w:t>
      </w:r>
      <w:r w:rsidR="000A5329" w:rsidRPr="002029AF">
        <w:t xml:space="preserve"> </w:t>
      </w:r>
      <w:r w:rsidRPr="002029AF">
        <w:t>and</w:t>
      </w:r>
      <w:r w:rsidR="000A5329" w:rsidRPr="002029AF">
        <w:t xml:space="preserve"> </w:t>
      </w:r>
      <w:r w:rsidRPr="002029AF">
        <w:t>prevention</w:t>
      </w:r>
      <w:r w:rsidR="004719F8" w:rsidRPr="002029AF">
        <w:t>,</w:t>
      </w:r>
      <w:r w:rsidR="000A5329" w:rsidRPr="002029AF">
        <w:t xml:space="preserve"> </w:t>
      </w:r>
      <w:r w:rsidRPr="002029AF">
        <w:t>ensuring</w:t>
      </w:r>
      <w:r w:rsidR="000A5329" w:rsidRPr="002029AF">
        <w:t xml:space="preserve"> </w:t>
      </w:r>
      <w:r w:rsidRPr="002029AF">
        <w:t>the</w:t>
      </w:r>
      <w:r w:rsidR="000A5329" w:rsidRPr="002029AF">
        <w:t xml:space="preserve"> </w:t>
      </w:r>
      <w:r w:rsidRPr="002029AF">
        <w:t>response</w:t>
      </w:r>
      <w:r w:rsidR="000A5329" w:rsidRPr="002029AF">
        <w:t xml:space="preserve"> </w:t>
      </w:r>
      <w:r w:rsidR="00E419C9" w:rsidRPr="002029AF">
        <w:t>is</w:t>
      </w:r>
      <w:r w:rsidR="000A5329" w:rsidRPr="002029AF">
        <w:t xml:space="preserve"> </w:t>
      </w:r>
      <w:r w:rsidRPr="002029AF">
        <w:t>tailored</w:t>
      </w:r>
      <w:r w:rsidR="000A5329" w:rsidRPr="002029AF">
        <w:t xml:space="preserve"> </w:t>
      </w:r>
      <w:r w:rsidRPr="002029AF">
        <w:t>and</w:t>
      </w:r>
      <w:r w:rsidR="000A5329" w:rsidRPr="002029AF">
        <w:t xml:space="preserve"> </w:t>
      </w:r>
      <w:r w:rsidRPr="002029AF">
        <w:t>targeted</w:t>
      </w:r>
      <w:r w:rsidR="000A5329" w:rsidRPr="002029AF">
        <w:t xml:space="preserve"> </w:t>
      </w:r>
      <w:r w:rsidRPr="002029AF">
        <w:t>to</w:t>
      </w:r>
      <w:r w:rsidR="000A5329" w:rsidRPr="002029AF">
        <w:t xml:space="preserve"> </w:t>
      </w:r>
      <w:r w:rsidRPr="002029AF">
        <w:t>the</w:t>
      </w:r>
      <w:r w:rsidR="000A5329" w:rsidRPr="002029AF">
        <w:t xml:space="preserve"> </w:t>
      </w:r>
      <w:r w:rsidRPr="002029AF">
        <w:t>relevant</w:t>
      </w:r>
      <w:r w:rsidR="000A5329" w:rsidRPr="002029AF">
        <w:t xml:space="preserve"> </w:t>
      </w:r>
      <w:r w:rsidRPr="002029AF">
        <w:t>community.</w:t>
      </w:r>
    </w:p>
    <w:p w14:paraId="388244CA" w14:textId="085FD5FF" w:rsidR="000A5329" w:rsidRPr="002029AF" w:rsidRDefault="00770DE1" w:rsidP="001E768A">
      <w:pPr>
        <w:pStyle w:val="ARbullet1"/>
      </w:pPr>
      <w:r w:rsidRPr="002029AF">
        <w:t>Family</w:t>
      </w:r>
      <w:r w:rsidR="000A5329" w:rsidRPr="002029AF">
        <w:t xml:space="preserve"> </w:t>
      </w:r>
      <w:r w:rsidRPr="002029AF">
        <w:t>Safety</w:t>
      </w:r>
      <w:r w:rsidR="000A5329" w:rsidRPr="002029AF">
        <w:t xml:space="preserve"> </w:t>
      </w:r>
      <w:r w:rsidRPr="002029AF">
        <w:t>Victoria</w:t>
      </w:r>
      <w:r w:rsidR="000A5329" w:rsidRPr="002029AF">
        <w:t xml:space="preserve"> </w:t>
      </w:r>
      <w:r w:rsidRPr="002029AF">
        <w:t>has</w:t>
      </w:r>
      <w:r w:rsidR="000A5329" w:rsidRPr="002029AF">
        <w:t xml:space="preserve"> </w:t>
      </w:r>
      <w:r w:rsidRPr="002029AF">
        <w:t>continued</w:t>
      </w:r>
      <w:r w:rsidR="000A5329" w:rsidRPr="002029AF">
        <w:t xml:space="preserve"> </w:t>
      </w:r>
      <w:r w:rsidRPr="002029AF">
        <w:t>to</w:t>
      </w:r>
      <w:r w:rsidR="000A5329" w:rsidRPr="002029AF">
        <w:t xml:space="preserve"> </w:t>
      </w:r>
      <w:r w:rsidRPr="002029AF">
        <w:t>work</w:t>
      </w:r>
      <w:r w:rsidR="000A5329" w:rsidRPr="002029AF">
        <w:t xml:space="preserve"> </w:t>
      </w:r>
      <w:r w:rsidRPr="002029AF">
        <w:t>closely</w:t>
      </w:r>
      <w:r w:rsidR="000A5329" w:rsidRPr="002029AF">
        <w:t xml:space="preserve"> </w:t>
      </w:r>
      <w:r w:rsidRPr="002029AF">
        <w:t>with</w:t>
      </w:r>
      <w:r w:rsidR="000A5329" w:rsidRPr="002029AF">
        <w:t xml:space="preserve"> </w:t>
      </w:r>
      <w:r w:rsidRPr="002029AF">
        <w:t>the</w:t>
      </w:r>
      <w:r w:rsidR="000A5329" w:rsidRPr="002029AF">
        <w:t xml:space="preserve"> </w:t>
      </w:r>
      <w:r w:rsidRPr="002029AF">
        <w:t>Dhelk</w:t>
      </w:r>
      <w:r w:rsidR="000A5329" w:rsidRPr="002029AF">
        <w:t xml:space="preserve"> </w:t>
      </w:r>
      <w:r w:rsidRPr="002029AF">
        <w:t>Dja</w:t>
      </w:r>
      <w:r w:rsidR="000A5329" w:rsidRPr="002029AF">
        <w:t xml:space="preserve"> </w:t>
      </w:r>
      <w:r w:rsidRPr="002029AF">
        <w:t>Partnership</w:t>
      </w:r>
      <w:r w:rsidR="000A5329" w:rsidRPr="002029AF">
        <w:t xml:space="preserve"> </w:t>
      </w:r>
      <w:r w:rsidRPr="002029AF">
        <w:t>Forum</w:t>
      </w:r>
      <w:r w:rsidR="000A5329" w:rsidRPr="002029AF">
        <w:t xml:space="preserve"> </w:t>
      </w:r>
      <w:r w:rsidRPr="002029AF">
        <w:t>and</w:t>
      </w:r>
      <w:r w:rsidR="000A5329" w:rsidRPr="002029AF">
        <w:t xml:space="preserve"> </w:t>
      </w:r>
      <w:r w:rsidRPr="002029AF">
        <w:t>Aboriginal</w:t>
      </w:r>
      <w:r w:rsidR="000A5329" w:rsidRPr="002029AF">
        <w:t xml:space="preserve"> </w:t>
      </w:r>
      <w:r w:rsidRPr="002029AF">
        <w:t>communities</w:t>
      </w:r>
      <w:r w:rsidR="000A5329" w:rsidRPr="002029AF">
        <w:t xml:space="preserve"> </w:t>
      </w:r>
      <w:r w:rsidRPr="002029AF">
        <w:t>to</w:t>
      </w:r>
      <w:r w:rsidR="000A5329" w:rsidRPr="002029AF">
        <w:t xml:space="preserve"> </w:t>
      </w:r>
      <w:r w:rsidRPr="002029AF">
        <w:t>design</w:t>
      </w:r>
      <w:r w:rsidR="000A5329" w:rsidRPr="002029AF">
        <w:t xml:space="preserve"> </w:t>
      </w:r>
      <w:r w:rsidRPr="002029AF">
        <w:t>Aboriginal</w:t>
      </w:r>
      <w:r w:rsidR="000A5329" w:rsidRPr="002029AF">
        <w:t xml:space="preserve"> </w:t>
      </w:r>
      <w:r w:rsidRPr="002029AF">
        <w:t>Orange</w:t>
      </w:r>
      <w:r w:rsidR="000A5329" w:rsidRPr="002029AF">
        <w:t xml:space="preserve"> </w:t>
      </w:r>
      <w:r w:rsidRPr="002029AF">
        <w:t>Door</w:t>
      </w:r>
      <w:r w:rsidR="000A5329" w:rsidRPr="002029AF">
        <w:t xml:space="preserve"> </w:t>
      </w:r>
      <w:r w:rsidRPr="002029AF">
        <w:t>Access</w:t>
      </w:r>
      <w:r w:rsidR="000A5329" w:rsidRPr="002029AF">
        <w:t xml:space="preserve"> </w:t>
      </w:r>
      <w:r w:rsidRPr="002029AF">
        <w:t>Points.</w:t>
      </w:r>
      <w:r w:rsidR="000A5329" w:rsidRPr="002029AF">
        <w:t xml:space="preserve"> </w:t>
      </w:r>
      <w:r w:rsidRPr="002029AF">
        <w:t>Following</w:t>
      </w:r>
      <w:r w:rsidR="000A5329" w:rsidRPr="002029AF">
        <w:t xml:space="preserve"> </w:t>
      </w:r>
      <w:r w:rsidRPr="002029AF">
        <w:t>workshops</w:t>
      </w:r>
      <w:r w:rsidR="000A5329" w:rsidRPr="002029AF">
        <w:t xml:space="preserve"> </w:t>
      </w:r>
      <w:r w:rsidRPr="002029AF">
        <w:t>held</w:t>
      </w:r>
      <w:r w:rsidR="000A5329" w:rsidRPr="002029AF">
        <w:t xml:space="preserve"> </w:t>
      </w:r>
      <w:r w:rsidRPr="002029AF">
        <w:t>with</w:t>
      </w:r>
      <w:r w:rsidR="000A5329" w:rsidRPr="002029AF">
        <w:t xml:space="preserve"> </w:t>
      </w:r>
      <w:r w:rsidRPr="002029AF">
        <w:t>local</w:t>
      </w:r>
      <w:r w:rsidR="000A5329" w:rsidRPr="002029AF">
        <w:t xml:space="preserve"> </w:t>
      </w:r>
      <w:r w:rsidRPr="002029AF">
        <w:t>communities,</w:t>
      </w:r>
      <w:r w:rsidR="000A5329" w:rsidRPr="002029AF">
        <w:t xml:space="preserve"> </w:t>
      </w:r>
      <w:r w:rsidRPr="002029AF">
        <w:t>the</w:t>
      </w:r>
      <w:r w:rsidR="000A5329" w:rsidRPr="002029AF">
        <w:t xml:space="preserve"> </w:t>
      </w:r>
      <w:r w:rsidRPr="002029AF">
        <w:t>concept</w:t>
      </w:r>
      <w:r w:rsidR="000A5329" w:rsidRPr="002029AF">
        <w:t xml:space="preserve"> </w:t>
      </w:r>
      <w:r w:rsidRPr="002029AF">
        <w:t>model</w:t>
      </w:r>
      <w:r w:rsidR="000A5329" w:rsidRPr="002029AF">
        <w:t xml:space="preserve"> </w:t>
      </w:r>
      <w:r w:rsidRPr="002029AF">
        <w:t>and</w:t>
      </w:r>
      <w:r w:rsidR="000A5329" w:rsidRPr="002029AF">
        <w:t xml:space="preserve"> </w:t>
      </w:r>
      <w:r w:rsidRPr="002029AF">
        <w:t>locations</w:t>
      </w:r>
      <w:r w:rsidR="000A5329" w:rsidRPr="002029AF">
        <w:t xml:space="preserve"> </w:t>
      </w:r>
      <w:r w:rsidRPr="002029AF">
        <w:t>for</w:t>
      </w:r>
      <w:r w:rsidR="000A5329" w:rsidRPr="002029AF">
        <w:t xml:space="preserve"> </w:t>
      </w:r>
      <w:r w:rsidRPr="002029AF">
        <w:t>Aboriginal</w:t>
      </w:r>
      <w:r w:rsidR="000A5329" w:rsidRPr="002029AF">
        <w:t xml:space="preserve"> </w:t>
      </w:r>
      <w:r w:rsidR="00DB15AB" w:rsidRPr="002029AF">
        <w:t>a</w:t>
      </w:r>
      <w:r w:rsidRPr="002029AF">
        <w:t>ccess</w:t>
      </w:r>
      <w:r w:rsidR="000A5329" w:rsidRPr="002029AF">
        <w:t xml:space="preserve"> </w:t>
      </w:r>
      <w:r w:rsidR="00DB15AB" w:rsidRPr="002029AF">
        <w:t>p</w:t>
      </w:r>
      <w:r w:rsidRPr="002029AF">
        <w:t>oints</w:t>
      </w:r>
      <w:r w:rsidR="000A5329" w:rsidRPr="002029AF">
        <w:t xml:space="preserve"> </w:t>
      </w:r>
      <w:r w:rsidRPr="002029AF">
        <w:t>w</w:t>
      </w:r>
      <w:r w:rsidR="00DB15AB" w:rsidRPr="002029AF">
        <w:t>ere</w:t>
      </w:r>
      <w:r w:rsidR="000A5329" w:rsidRPr="002029AF">
        <w:t xml:space="preserve"> </w:t>
      </w:r>
      <w:r w:rsidRPr="002029AF">
        <w:t>endorsed</w:t>
      </w:r>
      <w:r w:rsidR="000A5329" w:rsidRPr="002029AF">
        <w:t xml:space="preserve"> </w:t>
      </w:r>
      <w:r w:rsidRPr="002029AF">
        <w:t>in</w:t>
      </w:r>
      <w:r w:rsidR="000A5329" w:rsidRPr="002029AF">
        <w:t xml:space="preserve"> </w:t>
      </w:r>
      <w:r w:rsidRPr="002029AF">
        <w:t>January</w:t>
      </w:r>
      <w:r w:rsidR="000A5329" w:rsidRPr="002029AF">
        <w:t xml:space="preserve"> </w:t>
      </w:r>
      <w:r w:rsidRPr="002029AF">
        <w:t>2020.</w:t>
      </w:r>
      <w:r w:rsidR="000A5329" w:rsidRPr="002029AF">
        <w:t xml:space="preserve"> </w:t>
      </w:r>
      <w:r w:rsidRPr="002029AF">
        <w:t>These</w:t>
      </w:r>
      <w:r w:rsidR="000A5329" w:rsidRPr="002029AF">
        <w:t xml:space="preserve"> </w:t>
      </w:r>
      <w:r w:rsidR="003E0E29" w:rsidRPr="002029AF">
        <w:t>a</w:t>
      </w:r>
      <w:r w:rsidRPr="002029AF">
        <w:t>ccess</w:t>
      </w:r>
      <w:r w:rsidR="000A5329" w:rsidRPr="002029AF">
        <w:t xml:space="preserve"> </w:t>
      </w:r>
      <w:r w:rsidR="003E0E29" w:rsidRPr="002029AF">
        <w:t>p</w:t>
      </w:r>
      <w:r w:rsidRPr="002029AF">
        <w:t>oints</w:t>
      </w:r>
      <w:r w:rsidR="000A5329" w:rsidRPr="002029AF">
        <w:t xml:space="preserve"> </w:t>
      </w:r>
      <w:r w:rsidRPr="002029AF">
        <w:t>will</w:t>
      </w:r>
      <w:r w:rsidR="000A5329" w:rsidRPr="002029AF">
        <w:t xml:space="preserve"> </w:t>
      </w:r>
      <w:r w:rsidRPr="002029AF">
        <w:t>offer</w:t>
      </w:r>
      <w:r w:rsidR="000A5329" w:rsidRPr="002029AF">
        <w:t xml:space="preserve"> </w:t>
      </w:r>
      <w:r w:rsidRPr="002029AF">
        <w:t>culturally</w:t>
      </w:r>
      <w:r w:rsidR="000A5329" w:rsidRPr="002029AF">
        <w:t xml:space="preserve"> </w:t>
      </w:r>
      <w:r w:rsidRPr="002029AF">
        <w:t>safe</w:t>
      </w:r>
      <w:r w:rsidR="000A5329" w:rsidRPr="002029AF">
        <w:t xml:space="preserve"> </w:t>
      </w:r>
      <w:r w:rsidRPr="002029AF">
        <w:t>places</w:t>
      </w:r>
      <w:r w:rsidR="000A5329" w:rsidRPr="002029AF">
        <w:t xml:space="preserve"> </w:t>
      </w:r>
      <w:r w:rsidRPr="002029AF">
        <w:t>to</w:t>
      </w:r>
      <w:r w:rsidR="000A5329" w:rsidRPr="002029AF">
        <w:t xml:space="preserve"> </w:t>
      </w:r>
      <w:r w:rsidRPr="002029AF">
        <w:t>help</w:t>
      </w:r>
      <w:r w:rsidR="000A5329" w:rsidRPr="002029AF">
        <w:t xml:space="preserve"> </w:t>
      </w:r>
      <w:r w:rsidRPr="002029AF">
        <w:t>Aboriginal</w:t>
      </w:r>
      <w:r w:rsidR="000A5329" w:rsidRPr="002029AF">
        <w:t xml:space="preserve"> </w:t>
      </w:r>
      <w:r w:rsidRPr="002029AF">
        <w:t>Victorians</w:t>
      </w:r>
      <w:r w:rsidR="000A5329" w:rsidRPr="002029AF">
        <w:t xml:space="preserve"> </w:t>
      </w:r>
      <w:r w:rsidRPr="002029AF">
        <w:t>access</w:t>
      </w:r>
      <w:r w:rsidR="000A5329" w:rsidRPr="002029AF">
        <w:t xml:space="preserve"> </w:t>
      </w:r>
      <w:r w:rsidRPr="002029AF">
        <w:t>family</w:t>
      </w:r>
      <w:r w:rsidR="000A5329" w:rsidRPr="002029AF">
        <w:t xml:space="preserve"> </w:t>
      </w:r>
      <w:r w:rsidRPr="002029AF">
        <w:t>violence</w:t>
      </w:r>
      <w:r w:rsidR="000A5329" w:rsidRPr="002029AF">
        <w:t xml:space="preserve"> </w:t>
      </w:r>
      <w:r w:rsidRPr="002029AF">
        <w:t>support.</w:t>
      </w:r>
    </w:p>
    <w:p w14:paraId="5DD74373" w14:textId="6A41D304" w:rsidR="00770DE1" w:rsidRPr="002029AF" w:rsidRDefault="00770DE1" w:rsidP="00C22356">
      <w:pPr>
        <w:pStyle w:val="Heading3"/>
      </w:pPr>
      <w:r w:rsidRPr="002029AF">
        <w:t>3.</w:t>
      </w:r>
      <w:r w:rsidR="000A5329" w:rsidRPr="002029AF">
        <w:t xml:space="preserve"> </w:t>
      </w:r>
      <w:r w:rsidRPr="002029AF">
        <w:t>Prevention</w:t>
      </w:r>
      <w:r w:rsidR="000A5329" w:rsidRPr="002029AF">
        <w:t xml:space="preserve"> </w:t>
      </w:r>
      <w:r w:rsidRPr="002029AF">
        <w:t>and</w:t>
      </w:r>
      <w:r w:rsidR="000A5329" w:rsidRPr="002029AF">
        <w:t xml:space="preserve"> </w:t>
      </w:r>
      <w:r w:rsidRPr="002029AF">
        <w:t>earlier</w:t>
      </w:r>
      <w:r w:rsidR="000A5329" w:rsidRPr="002029AF">
        <w:t xml:space="preserve"> </w:t>
      </w:r>
      <w:r w:rsidRPr="002029AF">
        <w:t>intervention</w:t>
      </w:r>
    </w:p>
    <w:p w14:paraId="26436E1E" w14:textId="29A1A96F" w:rsidR="00770DE1" w:rsidRPr="002029AF" w:rsidRDefault="00770DE1" w:rsidP="00D271CB">
      <w:pPr>
        <w:pStyle w:val="ARbody"/>
      </w:pPr>
      <w:r w:rsidRPr="002029AF">
        <w:t>Our</w:t>
      </w:r>
      <w:r w:rsidR="000A5329" w:rsidRPr="002029AF">
        <w:t xml:space="preserve"> </w:t>
      </w:r>
      <w:r w:rsidRPr="002029AF">
        <w:t>data</w:t>
      </w:r>
      <w:r w:rsidR="000A5329" w:rsidRPr="002029AF">
        <w:t xml:space="preserve"> </w:t>
      </w:r>
      <w:r w:rsidRPr="002029AF">
        <w:t>shows</w:t>
      </w:r>
      <w:r w:rsidR="000A5329" w:rsidRPr="002029AF">
        <w:t xml:space="preserve"> </w:t>
      </w:r>
      <w:r w:rsidRPr="002029AF">
        <w:t>that</w:t>
      </w:r>
      <w:r w:rsidR="000A5329" w:rsidRPr="002029AF">
        <w:t xml:space="preserve"> </w:t>
      </w:r>
      <w:r w:rsidRPr="002029AF">
        <w:t>for</w:t>
      </w:r>
      <w:r w:rsidR="000A5329" w:rsidRPr="002029AF">
        <w:t xml:space="preserve"> </w:t>
      </w:r>
      <w:r w:rsidRPr="002029AF">
        <w:t>many</w:t>
      </w:r>
      <w:r w:rsidR="000A5329" w:rsidRPr="002029AF">
        <w:t xml:space="preserve"> </w:t>
      </w:r>
      <w:r w:rsidRPr="002029AF">
        <w:t>Victorians,</w:t>
      </w:r>
      <w:r w:rsidR="000A5329" w:rsidRPr="002029AF">
        <w:t xml:space="preserve"> </w:t>
      </w:r>
      <w:r w:rsidRPr="002029AF">
        <w:t>their</w:t>
      </w:r>
      <w:r w:rsidR="000A5329" w:rsidRPr="002029AF">
        <w:t xml:space="preserve"> </w:t>
      </w:r>
      <w:r w:rsidRPr="002029AF">
        <w:t>first</w:t>
      </w:r>
      <w:r w:rsidR="000A5329" w:rsidRPr="002029AF">
        <w:t xml:space="preserve"> </w:t>
      </w:r>
      <w:r w:rsidRPr="002029AF">
        <w:t>contact</w:t>
      </w:r>
      <w:r w:rsidR="000A5329" w:rsidRPr="002029AF">
        <w:t xml:space="preserve"> </w:t>
      </w:r>
      <w:r w:rsidRPr="002029AF">
        <w:t>with</w:t>
      </w:r>
      <w:r w:rsidR="000A5329" w:rsidRPr="002029AF">
        <w:t xml:space="preserve"> </w:t>
      </w:r>
      <w:r w:rsidRPr="002029AF">
        <w:t>health</w:t>
      </w:r>
      <w:r w:rsidR="000A5329" w:rsidRPr="002029AF">
        <w:t xml:space="preserve"> </w:t>
      </w:r>
      <w:r w:rsidRPr="002029AF">
        <w:t>and</w:t>
      </w:r>
      <w:r w:rsidR="000A5329" w:rsidRPr="002029AF">
        <w:t xml:space="preserve"> </w:t>
      </w:r>
      <w:r w:rsidRPr="002029AF">
        <w:t>human</w:t>
      </w:r>
      <w:r w:rsidR="000A5329" w:rsidRPr="002029AF">
        <w:t xml:space="preserve"> </w:t>
      </w:r>
      <w:r w:rsidRPr="002029AF">
        <w:t>services</w:t>
      </w:r>
      <w:r w:rsidR="000A5329" w:rsidRPr="002029AF">
        <w:t xml:space="preserve"> </w:t>
      </w:r>
      <w:r w:rsidRPr="002029AF">
        <w:t>is</w:t>
      </w:r>
      <w:r w:rsidR="000A5329" w:rsidRPr="002029AF">
        <w:t xml:space="preserve"> </w:t>
      </w:r>
      <w:r w:rsidRPr="002029AF">
        <w:t>through</w:t>
      </w:r>
      <w:r w:rsidR="000A5329" w:rsidRPr="002029AF">
        <w:t xml:space="preserve"> </w:t>
      </w:r>
      <w:r w:rsidRPr="002029AF">
        <w:t>an</w:t>
      </w:r>
      <w:r w:rsidR="000A5329" w:rsidRPr="002029AF">
        <w:t xml:space="preserve"> </w:t>
      </w:r>
      <w:r w:rsidRPr="002029AF">
        <w:t>emergency</w:t>
      </w:r>
      <w:r w:rsidR="000A5329" w:rsidRPr="002029AF">
        <w:t xml:space="preserve"> </w:t>
      </w:r>
      <w:r w:rsidRPr="002029AF">
        <w:t>department,</w:t>
      </w:r>
      <w:r w:rsidR="000A5329" w:rsidRPr="002029AF">
        <w:t xml:space="preserve"> </w:t>
      </w:r>
      <w:r w:rsidRPr="002029AF">
        <w:t>child</w:t>
      </w:r>
      <w:r w:rsidR="000A5329" w:rsidRPr="002029AF">
        <w:t xml:space="preserve"> </w:t>
      </w:r>
      <w:r w:rsidRPr="002029AF">
        <w:t>protection,</w:t>
      </w:r>
      <w:r w:rsidR="000A5329" w:rsidRPr="002029AF">
        <w:t xml:space="preserve"> </w:t>
      </w:r>
      <w:r w:rsidRPr="002029AF">
        <w:t>crisis</w:t>
      </w:r>
      <w:r w:rsidR="000A5329" w:rsidRPr="002029AF">
        <w:t xml:space="preserve"> </w:t>
      </w:r>
      <w:r w:rsidRPr="002029AF">
        <w:t>housing</w:t>
      </w:r>
      <w:r w:rsidR="000A5329" w:rsidRPr="002029AF">
        <w:t xml:space="preserve"> </w:t>
      </w:r>
      <w:r w:rsidRPr="002029AF">
        <w:t>or</w:t>
      </w:r>
      <w:r w:rsidR="000A5329" w:rsidRPr="002029AF">
        <w:t xml:space="preserve"> </w:t>
      </w:r>
      <w:r w:rsidRPr="002029AF">
        <w:t>family</w:t>
      </w:r>
      <w:r w:rsidR="000A5329" w:rsidRPr="002029AF">
        <w:t xml:space="preserve"> </w:t>
      </w:r>
      <w:r w:rsidRPr="002029AF">
        <w:t>violence</w:t>
      </w:r>
      <w:r w:rsidR="000A5329" w:rsidRPr="002029AF">
        <w:t xml:space="preserve"> </w:t>
      </w:r>
      <w:r w:rsidRPr="002029AF">
        <w:t>services.</w:t>
      </w:r>
      <w:r w:rsidR="000A5329" w:rsidRPr="002029AF">
        <w:t xml:space="preserve"> </w:t>
      </w:r>
      <w:r w:rsidRPr="002029AF">
        <w:t>Even</w:t>
      </w:r>
      <w:r w:rsidR="000A5329" w:rsidRPr="002029AF">
        <w:t xml:space="preserve"> </w:t>
      </w:r>
      <w:r w:rsidRPr="002029AF">
        <w:t>with</w:t>
      </w:r>
      <w:r w:rsidR="000A5329" w:rsidRPr="002029AF">
        <w:t xml:space="preserve"> </w:t>
      </w:r>
      <w:r w:rsidRPr="002029AF">
        <w:t>great</w:t>
      </w:r>
      <w:r w:rsidR="000A5329" w:rsidRPr="002029AF">
        <w:t xml:space="preserve"> </w:t>
      </w:r>
      <w:r w:rsidRPr="002029AF">
        <w:t>empathy</w:t>
      </w:r>
      <w:r w:rsidR="000A5329" w:rsidRPr="002029AF">
        <w:t xml:space="preserve"> </w:t>
      </w:r>
      <w:r w:rsidRPr="002029AF">
        <w:t>and</w:t>
      </w:r>
      <w:r w:rsidR="000A5329" w:rsidRPr="002029AF">
        <w:t xml:space="preserve"> </w:t>
      </w:r>
      <w:r w:rsidRPr="002029AF">
        <w:t>care</w:t>
      </w:r>
      <w:r w:rsidR="000A5329" w:rsidRPr="002029AF">
        <w:t xml:space="preserve"> </w:t>
      </w:r>
      <w:r w:rsidRPr="002029AF">
        <w:t>from</w:t>
      </w:r>
      <w:r w:rsidR="000A5329" w:rsidRPr="002029AF">
        <w:t xml:space="preserve"> </w:t>
      </w:r>
      <w:r w:rsidRPr="002029AF">
        <w:t>the</w:t>
      </w:r>
      <w:r w:rsidR="000A5329" w:rsidRPr="002029AF">
        <w:t xml:space="preserve"> </w:t>
      </w:r>
      <w:r w:rsidRPr="002029AF">
        <w:t>dedicated</w:t>
      </w:r>
      <w:r w:rsidR="000A5329" w:rsidRPr="002029AF">
        <w:t xml:space="preserve"> </w:t>
      </w:r>
      <w:r w:rsidRPr="002029AF">
        <w:t>professionals</w:t>
      </w:r>
      <w:r w:rsidR="000A5329" w:rsidRPr="002029AF">
        <w:t xml:space="preserve"> </w:t>
      </w:r>
      <w:r w:rsidRPr="002029AF">
        <w:t>in</w:t>
      </w:r>
      <w:r w:rsidR="000A5329" w:rsidRPr="002029AF">
        <w:t xml:space="preserve"> </w:t>
      </w:r>
      <w:r w:rsidRPr="002029AF">
        <w:t>these</w:t>
      </w:r>
      <w:r w:rsidR="000A5329" w:rsidRPr="002029AF">
        <w:t xml:space="preserve"> </w:t>
      </w:r>
      <w:r w:rsidRPr="002029AF">
        <w:t>services,</w:t>
      </w:r>
      <w:r w:rsidR="000A5329" w:rsidRPr="002029AF">
        <w:t xml:space="preserve"> </w:t>
      </w:r>
      <w:r w:rsidRPr="002029AF">
        <w:t>the</w:t>
      </w:r>
      <w:r w:rsidR="000A5329" w:rsidRPr="002029AF">
        <w:t xml:space="preserve"> </w:t>
      </w:r>
      <w:r w:rsidRPr="002029AF">
        <w:t>experience</w:t>
      </w:r>
      <w:r w:rsidR="000A5329" w:rsidRPr="002029AF">
        <w:t xml:space="preserve"> </w:t>
      </w:r>
      <w:r w:rsidRPr="002029AF">
        <w:t>of</w:t>
      </w:r>
      <w:r w:rsidR="000A5329" w:rsidRPr="002029AF">
        <w:t xml:space="preserve"> </w:t>
      </w:r>
      <w:r w:rsidRPr="002029AF">
        <w:t>emergency</w:t>
      </w:r>
      <w:r w:rsidR="000A5329" w:rsidRPr="002029AF">
        <w:t xml:space="preserve"> </w:t>
      </w:r>
      <w:r w:rsidRPr="002029AF">
        <w:t>and</w:t>
      </w:r>
      <w:r w:rsidR="000A5329" w:rsidRPr="002029AF">
        <w:t xml:space="preserve"> </w:t>
      </w:r>
      <w:r w:rsidRPr="002029AF">
        <w:t>crisis</w:t>
      </w:r>
      <w:r w:rsidR="000A5329" w:rsidRPr="002029AF">
        <w:t xml:space="preserve"> </w:t>
      </w:r>
      <w:r w:rsidRPr="002029AF">
        <w:t>services</w:t>
      </w:r>
      <w:r w:rsidR="000A5329" w:rsidRPr="002029AF">
        <w:t xml:space="preserve"> </w:t>
      </w:r>
      <w:r w:rsidRPr="002029AF">
        <w:t>can</w:t>
      </w:r>
      <w:r w:rsidR="000A5329" w:rsidRPr="002029AF">
        <w:t xml:space="preserve"> </w:t>
      </w:r>
      <w:r w:rsidRPr="002029AF">
        <w:t>be</w:t>
      </w:r>
      <w:r w:rsidR="000A5329" w:rsidRPr="002029AF">
        <w:t xml:space="preserve"> </w:t>
      </w:r>
      <w:r w:rsidRPr="002029AF">
        <w:t>stressful</w:t>
      </w:r>
      <w:r w:rsidR="000A5329" w:rsidRPr="002029AF">
        <w:t xml:space="preserve"> </w:t>
      </w:r>
      <w:r w:rsidRPr="002029AF">
        <w:t>and</w:t>
      </w:r>
      <w:r w:rsidR="000A5329" w:rsidRPr="002029AF">
        <w:t xml:space="preserve"> </w:t>
      </w:r>
      <w:r w:rsidRPr="002029AF">
        <w:t>feel</w:t>
      </w:r>
      <w:r w:rsidR="000A5329" w:rsidRPr="002029AF">
        <w:t xml:space="preserve"> </w:t>
      </w:r>
      <w:r w:rsidRPr="002029AF">
        <w:t>disempowering.</w:t>
      </w:r>
    </w:p>
    <w:p w14:paraId="03E4387D" w14:textId="39D02456" w:rsidR="00770DE1" w:rsidRPr="002029AF" w:rsidRDefault="00770DE1" w:rsidP="00D271CB">
      <w:pPr>
        <w:pStyle w:val="ARbody"/>
      </w:pPr>
      <w:r w:rsidRPr="002029AF">
        <w:t>Effective</w:t>
      </w:r>
      <w:r w:rsidR="000A5329" w:rsidRPr="002029AF">
        <w:t xml:space="preserve"> </w:t>
      </w:r>
      <w:r w:rsidRPr="002029AF">
        <w:t>prevention</w:t>
      </w:r>
      <w:r w:rsidR="000A5329" w:rsidRPr="002029AF">
        <w:t xml:space="preserve"> </w:t>
      </w:r>
      <w:r w:rsidRPr="002029AF">
        <w:t>and</w:t>
      </w:r>
      <w:r w:rsidR="000A5329" w:rsidRPr="002029AF">
        <w:t xml:space="preserve"> </w:t>
      </w:r>
      <w:r w:rsidRPr="002029AF">
        <w:t>early</w:t>
      </w:r>
      <w:r w:rsidR="000A5329" w:rsidRPr="002029AF">
        <w:t xml:space="preserve"> </w:t>
      </w:r>
      <w:r w:rsidRPr="002029AF">
        <w:t>intervention</w:t>
      </w:r>
      <w:r w:rsidR="000A5329" w:rsidRPr="002029AF">
        <w:t xml:space="preserve"> </w:t>
      </w:r>
      <w:r w:rsidRPr="002029AF">
        <w:t>are</w:t>
      </w:r>
      <w:r w:rsidR="000A5329" w:rsidRPr="002029AF">
        <w:t xml:space="preserve"> </w:t>
      </w:r>
      <w:r w:rsidRPr="002029AF">
        <w:t>critical</w:t>
      </w:r>
      <w:r w:rsidR="000A5329" w:rsidRPr="002029AF">
        <w:t xml:space="preserve"> </w:t>
      </w:r>
      <w:r w:rsidRPr="002029AF">
        <w:t>to</w:t>
      </w:r>
      <w:r w:rsidR="000A5329" w:rsidRPr="002029AF">
        <w:t xml:space="preserve"> </w:t>
      </w:r>
      <w:r w:rsidRPr="002029AF">
        <w:t>reducing</w:t>
      </w:r>
      <w:r w:rsidR="000A5329" w:rsidRPr="002029AF">
        <w:t xml:space="preserve"> </w:t>
      </w:r>
      <w:r w:rsidRPr="002029AF">
        <w:t>inequalities</w:t>
      </w:r>
      <w:r w:rsidR="000A5329" w:rsidRPr="002029AF">
        <w:t xml:space="preserve"> </w:t>
      </w:r>
      <w:r w:rsidRPr="002029AF">
        <w:t>in</w:t>
      </w:r>
      <w:r w:rsidR="000A5329" w:rsidRPr="002029AF">
        <w:t xml:space="preserve"> </w:t>
      </w:r>
      <w:r w:rsidRPr="002029AF">
        <w:t>health</w:t>
      </w:r>
      <w:r w:rsidR="000A5329" w:rsidRPr="002029AF">
        <w:t xml:space="preserve"> </w:t>
      </w:r>
      <w:r w:rsidRPr="002029AF">
        <w:t>and</w:t>
      </w:r>
      <w:r w:rsidR="000A5329" w:rsidRPr="002029AF">
        <w:t xml:space="preserve"> </w:t>
      </w:r>
      <w:r w:rsidRPr="002029AF">
        <w:t>social</w:t>
      </w:r>
      <w:r w:rsidR="000A5329" w:rsidRPr="002029AF">
        <w:t xml:space="preserve"> </w:t>
      </w:r>
      <w:r w:rsidRPr="002029AF">
        <w:t>outcomes,</w:t>
      </w:r>
      <w:r w:rsidR="000A5329" w:rsidRPr="002029AF">
        <w:t xml:space="preserve"> </w:t>
      </w:r>
      <w:r w:rsidRPr="002029AF">
        <w:t>arresting</w:t>
      </w:r>
      <w:r w:rsidR="000A5329" w:rsidRPr="002029AF">
        <w:t xml:space="preserve"> </w:t>
      </w:r>
      <w:r w:rsidRPr="002029AF">
        <w:t>the</w:t>
      </w:r>
      <w:r w:rsidR="000A5329" w:rsidRPr="002029AF">
        <w:t xml:space="preserve"> </w:t>
      </w:r>
      <w:r w:rsidRPr="002029AF">
        <w:t>intergenerational</w:t>
      </w:r>
      <w:r w:rsidR="000A5329" w:rsidRPr="002029AF">
        <w:t xml:space="preserve"> </w:t>
      </w:r>
      <w:r w:rsidRPr="002029AF">
        <w:t>transfer</w:t>
      </w:r>
      <w:r w:rsidR="000A5329" w:rsidRPr="002029AF">
        <w:t xml:space="preserve"> </w:t>
      </w:r>
      <w:r w:rsidRPr="002029AF">
        <w:lastRenderedPageBreak/>
        <w:t>of</w:t>
      </w:r>
      <w:r w:rsidR="000A5329" w:rsidRPr="002029AF">
        <w:t xml:space="preserve"> </w:t>
      </w:r>
      <w:r w:rsidRPr="002029AF">
        <w:t>disadvantage,</w:t>
      </w:r>
      <w:r w:rsidR="000A5329" w:rsidRPr="002029AF">
        <w:t xml:space="preserve"> </w:t>
      </w:r>
      <w:r w:rsidRPr="002029AF">
        <w:t>and</w:t>
      </w:r>
      <w:r w:rsidR="000A5329" w:rsidRPr="002029AF">
        <w:t xml:space="preserve"> </w:t>
      </w:r>
      <w:r w:rsidR="004C65C8" w:rsidRPr="002029AF">
        <w:t>lessening</w:t>
      </w:r>
      <w:r w:rsidR="000A5329" w:rsidRPr="002029AF">
        <w:t xml:space="preserve"> </w:t>
      </w:r>
      <w:r w:rsidRPr="002029AF">
        <w:t>the</w:t>
      </w:r>
      <w:r w:rsidR="000A5329" w:rsidRPr="002029AF">
        <w:t xml:space="preserve"> </w:t>
      </w:r>
      <w:r w:rsidRPr="002029AF">
        <w:t>need</w:t>
      </w:r>
      <w:r w:rsidR="000A5329" w:rsidRPr="002029AF">
        <w:t xml:space="preserve"> </w:t>
      </w:r>
      <w:r w:rsidRPr="002029AF">
        <w:t>for</w:t>
      </w:r>
      <w:r w:rsidR="000A5329" w:rsidRPr="002029AF">
        <w:t xml:space="preserve"> </w:t>
      </w:r>
      <w:r w:rsidRPr="002029AF">
        <w:t>crisis</w:t>
      </w:r>
      <w:r w:rsidR="000A5329" w:rsidRPr="002029AF">
        <w:t xml:space="preserve"> </w:t>
      </w:r>
      <w:r w:rsidRPr="002029AF">
        <w:t>and</w:t>
      </w:r>
      <w:r w:rsidR="000A5329" w:rsidRPr="002029AF">
        <w:t xml:space="preserve"> </w:t>
      </w:r>
      <w:r w:rsidRPr="002029AF">
        <w:t>emergency</w:t>
      </w:r>
      <w:r w:rsidR="000A5329" w:rsidRPr="002029AF">
        <w:t xml:space="preserve"> </w:t>
      </w:r>
      <w:r w:rsidRPr="002029AF">
        <w:t>services.</w:t>
      </w:r>
    </w:p>
    <w:p w14:paraId="6557C0BD" w14:textId="2EB648BD" w:rsidR="00770DE1" w:rsidRPr="002029AF" w:rsidRDefault="00770DE1" w:rsidP="00D271CB">
      <w:pPr>
        <w:pStyle w:val="ARbody"/>
      </w:pPr>
      <w:r w:rsidRPr="002029AF">
        <w:t>Successful</w:t>
      </w:r>
      <w:r w:rsidR="000A5329" w:rsidRPr="002029AF">
        <w:t xml:space="preserve"> </w:t>
      </w:r>
      <w:r w:rsidRPr="002029AF">
        <w:t>early</w:t>
      </w:r>
      <w:r w:rsidR="000A5329" w:rsidRPr="002029AF">
        <w:t xml:space="preserve"> </w:t>
      </w:r>
      <w:r w:rsidRPr="002029AF">
        <w:t>intervention</w:t>
      </w:r>
      <w:r w:rsidR="000A5329" w:rsidRPr="002029AF">
        <w:t xml:space="preserve"> </w:t>
      </w:r>
      <w:r w:rsidRPr="002029AF">
        <w:t>requires</w:t>
      </w:r>
      <w:r w:rsidR="000A5329" w:rsidRPr="002029AF">
        <w:t xml:space="preserve"> </w:t>
      </w:r>
      <w:r w:rsidRPr="002029AF">
        <w:t>new</w:t>
      </w:r>
      <w:r w:rsidR="000A5329" w:rsidRPr="002029AF">
        <w:t xml:space="preserve"> </w:t>
      </w:r>
      <w:r w:rsidRPr="002029AF">
        <w:t>models</w:t>
      </w:r>
      <w:r w:rsidR="000A5329" w:rsidRPr="002029AF">
        <w:t xml:space="preserve"> </w:t>
      </w:r>
      <w:r w:rsidRPr="002029AF">
        <w:t>of</w:t>
      </w:r>
      <w:r w:rsidR="000A5329" w:rsidRPr="002029AF">
        <w:t xml:space="preserve"> </w:t>
      </w:r>
      <w:r w:rsidRPr="002029AF">
        <w:t>care</w:t>
      </w:r>
      <w:r w:rsidR="000A5329" w:rsidRPr="002029AF">
        <w:t xml:space="preserve"> </w:t>
      </w:r>
      <w:r w:rsidRPr="002029AF">
        <w:t>that</w:t>
      </w:r>
      <w:r w:rsidR="000A5329" w:rsidRPr="002029AF">
        <w:t xml:space="preserve"> </w:t>
      </w:r>
      <w:r w:rsidRPr="002029AF">
        <w:t>focus</w:t>
      </w:r>
      <w:r w:rsidR="000A5329" w:rsidRPr="002029AF">
        <w:t xml:space="preserve"> </w:t>
      </w:r>
      <w:r w:rsidRPr="002029AF">
        <w:t>on</w:t>
      </w:r>
      <w:r w:rsidR="000A5329" w:rsidRPr="002029AF">
        <w:t xml:space="preserve"> </w:t>
      </w:r>
      <w:r w:rsidRPr="002029AF">
        <w:t>the</w:t>
      </w:r>
      <w:r w:rsidR="000A5329" w:rsidRPr="002029AF">
        <w:t xml:space="preserve"> </w:t>
      </w:r>
      <w:r w:rsidRPr="002029AF">
        <w:t>whole</w:t>
      </w:r>
      <w:r w:rsidR="000A5329" w:rsidRPr="002029AF">
        <w:t xml:space="preserve"> </w:t>
      </w:r>
      <w:r w:rsidRPr="002029AF">
        <w:t>person</w:t>
      </w:r>
      <w:r w:rsidR="000A5329" w:rsidRPr="002029AF">
        <w:t xml:space="preserve"> </w:t>
      </w:r>
      <w:r w:rsidRPr="002029AF">
        <w:t>or</w:t>
      </w:r>
      <w:r w:rsidR="000A5329" w:rsidRPr="002029AF">
        <w:t xml:space="preserve"> </w:t>
      </w:r>
      <w:r w:rsidRPr="002029AF">
        <w:t>family.</w:t>
      </w:r>
      <w:r w:rsidR="000A5329" w:rsidRPr="002029AF">
        <w:t xml:space="preserve"> </w:t>
      </w:r>
      <w:r w:rsidRPr="002029AF">
        <w:t>For</w:t>
      </w:r>
      <w:r w:rsidR="000A5329" w:rsidRPr="002029AF">
        <w:t xml:space="preserve"> </w:t>
      </w:r>
      <w:r w:rsidRPr="002029AF">
        <w:t>people</w:t>
      </w:r>
      <w:r w:rsidR="000A5329" w:rsidRPr="002029AF">
        <w:t xml:space="preserve"> </w:t>
      </w:r>
      <w:r w:rsidRPr="002029AF">
        <w:t>with</w:t>
      </w:r>
      <w:r w:rsidR="000A5329" w:rsidRPr="002029AF">
        <w:t xml:space="preserve"> </w:t>
      </w:r>
      <w:r w:rsidRPr="002029AF">
        <w:t>complex</w:t>
      </w:r>
      <w:r w:rsidR="000A5329" w:rsidRPr="002029AF">
        <w:t xml:space="preserve"> </w:t>
      </w:r>
      <w:r w:rsidRPr="002029AF">
        <w:t>or</w:t>
      </w:r>
      <w:r w:rsidR="000A5329" w:rsidRPr="002029AF">
        <w:t xml:space="preserve"> </w:t>
      </w:r>
      <w:r w:rsidRPr="002029AF">
        <w:t>chronic</w:t>
      </w:r>
      <w:r w:rsidR="000A5329" w:rsidRPr="002029AF">
        <w:t xml:space="preserve"> </w:t>
      </w:r>
      <w:r w:rsidRPr="002029AF">
        <w:t>needs,</w:t>
      </w:r>
      <w:r w:rsidR="000A5329" w:rsidRPr="002029AF">
        <w:t xml:space="preserve"> </w:t>
      </w:r>
      <w:r w:rsidRPr="002029AF">
        <w:t>early</w:t>
      </w:r>
      <w:r w:rsidR="000A5329" w:rsidRPr="002029AF">
        <w:t xml:space="preserve"> </w:t>
      </w:r>
      <w:r w:rsidRPr="002029AF">
        <w:t>intervention</w:t>
      </w:r>
      <w:r w:rsidR="000A5329" w:rsidRPr="002029AF">
        <w:t xml:space="preserve"> </w:t>
      </w:r>
      <w:r w:rsidRPr="002029AF">
        <w:t>models</w:t>
      </w:r>
      <w:r w:rsidR="000A5329" w:rsidRPr="002029AF">
        <w:t xml:space="preserve"> </w:t>
      </w:r>
      <w:r w:rsidRPr="002029AF">
        <w:t>need</w:t>
      </w:r>
      <w:r w:rsidR="000A5329" w:rsidRPr="002029AF">
        <w:t xml:space="preserve"> </w:t>
      </w:r>
      <w:r w:rsidRPr="002029AF">
        <w:t>to</w:t>
      </w:r>
      <w:r w:rsidR="000A5329" w:rsidRPr="002029AF">
        <w:t xml:space="preserve"> </w:t>
      </w:r>
      <w:r w:rsidRPr="002029AF">
        <w:t>take</w:t>
      </w:r>
      <w:r w:rsidR="000A5329" w:rsidRPr="002029AF">
        <w:t xml:space="preserve"> </w:t>
      </w:r>
      <w:r w:rsidRPr="002029AF">
        <w:t>account</w:t>
      </w:r>
      <w:r w:rsidR="000A5329" w:rsidRPr="002029AF">
        <w:t xml:space="preserve"> </w:t>
      </w:r>
      <w:r w:rsidRPr="002029AF">
        <w:t>of</w:t>
      </w:r>
      <w:r w:rsidR="000A5329" w:rsidRPr="002029AF">
        <w:t xml:space="preserve"> </w:t>
      </w:r>
      <w:r w:rsidRPr="002029AF">
        <w:t>the</w:t>
      </w:r>
      <w:r w:rsidR="000A5329" w:rsidRPr="002029AF">
        <w:t xml:space="preserve"> </w:t>
      </w:r>
      <w:r w:rsidRPr="002029AF">
        <w:t>range</w:t>
      </w:r>
      <w:r w:rsidR="000A5329" w:rsidRPr="002029AF">
        <w:t xml:space="preserve"> </w:t>
      </w:r>
      <w:r w:rsidRPr="002029AF">
        <w:t>of</w:t>
      </w:r>
      <w:r w:rsidR="000A5329" w:rsidRPr="002029AF">
        <w:t xml:space="preserve"> </w:t>
      </w:r>
      <w:r w:rsidRPr="002029AF">
        <w:t>social,</w:t>
      </w:r>
      <w:r w:rsidR="000A5329" w:rsidRPr="002029AF">
        <w:t xml:space="preserve"> </w:t>
      </w:r>
      <w:r w:rsidRPr="002029AF">
        <w:t>economic</w:t>
      </w:r>
      <w:r w:rsidR="000A5329" w:rsidRPr="002029AF">
        <w:t xml:space="preserve"> </w:t>
      </w:r>
      <w:r w:rsidRPr="002029AF">
        <w:t>and</w:t>
      </w:r>
      <w:r w:rsidR="000A5329" w:rsidRPr="002029AF">
        <w:t xml:space="preserve"> </w:t>
      </w:r>
      <w:r w:rsidRPr="002029AF">
        <w:t>personal</w:t>
      </w:r>
      <w:r w:rsidR="000A5329" w:rsidRPr="002029AF">
        <w:t xml:space="preserve"> </w:t>
      </w:r>
      <w:r w:rsidRPr="002029AF">
        <w:t>factors</w:t>
      </w:r>
      <w:r w:rsidR="000A5329" w:rsidRPr="002029AF">
        <w:t xml:space="preserve"> </w:t>
      </w:r>
      <w:r w:rsidRPr="002029AF">
        <w:t>that</w:t>
      </w:r>
      <w:r w:rsidR="000A5329" w:rsidRPr="002029AF">
        <w:t xml:space="preserve"> </w:t>
      </w:r>
      <w:r w:rsidRPr="002029AF">
        <w:t>affect</w:t>
      </w:r>
      <w:r w:rsidR="000A5329" w:rsidRPr="002029AF">
        <w:t xml:space="preserve"> </w:t>
      </w:r>
      <w:r w:rsidRPr="002029AF">
        <w:t>their</w:t>
      </w:r>
      <w:r w:rsidR="000A5329" w:rsidRPr="002029AF">
        <w:t xml:space="preserve"> </w:t>
      </w:r>
      <w:r w:rsidRPr="002029AF">
        <w:t>lives.</w:t>
      </w:r>
      <w:r w:rsidR="000A5329" w:rsidRPr="002029AF">
        <w:t xml:space="preserve"> </w:t>
      </w:r>
      <w:r w:rsidRPr="002029AF">
        <w:t>A</w:t>
      </w:r>
      <w:r w:rsidR="000A5329" w:rsidRPr="002029AF">
        <w:t xml:space="preserve"> </w:t>
      </w:r>
      <w:r w:rsidRPr="002029AF">
        <w:t>focus</w:t>
      </w:r>
      <w:r w:rsidR="000A5329" w:rsidRPr="002029AF">
        <w:t xml:space="preserve"> </w:t>
      </w:r>
      <w:r w:rsidRPr="002029AF">
        <w:t>on</w:t>
      </w:r>
      <w:r w:rsidR="000A5329" w:rsidRPr="002029AF">
        <w:t xml:space="preserve"> </w:t>
      </w:r>
      <w:r w:rsidRPr="002029AF">
        <w:t>building</w:t>
      </w:r>
      <w:r w:rsidR="000A5329" w:rsidRPr="002029AF">
        <w:t xml:space="preserve"> </w:t>
      </w:r>
      <w:r w:rsidRPr="002029AF">
        <w:t>capacities</w:t>
      </w:r>
      <w:r w:rsidR="000A5329" w:rsidRPr="002029AF">
        <w:t xml:space="preserve"> </w:t>
      </w:r>
      <w:r w:rsidRPr="002029AF">
        <w:t>–</w:t>
      </w:r>
      <w:r w:rsidR="000A5329" w:rsidRPr="002029AF">
        <w:t xml:space="preserve"> </w:t>
      </w:r>
      <w:r w:rsidRPr="002029AF">
        <w:t>to</w:t>
      </w:r>
      <w:r w:rsidR="000A5329" w:rsidRPr="002029AF">
        <w:t xml:space="preserve"> </w:t>
      </w:r>
      <w:r w:rsidRPr="002029AF">
        <w:t>recover</w:t>
      </w:r>
      <w:r w:rsidR="000A5329" w:rsidRPr="002029AF">
        <w:t xml:space="preserve"> </w:t>
      </w:r>
      <w:r w:rsidRPr="002029AF">
        <w:t>from</w:t>
      </w:r>
      <w:r w:rsidR="000A5329" w:rsidRPr="002029AF">
        <w:t xml:space="preserve"> </w:t>
      </w:r>
      <w:r w:rsidRPr="002029AF">
        <w:t>trauma</w:t>
      </w:r>
      <w:r w:rsidR="000A5329" w:rsidRPr="002029AF">
        <w:t xml:space="preserve"> </w:t>
      </w:r>
      <w:r w:rsidRPr="002029AF">
        <w:t>or</w:t>
      </w:r>
      <w:r w:rsidR="000A5329" w:rsidRPr="002029AF">
        <w:t xml:space="preserve"> </w:t>
      </w:r>
      <w:r w:rsidRPr="002029AF">
        <w:t>address</w:t>
      </w:r>
      <w:r w:rsidR="000A5329" w:rsidRPr="002029AF">
        <w:t xml:space="preserve"> </w:t>
      </w:r>
      <w:r w:rsidRPr="002029AF">
        <w:t>early</w:t>
      </w:r>
      <w:r w:rsidR="000A5329" w:rsidRPr="002029AF">
        <w:t xml:space="preserve"> </w:t>
      </w:r>
      <w:r w:rsidRPr="002029AF">
        <w:t>signs</w:t>
      </w:r>
      <w:r w:rsidR="000A5329" w:rsidRPr="002029AF">
        <w:t xml:space="preserve"> </w:t>
      </w:r>
      <w:r w:rsidRPr="002029AF">
        <w:t>of</w:t>
      </w:r>
      <w:r w:rsidR="000A5329" w:rsidRPr="002029AF">
        <w:t xml:space="preserve"> </w:t>
      </w:r>
      <w:r w:rsidRPr="002029AF">
        <w:t>mental</w:t>
      </w:r>
      <w:r w:rsidR="000A5329" w:rsidRPr="002029AF">
        <w:t xml:space="preserve"> </w:t>
      </w:r>
      <w:r w:rsidRPr="002029AF">
        <w:t>health</w:t>
      </w:r>
      <w:r w:rsidR="000A5329" w:rsidRPr="002029AF">
        <w:t xml:space="preserve"> </w:t>
      </w:r>
      <w:r w:rsidRPr="002029AF">
        <w:t>issues,</w:t>
      </w:r>
      <w:r w:rsidR="000A5329" w:rsidRPr="002029AF">
        <w:t xml:space="preserve"> </w:t>
      </w:r>
      <w:r w:rsidRPr="002029AF">
        <w:t>or</w:t>
      </w:r>
      <w:r w:rsidR="000A5329" w:rsidRPr="002029AF">
        <w:t xml:space="preserve"> </w:t>
      </w:r>
      <w:r w:rsidRPr="002029AF">
        <w:t>support</w:t>
      </w:r>
      <w:r w:rsidR="000A5329" w:rsidRPr="002029AF">
        <w:t xml:space="preserve"> </w:t>
      </w:r>
      <w:r w:rsidRPr="002029AF">
        <w:t>family</w:t>
      </w:r>
      <w:r w:rsidR="000A5329" w:rsidRPr="002029AF">
        <w:t xml:space="preserve"> </w:t>
      </w:r>
      <w:r w:rsidRPr="002029AF">
        <w:t>functioning</w:t>
      </w:r>
      <w:r w:rsidR="000A5329" w:rsidRPr="002029AF">
        <w:t xml:space="preserve"> </w:t>
      </w:r>
      <w:r w:rsidRPr="002029AF">
        <w:t>–</w:t>
      </w:r>
      <w:r w:rsidR="000A5329" w:rsidRPr="002029AF">
        <w:t xml:space="preserve"> </w:t>
      </w:r>
      <w:r w:rsidRPr="002029AF">
        <w:t>can</w:t>
      </w:r>
      <w:r w:rsidR="000A5329" w:rsidRPr="002029AF">
        <w:t xml:space="preserve"> </w:t>
      </w:r>
      <w:r w:rsidRPr="002029AF">
        <w:t>reduce</w:t>
      </w:r>
      <w:r w:rsidR="000A5329" w:rsidRPr="002029AF">
        <w:t xml:space="preserve"> </w:t>
      </w:r>
      <w:r w:rsidRPr="002029AF">
        <w:t>the</w:t>
      </w:r>
      <w:r w:rsidR="000A5329" w:rsidRPr="002029AF">
        <w:t xml:space="preserve"> </w:t>
      </w:r>
      <w:r w:rsidRPr="002029AF">
        <w:t>need</w:t>
      </w:r>
      <w:r w:rsidR="000A5329" w:rsidRPr="002029AF">
        <w:t xml:space="preserve"> </w:t>
      </w:r>
      <w:r w:rsidRPr="002029AF">
        <w:t>for</w:t>
      </w:r>
      <w:r w:rsidR="000A5329" w:rsidRPr="002029AF">
        <w:t xml:space="preserve"> </w:t>
      </w:r>
      <w:r w:rsidRPr="002029AF">
        <w:t>crisis</w:t>
      </w:r>
      <w:r w:rsidR="000A5329" w:rsidRPr="002029AF">
        <w:t xml:space="preserve"> </w:t>
      </w:r>
      <w:r w:rsidRPr="002029AF">
        <w:t>responses.</w:t>
      </w:r>
    </w:p>
    <w:p w14:paraId="728A0EBD" w14:textId="09A3CE59" w:rsidR="00770DE1" w:rsidRPr="002029AF" w:rsidRDefault="00770DE1" w:rsidP="00D271CB">
      <w:pPr>
        <w:pStyle w:val="ARbody"/>
      </w:pPr>
      <w:r w:rsidRPr="002029AF">
        <w:t>This</w:t>
      </w:r>
      <w:r w:rsidR="000A5329" w:rsidRPr="002029AF">
        <w:t xml:space="preserve"> </w:t>
      </w:r>
      <w:r w:rsidRPr="002029AF">
        <w:t>strategic</w:t>
      </w:r>
      <w:r w:rsidR="000A5329" w:rsidRPr="002029AF">
        <w:t xml:space="preserve"> </w:t>
      </w:r>
      <w:r w:rsidRPr="002029AF">
        <w:t>direction</w:t>
      </w:r>
      <w:r w:rsidR="000A5329" w:rsidRPr="002029AF">
        <w:t xml:space="preserve"> </w:t>
      </w:r>
      <w:r w:rsidRPr="002029AF">
        <w:t>links</w:t>
      </w:r>
      <w:r w:rsidR="000A5329" w:rsidRPr="002029AF">
        <w:t xml:space="preserve"> </w:t>
      </w:r>
      <w:r w:rsidRPr="002029AF">
        <w:t>to</w:t>
      </w:r>
      <w:r w:rsidR="000A5329" w:rsidRPr="002029AF">
        <w:t xml:space="preserve"> </w:t>
      </w:r>
      <w:r w:rsidRPr="002029AF">
        <w:t>our</w:t>
      </w:r>
      <w:r w:rsidR="000A5329" w:rsidRPr="002029AF">
        <w:t xml:space="preserve"> </w:t>
      </w:r>
      <w:r w:rsidRPr="002029AF">
        <w:t>emphasis</w:t>
      </w:r>
      <w:r w:rsidR="000A5329" w:rsidRPr="002029AF">
        <w:t xml:space="preserve"> </w:t>
      </w:r>
      <w:r w:rsidRPr="002029AF">
        <w:t>on</w:t>
      </w:r>
      <w:r w:rsidR="000A5329" w:rsidRPr="002029AF">
        <w:t xml:space="preserve"> </w:t>
      </w:r>
      <w:r w:rsidRPr="002029AF">
        <w:t>local</w:t>
      </w:r>
      <w:r w:rsidR="000A5329" w:rsidRPr="002029AF">
        <w:t xml:space="preserve"> </w:t>
      </w:r>
      <w:r w:rsidRPr="002029AF">
        <w:t>solutions</w:t>
      </w:r>
      <w:r w:rsidR="000A5329" w:rsidRPr="002029AF">
        <w:t xml:space="preserve"> </w:t>
      </w:r>
      <w:r w:rsidRPr="002029AF">
        <w:t>and</w:t>
      </w:r>
      <w:r w:rsidR="000A5329" w:rsidRPr="002029AF">
        <w:t xml:space="preserve"> </w:t>
      </w:r>
      <w:r w:rsidRPr="002029AF">
        <w:t>joining</w:t>
      </w:r>
      <w:r w:rsidR="000A5329" w:rsidRPr="002029AF">
        <w:t xml:space="preserve"> </w:t>
      </w:r>
      <w:r w:rsidRPr="002029AF">
        <w:t>up</w:t>
      </w:r>
      <w:r w:rsidR="000A5329" w:rsidRPr="002029AF">
        <w:t xml:space="preserve"> </w:t>
      </w:r>
      <w:r w:rsidRPr="002029AF">
        <w:t>local</w:t>
      </w:r>
      <w:r w:rsidR="000A5329" w:rsidRPr="002029AF">
        <w:t xml:space="preserve"> </w:t>
      </w:r>
      <w:r w:rsidRPr="002029AF">
        <w:t>services.</w:t>
      </w:r>
      <w:r w:rsidR="000A5329" w:rsidRPr="002029AF">
        <w:t xml:space="preserve"> </w:t>
      </w:r>
      <w:r w:rsidRPr="002029AF">
        <w:t>All</w:t>
      </w:r>
      <w:r w:rsidR="000A5329" w:rsidRPr="002029AF">
        <w:t xml:space="preserve"> </w:t>
      </w:r>
      <w:r w:rsidRPr="002029AF">
        <w:t>of</w:t>
      </w:r>
      <w:r w:rsidR="000A5329" w:rsidRPr="002029AF">
        <w:t xml:space="preserve"> </w:t>
      </w:r>
      <w:r w:rsidRPr="002029AF">
        <w:t>our</w:t>
      </w:r>
      <w:r w:rsidR="000A5329" w:rsidRPr="002029AF">
        <w:t xml:space="preserve"> </w:t>
      </w:r>
      <w:r w:rsidRPr="002029AF">
        <w:t>partners</w:t>
      </w:r>
      <w:r w:rsidR="000A5329" w:rsidRPr="002029AF">
        <w:t xml:space="preserve"> </w:t>
      </w:r>
      <w:r w:rsidRPr="002029AF">
        <w:t>are</w:t>
      </w:r>
      <w:r w:rsidR="000A5329" w:rsidRPr="002029AF">
        <w:t xml:space="preserve"> </w:t>
      </w:r>
      <w:r w:rsidRPr="002029AF">
        <w:t>working</w:t>
      </w:r>
      <w:r w:rsidR="000A5329" w:rsidRPr="002029AF">
        <w:t xml:space="preserve"> </w:t>
      </w:r>
      <w:r w:rsidRPr="002029AF">
        <w:t>hard</w:t>
      </w:r>
      <w:r w:rsidR="000A5329" w:rsidRPr="002029AF">
        <w:t xml:space="preserve"> </w:t>
      </w:r>
      <w:r w:rsidRPr="002029AF">
        <w:t>to</w:t>
      </w:r>
      <w:r w:rsidR="000A5329" w:rsidRPr="002029AF">
        <w:t xml:space="preserve"> </w:t>
      </w:r>
      <w:r w:rsidRPr="002029AF">
        <w:t>break</w:t>
      </w:r>
      <w:r w:rsidR="000A5329" w:rsidRPr="002029AF">
        <w:t xml:space="preserve"> </w:t>
      </w:r>
      <w:r w:rsidRPr="002029AF">
        <w:t>down</w:t>
      </w:r>
      <w:r w:rsidR="000A5329" w:rsidRPr="002029AF">
        <w:t xml:space="preserve"> </w:t>
      </w:r>
      <w:r w:rsidRPr="002029AF">
        <w:t>the</w:t>
      </w:r>
      <w:r w:rsidR="000A5329" w:rsidRPr="002029AF">
        <w:t xml:space="preserve"> </w:t>
      </w:r>
      <w:r w:rsidRPr="002029AF">
        <w:t>barriers</w:t>
      </w:r>
      <w:r w:rsidR="000A5329" w:rsidRPr="002029AF">
        <w:t xml:space="preserve"> </w:t>
      </w:r>
      <w:r w:rsidRPr="002029AF">
        <w:t>in</w:t>
      </w:r>
      <w:r w:rsidR="000A5329" w:rsidRPr="002029AF">
        <w:t xml:space="preserve"> </w:t>
      </w:r>
      <w:r w:rsidRPr="002029AF">
        <w:t>how</w:t>
      </w:r>
      <w:r w:rsidR="000A5329" w:rsidRPr="002029AF">
        <w:t xml:space="preserve"> </w:t>
      </w:r>
      <w:r w:rsidRPr="002029AF">
        <w:t>care</w:t>
      </w:r>
      <w:r w:rsidR="000A5329" w:rsidRPr="002029AF">
        <w:t xml:space="preserve"> </w:t>
      </w:r>
      <w:r w:rsidRPr="002029AF">
        <w:t>is</w:t>
      </w:r>
      <w:r w:rsidR="000A5329" w:rsidRPr="002029AF">
        <w:t xml:space="preserve"> </w:t>
      </w:r>
      <w:r w:rsidRPr="002029AF">
        <w:t>provided</w:t>
      </w:r>
      <w:r w:rsidR="000A5329" w:rsidRPr="002029AF">
        <w:t xml:space="preserve"> </w:t>
      </w:r>
      <w:r w:rsidRPr="002029AF">
        <w:t>within</w:t>
      </w:r>
      <w:r w:rsidR="000A5329" w:rsidRPr="002029AF">
        <w:t xml:space="preserve"> </w:t>
      </w:r>
      <w:r w:rsidRPr="002029AF">
        <w:t>and</w:t>
      </w:r>
      <w:r w:rsidR="000A5329" w:rsidRPr="002029AF">
        <w:t xml:space="preserve"> </w:t>
      </w:r>
      <w:r w:rsidRPr="002029AF">
        <w:t>across</w:t>
      </w:r>
      <w:r w:rsidR="000A5329" w:rsidRPr="002029AF">
        <w:t xml:space="preserve"> </w:t>
      </w:r>
      <w:r w:rsidRPr="002029AF">
        <w:t>sectors</w:t>
      </w:r>
      <w:r w:rsidR="000A5329" w:rsidRPr="002029AF">
        <w:t xml:space="preserve"> </w:t>
      </w:r>
      <w:r w:rsidRPr="002029AF">
        <w:t>–</w:t>
      </w:r>
      <w:r w:rsidR="000A5329" w:rsidRPr="002029AF">
        <w:t xml:space="preserve"> </w:t>
      </w:r>
      <w:r w:rsidRPr="002029AF">
        <w:t>for</w:t>
      </w:r>
      <w:r w:rsidR="000A5329" w:rsidRPr="002029AF">
        <w:t xml:space="preserve"> </w:t>
      </w:r>
      <w:r w:rsidRPr="002029AF">
        <w:t>example</w:t>
      </w:r>
      <w:r w:rsidR="008F1B3D" w:rsidRPr="002029AF">
        <w:t>,</w:t>
      </w:r>
      <w:r w:rsidR="000A5329" w:rsidRPr="002029AF">
        <w:t xml:space="preserve"> </w:t>
      </w:r>
      <w:r w:rsidRPr="002029AF">
        <w:t>between</w:t>
      </w:r>
      <w:r w:rsidR="000A5329" w:rsidRPr="002029AF">
        <w:t xml:space="preserve"> </w:t>
      </w:r>
      <w:r w:rsidRPr="002029AF">
        <w:t>primary,</w:t>
      </w:r>
      <w:r w:rsidR="000A5329" w:rsidRPr="002029AF">
        <w:t xml:space="preserve"> </w:t>
      </w:r>
      <w:r w:rsidRPr="002029AF">
        <w:t>secondary</w:t>
      </w:r>
      <w:r w:rsidR="000A5329" w:rsidRPr="002029AF">
        <w:t xml:space="preserve"> </w:t>
      </w:r>
      <w:r w:rsidRPr="002029AF">
        <w:t>and</w:t>
      </w:r>
      <w:r w:rsidR="000A5329" w:rsidRPr="002029AF">
        <w:t xml:space="preserve"> </w:t>
      </w:r>
      <w:r w:rsidRPr="002029AF">
        <w:t>acute</w:t>
      </w:r>
      <w:r w:rsidR="000A5329" w:rsidRPr="002029AF">
        <w:t xml:space="preserve"> </w:t>
      </w:r>
      <w:r w:rsidRPr="002029AF">
        <w:t>health</w:t>
      </w:r>
      <w:r w:rsidR="000A5329" w:rsidRPr="002029AF">
        <w:t xml:space="preserve"> </w:t>
      </w:r>
      <w:r w:rsidRPr="002029AF">
        <w:t>services</w:t>
      </w:r>
      <w:r w:rsidR="008F1B3D" w:rsidRPr="002029AF">
        <w:t>;</w:t>
      </w:r>
      <w:r w:rsidR="000A5329" w:rsidRPr="002029AF">
        <w:t xml:space="preserve"> </w:t>
      </w:r>
      <w:r w:rsidRPr="002029AF">
        <w:t>between</w:t>
      </w:r>
      <w:r w:rsidR="000A5329" w:rsidRPr="002029AF">
        <w:t xml:space="preserve"> </w:t>
      </w:r>
      <w:r w:rsidRPr="002029AF">
        <w:t>physical</w:t>
      </w:r>
      <w:r w:rsidR="000A5329" w:rsidRPr="002029AF">
        <w:t xml:space="preserve"> </w:t>
      </w:r>
      <w:r w:rsidRPr="002029AF">
        <w:t>and</w:t>
      </w:r>
      <w:r w:rsidR="000A5329" w:rsidRPr="002029AF">
        <w:t xml:space="preserve"> </w:t>
      </w:r>
      <w:r w:rsidRPr="002029AF">
        <w:t>mental</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between</w:t>
      </w:r>
      <w:r w:rsidR="000A5329" w:rsidRPr="002029AF">
        <w:t xml:space="preserve"> </w:t>
      </w:r>
      <w:r w:rsidRPr="002029AF">
        <w:t>health,</w:t>
      </w:r>
      <w:r w:rsidR="000A5329" w:rsidRPr="002029AF">
        <w:t xml:space="preserve"> </w:t>
      </w:r>
      <w:r w:rsidRPr="002029AF">
        <w:t>education</w:t>
      </w:r>
      <w:r w:rsidR="000A5329" w:rsidRPr="002029AF">
        <w:t xml:space="preserve"> </w:t>
      </w:r>
      <w:r w:rsidRPr="002029AF">
        <w:t>and</w:t>
      </w:r>
      <w:r w:rsidR="000A5329" w:rsidRPr="002029AF">
        <w:t xml:space="preserve"> </w:t>
      </w:r>
      <w:r w:rsidRPr="002029AF">
        <w:t>social</w:t>
      </w:r>
      <w:r w:rsidR="000A5329" w:rsidRPr="002029AF">
        <w:t xml:space="preserve"> </w:t>
      </w:r>
      <w:r w:rsidRPr="002029AF">
        <w:t>services</w:t>
      </w:r>
      <w:r w:rsidR="008F1B3D" w:rsidRPr="002029AF">
        <w:t>;</w:t>
      </w:r>
      <w:r w:rsidR="000A5329" w:rsidRPr="002029AF">
        <w:t xml:space="preserve"> </w:t>
      </w:r>
      <w:r w:rsidRPr="002029AF">
        <w:t>between</w:t>
      </w:r>
      <w:r w:rsidR="000A5329" w:rsidRPr="002029AF">
        <w:t xml:space="preserve"> </w:t>
      </w:r>
      <w:r w:rsidRPr="002029AF">
        <w:t>justice</w:t>
      </w:r>
      <w:r w:rsidR="000A5329" w:rsidRPr="002029AF">
        <w:t xml:space="preserve"> </w:t>
      </w:r>
      <w:r w:rsidRPr="002029AF">
        <w:t>and</w:t>
      </w:r>
      <w:r w:rsidR="000A5329" w:rsidRPr="002029AF">
        <w:t xml:space="preserve"> </w:t>
      </w:r>
      <w:r w:rsidRPr="002029AF">
        <w:t>social</w:t>
      </w:r>
      <w:r w:rsidR="000A5329" w:rsidRPr="002029AF">
        <w:t xml:space="preserve"> </w:t>
      </w:r>
      <w:r w:rsidRPr="002029AF">
        <w:t>services</w:t>
      </w:r>
      <w:r w:rsidR="008F1B3D" w:rsidRPr="002029AF">
        <w:t>;</w:t>
      </w:r>
      <w:r w:rsidR="000A5329" w:rsidRPr="002029AF">
        <w:t xml:space="preserve"> </w:t>
      </w:r>
      <w:r w:rsidRPr="002029AF">
        <w:t>between</w:t>
      </w:r>
      <w:r w:rsidR="000A5329" w:rsidRPr="002029AF">
        <w:t xml:space="preserve"> </w:t>
      </w:r>
      <w:r w:rsidRPr="002029AF">
        <w:t>paid</w:t>
      </w:r>
      <w:r w:rsidR="000A5329" w:rsidRPr="002029AF">
        <w:t xml:space="preserve"> </w:t>
      </w:r>
      <w:r w:rsidRPr="002029AF">
        <w:t>staff</w:t>
      </w:r>
      <w:r w:rsidR="000A5329" w:rsidRPr="002029AF">
        <w:t xml:space="preserve"> </w:t>
      </w:r>
      <w:r w:rsidRPr="002029AF">
        <w:t>and</w:t>
      </w:r>
      <w:r w:rsidR="000A5329" w:rsidRPr="002029AF">
        <w:t xml:space="preserve"> </w:t>
      </w:r>
      <w:r w:rsidRPr="002029AF">
        <w:t>volunteers</w:t>
      </w:r>
      <w:r w:rsidR="000A5329" w:rsidRPr="002029AF">
        <w:t xml:space="preserve"> </w:t>
      </w:r>
      <w:r w:rsidRPr="002029AF">
        <w:t>and</w:t>
      </w:r>
      <w:r w:rsidR="000A5329" w:rsidRPr="002029AF">
        <w:t xml:space="preserve"> </w:t>
      </w:r>
      <w:r w:rsidRPr="002029AF">
        <w:t>between</w:t>
      </w:r>
      <w:r w:rsidR="000A5329" w:rsidRPr="002029AF">
        <w:t xml:space="preserve"> </w:t>
      </w:r>
      <w:r w:rsidRPr="002029AF">
        <w:t>specialists</w:t>
      </w:r>
      <w:r w:rsidR="000A5329" w:rsidRPr="002029AF">
        <w:t xml:space="preserve"> </w:t>
      </w:r>
      <w:r w:rsidRPr="002029AF">
        <w:t>and</w:t>
      </w:r>
      <w:r w:rsidR="000A5329" w:rsidRPr="002029AF">
        <w:t xml:space="preserve"> </w:t>
      </w:r>
      <w:r w:rsidRPr="002029AF">
        <w:t>generalists.</w:t>
      </w:r>
    </w:p>
    <w:p w14:paraId="35646112" w14:textId="73FA1E55" w:rsidR="00770DE1" w:rsidRPr="002029AF" w:rsidRDefault="00770DE1" w:rsidP="00D271CB">
      <w:pPr>
        <w:pStyle w:val="ARbody"/>
      </w:pPr>
      <w:r w:rsidRPr="002029AF">
        <w:t>This</w:t>
      </w:r>
      <w:r w:rsidR="000A5329" w:rsidRPr="002029AF">
        <w:t xml:space="preserve"> </w:t>
      </w:r>
      <w:r w:rsidRPr="002029AF">
        <w:t>strategic</w:t>
      </w:r>
      <w:r w:rsidR="000A5329" w:rsidRPr="002029AF">
        <w:t xml:space="preserve"> </w:t>
      </w:r>
      <w:r w:rsidRPr="002029AF">
        <w:t>direction</w:t>
      </w:r>
      <w:r w:rsidR="000A5329" w:rsidRPr="002029AF">
        <w:t xml:space="preserve"> </w:t>
      </w:r>
      <w:r w:rsidRPr="002029AF">
        <w:t>also</w:t>
      </w:r>
      <w:r w:rsidR="000A5329" w:rsidRPr="002029AF">
        <w:t xml:space="preserve"> </w:t>
      </w:r>
      <w:r w:rsidRPr="002029AF">
        <w:t>focuses</w:t>
      </w:r>
      <w:r w:rsidR="000A5329" w:rsidRPr="002029AF">
        <w:t xml:space="preserve"> </w:t>
      </w:r>
      <w:r w:rsidRPr="002029AF">
        <w:t>on</w:t>
      </w:r>
      <w:r w:rsidR="000A5329" w:rsidRPr="002029AF">
        <w:t xml:space="preserve"> </w:t>
      </w:r>
      <w:r w:rsidRPr="002029AF">
        <w:t>supporting</w:t>
      </w:r>
      <w:r w:rsidR="000A5329" w:rsidRPr="002029AF">
        <w:t xml:space="preserve"> </w:t>
      </w:r>
      <w:r w:rsidRPr="002029AF">
        <w:t>universal</w:t>
      </w:r>
      <w:r w:rsidR="000A5329" w:rsidRPr="002029AF">
        <w:t xml:space="preserve"> </w:t>
      </w:r>
      <w:r w:rsidRPr="002029AF">
        <w:t>services</w:t>
      </w:r>
      <w:r w:rsidR="000A5329" w:rsidRPr="002029AF">
        <w:t xml:space="preserve"> </w:t>
      </w:r>
      <w:r w:rsidRPr="002029AF">
        <w:t>to</w:t>
      </w:r>
      <w:r w:rsidR="000A5329" w:rsidRPr="002029AF">
        <w:t xml:space="preserve"> </w:t>
      </w:r>
      <w:r w:rsidRPr="002029AF">
        <w:t>be</w:t>
      </w:r>
      <w:r w:rsidR="000A5329" w:rsidRPr="002029AF">
        <w:t xml:space="preserve"> </w:t>
      </w:r>
      <w:r w:rsidRPr="002029AF">
        <w:t>more</w:t>
      </w:r>
      <w:r w:rsidR="000A5329" w:rsidRPr="002029AF">
        <w:t xml:space="preserve"> </w:t>
      </w:r>
      <w:r w:rsidRPr="002029AF">
        <w:t>confident</w:t>
      </w:r>
      <w:r w:rsidR="000A5329" w:rsidRPr="002029AF">
        <w:t xml:space="preserve"> </w:t>
      </w:r>
      <w:r w:rsidRPr="002029AF">
        <w:t>in</w:t>
      </w:r>
      <w:r w:rsidR="000A5329" w:rsidRPr="002029AF">
        <w:t xml:space="preserve"> </w:t>
      </w:r>
      <w:r w:rsidRPr="002029AF">
        <w:t>identifying</w:t>
      </w:r>
      <w:r w:rsidR="000A5329" w:rsidRPr="002029AF">
        <w:t xml:space="preserve"> </w:t>
      </w:r>
      <w:r w:rsidRPr="002029AF">
        <w:t>and</w:t>
      </w:r>
      <w:r w:rsidR="000A5329" w:rsidRPr="002029AF">
        <w:t xml:space="preserve"> </w:t>
      </w:r>
      <w:r w:rsidRPr="002029AF">
        <w:t>responding</w:t>
      </w:r>
      <w:r w:rsidR="000A5329" w:rsidRPr="002029AF">
        <w:t xml:space="preserve"> </w:t>
      </w:r>
      <w:r w:rsidRPr="002029AF">
        <w:t>to</w:t>
      </w:r>
      <w:r w:rsidR="000A5329" w:rsidRPr="002029AF">
        <w:t xml:space="preserve"> </w:t>
      </w:r>
      <w:r w:rsidRPr="002029AF">
        <w:t>risk</w:t>
      </w:r>
      <w:r w:rsidR="000A5329" w:rsidRPr="002029AF">
        <w:t xml:space="preserve"> </w:t>
      </w:r>
      <w:r w:rsidRPr="002029AF">
        <w:t>and</w:t>
      </w:r>
      <w:r w:rsidR="000A5329" w:rsidRPr="002029AF">
        <w:t xml:space="preserve"> </w:t>
      </w:r>
      <w:r w:rsidRPr="002029AF">
        <w:t>vulnerability</w:t>
      </w:r>
      <w:r w:rsidR="000A5329" w:rsidRPr="002029AF">
        <w:t xml:space="preserve"> </w:t>
      </w:r>
      <w:r w:rsidRPr="002029AF">
        <w:t>and</w:t>
      </w:r>
      <w:r w:rsidR="000A5329" w:rsidRPr="002029AF">
        <w:t xml:space="preserve"> </w:t>
      </w:r>
      <w:r w:rsidRPr="002029AF">
        <w:t>to</w:t>
      </w:r>
      <w:r w:rsidR="000A5329" w:rsidRPr="002029AF">
        <w:t xml:space="preserve"> </w:t>
      </w:r>
      <w:r w:rsidRPr="002029AF">
        <w:t>promote</w:t>
      </w:r>
      <w:r w:rsidR="000A5329" w:rsidRPr="002029AF">
        <w:t xml:space="preserve"> </w:t>
      </w:r>
      <w:r w:rsidRPr="002029AF">
        <w:t>safe,</w:t>
      </w:r>
      <w:r w:rsidR="000A5329" w:rsidRPr="002029AF">
        <w:t xml:space="preserve"> </w:t>
      </w:r>
      <w:r w:rsidRPr="002029AF">
        <w:t>self-determining</w:t>
      </w:r>
      <w:r w:rsidR="000A5329" w:rsidRPr="002029AF">
        <w:t xml:space="preserve"> </w:t>
      </w:r>
      <w:r w:rsidRPr="002029AF">
        <w:t>and</w:t>
      </w:r>
      <w:r w:rsidR="000A5329" w:rsidRPr="002029AF">
        <w:t xml:space="preserve"> </w:t>
      </w:r>
      <w:r w:rsidRPr="002029AF">
        <w:t>healthy</w:t>
      </w:r>
      <w:r w:rsidR="000A5329" w:rsidRPr="002029AF">
        <w:t xml:space="preserve"> </w:t>
      </w:r>
      <w:r w:rsidRPr="002029AF">
        <w:t>environments</w:t>
      </w:r>
      <w:r w:rsidR="000A5329" w:rsidRPr="002029AF">
        <w:t xml:space="preserve"> </w:t>
      </w:r>
      <w:r w:rsidRPr="002029AF">
        <w:t>and</w:t>
      </w:r>
      <w:r w:rsidR="000A5329" w:rsidRPr="002029AF">
        <w:t xml:space="preserve"> </w:t>
      </w:r>
      <w:r w:rsidRPr="002029AF">
        <w:t>behaviours</w:t>
      </w:r>
      <w:r w:rsidR="000A5329" w:rsidRPr="002029AF">
        <w:t xml:space="preserve"> </w:t>
      </w:r>
      <w:r w:rsidRPr="002029AF">
        <w:t>at</w:t>
      </w:r>
      <w:r w:rsidR="000A5329" w:rsidRPr="002029AF">
        <w:t xml:space="preserve"> </w:t>
      </w:r>
      <w:r w:rsidRPr="002029AF">
        <w:t>a</w:t>
      </w:r>
      <w:r w:rsidR="000A5329" w:rsidRPr="002029AF">
        <w:t xml:space="preserve"> </w:t>
      </w:r>
      <w:r w:rsidRPr="002029AF">
        <w:t>population</w:t>
      </w:r>
      <w:r w:rsidR="000A5329" w:rsidRPr="002029AF">
        <w:t xml:space="preserve"> </w:t>
      </w:r>
      <w:r w:rsidRPr="002029AF">
        <w:t>level.</w:t>
      </w:r>
    </w:p>
    <w:p w14:paraId="22D8914B" w14:textId="44B45F00" w:rsidR="000A5329" w:rsidRPr="002029AF" w:rsidRDefault="00770DE1" w:rsidP="00D271CB">
      <w:pPr>
        <w:pStyle w:val="ARbody"/>
      </w:pPr>
      <w:r w:rsidRPr="002029AF">
        <w:t>This</w:t>
      </w:r>
      <w:r w:rsidR="000A5329" w:rsidRPr="002029AF">
        <w:t xml:space="preserve"> </w:t>
      </w:r>
      <w:r w:rsidRPr="002029AF">
        <w:t>year,</w:t>
      </w:r>
      <w:r w:rsidR="000A5329" w:rsidRPr="002029AF">
        <w:t xml:space="preserve"> </w:t>
      </w:r>
      <w:r w:rsidRPr="002029AF">
        <w:t>this</w:t>
      </w:r>
      <w:r w:rsidR="000A5329" w:rsidRPr="002029AF">
        <w:t xml:space="preserve"> </w:t>
      </w:r>
      <w:r w:rsidRPr="002029AF">
        <w:t>strategic</w:t>
      </w:r>
      <w:r w:rsidR="000A5329" w:rsidRPr="002029AF">
        <w:t xml:space="preserve"> </w:t>
      </w:r>
      <w:r w:rsidRPr="002029AF">
        <w:t>direction</w:t>
      </w:r>
      <w:r w:rsidR="000A5329" w:rsidRPr="002029AF">
        <w:t xml:space="preserve"> </w:t>
      </w:r>
      <w:r w:rsidRPr="002029AF">
        <w:t>also</w:t>
      </w:r>
      <w:r w:rsidR="000A5329" w:rsidRPr="002029AF">
        <w:t xml:space="preserve"> </w:t>
      </w:r>
      <w:r w:rsidRPr="002029AF">
        <w:t>encompasses</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comprehensive</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response,</w:t>
      </w:r>
      <w:r w:rsidR="000A5329" w:rsidRPr="002029AF">
        <w:t xml:space="preserve"> </w:t>
      </w:r>
      <w:r w:rsidRPr="002029AF">
        <w:t>which</w:t>
      </w:r>
      <w:r w:rsidR="000A5329" w:rsidRPr="002029AF">
        <w:t xml:space="preserve"> </w:t>
      </w:r>
      <w:r w:rsidRPr="002029AF">
        <w:t>involved</w:t>
      </w:r>
      <w:r w:rsidR="000A5329" w:rsidRPr="002029AF">
        <w:t xml:space="preserve"> </w:t>
      </w:r>
      <w:r w:rsidR="00936BAB" w:rsidRPr="002029AF">
        <w:t>rapidly</w:t>
      </w:r>
      <w:r w:rsidR="000A5329" w:rsidRPr="002029AF">
        <w:t xml:space="preserve"> </w:t>
      </w:r>
      <w:r w:rsidR="00936BAB" w:rsidRPr="002029AF">
        <w:t>and</w:t>
      </w:r>
      <w:r w:rsidR="000A5329" w:rsidRPr="002029AF">
        <w:t xml:space="preserve"> </w:t>
      </w:r>
      <w:r w:rsidR="00936BAB" w:rsidRPr="002029AF">
        <w:t>decis</w:t>
      </w:r>
      <w:r w:rsidR="006F76E0" w:rsidRPr="002029AF">
        <w:t>ively</w:t>
      </w:r>
      <w:r w:rsidR="000A5329" w:rsidRPr="002029AF">
        <w:t xml:space="preserve"> </w:t>
      </w:r>
      <w:r w:rsidRPr="002029AF">
        <w:t>implementing</w:t>
      </w:r>
      <w:r w:rsidR="000A5329" w:rsidRPr="002029AF">
        <w:t xml:space="preserve"> </w:t>
      </w:r>
      <w:r w:rsidRPr="002029AF">
        <w:t>initiatives</w:t>
      </w:r>
      <w:r w:rsidR="000A5329" w:rsidRPr="002029AF">
        <w:t xml:space="preserve"> </w:t>
      </w:r>
      <w:r w:rsidRPr="002029AF">
        <w:t>aimed</w:t>
      </w:r>
      <w:r w:rsidR="000A5329" w:rsidRPr="002029AF">
        <w:t xml:space="preserve"> </w:t>
      </w:r>
      <w:r w:rsidRPr="002029AF">
        <w:t>at</w:t>
      </w:r>
      <w:r w:rsidR="000A5329" w:rsidRPr="002029AF">
        <w:t xml:space="preserve"> </w:t>
      </w:r>
      <w:r w:rsidRPr="002029AF">
        <w:t>intervening</w:t>
      </w:r>
      <w:r w:rsidR="000A5329" w:rsidRPr="002029AF">
        <w:t xml:space="preserve"> </w:t>
      </w:r>
      <w:r w:rsidRPr="002029AF">
        <w:t>earlier</w:t>
      </w:r>
      <w:r w:rsidR="000A5329" w:rsidRPr="002029AF">
        <w:t xml:space="preserve"> </w:t>
      </w:r>
      <w:r w:rsidRPr="002029AF">
        <w:t>and</w:t>
      </w:r>
      <w:r w:rsidR="000A5329" w:rsidRPr="002029AF">
        <w:t xml:space="preserve"> </w:t>
      </w:r>
      <w:r w:rsidRPr="002029AF">
        <w:t>preventing</w:t>
      </w:r>
      <w:r w:rsidR="000A5329" w:rsidRPr="002029AF">
        <w:t xml:space="preserve"> </w:t>
      </w:r>
      <w:r w:rsidRPr="002029AF">
        <w:t>the</w:t>
      </w:r>
      <w:r w:rsidR="000A5329" w:rsidRPr="002029AF">
        <w:t xml:space="preserve"> </w:t>
      </w:r>
      <w:r w:rsidRPr="002029AF">
        <w:t>incidence,</w:t>
      </w:r>
      <w:r w:rsidR="000A5329" w:rsidRPr="002029AF">
        <w:t xml:space="preserve"> </w:t>
      </w:r>
      <w:r w:rsidRPr="002029AF">
        <w:t>spread</w:t>
      </w:r>
      <w:r w:rsidR="000A5329" w:rsidRPr="002029AF">
        <w:t xml:space="preserve"> </w:t>
      </w:r>
      <w:r w:rsidRPr="002029AF">
        <w:t>and</w:t>
      </w:r>
      <w:r w:rsidR="000A5329" w:rsidRPr="002029AF">
        <w:t xml:space="preserve"> </w:t>
      </w:r>
      <w:r w:rsidRPr="002029AF">
        <w:t>severity</w:t>
      </w:r>
      <w:r w:rsidR="000A5329" w:rsidRPr="002029AF">
        <w:t xml:space="preserve"> </w:t>
      </w:r>
      <w:r w:rsidRPr="002029AF">
        <w:t>of</w:t>
      </w:r>
      <w:r w:rsidR="000A5329" w:rsidRPr="002029AF">
        <w:t xml:space="preserve"> </w:t>
      </w:r>
      <w:r w:rsidRPr="002029AF">
        <w:t>the</w:t>
      </w:r>
      <w:r w:rsidR="000A5329" w:rsidRPr="002029AF">
        <w:t xml:space="preserve"> </w:t>
      </w:r>
      <w:r w:rsidRPr="002029AF">
        <w:t>disease.</w:t>
      </w:r>
    </w:p>
    <w:p w14:paraId="2460E6A3" w14:textId="1A009BBB" w:rsidR="00770DE1" w:rsidRPr="002029AF" w:rsidRDefault="00770DE1" w:rsidP="00D271CB">
      <w:pPr>
        <w:pStyle w:val="ARbody"/>
      </w:pPr>
      <w:r w:rsidRPr="002029AF">
        <w:t>Some</w:t>
      </w:r>
      <w:r w:rsidR="000A5329" w:rsidRPr="002029AF">
        <w:t xml:space="preserve"> </w:t>
      </w:r>
      <w:r w:rsidRPr="002029AF">
        <w:t>examples</w:t>
      </w:r>
      <w:r w:rsidR="000A5329" w:rsidRPr="002029AF">
        <w:t xml:space="preserve"> </w:t>
      </w:r>
      <w:r w:rsidRPr="002029AF">
        <w:t>are</w:t>
      </w:r>
      <w:r w:rsidR="000A5329" w:rsidRPr="002029AF">
        <w:t xml:space="preserve"> </w:t>
      </w:r>
      <w:r w:rsidRPr="002029AF">
        <w:t>detailed</w:t>
      </w:r>
      <w:r w:rsidR="000A5329" w:rsidRPr="002029AF">
        <w:t xml:space="preserve"> </w:t>
      </w:r>
      <w:r w:rsidRPr="002029AF">
        <w:t>below:</w:t>
      </w:r>
    </w:p>
    <w:p w14:paraId="347CC4B8" w14:textId="1BE985A5" w:rsidR="00770DE1" w:rsidRPr="002029AF" w:rsidRDefault="00770DE1" w:rsidP="001E768A">
      <w:pPr>
        <w:pStyle w:val="ARbullet1"/>
      </w:pP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led</w:t>
      </w:r>
      <w:r w:rsidR="000A5329" w:rsidRPr="002029AF">
        <w:t xml:space="preserve"> </w:t>
      </w:r>
      <w:r w:rsidRPr="002029AF">
        <w:t>the</w:t>
      </w:r>
      <w:r w:rsidR="000A5329" w:rsidRPr="002029AF">
        <w:t xml:space="preserve"> </w:t>
      </w:r>
      <w:r w:rsidRPr="002029AF">
        <w:t>Victorian</w:t>
      </w:r>
      <w:r w:rsidR="000A5329" w:rsidRPr="002029AF">
        <w:t xml:space="preserve"> </w:t>
      </w:r>
      <w:r w:rsidRPr="002029AF">
        <w:t>Government’s</w:t>
      </w:r>
      <w:r w:rsidR="000A5329" w:rsidRPr="002029AF">
        <w:t xml:space="preserve"> </w:t>
      </w:r>
      <w:r w:rsidRPr="002029AF">
        <w:t>response</w:t>
      </w:r>
      <w:r w:rsidR="000A5329" w:rsidRPr="002029AF">
        <w:t xml:space="preserve"> </w:t>
      </w:r>
      <w:r w:rsidRPr="002029AF">
        <w:t>to</w:t>
      </w:r>
      <w:r w:rsidR="000A5329" w:rsidRPr="002029AF">
        <w:t xml:space="preserve"> </w:t>
      </w:r>
      <w:r w:rsidRPr="002029AF">
        <w:t>the</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pandemic,</w:t>
      </w:r>
      <w:r w:rsidR="000A5329" w:rsidRPr="002029AF">
        <w:t xml:space="preserve"> </w:t>
      </w:r>
      <w:r w:rsidRPr="002029AF">
        <w:t>including</w:t>
      </w:r>
      <w:r w:rsidR="000A5329" w:rsidRPr="002029AF">
        <w:t xml:space="preserve"> </w:t>
      </w:r>
      <w:r w:rsidR="00A72359" w:rsidRPr="002029AF">
        <w:t>by</w:t>
      </w:r>
      <w:r w:rsidRPr="002029AF">
        <w:t>:</w:t>
      </w:r>
    </w:p>
    <w:p w14:paraId="3193A7F4" w14:textId="69299062" w:rsidR="00770DE1" w:rsidRPr="002029AF" w:rsidRDefault="00770DE1" w:rsidP="001E768A">
      <w:pPr>
        <w:pStyle w:val="ARbullet2"/>
      </w:pPr>
      <w:r w:rsidRPr="002029AF">
        <w:t>managing</w:t>
      </w:r>
      <w:r w:rsidR="000A5329" w:rsidRPr="002029AF">
        <w:t xml:space="preserve"> </w:t>
      </w:r>
      <w:r w:rsidRPr="002029AF">
        <w:t>the</w:t>
      </w:r>
      <w:r w:rsidR="000A5329" w:rsidRPr="002029AF">
        <w:t xml:space="preserve"> </w:t>
      </w:r>
      <w:r w:rsidRPr="002029AF">
        <w:t>rollout</w:t>
      </w:r>
      <w:r w:rsidR="000A5329" w:rsidRPr="002029AF">
        <w:t xml:space="preserve"> </w:t>
      </w:r>
      <w:r w:rsidRPr="002029AF">
        <w:t>of</w:t>
      </w:r>
      <w:r w:rsidR="000A5329" w:rsidRPr="002029AF">
        <w:t xml:space="preserve"> </w:t>
      </w:r>
      <w:r w:rsidRPr="002029AF">
        <w:t>public</w:t>
      </w:r>
      <w:r w:rsidR="000A5329" w:rsidRPr="002029AF">
        <w:t xml:space="preserve"> </w:t>
      </w:r>
      <w:r w:rsidRPr="002029AF">
        <w:t>health</w:t>
      </w:r>
      <w:r w:rsidR="000A5329" w:rsidRPr="002029AF">
        <w:t xml:space="preserve"> </w:t>
      </w:r>
      <w:r w:rsidRPr="002029AF">
        <w:t>directives</w:t>
      </w:r>
      <w:r w:rsidR="000A5329" w:rsidRPr="002029AF">
        <w:t xml:space="preserve"> </w:t>
      </w:r>
      <w:r w:rsidRPr="002029AF">
        <w:t>and</w:t>
      </w:r>
      <w:r w:rsidR="000A5329" w:rsidRPr="002029AF">
        <w:t xml:space="preserve"> </w:t>
      </w:r>
      <w:r w:rsidRPr="002029AF">
        <w:t>restrictions</w:t>
      </w:r>
      <w:r w:rsidR="000A5329" w:rsidRPr="002029AF">
        <w:t xml:space="preserve"> </w:t>
      </w:r>
      <w:r w:rsidRPr="002029AF">
        <w:t>─</w:t>
      </w:r>
      <w:r w:rsidR="000A5329" w:rsidRPr="002029AF">
        <w:t xml:space="preserve"> </w:t>
      </w:r>
      <w:r w:rsidR="004252C6" w:rsidRPr="002029AF">
        <w:t>necessary</w:t>
      </w:r>
      <w:r w:rsidR="000A5329" w:rsidRPr="002029AF">
        <w:t xml:space="preserve"> </w:t>
      </w:r>
      <w:r w:rsidR="00F25BFE" w:rsidRPr="002029AF">
        <w:t>because</w:t>
      </w:r>
      <w:r w:rsidR="000A5329" w:rsidRPr="002029AF">
        <w:t xml:space="preserve"> </w:t>
      </w:r>
      <w:r w:rsidR="004252C6" w:rsidRPr="002029AF">
        <w:t>they</w:t>
      </w:r>
      <w:r w:rsidR="000A5329" w:rsidRPr="002029AF">
        <w:t xml:space="preserve"> </w:t>
      </w:r>
      <w:r w:rsidR="004252C6" w:rsidRPr="002029AF">
        <w:t>are</w:t>
      </w:r>
      <w:r w:rsidR="000A5329" w:rsidRPr="002029AF">
        <w:t xml:space="preserve"> </w:t>
      </w:r>
      <w:r w:rsidRPr="002029AF">
        <w:t>the</w:t>
      </w:r>
      <w:r w:rsidR="000A5329" w:rsidRPr="002029AF">
        <w:t xml:space="preserve"> </w:t>
      </w:r>
      <w:r w:rsidRPr="002029AF">
        <w:t>only</w:t>
      </w:r>
      <w:r w:rsidR="000A5329" w:rsidRPr="002029AF">
        <w:t xml:space="preserve"> </w:t>
      </w:r>
      <w:r w:rsidRPr="002029AF">
        <w:t>evidence-based</w:t>
      </w:r>
      <w:r w:rsidR="000A5329" w:rsidRPr="002029AF">
        <w:t xml:space="preserve"> </w:t>
      </w:r>
      <w:r w:rsidRPr="002029AF">
        <w:t>public</w:t>
      </w:r>
      <w:r w:rsidR="000A5329" w:rsidRPr="002029AF">
        <w:t xml:space="preserve"> </w:t>
      </w:r>
      <w:r w:rsidRPr="002029AF">
        <w:t>health</w:t>
      </w:r>
      <w:r w:rsidR="000A5329" w:rsidRPr="002029AF">
        <w:t xml:space="preserve"> </w:t>
      </w:r>
      <w:r w:rsidRPr="002029AF">
        <w:t>response</w:t>
      </w:r>
      <w:r w:rsidR="007077F6" w:rsidRPr="002029AF">
        <w:t>s</w:t>
      </w:r>
      <w:r w:rsidR="000A5329" w:rsidRPr="002029AF">
        <w:t xml:space="preserve"> </w:t>
      </w:r>
      <w:r w:rsidR="007077F6" w:rsidRPr="002029AF">
        <w:t>possible</w:t>
      </w:r>
      <w:r w:rsidR="000A5329" w:rsidRPr="002029AF">
        <w:t xml:space="preserve"> </w:t>
      </w:r>
      <w:r w:rsidR="007077F6" w:rsidRPr="002029AF">
        <w:t>when</w:t>
      </w:r>
      <w:r w:rsidR="000A5329" w:rsidRPr="002029AF">
        <w:t xml:space="preserve"> </w:t>
      </w:r>
      <w:r w:rsidR="007077F6" w:rsidRPr="002029AF">
        <w:t>there</w:t>
      </w:r>
      <w:r w:rsidR="000A5329" w:rsidRPr="002029AF">
        <w:t xml:space="preserve"> </w:t>
      </w:r>
      <w:r w:rsidR="00BC5B5B" w:rsidRPr="002029AF">
        <w:t>is</w:t>
      </w:r>
      <w:r w:rsidR="000A5329" w:rsidRPr="002029AF">
        <w:t xml:space="preserve"> </w:t>
      </w:r>
      <w:r w:rsidR="00BC5B5B" w:rsidRPr="002029AF">
        <w:t>no</w:t>
      </w:r>
      <w:r w:rsidR="000A5329" w:rsidRPr="002029AF">
        <w:t xml:space="preserve"> </w:t>
      </w:r>
      <w:r w:rsidRPr="002029AF">
        <w:t>vaccine</w:t>
      </w:r>
      <w:r w:rsidR="000A5329" w:rsidRPr="002029AF">
        <w:t xml:space="preserve"> </w:t>
      </w:r>
      <w:r w:rsidRPr="002029AF">
        <w:t>or</w:t>
      </w:r>
      <w:r w:rsidR="000A5329" w:rsidRPr="002029AF">
        <w:t xml:space="preserve"> </w:t>
      </w:r>
      <w:r w:rsidRPr="002029AF">
        <w:t>other</w:t>
      </w:r>
      <w:r w:rsidR="000A5329" w:rsidRPr="002029AF">
        <w:t xml:space="preserve"> </w:t>
      </w:r>
      <w:r w:rsidRPr="002029AF">
        <w:t>effective</w:t>
      </w:r>
      <w:r w:rsidR="000A5329" w:rsidRPr="002029AF">
        <w:t xml:space="preserve"> </w:t>
      </w:r>
      <w:r w:rsidRPr="002029AF">
        <w:t>pharmaceutical</w:t>
      </w:r>
      <w:r w:rsidR="000A5329" w:rsidRPr="002029AF">
        <w:t xml:space="preserve"> </w:t>
      </w:r>
      <w:r w:rsidRPr="002029AF">
        <w:t>treatment</w:t>
      </w:r>
    </w:p>
    <w:p w14:paraId="089EFEB5" w14:textId="518255D7" w:rsidR="00770DE1" w:rsidRPr="002029AF" w:rsidRDefault="00770DE1" w:rsidP="001E768A">
      <w:pPr>
        <w:pStyle w:val="ARbullet2"/>
      </w:pPr>
      <w:r w:rsidRPr="002029AF">
        <w:t>stockpiling</w:t>
      </w:r>
      <w:r w:rsidR="000A5329" w:rsidRPr="002029AF">
        <w:t xml:space="preserve"> </w:t>
      </w:r>
      <w:r w:rsidR="00C71415" w:rsidRPr="002029AF">
        <w:t>personal,</w:t>
      </w:r>
      <w:r w:rsidR="000A5329" w:rsidRPr="002029AF">
        <w:t xml:space="preserve"> </w:t>
      </w:r>
      <w:r w:rsidR="00C71415" w:rsidRPr="002029AF">
        <w:t>protective</w:t>
      </w:r>
      <w:r w:rsidR="000A5329" w:rsidRPr="002029AF">
        <w:t xml:space="preserve"> </w:t>
      </w:r>
      <w:r w:rsidR="00C71415" w:rsidRPr="002029AF">
        <w:t>equipment</w:t>
      </w:r>
      <w:r w:rsidRPr="002029AF">
        <w:t>,</w:t>
      </w:r>
      <w:r w:rsidR="000A5329" w:rsidRPr="002029AF">
        <w:t xml:space="preserve"> </w:t>
      </w:r>
      <w:r w:rsidRPr="002029AF">
        <w:t>ventilators</w:t>
      </w:r>
      <w:r w:rsidR="000A5329" w:rsidRPr="002029AF">
        <w:t xml:space="preserve"> </w:t>
      </w:r>
      <w:r w:rsidRPr="002029AF">
        <w:t>and</w:t>
      </w:r>
      <w:r w:rsidR="000A5329" w:rsidRPr="002029AF">
        <w:t xml:space="preserve"> </w:t>
      </w:r>
      <w:r w:rsidRPr="002029AF">
        <w:t>other</w:t>
      </w:r>
      <w:r w:rsidR="000A5329" w:rsidRPr="002029AF">
        <w:t xml:space="preserve"> </w:t>
      </w:r>
      <w:r w:rsidRPr="002029AF">
        <w:t>essential</w:t>
      </w:r>
      <w:r w:rsidR="000A5329" w:rsidRPr="002029AF">
        <w:t xml:space="preserve"> </w:t>
      </w:r>
      <w:r w:rsidRPr="002029AF">
        <w:t>medical</w:t>
      </w:r>
      <w:r w:rsidR="000A5329" w:rsidRPr="002029AF">
        <w:t xml:space="preserve"> </w:t>
      </w:r>
      <w:r w:rsidRPr="002029AF">
        <w:t>supplies</w:t>
      </w:r>
      <w:r w:rsidR="000A5329" w:rsidRPr="002029AF">
        <w:t xml:space="preserve"> </w:t>
      </w:r>
      <w:r w:rsidRPr="002029AF">
        <w:t>so</w:t>
      </w:r>
      <w:r w:rsidR="000A5329" w:rsidRPr="002029AF">
        <w:t xml:space="preserve"> </w:t>
      </w:r>
      <w:r w:rsidRPr="002029AF">
        <w:t>Victorian</w:t>
      </w:r>
      <w:r w:rsidR="000A5329" w:rsidRPr="002029AF">
        <w:t xml:space="preserve"> </w:t>
      </w:r>
      <w:r w:rsidRPr="002029AF">
        <w:t>health</w:t>
      </w:r>
      <w:r w:rsidR="000A5329" w:rsidRPr="002029AF">
        <w:t xml:space="preserve"> </w:t>
      </w:r>
      <w:r w:rsidRPr="002029AF">
        <w:t>care</w:t>
      </w:r>
      <w:r w:rsidR="000A5329" w:rsidRPr="002029AF">
        <w:t xml:space="preserve"> </w:t>
      </w:r>
      <w:r w:rsidRPr="002029AF">
        <w:t>workers</w:t>
      </w:r>
      <w:r w:rsidR="000A5329" w:rsidRPr="002029AF">
        <w:t xml:space="preserve"> </w:t>
      </w:r>
      <w:r w:rsidRPr="002029AF">
        <w:t>protected</w:t>
      </w:r>
      <w:r w:rsidR="000A5329" w:rsidRPr="002029AF">
        <w:t xml:space="preserve"> </w:t>
      </w:r>
      <w:r w:rsidRPr="002029AF">
        <w:t>and</w:t>
      </w:r>
      <w:r w:rsidR="000A5329" w:rsidRPr="002029AF">
        <w:t xml:space="preserve"> </w:t>
      </w:r>
      <w:r w:rsidRPr="002029AF">
        <w:t>well</w:t>
      </w:r>
      <w:r w:rsidR="000A5329" w:rsidRPr="002029AF">
        <w:t xml:space="preserve"> </w:t>
      </w:r>
      <w:r w:rsidRPr="002029AF">
        <w:t>supplied</w:t>
      </w:r>
      <w:r w:rsidR="000A5329" w:rsidRPr="002029AF">
        <w:t xml:space="preserve"> </w:t>
      </w:r>
      <w:r w:rsidRPr="002029AF">
        <w:t>during</w:t>
      </w:r>
      <w:r w:rsidR="000A5329" w:rsidRPr="002029AF">
        <w:t xml:space="preserve"> </w:t>
      </w:r>
      <w:r w:rsidRPr="002029AF">
        <w:t>the</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pandemic</w:t>
      </w:r>
    </w:p>
    <w:p w14:paraId="569E08AB" w14:textId="6499F382" w:rsidR="00770DE1" w:rsidRPr="002029AF" w:rsidRDefault="00770DE1" w:rsidP="001E768A">
      <w:pPr>
        <w:pStyle w:val="ARbullet2"/>
      </w:pPr>
      <w:r w:rsidRPr="002029AF">
        <w:t>expanding</w:t>
      </w:r>
      <w:r w:rsidR="000A5329" w:rsidRPr="002029AF">
        <w:t xml:space="preserve"> </w:t>
      </w:r>
      <w:r w:rsidRPr="002029AF">
        <w:t>intensive</w:t>
      </w:r>
      <w:r w:rsidR="000A5329" w:rsidRPr="002029AF">
        <w:t xml:space="preserve"> </w:t>
      </w:r>
      <w:r w:rsidRPr="002029AF">
        <w:t>care</w:t>
      </w:r>
      <w:r w:rsidR="000A5329" w:rsidRPr="002029AF">
        <w:t xml:space="preserve"> </w:t>
      </w:r>
      <w:r w:rsidRPr="002029AF">
        <w:t>units</w:t>
      </w:r>
      <w:r w:rsidR="000A5329" w:rsidRPr="002029AF">
        <w:t xml:space="preserve"> </w:t>
      </w:r>
      <w:r w:rsidRPr="002029AF">
        <w:t>(ICU),</w:t>
      </w:r>
      <w:r w:rsidR="000A5329" w:rsidRPr="002029AF">
        <w:t xml:space="preserve"> </w:t>
      </w:r>
      <w:r w:rsidRPr="002029AF">
        <w:t>(including</w:t>
      </w:r>
      <w:r w:rsidR="000A5329" w:rsidRPr="002029AF">
        <w:t xml:space="preserve"> </w:t>
      </w:r>
      <w:r w:rsidRPr="002029AF">
        <w:t>bed</w:t>
      </w:r>
      <w:r w:rsidR="000A5329" w:rsidRPr="002029AF">
        <w:t xml:space="preserve"> </w:t>
      </w:r>
      <w:r w:rsidRPr="002029AF">
        <w:t>capacity,</w:t>
      </w:r>
      <w:r w:rsidR="000A5329" w:rsidRPr="002029AF">
        <w:t xml:space="preserve"> </w:t>
      </w:r>
      <w:r w:rsidRPr="002029AF">
        <w:t>equipment,</w:t>
      </w:r>
      <w:r w:rsidR="000A5329" w:rsidRPr="002029AF">
        <w:t xml:space="preserve"> </w:t>
      </w:r>
      <w:r w:rsidRPr="002029AF">
        <w:t>staff</w:t>
      </w:r>
      <w:r w:rsidR="000A5329" w:rsidRPr="002029AF">
        <w:t xml:space="preserve"> </w:t>
      </w:r>
      <w:r w:rsidRPr="002029AF">
        <w:t>and</w:t>
      </w:r>
      <w:r w:rsidR="00020FE5">
        <w:t> </w:t>
      </w:r>
      <w:r w:rsidRPr="002029AF">
        <w:t>physical</w:t>
      </w:r>
      <w:r w:rsidR="000A5329" w:rsidRPr="002029AF">
        <w:t xml:space="preserve"> </w:t>
      </w:r>
      <w:r w:rsidRPr="002029AF">
        <w:t>space)</w:t>
      </w:r>
      <w:r w:rsidR="000A5329" w:rsidRPr="002029AF">
        <w:t xml:space="preserve"> </w:t>
      </w:r>
      <w:r w:rsidRPr="002029AF">
        <w:t>to</w:t>
      </w:r>
      <w:r w:rsidR="000A5329" w:rsidRPr="002029AF">
        <w:t xml:space="preserve"> </w:t>
      </w:r>
      <w:r w:rsidRPr="002029AF">
        <w:t>meet</w:t>
      </w:r>
      <w:r w:rsidR="000A5329" w:rsidRPr="002029AF">
        <w:t xml:space="preserve"> </w:t>
      </w:r>
      <w:r w:rsidR="00FA7311" w:rsidRPr="002029AF">
        <w:t>the</w:t>
      </w:r>
      <w:r w:rsidR="000A5329" w:rsidRPr="002029AF">
        <w:t xml:space="preserve"> </w:t>
      </w:r>
      <w:r w:rsidRPr="002029AF">
        <w:t>expected</w:t>
      </w:r>
      <w:r w:rsidR="000A5329" w:rsidRPr="002029AF">
        <w:t xml:space="preserve"> </w:t>
      </w:r>
      <w:r w:rsidRPr="002029AF">
        <w:t>surge</w:t>
      </w:r>
      <w:r w:rsidR="000A5329" w:rsidRPr="002029AF">
        <w:t xml:space="preserve"> </w:t>
      </w:r>
      <w:r w:rsidRPr="002029AF">
        <w:t>in</w:t>
      </w:r>
      <w:r w:rsidR="000A5329" w:rsidRPr="002029AF">
        <w:t xml:space="preserve"> </w:t>
      </w:r>
      <w:r w:rsidRPr="002029AF">
        <w:t>demand</w:t>
      </w:r>
    </w:p>
    <w:p w14:paraId="07BF7AB1" w14:textId="6BBB8C56" w:rsidR="00770DE1" w:rsidRPr="002029AF" w:rsidRDefault="00770DE1" w:rsidP="001E768A">
      <w:pPr>
        <w:pStyle w:val="ARbullet2"/>
      </w:pPr>
      <w:r w:rsidRPr="002029AF">
        <w:t>rapidly</w:t>
      </w:r>
      <w:r w:rsidR="000A5329" w:rsidRPr="002029AF">
        <w:t xml:space="preserve"> </w:t>
      </w:r>
      <w:r w:rsidRPr="002029AF">
        <w:t>growing</w:t>
      </w:r>
      <w:r w:rsidR="000A5329" w:rsidRPr="002029AF">
        <w:t xml:space="preserve"> </w:t>
      </w:r>
      <w:r w:rsidRPr="002029AF">
        <w:t>the</w:t>
      </w:r>
      <w:r w:rsidR="000A5329" w:rsidRPr="002029AF">
        <w:t xml:space="preserve"> </w:t>
      </w:r>
      <w:r w:rsidRPr="002029AF">
        <w:t>public</w:t>
      </w:r>
      <w:r w:rsidR="000A5329" w:rsidRPr="002029AF">
        <w:t xml:space="preserve"> </w:t>
      </w:r>
      <w:r w:rsidRPr="002029AF">
        <w:t>health</w:t>
      </w:r>
      <w:r w:rsidR="000A5329" w:rsidRPr="002029AF">
        <w:t xml:space="preserve"> </w:t>
      </w:r>
      <w:r w:rsidRPr="002029AF">
        <w:t>contact</w:t>
      </w:r>
      <w:r w:rsidR="000A5329" w:rsidRPr="002029AF">
        <w:t xml:space="preserve"> </w:t>
      </w:r>
      <w:r w:rsidRPr="002029AF">
        <w:t>tracing</w:t>
      </w:r>
      <w:r w:rsidR="000A5329" w:rsidRPr="002029AF">
        <w:t xml:space="preserve"> </w:t>
      </w:r>
      <w:r w:rsidRPr="002029AF">
        <w:t>tea</w:t>
      </w:r>
      <w:r w:rsidR="009E4459">
        <w:t>m</w:t>
      </w:r>
      <w:r w:rsidRPr="002029AF">
        <w:t>,</w:t>
      </w:r>
      <w:r w:rsidR="000A5329" w:rsidRPr="002029AF">
        <w:t xml:space="preserve"> </w:t>
      </w:r>
      <w:r w:rsidRPr="002029AF">
        <w:t>to</w:t>
      </w:r>
      <w:r w:rsidR="000A5329" w:rsidRPr="002029AF">
        <w:t xml:space="preserve"> </w:t>
      </w:r>
      <w:r w:rsidRPr="002029AF">
        <w:t>ensure</w:t>
      </w:r>
      <w:r w:rsidR="000A5329" w:rsidRPr="002029AF">
        <w:t xml:space="preserve"> </w:t>
      </w:r>
      <w:r w:rsidRPr="002029AF">
        <w:t>all</w:t>
      </w:r>
      <w:r w:rsidR="000A5329" w:rsidRPr="002029AF">
        <w:t xml:space="preserve"> </w:t>
      </w:r>
      <w:r w:rsidRPr="002029AF">
        <w:t>close</w:t>
      </w:r>
      <w:r w:rsidR="000A5329" w:rsidRPr="002029AF">
        <w:t xml:space="preserve"> </w:t>
      </w:r>
      <w:r w:rsidRPr="002029AF">
        <w:t>contacts</w:t>
      </w:r>
      <w:r w:rsidR="000A5329" w:rsidRPr="002029AF">
        <w:t xml:space="preserve"> </w:t>
      </w:r>
      <w:r w:rsidRPr="002029AF">
        <w:t>of</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positive</w:t>
      </w:r>
      <w:r w:rsidR="000A5329" w:rsidRPr="002029AF">
        <w:t xml:space="preserve"> </w:t>
      </w:r>
      <w:r w:rsidRPr="002029AF">
        <w:t>cases</w:t>
      </w:r>
      <w:r w:rsidR="000A5329" w:rsidRPr="002029AF">
        <w:t xml:space="preserve"> </w:t>
      </w:r>
      <w:r w:rsidR="00D00DCC" w:rsidRPr="002029AF">
        <w:t>are</w:t>
      </w:r>
      <w:r w:rsidR="000A5329" w:rsidRPr="002029AF">
        <w:t xml:space="preserve"> </w:t>
      </w:r>
      <w:r w:rsidRPr="002029AF">
        <w:t>found</w:t>
      </w:r>
      <w:r w:rsidR="000A5329" w:rsidRPr="002029AF">
        <w:t xml:space="preserve"> </w:t>
      </w:r>
      <w:r w:rsidRPr="002029AF">
        <w:t>and</w:t>
      </w:r>
      <w:r w:rsidR="000A5329" w:rsidRPr="002029AF">
        <w:t xml:space="preserve"> </w:t>
      </w:r>
      <w:r w:rsidRPr="002029AF">
        <w:t>people</w:t>
      </w:r>
      <w:r w:rsidR="000A5329" w:rsidRPr="002029AF">
        <w:t xml:space="preserve"> </w:t>
      </w:r>
      <w:r w:rsidRPr="002029AF">
        <w:t>received</w:t>
      </w:r>
      <w:r w:rsidR="000A5329" w:rsidRPr="002029AF">
        <w:t xml:space="preserve"> </w:t>
      </w:r>
      <w:r w:rsidRPr="002029AF">
        <w:t>advice</w:t>
      </w:r>
      <w:r w:rsidR="000A5329" w:rsidRPr="002029AF">
        <w:t xml:space="preserve"> </w:t>
      </w:r>
      <w:r w:rsidR="00D00DCC" w:rsidRPr="002029AF">
        <w:t>they</w:t>
      </w:r>
      <w:r w:rsidR="000A5329" w:rsidRPr="002029AF">
        <w:t xml:space="preserve"> </w:t>
      </w:r>
      <w:r w:rsidR="00D00DCC" w:rsidRPr="002029AF">
        <w:t>needed</w:t>
      </w:r>
    </w:p>
    <w:p w14:paraId="6F498B99" w14:textId="0B391DD3" w:rsidR="000A5329" w:rsidRPr="002029AF" w:rsidRDefault="00770DE1" w:rsidP="001E768A">
      <w:pPr>
        <w:pStyle w:val="ARbullet2"/>
      </w:pPr>
      <w:r w:rsidRPr="002029AF">
        <w:t>implementing</w:t>
      </w:r>
      <w:r w:rsidR="000A5329" w:rsidRPr="002029AF">
        <w:t xml:space="preserve"> </w:t>
      </w:r>
      <w:r w:rsidRPr="002029AF">
        <w:t>a</w:t>
      </w:r>
      <w:r w:rsidR="000A5329" w:rsidRPr="002029AF">
        <w:t xml:space="preserve"> </w:t>
      </w:r>
      <w:r w:rsidRPr="002029AF">
        <w:t>statewide</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testing</w:t>
      </w:r>
      <w:r w:rsidR="000A5329" w:rsidRPr="002029AF">
        <w:t xml:space="preserve"> </w:t>
      </w:r>
      <w:r w:rsidRPr="002029AF">
        <w:t>blitz,</w:t>
      </w:r>
      <w:r w:rsidR="000A5329" w:rsidRPr="002029AF">
        <w:t xml:space="preserve"> </w:t>
      </w:r>
      <w:r w:rsidRPr="002029AF">
        <w:t>to</w:t>
      </w:r>
      <w:r w:rsidR="000A5329" w:rsidRPr="002029AF">
        <w:t xml:space="preserve"> </w:t>
      </w:r>
      <w:r w:rsidR="00F25BFE" w:rsidRPr="002029AF">
        <w:t>gain</w:t>
      </w:r>
      <w:r w:rsidR="000A5329" w:rsidRPr="002029AF">
        <w:t xml:space="preserve"> </w:t>
      </w:r>
      <w:r w:rsidRPr="002029AF">
        <w:t>a</w:t>
      </w:r>
      <w:r w:rsidR="000A5329" w:rsidRPr="002029AF">
        <w:t xml:space="preserve"> </w:t>
      </w:r>
      <w:r w:rsidRPr="002029AF">
        <w:t>better</w:t>
      </w:r>
      <w:r w:rsidR="000A5329" w:rsidRPr="002029AF">
        <w:t xml:space="preserve"> </w:t>
      </w:r>
      <w:r w:rsidRPr="002029AF">
        <w:t>picture</w:t>
      </w:r>
      <w:r w:rsidR="000A5329" w:rsidRPr="002029AF">
        <w:t xml:space="preserve"> </w:t>
      </w:r>
      <w:r w:rsidRPr="002029AF">
        <w:t>of</w:t>
      </w:r>
      <w:r w:rsidR="000A5329" w:rsidRPr="002029AF">
        <w:t xml:space="preserve"> </w:t>
      </w:r>
      <w:r w:rsidRPr="002029AF">
        <w:t>community</w:t>
      </w:r>
      <w:r w:rsidR="000A5329" w:rsidRPr="002029AF">
        <w:t xml:space="preserve"> </w:t>
      </w:r>
      <w:r w:rsidRPr="002029AF">
        <w:t>transmission</w:t>
      </w:r>
      <w:r w:rsidR="000A5329" w:rsidRPr="002029AF">
        <w:t xml:space="preserve"> </w:t>
      </w:r>
      <w:r w:rsidRPr="002029AF">
        <w:t>in</w:t>
      </w:r>
      <w:r w:rsidR="000A5329" w:rsidRPr="002029AF">
        <w:t xml:space="preserve"> </w:t>
      </w:r>
      <w:r w:rsidRPr="002029AF">
        <w:t>Victoria</w:t>
      </w:r>
    </w:p>
    <w:p w14:paraId="41B994F1" w14:textId="7A576B33" w:rsidR="00770DE1" w:rsidRPr="002029AF" w:rsidRDefault="00770DE1" w:rsidP="001E768A">
      <w:pPr>
        <w:pStyle w:val="ARbullet2"/>
      </w:pPr>
      <w:r w:rsidRPr="002029AF">
        <w:t>providing</w:t>
      </w:r>
      <w:r w:rsidR="000A5329" w:rsidRPr="002029AF">
        <w:t xml:space="preserve"> </w:t>
      </w:r>
      <w:r w:rsidRPr="002029AF">
        <w:t>hotels</w:t>
      </w:r>
      <w:r w:rsidR="000A5329" w:rsidRPr="002029AF">
        <w:t xml:space="preserve"> </w:t>
      </w:r>
      <w:r w:rsidRPr="002029AF">
        <w:t>for</w:t>
      </w:r>
      <w:r w:rsidR="000A5329" w:rsidRPr="002029AF">
        <w:t xml:space="preserve"> </w:t>
      </w:r>
      <w:r w:rsidRPr="002029AF">
        <w:t>heroes</w:t>
      </w:r>
      <w:r w:rsidR="000A5329" w:rsidRPr="002029AF">
        <w:t xml:space="preserve"> </w:t>
      </w:r>
      <w:r w:rsidRPr="002029AF">
        <w:t>─</w:t>
      </w:r>
      <w:r w:rsidR="000A5329" w:rsidRPr="002029AF">
        <w:t xml:space="preserve"> </w:t>
      </w:r>
      <w:r w:rsidRPr="002029AF">
        <w:t>free</w:t>
      </w:r>
      <w:r w:rsidR="000A5329" w:rsidRPr="002029AF">
        <w:t xml:space="preserve"> </w:t>
      </w:r>
      <w:r w:rsidRPr="002029AF">
        <w:t>accommodation</w:t>
      </w:r>
      <w:r w:rsidR="000A5329" w:rsidRPr="002029AF">
        <w:t xml:space="preserve"> </w:t>
      </w:r>
      <w:r w:rsidRPr="002029AF">
        <w:t>for</w:t>
      </w:r>
      <w:r w:rsidR="000A5329" w:rsidRPr="002029AF">
        <w:t xml:space="preserve"> </w:t>
      </w:r>
      <w:r w:rsidRPr="002029AF">
        <w:t>frontline</w:t>
      </w:r>
      <w:r w:rsidR="000A5329" w:rsidRPr="002029AF">
        <w:t xml:space="preserve"> </w:t>
      </w:r>
      <w:r w:rsidRPr="002029AF">
        <w:t>workers</w:t>
      </w:r>
      <w:r w:rsidR="000A5329" w:rsidRPr="002029AF">
        <w:t xml:space="preserve"> </w:t>
      </w:r>
      <w:r w:rsidRPr="002029AF">
        <w:t>who</w:t>
      </w:r>
      <w:r w:rsidR="000A5329" w:rsidRPr="002029AF">
        <w:t xml:space="preserve"> </w:t>
      </w:r>
      <w:r w:rsidRPr="002029AF">
        <w:t>have</w:t>
      </w:r>
      <w:r w:rsidR="000A5329" w:rsidRPr="002029AF">
        <w:t xml:space="preserve"> </w:t>
      </w:r>
      <w:r w:rsidRPr="002029AF">
        <w:t>been</w:t>
      </w:r>
      <w:r w:rsidR="000A5329" w:rsidRPr="002029AF">
        <w:t xml:space="preserve"> </w:t>
      </w:r>
      <w:r w:rsidRPr="002029AF">
        <w:t>exposed</w:t>
      </w:r>
      <w:r w:rsidR="000A5329" w:rsidRPr="002029AF">
        <w:t xml:space="preserve"> </w:t>
      </w:r>
      <w:r w:rsidRPr="002029AF">
        <w:t>or</w:t>
      </w:r>
      <w:r w:rsidR="000A5329" w:rsidRPr="002029AF">
        <w:t xml:space="preserve"> </w:t>
      </w:r>
      <w:r w:rsidRPr="002029AF">
        <w:t>tested</w:t>
      </w:r>
      <w:r w:rsidR="000A5329" w:rsidRPr="002029AF">
        <w:t xml:space="preserve"> </w:t>
      </w:r>
      <w:r w:rsidRPr="002029AF">
        <w:t>positive</w:t>
      </w:r>
      <w:r w:rsidR="000A5329" w:rsidRPr="002029AF">
        <w:t xml:space="preserve"> </w:t>
      </w:r>
      <w:r w:rsidRPr="002029AF">
        <w:t>to</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and</w:t>
      </w:r>
      <w:r w:rsidR="000A5329" w:rsidRPr="002029AF">
        <w:t xml:space="preserve"> </w:t>
      </w:r>
      <w:r w:rsidRPr="002029AF">
        <w:t>cannot</w:t>
      </w:r>
      <w:r w:rsidR="000A5329" w:rsidRPr="002029AF">
        <w:t xml:space="preserve"> </w:t>
      </w:r>
      <w:r w:rsidRPr="002029AF">
        <w:t>safely</w:t>
      </w:r>
      <w:r w:rsidR="000A5329" w:rsidRPr="002029AF">
        <w:t xml:space="preserve"> </w:t>
      </w:r>
      <w:r w:rsidRPr="002029AF">
        <w:t>self-isolate</w:t>
      </w:r>
      <w:r w:rsidR="000A5329" w:rsidRPr="002029AF">
        <w:t xml:space="preserve"> </w:t>
      </w:r>
      <w:r w:rsidRPr="002029AF">
        <w:t>at</w:t>
      </w:r>
      <w:r w:rsidR="000A5329" w:rsidRPr="002029AF">
        <w:t xml:space="preserve"> </w:t>
      </w:r>
      <w:r w:rsidRPr="002029AF">
        <w:t>home</w:t>
      </w:r>
    </w:p>
    <w:p w14:paraId="0793B852" w14:textId="60412913" w:rsidR="00770DE1" w:rsidRPr="002029AF" w:rsidRDefault="00770DE1" w:rsidP="001E768A">
      <w:pPr>
        <w:pStyle w:val="ARbullet2"/>
      </w:pPr>
      <w:r w:rsidRPr="002029AF">
        <w:t>investing</w:t>
      </w:r>
      <w:r w:rsidR="000A5329" w:rsidRPr="002029AF">
        <w:t xml:space="preserve"> </w:t>
      </w:r>
      <w:r w:rsidRPr="002029AF">
        <w:t>in</w:t>
      </w:r>
      <w:r w:rsidR="000A5329" w:rsidRPr="002029AF">
        <w:t xml:space="preserve"> </w:t>
      </w:r>
      <w:r w:rsidRPr="002029AF">
        <w:t>new</w:t>
      </w:r>
      <w:r w:rsidR="000A5329" w:rsidRPr="002029AF">
        <w:t xml:space="preserve"> </w:t>
      </w:r>
      <w:r w:rsidRPr="002029AF">
        <w:t>research</w:t>
      </w:r>
      <w:r w:rsidR="000A5329" w:rsidRPr="002029AF">
        <w:t xml:space="preserve"> </w:t>
      </w:r>
      <w:r w:rsidRPr="002029AF">
        <w:t>to</w:t>
      </w:r>
      <w:r w:rsidR="000A5329" w:rsidRPr="002029AF">
        <w:t xml:space="preserve"> </w:t>
      </w:r>
      <w:r w:rsidRPr="002029AF">
        <w:t>better</w:t>
      </w:r>
      <w:r w:rsidR="000A5329" w:rsidRPr="002029AF">
        <w:t xml:space="preserve"> </w:t>
      </w:r>
      <w:r w:rsidRPr="002029AF">
        <w:t>understand</w:t>
      </w:r>
      <w:r w:rsidR="000A5329" w:rsidRPr="002029AF">
        <w:t xml:space="preserve"> </w:t>
      </w:r>
      <w:r w:rsidRPr="002029AF">
        <w:t>transmission,</w:t>
      </w:r>
      <w:r w:rsidR="000A5329" w:rsidRPr="002029AF">
        <w:t xml:space="preserve"> </w:t>
      </w:r>
      <w:r w:rsidRPr="002029AF">
        <w:t>immunity</w:t>
      </w:r>
      <w:r w:rsidR="000A5329" w:rsidRPr="002029AF">
        <w:t xml:space="preserve"> </w:t>
      </w:r>
      <w:r w:rsidRPr="002029AF">
        <w:t>and</w:t>
      </w:r>
      <w:r w:rsidR="000A5329" w:rsidRPr="002029AF">
        <w:t xml:space="preserve"> </w:t>
      </w:r>
      <w:r w:rsidRPr="002029AF">
        <w:t>the</w:t>
      </w:r>
      <w:r w:rsidR="000A5329" w:rsidRPr="002029AF">
        <w:t xml:space="preserve"> </w:t>
      </w:r>
      <w:r w:rsidRPr="002029AF">
        <w:t>long-term</w:t>
      </w:r>
      <w:r w:rsidR="000A5329" w:rsidRPr="002029AF">
        <w:t xml:space="preserve"> </w:t>
      </w:r>
      <w:r w:rsidRPr="002029AF">
        <w:t>health</w:t>
      </w:r>
      <w:r w:rsidR="000A5329" w:rsidRPr="002029AF">
        <w:t xml:space="preserve"> </w:t>
      </w:r>
      <w:r w:rsidRPr="002029AF">
        <w:t>impacts</w:t>
      </w:r>
      <w:r w:rsidR="000A5329" w:rsidRPr="002029AF">
        <w:t xml:space="preserve"> </w:t>
      </w:r>
      <w:r w:rsidRPr="002029AF">
        <w:t>of</w:t>
      </w:r>
      <w:r w:rsidR="000A5329" w:rsidRPr="002029AF">
        <w:t xml:space="preserve"> </w:t>
      </w:r>
      <w:r w:rsidRPr="002029AF">
        <w:t>coronavirus</w:t>
      </w:r>
      <w:r w:rsidR="000A5329" w:rsidRPr="002029AF">
        <w:t xml:space="preserve"> </w:t>
      </w:r>
      <w:r w:rsidRPr="002029AF">
        <w:t>(COVID-19)</w:t>
      </w:r>
    </w:p>
    <w:p w14:paraId="4912E24D" w14:textId="276EBF3B" w:rsidR="00770DE1" w:rsidRPr="002029AF" w:rsidRDefault="00770DE1" w:rsidP="001E768A">
      <w:pPr>
        <w:pStyle w:val="ARbullet2"/>
      </w:pPr>
      <w:r w:rsidRPr="002029AF">
        <w:t>rapidly</w:t>
      </w:r>
      <w:r w:rsidR="000A5329" w:rsidRPr="002029AF">
        <w:t xml:space="preserve"> </w:t>
      </w:r>
      <w:r w:rsidRPr="002029AF">
        <w:t>expanding</w:t>
      </w:r>
      <w:r w:rsidR="000A5329" w:rsidRPr="002029AF">
        <w:t xml:space="preserve"> </w:t>
      </w:r>
      <w:r w:rsidRPr="002029AF">
        <w:t>telehealth</w:t>
      </w:r>
      <w:r w:rsidR="000A5329" w:rsidRPr="002029AF">
        <w:t xml:space="preserve"> </w:t>
      </w:r>
      <w:r w:rsidRPr="002029AF">
        <w:t>capacity</w:t>
      </w:r>
      <w:r w:rsidR="000A5329" w:rsidRPr="002029AF">
        <w:t xml:space="preserve"> </w:t>
      </w:r>
      <w:r w:rsidRPr="002029AF">
        <w:t>to</w:t>
      </w:r>
      <w:r w:rsidR="000A5329" w:rsidRPr="002029AF">
        <w:t xml:space="preserve"> </w:t>
      </w:r>
      <w:r w:rsidRPr="002029AF">
        <w:t>reduce</w:t>
      </w:r>
      <w:r w:rsidR="000A5329" w:rsidRPr="002029AF">
        <w:t xml:space="preserve"> </w:t>
      </w:r>
      <w:r w:rsidRPr="002029AF">
        <w:t>transmission</w:t>
      </w:r>
      <w:r w:rsidR="000A5329" w:rsidRPr="002029AF">
        <w:t xml:space="preserve"> </w:t>
      </w:r>
      <w:r w:rsidRPr="002029AF">
        <w:t>risks</w:t>
      </w:r>
      <w:r w:rsidR="000A5329" w:rsidRPr="002029AF">
        <w:t xml:space="preserve"> </w:t>
      </w:r>
      <w:r w:rsidRPr="002029AF">
        <w:t>and</w:t>
      </w:r>
      <w:r w:rsidR="000A5329" w:rsidRPr="002029AF">
        <w:t xml:space="preserve"> </w:t>
      </w:r>
      <w:r w:rsidRPr="002029AF">
        <w:t>support</w:t>
      </w:r>
      <w:r w:rsidR="000A5329" w:rsidRPr="002029AF">
        <w:t xml:space="preserve"> </w:t>
      </w:r>
      <w:r w:rsidRPr="002029AF">
        <w:t>ongoing</w:t>
      </w:r>
      <w:r w:rsidR="000A5329" w:rsidRPr="002029AF">
        <w:t xml:space="preserve"> </w:t>
      </w:r>
      <w:r w:rsidRPr="002029AF">
        <w:t>access</w:t>
      </w:r>
      <w:r w:rsidR="000A5329" w:rsidRPr="002029AF">
        <w:t xml:space="preserve"> </w:t>
      </w:r>
      <w:r w:rsidRPr="002029AF">
        <w:t>to</w:t>
      </w:r>
      <w:r w:rsidR="000A5329" w:rsidRPr="002029AF">
        <w:t xml:space="preserve"> </w:t>
      </w:r>
      <w:r w:rsidRPr="002029AF">
        <w:t>clinical</w:t>
      </w:r>
      <w:r w:rsidR="000A5329" w:rsidRPr="002029AF">
        <w:t xml:space="preserve"> </w:t>
      </w:r>
      <w:r w:rsidRPr="002029AF">
        <w:t>services</w:t>
      </w:r>
      <w:r w:rsidR="00867F7D" w:rsidRPr="002029AF">
        <w:t>.</w:t>
      </w:r>
    </w:p>
    <w:p w14:paraId="2E69E544" w14:textId="67527A48" w:rsidR="000A5329" w:rsidRPr="002029AF" w:rsidRDefault="00770DE1" w:rsidP="001E768A">
      <w:pPr>
        <w:pStyle w:val="ARbullet1"/>
      </w:pP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also</w:t>
      </w:r>
      <w:r w:rsidR="000A5329" w:rsidRPr="002029AF">
        <w:t xml:space="preserve"> </w:t>
      </w:r>
      <w:r w:rsidRPr="002029AF">
        <w:t>provided</w:t>
      </w:r>
      <w:r w:rsidR="000A5329" w:rsidRPr="002029AF">
        <w:t xml:space="preserve"> </w:t>
      </w:r>
      <w:r w:rsidRPr="002029AF">
        <w:t>increased</w:t>
      </w:r>
      <w:r w:rsidR="000A5329" w:rsidRPr="002029AF">
        <w:t xml:space="preserve"> </w:t>
      </w:r>
      <w:r w:rsidRPr="002029AF">
        <w:t>support</w:t>
      </w:r>
      <w:r w:rsidR="000A5329" w:rsidRPr="002029AF">
        <w:t xml:space="preserve"> </w:t>
      </w:r>
      <w:r w:rsidRPr="002029AF">
        <w:t>for</w:t>
      </w:r>
      <w:r w:rsidR="000A5329" w:rsidRPr="002029AF">
        <w:t xml:space="preserve"> </w:t>
      </w:r>
      <w:r w:rsidRPr="002029AF">
        <w:t>vulnerable</w:t>
      </w:r>
      <w:r w:rsidR="000A5329" w:rsidRPr="002029AF">
        <w:t xml:space="preserve"> </w:t>
      </w:r>
      <w:r w:rsidRPr="002029AF">
        <w:t>children,</w:t>
      </w:r>
      <w:r w:rsidR="000A5329" w:rsidRPr="002029AF">
        <w:t xml:space="preserve"> </w:t>
      </w:r>
      <w:r w:rsidRPr="002029AF">
        <w:t>families</w:t>
      </w:r>
      <w:r w:rsidR="000A5329" w:rsidRPr="002029AF">
        <w:t xml:space="preserve"> </w:t>
      </w:r>
      <w:r w:rsidRPr="002029AF">
        <w:t>and</w:t>
      </w:r>
      <w:r w:rsidR="000A5329" w:rsidRPr="002029AF">
        <w:t xml:space="preserve"> </w:t>
      </w:r>
      <w:r w:rsidRPr="002029AF">
        <w:t>individuals</w:t>
      </w:r>
      <w:r w:rsidR="000A5329" w:rsidRPr="002029AF">
        <w:t xml:space="preserve"> </w:t>
      </w:r>
      <w:r w:rsidRPr="002029AF">
        <w:t>through</w:t>
      </w:r>
      <w:r w:rsidR="000A5329" w:rsidRPr="002029AF">
        <w:t xml:space="preserve"> </w:t>
      </w:r>
      <w:r w:rsidRPr="002029AF">
        <w:t>universal</w:t>
      </w:r>
      <w:r w:rsidR="000A5329" w:rsidRPr="002029AF">
        <w:t xml:space="preserve"> </w:t>
      </w:r>
      <w:r w:rsidRPr="002029AF">
        <w:t>services</w:t>
      </w:r>
      <w:r w:rsidR="000A5329" w:rsidRPr="002029AF">
        <w:t xml:space="preserve"> </w:t>
      </w:r>
      <w:r w:rsidRPr="002029AF">
        <w:t>and</w:t>
      </w:r>
      <w:r w:rsidR="000A5329" w:rsidRPr="002029AF">
        <w:t xml:space="preserve"> </w:t>
      </w:r>
      <w:r w:rsidRPr="002029AF">
        <w:t>evidence-based</w:t>
      </w:r>
      <w:r w:rsidR="000A5329" w:rsidRPr="002029AF">
        <w:t xml:space="preserve"> </w:t>
      </w:r>
      <w:r w:rsidRPr="002029AF">
        <w:t>secondary</w:t>
      </w:r>
      <w:r w:rsidR="000A5329" w:rsidRPr="002029AF">
        <w:t xml:space="preserve"> </w:t>
      </w:r>
      <w:r w:rsidRPr="002029AF">
        <w:t>prevention</w:t>
      </w:r>
      <w:r w:rsidR="000A5329" w:rsidRPr="002029AF">
        <w:t xml:space="preserve"> </w:t>
      </w:r>
      <w:r w:rsidRPr="002029AF">
        <w:t>initiatives,</w:t>
      </w:r>
      <w:r w:rsidR="000A5329" w:rsidRPr="002029AF">
        <w:t xml:space="preserve"> </w:t>
      </w:r>
      <w:r w:rsidRPr="002029AF">
        <w:t>such</w:t>
      </w:r>
      <w:r w:rsidR="000A5329" w:rsidRPr="002029AF">
        <w:t xml:space="preserve"> </w:t>
      </w:r>
      <w:r w:rsidRPr="002029AF">
        <w:t>as:</w:t>
      </w:r>
    </w:p>
    <w:p w14:paraId="02A92C3E" w14:textId="07E68D4E" w:rsidR="00770DE1" w:rsidRPr="002029AF" w:rsidRDefault="00770DE1" w:rsidP="001E768A">
      <w:pPr>
        <w:pStyle w:val="ARbullet2"/>
      </w:pPr>
      <w:r w:rsidRPr="002029AF">
        <w:t>delivering</w:t>
      </w:r>
      <w:r w:rsidR="000A5329" w:rsidRPr="002029AF">
        <w:t xml:space="preserve"> </w:t>
      </w:r>
      <w:r w:rsidRPr="002029AF">
        <w:t>the</w:t>
      </w:r>
      <w:r w:rsidR="000A5329" w:rsidRPr="002029AF">
        <w:t xml:space="preserve"> </w:t>
      </w:r>
      <w:r w:rsidRPr="002029AF">
        <w:t>Health</w:t>
      </w:r>
      <w:r w:rsidR="0065504E" w:rsidRPr="002029AF">
        <w:t>y</w:t>
      </w:r>
      <w:r w:rsidR="000A5329" w:rsidRPr="002029AF">
        <w:t xml:space="preserve"> </w:t>
      </w:r>
      <w:r w:rsidRPr="002029AF">
        <w:t>Mothers</w:t>
      </w:r>
      <w:r w:rsidR="000A5329" w:rsidRPr="002029AF">
        <w:t xml:space="preserve"> </w:t>
      </w:r>
      <w:r w:rsidRPr="002029AF">
        <w:t>Healthy</w:t>
      </w:r>
      <w:r w:rsidR="000A5329" w:rsidRPr="002029AF">
        <w:t xml:space="preserve"> </w:t>
      </w:r>
      <w:r w:rsidRPr="002029AF">
        <w:t>Babies</w:t>
      </w:r>
      <w:r w:rsidR="000A5329" w:rsidRPr="002029AF">
        <w:t xml:space="preserve"> </w:t>
      </w:r>
      <w:r w:rsidRPr="002029AF">
        <w:t>program</w:t>
      </w:r>
      <w:r w:rsidR="000A5329" w:rsidRPr="002029AF">
        <w:t xml:space="preserve"> </w:t>
      </w:r>
      <w:r w:rsidRPr="002029AF">
        <w:t>in</w:t>
      </w:r>
      <w:r w:rsidR="000A5329" w:rsidRPr="002029AF">
        <w:t xml:space="preserve"> </w:t>
      </w:r>
      <w:r w:rsidRPr="002029AF">
        <w:t>20</w:t>
      </w:r>
      <w:r w:rsidR="000A5329" w:rsidRPr="002029AF">
        <w:t xml:space="preserve"> </w:t>
      </w:r>
      <w:r w:rsidRPr="002029AF">
        <w:t>local</w:t>
      </w:r>
      <w:r w:rsidR="000A5329" w:rsidRPr="002029AF">
        <w:t xml:space="preserve"> </w:t>
      </w:r>
      <w:r w:rsidRPr="002029AF">
        <w:t>government</w:t>
      </w:r>
      <w:r w:rsidR="000A5329" w:rsidRPr="002029AF">
        <w:t xml:space="preserve"> </w:t>
      </w:r>
      <w:r w:rsidRPr="002029AF">
        <w:t>areas</w:t>
      </w:r>
      <w:r w:rsidR="000A5329" w:rsidRPr="002029AF">
        <w:t xml:space="preserve"> </w:t>
      </w:r>
      <w:r w:rsidRPr="002029AF">
        <w:t>across</w:t>
      </w:r>
      <w:r w:rsidR="000A5329" w:rsidRPr="002029AF">
        <w:t xml:space="preserve"> </w:t>
      </w:r>
      <w:r w:rsidRPr="002029AF">
        <w:t>Victoria,</w:t>
      </w:r>
      <w:r w:rsidR="000A5329" w:rsidRPr="002029AF">
        <w:t xml:space="preserve"> </w:t>
      </w:r>
      <w:r w:rsidRPr="002029AF">
        <w:t>providing</w:t>
      </w:r>
      <w:r w:rsidR="000A5329" w:rsidRPr="002029AF">
        <w:t xml:space="preserve"> </w:t>
      </w:r>
      <w:r w:rsidRPr="002029AF">
        <w:t>a</w:t>
      </w:r>
      <w:r w:rsidR="000A5329" w:rsidRPr="002029AF">
        <w:t xml:space="preserve"> </w:t>
      </w:r>
      <w:r w:rsidRPr="002029AF">
        <w:t>range</w:t>
      </w:r>
      <w:r w:rsidR="000A5329" w:rsidRPr="002029AF">
        <w:t xml:space="preserve"> </w:t>
      </w:r>
      <w:r w:rsidRPr="002029AF">
        <w:t>of</w:t>
      </w:r>
      <w:r w:rsidR="000A5329" w:rsidRPr="002029AF">
        <w:t xml:space="preserve"> </w:t>
      </w:r>
      <w:r w:rsidRPr="002029AF">
        <w:t>supports</w:t>
      </w:r>
      <w:r w:rsidR="000A5329" w:rsidRPr="002029AF">
        <w:t xml:space="preserve"> </w:t>
      </w:r>
      <w:r w:rsidRPr="002029AF">
        <w:t>to</w:t>
      </w:r>
      <w:r w:rsidR="000A5329" w:rsidRPr="002029AF">
        <w:t xml:space="preserve"> </w:t>
      </w:r>
      <w:r w:rsidRPr="002029AF">
        <w:t>highly</w:t>
      </w:r>
      <w:r w:rsidR="000A5329" w:rsidRPr="002029AF">
        <w:t xml:space="preserve"> </w:t>
      </w:r>
      <w:r w:rsidRPr="002029AF">
        <w:t>vulnerable</w:t>
      </w:r>
      <w:r w:rsidR="000A5329" w:rsidRPr="002029AF">
        <w:t xml:space="preserve"> </w:t>
      </w:r>
      <w:r w:rsidRPr="002029AF">
        <w:t>pregnant</w:t>
      </w:r>
      <w:r w:rsidR="000A5329" w:rsidRPr="002029AF">
        <w:t xml:space="preserve"> </w:t>
      </w:r>
      <w:r w:rsidRPr="002029AF">
        <w:t>women</w:t>
      </w:r>
      <w:r w:rsidR="000A5329" w:rsidRPr="002029AF">
        <w:t xml:space="preserve"> </w:t>
      </w:r>
      <w:r w:rsidRPr="002029AF">
        <w:t>who</w:t>
      </w:r>
      <w:r w:rsidR="000A5329" w:rsidRPr="002029AF">
        <w:t xml:space="preserve"> </w:t>
      </w:r>
      <w:r w:rsidRPr="002029AF">
        <w:t>are</w:t>
      </w:r>
      <w:r w:rsidR="000A5329" w:rsidRPr="002029AF">
        <w:t xml:space="preserve"> </w:t>
      </w:r>
      <w:r w:rsidRPr="002029AF">
        <w:t>not</w:t>
      </w:r>
      <w:r w:rsidR="000A5329" w:rsidRPr="002029AF">
        <w:t xml:space="preserve"> </w:t>
      </w:r>
      <w:r w:rsidRPr="002029AF">
        <w:t>engaged</w:t>
      </w:r>
      <w:r w:rsidR="000A5329" w:rsidRPr="002029AF">
        <w:t xml:space="preserve"> </w:t>
      </w:r>
      <w:r w:rsidRPr="002029AF">
        <w:t>with</w:t>
      </w:r>
      <w:r w:rsidR="000A5329" w:rsidRPr="002029AF">
        <w:t xml:space="preserve"> </w:t>
      </w:r>
      <w:r w:rsidRPr="002029AF">
        <w:t>maternal</w:t>
      </w:r>
      <w:r w:rsidR="000A5329" w:rsidRPr="002029AF">
        <w:t xml:space="preserve"> </w:t>
      </w:r>
      <w:r w:rsidRPr="002029AF">
        <w:t>and</w:t>
      </w:r>
      <w:r w:rsidR="000A5329" w:rsidRPr="002029AF">
        <w:t xml:space="preserve"> </w:t>
      </w:r>
      <w:r w:rsidRPr="002029AF">
        <w:t>child</w:t>
      </w:r>
      <w:r w:rsidR="000A5329" w:rsidRPr="002029AF">
        <w:t xml:space="preserve"> </w:t>
      </w:r>
      <w:r w:rsidRPr="002029AF">
        <w:t>health</w:t>
      </w:r>
      <w:r w:rsidR="000A5329" w:rsidRPr="002029AF">
        <w:t xml:space="preserve"> </w:t>
      </w:r>
      <w:r w:rsidRPr="002029AF">
        <w:t>services</w:t>
      </w:r>
    </w:p>
    <w:p w14:paraId="57DBD90C" w14:textId="2DADD3D3" w:rsidR="000A5329" w:rsidRPr="002029AF" w:rsidRDefault="00770DE1" w:rsidP="001E768A">
      <w:pPr>
        <w:pStyle w:val="ARbullet2"/>
      </w:pPr>
      <w:r w:rsidRPr="002029AF">
        <w:t>delivering</w:t>
      </w:r>
      <w:r w:rsidR="000A5329" w:rsidRPr="002029AF">
        <w:t xml:space="preserve"> </w:t>
      </w:r>
      <w:r w:rsidRPr="002029AF">
        <w:t>the</w:t>
      </w:r>
      <w:r w:rsidR="000A5329" w:rsidRPr="002029AF">
        <w:t xml:space="preserve"> </w:t>
      </w:r>
      <w:r w:rsidRPr="002029AF">
        <w:t>Safer</w:t>
      </w:r>
      <w:r w:rsidR="000A5329" w:rsidRPr="002029AF">
        <w:t xml:space="preserve"> </w:t>
      </w:r>
      <w:r w:rsidRPr="002029AF">
        <w:t>Baby</w:t>
      </w:r>
      <w:r w:rsidR="000A5329" w:rsidRPr="002029AF">
        <w:t xml:space="preserve"> </w:t>
      </w:r>
      <w:r w:rsidRPr="002029AF">
        <w:t>Collaborative</w:t>
      </w:r>
      <w:r w:rsidR="000A5329" w:rsidRPr="002029AF">
        <w:t xml:space="preserve"> </w:t>
      </w:r>
      <w:r w:rsidRPr="002029AF">
        <w:t>program</w:t>
      </w:r>
      <w:r w:rsidR="000A5329" w:rsidRPr="002029AF">
        <w:t xml:space="preserve"> </w:t>
      </w:r>
      <w:r w:rsidR="0065504E" w:rsidRPr="002029AF">
        <w:t>to</w:t>
      </w:r>
      <w:r w:rsidR="000A5329" w:rsidRPr="002029AF">
        <w:t xml:space="preserve"> </w:t>
      </w:r>
      <w:r w:rsidR="0065504E" w:rsidRPr="002029AF">
        <w:t>reduce</w:t>
      </w:r>
      <w:r w:rsidR="000A5329" w:rsidRPr="002029AF">
        <w:t xml:space="preserve"> </w:t>
      </w:r>
      <w:r w:rsidR="000A046D" w:rsidRPr="002029AF">
        <w:t>stillbirth</w:t>
      </w:r>
      <w:r w:rsidR="000A5329" w:rsidRPr="002029AF">
        <w:t xml:space="preserve"> </w:t>
      </w:r>
      <w:r w:rsidR="000A046D" w:rsidRPr="002029AF">
        <w:t>rates</w:t>
      </w:r>
      <w:r w:rsidR="000A5329" w:rsidRPr="002029AF">
        <w:t xml:space="preserve"> </w:t>
      </w:r>
      <w:r w:rsidR="000A046D" w:rsidRPr="002029AF">
        <w:t>during</w:t>
      </w:r>
      <w:r w:rsidR="000A5329" w:rsidRPr="002029AF">
        <w:t xml:space="preserve"> </w:t>
      </w:r>
      <w:r w:rsidR="000A046D" w:rsidRPr="002029AF">
        <w:t>the</w:t>
      </w:r>
      <w:r w:rsidR="000A5329" w:rsidRPr="002029AF">
        <w:t xml:space="preserve"> </w:t>
      </w:r>
      <w:r w:rsidR="000A046D" w:rsidRPr="002029AF">
        <w:t>third</w:t>
      </w:r>
      <w:r w:rsidR="000A5329" w:rsidRPr="002029AF">
        <w:t xml:space="preserve"> </w:t>
      </w:r>
      <w:r w:rsidR="000A046D" w:rsidRPr="002029AF">
        <w:t>trimester</w:t>
      </w:r>
      <w:r w:rsidR="000A5329" w:rsidRPr="002029AF">
        <w:t xml:space="preserve"> </w:t>
      </w:r>
      <w:r w:rsidRPr="002029AF">
        <w:t>across</w:t>
      </w:r>
      <w:r w:rsidR="000A5329" w:rsidRPr="002029AF">
        <w:t xml:space="preserve"> </w:t>
      </w:r>
      <w:r w:rsidRPr="002029AF">
        <w:t>19</w:t>
      </w:r>
      <w:r w:rsidR="000A5329" w:rsidRPr="002029AF">
        <w:t xml:space="preserve"> </w:t>
      </w:r>
      <w:r w:rsidRPr="002029AF">
        <w:t>Victorian</w:t>
      </w:r>
      <w:r w:rsidR="000A5329" w:rsidRPr="002029AF">
        <w:t xml:space="preserve"> </w:t>
      </w:r>
      <w:r w:rsidRPr="002029AF">
        <w:t>health</w:t>
      </w:r>
      <w:r w:rsidR="000A5329" w:rsidRPr="002029AF">
        <w:t xml:space="preserve"> </w:t>
      </w:r>
      <w:r w:rsidRPr="002029AF">
        <w:t>services</w:t>
      </w:r>
      <w:r w:rsidR="000A046D" w:rsidRPr="002029AF">
        <w:t>.</w:t>
      </w:r>
    </w:p>
    <w:p w14:paraId="0858094C" w14:textId="73DD10A7" w:rsidR="00770DE1" w:rsidRPr="002029AF" w:rsidRDefault="00770DE1" w:rsidP="001E768A">
      <w:pPr>
        <w:pStyle w:val="ARbullet2"/>
      </w:pPr>
      <w:r w:rsidRPr="002029AF">
        <w:t>delivering</w:t>
      </w:r>
      <w:r w:rsidR="000A5329" w:rsidRPr="002029AF">
        <w:t xml:space="preserve"> </w:t>
      </w:r>
      <w:r w:rsidRPr="002029AF">
        <w:t>Aboriginal</w:t>
      </w:r>
      <w:r w:rsidR="000A5329" w:rsidRPr="002029AF">
        <w:t xml:space="preserve"> </w:t>
      </w:r>
      <w:r w:rsidRPr="002029AF">
        <w:t>Maternal</w:t>
      </w:r>
      <w:r w:rsidR="000A5329" w:rsidRPr="002029AF">
        <w:t xml:space="preserve"> </w:t>
      </w:r>
      <w:r w:rsidRPr="002029AF">
        <w:t>and</w:t>
      </w:r>
      <w:r w:rsidR="000A5329" w:rsidRPr="002029AF">
        <w:t xml:space="preserve"> </w:t>
      </w:r>
      <w:r w:rsidRPr="002029AF">
        <w:t>Child</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and</w:t>
      </w:r>
      <w:r w:rsidR="000A5329" w:rsidRPr="002029AF">
        <w:t xml:space="preserve"> </w:t>
      </w:r>
      <w:r w:rsidRPr="002029AF">
        <w:t>Koorie</w:t>
      </w:r>
      <w:r w:rsidR="000A5329" w:rsidRPr="002029AF">
        <w:t xml:space="preserve"> </w:t>
      </w:r>
      <w:r w:rsidRPr="002029AF">
        <w:t>Maternity</w:t>
      </w:r>
      <w:r w:rsidR="000A5329" w:rsidRPr="002029AF">
        <w:t xml:space="preserve"> </w:t>
      </w:r>
      <w:r w:rsidRPr="002029AF">
        <w:t>Services</w:t>
      </w:r>
      <w:r w:rsidR="000A5329" w:rsidRPr="002029AF">
        <w:t xml:space="preserve"> </w:t>
      </w:r>
      <w:r w:rsidRPr="002029AF">
        <w:t>across</w:t>
      </w:r>
      <w:r w:rsidR="000A5329" w:rsidRPr="002029AF">
        <w:t xml:space="preserve"> </w:t>
      </w:r>
      <w:r w:rsidRPr="002029AF">
        <w:t>Victoria</w:t>
      </w:r>
      <w:r w:rsidR="0061163D" w:rsidRPr="002029AF">
        <w:t>,</w:t>
      </w:r>
      <w:r w:rsidR="000A5329" w:rsidRPr="002029AF">
        <w:t xml:space="preserve"> </w:t>
      </w:r>
      <w:r w:rsidRPr="002029AF">
        <w:t>ensuring</w:t>
      </w:r>
      <w:r w:rsidR="000A5329" w:rsidRPr="002029AF">
        <w:t xml:space="preserve"> </w:t>
      </w:r>
      <w:r w:rsidRPr="002029AF">
        <w:t>Aboriginal</w:t>
      </w:r>
      <w:r w:rsidR="000A5329" w:rsidRPr="002029AF">
        <w:t xml:space="preserve"> </w:t>
      </w:r>
      <w:r w:rsidRPr="002029AF">
        <w:t>families</w:t>
      </w:r>
      <w:r w:rsidR="000A5329" w:rsidRPr="002029AF">
        <w:t xml:space="preserve"> </w:t>
      </w:r>
      <w:r w:rsidRPr="002029AF">
        <w:t>receive</w:t>
      </w:r>
      <w:r w:rsidR="000A5329" w:rsidRPr="002029AF">
        <w:t xml:space="preserve"> </w:t>
      </w:r>
      <w:r w:rsidRPr="002029AF">
        <w:t>high</w:t>
      </w:r>
      <w:r w:rsidR="0061163D" w:rsidRPr="002029AF">
        <w:t>-</w:t>
      </w:r>
      <w:r w:rsidRPr="002029AF">
        <w:t>quality,</w:t>
      </w:r>
      <w:r w:rsidR="000A5329" w:rsidRPr="002029AF">
        <w:t xml:space="preserve"> </w:t>
      </w:r>
      <w:r w:rsidRPr="002029AF">
        <w:t>culturally</w:t>
      </w:r>
      <w:r w:rsidR="000A5329" w:rsidRPr="002029AF">
        <w:t xml:space="preserve"> </w:t>
      </w:r>
      <w:r w:rsidRPr="002029AF">
        <w:t>safe</w:t>
      </w:r>
      <w:r w:rsidR="000A5329" w:rsidRPr="002029AF">
        <w:t xml:space="preserve"> </w:t>
      </w:r>
      <w:r w:rsidRPr="002029AF">
        <w:t>and</w:t>
      </w:r>
      <w:r w:rsidR="000A5329" w:rsidRPr="002029AF">
        <w:t xml:space="preserve"> </w:t>
      </w:r>
      <w:r w:rsidRPr="002029AF">
        <w:t>integrated</w:t>
      </w:r>
      <w:r w:rsidR="000A5329" w:rsidRPr="002029AF">
        <w:t xml:space="preserve"> </w:t>
      </w:r>
      <w:r w:rsidRPr="002029AF">
        <w:t>pregnancy,</w:t>
      </w:r>
      <w:r w:rsidR="000A5329" w:rsidRPr="002029AF">
        <w:t xml:space="preserve"> </w:t>
      </w:r>
      <w:r w:rsidRPr="002029AF">
        <w:t>postnatal</w:t>
      </w:r>
      <w:r w:rsidR="000A5329" w:rsidRPr="002029AF">
        <w:t xml:space="preserve"> </w:t>
      </w:r>
      <w:r w:rsidRPr="002029AF">
        <w:t>and</w:t>
      </w:r>
      <w:r w:rsidR="000A5329" w:rsidRPr="002029AF">
        <w:t xml:space="preserve"> </w:t>
      </w:r>
      <w:r w:rsidRPr="002029AF">
        <w:t>maternal</w:t>
      </w:r>
      <w:r w:rsidR="000A5329" w:rsidRPr="002029AF">
        <w:t xml:space="preserve"> </w:t>
      </w:r>
      <w:r w:rsidRPr="002029AF">
        <w:t>and</w:t>
      </w:r>
      <w:r w:rsidR="000A5329" w:rsidRPr="002029AF">
        <w:t xml:space="preserve"> </w:t>
      </w:r>
      <w:r w:rsidRPr="002029AF">
        <w:t>child</w:t>
      </w:r>
      <w:r w:rsidR="000A5329" w:rsidRPr="002029AF">
        <w:t xml:space="preserve"> </w:t>
      </w:r>
      <w:r w:rsidRPr="002029AF">
        <w:t>health</w:t>
      </w:r>
      <w:r w:rsidR="000A5329" w:rsidRPr="002029AF">
        <w:t xml:space="preserve"> </w:t>
      </w:r>
      <w:r w:rsidRPr="002029AF">
        <w:t>care</w:t>
      </w:r>
    </w:p>
    <w:p w14:paraId="4F13973B" w14:textId="2C22752C" w:rsidR="000A5329" w:rsidRPr="002029AF" w:rsidRDefault="00770DE1" w:rsidP="001E768A">
      <w:pPr>
        <w:pStyle w:val="ARbullet2"/>
      </w:pPr>
      <w:r w:rsidRPr="002029AF">
        <w:t>continuing</w:t>
      </w:r>
      <w:r w:rsidR="000A5329" w:rsidRPr="002029AF">
        <w:t xml:space="preserve"> </w:t>
      </w:r>
      <w:r w:rsidRPr="002029AF">
        <w:t>the</w:t>
      </w:r>
      <w:r w:rsidR="000A5329" w:rsidRPr="002029AF">
        <w:t xml:space="preserve"> </w:t>
      </w:r>
      <w:r w:rsidRPr="002029AF">
        <w:t>trials</w:t>
      </w:r>
      <w:r w:rsidR="000A5329" w:rsidRPr="002029AF">
        <w:t xml:space="preserve"> </w:t>
      </w:r>
      <w:r w:rsidRPr="002029AF">
        <w:t>of</w:t>
      </w:r>
      <w:r w:rsidR="000A5329" w:rsidRPr="002029AF">
        <w:t xml:space="preserve"> </w:t>
      </w:r>
      <w:r w:rsidRPr="002029AF">
        <w:t>three</w:t>
      </w:r>
      <w:r w:rsidR="000A5329" w:rsidRPr="002029AF">
        <w:t xml:space="preserve"> </w:t>
      </w:r>
      <w:r w:rsidRPr="002029AF">
        <w:t>evidence-informed</w:t>
      </w:r>
      <w:r w:rsidR="000A5329" w:rsidRPr="002029AF">
        <w:t xml:space="preserve"> </w:t>
      </w:r>
      <w:r w:rsidRPr="002029AF">
        <w:t>models</w:t>
      </w:r>
      <w:r w:rsidR="000A5329" w:rsidRPr="002029AF">
        <w:t xml:space="preserve"> </w:t>
      </w:r>
      <w:r w:rsidRPr="002029AF">
        <w:t>of</w:t>
      </w:r>
      <w:r w:rsidR="000A5329" w:rsidRPr="002029AF">
        <w:t xml:space="preserve"> </w:t>
      </w:r>
      <w:r w:rsidRPr="002029AF">
        <w:t>out-of-home</w:t>
      </w:r>
      <w:r w:rsidR="000A5329" w:rsidRPr="002029AF">
        <w:t xml:space="preserve"> </w:t>
      </w:r>
      <w:r w:rsidRPr="002029AF">
        <w:t>care</w:t>
      </w:r>
      <w:r w:rsidR="000A5329" w:rsidRPr="002029AF">
        <w:t xml:space="preserve"> </w:t>
      </w:r>
      <w:r w:rsidRPr="002029AF">
        <w:t>that</w:t>
      </w:r>
      <w:r w:rsidR="000A5329" w:rsidRPr="002029AF">
        <w:t xml:space="preserve"> </w:t>
      </w:r>
      <w:r w:rsidRPr="002029AF">
        <w:t>support</w:t>
      </w:r>
      <w:r w:rsidR="000A5329" w:rsidRPr="002029AF">
        <w:t xml:space="preserve"> </w:t>
      </w:r>
      <w:r w:rsidRPr="002029AF">
        <w:t>vulnerable</w:t>
      </w:r>
      <w:r w:rsidR="000A5329" w:rsidRPr="002029AF">
        <w:t xml:space="preserve"> </w:t>
      </w:r>
      <w:r w:rsidRPr="002029AF">
        <w:t>children</w:t>
      </w:r>
      <w:r w:rsidR="000A5329" w:rsidRPr="002029AF">
        <w:t xml:space="preserve"> </w:t>
      </w:r>
      <w:r w:rsidRPr="002029AF">
        <w:t>to</w:t>
      </w:r>
      <w:r w:rsidR="000A5329" w:rsidRPr="002029AF">
        <w:t xml:space="preserve"> </w:t>
      </w:r>
      <w:r w:rsidRPr="002029AF">
        <w:t>reach</w:t>
      </w:r>
      <w:r w:rsidR="000A5329" w:rsidRPr="002029AF">
        <w:t xml:space="preserve"> </w:t>
      </w:r>
      <w:r w:rsidRPr="002029AF">
        <w:t>their</w:t>
      </w:r>
      <w:r w:rsidR="000A5329" w:rsidRPr="002029AF">
        <w:t xml:space="preserve"> </w:t>
      </w:r>
      <w:r w:rsidRPr="002029AF">
        <w:t>potential:</w:t>
      </w:r>
      <w:r w:rsidR="000A5329" w:rsidRPr="002029AF">
        <w:t xml:space="preserve"> </w:t>
      </w:r>
      <w:r w:rsidRPr="002029AF">
        <w:t>Keep</w:t>
      </w:r>
      <w:r w:rsidR="000A5329" w:rsidRPr="002029AF">
        <w:t xml:space="preserve"> </w:t>
      </w:r>
      <w:r w:rsidRPr="002029AF">
        <w:t>Embracing</w:t>
      </w:r>
      <w:r w:rsidR="000A5329" w:rsidRPr="002029AF">
        <w:t xml:space="preserve"> </w:t>
      </w:r>
      <w:r w:rsidRPr="002029AF">
        <w:t>Your</w:t>
      </w:r>
      <w:r w:rsidR="000A5329" w:rsidRPr="002029AF">
        <w:t xml:space="preserve"> </w:t>
      </w:r>
      <w:r w:rsidRPr="002029AF">
        <w:t>Success</w:t>
      </w:r>
      <w:r w:rsidR="000A5329" w:rsidRPr="002029AF">
        <w:t xml:space="preserve"> </w:t>
      </w:r>
      <w:r w:rsidRPr="002029AF">
        <w:t>(KEYS),</w:t>
      </w:r>
      <w:r w:rsidR="000A5329" w:rsidRPr="002029AF">
        <w:t xml:space="preserve"> </w:t>
      </w:r>
      <w:r w:rsidRPr="002029AF">
        <w:t>Better</w:t>
      </w:r>
      <w:r w:rsidR="000A5329" w:rsidRPr="002029AF">
        <w:t xml:space="preserve"> </w:t>
      </w:r>
      <w:r w:rsidRPr="002029AF">
        <w:t>Futures</w:t>
      </w:r>
      <w:r w:rsidR="000A5329" w:rsidRPr="002029AF">
        <w:t xml:space="preserve"> </w:t>
      </w:r>
      <w:r w:rsidRPr="002029AF">
        <w:t>and</w:t>
      </w:r>
      <w:r w:rsidR="000A5329" w:rsidRPr="002029AF">
        <w:t xml:space="preserve"> </w:t>
      </w:r>
      <w:r w:rsidRPr="002029AF">
        <w:t>Home</w:t>
      </w:r>
      <w:r w:rsidR="000A5329" w:rsidRPr="002029AF">
        <w:t xml:space="preserve"> </w:t>
      </w:r>
      <w:r w:rsidRPr="002029AF">
        <w:t>Stretch</w:t>
      </w:r>
    </w:p>
    <w:p w14:paraId="471E7F43" w14:textId="53594EDA" w:rsidR="00770DE1" w:rsidRPr="002029AF" w:rsidRDefault="00770DE1" w:rsidP="001E768A">
      <w:pPr>
        <w:pStyle w:val="ARbullet2"/>
      </w:pPr>
      <w:r w:rsidRPr="002029AF">
        <w:t>launching</w:t>
      </w:r>
      <w:r w:rsidR="000A5329" w:rsidRPr="002029AF">
        <w:t xml:space="preserve"> </w:t>
      </w:r>
      <w:r w:rsidRPr="002029AF">
        <w:t>a</w:t>
      </w:r>
      <w:r w:rsidR="000A5329" w:rsidRPr="002029AF">
        <w:t xml:space="preserve"> </w:t>
      </w:r>
      <w:r w:rsidRPr="002029AF">
        <w:t>proactive</w:t>
      </w:r>
      <w:r w:rsidR="000A5329" w:rsidRPr="002029AF">
        <w:t xml:space="preserve"> </w:t>
      </w:r>
      <w:r w:rsidRPr="002029AF">
        <w:t>policy</w:t>
      </w:r>
      <w:r w:rsidR="000A5329" w:rsidRPr="002029AF">
        <w:t xml:space="preserve"> </w:t>
      </w:r>
      <w:r w:rsidRPr="002029AF">
        <w:t>approach</w:t>
      </w:r>
      <w:r w:rsidR="000A5329" w:rsidRPr="002029AF">
        <w:t xml:space="preserve"> </w:t>
      </w:r>
      <w:r w:rsidRPr="002029AF">
        <w:t>and</w:t>
      </w:r>
      <w:r w:rsidR="000A5329" w:rsidRPr="002029AF">
        <w:t xml:space="preserve"> </w:t>
      </w:r>
      <w:r w:rsidRPr="002029AF">
        <w:t>framework</w:t>
      </w:r>
      <w:r w:rsidR="000A5329" w:rsidRPr="002029AF">
        <w:t xml:space="preserve"> </w:t>
      </w:r>
      <w:r w:rsidRPr="002029AF">
        <w:t>to</w:t>
      </w:r>
      <w:r w:rsidR="000A5329" w:rsidRPr="002029AF">
        <w:t xml:space="preserve"> </w:t>
      </w:r>
      <w:r w:rsidRPr="002029AF">
        <w:t>reduce</w:t>
      </w:r>
      <w:r w:rsidR="000A5329" w:rsidRPr="002029AF">
        <w:t xml:space="preserve"> </w:t>
      </w:r>
      <w:r w:rsidRPr="002029AF">
        <w:t>the</w:t>
      </w:r>
      <w:r w:rsidR="000A5329" w:rsidRPr="002029AF">
        <w:t xml:space="preserve"> </w:t>
      </w:r>
      <w:r w:rsidRPr="002029AF">
        <w:t>criminalisation</w:t>
      </w:r>
      <w:r w:rsidR="000A5329" w:rsidRPr="002029AF">
        <w:t xml:space="preserve"> </w:t>
      </w:r>
      <w:r w:rsidRPr="002029AF">
        <w:t>of</w:t>
      </w:r>
      <w:r w:rsidR="000A5329" w:rsidRPr="002029AF">
        <w:t xml:space="preserve"> </w:t>
      </w:r>
      <w:r w:rsidRPr="002029AF">
        <w:t>young</w:t>
      </w:r>
      <w:r w:rsidR="000A5329" w:rsidRPr="002029AF">
        <w:t xml:space="preserve"> </w:t>
      </w:r>
      <w:r w:rsidRPr="002029AF">
        <w:t>people</w:t>
      </w:r>
      <w:r w:rsidR="000A5329" w:rsidRPr="002029AF">
        <w:t xml:space="preserve"> </w:t>
      </w:r>
      <w:r w:rsidRPr="002029AF">
        <w:t>in</w:t>
      </w:r>
      <w:r w:rsidR="000A5329" w:rsidRPr="002029AF">
        <w:t xml:space="preserve"> </w:t>
      </w:r>
      <w:r w:rsidRPr="002029AF">
        <w:t>out-of-home</w:t>
      </w:r>
      <w:r w:rsidR="000A5329" w:rsidRPr="002029AF">
        <w:t xml:space="preserve"> </w:t>
      </w:r>
      <w:r w:rsidRPr="002029AF">
        <w:t>care</w:t>
      </w:r>
    </w:p>
    <w:p w14:paraId="6254517E" w14:textId="4126064A" w:rsidR="000A5329" w:rsidRPr="002029AF" w:rsidRDefault="00770DE1" w:rsidP="001E768A">
      <w:pPr>
        <w:pStyle w:val="ARbullet2"/>
      </w:pPr>
      <w:r w:rsidRPr="002029AF">
        <w:lastRenderedPageBreak/>
        <w:t>launching</w:t>
      </w:r>
      <w:r w:rsidR="000A5329" w:rsidRPr="002029AF">
        <w:t xml:space="preserve"> </w:t>
      </w:r>
      <w:r w:rsidR="004D3EEE" w:rsidRPr="002029AF">
        <w:rPr>
          <w:i/>
          <w:iCs/>
        </w:rPr>
        <w:t>Strong</w:t>
      </w:r>
      <w:r w:rsidR="000A5329" w:rsidRPr="002029AF">
        <w:rPr>
          <w:i/>
          <w:iCs/>
        </w:rPr>
        <w:t xml:space="preserve"> </w:t>
      </w:r>
      <w:r w:rsidR="004D3EEE" w:rsidRPr="002029AF">
        <w:rPr>
          <w:i/>
          <w:iCs/>
        </w:rPr>
        <w:t>carers</w:t>
      </w:r>
      <w:r w:rsidR="009F09E7" w:rsidRPr="002029AF">
        <w:rPr>
          <w:i/>
          <w:iCs/>
        </w:rPr>
        <w:t>,</w:t>
      </w:r>
      <w:r w:rsidR="000A5329" w:rsidRPr="002029AF">
        <w:rPr>
          <w:i/>
          <w:iCs/>
        </w:rPr>
        <w:t xml:space="preserve"> </w:t>
      </w:r>
      <w:r w:rsidR="009F09E7" w:rsidRPr="002029AF">
        <w:rPr>
          <w:i/>
          <w:iCs/>
        </w:rPr>
        <w:t>stronger</w:t>
      </w:r>
      <w:r w:rsidR="000A5329" w:rsidRPr="002029AF">
        <w:rPr>
          <w:i/>
          <w:iCs/>
        </w:rPr>
        <w:t xml:space="preserve"> </w:t>
      </w:r>
      <w:r w:rsidR="009F09E7" w:rsidRPr="002029AF">
        <w:rPr>
          <w:i/>
          <w:iCs/>
        </w:rPr>
        <w:t>children.</w:t>
      </w:r>
      <w:r w:rsidR="000A5329" w:rsidRPr="002029AF">
        <w:rPr>
          <w:i/>
          <w:iCs/>
        </w:rPr>
        <w:t xml:space="preserve"> </w:t>
      </w:r>
      <w:r w:rsidRPr="002029AF">
        <w:t>Victoria’s</w:t>
      </w:r>
      <w:r w:rsidR="000A5329" w:rsidRPr="002029AF">
        <w:t xml:space="preserve"> </w:t>
      </w:r>
      <w:r w:rsidRPr="002029AF">
        <w:t>first</w:t>
      </w:r>
      <w:r w:rsidR="000A5329" w:rsidRPr="002029AF">
        <w:t xml:space="preserve"> </w:t>
      </w:r>
      <w:r w:rsidRPr="002029AF">
        <w:t>home-based</w:t>
      </w:r>
      <w:r w:rsidR="000A5329" w:rsidRPr="002029AF">
        <w:t xml:space="preserve"> </w:t>
      </w:r>
      <w:r w:rsidRPr="002029AF">
        <w:t>care</w:t>
      </w:r>
      <w:r w:rsidR="000A5329" w:rsidRPr="002029AF">
        <w:t xml:space="preserve"> </w:t>
      </w:r>
      <w:r w:rsidRPr="002029AF">
        <w:t>strategy</w:t>
      </w:r>
      <w:r w:rsidR="000A5329" w:rsidRPr="002029AF">
        <w:t xml:space="preserve"> </w:t>
      </w:r>
      <w:r w:rsidRPr="002029AF">
        <w:t>to</w:t>
      </w:r>
      <w:r w:rsidR="000A5329" w:rsidRPr="002029AF">
        <w:t xml:space="preserve"> </w:t>
      </w:r>
      <w:r w:rsidRPr="002029AF">
        <w:t>support</w:t>
      </w:r>
      <w:r w:rsidR="000A5329" w:rsidRPr="002029AF">
        <w:t xml:space="preserve"> </w:t>
      </w:r>
      <w:r w:rsidRPr="002029AF">
        <w:t>kinship,</w:t>
      </w:r>
      <w:r w:rsidR="000A5329" w:rsidRPr="002029AF">
        <w:t xml:space="preserve"> </w:t>
      </w:r>
      <w:r w:rsidRPr="002029AF">
        <w:t>foster</w:t>
      </w:r>
      <w:r w:rsidR="000A5329" w:rsidRPr="002029AF">
        <w:t xml:space="preserve"> </w:t>
      </w:r>
      <w:r w:rsidRPr="002029AF">
        <w:t>and</w:t>
      </w:r>
      <w:r w:rsidR="000A5329" w:rsidRPr="002029AF">
        <w:t xml:space="preserve"> </w:t>
      </w:r>
      <w:r w:rsidRPr="002029AF">
        <w:t>permanent</w:t>
      </w:r>
      <w:r w:rsidR="000A5329" w:rsidRPr="002029AF">
        <w:t xml:space="preserve"> </w:t>
      </w:r>
      <w:r w:rsidRPr="002029AF">
        <w:t>carers</w:t>
      </w:r>
    </w:p>
    <w:p w14:paraId="128FB11E" w14:textId="3A49F533" w:rsidR="000A5329" w:rsidRPr="002029AF" w:rsidRDefault="00770DE1" w:rsidP="001E768A">
      <w:pPr>
        <w:pStyle w:val="ARbullet2"/>
      </w:pPr>
      <w:r w:rsidRPr="002029AF">
        <w:t>continuing</w:t>
      </w:r>
      <w:r w:rsidR="000A5329" w:rsidRPr="002029AF">
        <w:t xml:space="preserve"> </w:t>
      </w:r>
      <w:r w:rsidRPr="002029AF">
        <w:t>to</w:t>
      </w:r>
      <w:r w:rsidR="000A5329" w:rsidRPr="002029AF">
        <w:t xml:space="preserve"> </w:t>
      </w:r>
      <w:r w:rsidRPr="002029AF">
        <w:t>pilot</w:t>
      </w:r>
      <w:r w:rsidR="000A5329" w:rsidRPr="002029AF">
        <w:t xml:space="preserve"> </w:t>
      </w:r>
      <w:r w:rsidRPr="002029AF">
        <w:t>the</w:t>
      </w:r>
      <w:r w:rsidR="000A5329" w:rsidRPr="002029AF">
        <w:t xml:space="preserve"> </w:t>
      </w:r>
      <w:r w:rsidRPr="002029AF">
        <w:t>group-based</w:t>
      </w:r>
      <w:r w:rsidR="000A5329" w:rsidRPr="002029AF">
        <w:t xml:space="preserve"> </w:t>
      </w:r>
      <w:r w:rsidRPr="002029AF">
        <w:t>Caring</w:t>
      </w:r>
      <w:r w:rsidR="000A5329" w:rsidRPr="002029AF">
        <w:t xml:space="preserve"> </w:t>
      </w:r>
      <w:r w:rsidRPr="002029AF">
        <w:t>Dads</w:t>
      </w:r>
      <w:r w:rsidR="000A5329" w:rsidRPr="002029AF">
        <w:t xml:space="preserve"> </w:t>
      </w:r>
      <w:r w:rsidRPr="002029AF">
        <w:t>program</w:t>
      </w:r>
      <w:r w:rsidR="000A5329" w:rsidRPr="002029AF">
        <w:t xml:space="preserve"> </w:t>
      </w:r>
      <w:r w:rsidRPr="002029AF">
        <w:t>for</w:t>
      </w:r>
      <w:r w:rsidR="000A5329" w:rsidRPr="002029AF">
        <w:t xml:space="preserve"> </w:t>
      </w:r>
      <w:r w:rsidRPr="002029AF">
        <w:t>fathers</w:t>
      </w:r>
      <w:r w:rsidR="000A5329" w:rsidRPr="002029AF">
        <w:t xml:space="preserve"> </w:t>
      </w:r>
      <w:r w:rsidRPr="002029AF">
        <w:t>who</w:t>
      </w:r>
      <w:r w:rsidR="000A5329" w:rsidRPr="002029AF">
        <w:t xml:space="preserve"> </w:t>
      </w:r>
      <w:r w:rsidRPr="002029AF">
        <w:t>have</w:t>
      </w:r>
      <w:r w:rsidR="000A5329" w:rsidRPr="002029AF">
        <w:t xml:space="preserve"> </w:t>
      </w:r>
      <w:r w:rsidRPr="002029AF">
        <w:t>exposed</w:t>
      </w:r>
      <w:r w:rsidR="000A5329" w:rsidRPr="002029AF">
        <w:t xml:space="preserve"> </w:t>
      </w:r>
      <w:r w:rsidRPr="002029AF">
        <w:t>their</w:t>
      </w:r>
      <w:r w:rsidR="000A5329" w:rsidRPr="002029AF">
        <w:t xml:space="preserve"> </w:t>
      </w:r>
      <w:r w:rsidRPr="002029AF">
        <w:t>children</w:t>
      </w:r>
      <w:r w:rsidR="000A5329" w:rsidRPr="002029AF">
        <w:t xml:space="preserve"> </w:t>
      </w:r>
      <w:r w:rsidRPr="002029AF">
        <w:t>to</w:t>
      </w:r>
      <w:r w:rsidR="000A5329" w:rsidRPr="002029AF">
        <w:t xml:space="preserve"> </w:t>
      </w:r>
      <w:r w:rsidRPr="002029AF">
        <w:t>family</w:t>
      </w:r>
      <w:r w:rsidR="000A5329" w:rsidRPr="002029AF">
        <w:t xml:space="preserve"> </w:t>
      </w:r>
      <w:r w:rsidRPr="002029AF">
        <w:t>violence</w:t>
      </w:r>
    </w:p>
    <w:p w14:paraId="732BD06B" w14:textId="40AEE647" w:rsidR="00667FC4" w:rsidRPr="002029AF" w:rsidRDefault="00667FC4" w:rsidP="00667FC4">
      <w:pPr>
        <w:pStyle w:val="ARbullet2"/>
      </w:pPr>
      <w:r w:rsidRPr="002029AF">
        <w:t xml:space="preserve">developing new family violence victim-survivor-focused tools and practice guides to help organisations embed the </w:t>
      </w:r>
      <w:r w:rsidRPr="00B032FB">
        <w:rPr>
          <w:i/>
          <w:iCs/>
        </w:rPr>
        <w:t>Multi-agency</w:t>
      </w:r>
      <w:r>
        <w:rPr>
          <w:i/>
          <w:iCs/>
        </w:rPr>
        <w:t xml:space="preserve"> r</w:t>
      </w:r>
      <w:r w:rsidRPr="00B032FB">
        <w:rPr>
          <w:i/>
          <w:iCs/>
        </w:rPr>
        <w:t xml:space="preserve">isk </w:t>
      </w:r>
      <w:r>
        <w:rPr>
          <w:i/>
          <w:iCs/>
        </w:rPr>
        <w:t>a</w:t>
      </w:r>
      <w:r w:rsidRPr="00B032FB">
        <w:rPr>
          <w:i/>
          <w:iCs/>
        </w:rPr>
        <w:t xml:space="preserve">ssessment and </w:t>
      </w:r>
      <w:r>
        <w:rPr>
          <w:i/>
          <w:iCs/>
        </w:rPr>
        <w:t>m</w:t>
      </w:r>
      <w:r w:rsidRPr="00B032FB">
        <w:rPr>
          <w:i/>
          <w:iCs/>
        </w:rPr>
        <w:t xml:space="preserve">anagement </w:t>
      </w:r>
      <w:r>
        <w:rPr>
          <w:i/>
          <w:iCs/>
        </w:rPr>
        <w:t>f</w:t>
      </w:r>
      <w:r w:rsidRPr="00B032FB">
        <w:rPr>
          <w:i/>
          <w:iCs/>
        </w:rPr>
        <w:t>ramework</w:t>
      </w:r>
      <w:r w:rsidRPr="002029AF">
        <w:t xml:space="preserve"> and information sharing in their organisations, as well as starting to roll out the Tool for Risk Assessment and Management to non-Orange Door providers</w:t>
      </w:r>
    </w:p>
    <w:p w14:paraId="72E78CDB" w14:textId="77777777" w:rsidR="00667FC4" w:rsidRPr="002029AF" w:rsidRDefault="00667FC4" w:rsidP="00667FC4">
      <w:pPr>
        <w:pStyle w:val="ARbullet2"/>
      </w:pPr>
      <w:r w:rsidRPr="002029AF">
        <w:t>developing a wide range of resources to prevent elder abuse, as well as implementing an integrated model of care for responding to suspected elder abuse at five publicly funded health services</w:t>
      </w:r>
    </w:p>
    <w:p w14:paraId="681CD65C" w14:textId="39DCC109" w:rsidR="00770DE1" w:rsidRPr="002029AF" w:rsidRDefault="00667FC4" w:rsidP="009950F3">
      <w:pPr>
        <w:pStyle w:val="ARbullet2"/>
      </w:pPr>
      <w:r w:rsidRPr="002029AF">
        <w:t xml:space="preserve">launching the </w:t>
      </w:r>
      <w:r w:rsidRPr="009950F3">
        <w:rPr>
          <w:i/>
          <w:iCs/>
        </w:rPr>
        <w:t>Victorian autism plan</w:t>
      </w:r>
      <w:r w:rsidRPr="002029AF">
        <w:t xml:space="preserve"> to increase opportunities for education, economic participation and access to assessment, diagnosis and early intervention for people with autism.</w:t>
      </w:r>
    </w:p>
    <w:p w14:paraId="35587126" w14:textId="14C680CC" w:rsidR="00770DE1" w:rsidRPr="002029AF" w:rsidRDefault="00770DE1" w:rsidP="001E768A">
      <w:pPr>
        <w:pStyle w:val="ARbullet1"/>
      </w:pP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taken</w:t>
      </w:r>
      <w:r w:rsidR="000A5329" w:rsidRPr="002029AF">
        <w:t xml:space="preserve"> </w:t>
      </w:r>
      <w:r w:rsidRPr="002029AF">
        <w:t>steps</w:t>
      </w:r>
      <w:r w:rsidR="000A5329" w:rsidRPr="002029AF">
        <w:t xml:space="preserve"> </w:t>
      </w:r>
      <w:r w:rsidRPr="002029AF">
        <w:t>to</w:t>
      </w:r>
      <w:r w:rsidR="000A5329" w:rsidRPr="002029AF">
        <w:t xml:space="preserve"> </w:t>
      </w:r>
      <w:r w:rsidRPr="002029AF">
        <w:t>intervene</w:t>
      </w:r>
      <w:r w:rsidR="000A5329" w:rsidRPr="002029AF">
        <w:t xml:space="preserve"> </w:t>
      </w:r>
      <w:r w:rsidRPr="002029AF">
        <w:t>earlier</w:t>
      </w:r>
      <w:r w:rsidR="000A5329" w:rsidRPr="002029AF">
        <w:t xml:space="preserve"> </w:t>
      </w:r>
      <w:r w:rsidRPr="002029AF">
        <w:t>and</w:t>
      </w:r>
      <w:r w:rsidR="000A5329" w:rsidRPr="002029AF">
        <w:t xml:space="preserve"> </w:t>
      </w:r>
      <w:r w:rsidRPr="002029AF">
        <w:t>ensure</w:t>
      </w:r>
      <w:r w:rsidR="000A5329" w:rsidRPr="002029AF">
        <w:t xml:space="preserve"> </w:t>
      </w:r>
      <w:r w:rsidRPr="002029AF">
        <w:t>the</w:t>
      </w:r>
      <w:r w:rsidR="000A5329" w:rsidRPr="002029AF">
        <w:t xml:space="preserve"> </w:t>
      </w:r>
      <w:r w:rsidRPr="002029AF">
        <w:t>mental</w:t>
      </w:r>
      <w:r w:rsidR="000A5329" w:rsidRPr="002029AF">
        <w:t xml:space="preserve"> </w:t>
      </w:r>
      <w:r w:rsidRPr="002029AF">
        <w:t>health</w:t>
      </w:r>
      <w:r w:rsidR="000A5329" w:rsidRPr="002029AF">
        <w:t xml:space="preserve"> </w:t>
      </w:r>
      <w:r w:rsidRPr="002029AF">
        <w:t>of</w:t>
      </w:r>
      <w:r w:rsidR="000A5329" w:rsidRPr="002029AF">
        <w:t xml:space="preserve"> </w:t>
      </w:r>
      <w:r w:rsidRPr="002029AF">
        <w:t>all</w:t>
      </w:r>
      <w:r w:rsidR="000A5329" w:rsidRPr="002029AF">
        <w:t xml:space="preserve"> </w:t>
      </w:r>
      <w:r w:rsidRPr="002029AF">
        <w:t>Victorians</w:t>
      </w:r>
      <w:r w:rsidR="000A5329" w:rsidRPr="002029AF">
        <w:t xml:space="preserve"> </w:t>
      </w:r>
      <w:r w:rsidRPr="002029AF">
        <w:t>by:</w:t>
      </w:r>
    </w:p>
    <w:p w14:paraId="1CF97D99" w14:textId="49A2D827" w:rsidR="00770DE1" w:rsidRPr="002029AF" w:rsidRDefault="00770DE1" w:rsidP="001E768A">
      <w:pPr>
        <w:pStyle w:val="ARbullet2"/>
      </w:pPr>
      <w:r w:rsidRPr="002029AF">
        <w:t>establishing</w:t>
      </w:r>
      <w:r w:rsidR="000A5329" w:rsidRPr="002029AF">
        <w:t xml:space="preserve"> </w:t>
      </w:r>
      <w:r w:rsidRPr="002029AF">
        <w:t>Mental</w:t>
      </w:r>
      <w:r w:rsidR="000A5329" w:rsidRPr="002029AF">
        <w:t xml:space="preserve"> </w:t>
      </w:r>
      <w:r w:rsidRPr="002029AF">
        <w:t>Health</w:t>
      </w:r>
      <w:r w:rsidR="000A5329" w:rsidRPr="002029AF">
        <w:t xml:space="preserve"> </w:t>
      </w:r>
      <w:r w:rsidRPr="002029AF">
        <w:t>Reform</w:t>
      </w:r>
      <w:r w:rsidR="000A5329" w:rsidRPr="002029AF">
        <w:t xml:space="preserve"> </w:t>
      </w:r>
      <w:r w:rsidRPr="002029AF">
        <w:t>Victoria</w:t>
      </w:r>
      <w:r w:rsidR="000A5329" w:rsidRPr="002029AF">
        <w:t xml:space="preserve"> </w:t>
      </w:r>
      <w:r w:rsidRPr="002029AF">
        <w:t>–</w:t>
      </w:r>
      <w:r w:rsidR="000A5329" w:rsidRPr="002029AF">
        <w:t xml:space="preserve"> </w:t>
      </w:r>
      <w:r w:rsidRPr="002029AF">
        <w:t>a</w:t>
      </w:r>
      <w:r w:rsidR="000A5329" w:rsidRPr="002029AF">
        <w:t xml:space="preserve"> </w:t>
      </w:r>
      <w:r w:rsidRPr="002029AF">
        <w:t>recommendation</w:t>
      </w:r>
      <w:r w:rsidR="000A5329" w:rsidRPr="002029AF">
        <w:t xml:space="preserve"> </w:t>
      </w:r>
      <w:r w:rsidRPr="002029AF">
        <w:t>from</w:t>
      </w:r>
      <w:r w:rsidR="000A5329" w:rsidRPr="002029AF">
        <w:t xml:space="preserve"> </w:t>
      </w:r>
      <w:r w:rsidRPr="002029AF">
        <w:t>the</w:t>
      </w:r>
      <w:r w:rsidR="000A5329" w:rsidRPr="002029AF">
        <w:t xml:space="preserve"> </w:t>
      </w:r>
      <w:r w:rsidRPr="002029AF">
        <w:t>Royal</w:t>
      </w:r>
      <w:r w:rsidR="000A5329" w:rsidRPr="002029AF">
        <w:t xml:space="preserve"> </w:t>
      </w:r>
      <w:r w:rsidRPr="002029AF">
        <w:t>Commission</w:t>
      </w:r>
      <w:r w:rsidR="000A5329" w:rsidRPr="002029AF">
        <w:t xml:space="preserve"> </w:t>
      </w:r>
      <w:r w:rsidRPr="002029AF">
        <w:t>into</w:t>
      </w:r>
      <w:r w:rsidR="000A5329" w:rsidRPr="002029AF">
        <w:t xml:space="preserve"> </w:t>
      </w:r>
      <w:r w:rsidRPr="002029AF">
        <w:t>Victoria’s</w:t>
      </w:r>
      <w:r w:rsidR="000A5329" w:rsidRPr="002029AF">
        <w:t xml:space="preserve"> </w:t>
      </w:r>
      <w:r w:rsidRPr="002029AF">
        <w:t>Mental</w:t>
      </w:r>
      <w:r w:rsidR="000A5329" w:rsidRPr="002029AF">
        <w:t xml:space="preserve"> </w:t>
      </w:r>
      <w:r w:rsidRPr="002029AF">
        <w:t>Health</w:t>
      </w:r>
      <w:r w:rsidR="000A5329" w:rsidRPr="002029AF">
        <w:t xml:space="preserve"> </w:t>
      </w:r>
      <w:r w:rsidRPr="002029AF">
        <w:t>System.</w:t>
      </w:r>
      <w:r w:rsidR="000A5329" w:rsidRPr="002029AF">
        <w:t xml:space="preserve"> </w:t>
      </w:r>
      <w:r w:rsidRPr="002029AF">
        <w:t>The</w:t>
      </w:r>
      <w:r w:rsidR="000A5329" w:rsidRPr="002029AF">
        <w:t xml:space="preserve"> </w:t>
      </w:r>
      <w:r w:rsidRPr="002029AF">
        <w:t>new</w:t>
      </w:r>
      <w:r w:rsidR="000A5329" w:rsidRPr="002029AF">
        <w:t xml:space="preserve"> </w:t>
      </w:r>
      <w:r w:rsidRPr="002029AF">
        <w:t>agency</w:t>
      </w:r>
      <w:r w:rsidR="000A5329" w:rsidRPr="002029AF">
        <w:t xml:space="preserve"> </w:t>
      </w:r>
      <w:r w:rsidRPr="002029AF">
        <w:t>will</w:t>
      </w:r>
      <w:r w:rsidR="000A5329" w:rsidRPr="002029AF">
        <w:t xml:space="preserve"> </w:t>
      </w:r>
      <w:r w:rsidRPr="002029AF">
        <w:t>drive</w:t>
      </w:r>
      <w:r w:rsidR="000A5329" w:rsidRPr="002029AF">
        <w:t xml:space="preserve"> </w:t>
      </w:r>
      <w:r w:rsidRPr="002029AF">
        <w:t>broader</w:t>
      </w:r>
      <w:r w:rsidR="000A5329" w:rsidRPr="002029AF">
        <w:t xml:space="preserve"> </w:t>
      </w:r>
      <w:r w:rsidRPr="002029AF">
        <w:t>transformational</w:t>
      </w:r>
      <w:r w:rsidR="000A5329" w:rsidRPr="002029AF">
        <w:t xml:space="preserve"> </w:t>
      </w:r>
      <w:r w:rsidRPr="002029AF">
        <w:t>change</w:t>
      </w:r>
      <w:r w:rsidR="000A5329" w:rsidRPr="002029AF">
        <w:t xml:space="preserve"> </w:t>
      </w:r>
      <w:r w:rsidRPr="002029AF">
        <w:t>across</w:t>
      </w:r>
      <w:r w:rsidR="000A5329" w:rsidRPr="002029AF">
        <w:t xml:space="preserve"> </w:t>
      </w:r>
      <w:r w:rsidRPr="002029AF">
        <w:t>the</w:t>
      </w:r>
      <w:r w:rsidR="000A5329" w:rsidRPr="002029AF">
        <w:t xml:space="preserve"> </w:t>
      </w:r>
      <w:r w:rsidRPr="002029AF">
        <w:t>system</w:t>
      </w:r>
      <w:r w:rsidR="000A5329" w:rsidRPr="002029AF">
        <w:t xml:space="preserve"> </w:t>
      </w:r>
      <w:r w:rsidRPr="002029AF">
        <w:t>over</w:t>
      </w:r>
      <w:r w:rsidR="000A5329" w:rsidRPr="002029AF">
        <w:t xml:space="preserve"> </w:t>
      </w:r>
      <w:r w:rsidRPr="002029AF">
        <w:t>the</w:t>
      </w:r>
      <w:r w:rsidR="000A5329" w:rsidRPr="002029AF">
        <w:t xml:space="preserve"> </w:t>
      </w:r>
      <w:r w:rsidRPr="002029AF">
        <w:t>medium</w:t>
      </w:r>
      <w:r w:rsidR="000A5329" w:rsidRPr="002029AF">
        <w:t xml:space="preserve"> </w:t>
      </w:r>
      <w:r w:rsidRPr="002029AF">
        <w:t>to</w:t>
      </w:r>
      <w:r w:rsidR="000A5329" w:rsidRPr="002029AF">
        <w:t xml:space="preserve"> </w:t>
      </w:r>
      <w:r w:rsidRPr="002029AF">
        <w:t>long</w:t>
      </w:r>
      <w:r w:rsidR="000A5329" w:rsidRPr="002029AF">
        <w:t xml:space="preserve"> </w:t>
      </w:r>
      <w:r w:rsidRPr="002029AF">
        <w:t>term</w:t>
      </w:r>
    </w:p>
    <w:p w14:paraId="2A54124D" w14:textId="3864DEB5" w:rsidR="00770DE1" w:rsidRPr="002029AF" w:rsidRDefault="00770DE1" w:rsidP="001E768A">
      <w:pPr>
        <w:pStyle w:val="ARbullet2"/>
      </w:pPr>
      <w:r w:rsidRPr="002029AF">
        <w:t>providing</w:t>
      </w:r>
      <w:r w:rsidR="000A5329" w:rsidRPr="002029AF">
        <w:t xml:space="preserve"> </w:t>
      </w:r>
      <w:r w:rsidRPr="002029AF">
        <w:t>surge</w:t>
      </w:r>
      <w:r w:rsidR="000A5329" w:rsidRPr="002029AF">
        <w:t xml:space="preserve"> </w:t>
      </w:r>
      <w:r w:rsidRPr="002029AF">
        <w:t>funding</w:t>
      </w:r>
      <w:r w:rsidR="000A5329" w:rsidRPr="002029AF">
        <w:t xml:space="preserve"> </w:t>
      </w:r>
      <w:r w:rsidRPr="002029AF">
        <w:t>to</w:t>
      </w:r>
      <w:r w:rsidR="000A5329" w:rsidRPr="002029AF">
        <w:t xml:space="preserve"> </w:t>
      </w:r>
      <w:r w:rsidRPr="002029AF">
        <w:t>meet</w:t>
      </w:r>
      <w:r w:rsidR="000A5329" w:rsidRPr="002029AF">
        <w:t xml:space="preserve"> </w:t>
      </w:r>
      <w:r w:rsidRPr="002029AF">
        <w:t>increased</w:t>
      </w:r>
      <w:r w:rsidR="000A5329" w:rsidRPr="002029AF">
        <w:t xml:space="preserve"> </w:t>
      </w:r>
      <w:r w:rsidRPr="002029AF">
        <w:t>demand</w:t>
      </w:r>
      <w:r w:rsidR="000A5329" w:rsidRPr="002029AF">
        <w:t xml:space="preserve"> </w:t>
      </w:r>
      <w:r w:rsidRPr="002029AF">
        <w:t>for</w:t>
      </w:r>
      <w:r w:rsidR="000A5329" w:rsidRPr="002029AF">
        <w:t xml:space="preserve"> </w:t>
      </w:r>
      <w:r w:rsidRPr="002029AF">
        <w:t>mental</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during</w:t>
      </w:r>
      <w:r w:rsidR="000A5329" w:rsidRPr="002029AF">
        <w:t xml:space="preserve"> </w:t>
      </w:r>
      <w:r w:rsidRPr="002029AF">
        <w:t>the</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pandemic</w:t>
      </w:r>
      <w:r w:rsidR="000A5329" w:rsidRPr="002029AF">
        <w:t xml:space="preserve"> </w:t>
      </w:r>
      <w:r w:rsidRPr="002029AF">
        <w:t>and</w:t>
      </w:r>
      <w:r w:rsidR="000A5329" w:rsidRPr="002029AF">
        <w:t xml:space="preserve"> </w:t>
      </w:r>
      <w:r w:rsidRPr="002029AF">
        <w:t>to</w:t>
      </w:r>
      <w:r w:rsidR="000A5329" w:rsidRPr="002029AF">
        <w:t xml:space="preserve"> </w:t>
      </w:r>
      <w:r w:rsidRPr="002029AF">
        <w:t>ensure</w:t>
      </w:r>
      <w:r w:rsidR="000A5329" w:rsidRPr="002029AF">
        <w:t xml:space="preserve"> </w:t>
      </w:r>
      <w:r w:rsidRPr="002029AF">
        <w:t>Victorians</w:t>
      </w:r>
      <w:r w:rsidR="000A5329" w:rsidRPr="002029AF">
        <w:t xml:space="preserve"> </w:t>
      </w:r>
      <w:r w:rsidRPr="002029AF">
        <w:t>get</w:t>
      </w:r>
      <w:r w:rsidR="000A5329" w:rsidRPr="002029AF">
        <w:t xml:space="preserve"> </w:t>
      </w:r>
      <w:r w:rsidRPr="002029AF">
        <w:t>the</w:t>
      </w:r>
      <w:r w:rsidR="000A5329" w:rsidRPr="002029AF">
        <w:t xml:space="preserve"> </w:t>
      </w:r>
      <w:r w:rsidRPr="002029AF">
        <w:t>care</w:t>
      </w:r>
      <w:r w:rsidR="000A5329" w:rsidRPr="002029AF">
        <w:t xml:space="preserve"> </w:t>
      </w:r>
      <w:r w:rsidRPr="002029AF">
        <w:t>they</w:t>
      </w:r>
      <w:r w:rsidR="000A5329" w:rsidRPr="002029AF">
        <w:t xml:space="preserve"> </w:t>
      </w:r>
      <w:r w:rsidRPr="002029AF">
        <w:t>need</w:t>
      </w:r>
      <w:r w:rsidR="000A5329" w:rsidRPr="002029AF">
        <w:t xml:space="preserve"> </w:t>
      </w:r>
      <w:r w:rsidRPr="002029AF">
        <w:t>to</w:t>
      </w:r>
      <w:r w:rsidR="000A5329" w:rsidRPr="002029AF">
        <w:t xml:space="preserve"> </w:t>
      </w:r>
      <w:r w:rsidRPr="002029AF">
        <w:t>tackle</w:t>
      </w:r>
      <w:r w:rsidR="000A5329" w:rsidRPr="002029AF">
        <w:t xml:space="preserve"> </w:t>
      </w:r>
      <w:r w:rsidRPr="002029AF">
        <w:t>stress,</w:t>
      </w:r>
      <w:r w:rsidR="000A5329" w:rsidRPr="002029AF">
        <w:t xml:space="preserve"> </w:t>
      </w:r>
      <w:r w:rsidRPr="002029AF">
        <w:t>isolation</w:t>
      </w:r>
      <w:r w:rsidR="000A5329" w:rsidRPr="002029AF">
        <w:t xml:space="preserve"> </w:t>
      </w:r>
      <w:r w:rsidRPr="002029AF">
        <w:t>and</w:t>
      </w:r>
      <w:r w:rsidR="000A5329" w:rsidRPr="002029AF">
        <w:t xml:space="preserve"> </w:t>
      </w:r>
      <w:r w:rsidRPr="002029AF">
        <w:t>uncertainty</w:t>
      </w:r>
    </w:p>
    <w:p w14:paraId="764EE4E4" w14:textId="746DBEE4" w:rsidR="00770DE1" w:rsidRPr="002029AF" w:rsidRDefault="00770DE1" w:rsidP="001E768A">
      <w:pPr>
        <w:pStyle w:val="ARbullet2"/>
      </w:pPr>
      <w:r w:rsidRPr="002029AF">
        <w:t>extending</w:t>
      </w:r>
      <w:r w:rsidR="000A5329" w:rsidRPr="002029AF">
        <w:t xml:space="preserve"> </w:t>
      </w:r>
      <w:r w:rsidRPr="002029AF">
        <w:t>the</w:t>
      </w:r>
      <w:r w:rsidR="000A5329" w:rsidRPr="002029AF">
        <w:t xml:space="preserve"> </w:t>
      </w:r>
      <w:r w:rsidR="00A22F5C" w:rsidRPr="002029AF">
        <w:t>m</w:t>
      </w:r>
      <w:r w:rsidRPr="002029AF">
        <w:t>edically</w:t>
      </w:r>
      <w:r w:rsidR="000A5329" w:rsidRPr="002029AF">
        <w:t xml:space="preserve"> </w:t>
      </w:r>
      <w:r w:rsidR="00A22F5C" w:rsidRPr="002029AF">
        <w:t>s</w:t>
      </w:r>
      <w:r w:rsidRPr="002029AF">
        <w:t>upervised</w:t>
      </w:r>
      <w:r w:rsidR="000A5329" w:rsidRPr="002029AF">
        <w:t xml:space="preserve"> </w:t>
      </w:r>
      <w:r w:rsidR="00A22F5C" w:rsidRPr="002029AF">
        <w:t>i</w:t>
      </w:r>
      <w:r w:rsidRPr="002029AF">
        <w:t>njecting</w:t>
      </w:r>
      <w:r w:rsidR="000A5329" w:rsidRPr="002029AF">
        <w:t xml:space="preserve"> </w:t>
      </w:r>
      <w:r w:rsidR="00A22F5C" w:rsidRPr="002029AF">
        <w:t>r</w:t>
      </w:r>
      <w:r w:rsidRPr="002029AF">
        <w:t>oom</w:t>
      </w:r>
      <w:r w:rsidR="000A5329" w:rsidRPr="002029AF">
        <w:t xml:space="preserve"> </w:t>
      </w:r>
      <w:r w:rsidRPr="002029AF">
        <w:t>trial</w:t>
      </w:r>
      <w:r w:rsidR="000A5329" w:rsidRPr="002029AF">
        <w:t xml:space="preserve"> </w:t>
      </w:r>
      <w:r w:rsidRPr="002029AF">
        <w:t>in</w:t>
      </w:r>
      <w:r w:rsidR="000A5329" w:rsidRPr="002029AF">
        <w:t xml:space="preserve"> </w:t>
      </w:r>
      <w:r w:rsidRPr="002029AF">
        <w:t>North</w:t>
      </w:r>
      <w:r w:rsidR="000A5329" w:rsidRPr="002029AF">
        <w:t xml:space="preserve"> </w:t>
      </w:r>
      <w:r w:rsidRPr="002029AF">
        <w:t>Richmond</w:t>
      </w:r>
      <w:r w:rsidR="000A5329" w:rsidRPr="002029AF">
        <w:t xml:space="preserve"> </w:t>
      </w:r>
      <w:r w:rsidRPr="002029AF">
        <w:t>for</w:t>
      </w:r>
      <w:r w:rsidR="000A5329" w:rsidRPr="002029AF">
        <w:t xml:space="preserve"> </w:t>
      </w:r>
      <w:r w:rsidRPr="002029AF">
        <w:t>a</w:t>
      </w:r>
      <w:r w:rsidR="000A5329" w:rsidRPr="002029AF">
        <w:t xml:space="preserve"> </w:t>
      </w:r>
      <w:r w:rsidRPr="002029AF">
        <w:t>further</w:t>
      </w:r>
      <w:r w:rsidR="000A5329" w:rsidRPr="002029AF">
        <w:t xml:space="preserve"> </w:t>
      </w:r>
      <w:r w:rsidRPr="002029AF">
        <w:t>three</w:t>
      </w:r>
      <w:r w:rsidR="000A5329" w:rsidRPr="002029AF">
        <w:t xml:space="preserve"> </w:t>
      </w:r>
      <w:r w:rsidRPr="002029AF">
        <w:t>years.</w:t>
      </w:r>
      <w:r w:rsidR="000A5329" w:rsidRPr="002029AF">
        <w:rPr>
          <w:b/>
          <w:bCs/>
        </w:rPr>
        <w:t xml:space="preserve"> </w:t>
      </w:r>
      <w:r w:rsidRPr="002029AF">
        <w:t>An</w:t>
      </w:r>
      <w:r w:rsidR="000A5329" w:rsidRPr="002029AF">
        <w:t xml:space="preserve"> </w:t>
      </w:r>
      <w:r w:rsidRPr="002029AF">
        <w:t>independent</w:t>
      </w:r>
      <w:r w:rsidR="000A5329" w:rsidRPr="002029AF">
        <w:t xml:space="preserve"> </w:t>
      </w:r>
      <w:r w:rsidRPr="002029AF">
        <w:t>review</w:t>
      </w:r>
      <w:r w:rsidR="000A5329" w:rsidRPr="002029AF">
        <w:t xml:space="preserve"> </w:t>
      </w:r>
      <w:r w:rsidRPr="002029AF">
        <w:t>found</w:t>
      </w:r>
      <w:r w:rsidR="000A5329" w:rsidRPr="002029AF">
        <w:t xml:space="preserve"> </w:t>
      </w:r>
      <w:r w:rsidRPr="002029AF">
        <w:t>the</w:t>
      </w:r>
      <w:r w:rsidR="000A5329" w:rsidRPr="002029AF">
        <w:t xml:space="preserve"> </w:t>
      </w:r>
      <w:r w:rsidRPr="002029AF">
        <w:t>trial</w:t>
      </w:r>
      <w:r w:rsidR="000A5329" w:rsidRPr="002029AF">
        <w:t xml:space="preserve"> </w:t>
      </w:r>
      <w:r w:rsidRPr="002029AF">
        <w:t>is</w:t>
      </w:r>
      <w:r w:rsidR="000A5329" w:rsidRPr="002029AF">
        <w:t xml:space="preserve"> </w:t>
      </w:r>
      <w:r w:rsidRPr="002029AF">
        <w:t>saving</w:t>
      </w:r>
      <w:r w:rsidR="000A5329" w:rsidRPr="002029AF">
        <w:t xml:space="preserve"> </w:t>
      </w:r>
      <w:r w:rsidRPr="002029AF">
        <w:t>lives</w:t>
      </w:r>
      <w:r w:rsidR="000A5329" w:rsidRPr="002029AF">
        <w:t xml:space="preserve"> </w:t>
      </w:r>
      <w:r w:rsidRPr="002029AF">
        <w:t>and</w:t>
      </w:r>
      <w:r w:rsidR="000A5329" w:rsidRPr="002029AF">
        <w:t xml:space="preserve"> </w:t>
      </w:r>
      <w:r w:rsidRPr="002029AF">
        <w:t>improving</w:t>
      </w:r>
      <w:r w:rsidR="000A5329" w:rsidRPr="002029AF">
        <w:t xml:space="preserve"> </w:t>
      </w:r>
      <w:r w:rsidRPr="002029AF">
        <w:t>circumstances</w:t>
      </w:r>
      <w:r w:rsidR="000A5329" w:rsidRPr="002029AF">
        <w:t xml:space="preserve"> </w:t>
      </w:r>
      <w:r w:rsidRPr="002029AF">
        <w:t>for</w:t>
      </w:r>
      <w:r w:rsidR="000A5329" w:rsidRPr="002029AF">
        <w:t xml:space="preserve"> </w:t>
      </w:r>
      <w:r w:rsidRPr="002029AF">
        <w:t>people</w:t>
      </w:r>
      <w:r w:rsidR="000A5329" w:rsidRPr="002029AF">
        <w:t xml:space="preserve"> </w:t>
      </w:r>
      <w:r w:rsidRPr="002029AF">
        <w:t>struggling</w:t>
      </w:r>
      <w:r w:rsidR="000A5329" w:rsidRPr="002029AF">
        <w:t xml:space="preserve"> </w:t>
      </w:r>
      <w:r w:rsidRPr="002029AF">
        <w:t>with</w:t>
      </w:r>
      <w:r w:rsidR="000A5329" w:rsidRPr="002029AF">
        <w:t xml:space="preserve"> </w:t>
      </w:r>
      <w:r w:rsidRPr="002029AF">
        <w:t>drug</w:t>
      </w:r>
      <w:r w:rsidR="009950F3">
        <w:t> </w:t>
      </w:r>
      <w:r w:rsidRPr="002029AF">
        <w:t>addiction</w:t>
      </w:r>
      <w:r w:rsidR="00A22F5C" w:rsidRPr="002029AF">
        <w:t>.</w:t>
      </w:r>
    </w:p>
    <w:p w14:paraId="4BB005A0" w14:textId="6530CB9E" w:rsidR="00770DE1" w:rsidRDefault="00770DE1" w:rsidP="001E768A">
      <w:pPr>
        <w:pStyle w:val="ARbullet1"/>
      </w:pPr>
      <w:r w:rsidRPr="002029AF">
        <w:t>The</w:t>
      </w:r>
      <w:r w:rsidR="000A5329" w:rsidRPr="002029AF">
        <w:t xml:space="preserve"> </w:t>
      </w:r>
      <w:r w:rsidRPr="002029AF">
        <w:t>department</w:t>
      </w:r>
      <w:r w:rsidR="000A5329" w:rsidRPr="002029AF">
        <w:t xml:space="preserve"> </w:t>
      </w:r>
      <w:r w:rsidRPr="002029AF">
        <w:t>provided</w:t>
      </w:r>
      <w:r w:rsidR="000A5329" w:rsidRPr="002029AF">
        <w:t xml:space="preserve"> </w:t>
      </w:r>
      <w:r w:rsidRPr="002029AF">
        <w:t>earlier</w:t>
      </w:r>
      <w:r w:rsidR="000A5329" w:rsidRPr="002029AF">
        <w:t xml:space="preserve"> </w:t>
      </w:r>
      <w:r w:rsidRPr="002029AF">
        <w:t>support</w:t>
      </w:r>
      <w:r w:rsidR="000A5329" w:rsidRPr="002029AF">
        <w:t xml:space="preserve"> </w:t>
      </w:r>
      <w:r w:rsidRPr="002029AF">
        <w:t>for</w:t>
      </w:r>
      <w:r w:rsidR="000A5329" w:rsidRPr="002029AF">
        <w:t xml:space="preserve"> </w:t>
      </w:r>
      <w:r w:rsidRPr="002029AF">
        <w:t>people</w:t>
      </w:r>
      <w:r w:rsidR="000A5329" w:rsidRPr="002029AF">
        <w:t xml:space="preserve"> </w:t>
      </w:r>
      <w:r w:rsidRPr="002029AF">
        <w:t>experiencing</w:t>
      </w:r>
      <w:r w:rsidR="000A5329" w:rsidRPr="002029AF">
        <w:t xml:space="preserve"> </w:t>
      </w:r>
      <w:r w:rsidRPr="002029AF">
        <w:t>homelessness</w:t>
      </w:r>
      <w:r w:rsidR="000A5329" w:rsidRPr="002029AF">
        <w:t xml:space="preserve"> </w:t>
      </w:r>
      <w:r w:rsidRPr="002029AF">
        <w:t>through:</w:t>
      </w:r>
    </w:p>
    <w:p w14:paraId="55001C63" w14:textId="4147F63C" w:rsidR="00756414" w:rsidRDefault="00756414" w:rsidP="00756414">
      <w:pPr>
        <w:pStyle w:val="ARbullet2"/>
      </w:pPr>
      <w:r w:rsidRPr="00390F46">
        <w:t>supporting people affected by the impacts of</w:t>
      </w:r>
      <w:r w:rsidR="00020FE5">
        <w:t> </w:t>
      </w:r>
      <w:r w:rsidRPr="00390F46">
        <w:t>COVID-19 and those facing challenges in</w:t>
      </w:r>
      <w:r w:rsidR="00020FE5">
        <w:t> </w:t>
      </w:r>
      <w:r w:rsidRPr="00390F46">
        <w:t>securing or maintaining their accommodation</w:t>
      </w:r>
      <w:r>
        <w:t xml:space="preserve"> by:</w:t>
      </w:r>
    </w:p>
    <w:p w14:paraId="004DE46D" w14:textId="00BE411B" w:rsidR="00756414" w:rsidRDefault="00020FE5" w:rsidP="00756414">
      <w:pPr>
        <w:pStyle w:val="ARbullet3"/>
      </w:pPr>
      <w:r>
        <w:br w:type="column"/>
      </w:r>
      <w:r w:rsidR="00756414">
        <w:t xml:space="preserve">Investing $8.8 million in </w:t>
      </w:r>
      <w:r w:rsidR="00756414" w:rsidRPr="0065103E">
        <w:t>COVID-19 Isolation and Recovery Facilities to help keep people experiencing homelessness safe whilst also reducing the potential for community transmission of COVID-19</w:t>
      </w:r>
    </w:p>
    <w:p w14:paraId="4740D0A3" w14:textId="74DF10BE" w:rsidR="00756414" w:rsidRDefault="00756414" w:rsidP="00756414">
      <w:pPr>
        <w:pStyle w:val="ARbullet3"/>
      </w:pPr>
      <w:r>
        <w:t xml:space="preserve">Allocating additional </w:t>
      </w:r>
      <w:r w:rsidRPr="005A4CD6">
        <w:t xml:space="preserve">Private Rental Assistance Program and Housing Establishment Fund </w:t>
      </w:r>
      <w:r>
        <w:t xml:space="preserve">to homelessness services </w:t>
      </w:r>
      <w:r w:rsidRPr="005A4CD6">
        <w:t xml:space="preserve">to help </w:t>
      </w:r>
      <w:r>
        <w:t>keep people in secure accommodation during the pandemic</w:t>
      </w:r>
    </w:p>
    <w:p w14:paraId="7F56739F" w14:textId="77777777" w:rsidR="00020FE5" w:rsidRDefault="00756414" w:rsidP="00756414">
      <w:pPr>
        <w:pStyle w:val="ARbullet3"/>
      </w:pPr>
      <w:r>
        <w:t xml:space="preserve">Establishing </w:t>
      </w:r>
      <w:r w:rsidRPr="0047274A">
        <w:t>Homelessness Emergency Accommodation Response Teams led by the homelessness local area service networks to ensure a coordinated response is delivered in each region to people residing in emergency accommodation</w:t>
      </w:r>
    </w:p>
    <w:p w14:paraId="6F14BD49" w14:textId="19AC3ABF" w:rsidR="00667FC4" w:rsidRPr="002029AF" w:rsidRDefault="00667FC4" w:rsidP="00667FC4">
      <w:pPr>
        <w:pStyle w:val="ARbullet2"/>
      </w:pPr>
      <w:r w:rsidRPr="002029AF">
        <w:t xml:space="preserve">launching the $2.6 billion </w:t>
      </w:r>
      <w:r w:rsidRPr="00B032FB">
        <w:rPr>
          <w:i/>
          <w:iCs/>
        </w:rPr>
        <w:t>Homes for Victorian</w:t>
      </w:r>
      <w:r>
        <w:rPr>
          <w:i/>
          <w:iCs/>
        </w:rPr>
        <w:t>s</w:t>
      </w:r>
      <w:r w:rsidRPr="00B032FB">
        <w:rPr>
          <w:i/>
          <w:iCs/>
        </w:rPr>
        <w:t xml:space="preserve"> plan </w:t>
      </w:r>
      <w:r w:rsidRPr="002029AF">
        <w:t>which includes:</w:t>
      </w:r>
    </w:p>
    <w:p w14:paraId="097BF868" w14:textId="4646F9AF" w:rsidR="00770DE1" w:rsidRPr="002029AF" w:rsidRDefault="00770DE1" w:rsidP="001E768A">
      <w:pPr>
        <w:pStyle w:val="ARbullet3"/>
      </w:pPr>
      <w:r w:rsidRPr="002029AF">
        <w:t>$1</w:t>
      </w:r>
      <w:r w:rsidR="000A5329" w:rsidRPr="002029AF">
        <w:t xml:space="preserve"> </w:t>
      </w:r>
      <w:r w:rsidRPr="002029AF">
        <w:t>billion</w:t>
      </w:r>
      <w:r w:rsidR="000A5329" w:rsidRPr="002029AF">
        <w:t xml:space="preserve"> </w:t>
      </w:r>
      <w:r w:rsidRPr="002029AF">
        <w:t>Social</w:t>
      </w:r>
      <w:r w:rsidR="000A5329" w:rsidRPr="002029AF">
        <w:t xml:space="preserve"> </w:t>
      </w:r>
      <w:r w:rsidRPr="002029AF">
        <w:t>Housing</w:t>
      </w:r>
      <w:r w:rsidR="000A5329" w:rsidRPr="002029AF">
        <w:t xml:space="preserve"> </w:t>
      </w:r>
      <w:r w:rsidRPr="002029AF">
        <w:t>Growth</w:t>
      </w:r>
      <w:r w:rsidR="000A5329" w:rsidRPr="002029AF">
        <w:t xml:space="preserve"> </w:t>
      </w:r>
      <w:r w:rsidRPr="002029AF">
        <w:t>Fund</w:t>
      </w:r>
      <w:r w:rsidR="000A5329" w:rsidRPr="002029AF">
        <w:t xml:space="preserve"> </w:t>
      </w:r>
      <w:r w:rsidRPr="002029AF">
        <w:t>to</w:t>
      </w:r>
      <w:r w:rsidR="009950F3">
        <w:t> </w:t>
      </w:r>
      <w:r w:rsidRPr="002029AF">
        <w:t>increase</w:t>
      </w:r>
      <w:r w:rsidR="000A5329" w:rsidRPr="002029AF">
        <w:t xml:space="preserve"> </w:t>
      </w:r>
      <w:r w:rsidRPr="002029AF">
        <w:t>the</w:t>
      </w:r>
      <w:r w:rsidR="000A5329" w:rsidRPr="002029AF">
        <w:t xml:space="preserve"> </w:t>
      </w:r>
      <w:r w:rsidRPr="002029AF">
        <w:t>supply</w:t>
      </w:r>
      <w:r w:rsidR="000A5329" w:rsidRPr="002029AF">
        <w:t xml:space="preserve"> </w:t>
      </w:r>
      <w:r w:rsidRPr="002029AF">
        <w:t>of</w:t>
      </w:r>
      <w:r w:rsidR="000A5329" w:rsidRPr="002029AF">
        <w:t xml:space="preserve"> </w:t>
      </w:r>
      <w:r w:rsidRPr="002029AF">
        <w:t>social</w:t>
      </w:r>
      <w:r w:rsidR="000A5329" w:rsidRPr="002029AF">
        <w:t xml:space="preserve"> </w:t>
      </w:r>
      <w:r w:rsidRPr="002029AF">
        <w:t>and</w:t>
      </w:r>
      <w:r w:rsidR="000A5329" w:rsidRPr="002029AF">
        <w:t xml:space="preserve"> </w:t>
      </w:r>
      <w:r w:rsidRPr="002029AF">
        <w:t>affordable</w:t>
      </w:r>
      <w:r w:rsidR="000A5329" w:rsidRPr="002029AF">
        <w:t xml:space="preserve"> </w:t>
      </w:r>
      <w:r w:rsidRPr="002029AF">
        <w:t>housing</w:t>
      </w:r>
      <w:r w:rsidR="009E2C2D">
        <w:t xml:space="preserve"> with the latest tranche delivering 780 new social housing homes</w:t>
      </w:r>
    </w:p>
    <w:p w14:paraId="73F5727D" w14:textId="6719E5B6" w:rsidR="00770DE1" w:rsidRPr="002029AF" w:rsidRDefault="00770DE1" w:rsidP="001E768A">
      <w:pPr>
        <w:pStyle w:val="ARbullet3"/>
      </w:pPr>
      <w:r w:rsidRPr="002029AF">
        <w:t>$1.1</w:t>
      </w:r>
      <w:r w:rsidR="000A5329" w:rsidRPr="002029AF">
        <w:t xml:space="preserve"> </w:t>
      </w:r>
      <w:r w:rsidRPr="002029AF">
        <w:t>billion</w:t>
      </w:r>
      <w:r w:rsidR="000A5329" w:rsidRPr="002029AF">
        <w:t xml:space="preserve"> </w:t>
      </w:r>
      <w:r w:rsidRPr="002029AF">
        <w:t>in</w:t>
      </w:r>
      <w:r w:rsidR="000A5329" w:rsidRPr="002029AF">
        <w:t xml:space="preserve"> </w:t>
      </w:r>
      <w:r w:rsidRPr="002029AF">
        <w:t>financial</w:t>
      </w:r>
      <w:r w:rsidR="000A5329" w:rsidRPr="002029AF">
        <w:t xml:space="preserve"> </w:t>
      </w:r>
      <w:r w:rsidRPr="002029AF">
        <w:t>support</w:t>
      </w:r>
      <w:r w:rsidR="000A5329" w:rsidRPr="002029AF">
        <w:t xml:space="preserve"> </w:t>
      </w:r>
      <w:r w:rsidRPr="002029AF">
        <w:t>for</w:t>
      </w:r>
      <w:r w:rsidR="000A5329" w:rsidRPr="002029AF">
        <w:t xml:space="preserve"> </w:t>
      </w:r>
      <w:r w:rsidRPr="002029AF">
        <w:t>the</w:t>
      </w:r>
      <w:r w:rsidR="000A5329" w:rsidRPr="002029AF">
        <w:t xml:space="preserve"> </w:t>
      </w:r>
      <w:r w:rsidRPr="002029AF">
        <w:t>social</w:t>
      </w:r>
      <w:r w:rsidR="000A5329" w:rsidRPr="002029AF">
        <w:t xml:space="preserve"> </w:t>
      </w:r>
      <w:r w:rsidRPr="002029AF">
        <w:t>housing</w:t>
      </w:r>
      <w:r w:rsidR="000A5329" w:rsidRPr="002029AF">
        <w:t xml:space="preserve"> </w:t>
      </w:r>
      <w:r w:rsidRPr="002029AF">
        <w:t>sector</w:t>
      </w:r>
    </w:p>
    <w:p w14:paraId="2A3614E8" w14:textId="3CD183C8" w:rsidR="00770DE1" w:rsidRPr="002029AF" w:rsidRDefault="00770DE1" w:rsidP="001E768A">
      <w:pPr>
        <w:pStyle w:val="ARbullet3"/>
      </w:pPr>
      <w:r w:rsidRPr="002029AF">
        <w:t>Increased</w:t>
      </w:r>
      <w:r w:rsidR="000A5329" w:rsidRPr="002029AF">
        <w:t xml:space="preserve"> </w:t>
      </w:r>
      <w:r w:rsidRPr="002029AF">
        <w:t>housing</w:t>
      </w:r>
      <w:r w:rsidR="000A5329" w:rsidRPr="002029AF">
        <w:t xml:space="preserve"> </w:t>
      </w:r>
      <w:r w:rsidRPr="002029AF">
        <w:t>support</w:t>
      </w:r>
      <w:r w:rsidR="000A5329" w:rsidRPr="002029AF">
        <w:t xml:space="preserve"> </w:t>
      </w:r>
      <w:r w:rsidRPr="002029AF">
        <w:t>for</w:t>
      </w:r>
      <w:r w:rsidR="000A5329" w:rsidRPr="002029AF">
        <w:t xml:space="preserve"> </w:t>
      </w:r>
      <w:r w:rsidRPr="002029AF">
        <w:t>survivors</w:t>
      </w:r>
      <w:r w:rsidR="000A5329" w:rsidRPr="002029AF">
        <w:t xml:space="preserve"> </w:t>
      </w:r>
      <w:r w:rsidRPr="002029AF">
        <w:t>of</w:t>
      </w:r>
      <w:r w:rsidR="000A5329" w:rsidRPr="002029AF">
        <w:t xml:space="preserve"> </w:t>
      </w:r>
      <w:r w:rsidRPr="002029AF">
        <w:t>family</w:t>
      </w:r>
      <w:r w:rsidR="000A5329" w:rsidRPr="002029AF">
        <w:t xml:space="preserve"> </w:t>
      </w:r>
      <w:r w:rsidRPr="002029AF">
        <w:t>violence</w:t>
      </w:r>
      <w:r w:rsidR="000A5329" w:rsidRPr="002029AF">
        <w:t xml:space="preserve"> </w:t>
      </w:r>
      <w:r w:rsidRPr="002029AF">
        <w:t>through</w:t>
      </w:r>
      <w:r w:rsidR="000A5329" w:rsidRPr="002029AF">
        <w:t xml:space="preserve"> </w:t>
      </w:r>
      <w:r w:rsidRPr="002029AF">
        <w:t>the</w:t>
      </w:r>
      <w:r w:rsidR="000A5329" w:rsidRPr="002029AF">
        <w:t xml:space="preserve"> </w:t>
      </w:r>
      <w:r w:rsidRPr="002029AF">
        <w:t>$152</w:t>
      </w:r>
      <w:r w:rsidR="000A5329" w:rsidRPr="002029AF">
        <w:t xml:space="preserve"> </w:t>
      </w:r>
      <w:r w:rsidRPr="002029AF">
        <w:t>million</w:t>
      </w:r>
      <w:r w:rsidR="000A5329" w:rsidRPr="002029AF">
        <w:t xml:space="preserve"> </w:t>
      </w:r>
      <w:r w:rsidRPr="002029AF">
        <w:t>Family</w:t>
      </w:r>
      <w:r w:rsidR="000A5329" w:rsidRPr="002029AF">
        <w:t xml:space="preserve"> </w:t>
      </w:r>
      <w:r w:rsidRPr="002029AF">
        <w:t>Violence</w:t>
      </w:r>
      <w:r w:rsidR="000A5329" w:rsidRPr="002029AF">
        <w:t xml:space="preserve"> </w:t>
      </w:r>
      <w:r w:rsidRPr="002029AF">
        <w:t>Housing</w:t>
      </w:r>
      <w:r w:rsidR="000A5329" w:rsidRPr="002029AF">
        <w:t xml:space="preserve"> </w:t>
      </w:r>
      <w:r w:rsidRPr="002029AF">
        <w:t>Blitz</w:t>
      </w:r>
    </w:p>
    <w:p w14:paraId="77CCC68B" w14:textId="0CED34B8" w:rsidR="00770DE1" w:rsidRPr="002029AF" w:rsidRDefault="00770DE1" w:rsidP="001E768A">
      <w:pPr>
        <w:pStyle w:val="ARbullet3"/>
      </w:pPr>
      <w:r w:rsidRPr="002029AF">
        <w:t>An</w:t>
      </w:r>
      <w:r w:rsidR="000A5329" w:rsidRPr="002029AF">
        <w:t xml:space="preserve"> </w:t>
      </w:r>
      <w:r w:rsidRPr="002029AF">
        <w:t>extra</w:t>
      </w:r>
      <w:r w:rsidR="000A5329" w:rsidRPr="002029AF">
        <w:t xml:space="preserve"> </w:t>
      </w:r>
      <w:r w:rsidRPr="002029AF">
        <w:t>913</w:t>
      </w:r>
      <w:r w:rsidR="000A5329" w:rsidRPr="002029AF">
        <w:t xml:space="preserve"> </w:t>
      </w:r>
      <w:r w:rsidRPr="002029AF">
        <w:t>social</w:t>
      </w:r>
      <w:r w:rsidR="000A5329" w:rsidRPr="002029AF">
        <w:t xml:space="preserve"> </w:t>
      </w:r>
      <w:r w:rsidRPr="002029AF">
        <w:t>housing</w:t>
      </w:r>
      <w:r w:rsidR="000A5329" w:rsidRPr="002029AF">
        <w:t xml:space="preserve"> </w:t>
      </w:r>
      <w:r w:rsidRPr="002029AF">
        <w:t>dwellings</w:t>
      </w:r>
      <w:r w:rsidR="000A5329" w:rsidRPr="002029AF">
        <w:t xml:space="preserve"> </w:t>
      </w:r>
      <w:r w:rsidRPr="002029AF">
        <w:t>through</w:t>
      </w:r>
      <w:r w:rsidR="000A5329" w:rsidRPr="002029AF">
        <w:t xml:space="preserve"> </w:t>
      </w:r>
      <w:r w:rsidRPr="002029AF">
        <w:t>the</w:t>
      </w:r>
      <w:r w:rsidR="000A5329" w:rsidRPr="002029AF">
        <w:t xml:space="preserve"> </w:t>
      </w:r>
      <w:r w:rsidRPr="002029AF">
        <w:t>$120</w:t>
      </w:r>
      <w:r w:rsidR="000A5329" w:rsidRPr="002029AF">
        <w:t xml:space="preserve"> </w:t>
      </w:r>
      <w:r w:rsidRPr="002029AF">
        <w:t>million</w:t>
      </w:r>
      <w:r w:rsidR="000A5329" w:rsidRPr="002029AF">
        <w:t xml:space="preserve"> </w:t>
      </w:r>
      <w:r w:rsidRPr="002029AF">
        <w:t>Social</w:t>
      </w:r>
      <w:r w:rsidR="000A5329" w:rsidRPr="002029AF">
        <w:t xml:space="preserve"> </w:t>
      </w:r>
      <w:r w:rsidRPr="002029AF">
        <w:t>Housing</w:t>
      </w:r>
      <w:r w:rsidR="000A5329" w:rsidRPr="002029AF">
        <w:t xml:space="preserve"> </w:t>
      </w:r>
      <w:r w:rsidRPr="002029AF">
        <w:t>Pipeline</w:t>
      </w:r>
    </w:p>
    <w:p w14:paraId="6D4607EC" w14:textId="5FB07A69" w:rsidR="000A5329" w:rsidRPr="002029AF" w:rsidRDefault="00770DE1" w:rsidP="001E768A">
      <w:pPr>
        <w:pStyle w:val="ARbullet3"/>
      </w:pPr>
      <w:r w:rsidRPr="002029AF">
        <w:t>$109</w:t>
      </w:r>
      <w:r w:rsidR="000A5329" w:rsidRPr="002029AF">
        <w:t xml:space="preserve"> </w:t>
      </w:r>
      <w:r w:rsidRPr="002029AF">
        <w:t>million</w:t>
      </w:r>
      <w:r w:rsidR="000A5329" w:rsidRPr="002029AF">
        <w:t xml:space="preserve"> </w:t>
      </w:r>
      <w:r w:rsidRPr="002029AF">
        <w:t>to</w:t>
      </w:r>
      <w:r w:rsidR="000A5329" w:rsidRPr="002029AF">
        <w:t xml:space="preserve"> </w:t>
      </w:r>
      <w:r w:rsidRPr="002029AF">
        <w:t>help</w:t>
      </w:r>
      <w:r w:rsidR="000A5329" w:rsidRPr="002029AF">
        <w:t xml:space="preserve"> </w:t>
      </w:r>
      <w:r w:rsidRPr="002029AF">
        <w:t>move</w:t>
      </w:r>
      <w:r w:rsidR="000A5329" w:rsidRPr="002029AF">
        <w:t xml:space="preserve"> </w:t>
      </w:r>
      <w:r w:rsidRPr="002029AF">
        <w:t>homeless</w:t>
      </w:r>
      <w:r w:rsidR="000A5329" w:rsidRPr="002029AF">
        <w:t xml:space="preserve"> </w:t>
      </w:r>
      <w:r w:rsidRPr="002029AF">
        <w:t>Victorians</w:t>
      </w:r>
      <w:r w:rsidR="000A5329" w:rsidRPr="002029AF">
        <w:t xml:space="preserve"> </w:t>
      </w:r>
      <w:r w:rsidRPr="002029AF">
        <w:t>into</w:t>
      </w:r>
      <w:r w:rsidR="000A5329" w:rsidRPr="002029AF">
        <w:t xml:space="preserve"> </w:t>
      </w:r>
      <w:r w:rsidRPr="002029AF">
        <w:t>stable</w:t>
      </w:r>
      <w:r w:rsidR="000A5329" w:rsidRPr="002029AF">
        <w:t xml:space="preserve"> </w:t>
      </w:r>
      <w:r w:rsidRPr="002029AF">
        <w:t>housing</w:t>
      </w:r>
    </w:p>
    <w:p w14:paraId="738BC299" w14:textId="53407BFC" w:rsidR="00770DE1" w:rsidRPr="002029AF" w:rsidRDefault="00770DE1" w:rsidP="001E768A">
      <w:pPr>
        <w:pStyle w:val="ARbullet3"/>
      </w:pPr>
      <w:r w:rsidRPr="002029AF">
        <w:t>$33</w:t>
      </w:r>
      <w:r w:rsidR="000A5329" w:rsidRPr="002029AF">
        <w:t xml:space="preserve"> </w:t>
      </w:r>
      <w:r w:rsidRPr="002029AF">
        <w:t>million</w:t>
      </w:r>
      <w:r w:rsidR="000A5329" w:rsidRPr="002029AF">
        <w:t xml:space="preserve"> </w:t>
      </w:r>
      <w:r w:rsidRPr="002029AF">
        <w:t>to</w:t>
      </w:r>
      <w:r w:rsidR="000A5329" w:rsidRPr="002029AF">
        <w:t xml:space="preserve"> </w:t>
      </w:r>
      <w:r w:rsidRPr="002029AF">
        <w:t>help</w:t>
      </w:r>
      <w:r w:rsidR="000A5329" w:rsidRPr="002029AF">
        <w:t xml:space="preserve"> </w:t>
      </w:r>
      <w:r w:rsidRPr="002029AF">
        <w:t>4,000</w:t>
      </w:r>
      <w:r w:rsidR="000A5329" w:rsidRPr="002029AF">
        <w:t xml:space="preserve"> </w:t>
      </w:r>
      <w:r w:rsidRPr="002029AF">
        <w:t>Victorians</w:t>
      </w:r>
      <w:r w:rsidR="000A5329" w:rsidRPr="002029AF">
        <w:t xml:space="preserve"> </w:t>
      </w:r>
      <w:r w:rsidRPr="002029AF">
        <w:t>get</w:t>
      </w:r>
      <w:r w:rsidR="000A5329" w:rsidRPr="002029AF">
        <w:t xml:space="preserve"> </w:t>
      </w:r>
      <w:r w:rsidRPr="002029AF">
        <w:t>a</w:t>
      </w:r>
      <w:r w:rsidR="000A5329" w:rsidRPr="002029AF">
        <w:t xml:space="preserve"> </w:t>
      </w:r>
      <w:r w:rsidRPr="002029AF">
        <w:t>private</w:t>
      </w:r>
      <w:r w:rsidR="000A5329" w:rsidRPr="002029AF">
        <w:t xml:space="preserve"> </w:t>
      </w:r>
      <w:r w:rsidRPr="002029AF">
        <w:t>rental</w:t>
      </w:r>
      <w:r w:rsidR="000A5329" w:rsidRPr="002029AF">
        <w:t xml:space="preserve"> </w:t>
      </w:r>
      <w:r w:rsidRPr="002029AF">
        <w:t>home</w:t>
      </w:r>
      <w:r w:rsidR="00BA6497" w:rsidRPr="002029AF">
        <w:t>.</w:t>
      </w:r>
    </w:p>
    <w:p w14:paraId="53B55354" w14:textId="38F457CC" w:rsidR="00770DE1" w:rsidRPr="002029AF" w:rsidRDefault="00770DE1" w:rsidP="00C22356">
      <w:pPr>
        <w:pStyle w:val="Heading3"/>
      </w:pPr>
      <w:r w:rsidRPr="002029AF">
        <w:t>4.</w:t>
      </w:r>
      <w:r w:rsidR="000A5329" w:rsidRPr="002029AF">
        <w:t xml:space="preserve"> </w:t>
      </w:r>
      <w:r w:rsidRPr="002029AF">
        <w:t>Advancing</w:t>
      </w:r>
      <w:r w:rsidR="000A5329" w:rsidRPr="002029AF">
        <w:t xml:space="preserve"> </w:t>
      </w:r>
      <w:r w:rsidRPr="002029AF">
        <w:t>quality,</w:t>
      </w:r>
      <w:r w:rsidR="000A5329" w:rsidRPr="002029AF">
        <w:t xml:space="preserve"> </w:t>
      </w:r>
      <w:r w:rsidRPr="002029AF">
        <w:t>safety</w:t>
      </w:r>
      <w:r w:rsidR="000A5329" w:rsidRPr="002029AF">
        <w:t xml:space="preserve"> </w:t>
      </w:r>
      <w:r w:rsidRPr="002029AF">
        <w:t>and</w:t>
      </w:r>
      <w:r w:rsidR="00B97ABC" w:rsidRPr="002029AF">
        <w:t> </w:t>
      </w:r>
      <w:r w:rsidRPr="002029AF">
        <w:t>innovation</w:t>
      </w:r>
    </w:p>
    <w:p w14:paraId="6E4A9F25" w14:textId="7AF97852" w:rsidR="00770DE1" w:rsidRPr="002029AF" w:rsidRDefault="00770DE1" w:rsidP="00D271CB">
      <w:pPr>
        <w:pStyle w:val="ARbodyafterbullets"/>
      </w:pPr>
      <w:r w:rsidRPr="002029AF">
        <w:t>As</w:t>
      </w:r>
      <w:r w:rsidR="000A5329" w:rsidRPr="002029AF">
        <w:t xml:space="preserve"> </w:t>
      </w:r>
      <w:r w:rsidRPr="002029AF">
        <w:t>funders,</w:t>
      </w:r>
      <w:r w:rsidR="000A5329" w:rsidRPr="002029AF">
        <w:t xml:space="preserve"> </w:t>
      </w:r>
      <w:r w:rsidRPr="002029AF">
        <w:t>regulators</w:t>
      </w:r>
      <w:r w:rsidR="000A5329" w:rsidRPr="002029AF">
        <w:t xml:space="preserve"> </w:t>
      </w:r>
      <w:r w:rsidRPr="002029AF">
        <w:t>and</w:t>
      </w:r>
      <w:r w:rsidR="000A5329" w:rsidRPr="002029AF">
        <w:t xml:space="preserve"> </w:t>
      </w:r>
      <w:r w:rsidRPr="002029AF">
        <w:t>stewards,</w:t>
      </w:r>
      <w:r w:rsidR="000A5329" w:rsidRPr="002029AF">
        <w:t xml:space="preserve"> </w:t>
      </w:r>
      <w:r w:rsidRPr="002029AF">
        <w:t>we</w:t>
      </w:r>
      <w:r w:rsidR="000A5329" w:rsidRPr="002029AF">
        <w:t xml:space="preserve"> </w:t>
      </w:r>
      <w:r w:rsidRPr="002029AF">
        <w:t>have</w:t>
      </w:r>
      <w:r w:rsidR="000A5329" w:rsidRPr="002029AF">
        <w:t xml:space="preserve"> </w:t>
      </w:r>
      <w:r w:rsidRPr="002029AF">
        <w:t>legislative</w:t>
      </w:r>
      <w:r w:rsidR="000A5329" w:rsidRPr="002029AF">
        <w:t xml:space="preserve"> </w:t>
      </w:r>
      <w:r w:rsidRPr="002029AF">
        <w:t>obligations</w:t>
      </w:r>
      <w:r w:rsidR="000A5329" w:rsidRPr="002029AF">
        <w:t xml:space="preserve"> </w:t>
      </w:r>
      <w:r w:rsidRPr="002029AF">
        <w:t>on</w:t>
      </w:r>
      <w:r w:rsidR="000A5329" w:rsidRPr="002029AF">
        <w:t xml:space="preserve"> </w:t>
      </w:r>
      <w:r w:rsidRPr="002029AF">
        <w:t>behalf</w:t>
      </w:r>
      <w:r w:rsidR="000A5329" w:rsidRPr="002029AF">
        <w:t xml:space="preserve"> </w:t>
      </w:r>
      <w:r w:rsidRPr="002029AF">
        <w:t>of</w:t>
      </w:r>
      <w:r w:rsidR="000A5329" w:rsidRPr="002029AF">
        <w:t xml:space="preserve"> </w:t>
      </w:r>
      <w:r w:rsidRPr="002029AF">
        <w:t>Victorians</w:t>
      </w:r>
      <w:r w:rsidR="000A5329" w:rsidRPr="002029AF">
        <w:t xml:space="preserve"> </w:t>
      </w:r>
      <w:r w:rsidRPr="002029AF">
        <w:t>to</w:t>
      </w:r>
      <w:r w:rsidR="000A5329" w:rsidRPr="002029AF">
        <w:t xml:space="preserve"> </w:t>
      </w:r>
      <w:r w:rsidRPr="002029AF">
        <w:t>ensure</w:t>
      </w:r>
      <w:r w:rsidR="000A5329" w:rsidRPr="002029AF">
        <w:t xml:space="preserve"> </w:t>
      </w:r>
      <w:r w:rsidRPr="002029AF">
        <w:t>the</w:t>
      </w:r>
      <w:r w:rsidR="000A5329" w:rsidRPr="002029AF">
        <w:t xml:space="preserve"> </w:t>
      </w:r>
      <w:r w:rsidRPr="002029AF">
        <w:t>professionals</w:t>
      </w:r>
      <w:r w:rsidR="000A5329" w:rsidRPr="002029AF">
        <w:t xml:space="preserve"> </w:t>
      </w:r>
      <w:r w:rsidRPr="002029AF">
        <w:t>who</w:t>
      </w:r>
      <w:r w:rsidR="000A5329" w:rsidRPr="002029AF">
        <w:t xml:space="preserve"> </w:t>
      </w:r>
      <w:r w:rsidRPr="002029AF">
        <w:t>work</w:t>
      </w:r>
      <w:r w:rsidR="000A5329" w:rsidRPr="002029AF">
        <w:t xml:space="preserve"> </w:t>
      </w:r>
      <w:r w:rsidRPr="002029AF">
        <w:t>in</w:t>
      </w:r>
      <w:r w:rsidR="000A5329" w:rsidRPr="002029AF">
        <w:t xml:space="preserve"> </w:t>
      </w:r>
      <w:r w:rsidRPr="002029AF">
        <w:t>our</w:t>
      </w:r>
      <w:r w:rsidR="000A5329" w:rsidRPr="002029AF">
        <w:t xml:space="preserve"> </w:t>
      </w:r>
      <w:r w:rsidRPr="002029AF">
        <w:t>services</w:t>
      </w:r>
      <w:r w:rsidR="000A5329" w:rsidRPr="002029AF">
        <w:t xml:space="preserve"> </w:t>
      </w:r>
      <w:r w:rsidRPr="002029AF">
        <w:t>and</w:t>
      </w:r>
      <w:r w:rsidR="000A5329" w:rsidRPr="002029AF">
        <w:t xml:space="preserve"> </w:t>
      </w:r>
      <w:r w:rsidRPr="002029AF">
        <w:t>the</w:t>
      </w:r>
      <w:r w:rsidR="000A5329" w:rsidRPr="002029AF">
        <w:t xml:space="preserve"> </w:t>
      </w:r>
      <w:r w:rsidRPr="002029AF">
        <w:t>organisations</w:t>
      </w:r>
      <w:r w:rsidR="000A5329" w:rsidRPr="002029AF">
        <w:t xml:space="preserve"> </w:t>
      </w:r>
      <w:r w:rsidRPr="002029AF">
        <w:t>they</w:t>
      </w:r>
      <w:r w:rsidR="000A5329" w:rsidRPr="002029AF">
        <w:t xml:space="preserve"> </w:t>
      </w:r>
      <w:r w:rsidRPr="002029AF">
        <w:t>work</w:t>
      </w:r>
      <w:r w:rsidR="000A5329" w:rsidRPr="002029AF">
        <w:t xml:space="preserve"> </w:t>
      </w:r>
      <w:r w:rsidRPr="002029AF">
        <w:t>for</w:t>
      </w:r>
      <w:r w:rsidR="000A5329" w:rsidRPr="002029AF">
        <w:t xml:space="preserve"> </w:t>
      </w:r>
      <w:r w:rsidRPr="002029AF">
        <w:t>are</w:t>
      </w:r>
      <w:r w:rsidR="000A5329" w:rsidRPr="002029AF">
        <w:t xml:space="preserve"> </w:t>
      </w:r>
      <w:r w:rsidRPr="002029AF">
        <w:t>delivering</w:t>
      </w:r>
      <w:r w:rsidR="000A5329" w:rsidRPr="002029AF">
        <w:t xml:space="preserve"> </w:t>
      </w:r>
      <w:r w:rsidRPr="002029AF">
        <w:t>safe</w:t>
      </w:r>
      <w:r w:rsidR="000A5329" w:rsidRPr="002029AF">
        <w:t xml:space="preserve"> </w:t>
      </w:r>
      <w:r w:rsidRPr="002029AF">
        <w:t>and</w:t>
      </w:r>
      <w:r w:rsidR="000A5329" w:rsidRPr="002029AF">
        <w:t xml:space="preserve"> </w:t>
      </w:r>
      <w:r w:rsidRPr="002029AF">
        <w:t>effective</w:t>
      </w:r>
      <w:r w:rsidR="000A5329" w:rsidRPr="002029AF">
        <w:t xml:space="preserve"> </w:t>
      </w:r>
      <w:r w:rsidRPr="002029AF">
        <w:t>care.</w:t>
      </w:r>
    </w:p>
    <w:p w14:paraId="3FC84248" w14:textId="4EFDE3FE" w:rsidR="00770DE1" w:rsidRPr="002029AF" w:rsidRDefault="00770DE1" w:rsidP="00D271CB">
      <w:pPr>
        <w:pStyle w:val="ARbodyafterbullets"/>
      </w:pPr>
      <w:r w:rsidRPr="002029AF">
        <w:t>This</w:t>
      </w:r>
      <w:r w:rsidR="000A5329" w:rsidRPr="002029AF">
        <w:t xml:space="preserve"> </w:t>
      </w:r>
      <w:r w:rsidRPr="002029AF">
        <w:t>strategic</w:t>
      </w:r>
      <w:r w:rsidR="000A5329" w:rsidRPr="002029AF">
        <w:t xml:space="preserve"> </w:t>
      </w:r>
      <w:r w:rsidRPr="002029AF">
        <w:t>direction</w:t>
      </w:r>
      <w:r w:rsidR="000A5329" w:rsidRPr="002029AF">
        <w:t xml:space="preserve"> </w:t>
      </w:r>
      <w:r w:rsidRPr="002029AF">
        <w:t>affirms</w:t>
      </w:r>
      <w:r w:rsidR="000A5329" w:rsidRPr="002029AF">
        <w:t xml:space="preserve"> </w:t>
      </w:r>
      <w:r w:rsidRPr="002029AF">
        <w:t>our</w:t>
      </w:r>
      <w:r w:rsidR="000A5329" w:rsidRPr="002029AF">
        <w:t xml:space="preserve"> </w:t>
      </w:r>
      <w:r w:rsidRPr="002029AF">
        <w:t>commitment</w:t>
      </w:r>
      <w:r w:rsidR="000A5329" w:rsidRPr="002029AF">
        <w:t xml:space="preserve"> </w:t>
      </w:r>
      <w:r w:rsidRPr="002029AF">
        <w:t>to</w:t>
      </w:r>
      <w:r w:rsidR="000A5329" w:rsidRPr="002029AF">
        <w:t xml:space="preserve"> </w:t>
      </w:r>
      <w:r w:rsidRPr="002029AF">
        <w:t>advance</w:t>
      </w:r>
      <w:r w:rsidR="000A5329" w:rsidRPr="002029AF">
        <w:t xml:space="preserve"> </w:t>
      </w:r>
      <w:r w:rsidRPr="002029AF">
        <w:t>patient</w:t>
      </w:r>
      <w:r w:rsidR="000A5329" w:rsidRPr="002029AF">
        <w:t xml:space="preserve"> </w:t>
      </w:r>
      <w:r w:rsidRPr="002029AF">
        <w:t>and</w:t>
      </w:r>
      <w:r w:rsidR="000A5329" w:rsidRPr="002029AF">
        <w:t xml:space="preserve"> </w:t>
      </w:r>
      <w:r w:rsidRPr="002029AF">
        <w:t>client</w:t>
      </w:r>
      <w:r w:rsidR="000A5329" w:rsidRPr="002029AF">
        <w:t xml:space="preserve"> </w:t>
      </w:r>
      <w:r w:rsidRPr="002029AF">
        <w:t>safety,</w:t>
      </w:r>
      <w:r w:rsidR="000A5329" w:rsidRPr="002029AF">
        <w:t xml:space="preserve"> </w:t>
      </w:r>
      <w:r w:rsidRPr="002029AF">
        <w:t>the</w:t>
      </w:r>
      <w:r w:rsidR="000A5329" w:rsidRPr="002029AF">
        <w:t xml:space="preserve"> </w:t>
      </w:r>
      <w:r w:rsidRPr="002029AF">
        <w:t>effectiveness</w:t>
      </w:r>
      <w:r w:rsidR="000A5329" w:rsidRPr="002029AF">
        <w:t xml:space="preserve"> </w:t>
      </w:r>
      <w:r w:rsidRPr="002029AF">
        <w:t>of</w:t>
      </w:r>
      <w:r w:rsidR="000A5329" w:rsidRPr="002029AF">
        <w:t xml:space="preserve"> </w:t>
      </w:r>
      <w:r w:rsidRPr="002029AF">
        <w:t>interventions</w:t>
      </w:r>
      <w:r w:rsidR="000A5329" w:rsidRPr="002029AF">
        <w:t xml:space="preserve"> </w:t>
      </w:r>
      <w:r w:rsidRPr="002029AF">
        <w:t>and</w:t>
      </w:r>
      <w:r w:rsidR="000A5329" w:rsidRPr="002029AF">
        <w:t xml:space="preserve"> </w:t>
      </w:r>
      <w:r w:rsidRPr="002029AF">
        <w:t>the</w:t>
      </w:r>
      <w:r w:rsidR="000A5329" w:rsidRPr="002029AF">
        <w:t xml:space="preserve"> </w:t>
      </w:r>
      <w:r w:rsidRPr="002029AF">
        <w:t>experience</w:t>
      </w:r>
      <w:r w:rsidR="000A5329" w:rsidRPr="002029AF">
        <w:t xml:space="preserve"> </w:t>
      </w:r>
      <w:r w:rsidRPr="002029AF">
        <w:t>of</w:t>
      </w:r>
      <w:r w:rsidR="000A5329" w:rsidRPr="002029AF">
        <w:t xml:space="preserve"> </w:t>
      </w:r>
      <w:r w:rsidRPr="002029AF">
        <w:t>the</w:t>
      </w:r>
      <w:r w:rsidR="000A5329" w:rsidRPr="002029AF">
        <w:t xml:space="preserve"> </w:t>
      </w:r>
      <w:r w:rsidRPr="002029AF">
        <w:t>people</w:t>
      </w:r>
      <w:r w:rsidR="000A5329" w:rsidRPr="002029AF">
        <w:t xml:space="preserve"> </w:t>
      </w:r>
      <w:r w:rsidRPr="002029AF">
        <w:t>relying</w:t>
      </w:r>
      <w:r w:rsidR="000A5329" w:rsidRPr="002029AF">
        <w:t xml:space="preserve"> </w:t>
      </w:r>
      <w:r w:rsidRPr="002029AF">
        <w:t>on</w:t>
      </w:r>
      <w:r w:rsidR="000A5329" w:rsidRPr="002029AF">
        <w:t xml:space="preserve"> </w:t>
      </w:r>
      <w:r w:rsidRPr="002029AF">
        <w:t>health</w:t>
      </w:r>
      <w:r w:rsidR="000A5329" w:rsidRPr="002029AF">
        <w:t xml:space="preserve"> </w:t>
      </w:r>
      <w:r w:rsidRPr="002029AF">
        <w:t>and</w:t>
      </w:r>
      <w:r w:rsidR="000A5329" w:rsidRPr="002029AF">
        <w:t xml:space="preserve"> </w:t>
      </w:r>
      <w:r w:rsidRPr="002029AF">
        <w:t>human</w:t>
      </w:r>
      <w:r w:rsidR="000A5329" w:rsidRPr="002029AF">
        <w:t xml:space="preserve"> </w:t>
      </w:r>
      <w:r w:rsidRPr="002029AF">
        <w:t>services.</w:t>
      </w:r>
      <w:r w:rsidR="000A5329" w:rsidRPr="002029AF">
        <w:t xml:space="preserve"> </w:t>
      </w:r>
      <w:r w:rsidRPr="002029AF">
        <w:t>Our</w:t>
      </w:r>
      <w:r w:rsidR="000A5329" w:rsidRPr="002029AF">
        <w:t xml:space="preserve"> </w:t>
      </w:r>
      <w:r w:rsidRPr="002029AF">
        <w:t>focus</w:t>
      </w:r>
      <w:r w:rsidR="000A5329" w:rsidRPr="002029AF">
        <w:t xml:space="preserve"> </w:t>
      </w:r>
      <w:r w:rsidRPr="002029AF">
        <w:t>is</w:t>
      </w:r>
      <w:r w:rsidR="000A5329" w:rsidRPr="002029AF">
        <w:t xml:space="preserve"> </w:t>
      </w:r>
      <w:r w:rsidRPr="002029AF">
        <w:t>on</w:t>
      </w:r>
      <w:r w:rsidR="000A5329" w:rsidRPr="002029AF">
        <w:t xml:space="preserve"> </w:t>
      </w:r>
      <w:r w:rsidRPr="002029AF">
        <w:t>embedding</w:t>
      </w:r>
      <w:r w:rsidR="000A5329" w:rsidRPr="002029AF">
        <w:t xml:space="preserve"> </w:t>
      </w:r>
      <w:r w:rsidRPr="002029AF">
        <w:t>safe</w:t>
      </w:r>
      <w:r w:rsidR="000A5329" w:rsidRPr="002029AF">
        <w:t xml:space="preserve"> </w:t>
      </w:r>
      <w:r w:rsidRPr="002029AF">
        <w:t>and</w:t>
      </w:r>
      <w:r w:rsidR="000A5329" w:rsidRPr="002029AF">
        <w:t xml:space="preserve"> </w:t>
      </w:r>
      <w:r w:rsidRPr="002029AF">
        <w:t>just</w:t>
      </w:r>
      <w:r w:rsidR="000A5329" w:rsidRPr="002029AF">
        <w:t xml:space="preserve"> </w:t>
      </w:r>
      <w:r w:rsidRPr="002029AF">
        <w:t>cultures</w:t>
      </w:r>
      <w:r w:rsidR="000A5329" w:rsidRPr="002029AF">
        <w:t xml:space="preserve"> </w:t>
      </w:r>
      <w:r w:rsidRPr="002029AF">
        <w:t>in</w:t>
      </w:r>
      <w:r w:rsidR="000A5329" w:rsidRPr="002029AF">
        <w:t xml:space="preserve"> </w:t>
      </w:r>
      <w:r w:rsidRPr="002029AF">
        <w:t>all</w:t>
      </w:r>
      <w:r w:rsidR="000A5329" w:rsidRPr="002029AF">
        <w:t xml:space="preserve"> </w:t>
      </w:r>
      <w:r w:rsidRPr="002029AF">
        <w:t>of</w:t>
      </w:r>
      <w:r w:rsidR="000A5329" w:rsidRPr="002029AF">
        <w:t xml:space="preserve"> </w:t>
      </w:r>
      <w:r w:rsidRPr="002029AF">
        <w:t>Victoria’s</w:t>
      </w:r>
      <w:r w:rsidR="000A5329" w:rsidRPr="002029AF">
        <w:t xml:space="preserve"> </w:t>
      </w:r>
      <w:r w:rsidRPr="002029AF">
        <w:t>health</w:t>
      </w:r>
      <w:r w:rsidR="000A5329" w:rsidRPr="002029AF">
        <w:t xml:space="preserve"> </w:t>
      </w:r>
      <w:r w:rsidRPr="002029AF">
        <w:t>and</w:t>
      </w:r>
      <w:r w:rsidR="000A5329" w:rsidRPr="002029AF">
        <w:t xml:space="preserve"> </w:t>
      </w:r>
      <w:r w:rsidRPr="002029AF">
        <w:t>human</w:t>
      </w:r>
      <w:r w:rsidR="000A5329" w:rsidRPr="002029AF">
        <w:t xml:space="preserve"> </w:t>
      </w:r>
      <w:r w:rsidRPr="002029AF">
        <w:t>services</w:t>
      </w:r>
      <w:r w:rsidR="000A5329" w:rsidRPr="002029AF">
        <w:t xml:space="preserve"> </w:t>
      </w:r>
      <w:r w:rsidRPr="002029AF">
        <w:t>while</w:t>
      </w:r>
      <w:r w:rsidR="000A5329" w:rsidRPr="002029AF">
        <w:t xml:space="preserve"> </w:t>
      </w:r>
      <w:r w:rsidRPr="002029AF">
        <w:t>also</w:t>
      </w:r>
      <w:r w:rsidR="000A5329" w:rsidRPr="002029AF">
        <w:t xml:space="preserve"> </w:t>
      </w:r>
      <w:r w:rsidRPr="002029AF">
        <w:t>strengthening</w:t>
      </w:r>
      <w:r w:rsidR="000A5329" w:rsidRPr="002029AF">
        <w:t xml:space="preserve"> </w:t>
      </w:r>
      <w:r w:rsidRPr="002029AF">
        <w:t>our</w:t>
      </w:r>
      <w:r w:rsidR="000A5329" w:rsidRPr="002029AF">
        <w:t xml:space="preserve"> </w:t>
      </w:r>
      <w:r w:rsidRPr="002029AF">
        <w:t>assurance</w:t>
      </w:r>
      <w:r w:rsidR="000A5329" w:rsidRPr="002029AF">
        <w:t xml:space="preserve"> </w:t>
      </w:r>
      <w:r w:rsidRPr="002029AF">
        <w:t>and</w:t>
      </w:r>
      <w:r w:rsidR="000A5329" w:rsidRPr="002029AF">
        <w:t xml:space="preserve"> </w:t>
      </w:r>
      <w:r w:rsidRPr="002029AF">
        <w:t>safeguarding</w:t>
      </w:r>
      <w:r w:rsidR="000A5329" w:rsidRPr="002029AF">
        <w:t xml:space="preserve"> </w:t>
      </w:r>
      <w:r w:rsidRPr="002029AF">
        <w:t>capabilities.</w:t>
      </w:r>
    </w:p>
    <w:p w14:paraId="00A3971B" w14:textId="05241A94" w:rsidR="00770DE1" w:rsidRPr="002029AF" w:rsidRDefault="00770DE1" w:rsidP="00D271CB">
      <w:pPr>
        <w:pStyle w:val="ARbodyafterbullets"/>
      </w:pPr>
      <w:r w:rsidRPr="002029AF">
        <w:lastRenderedPageBreak/>
        <w:t>We</w:t>
      </w:r>
      <w:r w:rsidR="000A5329" w:rsidRPr="002029AF">
        <w:t xml:space="preserve"> </w:t>
      </w:r>
      <w:r w:rsidRPr="002029AF">
        <w:t>have</w:t>
      </w:r>
      <w:r w:rsidR="000A5329" w:rsidRPr="002029AF">
        <w:t xml:space="preserve"> </w:t>
      </w:r>
      <w:r w:rsidRPr="002029AF">
        <w:t>a</w:t>
      </w:r>
      <w:r w:rsidR="000A5329" w:rsidRPr="002029AF">
        <w:t xml:space="preserve"> </w:t>
      </w:r>
      <w:r w:rsidRPr="002029AF">
        <w:t>duty</w:t>
      </w:r>
      <w:r w:rsidR="000A5329" w:rsidRPr="002029AF">
        <w:t xml:space="preserve"> </w:t>
      </w:r>
      <w:r w:rsidRPr="002029AF">
        <w:t>of</w:t>
      </w:r>
      <w:r w:rsidR="000A5329" w:rsidRPr="002029AF">
        <w:t xml:space="preserve"> </w:t>
      </w:r>
      <w:r w:rsidRPr="002029AF">
        <w:t>care</w:t>
      </w:r>
      <w:r w:rsidR="000A5329" w:rsidRPr="002029AF">
        <w:t xml:space="preserve"> </w:t>
      </w:r>
      <w:r w:rsidRPr="002029AF">
        <w:t>to</w:t>
      </w:r>
      <w:r w:rsidR="000A5329" w:rsidRPr="002029AF">
        <w:t xml:space="preserve"> </w:t>
      </w:r>
      <w:r w:rsidRPr="002029AF">
        <w:t>ensure</w:t>
      </w:r>
      <w:r w:rsidR="000A5329" w:rsidRPr="002029AF">
        <w:t xml:space="preserve"> </w:t>
      </w:r>
      <w:r w:rsidRPr="002029AF">
        <w:t>the</w:t>
      </w:r>
      <w:r w:rsidR="000A5329" w:rsidRPr="002029AF">
        <w:t xml:space="preserve"> </w:t>
      </w:r>
      <w:r w:rsidRPr="002029AF">
        <w:t>safety</w:t>
      </w:r>
      <w:r w:rsidR="000A5329" w:rsidRPr="002029AF">
        <w:t xml:space="preserve"> </w:t>
      </w:r>
      <w:r w:rsidRPr="002029AF">
        <w:t>and</w:t>
      </w:r>
      <w:r w:rsidR="000A5329" w:rsidRPr="002029AF">
        <w:t xml:space="preserve"> </w:t>
      </w:r>
      <w:r w:rsidRPr="002029AF">
        <w:t>wellbeing</w:t>
      </w:r>
      <w:r w:rsidR="000A5329" w:rsidRPr="002029AF">
        <w:t xml:space="preserve"> </w:t>
      </w:r>
      <w:r w:rsidRPr="002029AF">
        <w:t>of</w:t>
      </w:r>
      <w:r w:rsidR="000A5329" w:rsidRPr="002029AF">
        <w:t xml:space="preserve"> </w:t>
      </w:r>
      <w:r w:rsidRPr="002029AF">
        <w:t>the</w:t>
      </w:r>
      <w:r w:rsidR="000A5329" w:rsidRPr="002029AF">
        <w:t xml:space="preserve"> </w:t>
      </w:r>
      <w:r w:rsidRPr="002029AF">
        <w:t>people</w:t>
      </w:r>
      <w:r w:rsidR="000A5329" w:rsidRPr="002029AF">
        <w:t xml:space="preserve"> </w:t>
      </w:r>
      <w:r w:rsidRPr="002029AF">
        <w:t>who</w:t>
      </w:r>
      <w:r w:rsidR="000A5329" w:rsidRPr="002029AF">
        <w:t xml:space="preserve"> </w:t>
      </w:r>
      <w:r w:rsidRPr="002029AF">
        <w:t>use</w:t>
      </w:r>
      <w:r w:rsidR="000A5329" w:rsidRPr="002029AF">
        <w:t xml:space="preserve"> </w:t>
      </w:r>
      <w:r w:rsidRPr="002029AF">
        <w:t>our</w:t>
      </w:r>
      <w:r w:rsidR="000A5329" w:rsidRPr="002029AF">
        <w:t xml:space="preserve"> </w:t>
      </w:r>
      <w:r w:rsidRPr="002029AF">
        <w:t>services.</w:t>
      </w:r>
      <w:r w:rsidR="000A5329" w:rsidRPr="002029AF">
        <w:t xml:space="preserve"> </w:t>
      </w:r>
      <w:r w:rsidRPr="002029AF">
        <w:t>Reviewing</w:t>
      </w:r>
      <w:r w:rsidR="000A5329" w:rsidRPr="002029AF">
        <w:t xml:space="preserve"> </w:t>
      </w:r>
      <w:r w:rsidRPr="002029AF">
        <w:t>the</w:t>
      </w:r>
      <w:r w:rsidR="000A5329" w:rsidRPr="002029AF">
        <w:t xml:space="preserve"> </w:t>
      </w:r>
      <w:r w:rsidRPr="002029AF">
        <w:t>Child</w:t>
      </w:r>
      <w:r w:rsidR="000A5329" w:rsidRPr="002029AF">
        <w:t xml:space="preserve"> </w:t>
      </w:r>
      <w:r w:rsidRPr="002029AF">
        <w:t>Safe</w:t>
      </w:r>
      <w:r w:rsidR="000A5329" w:rsidRPr="002029AF">
        <w:t xml:space="preserve"> </w:t>
      </w:r>
      <w:r w:rsidRPr="002029AF">
        <w:t>Standards,</w:t>
      </w:r>
      <w:r w:rsidR="000A5329" w:rsidRPr="002029AF">
        <w:t xml:space="preserve"> </w:t>
      </w:r>
      <w:r w:rsidRPr="002029AF">
        <w:t>launching</w:t>
      </w:r>
      <w:r w:rsidR="000A5329" w:rsidRPr="002029AF">
        <w:t xml:space="preserve"> </w:t>
      </w:r>
      <w:r w:rsidRPr="002029AF">
        <w:t>a</w:t>
      </w:r>
      <w:r w:rsidR="000A5329" w:rsidRPr="002029AF">
        <w:t xml:space="preserve"> </w:t>
      </w:r>
      <w:r w:rsidRPr="002029AF">
        <w:t>new</w:t>
      </w:r>
      <w:r w:rsidR="000A5329" w:rsidRPr="002029AF">
        <w:t xml:space="preserve"> </w:t>
      </w:r>
      <w:r w:rsidRPr="002029AF">
        <w:t>risk</w:t>
      </w:r>
      <w:r w:rsidR="000A5329" w:rsidRPr="002029AF">
        <w:t xml:space="preserve"> </w:t>
      </w:r>
      <w:r w:rsidRPr="002029AF">
        <w:t>assessment</w:t>
      </w:r>
      <w:r w:rsidR="000A5329" w:rsidRPr="002029AF">
        <w:t xml:space="preserve"> </w:t>
      </w:r>
      <w:r w:rsidRPr="002029AF">
        <w:t>framework</w:t>
      </w:r>
      <w:r w:rsidR="000A5329" w:rsidRPr="002029AF">
        <w:t xml:space="preserve"> </w:t>
      </w:r>
      <w:r w:rsidRPr="002029AF">
        <w:t>for</w:t>
      </w:r>
      <w:r w:rsidR="000A5329" w:rsidRPr="002029AF">
        <w:t xml:space="preserve"> </w:t>
      </w:r>
      <w:r w:rsidRPr="002029AF">
        <w:t>child</w:t>
      </w:r>
      <w:r w:rsidR="000A5329" w:rsidRPr="002029AF">
        <w:t xml:space="preserve"> </w:t>
      </w:r>
      <w:r w:rsidRPr="002029AF">
        <w:t>protection</w:t>
      </w:r>
      <w:r w:rsidR="000A5329" w:rsidRPr="002029AF">
        <w:t xml:space="preserve"> </w:t>
      </w:r>
      <w:r w:rsidRPr="002029AF">
        <w:t>and</w:t>
      </w:r>
      <w:r w:rsidR="000A5329" w:rsidRPr="002029AF">
        <w:t xml:space="preserve"> </w:t>
      </w:r>
      <w:r w:rsidRPr="002029AF">
        <w:t>enhancing</w:t>
      </w:r>
      <w:r w:rsidR="000A5329" w:rsidRPr="002029AF">
        <w:t xml:space="preserve"> </w:t>
      </w:r>
      <w:r w:rsidRPr="002029AF">
        <w:t>mandatory</w:t>
      </w:r>
      <w:r w:rsidR="000A5329" w:rsidRPr="002029AF">
        <w:t xml:space="preserve"> </w:t>
      </w:r>
      <w:r w:rsidRPr="002029AF">
        <w:t>reporting</w:t>
      </w:r>
      <w:r w:rsidR="000A5329" w:rsidRPr="002029AF">
        <w:t xml:space="preserve"> </w:t>
      </w:r>
      <w:r w:rsidR="000343EC" w:rsidRPr="002029AF">
        <w:t>legislation</w:t>
      </w:r>
      <w:r w:rsidR="000A5329" w:rsidRPr="002029AF">
        <w:t xml:space="preserve"> </w:t>
      </w:r>
      <w:r w:rsidR="000343EC" w:rsidRPr="002029AF">
        <w:t>to</w:t>
      </w:r>
      <w:r w:rsidR="000A5329" w:rsidRPr="002029AF">
        <w:t xml:space="preserve"> </w:t>
      </w:r>
      <w:r w:rsidRPr="002029AF">
        <w:t>further</w:t>
      </w:r>
      <w:r w:rsidR="000A5329" w:rsidRPr="002029AF">
        <w:t xml:space="preserve"> </w:t>
      </w:r>
      <w:r w:rsidRPr="002029AF">
        <w:t>protect</w:t>
      </w:r>
      <w:r w:rsidR="000A5329" w:rsidRPr="002029AF">
        <w:t xml:space="preserve"> </w:t>
      </w:r>
      <w:r w:rsidRPr="002029AF">
        <w:t>vulnerable</w:t>
      </w:r>
      <w:r w:rsidR="000A5329" w:rsidRPr="002029AF">
        <w:t xml:space="preserve"> </w:t>
      </w:r>
      <w:r w:rsidRPr="002029AF">
        <w:t>children</w:t>
      </w:r>
      <w:r w:rsidR="000A5329" w:rsidRPr="002029AF">
        <w:t xml:space="preserve"> </w:t>
      </w:r>
      <w:r w:rsidRPr="002029AF">
        <w:t>are</w:t>
      </w:r>
      <w:r w:rsidR="000A5329" w:rsidRPr="002029AF">
        <w:t xml:space="preserve"> </w:t>
      </w:r>
      <w:r w:rsidRPr="002029AF">
        <w:t>all</w:t>
      </w:r>
      <w:r w:rsidR="000A5329" w:rsidRPr="002029AF">
        <w:t xml:space="preserve"> </w:t>
      </w:r>
      <w:r w:rsidRPr="002029AF">
        <w:t>important</w:t>
      </w:r>
      <w:r w:rsidR="000A5329" w:rsidRPr="002029AF">
        <w:t xml:space="preserve"> </w:t>
      </w:r>
      <w:r w:rsidRPr="002029AF">
        <w:t>to</w:t>
      </w:r>
      <w:r w:rsidR="000A5329" w:rsidRPr="002029AF">
        <w:t xml:space="preserve"> </w:t>
      </w:r>
      <w:r w:rsidRPr="002029AF">
        <w:t>acquitting</w:t>
      </w:r>
      <w:r w:rsidR="000A5329" w:rsidRPr="002029AF">
        <w:t xml:space="preserve"> </w:t>
      </w:r>
      <w:r w:rsidRPr="002029AF">
        <w:t>our</w:t>
      </w:r>
      <w:r w:rsidR="000A5329" w:rsidRPr="002029AF">
        <w:t xml:space="preserve"> </w:t>
      </w:r>
      <w:r w:rsidRPr="002029AF">
        <w:t>duty</w:t>
      </w:r>
      <w:r w:rsidR="000A5329" w:rsidRPr="002029AF">
        <w:t xml:space="preserve"> </w:t>
      </w:r>
      <w:r w:rsidRPr="002029AF">
        <w:t>of</w:t>
      </w:r>
      <w:r w:rsidR="000A5329" w:rsidRPr="002029AF">
        <w:t xml:space="preserve"> </w:t>
      </w:r>
      <w:r w:rsidRPr="002029AF">
        <w:t>care.</w:t>
      </w:r>
    </w:p>
    <w:p w14:paraId="1EE89D35" w14:textId="62D33C9D" w:rsidR="00770DE1" w:rsidRPr="002029AF" w:rsidRDefault="00770DE1" w:rsidP="00D271CB">
      <w:pPr>
        <w:pStyle w:val="ARbodyafterbullets"/>
      </w:pPr>
      <w:r w:rsidRPr="002029AF">
        <w:t>This</w:t>
      </w:r>
      <w:r w:rsidR="000A5329" w:rsidRPr="002029AF">
        <w:t xml:space="preserve"> </w:t>
      </w:r>
      <w:r w:rsidRPr="002029AF">
        <w:t>strategic</w:t>
      </w:r>
      <w:r w:rsidR="000A5329" w:rsidRPr="002029AF">
        <w:t xml:space="preserve"> </w:t>
      </w:r>
      <w:r w:rsidRPr="002029AF">
        <w:t>direction</w:t>
      </w:r>
      <w:r w:rsidR="000A5329" w:rsidRPr="002029AF">
        <w:t xml:space="preserve"> </w:t>
      </w:r>
      <w:r w:rsidRPr="002029AF">
        <w:t>also</w:t>
      </w:r>
      <w:r w:rsidR="000A5329" w:rsidRPr="002029AF">
        <w:t xml:space="preserve"> </w:t>
      </w:r>
      <w:r w:rsidRPr="002029AF">
        <w:t>involves</w:t>
      </w:r>
      <w:r w:rsidR="000A5329" w:rsidRPr="002029AF">
        <w:t xml:space="preserve"> </w:t>
      </w:r>
      <w:r w:rsidRPr="002029AF">
        <w:t>us</w:t>
      </w:r>
      <w:r w:rsidR="000A5329" w:rsidRPr="002029AF">
        <w:t xml:space="preserve"> </w:t>
      </w:r>
      <w:r w:rsidRPr="002029AF">
        <w:t>working</w:t>
      </w:r>
      <w:r w:rsidR="000A5329" w:rsidRPr="002029AF">
        <w:t xml:space="preserve"> </w:t>
      </w:r>
      <w:r w:rsidRPr="002029AF">
        <w:t>with</w:t>
      </w:r>
      <w:r w:rsidR="000A5329" w:rsidRPr="002029AF">
        <w:t xml:space="preserve"> </w:t>
      </w:r>
      <w:r w:rsidRPr="002029AF">
        <w:t>our</w:t>
      </w:r>
      <w:r w:rsidR="000A5329" w:rsidRPr="002029AF">
        <w:t xml:space="preserve"> </w:t>
      </w:r>
      <w:r w:rsidRPr="002029AF">
        <w:t>partners</w:t>
      </w:r>
      <w:r w:rsidR="000A5329" w:rsidRPr="002029AF">
        <w:t xml:space="preserve"> </w:t>
      </w:r>
      <w:r w:rsidRPr="002029AF">
        <w:t>to</w:t>
      </w:r>
      <w:r w:rsidR="000A5329" w:rsidRPr="002029AF">
        <w:t xml:space="preserve"> </w:t>
      </w:r>
      <w:r w:rsidRPr="002029AF">
        <w:t>innovate,</w:t>
      </w:r>
      <w:r w:rsidR="000A5329" w:rsidRPr="002029AF">
        <w:t xml:space="preserve"> </w:t>
      </w:r>
      <w:r w:rsidRPr="002029AF">
        <w:t>make</w:t>
      </w:r>
      <w:r w:rsidR="000A5329" w:rsidRPr="002029AF">
        <w:t xml:space="preserve"> </w:t>
      </w:r>
      <w:r w:rsidRPr="002029AF">
        <w:t>improvements</w:t>
      </w:r>
      <w:r w:rsidR="000A5329" w:rsidRPr="002029AF">
        <w:t xml:space="preserve"> </w:t>
      </w:r>
      <w:r w:rsidRPr="002029AF">
        <w:t>and</w:t>
      </w:r>
      <w:r w:rsidR="000A5329" w:rsidRPr="002029AF">
        <w:t xml:space="preserve"> </w:t>
      </w:r>
      <w:r w:rsidRPr="002029AF">
        <w:t>evaluate</w:t>
      </w:r>
      <w:r w:rsidR="000A5329" w:rsidRPr="002029AF">
        <w:t xml:space="preserve"> </w:t>
      </w:r>
      <w:r w:rsidRPr="002029AF">
        <w:t>what</w:t>
      </w:r>
      <w:r w:rsidR="000A5329" w:rsidRPr="002029AF">
        <w:t xml:space="preserve"> </w:t>
      </w:r>
      <w:r w:rsidRPr="002029AF">
        <w:t>we</w:t>
      </w:r>
      <w:r w:rsidR="000A5329" w:rsidRPr="002029AF">
        <w:t xml:space="preserve"> </w:t>
      </w:r>
      <w:r w:rsidRPr="002029AF">
        <w:t>are</w:t>
      </w:r>
      <w:r w:rsidR="000A5329" w:rsidRPr="002029AF">
        <w:t xml:space="preserve"> </w:t>
      </w:r>
      <w:r w:rsidRPr="002029AF">
        <w:t>doing,</w:t>
      </w:r>
      <w:r w:rsidR="000A5329" w:rsidRPr="002029AF">
        <w:t xml:space="preserve"> </w:t>
      </w:r>
      <w:r w:rsidRPr="002029AF">
        <w:t>spread</w:t>
      </w:r>
      <w:r w:rsidR="000A5329" w:rsidRPr="002029AF">
        <w:t xml:space="preserve"> </w:t>
      </w:r>
      <w:r w:rsidRPr="002029AF">
        <w:t>evidence</w:t>
      </w:r>
      <w:r w:rsidR="000A5329" w:rsidRPr="002029AF">
        <w:t xml:space="preserve"> </w:t>
      </w:r>
      <w:r w:rsidRPr="002029AF">
        <w:t>of</w:t>
      </w:r>
      <w:r w:rsidR="000A5329" w:rsidRPr="002029AF">
        <w:t xml:space="preserve"> </w:t>
      </w:r>
      <w:r w:rsidRPr="002029AF">
        <w:t>what</w:t>
      </w:r>
      <w:r w:rsidR="000A5329" w:rsidRPr="002029AF">
        <w:t xml:space="preserve"> </w:t>
      </w:r>
      <w:r w:rsidRPr="002029AF">
        <w:t>works,</w:t>
      </w:r>
      <w:r w:rsidR="000A5329" w:rsidRPr="002029AF">
        <w:t xml:space="preserve"> </w:t>
      </w:r>
      <w:r w:rsidRPr="002029AF">
        <w:t>ensure</w:t>
      </w:r>
      <w:r w:rsidR="000A5329" w:rsidRPr="002029AF">
        <w:t xml:space="preserve"> </w:t>
      </w:r>
      <w:r w:rsidRPr="002029AF">
        <w:t>quality</w:t>
      </w:r>
      <w:r w:rsidR="000A5329" w:rsidRPr="002029AF">
        <w:t xml:space="preserve"> </w:t>
      </w:r>
      <w:r w:rsidRPr="002029AF">
        <w:t>and</w:t>
      </w:r>
      <w:r w:rsidR="000A5329" w:rsidRPr="002029AF">
        <w:t xml:space="preserve"> </w:t>
      </w:r>
      <w:r w:rsidRPr="002029AF">
        <w:t>reduce</w:t>
      </w:r>
      <w:r w:rsidR="000A5329" w:rsidRPr="002029AF">
        <w:t xml:space="preserve"> </w:t>
      </w:r>
      <w:r w:rsidRPr="002029AF">
        <w:t>unacceptable</w:t>
      </w:r>
      <w:r w:rsidR="000A5329" w:rsidRPr="002029AF">
        <w:t xml:space="preserve"> </w:t>
      </w:r>
      <w:r w:rsidRPr="002029AF">
        <w:t>variations</w:t>
      </w:r>
      <w:r w:rsidR="000A5329" w:rsidRPr="002029AF">
        <w:t xml:space="preserve"> </w:t>
      </w:r>
      <w:r w:rsidRPr="002029AF">
        <w:t>in</w:t>
      </w:r>
      <w:r w:rsidR="000A5329" w:rsidRPr="002029AF">
        <w:t xml:space="preserve"> </w:t>
      </w:r>
      <w:r w:rsidRPr="002029AF">
        <w:t>care</w:t>
      </w:r>
      <w:r w:rsidR="000A5329" w:rsidRPr="002029AF">
        <w:t xml:space="preserve"> </w:t>
      </w:r>
      <w:r w:rsidRPr="002029AF">
        <w:t>and</w:t>
      </w:r>
      <w:r w:rsidR="000A5329" w:rsidRPr="002029AF">
        <w:t xml:space="preserve"> </w:t>
      </w:r>
      <w:r w:rsidRPr="002029AF">
        <w:t>outcomes.</w:t>
      </w:r>
    </w:p>
    <w:p w14:paraId="5CE3CF26" w14:textId="75DED2B3" w:rsidR="00770DE1" w:rsidRPr="002029AF" w:rsidRDefault="00770DE1" w:rsidP="00D271CB">
      <w:pPr>
        <w:pStyle w:val="ARbodyafterbullets"/>
      </w:pPr>
      <w:r w:rsidRPr="002029AF">
        <w:t>Over</w:t>
      </w:r>
      <w:r w:rsidR="000A5329" w:rsidRPr="002029AF">
        <w:t xml:space="preserve"> </w:t>
      </w:r>
      <w:r w:rsidRPr="002029AF">
        <w:t>the</w:t>
      </w:r>
      <w:r w:rsidR="000A5329" w:rsidRPr="002029AF">
        <w:t xml:space="preserve"> </w:t>
      </w:r>
      <w:r w:rsidRPr="002029AF">
        <w:t>past</w:t>
      </w:r>
      <w:r w:rsidR="000A5329" w:rsidRPr="002029AF">
        <w:t xml:space="preserve"> </w:t>
      </w:r>
      <w:r w:rsidRPr="002029AF">
        <w:t>12</w:t>
      </w:r>
      <w:r w:rsidR="000A5329" w:rsidRPr="002029AF">
        <w:t xml:space="preserve"> </w:t>
      </w:r>
      <w:r w:rsidRPr="002029AF">
        <w:t>months,</w:t>
      </w:r>
      <w:r w:rsidR="000A5329" w:rsidRPr="002029AF">
        <w:t xml:space="preserve"> </w:t>
      </w:r>
      <w:r w:rsidRPr="002029AF">
        <w:t>we</w:t>
      </w:r>
      <w:r w:rsidR="000A5329" w:rsidRPr="002029AF">
        <w:t xml:space="preserve"> </w:t>
      </w:r>
      <w:r w:rsidRPr="002029AF">
        <w:t>have</w:t>
      </w:r>
      <w:r w:rsidR="000A5329" w:rsidRPr="002029AF">
        <w:t xml:space="preserve"> </w:t>
      </w:r>
      <w:r w:rsidRPr="002029AF">
        <w:t>progressed</w:t>
      </w:r>
      <w:r w:rsidR="000A5329" w:rsidRPr="002029AF">
        <w:t xml:space="preserve"> </w:t>
      </w:r>
      <w:r w:rsidRPr="002029AF">
        <w:t>our</w:t>
      </w:r>
      <w:r w:rsidR="000A5329" w:rsidRPr="002029AF">
        <w:t xml:space="preserve"> </w:t>
      </w:r>
      <w:r w:rsidRPr="002029AF">
        <w:t>work</w:t>
      </w:r>
      <w:r w:rsidR="000A5329" w:rsidRPr="002029AF">
        <w:t xml:space="preserve"> </w:t>
      </w:r>
      <w:r w:rsidRPr="002029AF">
        <w:t>to</w:t>
      </w:r>
      <w:r w:rsidR="000A5329" w:rsidRPr="002029AF">
        <w:t xml:space="preserve"> </w:t>
      </w:r>
      <w:r w:rsidRPr="002029AF">
        <w:t>further</w:t>
      </w:r>
      <w:r w:rsidR="000A5329" w:rsidRPr="002029AF">
        <w:t xml:space="preserve"> </w:t>
      </w:r>
      <w:r w:rsidRPr="002029AF">
        <w:t>embed</w:t>
      </w:r>
      <w:r w:rsidR="000A5329" w:rsidRPr="002029AF">
        <w:t xml:space="preserve"> </w:t>
      </w:r>
      <w:r w:rsidR="0031666C" w:rsidRPr="002029AF">
        <w:t>a</w:t>
      </w:r>
      <w:r w:rsidR="000A5329" w:rsidRPr="002029AF">
        <w:t xml:space="preserve"> </w:t>
      </w:r>
      <w:r w:rsidRPr="002029AF">
        <w:t>quality</w:t>
      </w:r>
      <w:r w:rsidR="000A5329" w:rsidRPr="002029AF">
        <w:t xml:space="preserve"> </w:t>
      </w:r>
      <w:r w:rsidRPr="002029AF">
        <w:t>and</w:t>
      </w:r>
      <w:r w:rsidR="000A5329" w:rsidRPr="002029AF">
        <w:t xml:space="preserve"> </w:t>
      </w:r>
      <w:r w:rsidRPr="002029AF">
        <w:t>safety</w:t>
      </w:r>
      <w:r w:rsidR="000A5329" w:rsidRPr="002029AF">
        <w:t xml:space="preserve"> </w:t>
      </w:r>
      <w:r w:rsidRPr="002029AF">
        <w:t>culture</w:t>
      </w:r>
      <w:r w:rsidR="000A5329" w:rsidRPr="002029AF">
        <w:t xml:space="preserve"> </w:t>
      </w:r>
      <w:r w:rsidRPr="002029AF">
        <w:t>in</w:t>
      </w:r>
      <w:r w:rsidR="000A5329" w:rsidRPr="002029AF">
        <w:t xml:space="preserve"> </w:t>
      </w:r>
      <w:r w:rsidRPr="002029AF">
        <w:t>our</w:t>
      </w:r>
      <w:r w:rsidR="000A5329" w:rsidRPr="002029AF">
        <w:t xml:space="preserve"> </w:t>
      </w:r>
      <w:r w:rsidRPr="002029AF">
        <w:t>services,</w:t>
      </w:r>
      <w:r w:rsidR="000A5329" w:rsidRPr="002029AF">
        <w:t xml:space="preserve"> </w:t>
      </w:r>
      <w:r w:rsidRPr="002029AF">
        <w:t>while</w:t>
      </w:r>
      <w:r w:rsidR="000A5329" w:rsidRPr="002029AF">
        <w:t xml:space="preserve"> </w:t>
      </w:r>
      <w:r w:rsidRPr="002029AF">
        <w:t>continuing</w:t>
      </w:r>
      <w:r w:rsidR="000A5329" w:rsidRPr="002029AF">
        <w:t xml:space="preserve"> </w:t>
      </w:r>
      <w:r w:rsidRPr="002029AF">
        <w:t>to</w:t>
      </w:r>
      <w:r w:rsidR="000A5329" w:rsidRPr="002029AF">
        <w:t xml:space="preserve"> </w:t>
      </w:r>
      <w:r w:rsidRPr="002029AF">
        <w:t>innovate</w:t>
      </w:r>
      <w:r w:rsidR="000A5329" w:rsidRPr="002029AF">
        <w:t xml:space="preserve"> </w:t>
      </w:r>
      <w:r w:rsidRPr="002029AF">
        <w:t>how</w:t>
      </w:r>
      <w:r w:rsidR="000A5329" w:rsidRPr="002029AF">
        <w:t xml:space="preserve"> </w:t>
      </w:r>
      <w:r w:rsidRPr="002029AF">
        <w:t>we</w:t>
      </w:r>
      <w:r w:rsidR="000A5329" w:rsidRPr="002029AF">
        <w:t xml:space="preserve"> </w:t>
      </w:r>
      <w:r w:rsidRPr="002029AF">
        <w:t>do</w:t>
      </w:r>
      <w:r w:rsidR="000A5329" w:rsidRPr="002029AF">
        <w:t xml:space="preserve"> </w:t>
      </w:r>
      <w:r w:rsidRPr="002029AF">
        <w:t>what</w:t>
      </w:r>
      <w:r w:rsidR="000A5329" w:rsidRPr="002029AF">
        <w:t xml:space="preserve"> </w:t>
      </w:r>
      <w:r w:rsidRPr="002029AF">
        <w:t>we</w:t>
      </w:r>
      <w:r w:rsidR="000A5329" w:rsidRPr="002029AF">
        <w:t xml:space="preserve"> </w:t>
      </w:r>
      <w:r w:rsidRPr="002029AF">
        <w:t>do</w:t>
      </w:r>
      <w:r w:rsidR="000A5329" w:rsidRPr="002029AF">
        <w:t xml:space="preserve"> </w:t>
      </w:r>
      <w:r w:rsidRPr="002029AF">
        <w:t>to</w:t>
      </w:r>
      <w:r w:rsidR="000A5329" w:rsidRPr="002029AF">
        <w:t xml:space="preserve"> </w:t>
      </w:r>
      <w:r w:rsidRPr="002029AF">
        <w:t>improve</w:t>
      </w:r>
      <w:r w:rsidR="000A5329" w:rsidRPr="002029AF">
        <w:t xml:space="preserve"> </w:t>
      </w:r>
      <w:r w:rsidRPr="002029AF">
        <w:t>health</w:t>
      </w:r>
      <w:r w:rsidR="000A5329" w:rsidRPr="002029AF">
        <w:t xml:space="preserve"> </w:t>
      </w:r>
      <w:r w:rsidRPr="002029AF">
        <w:t>and</w:t>
      </w:r>
      <w:r w:rsidR="000A5329" w:rsidRPr="002029AF">
        <w:t xml:space="preserve"> </w:t>
      </w:r>
      <w:r w:rsidRPr="002029AF">
        <w:t>wellbeing</w:t>
      </w:r>
      <w:r w:rsidR="000A5329" w:rsidRPr="002029AF">
        <w:t xml:space="preserve"> </w:t>
      </w:r>
      <w:r w:rsidRPr="002029AF">
        <w:t>outcomes</w:t>
      </w:r>
      <w:r w:rsidR="000A5329" w:rsidRPr="002029AF">
        <w:t xml:space="preserve"> </w:t>
      </w:r>
      <w:r w:rsidRPr="002029AF">
        <w:t>for</w:t>
      </w:r>
      <w:r w:rsidR="000A5329" w:rsidRPr="002029AF">
        <w:t xml:space="preserve"> </w:t>
      </w:r>
      <w:r w:rsidRPr="002029AF">
        <w:t>the</w:t>
      </w:r>
      <w:r w:rsidR="000A5329" w:rsidRPr="002029AF">
        <w:t xml:space="preserve"> </w:t>
      </w:r>
      <w:r w:rsidRPr="002029AF">
        <w:t>community.</w:t>
      </w:r>
      <w:r w:rsidR="000A5329" w:rsidRPr="002029AF">
        <w:t xml:space="preserve"> </w:t>
      </w:r>
      <w:r w:rsidRPr="002029AF">
        <w:t>Some</w:t>
      </w:r>
      <w:r w:rsidR="000A5329" w:rsidRPr="002029AF">
        <w:t xml:space="preserve"> </w:t>
      </w:r>
      <w:r w:rsidRPr="002029AF">
        <w:t>examples</w:t>
      </w:r>
      <w:r w:rsidR="000A5329" w:rsidRPr="002029AF">
        <w:t xml:space="preserve"> </w:t>
      </w:r>
      <w:r w:rsidRPr="002029AF">
        <w:t>are</w:t>
      </w:r>
      <w:r w:rsidR="000A5329" w:rsidRPr="002029AF">
        <w:t xml:space="preserve"> </w:t>
      </w:r>
      <w:r w:rsidRPr="002029AF">
        <w:t>detailed</w:t>
      </w:r>
      <w:r w:rsidR="000A5329" w:rsidRPr="002029AF">
        <w:t xml:space="preserve"> </w:t>
      </w:r>
      <w:r w:rsidRPr="002029AF">
        <w:t>below.</w:t>
      </w:r>
    </w:p>
    <w:p w14:paraId="2A8EC26E" w14:textId="36D9C345" w:rsidR="00770DE1" w:rsidRPr="002029AF" w:rsidRDefault="00770DE1" w:rsidP="001E768A">
      <w:pPr>
        <w:pStyle w:val="ARbullet1"/>
      </w:pPr>
      <w:r w:rsidRPr="002029AF">
        <w:t>Safer</w:t>
      </w:r>
      <w:r w:rsidR="000A5329" w:rsidRPr="002029AF">
        <w:t xml:space="preserve"> </w:t>
      </w:r>
      <w:r w:rsidRPr="002029AF">
        <w:t>Care</w:t>
      </w:r>
      <w:r w:rsidR="000A5329" w:rsidRPr="002029AF">
        <w:t xml:space="preserve"> </w:t>
      </w:r>
      <w:r w:rsidR="000343EC" w:rsidRPr="002029AF">
        <w:t>Victoria</w:t>
      </w:r>
      <w:r w:rsidR="000A5329" w:rsidRPr="002029AF">
        <w:t xml:space="preserve"> </w:t>
      </w:r>
      <w:r w:rsidR="000343EC" w:rsidRPr="002029AF">
        <w:t>and</w:t>
      </w:r>
      <w:r w:rsidR="000A5329" w:rsidRPr="002029AF">
        <w:t xml:space="preserve"> </w:t>
      </w:r>
      <w:r w:rsidRPr="002029AF">
        <w:t>the</w:t>
      </w:r>
      <w:r w:rsidR="000A5329" w:rsidRPr="002029AF">
        <w:t xml:space="preserve"> </w:t>
      </w:r>
      <w:r w:rsidRPr="002029AF">
        <w:t>Victorian</w:t>
      </w:r>
      <w:r w:rsidR="000A5329" w:rsidRPr="002029AF">
        <w:t xml:space="preserve"> </w:t>
      </w:r>
      <w:r w:rsidRPr="002029AF">
        <w:t>Agency</w:t>
      </w:r>
      <w:r w:rsidR="000A5329" w:rsidRPr="002029AF">
        <w:t xml:space="preserve"> </w:t>
      </w:r>
      <w:r w:rsidRPr="002029AF">
        <w:t>for</w:t>
      </w:r>
      <w:r w:rsidR="000A5329" w:rsidRPr="002029AF">
        <w:t xml:space="preserve"> </w:t>
      </w:r>
      <w:r w:rsidRPr="002029AF">
        <w:t>Health</w:t>
      </w:r>
      <w:r w:rsidR="000A5329" w:rsidRPr="002029AF">
        <w:t xml:space="preserve"> </w:t>
      </w:r>
      <w:r w:rsidR="000343EC" w:rsidRPr="002029AF">
        <w:t>Information,</w:t>
      </w:r>
      <w:r w:rsidR="000A5329" w:rsidRPr="002029AF">
        <w:t xml:space="preserve"> </w:t>
      </w:r>
      <w:r w:rsidR="00C87BA4" w:rsidRPr="002029AF">
        <w:t>the</w:t>
      </w:r>
      <w:r w:rsidR="000A5329" w:rsidRPr="002029AF">
        <w:t xml:space="preserve"> </w:t>
      </w:r>
      <w:r w:rsidRPr="002029AF">
        <w:t>two</w:t>
      </w:r>
      <w:r w:rsidR="000A5329" w:rsidRPr="002029AF">
        <w:t xml:space="preserve"> </w:t>
      </w:r>
      <w:r w:rsidRPr="002029AF">
        <w:t>key</w:t>
      </w:r>
      <w:r w:rsidR="000A5329" w:rsidRPr="002029AF">
        <w:t xml:space="preserve"> </w:t>
      </w:r>
      <w:r w:rsidRPr="002029AF">
        <w:t>institutions</w:t>
      </w:r>
      <w:r w:rsidR="000A5329" w:rsidRPr="002029AF">
        <w:t xml:space="preserve"> </w:t>
      </w:r>
      <w:r w:rsidRPr="002029AF">
        <w:t>for</w:t>
      </w:r>
      <w:r w:rsidR="000A5329" w:rsidRPr="002029AF">
        <w:t xml:space="preserve"> </w:t>
      </w:r>
      <w:r w:rsidRPr="002029AF">
        <w:t>monitoring</w:t>
      </w:r>
      <w:r w:rsidR="000A5329" w:rsidRPr="002029AF">
        <w:t xml:space="preserve"> </w:t>
      </w:r>
      <w:r w:rsidRPr="002029AF">
        <w:t>better</w:t>
      </w:r>
      <w:r w:rsidR="000A5329" w:rsidRPr="002029AF">
        <w:t xml:space="preserve"> </w:t>
      </w:r>
      <w:r w:rsidRPr="002029AF">
        <w:t>and</w:t>
      </w:r>
      <w:r w:rsidR="000A5329" w:rsidRPr="002029AF">
        <w:t xml:space="preserve"> </w:t>
      </w:r>
      <w:r w:rsidRPr="002029AF">
        <w:t>safer</w:t>
      </w:r>
      <w:r w:rsidR="000A5329" w:rsidRPr="002029AF">
        <w:t xml:space="preserve"> </w:t>
      </w:r>
      <w:r w:rsidRPr="002029AF">
        <w:t>care</w:t>
      </w:r>
      <w:r w:rsidR="000A5329" w:rsidRPr="002029AF">
        <w:t xml:space="preserve"> </w:t>
      </w:r>
      <w:r w:rsidRPr="002029AF">
        <w:t>in</w:t>
      </w:r>
      <w:r w:rsidR="000A5329" w:rsidRPr="002029AF">
        <w:t xml:space="preserve"> </w:t>
      </w:r>
      <w:r w:rsidRPr="002029AF">
        <w:t>Victoria,</w:t>
      </w:r>
      <w:r w:rsidR="000A5329" w:rsidRPr="002029AF">
        <w:t xml:space="preserve"> </w:t>
      </w:r>
      <w:r w:rsidRPr="002029AF">
        <w:t>have</w:t>
      </w:r>
      <w:r w:rsidR="000A5329" w:rsidRPr="002029AF">
        <w:t xml:space="preserve"> </w:t>
      </w:r>
      <w:r w:rsidRPr="002029AF">
        <w:t>been</w:t>
      </w:r>
      <w:r w:rsidR="000A5329" w:rsidRPr="002029AF">
        <w:t xml:space="preserve"> </w:t>
      </w:r>
      <w:r w:rsidRPr="002029AF">
        <w:t>critical</w:t>
      </w:r>
      <w:r w:rsidR="000A5329" w:rsidRPr="002029AF">
        <w:t xml:space="preserve"> </w:t>
      </w:r>
      <w:r w:rsidRPr="002029AF">
        <w:t>to</w:t>
      </w:r>
      <w:r w:rsidR="000A5329" w:rsidRPr="002029AF">
        <w:t xml:space="preserve"> </w:t>
      </w:r>
      <w:r w:rsidRPr="002029AF">
        <w:t>the</w:t>
      </w:r>
      <w:r w:rsidR="000A5329" w:rsidRPr="002029AF">
        <w:t xml:space="preserve"> </w:t>
      </w:r>
      <w:r w:rsidR="000343EC" w:rsidRPr="002029AF">
        <w:t>department’s</w:t>
      </w:r>
      <w:r w:rsidR="000A5329" w:rsidRPr="002029AF">
        <w:t xml:space="preserve"> </w:t>
      </w:r>
      <w:r w:rsidR="000343EC" w:rsidRPr="002029AF">
        <w:t>coronavirus</w:t>
      </w:r>
      <w:r w:rsidR="000A5329" w:rsidRPr="002029AF">
        <w:t xml:space="preserve"> </w:t>
      </w:r>
      <w:r w:rsidRPr="002029AF">
        <w:t>(COVID-19)</w:t>
      </w:r>
      <w:r w:rsidR="000A5329" w:rsidRPr="002029AF">
        <w:t xml:space="preserve"> </w:t>
      </w:r>
      <w:r w:rsidRPr="002029AF">
        <w:t>response,</w:t>
      </w:r>
      <w:r w:rsidR="000A5329" w:rsidRPr="002029AF">
        <w:t xml:space="preserve"> </w:t>
      </w:r>
      <w:r w:rsidRPr="002029AF">
        <w:t>including</w:t>
      </w:r>
      <w:r w:rsidR="000A5329" w:rsidRPr="002029AF">
        <w:t xml:space="preserve"> </w:t>
      </w:r>
      <w:r w:rsidR="00571026" w:rsidRPr="002029AF">
        <w:t>by</w:t>
      </w:r>
      <w:r w:rsidRPr="002029AF">
        <w:t>:</w:t>
      </w:r>
    </w:p>
    <w:p w14:paraId="41C5BB0C" w14:textId="138A2CB4" w:rsidR="00770DE1" w:rsidRPr="002029AF" w:rsidRDefault="00770DE1" w:rsidP="001E768A">
      <w:pPr>
        <w:pStyle w:val="ARbullet2"/>
      </w:pPr>
      <w:r w:rsidRPr="002029AF">
        <w:t>using</w:t>
      </w:r>
      <w:r w:rsidR="000A5329" w:rsidRPr="002029AF">
        <w:t xml:space="preserve"> </w:t>
      </w:r>
      <w:r w:rsidRPr="002029AF">
        <w:t>clinical</w:t>
      </w:r>
      <w:r w:rsidR="000A5329" w:rsidRPr="002029AF">
        <w:t xml:space="preserve"> </w:t>
      </w:r>
      <w:r w:rsidRPr="002029AF">
        <w:t>networks</w:t>
      </w:r>
      <w:r w:rsidR="000A5329" w:rsidRPr="002029AF">
        <w:t xml:space="preserve"> </w:t>
      </w:r>
      <w:r w:rsidRPr="002029AF">
        <w:t>to</w:t>
      </w:r>
      <w:r w:rsidR="000A5329" w:rsidRPr="002029AF">
        <w:t xml:space="preserve"> </w:t>
      </w:r>
      <w:r w:rsidRPr="002029AF">
        <w:t>provide</w:t>
      </w:r>
      <w:r w:rsidR="000A5329" w:rsidRPr="002029AF">
        <w:t xml:space="preserve"> </w:t>
      </w:r>
      <w:r w:rsidRPr="002029AF">
        <w:t>advice,</w:t>
      </w:r>
      <w:r w:rsidR="000A5329" w:rsidRPr="002029AF">
        <w:t xml:space="preserve"> </w:t>
      </w:r>
      <w:r w:rsidRPr="002029AF">
        <w:t>share</w:t>
      </w:r>
      <w:r w:rsidR="000A5329" w:rsidRPr="002029AF">
        <w:t xml:space="preserve"> </w:t>
      </w:r>
      <w:r w:rsidRPr="002029AF">
        <w:t>information</w:t>
      </w:r>
      <w:r w:rsidR="000A5329" w:rsidRPr="002029AF">
        <w:t xml:space="preserve"> </w:t>
      </w:r>
      <w:r w:rsidRPr="002029AF">
        <w:t>and</w:t>
      </w:r>
      <w:r w:rsidR="000A5329" w:rsidRPr="002029AF">
        <w:t xml:space="preserve"> </w:t>
      </w:r>
      <w:r w:rsidRPr="002029AF">
        <w:t>resolve</w:t>
      </w:r>
      <w:r w:rsidR="000A5329" w:rsidRPr="002029AF">
        <w:t xml:space="preserve"> </w:t>
      </w:r>
      <w:r w:rsidRPr="002029AF">
        <w:t>issues</w:t>
      </w:r>
    </w:p>
    <w:p w14:paraId="59A580F7" w14:textId="149B5B57" w:rsidR="00770DE1" w:rsidRPr="002029AF" w:rsidRDefault="00770DE1" w:rsidP="001E768A">
      <w:pPr>
        <w:pStyle w:val="ARbullet2"/>
      </w:pPr>
      <w:r w:rsidRPr="002029AF">
        <w:t>leading</w:t>
      </w:r>
      <w:r w:rsidR="000A5329" w:rsidRPr="002029AF">
        <w:t xml:space="preserve"> </w:t>
      </w:r>
      <w:r w:rsidRPr="002029AF">
        <w:t>the</w:t>
      </w:r>
      <w:r w:rsidR="000A5329" w:rsidRPr="002029AF">
        <w:t xml:space="preserve"> </w:t>
      </w:r>
      <w:r w:rsidR="0024649F" w:rsidRPr="002029AF">
        <w:t>personal</w:t>
      </w:r>
      <w:r w:rsidR="000A5329" w:rsidRPr="002029AF">
        <w:t xml:space="preserve"> </w:t>
      </w:r>
      <w:r w:rsidR="0024649F" w:rsidRPr="002029AF">
        <w:t>protective</w:t>
      </w:r>
      <w:r w:rsidR="000A5329" w:rsidRPr="002029AF">
        <w:t xml:space="preserve"> </w:t>
      </w:r>
      <w:r w:rsidR="0024649F" w:rsidRPr="002029AF">
        <w:t>equipment</w:t>
      </w:r>
      <w:r w:rsidR="000A5329" w:rsidRPr="002029AF">
        <w:t xml:space="preserve"> </w:t>
      </w:r>
      <w:r w:rsidR="0008719B" w:rsidRPr="002029AF">
        <w:t>(</w:t>
      </w:r>
      <w:r w:rsidR="000343EC" w:rsidRPr="002029AF">
        <w:t>PPE)</w:t>
      </w:r>
      <w:r w:rsidR="000A5329" w:rsidRPr="002029AF">
        <w:t xml:space="preserve"> </w:t>
      </w:r>
      <w:r w:rsidR="000343EC" w:rsidRPr="002029AF">
        <w:t>taskforce</w:t>
      </w:r>
      <w:r w:rsidR="000A5329" w:rsidRPr="002029AF">
        <w:t xml:space="preserve"> </w:t>
      </w:r>
      <w:r w:rsidRPr="002029AF">
        <w:t>to</w:t>
      </w:r>
      <w:r w:rsidR="000A5329" w:rsidRPr="002029AF">
        <w:t xml:space="preserve"> </w:t>
      </w:r>
      <w:r w:rsidRPr="002029AF">
        <w:t>secure</w:t>
      </w:r>
      <w:r w:rsidR="000A5329" w:rsidRPr="002029AF">
        <w:t xml:space="preserve"> </w:t>
      </w:r>
      <w:r w:rsidRPr="002029AF">
        <w:t>stock</w:t>
      </w:r>
      <w:r w:rsidR="000A5329" w:rsidRPr="002029AF">
        <w:t xml:space="preserve"> </w:t>
      </w:r>
      <w:r w:rsidRPr="002029AF">
        <w:t>and</w:t>
      </w:r>
      <w:r w:rsidR="000A5329" w:rsidRPr="002029AF">
        <w:t xml:space="preserve"> </w:t>
      </w:r>
      <w:r w:rsidRPr="002029AF">
        <w:t>supply,</w:t>
      </w:r>
      <w:r w:rsidR="000A5329" w:rsidRPr="002029AF">
        <w:t xml:space="preserve"> </w:t>
      </w:r>
      <w:r w:rsidRPr="002029AF">
        <w:t>and</w:t>
      </w:r>
      <w:r w:rsidR="000A5329" w:rsidRPr="002029AF">
        <w:t xml:space="preserve"> </w:t>
      </w:r>
      <w:r w:rsidR="0095007D" w:rsidRPr="002029AF">
        <w:t>to</w:t>
      </w:r>
      <w:r w:rsidR="000A5329" w:rsidRPr="002029AF">
        <w:t xml:space="preserve"> </w:t>
      </w:r>
      <w:r w:rsidRPr="002029AF">
        <w:t>provide</w:t>
      </w:r>
      <w:r w:rsidR="000A5329" w:rsidRPr="002029AF">
        <w:t xml:space="preserve"> </w:t>
      </w:r>
      <w:r w:rsidRPr="002029AF">
        <w:t>necessary</w:t>
      </w:r>
      <w:r w:rsidR="000A5329" w:rsidRPr="002029AF">
        <w:t xml:space="preserve"> </w:t>
      </w:r>
      <w:r w:rsidRPr="002029AF">
        <w:t>upskilling</w:t>
      </w:r>
      <w:r w:rsidR="000A5329" w:rsidRPr="002029AF">
        <w:t xml:space="preserve"> </w:t>
      </w:r>
      <w:r w:rsidRPr="002029AF">
        <w:t>to</w:t>
      </w:r>
      <w:r w:rsidR="000A5329" w:rsidRPr="002029AF">
        <w:t xml:space="preserve"> </w:t>
      </w:r>
      <w:r w:rsidRPr="002029AF">
        <w:t>healthcare</w:t>
      </w:r>
      <w:r w:rsidR="000A5329" w:rsidRPr="002029AF">
        <w:t xml:space="preserve"> </w:t>
      </w:r>
      <w:r w:rsidRPr="002029AF">
        <w:t>workers</w:t>
      </w:r>
    </w:p>
    <w:p w14:paraId="3D517A1E" w14:textId="754FD6F1" w:rsidR="00770DE1" w:rsidRPr="002029AF" w:rsidRDefault="00770DE1" w:rsidP="001E768A">
      <w:pPr>
        <w:pStyle w:val="ARbullet2"/>
      </w:pPr>
      <w:r w:rsidRPr="002029AF">
        <w:t>providing</w:t>
      </w:r>
      <w:r w:rsidR="000A5329" w:rsidRPr="002029AF">
        <w:t xml:space="preserve"> </w:t>
      </w:r>
      <w:r w:rsidRPr="002029AF">
        <w:t>important</w:t>
      </w:r>
      <w:r w:rsidR="000A5329" w:rsidRPr="002029AF">
        <w:t xml:space="preserve"> </w:t>
      </w:r>
      <w:r w:rsidRPr="002029AF">
        <w:t>epidemiological</w:t>
      </w:r>
      <w:r w:rsidR="000A5329" w:rsidRPr="002029AF">
        <w:t xml:space="preserve"> </w:t>
      </w:r>
      <w:r w:rsidRPr="002029AF">
        <w:t>and</w:t>
      </w:r>
      <w:r w:rsidR="000A5329" w:rsidRPr="002029AF">
        <w:t xml:space="preserve"> </w:t>
      </w:r>
      <w:r w:rsidRPr="002029AF">
        <w:t>health</w:t>
      </w:r>
      <w:r w:rsidR="000A5329" w:rsidRPr="002029AF">
        <w:t xml:space="preserve"> </w:t>
      </w:r>
      <w:r w:rsidRPr="002029AF">
        <w:t>service</w:t>
      </w:r>
      <w:r w:rsidR="000A5329" w:rsidRPr="002029AF">
        <w:t xml:space="preserve"> </w:t>
      </w:r>
      <w:r w:rsidRPr="002029AF">
        <w:t>data.</w:t>
      </w:r>
    </w:p>
    <w:p w14:paraId="79C6AA6F" w14:textId="2CFE8620" w:rsidR="00770DE1" w:rsidRPr="002029AF" w:rsidRDefault="00770DE1" w:rsidP="001E768A">
      <w:pPr>
        <w:pStyle w:val="ARbullet1"/>
      </w:pPr>
      <w:r w:rsidRPr="002029AF">
        <w:t>The</w:t>
      </w:r>
      <w:r w:rsidR="000A5329" w:rsidRPr="002029AF">
        <w:t xml:space="preserve"> </w:t>
      </w:r>
      <w:r w:rsidRPr="002029AF">
        <w:t>department</w:t>
      </w:r>
      <w:r w:rsidR="000A5329" w:rsidRPr="002029AF">
        <w:t xml:space="preserve"> </w:t>
      </w:r>
      <w:r w:rsidRPr="002029AF">
        <w:t>also</w:t>
      </w:r>
      <w:r w:rsidR="000A5329" w:rsidRPr="002029AF">
        <w:t xml:space="preserve"> </w:t>
      </w:r>
      <w:r w:rsidRPr="002029AF">
        <w:t>supported</w:t>
      </w:r>
      <w:r w:rsidR="000A5329" w:rsidRPr="002029AF">
        <w:t xml:space="preserve"> </w:t>
      </w:r>
      <w:r w:rsidRPr="002029AF">
        <w:t>quality,</w:t>
      </w:r>
      <w:r w:rsidR="000A5329" w:rsidRPr="002029AF">
        <w:t xml:space="preserve"> </w:t>
      </w:r>
      <w:r w:rsidRPr="002029AF">
        <w:t>safety</w:t>
      </w:r>
      <w:r w:rsidR="000A5329" w:rsidRPr="002029AF">
        <w:t xml:space="preserve"> </w:t>
      </w:r>
      <w:r w:rsidRPr="002029AF">
        <w:t>and</w:t>
      </w:r>
      <w:r w:rsidR="000A5329" w:rsidRPr="002029AF">
        <w:t xml:space="preserve"> </w:t>
      </w:r>
      <w:r w:rsidRPr="002029AF">
        <w:t>improvement</w:t>
      </w:r>
      <w:r w:rsidR="000A5329" w:rsidRPr="002029AF">
        <w:t xml:space="preserve"> </w:t>
      </w:r>
      <w:r w:rsidRPr="002029AF">
        <w:t>in</w:t>
      </w:r>
      <w:r w:rsidR="000A5329" w:rsidRPr="002029AF">
        <w:t xml:space="preserve"> </w:t>
      </w:r>
      <w:r w:rsidRPr="002029AF">
        <w:t>child</w:t>
      </w:r>
      <w:r w:rsidR="000A5329" w:rsidRPr="002029AF">
        <w:t xml:space="preserve"> </w:t>
      </w:r>
      <w:r w:rsidRPr="002029AF">
        <w:t>and</w:t>
      </w:r>
      <w:r w:rsidR="000A5329" w:rsidRPr="002029AF">
        <w:t xml:space="preserve"> </w:t>
      </w:r>
      <w:r w:rsidRPr="002029AF">
        <w:t>family</w:t>
      </w:r>
      <w:r w:rsidR="000A5329" w:rsidRPr="002029AF">
        <w:t xml:space="preserve"> </w:t>
      </w:r>
      <w:r w:rsidRPr="002029AF">
        <w:t>services</w:t>
      </w:r>
      <w:r w:rsidR="000A5329" w:rsidRPr="002029AF">
        <w:t xml:space="preserve"> </w:t>
      </w:r>
      <w:r w:rsidRPr="002029AF">
        <w:t>through:</w:t>
      </w:r>
    </w:p>
    <w:p w14:paraId="5CD7890F" w14:textId="0E4CB6CC" w:rsidR="000A5329" w:rsidRPr="002029AF" w:rsidRDefault="00770DE1" w:rsidP="001E768A">
      <w:pPr>
        <w:pStyle w:val="ARbullet2"/>
      </w:pPr>
      <w:r w:rsidRPr="002029AF">
        <w:t>completing</w:t>
      </w:r>
      <w:r w:rsidR="000A5329" w:rsidRPr="002029AF">
        <w:t xml:space="preserve"> </w:t>
      </w:r>
      <w:r w:rsidRPr="002029AF">
        <w:t>a</w:t>
      </w:r>
      <w:r w:rsidR="000A5329" w:rsidRPr="002029AF">
        <w:t xml:space="preserve"> </w:t>
      </w:r>
      <w:r w:rsidRPr="002029AF">
        <w:t>review</w:t>
      </w:r>
      <w:r w:rsidR="000A5329" w:rsidRPr="002029AF">
        <w:t xml:space="preserve"> </w:t>
      </w:r>
      <w:r w:rsidRPr="002029AF">
        <w:t>of</w:t>
      </w:r>
      <w:r w:rsidR="000A5329" w:rsidRPr="002029AF">
        <w:t xml:space="preserve"> </w:t>
      </w:r>
      <w:r w:rsidRPr="002029AF">
        <w:t>the</w:t>
      </w:r>
      <w:r w:rsidR="000A5329" w:rsidRPr="002029AF">
        <w:t xml:space="preserve"> </w:t>
      </w:r>
      <w:r w:rsidRPr="002029AF">
        <w:t>Child</w:t>
      </w:r>
      <w:r w:rsidR="000A5329" w:rsidRPr="002029AF">
        <w:t xml:space="preserve"> </w:t>
      </w:r>
      <w:r w:rsidRPr="002029AF">
        <w:t>Safe</w:t>
      </w:r>
      <w:r w:rsidR="000A5329" w:rsidRPr="002029AF">
        <w:t xml:space="preserve"> </w:t>
      </w:r>
      <w:r w:rsidRPr="002029AF">
        <w:t>Standards</w:t>
      </w:r>
      <w:r w:rsidR="000A5329" w:rsidRPr="002029AF">
        <w:t xml:space="preserve"> </w:t>
      </w:r>
      <w:r w:rsidRPr="002029AF">
        <w:t>in</w:t>
      </w:r>
      <w:r w:rsidR="000A5329" w:rsidRPr="002029AF">
        <w:t xml:space="preserve"> </w:t>
      </w:r>
      <w:r w:rsidRPr="002029AF">
        <w:t>December</w:t>
      </w:r>
      <w:r w:rsidR="000A5329" w:rsidRPr="002029AF">
        <w:t xml:space="preserve"> </w:t>
      </w:r>
      <w:r w:rsidRPr="002029AF">
        <w:t>2019</w:t>
      </w:r>
      <w:r w:rsidR="000A5329" w:rsidRPr="002029AF">
        <w:t xml:space="preserve"> </w:t>
      </w:r>
      <w:r w:rsidRPr="002029AF">
        <w:t>to</w:t>
      </w:r>
      <w:r w:rsidR="000A5329" w:rsidRPr="002029AF">
        <w:t xml:space="preserve"> </w:t>
      </w:r>
      <w:r w:rsidRPr="002029AF">
        <w:t>ensure</w:t>
      </w:r>
      <w:r w:rsidR="000A5329" w:rsidRPr="002029AF">
        <w:t xml:space="preserve"> </w:t>
      </w:r>
      <w:r w:rsidRPr="002029AF">
        <w:t>they</w:t>
      </w:r>
      <w:r w:rsidR="000A5329" w:rsidRPr="002029AF">
        <w:t xml:space="preserve"> </w:t>
      </w:r>
      <w:r w:rsidRPr="002029AF">
        <w:t>are</w:t>
      </w:r>
      <w:r w:rsidR="000A5329" w:rsidRPr="002029AF">
        <w:t xml:space="preserve"> </w:t>
      </w:r>
      <w:r w:rsidRPr="002029AF">
        <w:t>as</w:t>
      </w:r>
      <w:r w:rsidR="000A5329" w:rsidRPr="002029AF">
        <w:t xml:space="preserve"> </w:t>
      </w:r>
      <w:r w:rsidRPr="002029AF">
        <w:t>strong</w:t>
      </w:r>
      <w:r w:rsidR="000A5329" w:rsidRPr="002029AF">
        <w:t xml:space="preserve"> </w:t>
      </w:r>
      <w:r w:rsidRPr="002029AF">
        <w:t>as</w:t>
      </w:r>
      <w:r w:rsidR="000A5329" w:rsidRPr="002029AF">
        <w:t xml:space="preserve"> </w:t>
      </w:r>
      <w:r w:rsidRPr="002029AF">
        <w:t>possible,</w:t>
      </w:r>
      <w:r w:rsidR="000A5329" w:rsidRPr="002029AF">
        <w:t xml:space="preserve"> </w:t>
      </w:r>
      <w:r w:rsidRPr="002029AF">
        <w:t>and</w:t>
      </w:r>
      <w:r w:rsidR="000A5329" w:rsidRPr="002029AF">
        <w:t xml:space="preserve"> </w:t>
      </w:r>
      <w:r w:rsidR="00496C81" w:rsidRPr="002029AF">
        <w:t>that</w:t>
      </w:r>
      <w:r w:rsidR="000A5329" w:rsidRPr="002029AF">
        <w:t xml:space="preserve"> </w:t>
      </w:r>
      <w:r w:rsidRPr="002029AF">
        <w:t>they</w:t>
      </w:r>
      <w:r w:rsidR="000A5329" w:rsidRPr="002029AF">
        <w:t xml:space="preserve"> </w:t>
      </w:r>
      <w:r w:rsidRPr="002029AF">
        <w:t>better</w:t>
      </w:r>
      <w:r w:rsidR="000A5329" w:rsidRPr="002029AF">
        <w:t xml:space="preserve"> </w:t>
      </w:r>
      <w:r w:rsidRPr="002029AF">
        <w:t>align</w:t>
      </w:r>
      <w:r w:rsidR="000A5329" w:rsidRPr="002029AF">
        <w:t xml:space="preserve"> </w:t>
      </w:r>
      <w:r w:rsidRPr="002029AF">
        <w:t>with</w:t>
      </w:r>
      <w:r w:rsidR="000A5329" w:rsidRPr="002029AF">
        <w:t xml:space="preserve"> </w:t>
      </w:r>
      <w:r w:rsidRPr="002029AF">
        <w:t>the</w:t>
      </w:r>
      <w:r w:rsidR="000A5329" w:rsidRPr="002029AF">
        <w:t xml:space="preserve"> </w:t>
      </w:r>
      <w:r w:rsidRPr="002029AF">
        <w:t>recommendations</w:t>
      </w:r>
      <w:r w:rsidR="000A5329" w:rsidRPr="002029AF">
        <w:t xml:space="preserve"> </w:t>
      </w:r>
      <w:r w:rsidRPr="002029AF">
        <w:t>of</w:t>
      </w:r>
      <w:r w:rsidR="000A5329" w:rsidRPr="002029AF">
        <w:t xml:space="preserve"> </w:t>
      </w:r>
      <w:r w:rsidRPr="002029AF">
        <w:t>the</w:t>
      </w:r>
      <w:r w:rsidR="000A5329" w:rsidRPr="002029AF">
        <w:t xml:space="preserve"> </w:t>
      </w:r>
      <w:r w:rsidRPr="002029AF">
        <w:t>Commonwealth</w:t>
      </w:r>
      <w:r w:rsidR="000A5329" w:rsidRPr="002029AF">
        <w:t xml:space="preserve"> </w:t>
      </w:r>
      <w:r w:rsidRPr="002029AF">
        <w:t>Royal</w:t>
      </w:r>
      <w:r w:rsidR="000A5329" w:rsidRPr="002029AF">
        <w:t xml:space="preserve"> </w:t>
      </w:r>
      <w:r w:rsidRPr="002029AF">
        <w:t>Commission</w:t>
      </w:r>
      <w:r w:rsidR="000A5329" w:rsidRPr="002029AF">
        <w:t xml:space="preserve"> </w:t>
      </w:r>
      <w:r w:rsidRPr="002029AF">
        <w:t>into</w:t>
      </w:r>
      <w:r w:rsidR="000A5329" w:rsidRPr="002029AF">
        <w:t xml:space="preserve"> </w:t>
      </w:r>
      <w:r w:rsidRPr="002029AF">
        <w:t>Institutional</w:t>
      </w:r>
      <w:r w:rsidR="000A5329" w:rsidRPr="002029AF">
        <w:t xml:space="preserve"> </w:t>
      </w:r>
      <w:r w:rsidRPr="002029AF">
        <w:t>Responses</w:t>
      </w:r>
      <w:r w:rsidR="000A5329" w:rsidRPr="002029AF">
        <w:t xml:space="preserve"> </w:t>
      </w:r>
      <w:r w:rsidRPr="002029AF">
        <w:t>to</w:t>
      </w:r>
      <w:r w:rsidR="000A5329" w:rsidRPr="002029AF">
        <w:t xml:space="preserve"> </w:t>
      </w:r>
      <w:r w:rsidRPr="002029AF">
        <w:t>Child</w:t>
      </w:r>
      <w:r w:rsidR="000A5329" w:rsidRPr="002029AF">
        <w:t xml:space="preserve"> </w:t>
      </w:r>
      <w:r w:rsidRPr="002029AF">
        <w:t>Sexual</w:t>
      </w:r>
      <w:r w:rsidR="000A5329" w:rsidRPr="002029AF">
        <w:t xml:space="preserve"> </w:t>
      </w:r>
      <w:r w:rsidRPr="002029AF">
        <w:t>Abuse</w:t>
      </w:r>
    </w:p>
    <w:p w14:paraId="5E1DD3E3" w14:textId="77777777" w:rsidR="00667FC4" w:rsidRPr="002029AF" w:rsidRDefault="00667FC4" w:rsidP="00667FC4">
      <w:pPr>
        <w:pStyle w:val="ARbullet2"/>
      </w:pPr>
      <w:r w:rsidRPr="002029AF">
        <w:t xml:space="preserve">launching the </w:t>
      </w:r>
      <w:r w:rsidRPr="00B032FB">
        <w:rPr>
          <w:i/>
          <w:iCs/>
        </w:rPr>
        <w:t xml:space="preserve">SAFER </w:t>
      </w:r>
      <w:r>
        <w:rPr>
          <w:i/>
          <w:iCs/>
        </w:rPr>
        <w:t>c</w:t>
      </w:r>
      <w:r w:rsidRPr="00B032FB">
        <w:rPr>
          <w:i/>
          <w:iCs/>
        </w:rPr>
        <w:t xml:space="preserve">hildren </w:t>
      </w:r>
      <w:r>
        <w:rPr>
          <w:i/>
          <w:iCs/>
        </w:rPr>
        <w:t>r</w:t>
      </w:r>
      <w:r w:rsidRPr="00B032FB">
        <w:rPr>
          <w:i/>
          <w:iCs/>
        </w:rPr>
        <w:t xml:space="preserve">isk </w:t>
      </w:r>
      <w:r>
        <w:rPr>
          <w:i/>
          <w:iCs/>
        </w:rPr>
        <w:t>a</w:t>
      </w:r>
      <w:r w:rsidRPr="00B032FB">
        <w:rPr>
          <w:i/>
          <w:iCs/>
        </w:rPr>
        <w:t xml:space="preserve">ssessment </w:t>
      </w:r>
      <w:r>
        <w:rPr>
          <w:i/>
          <w:iCs/>
        </w:rPr>
        <w:t>f</w:t>
      </w:r>
      <w:r w:rsidRPr="00B032FB">
        <w:rPr>
          <w:i/>
          <w:iCs/>
        </w:rPr>
        <w:t>ramework</w:t>
      </w:r>
      <w:r w:rsidRPr="002029AF">
        <w:t xml:space="preserve"> in September 2019, which provides practice guides, tools and templates to support all Victorian child protection practitioners in making more informed decisions which leads to better outcomes for children and their families</w:t>
      </w:r>
    </w:p>
    <w:p w14:paraId="39569929" w14:textId="2AF00105" w:rsidR="00667FC4" w:rsidRPr="002029AF" w:rsidRDefault="007417B6" w:rsidP="00667FC4">
      <w:pPr>
        <w:pStyle w:val="ARbullet2"/>
      </w:pPr>
      <w:r>
        <w:br w:type="column"/>
      </w:r>
      <w:r w:rsidR="00667FC4" w:rsidRPr="002029AF">
        <w:t>further protecting vulnerable children through new legislation that makes people in religious ministries mandated reporters to child protection and makes their failure to report child abuse a criminal offence, even if the abuse is disclosed during confession.</w:t>
      </w:r>
    </w:p>
    <w:p w14:paraId="4A3E90BC" w14:textId="77777777" w:rsidR="00667FC4" w:rsidRPr="002029AF" w:rsidRDefault="00667FC4" w:rsidP="00667FC4">
      <w:pPr>
        <w:pStyle w:val="ARbullet1"/>
      </w:pPr>
      <w:r w:rsidRPr="002029AF">
        <w:t xml:space="preserve">In addition to the third </w:t>
      </w:r>
      <w:r w:rsidRPr="002029AF">
        <w:rPr>
          <w:i/>
          <w:iCs/>
        </w:rPr>
        <w:t>Victorian public health and wellbeing plan</w:t>
      </w:r>
      <w:r w:rsidRPr="002029AF">
        <w:t xml:space="preserve"> publish</w:t>
      </w:r>
      <w:r>
        <w:t>ed</w:t>
      </w:r>
      <w:r w:rsidRPr="002029AF">
        <w:t xml:space="preserve"> in August 2019, new Public Health and Wellbeing Regulations came into </w:t>
      </w:r>
      <w:r w:rsidRPr="002029AF">
        <w:rPr>
          <w:i/>
          <w:iCs/>
        </w:rPr>
        <w:t>effect</w:t>
      </w:r>
      <w:r w:rsidRPr="002029AF">
        <w:t xml:space="preserve"> in December 2019. The new regulations help to ensure health protection for airborne and vector-borne diseases, as well as prevent and minimise the spread of infectious diseases in childcare centres, primary schools and swimming pools, and through tattooing or cosmetic procedures.</w:t>
      </w:r>
    </w:p>
    <w:p w14:paraId="6E262692" w14:textId="533EFA35" w:rsidR="00770DE1" w:rsidRPr="002029AF" w:rsidRDefault="00770DE1" w:rsidP="001E768A">
      <w:pPr>
        <w:pStyle w:val="ARbullet1"/>
      </w:pPr>
      <w:r w:rsidRPr="002029AF">
        <w:t>VicHealth</w:t>
      </w:r>
      <w:r w:rsidR="000A5329" w:rsidRPr="002029AF">
        <w:t xml:space="preserve"> </w:t>
      </w:r>
      <w:r w:rsidRPr="002029AF">
        <w:t>has</w:t>
      </w:r>
      <w:r w:rsidR="000A5329" w:rsidRPr="002029AF">
        <w:t xml:space="preserve"> </w:t>
      </w:r>
      <w:r w:rsidRPr="002029AF">
        <w:t>developed</w:t>
      </w:r>
      <w:r w:rsidR="000A5329" w:rsidRPr="002029AF">
        <w:t xml:space="preserve"> </w:t>
      </w:r>
      <w:r w:rsidRPr="002029AF">
        <w:t>its</w:t>
      </w:r>
      <w:r w:rsidR="000A5329" w:rsidRPr="002029AF">
        <w:t xml:space="preserve"> </w:t>
      </w:r>
      <w:r w:rsidRPr="002029AF">
        <w:rPr>
          <w:i/>
          <w:iCs/>
        </w:rPr>
        <w:t>Health</w:t>
      </w:r>
      <w:r w:rsidR="000A5329" w:rsidRPr="002029AF">
        <w:rPr>
          <w:i/>
          <w:iCs/>
        </w:rPr>
        <w:t xml:space="preserve"> </w:t>
      </w:r>
      <w:r w:rsidRPr="002029AF">
        <w:rPr>
          <w:i/>
          <w:iCs/>
        </w:rPr>
        <w:t>Equity</w:t>
      </w:r>
      <w:r w:rsidR="000A5329" w:rsidRPr="002029AF">
        <w:rPr>
          <w:i/>
          <w:iCs/>
        </w:rPr>
        <w:t xml:space="preserve"> </w:t>
      </w:r>
      <w:r w:rsidRPr="002029AF">
        <w:rPr>
          <w:i/>
          <w:iCs/>
        </w:rPr>
        <w:t>Strategy</w:t>
      </w:r>
      <w:r w:rsidR="000A5329" w:rsidRPr="002029AF">
        <w:rPr>
          <w:i/>
          <w:iCs/>
        </w:rPr>
        <w:t xml:space="preserve"> </w:t>
      </w:r>
      <w:r w:rsidRPr="002029AF">
        <w:rPr>
          <w:i/>
          <w:iCs/>
        </w:rPr>
        <w:t>201</w:t>
      </w:r>
      <w:r w:rsidR="00DB53E6" w:rsidRPr="002029AF">
        <w:rPr>
          <w:i/>
          <w:iCs/>
        </w:rPr>
        <w:t>9–</w:t>
      </w:r>
      <w:r w:rsidRPr="002029AF">
        <w:rPr>
          <w:i/>
          <w:iCs/>
        </w:rPr>
        <w:t>2023</w:t>
      </w:r>
      <w:r w:rsidR="009548A8" w:rsidRPr="002029AF">
        <w:rPr>
          <w:i/>
          <w:iCs/>
        </w:rPr>
        <w:t>,</w:t>
      </w:r>
      <w:r w:rsidR="000A5329" w:rsidRPr="002029AF">
        <w:t xml:space="preserve"> </w:t>
      </w:r>
      <w:r w:rsidRPr="002029AF">
        <w:t>which</w:t>
      </w:r>
      <w:r w:rsidR="000A5329" w:rsidRPr="002029AF">
        <w:t xml:space="preserve"> </w:t>
      </w:r>
      <w:r w:rsidRPr="002029AF">
        <w:t>aims</w:t>
      </w:r>
      <w:r w:rsidR="000A5329" w:rsidRPr="002029AF">
        <w:t xml:space="preserve"> </w:t>
      </w:r>
      <w:r w:rsidRPr="002029AF">
        <w:t>to</w:t>
      </w:r>
      <w:r w:rsidR="000A5329" w:rsidRPr="002029AF">
        <w:t xml:space="preserve"> </w:t>
      </w:r>
      <w:r w:rsidRPr="002029AF">
        <w:t>ensure</w:t>
      </w:r>
      <w:r w:rsidR="000A5329" w:rsidRPr="002029AF">
        <w:t xml:space="preserve"> </w:t>
      </w:r>
      <w:r w:rsidRPr="002029AF">
        <w:t>that</w:t>
      </w:r>
      <w:r w:rsidR="000A5329" w:rsidRPr="002029AF">
        <w:t xml:space="preserve"> </w:t>
      </w:r>
      <w:r w:rsidRPr="002029AF">
        <w:t>more</w:t>
      </w:r>
      <w:r w:rsidR="000A5329" w:rsidRPr="002029AF">
        <w:t xml:space="preserve"> </w:t>
      </w:r>
      <w:r w:rsidRPr="002029AF">
        <w:t>than</w:t>
      </w:r>
      <w:r w:rsidR="000A5329" w:rsidRPr="002029AF">
        <w:t xml:space="preserve"> </w:t>
      </w:r>
      <w:r w:rsidRPr="002029AF">
        <w:t>one</w:t>
      </w:r>
      <w:r w:rsidR="000A5329" w:rsidRPr="002029AF">
        <w:t xml:space="preserve"> </w:t>
      </w:r>
      <w:r w:rsidRPr="002029AF">
        <w:t>million</w:t>
      </w:r>
      <w:r w:rsidR="000A5329" w:rsidRPr="002029AF">
        <w:t xml:space="preserve"> </w:t>
      </w:r>
      <w:r w:rsidRPr="002029AF">
        <w:t>Victorians</w:t>
      </w:r>
      <w:r w:rsidR="000A5329" w:rsidRPr="002029AF">
        <w:t xml:space="preserve"> </w:t>
      </w:r>
      <w:r w:rsidRPr="002029AF">
        <w:t>have</w:t>
      </w:r>
      <w:r w:rsidR="000A5329" w:rsidRPr="002029AF">
        <w:t xml:space="preserve"> </w:t>
      </w:r>
      <w:r w:rsidRPr="002029AF">
        <w:t>better</w:t>
      </w:r>
      <w:r w:rsidR="000A5329" w:rsidRPr="002029AF">
        <w:t xml:space="preserve"> </w:t>
      </w:r>
      <w:r w:rsidRPr="002029AF">
        <w:t>health</w:t>
      </w:r>
      <w:r w:rsidR="000A5329" w:rsidRPr="002029AF">
        <w:t xml:space="preserve"> </w:t>
      </w:r>
      <w:r w:rsidRPr="002029AF">
        <w:t>and</w:t>
      </w:r>
      <w:r w:rsidR="000A5329" w:rsidRPr="002029AF">
        <w:t xml:space="preserve"> </w:t>
      </w:r>
      <w:r w:rsidRPr="002029AF">
        <w:t>wellbeing</w:t>
      </w:r>
      <w:r w:rsidR="000A5329" w:rsidRPr="002029AF">
        <w:t xml:space="preserve"> </w:t>
      </w:r>
      <w:r w:rsidRPr="002029AF">
        <w:t>by</w:t>
      </w:r>
      <w:r w:rsidR="000A5329" w:rsidRPr="002029AF">
        <w:t xml:space="preserve"> </w:t>
      </w:r>
      <w:r w:rsidRPr="002029AF">
        <w:t>2023.</w:t>
      </w:r>
      <w:r w:rsidR="000A5329" w:rsidRPr="002029AF">
        <w:t xml:space="preserve"> </w:t>
      </w:r>
      <w:r w:rsidRPr="002029AF">
        <w:t>In</w:t>
      </w:r>
      <w:r w:rsidR="000A5329" w:rsidRPr="002029AF">
        <w:t xml:space="preserve"> </w:t>
      </w:r>
      <w:r w:rsidRPr="002029AF">
        <w:t>releasing</w:t>
      </w:r>
      <w:r w:rsidR="000A5329" w:rsidRPr="002029AF">
        <w:t xml:space="preserve"> </w:t>
      </w:r>
      <w:r w:rsidRPr="002029AF">
        <w:t>this</w:t>
      </w:r>
      <w:r w:rsidR="000A5329" w:rsidRPr="002029AF">
        <w:t xml:space="preserve"> </w:t>
      </w:r>
      <w:r w:rsidRPr="002029AF">
        <w:t>strategy,</w:t>
      </w:r>
      <w:r w:rsidR="000A5329" w:rsidRPr="002029AF">
        <w:t xml:space="preserve"> </w:t>
      </w:r>
      <w:r w:rsidRPr="002029AF">
        <w:t>VicHealth</w:t>
      </w:r>
      <w:r w:rsidR="000A5329" w:rsidRPr="002029AF">
        <w:t xml:space="preserve"> </w:t>
      </w:r>
      <w:r w:rsidRPr="002029AF">
        <w:t>has</w:t>
      </w:r>
      <w:r w:rsidR="000A5329" w:rsidRPr="002029AF">
        <w:t xml:space="preserve"> </w:t>
      </w:r>
      <w:r w:rsidRPr="002029AF">
        <w:t>committed</w:t>
      </w:r>
      <w:r w:rsidR="000A5329" w:rsidRPr="002029AF">
        <w:t xml:space="preserve"> </w:t>
      </w:r>
      <w:r w:rsidRPr="002029AF">
        <w:t>to</w:t>
      </w:r>
      <w:r w:rsidR="000A5329" w:rsidRPr="002029AF">
        <w:t xml:space="preserve"> </w:t>
      </w:r>
      <w:r w:rsidRPr="002029AF">
        <w:t>embedding</w:t>
      </w:r>
      <w:r w:rsidR="000A5329" w:rsidRPr="002029AF">
        <w:t xml:space="preserve"> </w:t>
      </w:r>
      <w:r w:rsidRPr="002029AF">
        <w:t>health</w:t>
      </w:r>
      <w:r w:rsidR="000A5329" w:rsidRPr="002029AF">
        <w:t xml:space="preserve"> </w:t>
      </w:r>
      <w:r w:rsidRPr="002029AF">
        <w:t>equity</w:t>
      </w:r>
      <w:r w:rsidR="000A5329" w:rsidRPr="002029AF">
        <w:t xml:space="preserve"> </w:t>
      </w:r>
      <w:r w:rsidRPr="002029AF">
        <w:t>in</w:t>
      </w:r>
      <w:r w:rsidR="000A5329" w:rsidRPr="002029AF">
        <w:t xml:space="preserve"> </w:t>
      </w:r>
      <w:r w:rsidRPr="002029AF">
        <w:t>everything</w:t>
      </w:r>
      <w:r w:rsidR="000A5329" w:rsidRPr="002029AF">
        <w:t xml:space="preserve"> </w:t>
      </w:r>
      <w:r w:rsidRPr="002029AF">
        <w:t>it</w:t>
      </w:r>
      <w:r w:rsidR="000A5329" w:rsidRPr="002029AF">
        <w:t xml:space="preserve"> </w:t>
      </w:r>
      <w:r w:rsidRPr="002029AF">
        <w:t>does</w:t>
      </w:r>
      <w:r w:rsidR="000A5329" w:rsidRPr="002029AF">
        <w:t xml:space="preserve"> </w:t>
      </w:r>
      <w:r w:rsidRPr="002029AF">
        <w:t>across</w:t>
      </w:r>
      <w:r w:rsidR="000A5329" w:rsidRPr="002029AF">
        <w:t xml:space="preserve"> </w:t>
      </w:r>
      <w:r w:rsidRPr="002029AF">
        <w:t>the</w:t>
      </w:r>
      <w:r w:rsidR="000A5329" w:rsidRPr="002029AF">
        <w:t xml:space="preserve"> </w:t>
      </w:r>
      <w:r w:rsidRPr="002029AF">
        <w:t>organisation.</w:t>
      </w:r>
    </w:p>
    <w:p w14:paraId="55094551" w14:textId="5A151EEC" w:rsidR="000A5329" w:rsidRPr="002029AF" w:rsidRDefault="00770DE1" w:rsidP="001E768A">
      <w:pPr>
        <w:pStyle w:val="ARbullet1"/>
        <w:rPr>
          <w:lang w:eastAsia="en-AU"/>
        </w:rPr>
      </w:pPr>
      <w:r w:rsidRPr="002029AF">
        <w:rPr>
          <w:lang w:eastAsia="en-AU"/>
        </w:rPr>
        <w:t>Safe</w:t>
      </w:r>
      <w:r w:rsidR="000A5329" w:rsidRPr="002029AF">
        <w:rPr>
          <w:lang w:eastAsia="en-AU"/>
        </w:rPr>
        <w:t xml:space="preserve"> </w:t>
      </w:r>
      <w:r w:rsidRPr="002029AF">
        <w:rPr>
          <w:lang w:eastAsia="en-AU"/>
        </w:rPr>
        <w:t>Care</w:t>
      </w:r>
      <w:r w:rsidR="000A5329" w:rsidRPr="002029AF">
        <w:rPr>
          <w:lang w:eastAsia="en-AU"/>
        </w:rPr>
        <w:t xml:space="preserve"> </w:t>
      </w:r>
      <w:r w:rsidRPr="002029AF">
        <w:rPr>
          <w:lang w:eastAsia="en-AU"/>
        </w:rPr>
        <w:t>Victoria</w:t>
      </w:r>
      <w:r w:rsidR="000A5329" w:rsidRPr="002029AF">
        <w:rPr>
          <w:lang w:eastAsia="en-AU"/>
        </w:rPr>
        <w:t xml:space="preserve"> </w:t>
      </w:r>
      <w:r w:rsidRPr="002029AF">
        <w:rPr>
          <w:lang w:eastAsia="en-AU"/>
        </w:rPr>
        <w:t>has</w:t>
      </w:r>
      <w:r w:rsidR="000A5329" w:rsidRPr="002029AF">
        <w:rPr>
          <w:lang w:eastAsia="en-AU"/>
        </w:rPr>
        <w:t xml:space="preserve"> </w:t>
      </w:r>
      <w:r w:rsidRPr="002029AF">
        <w:rPr>
          <w:lang w:eastAsia="en-AU"/>
        </w:rPr>
        <w:t>established</w:t>
      </w:r>
      <w:r w:rsidR="000A5329" w:rsidRPr="002029AF">
        <w:rPr>
          <w:lang w:eastAsia="en-AU"/>
        </w:rPr>
        <w:t xml:space="preserve"> </w:t>
      </w:r>
      <w:r w:rsidRPr="002029AF">
        <w:rPr>
          <w:lang w:eastAsia="en-AU"/>
        </w:rPr>
        <w:t>a</w:t>
      </w:r>
      <w:r w:rsidR="000A5329" w:rsidRPr="002029AF">
        <w:rPr>
          <w:lang w:eastAsia="en-AU"/>
        </w:rPr>
        <w:t xml:space="preserve"> </w:t>
      </w:r>
      <w:r w:rsidRPr="002029AF">
        <w:rPr>
          <w:lang w:eastAsia="en-AU"/>
        </w:rPr>
        <w:t>Care</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Older</w:t>
      </w:r>
      <w:r w:rsidR="000A5329" w:rsidRPr="002029AF">
        <w:rPr>
          <w:lang w:eastAsia="en-AU"/>
        </w:rPr>
        <w:t xml:space="preserve"> </w:t>
      </w:r>
      <w:r w:rsidRPr="002029AF">
        <w:rPr>
          <w:lang w:eastAsia="en-AU"/>
        </w:rPr>
        <w:t>People</w:t>
      </w:r>
      <w:r w:rsidR="000A5329" w:rsidRPr="002029AF">
        <w:rPr>
          <w:lang w:eastAsia="en-AU"/>
        </w:rPr>
        <w:t xml:space="preserve"> </w:t>
      </w:r>
      <w:r w:rsidRPr="002029AF">
        <w:rPr>
          <w:lang w:eastAsia="en-AU"/>
        </w:rPr>
        <w:t>Clinical</w:t>
      </w:r>
      <w:r w:rsidR="000A5329" w:rsidRPr="002029AF">
        <w:rPr>
          <w:lang w:eastAsia="en-AU"/>
        </w:rPr>
        <w:t xml:space="preserve"> </w:t>
      </w:r>
      <w:r w:rsidRPr="002029AF">
        <w:rPr>
          <w:lang w:eastAsia="en-AU"/>
        </w:rPr>
        <w:t>Network</w:t>
      </w:r>
      <w:r w:rsidR="000A5329" w:rsidRPr="002029AF">
        <w:rPr>
          <w:lang w:eastAsia="en-AU"/>
        </w:rPr>
        <w:t xml:space="preserve"> </w:t>
      </w:r>
      <w:r w:rsidRPr="002029AF">
        <w:rPr>
          <w:lang w:eastAsia="en-AU"/>
        </w:rPr>
        <w:t>and</w:t>
      </w:r>
      <w:r w:rsidR="000A5329" w:rsidRPr="002029AF">
        <w:rPr>
          <w:lang w:eastAsia="en-AU"/>
        </w:rPr>
        <w:t xml:space="preserve"> </w:t>
      </w:r>
      <w:r w:rsidR="009548A8" w:rsidRPr="002029AF">
        <w:rPr>
          <w:lang w:eastAsia="en-AU"/>
        </w:rPr>
        <w:t>has</w:t>
      </w:r>
      <w:r w:rsidR="000A5329" w:rsidRPr="002029AF">
        <w:rPr>
          <w:lang w:eastAsia="en-AU"/>
        </w:rPr>
        <w:t xml:space="preserve"> </w:t>
      </w:r>
      <w:r w:rsidR="009548A8" w:rsidRPr="002029AF">
        <w:rPr>
          <w:lang w:eastAsia="en-AU"/>
        </w:rPr>
        <w:t>set</w:t>
      </w:r>
      <w:r w:rsidR="000A5329" w:rsidRPr="002029AF">
        <w:rPr>
          <w:lang w:eastAsia="en-AU"/>
        </w:rPr>
        <w:t xml:space="preserve"> </w:t>
      </w:r>
      <w:r w:rsidR="009548A8" w:rsidRPr="002029AF">
        <w:rPr>
          <w:lang w:eastAsia="en-AU"/>
        </w:rPr>
        <w:t>up</w:t>
      </w:r>
      <w:r w:rsidR="000A5329" w:rsidRPr="002029AF">
        <w:rPr>
          <w:lang w:eastAsia="en-AU"/>
        </w:rPr>
        <w:t xml:space="preserve"> </w:t>
      </w:r>
      <w:r w:rsidRPr="002029AF">
        <w:rPr>
          <w:lang w:eastAsia="en-AU"/>
        </w:rPr>
        <w:t>projects</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improve</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care</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older</w:t>
      </w:r>
      <w:r w:rsidR="000A5329" w:rsidRPr="002029AF">
        <w:rPr>
          <w:lang w:eastAsia="en-AU"/>
        </w:rPr>
        <w:t xml:space="preserve"> </w:t>
      </w:r>
      <w:r w:rsidRPr="002029AF">
        <w:rPr>
          <w:lang w:eastAsia="en-AU"/>
        </w:rPr>
        <w:t>Victorians.</w:t>
      </w:r>
    </w:p>
    <w:p w14:paraId="22D95E7A" w14:textId="66869956" w:rsidR="00770DE1" w:rsidRPr="002029AF" w:rsidRDefault="00770DE1" w:rsidP="001E768A">
      <w:pPr>
        <w:pStyle w:val="ARbullet1"/>
      </w:pP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taken</w:t>
      </w:r>
      <w:r w:rsidR="000A5329" w:rsidRPr="002029AF">
        <w:t xml:space="preserve"> </w:t>
      </w:r>
      <w:r w:rsidRPr="002029AF">
        <w:t>steps</w:t>
      </w:r>
      <w:r w:rsidR="000A5329" w:rsidRPr="002029AF">
        <w:t xml:space="preserve"> </w:t>
      </w:r>
      <w:r w:rsidRPr="002029AF">
        <w:t>towards</w:t>
      </w:r>
      <w:r w:rsidR="000A5329" w:rsidRPr="002029AF">
        <w:t xml:space="preserve"> </w:t>
      </w:r>
      <w:r w:rsidRPr="002029AF">
        <w:t>improving</w:t>
      </w:r>
      <w:r w:rsidR="000A5329" w:rsidRPr="002029AF">
        <w:t xml:space="preserve"> </w:t>
      </w:r>
      <w:r w:rsidRPr="002029AF">
        <w:t>safety</w:t>
      </w:r>
      <w:r w:rsidR="000A5329" w:rsidRPr="002029AF">
        <w:t xml:space="preserve"> </w:t>
      </w:r>
      <w:r w:rsidRPr="002029AF">
        <w:t>and</w:t>
      </w:r>
      <w:r w:rsidR="000A5329" w:rsidRPr="002029AF">
        <w:t xml:space="preserve"> </w:t>
      </w:r>
      <w:r w:rsidRPr="002029AF">
        <w:t>reducing</w:t>
      </w:r>
      <w:r w:rsidR="000A5329" w:rsidRPr="002029AF">
        <w:t xml:space="preserve"> </w:t>
      </w:r>
      <w:r w:rsidRPr="002029AF">
        <w:t>restrictive</w:t>
      </w:r>
      <w:r w:rsidR="000A5329" w:rsidRPr="002029AF">
        <w:t xml:space="preserve"> </w:t>
      </w:r>
      <w:r w:rsidRPr="002029AF">
        <w:t>practices</w:t>
      </w:r>
      <w:r w:rsidR="000A5329" w:rsidRPr="002029AF">
        <w:t xml:space="preserve"> </w:t>
      </w:r>
      <w:r w:rsidRPr="002029AF">
        <w:t>in</w:t>
      </w:r>
      <w:r w:rsidR="000A5329" w:rsidRPr="002029AF">
        <w:t xml:space="preserve"> </w:t>
      </w:r>
      <w:r w:rsidRPr="002029AF">
        <w:t>formal</w:t>
      </w:r>
      <w:r w:rsidR="000A5329" w:rsidRPr="002029AF">
        <w:t xml:space="preserve"> </w:t>
      </w:r>
      <w:r w:rsidRPr="002029AF">
        <w:t>care</w:t>
      </w:r>
      <w:r w:rsidR="000A5329" w:rsidRPr="002029AF">
        <w:t xml:space="preserve"> </w:t>
      </w:r>
      <w:r w:rsidRPr="002029AF">
        <w:t>setting</w:t>
      </w:r>
      <w:r w:rsidR="000A5329" w:rsidRPr="002029AF">
        <w:t xml:space="preserve"> </w:t>
      </w:r>
      <w:r w:rsidRPr="002029AF">
        <w:t>through:</w:t>
      </w:r>
    </w:p>
    <w:p w14:paraId="080A4517" w14:textId="07FF316D" w:rsidR="00770DE1" w:rsidRPr="002029AF" w:rsidRDefault="00770DE1" w:rsidP="001E768A">
      <w:pPr>
        <w:pStyle w:val="ARbullet2"/>
      </w:pPr>
      <w:r w:rsidRPr="002029AF">
        <w:t>trialling</w:t>
      </w:r>
      <w:r w:rsidR="000A5329" w:rsidRPr="002029AF">
        <w:t xml:space="preserve"> </w:t>
      </w:r>
      <w:r w:rsidRPr="002029AF">
        <w:t>the</w:t>
      </w:r>
      <w:r w:rsidR="000A5329" w:rsidRPr="002029AF">
        <w:t xml:space="preserve"> </w:t>
      </w:r>
      <w:r w:rsidRPr="002029AF">
        <w:t>Safewards</w:t>
      </w:r>
      <w:r w:rsidR="000A5329" w:rsidRPr="002029AF">
        <w:t xml:space="preserve"> </w:t>
      </w:r>
      <w:r w:rsidRPr="002029AF">
        <w:t>model</w:t>
      </w:r>
      <w:r w:rsidR="000A5329" w:rsidRPr="002029AF">
        <w:t xml:space="preserve"> </w:t>
      </w:r>
      <w:r w:rsidRPr="002029AF">
        <w:t>in</w:t>
      </w:r>
      <w:r w:rsidR="000A5329" w:rsidRPr="002029AF">
        <w:t xml:space="preserve"> </w:t>
      </w:r>
      <w:r w:rsidRPr="002029AF">
        <w:t>emergency</w:t>
      </w:r>
      <w:r w:rsidR="000A5329" w:rsidRPr="002029AF">
        <w:t xml:space="preserve"> </w:t>
      </w:r>
      <w:r w:rsidRPr="002029AF">
        <w:t>departments</w:t>
      </w:r>
      <w:r w:rsidR="000A5329" w:rsidRPr="002029AF">
        <w:t xml:space="preserve"> </w:t>
      </w:r>
      <w:r w:rsidRPr="002029AF">
        <w:t>to</w:t>
      </w:r>
      <w:r w:rsidR="000A5329" w:rsidRPr="002029AF">
        <w:t xml:space="preserve"> </w:t>
      </w:r>
      <w:r w:rsidRPr="002029AF">
        <w:t>determine</w:t>
      </w:r>
      <w:r w:rsidR="000A5329" w:rsidRPr="002029AF">
        <w:t xml:space="preserve"> </w:t>
      </w:r>
      <w:r w:rsidRPr="002029AF">
        <w:t>its</w:t>
      </w:r>
      <w:r w:rsidR="000A5329" w:rsidRPr="002029AF">
        <w:t xml:space="preserve"> </w:t>
      </w:r>
      <w:r w:rsidRPr="002029AF">
        <w:t>effectiveness</w:t>
      </w:r>
      <w:r w:rsidR="000A5329" w:rsidRPr="002029AF">
        <w:t xml:space="preserve"> </w:t>
      </w:r>
      <w:r w:rsidRPr="002029AF">
        <w:t>in</w:t>
      </w:r>
      <w:r w:rsidR="000A5329" w:rsidRPr="002029AF">
        <w:t xml:space="preserve"> </w:t>
      </w:r>
      <w:r w:rsidRPr="002029AF">
        <w:t>improving</w:t>
      </w:r>
      <w:r w:rsidR="000A5329" w:rsidRPr="002029AF">
        <w:t xml:space="preserve"> </w:t>
      </w:r>
      <w:r w:rsidRPr="002029AF">
        <w:t>safety</w:t>
      </w:r>
      <w:r w:rsidR="000A5329" w:rsidRPr="002029AF">
        <w:t xml:space="preserve"> </w:t>
      </w:r>
      <w:r w:rsidRPr="002029AF">
        <w:t>and</w:t>
      </w:r>
      <w:r w:rsidR="000A5329" w:rsidRPr="002029AF">
        <w:t xml:space="preserve"> </w:t>
      </w:r>
      <w:r w:rsidRPr="002029AF">
        <w:t>reducing</w:t>
      </w:r>
      <w:r w:rsidR="000A5329" w:rsidRPr="002029AF">
        <w:t xml:space="preserve"> </w:t>
      </w:r>
      <w:r w:rsidRPr="002029AF">
        <w:t>restrictive</w:t>
      </w:r>
      <w:r w:rsidR="000A5329" w:rsidRPr="002029AF">
        <w:t xml:space="preserve"> </w:t>
      </w:r>
      <w:r w:rsidRPr="002029AF">
        <w:t>practices</w:t>
      </w:r>
      <w:r w:rsidR="000A5329" w:rsidRPr="002029AF">
        <w:t xml:space="preserve"> </w:t>
      </w:r>
      <w:r w:rsidRPr="002029AF">
        <w:t>in</w:t>
      </w:r>
      <w:r w:rsidR="000A5329" w:rsidRPr="002029AF">
        <w:t xml:space="preserve"> </w:t>
      </w:r>
      <w:r w:rsidRPr="002029AF">
        <w:t>these</w:t>
      </w:r>
      <w:r w:rsidR="000A5329" w:rsidRPr="002029AF">
        <w:t xml:space="preserve"> </w:t>
      </w:r>
      <w:r w:rsidRPr="002029AF">
        <w:t>settings</w:t>
      </w:r>
    </w:p>
    <w:p w14:paraId="0D0943DF" w14:textId="015BF032" w:rsidR="00770DE1" w:rsidRPr="002029AF" w:rsidRDefault="00770DE1" w:rsidP="001E768A">
      <w:pPr>
        <w:pStyle w:val="ARbullet2"/>
      </w:pPr>
      <w:r w:rsidRPr="002029AF">
        <w:t>reviewing</w:t>
      </w:r>
      <w:r w:rsidR="000A5329" w:rsidRPr="002029AF">
        <w:t xml:space="preserve"> </w:t>
      </w:r>
      <w:r w:rsidRPr="002029AF">
        <w:t>the</w:t>
      </w:r>
      <w:r w:rsidR="000A5329" w:rsidRPr="002029AF">
        <w:t xml:space="preserve"> </w:t>
      </w:r>
      <w:r w:rsidRPr="002029AF">
        <w:t>minimum</w:t>
      </w:r>
      <w:r w:rsidR="000A5329" w:rsidRPr="002029AF">
        <w:t xml:space="preserve"> </w:t>
      </w:r>
      <w:r w:rsidRPr="002029AF">
        <w:t>quality</w:t>
      </w:r>
      <w:r w:rsidR="000A5329" w:rsidRPr="002029AF">
        <w:t xml:space="preserve"> </w:t>
      </w:r>
      <w:r w:rsidRPr="002029AF">
        <w:t>and</w:t>
      </w:r>
      <w:r w:rsidR="000A5329" w:rsidRPr="002029AF">
        <w:t xml:space="preserve"> </w:t>
      </w:r>
      <w:r w:rsidRPr="002029AF">
        <w:t>safety</w:t>
      </w:r>
      <w:r w:rsidR="000A5329" w:rsidRPr="002029AF">
        <w:t xml:space="preserve"> </w:t>
      </w:r>
      <w:r w:rsidRPr="002029AF">
        <w:t>standards</w:t>
      </w:r>
      <w:r w:rsidR="000A5329" w:rsidRPr="002029AF">
        <w:t xml:space="preserve"> </w:t>
      </w:r>
      <w:r w:rsidRPr="002029AF">
        <w:t>in</w:t>
      </w:r>
      <w:r w:rsidR="000A5329" w:rsidRPr="002029AF">
        <w:t xml:space="preserve"> </w:t>
      </w:r>
      <w:r w:rsidRPr="002029AF">
        <w:t>the</w:t>
      </w:r>
      <w:r w:rsidR="000A5329" w:rsidRPr="002029AF">
        <w:t xml:space="preserve"> </w:t>
      </w:r>
      <w:r w:rsidRPr="002029AF">
        <w:t>Victorian</w:t>
      </w:r>
      <w:r w:rsidR="000A5329" w:rsidRPr="002029AF">
        <w:t xml:space="preserve"> </w:t>
      </w:r>
      <w:r w:rsidRPr="002029AF">
        <w:t>aged</w:t>
      </w:r>
      <w:r w:rsidR="000A5329" w:rsidRPr="002029AF">
        <w:t xml:space="preserve"> </w:t>
      </w:r>
      <w:r w:rsidRPr="002029AF">
        <w:t>care</w:t>
      </w:r>
      <w:r w:rsidR="000A5329" w:rsidRPr="002029AF">
        <w:t xml:space="preserve"> </w:t>
      </w:r>
      <w:r w:rsidRPr="002029AF">
        <w:t>sector,</w:t>
      </w:r>
      <w:r w:rsidR="000A5329" w:rsidRPr="002029AF">
        <w:t xml:space="preserve"> </w:t>
      </w:r>
      <w:r w:rsidRPr="002029AF">
        <w:t>including</w:t>
      </w:r>
      <w:r w:rsidR="000A5329" w:rsidRPr="002029AF">
        <w:t xml:space="preserve"> </w:t>
      </w:r>
      <w:r w:rsidR="00EF779B" w:rsidRPr="002029AF">
        <w:t>in</w:t>
      </w:r>
      <w:r w:rsidR="000A5329" w:rsidRPr="002029AF">
        <w:t xml:space="preserve"> </w:t>
      </w:r>
      <w:r w:rsidR="00EF779B" w:rsidRPr="002029AF">
        <w:t>relation</w:t>
      </w:r>
      <w:r w:rsidR="000A5329" w:rsidRPr="002029AF">
        <w:t xml:space="preserve"> </w:t>
      </w:r>
      <w:r w:rsidR="00EF779B" w:rsidRPr="002029AF">
        <w:t>to</w:t>
      </w:r>
      <w:r w:rsidR="000A5329" w:rsidRPr="002029AF">
        <w:t xml:space="preserve"> </w:t>
      </w:r>
      <w:r w:rsidRPr="002029AF">
        <w:t>the</w:t>
      </w:r>
      <w:r w:rsidR="000A5329" w:rsidRPr="002029AF">
        <w:t xml:space="preserve"> </w:t>
      </w:r>
      <w:r w:rsidRPr="002029AF">
        <w:t>administration</w:t>
      </w:r>
      <w:r w:rsidR="000A5329" w:rsidRPr="002029AF">
        <w:t xml:space="preserve"> </w:t>
      </w:r>
      <w:r w:rsidRPr="002029AF">
        <w:t>and</w:t>
      </w:r>
      <w:r w:rsidR="000A5329" w:rsidRPr="002029AF">
        <w:t xml:space="preserve"> </w:t>
      </w:r>
      <w:r w:rsidRPr="002029AF">
        <w:t>management</w:t>
      </w:r>
      <w:r w:rsidR="000A5329" w:rsidRPr="002029AF">
        <w:t xml:space="preserve"> </w:t>
      </w:r>
      <w:r w:rsidRPr="002029AF">
        <w:t>of</w:t>
      </w:r>
      <w:r w:rsidR="000A5329" w:rsidRPr="002029AF">
        <w:t xml:space="preserve"> </w:t>
      </w:r>
      <w:r w:rsidRPr="002029AF">
        <w:t>medications</w:t>
      </w:r>
      <w:r w:rsidR="00EF779B" w:rsidRPr="002029AF">
        <w:t>,</w:t>
      </w:r>
      <w:r w:rsidR="000A5329" w:rsidRPr="002029AF">
        <w:t xml:space="preserve"> </w:t>
      </w:r>
      <w:r w:rsidRPr="002029AF">
        <w:t>as</w:t>
      </w:r>
      <w:r w:rsidR="000A5329" w:rsidRPr="002029AF">
        <w:t xml:space="preserve"> </w:t>
      </w:r>
      <w:r w:rsidRPr="002029AF">
        <w:t>specified</w:t>
      </w:r>
      <w:r w:rsidR="000A5329" w:rsidRPr="002029AF">
        <w:t xml:space="preserve"> </w:t>
      </w:r>
      <w:r w:rsidRPr="002029AF">
        <w:t>in</w:t>
      </w:r>
      <w:r w:rsidR="000A5329" w:rsidRPr="002029AF">
        <w:t xml:space="preserve"> </w:t>
      </w:r>
      <w:r w:rsidRPr="002029AF">
        <w:rPr>
          <w:i/>
          <w:iCs/>
        </w:rPr>
        <w:t>Drugs,</w:t>
      </w:r>
      <w:r w:rsidR="000A5329" w:rsidRPr="002029AF">
        <w:rPr>
          <w:i/>
          <w:iCs/>
        </w:rPr>
        <w:t xml:space="preserve"> </w:t>
      </w:r>
      <w:r w:rsidRPr="002029AF">
        <w:rPr>
          <w:i/>
          <w:iCs/>
        </w:rPr>
        <w:t>Poisons</w:t>
      </w:r>
      <w:r w:rsidR="000A5329" w:rsidRPr="002029AF">
        <w:rPr>
          <w:i/>
          <w:iCs/>
        </w:rPr>
        <w:t xml:space="preserve"> </w:t>
      </w:r>
      <w:r w:rsidRPr="002029AF">
        <w:rPr>
          <w:i/>
          <w:iCs/>
        </w:rPr>
        <w:t>and</w:t>
      </w:r>
      <w:r w:rsidR="000A5329" w:rsidRPr="002029AF">
        <w:rPr>
          <w:i/>
          <w:iCs/>
        </w:rPr>
        <w:t xml:space="preserve"> </w:t>
      </w:r>
      <w:r w:rsidRPr="002029AF">
        <w:rPr>
          <w:i/>
          <w:iCs/>
        </w:rPr>
        <w:t>Controlled</w:t>
      </w:r>
      <w:r w:rsidR="000A5329" w:rsidRPr="002029AF">
        <w:rPr>
          <w:i/>
          <w:iCs/>
        </w:rPr>
        <w:t xml:space="preserve"> </w:t>
      </w:r>
      <w:r w:rsidRPr="002029AF">
        <w:rPr>
          <w:i/>
          <w:iCs/>
        </w:rPr>
        <w:t>Substances</w:t>
      </w:r>
      <w:r w:rsidR="000A5329" w:rsidRPr="002029AF">
        <w:rPr>
          <w:i/>
          <w:iCs/>
        </w:rPr>
        <w:t xml:space="preserve"> </w:t>
      </w:r>
      <w:r w:rsidRPr="002029AF">
        <w:rPr>
          <w:i/>
          <w:iCs/>
        </w:rPr>
        <w:t>Act</w:t>
      </w:r>
      <w:r w:rsidR="000A5329" w:rsidRPr="002029AF">
        <w:rPr>
          <w:i/>
          <w:iCs/>
        </w:rPr>
        <w:t xml:space="preserve"> </w:t>
      </w:r>
      <w:r w:rsidRPr="002029AF">
        <w:rPr>
          <w:i/>
          <w:iCs/>
        </w:rPr>
        <w:t>1981</w:t>
      </w:r>
      <w:r w:rsidR="000A5329" w:rsidRPr="002029AF">
        <w:t xml:space="preserve"> </w:t>
      </w:r>
      <w:r w:rsidRPr="002029AF">
        <w:t>and</w:t>
      </w:r>
      <w:r w:rsidR="000A5329" w:rsidRPr="002029AF">
        <w:t xml:space="preserve"> </w:t>
      </w:r>
      <w:r w:rsidRPr="002029AF">
        <w:t>the</w:t>
      </w:r>
      <w:r w:rsidR="000A5329" w:rsidRPr="002029AF">
        <w:t xml:space="preserve"> </w:t>
      </w:r>
      <w:r w:rsidRPr="002029AF">
        <w:rPr>
          <w:i/>
          <w:iCs/>
        </w:rPr>
        <w:t>Drugs,</w:t>
      </w:r>
      <w:r w:rsidR="000A5329" w:rsidRPr="002029AF">
        <w:rPr>
          <w:i/>
          <w:iCs/>
        </w:rPr>
        <w:t xml:space="preserve"> </w:t>
      </w:r>
      <w:r w:rsidRPr="002029AF">
        <w:rPr>
          <w:i/>
          <w:iCs/>
        </w:rPr>
        <w:t>Poisons</w:t>
      </w:r>
      <w:r w:rsidR="000A5329" w:rsidRPr="002029AF">
        <w:rPr>
          <w:i/>
          <w:iCs/>
        </w:rPr>
        <w:t xml:space="preserve"> </w:t>
      </w:r>
      <w:r w:rsidRPr="002029AF">
        <w:rPr>
          <w:i/>
          <w:iCs/>
        </w:rPr>
        <w:t>and</w:t>
      </w:r>
      <w:r w:rsidR="000A5329" w:rsidRPr="002029AF">
        <w:rPr>
          <w:i/>
          <w:iCs/>
        </w:rPr>
        <w:t xml:space="preserve"> </w:t>
      </w:r>
      <w:r w:rsidRPr="002029AF">
        <w:rPr>
          <w:i/>
          <w:iCs/>
        </w:rPr>
        <w:t>Controlled</w:t>
      </w:r>
      <w:r w:rsidR="000A5329" w:rsidRPr="002029AF">
        <w:rPr>
          <w:i/>
          <w:iCs/>
        </w:rPr>
        <w:t xml:space="preserve"> </w:t>
      </w:r>
      <w:r w:rsidRPr="002029AF">
        <w:rPr>
          <w:i/>
          <w:iCs/>
        </w:rPr>
        <w:t>Substances</w:t>
      </w:r>
      <w:r w:rsidR="000A5329" w:rsidRPr="002029AF">
        <w:rPr>
          <w:i/>
          <w:iCs/>
        </w:rPr>
        <w:t xml:space="preserve"> </w:t>
      </w:r>
      <w:r w:rsidRPr="002029AF">
        <w:rPr>
          <w:i/>
          <w:iCs/>
        </w:rPr>
        <w:t>Regulations</w:t>
      </w:r>
      <w:r w:rsidR="000A5329" w:rsidRPr="002029AF">
        <w:rPr>
          <w:i/>
          <w:iCs/>
        </w:rPr>
        <w:t xml:space="preserve"> </w:t>
      </w:r>
      <w:r w:rsidRPr="002029AF">
        <w:rPr>
          <w:i/>
          <w:iCs/>
        </w:rPr>
        <w:t>2017</w:t>
      </w:r>
      <w:r w:rsidRPr="002029AF">
        <w:t>.</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also</w:t>
      </w:r>
      <w:r w:rsidR="000A5329" w:rsidRPr="002029AF">
        <w:t xml:space="preserve"> </w:t>
      </w:r>
      <w:r w:rsidRPr="002029AF">
        <w:t>added</w:t>
      </w:r>
      <w:r w:rsidR="000A5329" w:rsidRPr="002029AF">
        <w:t xml:space="preserve"> </w:t>
      </w:r>
      <w:r w:rsidRPr="002029AF">
        <w:t>three</w:t>
      </w:r>
      <w:r w:rsidR="000A5329" w:rsidRPr="002029AF">
        <w:t xml:space="preserve"> </w:t>
      </w:r>
      <w:r w:rsidRPr="002029AF">
        <w:t>new</w:t>
      </w:r>
      <w:r w:rsidR="000A5329" w:rsidRPr="002029AF">
        <w:t xml:space="preserve"> </w:t>
      </w:r>
      <w:r w:rsidRPr="002029AF">
        <w:t>medication</w:t>
      </w:r>
      <w:r w:rsidR="000A5329" w:rsidRPr="002029AF">
        <w:t xml:space="preserve"> </w:t>
      </w:r>
      <w:r w:rsidRPr="002029AF">
        <w:t>measures</w:t>
      </w:r>
      <w:r w:rsidR="000A5329" w:rsidRPr="002029AF">
        <w:t xml:space="preserve"> </w:t>
      </w:r>
      <w:r w:rsidRPr="002029AF">
        <w:t>to</w:t>
      </w:r>
      <w:r w:rsidR="000A5329" w:rsidRPr="002029AF">
        <w:t xml:space="preserve"> </w:t>
      </w:r>
      <w:r w:rsidRPr="002029AF">
        <w:t>its</w:t>
      </w:r>
      <w:r w:rsidR="000A5329" w:rsidRPr="002029AF">
        <w:t xml:space="preserve"> </w:t>
      </w:r>
      <w:r w:rsidRPr="002029AF">
        <w:t>dedicated</w:t>
      </w:r>
      <w:r w:rsidR="000A5329" w:rsidRPr="002029AF">
        <w:t xml:space="preserve"> </w:t>
      </w:r>
      <w:r w:rsidR="00EF779B" w:rsidRPr="002029AF">
        <w:t>Q</w:t>
      </w:r>
      <w:r w:rsidRPr="002029AF">
        <w:t>uality</w:t>
      </w:r>
      <w:r w:rsidR="000A5329" w:rsidRPr="002029AF">
        <w:t xml:space="preserve"> </w:t>
      </w:r>
      <w:r w:rsidR="00EF779B" w:rsidRPr="002029AF">
        <w:t>I</w:t>
      </w:r>
      <w:r w:rsidRPr="002029AF">
        <w:t>ndicator</w:t>
      </w:r>
      <w:r w:rsidR="000A5329" w:rsidRPr="002029AF">
        <w:t xml:space="preserve"> </w:t>
      </w:r>
      <w:r w:rsidR="00EF779B" w:rsidRPr="002029AF">
        <w:t>P</w:t>
      </w:r>
      <w:r w:rsidRPr="002029AF">
        <w:t>rogram</w:t>
      </w:r>
      <w:r w:rsidR="000A5329" w:rsidRPr="002029AF">
        <w:t xml:space="preserve"> </w:t>
      </w:r>
      <w:r w:rsidRPr="002029AF">
        <w:t>for</w:t>
      </w:r>
      <w:r w:rsidR="000A5329" w:rsidRPr="002029AF">
        <w:t xml:space="preserve"> </w:t>
      </w:r>
      <w:r w:rsidRPr="002029AF">
        <w:t>public</w:t>
      </w:r>
      <w:r w:rsidR="000A5329" w:rsidRPr="002029AF">
        <w:t xml:space="preserve"> </w:t>
      </w:r>
      <w:r w:rsidRPr="002029AF">
        <w:t>sector</w:t>
      </w:r>
      <w:r w:rsidR="000A5329" w:rsidRPr="002029AF">
        <w:t xml:space="preserve"> </w:t>
      </w:r>
      <w:r w:rsidRPr="002029AF">
        <w:t>residential</w:t>
      </w:r>
      <w:r w:rsidR="000A5329" w:rsidRPr="002029AF">
        <w:t xml:space="preserve"> </w:t>
      </w:r>
      <w:r w:rsidRPr="002029AF">
        <w:t>aged</w:t>
      </w:r>
      <w:r w:rsidR="000A5329" w:rsidRPr="002029AF">
        <w:t xml:space="preserve"> </w:t>
      </w:r>
      <w:r w:rsidRPr="002029AF">
        <w:t>care</w:t>
      </w:r>
      <w:r w:rsidR="000A5329" w:rsidRPr="002029AF">
        <w:t xml:space="preserve"> </w:t>
      </w:r>
      <w:r w:rsidRPr="002029AF">
        <w:t>services</w:t>
      </w:r>
    </w:p>
    <w:p w14:paraId="3EE5C467" w14:textId="7101198A" w:rsidR="000A5329" w:rsidRPr="002029AF" w:rsidRDefault="00770DE1" w:rsidP="001E768A">
      <w:pPr>
        <w:pStyle w:val="ARbullet2"/>
      </w:pPr>
      <w:r w:rsidRPr="002029AF">
        <w:t>introducing</w:t>
      </w:r>
      <w:r w:rsidR="000A5329" w:rsidRPr="002029AF">
        <w:t xml:space="preserve"> </w:t>
      </w:r>
      <w:r w:rsidRPr="002029AF">
        <w:t>a</w:t>
      </w:r>
      <w:r w:rsidR="000A5329" w:rsidRPr="002029AF">
        <w:t xml:space="preserve"> </w:t>
      </w:r>
      <w:r w:rsidRPr="002029AF">
        <w:t>series</w:t>
      </w:r>
      <w:r w:rsidR="000A5329" w:rsidRPr="002029AF">
        <w:t xml:space="preserve"> </w:t>
      </w:r>
      <w:r w:rsidRPr="002029AF">
        <w:t>of</w:t>
      </w:r>
      <w:r w:rsidR="000A5329" w:rsidRPr="002029AF">
        <w:t xml:space="preserve"> </w:t>
      </w:r>
      <w:r w:rsidRPr="002029AF">
        <w:t>new</w:t>
      </w:r>
      <w:r w:rsidR="000A5329" w:rsidRPr="002029AF">
        <w:t xml:space="preserve"> </w:t>
      </w:r>
      <w:r w:rsidRPr="002029AF">
        <w:t>information</w:t>
      </w:r>
      <w:r w:rsidR="000A5329" w:rsidRPr="002029AF">
        <w:t xml:space="preserve"> </w:t>
      </w:r>
      <w:r w:rsidRPr="002029AF">
        <w:t>sharing</w:t>
      </w:r>
      <w:r w:rsidR="000A5329" w:rsidRPr="002029AF">
        <w:t xml:space="preserve"> </w:t>
      </w:r>
      <w:r w:rsidRPr="002029AF">
        <w:t>provisions</w:t>
      </w:r>
      <w:r w:rsidR="000A5329" w:rsidRPr="002029AF">
        <w:t xml:space="preserve"> </w:t>
      </w:r>
      <w:r w:rsidRPr="002029AF">
        <w:t>in</w:t>
      </w:r>
      <w:r w:rsidR="000A5329" w:rsidRPr="002029AF">
        <w:t xml:space="preserve"> </w:t>
      </w:r>
      <w:r w:rsidRPr="002029AF">
        <w:rPr>
          <w:i/>
          <w:iCs/>
        </w:rPr>
        <w:t>The</w:t>
      </w:r>
      <w:r w:rsidR="000A5329" w:rsidRPr="002029AF">
        <w:rPr>
          <w:i/>
          <w:iCs/>
        </w:rPr>
        <w:t xml:space="preserve"> </w:t>
      </w:r>
      <w:r w:rsidRPr="002029AF">
        <w:rPr>
          <w:i/>
          <w:iCs/>
        </w:rPr>
        <w:t>Health</w:t>
      </w:r>
      <w:r w:rsidR="000A5329" w:rsidRPr="002029AF">
        <w:rPr>
          <w:i/>
          <w:iCs/>
        </w:rPr>
        <w:t xml:space="preserve"> </w:t>
      </w:r>
      <w:r w:rsidRPr="002029AF">
        <w:rPr>
          <w:i/>
          <w:iCs/>
        </w:rPr>
        <w:t>Legislation</w:t>
      </w:r>
      <w:r w:rsidR="000A5329" w:rsidRPr="002029AF">
        <w:rPr>
          <w:i/>
          <w:iCs/>
        </w:rPr>
        <w:t xml:space="preserve"> </w:t>
      </w:r>
      <w:r w:rsidRPr="002029AF">
        <w:rPr>
          <w:i/>
          <w:iCs/>
        </w:rPr>
        <w:t>Amendment</w:t>
      </w:r>
      <w:r w:rsidR="000A5329" w:rsidRPr="002029AF">
        <w:rPr>
          <w:i/>
          <w:iCs/>
        </w:rPr>
        <w:t xml:space="preserve"> </w:t>
      </w:r>
      <w:r w:rsidRPr="002029AF">
        <w:rPr>
          <w:i/>
          <w:iCs/>
        </w:rPr>
        <w:t>and</w:t>
      </w:r>
      <w:r w:rsidR="000A5329" w:rsidRPr="002029AF">
        <w:rPr>
          <w:i/>
          <w:iCs/>
        </w:rPr>
        <w:t xml:space="preserve"> </w:t>
      </w:r>
      <w:r w:rsidRPr="002029AF">
        <w:rPr>
          <w:i/>
          <w:iCs/>
        </w:rPr>
        <w:t>Repeal</w:t>
      </w:r>
      <w:r w:rsidR="000A5329" w:rsidRPr="002029AF">
        <w:rPr>
          <w:i/>
          <w:iCs/>
        </w:rPr>
        <w:t xml:space="preserve"> </w:t>
      </w:r>
      <w:r w:rsidRPr="002029AF">
        <w:rPr>
          <w:i/>
          <w:iCs/>
        </w:rPr>
        <w:t>Act</w:t>
      </w:r>
      <w:r w:rsidR="000A5329" w:rsidRPr="002029AF">
        <w:rPr>
          <w:i/>
          <w:iCs/>
        </w:rPr>
        <w:t xml:space="preserve"> </w:t>
      </w:r>
      <w:r w:rsidRPr="002029AF">
        <w:rPr>
          <w:i/>
          <w:iCs/>
        </w:rPr>
        <w:t>2019</w:t>
      </w:r>
      <w:r w:rsidRPr="002029AF">
        <w:t>.</w:t>
      </w:r>
      <w:r w:rsidR="000A5329" w:rsidRPr="002029AF">
        <w:t xml:space="preserve"> </w:t>
      </w:r>
      <w:r w:rsidRPr="002029AF">
        <w:t>The</w:t>
      </w:r>
      <w:r w:rsidR="000A5329" w:rsidRPr="002029AF">
        <w:t xml:space="preserve"> </w:t>
      </w:r>
      <w:r w:rsidRPr="002029AF">
        <w:t>information</w:t>
      </w:r>
      <w:r w:rsidR="000A5329" w:rsidRPr="002029AF">
        <w:t xml:space="preserve"> </w:t>
      </w:r>
      <w:r w:rsidRPr="002029AF">
        <w:t>sharing</w:t>
      </w:r>
      <w:r w:rsidR="000A5329" w:rsidRPr="002029AF">
        <w:t xml:space="preserve"> </w:t>
      </w:r>
      <w:r w:rsidRPr="002029AF">
        <w:t>provisions</w:t>
      </w:r>
      <w:r w:rsidR="000A5329" w:rsidRPr="002029AF">
        <w:t xml:space="preserve"> </w:t>
      </w:r>
      <w:r w:rsidRPr="002029AF">
        <w:t>are</w:t>
      </w:r>
      <w:r w:rsidR="000A5329" w:rsidRPr="002029AF">
        <w:t xml:space="preserve"> </w:t>
      </w:r>
      <w:r w:rsidRPr="002029AF">
        <w:t>intended</w:t>
      </w:r>
      <w:r w:rsidR="000A5329" w:rsidRPr="002029AF">
        <w:t xml:space="preserve"> </w:t>
      </w:r>
      <w:r w:rsidRPr="002029AF">
        <w:t>to</w:t>
      </w:r>
      <w:r w:rsidR="000A5329" w:rsidRPr="002029AF">
        <w:t xml:space="preserve"> </w:t>
      </w:r>
      <w:r w:rsidRPr="002029AF">
        <w:t>enhance</w:t>
      </w:r>
      <w:r w:rsidR="000A5329" w:rsidRPr="002029AF">
        <w:t xml:space="preserve"> </w:t>
      </w:r>
      <w:r w:rsidRPr="002029AF">
        <w:t>the</w:t>
      </w:r>
      <w:r w:rsidR="000A5329" w:rsidRPr="002029AF">
        <w:t xml:space="preserve"> </w:t>
      </w:r>
      <w:r w:rsidRPr="002029AF">
        <w:t>quality</w:t>
      </w:r>
      <w:r w:rsidR="000A5329" w:rsidRPr="002029AF">
        <w:t xml:space="preserve"> </w:t>
      </w:r>
      <w:r w:rsidRPr="002029AF">
        <w:t>and</w:t>
      </w:r>
      <w:r w:rsidR="000A5329" w:rsidRPr="002029AF">
        <w:t xml:space="preserve"> </w:t>
      </w:r>
      <w:r w:rsidRPr="002029AF">
        <w:t>safety</w:t>
      </w:r>
      <w:r w:rsidR="000A5329" w:rsidRPr="002029AF">
        <w:t xml:space="preserve"> </w:t>
      </w:r>
      <w:r w:rsidRPr="002029AF">
        <w:t>of</w:t>
      </w:r>
      <w:r w:rsidR="000A5329" w:rsidRPr="002029AF">
        <w:t xml:space="preserve"> </w:t>
      </w:r>
      <w:r w:rsidRPr="002029AF">
        <w:t>the</w:t>
      </w:r>
      <w:r w:rsidR="000A5329" w:rsidRPr="002029AF">
        <w:t xml:space="preserve"> </w:t>
      </w:r>
      <w:r w:rsidRPr="002029AF">
        <w:t>Victorian</w:t>
      </w:r>
      <w:r w:rsidR="000A5329" w:rsidRPr="002029AF">
        <w:t xml:space="preserve"> </w:t>
      </w:r>
      <w:r w:rsidRPr="002029AF">
        <w:t>health</w:t>
      </w:r>
      <w:r w:rsidR="000A5329" w:rsidRPr="002029AF">
        <w:t xml:space="preserve"> </w:t>
      </w:r>
      <w:r w:rsidRPr="002029AF">
        <w:t>system</w:t>
      </w:r>
      <w:r w:rsidR="000A5329" w:rsidRPr="002029AF">
        <w:t xml:space="preserve"> </w:t>
      </w:r>
      <w:r w:rsidRPr="002029AF">
        <w:t>by</w:t>
      </w:r>
      <w:r w:rsidR="000A5329" w:rsidRPr="002029AF">
        <w:t xml:space="preserve"> </w:t>
      </w:r>
      <w:r w:rsidRPr="002029AF">
        <w:t>allowing</w:t>
      </w:r>
      <w:r w:rsidR="000A5329" w:rsidRPr="002029AF">
        <w:t xml:space="preserve"> </w:t>
      </w:r>
      <w:r w:rsidRPr="002029AF">
        <w:t>the</w:t>
      </w:r>
      <w:r w:rsidR="000A5329" w:rsidRPr="002029AF">
        <w:t xml:space="preserve"> </w:t>
      </w:r>
      <w:r w:rsidRPr="002029AF">
        <w:t>sharing</w:t>
      </w:r>
      <w:r w:rsidR="000A5329" w:rsidRPr="002029AF">
        <w:t xml:space="preserve"> </w:t>
      </w:r>
      <w:r w:rsidRPr="002029AF">
        <w:t>of</w:t>
      </w:r>
      <w:r w:rsidR="000A5329" w:rsidRPr="002029AF">
        <w:t xml:space="preserve"> </w:t>
      </w:r>
      <w:r w:rsidRPr="002029AF">
        <w:t>health</w:t>
      </w:r>
      <w:r w:rsidR="000A5329" w:rsidRPr="002029AF">
        <w:t xml:space="preserve"> </w:t>
      </w:r>
      <w:r w:rsidRPr="002029AF">
        <w:t>information</w:t>
      </w:r>
      <w:r w:rsidR="000A5329" w:rsidRPr="002029AF">
        <w:t xml:space="preserve"> </w:t>
      </w:r>
      <w:r w:rsidRPr="002029AF">
        <w:t>between</w:t>
      </w:r>
      <w:r w:rsidR="000A5329" w:rsidRPr="002029AF">
        <w:t xml:space="preserve"> </w:t>
      </w:r>
      <w:r w:rsidRPr="002029AF">
        <w:t>Safer</w:t>
      </w:r>
      <w:r w:rsidR="000A5329" w:rsidRPr="002029AF">
        <w:t xml:space="preserve"> </w:t>
      </w:r>
      <w:r w:rsidRPr="002029AF">
        <w:t>Care</w:t>
      </w:r>
      <w:r w:rsidR="000A5329" w:rsidRPr="002029AF">
        <w:t xml:space="preserve"> </w:t>
      </w:r>
      <w:r w:rsidRPr="002029AF">
        <w:t>Victoria</w:t>
      </w:r>
      <w:r w:rsidR="000A5329" w:rsidRPr="002029AF">
        <w:t xml:space="preserve"> </w:t>
      </w:r>
      <w:r w:rsidRPr="002029AF">
        <w:t>and</w:t>
      </w:r>
      <w:r w:rsidR="000A5329" w:rsidRPr="002029AF">
        <w:t xml:space="preserve"> </w:t>
      </w:r>
      <w:r w:rsidRPr="002029AF">
        <w:t>health</w:t>
      </w:r>
      <w:r w:rsidR="000A5329" w:rsidRPr="002029AF">
        <w:t xml:space="preserve"> </w:t>
      </w:r>
      <w:r w:rsidRPr="002029AF">
        <w:t>services.</w:t>
      </w:r>
    </w:p>
    <w:p w14:paraId="359F390B" w14:textId="5FB5074B" w:rsidR="00770DE1" w:rsidRPr="002029AF" w:rsidRDefault="00770DE1" w:rsidP="00C22356">
      <w:pPr>
        <w:pStyle w:val="Heading2"/>
      </w:pPr>
      <w:r w:rsidRPr="002029AF">
        <w:lastRenderedPageBreak/>
        <w:t>Outcomes</w:t>
      </w:r>
    </w:p>
    <w:p w14:paraId="385C27CC" w14:textId="4419A89D" w:rsidR="00770DE1" w:rsidRPr="002029AF" w:rsidRDefault="00770DE1" w:rsidP="00D271CB">
      <w:pPr>
        <w:pStyle w:val="ARbodyafterbullets"/>
      </w:pPr>
      <w:r w:rsidRPr="002029AF">
        <w:t>Our</w:t>
      </w:r>
      <w:r w:rsidR="000A5329" w:rsidRPr="002029AF">
        <w:t xml:space="preserve"> </w:t>
      </w:r>
      <w:r w:rsidRPr="002029AF">
        <w:t>department</w:t>
      </w:r>
      <w:r w:rsidR="000A5329" w:rsidRPr="002029AF">
        <w:t xml:space="preserve"> </w:t>
      </w:r>
      <w:r w:rsidRPr="002029AF">
        <w:t>is</w:t>
      </w:r>
      <w:r w:rsidR="000A5329" w:rsidRPr="002029AF">
        <w:t xml:space="preserve"> </w:t>
      </w:r>
      <w:r w:rsidRPr="002029AF">
        <w:t>increasing</w:t>
      </w:r>
      <w:r w:rsidR="00381012" w:rsidRPr="002029AF">
        <w:t>ly</w:t>
      </w:r>
      <w:r w:rsidR="000A5329" w:rsidRPr="002029AF">
        <w:t xml:space="preserve"> </w:t>
      </w:r>
      <w:r w:rsidRPr="002029AF">
        <w:t>us</w:t>
      </w:r>
      <w:r w:rsidR="0085557C" w:rsidRPr="002029AF">
        <w:t>ing</w:t>
      </w:r>
      <w:r w:rsidR="000A5329" w:rsidRPr="002029AF">
        <w:t xml:space="preserve"> </w:t>
      </w:r>
      <w:r w:rsidRPr="002029AF">
        <w:t>outcomes</w:t>
      </w:r>
      <w:r w:rsidR="000A5329" w:rsidRPr="002029AF">
        <w:t xml:space="preserve"> </w:t>
      </w:r>
      <w:r w:rsidRPr="002029AF">
        <w:t>to</w:t>
      </w:r>
      <w:r w:rsidR="009950F3">
        <w:t> </w:t>
      </w:r>
      <w:r w:rsidRPr="002029AF">
        <w:t>monitor,</w:t>
      </w:r>
      <w:r w:rsidR="000A5329" w:rsidRPr="002029AF">
        <w:t xml:space="preserve"> </w:t>
      </w:r>
      <w:r w:rsidRPr="002029AF">
        <w:t>measure</w:t>
      </w:r>
      <w:r w:rsidR="000A5329" w:rsidRPr="002029AF">
        <w:t xml:space="preserve"> </w:t>
      </w:r>
      <w:r w:rsidRPr="002029AF">
        <w:t>and</w:t>
      </w:r>
      <w:r w:rsidR="000A5329" w:rsidRPr="002029AF">
        <w:t xml:space="preserve"> </w:t>
      </w:r>
      <w:r w:rsidRPr="002029AF">
        <w:t>improve</w:t>
      </w:r>
      <w:r w:rsidR="000A5329" w:rsidRPr="002029AF">
        <w:t xml:space="preserve"> </w:t>
      </w:r>
      <w:r w:rsidRPr="002029AF">
        <w:t>the</w:t>
      </w:r>
      <w:r w:rsidR="000A5329" w:rsidRPr="002029AF">
        <w:t xml:space="preserve"> </w:t>
      </w:r>
      <w:r w:rsidRPr="002029AF">
        <w:t>lives</w:t>
      </w:r>
      <w:r w:rsidR="000A5329" w:rsidRPr="002029AF">
        <w:t xml:space="preserve"> </w:t>
      </w:r>
      <w:r w:rsidRPr="002029AF">
        <w:t>of</w:t>
      </w:r>
      <w:r w:rsidR="000A5329" w:rsidRPr="002029AF">
        <w:t xml:space="preserve"> </w:t>
      </w:r>
      <w:r w:rsidRPr="002029AF">
        <w:t>Victorians</w:t>
      </w:r>
      <w:r w:rsidR="000A5329" w:rsidRPr="002029AF">
        <w:t xml:space="preserve"> </w:t>
      </w:r>
      <w:r w:rsidRPr="002029AF">
        <w:t>and</w:t>
      </w:r>
      <w:r w:rsidR="000A5329" w:rsidRPr="002029AF">
        <w:t xml:space="preserve"> </w:t>
      </w:r>
      <w:r w:rsidRPr="002029AF">
        <w:t>drive</w:t>
      </w:r>
      <w:r w:rsidR="000A5329" w:rsidRPr="002029AF">
        <w:t xml:space="preserve"> </w:t>
      </w:r>
      <w:r w:rsidRPr="002029AF">
        <w:t>tangible</w:t>
      </w:r>
      <w:r w:rsidR="000A5329" w:rsidRPr="002029AF">
        <w:t xml:space="preserve"> </w:t>
      </w:r>
      <w:r w:rsidRPr="002029AF">
        <w:t>improvements</w:t>
      </w:r>
      <w:r w:rsidR="000A5329" w:rsidRPr="002029AF">
        <w:t xml:space="preserve"> </w:t>
      </w:r>
      <w:r w:rsidRPr="002029AF">
        <w:t>for</w:t>
      </w:r>
      <w:r w:rsidR="000A5329" w:rsidRPr="002029AF">
        <w:t xml:space="preserve"> </w:t>
      </w:r>
      <w:r w:rsidRPr="002029AF">
        <w:t>some</w:t>
      </w:r>
      <w:r w:rsidR="000A5329" w:rsidRPr="002029AF">
        <w:t xml:space="preserve"> </w:t>
      </w:r>
      <w:r w:rsidRPr="002029AF">
        <w:t>of</w:t>
      </w:r>
      <w:r w:rsidR="000A5329" w:rsidRPr="002029AF">
        <w:t xml:space="preserve"> </w:t>
      </w:r>
      <w:r w:rsidRPr="002029AF">
        <w:t>our</w:t>
      </w:r>
      <w:r w:rsidR="000A5329" w:rsidRPr="002029AF">
        <w:t xml:space="preserve"> </w:t>
      </w:r>
      <w:r w:rsidRPr="002029AF">
        <w:t>most</w:t>
      </w:r>
      <w:r w:rsidR="000A5329" w:rsidRPr="002029AF">
        <w:t xml:space="preserve"> </w:t>
      </w:r>
      <w:r w:rsidRPr="002029AF">
        <w:t>complex</w:t>
      </w:r>
      <w:r w:rsidR="000A5329" w:rsidRPr="002029AF">
        <w:t xml:space="preserve"> </w:t>
      </w:r>
      <w:r w:rsidRPr="002029AF">
        <w:t>and</w:t>
      </w:r>
      <w:r w:rsidR="000A5329" w:rsidRPr="002029AF">
        <w:t xml:space="preserve"> </w:t>
      </w:r>
      <w:r w:rsidRPr="002029AF">
        <w:t>enduring</w:t>
      </w:r>
      <w:r w:rsidR="000A5329" w:rsidRPr="002029AF">
        <w:t xml:space="preserve"> </w:t>
      </w:r>
      <w:r w:rsidRPr="002029AF">
        <w:t>issues.</w:t>
      </w:r>
      <w:r w:rsidR="000A5329" w:rsidRPr="002029AF">
        <w:t xml:space="preserve"> </w:t>
      </w:r>
      <w:r w:rsidRPr="002029AF">
        <w:t>Focusing</w:t>
      </w:r>
      <w:r w:rsidR="000A5329" w:rsidRPr="002029AF">
        <w:t xml:space="preserve"> </w:t>
      </w:r>
      <w:r w:rsidRPr="002029AF">
        <w:t>on</w:t>
      </w:r>
      <w:r w:rsidR="000A5329" w:rsidRPr="002029AF">
        <w:t xml:space="preserve"> </w:t>
      </w:r>
      <w:r w:rsidRPr="002029AF">
        <w:t>outcomes</w:t>
      </w:r>
      <w:r w:rsidR="000A5329" w:rsidRPr="002029AF">
        <w:t xml:space="preserve"> </w:t>
      </w:r>
      <w:r w:rsidRPr="002029AF">
        <w:t>allows</w:t>
      </w:r>
      <w:r w:rsidR="000A5329" w:rsidRPr="002029AF">
        <w:t xml:space="preserve"> </w:t>
      </w:r>
      <w:r w:rsidRPr="002029AF">
        <w:t>us</w:t>
      </w:r>
      <w:r w:rsidR="000A5329" w:rsidRPr="002029AF">
        <w:t xml:space="preserve"> </w:t>
      </w:r>
      <w:r w:rsidRPr="002029AF">
        <w:t>to</w:t>
      </w:r>
      <w:r w:rsidR="000A5329" w:rsidRPr="002029AF">
        <w:t xml:space="preserve"> </w:t>
      </w:r>
      <w:r w:rsidRPr="002029AF">
        <w:t>better</w:t>
      </w:r>
      <w:r w:rsidR="000A5329" w:rsidRPr="002029AF">
        <w:t xml:space="preserve"> </w:t>
      </w:r>
      <w:r w:rsidRPr="002029AF">
        <w:t>understand</w:t>
      </w:r>
      <w:r w:rsidR="000A5329" w:rsidRPr="002029AF">
        <w:t xml:space="preserve"> </w:t>
      </w:r>
      <w:r w:rsidRPr="002029AF">
        <w:t>the</w:t>
      </w:r>
      <w:r w:rsidR="000A5329" w:rsidRPr="002029AF">
        <w:t xml:space="preserve"> </w:t>
      </w:r>
      <w:r w:rsidRPr="002029AF">
        <w:t>impact</w:t>
      </w:r>
      <w:r w:rsidR="000A5329" w:rsidRPr="002029AF">
        <w:t xml:space="preserve"> </w:t>
      </w:r>
      <w:r w:rsidRPr="002029AF">
        <w:t>our</w:t>
      </w:r>
      <w:r w:rsidR="000A5329" w:rsidRPr="002029AF">
        <w:t xml:space="preserve"> </w:t>
      </w:r>
      <w:r w:rsidRPr="002029AF">
        <w:t>work</w:t>
      </w:r>
      <w:r w:rsidR="000A5329" w:rsidRPr="002029AF">
        <w:t xml:space="preserve"> </w:t>
      </w:r>
      <w:r w:rsidRPr="002029AF">
        <w:t>has</w:t>
      </w:r>
      <w:r w:rsidR="000A5329" w:rsidRPr="002029AF">
        <w:t xml:space="preserve"> </w:t>
      </w:r>
      <w:r w:rsidRPr="002029AF">
        <w:t>on</w:t>
      </w:r>
      <w:r w:rsidR="000A5329" w:rsidRPr="002029AF">
        <w:t xml:space="preserve"> </w:t>
      </w:r>
      <w:r w:rsidRPr="002029AF">
        <w:t>the</w:t>
      </w:r>
      <w:r w:rsidR="000A5329" w:rsidRPr="002029AF">
        <w:t xml:space="preserve"> </w:t>
      </w:r>
      <w:r w:rsidRPr="002029AF">
        <w:t>lives</w:t>
      </w:r>
      <w:r w:rsidR="000A5329" w:rsidRPr="002029AF">
        <w:t xml:space="preserve"> </w:t>
      </w:r>
      <w:r w:rsidRPr="002029AF">
        <w:t>of</w:t>
      </w:r>
      <w:r w:rsidR="009950F3">
        <w:t> </w:t>
      </w:r>
      <w:r w:rsidRPr="002029AF">
        <w:t>people</w:t>
      </w:r>
      <w:r w:rsidR="000A5329" w:rsidRPr="002029AF">
        <w:t xml:space="preserve"> </w:t>
      </w:r>
      <w:r w:rsidRPr="002029AF">
        <w:t>and</w:t>
      </w:r>
      <w:r w:rsidR="000A5329" w:rsidRPr="002029AF">
        <w:t xml:space="preserve"> </w:t>
      </w:r>
      <w:r w:rsidRPr="002029AF">
        <w:t>communities</w:t>
      </w:r>
      <w:r w:rsidR="000A5329" w:rsidRPr="002029AF">
        <w:t xml:space="preserve"> </w:t>
      </w:r>
      <w:r w:rsidRPr="002029AF">
        <w:t>and</w:t>
      </w:r>
      <w:r w:rsidR="000A5329" w:rsidRPr="002029AF">
        <w:t xml:space="preserve"> </w:t>
      </w:r>
      <w:r w:rsidRPr="002029AF">
        <w:t>build</w:t>
      </w:r>
      <w:r w:rsidR="000A5329" w:rsidRPr="002029AF">
        <w:t xml:space="preserve"> </w:t>
      </w:r>
      <w:r w:rsidRPr="002029AF">
        <w:t>the</w:t>
      </w:r>
      <w:r w:rsidR="000A5329" w:rsidRPr="002029AF">
        <w:t xml:space="preserve"> </w:t>
      </w:r>
      <w:r w:rsidRPr="002029AF">
        <w:t>evidence</w:t>
      </w:r>
      <w:r w:rsidR="000A5329" w:rsidRPr="002029AF">
        <w:t xml:space="preserve"> </w:t>
      </w:r>
      <w:r w:rsidR="0085557C" w:rsidRPr="002029AF">
        <w:t>for</w:t>
      </w:r>
      <w:r w:rsidR="000A5329" w:rsidRPr="002029AF">
        <w:t xml:space="preserve"> </w:t>
      </w:r>
      <w:r w:rsidRPr="002029AF">
        <w:t>what</w:t>
      </w:r>
      <w:r w:rsidR="000A5329" w:rsidRPr="002029AF">
        <w:t xml:space="preserve"> </w:t>
      </w:r>
      <w:r w:rsidRPr="002029AF">
        <w:t>works,</w:t>
      </w:r>
      <w:r w:rsidR="000A5329" w:rsidRPr="002029AF">
        <w:t xml:space="preserve"> </w:t>
      </w:r>
      <w:r w:rsidRPr="002029AF">
        <w:t>what</w:t>
      </w:r>
      <w:r w:rsidR="000A5329" w:rsidRPr="002029AF">
        <w:t xml:space="preserve"> </w:t>
      </w:r>
      <w:r w:rsidRPr="002029AF">
        <w:t>does</w:t>
      </w:r>
      <w:r w:rsidR="000A5329" w:rsidRPr="002029AF">
        <w:t xml:space="preserve"> </w:t>
      </w:r>
      <w:r w:rsidRPr="002029AF">
        <w:t>not</w:t>
      </w:r>
      <w:r w:rsidR="000A5329" w:rsidRPr="002029AF">
        <w:t xml:space="preserve"> </w:t>
      </w:r>
      <w:r w:rsidRPr="002029AF">
        <w:t>work,</w:t>
      </w:r>
      <w:r w:rsidR="000A5329" w:rsidRPr="002029AF">
        <w:t xml:space="preserve"> </w:t>
      </w:r>
      <w:r w:rsidRPr="002029AF">
        <w:t>and</w:t>
      </w:r>
      <w:r w:rsidR="000A5329" w:rsidRPr="002029AF">
        <w:t xml:space="preserve"> </w:t>
      </w:r>
      <w:r w:rsidRPr="002029AF">
        <w:t>why.</w:t>
      </w:r>
    </w:p>
    <w:p w14:paraId="426F9DEB" w14:textId="20871764" w:rsidR="00770DE1" w:rsidRPr="002029AF" w:rsidRDefault="00770DE1" w:rsidP="00D271CB">
      <w:pPr>
        <w:pStyle w:val="ARbodyafterbullets"/>
      </w:pPr>
      <w:r w:rsidRPr="002029AF">
        <w:t>Our</w:t>
      </w:r>
      <w:r w:rsidR="000A5329" w:rsidRPr="002029AF">
        <w:t xml:space="preserve"> </w:t>
      </w:r>
      <w:r w:rsidRPr="002029AF">
        <w:t>outcomes</w:t>
      </w:r>
      <w:r w:rsidR="000A5329" w:rsidRPr="002029AF">
        <w:t xml:space="preserve"> </w:t>
      </w:r>
      <w:r w:rsidRPr="002029AF">
        <w:t>approach</w:t>
      </w:r>
      <w:r w:rsidR="000A5329" w:rsidRPr="002029AF">
        <w:t xml:space="preserve"> </w:t>
      </w:r>
      <w:r w:rsidRPr="002029AF">
        <w:t>puts</w:t>
      </w:r>
      <w:r w:rsidR="000A5329" w:rsidRPr="002029AF">
        <w:t xml:space="preserve"> </w:t>
      </w:r>
      <w:r w:rsidRPr="002029AF">
        <w:t>people</w:t>
      </w:r>
      <w:r w:rsidR="000A5329" w:rsidRPr="002029AF">
        <w:t xml:space="preserve"> </w:t>
      </w:r>
      <w:r w:rsidRPr="002029AF">
        <w:t>at</w:t>
      </w:r>
      <w:r w:rsidR="000A5329" w:rsidRPr="002029AF">
        <w:t xml:space="preserve"> </w:t>
      </w:r>
      <w:r w:rsidRPr="002029AF">
        <w:t>the</w:t>
      </w:r>
      <w:r w:rsidR="000A5329" w:rsidRPr="002029AF">
        <w:t xml:space="preserve"> </w:t>
      </w:r>
      <w:r w:rsidRPr="002029AF">
        <w:t>centre</w:t>
      </w:r>
      <w:r w:rsidR="000A5329" w:rsidRPr="002029AF">
        <w:t xml:space="preserve"> </w:t>
      </w:r>
      <w:r w:rsidRPr="002029AF">
        <w:t>of</w:t>
      </w:r>
      <w:r w:rsidR="000A5329" w:rsidRPr="002029AF">
        <w:t xml:space="preserve"> </w:t>
      </w:r>
      <w:r w:rsidRPr="002029AF">
        <w:t>how</w:t>
      </w:r>
      <w:r w:rsidR="000A5329" w:rsidRPr="002029AF">
        <w:t xml:space="preserve"> </w:t>
      </w:r>
      <w:r w:rsidRPr="002029AF">
        <w:t>we</w:t>
      </w:r>
      <w:r w:rsidR="000A5329" w:rsidRPr="002029AF">
        <w:t xml:space="preserve"> </w:t>
      </w:r>
      <w:r w:rsidRPr="002029AF">
        <w:t>plan,</w:t>
      </w:r>
      <w:r w:rsidR="000A5329" w:rsidRPr="002029AF">
        <w:t xml:space="preserve"> </w:t>
      </w:r>
      <w:r w:rsidRPr="002029AF">
        <w:t>design</w:t>
      </w:r>
      <w:r w:rsidR="000A5329" w:rsidRPr="002029AF">
        <w:t xml:space="preserve"> </w:t>
      </w:r>
      <w:r w:rsidRPr="002029AF">
        <w:t>and</w:t>
      </w:r>
      <w:r w:rsidR="000A5329" w:rsidRPr="002029AF">
        <w:t xml:space="preserve"> </w:t>
      </w:r>
      <w:r w:rsidRPr="002029AF">
        <w:t>evaluate</w:t>
      </w:r>
      <w:r w:rsidR="000A5329" w:rsidRPr="002029AF">
        <w:t xml:space="preserve"> </w:t>
      </w:r>
      <w:r w:rsidRPr="002029AF">
        <w:t>services.</w:t>
      </w:r>
      <w:r w:rsidR="000A5329" w:rsidRPr="002029AF">
        <w:t xml:space="preserve"> </w:t>
      </w:r>
      <w:r w:rsidR="00C90D56" w:rsidRPr="002029AF">
        <w:t>Doing</w:t>
      </w:r>
      <w:r w:rsidR="000A5329" w:rsidRPr="002029AF">
        <w:t xml:space="preserve"> </w:t>
      </w:r>
      <w:r w:rsidR="00C90D56" w:rsidRPr="002029AF">
        <w:t>t</w:t>
      </w:r>
      <w:r w:rsidRPr="002029AF">
        <w:t>his</w:t>
      </w:r>
      <w:r w:rsidR="000A5329" w:rsidRPr="002029AF">
        <w:t xml:space="preserve"> </w:t>
      </w:r>
      <w:r w:rsidRPr="002029AF">
        <w:t>allows</w:t>
      </w:r>
      <w:r w:rsidR="000A5329" w:rsidRPr="002029AF">
        <w:t xml:space="preserve"> </w:t>
      </w:r>
      <w:r w:rsidRPr="002029AF">
        <w:t>us</w:t>
      </w:r>
      <w:r w:rsidR="000A5329" w:rsidRPr="002029AF">
        <w:t xml:space="preserve"> </w:t>
      </w:r>
      <w:r w:rsidRPr="002029AF">
        <w:t>to</w:t>
      </w:r>
      <w:r w:rsidR="000A5329" w:rsidRPr="002029AF">
        <w:t xml:space="preserve"> </w:t>
      </w:r>
      <w:r w:rsidRPr="002029AF">
        <w:t>adjust</w:t>
      </w:r>
      <w:r w:rsidR="000A5329" w:rsidRPr="002029AF">
        <w:t xml:space="preserve"> </w:t>
      </w:r>
      <w:r w:rsidRPr="002029AF">
        <w:t>our</w:t>
      </w:r>
      <w:r w:rsidR="000A5329" w:rsidRPr="002029AF">
        <w:t xml:space="preserve"> </w:t>
      </w:r>
      <w:r w:rsidRPr="002029AF">
        <w:t>efforts</w:t>
      </w:r>
      <w:r w:rsidR="000A5329" w:rsidRPr="002029AF">
        <w:t xml:space="preserve"> </w:t>
      </w:r>
      <w:r w:rsidRPr="002029AF">
        <w:t>to</w:t>
      </w:r>
      <w:r w:rsidR="000A5329" w:rsidRPr="002029AF">
        <w:t xml:space="preserve"> </w:t>
      </w:r>
      <w:r w:rsidRPr="002029AF">
        <w:t>ensure</w:t>
      </w:r>
      <w:r w:rsidR="000A5329" w:rsidRPr="002029AF">
        <w:t xml:space="preserve"> </w:t>
      </w:r>
      <w:r w:rsidRPr="002029AF">
        <w:t>that</w:t>
      </w:r>
      <w:r w:rsidR="000A5329" w:rsidRPr="002029AF">
        <w:t xml:space="preserve"> </w:t>
      </w:r>
      <w:r w:rsidRPr="002029AF">
        <w:t>services</w:t>
      </w:r>
      <w:r w:rsidR="000A5329" w:rsidRPr="002029AF">
        <w:t xml:space="preserve"> </w:t>
      </w:r>
      <w:r w:rsidRPr="002029AF">
        <w:t>and</w:t>
      </w:r>
      <w:r w:rsidR="000A5329" w:rsidRPr="002029AF">
        <w:t xml:space="preserve"> </w:t>
      </w:r>
      <w:r w:rsidRPr="002029AF">
        <w:t>supports</w:t>
      </w:r>
      <w:r w:rsidR="000A5329" w:rsidRPr="002029AF">
        <w:t xml:space="preserve"> </w:t>
      </w:r>
      <w:r w:rsidRPr="002029AF">
        <w:t>are</w:t>
      </w:r>
      <w:r w:rsidR="000A5329" w:rsidRPr="002029AF">
        <w:t xml:space="preserve"> </w:t>
      </w:r>
      <w:r w:rsidRPr="002029AF">
        <w:t>effective</w:t>
      </w:r>
      <w:r w:rsidR="000A5329" w:rsidRPr="002029AF">
        <w:t xml:space="preserve"> </w:t>
      </w:r>
      <w:r w:rsidRPr="002029AF">
        <w:t>and</w:t>
      </w:r>
      <w:r w:rsidR="000A5329" w:rsidRPr="002029AF">
        <w:t xml:space="preserve"> </w:t>
      </w:r>
      <w:r w:rsidRPr="002029AF">
        <w:t>delivered</w:t>
      </w:r>
      <w:r w:rsidR="000A5329" w:rsidRPr="002029AF">
        <w:t xml:space="preserve"> </w:t>
      </w:r>
      <w:r w:rsidRPr="002029AF">
        <w:t>at</w:t>
      </w:r>
      <w:r w:rsidR="000A5329" w:rsidRPr="002029AF">
        <w:t xml:space="preserve"> </w:t>
      </w:r>
      <w:r w:rsidRPr="002029AF">
        <w:t>the</w:t>
      </w:r>
      <w:r w:rsidR="000A5329" w:rsidRPr="002029AF">
        <w:t xml:space="preserve"> </w:t>
      </w:r>
      <w:r w:rsidRPr="002029AF">
        <w:t>right</w:t>
      </w:r>
      <w:r w:rsidR="000A5329" w:rsidRPr="002029AF">
        <w:t xml:space="preserve"> </w:t>
      </w:r>
      <w:r w:rsidRPr="002029AF">
        <w:t>place</w:t>
      </w:r>
      <w:r w:rsidR="000A5329" w:rsidRPr="002029AF">
        <w:t xml:space="preserve"> </w:t>
      </w:r>
      <w:r w:rsidRPr="002029AF">
        <w:t>and</w:t>
      </w:r>
      <w:r w:rsidR="000A5329" w:rsidRPr="002029AF">
        <w:t xml:space="preserve"> </w:t>
      </w:r>
      <w:r w:rsidRPr="002029AF">
        <w:t>at</w:t>
      </w:r>
      <w:r w:rsidR="000A5329" w:rsidRPr="002029AF">
        <w:t xml:space="preserve"> </w:t>
      </w:r>
      <w:r w:rsidRPr="002029AF">
        <w:t>the</w:t>
      </w:r>
      <w:r w:rsidR="000A5329" w:rsidRPr="002029AF">
        <w:t xml:space="preserve"> </w:t>
      </w:r>
      <w:r w:rsidRPr="002029AF">
        <w:t>right</w:t>
      </w:r>
      <w:r w:rsidR="000A5329" w:rsidRPr="002029AF">
        <w:t xml:space="preserve"> </w:t>
      </w:r>
      <w:r w:rsidRPr="002029AF">
        <w:t>time.</w:t>
      </w:r>
      <w:r w:rsidR="000A5329" w:rsidRPr="002029AF">
        <w:t xml:space="preserve"> </w:t>
      </w:r>
      <w:r w:rsidRPr="002029AF">
        <w:t>It</w:t>
      </w:r>
      <w:r w:rsidR="009950F3">
        <w:t> </w:t>
      </w:r>
      <w:r w:rsidRPr="002029AF">
        <w:t>complements</w:t>
      </w:r>
      <w:r w:rsidR="000A5329" w:rsidRPr="002029AF">
        <w:t xml:space="preserve"> </w:t>
      </w:r>
      <w:r w:rsidRPr="002029AF">
        <w:t>the</w:t>
      </w:r>
      <w:r w:rsidR="000A5329" w:rsidRPr="002029AF">
        <w:t xml:space="preserve"> </w:t>
      </w:r>
      <w:r w:rsidRPr="002029AF">
        <w:t>essential</w:t>
      </w:r>
      <w:r w:rsidR="000A5329" w:rsidRPr="002029AF">
        <w:t xml:space="preserve"> </w:t>
      </w:r>
      <w:r w:rsidRPr="002029AF">
        <w:t>work</w:t>
      </w:r>
      <w:r w:rsidR="000A5329" w:rsidRPr="002029AF">
        <w:t xml:space="preserve"> </w:t>
      </w:r>
      <w:r w:rsidRPr="002029AF">
        <w:t>of</w:t>
      </w:r>
      <w:r w:rsidR="000A5329" w:rsidRPr="002029AF">
        <w:t xml:space="preserve"> </w:t>
      </w:r>
      <w:r w:rsidRPr="002029AF">
        <w:t>measuring</w:t>
      </w:r>
      <w:r w:rsidR="000A5329" w:rsidRPr="002029AF">
        <w:t xml:space="preserve"> </w:t>
      </w:r>
      <w:r w:rsidRPr="002029AF">
        <w:t>inputs,</w:t>
      </w:r>
      <w:r w:rsidR="000A5329" w:rsidRPr="002029AF">
        <w:t xml:space="preserve"> </w:t>
      </w:r>
      <w:r w:rsidRPr="002029AF">
        <w:t>activities</w:t>
      </w:r>
      <w:r w:rsidR="000A5329" w:rsidRPr="002029AF">
        <w:t xml:space="preserve"> </w:t>
      </w:r>
      <w:r w:rsidRPr="002029AF">
        <w:t>and</w:t>
      </w:r>
      <w:r w:rsidR="000A5329" w:rsidRPr="002029AF">
        <w:t xml:space="preserve"> </w:t>
      </w:r>
      <w:r w:rsidRPr="002029AF">
        <w:t>outputs,</w:t>
      </w:r>
      <w:r w:rsidR="000A5329" w:rsidRPr="002029AF">
        <w:t xml:space="preserve"> </w:t>
      </w:r>
      <w:r w:rsidRPr="002029AF">
        <w:t>to</w:t>
      </w:r>
      <w:r w:rsidR="000A5329" w:rsidRPr="002029AF">
        <w:t xml:space="preserve"> </w:t>
      </w:r>
      <w:r w:rsidRPr="002029AF">
        <w:t>assure</w:t>
      </w:r>
      <w:r w:rsidR="000A5329" w:rsidRPr="002029AF">
        <w:t xml:space="preserve"> </w:t>
      </w:r>
      <w:r w:rsidRPr="002029AF">
        <w:t>value</w:t>
      </w:r>
      <w:r w:rsidR="000A5329" w:rsidRPr="002029AF">
        <w:t xml:space="preserve"> </w:t>
      </w:r>
      <w:r w:rsidRPr="002029AF">
        <w:t>from</w:t>
      </w:r>
      <w:r w:rsidR="000A5329" w:rsidRPr="002029AF">
        <w:t xml:space="preserve"> </w:t>
      </w:r>
      <w:r w:rsidRPr="002029AF">
        <w:t>public</w:t>
      </w:r>
      <w:r w:rsidR="000A5329" w:rsidRPr="002029AF">
        <w:t xml:space="preserve"> </w:t>
      </w:r>
      <w:r w:rsidRPr="002029AF">
        <w:t>investment</w:t>
      </w:r>
      <w:r w:rsidR="000A5329" w:rsidRPr="002029AF">
        <w:t xml:space="preserve"> </w:t>
      </w:r>
      <w:r w:rsidRPr="002029AF">
        <w:t>in</w:t>
      </w:r>
      <w:r w:rsidR="000A5329" w:rsidRPr="002029AF">
        <w:t xml:space="preserve"> </w:t>
      </w:r>
      <w:r w:rsidRPr="002029AF">
        <w:t>our</w:t>
      </w:r>
      <w:r w:rsidR="000A5329" w:rsidRPr="002029AF">
        <w:t xml:space="preserve"> </w:t>
      </w:r>
      <w:r w:rsidRPr="002029AF">
        <w:t>services.</w:t>
      </w:r>
    </w:p>
    <w:p w14:paraId="4F0A0DEC" w14:textId="0468EBB1" w:rsidR="00770DE1" w:rsidRPr="002029AF" w:rsidRDefault="00770DE1" w:rsidP="00D271CB">
      <w:pPr>
        <w:pStyle w:val="ARbodyafterbullets"/>
      </w:pPr>
      <w:r w:rsidRPr="002029AF">
        <w:t>The</w:t>
      </w:r>
      <w:r w:rsidR="000A5329" w:rsidRPr="002029AF">
        <w:t xml:space="preserve"> </w:t>
      </w:r>
      <w:r w:rsidRPr="002029AF">
        <w:t>department’s</w:t>
      </w:r>
      <w:r w:rsidR="000A5329" w:rsidRPr="002029AF">
        <w:t xml:space="preserve"> </w:t>
      </w:r>
      <w:r w:rsidRPr="002029AF">
        <w:t>outcomes</w:t>
      </w:r>
      <w:r w:rsidR="000A5329" w:rsidRPr="002029AF">
        <w:t xml:space="preserve"> </w:t>
      </w:r>
      <w:r w:rsidRPr="002029AF">
        <w:t>framework</w:t>
      </w:r>
      <w:r w:rsidR="000A5329" w:rsidRPr="002029AF">
        <w:t xml:space="preserve"> </w:t>
      </w:r>
      <w:r w:rsidRPr="002029AF">
        <w:t>is</w:t>
      </w:r>
      <w:r w:rsidR="000A5329" w:rsidRPr="002029AF">
        <w:t xml:space="preserve"> </w:t>
      </w:r>
      <w:r w:rsidRPr="002029AF">
        <w:t>the</w:t>
      </w:r>
      <w:r w:rsidR="000A5329" w:rsidRPr="002029AF">
        <w:t xml:space="preserve"> </w:t>
      </w:r>
      <w:r w:rsidRPr="002029AF">
        <w:t>organising</w:t>
      </w:r>
      <w:r w:rsidR="000A5329" w:rsidRPr="002029AF">
        <w:t xml:space="preserve"> </w:t>
      </w:r>
      <w:r w:rsidRPr="002029AF">
        <w:t>structure</w:t>
      </w:r>
      <w:r w:rsidR="000A5329" w:rsidRPr="002029AF">
        <w:t xml:space="preserve"> </w:t>
      </w:r>
      <w:r w:rsidRPr="002029AF">
        <w:t>that</w:t>
      </w:r>
      <w:r w:rsidR="000A5329" w:rsidRPr="002029AF">
        <w:t xml:space="preserve"> </w:t>
      </w:r>
      <w:r w:rsidRPr="002029AF">
        <w:t>communicates</w:t>
      </w:r>
      <w:r w:rsidR="000A5329" w:rsidRPr="002029AF">
        <w:t xml:space="preserve"> </w:t>
      </w:r>
      <w:r w:rsidRPr="002029AF">
        <w:t>our</w:t>
      </w:r>
      <w:r w:rsidR="000A5329" w:rsidRPr="002029AF">
        <w:t xml:space="preserve"> </w:t>
      </w:r>
      <w:r w:rsidRPr="002029AF">
        <w:t>key</w:t>
      </w:r>
      <w:r w:rsidR="000A5329" w:rsidRPr="002029AF">
        <w:t xml:space="preserve"> </w:t>
      </w:r>
      <w:r w:rsidRPr="002029AF">
        <w:t>priorities</w:t>
      </w:r>
      <w:r w:rsidR="000A5329" w:rsidRPr="002029AF">
        <w:t xml:space="preserve"> </w:t>
      </w:r>
      <w:r w:rsidRPr="002029AF">
        <w:t>in</w:t>
      </w:r>
      <w:r w:rsidR="000A5329" w:rsidRPr="002029AF">
        <w:t xml:space="preserve"> </w:t>
      </w:r>
      <w:r w:rsidRPr="002029AF">
        <w:t>a</w:t>
      </w:r>
      <w:r w:rsidR="000A5329" w:rsidRPr="002029AF">
        <w:t xml:space="preserve"> </w:t>
      </w:r>
      <w:r w:rsidRPr="002029AF">
        <w:t>way</w:t>
      </w:r>
      <w:r w:rsidR="000A5329" w:rsidRPr="002029AF">
        <w:t xml:space="preserve"> </w:t>
      </w:r>
      <w:r w:rsidRPr="002029AF">
        <w:t>that</w:t>
      </w:r>
      <w:r w:rsidR="000A5329" w:rsidRPr="002029AF">
        <w:t xml:space="preserve"> </w:t>
      </w:r>
      <w:r w:rsidRPr="002029AF">
        <w:t>is</w:t>
      </w:r>
      <w:r w:rsidR="000A5329" w:rsidRPr="002029AF">
        <w:t xml:space="preserve"> </w:t>
      </w:r>
      <w:r w:rsidRPr="002029AF">
        <w:t>meaningful</w:t>
      </w:r>
      <w:r w:rsidR="000A5329" w:rsidRPr="002029AF">
        <w:t xml:space="preserve"> </w:t>
      </w:r>
      <w:r w:rsidRPr="002029AF">
        <w:t>for</w:t>
      </w:r>
      <w:r w:rsidR="000A5329" w:rsidRPr="002029AF">
        <w:t xml:space="preserve"> </w:t>
      </w:r>
      <w:r w:rsidRPr="002029AF">
        <w:t>Victorians</w:t>
      </w:r>
      <w:r w:rsidR="000D3C19" w:rsidRPr="002029AF">
        <w:t>.</w:t>
      </w:r>
      <w:r w:rsidR="000A5329" w:rsidRPr="002029AF">
        <w:t xml:space="preserve"> </w:t>
      </w:r>
      <w:r w:rsidR="00D1334A" w:rsidRPr="002029AF">
        <w:t>It</w:t>
      </w:r>
      <w:r w:rsidR="000A5329" w:rsidRPr="002029AF">
        <w:t xml:space="preserve"> </w:t>
      </w:r>
      <w:r w:rsidR="00D1334A" w:rsidRPr="002029AF">
        <w:t>also</w:t>
      </w:r>
      <w:r w:rsidR="000A5329" w:rsidRPr="002029AF">
        <w:t xml:space="preserve"> </w:t>
      </w:r>
      <w:r w:rsidRPr="002029AF">
        <w:t>explain</w:t>
      </w:r>
      <w:r w:rsidR="00D1334A" w:rsidRPr="002029AF">
        <w:t>s</w:t>
      </w:r>
      <w:r w:rsidR="000A5329" w:rsidRPr="002029AF">
        <w:t xml:space="preserve"> </w:t>
      </w:r>
      <w:r w:rsidRPr="002029AF">
        <w:t>why</w:t>
      </w:r>
      <w:r w:rsidR="000A5329" w:rsidRPr="002029AF">
        <w:t xml:space="preserve"> </w:t>
      </w:r>
      <w:r w:rsidRPr="002029AF">
        <w:t>our</w:t>
      </w:r>
      <w:r w:rsidR="000A5329" w:rsidRPr="002029AF">
        <w:t xml:space="preserve"> </w:t>
      </w:r>
      <w:r w:rsidRPr="002029AF">
        <w:t>priorities</w:t>
      </w:r>
      <w:r w:rsidR="000A5329" w:rsidRPr="002029AF">
        <w:t xml:space="preserve"> </w:t>
      </w:r>
      <w:r w:rsidRPr="002029AF">
        <w:t>matter</w:t>
      </w:r>
      <w:r w:rsidR="000A5329" w:rsidRPr="002029AF">
        <w:t xml:space="preserve"> </w:t>
      </w:r>
      <w:r w:rsidRPr="002029AF">
        <w:t>and</w:t>
      </w:r>
      <w:r w:rsidR="000A5329" w:rsidRPr="002029AF">
        <w:t xml:space="preserve"> </w:t>
      </w:r>
      <w:r w:rsidRPr="002029AF">
        <w:t>what</w:t>
      </w:r>
      <w:r w:rsidR="000A5329" w:rsidRPr="002029AF">
        <w:t xml:space="preserve"> </w:t>
      </w:r>
      <w:r w:rsidRPr="002029AF">
        <w:t>success</w:t>
      </w:r>
      <w:r w:rsidR="000A5329" w:rsidRPr="002029AF">
        <w:t xml:space="preserve"> </w:t>
      </w:r>
      <w:r w:rsidRPr="002029AF">
        <w:t>looks</w:t>
      </w:r>
      <w:r w:rsidR="000A5329" w:rsidRPr="002029AF">
        <w:t xml:space="preserve"> </w:t>
      </w:r>
      <w:r w:rsidRPr="002029AF">
        <w:t>like.</w:t>
      </w:r>
      <w:r w:rsidR="000A5329" w:rsidRPr="002029AF">
        <w:t xml:space="preserve"> </w:t>
      </w:r>
      <w:r w:rsidRPr="002029AF">
        <w:t>Our</w:t>
      </w:r>
      <w:r w:rsidR="000A5329" w:rsidRPr="002029AF">
        <w:t xml:space="preserve"> </w:t>
      </w:r>
      <w:r w:rsidRPr="002029AF">
        <w:t>key</w:t>
      </w:r>
      <w:r w:rsidR="000A5329" w:rsidRPr="002029AF">
        <w:t xml:space="preserve"> </w:t>
      </w:r>
      <w:r w:rsidRPr="002029AF">
        <w:t>results</w:t>
      </w:r>
      <w:r w:rsidR="000A5329" w:rsidRPr="002029AF">
        <w:t xml:space="preserve"> </w:t>
      </w:r>
      <w:r w:rsidRPr="002029AF">
        <w:t>reflect</w:t>
      </w:r>
      <w:r w:rsidR="000A5329" w:rsidRPr="002029AF">
        <w:t xml:space="preserve"> </w:t>
      </w:r>
      <w:r w:rsidRPr="002029AF">
        <w:t>the</w:t>
      </w:r>
      <w:r w:rsidR="000A5329" w:rsidRPr="002029AF">
        <w:t xml:space="preserve"> </w:t>
      </w:r>
      <w:r w:rsidRPr="002029AF">
        <w:t>health,</w:t>
      </w:r>
      <w:r w:rsidR="000A5329" w:rsidRPr="002029AF">
        <w:t xml:space="preserve"> </w:t>
      </w:r>
      <w:r w:rsidRPr="002029AF">
        <w:t>wellbeing,</w:t>
      </w:r>
      <w:r w:rsidR="000A5329" w:rsidRPr="002029AF">
        <w:t xml:space="preserve"> </w:t>
      </w:r>
      <w:r w:rsidRPr="002029AF">
        <w:t>social,</w:t>
      </w:r>
      <w:r w:rsidR="000A5329" w:rsidRPr="002029AF">
        <w:t xml:space="preserve"> </w:t>
      </w:r>
      <w:r w:rsidRPr="002029AF">
        <w:t>economic</w:t>
      </w:r>
      <w:r w:rsidR="000A5329" w:rsidRPr="002029AF">
        <w:t xml:space="preserve"> </w:t>
      </w:r>
      <w:r w:rsidRPr="002029AF">
        <w:t>and</w:t>
      </w:r>
      <w:r w:rsidR="000A5329" w:rsidRPr="002029AF">
        <w:t xml:space="preserve"> </w:t>
      </w:r>
      <w:r w:rsidRPr="002029AF">
        <w:t>safety</w:t>
      </w:r>
      <w:r w:rsidR="000A5329" w:rsidRPr="002029AF">
        <w:t xml:space="preserve"> </w:t>
      </w:r>
      <w:r w:rsidRPr="002029AF">
        <w:t>outcomes</w:t>
      </w:r>
      <w:r w:rsidR="000A5329" w:rsidRPr="002029AF">
        <w:t xml:space="preserve"> </w:t>
      </w:r>
      <w:r w:rsidRPr="002029AF">
        <w:t>that</w:t>
      </w:r>
      <w:r w:rsidR="000A5329" w:rsidRPr="002029AF">
        <w:t xml:space="preserve"> </w:t>
      </w:r>
      <w:r w:rsidRPr="002029AF">
        <w:t>support</w:t>
      </w:r>
      <w:r w:rsidR="000A5329" w:rsidRPr="002029AF">
        <w:t xml:space="preserve"> </w:t>
      </w:r>
      <w:r w:rsidRPr="002029AF">
        <w:t>people</w:t>
      </w:r>
      <w:r w:rsidR="000A5329" w:rsidRPr="002029AF">
        <w:t xml:space="preserve"> </w:t>
      </w:r>
      <w:r w:rsidR="00F85052" w:rsidRPr="002029AF">
        <w:t>in</w:t>
      </w:r>
      <w:r w:rsidR="000A5329" w:rsidRPr="002029AF">
        <w:t xml:space="preserve"> </w:t>
      </w:r>
      <w:r w:rsidRPr="002029AF">
        <w:t>liv</w:t>
      </w:r>
      <w:r w:rsidR="00F85052" w:rsidRPr="002029AF">
        <w:t>ing</w:t>
      </w:r>
      <w:r w:rsidR="000A5329" w:rsidRPr="002029AF">
        <w:t xml:space="preserve"> </w:t>
      </w:r>
      <w:r w:rsidRPr="002029AF">
        <w:t>a</w:t>
      </w:r>
      <w:r w:rsidR="000A5329" w:rsidRPr="002029AF">
        <w:t xml:space="preserve"> </w:t>
      </w:r>
      <w:r w:rsidRPr="002029AF">
        <w:t>life</w:t>
      </w:r>
      <w:r w:rsidR="000A5329" w:rsidRPr="002029AF">
        <w:t xml:space="preserve"> </w:t>
      </w:r>
      <w:r w:rsidRPr="002029AF">
        <w:t>they</w:t>
      </w:r>
      <w:r w:rsidR="000A5329" w:rsidRPr="002029AF">
        <w:t xml:space="preserve"> </w:t>
      </w:r>
      <w:r w:rsidRPr="002029AF">
        <w:t>value</w:t>
      </w:r>
      <w:r w:rsidR="000A5329" w:rsidRPr="002029AF">
        <w:t xml:space="preserve"> </w:t>
      </w:r>
      <w:r w:rsidRPr="002029AF">
        <w:t>across</w:t>
      </w:r>
      <w:r w:rsidR="000A5329" w:rsidRPr="002029AF">
        <w:t xml:space="preserve"> </w:t>
      </w:r>
      <w:r w:rsidRPr="002029AF">
        <w:t>the</w:t>
      </w:r>
      <w:r w:rsidR="000A5329" w:rsidRPr="002029AF">
        <w:t xml:space="preserve"> </w:t>
      </w:r>
      <w:r w:rsidRPr="002029AF">
        <w:t>following</w:t>
      </w:r>
      <w:r w:rsidR="000A5329" w:rsidRPr="002029AF">
        <w:t xml:space="preserve"> </w:t>
      </w:r>
      <w:r w:rsidRPr="002029AF">
        <w:t>five</w:t>
      </w:r>
      <w:r w:rsidR="000A5329" w:rsidRPr="002029AF">
        <w:t xml:space="preserve"> </w:t>
      </w:r>
      <w:r w:rsidRPr="002029AF">
        <w:t>domains:</w:t>
      </w:r>
    </w:p>
    <w:p w14:paraId="4FC4F07F" w14:textId="36388759" w:rsidR="00770DE1" w:rsidRPr="002029AF" w:rsidRDefault="00770DE1" w:rsidP="001E768A">
      <w:pPr>
        <w:pStyle w:val="ARbullet1"/>
      </w:pPr>
      <w:r w:rsidRPr="002029AF">
        <w:t>Victorians</w:t>
      </w:r>
      <w:r w:rsidR="000A5329" w:rsidRPr="002029AF">
        <w:t xml:space="preserve"> </w:t>
      </w:r>
      <w:r w:rsidRPr="002029AF">
        <w:t>are</w:t>
      </w:r>
      <w:r w:rsidR="000A5329" w:rsidRPr="002029AF">
        <w:t xml:space="preserve"> </w:t>
      </w:r>
      <w:r w:rsidRPr="002029AF">
        <w:t>healthy</w:t>
      </w:r>
      <w:r w:rsidR="000A5329" w:rsidRPr="002029AF">
        <w:t xml:space="preserve"> </w:t>
      </w:r>
      <w:r w:rsidRPr="002029AF">
        <w:t>and</w:t>
      </w:r>
      <w:r w:rsidR="000A5329" w:rsidRPr="002029AF">
        <w:t xml:space="preserve"> </w:t>
      </w:r>
      <w:r w:rsidRPr="002029AF">
        <w:t>well</w:t>
      </w:r>
    </w:p>
    <w:p w14:paraId="514B2934" w14:textId="225E6C05" w:rsidR="00770DE1" w:rsidRPr="002029AF" w:rsidRDefault="00770DE1" w:rsidP="001E768A">
      <w:pPr>
        <w:pStyle w:val="ARbullet1"/>
      </w:pPr>
      <w:r w:rsidRPr="002029AF">
        <w:t>Victorians</w:t>
      </w:r>
      <w:r w:rsidR="000A5329" w:rsidRPr="002029AF">
        <w:t xml:space="preserve"> </w:t>
      </w:r>
      <w:r w:rsidRPr="002029AF">
        <w:t>are</w:t>
      </w:r>
      <w:r w:rsidR="000A5329" w:rsidRPr="002029AF">
        <w:t xml:space="preserve"> </w:t>
      </w:r>
      <w:r w:rsidRPr="002029AF">
        <w:t>safe</w:t>
      </w:r>
      <w:r w:rsidR="000A5329" w:rsidRPr="002029AF">
        <w:t xml:space="preserve"> </w:t>
      </w:r>
      <w:r w:rsidRPr="002029AF">
        <w:t>and</w:t>
      </w:r>
      <w:r w:rsidR="000A5329" w:rsidRPr="002029AF">
        <w:t xml:space="preserve"> </w:t>
      </w:r>
      <w:r w:rsidRPr="002029AF">
        <w:t>secure</w:t>
      </w:r>
    </w:p>
    <w:p w14:paraId="4B788D67" w14:textId="0924279D" w:rsidR="00770DE1" w:rsidRPr="002029AF" w:rsidRDefault="00770DE1" w:rsidP="001E768A">
      <w:pPr>
        <w:pStyle w:val="ARbullet1"/>
      </w:pPr>
      <w:r w:rsidRPr="002029AF">
        <w:t>Victorians</w:t>
      </w:r>
      <w:r w:rsidR="000A5329" w:rsidRPr="002029AF">
        <w:t xml:space="preserve"> </w:t>
      </w:r>
      <w:r w:rsidRPr="002029AF">
        <w:t>have</w:t>
      </w:r>
      <w:r w:rsidR="000A5329" w:rsidRPr="002029AF">
        <w:t xml:space="preserve"> </w:t>
      </w:r>
      <w:r w:rsidRPr="002029AF">
        <w:t>the</w:t>
      </w:r>
      <w:r w:rsidR="000A5329" w:rsidRPr="002029AF">
        <w:t xml:space="preserve"> </w:t>
      </w:r>
      <w:r w:rsidRPr="002029AF">
        <w:t>capabilities</w:t>
      </w:r>
      <w:r w:rsidR="000A5329" w:rsidRPr="002029AF">
        <w:t xml:space="preserve"> </w:t>
      </w:r>
      <w:r w:rsidRPr="002029AF">
        <w:t>to</w:t>
      </w:r>
      <w:r w:rsidR="000A5329" w:rsidRPr="002029AF">
        <w:t xml:space="preserve"> </w:t>
      </w:r>
      <w:r w:rsidRPr="002029AF">
        <w:t>participate</w:t>
      </w:r>
    </w:p>
    <w:p w14:paraId="6AD57644" w14:textId="78D9AE72" w:rsidR="00770DE1" w:rsidRPr="002029AF" w:rsidRDefault="00770DE1" w:rsidP="001E768A">
      <w:pPr>
        <w:pStyle w:val="ARbullet1"/>
      </w:pPr>
      <w:r w:rsidRPr="002029AF">
        <w:t>Victorians</w:t>
      </w:r>
      <w:r w:rsidR="000A5329" w:rsidRPr="002029AF">
        <w:t xml:space="preserve"> </w:t>
      </w:r>
      <w:r w:rsidRPr="002029AF">
        <w:t>are</w:t>
      </w:r>
      <w:r w:rsidR="000A5329" w:rsidRPr="002029AF">
        <w:t xml:space="preserve"> </w:t>
      </w:r>
      <w:r w:rsidRPr="002029AF">
        <w:t>connected</w:t>
      </w:r>
      <w:r w:rsidR="000A5329" w:rsidRPr="002029AF">
        <w:t xml:space="preserve"> </w:t>
      </w:r>
      <w:r w:rsidRPr="002029AF">
        <w:t>to</w:t>
      </w:r>
      <w:r w:rsidR="000A5329" w:rsidRPr="002029AF">
        <w:t xml:space="preserve"> </w:t>
      </w:r>
      <w:r w:rsidRPr="002029AF">
        <w:t>culture</w:t>
      </w:r>
      <w:r w:rsidR="000A5329" w:rsidRPr="002029AF">
        <w:t xml:space="preserve"> </w:t>
      </w:r>
      <w:r w:rsidRPr="002029AF">
        <w:t>and</w:t>
      </w:r>
      <w:r w:rsidR="000A5329" w:rsidRPr="002029AF">
        <w:t xml:space="preserve"> </w:t>
      </w:r>
      <w:r w:rsidRPr="002029AF">
        <w:t>community</w:t>
      </w:r>
    </w:p>
    <w:p w14:paraId="1A270458" w14:textId="620C5EC7" w:rsidR="00770DE1" w:rsidRPr="002029AF" w:rsidRDefault="00770DE1" w:rsidP="001E768A">
      <w:pPr>
        <w:pStyle w:val="ARbullet1"/>
      </w:pPr>
      <w:r w:rsidRPr="002029AF">
        <w:t>Victorian</w:t>
      </w:r>
      <w:r w:rsidR="000A5329" w:rsidRPr="002029AF">
        <w:t xml:space="preserve"> </w:t>
      </w:r>
      <w:r w:rsidRPr="002029AF">
        <w:t>health</w:t>
      </w:r>
      <w:r w:rsidR="000A5329" w:rsidRPr="002029AF">
        <w:t xml:space="preserve"> </w:t>
      </w:r>
      <w:r w:rsidRPr="002029AF">
        <w:t>and</w:t>
      </w:r>
      <w:r w:rsidR="000A5329" w:rsidRPr="002029AF">
        <w:t xml:space="preserve"> </w:t>
      </w:r>
      <w:r w:rsidRPr="002029AF">
        <w:t>human</w:t>
      </w:r>
      <w:r w:rsidR="000A5329" w:rsidRPr="002029AF">
        <w:t xml:space="preserve"> </w:t>
      </w:r>
      <w:r w:rsidRPr="002029AF">
        <w:t>services</w:t>
      </w:r>
      <w:r w:rsidR="000A5329" w:rsidRPr="002029AF">
        <w:t xml:space="preserve"> </w:t>
      </w:r>
      <w:r w:rsidRPr="002029AF">
        <w:t>are</w:t>
      </w:r>
      <w:r w:rsidR="000A5329" w:rsidRPr="002029AF">
        <w:t xml:space="preserve"> </w:t>
      </w:r>
      <w:r w:rsidRPr="002029AF">
        <w:t>person</w:t>
      </w:r>
      <w:r w:rsidR="000A5329" w:rsidRPr="002029AF">
        <w:t xml:space="preserve"> </w:t>
      </w:r>
      <w:r w:rsidRPr="002029AF">
        <w:t>centred</w:t>
      </w:r>
      <w:r w:rsidR="000A5329" w:rsidRPr="002029AF">
        <w:t xml:space="preserve"> </w:t>
      </w:r>
      <w:r w:rsidRPr="002029AF">
        <w:t>and</w:t>
      </w:r>
      <w:r w:rsidR="000A5329" w:rsidRPr="002029AF">
        <w:t xml:space="preserve"> </w:t>
      </w:r>
      <w:r w:rsidRPr="002029AF">
        <w:t>sustainable.</w:t>
      </w:r>
    </w:p>
    <w:p w14:paraId="1ED5F631" w14:textId="51681398" w:rsidR="00770DE1" w:rsidRPr="002029AF" w:rsidRDefault="00770DE1" w:rsidP="00DE34E4">
      <w:pPr>
        <w:pStyle w:val="ARbodyafterbullets"/>
      </w:pPr>
      <w:r w:rsidRPr="002029AF">
        <w:t>Monitoring</w:t>
      </w:r>
      <w:r w:rsidR="000A5329" w:rsidRPr="002029AF">
        <w:t xml:space="preserve"> </w:t>
      </w:r>
      <w:r w:rsidRPr="002029AF">
        <w:t>outcomes</w:t>
      </w:r>
      <w:r w:rsidR="000A5329" w:rsidRPr="002029AF">
        <w:t xml:space="preserve"> </w:t>
      </w:r>
      <w:r w:rsidRPr="002029AF">
        <w:t>increases</w:t>
      </w:r>
      <w:r w:rsidR="000A5329" w:rsidRPr="002029AF">
        <w:t xml:space="preserve"> </w:t>
      </w:r>
      <w:r w:rsidRPr="002029AF">
        <w:t>our</w:t>
      </w:r>
      <w:r w:rsidR="000A5329" w:rsidRPr="002029AF">
        <w:t xml:space="preserve"> </w:t>
      </w:r>
      <w:r w:rsidRPr="002029AF">
        <w:t>capability</w:t>
      </w:r>
      <w:r w:rsidR="000A5329" w:rsidRPr="002029AF">
        <w:t xml:space="preserve"> </w:t>
      </w:r>
      <w:r w:rsidRPr="002029AF">
        <w:t>to</w:t>
      </w:r>
      <w:r w:rsidR="000A5329" w:rsidRPr="002029AF">
        <w:t xml:space="preserve"> </w:t>
      </w:r>
      <w:r w:rsidRPr="002029AF">
        <w:t>measure</w:t>
      </w:r>
      <w:r w:rsidR="000A5329" w:rsidRPr="002029AF">
        <w:t xml:space="preserve"> </w:t>
      </w:r>
      <w:r w:rsidRPr="002029AF">
        <w:t>the</w:t>
      </w:r>
      <w:r w:rsidR="000A5329" w:rsidRPr="002029AF">
        <w:t xml:space="preserve"> </w:t>
      </w:r>
      <w:r w:rsidRPr="002029AF">
        <w:t>impact</w:t>
      </w:r>
      <w:r w:rsidR="000A5329" w:rsidRPr="002029AF">
        <w:t xml:space="preserve"> </w:t>
      </w:r>
      <w:r w:rsidRPr="002029AF">
        <w:t>of</w:t>
      </w:r>
      <w:r w:rsidR="000A5329" w:rsidRPr="002029AF">
        <w:t xml:space="preserve"> </w:t>
      </w:r>
      <w:r w:rsidRPr="002029AF">
        <w:t>our</w:t>
      </w:r>
      <w:r w:rsidR="000A5329" w:rsidRPr="002029AF">
        <w:t xml:space="preserve"> </w:t>
      </w:r>
      <w:r w:rsidRPr="002029AF">
        <w:t>services</w:t>
      </w:r>
      <w:r w:rsidR="000A5329" w:rsidRPr="002029AF">
        <w:t xml:space="preserve"> </w:t>
      </w:r>
      <w:r w:rsidRPr="002029AF">
        <w:t>for</w:t>
      </w:r>
      <w:r w:rsidR="000A5329" w:rsidRPr="002029AF">
        <w:t xml:space="preserve"> </w:t>
      </w:r>
      <w:r w:rsidRPr="002029AF">
        <w:t>patients</w:t>
      </w:r>
      <w:r w:rsidR="000A5329" w:rsidRPr="002029AF">
        <w:t xml:space="preserve"> </w:t>
      </w:r>
      <w:r w:rsidRPr="002029AF">
        <w:t>and</w:t>
      </w:r>
      <w:r w:rsidR="000A5329" w:rsidRPr="002029AF">
        <w:t xml:space="preserve"> </w:t>
      </w:r>
      <w:r w:rsidRPr="002029AF">
        <w:t>clients,</w:t>
      </w:r>
      <w:r w:rsidR="000A5329" w:rsidRPr="002029AF">
        <w:t xml:space="preserve"> </w:t>
      </w:r>
      <w:r w:rsidRPr="002029AF">
        <w:t>as</w:t>
      </w:r>
      <w:r w:rsidR="000A5329" w:rsidRPr="002029AF">
        <w:t xml:space="preserve"> </w:t>
      </w:r>
      <w:r w:rsidRPr="002029AF">
        <w:t>well</w:t>
      </w:r>
      <w:r w:rsidR="000A5329" w:rsidRPr="002029AF">
        <w:t xml:space="preserve"> </w:t>
      </w:r>
      <w:r w:rsidRPr="002029AF">
        <w:t>as</w:t>
      </w:r>
      <w:r w:rsidR="000A5329" w:rsidRPr="002029AF">
        <w:t xml:space="preserve"> </w:t>
      </w:r>
      <w:r w:rsidRPr="002029AF">
        <w:t>track</w:t>
      </w:r>
      <w:r w:rsidR="000A5329" w:rsidRPr="002029AF">
        <w:t xml:space="preserve"> </w:t>
      </w:r>
      <w:r w:rsidRPr="002029AF">
        <w:t>our</w:t>
      </w:r>
      <w:r w:rsidR="000A5329" w:rsidRPr="002029AF">
        <w:t xml:space="preserve"> </w:t>
      </w:r>
      <w:r w:rsidRPr="002029AF">
        <w:t>global</w:t>
      </w:r>
      <w:r w:rsidR="000A5329" w:rsidRPr="002029AF">
        <w:t xml:space="preserve"> </w:t>
      </w:r>
      <w:r w:rsidRPr="002029AF">
        <w:t>measures</w:t>
      </w:r>
      <w:r w:rsidR="000A5329" w:rsidRPr="002029AF">
        <w:t xml:space="preserve"> </w:t>
      </w:r>
      <w:r w:rsidRPr="002029AF">
        <w:t>of</w:t>
      </w:r>
      <w:r w:rsidR="000A5329" w:rsidRPr="002029AF">
        <w:t xml:space="preserve"> </w:t>
      </w:r>
      <w:r w:rsidRPr="002029AF">
        <w:t>population</w:t>
      </w:r>
      <w:r w:rsidR="000A5329" w:rsidRPr="002029AF">
        <w:t xml:space="preserve"> </w:t>
      </w:r>
      <w:r w:rsidRPr="002029AF">
        <w:t>health,</w:t>
      </w:r>
      <w:r w:rsidR="000A5329" w:rsidRPr="002029AF">
        <w:t xml:space="preserve"> </w:t>
      </w:r>
      <w:r w:rsidRPr="002029AF">
        <w:t>wellbeing</w:t>
      </w:r>
      <w:r w:rsidR="000A5329" w:rsidRPr="002029AF">
        <w:t xml:space="preserve"> </w:t>
      </w:r>
      <w:r w:rsidRPr="002029AF">
        <w:t>and</w:t>
      </w:r>
      <w:r w:rsidR="000A5329" w:rsidRPr="002029AF">
        <w:t xml:space="preserve"> </w:t>
      </w:r>
      <w:r w:rsidRPr="002029AF">
        <w:t>safety.</w:t>
      </w:r>
    </w:p>
    <w:p w14:paraId="11526D53" w14:textId="1A808E46" w:rsidR="00770DE1" w:rsidRPr="002029AF" w:rsidRDefault="00770DE1" w:rsidP="00D271CB">
      <w:pPr>
        <w:pStyle w:val="ARbody"/>
      </w:pPr>
      <w:r w:rsidRPr="002029AF">
        <w:t>Better</w:t>
      </w:r>
      <w:r w:rsidR="000A5329" w:rsidRPr="002029AF">
        <w:t xml:space="preserve"> </w:t>
      </w:r>
      <w:r w:rsidRPr="002029AF">
        <w:t>outcomes</w:t>
      </w:r>
      <w:r w:rsidR="000A5329" w:rsidRPr="002029AF">
        <w:t xml:space="preserve"> </w:t>
      </w:r>
      <w:r w:rsidRPr="002029AF">
        <w:t>data</w:t>
      </w:r>
      <w:r w:rsidR="000A5329" w:rsidRPr="002029AF">
        <w:t xml:space="preserve"> </w:t>
      </w:r>
      <w:r w:rsidRPr="002029AF">
        <w:t>provides</w:t>
      </w:r>
      <w:r w:rsidR="000A5329" w:rsidRPr="002029AF">
        <w:t xml:space="preserve"> </w:t>
      </w:r>
      <w:r w:rsidRPr="002029AF">
        <w:t>greater</w:t>
      </w:r>
      <w:r w:rsidR="000A5329" w:rsidRPr="002029AF">
        <w:t xml:space="preserve"> </w:t>
      </w:r>
      <w:r w:rsidRPr="002029AF">
        <w:t>transparency</w:t>
      </w:r>
      <w:r w:rsidR="000A5329" w:rsidRPr="002029AF">
        <w:t xml:space="preserve"> </w:t>
      </w:r>
      <w:r w:rsidRPr="002029AF">
        <w:t>about</w:t>
      </w:r>
      <w:r w:rsidR="000A5329" w:rsidRPr="002029AF">
        <w:t xml:space="preserve"> </w:t>
      </w:r>
      <w:r w:rsidRPr="002029AF">
        <w:t>our</w:t>
      </w:r>
      <w:r w:rsidR="000A5329" w:rsidRPr="002029AF">
        <w:t xml:space="preserve"> </w:t>
      </w:r>
      <w:r w:rsidRPr="002029AF">
        <w:t>work,</w:t>
      </w:r>
      <w:r w:rsidR="000A5329" w:rsidRPr="002029AF">
        <w:t xml:space="preserve"> </w:t>
      </w:r>
      <w:r w:rsidRPr="002029AF">
        <w:t>providing</w:t>
      </w:r>
      <w:r w:rsidR="000A5329" w:rsidRPr="002029AF">
        <w:t xml:space="preserve"> </w:t>
      </w:r>
      <w:r w:rsidRPr="002029AF">
        <w:t>a</w:t>
      </w:r>
      <w:r w:rsidR="000A5329" w:rsidRPr="002029AF">
        <w:t xml:space="preserve"> </w:t>
      </w:r>
      <w:r w:rsidRPr="002029AF">
        <w:t>continuous</w:t>
      </w:r>
      <w:r w:rsidR="000A5329" w:rsidRPr="002029AF">
        <w:t xml:space="preserve"> </w:t>
      </w:r>
      <w:r w:rsidRPr="002029AF">
        <w:t>feedback</w:t>
      </w:r>
      <w:r w:rsidR="000A5329" w:rsidRPr="002029AF">
        <w:t xml:space="preserve"> </w:t>
      </w:r>
      <w:r w:rsidRPr="002029AF">
        <w:t>loop</w:t>
      </w:r>
      <w:r w:rsidR="000A5329" w:rsidRPr="002029AF">
        <w:t xml:space="preserve"> </w:t>
      </w:r>
      <w:r w:rsidRPr="002029AF">
        <w:t>of</w:t>
      </w:r>
      <w:r w:rsidR="000A5329" w:rsidRPr="002029AF">
        <w:t xml:space="preserve"> </w:t>
      </w:r>
      <w:r w:rsidRPr="002029AF">
        <w:t>information</w:t>
      </w:r>
      <w:r w:rsidR="000A5329" w:rsidRPr="002029AF">
        <w:t xml:space="preserve"> </w:t>
      </w:r>
      <w:r w:rsidRPr="002029AF">
        <w:t>that</w:t>
      </w:r>
      <w:r w:rsidR="000A5329" w:rsidRPr="002029AF">
        <w:t xml:space="preserve"> </w:t>
      </w:r>
      <w:r w:rsidRPr="002029AF">
        <w:t>informs</w:t>
      </w:r>
      <w:r w:rsidR="000A5329" w:rsidRPr="002029AF">
        <w:t xml:space="preserve"> </w:t>
      </w:r>
      <w:r w:rsidRPr="002029AF">
        <w:t>decision</w:t>
      </w:r>
      <w:r w:rsidR="000A5329" w:rsidRPr="002029AF">
        <w:t xml:space="preserve"> </w:t>
      </w:r>
      <w:r w:rsidRPr="002029AF">
        <w:t>making.</w:t>
      </w:r>
      <w:r w:rsidR="000A5329" w:rsidRPr="002029AF">
        <w:t xml:space="preserve"> </w:t>
      </w:r>
      <w:r w:rsidRPr="002029AF">
        <w:t>This</w:t>
      </w:r>
      <w:r w:rsidR="000A5329" w:rsidRPr="002029AF">
        <w:t xml:space="preserve"> </w:t>
      </w:r>
      <w:r w:rsidR="003B2AB1" w:rsidRPr="002029AF">
        <w:t>data</w:t>
      </w:r>
      <w:r w:rsidR="000A5329" w:rsidRPr="002029AF">
        <w:t xml:space="preserve"> </w:t>
      </w:r>
      <w:r w:rsidRPr="002029AF">
        <w:t>also</w:t>
      </w:r>
      <w:r w:rsidR="000A5329" w:rsidRPr="002029AF">
        <w:t xml:space="preserve"> </w:t>
      </w:r>
      <w:r w:rsidRPr="002029AF">
        <w:t>informs</w:t>
      </w:r>
      <w:r w:rsidR="000A5329" w:rsidRPr="002029AF">
        <w:t xml:space="preserve"> </w:t>
      </w:r>
      <w:r w:rsidRPr="002029AF">
        <w:t>how</w:t>
      </w:r>
      <w:r w:rsidR="000A5329" w:rsidRPr="002029AF">
        <w:t xml:space="preserve"> </w:t>
      </w:r>
      <w:r w:rsidRPr="002029AF">
        <w:t>we</w:t>
      </w:r>
      <w:r w:rsidR="000A5329" w:rsidRPr="002029AF">
        <w:t xml:space="preserve"> </w:t>
      </w:r>
      <w:r w:rsidRPr="002029AF">
        <w:t>work</w:t>
      </w:r>
      <w:r w:rsidR="000A5329" w:rsidRPr="002029AF">
        <w:t xml:space="preserve"> </w:t>
      </w:r>
      <w:r w:rsidRPr="002029AF">
        <w:t>with</w:t>
      </w:r>
      <w:r w:rsidR="000A5329" w:rsidRPr="002029AF">
        <w:t xml:space="preserve"> </w:t>
      </w:r>
      <w:r w:rsidRPr="002029AF">
        <w:t>government,</w:t>
      </w:r>
      <w:r w:rsidR="000A5329" w:rsidRPr="002029AF">
        <w:t xml:space="preserve"> </w:t>
      </w:r>
      <w:r w:rsidRPr="002029AF">
        <w:t>the</w:t>
      </w:r>
      <w:r w:rsidR="000A5329" w:rsidRPr="002029AF">
        <w:t xml:space="preserve"> </w:t>
      </w:r>
      <w:r w:rsidRPr="002029AF">
        <w:t>sector</w:t>
      </w:r>
      <w:r w:rsidR="000A5329" w:rsidRPr="002029AF">
        <w:t xml:space="preserve"> </w:t>
      </w:r>
      <w:r w:rsidRPr="002029AF">
        <w:t>and</w:t>
      </w:r>
      <w:r w:rsidR="000A5329" w:rsidRPr="002029AF">
        <w:t xml:space="preserve"> </w:t>
      </w:r>
      <w:r w:rsidRPr="002029AF">
        <w:t>community</w:t>
      </w:r>
      <w:r w:rsidR="000A5329" w:rsidRPr="002029AF">
        <w:t xml:space="preserve"> </w:t>
      </w:r>
      <w:r w:rsidRPr="002029AF">
        <w:t>partners</w:t>
      </w:r>
      <w:r w:rsidR="000A5329" w:rsidRPr="002029AF">
        <w:t xml:space="preserve"> </w:t>
      </w:r>
      <w:r w:rsidRPr="002029AF">
        <w:t>to</w:t>
      </w:r>
      <w:r w:rsidR="000A5329" w:rsidRPr="002029AF">
        <w:t xml:space="preserve"> </w:t>
      </w:r>
      <w:r w:rsidRPr="002029AF">
        <w:t>cut</w:t>
      </w:r>
      <w:r w:rsidR="000A5329" w:rsidRPr="002029AF">
        <w:t xml:space="preserve"> </w:t>
      </w:r>
      <w:r w:rsidRPr="002029AF">
        <w:t>across</w:t>
      </w:r>
      <w:r w:rsidR="000A5329" w:rsidRPr="002029AF">
        <w:t xml:space="preserve"> </w:t>
      </w:r>
      <w:r w:rsidRPr="002029AF">
        <w:t>traditional</w:t>
      </w:r>
      <w:r w:rsidR="000A5329" w:rsidRPr="002029AF">
        <w:t xml:space="preserve"> </w:t>
      </w:r>
      <w:r w:rsidRPr="002029AF">
        <w:t>policy</w:t>
      </w:r>
      <w:r w:rsidR="000A5329" w:rsidRPr="002029AF">
        <w:t xml:space="preserve"> </w:t>
      </w:r>
      <w:r w:rsidRPr="002029AF">
        <w:t>boundaries</w:t>
      </w:r>
      <w:r w:rsidR="000A5329" w:rsidRPr="002029AF">
        <w:t xml:space="preserve"> </w:t>
      </w:r>
      <w:r w:rsidRPr="002029AF">
        <w:t>and</w:t>
      </w:r>
      <w:r w:rsidR="000A5329" w:rsidRPr="002029AF">
        <w:t xml:space="preserve"> </w:t>
      </w:r>
      <w:r w:rsidRPr="002029AF">
        <w:t>collaborate</w:t>
      </w:r>
      <w:r w:rsidR="000A5329" w:rsidRPr="002029AF">
        <w:t xml:space="preserve"> </w:t>
      </w:r>
      <w:r w:rsidRPr="002029AF">
        <w:t>around</w:t>
      </w:r>
      <w:r w:rsidR="000A5329" w:rsidRPr="002029AF">
        <w:t xml:space="preserve"> </w:t>
      </w:r>
      <w:r w:rsidRPr="002029AF">
        <w:t>shared</w:t>
      </w:r>
      <w:r w:rsidR="000A5329" w:rsidRPr="002029AF">
        <w:t xml:space="preserve"> </w:t>
      </w:r>
      <w:r w:rsidRPr="002029AF">
        <w:t>outcomes.</w:t>
      </w:r>
    </w:p>
    <w:p w14:paraId="2238D37C" w14:textId="39E03B86" w:rsidR="00770DE1" w:rsidRPr="002029AF" w:rsidRDefault="00770DE1" w:rsidP="00D271CB">
      <w:pPr>
        <w:pStyle w:val="ARbody"/>
      </w:pPr>
      <w:r w:rsidRPr="002029AF">
        <w:t>Further</w:t>
      </w:r>
      <w:r w:rsidR="000A5329" w:rsidRPr="002029AF">
        <w:t xml:space="preserve"> </w:t>
      </w:r>
      <w:r w:rsidRPr="002029AF">
        <w:t>information</w:t>
      </w:r>
      <w:r w:rsidR="000A5329" w:rsidRPr="002029AF">
        <w:t xml:space="preserve"> </w:t>
      </w:r>
      <w:r w:rsidRPr="002029AF">
        <w:t>on</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outcomes</w:t>
      </w:r>
      <w:r w:rsidR="000A5329" w:rsidRPr="002029AF">
        <w:t xml:space="preserve"> </w:t>
      </w:r>
      <w:r w:rsidRPr="002029AF">
        <w:t>framework</w:t>
      </w:r>
      <w:r w:rsidR="000A5329" w:rsidRPr="002029AF">
        <w:t xml:space="preserve"> </w:t>
      </w:r>
      <w:r w:rsidRPr="002029AF">
        <w:t>is</w:t>
      </w:r>
      <w:r w:rsidR="000A5329" w:rsidRPr="002029AF">
        <w:t xml:space="preserve"> </w:t>
      </w:r>
      <w:r w:rsidRPr="002029AF">
        <w:t>available</w:t>
      </w:r>
      <w:r w:rsidR="000A5329" w:rsidRPr="002029AF">
        <w:t xml:space="preserve"> </w:t>
      </w:r>
      <w:r w:rsidRPr="002029AF">
        <w:t>in</w:t>
      </w:r>
      <w:r w:rsidR="000A5329" w:rsidRPr="002029AF">
        <w:t xml:space="preserve"> </w:t>
      </w:r>
      <w:hyperlink r:id="rId50" w:history="1">
        <w:r w:rsidRPr="002029AF">
          <w:rPr>
            <w:rStyle w:val="Hyperlink"/>
          </w:rPr>
          <w:t>our</w:t>
        </w:r>
        <w:r w:rsidR="000A5329" w:rsidRPr="002029AF">
          <w:rPr>
            <w:rStyle w:val="Hyperlink"/>
          </w:rPr>
          <w:t xml:space="preserve"> </w:t>
        </w:r>
        <w:r w:rsidRPr="002029AF">
          <w:rPr>
            <w:rStyle w:val="Hyperlink"/>
          </w:rPr>
          <w:t>strategic</w:t>
        </w:r>
        <w:r w:rsidR="000A5329" w:rsidRPr="002029AF">
          <w:rPr>
            <w:rStyle w:val="Hyperlink"/>
          </w:rPr>
          <w:t xml:space="preserve"> </w:t>
        </w:r>
        <w:r w:rsidRPr="002029AF">
          <w:rPr>
            <w:rStyle w:val="Hyperlink"/>
          </w:rPr>
          <w:t>plan</w:t>
        </w:r>
      </w:hyperlink>
      <w:r w:rsidR="000A5329" w:rsidRPr="002029AF">
        <w:t xml:space="preserve"> </w:t>
      </w:r>
      <w:r w:rsidRPr="002029AF">
        <w:t>&lt;https://dhhs.vic.gov.au/publications/department-health-and-human-services-strategic-plan&gt;.</w:t>
      </w:r>
    </w:p>
    <w:p w14:paraId="7915F6B6" w14:textId="7A0BB28E" w:rsidR="00770DE1" w:rsidRPr="002029AF" w:rsidRDefault="00770DE1" w:rsidP="00C22356">
      <w:pPr>
        <w:pStyle w:val="Heading2"/>
      </w:pPr>
      <w:r w:rsidRPr="002029AF">
        <w:t>Purpose</w:t>
      </w:r>
      <w:r w:rsidR="000A5329" w:rsidRPr="002029AF">
        <w:t xml:space="preserve"> </w:t>
      </w:r>
      <w:r w:rsidRPr="002029AF">
        <w:t>and</w:t>
      </w:r>
      <w:r w:rsidR="000A5329" w:rsidRPr="002029AF">
        <w:t xml:space="preserve"> </w:t>
      </w:r>
      <w:r w:rsidRPr="002029AF">
        <w:t>functions</w:t>
      </w:r>
    </w:p>
    <w:p w14:paraId="5AA6ACEF" w14:textId="369BD96E" w:rsidR="00770DE1" w:rsidRPr="002029AF" w:rsidRDefault="00770DE1" w:rsidP="00D271CB">
      <w:pPr>
        <w:pStyle w:val="ARbody"/>
      </w:pPr>
      <w:r w:rsidRPr="002029AF">
        <w:t>The</w:t>
      </w:r>
      <w:r w:rsidR="000A5329" w:rsidRPr="002029AF">
        <w:t xml:space="preserve"> </w:t>
      </w:r>
      <w:r w:rsidRPr="002029AF">
        <w:t>department</w:t>
      </w:r>
      <w:r w:rsidR="000A5329" w:rsidRPr="002029AF">
        <w:t xml:space="preserve"> </w:t>
      </w:r>
      <w:r w:rsidRPr="002029AF">
        <w:t>develops</w:t>
      </w:r>
      <w:r w:rsidR="000A5329" w:rsidRPr="002029AF">
        <w:t xml:space="preserve"> </w:t>
      </w:r>
      <w:r w:rsidRPr="002029AF">
        <w:t>policies</w:t>
      </w:r>
      <w:r w:rsidR="000A5329" w:rsidRPr="002029AF">
        <w:t xml:space="preserve"> </w:t>
      </w:r>
      <w:r w:rsidRPr="002029AF">
        <w:t>and</w:t>
      </w:r>
      <w:r w:rsidR="000A5329" w:rsidRPr="002029AF">
        <w:t xml:space="preserve"> </w:t>
      </w:r>
      <w:r w:rsidRPr="002029AF">
        <w:t>programs</w:t>
      </w:r>
      <w:r w:rsidR="000A5329" w:rsidRPr="002029AF">
        <w:t xml:space="preserve"> </w:t>
      </w:r>
      <w:r w:rsidRPr="002029AF">
        <w:t>and</w:t>
      </w:r>
      <w:r w:rsidR="000A5329" w:rsidRPr="002029AF">
        <w:t xml:space="preserve"> </w:t>
      </w:r>
      <w:r w:rsidRPr="002029AF">
        <w:t>funds</w:t>
      </w:r>
      <w:r w:rsidR="000A5329" w:rsidRPr="002029AF">
        <w:t xml:space="preserve"> </w:t>
      </w:r>
      <w:r w:rsidRPr="002029AF">
        <w:t>and</w:t>
      </w:r>
      <w:r w:rsidR="000A5329" w:rsidRPr="002029AF">
        <w:t xml:space="preserve"> </w:t>
      </w:r>
      <w:r w:rsidRPr="002029AF">
        <w:t>delivers</w:t>
      </w:r>
      <w:r w:rsidR="000A5329" w:rsidRPr="002029AF">
        <w:t xml:space="preserve"> </w:t>
      </w:r>
      <w:r w:rsidRPr="002029AF">
        <w:t>services</w:t>
      </w:r>
      <w:r w:rsidR="000A5329" w:rsidRPr="002029AF">
        <w:t xml:space="preserve"> </w:t>
      </w:r>
      <w:r w:rsidRPr="002029AF">
        <w:t>that</w:t>
      </w:r>
      <w:r w:rsidR="000A5329" w:rsidRPr="002029AF">
        <w:t xml:space="preserve"> </w:t>
      </w:r>
      <w:r w:rsidRPr="002029AF">
        <w:t>support</w:t>
      </w:r>
      <w:r w:rsidR="000A5329" w:rsidRPr="002029AF">
        <w:t xml:space="preserve"> </w:t>
      </w:r>
      <w:r w:rsidRPr="002029AF">
        <w:t>and</w:t>
      </w:r>
      <w:r w:rsidR="000A5329" w:rsidRPr="002029AF">
        <w:t xml:space="preserve"> </w:t>
      </w:r>
      <w:r w:rsidRPr="002029AF">
        <w:t>enhance</w:t>
      </w:r>
      <w:r w:rsidR="000A5329" w:rsidRPr="002029AF">
        <w:t xml:space="preserve"> </w:t>
      </w:r>
      <w:r w:rsidRPr="002029AF">
        <w:t>the</w:t>
      </w:r>
      <w:r w:rsidR="000A5329" w:rsidRPr="002029AF">
        <w:t xml:space="preserve"> </w:t>
      </w:r>
      <w:r w:rsidRPr="002029AF">
        <w:t>wellbeing</w:t>
      </w:r>
      <w:r w:rsidR="000A5329" w:rsidRPr="002029AF">
        <w:t xml:space="preserve"> </w:t>
      </w:r>
      <w:r w:rsidRPr="002029AF">
        <w:t>of</w:t>
      </w:r>
      <w:r w:rsidR="000A5329" w:rsidRPr="002029AF">
        <w:t xml:space="preserve"> </w:t>
      </w:r>
      <w:r w:rsidRPr="002029AF">
        <w:t>all</w:t>
      </w:r>
      <w:r w:rsidR="000A5329" w:rsidRPr="002029AF">
        <w:t xml:space="preserve"> </w:t>
      </w:r>
      <w:r w:rsidRPr="002029AF">
        <w:t>Victorians.</w:t>
      </w:r>
    </w:p>
    <w:p w14:paraId="474540BD" w14:textId="30382E6C" w:rsidR="00770DE1" w:rsidRPr="002029AF" w:rsidRDefault="00641E26" w:rsidP="00D271CB">
      <w:pPr>
        <w:pStyle w:val="ARbody"/>
        <w:rPr>
          <w:bCs/>
        </w:rPr>
      </w:pPr>
      <w:r w:rsidRPr="002029AF">
        <w:t>T</w:t>
      </w:r>
      <w:r w:rsidR="00770DE1" w:rsidRPr="002029AF">
        <w:t>hese</w:t>
      </w:r>
      <w:r w:rsidR="000A5329" w:rsidRPr="002029AF">
        <w:t xml:space="preserve"> </w:t>
      </w:r>
      <w:r w:rsidR="00770DE1" w:rsidRPr="002029AF">
        <w:t>activities</w:t>
      </w:r>
      <w:r w:rsidR="000A5329" w:rsidRPr="002029AF">
        <w:t xml:space="preserve"> </w:t>
      </w:r>
      <w:r w:rsidRPr="002029AF">
        <w:t>are</w:t>
      </w:r>
      <w:r w:rsidR="000A5329" w:rsidRPr="002029AF">
        <w:t xml:space="preserve"> </w:t>
      </w:r>
      <w:r w:rsidRPr="002029AF">
        <w:t>in</w:t>
      </w:r>
      <w:r w:rsidR="000A5329" w:rsidRPr="002029AF">
        <w:t xml:space="preserve"> </w:t>
      </w:r>
      <w:r w:rsidRPr="002029AF">
        <w:t>relation</w:t>
      </w:r>
      <w:r w:rsidR="000A5329" w:rsidRPr="002029AF">
        <w:t xml:space="preserve"> </w:t>
      </w:r>
      <w:r w:rsidRPr="002029AF">
        <w:t>to</w:t>
      </w:r>
      <w:r w:rsidR="000A5329" w:rsidRPr="002029AF">
        <w:t xml:space="preserve"> </w:t>
      </w:r>
      <w:r w:rsidR="00770DE1" w:rsidRPr="002029AF">
        <w:t>social</w:t>
      </w:r>
      <w:r w:rsidR="000A5329" w:rsidRPr="002029AF">
        <w:t xml:space="preserve"> </w:t>
      </w:r>
      <w:r w:rsidR="00770DE1" w:rsidRPr="002029AF">
        <w:t>housing,</w:t>
      </w:r>
      <w:r w:rsidR="000A5329" w:rsidRPr="002029AF">
        <w:t xml:space="preserve"> </w:t>
      </w:r>
      <w:r w:rsidR="00770DE1" w:rsidRPr="002029AF">
        <w:t>disability,</w:t>
      </w:r>
      <w:r w:rsidR="000A5329" w:rsidRPr="002029AF">
        <w:t xml:space="preserve"> </w:t>
      </w:r>
      <w:r w:rsidR="00770DE1" w:rsidRPr="002029AF">
        <w:t>child</w:t>
      </w:r>
      <w:r w:rsidR="000A5329" w:rsidRPr="002029AF">
        <w:t xml:space="preserve"> </w:t>
      </w:r>
      <w:r w:rsidR="00770DE1" w:rsidRPr="002029AF">
        <w:t>and</w:t>
      </w:r>
      <w:r w:rsidR="000A5329" w:rsidRPr="002029AF">
        <w:t xml:space="preserve"> </w:t>
      </w:r>
      <w:r w:rsidR="00770DE1" w:rsidRPr="002029AF">
        <w:t>family</w:t>
      </w:r>
      <w:r w:rsidR="000A5329" w:rsidRPr="002029AF">
        <w:t xml:space="preserve"> </w:t>
      </w:r>
      <w:r w:rsidR="00770DE1" w:rsidRPr="002029AF">
        <w:t>services,</w:t>
      </w:r>
      <w:r w:rsidR="000A5329" w:rsidRPr="002029AF">
        <w:t xml:space="preserve"> </w:t>
      </w:r>
      <w:r w:rsidR="00770DE1" w:rsidRPr="002029AF">
        <w:t>public</w:t>
      </w:r>
      <w:r w:rsidR="000A5329" w:rsidRPr="002029AF">
        <w:t xml:space="preserve"> </w:t>
      </w:r>
      <w:r w:rsidR="00770DE1" w:rsidRPr="002029AF">
        <w:t>hospitals,</w:t>
      </w:r>
      <w:r w:rsidR="000A5329" w:rsidRPr="002029AF">
        <w:t xml:space="preserve"> </w:t>
      </w:r>
      <w:r w:rsidR="00770DE1" w:rsidRPr="002029AF">
        <w:t>community</w:t>
      </w:r>
      <w:r w:rsidR="000A5329" w:rsidRPr="002029AF">
        <w:t xml:space="preserve"> </w:t>
      </w:r>
      <w:r w:rsidR="00770DE1" w:rsidRPr="002029AF">
        <w:t>health,</w:t>
      </w:r>
      <w:r w:rsidR="000A5329" w:rsidRPr="002029AF">
        <w:t xml:space="preserve"> </w:t>
      </w:r>
      <w:r w:rsidR="00770DE1" w:rsidRPr="002029AF">
        <w:t>mental</w:t>
      </w:r>
      <w:r w:rsidR="000A5329" w:rsidRPr="002029AF">
        <w:t xml:space="preserve"> </w:t>
      </w:r>
      <w:r w:rsidR="00770DE1" w:rsidRPr="002029AF">
        <w:t>health</w:t>
      </w:r>
      <w:r w:rsidR="00311F07" w:rsidRPr="002029AF">
        <w:t>,</w:t>
      </w:r>
      <w:r w:rsidR="000A5329" w:rsidRPr="002029AF">
        <w:t xml:space="preserve"> </w:t>
      </w:r>
      <w:r w:rsidR="00770DE1" w:rsidRPr="002029AF">
        <w:t>aged</w:t>
      </w:r>
      <w:r w:rsidR="000A5329" w:rsidRPr="002029AF">
        <w:t xml:space="preserve"> </w:t>
      </w:r>
      <w:r w:rsidR="00770DE1" w:rsidRPr="002029AF">
        <w:t>care,</w:t>
      </w:r>
      <w:r w:rsidR="000A5329" w:rsidRPr="002029AF">
        <w:t xml:space="preserve"> </w:t>
      </w:r>
      <w:r w:rsidR="00770DE1" w:rsidRPr="002029AF">
        <w:t>maternal</w:t>
      </w:r>
      <w:r w:rsidR="000A5329" w:rsidRPr="002029AF">
        <w:t xml:space="preserve"> </w:t>
      </w:r>
      <w:r w:rsidR="00770DE1" w:rsidRPr="002029AF">
        <w:t>and</w:t>
      </w:r>
      <w:r w:rsidR="000A5329" w:rsidRPr="002029AF">
        <w:t xml:space="preserve"> </w:t>
      </w:r>
      <w:r w:rsidR="00770DE1" w:rsidRPr="002029AF">
        <w:t>child</w:t>
      </w:r>
      <w:r w:rsidR="000A5329" w:rsidRPr="002029AF">
        <w:t xml:space="preserve"> </w:t>
      </w:r>
      <w:r w:rsidR="00770DE1" w:rsidRPr="002029AF">
        <w:t>health,</w:t>
      </w:r>
      <w:r w:rsidR="000A5329" w:rsidRPr="002029AF">
        <w:t xml:space="preserve"> </w:t>
      </w:r>
      <w:r w:rsidR="00770DE1" w:rsidRPr="002029AF">
        <w:t>and</w:t>
      </w:r>
      <w:r w:rsidR="000A5329" w:rsidRPr="002029AF">
        <w:t xml:space="preserve"> </w:t>
      </w:r>
      <w:r w:rsidR="00311F07" w:rsidRPr="002029AF">
        <w:t>the</w:t>
      </w:r>
      <w:r w:rsidR="000A5329" w:rsidRPr="002029AF">
        <w:t xml:space="preserve"> </w:t>
      </w:r>
      <w:r w:rsidR="00770DE1" w:rsidRPr="002029AF">
        <w:t>prevent</w:t>
      </w:r>
      <w:r w:rsidR="00311F07" w:rsidRPr="002029AF">
        <w:t>ion</w:t>
      </w:r>
      <w:r w:rsidR="000A5329" w:rsidRPr="002029AF">
        <w:t xml:space="preserve"> </w:t>
      </w:r>
      <w:r w:rsidR="00311F07" w:rsidRPr="002029AF">
        <w:t>of</w:t>
      </w:r>
      <w:r w:rsidR="000A5329" w:rsidRPr="002029AF">
        <w:t xml:space="preserve"> </w:t>
      </w:r>
      <w:r w:rsidR="00770DE1" w:rsidRPr="002029AF">
        <w:t>family</w:t>
      </w:r>
      <w:r w:rsidR="000A5329" w:rsidRPr="002029AF">
        <w:t xml:space="preserve"> </w:t>
      </w:r>
      <w:r w:rsidR="00770DE1" w:rsidRPr="002029AF">
        <w:t>violence</w:t>
      </w:r>
      <w:r w:rsidR="000A5329" w:rsidRPr="002029AF">
        <w:t xml:space="preserve"> </w:t>
      </w:r>
      <w:r w:rsidR="00770DE1" w:rsidRPr="002029AF">
        <w:t>and</w:t>
      </w:r>
      <w:r w:rsidR="000A5329" w:rsidRPr="002029AF">
        <w:t xml:space="preserve"> </w:t>
      </w:r>
      <w:r w:rsidR="00770DE1" w:rsidRPr="002029AF">
        <w:t>violence</w:t>
      </w:r>
      <w:r w:rsidR="000A5329" w:rsidRPr="002029AF">
        <w:t xml:space="preserve"> </w:t>
      </w:r>
      <w:r w:rsidR="00770DE1" w:rsidRPr="002029AF">
        <w:t>against</w:t>
      </w:r>
      <w:r w:rsidR="000A5329" w:rsidRPr="002029AF">
        <w:t xml:space="preserve"> </w:t>
      </w:r>
      <w:r w:rsidR="00770DE1" w:rsidRPr="002029AF">
        <w:t>women</w:t>
      </w:r>
      <w:r w:rsidR="000A5329" w:rsidRPr="002029AF">
        <w:t xml:space="preserve"> </w:t>
      </w:r>
      <w:r w:rsidR="002B11DA" w:rsidRPr="002029AF">
        <w:t>in</w:t>
      </w:r>
      <w:r w:rsidR="000A5329" w:rsidRPr="002029AF">
        <w:t xml:space="preserve"> </w:t>
      </w:r>
      <w:r w:rsidR="002B11DA" w:rsidRPr="002029AF">
        <w:t>general</w:t>
      </w:r>
      <w:r w:rsidR="00770DE1" w:rsidRPr="002029AF">
        <w:t>.</w:t>
      </w:r>
    </w:p>
    <w:p w14:paraId="46D16C6D" w14:textId="6B09F8D3" w:rsidR="00770DE1" w:rsidRPr="002029AF" w:rsidRDefault="00770DE1" w:rsidP="00C22356">
      <w:pPr>
        <w:pStyle w:val="Heading3"/>
      </w:pPr>
      <w:bookmarkStart w:id="8" w:name="_Ref51850623"/>
      <w:r w:rsidRPr="002029AF">
        <w:t>Our</w:t>
      </w:r>
      <w:r w:rsidR="000A5329" w:rsidRPr="002029AF">
        <w:t xml:space="preserve"> </w:t>
      </w:r>
      <w:r w:rsidRPr="002029AF">
        <w:t>services</w:t>
      </w:r>
      <w:bookmarkEnd w:id="8"/>
    </w:p>
    <w:p w14:paraId="6B395C4D" w14:textId="77777777" w:rsidR="00770DE1" w:rsidRPr="002029AF" w:rsidRDefault="00770DE1" w:rsidP="00C22356">
      <w:pPr>
        <w:pStyle w:val="Heading4"/>
      </w:pPr>
      <w:r w:rsidRPr="002029AF">
        <w:t>Disability</w:t>
      </w:r>
    </w:p>
    <w:p w14:paraId="1296D37C" w14:textId="2E1286D3" w:rsidR="00770DE1" w:rsidRPr="002029AF" w:rsidRDefault="00770DE1" w:rsidP="00D271CB">
      <w:pPr>
        <w:pStyle w:val="ARbody"/>
      </w:pPr>
      <w:r w:rsidRPr="002029AF">
        <w:t>The</w:t>
      </w:r>
      <w:r w:rsidR="000A5329" w:rsidRPr="002029AF">
        <w:t xml:space="preserve"> </w:t>
      </w:r>
      <w:r w:rsidRPr="002029AF">
        <w:t>department</w:t>
      </w:r>
      <w:r w:rsidR="000A5329" w:rsidRPr="002029AF">
        <w:t xml:space="preserve"> </w:t>
      </w:r>
      <w:r w:rsidRPr="002029AF">
        <w:t>works</w:t>
      </w:r>
      <w:r w:rsidR="000A5329" w:rsidRPr="002029AF">
        <w:t xml:space="preserve"> </w:t>
      </w:r>
      <w:r w:rsidRPr="002029AF">
        <w:t>in</w:t>
      </w:r>
      <w:r w:rsidR="000A5329" w:rsidRPr="002029AF">
        <w:t xml:space="preserve"> </w:t>
      </w:r>
      <w:r w:rsidRPr="002029AF">
        <w:t>partnership</w:t>
      </w:r>
      <w:r w:rsidR="000A5329" w:rsidRPr="002029AF">
        <w:t xml:space="preserve"> </w:t>
      </w:r>
      <w:r w:rsidRPr="002029AF">
        <w:t>with</w:t>
      </w:r>
      <w:r w:rsidR="000A5329" w:rsidRPr="002029AF">
        <w:t xml:space="preserve"> </w:t>
      </w:r>
      <w:r w:rsidRPr="002029AF">
        <w:t>people</w:t>
      </w:r>
      <w:r w:rsidR="000A5329" w:rsidRPr="002029AF">
        <w:t xml:space="preserve"> </w:t>
      </w:r>
      <w:r w:rsidRPr="002029AF">
        <w:t>with</w:t>
      </w:r>
      <w:r w:rsidR="000A5329" w:rsidRPr="002029AF">
        <w:t xml:space="preserve"> </w:t>
      </w:r>
      <w:r w:rsidRPr="002029AF">
        <w:t>a</w:t>
      </w:r>
      <w:r w:rsidR="000A5329" w:rsidRPr="002029AF">
        <w:t xml:space="preserve"> </w:t>
      </w:r>
      <w:r w:rsidRPr="002029AF">
        <w:t>disability,</w:t>
      </w:r>
      <w:r w:rsidR="000A5329" w:rsidRPr="002029AF">
        <w:t xml:space="preserve"> </w:t>
      </w:r>
      <w:r w:rsidRPr="002029AF">
        <w:t>their</w:t>
      </w:r>
      <w:r w:rsidR="000A5329" w:rsidRPr="002029AF">
        <w:t xml:space="preserve"> </w:t>
      </w:r>
      <w:r w:rsidRPr="002029AF">
        <w:t>families</w:t>
      </w:r>
      <w:r w:rsidR="000A5329" w:rsidRPr="002029AF">
        <w:t xml:space="preserve"> </w:t>
      </w:r>
      <w:r w:rsidRPr="002029AF">
        <w:t>and</w:t>
      </w:r>
      <w:r w:rsidR="000A5329" w:rsidRPr="002029AF">
        <w:t xml:space="preserve"> </w:t>
      </w:r>
      <w:r w:rsidRPr="002029AF">
        <w:t>carers</w:t>
      </w:r>
      <w:r w:rsidR="000A5329" w:rsidRPr="002029AF">
        <w:t xml:space="preserve"> </w:t>
      </w:r>
      <w:r w:rsidRPr="002029AF">
        <w:t>to</w:t>
      </w:r>
      <w:r w:rsidR="000A5329" w:rsidRPr="002029AF">
        <w:t xml:space="preserve"> </w:t>
      </w:r>
      <w:r w:rsidRPr="002029AF">
        <w:t>achieve</w:t>
      </w:r>
      <w:r w:rsidR="000A5329" w:rsidRPr="002029AF">
        <w:t xml:space="preserve"> </w:t>
      </w:r>
      <w:r w:rsidRPr="002029AF">
        <w:t>greater</w:t>
      </w:r>
      <w:r w:rsidR="000A5329" w:rsidRPr="002029AF">
        <w:t xml:space="preserve"> </w:t>
      </w:r>
      <w:r w:rsidRPr="002029AF">
        <w:t>inclusion</w:t>
      </w:r>
      <w:r w:rsidR="000A5329" w:rsidRPr="002029AF">
        <w:t xml:space="preserve"> </w:t>
      </w:r>
      <w:r w:rsidRPr="002029AF">
        <w:t>and</w:t>
      </w:r>
      <w:r w:rsidR="000A5329" w:rsidRPr="002029AF">
        <w:t xml:space="preserve"> </w:t>
      </w:r>
      <w:r w:rsidRPr="002029AF">
        <w:t>improve</w:t>
      </w:r>
      <w:r w:rsidR="000A5329" w:rsidRPr="002029AF">
        <w:t xml:space="preserve"> </w:t>
      </w:r>
      <w:r w:rsidRPr="002029AF">
        <w:t>their</w:t>
      </w:r>
      <w:r w:rsidR="000A5329" w:rsidRPr="002029AF">
        <w:t xml:space="preserve"> </w:t>
      </w:r>
      <w:r w:rsidRPr="002029AF">
        <w:t>quality</w:t>
      </w:r>
      <w:r w:rsidR="000A5329" w:rsidRPr="002029AF">
        <w:t xml:space="preserve"> </w:t>
      </w:r>
      <w:r w:rsidRPr="002029AF">
        <w:t>of</w:t>
      </w:r>
      <w:r w:rsidR="000A5329" w:rsidRPr="002029AF">
        <w:t xml:space="preserve"> </w:t>
      </w:r>
      <w:r w:rsidRPr="002029AF">
        <w:t>life</w:t>
      </w:r>
      <w:r w:rsidR="000A5329" w:rsidRPr="002029AF">
        <w:t xml:space="preserve"> </w:t>
      </w:r>
      <w:r w:rsidRPr="002029AF">
        <w:t>by</w:t>
      </w:r>
      <w:r w:rsidR="000A5329" w:rsidRPr="002029AF">
        <w:t xml:space="preserve"> </w:t>
      </w:r>
      <w:r w:rsidRPr="002029AF">
        <w:t>providing</w:t>
      </w:r>
      <w:r w:rsidR="000A5329" w:rsidRPr="002029AF">
        <w:t xml:space="preserve"> </w:t>
      </w:r>
      <w:r w:rsidRPr="002029AF">
        <w:t>a</w:t>
      </w:r>
      <w:r w:rsidR="000A5329" w:rsidRPr="002029AF">
        <w:t xml:space="preserve"> </w:t>
      </w:r>
      <w:r w:rsidRPr="002029AF">
        <w:t>broad</w:t>
      </w:r>
      <w:r w:rsidR="000A5329" w:rsidRPr="002029AF">
        <w:t xml:space="preserve"> </w:t>
      </w:r>
      <w:r w:rsidRPr="002029AF">
        <w:t>range</w:t>
      </w:r>
      <w:r w:rsidR="000A5329" w:rsidRPr="002029AF">
        <w:t xml:space="preserve"> </w:t>
      </w:r>
      <w:r w:rsidRPr="002029AF">
        <w:t>of</w:t>
      </w:r>
      <w:r w:rsidR="000A5329" w:rsidRPr="002029AF">
        <w:t xml:space="preserve"> </w:t>
      </w:r>
      <w:r w:rsidRPr="002029AF">
        <w:t>supports</w:t>
      </w:r>
      <w:r w:rsidR="000A5329" w:rsidRPr="002029AF">
        <w:t xml:space="preserve"> </w:t>
      </w:r>
      <w:r w:rsidRPr="002029AF">
        <w:t>and</w:t>
      </w:r>
      <w:r w:rsidR="000A5329" w:rsidRPr="002029AF">
        <w:t xml:space="preserve"> </w:t>
      </w:r>
      <w:r w:rsidRPr="002029AF">
        <w:t>community</w:t>
      </w:r>
      <w:r w:rsidR="000A5329" w:rsidRPr="002029AF">
        <w:t xml:space="preserve"> </w:t>
      </w:r>
      <w:r w:rsidRPr="002029AF">
        <w:t>services.</w:t>
      </w:r>
      <w:r w:rsidR="000A5329" w:rsidRPr="002029AF">
        <w:t xml:space="preserve"> </w:t>
      </w:r>
      <w:r w:rsidRPr="002029AF">
        <w:t>The</w:t>
      </w:r>
      <w:r w:rsidR="000A5329" w:rsidRPr="002029AF">
        <w:t xml:space="preserve"> </w:t>
      </w:r>
      <w:r w:rsidRPr="002029AF">
        <w:rPr>
          <w:i/>
          <w:iCs/>
        </w:rPr>
        <w:t>Absolutely</w:t>
      </w:r>
      <w:r w:rsidR="000A5329" w:rsidRPr="002029AF">
        <w:rPr>
          <w:i/>
          <w:iCs/>
        </w:rPr>
        <w:t xml:space="preserve"> </w:t>
      </w:r>
      <w:r w:rsidRPr="002029AF">
        <w:rPr>
          <w:i/>
          <w:iCs/>
        </w:rPr>
        <w:t>everyone:</w:t>
      </w:r>
      <w:r w:rsidR="000A5329" w:rsidRPr="002029AF">
        <w:rPr>
          <w:i/>
          <w:iCs/>
        </w:rPr>
        <w:t xml:space="preserve"> </w:t>
      </w:r>
      <w:r w:rsidRPr="002029AF">
        <w:rPr>
          <w:i/>
          <w:iCs/>
        </w:rPr>
        <w:t>state</w:t>
      </w:r>
      <w:r w:rsidR="000A5329" w:rsidRPr="002029AF">
        <w:rPr>
          <w:i/>
          <w:iCs/>
        </w:rPr>
        <w:t xml:space="preserve"> </w:t>
      </w:r>
      <w:r w:rsidRPr="002029AF">
        <w:rPr>
          <w:i/>
          <w:iCs/>
        </w:rPr>
        <w:t>disability</w:t>
      </w:r>
      <w:r w:rsidR="000A5329" w:rsidRPr="002029AF">
        <w:rPr>
          <w:i/>
          <w:iCs/>
        </w:rPr>
        <w:t xml:space="preserve"> </w:t>
      </w:r>
      <w:r w:rsidRPr="002029AF">
        <w:rPr>
          <w:i/>
          <w:iCs/>
        </w:rPr>
        <w:t>plan</w:t>
      </w:r>
      <w:r w:rsidR="000A5329" w:rsidRPr="002029AF">
        <w:rPr>
          <w:i/>
          <w:iCs/>
        </w:rPr>
        <w:t xml:space="preserve"> </w:t>
      </w:r>
      <w:r w:rsidRPr="002029AF">
        <w:rPr>
          <w:i/>
          <w:iCs/>
        </w:rPr>
        <w:t>2017–2020</w:t>
      </w:r>
      <w:r w:rsidR="000A5329" w:rsidRPr="002029AF">
        <w:t xml:space="preserve"> </w:t>
      </w:r>
      <w:r w:rsidRPr="002029AF">
        <w:t>was</w:t>
      </w:r>
      <w:r w:rsidR="000A5329" w:rsidRPr="002029AF">
        <w:t xml:space="preserve"> </w:t>
      </w:r>
      <w:r w:rsidRPr="002029AF">
        <w:t>created</w:t>
      </w:r>
      <w:r w:rsidR="000A5329" w:rsidRPr="002029AF">
        <w:t xml:space="preserve"> </w:t>
      </w:r>
      <w:r w:rsidRPr="002029AF">
        <w:t>in</w:t>
      </w:r>
      <w:r w:rsidR="000A5329" w:rsidRPr="002029AF">
        <w:t xml:space="preserve"> </w:t>
      </w:r>
      <w:r w:rsidRPr="002029AF">
        <w:t>consultation</w:t>
      </w:r>
      <w:r w:rsidR="000A5329" w:rsidRPr="002029AF">
        <w:t xml:space="preserve"> </w:t>
      </w:r>
      <w:r w:rsidRPr="002029AF">
        <w:t>with</w:t>
      </w:r>
      <w:r w:rsidR="000A5329" w:rsidRPr="002029AF">
        <w:t xml:space="preserve"> </w:t>
      </w:r>
      <w:r w:rsidRPr="002029AF">
        <w:t>people</w:t>
      </w:r>
      <w:r w:rsidR="000A5329" w:rsidRPr="002029AF">
        <w:t xml:space="preserve"> </w:t>
      </w:r>
      <w:r w:rsidRPr="002029AF">
        <w:t>with</w:t>
      </w:r>
      <w:r w:rsidR="000A5329" w:rsidRPr="002029AF">
        <w:t xml:space="preserve"> </w:t>
      </w:r>
      <w:r w:rsidRPr="002029AF">
        <w:t>disability.</w:t>
      </w:r>
    </w:p>
    <w:p w14:paraId="3F3C09E6" w14:textId="655AF517" w:rsidR="00770DE1" w:rsidRPr="002029AF" w:rsidRDefault="002A1ADF" w:rsidP="00D271CB">
      <w:pPr>
        <w:pStyle w:val="ARbody"/>
      </w:pPr>
      <w:r w:rsidRPr="002029AF">
        <w:t>The</w:t>
      </w:r>
      <w:r w:rsidR="000A5329" w:rsidRPr="002029AF">
        <w:t xml:space="preserve"> </w:t>
      </w:r>
      <w:r w:rsidRPr="002029AF">
        <w:t>plan</w:t>
      </w:r>
      <w:r w:rsidR="000A5329" w:rsidRPr="002029AF">
        <w:t xml:space="preserve"> </w:t>
      </w:r>
      <w:r w:rsidR="00770DE1" w:rsidRPr="002029AF">
        <w:t>commits</w:t>
      </w:r>
      <w:r w:rsidR="000A5329" w:rsidRPr="002029AF">
        <w:t xml:space="preserve"> </w:t>
      </w:r>
      <w:r w:rsidR="00770DE1" w:rsidRPr="002029AF">
        <w:t>the</w:t>
      </w:r>
      <w:r w:rsidR="000A5329" w:rsidRPr="002029AF">
        <w:t xml:space="preserve"> </w:t>
      </w:r>
      <w:r w:rsidR="00770DE1" w:rsidRPr="002029AF">
        <w:t>department</w:t>
      </w:r>
      <w:r w:rsidR="000A5329" w:rsidRPr="002029AF">
        <w:t xml:space="preserve"> </w:t>
      </w:r>
      <w:r w:rsidR="00770DE1" w:rsidRPr="002029AF">
        <w:t>to</w:t>
      </w:r>
      <w:r w:rsidR="000A5329" w:rsidRPr="002029AF">
        <w:t xml:space="preserve"> </w:t>
      </w:r>
      <w:r w:rsidR="00770DE1" w:rsidRPr="002029AF">
        <w:t>actions</w:t>
      </w:r>
      <w:r w:rsidR="000A5329" w:rsidRPr="002029AF">
        <w:t xml:space="preserve"> </w:t>
      </w:r>
      <w:r w:rsidR="00770DE1" w:rsidRPr="002029AF">
        <w:t>that</w:t>
      </w:r>
      <w:r w:rsidR="000A5329" w:rsidRPr="002029AF">
        <w:t xml:space="preserve"> </w:t>
      </w:r>
      <w:r w:rsidR="00770DE1" w:rsidRPr="002029AF">
        <w:t>will</w:t>
      </w:r>
      <w:r w:rsidR="000A5329" w:rsidRPr="002029AF">
        <w:t xml:space="preserve"> </w:t>
      </w:r>
      <w:r w:rsidR="00770DE1" w:rsidRPr="002029AF">
        <w:t>build</w:t>
      </w:r>
      <w:r w:rsidR="000A5329" w:rsidRPr="002029AF">
        <w:t xml:space="preserve"> </w:t>
      </w:r>
      <w:r w:rsidR="00770DE1" w:rsidRPr="002029AF">
        <w:t>inclusive</w:t>
      </w:r>
      <w:r w:rsidR="000A5329" w:rsidRPr="002029AF">
        <w:t xml:space="preserve"> </w:t>
      </w:r>
      <w:r w:rsidR="00770DE1" w:rsidRPr="002029AF">
        <w:t>communities</w:t>
      </w:r>
      <w:r w:rsidR="000A5329" w:rsidRPr="002029AF">
        <w:t xml:space="preserve"> </w:t>
      </w:r>
      <w:r w:rsidR="00770DE1" w:rsidRPr="002029AF">
        <w:t>and</w:t>
      </w:r>
      <w:r w:rsidR="000A5329" w:rsidRPr="002029AF">
        <w:t xml:space="preserve"> </w:t>
      </w:r>
      <w:r w:rsidR="00770DE1" w:rsidRPr="002029AF">
        <w:t>help</w:t>
      </w:r>
      <w:r w:rsidR="000A5329" w:rsidRPr="002029AF">
        <w:t xml:space="preserve"> </w:t>
      </w:r>
      <w:r w:rsidR="00770DE1" w:rsidRPr="002029AF">
        <w:t>increase</w:t>
      </w:r>
      <w:r w:rsidR="000A5329" w:rsidRPr="002029AF">
        <w:t xml:space="preserve"> </w:t>
      </w:r>
      <w:r w:rsidR="00770DE1" w:rsidRPr="002029AF">
        <w:t>access</w:t>
      </w:r>
      <w:r w:rsidR="000A5329" w:rsidRPr="002029AF">
        <w:t xml:space="preserve"> </w:t>
      </w:r>
      <w:r w:rsidR="00770DE1" w:rsidRPr="002029AF">
        <w:t>to</w:t>
      </w:r>
      <w:r w:rsidR="000A5329" w:rsidRPr="002029AF">
        <w:t xml:space="preserve"> </w:t>
      </w:r>
      <w:r w:rsidR="00770DE1" w:rsidRPr="002029AF">
        <w:t>affordable</w:t>
      </w:r>
      <w:r w:rsidR="000A5329" w:rsidRPr="002029AF">
        <w:t xml:space="preserve"> </w:t>
      </w:r>
      <w:r w:rsidR="00770DE1" w:rsidRPr="002029AF">
        <w:t>housing,</w:t>
      </w:r>
      <w:r w:rsidR="000A5329" w:rsidRPr="002029AF">
        <w:t xml:space="preserve"> </w:t>
      </w:r>
      <w:r w:rsidR="00770DE1" w:rsidRPr="002029AF">
        <w:t>public</w:t>
      </w:r>
      <w:r w:rsidR="000A5329" w:rsidRPr="002029AF">
        <w:t xml:space="preserve"> </w:t>
      </w:r>
      <w:r w:rsidR="00770DE1" w:rsidRPr="002029AF">
        <w:t>transport,</w:t>
      </w:r>
      <w:r w:rsidR="000A5329" w:rsidRPr="002029AF">
        <w:t xml:space="preserve"> </w:t>
      </w:r>
      <w:r w:rsidR="00770DE1" w:rsidRPr="002029AF">
        <w:t>schools</w:t>
      </w:r>
      <w:r w:rsidR="000A5329" w:rsidRPr="002029AF">
        <w:t xml:space="preserve"> </w:t>
      </w:r>
      <w:r w:rsidR="00770DE1" w:rsidRPr="002029AF">
        <w:t>and</w:t>
      </w:r>
      <w:r w:rsidR="000A5329" w:rsidRPr="002029AF">
        <w:t xml:space="preserve"> </w:t>
      </w:r>
      <w:r w:rsidR="00770DE1" w:rsidRPr="002029AF">
        <w:t>jobs.</w:t>
      </w:r>
    </w:p>
    <w:p w14:paraId="7D548BD3" w14:textId="030BE6CD" w:rsidR="00770DE1" w:rsidRPr="002029AF" w:rsidRDefault="00770DE1" w:rsidP="00D271CB">
      <w:pPr>
        <w:pStyle w:val="ARbody"/>
      </w:pPr>
      <w:r w:rsidRPr="002029AF">
        <w:t>One</w:t>
      </w:r>
      <w:r w:rsidR="000A5329" w:rsidRPr="002029AF">
        <w:t xml:space="preserve"> </w:t>
      </w:r>
      <w:r w:rsidRPr="002029AF">
        <w:t>of</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key</w:t>
      </w:r>
      <w:r w:rsidR="000A5329" w:rsidRPr="002029AF">
        <w:t xml:space="preserve"> </w:t>
      </w:r>
      <w:r w:rsidRPr="002029AF">
        <w:t>priorities</w:t>
      </w:r>
      <w:r w:rsidR="000A5329" w:rsidRPr="002029AF">
        <w:t xml:space="preserve"> </w:t>
      </w:r>
      <w:r w:rsidRPr="002029AF">
        <w:t>is</w:t>
      </w:r>
      <w:r w:rsidR="000A5329" w:rsidRPr="002029AF">
        <w:t xml:space="preserve"> </w:t>
      </w:r>
      <w:r w:rsidRPr="002029AF">
        <w:t>managing</w:t>
      </w:r>
      <w:r w:rsidR="000A5329" w:rsidRPr="002029AF">
        <w:t xml:space="preserve"> </w:t>
      </w:r>
      <w:r w:rsidRPr="002029AF">
        <w:t>the</w:t>
      </w:r>
      <w:r w:rsidR="000A5329" w:rsidRPr="002029AF">
        <w:t xml:space="preserve"> </w:t>
      </w:r>
      <w:r w:rsidRPr="002029AF">
        <w:t>implementation</w:t>
      </w:r>
      <w:r w:rsidR="000A5329" w:rsidRPr="002029AF">
        <w:t xml:space="preserve"> </w:t>
      </w:r>
      <w:r w:rsidRPr="002029AF">
        <w:t>of</w:t>
      </w:r>
      <w:r w:rsidR="000A5329" w:rsidRPr="002029AF">
        <w:t xml:space="preserve"> </w:t>
      </w:r>
      <w:r w:rsidRPr="002029AF">
        <w:t>the</w:t>
      </w:r>
      <w:r w:rsidR="000A5329" w:rsidRPr="002029AF">
        <w:t xml:space="preserve"> </w:t>
      </w:r>
      <w:r w:rsidRPr="002029AF">
        <w:t>National</w:t>
      </w:r>
      <w:r w:rsidR="000A5329" w:rsidRPr="002029AF">
        <w:t xml:space="preserve"> </w:t>
      </w:r>
      <w:r w:rsidRPr="002029AF">
        <w:t>Disability</w:t>
      </w:r>
      <w:r w:rsidR="000A5329" w:rsidRPr="002029AF">
        <w:t xml:space="preserve"> </w:t>
      </w:r>
      <w:r w:rsidRPr="002029AF">
        <w:t>Insurance</w:t>
      </w:r>
      <w:r w:rsidR="000A5329" w:rsidRPr="002029AF">
        <w:t xml:space="preserve"> </w:t>
      </w:r>
      <w:r w:rsidRPr="002029AF">
        <w:t>Scheme</w:t>
      </w:r>
      <w:r w:rsidR="000A5329" w:rsidRPr="002029AF">
        <w:t xml:space="preserve"> </w:t>
      </w:r>
      <w:r w:rsidRPr="002029AF">
        <w:t>(NDIS)</w:t>
      </w:r>
      <w:r w:rsidR="000A5329" w:rsidRPr="002029AF">
        <w:t xml:space="preserve"> </w:t>
      </w:r>
      <w:r w:rsidRPr="002029AF">
        <w:t>and</w:t>
      </w:r>
      <w:r w:rsidR="000A5329" w:rsidRPr="002029AF">
        <w:t xml:space="preserve"> </w:t>
      </w:r>
      <w:r w:rsidRPr="002029AF">
        <w:t>its</w:t>
      </w:r>
      <w:r w:rsidR="000A5329" w:rsidRPr="002029AF">
        <w:t xml:space="preserve"> </w:t>
      </w:r>
      <w:r w:rsidRPr="002029AF">
        <w:t>interface</w:t>
      </w:r>
      <w:r w:rsidR="000A5329" w:rsidRPr="002029AF">
        <w:t xml:space="preserve"> </w:t>
      </w:r>
      <w:r w:rsidRPr="002029AF">
        <w:t>with</w:t>
      </w:r>
      <w:r w:rsidR="000A5329" w:rsidRPr="002029AF">
        <w:t xml:space="preserve"> </w:t>
      </w:r>
      <w:r w:rsidRPr="002029AF">
        <w:t>the</w:t>
      </w:r>
      <w:r w:rsidR="009950F3">
        <w:t> </w:t>
      </w:r>
      <w:r w:rsidRPr="002029AF">
        <w:t>health</w:t>
      </w:r>
      <w:r w:rsidR="000A5329" w:rsidRPr="002029AF">
        <w:t xml:space="preserve"> </w:t>
      </w:r>
      <w:r w:rsidRPr="002029AF">
        <w:t>services</w:t>
      </w:r>
      <w:r w:rsidR="000A5329" w:rsidRPr="002029AF">
        <w:t xml:space="preserve"> </w:t>
      </w:r>
      <w:r w:rsidRPr="002029AF">
        <w:t>system,</w:t>
      </w:r>
      <w:r w:rsidR="000A5329" w:rsidRPr="002029AF">
        <w:t xml:space="preserve"> </w:t>
      </w:r>
      <w:r w:rsidRPr="002029AF">
        <w:t>child</w:t>
      </w:r>
      <w:r w:rsidR="000A5329" w:rsidRPr="002029AF">
        <w:t xml:space="preserve"> </w:t>
      </w:r>
      <w:r w:rsidRPr="002029AF">
        <w:t>protection</w:t>
      </w:r>
      <w:r w:rsidR="000A5329" w:rsidRPr="002029AF">
        <w:t xml:space="preserve"> </w:t>
      </w:r>
      <w:r w:rsidRPr="002029AF">
        <w:t>and</w:t>
      </w:r>
      <w:r w:rsidR="000A5329" w:rsidRPr="002029AF">
        <w:t xml:space="preserve"> </w:t>
      </w:r>
      <w:r w:rsidRPr="002029AF">
        <w:t>housing.</w:t>
      </w:r>
      <w:r w:rsidR="000A5329" w:rsidRPr="002029AF">
        <w:t xml:space="preserve"> </w:t>
      </w:r>
      <w:r w:rsidRPr="002029AF">
        <w:t>The</w:t>
      </w:r>
      <w:r w:rsidR="000A5329" w:rsidRPr="002029AF">
        <w:t xml:space="preserve"> </w:t>
      </w:r>
      <w:r w:rsidRPr="002029AF">
        <w:t>NDIS</w:t>
      </w:r>
      <w:r w:rsidR="000A5329" w:rsidRPr="002029AF">
        <w:t xml:space="preserve"> </w:t>
      </w:r>
      <w:r w:rsidR="003638CF" w:rsidRPr="002029AF">
        <w:t>represents</w:t>
      </w:r>
      <w:r w:rsidR="000A5329" w:rsidRPr="002029AF">
        <w:t xml:space="preserve"> </w:t>
      </w:r>
      <w:r w:rsidRPr="002029AF">
        <w:t>a</w:t>
      </w:r>
      <w:r w:rsidR="000A5329" w:rsidRPr="002029AF">
        <w:t xml:space="preserve"> </w:t>
      </w:r>
      <w:r w:rsidRPr="002029AF">
        <w:t>profound</w:t>
      </w:r>
      <w:r w:rsidR="000A5329" w:rsidRPr="002029AF">
        <w:t xml:space="preserve"> </w:t>
      </w:r>
      <w:r w:rsidRPr="002029AF">
        <w:t>change</w:t>
      </w:r>
      <w:r w:rsidR="000A5329" w:rsidRPr="002029AF">
        <w:t xml:space="preserve"> </w:t>
      </w:r>
      <w:r w:rsidRPr="002029AF">
        <w:t>in</w:t>
      </w:r>
      <w:r w:rsidR="000A5329" w:rsidRPr="002029AF">
        <w:t xml:space="preserve"> </w:t>
      </w:r>
      <w:r w:rsidRPr="002029AF">
        <w:t>the</w:t>
      </w:r>
      <w:r w:rsidR="000A5329" w:rsidRPr="002029AF">
        <w:t xml:space="preserve"> </w:t>
      </w:r>
      <w:r w:rsidRPr="002029AF">
        <w:t>way</w:t>
      </w:r>
      <w:r w:rsidR="000A5329" w:rsidRPr="002029AF">
        <w:t xml:space="preserve"> </w:t>
      </w:r>
      <w:r w:rsidRPr="002029AF">
        <w:t>disability</w:t>
      </w:r>
      <w:r w:rsidR="000A5329" w:rsidRPr="002029AF">
        <w:t xml:space="preserve"> </w:t>
      </w:r>
      <w:r w:rsidRPr="002029AF">
        <w:t>services</w:t>
      </w:r>
      <w:r w:rsidR="000A5329" w:rsidRPr="002029AF">
        <w:t xml:space="preserve"> </w:t>
      </w:r>
      <w:r w:rsidRPr="002029AF">
        <w:t>are</w:t>
      </w:r>
      <w:r w:rsidR="000A5329" w:rsidRPr="002029AF">
        <w:t xml:space="preserve"> </w:t>
      </w:r>
      <w:r w:rsidRPr="002029AF">
        <w:t>delivered,</w:t>
      </w:r>
      <w:r w:rsidR="000A5329" w:rsidRPr="002029AF">
        <w:t xml:space="preserve"> </w:t>
      </w:r>
      <w:r w:rsidRPr="002029AF">
        <w:t>and</w:t>
      </w:r>
      <w:r w:rsidR="000A5329" w:rsidRPr="002029AF">
        <w:t xml:space="preserve"> </w:t>
      </w:r>
      <w:r w:rsidRPr="002029AF">
        <w:t>Victoria</w:t>
      </w:r>
      <w:r w:rsidR="000A5329" w:rsidRPr="002029AF">
        <w:t xml:space="preserve"> </w:t>
      </w:r>
      <w:r w:rsidRPr="002029AF">
        <w:t>has</w:t>
      </w:r>
      <w:r w:rsidR="000A5329" w:rsidRPr="002029AF">
        <w:t xml:space="preserve"> </w:t>
      </w:r>
      <w:r w:rsidRPr="002029AF">
        <w:t>been</w:t>
      </w:r>
      <w:r w:rsidR="000A5329" w:rsidRPr="002029AF">
        <w:t xml:space="preserve"> </w:t>
      </w:r>
      <w:r w:rsidRPr="002029AF">
        <w:t>transitioning</w:t>
      </w:r>
      <w:r w:rsidR="000A5329" w:rsidRPr="002029AF">
        <w:t xml:space="preserve"> </w:t>
      </w:r>
      <w:r w:rsidRPr="002029AF">
        <w:t>to</w:t>
      </w:r>
      <w:r w:rsidR="000A5329" w:rsidRPr="002029AF">
        <w:t xml:space="preserve"> </w:t>
      </w:r>
      <w:r w:rsidRPr="002029AF">
        <w:t>the</w:t>
      </w:r>
      <w:r w:rsidR="000A5329" w:rsidRPr="002029AF">
        <w:t xml:space="preserve"> </w:t>
      </w:r>
      <w:r w:rsidRPr="002029AF">
        <w:t>NDIS</w:t>
      </w:r>
      <w:r w:rsidR="000A5329" w:rsidRPr="002029AF">
        <w:t xml:space="preserve"> </w:t>
      </w:r>
      <w:r w:rsidRPr="002029AF">
        <w:t>since</w:t>
      </w:r>
      <w:r w:rsidR="000A5329" w:rsidRPr="002029AF">
        <w:t xml:space="preserve"> </w:t>
      </w:r>
      <w:r w:rsidRPr="002029AF">
        <w:t>2016–17.</w:t>
      </w:r>
    </w:p>
    <w:p w14:paraId="3C189E8F" w14:textId="77777777" w:rsidR="00D61015" w:rsidRPr="002029AF" w:rsidRDefault="00D61015" w:rsidP="00D61015">
      <w:pPr>
        <w:pStyle w:val="Heading4"/>
      </w:pPr>
      <w:r w:rsidRPr="002029AF">
        <w:t>Carers</w:t>
      </w:r>
    </w:p>
    <w:p w14:paraId="17879E81" w14:textId="77777777" w:rsidR="00D61015" w:rsidRPr="002029AF" w:rsidRDefault="00D61015" w:rsidP="00D61015">
      <w:pPr>
        <w:pStyle w:val="ARbody"/>
      </w:pPr>
      <w:r w:rsidRPr="002029AF">
        <w:t>Carers make an invaluable contribution to our community. They give their time, effort and love to car</w:t>
      </w:r>
      <w:r>
        <w:t>e</w:t>
      </w:r>
      <w:r w:rsidRPr="002029AF">
        <w:t xml:space="preserve"> for a family member, partner or friend who needs them.</w:t>
      </w:r>
    </w:p>
    <w:p w14:paraId="48D88A70" w14:textId="724CFB89" w:rsidR="00D61015" w:rsidRPr="002029AF" w:rsidRDefault="00D61015" w:rsidP="00D61015">
      <w:pPr>
        <w:pStyle w:val="ARbody"/>
      </w:pPr>
      <w:r w:rsidRPr="002029AF">
        <w:t>The department is working to improve the health and wellbeing of carers. In partnership with a range of community</w:t>
      </w:r>
      <w:r>
        <w:t xml:space="preserve"> organisations</w:t>
      </w:r>
      <w:r w:rsidRPr="002029AF">
        <w:t>, this includes providing access to respite, information and advice, financial services</w:t>
      </w:r>
      <w:r>
        <w:t xml:space="preserve">, </w:t>
      </w:r>
      <w:r w:rsidRPr="002029AF">
        <w:t>transport concessions and sponsoring support groups.</w:t>
      </w:r>
    </w:p>
    <w:p w14:paraId="3643C0C8" w14:textId="77777777" w:rsidR="00D61015" w:rsidRPr="002029AF" w:rsidRDefault="00D61015" w:rsidP="00D61015">
      <w:pPr>
        <w:pStyle w:val="Heading4"/>
      </w:pPr>
      <w:r w:rsidRPr="002029AF">
        <w:t>Ageing</w:t>
      </w:r>
    </w:p>
    <w:p w14:paraId="6047872E" w14:textId="77777777" w:rsidR="00D61015" w:rsidRPr="002029AF" w:rsidRDefault="00D61015" w:rsidP="00D61015">
      <w:pPr>
        <w:pStyle w:val="ARbody"/>
      </w:pPr>
      <w:r w:rsidRPr="002029AF">
        <w:t xml:space="preserve">The department supports the needs of Victoria’s ageing population, by creating opportunities for older people to maximise their health and </w:t>
      </w:r>
      <w:r w:rsidRPr="002029AF">
        <w:lastRenderedPageBreak/>
        <w:t>wellbeing</w:t>
      </w:r>
      <w:r>
        <w:t>,</w:t>
      </w:r>
      <w:r w:rsidRPr="002029AF">
        <w:t xml:space="preserve"> participate in society and activities they enjoy and remain engaged and connected in their communities.</w:t>
      </w:r>
    </w:p>
    <w:p w14:paraId="3319D756" w14:textId="77777777" w:rsidR="00D61015" w:rsidRPr="002029AF" w:rsidRDefault="00D61015" w:rsidP="00D61015">
      <w:pPr>
        <w:pStyle w:val="ARbody"/>
      </w:pPr>
      <w:r w:rsidRPr="002029AF">
        <w:t>The department’s role also includes providing timely access to supports and services that enable older people to remain independent for as long as possible. The department is also the system manager for the largest public sector residential aged care sector in Australia.</w:t>
      </w:r>
    </w:p>
    <w:p w14:paraId="0C8DB371" w14:textId="77777777" w:rsidR="00770DE1" w:rsidRPr="002029AF" w:rsidRDefault="00770DE1" w:rsidP="00C22356">
      <w:pPr>
        <w:pStyle w:val="Heading4"/>
      </w:pPr>
      <w:r w:rsidRPr="002029AF">
        <w:t>Health</w:t>
      </w:r>
    </w:p>
    <w:p w14:paraId="3329C09B" w14:textId="63BEE343" w:rsidR="00770DE1" w:rsidRPr="002029AF" w:rsidRDefault="00770DE1" w:rsidP="00D271CB">
      <w:pPr>
        <w:pStyle w:val="ARbody"/>
      </w:pPr>
      <w:r w:rsidRPr="002029AF">
        <w:t>The</w:t>
      </w:r>
      <w:r w:rsidR="000A5329" w:rsidRPr="002029AF">
        <w:t xml:space="preserve"> </w:t>
      </w:r>
      <w:r w:rsidRPr="002029AF">
        <w:t>health</w:t>
      </w:r>
      <w:r w:rsidR="000A5329" w:rsidRPr="002029AF">
        <w:t xml:space="preserve"> </w:t>
      </w:r>
      <w:r w:rsidRPr="002029AF">
        <w:t>system</w:t>
      </w:r>
      <w:r w:rsidR="000A5329" w:rsidRPr="002029AF">
        <w:t xml:space="preserve"> </w:t>
      </w:r>
      <w:r w:rsidRPr="002029AF">
        <w:t>provides</w:t>
      </w:r>
      <w:r w:rsidR="000A5329" w:rsidRPr="002029AF">
        <w:t xml:space="preserve"> </w:t>
      </w:r>
      <w:r w:rsidRPr="002029AF">
        <w:t>all</w:t>
      </w:r>
      <w:r w:rsidR="000A5329" w:rsidRPr="002029AF">
        <w:t xml:space="preserve"> </w:t>
      </w:r>
      <w:r w:rsidRPr="002029AF">
        <w:t>Victorians</w:t>
      </w:r>
      <w:r w:rsidR="000A5329" w:rsidRPr="002029AF">
        <w:t xml:space="preserve"> </w:t>
      </w:r>
      <w:r w:rsidRPr="002029AF">
        <w:t>with</w:t>
      </w:r>
      <w:r w:rsidR="000A5329" w:rsidRPr="002029AF">
        <w:t xml:space="preserve"> </w:t>
      </w:r>
      <w:r w:rsidRPr="002029AF">
        <w:t>public</w:t>
      </w:r>
      <w:r w:rsidR="000A5329" w:rsidRPr="002029AF">
        <w:t xml:space="preserve"> </w:t>
      </w:r>
      <w:r w:rsidRPr="002029AF">
        <w:t>services</w:t>
      </w:r>
      <w:r w:rsidR="000A5329" w:rsidRPr="002029AF">
        <w:t xml:space="preserve"> </w:t>
      </w:r>
      <w:r w:rsidRPr="002029AF">
        <w:t>to</w:t>
      </w:r>
      <w:r w:rsidR="000A5329" w:rsidRPr="002029AF">
        <w:t xml:space="preserve"> </w:t>
      </w:r>
      <w:r w:rsidRPr="002029AF">
        <w:t>address</w:t>
      </w:r>
      <w:r w:rsidR="000A5329" w:rsidRPr="002029AF">
        <w:t xml:space="preserve"> </w:t>
      </w:r>
      <w:r w:rsidRPr="002029AF">
        <w:t>their</w:t>
      </w:r>
      <w:r w:rsidR="000A5329" w:rsidRPr="002029AF">
        <w:t xml:space="preserve"> </w:t>
      </w:r>
      <w:r w:rsidRPr="002029AF">
        <w:t>health</w:t>
      </w:r>
      <w:r w:rsidR="000A5329" w:rsidRPr="002029AF">
        <w:t xml:space="preserve"> </w:t>
      </w:r>
      <w:r w:rsidRPr="002029AF">
        <w:t>needs.</w:t>
      </w:r>
      <w:r w:rsidR="000A5329" w:rsidRPr="002029AF">
        <w:t xml:space="preserve"> </w:t>
      </w:r>
      <w:r w:rsidRPr="002029AF">
        <w:t>The</w:t>
      </w:r>
      <w:r w:rsidR="00B97ABC" w:rsidRPr="002029AF">
        <w:t> </w:t>
      </w:r>
      <w:r w:rsidRPr="002029AF">
        <w:t>department</w:t>
      </w:r>
      <w:r w:rsidR="000A5329" w:rsidRPr="002029AF">
        <w:t xml:space="preserve"> </w:t>
      </w:r>
      <w:r w:rsidRPr="002029AF">
        <w:t>contributes</w:t>
      </w:r>
      <w:r w:rsidR="000A5329" w:rsidRPr="002029AF">
        <w:t xml:space="preserve"> </w:t>
      </w:r>
      <w:r w:rsidRPr="002029AF">
        <w:t>to</w:t>
      </w:r>
      <w:r w:rsidR="000A5329" w:rsidRPr="002029AF">
        <w:t xml:space="preserve"> </w:t>
      </w:r>
      <w:r w:rsidRPr="002029AF">
        <w:t>system</w:t>
      </w:r>
      <w:r w:rsidR="000A5329" w:rsidRPr="002029AF">
        <w:t xml:space="preserve"> </w:t>
      </w:r>
      <w:r w:rsidRPr="002029AF">
        <w:t>leadership,</w:t>
      </w:r>
      <w:r w:rsidR="000A5329" w:rsidRPr="002029AF">
        <w:t xml:space="preserve"> </w:t>
      </w:r>
      <w:r w:rsidRPr="002029AF">
        <w:t>policy,</w:t>
      </w:r>
      <w:r w:rsidR="000A5329" w:rsidRPr="002029AF">
        <w:t xml:space="preserve"> </w:t>
      </w:r>
      <w:r w:rsidRPr="002029AF">
        <w:t>advancing</w:t>
      </w:r>
      <w:r w:rsidR="000A5329" w:rsidRPr="002029AF">
        <w:t xml:space="preserve"> </w:t>
      </w:r>
      <w:r w:rsidRPr="002029AF">
        <w:t>quality</w:t>
      </w:r>
      <w:r w:rsidR="000A5329" w:rsidRPr="002029AF">
        <w:t xml:space="preserve"> </w:t>
      </w:r>
      <w:r w:rsidRPr="002029AF">
        <w:t>and</w:t>
      </w:r>
      <w:r w:rsidR="000A5329" w:rsidRPr="002029AF">
        <w:t xml:space="preserve"> </w:t>
      </w:r>
      <w:r w:rsidRPr="002029AF">
        <w:t>safety,</w:t>
      </w:r>
      <w:r w:rsidR="000A5329" w:rsidRPr="002029AF">
        <w:t xml:space="preserve"> </w:t>
      </w:r>
      <w:r w:rsidRPr="002029AF">
        <w:t>and</w:t>
      </w:r>
      <w:r w:rsidR="000A5329" w:rsidRPr="002029AF">
        <w:t xml:space="preserve"> </w:t>
      </w:r>
      <w:r w:rsidRPr="002029AF">
        <w:t>governance</w:t>
      </w:r>
      <w:r w:rsidR="000A5329" w:rsidRPr="002029AF">
        <w:t xml:space="preserve"> </w:t>
      </w:r>
      <w:r w:rsidRPr="002029AF">
        <w:t>responsibility</w:t>
      </w:r>
      <w:r w:rsidR="000A5329" w:rsidRPr="002029AF">
        <w:t xml:space="preserve"> </w:t>
      </w:r>
      <w:r w:rsidRPr="002029AF">
        <w:t>for</w:t>
      </w:r>
      <w:r w:rsidR="000A5329" w:rsidRPr="002029AF">
        <w:t xml:space="preserve"> </w:t>
      </w:r>
      <w:r w:rsidRPr="002029AF">
        <w:t>the</w:t>
      </w:r>
      <w:r w:rsidR="000A5329" w:rsidRPr="002029AF">
        <w:t xml:space="preserve"> </w:t>
      </w:r>
      <w:r w:rsidRPr="002029AF">
        <w:t>management</w:t>
      </w:r>
      <w:r w:rsidR="000A5329" w:rsidRPr="002029AF">
        <w:t xml:space="preserve"> </w:t>
      </w:r>
      <w:r w:rsidRPr="002029AF">
        <w:t>of</w:t>
      </w:r>
      <w:r w:rsidR="00B97ABC" w:rsidRPr="002029AF">
        <w:t> </w:t>
      </w:r>
      <w:r w:rsidRPr="002029AF">
        <w:t>the</w:t>
      </w:r>
      <w:r w:rsidR="000A5329" w:rsidRPr="002029AF">
        <w:t xml:space="preserve"> </w:t>
      </w:r>
      <w:r w:rsidRPr="002029AF">
        <w:t>public</w:t>
      </w:r>
      <w:r w:rsidR="000A5329" w:rsidRPr="002029AF">
        <w:t xml:space="preserve"> </w:t>
      </w:r>
      <w:r w:rsidRPr="002029AF">
        <w:t>health</w:t>
      </w:r>
      <w:r w:rsidR="000A5329" w:rsidRPr="002029AF">
        <w:t xml:space="preserve"> </w:t>
      </w:r>
      <w:r w:rsidRPr="002029AF">
        <w:t>system.</w:t>
      </w:r>
    </w:p>
    <w:p w14:paraId="63CEC9E1" w14:textId="4335A810" w:rsidR="00770DE1" w:rsidRPr="002029AF" w:rsidRDefault="00770DE1" w:rsidP="00D271CB">
      <w:pPr>
        <w:pStyle w:val="ARbody"/>
      </w:pPr>
      <w:r w:rsidRPr="002029AF">
        <w:t>Th</w:t>
      </w:r>
      <w:r w:rsidR="00C92F45" w:rsidRPr="002029AF">
        <w:t>ese</w:t>
      </w:r>
      <w:r w:rsidR="000A5329" w:rsidRPr="002029AF">
        <w:t xml:space="preserve"> </w:t>
      </w:r>
      <w:r w:rsidR="00C92F45" w:rsidRPr="002029AF">
        <w:t>contributions</w:t>
      </w:r>
      <w:r w:rsidR="000A5329" w:rsidRPr="002029AF">
        <w:t xml:space="preserve"> </w:t>
      </w:r>
      <w:r w:rsidRPr="002029AF">
        <w:t>include</w:t>
      </w:r>
      <w:r w:rsidR="000A5329" w:rsidRPr="002029AF">
        <w:t xml:space="preserve"> </w:t>
      </w:r>
      <w:r w:rsidRPr="002029AF">
        <w:t>responsibility</w:t>
      </w:r>
      <w:r w:rsidR="000A5329" w:rsidRPr="002029AF">
        <w:t xml:space="preserve"> </w:t>
      </w:r>
      <w:r w:rsidRPr="002029AF">
        <w:t>for</w:t>
      </w:r>
      <w:r w:rsidR="004F4D8C">
        <w:t> </w:t>
      </w:r>
      <w:r w:rsidRPr="002029AF">
        <w:t>funding,</w:t>
      </w:r>
      <w:r w:rsidR="000A5329" w:rsidRPr="002029AF">
        <w:t xml:space="preserve"> </w:t>
      </w:r>
      <w:r w:rsidRPr="002029AF">
        <w:t>performance</w:t>
      </w:r>
      <w:r w:rsidR="000A5329" w:rsidRPr="002029AF">
        <w:t xml:space="preserve"> </w:t>
      </w:r>
      <w:r w:rsidRPr="002029AF">
        <w:t>monitoring</w:t>
      </w:r>
      <w:r w:rsidR="000A5329" w:rsidRPr="002029AF">
        <w:t xml:space="preserve"> </w:t>
      </w:r>
      <w:r w:rsidRPr="002029AF">
        <w:t>and</w:t>
      </w:r>
      <w:r w:rsidR="000A5329" w:rsidRPr="002029AF">
        <w:t xml:space="preserve"> </w:t>
      </w:r>
      <w:r w:rsidRPr="002029AF">
        <w:t>accountability,</w:t>
      </w:r>
      <w:r w:rsidR="000A5329" w:rsidRPr="002029AF">
        <w:t xml:space="preserve"> </w:t>
      </w:r>
      <w:r w:rsidRPr="002029AF">
        <w:t>strategic</w:t>
      </w:r>
      <w:r w:rsidR="000A5329" w:rsidRPr="002029AF">
        <w:t xml:space="preserve"> </w:t>
      </w:r>
      <w:r w:rsidRPr="002029AF">
        <w:t>asset</w:t>
      </w:r>
      <w:r w:rsidR="000A5329" w:rsidRPr="002029AF">
        <w:t xml:space="preserve"> </w:t>
      </w:r>
      <w:r w:rsidRPr="002029AF">
        <w:t>management</w:t>
      </w:r>
      <w:r w:rsidR="000A5329" w:rsidRPr="002029AF">
        <w:t xml:space="preserve"> </w:t>
      </w:r>
      <w:r w:rsidRPr="002029AF">
        <w:t>and</w:t>
      </w:r>
      <w:r w:rsidR="004F4D8C">
        <w:t> </w:t>
      </w:r>
      <w:r w:rsidRPr="002029AF">
        <w:t>system</w:t>
      </w:r>
      <w:r w:rsidR="000A5329" w:rsidRPr="002029AF">
        <w:t xml:space="preserve"> </w:t>
      </w:r>
      <w:r w:rsidRPr="002029AF">
        <w:t>planning.</w:t>
      </w:r>
    </w:p>
    <w:p w14:paraId="0F23B933" w14:textId="1DA261C5" w:rsidR="00770DE1" w:rsidRPr="002029AF" w:rsidRDefault="00770DE1" w:rsidP="00C22356">
      <w:pPr>
        <w:pStyle w:val="Heading4"/>
      </w:pPr>
      <w:r w:rsidRPr="002029AF">
        <w:t>Ambulance</w:t>
      </w:r>
      <w:r w:rsidR="000A5329" w:rsidRPr="002029AF">
        <w:t xml:space="preserve"> </w:t>
      </w:r>
      <w:r w:rsidRPr="002029AF">
        <w:t>services</w:t>
      </w:r>
    </w:p>
    <w:p w14:paraId="688481B0" w14:textId="785043A2" w:rsidR="00770DE1" w:rsidRPr="002029AF" w:rsidRDefault="00770DE1" w:rsidP="00D271CB">
      <w:pPr>
        <w:pStyle w:val="ARbody"/>
      </w:pPr>
      <w:r w:rsidRPr="002029AF">
        <w:t>Victorians</w:t>
      </w:r>
      <w:r w:rsidR="000A5329" w:rsidRPr="002029AF">
        <w:t xml:space="preserve"> </w:t>
      </w:r>
      <w:r w:rsidRPr="002029AF">
        <w:t>expect</w:t>
      </w:r>
      <w:r w:rsidR="000A5329" w:rsidRPr="002029AF">
        <w:t xml:space="preserve"> </w:t>
      </w:r>
      <w:r w:rsidRPr="002029AF">
        <w:t>timely</w:t>
      </w:r>
      <w:r w:rsidR="000A5329" w:rsidRPr="002029AF">
        <w:t xml:space="preserve"> </w:t>
      </w:r>
      <w:r w:rsidRPr="002029AF">
        <w:t>responses</w:t>
      </w:r>
      <w:r w:rsidR="000A5329" w:rsidRPr="002029AF">
        <w:t xml:space="preserve"> </w:t>
      </w:r>
      <w:r w:rsidRPr="002029AF">
        <w:t>to</w:t>
      </w:r>
      <w:r w:rsidR="000A5329" w:rsidRPr="002029AF">
        <w:t xml:space="preserve"> </w:t>
      </w:r>
      <w:r w:rsidRPr="002029AF">
        <w:t>emergencies.</w:t>
      </w:r>
      <w:r w:rsidR="000A5329" w:rsidRPr="002029AF">
        <w:t xml:space="preserve"> </w:t>
      </w:r>
      <w:r w:rsidRPr="002029AF">
        <w:t>Ambulance</w:t>
      </w:r>
      <w:r w:rsidR="000A5329" w:rsidRPr="002029AF">
        <w:t xml:space="preserve"> </w:t>
      </w:r>
      <w:r w:rsidRPr="002029AF">
        <w:t>services</w:t>
      </w:r>
      <w:r w:rsidR="000A5329" w:rsidRPr="002029AF">
        <w:t xml:space="preserve"> </w:t>
      </w:r>
      <w:r w:rsidRPr="002029AF">
        <w:t>provide</w:t>
      </w:r>
      <w:r w:rsidR="000A5329" w:rsidRPr="002029AF">
        <w:t xml:space="preserve"> </w:t>
      </w:r>
      <w:r w:rsidRPr="002029AF">
        <w:t>emergency</w:t>
      </w:r>
      <w:r w:rsidR="000A5329" w:rsidRPr="002029AF">
        <w:t xml:space="preserve"> </w:t>
      </w:r>
      <w:r w:rsidRPr="002029AF">
        <w:t>and</w:t>
      </w:r>
      <w:r w:rsidR="000A5329" w:rsidRPr="002029AF">
        <w:t xml:space="preserve"> </w:t>
      </w:r>
      <w:r w:rsidRPr="002029AF">
        <w:t>non-emergency</w:t>
      </w:r>
      <w:r w:rsidR="000A5329" w:rsidRPr="002029AF">
        <w:t xml:space="preserve"> </w:t>
      </w:r>
      <w:r w:rsidRPr="002029AF">
        <w:t>ambulance</w:t>
      </w:r>
      <w:r w:rsidR="000A5329" w:rsidRPr="002029AF">
        <w:t xml:space="preserve"> </w:t>
      </w:r>
      <w:r w:rsidRPr="002029AF">
        <w:t>services</w:t>
      </w:r>
      <w:r w:rsidR="000A5329" w:rsidRPr="002029AF">
        <w:t xml:space="preserve"> </w:t>
      </w:r>
      <w:r w:rsidRPr="002029AF">
        <w:t>to</w:t>
      </w:r>
      <w:r w:rsidR="000A5329" w:rsidRPr="002029AF">
        <w:t xml:space="preserve"> </w:t>
      </w:r>
      <w:r w:rsidRPr="002029AF">
        <w:t>contribute</w:t>
      </w:r>
      <w:r w:rsidR="000A5329" w:rsidRPr="002029AF">
        <w:t xml:space="preserve"> </w:t>
      </w:r>
      <w:r w:rsidRPr="002029AF">
        <w:t>to</w:t>
      </w:r>
      <w:r w:rsidR="000A5329" w:rsidRPr="002029AF">
        <w:t xml:space="preserve"> </w:t>
      </w:r>
      <w:r w:rsidRPr="002029AF">
        <w:t>integrated</w:t>
      </w:r>
      <w:r w:rsidR="000A5329" w:rsidRPr="002029AF">
        <w:t xml:space="preserve"> </w:t>
      </w:r>
      <w:r w:rsidRPr="002029AF">
        <w:t>and</w:t>
      </w:r>
      <w:r w:rsidR="000A5329" w:rsidRPr="002029AF">
        <w:t xml:space="preserve"> </w:t>
      </w:r>
      <w:r w:rsidRPr="002029AF">
        <w:t>accessible</w:t>
      </w:r>
      <w:r w:rsidR="000A5329" w:rsidRPr="002029AF">
        <w:t xml:space="preserve"> </w:t>
      </w:r>
      <w:r w:rsidRPr="002029AF">
        <w:t>health</w:t>
      </w:r>
      <w:r w:rsidR="000A5329" w:rsidRPr="002029AF">
        <w:t xml:space="preserve"> </w:t>
      </w:r>
      <w:r w:rsidRPr="002029AF">
        <w:t>and</w:t>
      </w:r>
      <w:r w:rsidR="000A5329" w:rsidRPr="002029AF">
        <w:t xml:space="preserve"> </w:t>
      </w:r>
      <w:r w:rsidRPr="002029AF">
        <w:t>community</w:t>
      </w:r>
      <w:r w:rsidR="000A5329" w:rsidRPr="002029AF">
        <w:t xml:space="preserve"> </w:t>
      </w:r>
      <w:r w:rsidRPr="002029AF">
        <w:t>services</w:t>
      </w:r>
      <w:r w:rsidR="000A5329" w:rsidRPr="002029AF">
        <w:t xml:space="preserve"> </w:t>
      </w:r>
      <w:r w:rsidRPr="002029AF">
        <w:t>for</w:t>
      </w:r>
      <w:r w:rsidR="000A5329" w:rsidRPr="002029AF">
        <w:t xml:space="preserve"> </w:t>
      </w:r>
      <w:r w:rsidRPr="002029AF">
        <w:t>all</w:t>
      </w:r>
      <w:r w:rsidR="000A5329" w:rsidRPr="002029AF">
        <w:t xml:space="preserve"> </w:t>
      </w:r>
      <w:r w:rsidRPr="002029AF">
        <w:t>Victorians.</w:t>
      </w:r>
    </w:p>
    <w:p w14:paraId="3E702490" w14:textId="798E84B4" w:rsidR="00770DE1" w:rsidRPr="002029AF" w:rsidRDefault="00770DE1" w:rsidP="00C22356">
      <w:pPr>
        <w:pStyle w:val="Heading4"/>
      </w:pPr>
      <w:r w:rsidRPr="002029AF">
        <w:t>Alcohol</w:t>
      </w:r>
      <w:r w:rsidR="000A5329" w:rsidRPr="002029AF">
        <w:t xml:space="preserve"> </w:t>
      </w:r>
      <w:r w:rsidRPr="002029AF">
        <w:t>and</w:t>
      </w:r>
      <w:r w:rsidR="000A5329" w:rsidRPr="002029AF">
        <w:t xml:space="preserve"> </w:t>
      </w:r>
      <w:r w:rsidRPr="002029AF">
        <w:t>other</w:t>
      </w:r>
      <w:r w:rsidR="000A5329" w:rsidRPr="002029AF">
        <w:t xml:space="preserve"> </w:t>
      </w:r>
      <w:r w:rsidRPr="002029AF">
        <w:t>drugs</w:t>
      </w:r>
    </w:p>
    <w:p w14:paraId="6F378A2B" w14:textId="1A620F5B" w:rsidR="00770DE1" w:rsidRPr="002029AF" w:rsidRDefault="00770DE1" w:rsidP="00D271CB">
      <w:pPr>
        <w:pStyle w:val="ARbody"/>
      </w:pPr>
      <w:r w:rsidRPr="002029AF">
        <w:t>Drug</w:t>
      </w:r>
      <w:r w:rsidR="000A5329" w:rsidRPr="002029AF">
        <w:t xml:space="preserve"> </w:t>
      </w:r>
      <w:r w:rsidRPr="002029AF">
        <w:t>and</w:t>
      </w:r>
      <w:r w:rsidR="000A5329" w:rsidRPr="002029AF">
        <w:t xml:space="preserve"> </w:t>
      </w:r>
      <w:r w:rsidRPr="002029AF">
        <w:t>alcohol</w:t>
      </w:r>
      <w:r w:rsidR="000A5329" w:rsidRPr="002029AF">
        <w:t xml:space="preserve"> </w:t>
      </w:r>
      <w:r w:rsidRPr="002029AF">
        <w:t>problems</w:t>
      </w:r>
      <w:r w:rsidR="000A5329" w:rsidRPr="002029AF">
        <w:t xml:space="preserve"> </w:t>
      </w:r>
      <w:r w:rsidRPr="002029AF">
        <w:t>affect</w:t>
      </w:r>
      <w:r w:rsidR="000A5329" w:rsidRPr="002029AF">
        <w:t xml:space="preserve"> </w:t>
      </w:r>
      <w:r w:rsidRPr="002029AF">
        <w:t>not</w:t>
      </w:r>
      <w:r w:rsidR="000A5329" w:rsidRPr="002029AF">
        <w:t xml:space="preserve"> </w:t>
      </w:r>
      <w:r w:rsidRPr="002029AF">
        <w:t>just</w:t>
      </w:r>
      <w:r w:rsidR="000A5329" w:rsidRPr="002029AF">
        <w:t xml:space="preserve"> </w:t>
      </w:r>
      <w:r w:rsidRPr="002029AF">
        <w:t>individuals,</w:t>
      </w:r>
      <w:r w:rsidR="000A5329" w:rsidRPr="002029AF">
        <w:t xml:space="preserve"> </w:t>
      </w:r>
      <w:r w:rsidRPr="002029AF">
        <w:t>but</w:t>
      </w:r>
      <w:r w:rsidR="000A5329" w:rsidRPr="002029AF">
        <w:t xml:space="preserve"> </w:t>
      </w:r>
      <w:r w:rsidRPr="002029AF">
        <w:t>their</w:t>
      </w:r>
      <w:r w:rsidR="000A5329" w:rsidRPr="002029AF">
        <w:t xml:space="preserve"> </w:t>
      </w:r>
      <w:r w:rsidRPr="002029AF">
        <w:t>families,</w:t>
      </w:r>
      <w:r w:rsidR="000A5329" w:rsidRPr="002029AF">
        <w:t xml:space="preserve"> </w:t>
      </w:r>
      <w:r w:rsidRPr="002029AF">
        <w:t>their</w:t>
      </w:r>
      <w:r w:rsidR="000A5329" w:rsidRPr="002029AF">
        <w:t xml:space="preserve"> </w:t>
      </w:r>
      <w:r w:rsidRPr="002029AF">
        <w:t>friends</w:t>
      </w:r>
      <w:r w:rsidR="000A5329" w:rsidRPr="002029AF">
        <w:t xml:space="preserve"> </w:t>
      </w:r>
      <w:r w:rsidRPr="002029AF">
        <w:t>and</w:t>
      </w:r>
      <w:r w:rsidR="000A5329" w:rsidRPr="002029AF">
        <w:t xml:space="preserve"> </w:t>
      </w:r>
      <w:r w:rsidRPr="002029AF">
        <w:t>their</w:t>
      </w:r>
      <w:r w:rsidR="000A5329" w:rsidRPr="002029AF">
        <w:t xml:space="preserve"> </w:t>
      </w:r>
      <w:r w:rsidRPr="002029AF">
        <w:t>communities.</w:t>
      </w:r>
      <w:r w:rsidR="000A5329" w:rsidRPr="002029AF">
        <w:t xml:space="preserve"> </w:t>
      </w:r>
      <w:r w:rsidR="00FA7266" w:rsidRPr="002029AF">
        <w:t>The</w:t>
      </w:r>
      <w:r w:rsidR="000A5329" w:rsidRPr="002029AF">
        <w:t xml:space="preserve"> </w:t>
      </w:r>
      <w:r w:rsidR="00FA7266" w:rsidRPr="002029AF">
        <w:t>department</w:t>
      </w:r>
      <w:r w:rsidR="000A5329" w:rsidRPr="002029AF">
        <w:t xml:space="preserve"> </w:t>
      </w:r>
      <w:r w:rsidRPr="002029AF">
        <w:t>work</w:t>
      </w:r>
      <w:r w:rsidR="00721A2C" w:rsidRPr="002029AF">
        <w:t>s</w:t>
      </w:r>
      <w:r w:rsidR="000A5329" w:rsidRPr="002029AF">
        <w:t xml:space="preserve"> </w:t>
      </w:r>
      <w:r w:rsidRPr="002029AF">
        <w:t>with</w:t>
      </w:r>
      <w:r w:rsidR="000A5329" w:rsidRPr="002029AF">
        <w:t xml:space="preserve"> </w:t>
      </w:r>
      <w:r w:rsidRPr="002029AF">
        <w:t>Victoria’s</w:t>
      </w:r>
      <w:r w:rsidR="000A5329" w:rsidRPr="002029AF">
        <w:t xml:space="preserve"> </w:t>
      </w:r>
      <w:r w:rsidRPr="002029AF">
        <w:t>alcohol</w:t>
      </w:r>
      <w:r w:rsidR="000A5329" w:rsidRPr="002029AF">
        <w:t xml:space="preserve"> </w:t>
      </w:r>
      <w:r w:rsidRPr="002029AF">
        <w:t>and</w:t>
      </w:r>
      <w:r w:rsidR="000A5329" w:rsidRPr="002029AF">
        <w:t xml:space="preserve"> </w:t>
      </w:r>
      <w:r w:rsidRPr="002029AF">
        <w:t>drug</w:t>
      </w:r>
      <w:r w:rsidR="000A5329" w:rsidRPr="002029AF">
        <w:t xml:space="preserve"> </w:t>
      </w:r>
      <w:r w:rsidRPr="002029AF">
        <w:t>treatment</w:t>
      </w:r>
      <w:r w:rsidR="000A5329" w:rsidRPr="002029AF">
        <w:t xml:space="preserve"> </w:t>
      </w:r>
      <w:r w:rsidRPr="002029AF">
        <w:t>and</w:t>
      </w:r>
      <w:r w:rsidR="000A5329" w:rsidRPr="002029AF">
        <w:t xml:space="preserve"> </w:t>
      </w:r>
      <w:r w:rsidRPr="002029AF">
        <w:t>support</w:t>
      </w:r>
      <w:r w:rsidR="000A5329" w:rsidRPr="002029AF">
        <w:t xml:space="preserve"> </w:t>
      </w:r>
      <w:r w:rsidRPr="002029AF">
        <w:t>services</w:t>
      </w:r>
      <w:r w:rsidR="000A5329" w:rsidRPr="002029AF">
        <w:t xml:space="preserve"> </w:t>
      </w:r>
      <w:r w:rsidRPr="002029AF">
        <w:t>to</w:t>
      </w:r>
      <w:r w:rsidR="000A5329" w:rsidRPr="002029AF">
        <w:t xml:space="preserve"> </w:t>
      </w:r>
      <w:r w:rsidRPr="002029AF">
        <w:t>develop</w:t>
      </w:r>
      <w:r w:rsidR="000A5329" w:rsidRPr="002029AF">
        <w:t xml:space="preserve"> </w:t>
      </w:r>
      <w:r w:rsidRPr="002029AF">
        <w:t>policies</w:t>
      </w:r>
      <w:r w:rsidR="000A5329" w:rsidRPr="002029AF">
        <w:t xml:space="preserve"> </w:t>
      </w:r>
      <w:r w:rsidRPr="002029AF">
        <w:t>and</w:t>
      </w:r>
      <w:r w:rsidR="000A5329" w:rsidRPr="002029AF">
        <w:t xml:space="preserve"> </w:t>
      </w:r>
      <w:r w:rsidRPr="002029AF">
        <w:t>provide</w:t>
      </w:r>
      <w:r w:rsidR="000A5329" w:rsidRPr="002029AF">
        <w:t xml:space="preserve"> </w:t>
      </w:r>
      <w:r w:rsidRPr="002029AF">
        <w:t>funding</w:t>
      </w:r>
      <w:r w:rsidR="000A5329" w:rsidRPr="002029AF">
        <w:t xml:space="preserve"> </w:t>
      </w:r>
      <w:r w:rsidRPr="002029AF">
        <w:t>for</w:t>
      </w:r>
      <w:r w:rsidR="000A5329" w:rsidRPr="002029AF">
        <w:t xml:space="preserve"> </w:t>
      </w:r>
      <w:r w:rsidRPr="002029AF">
        <w:t>the</w:t>
      </w:r>
      <w:r w:rsidR="000A5329" w:rsidRPr="002029AF">
        <w:t xml:space="preserve"> </w:t>
      </w:r>
      <w:r w:rsidRPr="002029AF">
        <w:t>right</w:t>
      </w:r>
      <w:r w:rsidR="000A5329" w:rsidRPr="002029AF">
        <w:t xml:space="preserve"> </w:t>
      </w:r>
      <w:r w:rsidRPr="002029AF">
        <w:t>drug</w:t>
      </w:r>
      <w:r w:rsidR="000A5329" w:rsidRPr="002029AF">
        <w:t xml:space="preserve"> </w:t>
      </w:r>
      <w:r w:rsidRPr="002029AF">
        <w:t>treatment,</w:t>
      </w:r>
      <w:r w:rsidR="000A5329" w:rsidRPr="002029AF">
        <w:t xml:space="preserve"> </w:t>
      </w:r>
      <w:r w:rsidRPr="002029AF">
        <w:t>support</w:t>
      </w:r>
      <w:r w:rsidR="000A5329" w:rsidRPr="002029AF">
        <w:t xml:space="preserve"> </w:t>
      </w:r>
      <w:r w:rsidRPr="002029AF">
        <w:t>and</w:t>
      </w:r>
      <w:r w:rsidR="000A5329" w:rsidRPr="002029AF">
        <w:t xml:space="preserve"> </w:t>
      </w:r>
      <w:r w:rsidRPr="002029AF">
        <w:t>harm-reduction</w:t>
      </w:r>
      <w:r w:rsidR="000A5329" w:rsidRPr="002029AF">
        <w:t xml:space="preserve"> </w:t>
      </w:r>
      <w:r w:rsidRPr="002029AF">
        <w:t>services</w:t>
      </w:r>
      <w:r w:rsidR="000A5329" w:rsidRPr="002029AF">
        <w:t xml:space="preserve"> </w:t>
      </w:r>
      <w:r w:rsidRPr="002029AF">
        <w:t>across</w:t>
      </w:r>
      <w:r w:rsidR="000A5329" w:rsidRPr="002029AF">
        <w:t xml:space="preserve"> </w:t>
      </w:r>
      <w:r w:rsidRPr="002029AF">
        <w:t>Victoria.</w:t>
      </w:r>
    </w:p>
    <w:p w14:paraId="40BC7601" w14:textId="2C41DF04" w:rsidR="00770DE1" w:rsidRPr="002029AF" w:rsidRDefault="00770DE1" w:rsidP="00C22356">
      <w:pPr>
        <w:pStyle w:val="Heading4"/>
      </w:pPr>
      <w:r w:rsidRPr="002029AF">
        <w:t>Mental</w:t>
      </w:r>
      <w:r w:rsidR="000A5329" w:rsidRPr="002029AF">
        <w:t xml:space="preserve"> </w:t>
      </w:r>
      <w:r w:rsidRPr="002029AF">
        <w:t>health</w:t>
      </w:r>
    </w:p>
    <w:p w14:paraId="1907CAE0" w14:textId="3542D288" w:rsidR="00770DE1" w:rsidRPr="002029AF" w:rsidRDefault="00770DE1" w:rsidP="00CB0173">
      <w:pPr>
        <w:pStyle w:val="ARbody"/>
      </w:pPr>
      <w:r w:rsidRPr="002029AF">
        <w:t>Mental</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support</w:t>
      </w:r>
      <w:r w:rsidR="000A5329" w:rsidRPr="002029AF">
        <w:t xml:space="preserve"> </w:t>
      </w:r>
      <w:r w:rsidRPr="002029AF">
        <w:t>Victorians</w:t>
      </w:r>
      <w:r w:rsidR="000A5329" w:rsidRPr="002029AF">
        <w:t xml:space="preserve"> </w:t>
      </w:r>
      <w:r w:rsidRPr="002029AF">
        <w:t>experiencing</w:t>
      </w:r>
      <w:r w:rsidR="000A5329" w:rsidRPr="002029AF">
        <w:t xml:space="preserve"> </w:t>
      </w:r>
      <w:r w:rsidRPr="002029AF">
        <w:t>or</w:t>
      </w:r>
      <w:r w:rsidR="000A5329" w:rsidRPr="002029AF">
        <w:t xml:space="preserve"> </w:t>
      </w:r>
      <w:r w:rsidRPr="002029AF">
        <w:t>affected</w:t>
      </w:r>
      <w:r w:rsidR="000A5329" w:rsidRPr="002029AF">
        <w:t xml:space="preserve"> </w:t>
      </w:r>
      <w:r w:rsidRPr="002029AF">
        <w:t>by</w:t>
      </w:r>
      <w:r w:rsidR="000A5329" w:rsidRPr="002029AF">
        <w:t xml:space="preserve"> </w:t>
      </w:r>
      <w:r w:rsidRPr="002029AF">
        <w:t>poor</w:t>
      </w:r>
      <w:r w:rsidR="000A5329" w:rsidRPr="002029AF">
        <w:t xml:space="preserve"> </w:t>
      </w:r>
      <w:r w:rsidRPr="002029AF">
        <w:t>mental</w:t>
      </w:r>
      <w:r w:rsidR="000A5329" w:rsidRPr="002029AF">
        <w:t xml:space="preserve"> </w:t>
      </w:r>
      <w:r w:rsidRPr="002029AF">
        <w:t>health,</w:t>
      </w:r>
      <w:r w:rsidR="000A5329" w:rsidRPr="002029AF">
        <w:t xml:space="preserve"> </w:t>
      </w:r>
      <w:r w:rsidRPr="002029AF">
        <w:t>as</w:t>
      </w:r>
      <w:r w:rsidR="00B97ABC" w:rsidRPr="002029AF">
        <w:t> </w:t>
      </w:r>
      <w:r w:rsidRPr="002029AF">
        <w:t>well</w:t>
      </w:r>
      <w:r w:rsidR="000A5329" w:rsidRPr="002029AF">
        <w:t xml:space="preserve"> </w:t>
      </w:r>
      <w:r w:rsidRPr="002029AF">
        <w:t>as</w:t>
      </w:r>
      <w:r w:rsidR="000A5329" w:rsidRPr="002029AF">
        <w:t xml:space="preserve"> </w:t>
      </w:r>
      <w:r w:rsidRPr="002029AF">
        <w:t>their</w:t>
      </w:r>
      <w:r w:rsidR="000A5329" w:rsidRPr="002029AF">
        <w:t xml:space="preserve"> </w:t>
      </w:r>
      <w:r w:rsidRPr="002029AF">
        <w:t>families</w:t>
      </w:r>
      <w:r w:rsidR="000A5329" w:rsidRPr="002029AF">
        <w:t xml:space="preserve"> </w:t>
      </w:r>
      <w:r w:rsidRPr="002029AF">
        <w:t>and</w:t>
      </w:r>
      <w:r w:rsidR="000A5329" w:rsidRPr="002029AF">
        <w:t xml:space="preserve"> </w:t>
      </w:r>
      <w:r w:rsidRPr="002029AF">
        <w:t>carers.</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is</w:t>
      </w:r>
      <w:r w:rsidR="000A5329" w:rsidRPr="002029AF">
        <w:t xml:space="preserve"> </w:t>
      </w:r>
      <w:r w:rsidRPr="002029AF">
        <w:t>responsible</w:t>
      </w:r>
      <w:r w:rsidR="000A5329" w:rsidRPr="002029AF">
        <w:t xml:space="preserve"> </w:t>
      </w:r>
      <w:r w:rsidRPr="002029AF">
        <w:t>for</w:t>
      </w:r>
      <w:r w:rsidR="000A5329" w:rsidRPr="002029AF">
        <w:t xml:space="preserve"> </w:t>
      </w:r>
      <w:r w:rsidRPr="002029AF">
        <w:t>mental</w:t>
      </w:r>
      <w:r w:rsidR="000A5329" w:rsidRPr="002029AF">
        <w:t xml:space="preserve"> </w:t>
      </w:r>
      <w:r w:rsidRPr="002029AF">
        <w:t>health</w:t>
      </w:r>
      <w:r w:rsidR="000A5329" w:rsidRPr="002029AF">
        <w:t xml:space="preserve"> </w:t>
      </w:r>
      <w:r w:rsidRPr="002029AF">
        <w:t>policy,</w:t>
      </w:r>
      <w:r w:rsidR="000A5329" w:rsidRPr="002029AF">
        <w:t xml:space="preserve"> </w:t>
      </w:r>
      <w:r w:rsidRPr="002029AF">
        <w:t>planning,</w:t>
      </w:r>
      <w:r w:rsidR="000A5329" w:rsidRPr="002029AF">
        <w:t xml:space="preserve"> </w:t>
      </w:r>
      <w:r w:rsidRPr="002029AF">
        <w:t>strategy</w:t>
      </w:r>
      <w:r w:rsidR="000A5329" w:rsidRPr="002029AF">
        <w:t xml:space="preserve"> </w:t>
      </w:r>
      <w:r w:rsidRPr="002029AF">
        <w:t>and</w:t>
      </w:r>
      <w:r w:rsidR="000A5329" w:rsidRPr="002029AF">
        <w:t xml:space="preserve"> </w:t>
      </w:r>
      <w:r w:rsidRPr="002029AF">
        <w:t>programs</w:t>
      </w:r>
      <w:r w:rsidR="000A5329" w:rsidRPr="002029AF">
        <w:t xml:space="preserve"> </w:t>
      </w:r>
      <w:r w:rsidRPr="002029AF">
        <w:t>that</w:t>
      </w:r>
      <w:r w:rsidR="000A5329" w:rsidRPr="002029AF">
        <w:t xml:space="preserve"> </w:t>
      </w:r>
      <w:r w:rsidRPr="002029AF">
        <w:t>deliver</w:t>
      </w:r>
      <w:r w:rsidR="000A5329" w:rsidRPr="002029AF">
        <w:t xml:space="preserve"> </w:t>
      </w:r>
      <w:r w:rsidRPr="002029AF">
        <w:t>prevention,</w:t>
      </w:r>
      <w:r w:rsidR="000A5329" w:rsidRPr="002029AF">
        <w:t xml:space="preserve"> </w:t>
      </w:r>
      <w:r w:rsidRPr="002029AF">
        <w:t>early</w:t>
      </w:r>
      <w:r w:rsidR="00B97ABC" w:rsidRPr="002029AF">
        <w:t> </w:t>
      </w:r>
      <w:r w:rsidRPr="002029AF">
        <w:t>intervention,</w:t>
      </w:r>
      <w:r w:rsidR="000A5329" w:rsidRPr="002029AF">
        <w:t xml:space="preserve"> </w:t>
      </w:r>
      <w:r w:rsidRPr="002029AF">
        <w:t>treatment</w:t>
      </w:r>
      <w:r w:rsidR="000A5329" w:rsidRPr="002029AF">
        <w:t xml:space="preserve"> </w:t>
      </w:r>
      <w:r w:rsidRPr="002029AF">
        <w:t>and</w:t>
      </w:r>
      <w:r w:rsidR="000A5329" w:rsidRPr="002029AF">
        <w:t xml:space="preserve"> </w:t>
      </w:r>
      <w:r w:rsidRPr="002029AF">
        <w:t>support.</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also</w:t>
      </w:r>
      <w:r w:rsidR="000A5329" w:rsidRPr="002029AF">
        <w:t xml:space="preserve"> </w:t>
      </w:r>
      <w:r w:rsidRPr="002029AF">
        <w:t>supports</w:t>
      </w:r>
      <w:r w:rsidR="000A5329" w:rsidRPr="002029AF">
        <w:t xml:space="preserve"> </w:t>
      </w:r>
      <w:r w:rsidRPr="002029AF">
        <w:t>the</w:t>
      </w:r>
      <w:r w:rsidR="000A5329" w:rsidRPr="002029AF">
        <w:t xml:space="preserve"> </w:t>
      </w:r>
      <w:r w:rsidRPr="002029AF">
        <w:t>Royal</w:t>
      </w:r>
      <w:r w:rsidR="000A5329" w:rsidRPr="002029AF">
        <w:t xml:space="preserve"> </w:t>
      </w:r>
      <w:r w:rsidRPr="002029AF">
        <w:t>Commission</w:t>
      </w:r>
      <w:r w:rsidR="000A5329" w:rsidRPr="002029AF">
        <w:t xml:space="preserve"> </w:t>
      </w:r>
      <w:r w:rsidRPr="002029AF">
        <w:t>into</w:t>
      </w:r>
      <w:r w:rsidR="000A5329" w:rsidRPr="002029AF">
        <w:t xml:space="preserve"> </w:t>
      </w:r>
      <w:r w:rsidRPr="002029AF">
        <w:t>Victoria’s</w:t>
      </w:r>
      <w:r w:rsidR="000A5329" w:rsidRPr="002029AF">
        <w:t xml:space="preserve"> </w:t>
      </w:r>
      <w:r w:rsidRPr="002029AF">
        <w:t>Mental</w:t>
      </w:r>
      <w:r w:rsidR="000A5329" w:rsidRPr="002029AF">
        <w:t xml:space="preserve"> </w:t>
      </w:r>
      <w:r w:rsidRPr="002029AF">
        <w:t>Health</w:t>
      </w:r>
      <w:r w:rsidR="000A5329" w:rsidRPr="002029AF">
        <w:t xml:space="preserve"> </w:t>
      </w:r>
      <w:r w:rsidRPr="002029AF">
        <w:t>System</w:t>
      </w:r>
      <w:r w:rsidR="000A5329" w:rsidRPr="002029AF">
        <w:t xml:space="preserve"> </w:t>
      </w:r>
      <w:r w:rsidRPr="002029AF">
        <w:t>the</w:t>
      </w:r>
      <w:r w:rsidR="000A5329" w:rsidRPr="002029AF">
        <w:t xml:space="preserve"> </w:t>
      </w:r>
      <w:r w:rsidRPr="002029AF">
        <w:t>first</w:t>
      </w:r>
      <w:r w:rsidR="000A5329" w:rsidRPr="002029AF">
        <w:t xml:space="preserve"> </w:t>
      </w:r>
      <w:r w:rsidRPr="002029AF">
        <w:t>of</w:t>
      </w:r>
      <w:r w:rsidR="000A5329" w:rsidRPr="002029AF">
        <w:t xml:space="preserve"> </w:t>
      </w:r>
      <w:r w:rsidRPr="002029AF">
        <w:t>its</w:t>
      </w:r>
      <w:r w:rsidR="000A5329" w:rsidRPr="002029AF">
        <w:t xml:space="preserve"> </w:t>
      </w:r>
      <w:r w:rsidRPr="002029AF">
        <w:t>kind</w:t>
      </w:r>
      <w:r w:rsidR="000A5329" w:rsidRPr="002029AF">
        <w:t xml:space="preserve"> </w:t>
      </w:r>
      <w:r w:rsidRPr="002029AF">
        <w:t>in</w:t>
      </w:r>
      <w:r w:rsidR="000A5329" w:rsidRPr="002029AF">
        <w:t xml:space="preserve"> </w:t>
      </w:r>
      <w:r w:rsidRPr="002029AF">
        <w:t>Australia.</w:t>
      </w:r>
    </w:p>
    <w:p w14:paraId="5AFEA3ED" w14:textId="478D65DD" w:rsidR="00770DE1" w:rsidRPr="002029AF" w:rsidRDefault="0027759D" w:rsidP="00C22356">
      <w:pPr>
        <w:pStyle w:val="Heading4"/>
      </w:pPr>
      <w:r>
        <w:br w:type="column"/>
      </w:r>
      <w:r w:rsidR="00770DE1" w:rsidRPr="002029AF">
        <w:t>Housing</w:t>
      </w:r>
    </w:p>
    <w:p w14:paraId="75E3AFE8" w14:textId="3AD21F6F" w:rsidR="00770DE1" w:rsidRPr="002029AF" w:rsidRDefault="00770DE1" w:rsidP="00CB0173">
      <w:pPr>
        <w:pStyle w:val="ARbody"/>
      </w:pPr>
      <w:r w:rsidRPr="002029AF">
        <w:t>Having</w:t>
      </w:r>
      <w:r w:rsidR="000A5329" w:rsidRPr="002029AF">
        <w:t xml:space="preserve"> </w:t>
      </w:r>
      <w:r w:rsidRPr="002029AF">
        <w:t>a</w:t>
      </w:r>
      <w:r w:rsidR="000A5329" w:rsidRPr="002029AF">
        <w:t xml:space="preserve"> </w:t>
      </w:r>
      <w:r w:rsidRPr="002029AF">
        <w:t>safe,</w:t>
      </w:r>
      <w:r w:rsidR="000A5329" w:rsidRPr="002029AF">
        <w:t xml:space="preserve"> </w:t>
      </w:r>
      <w:r w:rsidRPr="002029AF">
        <w:t>stable</w:t>
      </w:r>
      <w:r w:rsidR="000A5329" w:rsidRPr="002029AF">
        <w:t xml:space="preserve"> </w:t>
      </w:r>
      <w:r w:rsidRPr="002029AF">
        <w:t>and</w:t>
      </w:r>
      <w:r w:rsidR="000A5329" w:rsidRPr="002029AF">
        <w:t xml:space="preserve"> </w:t>
      </w:r>
      <w:r w:rsidRPr="002029AF">
        <w:t>secure</w:t>
      </w:r>
      <w:r w:rsidR="000A5329" w:rsidRPr="002029AF">
        <w:t xml:space="preserve"> </w:t>
      </w:r>
      <w:r w:rsidRPr="002029AF">
        <w:t>home</w:t>
      </w:r>
      <w:r w:rsidR="000A5329" w:rsidRPr="002029AF">
        <w:t xml:space="preserve"> </w:t>
      </w:r>
      <w:r w:rsidRPr="002029AF">
        <w:t>is</w:t>
      </w:r>
      <w:r w:rsidR="000A5329" w:rsidRPr="002029AF">
        <w:t xml:space="preserve"> </w:t>
      </w:r>
      <w:r w:rsidRPr="002029AF">
        <w:t>essential</w:t>
      </w:r>
      <w:r w:rsidR="000A5329" w:rsidRPr="002029AF">
        <w:t xml:space="preserve"> </w:t>
      </w:r>
      <w:r w:rsidRPr="002029AF">
        <w:t>for</w:t>
      </w:r>
      <w:r w:rsidR="000A5329" w:rsidRPr="002029AF">
        <w:t xml:space="preserve"> </w:t>
      </w:r>
      <w:r w:rsidRPr="002029AF">
        <w:t>long-term</w:t>
      </w:r>
      <w:r w:rsidR="000A5329" w:rsidRPr="002029AF">
        <w:t xml:space="preserve"> </w:t>
      </w:r>
      <w:r w:rsidRPr="002029AF">
        <w:t>health</w:t>
      </w:r>
      <w:r w:rsidR="000A5329" w:rsidRPr="002029AF">
        <w:t xml:space="preserve"> </w:t>
      </w:r>
      <w:r w:rsidRPr="002029AF">
        <w:t>and</w:t>
      </w:r>
      <w:r w:rsidR="000A5329" w:rsidRPr="002029AF">
        <w:t xml:space="preserve"> </w:t>
      </w:r>
      <w:r w:rsidRPr="002029AF">
        <w:t>wellbeing.</w:t>
      </w:r>
      <w:r w:rsidR="000A5329" w:rsidRPr="002029AF">
        <w:t xml:space="preserve"> </w:t>
      </w:r>
      <w:r w:rsidRPr="002029AF">
        <w:t>A</w:t>
      </w:r>
      <w:r w:rsidR="000A5329" w:rsidRPr="002029AF">
        <w:t xml:space="preserve"> </w:t>
      </w:r>
      <w:r w:rsidRPr="002029AF">
        <w:t>range</w:t>
      </w:r>
      <w:r w:rsidR="000A5329" w:rsidRPr="002029AF">
        <w:t xml:space="preserve"> </w:t>
      </w:r>
      <w:r w:rsidRPr="002029AF">
        <w:t>of</w:t>
      </w:r>
      <w:r w:rsidR="000A5329" w:rsidRPr="002029AF">
        <w:t xml:space="preserve"> </w:t>
      </w:r>
      <w:r w:rsidRPr="002029AF">
        <w:t>housing</w:t>
      </w:r>
      <w:r w:rsidR="000A5329" w:rsidRPr="002029AF">
        <w:t xml:space="preserve"> </w:t>
      </w:r>
      <w:r w:rsidRPr="002029AF">
        <w:t>assistance</w:t>
      </w:r>
      <w:r w:rsidR="000A5329" w:rsidRPr="002029AF">
        <w:t xml:space="preserve"> </w:t>
      </w:r>
      <w:r w:rsidRPr="002029AF">
        <w:t>is</w:t>
      </w:r>
      <w:r w:rsidR="000A5329" w:rsidRPr="002029AF">
        <w:t xml:space="preserve"> </w:t>
      </w:r>
      <w:r w:rsidRPr="002029AF">
        <w:t>available</w:t>
      </w:r>
      <w:r w:rsidR="000A5329" w:rsidRPr="002029AF">
        <w:t xml:space="preserve"> </w:t>
      </w:r>
      <w:r w:rsidRPr="002029AF">
        <w:t>to</w:t>
      </w:r>
      <w:r w:rsidR="000A5329" w:rsidRPr="002029AF">
        <w:t xml:space="preserve"> </w:t>
      </w:r>
      <w:r w:rsidRPr="002029AF">
        <w:t>Victorians</w:t>
      </w:r>
      <w:r w:rsidR="000A5329" w:rsidRPr="002029AF">
        <w:t xml:space="preserve"> </w:t>
      </w:r>
      <w:r w:rsidRPr="002029AF">
        <w:t>experiencing</w:t>
      </w:r>
      <w:r w:rsidR="000A5329" w:rsidRPr="002029AF">
        <w:t xml:space="preserve"> </w:t>
      </w:r>
      <w:r w:rsidRPr="002029AF">
        <w:t>disadvantage,</w:t>
      </w:r>
      <w:r w:rsidR="000A5329" w:rsidRPr="002029AF">
        <w:t xml:space="preserve"> </w:t>
      </w:r>
      <w:r w:rsidRPr="002029AF">
        <w:t>including</w:t>
      </w:r>
      <w:r w:rsidR="000A5329" w:rsidRPr="002029AF">
        <w:t xml:space="preserve"> </w:t>
      </w:r>
      <w:r w:rsidRPr="002029AF">
        <w:t>long-term</w:t>
      </w:r>
      <w:r w:rsidR="000A5329" w:rsidRPr="002029AF">
        <w:t xml:space="preserve"> </w:t>
      </w:r>
      <w:r w:rsidRPr="002029AF">
        <w:t>housing</w:t>
      </w:r>
      <w:r w:rsidR="000A5329" w:rsidRPr="002029AF">
        <w:t xml:space="preserve"> </w:t>
      </w:r>
      <w:r w:rsidRPr="002029AF">
        <w:t>assistance</w:t>
      </w:r>
      <w:r w:rsidR="000A5329" w:rsidRPr="002029AF">
        <w:t xml:space="preserve"> </w:t>
      </w:r>
      <w:r w:rsidRPr="002029AF">
        <w:t>in</w:t>
      </w:r>
      <w:r w:rsidR="000A5329" w:rsidRPr="002029AF">
        <w:t xml:space="preserve"> </w:t>
      </w:r>
      <w:r w:rsidRPr="002029AF">
        <w:t>the</w:t>
      </w:r>
      <w:r w:rsidR="000A5329" w:rsidRPr="002029AF">
        <w:t xml:space="preserve"> </w:t>
      </w:r>
      <w:r w:rsidRPr="002029AF">
        <w:t>form</w:t>
      </w:r>
      <w:r w:rsidR="000A5329" w:rsidRPr="002029AF">
        <w:t xml:space="preserve"> </w:t>
      </w:r>
      <w:r w:rsidRPr="002029AF">
        <w:t>of</w:t>
      </w:r>
      <w:r w:rsidR="000A5329" w:rsidRPr="002029AF">
        <w:t xml:space="preserve"> </w:t>
      </w:r>
      <w:r w:rsidRPr="002029AF">
        <w:t>public</w:t>
      </w:r>
      <w:r w:rsidR="000A5329" w:rsidRPr="002029AF">
        <w:t xml:space="preserve"> </w:t>
      </w:r>
      <w:r w:rsidRPr="002029AF">
        <w:t>or</w:t>
      </w:r>
      <w:r w:rsidR="000A5329" w:rsidRPr="002029AF">
        <w:t xml:space="preserve"> </w:t>
      </w:r>
      <w:r w:rsidRPr="002029AF">
        <w:t>community</w:t>
      </w:r>
      <w:r w:rsidR="000A5329" w:rsidRPr="002029AF">
        <w:t xml:space="preserve"> </w:t>
      </w:r>
      <w:r w:rsidRPr="002029AF">
        <w:t>housing,</w:t>
      </w:r>
      <w:r w:rsidR="000A5329" w:rsidRPr="002029AF">
        <w:t xml:space="preserve"> </w:t>
      </w:r>
      <w:r w:rsidRPr="002029AF">
        <w:t>private</w:t>
      </w:r>
      <w:r w:rsidR="000A5329" w:rsidRPr="002029AF">
        <w:t xml:space="preserve"> </w:t>
      </w:r>
      <w:r w:rsidRPr="002029AF">
        <w:t>rental</w:t>
      </w:r>
      <w:r w:rsidR="000A5329" w:rsidRPr="002029AF">
        <w:t xml:space="preserve"> </w:t>
      </w:r>
      <w:r w:rsidRPr="002029AF">
        <w:t>assistance</w:t>
      </w:r>
      <w:r w:rsidR="000A5329" w:rsidRPr="002029AF">
        <w:t xml:space="preserve"> </w:t>
      </w:r>
      <w:r w:rsidRPr="002029AF">
        <w:t>and</w:t>
      </w:r>
      <w:r w:rsidR="000A5329" w:rsidRPr="002029AF">
        <w:t xml:space="preserve"> </w:t>
      </w:r>
      <w:r w:rsidRPr="002029AF">
        <w:t>home</w:t>
      </w:r>
      <w:r w:rsidR="000A5329" w:rsidRPr="002029AF">
        <w:t xml:space="preserve"> </w:t>
      </w:r>
      <w:r w:rsidRPr="002029AF">
        <w:t>ownership</w:t>
      </w:r>
      <w:r w:rsidR="000A5329" w:rsidRPr="002029AF">
        <w:t xml:space="preserve"> </w:t>
      </w:r>
      <w:r w:rsidRPr="002029AF">
        <w:t>and</w:t>
      </w:r>
      <w:r w:rsidR="000A5329" w:rsidRPr="002029AF">
        <w:t xml:space="preserve"> </w:t>
      </w:r>
      <w:r w:rsidRPr="002029AF">
        <w:t>renovation</w:t>
      </w:r>
      <w:r w:rsidR="000A5329" w:rsidRPr="002029AF">
        <w:t xml:space="preserve"> </w:t>
      </w:r>
      <w:r w:rsidRPr="002029AF">
        <w:t>assistance.</w:t>
      </w:r>
      <w:r w:rsidR="000A5329" w:rsidRPr="002029AF">
        <w:t xml:space="preserve"> </w:t>
      </w:r>
      <w:r w:rsidRPr="002029AF">
        <w:rPr>
          <w:spacing w:val="-2"/>
        </w:rPr>
        <w:t>The</w:t>
      </w:r>
      <w:r w:rsidR="000A5329" w:rsidRPr="002029AF">
        <w:rPr>
          <w:spacing w:val="-2"/>
        </w:rPr>
        <w:t xml:space="preserve"> </w:t>
      </w:r>
      <w:r w:rsidRPr="002029AF">
        <w:rPr>
          <w:spacing w:val="-2"/>
        </w:rPr>
        <w:t>department</w:t>
      </w:r>
      <w:r w:rsidR="000A5329" w:rsidRPr="002029AF">
        <w:rPr>
          <w:spacing w:val="-2"/>
        </w:rPr>
        <w:t xml:space="preserve"> </w:t>
      </w:r>
      <w:r w:rsidRPr="002029AF">
        <w:rPr>
          <w:spacing w:val="-2"/>
        </w:rPr>
        <w:t>also</w:t>
      </w:r>
      <w:r w:rsidR="000A5329" w:rsidRPr="002029AF">
        <w:rPr>
          <w:spacing w:val="-2"/>
        </w:rPr>
        <w:t xml:space="preserve"> </w:t>
      </w:r>
      <w:r w:rsidRPr="002029AF">
        <w:rPr>
          <w:spacing w:val="-2"/>
        </w:rPr>
        <w:t>works</w:t>
      </w:r>
      <w:r w:rsidR="000A5329" w:rsidRPr="002029AF">
        <w:rPr>
          <w:spacing w:val="-2"/>
        </w:rPr>
        <w:t xml:space="preserve"> </w:t>
      </w:r>
      <w:r w:rsidRPr="002029AF">
        <w:rPr>
          <w:spacing w:val="-2"/>
        </w:rPr>
        <w:t>to</w:t>
      </w:r>
      <w:r w:rsidR="000A5329" w:rsidRPr="002029AF">
        <w:rPr>
          <w:spacing w:val="-2"/>
        </w:rPr>
        <w:t xml:space="preserve"> </w:t>
      </w:r>
      <w:r w:rsidRPr="002029AF">
        <w:rPr>
          <w:spacing w:val="-2"/>
        </w:rPr>
        <w:t>reduce</w:t>
      </w:r>
      <w:r w:rsidR="000A5329" w:rsidRPr="002029AF">
        <w:rPr>
          <w:spacing w:val="-2"/>
        </w:rPr>
        <w:t xml:space="preserve"> </w:t>
      </w:r>
      <w:r w:rsidRPr="002029AF">
        <w:rPr>
          <w:spacing w:val="-2"/>
        </w:rPr>
        <w:t>homelessness</w:t>
      </w:r>
      <w:r w:rsidR="000A5329" w:rsidRPr="002029AF">
        <w:t xml:space="preserve"> </w:t>
      </w:r>
      <w:r w:rsidRPr="002029AF">
        <w:t>by</w:t>
      </w:r>
      <w:r w:rsidR="000A5329" w:rsidRPr="002029AF">
        <w:t xml:space="preserve"> </w:t>
      </w:r>
      <w:r w:rsidRPr="002029AF">
        <w:t>increasing</w:t>
      </w:r>
      <w:r w:rsidR="000A5329" w:rsidRPr="002029AF">
        <w:t xml:space="preserve"> </w:t>
      </w:r>
      <w:r w:rsidRPr="002029AF">
        <w:t>and</w:t>
      </w:r>
      <w:r w:rsidR="000A5329" w:rsidRPr="002029AF">
        <w:t xml:space="preserve"> </w:t>
      </w:r>
      <w:r w:rsidRPr="002029AF">
        <w:t>improving</w:t>
      </w:r>
      <w:r w:rsidR="000A5329" w:rsidRPr="002029AF">
        <w:t xml:space="preserve"> </w:t>
      </w:r>
      <w:r w:rsidRPr="002029AF">
        <w:t>the</w:t>
      </w:r>
      <w:r w:rsidR="000A5329" w:rsidRPr="002029AF">
        <w:t xml:space="preserve"> </w:t>
      </w:r>
      <w:r w:rsidRPr="002029AF">
        <w:t>supply</w:t>
      </w:r>
      <w:r w:rsidR="000A5329" w:rsidRPr="002029AF">
        <w:t xml:space="preserve"> </w:t>
      </w:r>
      <w:r w:rsidRPr="002029AF">
        <w:t>of</w:t>
      </w:r>
      <w:r w:rsidR="000A5329" w:rsidRPr="002029AF">
        <w:t xml:space="preserve"> </w:t>
      </w:r>
      <w:r w:rsidRPr="002029AF">
        <w:t>crisis</w:t>
      </w:r>
      <w:r w:rsidR="000A5329" w:rsidRPr="002029AF">
        <w:t xml:space="preserve"> </w:t>
      </w:r>
      <w:r w:rsidRPr="002029AF">
        <w:t>and</w:t>
      </w:r>
      <w:r w:rsidR="000A5329" w:rsidRPr="002029AF">
        <w:t xml:space="preserve"> </w:t>
      </w:r>
      <w:r w:rsidRPr="002029AF">
        <w:t>long-term</w:t>
      </w:r>
      <w:r w:rsidR="000A5329" w:rsidRPr="002029AF">
        <w:t xml:space="preserve"> </w:t>
      </w:r>
      <w:r w:rsidRPr="002029AF">
        <w:t>housing</w:t>
      </w:r>
      <w:r w:rsidR="000A5329" w:rsidRPr="002029AF">
        <w:t xml:space="preserve"> </w:t>
      </w:r>
      <w:r w:rsidRPr="002029AF">
        <w:t>options</w:t>
      </w:r>
      <w:r w:rsidR="000A5329" w:rsidRPr="002029AF">
        <w:t xml:space="preserve"> </w:t>
      </w:r>
      <w:r w:rsidRPr="002029AF">
        <w:t>in</w:t>
      </w:r>
      <w:r w:rsidR="000A5329" w:rsidRPr="002029AF">
        <w:t xml:space="preserve"> </w:t>
      </w:r>
      <w:r w:rsidRPr="002029AF">
        <w:t>Victoria</w:t>
      </w:r>
      <w:r w:rsidR="000A5329" w:rsidRPr="002029AF">
        <w:t xml:space="preserve"> </w:t>
      </w:r>
      <w:r w:rsidRPr="002029AF">
        <w:t>–</w:t>
      </w:r>
      <w:r w:rsidR="000A5329" w:rsidRPr="002029AF">
        <w:t xml:space="preserve"> </w:t>
      </w:r>
      <w:r w:rsidRPr="002029AF">
        <w:t>particularly</w:t>
      </w:r>
      <w:r w:rsidR="000A5329" w:rsidRPr="002029AF">
        <w:t xml:space="preserve"> </w:t>
      </w:r>
      <w:r w:rsidRPr="002029AF">
        <w:t>for</w:t>
      </w:r>
      <w:r w:rsidR="000A5329" w:rsidRPr="002029AF">
        <w:t xml:space="preserve"> </w:t>
      </w:r>
      <w:r w:rsidRPr="002029AF">
        <w:t>those</w:t>
      </w:r>
      <w:r w:rsidR="000A5329" w:rsidRPr="002029AF">
        <w:t xml:space="preserve"> </w:t>
      </w:r>
      <w:r w:rsidRPr="002029AF">
        <w:t>who</w:t>
      </w:r>
      <w:r w:rsidR="000A5329" w:rsidRPr="002029AF">
        <w:t xml:space="preserve"> </w:t>
      </w:r>
      <w:r w:rsidRPr="002029AF">
        <w:t>need</w:t>
      </w:r>
      <w:r w:rsidR="000A5329" w:rsidRPr="002029AF">
        <w:t xml:space="preserve"> </w:t>
      </w:r>
      <w:r w:rsidRPr="002029AF">
        <w:t>support</w:t>
      </w:r>
      <w:r w:rsidR="000A5329" w:rsidRPr="002029AF">
        <w:t xml:space="preserve"> </w:t>
      </w:r>
      <w:r w:rsidRPr="002029AF">
        <w:t>to</w:t>
      </w:r>
      <w:r w:rsidR="000A5329" w:rsidRPr="002029AF">
        <w:t xml:space="preserve"> </w:t>
      </w:r>
      <w:r w:rsidRPr="002029AF">
        <w:t>get</w:t>
      </w:r>
      <w:r w:rsidR="000A5329" w:rsidRPr="002029AF">
        <w:t xml:space="preserve"> </w:t>
      </w:r>
      <w:r w:rsidRPr="002029AF">
        <w:t>their</w:t>
      </w:r>
      <w:r w:rsidR="000A5329" w:rsidRPr="002029AF">
        <w:t xml:space="preserve"> </w:t>
      </w:r>
      <w:r w:rsidRPr="002029AF">
        <w:t>lives</w:t>
      </w:r>
      <w:r w:rsidR="000A5329" w:rsidRPr="002029AF">
        <w:t xml:space="preserve"> </w:t>
      </w:r>
      <w:r w:rsidRPr="002029AF">
        <w:t>back</w:t>
      </w:r>
      <w:r w:rsidR="000A5329" w:rsidRPr="002029AF">
        <w:t xml:space="preserve"> </w:t>
      </w:r>
      <w:r w:rsidRPr="002029AF">
        <w:t>on</w:t>
      </w:r>
      <w:r w:rsidR="000A5329" w:rsidRPr="002029AF">
        <w:t xml:space="preserve"> </w:t>
      </w:r>
      <w:r w:rsidRPr="002029AF">
        <w:t>track.</w:t>
      </w:r>
    </w:p>
    <w:p w14:paraId="3AE05E4D" w14:textId="5F0BFC02" w:rsidR="00770DE1" w:rsidRPr="002029AF" w:rsidRDefault="00770DE1" w:rsidP="00C22356">
      <w:pPr>
        <w:pStyle w:val="Heading4"/>
      </w:pPr>
      <w:r w:rsidRPr="002029AF">
        <w:t>Children</w:t>
      </w:r>
      <w:r w:rsidR="000A5329" w:rsidRPr="002029AF">
        <w:t xml:space="preserve"> </w:t>
      </w:r>
      <w:r w:rsidRPr="002029AF">
        <w:t>and</w:t>
      </w:r>
      <w:r w:rsidR="000A5329" w:rsidRPr="002029AF">
        <w:t xml:space="preserve"> </w:t>
      </w:r>
      <w:r w:rsidRPr="002029AF">
        <w:t>Families</w:t>
      </w:r>
    </w:p>
    <w:p w14:paraId="4C8E9619" w14:textId="5617C75C" w:rsidR="00770DE1" w:rsidRPr="002029AF" w:rsidRDefault="00770DE1" w:rsidP="00CB0173">
      <w:pPr>
        <w:pStyle w:val="ARbody"/>
      </w:pPr>
      <w:r w:rsidRPr="002029AF">
        <w:t>Victoria’s</w:t>
      </w:r>
      <w:r w:rsidR="000A5329" w:rsidRPr="002029AF">
        <w:t xml:space="preserve"> </w:t>
      </w:r>
      <w:r w:rsidRPr="002029AF">
        <w:t>child</w:t>
      </w:r>
      <w:r w:rsidR="000A5329" w:rsidRPr="002029AF">
        <w:t xml:space="preserve"> </w:t>
      </w:r>
      <w:r w:rsidRPr="002029AF">
        <w:t>and</w:t>
      </w:r>
      <w:r w:rsidR="000A5329" w:rsidRPr="002029AF">
        <w:t xml:space="preserve"> </w:t>
      </w:r>
      <w:r w:rsidRPr="002029AF">
        <w:t>family</w:t>
      </w:r>
      <w:r w:rsidR="000A5329" w:rsidRPr="002029AF">
        <w:t xml:space="preserve"> </w:t>
      </w:r>
      <w:r w:rsidRPr="002029AF">
        <w:t>services</w:t>
      </w:r>
      <w:r w:rsidR="000A5329" w:rsidRPr="002029AF">
        <w:t xml:space="preserve"> </w:t>
      </w:r>
      <w:r w:rsidRPr="002029AF">
        <w:t>are</w:t>
      </w:r>
      <w:r w:rsidR="000A5329" w:rsidRPr="002029AF">
        <w:t xml:space="preserve"> </w:t>
      </w:r>
      <w:r w:rsidRPr="002029AF">
        <w:t>providing</w:t>
      </w:r>
      <w:r w:rsidR="000A5329" w:rsidRPr="002029AF">
        <w:t xml:space="preserve"> </w:t>
      </w:r>
      <w:r w:rsidRPr="002029AF">
        <w:t>vulnerable</w:t>
      </w:r>
      <w:r w:rsidR="000A5329" w:rsidRPr="002029AF">
        <w:t xml:space="preserve"> </w:t>
      </w:r>
      <w:r w:rsidRPr="002029AF">
        <w:t>children</w:t>
      </w:r>
      <w:r w:rsidR="000A5329" w:rsidRPr="002029AF">
        <w:t xml:space="preserve"> </w:t>
      </w:r>
      <w:r w:rsidRPr="002029AF">
        <w:t>and</w:t>
      </w:r>
      <w:r w:rsidR="000A5329" w:rsidRPr="002029AF">
        <w:t xml:space="preserve"> </w:t>
      </w:r>
      <w:r w:rsidRPr="002029AF">
        <w:t>families</w:t>
      </w:r>
      <w:r w:rsidR="000A5329" w:rsidRPr="002029AF">
        <w:t xml:space="preserve"> </w:t>
      </w:r>
      <w:r w:rsidRPr="002029AF">
        <w:t>with</w:t>
      </w:r>
      <w:r w:rsidR="000A5329" w:rsidRPr="002029AF">
        <w:t xml:space="preserve"> </w:t>
      </w:r>
      <w:r w:rsidRPr="002029AF">
        <w:t>earlier</w:t>
      </w:r>
      <w:r w:rsidR="000A5329" w:rsidRPr="002029AF">
        <w:t xml:space="preserve"> </w:t>
      </w:r>
      <w:r w:rsidRPr="002029AF">
        <w:t>and</w:t>
      </w:r>
      <w:r w:rsidR="000A5329" w:rsidRPr="002029AF">
        <w:t xml:space="preserve"> </w:t>
      </w:r>
      <w:r w:rsidRPr="002029AF">
        <w:t>more</w:t>
      </w:r>
      <w:r w:rsidR="000A5329" w:rsidRPr="002029AF">
        <w:t xml:space="preserve"> </w:t>
      </w:r>
      <w:r w:rsidRPr="002029AF">
        <w:t>connected</w:t>
      </w:r>
      <w:r w:rsidR="000A5329" w:rsidRPr="002029AF">
        <w:t xml:space="preserve"> </w:t>
      </w:r>
      <w:r w:rsidRPr="002029AF">
        <w:t>support</w:t>
      </w:r>
      <w:r w:rsidR="000A5329" w:rsidRPr="002029AF">
        <w:t xml:space="preserve"> </w:t>
      </w:r>
      <w:r w:rsidRPr="002029AF">
        <w:t>through</w:t>
      </w:r>
      <w:r w:rsidR="000A5329" w:rsidRPr="002029AF">
        <w:t xml:space="preserve"> </w:t>
      </w:r>
      <w:r w:rsidRPr="002029AF">
        <w:t>a</w:t>
      </w:r>
      <w:r w:rsidR="000A5329" w:rsidRPr="002029AF">
        <w:t xml:space="preserve"> </w:t>
      </w:r>
      <w:r w:rsidRPr="002029AF">
        <w:t>unified</w:t>
      </w:r>
      <w:r w:rsidR="000A5329" w:rsidRPr="002029AF">
        <w:t xml:space="preserve"> </w:t>
      </w:r>
      <w:r w:rsidRPr="002029AF">
        <w:t>system.</w:t>
      </w:r>
      <w:r w:rsidR="000A5329" w:rsidRPr="002029AF">
        <w:t xml:space="preserve"> </w:t>
      </w:r>
      <w:r w:rsidR="00057EDE" w:rsidRPr="002029AF">
        <w:t>The</w:t>
      </w:r>
      <w:r w:rsidR="000A5329" w:rsidRPr="002029AF">
        <w:t xml:space="preserve"> </w:t>
      </w:r>
      <w:r w:rsidR="00057EDE" w:rsidRPr="002029AF">
        <w:t>department</w:t>
      </w:r>
      <w:r w:rsidR="000A5329" w:rsidRPr="002029AF">
        <w:t xml:space="preserve"> </w:t>
      </w:r>
      <w:r w:rsidR="00057EDE" w:rsidRPr="002029AF">
        <w:t>is</w:t>
      </w:r>
      <w:r w:rsidR="000A5329" w:rsidRPr="002029AF">
        <w:t xml:space="preserve"> </w:t>
      </w:r>
      <w:r w:rsidRPr="002029AF">
        <w:t>designing</w:t>
      </w:r>
      <w:r w:rsidR="000A5329" w:rsidRPr="002029AF">
        <w:t xml:space="preserve"> </w:t>
      </w:r>
      <w:r w:rsidRPr="002029AF">
        <w:t>a</w:t>
      </w:r>
      <w:r w:rsidR="000A5329" w:rsidRPr="002029AF">
        <w:t xml:space="preserve"> </w:t>
      </w:r>
      <w:r w:rsidRPr="002029AF">
        <w:t>child</w:t>
      </w:r>
      <w:r w:rsidR="000A5329" w:rsidRPr="002029AF">
        <w:t xml:space="preserve"> </w:t>
      </w:r>
      <w:r w:rsidRPr="002029AF">
        <w:t>and</w:t>
      </w:r>
      <w:r w:rsidR="000A5329" w:rsidRPr="002029AF">
        <w:t xml:space="preserve"> </w:t>
      </w:r>
      <w:r w:rsidRPr="002029AF">
        <w:t>family</w:t>
      </w:r>
      <w:r w:rsidR="000A5329" w:rsidRPr="002029AF">
        <w:t xml:space="preserve"> </w:t>
      </w:r>
      <w:r w:rsidRPr="002029AF">
        <w:t>services</w:t>
      </w:r>
      <w:r w:rsidR="000A5329" w:rsidRPr="002029AF">
        <w:t xml:space="preserve"> </w:t>
      </w:r>
      <w:r w:rsidRPr="002029AF">
        <w:t>system</w:t>
      </w:r>
      <w:r w:rsidR="000A5329" w:rsidRPr="002029AF">
        <w:t xml:space="preserve"> </w:t>
      </w:r>
      <w:r w:rsidRPr="002029AF">
        <w:t>that</w:t>
      </w:r>
      <w:r w:rsidR="000A5329" w:rsidRPr="002029AF">
        <w:t xml:space="preserve"> </w:t>
      </w:r>
      <w:r w:rsidRPr="002029AF">
        <w:t>can</w:t>
      </w:r>
      <w:r w:rsidR="000A5329" w:rsidRPr="002029AF">
        <w:t xml:space="preserve"> </w:t>
      </w:r>
      <w:r w:rsidRPr="002029AF">
        <w:t>respond</w:t>
      </w:r>
      <w:r w:rsidR="000A5329" w:rsidRPr="002029AF">
        <w:t xml:space="preserve"> </w:t>
      </w:r>
      <w:r w:rsidRPr="002029AF">
        <w:t>to</w:t>
      </w:r>
      <w:r w:rsidR="000A5329" w:rsidRPr="002029AF">
        <w:t xml:space="preserve"> </w:t>
      </w:r>
      <w:r w:rsidRPr="002029AF">
        <w:t>the</w:t>
      </w:r>
      <w:r w:rsidR="000A5329" w:rsidRPr="002029AF">
        <w:t xml:space="preserve"> </w:t>
      </w:r>
      <w:r w:rsidRPr="002029AF">
        <w:t>changing</w:t>
      </w:r>
      <w:r w:rsidR="000A5329" w:rsidRPr="002029AF">
        <w:t xml:space="preserve"> </w:t>
      </w:r>
      <w:r w:rsidRPr="002029AF">
        <w:t>needs</w:t>
      </w:r>
      <w:r w:rsidR="000A5329" w:rsidRPr="002029AF">
        <w:t xml:space="preserve"> </w:t>
      </w:r>
      <w:r w:rsidRPr="002029AF">
        <w:t>of</w:t>
      </w:r>
      <w:r w:rsidR="000A5329" w:rsidRPr="002029AF">
        <w:t xml:space="preserve"> </w:t>
      </w:r>
      <w:r w:rsidRPr="002029AF">
        <w:t>families.</w:t>
      </w:r>
      <w:r w:rsidR="000A5329" w:rsidRPr="002029AF">
        <w:t xml:space="preserve"> </w:t>
      </w:r>
      <w:r w:rsidRPr="002029AF">
        <w:t>We</w:t>
      </w:r>
      <w:r w:rsidR="000A5329" w:rsidRPr="002029AF">
        <w:t xml:space="preserve"> </w:t>
      </w:r>
      <w:r w:rsidRPr="002029AF">
        <w:t>are</w:t>
      </w:r>
      <w:r w:rsidR="000A5329" w:rsidRPr="002029AF">
        <w:t xml:space="preserve"> </w:t>
      </w:r>
      <w:r w:rsidRPr="002029AF">
        <w:t>recruiting</w:t>
      </w:r>
      <w:r w:rsidR="000A5329" w:rsidRPr="002029AF">
        <w:t xml:space="preserve"> </w:t>
      </w:r>
      <w:r w:rsidRPr="002029AF">
        <w:t>additional</w:t>
      </w:r>
      <w:r w:rsidR="000A5329" w:rsidRPr="002029AF">
        <w:t xml:space="preserve"> </w:t>
      </w:r>
      <w:r w:rsidRPr="002029AF">
        <w:t>child</w:t>
      </w:r>
      <w:r w:rsidR="00B97ABC" w:rsidRPr="002029AF">
        <w:t> </w:t>
      </w:r>
      <w:r w:rsidRPr="002029AF">
        <w:t>protection</w:t>
      </w:r>
      <w:r w:rsidR="000A5329" w:rsidRPr="002029AF">
        <w:t xml:space="preserve"> </w:t>
      </w:r>
      <w:r w:rsidRPr="002029AF">
        <w:t>practitioners</w:t>
      </w:r>
      <w:r w:rsidR="000A5329" w:rsidRPr="002029AF">
        <w:t xml:space="preserve"> </w:t>
      </w:r>
      <w:r w:rsidRPr="002029AF">
        <w:t>–</w:t>
      </w:r>
      <w:r w:rsidR="000A5329" w:rsidRPr="002029AF">
        <w:t xml:space="preserve"> </w:t>
      </w:r>
      <w:r w:rsidRPr="002029AF">
        <w:t>the</w:t>
      </w:r>
      <w:r w:rsidR="000A5329" w:rsidRPr="002029AF">
        <w:t xml:space="preserve"> </w:t>
      </w:r>
      <w:r w:rsidRPr="002029AF">
        <w:t>largest</w:t>
      </w:r>
      <w:r w:rsidR="000A5329" w:rsidRPr="002029AF">
        <w:t xml:space="preserve"> </w:t>
      </w:r>
      <w:r w:rsidRPr="002029AF">
        <w:t>ever</w:t>
      </w:r>
      <w:r w:rsidR="000A5329" w:rsidRPr="002029AF">
        <w:t xml:space="preserve"> </w:t>
      </w:r>
      <w:r w:rsidRPr="002029AF">
        <w:t>expansion</w:t>
      </w:r>
      <w:r w:rsidR="000A5329" w:rsidRPr="002029AF">
        <w:t xml:space="preserve"> </w:t>
      </w:r>
      <w:r w:rsidRPr="002029AF">
        <w:t>of</w:t>
      </w:r>
      <w:r w:rsidR="000A5329" w:rsidRPr="002029AF">
        <w:t xml:space="preserve"> </w:t>
      </w:r>
      <w:r w:rsidRPr="002029AF">
        <w:t>the</w:t>
      </w:r>
      <w:r w:rsidR="000A5329" w:rsidRPr="002029AF">
        <w:t xml:space="preserve"> </w:t>
      </w:r>
      <w:r w:rsidR="00CD5894" w:rsidRPr="002029AF">
        <w:t>child</w:t>
      </w:r>
      <w:r w:rsidR="000A5329" w:rsidRPr="002029AF">
        <w:t xml:space="preserve"> </w:t>
      </w:r>
      <w:r w:rsidR="000343EC" w:rsidRPr="002029AF">
        <w:t>protection</w:t>
      </w:r>
      <w:r w:rsidR="000A5329" w:rsidRPr="002029AF">
        <w:t xml:space="preserve"> </w:t>
      </w:r>
      <w:r w:rsidRPr="002029AF">
        <w:t>workforce</w:t>
      </w:r>
      <w:r w:rsidR="000A5329" w:rsidRPr="002029AF">
        <w:t xml:space="preserve"> </w:t>
      </w:r>
      <w:r w:rsidR="0091655D" w:rsidRPr="002029AF">
        <w:t>-</w:t>
      </w:r>
      <w:r w:rsidRPr="002029AF">
        <w:t>and</w:t>
      </w:r>
      <w:r w:rsidR="000A5329" w:rsidRPr="002029AF">
        <w:t xml:space="preserve"> </w:t>
      </w:r>
      <w:r w:rsidRPr="002029AF">
        <w:t>we</w:t>
      </w:r>
      <w:r w:rsidR="000A5329" w:rsidRPr="002029AF">
        <w:t xml:space="preserve"> </w:t>
      </w:r>
      <w:r w:rsidRPr="002029AF">
        <w:t>are</w:t>
      </w:r>
      <w:r w:rsidR="000A5329" w:rsidRPr="002029AF">
        <w:t xml:space="preserve"> </w:t>
      </w:r>
      <w:r w:rsidRPr="002029AF">
        <w:t>working</w:t>
      </w:r>
      <w:r w:rsidR="000A5329" w:rsidRPr="002029AF">
        <w:t xml:space="preserve"> </w:t>
      </w:r>
      <w:r w:rsidRPr="002029AF">
        <w:t>to</w:t>
      </w:r>
      <w:r w:rsidR="000A5329" w:rsidRPr="002029AF">
        <w:t xml:space="preserve"> </w:t>
      </w:r>
      <w:r w:rsidRPr="002029AF">
        <w:t>ensure</w:t>
      </w:r>
      <w:r w:rsidR="000A5329" w:rsidRPr="002029AF">
        <w:t xml:space="preserve"> </w:t>
      </w:r>
      <w:r w:rsidRPr="002029AF">
        <w:t>every</w:t>
      </w:r>
      <w:r w:rsidR="000A5329" w:rsidRPr="002029AF">
        <w:t xml:space="preserve"> </w:t>
      </w:r>
      <w:r w:rsidRPr="002029AF">
        <w:t>Aboriginal</w:t>
      </w:r>
      <w:r w:rsidR="000A5329" w:rsidRPr="002029AF">
        <w:t xml:space="preserve"> </w:t>
      </w:r>
      <w:r w:rsidRPr="002029AF">
        <w:t>child</w:t>
      </w:r>
      <w:r w:rsidR="000A5329" w:rsidRPr="002029AF">
        <w:t xml:space="preserve"> </w:t>
      </w:r>
      <w:r w:rsidRPr="002029AF">
        <w:t>has</w:t>
      </w:r>
      <w:r w:rsidR="000A5329" w:rsidRPr="002029AF">
        <w:t xml:space="preserve"> </w:t>
      </w:r>
      <w:r w:rsidRPr="002029AF">
        <w:t>the</w:t>
      </w:r>
      <w:r w:rsidR="000A5329" w:rsidRPr="002029AF">
        <w:t xml:space="preserve"> </w:t>
      </w:r>
      <w:r w:rsidRPr="002029AF">
        <w:t>opportunity</w:t>
      </w:r>
      <w:r w:rsidR="000A5329" w:rsidRPr="002029AF">
        <w:t xml:space="preserve"> </w:t>
      </w:r>
      <w:r w:rsidRPr="002029AF">
        <w:t>to</w:t>
      </w:r>
      <w:r w:rsidR="000A5329" w:rsidRPr="002029AF">
        <w:t xml:space="preserve"> </w:t>
      </w:r>
      <w:r w:rsidRPr="002029AF">
        <w:t>learn,</w:t>
      </w:r>
      <w:r w:rsidR="000A5329" w:rsidRPr="002029AF">
        <w:t xml:space="preserve"> </w:t>
      </w:r>
      <w:r w:rsidRPr="002029AF">
        <w:t>practi</w:t>
      </w:r>
      <w:r w:rsidR="00735026" w:rsidRPr="002029AF">
        <w:t>s</w:t>
      </w:r>
      <w:r w:rsidRPr="002029AF">
        <w:t>e,</w:t>
      </w:r>
      <w:r w:rsidR="000A5329" w:rsidRPr="002029AF">
        <w:t xml:space="preserve"> </w:t>
      </w:r>
      <w:r w:rsidRPr="002029AF">
        <w:t>thrive</w:t>
      </w:r>
      <w:r w:rsidR="000A5329" w:rsidRPr="002029AF">
        <w:t xml:space="preserve"> </w:t>
      </w:r>
      <w:r w:rsidRPr="002029AF">
        <w:t>and</w:t>
      </w:r>
      <w:r w:rsidR="000A5329" w:rsidRPr="002029AF">
        <w:t xml:space="preserve"> </w:t>
      </w:r>
      <w:r w:rsidRPr="002029AF">
        <w:t>pass</w:t>
      </w:r>
      <w:r w:rsidR="000A5329" w:rsidRPr="002029AF">
        <w:t xml:space="preserve"> </w:t>
      </w:r>
      <w:r w:rsidRPr="002029AF">
        <w:t>on</w:t>
      </w:r>
      <w:r w:rsidR="000A5329" w:rsidRPr="002029AF">
        <w:t xml:space="preserve"> </w:t>
      </w:r>
      <w:r w:rsidRPr="002029AF">
        <w:t>their</w:t>
      </w:r>
      <w:r w:rsidR="000A5329" w:rsidRPr="002029AF">
        <w:t xml:space="preserve"> </w:t>
      </w:r>
      <w:r w:rsidRPr="002029AF">
        <w:t>culture.</w:t>
      </w:r>
      <w:r w:rsidR="000A5329" w:rsidRPr="002029AF">
        <w:t xml:space="preserve"> </w:t>
      </w:r>
      <w:r w:rsidRPr="002029AF">
        <w:t>We</w:t>
      </w:r>
      <w:r w:rsidR="000A5329" w:rsidRPr="002029AF">
        <w:t xml:space="preserve"> </w:t>
      </w:r>
      <w:r w:rsidRPr="002029AF">
        <w:t>work</w:t>
      </w:r>
      <w:r w:rsidR="000A5329" w:rsidRPr="002029AF">
        <w:t xml:space="preserve"> </w:t>
      </w:r>
      <w:r w:rsidRPr="002029AF">
        <w:t>with</w:t>
      </w:r>
      <w:r w:rsidR="000A5329" w:rsidRPr="002029AF">
        <w:t xml:space="preserve"> </w:t>
      </w:r>
      <w:r w:rsidRPr="002029AF">
        <w:t>Victoria</w:t>
      </w:r>
      <w:r w:rsidR="000A5329" w:rsidRPr="002029AF">
        <w:t xml:space="preserve"> </w:t>
      </w:r>
      <w:r w:rsidRPr="002029AF">
        <w:t>Police,</w:t>
      </w:r>
      <w:r w:rsidR="000A5329" w:rsidRPr="002029AF">
        <w:t xml:space="preserve"> </w:t>
      </w:r>
      <w:r w:rsidRPr="002029AF">
        <w:t>Ambulance</w:t>
      </w:r>
      <w:r w:rsidR="000A5329" w:rsidRPr="002029AF">
        <w:t xml:space="preserve"> </w:t>
      </w:r>
      <w:r w:rsidRPr="002029AF">
        <w:t>Victoria,</w:t>
      </w:r>
      <w:r w:rsidR="000A5329" w:rsidRPr="002029AF">
        <w:t xml:space="preserve"> </w:t>
      </w:r>
      <w:r w:rsidRPr="002029AF">
        <w:t>across</w:t>
      </w:r>
      <w:r w:rsidR="000A5329" w:rsidRPr="002029AF">
        <w:t xml:space="preserve"> </w:t>
      </w:r>
      <w:r w:rsidRPr="002029AF">
        <w:t>government</w:t>
      </w:r>
      <w:r w:rsidR="000A5329" w:rsidRPr="002029AF">
        <w:t xml:space="preserve"> </w:t>
      </w:r>
      <w:r w:rsidRPr="002029AF">
        <w:t>and</w:t>
      </w:r>
      <w:r w:rsidR="000A5329" w:rsidRPr="002029AF">
        <w:t xml:space="preserve"> </w:t>
      </w:r>
      <w:r w:rsidRPr="002029AF">
        <w:t>with</w:t>
      </w:r>
      <w:r w:rsidR="000A5329" w:rsidRPr="002029AF">
        <w:t xml:space="preserve"> </w:t>
      </w:r>
      <w:r w:rsidRPr="002029AF">
        <w:t>a</w:t>
      </w:r>
      <w:r w:rsidR="00B97ABC" w:rsidRPr="002029AF">
        <w:t> </w:t>
      </w:r>
      <w:r w:rsidRPr="002029AF">
        <w:t>host</w:t>
      </w:r>
      <w:r w:rsidR="000A5329" w:rsidRPr="002029AF">
        <w:t xml:space="preserve"> </w:t>
      </w:r>
      <w:r w:rsidRPr="002029AF">
        <w:t>of</w:t>
      </w:r>
      <w:r w:rsidR="000A5329" w:rsidRPr="002029AF">
        <w:t xml:space="preserve"> </w:t>
      </w:r>
      <w:r w:rsidRPr="002029AF">
        <w:t>other</w:t>
      </w:r>
      <w:r w:rsidR="000A5329" w:rsidRPr="002029AF">
        <w:t xml:space="preserve"> </w:t>
      </w:r>
      <w:r w:rsidRPr="002029AF">
        <w:t>support</w:t>
      </w:r>
      <w:r w:rsidR="000A5329" w:rsidRPr="002029AF">
        <w:t xml:space="preserve"> </w:t>
      </w:r>
      <w:r w:rsidRPr="002029AF">
        <w:t>agencies</w:t>
      </w:r>
      <w:r w:rsidR="000A5329" w:rsidRPr="002029AF">
        <w:t xml:space="preserve"> </w:t>
      </w:r>
      <w:r w:rsidRPr="002029AF">
        <w:t>to</w:t>
      </w:r>
      <w:r w:rsidR="000A5329" w:rsidRPr="002029AF">
        <w:t xml:space="preserve"> </w:t>
      </w:r>
      <w:r w:rsidRPr="002029AF">
        <w:t>keep</w:t>
      </w:r>
      <w:r w:rsidR="000A5329" w:rsidRPr="002029AF">
        <w:t xml:space="preserve"> </w:t>
      </w:r>
      <w:r w:rsidRPr="002029AF">
        <w:t>children</w:t>
      </w:r>
      <w:r w:rsidR="000A5329" w:rsidRPr="002029AF">
        <w:t xml:space="preserve"> </w:t>
      </w:r>
      <w:r w:rsidRPr="002029AF">
        <w:t>safe.</w:t>
      </w:r>
    </w:p>
    <w:p w14:paraId="10D63E78" w14:textId="77777777" w:rsidR="00D61015" w:rsidRPr="002029AF" w:rsidRDefault="00D61015" w:rsidP="00D61015">
      <w:pPr>
        <w:pStyle w:val="Heading4"/>
      </w:pPr>
      <w:r w:rsidRPr="002029AF">
        <w:t>Prevention of family violence</w:t>
      </w:r>
    </w:p>
    <w:p w14:paraId="06273DEA" w14:textId="77777777" w:rsidR="00D61015" w:rsidRPr="002029AF" w:rsidRDefault="00D61015" w:rsidP="00D61015">
      <w:pPr>
        <w:pStyle w:val="ARbody"/>
      </w:pPr>
      <w:r w:rsidRPr="002029AF">
        <w:t>The department is working towards a Victoria free from family violence. Successful primary prevention of family violence</w:t>
      </w:r>
      <w:r>
        <w:t>, elder abuse</w:t>
      </w:r>
      <w:r w:rsidRPr="002029AF">
        <w:t xml:space="preserve"> and all forms of violence against women is a critical part of achieving this. The delivery of Orange Doors and behaviour change programs for perpetrator are major elements of our efforts to end family violence.</w:t>
      </w:r>
    </w:p>
    <w:p w14:paraId="2A7EF5F4" w14:textId="77777777" w:rsidR="00D61015" w:rsidRPr="002029AF" w:rsidRDefault="00D61015" w:rsidP="00D61015">
      <w:pPr>
        <w:pStyle w:val="ARbody"/>
      </w:pPr>
      <w:r w:rsidRPr="002029AF">
        <w:t>The department also funds a range of support services for victim-survivors of family violence and services that seek to engage perpetrators and support them to change their behaviour.</w:t>
      </w:r>
    </w:p>
    <w:p w14:paraId="5B2F7A06" w14:textId="15881712" w:rsidR="00770DE1" w:rsidRPr="002029AF" w:rsidRDefault="00770DE1" w:rsidP="00C22356">
      <w:pPr>
        <w:pStyle w:val="Heading2"/>
      </w:pPr>
      <w:r w:rsidRPr="002029AF">
        <w:t>Leadership</w:t>
      </w:r>
      <w:r w:rsidR="000A5329" w:rsidRPr="002029AF">
        <w:t xml:space="preserve"> </w:t>
      </w:r>
      <w:r w:rsidRPr="002029AF">
        <w:t>charter</w:t>
      </w:r>
    </w:p>
    <w:p w14:paraId="47692739" w14:textId="3C0EF359" w:rsidR="00770DE1" w:rsidRPr="002029AF" w:rsidRDefault="00770DE1" w:rsidP="00CB0173">
      <w:pPr>
        <w:pStyle w:val="ARbody"/>
      </w:pPr>
      <w:r w:rsidRPr="002029AF">
        <w:t>Our</w:t>
      </w:r>
      <w:r w:rsidR="000A5329" w:rsidRPr="002029AF">
        <w:t xml:space="preserve"> </w:t>
      </w:r>
      <w:r w:rsidRPr="002029AF">
        <w:t>leadership</w:t>
      </w:r>
      <w:r w:rsidR="000A5329" w:rsidRPr="002029AF">
        <w:t xml:space="preserve"> </w:t>
      </w:r>
      <w:r w:rsidRPr="002029AF">
        <w:t>charter</w:t>
      </w:r>
      <w:r w:rsidR="000A5329" w:rsidRPr="002029AF">
        <w:t xml:space="preserve"> </w:t>
      </w:r>
      <w:r w:rsidRPr="002029AF">
        <w:t>is</w:t>
      </w:r>
      <w:r w:rsidR="000A5329" w:rsidRPr="002029AF">
        <w:t xml:space="preserve"> </w:t>
      </w:r>
      <w:r w:rsidRPr="002029AF">
        <w:t>an</w:t>
      </w:r>
      <w:r w:rsidR="000A5329" w:rsidRPr="002029AF">
        <w:t xml:space="preserve"> </w:t>
      </w:r>
      <w:r w:rsidRPr="002029AF">
        <w:t>important</w:t>
      </w:r>
      <w:r w:rsidR="000A5329" w:rsidRPr="002029AF">
        <w:t xml:space="preserve"> </w:t>
      </w:r>
      <w:r w:rsidRPr="002029AF">
        <w:t>part</w:t>
      </w:r>
      <w:r w:rsidR="000A5329" w:rsidRPr="002029AF">
        <w:t xml:space="preserve"> </w:t>
      </w:r>
      <w:r w:rsidRPr="002029AF">
        <w:t>of</w:t>
      </w:r>
      <w:r w:rsidR="000A5329" w:rsidRPr="002029AF">
        <w:t xml:space="preserve"> </w:t>
      </w:r>
      <w:r w:rsidRPr="002029AF">
        <w:t>shaping</w:t>
      </w:r>
      <w:r w:rsidR="000A5329" w:rsidRPr="002029AF">
        <w:t xml:space="preserve"> </w:t>
      </w:r>
      <w:r w:rsidRPr="002029AF">
        <w:t>our</w:t>
      </w:r>
      <w:r w:rsidR="000A5329" w:rsidRPr="002029AF">
        <w:t xml:space="preserve"> </w:t>
      </w:r>
      <w:r w:rsidRPr="002029AF">
        <w:t>culture.</w:t>
      </w:r>
    </w:p>
    <w:p w14:paraId="281296E4" w14:textId="2E52218F" w:rsidR="00770DE1" w:rsidRPr="002029AF" w:rsidRDefault="00770DE1" w:rsidP="00CB0173">
      <w:pPr>
        <w:pStyle w:val="ARbody"/>
      </w:pPr>
      <w:r w:rsidRPr="002029AF">
        <w:t>It</w:t>
      </w:r>
      <w:r w:rsidR="000A5329" w:rsidRPr="002029AF">
        <w:t xml:space="preserve"> </w:t>
      </w:r>
      <w:r w:rsidRPr="002029AF">
        <w:t>outlines</w:t>
      </w:r>
      <w:r w:rsidR="000A5329" w:rsidRPr="002029AF">
        <w:t xml:space="preserve"> </w:t>
      </w:r>
      <w:r w:rsidRPr="002029AF">
        <w:t>the</w:t>
      </w:r>
      <w:r w:rsidR="000A5329" w:rsidRPr="002029AF">
        <w:t xml:space="preserve"> </w:t>
      </w:r>
      <w:r w:rsidRPr="002029AF">
        <w:t>leadership</w:t>
      </w:r>
      <w:r w:rsidR="000A5329" w:rsidRPr="002029AF">
        <w:t xml:space="preserve"> </w:t>
      </w:r>
      <w:r w:rsidRPr="002029AF">
        <w:t>behaviours</w:t>
      </w:r>
      <w:r w:rsidR="000A5329" w:rsidRPr="002029AF">
        <w:t xml:space="preserve"> </w:t>
      </w:r>
      <w:r w:rsidRPr="002029AF">
        <w:t>our</w:t>
      </w:r>
      <w:r w:rsidR="000A5329" w:rsidRPr="002029AF">
        <w:t xml:space="preserve"> </w:t>
      </w:r>
      <w:r w:rsidRPr="002029AF">
        <w:t>staff</w:t>
      </w:r>
      <w:r w:rsidR="000A5329" w:rsidRPr="002029AF">
        <w:t xml:space="preserve"> </w:t>
      </w:r>
      <w:r w:rsidRPr="002029AF">
        <w:t>and</w:t>
      </w:r>
      <w:r w:rsidR="00B97ABC" w:rsidRPr="002029AF">
        <w:t> </w:t>
      </w:r>
      <w:r w:rsidRPr="002029AF">
        <w:t>stakeholders</w:t>
      </w:r>
      <w:r w:rsidR="000A5329" w:rsidRPr="002029AF">
        <w:t xml:space="preserve"> </w:t>
      </w:r>
      <w:r w:rsidRPr="002029AF">
        <w:t>can</w:t>
      </w:r>
      <w:r w:rsidR="000A5329" w:rsidRPr="002029AF">
        <w:t xml:space="preserve"> </w:t>
      </w:r>
      <w:r w:rsidRPr="002029AF">
        <w:t>expect</w:t>
      </w:r>
      <w:r w:rsidR="000A5329" w:rsidRPr="002029AF">
        <w:t xml:space="preserve"> </w:t>
      </w:r>
      <w:r w:rsidRPr="002029AF">
        <w:t>of</w:t>
      </w:r>
      <w:r w:rsidR="000A5329" w:rsidRPr="002029AF">
        <w:t xml:space="preserve"> </w:t>
      </w:r>
      <w:r w:rsidRPr="002029AF">
        <w:t>the</w:t>
      </w:r>
      <w:r w:rsidR="000A5329" w:rsidRPr="002029AF">
        <w:t xml:space="preserve"> </w:t>
      </w:r>
      <w:r w:rsidRPr="002029AF">
        <w:t>executive</w:t>
      </w:r>
      <w:r w:rsidR="000A5329" w:rsidRPr="002029AF">
        <w:t xml:space="preserve"> </w:t>
      </w:r>
      <w:r w:rsidRPr="002029AF">
        <w:t>leadership</w:t>
      </w:r>
      <w:r w:rsidR="000A5329" w:rsidRPr="002029AF">
        <w:t xml:space="preserve"> </w:t>
      </w:r>
      <w:r w:rsidRPr="002029AF">
        <w:t>group</w:t>
      </w:r>
      <w:r w:rsidR="000A5329" w:rsidRPr="002029AF">
        <w:t xml:space="preserve"> </w:t>
      </w:r>
      <w:r w:rsidRPr="002029AF">
        <w:t>and</w:t>
      </w:r>
      <w:r w:rsidR="000A5329" w:rsidRPr="002029AF">
        <w:t xml:space="preserve"> </w:t>
      </w:r>
      <w:r w:rsidRPr="002029AF">
        <w:t>positions</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as</w:t>
      </w:r>
      <w:r w:rsidR="00B97ABC" w:rsidRPr="002029AF">
        <w:t> </w:t>
      </w:r>
      <w:r w:rsidRPr="002029AF">
        <w:t>a</w:t>
      </w:r>
      <w:r w:rsidR="00B97ABC" w:rsidRPr="002029AF">
        <w:t> </w:t>
      </w:r>
      <w:r w:rsidRPr="002029AF">
        <w:t>great</w:t>
      </w:r>
      <w:r w:rsidR="000A5329" w:rsidRPr="002029AF">
        <w:t xml:space="preserve"> </w:t>
      </w:r>
      <w:r w:rsidRPr="002029AF">
        <w:t>place</w:t>
      </w:r>
      <w:r w:rsidR="000A5329" w:rsidRPr="002029AF">
        <w:t xml:space="preserve"> </w:t>
      </w:r>
      <w:r w:rsidRPr="002029AF">
        <w:t>to</w:t>
      </w:r>
      <w:r w:rsidR="000A5329" w:rsidRPr="002029AF">
        <w:t xml:space="preserve"> </w:t>
      </w:r>
      <w:r w:rsidRPr="002029AF">
        <w:t>work.</w:t>
      </w:r>
      <w:r w:rsidR="000A5329" w:rsidRPr="002029AF">
        <w:t xml:space="preserve"> </w:t>
      </w:r>
      <w:r w:rsidRPr="002029AF">
        <w:t>It</w:t>
      </w:r>
      <w:r w:rsidR="000A5329" w:rsidRPr="002029AF">
        <w:t xml:space="preserve"> </w:t>
      </w:r>
      <w:r w:rsidRPr="002029AF">
        <w:t>represents</w:t>
      </w:r>
      <w:r w:rsidR="000A5329" w:rsidRPr="002029AF">
        <w:t xml:space="preserve"> </w:t>
      </w:r>
      <w:r w:rsidRPr="002029AF">
        <w:t>how</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executive</w:t>
      </w:r>
      <w:r w:rsidR="000A5329" w:rsidRPr="002029AF">
        <w:t xml:space="preserve"> </w:t>
      </w:r>
      <w:r w:rsidRPr="002029AF">
        <w:t>leadership</w:t>
      </w:r>
      <w:r w:rsidR="000A5329" w:rsidRPr="002029AF">
        <w:t xml:space="preserve"> </w:t>
      </w:r>
      <w:r w:rsidRPr="002029AF">
        <w:t>group</w:t>
      </w:r>
      <w:r w:rsidR="000A5329" w:rsidRPr="002029AF">
        <w:t xml:space="preserve"> </w:t>
      </w:r>
      <w:r w:rsidRPr="002029AF">
        <w:t>wish</w:t>
      </w:r>
      <w:r w:rsidR="000A5329" w:rsidRPr="002029AF">
        <w:t xml:space="preserve"> </w:t>
      </w:r>
      <w:r w:rsidRPr="002029AF">
        <w:t>to</w:t>
      </w:r>
      <w:r w:rsidR="000A5329" w:rsidRPr="002029AF">
        <w:t xml:space="preserve"> </w:t>
      </w:r>
      <w:r w:rsidRPr="002029AF">
        <w:lastRenderedPageBreak/>
        <w:t>be</w:t>
      </w:r>
      <w:r w:rsidR="00B97ABC" w:rsidRPr="002029AF">
        <w:t> </w:t>
      </w:r>
      <w:r w:rsidRPr="002029AF">
        <w:t>known</w:t>
      </w:r>
      <w:r w:rsidR="000A5329" w:rsidRPr="002029AF">
        <w:t xml:space="preserve"> </w:t>
      </w:r>
      <w:r w:rsidRPr="002029AF">
        <w:t>and</w:t>
      </w:r>
      <w:r w:rsidR="000A5329" w:rsidRPr="002029AF">
        <w:t xml:space="preserve"> </w:t>
      </w:r>
      <w:r w:rsidRPr="002029AF">
        <w:t>to</w:t>
      </w:r>
      <w:r w:rsidR="000A5329" w:rsidRPr="002029AF">
        <w:t xml:space="preserve"> </w:t>
      </w:r>
      <w:r w:rsidRPr="002029AF">
        <w:t>relate</w:t>
      </w:r>
      <w:r w:rsidR="000A5329" w:rsidRPr="002029AF">
        <w:t xml:space="preserve"> </w:t>
      </w:r>
      <w:r w:rsidRPr="002029AF">
        <w:t>to</w:t>
      </w:r>
      <w:r w:rsidR="000A5329" w:rsidRPr="002029AF">
        <w:t xml:space="preserve"> </w:t>
      </w:r>
      <w:r w:rsidRPr="002029AF">
        <w:t>each</w:t>
      </w:r>
      <w:r w:rsidR="000A5329" w:rsidRPr="002029AF">
        <w:t xml:space="preserve"> </w:t>
      </w:r>
      <w:r w:rsidRPr="002029AF">
        <w:t>other</w:t>
      </w:r>
      <w:r w:rsidR="000A5329" w:rsidRPr="002029AF">
        <w:t xml:space="preserve"> </w:t>
      </w:r>
      <w:r w:rsidRPr="002029AF">
        <w:t>and</w:t>
      </w:r>
      <w:r w:rsidR="000A5329" w:rsidRPr="002029AF">
        <w:t xml:space="preserve"> </w:t>
      </w:r>
      <w:r w:rsidRPr="002029AF">
        <w:t>to</w:t>
      </w:r>
      <w:r w:rsidR="000A5329" w:rsidRPr="002029AF">
        <w:t xml:space="preserve"> </w:t>
      </w:r>
      <w:r w:rsidRPr="002029AF">
        <w:t>our</w:t>
      </w:r>
      <w:r w:rsidR="000A5329" w:rsidRPr="002029AF">
        <w:t xml:space="preserve"> </w:t>
      </w:r>
      <w:r w:rsidRPr="002029AF">
        <w:t>stakeholders.</w:t>
      </w:r>
    </w:p>
    <w:p w14:paraId="6C3372DB" w14:textId="574FBBCF" w:rsidR="00770DE1" w:rsidRPr="002029AF" w:rsidRDefault="00770DE1" w:rsidP="00CB0173">
      <w:pPr>
        <w:pStyle w:val="ARbody"/>
      </w:pPr>
      <w:r w:rsidRPr="002029AF">
        <w:t>The</w:t>
      </w:r>
      <w:r w:rsidR="000A5329" w:rsidRPr="002029AF">
        <w:t xml:space="preserve"> </w:t>
      </w:r>
      <w:r w:rsidRPr="002029AF">
        <w:t>charter</w:t>
      </w:r>
      <w:r w:rsidR="000A5329" w:rsidRPr="002029AF">
        <w:t xml:space="preserve"> </w:t>
      </w:r>
      <w:r w:rsidRPr="002029AF">
        <w:t>commits</w:t>
      </w:r>
      <w:r w:rsidR="000A5329" w:rsidRPr="002029AF">
        <w:t xml:space="preserve"> </w:t>
      </w:r>
      <w:r w:rsidRPr="002029AF">
        <w:t>the</w:t>
      </w:r>
      <w:r w:rsidR="000A5329" w:rsidRPr="002029AF">
        <w:t xml:space="preserve"> </w:t>
      </w:r>
      <w:r w:rsidRPr="002029AF">
        <w:t>executive</w:t>
      </w:r>
      <w:r w:rsidR="000A5329" w:rsidRPr="002029AF">
        <w:t xml:space="preserve"> </w:t>
      </w:r>
      <w:r w:rsidRPr="002029AF">
        <w:t>leadership</w:t>
      </w:r>
      <w:r w:rsidR="000A5329" w:rsidRPr="002029AF">
        <w:t xml:space="preserve"> </w:t>
      </w:r>
      <w:r w:rsidRPr="002029AF">
        <w:t>group</w:t>
      </w:r>
      <w:r w:rsidR="000A5329" w:rsidRPr="002029AF">
        <w:t xml:space="preserve"> </w:t>
      </w:r>
      <w:r w:rsidRPr="002029AF">
        <w:t>to</w:t>
      </w:r>
      <w:r w:rsidR="000A5329" w:rsidRPr="002029AF">
        <w:t xml:space="preserve"> </w:t>
      </w:r>
      <w:r w:rsidRPr="002029AF">
        <w:t>lead</w:t>
      </w:r>
      <w:r w:rsidR="000A5329" w:rsidRPr="002029AF">
        <w:t xml:space="preserve"> </w:t>
      </w:r>
      <w:r w:rsidRPr="002029AF">
        <w:t>by</w:t>
      </w:r>
      <w:r w:rsidR="000A5329" w:rsidRPr="002029AF">
        <w:t xml:space="preserve"> </w:t>
      </w:r>
      <w:r w:rsidRPr="002029AF">
        <w:t>example</w:t>
      </w:r>
      <w:r w:rsidR="000A5329" w:rsidRPr="002029AF">
        <w:t xml:space="preserve"> </w:t>
      </w:r>
      <w:r w:rsidRPr="002029AF">
        <w:t>and</w:t>
      </w:r>
      <w:r w:rsidR="000A5329" w:rsidRPr="002029AF">
        <w:t xml:space="preserve"> </w:t>
      </w:r>
      <w:r w:rsidRPr="002029AF">
        <w:t>ensure</w:t>
      </w:r>
      <w:r w:rsidR="000A5329" w:rsidRPr="002029AF">
        <w:t xml:space="preserve"> </w:t>
      </w:r>
      <w:r w:rsidRPr="002029AF">
        <w:t>their</w:t>
      </w:r>
      <w:r w:rsidR="000A5329" w:rsidRPr="002029AF">
        <w:t xml:space="preserve"> </w:t>
      </w:r>
      <w:r w:rsidRPr="002029AF">
        <w:t>behaviours</w:t>
      </w:r>
      <w:r w:rsidR="000A5329" w:rsidRPr="002029AF">
        <w:t xml:space="preserve"> </w:t>
      </w:r>
      <w:r w:rsidRPr="002029AF">
        <w:t>and</w:t>
      </w:r>
      <w:r w:rsidR="000A5329" w:rsidRPr="002029AF">
        <w:t xml:space="preserve"> </w:t>
      </w:r>
      <w:r w:rsidRPr="002029AF">
        <w:t>the</w:t>
      </w:r>
      <w:r w:rsidR="000A5329" w:rsidRPr="002029AF">
        <w:t xml:space="preserve"> </w:t>
      </w:r>
      <w:r w:rsidRPr="002029AF">
        <w:t>way</w:t>
      </w:r>
      <w:r w:rsidR="000A5329" w:rsidRPr="002029AF">
        <w:t xml:space="preserve"> </w:t>
      </w:r>
      <w:r w:rsidRPr="002029AF">
        <w:t>they</w:t>
      </w:r>
      <w:r w:rsidR="000A5329" w:rsidRPr="002029AF">
        <w:t xml:space="preserve"> </w:t>
      </w:r>
      <w:r w:rsidRPr="002029AF">
        <w:t>approach</w:t>
      </w:r>
      <w:r w:rsidR="000A5329" w:rsidRPr="002029AF">
        <w:t xml:space="preserve"> </w:t>
      </w:r>
      <w:r w:rsidRPr="002029AF">
        <w:t>their</w:t>
      </w:r>
      <w:r w:rsidR="000A5329" w:rsidRPr="002029AF">
        <w:t xml:space="preserve"> </w:t>
      </w:r>
      <w:r w:rsidRPr="002029AF">
        <w:t>work</w:t>
      </w:r>
      <w:r w:rsidR="000A5329" w:rsidRPr="002029AF">
        <w:t xml:space="preserve"> </w:t>
      </w:r>
      <w:r w:rsidRPr="002029AF">
        <w:t>embod</w:t>
      </w:r>
      <w:r w:rsidR="004A2259" w:rsidRPr="002029AF">
        <w:t>y</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values.</w:t>
      </w:r>
      <w:r w:rsidR="000A5329" w:rsidRPr="002029AF">
        <w:t xml:space="preserve"> </w:t>
      </w:r>
      <w:r w:rsidRPr="002029AF">
        <w:t>For</w:t>
      </w:r>
      <w:r w:rsidR="000A5329" w:rsidRPr="002029AF">
        <w:t xml:space="preserve"> </w:t>
      </w:r>
      <w:r w:rsidRPr="002029AF">
        <w:t>example,</w:t>
      </w:r>
      <w:r w:rsidR="000A5329" w:rsidRPr="002029AF">
        <w:t xml:space="preserve"> </w:t>
      </w:r>
      <w:r w:rsidR="00B369E7" w:rsidRPr="002029AF">
        <w:t>executives</w:t>
      </w:r>
      <w:r w:rsidR="000A5329" w:rsidRPr="002029AF">
        <w:t xml:space="preserve"> </w:t>
      </w:r>
      <w:r w:rsidR="00B369E7" w:rsidRPr="002029AF">
        <w:t>are</w:t>
      </w:r>
      <w:r w:rsidR="000A5329" w:rsidRPr="002029AF">
        <w:t xml:space="preserve"> </w:t>
      </w:r>
      <w:r w:rsidR="007A7CF5" w:rsidRPr="002029AF">
        <w:t>committed</w:t>
      </w:r>
      <w:r w:rsidR="000A5329" w:rsidRPr="002029AF">
        <w:t xml:space="preserve"> </w:t>
      </w:r>
      <w:r w:rsidR="007A7CF5" w:rsidRPr="002029AF">
        <w:t>to</w:t>
      </w:r>
      <w:r w:rsidR="000A5329" w:rsidRPr="002029AF">
        <w:t xml:space="preserve"> </w:t>
      </w:r>
      <w:r w:rsidRPr="002029AF">
        <w:t>being</w:t>
      </w:r>
      <w:r w:rsidR="000A5329" w:rsidRPr="002029AF">
        <w:t xml:space="preserve"> </w:t>
      </w:r>
      <w:r w:rsidRPr="002029AF">
        <w:t>accountable</w:t>
      </w:r>
      <w:r w:rsidR="000A5329" w:rsidRPr="002029AF">
        <w:t xml:space="preserve"> </w:t>
      </w:r>
      <w:r w:rsidRPr="002029AF">
        <w:t>for</w:t>
      </w:r>
      <w:r w:rsidR="000A5329" w:rsidRPr="002029AF">
        <w:t xml:space="preserve"> </w:t>
      </w:r>
      <w:r w:rsidRPr="002029AF">
        <w:t>their</w:t>
      </w:r>
      <w:r w:rsidR="000A5329" w:rsidRPr="002029AF">
        <w:t xml:space="preserve"> </w:t>
      </w:r>
      <w:r w:rsidRPr="002029AF">
        <w:t>actions</w:t>
      </w:r>
      <w:r w:rsidR="000A5329" w:rsidRPr="002029AF">
        <w:t xml:space="preserve"> </w:t>
      </w:r>
      <w:r w:rsidRPr="002029AF">
        <w:t>and</w:t>
      </w:r>
      <w:r w:rsidR="000A5329" w:rsidRPr="002029AF">
        <w:t xml:space="preserve"> </w:t>
      </w:r>
      <w:r w:rsidRPr="002029AF">
        <w:t>outcomes,</w:t>
      </w:r>
      <w:r w:rsidR="000A5329" w:rsidRPr="002029AF">
        <w:t xml:space="preserve"> </w:t>
      </w:r>
      <w:r w:rsidRPr="002029AF">
        <w:t>sharing</w:t>
      </w:r>
      <w:r w:rsidR="000A5329" w:rsidRPr="002029AF">
        <w:t xml:space="preserve"> </w:t>
      </w:r>
      <w:r w:rsidRPr="002029AF">
        <w:t>information</w:t>
      </w:r>
      <w:r w:rsidR="000A5329" w:rsidRPr="002029AF">
        <w:t xml:space="preserve"> </w:t>
      </w:r>
      <w:r w:rsidRPr="002029AF">
        <w:t>with</w:t>
      </w:r>
      <w:r w:rsidR="000A5329" w:rsidRPr="002029AF">
        <w:t xml:space="preserve"> </w:t>
      </w:r>
      <w:r w:rsidRPr="002029AF">
        <w:t>staff</w:t>
      </w:r>
      <w:r w:rsidR="000A5329" w:rsidRPr="002029AF">
        <w:t xml:space="preserve"> </w:t>
      </w:r>
      <w:r w:rsidRPr="002029AF">
        <w:t>when</w:t>
      </w:r>
      <w:r w:rsidR="000A5329" w:rsidRPr="002029AF">
        <w:t xml:space="preserve"> </w:t>
      </w:r>
      <w:r w:rsidRPr="002029AF">
        <w:t>it</w:t>
      </w:r>
      <w:r w:rsidR="000A5329" w:rsidRPr="002029AF">
        <w:t xml:space="preserve"> </w:t>
      </w:r>
      <w:r w:rsidRPr="002029AF">
        <w:t>should</w:t>
      </w:r>
      <w:r w:rsidR="000A5329" w:rsidRPr="002029AF">
        <w:t xml:space="preserve"> </w:t>
      </w:r>
      <w:r w:rsidRPr="002029AF">
        <w:t>be</w:t>
      </w:r>
      <w:r w:rsidR="000A5329" w:rsidRPr="002029AF">
        <w:t xml:space="preserve"> </w:t>
      </w:r>
      <w:r w:rsidRPr="002029AF">
        <w:t>shared,</w:t>
      </w:r>
      <w:r w:rsidR="000A5329" w:rsidRPr="002029AF">
        <w:t xml:space="preserve"> </w:t>
      </w:r>
      <w:r w:rsidRPr="002029AF">
        <w:t>and</w:t>
      </w:r>
      <w:r w:rsidR="000A5329" w:rsidRPr="002029AF">
        <w:t xml:space="preserve"> </w:t>
      </w:r>
      <w:r w:rsidRPr="002029AF">
        <w:t>seeking</w:t>
      </w:r>
      <w:r w:rsidR="000A5329" w:rsidRPr="002029AF">
        <w:t xml:space="preserve"> </w:t>
      </w:r>
      <w:r w:rsidRPr="002029AF">
        <w:t>out</w:t>
      </w:r>
      <w:r w:rsidR="000A5329" w:rsidRPr="002029AF">
        <w:t xml:space="preserve"> </w:t>
      </w:r>
      <w:r w:rsidRPr="002029AF">
        <w:t>and</w:t>
      </w:r>
      <w:r w:rsidR="000A5329" w:rsidRPr="002029AF">
        <w:t xml:space="preserve"> </w:t>
      </w:r>
      <w:r w:rsidRPr="002029AF">
        <w:t>valuing</w:t>
      </w:r>
      <w:r w:rsidR="000A5329" w:rsidRPr="002029AF">
        <w:t xml:space="preserve"> </w:t>
      </w:r>
      <w:r w:rsidRPr="002029AF">
        <w:t>other</w:t>
      </w:r>
      <w:r w:rsidR="000A5329" w:rsidRPr="002029AF">
        <w:t xml:space="preserve"> </w:t>
      </w:r>
      <w:r w:rsidRPr="002029AF">
        <w:t>perspectives.</w:t>
      </w:r>
    </w:p>
    <w:p w14:paraId="6C769287" w14:textId="6A5852BA" w:rsidR="00770DE1" w:rsidRPr="002029AF" w:rsidRDefault="00770DE1" w:rsidP="00B442E2">
      <w:pPr>
        <w:pStyle w:val="ARbody"/>
      </w:pPr>
      <w:r w:rsidRPr="002029AF">
        <w:t>The</w:t>
      </w:r>
      <w:r w:rsidR="000A5329" w:rsidRPr="002029AF">
        <w:t xml:space="preserve"> </w:t>
      </w:r>
      <w:hyperlink r:id="rId51" w:history="1">
        <w:r w:rsidRPr="002029AF">
          <w:rPr>
            <w:rStyle w:val="Hyperlink"/>
          </w:rPr>
          <w:t>leadership</w:t>
        </w:r>
        <w:r w:rsidR="000A5329" w:rsidRPr="002029AF">
          <w:rPr>
            <w:rStyle w:val="Hyperlink"/>
          </w:rPr>
          <w:t xml:space="preserve"> </w:t>
        </w:r>
        <w:r w:rsidRPr="002029AF">
          <w:rPr>
            <w:rStyle w:val="Hyperlink"/>
          </w:rPr>
          <w:t>charter</w:t>
        </w:r>
      </w:hyperlink>
      <w:r w:rsidR="000A5329" w:rsidRPr="002029AF">
        <w:t xml:space="preserve"> </w:t>
      </w:r>
      <w:r w:rsidRPr="002029AF">
        <w:t>is</w:t>
      </w:r>
      <w:r w:rsidR="000A5329" w:rsidRPr="002029AF">
        <w:t xml:space="preserve"> </w:t>
      </w:r>
      <w:r w:rsidRPr="002029AF">
        <w:t>available</w:t>
      </w:r>
      <w:r w:rsidR="000A5329" w:rsidRPr="002029AF">
        <w:t xml:space="preserve"> </w:t>
      </w:r>
      <w:r w:rsidRPr="002029AF">
        <w:t>on</w:t>
      </w:r>
      <w:r w:rsidR="000A5329" w:rsidRPr="002029AF">
        <w:t xml:space="preserve"> </w:t>
      </w:r>
      <w:r w:rsidRPr="002029AF">
        <w:t>our</w:t>
      </w:r>
      <w:r w:rsidR="000A5329" w:rsidRPr="002029AF">
        <w:t xml:space="preserve"> </w:t>
      </w:r>
      <w:r w:rsidRPr="002029AF">
        <w:t>website</w:t>
      </w:r>
      <w:r w:rsidR="000A5329" w:rsidRPr="002029AF">
        <w:t xml:space="preserve"> </w:t>
      </w:r>
      <w:r w:rsidRPr="002029AF">
        <w:t>&lt;http://dhhs.vic.gov.au/leadership-charter&gt;.</w:t>
      </w:r>
    </w:p>
    <w:p w14:paraId="0AC19918" w14:textId="08C5D644" w:rsidR="00CF72D5" w:rsidRPr="002029AF" w:rsidRDefault="00CF72D5" w:rsidP="005769C9">
      <w:pPr>
        <w:pStyle w:val="Heading2"/>
      </w:pPr>
      <w:bookmarkStart w:id="9" w:name="_Ref21861667"/>
      <w:bookmarkStart w:id="10" w:name="_Hlk17715542"/>
      <w:r w:rsidRPr="002029AF">
        <w:t>Changes</w:t>
      </w:r>
      <w:r w:rsidR="000A5329" w:rsidRPr="002029AF">
        <w:t xml:space="preserve"> </w:t>
      </w:r>
      <w:r w:rsidRPr="002029AF">
        <w:t>to</w:t>
      </w:r>
      <w:r w:rsidR="000A5329" w:rsidRPr="002029AF">
        <w:t xml:space="preserve"> </w:t>
      </w:r>
      <w:r w:rsidRPr="002029AF">
        <w:t>the</w:t>
      </w:r>
      <w:r w:rsidR="000A5329" w:rsidRPr="002029AF">
        <w:t xml:space="preserve"> </w:t>
      </w:r>
      <w:r w:rsidRPr="002029AF">
        <w:t>department</w:t>
      </w:r>
      <w:bookmarkEnd w:id="9"/>
    </w:p>
    <w:p w14:paraId="401ADAE7" w14:textId="3F39E54B" w:rsidR="00CF72D5" w:rsidRPr="002029AF" w:rsidRDefault="00CF72D5" w:rsidP="00897193">
      <w:pPr>
        <w:pStyle w:val="ARbody"/>
      </w:pPr>
      <w:r w:rsidRPr="002029AF">
        <w:t>As</w:t>
      </w:r>
      <w:r w:rsidR="000A5329" w:rsidRPr="002029AF">
        <w:t xml:space="preserve"> </w:t>
      </w:r>
      <w:r w:rsidRPr="002029AF">
        <w:t>part</w:t>
      </w:r>
      <w:r w:rsidR="000A5329" w:rsidRPr="002029AF">
        <w:t xml:space="preserve"> </w:t>
      </w:r>
      <w:r w:rsidRPr="002029AF">
        <w:t>of</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organisational</w:t>
      </w:r>
      <w:r w:rsidR="000A5329" w:rsidRPr="002029AF">
        <w:t xml:space="preserve"> </w:t>
      </w:r>
      <w:r w:rsidRPr="002029AF">
        <w:t>transformation</w:t>
      </w:r>
      <w:r w:rsidR="000A5329" w:rsidRPr="002029AF">
        <w:t xml:space="preserve"> </w:t>
      </w:r>
      <w:r w:rsidRPr="002029AF">
        <w:t>program,</w:t>
      </w:r>
      <w:r w:rsidR="000A5329" w:rsidRPr="002029AF">
        <w:t xml:space="preserve"> </w:t>
      </w:r>
      <w:r w:rsidRPr="002029AF">
        <w:t>changes</w:t>
      </w:r>
      <w:r w:rsidR="000A5329" w:rsidRPr="002029AF">
        <w:t xml:space="preserve"> </w:t>
      </w:r>
      <w:r w:rsidRPr="002029AF">
        <w:t>to</w:t>
      </w:r>
      <w:r w:rsidR="000A5329" w:rsidRPr="002029AF">
        <w:t xml:space="preserve"> </w:t>
      </w:r>
      <w:r w:rsidRPr="002029AF">
        <w:t>the</w:t>
      </w:r>
      <w:r w:rsidR="000A5329" w:rsidRPr="002029AF">
        <w:t xml:space="preserve"> </w:t>
      </w:r>
      <w:r w:rsidRPr="002029AF">
        <w:t>way</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was</w:t>
      </w:r>
      <w:r w:rsidR="000A5329" w:rsidRPr="002029AF">
        <w:t xml:space="preserve"> </w:t>
      </w:r>
      <w:r w:rsidRPr="002029AF">
        <w:t>organised</w:t>
      </w:r>
      <w:r w:rsidR="000A5329" w:rsidRPr="002029AF">
        <w:t xml:space="preserve"> </w:t>
      </w:r>
      <w:r w:rsidRPr="002029AF">
        <w:t>were</w:t>
      </w:r>
      <w:r w:rsidR="000A5329" w:rsidRPr="002029AF">
        <w:t xml:space="preserve"> </w:t>
      </w:r>
      <w:r w:rsidRPr="002029AF">
        <w:t>implemented</w:t>
      </w:r>
      <w:r w:rsidR="000A5329" w:rsidRPr="002029AF">
        <w:t xml:space="preserve"> </w:t>
      </w:r>
      <w:r w:rsidRPr="002029AF">
        <w:t>in</w:t>
      </w:r>
      <w:r w:rsidR="000A5329" w:rsidRPr="002029AF">
        <w:t xml:space="preserve"> </w:t>
      </w:r>
      <w:r w:rsidRPr="002029AF">
        <w:t>201</w:t>
      </w:r>
      <w:r w:rsidR="00DB53E6" w:rsidRPr="002029AF">
        <w:t>9–</w:t>
      </w:r>
      <w:r w:rsidRPr="002029AF">
        <w:t>20,</w:t>
      </w:r>
      <w:r w:rsidR="000A5329" w:rsidRPr="002029AF">
        <w:t xml:space="preserve"> </w:t>
      </w:r>
      <w:r w:rsidRPr="002029AF">
        <w:t>including:</w:t>
      </w:r>
    </w:p>
    <w:p w14:paraId="614C97B3" w14:textId="4DA85A70" w:rsidR="00CF72D5" w:rsidRPr="002029AF" w:rsidRDefault="00CF72D5" w:rsidP="00897193">
      <w:pPr>
        <w:pStyle w:val="ARbullet1"/>
      </w:pPr>
      <w:r w:rsidRPr="002029AF">
        <w:t>A</w:t>
      </w:r>
      <w:r w:rsidR="000A5329" w:rsidRPr="002029AF">
        <w:t xml:space="preserve"> </w:t>
      </w:r>
      <w:r w:rsidRPr="002029AF">
        <w:t>new</w:t>
      </w:r>
      <w:r w:rsidR="000A5329" w:rsidRPr="002029AF">
        <w:t xml:space="preserve"> </w:t>
      </w:r>
      <w:r w:rsidRPr="002029AF">
        <w:t>Infrastructure</w:t>
      </w:r>
      <w:r w:rsidR="000A5329" w:rsidRPr="002029AF">
        <w:t xml:space="preserve"> </w:t>
      </w:r>
      <w:r w:rsidRPr="002029AF">
        <w:t>Division</w:t>
      </w:r>
      <w:r w:rsidR="000A5329" w:rsidRPr="002029AF">
        <w:t xml:space="preserve"> </w:t>
      </w:r>
      <w:r w:rsidRPr="002029AF">
        <w:t>was</w:t>
      </w:r>
      <w:r w:rsidR="000A5329" w:rsidRPr="002029AF">
        <w:t xml:space="preserve"> </w:t>
      </w:r>
      <w:r w:rsidRPr="002029AF">
        <w:t>established</w:t>
      </w:r>
      <w:r w:rsidR="000A5329" w:rsidRPr="002029AF">
        <w:t xml:space="preserve"> </w:t>
      </w:r>
      <w:r w:rsidRPr="002029AF">
        <w:t>around</w:t>
      </w:r>
      <w:r w:rsidR="000A5329" w:rsidRPr="002029AF">
        <w:t xml:space="preserve"> </w:t>
      </w:r>
      <w:r w:rsidRPr="002029AF">
        <w:t>the</w:t>
      </w:r>
      <w:r w:rsidR="000A5329" w:rsidRPr="002029AF">
        <w:t xml:space="preserve"> </w:t>
      </w:r>
      <w:r w:rsidRPr="002029AF">
        <w:t>Victorian</w:t>
      </w:r>
      <w:r w:rsidR="000A5329" w:rsidRPr="002029AF">
        <w:t xml:space="preserve"> </w:t>
      </w:r>
      <w:r w:rsidRPr="002029AF">
        <w:t>Health</w:t>
      </w:r>
      <w:r w:rsidR="000A5329" w:rsidRPr="002029AF">
        <w:t xml:space="preserve"> </w:t>
      </w:r>
      <w:r w:rsidRPr="002029AF">
        <w:t>and</w:t>
      </w:r>
      <w:r w:rsidR="000A5329" w:rsidRPr="002029AF">
        <w:t xml:space="preserve"> </w:t>
      </w:r>
      <w:r w:rsidRPr="002029AF">
        <w:t>Human</w:t>
      </w:r>
      <w:r w:rsidR="000A5329" w:rsidRPr="002029AF">
        <w:t xml:space="preserve"> </w:t>
      </w:r>
      <w:r w:rsidRPr="002029AF">
        <w:t>Services</w:t>
      </w:r>
      <w:r w:rsidR="000A5329" w:rsidRPr="002029AF">
        <w:t xml:space="preserve"> </w:t>
      </w:r>
      <w:r w:rsidRPr="002029AF">
        <w:t>Building</w:t>
      </w:r>
      <w:r w:rsidR="000A5329" w:rsidRPr="002029AF">
        <w:t xml:space="preserve"> </w:t>
      </w:r>
      <w:r w:rsidRPr="002029AF">
        <w:t>Authority</w:t>
      </w:r>
      <w:r w:rsidR="000A5329" w:rsidRPr="002029AF">
        <w:t xml:space="preserve"> </w:t>
      </w:r>
      <w:r w:rsidRPr="002029AF">
        <w:t>to</w:t>
      </w:r>
      <w:r w:rsidR="000A5329" w:rsidRPr="002029AF">
        <w:t xml:space="preserve"> </w:t>
      </w:r>
      <w:r w:rsidRPr="002029AF">
        <w:t>provide</w:t>
      </w:r>
      <w:r w:rsidR="000A5329" w:rsidRPr="002029AF">
        <w:t xml:space="preserve"> </w:t>
      </w:r>
      <w:r w:rsidRPr="002029AF">
        <w:t>a</w:t>
      </w:r>
      <w:r w:rsidR="000A5329" w:rsidRPr="002029AF">
        <w:t xml:space="preserve"> </w:t>
      </w:r>
      <w:r w:rsidRPr="002029AF">
        <w:t>dedicated</w:t>
      </w:r>
      <w:r w:rsidR="000A5329" w:rsidRPr="002029AF">
        <w:t xml:space="preserve"> </w:t>
      </w:r>
      <w:r w:rsidRPr="002029AF">
        <w:t>focus</w:t>
      </w:r>
      <w:r w:rsidR="000A5329" w:rsidRPr="002029AF">
        <w:t xml:space="preserve"> </w:t>
      </w:r>
      <w:r w:rsidRPr="002029AF">
        <w:t>on</w:t>
      </w:r>
      <w:r w:rsidR="000A5329" w:rsidRPr="002029AF">
        <w:t xml:space="preserve"> </w:t>
      </w:r>
      <w:r w:rsidRPr="002029AF">
        <w:t>strategic</w:t>
      </w:r>
      <w:r w:rsidR="000A5329" w:rsidRPr="002029AF">
        <w:t xml:space="preserve"> </w:t>
      </w:r>
      <w:r w:rsidRPr="002029AF">
        <w:t>infrastructure</w:t>
      </w:r>
      <w:r w:rsidR="000A5329" w:rsidRPr="002029AF">
        <w:t xml:space="preserve"> </w:t>
      </w:r>
      <w:r w:rsidRPr="002029AF">
        <w:t>initiatives</w:t>
      </w:r>
      <w:r w:rsidR="00496A3C" w:rsidRPr="002029AF">
        <w:t>.</w:t>
      </w:r>
    </w:p>
    <w:p w14:paraId="52648851" w14:textId="0960DCEF" w:rsidR="00CF72D5" w:rsidRPr="002029AF" w:rsidRDefault="00D07731" w:rsidP="00897193">
      <w:pPr>
        <w:pStyle w:val="ARbullet1"/>
      </w:pPr>
      <w:r w:rsidRPr="002029AF">
        <w:t>S</w:t>
      </w:r>
      <w:r w:rsidR="00CF72D5" w:rsidRPr="002029AF">
        <w:t>everal</w:t>
      </w:r>
      <w:r w:rsidR="000A5329" w:rsidRPr="002029AF">
        <w:t xml:space="preserve"> </w:t>
      </w:r>
      <w:r w:rsidR="00CF72D5" w:rsidRPr="002029AF">
        <w:t>service</w:t>
      </w:r>
      <w:r w:rsidR="000A5329" w:rsidRPr="002029AF">
        <w:t xml:space="preserve"> </w:t>
      </w:r>
      <w:r w:rsidR="00CF72D5" w:rsidRPr="002029AF">
        <w:t>support</w:t>
      </w:r>
      <w:r w:rsidR="000A5329" w:rsidRPr="002029AF">
        <w:t xml:space="preserve"> </w:t>
      </w:r>
      <w:r w:rsidR="00CF72D5" w:rsidRPr="002029AF">
        <w:t>functions</w:t>
      </w:r>
      <w:r w:rsidR="000A5329" w:rsidRPr="002029AF">
        <w:t xml:space="preserve"> </w:t>
      </w:r>
      <w:r w:rsidR="00CF72D5" w:rsidRPr="002029AF">
        <w:t>in</w:t>
      </w:r>
      <w:r w:rsidR="000A5329" w:rsidRPr="002029AF">
        <w:t xml:space="preserve"> </w:t>
      </w:r>
      <w:r w:rsidR="00CF72D5" w:rsidRPr="002029AF">
        <w:t>Community</w:t>
      </w:r>
      <w:r w:rsidR="000A5329" w:rsidRPr="002029AF">
        <w:t xml:space="preserve"> </w:t>
      </w:r>
      <w:r w:rsidR="00CF72D5" w:rsidRPr="002029AF">
        <w:t>Services</w:t>
      </w:r>
      <w:r w:rsidR="000A5329" w:rsidRPr="002029AF">
        <w:t xml:space="preserve"> </w:t>
      </w:r>
      <w:r w:rsidR="00CF72D5" w:rsidRPr="002029AF">
        <w:t>Operations</w:t>
      </w:r>
      <w:r w:rsidR="000A5329" w:rsidRPr="002029AF">
        <w:t xml:space="preserve"> </w:t>
      </w:r>
      <w:r w:rsidR="00CF72D5" w:rsidRPr="002029AF">
        <w:t>were</w:t>
      </w:r>
      <w:r w:rsidR="000A5329" w:rsidRPr="002029AF">
        <w:t xml:space="preserve"> </w:t>
      </w:r>
      <w:r w:rsidR="00CF72D5" w:rsidRPr="002029AF">
        <w:t>reorganised</w:t>
      </w:r>
      <w:r w:rsidR="000A5329" w:rsidRPr="002029AF">
        <w:t xml:space="preserve"> </w:t>
      </w:r>
      <w:r w:rsidR="00CF72D5" w:rsidRPr="002029AF">
        <w:t>and</w:t>
      </w:r>
      <w:r w:rsidR="000A5329" w:rsidRPr="002029AF">
        <w:t xml:space="preserve"> </w:t>
      </w:r>
      <w:r w:rsidR="00CF72D5" w:rsidRPr="002029AF">
        <w:t>consolidated</w:t>
      </w:r>
      <w:r w:rsidR="000A5329" w:rsidRPr="002029AF">
        <w:t xml:space="preserve"> </w:t>
      </w:r>
      <w:r w:rsidR="00CF72D5" w:rsidRPr="002029AF">
        <w:t>across</w:t>
      </w:r>
      <w:r w:rsidR="000A5329" w:rsidRPr="002029AF">
        <w:t xml:space="preserve"> </w:t>
      </w:r>
      <w:r w:rsidR="00CF72D5" w:rsidRPr="002029AF">
        <w:t>the</w:t>
      </w:r>
      <w:r w:rsidR="000A5329" w:rsidRPr="002029AF">
        <w:t xml:space="preserve"> </w:t>
      </w:r>
      <w:r w:rsidR="00CF72D5" w:rsidRPr="002029AF">
        <w:t>state</w:t>
      </w:r>
      <w:r w:rsidR="000A5329" w:rsidRPr="002029AF">
        <w:t xml:space="preserve"> </w:t>
      </w:r>
      <w:r w:rsidRPr="002029AF">
        <w:t>in</w:t>
      </w:r>
      <w:r w:rsidR="000A5329" w:rsidRPr="002029AF">
        <w:t xml:space="preserve"> </w:t>
      </w:r>
      <w:r w:rsidRPr="002029AF">
        <w:t>response</w:t>
      </w:r>
      <w:r w:rsidR="000A5329" w:rsidRPr="002029AF">
        <w:t xml:space="preserve"> </w:t>
      </w:r>
      <w:r w:rsidRPr="002029AF">
        <w:t>to</w:t>
      </w:r>
      <w:r w:rsidR="000A5329" w:rsidRPr="002029AF">
        <w:t xml:space="preserve"> </w:t>
      </w:r>
      <w:r w:rsidRPr="002029AF">
        <w:t>the</w:t>
      </w:r>
      <w:r w:rsidR="00B97ABC" w:rsidRPr="002029AF">
        <w:t> </w:t>
      </w:r>
      <w:r w:rsidRPr="002029AF">
        <w:t>rollout</w:t>
      </w:r>
      <w:r w:rsidR="000A5329" w:rsidRPr="002029AF">
        <w:t xml:space="preserve"> </w:t>
      </w:r>
      <w:r w:rsidRPr="002029AF">
        <w:t>of</w:t>
      </w:r>
      <w:r w:rsidR="000A5329" w:rsidRPr="002029AF">
        <w:t xml:space="preserve"> </w:t>
      </w:r>
      <w:r w:rsidRPr="002029AF">
        <w:t>the</w:t>
      </w:r>
      <w:r w:rsidR="000A5329" w:rsidRPr="002029AF">
        <w:t xml:space="preserve"> </w:t>
      </w:r>
      <w:r w:rsidRPr="002029AF">
        <w:t>National</w:t>
      </w:r>
      <w:r w:rsidR="000A5329" w:rsidRPr="002029AF">
        <w:t xml:space="preserve"> </w:t>
      </w:r>
      <w:r w:rsidRPr="002029AF">
        <w:t>Disability</w:t>
      </w:r>
      <w:r w:rsidR="000A5329" w:rsidRPr="002029AF">
        <w:t xml:space="preserve"> </w:t>
      </w:r>
      <w:r w:rsidRPr="002029AF">
        <w:t>Insurance</w:t>
      </w:r>
      <w:r w:rsidR="000A5329" w:rsidRPr="002029AF">
        <w:t xml:space="preserve"> </w:t>
      </w:r>
      <w:r w:rsidRPr="002029AF">
        <w:t>Scheme</w:t>
      </w:r>
      <w:r w:rsidR="000A5329" w:rsidRPr="002029AF">
        <w:t xml:space="preserve"> </w:t>
      </w:r>
      <w:r w:rsidRPr="002029AF">
        <w:t>and</w:t>
      </w:r>
      <w:r w:rsidR="000A5329" w:rsidRPr="002029AF">
        <w:t xml:space="preserve"> </w:t>
      </w:r>
      <w:r w:rsidR="00CF72D5" w:rsidRPr="002029AF">
        <w:t>to</w:t>
      </w:r>
      <w:r w:rsidR="000A5329" w:rsidRPr="002029AF">
        <w:t xml:space="preserve"> </w:t>
      </w:r>
      <w:r w:rsidR="00CF72D5" w:rsidRPr="002029AF">
        <w:t>maintain</w:t>
      </w:r>
      <w:r w:rsidR="000A5329" w:rsidRPr="002029AF">
        <w:t xml:space="preserve"> </w:t>
      </w:r>
      <w:r w:rsidR="00CF72D5" w:rsidRPr="002029AF">
        <w:t>service</w:t>
      </w:r>
      <w:r w:rsidR="000A5329" w:rsidRPr="002029AF">
        <w:t xml:space="preserve"> </w:t>
      </w:r>
      <w:r w:rsidR="00CF72D5" w:rsidRPr="002029AF">
        <w:t>system</w:t>
      </w:r>
      <w:r w:rsidR="000A5329" w:rsidRPr="002029AF">
        <w:t xml:space="preserve"> </w:t>
      </w:r>
      <w:r w:rsidR="00CF72D5" w:rsidRPr="002029AF">
        <w:t>and</w:t>
      </w:r>
      <w:r w:rsidR="000A5329" w:rsidRPr="002029AF">
        <w:t xml:space="preserve"> </w:t>
      </w:r>
      <w:r w:rsidR="00CF72D5" w:rsidRPr="002029AF">
        <w:t>operational</w:t>
      </w:r>
      <w:r w:rsidR="000A5329" w:rsidRPr="002029AF">
        <w:t xml:space="preserve"> </w:t>
      </w:r>
      <w:r w:rsidR="00CF72D5" w:rsidRPr="002029AF">
        <w:t>support.</w:t>
      </w:r>
    </w:p>
    <w:p w14:paraId="75CE608B" w14:textId="35894BF6" w:rsidR="00CF72D5" w:rsidRPr="002029AF" w:rsidRDefault="00CF72D5" w:rsidP="00897193">
      <w:pPr>
        <w:pStyle w:val="ARbullet1"/>
      </w:pPr>
      <w:r w:rsidRPr="002029AF">
        <w:t>Health</w:t>
      </w:r>
      <w:r w:rsidR="000A5329" w:rsidRPr="002029AF">
        <w:t xml:space="preserve"> </w:t>
      </w:r>
      <w:r w:rsidRPr="002029AF">
        <w:t>and</w:t>
      </w:r>
      <w:r w:rsidR="000A5329" w:rsidRPr="002029AF">
        <w:t xml:space="preserve"> </w:t>
      </w:r>
      <w:r w:rsidRPr="002029AF">
        <w:t>Wellbeing</w:t>
      </w:r>
      <w:r w:rsidR="000A5329" w:rsidRPr="002029AF">
        <w:t xml:space="preserve"> </w:t>
      </w:r>
      <w:r w:rsidRPr="002029AF">
        <w:t>Division</w:t>
      </w:r>
      <w:r w:rsidR="000A5329" w:rsidRPr="002029AF">
        <w:t xml:space="preserve"> </w:t>
      </w:r>
      <w:r w:rsidRPr="002029AF">
        <w:t>establish</w:t>
      </w:r>
      <w:r w:rsidR="00731CCB" w:rsidRPr="002029AF">
        <w:t>ed</w:t>
      </w:r>
      <w:r w:rsidR="000A5329" w:rsidRPr="002029AF">
        <w:t xml:space="preserve"> </w:t>
      </w:r>
      <w:r w:rsidRPr="002029AF">
        <w:t>two</w:t>
      </w:r>
      <w:r w:rsidR="00B97ABC" w:rsidRPr="002029AF">
        <w:t> </w:t>
      </w:r>
      <w:r w:rsidRPr="002029AF">
        <w:t>dedicated</w:t>
      </w:r>
      <w:r w:rsidR="000A5329" w:rsidRPr="002029AF">
        <w:t xml:space="preserve"> </w:t>
      </w:r>
      <w:r w:rsidRPr="002029AF">
        <w:t>groups</w:t>
      </w:r>
      <w:r w:rsidR="000A5329" w:rsidRPr="002029AF">
        <w:t xml:space="preserve"> </w:t>
      </w:r>
      <w:r w:rsidRPr="002029AF">
        <w:t>focussed</w:t>
      </w:r>
      <w:r w:rsidR="000A5329" w:rsidRPr="002029AF">
        <w:t xml:space="preserve"> </w:t>
      </w:r>
      <w:r w:rsidRPr="002029AF">
        <w:t>on</w:t>
      </w:r>
      <w:r w:rsidR="000A5329" w:rsidRPr="002029AF">
        <w:t xml:space="preserve"> </w:t>
      </w:r>
      <w:r w:rsidRPr="002029AF">
        <w:t>policy</w:t>
      </w:r>
      <w:r w:rsidR="000A5329" w:rsidRPr="002029AF">
        <w:t xml:space="preserve"> </w:t>
      </w:r>
      <w:r w:rsidRPr="002029AF">
        <w:t>and</w:t>
      </w:r>
      <w:r w:rsidR="000A5329" w:rsidRPr="002029AF">
        <w:t xml:space="preserve"> </w:t>
      </w:r>
      <w:r w:rsidRPr="002029AF">
        <w:t>commissioning</w:t>
      </w:r>
      <w:r w:rsidR="000A5329" w:rsidRPr="002029AF">
        <w:t xml:space="preserve"> </w:t>
      </w:r>
      <w:r w:rsidR="00731CCB" w:rsidRPr="002029AF">
        <w:t>This</w:t>
      </w:r>
      <w:r w:rsidR="000A5329" w:rsidRPr="002029AF">
        <w:t xml:space="preserve"> </w:t>
      </w:r>
      <w:r w:rsidR="00731CCB" w:rsidRPr="002029AF">
        <w:t>will</w:t>
      </w:r>
      <w:r w:rsidR="000A5329" w:rsidRPr="002029AF">
        <w:t xml:space="preserve"> </w:t>
      </w:r>
      <w:r w:rsidRPr="002029AF">
        <w:t>strengthen</w:t>
      </w:r>
      <w:r w:rsidR="000A5329" w:rsidRPr="002029AF">
        <w:t xml:space="preserve"> </w:t>
      </w:r>
      <w:r w:rsidRPr="002029AF">
        <w:t>policy</w:t>
      </w:r>
      <w:r w:rsidR="000A5329" w:rsidRPr="002029AF">
        <w:t xml:space="preserve"> </w:t>
      </w:r>
      <w:r w:rsidRPr="002029AF">
        <w:t>development</w:t>
      </w:r>
      <w:r w:rsidR="000A5329" w:rsidRPr="002029AF">
        <w:t xml:space="preserve"> </w:t>
      </w:r>
      <w:r w:rsidRPr="002029AF">
        <w:t>and</w:t>
      </w:r>
      <w:r w:rsidR="000A5329" w:rsidRPr="002029AF">
        <w:t xml:space="preserve"> </w:t>
      </w:r>
      <w:r w:rsidRPr="002029AF">
        <w:t>forge</w:t>
      </w:r>
      <w:r w:rsidR="000A5329" w:rsidRPr="002029AF">
        <w:t xml:space="preserve"> </w:t>
      </w:r>
      <w:r w:rsidRPr="002029AF">
        <w:t>a</w:t>
      </w:r>
      <w:r w:rsidR="000A5329" w:rsidRPr="002029AF">
        <w:t xml:space="preserve"> </w:t>
      </w:r>
      <w:r w:rsidRPr="002029AF">
        <w:t>strong</w:t>
      </w:r>
      <w:r w:rsidR="000A5329" w:rsidRPr="002029AF">
        <w:t xml:space="preserve"> </w:t>
      </w:r>
      <w:r w:rsidRPr="002029AF">
        <w:t>and</w:t>
      </w:r>
      <w:r w:rsidR="000A5329" w:rsidRPr="002029AF">
        <w:t xml:space="preserve"> </w:t>
      </w:r>
      <w:r w:rsidR="457A3E91" w:rsidRPr="002029AF">
        <w:t>purposeful</w:t>
      </w:r>
      <w:r w:rsidR="000A5329" w:rsidRPr="002029AF">
        <w:t xml:space="preserve"> </w:t>
      </w:r>
      <w:r w:rsidRPr="002029AF">
        <w:t>commissioning</w:t>
      </w:r>
      <w:r w:rsidR="000A5329" w:rsidRPr="002029AF">
        <w:t xml:space="preserve"> </w:t>
      </w:r>
      <w:r w:rsidRPr="002029AF">
        <w:t>cycle</w:t>
      </w:r>
      <w:r w:rsidR="000A5329" w:rsidRPr="002029AF">
        <w:t xml:space="preserve"> </w:t>
      </w:r>
      <w:r w:rsidR="00731CCB" w:rsidRPr="002029AF">
        <w:t>which</w:t>
      </w:r>
      <w:r w:rsidR="000A5329" w:rsidRPr="002029AF">
        <w:t xml:space="preserve"> </w:t>
      </w:r>
      <w:r w:rsidR="00731CCB" w:rsidRPr="002029AF">
        <w:t>will</w:t>
      </w:r>
      <w:r w:rsidR="000A5329" w:rsidRPr="002029AF">
        <w:t xml:space="preserve"> </w:t>
      </w:r>
      <w:r w:rsidRPr="002029AF">
        <w:t>drive</w:t>
      </w:r>
      <w:r w:rsidR="000A5329" w:rsidRPr="002029AF">
        <w:t xml:space="preserve"> </w:t>
      </w:r>
      <w:r w:rsidRPr="002029AF">
        <w:t>improvements</w:t>
      </w:r>
      <w:r w:rsidR="000A5329" w:rsidRPr="002029AF">
        <w:t xml:space="preserve"> </w:t>
      </w:r>
      <w:r w:rsidRPr="002029AF">
        <w:t>in</w:t>
      </w:r>
      <w:r w:rsidR="000A5329" w:rsidRPr="002029AF">
        <w:t xml:space="preserve"> </w:t>
      </w:r>
      <w:r w:rsidRPr="002029AF">
        <w:t>health</w:t>
      </w:r>
      <w:r w:rsidR="000A5329" w:rsidRPr="002029AF">
        <w:t xml:space="preserve"> </w:t>
      </w:r>
      <w:r w:rsidRPr="002029AF">
        <w:t>services</w:t>
      </w:r>
      <w:r w:rsidR="00496A3C" w:rsidRPr="002029AF">
        <w:t>.</w:t>
      </w:r>
    </w:p>
    <w:p w14:paraId="095A9B87" w14:textId="297BB639" w:rsidR="00CF72D5" w:rsidRPr="002029AF" w:rsidRDefault="00CF72D5" w:rsidP="00897193">
      <w:pPr>
        <w:pStyle w:val="ARbullet1"/>
      </w:pPr>
      <w:r w:rsidRPr="002029AF">
        <w:t>Legal</w:t>
      </w:r>
      <w:r w:rsidR="000A5329" w:rsidRPr="002029AF">
        <w:t xml:space="preserve"> </w:t>
      </w:r>
      <w:r w:rsidRPr="002029AF">
        <w:t>and</w:t>
      </w:r>
      <w:r w:rsidR="000A5329" w:rsidRPr="002029AF">
        <w:t xml:space="preserve"> </w:t>
      </w:r>
      <w:r w:rsidRPr="002029AF">
        <w:t>Executive</w:t>
      </w:r>
      <w:r w:rsidR="000A5329" w:rsidRPr="002029AF">
        <w:t xml:space="preserve"> </w:t>
      </w:r>
      <w:r w:rsidRPr="002029AF">
        <w:t>Services</w:t>
      </w:r>
      <w:r w:rsidR="000A5329" w:rsidRPr="002029AF">
        <w:t xml:space="preserve"> </w:t>
      </w:r>
      <w:r w:rsidRPr="002029AF">
        <w:t>Division</w:t>
      </w:r>
      <w:r w:rsidR="000A5329" w:rsidRPr="002029AF">
        <w:t xml:space="preserve"> </w:t>
      </w:r>
      <w:r w:rsidRPr="002029AF">
        <w:t>consolidated</w:t>
      </w:r>
      <w:r w:rsidR="000A5329" w:rsidRPr="002029AF">
        <w:t xml:space="preserve"> </w:t>
      </w:r>
      <w:r w:rsidRPr="002029AF">
        <w:t>specialist</w:t>
      </w:r>
      <w:r w:rsidR="000A5329" w:rsidRPr="002029AF">
        <w:t xml:space="preserve"> </w:t>
      </w:r>
      <w:r w:rsidRPr="002029AF">
        <w:t>litigation</w:t>
      </w:r>
      <w:r w:rsidR="000A5329" w:rsidRPr="002029AF">
        <w:t xml:space="preserve"> </w:t>
      </w:r>
      <w:r w:rsidRPr="002029AF">
        <w:t>and</w:t>
      </w:r>
      <w:r w:rsidR="000A5329" w:rsidRPr="002029AF">
        <w:t xml:space="preserve"> </w:t>
      </w:r>
      <w:r w:rsidRPr="002029AF">
        <w:t>executive</w:t>
      </w:r>
      <w:r w:rsidR="000A5329" w:rsidRPr="002029AF">
        <w:t xml:space="preserve"> </w:t>
      </w:r>
      <w:r w:rsidRPr="002029AF">
        <w:t>support</w:t>
      </w:r>
      <w:r w:rsidR="000A5329" w:rsidRPr="002029AF">
        <w:t xml:space="preserve"> </w:t>
      </w:r>
      <w:r w:rsidRPr="002029AF">
        <w:t>functions</w:t>
      </w:r>
      <w:r w:rsidR="00731CCB" w:rsidRPr="002029AF">
        <w:t>.</w:t>
      </w:r>
      <w:r w:rsidR="000A5329" w:rsidRPr="002029AF">
        <w:t xml:space="preserve"> </w:t>
      </w:r>
      <w:r w:rsidR="00731CCB" w:rsidRPr="002029AF">
        <w:t>This</w:t>
      </w:r>
      <w:r w:rsidR="000A5329" w:rsidRPr="002029AF">
        <w:t xml:space="preserve"> </w:t>
      </w:r>
      <w:r w:rsidR="00731CCB" w:rsidRPr="002029AF">
        <w:t>will</w:t>
      </w:r>
      <w:r w:rsidR="000A5329" w:rsidRPr="002029AF">
        <w:t xml:space="preserve"> </w:t>
      </w:r>
      <w:r w:rsidRPr="002029AF">
        <w:t>improve</w:t>
      </w:r>
      <w:r w:rsidR="000A5329" w:rsidRPr="002029AF">
        <w:t xml:space="preserve"> </w:t>
      </w:r>
      <w:r w:rsidR="00731CCB" w:rsidRPr="002029AF">
        <w:t>its</w:t>
      </w:r>
      <w:r w:rsidR="000A5329" w:rsidRPr="002029AF">
        <w:t xml:space="preserve"> </w:t>
      </w:r>
      <w:r w:rsidRPr="002029AF">
        <w:t>capacity</w:t>
      </w:r>
      <w:r w:rsidR="000A5329" w:rsidRPr="002029AF">
        <w:t xml:space="preserve"> </w:t>
      </w:r>
      <w:r w:rsidRPr="002029AF">
        <w:t>to</w:t>
      </w:r>
      <w:r w:rsidR="000A5329" w:rsidRPr="002029AF">
        <w:t xml:space="preserve"> </w:t>
      </w:r>
      <w:r w:rsidRPr="002029AF">
        <w:t>deploy</w:t>
      </w:r>
      <w:r w:rsidR="000A5329" w:rsidRPr="002029AF">
        <w:t xml:space="preserve"> </w:t>
      </w:r>
      <w:r w:rsidRPr="002029AF">
        <w:t>expertise</w:t>
      </w:r>
      <w:r w:rsidR="000A5329" w:rsidRPr="002029AF">
        <w:t xml:space="preserve"> </w:t>
      </w:r>
      <w:r w:rsidRPr="002029AF">
        <w:t>to</w:t>
      </w:r>
      <w:r w:rsidR="000A5329" w:rsidRPr="002029AF">
        <w:t xml:space="preserve"> </w:t>
      </w:r>
      <w:r w:rsidRPr="002029AF">
        <w:t>address</w:t>
      </w:r>
      <w:r w:rsidR="000A5329" w:rsidRPr="002029AF">
        <w:t xml:space="preserve"> </w:t>
      </w:r>
      <w:r w:rsidRPr="002029AF">
        <w:t>key</w:t>
      </w:r>
      <w:r w:rsidR="000A5329" w:rsidRPr="002029AF">
        <w:t xml:space="preserve"> </w:t>
      </w:r>
      <w:r w:rsidRPr="002029AF">
        <w:t>priorities.</w:t>
      </w:r>
    </w:p>
    <w:p w14:paraId="740D343A" w14:textId="359356C8" w:rsidR="00CF72D5" w:rsidRPr="002029AF" w:rsidRDefault="00CF72D5" w:rsidP="00897193">
      <w:pPr>
        <w:pStyle w:val="ARbullet1"/>
      </w:pPr>
      <w:r w:rsidRPr="002029AF">
        <w:t>Strategy</w:t>
      </w:r>
      <w:r w:rsidR="000A5329" w:rsidRPr="002029AF">
        <w:t xml:space="preserve"> </w:t>
      </w:r>
      <w:r w:rsidRPr="002029AF">
        <w:t>and</w:t>
      </w:r>
      <w:r w:rsidR="000A5329" w:rsidRPr="002029AF">
        <w:t xml:space="preserve"> </w:t>
      </w:r>
      <w:r w:rsidRPr="002029AF">
        <w:t>Planning</w:t>
      </w:r>
      <w:r w:rsidR="000A5329" w:rsidRPr="002029AF">
        <w:t xml:space="preserve"> </w:t>
      </w:r>
      <w:r w:rsidRPr="002029AF">
        <w:t>Division</w:t>
      </w:r>
      <w:r w:rsidR="000A5329" w:rsidRPr="002029AF">
        <w:t xml:space="preserve"> </w:t>
      </w:r>
      <w:r w:rsidRPr="002029AF">
        <w:t>consolidated</w:t>
      </w:r>
      <w:r w:rsidR="000A5329" w:rsidRPr="002029AF">
        <w:t xml:space="preserve"> </w:t>
      </w:r>
      <w:r w:rsidRPr="002029AF">
        <w:t>a</w:t>
      </w:r>
      <w:r w:rsidR="00B97ABC" w:rsidRPr="002029AF">
        <w:t> </w:t>
      </w:r>
      <w:r w:rsidRPr="002029AF">
        <w:t>number</w:t>
      </w:r>
      <w:r w:rsidR="000A5329" w:rsidRPr="002029AF">
        <w:t xml:space="preserve"> </w:t>
      </w:r>
      <w:r w:rsidRPr="002029AF">
        <w:t>of</w:t>
      </w:r>
      <w:r w:rsidR="000A5329" w:rsidRPr="002029AF">
        <w:t xml:space="preserve"> </w:t>
      </w:r>
      <w:r w:rsidRPr="002029AF">
        <w:t>functions,</w:t>
      </w:r>
      <w:r w:rsidR="000A5329" w:rsidRPr="002029AF">
        <w:t xml:space="preserve"> </w:t>
      </w:r>
      <w:r w:rsidR="00731CCB" w:rsidRPr="002029AF">
        <w:t>aimed</w:t>
      </w:r>
      <w:r w:rsidR="000A5329" w:rsidRPr="002029AF">
        <w:t xml:space="preserve"> </w:t>
      </w:r>
      <w:r w:rsidRPr="002029AF">
        <w:t>particularly</w:t>
      </w:r>
      <w:r w:rsidR="000A5329" w:rsidRPr="002029AF">
        <w:t xml:space="preserve"> </w:t>
      </w:r>
      <w:r w:rsidR="00731CCB" w:rsidRPr="002029AF">
        <w:t>at</w:t>
      </w:r>
      <w:r w:rsidR="000A5329" w:rsidRPr="002029AF">
        <w:t xml:space="preserve"> </w:t>
      </w:r>
      <w:r w:rsidRPr="002029AF">
        <w:t>strengthen</w:t>
      </w:r>
      <w:r w:rsidR="00731CCB" w:rsidRPr="002029AF">
        <w:t>ing</w:t>
      </w:r>
      <w:r w:rsidR="000A5329" w:rsidRPr="002029AF">
        <w:t xml:space="preserve"> </w:t>
      </w:r>
      <w:r w:rsidRPr="002029AF">
        <w:t>strategic</w:t>
      </w:r>
      <w:r w:rsidR="000A5329" w:rsidRPr="002029AF">
        <w:t xml:space="preserve"> </w:t>
      </w:r>
      <w:r w:rsidRPr="002029AF">
        <w:t>and</w:t>
      </w:r>
      <w:r w:rsidR="000A5329" w:rsidRPr="002029AF">
        <w:t xml:space="preserve"> </w:t>
      </w:r>
      <w:r w:rsidRPr="002029AF">
        <w:t>budget</w:t>
      </w:r>
      <w:r w:rsidR="000A5329" w:rsidRPr="002029AF">
        <w:t xml:space="preserve"> </w:t>
      </w:r>
      <w:r w:rsidRPr="002029AF">
        <w:t>planning</w:t>
      </w:r>
      <w:r w:rsidR="000A5329" w:rsidRPr="002029AF">
        <w:t xml:space="preserve"> </w:t>
      </w:r>
      <w:r w:rsidRPr="002029AF">
        <w:t>functions</w:t>
      </w:r>
      <w:r w:rsidR="000A5329" w:rsidRPr="002029AF">
        <w:t xml:space="preserve"> </w:t>
      </w:r>
      <w:r w:rsidRPr="002029AF">
        <w:t>and</w:t>
      </w:r>
      <w:r w:rsidR="000A5329" w:rsidRPr="002029AF">
        <w:t xml:space="preserve"> </w:t>
      </w:r>
      <w:r w:rsidRPr="002029AF">
        <w:t>implemented</w:t>
      </w:r>
      <w:r w:rsidR="000A5329" w:rsidRPr="002029AF">
        <w:t xml:space="preserve"> </w:t>
      </w:r>
      <w:r w:rsidRPr="002029AF">
        <w:t>a</w:t>
      </w:r>
      <w:r w:rsidR="000A5329" w:rsidRPr="002029AF">
        <w:t xml:space="preserve"> </w:t>
      </w:r>
      <w:r w:rsidRPr="002029AF">
        <w:t>new</w:t>
      </w:r>
      <w:r w:rsidR="000A5329" w:rsidRPr="002029AF">
        <w:t xml:space="preserve"> </w:t>
      </w:r>
      <w:r w:rsidRPr="002029AF">
        <w:t>operating</w:t>
      </w:r>
      <w:r w:rsidR="000A5329" w:rsidRPr="002029AF">
        <w:t xml:space="preserve"> </w:t>
      </w:r>
      <w:r w:rsidRPr="002029AF">
        <w:t>model</w:t>
      </w:r>
      <w:r w:rsidR="000A5329" w:rsidRPr="002029AF">
        <w:t xml:space="preserve"> </w:t>
      </w:r>
      <w:r w:rsidRPr="002029AF">
        <w:t>to</w:t>
      </w:r>
      <w:r w:rsidR="000A5329" w:rsidRPr="002029AF">
        <w:t xml:space="preserve"> </w:t>
      </w:r>
      <w:r w:rsidRPr="002029AF">
        <w:t>support</w:t>
      </w:r>
      <w:r w:rsidR="000A5329" w:rsidRPr="002029AF">
        <w:t xml:space="preserve"> </w:t>
      </w:r>
      <w:r w:rsidRPr="002029AF">
        <w:t>the</w:t>
      </w:r>
      <w:r w:rsidR="000A5329" w:rsidRPr="002029AF">
        <w:t xml:space="preserve"> </w:t>
      </w:r>
      <w:r w:rsidRPr="002029AF">
        <w:t>delivery</w:t>
      </w:r>
      <w:r w:rsidR="000A5329" w:rsidRPr="002029AF">
        <w:t xml:space="preserve"> </w:t>
      </w:r>
      <w:r w:rsidRPr="002029AF">
        <w:t>of</w:t>
      </w:r>
      <w:r w:rsidR="000A5329" w:rsidRPr="002029AF">
        <w:t xml:space="preserve"> </w:t>
      </w:r>
      <w:r w:rsidRPr="002029AF">
        <w:t>functions</w:t>
      </w:r>
      <w:r w:rsidR="000A5329" w:rsidRPr="002029AF">
        <w:t xml:space="preserve"> </w:t>
      </w:r>
      <w:r w:rsidRPr="002029AF">
        <w:t>and</w:t>
      </w:r>
      <w:r w:rsidR="000A5329" w:rsidRPr="002029AF">
        <w:t xml:space="preserve"> </w:t>
      </w:r>
      <w:r w:rsidRPr="002029AF">
        <w:t>strategic</w:t>
      </w:r>
      <w:r w:rsidR="000A5329" w:rsidRPr="002029AF">
        <w:t xml:space="preserve"> </w:t>
      </w:r>
      <w:r w:rsidRPr="002029AF">
        <w:t>projects</w:t>
      </w:r>
      <w:r w:rsidR="000A5329" w:rsidRPr="002029AF">
        <w:t xml:space="preserve"> </w:t>
      </w:r>
      <w:r w:rsidRPr="002029AF">
        <w:t>across</w:t>
      </w:r>
      <w:r w:rsidR="000A5329" w:rsidRPr="002029AF">
        <w:t xml:space="preserve"> </w:t>
      </w:r>
      <w:r w:rsidRPr="002029AF">
        <w:t>the</w:t>
      </w:r>
      <w:r w:rsidR="000A5329" w:rsidRPr="002029AF">
        <w:t xml:space="preserve"> </w:t>
      </w:r>
      <w:r w:rsidRPr="002029AF">
        <w:t>division.</w:t>
      </w:r>
    </w:p>
    <w:p w14:paraId="39997906" w14:textId="06CC0B3D" w:rsidR="00CF72D5" w:rsidRPr="002029AF" w:rsidRDefault="009D6AEA" w:rsidP="00897193">
      <w:pPr>
        <w:pStyle w:val="ARbullet1"/>
      </w:pPr>
      <w:r>
        <w:br w:type="column"/>
      </w:r>
      <w:r w:rsidR="00D67E78" w:rsidRPr="002029AF">
        <w:t>Policy</w:t>
      </w:r>
      <w:r w:rsidR="000A5329" w:rsidRPr="002029AF">
        <w:t xml:space="preserve"> </w:t>
      </w:r>
      <w:r w:rsidR="00D67E78" w:rsidRPr="002029AF">
        <w:t>and</w:t>
      </w:r>
      <w:r w:rsidR="000A5329" w:rsidRPr="002029AF">
        <w:t xml:space="preserve"> </w:t>
      </w:r>
      <w:r w:rsidR="00D67E78" w:rsidRPr="002029AF">
        <w:t>program</w:t>
      </w:r>
      <w:r w:rsidR="000A5329" w:rsidRPr="002029AF">
        <w:t xml:space="preserve"> </w:t>
      </w:r>
      <w:r w:rsidR="00D67E78" w:rsidRPr="002029AF">
        <w:t>functions</w:t>
      </w:r>
      <w:r w:rsidR="000A5329" w:rsidRPr="002029AF">
        <w:t xml:space="preserve"> </w:t>
      </w:r>
      <w:r w:rsidR="00D67E78" w:rsidRPr="002029AF">
        <w:t>related</w:t>
      </w:r>
      <w:r w:rsidR="000A5329" w:rsidRPr="002029AF">
        <w:t xml:space="preserve"> </w:t>
      </w:r>
      <w:r w:rsidR="00D67E78" w:rsidRPr="002029AF">
        <w:t>to</w:t>
      </w:r>
      <w:r w:rsidR="000A5329" w:rsidRPr="002029AF">
        <w:t xml:space="preserve"> </w:t>
      </w:r>
      <w:r w:rsidR="00D67E78" w:rsidRPr="002029AF">
        <w:t>c</w:t>
      </w:r>
      <w:r w:rsidR="00CF72D5" w:rsidRPr="002029AF">
        <w:t>hildren,</w:t>
      </w:r>
      <w:r w:rsidR="000A5329" w:rsidRPr="002029AF">
        <w:t xml:space="preserve"> </w:t>
      </w:r>
      <w:r w:rsidR="00CF72D5" w:rsidRPr="002029AF">
        <w:t>families,</w:t>
      </w:r>
      <w:r w:rsidR="000A5329" w:rsidRPr="002029AF">
        <w:t xml:space="preserve"> </w:t>
      </w:r>
      <w:r w:rsidR="00CF72D5" w:rsidRPr="002029AF">
        <w:t>disability</w:t>
      </w:r>
      <w:r w:rsidR="000A5329" w:rsidRPr="002029AF">
        <w:t xml:space="preserve"> </w:t>
      </w:r>
      <w:r w:rsidR="00CF72D5" w:rsidRPr="002029AF">
        <w:t>and</w:t>
      </w:r>
      <w:r w:rsidR="000A5329" w:rsidRPr="002029AF">
        <w:t xml:space="preserve"> </w:t>
      </w:r>
      <w:r w:rsidR="00CF72D5" w:rsidRPr="002029AF">
        <w:t>community</w:t>
      </w:r>
      <w:r w:rsidR="000A5329" w:rsidRPr="002029AF">
        <w:t xml:space="preserve"> </w:t>
      </w:r>
      <w:r w:rsidR="00CF72D5" w:rsidRPr="002029AF">
        <w:t>were</w:t>
      </w:r>
      <w:r w:rsidR="000A5329" w:rsidRPr="002029AF">
        <w:t xml:space="preserve"> </w:t>
      </w:r>
      <w:r w:rsidR="00CF72D5" w:rsidRPr="002029AF">
        <w:t>brought</w:t>
      </w:r>
      <w:r w:rsidR="000A5329" w:rsidRPr="002029AF">
        <w:t xml:space="preserve"> </w:t>
      </w:r>
      <w:r w:rsidR="00CF72D5" w:rsidRPr="002029AF">
        <w:t>together</w:t>
      </w:r>
      <w:r w:rsidR="000A5329" w:rsidRPr="002029AF">
        <w:t xml:space="preserve"> </w:t>
      </w:r>
      <w:r w:rsidR="00CF72D5" w:rsidRPr="002029AF">
        <w:t>into</w:t>
      </w:r>
      <w:r w:rsidR="000A5329" w:rsidRPr="002029AF">
        <w:t xml:space="preserve"> </w:t>
      </w:r>
      <w:r w:rsidR="00CF72D5" w:rsidRPr="002029AF">
        <w:t>a</w:t>
      </w:r>
      <w:r w:rsidR="000A5329" w:rsidRPr="002029AF">
        <w:t xml:space="preserve"> </w:t>
      </w:r>
      <w:r w:rsidR="00CF72D5" w:rsidRPr="002029AF">
        <w:t>newly</w:t>
      </w:r>
      <w:r w:rsidR="000A5329" w:rsidRPr="002029AF">
        <w:t xml:space="preserve"> </w:t>
      </w:r>
      <w:r w:rsidR="00CF72D5" w:rsidRPr="002029AF">
        <w:t>established</w:t>
      </w:r>
      <w:r w:rsidR="000A5329" w:rsidRPr="002029AF">
        <w:t xml:space="preserve"> </w:t>
      </w:r>
      <w:r w:rsidR="00CF72D5" w:rsidRPr="002029AF">
        <w:t>Children,</w:t>
      </w:r>
      <w:r w:rsidR="000A5329" w:rsidRPr="002029AF">
        <w:t xml:space="preserve"> </w:t>
      </w:r>
      <w:r w:rsidR="00CF72D5" w:rsidRPr="002029AF">
        <w:t>Families,</w:t>
      </w:r>
      <w:r w:rsidR="000A5329" w:rsidRPr="002029AF">
        <w:t xml:space="preserve"> </w:t>
      </w:r>
      <w:r w:rsidR="00CF72D5" w:rsidRPr="002029AF">
        <w:t>Communities</w:t>
      </w:r>
      <w:r w:rsidR="000A5329" w:rsidRPr="002029AF">
        <w:t xml:space="preserve"> </w:t>
      </w:r>
      <w:r w:rsidR="00CF72D5" w:rsidRPr="002029AF">
        <w:t>and</w:t>
      </w:r>
      <w:r w:rsidR="000A5329" w:rsidRPr="002029AF">
        <w:t xml:space="preserve"> </w:t>
      </w:r>
      <w:r w:rsidR="00CF72D5" w:rsidRPr="002029AF">
        <w:t>Disability</w:t>
      </w:r>
      <w:r w:rsidR="000A5329" w:rsidRPr="002029AF">
        <w:t xml:space="preserve"> </w:t>
      </w:r>
      <w:r w:rsidR="00D67E78" w:rsidRPr="002029AF">
        <w:t>Division.</w:t>
      </w:r>
      <w:r w:rsidR="000A5329" w:rsidRPr="002029AF">
        <w:t xml:space="preserve"> </w:t>
      </w:r>
      <w:r w:rsidR="00D67E78" w:rsidRPr="002029AF">
        <w:t>This</w:t>
      </w:r>
      <w:r w:rsidR="000A5329" w:rsidRPr="002029AF">
        <w:t xml:space="preserve"> </w:t>
      </w:r>
      <w:r w:rsidR="00D67E78" w:rsidRPr="002029AF">
        <w:t>will</w:t>
      </w:r>
      <w:r w:rsidR="000A5329" w:rsidRPr="002029AF">
        <w:t xml:space="preserve"> </w:t>
      </w:r>
      <w:r w:rsidR="00D67E78" w:rsidRPr="002029AF">
        <w:t>allow</w:t>
      </w:r>
      <w:r w:rsidR="000A5329" w:rsidRPr="002029AF">
        <w:t xml:space="preserve"> </w:t>
      </w:r>
      <w:r w:rsidR="00D67E78" w:rsidRPr="002029AF">
        <w:t>for</w:t>
      </w:r>
      <w:r w:rsidR="000A5329" w:rsidRPr="002029AF">
        <w:t xml:space="preserve"> </w:t>
      </w:r>
      <w:r w:rsidR="00CF72D5" w:rsidRPr="002029AF">
        <w:t>focus</w:t>
      </w:r>
      <w:r w:rsidR="000A5329" w:rsidRPr="002029AF">
        <w:t xml:space="preserve"> </w:t>
      </w:r>
      <w:r w:rsidR="00CF72D5" w:rsidRPr="002029AF">
        <w:t>on</w:t>
      </w:r>
      <w:r w:rsidR="000A5329" w:rsidRPr="002029AF">
        <w:t xml:space="preserve"> </w:t>
      </w:r>
      <w:r w:rsidR="00CF72D5" w:rsidRPr="002029AF">
        <w:t>cross-portfolio</w:t>
      </w:r>
      <w:r w:rsidR="000A5329" w:rsidRPr="002029AF">
        <w:t xml:space="preserve"> </w:t>
      </w:r>
      <w:r w:rsidR="00CF72D5" w:rsidRPr="002029AF">
        <w:t>and</w:t>
      </w:r>
      <w:r w:rsidR="000A5329" w:rsidRPr="002029AF">
        <w:t xml:space="preserve"> </w:t>
      </w:r>
      <w:r w:rsidR="00CF72D5" w:rsidRPr="002029AF">
        <w:t>program</w:t>
      </w:r>
      <w:r w:rsidR="000A5329" w:rsidRPr="002029AF">
        <w:t xml:space="preserve"> </w:t>
      </w:r>
      <w:r w:rsidR="00CF72D5" w:rsidRPr="002029AF">
        <w:t>reform</w:t>
      </w:r>
      <w:r w:rsidR="000A5329" w:rsidRPr="002029AF">
        <w:t xml:space="preserve"> </w:t>
      </w:r>
      <w:r w:rsidR="00CF72D5" w:rsidRPr="002029AF">
        <w:t>for</w:t>
      </w:r>
      <w:r w:rsidR="000A5329" w:rsidRPr="002029AF">
        <w:t xml:space="preserve"> </w:t>
      </w:r>
      <w:r w:rsidR="00CF72D5" w:rsidRPr="002029AF">
        <w:t>pathways</w:t>
      </w:r>
      <w:r w:rsidR="000A5329" w:rsidRPr="002029AF">
        <w:t xml:space="preserve"> </w:t>
      </w:r>
      <w:r w:rsidR="00CF72D5" w:rsidRPr="002029AF">
        <w:t>and</w:t>
      </w:r>
      <w:r w:rsidR="000A5329" w:rsidRPr="002029AF">
        <w:t xml:space="preserve"> </w:t>
      </w:r>
      <w:r w:rsidR="00CF72D5" w:rsidRPr="002029AF">
        <w:t>models</w:t>
      </w:r>
      <w:r w:rsidR="000A5329" w:rsidRPr="002029AF">
        <w:t xml:space="preserve"> </w:t>
      </w:r>
      <w:r w:rsidR="00CF72D5" w:rsidRPr="002029AF">
        <w:t>of</w:t>
      </w:r>
      <w:r w:rsidR="000A5329" w:rsidRPr="002029AF">
        <w:t xml:space="preserve"> </w:t>
      </w:r>
      <w:r w:rsidR="00CF72D5" w:rsidRPr="002029AF">
        <w:t>care</w:t>
      </w:r>
      <w:r w:rsidR="000A5329" w:rsidRPr="002029AF">
        <w:t xml:space="preserve"> </w:t>
      </w:r>
      <w:r w:rsidR="00D67E78" w:rsidRPr="002029AF">
        <w:t>that</w:t>
      </w:r>
      <w:r w:rsidR="000A5329" w:rsidRPr="002029AF">
        <w:t xml:space="preserve"> </w:t>
      </w:r>
      <w:r w:rsidR="00CF72D5" w:rsidRPr="002029AF">
        <w:t>address</w:t>
      </w:r>
      <w:r w:rsidR="000A5329" w:rsidRPr="002029AF">
        <w:t xml:space="preserve"> </w:t>
      </w:r>
      <w:r w:rsidR="00CF72D5" w:rsidRPr="002029AF">
        <w:t>vulnerability</w:t>
      </w:r>
      <w:r w:rsidR="000A5329" w:rsidRPr="002029AF">
        <w:t xml:space="preserve"> </w:t>
      </w:r>
      <w:r w:rsidR="00CF72D5" w:rsidRPr="002029AF">
        <w:t>and</w:t>
      </w:r>
      <w:r w:rsidR="000A5329" w:rsidRPr="002029AF">
        <w:t xml:space="preserve"> </w:t>
      </w:r>
      <w:r w:rsidR="00CF72D5" w:rsidRPr="002029AF">
        <w:t>complexity.</w:t>
      </w:r>
    </w:p>
    <w:p w14:paraId="4FC4C102" w14:textId="2DA54F31" w:rsidR="00CF72D5" w:rsidRPr="002029AF" w:rsidRDefault="00D67E78" w:rsidP="00897193">
      <w:pPr>
        <w:pStyle w:val="ARbullet1"/>
      </w:pPr>
      <w:r w:rsidRPr="002029AF">
        <w:t>The</w:t>
      </w:r>
      <w:r w:rsidR="000A5329" w:rsidRPr="002029AF">
        <w:t xml:space="preserve"> </w:t>
      </w:r>
      <w:r w:rsidRPr="002029AF">
        <w:t>department’s</w:t>
      </w:r>
      <w:r w:rsidR="000A5329" w:rsidRPr="002029AF">
        <w:t xml:space="preserve"> </w:t>
      </w:r>
      <w:r w:rsidR="00CF72D5" w:rsidRPr="002029AF">
        <w:t>administrative</w:t>
      </w:r>
      <w:r w:rsidR="000A5329" w:rsidRPr="002029AF">
        <w:t xml:space="preserve"> </w:t>
      </w:r>
      <w:r w:rsidR="00CF72D5" w:rsidRPr="002029AF">
        <w:t>offices</w:t>
      </w:r>
      <w:r w:rsidR="000A5329" w:rsidRPr="002029AF">
        <w:t xml:space="preserve"> </w:t>
      </w:r>
      <w:r w:rsidR="00CF72D5" w:rsidRPr="002029AF">
        <w:t>also</w:t>
      </w:r>
      <w:r w:rsidR="000A5329" w:rsidRPr="002029AF">
        <w:t xml:space="preserve"> </w:t>
      </w:r>
      <w:r w:rsidR="00CF72D5" w:rsidRPr="002029AF">
        <w:t>underwent</w:t>
      </w:r>
      <w:r w:rsidR="000A5329" w:rsidRPr="002029AF">
        <w:t xml:space="preserve"> </w:t>
      </w:r>
      <w:r w:rsidR="00CF72D5" w:rsidRPr="002029AF">
        <w:t>organisational</w:t>
      </w:r>
      <w:r w:rsidR="000A5329" w:rsidRPr="002029AF">
        <w:t xml:space="preserve"> </w:t>
      </w:r>
      <w:r w:rsidR="00CF72D5" w:rsidRPr="002029AF">
        <w:t>changes</w:t>
      </w:r>
      <w:r w:rsidRPr="002029AF">
        <w:t>,</w:t>
      </w:r>
      <w:r w:rsidR="000A5329" w:rsidRPr="002029AF">
        <w:t xml:space="preserve"> </w:t>
      </w:r>
      <w:r w:rsidRPr="002029AF">
        <w:t>as</w:t>
      </w:r>
      <w:r w:rsidR="000A5329" w:rsidRPr="002029AF">
        <w:t xml:space="preserve"> </w:t>
      </w:r>
      <w:r w:rsidR="00CF72D5" w:rsidRPr="002029AF">
        <w:t>outlined</w:t>
      </w:r>
      <w:r w:rsidR="000A5329" w:rsidRPr="002029AF">
        <w:t xml:space="preserve"> </w:t>
      </w:r>
      <w:r w:rsidR="00CF72D5" w:rsidRPr="002029AF">
        <w:t>in</w:t>
      </w:r>
      <w:r w:rsidR="000A5329" w:rsidRPr="002029AF">
        <w:t xml:space="preserve"> </w:t>
      </w:r>
      <w:r w:rsidR="00CF72D5" w:rsidRPr="002029AF">
        <w:t>their</w:t>
      </w:r>
      <w:r w:rsidR="000A5329" w:rsidRPr="002029AF">
        <w:t xml:space="preserve"> </w:t>
      </w:r>
      <w:r w:rsidRPr="002029AF">
        <w:t>respective</w:t>
      </w:r>
      <w:r w:rsidR="000A5329" w:rsidRPr="002029AF">
        <w:t xml:space="preserve"> </w:t>
      </w:r>
      <w:r w:rsidR="00CF72D5" w:rsidRPr="002029AF">
        <w:t>annual</w:t>
      </w:r>
      <w:r w:rsidR="000A5329" w:rsidRPr="002029AF">
        <w:t xml:space="preserve"> </w:t>
      </w:r>
      <w:r w:rsidR="00CF72D5" w:rsidRPr="002029AF">
        <w:t>reports.</w:t>
      </w:r>
      <w:r w:rsidR="000A5329" w:rsidRPr="002029AF">
        <w:t xml:space="preserve"> </w:t>
      </w:r>
      <w:r w:rsidR="00CF72D5" w:rsidRPr="002029AF">
        <w:t>A</w:t>
      </w:r>
      <w:r w:rsidR="000A5329" w:rsidRPr="002029AF">
        <w:t xml:space="preserve"> </w:t>
      </w:r>
      <w:r w:rsidR="00CF72D5" w:rsidRPr="002029AF">
        <w:t>new</w:t>
      </w:r>
      <w:r w:rsidR="000A5329" w:rsidRPr="002029AF">
        <w:t xml:space="preserve"> </w:t>
      </w:r>
      <w:r w:rsidRPr="002029AF">
        <w:t>a</w:t>
      </w:r>
      <w:r w:rsidR="00CF72D5" w:rsidRPr="002029AF">
        <w:t>dministrative</w:t>
      </w:r>
      <w:r w:rsidR="000A5329" w:rsidRPr="002029AF">
        <w:t xml:space="preserve"> </w:t>
      </w:r>
      <w:r w:rsidRPr="002029AF">
        <w:t>o</w:t>
      </w:r>
      <w:r w:rsidR="00CF72D5" w:rsidRPr="002029AF">
        <w:t>ffice,</w:t>
      </w:r>
      <w:r w:rsidR="000A5329" w:rsidRPr="002029AF">
        <w:t xml:space="preserve"> </w:t>
      </w:r>
      <w:r w:rsidR="00CF72D5" w:rsidRPr="002029AF">
        <w:t>Mental</w:t>
      </w:r>
      <w:r w:rsidR="000A5329" w:rsidRPr="002029AF">
        <w:t xml:space="preserve"> </w:t>
      </w:r>
      <w:r w:rsidR="00CF72D5" w:rsidRPr="002029AF">
        <w:t>Health</w:t>
      </w:r>
      <w:r w:rsidR="000A5329" w:rsidRPr="002029AF">
        <w:t xml:space="preserve"> </w:t>
      </w:r>
      <w:r w:rsidR="00CF72D5" w:rsidRPr="002029AF">
        <w:t>Reform</w:t>
      </w:r>
      <w:r w:rsidR="000A5329" w:rsidRPr="002029AF">
        <w:t xml:space="preserve"> </w:t>
      </w:r>
      <w:r w:rsidR="00CF72D5" w:rsidRPr="002029AF">
        <w:t>Victoria,</w:t>
      </w:r>
      <w:r w:rsidR="000A5329" w:rsidRPr="002029AF">
        <w:t xml:space="preserve"> </w:t>
      </w:r>
      <w:r w:rsidR="00CF72D5" w:rsidRPr="002029AF">
        <w:t>was</w:t>
      </w:r>
      <w:r w:rsidR="000A5329" w:rsidRPr="002029AF">
        <w:t xml:space="preserve"> </w:t>
      </w:r>
      <w:r w:rsidR="00CF72D5" w:rsidRPr="002029AF">
        <w:t>also</w:t>
      </w:r>
      <w:r w:rsidR="000A5329" w:rsidRPr="002029AF">
        <w:t xml:space="preserve"> </w:t>
      </w:r>
      <w:r w:rsidR="00CF72D5" w:rsidRPr="002029AF">
        <w:t>created.</w:t>
      </w:r>
    </w:p>
    <w:p w14:paraId="4A2D3DCC" w14:textId="7E15F515" w:rsidR="00CF72D5" w:rsidRPr="002029AF" w:rsidRDefault="00CF72D5" w:rsidP="00490980">
      <w:pPr>
        <w:pStyle w:val="ARbodyafterbullets"/>
      </w:pPr>
      <w:r w:rsidRPr="002029AF">
        <w:t>From</w:t>
      </w:r>
      <w:r w:rsidR="000A5329" w:rsidRPr="002029AF">
        <w:t xml:space="preserve"> </w:t>
      </w:r>
      <w:r w:rsidRPr="002029AF">
        <w:t>mid-March</w:t>
      </w:r>
      <w:r w:rsidR="000A5329" w:rsidRPr="002029AF">
        <w:t xml:space="preserve"> </w:t>
      </w:r>
      <w:r w:rsidRPr="002029AF">
        <w:t>2020,</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paused</w:t>
      </w:r>
      <w:r w:rsidR="000A5329" w:rsidRPr="002029AF">
        <w:t xml:space="preserve"> </w:t>
      </w:r>
      <w:r w:rsidRPr="002029AF">
        <w:t>its</w:t>
      </w:r>
      <w:r w:rsidR="00B97ABC" w:rsidRPr="002029AF">
        <w:t> </w:t>
      </w:r>
      <w:r w:rsidRPr="002029AF">
        <w:t>transformation</w:t>
      </w:r>
      <w:r w:rsidR="000A5329" w:rsidRPr="002029AF">
        <w:t xml:space="preserve"> </w:t>
      </w:r>
      <w:r w:rsidRPr="002029AF">
        <w:t>activity,</w:t>
      </w:r>
      <w:r w:rsidR="000A5329" w:rsidRPr="002029AF">
        <w:t xml:space="preserve"> </w:t>
      </w:r>
      <w:r w:rsidRPr="002029AF">
        <w:t>including</w:t>
      </w:r>
      <w:r w:rsidR="000A5329" w:rsidRPr="002029AF">
        <w:t xml:space="preserve"> </w:t>
      </w:r>
      <w:r w:rsidR="00D67E78" w:rsidRPr="002029AF">
        <w:t>the</w:t>
      </w:r>
      <w:r w:rsidR="000A5329" w:rsidRPr="002029AF">
        <w:t xml:space="preserve"> </w:t>
      </w:r>
      <w:r w:rsidRPr="002029AF">
        <w:t>formal</w:t>
      </w:r>
      <w:r w:rsidR="000A5329" w:rsidRPr="002029AF">
        <w:t xml:space="preserve"> </w:t>
      </w:r>
      <w:r w:rsidRPr="002029AF">
        <w:t>restructuring</w:t>
      </w:r>
      <w:r w:rsidR="000A5329" w:rsidRPr="002029AF">
        <w:t xml:space="preserve"> </w:t>
      </w:r>
      <w:r w:rsidRPr="002029AF">
        <w:t>processes</w:t>
      </w:r>
      <w:r w:rsidR="000A5329" w:rsidRPr="002029AF">
        <w:t xml:space="preserve"> </w:t>
      </w:r>
      <w:r w:rsidRPr="002029AF">
        <w:t>with</w:t>
      </w:r>
      <w:r w:rsidR="000A5329" w:rsidRPr="002029AF">
        <w:t xml:space="preserve"> </w:t>
      </w:r>
      <w:r w:rsidRPr="002029AF">
        <w:t>staff</w:t>
      </w:r>
      <w:r w:rsidR="000A5329" w:rsidRPr="002029AF">
        <w:t xml:space="preserve"> </w:t>
      </w:r>
      <w:r w:rsidRPr="002029AF">
        <w:t>in</w:t>
      </w:r>
      <w:r w:rsidR="000A5329" w:rsidRPr="002029AF">
        <w:t xml:space="preserve"> </w:t>
      </w:r>
      <w:r w:rsidRPr="002029AF">
        <w:t>consultation</w:t>
      </w:r>
      <w:r w:rsidR="000A5329" w:rsidRPr="002029AF">
        <w:t xml:space="preserve"> </w:t>
      </w:r>
      <w:r w:rsidRPr="002029AF">
        <w:t>with</w:t>
      </w:r>
      <w:r w:rsidR="000A5329" w:rsidRPr="002029AF">
        <w:t xml:space="preserve"> </w:t>
      </w:r>
      <w:r w:rsidRPr="002029AF">
        <w:t>the</w:t>
      </w:r>
      <w:r w:rsidR="000A5329" w:rsidRPr="002029AF">
        <w:t xml:space="preserve"> </w:t>
      </w:r>
      <w:r w:rsidR="00D67E78" w:rsidRPr="002029AF">
        <w:t>Community</w:t>
      </w:r>
      <w:r w:rsidR="000A5329" w:rsidRPr="002029AF">
        <w:t xml:space="preserve"> </w:t>
      </w:r>
      <w:r w:rsidR="00D67E78" w:rsidRPr="002029AF">
        <w:t>and</w:t>
      </w:r>
      <w:r w:rsidR="000A5329" w:rsidRPr="002029AF">
        <w:t xml:space="preserve"> </w:t>
      </w:r>
      <w:r w:rsidR="00D67E78" w:rsidRPr="002029AF">
        <w:t>Public</w:t>
      </w:r>
      <w:r w:rsidR="000A5329" w:rsidRPr="002029AF">
        <w:t xml:space="preserve"> </w:t>
      </w:r>
      <w:r w:rsidR="00D67E78" w:rsidRPr="002029AF">
        <w:t>Sector</w:t>
      </w:r>
      <w:r w:rsidR="000A5329" w:rsidRPr="002029AF">
        <w:t xml:space="preserve"> </w:t>
      </w:r>
      <w:r w:rsidR="00D67E78" w:rsidRPr="002029AF">
        <w:t>Union</w:t>
      </w:r>
      <w:r w:rsidRPr="002029AF">
        <w:t>.</w:t>
      </w:r>
      <w:r w:rsidR="000A5329" w:rsidRPr="002029AF">
        <w:t xml:space="preserve"> </w:t>
      </w:r>
      <w:r w:rsidRPr="002029AF">
        <w:t>This</w:t>
      </w:r>
      <w:r w:rsidR="00B97ABC" w:rsidRPr="002029AF">
        <w:t> </w:t>
      </w:r>
      <w:r w:rsidRPr="002029AF">
        <w:t>has</w:t>
      </w:r>
      <w:r w:rsidR="000A5329" w:rsidRPr="002029AF">
        <w:t xml:space="preserve"> </w:t>
      </w:r>
      <w:r w:rsidRPr="002029AF">
        <w:t>enabled</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to</w:t>
      </w:r>
      <w:r w:rsidR="000A5329" w:rsidRPr="002029AF">
        <w:t xml:space="preserve"> </w:t>
      </w:r>
      <w:r w:rsidRPr="002029AF">
        <w:t>focus</w:t>
      </w:r>
      <w:r w:rsidR="000A5329" w:rsidRPr="002029AF">
        <w:t xml:space="preserve"> </w:t>
      </w:r>
      <w:r w:rsidRPr="002029AF">
        <w:t>its</w:t>
      </w:r>
      <w:r w:rsidR="000A5329" w:rsidRPr="002029AF">
        <w:t xml:space="preserve"> </w:t>
      </w:r>
      <w:r w:rsidRPr="002029AF">
        <w:t>efforts</w:t>
      </w:r>
      <w:r w:rsidR="000A5329" w:rsidRPr="002029AF">
        <w:t xml:space="preserve"> </w:t>
      </w:r>
      <w:r w:rsidRPr="002029AF">
        <w:t>on</w:t>
      </w:r>
      <w:r w:rsidR="000A5329" w:rsidRPr="002029AF">
        <w:t xml:space="preserve"> </w:t>
      </w:r>
      <w:r w:rsidRPr="002029AF">
        <w:t>leading</w:t>
      </w:r>
      <w:r w:rsidR="000A5329" w:rsidRPr="002029AF">
        <w:t xml:space="preserve"> </w:t>
      </w:r>
      <w:r w:rsidRPr="002029AF">
        <w:t>the</w:t>
      </w:r>
      <w:r w:rsidR="000A5329" w:rsidRPr="002029AF">
        <w:t xml:space="preserve"> </w:t>
      </w:r>
      <w:r w:rsidRPr="002029AF">
        <w:t>public</w:t>
      </w:r>
      <w:r w:rsidR="000A5329" w:rsidRPr="002029AF">
        <w:t xml:space="preserve"> </w:t>
      </w:r>
      <w:r w:rsidRPr="002029AF">
        <w:t>health</w:t>
      </w:r>
      <w:r w:rsidR="000A5329" w:rsidRPr="002029AF">
        <w:t xml:space="preserve"> </w:t>
      </w:r>
      <w:r w:rsidRPr="002029AF">
        <w:t>response</w:t>
      </w:r>
      <w:r w:rsidR="000A5329" w:rsidRPr="002029AF">
        <w:t xml:space="preserve"> </w:t>
      </w:r>
      <w:r w:rsidRPr="002029AF">
        <w:t>to</w:t>
      </w:r>
      <w:r w:rsidR="000A5329" w:rsidRPr="002029AF">
        <w:t xml:space="preserve"> </w:t>
      </w:r>
      <w:r w:rsidRPr="002029AF">
        <w:t>the</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pandemic.</w:t>
      </w:r>
      <w:r w:rsidR="000A5329" w:rsidRPr="002029AF">
        <w:t xml:space="preserve"> </w:t>
      </w:r>
      <w:r w:rsidR="00D67E78" w:rsidRPr="002029AF">
        <w:t>Since</w:t>
      </w:r>
      <w:r w:rsidR="000A5329" w:rsidRPr="002029AF">
        <w:t xml:space="preserve"> </w:t>
      </w:r>
      <w:r w:rsidRPr="002029AF">
        <w:t>April</w:t>
      </w:r>
      <w:r w:rsidR="000A5329" w:rsidRPr="002029AF">
        <w:t xml:space="preserve"> </w:t>
      </w:r>
      <w:r w:rsidR="00D67E78" w:rsidRPr="002029AF">
        <w:t>2020</w:t>
      </w:r>
      <w:r w:rsidRPr="002029AF">
        <w:t>,</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continued</w:t>
      </w:r>
      <w:r w:rsidR="000A5329" w:rsidRPr="002029AF">
        <w:t xml:space="preserve"> </w:t>
      </w:r>
      <w:r w:rsidRPr="002029AF">
        <w:t>to</w:t>
      </w:r>
      <w:r w:rsidR="000A5329" w:rsidRPr="002029AF">
        <w:t xml:space="preserve"> </w:t>
      </w:r>
      <w:r w:rsidRPr="002029AF">
        <w:t>adapt</w:t>
      </w:r>
      <w:r w:rsidR="000A5329" w:rsidRPr="002029AF">
        <w:t xml:space="preserve"> </w:t>
      </w:r>
      <w:r w:rsidRPr="002029AF">
        <w:t>its</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response</w:t>
      </w:r>
      <w:r w:rsidR="000A5329" w:rsidRPr="002029AF">
        <w:t xml:space="preserve"> </w:t>
      </w:r>
      <w:r w:rsidRPr="002029AF">
        <w:t>structures</w:t>
      </w:r>
      <w:r w:rsidR="000A5329" w:rsidRPr="002029AF">
        <w:t xml:space="preserve"> </w:t>
      </w:r>
      <w:r w:rsidRPr="002029AF">
        <w:t>to</w:t>
      </w:r>
      <w:r w:rsidR="000A5329" w:rsidRPr="002029AF">
        <w:t xml:space="preserve"> </w:t>
      </w:r>
      <w:r w:rsidRPr="002029AF">
        <w:t>best</w:t>
      </w:r>
      <w:r w:rsidR="000A5329" w:rsidRPr="002029AF">
        <w:t xml:space="preserve"> </w:t>
      </w:r>
      <w:r w:rsidRPr="002029AF">
        <w:t>manage</w:t>
      </w:r>
      <w:r w:rsidR="000A5329" w:rsidRPr="002029AF">
        <w:t xml:space="preserve"> </w:t>
      </w:r>
      <w:r w:rsidRPr="002029AF">
        <w:t>the</w:t>
      </w:r>
      <w:r w:rsidR="000A5329" w:rsidRPr="002029AF">
        <w:t xml:space="preserve"> </w:t>
      </w:r>
      <w:r w:rsidRPr="002029AF">
        <w:t>requirements</w:t>
      </w:r>
      <w:r w:rsidR="000A5329" w:rsidRPr="002029AF">
        <w:t xml:space="preserve"> </w:t>
      </w:r>
      <w:r w:rsidRPr="002029AF">
        <w:t>of</w:t>
      </w:r>
      <w:r w:rsidR="000A5329" w:rsidRPr="002029AF">
        <w:t xml:space="preserve"> </w:t>
      </w:r>
      <w:r w:rsidRPr="002029AF">
        <w:t>the</w:t>
      </w:r>
      <w:r w:rsidR="000A5329" w:rsidRPr="002029AF">
        <w:t xml:space="preserve"> </w:t>
      </w:r>
      <w:r w:rsidRPr="002029AF">
        <w:t>response.</w:t>
      </w:r>
    </w:p>
    <w:p w14:paraId="44A88D4E" w14:textId="0CACBA21" w:rsidR="00CF72D5" w:rsidRPr="002029AF" w:rsidRDefault="00CF72D5" w:rsidP="00490980">
      <w:pPr>
        <w:pStyle w:val="ARbodyafterbullets"/>
      </w:pPr>
      <w:bookmarkStart w:id="11" w:name="chg2dept"/>
      <w:r w:rsidRPr="002029AF">
        <w:t>There</w:t>
      </w:r>
      <w:r w:rsidR="000A5329" w:rsidRPr="002029AF">
        <w:t xml:space="preserve"> </w:t>
      </w:r>
      <w:r w:rsidR="00D67E78" w:rsidRPr="002029AF">
        <w:t>were</w:t>
      </w:r>
      <w:r w:rsidR="000A5329" w:rsidRPr="002029AF">
        <w:t xml:space="preserve"> </w:t>
      </w:r>
      <w:r w:rsidRPr="002029AF">
        <w:t>no</w:t>
      </w:r>
      <w:r w:rsidR="000A5329" w:rsidRPr="002029AF">
        <w:t xml:space="preserve"> </w:t>
      </w:r>
      <w:r w:rsidRPr="002029AF">
        <w:t>change</w:t>
      </w:r>
      <w:r w:rsidR="00D67E78" w:rsidRPr="002029AF">
        <w:t>s</w:t>
      </w:r>
      <w:r w:rsidR="000A5329" w:rsidRPr="002029AF">
        <w:t xml:space="preserve"> </w:t>
      </w:r>
      <w:r w:rsidRPr="002029AF">
        <w:t>to</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as</w:t>
      </w:r>
      <w:r w:rsidR="000A5329" w:rsidRPr="002029AF">
        <w:t xml:space="preserve"> </w:t>
      </w:r>
      <w:r w:rsidRPr="002029AF">
        <w:t>a</w:t>
      </w:r>
      <w:r w:rsidR="000A5329" w:rsidRPr="002029AF">
        <w:t xml:space="preserve"> </w:t>
      </w:r>
      <w:r w:rsidRPr="002029AF">
        <w:t>result</w:t>
      </w:r>
      <w:r w:rsidR="000A5329" w:rsidRPr="002029AF">
        <w:t xml:space="preserve"> </w:t>
      </w:r>
      <w:r w:rsidRPr="002029AF">
        <w:t>of</w:t>
      </w:r>
      <w:r w:rsidR="000A5329" w:rsidRPr="002029AF">
        <w:t xml:space="preserve"> </w:t>
      </w:r>
      <w:r w:rsidRPr="002029AF">
        <w:t>machinery-of-government</w:t>
      </w:r>
      <w:r w:rsidR="000A5329" w:rsidRPr="002029AF">
        <w:t xml:space="preserve"> </w:t>
      </w:r>
      <w:r w:rsidRPr="002029AF">
        <w:t>or</w:t>
      </w:r>
      <w:r w:rsidR="000A5329" w:rsidRPr="002029AF">
        <w:t xml:space="preserve"> </w:t>
      </w:r>
      <w:r w:rsidRPr="002029AF">
        <w:t>output</w:t>
      </w:r>
      <w:r w:rsidR="000A5329" w:rsidRPr="002029AF">
        <w:t xml:space="preserve"> </w:t>
      </w:r>
      <w:r w:rsidRPr="002029AF">
        <w:t>structure</w:t>
      </w:r>
      <w:r w:rsidR="000A5329" w:rsidRPr="002029AF">
        <w:t xml:space="preserve"> </w:t>
      </w:r>
      <w:r w:rsidRPr="002029AF">
        <w:t>changes</w:t>
      </w:r>
      <w:r w:rsidR="000A5329" w:rsidRPr="002029AF">
        <w:t xml:space="preserve"> </w:t>
      </w:r>
      <w:r w:rsidRPr="002029AF">
        <w:t>in</w:t>
      </w:r>
      <w:r w:rsidR="000A5329" w:rsidRPr="002029AF">
        <w:t xml:space="preserve"> </w:t>
      </w:r>
      <w:r w:rsidRPr="002029AF">
        <w:t>2019</w:t>
      </w:r>
      <w:r w:rsidR="007C0B35" w:rsidRPr="002029AF">
        <w:t>–</w:t>
      </w:r>
      <w:r w:rsidRPr="002029AF">
        <w:t>20.</w:t>
      </w:r>
    </w:p>
    <w:p w14:paraId="7F3C9542" w14:textId="6ACE48CF" w:rsidR="00A34272" w:rsidRPr="002029AF" w:rsidRDefault="00A34272" w:rsidP="00A34272">
      <w:pPr>
        <w:pStyle w:val="Heading3"/>
      </w:pPr>
      <w:bookmarkStart w:id="12" w:name="_Ref52452790"/>
      <w:bookmarkEnd w:id="10"/>
      <w:bookmarkEnd w:id="11"/>
      <w:r w:rsidRPr="002029AF">
        <w:t>Subsequent events</w:t>
      </w:r>
      <w:bookmarkEnd w:id="12"/>
    </w:p>
    <w:p w14:paraId="2ACB3CF1" w14:textId="77777777" w:rsidR="00E95D66" w:rsidRPr="002029AF" w:rsidRDefault="00A34272" w:rsidP="00A34272">
      <w:pPr>
        <w:pStyle w:val="ARbody"/>
      </w:pPr>
      <w:r w:rsidRPr="002029AF">
        <w:t>Subsequent to the reporting period, the Government announced</w:t>
      </w:r>
      <w:r w:rsidR="00E95D66" w:rsidRPr="002029AF">
        <w:t>:</w:t>
      </w:r>
    </w:p>
    <w:p w14:paraId="4D69F504" w14:textId="5271F4E5" w:rsidR="00CF72D5" w:rsidRPr="002029AF" w:rsidRDefault="00E95D66" w:rsidP="00E95D66">
      <w:pPr>
        <w:pStyle w:val="ARbullet1"/>
      </w:pPr>
      <w:r w:rsidRPr="002029AF">
        <w:t xml:space="preserve">On 26 September 2020, </w:t>
      </w:r>
      <w:r w:rsidR="0050072D" w:rsidRPr="002029AF">
        <w:t>the</w:t>
      </w:r>
      <w:r w:rsidR="00DD1EA8" w:rsidRPr="002029AF">
        <w:t xml:space="preserve"> </w:t>
      </w:r>
      <w:r w:rsidR="00B1507A">
        <w:t>portfolio</w:t>
      </w:r>
      <w:r w:rsidR="00060D62">
        <w:t>s</w:t>
      </w:r>
      <w:r w:rsidR="00B1507A">
        <w:t xml:space="preserve"> of </w:t>
      </w:r>
      <w:r w:rsidR="0050072D" w:rsidRPr="002029AF">
        <w:t>the</w:t>
      </w:r>
      <w:r w:rsidR="00DD1EA8" w:rsidRPr="002029AF">
        <w:t xml:space="preserve"> </w:t>
      </w:r>
      <w:r w:rsidR="00671A29" w:rsidRPr="002029AF">
        <w:t>Minister for Health</w:t>
      </w:r>
      <w:r w:rsidR="0050072D" w:rsidRPr="002029AF">
        <w:t>, Minister for Ambulance Services, and Minister for the Coordination of Health and Human Services</w:t>
      </w:r>
      <w:r w:rsidR="00A179B8" w:rsidRPr="002029AF">
        <w:t xml:space="preserve"> </w:t>
      </w:r>
      <w:r w:rsidR="00A179B8" w:rsidRPr="002029AF">
        <w:rPr>
          <w:b/>
        </w:rPr>
        <w:t>–</w:t>
      </w:r>
      <w:r w:rsidR="0050072D" w:rsidRPr="002029AF">
        <w:t xml:space="preserve"> COVID-19</w:t>
      </w:r>
      <w:r w:rsidR="00671A29" w:rsidRPr="002029AF">
        <w:t xml:space="preserve"> </w:t>
      </w:r>
      <w:r w:rsidRPr="002029AF">
        <w:t>was</w:t>
      </w:r>
      <w:r w:rsidR="00186636" w:rsidRPr="002029AF">
        <w:t xml:space="preserve"> </w:t>
      </w:r>
      <w:r w:rsidR="0050072D" w:rsidRPr="002029AF">
        <w:t>transferred from</w:t>
      </w:r>
      <w:r w:rsidR="00A53848" w:rsidRPr="002029AF">
        <w:t xml:space="preserve"> Jenny Mikakos </w:t>
      </w:r>
      <w:r w:rsidR="0050072D" w:rsidRPr="002029AF">
        <w:t xml:space="preserve">MP </w:t>
      </w:r>
      <w:r w:rsidR="00A53848" w:rsidRPr="002029AF">
        <w:t xml:space="preserve">to </w:t>
      </w:r>
      <w:r w:rsidR="00671A29" w:rsidRPr="002029AF">
        <w:t>Martin Foley</w:t>
      </w:r>
      <w:r w:rsidR="0050072D" w:rsidRPr="002029AF">
        <w:t xml:space="preserve"> MP</w:t>
      </w:r>
      <w:r w:rsidR="00A53848" w:rsidRPr="002029AF">
        <w:t>.</w:t>
      </w:r>
    </w:p>
    <w:p w14:paraId="577A89F5" w14:textId="3D539676" w:rsidR="00E95D66" w:rsidRPr="002029AF" w:rsidRDefault="00E95D66" w:rsidP="00E95D66">
      <w:pPr>
        <w:pStyle w:val="ARbullet1"/>
      </w:pPr>
      <w:r w:rsidRPr="002029AF">
        <w:t xml:space="preserve">On 29 September 2020, the </w:t>
      </w:r>
      <w:r w:rsidR="008B537B">
        <w:t xml:space="preserve">portfolio of </w:t>
      </w:r>
      <w:r w:rsidRPr="002029AF">
        <w:t>the Minister for Mental Health was transferred from Martin Foley MP to James Merlino MP.</w:t>
      </w:r>
    </w:p>
    <w:p w14:paraId="1DFBFBCE" w14:textId="77777777" w:rsidR="00A34272" w:rsidRPr="002029AF" w:rsidRDefault="00A34272" w:rsidP="00A34272">
      <w:pPr>
        <w:pStyle w:val="ARbody"/>
      </w:pPr>
    </w:p>
    <w:p w14:paraId="39B707AA" w14:textId="508874F7" w:rsidR="00A34272" w:rsidRPr="002029AF" w:rsidRDefault="00A34272" w:rsidP="00A34272">
      <w:pPr>
        <w:pStyle w:val="ARbody"/>
        <w:sectPr w:rsidR="00A34272" w:rsidRPr="002029AF" w:rsidSect="00897193">
          <w:headerReference w:type="even" r:id="rId52"/>
          <w:headerReference w:type="default" r:id="rId53"/>
          <w:footerReference w:type="default" r:id="rId54"/>
          <w:headerReference w:type="first" r:id="rId55"/>
          <w:footerReference w:type="first" r:id="rId56"/>
          <w:footnotePr>
            <w:numFmt w:val="chicago"/>
            <w:numRestart w:val="eachPage"/>
          </w:footnotePr>
          <w:endnotePr>
            <w:numFmt w:val="decimal"/>
          </w:endnotePr>
          <w:pgSz w:w="11900" w:h="16840" w:code="9"/>
          <w:pgMar w:top="1985" w:right="851" w:bottom="851" w:left="1418" w:header="510" w:footer="340" w:gutter="0"/>
          <w:cols w:num="2" w:space="454"/>
          <w15:footnoteColumns w:val="1"/>
        </w:sectPr>
      </w:pPr>
    </w:p>
    <w:p w14:paraId="3DADDE73" w14:textId="2469B771" w:rsidR="00CF72D5" w:rsidRPr="002029AF" w:rsidRDefault="00CF72D5" w:rsidP="00897193">
      <w:pPr>
        <w:pStyle w:val="Heading1"/>
        <w:spacing w:after="400"/>
        <w:ind w:right="3116"/>
      </w:pPr>
      <w:bookmarkStart w:id="13" w:name="_Ref492893888"/>
      <w:bookmarkStart w:id="14" w:name="_Toc45549424"/>
      <w:bookmarkStart w:id="15" w:name="_Toc54690764"/>
      <w:r w:rsidRPr="002029AF">
        <w:lastRenderedPageBreak/>
        <w:t>The</w:t>
      </w:r>
      <w:r w:rsidR="000A5329" w:rsidRPr="002029AF">
        <w:t xml:space="preserve"> </w:t>
      </w:r>
      <w:r w:rsidRPr="002029AF">
        <w:t>department’s</w:t>
      </w:r>
      <w:r w:rsidR="000A5329" w:rsidRPr="002029AF">
        <w:t xml:space="preserve"> </w:t>
      </w:r>
      <w:r w:rsidRPr="002029AF">
        <w:t>ministers</w:t>
      </w:r>
      <w:bookmarkEnd w:id="13"/>
      <w:bookmarkEnd w:id="14"/>
      <w:bookmarkEnd w:id="15"/>
    </w:p>
    <w:p w14:paraId="523BA583" w14:textId="77777777" w:rsidR="00CF72D5" w:rsidRPr="002029AF" w:rsidRDefault="00CF72D5" w:rsidP="00897193">
      <w:pPr>
        <w:pStyle w:val="Heading2"/>
        <w:sectPr w:rsidR="00CF72D5" w:rsidRPr="002029AF" w:rsidSect="003566F1">
          <w:footnotePr>
            <w:numFmt w:val="chicago"/>
            <w:numRestart w:val="eachPage"/>
          </w:footnotePr>
          <w:pgSz w:w="11906" w:h="16838" w:code="9"/>
          <w:pgMar w:top="1985" w:right="851" w:bottom="851" w:left="1418" w:header="510" w:footer="340" w:gutter="0"/>
          <w:cols w:space="465"/>
          <w:docGrid w:linePitch="360"/>
          <w15:footnoteColumns w:val="1"/>
        </w:sectPr>
      </w:pPr>
    </w:p>
    <w:p w14:paraId="55497438" w14:textId="40DFE74B" w:rsidR="00CF72D5" w:rsidRPr="002029AF" w:rsidRDefault="00CF72D5" w:rsidP="00897193">
      <w:pPr>
        <w:pStyle w:val="ARbody"/>
      </w:pPr>
      <w:r>
        <w:rPr>
          <w:noProof/>
          <w:lang w:eastAsia="en-AU" w:bidi="as-IN"/>
        </w:rPr>
        <w:drawing>
          <wp:inline distT="0" distB="0" distL="0" distR="0" wp14:anchorId="0C9309C3" wp14:editId="06BFA1D4">
            <wp:extent cx="1084680" cy="971640"/>
            <wp:effectExtent l="0" t="0" r="1270" b="0"/>
            <wp:docPr id="121" name="Picture 121" descr="Jenny Mikakos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pic:nvPicPr>
                  <pic:blipFill>
                    <a:blip r:embed="rId57">
                      <a:extLst>
                        <a:ext uri="{28A0092B-C50C-407E-A947-70E740481C1C}">
                          <a14:useLocalDpi xmlns:a14="http://schemas.microsoft.com/office/drawing/2010/main" val="0"/>
                        </a:ext>
                      </a:extLst>
                    </a:blip>
                    <a:stretch>
                      <a:fillRect/>
                    </a:stretch>
                  </pic:blipFill>
                  <pic:spPr>
                    <a:xfrm>
                      <a:off x="0" y="0"/>
                      <a:ext cx="1084680" cy="971640"/>
                    </a:xfrm>
                    <a:prstGeom prst="rect">
                      <a:avLst/>
                    </a:prstGeom>
                  </pic:spPr>
                </pic:pic>
              </a:graphicData>
            </a:graphic>
          </wp:inline>
        </w:drawing>
      </w:r>
    </w:p>
    <w:p w14:paraId="7DFC7C2E" w14:textId="2D56BDE9" w:rsidR="00CF72D5" w:rsidRPr="002029AF" w:rsidRDefault="00CF72D5" w:rsidP="00897193">
      <w:pPr>
        <w:pStyle w:val="Heading2"/>
        <w:spacing w:before="200"/>
      </w:pPr>
      <w:r w:rsidRPr="002029AF">
        <w:t>Jenny</w:t>
      </w:r>
      <w:r w:rsidR="000A5329" w:rsidRPr="002029AF">
        <w:t xml:space="preserve"> </w:t>
      </w:r>
      <w:r w:rsidRPr="002029AF">
        <w:t>Mikakos</w:t>
      </w:r>
      <w:r w:rsidR="000A5329" w:rsidRPr="002029AF">
        <w:t xml:space="preserve"> </w:t>
      </w:r>
      <w:r w:rsidRPr="002029AF">
        <w:t>MP</w:t>
      </w:r>
    </w:p>
    <w:p w14:paraId="5A34E9DE" w14:textId="66749C85" w:rsidR="00CF72D5" w:rsidRPr="002029AF" w:rsidRDefault="00CF72D5" w:rsidP="002959F9">
      <w:pPr>
        <w:pStyle w:val="ARbody"/>
        <w:spacing w:after="0"/>
        <w:rPr>
          <w:b/>
        </w:rPr>
      </w:pPr>
      <w:r w:rsidRPr="002029AF">
        <w:rPr>
          <w:b/>
        </w:rPr>
        <w:t>Minister</w:t>
      </w:r>
      <w:r w:rsidR="000A5329" w:rsidRPr="002029AF">
        <w:rPr>
          <w:b/>
        </w:rPr>
        <w:t xml:space="preserve"> </w:t>
      </w:r>
      <w:r w:rsidRPr="002029AF">
        <w:rPr>
          <w:b/>
        </w:rPr>
        <w:t>for</w:t>
      </w:r>
      <w:r w:rsidR="000A5329" w:rsidRPr="002029AF">
        <w:rPr>
          <w:b/>
        </w:rPr>
        <w:t xml:space="preserve"> </w:t>
      </w:r>
      <w:r w:rsidRPr="002029AF">
        <w:rPr>
          <w:b/>
        </w:rPr>
        <w:t>Health</w:t>
      </w:r>
      <w:r w:rsidRPr="002029AF">
        <w:rPr>
          <w:b/>
        </w:rPr>
        <w:br/>
        <w:t>Minister</w:t>
      </w:r>
      <w:r w:rsidR="000A5329" w:rsidRPr="002029AF">
        <w:rPr>
          <w:b/>
        </w:rPr>
        <w:t xml:space="preserve"> </w:t>
      </w:r>
      <w:r w:rsidRPr="002029AF">
        <w:rPr>
          <w:b/>
        </w:rPr>
        <w:t>for</w:t>
      </w:r>
      <w:r w:rsidR="000A5329" w:rsidRPr="002029AF">
        <w:rPr>
          <w:b/>
        </w:rPr>
        <w:t xml:space="preserve"> </w:t>
      </w:r>
      <w:r w:rsidRPr="002029AF">
        <w:rPr>
          <w:b/>
        </w:rPr>
        <w:t>Ambulance</w:t>
      </w:r>
      <w:r w:rsidR="000A5329" w:rsidRPr="002029AF">
        <w:rPr>
          <w:b/>
        </w:rPr>
        <w:t xml:space="preserve"> </w:t>
      </w:r>
      <w:r w:rsidRPr="002029AF">
        <w:rPr>
          <w:b/>
        </w:rPr>
        <w:t>Services</w:t>
      </w:r>
    </w:p>
    <w:p w14:paraId="22A57D39" w14:textId="11087BCD" w:rsidR="002959F9" w:rsidRPr="002029AF" w:rsidRDefault="002959F9" w:rsidP="00897193">
      <w:pPr>
        <w:pStyle w:val="ARbody"/>
        <w:rPr>
          <w:b/>
        </w:rPr>
      </w:pPr>
      <w:r w:rsidRPr="002029AF">
        <w:rPr>
          <w:b/>
        </w:rPr>
        <w:t>Minister for the Coordination of Health and</w:t>
      </w:r>
      <w:r w:rsidR="0027759D">
        <w:rPr>
          <w:b/>
        </w:rPr>
        <w:t> </w:t>
      </w:r>
      <w:r w:rsidRPr="002029AF">
        <w:rPr>
          <w:b/>
        </w:rPr>
        <w:t>Human Services – COVID-19</w:t>
      </w:r>
    </w:p>
    <w:p w14:paraId="3AFCDEE9" w14:textId="78C02153" w:rsidR="00CF72D5" w:rsidRPr="002029AF" w:rsidRDefault="00CF72D5" w:rsidP="00897193">
      <w:pPr>
        <w:pStyle w:val="ARbody"/>
      </w:pPr>
      <w:r w:rsidRPr="002029AF">
        <w:t>Jenny</w:t>
      </w:r>
      <w:r w:rsidR="000A5329" w:rsidRPr="002029AF">
        <w:t xml:space="preserve"> </w:t>
      </w:r>
      <w:r w:rsidRPr="002029AF">
        <w:t>Mikakos</w:t>
      </w:r>
      <w:r w:rsidR="000A5329" w:rsidRPr="002029AF">
        <w:t xml:space="preserve"> </w:t>
      </w:r>
      <w:r w:rsidRPr="002029AF">
        <w:t>MP</w:t>
      </w:r>
      <w:r w:rsidR="000A5329" w:rsidRPr="002029AF">
        <w:t xml:space="preserve"> </w:t>
      </w:r>
      <w:r w:rsidRPr="002029AF">
        <w:t>was</w:t>
      </w:r>
      <w:r w:rsidR="000A5329" w:rsidRPr="002029AF">
        <w:t xml:space="preserve"> </w:t>
      </w:r>
      <w:r w:rsidRPr="002029AF">
        <w:t>appointed</w:t>
      </w:r>
      <w:r w:rsidR="000A5329" w:rsidRPr="002029AF">
        <w:t xml:space="preserve"> </w:t>
      </w:r>
      <w:r w:rsidRPr="002029AF">
        <w:t>as</w:t>
      </w:r>
      <w:r w:rsidR="000A5329" w:rsidRPr="002029AF">
        <w:t xml:space="preserve"> </w:t>
      </w:r>
      <w:r w:rsidRPr="002029AF">
        <w:t>the</w:t>
      </w:r>
      <w:r w:rsidR="000A5329" w:rsidRPr="002029AF">
        <w:t xml:space="preserve"> </w:t>
      </w:r>
      <w:r w:rsidRPr="002029AF">
        <w:t>Minister</w:t>
      </w:r>
      <w:r w:rsidR="000A5329" w:rsidRPr="002029AF">
        <w:t xml:space="preserve"> </w:t>
      </w:r>
      <w:r w:rsidRPr="002029AF">
        <w:t>for</w:t>
      </w:r>
      <w:r w:rsidR="000A5329" w:rsidRPr="002029AF">
        <w:t xml:space="preserve"> </w:t>
      </w:r>
      <w:r w:rsidRPr="002029AF">
        <w:t>Health</w:t>
      </w:r>
      <w:r w:rsidR="000A5329" w:rsidRPr="002029AF">
        <w:t xml:space="preserve"> </w:t>
      </w:r>
      <w:r w:rsidRPr="002029AF">
        <w:t>and</w:t>
      </w:r>
      <w:r w:rsidR="000A5329" w:rsidRPr="002029AF">
        <w:t xml:space="preserve"> </w:t>
      </w:r>
      <w:r w:rsidRPr="002029AF">
        <w:t>Minister</w:t>
      </w:r>
      <w:r w:rsidR="000A5329" w:rsidRPr="002029AF">
        <w:t xml:space="preserve"> </w:t>
      </w:r>
      <w:r w:rsidRPr="002029AF">
        <w:t>for</w:t>
      </w:r>
      <w:r w:rsidR="000A5329" w:rsidRPr="002029AF">
        <w:t xml:space="preserve"> </w:t>
      </w:r>
      <w:r w:rsidRPr="002029AF">
        <w:t>Ambulance</w:t>
      </w:r>
      <w:r w:rsidR="000A5329" w:rsidRPr="002029AF">
        <w:t xml:space="preserve"> </w:t>
      </w:r>
      <w:r w:rsidRPr="002029AF">
        <w:t>Services</w:t>
      </w:r>
      <w:r w:rsidR="000A5329" w:rsidRPr="002029AF">
        <w:t xml:space="preserve"> </w:t>
      </w:r>
      <w:r w:rsidRPr="002029AF">
        <w:t>in</w:t>
      </w:r>
      <w:r w:rsidR="000A5329" w:rsidRPr="002029AF">
        <w:t xml:space="preserve"> </w:t>
      </w:r>
      <w:r w:rsidRPr="002029AF">
        <w:t>December</w:t>
      </w:r>
      <w:r w:rsidR="000A5329" w:rsidRPr="002029AF">
        <w:t xml:space="preserve"> </w:t>
      </w:r>
      <w:r w:rsidRPr="002029AF">
        <w:t>2018.</w:t>
      </w:r>
    </w:p>
    <w:p w14:paraId="4CFB5907" w14:textId="1A22DD89" w:rsidR="00B97ABC" w:rsidRDefault="00CF72D5" w:rsidP="00FD7EAE">
      <w:pPr>
        <w:pStyle w:val="ARbody"/>
        <w:spacing w:after="240"/>
      </w:pPr>
      <w:r w:rsidRPr="002029AF">
        <w:t>The</w:t>
      </w:r>
      <w:r w:rsidR="000A5329" w:rsidRPr="002029AF">
        <w:t xml:space="preserve"> </w:t>
      </w:r>
      <w:r w:rsidRPr="002029AF">
        <w:t>Minister</w:t>
      </w:r>
      <w:r w:rsidR="000A5329" w:rsidRPr="002029AF">
        <w:t xml:space="preserve"> </w:t>
      </w:r>
      <w:r w:rsidRPr="002029AF">
        <w:t>for</w:t>
      </w:r>
      <w:r w:rsidR="000A5329" w:rsidRPr="002029AF">
        <w:t xml:space="preserve"> </w:t>
      </w:r>
      <w:r w:rsidRPr="002029AF">
        <w:t>Health</w:t>
      </w:r>
      <w:r w:rsidR="000A5329" w:rsidRPr="002029AF">
        <w:t xml:space="preserve"> </w:t>
      </w:r>
      <w:r w:rsidRPr="002029AF">
        <w:t>and</w:t>
      </w:r>
      <w:r w:rsidR="000A5329" w:rsidRPr="002029AF">
        <w:t xml:space="preserve"> </w:t>
      </w:r>
      <w:r w:rsidR="0061451C" w:rsidRPr="002029AF">
        <w:t>Minister</w:t>
      </w:r>
      <w:r w:rsidR="000A5329" w:rsidRPr="002029AF">
        <w:t xml:space="preserve"> </w:t>
      </w:r>
      <w:r w:rsidR="0061451C" w:rsidRPr="002029AF">
        <w:t>for</w:t>
      </w:r>
      <w:r w:rsidR="000A5329" w:rsidRPr="002029AF">
        <w:t xml:space="preserve"> </w:t>
      </w:r>
      <w:r w:rsidRPr="002029AF">
        <w:t>Ambulance</w:t>
      </w:r>
      <w:r w:rsidR="00CA534E" w:rsidRPr="002029AF">
        <w:t> </w:t>
      </w:r>
      <w:r w:rsidRPr="002029AF">
        <w:t>Services</w:t>
      </w:r>
      <w:r w:rsidR="000A5329" w:rsidRPr="002029AF">
        <w:t xml:space="preserve"> </w:t>
      </w:r>
      <w:r w:rsidRPr="002029AF">
        <w:t>is</w:t>
      </w:r>
      <w:r w:rsidR="000A5329" w:rsidRPr="002029AF">
        <w:t xml:space="preserve"> </w:t>
      </w:r>
      <w:r w:rsidRPr="002029AF">
        <w:t>responsible</w:t>
      </w:r>
      <w:r w:rsidR="000A5329" w:rsidRPr="002029AF">
        <w:t xml:space="preserve"> </w:t>
      </w:r>
      <w:r w:rsidRPr="002029AF">
        <w:t>for</w:t>
      </w:r>
      <w:r w:rsidR="000A5329" w:rsidRPr="002029AF">
        <w:t xml:space="preserve"> </w:t>
      </w:r>
      <w:r w:rsidRPr="002029AF">
        <w:t>the</w:t>
      </w:r>
      <w:r w:rsidR="000A5329" w:rsidRPr="002029AF">
        <w:t xml:space="preserve"> </w:t>
      </w:r>
      <w:r w:rsidRPr="002029AF">
        <w:t>health</w:t>
      </w:r>
      <w:r w:rsidR="000A5329" w:rsidRPr="002029AF">
        <w:t xml:space="preserve"> </w:t>
      </w:r>
      <w:r w:rsidRPr="002029AF">
        <w:t>and</w:t>
      </w:r>
      <w:r w:rsidR="000A5329" w:rsidRPr="002029AF">
        <w:t xml:space="preserve"> </w:t>
      </w:r>
      <w:r w:rsidRPr="002029AF">
        <w:t>wellbeing</w:t>
      </w:r>
      <w:r w:rsidR="000A5329" w:rsidRPr="002029AF">
        <w:t xml:space="preserve"> </w:t>
      </w:r>
      <w:r w:rsidRPr="002029AF">
        <w:t>of</w:t>
      </w:r>
      <w:r w:rsidR="000A5329" w:rsidRPr="002029AF">
        <w:t xml:space="preserve"> </w:t>
      </w:r>
      <w:r w:rsidRPr="002029AF">
        <w:t>all</w:t>
      </w:r>
      <w:r w:rsidR="000A5329" w:rsidRPr="002029AF">
        <w:t xml:space="preserve"> </w:t>
      </w:r>
      <w:r w:rsidRPr="002029AF">
        <w:t>Victorians,</w:t>
      </w:r>
      <w:r w:rsidR="000A5329" w:rsidRPr="002029AF">
        <w:t xml:space="preserve"> </w:t>
      </w:r>
      <w:r w:rsidR="07BA7808" w:rsidRPr="002029AF">
        <w:t>ensuring</w:t>
      </w:r>
      <w:r w:rsidR="000A5329" w:rsidRPr="002029AF">
        <w:t xml:space="preserve"> </w:t>
      </w:r>
      <w:r w:rsidRPr="002029AF">
        <w:t>a</w:t>
      </w:r>
      <w:r w:rsidR="000A5329" w:rsidRPr="002029AF">
        <w:t xml:space="preserve"> </w:t>
      </w:r>
      <w:r w:rsidRPr="002029AF">
        <w:t>strong</w:t>
      </w:r>
      <w:r w:rsidR="000A5329" w:rsidRPr="002029AF">
        <w:t xml:space="preserve"> </w:t>
      </w:r>
      <w:r w:rsidRPr="002029AF">
        <w:t>public</w:t>
      </w:r>
      <w:r w:rsidR="000A5329" w:rsidRPr="002029AF">
        <w:t xml:space="preserve"> </w:t>
      </w:r>
      <w:r w:rsidRPr="002029AF">
        <w:t>health</w:t>
      </w:r>
      <w:r w:rsidR="000A5329" w:rsidRPr="002029AF">
        <w:t xml:space="preserve"> </w:t>
      </w:r>
      <w:r w:rsidRPr="002029AF">
        <w:t>system</w:t>
      </w:r>
      <w:r w:rsidR="000A5329" w:rsidRPr="002029AF">
        <w:t xml:space="preserve"> </w:t>
      </w:r>
      <w:r w:rsidR="0061451C" w:rsidRPr="002029AF">
        <w:t>and</w:t>
      </w:r>
      <w:r w:rsidR="000A5329" w:rsidRPr="002029AF">
        <w:t xml:space="preserve"> </w:t>
      </w:r>
      <w:r w:rsidR="00E83C5A" w:rsidRPr="002029AF">
        <w:t>its</w:t>
      </w:r>
      <w:r w:rsidR="000A5329" w:rsidRPr="002029AF">
        <w:t xml:space="preserve"> </w:t>
      </w:r>
      <w:r w:rsidR="00E83C5A" w:rsidRPr="002029AF">
        <w:t>continued</w:t>
      </w:r>
      <w:r w:rsidR="000A5329" w:rsidRPr="002029AF">
        <w:t xml:space="preserve"> </w:t>
      </w:r>
      <w:r w:rsidRPr="002029AF">
        <w:t>growth</w:t>
      </w:r>
      <w:r w:rsidR="000A5329" w:rsidRPr="002029AF">
        <w:t xml:space="preserve"> </w:t>
      </w:r>
      <w:r w:rsidRPr="002029AF">
        <w:t>and</w:t>
      </w:r>
      <w:r w:rsidR="00CA534E" w:rsidRPr="002029AF">
        <w:t> </w:t>
      </w:r>
      <w:r w:rsidRPr="002029AF">
        <w:t>redevelopment.</w:t>
      </w:r>
      <w:r w:rsidR="000A5329" w:rsidRPr="002029AF">
        <w:t xml:space="preserve"> </w:t>
      </w:r>
      <w:r w:rsidR="3AE32405" w:rsidRPr="002029AF">
        <w:t>The</w:t>
      </w:r>
      <w:r w:rsidR="000A5329" w:rsidRPr="002029AF">
        <w:t xml:space="preserve"> </w:t>
      </w:r>
      <w:r w:rsidR="3AE32405" w:rsidRPr="002029AF">
        <w:t>Minister</w:t>
      </w:r>
      <w:r w:rsidR="000A5329" w:rsidRPr="002029AF">
        <w:t xml:space="preserve"> </w:t>
      </w:r>
      <w:r w:rsidR="3AE32405" w:rsidRPr="002029AF">
        <w:t>also</w:t>
      </w:r>
      <w:r w:rsidR="000A5329" w:rsidRPr="002029AF">
        <w:t xml:space="preserve"> </w:t>
      </w:r>
      <w:r w:rsidR="3AE32405" w:rsidRPr="002029AF">
        <w:t>le</w:t>
      </w:r>
      <w:r w:rsidR="3840C12D" w:rsidRPr="002029AF">
        <w:t>a</w:t>
      </w:r>
      <w:r w:rsidR="3AE32405" w:rsidRPr="002029AF">
        <w:t>d</w:t>
      </w:r>
      <w:r w:rsidR="5F944E0A" w:rsidRPr="002029AF">
        <w:t>s</w:t>
      </w:r>
      <w:r w:rsidR="000A5329" w:rsidRPr="002029AF">
        <w:t xml:space="preserve"> </w:t>
      </w:r>
      <w:r w:rsidR="3AE32405" w:rsidRPr="002029AF">
        <w:t>the</w:t>
      </w:r>
      <w:r w:rsidR="000A5329" w:rsidRPr="002029AF">
        <w:t xml:space="preserve"> </w:t>
      </w:r>
      <w:r w:rsidR="3AE32405" w:rsidRPr="002029AF">
        <w:t>coronavirus</w:t>
      </w:r>
      <w:r w:rsidR="000A5329" w:rsidRPr="002029AF">
        <w:t xml:space="preserve"> </w:t>
      </w:r>
      <w:r w:rsidR="3AE32405" w:rsidRPr="002029AF">
        <w:t>(COVID-19)</w:t>
      </w:r>
      <w:r w:rsidR="000A5329" w:rsidRPr="002029AF">
        <w:t xml:space="preserve"> </w:t>
      </w:r>
      <w:r w:rsidR="3AE32405" w:rsidRPr="002029AF">
        <w:t>response</w:t>
      </w:r>
      <w:r w:rsidR="000A5329" w:rsidRPr="002029AF">
        <w:t xml:space="preserve"> </w:t>
      </w:r>
      <w:r w:rsidR="3AE32405" w:rsidRPr="002029AF">
        <w:t>activities</w:t>
      </w:r>
      <w:r w:rsidR="000A5329" w:rsidRPr="002029AF">
        <w:t xml:space="preserve"> </w:t>
      </w:r>
      <w:r w:rsidR="67989BDA" w:rsidRPr="002029AF">
        <w:t>for</w:t>
      </w:r>
      <w:r w:rsidR="000A5329" w:rsidRPr="002029AF">
        <w:t xml:space="preserve"> </w:t>
      </w:r>
      <w:r w:rsidR="67989BDA" w:rsidRPr="002029AF">
        <w:t>the</w:t>
      </w:r>
      <w:r w:rsidR="000A5329" w:rsidRPr="002029AF">
        <w:t xml:space="preserve"> </w:t>
      </w:r>
      <w:r w:rsidR="67989BDA" w:rsidRPr="002029AF">
        <w:t>department</w:t>
      </w:r>
      <w:r w:rsidR="000A5329" w:rsidRPr="002029AF">
        <w:t xml:space="preserve"> </w:t>
      </w:r>
      <w:r w:rsidR="2C378E65" w:rsidRPr="002029AF">
        <w:t>as</w:t>
      </w:r>
      <w:r w:rsidR="000A5329" w:rsidRPr="002029AF">
        <w:t xml:space="preserve"> </w:t>
      </w:r>
      <w:r w:rsidR="2C378E65" w:rsidRPr="002029AF">
        <w:t>the</w:t>
      </w:r>
      <w:r w:rsidR="000A5329" w:rsidRPr="002029AF">
        <w:t xml:space="preserve"> </w:t>
      </w:r>
      <w:r w:rsidR="2C378E65" w:rsidRPr="002029AF">
        <w:t>Minister</w:t>
      </w:r>
      <w:r w:rsidR="000A5329" w:rsidRPr="002029AF">
        <w:t xml:space="preserve"> </w:t>
      </w:r>
      <w:r w:rsidR="2C378E65" w:rsidRPr="002029AF">
        <w:t>for</w:t>
      </w:r>
      <w:r w:rsidR="000A5329" w:rsidRPr="002029AF">
        <w:t xml:space="preserve"> </w:t>
      </w:r>
      <w:r w:rsidR="2C378E65" w:rsidRPr="002029AF">
        <w:t>the</w:t>
      </w:r>
      <w:r w:rsidR="000A5329" w:rsidRPr="002029AF">
        <w:t xml:space="preserve"> </w:t>
      </w:r>
      <w:r w:rsidR="2C378E65" w:rsidRPr="002029AF">
        <w:t>Coordination</w:t>
      </w:r>
      <w:r w:rsidR="000A5329" w:rsidRPr="002029AF">
        <w:t xml:space="preserve"> </w:t>
      </w:r>
      <w:r w:rsidR="2C378E65" w:rsidRPr="002029AF">
        <w:t>of</w:t>
      </w:r>
      <w:r w:rsidR="000A5329" w:rsidRPr="002029AF">
        <w:t xml:space="preserve"> </w:t>
      </w:r>
      <w:r w:rsidR="2C378E65" w:rsidRPr="002029AF">
        <w:t>Health</w:t>
      </w:r>
      <w:r w:rsidR="000A5329" w:rsidRPr="002029AF">
        <w:t xml:space="preserve"> </w:t>
      </w:r>
      <w:r w:rsidR="2C378E65" w:rsidRPr="002029AF">
        <w:t>and</w:t>
      </w:r>
      <w:r w:rsidR="000A5329" w:rsidRPr="002029AF">
        <w:t xml:space="preserve"> </w:t>
      </w:r>
      <w:r w:rsidR="2C378E65" w:rsidRPr="002029AF">
        <w:t>Human</w:t>
      </w:r>
      <w:r w:rsidR="000A5329" w:rsidRPr="002029AF">
        <w:t xml:space="preserve"> </w:t>
      </w:r>
      <w:r w:rsidR="2C378E65" w:rsidRPr="002029AF">
        <w:t>Services</w:t>
      </w:r>
      <w:r w:rsidR="000A5329" w:rsidRPr="002029AF">
        <w:t xml:space="preserve"> </w:t>
      </w:r>
      <w:r w:rsidR="2C378E65" w:rsidRPr="002029AF">
        <w:t>–</w:t>
      </w:r>
      <w:r w:rsidR="000A5329" w:rsidRPr="002029AF">
        <w:t xml:space="preserve"> </w:t>
      </w:r>
      <w:r w:rsidR="2C378E65" w:rsidRPr="002029AF">
        <w:t>COVID-19.</w:t>
      </w:r>
    </w:p>
    <w:p w14:paraId="7FA6EFB2" w14:textId="77777777" w:rsidR="00D61015" w:rsidRPr="002029AF" w:rsidRDefault="00D61015" w:rsidP="00D61015">
      <w:pPr>
        <w:pStyle w:val="ARbody"/>
        <w:spacing w:before="880"/>
      </w:pPr>
      <w:r>
        <w:rPr>
          <w:noProof/>
          <w:lang w:eastAsia="en-AU" w:bidi="as-IN"/>
        </w:rPr>
        <w:drawing>
          <wp:inline distT="0" distB="0" distL="0" distR="0" wp14:anchorId="14213EA9" wp14:editId="5154A2A5">
            <wp:extent cx="844201" cy="972185"/>
            <wp:effectExtent l="0" t="0" r="0" b="0"/>
            <wp:docPr id="14" name="Picture 14" descr="Gabrielle Williams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58">
                      <a:extLst>
                        <a:ext uri="{28A0092B-C50C-407E-A947-70E740481C1C}">
                          <a14:useLocalDpi xmlns:a14="http://schemas.microsoft.com/office/drawing/2010/main" val="0"/>
                        </a:ext>
                      </a:extLst>
                    </a:blip>
                    <a:stretch>
                      <a:fillRect/>
                    </a:stretch>
                  </pic:blipFill>
                  <pic:spPr>
                    <a:xfrm>
                      <a:off x="0" y="0"/>
                      <a:ext cx="844201" cy="972185"/>
                    </a:xfrm>
                    <a:prstGeom prst="rect">
                      <a:avLst/>
                    </a:prstGeom>
                  </pic:spPr>
                </pic:pic>
              </a:graphicData>
            </a:graphic>
          </wp:inline>
        </w:drawing>
      </w:r>
    </w:p>
    <w:p w14:paraId="42466AD0" w14:textId="77777777" w:rsidR="00D61015" w:rsidRPr="002029AF" w:rsidRDefault="00D61015" w:rsidP="00D61015">
      <w:pPr>
        <w:pStyle w:val="Heading2"/>
        <w:spacing w:before="200"/>
      </w:pPr>
      <w:bookmarkStart w:id="16" w:name="_Ref21861477"/>
      <w:r w:rsidRPr="002029AF">
        <w:t>Gabrielle Williams MP</w:t>
      </w:r>
      <w:bookmarkEnd w:id="16"/>
    </w:p>
    <w:p w14:paraId="227C7DD0" w14:textId="77777777" w:rsidR="00D61015" w:rsidRPr="002029AF" w:rsidRDefault="00D61015" w:rsidP="00D61015">
      <w:pPr>
        <w:pStyle w:val="ARbody"/>
        <w:rPr>
          <w:b/>
        </w:rPr>
      </w:pPr>
      <w:r w:rsidRPr="002029AF">
        <w:rPr>
          <w:b/>
        </w:rPr>
        <w:t>Minister for the Prevention of Family Violence</w:t>
      </w:r>
    </w:p>
    <w:p w14:paraId="1CF35CA5" w14:textId="77777777" w:rsidR="00D61015" w:rsidRPr="002029AF" w:rsidRDefault="00D61015" w:rsidP="00D61015">
      <w:pPr>
        <w:pStyle w:val="ARbody"/>
      </w:pPr>
      <w:r w:rsidRPr="002029AF">
        <w:t>Gabrielle Williams MP was appointed as Minister for the Prevention of Family Violence in December 2018. She is also the Minister for Women and Minister for Aboriginal Affairs.</w:t>
      </w:r>
    </w:p>
    <w:p w14:paraId="3683F6FC" w14:textId="39F57F56" w:rsidR="00D61015" w:rsidRPr="002029AF" w:rsidRDefault="00D61015" w:rsidP="00D61015">
      <w:pPr>
        <w:pStyle w:val="ARbody"/>
      </w:pPr>
      <w:r w:rsidRPr="002029AF">
        <w:t>The Minister for the Prevention of Family Violence is responsible for delivering a better family violence system – one that protects and supports victim survivors and also holds perpetrators to account.</w:t>
      </w:r>
    </w:p>
    <w:p w14:paraId="28F85F41" w14:textId="367DCE35" w:rsidR="00CF72D5" w:rsidRPr="002029AF" w:rsidRDefault="00CF72D5" w:rsidP="00897193">
      <w:pPr>
        <w:pStyle w:val="ARbody"/>
      </w:pPr>
      <w:r w:rsidRPr="002029AF">
        <w:br w:type="column"/>
      </w:r>
      <w:r w:rsidRPr="002029AF">
        <w:rPr>
          <w:noProof/>
          <w:lang w:eastAsia="en-AU" w:bidi="as-IN"/>
        </w:rPr>
        <w:drawing>
          <wp:inline distT="0" distB="0" distL="0" distR="0" wp14:anchorId="584A2CE3" wp14:editId="30A8E8B1">
            <wp:extent cx="1051200" cy="972000"/>
            <wp:effectExtent l="0" t="0" r="0" b="0"/>
            <wp:docPr id="118" name="Picture 118" descr="Martin Foley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tin Foley.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051200" cy="972000"/>
                    </a:xfrm>
                    <a:prstGeom prst="rect">
                      <a:avLst/>
                    </a:prstGeom>
                  </pic:spPr>
                </pic:pic>
              </a:graphicData>
            </a:graphic>
          </wp:inline>
        </w:drawing>
      </w:r>
    </w:p>
    <w:p w14:paraId="5B6B1BCD" w14:textId="6BCA68AE" w:rsidR="00CF72D5" w:rsidRPr="002029AF" w:rsidRDefault="00CF72D5" w:rsidP="00897193">
      <w:pPr>
        <w:pStyle w:val="Heading2"/>
        <w:spacing w:before="200"/>
      </w:pPr>
      <w:r w:rsidRPr="002029AF">
        <w:t>Martin</w:t>
      </w:r>
      <w:r w:rsidR="000A5329" w:rsidRPr="002029AF">
        <w:t xml:space="preserve"> </w:t>
      </w:r>
      <w:r w:rsidRPr="002029AF">
        <w:t>Foley</w:t>
      </w:r>
      <w:r w:rsidR="000A5329" w:rsidRPr="002029AF">
        <w:t xml:space="preserve"> </w:t>
      </w:r>
      <w:r w:rsidRPr="002029AF">
        <w:t>MP</w:t>
      </w:r>
    </w:p>
    <w:p w14:paraId="3716637C" w14:textId="4713B416" w:rsidR="00CF72D5" w:rsidRPr="002029AF" w:rsidRDefault="00CF72D5" w:rsidP="00897193">
      <w:pPr>
        <w:pStyle w:val="ARbody"/>
        <w:rPr>
          <w:b/>
        </w:rPr>
      </w:pPr>
      <w:r w:rsidRPr="002029AF">
        <w:rPr>
          <w:b/>
        </w:rPr>
        <w:t>Minister</w:t>
      </w:r>
      <w:r w:rsidR="000A5329" w:rsidRPr="002029AF">
        <w:rPr>
          <w:b/>
        </w:rPr>
        <w:t xml:space="preserve"> </w:t>
      </w:r>
      <w:r w:rsidRPr="002029AF">
        <w:rPr>
          <w:b/>
        </w:rPr>
        <w:t>for</w:t>
      </w:r>
      <w:r w:rsidR="000A5329" w:rsidRPr="002029AF">
        <w:rPr>
          <w:b/>
        </w:rPr>
        <w:t xml:space="preserve"> </w:t>
      </w:r>
      <w:r w:rsidRPr="002029AF">
        <w:rPr>
          <w:b/>
        </w:rPr>
        <w:t>Mental</w:t>
      </w:r>
      <w:r w:rsidR="000A5329" w:rsidRPr="002029AF">
        <w:rPr>
          <w:b/>
        </w:rPr>
        <w:t xml:space="preserve"> </w:t>
      </w:r>
      <w:r w:rsidRPr="002029AF">
        <w:rPr>
          <w:b/>
        </w:rPr>
        <w:t>Health</w:t>
      </w:r>
    </w:p>
    <w:p w14:paraId="70F367FB" w14:textId="32BA5B19" w:rsidR="00CF72D5" w:rsidRPr="002029AF" w:rsidRDefault="00CF72D5" w:rsidP="00897193">
      <w:pPr>
        <w:pStyle w:val="ARbody"/>
      </w:pPr>
      <w:r w:rsidRPr="002029AF">
        <w:t>Martin</w:t>
      </w:r>
      <w:r w:rsidR="000A5329" w:rsidRPr="002029AF">
        <w:t xml:space="preserve"> </w:t>
      </w:r>
      <w:r w:rsidRPr="002029AF">
        <w:t>Foley</w:t>
      </w:r>
      <w:r w:rsidR="000A5329" w:rsidRPr="002029AF">
        <w:t xml:space="preserve"> </w:t>
      </w:r>
      <w:r w:rsidRPr="002029AF">
        <w:t>MP</w:t>
      </w:r>
      <w:r w:rsidR="000A5329" w:rsidRPr="002029AF">
        <w:t xml:space="preserve"> </w:t>
      </w:r>
      <w:r w:rsidR="0061451C" w:rsidRPr="002029AF">
        <w:t>has</w:t>
      </w:r>
      <w:r w:rsidR="000A5329" w:rsidRPr="002029AF">
        <w:t xml:space="preserve"> </w:t>
      </w:r>
      <w:r w:rsidR="0061451C" w:rsidRPr="002029AF">
        <w:t>been</w:t>
      </w:r>
      <w:r w:rsidR="000A5329" w:rsidRPr="002029AF">
        <w:t xml:space="preserve"> </w:t>
      </w:r>
      <w:r w:rsidRPr="002029AF">
        <w:t>as</w:t>
      </w:r>
      <w:r w:rsidR="000A5329" w:rsidRPr="002029AF">
        <w:t xml:space="preserve"> </w:t>
      </w:r>
      <w:r w:rsidRPr="002029AF">
        <w:t>the</w:t>
      </w:r>
      <w:r w:rsidR="000A5329" w:rsidRPr="002029AF">
        <w:t xml:space="preserve"> </w:t>
      </w:r>
      <w:r w:rsidRPr="002029AF">
        <w:t>Minister</w:t>
      </w:r>
      <w:r w:rsidR="000A5329" w:rsidRPr="002029AF">
        <w:t xml:space="preserve"> </w:t>
      </w:r>
      <w:r w:rsidRPr="002029AF">
        <w:t>for</w:t>
      </w:r>
      <w:r w:rsidR="000A5329" w:rsidRPr="002029AF">
        <w:t xml:space="preserve"> </w:t>
      </w:r>
      <w:r w:rsidRPr="002029AF">
        <w:t>Mental</w:t>
      </w:r>
      <w:r w:rsidR="000A5329" w:rsidRPr="002029AF">
        <w:t xml:space="preserve"> </w:t>
      </w:r>
      <w:r w:rsidRPr="002029AF">
        <w:t>Health</w:t>
      </w:r>
      <w:r w:rsidR="000A5329" w:rsidRPr="002029AF">
        <w:t xml:space="preserve"> </w:t>
      </w:r>
      <w:r w:rsidRPr="002029AF">
        <w:t>since</w:t>
      </w:r>
      <w:r w:rsidR="000A5329" w:rsidRPr="002029AF">
        <w:t xml:space="preserve"> </w:t>
      </w:r>
      <w:r w:rsidRPr="002029AF">
        <w:t>December</w:t>
      </w:r>
      <w:r w:rsidR="000A5329" w:rsidRPr="002029AF">
        <w:t xml:space="preserve"> </w:t>
      </w:r>
      <w:r w:rsidRPr="002029AF">
        <w:t>2014.</w:t>
      </w:r>
      <w:r w:rsidR="000A5329" w:rsidRPr="002029AF">
        <w:t xml:space="preserve"> </w:t>
      </w:r>
      <w:r w:rsidRPr="002029AF">
        <w:t>He</w:t>
      </w:r>
      <w:r w:rsidR="000A5329" w:rsidRPr="002029AF">
        <w:t xml:space="preserve"> </w:t>
      </w:r>
      <w:r w:rsidRPr="002029AF">
        <w:t>is</w:t>
      </w:r>
      <w:r w:rsidR="000A5329" w:rsidRPr="002029AF">
        <w:t xml:space="preserve"> </w:t>
      </w:r>
      <w:r w:rsidRPr="002029AF">
        <w:t>also</w:t>
      </w:r>
      <w:r w:rsidR="000A5329" w:rsidRPr="002029AF">
        <w:t xml:space="preserve"> </w:t>
      </w:r>
      <w:r w:rsidRPr="002029AF">
        <w:t>Minister</w:t>
      </w:r>
      <w:r w:rsidR="000A5329" w:rsidRPr="002029AF">
        <w:t xml:space="preserve"> </w:t>
      </w:r>
      <w:r w:rsidRPr="002029AF">
        <w:t>for</w:t>
      </w:r>
      <w:r w:rsidR="000A5329" w:rsidRPr="002029AF">
        <w:t xml:space="preserve"> </w:t>
      </w:r>
      <w:r w:rsidRPr="002029AF">
        <w:t>Equality</w:t>
      </w:r>
      <w:r w:rsidR="000A5329" w:rsidRPr="002029AF">
        <w:t xml:space="preserve"> </w:t>
      </w:r>
      <w:r w:rsidRPr="002029AF">
        <w:t>and</w:t>
      </w:r>
      <w:r w:rsidR="000A5329" w:rsidRPr="002029AF">
        <w:t xml:space="preserve"> </w:t>
      </w:r>
      <w:r w:rsidRPr="002029AF">
        <w:t>Minister</w:t>
      </w:r>
      <w:r w:rsidR="000A5329" w:rsidRPr="002029AF">
        <w:t xml:space="preserve"> </w:t>
      </w:r>
      <w:r w:rsidRPr="002029AF">
        <w:t>for</w:t>
      </w:r>
      <w:r w:rsidR="000A5329" w:rsidRPr="002029AF">
        <w:t xml:space="preserve"> </w:t>
      </w:r>
      <w:r w:rsidRPr="002029AF">
        <w:t>Creative</w:t>
      </w:r>
      <w:r w:rsidR="000A5329" w:rsidRPr="002029AF">
        <w:t xml:space="preserve"> </w:t>
      </w:r>
      <w:r w:rsidRPr="002029AF">
        <w:t>Industries.</w:t>
      </w:r>
    </w:p>
    <w:p w14:paraId="7EE536FB" w14:textId="77777777" w:rsidR="00B97ABC" w:rsidRPr="002029AF" w:rsidRDefault="00CF72D5" w:rsidP="001338BF">
      <w:pPr>
        <w:pStyle w:val="ARbody"/>
      </w:pPr>
      <w:r w:rsidRPr="002029AF">
        <w:t>The</w:t>
      </w:r>
      <w:r w:rsidR="000A5329" w:rsidRPr="002029AF">
        <w:t xml:space="preserve"> </w:t>
      </w:r>
      <w:r w:rsidRPr="002029AF">
        <w:t>Minister</w:t>
      </w:r>
      <w:r w:rsidR="000A5329" w:rsidRPr="002029AF">
        <w:t xml:space="preserve"> </w:t>
      </w:r>
      <w:r w:rsidRPr="002029AF">
        <w:t>for</w:t>
      </w:r>
      <w:r w:rsidR="000A5329" w:rsidRPr="002029AF">
        <w:t xml:space="preserve"> </w:t>
      </w:r>
      <w:r w:rsidRPr="002029AF">
        <w:t>Mental</w:t>
      </w:r>
      <w:r w:rsidR="000A5329" w:rsidRPr="002029AF">
        <w:t xml:space="preserve"> </w:t>
      </w:r>
      <w:r w:rsidRPr="002029AF">
        <w:t>Health</w:t>
      </w:r>
      <w:r w:rsidR="000A5329" w:rsidRPr="002029AF">
        <w:t xml:space="preserve"> </w:t>
      </w:r>
      <w:r w:rsidRPr="002029AF">
        <w:t>is</w:t>
      </w:r>
      <w:r w:rsidR="000A5329" w:rsidRPr="002029AF">
        <w:t xml:space="preserve"> </w:t>
      </w:r>
      <w:r w:rsidRPr="002029AF">
        <w:t>responsible</w:t>
      </w:r>
      <w:r w:rsidR="000A5329" w:rsidRPr="002029AF">
        <w:t xml:space="preserve"> </w:t>
      </w:r>
      <w:r w:rsidRPr="002029AF">
        <w:t>for</w:t>
      </w:r>
      <w:r w:rsidR="000A5329" w:rsidRPr="002029AF">
        <w:t xml:space="preserve"> </w:t>
      </w:r>
      <w:r w:rsidRPr="002029AF">
        <w:t>managing</w:t>
      </w:r>
      <w:r w:rsidR="000A5329" w:rsidRPr="002029AF">
        <w:t xml:space="preserve"> </w:t>
      </w:r>
      <w:r w:rsidRPr="002029AF">
        <w:t>the</w:t>
      </w:r>
      <w:r w:rsidR="000A5329" w:rsidRPr="002029AF">
        <w:t xml:space="preserve"> </w:t>
      </w:r>
      <w:r w:rsidRPr="002029AF">
        <w:t>challenges</w:t>
      </w:r>
      <w:r w:rsidR="000A5329" w:rsidRPr="002029AF">
        <w:t xml:space="preserve"> </w:t>
      </w:r>
      <w:r w:rsidR="0061451C" w:rsidRPr="002029AF">
        <w:t>created</w:t>
      </w:r>
      <w:r w:rsidR="000A5329" w:rsidRPr="002029AF">
        <w:t xml:space="preserve"> </w:t>
      </w:r>
      <w:r w:rsidR="0061451C" w:rsidRPr="002029AF">
        <w:t>by</w:t>
      </w:r>
      <w:r w:rsidR="000A5329" w:rsidRPr="002029AF">
        <w:t xml:space="preserve"> </w:t>
      </w:r>
      <w:r w:rsidRPr="002029AF">
        <w:t>the</w:t>
      </w:r>
      <w:r w:rsidR="000A5329" w:rsidRPr="002029AF">
        <w:t xml:space="preserve"> </w:t>
      </w:r>
      <w:r w:rsidRPr="002029AF">
        <w:t>increasing</w:t>
      </w:r>
      <w:r w:rsidR="000A5329" w:rsidRPr="002029AF">
        <w:t xml:space="preserve"> </w:t>
      </w:r>
      <w:r w:rsidRPr="002029AF">
        <w:t>demand</w:t>
      </w:r>
      <w:r w:rsidR="000A5329" w:rsidRPr="002029AF">
        <w:t xml:space="preserve"> </w:t>
      </w:r>
      <w:r w:rsidRPr="002029AF">
        <w:t>for</w:t>
      </w:r>
      <w:r w:rsidR="000A5329" w:rsidRPr="002029AF">
        <w:t xml:space="preserve"> </w:t>
      </w:r>
      <w:r w:rsidRPr="002029AF">
        <w:t>mental</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Victoria</w:t>
      </w:r>
      <w:r w:rsidR="000A5329" w:rsidRPr="002029AF">
        <w:t xml:space="preserve"> </w:t>
      </w:r>
      <w:r w:rsidR="006455A3" w:rsidRPr="002029AF">
        <w:t>and</w:t>
      </w:r>
      <w:r w:rsidR="000A5329" w:rsidRPr="002029AF">
        <w:t xml:space="preserve"> </w:t>
      </w:r>
      <w:r w:rsidR="006455A3" w:rsidRPr="002029AF">
        <w:t>ensuring</w:t>
      </w:r>
      <w:r w:rsidR="000A5329" w:rsidRPr="002029AF">
        <w:t xml:space="preserve"> </w:t>
      </w:r>
      <w:r w:rsidR="0061451C" w:rsidRPr="002029AF">
        <w:t>Victorians</w:t>
      </w:r>
      <w:r w:rsidR="000A5329" w:rsidRPr="002029AF">
        <w:t xml:space="preserve"> </w:t>
      </w:r>
      <w:r w:rsidRPr="002029AF">
        <w:t>with</w:t>
      </w:r>
      <w:r w:rsidR="000A5329" w:rsidRPr="002029AF">
        <w:t xml:space="preserve"> </w:t>
      </w:r>
      <w:r w:rsidRPr="002029AF">
        <w:t>mental</w:t>
      </w:r>
      <w:r w:rsidR="000A5329" w:rsidRPr="002029AF">
        <w:t xml:space="preserve"> </w:t>
      </w:r>
      <w:r w:rsidRPr="002029AF">
        <w:t>illness</w:t>
      </w:r>
      <w:r w:rsidR="000A5329" w:rsidRPr="002029AF">
        <w:t xml:space="preserve"> </w:t>
      </w:r>
      <w:r w:rsidRPr="002029AF">
        <w:t>and</w:t>
      </w:r>
      <w:r w:rsidR="000A5329" w:rsidRPr="002029AF">
        <w:t xml:space="preserve"> </w:t>
      </w:r>
      <w:r w:rsidRPr="002029AF">
        <w:t>addiction</w:t>
      </w:r>
      <w:r w:rsidR="00312801" w:rsidRPr="002029AF">
        <w:t>,</w:t>
      </w:r>
      <w:r w:rsidR="000A5329" w:rsidRPr="002029AF">
        <w:t xml:space="preserve"> </w:t>
      </w:r>
      <w:r w:rsidR="00312801" w:rsidRPr="002029AF">
        <w:t>along</w:t>
      </w:r>
      <w:r w:rsidR="000A5329" w:rsidRPr="002029AF">
        <w:t xml:space="preserve"> </w:t>
      </w:r>
      <w:r w:rsidR="00312801" w:rsidRPr="002029AF">
        <w:t>with</w:t>
      </w:r>
      <w:r w:rsidR="000A5329" w:rsidRPr="002029AF">
        <w:t xml:space="preserve"> </w:t>
      </w:r>
      <w:r w:rsidRPr="002029AF">
        <w:t>their</w:t>
      </w:r>
      <w:r w:rsidR="000A5329" w:rsidRPr="002029AF">
        <w:t xml:space="preserve"> </w:t>
      </w:r>
      <w:r w:rsidRPr="002029AF">
        <w:t>families</w:t>
      </w:r>
      <w:r w:rsidR="00312801" w:rsidRPr="002029AF">
        <w:t>,</w:t>
      </w:r>
      <w:r w:rsidR="000A5329" w:rsidRPr="002029AF">
        <w:t xml:space="preserve"> </w:t>
      </w:r>
      <w:r w:rsidR="0061451C" w:rsidRPr="002029AF">
        <w:t>receive</w:t>
      </w:r>
      <w:r w:rsidR="000A5329" w:rsidRPr="002029AF">
        <w:t xml:space="preserve"> </w:t>
      </w:r>
      <w:r w:rsidRPr="002029AF">
        <w:t>the</w:t>
      </w:r>
      <w:r w:rsidR="000A5329" w:rsidRPr="002029AF">
        <w:t xml:space="preserve"> </w:t>
      </w:r>
      <w:r w:rsidRPr="002029AF">
        <w:t>treatment</w:t>
      </w:r>
      <w:r w:rsidR="000A5329" w:rsidRPr="002029AF">
        <w:t xml:space="preserve"> </w:t>
      </w:r>
      <w:r w:rsidRPr="002029AF">
        <w:t>and</w:t>
      </w:r>
      <w:r w:rsidR="000A5329" w:rsidRPr="002029AF">
        <w:t xml:space="preserve"> </w:t>
      </w:r>
      <w:r w:rsidRPr="002029AF">
        <w:t>support</w:t>
      </w:r>
      <w:r w:rsidR="000A5329" w:rsidRPr="002029AF">
        <w:t xml:space="preserve"> </w:t>
      </w:r>
      <w:r w:rsidRPr="002029AF">
        <w:t>they</w:t>
      </w:r>
      <w:r w:rsidR="000A5329" w:rsidRPr="002029AF">
        <w:t xml:space="preserve"> </w:t>
      </w:r>
      <w:r w:rsidRPr="002029AF">
        <w:t>need.</w:t>
      </w:r>
    </w:p>
    <w:p w14:paraId="5EDD5900" w14:textId="1825D83C" w:rsidR="001338BF" w:rsidRPr="002029AF" w:rsidRDefault="009C16CB" w:rsidP="00CA534E">
      <w:pPr>
        <w:pStyle w:val="ARbody"/>
        <w:spacing w:before="1880"/>
      </w:pPr>
      <w:r>
        <w:rPr>
          <w:noProof/>
          <w:lang w:eastAsia="en-AU" w:bidi="as-IN"/>
        </w:rPr>
        <w:drawing>
          <wp:inline distT="0" distB="0" distL="0" distR="0" wp14:anchorId="6F269DB5" wp14:editId="57E418ED">
            <wp:extent cx="1117358" cy="979502"/>
            <wp:effectExtent l="0" t="0" r="0" b="0"/>
            <wp:docPr id="10" name="Picture 10" descr="The Hon. Luke Donnellan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60">
                      <a:extLst>
                        <a:ext uri="{28A0092B-C50C-407E-A947-70E740481C1C}">
                          <a14:useLocalDpi xmlns:a14="http://schemas.microsoft.com/office/drawing/2010/main" val="0"/>
                        </a:ext>
                      </a:extLst>
                    </a:blip>
                    <a:stretch>
                      <a:fillRect/>
                    </a:stretch>
                  </pic:blipFill>
                  <pic:spPr>
                    <a:xfrm>
                      <a:off x="0" y="0"/>
                      <a:ext cx="1117358" cy="979502"/>
                    </a:xfrm>
                    <a:prstGeom prst="rect">
                      <a:avLst/>
                    </a:prstGeom>
                  </pic:spPr>
                </pic:pic>
              </a:graphicData>
            </a:graphic>
          </wp:inline>
        </w:drawing>
      </w:r>
    </w:p>
    <w:p w14:paraId="451D809E" w14:textId="77777777" w:rsidR="009C16CB" w:rsidRPr="002029AF" w:rsidRDefault="009C16CB" w:rsidP="009C16CB">
      <w:pPr>
        <w:pStyle w:val="Heading2"/>
        <w:spacing w:before="200"/>
      </w:pPr>
      <w:r w:rsidRPr="002029AF">
        <w:t>The Hon. Luke Donnellan MP</w:t>
      </w:r>
    </w:p>
    <w:p w14:paraId="17DC1540" w14:textId="77777777" w:rsidR="009C16CB" w:rsidRPr="002029AF" w:rsidRDefault="009C16CB" w:rsidP="009C16CB">
      <w:pPr>
        <w:pStyle w:val="ARbody"/>
        <w:rPr>
          <w:b/>
        </w:rPr>
      </w:pPr>
      <w:r w:rsidRPr="002029AF">
        <w:rPr>
          <w:b/>
        </w:rPr>
        <w:t>Minister for Child Protection</w:t>
      </w:r>
      <w:r w:rsidRPr="002029AF">
        <w:rPr>
          <w:b/>
        </w:rPr>
        <w:br/>
        <w:t>Minister for Disability Ageing and Carers</w:t>
      </w:r>
    </w:p>
    <w:p w14:paraId="712808A5" w14:textId="3CEC19B6" w:rsidR="009C16CB" w:rsidRPr="002029AF" w:rsidRDefault="009C16CB" w:rsidP="009C16CB">
      <w:pPr>
        <w:pStyle w:val="ARbody"/>
      </w:pPr>
      <w:r w:rsidRPr="002029AF">
        <w:t>The Hon. Luke Donnellan MP was appointed as</w:t>
      </w:r>
      <w:r w:rsidR="00CA534E" w:rsidRPr="002029AF">
        <w:t> </w:t>
      </w:r>
      <w:r w:rsidRPr="002029AF">
        <w:t>Minister for Child Protection and Minister for Disability, Ageing and Carers in December 2018.</w:t>
      </w:r>
    </w:p>
    <w:p w14:paraId="378CC35C" w14:textId="58924381" w:rsidR="00D61015" w:rsidRPr="002029AF" w:rsidRDefault="009C16CB" w:rsidP="00D61015">
      <w:pPr>
        <w:pStyle w:val="ARbody"/>
      </w:pPr>
      <w:r w:rsidRPr="002029AF">
        <w:t xml:space="preserve">The Minister for Child Protection and Minister for Disability, Ageing and Carers is responsible for residential aged care, carers and child and family services – in addition to supporting Victorians with a disability as they transition to the National Disability Insurance Scheme </w:t>
      </w:r>
      <w:r w:rsidR="00CF72D5" w:rsidRPr="002029AF">
        <w:br w:type="column"/>
      </w:r>
      <w:r w:rsidR="00D61015" w:rsidRPr="002029AF">
        <w:rPr>
          <w:noProof/>
          <w:lang w:eastAsia="en-AU" w:bidi="as-IN"/>
        </w:rPr>
        <w:lastRenderedPageBreak/>
        <w:drawing>
          <wp:inline distT="0" distB="0" distL="0" distR="0" wp14:anchorId="3C6913A8" wp14:editId="2623F3B7">
            <wp:extent cx="932400" cy="979200"/>
            <wp:effectExtent l="0" t="0" r="1270" b="0"/>
            <wp:docPr id="256" name="Picture 256" descr="The Hon. Richard Wynne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Minister Richard Wynne.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932400" cy="979200"/>
                    </a:xfrm>
                    <a:prstGeom prst="rect">
                      <a:avLst/>
                    </a:prstGeom>
                  </pic:spPr>
                </pic:pic>
              </a:graphicData>
            </a:graphic>
          </wp:inline>
        </w:drawing>
      </w:r>
    </w:p>
    <w:p w14:paraId="2E2F6C1A" w14:textId="77777777" w:rsidR="00D61015" w:rsidRPr="002029AF" w:rsidRDefault="00D61015" w:rsidP="00D61015">
      <w:pPr>
        <w:pStyle w:val="Heading2"/>
        <w:spacing w:before="200"/>
      </w:pPr>
      <w:r w:rsidRPr="002029AF">
        <w:t>The Hon. Richard Wynne MP</w:t>
      </w:r>
    </w:p>
    <w:p w14:paraId="6C52E674" w14:textId="77777777" w:rsidR="00D61015" w:rsidRPr="00DE34E4" w:rsidRDefault="00D61015" w:rsidP="00DE34E4">
      <w:pPr>
        <w:pStyle w:val="ARbody"/>
        <w:rPr>
          <w:b/>
          <w:bCs/>
        </w:rPr>
      </w:pPr>
      <w:r w:rsidRPr="00DE34E4">
        <w:rPr>
          <w:b/>
          <w:bCs/>
        </w:rPr>
        <w:t>Minister for Housing</w:t>
      </w:r>
    </w:p>
    <w:p w14:paraId="435FD525" w14:textId="77777777" w:rsidR="00D61015" w:rsidRPr="002029AF" w:rsidRDefault="00D61015" w:rsidP="00DE34E4">
      <w:pPr>
        <w:pStyle w:val="ARbody"/>
      </w:pPr>
      <w:r w:rsidRPr="002029AF">
        <w:t>The Hon. Richard Wynne MP was appointed as the Minister for Housing in December 2018. He is also the Minister for Multicultural Affairs and Minister for Planning.</w:t>
      </w:r>
    </w:p>
    <w:p w14:paraId="4E80C096" w14:textId="77777777" w:rsidR="00D61015" w:rsidRPr="002029AF" w:rsidRDefault="00D61015" w:rsidP="00D61015">
      <w:pPr>
        <w:pStyle w:val="ARbody"/>
        <w:spacing w:after="480"/>
      </w:pPr>
      <w:r w:rsidRPr="002029AF">
        <w:rPr>
          <w:bCs/>
        </w:rPr>
        <w:t xml:space="preserve">The Minister for Housing is responsible for </w:t>
      </w:r>
      <w:r w:rsidRPr="002029AF">
        <w:t>increasing and renewing public and community housing, so more Victorians can gain access to safe, secure and stable housing.</w:t>
      </w:r>
    </w:p>
    <w:p w14:paraId="5EB39B6E" w14:textId="77777777" w:rsidR="00CF72D5" w:rsidRPr="002029AF" w:rsidRDefault="00CF72D5" w:rsidP="00897193">
      <w:pPr>
        <w:pStyle w:val="ARbody"/>
        <w:rPr>
          <w:b/>
        </w:rPr>
      </w:pPr>
    </w:p>
    <w:p w14:paraId="2B5EA4BA" w14:textId="77777777" w:rsidR="00CF72D5" w:rsidRPr="002029AF" w:rsidRDefault="00CF72D5" w:rsidP="00897193">
      <w:pPr>
        <w:pStyle w:val="ARbody"/>
        <w:sectPr w:rsidR="00CF72D5" w:rsidRPr="002029AF" w:rsidSect="00897193">
          <w:headerReference w:type="even" r:id="rId62"/>
          <w:headerReference w:type="default" r:id="rId63"/>
          <w:headerReference w:type="first" r:id="rId64"/>
          <w:footnotePr>
            <w:numFmt w:val="chicago"/>
            <w:numRestart w:val="eachPage"/>
          </w:footnotePr>
          <w:type w:val="continuous"/>
          <w:pgSz w:w="11906" w:h="16838" w:code="9"/>
          <w:pgMar w:top="1985" w:right="851" w:bottom="851" w:left="1418" w:header="510" w:footer="340" w:gutter="0"/>
          <w:cols w:num="2" w:space="397"/>
          <w:docGrid w:linePitch="360"/>
          <w15:footnoteColumns w:val="1"/>
        </w:sectPr>
      </w:pPr>
    </w:p>
    <w:p w14:paraId="293BB9F4" w14:textId="6343F6B7" w:rsidR="00603E4B" w:rsidRPr="002029AF" w:rsidRDefault="00603E4B" w:rsidP="00603E4B">
      <w:pPr>
        <w:pStyle w:val="Heading1"/>
        <w:ind w:left="567" w:hanging="567"/>
      </w:pPr>
      <w:bookmarkStart w:id="17" w:name="_Toc492026541"/>
      <w:bookmarkStart w:id="18" w:name="_Ref492894342"/>
      <w:bookmarkStart w:id="19" w:name="_Ref525047118"/>
      <w:bookmarkStart w:id="20" w:name="_Toc21682718"/>
      <w:bookmarkStart w:id="21" w:name="_Ref21861714"/>
      <w:bookmarkStart w:id="22" w:name="_Toc50383604"/>
      <w:bookmarkStart w:id="23" w:name="_Ref52806637"/>
      <w:bookmarkStart w:id="24" w:name="_Toc54690765"/>
      <w:bookmarkStart w:id="25" w:name="_Hlk17715698"/>
      <w:bookmarkStart w:id="26" w:name="_Hlk52519565"/>
      <w:r w:rsidRPr="002029AF">
        <w:lastRenderedPageBreak/>
        <w:t>Year in review</w:t>
      </w:r>
      <w:bookmarkEnd w:id="17"/>
      <w:bookmarkEnd w:id="18"/>
      <w:bookmarkEnd w:id="19"/>
      <w:bookmarkEnd w:id="20"/>
      <w:bookmarkEnd w:id="21"/>
      <w:bookmarkEnd w:id="22"/>
      <w:bookmarkEnd w:id="23"/>
      <w:bookmarkEnd w:id="24"/>
    </w:p>
    <w:p w14:paraId="6CF6EB64" w14:textId="77777777" w:rsidR="004651E8" w:rsidRPr="002029AF" w:rsidRDefault="004651E8" w:rsidP="00603E4B">
      <w:pPr>
        <w:pStyle w:val="ARintro"/>
        <w:sectPr w:rsidR="004651E8" w:rsidRPr="002029AF" w:rsidSect="00B45A1D">
          <w:headerReference w:type="even" r:id="rId65"/>
          <w:headerReference w:type="default" r:id="rId66"/>
          <w:footerReference w:type="even" r:id="rId67"/>
          <w:footerReference w:type="default" r:id="rId68"/>
          <w:headerReference w:type="first" r:id="rId69"/>
          <w:footnotePr>
            <w:numFmt w:val="chicago"/>
            <w:numRestart w:val="eachPage"/>
          </w:footnotePr>
          <w:endnotePr>
            <w:numFmt w:val="decimal"/>
          </w:endnotePr>
          <w:pgSz w:w="11900" w:h="16840" w:code="9"/>
          <w:pgMar w:top="1985" w:right="851" w:bottom="851" w:left="1361" w:header="510" w:footer="340" w:gutter="0"/>
          <w:cols w:space="454"/>
          <w15:footnoteColumns w:val="1"/>
        </w:sectPr>
      </w:pPr>
    </w:p>
    <w:p w14:paraId="7359894C" w14:textId="2EB1903B" w:rsidR="00603E4B" w:rsidRPr="002029AF" w:rsidRDefault="00603E4B" w:rsidP="00603E4B">
      <w:pPr>
        <w:pStyle w:val="ARintro"/>
      </w:pPr>
      <w:r w:rsidRPr="002029AF">
        <w:t>Over the past 12 months, we have had a strong focus on improving the quality, safety, accessibility and impact of our services.</w:t>
      </w:r>
    </w:p>
    <w:p w14:paraId="4CF529A3" w14:textId="08348F0E" w:rsidR="00603E4B" w:rsidRPr="002029AF" w:rsidRDefault="00603E4B" w:rsidP="00603E4B">
      <w:pPr>
        <w:pStyle w:val="ARintro"/>
      </w:pPr>
      <w:r w:rsidRPr="002029AF">
        <w:t>We put empathy at the centre of our efforts to</w:t>
      </w:r>
      <w:r w:rsidR="00AB0C69" w:rsidRPr="002029AF">
        <w:t> </w:t>
      </w:r>
      <w:r w:rsidRPr="002029AF">
        <w:t>improve the delivery of care, consumers’ experience of care, and the outcomes of that care. All our work is focused on partnerships with consumers, their families and carers, as well as addressing the social determinants of</w:t>
      </w:r>
      <w:r w:rsidR="00AB0C69" w:rsidRPr="002029AF">
        <w:t> </w:t>
      </w:r>
      <w:r w:rsidRPr="002029AF">
        <w:t>health and integrating care around the outcomes that matter most to Victorians.</w:t>
      </w:r>
    </w:p>
    <w:p w14:paraId="744B23F5" w14:textId="77777777" w:rsidR="00603E4B" w:rsidRPr="002029AF" w:rsidRDefault="00603E4B" w:rsidP="00603E4B">
      <w:pPr>
        <w:pStyle w:val="ARintro"/>
      </w:pPr>
      <w:r w:rsidRPr="002029AF">
        <w:t>Like every health and human services system, we constantly adapt to new opportunities and challenges. We are responding to changing consumer preferences, the sheer growth in demand for our services, the supply and distribution of our workforce (especially in regional Victoria) and, of course, how to maximise the value of our available resources for our patients, clients and victim survivors.</w:t>
      </w:r>
    </w:p>
    <w:p w14:paraId="01AF74BB" w14:textId="30AD6744" w:rsidR="00603E4B" w:rsidRPr="002029AF" w:rsidRDefault="00603E4B" w:rsidP="00603E4B">
      <w:pPr>
        <w:pStyle w:val="ARintro"/>
      </w:pPr>
      <w:r w:rsidRPr="002029AF">
        <w:t>We faced two significant challenges this year</w:t>
      </w:r>
      <w:r w:rsidR="005D064D">
        <w:t xml:space="preserve"> – </w:t>
      </w:r>
      <w:r w:rsidRPr="002029AF">
        <w:t>the intense bushfires that started in November 2019 and were brought under control in late February 2020, and the coronavirus (COVID-19) pandemic that quickly followed.</w:t>
      </w:r>
      <w:r w:rsidRPr="002029AF">
        <w:rPr>
          <w:szCs w:val="22"/>
          <w:shd w:val="clear" w:color="auto" w:fill="FFFFFF"/>
        </w:rPr>
        <w:t xml:space="preserve"> Response to these challenges has required a whole</w:t>
      </w:r>
      <w:r w:rsidR="0027690E">
        <w:rPr>
          <w:szCs w:val="22"/>
          <w:shd w:val="clear" w:color="auto" w:fill="FFFFFF"/>
        </w:rPr>
        <w:t>-</w:t>
      </w:r>
      <w:r w:rsidRPr="002029AF">
        <w:rPr>
          <w:szCs w:val="22"/>
          <w:shd w:val="clear" w:color="auto" w:fill="FFFFFF"/>
        </w:rPr>
        <w:t>of</w:t>
      </w:r>
      <w:r w:rsidR="0027690E">
        <w:rPr>
          <w:szCs w:val="22"/>
          <w:shd w:val="clear" w:color="auto" w:fill="FFFFFF"/>
        </w:rPr>
        <w:t>-</w:t>
      </w:r>
      <w:r w:rsidRPr="002029AF">
        <w:rPr>
          <w:szCs w:val="22"/>
          <w:shd w:val="clear" w:color="auto" w:fill="FFFFFF"/>
        </w:rPr>
        <w:t>community effort and Victorians have risen to the challenge.</w:t>
      </w:r>
    </w:p>
    <w:p w14:paraId="431DCDD3" w14:textId="77777777" w:rsidR="00603E4B" w:rsidRPr="002029AF" w:rsidRDefault="00603E4B" w:rsidP="00603E4B">
      <w:pPr>
        <w:pStyle w:val="Heading2"/>
      </w:pPr>
      <w:r w:rsidRPr="002029AF">
        <w:t>The department’s Victorian bushfire recovery efforts</w:t>
      </w:r>
    </w:p>
    <w:p w14:paraId="29A2B1E6" w14:textId="6903E091" w:rsidR="00667FC4" w:rsidRPr="002029AF" w:rsidRDefault="00667FC4" w:rsidP="00667FC4">
      <w:pPr>
        <w:pStyle w:val="ARbody"/>
      </w:pPr>
      <w:r w:rsidRPr="00C3327F">
        <w:t xml:space="preserve">Over Christmas 2019 and into the new year, intense bushfires raged across Victoria, generating </w:t>
      </w:r>
      <w:r w:rsidRPr="005B598A">
        <w:t>unprecedented</w:t>
      </w:r>
      <w:r w:rsidR="00D213A9" w:rsidRPr="00111CB0">
        <w:t xml:space="preserve"> levels</w:t>
      </w:r>
      <w:r w:rsidR="005432DB" w:rsidRPr="00111CB0">
        <w:t xml:space="preserve"> of poor </w:t>
      </w:r>
      <w:r w:rsidRPr="000B0037">
        <w:t>air quality due to smoke over eastern and north</w:t>
      </w:r>
      <w:r w:rsidRPr="00C3327F">
        <w:t xml:space="preserve"> eastern Victoria for many weeks</w:t>
      </w:r>
      <w:r>
        <w:t>,</w:t>
      </w:r>
      <w:r w:rsidRPr="00C3327F">
        <w:t xml:space="preserve"> </w:t>
      </w:r>
      <w:r>
        <w:t>w</w:t>
      </w:r>
      <w:r w:rsidRPr="00C3327F">
        <w:t xml:space="preserve">ith the Premier declaring a </w:t>
      </w:r>
      <w:r>
        <w:t>s</w:t>
      </w:r>
      <w:r w:rsidRPr="00C3327F">
        <w:t xml:space="preserve">tate of </w:t>
      </w:r>
      <w:r>
        <w:t>d</w:t>
      </w:r>
      <w:r w:rsidRPr="00C3327F">
        <w:t xml:space="preserve">isaster on 2 January 2020 that covered East Gippsland Shire, Mansfield Shire, Wellington Shire, Wangaratta Rural Shire, Towong Shire, Alpine Shire, and Mount Buller, Mount Hotham, Falls Creek and Mount Stirling Alpine Resorts. As well </w:t>
      </w:r>
      <w:r w:rsidRPr="00C3327F">
        <w:t>as causing significant property damage across Victoria ─ 300 homes were destroyed and</w:t>
      </w:r>
      <w:r w:rsidRPr="002029AF">
        <w:t xml:space="preserve"> 1.5 million hectares burnt ─ five Victorians tragically lost their lives and many thousands of people were evacuated, including in</w:t>
      </w:r>
      <w:r w:rsidR="00DE34E4">
        <w:t> </w:t>
      </w:r>
      <w:r w:rsidRPr="002029AF">
        <w:t>Mallacoota</w:t>
      </w:r>
      <w:r>
        <w:t>,</w:t>
      </w:r>
      <w:r w:rsidRPr="002029AF">
        <w:t xml:space="preserve"> where navy vessels evacuate</w:t>
      </w:r>
      <w:r>
        <w:t>d</w:t>
      </w:r>
      <w:r w:rsidRPr="002029AF">
        <w:t xml:space="preserve"> residents from the beach</w:t>
      </w:r>
      <w:r>
        <w:t xml:space="preserve"> in</w:t>
      </w:r>
      <w:r w:rsidR="00D91BB0">
        <w:t> </w:t>
      </w:r>
      <w:r>
        <w:t>a dramatic rescue</w:t>
      </w:r>
      <w:r w:rsidRPr="002029AF">
        <w:t>. Widely considered the worst bushfires and the costliest natural disaster in Australia’s history, the</w:t>
      </w:r>
      <w:r w:rsidR="00DE34E4">
        <w:t> </w:t>
      </w:r>
      <w:r w:rsidRPr="002029AF">
        <w:t xml:space="preserve">2019–20 </w:t>
      </w:r>
      <w:r>
        <w:t>e</w:t>
      </w:r>
      <w:r w:rsidRPr="002029AF">
        <w:t xml:space="preserve">astern Victorian bushfires had a devastating impact on the Victorian economy, </w:t>
      </w:r>
      <w:r>
        <w:t xml:space="preserve">the </w:t>
      </w:r>
      <w:r w:rsidRPr="002029AF">
        <w:t xml:space="preserve">environment, and </w:t>
      </w:r>
      <w:r>
        <w:t xml:space="preserve">the </w:t>
      </w:r>
      <w:r w:rsidRPr="002029AF">
        <w:t xml:space="preserve">health and wellbeing of </w:t>
      </w:r>
      <w:r>
        <w:t>our</w:t>
      </w:r>
      <w:r w:rsidRPr="002029AF">
        <w:t xml:space="preserve"> communities.</w:t>
      </w:r>
    </w:p>
    <w:p w14:paraId="618F9D6B" w14:textId="3C9F4739" w:rsidR="00667FC4" w:rsidRPr="002029AF" w:rsidRDefault="00667FC4" w:rsidP="00667FC4">
      <w:pPr>
        <w:pStyle w:val="ARbody"/>
      </w:pPr>
      <w:r w:rsidRPr="002029AF">
        <w:t>The department played a vital role in health coordination</w:t>
      </w:r>
      <w:r>
        <w:t xml:space="preserve"> and</w:t>
      </w:r>
      <w:r w:rsidRPr="002029AF">
        <w:t xml:space="preserve"> relief and recovery efforts during the 2019–20 </w:t>
      </w:r>
      <w:r>
        <w:t>e</w:t>
      </w:r>
      <w:r w:rsidRPr="002029AF">
        <w:t xml:space="preserve">astern Victorian bushfires, including </w:t>
      </w:r>
      <w:r w:rsidRPr="005432DB">
        <w:t>implementing</w:t>
      </w:r>
      <w:r w:rsidRPr="002029AF">
        <w:t xml:space="preserve"> the Victorian Bushfires Case Support Program. The department also led the provision of</w:t>
      </w:r>
      <w:r w:rsidR="00D91BB0">
        <w:t> </w:t>
      </w:r>
      <w:r w:rsidRPr="002029AF">
        <w:t>housing, health and mental health</w:t>
      </w:r>
      <w:r>
        <w:t xml:space="preserve"> services</w:t>
      </w:r>
      <w:r w:rsidRPr="002029AF">
        <w:t>, financial assistance and social connection support</w:t>
      </w:r>
      <w:r w:rsidR="00D91BB0">
        <w:t> </w:t>
      </w:r>
      <w:r w:rsidRPr="002029AF">
        <w:t>in regional areas impacted by the bushfires. A preliminary evaluation of the health burden generated by bushfire smoke in Victoria estimated health services provided an additional 331 hospitalisations for cardiovascular problems, 585 hospitalisations for respiratory problems and 401 emergency department presentations for asthma.</w:t>
      </w:r>
      <w:r w:rsidRPr="00F70C03">
        <w:footnoteReference w:id="3"/>
      </w:r>
    </w:p>
    <w:p w14:paraId="5D96FC0B" w14:textId="77777777" w:rsidR="00667FC4" w:rsidRPr="002029AF" w:rsidRDefault="00667FC4" w:rsidP="00667FC4">
      <w:pPr>
        <w:pStyle w:val="ARbody"/>
      </w:pPr>
      <w:r w:rsidRPr="002029AF">
        <w:t xml:space="preserve">The Victorian Government invested $250 million in the bushfire recovery response, including the establishment of </w:t>
      </w:r>
      <w:r>
        <w:t xml:space="preserve">a </w:t>
      </w:r>
      <w:r w:rsidRPr="002029AF">
        <w:t>new, dedicated agency – Bushfire Recovery Victoria. The joint state and Commonwealth-funded Bushfire Community Recovery Package provided an additional $86 million for emergency mental health services, community recovery service hubs in remote areas, and recovery and resilience grants.</w:t>
      </w:r>
    </w:p>
    <w:p w14:paraId="0EF984C6" w14:textId="77777777" w:rsidR="00D91BB0" w:rsidRDefault="00667FC4" w:rsidP="00667FC4">
      <w:pPr>
        <w:pStyle w:val="ARbodynospace"/>
        <w:spacing w:after="120"/>
        <w:sectPr w:rsidR="00D91BB0" w:rsidSect="004651E8">
          <w:footnotePr>
            <w:numFmt w:val="chicago"/>
            <w:numRestart w:val="eachPage"/>
          </w:footnotePr>
          <w:endnotePr>
            <w:numFmt w:val="decimal"/>
          </w:endnotePr>
          <w:type w:val="continuous"/>
          <w:pgSz w:w="11900" w:h="16840" w:code="9"/>
          <w:pgMar w:top="1985" w:right="851" w:bottom="851" w:left="1361" w:header="510" w:footer="340" w:gutter="0"/>
          <w:cols w:num="2" w:space="454"/>
          <w15:footnoteColumns w:val="1"/>
        </w:sectPr>
      </w:pPr>
      <w:r w:rsidRPr="002029AF">
        <w:t>Once established, Bushfire Recovery Victoria assumed responsibility for several funding packages and response initiatives previously led by the department. Some departmental staff also transferred across to the new agency to continue their ongoing role in bushfire preparedness and recovery in Victoria.</w:t>
      </w:r>
    </w:p>
    <w:p w14:paraId="3666DCEC" w14:textId="77777777" w:rsidR="00603E4B" w:rsidRPr="002029AF" w:rsidRDefault="00603E4B" w:rsidP="00D91BB0">
      <w:pPr>
        <w:pStyle w:val="Heading2"/>
        <w:spacing w:before="0"/>
      </w:pPr>
      <w:r w:rsidRPr="002029AF">
        <w:lastRenderedPageBreak/>
        <w:t>The department’s response to the coronavirus (COVID-19) pandemic in Victoria</w:t>
      </w:r>
    </w:p>
    <w:p w14:paraId="23361DA8" w14:textId="77777777" w:rsidR="00603E4B" w:rsidRPr="002029AF" w:rsidRDefault="00603E4B" w:rsidP="00603E4B">
      <w:pPr>
        <w:pStyle w:val="ARbodynospace"/>
        <w:spacing w:after="120"/>
      </w:pPr>
      <w:r w:rsidRPr="002029AF">
        <w:t>Coronavirus (COVID-19) is a respiratory illness caused by the newly identified severe acute respiratory syndrome, coronavirus 2 (SARS-CoV-2).</w:t>
      </w:r>
    </w:p>
    <w:p w14:paraId="6E1C7A4A" w14:textId="77777777" w:rsidR="00603E4B" w:rsidRPr="002029AF" w:rsidRDefault="00603E4B" w:rsidP="00603E4B">
      <w:pPr>
        <w:pStyle w:val="ARbodynospace"/>
        <w:spacing w:after="120"/>
      </w:pPr>
      <w:r w:rsidRPr="002029AF">
        <w:t>Following an outbreak in China in late 2019, coronavirus (COVID-19) quickly spread around the world, causing the Australian Government to declare coronavirus (COVID-19) a communicable disease of national significance in late January 2020. The Chief Health Officer first alerted health services to the emerging situation on 10 January, and the first confirmed case of coronavirus (COVID-19) in Australia was in Victoria on 25 January 2020.</w:t>
      </w:r>
    </w:p>
    <w:p w14:paraId="558C54EE" w14:textId="77777777" w:rsidR="00603E4B" w:rsidRPr="002029AF" w:rsidRDefault="00603E4B" w:rsidP="00603E4B">
      <w:pPr>
        <w:pStyle w:val="ARbodynospace"/>
        <w:spacing w:after="120"/>
      </w:pPr>
      <w:r w:rsidRPr="002029AF">
        <w:t>As the control agency for the Victorian Government’s response to coronavirus (COVID-19), the department acted swiftly, initiating emergency management arrangements, providing the Victorian community with information about the public health risks of coronavirus (COVID-19), and implementing decisive responses aimed at slowing the spread of the virus.</w:t>
      </w:r>
    </w:p>
    <w:p w14:paraId="03A3059B" w14:textId="3799AFF3" w:rsidR="00603E4B" w:rsidRPr="002029AF" w:rsidRDefault="00603E4B" w:rsidP="00603E4B">
      <w:pPr>
        <w:pStyle w:val="ARbodynospace"/>
        <w:spacing w:after="120"/>
      </w:pPr>
      <w:r w:rsidRPr="002029AF">
        <w:t>Returned travellers were quarantined because most of the transmission in the community at that time could be linked to international sources. The department ramped up its testing, contact tracing and outbreak management capabilities. Policy, legal, operational and communication teams were mobilised to support the Chief Health Officer and the public health team as they made important, but</w:t>
      </w:r>
      <w:r w:rsidR="00AB0C69" w:rsidRPr="002029AF">
        <w:t> </w:t>
      </w:r>
      <w:r w:rsidRPr="002029AF">
        <w:t>difficult, decisions on restrictions aimed at containing community transmission and saving lives.</w:t>
      </w:r>
    </w:p>
    <w:p w14:paraId="201AC84D" w14:textId="1EDBB279" w:rsidR="00603E4B" w:rsidRPr="002029AF" w:rsidRDefault="00D91BB0" w:rsidP="00111CB0">
      <w:pPr>
        <w:pStyle w:val="ARbodynospace"/>
        <w:tabs>
          <w:tab w:val="left" w:pos="2552"/>
        </w:tabs>
        <w:spacing w:after="120"/>
      </w:pPr>
      <w:r>
        <w:br w:type="column"/>
      </w:r>
      <w:r w:rsidR="00F24E46" w:rsidRPr="002029AF">
        <w:t xml:space="preserve">To further support the Victorian </w:t>
      </w:r>
      <w:r w:rsidR="00087E6D">
        <w:t>G</w:t>
      </w:r>
      <w:r w:rsidR="00F24E46" w:rsidRPr="002029AF">
        <w:t>overnment’s response, the department needed to rapidly source and reprioritise staff and place them where they were needed most, while also continuing to deliver critical services. The department and agencies were mobilised to undertake coronavirus (COVID-19) direct response roles and support functions across the full breadth of coronavirus (COVID-19) response activities in contact tracing, finding housing for people</w:t>
      </w:r>
      <w:r w:rsidR="00F24E46">
        <w:t xml:space="preserve"> experiencing homelessness</w:t>
      </w:r>
      <w:r w:rsidR="00F24E46" w:rsidRPr="002029AF">
        <w:t>, pop-up testing sites, community engagement, utilities relief, welfare checks, and other supports.</w:t>
      </w:r>
    </w:p>
    <w:p w14:paraId="3E830644" w14:textId="79F256D2" w:rsidR="00603E4B" w:rsidRPr="002029AF" w:rsidRDefault="00603E4B" w:rsidP="00603E4B">
      <w:pPr>
        <w:pStyle w:val="ARbodynospace"/>
        <w:spacing w:after="120"/>
      </w:pPr>
      <w:r w:rsidRPr="002029AF">
        <w:t>The rapid pivot of the department’s priorities and workforce was delivered under the direction that anyone who could work from home, should work from home. Over a six-week period, up to 90 per cent of departmental employees transitioned from office-based to remote working arrangements. To</w:t>
      </w:r>
      <w:r w:rsidR="00AB0C69" w:rsidRPr="002029AF">
        <w:t> </w:t>
      </w:r>
      <w:r w:rsidRPr="002029AF">
        <w:t>enable this transition, the department worked tirelessly to fast track a number of IT projects that would improve the experience of working remotely, keep teams connected and productive, and provide opportunities for online professional development. Many of these innovative systems and changes to the way we work are likely to continue beyond the current crisis.</w:t>
      </w:r>
    </w:p>
    <w:p w14:paraId="515AB6E3" w14:textId="2E5AA0F7" w:rsidR="00667FC4" w:rsidRPr="002029AF" w:rsidRDefault="00667FC4" w:rsidP="00667FC4">
      <w:pPr>
        <w:pStyle w:val="ARbodynospace"/>
        <w:spacing w:after="120"/>
      </w:pPr>
      <w:r w:rsidRPr="002029AF">
        <w:t xml:space="preserve">While undoubtedly challenging, overall, the department’s response to the coronavirus </w:t>
      </w:r>
      <w:r w:rsidRPr="002029AF">
        <w:br/>
        <w:t>(COVID-19) pandemic has ensured the sustainability of the health system throughout the crisis and bolstered its capacity to provide much-needed care to all Victorians</w:t>
      </w:r>
      <w:r>
        <w:t>.</w:t>
      </w:r>
      <w:r w:rsidRPr="002029AF">
        <w:rPr>
          <w:sz w:val="22"/>
          <w:szCs w:val="22"/>
        </w:rPr>
        <w:t xml:space="preserve"> </w:t>
      </w:r>
      <w:r w:rsidRPr="002029AF">
        <w:t xml:space="preserve">The implementation of stage three restrictions prevented between 9,000 and 37,000 additional cases of coronavirus (COVID-19) in July alone, and the potential </w:t>
      </w:r>
      <w:r>
        <w:t>for</w:t>
      </w:r>
      <w:r w:rsidRPr="002029AF">
        <w:t xml:space="preserve"> further deaths from this fatal disease.</w:t>
      </w:r>
      <w:r w:rsidRPr="00F70C03">
        <w:footnoteReference w:id="4"/>
      </w:r>
    </w:p>
    <w:p w14:paraId="2A46C747" w14:textId="77777777" w:rsidR="00603E4B" w:rsidRPr="002029AF" w:rsidRDefault="00603E4B" w:rsidP="00603E4B">
      <w:pPr>
        <w:spacing w:after="120" w:line="264" w:lineRule="auto"/>
        <w:rPr>
          <w:rFonts w:ascii="Arial" w:eastAsia="Times" w:hAnsi="Arial" w:cs="Arial"/>
          <w:sz w:val="20"/>
        </w:rPr>
        <w:sectPr w:rsidR="00603E4B" w:rsidRPr="002029AF" w:rsidSect="004651E8">
          <w:footnotePr>
            <w:numFmt w:val="chicago"/>
            <w:numRestart w:val="eachPage"/>
          </w:footnotePr>
          <w:endnotePr>
            <w:numFmt w:val="decimal"/>
          </w:endnotePr>
          <w:type w:val="continuous"/>
          <w:pgSz w:w="11900" w:h="16840" w:code="9"/>
          <w:pgMar w:top="1985" w:right="851" w:bottom="851" w:left="1361" w:header="510" w:footer="340" w:gutter="0"/>
          <w:cols w:num="2" w:space="454"/>
          <w15:footnoteColumns w:val="1"/>
        </w:sectPr>
      </w:pPr>
    </w:p>
    <w:p w14:paraId="3DDA7C08" w14:textId="77777777" w:rsidR="00D91BB0" w:rsidRDefault="00603E4B" w:rsidP="00340F12">
      <w:pPr>
        <w:pStyle w:val="Heading3"/>
        <w:spacing w:before="0" w:after="200"/>
      </w:pPr>
      <w:r w:rsidRPr="002029AF">
        <w:lastRenderedPageBreak/>
        <w:t>Coronavirus (COVID-19) timeline</w:t>
      </w:r>
    </w:p>
    <w:p w14:paraId="3A9E638A" w14:textId="70F97993" w:rsidR="00BF36D6" w:rsidRPr="00BF36D6" w:rsidRDefault="00340F12" w:rsidP="00340F12">
      <w:pPr>
        <w:pStyle w:val="ARbody"/>
        <w:jc w:val="center"/>
      </w:pPr>
      <w:r>
        <w:rPr>
          <w:noProof/>
        </w:rPr>
        <w:drawing>
          <wp:inline distT="0" distB="0" distL="0" distR="0" wp14:anchorId="7261A332" wp14:editId="32BE0873">
            <wp:extent cx="7532976" cy="5370824"/>
            <wp:effectExtent l="0" t="0" r="0" b="1905"/>
            <wp:docPr id="2" name="Graphic 2" descr="This timeline shows a summarised key events of COVID-19 responses. Details are outlined in thi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This timeline shows a summarised key events of COVID-19 responses. Details are outlined in this report."/>
                    <pic:cNvPicPr/>
                  </pic:nvPicPr>
                  <pic:blipFill>
                    <a:blip r:embed="rId70">
                      <a:extLst>
                        <a:ext uri="{28A0092B-C50C-407E-A947-70E740481C1C}">
                          <a14:useLocalDpi xmlns:a14="http://schemas.microsoft.com/office/drawing/2010/main" val="0"/>
                        </a:ext>
                        <a:ext uri="{96DAC541-7B7A-43D3-8B79-37D633B846F1}">
                          <asvg:svgBlip xmlns:asvg="http://schemas.microsoft.com/office/drawing/2016/SVG/main" r:embed="rId71"/>
                        </a:ext>
                      </a:extLst>
                    </a:blip>
                    <a:stretch>
                      <a:fillRect/>
                    </a:stretch>
                  </pic:blipFill>
                  <pic:spPr>
                    <a:xfrm>
                      <a:off x="0" y="0"/>
                      <a:ext cx="7532976" cy="5370824"/>
                    </a:xfrm>
                    <a:prstGeom prst="rect">
                      <a:avLst/>
                    </a:prstGeom>
                  </pic:spPr>
                </pic:pic>
              </a:graphicData>
            </a:graphic>
          </wp:inline>
        </w:drawing>
      </w:r>
    </w:p>
    <w:p w14:paraId="296070AA" w14:textId="0E276722" w:rsidR="00603E4B" w:rsidRPr="002029AF" w:rsidRDefault="00603E4B" w:rsidP="00340F12">
      <w:pPr>
        <w:pStyle w:val="ARbody"/>
        <w:jc w:val="center"/>
        <w:sectPr w:rsidR="00603E4B" w:rsidRPr="002029AF" w:rsidSect="00B45A1D">
          <w:footerReference w:type="even" r:id="rId72"/>
          <w:footerReference w:type="default" r:id="rId73"/>
          <w:footnotePr>
            <w:numFmt w:val="chicago"/>
            <w:numRestart w:val="eachPage"/>
          </w:footnotePr>
          <w:endnotePr>
            <w:numFmt w:val="decimal"/>
          </w:endnotePr>
          <w:pgSz w:w="16840" w:h="11900" w:orient="landscape" w:code="9"/>
          <w:pgMar w:top="1418" w:right="1985" w:bottom="1418" w:left="851" w:header="851" w:footer="851" w:gutter="0"/>
          <w:cols w:space="454"/>
          <w:docGrid w:linePitch="326"/>
          <w15:footnoteColumns w:val="1"/>
        </w:sectPr>
      </w:pPr>
    </w:p>
    <w:p w14:paraId="73CEE519" w14:textId="77777777" w:rsidR="00603E4B" w:rsidRPr="00D91BB0" w:rsidRDefault="00603E4B" w:rsidP="00D91BB0">
      <w:pPr>
        <w:pStyle w:val="Heading2"/>
        <w:spacing w:before="0"/>
      </w:pPr>
      <w:bookmarkStart w:id="27" w:name="_Toc50383605"/>
      <w:r w:rsidRPr="002029AF">
        <w:lastRenderedPageBreak/>
        <w:t>Objectives and outco</w:t>
      </w:r>
      <w:r w:rsidRPr="00D91BB0">
        <w:t>mes</w:t>
      </w:r>
      <w:bookmarkEnd w:id="27"/>
    </w:p>
    <w:p w14:paraId="6337EAE3" w14:textId="596A9B9C" w:rsidR="00603E4B" w:rsidRPr="002029AF" w:rsidRDefault="00603E4B" w:rsidP="00603E4B">
      <w:pPr>
        <w:pStyle w:val="ARintro"/>
      </w:pPr>
      <w:r w:rsidRPr="002029AF">
        <w:t xml:space="preserve">The department has five objectives for the 2019–20 financial year, as published in the Victorian Budget papers and in the department’s strategic plan. The five objectives map to the department’s </w:t>
      </w:r>
      <w:hyperlink r:id="rId74" w:history="1">
        <w:r w:rsidRPr="002733C4">
          <w:rPr>
            <w:rStyle w:val="Hyperlink"/>
            <w:szCs w:val="22"/>
          </w:rPr>
          <w:t>outcomes framework</w:t>
        </w:r>
      </w:hyperlink>
      <w:r w:rsidRPr="002733C4">
        <w:t>.</w:t>
      </w:r>
      <w:r w:rsidRPr="002029AF">
        <w:t xml:space="preserve"> They are also linked to our output initiatives for health and human services (programs, activities and services) and output indicators that measure how public funds have been applied.</w:t>
      </w:r>
    </w:p>
    <w:p w14:paraId="733AFB93" w14:textId="77777777" w:rsidR="00603E4B" w:rsidRPr="002029AF" w:rsidRDefault="00603E4B" w:rsidP="00603E4B">
      <w:pPr>
        <w:pStyle w:val="ARintro"/>
      </w:pPr>
      <w:r w:rsidRPr="002029AF">
        <w:t>The five objectives and the outcomes for each one are listed below.</w:t>
      </w:r>
    </w:p>
    <w:p w14:paraId="38D232EF" w14:textId="77777777" w:rsidR="00603E4B" w:rsidRPr="002029AF" w:rsidRDefault="00603E4B" w:rsidP="00603E4B">
      <w:pPr>
        <w:pStyle w:val="ARbody"/>
        <w:sectPr w:rsidR="00603E4B" w:rsidRPr="002029AF" w:rsidSect="00B45A1D">
          <w:footerReference w:type="even" r:id="rId75"/>
          <w:footerReference w:type="default" r:id="rId76"/>
          <w:footnotePr>
            <w:numFmt w:val="chicago"/>
            <w:numRestart w:val="eachPage"/>
          </w:footnotePr>
          <w:endnotePr>
            <w:numFmt w:val="decimal"/>
          </w:endnotePr>
          <w:pgSz w:w="11900" w:h="16840" w:code="9"/>
          <w:pgMar w:top="1985" w:right="851" w:bottom="851" w:left="1418" w:header="510" w:footer="340" w:gutter="0"/>
          <w:cols w:space="454"/>
          <w15:footnoteColumns w:val="1"/>
        </w:sectPr>
      </w:pPr>
    </w:p>
    <w:p w14:paraId="72F8D077" w14:textId="77777777" w:rsidR="00603E4B" w:rsidRPr="002029AF" w:rsidRDefault="00603E4B" w:rsidP="00603E4B">
      <w:pPr>
        <w:pStyle w:val="ARnumberdigit"/>
        <w:rPr>
          <w:b/>
          <w:bCs/>
          <w:color w:val="87189D"/>
        </w:rPr>
      </w:pPr>
      <w:r w:rsidRPr="002029AF">
        <w:rPr>
          <w:b/>
          <w:bCs/>
          <w:color w:val="87189D"/>
        </w:rPr>
        <w:t>Victorians are healthy and well</w:t>
      </w:r>
    </w:p>
    <w:p w14:paraId="4E6256AC" w14:textId="77777777" w:rsidR="00603E4B" w:rsidRPr="002029AF" w:rsidRDefault="00603E4B" w:rsidP="00FF3CAB">
      <w:pPr>
        <w:pStyle w:val="ARbullet1"/>
        <w:numPr>
          <w:ilvl w:val="0"/>
          <w:numId w:val="51"/>
        </w:numPr>
        <w:ind w:left="681"/>
      </w:pPr>
      <w:r w:rsidRPr="002029AF">
        <w:t>Victorians have good physical health</w:t>
      </w:r>
    </w:p>
    <w:p w14:paraId="2DA3DEA0" w14:textId="77777777" w:rsidR="00603E4B" w:rsidRPr="002029AF" w:rsidRDefault="00603E4B" w:rsidP="00FF3CAB">
      <w:pPr>
        <w:pStyle w:val="ARbullet1"/>
        <w:numPr>
          <w:ilvl w:val="0"/>
          <w:numId w:val="51"/>
        </w:numPr>
        <w:ind w:left="681"/>
      </w:pPr>
      <w:r w:rsidRPr="002029AF">
        <w:t>Victorians have good mental health</w:t>
      </w:r>
    </w:p>
    <w:p w14:paraId="02A06750" w14:textId="77777777" w:rsidR="00603E4B" w:rsidRPr="002029AF" w:rsidRDefault="00603E4B" w:rsidP="00FF3CAB">
      <w:pPr>
        <w:pStyle w:val="ARbullet1"/>
        <w:numPr>
          <w:ilvl w:val="0"/>
          <w:numId w:val="51"/>
        </w:numPr>
        <w:ind w:left="681"/>
      </w:pPr>
      <w:r w:rsidRPr="002029AF">
        <w:t>Victorians act to protect and promote health.</w:t>
      </w:r>
    </w:p>
    <w:p w14:paraId="5EA80A9A" w14:textId="77777777" w:rsidR="00603E4B" w:rsidRPr="002029AF" w:rsidRDefault="00603E4B" w:rsidP="00603E4B">
      <w:pPr>
        <w:pStyle w:val="ARnumberdigit"/>
        <w:spacing w:before="240"/>
        <w:rPr>
          <w:b/>
          <w:bCs/>
          <w:color w:val="87189D"/>
        </w:rPr>
      </w:pPr>
      <w:r w:rsidRPr="002029AF">
        <w:rPr>
          <w:b/>
          <w:bCs/>
          <w:color w:val="87189D"/>
        </w:rPr>
        <w:t>Victorians are safe and secure</w:t>
      </w:r>
    </w:p>
    <w:p w14:paraId="6FABAC08" w14:textId="393E735F" w:rsidR="00603E4B" w:rsidRPr="002029AF" w:rsidRDefault="00603E4B" w:rsidP="00FF3CAB">
      <w:pPr>
        <w:pStyle w:val="ARbullet1"/>
        <w:numPr>
          <w:ilvl w:val="0"/>
          <w:numId w:val="51"/>
        </w:numPr>
        <w:ind w:left="681"/>
      </w:pPr>
      <w:r w:rsidRPr="002029AF">
        <w:t>Victorians live free from abuse and</w:t>
      </w:r>
      <w:r w:rsidR="00D91BB0">
        <w:t> </w:t>
      </w:r>
      <w:r w:rsidRPr="002029AF">
        <w:t>violence</w:t>
      </w:r>
    </w:p>
    <w:p w14:paraId="27F3A9F1" w14:textId="51196EE7" w:rsidR="00603E4B" w:rsidRPr="002029AF" w:rsidRDefault="00603E4B" w:rsidP="00FF3CAB">
      <w:pPr>
        <w:pStyle w:val="ARbullet1"/>
        <w:numPr>
          <w:ilvl w:val="0"/>
          <w:numId w:val="51"/>
        </w:numPr>
        <w:ind w:left="681"/>
      </w:pPr>
      <w:r w:rsidRPr="002029AF">
        <w:t>Victorians have suitable and stable</w:t>
      </w:r>
      <w:r w:rsidR="00D91BB0">
        <w:t> </w:t>
      </w:r>
      <w:r w:rsidRPr="002029AF">
        <w:t>housing.</w:t>
      </w:r>
    </w:p>
    <w:p w14:paraId="49CB3FEB" w14:textId="77777777" w:rsidR="00603E4B" w:rsidRPr="002029AF" w:rsidRDefault="00603E4B" w:rsidP="00603E4B">
      <w:pPr>
        <w:pStyle w:val="ARnumberdigit"/>
        <w:spacing w:before="240"/>
        <w:rPr>
          <w:b/>
          <w:bCs/>
          <w:color w:val="87189D"/>
        </w:rPr>
      </w:pPr>
      <w:r w:rsidRPr="002029AF">
        <w:rPr>
          <w:b/>
          <w:bCs/>
          <w:color w:val="87189D"/>
        </w:rPr>
        <w:t>Victorians have the capabilities to participate</w:t>
      </w:r>
    </w:p>
    <w:p w14:paraId="155FEB26" w14:textId="77777777" w:rsidR="00603E4B" w:rsidRPr="002029AF" w:rsidRDefault="00603E4B" w:rsidP="00FF3CAB">
      <w:pPr>
        <w:pStyle w:val="ARbullet1"/>
        <w:numPr>
          <w:ilvl w:val="0"/>
          <w:numId w:val="51"/>
        </w:numPr>
        <w:ind w:left="681"/>
      </w:pPr>
      <w:r w:rsidRPr="002029AF">
        <w:t>Victorians participate in learning, education and employment</w:t>
      </w:r>
    </w:p>
    <w:p w14:paraId="1BCCBCF1" w14:textId="77777777" w:rsidR="00603E4B" w:rsidRPr="002029AF" w:rsidRDefault="00603E4B" w:rsidP="00FF3CAB">
      <w:pPr>
        <w:pStyle w:val="ARbullet1"/>
        <w:numPr>
          <w:ilvl w:val="0"/>
          <w:numId w:val="51"/>
        </w:numPr>
        <w:ind w:left="681"/>
      </w:pPr>
      <w:r w:rsidRPr="002029AF">
        <w:t>Victorians benefit economically from strong health and human services and sport and recreation sectors</w:t>
      </w:r>
    </w:p>
    <w:p w14:paraId="18791C81" w14:textId="77777777" w:rsidR="00603E4B" w:rsidRPr="002029AF" w:rsidRDefault="00603E4B" w:rsidP="00FF3CAB">
      <w:pPr>
        <w:pStyle w:val="ARbullet1"/>
        <w:numPr>
          <w:ilvl w:val="0"/>
          <w:numId w:val="51"/>
        </w:numPr>
        <w:ind w:left="681"/>
      </w:pPr>
      <w:r w:rsidRPr="002029AF">
        <w:t>Victorians participate in the economy and have financial security.</w:t>
      </w:r>
    </w:p>
    <w:p w14:paraId="7947481E" w14:textId="77777777" w:rsidR="00603E4B" w:rsidRPr="002029AF" w:rsidRDefault="00603E4B" w:rsidP="00603E4B">
      <w:pPr>
        <w:pStyle w:val="ARnumberdigit"/>
        <w:rPr>
          <w:b/>
          <w:bCs/>
          <w:color w:val="87189D"/>
        </w:rPr>
      </w:pPr>
      <w:r w:rsidRPr="002029AF">
        <w:br w:type="column"/>
      </w:r>
      <w:r w:rsidRPr="002029AF">
        <w:rPr>
          <w:b/>
          <w:bCs/>
          <w:color w:val="87189D"/>
        </w:rPr>
        <w:t xml:space="preserve">Victorians are connected </w:t>
      </w:r>
      <w:r w:rsidRPr="002029AF">
        <w:rPr>
          <w:b/>
          <w:bCs/>
          <w:color w:val="87189D"/>
        </w:rPr>
        <w:br/>
        <w:t>to culture and community</w:t>
      </w:r>
    </w:p>
    <w:p w14:paraId="3EA69D23" w14:textId="6022D0F1" w:rsidR="00603E4B" w:rsidRPr="002029AF" w:rsidRDefault="00603E4B" w:rsidP="00FF3CAB">
      <w:pPr>
        <w:pStyle w:val="ARbullet1"/>
        <w:numPr>
          <w:ilvl w:val="0"/>
          <w:numId w:val="51"/>
        </w:numPr>
        <w:ind w:left="681"/>
      </w:pPr>
      <w:r w:rsidRPr="002029AF">
        <w:t>Victorians are socially engaged and</w:t>
      </w:r>
      <w:r w:rsidR="00D91BB0">
        <w:t> </w:t>
      </w:r>
      <w:r w:rsidRPr="002029AF">
        <w:t>live in inclusive communities</w:t>
      </w:r>
    </w:p>
    <w:p w14:paraId="18E71378" w14:textId="77777777" w:rsidR="00603E4B" w:rsidRPr="002029AF" w:rsidRDefault="00603E4B" w:rsidP="00FF3CAB">
      <w:pPr>
        <w:pStyle w:val="ARbullet1"/>
        <w:numPr>
          <w:ilvl w:val="0"/>
          <w:numId w:val="51"/>
        </w:numPr>
        <w:ind w:left="681"/>
      </w:pPr>
      <w:r w:rsidRPr="002029AF">
        <w:t>Victorians can safely identify and connect with their culture and identity, with their health and wellbeing advanced through self-determination.</w:t>
      </w:r>
    </w:p>
    <w:p w14:paraId="73E2AE91" w14:textId="77777777" w:rsidR="00603E4B" w:rsidRPr="002029AF" w:rsidRDefault="00603E4B" w:rsidP="00603E4B">
      <w:pPr>
        <w:pStyle w:val="ARnumberdigit"/>
        <w:spacing w:before="240"/>
        <w:rPr>
          <w:b/>
          <w:bCs/>
          <w:color w:val="87189D"/>
        </w:rPr>
      </w:pPr>
      <w:r w:rsidRPr="002029AF">
        <w:rPr>
          <w:b/>
          <w:bCs/>
          <w:color w:val="87189D"/>
        </w:rPr>
        <w:t>Victorian health and human services are person centred and sustainable</w:t>
      </w:r>
    </w:p>
    <w:p w14:paraId="5A4FF7EC" w14:textId="493D585D" w:rsidR="00603E4B" w:rsidRPr="002029AF" w:rsidRDefault="00603E4B" w:rsidP="00FF3CAB">
      <w:pPr>
        <w:pStyle w:val="ARbullet1"/>
        <w:numPr>
          <w:ilvl w:val="0"/>
          <w:numId w:val="51"/>
        </w:numPr>
        <w:ind w:left="681"/>
      </w:pPr>
      <w:r w:rsidRPr="002029AF">
        <w:t>Services are appropriate and accessible in the right place, at</w:t>
      </w:r>
      <w:r w:rsidR="00D91BB0">
        <w:t> </w:t>
      </w:r>
      <w:r w:rsidRPr="002029AF">
        <w:t>the</w:t>
      </w:r>
      <w:r w:rsidR="00D91BB0">
        <w:t> </w:t>
      </w:r>
      <w:r w:rsidRPr="002029AF">
        <w:t>right time</w:t>
      </w:r>
    </w:p>
    <w:p w14:paraId="48E6ED54" w14:textId="23CD46F4" w:rsidR="00603E4B" w:rsidRPr="002029AF" w:rsidRDefault="00603E4B" w:rsidP="00FF3CAB">
      <w:pPr>
        <w:pStyle w:val="ARbullet1"/>
        <w:numPr>
          <w:ilvl w:val="0"/>
          <w:numId w:val="51"/>
        </w:numPr>
        <w:ind w:left="681"/>
      </w:pPr>
      <w:r w:rsidRPr="002029AF">
        <w:t>Services are inclusive and respond to</w:t>
      </w:r>
      <w:r w:rsidR="00D91BB0">
        <w:t> </w:t>
      </w:r>
      <w:r w:rsidRPr="002029AF">
        <w:t>choice, culture, identity, circumstances and</w:t>
      </w:r>
      <w:r w:rsidR="00D91BB0">
        <w:t xml:space="preserve"> </w:t>
      </w:r>
      <w:r w:rsidRPr="002029AF">
        <w:t>goals</w:t>
      </w:r>
    </w:p>
    <w:p w14:paraId="5E2B8C20" w14:textId="77777777" w:rsidR="00603E4B" w:rsidRPr="002029AF" w:rsidRDefault="00603E4B" w:rsidP="00FF3CAB">
      <w:pPr>
        <w:pStyle w:val="ARbullet1"/>
        <w:numPr>
          <w:ilvl w:val="0"/>
          <w:numId w:val="51"/>
        </w:numPr>
        <w:ind w:left="681"/>
      </w:pPr>
      <w:r w:rsidRPr="002029AF">
        <w:t>Services are efficient and sustainable</w:t>
      </w:r>
    </w:p>
    <w:p w14:paraId="47AB94F2" w14:textId="77777777" w:rsidR="00603E4B" w:rsidRPr="002029AF" w:rsidRDefault="00603E4B" w:rsidP="00FF3CAB">
      <w:pPr>
        <w:pStyle w:val="ARbullet1"/>
        <w:numPr>
          <w:ilvl w:val="0"/>
          <w:numId w:val="51"/>
        </w:numPr>
        <w:ind w:left="681"/>
      </w:pPr>
      <w:r w:rsidRPr="002029AF">
        <w:t>Services are safe, high quality and provide a positive experience.</w:t>
      </w:r>
    </w:p>
    <w:p w14:paraId="1C7DE248" w14:textId="77777777" w:rsidR="00603E4B" w:rsidRPr="002029AF" w:rsidRDefault="00603E4B" w:rsidP="00603E4B">
      <w:pPr>
        <w:pStyle w:val="ARbullet1"/>
        <w:numPr>
          <w:ilvl w:val="0"/>
          <w:numId w:val="0"/>
        </w:numPr>
      </w:pPr>
    </w:p>
    <w:p w14:paraId="245E99E2" w14:textId="77777777" w:rsidR="00603E4B" w:rsidRPr="002029AF" w:rsidRDefault="00603E4B" w:rsidP="00603E4B">
      <w:pPr>
        <w:pStyle w:val="ARbullet1"/>
        <w:numPr>
          <w:ilvl w:val="0"/>
          <w:numId w:val="0"/>
        </w:numPr>
        <w:sectPr w:rsidR="00603E4B" w:rsidRPr="002029AF" w:rsidSect="00F06373">
          <w:footnotePr>
            <w:numFmt w:val="chicago"/>
            <w:numRestart w:val="eachPage"/>
          </w:footnotePr>
          <w:endnotePr>
            <w:numFmt w:val="decimal"/>
          </w:endnotePr>
          <w:type w:val="continuous"/>
          <w:pgSz w:w="11900" w:h="16840" w:code="9"/>
          <w:pgMar w:top="1985" w:right="851" w:bottom="851" w:left="1418" w:header="510" w:footer="340" w:gutter="0"/>
          <w:cols w:num="2" w:space="1418"/>
          <w15:footnoteColumns w:val="1"/>
        </w:sectPr>
      </w:pPr>
    </w:p>
    <w:p w14:paraId="5C422FA4" w14:textId="77777777" w:rsidR="00603E4B" w:rsidRPr="002029AF" w:rsidRDefault="00603E4B" w:rsidP="000A18C8">
      <w:pPr>
        <w:pStyle w:val="Heading3larger"/>
      </w:pPr>
      <w:bookmarkStart w:id="28" w:name="_Toc50383606"/>
      <w:bookmarkEnd w:id="25"/>
      <w:r w:rsidRPr="002029AF">
        <w:lastRenderedPageBreak/>
        <w:t>COVID-19 Objectives</w:t>
      </w:r>
      <w:bookmarkEnd w:id="28"/>
    </w:p>
    <w:p w14:paraId="722A9DC9" w14:textId="77777777" w:rsidR="00603E4B" w:rsidRPr="002029AF" w:rsidRDefault="00603E4B" w:rsidP="00603E4B">
      <w:pPr>
        <w:pStyle w:val="ARintro"/>
        <w:rPr>
          <w:szCs w:val="22"/>
        </w:rPr>
      </w:pPr>
      <w:r w:rsidRPr="002029AF">
        <w:rPr>
          <w:szCs w:val="22"/>
        </w:rPr>
        <w:t xml:space="preserve">The department has five further objectives under the </w:t>
      </w:r>
      <w:r w:rsidRPr="002029AF">
        <w:rPr>
          <w:i/>
          <w:iCs/>
        </w:rPr>
        <w:t>COVID-19 pandemic plan for the Victorian health sector</w:t>
      </w:r>
      <w:r w:rsidRPr="002029AF">
        <w:t>:</w:t>
      </w:r>
    </w:p>
    <w:p w14:paraId="67F427D8" w14:textId="77777777" w:rsidR="00603E4B" w:rsidRPr="002029AF" w:rsidRDefault="00603E4B" w:rsidP="00603E4B">
      <w:pPr>
        <w:pStyle w:val="ARintro"/>
        <w:sectPr w:rsidR="00603E4B" w:rsidRPr="002029AF" w:rsidSect="00B45A1D">
          <w:headerReference w:type="even" r:id="rId77"/>
          <w:headerReference w:type="default" r:id="rId78"/>
          <w:footerReference w:type="default" r:id="rId79"/>
          <w:headerReference w:type="first" r:id="rId80"/>
          <w:footnotePr>
            <w:numFmt w:val="chicago"/>
            <w:numRestart w:val="eachPage"/>
          </w:footnotePr>
          <w:endnotePr>
            <w:numFmt w:val="decimal"/>
          </w:endnotePr>
          <w:pgSz w:w="11900" w:h="16840" w:code="9"/>
          <w:pgMar w:top="1985" w:right="851" w:bottom="851" w:left="1418" w:header="510" w:footer="340" w:gutter="0"/>
          <w:cols w:space="454"/>
          <w15:footnoteColumns w:val="1"/>
        </w:sectPr>
      </w:pPr>
    </w:p>
    <w:p w14:paraId="1CA9852E" w14:textId="77777777" w:rsidR="00603E4B" w:rsidRPr="002029AF" w:rsidRDefault="00603E4B" w:rsidP="00FF3CAB">
      <w:pPr>
        <w:pStyle w:val="ARnumberdigit"/>
        <w:numPr>
          <w:ilvl w:val="0"/>
          <w:numId w:val="49"/>
        </w:numPr>
        <w:rPr>
          <w:b/>
          <w:bCs/>
          <w:color w:val="87189D"/>
        </w:rPr>
      </w:pPr>
      <w:r w:rsidRPr="002029AF">
        <w:rPr>
          <w:b/>
          <w:bCs/>
          <w:color w:val="87189D"/>
        </w:rPr>
        <w:t>Reduce the morbidity and mortality rates associated with coronavirus (COVID</w:t>
      </w:r>
      <w:r w:rsidRPr="002029AF">
        <w:rPr>
          <w:b/>
          <w:bCs/>
          <w:color w:val="87189D"/>
        </w:rPr>
        <w:noBreakHyphen/>
        <w:t>19)</w:t>
      </w:r>
    </w:p>
    <w:p w14:paraId="2E66E4EB" w14:textId="77777777" w:rsidR="00603E4B" w:rsidRPr="002029AF" w:rsidRDefault="00603E4B" w:rsidP="00603E4B">
      <w:pPr>
        <w:pStyle w:val="ARnumberdigit"/>
        <w:rPr>
          <w:b/>
          <w:bCs/>
          <w:color w:val="87189D"/>
        </w:rPr>
      </w:pPr>
      <w:r w:rsidRPr="002029AF">
        <w:rPr>
          <w:b/>
          <w:bCs/>
          <w:color w:val="87189D"/>
        </w:rPr>
        <w:t>Slow the spread of coronavirus (COVID-19) in Victoria through rapid identification, isolation and cohorting of risk groups</w:t>
      </w:r>
    </w:p>
    <w:p w14:paraId="3C68CF7B" w14:textId="66529F5E" w:rsidR="00603E4B" w:rsidRPr="002029AF" w:rsidRDefault="00603E4B" w:rsidP="00603E4B">
      <w:pPr>
        <w:pStyle w:val="ARnumberdigit"/>
        <w:rPr>
          <w:b/>
          <w:bCs/>
          <w:color w:val="87189D"/>
        </w:rPr>
      </w:pPr>
      <w:r w:rsidRPr="002029AF">
        <w:rPr>
          <w:b/>
          <w:bCs/>
          <w:color w:val="87189D"/>
        </w:rPr>
        <w:t>Empower the Victorian community and</w:t>
      </w:r>
      <w:r w:rsidR="00F06373">
        <w:rPr>
          <w:b/>
          <w:bCs/>
          <w:color w:val="87189D"/>
        </w:rPr>
        <w:t> </w:t>
      </w:r>
      <w:r w:rsidRPr="002029AF">
        <w:rPr>
          <w:b/>
          <w:bCs/>
          <w:color w:val="87189D"/>
        </w:rPr>
        <w:t>health professionals to ensure a proportionate and equitable response</w:t>
      </w:r>
    </w:p>
    <w:p w14:paraId="1BEC7FCC" w14:textId="6F57B04C" w:rsidR="00603E4B" w:rsidRPr="002029AF" w:rsidRDefault="00603E4B" w:rsidP="00603E4B">
      <w:pPr>
        <w:pStyle w:val="ARnumberdigit"/>
        <w:rPr>
          <w:b/>
          <w:bCs/>
          <w:color w:val="87189D"/>
        </w:rPr>
      </w:pPr>
      <w:r w:rsidRPr="002029AF">
        <w:br w:type="column"/>
      </w:r>
      <w:r w:rsidRPr="002029AF">
        <w:rPr>
          <w:b/>
          <w:bCs/>
          <w:color w:val="87189D"/>
        </w:rPr>
        <w:t>Support containment strategies through accurate, timely and coordinated communication and</w:t>
      </w:r>
      <w:r w:rsidR="00F06373">
        <w:rPr>
          <w:b/>
          <w:bCs/>
          <w:color w:val="87189D"/>
        </w:rPr>
        <w:t> </w:t>
      </w:r>
      <w:r w:rsidRPr="002029AF">
        <w:rPr>
          <w:b/>
          <w:bCs/>
          <w:color w:val="87189D"/>
        </w:rPr>
        <w:t>community support</w:t>
      </w:r>
    </w:p>
    <w:p w14:paraId="5AEF6DFB" w14:textId="0307FF4E" w:rsidR="00603E4B" w:rsidRPr="002029AF" w:rsidRDefault="00603E4B" w:rsidP="00603E4B">
      <w:pPr>
        <w:pStyle w:val="ARnumberdigit"/>
        <w:rPr>
          <w:b/>
          <w:bCs/>
          <w:color w:val="87189D"/>
        </w:rPr>
      </w:pPr>
      <w:r w:rsidRPr="002029AF">
        <w:rPr>
          <w:b/>
          <w:bCs/>
          <w:color w:val="87189D"/>
        </w:rPr>
        <w:t xml:space="preserve">Mitigate and minimise impacts </w:t>
      </w:r>
      <w:r w:rsidR="005E1789">
        <w:rPr>
          <w:b/>
          <w:bCs/>
          <w:color w:val="87189D"/>
        </w:rPr>
        <w:br/>
      </w:r>
      <w:r w:rsidRPr="002029AF">
        <w:rPr>
          <w:b/>
          <w:bCs/>
          <w:color w:val="87189D"/>
        </w:rPr>
        <w:t>of the pandemic on the health system</w:t>
      </w:r>
      <w:r w:rsidR="005E1789">
        <w:rPr>
          <w:b/>
          <w:bCs/>
          <w:color w:val="87189D"/>
        </w:rPr>
        <w:t> </w:t>
      </w:r>
      <w:r w:rsidRPr="002029AF">
        <w:rPr>
          <w:b/>
          <w:bCs/>
          <w:color w:val="87189D"/>
        </w:rPr>
        <w:t>and broader community</w:t>
      </w:r>
    </w:p>
    <w:p w14:paraId="2E5B0ADB" w14:textId="77777777" w:rsidR="00603E4B" w:rsidRPr="002029AF" w:rsidRDefault="00603E4B" w:rsidP="00603E4B">
      <w:pPr>
        <w:pStyle w:val="ARbody"/>
      </w:pPr>
    </w:p>
    <w:p w14:paraId="75BC30C6" w14:textId="77777777" w:rsidR="00603E4B" w:rsidRPr="002029AF" w:rsidRDefault="00603E4B" w:rsidP="00603E4B">
      <w:pPr>
        <w:pStyle w:val="ARbody"/>
        <w:sectPr w:rsidR="00603E4B" w:rsidRPr="002029AF" w:rsidSect="00F06373">
          <w:footnotePr>
            <w:numFmt w:val="chicago"/>
            <w:numRestart w:val="eachPage"/>
          </w:footnotePr>
          <w:endnotePr>
            <w:numFmt w:val="decimal"/>
          </w:endnotePr>
          <w:type w:val="continuous"/>
          <w:pgSz w:w="11900" w:h="16840" w:code="9"/>
          <w:pgMar w:top="1985" w:right="851" w:bottom="851" w:left="1418" w:header="510" w:footer="340" w:gutter="0"/>
          <w:cols w:num="2" w:space="1418"/>
          <w15:footnoteColumns w:val="1"/>
        </w:sectPr>
      </w:pPr>
    </w:p>
    <w:p w14:paraId="4FA80521" w14:textId="1889AAAA" w:rsidR="00603E4B" w:rsidRPr="002029AF" w:rsidRDefault="00603E4B" w:rsidP="007417B6">
      <w:pPr>
        <w:pStyle w:val="ARbody"/>
        <w:spacing w:before="400"/>
      </w:pPr>
      <w:r w:rsidRPr="002029AF">
        <w:t>These objectives were not a part of the department’s four-year strategic plan. They have been reported on</w:t>
      </w:r>
      <w:r w:rsidR="005E1789">
        <w:t> </w:t>
      </w:r>
      <w:r w:rsidRPr="002029AF">
        <w:t>in</w:t>
      </w:r>
      <w:r w:rsidR="00D91BB0">
        <w:t> </w:t>
      </w:r>
      <w:r w:rsidRPr="002029AF">
        <w:t>the annual report to reflect the department’s efforts at addressing coronavirus (COVID-19) throughout the second half of the 2019–20 financial year and to help demonstrate the impact of the department’s coronavirus (COVID-19) response.</w:t>
      </w:r>
    </w:p>
    <w:p w14:paraId="7BD99DB9" w14:textId="77777777" w:rsidR="00603E4B" w:rsidRPr="002029AF" w:rsidRDefault="00603E4B" w:rsidP="00603E4B">
      <w:pPr>
        <w:spacing w:after="120" w:line="264" w:lineRule="auto"/>
        <w:rPr>
          <w:rFonts w:ascii="Arial" w:eastAsia="Times" w:hAnsi="Arial" w:cs="Arial"/>
          <w:sz w:val="20"/>
        </w:rPr>
      </w:pPr>
      <w:r w:rsidRPr="002029AF">
        <w:br w:type="page"/>
      </w:r>
    </w:p>
    <w:p w14:paraId="6684C122" w14:textId="77777777" w:rsidR="00603E4B" w:rsidRPr="002029AF" w:rsidRDefault="00603E4B" w:rsidP="000A18C8">
      <w:pPr>
        <w:pStyle w:val="Heading3larger"/>
      </w:pPr>
      <w:bookmarkStart w:id="29" w:name="_Toc50383607"/>
      <w:r w:rsidRPr="002029AF">
        <w:lastRenderedPageBreak/>
        <w:t>Objective 1: Victorians are healthy and well</w:t>
      </w:r>
      <w:bookmarkEnd w:id="29"/>
    </w:p>
    <w:p w14:paraId="0DF22A2B" w14:textId="77777777" w:rsidR="00603E4B" w:rsidRPr="002029AF" w:rsidRDefault="00603E4B" w:rsidP="00603E4B">
      <w:pPr>
        <w:pStyle w:val="ARintro"/>
        <w:rPr>
          <w:b/>
        </w:rPr>
      </w:pPr>
      <w:r w:rsidRPr="002029AF">
        <w:rPr>
          <w:b/>
        </w:rPr>
        <w:t>Helping Victorians live longer, healthier lives is a priority for government and individuals alike.</w:t>
      </w:r>
    </w:p>
    <w:p w14:paraId="1E486DEB" w14:textId="77777777" w:rsidR="00603E4B" w:rsidRPr="002029AF" w:rsidRDefault="00603E4B" w:rsidP="00603E4B">
      <w:pPr>
        <w:pStyle w:val="ARintro"/>
      </w:pPr>
      <w:r w:rsidRPr="002029AF">
        <w:t>The department has a vital role in delivering services to improve the health and wellbeing of all Victorians and to ensure they have equal access to these services.</w:t>
      </w:r>
    </w:p>
    <w:p w14:paraId="5BAD8FFC" w14:textId="33480627" w:rsidR="00603E4B" w:rsidRPr="002029AF" w:rsidRDefault="00603E4B" w:rsidP="00603E4B">
      <w:pPr>
        <w:pStyle w:val="ARintro"/>
      </w:pPr>
      <w:r w:rsidRPr="002029AF">
        <w:t>Ensuring Victorians are healthy and well has never been more challenging for the department. The</w:t>
      </w:r>
      <w:r w:rsidR="00D91BB0">
        <w:t> </w:t>
      </w:r>
      <w:r w:rsidRPr="002029AF">
        <w:t>impact of the bushfires on Victorians has been significant ─ from December 2019 to February</w:t>
      </w:r>
      <w:r w:rsidR="00D91BB0">
        <w:t> </w:t>
      </w:r>
      <w:r w:rsidRPr="002029AF">
        <w:t xml:space="preserve">2020 about 100,000 households were in scope for possible evacuation, and there </w:t>
      </w:r>
      <w:r w:rsidR="00E200F0" w:rsidRPr="002029AF">
        <w:t>were</w:t>
      </w:r>
      <w:r w:rsidRPr="002029AF">
        <w:t xml:space="preserve"> unprecedented levels of smoke across Victoria for a prolonged period. The department, alongside Bushfire Recovery Victoria, helped lead the bushfire recovery effort, including by providing case management, social connection, financial assistance and housing support.</w:t>
      </w:r>
    </w:p>
    <w:p w14:paraId="2C79988E" w14:textId="43FDAA7E" w:rsidR="00603E4B" w:rsidRPr="002029AF" w:rsidRDefault="00603E4B" w:rsidP="00603E4B">
      <w:pPr>
        <w:pStyle w:val="ARintro"/>
      </w:pPr>
      <w:r w:rsidRPr="002029AF">
        <w:t xml:space="preserve">Keeping Victorians healthy and well during the coronavirus (COVID-19) pandemic has challenged the entire health and human services workforce, but especially frontline health and aged care staff. It has challenged our public health and contact tracing teams, </w:t>
      </w:r>
      <w:r w:rsidR="00E200F0" w:rsidRPr="002029AF">
        <w:t>and</w:t>
      </w:r>
      <w:r w:rsidRPr="002029AF">
        <w:t xml:space="preserve"> impacted how hospitals, health services, and social and community services operate.</w:t>
      </w:r>
    </w:p>
    <w:p w14:paraId="4FDE498A" w14:textId="77777777" w:rsidR="00603E4B" w:rsidRPr="002029AF" w:rsidRDefault="00603E4B" w:rsidP="00603E4B">
      <w:pPr>
        <w:pStyle w:val="ARintro"/>
      </w:pPr>
      <w:r w:rsidRPr="002029AF">
        <w:t>To address these challenges and ensure the health and wellbeing of all Victorians, the department pivoted its focus in early 2020. It formed entirely new public health teams and launched initiatives targeting coronavirus (COVID-19). Simultaneously, it continued to oversee and deliver all its critical healthcare and social services, often in entirely new ways.</w:t>
      </w:r>
    </w:p>
    <w:p w14:paraId="1DB817B0" w14:textId="77777777" w:rsidR="00603E4B" w:rsidRPr="002029AF" w:rsidRDefault="00603E4B" w:rsidP="00603E4B">
      <w:pPr>
        <w:pStyle w:val="ARbody"/>
      </w:pPr>
    </w:p>
    <w:p w14:paraId="3A718BA3" w14:textId="77777777" w:rsidR="00603E4B" w:rsidRPr="002029AF" w:rsidRDefault="00603E4B" w:rsidP="00603E4B">
      <w:pPr>
        <w:pStyle w:val="ARbody"/>
        <w:sectPr w:rsidR="00603E4B" w:rsidRPr="002029AF" w:rsidSect="00B45A1D">
          <w:footnotePr>
            <w:numFmt w:val="chicago"/>
            <w:numRestart w:val="eachPage"/>
          </w:footnotePr>
          <w:endnotePr>
            <w:numFmt w:val="decimal"/>
          </w:endnotePr>
          <w:type w:val="continuous"/>
          <w:pgSz w:w="11900" w:h="16840" w:code="9"/>
          <w:pgMar w:top="1985" w:right="851" w:bottom="851" w:left="1418" w:header="510" w:footer="340" w:gutter="0"/>
          <w:cols w:space="454"/>
          <w15:footnoteColumns w:val="1"/>
        </w:sectPr>
      </w:pPr>
    </w:p>
    <w:p w14:paraId="3106B7BE" w14:textId="77777777" w:rsidR="00603E4B" w:rsidRPr="002029AF" w:rsidRDefault="00603E4B" w:rsidP="00F439D7">
      <w:pPr>
        <w:pStyle w:val="Heading4"/>
      </w:pPr>
      <w:r w:rsidRPr="002029AF">
        <w:t>Outcome 1.1: Victorians have good physical health</w:t>
      </w:r>
    </w:p>
    <w:p w14:paraId="69C3D175" w14:textId="77777777" w:rsidR="00603E4B" w:rsidRPr="002029AF" w:rsidRDefault="00603E4B" w:rsidP="00603E4B">
      <w:pPr>
        <w:pStyle w:val="ARbody"/>
      </w:pPr>
      <w:r w:rsidRPr="002029AF">
        <w:t>Victoria’s population is expected to increase by about two-thirds in the next 40 years. At the same time, the population is ageing and becoming more diverse. This presents unique challenges to the Victorian health system.</w:t>
      </w:r>
    </w:p>
    <w:p w14:paraId="184762C1" w14:textId="19CDCEC6" w:rsidR="00603E4B" w:rsidRPr="002029AF" w:rsidRDefault="00603E4B" w:rsidP="00603E4B">
      <w:pPr>
        <w:pStyle w:val="ARbody"/>
      </w:pPr>
      <w:r w:rsidRPr="002029AF">
        <w:t>In addition, the rapid emergence and spread of</w:t>
      </w:r>
      <w:r w:rsidR="00D91BB0">
        <w:t> </w:t>
      </w:r>
      <w:r w:rsidRPr="002029AF">
        <w:t>coronavirus (COVID-19) has presented an unprecedented challenge to the health of Victorians.</w:t>
      </w:r>
    </w:p>
    <w:p w14:paraId="05A43326" w14:textId="77777777" w:rsidR="00603E4B" w:rsidRPr="002029AF" w:rsidRDefault="00603E4B" w:rsidP="00603E4B">
      <w:pPr>
        <w:pStyle w:val="ARbody"/>
      </w:pPr>
      <w:r w:rsidRPr="002029AF">
        <w:t>The long-term effects of coronavirus (COVID-19) on people’s health (including heart, lungs and even brain function) are still unknown. Coronavirus (COVID-19) could represent a new chronic disease, where treatments are still to be found.</w:t>
      </w:r>
    </w:p>
    <w:p w14:paraId="074AF2A7" w14:textId="77777777" w:rsidR="00603E4B" w:rsidRPr="002029AF" w:rsidRDefault="00603E4B" w:rsidP="004026AD">
      <w:pPr>
        <w:pStyle w:val="Heading5"/>
      </w:pPr>
      <w:r w:rsidRPr="002029AF">
        <w:t>Progress against outcomes</w:t>
      </w:r>
    </w:p>
    <w:p w14:paraId="32CE977D" w14:textId="224F921D" w:rsidR="00667FC4" w:rsidRPr="002029AF" w:rsidRDefault="00667FC4" w:rsidP="00667FC4">
      <w:pPr>
        <w:pStyle w:val="ARbody"/>
      </w:pPr>
      <w:r w:rsidRPr="002029AF">
        <w:t xml:space="preserve">As part of its response to coronavirus (COVID-19), the department purchased large stocks of medical supplies, such as personal protective equipment </w:t>
      </w:r>
      <w:r>
        <w:t xml:space="preserve">(PPE) </w:t>
      </w:r>
      <w:r w:rsidRPr="002029AF">
        <w:t>and ventilators, expanded and built new intensive care units (ICU), extended the public health contact tracing team, and established mobile and pop-up testing sites across Victoria. Under the state of emergency declared by the Chief Health Officer on 16 March 2020, the department also managed the rollout of restrictions, an evidence-</w:t>
      </w:r>
      <w:r w:rsidRPr="002029AF">
        <w:t xml:space="preserve">based </w:t>
      </w:r>
      <w:r w:rsidRPr="00667FC4">
        <w:t>public health response made necessary due</w:t>
      </w:r>
      <w:r w:rsidR="00D91BB0">
        <w:t> </w:t>
      </w:r>
      <w:r w:rsidRPr="00667FC4">
        <w:t>to the lack of a vaccine or other</w:t>
      </w:r>
      <w:r w:rsidRPr="002029AF">
        <w:t xml:space="preserve"> effective pharmaceutical treatment.</w:t>
      </w:r>
    </w:p>
    <w:p w14:paraId="3A96574C" w14:textId="77777777" w:rsidR="00667FC4" w:rsidRPr="002029AF" w:rsidRDefault="00667FC4" w:rsidP="00667FC4">
      <w:pPr>
        <w:pStyle w:val="ARbody"/>
      </w:pPr>
      <w:r w:rsidRPr="002029AF">
        <w:t>The impact of these and similar initiatives has been to prevent hospitals and the health system from being overwhelmed. It has been possible to provide care to Victorians with coronavirus (COVID-19) when needed, and the potential for further deaths has been reduced.</w:t>
      </w:r>
    </w:p>
    <w:p w14:paraId="349FE3FD" w14:textId="69E09B0B" w:rsidR="00667FC4" w:rsidRPr="002029AF" w:rsidRDefault="00667FC4" w:rsidP="00667FC4">
      <w:pPr>
        <w:pStyle w:val="ARbody"/>
      </w:pPr>
      <w:bookmarkStart w:id="30" w:name="_Hlk51327408"/>
      <w:r w:rsidRPr="002029AF">
        <w:t>Despite the second wave of coronavirus (COVID-19), Burnet Institute research published in</w:t>
      </w:r>
      <w:r w:rsidR="00D91BB0">
        <w:t> </w:t>
      </w:r>
      <w:r w:rsidRPr="002029AF">
        <w:t xml:space="preserve">the </w:t>
      </w:r>
      <w:hyperlink r:id="rId81" w:history="1">
        <w:r w:rsidRPr="002029AF">
          <w:t>Medical Journal of Australia</w:t>
        </w:r>
      </w:hyperlink>
      <w:r w:rsidRPr="002029AF">
        <w:t> shows the introduction of stage 3 coronavirus (COVID-19) restrictions in Victoria averted tens of thousands of</w:t>
      </w:r>
      <w:r w:rsidR="00D91BB0">
        <w:t> </w:t>
      </w:r>
      <w:r w:rsidRPr="002029AF">
        <w:t>new infections across the state throughout July.</w:t>
      </w:r>
      <w:bookmarkEnd w:id="30"/>
    </w:p>
    <w:p w14:paraId="74FA3188" w14:textId="77777777" w:rsidR="00667FC4" w:rsidRPr="002029AF" w:rsidRDefault="00667FC4" w:rsidP="00667FC4">
      <w:pPr>
        <w:pStyle w:val="ARbody"/>
      </w:pPr>
      <w:bookmarkStart w:id="31" w:name="_Hlk51327760"/>
      <w:r w:rsidRPr="002029AF">
        <w:t>Other modelling, undertaken by Monash University and the Doherty Institute, in collaboration with epidemiology experts in the department, found that if physical distancing restrictions had not been in place during the first wave of the pandemic, Victoria would have seen up to 58,000 new coronavirus</w:t>
      </w:r>
      <w:r>
        <w:t xml:space="preserve"> (COVID-19)</w:t>
      </w:r>
      <w:r w:rsidRPr="002029AF">
        <w:t xml:space="preserve"> cases every day in April, overwhelming our health system.</w:t>
      </w:r>
    </w:p>
    <w:bookmarkEnd w:id="31"/>
    <w:p w14:paraId="0E21CAB6" w14:textId="77777777" w:rsidR="00603E4B" w:rsidRPr="002029AF" w:rsidRDefault="00603E4B" w:rsidP="00603E4B">
      <w:pPr>
        <w:pStyle w:val="ARbody"/>
      </w:pPr>
      <w:r w:rsidRPr="002029AF">
        <w:t>The data also revealed that if a business-as-usual approach had been adopted, 10,000 intensive care beds would have been required and as many as 9,200 Victorians would have been presenting to hospital every day.</w:t>
      </w:r>
    </w:p>
    <w:p w14:paraId="416A6868" w14:textId="77777777" w:rsidR="00603E4B" w:rsidRPr="002029AF" w:rsidRDefault="00603E4B" w:rsidP="00603E4B">
      <w:pPr>
        <w:pStyle w:val="ARbody"/>
      </w:pPr>
      <w:r w:rsidRPr="002029AF">
        <w:lastRenderedPageBreak/>
        <w:t>Due to these preparations and the imposition of stage 3 restrictions, Victoria’s coronavirus (COVID-19) response was much more effective than that of other countries, where hospitals were not able to offer the appropriate care to everyone, where some people could not be cared for in ICU or ventilated when needed, and where the death rates were high.</w:t>
      </w:r>
    </w:p>
    <w:p w14:paraId="2A3431C7" w14:textId="77777777" w:rsidR="00603E4B" w:rsidRPr="002029AF" w:rsidRDefault="00603E4B" w:rsidP="00603E4B">
      <w:pPr>
        <w:pStyle w:val="ARbody"/>
      </w:pPr>
      <w:r w:rsidRPr="002029AF">
        <w:t>Some of the department’s key achievements in 2019–20 are outlined below.</w:t>
      </w:r>
    </w:p>
    <w:p w14:paraId="2F666A86" w14:textId="77777777" w:rsidR="00603E4B" w:rsidRPr="002029AF" w:rsidRDefault="00603E4B" w:rsidP="00603E4B">
      <w:pPr>
        <w:pStyle w:val="Heading5"/>
        <w:rPr>
          <w:rFonts w:eastAsia="Calibri"/>
        </w:rPr>
      </w:pPr>
      <w:r w:rsidRPr="002029AF">
        <w:rPr>
          <w:rFonts w:eastAsia="Calibri"/>
        </w:rPr>
        <w:t>Key result 1: Reduce the incidence of avoidable harm in Victorian hospitals</w:t>
      </w:r>
    </w:p>
    <w:p w14:paraId="0711583F" w14:textId="77777777" w:rsidR="00603E4B" w:rsidRPr="002029AF" w:rsidRDefault="00603E4B" w:rsidP="00603E4B">
      <w:pPr>
        <w:pStyle w:val="Heading6"/>
        <w:rPr>
          <w:szCs w:val="20"/>
          <w:lang w:val="en-AU"/>
        </w:rPr>
      </w:pPr>
      <w:r w:rsidRPr="002029AF">
        <w:rPr>
          <w:szCs w:val="20"/>
          <w:lang w:val="en-AU"/>
        </w:rPr>
        <w:t>Better and safer care</w:t>
      </w:r>
    </w:p>
    <w:p w14:paraId="3F7319E4" w14:textId="413526B1" w:rsidR="00603E4B" w:rsidRPr="002029AF" w:rsidRDefault="00603E4B" w:rsidP="00603E4B">
      <w:pPr>
        <w:pStyle w:val="ARbody"/>
      </w:pPr>
      <w:bookmarkStart w:id="32" w:name="_Hlk51328024"/>
      <w:r w:rsidRPr="002029AF">
        <w:t>Safer Care Victoria monitors sentinel events and reviews system and safety issues, responds to emerging issues, identifies and runs targeted improvement projects and develops clinical guidance.</w:t>
      </w:r>
    </w:p>
    <w:p w14:paraId="3DB511BA" w14:textId="2F1A1A23" w:rsidR="00603E4B" w:rsidRPr="002029AF" w:rsidRDefault="00603E4B" w:rsidP="00603E4B">
      <w:pPr>
        <w:pStyle w:val="ARbody"/>
      </w:pPr>
      <w:bookmarkStart w:id="33" w:name="_Hlk51328205"/>
      <w:bookmarkEnd w:id="32"/>
      <w:r w:rsidRPr="002029AF">
        <w:t xml:space="preserve">In </w:t>
      </w:r>
      <w:r w:rsidR="000E0E8D">
        <w:t>the past year</w:t>
      </w:r>
      <w:r w:rsidRPr="002029AF">
        <w:t xml:space="preserve"> Safer Care Victoria </w:t>
      </w:r>
      <w:r w:rsidR="000E0E8D">
        <w:t>ran 44 wide</w:t>
      </w:r>
      <w:r w:rsidR="00BB3326">
        <w:t>-</w:t>
      </w:r>
      <w:r w:rsidR="000E0E8D">
        <w:t>ranging improvement projects – from targeting high chronic obstructive pulmonary disease rates in one regional centre, to a statewide collaborative that reduced preventable stillbirths. It also released 25</w:t>
      </w:r>
      <w:r w:rsidRPr="002029AF">
        <w:t xml:space="preserve"> pieces of clinical guidance for health care. This included guidance for managing outbreaks of infectious illnesses in aged care, released in April 2020.</w:t>
      </w:r>
    </w:p>
    <w:p w14:paraId="6675D480" w14:textId="03E81DBA" w:rsidR="00603E4B" w:rsidRPr="002029AF" w:rsidRDefault="00603E4B" w:rsidP="00603E4B">
      <w:pPr>
        <w:pStyle w:val="ARbody"/>
      </w:pPr>
      <w:r w:rsidRPr="002029AF">
        <w:t xml:space="preserve">In February 2020 it also released its guidance on adult extracorporeal membrane oxygenation, a rare and risky but lifesaving procedure which is used to provide temporary life support for critically ill patients with reversible respiratory and cardiac failure or who require a ‘bridge’ to transplantation. This new clinical guidance and governance and tiering system can improve outcomes for this </w:t>
      </w:r>
      <w:bookmarkEnd w:id="33"/>
      <w:r w:rsidR="00903E09" w:rsidRPr="002029AF">
        <w:t>procedure.</w:t>
      </w:r>
    </w:p>
    <w:p w14:paraId="51661AB9" w14:textId="0D792C05" w:rsidR="00603E4B" w:rsidRPr="002029AF" w:rsidRDefault="00603E4B" w:rsidP="00603E4B">
      <w:pPr>
        <w:pStyle w:val="ARbodynospace"/>
      </w:pPr>
      <w:r w:rsidRPr="002029AF">
        <w:t xml:space="preserve">Similarly, the Victorian Agency for Health Information has </w:t>
      </w:r>
      <w:r w:rsidR="00903E09" w:rsidRPr="002029AF">
        <w:t>continued</w:t>
      </w:r>
      <w:r w:rsidRPr="002029AF">
        <w:t xml:space="preserve"> to enhance quality and safety reporting in 2019–20, including on clinical and occupational health and safety incidents, which enables them to compare health services and identify areas for improvement.</w:t>
      </w:r>
    </w:p>
    <w:p w14:paraId="551C1E72" w14:textId="77777777" w:rsidR="00603E4B" w:rsidRPr="002029AF" w:rsidRDefault="00603E4B" w:rsidP="00603E4B">
      <w:pPr>
        <w:pStyle w:val="Heading6"/>
        <w:rPr>
          <w:szCs w:val="20"/>
          <w:lang w:val="en-AU"/>
        </w:rPr>
      </w:pPr>
      <w:r w:rsidRPr="002029AF">
        <w:rPr>
          <w:szCs w:val="20"/>
          <w:lang w:val="en-AU"/>
        </w:rPr>
        <w:t>Safer care and better data for</w:t>
      </w:r>
      <w:r w:rsidRPr="002029AF">
        <w:rPr>
          <w:lang w:val="en-AU"/>
        </w:rPr>
        <w:t xml:space="preserve"> </w:t>
      </w:r>
      <w:r w:rsidRPr="002029AF">
        <w:rPr>
          <w:szCs w:val="20"/>
          <w:lang w:val="en-AU"/>
        </w:rPr>
        <w:t>coronavirus (COVID-19)</w:t>
      </w:r>
    </w:p>
    <w:p w14:paraId="32C8E331" w14:textId="77777777" w:rsidR="00603E4B" w:rsidRPr="002029AF" w:rsidRDefault="00603E4B" w:rsidP="00603E4B">
      <w:pPr>
        <w:pStyle w:val="ARbody"/>
      </w:pPr>
      <w:r w:rsidRPr="002029AF">
        <w:t>Safer Care Victoria and the Victorian Agency for Health Information have been actively involved in the response to the pandemic.</w:t>
      </w:r>
    </w:p>
    <w:p w14:paraId="5FC0983B" w14:textId="54929F77" w:rsidR="00603E4B" w:rsidRPr="002029AF" w:rsidRDefault="00603E4B" w:rsidP="00603E4B">
      <w:pPr>
        <w:pStyle w:val="ARbody"/>
      </w:pPr>
      <w:r w:rsidRPr="002029AF">
        <w:t>Safer Care Victoria has used its clinical networks to</w:t>
      </w:r>
      <w:r w:rsidR="0027759D">
        <w:t> </w:t>
      </w:r>
      <w:r w:rsidRPr="002029AF">
        <w:t>bring together more than 130 representatives of different technical groups who can provide advice and guidance, resolve issues and share up-to-date information about care and treatment for coronavirus (COVID-19) patients in a fast-moving environment.</w:t>
      </w:r>
    </w:p>
    <w:p w14:paraId="0D4B252D" w14:textId="77777777" w:rsidR="000E0E8D" w:rsidRDefault="000E0E8D" w:rsidP="000E0E8D">
      <w:pPr>
        <w:pStyle w:val="ARbody"/>
      </w:pPr>
      <w:r>
        <w:t>Chief clinical officers from Safer Care Victoria also lead the PPE Taskforce to secure stock and supply, the Healthcare Worker Infection Prevention and Wellbeing Taskforce, and other key initiatives to support the health and wellbeing of the healthcare workforce.</w:t>
      </w:r>
    </w:p>
    <w:p w14:paraId="70B97395" w14:textId="4F59B2FF" w:rsidR="00603E4B" w:rsidRPr="002029AF" w:rsidRDefault="00603E4B" w:rsidP="00603E4B">
      <w:pPr>
        <w:pStyle w:val="ARbodynospace"/>
        <w:spacing w:after="120"/>
      </w:pPr>
      <w:r w:rsidRPr="002029AF">
        <w:t xml:space="preserve">The Victorian Agency for Health Information </w:t>
      </w:r>
      <w:r w:rsidRPr="002029AF" w:rsidDel="00C15AA8">
        <w:t xml:space="preserve">facilitated </w:t>
      </w:r>
      <w:r w:rsidRPr="002029AF">
        <w:t xml:space="preserve">the development of the </w:t>
      </w:r>
      <w:r w:rsidR="00BD7784" w:rsidRPr="002029AF">
        <w:t>coronavirus (</w:t>
      </w:r>
      <w:r w:rsidRPr="002029AF">
        <w:t>COVID-19</w:t>
      </w:r>
      <w:r w:rsidR="00BD7784" w:rsidRPr="002029AF">
        <w:t>)</w:t>
      </w:r>
      <w:r w:rsidRPr="002029AF">
        <w:t xml:space="preserve"> datamart. It </w:t>
      </w:r>
      <w:r w:rsidRPr="002029AF" w:rsidDel="005B7435">
        <w:t xml:space="preserve">provided </w:t>
      </w:r>
      <w:r w:rsidRPr="002029AF">
        <w:t>epidemiological data and data on overall emergency department presentations, as well as data on respiratory-specific presentations at the health service level. It</w:t>
      </w:r>
      <w:r w:rsidR="00D91BB0">
        <w:t> </w:t>
      </w:r>
      <w:r w:rsidRPr="002029AF">
        <w:t>was also instrumental in brokering access to general practice data collected by three of Victoria’s six Primary Health Networks, which provided more in-depth information for decision makers.</w:t>
      </w:r>
    </w:p>
    <w:p w14:paraId="15940A8D" w14:textId="296373BE" w:rsidR="00603E4B" w:rsidRPr="002029AF" w:rsidRDefault="00603E4B" w:rsidP="00603E4B">
      <w:pPr>
        <w:pStyle w:val="ARbodynospace"/>
        <w:spacing w:after="120"/>
      </w:pPr>
      <w:r w:rsidRPr="002029AF">
        <w:t xml:space="preserve">Further, the Victorian Agency for Health Information created the weekly </w:t>
      </w:r>
      <w:r w:rsidRPr="002029AF">
        <w:rPr>
          <w:i/>
          <w:iCs/>
        </w:rPr>
        <w:t>Impact of COVID-19 on mental health and alcohol and other drug treatment services in Victoria report</w:t>
      </w:r>
      <w:r w:rsidRPr="002029AF">
        <w:t>. This allows for a better understanding of how coronavirus (COVID-19) has impacted demand and the activity of public clinical mental health and alcohol and other drug service providers. It also reports on the effects of the different stages of coronavirus (COVID-19) restrictions on the mental health and wellbeing of</w:t>
      </w:r>
      <w:r w:rsidR="00D91BB0">
        <w:t> </w:t>
      </w:r>
      <w:r w:rsidRPr="002029AF">
        <w:t>Victorians.</w:t>
      </w:r>
    </w:p>
    <w:p w14:paraId="6B657A98" w14:textId="77777777" w:rsidR="00603E4B" w:rsidRPr="002029AF" w:rsidRDefault="00603E4B" w:rsidP="00603E4B">
      <w:pPr>
        <w:pStyle w:val="Heading6"/>
        <w:rPr>
          <w:szCs w:val="20"/>
          <w:lang w:val="en-AU"/>
        </w:rPr>
      </w:pPr>
      <w:r w:rsidRPr="002029AF">
        <w:rPr>
          <w:szCs w:val="20"/>
          <w:lang w:val="en-AU"/>
        </w:rPr>
        <w:t>Increased nurse to patient ratios in hospitals</w:t>
      </w:r>
    </w:p>
    <w:p w14:paraId="2F1CFBFA" w14:textId="339F27E9" w:rsidR="00603E4B" w:rsidRPr="002029AF" w:rsidRDefault="00603E4B" w:rsidP="00603E4B">
      <w:pPr>
        <w:pStyle w:val="ARbody"/>
      </w:pPr>
      <w:r w:rsidRPr="002029AF">
        <w:t>A strong nursing and midwifery workforce is crucial</w:t>
      </w:r>
      <w:r w:rsidR="00D91BB0">
        <w:t> </w:t>
      </w:r>
      <w:r w:rsidRPr="002029AF">
        <w:t>to delivering the best care for Victorians. Nurse and midwife to patient ratios have assisted in</w:t>
      </w:r>
      <w:r w:rsidR="00D91BB0">
        <w:t> </w:t>
      </w:r>
      <w:r w:rsidRPr="002029AF">
        <w:t>maintaining the safety of Victorian patients since they were introduced in 2000.</w:t>
      </w:r>
    </w:p>
    <w:p w14:paraId="05FB68E3" w14:textId="77777777" w:rsidR="00603E4B" w:rsidRPr="002029AF" w:rsidRDefault="00603E4B" w:rsidP="00603E4B">
      <w:pPr>
        <w:pStyle w:val="ARbody"/>
      </w:pPr>
      <w:r w:rsidRPr="002029AF">
        <w:rPr>
          <w:color w:val="000000" w:themeColor="text1"/>
        </w:rPr>
        <w:t xml:space="preserve">As part of a second phase of improvements to ratios, the </w:t>
      </w:r>
      <w:r w:rsidRPr="002029AF">
        <w:rPr>
          <w:i/>
          <w:color w:val="000000" w:themeColor="text1"/>
          <w:shd w:val="clear" w:color="auto" w:fill="FFFFFF"/>
        </w:rPr>
        <w:t>Safe Patient Care (Nurse to Patient and Midwife to Patient Ratios) Amendment Bill 2020</w:t>
      </w:r>
      <w:r w:rsidRPr="002029AF">
        <w:rPr>
          <w:color w:val="000000" w:themeColor="text1"/>
          <w:shd w:val="clear" w:color="auto" w:fill="FFFFFF"/>
        </w:rPr>
        <w:t xml:space="preserve"> </w:t>
      </w:r>
      <w:r w:rsidRPr="002029AF">
        <w:rPr>
          <w:color w:val="000000" w:themeColor="text1"/>
        </w:rPr>
        <w:t xml:space="preserve">was </w:t>
      </w:r>
      <w:r w:rsidRPr="002029AF">
        <w:t>introduced into the Victorian Parliament on 2 June 2020. The bill outlines additional improvements to complement the changes introduced in 2019.</w:t>
      </w:r>
    </w:p>
    <w:p w14:paraId="18F36F62" w14:textId="77777777" w:rsidR="00603E4B" w:rsidRPr="002029AF" w:rsidRDefault="00603E4B" w:rsidP="00603E4B">
      <w:pPr>
        <w:pStyle w:val="ARbody"/>
      </w:pPr>
      <w:bookmarkStart w:id="34" w:name="_Hlk51328546"/>
      <w:r w:rsidRPr="002029AF">
        <w:t>The legislation has amended particular nurse to patient and midwife to patient ratios on specified shifts in certain wards</w:t>
      </w:r>
      <w:bookmarkEnd w:id="34"/>
      <w:r w:rsidRPr="002029AF">
        <w:t>.</w:t>
      </w:r>
    </w:p>
    <w:p w14:paraId="4E04CECE" w14:textId="322D06E9" w:rsidR="00603E4B" w:rsidRPr="002029AF" w:rsidRDefault="00603E4B" w:rsidP="00603E4B">
      <w:pPr>
        <w:pStyle w:val="ARbody"/>
      </w:pPr>
      <w:r w:rsidRPr="002029AF">
        <w:lastRenderedPageBreak/>
        <w:t xml:space="preserve">It also amended the </w:t>
      </w:r>
      <w:r w:rsidRPr="002029AF">
        <w:rPr>
          <w:i/>
          <w:iCs/>
        </w:rPr>
        <w:t>Child Wellbeing and Safety Act</w:t>
      </w:r>
      <w:r w:rsidR="00D91BB0">
        <w:rPr>
          <w:i/>
          <w:iCs/>
        </w:rPr>
        <w:t> </w:t>
      </w:r>
      <w:r w:rsidRPr="002029AF">
        <w:rPr>
          <w:i/>
          <w:iCs/>
        </w:rPr>
        <w:t>2005</w:t>
      </w:r>
      <w:r w:rsidRPr="002029AF">
        <w:t xml:space="preserve"> to require providers of maternal and child health services to employ or engage nurses for those services only if the nurses have a maternal and child health nursing qualification.</w:t>
      </w:r>
    </w:p>
    <w:p w14:paraId="297E8443" w14:textId="77777777" w:rsidR="00603E4B" w:rsidRPr="002029AF" w:rsidRDefault="00603E4B" w:rsidP="00603E4B">
      <w:pPr>
        <w:pStyle w:val="Heading5"/>
        <w:rPr>
          <w:rFonts w:eastAsia="Calibri"/>
        </w:rPr>
      </w:pPr>
      <w:r w:rsidRPr="002029AF">
        <w:rPr>
          <w:rFonts w:eastAsia="Calibri"/>
        </w:rPr>
        <w:t>Key result 2: Reduce obesity and increase physical activity across Victoria</w:t>
      </w:r>
    </w:p>
    <w:p w14:paraId="75A4C67E" w14:textId="2F08D457" w:rsidR="00603E4B" w:rsidRPr="002029AF" w:rsidRDefault="00603E4B" w:rsidP="00603E4B">
      <w:pPr>
        <w:pStyle w:val="ARbody"/>
      </w:pPr>
      <w:r w:rsidRPr="002029AF">
        <w:t>Every year, we invest in initiatives that contribute to</w:t>
      </w:r>
      <w:r w:rsidR="00D91BB0">
        <w:t> </w:t>
      </w:r>
      <w:r w:rsidRPr="002029AF">
        <w:t>obesity prevention and help support an increase in healthy eating and physical activity.</w:t>
      </w:r>
    </w:p>
    <w:p w14:paraId="4D5FCCE7" w14:textId="30803A93" w:rsidR="00603E4B" w:rsidRPr="002029AF" w:rsidRDefault="00603E4B" w:rsidP="00603E4B">
      <w:pPr>
        <w:pStyle w:val="ARbody"/>
        <w:rPr>
          <w:b/>
          <w:bCs/>
        </w:rPr>
      </w:pPr>
      <w:r w:rsidRPr="002029AF">
        <w:rPr>
          <w:b/>
          <w:bCs/>
        </w:rPr>
        <w:t>Supporting health and wellbeing in</w:t>
      </w:r>
      <w:r w:rsidR="0027759D">
        <w:rPr>
          <w:b/>
          <w:bCs/>
        </w:rPr>
        <w:t> </w:t>
      </w:r>
      <w:r w:rsidRPr="002029AF">
        <w:rPr>
          <w:b/>
          <w:bCs/>
        </w:rPr>
        <w:t>the</w:t>
      </w:r>
      <w:r w:rsidR="0027759D">
        <w:rPr>
          <w:b/>
          <w:bCs/>
        </w:rPr>
        <w:t> </w:t>
      </w:r>
      <w:r w:rsidRPr="002029AF">
        <w:rPr>
          <w:b/>
          <w:bCs/>
        </w:rPr>
        <w:t>community</w:t>
      </w:r>
    </w:p>
    <w:p w14:paraId="6F44A0F1" w14:textId="4A71B10E" w:rsidR="00603E4B" w:rsidRPr="002029AF" w:rsidRDefault="00603E4B" w:rsidP="00603E4B">
      <w:pPr>
        <w:pStyle w:val="ARbody"/>
      </w:pPr>
      <w:r w:rsidRPr="002029AF">
        <w:t>The department is continuing to deliver key initiatives to support Victorians to be as healthy as</w:t>
      </w:r>
      <w:r w:rsidR="00D91BB0">
        <w:t> </w:t>
      </w:r>
      <w:r w:rsidRPr="002029AF">
        <w:t xml:space="preserve">they can be. This includes </w:t>
      </w:r>
      <w:r w:rsidRPr="002029AF">
        <w:rPr>
          <w:i/>
          <w:iCs/>
        </w:rPr>
        <w:t>the Healthy Schools, Healthy Workers and Healthy Early Years Achievement Program</w:t>
      </w:r>
      <w:r w:rsidR="005D064D">
        <w:t xml:space="preserve"> – </w:t>
      </w:r>
      <w:r w:rsidRPr="002029AF">
        <w:t>which is supporting over 3,000 organisations to create healthier places for children and workers</w:t>
      </w:r>
      <w:r w:rsidR="005D064D">
        <w:t xml:space="preserve"> – </w:t>
      </w:r>
      <w:r w:rsidRPr="002029AF">
        <w:t xml:space="preserve">and the </w:t>
      </w:r>
      <w:r w:rsidRPr="002029AF">
        <w:rPr>
          <w:i/>
          <w:iCs/>
        </w:rPr>
        <w:t>Healthy Eating Advisory Service</w:t>
      </w:r>
      <w:r w:rsidR="005D064D">
        <w:t xml:space="preserve"> – </w:t>
      </w:r>
      <w:r w:rsidRPr="002029AF">
        <w:t>which is supporting hundreds of</w:t>
      </w:r>
      <w:r w:rsidR="00D91BB0">
        <w:t> </w:t>
      </w:r>
      <w:r w:rsidRPr="002029AF">
        <w:t>early childhood services, schools, hospitals and</w:t>
      </w:r>
      <w:r w:rsidR="00D91BB0">
        <w:t> </w:t>
      </w:r>
      <w:r w:rsidRPr="002029AF">
        <w:t>sport and recreation centres every quarter to</w:t>
      </w:r>
      <w:r w:rsidR="0027759D">
        <w:t> </w:t>
      </w:r>
      <w:r w:rsidRPr="002029AF">
        <w:t xml:space="preserve">provide and promote healthy food and drinks. The department is also delivering the </w:t>
      </w:r>
      <w:r w:rsidRPr="002029AF">
        <w:rPr>
          <w:i/>
          <w:iCs/>
        </w:rPr>
        <w:t>Life! Helping you prevent diabetes, heart disease and stroke</w:t>
      </w:r>
      <w:r w:rsidRPr="002029AF">
        <w:t xml:space="preserve"> program</w:t>
      </w:r>
      <w:r w:rsidR="00875102">
        <w:t>,</w:t>
      </w:r>
      <w:r w:rsidRPr="002029AF">
        <w:t xml:space="preserve"> which is supporting over 5,000 Victorians every year to reach their health and wellbeing goals and reduce their risk of chronic disease.</w:t>
      </w:r>
    </w:p>
    <w:p w14:paraId="36DF3463" w14:textId="77777777" w:rsidR="00603E4B" w:rsidRPr="002029AF" w:rsidRDefault="00603E4B" w:rsidP="00603E4B">
      <w:pPr>
        <w:pStyle w:val="Heading6"/>
        <w:rPr>
          <w:lang w:val="en-AU"/>
        </w:rPr>
      </w:pPr>
      <w:r w:rsidRPr="002029AF">
        <w:rPr>
          <w:lang w:val="en-AU"/>
        </w:rPr>
        <w:t>Supporting health and wellbeing online</w:t>
      </w:r>
    </w:p>
    <w:p w14:paraId="2BE9971A" w14:textId="77777777" w:rsidR="00603E4B" w:rsidRPr="002029AF" w:rsidRDefault="00603E4B" w:rsidP="00603E4B">
      <w:pPr>
        <w:pStyle w:val="ARbody"/>
      </w:pPr>
      <w:r w:rsidRPr="002029AF">
        <w:t>In response to the coronavirus (COVID-19) pandemic, the department has partnered with the YMCA to introduce the Virtual Y. This initiative offers free online health, wellbeing and mentoring support for young people, including access to physical activity videos, healthy eating recipes, family activities and a Youth Hub.</w:t>
      </w:r>
    </w:p>
    <w:p w14:paraId="3B5691D1" w14:textId="304B5450" w:rsidR="00603E4B" w:rsidRPr="002029AF" w:rsidRDefault="00603E4B" w:rsidP="00603E4B">
      <w:pPr>
        <w:pStyle w:val="ARbody"/>
      </w:pPr>
      <w:r w:rsidRPr="002029AF">
        <w:t xml:space="preserve">The Victorian Health Promotion Foundation (VicHealth) is also responding to help Victorians through this time. A new resource hub provides resources on everything from cooking healthy food and mental health to how to start jogging without getting </w:t>
      </w:r>
      <w:r w:rsidR="00E95806" w:rsidRPr="002029AF">
        <w:t>injured and</w:t>
      </w:r>
      <w:r w:rsidRPr="002029AF">
        <w:t xml:space="preserve"> stay connected while remaining apart.</w:t>
      </w:r>
    </w:p>
    <w:p w14:paraId="0324E2CF" w14:textId="77777777" w:rsidR="00603E4B" w:rsidRPr="002029AF" w:rsidRDefault="00603E4B" w:rsidP="00603E4B">
      <w:pPr>
        <w:pStyle w:val="Heading5"/>
        <w:rPr>
          <w:rFonts w:eastAsia="Calibri"/>
        </w:rPr>
      </w:pPr>
      <w:r w:rsidRPr="002029AF">
        <w:rPr>
          <w:rFonts w:eastAsia="Calibri"/>
        </w:rPr>
        <w:t>Key result 3: Increase the proportion of children with healthy birthweight – with a focus on reducing smoking during pregnancy</w:t>
      </w:r>
    </w:p>
    <w:p w14:paraId="391DD78C" w14:textId="77777777" w:rsidR="00603E4B" w:rsidRPr="002029AF" w:rsidRDefault="00603E4B" w:rsidP="00603E4B">
      <w:pPr>
        <w:pStyle w:val="Heading6"/>
        <w:rPr>
          <w:szCs w:val="20"/>
          <w:lang w:val="en-AU"/>
        </w:rPr>
      </w:pPr>
      <w:r w:rsidRPr="002029AF">
        <w:rPr>
          <w:szCs w:val="20"/>
          <w:lang w:val="en-AU"/>
        </w:rPr>
        <w:t>Smoking and stillbirth</w:t>
      </w:r>
    </w:p>
    <w:p w14:paraId="48E2E01E" w14:textId="77777777" w:rsidR="00603E4B" w:rsidRPr="002029AF" w:rsidRDefault="00603E4B" w:rsidP="00603E4B">
      <w:pPr>
        <w:pStyle w:val="ARbody"/>
        <w:rPr>
          <w:szCs w:val="20"/>
        </w:rPr>
      </w:pPr>
      <w:r w:rsidRPr="002029AF">
        <w:rPr>
          <w:szCs w:val="20"/>
        </w:rPr>
        <w:t xml:space="preserve">Safer Care Victoria has teamed up with the </w:t>
      </w:r>
      <w:r w:rsidRPr="002029AF">
        <w:t xml:space="preserve">Institute for Healthcare Improvement (IHI) and the Stillbirth Centre for Research Excellence (CRE) to reduce stillbirths </w:t>
      </w:r>
      <w:r w:rsidRPr="002029AF">
        <w:rPr>
          <w:szCs w:val="20"/>
        </w:rPr>
        <w:t>by 30 per cent in participating maternity services.</w:t>
      </w:r>
    </w:p>
    <w:p w14:paraId="12D8945C" w14:textId="57FE491C" w:rsidR="00603E4B" w:rsidRDefault="00603E4B" w:rsidP="00603E4B">
      <w:pPr>
        <w:pStyle w:val="ARbody"/>
      </w:pPr>
      <w:r w:rsidRPr="002029AF">
        <w:t xml:space="preserve">The collaborative is focusing on five areas of practice, one of </w:t>
      </w:r>
      <w:r w:rsidR="00667FC4">
        <w:t>which</w:t>
      </w:r>
      <w:r w:rsidRPr="002029AF">
        <w:t xml:space="preserve"> is reducing smoking during pregnancy to reduce risk of stillbirth.</w:t>
      </w:r>
      <w:r w:rsidR="001F0498">
        <w:t xml:space="preserve"> </w:t>
      </w:r>
      <w:r w:rsidRPr="002029AF">
        <w:t>The CRE has also partnered with QUIT to produce information about ways of safely stopping smoking during pregnancy.</w:t>
      </w:r>
    </w:p>
    <w:p w14:paraId="5147AE28" w14:textId="1198B873" w:rsidR="000E0E8D" w:rsidRDefault="000E0E8D" w:rsidP="00603E4B">
      <w:pPr>
        <w:pStyle w:val="ARbody"/>
      </w:pPr>
      <w:r>
        <w:t>Using the Institute’s proven model for improvement partnering sites</w:t>
      </w:r>
      <w:r w:rsidR="004674E1">
        <w:t>, from June 2019 to March 2020,</w:t>
      </w:r>
      <w:r>
        <w:t xml:space="preserve"> have:</w:t>
      </w:r>
    </w:p>
    <w:p w14:paraId="28D81FCD" w14:textId="6DC708F8" w:rsidR="000E0E8D" w:rsidRDefault="000E0E8D" w:rsidP="00FF3CAB">
      <w:pPr>
        <w:pStyle w:val="ARbullet1"/>
        <w:numPr>
          <w:ilvl w:val="0"/>
          <w:numId w:val="51"/>
        </w:numPr>
      </w:pPr>
      <w:r>
        <w:t>Increased smoking cessation rates from 11</w:t>
      </w:r>
      <w:r w:rsidR="0027759D">
        <w:t> </w:t>
      </w:r>
      <w:r>
        <w:t>per</w:t>
      </w:r>
      <w:r w:rsidR="0027759D">
        <w:t> </w:t>
      </w:r>
      <w:r>
        <w:t>cent to 28 per cent</w:t>
      </w:r>
    </w:p>
    <w:p w14:paraId="267670F5" w14:textId="1DE2E8C6" w:rsidR="000E0E8D" w:rsidRPr="002029AF" w:rsidRDefault="000E0E8D" w:rsidP="00FF3CAB">
      <w:pPr>
        <w:pStyle w:val="ARbullet1"/>
        <w:numPr>
          <w:ilvl w:val="0"/>
          <w:numId w:val="51"/>
        </w:numPr>
      </w:pPr>
      <w:r>
        <w:t>Increased referrals for smoking cessation from 17per cent to 38 per cent, using the evidence-based Ask, Advise, Help approach.</w:t>
      </w:r>
    </w:p>
    <w:p w14:paraId="19C03656" w14:textId="77777777" w:rsidR="00603E4B" w:rsidRPr="002029AF" w:rsidRDefault="00603E4B" w:rsidP="00603E4B">
      <w:pPr>
        <w:pStyle w:val="Heading6"/>
        <w:rPr>
          <w:szCs w:val="20"/>
          <w:lang w:val="en-AU"/>
        </w:rPr>
      </w:pPr>
      <w:r w:rsidRPr="002029AF">
        <w:rPr>
          <w:szCs w:val="20"/>
          <w:lang w:val="en-AU"/>
        </w:rPr>
        <w:t>Healthy Mothers Healthy Babies</w:t>
      </w:r>
    </w:p>
    <w:p w14:paraId="7DF13B75" w14:textId="1B80A17E" w:rsidR="00603E4B" w:rsidRPr="002029AF" w:rsidRDefault="00603E4B" w:rsidP="00603E4B">
      <w:pPr>
        <w:pStyle w:val="ARbody"/>
      </w:pPr>
      <w:r w:rsidRPr="002029AF">
        <w:t>Poverty, leading to lack of access to healthy food</w:t>
      </w:r>
      <w:r w:rsidR="0027759D">
        <w:t> </w:t>
      </w:r>
      <w:r w:rsidRPr="002029AF">
        <w:t>and homelessness</w:t>
      </w:r>
      <w:r w:rsidR="00E51E97">
        <w:t>,</w:t>
      </w:r>
      <w:r w:rsidRPr="002029AF">
        <w:t xml:space="preserve"> can contribute to low birthweight in babies.</w:t>
      </w:r>
    </w:p>
    <w:p w14:paraId="2A82FCE1" w14:textId="77777777" w:rsidR="00603E4B" w:rsidRPr="002029AF" w:rsidRDefault="00603E4B" w:rsidP="00603E4B">
      <w:pPr>
        <w:pStyle w:val="ARbody"/>
      </w:pPr>
      <w:r w:rsidRPr="002029AF">
        <w:t>The Healthy Mothers Healthy Babies program operates in 20 local government areas across Victoria, including Ballarat, Dandenong, Grampians, Hume, Shepparton and Wyndham.</w:t>
      </w:r>
    </w:p>
    <w:p w14:paraId="7E2C0380" w14:textId="77777777" w:rsidR="00603E4B" w:rsidRPr="002029AF" w:rsidRDefault="00603E4B" w:rsidP="00603E4B">
      <w:pPr>
        <w:pStyle w:val="ARbody"/>
      </w:pPr>
      <w:r w:rsidRPr="002029AF">
        <w:t>It provides a range of supports to highly vulnerable pregnant women who are not engaged with Maternal and Child Health services.</w:t>
      </w:r>
    </w:p>
    <w:p w14:paraId="798F3571" w14:textId="57F9B7E4" w:rsidR="00603E4B" w:rsidRPr="002029AF" w:rsidRDefault="00603E4B" w:rsidP="00603E4B">
      <w:pPr>
        <w:pStyle w:val="ARbody"/>
      </w:pPr>
      <w:r w:rsidRPr="002029AF">
        <w:t>This includes outreach</w:t>
      </w:r>
      <w:r w:rsidR="00E51E97">
        <w:t xml:space="preserve"> and</w:t>
      </w:r>
      <w:r w:rsidRPr="002029AF">
        <w:t xml:space="preserve"> access to services such</w:t>
      </w:r>
      <w:r w:rsidR="00D91BB0">
        <w:t> </w:t>
      </w:r>
      <w:r w:rsidRPr="002029AF">
        <w:t>as</w:t>
      </w:r>
      <w:r w:rsidR="00D91BB0">
        <w:t> </w:t>
      </w:r>
      <w:r w:rsidRPr="002029AF">
        <w:t>peer support and non-judgemental care. The program also works with pregnant women to improve their health – for example, by giving advice on nutrition or how to give up smoking – as a way of improving birthweight and helping women to give their babies the best start in life.</w:t>
      </w:r>
    </w:p>
    <w:p w14:paraId="06021848" w14:textId="59C125E4" w:rsidR="00603E4B" w:rsidRPr="002029AF" w:rsidRDefault="00603E4B" w:rsidP="00603E4B">
      <w:pPr>
        <w:pStyle w:val="ARbody"/>
      </w:pPr>
      <w:r w:rsidRPr="002029AF">
        <w:t>As a result of this program women who might otherwise avoid government services can gain access to help that will improve their own and their</w:t>
      </w:r>
      <w:r w:rsidR="00D91BB0">
        <w:t> </w:t>
      </w:r>
      <w:r w:rsidRPr="002029AF">
        <w:t>babies’ health.</w:t>
      </w:r>
    </w:p>
    <w:p w14:paraId="196A28BF" w14:textId="77777777" w:rsidR="00603E4B" w:rsidRPr="002029AF" w:rsidRDefault="00603E4B" w:rsidP="00603E4B">
      <w:pPr>
        <w:pStyle w:val="Heading5"/>
        <w:rPr>
          <w:rFonts w:eastAsiaTheme="majorEastAsia"/>
        </w:rPr>
      </w:pPr>
      <w:r w:rsidRPr="002029AF">
        <w:rPr>
          <w:rFonts w:eastAsia="Calibri"/>
        </w:rPr>
        <w:lastRenderedPageBreak/>
        <w:t>Key result 4: Reduce infant mortality</w:t>
      </w:r>
    </w:p>
    <w:p w14:paraId="18A9EFC5" w14:textId="77777777" w:rsidR="00603E4B" w:rsidRPr="002029AF" w:rsidRDefault="00603E4B" w:rsidP="0027759D">
      <w:pPr>
        <w:pStyle w:val="Heading6"/>
        <w:spacing w:before="0"/>
        <w:rPr>
          <w:szCs w:val="20"/>
          <w:lang w:val="en-AU"/>
        </w:rPr>
      </w:pPr>
      <w:r w:rsidRPr="002029AF">
        <w:rPr>
          <w:szCs w:val="20"/>
          <w:lang w:val="en-AU"/>
        </w:rPr>
        <w:t>Safer Baby Collaborative</w:t>
      </w:r>
    </w:p>
    <w:p w14:paraId="4A601DE0" w14:textId="4D331B1C" w:rsidR="00603E4B" w:rsidRPr="002029AF" w:rsidRDefault="00603E4B" w:rsidP="00603E4B">
      <w:pPr>
        <w:pStyle w:val="ARbody"/>
      </w:pPr>
      <w:r w:rsidRPr="002029AF">
        <w:t>Since June 2019, the Safer Baby Collaborative has</w:t>
      </w:r>
      <w:r w:rsidR="00D91BB0">
        <w:t> </w:t>
      </w:r>
      <w:r w:rsidRPr="002029AF">
        <w:t>been working with participating Victorian health services to reduce stillbirth rates during the third trimester. Twenty-three teams (19 health services) are participating in this improvement initiative.</w:t>
      </w:r>
    </w:p>
    <w:p w14:paraId="6466F4E3" w14:textId="3F80BDF3" w:rsidR="00603E4B" w:rsidRPr="002029AF" w:rsidRDefault="00603E4B" w:rsidP="00603E4B">
      <w:pPr>
        <w:pStyle w:val="ARbody"/>
      </w:pPr>
      <w:r w:rsidRPr="002029AF">
        <w:t>Early results from June 2019 to March 2020 show a</w:t>
      </w:r>
      <w:r w:rsidR="00D91BB0">
        <w:t> </w:t>
      </w:r>
      <w:r w:rsidRPr="002029AF">
        <w:t>27 per cent reduction in stillbirths (equating to 13</w:t>
      </w:r>
      <w:r w:rsidR="00D91BB0">
        <w:t> </w:t>
      </w:r>
      <w:r w:rsidRPr="002029AF">
        <w:t>lives). Initiatives such as these have contributed to Victoria reaching its lowest stillbirth rate in 18</w:t>
      </w:r>
      <w:r w:rsidR="00D91BB0">
        <w:t> </w:t>
      </w:r>
      <w:r w:rsidRPr="002029AF">
        <w:t>years. Safer Care Victoria teamed up with the</w:t>
      </w:r>
      <w:r w:rsidR="00D91BB0">
        <w:t> </w:t>
      </w:r>
      <w:r w:rsidRPr="002029AF">
        <w:t>Institute for Healthcare Improvement and the Stillbirth Centre for Research Excellence to improve outcomes for mothers and their babies.</w:t>
      </w:r>
    </w:p>
    <w:p w14:paraId="5CCD927D" w14:textId="3595961E" w:rsidR="00603E4B" w:rsidRPr="002029AF" w:rsidRDefault="00603E4B" w:rsidP="00603E4B">
      <w:pPr>
        <w:pStyle w:val="ARbody"/>
      </w:pPr>
      <w:r w:rsidRPr="002029AF">
        <w:t>The Institute’s model for improvement is focused on</w:t>
      </w:r>
      <w:r w:rsidR="00D91BB0">
        <w:t> </w:t>
      </w:r>
      <w:r w:rsidRPr="002029AF">
        <w:t>five areas of practice:</w:t>
      </w:r>
    </w:p>
    <w:p w14:paraId="5579A013" w14:textId="6C4FE984" w:rsidR="00603E4B" w:rsidRPr="002029AF" w:rsidRDefault="00603E4B" w:rsidP="00FF3CAB">
      <w:pPr>
        <w:pStyle w:val="ARbullet1"/>
        <w:numPr>
          <w:ilvl w:val="0"/>
          <w:numId w:val="51"/>
        </w:numPr>
      </w:pPr>
      <w:r w:rsidRPr="002029AF">
        <w:t>improving rates of smoking cessation in</w:t>
      </w:r>
      <w:r w:rsidR="00D91BB0">
        <w:t> </w:t>
      </w:r>
      <w:r w:rsidRPr="002029AF">
        <w:t>pregnancy</w:t>
      </w:r>
    </w:p>
    <w:p w14:paraId="35FECA80" w14:textId="77777777" w:rsidR="00603E4B" w:rsidRPr="002029AF" w:rsidRDefault="00603E4B" w:rsidP="00FF3CAB">
      <w:pPr>
        <w:pStyle w:val="ARbullet1"/>
        <w:numPr>
          <w:ilvl w:val="0"/>
          <w:numId w:val="51"/>
        </w:numPr>
      </w:pPr>
      <w:r w:rsidRPr="002029AF">
        <w:t>diagnosing and managing fetal growth restriction</w:t>
      </w:r>
    </w:p>
    <w:p w14:paraId="0AAB62ED" w14:textId="77777777" w:rsidR="00603E4B" w:rsidRPr="002029AF" w:rsidRDefault="00603E4B" w:rsidP="00FF3CAB">
      <w:pPr>
        <w:pStyle w:val="ARbullet1"/>
        <w:numPr>
          <w:ilvl w:val="0"/>
          <w:numId w:val="51"/>
        </w:numPr>
      </w:pPr>
      <w:r w:rsidRPr="002029AF">
        <w:t>increasing public awareness of the importance of fetal movements</w:t>
      </w:r>
    </w:p>
    <w:p w14:paraId="6BFECA14" w14:textId="77777777" w:rsidR="00603E4B" w:rsidRPr="002029AF" w:rsidRDefault="00603E4B" w:rsidP="00FF3CAB">
      <w:pPr>
        <w:pStyle w:val="ARbullet1"/>
        <w:numPr>
          <w:ilvl w:val="0"/>
          <w:numId w:val="51"/>
        </w:numPr>
      </w:pPr>
      <w:r w:rsidRPr="002029AF">
        <w:t>raising awareness of safe maternal sleep positions</w:t>
      </w:r>
    </w:p>
    <w:p w14:paraId="289B5302" w14:textId="77777777" w:rsidR="00603E4B" w:rsidRPr="002029AF" w:rsidRDefault="00603E4B" w:rsidP="00FF3CAB">
      <w:pPr>
        <w:pStyle w:val="ARbullet1"/>
        <w:numPr>
          <w:ilvl w:val="0"/>
          <w:numId w:val="51"/>
        </w:numPr>
      </w:pPr>
      <w:r w:rsidRPr="002029AF">
        <w:t>promoting appropriate timing of birth and mitigating unintended consequences or harm.</w:t>
      </w:r>
    </w:p>
    <w:p w14:paraId="69CC4360" w14:textId="77777777" w:rsidR="00603E4B" w:rsidRPr="002029AF" w:rsidRDefault="00603E4B" w:rsidP="00603E4B">
      <w:pPr>
        <w:pStyle w:val="Heading6"/>
        <w:rPr>
          <w:szCs w:val="20"/>
          <w:lang w:val="en-AU"/>
        </w:rPr>
      </w:pPr>
      <w:r w:rsidRPr="002029AF">
        <w:rPr>
          <w:szCs w:val="20"/>
          <w:lang w:val="en-AU"/>
        </w:rPr>
        <w:t>Perinatal performance indicators</w:t>
      </w:r>
    </w:p>
    <w:p w14:paraId="5C4196EF" w14:textId="77777777" w:rsidR="00603E4B" w:rsidRPr="002029AF" w:rsidRDefault="00603E4B" w:rsidP="00603E4B">
      <w:pPr>
        <w:pStyle w:val="ARbody"/>
      </w:pPr>
      <w:r w:rsidRPr="002029AF">
        <w:t xml:space="preserve">The </w:t>
      </w:r>
      <w:r w:rsidRPr="002029AF">
        <w:rPr>
          <w:i/>
          <w:iCs/>
        </w:rPr>
        <w:t>Victorian perinatal services performance indicators report</w:t>
      </w:r>
      <w:r w:rsidRPr="002029AF">
        <w:t xml:space="preserve"> shows that for the last three years, the rate of severe fetal growth restricted babies undelivered by 40 weeks’ gestation has decreased.</w:t>
      </w:r>
    </w:p>
    <w:p w14:paraId="5B483F97" w14:textId="07B00F27" w:rsidR="00603E4B" w:rsidRPr="002029AF" w:rsidRDefault="00603E4B" w:rsidP="00603E4B">
      <w:pPr>
        <w:pStyle w:val="ARbody"/>
      </w:pPr>
      <w:r w:rsidRPr="002029AF">
        <w:t xml:space="preserve">There has also been an increase in the rate of women attending their first antenatal visit by </w:t>
      </w:r>
      <w:r w:rsidR="0027759D">
        <w:br/>
      </w:r>
      <w:r w:rsidRPr="002029AF">
        <w:t>12-weeks’ gestation in both our public and private services.</w:t>
      </w:r>
    </w:p>
    <w:p w14:paraId="7DBC6BDA" w14:textId="77777777" w:rsidR="00603E4B" w:rsidRPr="002029AF" w:rsidRDefault="00603E4B" w:rsidP="00603E4B">
      <w:pPr>
        <w:pStyle w:val="ARbody"/>
      </w:pPr>
      <w:r w:rsidRPr="002029AF">
        <w:t>These improvements can mean better health outcomes for mothers and babies, including the likelihood of fewer deaths and disability.</w:t>
      </w:r>
    </w:p>
    <w:p w14:paraId="40828EE5" w14:textId="77777777" w:rsidR="00603E4B" w:rsidRPr="002029AF" w:rsidRDefault="00603E4B" w:rsidP="00603E4B">
      <w:pPr>
        <w:pStyle w:val="Heading5"/>
        <w:rPr>
          <w:rFonts w:eastAsia="Calibri"/>
        </w:rPr>
      </w:pPr>
      <w:r w:rsidRPr="002029AF">
        <w:rPr>
          <w:rFonts w:eastAsia="Calibri"/>
        </w:rPr>
        <w:t>Key result 5: Reduce inequalities in premature death</w:t>
      </w:r>
    </w:p>
    <w:p w14:paraId="6BB0B50A" w14:textId="09DB5D5F" w:rsidR="00603E4B" w:rsidRPr="002029AF" w:rsidRDefault="00603E4B" w:rsidP="00603E4B">
      <w:pPr>
        <w:pStyle w:val="ARbody"/>
      </w:pPr>
      <w:r w:rsidRPr="002029AF">
        <w:t xml:space="preserve">In VicHealth’s </w:t>
      </w:r>
      <w:r w:rsidRPr="002029AF">
        <w:rPr>
          <w:i/>
          <w:iCs/>
        </w:rPr>
        <w:t>Health equity strategy 2019–</w:t>
      </w:r>
      <w:r w:rsidR="00E95806" w:rsidRPr="002029AF">
        <w:rPr>
          <w:i/>
          <w:iCs/>
        </w:rPr>
        <w:t>2023,</w:t>
      </w:r>
      <w:r w:rsidR="00E95806" w:rsidRPr="002029AF">
        <w:t xml:space="preserve"> health</w:t>
      </w:r>
      <w:r w:rsidRPr="002029AF">
        <w:t xml:space="preserve"> equity is the notion that everyone should have a fair opportunity to attain their full health potential and that no one should be disadvantaged from achieving this potential if it can be avoided.</w:t>
      </w:r>
    </w:p>
    <w:p w14:paraId="751E3644" w14:textId="22107D0C" w:rsidR="00603E4B" w:rsidRPr="002029AF" w:rsidRDefault="00603E4B" w:rsidP="00603E4B">
      <w:pPr>
        <w:pStyle w:val="ARbody"/>
      </w:pPr>
      <w:r w:rsidRPr="002029AF">
        <w:t>And yet, some people in Victoria are more likely to</w:t>
      </w:r>
      <w:r w:rsidR="00D91BB0">
        <w:t> </w:t>
      </w:r>
      <w:r w:rsidRPr="002029AF">
        <w:t xml:space="preserve">die earlier than others. In Victoria, sexuality, </w:t>
      </w:r>
      <w:r w:rsidRPr="002029AF">
        <w:t>disability, ethnicity, being Aboriginal, or having a lower income can be associated with poorer health outcomes.</w:t>
      </w:r>
    </w:p>
    <w:p w14:paraId="2314D5CD" w14:textId="77777777" w:rsidR="00603E4B" w:rsidRPr="002029AF" w:rsidRDefault="00603E4B" w:rsidP="00603E4B">
      <w:pPr>
        <w:pStyle w:val="ARbody"/>
      </w:pPr>
      <w:r w:rsidRPr="002029AF">
        <w:t>To improve the health inequities and premature death rates of certain groups, VicHealth has a goal of having one million more Victorians with better health and wellbeing by 2023.</w:t>
      </w:r>
    </w:p>
    <w:p w14:paraId="715AE021" w14:textId="77777777" w:rsidR="00603E4B" w:rsidRPr="002029AF" w:rsidRDefault="00603E4B" w:rsidP="00603E4B">
      <w:pPr>
        <w:pStyle w:val="ARbody"/>
      </w:pPr>
      <w:r w:rsidRPr="002029AF">
        <w:t xml:space="preserve">VicHealth has developed the </w:t>
      </w:r>
      <w:r w:rsidRPr="002029AF">
        <w:rPr>
          <w:i/>
          <w:iCs/>
        </w:rPr>
        <w:t>Health equity strategy 2019–2023</w:t>
      </w:r>
      <w:r w:rsidRPr="002029AF">
        <w:t xml:space="preserve"> to deliver this goal and has committed to embedding health equity in everything it does across the organisation.</w:t>
      </w:r>
    </w:p>
    <w:p w14:paraId="465536D7" w14:textId="559900D1" w:rsidR="00603E4B" w:rsidRPr="002029AF" w:rsidRDefault="00603E4B" w:rsidP="00603E4B">
      <w:pPr>
        <w:pStyle w:val="ARbody"/>
      </w:pPr>
      <w:r w:rsidRPr="002029AF">
        <w:t>While health equity is a long-term goal, principles to</w:t>
      </w:r>
      <w:r w:rsidR="00D91BB0">
        <w:t> </w:t>
      </w:r>
      <w:r w:rsidRPr="002029AF">
        <w:t>address health inequity will be embedded in all VicHealth projects and programs, and they include giving priority to working directly with population groups who face the greatest barriers to health and</w:t>
      </w:r>
      <w:r w:rsidR="00D91BB0">
        <w:t> </w:t>
      </w:r>
      <w:r w:rsidRPr="002029AF">
        <w:t>wellbeing.</w:t>
      </w:r>
    </w:p>
    <w:p w14:paraId="4E25C2D3" w14:textId="3531336D" w:rsidR="00603E4B" w:rsidRPr="002029AF" w:rsidRDefault="00603E4B" w:rsidP="00603E4B">
      <w:pPr>
        <w:pStyle w:val="ARbody"/>
      </w:pPr>
      <w:r w:rsidRPr="002029AF">
        <w:t>VicHealth is working with other health promotion agencies to strengthen the sector’s ability to address health inequities that can lead to</w:t>
      </w:r>
      <w:r w:rsidR="00D91BB0">
        <w:t> </w:t>
      </w:r>
      <w:r w:rsidRPr="002029AF">
        <w:t>premature death.</w:t>
      </w:r>
    </w:p>
    <w:p w14:paraId="19B00800" w14:textId="77777777" w:rsidR="00603E4B" w:rsidRPr="002029AF" w:rsidRDefault="00603E4B" w:rsidP="00603E4B">
      <w:pPr>
        <w:pStyle w:val="Heading5"/>
        <w:rPr>
          <w:rFonts w:eastAsia="Calibri"/>
        </w:rPr>
      </w:pPr>
      <w:r w:rsidRPr="002029AF">
        <w:rPr>
          <w:rFonts w:eastAsia="Calibri"/>
        </w:rPr>
        <w:t>Key result 6: Improve early childhood development milestones for vulnerable children</w:t>
      </w:r>
    </w:p>
    <w:p w14:paraId="112F9855" w14:textId="77777777" w:rsidR="00603E4B" w:rsidRPr="002029AF" w:rsidRDefault="00603E4B" w:rsidP="00603E4B">
      <w:pPr>
        <w:pStyle w:val="Heading6"/>
        <w:rPr>
          <w:szCs w:val="20"/>
          <w:lang w:val="en-AU"/>
        </w:rPr>
      </w:pPr>
      <w:r w:rsidRPr="002029AF">
        <w:rPr>
          <w:szCs w:val="20"/>
          <w:lang w:val="en-AU"/>
        </w:rPr>
        <w:t>Aboriginal Maternal and Child Health Services</w:t>
      </w:r>
    </w:p>
    <w:p w14:paraId="0103F336" w14:textId="77777777" w:rsidR="001F0498" w:rsidRPr="002029AF" w:rsidRDefault="001F0498" w:rsidP="001F0498">
      <w:pPr>
        <w:pStyle w:val="ARbody"/>
        <w:rPr>
          <w:szCs w:val="20"/>
        </w:rPr>
      </w:pPr>
      <w:r w:rsidRPr="002029AF">
        <w:t>Aboriginal Maternal and Child Health services were first piloted in 2017–18. Building on the successful trials</w:t>
      </w:r>
      <w:r>
        <w:t xml:space="preserve"> of the</w:t>
      </w:r>
      <w:r w:rsidRPr="002029AF">
        <w:t xml:space="preserve"> evidence-based universal </w:t>
      </w:r>
      <w:r w:rsidRPr="002029AF">
        <w:rPr>
          <w:szCs w:val="20"/>
        </w:rPr>
        <w:t xml:space="preserve">Maternal and Child Health (MCH) </w:t>
      </w:r>
      <w:r w:rsidRPr="002029AF">
        <w:t xml:space="preserve">program, </w:t>
      </w:r>
      <w:r w:rsidRPr="002029AF">
        <w:rPr>
          <w:szCs w:val="20"/>
        </w:rPr>
        <w:t xml:space="preserve">this program provides </w:t>
      </w:r>
      <w:r w:rsidRPr="002029AF">
        <w:t>flexible and culturally safe services for Aboriginal families and their children</w:t>
      </w:r>
      <w:r w:rsidRPr="002029AF">
        <w:rPr>
          <w:szCs w:val="20"/>
        </w:rPr>
        <w:t>.</w:t>
      </w:r>
    </w:p>
    <w:p w14:paraId="0F960E5A" w14:textId="77777777" w:rsidR="001F0498" w:rsidRPr="002029AF" w:rsidRDefault="001F0498" w:rsidP="001F0498">
      <w:pPr>
        <w:pStyle w:val="ARbody"/>
      </w:pPr>
      <w:r w:rsidRPr="002029AF">
        <w:t>Aboriginal families are the focus, with delivery shaped around meeting families’ needs.</w:t>
      </w:r>
    </w:p>
    <w:p w14:paraId="0AB13ADD" w14:textId="77777777" w:rsidR="001F0498" w:rsidRPr="002029AF" w:rsidRDefault="001F0498" w:rsidP="001F0498">
      <w:pPr>
        <w:pStyle w:val="ARbody"/>
      </w:pPr>
      <w:r w:rsidRPr="002029AF">
        <w:t>The department works with Aboriginal community-controlled organisations and local government to deliver MCH services. Aboriginal families now have a choice to engage with Aboriginal staff after a baby is born.</w:t>
      </w:r>
    </w:p>
    <w:p w14:paraId="4C2BD6AF" w14:textId="7B2BEB16" w:rsidR="001F0498" w:rsidRPr="002029AF" w:rsidRDefault="001F0498" w:rsidP="001F0498">
      <w:pPr>
        <w:pStyle w:val="ARbody"/>
      </w:pPr>
      <w:r w:rsidRPr="002029AF">
        <w:t>As a result, some Aboriginal families will be more likely to participate in key ages and stages visits for their children,</w:t>
      </w:r>
      <w:r>
        <w:t xml:space="preserve"> which will</w:t>
      </w:r>
      <w:r w:rsidRPr="002029AF">
        <w:t xml:space="preserve"> improv</w:t>
      </w:r>
      <w:r>
        <w:t>e</w:t>
      </w:r>
      <w:r w:rsidRPr="002029AF">
        <w:t xml:space="preserve"> early intervention opportunit</w:t>
      </w:r>
      <w:r>
        <w:t>ies</w:t>
      </w:r>
      <w:r w:rsidRPr="002029AF">
        <w:t xml:space="preserve"> and health outcomes.</w:t>
      </w:r>
    </w:p>
    <w:p w14:paraId="02C182E2" w14:textId="77777777" w:rsidR="00603E4B" w:rsidRPr="002029AF" w:rsidRDefault="00603E4B" w:rsidP="00603E4B">
      <w:pPr>
        <w:pStyle w:val="Heading6"/>
        <w:rPr>
          <w:szCs w:val="20"/>
          <w:lang w:val="en-AU"/>
        </w:rPr>
      </w:pPr>
      <w:r w:rsidRPr="002029AF">
        <w:rPr>
          <w:szCs w:val="20"/>
          <w:lang w:val="en-AU"/>
        </w:rPr>
        <w:t>Koorie Supported Playgroups</w:t>
      </w:r>
    </w:p>
    <w:p w14:paraId="54C6D0AC" w14:textId="6D99F951" w:rsidR="00603E4B" w:rsidRPr="002029AF" w:rsidRDefault="00603E4B" w:rsidP="00603E4B">
      <w:pPr>
        <w:pStyle w:val="ARbody"/>
      </w:pPr>
      <w:r w:rsidRPr="002029AF">
        <w:t>Koorie Supported Playgroups are delivered in three</w:t>
      </w:r>
      <w:r w:rsidR="00D91BB0">
        <w:t> </w:t>
      </w:r>
      <w:r w:rsidRPr="002029AF">
        <w:t>locations across the state</w:t>
      </w:r>
      <w:r w:rsidR="008538D8">
        <w:t xml:space="preserve"> to</w:t>
      </w:r>
      <w:r w:rsidRPr="002029AF">
        <w:t xml:space="preserve"> connect families with young children to support and culture. Koorie Supported Playgroups work with Aboriginal </w:t>
      </w:r>
      <w:r w:rsidRPr="002029AF">
        <w:lastRenderedPageBreak/>
        <w:t xml:space="preserve">Maternal and Child Health Services to provide </w:t>
      </w:r>
      <w:r w:rsidR="0099771B">
        <w:t>A</w:t>
      </w:r>
      <w:r w:rsidRPr="002029AF">
        <w:t>boriginal families with access to support in the critical early years of their child’s development. Playgroups are available in metropolitan areas and</w:t>
      </w:r>
      <w:r w:rsidR="00D91BB0">
        <w:t> </w:t>
      </w:r>
      <w:r w:rsidRPr="002029AF">
        <w:t>rural Victoria.</w:t>
      </w:r>
    </w:p>
    <w:p w14:paraId="6A4035A5" w14:textId="77777777" w:rsidR="00603E4B" w:rsidRPr="002029AF" w:rsidRDefault="00603E4B" w:rsidP="0027759D">
      <w:pPr>
        <w:pStyle w:val="Heading6"/>
        <w:spacing w:before="200"/>
        <w:rPr>
          <w:szCs w:val="20"/>
          <w:lang w:val="en-AU"/>
        </w:rPr>
      </w:pPr>
      <w:r w:rsidRPr="002029AF">
        <w:rPr>
          <w:szCs w:val="20"/>
          <w:lang w:val="en-AU"/>
        </w:rPr>
        <w:t>Supported Playgroups</w:t>
      </w:r>
    </w:p>
    <w:p w14:paraId="3C56DFA5" w14:textId="6AC2DB90" w:rsidR="00603E4B" w:rsidRPr="002029AF" w:rsidRDefault="00603E4B" w:rsidP="00603E4B">
      <w:pPr>
        <w:pStyle w:val="ARbody"/>
      </w:pPr>
      <w:r w:rsidRPr="002029AF">
        <w:t>There is strong evidence that the early home learning environment has a significant impact on</w:t>
      </w:r>
      <w:r w:rsidR="00D91BB0">
        <w:t> </w:t>
      </w:r>
      <w:r w:rsidRPr="002029AF">
        <w:t>children’s wellbeing and development.</w:t>
      </w:r>
    </w:p>
    <w:p w14:paraId="656CFF6F" w14:textId="77777777" w:rsidR="003C6F78" w:rsidRDefault="00603E4B" w:rsidP="00603E4B">
      <w:pPr>
        <w:pStyle w:val="ARbody"/>
      </w:pPr>
      <w:r w:rsidRPr="002029AF">
        <w:t xml:space="preserve">Supported Playgroups </w:t>
      </w:r>
      <w:r w:rsidR="001F0498">
        <w:t>have been implemented across</w:t>
      </w:r>
      <w:r w:rsidRPr="002029AF">
        <w:t xml:space="preserve"> the state </w:t>
      </w:r>
      <w:r w:rsidR="001F0498">
        <w:t>and enable</w:t>
      </w:r>
      <w:r w:rsidRPr="002029AF">
        <w:t xml:space="preserve"> parents</w:t>
      </w:r>
      <w:r w:rsidR="001F0498">
        <w:t xml:space="preserve"> to</w:t>
      </w:r>
      <w:r w:rsidRPr="002029AF">
        <w:t xml:space="preserve"> learn evidence-based strategies to support their child’s wellbeing and development in the first three years of life</w:t>
      </w:r>
      <w:r w:rsidR="001F0498">
        <w:t xml:space="preserve">, along with </w:t>
      </w:r>
      <w:r w:rsidR="001F0498" w:rsidRPr="002029AF">
        <w:t xml:space="preserve">qualified and trained facilitators </w:t>
      </w:r>
      <w:r w:rsidR="001F0498">
        <w:t>who</w:t>
      </w:r>
      <w:r w:rsidR="001F0498" w:rsidRPr="002029AF">
        <w:t xml:space="preserve"> provide one to one coaching to parents to build their skills and confidence</w:t>
      </w:r>
      <w:r w:rsidRPr="002029AF">
        <w:t>.</w:t>
      </w:r>
    </w:p>
    <w:p w14:paraId="792D110E" w14:textId="6076CF95" w:rsidR="00603E4B" w:rsidRPr="002029AF" w:rsidRDefault="001F0498" w:rsidP="00603E4B">
      <w:pPr>
        <w:pStyle w:val="ARbody"/>
      </w:pPr>
      <w:r w:rsidRPr="002029AF">
        <w:t xml:space="preserve">The smalltalk program </w:t>
      </w:r>
      <w:r>
        <w:t>has now been</w:t>
      </w:r>
      <w:r w:rsidRPr="002029AF">
        <w:t xml:space="preserve"> developed</w:t>
      </w:r>
      <w:r>
        <w:t>,</w:t>
      </w:r>
      <w:r w:rsidRPr="002029AF">
        <w:t xml:space="preserve"> with funding from the Victorian Government</w:t>
      </w:r>
      <w:r>
        <w:t>,</w:t>
      </w:r>
      <w:r w:rsidRPr="002029AF">
        <w:t xml:space="preserve"> to provide a ‘light touch’ cost-effective intervention to</w:t>
      </w:r>
      <w:r w:rsidR="00D91BB0">
        <w:t> </w:t>
      </w:r>
      <w:r w:rsidRPr="002029AF">
        <w:t>improve the quality of the early home learning environment. for Victorian children</w:t>
      </w:r>
      <w:r>
        <w:t xml:space="preserve"> and has been</w:t>
      </w:r>
      <w:r w:rsidR="00D91BB0">
        <w:t> </w:t>
      </w:r>
      <w:r>
        <w:t>implemented in the Support Playgroups. A</w:t>
      </w:r>
      <w:r w:rsidR="00603E4B" w:rsidRPr="002029AF">
        <w:t xml:space="preserve">pproximately 16,000 Victorian families </w:t>
      </w:r>
      <w:r>
        <w:t xml:space="preserve">are </w:t>
      </w:r>
      <w:r w:rsidR="00603E4B" w:rsidRPr="002029AF">
        <w:t>able to</w:t>
      </w:r>
      <w:r w:rsidR="00D91BB0">
        <w:t> </w:t>
      </w:r>
      <w:r w:rsidR="00603E4B" w:rsidRPr="002029AF">
        <w:t>access a smalltalk Supported Playgroups each year.</w:t>
      </w:r>
    </w:p>
    <w:p w14:paraId="50F43A4D" w14:textId="70076364" w:rsidR="00603E4B" w:rsidRPr="002029AF" w:rsidRDefault="00603E4B" w:rsidP="00603E4B">
      <w:pPr>
        <w:pStyle w:val="ARbody"/>
      </w:pPr>
      <w:r w:rsidRPr="002029AF">
        <w:t>A longitudinal follow</w:t>
      </w:r>
      <w:r w:rsidR="001F0498">
        <w:t>-</w:t>
      </w:r>
      <w:r w:rsidRPr="002029AF">
        <w:t>up of children who participated in smalltalk as toddlers is nearing completion and is showing positive effects on children’s development at age seven.</w:t>
      </w:r>
    </w:p>
    <w:p w14:paraId="0DFB6B8E" w14:textId="77777777" w:rsidR="001F0498" w:rsidRPr="002029AF" w:rsidRDefault="001F0498" w:rsidP="0027759D">
      <w:pPr>
        <w:pStyle w:val="Heading6"/>
        <w:spacing w:before="200"/>
        <w:rPr>
          <w:szCs w:val="20"/>
          <w:lang w:val="en-AU"/>
        </w:rPr>
      </w:pPr>
      <w:r w:rsidRPr="002029AF">
        <w:rPr>
          <w:szCs w:val="20"/>
          <w:lang w:val="en-AU"/>
        </w:rPr>
        <w:t xml:space="preserve">Positive </w:t>
      </w:r>
      <w:r>
        <w:rPr>
          <w:szCs w:val="20"/>
          <w:lang w:val="en-AU"/>
        </w:rPr>
        <w:t>p</w:t>
      </w:r>
      <w:r w:rsidRPr="002029AF">
        <w:rPr>
          <w:szCs w:val="20"/>
          <w:lang w:val="en-AU"/>
        </w:rPr>
        <w:t xml:space="preserve">arenting </w:t>
      </w:r>
      <w:r>
        <w:rPr>
          <w:szCs w:val="20"/>
          <w:lang w:val="en-AU"/>
        </w:rPr>
        <w:t>s</w:t>
      </w:r>
      <w:r w:rsidRPr="002029AF">
        <w:rPr>
          <w:szCs w:val="20"/>
          <w:lang w:val="en-AU"/>
        </w:rPr>
        <w:t>eminars</w:t>
      </w:r>
    </w:p>
    <w:p w14:paraId="0159D366" w14:textId="77777777" w:rsidR="001F0498" w:rsidRPr="002029AF" w:rsidRDefault="001F0498" w:rsidP="001F0498">
      <w:pPr>
        <w:pStyle w:val="ARbody"/>
      </w:pPr>
      <w:r w:rsidRPr="002029AF">
        <w:t>As part of the initiative to provide more support to families in the Latrobe Valley, parenting seminars were provided to families with children aged from two to six years. The evidence</w:t>
      </w:r>
      <w:r>
        <w:t>-</w:t>
      </w:r>
      <w:r w:rsidRPr="002029AF">
        <w:t>based Triple P program was delivered to parents to build their skills to respond positively to parenting challenges and support children to develop the skills for learning.</w:t>
      </w:r>
    </w:p>
    <w:p w14:paraId="6E0F94FE" w14:textId="77777777" w:rsidR="001F0498" w:rsidRPr="002029AF" w:rsidRDefault="001F0498" w:rsidP="001F0498">
      <w:pPr>
        <w:pStyle w:val="ARbody"/>
      </w:pPr>
      <w:r w:rsidRPr="002029AF">
        <w:t>Staff employed in early childhood education and care services, kindergartens and primary school were also trained to provide evidence-based parenting support to families using their services.</w:t>
      </w:r>
    </w:p>
    <w:p w14:paraId="36FA3986" w14:textId="77777777" w:rsidR="001F0498" w:rsidRPr="002029AF" w:rsidRDefault="001F0498" w:rsidP="0027759D">
      <w:pPr>
        <w:pStyle w:val="Heading6"/>
        <w:spacing w:before="200"/>
        <w:rPr>
          <w:szCs w:val="20"/>
          <w:lang w:val="en-AU"/>
        </w:rPr>
      </w:pPr>
      <w:r w:rsidRPr="002029AF">
        <w:rPr>
          <w:szCs w:val="20"/>
          <w:lang w:val="en-AU"/>
        </w:rPr>
        <w:t>Triple P Online</w:t>
      </w:r>
    </w:p>
    <w:p w14:paraId="0AC7C54A" w14:textId="77777777" w:rsidR="001F0498" w:rsidRPr="002029AF" w:rsidRDefault="001F0498" w:rsidP="001F0498">
      <w:pPr>
        <w:pStyle w:val="ARbody"/>
      </w:pPr>
      <w:r w:rsidRPr="002029AF">
        <w:t xml:space="preserve">The Triple P Online program provides parents with new ways of responding to their children and was provided free to all Victorian families from May 2020. The program has recently been enhanced with a new module specifically focussing on parenting during the pandemic. </w:t>
      </w:r>
      <w:r>
        <w:t>T</w:t>
      </w:r>
      <w:r w:rsidRPr="002029AF">
        <w:t xml:space="preserve">he program </w:t>
      </w:r>
      <w:r>
        <w:t xml:space="preserve">was </w:t>
      </w:r>
      <w:r>
        <w:t xml:space="preserve">accessed by 8,500 Victorian families </w:t>
      </w:r>
      <w:r w:rsidRPr="002029AF">
        <w:t>in the first three months of it being made available.</w:t>
      </w:r>
    </w:p>
    <w:p w14:paraId="3D0F2C47" w14:textId="77777777" w:rsidR="00603E4B" w:rsidRPr="002029AF" w:rsidRDefault="00603E4B" w:rsidP="00603E4B">
      <w:pPr>
        <w:pStyle w:val="Heading6"/>
        <w:rPr>
          <w:szCs w:val="20"/>
          <w:lang w:val="en-AU"/>
        </w:rPr>
      </w:pPr>
      <w:r w:rsidRPr="002029AF">
        <w:rPr>
          <w:szCs w:val="20"/>
          <w:lang w:val="en-AU"/>
        </w:rPr>
        <w:t>What Were We Thinking</w:t>
      </w:r>
    </w:p>
    <w:p w14:paraId="1BCF5990" w14:textId="7C8F0E05" w:rsidR="001F0498" w:rsidRPr="002029AF" w:rsidRDefault="001F0498" w:rsidP="001F0498">
      <w:pPr>
        <w:pStyle w:val="ARbody"/>
      </w:pPr>
      <w:r w:rsidRPr="002029AF">
        <w:t>The What Were We Thinking (WW</w:t>
      </w:r>
      <w:r w:rsidR="00CB4DD6">
        <w:t>W</w:t>
      </w:r>
      <w:r w:rsidRPr="002029AF">
        <w:t>T) program is an evidence</w:t>
      </w:r>
      <w:r>
        <w:t>-based</w:t>
      </w:r>
      <w:r w:rsidRPr="002029AF">
        <w:t xml:space="preserve"> program for new parents delivered in the first six weeks after a baby is born to assist them develop healthy and sustainable sleeping routines.</w:t>
      </w:r>
    </w:p>
    <w:p w14:paraId="7CABB1D7" w14:textId="42C0F0ED" w:rsidR="001F0498" w:rsidRPr="002029AF" w:rsidRDefault="001F0498" w:rsidP="001F0498">
      <w:pPr>
        <w:pStyle w:val="ARbody"/>
      </w:pPr>
      <w:r w:rsidRPr="002029AF">
        <w:t>The program also assists couples renegotiate their</w:t>
      </w:r>
      <w:r w:rsidR="00D91BB0">
        <w:t> </w:t>
      </w:r>
      <w:r w:rsidRPr="002029AF">
        <w:t>relationship after the birth of a baby</w:t>
      </w:r>
      <w:r>
        <w:t>,</w:t>
      </w:r>
      <w:r w:rsidRPr="002029AF">
        <w:t xml:space="preserve"> including</w:t>
      </w:r>
      <w:r>
        <w:t xml:space="preserve"> in relation to</w:t>
      </w:r>
      <w:r w:rsidRPr="002029AF">
        <w:t xml:space="preserve"> their support needs and domestic responsibilities. The program is evidence based and has </w:t>
      </w:r>
      <w:r>
        <w:t xml:space="preserve">been </w:t>
      </w:r>
      <w:r w:rsidRPr="002029AF">
        <w:t xml:space="preserve">demonstrated </w:t>
      </w:r>
      <w:r>
        <w:t xml:space="preserve">to have </w:t>
      </w:r>
      <w:r w:rsidRPr="002029AF">
        <w:t>a positive impact on maternal mental health.</w:t>
      </w:r>
    </w:p>
    <w:p w14:paraId="61D27EB6" w14:textId="1719DA4B" w:rsidR="001F0498" w:rsidRPr="002029AF" w:rsidRDefault="001F0498" w:rsidP="001F0498">
      <w:pPr>
        <w:pStyle w:val="ARbody"/>
      </w:pPr>
      <w:r w:rsidRPr="002029AF">
        <w:t>This WW</w:t>
      </w:r>
      <w:r w:rsidR="00CB4DD6">
        <w:t>W</w:t>
      </w:r>
      <w:r w:rsidRPr="002029AF">
        <w:t>T program was also made available to</w:t>
      </w:r>
      <w:r w:rsidR="00D91BB0">
        <w:t> </w:t>
      </w:r>
      <w:r w:rsidRPr="002029AF">
        <w:t>families in the Latrobe Valley.</w:t>
      </w:r>
    </w:p>
    <w:p w14:paraId="354088AF" w14:textId="609A547A" w:rsidR="00603E4B" w:rsidRPr="002029AF" w:rsidRDefault="00603E4B" w:rsidP="00603E4B">
      <w:pPr>
        <w:pStyle w:val="Heading5"/>
        <w:rPr>
          <w:rFonts w:eastAsia="Calibri"/>
        </w:rPr>
      </w:pPr>
      <w:r w:rsidRPr="002029AF">
        <w:rPr>
          <w:rFonts w:eastAsia="Calibri"/>
        </w:rPr>
        <w:t>Key result 7: Improve the oral health of</w:t>
      </w:r>
      <w:r w:rsidR="00D91BB0">
        <w:rPr>
          <w:rFonts w:eastAsia="Calibri"/>
        </w:rPr>
        <w:t> </w:t>
      </w:r>
      <w:r w:rsidRPr="002029AF">
        <w:rPr>
          <w:rFonts w:eastAsia="Calibri"/>
        </w:rPr>
        <w:t>school-aged children</w:t>
      </w:r>
    </w:p>
    <w:p w14:paraId="07C8604B" w14:textId="77777777" w:rsidR="00603E4B" w:rsidRPr="002029AF" w:rsidRDefault="00603E4B" w:rsidP="0027759D">
      <w:pPr>
        <w:pStyle w:val="Heading6"/>
        <w:spacing w:before="140"/>
        <w:rPr>
          <w:szCs w:val="20"/>
          <w:lang w:val="en-AU"/>
        </w:rPr>
      </w:pPr>
      <w:r w:rsidRPr="002029AF">
        <w:rPr>
          <w:szCs w:val="20"/>
          <w:lang w:val="en-AU"/>
        </w:rPr>
        <w:t>School dental program</w:t>
      </w:r>
    </w:p>
    <w:p w14:paraId="118AE9BF" w14:textId="77777777" w:rsidR="001F0498" w:rsidRPr="002029AF" w:rsidRDefault="001F0498" w:rsidP="001F0498">
      <w:pPr>
        <w:pStyle w:val="ARbody"/>
        <w:rPr>
          <w:iCs/>
        </w:rPr>
      </w:pPr>
      <w:r w:rsidRPr="002029AF">
        <w:rPr>
          <w:iCs/>
        </w:rPr>
        <w:t>We have been working with Dental Health Services Victoria and the Department of Education and Training to implement free dental assessment and treatment for government school students.</w:t>
      </w:r>
    </w:p>
    <w:p w14:paraId="1935F624" w14:textId="77777777" w:rsidR="001F0498" w:rsidRPr="002029AF" w:rsidRDefault="001F0498" w:rsidP="001F0498">
      <w:pPr>
        <w:pStyle w:val="ARbody"/>
      </w:pPr>
      <w:r w:rsidRPr="002029AF">
        <w:t>The School Dental Program is a Victorian Government election commitment that provides free annual oral health check-ups and follow-up care for all children attending government primary and secondary schools. The $321.9 million initiative includ</w:t>
      </w:r>
      <w:r>
        <w:t>es</w:t>
      </w:r>
      <w:r w:rsidRPr="002029AF">
        <w:t xml:space="preserve"> teeth cleaning, fluoride applications, fillings and any other non-cosmetic treatments to make sure our kids have healthy teeth.</w:t>
      </w:r>
    </w:p>
    <w:p w14:paraId="46308DEE" w14:textId="13AA6875" w:rsidR="001F0498" w:rsidRPr="002029AF" w:rsidRDefault="001F0498" w:rsidP="001F0498">
      <w:pPr>
        <w:pStyle w:val="ARbody"/>
      </w:pPr>
      <w:r w:rsidRPr="002029AF">
        <w:t>The program has been suspended temporarily as a</w:t>
      </w:r>
      <w:r w:rsidR="00D91BB0">
        <w:t> </w:t>
      </w:r>
      <w:r w:rsidRPr="002029AF">
        <w:t>result of the coronavirus (COVID-19) pandemic. However, it will continue to be progressively rolled out across the state once it is safe to do so.</w:t>
      </w:r>
    </w:p>
    <w:p w14:paraId="4FC1CEE8" w14:textId="27F50C2D" w:rsidR="001F0498" w:rsidRPr="002029AF" w:rsidRDefault="001F0498" w:rsidP="001F0498">
      <w:pPr>
        <w:pStyle w:val="ARbody"/>
      </w:pPr>
      <w:r w:rsidRPr="002029AF">
        <w:t>Before the pandemic struck, Smile Squad dental vans visited 24 schools in terms three and four of 2019 as part of a</w:t>
      </w:r>
      <w:r>
        <w:t xml:space="preserve"> trial</w:t>
      </w:r>
      <w:r w:rsidRPr="002029AF">
        <w:t>.</w:t>
      </w:r>
    </w:p>
    <w:p w14:paraId="592B8640" w14:textId="4C3566D1" w:rsidR="001F0498" w:rsidRPr="002029AF" w:rsidRDefault="001F0498" w:rsidP="001F0498">
      <w:pPr>
        <w:pStyle w:val="ARbody"/>
      </w:pPr>
      <w:r w:rsidRPr="002029AF">
        <w:t>A new schedule is being prepared so that vans can recommence visiting the more than 300 schools that have been invited to participate as soon as it is</w:t>
      </w:r>
      <w:r w:rsidR="00D91BB0">
        <w:t> </w:t>
      </w:r>
      <w:r w:rsidRPr="002029AF">
        <w:t>safe to do so.</w:t>
      </w:r>
    </w:p>
    <w:p w14:paraId="75CA3BA2" w14:textId="6603982A" w:rsidR="001F0498" w:rsidRPr="002029AF" w:rsidRDefault="001F0498" w:rsidP="001F0498">
      <w:pPr>
        <w:pStyle w:val="ARbody"/>
      </w:pPr>
      <w:r w:rsidRPr="002029AF">
        <w:t>Once they are fully operational, the Smile Squad</w:t>
      </w:r>
      <w:r w:rsidR="00D91BB0">
        <w:t> </w:t>
      </w:r>
      <w:r w:rsidRPr="002029AF">
        <w:t>vans will provide free check-ups and dental treatment for about 650,000 school kids every year. Around 500 dentists, oral health therapists and dental assistants will be employed to staff the vans.</w:t>
      </w:r>
    </w:p>
    <w:p w14:paraId="664D7CF0" w14:textId="77777777" w:rsidR="00603E4B" w:rsidRPr="002029AF" w:rsidRDefault="00603E4B" w:rsidP="00603E4B">
      <w:pPr>
        <w:pStyle w:val="Heading4"/>
      </w:pPr>
      <w:r w:rsidRPr="002029AF">
        <w:lastRenderedPageBreak/>
        <w:t>Outcome 1.2: Victorians have good mental health</w:t>
      </w:r>
    </w:p>
    <w:p w14:paraId="45BEDF46" w14:textId="77777777" w:rsidR="00603E4B" w:rsidRPr="002029AF" w:rsidRDefault="00603E4B" w:rsidP="00603E4B">
      <w:pPr>
        <w:pStyle w:val="ARbody"/>
      </w:pPr>
      <w:r w:rsidRPr="002029AF">
        <w:t>Almost half the Victorian population will directly experience a mental illness or disorder in their lifetime, and those who don’t will have friends, family and work colleagues who have been affected.</w:t>
      </w:r>
    </w:p>
    <w:p w14:paraId="46886356" w14:textId="77777777" w:rsidR="00603E4B" w:rsidRPr="002029AF" w:rsidRDefault="00603E4B" w:rsidP="00603E4B">
      <w:pPr>
        <w:pStyle w:val="ARbody"/>
      </w:pPr>
      <w:r w:rsidRPr="002029AF">
        <w:t>The department is leading action to reduce suicide rates, provide better access to services, promote positive mental health and wellbeing, and prevent mental illness.</w:t>
      </w:r>
    </w:p>
    <w:p w14:paraId="7957AB16" w14:textId="77777777" w:rsidR="00603E4B" w:rsidRPr="002029AF" w:rsidRDefault="00603E4B" w:rsidP="00603E4B">
      <w:pPr>
        <w:pStyle w:val="Heading5"/>
        <w:rPr>
          <w:sz w:val="24"/>
        </w:rPr>
      </w:pPr>
      <w:r w:rsidRPr="002029AF">
        <w:rPr>
          <w:sz w:val="24"/>
        </w:rPr>
        <w:t>Progress against outcomes</w:t>
      </w:r>
    </w:p>
    <w:p w14:paraId="58C6611C" w14:textId="77777777" w:rsidR="001F0498" w:rsidRPr="002029AF" w:rsidRDefault="001F0498" w:rsidP="001F0498">
      <w:pPr>
        <w:pStyle w:val="ARbody"/>
      </w:pPr>
      <w:r w:rsidRPr="002029AF">
        <w:t>A key priority for the department is to address Victoria’s mental health system by supporting and responding to the recommendations of the Royal Commission into Victoria’s Mental Health System.</w:t>
      </w:r>
    </w:p>
    <w:p w14:paraId="4D885AC5" w14:textId="77777777" w:rsidR="001F0498" w:rsidRPr="002029AF" w:rsidRDefault="001F0498" w:rsidP="001F0498">
      <w:pPr>
        <w:pStyle w:val="ARbody"/>
      </w:pPr>
      <w:r w:rsidRPr="002029AF">
        <w:t>We have been leading and coordinating whole-of</w:t>
      </w:r>
      <w:r>
        <w:t>-</w:t>
      </w:r>
      <w:r w:rsidRPr="002029AF">
        <w:t>Victorian Government engagement with the Royal Commission. The Royal Commission Engagement Branch has been established to carry out this function and act as the key interface between the Victorian Government and the Royal Commission.</w:t>
      </w:r>
    </w:p>
    <w:p w14:paraId="030F0B1E" w14:textId="77777777" w:rsidR="001F0498" w:rsidRPr="002029AF" w:rsidRDefault="001F0498" w:rsidP="001F0498">
      <w:pPr>
        <w:pStyle w:val="ARbody"/>
      </w:pPr>
      <w:r w:rsidRPr="002029AF">
        <w:t>Some of the department’s key achievements in 2019–20 are outlined below.</w:t>
      </w:r>
    </w:p>
    <w:p w14:paraId="40AAA67F" w14:textId="77777777" w:rsidR="00603E4B" w:rsidRPr="002029AF" w:rsidRDefault="00603E4B" w:rsidP="00603E4B">
      <w:pPr>
        <w:pStyle w:val="Heading6"/>
        <w:rPr>
          <w:szCs w:val="20"/>
          <w:lang w:val="en-AU"/>
        </w:rPr>
      </w:pPr>
      <w:r w:rsidRPr="002029AF">
        <w:rPr>
          <w:szCs w:val="20"/>
          <w:lang w:val="en-AU"/>
        </w:rPr>
        <w:t>Establishment of Mental Health Reform Victoria</w:t>
      </w:r>
    </w:p>
    <w:p w14:paraId="6A0AEC17" w14:textId="77777777" w:rsidR="001F0498" w:rsidRPr="002029AF" w:rsidRDefault="001F0498" w:rsidP="001F0498">
      <w:pPr>
        <w:pStyle w:val="ARbody"/>
      </w:pPr>
      <w:r w:rsidRPr="002029AF">
        <w:t>The Royal Commission will deliver its final report in February 2021. The government’s response will be a once in a generation opportunity to fundamentally redesign and build a quality mental health system that supports Victorians and their families.</w:t>
      </w:r>
    </w:p>
    <w:p w14:paraId="4010111C" w14:textId="77777777" w:rsidR="001F0498" w:rsidRPr="002029AF" w:rsidRDefault="001F0498" w:rsidP="001F0498">
      <w:pPr>
        <w:pStyle w:val="ARbody"/>
      </w:pPr>
      <w:r w:rsidRPr="002029AF">
        <w:t>The Royal Commission handed down its interim report on 28 November 2019 to address immediate need and to prepare for broader transformational change to the system over the medium to long term.</w:t>
      </w:r>
    </w:p>
    <w:p w14:paraId="436D4872" w14:textId="77777777" w:rsidR="001F0498" w:rsidRPr="002029AF" w:rsidRDefault="001F0498" w:rsidP="001F0498">
      <w:pPr>
        <w:pStyle w:val="ARbody"/>
      </w:pPr>
      <w:r w:rsidRPr="002029AF">
        <w:t>Work on the interim recommendations has started already with a $4.9 million allocation to meet the timeframes specified by the Royal Commission.</w:t>
      </w:r>
    </w:p>
    <w:p w14:paraId="52811F1F" w14:textId="77777777" w:rsidR="001F0498" w:rsidRPr="002029AF" w:rsidRDefault="001F0498" w:rsidP="001F0498">
      <w:pPr>
        <w:pStyle w:val="ARbody"/>
      </w:pPr>
      <w:r w:rsidRPr="002029AF">
        <w:t>This has included establishing Mental Health Reform Victoria, which was formed in mid-February 2020.</w:t>
      </w:r>
    </w:p>
    <w:p w14:paraId="3E93BCB5" w14:textId="3FC07A8F" w:rsidR="001F0498" w:rsidRPr="002029AF" w:rsidRDefault="001F0498" w:rsidP="001F0498">
      <w:pPr>
        <w:pStyle w:val="ARbody"/>
      </w:pPr>
      <w:r w:rsidRPr="002029AF">
        <w:t>Mental Health Reform Victoria will operate for two</w:t>
      </w:r>
      <w:r w:rsidR="00D91BB0">
        <w:t> </w:t>
      </w:r>
      <w:r w:rsidRPr="002029AF">
        <w:t>years to implement the Royal Commission</w:t>
      </w:r>
      <w:r w:rsidR="005F298C">
        <w:t>’</w:t>
      </w:r>
      <w:r w:rsidRPr="002029AF">
        <w:t>s recommendations.</w:t>
      </w:r>
    </w:p>
    <w:p w14:paraId="1B21F9E6" w14:textId="77777777" w:rsidR="00603E4B" w:rsidRPr="002029AF" w:rsidRDefault="00603E4B" w:rsidP="00603E4B">
      <w:pPr>
        <w:pStyle w:val="Heading6"/>
        <w:rPr>
          <w:szCs w:val="20"/>
          <w:lang w:val="en-AU"/>
        </w:rPr>
      </w:pPr>
      <w:r w:rsidRPr="002029AF">
        <w:rPr>
          <w:szCs w:val="20"/>
          <w:lang w:val="en-AU"/>
        </w:rPr>
        <w:t>Additional funding for the Mental Health Complaints Commissioner</w:t>
      </w:r>
    </w:p>
    <w:p w14:paraId="017CA55B" w14:textId="77777777" w:rsidR="00603E4B" w:rsidRPr="002029AF" w:rsidRDefault="00603E4B" w:rsidP="00603E4B">
      <w:pPr>
        <w:pStyle w:val="ARbody"/>
      </w:pPr>
      <w:r w:rsidRPr="002029AF">
        <w:t>Additional funding means the Mental Health Complaints Commissioner can continue safeguarding rights, resolving complaints about Victorian public mental health services and recommending service and system improvements.</w:t>
      </w:r>
    </w:p>
    <w:p w14:paraId="25E03B66" w14:textId="0507AF8E" w:rsidR="00603E4B" w:rsidRPr="002029AF" w:rsidRDefault="00603E4B" w:rsidP="00603E4B">
      <w:pPr>
        <w:pStyle w:val="Heading6"/>
        <w:rPr>
          <w:lang w:val="en-AU"/>
        </w:rPr>
      </w:pPr>
      <w:r w:rsidRPr="002029AF">
        <w:rPr>
          <w:lang w:val="en-AU"/>
        </w:rPr>
        <w:t>Surge funding for mental health services during</w:t>
      </w:r>
      <w:r w:rsidR="005E1789">
        <w:rPr>
          <w:lang w:val="en-AU"/>
        </w:rPr>
        <w:t> </w:t>
      </w:r>
      <w:r w:rsidRPr="002029AF">
        <w:rPr>
          <w:lang w:val="en-AU"/>
        </w:rPr>
        <w:t>coronavirus (COVID-19) pandemic</w:t>
      </w:r>
    </w:p>
    <w:p w14:paraId="16CA6016" w14:textId="450B139E" w:rsidR="001F0498" w:rsidRPr="002029AF" w:rsidRDefault="001F0498" w:rsidP="001F0498">
      <w:pPr>
        <w:pStyle w:val="ARbody"/>
        <w:rPr>
          <w:color w:val="000000"/>
          <w:szCs w:val="20"/>
        </w:rPr>
      </w:pPr>
      <w:r w:rsidRPr="002029AF">
        <w:rPr>
          <w:color w:val="000000"/>
        </w:rPr>
        <w:t>On 12 April 2020, the Victorian Government announced a $59.4 million funding boost to support</w:t>
      </w:r>
      <w:r w:rsidR="00D91BB0">
        <w:rPr>
          <w:color w:val="000000"/>
        </w:rPr>
        <w:t> </w:t>
      </w:r>
      <w:r w:rsidRPr="002029AF">
        <w:rPr>
          <w:color w:val="000000"/>
        </w:rPr>
        <w:t xml:space="preserve">Victoria’s mental health system and ensure Victorians get the care they need to tackle stress, isolation and uncertainty as demand for services spikes during the coronavirus (COVID-19) </w:t>
      </w:r>
      <w:r w:rsidRPr="002029AF">
        <w:rPr>
          <w:color w:val="000000"/>
          <w:szCs w:val="20"/>
        </w:rPr>
        <w:t>pandemic.</w:t>
      </w:r>
    </w:p>
    <w:p w14:paraId="6CD4E9F5" w14:textId="77777777" w:rsidR="001F0498" w:rsidRPr="002029AF" w:rsidRDefault="001F0498" w:rsidP="001F0498">
      <w:pPr>
        <w:pStyle w:val="ARbody"/>
        <w:rPr>
          <w:color w:val="000000"/>
        </w:rPr>
      </w:pPr>
      <w:r w:rsidRPr="002029AF">
        <w:rPr>
          <w:color w:val="000000"/>
        </w:rPr>
        <w:t>The funding allows for the first phase of the rollout of 170 extra youth and adult acute mental health beds – a key recommendation of the Royal Commission into Victoria’s Mental Health System.</w:t>
      </w:r>
    </w:p>
    <w:p w14:paraId="3F203E29" w14:textId="3D26383F" w:rsidR="001F0498" w:rsidRPr="002029AF" w:rsidRDefault="001F0498" w:rsidP="001F0498">
      <w:pPr>
        <w:pStyle w:val="ARbody"/>
        <w:rPr>
          <w:color w:val="000000"/>
        </w:rPr>
      </w:pPr>
      <w:r w:rsidRPr="002029AF">
        <w:rPr>
          <w:color w:val="000000"/>
        </w:rPr>
        <w:t>Nearly $7 million will help mental health services deliver supports for people with severe mental illness via phone and video, to prevent relapse and</w:t>
      </w:r>
      <w:r w:rsidR="00496673">
        <w:rPr>
          <w:color w:val="000000"/>
        </w:rPr>
        <w:t> </w:t>
      </w:r>
      <w:r w:rsidRPr="002029AF">
        <w:rPr>
          <w:color w:val="000000"/>
        </w:rPr>
        <w:t>emergency department presentations.</w:t>
      </w:r>
    </w:p>
    <w:p w14:paraId="52FD82EF" w14:textId="77777777" w:rsidR="001F0498" w:rsidRPr="002029AF" w:rsidRDefault="001F0498" w:rsidP="001F0498">
      <w:pPr>
        <w:pStyle w:val="ARbody"/>
        <w:rPr>
          <w:color w:val="000000"/>
        </w:rPr>
      </w:pPr>
      <w:r w:rsidRPr="002029AF">
        <w:rPr>
          <w:color w:val="000000"/>
        </w:rPr>
        <w:t>Online and phone counselling services through BeyondBlue, Lifeline</w:t>
      </w:r>
      <w:r>
        <w:rPr>
          <w:color w:val="000000"/>
        </w:rPr>
        <w:t>,</w:t>
      </w:r>
      <w:r w:rsidRPr="002029AF">
        <w:rPr>
          <w:color w:val="000000"/>
        </w:rPr>
        <w:t xml:space="preserve"> Kids Helpline and Suicide Line Victoria have been expanded.</w:t>
      </w:r>
    </w:p>
    <w:p w14:paraId="6294F512" w14:textId="4207FD38" w:rsidR="001F0498" w:rsidRPr="002029AF" w:rsidRDefault="001F0498" w:rsidP="001F0498">
      <w:pPr>
        <w:pStyle w:val="ARbody"/>
        <w:rPr>
          <w:color w:val="000000"/>
        </w:rPr>
      </w:pPr>
      <w:r w:rsidRPr="002029AF">
        <w:rPr>
          <w:color w:val="000000"/>
        </w:rPr>
        <w:t>Orygen Youth Health’s new eOrygen platform has</w:t>
      </w:r>
      <w:r w:rsidR="00496673">
        <w:rPr>
          <w:color w:val="000000"/>
        </w:rPr>
        <w:t> </w:t>
      </w:r>
      <w:r w:rsidRPr="002029AF">
        <w:rPr>
          <w:color w:val="000000"/>
        </w:rPr>
        <w:t>been fast tracked so young people now have online therapy and peer support.</w:t>
      </w:r>
    </w:p>
    <w:p w14:paraId="078AA31C" w14:textId="77777777" w:rsidR="001F0498" w:rsidRPr="002029AF" w:rsidRDefault="001F0498" w:rsidP="001F0498">
      <w:pPr>
        <w:pStyle w:val="ARbody"/>
        <w:rPr>
          <w:color w:val="000000"/>
        </w:rPr>
      </w:pPr>
      <w:r w:rsidRPr="002029AF">
        <w:rPr>
          <w:color w:val="000000"/>
        </w:rPr>
        <w:t>The statewide coronavirus phone line has been expanded to proactively reach out to people known to be isolated or vulnerable – including senior Victorians. They will be provided with emotional and practical support and referred to appropriate services to keep them connected.</w:t>
      </w:r>
    </w:p>
    <w:p w14:paraId="6CA02E67" w14:textId="77777777" w:rsidR="001F0498" w:rsidRPr="002029AF" w:rsidRDefault="001F0498" w:rsidP="001F0498">
      <w:pPr>
        <w:pStyle w:val="ARbody"/>
      </w:pPr>
      <w:r w:rsidRPr="002029AF">
        <w:t>The package also includes funding for a range of specific initiatives to help veterans, seniors, new mums, Aboriginal Victorians, multicultural and faith groups, and the LGBTIQ community, as well as vulnerable cohorts, including people with eating disorders and victims of family violence.</w:t>
      </w:r>
    </w:p>
    <w:p w14:paraId="578F7199" w14:textId="58211F53" w:rsidR="00603E4B" w:rsidRPr="002029AF" w:rsidRDefault="001F0498" w:rsidP="001F0498">
      <w:pPr>
        <w:pStyle w:val="ARbody"/>
      </w:pPr>
      <w:r w:rsidRPr="002029AF">
        <w:t>These initiatives provide additional support to all Victorians during a difficult time, especially people who have a mental illness and have been unable to physically visit a mental health care facility.</w:t>
      </w:r>
    </w:p>
    <w:p w14:paraId="3505F098" w14:textId="633434AF" w:rsidR="00603E4B" w:rsidRPr="002029AF" w:rsidRDefault="00603E4B" w:rsidP="00603E4B">
      <w:pPr>
        <w:pStyle w:val="Heading6"/>
        <w:rPr>
          <w:lang w:val="en-AU"/>
        </w:rPr>
      </w:pPr>
      <w:r w:rsidRPr="002029AF">
        <w:rPr>
          <w:lang w:val="en-AU"/>
        </w:rPr>
        <w:lastRenderedPageBreak/>
        <w:t>Support for mental health and wellbeing after</w:t>
      </w:r>
      <w:r w:rsidR="005E1789">
        <w:rPr>
          <w:lang w:val="en-AU"/>
        </w:rPr>
        <w:t> </w:t>
      </w:r>
      <w:r w:rsidRPr="002029AF">
        <w:rPr>
          <w:lang w:val="en-AU"/>
        </w:rPr>
        <w:t>bushfires</w:t>
      </w:r>
    </w:p>
    <w:p w14:paraId="3FEBD448" w14:textId="46FE8EF6" w:rsidR="00603E4B" w:rsidRPr="002029AF" w:rsidRDefault="00603E4B" w:rsidP="00603E4B">
      <w:pPr>
        <w:pStyle w:val="ARbodynospace"/>
        <w:spacing w:after="120"/>
        <w:rPr>
          <w:szCs w:val="20"/>
        </w:rPr>
      </w:pPr>
      <w:r w:rsidRPr="002029AF">
        <w:t>In March 2020, the Victorian Government invested</w:t>
      </w:r>
      <w:r w:rsidR="00496673">
        <w:t> </w:t>
      </w:r>
      <w:r w:rsidRPr="002029AF">
        <w:t xml:space="preserve">$23.4 million in mental health support for people struggling with their mental health after the 2019–20 </w:t>
      </w:r>
      <w:r w:rsidR="00907AD7">
        <w:rPr>
          <w:szCs w:val="20"/>
        </w:rPr>
        <w:t>e</w:t>
      </w:r>
      <w:r w:rsidRPr="002029AF">
        <w:rPr>
          <w:szCs w:val="20"/>
        </w:rPr>
        <w:t>astern Victorian bushfires. The package included:</w:t>
      </w:r>
    </w:p>
    <w:p w14:paraId="553B988F" w14:textId="77777777" w:rsidR="00603E4B" w:rsidRPr="002029AF" w:rsidRDefault="00603E4B" w:rsidP="00FF3CAB">
      <w:pPr>
        <w:pStyle w:val="ARbullet1"/>
        <w:numPr>
          <w:ilvl w:val="0"/>
          <w:numId w:val="51"/>
        </w:numPr>
      </w:pPr>
      <w:r w:rsidRPr="002029AF">
        <w:t>$8.75 million to expand mental health services, provide specialist early intervention mental health advice to GPs and community health clinicians, and provide post-disaster treatment and advisory services through leading research centres</w:t>
      </w:r>
    </w:p>
    <w:p w14:paraId="4D4ABA69" w14:textId="77777777" w:rsidR="001F0498" w:rsidRPr="002029AF" w:rsidRDefault="001F0498" w:rsidP="00FF3CAB">
      <w:pPr>
        <w:pStyle w:val="ARbullet1"/>
        <w:numPr>
          <w:ilvl w:val="0"/>
          <w:numId w:val="51"/>
        </w:numPr>
      </w:pPr>
      <w:r w:rsidRPr="002029AF">
        <w:t>$6.6 million for practical mental health support programs such as:</w:t>
      </w:r>
    </w:p>
    <w:p w14:paraId="46DE31A6" w14:textId="7CC4D6E9" w:rsidR="001F0498" w:rsidRPr="002029AF" w:rsidRDefault="001F0498" w:rsidP="00FF3CAB">
      <w:pPr>
        <w:pStyle w:val="ARbullet2"/>
        <w:numPr>
          <w:ilvl w:val="1"/>
          <w:numId w:val="51"/>
        </w:numPr>
      </w:pPr>
      <w:r>
        <w:t>t</w:t>
      </w:r>
      <w:r w:rsidRPr="002029AF">
        <w:t>raining</w:t>
      </w:r>
      <w:r>
        <w:t xml:space="preserve"> for </w:t>
      </w:r>
      <w:r w:rsidRPr="002029AF">
        <w:t xml:space="preserve">local groups </w:t>
      </w:r>
      <w:r>
        <w:t>such as</w:t>
      </w:r>
      <w:r w:rsidRPr="002029AF">
        <w:t xml:space="preserve"> football clubs to recognise when teammates are developing mental illness</w:t>
      </w:r>
    </w:p>
    <w:p w14:paraId="55238F89" w14:textId="264D2F69" w:rsidR="001F0498" w:rsidRPr="002029AF" w:rsidRDefault="001F0498" w:rsidP="00FF3CAB">
      <w:pPr>
        <w:pStyle w:val="ARbullet2"/>
        <w:numPr>
          <w:ilvl w:val="1"/>
          <w:numId w:val="51"/>
        </w:numPr>
      </w:pPr>
      <w:r w:rsidRPr="002029AF">
        <w:t>advice and training to parents to support their</w:t>
      </w:r>
      <w:r w:rsidR="00496673">
        <w:t> </w:t>
      </w:r>
      <w:r w:rsidRPr="002029AF">
        <w:t>children through the long-term process of recovery</w:t>
      </w:r>
    </w:p>
    <w:p w14:paraId="504659A1" w14:textId="77777777" w:rsidR="001F0498" w:rsidRPr="002029AF" w:rsidRDefault="001F0498" w:rsidP="00FF3CAB">
      <w:pPr>
        <w:pStyle w:val="ARbullet2"/>
        <w:numPr>
          <w:ilvl w:val="1"/>
          <w:numId w:val="51"/>
        </w:numPr>
      </w:pPr>
      <w:r w:rsidRPr="002029AF">
        <w:t>peer outreach programs for farmers, foresters and small business owners</w:t>
      </w:r>
    </w:p>
    <w:p w14:paraId="35E94DAE" w14:textId="77777777" w:rsidR="001F0498" w:rsidRPr="002029AF" w:rsidRDefault="001F0498" w:rsidP="00FF3CAB">
      <w:pPr>
        <w:pStyle w:val="ARbullet2"/>
        <w:numPr>
          <w:ilvl w:val="1"/>
          <w:numId w:val="51"/>
        </w:numPr>
      </w:pPr>
      <w:r w:rsidRPr="002029AF">
        <w:t>health and wellbeing meetups</w:t>
      </w:r>
      <w:r>
        <w:t>,</w:t>
      </w:r>
      <w:r w:rsidRPr="002029AF">
        <w:t xml:space="preserve"> such as local exercise groups, social events, and camps for young people.</w:t>
      </w:r>
    </w:p>
    <w:p w14:paraId="5255DE08" w14:textId="77777777" w:rsidR="001F0498" w:rsidRPr="002029AF" w:rsidRDefault="001F0498" w:rsidP="00FF3CAB">
      <w:pPr>
        <w:pStyle w:val="ARbullet1"/>
        <w:numPr>
          <w:ilvl w:val="0"/>
          <w:numId w:val="51"/>
        </w:numPr>
      </w:pPr>
      <w:r w:rsidRPr="002029AF">
        <w:t xml:space="preserve">$3 million for Aboriginal </w:t>
      </w:r>
      <w:r>
        <w:t>c</w:t>
      </w:r>
      <w:r w:rsidRPr="002029AF">
        <w:t>ommunity</w:t>
      </w:r>
      <w:r>
        <w:t>-c</w:t>
      </w:r>
      <w:r w:rsidRPr="002029AF">
        <w:t xml:space="preserve">ontrolled </w:t>
      </w:r>
      <w:r>
        <w:t>h</w:t>
      </w:r>
      <w:r w:rsidRPr="002029AF">
        <w:t xml:space="preserve">ealth </w:t>
      </w:r>
      <w:r>
        <w:t>o</w:t>
      </w:r>
      <w:r w:rsidRPr="002029AF">
        <w:t>rganisations to establish social and emotional wellbeing programs, aligned with the recommendation from the Royal Commission into Victoria’s Mental Health System.</w:t>
      </w:r>
    </w:p>
    <w:p w14:paraId="308F802A" w14:textId="60FB2212" w:rsidR="00603E4B" w:rsidRPr="002029AF" w:rsidRDefault="001F0498" w:rsidP="00603E4B">
      <w:pPr>
        <w:pStyle w:val="ARbodyafterbullets"/>
      </w:pPr>
      <w:r w:rsidRPr="002029AF">
        <w:t>The investment was on top of the $14.4 million Victorian Bushfires Case Support Program, which provided support coordinators to work with local residents to provide practical support and link them with information and advice, mental health services and financial counselling</w:t>
      </w:r>
      <w:r>
        <w:t>, a</w:t>
      </w:r>
      <w:r w:rsidRPr="002029AF">
        <w:t>s well as a $150,000 funding boost for Neighbourhood Houses in fire-affected communities.</w:t>
      </w:r>
    </w:p>
    <w:p w14:paraId="0C34A972" w14:textId="77777777" w:rsidR="00603E4B" w:rsidRPr="002029AF" w:rsidRDefault="00603E4B" w:rsidP="00603E4B">
      <w:pPr>
        <w:pStyle w:val="Heading5"/>
        <w:rPr>
          <w:rFonts w:eastAsia="Calibri"/>
        </w:rPr>
      </w:pPr>
      <w:r w:rsidRPr="002029AF">
        <w:rPr>
          <w:rFonts w:eastAsia="Calibri"/>
        </w:rPr>
        <w:t>Key result 8: Reduce the suicide rate</w:t>
      </w:r>
    </w:p>
    <w:p w14:paraId="5B553A40" w14:textId="15B9C98A" w:rsidR="00603E4B" w:rsidRPr="002029AF" w:rsidRDefault="00603E4B" w:rsidP="00603E4B">
      <w:pPr>
        <w:pStyle w:val="ARbody"/>
        <w:rPr>
          <w:color w:val="000000"/>
        </w:rPr>
      </w:pPr>
      <w:r w:rsidRPr="002029AF">
        <w:rPr>
          <w:color w:val="000000"/>
        </w:rPr>
        <w:t xml:space="preserve">The department continues to deliver the </w:t>
      </w:r>
      <w:r w:rsidRPr="002029AF">
        <w:rPr>
          <w:i/>
          <w:iCs/>
          <w:color w:val="000000"/>
        </w:rPr>
        <w:t>Victorian suicide prevention framework 2016</w:t>
      </w:r>
      <w:r w:rsidR="000F13EA" w:rsidRPr="002029AF">
        <w:rPr>
          <w:i/>
          <w:iCs/>
          <w:color w:val="000000"/>
        </w:rPr>
        <w:t>–</w:t>
      </w:r>
      <w:r w:rsidRPr="002029AF">
        <w:rPr>
          <w:i/>
          <w:iCs/>
          <w:color w:val="000000"/>
        </w:rPr>
        <w:t>2025</w:t>
      </w:r>
      <w:r w:rsidRPr="002029AF">
        <w:rPr>
          <w:color w:val="000000"/>
        </w:rPr>
        <w:t>, which commits to halving the suicide rate over the next ten years.</w:t>
      </w:r>
    </w:p>
    <w:p w14:paraId="6FA8A029" w14:textId="77777777" w:rsidR="00603E4B" w:rsidRPr="002029AF" w:rsidRDefault="00603E4B" w:rsidP="00603E4B">
      <w:pPr>
        <w:pStyle w:val="ARbody"/>
        <w:rPr>
          <w:color w:val="000000"/>
        </w:rPr>
      </w:pPr>
      <w:r w:rsidRPr="002029AF">
        <w:rPr>
          <w:color w:val="000000"/>
        </w:rPr>
        <w:t>Under the framework, the Victorian Government is trialling two flagship suicide prevention initiatives.</w:t>
      </w:r>
    </w:p>
    <w:p w14:paraId="331528DA" w14:textId="77777777" w:rsidR="00603E4B" w:rsidRPr="002029AF" w:rsidRDefault="00603E4B" w:rsidP="00603E4B">
      <w:pPr>
        <w:pStyle w:val="Heading6"/>
        <w:rPr>
          <w:lang w:val="en-AU"/>
        </w:rPr>
      </w:pPr>
      <w:r w:rsidRPr="002029AF">
        <w:rPr>
          <w:lang w:val="en-AU"/>
        </w:rPr>
        <w:t>Suicide prevention place-based trials</w:t>
      </w:r>
    </w:p>
    <w:p w14:paraId="4DCCF2A9" w14:textId="77777777" w:rsidR="00603E4B" w:rsidRPr="002029AF" w:rsidRDefault="00603E4B" w:rsidP="00603E4B">
      <w:pPr>
        <w:pStyle w:val="ARbody"/>
      </w:pPr>
      <w:r w:rsidRPr="002029AF">
        <w:t xml:space="preserve">The Victorian Government continues to partner with Primary Health Networks to help local communities </w:t>
      </w:r>
      <w:r w:rsidRPr="002029AF">
        <w:t>develop and implement coordinated place-based approaches to suicide prevention.</w:t>
      </w:r>
    </w:p>
    <w:p w14:paraId="4A861177" w14:textId="77777777" w:rsidR="00603E4B" w:rsidRPr="002029AF" w:rsidRDefault="00603E4B" w:rsidP="00603E4B">
      <w:pPr>
        <w:pStyle w:val="ARbody"/>
      </w:pPr>
      <w:r w:rsidRPr="002029AF">
        <w:t>Guided by a common agenda, operating model, communications, and evaluation frameworks, these trials are harnessing local skills, expertise and resources to implement tailored, evidence-based initiatives in local communities.</w:t>
      </w:r>
    </w:p>
    <w:p w14:paraId="1458D46E" w14:textId="1962CBC2" w:rsidR="00603E4B" w:rsidRPr="002029AF" w:rsidRDefault="00603E4B" w:rsidP="00603E4B">
      <w:pPr>
        <w:pStyle w:val="ARbody"/>
      </w:pPr>
      <w:r w:rsidRPr="002029AF">
        <w:t>At each site, organisations, services and community work together and with the local Primary</w:t>
      </w:r>
      <w:r w:rsidR="00496673">
        <w:t> </w:t>
      </w:r>
      <w:r w:rsidRPr="002029AF">
        <w:t>Health Network to develop a plan to reduce</w:t>
      </w:r>
      <w:r w:rsidR="00496673">
        <w:t> </w:t>
      </w:r>
      <w:r w:rsidRPr="002029AF">
        <w:t>suicides and deliver effective suicide prevention at a local level. Engagement with Aboriginal communities and exploring specific issues for Aboriginal people is an important component of</w:t>
      </w:r>
      <w:r w:rsidR="00496673">
        <w:t> </w:t>
      </w:r>
      <w:r w:rsidRPr="002029AF">
        <w:t>these trials.</w:t>
      </w:r>
    </w:p>
    <w:p w14:paraId="2EDA3D67" w14:textId="77777777" w:rsidR="00603E4B" w:rsidRPr="002029AF" w:rsidRDefault="00603E4B" w:rsidP="00603E4B">
      <w:pPr>
        <w:pStyle w:val="ARbody"/>
      </w:pPr>
      <w:r w:rsidRPr="002029AF">
        <w:t>Some key achievements in this program include:</w:t>
      </w:r>
    </w:p>
    <w:p w14:paraId="0572702A" w14:textId="761ACB19" w:rsidR="00603E4B" w:rsidRPr="002029AF" w:rsidRDefault="00603E4B" w:rsidP="00FF3CAB">
      <w:pPr>
        <w:pStyle w:val="ARbullet1"/>
        <w:numPr>
          <w:ilvl w:val="0"/>
          <w:numId w:val="51"/>
        </w:numPr>
      </w:pPr>
      <w:r w:rsidRPr="002029AF">
        <w:rPr>
          <w:szCs w:val="20"/>
        </w:rPr>
        <w:t xml:space="preserve">the Dandenong trial, which is on track to be completed by June 2021. It is trialling Lifespan strategies. According to the Black Dog Institute, a Lifespan strategy is a </w:t>
      </w:r>
      <w:r w:rsidRPr="002029AF">
        <w:t>comprehensive systems approach to suicide prevention comprising nine evidence-informed strategies</w:t>
      </w:r>
    </w:p>
    <w:p w14:paraId="1245A346" w14:textId="025C7BAD" w:rsidR="00603E4B" w:rsidRPr="002029AF" w:rsidRDefault="00603E4B" w:rsidP="00FF3CAB">
      <w:pPr>
        <w:pStyle w:val="ARbullet1"/>
        <w:numPr>
          <w:ilvl w:val="0"/>
          <w:numId w:val="51"/>
        </w:numPr>
        <w:rPr>
          <w:szCs w:val="20"/>
        </w:rPr>
      </w:pPr>
      <w:r w:rsidRPr="002029AF">
        <w:rPr>
          <w:szCs w:val="20"/>
        </w:rPr>
        <w:t>the service system improvement for youth mental health promotion, with the Loddon kit project van and application designs being completed and operational. The project was launched across six local government areas over October and November 2019. Bookings for</w:t>
      </w:r>
      <w:r w:rsidR="00496673">
        <w:rPr>
          <w:szCs w:val="20"/>
        </w:rPr>
        <w:t> </w:t>
      </w:r>
      <w:r w:rsidRPr="002029AF">
        <w:rPr>
          <w:szCs w:val="20"/>
        </w:rPr>
        <w:t>the kit van opened in late 2019.</w:t>
      </w:r>
    </w:p>
    <w:p w14:paraId="6C14A1A4" w14:textId="197DFE24" w:rsidR="001F0498" w:rsidRPr="002029AF" w:rsidRDefault="001F0498" w:rsidP="001F0498">
      <w:pPr>
        <w:pStyle w:val="ARbodyafterbullets"/>
      </w:pPr>
      <w:r w:rsidRPr="002029AF">
        <w:t>The overall impact of the initiative will be to provide comprehensive and locally responsive initiatives to</w:t>
      </w:r>
      <w:r w:rsidR="00496673">
        <w:t> </w:t>
      </w:r>
      <w:r w:rsidRPr="002029AF">
        <w:t>support people at risk of suicide, families and communities</w:t>
      </w:r>
      <w:r>
        <w:t xml:space="preserve"> in order</w:t>
      </w:r>
      <w:r w:rsidRPr="002029AF">
        <w:t xml:space="preserve"> to prevent and respond to suicide clusters.</w:t>
      </w:r>
    </w:p>
    <w:p w14:paraId="42BA4136" w14:textId="77777777" w:rsidR="00603E4B" w:rsidRPr="002029AF" w:rsidRDefault="00603E4B" w:rsidP="00603E4B">
      <w:pPr>
        <w:pStyle w:val="Heading6"/>
        <w:rPr>
          <w:lang w:val="en-AU"/>
        </w:rPr>
      </w:pPr>
      <w:r w:rsidRPr="002029AF">
        <w:rPr>
          <w:lang w:val="en-AU"/>
        </w:rPr>
        <w:t>HOPE</w:t>
      </w:r>
    </w:p>
    <w:p w14:paraId="7E64963F" w14:textId="0616304D" w:rsidR="00603E4B" w:rsidRPr="002029AF" w:rsidRDefault="00603E4B" w:rsidP="00603E4B">
      <w:pPr>
        <w:pStyle w:val="ARbody"/>
        <w:rPr>
          <w:color w:val="000000"/>
        </w:rPr>
      </w:pPr>
      <w:r w:rsidRPr="002029AF">
        <w:rPr>
          <w:color w:val="000000"/>
        </w:rPr>
        <w:t>The statewide rollout of the Hospital Outreach Post-Suicidal Engagement (HOPE) program, another key recommendation of the Royal Commission, continues in Shepparton, Epping and Bairnsdale.</w:t>
      </w:r>
    </w:p>
    <w:p w14:paraId="73E4E2B9" w14:textId="19FF7F92" w:rsidR="00603E4B" w:rsidRPr="002029AF" w:rsidRDefault="00603E4B" w:rsidP="00603E4B">
      <w:pPr>
        <w:pStyle w:val="ARbody"/>
        <w:rPr>
          <w:color w:val="000000"/>
        </w:rPr>
      </w:pPr>
      <w:r w:rsidRPr="002029AF">
        <w:rPr>
          <w:color w:val="000000"/>
        </w:rPr>
        <w:t>The HOPE initiative focuses on providing improved care following a suicide attempt. In collaboration with health services at 12 sites across Victoria, HOPE offers enhanced support and assertive outreach for people leaving an emergency department or medical ward following treatment for</w:t>
      </w:r>
      <w:r w:rsidR="000F13EA" w:rsidRPr="002029AF">
        <w:rPr>
          <w:color w:val="000000"/>
        </w:rPr>
        <w:t> </w:t>
      </w:r>
      <w:r w:rsidRPr="002029AF">
        <w:rPr>
          <w:color w:val="000000"/>
        </w:rPr>
        <w:t>an attempted suicide.</w:t>
      </w:r>
    </w:p>
    <w:p w14:paraId="2EDACC84" w14:textId="77777777" w:rsidR="00603E4B" w:rsidRPr="002029AF" w:rsidRDefault="00603E4B" w:rsidP="00603E4B">
      <w:pPr>
        <w:pStyle w:val="ARbody"/>
        <w:rPr>
          <w:color w:val="000000"/>
        </w:rPr>
      </w:pPr>
      <w:r w:rsidRPr="002029AF">
        <w:rPr>
          <w:color w:val="000000"/>
        </w:rPr>
        <w:t>It provides intensive, person-centred support which is tailored to the unique needs and circumstances of the individual.</w:t>
      </w:r>
    </w:p>
    <w:p w14:paraId="1AE4C0CB" w14:textId="77777777" w:rsidR="00603E4B" w:rsidRPr="002029AF" w:rsidRDefault="00603E4B" w:rsidP="0027759D">
      <w:pPr>
        <w:pStyle w:val="ARbody"/>
        <w:spacing w:after="100"/>
        <w:rPr>
          <w:color w:val="000000"/>
        </w:rPr>
      </w:pPr>
      <w:r w:rsidRPr="002029AF">
        <w:rPr>
          <w:color w:val="000000"/>
        </w:rPr>
        <w:lastRenderedPageBreak/>
        <w:t>Those eligible for the service will be contacted within 24 hours of hospital discharge, with support to continue for up to three months.</w:t>
      </w:r>
    </w:p>
    <w:p w14:paraId="54C4E13E" w14:textId="77777777" w:rsidR="00603E4B" w:rsidRPr="002029AF" w:rsidRDefault="00603E4B" w:rsidP="0027759D">
      <w:pPr>
        <w:pStyle w:val="ARbody"/>
        <w:spacing w:after="100"/>
        <w:rPr>
          <w:color w:val="000000"/>
        </w:rPr>
      </w:pPr>
      <w:r w:rsidRPr="002029AF">
        <w:rPr>
          <w:color w:val="000000"/>
        </w:rPr>
        <w:t>More than 800 people have already been assessed and supported through the program, which is currently in operation at Peninsula Health (Frankston Hospital), Alfred Health, St Vincent’s Hospital, Barwon Health (Geelong Hospital), Eastern Health (Maroondah Hospital) and Albury Wodonga Health (Wangaratta Hospital).</w:t>
      </w:r>
    </w:p>
    <w:p w14:paraId="2001FBE4" w14:textId="53BCE81C" w:rsidR="00603E4B" w:rsidRPr="002029AF" w:rsidRDefault="00603E4B" w:rsidP="00603E4B">
      <w:pPr>
        <w:pStyle w:val="Heading5"/>
        <w:rPr>
          <w:rFonts w:eastAsia="Calibri"/>
        </w:rPr>
      </w:pPr>
      <w:r w:rsidRPr="002029AF">
        <w:rPr>
          <w:rFonts w:eastAsia="Calibri"/>
        </w:rPr>
        <w:t xml:space="preserve">Key result 9: Improve rates of </w:t>
      </w:r>
      <w:r w:rsidR="00496673">
        <w:rPr>
          <w:rFonts w:eastAsia="Calibri"/>
        </w:rPr>
        <w:br/>
      </w:r>
      <w:r w:rsidRPr="002029AF">
        <w:rPr>
          <w:rFonts w:eastAsia="Calibri"/>
        </w:rPr>
        <w:t>self-reported health and wellbeing</w:t>
      </w:r>
    </w:p>
    <w:p w14:paraId="072910AE" w14:textId="4A8EDB7F" w:rsidR="00603E4B" w:rsidRPr="002029AF" w:rsidRDefault="00603E4B" w:rsidP="0027759D">
      <w:pPr>
        <w:pStyle w:val="ARbody"/>
        <w:spacing w:after="100"/>
      </w:pPr>
      <w:r w:rsidRPr="002029AF">
        <w:t>Self-reported health is an internationally recognised</w:t>
      </w:r>
      <w:r w:rsidR="00496673">
        <w:t> </w:t>
      </w:r>
      <w:r w:rsidRPr="002029AF">
        <w:t>indicator of objective health status.</w:t>
      </w:r>
    </w:p>
    <w:p w14:paraId="4D719530" w14:textId="77777777" w:rsidR="00603E4B" w:rsidRPr="002029AF" w:rsidRDefault="00603E4B" w:rsidP="0027759D">
      <w:pPr>
        <w:pStyle w:val="ARbody"/>
        <w:spacing w:after="100"/>
      </w:pPr>
      <w:r w:rsidRPr="002029AF">
        <w:t>Improving self-reported health requires a concerted effort across the whole population and a targeted effort regarding key population groups and sub-groups.</w:t>
      </w:r>
    </w:p>
    <w:p w14:paraId="19753233" w14:textId="77777777" w:rsidR="00603E4B" w:rsidRPr="002029AF" w:rsidRDefault="00603E4B" w:rsidP="0027759D">
      <w:pPr>
        <w:pStyle w:val="ARbody"/>
        <w:spacing w:after="100"/>
      </w:pPr>
      <w:r w:rsidRPr="002029AF">
        <w:t>All the department’s efforts in health and wellbeing support improvements in objective and subjective health and wellbeing.</w:t>
      </w:r>
    </w:p>
    <w:p w14:paraId="40138740" w14:textId="77777777" w:rsidR="00603E4B" w:rsidRPr="002029AF" w:rsidRDefault="00603E4B" w:rsidP="00603E4B">
      <w:pPr>
        <w:pStyle w:val="ARbody"/>
      </w:pPr>
      <w:r w:rsidRPr="002029AF">
        <w:t xml:space="preserve">One of the tools the department uses to support the effective local development and delivery of health and wellbeing improvements is the </w:t>
      </w:r>
      <w:r w:rsidRPr="002029AF">
        <w:rPr>
          <w:i/>
          <w:iCs/>
        </w:rPr>
        <w:t>Victorian public health and wellbeing plan</w:t>
      </w:r>
      <w:r w:rsidRPr="002029AF">
        <w:t>.</w:t>
      </w:r>
    </w:p>
    <w:p w14:paraId="483868FB" w14:textId="77777777" w:rsidR="00603E4B" w:rsidRPr="002029AF" w:rsidRDefault="00603E4B" w:rsidP="00603E4B">
      <w:pPr>
        <w:pStyle w:val="Heading6"/>
        <w:rPr>
          <w:lang w:val="en-AU"/>
        </w:rPr>
      </w:pPr>
      <w:r w:rsidRPr="002029AF">
        <w:rPr>
          <w:lang w:val="en-AU"/>
        </w:rPr>
        <w:t>Public health and wellbeing plan</w:t>
      </w:r>
    </w:p>
    <w:p w14:paraId="37205102" w14:textId="1A44DEA1" w:rsidR="00603E4B" w:rsidRPr="002029AF" w:rsidRDefault="00603E4B" w:rsidP="0027759D">
      <w:pPr>
        <w:pStyle w:val="ARbody"/>
        <w:spacing w:after="100"/>
      </w:pPr>
      <w:r w:rsidRPr="002029AF">
        <w:t xml:space="preserve">The third </w:t>
      </w:r>
      <w:r w:rsidRPr="002029AF">
        <w:rPr>
          <w:i/>
          <w:iCs/>
        </w:rPr>
        <w:t>Victorian public health and wellbeing plan</w:t>
      </w:r>
      <w:r w:rsidR="00496673">
        <w:t> </w:t>
      </w:r>
      <w:r w:rsidRPr="002029AF">
        <w:t>was published in August 2019. It sets out a comprehensive approach to delivering improved public health and wellbeing outcomes for all Victorians.</w:t>
      </w:r>
    </w:p>
    <w:p w14:paraId="6DD07BD0" w14:textId="77777777" w:rsidR="00603E4B" w:rsidRPr="002029AF" w:rsidRDefault="00603E4B" w:rsidP="0027759D">
      <w:pPr>
        <w:pStyle w:val="ARbody"/>
        <w:spacing w:after="100"/>
      </w:pPr>
      <w:r w:rsidRPr="002029AF">
        <w:t>As a result, municipal public health and wellbeing plans are developed by local governments with their communities to address local factors, enhance wellbeing and minimise the risks for poor health and disease, including by reducing injury, reducing smoking and improving mental wellbeing.</w:t>
      </w:r>
    </w:p>
    <w:p w14:paraId="722ABC57" w14:textId="77777777" w:rsidR="00603E4B" w:rsidRPr="002029AF" w:rsidRDefault="00603E4B" w:rsidP="0027759D">
      <w:pPr>
        <w:pStyle w:val="ARbody"/>
        <w:spacing w:after="100"/>
      </w:pPr>
      <w:r w:rsidRPr="002029AF">
        <w:t>For the first time, the plan also prioritises actions to tackle climate change and its impact on health, an issue recognised by the World Health Organization as a leading global threat to health.</w:t>
      </w:r>
    </w:p>
    <w:p w14:paraId="6227404B" w14:textId="6326E016" w:rsidR="00DB7988" w:rsidRPr="00DB7988" w:rsidRDefault="00DB7988" w:rsidP="00DB7988">
      <w:pPr>
        <w:pStyle w:val="Heading6"/>
        <w:rPr>
          <w:lang w:val="en-AU"/>
        </w:rPr>
      </w:pPr>
      <w:bookmarkStart w:id="35" w:name="_Hlk51344743"/>
      <w:r>
        <w:rPr>
          <w:lang w:val="en-AU"/>
        </w:rPr>
        <w:t>Piloting a climate change adoption plan</w:t>
      </w:r>
    </w:p>
    <w:p w14:paraId="16DA6B78" w14:textId="33F04F8D" w:rsidR="00DB7988" w:rsidRPr="002029AF" w:rsidRDefault="00DB7988" w:rsidP="00DB7988">
      <w:pPr>
        <w:pStyle w:val="ARbody"/>
      </w:pPr>
      <w:r w:rsidRPr="002029AF">
        <w:t xml:space="preserve">The World Health Organization has described climate change as the greatest threat to global health in the 21st century. Victoria’s </w:t>
      </w:r>
      <w:r w:rsidRPr="00B032FB">
        <w:rPr>
          <w:i/>
          <w:iCs/>
        </w:rPr>
        <w:t>Climate Change Act 2017</w:t>
      </w:r>
      <w:r w:rsidRPr="002029AF">
        <w:t xml:space="preserve"> establishes a legislative framework for action on climate change and requires government departments to develop </w:t>
      </w:r>
      <w:r w:rsidR="00496673">
        <w:br/>
      </w:r>
      <w:r w:rsidRPr="002029AF">
        <w:t xml:space="preserve">five-year </w:t>
      </w:r>
      <w:r>
        <w:t>a</w:t>
      </w:r>
      <w:r w:rsidRPr="002029AF">
        <w:t xml:space="preserve">daptation </w:t>
      </w:r>
      <w:r>
        <w:t>a</w:t>
      </w:r>
      <w:r w:rsidRPr="002029AF">
        <w:t xml:space="preserve">ction </w:t>
      </w:r>
      <w:r>
        <w:t>p</w:t>
      </w:r>
      <w:r w:rsidRPr="002029AF">
        <w:t>lans for systems that are vulnerable to the impacts of climate change or</w:t>
      </w:r>
      <w:r w:rsidR="00496673">
        <w:t> </w:t>
      </w:r>
      <w:r w:rsidRPr="002029AF">
        <w:t>essential to ensure Victoria is better prepared. The first plans will be from 31 October 2021 to 31</w:t>
      </w:r>
      <w:r w:rsidR="00496673">
        <w:t> </w:t>
      </w:r>
      <w:r w:rsidRPr="002029AF">
        <w:t xml:space="preserve">October 2026. In December 2019, the department published </w:t>
      </w:r>
      <w:r>
        <w:t>its</w:t>
      </w:r>
      <w:r w:rsidRPr="002029AF">
        <w:t xml:space="preserve"> </w:t>
      </w:r>
      <w:r w:rsidRPr="00B032FB">
        <w:rPr>
          <w:i/>
          <w:iCs/>
        </w:rPr>
        <w:t>Pilot health and human services climate change adaptation plan 2019–21</w:t>
      </w:r>
      <w:r w:rsidRPr="002029AF">
        <w:t xml:space="preserve"> to assist the health and human services system to embed climate change considerations into policies, planning, guidelines and operations, and respond to the risks posed to public health and wellbeing.</w:t>
      </w:r>
    </w:p>
    <w:p w14:paraId="3EBAB8F1" w14:textId="77777777" w:rsidR="00603E4B" w:rsidRPr="002029AF" w:rsidRDefault="00603E4B" w:rsidP="00603E4B">
      <w:pPr>
        <w:pStyle w:val="Heading5"/>
        <w:rPr>
          <w:rFonts w:eastAsia="Calibri"/>
        </w:rPr>
      </w:pPr>
      <w:r w:rsidRPr="002029AF">
        <w:rPr>
          <w:rFonts w:eastAsia="Calibri"/>
        </w:rPr>
        <w:t>Key result 10: Reduce the rates of people with mental illness in contact with the justice system</w:t>
      </w:r>
    </w:p>
    <w:p w14:paraId="04793684" w14:textId="77777777" w:rsidR="00DB7988" w:rsidRPr="002029AF" w:rsidRDefault="00DB7988" w:rsidP="00DB7988">
      <w:pPr>
        <w:pStyle w:val="ARbody"/>
        <w:rPr>
          <w:bCs/>
          <w:szCs w:val="20"/>
        </w:rPr>
      </w:pPr>
      <w:r w:rsidRPr="002029AF">
        <w:rPr>
          <w:bCs/>
          <w:szCs w:val="20"/>
        </w:rPr>
        <w:t>People with mental illness are over-represented among those who are arrested, who come before the courts, and who are imprisoned. There is an association between the presence of mental illness and risk of offending, however, other factors, including socio-demographic disadvantage and substance use</w:t>
      </w:r>
      <w:r>
        <w:rPr>
          <w:bCs/>
          <w:szCs w:val="20"/>
        </w:rPr>
        <w:t>,</w:t>
      </w:r>
      <w:r w:rsidRPr="002029AF">
        <w:rPr>
          <w:bCs/>
          <w:szCs w:val="20"/>
        </w:rPr>
        <w:t xml:space="preserve"> play a part in the association. The extent to which mental illness is a causal factor is the subject of ongoing debate. Most people with a mental illness, including those with major illnesses</w:t>
      </w:r>
      <w:r>
        <w:rPr>
          <w:bCs/>
          <w:szCs w:val="20"/>
        </w:rPr>
        <w:t>,</w:t>
      </w:r>
      <w:r w:rsidRPr="002029AF">
        <w:rPr>
          <w:bCs/>
          <w:szCs w:val="20"/>
        </w:rPr>
        <w:t xml:space="preserve"> do not commit crimes.</w:t>
      </w:r>
    </w:p>
    <w:p w14:paraId="22EDE1E8" w14:textId="77777777" w:rsidR="00603E4B" w:rsidRPr="002029AF" w:rsidRDefault="00603E4B" w:rsidP="00603E4B">
      <w:pPr>
        <w:pStyle w:val="Heading6"/>
        <w:rPr>
          <w:lang w:val="en-AU"/>
        </w:rPr>
      </w:pPr>
      <w:r w:rsidRPr="002029AF">
        <w:rPr>
          <w:lang w:val="en-AU"/>
        </w:rPr>
        <w:t>Mental Health Advice and Response</w:t>
      </w:r>
    </w:p>
    <w:p w14:paraId="1B005128" w14:textId="22F5C291" w:rsidR="00603E4B" w:rsidRPr="002029AF" w:rsidRDefault="00603E4B" w:rsidP="00603E4B">
      <w:pPr>
        <w:pStyle w:val="ARbody"/>
        <w:rPr>
          <w:bCs/>
          <w:szCs w:val="20"/>
        </w:rPr>
      </w:pPr>
      <w:r w:rsidRPr="002029AF">
        <w:rPr>
          <w:bCs/>
          <w:szCs w:val="20"/>
        </w:rPr>
        <w:t xml:space="preserve">The Mental Health Advice and Response (MHARS) initiative incorporates and expands the Mental Health Court Liaison Service and the Community Correctional Service Mental Health Court Advice Service to provide clinical advice to magistrates on the mental health of people appearing before the court. This reduces delays in proceedings and </w:t>
      </w:r>
      <w:r w:rsidR="009845F7" w:rsidRPr="002029AF">
        <w:rPr>
          <w:bCs/>
          <w:szCs w:val="20"/>
        </w:rPr>
        <w:t>remands and</w:t>
      </w:r>
      <w:r w:rsidRPr="002029AF">
        <w:rPr>
          <w:bCs/>
          <w:szCs w:val="20"/>
        </w:rPr>
        <w:t xml:space="preserve"> improves the appropriateness of mental health treatment and rehabilitation conditions applied to community corrections orders.</w:t>
      </w:r>
    </w:p>
    <w:p w14:paraId="305CD82B" w14:textId="7BFB789A" w:rsidR="00DB7988" w:rsidRPr="002029AF" w:rsidRDefault="00DB7988" w:rsidP="00DB7988">
      <w:pPr>
        <w:pStyle w:val="ARbody"/>
        <w:rPr>
          <w:bCs/>
          <w:szCs w:val="20"/>
        </w:rPr>
      </w:pPr>
      <w:r w:rsidRPr="002029AF">
        <w:rPr>
          <w:bCs/>
          <w:szCs w:val="20"/>
        </w:rPr>
        <w:t>MHARS is operating in eight metropolitan magistrates’ courts: Melbourne (including the Bail and Remand Court), Heidelberg, Dandenong, Ringwood, Sunshine, Broadmeadows, Frankston and Moorabbin Justice Centre and five regional courts: Geelong, Ballarat, Bendigo, Shepparton and</w:t>
      </w:r>
      <w:r w:rsidR="00496673">
        <w:rPr>
          <w:bCs/>
          <w:szCs w:val="20"/>
        </w:rPr>
        <w:t> </w:t>
      </w:r>
      <w:r w:rsidRPr="002029AF">
        <w:rPr>
          <w:bCs/>
          <w:szCs w:val="20"/>
        </w:rPr>
        <w:t>Latrobe Valley. Where needed, immediate psychiatric intervention is provided, and a referral is made to appropriate mental health services. Priority is given to providing immediate responses to people presenting at court who are acutely unwell. The Children’s Court MHARS provides clinical mental health assessment, advice and referrals in</w:t>
      </w:r>
      <w:r w:rsidR="00496673">
        <w:rPr>
          <w:bCs/>
          <w:szCs w:val="20"/>
        </w:rPr>
        <w:t> </w:t>
      </w:r>
      <w:r w:rsidRPr="002029AF">
        <w:rPr>
          <w:bCs/>
          <w:szCs w:val="20"/>
        </w:rPr>
        <w:t>relation to accused young persons at the Melbourne Children’s Court.</w:t>
      </w:r>
    </w:p>
    <w:p w14:paraId="265B4D09" w14:textId="77777777" w:rsidR="00DB7988" w:rsidRPr="002029AF" w:rsidRDefault="00DB7988" w:rsidP="00DB7988">
      <w:pPr>
        <w:pStyle w:val="Heading6"/>
        <w:rPr>
          <w:lang w:val="en-AU"/>
        </w:rPr>
      </w:pPr>
      <w:r w:rsidRPr="002029AF">
        <w:rPr>
          <w:lang w:val="en-AU"/>
        </w:rPr>
        <w:lastRenderedPageBreak/>
        <w:t xml:space="preserve">Community </w:t>
      </w:r>
      <w:r>
        <w:rPr>
          <w:lang w:val="en-AU"/>
        </w:rPr>
        <w:t>m</w:t>
      </w:r>
      <w:r w:rsidRPr="002029AF">
        <w:rPr>
          <w:lang w:val="en-AU"/>
        </w:rPr>
        <w:t xml:space="preserve">ental </w:t>
      </w:r>
      <w:r>
        <w:rPr>
          <w:lang w:val="en-AU"/>
        </w:rPr>
        <w:t>h</w:t>
      </w:r>
      <w:r w:rsidRPr="002029AF">
        <w:rPr>
          <w:lang w:val="en-AU"/>
        </w:rPr>
        <w:t xml:space="preserve">ealth </w:t>
      </w:r>
      <w:r>
        <w:rPr>
          <w:lang w:val="en-AU"/>
        </w:rPr>
        <w:t>s</w:t>
      </w:r>
      <w:r w:rsidRPr="002029AF">
        <w:rPr>
          <w:lang w:val="en-AU"/>
        </w:rPr>
        <w:t>upport</w:t>
      </w:r>
    </w:p>
    <w:p w14:paraId="330E27AE" w14:textId="77777777" w:rsidR="00DB7988" w:rsidRPr="002029AF" w:rsidRDefault="00DB7988" w:rsidP="00DB7988">
      <w:pPr>
        <w:pStyle w:val="ARbody"/>
        <w:rPr>
          <w:bCs/>
          <w:szCs w:val="20"/>
        </w:rPr>
      </w:pPr>
      <w:r w:rsidRPr="002029AF">
        <w:rPr>
          <w:bCs/>
          <w:szCs w:val="20"/>
        </w:rPr>
        <w:t xml:space="preserve">The Forensic Mental Health in Community Health (FMHiCH) program provides community-based mental health assessment and treatment services for people who have a moderate severity mental health issue and are on a parole or a community correction </w:t>
      </w:r>
      <w:r>
        <w:rPr>
          <w:bCs/>
          <w:szCs w:val="20"/>
        </w:rPr>
        <w:t xml:space="preserve">order </w:t>
      </w:r>
      <w:r w:rsidRPr="002029AF">
        <w:rPr>
          <w:bCs/>
          <w:szCs w:val="20"/>
        </w:rPr>
        <w:t>with a mandated condition to undertake mental health treatment. Services are being delivered through Ballarat Community Health, cohealth (partnered with Bendigo Community Health), Latrobe Community Health, Monash Health and Peninsula Health and associated partner agencies</w:t>
      </w:r>
      <w:r>
        <w:rPr>
          <w:bCs/>
          <w:szCs w:val="20"/>
        </w:rPr>
        <w:t>,</w:t>
      </w:r>
      <w:r w:rsidRPr="002029AF">
        <w:rPr>
          <w:bCs/>
          <w:szCs w:val="20"/>
        </w:rPr>
        <w:t xml:space="preserve"> including local Aboriginal </w:t>
      </w:r>
      <w:r>
        <w:rPr>
          <w:bCs/>
          <w:szCs w:val="20"/>
        </w:rPr>
        <w:t>c</w:t>
      </w:r>
      <w:r w:rsidRPr="002029AF">
        <w:rPr>
          <w:bCs/>
          <w:szCs w:val="20"/>
        </w:rPr>
        <w:t>ommunity</w:t>
      </w:r>
      <w:r>
        <w:rPr>
          <w:bCs/>
          <w:szCs w:val="20"/>
        </w:rPr>
        <w:t>-c</w:t>
      </w:r>
      <w:r w:rsidRPr="002029AF">
        <w:rPr>
          <w:bCs/>
          <w:szCs w:val="20"/>
        </w:rPr>
        <w:t xml:space="preserve">ontrolled </w:t>
      </w:r>
      <w:r>
        <w:rPr>
          <w:bCs/>
          <w:szCs w:val="20"/>
        </w:rPr>
        <w:t>o</w:t>
      </w:r>
      <w:r w:rsidRPr="002029AF">
        <w:rPr>
          <w:bCs/>
          <w:szCs w:val="20"/>
        </w:rPr>
        <w:t>rganisations. The service covers 23 Community Corrections locations across Victoria.</w:t>
      </w:r>
    </w:p>
    <w:p w14:paraId="3A1847EE" w14:textId="4AB0E170" w:rsidR="00603E4B" w:rsidRPr="002029AF" w:rsidRDefault="00DB7988" w:rsidP="00603E4B">
      <w:pPr>
        <w:pStyle w:val="ARbody"/>
        <w:rPr>
          <w:bCs/>
          <w:szCs w:val="20"/>
        </w:rPr>
      </w:pPr>
      <w:r w:rsidRPr="002029AF">
        <w:rPr>
          <w:bCs/>
          <w:szCs w:val="20"/>
        </w:rPr>
        <w:t>The Community Forensic Youth Mental Health Service provides primary and secondary consultation to support Child and Adolescent Mental Health Services and Child and Youth Mental Health Services in the provision of mental health support to young people who may have a mental illness alongside behaviours of concern. The service is delivered by Orygen (Melbourne Health) in North West Metropolitan Melbourne and Alfred Health in Southern Metropolitan Melbourne and provides secondary consultation to Child and Adolescent Mental Health Services and Child and Youth Mental Health Services across Victoria.</w:t>
      </w:r>
    </w:p>
    <w:p w14:paraId="508C524C" w14:textId="77777777" w:rsidR="00603E4B" w:rsidRPr="002029AF" w:rsidRDefault="00603E4B" w:rsidP="00603E4B">
      <w:pPr>
        <w:pStyle w:val="Heading6"/>
        <w:rPr>
          <w:lang w:val="en-AU"/>
        </w:rPr>
      </w:pPr>
      <w:r w:rsidRPr="002029AF">
        <w:rPr>
          <w:lang w:val="en-AU"/>
        </w:rPr>
        <w:t>Custodial Forensic Youth Mental Health Service</w:t>
      </w:r>
    </w:p>
    <w:p w14:paraId="323E0979" w14:textId="77777777" w:rsidR="00603E4B" w:rsidRPr="002029AF" w:rsidRDefault="00603E4B" w:rsidP="00603E4B">
      <w:pPr>
        <w:pStyle w:val="ARbody"/>
        <w:rPr>
          <w:bCs/>
          <w:szCs w:val="20"/>
        </w:rPr>
      </w:pPr>
      <w:r w:rsidRPr="002029AF">
        <w:rPr>
          <w:bCs/>
          <w:szCs w:val="20"/>
        </w:rPr>
        <w:t>The Custodial Forensic Youth Mental Health Service enhances clinical mental health assessment, treatment and support services for young people in Youth Justice facilities through provision of specialist mental health consultation and treatment by Orygen (Melbourne Health). The service also provides secondary consultation to other services in the custodial settings, including the primary health service and Youth Justice custodial staff.</w:t>
      </w:r>
    </w:p>
    <w:p w14:paraId="10FE34F6" w14:textId="77777777" w:rsidR="00603E4B" w:rsidRPr="002029AF" w:rsidRDefault="00603E4B" w:rsidP="00603E4B">
      <w:pPr>
        <w:pStyle w:val="Heading6"/>
        <w:rPr>
          <w:lang w:val="en-AU"/>
        </w:rPr>
      </w:pPr>
      <w:r w:rsidRPr="002029AF">
        <w:rPr>
          <w:lang w:val="en-AU"/>
        </w:rPr>
        <w:t>Better support people using multiple services across justice, health and social services to reduce their justice contact</w:t>
      </w:r>
    </w:p>
    <w:p w14:paraId="03427838" w14:textId="77777777" w:rsidR="00603E4B" w:rsidRPr="002029AF" w:rsidRDefault="00603E4B" w:rsidP="00603E4B">
      <w:pPr>
        <w:pStyle w:val="ARbody"/>
      </w:pPr>
      <w:r w:rsidRPr="002029AF">
        <w:t>The department has progressed work with the Department of Justice and Community Safety (DJCS) and the sector to more effectively support people using multiple services across justice, health and social services to reduce their contact with the justice system.</w:t>
      </w:r>
    </w:p>
    <w:bookmarkEnd w:id="35"/>
    <w:p w14:paraId="49E040E9" w14:textId="77777777" w:rsidR="00DB7988" w:rsidRPr="002029AF" w:rsidRDefault="00DB7988" w:rsidP="00DB7988">
      <w:pPr>
        <w:pStyle w:val="ARbody"/>
      </w:pPr>
      <w:r w:rsidRPr="002029AF">
        <w:t>Through this work, we hope to achieve better outcomes for clients by:</w:t>
      </w:r>
    </w:p>
    <w:p w14:paraId="3B2712DF" w14:textId="77777777" w:rsidR="00DB7988" w:rsidRPr="002029AF" w:rsidRDefault="00DB7988" w:rsidP="00FF3CAB">
      <w:pPr>
        <w:pStyle w:val="ARbullet1"/>
        <w:numPr>
          <w:ilvl w:val="0"/>
          <w:numId w:val="51"/>
        </w:numPr>
      </w:pPr>
      <w:r>
        <w:t>f</w:t>
      </w:r>
      <w:r w:rsidRPr="002029AF">
        <w:t>ostering social and cultural connections</w:t>
      </w:r>
    </w:p>
    <w:p w14:paraId="650BC1E3" w14:textId="38056BE4" w:rsidR="00DB7988" w:rsidRPr="002029AF" w:rsidRDefault="00DB7988" w:rsidP="00FF3CAB">
      <w:pPr>
        <w:pStyle w:val="ARbullet1"/>
        <w:numPr>
          <w:ilvl w:val="0"/>
          <w:numId w:val="51"/>
        </w:numPr>
      </w:pPr>
      <w:r>
        <w:t>l</w:t>
      </w:r>
      <w:r w:rsidRPr="002029AF">
        <w:t>istening and relating to clients so we focus on</w:t>
      </w:r>
      <w:r w:rsidR="00496673">
        <w:t> </w:t>
      </w:r>
      <w:r w:rsidRPr="002029AF">
        <w:t>what matters to them</w:t>
      </w:r>
    </w:p>
    <w:p w14:paraId="0F1A093E" w14:textId="77777777" w:rsidR="00DB7988" w:rsidRPr="002029AF" w:rsidRDefault="00DB7988" w:rsidP="00FF3CAB">
      <w:pPr>
        <w:pStyle w:val="ARbullet1"/>
        <w:numPr>
          <w:ilvl w:val="0"/>
          <w:numId w:val="51"/>
        </w:numPr>
      </w:pPr>
      <w:r>
        <w:t>w</w:t>
      </w:r>
      <w:r w:rsidRPr="002029AF">
        <w:t xml:space="preserve">orking with </w:t>
      </w:r>
      <w:r>
        <w:t xml:space="preserve">the </w:t>
      </w:r>
      <w:r w:rsidRPr="002029AF">
        <w:t>whole famil</w:t>
      </w:r>
      <w:r>
        <w:t>y</w:t>
      </w:r>
    </w:p>
    <w:p w14:paraId="74E158F3" w14:textId="77777777" w:rsidR="00DB7988" w:rsidRPr="002029AF" w:rsidRDefault="00DB7988" w:rsidP="00FF3CAB">
      <w:pPr>
        <w:pStyle w:val="ARbullet1"/>
        <w:numPr>
          <w:ilvl w:val="0"/>
          <w:numId w:val="51"/>
        </w:numPr>
      </w:pPr>
      <w:r>
        <w:t>m</w:t>
      </w:r>
      <w:r w:rsidRPr="002029AF">
        <w:t>ulti-agency working</w:t>
      </w:r>
    </w:p>
    <w:p w14:paraId="041E62C9" w14:textId="77777777" w:rsidR="00DB7988" w:rsidRPr="002029AF" w:rsidRDefault="00DB7988" w:rsidP="00FF3CAB">
      <w:pPr>
        <w:pStyle w:val="ARbullet1"/>
        <w:numPr>
          <w:ilvl w:val="0"/>
          <w:numId w:val="51"/>
        </w:numPr>
      </w:pPr>
      <w:r>
        <w:t>u</w:t>
      </w:r>
      <w:r w:rsidRPr="002029AF">
        <w:t>sing data and evidence to connect people to supports earlier and to interventions that work</w:t>
      </w:r>
    </w:p>
    <w:p w14:paraId="1CC059EA" w14:textId="77777777" w:rsidR="00DB7988" w:rsidRPr="002029AF" w:rsidRDefault="00DB7988" w:rsidP="00FF3CAB">
      <w:pPr>
        <w:pStyle w:val="ARbullet1"/>
        <w:numPr>
          <w:ilvl w:val="0"/>
          <w:numId w:val="51"/>
        </w:numPr>
      </w:pPr>
      <w:r>
        <w:t>s</w:t>
      </w:r>
      <w:r w:rsidRPr="002029AF">
        <w:t>taying focused on outcomes.</w:t>
      </w:r>
    </w:p>
    <w:p w14:paraId="1A4635E2" w14:textId="443309E7" w:rsidR="00DB7988" w:rsidRPr="002029AF" w:rsidRDefault="00DB7988" w:rsidP="00DB7988">
      <w:pPr>
        <w:pStyle w:val="ARbodyafterbullets"/>
      </w:pPr>
      <w:r w:rsidRPr="002029AF">
        <w:t>As a starting point, four client groups have been identified to test system and practice changes. Two</w:t>
      </w:r>
      <w:r w:rsidR="00496673">
        <w:t> </w:t>
      </w:r>
      <w:r w:rsidRPr="002029AF">
        <w:t>of these groups include cohorts experiencing mental health issues, specifically young men in youth justice experiencing complex mental health and drug and alcohol issues, and men with complex mental health and drug and alcohol issues in contact with the justice system.</w:t>
      </w:r>
    </w:p>
    <w:p w14:paraId="128DEAB5" w14:textId="36BF6657" w:rsidR="00DB7988" w:rsidRPr="002029AF" w:rsidRDefault="00DB7988" w:rsidP="00DB7988">
      <w:pPr>
        <w:pStyle w:val="ARbody"/>
      </w:pPr>
      <w:r w:rsidRPr="002029AF">
        <w:t>Work commenced in February 2020 at four demonstration sites in Brimbank-Melton, Southern</w:t>
      </w:r>
      <w:r w:rsidR="00496673">
        <w:t> </w:t>
      </w:r>
      <w:r w:rsidRPr="002029AF">
        <w:t xml:space="preserve">Melbourne, Goulburn and Central Highlands. At each demonstration site, </w:t>
      </w:r>
      <w:r w:rsidRPr="00B032FB">
        <w:t>l</w:t>
      </w:r>
      <w:r w:rsidRPr="00A94FCE">
        <w:t xml:space="preserve">ocal </w:t>
      </w:r>
      <w:r w:rsidRPr="00B032FB">
        <w:t>s</w:t>
      </w:r>
      <w:r w:rsidRPr="00A94FCE">
        <w:t xml:space="preserve">ite </w:t>
      </w:r>
      <w:r w:rsidRPr="00B032FB">
        <w:t>e</w:t>
      </w:r>
      <w:r w:rsidRPr="00A94FCE">
        <w:t xml:space="preserve">xecutive </w:t>
      </w:r>
      <w:r w:rsidRPr="00B032FB">
        <w:t>c</w:t>
      </w:r>
      <w:r w:rsidRPr="00A94FCE">
        <w:t>ommittees have been</w:t>
      </w:r>
      <w:r w:rsidRPr="002029AF">
        <w:t xml:space="preserve"> established to engage with the workforce, clients and the sector to</w:t>
      </w:r>
      <w:r w:rsidR="00496673">
        <w:t> </w:t>
      </w:r>
      <w:r w:rsidRPr="002029AF">
        <w:t>support strong partnerships. They will provide leadership and direction in responding to local priorities and challenges.</w:t>
      </w:r>
    </w:p>
    <w:p w14:paraId="086F430B" w14:textId="77777777" w:rsidR="00603E4B" w:rsidRPr="002029AF" w:rsidRDefault="00603E4B" w:rsidP="00603E4B">
      <w:pPr>
        <w:pStyle w:val="Heading4"/>
      </w:pPr>
      <w:r w:rsidRPr="002029AF">
        <w:t>Outcome 1.3: Victorians act to protect and promote health</w:t>
      </w:r>
    </w:p>
    <w:p w14:paraId="2F6BBAF7" w14:textId="77777777" w:rsidR="00603E4B" w:rsidRPr="002029AF" w:rsidRDefault="00603E4B" w:rsidP="00603E4B">
      <w:pPr>
        <w:pStyle w:val="ARbody"/>
      </w:pPr>
      <w:r w:rsidRPr="002029AF">
        <w:t>The department wants all Victorians to enjoy the highest attainable standards of health, wellbeing, development and participation at every age. Recognising the influential role of social, cultural and economic forces, as well as biological and environmental factors, on health and wellbeing, we consider the whole population and support community-led action wherever possible.</w:t>
      </w:r>
    </w:p>
    <w:p w14:paraId="52F05186" w14:textId="77777777" w:rsidR="00603E4B" w:rsidRPr="002029AF" w:rsidRDefault="00603E4B" w:rsidP="00603E4B">
      <w:pPr>
        <w:pStyle w:val="Heading5"/>
        <w:rPr>
          <w:sz w:val="24"/>
        </w:rPr>
      </w:pPr>
      <w:r w:rsidRPr="002029AF">
        <w:rPr>
          <w:sz w:val="24"/>
        </w:rPr>
        <w:t>Progress against outcomes</w:t>
      </w:r>
    </w:p>
    <w:p w14:paraId="68745992" w14:textId="2F061D03" w:rsidR="00603E4B" w:rsidRPr="002029AF" w:rsidRDefault="00603E4B" w:rsidP="00603E4B">
      <w:pPr>
        <w:pStyle w:val="ARbody"/>
      </w:pPr>
      <w:r w:rsidRPr="002029AF" w:rsidDel="00E74411">
        <w:t>Some of the department’s key achievements in</w:t>
      </w:r>
      <w:r w:rsidR="00496673">
        <w:t> </w:t>
      </w:r>
      <w:r w:rsidRPr="002029AF" w:rsidDel="00E74411">
        <w:t>2019–20 are outlined below.</w:t>
      </w:r>
    </w:p>
    <w:p w14:paraId="529D125A" w14:textId="77777777" w:rsidR="00603E4B" w:rsidRPr="002029AF" w:rsidRDefault="00603E4B" w:rsidP="00603E4B">
      <w:pPr>
        <w:pStyle w:val="Heading6"/>
        <w:rPr>
          <w:lang w:val="en-AU"/>
        </w:rPr>
      </w:pPr>
      <w:r w:rsidRPr="002029AF">
        <w:rPr>
          <w:lang w:val="en-AU"/>
        </w:rPr>
        <w:t>New Public Health and Wellbeing Regulations</w:t>
      </w:r>
    </w:p>
    <w:p w14:paraId="6ED5D824" w14:textId="6AB893B2" w:rsidR="00603E4B" w:rsidRPr="002029AF" w:rsidRDefault="00603E4B" w:rsidP="00603E4B">
      <w:pPr>
        <w:pStyle w:val="ARbody"/>
      </w:pPr>
      <w:r w:rsidRPr="002029AF">
        <w:t>The Public Health and Wellbeing Regulations 2019 came into effect on 14 December 2019</w:t>
      </w:r>
      <w:r w:rsidR="00460CCB">
        <w:t>,</w:t>
      </w:r>
      <w:r w:rsidRPr="002029AF">
        <w:t xml:space="preserve"> replacing the Public Health and Wellbeing Regulations 2009. The regulations were drafted after an extensive sunset review and consultation process with a wide range of stakeholders.</w:t>
      </w:r>
    </w:p>
    <w:p w14:paraId="4BEDFC13" w14:textId="771064D5" w:rsidR="00DB7988" w:rsidRPr="002029AF" w:rsidRDefault="00DB7988" w:rsidP="00DB7988">
      <w:pPr>
        <w:pStyle w:val="ARbody"/>
      </w:pPr>
      <w:r w:rsidRPr="002029AF">
        <w:lastRenderedPageBreak/>
        <w:t xml:space="preserve">The department incorporated the 82 submissions and 153 survey responses, which meant few changes to the exposure draft of the legislation were required. There was broad support for the </w:t>
      </w:r>
      <w:r>
        <w:t>new regulations</w:t>
      </w:r>
      <w:r w:rsidRPr="002029AF">
        <w:t>, which provide a framework for businesses, local councils, individuals and the department to protect the health and wellbeing of</w:t>
      </w:r>
      <w:r w:rsidR="00496673">
        <w:t> </w:t>
      </w:r>
      <w:r w:rsidRPr="002029AF">
        <w:t>Victorians.</w:t>
      </w:r>
    </w:p>
    <w:p w14:paraId="36EFA9D6" w14:textId="56D82B26" w:rsidR="00603E4B" w:rsidRPr="002029AF" w:rsidRDefault="00DB7988" w:rsidP="00603E4B">
      <w:pPr>
        <w:pStyle w:val="ARbody"/>
      </w:pPr>
      <w:r w:rsidRPr="002029AF">
        <w:t>The regulations cover a range of measures to prevent and respond to the spread of infectious diseases and minimise public health risks associated with certain businesses, such as aquatic</w:t>
      </w:r>
      <w:r w:rsidR="00496673">
        <w:t> </w:t>
      </w:r>
      <w:r w:rsidRPr="002029AF">
        <w:t>facilities, cooling towers and businesses that perform skin penetration procedures.</w:t>
      </w:r>
    </w:p>
    <w:p w14:paraId="44788213" w14:textId="77777777" w:rsidR="00DB7988" w:rsidRPr="002029AF" w:rsidRDefault="00DB7988" w:rsidP="00DB7988">
      <w:pPr>
        <w:pStyle w:val="Heading6"/>
        <w:rPr>
          <w:lang w:val="en-AU"/>
        </w:rPr>
      </w:pPr>
      <w:r w:rsidRPr="002029AF">
        <w:rPr>
          <w:lang w:val="en-AU"/>
        </w:rPr>
        <w:t>Food</w:t>
      </w:r>
      <w:r>
        <w:rPr>
          <w:lang w:val="en-AU"/>
        </w:rPr>
        <w:t>-</w:t>
      </w:r>
      <w:r w:rsidRPr="002029AF">
        <w:rPr>
          <w:lang w:val="en-AU"/>
        </w:rPr>
        <w:t>related anaphylaxis notifications</w:t>
      </w:r>
    </w:p>
    <w:p w14:paraId="5E22D91C" w14:textId="77777777" w:rsidR="00DB7988" w:rsidRPr="002029AF" w:rsidRDefault="00DB7988" w:rsidP="00DB7988">
      <w:pPr>
        <w:pStyle w:val="ARbody"/>
        <w:rPr>
          <w:szCs w:val="20"/>
        </w:rPr>
      </w:pPr>
      <w:r w:rsidRPr="002029AF">
        <w:rPr>
          <w:szCs w:val="20"/>
        </w:rPr>
        <w:t>The department operates the Victorian Anaphylaxis Notifications System</w:t>
      </w:r>
      <w:r>
        <w:rPr>
          <w:szCs w:val="20"/>
        </w:rPr>
        <w:t>,</w:t>
      </w:r>
      <w:r w:rsidRPr="002029AF">
        <w:rPr>
          <w:szCs w:val="20"/>
        </w:rPr>
        <w:t xml:space="preserve"> which requires all Victorian public and private hospitals </w:t>
      </w:r>
      <w:r>
        <w:rPr>
          <w:szCs w:val="20"/>
        </w:rPr>
        <w:t xml:space="preserve">to </w:t>
      </w:r>
      <w:r w:rsidRPr="002029AF">
        <w:rPr>
          <w:szCs w:val="20"/>
        </w:rPr>
        <w:t>notify anaphylaxis cases presenting to hospital, ensuring that possible sources can be confirmed and public health is maintained.</w:t>
      </w:r>
    </w:p>
    <w:p w14:paraId="79EFE893" w14:textId="77777777" w:rsidR="00DB7988" w:rsidRPr="002029AF" w:rsidRDefault="00DB7988" w:rsidP="00DB7988">
      <w:pPr>
        <w:pStyle w:val="ARbody"/>
        <w:rPr>
          <w:szCs w:val="20"/>
        </w:rPr>
      </w:pPr>
      <w:r w:rsidRPr="002029AF">
        <w:rPr>
          <w:szCs w:val="20"/>
        </w:rPr>
        <w:t>From July 2019 to June 2020, there were 1,838 anaphylaxis notifications received. Of these, 1,333 (61 per cent) were suspected to be caused by food. The department’s food safety investigations resulted in 92 referrals of unpackaged food to councils for further action; two packaged food recalls and one product recall of an unpackaged food from council-registered food premises.</w:t>
      </w:r>
    </w:p>
    <w:p w14:paraId="320274AE" w14:textId="77777777" w:rsidR="003C6F78" w:rsidRDefault="00DB7988" w:rsidP="00DB7988">
      <w:pPr>
        <w:pStyle w:val="Heading6"/>
        <w:rPr>
          <w:lang w:val="en-AU"/>
        </w:rPr>
      </w:pPr>
      <w:r w:rsidRPr="002029AF">
        <w:rPr>
          <w:lang w:val="en-AU"/>
        </w:rPr>
        <w:t xml:space="preserve">Mandatory </w:t>
      </w:r>
      <w:r>
        <w:rPr>
          <w:lang w:val="en-AU"/>
        </w:rPr>
        <w:t>v</w:t>
      </w:r>
      <w:r w:rsidRPr="002029AF">
        <w:rPr>
          <w:lang w:val="en-AU"/>
        </w:rPr>
        <w:t xml:space="preserve">accination of </w:t>
      </w:r>
      <w:r>
        <w:rPr>
          <w:lang w:val="en-AU"/>
        </w:rPr>
        <w:t>h</w:t>
      </w:r>
      <w:r w:rsidRPr="002029AF">
        <w:rPr>
          <w:lang w:val="en-AU"/>
        </w:rPr>
        <w:t>ealth</w:t>
      </w:r>
      <w:r>
        <w:rPr>
          <w:lang w:val="en-AU"/>
        </w:rPr>
        <w:t>c</w:t>
      </w:r>
      <w:r w:rsidRPr="002029AF">
        <w:rPr>
          <w:lang w:val="en-AU"/>
        </w:rPr>
        <w:t xml:space="preserve">are </w:t>
      </w:r>
      <w:r>
        <w:rPr>
          <w:lang w:val="en-AU"/>
        </w:rPr>
        <w:t>w</w:t>
      </w:r>
      <w:r w:rsidRPr="002029AF">
        <w:rPr>
          <w:lang w:val="en-AU"/>
        </w:rPr>
        <w:t>orkers</w:t>
      </w:r>
    </w:p>
    <w:p w14:paraId="09E03A0C" w14:textId="17756A20" w:rsidR="00DB7988" w:rsidRPr="002029AF" w:rsidRDefault="00DB7988" w:rsidP="00DB7988">
      <w:pPr>
        <w:pStyle w:val="ARbody"/>
        <w:rPr>
          <w:szCs w:val="20"/>
        </w:rPr>
      </w:pPr>
      <w:r w:rsidRPr="002029AF">
        <w:rPr>
          <w:szCs w:val="20"/>
        </w:rPr>
        <w:t xml:space="preserve">The </w:t>
      </w:r>
      <w:r w:rsidRPr="00B032FB">
        <w:rPr>
          <w:i/>
          <w:iCs/>
          <w:szCs w:val="20"/>
        </w:rPr>
        <w:t>Health Services Amendment (Mandatory Vaccination of Healthcare Workers) Act 2020</w:t>
      </w:r>
      <w:r w:rsidRPr="002029AF">
        <w:rPr>
          <w:szCs w:val="20"/>
        </w:rPr>
        <w:t xml:space="preserve"> received Royal Assent on 24 March 2020. The </w:t>
      </w:r>
      <w:r>
        <w:rPr>
          <w:szCs w:val="20"/>
        </w:rPr>
        <w:t>Act</w:t>
      </w:r>
      <w:r w:rsidR="00496673">
        <w:rPr>
          <w:szCs w:val="20"/>
        </w:rPr>
        <w:t> </w:t>
      </w:r>
      <w:r w:rsidRPr="002029AF">
        <w:rPr>
          <w:szCs w:val="20"/>
        </w:rPr>
        <w:t xml:space="preserve">amends section 42 of the </w:t>
      </w:r>
      <w:r w:rsidRPr="00B032FB">
        <w:rPr>
          <w:i/>
          <w:iCs/>
          <w:szCs w:val="20"/>
        </w:rPr>
        <w:t>Health Services Act</w:t>
      </w:r>
      <w:r w:rsidR="00496673">
        <w:rPr>
          <w:i/>
          <w:iCs/>
          <w:szCs w:val="20"/>
        </w:rPr>
        <w:t> </w:t>
      </w:r>
      <w:r>
        <w:rPr>
          <w:i/>
          <w:iCs/>
          <w:szCs w:val="20"/>
        </w:rPr>
        <w:t>1998</w:t>
      </w:r>
      <w:r w:rsidRPr="002029AF">
        <w:rPr>
          <w:szCs w:val="20"/>
        </w:rPr>
        <w:t>, allowing the Secretary to direct public hospitals and denominational hospitals to require healthcare workers engaged by the hospital to be vaccinated against or prove immunity to specific communicable diseases.</w:t>
      </w:r>
    </w:p>
    <w:p w14:paraId="0C26898A" w14:textId="77777777" w:rsidR="00603E4B" w:rsidRPr="002029AF" w:rsidRDefault="00603E4B" w:rsidP="00603E4B">
      <w:pPr>
        <w:pStyle w:val="Heading6"/>
        <w:rPr>
          <w:lang w:val="en-AU"/>
        </w:rPr>
      </w:pPr>
      <w:r w:rsidRPr="002029AF">
        <w:rPr>
          <w:lang w:val="en-AU"/>
        </w:rPr>
        <w:t>Reducing the impact of skin cancer in Victoria</w:t>
      </w:r>
    </w:p>
    <w:p w14:paraId="3D77342C" w14:textId="0CA06440" w:rsidR="00603E4B" w:rsidRPr="002029AF" w:rsidRDefault="00603E4B" w:rsidP="00603E4B">
      <w:pPr>
        <w:pStyle w:val="ARbody"/>
      </w:pPr>
      <w:r w:rsidRPr="002029AF">
        <w:t>Melanoma is the fifth most common cancer in Victoria, with 3,096 new cases diagnosed and 291</w:t>
      </w:r>
      <w:r w:rsidR="00496673">
        <w:t> </w:t>
      </w:r>
      <w:r w:rsidRPr="002029AF">
        <w:t>deaths in 2018.</w:t>
      </w:r>
    </w:p>
    <w:p w14:paraId="211948F0" w14:textId="77777777" w:rsidR="00603E4B" w:rsidRPr="002029AF" w:rsidRDefault="00603E4B" w:rsidP="00603E4B">
      <w:pPr>
        <w:pStyle w:val="ARbody"/>
      </w:pPr>
      <w:r w:rsidRPr="002029AF">
        <w:t>Skin cancer is also one of the most preventable forms of cancer and the risk can be reduced by wearing sun smart clothing, sunscreen, sunglasses and providing shade.</w:t>
      </w:r>
    </w:p>
    <w:p w14:paraId="620FE791" w14:textId="7889DCE3" w:rsidR="00603E4B" w:rsidRPr="002029AF" w:rsidRDefault="00603E4B" w:rsidP="00603E4B">
      <w:pPr>
        <w:pStyle w:val="ARbody"/>
      </w:pPr>
      <w:r w:rsidRPr="002029AF">
        <w:t>The SunSmart Program invested $8 million to increase shade protection and up to $2 million for</w:t>
      </w:r>
      <w:r w:rsidR="00496673">
        <w:t> </w:t>
      </w:r>
      <w:r w:rsidRPr="002029AF">
        <w:t>the provision of sun protection items (including sun-protective hats and sunscreen).</w:t>
      </w:r>
    </w:p>
    <w:p w14:paraId="1733915A" w14:textId="3C04446D" w:rsidR="00603E4B" w:rsidRPr="002029AF" w:rsidRDefault="00603E4B" w:rsidP="00603E4B">
      <w:pPr>
        <w:pStyle w:val="ARbody"/>
      </w:pPr>
      <w:r w:rsidRPr="002029AF">
        <w:t>Currently in its fifth round, the Shade Grants Program aims to reduce Victorians</w:t>
      </w:r>
      <w:r w:rsidR="005F298C">
        <w:t>’</w:t>
      </w:r>
      <w:r w:rsidRPr="002029AF">
        <w:t xml:space="preserve"> exposure to UV</w:t>
      </w:r>
      <w:r w:rsidR="00496673">
        <w:t> </w:t>
      </w:r>
      <w:r w:rsidRPr="002029AF">
        <w:t>radiation by increasing shade in public places across the state and by promoting uptake of sun protective practices.</w:t>
      </w:r>
    </w:p>
    <w:p w14:paraId="305BDDD9" w14:textId="77777777" w:rsidR="00603E4B" w:rsidRPr="002029AF" w:rsidRDefault="00603E4B" w:rsidP="00603E4B">
      <w:pPr>
        <w:pStyle w:val="ARbody"/>
      </w:pPr>
      <w:r w:rsidRPr="002029AF">
        <w:t>The program is offered once a year, across two grant categories:</w:t>
      </w:r>
    </w:p>
    <w:p w14:paraId="4F5A917E" w14:textId="77777777" w:rsidR="00603E4B" w:rsidRPr="002029AF" w:rsidRDefault="00603E4B" w:rsidP="00FF3CAB">
      <w:pPr>
        <w:pStyle w:val="ARbullet1"/>
        <w:numPr>
          <w:ilvl w:val="0"/>
          <w:numId w:val="51"/>
        </w:numPr>
      </w:pPr>
      <w:r w:rsidRPr="002029AF">
        <w:t>School Shade Grants Program</w:t>
      </w:r>
    </w:p>
    <w:p w14:paraId="608C696F" w14:textId="77777777" w:rsidR="00603E4B" w:rsidRPr="002029AF" w:rsidRDefault="00603E4B" w:rsidP="00FF3CAB">
      <w:pPr>
        <w:pStyle w:val="ARbullet1"/>
        <w:numPr>
          <w:ilvl w:val="0"/>
          <w:numId w:val="51"/>
        </w:numPr>
      </w:pPr>
      <w:r w:rsidRPr="002029AF">
        <w:t>Community Shade Grants Program.</w:t>
      </w:r>
    </w:p>
    <w:p w14:paraId="05B5BF4A" w14:textId="77777777" w:rsidR="00603E4B" w:rsidRPr="002029AF" w:rsidRDefault="00603E4B" w:rsidP="00603E4B">
      <w:pPr>
        <w:pStyle w:val="ARbodyafterbullets"/>
      </w:pPr>
      <w:r w:rsidRPr="002029AF">
        <w:t>As a result of this program, schools and other community spaces can continue to have sun smart spaces for children, reducing their risk of skin cancer later in life.</w:t>
      </w:r>
    </w:p>
    <w:p w14:paraId="287825F1" w14:textId="05B8FF15" w:rsidR="00603E4B" w:rsidRPr="002029AF" w:rsidRDefault="00603E4B" w:rsidP="00603E4B">
      <w:pPr>
        <w:pStyle w:val="ARbody"/>
      </w:pPr>
      <w:r w:rsidRPr="002029AF">
        <w:t>The program commenced in 2015 and has awarded 1,325 grants totalling over $12 million to</w:t>
      </w:r>
      <w:r w:rsidR="00496673">
        <w:t> </w:t>
      </w:r>
      <w:r w:rsidRPr="002029AF">
        <w:t>date.</w:t>
      </w:r>
    </w:p>
    <w:p w14:paraId="245460E6" w14:textId="77777777" w:rsidR="00603E4B" w:rsidRPr="002029AF" w:rsidRDefault="00603E4B" w:rsidP="00603E4B">
      <w:pPr>
        <w:pStyle w:val="Heading6"/>
        <w:rPr>
          <w:lang w:val="en-AU"/>
        </w:rPr>
      </w:pPr>
      <w:r w:rsidRPr="002029AF">
        <w:rPr>
          <w:lang w:val="en-AU"/>
        </w:rPr>
        <w:t>More cancer research to improve screening rates</w:t>
      </w:r>
    </w:p>
    <w:p w14:paraId="541622EF" w14:textId="77777777" w:rsidR="00603E4B" w:rsidRPr="002029AF" w:rsidRDefault="00603E4B" w:rsidP="00603E4B">
      <w:pPr>
        <w:pStyle w:val="ARbody"/>
      </w:pPr>
      <w:r w:rsidRPr="002029AF">
        <w:t>Victorian researchers have continued to make new breakthroughs in cancer prevention, treatment and care, with a focus on improving screening rates.</w:t>
      </w:r>
    </w:p>
    <w:p w14:paraId="7046FA52" w14:textId="77777777" w:rsidR="00603E4B" w:rsidRPr="002029AF" w:rsidRDefault="00603E4B" w:rsidP="00603E4B">
      <w:pPr>
        <w:pStyle w:val="ARbody"/>
      </w:pPr>
      <w:r w:rsidRPr="002029AF">
        <w:t>Twenty-two recipients from the Victorian Cancer Agency’s latest grants round have shared in more than $10 million in research grants to work on ground-breaking discoveries.</w:t>
      </w:r>
    </w:p>
    <w:p w14:paraId="6DFE1146" w14:textId="1C021B33" w:rsidR="00603E4B" w:rsidRPr="002029AF" w:rsidRDefault="00603E4B" w:rsidP="00603E4B">
      <w:pPr>
        <w:pStyle w:val="ARbody"/>
      </w:pPr>
      <w:r w:rsidRPr="002029AF">
        <w:t>The Victorian Cancer Agency also awarded 18</w:t>
      </w:r>
      <w:r w:rsidR="00496673">
        <w:t> </w:t>
      </w:r>
      <w:r w:rsidRPr="002029AF">
        <w:t>fellowships to support clinicians and researchers at different stages of their career. Since 2006, more than $225 million has been allocated towards cancer research.</w:t>
      </w:r>
    </w:p>
    <w:p w14:paraId="46E9A370" w14:textId="77777777" w:rsidR="00603E4B" w:rsidRPr="002029AF" w:rsidRDefault="00603E4B" w:rsidP="00603E4B">
      <w:pPr>
        <w:pStyle w:val="ARbody"/>
      </w:pPr>
      <w:r w:rsidRPr="002029AF">
        <w:t>The Victorian Cancer Agency is rapidly translating research into treatments and clinical care and is improving outcomes for Victorians with cancer.</w:t>
      </w:r>
    </w:p>
    <w:p w14:paraId="0C2FE704" w14:textId="77777777" w:rsidR="00603E4B" w:rsidRPr="002029AF" w:rsidRDefault="00603E4B" w:rsidP="00603E4B">
      <w:pPr>
        <w:pStyle w:val="Heading6"/>
        <w:rPr>
          <w:lang w:val="en-AU"/>
        </w:rPr>
      </w:pPr>
      <w:r w:rsidRPr="002029AF">
        <w:rPr>
          <w:lang w:val="en-AU"/>
        </w:rPr>
        <w:t>IVF access for all Victorians</w:t>
      </w:r>
    </w:p>
    <w:p w14:paraId="24BE4A70" w14:textId="2B24D45A" w:rsidR="00603E4B" w:rsidRPr="002029AF" w:rsidRDefault="00603E4B" w:rsidP="00603E4B">
      <w:pPr>
        <w:pStyle w:val="ARbody"/>
      </w:pPr>
      <w:r w:rsidRPr="002029AF">
        <w:t>Victorians now have easier and fairer access to assisted reproductive treatment after legislation passed in June 2020, removing the requirement for</w:t>
      </w:r>
      <w:r w:rsidR="00496673">
        <w:t> </w:t>
      </w:r>
      <w:r w:rsidRPr="002029AF">
        <w:t>women and their partners to undergo police and child protection order checks before accessing treatment.</w:t>
      </w:r>
    </w:p>
    <w:p w14:paraId="333A7731" w14:textId="77777777" w:rsidR="00603E4B" w:rsidRPr="002029AF" w:rsidRDefault="00603E4B" w:rsidP="00603E4B">
      <w:pPr>
        <w:pStyle w:val="ARbody"/>
      </w:pPr>
      <w:r w:rsidRPr="002029AF">
        <w:t>This will impact an estimated 25,000 women and their partners who access assisted reproductive treatment in Victoria each year.</w:t>
      </w:r>
    </w:p>
    <w:p w14:paraId="64FB57BC" w14:textId="77777777" w:rsidR="00603E4B" w:rsidRPr="002029AF" w:rsidRDefault="00603E4B" w:rsidP="00603E4B">
      <w:pPr>
        <w:pStyle w:val="Heading6"/>
        <w:rPr>
          <w:szCs w:val="20"/>
          <w:lang w:val="en-AU"/>
        </w:rPr>
      </w:pPr>
      <w:r w:rsidRPr="002029AF">
        <w:rPr>
          <w:szCs w:val="20"/>
          <w:lang w:val="en-AU"/>
        </w:rPr>
        <w:lastRenderedPageBreak/>
        <w:t>Medically supervised injecting room</w:t>
      </w:r>
    </w:p>
    <w:p w14:paraId="1961A556" w14:textId="77777777" w:rsidR="00603E4B" w:rsidRPr="002029AF" w:rsidRDefault="00603E4B" w:rsidP="00603E4B">
      <w:pPr>
        <w:pStyle w:val="ARbody"/>
      </w:pPr>
      <w:r w:rsidRPr="002029AF">
        <w:t>In June 2020, the Victorian Government accepted all the recommendations of the independent review of Victoria’s first medically supervised injecting room.</w:t>
      </w:r>
    </w:p>
    <w:p w14:paraId="52108625" w14:textId="1458DFD2" w:rsidR="00603E4B" w:rsidRPr="002029AF" w:rsidRDefault="00603E4B" w:rsidP="00603E4B">
      <w:pPr>
        <w:pStyle w:val="ARbody"/>
      </w:pPr>
      <w:r w:rsidRPr="002029AF">
        <w:t>The 18-month review found that the medically safe injecting room in North Richmond received over 119,000 visits and saved at least 21 lives. It found it</w:t>
      </w:r>
      <w:r w:rsidR="00496673">
        <w:t> </w:t>
      </w:r>
      <w:r w:rsidRPr="002029AF">
        <w:t>is changing lives in a positive way for people struggling with drug addiction.</w:t>
      </w:r>
    </w:p>
    <w:p w14:paraId="5EF7123B" w14:textId="77777777" w:rsidR="00603E4B" w:rsidRPr="002029AF" w:rsidRDefault="00603E4B" w:rsidP="00603E4B">
      <w:pPr>
        <w:pStyle w:val="ARbody"/>
      </w:pPr>
      <w:r w:rsidRPr="002029AF">
        <w:rPr>
          <w:lang w:eastAsia="en-AU"/>
        </w:rPr>
        <w:t>The facility has safely managed 3,200 overdoses since it opened – taking pressure off emergency departments and reducing ambulance call outs. It has led to a decrease in reports of public injecting in the North Richmond area.</w:t>
      </w:r>
    </w:p>
    <w:p w14:paraId="478344A3" w14:textId="77777777" w:rsidR="00603E4B" w:rsidRPr="002029AF" w:rsidRDefault="00603E4B" w:rsidP="00603E4B">
      <w:pPr>
        <w:pStyle w:val="ARbody"/>
      </w:pPr>
      <w:r w:rsidRPr="002029AF">
        <w:rPr>
          <w:lang w:eastAsia="en-AU"/>
        </w:rPr>
        <w:t>Staff have also provided more than 13,000 health and social support interventions for issues relating to mental health, housing and family violence – helping those suffering with addiction recover and rebuild their lives.</w:t>
      </w:r>
    </w:p>
    <w:p w14:paraId="11ED0DF0" w14:textId="77777777" w:rsidR="00603E4B" w:rsidRPr="002029AF" w:rsidRDefault="00603E4B" w:rsidP="00603E4B">
      <w:pPr>
        <w:pStyle w:val="ARbody"/>
      </w:pPr>
      <w:r w:rsidRPr="002029AF">
        <w:rPr>
          <w:lang w:eastAsia="en-AU"/>
        </w:rPr>
        <w:t>As a result of the findings, the review panel’s expert advice was that the trial be extended for three years.</w:t>
      </w:r>
    </w:p>
    <w:p w14:paraId="4E3C792B" w14:textId="77777777" w:rsidR="00603E4B" w:rsidRPr="002029AF" w:rsidRDefault="00603E4B" w:rsidP="00603E4B">
      <w:pPr>
        <w:pStyle w:val="Heading5"/>
        <w:rPr>
          <w:rFonts w:eastAsia="Calibri"/>
        </w:rPr>
      </w:pPr>
      <w:r w:rsidRPr="002029AF">
        <w:rPr>
          <w:rFonts w:eastAsia="Calibri"/>
        </w:rPr>
        <w:t>Key result 11: Reduce deaths resulting from misuse of prescription medicines</w:t>
      </w:r>
    </w:p>
    <w:p w14:paraId="01013D51" w14:textId="77777777" w:rsidR="00603E4B" w:rsidRPr="002029AF" w:rsidRDefault="00603E4B" w:rsidP="00603E4B">
      <w:pPr>
        <w:pStyle w:val="Heading6"/>
        <w:rPr>
          <w:lang w:val="en-AU"/>
        </w:rPr>
      </w:pPr>
      <w:bookmarkStart w:id="36" w:name="_Ref492894463"/>
      <w:bookmarkStart w:id="37" w:name="_Ref492905644"/>
      <w:r w:rsidRPr="002029AF">
        <w:rPr>
          <w:lang w:val="en-AU"/>
        </w:rPr>
        <w:t>SafeScript</w:t>
      </w:r>
    </w:p>
    <w:p w14:paraId="6B6A8026" w14:textId="77777777" w:rsidR="001D75D0" w:rsidRPr="002029AF" w:rsidRDefault="001D75D0" w:rsidP="001D75D0">
      <w:pPr>
        <w:pStyle w:val="ARbody"/>
      </w:pPr>
      <w:r w:rsidRPr="002029AF">
        <w:t>The Victorian Government has fully implemented its comprehensive real-time prescription monitoring system, SafeScript. SafeScript gives doctors, nurse practitioners and pharmacists access to up-to-the-minute information on the prescription histories of their patients. It monitors all Schedule 8 medicines</w:t>
      </w:r>
      <w:r>
        <w:t>,</w:t>
      </w:r>
      <w:r w:rsidRPr="002029AF">
        <w:t xml:space="preserve"> such as morphine and oxycodone</w:t>
      </w:r>
      <w:r>
        <w:t>,</w:t>
      </w:r>
      <w:r w:rsidRPr="002029AF">
        <w:t xml:space="preserve"> as well as Schedule 4 drugs of dependence, Z-group medicines and quetiapine.</w:t>
      </w:r>
    </w:p>
    <w:p w14:paraId="6FC3256B" w14:textId="77777777" w:rsidR="001D75D0" w:rsidRPr="002029AF" w:rsidRDefault="001D75D0" w:rsidP="001D75D0">
      <w:pPr>
        <w:pStyle w:val="ARbody"/>
      </w:pPr>
      <w:r w:rsidRPr="002029AF">
        <w:t>Up</w:t>
      </w:r>
      <w:r>
        <w:t>-</w:t>
      </w:r>
      <w:r w:rsidRPr="002029AF">
        <w:t>to</w:t>
      </w:r>
      <w:r>
        <w:t>-</w:t>
      </w:r>
      <w:r w:rsidRPr="002029AF">
        <w:t>date, reliable patient data sources such as SafeScript support prescribers and pharmacists to make safer clinical decisions regarding the use of high-risk medicines for their patients.</w:t>
      </w:r>
    </w:p>
    <w:p w14:paraId="2C7F5E34" w14:textId="77777777" w:rsidR="001D75D0" w:rsidRPr="002029AF" w:rsidRDefault="001D75D0" w:rsidP="001D75D0">
      <w:pPr>
        <w:pStyle w:val="ARbody"/>
      </w:pPr>
      <w:r w:rsidRPr="002029AF">
        <w:t>The Victorian coroners’ data report from 2019 shows that prescription medicine overdose deaths decreased for the first time in a decade, after ten years of year-on-year increases (405 deaths in 2019 compared to 424 in 2018). The report noted that the implementation of SafeScript is likely to have contributed to this reduction in overdose deaths.</w:t>
      </w:r>
    </w:p>
    <w:p w14:paraId="385F4FA6" w14:textId="02D92629" w:rsidR="00603E4B" w:rsidRPr="002029AF" w:rsidRDefault="00603E4B" w:rsidP="00603E4B">
      <w:pPr>
        <w:pStyle w:val="Heading5"/>
        <w:rPr>
          <w:rFonts w:eastAsia="Calibri"/>
        </w:rPr>
      </w:pPr>
      <w:r w:rsidRPr="002029AF">
        <w:rPr>
          <w:rFonts w:eastAsia="Calibri"/>
        </w:rPr>
        <w:t>Key result 12: Increase immunisation coverage rates at two years of age and at</w:t>
      </w:r>
      <w:r w:rsidR="00496673">
        <w:rPr>
          <w:rFonts w:eastAsia="Calibri"/>
        </w:rPr>
        <w:t> </w:t>
      </w:r>
      <w:r w:rsidRPr="002029AF">
        <w:rPr>
          <w:rFonts w:eastAsia="Calibri"/>
        </w:rPr>
        <w:t>school entry</w:t>
      </w:r>
    </w:p>
    <w:p w14:paraId="3B7F5E75" w14:textId="77777777" w:rsidR="00603E4B" w:rsidRPr="002029AF" w:rsidRDefault="00603E4B" w:rsidP="00603E4B">
      <w:pPr>
        <w:pStyle w:val="Heading6"/>
        <w:rPr>
          <w:lang w:val="en-AU"/>
        </w:rPr>
      </w:pPr>
      <w:r w:rsidRPr="002029AF">
        <w:rPr>
          <w:lang w:val="en-AU"/>
        </w:rPr>
        <w:t>Protecting Victorians through flu vaccinations and immunisations</w:t>
      </w:r>
    </w:p>
    <w:p w14:paraId="20578F77" w14:textId="77777777" w:rsidR="00603E4B" w:rsidRPr="002029AF" w:rsidRDefault="00603E4B" w:rsidP="00603E4B">
      <w:pPr>
        <w:pStyle w:val="ARbody"/>
      </w:pPr>
      <w:r w:rsidRPr="002029AF">
        <w:t>Each year the flu affects thousands of Victorians and puts an enormous amount of pressure on Victoria’s health system. More than 3,500 avoidable deaths occur in Australia every year from complications of seasonal flu, including pneumonia.</w:t>
      </w:r>
    </w:p>
    <w:p w14:paraId="5A277D5A" w14:textId="77777777" w:rsidR="00603E4B" w:rsidRPr="002029AF" w:rsidRDefault="00603E4B" w:rsidP="00603E4B">
      <w:pPr>
        <w:pStyle w:val="ARbody"/>
      </w:pPr>
      <w:r w:rsidRPr="002029AF">
        <w:t>In 2019–20, the department achieved:</w:t>
      </w:r>
    </w:p>
    <w:p w14:paraId="3800DD95" w14:textId="11B8701C" w:rsidR="00603E4B" w:rsidRPr="002029AF" w:rsidRDefault="00603E4B" w:rsidP="00FF3CAB">
      <w:pPr>
        <w:pStyle w:val="ARbullet1"/>
        <w:numPr>
          <w:ilvl w:val="0"/>
          <w:numId w:val="51"/>
        </w:numPr>
      </w:pPr>
      <w:r w:rsidRPr="002029AF">
        <w:t>the highest number of influenza vaccine doses</w:t>
      </w:r>
      <w:r w:rsidR="005E1789">
        <w:t> </w:t>
      </w:r>
      <w:r w:rsidRPr="002029AF">
        <w:t>ever distributed ─ 2,444,138 doses were</w:t>
      </w:r>
      <w:r w:rsidR="005E1789">
        <w:t> </w:t>
      </w:r>
      <w:r w:rsidRPr="002029AF">
        <w:t>distributed, which was 251,860 more doses than in 2018</w:t>
      </w:r>
      <w:r w:rsidR="000F13EA" w:rsidRPr="002029AF">
        <w:t>–</w:t>
      </w:r>
      <w:r w:rsidRPr="002029AF">
        <w:t>19</w:t>
      </w:r>
    </w:p>
    <w:p w14:paraId="14416896" w14:textId="7CEBBE4F" w:rsidR="00603E4B" w:rsidRPr="002029AF" w:rsidRDefault="00603E4B" w:rsidP="00FF3CAB">
      <w:pPr>
        <w:pStyle w:val="ARbullet1"/>
        <w:numPr>
          <w:ilvl w:val="0"/>
          <w:numId w:val="51"/>
        </w:numPr>
      </w:pPr>
      <w:r w:rsidRPr="002029AF">
        <w:t>Immunisation coverage of 97.65</w:t>
      </w:r>
      <w:r w:rsidR="00D75B93" w:rsidRPr="002029AF">
        <w:t xml:space="preserve"> per cent</w:t>
      </w:r>
      <w:r w:rsidRPr="002029AF">
        <w:t xml:space="preserve"> fully immunised for Aboriginal children turning five years of age</w:t>
      </w:r>
    </w:p>
    <w:p w14:paraId="2C55F299" w14:textId="47C7FDB5" w:rsidR="00603E4B" w:rsidRPr="002029AF" w:rsidRDefault="00603E4B" w:rsidP="00FF3CAB">
      <w:pPr>
        <w:pStyle w:val="ARbullet1"/>
        <w:numPr>
          <w:ilvl w:val="0"/>
          <w:numId w:val="51"/>
        </w:numPr>
      </w:pPr>
      <w:r w:rsidRPr="002029AF">
        <w:t>Immunisation coverage of 95.75</w:t>
      </w:r>
      <w:r w:rsidR="00D75B93" w:rsidRPr="002029AF">
        <w:t xml:space="preserve"> per cent</w:t>
      </w:r>
      <w:r w:rsidRPr="002029AF">
        <w:t xml:space="preserve"> fully vaccinated for children turning five years of age.</w:t>
      </w:r>
    </w:p>
    <w:p w14:paraId="7848A295" w14:textId="77777777" w:rsidR="00603E4B" w:rsidRPr="002029AF" w:rsidRDefault="00603E4B" w:rsidP="00603E4B">
      <w:pPr>
        <w:pStyle w:val="Heading5"/>
        <w:rPr>
          <w:rFonts w:eastAsia="Calibri"/>
        </w:rPr>
      </w:pPr>
      <w:r w:rsidRPr="002029AF">
        <w:rPr>
          <w:rFonts w:eastAsia="Calibri"/>
        </w:rPr>
        <w:t>COVID-19 objective 1: Reduce the morbidity and mortality rates associated with coronavirus (COVID-19)</w:t>
      </w:r>
    </w:p>
    <w:p w14:paraId="15922784" w14:textId="77777777" w:rsidR="00603E4B" w:rsidRPr="002029AF" w:rsidRDefault="00603E4B" w:rsidP="00603E4B">
      <w:pPr>
        <w:pStyle w:val="ARbody"/>
      </w:pPr>
      <w:r w:rsidRPr="002029AF">
        <w:t>As effective medical treatments are still being developed and trailed to adequately address coronavirus (COVID-19) the department has ensured morbidity and mortality rates associated with it are reduced by restricting its spread. This has been achieved by ensuring that coronavirus (COVID-19) cases are identified, tested, traced and isolated as quickly as possible.</w:t>
      </w:r>
    </w:p>
    <w:p w14:paraId="4AF78AC4" w14:textId="77777777" w:rsidR="001D75D0" w:rsidRPr="002029AF" w:rsidRDefault="001D75D0" w:rsidP="001D75D0">
      <w:pPr>
        <w:pStyle w:val="ARbody"/>
      </w:pPr>
      <w:r w:rsidRPr="002029AF">
        <w:t xml:space="preserve">To support this approach the department has strengthened contract tracing and the public health team to ensure all relevant contacts are found and receive advice as soon as possible, while targeted testing and rapid response units have been implemented to ensure clusters across our communities </w:t>
      </w:r>
      <w:r>
        <w:t>are</w:t>
      </w:r>
      <w:r w:rsidRPr="002029AF">
        <w:t xml:space="preserve"> identified and responded to.</w:t>
      </w:r>
    </w:p>
    <w:p w14:paraId="39330A90" w14:textId="77777777" w:rsidR="00603E4B" w:rsidRPr="002029AF" w:rsidRDefault="00603E4B" w:rsidP="00603E4B">
      <w:pPr>
        <w:pStyle w:val="Heading6"/>
        <w:rPr>
          <w:lang w:val="en-AU"/>
        </w:rPr>
      </w:pPr>
      <w:r w:rsidRPr="002029AF">
        <w:rPr>
          <w:lang w:val="en-AU"/>
        </w:rPr>
        <w:t>Rapid response unit</w:t>
      </w:r>
    </w:p>
    <w:p w14:paraId="762908CE" w14:textId="77777777" w:rsidR="00603E4B" w:rsidRPr="002029AF" w:rsidRDefault="00603E4B" w:rsidP="00603E4B">
      <w:pPr>
        <w:pStyle w:val="ARbody"/>
      </w:pPr>
      <w:r w:rsidRPr="002029AF">
        <w:t>A new ‘outbreak unit’, tasked with preventing, responding and limiting outbreaks of coronavirus (COVID-19), was established within the department’s public health team.</w:t>
      </w:r>
    </w:p>
    <w:p w14:paraId="447BF574" w14:textId="77777777" w:rsidR="0027759D" w:rsidRDefault="0027759D" w:rsidP="00603E4B">
      <w:pPr>
        <w:pStyle w:val="ARbody"/>
      </w:pPr>
      <w:r>
        <w:br w:type="page"/>
      </w:r>
    </w:p>
    <w:p w14:paraId="1F43C684" w14:textId="7EF97EA1" w:rsidR="00603E4B" w:rsidRPr="002029AF" w:rsidRDefault="00603E4B" w:rsidP="00603E4B">
      <w:pPr>
        <w:pStyle w:val="ARbody"/>
      </w:pPr>
      <w:r w:rsidRPr="002029AF">
        <w:lastRenderedPageBreak/>
        <w:t>The unit includes new rapid response outbreak squads, staffed by public health specialists and clinicians, who ensure appropriate testing, contact tracing and deep cleaning are carried out as soon as a cluster is identified.</w:t>
      </w:r>
    </w:p>
    <w:p w14:paraId="06237D37" w14:textId="77777777" w:rsidR="00603E4B" w:rsidRPr="002029AF" w:rsidRDefault="00603E4B" w:rsidP="00603E4B">
      <w:pPr>
        <w:pStyle w:val="ARbody"/>
      </w:pPr>
      <w:r w:rsidRPr="002029AF">
        <w:t>The squads make proactive visits to high-risk facilities, businesses and industries, and work with local services on infection control and prevention.</w:t>
      </w:r>
    </w:p>
    <w:p w14:paraId="1A87507E" w14:textId="77777777" w:rsidR="00603E4B" w:rsidRPr="002029AF" w:rsidRDefault="00603E4B" w:rsidP="00603E4B">
      <w:pPr>
        <w:pStyle w:val="Heading6"/>
        <w:rPr>
          <w:lang w:val="en-AU"/>
        </w:rPr>
      </w:pPr>
      <w:r w:rsidRPr="002029AF">
        <w:rPr>
          <w:lang w:val="en-AU"/>
        </w:rPr>
        <w:t>Pillars of disease control: contact tracing</w:t>
      </w:r>
    </w:p>
    <w:p w14:paraId="5427BD60" w14:textId="77777777" w:rsidR="00603E4B" w:rsidRPr="002029AF" w:rsidRDefault="00603E4B" w:rsidP="00603E4B">
      <w:pPr>
        <w:pStyle w:val="ARbody"/>
      </w:pPr>
      <w:r w:rsidRPr="002029AF">
        <w:t>Contract tracing is one of the major pillars of communicable disease control, along with primary prevention and timely case identification.</w:t>
      </w:r>
    </w:p>
    <w:p w14:paraId="1398F048" w14:textId="76D5B1F8" w:rsidR="00603E4B" w:rsidRPr="002029AF" w:rsidRDefault="00603E4B" w:rsidP="00603E4B">
      <w:pPr>
        <w:pStyle w:val="ARbody"/>
      </w:pPr>
      <w:r w:rsidRPr="002029AF">
        <w:t>As part of its public health response to coronavirus (COVID-19), the Victorian Government rapidly invested in the department to scale up its response. This included an increase to the contact tracing and public health team from 57 people at the start of coronavirus (COVID-19) to 1,891 staff in June 2020.</w:t>
      </w:r>
    </w:p>
    <w:p w14:paraId="6D46BCEA" w14:textId="77777777" w:rsidR="00603E4B" w:rsidRPr="002029AF" w:rsidRDefault="00603E4B" w:rsidP="00603E4B">
      <w:pPr>
        <w:pStyle w:val="ARbody"/>
      </w:pPr>
      <w:r w:rsidRPr="002029AF">
        <w:t>The team of epidemiologists, public health clinicians, phone operators, logistics and data entry staff have been working 24 hours a day, calling people who have been diagnosed with coronavirus (COVID-19) to ensure all close contacts are found and people receive the advice they need as soon as possible.</w:t>
      </w:r>
    </w:p>
    <w:p w14:paraId="4DCA5724" w14:textId="77777777" w:rsidR="00603E4B" w:rsidRPr="002029AF" w:rsidRDefault="00603E4B" w:rsidP="00603E4B">
      <w:pPr>
        <w:pStyle w:val="ARbody"/>
        <w:rPr>
          <w:lang w:eastAsia="en-AU"/>
        </w:rPr>
      </w:pPr>
      <w:r w:rsidRPr="002029AF">
        <w:rPr>
          <w:lang w:eastAsia="en-AU"/>
        </w:rPr>
        <w:t>Research from the Burnet Institute shows that if every case and all their contacts are isolated within 48 hours from the first test result being received, this can prevent 80 per cent of new infections.</w:t>
      </w:r>
    </w:p>
    <w:p w14:paraId="5DA63B9E" w14:textId="3E5632D5" w:rsidR="00675C40" w:rsidRPr="00D94820" w:rsidRDefault="00603E4B" w:rsidP="00D94820">
      <w:pPr>
        <w:pStyle w:val="ARbody"/>
      </w:pPr>
      <w:r w:rsidRPr="002029AF">
        <w:t>To help achieve this level of tracing, the department’s contact tracing team implemented a new contact system that sent daily messages to close contacts of confirmed cases and recently returned travellers, advising them of the need to isolate.</w:t>
      </w:r>
      <w:r w:rsidR="0026092A">
        <w:t xml:space="preserve"> </w:t>
      </w:r>
      <w:r w:rsidR="00675C40" w:rsidRPr="00D94820">
        <w:t xml:space="preserve">The department has </w:t>
      </w:r>
      <w:r w:rsidR="001708C9">
        <w:t>also</w:t>
      </w:r>
      <w:r w:rsidR="00675C40" w:rsidRPr="00D94820">
        <w:t xml:space="preserve"> </w:t>
      </w:r>
      <w:r w:rsidR="001708C9" w:rsidRPr="00D94820">
        <w:t>strengthened</w:t>
      </w:r>
      <w:r w:rsidR="00675C40" w:rsidRPr="00D94820">
        <w:t xml:space="preserve"> its contact tracing performance by:</w:t>
      </w:r>
    </w:p>
    <w:p w14:paraId="0AEAD091" w14:textId="77777777" w:rsidR="00650F90" w:rsidRDefault="00650F90" w:rsidP="00FF3CAB">
      <w:pPr>
        <w:pStyle w:val="ARbullet1"/>
        <w:numPr>
          <w:ilvl w:val="0"/>
          <w:numId w:val="51"/>
        </w:numPr>
      </w:pPr>
      <w:r>
        <w:t>developing an entirely digital solution to support data generated from interviewing cases and close contacts, replacing the manual paper-based process</w:t>
      </w:r>
    </w:p>
    <w:p w14:paraId="6D500245" w14:textId="77777777" w:rsidR="00650F90" w:rsidRDefault="00650F90" w:rsidP="00FF3CAB">
      <w:pPr>
        <w:pStyle w:val="ARbullet1"/>
        <w:numPr>
          <w:ilvl w:val="0"/>
          <w:numId w:val="51"/>
        </w:numPr>
      </w:pPr>
      <w:r>
        <w:t>updating the Public Health Event Surveillance System</w:t>
      </w:r>
    </w:p>
    <w:p w14:paraId="317408BA" w14:textId="77777777" w:rsidR="00650F90" w:rsidRDefault="00650F90" w:rsidP="00FF3CAB">
      <w:pPr>
        <w:pStyle w:val="ARbullet1"/>
        <w:numPr>
          <w:ilvl w:val="0"/>
          <w:numId w:val="51"/>
        </w:numPr>
      </w:pPr>
      <w:r>
        <w:t>changing regulations to make it easier for laboratories and medical practitioners to notify new coronavirus (COVID-19) cases, using means such as online forms</w:t>
      </w:r>
    </w:p>
    <w:p w14:paraId="4B7FA48E" w14:textId="77777777" w:rsidR="00650F90" w:rsidRDefault="00650F90" w:rsidP="00FF3CAB">
      <w:pPr>
        <w:pStyle w:val="ARbullet1"/>
        <w:numPr>
          <w:ilvl w:val="0"/>
          <w:numId w:val="51"/>
        </w:numPr>
      </w:pPr>
      <w:r>
        <w:t>establishing regional case and contact tracing teams in regional health services</w:t>
      </w:r>
    </w:p>
    <w:p w14:paraId="7AD8C562" w14:textId="77777777" w:rsidR="00650F90" w:rsidRDefault="00650F90" w:rsidP="00FF3CAB">
      <w:pPr>
        <w:pStyle w:val="ARbullet1"/>
        <w:numPr>
          <w:ilvl w:val="0"/>
          <w:numId w:val="51"/>
        </w:numPr>
      </w:pPr>
      <w:r>
        <w:t>initiating employer notifications for cases in workplace settings</w:t>
      </w:r>
    </w:p>
    <w:p w14:paraId="232050F6" w14:textId="59F6432A" w:rsidR="00CE56EA" w:rsidRDefault="00CE56EA" w:rsidP="00FF3CAB">
      <w:pPr>
        <w:pStyle w:val="ARbullet1"/>
        <w:numPr>
          <w:ilvl w:val="0"/>
          <w:numId w:val="51"/>
        </w:numPr>
      </w:pPr>
      <w:r>
        <w:t>providing clear guidance on the department website and over the phone to businesses regarding how to identify and notify close contacts.</w:t>
      </w:r>
    </w:p>
    <w:p w14:paraId="577B8383" w14:textId="1298C946" w:rsidR="001708C9" w:rsidRPr="001708C9" w:rsidRDefault="00D213A9" w:rsidP="00DE34E4">
      <w:pPr>
        <w:pStyle w:val="ARbodyafterbullets"/>
      </w:pPr>
      <w:r w:rsidRPr="00FB1957">
        <w:t>T</w:t>
      </w:r>
      <w:r w:rsidR="0026092A" w:rsidRPr="00FB1957">
        <w:t>he</w:t>
      </w:r>
      <w:r w:rsidR="0026092A">
        <w:t xml:space="preserve"> success of these measures is demonstrated by the results:</w:t>
      </w:r>
      <w:r w:rsidR="001708C9" w:rsidRPr="001708C9">
        <w:t xml:space="preserve"> by the week ending 6 October 2020, 98.6 per cent of new cases </w:t>
      </w:r>
      <w:r w:rsidR="0026092A">
        <w:t>were</w:t>
      </w:r>
      <w:r w:rsidR="0026092A" w:rsidRPr="001708C9">
        <w:t xml:space="preserve"> </w:t>
      </w:r>
      <w:r w:rsidR="001708C9" w:rsidRPr="001708C9">
        <w:t>interviewed within a day of the case being notified to the department, and a message was sent to 99.7 per cent of all known contacts within 48 hours of that notification, helping to prevent new infections.</w:t>
      </w:r>
    </w:p>
    <w:p w14:paraId="20DCB104" w14:textId="29407400" w:rsidR="00603E4B" w:rsidRPr="002029AF" w:rsidRDefault="00603E4B" w:rsidP="00603E4B">
      <w:pPr>
        <w:pStyle w:val="Heading6"/>
        <w:rPr>
          <w:lang w:val="en-AU"/>
        </w:rPr>
      </w:pPr>
      <w:r w:rsidRPr="002029AF">
        <w:rPr>
          <w:lang w:val="en-AU"/>
        </w:rPr>
        <w:t>Testing blitz</w:t>
      </w:r>
    </w:p>
    <w:p w14:paraId="4D7F9D4D" w14:textId="40326A26" w:rsidR="00603E4B" w:rsidRPr="002029AF" w:rsidRDefault="00603E4B" w:rsidP="00603E4B">
      <w:pPr>
        <w:pStyle w:val="ARbody"/>
        <w:rPr>
          <w:rFonts w:eastAsiaTheme="minorEastAsia"/>
          <w:szCs w:val="20"/>
        </w:rPr>
      </w:pPr>
      <w:r w:rsidRPr="002029AF">
        <w:t>Broad access to symptomatic testing</w:t>
      </w:r>
      <w:r w:rsidRPr="002029AF">
        <w:rPr>
          <w:rFonts w:eastAsiaTheme="minorEastAsia"/>
          <w:szCs w:val="20"/>
        </w:rPr>
        <w:t xml:space="preserve"> has been key</w:t>
      </w:r>
      <w:r w:rsidR="000F13EA" w:rsidRPr="002029AF">
        <w:rPr>
          <w:rFonts w:eastAsiaTheme="minorEastAsia"/>
          <w:szCs w:val="20"/>
        </w:rPr>
        <w:t> </w:t>
      </w:r>
      <w:r w:rsidRPr="002029AF">
        <w:rPr>
          <w:rFonts w:eastAsiaTheme="minorEastAsia"/>
          <w:szCs w:val="20"/>
        </w:rPr>
        <w:t>to the department’s coronavirus (COVID-19) response, ensuring that cases are identified and managed as soon as possible.</w:t>
      </w:r>
    </w:p>
    <w:p w14:paraId="33C26B50" w14:textId="77777777" w:rsidR="00603E4B" w:rsidRPr="002029AF" w:rsidRDefault="00603E4B" w:rsidP="00603E4B">
      <w:pPr>
        <w:pStyle w:val="ARbody"/>
        <w:rPr>
          <w:rFonts w:eastAsia="Calibri"/>
          <w:szCs w:val="20"/>
        </w:rPr>
      </w:pPr>
      <w:r w:rsidRPr="002029AF">
        <w:t xml:space="preserve">Initially, </w:t>
      </w:r>
      <w:r w:rsidRPr="002029AF">
        <w:rPr>
          <w:rFonts w:eastAsia="Calibri"/>
          <w:szCs w:val="20"/>
        </w:rPr>
        <w:t>testing was tightly targeted to returning travellers and people with symptoms. This targeted approach was progressively relaxed as pathology supplies improved and broad surveillance was prioritised.</w:t>
      </w:r>
    </w:p>
    <w:p w14:paraId="449BBBD2" w14:textId="77777777" w:rsidR="00603E4B" w:rsidRPr="002029AF" w:rsidRDefault="00603E4B" w:rsidP="00603E4B">
      <w:pPr>
        <w:pStyle w:val="ARbody"/>
        <w:rPr>
          <w:rFonts w:eastAsia="Calibri"/>
          <w:szCs w:val="20"/>
        </w:rPr>
      </w:pPr>
      <w:r w:rsidRPr="002029AF">
        <w:t xml:space="preserve">On 27 April 2020, the Victorian Government announced a </w:t>
      </w:r>
      <w:r w:rsidRPr="002029AF">
        <w:rPr>
          <w:rFonts w:eastAsia="Calibri"/>
          <w:szCs w:val="20"/>
        </w:rPr>
        <w:t>statewide testing blitz to better understand how coronavirus (COVID-19) was spreading in the community.</w:t>
      </w:r>
    </w:p>
    <w:p w14:paraId="25814660" w14:textId="77777777" w:rsidR="00603E4B" w:rsidRPr="002029AF" w:rsidRDefault="00603E4B" w:rsidP="00603E4B">
      <w:pPr>
        <w:pStyle w:val="ARbody"/>
        <w:rPr>
          <w:rFonts w:eastAsia="Calibri"/>
          <w:szCs w:val="20"/>
        </w:rPr>
      </w:pPr>
      <w:r w:rsidRPr="002029AF">
        <w:t>The</w:t>
      </w:r>
      <w:r w:rsidRPr="002029AF">
        <w:rPr>
          <w:rFonts w:eastAsia="Calibri"/>
          <w:szCs w:val="20"/>
        </w:rPr>
        <w:t xml:space="preserve"> testing blitz introduced widespread and convenient symptomatic and asymptomatic testing at drive-through, walk-up and mobile testing locations, supported by community engagement teams who provided the latest public health advice.</w:t>
      </w:r>
    </w:p>
    <w:p w14:paraId="6B75979B" w14:textId="48D41527" w:rsidR="00603E4B" w:rsidRPr="002029AF" w:rsidRDefault="00603E4B" w:rsidP="00B45A1D">
      <w:pPr>
        <w:pStyle w:val="ARbody"/>
      </w:pPr>
      <w:r w:rsidRPr="002029AF">
        <w:t>As at 14 June 2020, more than 590,000 Victorians had come forward for testing, giving Victoria one of the highest testing rates in the world, however, the department began targeted testing in communities with low testing rates, high case numbers, high-risk workforces and vulnerable groups, ensuring we ha</w:t>
      </w:r>
      <w:r w:rsidR="00EC2597">
        <w:t>d</w:t>
      </w:r>
      <w:r w:rsidRPr="002029AF">
        <w:t xml:space="preserve"> a full picture when it came to tracking the virus.</w:t>
      </w:r>
    </w:p>
    <w:p w14:paraId="19460122" w14:textId="237988BC" w:rsidR="00603E4B" w:rsidRPr="002029AF" w:rsidRDefault="00603E4B" w:rsidP="00B45A1D">
      <w:pPr>
        <w:pStyle w:val="ARbody"/>
      </w:pPr>
      <w:r w:rsidRPr="002029AF">
        <w:t>These efforts made a real difference to the department’s understanding of the spread of coronavirus (COVID-19) across a wide range of</w:t>
      </w:r>
      <w:r w:rsidR="00496673">
        <w:t> </w:t>
      </w:r>
      <w:r w:rsidRPr="002029AF">
        <w:t>communities in Victoria.</w:t>
      </w:r>
    </w:p>
    <w:p w14:paraId="2DA63784" w14:textId="77777777" w:rsidR="00603E4B" w:rsidRPr="002029AF" w:rsidRDefault="00603E4B" w:rsidP="00603E4B">
      <w:pPr>
        <w:pStyle w:val="Heading6"/>
        <w:rPr>
          <w:lang w:val="en-AU"/>
        </w:rPr>
      </w:pPr>
      <w:r w:rsidRPr="002029AF">
        <w:rPr>
          <w:lang w:val="en-AU"/>
        </w:rPr>
        <w:t>New research and public health surveillance</w:t>
      </w:r>
    </w:p>
    <w:p w14:paraId="5CAC8557" w14:textId="77777777" w:rsidR="00603E4B" w:rsidRPr="002029AF" w:rsidRDefault="00603E4B" w:rsidP="00603E4B">
      <w:pPr>
        <w:pStyle w:val="ARbody"/>
      </w:pPr>
      <w:r w:rsidRPr="002029AF">
        <w:t>Victoria’s world-leading medical research institutes were allocated $8 million to better understand transmission, immunity and the long-term health impacts of coronavirus (COVID-19).</w:t>
      </w:r>
    </w:p>
    <w:p w14:paraId="618431E5" w14:textId="246E01C1" w:rsidR="00603E4B" w:rsidRPr="002029AF" w:rsidRDefault="00603E4B" w:rsidP="00603E4B">
      <w:pPr>
        <w:pStyle w:val="ARbody"/>
      </w:pPr>
      <w:r w:rsidRPr="002029AF">
        <w:lastRenderedPageBreak/>
        <w:t>Public health surveillance was also increased, with ongoing testing of sewage to track the virus in the community and provide early signposts of localised outbreaks.</w:t>
      </w:r>
    </w:p>
    <w:p w14:paraId="2B461398" w14:textId="42FA97A3" w:rsidR="008D0664" w:rsidRPr="008D0664" w:rsidRDefault="008D0664" w:rsidP="008D0664">
      <w:pPr>
        <w:pStyle w:val="Heading6"/>
        <w:rPr>
          <w:lang w:val="en-AU"/>
        </w:rPr>
      </w:pPr>
      <w:r w:rsidRPr="008D0664">
        <w:rPr>
          <w:lang w:val="en-AU"/>
        </w:rPr>
        <w:t>Access to medicines</w:t>
      </w:r>
    </w:p>
    <w:p w14:paraId="3B1CF628" w14:textId="5C2CA64F" w:rsidR="001D75D0" w:rsidRDefault="001D75D0" w:rsidP="007D2943">
      <w:pPr>
        <w:pStyle w:val="ARbody"/>
      </w:pPr>
      <w:r>
        <w:t>Emergency provisions in the</w:t>
      </w:r>
      <w:r w:rsidR="007D2943">
        <w:t xml:space="preserve"> </w:t>
      </w:r>
      <w:r>
        <w:rPr>
          <w:i/>
          <w:iCs/>
        </w:rPr>
        <w:t>Drugs, Poisons and Controlled Substances Act</w:t>
      </w:r>
      <w:r w:rsidR="007D2943">
        <w:t xml:space="preserve"> </w:t>
      </w:r>
      <w:r w:rsidRPr="00731CC3">
        <w:rPr>
          <w:i/>
          <w:iCs/>
        </w:rPr>
        <w:t>1981</w:t>
      </w:r>
      <w:r>
        <w:t xml:space="preserve"> have been utilised during coronavirus (COVID-19) to ensure that Victorians can continue to access the essential medicines they need during the pandemic.</w:t>
      </w:r>
    </w:p>
    <w:p w14:paraId="22982278" w14:textId="6E1F9347" w:rsidR="008D0664" w:rsidRPr="002029AF" w:rsidRDefault="001D75D0" w:rsidP="00603E4B">
      <w:pPr>
        <w:pStyle w:val="ARbody"/>
      </w:pPr>
      <w:r w:rsidRPr="00741BAA">
        <w:t>Th</w:t>
      </w:r>
      <w:r>
        <w:t xml:space="preserve">e use of these provisions has allowed pharmacists to ensure continuity of treatment to Victorians where accessing a prescriber in time to obtain a prescription was impracticable. It has also ensured the ongoing supply of medicines, </w:t>
      </w:r>
      <w:r w:rsidRPr="001D75D0">
        <w:t>by curbing stockpiling and protecting reserve supplies for essential treatments or, in the event of a medicine shortage, allowing for the sale or supply of a specified substitute medicine.</w:t>
      </w:r>
    </w:p>
    <w:p w14:paraId="277B0F7C" w14:textId="77777777" w:rsidR="00603E4B" w:rsidRPr="002029AF" w:rsidRDefault="00603E4B" w:rsidP="00603E4B">
      <w:pPr>
        <w:pStyle w:val="Heading5"/>
        <w:rPr>
          <w:rFonts w:eastAsia="Calibri"/>
        </w:rPr>
      </w:pPr>
      <w:r w:rsidRPr="002029AF">
        <w:rPr>
          <w:rFonts w:eastAsia="Calibri"/>
        </w:rPr>
        <w:t>COVID-19 objective 2: Slow the spread of coronavirus (COVID-19) in Victoria through rapid identification, isolation and cohorting of risk groups</w:t>
      </w:r>
    </w:p>
    <w:p w14:paraId="370DD41A" w14:textId="77777777" w:rsidR="00603E4B" w:rsidRPr="002029AF" w:rsidRDefault="00603E4B" w:rsidP="00603E4B">
      <w:pPr>
        <w:pStyle w:val="ARbody"/>
      </w:pPr>
      <w:r w:rsidRPr="002029AF">
        <w:t>The impact of coronavirus (COVID-19) can be unequal among the population. People working in casualised and lower-paid working environments, such as food logistics or meatworks, have been at higher risk of contracting coronavirus (COVID-19) and at greater risk of unemployment if they do not turn up to work.</w:t>
      </w:r>
    </w:p>
    <w:p w14:paraId="288EAAEF" w14:textId="61FB9770" w:rsidR="00603E4B" w:rsidRPr="002029AF" w:rsidRDefault="00603E4B" w:rsidP="00603E4B">
      <w:pPr>
        <w:pStyle w:val="ARbody"/>
      </w:pPr>
      <w:r w:rsidRPr="002029AF">
        <w:t xml:space="preserve">Healthcare and aged care workers are more at risk of contracting the virus and passing it on to others if they cannot self-isolate at home. They are also at </w:t>
      </w:r>
      <w:r w:rsidR="00F31E53" w:rsidRPr="002029AF">
        <w:t>risk</w:t>
      </w:r>
      <w:r w:rsidR="00EC2597">
        <w:t>,</w:t>
      </w:r>
      <w:r w:rsidR="00F31E53" w:rsidRPr="002029AF">
        <w:t xml:space="preserve"> and</w:t>
      </w:r>
      <w:r w:rsidRPr="002029AF">
        <w:t xml:space="preserve"> can put patients in their care at greater risk</w:t>
      </w:r>
      <w:r w:rsidR="00EC2597">
        <w:t>,</w:t>
      </w:r>
      <w:r w:rsidRPr="002029AF">
        <w:t xml:space="preserve"> if they work across multiple work sites.</w:t>
      </w:r>
    </w:p>
    <w:p w14:paraId="0440633A" w14:textId="77777777" w:rsidR="00603E4B" w:rsidRPr="002029AF" w:rsidRDefault="00603E4B" w:rsidP="00603E4B">
      <w:pPr>
        <w:pStyle w:val="Heading6"/>
        <w:rPr>
          <w:lang w:val="en-AU"/>
        </w:rPr>
      </w:pPr>
      <w:r w:rsidRPr="002029AF">
        <w:rPr>
          <w:lang w:val="en-AU"/>
        </w:rPr>
        <w:t>Cohorting</w:t>
      </w:r>
    </w:p>
    <w:p w14:paraId="352B57BA" w14:textId="77777777" w:rsidR="00603E4B" w:rsidRPr="002029AF" w:rsidRDefault="00603E4B" w:rsidP="00603E4B">
      <w:pPr>
        <w:pStyle w:val="ARbody"/>
      </w:pPr>
      <w:r w:rsidRPr="002029AF">
        <w:t>For aged care services in Victoria, the department introduced cohorting. This is where people nominate a primary worksite and only work at that site, without working across multiple centres.</w:t>
      </w:r>
    </w:p>
    <w:p w14:paraId="5AD14220" w14:textId="77777777" w:rsidR="00603E4B" w:rsidRPr="002029AF" w:rsidRDefault="00603E4B" w:rsidP="00603E4B">
      <w:pPr>
        <w:pStyle w:val="ARbody"/>
      </w:pPr>
      <w:r w:rsidRPr="002029AF">
        <w:t>Restricting workers in high-risk settings to working at one site only where possible helps reduce the spread of coronavirus (COVID-19).</w:t>
      </w:r>
    </w:p>
    <w:p w14:paraId="28E2B160" w14:textId="77777777" w:rsidR="00603E4B" w:rsidRPr="002029AF" w:rsidRDefault="00603E4B" w:rsidP="00603E4B">
      <w:pPr>
        <w:pStyle w:val="Heading6"/>
        <w:rPr>
          <w:lang w:val="en-AU"/>
        </w:rPr>
      </w:pPr>
      <w:r w:rsidRPr="002029AF">
        <w:rPr>
          <w:lang w:val="en-AU"/>
        </w:rPr>
        <w:t>Hotels for Heroes</w:t>
      </w:r>
    </w:p>
    <w:p w14:paraId="1BBB6AFF" w14:textId="77777777" w:rsidR="00603E4B" w:rsidRPr="002029AF" w:rsidRDefault="00603E4B" w:rsidP="00B45A1D">
      <w:pPr>
        <w:pStyle w:val="ARbody"/>
      </w:pPr>
      <w:r w:rsidRPr="002029AF">
        <w:t>Hotels for Heroes provides free accommodation in hotels or apartments for frontline workers who have had exposure to coronavirus (COVID-19) or have a positive diagnosis and cannot safely self-isolate at home.</w:t>
      </w:r>
    </w:p>
    <w:p w14:paraId="0004782E" w14:textId="77777777" w:rsidR="00603E4B" w:rsidRPr="002029AF" w:rsidRDefault="00603E4B" w:rsidP="00B45A1D">
      <w:pPr>
        <w:pStyle w:val="ARbody"/>
      </w:pPr>
      <w:r w:rsidRPr="002029AF">
        <w:t>It recognises that healthcare and other frontline workers are currently more likely to be diagnosed with coronavirus (COVID-19) than any other workforce and are at greater risk of coming into close contact with someone with the virus.</w:t>
      </w:r>
    </w:p>
    <w:p w14:paraId="46833163" w14:textId="77777777" w:rsidR="00603E4B" w:rsidRPr="002029AF" w:rsidRDefault="00603E4B" w:rsidP="00603E4B">
      <w:pPr>
        <w:pStyle w:val="Heading6"/>
        <w:rPr>
          <w:lang w:val="en-AU"/>
        </w:rPr>
      </w:pPr>
      <w:r w:rsidRPr="002029AF">
        <w:rPr>
          <w:lang w:val="en-AU"/>
        </w:rPr>
        <w:t>Hotel quarantine for returned travellers</w:t>
      </w:r>
    </w:p>
    <w:p w14:paraId="4BEA61A5" w14:textId="6413DB02" w:rsidR="001D75D0" w:rsidRPr="002029AF" w:rsidRDefault="001D75D0" w:rsidP="001D75D0">
      <w:pPr>
        <w:pStyle w:val="ARbody"/>
      </w:pPr>
      <w:r w:rsidRPr="002029AF">
        <w:t>On 28 March</w:t>
      </w:r>
      <w:r>
        <w:t xml:space="preserve"> 2020</w:t>
      </w:r>
      <w:r w:rsidRPr="002029AF">
        <w:t xml:space="preserve">, following National Cabinet agreement, the Victorian Government began placing all overseas returned travellers into </w:t>
      </w:r>
      <w:r w:rsidRPr="002029AF">
        <w:br/>
        <w:t xml:space="preserve">14-day quarantine </w:t>
      </w:r>
      <w:r w:rsidRPr="002029AF">
        <w:rPr>
          <w:color w:val="000000"/>
        </w:rPr>
        <w:t>accommodation</w:t>
      </w:r>
      <w:r w:rsidRPr="002029AF">
        <w:t xml:space="preserve"> to help slow the</w:t>
      </w:r>
      <w:r w:rsidR="00496673">
        <w:t> </w:t>
      </w:r>
      <w:r w:rsidRPr="002029AF">
        <w:t>spread of coronavirus (COVID-19).</w:t>
      </w:r>
    </w:p>
    <w:p w14:paraId="79B0CE28" w14:textId="77777777" w:rsidR="001D75D0" w:rsidRPr="002029AF" w:rsidRDefault="001D75D0" w:rsidP="001D75D0">
      <w:pPr>
        <w:pStyle w:val="ARbody"/>
      </w:pPr>
      <w:r w:rsidRPr="002029AF">
        <w:t>The department</w:t>
      </w:r>
      <w:r>
        <w:t>, in conjunction with the Department of Jobs, Precincts and Regions, and with coordination support provided by the State Control Centre,</w:t>
      </w:r>
      <w:r w:rsidRPr="002029AF">
        <w:t xml:space="preserve"> rapidly developed a new service model for hotel quarantine</w:t>
      </w:r>
      <w:r>
        <w:t>. This model included</w:t>
      </w:r>
      <w:r w:rsidRPr="002029AF">
        <w:t xml:space="preserve"> supports, clinical pathways and critical incident monitoring, in an effort to make the experience as safe as possible, and to support the health and wellbeing of the people quarantined.</w:t>
      </w:r>
    </w:p>
    <w:p w14:paraId="62CB77DB" w14:textId="77777777" w:rsidR="00603E4B" w:rsidRPr="00782BA6" w:rsidRDefault="00603E4B" w:rsidP="00782BA6">
      <w:pPr>
        <w:pStyle w:val="ARbody"/>
      </w:pPr>
      <w:r w:rsidRPr="00782BA6">
        <w:br w:type="page"/>
      </w:r>
    </w:p>
    <w:p w14:paraId="32C1F190" w14:textId="77777777" w:rsidR="00603E4B" w:rsidRPr="00782BA6" w:rsidRDefault="00603E4B" w:rsidP="00782BA6">
      <w:pPr>
        <w:pStyle w:val="ARbody"/>
        <w:sectPr w:rsidR="00603E4B" w:rsidRPr="00782BA6" w:rsidSect="00B45A1D">
          <w:headerReference w:type="even" r:id="rId82"/>
          <w:headerReference w:type="default" r:id="rId83"/>
          <w:headerReference w:type="first" r:id="rId84"/>
          <w:footerReference w:type="first" r:id="rId85"/>
          <w:footnotePr>
            <w:numFmt w:val="chicago"/>
            <w:numRestart w:val="eachPage"/>
          </w:footnotePr>
          <w:endnotePr>
            <w:numFmt w:val="decimal"/>
          </w:endnotePr>
          <w:type w:val="continuous"/>
          <w:pgSz w:w="11900" w:h="16840" w:code="9"/>
          <w:pgMar w:top="1985" w:right="851" w:bottom="851" w:left="1418" w:header="510" w:footer="340" w:gutter="0"/>
          <w:cols w:num="2" w:space="454"/>
          <w15:footnoteColumns w:val="1"/>
        </w:sectPr>
      </w:pPr>
    </w:p>
    <w:p w14:paraId="555CF575" w14:textId="36F1F921" w:rsidR="00603E4B" w:rsidRPr="002029AF" w:rsidRDefault="00603E4B" w:rsidP="002C0C09">
      <w:pPr>
        <w:pStyle w:val="Heading4larger"/>
      </w:pPr>
      <w:bookmarkStart w:id="38" w:name="_Toc50383608"/>
      <w:r w:rsidRPr="002029AF">
        <w:lastRenderedPageBreak/>
        <w:t>Objective 1: Indicator results</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6A0" w:firstRow="1" w:lastRow="0" w:firstColumn="1" w:lastColumn="0" w:noHBand="1" w:noVBand="1"/>
      </w:tblPr>
      <w:tblGrid>
        <w:gridCol w:w="5555"/>
        <w:gridCol w:w="1021"/>
        <w:gridCol w:w="1021"/>
        <w:gridCol w:w="1021"/>
        <w:gridCol w:w="1021"/>
      </w:tblGrid>
      <w:tr w:rsidR="004B605A" w:rsidRPr="002029AF" w14:paraId="620B3992" w14:textId="77777777" w:rsidTr="00F42F20">
        <w:trPr>
          <w:cantSplit/>
          <w:tblHeader/>
        </w:trPr>
        <w:tc>
          <w:tcPr>
            <w:tcW w:w="5557" w:type="dxa"/>
            <w:tcBorders>
              <w:top w:val="nil"/>
              <w:left w:val="single" w:sz="4" w:space="0" w:color="FFFFFF"/>
              <w:bottom w:val="single" w:sz="4" w:space="0" w:color="auto"/>
              <w:right w:val="single" w:sz="4" w:space="0" w:color="FFFFFF"/>
            </w:tcBorders>
            <w:vAlign w:val="bottom"/>
          </w:tcPr>
          <w:p w14:paraId="48ED55B5" w14:textId="77777777" w:rsidR="004B605A" w:rsidRPr="002029AF" w:rsidRDefault="004B605A" w:rsidP="00F4536C">
            <w:pPr>
              <w:pStyle w:val="ARtablecolhead"/>
            </w:pPr>
          </w:p>
        </w:tc>
        <w:tc>
          <w:tcPr>
            <w:tcW w:w="1021" w:type="dxa"/>
            <w:tcBorders>
              <w:top w:val="nil"/>
              <w:left w:val="single" w:sz="4" w:space="0" w:color="FFFFFF"/>
              <w:bottom w:val="single" w:sz="4" w:space="0" w:color="auto"/>
              <w:right w:val="single" w:sz="4" w:space="0" w:color="FFFFFF"/>
            </w:tcBorders>
            <w:vAlign w:val="bottom"/>
          </w:tcPr>
          <w:p w14:paraId="53FDD26D" w14:textId="77777777" w:rsidR="004B605A" w:rsidRPr="002029AF" w:rsidRDefault="004B605A" w:rsidP="00F4536C">
            <w:pPr>
              <w:pStyle w:val="ARtablecolhead"/>
            </w:pPr>
            <w:r w:rsidRPr="002029AF">
              <w:t>2016–17</w:t>
            </w:r>
          </w:p>
        </w:tc>
        <w:tc>
          <w:tcPr>
            <w:tcW w:w="1021" w:type="dxa"/>
            <w:tcBorders>
              <w:top w:val="nil"/>
              <w:left w:val="single" w:sz="4" w:space="0" w:color="FFFFFF"/>
              <w:bottom w:val="single" w:sz="4" w:space="0" w:color="auto"/>
              <w:right w:val="single" w:sz="4" w:space="0" w:color="FFFFFF"/>
            </w:tcBorders>
            <w:vAlign w:val="bottom"/>
          </w:tcPr>
          <w:p w14:paraId="4B7E78FD" w14:textId="77777777" w:rsidR="004B605A" w:rsidRPr="002029AF" w:rsidRDefault="004B605A" w:rsidP="00F4536C">
            <w:pPr>
              <w:pStyle w:val="ARtablecolhead"/>
            </w:pPr>
            <w:r w:rsidRPr="002029AF">
              <w:t>2017–18</w:t>
            </w:r>
          </w:p>
        </w:tc>
        <w:tc>
          <w:tcPr>
            <w:tcW w:w="1021" w:type="dxa"/>
            <w:tcBorders>
              <w:top w:val="nil"/>
              <w:left w:val="single" w:sz="4" w:space="0" w:color="FFFFFF"/>
              <w:bottom w:val="single" w:sz="4" w:space="0" w:color="auto"/>
              <w:right w:val="single" w:sz="4" w:space="0" w:color="FFFFFF"/>
            </w:tcBorders>
            <w:vAlign w:val="bottom"/>
          </w:tcPr>
          <w:p w14:paraId="4DF45023" w14:textId="77777777" w:rsidR="004B605A" w:rsidRPr="002029AF" w:rsidRDefault="004B605A" w:rsidP="00F4536C">
            <w:pPr>
              <w:pStyle w:val="ARtablecolhead"/>
            </w:pPr>
            <w:r w:rsidRPr="002029AF">
              <w:t>2018–19</w:t>
            </w:r>
          </w:p>
        </w:tc>
        <w:tc>
          <w:tcPr>
            <w:tcW w:w="1021" w:type="dxa"/>
            <w:tcBorders>
              <w:top w:val="nil"/>
              <w:left w:val="single" w:sz="4" w:space="0" w:color="FFFFFF"/>
              <w:bottom w:val="single" w:sz="4" w:space="0" w:color="auto"/>
              <w:right w:val="single" w:sz="4" w:space="0" w:color="FFFFFF"/>
            </w:tcBorders>
            <w:vAlign w:val="bottom"/>
          </w:tcPr>
          <w:p w14:paraId="30B31A78" w14:textId="77777777" w:rsidR="004B605A" w:rsidRPr="002029AF" w:rsidRDefault="004B605A" w:rsidP="00F4536C">
            <w:pPr>
              <w:pStyle w:val="ARtablecolhead"/>
            </w:pPr>
            <w:r w:rsidRPr="002029AF">
              <w:t>2019–20</w:t>
            </w:r>
          </w:p>
        </w:tc>
      </w:tr>
      <w:tr w:rsidR="004B605A" w:rsidRPr="002029AF" w14:paraId="6A5B1040" w14:textId="77777777" w:rsidTr="00F42F20">
        <w:trPr>
          <w:cantSplit/>
        </w:trPr>
        <w:tc>
          <w:tcPr>
            <w:tcW w:w="5557" w:type="dxa"/>
            <w:gridSpan w:val="5"/>
            <w:tcBorders>
              <w:top w:val="single" w:sz="4" w:space="0" w:color="auto"/>
              <w:left w:val="single" w:sz="4" w:space="0" w:color="FFFFFF"/>
              <w:bottom w:val="single" w:sz="4" w:space="0" w:color="auto"/>
              <w:right w:val="single" w:sz="4" w:space="0" w:color="FFFFFF"/>
            </w:tcBorders>
          </w:tcPr>
          <w:p w14:paraId="63AC76EB" w14:textId="77777777" w:rsidR="004B605A" w:rsidRPr="002029AF" w:rsidRDefault="004B605A" w:rsidP="00F4536C">
            <w:pPr>
              <w:pStyle w:val="ARtablesubhead"/>
            </w:pPr>
            <w:r w:rsidRPr="002029AF">
              <w:t>Victorians have good physical health</w:t>
            </w:r>
          </w:p>
        </w:tc>
      </w:tr>
      <w:tr w:rsidR="004B605A" w:rsidRPr="002029AF" w14:paraId="3523B287" w14:textId="77777777" w:rsidTr="00F42F20">
        <w:trPr>
          <w:cantSplit/>
        </w:trPr>
        <w:tc>
          <w:tcPr>
            <w:tcW w:w="5557" w:type="dxa"/>
            <w:tcBorders>
              <w:top w:val="single" w:sz="4" w:space="0" w:color="auto"/>
              <w:left w:val="single" w:sz="4" w:space="0" w:color="FFFFFF"/>
              <w:bottom w:val="single" w:sz="4" w:space="0" w:color="BFBFBF"/>
              <w:right w:val="single" w:sz="4" w:space="0" w:color="FFFFFF"/>
            </w:tcBorders>
          </w:tcPr>
          <w:p w14:paraId="428B6342" w14:textId="77777777" w:rsidR="004B605A" w:rsidRPr="002029AF" w:rsidRDefault="004B605A" w:rsidP="00F4536C">
            <w:pPr>
              <w:pStyle w:val="ARtabletext"/>
            </w:pPr>
            <w:r w:rsidRPr="002029AF">
              <w:t>Persons completing the Life! – Diabetes and Cardiovascular Disease Prevention program</w:t>
            </w:r>
          </w:p>
        </w:tc>
        <w:tc>
          <w:tcPr>
            <w:tcW w:w="1021" w:type="dxa"/>
            <w:tcBorders>
              <w:top w:val="single" w:sz="4" w:space="0" w:color="auto"/>
              <w:left w:val="single" w:sz="4" w:space="0" w:color="FFFFFF"/>
              <w:bottom w:val="single" w:sz="4" w:space="0" w:color="BFBFBF"/>
              <w:right w:val="single" w:sz="4" w:space="0" w:color="FFFFFF"/>
            </w:tcBorders>
          </w:tcPr>
          <w:p w14:paraId="786BA60D" w14:textId="77777777" w:rsidR="004B605A" w:rsidRPr="002029AF" w:rsidRDefault="004B605A" w:rsidP="00F4536C">
            <w:pPr>
              <w:pStyle w:val="ARtabletext"/>
            </w:pPr>
            <w:r w:rsidRPr="002029AF">
              <w:t>5,199</w:t>
            </w:r>
          </w:p>
        </w:tc>
        <w:tc>
          <w:tcPr>
            <w:tcW w:w="1021" w:type="dxa"/>
            <w:tcBorders>
              <w:top w:val="single" w:sz="4" w:space="0" w:color="auto"/>
              <w:left w:val="single" w:sz="4" w:space="0" w:color="FFFFFF"/>
              <w:bottom w:val="single" w:sz="4" w:space="0" w:color="BFBFBF"/>
              <w:right w:val="single" w:sz="4" w:space="0" w:color="FFFFFF"/>
            </w:tcBorders>
          </w:tcPr>
          <w:p w14:paraId="54CE4113" w14:textId="77777777" w:rsidR="004B605A" w:rsidRPr="002029AF" w:rsidRDefault="004B605A" w:rsidP="00F4536C">
            <w:pPr>
              <w:pStyle w:val="ARtabletext"/>
            </w:pPr>
            <w:r w:rsidRPr="002029AF">
              <w:t>5,513</w:t>
            </w:r>
          </w:p>
        </w:tc>
        <w:tc>
          <w:tcPr>
            <w:tcW w:w="1021" w:type="dxa"/>
            <w:tcBorders>
              <w:top w:val="single" w:sz="4" w:space="0" w:color="auto"/>
              <w:left w:val="single" w:sz="4" w:space="0" w:color="FFFFFF"/>
              <w:bottom w:val="single" w:sz="4" w:space="0" w:color="BFBFBF"/>
              <w:right w:val="single" w:sz="4" w:space="0" w:color="FFFFFF"/>
            </w:tcBorders>
          </w:tcPr>
          <w:p w14:paraId="07A35597" w14:textId="77777777" w:rsidR="004B605A" w:rsidRPr="002029AF" w:rsidRDefault="004B605A" w:rsidP="00F4536C">
            <w:pPr>
              <w:pStyle w:val="ARtabletext"/>
            </w:pPr>
            <w:r w:rsidRPr="002029AF">
              <w:t>5,782</w:t>
            </w:r>
          </w:p>
        </w:tc>
        <w:tc>
          <w:tcPr>
            <w:tcW w:w="1021" w:type="dxa"/>
            <w:tcBorders>
              <w:top w:val="single" w:sz="4" w:space="0" w:color="auto"/>
              <w:left w:val="single" w:sz="4" w:space="0" w:color="FFFFFF"/>
              <w:bottom w:val="single" w:sz="4" w:space="0" w:color="BFBFBF"/>
              <w:right w:val="single" w:sz="4" w:space="0" w:color="FFFFFF"/>
            </w:tcBorders>
          </w:tcPr>
          <w:p w14:paraId="2017339C" w14:textId="77777777" w:rsidR="004B605A" w:rsidRPr="002029AF" w:rsidRDefault="004B605A" w:rsidP="00F4536C">
            <w:pPr>
              <w:pStyle w:val="ARtabletext"/>
            </w:pPr>
            <w:r w:rsidRPr="002029AF">
              <w:t>4,612</w:t>
            </w:r>
          </w:p>
        </w:tc>
      </w:tr>
      <w:tr w:rsidR="004B605A" w:rsidRPr="002029AF" w14:paraId="2E643F4C" w14:textId="77777777" w:rsidTr="00F42F20">
        <w:trPr>
          <w:cantSplit/>
        </w:trPr>
        <w:tc>
          <w:tcPr>
            <w:tcW w:w="5557" w:type="dxa"/>
            <w:tcBorders>
              <w:top w:val="single" w:sz="4" w:space="0" w:color="BFBFBF"/>
              <w:left w:val="single" w:sz="4" w:space="0" w:color="FFFFFF"/>
              <w:bottom w:val="single" w:sz="4" w:space="0" w:color="FFFFFF"/>
              <w:right w:val="single" w:sz="4" w:space="0" w:color="FFFFFF"/>
            </w:tcBorders>
          </w:tcPr>
          <w:p w14:paraId="3584AA21" w14:textId="77777777" w:rsidR="004B605A" w:rsidRPr="002029AF" w:rsidRDefault="004B605A" w:rsidP="00F4536C">
            <w:pPr>
              <w:pStyle w:val="ARtabletext"/>
            </w:pPr>
            <w:r w:rsidRPr="002029AF">
              <w:t>Unplanned/unexpected readmission for acute myocardial infarction</w:t>
            </w:r>
          </w:p>
        </w:tc>
        <w:tc>
          <w:tcPr>
            <w:tcW w:w="1021" w:type="dxa"/>
            <w:tcBorders>
              <w:top w:val="single" w:sz="4" w:space="0" w:color="BFBFBF"/>
              <w:left w:val="single" w:sz="4" w:space="0" w:color="FFFFFF"/>
              <w:bottom w:val="single" w:sz="4" w:space="0" w:color="FFFFFF"/>
              <w:right w:val="single" w:sz="4" w:space="0" w:color="FFFFFF"/>
            </w:tcBorders>
          </w:tcPr>
          <w:p w14:paraId="3D7F7999" w14:textId="77777777" w:rsidR="004B605A" w:rsidRPr="002029AF" w:rsidRDefault="004B605A" w:rsidP="00F4536C">
            <w:pPr>
              <w:pStyle w:val="ARtabletext"/>
            </w:pPr>
            <w:r w:rsidRPr="002029AF">
              <w:t>1.7</w:t>
            </w:r>
          </w:p>
        </w:tc>
        <w:tc>
          <w:tcPr>
            <w:tcW w:w="1021" w:type="dxa"/>
            <w:tcBorders>
              <w:top w:val="single" w:sz="4" w:space="0" w:color="BFBFBF"/>
              <w:left w:val="single" w:sz="4" w:space="0" w:color="FFFFFF"/>
              <w:bottom w:val="single" w:sz="4" w:space="0" w:color="FFFFFF"/>
              <w:right w:val="single" w:sz="4" w:space="0" w:color="FFFFFF"/>
            </w:tcBorders>
          </w:tcPr>
          <w:p w14:paraId="5E68B29B" w14:textId="77777777" w:rsidR="004B605A" w:rsidRPr="002029AF" w:rsidRDefault="004B605A" w:rsidP="00F4536C">
            <w:pPr>
              <w:pStyle w:val="ARtabletext"/>
            </w:pPr>
            <w:r w:rsidRPr="002029AF">
              <w:t>1.6</w:t>
            </w:r>
          </w:p>
        </w:tc>
        <w:tc>
          <w:tcPr>
            <w:tcW w:w="1021" w:type="dxa"/>
            <w:tcBorders>
              <w:top w:val="single" w:sz="4" w:space="0" w:color="BFBFBF"/>
              <w:left w:val="single" w:sz="4" w:space="0" w:color="FFFFFF"/>
              <w:bottom w:val="single" w:sz="4" w:space="0" w:color="FFFFFF"/>
              <w:right w:val="single" w:sz="4" w:space="0" w:color="FFFFFF"/>
            </w:tcBorders>
          </w:tcPr>
          <w:p w14:paraId="7198BDD8" w14:textId="77777777" w:rsidR="004B605A" w:rsidRPr="002029AF" w:rsidRDefault="004B605A" w:rsidP="00F4536C">
            <w:pPr>
              <w:pStyle w:val="ARtabletext"/>
            </w:pPr>
            <w:r w:rsidRPr="002029AF">
              <w:t>1.5</w:t>
            </w:r>
          </w:p>
        </w:tc>
        <w:tc>
          <w:tcPr>
            <w:tcW w:w="1021" w:type="dxa"/>
            <w:tcBorders>
              <w:top w:val="single" w:sz="4" w:space="0" w:color="BFBFBF"/>
              <w:left w:val="single" w:sz="4" w:space="0" w:color="FFFFFF"/>
              <w:bottom w:val="single" w:sz="4" w:space="0" w:color="FFFFFF"/>
              <w:right w:val="single" w:sz="4" w:space="0" w:color="FFFFFF"/>
            </w:tcBorders>
          </w:tcPr>
          <w:p w14:paraId="0BB809FF" w14:textId="77777777" w:rsidR="004B605A" w:rsidRPr="002029AF" w:rsidRDefault="004B605A" w:rsidP="00F4536C">
            <w:pPr>
              <w:pStyle w:val="ARtabletext"/>
            </w:pPr>
            <w:r w:rsidRPr="002029AF">
              <w:t>2.1</w:t>
            </w:r>
            <w:bookmarkStart w:id="39" w:name="_Ref51494170"/>
            <w:r w:rsidRPr="002029AF">
              <w:rPr>
                <w:rStyle w:val="Superscript"/>
              </w:rPr>
              <w:t>E</w:t>
            </w:r>
            <w:bookmarkStart w:id="40" w:name="_Ref53333661"/>
            <w:bookmarkEnd w:id="39"/>
            <w:r w:rsidRPr="002029AF">
              <w:footnoteReference w:customMarkFollows="1" w:id="5"/>
              <w:t>*</w:t>
            </w:r>
            <w:bookmarkEnd w:id="40"/>
          </w:p>
        </w:tc>
      </w:tr>
      <w:tr w:rsidR="004B605A" w:rsidRPr="002029AF" w14:paraId="09793351" w14:textId="77777777" w:rsidTr="00F42F20">
        <w:trPr>
          <w:cantSplit/>
        </w:trPr>
        <w:tc>
          <w:tcPr>
            <w:tcW w:w="5557" w:type="dxa"/>
            <w:tcBorders>
              <w:top w:val="single" w:sz="4" w:space="0" w:color="BFBFBF"/>
              <w:left w:val="single" w:sz="4" w:space="0" w:color="FFFFFF"/>
              <w:bottom w:val="single" w:sz="4" w:space="0" w:color="FFFFFF"/>
              <w:right w:val="single" w:sz="4" w:space="0" w:color="FFFFFF"/>
            </w:tcBorders>
          </w:tcPr>
          <w:p w14:paraId="56DD2146" w14:textId="77777777" w:rsidR="004B605A" w:rsidRPr="002029AF" w:rsidRDefault="004B605A" w:rsidP="00F4536C">
            <w:pPr>
              <w:pStyle w:val="ARtabletext"/>
            </w:pPr>
            <w:r w:rsidRPr="002029AF">
              <w:t>Unplanned/unexpected readmission for heart failure</w:t>
            </w:r>
          </w:p>
        </w:tc>
        <w:tc>
          <w:tcPr>
            <w:tcW w:w="1021" w:type="dxa"/>
            <w:tcBorders>
              <w:top w:val="single" w:sz="4" w:space="0" w:color="BFBFBF"/>
              <w:left w:val="single" w:sz="4" w:space="0" w:color="FFFFFF"/>
              <w:bottom w:val="single" w:sz="4" w:space="0" w:color="FFFFFF"/>
              <w:right w:val="single" w:sz="4" w:space="0" w:color="FFFFFF"/>
            </w:tcBorders>
          </w:tcPr>
          <w:p w14:paraId="7C524C06" w14:textId="77777777" w:rsidR="004B605A" w:rsidRPr="002029AF" w:rsidRDefault="004B605A" w:rsidP="00F4536C">
            <w:pPr>
              <w:pStyle w:val="ARtabletext"/>
            </w:pPr>
            <w:r w:rsidRPr="002029AF">
              <w:t>9.4</w:t>
            </w:r>
          </w:p>
        </w:tc>
        <w:tc>
          <w:tcPr>
            <w:tcW w:w="1021" w:type="dxa"/>
            <w:tcBorders>
              <w:top w:val="single" w:sz="4" w:space="0" w:color="BFBFBF"/>
              <w:left w:val="single" w:sz="4" w:space="0" w:color="FFFFFF"/>
              <w:bottom w:val="single" w:sz="4" w:space="0" w:color="FFFFFF"/>
              <w:right w:val="single" w:sz="4" w:space="0" w:color="FFFFFF"/>
            </w:tcBorders>
          </w:tcPr>
          <w:p w14:paraId="7C3B7AF6" w14:textId="77777777" w:rsidR="004B605A" w:rsidRPr="002029AF" w:rsidRDefault="004B605A" w:rsidP="00F4536C">
            <w:pPr>
              <w:pStyle w:val="ARtabletext"/>
            </w:pPr>
            <w:r w:rsidRPr="002029AF">
              <w:t>9.0</w:t>
            </w:r>
          </w:p>
        </w:tc>
        <w:tc>
          <w:tcPr>
            <w:tcW w:w="1021" w:type="dxa"/>
            <w:tcBorders>
              <w:top w:val="single" w:sz="4" w:space="0" w:color="BFBFBF"/>
              <w:left w:val="single" w:sz="4" w:space="0" w:color="FFFFFF"/>
              <w:bottom w:val="single" w:sz="4" w:space="0" w:color="FFFFFF"/>
              <w:right w:val="single" w:sz="4" w:space="0" w:color="FFFFFF"/>
            </w:tcBorders>
          </w:tcPr>
          <w:p w14:paraId="10E92814" w14:textId="77777777" w:rsidR="004B605A" w:rsidRPr="002029AF" w:rsidRDefault="004B605A" w:rsidP="00F4536C">
            <w:pPr>
              <w:pStyle w:val="ARtabletext"/>
            </w:pPr>
            <w:r w:rsidRPr="002029AF">
              <w:t>8.9</w:t>
            </w:r>
          </w:p>
        </w:tc>
        <w:tc>
          <w:tcPr>
            <w:tcW w:w="1021" w:type="dxa"/>
            <w:tcBorders>
              <w:top w:val="single" w:sz="4" w:space="0" w:color="BFBFBF"/>
              <w:left w:val="single" w:sz="4" w:space="0" w:color="FFFFFF"/>
              <w:bottom w:val="single" w:sz="4" w:space="0" w:color="FFFFFF"/>
              <w:right w:val="single" w:sz="4" w:space="0" w:color="FFFFFF"/>
            </w:tcBorders>
          </w:tcPr>
          <w:p w14:paraId="5BB352B8" w14:textId="77777777" w:rsidR="004B605A" w:rsidRPr="002029AF" w:rsidRDefault="004B605A" w:rsidP="00F4536C">
            <w:pPr>
              <w:pStyle w:val="ARtabletext"/>
            </w:pPr>
            <w:r w:rsidRPr="002029AF">
              <w:t>8.9</w:t>
            </w:r>
            <w:r w:rsidRPr="002029AF">
              <w:rPr>
                <w:rStyle w:val="Superscript"/>
              </w:rPr>
              <w:t>E</w:t>
            </w:r>
          </w:p>
        </w:tc>
      </w:tr>
      <w:tr w:rsidR="004B605A" w:rsidRPr="002029AF" w14:paraId="4F5CC862" w14:textId="77777777" w:rsidTr="00F42F20">
        <w:trPr>
          <w:cantSplit/>
        </w:trPr>
        <w:tc>
          <w:tcPr>
            <w:tcW w:w="5557" w:type="dxa"/>
            <w:tcBorders>
              <w:top w:val="single" w:sz="4" w:space="0" w:color="BFBFBF"/>
              <w:left w:val="single" w:sz="4" w:space="0" w:color="FFFFFF"/>
              <w:bottom w:val="single" w:sz="4" w:space="0" w:color="FFFFFF"/>
              <w:right w:val="single" w:sz="4" w:space="0" w:color="FFFFFF"/>
            </w:tcBorders>
          </w:tcPr>
          <w:p w14:paraId="09B24F12" w14:textId="77777777" w:rsidR="004B605A" w:rsidRPr="002029AF" w:rsidRDefault="004B605A" w:rsidP="00F4536C">
            <w:pPr>
              <w:pStyle w:val="ARtabletext"/>
            </w:pPr>
            <w:r w:rsidRPr="002029AF">
              <w:t>Unplanned/unexpected readmission for hip replacement</w:t>
            </w:r>
          </w:p>
        </w:tc>
        <w:tc>
          <w:tcPr>
            <w:tcW w:w="1021" w:type="dxa"/>
            <w:tcBorders>
              <w:top w:val="single" w:sz="4" w:space="0" w:color="BFBFBF"/>
              <w:left w:val="single" w:sz="4" w:space="0" w:color="FFFFFF"/>
              <w:bottom w:val="single" w:sz="4" w:space="0" w:color="FFFFFF"/>
              <w:right w:val="single" w:sz="4" w:space="0" w:color="FFFFFF"/>
            </w:tcBorders>
          </w:tcPr>
          <w:p w14:paraId="18901233" w14:textId="77777777" w:rsidR="004B605A" w:rsidRPr="002029AF" w:rsidRDefault="004B605A" w:rsidP="00F4536C">
            <w:pPr>
              <w:pStyle w:val="ARtabletext"/>
            </w:pPr>
            <w:r w:rsidRPr="002029AF">
              <w:t>2.5</w:t>
            </w:r>
          </w:p>
        </w:tc>
        <w:tc>
          <w:tcPr>
            <w:tcW w:w="1021" w:type="dxa"/>
            <w:tcBorders>
              <w:top w:val="single" w:sz="4" w:space="0" w:color="BFBFBF"/>
              <w:left w:val="single" w:sz="4" w:space="0" w:color="FFFFFF"/>
              <w:bottom w:val="single" w:sz="4" w:space="0" w:color="FFFFFF"/>
              <w:right w:val="single" w:sz="4" w:space="0" w:color="FFFFFF"/>
            </w:tcBorders>
          </w:tcPr>
          <w:p w14:paraId="6A16EBE4" w14:textId="77777777" w:rsidR="004B605A" w:rsidRPr="002029AF" w:rsidRDefault="004B605A" w:rsidP="00F4536C">
            <w:pPr>
              <w:pStyle w:val="ARtabletext"/>
            </w:pPr>
            <w:r w:rsidRPr="002029AF">
              <w:t>3.4</w:t>
            </w:r>
          </w:p>
        </w:tc>
        <w:tc>
          <w:tcPr>
            <w:tcW w:w="1021" w:type="dxa"/>
            <w:tcBorders>
              <w:top w:val="single" w:sz="4" w:space="0" w:color="BFBFBF"/>
              <w:left w:val="single" w:sz="4" w:space="0" w:color="FFFFFF"/>
              <w:bottom w:val="single" w:sz="4" w:space="0" w:color="FFFFFF"/>
              <w:right w:val="single" w:sz="4" w:space="0" w:color="FFFFFF"/>
            </w:tcBorders>
          </w:tcPr>
          <w:p w14:paraId="0C6480F8" w14:textId="77777777" w:rsidR="004B605A" w:rsidRPr="002029AF" w:rsidRDefault="004B605A" w:rsidP="00F4536C">
            <w:pPr>
              <w:pStyle w:val="ARtabletext"/>
            </w:pPr>
            <w:r w:rsidRPr="002029AF">
              <w:t>3.4</w:t>
            </w:r>
          </w:p>
        </w:tc>
        <w:tc>
          <w:tcPr>
            <w:tcW w:w="1021" w:type="dxa"/>
            <w:tcBorders>
              <w:top w:val="single" w:sz="4" w:space="0" w:color="BFBFBF"/>
              <w:left w:val="single" w:sz="4" w:space="0" w:color="FFFFFF"/>
              <w:bottom w:val="single" w:sz="4" w:space="0" w:color="FFFFFF"/>
              <w:right w:val="single" w:sz="4" w:space="0" w:color="FFFFFF"/>
            </w:tcBorders>
          </w:tcPr>
          <w:p w14:paraId="06B4563B" w14:textId="77777777" w:rsidR="004B605A" w:rsidRPr="002029AF" w:rsidRDefault="004B605A" w:rsidP="00F4536C">
            <w:pPr>
              <w:pStyle w:val="ARtabletext"/>
            </w:pPr>
            <w:r w:rsidRPr="002029AF">
              <w:t>3.7</w:t>
            </w:r>
            <w:r w:rsidRPr="002029AF">
              <w:rPr>
                <w:rStyle w:val="Superscript"/>
              </w:rPr>
              <w:t>E</w:t>
            </w:r>
          </w:p>
        </w:tc>
      </w:tr>
      <w:tr w:rsidR="004B605A" w:rsidRPr="002029AF" w14:paraId="7E9BB5FD" w14:textId="77777777" w:rsidTr="00F42F20">
        <w:trPr>
          <w:cantSplit/>
        </w:trPr>
        <w:tc>
          <w:tcPr>
            <w:tcW w:w="5557" w:type="dxa"/>
            <w:tcBorders>
              <w:top w:val="single" w:sz="4" w:space="0" w:color="BFBFBF"/>
              <w:left w:val="single" w:sz="4" w:space="0" w:color="FFFFFF"/>
              <w:bottom w:val="single" w:sz="4" w:space="0" w:color="FFFFFF"/>
              <w:right w:val="single" w:sz="4" w:space="0" w:color="FFFFFF"/>
            </w:tcBorders>
          </w:tcPr>
          <w:p w14:paraId="35804539" w14:textId="77777777" w:rsidR="004B605A" w:rsidRPr="002029AF" w:rsidRDefault="004B605A" w:rsidP="00F4536C">
            <w:pPr>
              <w:pStyle w:val="ARtabletext"/>
            </w:pPr>
            <w:r w:rsidRPr="002029AF">
              <w:t>Unplanned/unexpected readmission for knee replacement</w:t>
            </w:r>
          </w:p>
        </w:tc>
        <w:tc>
          <w:tcPr>
            <w:tcW w:w="1021" w:type="dxa"/>
            <w:tcBorders>
              <w:top w:val="single" w:sz="4" w:space="0" w:color="BFBFBF"/>
              <w:left w:val="single" w:sz="4" w:space="0" w:color="FFFFFF"/>
              <w:bottom w:val="single" w:sz="4" w:space="0" w:color="FFFFFF"/>
              <w:right w:val="single" w:sz="4" w:space="0" w:color="FFFFFF"/>
            </w:tcBorders>
          </w:tcPr>
          <w:p w14:paraId="14EC6B95" w14:textId="77777777" w:rsidR="004B605A" w:rsidRPr="002029AF" w:rsidRDefault="004B605A" w:rsidP="00F4536C">
            <w:pPr>
              <w:pStyle w:val="ARtabletext"/>
            </w:pPr>
            <w:r w:rsidRPr="002029AF">
              <w:t>5.0</w:t>
            </w:r>
          </w:p>
        </w:tc>
        <w:tc>
          <w:tcPr>
            <w:tcW w:w="1021" w:type="dxa"/>
            <w:tcBorders>
              <w:top w:val="single" w:sz="4" w:space="0" w:color="BFBFBF"/>
              <w:left w:val="single" w:sz="4" w:space="0" w:color="FFFFFF"/>
              <w:bottom w:val="single" w:sz="4" w:space="0" w:color="FFFFFF"/>
              <w:right w:val="single" w:sz="4" w:space="0" w:color="FFFFFF"/>
            </w:tcBorders>
          </w:tcPr>
          <w:p w14:paraId="4CE7FEBB" w14:textId="77777777" w:rsidR="004B605A" w:rsidRPr="002029AF" w:rsidRDefault="004B605A" w:rsidP="00F4536C">
            <w:pPr>
              <w:pStyle w:val="ARtabletext"/>
            </w:pPr>
            <w:r w:rsidRPr="002029AF">
              <w:t>6.3</w:t>
            </w:r>
          </w:p>
        </w:tc>
        <w:tc>
          <w:tcPr>
            <w:tcW w:w="1021" w:type="dxa"/>
            <w:tcBorders>
              <w:top w:val="single" w:sz="4" w:space="0" w:color="BFBFBF"/>
              <w:left w:val="single" w:sz="4" w:space="0" w:color="FFFFFF"/>
              <w:bottom w:val="single" w:sz="4" w:space="0" w:color="FFFFFF"/>
              <w:right w:val="single" w:sz="4" w:space="0" w:color="FFFFFF"/>
            </w:tcBorders>
          </w:tcPr>
          <w:p w14:paraId="7B243056" w14:textId="77777777" w:rsidR="004B605A" w:rsidRPr="002029AF" w:rsidRDefault="004B605A" w:rsidP="00F4536C">
            <w:pPr>
              <w:pStyle w:val="ARtabletext"/>
            </w:pPr>
            <w:r w:rsidRPr="002029AF">
              <w:t>5.2</w:t>
            </w:r>
          </w:p>
        </w:tc>
        <w:tc>
          <w:tcPr>
            <w:tcW w:w="1021" w:type="dxa"/>
            <w:tcBorders>
              <w:top w:val="single" w:sz="4" w:space="0" w:color="BFBFBF"/>
              <w:left w:val="single" w:sz="4" w:space="0" w:color="FFFFFF"/>
              <w:bottom w:val="single" w:sz="4" w:space="0" w:color="FFFFFF"/>
              <w:right w:val="single" w:sz="4" w:space="0" w:color="FFFFFF"/>
            </w:tcBorders>
          </w:tcPr>
          <w:p w14:paraId="365F3C5E" w14:textId="77777777" w:rsidR="004B605A" w:rsidRPr="002029AF" w:rsidRDefault="004B605A" w:rsidP="00F4536C">
            <w:pPr>
              <w:pStyle w:val="ARtabletext"/>
            </w:pPr>
            <w:r w:rsidRPr="002029AF">
              <w:t>4.9</w:t>
            </w:r>
            <w:r w:rsidRPr="002029AF">
              <w:rPr>
                <w:rStyle w:val="Superscript"/>
              </w:rPr>
              <w:t>E</w:t>
            </w:r>
          </w:p>
        </w:tc>
      </w:tr>
      <w:tr w:rsidR="004B605A" w:rsidRPr="002029AF" w14:paraId="4B896A1D" w14:textId="77777777" w:rsidTr="00F42F20">
        <w:trPr>
          <w:cantSplit/>
        </w:trPr>
        <w:tc>
          <w:tcPr>
            <w:tcW w:w="5557" w:type="dxa"/>
            <w:tcBorders>
              <w:top w:val="single" w:sz="4" w:space="0" w:color="BFBFBF"/>
              <w:left w:val="single" w:sz="4" w:space="0" w:color="FFFFFF"/>
              <w:bottom w:val="single" w:sz="4" w:space="0" w:color="BFBFBF"/>
              <w:right w:val="single" w:sz="4" w:space="0" w:color="FFFFFF"/>
            </w:tcBorders>
          </w:tcPr>
          <w:p w14:paraId="36A1B4EE" w14:textId="77777777" w:rsidR="004B605A" w:rsidRPr="002029AF" w:rsidRDefault="004B605A" w:rsidP="00F4536C">
            <w:pPr>
              <w:pStyle w:val="ARtabletext"/>
            </w:pPr>
            <w:r w:rsidRPr="002029AF">
              <w:t>Unplanned/unexpected readmission for paediatric tonsillectomy and adenoidectomy</w:t>
            </w:r>
          </w:p>
        </w:tc>
        <w:tc>
          <w:tcPr>
            <w:tcW w:w="1021" w:type="dxa"/>
            <w:tcBorders>
              <w:top w:val="single" w:sz="4" w:space="0" w:color="BFBFBF"/>
              <w:left w:val="single" w:sz="4" w:space="0" w:color="FFFFFF"/>
              <w:bottom w:val="single" w:sz="4" w:space="0" w:color="BFBFBF"/>
              <w:right w:val="single" w:sz="4" w:space="0" w:color="FFFFFF"/>
            </w:tcBorders>
          </w:tcPr>
          <w:p w14:paraId="74A6D86A" w14:textId="77777777" w:rsidR="004B605A" w:rsidRPr="002029AF" w:rsidRDefault="004B605A" w:rsidP="00F4536C">
            <w:pPr>
              <w:pStyle w:val="ARtabletext"/>
            </w:pPr>
            <w:r w:rsidRPr="002029AF">
              <w:t>2.2</w:t>
            </w:r>
          </w:p>
        </w:tc>
        <w:tc>
          <w:tcPr>
            <w:tcW w:w="1021" w:type="dxa"/>
            <w:tcBorders>
              <w:top w:val="single" w:sz="4" w:space="0" w:color="BFBFBF"/>
              <w:left w:val="single" w:sz="4" w:space="0" w:color="FFFFFF"/>
              <w:bottom w:val="single" w:sz="4" w:space="0" w:color="BFBFBF"/>
              <w:right w:val="single" w:sz="4" w:space="0" w:color="FFFFFF"/>
            </w:tcBorders>
          </w:tcPr>
          <w:p w14:paraId="3FC93F10" w14:textId="77777777" w:rsidR="004B605A" w:rsidRPr="002029AF" w:rsidRDefault="004B605A" w:rsidP="00F4536C">
            <w:pPr>
              <w:pStyle w:val="ARtabletext"/>
            </w:pPr>
            <w:r w:rsidRPr="002029AF">
              <w:t>2.5</w:t>
            </w:r>
          </w:p>
        </w:tc>
        <w:tc>
          <w:tcPr>
            <w:tcW w:w="1021" w:type="dxa"/>
            <w:tcBorders>
              <w:top w:val="single" w:sz="4" w:space="0" w:color="BFBFBF"/>
              <w:left w:val="single" w:sz="4" w:space="0" w:color="FFFFFF"/>
              <w:bottom w:val="single" w:sz="4" w:space="0" w:color="BFBFBF"/>
              <w:right w:val="single" w:sz="4" w:space="0" w:color="FFFFFF"/>
            </w:tcBorders>
          </w:tcPr>
          <w:p w14:paraId="268519A9" w14:textId="77777777" w:rsidR="004B605A" w:rsidRPr="002029AF" w:rsidRDefault="004B605A" w:rsidP="00F4536C">
            <w:pPr>
              <w:pStyle w:val="ARtabletext"/>
            </w:pPr>
            <w:r w:rsidRPr="002029AF">
              <w:t>2.5</w:t>
            </w:r>
          </w:p>
        </w:tc>
        <w:tc>
          <w:tcPr>
            <w:tcW w:w="1021" w:type="dxa"/>
            <w:tcBorders>
              <w:top w:val="single" w:sz="4" w:space="0" w:color="BFBFBF"/>
              <w:left w:val="single" w:sz="4" w:space="0" w:color="FFFFFF"/>
              <w:bottom w:val="single" w:sz="4" w:space="0" w:color="BFBFBF"/>
              <w:right w:val="single" w:sz="4" w:space="0" w:color="FFFFFF"/>
            </w:tcBorders>
          </w:tcPr>
          <w:p w14:paraId="5B3641DC" w14:textId="77777777" w:rsidR="004B605A" w:rsidRPr="002029AF" w:rsidRDefault="004B605A" w:rsidP="00F4536C">
            <w:pPr>
              <w:pStyle w:val="ARtabletext"/>
            </w:pPr>
            <w:r w:rsidRPr="002029AF">
              <w:t>2.8</w:t>
            </w:r>
            <w:r w:rsidRPr="002029AF">
              <w:rPr>
                <w:rStyle w:val="Superscript"/>
              </w:rPr>
              <w:t>E</w:t>
            </w:r>
          </w:p>
        </w:tc>
      </w:tr>
      <w:tr w:rsidR="004B605A" w:rsidRPr="002029AF" w14:paraId="58F1D5C2" w14:textId="77777777" w:rsidTr="00F42F20">
        <w:trPr>
          <w:cantSplit/>
        </w:trPr>
        <w:tc>
          <w:tcPr>
            <w:tcW w:w="5557" w:type="dxa"/>
            <w:gridSpan w:val="5"/>
            <w:tcBorders>
              <w:top w:val="single" w:sz="4" w:space="0" w:color="BFBFBF"/>
              <w:left w:val="single" w:sz="4" w:space="0" w:color="FFFFFF"/>
              <w:bottom w:val="single" w:sz="4" w:space="0" w:color="auto"/>
              <w:right w:val="single" w:sz="4" w:space="0" w:color="FFFFFF"/>
            </w:tcBorders>
          </w:tcPr>
          <w:p w14:paraId="71B8C887" w14:textId="77777777" w:rsidR="004B605A" w:rsidRPr="002029AF" w:rsidRDefault="004B605A" w:rsidP="00F4536C">
            <w:pPr>
              <w:pStyle w:val="ARtablefootnote"/>
            </w:pPr>
            <w:r w:rsidRPr="002029AF">
              <w:rPr>
                <w:rFonts w:eastAsia="Times"/>
                <w:lang w:eastAsia="en-AU"/>
              </w:rPr>
              <w:t>Source: Internal departmental data</w:t>
            </w:r>
          </w:p>
        </w:tc>
      </w:tr>
      <w:tr w:rsidR="004B605A" w:rsidRPr="002029AF" w14:paraId="53E5FA64" w14:textId="77777777" w:rsidTr="00F42F20">
        <w:trPr>
          <w:cantSplit/>
        </w:trPr>
        <w:tc>
          <w:tcPr>
            <w:tcW w:w="5557" w:type="dxa"/>
            <w:tcBorders>
              <w:top w:val="single" w:sz="4" w:space="0" w:color="auto"/>
              <w:left w:val="single" w:sz="4" w:space="0" w:color="FFFFFF"/>
              <w:bottom w:val="single" w:sz="4" w:space="0" w:color="FFFFFF"/>
              <w:right w:val="single" w:sz="4" w:space="0" w:color="FFFFFF"/>
            </w:tcBorders>
          </w:tcPr>
          <w:p w14:paraId="50A250E9" w14:textId="77777777" w:rsidR="004B605A" w:rsidRPr="00355478" w:rsidRDefault="004B605A" w:rsidP="00F4536C">
            <w:pPr>
              <w:pStyle w:val="ARtabletext"/>
            </w:pPr>
            <w:r w:rsidRPr="00355478">
              <w:t>Proportion of adults who are overweight (self-reported)</w:t>
            </w:r>
          </w:p>
        </w:tc>
        <w:tc>
          <w:tcPr>
            <w:tcW w:w="1021" w:type="dxa"/>
            <w:tcBorders>
              <w:top w:val="single" w:sz="4" w:space="0" w:color="auto"/>
              <w:left w:val="single" w:sz="4" w:space="0" w:color="FFFFFF"/>
              <w:bottom w:val="single" w:sz="4" w:space="0" w:color="FFFFFF"/>
              <w:right w:val="single" w:sz="4" w:space="0" w:color="FFFFFF"/>
            </w:tcBorders>
          </w:tcPr>
          <w:p w14:paraId="7E06E7E3" w14:textId="77777777" w:rsidR="004B605A" w:rsidRPr="00355478" w:rsidRDefault="004B605A" w:rsidP="00F4536C">
            <w:pPr>
              <w:pStyle w:val="ARtabletext"/>
            </w:pPr>
            <w:r w:rsidRPr="00355478">
              <w:t>30.6%</w:t>
            </w:r>
          </w:p>
        </w:tc>
        <w:tc>
          <w:tcPr>
            <w:tcW w:w="1021" w:type="dxa"/>
            <w:tcBorders>
              <w:top w:val="single" w:sz="4" w:space="0" w:color="auto"/>
              <w:left w:val="single" w:sz="4" w:space="0" w:color="FFFFFF"/>
              <w:bottom w:val="single" w:sz="4" w:space="0" w:color="FFFFFF"/>
              <w:right w:val="single" w:sz="4" w:space="0" w:color="FFFFFF"/>
            </w:tcBorders>
          </w:tcPr>
          <w:p w14:paraId="69FAE939" w14:textId="77777777" w:rsidR="004B605A" w:rsidRPr="00355478" w:rsidRDefault="004B605A" w:rsidP="00F4536C">
            <w:pPr>
              <w:pStyle w:val="ARtabletext"/>
            </w:pPr>
            <w:r w:rsidRPr="00355478">
              <w:t>31.5%</w:t>
            </w:r>
          </w:p>
        </w:tc>
        <w:tc>
          <w:tcPr>
            <w:tcW w:w="1021" w:type="dxa"/>
            <w:tcBorders>
              <w:top w:val="single" w:sz="4" w:space="0" w:color="auto"/>
              <w:left w:val="single" w:sz="4" w:space="0" w:color="FFFFFF"/>
              <w:bottom w:val="single" w:sz="4" w:space="0" w:color="FFFFFF"/>
              <w:right w:val="single" w:sz="4" w:space="0" w:color="FFFFFF"/>
            </w:tcBorders>
          </w:tcPr>
          <w:p w14:paraId="59D20FFD" w14:textId="77777777" w:rsidR="004B605A" w:rsidRPr="00355478" w:rsidRDefault="004B605A" w:rsidP="00F4536C">
            <w:pPr>
              <w:pStyle w:val="ARtabletext"/>
            </w:pPr>
            <w:r w:rsidRPr="00355478">
              <w:t>29.9%</w:t>
            </w:r>
          </w:p>
        </w:tc>
        <w:tc>
          <w:tcPr>
            <w:tcW w:w="1021" w:type="dxa"/>
            <w:tcBorders>
              <w:top w:val="single" w:sz="4" w:space="0" w:color="auto"/>
              <w:left w:val="single" w:sz="4" w:space="0" w:color="FFFFFF"/>
              <w:bottom w:val="single" w:sz="4" w:space="0" w:color="FFFFFF"/>
              <w:right w:val="single" w:sz="4" w:space="0" w:color="FFFFFF"/>
            </w:tcBorders>
          </w:tcPr>
          <w:p w14:paraId="6ABC4668" w14:textId="77777777" w:rsidR="004B605A" w:rsidRPr="00355478" w:rsidRDefault="004B605A" w:rsidP="00F4536C">
            <w:pPr>
              <w:pStyle w:val="ARtabletext"/>
            </w:pPr>
            <w:r w:rsidRPr="00355478">
              <w:t>31.3%</w:t>
            </w:r>
          </w:p>
        </w:tc>
      </w:tr>
      <w:tr w:rsidR="004B605A" w:rsidRPr="002029AF" w14:paraId="1812183D" w14:textId="77777777" w:rsidTr="00F42F20">
        <w:trPr>
          <w:cantSplit/>
        </w:trPr>
        <w:tc>
          <w:tcPr>
            <w:tcW w:w="5557" w:type="dxa"/>
            <w:tcBorders>
              <w:top w:val="single" w:sz="4" w:space="0" w:color="BFBFBF"/>
              <w:left w:val="single" w:sz="4" w:space="0" w:color="FFFFFF"/>
              <w:bottom w:val="single" w:sz="4" w:space="0" w:color="FFFFFF"/>
              <w:right w:val="single" w:sz="4" w:space="0" w:color="FFFFFF"/>
            </w:tcBorders>
          </w:tcPr>
          <w:p w14:paraId="38C3BCC6" w14:textId="77777777" w:rsidR="004B605A" w:rsidRPr="00355478" w:rsidRDefault="004B605A" w:rsidP="00F4536C">
            <w:pPr>
              <w:pStyle w:val="ARtabletext"/>
            </w:pPr>
            <w:r w:rsidRPr="00355478">
              <w:t>Proportion of adults who are obese (self-reported)</w:t>
            </w:r>
          </w:p>
        </w:tc>
        <w:tc>
          <w:tcPr>
            <w:tcW w:w="1021" w:type="dxa"/>
            <w:tcBorders>
              <w:top w:val="single" w:sz="4" w:space="0" w:color="BFBFBF"/>
              <w:left w:val="single" w:sz="4" w:space="0" w:color="FFFFFF"/>
              <w:bottom w:val="single" w:sz="4" w:space="0" w:color="FFFFFF"/>
              <w:right w:val="single" w:sz="4" w:space="0" w:color="FFFFFF"/>
            </w:tcBorders>
          </w:tcPr>
          <w:p w14:paraId="482DC7BA" w14:textId="77777777" w:rsidR="004B605A" w:rsidRPr="00355478" w:rsidRDefault="004B605A" w:rsidP="00F4536C">
            <w:pPr>
              <w:pStyle w:val="ARtabletext"/>
            </w:pPr>
            <w:r w:rsidRPr="00355478">
              <w:t>19.1%</w:t>
            </w:r>
          </w:p>
        </w:tc>
        <w:tc>
          <w:tcPr>
            <w:tcW w:w="1021" w:type="dxa"/>
            <w:tcBorders>
              <w:top w:val="single" w:sz="4" w:space="0" w:color="BFBFBF"/>
              <w:left w:val="single" w:sz="4" w:space="0" w:color="FFFFFF"/>
              <w:bottom w:val="single" w:sz="4" w:space="0" w:color="FFFFFF"/>
              <w:right w:val="single" w:sz="4" w:space="0" w:color="FFFFFF"/>
            </w:tcBorders>
          </w:tcPr>
          <w:p w14:paraId="1F541592" w14:textId="77777777" w:rsidR="004B605A" w:rsidRPr="00355478" w:rsidRDefault="004B605A" w:rsidP="00F4536C">
            <w:pPr>
              <w:pStyle w:val="ARtabletext"/>
            </w:pPr>
            <w:r w:rsidRPr="00355478">
              <w:t>19.3%</w:t>
            </w:r>
          </w:p>
        </w:tc>
        <w:tc>
          <w:tcPr>
            <w:tcW w:w="1021" w:type="dxa"/>
            <w:tcBorders>
              <w:top w:val="single" w:sz="4" w:space="0" w:color="BFBFBF"/>
              <w:left w:val="single" w:sz="4" w:space="0" w:color="FFFFFF"/>
              <w:bottom w:val="single" w:sz="4" w:space="0" w:color="FFFFFF"/>
              <w:right w:val="single" w:sz="4" w:space="0" w:color="FFFFFF"/>
            </w:tcBorders>
          </w:tcPr>
          <w:p w14:paraId="77CC4433" w14:textId="77777777" w:rsidR="004B605A" w:rsidRPr="00355478" w:rsidRDefault="004B605A" w:rsidP="00F4536C">
            <w:pPr>
              <w:pStyle w:val="ARtabletext"/>
            </w:pPr>
            <w:r w:rsidRPr="00355478">
              <w:t>21.3%</w:t>
            </w:r>
          </w:p>
        </w:tc>
        <w:tc>
          <w:tcPr>
            <w:tcW w:w="1021" w:type="dxa"/>
            <w:tcBorders>
              <w:top w:val="single" w:sz="4" w:space="0" w:color="BFBFBF"/>
              <w:left w:val="single" w:sz="4" w:space="0" w:color="FFFFFF"/>
              <w:bottom w:val="single" w:sz="4" w:space="0" w:color="FFFFFF"/>
              <w:right w:val="single" w:sz="4" w:space="0" w:color="FFFFFF"/>
            </w:tcBorders>
          </w:tcPr>
          <w:p w14:paraId="72614146" w14:textId="77777777" w:rsidR="004B605A" w:rsidRPr="00355478" w:rsidRDefault="004B605A" w:rsidP="00F4536C">
            <w:pPr>
              <w:pStyle w:val="ARtabletext"/>
            </w:pPr>
            <w:r w:rsidRPr="00355478">
              <w:t>20.3%</w:t>
            </w:r>
          </w:p>
        </w:tc>
      </w:tr>
      <w:tr w:rsidR="004B605A" w:rsidRPr="002029AF" w14:paraId="0F338008" w14:textId="77777777" w:rsidTr="00F42F20">
        <w:trPr>
          <w:cantSplit/>
        </w:trPr>
        <w:tc>
          <w:tcPr>
            <w:tcW w:w="5557" w:type="dxa"/>
            <w:tcBorders>
              <w:top w:val="single" w:sz="4" w:space="0" w:color="BFBFBF"/>
              <w:left w:val="single" w:sz="4" w:space="0" w:color="FFFFFF"/>
              <w:bottom w:val="single" w:sz="4" w:space="0" w:color="FFFFFF"/>
              <w:right w:val="single" w:sz="4" w:space="0" w:color="FFFFFF"/>
            </w:tcBorders>
          </w:tcPr>
          <w:p w14:paraId="09388EBE" w14:textId="77777777" w:rsidR="004B605A" w:rsidRPr="00355478" w:rsidRDefault="004B605A" w:rsidP="00F4536C">
            <w:pPr>
              <w:pStyle w:val="ARtabletext"/>
            </w:pPr>
            <w:r w:rsidRPr="00355478">
              <w:t>Proportion of adults who were current smokers</w:t>
            </w:r>
          </w:p>
        </w:tc>
        <w:tc>
          <w:tcPr>
            <w:tcW w:w="1021" w:type="dxa"/>
            <w:tcBorders>
              <w:top w:val="single" w:sz="4" w:space="0" w:color="BFBFBF"/>
              <w:left w:val="single" w:sz="4" w:space="0" w:color="FFFFFF"/>
              <w:bottom w:val="single" w:sz="4" w:space="0" w:color="FFFFFF"/>
              <w:right w:val="single" w:sz="4" w:space="0" w:color="FFFFFF"/>
            </w:tcBorders>
          </w:tcPr>
          <w:p w14:paraId="59C8B370" w14:textId="77777777" w:rsidR="004B605A" w:rsidRPr="00355478" w:rsidRDefault="004B605A" w:rsidP="00F4536C">
            <w:pPr>
              <w:pStyle w:val="ARtabletext"/>
            </w:pPr>
            <w:r w:rsidRPr="00355478">
              <w:t>16.7%</w:t>
            </w:r>
          </w:p>
        </w:tc>
        <w:tc>
          <w:tcPr>
            <w:tcW w:w="1021" w:type="dxa"/>
            <w:tcBorders>
              <w:top w:val="single" w:sz="4" w:space="0" w:color="BFBFBF"/>
              <w:left w:val="single" w:sz="4" w:space="0" w:color="FFFFFF"/>
              <w:bottom w:val="single" w:sz="4" w:space="0" w:color="FFFFFF"/>
              <w:right w:val="single" w:sz="4" w:space="0" w:color="FFFFFF"/>
            </w:tcBorders>
          </w:tcPr>
          <w:p w14:paraId="0398B42C" w14:textId="77777777" w:rsidR="004B605A" w:rsidRPr="00355478" w:rsidRDefault="004B605A" w:rsidP="00F4536C">
            <w:pPr>
              <w:pStyle w:val="ARtabletext"/>
            </w:pPr>
            <w:r w:rsidRPr="00355478">
              <w:t>16.7%</w:t>
            </w:r>
          </w:p>
        </w:tc>
        <w:tc>
          <w:tcPr>
            <w:tcW w:w="1021" w:type="dxa"/>
            <w:tcBorders>
              <w:top w:val="single" w:sz="4" w:space="0" w:color="BFBFBF"/>
              <w:left w:val="single" w:sz="4" w:space="0" w:color="FFFFFF"/>
              <w:bottom w:val="single" w:sz="4" w:space="0" w:color="FFFFFF"/>
              <w:right w:val="single" w:sz="4" w:space="0" w:color="FFFFFF"/>
            </w:tcBorders>
          </w:tcPr>
          <w:p w14:paraId="14449F5B" w14:textId="77777777" w:rsidR="004B605A" w:rsidRPr="00355478" w:rsidRDefault="004B605A" w:rsidP="00F4536C">
            <w:pPr>
              <w:pStyle w:val="ARtabletext"/>
            </w:pPr>
            <w:r w:rsidRPr="00355478">
              <w:t>17.6%</w:t>
            </w:r>
          </w:p>
        </w:tc>
        <w:tc>
          <w:tcPr>
            <w:tcW w:w="1021" w:type="dxa"/>
            <w:tcBorders>
              <w:top w:val="single" w:sz="4" w:space="0" w:color="BFBFBF"/>
              <w:left w:val="single" w:sz="4" w:space="0" w:color="FFFFFF"/>
              <w:bottom w:val="single" w:sz="4" w:space="0" w:color="FFFFFF"/>
              <w:right w:val="single" w:sz="4" w:space="0" w:color="FFFFFF"/>
            </w:tcBorders>
          </w:tcPr>
          <w:p w14:paraId="27A20F59" w14:textId="77777777" w:rsidR="004B605A" w:rsidRPr="00355478" w:rsidRDefault="004B605A" w:rsidP="00F4536C">
            <w:pPr>
              <w:pStyle w:val="ARtabletext"/>
            </w:pPr>
            <w:r w:rsidRPr="00355478">
              <w:t>16.9%</w:t>
            </w:r>
          </w:p>
        </w:tc>
      </w:tr>
      <w:tr w:rsidR="004B605A" w:rsidRPr="002029AF" w14:paraId="6392F8DD" w14:textId="77777777" w:rsidTr="00F42F20">
        <w:trPr>
          <w:cantSplit/>
        </w:trPr>
        <w:tc>
          <w:tcPr>
            <w:tcW w:w="5557" w:type="dxa"/>
            <w:tcBorders>
              <w:top w:val="single" w:sz="4" w:space="0" w:color="BFBFBF"/>
              <w:left w:val="single" w:sz="4" w:space="0" w:color="FFFFFF"/>
              <w:bottom w:val="single" w:sz="4" w:space="0" w:color="FFFFFF"/>
              <w:right w:val="single" w:sz="4" w:space="0" w:color="FFFFFF"/>
            </w:tcBorders>
          </w:tcPr>
          <w:p w14:paraId="45C37D4F" w14:textId="77777777" w:rsidR="004B605A" w:rsidRPr="00355478" w:rsidRDefault="004B605A" w:rsidP="00F4536C">
            <w:pPr>
              <w:pStyle w:val="ARtabletext"/>
            </w:pPr>
            <w:r w:rsidRPr="00355478">
              <w:t>Proportion of adults who smoked daily</w:t>
            </w:r>
          </w:p>
        </w:tc>
        <w:tc>
          <w:tcPr>
            <w:tcW w:w="1021" w:type="dxa"/>
            <w:tcBorders>
              <w:top w:val="single" w:sz="4" w:space="0" w:color="BFBFBF"/>
              <w:left w:val="single" w:sz="4" w:space="0" w:color="FFFFFF"/>
              <w:bottom w:val="single" w:sz="4" w:space="0" w:color="FFFFFF"/>
              <w:right w:val="single" w:sz="4" w:space="0" w:color="FFFFFF"/>
            </w:tcBorders>
          </w:tcPr>
          <w:p w14:paraId="77AB27B2" w14:textId="77777777" w:rsidR="004B605A" w:rsidRPr="00355478" w:rsidRDefault="004B605A" w:rsidP="00F4536C">
            <w:pPr>
              <w:pStyle w:val="ARtabletext"/>
            </w:pPr>
            <w:r w:rsidRPr="00355478">
              <w:t>12.3</w:t>
            </w:r>
          </w:p>
        </w:tc>
        <w:tc>
          <w:tcPr>
            <w:tcW w:w="1021" w:type="dxa"/>
            <w:tcBorders>
              <w:top w:val="single" w:sz="4" w:space="0" w:color="BFBFBF"/>
              <w:left w:val="single" w:sz="4" w:space="0" w:color="FFFFFF"/>
              <w:bottom w:val="single" w:sz="4" w:space="0" w:color="FFFFFF"/>
              <w:right w:val="single" w:sz="4" w:space="0" w:color="FFFFFF"/>
            </w:tcBorders>
          </w:tcPr>
          <w:p w14:paraId="7C1EDC5C" w14:textId="77777777" w:rsidR="004B605A" w:rsidRPr="00355478" w:rsidRDefault="004B605A" w:rsidP="00F4536C">
            <w:pPr>
              <w:pStyle w:val="ARtabletext"/>
            </w:pPr>
            <w:r w:rsidRPr="00355478">
              <w:t>12.4%</w:t>
            </w:r>
          </w:p>
        </w:tc>
        <w:tc>
          <w:tcPr>
            <w:tcW w:w="1021" w:type="dxa"/>
            <w:tcBorders>
              <w:top w:val="single" w:sz="4" w:space="0" w:color="BFBFBF"/>
              <w:left w:val="single" w:sz="4" w:space="0" w:color="FFFFFF"/>
              <w:bottom w:val="single" w:sz="4" w:space="0" w:color="FFFFFF"/>
              <w:right w:val="single" w:sz="4" w:space="0" w:color="FFFFFF"/>
            </w:tcBorders>
          </w:tcPr>
          <w:p w14:paraId="46F8A9A3" w14:textId="77777777" w:rsidR="004B605A" w:rsidRPr="00355478" w:rsidRDefault="004B605A" w:rsidP="00F4536C">
            <w:pPr>
              <w:pStyle w:val="ARtabletext"/>
            </w:pPr>
            <w:r w:rsidRPr="00355478">
              <w:t>12.6%</w:t>
            </w:r>
          </w:p>
        </w:tc>
        <w:tc>
          <w:tcPr>
            <w:tcW w:w="1021" w:type="dxa"/>
            <w:tcBorders>
              <w:top w:val="single" w:sz="4" w:space="0" w:color="BFBFBF"/>
              <w:left w:val="single" w:sz="4" w:space="0" w:color="FFFFFF"/>
              <w:bottom w:val="single" w:sz="4" w:space="0" w:color="FFFFFF"/>
              <w:right w:val="single" w:sz="4" w:space="0" w:color="FFFFFF"/>
            </w:tcBorders>
          </w:tcPr>
          <w:p w14:paraId="4C90A190" w14:textId="77777777" w:rsidR="004B605A" w:rsidRPr="00355478" w:rsidRDefault="004B605A" w:rsidP="00F4536C">
            <w:pPr>
              <w:pStyle w:val="ARtabletext"/>
            </w:pPr>
            <w:r w:rsidRPr="00355478">
              <w:t>12.4%</w:t>
            </w:r>
          </w:p>
        </w:tc>
      </w:tr>
      <w:tr w:rsidR="004B605A" w:rsidRPr="002029AF" w14:paraId="7F540B51" w14:textId="77777777" w:rsidTr="00F42F20">
        <w:trPr>
          <w:cantSplit/>
        </w:trPr>
        <w:tc>
          <w:tcPr>
            <w:tcW w:w="5557" w:type="dxa"/>
            <w:tcBorders>
              <w:top w:val="single" w:sz="4" w:space="0" w:color="BFBFBF"/>
              <w:left w:val="single" w:sz="4" w:space="0" w:color="FFFFFF"/>
              <w:bottom w:val="single" w:sz="4" w:space="0" w:color="FFFFFF"/>
              <w:right w:val="single" w:sz="4" w:space="0" w:color="FFFFFF"/>
            </w:tcBorders>
          </w:tcPr>
          <w:p w14:paraId="1862112D" w14:textId="77777777" w:rsidR="004B605A" w:rsidRPr="00355478" w:rsidRDefault="004B605A" w:rsidP="00F4536C">
            <w:pPr>
              <w:pStyle w:val="ARtabletext"/>
            </w:pPr>
            <w:r w:rsidRPr="00355478">
              <w:t>Proportion of adults with doctor-diagnosed high blood pressure</w:t>
            </w:r>
          </w:p>
        </w:tc>
        <w:tc>
          <w:tcPr>
            <w:tcW w:w="1021" w:type="dxa"/>
            <w:tcBorders>
              <w:top w:val="single" w:sz="4" w:space="0" w:color="BFBFBF"/>
              <w:left w:val="single" w:sz="4" w:space="0" w:color="FFFFFF"/>
              <w:bottom w:val="single" w:sz="4" w:space="0" w:color="FFFFFF"/>
              <w:right w:val="single" w:sz="4" w:space="0" w:color="FFFFFF"/>
            </w:tcBorders>
          </w:tcPr>
          <w:p w14:paraId="0539AB7D" w14:textId="77777777" w:rsidR="004B605A" w:rsidRPr="00355478" w:rsidRDefault="004B605A" w:rsidP="00F4536C">
            <w:pPr>
              <w:pStyle w:val="ARtabletext"/>
            </w:pPr>
            <w:r w:rsidRPr="00355478">
              <w:t>25.5%</w:t>
            </w:r>
          </w:p>
        </w:tc>
        <w:tc>
          <w:tcPr>
            <w:tcW w:w="1021" w:type="dxa"/>
            <w:tcBorders>
              <w:top w:val="single" w:sz="4" w:space="0" w:color="BFBFBF"/>
              <w:left w:val="single" w:sz="4" w:space="0" w:color="FFFFFF"/>
              <w:bottom w:val="single" w:sz="4" w:space="0" w:color="FFFFFF"/>
              <w:right w:val="single" w:sz="4" w:space="0" w:color="FFFFFF"/>
            </w:tcBorders>
          </w:tcPr>
          <w:p w14:paraId="1074A079" w14:textId="77777777" w:rsidR="004B605A" w:rsidRPr="00355478" w:rsidRDefault="004B605A" w:rsidP="00F4536C">
            <w:pPr>
              <w:pStyle w:val="ARtabletext"/>
            </w:pPr>
            <w:r w:rsidRPr="00355478">
              <w:t>25.4%</w:t>
            </w:r>
          </w:p>
        </w:tc>
        <w:tc>
          <w:tcPr>
            <w:tcW w:w="1021" w:type="dxa"/>
            <w:tcBorders>
              <w:top w:val="single" w:sz="4" w:space="0" w:color="BFBFBF"/>
              <w:left w:val="single" w:sz="4" w:space="0" w:color="FFFFFF"/>
              <w:bottom w:val="single" w:sz="4" w:space="0" w:color="FFFFFF"/>
              <w:right w:val="single" w:sz="4" w:space="0" w:color="FFFFFF"/>
            </w:tcBorders>
          </w:tcPr>
          <w:p w14:paraId="653CEF10" w14:textId="77777777" w:rsidR="004B605A" w:rsidRPr="00355478" w:rsidRDefault="004B605A" w:rsidP="00F4536C">
            <w:pPr>
              <w:pStyle w:val="ARtabletext"/>
            </w:pPr>
            <w:r w:rsidRPr="00355478">
              <w:t>26.3%</w:t>
            </w:r>
          </w:p>
        </w:tc>
        <w:tc>
          <w:tcPr>
            <w:tcW w:w="1021" w:type="dxa"/>
            <w:tcBorders>
              <w:top w:val="single" w:sz="4" w:space="0" w:color="BFBFBF"/>
              <w:left w:val="single" w:sz="4" w:space="0" w:color="FFFFFF"/>
              <w:bottom w:val="single" w:sz="4" w:space="0" w:color="FFFFFF"/>
              <w:right w:val="single" w:sz="4" w:space="0" w:color="FFFFFF"/>
            </w:tcBorders>
          </w:tcPr>
          <w:p w14:paraId="6DAC1FFC" w14:textId="77777777" w:rsidR="004B605A" w:rsidRPr="00355478" w:rsidRDefault="004B605A" w:rsidP="00F4536C">
            <w:pPr>
              <w:pStyle w:val="ARtabletext"/>
            </w:pPr>
            <w:r w:rsidRPr="00355478">
              <w:t>26.0%</w:t>
            </w:r>
          </w:p>
        </w:tc>
      </w:tr>
      <w:tr w:rsidR="004B605A" w:rsidRPr="002029AF" w14:paraId="3CD651C9" w14:textId="77777777" w:rsidTr="00F42F20">
        <w:trPr>
          <w:cantSplit/>
        </w:trPr>
        <w:tc>
          <w:tcPr>
            <w:tcW w:w="5557" w:type="dxa"/>
            <w:tcBorders>
              <w:top w:val="single" w:sz="4" w:space="0" w:color="BFBFBF"/>
              <w:left w:val="single" w:sz="4" w:space="0" w:color="FFFFFF"/>
              <w:bottom w:val="single" w:sz="4" w:space="0" w:color="FFFFFF"/>
              <w:right w:val="single" w:sz="4" w:space="0" w:color="FFFFFF"/>
            </w:tcBorders>
          </w:tcPr>
          <w:p w14:paraId="56431D88" w14:textId="77777777" w:rsidR="004B605A" w:rsidRPr="00355478" w:rsidRDefault="004B605A" w:rsidP="00F4536C">
            <w:pPr>
              <w:pStyle w:val="ARtabletext"/>
            </w:pPr>
            <w:r w:rsidRPr="00355478">
              <w:t>Proportion of adults diagnosed with type 2 diabetes</w:t>
            </w:r>
          </w:p>
        </w:tc>
        <w:tc>
          <w:tcPr>
            <w:tcW w:w="1021" w:type="dxa"/>
            <w:tcBorders>
              <w:top w:val="single" w:sz="4" w:space="0" w:color="BFBFBF"/>
              <w:left w:val="single" w:sz="4" w:space="0" w:color="FFFFFF"/>
              <w:bottom w:val="single" w:sz="4" w:space="0" w:color="FFFFFF"/>
              <w:right w:val="single" w:sz="4" w:space="0" w:color="FFFFFF"/>
            </w:tcBorders>
          </w:tcPr>
          <w:p w14:paraId="67D0D507" w14:textId="77777777" w:rsidR="004B605A" w:rsidRPr="00355478" w:rsidRDefault="004B605A" w:rsidP="00F4536C">
            <w:pPr>
              <w:pStyle w:val="ARtabletext"/>
            </w:pPr>
            <w:r w:rsidRPr="00355478">
              <w:t>5.9%</w:t>
            </w:r>
          </w:p>
        </w:tc>
        <w:tc>
          <w:tcPr>
            <w:tcW w:w="1021" w:type="dxa"/>
            <w:tcBorders>
              <w:top w:val="single" w:sz="4" w:space="0" w:color="BFBFBF"/>
              <w:left w:val="single" w:sz="4" w:space="0" w:color="FFFFFF"/>
              <w:bottom w:val="single" w:sz="4" w:space="0" w:color="FFFFFF"/>
              <w:right w:val="single" w:sz="4" w:space="0" w:color="FFFFFF"/>
            </w:tcBorders>
          </w:tcPr>
          <w:p w14:paraId="51895997" w14:textId="77777777" w:rsidR="004B605A" w:rsidRPr="00355478" w:rsidRDefault="004B605A" w:rsidP="00F4536C">
            <w:pPr>
              <w:pStyle w:val="ARtabletext"/>
            </w:pPr>
            <w:r w:rsidRPr="00355478">
              <w:t>5.5%</w:t>
            </w:r>
          </w:p>
        </w:tc>
        <w:tc>
          <w:tcPr>
            <w:tcW w:w="1021" w:type="dxa"/>
            <w:tcBorders>
              <w:top w:val="single" w:sz="4" w:space="0" w:color="BFBFBF"/>
              <w:left w:val="single" w:sz="4" w:space="0" w:color="FFFFFF"/>
              <w:bottom w:val="single" w:sz="4" w:space="0" w:color="FFFFFF"/>
              <w:right w:val="single" w:sz="4" w:space="0" w:color="FFFFFF"/>
            </w:tcBorders>
          </w:tcPr>
          <w:p w14:paraId="1D3ECCDA" w14:textId="77777777" w:rsidR="004B605A" w:rsidRPr="00355478" w:rsidRDefault="004B605A" w:rsidP="00F4536C">
            <w:pPr>
              <w:pStyle w:val="ARtabletext"/>
            </w:pPr>
            <w:r w:rsidRPr="00355478">
              <w:t>5.4%</w:t>
            </w:r>
          </w:p>
        </w:tc>
        <w:tc>
          <w:tcPr>
            <w:tcW w:w="1021" w:type="dxa"/>
            <w:tcBorders>
              <w:top w:val="single" w:sz="4" w:space="0" w:color="BFBFBF"/>
              <w:left w:val="single" w:sz="4" w:space="0" w:color="FFFFFF"/>
              <w:bottom w:val="single" w:sz="4" w:space="0" w:color="FFFFFF"/>
              <w:right w:val="single" w:sz="4" w:space="0" w:color="FFFFFF"/>
            </w:tcBorders>
          </w:tcPr>
          <w:p w14:paraId="0D457641" w14:textId="77777777" w:rsidR="004B605A" w:rsidRPr="00355478" w:rsidRDefault="004B605A" w:rsidP="00F4536C">
            <w:pPr>
              <w:pStyle w:val="ARtabletext"/>
            </w:pPr>
            <w:r w:rsidRPr="00355478">
              <w:t>5.7%</w:t>
            </w:r>
          </w:p>
        </w:tc>
      </w:tr>
      <w:tr w:rsidR="004B605A" w:rsidRPr="002029AF" w14:paraId="76E1770D" w14:textId="77777777" w:rsidTr="00F42F20">
        <w:trPr>
          <w:cantSplit/>
        </w:trPr>
        <w:tc>
          <w:tcPr>
            <w:tcW w:w="5557" w:type="dxa"/>
            <w:tcBorders>
              <w:top w:val="single" w:sz="4" w:space="0" w:color="BFBFBF"/>
              <w:left w:val="single" w:sz="4" w:space="0" w:color="FFFFFF"/>
              <w:bottom w:val="single" w:sz="4" w:space="0" w:color="BFBFBF"/>
              <w:right w:val="single" w:sz="4" w:space="0" w:color="FFFFFF"/>
            </w:tcBorders>
          </w:tcPr>
          <w:p w14:paraId="050C7260" w14:textId="77777777" w:rsidR="004B605A" w:rsidRPr="00355478" w:rsidRDefault="004B605A" w:rsidP="00F4536C">
            <w:pPr>
              <w:pStyle w:val="ARtabletext"/>
            </w:pPr>
            <w:r w:rsidRPr="00355478">
              <w:t>Proportion of adults who are sufficiently physically active</w:t>
            </w:r>
          </w:p>
        </w:tc>
        <w:tc>
          <w:tcPr>
            <w:tcW w:w="1021" w:type="dxa"/>
            <w:tcBorders>
              <w:top w:val="single" w:sz="4" w:space="0" w:color="BFBFBF"/>
              <w:left w:val="single" w:sz="4" w:space="0" w:color="FFFFFF"/>
              <w:bottom w:val="single" w:sz="4" w:space="0" w:color="BFBFBF"/>
              <w:right w:val="single" w:sz="4" w:space="0" w:color="FFFFFF"/>
            </w:tcBorders>
          </w:tcPr>
          <w:p w14:paraId="498C84FF" w14:textId="77777777" w:rsidR="004B605A" w:rsidRPr="00355478" w:rsidRDefault="004B605A" w:rsidP="00F4536C">
            <w:pPr>
              <w:pStyle w:val="ARtabletext"/>
            </w:pPr>
            <w:r w:rsidRPr="00355478">
              <w:t>49.9%</w:t>
            </w:r>
          </w:p>
        </w:tc>
        <w:tc>
          <w:tcPr>
            <w:tcW w:w="1021" w:type="dxa"/>
            <w:tcBorders>
              <w:top w:val="single" w:sz="4" w:space="0" w:color="BFBFBF"/>
              <w:left w:val="single" w:sz="4" w:space="0" w:color="FFFFFF"/>
              <w:bottom w:val="single" w:sz="4" w:space="0" w:color="BFBFBF"/>
              <w:right w:val="single" w:sz="4" w:space="0" w:color="FFFFFF"/>
            </w:tcBorders>
          </w:tcPr>
          <w:p w14:paraId="2ED7065A" w14:textId="77777777" w:rsidR="004B605A" w:rsidRPr="00355478" w:rsidRDefault="004B605A" w:rsidP="00F4536C">
            <w:pPr>
              <w:pStyle w:val="ARtabletext"/>
            </w:pPr>
            <w:r w:rsidRPr="00355478">
              <w:t>50.9%</w:t>
            </w:r>
          </w:p>
        </w:tc>
        <w:tc>
          <w:tcPr>
            <w:tcW w:w="1021" w:type="dxa"/>
            <w:tcBorders>
              <w:top w:val="single" w:sz="4" w:space="0" w:color="BFBFBF"/>
              <w:left w:val="single" w:sz="4" w:space="0" w:color="FFFFFF"/>
              <w:bottom w:val="single" w:sz="4" w:space="0" w:color="BFBFBF"/>
              <w:right w:val="single" w:sz="4" w:space="0" w:color="FFFFFF"/>
            </w:tcBorders>
          </w:tcPr>
          <w:p w14:paraId="0A1B6AC3" w14:textId="77777777" w:rsidR="004B605A" w:rsidRPr="00355478" w:rsidRDefault="004B605A" w:rsidP="00F4536C">
            <w:pPr>
              <w:pStyle w:val="ARtabletext"/>
            </w:pPr>
            <w:r w:rsidRPr="00355478">
              <w:t>52.9%</w:t>
            </w:r>
          </w:p>
        </w:tc>
        <w:tc>
          <w:tcPr>
            <w:tcW w:w="1021" w:type="dxa"/>
            <w:tcBorders>
              <w:top w:val="single" w:sz="4" w:space="0" w:color="BFBFBF"/>
              <w:left w:val="single" w:sz="4" w:space="0" w:color="FFFFFF"/>
              <w:bottom w:val="single" w:sz="4" w:space="0" w:color="BFBFBF"/>
              <w:right w:val="single" w:sz="4" w:space="0" w:color="FFFFFF"/>
            </w:tcBorders>
          </w:tcPr>
          <w:p w14:paraId="58DB79EE" w14:textId="77777777" w:rsidR="004B605A" w:rsidRPr="00355478" w:rsidRDefault="004B605A" w:rsidP="00F4536C">
            <w:pPr>
              <w:pStyle w:val="ARtabletext"/>
            </w:pPr>
            <w:r w:rsidRPr="00355478">
              <w:t>51.1%</w:t>
            </w:r>
          </w:p>
        </w:tc>
      </w:tr>
      <w:tr w:rsidR="004B605A" w:rsidRPr="002029AF" w14:paraId="389D3A9D" w14:textId="77777777" w:rsidTr="00F42F20">
        <w:trPr>
          <w:cantSplit/>
        </w:trPr>
        <w:tc>
          <w:tcPr>
            <w:tcW w:w="5557" w:type="dxa"/>
            <w:gridSpan w:val="5"/>
            <w:tcBorders>
              <w:top w:val="single" w:sz="4" w:space="0" w:color="BFBFBF"/>
              <w:left w:val="single" w:sz="4" w:space="0" w:color="FFFFFF"/>
              <w:bottom w:val="single" w:sz="4" w:space="0" w:color="auto"/>
              <w:right w:val="single" w:sz="4" w:space="0" w:color="FFFFFF"/>
            </w:tcBorders>
          </w:tcPr>
          <w:p w14:paraId="42A11486" w14:textId="77777777" w:rsidR="004B605A" w:rsidRPr="00355478" w:rsidRDefault="004B605A" w:rsidP="00F4536C">
            <w:pPr>
              <w:pStyle w:val="ARtablefootnote"/>
            </w:pPr>
            <w:r w:rsidRPr="00355478">
              <w:t>Source: Victorian Population Health Survey (VPHS, 2016–19)</w:t>
            </w:r>
          </w:p>
        </w:tc>
      </w:tr>
      <w:tr w:rsidR="004B605A" w:rsidRPr="002029AF" w14:paraId="277D147E" w14:textId="77777777" w:rsidTr="00F42F20">
        <w:trPr>
          <w:cantSplit/>
        </w:trPr>
        <w:tc>
          <w:tcPr>
            <w:tcW w:w="5557" w:type="dxa"/>
            <w:gridSpan w:val="5"/>
            <w:tcBorders>
              <w:top w:val="single" w:sz="4" w:space="0" w:color="auto"/>
              <w:left w:val="single" w:sz="4" w:space="0" w:color="FFFFFF"/>
              <w:bottom w:val="single" w:sz="4" w:space="0" w:color="auto"/>
              <w:right w:val="single" w:sz="4" w:space="0" w:color="FFFFFF"/>
            </w:tcBorders>
          </w:tcPr>
          <w:p w14:paraId="02DE5C06" w14:textId="77777777" w:rsidR="004B605A" w:rsidRPr="00355478" w:rsidRDefault="004B605A" w:rsidP="00F4536C">
            <w:pPr>
              <w:pStyle w:val="ARtablesubhead"/>
              <w:keepNext/>
            </w:pPr>
            <w:r w:rsidRPr="00355478">
              <w:t>Victorians have good mental health</w:t>
            </w:r>
          </w:p>
        </w:tc>
      </w:tr>
      <w:tr w:rsidR="004B605A" w:rsidRPr="002029AF" w14:paraId="7F1E6467" w14:textId="77777777" w:rsidTr="00F42F20">
        <w:trPr>
          <w:cantSplit/>
        </w:trPr>
        <w:tc>
          <w:tcPr>
            <w:tcW w:w="5557" w:type="dxa"/>
            <w:tcBorders>
              <w:top w:val="single" w:sz="4" w:space="0" w:color="auto"/>
              <w:left w:val="single" w:sz="4" w:space="0" w:color="FFFFFF"/>
              <w:bottom w:val="single" w:sz="4" w:space="0" w:color="BFBFBF"/>
              <w:right w:val="single" w:sz="4" w:space="0" w:color="FFFFFF"/>
            </w:tcBorders>
          </w:tcPr>
          <w:p w14:paraId="0487F61A" w14:textId="77777777" w:rsidR="004B605A" w:rsidRPr="00355478" w:rsidRDefault="004B605A" w:rsidP="00F4536C">
            <w:pPr>
              <w:pStyle w:val="ARtabletext"/>
            </w:pPr>
            <w:r w:rsidRPr="00355478">
              <w:t>Proportion of adults who had been diagnosed with anxiety or depression</w:t>
            </w:r>
          </w:p>
        </w:tc>
        <w:tc>
          <w:tcPr>
            <w:tcW w:w="1021" w:type="dxa"/>
            <w:tcBorders>
              <w:top w:val="single" w:sz="4" w:space="0" w:color="auto"/>
              <w:left w:val="single" w:sz="4" w:space="0" w:color="FFFFFF"/>
              <w:bottom w:val="single" w:sz="4" w:space="0" w:color="BFBFBF"/>
              <w:right w:val="single" w:sz="4" w:space="0" w:color="FFFFFF"/>
            </w:tcBorders>
          </w:tcPr>
          <w:p w14:paraId="6EF90322" w14:textId="77777777" w:rsidR="004B605A" w:rsidRPr="00355478" w:rsidRDefault="004B605A" w:rsidP="00F4536C">
            <w:pPr>
              <w:pStyle w:val="ARtabletext"/>
            </w:pPr>
            <w:r w:rsidRPr="00355478">
              <w:t>24.5%</w:t>
            </w:r>
          </w:p>
        </w:tc>
        <w:tc>
          <w:tcPr>
            <w:tcW w:w="1021" w:type="dxa"/>
            <w:tcBorders>
              <w:top w:val="single" w:sz="4" w:space="0" w:color="auto"/>
              <w:left w:val="single" w:sz="4" w:space="0" w:color="FFFFFF"/>
              <w:bottom w:val="single" w:sz="4" w:space="0" w:color="BFBFBF"/>
              <w:right w:val="single" w:sz="4" w:space="0" w:color="FFFFFF"/>
            </w:tcBorders>
          </w:tcPr>
          <w:p w14:paraId="61FA1853" w14:textId="77777777" w:rsidR="004B605A" w:rsidRPr="00355478" w:rsidRDefault="004B605A" w:rsidP="00F4536C">
            <w:pPr>
              <w:pStyle w:val="ARtabletext"/>
            </w:pPr>
            <w:r w:rsidRPr="00355478">
              <w:t>27.4%</w:t>
            </w:r>
          </w:p>
        </w:tc>
        <w:tc>
          <w:tcPr>
            <w:tcW w:w="1021" w:type="dxa"/>
            <w:tcBorders>
              <w:top w:val="single" w:sz="4" w:space="0" w:color="auto"/>
              <w:left w:val="single" w:sz="4" w:space="0" w:color="FFFFFF"/>
              <w:bottom w:val="single" w:sz="4" w:space="0" w:color="BFBFBF"/>
              <w:right w:val="single" w:sz="4" w:space="0" w:color="FFFFFF"/>
            </w:tcBorders>
          </w:tcPr>
          <w:p w14:paraId="5284146C" w14:textId="77777777" w:rsidR="004B605A" w:rsidRPr="00355478" w:rsidRDefault="004B605A" w:rsidP="00F4536C">
            <w:pPr>
              <w:pStyle w:val="ARtabletext"/>
            </w:pPr>
            <w:r w:rsidRPr="00355478">
              <w:t>29.1%</w:t>
            </w:r>
          </w:p>
        </w:tc>
        <w:tc>
          <w:tcPr>
            <w:tcW w:w="1021" w:type="dxa"/>
            <w:tcBorders>
              <w:top w:val="single" w:sz="4" w:space="0" w:color="auto"/>
              <w:left w:val="single" w:sz="4" w:space="0" w:color="FFFFFF"/>
              <w:bottom w:val="single" w:sz="4" w:space="0" w:color="BFBFBF"/>
              <w:right w:val="single" w:sz="4" w:space="0" w:color="FFFFFF"/>
            </w:tcBorders>
          </w:tcPr>
          <w:p w14:paraId="30105F22" w14:textId="77777777" w:rsidR="004B605A" w:rsidRPr="00355478" w:rsidRDefault="004B605A" w:rsidP="00F4536C">
            <w:pPr>
              <w:pStyle w:val="ARtabletext"/>
            </w:pPr>
            <w:r w:rsidRPr="00355478">
              <w:t>29.8%</w:t>
            </w:r>
          </w:p>
        </w:tc>
      </w:tr>
      <w:tr w:rsidR="004B605A" w:rsidRPr="002029AF" w14:paraId="1E92D62C" w14:textId="77777777" w:rsidTr="00F42F20">
        <w:trPr>
          <w:cantSplit/>
        </w:trPr>
        <w:tc>
          <w:tcPr>
            <w:tcW w:w="5557" w:type="dxa"/>
            <w:tcBorders>
              <w:top w:val="single" w:sz="4" w:space="0" w:color="BFBFBF"/>
              <w:left w:val="single" w:sz="4" w:space="0" w:color="FFFFFF"/>
              <w:bottom w:val="single" w:sz="4" w:space="0" w:color="FFFFFF"/>
              <w:right w:val="single" w:sz="4" w:space="0" w:color="FFFFFF"/>
            </w:tcBorders>
          </w:tcPr>
          <w:p w14:paraId="4BFEC771" w14:textId="77777777" w:rsidR="004B605A" w:rsidRPr="00355478" w:rsidRDefault="004B605A" w:rsidP="00F4536C">
            <w:pPr>
              <w:pStyle w:val="ARtabletext"/>
            </w:pPr>
            <w:r w:rsidRPr="00355478">
              <w:t>Proportion of adults with high/very high psychological distress</w:t>
            </w:r>
          </w:p>
        </w:tc>
        <w:tc>
          <w:tcPr>
            <w:tcW w:w="1021" w:type="dxa"/>
            <w:tcBorders>
              <w:top w:val="single" w:sz="4" w:space="0" w:color="BFBFBF"/>
              <w:left w:val="single" w:sz="4" w:space="0" w:color="FFFFFF"/>
              <w:bottom w:val="single" w:sz="4" w:space="0" w:color="FFFFFF"/>
              <w:right w:val="single" w:sz="4" w:space="0" w:color="FFFFFF"/>
            </w:tcBorders>
          </w:tcPr>
          <w:p w14:paraId="083615FE" w14:textId="77777777" w:rsidR="004B605A" w:rsidRPr="00355478" w:rsidRDefault="004B605A" w:rsidP="00F4536C">
            <w:pPr>
              <w:pStyle w:val="ARtabletext"/>
            </w:pPr>
            <w:r w:rsidRPr="00355478">
              <w:t>14.8%</w:t>
            </w:r>
          </w:p>
        </w:tc>
        <w:tc>
          <w:tcPr>
            <w:tcW w:w="1021" w:type="dxa"/>
            <w:tcBorders>
              <w:top w:val="single" w:sz="4" w:space="0" w:color="BFBFBF"/>
              <w:left w:val="single" w:sz="4" w:space="0" w:color="FFFFFF"/>
              <w:bottom w:val="single" w:sz="4" w:space="0" w:color="FFFFFF"/>
              <w:right w:val="single" w:sz="4" w:space="0" w:color="FFFFFF"/>
            </w:tcBorders>
          </w:tcPr>
          <w:p w14:paraId="1DF65FE2" w14:textId="77777777" w:rsidR="004B605A" w:rsidRPr="00355478" w:rsidRDefault="004B605A" w:rsidP="00F4536C">
            <w:pPr>
              <w:pStyle w:val="ARtabletext"/>
            </w:pPr>
            <w:r w:rsidRPr="00355478">
              <w:t>15.4%</w:t>
            </w:r>
          </w:p>
        </w:tc>
        <w:tc>
          <w:tcPr>
            <w:tcW w:w="1021" w:type="dxa"/>
            <w:tcBorders>
              <w:top w:val="single" w:sz="4" w:space="0" w:color="BFBFBF"/>
              <w:left w:val="single" w:sz="4" w:space="0" w:color="FFFFFF"/>
              <w:bottom w:val="single" w:sz="4" w:space="0" w:color="FFFFFF"/>
              <w:right w:val="single" w:sz="4" w:space="0" w:color="FFFFFF"/>
            </w:tcBorders>
          </w:tcPr>
          <w:p w14:paraId="0FC913D5" w14:textId="77777777" w:rsidR="004B605A" w:rsidRPr="00355478" w:rsidRDefault="004B605A" w:rsidP="00F4536C">
            <w:pPr>
              <w:pStyle w:val="ARtabletext"/>
            </w:pPr>
            <w:r w:rsidRPr="00355478">
              <w:t>15.0%</w:t>
            </w:r>
          </w:p>
        </w:tc>
        <w:tc>
          <w:tcPr>
            <w:tcW w:w="1021" w:type="dxa"/>
            <w:tcBorders>
              <w:top w:val="single" w:sz="4" w:space="0" w:color="BFBFBF"/>
              <w:left w:val="single" w:sz="4" w:space="0" w:color="FFFFFF"/>
              <w:bottom w:val="single" w:sz="4" w:space="0" w:color="FFFFFF"/>
              <w:right w:val="single" w:sz="4" w:space="0" w:color="FFFFFF"/>
            </w:tcBorders>
          </w:tcPr>
          <w:p w14:paraId="300A84BB" w14:textId="730B1BB7" w:rsidR="004B605A" w:rsidRPr="00355478" w:rsidRDefault="004B605A" w:rsidP="00F4536C">
            <w:pPr>
              <w:pStyle w:val="ARtabletext"/>
            </w:pPr>
            <w:r w:rsidRPr="00355478">
              <w:t>18.1</w:t>
            </w:r>
            <w:r w:rsidR="00A15C84" w:rsidRPr="00355478">
              <w:t>%</w:t>
            </w:r>
          </w:p>
        </w:tc>
      </w:tr>
      <w:tr w:rsidR="004B605A" w:rsidRPr="002029AF" w14:paraId="632197F5" w14:textId="77777777" w:rsidTr="00F42F20">
        <w:trPr>
          <w:cantSplit/>
        </w:trPr>
        <w:tc>
          <w:tcPr>
            <w:tcW w:w="5557" w:type="dxa"/>
            <w:tcBorders>
              <w:top w:val="single" w:sz="4" w:space="0" w:color="BFBFBF"/>
              <w:left w:val="single" w:sz="4" w:space="0" w:color="FFFFFF"/>
              <w:bottom w:val="single" w:sz="4" w:space="0" w:color="FFFFFF"/>
              <w:right w:val="single" w:sz="4" w:space="0" w:color="FFFFFF"/>
            </w:tcBorders>
          </w:tcPr>
          <w:p w14:paraId="022F2078" w14:textId="77777777" w:rsidR="004B605A" w:rsidRPr="00355478" w:rsidRDefault="004B605A" w:rsidP="00F4536C">
            <w:pPr>
              <w:pStyle w:val="ARtabletext"/>
            </w:pPr>
            <w:r w:rsidRPr="00355478">
              <w:t>Standardised rate of death from suicide (per 100,000 people)</w:t>
            </w:r>
          </w:p>
        </w:tc>
        <w:tc>
          <w:tcPr>
            <w:tcW w:w="1021" w:type="dxa"/>
            <w:tcBorders>
              <w:top w:val="single" w:sz="4" w:space="0" w:color="BFBFBF"/>
              <w:left w:val="single" w:sz="4" w:space="0" w:color="FFFFFF"/>
              <w:bottom w:val="single" w:sz="4" w:space="0" w:color="FFFFFF"/>
              <w:right w:val="single" w:sz="4" w:space="0" w:color="FFFFFF"/>
            </w:tcBorders>
          </w:tcPr>
          <w:p w14:paraId="64FD3DD6" w14:textId="77777777" w:rsidR="004B605A" w:rsidRPr="00355478" w:rsidRDefault="004B605A" w:rsidP="00F4536C">
            <w:pPr>
              <w:pStyle w:val="ARtabletext"/>
            </w:pPr>
            <w:r w:rsidRPr="00355478">
              <w:t>10.1</w:t>
            </w:r>
          </w:p>
        </w:tc>
        <w:tc>
          <w:tcPr>
            <w:tcW w:w="1021" w:type="dxa"/>
            <w:tcBorders>
              <w:top w:val="single" w:sz="4" w:space="0" w:color="BFBFBF"/>
              <w:left w:val="single" w:sz="4" w:space="0" w:color="FFFFFF"/>
              <w:bottom w:val="single" w:sz="4" w:space="0" w:color="FFFFFF"/>
              <w:right w:val="single" w:sz="4" w:space="0" w:color="FFFFFF"/>
            </w:tcBorders>
          </w:tcPr>
          <w:p w14:paraId="623A14F5" w14:textId="77777777" w:rsidR="004B605A" w:rsidRPr="00355478" w:rsidRDefault="004B605A" w:rsidP="00F4536C">
            <w:pPr>
              <w:pStyle w:val="ARtabletext"/>
            </w:pPr>
            <w:r w:rsidRPr="00355478">
              <w:t>9.6</w:t>
            </w:r>
          </w:p>
        </w:tc>
        <w:tc>
          <w:tcPr>
            <w:tcW w:w="1021" w:type="dxa"/>
            <w:tcBorders>
              <w:top w:val="single" w:sz="4" w:space="0" w:color="BFBFBF"/>
              <w:left w:val="single" w:sz="4" w:space="0" w:color="FFFFFF"/>
              <w:bottom w:val="single" w:sz="4" w:space="0" w:color="FFFFFF"/>
              <w:right w:val="single" w:sz="4" w:space="0" w:color="FFFFFF"/>
            </w:tcBorders>
          </w:tcPr>
          <w:p w14:paraId="6942E028" w14:textId="77777777" w:rsidR="004B605A" w:rsidRPr="00355478" w:rsidRDefault="004B605A" w:rsidP="00F4536C">
            <w:pPr>
              <w:pStyle w:val="ARtabletext"/>
            </w:pPr>
            <w:r w:rsidRPr="00355478">
              <w:t>9.1</w:t>
            </w:r>
          </w:p>
        </w:tc>
        <w:tc>
          <w:tcPr>
            <w:tcW w:w="1021" w:type="dxa"/>
            <w:tcBorders>
              <w:top w:val="single" w:sz="4" w:space="0" w:color="BFBFBF"/>
              <w:left w:val="single" w:sz="4" w:space="0" w:color="FFFFFF"/>
              <w:bottom w:val="single" w:sz="4" w:space="0" w:color="FFFFFF"/>
              <w:right w:val="single" w:sz="4" w:space="0" w:color="FFFFFF"/>
            </w:tcBorders>
          </w:tcPr>
          <w:p w14:paraId="459E409D" w14:textId="77777777" w:rsidR="004B605A" w:rsidRPr="00355478" w:rsidRDefault="004B605A" w:rsidP="00F4536C">
            <w:pPr>
              <w:pStyle w:val="ARtabletext"/>
            </w:pPr>
            <w:r w:rsidRPr="00355478">
              <w:t>Data available late 2020</w:t>
            </w:r>
          </w:p>
        </w:tc>
      </w:tr>
      <w:tr w:rsidR="004B605A" w:rsidRPr="002029AF" w14:paraId="236603C3" w14:textId="77777777" w:rsidTr="00F42F20">
        <w:trPr>
          <w:cantSplit/>
        </w:trPr>
        <w:tc>
          <w:tcPr>
            <w:tcW w:w="5557" w:type="dxa"/>
            <w:gridSpan w:val="5"/>
            <w:tcBorders>
              <w:top w:val="single" w:sz="4" w:space="0" w:color="BFBFBF"/>
              <w:left w:val="single" w:sz="4" w:space="0" w:color="FFFFFF"/>
              <w:bottom w:val="single" w:sz="4" w:space="0" w:color="auto"/>
              <w:right w:val="single" w:sz="4" w:space="0" w:color="FFFFFF"/>
            </w:tcBorders>
          </w:tcPr>
          <w:p w14:paraId="1ACF7270" w14:textId="77777777" w:rsidR="004B605A" w:rsidRPr="002029AF" w:rsidRDefault="004B605A" w:rsidP="00F4536C">
            <w:pPr>
              <w:pStyle w:val="ARtablefootnote"/>
            </w:pPr>
            <w:r w:rsidRPr="002029AF">
              <w:t>Sources: VPHS; Australian Bureau of Statistics (ABS)</w:t>
            </w:r>
          </w:p>
        </w:tc>
      </w:tr>
      <w:tr w:rsidR="004B605A" w:rsidRPr="002029AF" w14:paraId="0DBEA8AA" w14:textId="77777777" w:rsidTr="00F42F20">
        <w:trPr>
          <w:cantSplit/>
        </w:trPr>
        <w:tc>
          <w:tcPr>
            <w:tcW w:w="5557" w:type="dxa"/>
            <w:gridSpan w:val="5"/>
            <w:tcBorders>
              <w:top w:val="single" w:sz="4" w:space="0" w:color="auto"/>
              <w:left w:val="single" w:sz="4" w:space="0" w:color="FFFFFF"/>
              <w:bottom w:val="single" w:sz="4" w:space="0" w:color="auto"/>
              <w:right w:val="single" w:sz="4" w:space="0" w:color="FFFFFF"/>
            </w:tcBorders>
          </w:tcPr>
          <w:p w14:paraId="1BAB17D9" w14:textId="77777777" w:rsidR="004B605A" w:rsidRPr="002029AF" w:rsidRDefault="004B605A" w:rsidP="00F4536C">
            <w:pPr>
              <w:pStyle w:val="ARtablesubhead"/>
            </w:pPr>
            <w:r w:rsidRPr="002029AF">
              <w:t>Victorians act to protect and promote health</w:t>
            </w:r>
          </w:p>
        </w:tc>
      </w:tr>
      <w:tr w:rsidR="004B605A" w:rsidRPr="002029AF" w14:paraId="5D4486FB" w14:textId="77777777" w:rsidTr="00F42F20">
        <w:trPr>
          <w:cantSplit/>
        </w:trPr>
        <w:tc>
          <w:tcPr>
            <w:tcW w:w="5557" w:type="dxa"/>
            <w:tcBorders>
              <w:top w:val="single" w:sz="4" w:space="0" w:color="auto"/>
              <w:left w:val="single" w:sz="4" w:space="0" w:color="FFFFFF"/>
              <w:bottom w:val="single" w:sz="4" w:space="0" w:color="BFBFBF"/>
              <w:right w:val="single" w:sz="4" w:space="0" w:color="FFFFFF"/>
            </w:tcBorders>
            <w:hideMark/>
          </w:tcPr>
          <w:p w14:paraId="66594A83" w14:textId="77777777" w:rsidR="004B605A" w:rsidRPr="002029AF" w:rsidRDefault="004B605A" w:rsidP="00F4536C">
            <w:pPr>
              <w:pStyle w:val="ARtabletext"/>
              <w:rPr>
                <w:i/>
              </w:rPr>
            </w:pPr>
            <w:r w:rsidRPr="002029AF">
              <w:t>Immunisation coverage: At school entry</w:t>
            </w:r>
          </w:p>
        </w:tc>
        <w:tc>
          <w:tcPr>
            <w:tcW w:w="1021" w:type="dxa"/>
            <w:tcBorders>
              <w:top w:val="single" w:sz="4" w:space="0" w:color="auto"/>
              <w:left w:val="single" w:sz="4" w:space="0" w:color="FFFFFF"/>
              <w:bottom w:val="single" w:sz="4" w:space="0" w:color="BFBFBF"/>
              <w:right w:val="single" w:sz="4" w:space="0" w:color="FFFFFF"/>
            </w:tcBorders>
            <w:hideMark/>
          </w:tcPr>
          <w:p w14:paraId="0A8C6BBE" w14:textId="77777777" w:rsidR="004B605A" w:rsidRPr="002029AF" w:rsidRDefault="004B605A" w:rsidP="00F4536C">
            <w:pPr>
              <w:pStyle w:val="ARtabletext"/>
            </w:pPr>
            <w:r w:rsidRPr="002029AF">
              <w:t>93.0%</w:t>
            </w:r>
          </w:p>
        </w:tc>
        <w:tc>
          <w:tcPr>
            <w:tcW w:w="1021" w:type="dxa"/>
            <w:tcBorders>
              <w:top w:val="single" w:sz="4" w:space="0" w:color="auto"/>
              <w:left w:val="single" w:sz="4" w:space="0" w:color="FFFFFF"/>
              <w:bottom w:val="single" w:sz="4" w:space="0" w:color="BFBFBF"/>
              <w:right w:val="single" w:sz="4" w:space="0" w:color="FFFFFF"/>
            </w:tcBorders>
            <w:hideMark/>
          </w:tcPr>
          <w:p w14:paraId="480E1DEE" w14:textId="77777777" w:rsidR="004B605A" w:rsidRPr="002029AF" w:rsidRDefault="004B605A" w:rsidP="00F4536C">
            <w:pPr>
              <w:pStyle w:val="ARtabletext"/>
            </w:pPr>
            <w:r w:rsidRPr="002029AF">
              <w:t>95.3%</w:t>
            </w:r>
          </w:p>
        </w:tc>
        <w:tc>
          <w:tcPr>
            <w:tcW w:w="1021" w:type="dxa"/>
            <w:tcBorders>
              <w:top w:val="single" w:sz="4" w:space="0" w:color="auto"/>
              <w:left w:val="single" w:sz="4" w:space="0" w:color="FFFFFF"/>
              <w:bottom w:val="single" w:sz="4" w:space="0" w:color="BFBFBF"/>
              <w:right w:val="single" w:sz="4" w:space="0" w:color="FFFFFF"/>
            </w:tcBorders>
            <w:hideMark/>
          </w:tcPr>
          <w:p w14:paraId="609F1F5B" w14:textId="77777777" w:rsidR="004B605A" w:rsidRPr="002029AF" w:rsidRDefault="004B605A" w:rsidP="00F4536C">
            <w:pPr>
              <w:pStyle w:val="ARtabletext"/>
            </w:pPr>
            <w:r w:rsidRPr="002029AF">
              <w:t>95.7%</w:t>
            </w:r>
          </w:p>
        </w:tc>
        <w:tc>
          <w:tcPr>
            <w:tcW w:w="1021" w:type="dxa"/>
            <w:tcBorders>
              <w:top w:val="single" w:sz="4" w:space="0" w:color="auto"/>
              <w:left w:val="single" w:sz="4" w:space="0" w:color="FFFFFF"/>
              <w:bottom w:val="single" w:sz="4" w:space="0" w:color="BFBFBF"/>
              <w:right w:val="single" w:sz="4" w:space="0" w:color="FFFFFF"/>
            </w:tcBorders>
          </w:tcPr>
          <w:p w14:paraId="5382D57A" w14:textId="77777777" w:rsidR="004B605A" w:rsidRPr="002029AF" w:rsidRDefault="004B605A" w:rsidP="00F4536C">
            <w:pPr>
              <w:pStyle w:val="ARtabletext"/>
            </w:pPr>
            <w:r w:rsidRPr="002029AF">
              <w:t>95.8%</w:t>
            </w:r>
          </w:p>
        </w:tc>
      </w:tr>
      <w:tr w:rsidR="004B605A" w:rsidRPr="002029AF" w14:paraId="47846F34" w14:textId="77777777" w:rsidTr="00F42F20">
        <w:trPr>
          <w:cantSplit/>
        </w:trPr>
        <w:tc>
          <w:tcPr>
            <w:tcW w:w="5557" w:type="dxa"/>
            <w:tcBorders>
              <w:top w:val="single" w:sz="4" w:space="0" w:color="BFBFBF"/>
              <w:left w:val="single" w:sz="4" w:space="0" w:color="FFFFFF"/>
              <w:bottom w:val="single" w:sz="4" w:space="0" w:color="FFFFFF"/>
              <w:right w:val="single" w:sz="4" w:space="0" w:color="FFFFFF"/>
            </w:tcBorders>
            <w:hideMark/>
          </w:tcPr>
          <w:p w14:paraId="28FB26F9" w14:textId="77777777" w:rsidR="004B605A" w:rsidRPr="002029AF" w:rsidRDefault="004B605A" w:rsidP="00F4536C">
            <w:pPr>
              <w:pStyle w:val="ARtabletext"/>
              <w:rPr>
                <w:i/>
              </w:rPr>
            </w:pPr>
            <w:r w:rsidRPr="002029AF">
              <w:t>Immunisation coverage: At two years of age</w:t>
            </w:r>
          </w:p>
        </w:tc>
        <w:tc>
          <w:tcPr>
            <w:tcW w:w="1021" w:type="dxa"/>
            <w:tcBorders>
              <w:top w:val="single" w:sz="4" w:space="0" w:color="BFBFBF"/>
              <w:left w:val="single" w:sz="4" w:space="0" w:color="FFFFFF"/>
              <w:bottom w:val="single" w:sz="4" w:space="0" w:color="FFFFFF"/>
              <w:right w:val="single" w:sz="4" w:space="0" w:color="FFFFFF"/>
            </w:tcBorders>
            <w:hideMark/>
          </w:tcPr>
          <w:p w14:paraId="4612E57D" w14:textId="77777777" w:rsidR="004B605A" w:rsidRPr="002029AF" w:rsidRDefault="004B605A" w:rsidP="00F4536C">
            <w:pPr>
              <w:pStyle w:val="ARtabletext"/>
            </w:pPr>
            <w:r w:rsidRPr="002029AF">
              <w:t>92.0%</w:t>
            </w:r>
          </w:p>
        </w:tc>
        <w:tc>
          <w:tcPr>
            <w:tcW w:w="1021" w:type="dxa"/>
            <w:tcBorders>
              <w:top w:val="single" w:sz="4" w:space="0" w:color="BFBFBF"/>
              <w:left w:val="single" w:sz="4" w:space="0" w:color="FFFFFF"/>
              <w:bottom w:val="single" w:sz="4" w:space="0" w:color="FFFFFF"/>
              <w:right w:val="single" w:sz="4" w:space="0" w:color="FFFFFF"/>
            </w:tcBorders>
            <w:hideMark/>
          </w:tcPr>
          <w:p w14:paraId="5DFACDBE" w14:textId="77777777" w:rsidR="004B605A" w:rsidRPr="002029AF" w:rsidRDefault="004B605A" w:rsidP="00F4536C">
            <w:pPr>
              <w:pStyle w:val="ARtabletext"/>
            </w:pPr>
            <w:r w:rsidRPr="002029AF">
              <w:t>91.0%</w:t>
            </w:r>
          </w:p>
        </w:tc>
        <w:tc>
          <w:tcPr>
            <w:tcW w:w="1021" w:type="dxa"/>
            <w:tcBorders>
              <w:top w:val="single" w:sz="4" w:space="0" w:color="BFBFBF"/>
              <w:left w:val="single" w:sz="4" w:space="0" w:color="FFFFFF"/>
              <w:bottom w:val="single" w:sz="4" w:space="0" w:color="FFFFFF"/>
              <w:right w:val="single" w:sz="4" w:space="0" w:color="FFFFFF"/>
            </w:tcBorders>
            <w:hideMark/>
          </w:tcPr>
          <w:p w14:paraId="79B3C9FC" w14:textId="77777777" w:rsidR="004B605A" w:rsidRPr="002029AF" w:rsidRDefault="004B605A" w:rsidP="00F4536C">
            <w:pPr>
              <w:pStyle w:val="ARtabletext"/>
            </w:pPr>
            <w:r w:rsidRPr="002029AF">
              <w:t>92.0%</w:t>
            </w:r>
          </w:p>
        </w:tc>
        <w:tc>
          <w:tcPr>
            <w:tcW w:w="1021" w:type="dxa"/>
            <w:tcBorders>
              <w:top w:val="single" w:sz="4" w:space="0" w:color="BFBFBF"/>
              <w:left w:val="single" w:sz="4" w:space="0" w:color="FFFFFF"/>
              <w:bottom w:val="single" w:sz="4" w:space="0" w:color="FFFFFF"/>
              <w:right w:val="single" w:sz="4" w:space="0" w:color="FFFFFF"/>
            </w:tcBorders>
          </w:tcPr>
          <w:p w14:paraId="0158D232" w14:textId="77777777" w:rsidR="004B605A" w:rsidRPr="002029AF" w:rsidRDefault="004B605A" w:rsidP="00F4536C">
            <w:pPr>
              <w:pStyle w:val="ARtabletext"/>
            </w:pPr>
            <w:r w:rsidRPr="002029AF">
              <w:t>92.3%</w:t>
            </w:r>
          </w:p>
        </w:tc>
      </w:tr>
      <w:tr w:rsidR="004B605A" w:rsidRPr="002029AF" w14:paraId="5F187913" w14:textId="77777777" w:rsidTr="00F42F20">
        <w:trPr>
          <w:cantSplit/>
        </w:trPr>
        <w:tc>
          <w:tcPr>
            <w:tcW w:w="5557" w:type="dxa"/>
            <w:tcBorders>
              <w:top w:val="single" w:sz="4" w:space="0" w:color="BFBFBF"/>
              <w:left w:val="single" w:sz="4" w:space="0" w:color="FFFFFF"/>
              <w:bottom w:val="single" w:sz="4" w:space="0" w:color="BFBFBF"/>
              <w:right w:val="single" w:sz="4" w:space="0" w:color="FFFFFF"/>
            </w:tcBorders>
            <w:hideMark/>
          </w:tcPr>
          <w:p w14:paraId="3EAAE9B8" w14:textId="77777777" w:rsidR="004B605A" w:rsidRPr="002029AF" w:rsidRDefault="004B605A" w:rsidP="00F4536C">
            <w:pPr>
              <w:pStyle w:val="ARtabletext"/>
              <w:rPr>
                <w:i/>
              </w:rPr>
            </w:pPr>
            <w:r w:rsidRPr="002029AF">
              <w:t>Percentage of Aboriginal children fully immunised at 60 months</w:t>
            </w:r>
          </w:p>
        </w:tc>
        <w:tc>
          <w:tcPr>
            <w:tcW w:w="1021" w:type="dxa"/>
            <w:tcBorders>
              <w:top w:val="single" w:sz="4" w:space="0" w:color="BFBFBF"/>
              <w:left w:val="single" w:sz="4" w:space="0" w:color="FFFFFF"/>
              <w:bottom w:val="single" w:sz="4" w:space="0" w:color="BFBFBF"/>
              <w:right w:val="single" w:sz="4" w:space="0" w:color="FFFFFF"/>
            </w:tcBorders>
            <w:hideMark/>
          </w:tcPr>
          <w:p w14:paraId="3DD51641" w14:textId="77777777" w:rsidR="004B605A" w:rsidRPr="002029AF" w:rsidRDefault="004B605A" w:rsidP="00F4536C">
            <w:pPr>
              <w:pStyle w:val="ARtabletext"/>
            </w:pPr>
            <w:r w:rsidRPr="002029AF">
              <w:t>92.0%</w:t>
            </w:r>
          </w:p>
        </w:tc>
        <w:tc>
          <w:tcPr>
            <w:tcW w:w="1021" w:type="dxa"/>
            <w:tcBorders>
              <w:top w:val="single" w:sz="4" w:space="0" w:color="BFBFBF"/>
              <w:left w:val="single" w:sz="4" w:space="0" w:color="FFFFFF"/>
              <w:bottom w:val="single" w:sz="4" w:space="0" w:color="BFBFBF"/>
              <w:right w:val="single" w:sz="4" w:space="0" w:color="FFFFFF"/>
            </w:tcBorders>
            <w:hideMark/>
          </w:tcPr>
          <w:p w14:paraId="32C3905C" w14:textId="77777777" w:rsidR="004B605A" w:rsidRPr="002029AF" w:rsidRDefault="004B605A" w:rsidP="00F4536C">
            <w:pPr>
              <w:pStyle w:val="ARtabletext"/>
            </w:pPr>
            <w:r w:rsidRPr="002029AF">
              <w:t>91.0%</w:t>
            </w:r>
          </w:p>
        </w:tc>
        <w:tc>
          <w:tcPr>
            <w:tcW w:w="1021" w:type="dxa"/>
            <w:tcBorders>
              <w:top w:val="single" w:sz="4" w:space="0" w:color="BFBFBF"/>
              <w:left w:val="single" w:sz="4" w:space="0" w:color="FFFFFF"/>
              <w:bottom w:val="single" w:sz="4" w:space="0" w:color="BFBFBF"/>
              <w:right w:val="single" w:sz="4" w:space="0" w:color="FFFFFF"/>
            </w:tcBorders>
            <w:hideMark/>
          </w:tcPr>
          <w:p w14:paraId="1385DD9C" w14:textId="77777777" w:rsidR="004B605A" w:rsidRPr="002029AF" w:rsidRDefault="004B605A" w:rsidP="00F4536C">
            <w:pPr>
              <w:pStyle w:val="ARtabletext"/>
            </w:pPr>
            <w:r w:rsidRPr="002029AF">
              <w:t>96.5%</w:t>
            </w:r>
          </w:p>
        </w:tc>
        <w:tc>
          <w:tcPr>
            <w:tcW w:w="1021" w:type="dxa"/>
            <w:tcBorders>
              <w:top w:val="single" w:sz="4" w:space="0" w:color="BFBFBF"/>
              <w:left w:val="single" w:sz="4" w:space="0" w:color="FFFFFF"/>
              <w:bottom w:val="single" w:sz="4" w:space="0" w:color="BFBFBF"/>
              <w:right w:val="single" w:sz="4" w:space="0" w:color="FFFFFF"/>
            </w:tcBorders>
          </w:tcPr>
          <w:p w14:paraId="11936864" w14:textId="77777777" w:rsidR="004B605A" w:rsidRPr="002029AF" w:rsidRDefault="004B605A" w:rsidP="00F4536C">
            <w:pPr>
              <w:pStyle w:val="ARtabletext"/>
            </w:pPr>
            <w:r w:rsidRPr="002029AF">
              <w:t>97.7%</w:t>
            </w:r>
          </w:p>
        </w:tc>
      </w:tr>
      <w:tr w:rsidR="004B605A" w:rsidRPr="002029AF" w14:paraId="68F4DDFD" w14:textId="77777777" w:rsidTr="00F42F20">
        <w:trPr>
          <w:cantSplit/>
        </w:trPr>
        <w:tc>
          <w:tcPr>
            <w:tcW w:w="5557" w:type="dxa"/>
            <w:tcBorders>
              <w:top w:val="single" w:sz="4" w:space="0" w:color="BFBFBF"/>
              <w:left w:val="single" w:sz="4" w:space="0" w:color="FFFFFF"/>
              <w:bottom w:val="single" w:sz="4" w:space="0" w:color="BFBFBF"/>
              <w:right w:val="single" w:sz="4" w:space="0" w:color="FFFFFF"/>
            </w:tcBorders>
            <w:hideMark/>
          </w:tcPr>
          <w:p w14:paraId="48E9C94F" w14:textId="77777777" w:rsidR="004B605A" w:rsidRPr="002029AF" w:rsidRDefault="004B605A" w:rsidP="00F4536C">
            <w:pPr>
              <w:pStyle w:val="ARtabletext"/>
            </w:pPr>
            <w:r w:rsidRPr="002029AF">
              <w:t>Eligible newborns screened for hearing deficit before one month of age</w:t>
            </w:r>
          </w:p>
        </w:tc>
        <w:tc>
          <w:tcPr>
            <w:tcW w:w="1021" w:type="dxa"/>
            <w:tcBorders>
              <w:top w:val="single" w:sz="4" w:space="0" w:color="BFBFBF"/>
              <w:left w:val="single" w:sz="4" w:space="0" w:color="FFFFFF"/>
              <w:bottom w:val="single" w:sz="4" w:space="0" w:color="BFBFBF"/>
              <w:right w:val="single" w:sz="4" w:space="0" w:color="FFFFFF"/>
            </w:tcBorders>
            <w:hideMark/>
          </w:tcPr>
          <w:p w14:paraId="4BDCBBC2" w14:textId="77777777" w:rsidR="004B605A" w:rsidRPr="002029AF" w:rsidRDefault="004B605A" w:rsidP="00F4536C">
            <w:pPr>
              <w:pStyle w:val="ARtabletext"/>
            </w:pPr>
            <w:r w:rsidRPr="002029AF">
              <w:t>98.5%</w:t>
            </w:r>
          </w:p>
        </w:tc>
        <w:tc>
          <w:tcPr>
            <w:tcW w:w="1021" w:type="dxa"/>
            <w:tcBorders>
              <w:top w:val="single" w:sz="4" w:space="0" w:color="BFBFBF"/>
              <w:left w:val="single" w:sz="4" w:space="0" w:color="FFFFFF"/>
              <w:bottom w:val="single" w:sz="4" w:space="0" w:color="BFBFBF"/>
              <w:right w:val="single" w:sz="4" w:space="0" w:color="FFFFFF"/>
            </w:tcBorders>
            <w:hideMark/>
          </w:tcPr>
          <w:p w14:paraId="6E1BD611" w14:textId="77777777" w:rsidR="004B605A" w:rsidRPr="002029AF" w:rsidRDefault="004B605A" w:rsidP="00F4536C">
            <w:pPr>
              <w:pStyle w:val="ARtabletext"/>
            </w:pPr>
            <w:r w:rsidRPr="002029AF">
              <w:t>98.6%</w:t>
            </w:r>
          </w:p>
        </w:tc>
        <w:tc>
          <w:tcPr>
            <w:tcW w:w="1021" w:type="dxa"/>
            <w:tcBorders>
              <w:top w:val="single" w:sz="4" w:space="0" w:color="BFBFBF"/>
              <w:left w:val="single" w:sz="4" w:space="0" w:color="FFFFFF"/>
              <w:bottom w:val="single" w:sz="4" w:space="0" w:color="BFBFBF"/>
              <w:right w:val="single" w:sz="4" w:space="0" w:color="FFFFFF"/>
            </w:tcBorders>
            <w:hideMark/>
          </w:tcPr>
          <w:p w14:paraId="3CF04D27" w14:textId="77777777" w:rsidR="004B605A" w:rsidRPr="002029AF" w:rsidRDefault="004B605A" w:rsidP="00F4536C">
            <w:pPr>
              <w:pStyle w:val="ARtabletext"/>
            </w:pPr>
            <w:r w:rsidRPr="002029AF">
              <w:t>98.7%</w:t>
            </w:r>
          </w:p>
        </w:tc>
        <w:tc>
          <w:tcPr>
            <w:tcW w:w="1021" w:type="dxa"/>
            <w:tcBorders>
              <w:top w:val="single" w:sz="4" w:space="0" w:color="BFBFBF"/>
              <w:left w:val="single" w:sz="4" w:space="0" w:color="FFFFFF"/>
              <w:bottom w:val="single" w:sz="4" w:space="0" w:color="BFBFBF"/>
              <w:right w:val="single" w:sz="4" w:space="0" w:color="FFFFFF"/>
            </w:tcBorders>
          </w:tcPr>
          <w:p w14:paraId="69CC981F" w14:textId="77777777" w:rsidR="004B605A" w:rsidRPr="002029AF" w:rsidRDefault="004B605A" w:rsidP="00F4536C">
            <w:pPr>
              <w:pStyle w:val="ARtabletext"/>
            </w:pPr>
            <w:r w:rsidRPr="002029AF">
              <w:t>98.4%</w:t>
            </w:r>
          </w:p>
        </w:tc>
      </w:tr>
      <w:tr w:rsidR="004B605A" w:rsidRPr="002029AF" w14:paraId="201199F3" w14:textId="77777777" w:rsidTr="00F42F20">
        <w:trPr>
          <w:cantSplit/>
        </w:trPr>
        <w:tc>
          <w:tcPr>
            <w:tcW w:w="5557" w:type="dxa"/>
            <w:tcBorders>
              <w:top w:val="single" w:sz="4" w:space="0" w:color="BFBFBF"/>
              <w:left w:val="single" w:sz="4" w:space="0" w:color="FFFFFF"/>
              <w:bottom w:val="single" w:sz="4" w:space="0" w:color="BFBFBF" w:themeColor="background1" w:themeShade="BF"/>
              <w:right w:val="single" w:sz="4" w:space="0" w:color="FFFFFF"/>
            </w:tcBorders>
            <w:hideMark/>
          </w:tcPr>
          <w:p w14:paraId="14F50F00" w14:textId="77777777" w:rsidR="004B605A" w:rsidRPr="002029AF" w:rsidRDefault="004B605A" w:rsidP="00F4536C">
            <w:pPr>
              <w:pStyle w:val="ARtabletext"/>
              <w:rPr>
                <w:i/>
              </w:rPr>
            </w:pPr>
            <w:r w:rsidRPr="002029AF">
              <w:t xml:space="preserve">Rate of </w:t>
            </w:r>
            <w:r w:rsidRPr="002029AF">
              <w:rPr>
                <w:i/>
                <w:iCs/>
              </w:rPr>
              <w:t>Staphylococcus aureus</w:t>
            </w:r>
            <w:r w:rsidRPr="002029AF">
              <w:t xml:space="preserve"> bacteraemias (SAB) infections per 10,000 patient days</w:t>
            </w:r>
          </w:p>
        </w:tc>
        <w:tc>
          <w:tcPr>
            <w:tcW w:w="1021" w:type="dxa"/>
            <w:tcBorders>
              <w:top w:val="single" w:sz="4" w:space="0" w:color="BFBFBF"/>
              <w:left w:val="single" w:sz="4" w:space="0" w:color="FFFFFF"/>
              <w:bottom w:val="single" w:sz="4" w:space="0" w:color="BFBFBF" w:themeColor="background1" w:themeShade="BF"/>
              <w:right w:val="single" w:sz="4" w:space="0" w:color="FFFFFF"/>
            </w:tcBorders>
            <w:hideMark/>
          </w:tcPr>
          <w:p w14:paraId="184D2F8B" w14:textId="77777777" w:rsidR="004B605A" w:rsidRPr="002029AF" w:rsidRDefault="004B605A" w:rsidP="00F4536C">
            <w:pPr>
              <w:pStyle w:val="ARtabletext"/>
            </w:pPr>
            <w:r w:rsidRPr="002029AF">
              <w:t>0.7</w:t>
            </w:r>
          </w:p>
        </w:tc>
        <w:tc>
          <w:tcPr>
            <w:tcW w:w="1021" w:type="dxa"/>
            <w:tcBorders>
              <w:top w:val="single" w:sz="4" w:space="0" w:color="BFBFBF"/>
              <w:left w:val="single" w:sz="4" w:space="0" w:color="FFFFFF"/>
              <w:bottom w:val="single" w:sz="4" w:space="0" w:color="BFBFBF" w:themeColor="background1" w:themeShade="BF"/>
              <w:right w:val="single" w:sz="4" w:space="0" w:color="FFFFFF"/>
            </w:tcBorders>
            <w:hideMark/>
          </w:tcPr>
          <w:p w14:paraId="6425B858" w14:textId="77777777" w:rsidR="004B605A" w:rsidRPr="002029AF" w:rsidRDefault="004B605A" w:rsidP="00F4536C">
            <w:pPr>
              <w:pStyle w:val="ARtabletext"/>
            </w:pPr>
            <w:r w:rsidRPr="002029AF">
              <w:t>0.8</w:t>
            </w:r>
          </w:p>
        </w:tc>
        <w:tc>
          <w:tcPr>
            <w:tcW w:w="1021" w:type="dxa"/>
            <w:tcBorders>
              <w:top w:val="single" w:sz="4" w:space="0" w:color="BFBFBF"/>
              <w:left w:val="single" w:sz="4" w:space="0" w:color="FFFFFF"/>
              <w:bottom w:val="single" w:sz="4" w:space="0" w:color="BFBFBF" w:themeColor="background1" w:themeShade="BF"/>
              <w:right w:val="single" w:sz="4" w:space="0" w:color="FFFFFF"/>
            </w:tcBorders>
            <w:hideMark/>
          </w:tcPr>
          <w:p w14:paraId="161DE170" w14:textId="77777777" w:rsidR="004B605A" w:rsidRPr="002029AF" w:rsidRDefault="004B605A" w:rsidP="00F4536C">
            <w:pPr>
              <w:pStyle w:val="ARtabletext"/>
            </w:pPr>
            <w:r w:rsidRPr="002029AF">
              <w:t>0.9</w:t>
            </w:r>
          </w:p>
        </w:tc>
        <w:tc>
          <w:tcPr>
            <w:tcW w:w="1021" w:type="dxa"/>
            <w:tcBorders>
              <w:top w:val="single" w:sz="4" w:space="0" w:color="BFBFBF"/>
              <w:left w:val="single" w:sz="4" w:space="0" w:color="FFFFFF"/>
              <w:bottom w:val="single" w:sz="4" w:space="0" w:color="BFBFBF" w:themeColor="background1" w:themeShade="BF"/>
              <w:right w:val="single" w:sz="4" w:space="0" w:color="FFFFFF"/>
            </w:tcBorders>
          </w:tcPr>
          <w:p w14:paraId="135E3485" w14:textId="0B8E05CC" w:rsidR="004B605A" w:rsidRPr="002029AF" w:rsidRDefault="004B605A" w:rsidP="00F4536C">
            <w:pPr>
              <w:pStyle w:val="ARtabletext"/>
            </w:pPr>
            <w:r w:rsidRPr="002029AF">
              <w:t>0.8</w:t>
            </w:r>
            <w:r w:rsidRPr="002029AF">
              <w:rPr>
                <w:rStyle w:val="Superscript"/>
              </w:rPr>
              <w:t>E</w:t>
            </w:r>
          </w:p>
        </w:tc>
      </w:tr>
      <w:tr w:rsidR="004B605A" w:rsidRPr="002029AF" w14:paraId="2582F2B2" w14:textId="77777777" w:rsidTr="00F42F20">
        <w:trPr>
          <w:cantSplit/>
        </w:trPr>
        <w:tc>
          <w:tcPr>
            <w:tcW w:w="5557" w:type="dxa"/>
            <w:tcBorders>
              <w:top w:val="single" w:sz="4" w:space="0" w:color="BFBFBF" w:themeColor="background1" w:themeShade="BF"/>
              <w:left w:val="single" w:sz="4" w:space="0" w:color="FFFFFF"/>
              <w:bottom w:val="single" w:sz="4" w:space="0" w:color="BFBFBF"/>
              <w:right w:val="single" w:sz="4" w:space="0" w:color="FFFFFF"/>
            </w:tcBorders>
            <w:hideMark/>
          </w:tcPr>
          <w:p w14:paraId="5E4BCBA1" w14:textId="77777777" w:rsidR="004B605A" w:rsidRPr="002029AF" w:rsidRDefault="004B605A" w:rsidP="00F4536C">
            <w:pPr>
              <w:pStyle w:val="ARtabletext"/>
              <w:rPr>
                <w:i/>
              </w:rPr>
            </w:pPr>
            <w:r w:rsidRPr="002029AF">
              <w:t>Healthcare worker immunisation – influenza</w:t>
            </w:r>
          </w:p>
        </w:tc>
        <w:tc>
          <w:tcPr>
            <w:tcW w:w="1021" w:type="dxa"/>
            <w:tcBorders>
              <w:top w:val="single" w:sz="4" w:space="0" w:color="BFBFBF" w:themeColor="background1" w:themeShade="BF"/>
              <w:left w:val="single" w:sz="4" w:space="0" w:color="FFFFFF"/>
              <w:bottom w:val="single" w:sz="4" w:space="0" w:color="BFBFBF"/>
              <w:right w:val="single" w:sz="4" w:space="0" w:color="FFFFFF"/>
            </w:tcBorders>
            <w:hideMark/>
          </w:tcPr>
          <w:p w14:paraId="1CCFBCDA" w14:textId="77777777" w:rsidR="004B605A" w:rsidRPr="002029AF" w:rsidRDefault="004B605A" w:rsidP="00F4536C">
            <w:pPr>
              <w:pStyle w:val="ARtabletext"/>
            </w:pPr>
            <w:r w:rsidRPr="002029AF">
              <w:t>75.0%</w:t>
            </w:r>
          </w:p>
        </w:tc>
        <w:tc>
          <w:tcPr>
            <w:tcW w:w="1021" w:type="dxa"/>
            <w:tcBorders>
              <w:top w:val="single" w:sz="4" w:space="0" w:color="BFBFBF" w:themeColor="background1" w:themeShade="BF"/>
              <w:left w:val="single" w:sz="4" w:space="0" w:color="FFFFFF"/>
              <w:bottom w:val="single" w:sz="4" w:space="0" w:color="BFBFBF"/>
              <w:right w:val="single" w:sz="4" w:space="0" w:color="FFFFFF"/>
            </w:tcBorders>
            <w:hideMark/>
          </w:tcPr>
          <w:p w14:paraId="688CB71B" w14:textId="77777777" w:rsidR="004B605A" w:rsidRPr="002029AF" w:rsidRDefault="004B605A" w:rsidP="00F4536C">
            <w:pPr>
              <w:pStyle w:val="ARtabletext"/>
            </w:pPr>
            <w:r w:rsidRPr="002029AF">
              <w:t>80.0%</w:t>
            </w:r>
          </w:p>
        </w:tc>
        <w:tc>
          <w:tcPr>
            <w:tcW w:w="1021" w:type="dxa"/>
            <w:tcBorders>
              <w:top w:val="single" w:sz="4" w:space="0" w:color="BFBFBF" w:themeColor="background1" w:themeShade="BF"/>
              <w:left w:val="single" w:sz="4" w:space="0" w:color="FFFFFF"/>
              <w:bottom w:val="single" w:sz="4" w:space="0" w:color="BFBFBF"/>
              <w:right w:val="single" w:sz="4" w:space="0" w:color="FFFFFF"/>
            </w:tcBorders>
            <w:hideMark/>
          </w:tcPr>
          <w:p w14:paraId="795984AF" w14:textId="77777777" w:rsidR="004B605A" w:rsidRPr="002029AF" w:rsidRDefault="004B605A" w:rsidP="00F4536C">
            <w:pPr>
              <w:pStyle w:val="ARtabletext"/>
            </w:pPr>
            <w:r w:rsidRPr="002029AF">
              <w:t>83.0%</w:t>
            </w:r>
          </w:p>
        </w:tc>
        <w:tc>
          <w:tcPr>
            <w:tcW w:w="1021" w:type="dxa"/>
            <w:tcBorders>
              <w:top w:val="single" w:sz="4" w:space="0" w:color="BFBFBF" w:themeColor="background1" w:themeShade="BF"/>
              <w:left w:val="single" w:sz="4" w:space="0" w:color="FFFFFF"/>
              <w:bottom w:val="single" w:sz="4" w:space="0" w:color="BFBFBF"/>
              <w:right w:val="single" w:sz="4" w:space="0" w:color="FFFFFF"/>
            </w:tcBorders>
          </w:tcPr>
          <w:p w14:paraId="7A4433C4" w14:textId="77777777" w:rsidR="004B605A" w:rsidRPr="002029AF" w:rsidRDefault="004B605A" w:rsidP="00F4536C">
            <w:pPr>
              <w:pStyle w:val="ARtabletext"/>
            </w:pPr>
            <w:r w:rsidRPr="002029AF">
              <w:t>87.7%</w:t>
            </w:r>
          </w:p>
        </w:tc>
      </w:tr>
      <w:tr w:rsidR="004B605A" w:rsidRPr="002029AF" w14:paraId="69FBDD15" w14:textId="77777777" w:rsidTr="00F42F20">
        <w:trPr>
          <w:cantSplit/>
        </w:trPr>
        <w:tc>
          <w:tcPr>
            <w:tcW w:w="5557" w:type="dxa"/>
            <w:tcBorders>
              <w:top w:val="single" w:sz="4" w:space="0" w:color="BFBFBF"/>
              <w:left w:val="single" w:sz="4" w:space="0" w:color="FFFFFF"/>
              <w:bottom w:val="nil"/>
              <w:right w:val="single" w:sz="4" w:space="0" w:color="FFFFFF"/>
            </w:tcBorders>
            <w:hideMark/>
          </w:tcPr>
          <w:p w14:paraId="2BA56052" w14:textId="77777777" w:rsidR="004B605A" w:rsidRPr="002029AF" w:rsidRDefault="004B605A" w:rsidP="00F4536C">
            <w:pPr>
              <w:pStyle w:val="ARtabletext"/>
              <w:rPr>
                <w:i/>
              </w:rPr>
            </w:pPr>
            <w:r w:rsidRPr="002029AF">
              <w:lastRenderedPageBreak/>
              <w:t>Rate of intensive care unit central line associated blood stream infections (CLABSI) per 1,000 device days</w:t>
            </w:r>
          </w:p>
        </w:tc>
        <w:tc>
          <w:tcPr>
            <w:tcW w:w="1021" w:type="dxa"/>
            <w:tcBorders>
              <w:top w:val="single" w:sz="4" w:space="0" w:color="BFBFBF"/>
              <w:left w:val="single" w:sz="4" w:space="0" w:color="FFFFFF"/>
              <w:bottom w:val="nil"/>
              <w:right w:val="single" w:sz="4" w:space="0" w:color="FFFFFF"/>
            </w:tcBorders>
            <w:hideMark/>
          </w:tcPr>
          <w:p w14:paraId="026CF279" w14:textId="77777777" w:rsidR="004B605A" w:rsidRPr="002029AF" w:rsidRDefault="004B605A" w:rsidP="00F4536C">
            <w:pPr>
              <w:pStyle w:val="ARtabletext"/>
            </w:pPr>
            <w:r w:rsidRPr="002029AF">
              <w:t>1.0</w:t>
            </w:r>
          </w:p>
        </w:tc>
        <w:tc>
          <w:tcPr>
            <w:tcW w:w="1021" w:type="dxa"/>
            <w:tcBorders>
              <w:top w:val="single" w:sz="4" w:space="0" w:color="BFBFBF"/>
              <w:left w:val="single" w:sz="4" w:space="0" w:color="FFFFFF"/>
              <w:bottom w:val="nil"/>
              <w:right w:val="single" w:sz="4" w:space="0" w:color="FFFFFF"/>
            </w:tcBorders>
            <w:hideMark/>
          </w:tcPr>
          <w:p w14:paraId="289EC6C7" w14:textId="77777777" w:rsidR="004B605A" w:rsidRPr="002029AF" w:rsidRDefault="004B605A" w:rsidP="00F4536C">
            <w:pPr>
              <w:pStyle w:val="ARtabletext"/>
            </w:pPr>
            <w:r w:rsidRPr="002029AF">
              <w:t>0.8</w:t>
            </w:r>
          </w:p>
        </w:tc>
        <w:tc>
          <w:tcPr>
            <w:tcW w:w="1021" w:type="dxa"/>
            <w:tcBorders>
              <w:top w:val="single" w:sz="4" w:space="0" w:color="BFBFBF"/>
              <w:left w:val="single" w:sz="4" w:space="0" w:color="FFFFFF"/>
              <w:bottom w:val="nil"/>
              <w:right w:val="single" w:sz="4" w:space="0" w:color="FFFFFF"/>
            </w:tcBorders>
            <w:hideMark/>
          </w:tcPr>
          <w:p w14:paraId="6E3C8A52" w14:textId="77777777" w:rsidR="004B605A" w:rsidRPr="002029AF" w:rsidRDefault="004B605A" w:rsidP="00F4536C">
            <w:pPr>
              <w:pStyle w:val="ARtabletext"/>
            </w:pPr>
            <w:r w:rsidRPr="002029AF">
              <w:t>0.9</w:t>
            </w:r>
          </w:p>
        </w:tc>
        <w:tc>
          <w:tcPr>
            <w:tcW w:w="1021" w:type="dxa"/>
            <w:tcBorders>
              <w:top w:val="single" w:sz="4" w:space="0" w:color="BFBFBF"/>
              <w:left w:val="single" w:sz="4" w:space="0" w:color="FFFFFF"/>
              <w:bottom w:val="nil"/>
              <w:right w:val="single" w:sz="4" w:space="0" w:color="FFFFFF"/>
            </w:tcBorders>
          </w:tcPr>
          <w:p w14:paraId="23936E51" w14:textId="74119B70" w:rsidR="004B605A" w:rsidRPr="002029AF" w:rsidRDefault="004B605A" w:rsidP="00F4536C">
            <w:pPr>
              <w:pStyle w:val="ARtabletext"/>
            </w:pPr>
            <w:r w:rsidRPr="002029AF">
              <w:t>0.8</w:t>
            </w:r>
            <w:r w:rsidRPr="002029AF">
              <w:rPr>
                <w:rStyle w:val="Superscript"/>
              </w:rPr>
              <w:t>E</w:t>
            </w:r>
            <w:r w:rsidR="00F70C03" w:rsidRPr="00F70C03">
              <w:footnoteReference w:id="6"/>
            </w:r>
          </w:p>
        </w:tc>
      </w:tr>
      <w:tr w:rsidR="004B605A" w:rsidRPr="002029AF" w14:paraId="00B72C60" w14:textId="77777777" w:rsidTr="00F42F20">
        <w:trPr>
          <w:cantSplit/>
        </w:trPr>
        <w:tc>
          <w:tcPr>
            <w:tcW w:w="5557" w:type="dxa"/>
            <w:tcBorders>
              <w:top w:val="single" w:sz="4" w:space="0" w:color="BFBFBF"/>
              <w:left w:val="single" w:sz="4" w:space="0" w:color="FFFFFF"/>
              <w:bottom w:val="nil"/>
              <w:right w:val="single" w:sz="4" w:space="0" w:color="FFFFFF"/>
            </w:tcBorders>
            <w:hideMark/>
          </w:tcPr>
          <w:p w14:paraId="7E5D6FA7" w14:textId="77777777" w:rsidR="004B605A" w:rsidRPr="002029AF" w:rsidRDefault="004B605A" w:rsidP="00F4536C">
            <w:pPr>
              <w:pStyle w:val="ARtabletext"/>
            </w:pPr>
            <w:r w:rsidRPr="002029AF">
              <w:t>Hand hygiene compliance</w:t>
            </w:r>
          </w:p>
        </w:tc>
        <w:tc>
          <w:tcPr>
            <w:tcW w:w="1021" w:type="dxa"/>
            <w:tcBorders>
              <w:top w:val="single" w:sz="4" w:space="0" w:color="BFBFBF"/>
              <w:left w:val="single" w:sz="4" w:space="0" w:color="FFFFFF"/>
              <w:bottom w:val="nil"/>
              <w:right w:val="single" w:sz="4" w:space="0" w:color="FFFFFF"/>
            </w:tcBorders>
            <w:hideMark/>
          </w:tcPr>
          <w:p w14:paraId="619151A0" w14:textId="77777777" w:rsidR="004B605A" w:rsidRPr="002029AF" w:rsidRDefault="004B605A" w:rsidP="00F4536C">
            <w:pPr>
              <w:pStyle w:val="ARtabletext"/>
            </w:pPr>
            <w:r w:rsidRPr="002029AF">
              <w:t>85.0%</w:t>
            </w:r>
          </w:p>
        </w:tc>
        <w:tc>
          <w:tcPr>
            <w:tcW w:w="1021" w:type="dxa"/>
            <w:tcBorders>
              <w:top w:val="single" w:sz="4" w:space="0" w:color="BFBFBF"/>
              <w:left w:val="single" w:sz="4" w:space="0" w:color="FFFFFF"/>
              <w:bottom w:val="nil"/>
              <w:right w:val="single" w:sz="4" w:space="0" w:color="FFFFFF"/>
            </w:tcBorders>
            <w:hideMark/>
          </w:tcPr>
          <w:p w14:paraId="1EF55FFD" w14:textId="77777777" w:rsidR="004B605A" w:rsidRPr="002029AF" w:rsidRDefault="004B605A" w:rsidP="00F4536C">
            <w:pPr>
              <w:pStyle w:val="ARtabletext"/>
            </w:pPr>
            <w:r w:rsidRPr="002029AF">
              <w:t>85.0%</w:t>
            </w:r>
          </w:p>
        </w:tc>
        <w:tc>
          <w:tcPr>
            <w:tcW w:w="1021" w:type="dxa"/>
            <w:tcBorders>
              <w:top w:val="single" w:sz="4" w:space="0" w:color="BFBFBF"/>
              <w:left w:val="single" w:sz="4" w:space="0" w:color="FFFFFF"/>
              <w:bottom w:val="nil"/>
              <w:right w:val="single" w:sz="4" w:space="0" w:color="FFFFFF"/>
            </w:tcBorders>
            <w:hideMark/>
          </w:tcPr>
          <w:p w14:paraId="46701FDD" w14:textId="77777777" w:rsidR="004B605A" w:rsidRPr="002029AF" w:rsidRDefault="004B605A" w:rsidP="00F4536C">
            <w:pPr>
              <w:pStyle w:val="ARtabletext"/>
            </w:pPr>
            <w:r w:rsidRPr="002029AF">
              <w:t>85.0%</w:t>
            </w:r>
          </w:p>
        </w:tc>
        <w:tc>
          <w:tcPr>
            <w:tcW w:w="1021" w:type="dxa"/>
            <w:tcBorders>
              <w:top w:val="single" w:sz="4" w:space="0" w:color="BFBFBF"/>
              <w:left w:val="single" w:sz="4" w:space="0" w:color="FFFFFF"/>
              <w:bottom w:val="nil"/>
              <w:right w:val="single" w:sz="4" w:space="0" w:color="FFFFFF"/>
            </w:tcBorders>
          </w:tcPr>
          <w:p w14:paraId="5683288A" w14:textId="7F54D238" w:rsidR="004B605A" w:rsidRPr="002029AF" w:rsidRDefault="004B605A" w:rsidP="00F4536C">
            <w:pPr>
              <w:pStyle w:val="ARtabletext"/>
            </w:pPr>
            <w:r w:rsidRPr="002029AF">
              <w:t>87.5%</w:t>
            </w:r>
            <w:r w:rsidRPr="002029AF">
              <w:rPr>
                <w:rStyle w:val="Superscript"/>
              </w:rPr>
              <w:t>E</w:t>
            </w:r>
          </w:p>
        </w:tc>
      </w:tr>
      <w:tr w:rsidR="004B605A" w:rsidRPr="002029AF" w14:paraId="2505793B" w14:textId="77777777" w:rsidTr="00F42F20">
        <w:trPr>
          <w:cantSplit/>
        </w:trPr>
        <w:tc>
          <w:tcPr>
            <w:tcW w:w="5557" w:type="dxa"/>
            <w:tcBorders>
              <w:top w:val="single" w:sz="4" w:space="0" w:color="BFBFBF"/>
              <w:left w:val="single" w:sz="4" w:space="0" w:color="FFFFFF"/>
              <w:bottom w:val="nil"/>
              <w:right w:val="single" w:sz="4" w:space="0" w:color="FFFFFF"/>
            </w:tcBorders>
            <w:hideMark/>
          </w:tcPr>
          <w:p w14:paraId="0E2E041E" w14:textId="77777777" w:rsidR="004B605A" w:rsidRPr="002029AF" w:rsidRDefault="004B605A" w:rsidP="00F4536C">
            <w:pPr>
              <w:pStyle w:val="ARtabletext"/>
              <w:rPr>
                <w:i/>
              </w:rPr>
            </w:pPr>
            <w:r w:rsidRPr="002029AF">
              <w:t>Patient reported hospital cleanliness</w:t>
            </w:r>
          </w:p>
        </w:tc>
        <w:tc>
          <w:tcPr>
            <w:tcW w:w="1021" w:type="dxa"/>
            <w:tcBorders>
              <w:top w:val="single" w:sz="4" w:space="0" w:color="BFBFBF"/>
              <w:left w:val="single" w:sz="4" w:space="0" w:color="FFFFFF"/>
              <w:bottom w:val="nil"/>
              <w:right w:val="single" w:sz="4" w:space="0" w:color="FFFFFF"/>
            </w:tcBorders>
            <w:hideMark/>
          </w:tcPr>
          <w:p w14:paraId="1660B0F1" w14:textId="77777777" w:rsidR="004B605A" w:rsidRPr="002029AF" w:rsidRDefault="004B605A" w:rsidP="00F4536C">
            <w:pPr>
              <w:pStyle w:val="ARtabletext"/>
            </w:pPr>
            <w:r w:rsidRPr="002029AF">
              <w:t>New measure</w:t>
            </w:r>
          </w:p>
        </w:tc>
        <w:tc>
          <w:tcPr>
            <w:tcW w:w="1021" w:type="dxa"/>
            <w:tcBorders>
              <w:top w:val="single" w:sz="4" w:space="0" w:color="BFBFBF"/>
              <w:left w:val="single" w:sz="4" w:space="0" w:color="FFFFFF"/>
              <w:bottom w:val="nil"/>
              <w:right w:val="single" w:sz="4" w:space="0" w:color="FFFFFF"/>
            </w:tcBorders>
            <w:hideMark/>
          </w:tcPr>
          <w:p w14:paraId="1670DBD1" w14:textId="77777777" w:rsidR="004B605A" w:rsidRPr="002029AF" w:rsidRDefault="004B605A" w:rsidP="00F4536C">
            <w:pPr>
              <w:pStyle w:val="ARtabletext"/>
            </w:pPr>
            <w:r w:rsidRPr="002029AF">
              <w:t>70.0%</w:t>
            </w:r>
          </w:p>
        </w:tc>
        <w:tc>
          <w:tcPr>
            <w:tcW w:w="1021" w:type="dxa"/>
            <w:tcBorders>
              <w:top w:val="single" w:sz="4" w:space="0" w:color="BFBFBF"/>
              <w:left w:val="single" w:sz="4" w:space="0" w:color="FFFFFF"/>
              <w:bottom w:val="nil"/>
              <w:right w:val="single" w:sz="4" w:space="0" w:color="FFFFFF"/>
            </w:tcBorders>
            <w:hideMark/>
          </w:tcPr>
          <w:p w14:paraId="02AD9CFC" w14:textId="77777777" w:rsidR="004B605A" w:rsidRPr="002029AF" w:rsidRDefault="004B605A" w:rsidP="00F4536C">
            <w:pPr>
              <w:pStyle w:val="ARtabletext"/>
            </w:pPr>
            <w:r w:rsidRPr="002029AF">
              <w:t>69.4%</w:t>
            </w:r>
          </w:p>
        </w:tc>
        <w:tc>
          <w:tcPr>
            <w:tcW w:w="1021" w:type="dxa"/>
            <w:tcBorders>
              <w:top w:val="single" w:sz="4" w:space="0" w:color="BFBFBF"/>
              <w:left w:val="single" w:sz="4" w:space="0" w:color="FFFFFF"/>
              <w:bottom w:val="nil"/>
              <w:right w:val="single" w:sz="4" w:space="0" w:color="FFFFFF"/>
            </w:tcBorders>
          </w:tcPr>
          <w:p w14:paraId="596C2648" w14:textId="77777777" w:rsidR="004B605A" w:rsidRPr="002029AF" w:rsidRDefault="004B605A" w:rsidP="00F4536C">
            <w:pPr>
              <w:pStyle w:val="ARtabletext"/>
            </w:pPr>
            <w:r w:rsidRPr="002029AF">
              <w:t>71.0%</w:t>
            </w:r>
            <w:r w:rsidRPr="002029AF">
              <w:rPr>
                <w:rStyle w:val="Superscript"/>
              </w:rPr>
              <w:t>E</w:t>
            </w:r>
          </w:p>
        </w:tc>
      </w:tr>
      <w:tr w:rsidR="004B605A" w:rsidRPr="002029AF" w14:paraId="3736E3E1" w14:textId="77777777" w:rsidTr="00F42F20">
        <w:trPr>
          <w:cantSplit/>
        </w:trPr>
        <w:tc>
          <w:tcPr>
            <w:tcW w:w="5557" w:type="dxa"/>
            <w:tcBorders>
              <w:top w:val="single" w:sz="4" w:space="0" w:color="BFBFBF"/>
              <w:left w:val="single" w:sz="4" w:space="0" w:color="FFFFFF"/>
              <w:bottom w:val="single" w:sz="4" w:space="0" w:color="FFFFFF"/>
              <w:right w:val="single" w:sz="4" w:space="0" w:color="FFFFFF"/>
            </w:tcBorders>
            <w:hideMark/>
          </w:tcPr>
          <w:p w14:paraId="5E088FCB" w14:textId="77777777" w:rsidR="004B605A" w:rsidRPr="002029AF" w:rsidRDefault="004B605A" w:rsidP="00F4536C">
            <w:pPr>
              <w:pStyle w:val="ARtabletext"/>
              <w:rPr>
                <w:i/>
              </w:rPr>
            </w:pPr>
            <w:r w:rsidRPr="002029AF">
              <w:t>Perinatal and child mortality reports received, reviewed and classified</w:t>
            </w:r>
          </w:p>
        </w:tc>
        <w:tc>
          <w:tcPr>
            <w:tcW w:w="1021" w:type="dxa"/>
            <w:tcBorders>
              <w:top w:val="single" w:sz="4" w:space="0" w:color="BFBFBF"/>
              <w:left w:val="single" w:sz="4" w:space="0" w:color="FFFFFF"/>
              <w:bottom w:val="single" w:sz="4" w:space="0" w:color="FFFFFF"/>
              <w:right w:val="single" w:sz="4" w:space="0" w:color="FFFFFF"/>
            </w:tcBorders>
            <w:hideMark/>
          </w:tcPr>
          <w:p w14:paraId="098143E7" w14:textId="77777777" w:rsidR="004B605A" w:rsidRPr="002029AF" w:rsidRDefault="004B605A" w:rsidP="00F4536C">
            <w:pPr>
              <w:pStyle w:val="ARtabletext"/>
              <w:rPr>
                <w:i/>
              </w:rPr>
            </w:pPr>
            <w:r w:rsidRPr="002029AF">
              <w:t>New measure</w:t>
            </w:r>
          </w:p>
        </w:tc>
        <w:tc>
          <w:tcPr>
            <w:tcW w:w="1021" w:type="dxa"/>
            <w:tcBorders>
              <w:top w:val="single" w:sz="4" w:space="0" w:color="BFBFBF"/>
              <w:left w:val="single" w:sz="4" w:space="0" w:color="FFFFFF"/>
              <w:bottom w:val="single" w:sz="4" w:space="0" w:color="FFFFFF"/>
              <w:right w:val="single" w:sz="4" w:space="0" w:color="FFFFFF"/>
            </w:tcBorders>
            <w:hideMark/>
          </w:tcPr>
          <w:p w14:paraId="3F16B0A3" w14:textId="77777777" w:rsidR="004B605A" w:rsidRPr="002029AF" w:rsidRDefault="004B605A" w:rsidP="00F4536C">
            <w:pPr>
              <w:pStyle w:val="ARtabletext"/>
              <w:rPr>
                <w:i/>
              </w:rPr>
            </w:pPr>
            <w:r w:rsidRPr="002029AF">
              <w:t>100%</w:t>
            </w:r>
          </w:p>
        </w:tc>
        <w:tc>
          <w:tcPr>
            <w:tcW w:w="1021" w:type="dxa"/>
            <w:tcBorders>
              <w:top w:val="single" w:sz="4" w:space="0" w:color="BFBFBF"/>
              <w:left w:val="single" w:sz="4" w:space="0" w:color="FFFFFF"/>
              <w:bottom w:val="single" w:sz="4" w:space="0" w:color="FFFFFF"/>
              <w:right w:val="single" w:sz="4" w:space="0" w:color="FFFFFF"/>
            </w:tcBorders>
            <w:hideMark/>
          </w:tcPr>
          <w:p w14:paraId="64832E23" w14:textId="77777777" w:rsidR="004B605A" w:rsidRPr="002029AF" w:rsidRDefault="004B605A" w:rsidP="00F4536C">
            <w:pPr>
              <w:pStyle w:val="ARtabletext"/>
            </w:pPr>
            <w:r w:rsidRPr="002029AF">
              <w:t>100%</w:t>
            </w:r>
          </w:p>
        </w:tc>
        <w:tc>
          <w:tcPr>
            <w:tcW w:w="1021" w:type="dxa"/>
            <w:tcBorders>
              <w:top w:val="single" w:sz="4" w:space="0" w:color="BFBFBF"/>
              <w:left w:val="single" w:sz="4" w:space="0" w:color="FFFFFF"/>
              <w:bottom w:val="single" w:sz="4" w:space="0" w:color="FFFFFF"/>
              <w:right w:val="single" w:sz="4" w:space="0" w:color="FFFFFF"/>
            </w:tcBorders>
          </w:tcPr>
          <w:p w14:paraId="178DD526" w14:textId="77777777" w:rsidR="004B605A" w:rsidRPr="002029AF" w:rsidRDefault="004B605A" w:rsidP="00F4536C">
            <w:pPr>
              <w:pStyle w:val="ARtabletext"/>
            </w:pPr>
            <w:r w:rsidRPr="002029AF">
              <w:t>99.3%</w:t>
            </w:r>
          </w:p>
        </w:tc>
      </w:tr>
      <w:tr w:rsidR="004B605A" w:rsidRPr="002029AF" w14:paraId="5DB36249" w14:textId="77777777" w:rsidTr="00F42F20">
        <w:trPr>
          <w:cantSplit/>
        </w:trPr>
        <w:tc>
          <w:tcPr>
            <w:tcW w:w="5557" w:type="dxa"/>
            <w:tcBorders>
              <w:top w:val="single" w:sz="4" w:space="0" w:color="BFBFBF"/>
              <w:left w:val="single" w:sz="4" w:space="0" w:color="FFFFFF"/>
              <w:bottom w:val="single" w:sz="4" w:space="0" w:color="FFFFFF"/>
              <w:right w:val="single" w:sz="4" w:space="0" w:color="FFFFFF"/>
            </w:tcBorders>
            <w:hideMark/>
          </w:tcPr>
          <w:p w14:paraId="4FD0F6BE" w14:textId="77777777" w:rsidR="004B605A" w:rsidRPr="002029AF" w:rsidRDefault="004B605A" w:rsidP="00F4536C">
            <w:pPr>
              <w:pStyle w:val="ARtabletext"/>
              <w:rPr>
                <w:i/>
              </w:rPr>
            </w:pPr>
            <w:r w:rsidRPr="002029AF">
              <w:t>Perinatal mortality rate per 1,000 of babies of Aboriginal mothers using rolling three-year average</w:t>
            </w:r>
          </w:p>
        </w:tc>
        <w:tc>
          <w:tcPr>
            <w:tcW w:w="1021" w:type="dxa"/>
            <w:tcBorders>
              <w:top w:val="single" w:sz="4" w:space="0" w:color="BFBFBF"/>
              <w:left w:val="single" w:sz="4" w:space="0" w:color="FFFFFF"/>
              <w:bottom w:val="single" w:sz="4" w:space="0" w:color="FFFFFF"/>
              <w:right w:val="single" w:sz="4" w:space="0" w:color="FFFFFF"/>
            </w:tcBorders>
            <w:hideMark/>
          </w:tcPr>
          <w:p w14:paraId="1E96C638" w14:textId="77777777" w:rsidR="004B605A" w:rsidRPr="002029AF" w:rsidRDefault="004B605A" w:rsidP="00F4536C">
            <w:pPr>
              <w:pStyle w:val="ARtabletext"/>
              <w:rPr>
                <w:i/>
              </w:rPr>
            </w:pPr>
            <w:r w:rsidRPr="002029AF">
              <w:t>New measure</w:t>
            </w:r>
          </w:p>
        </w:tc>
        <w:tc>
          <w:tcPr>
            <w:tcW w:w="1021" w:type="dxa"/>
            <w:tcBorders>
              <w:top w:val="single" w:sz="4" w:space="0" w:color="BFBFBF"/>
              <w:left w:val="single" w:sz="4" w:space="0" w:color="FFFFFF"/>
              <w:bottom w:val="single" w:sz="4" w:space="0" w:color="FFFFFF"/>
              <w:right w:val="single" w:sz="4" w:space="0" w:color="FFFFFF"/>
            </w:tcBorders>
            <w:hideMark/>
          </w:tcPr>
          <w:p w14:paraId="193F1B1A" w14:textId="77777777" w:rsidR="004B605A" w:rsidRPr="002029AF" w:rsidRDefault="004B605A" w:rsidP="00F4536C">
            <w:pPr>
              <w:pStyle w:val="ARtabletext"/>
              <w:rPr>
                <w:i/>
              </w:rPr>
            </w:pPr>
            <w:r w:rsidRPr="002029AF">
              <w:t>9.0</w:t>
            </w:r>
          </w:p>
        </w:tc>
        <w:tc>
          <w:tcPr>
            <w:tcW w:w="1021" w:type="dxa"/>
            <w:tcBorders>
              <w:top w:val="single" w:sz="4" w:space="0" w:color="BFBFBF"/>
              <w:left w:val="single" w:sz="4" w:space="0" w:color="FFFFFF"/>
              <w:bottom w:val="single" w:sz="4" w:space="0" w:color="FFFFFF"/>
              <w:right w:val="single" w:sz="4" w:space="0" w:color="FFFFFF"/>
            </w:tcBorders>
            <w:hideMark/>
          </w:tcPr>
          <w:p w14:paraId="24FF763C" w14:textId="77777777" w:rsidR="004B605A" w:rsidRPr="002029AF" w:rsidRDefault="004B605A" w:rsidP="00F4536C">
            <w:pPr>
              <w:pStyle w:val="ARtabletext"/>
            </w:pPr>
            <w:r w:rsidRPr="002029AF">
              <w:t>10.0</w:t>
            </w:r>
          </w:p>
        </w:tc>
        <w:tc>
          <w:tcPr>
            <w:tcW w:w="1021" w:type="dxa"/>
            <w:tcBorders>
              <w:top w:val="single" w:sz="4" w:space="0" w:color="BFBFBF"/>
              <w:left w:val="single" w:sz="4" w:space="0" w:color="FFFFFF"/>
              <w:bottom w:val="single" w:sz="4" w:space="0" w:color="FFFFFF"/>
              <w:right w:val="single" w:sz="4" w:space="0" w:color="FFFFFF"/>
            </w:tcBorders>
          </w:tcPr>
          <w:p w14:paraId="7767A1B4" w14:textId="77777777" w:rsidR="004B605A" w:rsidRPr="002029AF" w:rsidRDefault="004B605A" w:rsidP="00F4536C">
            <w:pPr>
              <w:pStyle w:val="ARtabletext"/>
            </w:pPr>
            <w:r w:rsidRPr="002029AF">
              <w:t>11.5</w:t>
            </w:r>
          </w:p>
        </w:tc>
      </w:tr>
      <w:tr w:rsidR="004B605A" w:rsidRPr="002029AF" w14:paraId="14B5B33C" w14:textId="77777777" w:rsidTr="00F42F20">
        <w:trPr>
          <w:cantSplit/>
        </w:trPr>
        <w:tc>
          <w:tcPr>
            <w:tcW w:w="5557" w:type="dxa"/>
            <w:tcBorders>
              <w:top w:val="single" w:sz="4" w:space="0" w:color="BFBFBF"/>
              <w:left w:val="single" w:sz="4" w:space="0" w:color="FFFFFF"/>
              <w:bottom w:val="single" w:sz="4" w:space="0" w:color="BFBFBF"/>
              <w:right w:val="single" w:sz="4" w:space="0" w:color="FFFFFF"/>
            </w:tcBorders>
            <w:hideMark/>
          </w:tcPr>
          <w:p w14:paraId="45CE79F0" w14:textId="77777777" w:rsidR="004B605A" w:rsidRPr="002029AF" w:rsidRDefault="004B605A" w:rsidP="00F4536C">
            <w:pPr>
              <w:pStyle w:val="ARtabletext"/>
              <w:rPr>
                <w:i/>
              </w:rPr>
            </w:pPr>
            <w:r w:rsidRPr="002029AF">
              <w:t>Smoking cessation of Aboriginal mothers</w:t>
            </w:r>
          </w:p>
        </w:tc>
        <w:tc>
          <w:tcPr>
            <w:tcW w:w="1021" w:type="dxa"/>
            <w:tcBorders>
              <w:top w:val="single" w:sz="4" w:space="0" w:color="BFBFBF"/>
              <w:left w:val="single" w:sz="4" w:space="0" w:color="FFFFFF"/>
              <w:bottom w:val="single" w:sz="4" w:space="0" w:color="BFBFBF"/>
              <w:right w:val="single" w:sz="4" w:space="0" w:color="FFFFFF"/>
            </w:tcBorders>
            <w:hideMark/>
          </w:tcPr>
          <w:p w14:paraId="1D28C9DA" w14:textId="77777777" w:rsidR="004B605A" w:rsidRPr="002029AF" w:rsidRDefault="004B605A" w:rsidP="00F4536C">
            <w:pPr>
              <w:pStyle w:val="ARtabletext"/>
              <w:rPr>
                <w:i/>
              </w:rPr>
            </w:pPr>
            <w:r w:rsidRPr="002029AF">
              <w:t>25.0%</w:t>
            </w:r>
          </w:p>
        </w:tc>
        <w:tc>
          <w:tcPr>
            <w:tcW w:w="1021" w:type="dxa"/>
            <w:tcBorders>
              <w:top w:val="single" w:sz="4" w:space="0" w:color="BFBFBF"/>
              <w:left w:val="single" w:sz="4" w:space="0" w:color="FFFFFF"/>
              <w:bottom w:val="single" w:sz="4" w:space="0" w:color="BFBFBF"/>
              <w:right w:val="single" w:sz="4" w:space="0" w:color="FFFFFF"/>
            </w:tcBorders>
            <w:hideMark/>
          </w:tcPr>
          <w:p w14:paraId="40D4659F" w14:textId="77777777" w:rsidR="004B605A" w:rsidRPr="002029AF" w:rsidRDefault="004B605A" w:rsidP="00F4536C">
            <w:pPr>
              <w:pStyle w:val="ARtabletext"/>
              <w:rPr>
                <w:i/>
              </w:rPr>
            </w:pPr>
            <w:r w:rsidRPr="002029AF">
              <w:t>23.7%</w:t>
            </w:r>
          </w:p>
        </w:tc>
        <w:tc>
          <w:tcPr>
            <w:tcW w:w="1021" w:type="dxa"/>
            <w:tcBorders>
              <w:top w:val="single" w:sz="4" w:space="0" w:color="BFBFBF"/>
              <w:left w:val="single" w:sz="4" w:space="0" w:color="FFFFFF"/>
              <w:bottom w:val="single" w:sz="4" w:space="0" w:color="BFBFBF"/>
              <w:right w:val="single" w:sz="4" w:space="0" w:color="FFFFFF"/>
            </w:tcBorders>
            <w:hideMark/>
          </w:tcPr>
          <w:p w14:paraId="2F4B4BCC" w14:textId="77777777" w:rsidR="004B605A" w:rsidRPr="002029AF" w:rsidRDefault="004B605A" w:rsidP="00F4536C">
            <w:pPr>
              <w:pStyle w:val="ARtabletext"/>
            </w:pPr>
            <w:r w:rsidRPr="002029AF">
              <w:t>23.5%</w:t>
            </w:r>
          </w:p>
        </w:tc>
        <w:tc>
          <w:tcPr>
            <w:tcW w:w="1021" w:type="dxa"/>
            <w:tcBorders>
              <w:top w:val="single" w:sz="4" w:space="0" w:color="BFBFBF"/>
              <w:left w:val="single" w:sz="4" w:space="0" w:color="FFFFFF"/>
              <w:bottom w:val="single" w:sz="4" w:space="0" w:color="BFBFBF"/>
              <w:right w:val="single" w:sz="4" w:space="0" w:color="FFFFFF"/>
            </w:tcBorders>
          </w:tcPr>
          <w:p w14:paraId="76A78C13" w14:textId="77777777" w:rsidR="004B605A" w:rsidRPr="002029AF" w:rsidRDefault="004B605A" w:rsidP="00F4536C">
            <w:pPr>
              <w:pStyle w:val="ARtabletext"/>
            </w:pPr>
            <w:r w:rsidRPr="002029AF">
              <w:t>24.1%</w:t>
            </w:r>
          </w:p>
        </w:tc>
      </w:tr>
      <w:tr w:rsidR="004B605A" w:rsidRPr="002029AF" w14:paraId="207F168D" w14:textId="77777777" w:rsidTr="00F42F20">
        <w:trPr>
          <w:cantSplit/>
        </w:trPr>
        <w:tc>
          <w:tcPr>
            <w:tcW w:w="5557" w:type="dxa"/>
            <w:gridSpan w:val="5"/>
            <w:tcBorders>
              <w:top w:val="single" w:sz="4" w:space="0" w:color="BFBFBF"/>
              <w:left w:val="single" w:sz="4" w:space="0" w:color="FFFFFF"/>
              <w:bottom w:val="single" w:sz="4" w:space="0" w:color="auto"/>
              <w:right w:val="single" w:sz="4" w:space="0" w:color="FFFFFF"/>
            </w:tcBorders>
          </w:tcPr>
          <w:p w14:paraId="19A9C1DE" w14:textId="77777777" w:rsidR="004B605A" w:rsidRPr="002029AF" w:rsidRDefault="004B605A" w:rsidP="00F4536C">
            <w:pPr>
              <w:pStyle w:val="ARtablefootnote"/>
            </w:pPr>
            <w:r w:rsidRPr="002029AF">
              <w:rPr>
                <w:rFonts w:eastAsia="Times"/>
                <w:lang w:eastAsia="en-AU"/>
              </w:rPr>
              <w:t>Source: Internal departmental data</w:t>
            </w:r>
          </w:p>
        </w:tc>
      </w:tr>
    </w:tbl>
    <w:p w14:paraId="1FB37FE9" w14:textId="675CC916" w:rsidR="00603E4B" w:rsidRPr="002029AF" w:rsidRDefault="00603E4B" w:rsidP="00603E4B">
      <w:pPr>
        <w:pStyle w:val="ARtablefootnote"/>
      </w:pPr>
      <w:r w:rsidRPr="002029AF">
        <w:t>The department is committed to measuring outcomes for all indicators set out in the Victorian budget papers. Further work is needed to test and validate measures to ensure departmental initiatives and policies are reflected by the performance indicators. As the outcomes approaches in the department mature, reporting will be provided against outcome measures and will inform the reporting of performance indicators.</w:t>
      </w:r>
    </w:p>
    <w:p w14:paraId="443EC850" w14:textId="77777777" w:rsidR="00603E4B" w:rsidRPr="002029AF" w:rsidRDefault="00603E4B" w:rsidP="00603E4B">
      <w:pPr>
        <w:spacing w:line="264" w:lineRule="auto"/>
        <w:rPr>
          <w:rFonts w:ascii="Arial" w:eastAsiaTheme="minorEastAsia" w:hAnsi="Arial"/>
          <w:sz w:val="16"/>
          <w:szCs w:val="16"/>
        </w:rPr>
        <w:sectPr w:rsidR="00603E4B" w:rsidRPr="002029AF" w:rsidSect="00B45A1D">
          <w:footnotePr>
            <w:numFmt w:val="chicago"/>
            <w:numRestart w:val="eachPage"/>
          </w:footnotePr>
          <w:endnotePr>
            <w:numFmt w:val="decimal"/>
          </w:endnotePr>
          <w:type w:val="continuous"/>
          <w:pgSz w:w="11900" w:h="16840" w:code="9"/>
          <w:pgMar w:top="1985" w:right="851" w:bottom="851" w:left="1418" w:header="510" w:footer="340" w:gutter="0"/>
          <w:cols w:space="720"/>
          <w15:footnoteColumns w:val="1"/>
        </w:sectPr>
      </w:pPr>
    </w:p>
    <w:p w14:paraId="4B36C6B8" w14:textId="77777777" w:rsidR="00603E4B" w:rsidRPr="002029AF" w:rsidRDefault="00603E4B" w:rsidP="000A18C8">
      <w:pPr>
        <w:pStyle w:val="Heading3larger"/>
      </w:pPr>
      <w:r w:rsidRPr="002029AF">
        <w:lastRenderedPageBreak/>
        <w:t>Objective 2: Victorians are safe and secure</w:t>
      </w:r>
      <w:bookmarkEnd w:id="38"/>
    </w:p>
    <w:p w14:paraId="0F724CAD" w14:textId="070C483C" w:rsidR="00603E4B" w:rsidRPr="002029AF" w:rsidRDefault="00603E4B" w:rsidP="00603E4B">
      <w:pPr>
        <w:pStyle w:val="ARintro"/>
      </w:pPr>
      <w:r w:rsidRPr="002029AF">
        <w:t>This objective seeks to improve the safety and security of Victorians and to tackle the causes of</w:t>
      </w:r>
      <w:r w:rsidR="00496673">
        <w:t> </w:t>
      </w:r>
      <w:r w:rsidRPr="002029AF">
        <w:t>violence and abuse.</w:t>
      </w:r>
    </w:p>
    <w:p w14:paraId="2EF4356E" w14:textId="2B78FE11" w:rsidR="00603E4B" w:rsidRPr="002029AF" w:rsidRDefault="00603E4B" w:rsidP="00603E4B">
      <w:pPr>
        <w:pStyle w:val="ARintro"/>
      </w:pPr>
      <w:r w:rsidRPr="002029AF">
        <w:t xml:space="preserve">A safe society is a basic requirement for all. The department, its agencies and its administrative offices are working together to change attitudes and behaviours that perpetuate violence and abuse. We want to stop cycles of family violence, </w:t>
      </w:r>
      <w:r w:rsidR="004220FF">
        <w:t xml:space="preserve">elder abuse, </w:t>
      </w:r>
      <w:r w:rsidRPr="002029AF">
        <w:t>child abuse and neglect and help children and adult victim survivors recover.</w:t>
      </w:r>
    </w:p>
    <w:p w14:paraId="69B299B8" w14:textId="77777777" w:rsidR="00603E4B" w:rsidRPr="002029AF" w:rsidRDefault="00603E4B" w:rsidP="00603E4B">
      <w:pPr>
        <w:pStyle w:val="ARintro"/>
      </w:pPr>
      <w:r w:rsidRPr="002029AF">
        <w:t>Alongside freedom from abuse, access to suitable and stable housing is an essential determinant of good health and wellbeing. It is a foundation from which people can stabilise their lives and participate in education, work and the community.</w:t>
      </w:r>
    </w:p>
    <w:p w14:paraId="03C0231B" w14:textId="77777777" w:rsidR="00603E4B" w:rsidRPr="002029AF" w:rsidRDefault="00603E4B" w:rsidP="00603E4B">
      <w:pPr>
        <w:pStyle w:val="ARintro"/>
      </w:pPr>
      <w:r w:rsidRPr="002029AF">
        <w:t>Our approach to family violence, child protection, homelessness and social housing recognises that cultural identity and community networks offer protection, connection and healing.</w:t>
      </w:r>
    </w:p>
    <w:p w14:paraId="73A9F871" w14:textId="77777777" w:rsidR="004D2872" w:rsidRDefault="00603E4B" w:rsidP="00603E4B">
      <w:pPr>
        <w:pStyle w:val="ARintro"/>
      </w:pPr>
      <w:r w:rsidRPr="002029AF">
        <w:t>The Victorian bushfires from November 2019 to the end of February 2020 put families under enormous pressure, with people being evacuated from their homes. People were then restricted to their homes during the coronavirus (COVID-19) pandemic from March 2020 onwards. As a result of these two major events, Victoria has seen greater need for additional temporary housing and other social supports.</w:t>
      </w:r>
    </w:p>
    <w:p w14:paraId="54118D83" w14:textId="598F9091" w:rsidR="00603E4B" w:rsidRPr="002029AF" w:rsidRDefault="00603E4B" w:rsidP="00603E4B">
      <w:pPr>
        <w:pStyle w:val="ARintro"/>
      </w:pPr>
      <w:r w:rsidRPr="002029AF">
        <w:t>This objective seeks to ensure:</w:t>
      </w:r>
    </w:p>
    <w:p w14:paraId="406EB687" w14:textId="77777777" w:rsidR="00603E4B" w:rsidRPr="002029AF" w:rsidRDefault="00603E4B" w:rsidP="00603E4B">
      <w:pPr>
        <w:pStyle w:val="ARintrobullet"/>
      </w:pPr>
      <w:r w:rsidRPr="002029AF">
        <w:t>Victorians live free from abuse and violence</w:t>
      </w:r>
    </w:p>
    <w:p w14:paraId="725D2E02" w14:textId="77777777" w:rsidR="00603E4B" w:rsidRPr="002029AF" w:rsidRDefault="00603E4B" w:rsidP="00603E4B">
      <w:pPr>
        <w:pStyle w:val="ARintrobullet"/>
      </w:pPr>
      <w:r w:rsidRPr="002029AF">
        <w:t>Victorians have suitable and stable housing.</w:t>
      </w:r>
    </w:p>
    <w:p w14:paraId="7BBB022D" w14:textId="77777777" w:rsidR="00603E4B" w:rsidRPr="002029AF" w:rsidRDefault="00603E4B" w:rsidP="00603E4B">
      <w:pPr>
        <w:pStyle w:val="ARbody"/>
      </w:pPr>
    </w:p>
    <w:p w14:paraId="504F7780" w14:textId="77777777" w:rsidR="00603E4B" w:rsidRPr="002029AF" w:rsidRDefault="00603E4B" w:rsidP="00603E4B">
      <w:pPr>
        <w:pStyle w:val="ARbody"/>
        <w:sectPr w:rsidR="00603E4B" w:rsidRPr="002029AF" w:rsidSect="006F7279">
          <w:headerReference w:type="even" r:id="rId86"/>
          <w:headerReference w:type="default" r:id="rId87"/>
          <w:headerReference w:type="first" r:id="rId88"/>
          <w:footnotePr>
            <w:numFmt w:val="chicago"/>
            <w:numRestart w:val="eachPage"/>
          </w:footnotePr>
          <w:endnotePr>
            <w:numFmt w:val="decimal"/>
          </w:endnotePr>
          <w:pgSz w:w="11900" w:h="16840" w:code="9"/>
          <w:pgMar w:top="1985" w:right="851" w:bottom="851" w:left="1418" w:header="510" w:footer="340" w:gutter="0"/>
          <w:cols w:space="454"/>
          <w15:footnoteColumns w:val="1"/>
        </w:sectPr>
      </w:pPr>
    </w:p>
    <w:p w14:paraId="13A84CC8" w14:textId="77777777" w:rsidR="00603E4B" w:rsidRPr="002029AF" w:rsidRDefault="00603E4B" w:rsidP="00121533">
      <w:pPr>
        <w:pStyle w:val="Heading4"/>
        <w:spacing w:before="0"/>
      </w:pPr>
      <w:r w:rsidRPr="002029AF">
        <w:t>Outcome 2.1 Victorians live free from abuse and violence</w:t>
      </w:r>
    </w:p>
    <w:p w14:paraId="3A9661FC" w14:textId="57CEF12D" w:rsidR="00603E4B" w:rsidRPr="002029AF" w:rsidRDefault="00603E4B" w:rsidP="00603E4B">
      <w:pPr>
        <w:pStyle w:val="ARbody"/>
      </w:pPr>
      <w:r w:rsidRPr="002029AF">
        <w:t>Victorians are safe from harm, fear and neglect in</w:t>
      </w:r>
      <w:r w:rsidR="00121533">
        <w:t> </w:t>
      </w:r>
      <w:r w:rsidRPr="002029AF">
        <w:t>their homes and communities. Achieving this requires addressing the compounding effects of abuse and violence and improving support and recovery for both victim survivors and perpetrators.</w:t>
      </w:r>
    </w:p>
    <w:p w14:paraId="3639C568" w14:textId="77777777" w:rsidR="00603E4B" w:rsidRPr="002029AF" w:rsidRDefault="00603E4B" w:rsidP="00603E4B">
      <w:pPr>
        <w:pStyle w:val="Heading5"/>
        <w:rPr>
          <w:rFonts w:eastAsia="Times"/>
          <w:sz w:val="24"/>
        </w:rPr>
      </w:pPr>
      <w:r w:rsidRPr="002029AF">
        <w:rPr>
          <w:sz w:val="24"/>
        </w:rPr>
        <w:t>Progress against outcomes</w:t>
      </w:r>
    </w:p>
    <w:p w14:paraId="6156FDD9" w14:textId="77777777" w:rsidR="00603E4B" w:rsidRPr="002029AF" w:rsidRDefault="00603E4B" w:rsidP="00603E4B">
      <w:pPr>
        <w:pStyle w:val="ARbody"/>
      </w:pPr>
      <w:r w:rsidRPr="002029AF">
        <w:t>Our focus this year continues to be on improving outcomes for children, young people and families experiencing vulnerability.</w:t>
      </w:r>
    </w:p>
    <w:p w14:paraId="476E7F73" w14:textId="7BE6BEED" w:rsidR="001D75D0" w:rsidRPr="002029AF" w:rsidRDefault="001D75D0" w:rsidP="001D75D0">
      <w:pPr>
        <w:pStyle w:val="ARbody"/>
      </w:pPr>
      <w:r w:rsidRPr="002029AF">
        <w:t>We have continued to lead delivery of the Victorian</w:t>
      </w:r>
      <w:r w:rsidR="00121533">
        <w:t> </w:t>
      </w:r>
      <w:r w:rsidRPr="002029AF">
        <w:t xml:space="preserve">Government’s </w:t>
      </w:r>
      <w:r w:rsidRPr="002029AF">
        <w:rPr>
          <w:i/>
        </w:rPr>
        <w:t>Roadmap for Reform: strong families, safe children</w:t>
      </w:r>
      <w:r w:rsidRPr="002029AF">
        <w:t xml:space="preserve"> agenda, with a strong focus on shifting the child and family system from a crisis response to early intervention and prevention. The key priorities are to improve access to early intervention, integrate and coordinate universal and specialist services and people’s networks</w:t>
      </w:r>
      <w:r>
        <w:t>,</w:t>
      </w:r>
      <w:r w:rsidRPr="002029AF">
        <w:t xml:space="preserve"> including peer support</w:t>
      </w:r>
      <w:r>
        <w:t>,</w:t>
      </w:r>
      <w:r w:rsidRPr="002029AF">
        <w:t xml:space="preserve"> and shift the culture and practice toward driving outcomes and advancing Aboriginal self-determination. Through the three pathways model and a focus on Aboriginal self-determination we can deliver a significant shift in how and when child protection is engaged, connected and </w:t>
      </w:r>
      <w:r w:rsidRPr="002029AF">
        <w:t>integrated with services and the way child protection practice is undertaken to promote better</w:t>
      </w:r>
      <w:r w:rsidR="00121533">
        <w:t> </w:t>
      </w:r>
      <w:r w:rsidRPr="002029AF">
        <w:t>outcomes.</w:t>
      </w:r>
    </w:p>
    <w:p w14:paraId="200D1EC3" w14:textId="23557DAB" w:rsidR="00603E4B" w:rsidRPr="002029AF" w:rsidRDefault="00603E4B" w:rsidP="00603E4B">
      <w:pPr>
        <w:pStyle w:val="ARbody"/>
      </w:pPr>
      <w:r w:rsidRPr="002029AF">
        <w:t>Implementation of recommendations from the Royal Commission into Family Violence has also continued, with more than two</w:t>
      </w:r>
      <w:r w:rsidR="007838FD" w:rsidRPr="002029AF">
        <w:t>-</w:t>
      </w:r>
      <w:r w:rsidRPr="002029AF">
        <w:t>thirds of the 227 recommendations now complete.</w:t>
      </w:r>
    </w:p>
    <w:p w14:paraId="3261DF34" w14:textId="77777777" w:rsidR="00603E4B" w:rsidRPr="002029AF" w:rsidRDefault="00603E4B" w:rsidP="00603E4B">
      <w:pPr>
        <w:pStyle w:val="ARbody"/>
      </w:pPr>
      <w:r w:rsidRPr="002029AF">
        <w:t>In response to the coronavirus (COVID-19) pandemic, we have transformed the way we work with children and families to ensure their continued safety, as well as the safety of our staff.</w:t>
      </w:r>
    </w:p>
    <w:p w14:paraId="6FBCA8DA" w14:textId="77777777" w:rsidR="00603E4B" w:rsidRPr="002029AF" w:rsidRDefault="00603E4B" w:rsidP="00603E4B">
      <w:pPr>
        <w:pStyle w:val="ARbody"/>
      </w:pPr>
      <w:r w:rsidRPr="002029AF">
        <w:t>Some of our key achievements in 2019–20 are outlined below.</w:t>
      </w:r>
    </w:p>
    <w:p w14:paraId="33A6A0AB" w14:textId="13CCFD35" w:rsidR="00603E4B" w:rsidRPr="002029AF" w:rsidRDefault="00603E4B" w:rsidP="00603E4B">
      <w:pPr>
        <w:pStyle w:val="Heading6"/>
        <w:rPr>
          <w:szCs w:val="20"/>
          <w:lang w:val="en-AU"/>
        </w:rPr>
      </w:pPr>
      <w:r w:rsidRPr="002029AF">
        <w:rPr>
          <w:szCs w:val="20"/>
          <w:lang w:val="en-AU"/>
        </w:rPr>
        <w:t>Support for children who cannot live safely at</w:t>
      </w:r>
      <w:r w:rsidR="00121533">
        <w:rPr>
          <w:szCs w:val="20"/>
          <w:lang w:val="en-AU"/>
        </w:rPr>
        <w:t> </w:t>
      </w:r>
      <w:r w:rsidRPr="002029AF">
        <w:rPr>
          <w:szCs w:val="20"/>
          <w:lang w:val="en-AU"/>
        </w:rPr>
        <w:t>home</w:t>
      </w:r>
    </w:p>
    <w:p w14:paraId="1A6E8223" w14:textId="15E76D4A" w:rsidR="00603E4B" w:rsidRPr="002029AF" w:rsidRDefault="00603E4B" w:rsidP="00603E4B">
      <w:pPr>
        <w:pStyle w:val="ARbody"/>
      </w:pPr>
      <w:r w:rsidRPr="002029AF">
        <w:t>For children who cannot live safely at home, our priority continues to be supporting them to have a</w:t>
      </w:r>
      <w:r w:rsidR="00121533">
        <w:t> </w:t>
      </w:r>
      <w:r w:rsidRPr="002029AF">
        <w:t>consistent relationship with a caring adult and enabling them to build the capabilities they need to</w:t>
      </w:r>
      <w:r w:rsidR="00121533">
        <w:t> </w:t>
      </w:r>
      <w:r w:rsidRPr="002029AF">
        <w:t>lead a good life.</w:t>
      </w:r>
    </w:p>
    <w:p w14:paraId="1C832D2B" w14:textId="5AFFBC91" w:rsidR="00603E4B" w:rsidRPr="002029AF" w:rsidRDefault="00603E4B" w:rsidP="00603E4B">
      <w:pPr>
        <w:pStyle w:val="ARbody"/>
      </w:pPr>
      <w:r w:rsidRPr="002029AF">
        <w:t>This year we have continued trials of three innovative models of out-of-home care. These programs are helping to build the evidence base for</w:t>
      </w:r>
      <w:r w:rsidR="00121533">
        <w:t> </w:t>
      </w:r>
      <w:r w:rsidRPr="002029AF">
        <w:t>initiatives that support children to reach their potential.</w:t>
      </w:r>
    </w:p>
    <w:p w14:paraId="6F6883CA" w14:textId="2135ABFA" w:rsidR="00603E4B" w:rsidRPr="002029AF" w:rsidRDefault="00603E4B" w:rsidP="00603E4B">
      <w:pPr>
        <w:pStyle w:val="ARbody"/>
      </w:pPr>
      <w:r w:rsidRPr="002029AF">
        <w:lastRenderedPageBreak/>
        <w:t>The Keep Embracing Your Success (KEYS) model has been successfully implemented in two care homes in the department’s South Division. KEYS is</w:t>
      </w:r>
      <w:r w:rsidR="00121533">
        <w:t> </w:t>
      </w:r>
      <w:r w:rsidRPr="002029AF">
        <w:t>an intensive transitional support service which brings together mental health and care service systems. The KEYS model was evaluated in October 2019 and the results indicate that the program is making strong progress towards its intended outcomes.</w:t>
      </w:r>
    </w:p>
    <w:p w14:paraId="1794CCEE" w14:textId="77777777" w:rsidR="00603E4B" w:rsidRPr="002029AF" w:rsidRDefault="00603E4B" w:rsidP="00603E4B">
      <w:pPr>
        <w:pStyle w:val="ARbody"/>
      </w:pPr>
      <w:r w:rsidRPr="002029AF">
        <w:t>The department has also continued implementation of the Better Futures model, including the statewide rollout of the Home Stretch initiative in November 2019.</w:t>
      </w:r>
    </w:p>
    <w:p w14:paraId="196292E8" w14:textId="77777777" w:rsidR="001D75D0" w:rsidRPr="002029AF" w:rsidRDefault="001D75D0" w:rsidP="001D75D0">
      <w:pPr>
        <w:pStyle w:val="ARbody"/>
      </w:pPr>
      <w:r w:rsidRPr="002029AF">
        <w:t xml:space="preserve">Better Futures is a new way of supporting care leavers </w:t>
      </w:r>
      <w:r>
        <w:t xml:space="preserve">and was </w:t>
      </w:r>
      <w:r w:rsidRPr="002029AF">
        <w:t>rolled out statewide in November 2019. Better Futures engages with young people early in their transition to adulthood, and includes a worker to support the young person to have a voice in planning for their transition and who ‘sticks with them’ until 21 years</w:t>
      </w:r>
      <w:r>
        <w:t xml:space="preserve"> of age</w:t>
      </w:r>
      <w:r w:rsidRPr="002029AF">
        <w:t xml:space="preserve"> to help them navigate housing, education, employment and other areas on their journey to adulthood.</w:t>
      </w:r>
    </w:p>
    <w:p w14:paraId="75AA7E88" w14:textId="77777777" w:rsidR="001D75D0" w:rsidRPr="002029AF" w:rsidRDefault="001D75D0" w:rsidP="001D75D0">
      <w:pPr>
        <w:pStyle w:val="ARbody"/>
      </w:pPr>
      <w:r w:rsidRPr="002029AF">
        <w:t>Home Stretch, which is being delivered via the Better Futures model, also rolled out statewide in November 2019. Home Stretch is providing young people with a more gradual and supported transition from care and includes a living allowance to support young people to remain with their kinship or foster carers, or to support their transition to independent living up to age 21. It also includes case work support, and flexible brokerage funding.</w:t>
      </w:r>
    </w:p>
    <w:p w14:paraId="28C526B6" w14:textId="77777777" w:rsidR="001D75D0" w:rsidRPr="002029AF" w:rsidRDefault="001D75D0" w:rsidP="001D75D0">
      <w:pPr>
        <w:pStyle w:val="ARbody"/>
      </w:pPr>
      <w:r w:rsidRPr="002029AF">
        <w:t>In response to the coronavirus (COVID-19) pandemic, funding of more than $4 million was announced in April 2020 to support young people turning 18 between 16 March and 31 December 2020 and otherwise due to leave care during the coronavirus (COVID-19) pandemic.</w:t>
      </w:r>
    </w:p>
    <w:p w14:paraId="2E6ADEF9" w14:textId="434848F3" w:rsidR="001D75D0" w:rsidRPr="002029AF" w:rsidRDefault="001D75D0" w:rsidP="001D75D0">
      <w:pPr>
        <w:pStyle w:val="ARbody"/>
      </w:pPr>
      <w:r w:rsidRPr="002029AF">
        <w:t>This investment will support approximately 220</w:t>
      </w:r>
      <w:r w:rsidR="00121533">
        <w:t> </w:t>
      </w:r>
      <w:r w:rsidRPr="002029AF">
        <w:t xml:space="preserve">such young people </w:t>
      </w:r>
      <w:r>
        <w:t xml:space="preserve">to </w:t>
      </w:r>
      <w:r w:rsidRPr="002029AF">
        <w:t>stay with their carer or</w:t>
      </w:r>
      <w:r w:rsidR="00121533">
        <w:t> </w:t>
      </w:r>
      <w:r w:rsidRPr="002029AF">
        <w:t>to</w:t>
      </w:r>
      <w:r w:rsidR="00121533">
        <w:t> </w:t>
      </w:r>
      <w:r w:rsidRPr="002029AF">
        <w:t>move to other housing until 30 June 2021, supported by an allowance, case work support and</w:t>
      </w:r>
      <w:r w:rsidR="00121533">
        <w:t> </w:t>
      </w:r>
      <w:r w:rsidRPr="002029AF">
        <w:t>flexible funding.</w:t>
      </w:r>
    </w:p>
    <w:p w14:paraId="79E36329" w14:textId="7B10C744" w:rsidR="00603E4B" w:rsidRPr="002029AF" w:rsidRDefault="00C77EDB" w:rsidP="0028134C">
      <w:pPr>
        <w:pStyle w:val="Heading5"/>
        <w:spacing w:before="0"/>
        <w:rPr>
          <w:rFonts w:eastAsia="Calibri"/>
        </w:rPr>
      </w:pPr>
      <w:r>
        <w:rPr>
          <w:rFonts w:eastAsia="Calibri"/>
        </w:rPr>
        <w:br w:type="column"/>
      </w:r>
      <w:r w:rsidR="00603E4B" w:rsidRPr="002029AF">
        <w:rPr>
          <w:rFonts w:eastAsia="Calibri"/>
        </w:rPr>
        <w:t>Key result 13: Reduce the abuse and neglect of children and young people</w:t>
      </w:r>
    </w:p>
    <w:p w14:paraId="2360186D" w14:textId="345F336D" w:rsidR="00603E4B" w:rsidRPr="002029AF" w:rsidRDefault="00603E4B" w:rsidP="00603E4B">
      <w:pPr>
        <w:pStyle w:val="Heading6"/>
        <w:rPr>
          <w:szCs w:val="20"/>
          <w:lang w:val="en-AU"/>
        </w:rPr>
      </w:pPr>
      <w:r w:rsidRPr="002029AF">
        <w:rPr>
          <w:szCs w:val="20"/>
          <w:lang w:val="en-AU"/>
        </w:rPr>
        <w:t>Protect children with new religious confession</w:t>
      </w:r>
      <w:r w:rsidR="00121533">
        <w:rPr>
          <w:szCs w:val="20"/>
          <w:lang w:val="en-AU"/>
        </w:rPr>
        <w:t> </w:t>
      </w:r>
      <w:r w:rsidRPr="002029AF">
        <w:rPr>
          <w:szCs w:val="20"/>
          <w:lang w:val="en-AU"/>
        </w:rPr>
        <w:t>laws</w:t>
      </w:r>
    </w:p>
    <w:p w14:paraId="3895E33E" w14:textId="77777777" w:rsidR="00603E4B" w:rsidRPr="002029AF" w:rsidRDefault="00603E4B" w:rsidP="00603E4B">
      <w:pPr>
        <w:pStyle w:val="ARbody"/>
      </w:pPr>
      <w:r w:rsidRPr="002029AF">
        <w:t xml:space="preserve">In September 2019, with the </w:t>
      </w:r>
      <w:r w:rsidRPr="002029AF">
        <w:rPr>
          <w:i/>
          <w:iCs/>
        </w:rPr>
        <w:t>Children Legislation Amendment Act 2019</w:t>
      </w:r>
      <w:r w:rsidRPr="002029AF">
        <w:t>, the Victorian Parliament passed legislation to include people in religious ministry as mandatory reporters to child protection, without exemption for religious confessions.</w:t>
      </w:r>
    </w:p>
    <w:p w14:paraId="693B8C99" w14:textId="59C53ABC" w:rsidR="00603E4B" w:rsidRPr="002029AF" w:rsidRDefault="00603E4B" w:rsidP="00603E4B">
      <w:pPr>
        <w:pStyle w:val="ARbody"/>
      </w:pPr>
      <w:r w:rsidRPr="002029AF">
        <w:t>This historic new law, which came into effect on</w:t>
      </w:r>
      <w:r w:rsidR="00121533">
        <w:t> </w:t>
      </w:r>
      <w:r w:rsidRPr="002029AF">
        <w:t>17</w:t>
      </w:r>
      <w:r w:rsidR="00121533">
        <w:t> </w:t>
      </w:r>
      <w:r w:rsidRPr="002029AF">
        <w:t>February 2020, means people in religious ministries will face criminal charges if they fail to report child abuse – including when it is disclosed during confession.</w:t>
      </w:r>
    </w:p>
    <w:p w14:paraId="34AA9BF1" w14:textId="77777777" w:rsidR="001D75D0" w:rsidRPr="002029AF" w:rsidRDefault="001D75D0" w:rsidP="001D75D0">
      <w:pPr>
        <w:pStyle w:val="ARbody"/>
      </w:pPr>
      <w:r w:rsidRPr="002029AF">
        <w:t>Th</w:t>
      </w:r>
      <w:r>
        <w:t>e commencement of this legislation</w:t>
      </w:r>
      <w:r w:rsidRPr="002029AF">
        <w:t xml:space="preserve"> has completed Victoria’s implementation of the Royal Commission into Institutional Responses to Child Sexual Abuse recommendation to achieve national consistency in mandatory reporting by expanding mandatory reporter groups to include the identified minimum set of professional groups who should be mandated in all jurisdictions.</w:t>
      </w:r>
    </w:p>
    <w:p w14:paraId="102D3E3A" w14:textId="77777777" w:rsidR="001D75D0" w:rsidRPr="002029AF" w:rsidRDefault="001D75D0" w:rsidP="001D75D0">
      <w:pPr>
        <w:pStyle w:val="ARbody"/>
      </w:pPr>
      <w:r w:rsidRPr="002029AF">
        <w:t>Police officers, registered medical practitioners, nurses and midwives, registered teachers (including kindergarten teachers), and school principals were already mandatory reporters in Victoria. Out</w:t>
      </w:r>
      <w:r>
        <w:t>-</w:t>
      </w:r>
      <w:r w:rsidRPr="002029AF">
        <w:t>of</w:t>
      </w:r>
      <w:r>
        <w:t>-</w:t>
      </w:r>
      <w:r w:rsidRPr="002029AF">
        <w:t>home care workers, early childhood workers, registered psychologists and youth justice workers commenced as mandatory reporters to Child Protection on 1 March 2019, and school counsellors on 31 January 2020.</w:t>
      </w:r>
    </w:p>
    <w:p w14:paraId="55A53478" w14:textId="77777777" w:rsidR="00603E4B" w:rsidRPr="002029AF" w:rsidRDefault="00603E4B" w:rsidP="00603E4B">
      <w:pPr>
        <w:pStyle w:val="Heading6"/>
        <w:rPr>
          <w:rFonts w:eastAsia="Arial"/>
          <w:szCs w:val="20"/>
          <w:lang w:val="en-AU"/>
        </w:rPr>
      </w:pPr>
      <w:r w:rsidRPr="002029AF">
        <w:rPr>
          <w:rFonts w:eastAsia="Arial"/>
          <w:szCs w:val="20"/>
          <w:lang w:val="en-AU"/>
        </w:rPr>
        <w:t>National Redress Scheme for Victorian survivors of institutional child sexual abuse</w:t>
      </w:r>
    </w:p>
    <w:p w14:paraId="7F38D240" w14:textId="77777777" w:rsidR="001D75D0" w:rsidRPr="002029AF" w:rsidRDefault="001D75D0" w:rsidP="001D75D0">
      <w:pPr>
        <w:pStyle w:val="ARbody"/>
      </w:pPr>
      <w:r w:rsidRPr="002029AF">
        <w:t xml:space="preserve">On 1 July 2019, the Victorian Government joined the National Redress Scheme for people who have experienced institutional child sexual abuse. The ten-year </w:t>
      </w:r>
      <w:r>
        <w:t>s</w:t>
      </w:r>
      <w:r w:rsidRPr="002029AF">
        <w:t>cheme was established in response to recommendations of the Commonwealth Royal Commission into Institutional Responses to Child Sexual Abuse.</w:t>
      </w:r>
    </w:p>
    <w:p w14:paraId="41E6CB46" w14:textId="39BE13CE" w:rsidR="001D75D0" w:rsidRPr="002029AF" w:rsidRDefault="001D75D0" w:rsidP="001D75D0">
      <w:pPr>
        <w:pStyle w:val="ARbody"/>
      </w:pPr>
      <w:r w:rsidRPr="002029AF">
        <w:t xml:space="preserve">The Victorian Department of Justice and Community Safety is responsible for coordinating the Victorian Government’s participation in the </w:t>
      </w:r>
      <w:r>
        <w:t>s</w:t>
      </w:r>
      <w:r w:rsidRPr="002029AF">
        <w:t>cheme and the department is responsible for operationalising it.</w:t>
      </w:r>
    </w:p>
    <w:p w14:paraId="7626BCB7" w14:textId="77777777" w:rsidR="00C77EDB" w:rsidRPr="00C77EDB" w:rsidRDefault="00C77EDB" w:rsidP="00C77EDB">
      <w:pPr>
        <w:pStyle w:val="ARbody"/>
      </w:pPr>
      <w:r w:rsidRPr="00C77EDB">
        <w:br w:type="page"/>
      </w:r>
    </w:p>
    <w:p w14:paraId="4E11172B" w14:textId="60C4BA2A" w:rsidR="001D75D0" w:rsidRPr="002029AF" w:rsidRDefault="001D75D0" w:rsidP="001D75D0">
      <w:pPr>
        <w:pStyle w:val="ARbody"/>
      </w:pPr>
      <w:r w:rsidRPr="002029AF">
        <w:lastRenderedPageBreak/>
        <w:t>As part of the scheme, eligible survivors of institutional child sexual abuse will be able to seek</w:t>
      </w:r>
      <w:r w:rsidR="00121533">
        <w:t> </w:t>
      </w:r>
      <w:r w:rsidRPr="002029AF">
        <w:t>a range of redress options including:</w:t>
      </w:r>
    </w:p>
    <w:p w14:paraId="00B2A531" w14:textId="77777777" w:rsidR="001D75D0" w:rsidRPr="002029AF" w:rsidRDefault="001D75D0" w:rsidP="00FF3CAB">
      <w:pPr>
        <w:pStyle w:val="ARbullet1"/>
        <w:numPr>
          <w:ilvl w:val="0"/>
          <w:numId w:val="51"/>
        </w:numPr>
      </w:pPr>
      <w:r w:rsidRPr="002029AF">
        <w:t>a redress payment of up to $150,000</w:t>
      </w:r>
    </w:p>
    <w:p w14:paraId="6077F0BC" w14:textId="77777777" w:rsidR="001D75D0" w:rsidRPr="002029AF" w:rsidRDefault="001D75D0" w:rsidP="00FF3CAB">
      <w:pPr>
        <w:pStyle w:val="ARbullet1"/>
        <w:numPr>
          <w:ilvl w:val="0"/>
          <w:numId w:val="51"/>
        </w:numPr>
      </w:pPr>
      <w:r w:rsidRPr="002029AF">
        <w:t>access to counselling services</w:t>
      </w:r>
    </w:p>
    <w:p w14:paraId="745B5561" w14:textId="77777777" w:rsidR="001D75D0" w:rsidRPr="002029AF" w:rsidRDefault="001D75D0" w:rsidP="00FF3CAB">
      <w:pPr>
        <w:pStyle w:val="ARbullet1"/>
        <w:numPr>
          <w:ilvl w:val="0"/>
          <w:numId w:val="51"/>
        </w:numPr>
      </w:pPr>
      <w:r w:rsidRPr="002029AF">
        <w:t>direct personal responses (DPR) – such as an apology – from the institutions responsible for their abuse.</w:t>
      </w:r>
    </w:p>
    <w:p w14:paraId="6EE763EB" w14:textId="77777777" w:rsidR="001D75D0" w:rsidRPr="002029AF" w:rsidRDefault="001D75D0" w:rsidP="001D75D0">
      <w:pPr>
        <w:pStyle w:val="ARbodyafterbullets"/>
      </w:pPr>
      <w:r w:rsidRPr="002029AF">
        <w:t xml:space="preserve">The department is also responsible for coordinating the Victorian Government DPR Program and counselling service for people in Victoria who accept an offer of redress. To date the department has recruited and trained 36 executive officers to deliver </w:t>
      </w:r>
      <w:r>
        <w:t>DPR</w:t>
      </w:r>
      <w:r w:rsidRPr="002029AF">
        <w:t xml:space="preserve"> and 9 facilitators to support the process.</w:t>
      </w:r>
    </w:p>
    <w:p w14:paraId="3DF12DF9" w14:textId="77777777" w:rsidR="001D75D0" w:rsidRPr="002029AF" w:rsidRDefault="001D75D0" w:rsidP="001D75D0">
      <w:pPr>
        <w:pStyle w:val="ARbody"/>
      </w:pPr>
      <w:r w:rsidRPr="002029AF">
        <w:t>As at 30 June 2020, 1,053 requests for information ha</w:t>
      </w:r>
      <w:r>
        <w:t>d</w:t>
      </w:r>
      <w:r w:rsidRPr="002029AF">
        <w:t xml:space="preserve"> been completed since the </w:t>
      </w:r>
      <w:r>
        <w:t>s</w:t>
      </w:r>
      <w:r w:rsidRPr="002029AF">
        <w:t>cheme commenced.</w:t>
      </w:r>
    </w:p>
    <w:p w14:paraId="1A012630" w14:textId="687D902E" w:rsidR="00603E4B" w:rsidRPr="002029AF" w:rsidRDefault="001D75D0" w:rsidP="001D75D0">
      <w:pPr>
        <w:pStyle w:val="ARbody"/>
      </w:pPr>
      <w:r w:rsidRPr="002029AF">
        <w:t>The department has established Restore, a state-wide consortium of specialist organisations</w:t>
      </w:r>
      <w:r>
        <w:t>,</w:t>
      </w:r>
      <w:r w:rsidRPr="002029AF">
        <w:t xml:space="preserve"> to provide access to counselling and Aboriginal </w:t>
      </w:r>
      <w:r>
        <w:t>c</w:t>
      </w:r>
      <w:r w:rsidRPr="002029AF">
        <w:t>ultural healing.</w:t>
      </w:r>
    </w:p>
    <w:p w14:paraId="3922CDAA" w14:textId="77777777" w:rsidR="00603E4B" w:rsidRPr="002029AF" w:rsidRDefault="00603E4B" w:rsidP="00603E4B">
      <w:pPr>
        <w:pStyle w:val="Heading6"/>
        <w:rPr>
          <w:szCs w:val="20"/>
          <w:lang w:val="en-AU"/>
        </w:rPr>
      </w:pPr>
      <w:r w:rsidRPr="002029AF">
        <w:rPr>
          <w:szCs w:val="20"/>
          <w:lang w:val="en-AU"/>
        </w:rPr>
        <w:t>Child Safe Standards review</w:t>
      </w:r>
    </w:p>
    <w:p w14:paraId="0738BE84" w14:textId="77777777" w:rsidR="00603E4B" w:rsidRPr="002029AF" w:rsidRDefault="00603E4B" w:rsidP="00603E4B">
      <w:pPr>
        <w:pStyle w:val="ARbody"/>
      </w:pPr>
      <w:r w:rsidRPr="002029AF">
        <w:t>The Child Safe Standards are compulsory minimum standards which all Victorian organisations that provide services or facilities to children are required by law to comply with.</w:t>
      </w:r>
    </w:p>
    <w:p w14:paraId="26F17392" w14:textId="4F8764D1" w:rsidR="00603E4B" w:rsidRPr="002029AF" w:rsidRDefault="00603E4B" w:rsidP="00603E4B">
      <w:pPr>
        <w:pStyle w:val="ARbody"/>
      </w:pPr>
      <w:r w:rsidRPr="002029AF">
        <w:t>In December 2019, the department completed a</w:t>
      </w:r>
      <w:r w:rsidR="00121533">
        <w:t> </w:t>
      </w:r>
      <w:r w:rsidRPr="002029AF">
        <w:t>review of the standards to ensure they are as</w:t>
      </w:r>
      <w:r w:rsidR="00121533">
        <w:t> </w:t>
      </w:r>
      <w:r w:rsidRPr="002029AF">
        <w:t>strong as possible, and to consider what adjustments may be needed to better align them with the recommendations of the Commonwealth Royal Commission into Institutional Responses to Child Sexual Abuse.</w:t>
      </w:r>
    </w:p>
    <w:p w14:paraId="17EB6290" w14:textId="0D9652E6" w:rsidR="00603E4B" w:rsidRPr="002029AF" w:rsidRDefault="00603E4B" w:rsidP="00603E4B">
      <w:pPr>
        <w:pStyle w:val="ARbody"/>
      </w:pPr>
      <w:r w:rsidRPr="002029AF">
        <w:t>The department is grateful to the many stakeholders, peak bodies, government departments and regulators who communicated information about the review, made written submissions, and sought the views and experiences of the children and young people that</w:t>
      </w:r>
      <w:r w:rsidR="00121533">
        <w:t> </w:t>
      </w:r>
      <w:r w:rsidRPr="002029AF">
        <w:t>they provide services to.</w:t>
      </w:r>
    </w:p>
    <w:p w14:paraId="3C30DC78" w14:textId="528FBE22" w:rsidR="00603E4B" w:rsidRPr="002029AF" w:rsidRDefault="00603E4B" w:rsidP="00603E4B">
      <w:pPr>
        <w:pStyle w:val="ARbody"/>
      </w:pPr>
      <w:r w:rsidRPr="002029AF">
        <w:t>The review made 15 recommendations, which fall</w:t>
      </w:r>
      <w:r w:rsidR="00121533">
        <w:t> </w:t>
      </w:r>
      <w:r w:rsidRPr="002029AF">
        <w:t>into three categories:</w:t>
      </w:r>
    </w:p>
    <w:p w14:paraId="3986BD3D" w14:textId="77777777" w:rsidR="00603E4B" w:rsidRPr="002029AF" w:rsidRDefault="00603E4B" w:rsidP="00FF3CAB">
      <w:pPr>
        <w:pStyle w:val="ARbullet1"/>
        <w:numPr>
          <w:ilvl w:val="0"/>
          <w:numId w:val="51"/>
        </w:numPr>
      </w:pPr>
      <w:r w:rsidRPr="002029AF">
        <w:t>amending the Victorian Child Safe Standards to align with the National Principles for Child Safe Organisations</w:t>
      </w:r>
    </w:p>
    <w:p w14:paraId="0116983E" w14:textId="4722A20E" w:rsidR="00603E4B" w:rsidRPr="002029AF" w:rsidRDefault="00C77EDB" w:rsidP="00FF3CAB">
      <w:pPr>
        <w:pStyle w:val="ARbullet1"/>
        <w:numPr>
          <w:ilvl w:val="0"/>
          <w:numId w:val="51"/>
        </w:numPr>
      </w:pPr>
      <w:r>
        <w:br w:type="column"/>
      </w:r>
      <w:r w:rsidR="00603E4B" w:rsidRPr="002029AF">
        <w:t xml:space="preserve">amending the </w:t>
      </w:r>
      <w:r w:rsidR="00603E4B" w:rsidRPr="002029AF">
        <w:rPr>
          <w:i/>
          <w:iCs/>
        </w:rPr>
        <w:t>Child Wellbeing and Safety Act 2005</w:t>
      </w:r>
      <w:r w:rsidR="00603E4B" w:rsidRPr="002029AF">
        <w:t xml:space="preserve"> to more clearly define which organisations are required to comply with the Child Safe Standards, and who is responsible for regulating those organisations</w:t>
      </w:r>
    </w:p>
    <w:p w14:paraId="5ADB3626" w14:textId="43B297E5" w:rsidR="00603E4B" w:rsidRPr="002029AF" w:rsidRDefault="00603E4B" w:rsidP="00FF3CAB">
      <w:pPr>
        <w:pStyle w:val="ARbullet1"/>
        <w:numPr>
          <w:ilvl w:val="0"/>
          <w:numId w:val="51"/>
        </w:numPr>
      </w:pPr>
      <w:r w:rsidRPr="002029AF">
        <w:t>amending the Act to provide a consistent suite</w:t>
      </w:r>
      <w:r w:rsidR="0027759D">
        <w:t> </w:t>
      </w:r>
      <w:r w:rsidRPr="002029AF">
        <w:t>of compliance and enforcement tools to</w:t>
      </w:r>
      <w:r w:rsidR="0027759D">
        <w:t> </w:t>
      </w:r>
      <w:r w:rsidRPr="002029AF">
        <w:t>regulators.</w:t>
      </w:r>
    </w:p>
    <w:p w14:paraId="26B92F6B" w14:textId="453743BF" w:rsidR="00603E4B" w:rsidRPr="002029AF" w:rsidRDefault="00603E4B" w:rsidP="00603E4B">
      <w:pPr>
        <w:pStyle w:val="ARbodyafterbullets"/>
      </w:pPr>
      <w:r w:rsidRPr="002029AF">
        <w:t>The Victorian Government has endorsed all 15</w:t>
      </w:r>
      <w:r w:rsidR="00121533">
        <w:t> </w:t>
      </w:r>
      <w:r w:rsidRPr="002029AF">
        <w:t>recommendations and work is now underway to</w:t>
      </w:r>
      <w:r w:rsidR="00121533">
        <w:t> </w:t>
      </w:r>
      <w:r w:rsidRPr="002029AF">
        <w:t>implement them.</w:t>
      </w:r>
    </w:p>
    <w:p w14:paraId="295CD21F" w14:textId="77777777" w:rsidR="00603E4B" w:rsidRPr="002029AF" w:rsidRDefault="00603E4B" w:rsidP="00603E4B">
      <w:pPr>
        <w:pStyle w:val="ARbody"/>
      </w:pPr>
      <w:r w:rsidRPr="002029AF">
        <w:t>Victorian organisations who provide services to children can now be well prepared to promote the safety of children, prevent child abuse and ensure effective processes are in place to respond to and report allegations of child abuse.</w:t>
      </w:r>
    </w:p>
    <w:p w14:paraId="68F5B637" w14:textId="77777777" w:rsidR="00603E4B" w:rsidRPr="002029AF" w:rsidRDefault="00603E4B" w:rsidP="00603E4B">
      <w:pPr>
        <w:pStyle w:val="Heading6"/>
        <w:rPr>
          <w:szCs w:val="20"/>
          <w:lang w:val="en-AU"/>
        </w:rPr>
      </w:pPr>
      <w:r w:rsidRPr="002029AF">
        <w:rPr>
          <w:szCs w:val="20"/>
          <w:lang w:val="en-AU"/>
        </w:rPr>
        <w:t>Child Protection Futures Project</w:t>
      </w:r>
    </w:p>
    <w:p w14:paraId="78B86B8B" w14:textId="7DFC0F0A" w:rsidR="001D75D0" w:rsidRPr="002029AF" w:rsidRDefault="001D75D0" w:rsidP="001D75D0">
      <w:pPr>
        <w:pStyle w:val="ARbody"/>
      </w:pPr>
      <w:r w:rsidRPr="002029AF">
        <w:t xml:space="preserve">The Child Protection Futures project is a key component of </w:t>
      </w:r>
      <w:r w:rsidRPr="002029AF">
        <w:rPr>
          <w:i/>
          <w:iCs/>
        </w:rPr>
        <w:t xml:space="preserve">Roadmap </w:t>
      </w:r>
      <w:r w:rsidR="004E0E1B">
        <w:rPr>
          <w:i/>
          <w:iCs/>
        </w:rPr>
        <w:t>for</w:t>
      </w:r>
      <w:r w:rsidR="004E0E1B" w:rsidRPr="002029AF">
        <w:rPr>
          <w:i/>
          <w:iCs/>
        </w:rPr>
        <w:t xml:space="preserve"> </w:t>
      </w:r>
      <w:r w:rsidRPr="002029AF">
        <w:rPr>
          <w:i/>
          <w:iCs/>
        </w:rPr>
        <w:t>Reform</w:t>
      </w:r>
      <w:r>
        <w:rPr>
          <w:i/>
          <w:iCs/>
        </w:rPr>
        <w:t>.</w:t>
      </w:r>
      <w:r w:rsidRPr="002029AF">
        <w:t xml:space="preserve"> </w:t>
      </w:r>
      <w:r>
        <w:t xml:space="preserve">It </w:t>
      </w:r>
      <w:r w:rsidRPr="002029AF">
        <w:t>directly contributes to the transition to a pathways system model and consider</w:t>
      </w:r>
      <w:r>
        <w:t>s</w:t>
      </w:r>
      <w:r w:rsidRPr="002029AF">
        <w:t xml:space="preserve"> the scope and vision of a contemporary child protection program within the context of the reforms and how the workforce can be best supported to respond to the needs of vulnerable children and families.</w:t>
      </w:r>
    </w:p>
    <w:p w14:paraId="5602B3FF" w14:textId="77777777" w:rsidR="001D75D0" w:rsidRPr="002029AF" w:rsidRDefault="001D75D0" w:rsidP="001D75D0">
      <w:pPr>
        <w:pStyle w:val="ARbody"/>
      </w:pPr>
      <w:r w:rsidRPr="002029AF">
        <w:t>To date</w:t>
      </w:r>
      <w:r>
        <w:t>,</w:t>
      </w:r>
      <w:r w:rsidRPr="002029AF">
        <w:t xml:space="preserve"> seven critical priorities for future action have been identified and are being gradually progressed through legislative, policy and practice reforms</w:t>
      </w:r>
      <w:r>
        <w:t>,</w:t>
      </w:r>
      <w:r w:rsidRPr="002029AF">
        <w:t xml:space="preserve"> including:</w:t>
      </w:r>
    </w:p>
    <w:p w14:paraId="40C02B42" w14:textId="42C914D0" w:rsidR="001D75D0" w:rsidRPr="002029AF" w:rsidRDefault="001D75D0" w:rsidP="00FF3CAB">
      <w:pPr>
        <w:pStyle w:val="ARbullet1"/>
        <w:numPr>
          <w:ilvl w:val="0"/>
          <w:numId w:val="51"/>
        </w:numPr>
      </w:pPr>
      <w:r>
        <w:t>c</w:t>
      </w:r>
      <w:r w:rsidRPr="002029AF">
        <w:t>onnecting children and families to the right</w:t>
      </w:r>
      <w:r w:rsidR="00121533">
        <w:t> </w:t>
      </w:r>
      <w:r w:rsidRPr="002029AF">
        <w:t>service</w:t>
      </w:r>
    </w:p>
    <w:p w14:paraId="274852DA" w14:textId="77777777" w:rsidR="001D75D0" w:rsidRPr="002029AF" w:rsidRDefault="001D75D0" w:rsidP="00FF3CAB">
      <w:pPr>
        <w:pStyle w:val="ARbullet1"/>
        <w:numPr>
          <w:ilvl w:val="0"/>
          <w:numId w:val="51"/>
        </w:numPr>
      </w:pPr>
      <w:r>
        <w:t>s</w:t>
      </w:r>
      <w:r w:rsidRPr="002029AF">
        <w:t>trengthening integration and partnership approaches between services</w:t>
      </w:r>
    </w:p>
    <w:p w14:paraId="1C9F40CD" w14:textId="49D9FEF9" w:rsidR="001D75D0" w:rsidRPr="002029AF" w:rsidRDefault="001D75D0" w:rsidP="00FF3CAB">
      <w:pPr>
        <w:pStyle w:val="ARbullet1"/>
        <w:numPr>
          <w:ilvl w:val="0"/>
          <w:numId w:val="51"/>
        </w:numPr>
      </w:pPr>
      <w:r>
        <w:t>p</w:t>
      </w:r>
      <w:r w:rsidRPr="002029AF">
        <w:t>roviding tailored responses to children and</w:t>
      </w:r>
      <w:r w:rsidR="00121533">
        <w:t> </w:t>
      </w:r>
      <w:r w:rsidRPr="002029AF">
        <w:t>t</w:t>
      </w:r>
      <w:r w:rsidR="00257550">
        <w:t>h</w:t>
      </w:r>
      <w:r w:rsidRPr="002029AF">
        <w:t>e</w:t>
      </w:r>
      <w:r w:rsidR="00257550">
        <w:t>i</w:t>
      </w:r>
      <w:r w:rsidRPr="002029AF">
        <w:t>r</w:t>
      </w:r>
      <w:r w:rsidR="00121533">
        <w:t> </w:t>
      </w:r>
      <w:r w:rsidRPr="002029AF">
        <w:t>families</w:t>
      </w:r>
    </w:p>
    <w:p w14:paraId="2485B684" w14:textId="77777777" w:rsidR="001D75D0" w:rsidRPr="002029AF" w:rsidRDefault="001D75D0" w:rsidP="00FF3CAB">
      <w:pPr>
        <w:pStyle w:val="ARbullet1"/>
        <w:numPr>
          <w:ilvl w:val="0"/>
          <w:numId w:val="51"/>
        </w:numPr>
      </w:pPr>
      <w:r>
        <w:t>a</w:t>
      </w:r>
      <w:r w:rsidRPr="002029AF">
        <w:t>ddressing the adversarial nature of the legislative framework and practice</w:t>
      </w:r>
    </w:p>
    <w:p w14:paraId="38B7A8B7" w14:textId="1ADADF36" w:rsidR="001D75D0" w:rsidRPr="002029AF" w:rsidRDefault="001D75D0" w:rsidP="00FF3CAB">
      <w:pPr>
        <w:pStyle w:val="ARbullet1"/>
        <w:numPr>
          <w:ilvl w:val="0"/>
          <w:numId w:val="51"/>
        </w:numPr>
      </w:pPr>
      <w:r>
        <w:t>r</w:t>
      </w:r>
      <w:r w:rsidRPr="002029AF">
        <w:t>ecognising the criticality of permanency for</w:t>
      </w:r>
      <w:r w:rsidR="00121533">
        <w:t> </w:t>
      </w:r>
      <w:r w:rsidRPr="002029AF">
        <w:t>children</w:t>
      </w:r>
    </w:p>
    <w:p w14:paraId="78D0483F" w14:textId="77777777" w:rsidR="001D75D0" w:rsidRPr="002029AF" w:rsidRDefault="001D75D0" w:rsidP="00FF3CAB">
      <w:pPr>
        <w:pStyle w:val="ARbullet1"/>
        <w:numPr>
          <w:ilvl w:val="0"/>
          <w:numId w:val="51"/>
        </w:numPr>
      </w:pPr>
      <w:r>
        <w:t>r</w:t>
      </w:r>
      <w:r w:rsidRPr="002029AF">
        <w:t>edesigning the workforce that protects children</w:t>
      </w:r>
    </w:p>
    <w:p w14:paraId="69709BEF" w14:textId="77777777" w:rsidR="001D75D0" w:rsidRPr="002029AF" w:rsidRDefault="001D75D0" w:rsidP="00FF3CAB">
      <w:pPr>
        <w:pStyle w:val="ARbullet1"/>
        <w:numPr>
          <w:ilvl w:val="0"/>
          <w:numId w:val="51"/>
        </w:numPr>
      </w:pPr>
      <w:r>
        <w:t>o</w:t>
      </w:r>
      <w:r w:rsidRPr="002029AF">
        <w:t>ptimising practitioner capacity through technology and streamlining of processes.</w:t>
      </w:r>
    </w:p>
    <w:p w14:paraId="1E3AD6F5" w14:textId="77777777" w:rsidR="00603E4B" w:rsidRPr="002029AF" w:rsidRDefault="00603E4B" w:rsidP="00603E4B">
      <w:pPr>
        <w:pStyle w:val="Heading6"/>
        <w:rPr>
          <w:szCs w:val="20"/>
          <w:lang w:val="en-AU"/>
        </w:rPr>
      </w:pPr>
      <w:r w:rsidRPr="002029AF">
        <w:rPr>
          <w:szCs w:val="20"/>
          <w:lang w:val="en-AU"/>
        </w:rPr>
        <w:t>SAFER Children Risk Assessment Framework</w:t>
      </w:r>
    </w:p>
    <w:p w14:paraId="138F4914" w14:textId="77777777" w:rsidR="001D75D0" w:rsidRPr="002029AF" w:rsidRDefault="001D75D0" w:rsidP="001D75D0">
      <w:pPr>
        <w:pStyle w:val="ARbody"/>
      </w:pPr>
      <w:r w:rsidRPr="002029AF">
        <w:t xml:space="preserve">The </w:t>
      </w:r>
      <w:r w:rsidRPr="00B032FB">
        <w:rPr>
          <w:i/>
          <w:iCs/>
        </w:rPr>
        <w:t xml:space="preserve">SAFER </w:t>
      </w:r>
      <w:r>
        <w:rPr>
          <w:i/>
          <w:iCs/>
        </w:rPr>
        <w:t>c</w:t>
      </w:r>
      <w:r w:rsidRPr="00B032FB">
        <w:rPr>
          <w:i/>
          <w:iCs/>
        </w:rPr>
        <w:t xml:space="preserve">hildren </w:t>
      </w:r>
      <w:r>
        <w:rPr>
          <w:i/>
          <w:iCs/>
        </w:rPr>
        <w:t>r</w:t>
      </w:r>
      <w:r w:rsidRPr="00B032FB">
        <w:rPr>
          <w:i/>
          <w:iCs/>
        </w:rPr>
        <w:t xml:space="preserve">isk </w:t>
      </w:r>
      <w:r>
        <w:rPr>
          <w:i/>
          <w:iCs/>
        </w:rPr>
        <w:t>a</w:t>
      </w:r>
      <w:r w:rsidRPr="00B032FB">
        <w:rPr>
          <w:i/>
          <w:iCs/>
        </w:rPr>
        <w:t xml:space="preserve">ssessment </w:t>
      </w:r>
      <w:r>
        <w:rPr>
          <w:i/>
          <w:iCs/>
        </w:rPr>
        <w:t>f</w:t>
      </w:r>
      <w:r w:rsidRPr="00B032FB">
        <w:rPr>
          <w:i/>
          <w:iCs/>
        </w:rPr>
        <w:t>ramework</w:t>
      </w:r>
      <w:r w:rsidRPr="002029AF">
        <w:t xml:space="preserve"> guides child protection practitioners in their day-to-day work in identifying, assessing and managing the risk of harm to children, and facilitates planning for their safety and wellbeing.</w:t>
      </w:r>
    </w:p>
    <w:p w14:paraId="7AF332F1" w14:textId="77777777" w:rsidR="001D75D0" w:rsidRPr="002029AF" w:rsidRDefault="001D75D0" w:rsidP="001D75D0">
      <w:pPr>
        <w:pStyle w:val="ARbody"/>
      </w:pPr>
      <w:r w:rsidRPr="002029AF">
        <w:lastRenderedPageBreak/>
        <w:t>The framework includes practice guides, tools and templates to support all Victorian child protection practitioners.</w:t>
      </w:r>
    </w:p>
    <w:p w14:paraId="5EF64DF8" w14:textId="3A0A6AB8" w:rsidR="001D75D0" w:rsidRPr="002029AF" w:rsidRDefault="001D75D0" w:rsidP="001D75D0">
      <w:pPr>
        <w:pStyle w:val="ARbody"/>
      </w:pPr>
      <w:r w:rsidRPr="002029AF">
        <w:t>The framework was launched in September 2019</w:t>
      </w:r>
      <w:r>
        <w:t>.</w:t>
      </w:r>
      <w:r w:rsidR="0027759D">
        <w:t> </w:t>
      </w:r>
      <w:r>
        <w:t>I</w:t>
      </w:r>
      <w:r w:rsidRPr="002029AF">
        <w:t>n 2019, 86 per cent of the child protection workforce attended the essentials professional training, and 95 per cent of child protection leaders completed the leadership professional training.</w:t>
      </w:r>
    </w:p>
    <w:p w14:paraId="2A1A1E34" w14:textId="77777777" w:rsidR="001D75D0" w:rsidRPr="002029AF" w:rsidRDefault="001D75D0" w:rsidP="001D75D0">
      <w:pPr>
        <w:pStyle w:val="ARbody"/>
      </w:pPr>
      <w:r w:rsidRPr="002029AF">
        <w:t>Through this work, child protection practitioners will be supported to make more informed decisions, leading to better outcomes for children and their families.</w:t>
      </w:r>
    </w:p>
    <w:p w14:paraId="2289C3AE" w14:textId="14FD033D" w:rsidR="00603E4B" w:rsidRPr="002029AF" w:rsidRDefault="00603E4B" w:rsidP="00603E4B">
      <w:pPr>
        <w:pStyle w:val="Heading5"/>
        <w:rPr>
          <w:rFonts w:eastAsia="Calibri"/>
        </w:rPr>
      </w:pPr>
      <w:r w:rsidRPr="002029AF">
        <w:rPr>
          <w:rFonts w:eastAsia="Calibri"/>
        </w:rPr>
        <w:t>Key result 14: Reduce the rate of growth in</w:t>
      </w:r>
      <w:r w:rsidR="00121533">
        <w:rPr>
          <w:rFonts w:eastAsia="Calibri"/>
        </w:rPr>
        <w:t> </w:t>
      </w:r>
      <w:r w:rsidRPr="002029AF">
        <w:rPr>
          <w:rFonts w:eastAsia="Calibri"/>
        </w:rPr>
        <w:t>out-of-home care – especially for Aboriginal children</w:t>
      </w:r>
    </w:p>
    <w:p w14:paraId="1A24A8C7" w14:textId="6DD7A147" w:rsidR="00603E4B" w:rsidRPr="002029AF" w:rsidRDefault="00603E4B" w:rsidP="00603E4B">
      <w:pPr>
        <w:pStyle w:val="Heading6"/>
        <w:rPr>
          <w:i/>
          <w:iCs/>
          <w:lang w:val="en-AU"/>
        </w:rPr>
      </w:pPr>
      <w:r w:rsidRPr="002029AF">
        <w:rPr>
          <w:lang w:val="en-AU"/>
        </w:rPr>
        <w:t>Wungurilwil Gapgapduir: Aboriginal Children</w:t>
      </w:r>
      <w:r w:rsidR="00121533">
        <w:rPr>
          <w:lang w:val="en-AU"/>
        </w:rPr>
        <w:t> </w:t>
      </w:r>
      <w:r w:rsidRPr="002029AF">
        <w:rPr>
          <w:lang w:val="en-AU"/>
        </w:rPr>
        <w:t>and Families Agreement and Strategic</w:t>
      </w:r>
      <w:r w:rsidR="00121533">
        <w:rPr>
          <w:lang w:val="en-AU"/>
        </w:rPr>
        <w:t> </w:t>
      </w:r>
      <w:r w:rsidRPr="002029AF">
        <w:rPr>
          <w:lang w:val="en-AU"/>
        </w:rPr>
        <w:t>Action Plan</w:t>
      </w:r>
    </w:p>
    <w:p w14:paraId="0B6BA779" w14:textId="4BB7C725" w:rsidR="00603E4B" w:rsidRPr="002029AF" w:rsidRDefault="00603E4B" w:rsidP="00603E4B">
      <w:pPr>
        <w:pStyle w:val="ARbody"/>
      </w:pPr>
      <w:r w:rsidRPr="002029AF">
        <w:rPr>
          <w:i/>
          <w:iCs/>
        </w:rPr>
        <w:t>Wungurilwil Gapgapduir</w:t>
      </w:r>
      <w:r w:rsidR="00D8303B">
        <w:rPr>
          <w:i/>
          <w:iCs/>
        </w:rPr>
        <w:t>:</w:t>
      </w:r>
      <w:r w:rsidR="00020FE5">
        <w:rPr>
          <w:i/>
          <w:iCs/>
        </w:rPr>
        <w:t xml:space="preserve"> </w:t>
      </w:r>
      <w:r w:rsidR="00D8303B" w:rsidRPr="001D75D0">
        <w:rPr>
          <w:i/>
          <w:iCs/>
        </w:rPr>
        <w:t>Aboriginal Children and Families Agreement</w:t>
      </w:r>
      <w:r w:rsidR="00D8303B" w:rsidRPr="002029AF">
        <w:t xml:space="preserve"> </w:t>
      </w:r>
      <w:r w:rsidR="00D8303B" w:rsidRPr="007C1719">
        <w:rPr>
          <w:i/>
          <w:iCs/>
        </w:rPr>
        <w:t>and Strategic Action Plan</w:t>
      </w:r>
      <w:r w:rsidRPr="002029AF">
        <w:t xml:space="preserve"> continues to serve as a</w:t>
      </w:r>
      <w:r w:rsidR="00121533">
        <w:t> </w:t>
      </w:r>
      <w:r w:rsidRPr="002029AF">
        <w:t>landmark partnership between the Aboriginal community, government and community services organisations to commit to better outcomes for Aboriginal children and young people.</w:t>
      </w:r>
    </w:p>
    <w:p w14:paraId="3C0483E1" w14:textId="3E18DD7C" w:rsidR="00603E4B" w:rsidRPr="002029AF" w:rsidRDefault="00603E4B" w:rsidP="00603E4B">
      <w:pPr>
        <w:pStyle w:val="ARbody"/>
      </w:pPr>
      <w:r w:rsidRPr="002029AF">
        <w:rPr>
          <w:i/>
          <w:iCs/>
        </w:rPr>
        <w:t>Wungurilwil Gapgapduir</w:t>
      </w:r>
      <w:r w:rsidR="001D75D0">
        <w:rPr>
          <w:i/>
          <w:iCs/>
        </w:rPr>
        <w:t xml:space="preserve">, </w:t>
      </w:r>
      <w:r w:rsidR="001D75D0" w:rsidRPr="001D75D0">
        <w:t>which</w:t>
      </w:r>
      <w:r w:rsidRPr="002029AF">
        <w:t xml:space="preserve"> means ‘strong families’ in Latji, was developed in consultation with the Aboriginal community, as well as with the input of Aboriginal services and key mainstream child service organisations. The strategic action plan details the steps which the sector needs to take in addressing the over-representation of Aboriginal children and young people in the child protection and out-of-home care systems.</w:t>
      </w:r>
    </w:p>
    <w:p w14:paraId="14442E0D" w14:textId="77777777" w:rsidR="00603E4B" w:rsidRPr="002029AF" w:rsidRDefault="00603E4B" w:rsidP="00603E4B">
      <w:pPr>
        <w:pStyle w:val="ARbody"/>
      </w:pPr>
      <w:r w:rsidRPr="002029AF">
        <w:rPr>
          <w:i/>
          <w:iCs/>
        </w:rPr>
        <w:t>Wungurilwil Gapgapduir</w:t>
      </w:r>
      <w:r w:rsidRPr="002029AF">
        <w:t xml:space="preserve"> is guided by the Victorian Government’s vision to increase Aboriginal self-determination for Aboriginal people and to ensure that all Aboriginal children and young people are safe, resilient and can thrive in culturally rich and strong Aboriginal families and communities.</w:t>
      </w:r>
    </w:p>
    <w:p w14:paraId="16A75E00" w14:textId="70D1DAB3" w:rsidR="00603E4B" w:rsidRPr="002029AF" w:rsidRDefault="00603E4B" w:rsidP="00603E4B">
      <w:pPr>
        <w:pStyle w:val="ARbody"/>
      </w:pPr>
      <w:r w:rsidRPr="002029AF">
        <w:t xml:space="preserve">Key achievements of </w:t>
      </w:r>
      <w:r w:rsidRPr="002029AF">
        <w:rPr>
          <w:i/>
          <w:iCs/>
        </w:rPr>
        <w:t xml:space="preserve">Wungurilwil Gapgapduir: </w:t>
      </w:r>
      <w:r w:rsidR="001D75D0" w:rsidRPr="004F63A1">
        <w:t>include around 50 per cent of</w:t>
      </w:r>
      <w:r w:rsidR="00121533">
        <w:t> </w:t>
      </w:r>
      <w:r w:rsidR="001D75D0" w:rsidRPr="004F63A1">
        <w:t>Aboriginal children</w:t>
      </w:r>
      <w:r w:rsidR="001D75D0" w:rsidRPr="00B032FB">
        <w:t xml:space="preserve"> now being</w:t>
      </w:r>
      <w:r w:rsidR="001D75D0" w:rsidRPr="004F63A1">
        <w:t xml:space="preserve"> case managed by an </w:t>
      </w:r>
      <w:r w:rsidR="001D75D0" w:rsidRPr="00B032FB">
        <w:t xml:space="preserve">Aboriginal </w:t>
      </w:r>
      <w:r w:rsidR="001D75D0">
        <w:t>c</w:t>
      </w:r>
      <w:r w:rsidR="001D75D0" w:rsidRPr="00B032FB">
        <w:t>ommunity</w:t>
      </w:r>
      <w:r w:rsidR="001D75D0">
        <w:t>-c</w:t>
      </w:r>
      <w:r w:rsidR="001D75D0" w:rsidRPr="00E51B71">
        <w:t xml:space="preserve">ontrolled </w:t>
      </w:r>
      <w:r w:rsidR="001D75D0">
        <w:t>o</w:t>
      </w:r>
      <w:r w:rsidR="001D75D0" w:rsidRPr="00B032FB">
        <w:t>rganisation</w:t>
      </w:r>
      <w:r w:rsidR="001D75D0">
        <w:t xml:space="preserve"> (ACCO)</w:t>
      </w:r>
      <w:r w:rsidR="001D75D0" w:rsidRPr="004F63A1">
        <w:t xml:space="preserve"> and two ACCOs fully authorised to undertake powers and functions</w:t>
      </w:r>
      <w:r w:rsidR="001D75D0" w:rsidRPr="002029AF">
        <w:t xml:space="preserve"> usually undertaken</w:t>
      </w:r>
      <w:r w:rsidR="00121533">
        <w:t> </w:t>
      </w:r>
      <w:r w:rsidR="001D75D0" w:rsidRPr="002029AF">
        <w:t>by the Secretary.</w:t>
      </w:r>
    </w:p>
    <w:p w14:paraId="2DCDDF19" w14:textId="77777777" w:rsidR="00603E4B" w:rsidRPr="002029AF" w:rsidRDefault="00603E4B" w:rsidP="00603E4B">
      <w:pPr>
        <w:pStyle w:val="Heading6"/>
        <w:rPr>
          <w:lang w:val="en-AU"/>
        </w:rPr>
      </w:pPr>
      <w:r w:rsidRPr="002029AF">
        <w:rPr>
          <w:lang w:val="en-AU"/>
        </w:rPr>
        <w:t>The Aboriginal Children’s Forum</w:t>
      </w:r>
    </w:p>
    <w:p w14:paraId="4DF4854B" w14:textId="3F1C84AC" w:rsidR="00603E4B" w:rsidRPr="002029AF" w:rsidRDefault="00603E4B" w:rsidP="00603E4B">
      <w:pPr>
        <w:pStyle w:val="ARbody"/>
      </w:pPr>
      <w:r w:rsidRPr="002029AF">
        <w:t>The Aboriginal Children’s Forum works to give</w:t>
      </w:r>
      <w:r w:rsidR="00121533">
        <w:t> </w:t>
      </w:r>
      <w:r w:rsidRPr="002029AF">
        <w:t>practical effect to the implementation and</w:t>
      </w:r>
      <w:r w:rsidR="00121533">
        <w:t> </w:t>
      </w:r>
      <w:r w:rsidRPr="002029AF">
        <w:t xml:space="preserve">monitoring of the </w:t>
      </w:r>
      <w:r w:rsidRPr="002029AF">
        <w:rPr>
          <w:i/>
          <w:iCs/>
        </w:rPr>
        <w:t>Wungurilwil Gapgapduir</w:t>
      </w:r>
      <w:r w:rsidRPr="002029AF">
        <w:t xml:space="preserve"> to</w:t>
      </w:r>
      <w:r w:rsidR="00121533">
        <w:t> </w:t>
      </w:r>
      <w:r w:rsidRPr="002029AF">
        <w:t>promote the safety, health and resilience of vulnerable Aboriginal children and young people.</w:t>
      </w:r>
    </w:p>
    <w:p w14:paraId="38AA6577" w14:textId="0253E928" w:rsidR="00603E4B" w:rsidRPr="002029AF" w:rsidRDefault="00603E4B" w:rsidP="00603E4B">
      <w:pPr>
        <w:pStyle w:val="ARbody"/>
      </w:pPr>
      <w:r w:rsidRPr="002029AF">
        <w:t>Its key role is to eliminate the over-representation of Aboriginal children in child protection and out</w:t>
      </w:r>
      <w:r w:rsidR="006D0CAA" w:rsidRPr="002029AF">
        <w:t>-</w:t>
      </w:r>
      <w:r w:rsidRPr="002029AF">
        <w:t>of</w:t>
      </w:r>
      <w:r w:rsidR="006D0CAA" w:rsidRPr="002029AF">
        <w:t>-</w:t>
      </w:r>
      <w:r w:rsidRPr="002029AF">
        <w:t xml:space="preserve"> home care and reduce the number that progress to the youth justice system.</w:t>
      </w:r>
    </w:p>
    <w:p w14:paraId="7C034A30" w14:textId="77777777" w:rsidR="00603E4B" w:rsidRPr="002029AF" w:rsidRDefault="00603E4B" w:rsidP="00603E4B">
      <w:pPr>
        <w:pStyle w:val="ARbody"/>
      </w:pPr>
      <w:r w:rsidRPr="002029AF">
        <w:t>As a part of self-determination, the Aboriginal Children’s Forum supports Aboriginal organisations to successfully transition the authority and services for all Aboriginal children to Aboriginal organisations.</w:t>
      </w:r>
    </w:p>
    <w:p w14:paraId="254209FA" w14:textId="5351CB8C" w:rsidR="00603E4B" w:rsidRPr="002029AF" w:rsidRDefault="00603E4B" w:rsidP="00603E4B">
      <w:pPr>
        <w:pStyle w:val="ARbody"/>
      </w:pPr>
      <w:r w:rsidRPr="002029AF">
        <w:t xml:space="preserve">It helps support Aboriginal children and young people leaving statutory systems to reconnect with family and </w:t>
      </w:r>
      <w:r w:rsidR="00B65EA8" w:rsidRPr="002029AF">
        <w:t>community and</w:t>
      </w:r>
      <w:r w:rsidRPr="002029AF">
        <w:t xml:space="preserve"> provide a sustained Aboriginal community-based prevention and early intervention system to respond to vulnerability as and when it arises.</w:t>
      </w:r>
    </w:p>
    <w:p w14:paraId="71857D15" w14:textId="77777777" w:rsidR="00603E4B" w:rsidRPr="002029AF" w:rsidRDefault="00603E4B" w:rsidP="00603E4B">
      <w:pPr>
        <w:pStyle w:val="ARbody"/>
      </w:pPr>
      <w:r w:rsidRPr="002029AF">
        <w:t>It works to reform the child and family services system to address systemic racism and individual and institutional bias and build culturally sensitive practice within mainstream services.</w:t>
      </w:r>
    </w:p>
    <w:p w14:paraId="5CE3E90F" w14:textId="40F6E096" w:rsidR="003C6F78" w:rsidRDefault="00603E4B" w:rsidP="00603E4B">
      <w:pPr>
        <w:pStyle w:val="ARbody"/>
      </w:pPr>
      <w:r w:rsidRPr="002029AF">
        <w:t xml:space="preserve">The Forum was established as a part of Victoria’s commitment to Aboriginal self-determination, under the </w:t>
      </w:r>
      <w:r w:rsidRPr="00BA07B9">
        <w:rPr>
          <w:i/>
          <w:iCs/>
        </w:rPr>
        <w:t>Victorian Aboriginal Affairs Framework</w:t>
      </w:r>
      <w:r w:rsidR="0099002E" w:rsidRPr="00BA07B9">
        <w:rPr>
          <w:i/>
          <w:iCs/>
        </w:rPr>
        <w:t xml:space="preserve"> 2018</w:t>
      </w:r>
      <w:r w:rsidR="00020FE5">
        <w:rPr>
          <w:i/>
          <w:iCs/>
        </w:rPr>
        <w:t>–</w:t>
      </w:r>
      <w:r w:rsidR="0099002E" w:rsidRPr="00BA07B9">
        <w:rPr>
          <w:i/>
          <w:iCs/>
        </w:rPr>
        <w:t>2023</w:t>
      </w:r>
      <w:r w:rsidR="00A4246E">
        <w:t>.</w:t>
      </w:r>
    </w:p>
    <w:p w14:paraId="65AEBD39" w14:textId="23430357" w:rsidR="001D75D0" w:rsidRPr="002029AF" w:rsidRDefault="001D75D0" w:rsidP="001D75D0">
      <w:pPr>
        <w:pStyle w:val="Heading6"/>
        <w:rPr>
          <w:lang w:val="en-AU"/>
        </w:rPr>
      </w:pPr>
      <w:r w:rsidRPr="002029AF">
        <w:rPr>
          <w:lang w:val="en-AU"/>
        </w:rPr>
        <w:t xml:space="preserve">Family </w:t>
      </w:r>
      <w:r>
        <w:rPr>
          <w:lang w:val="en-AU"/>
        </w:rPr>
        <w:t>s</w:t>
      </w:r>
      <w:r w:rsidRPr="002029AF">
        <w:rPr>
          <w:lang w:val="en-AU"/>
        </w:rPr>
        <w:t xml:space="preserve">ervices </w:t>
      </w:r>
      <w:r>
        <w:rPr>
          <w:lang w:val="en-AU"/>
        </w:rPr>
        <w:t>e</w:t>
      </w:r>
      <w:r w:rsidRPr="002029AF">
        <w:rPr>
          <w:lang w:val="en-AU"/>
        </w:rPr>
        <w:t>vidence</w:t>
      </w:r>
      <w:r>
        <w:rPr>
          <w:lang w:val="en-AU"/>
        </w:rPr>
        <w:t>-b</w:t>
      </w:r>
      <w:r w:rsidRPr="002029AF">
        <w:rPr>
          <w:lang w:val="en-AU"/>
        </w:rPr>
        <w:t xml:space="preserve">ased </w:t>
      </w:r>
      <w:r>
        <w:rPr>
          <w:lang w:val="en-AU"/>
        </w:rPr>
        <w:t>p</w:t>
      </w:r>
      <w:r w:rsidRPr="002029AF">
        <w:rPr>
          <w:lang w:val="en-AU"/>
        </w:rPr>
        <w:t>rogram trials</w:t>
      </w:r>
    </w:p>
    <w:p w14:paraId="7B9E1ACE" w14:textId="5A7B5624" w:rsidR="001D75D0" w:rsidRPr="002029AF" w:rsidRDefault="001D75D0" w:rsidP="001D75D0">
      <w:pPr>
        <w:pStyle w:val="ARbody"/>
      </w:pPr>
      <w:r w:rsidRPr="002029AF">
        <w:t>Throughout 2019–20 the department continued its</w:t>
      </w:r>
      <w:r w:rsidR="00121533">
        <w:t> </w:t>
      </w:r>
      <w:r w:rsidRPr="002029AF">
        <w:t xml:space="preserve">trial of evidence-based programs in </w:t>
      </w:r>
      <w:r>
        <w:t>f</w:t>
      </w:r>
      <w:r w:rsidRPr="002029AF">
        <w:t xml:space="preserve">amily </w:t>
      </w:r>
      <w:r>
        <w:t>s</w:t>
      </w:r>
      <w:r w:rsidRPr="002029AF">
        <w:t>ervices, initially funded as part of a $101.7 million investment by the Victorian Government into family services and early intervention programs over 2018–19 and 2019–20. This initiative includes trialling a range of programs focused on preventing entry into care, including Multisystemic Therapy (Psych</w:t>
      </w:r>
      <w:r>
        <w:t>ology</w:t>
      </w:r>
      <w:r w:rsidRPr="002029AF">
        <w:t>) and Functional Family Therapy (Child</w:t>
      </w:r>
      <w:r w:rsidR="00121533">
        <w:t> </w:t>
      </w:r>
      <w:r w:rsidRPr="002029AF">
        <w:t>Welfare).</w:t>
      </w:r>
    </w:p>
    <w:p w14:paraId="50A05BAC" w14:textId="77777777" w:rsidR="00C77EDB" w:rsidRDefault="00C77EDB" w:rsidP="00C77EDB">
      <w:pPr>
        <w:pStyle w:val="ARbody"/>
      </w:pPr>
      <w:r>
        <w:br w:type="page"/>
      </w:r>
    </w:p>
    <w:p w14:paraId="4DB35F6C" w14:textId="70F3B62A" w:rsidR="00603E4B" w:rsidRPr="002029AF" w:rsidRDefault="00603E4B" w:rsidP="00603E4B">
      <w:pPr>
        <w:pStyle w:val="Heading6"/>
        <w:rPr>
          <w:lang w:val="en-AU"/>
        </w:rPr>
      </w:pPr>
      <w:r w:rsidRPr="002029AF">
        <w:rPr>
          <w:lang w:val="en-AU"/>
        </w:rPr>
        <w:lastRenderedPageBreak/>
        <w:t>Supporting vulnerable children at risk through the coronavirus (COVID-19) pandemic</w:t>
      </w:r>
    </w:p>
    <w:p w14:paraId="5EF0BC86" w14:textId="77777777" w:rsidR="004E6007" w:rsidRPr="002029AF" w:rsidRDefault="004E6007" w:rsidP="004E6007">
      <w:pPr>
        <w:pStyle w:val="ARbody"/>
      </w:pPr>
      <w:r w:rsidRPr="002029AF">
        <w:t xml:space="preserve">In response to the coronavirus (COVID-19) pandemic, the Victorian Government announced $77.5 million over two years for children and families, including $46.2 million over two years to immediately build capacity of family services to provide outreach support to the most vulnerable children and families during the coronavirus pandemic. This included $6.6 million in flexible funding to assist families cope with pandemic response restrictions by helping families to access things </w:t>
      </w:r>
      <w:r>
        <w:t>such as</w:t>
      </w:r>
      <w:r w:rsidRPr="002029AF">
        <w:t xml:space="preserve"> immunisation, childcare, kinder and school, while also supporting families with practical coping strategies and video conferencing technology to stay connected while ‘stay-at-home’ restrictions are in place.</w:t>
      </w:r>
    </w:p>
    <w:p w14:paraId="547D429C" w14:textId="7FEE7F37" w:rsidR="004E6007" w:rsidRPr="002029AF" w:rsidRDefault="00A7441F" w:rsidP="004E6007">
      <w:pPr>
        <w:pStyle w:val="ARbody"/>
      </w:pPr>
      <w:r>
        <w:t xml:space="preserve">An additional </w:t>
      </w:r>
      <w:r w:rsidR="004E6007" w:rsidRPr="002029AF">
        <w:t>$39.6 million was provided to support the delivery of intensive, evidence-based and therapeutic supports aimed at supporting vulnerable children to stay home with their family, through the delivery of the Victorian and Aboriginal Family Preservation Response. Building on the trial of evidence-based programs in family services and</w:t>
      </w:r>
      <w:r w:rsidR="00121533">
        <w:t> </w:t>
      </w:r>
      <w:r w:rsidR="004E6007" w:rsidRPr="002029AF">
        <w:t>the Common Elements Approach, it seeks to further embed evidence-informed and culturally safe practice through the establishment and delivery of new Victorian Family Preservation and Reunification practice modules, including Aboriginal practice cultural elements. These modules can be used flexibly by practitioners to meet the needs of children and families.</w:t>
      </w:r>
    </w:p>
    <w:p w14:paraId="64714405" w14:textId="4A3756A0" w:rsidR="004E6007" w:rsidRPr="002029AF" w:rsidRDefault="004E6007" w:rsidP="004E6007">
      <w:pPr>
        <w:pStyle w:val="ARbody"/>
      </w:pPr>
      <w:r>
        <w:t xml:space="preserve">The Response </w:t>
      </w:r>
      <w:r w:rsidRPr="002029AF">
        <w:t>was developed in collaboration with</w:t>
      </w:r>
      <w:r w:rsidR="00121533">
        <w:t> </w:t>
      </w:r>
      <w:r w:rsidRPr="002029AF">
        <w:t>the sector and members of the Roadmap Implementation Ministerial Advisory Group and the Aboriginal Children’s Forum, through a series of rapid co-design sprints between April</w:t>
      </w:r>
      <w:r>
        <w:t xml:space="preserve"> and </w:t>
      </w:r>
      <w:r w:rsidRPr="002029AF">
        <w:t xml:space="preserve">May 2020. </w:t>
      </w:r>
      <w:r w:rsidRPr="00187FF5">
        <w:t>It</w:t>
      </w:r>
      <w:r w:rsidRPr="002029AF">
        <w:t xml:space="preserve"> will be delivered across the state and aims</w:t>
      </w:r>
      <w:r w:rsidR="00121533">
        <w:t> </w:t>
      </w:r>
      <w:r w:rsidRPr="002029AF">
        <w:t>to develop a new way of working with Child</w:t>
      </w:r>
      <w:r w:rsidR="00121533">
        <w:t> </w:t>
      </w:r>
      <w:r w:rsidRPr="002029AF">
        <w:t>Protection to support families during the coronavirus</w:t>
      </w:r>
      <w:r>
        <w:t xml:space="preserve"> (COVID-19)</w:t>
      </w:r>
      <w:r w:rsidRPr="002029AF">
        <w:t xml:space="preserve"> pandemic to prevent children from entering care or to safely reunify families. An Aboriginal Response is to be implemented in each of the department’s operational divisions.</w:t>
      </w:r>
    </w:p>
    <w:p w14:paraId="4A84DE88" w14:textId="4B17788A" w:rsidR="00603E4B" w:rsidRPr="002029AF" w:rsidRDefault="004E6007" w:rsidP="00603E4B">
      <w:pPr>
        <w:pStyle w:val="ARbody"/>
      </w:pPr>
      <w:r w:rsidRPr="002029AF">
        <w:t>Further, to address</w:t>
      </w:r>
      <w:r>
        <w:t xml:space="preserve"> the</w:t>
      </w:r>
      <w:r w:rsidRPr="002029AF">
        <w:t xml:space="preserve"> risk and safety concerns of</w:t>
      </w:r>
      <w:r w:rsidR="00121533">
        <w:t> </w:t>
      </w:r>
      <w:r w:rsidRPr="002029AF">
        <w:t>children and young people in residential care, more than $15 million has been provided over two</w:t>
      </w:r>
      <w:r w:rsidR="00121533">
        <w:t> </w:t>
      </w:r>
      <w:r w:rsidRPr="002029AF">
        <w:t>years to keep families and children safe. This</w:t>
      </w:r>
      <w:r w:rsidR="00121533">
        <w:t> </w:t>
      </w:r>
      <w:r w:rsidRPr="002029AF">
        <w:t xml:space="preserve">investment enables the establishment of </w:t>
      </w:r>
      <w:r w:rsidRPr="002029AF">
        <w:t xml:space="preserve">emergency placements for young people who are required to self-isolate or are displaying complex behaviours as a result of coronavirus (COVID-19). This investment also supports extra staffing capacity and workplace safety measures in residential care homes. In addition, funding has been provided to </w:t>
      </w:r>
      <w:r w:rsidRPr="00E15EB4">
        <w:t>clean and disinfect properties so as to reduce the risk of coronavirus (COVID-19) transmission in all residential care services</w:t>
      </w:r>
      <w:r w:rsidRPr="00B032FB">
        <w:t>.</w:t>
      </w:r>
      <w:r w:rsidRPr="00E15EB4">
        <w:t xml:space="preserve"> </w:t>
      </w:r>
      <w:r w:rsidRPr="00B032FB">
        <w:t xml:space="preserve">This will </w:t>
      </w:r>
      <w:r w:rsidRPr="00E15EB4">
        <w:t>protect the children and young people</w:t>
      </w:r>
      <w:r>
        <w:t xml:space="preserve"> in these services</w:t>
      </w:r>
      <w:r w:rsidRPr="00E15EB4">
        <w:t xml:space="preserve"> and the staff who continue to care for them.</w:t>
      </w:r>
    </w:p>
    <w:p w14:paraId="6659F579" w14:textId="737A2E6E" w:rsidR="00603E4B" w:rsidRPr="002029AF" w:rsidRDefault="00603E4B" w:rsidP="00603E4B">
      <w:pPr>
        <w:pStyle w:val="Heading5"/>
        <w:rPr>
          <w:rFonts w:eastAsia="Calibri"/>
        </w:rPr>
      </w:pPr>
      <w:r w:rsidRPr="002029AF">
        <w:rPr>
          <w:rFonts w:eastAsia="Calibri"/>
        </w:rPr>
        <w:t>Key result 15: Reduce the number of children in out-of-home care who live in</w:t>
      </w:r>
      <w:r w:rsidR="00121533">
        <w:rPr>
          <w:rFonts w:eastAsia="Calibri"/>
        </w:rPr>
        <w:t> </w:t>
      </w:r>
      <w:r w:rsidRPr="002029AF">
        <w:rPr>
          <w:rFonts w:eastAsia="Calibri"/>
        </w:rPr>
        <w:t>residential care</w:t>
      </w:r>
    </w:p>
    <w:p w14:paraId="242B1CA5" w14:textId="034C6715" w:rsidR="00603E4B" w:rsidRPr="002029AF" w:rsidRDefault="00603E4B" w:rsidP="00603E4B">
      <w:pPr>
        <w:pStyle w:val="Heading6"/>
        <w:rPr>
          <w:lang w:val="en-AU"/>
        </w:rPr>
      </w:pPr>
      <w:r w:rsidRPr="002029AF">
        <w:rPr>
          <w:lang w:val="en-AU"/>
        </w:rPr>
        <w:t>Strengthen home-based care and support for</w:t>
      </w:r>
      <w:r w:rsidR="00121533">
        <w:rPr>
          <w:lang w:val="en-AU"/>
        </w:rPr>
        <w:t> </w:t>
      </w:r>
      <w:r w:rsidRPr="002029AF">
        <w:rPr>
          <w:lang w:val="en-AU"/>
        </w:rPr>
        <w:t>carers</w:t>
      </w:r>
    </w:p>
    <w:p w14:paraId="24F698D2" w14:textId="77777777" w:rsidR="00603E4B" w:rsidRPr="002029AF" w:rsidRDefault="00603E4B" w:rsidP="00603E4B">
      <w:pPr>
        <w:pStyle w:val="ARbody"/>
      </w:pPr>
      <w:r w:rsidRPr="002029AF">
        <w:t xml:space="preserve">In October 2019, following close consultation with key stakeholders, the department launched </w:t>
      </w:r>
      <w:r w:rsidRPr="002029AF">
        <w:rPr>
          <w:i/>
        </w:rPr>
        <w:t>Strong carers, stronger children,</w:t>
      </w:r>
      <w:r w:rsidRPr="002029AF">
        <w:t xml:space="preserve"> Victoria’s strategy to support kinship, foster and permanent carers.</w:t>
      </w:r>
    </w:p>
    <w:p w14:paraId="23517094" w14:textId="77777777" w:rsidR="00603E4B" w:rsidRPr="002029AF" w:rsidRDefault="00603E4B" w:rsidP="00121533">
      <w:pPr>
        <w:pStyle w:val="ARbody"/>
        <w:keepNext/>
      </w:pPr>
      <w:r w:rsidRPr="002029AF">
        <w:rPr>
          <w:i/>
          <w:iCs/>
        </w:rPr>
        <w:t>Strong carers, stronger children</w:t>
      </w:r>
      <w:r w:rsidRPr="002029AF">
        <w:t xml:space="preserve"> commits to:</w:t>
      </w:r>
    </w:p>
    <w:p w14:paraId="0658B1C4" w14:textId="1162CF5C" w:rsidR="00603E4B" w:rsidRPr="002029AF" w:rsidRDefault="00603E4B" w:rsidP="00FF3CAB">
      <w:pPr>
        <w:pStyle w:val="ARbullet1"/>
        <w:numPr>
          <w:ilvl w:val="0"/>
          <w:numId w:val="51"/>
        </w:numPr>
      </w:pPr>
      <w:r w:rsidRPr="002029AF">
        <w:t>maintaining children and young people’s connection to family where possible, and finding</w:t>
      </w:r>
      <w:r w:rsidR="00121533">
        <w:t> </w:t>
      </w:r>
      <w:r w:rsidRPr="002029AF">
        <w:t>appropriate care arrangements</w:t>
      </w:r>
    </w:p>
    <w:p w14:paraId="13A85112" w14:textId="6ECB8323" w:rsidR="00603E4B" w:rsidRPr="002029AF" w:rsidRDefault="00603E4B" w:rsidP="00FF3CAB">
      <w:pPr>
        <w:pStyle w:val="ARbullet1"/>
        <w:numPr>
          <w:ilvl w:val="0"/>
          <w:numId w:val="51"/>
        </w:numPr>
      </w:pPr>
      <w:r w:rsidRPr="002029AF">
        <w:t>ensuring carers are adequately prepared to</w:t>
      </w:r>
      <w:r w:rsidR="00121533">
        <w:t> </w:t>
      </w:r>
      <w:r w:rsidRPr="002029AF">
        <w:t>support the children they care for</w:t>
      </w:r>
    </w:p>
    <w:p w14:paraId="3B3AE11A" w14:textId="1BA02282" w:rsidR="00603E4B" w:rsidRPr="002029AF" w:rsidRDefault="00603E4B" w:rsidP="00FF3CAB">
      <w:pPr>
        <w:pStyle w:val="ARbullet1"/>
        <w:numPr>
          <w:ilvl w:val="0"/>
          <w:numId w:val="51"/>
        </w:numPr>
      </w:pPr>
      <w:r w:rsidRPr="002029AF">
        <w:t>ensuring carers are well-informed, valued and</w:t>
      </w:r>
      <w:r w:rsidR="00121533">
        <w:t> </w:t>
      </w:r>
      <w:r w:rsidRPr="002029AF">
        <w:t>empowered</w:t>
      </w:r>
    </w:p>
    <w:p w14:paraId="5CDA79CF" w14:textId="60417C5D" w:rsidR="00603E4B" w:rsidRPr="002029AF" w:rsidRDefault="00603E4B" w:rsidP="00FF3CAB">
      <w:pPr>
        <w:pStyle w:val="ARbullet1"/>
        <w:numPr>
          <w:ilvl w:val="0"/>
          <w:numId w:val="51"/>
        </w:numPr>
      </w:pPr>
      <w:r w:rsidRPr="002029AF">
        <w:t>providing relevant and timely training to enable</w:t>
      </w:r>
      <w:r w:rsidR="00121533">
        <w:t> </w:t>
      </w:r>
      <w:r w:rsidRPr="002029AF">
        <w:t>carers to provide safe, stable, quality and</w:t>
      </w:r>
      <w:r w:rsidR="00121533">
        <w:t> </w:t>
      </w:r>
      <w:r w:rsidRPr="002029AF">
        <w:t>culturally connected care</w:t>
      </w:r>
    </w:p>
    <w:p w14:paraId="447FF276" w14:textId="5F91F6F0" w:rsidR="00603E4B" w:rsidRPr="002029AF" w:rsidRDefault="00603E4B" w:rsidP="00FF3CAB">
      <w:pPr>
        <w:pStyle w:val="ARbullet1"/>
        <w:numPr>
          <w:ilvl w:val="0"/>
          <w:numId w:val="51"/>
        </w:numPr>
      </w:pPr>
      <w:r w:rsidRPr="002029AF">
        <w:t>enhancing and improving the supports and</w:t>
      </w:r>
      <w:r w:rsidR="00121533">
        <w:t> </w:t>
      </w:r>
      <w:r w:rsidRPr="002029AF">
        <w:t>systems available to carers</w:t>
      </w:r>
    </w:p>
    <w:p w14:paraId="7B8560CC" w14:textId="0489D2AE" w:rsidR="00603E4B" w:rsidRPr="002029AF" w:rsidRDefault="00603E4B" w:rsidP="00FF3CAB">
      <w:pPr>
        <w:pStyle w:val="ARbullet1"/>
        <w:numPr>
          <w:ilvl w:val="0"/>
          <w:numId w:val="51"/>
        </w:numPr>
      </w:pPr>
      <w:r w:rsidRPr="002029AF">
        <w:t>facilitating long-term stability for children and</w:t>
      </w:r>
      <w:r w:rsidR="00121533">
        <w:t> </w:t>
      </w:r>
      <w:r w:rsidRPr="002029AF">
        <w:t>young people in care.</w:t>
      </w:r>
    </w:p>
    <w:p w14:paraId="46DF5A56" w14:textId="676CFACF" w:rsidR="00603E4B" w:rsidRPr="002029AF" w:rsidRDefault="00603E4B" w:rsidP="00603E4B">
      <w:pPr>
        <w:pStyle w:val="ARbodyafterbullets"/>
      </w:pPr>
      <w:r w:rsidRPr="002029AF">
        <w:rPr>
          <w:i/>
        </w:rPr>
        <w:t>Strong carers, stronger children</w:t>
      </w:r>
      <w:r w:rsidRPr="002029AF">
        <w:t> </w:t>
      </w:r>
      <w:r w:rsidR="00871146" w:rsidRPr="002029AF">
        <w:t>articulate</w:t>
      </w:r>
      <w:r w:rsidR="004E0E1B">
        <w:t>s</w:t>
      </w:r>
      <w:r w:rsidRPr="002029AF">
        <w:t xml:space="preserve"> a vision for the future where carers are supported and empowered to better respond to the changing needs of children and young people in care.</w:t>
      </w:r>
    </w:p>
    <w:p w14:paraId="22DD1603" w14:textId="77777777" w:rsidR="00C77EDB" w:rsidRDefault="00603E4B" w:rsidP="00603E4B">
      <w:pPr>
        <w:pStyle w:val="ARbody"/>
      </w:pPr>
      <w:r w:rsidRPr="002029AF">
        <w:rPr>
          <w:i/>
          <w:iCs/>
          <w:shd w:val="clear" w:color="auto" w:fill="FFFFFF"/>
        </w:rPr>
        <w:t>Strong carers, stronger children</w:t>
      </w:r>
      <w:r w:rsidRPr="002029AF">
        <w:rPr>
          <w:shd w:val="clear" w:color="auto" w:fill="FFFFFF"/>
        </w:rPr>
        <w:t xml:space="preserve"> will be implemented over the next five years to 2025 </w:t>
      </w:r>
      <w:r w:rsidRPr="00552FF8">
        <w:rPr>
          <w:shd w:val="clear" w:color="auto" w:fill="FFFFFF"/>
        </w:rPr>
        <w:t>through a series of three rolling action plans at fixed</w:t>
      </w:r>
      <w:r w:rsidRPr="002029AF">
        <w:rPr>
          <w:shd w:val="clear" w:color="auto" w:fill="FFFFFF"/>
        </w:rPr>
        <w:t xml:space="preserve"> intervals of 12 to 18 months. </w:t>
      </w:r>
      <w:r w:rsidRPr="002029AF">
        <w:t xml:space="preserve">It will guide and inform the future direction of home-based care, consistent with a reformed children and family service system detailed under the </w:t>
      </w:r>
      <w:r w:rsidRPr="002029AF">
        <w:rPr>
          <w:i/>
        </w:rPr>
        <w:t>Roadmap for Reform</w:t>
      </w:r>
      <w:r w:rsidRPr="002029AF">
        <w:t>.</w:t>
      </w:r>
    </w:p>
    <w:p w14:paraId="5CDC04D3" w14:textId="16144664" w:rsidR="00C77EDB" w:rsidRDefault="00C77EDB" w:rsidP="00603E4B">
      <w:pPr>
        <w:pStyle w:val="ARbody"/>
        <w:sectPr w:rsidR="00C77EDB" w:rsidSect="00B45A1D">
          <w:headerReference w:type="even" r:id="rId89"/>
          <w:headerReference w:type="default" r:id="rId90"/>
          <w:headerReference w:type="first" r:id="rId91"/>
          <w:footerReference w:type="first" r:id="rId92"/>
          <w:footnotePr>
            <w:numFmt w:val="chicago"/>
            <w:numRestart w:val="eachPage"/>
          </w:footnotePr>
          <w:endnotePr>
            <w:numFmt w:val="decimal"/>
          </w:endnotePr>
          <w:type w:val="continuous"/>
          <w:pgSz w:w="11900" w:h="16840" w:code="9"/>
          <w:pgMar w:top="1985" w:right="851" w:bottom="851" w:left="1418" w:header="510" w:footer="340" w:gutter="0"/>
          <w:cols w:num="2" w:space="454"/>
          <w15:footnoteColumns w:val="1"/>
        </w:sectPr>
      </w:pPr>
    </w:p>
    <w:p w14:paraId="7458E08B" w14:textId="15D359FF" w:rsidR="00603E4B" w:rsidRPr="002029AF" w:rsidRDefault="00603E4B" w:rsidP="00C77EDB">
      <w:pPr>
        <w:pStyle w:val="Heading6"/>
        <w:spacing w:before="0"/>
        <w:rPr>
          <w:lang w:val="en-AU"/>
        </w:rPr>
      </w:pPr>
      <w:r w:rsidRPr="002029AF">
        <w:rPr>
          <w:lang w:val="en-AU"/>
        </w:rPr>
        <w:lastRenderedPageBreak/>
        <w:t>Recognise and support carers through the</w:t>
      </w:r>
      <w:r w:rsidR="00121533">
        <w:rPr>
          <w:lang w:val="en-AU"/>
        </w:rPr>
        <w:t> </w:t>
      </w:r>
      <w:r w:rsidRPr="002029AF">
        <w:rPr>
          <w:lang w:val="en-AU"/>
        </w:rPr>
        <w:t>coronavirus (COVID-19) pandemic</w:t>
      </w:r>
    </w:p>
    <w:p w14:paraId="10AB202C" w14:textId="3DCF8BBD" w:rsidR="00603E4B" w:rsidRPr="002029AF" w:rsidRDefault="00603E4B" w:rsidP="00603E4B">
      <w:pPr>
        <w:pStyle w:val="ARbody"/>
      </w:pPr>
      <w:r w:rsidRPr="002029AF">
        <w:t>In response to the coronavirus (COVID-19) pandemic, the Victorian Government provided a</w:t>
      </w:r>
      <w:r w:rsidR="00121533">
        <w:t> </w:t>
      </w:r>
      <w:r w:rsidRPr="002029AF">
        <w:t>one-off $600 payment to foster and kinship carers</w:t>
      </w:r>
      <w:r w:rsidR="00121533">
        <w:t> </w:t>
      </w:r>
      <w:r w:rsidRPr="002029AF">
        <w:t>for every child they care for. The payment acknowledges the important role these carers play in caring for some of our state’s most in-need children and the additional challenges they face in response to the coronavirus (COVID-19) pandemic. In addition, flexible brokerage funds were increased for permanent carers to access should they require financial assistance.</w:t>
      </w:r>
    </w:p>
    <w:p w14:paraId="0FFDF7C0" w14:textId="77777777" w:rsidR="00603E4B" w:rsidRPr="002029AF" w:rsidRDefault="00603E4B" w:rsidP="00603E4B">
      <w:pPr>
        <w:pStyle w:val="ARbody"/>
      </w:pPr>
      <w:r w:rsidRPr="002029AF">
        <w:t>The investment also bolstered phone support for carers, funding to increase much needed respite time, and increased efforts for identifying kinship options for children and young people.</w:t>
      </w:r>
    </w:p>
    <w:p w14:paraId="1D164A55" w14:textId="0BD9E30E" w:rsidR="00603E4B" w:rsidRPr="002029AF" w:rsidRDefault="00603E4B" w:rsidP="00603E4B">
      <w:pPr>
        <w:pStyle w:val="Heading5"/>
        <w:rPr>
          <w:rFonts w:eastAsia="Calibri"/>
        </w:rPr>
      </w:pPr>
      <w:r w:rsidRPr="002029AF">
        <w:rPr>
          <w:rFonts w:eastAsia="Calibri"/>
        </w:rPr>
        <w:t>Key result 16: Prevent family violence and</w:t>
      </w:r>
      <w:r w:rsidR="00121533">
        <w:rPr>
          <w:rFonts w:eastAsia="Calibri"/>
        </w:rPr>
        <w:t> </w:t>
      </w:r>
      <w:r w:rsidRPr="002029AF">
        <w:rPr>
          <w:rFonts w:eastAsia="Calibri"/>
        </w:rPr>
        <w:t>reduce the continuing risk of harm associated with family violence</w:t>
      </w:r>
    </w:p>
    <w:p w14:paraId="02F3152F" w14:textId="2AAB2F05" w:rsidR="00603E4B" w:rsidRPr="009A32F5" w:rsidRDefault="00590355" w:rsidP="00AF6EAD">
      <w:pPr>
        <w:pStyle w:val="ARbody"/>
        <w:rPr>
          <w:highlight w:val="yellow"/>
        </w:rPr>
      </w:pPr>
      <w:r>
        <w:t>T</w:t>
      </w:r>
      <w:r w:rsidR="00603E4B" w:rsidRPr="002029AF">
        <w:t>he department and Family Safety Victoria have continued to implement recommendations from the Royal Commission into Family Violence in order to</w:t>
      </w:r>
      <w:r w:rsidR="00121533">
        <w:t> </w:t>
      </w:r>
      <w:r w:rsidR="00603E4B" w:rsidRPr="002029AF">
        <w:t>enhance service responses for victim survivors and perpetrators.</w:t>
      </w:r>
      <w:r>
        <w:t xml:space="preserve"> </w:t>
      </w:r>
      <w:r w:rsidR="009A32F5" w:rsidRPr="009E23DD">
        <w:t xml:space="preserve">More than two thirds of the 227 recommendations have now been implemented. Some key achievements during 2019–20 are outlined </w:t>
      </w:r>
      <w:r w:rsidR="00941F09">
        <w:t xml:space="preserve">in this </w:t>
      </w:r>
      <w:r w:rsidR="00650F90">
        <w:t>k</w:t>
      </w:r>
      <w:r w:rsidR="00941F09">
        <w:t xml:space="preserve">ey </w:t>
      </w:r>
      <w:r w:rsidR="00650F90">
        <w:t>r</w:t>
      </w:r>
      <w:r w:rsidR="00941F09">
        <w:t>esult</w:t>
      </w:r>
      <w:r w:rsidR="00941F09" w:rsidRPr="009E23DD">
        <w:t>.</w:t>
      </w:r>
    </w:p>
    <w:p w14:paraId="4280561C" w14:textId="5E78170E" w:rsidR="00603E4B" w:rsidRPr="002029AF" w:rsidRDefault="00603E4B" w:rsidP="00603E4B">
      <w:pPr>
        <w:pStyle w:val="Heading6"/>
        <w:rPr>
          <w:lang w:val="en-AU"/>
        </w:rPr>
      </w:pPr>
      <w:r w:rsidRPr="002029AF">
        <w:rPr>
          <w:lang w:val="en-AU"/>
        </w:rPr>
        <w:t xml:space="preserve">Expansion of </w:t>
      </w:r>
      <w:r w:rsidR="00552FF8">
        <w:rPr>
          <w:lang w:val="en-AU"/>
        </w:rPr>
        <w:t>T</w:t>
      </w:r>
      <w:r w:rsidRPr="002029AF">
        <w:rPr>
          <w:lang w:val="en-AU"/>
        </w:rPr>
        <w:t>he Orange Door network</w:t>
      </w:r>
    </w:p>
    <w:p w14:paraId="50C6F611" w14:textId="1278C5B2" w:rsidR="004810AB" w:rsidRPr="009E23DD" w:rsidRDefault="004810AB" w:rsidP="00041E17">
      <w:pPr>
        <w:pStyle w:val="ARbody"/>
      </w:pPr>
      <w:r w:rsidRPr="009E23DD">
        <w:t>The Orange Door is a free service for adults, children and young people who are experiencing or have experienced family violence and families who need extra support with the care, wellbeing and development of children.</w:t>
      </w:r>
    </w:p>
    <w:p w14:paraId="6243E8EF" w14:textId="77777777" w:rsidR="003C6F78" w:rsidRDefault="004810AB" w:rsidP="00041E17">
      <w:pPr>
        <w:pStyle w:val="ARbody"/>
      </w:pPr>
      <w:r w:rsidRPr="009E23DD">
        <w:t>Work continued for the rollout of The Orange Door to an additional 12 areas across the state. With five already operating (in Barwon, Inner Gippsland, North East Melbourne, Bayside Peninsula and Mallee), Goulburn, Loddon and Central Highlands are the next three areas for the rollout of The Orange Door.</w:t>
      </w:r>
    </w:p>
    <w:p w14:paraId="14E06522" w14:textId="55711A63" w:rsidR="004810AB" w:rsidRPr="009E23DD" w:rsidRDefault="004810AB" w:rsidP="00041E17">
      <w:pPr>
        <w:pStyle w:val="ARbody"/>
      </w:pPr>
      <w:r w:rsidRPr="009E23DD">
        <w:t>In 201</w:t>
      </w:r>
      <w:r w:rsidR="00C40D56">
        <w:t>9–</w:t>
      </w:r>
      <w:r w:rsidRPr="009E23DD">
        <w:t xml:space="preserve">20, more than 59,500 people </w:t>
      </w:r>
      <w:r w:rsidR="00650F90">
        <w:t>were</w:t>
      </w:r>
      <w:r w:rsidRPr="009E23DD">
        <w:t xml:space="preserve"> referred to The Orange Door or directly sought help for family violence or for support with the care and wellbeing of children. This includes more than 23,000 children.</w:t>
      </w:r>
    </w:p>
    <w:p w14:paraId="7CFB07BF" w14:textId="16A246F6" w:rsidR="00603E4B" w:rsidRPr="002029AF" w:rsidRDefault="00C77EDB" w:rsidP="007417B6">
      <w:pPr>
        <w:pStyle w:val="Heading6"/>
        <w:spacing w:before="0"/>
        <w:rPr>
          <w:lang w:val="en-AU"/>
        </w:rPr>
      </w:pPr>
      <w:r>
        <w:rPr>
          <w:lang w:val="en-AU"/>
        </w:rPr>
        <w:br w:type="column"/>
      </w:r>
      <w:r w:rsidR="00603E4B" w:rsidRPr="002029AF">
        <w:rPr>
          <w:lang w:val="en-AU"/>
        </w:rPr>
        <w:t>Implementation of the Dhelk Dja Agreement</w:t>
      </w:r>
    </w:p>
    <w:p w14:paraId="7CE8CBFF" w14:textId="201F67B5" w:rsidR="004810AB" w:rsidRPr="009E23DD" w:rsidRDefault="004810AB" w:rsidP="00041E17">
      <w:pPr>
        <w:pStyle w:val="ARbody"/>
      </w:pPr>
      <w:r w:rsidRPr="009E23DD">
        <w:t xml:space="preserve">The </w:t>
      </w:r>
      <w:r w:rsidRPr="00650F90">
        <w:rPr>
          <w:i/>
          <w:iCs/>
        </w:rPr>
        <w:t>Dhelk Dja: Safe Our Way – Strong Culture, Strong Peoples, Strong Families</w:t>
      </w:r>
      <w:r w:rsidRPr="009E23DD">
        <w:t xml:space="preserve"> </w:t>
      </w:r>
      <w:r w:rsidRPr="00650F90">
        <w:rPr>
          <w:i/>
          <w:iCs/>
        </w:rPr>
        <w:t>Agreement</w:t>
      </w:r>
      <w:r w:rsidR="00650F90">
        <w:t xml:space="preserve"> </w:t>
      </w:r>
      <w:r w:rsidR="00650F90" w:rsidRPr="009E23DD">
        <w:t>(Dhelk Dja)</w:t>
      </w:r>
      <w:r w:rsidRPr="009E23DD">
        <w:t xml:space="preserve">, released in October 2018, commits Victorian Aboriginal communities and services and the Victorian </w:t>
      </w:r>
      <w:r w:rsidR="00650F90">
        <w:t>G</w:t>
      </w:r>
      <w:r w:rsidRPr="009E23DD">
        <w:t xml:space="preserve">overnment to progress </w:t>
      </w:r>
      <w:r w:rsidRPr="00BA07B9">
        <w:rPr>
          <w:i/>
          <w:iCs/>
        </w:rPr>
        <w:t>Dhelk Dja</w:t>
      </w:r>
      <w:r w:rsidR="00917233" w:rsidRPr="00BA07B9">
        <w:rPr>
          <w:i/>
          <w:iCs/>
        </w:rPr>
        <w:t>’s</w:t>
      </w:r>
      <w:r w:rsidRPr="009E23DD">
        <w:t xml:space="preserve"> five strategic priorities.</w:t>
      </w:r>
    </w:p>
    <w:p w14:paraId="7E38366A" w14:textId="59CB4793" w:rsidR="004810AB" w:rsidRPr="009E23DD" w:rsidRDefault="004810AB" w:rsidP="00041E17">
      <w:pPr>
        <w:pStyle w:val="ARbody"/>
      </w:pPr>
      <w:r w:rsidRPr="009E23DD">
        <w:t xml:space="preserve">The </w:t>
      </w:r>
      <w:r w:rsidR="00650F90">
        <w:t>three</w:t>
      </w:r>
      <w:r w:rsidR="00650F90" w:rsidRPr="009E23DD">
        <w:t>-year</w:t>
      </w:r>
      <w:r w:rsidRPr="009E23DD">
        <w:t xml:space="preserve"> </w:t>
      </w:r>
      <w:r w:rsidR="00650F90" w:rsidRPr="00552FF8">
        <w:t>a</w:t>
      </w:r>
      <w:r w:rsidRPr="00552FF8">
        <w:t xml:space="preserve">ction </w:t>
      </w:r>
      <w:r w:rsidR="00650F90" w:rsidRPr="00552FF8">
        <w:t>p</w:t>
      </w:r>
      <w:r w:rsidRPr="00552FF8">
        <w:t>lan</w:t>
      </w:r>
      <w:r w:rsidRPr="009E23DD">
        <w:t xml:space="preserve"> 201</w:t>
      </w:r>
      <w:r w:rsidR="00C40D56">
        <w:t>9–</w:t>
      </w:r>
      <w:r w:rsidRPr="009E23DD">
        <w:t xml:space="preserve">2022, endorsed by the Dhelk Dja Partnership Forum in October 2019, is to progress strategic actions and investments over the next three years to bring </w:t>
      </w:r>
      <w:r w:rsidRPr="00BA07B9">
        <w:rPr>
          <w:i/>
          <w:iCs/>
        </w:rPr>
        <w:t>Dhelk Dja</w:t>
      </w:r>
      <w:r w:rsidRPr="009E23DD">
        <w:t xml:space="preserve"> and its vision to life </w:t>
      </w:r>
      <w:r w:rsidR="00650F90">
        <w:t xml:space="preserve">– this is, of </w:t>
      </w:r>
      <w:r w:rsidRPr="009E23DD">
        <w:t>a future where Aboriginal people are culturally stronger, safer and self-determining, with families and communities living free from family violence.</w:t>
      </w:r>
    </w:p>
    <w:p w14:paraId="4D8C8847" w14:textId="04379522" w:rsidR="004810AB" w:rsidRPr="009E23DD" w:rsidRDefault="004810AB" w:rsidP="00041E17">
      <w:pPr>
        <w:pStyle w:val="ARbody"/>
      </w:pPr>
      <w:r w:rsidRPr="009E23DD">
        <w:t xml:space="preserve">Five sub-working groups were established by the Dhelk Dja Partnership Forum to progress critical actions under each of </w:t>
      </w:r>
      <w:r w:rsidRPr="00BA07B9">
        <w:rPr>
          <w:i/>
          <w:iCs/>
        </w:rPr>
        <w:t>Dhelk Dja’s</w:t>
      </w:r>
      <w:r w:rsidRPr="009E23DD">
        <w:t xml:space="preserve"> five strategic priorities.</w:t>
      </w:r>
    </w:p>
    <w:p w14:paraId="2354EABB" w14:textId="039DC167" w:rsidR="004810AB" w:rsidRPr="009E23DD" w:rsidRDefault="004810AB" w:rsidP="00041E17">
      <w:pPr>
        <w:pStyle w:val="ARbody"/>
      </w:pPr>
      <w:r w:rsidRPr="009E23DD">
        <w:t xml:space="preserve">The </w:t>
      </w:r>
      <w:r w:rsidR="00711D96" w:rsidRPr="00552FF8">
        <w:t>a</w:t>
      </w:r>
      <w:r w:rsidRPr="00552FF8">
        <w:t xml:space="preserve">ction </w:t>
      </w:r>
      <w:r w:rsidR="00711D96" w:rsidRPr="00552FF8">
        <w:t>p</w:t>
      </w:r>
      <w:r w:rsidRPr="00552FF8">
        <w:t>lan</w:t>
      </w:r>
      <w:r w:rsidRPr="009E23DD">
        <w:t xml:space="preserve"> will inform the development of </w:t>
      </w:r>
      <w:r w:rsidR="006B6867">
        <w:t>r</w:t>
      </w:r>
      <w:r w:rsidRPr="009E23DD">
        <w:t xml:space="preserve">egional </w:t>
      </w:r>
      <w:r w:rsidR="006B6867">
        <w:t>a</w:t>
      </w:r>
      <w:r w:rsidRPr="009E23DD">
        <w:t xml:space="preserve">ction </w:t>
      </w:r>
      <w:r w:rsidR="006B6867">
        <w:t>p</w:t>
      </w:r>
      <w:r w:rsidRPr="009E23DD">
        <w:t xml:space="preserve">lans by the 11 Dhelk Dja Action Groups representing Aboriginal communities across Victoria. Regional </w:t>
      </w:r>
      <w:r w:rsidR="006B6867">
        <w:t>a</w:t>
      </w:r>
      <w:r w:rsidRPr="009E23DD">
        <w:t xml:space="preserve">ction </w:t>
      </w:r>
      <w:r w:rsidR="006B6867">
        <w:t>p</w:t>
      </w:r>
      <w:r w:rsidRPr="009E23DD">
        <w:t>lans are place-based mechanisms to drive local and regional action and partnerships to prevent and address family violence.</w:t>
      </w:r>
    </w:p>
    <w:p w14:paraId="0BBDC0BC" w14:textId="56114C55" w:rsidR="004810AB" w:rsidRPr="009E23DD" w:rsidRDefault="004810AB" w:rsidP="00041E17">
      <w:pPr>
        <w:pStyle w:val="ARbody"/>
      </w:pPr>
      <w:r w:rsidRPr="009E23DD">
        <w:t xml:space="preserve">Family Safety Victoria is establishing Aboriginal Access Points (AAP) alongside </w:t>
      </w:r>
      <w:r w:rsidR="00711D96" w:rsidRPr="00552FF8">
        <w:t>T</w:t>
      </w:r>
      <w:r w:rsidRPr="00552FF8">
        <w:t>he</w:t>
      </w:r>
      <w:r w:rsidRPr="009E23DD">
        <w:t xml:space="preserve"> Orange Door</w:t>
      </w:r>
      <w:r w:rsidR="00121533">
        <w:t> </w:t>
      </w:r>
      <w:r w:rsidRPr="009E23DD">
        <w:t>network to strengthen referral pathways for Aboriginal people impacted by family violence. This ensures a choice of referral to either an Aboriginal or non-Aboriginal family violence service.</w:t>
      </w:r>
    </w:p>
    <w:p w14:paraId="1A77A997" w14:textId="77777777" w:rsidR="003C6F78" w:rsidRDefault="004810AB" w:rsidP="00041E17">
      <w:pPr>
        <w:pStyle w:val="ARbody"/>
      </w:pPr>
      <w:r w:rsidRPr="009E23DD">
        <w:t>The AAP Concept Model was endorsed by the Dhelk Dja Partnership Forum in January 2020. Mallee, Bayside Peninsula and Barwon a</w:t>
      </w:r>
      <w:r w:rsidR="00650F90">
        <w:t>re</w:t>
      </w:r>
      <w:r w:rsidRPr="009E23DD">
        <w:t xml:space="preserve"> the regions where the first AAPs will be established.</w:t>
      </w:r>
    </w:p>
    <w:p w14:paraId="1707958E" w14:textId="40A96035" w:rsidR="004810AB" w:rsidRPr="009E23DD" w:rsidRDefault="004810AB" w:rsidP="00041E17">
      <w:pPr>
        <w:pStyle w:val="ARbody"/>
      </w:pPr>
      <w:r w:rsidRPr="009E23DD">
        <w:t xml:space="preserve">The design process to transition the concept </w:t>
      </w:r>
      <w:r w:rsidR="009B0F53">
        <w:t xml:space="preserve">model </w:t>
      </w:r>
      <w:r w:rsidRPr="009E23DD">
        <w:t>into</w:t>
      </w:r>
      <w:r w:rsidR="00121533">
        <w:t> </w:t>
      </w:r>
      <w:r w:rsidRPr="009E23DD">
        <w:t>operational service design elements will be</w:t>
      </w:r>
      <w:r w:rsidR="00121533">
        <w:t> </w:t>
      </w:r>
      <w:r w:rsidRPr="009E23DD">
        <w:t>informed by</w:t>
      </w:r>
      <w:r w:rsidR="009B0F53">
        <w:t xml:space="preserve"> the contributions of</w:t>
      </w:r>
      <w:r w:rsidRPr="009E23DD">
        <w:t xml:space="preserve"> key Aboriginal community stakeholders. This will ensure the AAP</w:t>
      </w:r>
      <w:r w:rsidR="00650F90">
        <w:t>s</w:t>
      </w:r>
      <w:r w:rsidRPr="009E23DD">
        <w:t xml:space="preserve"> meet the needs of Aboriginal communities as expressed through the principles of the </w:t>
      </w:r>
      <w:r w:rsidRPr="00BA07B9">
        <w:rPr>
          <w:i/>
          <w:iCs/>
        </w:rPr>
        <w:t>Nargneit Birrang</w:t>
      </w:r>
      <w:r w:rsidRPr="00F5770E">
        <w:t xml:space="preserve"> framework, and align with the strategic</w:t>
      </w:r>
      <w:r w:rsidRPr="009E23DD">
        <w:t xml:space="preserve"> priorities of the child and families service</w:t>
      </w:r>
      <w:r w:rsidR="00650F90">
        <w:t>s</w:t>
      </w:r>
      <w:r w:rsidRPr="009E23DD">
        <w:t xml:space="preserve"> sector to commit to better outcomes for Aboriginal children and young people as expressed through the objectives of </w:t>
      </w:r>
      <w:r w:rsidRPr="00BA07B9">
        <w:rPr>
          <w:i/>
          <w:iCs/>
        </w:rPr>
        <w:t>Wungurilwil Gapgapduir</w:t>
      </w:r>
      <w:r w:rsidRPr="009E23DD">
        <w:t>.</w:t>
      </w:r>
    </w:p>
    <w:p w14:paraId="4D400780" w14:textId="77777777" w:rsidR="00C77EDB" w:rsidRPr="00C77EDB" w:rsidRDefault="00C77EDB" w:rsidP="00C77EDB">
      <w:pPr>
        <w:pStyle w:val="ARbody"/>
      </w:pPr>
      <w:r w:rsidRPr="00C77EDB">
        <w:br w:type="page"/>
      </w:r>
    </w:p>
    <w:p w14:paraId="3F019C22" w14:textId="25912B8A" w:rsidR="004810AB" w:rsidRPr="009E23DD" w:rsidRDefault="004810AB" w:rsidP="009E23DD">
      <w:pPr>
        <w:pStyle w:val="Heading6"/>
        <w:rPr>
          <w:lang w:val="en-AU"/>
        </w:rPr>
      </w:pPr>
      <w:r w:rsidRPr="009E23DD">
        <w:rPr>
          <w:lang w:val="en-AU"/>
        </w:rPr>
        <w:lastRenderedPageBreak/>
        <w:t>New interventions for perpetrators of</w:t>
      </w:r>
      <w:r w:rsidR="00121533">
        <w:rPr>
          <w:lang w:val="en-AU"/>
        </w:rPr>
        <w:t> </w:t>
      </w:r>
      <w:r w:rsidRPr="009E23DD">
        <w:rPr>
          <w:lang w:val="en-AU"/>
        </w:rPr>
        <w:t>family</w:t>
      </w:r>
      <w:r w:rsidR="00121533">
        <w:rPr>
          <w:lang w:val="en-AU"/>
        </w:rPr>
        <w:t> </w:t>
      </w:r>
      <w:r w:rsidRPr="009E23DD">
        <w:rPr>
          <w:lang w:val="en-AU"/>
        </w:rPr>
        <w:t>violence</w:t>
      </w:r>
    </w:p>
    <w:p w14:paraId="3BCF9640" w14:textId="77FCA1EE" w:rsidR="004810AB" w:rsidRPr="009E23DD" w:rsidRDefault="004810AB" w:rsidP="00041E17">
      <w:pPr>
        <w:pStyle w:val="ARbody"/>
      </w:pPr>
      <w:r w:rsidRPr="009E23DD">
        <w:t>The 201</w:t>
      </w:r>
      <w:r w:rsidR="00C40D56">
        <w:t>9–</w:t>
      </w:r>
      <w:r w:rsidRPr="009E23DD">
        <w:t>20 State Budget provided funding to deliver seven community-based perpetrator interventions for diverse cohorts.</w:t>
      </w:r>
      <w:r w:rsidR="003C6F78">
        <w:t xml:space="preserve"> </w:t>
      </w:r>
      <w:r w:rsidRPr="009E23DD">
        <w:t xml:space="preserve">Programs being trialled include specialised programs for people who use violence from diverse communities, including culturally and linguistically diverse, Aboriginal, and lesbian, gay, bisexual, trans, </w:t>
      </w:r>
      <w:r w:rsidR="00121533">
        <w:br/>
      </w:r>
      <w:r w:rsidRPr="009E23DD">
        <w:t>and/or intersex communities, men with acquired brain injuries and women who use force.</w:t>
      </w:r>
    </w:p>
    <w:p w14:paraId="6F69FDA8" w14:textId="77777777" w:rsidR="003C6F78" w:rsidRDefault="004810AB" w:rsidP="00041E17">
      <w:pPr>
        <w:pStyle w:val="ARbody"/>
      </w:pPr>
      <w:r w:rsidRPr="009E23DD">
        <w:t>Ongoing funding was provided for perpetrator case</w:t>
      </w:r>
      <w:r w:rsidR="00121533">
        <w:t> </w:t>
      </w:r>
      <w:r w:rsidRPr="009E23DD">
        <w:t>management. Case management reduces the</w:t>
      </w:r>
      <w:r w:rsidR="00121533">
        <w:t> </w:t>
      </w:r>
      <w:r w:rsidRPr="009E23DD">
        <w:t>risk associated with a perpetrator’s use of family violence by providing a tailored response to</w:t>
      </w:r>
      <w:r w:rsidR="00121533">
        <w:t> </w:t>
      </w:r>
      <w:r w:rsidRPr="009E23DD">
        <w:t>address the barriers to engagement.</w:t>
      </w:r>
    </w:p>
    <w:p w14:paraId="1CD9ED9E" w14:textId="26CC4364" w:rsidR="003C6F78" w:rsidRDefault="004810AB" w:rsidP="00041E17">
      <w:pPr>
        <w:pStyle w:val="ARbody"/>
      </w:pPr>
      <w:r w:rsidRPr="009E23DD">
        <w:t>An evaluation of the cohort</w:t>
      </w:r>
      <w:r w:rsidR="009B0F53">
        <w:t>-</w:t>
      </w:r>
      <w:r w:rsidRPr="009E23DD">
        <w:t>specific trials and case management in 2019 found that the interventions contributed to higher engagement from participants and a greater level of risk management when compared to existing interventions</w:t>
      </w:r>
      <w:r w:rsidR="009B0F53">
        <w:t>,</w:t>
      </w:r>
      <w:r w:rsidRPr="009E23DD">
        <w:t xml:space="preserve"> and particularly for perpetrators with complex needs.</w:t>
      </w:r>
    </w:p>
    <w:p w14:paraId="059B6511" w14:textId="503503A7" w:rsidR="004810AB" w:rsidRPr="009E23DD" w:rsidRDefault="004810AB" w:rsidP="00041E17">
      <w:pPr>
        <w:pStyle w:val="ARbody"/>
      </w:pPr>
      <w:r w:rsidRPr="009E23DD">
        <w:t>The Caring Dads program continues as a pilot across three sites in Victoria. Caring Dads is a group-based program that improves the parenting behaviour of fathers who have exposed their children to family violence. In February 2020, the University of Melbourne evaluated the program and found evidence of change among some fathers who completed the program.</w:t>
      </w:r>
    </w:p>
    <w:p w14:paraId="1C92738A" w14:textId="05421B57" w:rsidR="009E23DD" w:rsidRDefault="004810AB" w:rsidP="00041E17">
      <w:pPr>
        <w:pStyle w:val="ARbody"/>
      </w:pPr>
      <w:r w:rsidRPr="009E23DD">
        <w:t>These interventions provide an evidence</w:t>
      </w:r>
      <w:r w:rsidR="009B0F53">
        <w:t xml:space="preserve"> </w:t>
      </w:r>
      <w:r w:rsidRPr="009E23DD">
        <w:t>base for working with people who use violence from diverse communities and/or with specific and complex needs. They sit within work being undertaken by the department and Family Safety Victoria to develop a system-wide approach to holding perpetrators to account and supporting changes in</w:t>
      </w:r>
      <w:r w:rsidR="00121533">
        <w:t> </w:t>
      </w:r>
      <w:r w:rsidRPr="009E23DD">
        <w:t>their behaviour and attitudes.</w:t>
      </w:r>
    </w:p>
    <w:p w14:paraId="40624260" w14:textId="77777777" w:rsidR="003C6F78" w:rsidRDefault="009E23DD" w:rsidP="009E23DD">
      <w:pPr>
        <w:pStyle w:val="Heading6"/>
        <w:rPr>
          <w:lang w:val="en-AU"/>
        </w:rPr>
      </w:pPr>
      <w:r w:rsidRPr="009E23DD">
        <w:rPr>
          <w:lang w:val="en-AU"/>
        </w:rPr>
        <w:t>MARAM and information sharing</w:t>
      </w:r>
    </w:p>
    <w:p w14:paraId="573080FE" w14:textId="77777777" w:rsidR="003C6F78" w:rsidRDefault="009E23DD" w:rsidP="00041E17">
      <w:pPr>
        <w:pStyle w:val="ARbody"/>
      </w:pPr>
      <w:r w:rsidRPr="009E23DD">
        <w:t xml:space="preserve">The implementation of the Family Violence </w:t>
      </w:r>
      <w:r w:rsidR="00121533">
        <w:br/>
      </w:r>
      <w:r w:rsidRPr="009E23DD">
        <w:t>Multi-Agency Risk Assessment and Management Framework (MARAM) and the Family Violence Information Sharing Scheme has continued. MARAM is a set of tools and practice guides designed so services can identify, assess and manage family violence risks.</w:t>
      </w:r>
    </w:p>
    <w:p w14:paraId="2F596EB6" w14:textId="2C6CA672" w:rsidR="009E23DD" w:rsidRPr="009E23DD" w:rsidRDefault="00C77EDB" w:rsidP="009E23DD">
      <w:pPr>
        <w:pStyle w:val="ARbody"/>
      </w:pPr>
      <w:r>
        <w:br w:type="column"/>
      </w:r>
      <w:r w:rsidR="009E23DD" w:rsidRPr="009E23DD">
        <w:t>Key developments in MARAM in 2019–20 include:</w:t>
      </w:r>
    </w:p>
    <w:p w14:paraId="14F90301" w14:textId="56C150A8" w:rsidR="009E23DD" w:rsidRPr="009E23DD" w:rsidRDefault="009E23DD" w:rsidP="00FF3CAB">
      <w:pPr>
        <w:pStyle w:val="ARbullet1"/>
        <w:numPr>
          <w:ilvl w:val="0"/>
          <w:numId w:val="51"/>
        </w:numPr>
      </w:pPr>
      <w:r w:rsidRPr="009E23DD">
        <w:t>publication of victim</w:t>
      </w:r>
      <w:r w:rsidR="0070074C">
        <w:t xml:space="preserve"> </w:t>
      </w:r>
      <w:r w:rsidRPr="009E23DD">
        <w:t>survivor</w:t>
      </w:r>
      <w:r w:rsidR="0070074C">
        <w:t>-</w:t>
      </w:r>
      <w:r w:rsidRPr="009E23DD">
        <w:t>focused tools and practice guides to help organisations embed MARAM in their operations</w:t>
      </w:r>
    </w:p>
    <w:p w14:paraId="2FF4EA66" w14:textId="77777777" w:rsidR="009E23DD" w:rsidRPr="009E23DD" w:rsidRDefault="009E23DD" w:rsidP="00FF3CAB">
      <w:pPr>
        <w:pStyle w:val="ARbullet1"/>
        <w:numPr>
          <w:ilvl w:val="0"/>
          <w:numId w:val="51"/>
        </w:numPr>
      </w:pPr>
      <w:r w:rsidRPr="009E23DD">
        <w:t>the start of a phased rollout of the Tool for Risk Assessment and Management to non-Orange Door providers</w:t>
      </w:r>
    </w:p>
    <w:p w14:paraId="61D104E6" w14:textId="24DF41FC" w:rsidR="009E23DD" w:rsidRPr="009E23DD" w:rsidRDefault="009E23DD" w:rsidP="00FF3CAB">
      <w:pPr>
        <w:pStyle w:val="ARbullet1"/>
        <w:numPr>
          <w:ilvl w:val="0"/>
          <w:numId w:val="51"/>
        </w:numPr>
      </w:pPr>
      <w:r w:rsidRPr="009E23DD">
        <w:t>development of perpetrator</w:t>
      </w:r>
      <w:r w:rsidR="004D7DBD">
        <w:t>-</w:t>
      </w:r>
      <w:r w:rsidRPr="009E23DD">
        <w:t>focused assessment tools and practice guides, anticipated for release in December 2020 (tools and guides for non-specialists) and March 2021 (tools and guides for specialists)</w:t>
      </w:r>
    </w:p>
    <w:p w14:paraId="2AB5CE16" w14:textId="203BFC45" w:rsidR="009E23DD" w:rsidRPr="009E23DD" w:rsidRDefault="000573B9" w:rsidP="00FF3CAB">
      <w:pPr>
        <w:pStyle w:val="ARbullet1"/>
        <w:numPr>
          <w:ilvl w:val="0"/>
          <w:numId w:val="51"/>
        </w:numPr>
      </w:pPr>
      <w:r>
        <w:t xml:space="preserve">completion of </w:t>
      </w:r>
      <w:r w:rsidR="009E23DD" w:rsidRPr="009E23DD">
        <w:t>an early MARAM evaluation</w:t>
      </w:r>
      <w:r>
        <w:t>.</w:t>
      </w:r>
    </w:p>
    <w:p w14:paraId="5AC58E9B" w14:textId="01D03701" w:rsidR="00650F90" w:rsidRDefault="00650F90" w:rsidP="00650F90">
      <w:pPr>
        <w:pStyle w:val="ARbodyafterbullets"/>
      </w:pPr>
      <w:r>
        <w:t>Targeted MARAM practice notes were developed to guide the approach to risk assessment and management during the coronavirus (COVID-19) pandemic.</w:t>
      </w:r>
    </w:p>
    <w:p w14:paraId="488B157E" w14:textId="2BDAC51B" w:rsidR="009E23DD" w:rsidRPr="009E23DD" w:rsidRDefault="00650F90" w:rsidP="00650F90">
      <w:pPr>
        <w:pStyle w:val="ARbodyafterbullets"/>
      </w:pPr>
      <w:r>
        <w:t>As at 30 June 2020, over 18,500 workers, including from across family violence, community, child and family, mental health and alcohol and other drug services, have been trained in MARAM, the Family Violence Information Sharing Scheme and the Child Information Sharing Scheme. Face-to-face MARAM training was postponed in early March 2020 due to the pandemic and online training has been available from June 2020.</w:t>
      </w:r>
    </w:p>
    <w:p w14:paraId="4BC18AC5" w14:textId="77777777" w:rsidR="00215F71" w:rsidRPr="002029AF" w:rsidRDefault="00215F71" w:rsidP="00215F71">
      <w:pPr>
        <w:pStyle w:val="Heading6"/>
        <w:rPr>
          <w:szCs w:val="20"/>
          <w:lang w:val="en-AU"/>
        </w:rPr>
      </w:pPr>
      <w:r w:rsidRPr="002029AF">
        <w:rPr>
          <w:szCs w:val="20"/>
          <w:lang w:val="en-AU"/>
        </w:rPr>
        <w:t>Elder abuse</w:t>
      </w:r>
    </w:p>
    <w:p w14:paraId="375D9F60" w14:textId="51B21CB8" w:rsidR="005B4614" w:rsidRPr="002029AF" w:rsidRDefault="005B4614" w:rsidP="005B4614">
      <w:pPr>
        <w:pStyle w:val="ARbody"/>
      </w:pPr>
      <w:r w:rsidRPr="002029AF">
        <w:t>The Victorian Government differs from some jurisdictions in that it treats elder abuse as a form of</w:t>
      </w:r>
      <w:r w:rsidR="0027759D">
        <w:t> </w:t>
      </w:r>
      <w:r w:rsidRPr="002029AF">
        <w:t>family violence.</w:t>
      </w:r>
    </w:p>
    <w:p w14:paraId="6C35C1DB" w14:textId="77777777" w:rsidR="00020FE5" w:rsidRDefault="005B4614" w:rsidP="005B4614">
      <w:pPr>
        <w:pStyle w:val="ARbody"/>
      </w:pPr>
      <w:r w:rsidRPr="002029AF">
        <w:t xml:space="preserve">The Victorian Government recognises that elder abuse </w:t>
      </w:r>
      <w:r>
        <w:t xml:space="preserve">is </w:t>
      </w:r>
      <w:r w:rsidRPr="002029AF">
        <w:t>under</w:t>
      </w:r>
      <w:r>
        <w:t>-</w:t>
      </w:r>
      <w:r w:rsidRPr="002029AF">
        <w:t xml:space="preserve">reported and that there are regulatory gaps and cultural barriers to reporting – for example, some older victims </w:t>
      </w:r>
      <w:r>
        <w:t xml:space="preserve">do not recognise their experience as elder abuse and </w:t>
      </w:r>
      <w:r w:rsidRPr="002029AF">
        <w:t>may believe their treatment does not warrant police attention.</w:t>
      </w:r>
    </w:p>
    <w:p w14:paraId="5A09DF79" w14:textId="4208BCAF" w:rsidR="005B4614" w:rsidRPr="002029AF" w:rsidRDefault="005B4614" w:rsidP="005B4614">
      <w:pPr>
        <w:pStyle w:val="ARbody"/>
      </w:pPr>
      <w:bookmarkStart w:id="41" w:name="_Hlk53411552"/>
      <w:r w:rsidRPr="002029AF">
        <w:t xml:space="preserve">The </w:t>
      </w:r>
      <w:r>
        <w:t xml:space="preserve">Department of Health and Human Services </w:t>
      </w:r>
      <w:r w:rsidRPr="002029AF">
        <w:t xml:space="preserve">has supported </w:t>
      </w:r>
      <w:r w:rsidR="00950886">
        <w:t xml:space="preserve">a number of </w:t>
      </w:r>
      <w:r>
        <w:t>key initiatives</w:t>
      </w:r>
      <w:r w:rsidRPr="002029AF">
        <w:t xml:space="preserve"> to prevent </w:t>
      </w:r>
      <w:r>
        <w:t xml:space="preserve">and respond to </w:t>
      </w:r>
      <w:r w:rsidRPr="002029AF">
        <w:t>elder abuse, including the following:</w:t>
      </w:r>
    </w:p>
    <w:p w14:paraId="69FFBDC2" w14:textId="77777777" w:rsidR="00020FE5" w:rsidRDefault="00EB7C97" w:rsidP="00FF3CAB">
      <w:pPr>
        <w:pStyle w:val="ARbullet1"/>
        <w:numPr>
          <w:ilvl w:val="0"/>
          <w:numId w:val="51"/>
        </w:numPr>
      </w:pPr>
      <w:r>
        <w:t>the Elder Abuse and Safeguarding Advisory Group</w:t>
      </w:r>
      <w:r w:rsidR="00950886">
        <w:t>,</w:t>
      </w:r>
      <w:r>
        <w:t xml:space="preserve"> </w:t>
      </w:r>
      <w:r w:rsidR="39A0EE66">
        <w:t>which</w:t>
      </w:r>
      <w:r>
        <w:t xml:space="preserve"> provide</w:t>
      </w:r>
      <w:r w:rsidR="0EF9490B">
        <w:t>s</w:t>
      </w:r>
      <w:r>
        <w:t xml:space="preserve"> advice on the needs and rights of older Victorians.</w:t>
      </w:r>
    </w:p>
    <w:p w14:paraId="47CEFF18" w14:textId="655ADDE6" w:rsidR="005B4614" w:rsidRPr="002029AF" w:rsidRDefault="005B4614" w:rsidP="00FF3CAB">
      <w:pPr>
        <w:pStyle w:val="ARbullet1"/>
        <w:numPr>
          <w:ilvl w:val="0"/>
          <w:numId w:val="51"/>
        </w:numPr>
      </w:pPr>
      <w:r w:rsidRPr="002029AF">
        <w:t>ten local elder abuse prevention networks</w:t>
      </w:r>
      <w:r>
        <w:t xml:space="preserve"> to prevent elder abuse in </w:t>
      </w:r>
      <w:r w:rsidRPr="00950886">
        <w:t>their</w:t>
      </w:r>
      <w:r>
        <w:t xml:space="preserve"> local communities</w:t>
      </w:r>
      <w:r w:rsidRPr="002029AF">
        <w:t>. These have been established to link local organisations such as health centres, council home carers, and seniors’ clubs to raise awareness of elder abuse and implement local prevention strategies</w:t>
      </w:r>
    </w:p>
    <w:p w14:paraId="6B1D2943" w14:textId="281EECEC" w:rsidR="005B4614" w:rsidRPr="002029AF" w:rsidRDefault="005B4614" w:rsidP="00FF3CAB">
      <w:pPr>
        <w:pStyle w:val="ARbullet1"/>
        <w:numPr>
          <w:ilvl w:val="0"/>
          <w:numId w:val="51"/>
        </w:numPr>
      </w:pPr>
      <w:r>
        <w:lastRenderedPageBreak/>
        <w:t xml:space="preserve">Respect Victoria’s elder abuse prevention campaign, </w:t>
      </w:r>
      <w:r w:rsidRPr="001E4E5D">
        <w:rPr>
          <w:i/>
          <w:iCs/>
        </w:rPr>
        <w:t>Respect Older People: Call it out</w:t>
      </w:r>
    </w:p>
    <w:p w14:paraId="58C4DE9B" w14:textId="77777777" w:rsidR="005B4614" w:rsidRPr="002029AF" w:rsidRDefault="005B4614" w:rsidP="00FF3CAB">
      <w:pPr>
        <w:pStyle w:val="ARbullet1"/>
        <w:numPr>
          <w:ilvl w:val="0"/>
          <w:numId w:val="51"/>
        </w:numPr>
      </w:pPr>
      <w:r w:rsidRPr="002029AF">
        <w:t xml:space="preserve">a trial for an integrated model of care, offering specialist clinical advice and family counselling and mediation services </w:t>
      </w:r>
      <w:r w:rsidRPr="00950886">
        <w:t>from</w:t>
      </w:r>
      <w:r w:rsidRPr="002029AF">
        <w:t xml:space="preserve"> five locations across Victoria</w:t>
      </w:r>
    </w:p>
    <w:p w14:paraId="139CD679" w14:textId="53C4409F" w:rsidR="005B4614" w:rsidRPr="002029AF" w:rsidRDefault="005B4614" w:rsidP="00FF3CAB">
      <w:pPr>
        <w:pStyle w:val="ARbullet1"/>
        <w:numPr>
          <w:ilvl w:val="0"/>
          <w:numId w:val="51"/>
        </w:numPr>
      </w:pPr>
      <w:r w:rsidRPr="002029AF">
        <w:t xml:space="preserve">training </w:t>
      </w:r>
      <w:r>
        <w:t>of</w:t>
      </w:r>
      <w:r w:rsidRPr="002029AF">
        <w:t xml:space="preserve"> financial counsellors</w:t>
      </w:r>
      <w:r>
        <w:t xml:space="preserve"> to prevent and respond to elder abuse and raise awareness of </w:t>
      </w:r>
      <w:r w:rsidR="008227BD">
        <w:t xml:space="preserve">the </w:t>
      </w:r>
      <w:r>
        <w:t>role</w:t>
      </w:r>
      <w:r w:rsidR="008227BD">
        <w:t xml:space="preserve"> they can </w:t>
      </w:r>
      <w:r w:rsidR="00111CB0">
        <w:t>have</w:t>
      </w:r>
      <w:r>
        <w:t xml:space="preserve"> in the community</w:t>
      </w:r>
    </w:p>
    <w:p w14:paraId="02DCA498" w14:textId="297C145F" w:rsidR="005B4614" w:rsidRDefault="005B4614" w:rsidP="00FF3CAB">
      <w:pPr>
        <w:pStyle w:val="ARbullet1"/>
        <w:numPr>
          <w:ilvl w:val="0"/>
          <w:numId w:val="51"/>
        </w:numPr>
      </w:pPr>
      <w:r>
        <w:t xml:space="preserve">a statewide helpline, </w:t>
      </w:r>
      <w:r w:rsidRPr="002029AF">
        <w:t>information, support, legal advice and education</w:t>
      </w:r>
      <w:r w:rsidR="008227BD">
        <w:t xml:space="preserve">, </w:t>
      </w:r>
      <w:r w:rsidR="008227BD" w:rsidRPr="002029AF">
        <w:t>provided by Seniors Rights Victoria</w:t>
      </w:r>
      <w:r w:rsidR="005B3946">
        <w:t>,</w:t>
      </w:r>
      <w:r w:rsidRPr="002029AF">
        <w:t xml:space="preserve"> to help prevent elder abuse and safeguard the rights, dignity and independence of older people</w:t>
      </w:r>
    </w:p>
    <w:p w14:paraId="40AF9391" w14:textId="77777777" w:rsidR="00020FE5" w:rsidRDefault="005B4614" w:rsidP="00FF3CAB">
      <w:pPr>
        <w:pStyle w:val="ARbullet1"/>
        <w:numPr>
          <w:ilvl w:val="0"/>
          <w:numId w:val="51"/>
        </w:numPr>
      </w:pPr>
      <w:r>
        <w:t>an elder abuse family counselling and mediation service that interfaces with five Orange Doors, providing therapeutic options for older people and their families to address alleged or potential elder abuse.</w:t>
      </w:r>
    </w:p>
    <w:bookmarkEnd w:id="41"/>
    <w:p w14:paraId="636BAA34" w14:textId="131FA953" w:rsidR="005B4614" w:rsidRPr="002029AF" w:rsidRDefault="005B4614" w:rsidP="005B4614">
      <w:pPr>
        <w:pStyle w:val="Heading6"/>
        <w:rPr>
          <w:lang w:val="en-AU"/>
        </w:rPr>
      </w:pPr>
      <w:r w:rsidRPr="002029AF">
        <w:rPr>
          <w:lang w:val="en-AU"/>
        </w:rPr>
        <w:t>Trial of an integrated model of care</w:t>
      </w:r>
    </w:p>
    <w:p w14:paraId="346D751E" w14:textId="4396302D" w:rsidR="005B4614" w:rsidRPr="002029AF" w:rsidRDefault="005B4614" w:rsidP="005B4614">
      <w:pPr>
        <w:pStyle w:val="ARbody"/>
      </w:pPr>
      <w:r w:rsidRPr="002029AF">
        <w:t>In response to the findings of the Royal Commission into Family Violence, the Victorian Government is implementing an</w:t>
      </w:r>
      <w:r>
        <w:t xml:space="preserve"> I</w:t>
      </w:r>
      <w:r w:rsidRPr="002029AF">
        <w:t>ntegrated model of care for responding to suspected elder abuse which is being trialled at five publicly funded health services.</w:t>
      </w:r>
    </w:p>
    <w:p w14:paraId="6632CCC6" w14:textId="77777777" w:rsidR="005B4614" w:rsidRPr="002029AF" w:rsidRDefault="005B4614" w:rsidP="005B4614">
      <w:pPr>
        <w:pStyle w:val="ARbody"/>
      </w:pPr>
      <w:r w:rsidRPr="002029AF">
        <w:t>The integrated model of care aims to strengthen elder abuse responses and support within Victorian health services. It will do this by creating multiple entry points for older people and their carers and families that will allow them to access specialist support services and address suspected elder abuse.</w:t>
      </w:r>
    </w:p>
    <w:p w14:paraId="45E6AFB5" w14:textId="01B2941E" w:rsidR="005B4614" w:rsidRPr="002029AF" w:rsidRDefault="005B4614" w:rsidP="005B4614">
      <w:pPr>
        <w:pStyle w:val="ARbody"/>
      </w:pPr>
      <w:r w:rsidRPr="002029AF">
        <w:t>The integrated model of care framework consists of</w:t>
      </w:r>
      <w:r w:rsidR="0027759D">
        <w:t> </w:t>
      </w:r>
      <w:r w:rsidRPr="002029AF">
        <w:t>four key funded components:</w:t>
      </w:r>
    </w:p>
    <w:p w14:paraId="3DEF7C2F" w14:textId="46EEE0D6" w:rsidR="005B4614" w:rsidRPr="002029AF" w:rsidRDefault="005B4614" w:rsidP="00FF3CAB">
      <w:pPr>
        <w:pStyle w:val="ARbullet1"/>
        <w:numPr>
          <w:ilvl w:val="0"/>
          <w:numId w:val="51"/>
        </w:numPr>
        <w:rPr>
          <w:b/>
        </w:rPr>
      </w:pPr>
      <w:r w:rsidRPr="002029AF">
        <w:t xml:space="preserve">workforce training to </w:t>
      </w:r>
      <w:r>
        <w:t xml:space="preserve">build the capability of </w:t>
      </w:r>
      <w:r w:rsidRPr="002029AF">
        <w:t xml:space="preserve">clinical staff of the trial health services </w:t>
      </w:r>
      <w:r>
        <w:t>and their respective community services</w:t>
      </w:r>
      <w:r w:rsidR="00020FE5">
        <w:t xml:space="preserve"> </w:t>
      </w:r>
      <w:r w:rsidRPr="002029AF">
        <w:t xml:space="preserve">to </w:t>
      </w:r>
      <w:r>
        <w:t xml:space="preserve">identify and </w:t>
      </w:r>
      <w:r w:rsidRPr="002029AF">
        <w:t>respond to suspected elder abuse</w:t>
      </w:r>
    </w:p>
    <w:p w14:paraId="277BF137" w14:textId="77777777" w:rsidR="005B4614" w:rsidRPr="002029AF" w:rsidRDefault="005B4614" w:rsidP="00FF3CAB">
      <w:pPr>
        <w:pStyle w:val="ARbullet1"/>
        <w:numPr>
          <w:ilvl w:val="0"/>
          <w:numId w:val="51"/>
        </w:numPr>
        <w:rPr>
          <w:b/>
        </w:rPr>
      </w:pPr>
      <w:r w:rsidRPr="002029AF">
        <w:t>a full-time liaison officer at each of the Aged Care Assessment Services auspiced by the trial health services</w:t>
      </w:r>
    </w:p>
    <w:p w14:paraId="58E19229" w14:textId="77777777" w:rsidR="005B4614" w:rsidRPr="002029AF" w:rsidRDefault="005B4614" w:rsidP="00FF3CAB">
      <w:pPr>
        <w:pStyle w:val="ARbullet1"/>
        <w:numPr>
          <w:ilvl w:val="0"/>
          <w:numId w:val="51"/>
        </w:numPr>
        <w:rPr>
          <w:b/>
        </w:rPr>
      </w:pPr>
      <w:r w:rsidRPr="002029AF">
        <w:t xml:space="preserve">counselling </w:t>
      </w:r>
      <w:r>
        <w:t xml:space="preserve">(including financial counselling) </w:t>
      </w:r>
      <w:r w:rsidRPr="002029AF">
        <w:t>and mediation services</w:t>
      </w:r>
    </w:p>
    <w:p w14:paraId="24D38095" w14:textId="47896150" w:rsidR="00215F71" w:rsidRDefault="005B4614" w:rsidP="00FF3CAB">
      <w:pPr>
        <w:pStyle w:val="ARbullet1"/>
        <w:numPr>
          <w:ilvl w:val="0"/>
          <w:numId w:val="51"/>
        </w:numPr>
      </w:pPr>
      <w:r w:rsidRPr="002029AF">
        <w:t>an Elder Abuse Prevention Network in each catchment area of the trial health services.</w:t>
      </w:r>
    </w:p>
    <w:p w14:paraId="5E66EACA" w14:textId="198BD768" w:rsidR="009E23DD" w:rsidRPr="009E23DD" w:rsidRDefault="009E23DD" w:rsidP="00215F71">
      <w:pPr>
        <w:pStyle w:val="Heading6"/>
        <w:rPr>
          <w:lang w:val="en-AU"/>
        </w:rPr>
      </w:pPr>
      <w:r w:rsidRPr="009E23DD">
        <w:rPr>
          <w:lang w:val="en-AU"/>
        </w:rPr>
        <w:t>Voices of lived experience – the Victim Survivors’ Advisory Council</w:t>
      </w:r>
    </w:p>
    <w:p w14:paraId="2D4A4065" w14:textId="2AF00953" w:rsidR="009E23DD" w:rsidRPr="009E23DD" w:rsidRDefault="009E23DD" w:rsidP="009E23DD">
      <w:pPr>
        <w:pStyle w:val="ARbody"/>
      </w:pPr>
      <w:r w:rsidRPr="009E23DD">
        <w:t>In December 2019, the inaugural Victim Survivors’ Advisory Council ended its three-year term. New</w:t>
      </w:r>
      <w:r w:rsidR="00121533">
        <w:t> </w:t>
      </w:r>
      <w:r w:rsidRPr="009E23DD">
        <w:t xml:space="preserve">members, with diverse backgrounds and experiences, joined VSAC in February 2020 to continue the work to embed the voice of lived experience </w:t>
      </w:r>
      <w:r w:rsidR="005B3946">
        <w:t>in</w:t>
      </w:r>
      <w:r w:rsidR="005B3946" w:rsidRPr="009E23DD">
        <w:t xml:space="preserve"> </w:t>
      </w:r>
      <w:r w:rsidRPr="009E23DD">
        <w:t>family violence reform.</w:t>
      </w:r>
    </w:p>
    <w:p w14:paraId="14952F0C" w14:textId="7D5EBD6B" w:rsidR="009E23DD" w:rsidRPr="0031636A" w:rsidRDefault="009E23DD" w:rsidP="009E23DD">
      <w:pPr>
        <w:pStyle w:val="Heading6"/>
        <w:rPr>
          <w:lang w:val="en-AU"/>
        </w:rPr>
      </w:pPr>
      <w:r w:rsidRPr="0031636A">
        <w:rPr>
          <w:lang w:val="en-AU"/>
        </w:rPr>
        <w:t>Recruitment and attraction campaign – growing</w:t>
      </w:r>
      <w:r w:rsidR="00D06D1E">
        <w:rPr>
          <w:lang w:val="en-AU"/>
        </w:rPr>
        <w:t> </w:t>
      </w:r>
      <w:r w:rsidRPr="0031636A">
        <w:rPr>
          <w:lang w:val="en-AU"/>
        </w:rPr>
        <w:t>the family violence workforce</w:t>
      </w:r>
    </w:p>
    <w:p w14:paraId="3A3A965C" w14:textId="5BB66912" w:rsidR="009E23DD" w:rsidRDefault="009E23DD" w:rsidP="009E23DD">
      <w:pPr>
        <w:pStyle w:val="ARbody"/>
      </w:pPr>
      <w:r>
        <w:t xml:space="preserve">One of the key </w:t>
      </w:r>
      <w:r w:rsidRPr="58FBA5FC">
        <w:t xml:space="preserve">initiatives within the </w:t>
      </w:r>
      <w:r w:rsidRPr="5BB58C91">
        <w:t xml:space="preserve">10-year </w:t>
      </w:r>
      <w:r w:rsidRPr="7B3B1829">
        <w:t>industry p</w:t>
      </w:r>
      <w:r>
        <w:t>lan is</w:t>
      </w:r>
      <w:r w:rsidRPr="1A8D0196">
        <w:t xml:space="preserve"> </w:t>
      </w:r>
      <w:r>
        <w:t xml:space="preserve">a </w:t>
      </w:r>
      <w:r w:rsidRPr="58FBA5FC">
        <w:t>recruitment and attraction campaign dedicated to growing the family violence workforce</w:t>
      </w:r>
      <w:r>
        <w:t xml:space="preserve"> which was launched in </w:t>
      </w:r>
      <w:r w:rsidRPr="3B6A2ECE">
        <w:t>May 2020</w:t>
      </w:r>
      <w:r>
        <w:t>. The campaign</w:t>
      </w:r>
      <w:r w:rsidRPr="58FBA5FC">
        <w:t xml:space="preserve"> includes a </w:t>
      </w:r>
      <w:r>
        <w:t>F</w:t>
      </w:r>
      <w:r w:rsidRPr="58FBA5FC">
        <w:t xml:space="preserve">amily </w:t>
      </w:r>
      <w:r>
        <w:t>V</w:t>
      </w:r>
      <w:r w:rsidRPr="58FBA5FC">
        <w:t xml:space="preserve">iolence </w:t>
      </w:r>
      <w:r>
        <w:t>J</w:t>
      </w:r>
      <w:r w:rsidRPr="58FBA5FC">
        <w:t xml:space="preserve">obs </w:t>
      </w:r>
      <w:r>
        <w:t>H</w:t>
      </w:r>
      <w:r w:rsidRPr="58FBA5FC">
        <w:t xml:space="preserve">ub to promote the diversity and breadth of </w:t>
      </w:r>
      <w:r w:rsidRPr="001D50D4">
        <w:t>roles in the sector, while a jobs portal links people wanting work in the</w:t>
      </w:r>
      <w:r w:rsidR="00D06D1E">
        <w:t> </w:t>
      </w:r>
      <w:r w:rsidRPr="001D50D4">
        <w:t xml:space="preserve">sector with employers. The campaign </w:t>
      </w:r>
      <w:r>
        <w:t>arose from</w:t>
      </w:r>
      <w:r w:rsidRPr="001D50D4">
        <w:t xml:space="preserve"> the Royal Commission into Family Violence, which</w:t>
      </w:r>
      <w:r w:rsidR="00D06D1E">
        <w:t> </w:t>
      </w:r>
      <w:r w:rsidRPr="001D50D4">
        <w:t xml:space="preserve">recommended </w:t>
      </w:r>
      <w:r>
        <w:t>greater</w:t>
      </w:r>
      <w:r w:rsidRPr="001D50D4">
        <w:t xml:space="preserve"> focus on growing </w:t>
      </w:r>
      <w:r>
        <w:t xml:space="preserve">the </w:t>
      </w:r>
      <w:r w:rsidRPr="001D50D4">
        <w:t>specialist family violence and prevention workforce, recognising specialist expertise and increasing diversity.</w:t>
      </w:r>
    </w:p>
    <w:p w14:paraId="46D145C2" w14:textId="43D66172" w:rsidR="009E23DD" w:rsidRDefault="009E23DD" w:rsidP="009E23DD">
      <w:pPr>
        <w:pStyle w:val="ARbody"/>
      </w:pPr>
      <w:r w:rsidRPr="009E23DD">
        <w:t>This strategy is part of a focus on recruitment and</w:t>
      </w:r>
      <w:r w:rsidR="00D06D1E">
        <w:t> </w:t>
      </w:r>
      <w:r w:rsidRPr="009E23DD">
        <w:t>workforce supply, and aims to attract and retain a highly qualified workforce and strengthen the capacity of the system to meet demand for specialist family violence and prevention practitioners.</w:t>
      </w:r>
    </w:p>
    <w:p w14:paraId="2BAECA34" w14:textId="766D4DF2" w:rsidR="006F4889" w:rsidRDefault="00062252" w:rsidP="009E23DD">
      <w:pPr>
        <w:pStyle w:val="ARbody"/>
        <w:rPr>
          <w:b/>
          <w:bCs/>
        </w:rPr>
      </w:pPr>
      <w:r>
        <w:rPr>
          <w:b/>
          <w:bCs/>
        </w:rPr>
        <w:t xml:space="preserve">Embedding family violence </w:t>
      </w:r>
      <w:r w:rsidR="002F4ED2">
        <w:rPr>
          <w:b/>
          <w:bCs/>
        </w:rPr>
        <w:t>prevention behaviours in our workforce</w:t>
      </w:r>
    </w:p>
    <w:p w14:paraId="63240377" w14:textId="70B71AA1" w:rsidR="00650F90" w:rsidRDefault="00650F90" w:rsidP="00650F90">
      <w:pPr>
        <w:pStyle w:val="ARbody"/>
      </w:pPr>
      <w:r>
        <w:t>The department supported actions that reduce stigma around family violence in universal settings so that health practitioners are now more likely to inquire about family violence and victim survivors are more likely to share their experience</w:t>
      </w:r>
      <w:r w:rsidR="00524E26">
        <w:t>. This</w:t>
      </w:r>
      <w:r>
        <w:t xml:space="preserve"> lead</w:t>
      </w:r>
      <w:r w:rsidR="00524E26">
        <w:t>s</w:t>
      </w:r>
      <w:r>
        <w:t xml:space="preserve"> to increased rates of identification and more </w:t>
      </w:r>
      <w:r w:rsidR="00C82C86">
        <w:t>‘</w:t>
      </w:r>
      <w:r>
        <w:t>wraparound</w:t>
      </w:r>
      <w:r w:rsidR="00C82C86">
        <w:t>’</w:t>
      </w:r>
      <w:r>
        <w:t xml:space="preserve"> support for people experiencing family violence, including prioritisation for social housing. </w:t>
      </w:r>
      <w:r w:rsidR="00495DFB" w:rsidRPr="00DF083F">
        <w:t>These actions have</w:t>
      </w:r>
      <w:r>
        <w:t xml:space="preserve"> been supported by the following:</w:t>
      </w:r>
    </w:p>
    <w:p w14:paraId="7646817A" w14:textId="28F26767" w:rsidR="00650F90" w:rsidRDefault="00650F90" w:rsidP="00FF3CAB">
      <w:pPr>
        <w:pStyle w:val="ARbullet1"/>
        <w:numPr>
          <w:ilvl w:val="0"/>
          <w:numId w:val="51"/>
        </w:numPr>
      </w:pPr>
      <w:r>
        <w:t>the Chief Psychiatrist has issued a guideline relating to family violence</w:t>
      </w:r>
      <w:r w:rsidR="003C6F78">
        <w:t xml:space="preserve"> </w:t>
      </w:r>
      <w:r w:rsidR="003C6F78" w:rsidRPr="007371AE">
        <w:t xml:space="preserve">– </w:t>
      </w:r>
      <w:r w:rsidRPr="00FB1957">
        <w:t>including</w:t>
      </w:r>
      <w:r w:rsidR="004C5B5C">
        <w:t xml:space="preserve"> advice</w:t>
      </w:r>
      <w:r w:rsidRPr="00FB1957">
        <w:t xml:space="preserve"> tha</w:t>
      </w:r>
      <w:r w:rsidR="00111CB0">
        <w:t>t</w:t>
      </w:r>
      <w:r w:rsidR="0027759D">
        <w:t> </w:t>
      </w:r>
      <w:r>
        <w:t>family</w:t>
      </w:r>
      <w:r w:rsidR="00D06D1E">
        <w:t> </w:t>
      </w:r>
      <w:r>
        <w:t>violence risk should be assessed when</w:t>
      </w:r>
      <w:r w:rsidR="00020FE5">
        <w:t xml:space="preserve"> </w:t>
      </w:r>
      <w:r>
        <w:t>considering discharging or transferring care of a</w:t>
      </w:r>
      <w:r w:rsidR="00D06D1E">
        <w:t> </w:t>
      </w:r>
      <w:r>
        <w:t xml:space="preserve">person receiving mental health services and when consulting with families or carers in relation to treatment planning. This guideline applies to all publicly funded clinical mental health services in Victoria across all </w:t>
      </w:r>
      <w:r>
        <w:lastRenderedPageBreak/>
        <w:t>service settings, including services delivered in people’s own homes.</w:t>
      </w:r>
    </w:p>
    <w:p w14:paraId="1C06F8E6" w14:textId="5CD40824" w:rsidR="00A638D1" w:rsidRDefault="00650F90" w:rsidP="00FF3CAB">
      <w:pPr>
        <w:pStyle w:val="ARbullet1"/>
        <w:numPr>
          <w:ilvl w:val="0"/>
          <w:numId w:val="51"/>
        </w:numPr>
      </w:pPr>
      <w:r>
        <w:t>the department has coordinated a joint statement between the Office of the Chief Psychiatrist,</w:t>
      </w:r>
      <w:r w:rsidR="00941F09">
        <w:t xml:space="preserve"> the Royal Australian New Zealand College of Psychiatry and the Royal Australian College of General Practice that outlines a commitment to an ongoing family violence learning agenda that is in line with the Family Violence Cap</w:t>
      </w:r>
      <w:r w:rsidR="00D97C07">
        <w:t>ability Framework and links in with the Mental Health Workforce Strategy.</w:t>
      </w:r>
    </w:p>
    <w:p w14:paraId="1988A553" w14:textId="7675966F" w:rsidR="00650F90" w:rsidRDefault="00C82C86" w:rsidP="00FF3CAB">
      <w:pPr>
        <w:pStyle w:val="ARbullet1"/>
        <w:numPr>
          <w:ilvl w:val="0"/>
          <w:numId w:val="51"/>
        </w:numPr>
      </w:pPr>
      <w:r>
        <w:t>a</w:t>
      </w:r>
      <w:r w:rsidR="00650F90">
        <w:t xml:space="preserve"> package of accredited family violence training programs has been delivered through the Vocational Education and Training system for disability workers</w:t>
      </w:r>
      <w:r>
        <w:t>,</w:t>
      </w:r>
      <w:r w:rsidR="00650F90">
        <w:t xml:space="preserve"> with ongoing support as they transition to the National Disability Insurance Scheme.</w:t>
      </w:r>
    </w:p>
    <w:p w14:paraId="40B791C0" w14:textId="5CD7D523" w:rsidR="00603E4B" w:rsidRPr="002029AF" w:rsidRDefault="00603E4B" w:rsidP="009D6AEA">
      <w:pPr>
        <w:pStyle w:val="Heading5"/>
        <w:rPr>
          <w:rFonts w:eastAsia="Calibri"/>
        </w:rPr>
      </w:pPr>
      <w:r w:rsidRPr="002029AF">
        <w:rPr>
          <w:rFonts w:eastAsia="Calibri"/>
        </w:rPr>
        <w:t>Key result 17: Reduce the occurrence of</w:t>
      </w:r>
      <w:r w:rsidR="00D06D1E">
        <w:rPr>
          <w:rFonts w:eastAsia="Calibri"/>
        </w:rPr>
        <w:t> </w:t>
      </w:r>
      <w:r w:rsidRPr="002029AF">
        <w:rPr>
          <w:rFonts w:eastAsia="Calibri"/>
        </w:rPr>
        <w:t>occupational violence, bullying, assault</w:t>
      </w:r>
      <w:r w:rsidR="00D06D1E">
        <w:rPr>
          <w:rFonts w:eastAsia="Calibri"/>
        </w:rPr>
        <w:t> </w:t>
      </w:r>
      <w:r w:rsidRPr="002029AF">
        <w:rPr>
          <w:rFonts w:eastAsia="Calibri"/>
        </w:rPr>
        <w:t>and inappropriate behaviour in departmental and public health services</w:t>
      </w:r>
    </w:p>
    <w:p w14:paraId="25F235A8" w14:textId="77777777" w:rsidR="004E6007" w:rsidRPr="002029AF" w:rsidRDefault="004E6007" w:rsidP="004E6007">
      <w:pPr>
        <w:pStyle w:val="Heading6"/>
        <w:rPr>
          <w:lang w:val="en-AU"/>
        </w:rPr>
      </w:pPr>
      <w:r w:rsidRPr="002029AF">
        <w:rPr>
          <w:lang w:val="en-AU"/>
        </w:rPr>
        <w:t>Building a positive and constructive workplace</w:t>
      </w:r>
    </w:p>
    <w:p w14:paraId="5801392F" w14:textId="7433A151" w:rsidR="004E6007" w:rsidRPr="002029AF" w:rsidRDefault="004E6007" w:rsidP="004E6007">
      <w:pPr>
        <w:pStyle w:val="ARbody"/>
      </w:pPr>
      <w:r w:rsidRPr="002029AF">
        <w:t>The department strives to build a high</w:t>
      </w:r>
      <w:r>
        <w:t>-</w:t>
      </w:r>
      <w:r w:rsidRPr="002029AF">
        <w:t xml:space="preserve">performing and positive workplace culture. To support improved workplace culture, the department’s </w:t>
      </w:r>
      <w:r w:rsidRPr="00B032FB">
        <w:rPr>
          <w:i/>
          <w:iCs/>
        </w:rPr>
        <w:t xml:space="preserve">People </w:t>
      </w:r>
      <w:r>
        <w:rPr>
          <w:i/>
          <w:iCs/>
        </w:rPr>
        <w:t>s</w:t>
      </w:r>
      <w:r w:rsidRPr="00B032FB">
        <w:rPr>
          <w:i/>
          <w:iCs/>
        </w:rPr>
        <w:t>trategy 2020+</w:t>
      </w:r>
      <w:r w:rsidRPr="002029AF">
        <w:t xml:space="preserve"> has a ‘towards zero’ target</w:t>
      </w:r>
      <w:r w:rsidR="00D06D1E">
        <w:t> </w:t>
      </w:r>
      <w:r w:rsidRPr="002029AF">
        <w:t xml:space="preserve">for bullying behaviour. In delivering on </w:t>
      </w:r>
      <w:r w:rsidRPr="002029AF">
        <w:t>the</w:t>
      </w:r>
      <w:r w:rsidR="00D06D1E">
        <w:t> </w:t>
      </w:r>
      <w:r w:rsidRPr="002029AF">
        <w:t xml:space="preserve">department’s </w:t>
      </w:r>
      <w:r w:rsidRPr="00B032FB">
        <w:rPr>
          <w:i/>
          <w:iCs/>
        </w:rPr>
        <w:t xml:space="preserve">People </w:t>
      </w:r>
      <w:r>
        <w:rPr>
          <w:i/>
          <w:iCs/>
        </w:rPr>
        <w:t>s</w:t>
      </w:r>
      <w:r w:rsidRPr="00B032FB">
        <w:rPr>
          <w:i/>
          <w:iCs/>
        </w:rPr>
        <w:t>trategy2020+</w:t>
      </w:r>
      <w:r w:rsidRPr="002029AF">
        <w:t>, the department will continue ongoing implementation of activities that focus on ethical leadership</w:t>
      </w:r>
      <w:r>
        <w:t>,</w:t>
      </w:r>
      <w:r w:rsidRPr="002029AF">
        <w:t xml:space="preserve"> including the Leading with Respect program. The program is aimed at growing the skills of people managers to lead with respect and to reduce the psychological harm from inappropriate behaviours through five modules, including:</w:t>
      </w:r>
    </w:p>
    <w:p w14:paraId="41FBA108" w14:textId="18190D1F" w:rsidR="004E6007" w:rsidRPr="002029AF" w:rsidRDefault="00495DFB" w:rsidP="00FF3CAB">
      <w:pPr>
        <w:pStyle w:val="ARbullet1"/>
        <w:numPr>
          <w:ilvl w:val="0"/>
          <w:numId w:val="51"/>
        </w:numPr>
      </w:pPr>
      <w:r>
        <w:t>b</w:t>
      </w:r>
      <w:r w:rsidR="004E6007" w:rsidRPr="002029AF">
        <w:t xml:space="preserve">uilding </w:t>
      </w:r>
      <w:r w:rsidR="004E6007">
        <w:t>h</w:t>
      </w:r>
      <w:r w:rsidR="004E6007" w:rsidRPr="002029AF">
        <w:t>igh</w:t>
      </w:r>
      <w:r w:rsidR="004E6007">
        <w:t>-p</w:t>
      </w:r>
      <w:r w:rsidR="004E6007" w:rsidRPr="002029AF">
        <w:t xml:space="preserve">erforming </w:t>
      </w:r>
      <w:r w:rsidR="004E6007">
        <w:t>t</w:t>
      </w:r>
      <w:r w:rsidR="004E6007" w:rsidRPr="002029AF">
        <w:t>eams</w:t>
      </w:r>
    </w:p>
    <w:p w14:paraId="6D5D8B64" w14:textId="14192E37" w:rsidR="004E6007" w:rsidRPr="002029AF" w:rsidRDefault="00495DFB" w:rsidP="00FF3CAB">
      <w:pPr>
        <w:pStyle w:val="ARbullet1"/>
        <w:numPr>
          <w:ilvl w:val="0"/>
          <w:numId w:val="51"/>
        </w:numPr>
      </w:pPr>
      <w:r>
        <w:t>e</w:t>
      </w:r>
      <w:r w:rsidR="004E6007" w:rsidRPr="002029AF">
        <w:t xml:space="preserve">thical </w:t>
      </w:r>
      <w:r w:rsidR="004E6007">
        <w:t>l</w:t>
      </w:r>
      <w:r w:rsidR="004E6007" w:rsidRPr="002029AF">
        <w:t>eadership</w:t>
      </w:r>
    </w:p>
    <w:p w14:paraId="38B97337" w14:textId="250EA031" w:rsidR="004E6007" w:rsidRPr="002029AF" w:rsidRDefault="00495DFB" w:rsidP="00FF3CAB">
      <w:pPr>
        <w:pStyle w:val="ARbullet1"/>
        <w:numPr>
          <w:ilvl w:val="0"/>
          <w:numId w:val="51"/>
        </w:numPr>
      </w:pPr>
      <w:r>
        <w:t>g</w:t>
      </w:r>
      <w:r w:rsidR="004E6007" w:rsidRPr="002029AF">
        <w:t xml:space="preserve">iving and </w:t>
      </w:r>
      <w:r w:rsidR="004E6007">
        <w:t>r</w:t>
      </w:r>
      <w:r w:rsidR="004E6007" w:rsidRPr="002029AF">
        <w:t xml:space="preserve">eceiving </w:t>
      </w:r>
      <w:r w:rsidR="004E6007">
        <w:t>f</w:t>
      </w:r>
      <w:r w:rsidR="004E6007" w:rsidRPr="002029AF">
        <w:t>eedback</w:t>
      </w:r>
    </w:p>
    <w:p w14:paraId="3D85D06F" w14:textId="3D2431B9" w:rsidR="004E6007" w:rsidRPr="002029AF" w:rsidRDefault="00495DFB" w:rsidP="00FF3CAB">
      <w:pPr>
        <w:pStyle w:val="ARbullet1"/>
        <w:numPr>
          <w:ilvl w:val="0"/>
          <w:numId w:val="51"/>
        </w:numPr>
      </w:pPr>
      <w:r>
        <w:t>m</w:t>
      </w:r>
      <w:r w:rsidR="004E6007" w:rsidRPr="002029AF">
        <w:t xml:space="preserve">anaging for </w:t>
      </w:r>
      <w:r w:rsidR="004E6007">
        <w:t>t</w:t>
      </w:r>
      <w:r w:rsidR="004E6007" w:rsidRPr="002029AF">
        <w:t xml:space="preserve">eam </w:t>
      </w:r>
      <w:r w:rsidR="004E6007">
        <w:t>w</w:t>
      </w:r>
      <w:r w:rsidR="004E6007" w:rsidRPr="002029AF">
        <w:t>ellbeing</w:t>
      </w:r>
    </w:p>
    <w:p w14:paraId="519A08CA" w14:textId="30944958" w:rsidR="004E6007" w:rsidRPr="002029AF" w:rsidRDefault="00495DFB" w:rsidP="00FF3CAB">
      <w:pPr>
        <w:pStyle w:val="ARbullet1"/>
        <w:numPr>
          <w:ilvl w:val="0"/>
          <w:numId w:val="51"/>
        </w:numPr>
      </w:pPr>
      <w:r>
        <w:t>s</w:t>
      </w:r>
      <w:r w:rsidR="004E6007" w:rsidRPr="002029AF">
        <w:t xml:space="preserve">aying </w:t>
      </w:r>
      <w:r w:rsidR="005F298C">
        <w:t>‘</w:t>
      </w:r>
      <w:r w:rsidR="004E6007" w:rsidRPr="002029AF">
        <w:t>Yes</w:t>
      </w:r>
      <w:r w:rsidR="005F298C">
        <w:t>’</w:t>
      </w:r>
      <w:r w:rsidR="004E6007" w:rsidRPr="002029AF">
        <w:t xml:space="preserve"> to the </w:t>
      </w:r>
      <w:r w:rsidR="004E6007">
        <w:t>f</w:t>
      </w:r>
      <w:r w:rsidR="004E6007" w:rsidRPr="002029AF">
        <w:t xml:space="preserve">lexibility </w:t>
      </w:r>
      <w:r w:rsidR="004E6007">
        <w:t>c</w:t>
      </w:r>
      <w:r w:rsidR="004E6007" w:rsidRPr="002029AF">
        <w:t>onversation.</w:t>
      </w:r>
    </w:p>
    <w:p w14:paraId="0B71384C" w14:textId="43CE8538" w:rsidR="009D6AEA" w:rsidRDefault="004E6007" w:rsidP="009D6AEA">
      <w:pPr>
        <w:pStyle w:val="ARbodyafterbullets"/>
        <w:sectPr w:rsidR="009D6AEA" w:rsidSect="00B45A1D">
          <w:footnotePr>
            <w:numFmt w:val="chicago"/>
            <w:numRestart w:val="eachPage"/>
          </w:footnotePr>
          <w:endnotePr>
            <w:numFmt w:val="decimal"/>
          </w:endnotePr>
          <w:type w:val="continuous"/>
          <w:pgSz w:w="11900" w:h="16840" w:code="9"/>
          <w:pgMar w:top="1985" w:right="851" w:bottom="851" w:left="1418" w:header="510" w:footer="340" w:gutter="0"/>
          <w:cols w:num="2" w:space="454"/>
          <w15:footnoteColumns w:val="1"/>
        </w:sectPr>
      </w:pPr>
      <w:r w:rsidRPr="002029AF">
        <w:t xml:space="preserve">The department also has a </w:t>
      </w:r>
      <w:r>
        <w:t>J</w:t>
      </w:r>
      <w:r w:rsidRPr="002029AF">
        <w:t xml:space="preserve">oint </w:t>
      </w:r>
      <w:r>
        <w:t>W</w:t>
      </w:r>
      <w:r w:rsidRPr="002029AF">
        <w:t xml:space="preserve">orking </w:t>
      </w:r>
      <w:r>
        <w:t>P</w:t>
      </w:r>
      <w:r w:rsidRPr="002029AF">
        <w:t>arty on</w:t>
      </w:r>
      <w:r w:rsidR="00D06D1E">
        <w:t> </w:t>
      </w:r>
      <w:r w:rsidRPr="002029AF">
        <w:t xml:space="preserve">the Prevention of Bullying and Inappropriate </w:t>
      </w:r>
      <w:r w:rsidR="00495DFB">
        <w:t>B</w:t>
      </w:r>
      <w:r w:rsidRPr="002029AF">
        <w:t xml:space="preserve">ehaviour, consisting of the department, the Community and Public Sector Union and the Health and Community Services Union. As an action from </w:t>
      </w:r>
      <w:r w:rsidRPr="008E2EE9">
        <w:t>this working party, a Positive Workplace Culture action plan has</w:t>
      </w:r>
      <w:r w:rsidRPr="002029AF">
        <w:t xml:space="preserve"> been developed with actions that serve to prevent bullying and inappropriate behaviour in the workplace</w:t>
      </w:r>
      <w:r>
        <w:t>,</w:t>
      </w:r>
      <w:r w:rsidRPr="002029AF">
        <w:t> including the home safely everyday campaign</w:t>
      </w:r>
      <w:r>
        <w:t>,</w:t>
      </w:r>
      <w:r w:rsidRPr="002029AF">
        <w:t xml:space="preserve"> aimed at reminding staff</w:t>
      </w:r>
      <w:r w:rsidR="00D06D1E">
        <w:t> </w:t>
      </w:r>
      <w:r w:rsidRPr="002029AF">
        <w:t>of the potential health and wellbeing impacts of certain behaviours at work and the actions that all staff can take to create and maintain a positive working environment.</w:t>
      </w:r>
      <w:r w:rsidR="00C77EDB" w:rsidRPr="00C77EDB">
        <w:br w:type="page"/>
      </w:r>
    </w:p>
    <w:p w14:paraId="5B60E181" w14:textId="5520F801" w:rsidR="00603E4B" w:rsidRPr="002029AF" w:rsidRDefault="00603E4B" w:rsidP="00603E4B">
      <w:pPr>
        <w:pStyle w:val="Heading4"/>
      </w:pPr>
      <w:r w:rsidRPr="002029AF">
        <w:lastRenderedPageBreak/>
        <w:t>Outcome 2.2 Victorians have suitable</w:t>
      </w:r>
      <w:r w:rsidR="00D06D1E">
        <w:t> </w:t>
      </w:r>
      <w:r w:rsidRPr="002029AF">
        <w:t>and stable housing</w:t>
      </w:r>
    </w:p>
    <w:p w14:paraId="6881F4A6" w14:textId="2B8FD446" w:rsidR="004E6007" w:rsidRPr="002029AF" w:rsidRDefault="004E6007" w:rsidP="004E6007">
      <w:pPr>
        <w:pStyle w:val="ARbody"/>
      </w:pPr>
      <w:r w:rsidRPr="002029AF">
        <w:t>Victorians should experience safe homes that</w:t>
      </w:r>
      <w:r w:rsidR="00D06D1E">
        <w:t> </w:t>
      </w:r>
      <w:r w:rsidRPr="002029AF">
        <w:t xml:space="preserve">provide emotional and physical sanctuary. Victorians </w:t>
      </w:r>
      <w:r>
        <w:t xml:space="preserve">should </w:t>
      </w:r>
      <w:r w:rsidRPr="002029AF">
        <w:t>have security of tenure in houses that are appropriate and affordable. This outcome includes supports to address and reduce housing insecurity and homelessness, to enable suitable housing for all, and to achieve stability and permanency for children in care.</w:t>
      </w:r>
    </w:p>
    <w:p w14:paraId="60810E12" w14:textId="77777777" w:rsidR="00603E4B" w:rsidRPr="002029AF" w:rsidRDefault="00603E4B" w:rsidP="00603E4B">
      <w:pPr>
        <w:pStyle w:val="Heading5"/>
        <w:rPr>
          <w:szCs w:val="22"/>
        </w:rPr>
      </w:pPr>
      <w:r w:rsidRPr="002029AF">
        <w:rPr>
          <w:szCs w:val="22"/>
        </w:rPr>
        <w:t>Progress against outcomes</w:t>
      </w:r>
    </w:p>
    <w:p w14:paraId="6A8A8EBC" w14:textId="77777777" w:rsidR="004220FF" w:rsidRPr="002029AF" w:rsidRDefault="004220FF" w:rsidP="004220FF">
      <w:pPr>
        <w:pStyle w:val="ARbody"/>
      </w:pPr>
      <w:r w:rsidRPr="002029AF">
        <w:t>Our focus this year has been to ensure every person in Victoria has safe, adequate and appropriate housing at a price within their means.</w:t>
      </w:r>
    </w:p>
    <w:p w14:paraId="6092A367" w14:textId="77777777" w:rsidR="004220FF" w:rsidRPr="002029AF" w:rsidRDefault="004220FF" w:rsidP="004220FF">
      <w:pPr>
        <w:pStyle w:val="ARbody"/>
      </w:pPr>
      <w:r w:rsidRPr="002029AF">
        <w:t xml:space="preserve">To achieve this, we have progressed our commitment to build new public housing properties and continued our work through </w:t>
      </w:r>
      <w:r w:rsidRPr="002029AF">
        <w:rPr>
          <w:i/>
        </w:rPr>
        <w:t>Homes for Victorians</w:t>
      </w:r>
      <w:r w:rsidRPr="002029AF">
        <w:t xml:space="preserve"> to renew and replace </w:t>
      </w:r>
      <w:r>
        <w:t xml:space="preserve">ageing </w:t>
      </w:r>
      <w:r w:rsidRPr="002029AF">
        <w:t>public housing estates with modern dwellings.</w:t>
      </w:r>
    </w:p>
    <w:p w14:paraId="74938FD7" w14:textId="46BFAEBB" w:rsidR="004220FF" w:rsidRPr="002029AF" w:rsidRDefault="004220FF" w:rsidP="004220FF">
      <w:pPr>
        <w:pStyle w:val="ARbody"/>
      </w:pPr>
      <w:r w:rsidRPr="002029AF">
        <w:t>We have also continued work to facilitate early interventions and pathways for those who are</w:t>
      </w:r>
      <w:r>
        <w:t xml:space="preserve"> </w:t>
      </w:r>
      <w:r w:rsidR="00495DFB">
        <w:t xml:space="preserve">homeless </w:t>
      </w:r>
      <w:r>
        <w:t>or are at risk of experiencing</w:t>
      </w:r>
      <w:r w:rsidRPr="002029AF">
        <w:t xml:space="preserve"> homeless</w:t>
      </w:r>
      <w:r>
        <w:t>ness</w:t>
      </w:r>
      <w:r w:rsidRPr="002029AF">
        <w:t xml:space="preserve"> by building better connections between services and strengthening referral pathways and responses for</w:t>
      </w:r>
      <w:r>
        <w:t> </w:t>
      </w:r>
      <w:r w:rsidRPr="002029AF">
        <w:t>priority groups.</w:t>
      </w:r>
    </w:p>
    <w:p w14:paraId="5C021ABF" w14:textId="2ED7FD8F" w:rsidR="004220FF" w:rsidRPr="002029AF" w:rsidRDefault="004220FF" w:rsidP="004220FF">
      <w:pPr>
        <w:pStyle w:val="ARbody"/>
      </w:pPr>
      <w:r w:rsidRPr="002029AF">
        <w:t xml:space="preserve">The Victorian bushfires and coronavirus </w:t>
      </w:r>
      <w:r>
        <w:br/>
      </w:r>
      <w:r w:rsidRPr="002029AF">
        <w:t xml:space="preserve">(COVID-19) pandemic </w:t>
      </w:r>
      <w:r>
        <w:t>have</w:t>
      </w:r>
      <w:r w:rsidRPr="002029AF">
        <w:t xml:space="preserve"> presented a unique challenge in 2020 and we have responded to ensure that all Victorians have access to safe and secure housing, including those </w:t>
      </w:r>
      <w:r>
        <w:t xml:space="preserve">experiencing </w:t>
      </w:r>
      <w:r w:rsidRPr="002029AF">
        <w:t>homeless</w:t>
      </w:r>
      <w:r>
        <w:t>ness</w:t>
      </w:r>
      <w:r w:rsidRPr="002029AF">
        <w:t xml:space="preserve"> and those facing an increased risk of family violence as people self-isolate in their homes.</w:t>
      </w:r>
    </w:p>
    <w:p w14:paraId="284C080A" w14:textId="77777777" w:rsidR="00603E4B" w:rsidRPr="002029AF" w:rsidRDefault="00603E4B" w:rsidP="00603E4B">
      <w:pPr>
        <w:pStyle w:val="ARbody"/>
      </w:pPr>
      <w:r w:rsidRPr="002029AF">
        <w:t>Key achievements in 2019–20 are outlined below.</w:t>
      </w:r>
    </w:p>
    <w:p w14:paraId="07DD1E8F" w14:textId="17FACC4C" w:rsidR="00603E4B" w:rsidRPr="002029AF" w:rsidRDefault="00603E4B" w:rsidP="00603E4B">
      <w:pPr>
        <w:pStyle w:val="Heading6"/>
        <w:rPr>
          <w:lang w:val="en-AU"/>
        </w:rPr>
      </w:pPr>
      <w:r w:rsidRPr="002029AF">
        <w:rPr>
          <w:lang w:val="en-AU"/>
        </w:rPr>
        <w:t xml:space="preserve">Expansion of Private Rental </w:t>
      </w:r>
      <w:r w:rsidR="007F5C48">
        <w:rPr>
          <w:lang w:val="en-AU"/>
        </w:rPr>
        <w:t>Assistance</w:t>
      </w:r>
      <w:r w:rsidRPr="002029AF">
        <w:rPr>
          <w:lang w:val="en-AU"/>
        </w:rPr>
        <w:t xml:space="preserve"> Program</w:t>
      </w:r>
    </w:p>
    <w:p w14:paraId="38483B5E" w14:textId="1494A35E" w:rsidR="004E6007" w:rsidRPr="002029AF" w:rsidRDefault="004E6007" w:rsidP="004E6007">
      <w:pPr>
        <w:pStyle w:val="ARbody"/>
      </w:pPr>
      <w:r w:rsidRPr="002029AF">
        <w:t xml:space="preserve">The Private Rental </w:t>
      </w:r>
      <w:r w:rsidR="007F5C48">
        <w:t>Assistance</w:t>
      </w:r>
      <w:r w:rsidRPr="002029AF">
        <w:t xml:space="preserve"> Program Plus was launched in late 2019 in response to feedback from service providers of the need for increased support for some households accessing private rental.</w:t>
      </w:r>
    </w:p>
    <w:p w14:paraId="461A486F" w14:textId="77777777" w:rsidR="004E6007" w:rsidRPr="002029AF" w:rsidRDefault="004E6007" w:rsidP="004E6007">
      <w:pPr>
        <w:pStyle w:val="ARbody"/>
      </w:pPr>
      <w:r w:rsidRPr="002029AF">
        <w:t>It is an outreach intervention for households living in or entering private rental tenancies that require additional practical support to establish or maintain their housing.</w:t>
      </w:r>
    </w:p>
    <w:p w14:paraId="0F83A8C9" w14:textId="48413978" w:rsidR="004220FF" w:rsidRPr="002029AF" w:rsidRDefault="00C77EDB" w:rsidP="004220FF">
      <w:pPr>
        <w:pStyle w:val="ARbody"/>
      </w:pPr>
      <w:r>
        <w:br w:type="column"/>
      </w:r>
      <w:r w:rsidR="004220FF" w:rsidRPr="002029AF">
        <w:t>Work has also commenced to progress the Aboriginal Private Rental Assistance Program in</w:t>
      </w:r>
      <w:r w:rsidR="004220FF">
        <w:t> </w:t>
      </w:r>
      <w:r w:rsidR="004220FF" w:rsidRPr="002029AF">
        <w:t>line with the department</w:t>
      </w:r>
      <w:r w:rsidR="005F298C">
        <w:t>’</w:t>
      </w:r>
      <w:r w:rsidR="004220FF" w:rsidRPr="002029AF">
        <w:t xml:space="preserve">s policies of self-determination and the objectives identified in the </w:t>
      </w:r>
      <w:r w:rsidR="004220FF" w:rsidRPr="002029AF">
        <w:rPr>
          <w:i/>
        </w:rPr>
        <w:t xml:space="preserve">Victorian Aboriginal </w:t>
      </w:r>
      <w:r w:rsidR="004220FF">
        <w:rPr>
          <w:i/>
        </w:rPr>
        <w:t>h</w:t>
      </w:r>
      <w:r w:rsidR="004220FF" w:rsidRPr="002029AF">
        <w:rPr>
          <w:i/>
        </w:rPr>
        <w:t xml:space="preserve">ousing and </w:t>
      </w:r>
      <w:r w:rsidR="004220FF">
        <w:rPr>
          <w:i/>
        </w:rPr>
        <w:t>h</w:t>
      </w:r>
      <w:r w:rsidR="004220FF" w:rsidRPr="002029AF">
        <w:rPr>
          <w:i/>
        </w:rPr>
        <w:t xml:space="preserve">omelessness </w:t>
      </w:r>
      <w:r w:rsidR="004220FF">
        <w:rPr>
          <w:i/>
        </w:rPr>
        <w:t>f</w:t>
      </w:r>
      <w:r w:rsidR="004220FF" w:rsidRPr="002029AF">
        <w:rPr>
          <w:i/>
        </w:rPr>
        <w:t>ramework</w:t>
      </w:r>
      <w:r w:rsidR="004220FF">
        <w:rPr>
          <w:i/>
        </w:rPr>
        <w:t xml:space="preserve">. </w:t>
      </w:r>
      <w:r w:rsidR="004220FF" w:rsidRPr="004220FF">
        <w:rPr>
          <w:iCs/>
        </w:rPr>
        <w:t>The framework,</w:t>
      </w:r>
      <w:r w:rsidR="004220FF">
        <w:rPr>
          <w:i/>
        </w:rPr>
        <w:t xml:space="preserve"> Mana-na, worn-tyeen maar-takoort: Every Aboriginal Person Has a Home, was</w:t>
      </w:r>
      <w:r w:rsidR="004220FF" w:rsidRPr="002029AF">
        <w:t xml:space="preserve"> released in February 2020.</w:t>
      </w:r>
    </w:p>
    <w:p w14:paraId="48EECDD5" w14:textId="77777777" w:rsidR="004220FF" w:rsidRPr="002029AF" w:rsidRDefault="004220FF" w:rsidP="004220FF">
      <w:pPr>
        <w:pStyle w:val="ARbody"/>
      </w:pPr>
      <w:r w:rsidRPr="002029AF">
        <w:t xml:space="preserve">The </w:t>
      </w:r>
      <w:r>
        <w:t>f</w:t>
      </w:r>
      <w:r w:rsidRPr="002029AF">
        <w:t>ramework aims to have 5000 or more additional social housing units for Aboriginal people</w:t>
      </w:r>
      <w:r>
        <w:t> </w:t>
      </w:r>
      <w:r w:rsidRPr="002029AF">
        <w:t>by 2036.</w:t>
      </w:r>
    </w:p>
    <w:p w14:paraId="105EA3B3" w14:textId="0C5B41AB" w:rsidR="00603E4B" w:rsidRPr="00BA07B9" w:rsidRDefault="00603E4B" w:rsidP="004220FF">
      <w:pPr>
        <w:pStyle w:val="ARbody"/>
        <w:rPr>
          <w:b/>
          <w:bCs/>
        </w:rPr>
      </w:pPr>
      <w:r w:rsidRPr="00BA07B9">
        <w:rPr>
          <w:b/>
          <w:bCs/>
        </w:rPr>
        <w:t>Social Housing Growth Fund</w:t>
      </w:r>
    </w:p>
    <w:p w14:paraId="19BAD4F5" w14:textId="77777777" w:rsidR="00603E4B" w:rsidRPr="002029AF" w:rsidRDefault="00603E4B" w:rsidP="00603E4B">
      <w:pPr>
        <w:pStyle w:val="ARbody"/>
      </w:pPr>
      <w:r w:rsidRPr="002029AF">
        <w:t>The department has continued to progress work through the Social Housing Growth Fund. In May 2020 the latest tranche of funding was announced, which will deliver more than 780 new social housing dwellings across 25 locations in Melbourne and regional Victoria.</w:t>
      </w:r>
    </w:p>
    <w:p w14:paraId="2F88870F" w14:textId="77777777" w:rsidR="00603E4B" w:rsidRPr="002029AF" w:rsidRDefault="00603E4B" w:rsidP="00603E4B">
      <w:pPr>
        <w:pStyle w:val="ARbody"/>
      </w:pPr>
      <w:r w:rsidRPr="002029AF">
        <w:t>Key achievements in 2019–20 include:</w:t>
      </w:r>
    </w:p>
    <w:p w14:paraId="23B20BF0" w14:textId="3229B338" w:rsidR="00603E4B" w:rsidRPr="002029AF" w:rsidRDefault="00603E4B" w:rsidP="00FF3CAB">
      <w:pPr>
        <w:pStyle w:val="ARbullet1"/>
        <w:numPr>
          <w:ilvl w:val="0"/>
          <w:numId w:val="51"/>
        </w:numPr>
      </w:pPr>
      <w:r w:rsidRPr="002029AF">
        <w:t>a partnership between Common Equity Housing Limited and Affordable Rentals Victoria, which has delivered around 100 new and affordable homes</w:t>
      </w:r>
    </w:p>
    <w:p w14:paraId="0080C697" w14:textId="77777777" w:rsidR="00603E4B" w:rsidRPr="002029AF" w:rsidRDefault="00603E4B" w:rsidP="00FF3CAB">
      <w:pPr>
        <w:pStyle w:val="ARbullet1"/>
        <w:numPr>
          <w:ilvl w:val="0"/>
          <w:numId w:val="51"/>
        </w:numPr>
      </w:pPr>
      <w:r w:rsidRPr="002029AF">
        <w:t>the conclusion of round one of the New Rentals Development Program and the selection of leasing projects from three registered community housing agencies through a competitive tender process.</w:t>
      </w:r>
    </w:p>
    <w:p w14:paraId="674F3E82" w14:textId="77777777" w:rsidR="00603E4B" w:rsidRPr="002029AF" w:rsidRDefault="00603E4B" w:rsidP="00603E4B">
      <w:pPr>
        <w:pStyle w:val="Heading5"/>
        <w:rPr>
          <w:rFonts w:eastAsia="Calibri"/>
        </w:rPr>
      </w:pPr>
      <w:r w:rsidRPr="002029AF">
        <w:rPr>
          <w:rFonts w:eastAsia="Calibri"/>
        </w:rPr>
        <w:t>Key result 18: Reduce the proportion of the population experiencing homelessness – especially victims of family violence and young people</w:t>
      </w:r>
    </w:p>
    <w:p w14:paraId="661DEF25" w14:textId="77777777" w:rsidR="00603E4B" w:rsidRPr="002029AF" w:rsidRDefault="00603E4B" w:rsidP="00603E4B">
      <w:pPr>
        <w:pStyle w:val="Heading6"/>
        <w:rPr>
          <w:lang w:val="en-AU"/>
        </w:rPr>
      </w:pPr>
      <w:r w:rsidRPr="002029AF">
        <w:rPr>
          <w:lang w:val="en-AU"/>
        </w:rPr>
        <w:t>Keeping Victorians in safe and stable homes during the coronavirus (COVID-19) pandemic</w:t>
      </w:r>
    </w:p>
    <w:p w14:paraId="256C55A7" w14:textId="029A1EF2" w:rsidR="00603E4B" w:rsidRPr="002029AF" w:rsidRDefault="00603E4B" w:rsidP="00603E4B">
      <w:pPr>
        <w:pStyle w:val="ARbody"/>
      </w:pPr>
      <w:r w:rsidRPr="002029AF">
        <w:t>There has been increased family violence funding for crisis accommodation during coronavirus (COVID-19). The increased urgency, severity and</w:t>
      </w:r>
      <w:r w:rsidR="00D06D1E">
        <w:t> </w:t>
      </w:r>
      <w:r w:rsidRPr="002029AF">
        <w:t>complexity of housing challenges has also led</w:t>
      </w:r>
      <w:r w:rsidR="00D06D1E">
        <w:t> </w:t>
      </w:r>
      <w:r w:rsidRPr="002029AF">
        <w:t>to stronger collaboration across agencies.</w:t>
      </w:r>
    </w:p>
    <w:p w14:paraId="481EC122" w14:textId="77777777" w:rsidR="00603E4B" w:rsidRPr="002029AF" w:rsidRDefault="00603E4B" w:rsidP="00603E4B">
      <w:pPr>
        <w:pStyle w:val="ARbody"/>
      </w:pPr>
      <w:r w:rsidRPr="002029AF">
        <w:t>In April 2020, the Minister for the Prevention of Family Violence and the Minister for Housing announced a $40.2 million package over two years, including $20 million in short-term accommodation for family violence victim survivors who do not feel safe isolating or recovering from coronavirus (COVID-19) at home.</w:t>
      </w:r>
    </w:p>
    <w:p w14:paraId="6FB32679" w14:textId="77777777" w:rsidR="00C77EDB" w:rsidRPr="00C77EDB" w:rsidRDefault="00C77EDB" w:rsidP="00C77EDB">
      <w:pPr>
        <w:pStyle w:val="ARbody"/>
      </w:pPr>
      <w:r w:rsidRPr="00C77EDB">
        <w:br w:type="page"/>
      </w:r>
    </w:p>
    <w:p w14:paraId="5EE40A8B" w14:textId="5F703BCE" w:rsidR="00603E4B" w:rsidRPr="002029AF" w:rsidRDefault="00603E4B" w:rsidP="00603E4B">
      <w:pPr>
        <w:pStyle w:val="ARbody"/>
      </w:pPr>
      <w:r w:rsidRPr="002029AF">
        <w:lastRenderedPageBreak/>
        <w:t>Further coronavirus (COVID-19)-related housing investment and response measures have included:</w:t>
      </w:r>
    </w:p>
    <w:p w14:paraId="6D75647D" w14:textId="06AD8E66" w:rsidR="00603E4B" w:rsidRPr="002029AF" w:rsidRDefault="00603E4B" w:rsidP="00FF3CAB">
      <w:pPr>
        <w:pStyle w:val="ARbullet1"/>
        <w:numPr>
          <w:ilvl w:val="0"/>
          <w:numId w:val="51"/>
        </w:numPr>
      </w:pPr>
      <w:r w:rsidRPr="002029AF">
        <w:t xml:space="preserve">providing emergency accommodation for people experiencing homelessness </w:t>
      </w:r>
      <w:r w:rsidR="007F5C48">
        <w:t xml:space="preserve">by investing </w:t>
      </w:r>
      <w:r w:rsidR="007F5C48" w:rsidRPr="00CD6B62">
        <w:t xml:space="preserve">$6 million </w:t>
      </w:r>
      <w:r w:rsidR="007F5C48">
        <w:t>in March</w:t>
      </w:r>
      <w:r w:rsidR="008D310B">
        <w:t xml:space="preserve"> 2020</w:t>
      </w:r>
      <w:r w:rsidR="007F5C48">
        <w:t xml:space="preserve"> </w:t>
      </w:r>
      <w:r w:rsidR="007F5C48" w:rsidRPr="00CD6B62">
        <w:t>for the Private Rental Assistance Program and Housing Establishment Fund (HEF) to help</w:t>
      </w:r>
      <w:r w:rsidR="007F5C48">
        <w:t xml:space="preserve"> homelessness services</w:t>
      </w:r>
      <w:r w:rsidR="007F5C48" w:rsidRPr="00CD6B62">
        <w:t xml:space="preserve"> find temporary housing for those who need it most</w:t>
      </w:r>
      <w:r w:rsidR="007F5C48">
        <w:t xml:space="preserve">. An additional </w:t>
      </w:r>
      <w:r w:rsidR="007F5C48" w:rsidRPr="009753A7">
        <w:t xml:space="preserve">$9.8 million was provided </w:t>
      </w:r>
      <w:r w:rsidR="007F5C48">
        <w:t>in June</w:t>
      </w:r>
      <w:r w:rsidR="008D310B">
        <w:t xml:space="preserve"> 2020,</w:t>
      </w:r>
      <w:r w:rsidR="007F5C48">
        <w:t xml:space="preserve"> which </w:t>
      </w:r>
      <w:r w:rsidR="007F5C48" w:rsidRPr="009753A7">
        <w:t>include</w:t>
      </w:r>
      <w:r w:rsidR="007F5C48">
        <w:t>d</w:t>
      </w:r>
      <w:r w:rsidR="007F5C48" w:rsidRPr="009753A7">
        <w:t xml:space="preserve"> additional HEF to keep people in safe accommodation and additional specialist support workers, including </w:t>
      </w:r>
      <w:r w:rsidR="008D310B">
        <w:t>d</w:t>
      </w:r>
      <w:r w:rsidR="007F5C48" w:rsidRPr="009753A7">
        <w:t xml:space="preserve">rug and </w:t>
      </w:r>
      <w:r w:rsidR="008D310B">
        <w:t>a</w:t>
      </w:r>
      <w:r w:rsidR="007F5C48" w:rsidRPr="009753A7">
        <w:t>lcohol support</w:t>
      </w:r>
    </w:p>
    <w:p w14:paraId="4B9D0220" w14:textId="062C2793" w:rsidR="00603E4B" w:rsidRPr="002029AF" w:rsidRDefault="00603E4B" w:rsidP="00FF3CAB">
      <w:pPr>
        <w:pStyle w:val="ARbullet1"/>
        <w:numPr>
          <w:ilvl w:val="0"/>
          <w:numId w:val="51"/>
        </w:numPr>
      </w:pPr>
      <w:r w:rsidRPr="002029AF">
        <w:t>establishing four coronavirus (COVID-19) isolation and recovery facilities to ensure people experiencing homelessness have somewhere safe to isolate and recover. These facilities have now been partially repurposed to accommodate people experiencing homelessness who have chronic health needs</w:t>
      </w:r>
    </w:p>
    <w:p w14:paraId="6167630F" w14:textId="66F6F7EF" w:rsidR="00603E4B" w:rsidRPr="002029AF" w:rsidRDefault="00603E4B" w:rsidP="00FF3CAB">
      <w:pPr>
        <w:pStyle w:val="ARbullet1"/>
        <w:numPr>
          <w:ilvl w:val="0"/>
          <w:numId w:val="51"/>
        </w:numPr>
      </w:pPr>
      <w:r w:rsidRPr="002029AF">
        <w:t>allocating additional funding to ensure people experiencing homelessness residing temporarily in emergency hotel accommodation continue to receive support and accommodation until the end of July 2020</w:t>
      </w:r>
    </w:p>
    <w:p w14:paraId="565023B2" w14:textId="1C5ED38C" w:rsidR="00603E4B" w:rsidRPr="002029AF" w:rsidRDefault="004220FF" w:rsidP="00FF3CAB">
      <w:pPr>
        <w:pStyle w:val="ARbullet1"/>
        <w:numPr>
          <w:ilvl w:val="0"/>
          <w:numId w:val="51"/>
        </w:numPr>
      </w:pPr>
      <w:r>
        <w:t>increasing</w:t>
      </w:r>
      <w:r w:rsidR="00603E4B" w:rsidRPr="002029AF">
        <w:t xml:space="preserve"> the quality and safety of social housing, investing $500 million to build 168 new units and upgrade 23,000 dwellings through the $2.7 billion Building Works investment package. This includes: funding for Aboriginal Housing </w:t>
      </w:r>
      <w:r w:rsidR="00603E4B" w:rsidRPr="002029AF">
        <w:t>Victoria sites in Hampton Park and Dandenong, creating 12 homes; $35 million for upgrades, maintenance and repairs of existing Aboriginal social housing; and $10 million to accelerate and increase a range of new and existing activities to support women and children escaping family violence.</w:t>
      </w:r>
    </w:p>
    <w:p w14:paraId="5B76370F" w14:textId="77777777" w:rsidR="00603E4B" w:rsidRPr="002029AF" w:rsidRDefault="00603E4B" w:rsidP="00603E4B">
      <w:pPr>
        <w:pStyle w:val="Heading6"/>
        <w:rPr>
          <w:lang w:val="en-AU"/>
        </w:rPr>
      </w:pPr>
      <w:r w:rsidRPr="002029AF">
        <w:rPr>
          <w:lang w:val="en-AU"/>
        </w:rPr>
        <w:t>Building new homes to tackle homelessness</w:t>
      </w:r>
    </w:p>
    <w:p w14:paraId="472935ED" w14:textId="75247D98" w:rsidR="004E6007" w:rsidRPr="002029AF" w:rsidRDefault="004E6007" w:rsidP="004E6007">
      <w:pPr>
        <w:pStyle w:val="ARbody"/>
      </w:pPr>
      <w:r w:rsidRPr="002029AF">
        <w:t>The Victorian Government announced in October 2018 that it would help more Victorians escaping family violence and homelessness by building 1,000 new public housing properties by 2022. The</w:t>
      </w:r>
      <w:r w:rsidR="00D06D1E">
        <w:t> </w:t>
      </w:r>
      <w:r w:rsidRPr="002029AF">
        <w:t>department has progressed this work, with construction commencing in December 2019.</w:t>
      </w:r>
    </w:p>
    <w:p w14:paraId="1306A23D" w14:textId="77777777" w:rsidR="004E6007" w:rsidRPr="002029AF" w:rsidRDefault="004E6007" w:rsidP="004E6007">
      <w:pPr>
        <w:pStyle w:val="ARbody"/>
      </w:pPr>
      <w:r w:rsidRPr="002029AF">
        <w:t>Further key achievements under this project in 2019–20 include:</w:t>
      </w:r>
    </w:p>
    <w:p w14:paraId="008AA92C" w14:textId="0F2E9E7F" w:rsidR="004E6007" w:rsidRPr="002029AF" w:rsidRDefault="004E6007" w:rsidP="00FF3CAB">
      <w:pPr>
        <w:pStyle w:val="ARbullet1"/>
        <w:numPr>
          <w:ilvl w:val="0"/>
          <w:numId w:val="51"/>
        </w:numPr>
      </w:pPr>
      <w:r w:rsidRPr="002029AF">
        <w:t>as at 31 December 2019, the completion of</w:t>
      </w:r>
      <w:r w:rsidR="00D06D1E">
        <w:t> </w:t>
      </w:r>
      <w:r w:rsidRPr="002029AF">
        <w:t>623</w:t>
      </w:r>
      <w:r w:rsidR="00D06D1E">
        <w:t> </w:t>
      </w:r>
      <w:r w:rsidRPr="002029AF">
        <w:t>upgrades</w:t>
      </w:r>
    </w:p>
    <w:p w14:paraId="6288BA80" w14:textId="77777777" w:rsidR="004E6007" w:rsidRPr="002029AF" w:rsidRDefault="004E6007" w:rsidP="00FF3CAB">
      <w:pPr>
        <w:pStyle w:val="ARbullet1"/>
        <w:numPr>
          <w:ilvl w:val="0"/>
          <w:numId w:val="51"/>
        </w:numPr>
      </w:pPr>
      <w:r w:rsidRPr="002029AF">
        <w:t>the completion of ten units in Geelong and Darebin in June 2020</w:t>
      </w:r>
    </w:p>
    <w:p w14:paraId="32679F36" w14:textId="77777777" w:rsidR="004E6007" w:rsidRPr="002029AF" w:rsidRDefault="004E6007" w:rsidP="00FF3CAB">
      <w:pPr>
        <w:pStyle w:val="ARbullet1"/>
        <w:numPr>
          <w:ilvl w:val="0"/>
          <w:numId w:val="51"/>
        </w:numPr>
      </w:pPr>
      <w:r w:rsidRPr="002029AF">
        <w:t xml:space="preserve">the lodging of 173 town planning submissions awaiting </w:t>
      </w:r>
      <w:r>
        <w:t>c</w:t>
      </w:r>
      <w:r w:rsidRPr="002029AF">
        <w:t>ouncil approval</w:t>
      </w:r>
    </w:p>
    <w:p w14:paraId="4C53B056" w14:textId="0A8335B2" w:rsidR="004E6007" w:rsidRPr="002029AF" w:rsidRDefault="004E6007" w:rsidP="00FF3CAB">
      <w:pPr>
        <w:pStyle w:val="ARbullet1"/>
        <w:numPr>
          <w:ilvl w:val="0"/>
          <w:numId w:val="51"/>
        </w:numPr>
      </w:pPr>
      <w:r w:rsidRPr="002029AF">
        <w:t xml:space="preserve">the securing of nine additional sites in </w:t>
      </w:r>
      <w:r w:rsidR="00D06D1E">
        <w:br/>
      </w:r>
      <w:r w:rsidRPr="002029AF">
        <w:t>bushfire-affected areas.</w:t>
      </w:r>
    </w:p>
    <w:p w14:paraId="7DD343C6" w14:textId="186E0215" w:rsidR="00603E4B" w:rsidRPr="00CD6723" w:rsidRDefault="004E6007" w:rsidP="00CD6723">
      <w:pPr>
        <w:pStyle w:val="ARbodyafterbullets"/>
      </w:pPr>
      <w:r w:rsidRPr="002029AF">
        <w:t>While progress has continued this year, disruption to town planning processes for new public homes in some councils due to the coronavirus (COVID-19) pandemic has impacted delivery.</w:t>
      </w:r>
      <w:r w:rsidR="00603E4B" w:rsidRPr="002029AF">
        <w:br w:type="page"/>
      </w:r>
    </w:p>
    <w:p w14:paraId="2CDC1138" w14:textId="77777777" w:rsidR="00603E4B" w:rsidRPr="002029AF" w:rsidRDefault="00603E4B" w:rsidP="00603E4B">
      <w:pPr>
        <w:pStyle w:val="ARbody"/>
        <w:sectPr w:rsidR="00603E4B" w:rsidRPr="002029AF" w:rsidSect="00B45A1D">
          <w:footnotePr>
            <w:numFmt w:val="chicago"/>
            <w:numRestart w:val="eachPage"/>
          </w:footnotePr>
          <w:endnotePr>
            <w:numFmt w:val="decimal"/>
          </w:endnotePr>
          <w:type w:val="continuous"/>
          <w:pgSz w:w="11900" w:h="16840" w:code="9"/>
          <w:pgMar w:top="1985" w:right="851" w:bottom="851" w:left="1418" w:header="510" w:footer="340" w:gutter="0"/>
          <w:cols w:num="2" w:space="454"/>
          <w15:footnoteColumns w:val="1"/>
        </w:sectPr>
      </w:pPr>
    </w:p>
    <w:p w14:paraId="118D68CA" w14:textId="77777777" w:rsidR="00603E4B" w:rsidRPr="002029AF" w:rsidRDefault="00603E4B" w:rsidP="002C0C09">
      <w:pPr>
        <w:pStyle w:val="Heading4larger"/>
      </w:pPr>
      <w:bookmarkStart w:id="42" w:name="_Toc50383609"/>
      <w:r w:rsidRPr="002029AF">
        <w:lastRenderedPageBreak/>
        <w:t>Objective 2: Indicator results</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6A0" w:firstRow="1" w:lastRow="0" w:firstColumn="1" w:lastColumn="0" w:noHBand="1" w:noVBand="1"/>
      </w:tblPr>
      <w:tblGrid>
        <w:gridCol w:w="5193"/>
        <w:gridCol w:w="1010"/>
        <w:gridCol w:w="1010"/>
        <w:gridCol w:w="1006"/>
        <w:gridCol w:w="1420"/>
      </w:tblGrid>
      <w:tr w:rsidR="00677E7A" w:rsidRPr="002029AF" w14:paraId="12C9ECDD" w14:textId="77777777" w:rsidTr="00F4536C">
        <w:trPr>
          <w:cantSplit/>
          <w:tblHeader/>
        </w:trPr>
        <w:tc>
          <w:tcPr>
            <w:tcW w:w="5193" w:type="dxa"/>
            <w:tcBorders>
              <w:top w:val="nil"/>
              <w:left w:val="nil"/>
              <w:bottom w:val="single" w:sz="4" w:space="0" w:color="auto"/>
              <w:right w:val="nil"/>
            </w:tcBorders>
            <w:vAlign w:val="bottom"/>
          </w:tcPr>
          <w:p w14:paraId="6C9D39A5" w14:textId="77777777" w:rsidR="00677E7A" w:rsidRPr="002029AF" w:rsidRDefault="00677E7A" w:rsidP="00F4536C">
            <w:pPr>
              <w:pStyle w:val="ARtablecolhead"/>
            </w:pPr>
          </w:p>
        </w:tc>
        <w:tc>
          <w:tcPr>
            <w:tcW w:w="1010" w:type="dxa"/>
            <w:tcBorders>
              <w:top w:val="nil"/>
              <w:left w:val="nil"/>
              <w:bottom w:val="single" w:sz="4" w:space="0" w:color="auto"/>
              <w:right w:val="nil"/>
            </w:tcBorders>
            <w:vAlign w:val="bottom"/>
            <w:hideMark/>
          </w:tcPr>
          <w:p w14:paraId="66B95C69" w14:textId="77777777" w:rsidR="00677E7A" w:rsidRPr="002029AF" w:rsidRDefault="00677E7A" w:rsidP="00F4536C">
            <w:pPr>
              <w:pStyle w:val="ARtablecolhead"/>
            </w:pPr>
            <w:r w:rsidRPr="002029AF">
              <w:t>2016–17</w:t>
            </w:r>
          </w:p>
        </w:tc>
        <w:tc>
          <w:tcPr>
            <w:tcW w:w="1010" w:type="dxa"/>
            <w:tcBorders>
              <w:top w:val="nil"/>
              <w:left w:val="nil"/>
              <w:bottom w:val="single" w:sz="4" w:space="0" w:color="auto"/>
              <w:right w:val="nil"/>
            </w:tcBorders>
            <w:vAlign w:val="bottom"/>
            <w:hideMark/>
          </w:tcPr>
          <w:p w14:paraId="701B1084" w14:textId="77777777" w:rsidR="00677E7A" w:rsidRPr="002029AF" w:rsidRDefault="00677E7A" w:rsidP="00F4536C">
            <w:pPr>
              <w:pStyle w:val="ARtablecolhead"/>
            </w:pPr>
            <w:r w:rsidRPr="002029AF">
              <w:t>2017–18</w:t>
            </w:r>
          </w:p>
        </w:tc>
        <w:tc>
          <w:tcPr>
            <w:tcW w:w="1006" w:type="dxa"/>
            <w:tcBorders>
              <w:top w:val="nil"/>
              <w:left w:val="nil"/>
              <w:bottom w:val="single" w:sz="4" w:space="0" w:color="auto"/>
              <w:right w:val="nil"/>
            </w:tcBorders>
            <w:vAlign w:val="bottom"/>
            <w:hideMark/>
          </w:tcPr>
          <w:p w14:paraId="59559921" w14:textId="77777777" w:rsidR="00677E7A" w:rsidRPr="002029AF" w:rsidRDefault="00677E7A" w:rsidP="00F4536C">
            <w:pPr>
              <w:pStyle w:val="ARtablecolhead"/>
            </w:pPr>
            <w:r w:rsidRPr="002029AF">
              <w:t>2018–19</w:t>
            </w:r>
          </w:p>
        </w:tc>
        <w:tc>
          <w:tcPr>
            <w:tcW w:w="1420" w:type="dxa"/>
            <w:tcBorders>
              <w:top w:val="nil"/>
              <w:left w:val="nil"/>
              <w:bottom w:val="single" w:sz="4" w:space="0" w:color="auto"/>
              <w:right w:val="nil"/>
            </w:tcBorders>
            <w:vAlign w:val="bottom"/>
          </w:tcPr>
          <w:p w14:paraId="43E06686" w14:textId="77777777" w:rsidR="00677E7A" w:rsidRPr="002029AF" w:rsidRDefault="00677E7A" w:rsidP="00F4536C">
            <w:pPr>
              <w:pStyle w:val="ARtablecolhead"/>
            </w:pPr>
            <w:r w:rsidRPr="002029AF">
              <w:t>2019–20</w:t>
            </w:r>
          </w:p>
        </w:tc>
      </w:tr>
      <w:tr w:rsidR="00677E7A" w:rsidRPr="002029AF" w14:paraId="2E988F27" w14:textId="77777777" w:rsidTr="00F4536C">
        <w:trPr>
          <w:cantSplit/>
        </w:trPr>
        <w:tc>
          <w:tcPr>
            <w:tcW w:w="9639" w:type="dxa"/>
            <w:gridSpan w:val="5"/>
            <w:tcBorders>
              <w:top w:val="single" w:sz="4" w:space="0" w:color="auto"/>
              <w:left w:val="nil"/>
              <w:bottom w:val="single" w:sz="4" w:space="0" w:color="auto"/>
              <w:right w:val="nil"/>
            </w:tcBorders>
            <w:hideMark/>
          </w:tcPr>
          <w:p w14:paraId="67908704" w14:textId="77777777" w:rsidR="00677E7A" w:rsidRPr="002029AF" w:rsidRDefault="00677E7A" w:rsidP="0054384A">
            <w:pPr>
              <w:pStyle w:val="ARtablesubhead"/>
              <w:spacing w:before="60"/>
            </w:pPr>
            <w:r w:rsidRPr="002029AF">
              <w:t>Victorians live free from violence and abuse</w:t>
            </w:r>
          </w:p>
        </w:tc>
      </w:tr>
      <w:tr w:rsidR="00677E7A" w:rsidRPr="002029AF" w14:paraId="2D883053" w14:textId="77777777" w:rsidTr="00F4536C">
        <w:trPr>
          <w:cantSplit/>
        </w:trPr>
        <w:tc>
          <w:tcPr>
            <w:tcW w:w="5193" w:type="dxa"/>
            <w:tcBorders>
              <w:top w:val="single" w:sz="4" w:space="0" w:color="auto"/>
              <w:left w:val="nil"/>
              <w:bottom w:val="single" w:sz="4" w:space="0" w:color="AEAAAA" w:themeColor="background2" w:themeShade="BF"/>
              <w:right w:val="nil"/>
            </w:tcBorders>
            <w:hideMark/>
          </w:tcPr>
          <w:p w14:paraId="2DB897D2" w14:textId="77777777" w:rsidR="00677E7A" w:rsidRPr="002029AF" w:rsidRDefault="00677E7A" w:rsidP="007417B6">
            <w:pPr>
              <w:pStyle w:val="ARtabletext"/>
              <w:spacing w:before="60" w:after="40"/>
              <w:rPr>
                <w:i/>
              </w:rPr>
            </w:pPr>
            <w:r w:rsidRPr="002029AF">
              <w:t>Children and young people who were the subject of a substantiated report within 12 months of the closure of a previous substantiated report</w:t>
            </w:r>
          </w:p>
        </w:tc>
        <w:tc>
          <w:tcPr>
            <w:tcW w:w="1010" w:type="dxa"/>
            <w:tcBorders>
              <w:top w:val="single" w:sz="4" w:space="0" w:color="auto"/>
              <w:left w:val="nil"/>
              <w:bottom w:val="single" w:sz="4" w:space="0" w:color="AEAAAA" w:themeColor="background2" w:themeShade="BF"/>
              <w:right w:val="nil"/>
            </w:tcBorders>
            <w:hideMark/>
          </w:tcPr>
          <w:p w14:paraId="1DA5262A" w14:textId="77777777" w:rsidR="00677E7A" w:rsidRPr="002029AF" w:rsidRDefault="00677E7A" w:rsidP="007417B6">
            <w:pPr>
              <w:pStyle w:val="ARtabletext"/>
              <w:spacing w:before="60" w:after="40"/>
            </w:pPr>
            <w:r w:rsidRPr="002029AF">
              <w:t>17.1%</w:t>
            </w:r>
          </w:p>
        </w:tc>
        <w:tc>
          <w:tcPr>
            <w:tcW w:w="1010" w:type="dxa"/>
            <w:tcBorders>
              <w:top w:val="single" w:sz="4" w:space="0" w:color="auto"/>
              <w:left w:val="nil"/>
              <w:bottom w:val="single" w:sz="4" w:space="0" w:color="AEAAAA" w:themeColor="background2" w:themeShade="BF"/>
              <w:right w:val="nil"/>
            </w:tcBorders>
            <w:hideMark/>
          </w:tcPr>
          <w:p w14:paraId="63B5C8B0" w14:textId="77777777" w:rsidR="00677E7A" w:rsidRPr="002029AF" w:rsidRDefault="00677E7A" w:rsidP="007417B6">
            <w:pPr>
              <w:pStyle w:val="ARtabletext"/>
              <w:spacing w:before="60" w:after="40"/>
            </w:pPr>
            <w:r w:rsidRPr="002029AF">
              <w:t>17.9%</w:t>
            </w:r>
          </w:p>
        </w:tc>
        <w:tc>
          <w:tcPr>
            <w:tcW w:w="1006" w:type="dxa"/>
            <w:tcBorders>
              <w:top w:val="single" w:sz="4" w:space="0" w:color="auto"/>
              <w:left w:val="nil"/>
              <w:bottom w:val="single" w:sz="4" w:space="0" w:color="AEAAAA" w:themeColor="background2" w:themeShade="BF"/>
              <w:right w:val="nil"/>
            </w:tcBorders>
            <w:hideMark/>
          </w:tcPr>
          <w:p w14:paraId="4FE0E0F4" w14:textId="77777777" w:rsidR="00677E7A" w:rsidRPr="002029AF" w:rsidRDefault="00677E7A" w:rsidP="007417B6">
            <w:pPr>
              <w:pStyle w:val="ARtabletext"/>
              <w:spacing w:before="60" w:after="40"/>
            </w:pPr>
            <w:r w:rsidRPr="002029AF">
              <w:t>18.2%</w:t>
            </w:r>
          </w:p>
        </w:tc>
        <w:tc>
          <w:tcPr>
            <w:tcW w:w="1420" w:type="dxa"/>
            <w:tcBorders>
              <w:top w:val="single" w:sz="4" w:space="0" w:color="auto"/>
              <w:left w:val="nil"/>
              <w:bottom w:val="single" w:sz="4" w:space="0" w:color="AEAAAA" w:themeColor="background2" w:themeShade="BF"/>
              <w:right w:val="nil"/>
            </w:tcBorders>
          </w:tcPr>
          <w:p w14:paraId="0122C264" w14:textId="77777777" w:rsidR="00677E7A" w:rsidRPr="002029AF" w:rsidRDefault="00677E7A" w:rsidP="007417B6">
            <w:pPr>
              <w:pStyle w:val="ARtabletext"/>
              <w:spacing w:before="60" w:after="40"/>
            </w:pPr>
            <w:r w:rsidRPr="002029AF">
              <w:t>19.8%</w:t>
            </w:r>
          </w:p>
        </w:tc>
      </w:tr>
      <w:tr w:rsidR="00677E7A" w:rsidRPr="002029AF" w14:paraId="2BF4C5D7" w14:textId="77777777" w:rsidTr="00F4536C">
        <w:trPr>
          <w:cantSplit/>
        </w:trPr>
        <w:tc>
          <w:tcPr>
            <w:tcW w:w="5193" w:type="dxa"/>
            <w:tcBorders>
              <w:top w:val="single" w:sz="4" w:space="0" w:color="AEAAAA" w:themeColor="background2" w:themeShade="BF"/>
              <w:left w:val="nil"/>
              <w:bottom w:val="single" w:sz="4" w:space="0" w:color="E7E6E6" w:themeColor="background2"/>
              <w:right w:val="nil"/>
            </w:tcBorders>
            <w:hideMark/>
          </w:tcPr>
          <w:p w14:paraId="5CB2AA42" w14:textId="77777777" w:rsidR="00677E7A" w:rsidRPr="002029AF" w:rsidRDefault="00677E7A" w:rsidP="007417B6">
            <w:pPr>
              <w:pStyle w:val="ARtabletext"/>
              <w:spacing w:before="60" w:after="40"/>
              <w:rPr>
                <w:i/>
              </w:rPr>
            </w:pPr>
            <w:r w:rsidRPr="002029AF">
              <w:t>Number of Child FIRST assessments and interventions</w:t>
            </w:r>
            <w:r w:rsidRPr="004E6007">
              <w:rPr>
                <w:vertAlign w:val="superscript"/>
              </w:rPr>
              <w:footnoteReference w:id="7"/>
            </w:r>
          </w:p>
        </w:tc>
        <w:tc>
          <w:tcPr>
            <w:tcW w:w="1010" w:type="dxa"/>
            <w:tcBorders>
              <w:top w:val="single" w:sz="4" w:space="0" w:color="AEAAAA" w:themeColor="background2" w:themeShade="BF"/>
              <w:left w:val="nil"/>
              <w:bottom w:val="single" w:sz="4" w:space="0" w:color="E7E6E6" w:themeColor="background2"/>
              <w:right w:val="nil"/>
            </w:tcBorders>
            <w:hideMark/>
          </w:tcPr>
          <w:p w14:paraId="4D3A7D9B" w14:textId="77777777" w:rsidR="00677E7A" w:rsidRPr="002029AF" w:rsidRDefault="00677E7A" w:rsidP="007417B6">
            <w:pPr>
              <w:pStyle w:val="ARtabletext"/>
              <w:spacing w:before="60" w:after="40"/>
            </w:pPr>
            <w:r w:rsidRPr="002029AF">
              <w:t>20,016</w:t>
            </w:r>
          </w:p>
        </w:tc>
        <w:tc>
          <w:tcPr>
            <w:tcW w:w="1010" w:type="dxa"/>
            <w:tcBorders>
              <w:top w:val="single" w:sz="4" w:space="0" w:color="AEAAAA" w:themeColor="background2" w:themeShade="BF"/>
              <w:left w:val="nil"/>
              <w:bottom w:val="single" w:sz="4" w:space="0" w:color="E7E6E6" w:themeColor="background2"/>
              <w:right w:val="nil"/>
            </w:tcBorders>
            <w:hideMark/>
          </w:tcPr>
          <w:p w14:paraId="57F17A60" w14:textId="77777777" w:rsidR="00677E7A" w:rsidRPr="002029AF" w:rsidRDefault="00677E7A" w:rsidP="007417B6">
            <w:pPr>
              <w:pStyle w:val="ARtabletext"/>
              <w:spacing w:before="60" w:after="40"/>
            </w:pPr>
            <w:r w:rsidRPr="002029AF">
              <w:t>22,310</w:t>
            </w:r>
          </w:p>
        </w:tc>
        <w:tc>
          <w:tcPr>
            <w:tcW w:w="1006" w:type="dxa"/>
            <w:tcBorders>
              <w:top w:val="single" w:sz="4" w:space="0" w:color="AEAAAA" w:themeColor="background2" w:themeShade="BF"/>
              <w:left w:val="nil"/>
              <w:bottom w:val="single" w:sz="4" w:space="0" w:color="E7E6E6" w:themeColor="background2"/>
              <w:right w:val="nil"/>
            </w:tcBorders>
            <w:hideMark/>
          </w:tcPr>
          <w:p w14:paraId="65F09142" w14:textId="77777777" w:rsidR="00677E7A" w:rsidRPr="002029AF" w:rsidRDefault="00677E7A" w:rsidP="007417B6">
            <w:pPr>
              <w:pStyle w:val="ARtabletext"/>
              <w:spacing w:before="60" w:after="40"/>
            </w:pPr>
            <w:r w:rsidRPr="002029AF">
              <w:t>17,582</w:t>
            </w:r>
          </w:p>
        </w:tc>
        <w:tc>
          <w:tcPr>
            <w:tcW w:w="1420" w:type="dxa"/>
            <w:tcBorders>
              <w:top w:val="single" w:sz="4" w:space="0" w:color="AEAAAA" w:themeColor="background2" w:themeShade="BF"/>
              <w:left w:val="nil"/>
              <w:bottom w:val="single" w:sz="4" w:space="0" w:color="E7E6E6" w:themeColor="background2"/>
              <w:right w:val="nil"/>
            </w:tcBorders>
          </w:tcPr>
          <w:p w14:paraId="59018FC1" w14:textId="77777777" w:rsidR="00677E7A" w:rsidRPr="002029AF" w:rsidRDefault="00677E7A" w:rsidP="007417B6">
            <w:pPr>
              <w:pStyle w:val="ARtabletext"/>
              <w:spacing w:before="60" w:after="40"/>
            </w:pPr>
            <w:r w:rsidRPr="002029AF">
              <w:t>16,035</w:t>
            </w:r>
          </w:p>
        </w:tc>
      </w:tr>
      <w:tr w:rsidR="00677E7A" w:rsidRPr="002029AF" w14:paraId="05B75284" w14:textId="77777777" w:rsidTr="00F4536C">
        <w:trPr>
          <w:cantSplit/>
        </w:trPr>
        <w:tc>
          <w:tcPr>
            <w:tcW w:w="5193" w:type="dxa"/>
            <w:tcBorders>
              <w:top w:val="single" w:sz="4" w:space="0" w:color="AEAAAA" w:themeColor="background2" w:themeShade="BF"/>
              <w:left w:val="nil"/>
              <w:bottom w:val="single" w:sz="4" w:space="0" w:color="E7E6E6" w:themeColor="background2"/>
              <w:right w:val="nil"/>
            </w:tcBorders>
            <w:hideMark/>
          </w:tcPr>
          <w:p w14:paraId="6856A411" w14:textId="77777777" w:rsidR="00677E7A" w:rsidRPr="002029AF" w:rsidRDefault="00677E7A" w:rsidP="007417B6">
            <w:pPr>
              <w:pStyle w:val="ARtabletext"/>
              <w:spacing w:before="60" w:after="40"/>
              <w:rPr>
                <w:i/>
              </w:rPr>
            </w:pPr>
            <w:r w:rsidRPr="002029AF">
              <w:t>Reports to child protection services about the wellbeing and safety of children</w:t>
            </w:r>
          </w:p>
        </w:tc>
        <w:tc>
          <w:tcPr>
            <w:tcW w:w="1010" w:type="dxa"/>
            <w:tcBorders>
              <w:top w:val="single" w:sz="4" w:space="0" w:color="AEAAAA" w:themeColor="background2" w:themeShade="BF"/>
              <w:left w:val="nil"/>
              <w:bottom w:val="single" w:sz="4" w:space="0" w:color="E7E6E6" w:themeColor="background2"/>
              <w:right w:val="nil"/>
            </w:tcBorders>
            <w:hideMark/>
          </w:tcPr>
          <w:p w14:paraId="5EE10DA5" w14:textId="77777777" w:rsidR="00677E7A" w:rsidRPr="002029AF" w:rsidRDefault="00677E7A" w:rsidP="007417B6">
            <w:pPr>
              <w:pStyle w:val="ARtabletext"/>
              <w:spacing w:before="60" w:after="40"/>
            </w:pPr>
            <w:r w:rsidRPr="002029AF">
              <w:t>110,987</w:t>
            </w:r>
          </w:p>
        </w:tc>
        <w:tc>
          <w:tcPr>
            <w:tcW w:w="1010" w:type="dxa"/>
            <w:tcBorders>
              <w:top w:val="single" w:sz="4" w:space="0" w:color="AEAAAA" w:themeColor="background2" w:themeShade="BF"/>
              <w:left w:val="nil"/>
              <w:bottom w:val="single" w:sz="4" w:space="0" w:color="E7E6E6" w:themeColor="background2"/>
              <w:right w:val="nil"/>
            </w:tcBorders>
            <w:hideMark/>
          </w:tcPr>
          <w:p w14:paraId="7AD55B3D" w14:textId="77777777" w:rsidR="00677E7A" w:rsidRPr="002029AF" w:rsidRDefault="00677E7A" w:rsidP="007417B6">
            <w:pPr>
              <w:pStyle w:val="ARtabletext"/>
              <w:spacing w:before="60" w:after="40"/>
            </w:pPr>
            <w:r w:rsidRPr="002029AF">
              <w:t>115,641</w:t>
            </w:r>
          </w:p>
        </w:tc>
        <w:tc>
          <w:tcPr>
            <w:tcW w:w="1006" w:type="dxa"/>
            <w:tcBorders>
              <w:top w:val="single" w:sz="4" w:space="0" w:color="AEAAAA" w:themeColor="background2" w:themeShade="BF"/>
              <w:left w:val="nil"/>
              <w:bottom w:val="single" w:sz="4" w:space="0" w:color="E7E6E6" w:themeColor="background2"/>
              <w:right w:val="nil"/>
            </w:tcBorders>
            <w:hideMark/>
          </w:tcPr>
          <w:p w14:paraId="661A2D5E" w14:textId="77777777" w:rsidR="00677E7A" w:rsidRPr="002029AF" w:rsidRDefault="00677E7A" w:rsidP="007417B6">
            <w:pPr>
              <w:pStyle w:val="ARtabletext"/>
              <w:spacing w:before="60" w:after="40"/>
            </w:pPr>
            <w:r w:rsidRPr="002029AF">
              <w:t>122,963</w:t>
            </w:r>
          </w:p>
        </w:tc>
        <w:tc>
          <w:tcPr>
            <w:tcW w:w="1420" w:type="dxa"/>
            <w:tcBorders>
              <w:top w:val="single" w:sz="4" w:space="0" w:color="AEAAAA" w:themeColor="background2" w:themeShade="BF"/>
              <w:left w:val="nil"/>
              <w:bottom w:val="single" w:sz="4" w:space="0" w:color="E7E6E6" w:themeColor="background2"/>
              <w:right w:val="nil"/>
            </w:tcBorders>
          </w:tcPr>
          <w:p w14:paraId="154B52E2" w14:textId="77777777" w:rsidR="00677E7A" w:rsidRPr="002029AF" w:rsidRDefault="00677E7A" w:rsidP="007417B6">
            <w:pPr>
              <w:pStyle w:val="ARtabletext"/>
              <w:spacing w:before="60" w:after="40"/>
            </w:pPr>
            <w:r w:rsidRPr="002029AF">
              <w:t>122,179</w:t>
            </w:r>
          </w:p>
        </w:tc>
      </w:tr>
      <w:tr w:rsidR="00677E7A" w:rsidRPr="002029AF" w14:paraId="0C386703" w14:textId="77777777" w:rsidTr="00F4536C">
        <w:trPr>
          <w:cantSplit/>
        </w:trPr>
        <w:tc>
          <w:tcPr>
            <w:tcW w:w="5193" w:type="dxa"/>
            <w:tcBorders>
              <w:top w:val="single" w:sz="4" w:space="0" w:color="AEAAAA" w:themeColor="background2" w:themeShade="BF"/>
              <w:left w:val="nil"/>
              <w:bottom w:val="nil"/>
              <w:right w:val="nil"/>
            </w:tcBorders>
          </w:tcPr>
          <w:p w14:paraId="64E53E15" w14:textId="77777777" w:rsidR="00677E7A" w:rsidRPr="002029AF" w:rsidRDefault="00677E7A" w:rsidP="007417B6">
            <w:pPr>
              <w:pStyle w:val="ARtabletext"/>
              <w:spacing w:before="60" w:after="40"/>
            </w:pPr>
            <w:r w:rsidRPr="002029AF">
              <w:t>Number of family violence victims who receive a refuge response</w:t>
            </w:r>
          </w:p>
        </w:tc>
        <w:tc>
          <w:tcPr>
            <w:tcW w:w="1010" w:type="dxa"/>
            <w:tcBorders>
              <w:top w:val="single" w:sz="4" w:space="0" w:color="AEAAAA" w:themeColor="background2" w:themeShade="BF"/>
              <w:left w:val="nil"/>
              <w:bottom w:val="nil"/>
              <w:right w:val="nil"/>
            </w:tcBorders>
            <w:hideMark/>
          </w:tcPr>
          <w:p w14:paraId="498BAB4E" w14:textId="77777777" w:rsidR="00677E7A" w:rsidRPr="002029AF" w:rsidRDefault="00677E7A" w:rsidP="007417B6">
            <w:pPr>
              <w:pStyle w:val="ARtabletext"/>
              <w:spacing w:before="60" w:after="40"/>
            </w:pPr>
            <w:r w:rsidRPr="002029AF">
              <w:t>New measure</w:t>
            </w:r>
          </w:p>
        </w:tc>
        <w:tc>
          <w:tcPr>
            <w:tcW w:w="1010" w:type="dxa"/>
            <w:tcBorders>
              <w:top w:val="single" w:sz="4" w:space="0" w:color="AEAAAA" w:themeColor="background2" w:themeShade="BF"/>
              <w:left w:val="nil"/>
              <w:bottom w:val="nil"/>
              <w:right w:val="nil"/>
            </w:tcBorders>
            <w:hideMark/>
          </w:tcPr>
          <w:p w14:paraId="0E37BCF6" w14:textId="77777777" w:rsidR="00677E7A" w:rsidRPr="002029AF" w:rsidRDefault="00677E7A" w:rsidP="007417B6">
            <w:pPr>
              <w:pStyle w:val="ARtabletext"/>
              <w:spacing w:before="60" w:after="40"/>
            </w:pPr>
            <w:r w:rsidRPr="002029AF">
              <w:t>823</w:t>
            </w:r>
          </w:p>
        </w:tc>
        <w:tc>
          <w:tcPr>
            <w:tcW w:w="1006" w:type="dxa"/>
            <w:tcBorders>
              <w:top w:val="single" w:sz="4" w:space="0" w:color="AEAAAA" w:themeColor="background2" w:themeShade="BF"/>
              <w:left w:val="nil"/>
              <w:bottom w:val="nil"/>
              <w:right w:val="nil"/>
            </w:tcBorders>
            <w:hideMark/>
          </w:tcPr>
          <w:p w14:paraId="0B58D2E2" w14:textId="77777777" w:rsidR="00677E7A" w:rsidRPr="002029AF" w:rsidRDefault="00677E7A" w:rsidP="007417B6">
            <w:pPr>
              <w:pStyle w:val="ARtabletext"/>
              <w:spacing w:before="60" w:after="40"/>
            </w:pPr>
            <w:r w:rsidRPr="002029AF">
              <w:t>897</w:t>
            </w:r>
          </w:p>
        </w:tc>
        <w:tc>
          <w:tcPr>
            <w:tcW w:w="1420" w:type="dxa"/>
            <w:tcBorders>
              <w:top w:val="single" w:sz="4" w:space="0" w:color="AEAAAA" w:themeColor="background2" w:themeShade="BF"/>
              <w:left w:val="nil"/>
              <w:bottom w:val="nil"/>
              <w:right w:val="nil"/>
            </w:tcBorders>
          </w:tcPr>
          <w:p w14:paraId="699ECD57" w14:textId="77777777" w:rsidR="00677E7A" w:rsidRPr="002029AF" w:rsidRDefault="00677E7A" w:rsidP="007417B6">
            <w:pPr>
              <w:pStyle w:val="ARtabletext"/>
              <w:spacing w:before="60" w:after="40"/>
            </w:pPr>
            <w:r w:rsidRPr="002029AF">
              <w:t>923</w:t>
            </w:r>
          </w:p>
        </w:tc>
      </w:tr>
      <w:tr w:rsidR="00677E7A" w:rsidRPr="002029AF" w14:paraId="46FA6F53" w14:textId="77777777" w:rsidTr="00F4536C">
        <w:trPr>
          <w:cantSplit/>
        </w:trPr>
        <w:tc>
          <w:tcPr>
            <w:tcW w:w="5193" w:type="dxa"/>
            <w:tcBorders>
              <w:top w:val="single" w:sz="4" w:space="0" w:color="AEAAAA" w:themeColor="background2" w:themeShade="BF"/>
              <w:left w:val="nil"/>
              <w:bottom w:val="nil"/>
              <w:right w:val="nil"/>
            </w:tcBorders>
            <w:hideMark/>
          </w:tcPr>
          <w:p w14:paraId="6AD4A0D9" w14:textId="77777777" w:rsidR="00677E7A" w:rsidRPr="002029AF" w:rsidRDefault="00677E7A" w:rsidP="007417B6">
            <w:pPr>
              <w:pStyle w:val="ARtabletext"/>
              <w:spacing w:before="60" w:after="40"/>
              <w:rPr>
                <w:i/>
              </w:rPr>
            </w:pPr>
            <w:r w:rsidRPr="002029AF">
              <w:t>Children and young people in out-of-home care who have had two or less placements in the past 12 months (not including placements at home)</w:t>
            </w:r>
          </w:p>
        </w:tc>
        <w:tc>
          <w:tcPr>
            <w:tcW w:w="1010" w:type="dxa"/>
            <w:tcBorders>
              <w:top w:val="single" w:sz="4" w:space="0" w:color="AEAAAA" w:themeColor="background2" w:themeShade="BF"/>
              <w:left w:val="nil"/>
              <w:bottom w:val="nil"/>
              <w:right w:val="nil"/>
            </w:tcBorders>
            <w:hideMark/>
          </w:tcPr>
          <w:p w14:paraId="7A2B9EF6" w14:textId="77777777" w:rsidR="00677E7A" w:rsidRPr="002029AF" w:rsidRDefault="00677E7A" w:rsidP="007417B6">
            <w:pPr>
              <w:pStyle w:val="ARtabletext"/>
              <w:spacing w:before="60" w:after="40"/>
            </w:pPr>
            <w:r w:rsidRPr="002029AF">
              <w:t>91.2%</w:t>
            </w:r>
          </w:p>
        </w:tc>
        <w:tc>
          <w:tcPr>
            <w:tcW w:w="1010" w:type="dxa"/>
            <w:tcBorders>
              <w:top w:val="single" w:sz="4" w:space="0" w:color="AEAAAA" w:themeColor="background2" w:themeShade="BF"/>
              <w:left w:val="nil"/>
              <w:bottom w:val="nil"/>
              <w:right w:val="nil"/>
            </w:tcBorders>
            <w:hideMark/>
          </w:tcPr>
          <w:p w14:paraId="767E4690" w14:textId="77777777" w:rsidR="00677E7A" w:rsidRPr="002029AF" w:rsidRDefault="00677E7A" w:rsidP="007417B6">
            <w:pPr>
              <w:pStyle w:val="ARtabletext"/>
              <w:spacing w:before="60" w:after="40"/>
            </w:pPr>
            <w:r w:rsidRPr="002029AF">
              <w:t>91.3%</w:t>
            </w:r>
          </w:p>
        </w:tc>
        <w:tc>
          <w:tcPr>
            <w:tcW w:w="1006" w:type="dxa"/>
            <w:tcBorders>
              <w:top w:val="single" w:sz="4" w:space="0" w:color="AEAAAA" w:themeColor="background2" w:themeShade="BF"/>
              <w:left w:val="nil"/>
              <w:bottom w:val="nil"/>
              <w:right w:val="nil"/>
            </w:tcBorders>
            <w:hideMark/>
          </w:tcPr>
          <w:p w14:paraId="6566049C" w14:textId="77777777" w:rsidR="00677E7A" w:rsidRPr="002029AF" w:rsidRDefault="00677E7A" w:rsidP="007417B6">
            <w:pPr>
              <w:pStyle w:val="ARtabletext"/>
              <w:spacing w:before="60" w:after="40"/>
            </w:pPr>
            <w:r w:rsidRPr="002029AF">
              <w:t>90.6%</w:t>
            </w:r>
          </w:p>
        </w:tc>
        <w:tc>
          <w:tcPr>
            <w:tcW w:w="1420" w:type="dxa"/>
            <w:tcBorders>
              <w:top w:val="single" w:sz="4" w:space="0" w:color="AEAAAA" w:themeColor="background2" w:themeShade="BF"/>
              <w:left w:val="nil"/>
              <w:bottom w:val="nil"/>
              <w:right w:val="nil"/>
            </w:tcBorders>
          </w:tcPr>
          <w:p w14:paraId="15CBD015" w14:textId="77777777" w:rsidR="00677E7A" w:rsidRPr="002029AF" w:rsidRDefault="00677E7A" w:rsidP="007417B6">
            <w:pPr>
              <w:pStyle w:val="ARtabletext"/>
              <w:spacing w:before="60" w:after="40"/>
            </w:pPr>
            <w:r w:rsidRPr="002029AF">
              <w:t>91.7%</w:t>
            </w:r>
          </w:p>
        </w:tc>
      </w:tr>
      <w:tr w:rsidR="00677E7A" w:rsidRPr="002029AF" w14:paraId="166E88B5" w14:textId="77777777" w:rsidTr="00F4536C">
        <w:trPr>
          <w:cantSplit/>
        </w:trPr>
        <w:tc>
          <w:tcPr>
            <w:tcW w:w="5193" w:type="dxa"/>
            <w:tcBorders>
              <w:top w:val="single" w:sz="4" w:space="0" w:color="AEAAAA" w:themeColor="background2" w:themeShade="BF"/>
              <w:left w:val="nil"/>
              <w:bottom w:val="nil"/>
              <w:right w:val="nil"/>
            </w:tcBorders>
            <w:hideMark/>
          </w:tcPr>
          <w:p w14:paraId="108D97C0" w14:textId="77777777" w:rsidR="00677E7A" w:rsidRPr="002029AF" w:rsidRDefault="00677E7A" w:rsidP="007417B6">
            <w:pPr>
              <w:pStyle w:val="ARtabletext"/>
              <w:spacing w:before="60" w:after="40"/>
              <w:rPr>
                <w:i/>
              </w:rPr>
            </w:pPr>
            <w:r w:rsidRPr="002029AF">
              <w:t>Daily average number of children in out-of-home care placements</w:t>
            </w:r>
          </w:p>
        </w:tc>
        <w:tc>
          <w:tcPr>
            <w:tcW w:w="1010" w:type="dxa"/>
            <w:tcBorders>
              <w:top w:val="single" w:sz="4" w:space="0" w:color="AEAAAA" w:themeColor="background2" w:themeShade="BF"/>
              <w:left w:val="nil"/>
              <w:bottom w:val="nil"/>
              <w:right w:val="nil"/>
            </w:tcBorders>
            <w:hideMark/>
          </w:tcPr>
          <w:p w14:paraId="23035700" w14:textId="77777777" w:rsidR="00677E7A" w:rsidRPr="002029AF" w:rsidRDefault="00677E7A" w:rsidP="007417B6">
            <w:pPr>
              <w:pStyle w:val="ARtabletext"/>
              <w:spacing w:before="60" w:after="40"/>
            </w:pPr>
            <w:r w:rsidRPr="002029AF">
              <w:t>9,446</w:t>
            </w:r>
          </w:p>
        </w:tc>
        <w:tc>
          <w:tcPr>
            <w:tcW w:w="1010" w:type="dxa"/>
            <w:tcBorders>
              <w:top w:val="single" w:sz="4" w:space="0" w:color="AEAAAA" w:themeColor="background2" w:themeShade="BF"/>
              <w:left w:val="nil"/>
              <w:bottom w:val="nil"/>
              <w:right w:val="nil"/>
            </w:tcBorders>
            <w:hideMark/>
          </w:tcPr>
          <w:p w14:paraId="522D61F5" w14:textId="77777777" w:rsidR="00677E7A" w:rsidRPr="002029AF" w:rsidRDefault="00677E7A" w:rsidP="007417B6">
            <w:pPr>
              <w:pStyle w:val="ARtabletext"/>
              <w:spacing w:before="60" w:after="40"/>
            </w:pPr>
            <w:r w:rsidRPr="002029AF">
              <w:t>10,305</w:t>
            </w:r>
          </w:p>
        </w:tc>
        <w:tc>
          <w:tcPr>
            <w:tcW w:w="1006" w:type="dxa"/>
            <w:tcBorders>
              <w:top w:val="single" w:sz="4" w:space="0" w:color="AEAAAA" w:themeColor="background2" w:themeShade="BF"/>
              <w:left w:val="nil"/>
              <w:bottom w:val="nil"/>
              <w:right w:val="nil"/>
            </w:tcBorders>
            <w:hideMark/>
          </w:tcPr>
          <w:p w14:paraId="3213CE5E" w14:textId="77777777" w:rsidR="00677E7A" w:rsidRPr="002029AF" w:rsidRDefault="00677E7A" w:rsidP="007417B6">
            <w:pPr>
              <w:pStyle w:val="ARtabletext"/>
              <w:spacing w:before="60" w:after="40"/>
            </w:pPr>
            <w:r w:rsidRPr="002029AF">
              <w:t>11,363</w:t>
            </w:r>
          </w:p>
        </w:tc>
        <w:tc>
          <w:tcPr>
            <w:tcW w:w="1420" w:type="dxa"/>
            <w:tcBorders>
              <w:top w:val="single" w:sz="4" w:space="0" w:color="AEAAAA" w:themeColor="background2" w:themeShade="BF"/>
              <w:left w:val="nil"/>
              <w:bottom w:val="nil"/>
              <w:right w:val="nil"/>
            </w:tcBorders>
          </w:tcPr>
          <w:p w14:paraId="3CE0C83C" w14:textId="77777777" w:rsidR="00677E7A" w:rsidRPr="002029AF" w:rsidRDefault="00677E7A" w:rsidP="007417B6">
            <w:pPr>
              <w:pStyle w:val="ARtabletext"/>
              <w:spacing w:before="60" w:after="40"/>
            </w:pPr>
            <w:r w:rsidRPr="002029AF">
              <w:t>12,188.1</w:t>
            </w:r>
          </w:p>
        </w:tc>
      </w:tr>
      <w:tr w:rsidR="00677E7A" w:rsidRPr="002029AF" w14:paraId="04CFCD5C" w14:textId="77777777" w:rsidTr="00F4536C">
        <w:trPr>
          <w:cantSplit/>
        </w:trPr>
        <w:tc>
          <w:tcPr>
            <w:tcW w:w="5193" w:type="dxa"/>
            <w:tcBorders>
              <w:top w:val="single" w:sz="4" w:space="0" w:color="AEAAAA" w:themeColor="background2" w:themeShade="BF"/>
              <w:left w:val="nil"/>
              <w:bottom w:val="single" w:sz="4" w:space="0" w:color="E7E6E6" w:themeColor="background2"/>
              <w:right w:val="nil"/>
            </w:tcBorders>
            <w:hideMark/>
          </w:tcPr>
          <w:p w14:paraId="297F323D" w14:textId="77777777" w:rsidR="00677E7A" w:rsidRPr="002029AF" w:rsidRDefault="00677E7A" w:rsidP="007417B6">
            <w:pPr>
              <w:pStyle w:val="ARtabletext"/>
              <w:spacing w:before="60" w:after="40"/>
              <w:rPr>
                <w:i/>
              </w:rPr>
            </w:pPr>
            <w:r w:rsidRPr="002029AF">
              <w:t>Reduce the proportion of children in out-of-home care who live in residential care (daily average)</w:t>
            </w:r>
          </w:p>
        </w:tc>
        <w:tc>
          <w:tcPr>
            <w:tcW w:w="1010" w:type="dxa"/>
            <w:tcBorders>
              <w:top w:val="single" w:sz="4" w:space="0" w:color="AEAAAA" w:themeColor="background2" w:themeShade="BF"/>
              <w:left w:val="nil"/>
              <w:bottom w:val="single" w:sz="4" w:space="0" w:color="E7E6E6" w:themeColor="background2"/>
              <w:right w:val="nil"/>
            </w:tcBorders>
            <w:hideMark/>
          </w:tcPr>
          <w:p w14:paraId="0FB727A1" w14:textId="77777777" w:rsidR="00677E7A" w:rsidRPr="002029AF" w:rsidRDefault="00677E7A" w:rsidP="007417B6">
            <w:pPr>
              <w:pStyle w:val="ARtabletext"/>
              <w:spacing w:before="60" w:after="40"/>
            </w:pPr>
            <w:r w:rsidRPr="002029AF">
              <w:t>4.6%</w:t>
            </w:r>
          </w:p>
        </w:tc>
        <w:tc>
          <w:tcPr>
            <w:tcW w:w="1010" w:type="dxa"/>
            <w:tcBorders>
              <w:top w:val="single" w:sz="4" w:space="0" w:color="AEAAAA" w:themeColor="background2" w:themeShade="BF"/>
              <w:left w:val="nil"/>
              <w:bottom w:val="single" w:sz="4" w:space="0" w:color="E7E6E6" w:themeColor="background2"/>
              <w:right w:val="nil"/>
            </w:tcBorders>
            <w:hideMark/>
          </w:tcPr>
          <w:p w14:paraId="0077FA53" w14:textId="77777777" w:rsidR="00677E7A" w:rsidRPr="002029AF" w:rsidRDefault="00677E7A" w:rsidP="007417B6">
            <w:pPr>
              <w:pStyle w:val="ARtabletext"/>
              <w:spacing w:before="60" w:after="40"/>
            </w:pPr>
            <w:r w:rsidRPr="002029AF">
              <w:t>4.1%</w:t>
            </w:r>
          </w:p>
        </w:tc>
        <w:tc>
          <w:tcPr>
            <w:tcW w:w="1006" w:type="dxa"/>
            <w:tcBorders>
              <w:top w:val="single" w:sz="4" w:space="0" w:color="AEAAAA" w:themeColor="background2" w:themeShade="BF"/>
              <w:left w:val="nil"/>
              <w:bottom w:val="single" w:sz="4" w:space="0" w:color="E7E6E6" w:themeColor="background2"/>
              <w:right w:val="nil"/>
            </w:tcBorders>
            <w:hideMark/>
          </w:tcPr>
          <w:p w14:paraId="15CAE36C" w14:textId="77777777" w:rsidR="00677E7A" w:rsidRPr="002029AF" w:rsidRDefault="00677E7A" w:rsidP="007417B6">
            <w:pPr>
              <w:pStyle w:val="ARtabletext"/>
              <w:spacing w:before="60" w:after="40"/>
              <w:rPr>
                <w:highlight w:val="green"/>
              </w:rPr>
            </w:pPr>
            <w:r w:rsidRPr="002029AF">
              <w:t>4.0%</w:t>
            </w:r>
          </w:p>
        </w:tc>
        <w:tc>
          <w:tcPr>
            <w:tcW w:w="1420" w:type="dxa"/>
            <w:tcBorders>
              <w:top w:val="single" w:sz="4" w:space="0" w:color="AEAAAA" w:themeColor="background2" w:themeShade="BF"/>
              <w:left w:val="nil"/>
              <w:bottom w:val="single" w:sz="4" w:space="0" w:color="E7E6E6" w:themeColor="background2"/>
              <w:right w:val="nil"/>
            </w:tcBorders>
          </w:tcPr>
          <w:p w14:paraId="23837297" w14:textId="77777777" w:rsidR="00677E7A" w:rsidRPr="002029AF" w:rsidRDefault="00677E7A" w:rsidP="007417B6">
            <w:pPr>
              <w:pStyle w:val="ARtabletext"/>
              <w:spacing w:before="60" w:after="40"/>
            </w:pPr>
            <w:r w:rsidRPr="002029AF">
              <w:t>Data not available due to coronavirus (COVID-19)</w:t>
            </w:r>
          </w:p>
        </w:tc>
      </w:tr>
      <w:tr w:rsidR="00677E7A" w:rsidRPr="002029AF" w14:paraId="72AC9D73" w14:textId="77777777" w:rsidTr="00F4536C">
        <w:trPr>
          <w:cantSplit/>
        </w:trPr>
        <w:tc>
          <w:tcPr>
            <w:tcW w:w="5193" w:type="dxa"/>
            <w:tcBorders>
              <w:top w:val="single" w:sz="4" w:space="0" w:color="AEAAAA" w:themeColor="background2" w:themeShade="BF"/>
              <w:left w:val="nil"/>
              <w:bottom w:val="single" w:sz="4" w:space="0" w:color="AEAAAA" w:themeColor="background2" w:themeShade="BF"/>
              <w:right w:val="nil"/>
            </w:tcBorders>
            <w:hideMark/>
          </w:tcPr>
          <w:p w14:paraId="3305EA9F" w14:textId="77777777" w:rsidR="00677E7A" w:rsidRPr="002029AF" w:rsidRDefault="00677E7A" w:rsidP="007417B6">
            <w:pPr>
              <w:pStyle w:val="ARtabletext"/>
              <w:spacing w:before="60" w:after="40"/>
              <w:rPr>
                <w:i/>
                <w:sz w:val="16"/>
                <w:szCs w:val="16"/>
              </w:rPr>
            </w:pPr>
            <w:r w:rsidRPr="002029AF">
              <w:t>Proportion of Aboriginal children placed with relatives/kin, other Aboriginal carers or in Aboriginal residential care</w:t>
            </w:r>
          </w:p>
        </w:tc>
        <w:tc>
          <w:tcPr>
            <w:tcW w:w="1010" w:type="dxa"/>
            <w:tcBorders>
              <w:top w:val="single" w:sz="4" w:space="0" w:color="AEAAAA" w:themeColor="background2" w:themeShade="BF"/>
              <w:left w:val="nil"/>
              <w:bottom w:val="single" w:sz="4" w:space="0" w:color="AEAAAA" w:themeColor="background2" w:themeShade="BF"/>
              <w:right w:val="nil"/>
            </w:tcBorders>
            <w:hideMark/>
          </w:tcPr>
          <w:p w14:paraId="0506ADB2" w14:textId="77777777" w:rsidR="00677E7A" w:rsidRPr="002029AF" w:rsidRDefault="00677E7A" w:rsidP="007417B6">
            <w:pPr>
              <w:pStyle w:val="ARtabletext"/>
              <w:spacing w:before="60" w:after="40"/>
            </w:pPr>
            <w:r w:rsidRPr="002029AF">
              <w:t>76.0%</w:t>
            </w:r>
          </w:p>
        </w:tc>
        <w:tc>
          <w:tcPr>
            <w:tcW w:w="1010" w:type="dxa"/>
            <w:tcBorders>
              <w:top w:val="single" w:sz="4" w:space="0" w:color="AEAAAA" w:themeColor="background2" w:themeShade="BF"/>
              <w:left w:val="nil"/>
              <w:bottom w:val="single" w:sz="4" w:space="0" w:color="AEAAAA" w:themeColor="background2" w:themeShade="BF"/>
              <w:right w:val="nil"/>
            </w:tcBorders>
            <w:hideMark/>
          </w:tcPr>
          <w:p w14:paraId="6C422BEA" w14:textId="77777777" w:rsidR="00677E7A" w:rsidRPr="002029AF" w:rsidRDefault="00677E7A" w:rsidP="007417B6">
            <w:pPr>
              <w:pStyle w:val="ARtabletext"/>
              <w:spacing w:before="60" w:after="40"/>
            </w:pPr>
            <w:r w:rsidRPr="002029AF">
              <w:t>77.6%</w:t>
            </w:r>
          </w:p>
        </w:tc>
        <w:tc>
          <w:tcPr>
            <w:tcW w:w="1006" w:type="dxa"/>
            <w:tcBorders>
              <w:top w:val="single" w:sz="4" w:space="0" w:color="AEAAAA" w:themeColor="background2" w:themeShade="BF"/>
              <w:left w:val="nil"/>
              <w:bottom w:val="single" w:sz="4" w:space="0" w:color="AEAAAA" w:themeColor="background2" w:themeShade="BF"/>
              <w:right w:val="nil"/>
            </w:tcBorders>
            <w:hideMark/>
          </w:tcPr>
          <w:p w14:paraId="419B9294" w14:textId="77777777" w:rsidR="00677E7A" w:rsidRPr="002029AF" w:rsidRDefault="00677E7A" w:rsidP="007417B6">
            <w:pPr>
              <w:pStyle w:val="ARtabletext"/>
              <w:spacing w:before="60" w:after="40"/>
            </w:pPr>
            <w:r w:rsidRPr="002029AF">
              <w:t>78.8</w:t>
            </w:r>
          </w:p>
        </w:tc>
        <w:tc>
          <w:tcPr>
            <w:tcW w:w="1420" w:type="dxa"/>
            <w:tcBorders>
              <w:top w:val="single" w:sz="4" w:space="0" w:color="AEAAAA" w:themeColor="background2" w:themeShade="BF"/>
              <w:left w:val="nil"/>
              <w:bottom w:val="single" w:sz="4" w:space="0" w:color="AEAAAA" w:themeColor="background2" w:themeShade="BF"/>
              <w:right w:val="nil"/>
            </w:tcBorders>
          </w:tcPr>
          <w:p w14:paraId="0852FC7B" w14:textId="77777777" w:rsidR="00677E7A" w:rsidRPr="002029AF" w:rsidRDefault="00677E7A" w:rsidP="007417B6">
            <w:pPr>
              <w:pStyle w:val="ARtabletext"/>
              <w:spacing w:before="60" w:after="40"/>
            </w:pPr>
            <w:r w:rsidRPr="002029AF">
              <w:t>75.6%</w:t>
            </w:r>
          </w:p>
        </w:tc>
      </w:tr>
      <w:tr w:rsidR="00927164" w:rsidRPr="002029AF" w14:paraId="230BCF2D" w14:textId="77777777" w:rsidTr="009950F3">
        <w:trPr>
          <w:cantSplit/>
        </w:trPr>
        <w:tc>
          <w:tcPr>
            <w:tcW w:w="9639" w:type="dxa"/>
            <w:gridSpan w:val="5"/>
            <w:tcBorders>
              <w:top w:val="single" w:sz="4" w:space="0" w:color="AEAAAA" w:themeColor="background2" w:themeShade="BF"/>
              <w:left w:val="nil"/>
              <w:bottom w:val="single" w:sz="4" w:space="0" w:color="auto"/>
              <w:right w:val="nil"/>
            </w:tcBorders>
          </w:tcPr>
          <w:p w14:paraId="12355508" w14:textId="7D2E0C34" w:rsidR="00927164" w:rsidRPr="002029AF" w:rsidRDefault="00927164" w:rsidP="0054384A">
            <w:pPr>
              <w:pStyle w:val="ARtablefootnote"/>
              <w:spacing w:before="60"/>
            </w:pPr>
            <w:r w:rsidRPr="002029AF">
              <w:t>Source: Internal departmental data</w:t>
            </w:r>
          </w:p>
        </w:tc>
      </w:tr>
      <w:tr w:rsidR="00677E7A" w:rsidRPr="002029AF" w14:paraId="585410D3" w14:textId="77777777" w:rsidTr="00F4536C">
        <w:trPr>
          <w:cantSplit/>
        </w:trPr>
        <w:tc>
          <w:tcPr>
            <w:tcW w:w="5193" w:type="dxa"/>
            <w:tcBorders>
              <w:top w:val="single" w:sz="4" w:space="0" w:color="auto"/>
              <w:left w:val="nil"/>
              <w:bottom w:val="single" w:sz="4" w:space="0" w:color="E7E6E6" w:themeColor="background2"/>
              <w:right w:val="nil"/>
            </w:tcBorders>
          </w:tcPr>
          <w:p w14:paraId="1717BED4" w14:textId="77777777" w:rsidR="00677E7A" w:rsidRPr="002029AF" w:rsidRDefault="00677E7A" w:rsidP="0054384A">
            <w:pPr>
              <w:pStyle w:val="ARtabletext"/>
              <w:spacing w:before="60"/>
            </w:pPr>
            <w:r w:rsidRPr="002029AF">
              <w:t>Percentage of departmental workforce who have experienced bullying in the past 12 months</w:t>
            </w:r>
          </w:p>
        </w:tc>
        <w:tc>
          <w:tcPr>
            <w:tcW w:w="1010" w:type="dxa"/>
            <w:tcBorders>
              <w:top w:val="single" w:sz="4" w:space="0" w:color="auto"/>
              <w:left w:val="nil"/>
              <w:bottom w:val="single" w:sz="4" w:space="0" w:color="E7E6E6" w:themeColor="background2"/>
              <w:right w:val="nil"/>
            </w:tcBorders>
          </w:tcPr>
          <w:p w14:paraId="05007774" w14:textId="77777777" w:rsidR="00677E7A" w:rsidRPr="002029AF" w:rsidRDefault="00677E7A" w:rsidP="0054384A">
            <w:pPr>
              <w:pStyle w:val="ARtabletext"/>
              <w:spacing w:before="60"/>
            </w:pPr>
            <w:r w:rsidRPr="002029AF">
              <w:t>24%</w:t>
            </w:r>
          </w:p>
        </w:tc>
        <w:tc>
          <w:tcPr>
            <w:tcW w:w="1010" w:type="dxa"/>
            <w:tcBorders>
              <w:top w:val="single" w:sz="4" w:space="0" w:color="auto"/>
              <w:left w:val="nil"/>
              <w:bottom w:val="single" w:sz="4" w:space="0" w:color="E7E6E6" w:themeColor="background2"/>
              <w:right w:val="nil"/>
            </w:tcBorders>
          </w:tcPr>
          <w:p w14:paraId="7DF34599" w14:textId="77777777" w:rsidR="00677E7A" w:rsidRPr="002029AF" w:rsidRDefault="00677E7A" w:rsidP="0054384A">
            <w:pPr>
              <w:pStyle w:val="ARtabletext"/>
              <w:spacing w:before="60"/>
            </w:pPr>
            <w:r w:rsidRPr="002029AF">
              <w:t>22%</w:t>
            </w:r>
          </w:p>
        </w:tc>
        <w:tc>
          <w:tcPr>
            <w:tcW w:w="1006" w:type="dxa"/>
            <w:tcBorders>
              <w:top w:val="single" w:sz="4" w:space="0" w:color="auto"/>
              <w:left w:val="nil"/>
              <w:bottom w:val="single" w:sz="4" w:space="0" w:color="E7E6E6" w:themeColor="background2"/>
              <w:right w:val="nil"/>
            </w:tcBorders>
          </w:tcPr>
          <w:p w14:paraId="78C20214" w14:textId="77777777" w:rsidR="00677E7A" w:rsidRPr="002029AF" w:rsidRDefault="00677E7A" w:rsidP="0054384A">
            <w:pPr>
              <w:pStyle w:val="ARtabletext"/>
              <w:spacing w:before="60"/>
            </w:pPr>
            <w:r w:rsidRPr="002029AF">
              <w:t>20%</w:t>
            </w:r>
          </w:p>
        </w:tc>
        <w:tc>
          <w:tcPr>
            <w:tcW w:w="1420" w:type="dxa"/>
            <w:tcBorders>
              <w:top w:val="single" w:sz="4" w:space="0" w:color="auto"/>
              <w:left w:val="nil"/>
              <w:bottom w:val="single" w:sz="4" w:space="0" w:color="E7E6E6" w:themeColor="background2"/>
              <w:right w:val="nil"/>
            </w:tcBorders>
          </w:tcPr>
          <w:p w14:paraId="45D6B113" w14:textId="77777777" w:rsidR="00677E7A" w:rsidRPr="002029AF" w:rsidRDefault="00677E7A" w:rsidP="0054384A">
            <w:pPr>
              <w:pStyle w:val="ARtabletext"/>
              <w:spacing w:before="60"/>
            </w:pPr>
            <w:r w:rsidRPr="002029AF">
              <w:t>18%</w:t>
            </w:r>
          </w:p>
        </w:tc>
      </w:tr>
      <w:tr w:rsidR="00677E7A" w:rsidRPr="002029AF" w14:paraId="70028504" w14:textId="77777777" w:rsidTr="00F4536C">
        <w:trPr>
          <w:cantSplit/>
        </w:trPr>
        <w:tc>
          <w:tcPr>
            <w:tcW w:w="5193" w:type="dxa"/>
            <w:tcBorders>
              <w:top w:val="single" w:sz="4" w:space="0" w:color="AEAAAA" w:themeColor="background2" w:themeShade="BF"/>
              <w:left w:val="nil"/>
              <w:bottom w:val="single" w:sz="4" w:space="0" w:color="AEAAAA" w:themeColor="background2" w:themeShade="BF"/>
              <w:right w:val="nil"/>
            </w:tcBorders>
          </w:tcPr>
          <w:p w14:paraId="2C165036" w14:textId="77777777" w:rsidR="00677E7A" w:rsidRPr="002029AF" w:rsidRDefault="00677E7A" w:rsidP="0054384A">
            <w:pPr>
              <w:pStyle w:val="ARtabletext"/>
              <w:spacing w:before="60"/>
            </w:pPr>
            <w:r w:rsidRPr="002029AF">
              <w:t>Percentage of departmental workforce who have experienced sexual harassment in the past 12 months</w:t>
            </w:r>
          </w:p>
        </w:tc>
        <w:tc>
          <w:tcPr>
            <w:tcW w:w="1010" w:type="dxa"/>
            <w:tcBorders>
              <w:top w:val="single" w:sz="4" w:space="0" w:color="AEAAAA" w:themeColor="background2" w:themeShade="BF"/>
              <w:left w:val="nil"/>
              <w:bottom w:val="single" w:sz="4" w:space="0" w:color="AEAAAA" w:themeColor="background2" w:themeShade="BF"/>
              <w:right w:val="nil"/>
            </w:tcBorders>
          </w:tcPr>
          <w:p w14:paraId="6F0FEE1F" w14:textId="77777777" w:rsidR="00677E7A" w:rsidRPr="002029AF" w:rsidRDefault="00677E7A" w:rsidP="0054384A">
            <w:pPr>
              <w:pStyle w:val="ARtabletext"/>
              <w:spacing w:before="60"/>
            </w:pPr>
            <w:r w:rsidRPr="002029AF">
              <w:t>10%</w:t>
            </w:r>
          </w:p>
        </w:tc>
        <w:tc>
          <w:tcPr>
            <w:tcW w:w="1010" w:type="dxa"/>
            <w:tcBorders>
              <w:top w:val="single" w:sz="4" w:space="0" w:color="AEAAAA" w:themeColor="background2" w:themeShade="BF"/>
              <w:left w:val="nil"/>
              <w:bottom w:val="single" w:sz="4" w:space="0" w:color="AEAAAA" w:themeColor="background2" w:themeShade="BF"/>
              <w:right w:val="nil"/>
            </w:tcBorders>
          </w:tcPr>
          <w:p w14:paraId="512F188B" w14:textId="77777777" w:rsidR="00677E7A" w:rsidRPr="002029AF" w:rsidRDefault="00677E7A" w:rsidP="0054384A">
            <w:pPr>
              <w:pStyle w:val="ARtabletext"/>
              <w:spacing w:before="60"/>
            </w:pPr>
            <w:r w:rsidRPr="002029AF">
              <w:t>9%</w:t>
            </w:r>
          </w:p>
        </w:tc>
        <w:tc>
          <w:tcPr>
            <w:tcW w:w="1006" w:type="dxa"/>
            <w:tcBorders>
              <w:top w:val="single" w:sz="4" w:space="0" w:color="AEAAAA" w:themeColor="background2" w:themeShade="BF"/>
              <w:left w:val="nil"/>
              <w:bottom w:val="single" w:sz="4" w:space="0" w:color="AEAAAA" w:themeColor="background2" w:themeShade="BF"/>
              <w:right w:val="nil"/>
            </w:tcBorders>
          </w:tcPr>
          <w:p w14:paraId="16CD5AF3" w14:textId="77777777" w:rsidR="00677E7A" w:rsidRPr="002029AF" w:rsidRDefault="00677E7A" w:rsidP="0054384A">
            <w:pPr>
              <w:pStyle w:val="ARtabletext"/>
              <w:spacing w:before="60"/>
            </w:pPr>
            <w:r w:rsidRPr="002029AF">
              <w:t>9%</w:t>
            </w:r>
          </w:p>
        </w:tc>
        <w:tc>
          <w:tcPr>
            <w:tcW w:w="1420" w:type="dxa"/>
            <w:tcBorders>
              <w:top w:val="single" w:sz="4" w:space="0" w:color="AEAAAA" w:themeColor="background2" w:themeShade="BF"/>
              <w:left w:val="nil"/>
              <w:bottom w:val="single" w:sz="4" w:space="0" w:color="AEAAAA" w:themeColor="background2" w:themeShade="BF"/>
              <w:right w:val="nil"/>
            </w:tcBorders>
          </w:tcPr>
          <w:p w14:paraId="5F26D692" w14:textId="77777777" w:rsidR="00677E7A" w:rsidRPr="002029AF" w:rsidRDefault="00677E7A" w:rsidP="0054384A">
            <w:pPr>
              <w:pStyle w:val="ARtabletext"/>
              <w:spacing w:before="60"/>
            </w:pPr>
            <w:r w:rsidRPr="002029AF">
              <w:t>7%</w:t>
            </w:r>
          </w:p>
        </w:tc>
      </w:tr>
      <w:tr w:rsidR="00677E7A" w:rsidRPr="002029AF" w14:paraId="787194D1" w14:textId="77777777" w:rsidTr="00F4536C">
        <w:trPr>
          <w:cantSplit/>
        </w:trPr>
        <w:tc>
          <w:tcPr>
            <w:tcW w:w="9639" w:type="dxa"/>
            <w:gridSpan w:val="5"/>
            <w:tcBorders>
              <w:top w:val="single" w:sz="4" w:space="0" w:color="AEAAAA" w:themeColor="background2" w:themeShade="BF"/>
              <w:left w:val="nil"/>
              <w:bottom w:val="single" w:sz="4" w:space="0" w:color="auto"/>
              <w:right w:val="nil"/>
            </w:tcBorders>
          </w:tcPr>
          <w:p w14:paraId="2BB5CC76" w14:textId="77777777" w:rsidR="00677E7A" w:rsidRPr="002029AF" w:rsidRDefault="00677E7A" w:rsidP="0054384A">
            <w:pPr>
              <w:pStyle w:val="ARtabletext"/>
              <w:spacing w:before="60"/>
            </w:pPr>
            <w:r w:rsidRPr="002029AF">
              <w:rPr>
                <w:sz w:val="16"/>
                <w:szCs w:val="16"/>
              </w:rPr>
              <w:t>Source: Internal People Matters Survey. Results are based on calendar year reporting.</w:t>
            </w:r>
          </w:p>
        </w:tc>
      </w:tr>
      <w:tr w:rsidR="00677E7A" w:rsidRPr="002029AF" w14:paraId="6763CF50" w14:textId="77777777" w:rsidTr="00F4536C">
        <w:trPr>
          <w:cantSplit/>
        </w:trPr>
        <w:tc>
          <w:tcPr>
            <w:tcW w:w="9639" w:type="dxa"/>
            <w:gridSpan w:val="5"/>
            <w:tcBorders>
              <w:top w:val="single" w:sz="4" w:space="0" w:color="auto"/>
              <w:left w:val="nil"/>
              <w:bottom w:val="single" w:sz="4" w:space="0" w:color="auto"/>
              <w:right w:val="nil"/>
            </w:tcBorders>
            <w:hideMark/>
          </w:tcPr>
          <w:p w14:paraId="386720D8" w14:textId="77777777" w:rsidR="00677E7A" w:rsidRPr="002029AF" w:rsidRDefault="00677E7A" w:rsidP="0054384A">
            <w:pPr>
              <w:pStyle w:val="ARtablesubhead"/>
              <w:spacing w:before="60"/>
            </w:pPr>
            <w:r w:rsidRPr="002029AF">
              <w:t>Victorians have suitable and stable housing</w:t>
            </w:r>
          </w:p>
        </w:tc>
      </w:tr>
      <w:tr w:rsidR="00677E7A" w:rsidRPr="002029AF" w14:paraId="7936FF84" w14:textId="77777777" w:rsidTr="00F4536C">
        <w:trPr>
          <w:cantSplit/>
        </w:trPr>
        <w:tc>
          <w:tcPr>
            <w:tcW w:w="5193" w:type="dxa"/>
            <w:tcBorders>
              <w:top w:val="single" w:sz="4" w:space="0" w:color="auto"/>
              <w:left w:val="nil"/>
              <w:bottom w:val="single" w:sz="4" w:space="0" w:color="AEAAAA" w:themeColor="background2" w:themeShade="BF"/>
              <w:right w:val="nil"/>
            </w:tcBorders>
            <w:hideMark/>
          </w:tcPr>
          <w:p w14:paraId="7B152FE3" w14:textId="77777777" w:rsidR="00677E7A" w:rsidRPr="002029AF" w:rsidRDefault="00677E7A" w:rsidP="0054384A">
            <w:pPr>
              <w:pStyle w:val="ARtabletext"/>
              <w:spacing w:before="60"/>
              <w:rPr>
                <w:i/>
              </w:rPr>
            </w:pPr>
            <w:r w:rsidRPr="002029AF">
              <w:t>Number of clients assisted to address and prevent homelessness</w:t>
            </w:r>
          </w:p>
        </w:tc>
        <w:tc>
          <w:tcPr>
            <w:tcW w:w="1010" w:type="dxa"/>
            <w:tcBorders>
              <w:top w:val="single" w:sz="4" w:space="0" w:color="auto"/>
              <w:left w:val="nil"/>
              <w:bottom w:val="single" w:sz="4" w:space="0" w:color="AEAAAA" w:themeColor="background2" w:themeShade="BF"/>
              <w:right w:val="nil"/>
            </w:tcBorders>
            <w:hideMark/>
          </w:tcPr>
          <w:p w14:paraId="76DB1305" w14:textId="77777777" w:rsidR="00677E7A" w:rsidRPr="002029AF" w:rsidRDefault="00677E7A" w:rsidP="0054384A">
            <w:pPr>
              <w:pStyle w:val="ARtabletext"/>
              <w:spacing w:before="60"/>
            </w:pPr>
            <w:r w:rsidRPr="002029AF">
              <w:t>108,574</w:t>
            </w:r>
          </w:p>
        </w:tc>
        <w:tc>
          <w:tcPr>
            <w:tcW w:w="1010" w:type="dxa"/>
            <w:tcBorders>
              <w:top w:val="single" w:sz="4" w:space="0" w:color="auto"/>
              <w:left w:val="nil"/>
              <w:bottom w:val="single" w:sz="4" w:space="0" w:color="AEAAAA" w:themeColor="background2" w:themeShade="BF"/>
              <w:right w:val="nil"/>
            </w:tcBorders>
            <w:hideMark/>
          </w:tcPr>
          <w:p w14:paraId="4D7594E3" w14:textId="77777777" w:rsidR="00677E7A" w:rsidRPr="002029AF" w:rsidRDefault="00677E7A" w:rsidP="0054384A">
            <w:pPr>
              <w:pStyle w:val="ARtabletext"/>
              <w:spacing w:before="60"/>
            </w:pPr>
            <w:r w:rsidRPr="002029AF">
              <w:t>118,141</w:t>
            </w:r>
          </w:p>
        </w:tc>
        <w:tc>
          <w:tcPr>
            <w:tcW w:w="1006" w:type="dxa"/>
            <w:tcBorders>
              <w:top w:val="single" w:sz="4" w:space="0" w:color="auto"/>
              <w:left w:val="nil"/>
              <w:bottom w:val="single" w:sz="4" w:space="0" w:color="AEAAAA" w:themeColor="background2" w:themeShade="BF"/>
              <w:right w:val="nil"/>
            </w:tcBorders>
            <w:hideMark/>
          </w:tcPr>
          <w:p w14:paraId="32DD9BDC" w14:textId="77777777" w:rsidR="00677E7A" w:rsidRPr="002029AF" w:rsidRDefault="00677E7A" w:rsidP="0054384A">
            <w:pPr>
              <w:pStyle w:val="ARtabletext"/>
              <w:spacing w:before="60"/>
            </w:pPr>
            <w:r w:rsidRPr="002029AF">
              <w:t>112,054</w:t>
            </w:r>
          </w:p>
        </w:tc>
        <w:tc>
          <w:tcPr>
            <w:tcW w:w="1420" w:type="dxa"/>
            <w:tcBorders>
              <w:top w:val="single" w:sz="4" w:space="0" w:color="auto"/>
              <w:left w:val="nil"/>
              <w:bottom w:val="single" w:sz="4" w:space="0" w:color="AEAAAA" w:themeColor="background2" w:themeShade="BF"/>
              <w:right w:val="nil"/>
            </w:tcBorders>
          </w:tcPr>
          <w:p w14:paraId="7AB12720" w14:textId="77777777" w:rsidR="00677E7A" w:rsidRPr="002029AF" w:rsidRDefault="00677E7A" w:rsidP="0054384A">
            <w:pPr>
              <w:pStyle w:val="ARtabletext"/>
              <w:spacing w:before="60"/>
            </w:pPr>
            <w:r w:rsidRPr="002029AF">
              <w:t>115,168</w:t>
            </w:r>
          </w:p>
        </w:tc>
      </w:tr>
      <w:tr w:rsidR="00677E7A" w:rsidRPr="002029AF" w14:paraId="6B526F02" w14:textId="77777777" w:rsidTr="00F4536C">
        <w:trPr>
          <w:cantSplit/>
        </w:trPr>
        <w:tc>
          <w:tcPr>
            <w:tcW w:w="5193" w:type="dxa"/>
            <w:tcBorders>
              <w:top w:val="single" w:sz="4" w:space="0" w:color="AEAAAA" w:themeColor="background2" w:themeShade="BF"/>
              <w:left w:val="nil"/>
              <w:bottom w:val="single" w:sz="4" w:space="0" w:color="E7E6E6" w:themeColor="background2"/>
              <w:right w:val="nil"/>
            </w:tcBorders>
            <w:hideMark/>
          </w:tcPr>
          <w:p w14:paraId="4DF565C3" w14:textId="77777777" w:rsidR="00677E7A" w:rsidRPr="002029AF" w:rsidRDefault="00677E7A" w:rsidP="0054384A">
            <w:pPr>
              <w:pStyle w:val="ARtabletext"/>
              <w:spacing w:before="60"/>
              <w:rPr>
                <w:i/>
              </w:rPr>
            </w:pPr>
            <w:r w:rsidRPr="002029AF">
              <w:t>Number of clients provided with accommodation</w:t>
            </w:r>
          </w:p>
        </w:tc>
        <w:tc>
          <w:tcPr>
            <w:tcW w:w="1010" w:type="dxa"/>
            <w:tcBorders>
              <w:top w:val="single" w:sz="4" w:space="0" w:color="AEAAAA" w:themeColor="background2" w:themeShade="BF"/>
              <w:left w:val="nil"/>
              <w:bottom w:val="single" w:sz="4" w:space="0" w:color="E7E6E6" w:themeColor="background2"/>
              <w:right w:val="nil"/>
            </w:tcBorders>
            <w:hideMark/>
          </w:tcPr>
          <w:p w14:paraId="5A4DB897" w14:textId="77777777" w:rsidR="00677E7A" w:rsidRPr="002029AF" w:rsidRDefault="00677E7A" w:rsidP="0054384A">
            <w:pPr>
              <w:pStyle w:val="ARtabletext"/>
              <w:spacing w:before="60"/>
            </w:pPr>
            <w:r w:rsidRPr="002029AF">
              <w:t>New Measure</w:t>
            </w:r>
          </w:p>
        </w:tc>
        <w:tc>
          <w:tcPr>
            <w:tcW w:w="1010" w:type="dxa"/>
            <w:tcBorders>
              <w:top w:val="single" w:sz="4" w:space="0" w:color="AEAAAA" w:themeColor="background2" w:themeShade="BF"/>
              <w:left w:val="nil"/>
              <w:bottom w:val="single" w:sz="4" w:space="0" w:color="E7E6E6" w:themeColor="background2"/>
              <w:right w:val="nil"/>
            </w:tcBorders>
            <w:hideMark/>
          </w:tcPr>
          <w:p w14:paraId="72AF4F05" w14:textId="77777777" w:rsidR="00677E7A" w:rsidRPr="002029AF" w:rsidRDefault="00677E7A" w:rsidP="0054384A">
            <w:pPr>
              <w:pStyle w:val="ARtabletext"/>
              <w:spacing w:before="60"/>
            </w:pPr>
            <w:r w:rsidRPr="002029AF">
              <w:t>New Measure</w:t>
            </w:r>
          </w:p>
        </w:tc>
        <w:tc>
          <w:tcPr>
            <w:tcW w:w="1006" w:type="dxa"/>
            <w:tcBorders>
              <w:top w:val="single" w:sz="4" w:space="0" w:color="AEAAAA" w:themeColor="background2" w:themeShade="BF"/>
              <w:left w:val="nil"/>
              <w:bottom w:val="single" w:sz="4" w:space="0" w:color="E7E6E6" w:themeColor="background2"/>
              <w:right w:val="nil"/>
            </w:tcBorders>
            <w:hideMark/>
          </w:tcPr>
          <w:p w14:paraId="4A776EAC" w14:textId="77777777" w:rsidR="00677E7A" w:rsidRPr="002029AF" w:rsidRDefault="00677E7A" w:rsidP="0054384A">
            <w:pPr>
              <w:pStyle w:val="ARtabletext"/>
              <w:spacing w:before="60"/>
            </w:pPr>
            <w:r w:rsidRPr="002029AF">
              <w:t>27,845</w:t>
            </w:r>
          </w:p>
        </w:tc>
        <w:tc>
          <w:tcPr>
            <w:tcW w:w="1420" w:type="dxa"/>
            <w:tcBorders>
              <w:top w:val="single" w:sz="4" w:space="0" w:color="AEAAAA" w:themeColor="background2" w:themeShade="BF"/>
              <w:left w:val="nil"/>
              <w:bottom w:val="single" w:sz="4" w:space="0" w:color="E7E6E6" w:themeColor="background2"/>
              <w:right w:val="nil"/>
            </w:tcBorders>
          </w:tcPr>
          <w:p w14:paraId="62DDA010" w14:textId="77777777" w:rsidR="00677E7A" w:rsidRPr="002029AF" w:rsidRDefault="00677E7A" w:rsidP="0054384A">
            <w:pPr>
              <w:pStyle w:val="ARtabletext"/>
              <w:spacing w:before="60"/>
            </w:pPr>
            <w:r w:rsidRPr="002029AF">
              <w:t>29,293</w:t>
            </w:r>
          </w:p>
        </w:tc>
      </w:tr>
      <w:tr w:rsidR="00677E7A" w:rsidRPr="002029AF" w14:paraId="7097C696" w14:textId="77777777" w:rsidTr="00F4536C">
        <w:trPr>
          <w:cantSplit/>
        </w:trPr>
        <w:tc>
          <w:tcPr>
            <w:tcW w:w="5193" w:type="dxa"/>
            <w:tcBorders>
              <w:top w:val="single" w:sz="4" w:space="0" w:color="AEAAAA" w:themeColor="background2" w:themeShade="BF"/>
              <w:left w:val="nil"/>
              <w:bottom w:val="single" w:sz="4" w:space="0" w:color="E7E6E6" w:themeColor="background2"/>
              <w:right w:val="nil"/>
            </w:tcBorders>
            <w:hideMark/>
          </w:tcPr>
          <w:p w14:paraId="5479A0D4" w14:textId="77777777" w:rsidR="00677E7A" w:rsidRPr="002029AF" w:rsidRDefault="00677E7A" w:rsidP="0054384A">
            <w:pPr>
              <w:pStyle w:val="ARtabletext"/>
              <w:spacing w:before="60"/>
              <w:rPr>
                <w:i/>
              </w:rPr>
            </w:pPr>
            <w:r w:rsidRPr="002029AF">
              <w:t>Number of clients assisted to address and prevent homelessness due to family violence</w:t>
            </w:r>
          </w:p>
        </w:tc>
        <w:tc>
          <w:tcPr>
            <w:tcW w:w="1010" w:type="dxa"/>
            <w:tcBorders>
              <w:top w:val="single" w:sz="4" w:space="0" w:color="AEAAAA" w:themeColor="background2" w:themeShade="BF"/>
              <w:left w:val="nil"/>
              <w:bottom w:val="single" w:sz="4" w:space="0" w:color="E7E6E6" w:themeColor="background2"/>
              <w:right w:val="nil"/>
            </w:tcBorders>
            <w:hideMark/>
          </w:tcPr>
          <w:p w14:paraId="591BBDA8" w14:textId="77777777" w:rsidR="00677E7A" w:rsidRPr="002029AF" w:rsidRDefault="00677E7A" w:rsidP="0054384A">
            <w:pPr>
              <w:pStyle w:val="ARtabletext"/>
              <w:spacing w:before="60"/>
            </w:pPr>
            <w:r w:rsidRPr="002029AF">
              <w:t>New measure</w:t>
            </w:r>
          </w:p>
        </w:tc>
        <w:tc>
          <w:tcPr>
            <w:tcW w:w="1010" w:type="dxa"/>
            <w:tcBorders>
              <w:top w:val="single" w:sz="4" w:space="0" w:color="AEAAAA" w:themeColor="background2" w:themeShade="BF"/>
              <w:left w:val="nil"/>
              <w:bottom w:val="single" w:sz="4" w:space="0" w:color="E7E6E6" w:themeColor="background2"/>
              <w:right w:val="nil"/>
            </w:tcBorders>
            <w:hideMark/>
          </w:tcPr>
          <w:p w14:paraId="1847AB4D" w14:textId="77777777" w:rsidR="00677E7A" w:rsidRPr="002029AF" w:rsidRDefault="00677E7A" w:rsidP="0054384A">
            <w:pPr>
              <w:pStyle w:val="ARtabletext"/>
              <w:spacing w:before="60"/>
            </w:pPr>
            <w:r w:rsidRPr="002029AF">
              <w:t>57,136</w:t>
            </w:r>
          </w:p>
        </w:tc>
        <w:tc>
          <w:tcPr>
            <w:tcW w:w="1006" w:type="dxa"/>
            <w:tcBorders>
              <w:top w:val="single" w:sz="4" w:space="0" w:color="AEAAAA" w:themeColor="background2" w:themeShade="BF"/>
              <w:left w:val="nil"/>
              <w:bottom w:val="single" w:sz="4" w:space="0" w:color="E7E6E6" w:themeColor="background2"/>
              <w:right w:val="nil"/>
            </w:tcBorders>
            <w:hideMark/>
          </w:tcPr>
          <w:p w14:paraId="10837793" w14:textId="77777777" w:rsidR="00677E7A" w:rsidRPr="002029AF" w:rsidRDefault="00677E7A" w:rsidP="0054384A">
            <w:pPr>
              <w:pStyle w:val="ARtabletext"/>
              <w:spacing w:before="60"/>
            </w:pPr>
            <w:r w:rsidRPr="002029AF">
              <w:t>50,375</w:t>
            </w:r>
          </w:p>
        </w:tc>
        <w:tc>
          <w:tcPr>
            <w:tcW w:w="1420" w:type="dxa"/>
            <w:tcBorders>
              <w:top w:val="single" w:sz="4" w:space="0" w:color="AEAAAA" w:themeColor="background2" w:themeShade="BF"/>
              <w:left w:val="nil"/>
              <w:bottom w:val="single" w:sz="4" w:space="0" w:color="E7E6E6" w:themeColor="background2"/>
              <w:right w:val="nil"/>
            </w:tcBorders>
          </w:tcPr>
          <w:p w14:paraId="1E8F0AA3" w14:textId="77777777" w:rsidR="00677E7A" w:rsidRPr="002029AF" w:rsidRDefault="00677E7A" w:rsidP="0054384A">
            <w:pPr>
              <w:pStyle w:val="ARtabletext"/>
              <w:spacing w:before="60"/>
            </w:pPr>
            <w:r w:rsidRPr="002029AF">
              <w:t>53,136</w:t>
            </w:r>
          </w:p>
        </w:tc>
      </w:tr>
      <w:tr w:rsidR="00677E7A" w:rsidRPr="002029AF" w14:paraId="3842924D" w14:textId="77777777" w:rsidTr="00F4536C">
        <w:trPr>
          <w:cantSplit/>
        </w:trPr>
        <w:tc>
          <w:tcPr>
            <w:tcW w:w="5193" w:type="dxa"/>
            <w:tcBorders>
              <w:top w:val="single" w:sz="4" w:space="0" w:color="AEAAAA" w:themeColor="background2" w:themeShade="BF"/>
              <w:left w:val="nil"/>
              <w:bottom w:val="single" w:sz="4" w:space="0" w:color="E7E6E6" w:themeColor="background2"/>
              <w:right w:val="nil"/>
            </w:tcBorders>
            <w:hideMark/>
          </w:tcPr>
          <w:p w14:paraId="09AA4B40" w14:textId="77777777" w:rsidR="00677E7A" w:rsidRPr="002029AF" w:rsidRDefault="00677E7A" w:rsidP="0054384A">
            <w:pPr>
              <w:pStyle w:val="ARtabletext"/>
              <w:spacing w:before="60"/>
              <w:rPr>
                <w:i/>
              </w:rPr>
            </w:pPr>
            <w:r w:rsidRPr="002029AF">
              <w:t>Average waiting time for public rental housing for those clients who have received priority access housing allocation</w:t>
            </w:r>
          </w:p>
        </w:tc>
        <w:tc>
          <w:tcPr>
            <w:tcW w:w="1010" w:type="dxa"/>
            <w:tcBorders>
              <w:top w:val="single" w:sz="4" w:space="0" w:color="AEAAAA" w:themeColor="background2" w:themeShade="BF"/>
              <w:left w:val="nil"/>
              <w:bottom w:val="single" w:sz="4" w:space="0" w:color="E7E6E6" w:themeColor="background2"/>
              <w:right w:val="nil"/>
            </w:tcBorders>
            <w:hideMark/>
          </w:tcPr>
          <w:p w14:paraId="6515994F" w14:textId="77777777" w:rsidR="00677E7A" w:rsidRPr="002029AF" w:rsidRDefault="00677E7A" w:rsidP="0054384A">
            <w:pPr>
              <w:pStyle w:val="ARtabletext"/>
              <w:spacing w:before="60"/>
            </w:pPr>
            <w:r w:rsidRPr="002029AF">
              <w:t>10.4</w:t>
            </w:r>
            <w:r w:rsidRPr="002029AF">
              <w:br/>
              <w:t>months</w:t>
            </w:r>
          </w:p>
        </w:tc>
        <w:tc>
          <w:tcPr>
            <w:tcW w:w="1010" w:type="dxa"/>
            <w:tcBorders>
              <w:top w:val="single" w:sz="4" w:space="0" w:color="AEAAAA" w:themeColor="background2" w:themeShade="BF"/>
              <w:left w:val="nil"/>
              <w:bottom w:val="single" w:sz="4" w:space="0" w:color="E7E6E6" w:themeColor="background2"/>
              <w:right w:val="nil"/>
            </w:tcBorders>
            <w:hideMark/>
          </w:tcPr>
          <w:p w14:paraId="08A75B59" w14:textId="77777777" w:rsidR="00677E7A" w:rsidRPr="002029AF" w:rsidRDefault="00677E7A" w:rsidP="0054384A">
            <w:pPr>
              <w:pStyle w:val="ARtabletext"/>
              <w:spacing w:before="60"/>
            </w:pPr>
            <w:r w:rsidRPr="002029AF">
              <w:t>10.5</w:t>
            </w:r>
            <w:r w:rsidRPr="002029AF">
              <w:br/>
              <w:t>months</w:t>
            </w:r>
          </w:p>
        </w:tc>
        <w:tc>
          <w:tcPr>
            <w:tcW w:w="1006" w:type="dxa"/>
            <w:tcBorders>
              <w:top w:val="single" w:sz="4" w:space="0" w:color="AEAAAA" w:themeColor="background2" w:themeShade="BF"/>
              <w:left w:val="nil"/>
              <w:bottom w:val="single" w:sz="4" w:space="0" w:color="E7E6E6" w:themeColor="background2"/>
              <w:right w:val="nil"/>
            </w:tcBorders>
            <w:hideMark/>
          </w:tcPr>
          <w:p w14:paraId="17680B2C" w14:textId="77777777" w:rsidR="00677E7A" w:rsidRPr="002029AF" w:rsidRDefault="00677E7A" w:rsidP="0054384A">
            <w:pPr>
              <w:pStyle w:val="ARtabletext"/>
              <w:spacing w:before="60"/>
            </w:pPr>
            <w:r w:rsidRPr="002029AF">
              <w:t>11.6</w:t>
            </w:r>
            <w:r w:rsidRPr="002029AF">
              <w:br/>
              <w:t>months</w:t>
            </w:r>
          </w:p>
        </w:tc>
        <w:tc>
          <w:tcPr>
            <w:tcW w:w="1420" w:type="dxa"/>
            <w:tcBorders>
              <w:top w:val="single" w:sz="4" w:space="0" w:color="AEAAAA" w:themeColor="background2" w:themeShade="BF"/>
              <w:left w:val="nil"/>
              <w:bottom w:val="single" w:sz="4" w:space="0" w:color="E7E6E6" w:themeColor="background2"/>
              <w:right w:val="nil"/>
            </w:tcBorders>
          </w:tcPr>
          <w:p w14:paraId="0D816669" w14:textId="77777777" w:rsidR="00677E7A" w:rsidRPr="002029AF" w:rsidRDefault="00677E7A" w:rsidP="0054384A">
            <w:pPr>
              <w:pStyle w:val="ARtabletext"/>
              <w:spacing w:before="60"/>
            </w:pPr>
            <w:r w:rsidRPr="002029AF">
              <w:t xml:space="preserve">12.0 </w:t>
            </w:r>
            <w:r w:rsidRPr="002029AF">
              <w:br/>
              <w:t>months</w:t>
            </w:r>
          </w:p>
        </w:tc>
      </w:tr>
      <w:tr w:rsidR="00677E7A" w:rsidRPr="002029AF" w14:paraId="5DA8F79B" w14:textId="77777777" w:rsidTr="00F4536C">
        <w:trPr>
          <w:cantSplit/>
        </w:trPr>
        <w:tc>
          <w:tcPr>
            <w:tcW w:w="5193" w:type="dxa"/>
            <w:tcBorders>
              <w:top w:val="single" w:sz="4" w:space="0" w:color="AEAAAA" w:themeColor="background2" w:themeShade="BF"/>
              <w:left w:val="nil"/>
              <w:bottom w:val="single" w:sz="4" w:space="0" w:color="BFBFBF"/>
              <w:right w:val="nil"/>
            </w:tcBorders>
            <w:hideMark/>
          </w:tcPr>
          <w:p w14:paraId="6CF36ABD" w14:textId="77777777" w:rsidR="00677E7A" w:rsidRPr="002029AF" w:rsidRDefault="00677E7A" w:rsidP="0054384A">
            <w:pPr>
              <w:pStyle w:val="ARtabletext"/>
              <w:spacing w:before="60"/>
              <w:rPr>
                <w:i/>
              </w:rPr>
            </w:pPr>
            <w:r w:rsidRPr="002029AF">
              <w:t>Average waiting time for public rental housing for clients who have received a priority access housing or priority transfer allocation due to family violence</w:t>
            </w:r>
          </w:p>
        </w:tc>
        <w:tc>
          <w:tcPr>
            <w:tcW w:w="1010" w:type="dxa"/>
            <w:tcBorders>
              <w:top w:val="single" w:sz="4" w:space="0" w:color="AEAAAA" w:themeColor="background2" w:themeShade="BF"/>
              <w:left w:val="nil"/>
              <w:bottom w:val="single" w:sz="4" w:space="0" w:color="BFBFBF"/>
              <w:right w:val="nil"/>
            </w:tcBorders>
            <w:hideMark/>
          </w:tcPr>
          <w:p w14:paraId="5152BB89" w14:textId="77777777" w:rsidR="00677E7A" w:rsidRPr="002029AF" w:rsidRDefault="00677E7A" w:rsidP="0054384A">
            <w:pPr>
              <w:pStyle w:val="ARtabletext"/>
              <w:spacing w:before="60"/>
            </w:pPr>
            <w:r w:rsidRPr="002029AF">
              <w:t>New measure</w:t>
            </w:r>
          </w:p>
        </w:tc>
        <w:tc>
          <w:tcPr>
            <w:tcW w:w="1010" w:type="dxa"/>
            <w:tcBorders>
              <w:top w:val="single" w:sz="4" w:space="0" w:color="AEAAAA" w:themeColor="background2" w:themeShade="BF"/>
              <w:left w:val="nil"/>
              <w:bottom w:val="single" w:sz="4" w:space="0" w:color="BFBFBF"/>
              <w:right w:val="nil"/>
            </w:tcBorders>
            <w:hideMark/>
          </w:tcPr>
          <w:p w14:paraId="6DF15FBE" w14:textId="77777777" w:rsidR="00677E7A" w:rsidRPr="002029AF" w:rsidRDefault="00677E7A" w:rsidP="0054384A">
            <w:pPr>
              <w:pStyle w:val="ARtabletext"/>
              <w:spacing w:before="60"/>
            </w:pPr>
            <w:r w:rsidRPr="002029AF">
              <w:t xml:space="preserve">8.8 </w:t>
            </w:r>
            <w:r w:rsidRPr="002029AF">
              <w:br/>
              <w:t>months</w:t>
            </w:r>
          </w:p>
        </w:tc>
        <w:tc>
          <w:tcPr>
            <w:tcW w:w="1006" w:type="dxa"/>
            <w:tcBorders>
              <w:top w:val="single" w:sz="4" w:space="0" w:color="AEAAAA" w:themeColor="background2" w:themeShade="BF"/>
              <w:left w:val="nil"/>
              <w:bottom w:val="single" w:sz="4" w:space="0" w:color="BFBFBF"/>
              <w:right w:val="nil"/>
            </w:tcBorders>
            <w:hideMark/>
          </w:tcPr>
          <w:p w14:paraId="5FF2E838" w14:textId="77777777" w:rsidR="00677E7A" w:rsidRPr="002029AF" w:rsidRDefault="00677E7A" w:rsidP="0054384A">
            <w:pPr>
              <w:pStyle w:val="ARtabletext"/>
              <w:spacing w:before="60"/>
            </w:pPr>
            <w:r w:rsidRPr="002029AF">
              <w:t>10.3 months</w:t>
            </w:r>
          </w:p>
        </w:tc>
        <w:tc>
          <w:tcPr>
            <w:tcW w:w="1420" w:type="dxa"/>
            <w:tcBorders>
              <w:top w:val="single" w:sz="4" w:space="0" w:color="AEAAAA" w:themeColor="background2" w:themeShade="BF"/>
              <w:left w:val="nil"/>
              <w:bottom w:val="single" w:sz="4" w:space="0" w:color="BFBFBF"/>
              <w:right w:val="nil"/>
            </w:tcBorders>
          </w:tcPr>
          <w:p w14:paraId="04C39147" w14:textId="77777777" w:rsidR="00677E7A" w:rsidRPr="002029AF" w:rsidRDefault="00677E7A" w:rsidP="0054384A">
            <w:pPr>
              <w:pStyle w:val="ARtabletext"/>
              <w:spacing w:before="60"/>
            </w:pPr>
            <w:r w:rsidRPr="002029AF">
              <w:t xml:space="preserve">9.9 </w:t>
            </w:r>
            <w:r w:rsidRPr="002029AF">
              <w:br/>
              <w:t>months</w:t>
            </w:r>
          </w:p>
        </w:tc>
      </w:tr>
      <w:tr w:rsidR="00677E7A" w:rsidRPr="002029AF" w14:paraId="63AEF087" w14:textId="77777777" w:rsidTr="00F4536C">
        <w:trPr>
          <w:cantSplit/>
        </w:trPr>
        <w:tc>
          <w:tcPr>
            <w:tcW w:w="9639" w:type="dxa"/>
            <w:gridSpan w:val="5"/>
            <w:tcBorders>
              <w:top w:val="single" w:sz="4" w:space="0" w:color="BFBFBF"/>
              <w:left w:val="nil"/>
              <w:bottom w:val="single" w:sz="4" w:space="0" w:color="auto"/>
              <w:right w:val="nil"/>
            </w:tcBorders>
            <w:hideMark/>
          </w:tcPr>
          <w:p w14:paraId="362FD298" w14:textId="77777777" w:rsidR="00677E7A" w:rsidRPr="002029AF" w:rsidRDefault="00677E7A" w:rsidP="0054384A">
            <w:pPr>
              <w:pStyle w:val="ARtablefootnote"/>
              <w:spacing w:before="60"/>
            </w:pPr>
            <w:r w:rsidRPr="002029AF">
              <w:rPr>
                <w:rFonts w:eastAsia="Times"/>
                <w:lang w:eastAsia="en-AU"/>
              </w:rPr>
              <w:t>Source: Internal government sources</w:t>
            </w:r>
          </w:p>
        </w:tc>
      </w:tr>
    </w:tbl>
    <w:p w14:paraId="227B7CA8" w14:textId="6D422AF8" w:rsidR="00603E4B" w:rsidRPr="002029AF" w:rsidRDefault="00603E4B" w:rsidP="00603E4B">
      <w:pPr>
        <w:pStyle w:val="ARtablefootnote"/>
      </w:pPr>
      <w:r w:rsidRPr="002029AF">
        <w:t>The department is committed to measuring outcomes for all indicators set out in the Victorian budget papers. Further work is needed to test and validate measures to ensure departmental initiatives and policies are reflected by the performance indicators. As the outcomes approaches in the department mature, reporting will be provided against outcome measures and will inform the reporting of performance indicators.</w:t>
      </w:r>
    </w:p>
    <w:p w14:paraId="7669F9D7" w14:textId="77777777" w:rsidR="00603E4B" w:rsidRPr="002029AF" w:rsidRDefault="00603E4B" w:rsidP="000A18C8">
      <w:pPr>
        <w:pStyle w:val="Heading3larger"/>
      </w:pPr>
      <w:r w:rsidRPr="002029AF">
        <w:lastRenderedPageBreak/>
        <w:t>Objective 3: Victorians have the capabilities to participate</w:t>
      </w:r>
      <w:bookmarkEnd w:id="42"/>
    </w:p>
    <w:p w14:paraId="5AA2B1E1" w14:textId="43509AA4" w:rsidR="00603E4B" w:rsidRPr="002029AF" w:rsidRDefault="00603E4B" w:rsidP="00603E4B">
      <w:pPr>
        <w:pStyle w:val="ARintro"/>
      </w:pPr>
      <w:r w:rsidRPr="002029AF">
        <w:t>This objective focuses on building every Victorian’s capacity to realise their full educational and</w:t>
      </w:r>
      <w:r w:rsidR="00927164">
        <w:t> </w:t>
      </w:r>
      <w:r w:rsidRPr="002029AF">
        <w:t>economic potential.</w:t>
      </w:r>
    </w:p>
    <w:p w14:paraId="2E8ED97C" w14:textId="5B0CDD55" w:rsidR="00603E4B" w:rsidRPr="002029AF" w:rsidRDefault="00603E4B" w:rsidP="00603E4B">
      <w:pPr>
        <w:pStyle w:val="ARintro"/>
      </w:pPr>
      <w:r w:rsidRPr="002029AF">
        <w:t xml:space="preserve">Success in achieving this objective will require supporting people </w:t>
      </w:r>
      <w:r w:rsidR="00784A55">
        <w:t>throughout all stages of life</w:t>
      </w:r>
      <w:r w:rsidRPr="002029AF">
        <w:t>, and ensuring the right foundations are established in early childhood. It also requires giving children opportunities to achieve in education and preparing and supporting people to access meaningful employment opportunities.</w:t>
      </w:r>
    </w:p>
    <w:p w14:paraId="393A2E3B" w14:textId="77777777" w:rsidR="00603E4B" w:rsidRPr="002029AF" w:rsidRDefault="00603E4B" w:rsidP="00603E4B">
      <w:pPr>
        <w:pStyle w:val="ARintro"/>
      </w:pPr>
      <w:r w:rsidRPr="002029AF">
        <w:t>Work under this objective is particularly important for the future success of the state, so that future generations can enjoy a better quality of life. The department can play a key role in this by helping to unlock the social, educational and economic potential of all Victorians, including those facing barriers to participation.</w:t>
      </w:r>
    </w:p>
    <w:p w14:paraId="080C7284" w14:textId="77777777" w:rsidR="00603E4B" w:rsidRPr="002029AF" w:rsidRDefault="00603E4B" w:rsidP="00603E4B">
      <w:pPr>
        <w:pStyle w:val="ARintro"/>
      </w:pPr>
      <w:r w:rsidRPr="002029AF">
        <w:t>Work under this objective also recognises the important role the department has in contributing to Victoria’s economic growth through the jobs our services and capital investments create, and the industries and workforces we support.</w:t>
      </w:r>
    </w:p>
    <w:p w14:paraId="6091E6B3" w14:textId="77777777" w:rsidR="00603E4B" w:rsidRPr="002029AF" w:rsidRDefault="00603E4B" w:rsidP="00603E4B">
      <w:pPr>
        <w:pStyle w:val="ARintro"/>
      </w:pPr>
      <w:r w:rsidRPr="002029AF">
        <w:t>This objective seeks to ensure:</w:t>
      </w:r>
    </w:p>
    <w:p w14:paraId="584C5C6F" w14:textId="77777777" w:rsidR="00603E4B" w:rsidRPr="002029AF" w:rsidRDefault="00603E4B" w:rsidP="00603E4B">
      <w:pPr>
        <w:pStyle w:val="ARintrobullet"/>
      </w:pPr>
      <w:r w:rsidRPr="002029AF">
        <w:t>Victorians participate in learning, education and employment</w:t>
      </w:r>
    </w:p>
    <w:p w14:paraId="0482EE63" w14:textId="77777777" w:rsidR="00603E4B" w:rsidRPr="002029AF" w:rsidRDefault="00603E4B" w:rsidP="00603E4B">
      <w:pPr>
        <w:pStyle w:val="ARintrobullet"/>
      </w:pPr>
      <w:r w:rsidRPr="002029AF">
        <w:t>Victorians benefit economically from strong health and human services sectors</w:t>
      </w:r>
    </w:p>
    <w:p w14:paraId="2DFFFA32" w14:textId="77777777" w:rsidR="00603E4B" w:rsidRPr="002029AF" w:rsidRDefault="00603E4B" w:rsidP="00603E4B">
      <w:pPr>
        <w:pStyle w:val="ARintrobullet"/>
      </w:pPr>
      <w:r w:rsidRPr="002029AF">
        <w:t>Victorians participate in the economy and have financial security.</w:t>
      </w:r>
    </w:p>
    <w:p w14:paraId="502E2CC6" w14:textId="77777777" w:rsidR="00603E4B" w:rsidRPr="002029AF" w:rsidRDefault="00603E4B" w:rsidP="00603E4B">
      <w:pPr>
        <w:pStyle w:val="ARintro"/>
      </w:pPr>
    </w:p>
    <w:p w14:paraId="16789541" w14:textId="77777777" w:rsidR="00603E4B" w:rsidRPr="002029AF" w:rsidRDefault="00603E4B" w:rsidP="00603E4B">
      <w:pPr>
        <w:pStyle w:val="ARbody"/>
        <w:sectPr w:rsidR="00603E4B" w:rsidRPr="002029AF" w:rsidSect="00B45A1D">
          <w:footnotePr>
            <w:numFmt w:val="chicago"/>
            <w:numRestart w:val="eachPage"/>
          </w:footnotePr>
          <w:endnotePr>
            <w:numFmt w:val="decimal"/>
          </w:endnotePr>
          <w:type w:val="continuous"/>
          <w:pgSz w:w="11900" w:h="16840" w:code="9"/>
          <w:pgMar w:top="1985" w:right="851" w:bottom="851" w:left="1418" w:header="510" w:footer="340" w:gutter="0"/>
          <w:cols w:space="454"/>
          <w15:footnoteColumns w:val="1"/>
        </w:sectPr>
      </w:pPr>
    </w:p>
    <w:p w14:paraId="2B02929D" w14:textId="77777777" w:rsidR="00603E4B" w:rsidRPr="002029AF" w:rsidRDefault="00603E4B" w:rsidP="003C6F78">
      <w:pPr>
        <w:pStyle w:val="Heading4"/>
        <w:spacing w:before="0"/>
      </w:pPr>
      <w:r w:rsidRPr="002029AF">
        <w:t>Outcome 3.1: Victorians participate in learning, education and employment</w:t>
      </w:r>
    </w:p>
    <w:p w14:paraId="1CBF6D20" w14:textId="5F0833A6" w:rsidR="00603E4B" w:rsidRPr="002029AF" w:rsidRDefault="00603E4B" w:rsidP="00603E4B">
      <w:pPr>
        <w:pStyle w:val="ARbody"/>
      </w:pPr>
      <w:r w:rsidRPr="002029AF">
        <w:t>Victorians have equal opportunities and resources to learn, grow and develop through access to appropriate and relevant levels of education, and to</w:t>
      </w:r>
      <w:r w:rsidR="003C6F78">
        <w:t> </w:t>
      </w:r>
      <w:r w:rsidRPr="002029AF">
        <w:t>participate in and contribute to meaningful employment.</w:t>
      </w:r>
    </w:p>
    <w:p w14:paraId="76CA212A" w14:textId="77777777" w:rsidR="00603E4B" w:rsidRPr="002029AF" w:rsidRDefault="00603E4B" w:rsidP="00603E4B">
      <w:pPr>
        <w:pStyle w:val="Heading5"/>
        <w:rPr>
          <w:szCs w:val="22"/>
        </w:rPr>
      </w:pPr>
      <w:r w:rsidRPr="002029AF">
        <w:rPr>
          <w:szCs w:val="22"/>
        </w:rPr>
        <w:t>Progress against outcomes</w:t>
      </w:r>
    </w:p>
    <w:p w14:paraId="43673F78" w14:textId="4E3143CC" w:rsidR="00603E4B" w:rsidRPr="002029AF" w:rsidRDefault="00603E4B" w:rsidP="00603E4B">
      <w:pPr>
        <w:pStyle w:val="ARbody"/>
      </w:pPr>
      <w:r w:rsidRPr="002029AF">
        <w:t>A focus for the department over the past year has been on strengthening support for home-based carers. We understand that home-based care and</w:t>
      </w:r>
      <w:r w:rsidR="003C6F78">
        <w:t> </w:t>
      </w:r>
      <w:r w:rsidRPr="002029AF">
        <w:t>stability are associated with a range of better health, education, economic and wellbeing outcomes for children and young people.</w:t>
      </w:r>
    </w:p>
    <w:p w14:paraId="6AFAB821" w14:textId="4B3CA3B0" w:rsidR="00603E4B" w:rsidRPr="002029AF" w:rsidRDefault="00603E4B" w:rsidP="00603E4B">
      <w:pPr>
        <w:pStyle w:val="ARbody"/>
      </w:pPr>
      <w:r w:rsidRPr="002029AF">
        <w:t>In 2019–20, the department also continued work partnering with the Department of Education and Training and its LOOKOUT schools program, which</w:t>
      </w:r>
      <w:r w:rsidR="0027759D">
        <w:t> </w:t>
      </w:r>
      <w:r w:rsidRPr="002029AF">
        <w:t>works with young people in care to improve participation in education for vulnerable children and young people.</w:t>
      </w:r>
    </w:p>
    <w:p w14:paraId="2F76CC84" w14:textId="77777777" w:rsidR="00603E4B" w:rsidRPr="002029AF" w:rsidRDefault="00603E4B" w:rsidP="00603E4B">
      <w:pPr>
        <w:pStyle w:val="ARbody"/>
      </w:pPr>
      <w:r w:rsidRPr="002029AF">
        <w:t>Some of our key achievements in 2019–20 are outlined below.</w:t>
      </w:r>
    </w:p>
    <w:p w14:paraId="7B90A79C" w14:textId="47E1A425" w:rsidR="00603E4B" w:rsidRPr="002029AF" w:rsidRDefault="00603E4B" w:rsidP="003C6F78">
      <w:pPr>
        <w:pStyle w:val="Heading5"/>
        <w:spacing w:before="0"/>
        <w:rPr>
          <w:rFonts w:eastAsia="Calibri"/>
          <w:sz w:val="24"/>
        </w:rPr>
      </w:pPr>
      <w:r w:rsidRPr="002029AF">
        <w:t>Key result 19: Increase educational engagement and achievement by children</w:t>
      </w:r>
      <w:r w:rsidR="003C6F78">
        <w:t> </w:t>
      </w:r>
      <w:r w:rsidRPr="002029AF">
        <w:t>and young people in contact with</w:t>
      </w:r>
      <w:r w:rsidR="003C6F78">
        <w:t> </w:t>
      </w:r>
      <w:r w:rsidRPr="002029AF">
        <w:t>departmental services – especially those in</w:t>
      </w:r>
      <w:r w:rsidR="003C6F78">
        <w:t> </w:t>
      </w:r>
      <w:r w:rsidRPr="002029AF">
        <w:t>out-of-home care</w:t>
      </w:r>
    </w:p>
    <w:p w14:paraId="777B0CB2" w14:textId="0DC8936B" w:rsidR="00603E4B" w:rsidRPr="002029AF" w:rsidRDefault="00603E4B" w:rsidP="00603E4B">
      <w:pPr>
        <w:pStyle w:val="Heading6"/>
        <w:rPr>
          <w:lang w:val="en-AU"/>
        </w:rPr>
      </w:pPr>
      <w:r w:rsidRPr="002029AF">
        <w:rPr>
          <w:lang w:val="en-AU"/>
        </w:rPr>
        <w:t>Supporting the education of children and young</w:t>
      </w:r>
      <w:r w:rsidR="003C6F78">
        <w:rPr>
          <w:lang w:val="en-AU"/>
        </w:rPr>
        <w:t> </w:t>
      </w:r>
      <w:r w:rsidRPr="002029AF">
        <w:rPr>
          <w:lang w:val="en-AU"/>
        </w:rPr>
        <w:t>people in out-of-home care</w:t>
      </w:r>
    </w:p>
    <w:p w14:paraId="46A300C6" w14:textId="77777777" w:rsidR="00603E4B" w:rsidRPr="002029AF" w:rsidRDefault="00603E4B" w:rsidP="00603E4B">
      <w:pPr>
        <w:pStyle w:val="ARbody"/>
      </w:pPr>
      <w:r w:rsidRPr="002029AF">
        <w:rPr>
          <w:i/>
        </w:rPr>
        <w:t>Strong carers, stronger children</w:t>
      </w:r>
      <w:r w:rsidRPr="002029AF">
        <w:t xml:space="preserve"> seeks to improve the experience of carers and, in doing so, to achieve better outcomes in the health, wellbeing and education of the children and young people they care for.</w:t>
      </w:r>
    </w:p>
    <w:p w14:paraId="76618C5C" w14:textId="4D3E15F3" w:rsidR="00603E4B" w:rsidRPr="002029AF" w:rsidRDefault="00603E4B" w:rsidP="00603E4B">
      <w:pPr>
        <w:pStyle w:val="ARbody"/>
      </w:pPr>
      <w:r w:rsidRPr="002029AF">
        <w:t>The strategy acknowledges that education is central to the development and wellbeing of children and seeks to provide support to carers to</w:t>
      </w:r>
      <w:r w:rsidR="003C6F78">
        <w:t> </w:t>
      </w:r>
      <w:r w:rsidRPr="002029AF">
        <w:t>meet a child’s educational and developmental needs.</w:t>
      </w:r>
    </w:p>
    <w:p w14:paraId="17529CDC" w14:textId="29C255ED" w:rsidR="00603E4B" w:rsidRPr="002029AF" w:rsidRDefault="00603E4B" w:rsidP="00603E4B">
      <w:pPr>
        <w:pStyle w:val="Heading6"/>
        <w:rPr>
          <w:lang w:val="en-AU"/>
        </w:rPr>
      </w:pPr>
      <w:r w:rsidRPr="002029AF">
        <w:rPr>
          <w:lang w:val="en-AU"/>
        </w:rPr>
        <w:t>Framework to reduce criminalisation of</w:t>
      </w:r>
      <w:r w:rsidR="003C6F78">
        <w:rPr>
          <w:lang w:val="en-AU"/>
        </w:rPr>
        <w:t> </w:t>
      </w:r>
      <w:r w:rsidRPr="002029AF">
        <w:rPr>
          <w:lang w:val="en-AU"/>
        </w:rPr>
        <w:t>young</w:t>
      </w:r>
      <w:r w:rsidR="003C6F78">
        <w:rPr>
          <w:lang w:val="en-AU"/>
        </w:rPr>
        <w:t> </w:t>
      </w:r>
      <w:r w:rsidRPr="002029AF">
        <w:rPr>
          <w:lang w:val="en-AU"/>
        </w:rPr>
        <w:t>people in residential care</w:t>
      </w:r>
    </w:p>
    <w:p w14:paraId="57586C14" w14:textId="77777777" w:rsidR="00603E4B" w:rsidRPr="002029AF" w:rsidRDefault="00603E4B" w:rsidP="00603E4B">
      <w:pPr>
        <w:pStyle w:val="ARbody"/>
      </w:pPr>
      <w:r w:rsidRPr="002029AF">
        <w:t xml:space="preserve">In February 2020, the department released its </w:t>
      </w:r>
      <w:r w:rsidRPr="002029AF">
        <w:rPr>
          <w:i/>
          <w:iCs/>
        </w:rPr>
        <w:t>Framework to reduce the criminalisation of young people in residential care</w:t>
      </w:r>
      <w:r w:rsidRPr="002029AF">
        <w:t>. The new multi-agency approach will work to reduce the contact of young people in residential care with the criminal justice system.</w:t>
      </w:r>
    </w:p>
    <w:p w14:paraId="76371208" w14:textId="77777777" w:rsidR="00603E4B" w:rsidRPr="002029AF" w:rsidRDefault="00603E4B" w:rsidP="00603E4B">
      <w:pPr>
        <w:pStyle w:val="ARbody"/>
      </w:pPr>
      <w:r w:rsidRPr="002029AF">
        <w:lastRenderedPageBreak/>
        <w:t>Children removed from parents and placed in out-of-home care are in danger of being criminalised and over-represented in youth justice statistics.</w:t>
      </w:r>
    </w:p>
    <w:p w14:paraId="39BBA3C9" w14:textId="55A73D37" w:rsidR="00603E4B" w:rsidRPr="002029AF" w:rsidRDefault="00603E4B" w:rsidP="00603E4B">
      <w:pPr>
        <w:pStyle w:val="ARbody"/>
      </w:pPr>
      <w:r w:rsidRPr="002029AF">
        <w:t>The framework outlines a proactive policy approach</w:t>
      </w:r>
      <w:r w:rsidR="003C6F78">
        <w:t> </w:t>
      </w:r>
      <w:r w:rsidRPr="002029AF">
        <w:t>to disrupt this trajectory.</w:t>
      </w:r>
    </w:p>
    <w:p w14:paraId="6E8718A1" w14:textId="77777777" w:rsidR="00603E4B" w:rsidRPr="002029AF" w:rsidRDefault="00603E4B" w:rsidP="00603E4B">
      <w:pPr>
        <w:pStyle w:val="ARbody"/>
      </w:pPr>
      <w:r w:rsidRPr="002029AF">
        <w:t>It outlines guiding principles, a decision-making guide and the roles and responsibilities of different agencies.</w:t>
      </w:r>
    </w:p>
    <w:p w14:paraId="4FC8C4AF" w14:textId="5F977A98" w:rsidR="00603E4B" w:rsidRPr="002029AF" w:rsidRDefault="00603E4B" w:rsidP="00603E4B">
      <w:pPr>
        <w:pStyle w:val="ARbody"/>
      </w:pPr>
      <w:r w:rsidRPr="002029AF">
        <w:t>The framework was signed by Victoria Police, the Department of Justice and Community Safety, the Victorian Aboriginal Child Care Agency, the Centre for Excellence in Child and Family Welfare, and the Department of Health and Human Services. The framework acknowledges the positive benefits of engaging with education and highlights this as an effective strategy to support young people in care at risk of contact with the criminal justice system.</w:t>
      </w:r>
    </w:p>
    <w:p w14:paraId="642E5280" w14:textId="77777777" w:rsidR="00603E4B" w:rsidRPr="002029AF" w:rsidRDefault="00603E4B" w:rsidP="00603E4B">
      <w:pPr>
        <w:pStyle w:val="Heading5"/>
        <w:rPr>
          <w:rFonts w:eastAsia="Calibri"/>
        </w:rPr>
      </w:pPr>
      <w:r w:rsidRPr="002029AF">
        <w:t>Key result 20: Increase participation in three-and four-year-old kindergarten by children known to child protection</w:t>
      </w:r>
    </w:p>
    <w:p w14:paraId="601FEC0A" w14:textId="77777777" w:rsidR="00603E4B" w:rsidRPr="002029AF" w:rsidRDefault="00603E4B" w:rsidP="00603E4B">
      <w:pPr>
        <w:pStyle w:val="Heading6"/>
        <w:rPr>
          <w:lang w:val="en-AU"/>
        </w:rPr>
      </w:pPr>
      <w:r w:rsidRPr="002029AF">
        <w:rPr>
          <w:lang w:val="en-AU"/>
        </w:rPr>
        <w:t>Giving three-year-olds access to kindergarten</w:t>
      </w:r>
    </w:p>
    <w:p w14:paraId="43AF18EB" w14:textId="77777777" w:rsidR="00603E4B" w:rsidRPr="002029AF" w:rsidRDefault="00603E4B" w:rsidP="00603E4B">
      <w:pPr>
        <w:pStyle w:val="ARbody"/>
      </w:pPr>
      <w:r w:rsidRPr="002029AF">
        <w:t>Early Start Kindergarten provides eligible children with up to 15 hours of free or low-cost kindergarten each week, led by a qualified Victorian Institute of Teaching registered teacher.</w:t>
      </w:r>
    </w:p>
    <w:p w14:paraId="2F5BCEAE" w14:textId="77777777" w:rsidR="00603E4B" w:rsidRPr="002029AF" w:rsidRDefault="00603E4B" w:rsidP="00603E4B">
      <w:pPr>
        <w:pStyle w:val="ARbody"/>
      </w:pPr>
      <w:r w:rsidRPr="002029AF">
        <w:rPr>
          <w:lang w:eastAsia="en-AU"/>
        </w:rPr>
        <w:t>Since 2017, rates of enrolment of out-of-home care children aged three years and over in the program have increased from 18 per cent to 36 per cent.</w:t>
      </w:r>
    </w:p>
    <w:p w14:paraId="7014C4D8" w14:textId="4E162FC8" w:rsidR="00603E4B" w:rsidRPr="002029AF" w:rsidRDefault="00603E4B" w:rsidP="00603E4B">
      <w:pPr>
        <w:pStyle w:val="Heading4"/>
      </w:pPr>
      <w:r w:rsidRPr="002029AF">
        <w:t>Outcome 3.2: Victorians benefit economically from strong health and</w:t>
      </w:r>
      <w:r w:rsidR="003C6F78">
        <w:t> </w:t>
      </w:r>
      <w:r w:rsidRPr="002029AF">
        <w:t>human services sectors</w:t>
      </w:r>
    </w:p>
    <w:p w14:paraId="67D0984A" w14:textId="514709C3" w:rsidR="00603E4B" w:rsidRPr="002029AF" w:rsidRDefault="00603E4B" w:rsidP="00603E4B">
      <w:pPr>
        <w:pStyle w:val="ARbody"/>
      </w:pPr>
      <w:r w:rsidRPr="002029AF">
        <w:t>Victorians have increased social and economic participation, especially those experiencing obstacles to participation, such as people with mental illness or disability, or experiencing family violence.</w:t>
      </w:r>
    </w:p>
    <w:p w14:paraId="486F389B" w14:textId="77777777" w:rsidR="00603E4B" w:rsidRPr="002029AF" w:rsidRDefault="00603E4B" w:rsidP="00603E4B">
      <w:pPr>
        <w:pStyle w:val="Heading5"/>
        <w:rPr>
          <w:szCs w:val="22"/>
        </w:rPr>
      </w:pPr>
      <w:r w:rsidRPr="002029AF">
        <w:rPr>
          <w:szCs w:val="22"/>
        </w:rPr>
        <w:t>Progress against outcomes</w:t>
      </w:r>
    </w:p>
    <w:p w14:paraId="6DDB7776" w14:textId="26086CA1" w:rsidR="00603E4B" w:rsidRPr="002029AF" w:rsidRDefault="00603E4B" w:rsidP="00603E4B">
      <w:pPr>
        <w:pStyle w:val="ARbody"/>
      </w:pPr>
      <w:r w:rsidRPr="002029AF">
        <w:t>In 2019–20 the department contributed to a stronger Victorian economy by creating jobs in</w:t>
      </w:r>
      <w:r w:rsidR="003C6F78">
        <w:t> </w:t>
      </w:r>
      <w:r w:rsidRPr="002029AF">
        <w:t>the</w:t>
      </w:r>
      <w:r w:rsidR="003C6F78">
        <w:t> </w:t>
      </w:r>
      <w:r w:rsidRPr="002029AF">
        <w:t>construction sector through major capital investments, including:</w:t>
      </w:r>
    </w:p>
    <w:p w14:paraId="1782CBF3" w14:textId="77777777" w:rsidR="00603E4B" w:rsidRPr="002029AF" w:rsidRDefault="00603E4B" w:rsidP="00FF3CAB">
      <w:pPr>
        <w:pStyle w:val="ARbullet1"/>
        <w:numPr>
          <w:ilvl w:val="0"/>
          <w:numId w:val="51"/>
        </w:numPr>
      </w:pPr>
      <w:r w:rsidRPr="002029AF">
        <w:t>completion of Barwon Health North facility</w:t>
      </w:r>
    </w:p>
    <w:p w14:paraId="0FD6FA47" w14:textId="70607F76" w:rsidR="00603E4B" w:rsidRPr="002029AF" w:rsidRDefault="00603E4B" w:rsidP="00FF3CAB">
      <w:pPr>
        <w:pStyle w:val="ARbullet1"/>
        <w:numPr>
          <w:ilvl w:val="0"/>
          <w:numId w:val="51"/>
        </w:numPr>
      </w:pPr>
      <w:r w:rsidRPr="002029AF">
        <w:t xml:space="preserve">completion of Phillip Island Health </w:t>
      </w:r>
      <w:r w:rsidR="006D7822">
        <w:t>H</w:t>
      </w:r>
      <w:r w:rsidRPr="002029AF">
        <w:t>ub</w:t>
      </w:r>
    </w:p>
    <w:p w14:paraId="454C36D5" w14:textId="4106BA9E" w:rsidR="00603E4B" w:rsidRPr="002029AF" w:rsidRDefault="00603E4B" w:rsidP="00FF3CAB">
      <w:pPr>
        <w:pStyle w:val="ARbullet1"/>
        <w:numPr>
          <w:ilvl w:val="0"/>
          <w:numId w:val="51"/>
        </w:numPr>
      </w:pPr>
      <w:r w:rsidRPr="002029AF">
        <w:t>completion of a multipurpose hub for health and</w:t>
      </w:r>
      <w:r w:rsidR="003C6F78">
        <w:t> </w:t>
      </w:r>
      <w:r w:rsidRPr="002029AF">
        <w:t>community services in Kyneton</w:t>
      </w:r>
    </w:p>
    <w:p w14:paraId="17E05655" w14:textId="77777777" w:rsidR="00603E4B" w:rsidRPr="002029AF" w:rsidRDefault="00603E4B" w:rsidP="00FF3CAB">
      <w:pPr>
        <w:pStyle w:val="ARbullet1"/>
        <w:numPr>
          <w:ilvl w:val="0"/>
          <w:numId w:val="51"/>
        </w:numPr>
      </w:pPr>
      <w:r w:rsidRPr="002029AF">
        <w:t>commencement of the Sunshine Hospital emergency department expansion</w:t>
      </w:r>
    </w:p>
    <w:p w14:paraId="145CC343" w14:textId="77777777" w:rsidR="00603E4B" w:rsidRPr="002029AF" w:rsidRDefault="00603E4B" w:rsidP="00FF3CAB">
      <w:pPr>
        <w:pStyle w:val="ARbullet1"/>
        <w:numPr>
          <w:ilvl w:val="0"/>
          <w:numId w:val="51"/>
        </w:numPr>
      </w:pPr>
      <w:r w:rsidRPr="002029AF">
        <w:t>Casey Hospital redevelopment</w:t>
      </w:r>
    </w:p>
    <w:p w14:paraId="45BBA6A6" w14:textId="77777777" w:rsidR="00603E4B" w:rsidRPr="002029AF" w:rsidRDefault="00603E4B" w:rsidP="00FF3CAB">
      <w:pPr>
        <w:pStyle w:val="ARbullet1"/>
        <w:numPr>
          <w:ilvl w:val="0"/>
          <w:numId w:val="51"/>
        </w:numPr>
      </w:pPr>
      <w:r w:rsidRPr="002029AF">
        <w:t>ongoing expansion of the Northern Hospital.</w:t>
      </w:r>
    </w:p>
    <w:p w14:paraId="4AF508D1" w14:textId="77777777" w:rsidR="00603E4B" w:rsidRPr="002029AF" w:rsidRDefault="00603E4B" w:rsidP="00603E4B">
      <w:pPr>
        <w:pStyle w:val="ARbodyafterbullets"/>
      </w:pPr>
      <w:r w:rsidRPr="002029AF">
        <w:t>We also continued to expand our frontline services by recruiting more paramedics, purchasing new ambulances and upgrading and building new ambulance stations. This work ensures the community’s access to ambulance services and strives to continuously improve patient outcomes, thereby improving the health status of Victorians.</w:t>
      </w:r>
    </w:p>
    <w:p w14:paraId="356023F3" w14:textId="77777777" w:rsidR="00603E4B" w:rsidRPr="002029AF" w:rsidRDefault="00603E4B" w:rsidP="00603E4B">
      <w:pPr>
        <w:pStyle w:val="ARbody"/>
      </w:pPr>
      <w:r w:rsidRPr="002029AF">
        <w:t>In addition, the Victorian Government fast tracked the recruitment of 120 extra paramedics to boost the frontline of Victoria’s coronavirus (COVID-19) response and ensure all Victorians get the health support they need when they need it.</w:t>
      </w:r>
    </w:p>
    <w:p w14:paraId="444FFBF1" w14:textId="77777777" w:rsidR="00603E4B" w:rsidRPr="002029AF" w:rsidRDefault="00603E4B" w:rsidP="00603E4B">
      <w:pPr>
        <w:pStyle w:val="ARbody"/>
      </w:pPr>
      <w:r w:rsidRPr="002029AF">
        <w:t>Some of our key achievements in 2019–20 are outlined below.</w:t>
      </w:r>
    </w:p>
    <w:p w14:paraId="4B811E26" w14:textId="5DF1B9D2" w:rsidR="00603E4B" w:rsidRPr="002029AF" w:rsidRDefault="00603E4B" w:rsidP="00603E4B">
      <w:pPr>
        <w:pStyle w:val="Heading5"/>
        <w:rPr>
          <w:rFonts w:eastAsia="Calibri"/>
        </w:rPr>
      </w:pPr>
      <w:r w:rsidRPr="002029AF">
        <w:t>Key result 21: Increase the satisfaction of those who care voluntarily for people with a</w:t>
      </w:r>
      <w:r w:rsidR="003C6F78">
        <w:t> </w:t>
      </w:r>
      <w:r w:rsidRPr="002029AF">
        <w:t>disability, people with mental illness, and children in out-of-home care</w:t>
      </w:r>
    </w:p>
    <w:p w14:paraId="336E6A3A" w14:textId="77777777" w:rsidR="00603E4B" w:rsidRPr="002029AF" w:rsidRDefault="00603E4B" w:rsidP="00603E4B">
      <w:pPr>
        <w:pStyle w:val="Heading6"/>
        <w:rPr>
          <w:lang w:val="en-AU"/>
        </w:rPr>
      </w:pPr>
      <w:r w:rsidRPr="002029AF">
        <w:rPr>
          <w:lang w:val="en-AU"/>
        </w:rPr>
        <w:t>Supporting Victorians with disability and their carers during the coronavirus (COVID-19) pandemic</w:t>
      </w:r>
    </w:p>
    <w:p w14:paraId="2DEE056B" w14:textId="1761E79C" w:rsidR="00603E4B" w:rsidRPr="002029AF" w:rsidRDefault="00603E4B" w:rsidP="00603E4B">
      <w:pPr>
        <w:pStyle w:val="ARbody"/>
      </w:pPr>
      <w:r w:rsidRPr="002029AF">
        <w:rPr>
          <w:bCs/>
        </w:rPr>
        <w:t>In May 2020, in response to the coronavirus (COVID-19) pandemic, the government announced that around 600 carers of Victorians with disability would have access to an additional 11,000 hours of</w:t>
      </w:r>
      <w:r w:rsidR="003C6F78">
        <w:rPr>
          <w:bCs/>
        </w:rPr>
        <w:t> </w:t>
      </w:r>
      <w:r w:rsidRPr="002029AF">
        <w:rPr>
          <w:bCs/>
        </w:rPr>
        <w:t>respite care in case they become ill and need to self-isolate.</w:t>
      </w:r>
    </w:p>
    <w:p w14:paraId="1F52A540" w14:textId="77777777" w:rsidR="00603E4B" w:rsidRPr="002029AF" w:rsidRDefault="00603E4B" w:rsidP="00603E4B">
      <w:pPr>
        <w:pStyle w:val="ARbody"/>
      </w:pPr>
      <w:r w:rsidRPr="002029AF">
        <w:rPr>
          <w:bCs/>
        </w:rPr>
        <w:t>The Home and Community Care Program for Younger People is also being extended, supporting young Victorians ineligible for the NDIS who need help with daily living due to physical limitations or chronic health conditions.</w:t>
      </w:r>
    </w:p>
    <w:p w14:paraId="409A57C0" w14:textId="77777777" w:rsidR="00603E4B" w:rsidRPr="002029AF" w:rsidRDefault="00603E4B" w:rsidP="00603E4B">
      <w:pPr>
        <w:pStyle w:val="ARbody"/>
      </w:pPr>
      <w:r w:rsidRPr="002029AF">
        <w:rPr>
          <w:bCs/>
        </w:rPr>
        <w:t>The program acknowledges the vital role that carers play in our community and the increased challenges they face during the pandemic.</w:t>
      </w:r>
    </w:p>
    <w:p w14:paraId="7C252FDF" w14:textId="77777777" w:rsidR="00603E4B" w:rsidRPr="002029AF" w:rsidRDefault="00603E4B" w:rsidP="00603E4B">
      <w:pPr>
        <w:pStyle w:val="Heading6"/>
        <w:rPr>
          <w:lang w:val="en-AU"/>
        </w:rPr>
      </w:pPr>
      <w:r w:rsidRPr="002029AF">
        <w:rPr>
          <w:lang w:val="en-AU"/>
        </w:rPr>
        <w:t>Recognising and supporting Victorian kinship, foster and permanent carers</w:t>
      </w:r>
    </w:p>
    <w:p w14:paraId="39AA7706" w14:textId="3A3216D7" w:rsidR="00603E4B" w:rsidRPr="002029AF" w:rsidRDefault="00603E4B" w:rsidP="00603E4B">
      <w:pPr>
        <w:pStyle w:val="ARbody"/>
      </w:pPr>
      <w:r w:rsidRPr="002029AF">
        <w:t xml:space="preserve">In Victoria, there are about 6,500 carers who open their homes to care for kids in need of a safe and nurturing home. Every day, there are more than 9,800 children living with a kinship, foster </w:t>
      </w:r>
      <w:r w:rsidR="004A0F7D">
        <w:t>or</w:t>
      </w:r>
      <w:r w:rsidR="004A0F7D" w:rsidRPr="002029AF">
        <w:t xml:space="preserve"> </w:t>
      </w:r>
      <w:r w:rsidRPr="002029AF">
        <w:t>permanent carer.</w:t>
      </w:r>
    </w:p>
    <w:p w14:paraId="5BA4E224" w14:textId="4B0476C5" w:rsidR="00603E4B" w:rsidRPr="002029AF" w:rsidRDefault="00603E4B" w:rsidP="00603E4B">
      <w:pPr>
        <w:pStyle w:val="ARbody"/>
      </w:pPr>
      <w:r w:rsidRPr="002029AF">
        <w:lastRenderedPageBreak/>
        <w:t xml:space="preserve">As Victoria’s first home-based care strategy, </w:t>
      </w:r>
      <w:r w:rsidRPr="002029AF">
        <w:rPr>
          <w:i/>
          <w:iCs/>
        </w:rPr>
        <w:t>Stronger carers, stronger children</w:t>
      </w:r>
      <w:r w:rsidRPr="002029AF">
        <w:t xml:space="preserve"> signals the</w:t>
      </w:r>
      <w:r w:rsidR="003C6F78">
        <w:t> </w:t>
      </w:r>
      <w:r w:rsidRPr="002029AF">
        <w:t>Victorian Government’s commitment to strengthening Victoria’s home-based care system</w:t>
      </w:r>
      <w:r w:rsidR="003C6F78">
        <w:t> </w:t>
      </w:r>
      <w:r w:rsidRPr="002029AF">
        <w:t>to support kinship, foster and permanent carers and to improve outcomes for children and young people in care.</w:t>
      </w:r>
    </w:p>
    <w:p w14:paraId="5F846B6C" w14:textId="018C95B0" w:rsidR="00603E4B" w:rsidRPr="002029AF" w:rsidRDefault="00603E4B" w:rsidP="00603E4B">
      <w:pPr>
        <w:pStyle w:val="Heading4"/>
      </w:pPr>
      <w:r w:rsidRPr="002029AF">
        <w:t>Outcome 3.3: Victorians participate in</w:t>
      </w:r>
      <w:r w:rsidR="003C6F78">
        <w:t> </w:t>
      </w:r>
      <w:r w:rsidRPr="002029AF">
        <w:t>the economy and have financial security</w:t>
      </w:r>
    </w:p>
    <w:p w14:paraId="761A0119" w14:textId="7015889A" w:rsidR="00603E4B" w:rsidRPr="002029AF" w:rsidRDefault="00603E4B" w:rsidP="00603E4B">
      <w:pPr>
        <w:pStyle w:val="ARbody"/>
      </w:pPr>
      <w:r w:rsidRPr="002029AF">
        <w:t>Victorians experience a state of economic wellbeing characterised by predictable and adequate income, ability to access a comfortable standard of living, and capabilities to access and manage finances effectively. There are equitable opportunities for economic participation and wellbeing for all, and barriers to participation are</w:t>
      </w:r>
      <w:r w:rsidR="003C6F78">
        <w:t> </w:t>
      </w:r>
      <w:r w:rsidRPr="002029AF">
        <w:t>actively addressed.</w:t>
      </w:r>
    </w:p>
    <w:p w14:paraId="5EA90761" w14:textId="77777777" w:rsidR="00603E4B" w:rsidRPr="002029AF" w:rsidRDefault="00603E4B" w:rsidP="00603E4B">
      <w:pPr>
        <w:pStyle w:val="Heading5"/>
        <w:rPr>
          <w:szCs w:val="22"/>
        </w:rPr>
      </w:pPr>
      <w:r w:rsidRPr="002029AF">
        <w:rPr>
          <w:szCs w:val="22"/>
        </w:rPr>
        <w:t>Progress against outcomes</w:t>
      </w:r>
    </w:p>
    <w:p w14:paraId="257334F0" w14:textId="300F841B" w:rsidR="004E6007" w:rsidRPr="002029AF" w:rsidRDefault="004E6007" w:rsidP="004E6007">
      <w:pPr>
        <w:pStyle w:val="ARbody"/>
      </w:pPr>
      <w:r w:rsidRPr="002029AF">
        <w:rPr>
          <w:bCs/>
        </w:rPr>
        <w:t xml:space="preserve">Improving the economic wellbeing of Victorians continues to be a priority for the department. This year we have focused on increasing economic opportunities for Victorians with disability through implementation of </w:t>
      </w:r>
      <w:r w:rsidRPr="002029AF">
        <w:rPr>
          <w:bCs/>
          <w:i/>
          <w:iCs/>
        </w:rPr>
        <w:t xml:space="preserve">Every opportunity: Victorian economic participation plan for people with disability 2018–2020 </w:t>
      </w:r>
      <w:r w:rsidRPr="002029AF">
        <w:t>(</w:t>
      </w:r>
      <w:r w:rsidRPr="002029AF">
        <w:rPr>
          <w:i/>
        </w:rPr>
        <w:t>Every opportunity</w:t>
      </w:r>
      <w:r w:rsidRPr="002029AF">
        <w:t xml:space="preserve">) </w:t>
      </w:r>
      <w:r w:rsidRPr="002029AF">
        <w:rPr>
          <w:bCs/>
        </w:rPr>
        <w:t>and the</w:t>
      </w:r>
      <w:r w:rsidR="003C6F78">
        <w:rPr>
          <w:bCs/>
        </w:rPr>
        <w:t> </w:t>
      </w:r>
      <w:r w:rsidRPr="002029AF">
        <w:rPr>
          <w:bCs/>
        </w:rPr>
        <w:t xml:space="preserve">release of the </w:t>
      </w:r>
      <w:r w:rsidRPr="00B032FB">
        <w:rPr>
          <w:bCs/>
          <w:i/>
          <w:iCs/>
        </w:rPr>
        <w:t xml:space="preserve">Victorian </w:t>
      </w:r>
      <w:r>
        <w:rPr>
          <w:bCs/>
          <w:i/>
          <w:iCs/>
        </w:rPr>
        <w:t>a</w:t>
      </w:r>
      <w:r w:rsidRPr="00B032FB">
        <w:rPr>
          <w:bCs/>
          <w:i/>
          <w:iCs/>
        </w:rPr>
        <w:t xml:space="preserve">utism </w:t>
      </w:r>
      <w:r>
        <w:rPr>
          <w:bCs/>
          <w:i/>
          <w:iCs/>
        </w:rPr>
        <w:t>p</w:t>
      </w:r>
      <w:r w:rsidRPr="00B032FB">
        <w:rPr>
          <w:bCs/>
          <w:i/>
          <w:iCs/>
        </w:rPr>
        <w:t>lan</w:t>
      </w:r>
      <w:r w:rsidRPr="002029AF">
        <w:rPr>
          <w:bCs/>
        </w:rPr>
        <w:t>.</w:t>
      </w:r>
    </w:p>
    <w:p w14:paraId="4FC299D4" w14:textId="2EA30EF9" w:rsidR="004E6007" w:rsidRPr="002029AF" w:rsidRDefault="004E6007" w:rsidP="004E6007">
      <w:pPr>
        <w:pStyle w:val="ARbody"/>
      </w:pPr>
      <w:r w:rsidRPr="002029AF">
        <w:rPr>
          <w:bCs/>
        </w:rPr>
        <w:t>Through the coronavirus (COVID-19) pandemic we supported Victorians in mandatory self-isolation to ensure their financial security and access to food and essential supplies</w:t>
      </w:r>
      <w:r w:rsidR="004A0F7D">
        <w:rPr>
          <w:bCs/>
        </w:rPr>
        <w:t>,</w:t>
      </w:r>
      <w:r w:rsidRPr="002029AF">
        <w:rPr>
          <w:bCs/>
        </w:rPr>
        <w:t xml:space="preserve"> and </w:t>
      </w:r>
      <w:r w:rsidR="004A0F7D">
        <w:rPr>
          <w:bCs/>
        </w:rPr>
        <w:t xml:space="preserve">to </w:t>
      </w:r>
      <w:r w:rsidRPr="002029AF">
        <w:rPr>
          <w:bCs/>
        </w:rPr>
        <w:t>provide alternative accommodation for those unable to isolate. We</w:t>
      </w:r>
      <w:r w:rsidR="003C6F78">
        <w:rPr>
          <w:bCs/>
        </w:rPr>
        <w:t> </w:t>
      </w:r>
      <w:r w:rsidRPr="002029AF">
        <w:rPr>
          <w:bCs/>
        </w:rPr>
        <w:t>have has also provided additional financial support for Victorians through:</w:t>
      </w:r>
    </w:p>
    <w:p w14:paraId="77942E28" w14:textId="1978DBC4" w:rsidR="004E6007" w:rsidRPr="002029AF" w:rsidRDefault="004E6007" w:rsidP="00FF3CAB">
      <w:pPr>
        <w:pStyle w:val="ARbullet1"/>
        <w:numPr>
          <w:ilvl w:val="0"/>
          <w:numId w:val="51"/>
        </w:numPr>
      </w:pPr>
      <w:r>
        <w:t>w</w:t>
      </w:r>
      <w:r w:rsidRPr="002029AF">
        <w:t>orker support payment</w:t>
      </w:r>
      <w:r w:rsidR="004A0F7D">
        <w:t>s</w:t>
      </w:r>
    </w:p>
    <w:p w14:paraId="0ABBB410" w14:textId="4C93A5E0" w:rsidR="004E6007" w:rsidRPr="00B17238" w:rsidRDefault="004E6007" w:rsidP="00FF3CAB">
      <w:pPr>
        <w:pStyle w:val="ARbullet1"/>
        <w:numPr>
          <w:ilvl w:val="0"/>
          <w:numId w:val="51"/>
        </w:numPr>
      </w:pPr>
      <w:r w:rsidRPr="00B17238">
        <w:t xml:space="preserve">coronavirus (COVID-19) </w:t>
      </w:r>
      <w:r w:rsidRPr="00B032FB">
        <w:t>t</w:t>
      </w:r>
      <w:r w:rsidRPr="00B17238">
        <w:t xml:space="preserve">est </w:t>
      </w:r>
      <w:r w:rsidRPr="00B032FB">
        <w:t>i</w:t>
      </w:r>
      <w:r w:rsidRPr="00B17238">
        <w:t xml:space="preserve">solation </w:t>
      </w:r>
      <w:r>
        <w:t>p</w:t>
      </w:r>
      <w:r w:rsidRPr="00B17238">
        <w:t>ayment</w:t>
      </w:r>
      <w:r w:rsidR="004A0F7D">
        <w:t>s</w:t>
      </w:r>
    </w:p>
    <w:p w14:paraId="5DF78348" w14:textId="574F5AA4" w:rsidR="004E6007" w:rsidRPr="002029AF" w:rsidRDefault="004E6007" w:rsidP="00FF3CAB">
      <w:pPr>
        <w:pStyle w:val="ARbullet1"/>
        <w:numPr>
          <w:ilvl w:val="0"/>
          <w:numId w:val="51"/>
        </w:numPr>
      </w:pPr>
      <w:r>
        <w:t>e</w:t>
      </w:r>
      <w:r w:rsidRPr="002029AF">
        <w:t>mergency relief package</w:t>
      </w:r>
      <w:r w:rsidR="004A0F7D">
        <w:t>s</w:t>
      </w:r>
    </w:p>
    <w:p w14:paraId="7B744735" w14:textId="1FF3C179" w:rsidR="004E6007" w:rsidRPr="002029AF" w:rsidRDefault="004A0F7D" w:rsidP="00FF3CAB">
      <w:pPr>
        <w:pStyle w:val="ARbullet1"/>
        <w:numPr>
          <w:ilvl w:val="0"/>
          <w:numId w:val="51"/>
        </w:numPr>
      </w:pPr>
      <w:r>
        <w:t xml:space="preserve">the </w:t>
      </w:r>
      <w:r w:rsidR="007300E6">
        <w:t>E</w:t>
      </w:r>
      <w:r w:rsidR="004E6007" w:rsidRPr="002029AF">
        <w:t xml:space="preserve">xtreme </w:t>
      </w:r>
      <w:r w:rsidR="007300E6">
        <w:t>H</w:t>
      </w:r>
      <w:r w:rsidR="004E6007" w:rsidRPr="002029AF">
        <w:t xml:space="preserve">ardship </w:t>
      </w:r>
      <w:r w:rsidR="007300E6">
        <w:t>S</w:t>
      </w:r>
      <w:r w:rsidR="004E6007" w:rsidRPr="002029AF">
        <w:t xml:space="preserve">upport </w:t>
      </w:r>
      <w:r w:rsidR="007300E6">
        <w:t>P</w:t>
      </w:r>
      <w:r w:rsidR="004E6007" w:rsidRPr="002029AF">
        <w:t>rogram</w:t>
      </w:r>
    </w:p>
    <w:p w14:paraId="36DCA53B" w14:textId="4E7ADF5A" w:rsidR="004E6007" w:rsidRPr="002029AF" w:rsidRDefault="004E6007" w:rsidP="00FF3CAB">
      <w:pPr>
        <w:pStyle w:val="ARbullet1"/>
        <w:numPr>
          <w:ilvl w:val="0"/>
          <w:numId w:val="51"/>
        </w:numPr>
      </w:pPr>
      <w:r>
        <w:t>r</w:t>
      </w:r>
      <w:r w:rsidRPr="002029AF">
        <w:t>ent relief grant</w:t>
      </w:r>
      <w:r w:rsidR="004A0F7D">
        <w:t>s</w:t>
      </w:r>
    </w:p>
    <w:p w14:paraId="49BB8E57" w14:textId="07331A67" w:rsidR="004E6007" w:rsidRPr="002029AF" w:rsidRDefault="007300E6" w:rsidP="00FF3CAB">
      <w:pPr>
        <w:pStyle w:val="ARbullet1"/>
        <w:numPr>
          <w:ilvl w:val="0"/>
          <w:numId w:val="51"/>
        </w:numPr>
      </w:pPr>
      <w:r>
        <w:t>the</w:t>
      </w:r>
      <w:r w:rsidR="004A0F7D">
        <w:t xml:space="preserve"> </w:t>
      </w:r>
      <w:r>
        <w:t>N</w:t>
      </w:r>
      <w:r w:rsidR="004E6007" w:rsidRPr="002029AF">
        <w:t>o</w:t>
      </w:r>
      <w:r>
        <w:t xml:space="preserve"> I</w:t>
      </w:r>
      <w:r w:rsidR="004E6007" w:rsidRPr="002029AF">
        <w:t xml:space="preserve">nterest </w:t>
      </w:r>
      <w:r>
        <w:t>L</w:t>
      </w:r>
      <w:r w:rsidR="004E6007" w:rsidRPr="002029AF">
        <w:t xml:space="preserve">oans </w:t>
      </w:r>
      <w:r>
        <w:t>S</w:t>
      </w:r>
      <w:r w:rsidR="004E6007" w:rsidRPr="002029AF">
        <w:t>cheme.</w:t>
      </w:r>
    </w:p>
    <w:p w14:paraId="3B508B81" w14:textId="0D1C5219" w:rsidR="004E6007" w:rsidRPr="002029AF" w:rsidRDefault="004E6007" w:rsidP="004E6007">
      <w:pPr>
        <w:pStyle w:val="ARbodyafterbullets"/>
      </w:pPr>
      <w:r w:rsidRPr="002029AF">
        <w:t>In addition to meeting significant challenges during</w:t>
      </w:r>
      <w:r w:rsidR="003C6F78">
        <w:t> </w:t>
      </w:r>
      <w:r w:rsidRPr="002029AF">
        <w:t>the coronavirus (COVID-19) pandemic, the</w:t>
      </w:r>
      <w:r w:rsidR="003C6F78">
        <w:t> </w:t>
      </w:r>
      <w:r w:rsidRPr="002029AF">
        <w:t>department will continue to support Victoria’s recovery. Our current and future program of infrastructure-based projects across both regional and metropolitan Victoria will improve health and</w:t>
      </w:r>
      <w:r w:rsidR="003C6F78">
        <w:t> </w:t>
      </w:r>
      <w:r w:rsidRPr="002029AF">
        <w:t xml:space="preserve">wellbeing facilities and services in these </w:t>
      </w:r>
      <w:r w:rsidRPr="002029AF">
        <w:t>communities, as well as create thousands of new</w:t>
      </w:r>
      <w:r w:rsidR="003C6F78">
        <w:t> </w:t>
      </w:r>
      <w:r w:rsidRPr="00FA57CF">
        <w:t xml:space="preserve">jobs through the Working for Victoria Fund, </w:t>
      </w:r>
      <w:r>
        <w:t>the</w:t>
      </w:r>
      <w:r w:rsidR="003C6F78">
        <w:t> </w:t>
      </w:r>
      <w:r w:rsidRPr="00FA57CF">
        <w:t xml:space="preserve">Local Jobs First </w:t>
      </w:r>
      <w:r w:rsidRPr="00B032FB">
        <w:t>p</w:t>
      </w:r>
      <w:r w:rsidRPr="00FA57CF">
        <w:t>olicy and</w:t>
      </w:r>
      <w:r>
        <w:t xml:space="preserve"> the</w:t>
      </w:r>
      <w:r w:rsidRPr="00FA57CF">
        <w:t xml:space="preserve"> </w:t>
      </w:r>
      <w:r w:rsidRPr="00B032FB">
        <w:rPr>
          <w:i/>
          <w:iCs/>
        </w:rPr>
        <w:t>Social procurement framework</w:t>
      </w:r>
      <w:r w:rsidRPr="00FA57CF">
        <w:t>.</w:t>
      </w:r>
    </w:p>
    <w:p w14:paraId="773B2F10" w14:textId="45F2E769" w:rsidR="00603E4B" w:rsidRPr="002029AF" w:rsidRDefault="004E6007" w:rsidP="00603E4B">
      <w:pPr>
        <w:pStyle w:val="ARbody"/>
      </w:pPr>
      <w:r w:rsidRPr="002029AF">
        <w:t>Some of our key achievements in 2019–20 are</w:t>
      </w:r>
      <w:r w:rsidR="003C6F78">
        <w:t> </w:t>
      </w:r>
      <w:r w:rsidRPr="002029AF">
        <w:t>outlined below.</w:t>
      </w:r>
    </w:p>
    <w:p w14:paraId="34896562" w14:textId="77777777" w:rsidR="00603E4B" w:rsidRPr="002029AF" w:rsidRDefault="00603E4B" w:rsidP="00603E4B">
      <w:pPr>
        <w:pStyle w:val="Heading5"/>
      </w:pPr>
      <w:r w:rsidRPr="002029AF">
        <w:t>Key result 22: Increase labour market participation by women, people with a disability, people with mental illness and people living in specified locations and communities</w:t>
      </w:r>
    </w:p>
    <w:p w14:paraId="04EC9027" w14:textId="4F641326" w:rsidR="004E6007" w:rsidRPr="004E6007" w:rsidRDefault="004E6007" w:rsidP="004E6007">
      <w:pPr>
        <w:pStyle w:val="Heading6"/>
        <w:rPr>
          <w:lang w:val="en-AU"/>
        </w:rPr>
      </w:pPr>
      <w:r>
        <w:rPr>
          <w:lang w:val="en-AU"/>
        </w:rPr>
        <w:t>Supporting autistic people in Victoria</w:t>
      </w:r>
    </w:p>
    <w:p w14:paraId="0262CA44" w14:textId="4B70DB2B" w:rsidR="004E6007" w:rsidRPr="002029AF" w:rsidRDefault="004E6007" w:rsidP="004E6007">
      <w:pPr>
        <w:pStyle w:val="ARbody"/>
      </w:pPr>
      <w:r w:rsidRPr="002029AF">
        <w:t xml:space="preserve">The department launched </w:t>
      </w:r>
      <w:r w:rsidRPr="00B032FB">
        <w:rPr>
          <w:i/>
          <w:iCs/>
        </w:rPr>
        <w:t xml:space="preserve">the Victorian </w:t>
      </w:r>
      <w:r>
        <w:rPr>
          <w:i/>
          <w:iCs/>
        </w:rPr>
        <w:t>a</w:t>
      </w:r>
      <w:r w:rsidRPr="00B032FB">
        <w:rPr>
          <w:i/>
          <w:iCs/>
        </w:rPr>
        <w:t xml:space="preserve">utism </w:t>
      </w:r>
      <w:r>
        <w:rPr>
          <w:i/>
          <w:iCs/>
        </w:rPr>
        <w:t>p</w:t>
      </w:r>
      <w:r w:rsidRPr="00B032FB">
        <w:rPr>
          <w:i/>
          <w:iCs/>
        </w:rPr>
        <w:t>lan</w:t>
      </w:r>
      <w:r w:rsidR="003C6F78">
        <w:t> </w:t>
      </w:r>
      <w:r w:rsidRPr="002029AF">
        <w:t>in December 2019. A diverse range of autistic people, their families and supporters, and autism organisations were consulted to develop the plan.</w:t>
      </w:r>
    </w:p>
    <w:p w14:paraId="22F6389E" w14:textId="40263732" w:rsidR="004E6007" w:rsidRPr="002029AF" w:rsidRDefault="004E6007" w:rsidP="004E6007">
      <w:pPr>
        <w:pStyle w:val="ARbody"/>
      </w:pPr>
      <w:r w:rsidRPr="002029AF">
        <w:t>The plan sets out actions to provide autistic people in Victorian greater opportunities for choice and community participation, backed by $7.1 million in</w:t>
      </w:r>
      <w:r w:rsidR="003C6F78">
        <w:t> </w:t>
      </w:r>
      <w:r w:rsidRPr="002029AF">
        <w:t>funding.</w:t>
      </w:r>
    </w:p>
    <w:p w14:paraId="5AE6DBCB" w14:textId="77777777" w:rsidR="004E6007" w:rsidRPr="002029AF" w:rsidRDefault="004E6007" w:rsidP="004E6007">
      <w:pPr>
        <w:pStyle w:val="ARbody"/>
      </w:pPr>
      <w:r w:rsidRPr="002029AF">
        <w:t>The plan’s key commitments include improving community attitudes towards autistic people, and increasing opportunities for education, economic participation and access to assessment, diagnosis and early intervention.</w:t>
      </w:r>
    </w:p>
    <w:p w14:paraId="28304B97" w14:textId="1348689C" w:rsidR="00603E4B" w:rsidRPr="002029AF" w:rsidRDefault="00603E4B" w:rsidP="00603E4B">
      <w:pPr>
        <w:pStyle w:val="Heading6"/>
        <w:rPr>
          <w:lang w:val="en-AU"/>
        </w:rPr>
      </w:pPr>
      <w:r w:rsidRPr="002029AF">
        <w:rPr>
          <w:lang w:val="en-AU"/>
        </w:rPr>
        <w:t>Economic participation plan for people</w:t>
      </w:r>
      <w:r w:rsidR="003C6F78">
        <w:rPr>
          <w:lang w:val="en-AU"/>
        </w:rPr>
        <w:t> </w:t>
      </w:r>
      <w:r w:rsidRPr="002029AF">
        <w:rPr>
          <w:lang w:val="en-AU"/>
        </w:rPr>
        <w:t>with</w:t>
      </w:r>
      <w:r w:rsidR="000F13EA" w:rsidRPr="002029AF">
        <w:rPr>
          <w:lang w:val="en-AU"/>
        </w:rPr>
        <w:t> </w:t>
      </w:r>
      <w:r w:rsidRPr="002029AF">
        <w:rPr>
          <w:lang w:val="en-AU"/>
        </w:rPr>
        <w:t>disability</w:t>
      </w:r>
    </w:p>
    <w:p w14:paraId="5FD0B413" w14:textId="7CC66DE2" w:rsidR="00603E4B" w:rsidRPr="002029AF" w:rsidRDefault="00603E4B" w:rsidP="00603E4B">
      <w:pPr>
        <w:pStyle w:val="ARbody"/>
      </w:pPr>
      <w:r w:rsidRPr="002029AF">
        <w:t xml:space="preserve">Developed under </w:t>
      </w:r>
      <w:r w:rsidRPr="00BA07B9">
        <w:rPr>
          <w:i/>
          <w:iCs/>
        </w:rPr>
        <w:t>Absolutely everyone: state disability plan 2017</w:t>
      </w:r>
      <w:r w:rsidR="000F13EA" w:rsidRPr="00BA07B9">
        <w:rPr>
          <w:i/>
          <w:iCs/>
        </w:rPr>
        <w:t>–</w:t>
      </w:r>
      <w:r w:rsidRPr="00BA07B9">
        <w:rPr>
          <w:i/>
          <w:iCs/>
        </w:rPr>
        <w:t>2020</w:t>
      </w:r>
      <w:r w:rsidRPr="002029AF">
        <w:rPr>
          <w:i/>
          <w:iCs/>
        </w:rPr>
        <w:t>, Every opportunity</w:t>
      </w:r>
      <w:r w:rsidRPr="002029AF">
        <w:t xml:space="preserve"> is the Victorian Government’s three-year plan to enhance the economic participation of people with disability. Key areas of focus in 2019–20 included:</w:t>
      </w:r>
    </w:p>
    <w:p w14:paraId="60FBBDD5" w14:textId="78625DD9" w:rsidR="00603E4B" w:rsidRPr="002029AF" w:rsidRDefault="004E6007" w:rsidP="00FF3CAB">
      <w:pPr>
        <w:pStyle w:val="ARbullet1"/>
        <w:numPr>
          <w:ilvl w:val="0"/>
          <w:numId w:val="51"/>
        </w:numPr>
      </w:pPr>
      <w:r>
        <w:t>s</w:t>
      </w:r>
      <w:r w:rsidR="00603E4B" w:rsidRPr="002029AF">
        <w:t xml:space="preserve">upporting entrepreneurs with disability </w:t>
      </w:r>
      <w:r w:rsidR="00751345">
        <w:t xml:space="preserve">to </w:t>
      </w:r>
      <w:r w:rsidR="00603E4B" w:rsidRPr="002029AF">
        <w:t>grow their businesses through the launch of:</w:t>
      </w:r>
    </w:p>
    <w:p w14:paraId="34AE6CDF" w14:textId="77777777" w:rsidR="00603E4B" w:rsidRPr="002029AF" w:rsidRDefault="00603E4B" w:rsidP="00FF3CAB">
      <w:pPr>
        <w:pStyle w:val="ARbullet2"/>
        <w:numPr>
          <w:ilvl w:val="1"/>
          <w:numId w:val="51"/>
        </w:numPr>
      </w:pPr>
      <w:r w:rsidRPr="002029AF">
        <w:t>a dedicated disability stream of the Boost Your Business program in partnership with Small Business Victoria, with seven business owners with disability receiving vouchers to support the growth of their businesses</w:t>
      </w:r>
    </w:p>
    <w:p w14:paraId="0CFCFCD0" w14:textId="39BB3A48" w:rsidR="00603E4B" w:rsidRPr="0027759D" w:rsidRDefault="00603E4B" w:rsidP="00603E4B">
      <w:pPr>
        <w:pStyle w:val="ARbullet2"/>
        <w:numPr>
          <w:ilvl w:val="1"/>
          <w:numId w:val="51"/>
        </w:numPr>
      </w:pPr>
      <w:r w:rsidRPr="002029AF">
        <w:t>a dedicated capacity building program for entrepreneurs with disability to be run in partnership with LaunchVic in late 2020 supporting career pathways for young graduates with disability in regional Victoria through the Connect50 supported internship program</w:t>
      </w:r>
      <w:r w:rsidR="002766A3" w:rsidRPr="002029AF">
        <w:t>.</w:t>
      </w:r>
      <w:r w:rsidRPr="0027759D">
        <w:rPr>
          <w:b/>
        </w:rPr>
        <w:br w:type="page"/>
      </w:r>
    </w:p>
    <w:p w14:paraId="607B7F0B" w14:textId="77777777" w:rsidR="00603E4B" w:rsidRPr="002029AF" w:rsidRDefault="00603E4B" w:rsidP="00603E4B">
      <w:pPr>
        <w:pStyle w:val="Heading1"/>
        <w:sectPr w:rsidR="00603E4B" w:rsidRPr="002029AF" w:rsidSect="00B45A1D">
          <w:footnotePr>
            <w:numFmt w:val="chicago"/>
            <w:numRestart w:val="eachPage"/>
          </w:footnotePr>
          <w:endnotePr>
            <w:numFmt w:val="decimal"/>
          </w:endnotePr>
          <w:type w:val="continuous"/>
          <w:pgSz w:w="11900" w:h="16840" w:code="9"/>
          <w:pgMar w:top="1985" w:right="851" w:bottom="851" w:left="1418" w:header="510" w:footer="340" w:gutter="0"/>
          <w:cols w:num="2" w:space="454"/>
          <w15:footnoteColumns w:val="1"/>
        </w:sectPr>
      </w:pPr>
      <w:bookmarkStart w:id="43" w:name="_Hlk49878268"/>
    </w:p>
    <w:p w14:paraId="7CC5ADC5" w14:textId="77777777" w:rsidR="00603E4B" w:rsidRPr="002029AF" w:rsidRDefault="00603E4B" w:rsidP="002C0C09">
      <w:pPr>
        <w:pStyle w:val="Heading4larger"/>
      </w:pPr>
      <w:bookmarkStart w:id="44" w:name="_Toc50383610"/>
      <w:r w:rsidRPr="002029AF">
        <w:lastRenderedPageBreak/>
        <w:t>Objective 3: indicator results</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4A0" w:firstRow="1" w:lastRow="0" w:firstColumn="1" w:lastColumn="0" w:noHBand="0" w:noVBand="1"/>
      </w:tblPr>
      <w:tblGrid>
        <w:gridCol w:w="5943"/>
        <w:gridCol w:w="939"/>
        <w:gridCol w:w="939"/>
        <w:gridCol w:w="879"/>
        <w:gridCol w:w="879"/>
        <w:gridCol w:w="60"/>
      </w:tblGrid>
      <w:tr w:rsidR="006E2BC8" w:rsidRPr="002029AF" w14:paraId="74CDA11B" w14:textId="77777777" w:rsidTr="00F4536C">
        <w:trPr>
          <w:gridAfter w:val="1"/>
          <w:wAfter w:w="60" w:type="dxa"/>
          <w:cantSplit/>
          <w:tblHeader/>
        </w:trPr>
        <w:tc>
          <w:tcPr>
            <w:tcW w:w="5943" w:type="dxa"/>
            <w:tcBorders>
              <w:top w:val="nil"/>
              <w:left w:val="single" w:sz="4" w:space="0" w:color="FFFFFF"/>
              <w:bottom w:val="single" w:sz="4" w:space="0" w:color="auto"/>
              <w:right w:val="single" w:sz="4" w:space="0" w:color="FFFFFF"/>
            </w:tcBorders>
            <w:vAlign w:val="bottom"/>
          </w:tcPr>
          <w:p w14:paraId="03B44A32" w14:textId="77777777" w:rsidR="006E2BC8" w:rsidRPr="002029AF" w:rsidRDefault="006E2BC8" w:rsidP="00F4536C">
            <w:pPr>
              <w:pStyle w:val="ARtablecolhead"/>
            </w:pPr>
          </w:p>
        </w:tc>
        <w:tc>
          <w:tcPr>
            <w:tcW w:w="939" w:type="dxa"/>
            <w:tcBorders>
              <w:top w:val="nil"/>
              <w:left w:val="single" w:sz="4" w:space="0" w:color="FFFFFF"/>
              <w:bottom w:val="single" w:sz="4" w:space="0" w:color="auto"/>
              <w:right w:val="single" w:sz="4" w:space="0" w:color="FFFFFF"/>
            </w:tcBorders>
            <w:vAlign w:val="bottom"/>
            <w:hideMark/>
          </w:tcPr>
          <w:p w14:paraId="368F19A3" w14:textId="77777777" w:rsidR="006E2BC8" w:rsidRPr="002029AF" w:rsidRDefault="006E2BC8" w:rsidP="00F4536C">
            <w:pPr>
              <w:pStyle w:val="ARtablecolhead"/>
            </w:pPr>
            <w:r w:rsidRPr="002029AF">
              <w:t>2016–17</w:t>
            </w:r>
          </w:p>
        </w:tc>
        <w:tc>
          <w:tcPr>
            <w:tcW w:w="939" w:type="dxa"/>
            <w:tcBorders>
              <w:top w:val="nil"/>
              <w:left w:val="single" w:sz="4" w:space="0" w:color="FFFFFF"/>
              <w:bottom w:val="single" w:sz="4" w:space="0" w:color="auto"/>
              <w:right w:val="single" w:sz="4" w:space="0" w:color="FFFFFF"/>
            </w:tcBorders>
            <w:vAlign w:val="bottom"/>
            <w:hideMark/>
          </w:tcPr>
          <w:p w14:paraId="2AD741E8" w14:textId="77777777" w:rsidR="006E2BC8" w:rsidRPr="002029AF" w:rsidRDefault="006E2BC8" w:rsidP="00F4536C">
            <w:pPr>
              <w:pStyle w:val="ARtablecolhead"/>
            </w:pPr>
            <w:r w:rsidRPr="002029AF">
              <w:t>2017–18</w:t>
            </w:r>
          </w:p>
        </w:tc>
        <w:tc>
          <w:tcPr>
            <w:tcW w:w="879" w:type="dxa"/>
            <w:tcBorders>
              <w:top w:val="nil"/>
              <w:left w:val="single" w:sz="4" w:space="0" w:color="FFFFFF"/>
              <w:bottom w:val="single" w:sz="4" w:space="0" w:color="auto"/>
              <w:right w:val="single" w:sz="4" w:space="0" w:color="FFFFFF"/>
            </w:tcBorders>
            <w:vAlign w:val="bottom"/>
            <w:hideMark/>
          </w:tcPr>
          <w:p w14:paraId="1F0823E5" w14:textId="77777777" w:rsidR="006E2BC8" w:rsidRPr="002029AF" w:rsidRDefault="006E2BC8" w:rsidP="00F4536C">
            <w:pPr>
              <w:pStyle w:val="ARtablecolhead"/>
            </w:pPr>
            <w:r w:rsidRPr="002029AF">
              <w:t>2018–19</w:t>
            </w:r>
          </w:p>
        </w:tc>
        <w:tc>
          <w:tcPr>
            <w:tcW w:w="879" w:type="dxa"/>
            <w:tcBorders>
              <w:top w:val="nil"/>
              <w:left w:val="single" w:sz="4" w:space="0" w:color="FFFFFF"/>
              <w:bottom w:val="single" w:sz="4" w:space="0" w:color="auto"/>
              <w:right w:val="single" w:sz="4" w:space="0" w:color="FFFFFF"/>
            </w:tcBorders>
            <w:vAlign w:val="bottom"/>
          </w:tcPr>
          <w:p w14:paraId="1655CE07" w14:textId="77777777" w:rsidR="006E2BC8" w:rsidRPr="002029AF" w:rsidRDefault="006E2BC8" w:rsidP="00F4536C">
            <w:pPr>
              <w:pStyle w:val="ARtablecolhead"/>
            </w:pPr>
            <w:r w:rsidRPr="002029AF">
              <w:t>2019–20</w:t>
            </w:r>
          </w:p>
        </w:tc>
      </w:tr>
      <w:tr w:rsidR="006E2BC8" w:rsidRPr="002029AF" w14:paraId="1A713FC5" w14:textId="77777777" w:rsidTr="00F4536C">
        <w:trPr>
          <w:cantSplit/>
        </w:trPr>
        <w:tc>
          <w:tcPr>
            <w:tcW w:w="9639" w:type="dxa"/>
            <w:gridSpan w:val="6"/>
            <w:tcBorders>
              <w:top w:val="single" w:sz="4" w:space="0" w:color="auto"/>
              <w:left w:val="single" w:sz="4" w:space="0" w:color="FFFFFF"/>
              <w:bottom w:val="single" w:sz="4" w:space="0" w:color="BFBFBF"/>
              <w:right w:val="single" w:sz="4" w:space="0" w:color="FFFFFF"/>
            </w:tcBorders>
            <w:hideMark/>
          </w:tcPr>
          <w:p w14:paraId="0FAA7C5A" w14:textId="77777777" w:rsidR="006E2BC8" w:rsidRPr="002029AF" w:rsidRDefault="006E2BC8" w:rsidP="00F4536C">
            <w:pPr>
              <w:pStyle w:val="ARtablesubhead"/>
            </w:pPr>
            <w:r w:rsidRPr="002029AF">
              <w:t>Victorians participate in learning and education</w:t>
            </w:r>
          </w:p>
        </w:tc>
      </w:tr>
      <w:tr w:rsidR="006E2BC8" w:rsidRPr="002029AF" w14:paraId="2885AFF5" w14:textId="77777777" w:rsidTr="00F4536C">
        <w:trPr>
          <w:gridAfter w:val="1"/>
          <w:wAfter w:w="60" w:type="dxa"/>
          <w:cantSplit/>
        </w:trPr>
        <w:tc>
          <w:tcPr>
            <w:tcW w:w="5943" w:type="dxa"/>
            <w:tcBorders>
              <w:top w:val="single" w:sz="4" w:space="0" w:color="auto"/>
              <w:left w:val="single" w:sz="4" w:space="0" w:color="FFFFFF"/>
              <w:bottom w:val="single" w:sz="4" w:space="0" w:color="BFBFBF"/>
              <w:right w:val="single" w:sz="4" w:space="0" w:color="FFFFFF"/>
            </w:tcBorders>
            <w:hideMark/>
          </w:tcPr>
          <w:p w14:paraId="05A82F74" w14:textId="77777777" w:rsidR="006E2BC8" w:rsidRPr="002029AF" w:rsidRDefault="006E2BC8" w:rsidP="00F4536C">
            <w:pPr>
              <w:pStyle w:val="ARtabletext"/>
              <w:rPr>
                <w:i/>
              </w:rPr>
            </w:pPr>
            <w:r w:rsidRPr="002029AF">
              <w:t>Clinical placement student days (medicine)</w:t>
            </w:r>
          </w:p>
        </w:tc>
        <w:tc>
          <w:tcPr>
            <w:tcW w:w="939" w:type="dxa"/>
            <w:tcBorders>
              <w:top w:val="single" w:sz="4" w:space="0" w:color="auto"/>
              <w:left w:val="single" w:sz="4" w:space="0" w:color="FFFFFF"/>
              <w:bottom w:val="single" w:sz="4" w:space="0" w:color="BFBFBF"/>
              <w:right w:val="single" w:sz="4" w:space="0" w:color="FFFFFF"/>
            </w:tcBorders>
            <w:hideMark/>
          </w:tcPr>
          <w:p w14:paraId="2031222D" w14:textId="77777777" w:rsidR="006E2BC8" w:rsidRPr="002029AF" w:rsidRDefault="006E2BC8" w:rsidP="00F4536C">
            <w:pPr>
              <w:pStyle w:val="ARtabletext"/>
            </w:pPr>
            <w:r w:rsidRPr="002029AF">
              <w:t>New measure</w:t>
            </w:r>
          </w:p>
        </w:tc>
        <w:tc>
          <w:tcPr>
            <w:tcW w:w="939" w:type="dxa"/>
            <w:tcBorders>
              <w:top w:val="single" w:sz="4" w:space="0" w:color="auto"/>
              <w:left w:val="single" w:sz="4" w:space="0" w:color="FFFFFF"/>
              <w:bottom w:val="single" w:sz="4" w:space="0" w:color="BFBFBF"/>
              <w:right w:val="single" w:sz="4" w:space="0" w:color="FFFFFF"/>
            </w:tcBorders>
            <w:hideMark/>
          </w:tcPr>
          <w:p w14:paraId="17F8D232" w14:textId="77777777" w:rsidR="006E2BC8" w:rsidRPr="002029AF" w:rsidRDefault="006E2BC8" w:rsidP="00F4536C">
            <w:pPr>
              <w:pStyle w:val="ARtabletext"/>
            </w:pPr>
            <w:r w:rsidRPr="002029AF">
              <w:t>393,807</w:t>
            </w:r>
          </w:p>
        </w:tc>
        <w:tc>
          <w:tcPr>
            <w:tcW w:w="879" w:type="dxa"/>
            <w:tcBorders>
              <w:top w:val="single" w:sz="4" w:space="0" w:color="auto"/>
              <w:left w:val="single" w:sz="4" w:space="0" w:color="FFFFFF"/>
              <w:bottom w:val="single" w:sz="4" w:space="0" w:color="BFBFBF"/>
              <w:right w:val="single" w:sz="4" w:space="0" w:color="FFFFFF"/>
            </w:tcBorders>
            <w:hideMark/>
          </w:tcPr>
          <w:p w14:paraId="3FA48455" w14:textId="77777777" w:rsidR="006E2BC8" w:rsidRPr="002029AF" w:rsidRDefault="006E2BC8" w:rsidP="00F4536C">
            <w:pPr>
              <w:pStyle w:val="ARtabletext"/>
            </w:pPr>
            <w:r w:rsidRPr="002029AF">
              <w:t>395,349</w:t>
            </w:r>
          </w:p>
        </w:tc>
        <w:tc>
          <w:tcPr>
            <w:tcW w:w="879" w:type="dxa"/>
            <w:tcBorders>
              <w:top w:val="single" w:sz="4" w:space="0" w:color="auto"/>
              <w:left w:val="single" w:sz="4" w:space="0" w:color="FFFFFF"/>
              <w:bottom w:val="single" w:sz="4" w:space="0" w:color="BFBFBF"/>
              <w:right w:val="single" w:sz="4" w:space="0" w:color="FFFFFF"/>
            </w:tcBorders>
          </w:tcPr>
          <w:p w14:paraId="25758540" w14:textId="77777777" w:rsidR="006E2BC8" w:rsidRPr="002029AF" w:rsidRDefault="006E2BC8" w:rsidP="00F4536C">
            <w:pPr>
              <w:pStyle w:val="ARtabletext"/>
            </w:pPr>
            <w:r w:rsidRPr="002029AF">
              <w:t>402,008</w:t>
            </w:r>
          </w:p>
        </w:tc>
      </w:tr>
      <w:tr w:rsidR="006E2BC8" w:rsidRPr="002029AF" w14:paraId="1EEB071E" w14:textId="77777777" w:rsidTr="00F4536C">
        <w:trPr>
          <w:gridAfter w:val="1"/>
          <w:wAfter w:w="60" w:type="dxa"/>
          <w:cantSplit/>
        </w:trPr>
        <w:tc>
          <w:tcPr>
            <w:tcW w:w="5943" w:type="dxa"/>
            <w:tcBorders>
              <w:top w:val="single" w:sz="4" w:space="0" w:color="BFBFBF"/>
              <w:left w:val="single" w:sz="4" w:space="0" w:color="FFFFFF"/>
              <w:bottom w:val="single" w:sz="4" w:space="0" w:color="FFFFFF"/>
              <w:right w:val="single" w:sz="4" w:space="0" w:color="FFFFFF"/>
            </w:tcBorders>
            <w:hideMark/>
          </w:tcPr>
          <w:p w14:paraId="2BBC1D53" w14:textId="77777777" w:rsidR="006E2BC8" w:rsidRPr="002029AF" w:rsidRDefault="006E2BC8" w:rsidP="00F4536C">
            <w:pPr>
              <w:pStyle w:val="ARtabletext"/>
              <w:rPr>
                <w:i/>
              </w:rPr>
            </w:pPr>
            <w:r w:rsidRPr="002029AF">
              <w:t>Clinical placements student days (nursing and midwifery)</w:t>
            </w:r>
          </w:p>
        </w:tc>
        <w:tc>
          <w:tcPr>
            <w:tcW w:w="939" w:type="dxa"/>
            <w:tcBorders>
              <w:top w:val="single" w:sz="4" w:space="0" w:color="BFBFBF"/>
              <w:left w:val="single" w:sz="4" w:space="0" w:color="FFFFFF"/>
              <w:bottom w:val="single" w:sz="4" w:space="0" w:color="FFFFFF"/>
              <w:right w:val="single" w:sz="4" w:space="0" w:color="FFFFFF"/>
            </w:tcBorders>
            <w:hideMark/>
          </w:tcPr>
          <w:p w14:paraId="6ABDD264" w14:textId="77777777" w:rsidR="006E2BC8" w:rsidRPr="002029AF" w:rsidRDefault="006E2BC8" w:rsidP="00F4536C">
            <w:pPr>
              <w:pStyle w:val="ARtabletext"/>
            </w:pPr>
            <w:r w:rsidRPr="002029AF">
              <w:t>New measure</w:t>
            </w:r>
          </w:p>
        </w:tc>
        <w:tc>
          <w:tcPr>
            <w:tcW w:w="939" w:type="dxa"/>
            <w:tcBorders>
              <w:top w:val="single" w:sz="4" w:space="0" w:color="BFBFBF"/>
              <w:left w:val="single" w:sz="4" w:space="0" w:color="FFFFFF"/>
              <w:bottom w:val="single" w:sz="4" w:space="0" w:color="FFFFFF"/>
              <w:right w:val="single" w:sz="4" w:space="0" w:color="FFFFFF"/>
            </w:tcBorders>
            <w:hideMark/>
          </w:tcPr>
          <w:p w14:paraId="0F3D2CFC" w14:textId="77777777" w:rsidR="006E2BC8" w:rsidRPr="002029AF" w:rsidRDefault="006E2BC8" w:rsidP="00F4536C">
            <w:pPr>
              <w:pStyle w:val="ARtabletext"/>
            </w:pPr>
            <w:r w:rsidRPr="002029AF">
              <w:t>406,330</w:t>
            </w:r>
          </w:p>
        </w:tc>
        <w:tc>
          <w:tcPr>
            <w:tcW w:w="879" w:type="dxa"/>
            <w:tcBorders>
              <w:top w:val="single" w:sz="4" w:space="0" w:color="BFBFBF"/>
              <w:left w:val="single" w:sz="4" w:space="0" w:color="FFFFFF"/>
              <w:bottom w:val="single" w:sz="4" w:space="0" w:color="FFFFFF"/>
              <w:right w:val="single" w:sz="4" w:space="0" w:color="FFFFFF"/>
            </w:tcBorders>
            <w:hideMark/>
          </w:tcPr>
          <w:p w14:paraId="38F36D2E" w14:textId="77777777" w:rsidR="006E2BC8" w:rsidRPr="002029AF" w:rsidRDefault="006E2BC8" w:rsidP="00F4536C">
            <w:pPr>
              <w:pStyle w:val="ARtabletext"/>
            </w:pPr>
            <w:r w:rsidRPr="002029AF">
              <w:t>428,864</w:t>
            </w:r>
          </w:p>
        </w:tc>
        <w:tc>
          <w:tcPr>
            <w:tcW w:w="879" w:type="dxa"/>
            <w:tcBorders>
              <w:top w:val="single" w:sz="4" w:space="0" w:color="BFBFBF"/>
              <w:left w:val="single" w:sz="4" w:space="0" w:color="FFFFFF"/>
              <w:bottom w:val="single" w:sz="4" w:space="0" w:color="FFFFFF"/>
              <w:right w:val="single" w:sz="4" w:space="0" w:color="FFFFFF"/>
            </w:tcBorders>
          </w:tcPr>
          <w:p w14:paraId="6DB048F0" w14:textId="77777777" w:rsidR="006E2BC8" w:rsidRPr="002029AF" w:rsidRDefault="006E2BC8" w:rsidP="00F4536C">
            <w:pPr>
              <w:pStyle w:val="ARtabletext"/>
            </w:pPr>
            <w:r w:rsidRPr="002029AF">
              <w:t>435,731</w:t>
            </w:r>
          </w:p>
        </w:tc>
      </w:tr>
      <w:tr w:rsidR="006E2BC8" w:rsidRPr="002029AF" w14:paraId="3D1C15F5" w14:textId="77777777" w:rsidTr="00F4536C">
        <w:trPr>
          <w:gridAfter w:val="1"/>
          <w:wAfter w:w="60" w:type="dxa"/>
          <w:cantSplit/>
        </w:trPr>
        <w:tc>
          <w:tcPr>
            <w:tcW w:w="5943" w:type="dxa"/>
            <w:tcBorders>
              <w:top w:val="single" w:sz="4" w:space="0" w:color="BFBFBF"/>
              <w:left w:val="single" w:sz="4" w:space="0" w:color="FFFFFF"/>
              <w:bottom w:val="single" w:sz="4" w:space="0" w:color="FFFFFF"/>
              <w:right w:val="single" w:sz="4" w:space="0" w:color="FFFFFF"/>
            </w:tcBorders>
            <w:hideMark/>
          </w:tcPr>
          <w:p w14:paraId="397CBAFA" w14:textId="77777777" w:rsidR="006E2BC8" w:rsidRPr="002029AF" w:rsidRDefault="006E2BC8" w:rsidP="00F4536C">
            <w:pPr>
              <w:pStyle w:val="ARtabletext"/>
              <w:rPr>
                <w:i/>
              </w:rPr>
            </w:pPr>
            <w:r w:rsidRPr="002029AF">
              <w:t>Clinical placement student days (allied health)</w:t>
            </w:r>
          </w:p>
        </w:tc>
        <w:tc>
          <w:tcPr>
            <w:tcW w:w="939" w:type="dxa"/>
            <w:tcBorders>
              <w:top w:val="single" w:sz="4" w:space="0" w:color="BFBFBF"/>
              <w:left w:val="single" w:sz="4" w:space="0" w:color="FFFFFF"/>
              <w:bottom w:val="single" w:sz="4" w:space="0" w:color="FFFFFF"/>
              <w:right w:val="single" w:sz="4" w:space="0" w:color="FFFFFF"/>
            </w:tcBorders>
            <w:hideMark/>
          </w:tcPr>
          <w:p w14:paraId="011DE1B0" w14:textId="77777777" w:rsidR="006E2BC8" w:rsidRPr="002029AF" w:rsidRDefault="006E2BC8" w:rsidP="00F4536C">
            <w:pPr>
              <w:pStyle w:val="ARtabletext"/>
            </w:pPr>
            <w:r w:rsidRPr="002029AF">
              <w:t>New measure</w:t>
            </w:r>
          </w:p>
        </w:tc>
        <w:tc>
          <w:tcPr>
            <w:tcW w:w="939" w:type="dxa"/>
            <w:tcBorders>
              <w:top w:val="single" w:sz="4" w:space="0" w:color="BFBFBF"/>
              <w:left w:val="single" w:sz="4" w:space="0" w:color="FFFFFF"/>
              <w:bottom w:val="single" w:sz="4" w:space="0" w:color="FFFFFF"/>
              <w:right w:val="single" w:sz="4" w:space="0" w:color="FFFFFF"/>
            </w:tcBorders>
            <w:hideMark/>
          </w:tcPr>
          <w:p w14:paraId="7267E0BF" w14:textId="77777777" w:rsidR="006E2BC8" w:rsidRPr="002029AF" w:rsidRDefault="006E2BC8" w:rsidP="00F4536C">
            <w:pPr>
              <w:pStyle w:val="ARtabletext"/>
            </w:pPr>
            <w:r w:rsidRPr="002029AF">
              <w:t>158,461</w:t>
            </w:r>
          </w:p>
        </w:tc>
        <w:tc>
          <w:tcPr>
            <w:tcW w:w="879" w:type="dxa"/>
            <w:tcBorders>
              <w:top w:val="single" w:sz="4" w:space="0" w:color="BFBFBF"/>
              <w:left w:val="single" w:sz="4" w:space="0" w:color="FFFFFF"/>
              <w:bottom w:val="single" w:sz="4" w:space="0" w:color="FFFFFF"/>
              <w:right w:val="single" w:sz="4" w:space="0" w:color="FFFFFF"/>
            </w:tcBorders>
            <w:hideMark/>
          </w:tcPr>
          <w:p w14:paraId="1625E7FE" w14:textId="77777777" w:rsidR="006E2BC8" w:rsidRPr="002029AF" w:rsidRDefault="006E2BC8" w:rsidP="00F4536C">
            <w:pPr>
              <w:pStyle w:val="ARtabletext"/>
            </w:pPr>
            <w:r w:rsidRPr="002029AF">
              <w:t>159,709</w:t>
            </w:r>
          </w:p>
        </w:tc>
        <w:tc>
          <w:tcPr>
            <w:tcW w:w="879" w:type="dxa"/>
            <w:tcBorders>
              <w:top w:val="single" w:sz="4" w:space="0" w:color="BFBFBF"/>
              <w:left w:val="single" w:sz="4" w:space="0" w:color="FFFFFF"/>
              <w:bottom w:val="single" w:sz="4" w:space="0" w:color="FFFFFF"/>
              <w:right w:val="single" w:sz="4" w:space="0" w:color="FFFFFF"/>
            </w:tcBorders>
          </w:tcPr>
          <w:p w14:paraId="4741A9CE" w14:textId="77777777" w:rsidR="006E2BC8" w:rsidRPr="002029AF" w:rsidRDefault="006E2BC8" w:rsidP="00F4536C">
            <w:pPr>
              <w:pStyle w:val="ARtabletext"/>
            </w:pPr>
            <w:r w:rsidRPr="002029AF">
              <w:t>159,172</w:t>
            </w:r>
          </w:p>
        </w:tc>
      </w:tr>
      <w:tr w:rsidR="006E2BC8" w:rsidRPr="002029AF" w14:paraId="43CECEB6" w14:textId="77777777" w:rsidTr="00F4536C">
        <w:trPr>
          <w:gridAfter w:val="1"/>
          <w:wAfter w:w="60" w:type="dxa"/>
          <w:cantSplit/>
        </w:trPr>
        <w:tc>
          <w:tcPr>
            <w:tcW w:w="5943" w:type="dxa"/>
            <w:tcBorders>
              <w:top w:val="single" w:sz="4" w:space="0" w:color="BFBFBF"/>
              <w:left w:val="single" w:sz="4" w:space="0" w:color="FFFFFF"/>
              <w:bottom w:val="single" w:sz="4" w:space="0" w:color="BFBFBF"/>
              <w:right w:val="single" w:sz="4" w:space="0" w:color="FFFFFF"/>
            </w:tcBorders>
            <w:hideMark/>
          </w:tcPr>
          <w:p w14:paraId="798334D6" w14:textId="77777777" w:rsidR="006E2BC8" w:rsidRPr="002029AF" w:rsidRDefault="006E2BC8" w:rsidP="00F4536C">
            <w:pPr>
              <w:pStyle w:val="ARtabletext"/>
            </w:pPr>
            <w:r w:rsidRPr="002029AF">
              <w:t>Number of people trained in emergency management</w:t>
            </w:r>
          </w:p>
        </w:tc>
        <w:tc>
          <w:tcPr>
            <w:tcW w:w="939" w:type="dxa"/>
            <w:tcBorders>
              <w:top w:val="single" w:sz="4" w:space="0" w:color="BFBFBF"/>
              <w:left w:val="single" w:sz="4" w:space="0" w:color="FFFFFF"/>
              <w:bottom w:val="single" w:sz="4" w:space="0" w:color="BFBFBF"/>
              <w:right w:val="single" w:sz="4" w:space="0" w:color="FFFFFF"/>
            </w:tcBorders>
            <w:hideMark/>
          </w:tcPr>
          <w:p w14:paraId="398EF7F8" w14:textId="77777777" w:rsidR="006E2BC8" w:rsidRPr="002029AF" w:rsidRDefault="006E2BC8" w:rsidP="00F4536C">
            <w:pPr>
              <w:pStyle w:val="ARtabletext"/>
            </w:pPr>
            <w:r w:rsidRPr="002029AF">
              <w:t>2,000</w:t>
            </w:r>
          </w:p>
        </w:tc>
        <w:tc>
          <w:tcPr>
            <w:tcW w:w="939" w:type="dxa"/>
            <w:tcBorders>
              <w:top w:val="single" w:sz="4" w:space="0" w:color="BFBFBF"/>
              <w:left w:val="single" w:sz="4" w:space="0" w:color="FFFFFF"/>
              <w:bottom w:val="single" w:sz="4" w:space="0" w:color="BFBFBF"/>
              <w:right w:val="single" w:sz="4" w:space="0" w:color="FFFFFF"/>
            </w:tcBorders>
            <w:hideMark/>
          </w:tcPr>
          <w:p w14:paraId="3CCBB33F" w14:textId="77777777" w:rsidR="006E2BC8" w:rsidRPr="002029AF" w:rsidRDefault="006E2BC8" w:rsidP="00F4536C">
            <w:pPr>
              <w:pStyle w:val="ARtabletext"/>
            </w:pPr>
            <w:r w:rsidRPr="002029AF">
              <w:t>2,783</w:t>
            </w:r>
          </w:p>
        </w:tc>
        <w:tc>
          <w:tcPr>
            <w:tcW w:w="879" w:type="dxa"/>
            <w:tcBorders>
              <w:top w:val="single" w:sz="4" w:space="0" w:color="BFBFBF"/>
              <w:left w:val="single" w:sz="4" w:space="0" w:color="FFFFFF"/>
              <w:bottom w:val="single" w:sz="4" w:space="0" w:color="BFBFBF"/>
              <w:right w:val="single" w:sz="4" w:space="0" w:color="FFFFFF"/>
            </w:tcBorders>
            <w:hideMark/>
          </w:tcPr>
          <w:p w14:paraId="6DA83CAB" w14:textId="77777777" w:rsidR="006E2BC8" w:rsidRPr="002029AF" w:rsidRDefault="006E2BC8" w:rsidP="00F4536C">
            <w:pPr>
              <w:pStyle w:val="ARtabletext"/>
            </w:pPr>
            <w:r w:rsidRPr="002029AF">
              <w:t>2,982</w:t>
            </w:r>
          </w:p>
        </w:tc>
        <w:tc>
          <w:tcPr>
            <w:tcW w:w="879" w:type="dxa"/>
            <w:tcBorders>
              <w:top w:val="single" w:sz="4" w:space="0" w:color="BFBFBF"/>
              <w:left w:val="single" w:sz="4" w:space="0" w:color="FFFFFF"/>
              <w:bottom w:val="single" w:sz="4" w:space="0" w:color="BFBFBF"/>
              <w:right w:val="single" w:sz="4" w:space="0" w:color="FFFFFF"/>
            </w:tcBorders>
          </w:tcPr>
          <w:p w14:paraId="6A2C6295" w14:textId="77777777" w:rsidR="006E2BC8" w:rsidRPr="002029AF" w:rsidRDefault="006E2BC8" w:rsidP="00F4536C">
            <w:pPr>
              <w:pStyle w:val="ARtabletext"/>
            </w:pPr>
            <w:r w:rsidRPr="002029AF">
              <w:t>2,923</w:t>
            </w:r>
          </w:p>
        </w:tc>
      </w:tr>
      <w:tr w:rsidR="006E2BC8" w:rsidRPr="002029AF" w14:paraId="0B9AE0C1" w14:textId="77777777" w:rsidTr="00F4536C">
        <w:trPr>
          <w:cantSplit/>
        </w:trPr>
        <w:tc>
          <w:tcPr>
            <w:tcW w:w="9639" w:type="dxa"/>
            <w:gridSpan w:val="6"/>
            <w:tcBorders>
              <w:top w:val="single" w:sz="4" w:space="0" w:color="BFBFBF"/>
              <w:left w:val="single" w:sz="4" w:space="0" w:color="FFFFFF"/>
              <w:bottom w:val="single" w:sz="4" w:space="0" w:color="auto"/>
              <w:right w:val="single" w:sz="4" w:space="0" w:color="FFFFFF"/>
            </w:tcBorders>
          </w:tcPr>
          <w:p w14:paraId="6FDCFB20" w14:textId="77777777" w:rsidR="006E2BC8" w:rsidRPr="002029AF" w:rsidRDefault="006E2BC8" w:rsidP="00F4536C">
            <w:pPr>
              <w:pStyle w:val="ARtablefootnote"/>
            </w:pPr>
            <w:r w:rsidRPr="002029AF">
              <w:t>Source: Internal departmental data</w:t>
            </w:r>
          </w:p>
        </w:tc>
      </w:tr>
      <w:tr w:rsidR="006E2BC8" w:rsidRPr="002029AF" w14:paraId="3E28EF3F" w14:textId="77777777" w:rsidTr="00F4536C">
        <w:trPr>
          <w:cantSplit/>
        </w:trPr>
        <w:tc>
          <w:tcPr>
            <w:tcW w:w="9639" w:type="dxa"/>
            <w:gridSpan w:val="6"/>
            <w:tcBorders>
              <w:top w:val="single" w:sz="4" w:space="0" w:color="auto"/>
              <w:left w:val="nil"/>
              <w:bottom w:val="single" w:sz="4" w:space="0" w:color="BFBFBF"/>
              <w:right w:val="single" w:sz="4" w:space="0" w:color="FFFFFF"/>
            </w:tcBorders>
            <w:hideMark/>
          </w:tcPr>
          <w:p w14:paraId="4FAD15C4" w14:textId="77777777" w:rsidR="006E2BC8" w:rsidRPr="002029AF" w:rsidRDefault="006E2BC8" w:rsidP="00F4536C">
            <w:pPr>
              <w:pStyle w:val="ARtablesubhead"/>
            </w:pPr>
            <w:r w:rsidRPr="002029AF">
              <w:t>Victorians participate in and contribute to the economy and have financial security</w:t>
            </w:r>
          </w:p>
        </w:tc>
      </w:tr>
      <w:tr w:rsidR="006E2BC8" w:rsidRPr="002029AF" w14:paraId="0AA0AF1C" w14:textId="77777777" w:rsidTr="00F4536C">
        <w:trPr>
          <w:gridAfter w:val="1"/>
          <w:wAfter w:w="60" w:type="dxa"/>
          <w:cantSplit/>
          <w:trHeight w:val="404"/>
        </w:trPr>
        <w:tc>
          <w:tcPr>
            <w:tcW w:w="5943" w:type="dxa"/>
            <w:tcBorders>
              <w:top w:val="single" w:sz="4" w:space="0" w:color="auto"/>
              <w:left w:val="single" w:sz="4" w:space="0" w:color="FFFFFF"/>
              <w:bottom w:val="single" w:sz="4" w:space="0" w:color="BFBFBF"/>
              <w:right w:val="single" w:sz="4" w:space="0" w:color="FFFFFF"/>
            </w:tcBorders>
            <w:hideMark/>
          </w:tcPr>
          <w:p w14:paraId="436F2512" w14:textId="77777777" w:rsidR="006E2BC8" w:rsidRPr="002029AF" w:rsidRDefault="006E2BC8" w:rsidP="00F4536C">
            <w:pPr>
              <w:pStyle w:val="ARtabletext"/>
              <w:rPr>
                <w:i/>
              </w:rPr>
            </w:pPr>
            <w:r w:rsidRPr="002029AF">
              <w:t>Funded postgraduate nursing and midwifery places at diploma and certificate level</w:t>
            </w:r>
          </w:p>
        </w:tc>
        <w:tc>
          <w:tcPr>
            <w:tcW w:w="939" w:type="dxa"/>
            <w:tcBorders>
              <w:top w:val="single" w:sz="4" w:space="0" w:color="auto"/>
              <w:left w:val="single" w:sz="4" w:space="0" w:color="FFFFFF"/>
              <w:bottom w:val="single" w:sz="4" w:space="0" w:color="BFBFBF"/>
              <w:right w:val="single" w:sz="4" w:space="0" w:color="FFFFFF"/>
            </w:tcBorders>
            <w:hideMark/>
          </w:tcPr>
          <w:p w14:paraId="19EDED92" w14:textId="77777777" w:rsidR="006E2BC8" w:rsidRPr="002029AF" w:rsidRDefault="006E2BC8" w:rsidP="00F4536C">
            <w:pPr>
              <w:pStyle w:val="ARtabletext"/>
            </w:pPr>
            <w:r w:rsidRPr="002029AF">
              <w:t>832</w:t>
            </w:r>
          </w:p>
        </w:tc>
        <w:tc>
          <w:tcPr>
            <w:tcW w:w="939" w:type="dxa"/>
            <w:tcBorders>
              <w:top w:val="single" w:sz="4" w:space="0" w:color="auto"/>
              <w:left w:val="single" w:sz="4" w:space="0" w:color="FFFFFF"/>
              <w:bottom w:val="single" w:sz="4" w:space="0" w:color="BFBFBF"/>
              <w:right w:val="single" w:sz="4" w:space="0" w:color="FFFFFF"/>
            </w:tcBorders>
            <w:hideMark/>
          </w:tcPr>
          <w:p w14:paraId="57BFBF32" w14:textId="77777777" w:rsidR="006E2BC8" w:rsidRPr="002029AF" w:rsidRDefault="006E2BC8" w:rsidP="00F4536C">
            <w:pPr>
              <w:pStyle w:val="ARtabletext"/>
            </w:pPr>
            <w:r w:rsidRPr="002029AF">
              <w:t>832</w:t>
            </w:r>
          </w:p>
        </w:tc>
        <w:tc>
          <w:tcPr>
            <w:tcW w:w="879" w:type="dxa"/>
            <w:tcBorders>
              <w:top w:val="single" w:sz="4" w:space="0" w:color="auto"/>
              <w:left w:val="single" w:sz="4" w:space="0" w:color="FFFFFF"/>
              <w:bottom w:val="single" w:sz="4" w:space="0" w:color="BFBFBF"/>
              <w:right w:val="single" w:sz="4" w:space="0" w:color="FFFFFF"/>
            </w:tcBorders>
            <w:hideMark/>
          </w:tcPr>
          <w:p w14:paraId="7216D41A" w14:textId="77777777" w:rsidR="006E2BC8" w:rsidRPr="002029AF" w:rsidRDefault="006E2BC8" w:rsidP="00F4536C">
            <w:pPr>
              <w:pStyle w:val="ARtabletext"/>
            </w:pPr>
            <w:r w:rsidRPr="002029AF">
              <w:t>865</w:t>
            </w:r>
          </w:p>
        </w:tc>
        <w:tc>
          <w:tcPr>
            <w:tcW w:w="879" w:type="dxa"/>
            <w:tcBorders>
              <w:top w:val="single" w:sz="4" w:space="0" w:color="auto"/>
              <w:left w:val="single" w:sz="4" w:space="0" w:color="FFFFFF"/>
              <w:bottom w:val="single" w:sz="4" w:space="0" w:color="BFBFBF"/>
              <w:right w:val="single" w:sz="4" w:space="0" w:color="FFFFFF"/>
            </w:tcBorders>
          </w:tcPr>
          <w:p w14:paraId="70D3DBB5" w14:textId="77777777" w:rsidR="006E2BC8" w:rsidRPr="002029AF" w:rsidRDefault="006E2BC8" w:rsidP="00F4536C">
            <w:pPr>
              <w:pStyle w:val="ARtabletext"/>
            </w:pPr>
            <w:r w:rsidRPr="002029AF">
              <w:t>1077</w:t>
            </w:r>
            <w:r w:rsidRPr="002029AF">
              <w:rPr>
                <w:rStyle w:val="Superscript"/>
              </w:rPr>
              <w:t>E</w:t>
            </w:r>
            <w:r w:rsidRPr="00F70C03">
              <w:footnoteReference w:id="8"/>
            </w:r>
          </w:p>
        </w:tc>
      </w:tr>
      <w:tr w:rsidR="006E2BC8" w:rsidRPr="002029AF" w14:paraId="11CA5B48" w14:textId="77777777" w:rsidTr="00F4536C">
        <w:trPr>
          <w:gridAfter w:val="1"/>
          <w:wAfter w:w="60" w:type="dxa"/>
          <w:cantSplit/>
        </w:trPr>
        <w:tc>
          <w:tcPr>
            <w:tcW w:w="5943" w:type="dxa"/>
            <w:tcBorders>
              <w:top w:val="single" w:sz="4" w:space="0" w:color="BFBFBF"/>
              <w:left w:val="single" w:sz="4" w:space="0" w:color="FFFFFF"/>
              <w:bottom w:val="single" w:sz="4" w:space="0" w:color="FFFFFF"/>
              <w:right w:val="single" w:sz="4" w:space="0" w:color="FFFFFF"/>
            </w:tcBorders>
            <w:hideMark/>
          </w:tcPr>
          <w:p w14:paraId="516A7E7E" w14:textId="77777777" w:rsidR="006E2BC8" w:rsidRPr="002029AF" w:rsidRDefault="006E2BC8" w:rsidP="00F4536C">
            <w:pPr>
              <w:pStyle w:val="ARtabletext"/>
              <w:rPr>
                <w:i/>
              </w:rPr>
            </w:pPr>
            <w:r w:rsidRPr="002029AF">
              <w:t xml:space="preserve">Total funded FTE (early graduate) allied health positions in </w:t>
            </w:r>
            <w:r w:rsidRPr="002029AF">
              <w:br/>
              <w:t>public system</w:t>
            </w:r>
          </w:p>
        </w:tc>
        <w:tc>
          <w:tcPr>
            <w:tcW w:w="939" w:type="dxa"/>
            <w:tcBorders>
              <w:top w:val="single" w:sz="4" w:space="0" w:color="BFBFBF"/>
              <w:left w:val="single" w:sz="4" w:space="0" w:color="FFFFFF"/>
              <w:bottom w:val="single" w:sz="4" w:space="0" w:color="FFFFFF"/>
              <w:right w:val="single" w:sz="4" w:space="0" w:color="FFFFFF"/>
            </w:tcBorders>
            <w:hideMark/>
          </w:tcPr>
          <w:p w14:paraId="7D837FE3" w14:textId="77777777" w:rsidR="006E2BC8" w:rsidRPr="002029AF" w:rsidRDefault="006E2BC8" w:rsidP="00F4536C">
            <w:pPr>
              <w:pStyle w:val="ARtabletext"/>
            </w:pPr>
            <w:r w:rsidRPr="002029AF">
              <w:t>670</w:t>
            </w:r>
          </w:p>
        </w:tc>
        <w:tc>
          <w:tcPr>
            <w:tcW w:w="939" w:type="dxa"/>
            <w:tcBorders>
              <w:top w:val="single" w:sz="4" w:space="0" w:color="BFBFBF"/>
              <w:left w:val="single" w:sz="4" w:space="0" w:color="FFFFFF"/>
              <w:bottom w:val="single" w:sz="4" w:space="0" w:color="FFFFFF"/>
              <w:right w:val="single" w:sz="4" w:space="0" w:color="FFFFFF"/>
            </w:tcBorders>
            <w:hideMark/>
          </w:tcPr>
          <w:p w14:paraId="38CE18AF" w14:textId="77777777" w:rsidR="006E2BC8" w:rsidRPr="002029AF" w:rsidRDefault="006E2BC8" w:rsidP="00F4536C">
            <w:pPr>
              <w:pStyle w:val="ARtabletext"/>
            </w:pPr>
            <w:r w:rsidRPr="002029AF">
              <w:t>700</w:t>
            </w:r>
          </w:p>
        </w:tc>
        <w:tc>
          <w:tcPr>
            <w:tcW w:w="879" w:type="dxa"/>
            <w:tcBorders>
              <w:top w:val="single" w:sz="4" w:space="0" w:color="BFBFBF"/>
              <w:left w:val="single" w:sz="4" w:space="0" w:color="FFFFFF"/>
              <w:bottom w:val="single" w:sz="4" w:space="0" w:color="FFFFFF"/>
              <w:right w:val="single" w:sz="4" w:space="0" w:color="FFFFFF"/>
            </w:tcBorders>
            <w:hideMark/>
          </w:tcPr>
          <w:p w14:paraId="5595B6BB" w14:textId="77777777" w:rsidR="006E2BC8" w:rsidRPr="002029AF" w:rsidRDefault="006E2BC8" w:rsidP="00F4536C">
            <w:pPr>
              <w:pStyle w:val="ARtabletext"/>
            </w:pPr>
            <w:r w:rsidRPr="002029AF">
              <w:t>745</w:t>
            </w:r>
          </w:p>
        </w:tc>
        <w:tc>
          <w:tcPr>
            <w:tcW w:w="879" w:type="dxa"/>
            <w:tcBorders>
              <w:top w:val="single" w:sz="4" w:space="0" w:color="BFBFBF"/>
              <w:left w:val="single" w:sz="4" w:space="0" w:color="FFFFFF"/>
              <w:bottom w:val="single" w:sz="4" w:space="0" w:color="FFFFFF"/>
              <w:right w:val="single" w:sz="4" w:space="0" w:color="FFFFFF"/>
            </w:tcBorders>
          </w:tcPr>
          <w:p w14:paraId="6B9016DF" w14:textId="77777777" w:rsidR="006E2BC8" w:rsidRPr="002029AF" w:rsidRDefault="006E2BC8" w:rsidP="00F4536C">
            <w:pPr>
              <w:pStyle w:val="ARtabletext"/>
            </w:pPr>
            <w:r w:rsidRPr="002029AF">
              <w:t>691</w:t>
            </w:r>
            <w:r w:rsidRPr="002029AF">
              <w:rPr>
                <w:rStyle w:val="Superscript"/>
              </w:rPr>
              <w:t>E</w:t>
            </w:r>
          </w:p>
        </w:tc>
      </w:tr>
      <w:tr w:rsidR="006E2BC8" w:rsidRPr="002029AF" w14:paraId="36F9A4CC" w14:textId="77777777" w:rsidTr="00F4536C">
        <w:trPr>
          <w:gridAfter w:val="1"/>
          <w:wAfter w:w="60" w:type="dxa"/>
          <w:cantSplit/>
        </w:trPr>
        <w:tc>
          <w:tcPr>
            <w:tcW w:w="5943" w:type="dxa"/>
            <w:tcBorders>
              <w:top w:val="single" w:sz="4" w:space="0" w:color="BFBFBF"/>
              <w:left w:val="single" w:sz="4" w:space="0" w:color="FFFFFF"/>
              <w:bottom w:val="single" w:sz="4" w:space="0" w:color="FFFFFF"/>
              <w:right w:val="single" w:sz="4" w:space="0" w:color="FFFFFF"/>
            </w:tcBorders>
            <w:hideMark/>
          </w:tcPr>
          <w:p w14:paraId="1B1C8CC9" w14:textId="77777777" w:rsidR="006E2BC8" w:rsidRPr="002029AF" w:rsidRDefault="006E2BC8" w:rsidP="00F4536C">
            <w:pPr>
              <w:pStyle w:val="ARtabletext"/>
              <w:rPr>
                <w:i/>
              </w:rPr>
            </w:pPr>
            <w:r w:rsidRPr="002029AF">
              <w:t xml:space="preserve">Total funded FTE (early graduate) medical positions in </w:t>
            </w:r>
            <w:r w:rsidRPr="002029AF">
              <w:br/>
              <w:t>public system</w:t>
            </w:r>
          </w:p>
        </w:tc>
        <w:tc>
          <w:tcPr>
            <w:tcW w:w="939" w:type="dxa"/>
            <w:tcBorders>
              <w:top w:val="single" w:sz="4" w:space="0" w:color="BFBFBF"/>
              <w:left w:val="single" w:sz="4" w:space="0" w:color="FFFFFF"/>
              <w:bottom w:val="single" w:sz="4" w:space="0" w:color="FFFFFF"/>
              <w:right w:val="single" w:sz="4" w:space="0" w:color="FFFFFF"/>
            </w:tcBorders>
            <w:hideMark/>
          </w:tcPr>
          <w:p w14:paraId="3151B444" w14:textId="77777777" w:rsidR="006E2BC8" w:rsidRPr="002029AF" w:rsidRDefault="006E2BC8" w:rsidP="00F4536C">
            <w:pPr>
              <w:pStyle w:val="ARtabletext"/>
            </w:pPr>
            <w:r w:rsidRPr="002029AF">
              <w:t>1,525</w:t>
            </w:r>
          </w:p>
        </w:tc>
        <w:tc>
          <w:tcPr>
            <w:tcW w:w="939" w:type="dxa"/>
            <w:tcBorders>
              <w:top w:val="single" w:sz="4" w:space="0" w:color="BFBFBF"/>
              <w:left w:val="single" w:sz="4" w:space="0" w:color="FFFFFF"/>
              <w:bottom w:val="single" w:sz="4" w:space="0" w:color="FFFFFF"/>
              <w:right w:val="single" w:sz="4" w:space="0" w:color="FFFFFF"/>
            </w:tcBorders>
            <w:hideMark/>
          </w:tcPr>
          <w:p w14:paraId="267D65DA" w14:textId="77777777" w:rsidR="006E2BC8" w:rsidRPr="002029AF" w:rsidRDefault="006E2BC8" w:rsidP="00F4536C">
            <w:pPr>
              <w:pStyle w:val="ARtabletext"/>
            </w:pPr>
            <w:r w:rsidRPr="002029AF">
              <w:t>1,525</w:t>
            </w:r>
          </w:p>
        </w:tc>
        <w:tc>
          <w:tcPr>
            <w:tcW w:w="879" w:type="dxa"/>
            <w:tcBorders>
              <w:top w:val="single" w:sz="4" w:space="0" w:color="BFBFBF"/>
              <w:left w:val="single" w:sz="4" w:space="0" w:color="FFFFFF"/>
              <w:bottom w:val="single" w:sz="4" w:space="0" w:color="FFFFFF"/>
              <w:right w:val="single" w:sz="4" w:space="0" w:color="FFFFFF"/>
            </w:tcBorders>
            <w:hideMark/>
          </w:tcPr>
          <w:p w14:paraId="33B92B2C" w14:textId="77777777" w:rsidR="006E2BC8" w:rsidRPr="002029AF" w:rsidRDefault="006E2BC8" w:rsidP="00F4536C">
            <w:pPr>
              <w:pStyle w:val="ARtabletext"/>
            </w:pPr>
            <w:r w:rsidRPr="002029AF">
              <w:t>1,525</w:t>
            </w:r>
          </w:p>
        </w:tc>
        <w:tc>
          <w:tcPr>
            <w:tcW w:w="879" w:type="dxa"/>
            <w:tcBorders>
              <w:top w:val="single" w:sz="4" w:space="0" w:color="BFBFBF"/>
              <w:left w:val="single" w:sz="4" w:space="0" w:color="FFFFFF"/>
              <w:bottom w:val="single" w:sz="4" w:space="0" w:color="FFFFFF"/>
              <w:right w:val="single" w:sz="4" w:space="0" w:color="FFFFFF"/>
            </w:tcBorders>
          </w:tcPr>
          <w:p w14:paraId="61B9FBB1" w14:textId="77777777" w:rsidR="006E2BC8" w:rsidRPr="002029AF" w:rsidRDefault="006E2BC8" w:rsidP="00F4536C">
            <w:pPr>
              <w:pStyle w:val="ARtabletext"/>
            </w:pPr>
            <w:r w:rsidRPr="002029AF">
              <w:t>1,525</w:t>
            </w:r>
            <w:r w:rsidRPr="002029AF">
              <w:rPr>
                <w:rStyle w:val="Superscript"/>
              </w:rPr>
              <w:t>E</w:t>
            </w:r>
          </w:p>
        </w:tc>
      </w:tr>
      <w:tr w:rsidR="006E2BC8" w:rsidRPr="002029AF" w14:paraId="4EA02F66" w14:textId="77777777" w:rsidTr="00F4536C">
        <w:trPr>
          <w:gridAfter w:val="1"/>
          <w:wAfter w:w="60" w:type="dxa"/>
          <w:cantSplit/>
        </w:trPr>
        <w:tc>
          <w:tcPr>
            <w:tcW w:w="5943" w:type="dxa"/>
            <w:tcBorders>
              <w:top w:val="single" w:sz="4" w:space="0" w:color="BFBFBF"/>
              <w:left w:val="single" w:sz="4" w:space="0" w:color="FFFFFF"/>
              <w:bottom w:val="single" w:sz="4" w:space="0" w:color="FFFFFF"/>
              <w:right w:val="single" w:sz="4" w:space="0" w:color="FFFFFF"/>
            </w:tcBorders>
            <w:hideMark/>
          </w:tcPr>
          <w:p w14:paraId="2233E460" w14:textId="77777777" w:rsidR="006E2BC8" w:rsidRPr="002029AF" w:rsidRDefault="006E2BC8" w:rsidP="00F4536C">
            <w:pPr>
              <w:pStyle w:val="ARtabletext"/>
              <w:rPr>
                <w:i/>
              </w:rPr>
            </w:pPr>
            <w:r w:rsidRPr="002029AF">
              <w:t xml:space="preserve">Total funded FTE (early graduate) nursing and midwifery positions </w:t>
            </w:r>
            <w:r w:rsidRPr="002029AF">
              <w:br/>
              <w:t>in public system</w:t>
            </w:r>
          </w:p>
        </w:tc>
        <w:tc>
          <w:tcPr>
            <w:tcW w:w="939" w:type="dxa"/>
            <w:tcBorders>
              <w:top w:val="single" w:sz="4" w:space="0" w:color="BFBFBF"/>
              <w:left w:val="single" w:sz="4" w:space="0" w:color="FFFFFF"/>
              <w:bottom w:val="single" w:sz="4" w:space="0" w:color="FFFFFF"/>
              <w:right w:val="single" w:sz="4" w:space="0" w:color="FFFFFF"/>
            </w:tcBorders>
            <w:hideMark/>
          </w:tcPr>
          <w:p w14:paraId="3BCD0E8B" w14:textId="77777777" w:rsidR="006E2BC8" w:rsidRPr="002029AF" w:rsidRDefault="006E2BC8" w:rsidP="00F4536C">
            <w:pPr>
              <w:pStyle w:val="ARtabletext"/>
            </w:pPr>
            <w:r w:rsidRPr="002029AF">
              <w:t>1,591</w:t>
            </w:r>
          </w:p>
        </w:tc>
        <w:tc>
          <w:tcPr>
            <w:tcW w:w="939" w:type="dxa"/>
            <w:tcBorders>
              <w:top w:val="single" w:sz="4" w:space="0" w:color="BFBFBF"/>
              <w:left w:val="single" w:sz="4" w:space="0" w:color="FFFFFF"/>
              <w:bottom w:val="single" w:sz="4" w:space="0" w:color="FFFFFF"/>
              <w:right w:val="single" w:sz="4" w:space="0" w:color="FFFFFF"/>
            </w:tcBorders>
            <w:hideMark/>
          </w:tcPr>
          <w:p w14:paraId="44B3B1E7" w14:textId="77777777" w:rsidR="006E2BC8" w:rsidRPr="002029AF" w:rsidRDefault="006E2BC8" w:rsidP="00F4536C">
            <w:pPr>
              <w:pStyle w:val="ARtabletext"/>
            </w:pPr>
            <w:r w:rsidRPr="002029AF">
              <w:t>1,591</w:t>
            </w:r>
          </w:p>
        </w:tc>
        <w:tc>
          <w:tcPr>
            <w:tcW w:w="879" w:type="dxa"/>
            <w:tcBorders>
              <w:top w:val="single" w:sz="4" w:space="0" w:color="BFBFBF"/>
              <w:left w:val="single" w:sz="4" w:space="0" w:color="FFFFFF"/>
              <w:bottom w:val="single" w:sz="4" w:space="0" w:color="FFFFFF"/>
              <w:right w:val="single" w:sz="4" w:space="0" w:color="FFFFFF"/>
            </w:tcBorders>
            <w:hideMark/>
          </w:tcPr>
          <w:p w14:paraId="3CBCC8BB" w14:textId="77777777" w:rsidR="006E2BC8" w:rsidRPr="002029AF" w:rsidRDefault="006E2BC8" w:rsidP="00F4536C">
            <w:pPr>
              <w:pStyle w:val="ARtabletext"/>
            </w:pPr>
            <w:r w:rsidRPr="002029AF">
              <w:t>1,618</w:t>
            </w:r>
          </w:p>
        </w:tc>
        <w:tc>
          <w:tcPr>
            <w:tcW w:w="879" w:type="dxa"/>
            <w:tcBorders>
              <w:top w:val="single" w:sz="4" w:space="0" w:color="BFBFBF"/>
              <w:left w:val="single" w:sz="4" w:space="0" w:color="FFFFFF"/>
              <w:bottom w:val="single" w:sz="4" w:space="0" w:color="FFFFFF"/>
              <w:right w:val="single" w:sz="4" w:space="0" w:color="FFFFFF"/>
            </w:tcBorders>
          </w:tcPr>
          <w:p w14:paraId="316D714C" w14:textId="77777777" w:rsidR="006E2BC8" w:rsidRPr="002029AF" w:rsidRDefault="006E2BC8" w:rsidP="00F4536C">
            <w:pPr>
              <w:pStyle w:val="ARtabletext"/>
            </w:pPr>
            <w:r w:rsidRPr="002029AF">
              <w:t>1,956</w:t>
            </w:r>
            <w:r w:rsidRPr="002029AF">
              <w:rPr>
                <w:rStyle w:val="Superscript"/>
              </w:rPr>
              <w:t>E</w:t>
            </w:r>
          </w:p>
        </w:tc>
      </w:tr>
      <w:tr w:rsidR="006E2BC8" w:rsidRPr="002029AF" w14:paraId="5773C5B7" w14:textId="77777777" w:rsidTr="00F4536C">
        <w:trPr>
          <w:gridAfter w:val="1"/>
          <w:wAfter w:w="60" w:type="dxa"/>
          <w:cantSplit/>
        </w:trPr>
        <w:tc>
          <w:tcPr>
            <w:tcW w:w="5943" w:type="dxa"/>
            <w:tcBorders>
              <w:top w:val="single" w:sz="4" w:space="0" w:color="BFBFBF"/>
              <w:left w:val="single" w:sz="4" w:space="0" w:color="FFFFFF"/>
              <w:bottom w:val="single" w:sz="4" w:space="0" w:color="FFFFFF"/>
              <w:right w:val="single" w:sz="4" w:space="0" w:color="FFFFFF"/>
            </w:tcBorders>
            <w:hideMark/>
          </w:tcPr>
          <w:p w14:paraId="72473E22" w14:textId="77777777" w:rsidR="006E2BC8" w:rsidRPr="002029AF" w:rsidRDefault="006E2BC8" w:rsidP="00F4536C">
            <w:pPr>
              <w:pStyle w:val="ARtabletext"/>
              <w:rPr>
                <w:i/>
              </w:rPr>
            </w:pPr>
            <w:r w:rsidRPr="002029AF">
              <w:t xml:space="preserve">Number of bonds issued to low income Victorians to assist access </w:t>
            </w:r>
            <w:r w:rsidRPr="002029AF">
              <w:br/>
              <w:t>to the private rental market</w:t>
            </w:r>
          </w:p>
        </w:tc>
        <w:tc>
          <w:tcPr>
            <w:tcW w:w="939" w:type="dxa"/>
            <w:tcBorders>
              <w:top w:val="single" w:sz="4" w:space="0" w:color="BFBFBF"/>
              <w:left w:val="single" w:sz="4" w:space="0" w:color="FFFFFF"/>
              <w:bottom w:val="single" w:sz="4" w:space="0" w:color="FFFFFF"/>
              <w:right w:val="single" w:sz="4" w:space="0" w:color="FFFFFF"/>
            </w:tcBorders>
            <w:hideMark/>
          </w:tcPr>
          <w:p w14:paraId="322795A3" w14:textId="77777777" w:rsidR="006E2BC8" w:rsidRPr="002029AF" w:rsidRDefault="006E2BC8" w:rsidP="00F4536C">
            <w:pPr>
              <w:pStyle w:val="ARtabletext"/>
            </w:pPr>
            <w:r w:rsidRPr="002029AF">
              <w:t>11,584</w:t>
            </w:r>
          </w:p>
        </w:tc>
        <w:tc>
          <w:tcPr>
            <w:tcW w:w="939" w:type="dxa"/>
            <w:tcBorders>
              <w:top w:val="single" w:sz="4" w:space="0" w:color="BFBFBF"/>
              <w:left w:val="single" w:sz="4" w:space="0" w:color="FFFFFF"/>
              <w:bottom w:val="single" w:sz="4" w:space="0" w:color="FFFFFF"/>
              <w:right w:val="single" w:sz="4" w:space="0" w:color="FFFFFF"/>
            </w:tcBorders>
            <w:hideMark/>
          </w:tcPr>
          <w:p w14:paraId="33A46EA6" w14:textId="77777777" w:rsidR="006E2BC8" w:rsidRPr="002029AF" w:rsidRDefault="006E2BC8" w:rsidP="00F4536C">
            <w:pPr>
              <w:pStyle w:val="ARtabletext"/>
            </w:pPr>
            <w:r w:rsidRPr="002029AF">
              <w:t xml:space="preserve">9,321 </w:t>
            </w:r>
          </w:p>
        </w:tc>
        <w:tc>
          <w:tcPr>
            <w:tcW w:w="879" w:type="dxa"/>
            <w:tcBorders>
              <w:top w:val="single" w:sz="4" w:space="0" w:color="BFBFBF"/>
              <w:left w:val="single" w:sz="4" w:space="0" w:color="FFFFFF"/>
              <w:bottom w:val="single" w:sz="4" w:space="0" w:color="FFFFFF"/>
              <w:right w:val="single" w:sz="4" w:space="0" w:color="FFFFFF"/>
            </w:tcBorders>
            <w:hideMark/>
          </w:tcPr>
          <w:p w14:paraId="4635A761" w14:textId="77777777" w:rsidR="006E2BC8" w:rsidRPr="002029AF" w:rsidRDefault="006E2BC8" w:rsidP="00F4536C">
            <w:pPr>
              <w:pStyle w:val="ARtabletext"/>
            </w:pPr>
            <w:r w:rsidRPr="002029AF">
              <w:t>8,754</w:t>
            </w:r>
          </w:p>
        </w:tc>
        <w:tc>
          <w:tcPr>
            <w:tcW w:w="879" w:type="dxa"/>
            <w:tcBorders>
              <w:top w:val="single" w:sz="4" w:space="0" w:color="BFBFBF"/>
              <w:left w:val="single" w:sz="4" w:space="0" w:color="FFFFFF"/>
              <w:bottom w:val="single" w:sz="4" w:space="0" w:color="FFFFFF"/>
              <w:right w:val="single" w:sz="4" w:space="0" w:color="FFFFFF"/>
            </w:tcBorders>
          </w:tcPr>
          <w:p w14:paraId="1362FC3F" w14:textId="77777777" w:rsidR="006E2BC8" w:rsidRPr="002029AF" w:rsidRDefault="006E2BC8" w:rsidP="00F4536C">
            <w:pPr>
              <w:pStyle w:val="ARtabletext"/>
            </w:pPr>
            <w:r w:rsidRPr="002029AF">
              <w:t>9,256</w:t>
            </w:r>
            <w:r w:rsidRPr="002029AF">
              <w:rPr>
                <w:rStyle w:val="Superscript"/>
              </w:rPr>
              <w:t>E</w:t>
            </w:r>
          </w:p>
        </w:tc>
      </w:tr>
      <w:tr w:rsidR="006E2BC8" w:rsidRPr="002029AF" w14:paraId="13A591BC" w14:textId="77777777" w:rsidTr="00F4536C">
        <w:trPr>
          <w:cantSplit/>
        </w:trPr>
        <w:tc>
          <w:tcPr>
            <w:tcW w:w="9639" w:type="dxa"/>
            <w:gridSpan w:val="6"/>
            <w:tcBorders>
              <w:top w:val="single" w:sz="4" w:space="0" w:color="BFBFBF"/>
              <w:left w:val="single" w:sz="4" w:space="0" w:color="FFFFFF"/>
              <w:bottom w:val="single" w:sz="4" w:space="0" w:color="auto"/>
              <w:right w:val="single" w:sz="4" w:space="0" w:color="FFFFFF"/>
            </w:tcBorders>
            <w:hideMark/>
          </w:tcPr>
          <w:p w14:paraId="0F74EC9A" w14:textId="77777777" w:rsidR="006E2BC8" w:rsidRPr="002029AF" w:rsidRDefault="006E2BC8" w:rsidP="00F4536C">
            <w:pPr>
              <w:pStyle w:val="ARtablefootnote"/>
            </w:pPr>
            <w:r w:rsidRPr="002029AF">
              <w:rPr>
                <w:rFonts w:eastAsia="Times"/>
                <w:lang w:eastAsia="en-AU"/>
              </w:rPr>
              <w:t>Source: Internal departmental data</w:t>
            </w:r>
          </w:p>
        </w:tc>
      </w:tr>
    </w:tbl>
    <w:p w14:paraId="4F1C684E" w14:textId="05E402D3" w:rsidR="00603E4B" w:rsidRPr="002029AF" w:rsidRDefault="00603E4B" w:rsidP="00603E4B">
      <w:pPr>
        <w:pStyle w:val="ARtablefootnote"/>
      </w:pPr>
      <w:r w:rsidRPr="002029AF">
        <w:t>The department is committed to measuring outcomes for all indicators set out in the Victorian budget papers. Further work is needed to test and validate measures to ensure departmental initiatives and policies are reflected by the performance indicators. As the outcomes approaches in the department mature, reporting will be provided against outcome measures and will inform the reporting of performance indicators.</w:t>
      </w:r>
    </w:p>
    <w:p w14:paraId="0FDA631D" w14:textId="77777777" w:rsidR="00603E4B" w:rsidRPr="002029AF" w:rsidRDefault="00603E4B" w:rsidP="00603E4B">
      <w:pPr>
        <w:pStyle w:val="ARbody"/>
      </w:pPr>
      <w:r w:rsidRPr="002029AF">
        <w:br w:type="page"/>
      </w:r>
    </w:p>
    <w:p w14:paraId="4818FCCB" w14:textId="77777777" w:rsidR="00603E4B" w:rsidRPr="002029AF" w:rsidRDefault="00603E4B" w:rsidP="000A18C8">
      <w:pPr>
        <w:pStyle w:val="Heading3larger"/>
      </w:pPr>
      <w:r w:rsidRPr="002029AF">
        <w:lastRenderedPageBreak/>
        <w:t>Objective 4: Victorians are connected to culture and community</w:t>
      </w:r>
      <w:bookmarkEnd w:id="44"/>
    </w:p>
    <w:bookmarkEnd w:id="43"/>
    <w:p w14:paraId="01A6C680" w14:textId="77777777" w:rsidR="00603E4B" w:rsidRPr="002029AF" w:rsidRDefault="00603E4B" w:rsidP="00603E4B">
      <w:pPr>
        <w:pStyle w:val="ARintro"/>
      </w:pPr>
      <w:r w:rsidRPr="002029AF">
        <w:t>This objective seeks to enable Victorians to have inclusive communities where people feel a sense of belonging, are free of discrimination and stigma, and receive services they are entitled to and that meet their individual needs.</w:t>
      </w:r>
    </w:p>
    <w:p w14:paraId="7619CC4D" w14:textId="77777777" w:rsidR="00603E4B" w:rsidRPr="002029AF" w:rsidRDefault="00603E4B" w:rsidP="00603E4B">
      <w:pPr>
        <w:pStyle w:val="ARintro"/>
      </w:pPr>
      <w:r w:rsidRPr="002029AF">
        <w:t>By linking individuals and families to community resources we can ensure that people can safely identify and connect with their culture and identity.</w:t>
      </w:r>
    </w:p>
    <w:p w14:paraId="56BFA1D4" w14:textId="77777777" w:rsidR="00603E4B" w:rsidRPr="002029AF" w:rsidRDefault="00603E4B" w:rsidP="00603E4B">
      <w:pPr>
        <w:pStyle w:val="ARintro"/>
      </w:pPr>
      <w:r w:rsidRPr="002029AF">
        <w:t>Close personal and social networks, social inclusion and participation, and connection to culture, identity and community can all lead to better health and wellbeing outcomes. The benefits of respectful relationships and the opportunities for meaningful involvement in community life provide foundations for Victorians to effectively deal with everyday life.</w:t>
      </w:r>
    </w:p>
    <w:p w14:paraId="10B03123" w14:textId="77777777" w:rsidR="00603E4B" w:rsidRPr="002029AF" w:rsidRDefault="00603E4B" w:rsidP="00603E4B">
      <w:pPr>
        <w:pStyle w:val="ARintro"/>
      </w:pPr>
      <w:r w:rsidRPr="002029AF">
        <w:t>For Aboriginal Victorians, connection to Country can relate to all aspects of existence and requires a strong commitment to advancing Aboriginal self-determination.</w:t>
      </w:r>
    </w:p>
    <w:p w14:paraId="5259CD80" w14:textId="4DCE5333" w:rsidR="00603E4B" w:rsidRPr="002029AF" w:rsidRDefault="00603E4B" w:rsidP="00603E4B">
      <w:pPr>
        <w:pStyle w:val="ARintro"/>
      </w:pPr>
      <w:r w:rsidRPr="002029AF">
        <w:t>For all Victorians, having a say in the services they use is vital. In partnership with local communities, families and individuals, the department aims to design services and supports that</w:t>
      </w:r>
      <w:r w:rsidR="003C6F78">
        <w:t> </w:t>
      </w:r>
      <w:r w:rsidRPr="002029AF">
        <w:t>put the person’s voice at the centre, driving program and service design.</w:t>
      </w:r>
    </w:p>
    <w:p w14:paraId="5A2D93C5" w14:textId="77777777" w:rsidR="00603E4B" w:rsidRPr="002029AF" w:rsidRDefault="00603E4B" w:rsidP="00603E4B">
      <w:pPr>
        <w:pStyle w:val="ARintro"/>
      </w:pPr>
      <w:r w:rsidRPr="002029AF">
        <w:t>The key outcomes we are working towards are:</w:t>
      </w:r>
    </w:p>
    <w:p w14:paraId="218AD877" w14:textId="77777777" w:rsidR="00603E4B" w:rsidRPr="002029AF" w:rsidRDefault="00603E4B" w:rsidP="00603E4B">
      <w:pPr>
        <w:pStyle w:val="ARintrobullet"/>
      </w:pPr>
      <w:r w:rsidRPr="002029AF">
        <w:t>Victorians are socially engaged and live in inclusive communities</w:t>
      </w:r>
    </w:p>
    <w:p w14:paraId="669F1649" w14:textId="640EE82D" w:rsidR="00603E4B" w:rsidRPr="002029AF" w:rsidRDefault="00603E4B" w:rsidP="00603E4B">
      <w:pPr>
        <w:pStyle w:val="ARintrobullet"/>
      </w:pPr>
      <w:r w:rsidRPr="002029AF">
        <w:t>Victorians can safely identify and connect with their culture and identity, with their health and</w:t>
      </w:r>
      <w:r w:rsidR="003C6F78">
        <w:t> </w:t>
      </w:r>
      <w:r w:rsidRPr="002029AF">
        <w:t>wellbeing advanced through self-determination.</w:t>
      </w:r>
    </w:p>
    <w:p w14:paraId="0026CC2F" w14:textId="77777777" w:rsidR="00603E4B" w:rsidRPr="002029AF" w:rsidRDefault="00603E4B" w:rsidP="00603E4B">
      <w:pPr>
        <w:pStyle w:val="ARbody"/>
      </w:pPr>
    </w:p>
    <w:p w14:paraId="6B73DC7F" w14:textId="77777777" w:rsidR="00603E4B" w:rsidRPr="002029AF" w:rsidRDefault="00603E4B" w:rsidP="00603E4B">
      <w:pPr>
        <w:pStyle w:val="ARbody"/>
        <w:sectPr w:rsidR="00603E4B" w:rsidRPr="002029AF" w:rsidSect="00B45A1D">
          <w:footnotePr>
            <w:numFmt w:val="chicago"/>
            <w:numRestart w:val="eachPage"/>
          </w:footnotePr>
          <w:endnotePr>
            <w:numFmt w:val="decimal"/>
          </w:endnotePr>
          <w:type w:val="continuous"/>
          <w:pgSz w:w="11900" w:h="16840" w:code="9"/>
          <w:pgMar w:top="1985" w:right="851" w:bottom="851" w:left="1418" w:header="510" w:footer="340" w:gutter="0"/>
          <w:cols w:space="454"/>
          <w15:footnoteColumns w:val="1"/>
        </w:sectPr>
      </w:pPr>
    </w:p>
    <w:p w14:paraId="56DEE188" w14:textId="77777777" w:rsidR="00603E4B" w:rsidRPr="002029AF" w:rsidRDefault="00603E4B" w:rsidP="00603E4B">
      <w:pPr>
        <w:pStyle w:val="Heading4"/>
      </w:pPr>
      <w:r w:rsidRPr="002029AF">
        <w:t>Outcome 4.1: Victorians are socially engaged and live in inclusive communities</w:t>
      </w:r>
    </w:p>
    <w:p w14:paraId="3F7F0E20" w14:textId="03F2F852" w:rsidR="00603E4B" w:rsidRPr="002029AF" w:rsidRDefault="00603E4B" w:rsidP="00603E4B">
      <w:pPr>
        <w:pStyle w:val="ARbody"/>
      </w:pPr>
      <w:r w:rsidRPr="002029AF">
        <w:t>Victorians are socially involved in their community and participation contributes positively to their wellbeing. Communities foster social inclusion and</w:t>
      </w:r>
      <w:r w:rsidR="003C6F78">
        <w:t> </w:t>
      </w:r>
      <w:r w:rsidRPr="002029AF">
        <w:t>participation and diversity is celebrated and enabled.</w:t>
      </w:r>
    </w:p>
    <w:p w14:paraId="084DB4CD" w14:textId="77777777" w:rsidR="00603E4B" w:rsidRPr="002029AF" w:rsidRDefault="00603E4B" w:rsidP="00603E4B">
      <w:pPr>
        <w:pStyle w:val="Heading5"/>
        <w:rPr>
          <w:rFonts w:eastAsia="Times" w:cs="Arial"/>
          <w:b w:val="0"/>
          <w:color w:val="auto"/>
          <w:szCs w:val="22"/>
        </w:rPr>
      </w:pPr>
      <w:r w:rsidRPr="002029AF">
        <w:rPr>
          <w:szCs w:val="22"/>
        </w:rPr>
        <w:t>Progress against outcomes</w:t>
      </w:r>
    </w:p>
    <w:p w14:paraId="281DC16A" w14:textId="2BE61FC1" w:rsidR="00603E4B" w:rsidRPr="002029AF" w:rsidRDefault="00603E4B" w:rsidP="00603E4B">
      <w:pPr>
        <w:pStyle w:val="ARbody"/>
      </w:pPr>
      <w:r w:rsidRPr="002029AF">
        <w:t>Key priorities for the department in 2019–20 in</w:t>
      </w:r>
      <w:r w:rsidR="003C6F78">
        <w:t> </w:t>
      </w:r>
      <w:r w:rsidRPr="002029AF">
        <w:t>achieving this outcome were:</w:t>
      </w:r>
    </w:p>
    <w:p w14:paraId="1891C80B" w14:textId="77777777" w:rsidR="00603E4B" w:rsidRPr="002029AF" w:rsidRDefault="00603E4B" w:rsidP="00FF3CAB">
      <w:pPr>
        <w:pStyle w:val="ARbullet1"/>
        <w:numPr>
          <w:ilvl w:val="0"/>
          <w:numId w:val="51"/>
        </w:numPr>
      </w:pPr>
      <w:r w:rsidRPr="002029AF">
        <w:t>seeking to improve social connection and reduce social isolation and loneliness for vulnerable Victorians</w:t>
      </w:r>
    </w:p>
    <w:p w14:paraId="2BB3FAE1" w14:textId="77777777" w:rsidR="00603E4B" w:rsidRPr="002029AF" w:rsidRDefault="00603E4B" w:rsidP="00FF3CAB">
      <w:pPr>
        <w:pStyle w:val="ARbullet1"/>
        <w:numPr>
          <w:ilvl w:val="0"/>
          <w:numId w:val="51"/>
        </w:numPr>
      </w:pPr>
      <w:r w:rsidRPr="002029AF">
        <w:t>facilitating place-based, community-led programs that build healthy social engagement and enhance peer support and outreach</w:t>
      </w:r>
    </w:p>
    <w:p w14:paraId="32AC5C03" w14:textId="2A108B9B" w:rsidR="00603E4B" w:rsidRPr="002029AF" w:rsidRDefault="00603E4B" w:rsidP="00FF3CAB">
      <w:pPr>
        <w:pStyle w:val="ARbullet1"/>
        <w:numPr>
          <w:ilvl w:val="0"/>
          <w:numId w:val="51"/>
        </w:numPr>
      </w:pPr>
      <w:r w:rsidRPr="002029AF">
        <w:t>supporting volunteering and participation in the</w:t>
      </w:r>
      <w:r w:rsidR="003C6F78">
        <w:t> </w:t>
      </w:r>
      <w:r w:rsidRPr="002029AF">
        <w:t>community through Men’s Sheds.</w:t>
      </w:r>
    </w:p>
    <w:p w14:paraId="1952A381" w14:textId="451DE657" w:rsidR="00603E4B" w:rsidRPr="002029AF" w:rsidRDefault="00603E4B" w:rsidP="00603E4B">
      <w:pPr>
        <w:pStyle w:val="ARbodyafterbullets"/>
      </w:pPr>
      <w:r w:rsidRPr="002029AF">
        <w:t>Some of our key achievements in 2019–20 are</w:t>
      </w:r>
      <w:r w:rsidR="003C6F78">
        <w:t> </w:t>
      </w:r>
      <w:r w:rsidRPr="002029AF">
        <w:t>outlined below.</w:t>
      </w:r>
    </w:p>
    <w:p w14:paraId="12573920" w14:textId="77777777" w:rsidR="00603E4B" w:rsidRPr="002029AF" w:rsidRDefault="00603E4B" w:rsidP="00603E4B">
      <w:pPr>
        <w:pStyle w:val="Heading5"/>
      </w:pPr>
      <w:r w:rsidRPr="002029AF">
        <w:t>Key result 23: Increase rates of community engagement – especially for Aboriginal children and young people</w:t>
      </w:r>
    </w:p>
    <w:p w14:paraId="0A428585" w14:textId="39E9D1D5" w:rsidR="004E6007" w:rsidRPr="002029AF" w:rsidRDefault="004E6007" w:rsidP="004E6007">
      <w:pPr>
        <w:pStyle w:val="Heading6"/>
        <w:rPr>
          <w:lang w:val="en-AU"/>
        </w:rPr>
      </w:pPr>
      <w:r w:rsidRPr="002029AF">
        <w:rPr>
          <w:lang w:val="en-AU"/>
        </w:rPr>
        <w:t>Enhancing volunteerism in Victoria through the</w:t>
      </w:r>
      <w:r w:rsidR="003C6F78">
        <w:rPr>
          <w:lang w:val="en-AU"/>
        </w:rPr>
        <w:t> </w:t>
      </w:r>
      <w:r w:rsidRPr="002029AF">
        <w:rPr>
          <w:lang w:val="en-AU"/>
        </w:rPr>
        <w:t xml:space="preserve">development and implementation of a </w:t>
      </w:r>
      <w:r>
        <w:rPr>
          <w:lang w:val="en-AU"/>
        </w:rPr>
        <w:t>v</w:t>
      </w:r>
      <w:r w:rsidRPr="002029AF">
        <w:rPr>
          <w:lang w:val="en-AU"/>
        </w:rPr>
        <w:t xml:space="preserve">olunteer </w:t>
      </w:r>
      <w:r>
        <w:rPr>
          <w:lang w:val="en-AU"/>
        </w:rPr>
        <w:t>s</w:t>
      </w:r>
      <w:r w:rsidRPr="002029AF">
        <w:rPr>
          <w:lang w:val="en-AU"/>
        </w:rPr>
        <w:t>trategy</w:t>
      </w:r>
    </w:p>
    <w:p w14:paraId="350907C6" w14:textId="470A7D9D" w:rsidR="004E6007" w:rsidRPr="002029AF" w:rsidRDefault="004E6007" w:rsidP="004E6007">
      <w:pPr>
        <w:pStyle w:val="ARbody"/>
      </w:pPr>
      <w:r w:rsidRPr="002029AF">
        <w:t>The Victorian Government remains committed to</w:t>
      </w:r>
      <w:r w:rsidR="003C6F78">
        <w:t> </w:t>
      </w:r>
      <w:r w:rsidRPr="002029AF">
        <w:t xml:space="preserve">developing and implementing the </w:t>
      </w:r>
      <w:r w:rsidRPr="00B032FB">
        <w:rPr>
          <w:i/>
          <w:iCs/>
        </w:rPr>
        <w:t xml:space="preserve">Victorian </w:t>
      </w:r>
      <w:r>
        <w:rPr>
          <w:i/>
          <w:iCs/>
        </w:rPr>
        <w:t>v</w:t>
      </w:r>
      <w:r w:rsidRPr="00B032FB">
        <w:rPr>
          <w:i/>
          <w:iCs/>
        </w:rPr>
        <w:t xml:space="preserve">olunteer </w:t>
      </w:r>
      <w:r>
        <w:rPr>
          <w:i/>
          <w:iCs/>
        </w:rPr>
        <w:t>s</w:t>
      </w:r>
      <w:r w:rsidRPr="00B032FB">
        <w:rPr>
          <w:i/>
          <w:iCs/>
        </w:rPr>
        <w:t>trategy</w:t>
      </w:r>
      <w:r w:rsidRPr="002029AF">
        <w:t xml:space="preserve"> to support and enhance volunteering and will return to this work later in</w:t>
      </w:r>
      <w:r w:rsidR="0027759D">
        <w:t> </w:t>
      </w:r>
      <w:r w:rsidRPr="002029AF">
        <w:t>2020.</w:t>
      </w:r>
    </w:p>
    <w:p w14:paraId="367C0335" w14:textId="7DC2970F" w:rsidR="004E6007" w:rsidRPr="002029AF" w:rsidRDefault="004E6007" w:rsidP="004E6007">
      <w:pPr>
        <w:pStyle w:val="ARbody"/>
      </w:pPr>
      <w:r w:rsidRPr="002029AF">
        <w:t>The strategy will be informed by consultation with a</w:t>
      </w:r>
      <w:r w:rsidR="003C6F78">
        <w:t> </w:t>
      </w:r>
      <w:r w:rsidRPr="002029AF">
        <w:t>broad range of stakeholders across the Victorian public and volunteering community.</w:t>
      </w:r>
    </w:p>
    <w:p w14:paraId="4E93DEA5" w14:textId="43084D85" w:rsidR="004E6007" w:rsidRPr="002029AF" w:rsidRDefault="004E6007" w:rsidP="004E6007">
      <w:pPr>
        <w:pStyle w:val="ARbody"/>
      </w:pPr>
      <w:r w:rsidRPr="002029AF">
        <w:t>The volunteering community has already contributed to the strategy through surveys and by</w:t>
      </w:r>
      <w:r w:rsidR="003C6F78">
        <w:t> </w:t>
      </w:r>
      <w:r w:rsidRPr="002029AF">
        <w:t>taking part in a workshop as a participant or a partner or by expressing interest in attending a workshop.</w:t>
      </w:r>
    </w:p>
    <w:p w14:paraId="19D14A58" w14:textId="3092B77E" w:rsidR="004E6007" w:rsidRPr="002029AF" w:rsidRDefault="004E6007" w:rsidP="004E6007">
      <w:pPr>
        <w:pStyle w:val="ARbody"/>
      </w:pPr>
      <w:r w:rsidRPr="002029AF">
        <w:t xml:space="preserve">The ongoing community contribution of experiences and ideas will be vital to strengthening volunteering, and the department looks forward to further </w:t>
      </w:r>
      <w:r w:rsidR="003C6F78">
        <w:br/>
      </w:r>
      <w:r w:rsidRPr="002029AF">
        <w:t>re-commencing consultations on the strategy.</w:t>
      </w:r>
    </w:p>
    <w:p w14:paraId="2E479AEC" w14:textId="3E75814D" w:rsidR="00603E4B" w:rsidRPr="002029AF" w:rsidRDefault="009064C8" w:rsidP="00603E4B">
      <w:pPr>
        <w:pStyle w:val="Heading6"/>
        <w:rPr>
          <w:lang w:val="en-AU"/>
        </w:rPr>
      </w:pPr>
      <w:r>
        <w:rPr>
          <w:lang w:val="en-AU"/>
        </w:rPr>
        <w:lastRenderedPageBreak/>
        <w:t>Virginia Hill Estate</w:t>
      </w:r>
    </w:p>
    <w:p w14:paraId="0C0F27EE" w14:textId="75CE91C0" w:rsidR="00603E4B" w:rsidRPr="002029AF" w:rsidRDefault="00603E4B" w:rsidP="00603E4B">
      <w:pPr>
        <w:pStyle w:val="ARbody"/>
      </w:pPr>
      <w:r w:rsidRPr="002029AF">
        <w:t>Through a Victorian Government investment of $10</w:t>
      </w:r>
      <w:r w:rsidR="003C6F78">
        <w:t> </w:t>
      </w:r>
      <w:r w:rsidRPr="002029AF">
        <w:t>million, the Virginia Hill Estate, near Bendigo, will provide improved housing and public space for</w:t>
      </w:r>
      <w:r w:rsidR="003C6F78">
        <w:t> </w:t>
      </w:r>
      <w:r w:rsidRPr="002029AF">
        <w:t>residents to enhance their comfort, safety and amenity.</w:t>
      </w:r>
    </w:p>
    <w:p w14:paraId="3C7B80EB" w14:textId="77777777" w:rsidR="00603E4B" w:rsidRPr="002029AF" w:rsidRDefault="00603E4B" w:rsidP="00603E4B">
      <w:pPr>
        <w:pStyle w:val="ARbody"/>
      </w:pPr>
      <w:r w:rsidRPr="002029AF">
        <w:t>The Victorian Government is committed to working with the community to ensure the plan for Virginia Hill Estate meets community needs and creates a vibrant and connected place.</w:t>
      </w:r>
    </w:p>
    <w:p w14:paraId="690D9EB2" w14:textId="77777777" w:rsidR="00603E4B" w:rsidRPr="002029AF" w:rsidRDefault="00603E4B" w:rsidP="00603E4B">
      <w:pPr>
        <w:pStyle w:val="ARbody"/>
      </w:pPr>
      <w:r w:rsidRPr="002029AF">
        <w:t>The Virginia Hill Estate Consultative Committee, established in February 2020, provides residents and community groups with the opportunity to take part in the project and provide detailed feedback. The committee was established following an expression of interest process in late 2019.</w:t>
      </w:r>
    </w:p>
    <w:p w14:paraId="4A8DFF03" w14:textId="5B6B914D" w:rsidR="00603E4B" w:rsidRPr="002029AF" w:rsidRDefault="00603E4B" w:rsidP="00603E4B">
      <w:pPr>
        <w:pStyle w:val="ARbody"/>
      </w:pPr>
      <w:r w:rsidRPr="002029AF">
        <w:t>Phase 1 of the consultation was finalised in April 2020 and a number of key directions to guide master planning for the renewal of the estate have</w:t>
      </w:r>
      <w:r w:rsidR="003C6F78">
        <w:t> </w:t>
      </w:r>
      <w:r w:rsidRPr="002029AF">
        <w:t>been identified.</w:t>
      </w:r>
    </w:p>
    <w:p w14:paraId="447CE297" w14:textId="77777777" w:rsidR="00603E4B" w:rsidRPr="002029AF" w:rsidRDefault="00603E4B" w:rsidP="00603E4B">
      <w:pPr>
        <w:pStyle w:val="ARbody"/>
      </w:pPr>
      <w:r w:rsidRPr="002029AF">
        <w:t>Phase 2 of the consultation process is planned towards the end of 2020. It will provide community and stakeholder feedback on the draft masterplan.</w:t>
      </w:r>
    </w:p>
    <w:p w14:paraId="060DA628" w14:textId="77777777" w:rsidR="00603E4B" w:rsidRPr="002029AF" w:rsidRDefault="00603E4B" w:rsidP="00603E4B">
      <w:pPr>
        <w:pStyle w:val="Heading6"/>
        <w:rPr>
          <w:lang w:val="en-AU"/>
        </w:rPr>
      </w:pPr>
      <w:r w:rsidRPr="002029AF">
        <w:rPr>
          <w:lang w:val="en-AU"/>
        </w:rPr>
        <w:t>Men’s Sheds program funding round 2019–20</w:t>
      </w:r>
    </w:p>
    <w:p w14:paraId="54AC0434" w14:textId="5BE67028" w:rsidR="00603E4B" w:rsidRPr="002029AF" w:rsidRDefault="00603E4B" w:rsidP="00603E4B">
      <w:pPr>
        <w:pStyle w:val="ARbody"/>
      </w:pPr>
      <w:r w:rsidRPr="002029AF">
        <w:t>Men’s Sheds make a significant contribution to</w:t>
      </w:r>
      <w:r w:rsidR="003C6F78">
        <w:t> </w:t>
      </w:r>
      <w:r w:rsidRPr="002029AF">
        <w:t>enhancing the health and wellbeing of men in</w:t>
      </w:r>
      <w:r w:rsidR="003C6F78">
        <w:t> </w:t>
      </w:r>
      <w:r w:rsidRPr="002029AF">
        <w:t>Victoria, with positive flow-on effects for communities. There are now more than 360</w:t>
      </w:r>
      <w:r w:rsidR="003C6F78">
        <w:t> </w:t>
      </w:r>
      <w:r w:rsidRPr="002029AF">
        <w:t>Men’s</w:t>
      </w:r>
      <w:r w:rsidR="003C6F78">
        <w:t> </w:t>
      </w:r>
      <w:r w:rsidRPr="002029AF">
        <w:t>Sheds across Victoria.</w:t>
      </w:r>
    </w:p>
    <w:p w14:paraId="662A1727" w14:textId="77777777" w:rsidR="00603E4B" w:rsidRPr="002029AF" w:rsidRDefault="00603E4B" w:rsidP="00603E4B">
      <w:pPr>
        <w:pStyle w:val="ARbody"/>
      </w:pPr>
      <w:r w:rsidRPr="002029AF">
        <w:t>Men’s Sheds provide a space for men to connect to their community through shared interests, working together on joint projects, learning and teaching new skills. They also play an important role in communities experiencing social and economic change and assist them to recover after a natural disaster.</w:t>
      </w:r>
    </w:p>
    <w:p w14:paraId="77C73251" w14:textId="77777777" w:rsidR="00603E4B" w:rsidRPr="002029AF" w:rsidRDefault="00603E4B" w:rsidP="00603E4B">
      <w:pPr>
        <w:pStyle w:val="ARbody"/>
      </w:pPr>
      <w:r w:rsidRPr="002029AF">
        <w:t>In 2019–20, the Victorian Government released a new round of funding of $882,000 to support the continued growth of Men’s Sheds.</w:t>
      </w:r>
    </w:p>
    <w:p w14:paraId="2FE256FF" w14:textId="77777777" w:rsidR="00603E4B" w:rsidRPr="002029AF" w:rsidRDefault="00603E4B" w:rsidP="00603E4B">
      <w:pPr>
        <w:pStyle w:val="ARbody"/>
      </w:pPr>
      <w:r w:rsidRPr="002029AF">
        <w:t>Twenty-three Men’s Shed groups were funded up to $80,000 to build new sheds and to refurbish or replace existing sheds in 2019–20.</w:t>
      </w:r>
    </w:p>
    <w:p w14:paraId="19303AFF" w14:textId="70B38FEE" w:rsidR="00603E4B" w:rsidRPr="002029AF" w:rsidRDefault="00603E4B" w:rsidP="00603E4B">
      <w:pPr>
        <w:pStyle w:val="Heading4"/>
      </w:pPr>
      <w:r w:rsidRPr="002029AF">
        <w:t>Outcome 4.2: Victorians can safely</w:t>
      </w:r>
      <w:r w:rsidR="003C6F78">
        <w:t> </w:t>
      </w:r>
      <w:r w:rsidRPr="002029AF">
        <w:t>identify and connect with their</w:t>
      </w:r>
      <w:r w:rsidR="003C6F78">
        <w:t> </w:t>
      </w:r>
      <w:r w:rsidRPr="002029AF">
        <w:t>culture and identity, with their health and wellbeing advanced through</w:t>
      </w:r>
      <w:r w:rsidR="003C6F78">
        <w:t> </w:t>
      </w:r>
      <w:r w:rsidRPr="002029AF">
        <w:t>self-determination</w:t>
      </w:r>
    </w:p>
    <w:p w14:paraId="6A54119D" w14:textId="77777777" w:rsidR="00603E4B" w:rsidRPr="002029AF" w:rsidRDefault="00603E4B" w:rsidP="00603E4B">
      <w:pPr>
        <w:pStyle w:val="ARbody"/>
      </w:pPr>
      <w:r w:rsidRPr="002029AF">
        <w:t>Victorians can safely identify with their culture, express their identity and build support networks with people they trust. Cultural connection is valued and is a protective factor that enables them to thrive. The health and wellbeing of Aboriginal Victorians is enabled by self-determination across all aspects of their lives.</w:t>
      </w:r>
    </w:p>
    <w:p w14:paraId="3634B117" w14:textId="77777777" w:rsidR="00603E4B" w:rsidRPr="002029AF" w:rsidRDefault="00603E4B" w:rsidP="00603E4B">
      <w:pPr>
        <w:pStyle w:val="Heading5"/>
        <w:rPr>
          <w:rFonts w:eastAsia="Times" w:cs="Arial"/>
          <w:b w:val="0"/>
          <w:color w:val="auto"/>
          <w:szCs w:val="22"/>
        </w:rPr>
      </w:pPr>
      <w:r w:rsidRPr="002029AF">
        <w:rPr>
          <w:szCs w:val="22"/>
        </w:rPr>
        <w:t>Progress against outcomes</w:t>
      </w:r>
    </w:p>
    <w:p w14:paraId="1E7A9F44" w14:textId="78E20905" w:rsidR="00603E4B" w:rsidRPr="002029AF" w:rsidRDefault="00603E4B" w:rsidP="00603E4B">
      <w:pPr>
        <w:pStyle w:val="ARbody"/>
      </w:pPr>
      <w:r w:rsidRPr="002029AF">
        <w:t>The government</w:t>
      </w:r>
      <w:r w:rsidR="005F298C">
        <w:t>’</w:t>
      </w:r>
      <w:r w:rsidRPr="002029AF">
        <w:t>s approach to Aboriginal affairs is</w:t>
      </w:r>
      <w:r w:rsidR="003C6F78">
        <w:t> </w:t>
      </w:r>
      <w:r w:rsidRPr="002029AF">
        <w:t xml:space="preserve">guided by the </w:t>
      </w:r>
      <w:r w:rsidRPr="002029AF">
        <w:rPr>
          <w:i/>
        </w:rPr>
        <w:t>Victorian Aboriginal Affairs Framework 2018–2023</w:t>
      </w:r>
      <w:r w:rsidRPr="002029AF">
        <w:t>. The framework is grounded in the voices, perspectives and priorities of the Victorian Aboriginal community and renews the Victorian Government</w:t>
      </w:r>
      <w:r w:rsidR="005F298C">
        <w:t>’</w:t>
      </w:r>
      <w:r w:rsidRPr="002029AF">
        <w:t xml:space="preserve">s commitment to </w:t>
      </w:r>
      <w:r w:rsidR="003C6F78">
        <w:br/>
      </w:r>
      <w:r w:rsidRPr="002029AF">
        <w:t xml:space="preserve">self-determination. In 2019–20 the department continued to operationalise the principles of </w:t>
      </w:r>
      <w:r w:rsidR="003C6F78">
        <w:br/>
      </w:r>
      <w:r w:rsidRPr="002029AF">
        <w:t>self-determination outlined in the framework across</w:t>
      </w:r>
      <w:r w:rsidR="003C6F78">
        <w:t> </w:t>
      </w:r>
      <w:r w:rsidRPr="002029AF">
        <w:t>the services it funds and delivers.</w:t>
      </w:r>
    </w:p>
    <w:p w14:paraId="613CBA5C" w14:textId="77777777" w:rsidR="00603E4B" w:rsidRPr="002029AF" w:rsidRDefault="00603E4B" w:rsidP="00603E4B">
      <w:pPr>
        <w:pStyle w:val="ARbody"/>
      </w:pPr>
      <w:r w:rsidRPr="002029AF">
        <w:t>The government is working alongside Aboriginal community-controlled organisations and community service organisations to support Aboriginal self-determination and acknowledges the work of community partners to improve health outcomes and meet the health needs of Aboriginal Victorians.</w:t>
      </w:r>
    </w:p>
    <w:p w14:paraId="71C64046" w14:textId="1330A2F2" w:rsidR="00603E4B" w:rsidRPr="002029AF" w:rsidRDefault="00603E4B" w:rsidP="00603E4B">
      <w:pPr>
        <w:pStyle w:val="ARbody"/>
      </w:pPr>
      <w:r w:rsidRPr="002029AF">
        <w:t xml:space="preserve">The department has actively supported Aboriginal self-determination through the implementation of </w:t>
      </w:r>
      <w:r w:rsidRPr="002029AF">
        <w:rPr>
          <w:i/>
        </w:rPr>
        <w:t xml:space="preserve">Korin </w:t>
      </w:r>
      <w:r w:rsidR="00CC06B0">
        <w:rPr>
          <w:i/>
        </w:rPr>
        <w:t xml:space="preserve">Korin </w:t>
      </w:r>
      <w:r w:rsidRPr="002029AF">
        <w:rPr>
          <w:i/>
        </w:rPr>
        <w:t xml:space="preserve">Balit-Djak: Aboriginal </w:t>
      </w:r>
      <w:r w:rsidR="00E6532E">
        <w:rPr>
          <w:i/>
        </w:rPr>
        <w:t>H</w:t>
      </w:r>
      <w:r w:rsidRPr="002029AF">
        <w:rPr>
          <w:i/>
        </w:rPr>
        <w:t xml:space="preserve">ealth, </w:t>
      </w:r>
      <w:r w:rsidR="00E6532E">
        <w:rPr>
          <w:i/>
        </w:rPr>
        <w:t>W</w:t>
      </w:r>
      <w:r w:rsidRPr="002029AF">
        <w:rPr>
          <w:i/>
        </w:rPr>
        <w:t xml:space="preserve">ellbeing and </w:t>
      </w:r>
      <w:r w:rsidR="00E6532E">
        <w:rPr>
          <w:i/>
        </w:rPr>
        <w:t>S</w:t>
      </w:r>
      <w:r w:rsidRPr="002029AF">
        <w:rPr>
          <w:i/>
        </w:rPr>
        <w:t xml:space="preserve">afety </w:t>
      </w:r>
      <w:r w:rsidR="00E6532E">
        <w:rPr>
          <w:i/>
        </w:rPr>
        <w:t>S</w:t>
      </w:r>
      <w:r w:rsidRPr="002029AF">
        <w:rPr>
          <w:i/>
        </w:rPr>
        <w:t xml:space="preserve">trategic </w:t>
      </w:r>
      <w:r w:rsidR="00E6532E">
        <w:rPr>
          <w:i/>
        </w:rPr>
        <w:t>P</w:t>
      </w:r>
      <w:r w:rsidRPr="002029AF">
        <w:rPr>
          <w:i/>
        </w:rPr>
        <w:t>lan 2017</w:t>
      </w:r>
      <w:r w:rsidR="000F13EA" w:rsidRPr="002029AF">
        <w:rPr>
          <w:i/>
        </w:rPr>
        <w:t>–</w:t>
      </w:r>
      <w:r w:rsidRPr="002029AF">
        <w:rPr>
          <w:i/>
        </w:rPr>
        <w:t>2027;</w:t>
      </w:r>
      <w:r w:rsidRPr="002029AF">
        <w:t xml:space="preserve"> </w:t>
      </w:r>
      <w:r w:rsidRPr="002029AF">
        <w:rPr>
          <w:i/>
        </w:rPr>
        <w:t xml:space="preserve">Balit Murrup: Aboriginal </w:t>
      </w:r>
      <w:r w:rsidR="00E6532E">
        <w:rPr>
          <w:i/>
        </w:rPr>
        <w:t>S</w:t>
      </w:r>
      <w:r w:rsidRPr="002029AF">
        <w:rPr>
          <w:i/>
        </w:rPr>
        <w:t xml:space="preserve">ocial and </w:t>
      </w:r>
      <w:r w:rsidR="00E6532E">
        <w:rPr>
          <w:i/>
        </w:rPr>
        <w:t>E</w:t>
      </w:r>
      <w:r w:rsidRPr="002029AF">
        <w:rPr>
          <w:i/>
        </w:rPr>
        <w:t xml:space="preserve">motional </w:t>
      </w:r>
      <w:r w:rsidR="00E6532E">
        <w:rPr>
          <w:i/>
        </w:rPr>
        <w:t>W</w:t>
      </w:r>
      <w:r w:rsidRPr="002029AF">
        <w:rPr>
          <w:i/>
        </w:rPr>
        <w:t xml:space="preserve">ellbeing </w:t>
      </w:r>
      <w:r w:rsidR="00E6532E">
        <w:rPr>
          <w:i/>
        </w:rPr>
        <w:t>F</w:t>
      </w:r>
      <w:r w:rsidRPr="002029AF">
        <w:rPr>
          <w:i/>
        </w:rPr>
        <w:t>ramework 2017</w:t>
      </w:r>
      <w:r w:rsidR="000F13EA" w:rsidRPr="002029AF">
        <w:rPr>
          <w:i/>
        </w:rPr>
        <w:t>–</w:t>
      </w:r>
      <w:r w:rsidRPr="002029AF">
        <w:rPr>
          <w:i/>
        </w:rPr>
        <w:t>2027</w:t>
      </w:r>
      <w:r w:rsidRPr="002029AF">
        <w:rPr>
          <w:i/>
          <w:iCs/>
        </w:rPr>
        <w:t>; Dhelk Dja:</w:t>
      </w:r>
      <w:r w:rsidR="002029AF">
        <w:rPr>
          <w:i/>
          <w:iCs/>
        </w:rPr>
        <w:t xml:space="preserve"> </w:t>
      </w:r>
      <w:r w:rsidRPr="002029AF">
        <w:rPr>
          <w:i/>
          <w:iCs/>
        </w:rPr>
        <w:t xml:space="preserve">Safe Our Way – Strong Culture, Strong Peoples, Strong Families; Wungurilwil Gapgapduir: Aboriginal </w:t>
      </w:r>
      <w:r w:rsidR="0099002E">
        <w:rPr>
          <w:i/>
          <w:iCs/>
        </w:rPr>
        <w:t>C</w:t>
      </w:r>
      <w:r w:rsidRPr="002029AF">
        <w:rPr>
          <w:i/>
          <w:iCs/>
        </w:rPr>
        <w:t xml:space="preserve">hildren and </w:t>
      </w:r>
      <w:r w:rsidR="0099002E">
        <w:rPr>
          <w:i/>
          <w:iCs/>
        </w:rPr>
        <w:t>F</w:t>
      </w:r>
      <w:r w:rsidRPr="002029AF">
        <w:rPr>
          <w:i/>
          <w:iCs/>
        </w:rPr>
        <w:t xml:space="preserve">amilies </w:t>
      </w:r>
      <w:r w:rsidR="0099002E">
        <w:rPr>
          <w:i/>
          <w:iCs/>
        </w:rPr>
        <w:t>A</w:t>
      </w:r>
      <w:r w:rsidRPr="002029AF">
        <w:rPr>
          <w:i/>
          <w:iCs/>
        </w:rPr>
        <w:t xml:space="preserve">greement and </w:t>
      </w:r>
      <w:r w:rsidR="0099002E">
        <w:rPr>
          <w:i/>
          <w:iCs/>
        </w:rPr>
        <w:t>S</w:t>
      </w:r>
      <w:r w:rsidRPr="002029AF">
        <w:rPr>
          <w:i/>
          <w:iCs/>
        </w:rPr>
        <w:t xml:space="preserve">trategic </w:t>
      </w:r>
      <w:r w:rsidR="0099002E">
        <w:rPr>
          <w:i/>
          <w:iCs/>
        </w:rPr>
        <w:t>A</w:t>
      </w:r>
      <w:r w:rsidRPr="002029AF">
        <w:rPr>
          <w:i/>
          <w:iCs/>
        </w:rPr>
        <w:t xml:space="preserve">ction </w:t>
      </w:r>
      <w:r w:rsidR="0099002E">
        <w:rPr>
          <w:i/>
          <w:iCs/>
        </w:rPr>
        <w:t>P</w:t>
      </w:r>
      <w:r w:rsidRPr="002029AF">
        <w:rPr>
          <w:i/>
          <w:iCs/>
        </w:rPr>
        <w:t>lan;</w:t>
      </w:r>
      <w:r w:rsidRPr="002029AF">
        <w:rPr>
          <w:i/>
        </w:rPr>
        <w:t xml:space="preserve"> </w:t>
      </w:r>
      <w:r w:rsidRPr="002029AF">
        <w:t xml:space="preserve">and the </w:t>
      </w:r>
      <w:r w:rsidRPr="002029AF">
        <w:rPr>
          <w:i/>
        </w:rPr>
        <w:t xml:space="preserve">Aboriginal </w:t>
      </w:r>
      <w:r w:rsidR="00E6532E">
        <w:rPr>
          <w:i/>
        </w:rPr>
        <w:t>G</w:t>
      </w:r>
      <w:r w:rsidRPr="002029AF">
        <w:rPr>
          <w:i/>
        </w:rPr>
        <w:t xml:space="preserve">overnance and </w:t>
      </w:r>
      <w:r w:rsidR="00E6532E">
        <w:rPr>
          <w:i/>
        </w:rPr>
        <w:t>A</w:t>
      </w:r>
      <w:r w:rsidRPr="002029AF">
        <w:rPr>
          <w:i/>
        </w:rPr>
        <w:t xml:space="preserve">ccountability </w:t>
      </w:r>
      <w:r w:rsidR="00E6532E">
        <w:rPr>
          <w:i/>
        </w:rPr>
        <w:t>F</w:t>
      </w:r>
      <w:r w:rsidRPr="002029AF">
        <w:rPr>
          <w:i/>
        </w:rPr>
        <w:t>ramework</w:t>
      </w:r>
      <w:r w:rsidRPr="002029AF">
        <w:t>.</w:t>
      </w:r>
    </w:p>
    <w:p w14:paraId="5D9CAA00" w14:textId="74C2E822" w:rsidR="00603E4B" w:rsidRPr="002029AF" w:rsidRDefault="00603E4B" w:rsidP="00603E4B">
      <w:pPr>
        <w:pStyle w:val="ARbody"/>
      </w:pPr>
      <w:r w:rsidRPr="002029AF">
        <w:t>Work continues on implementing the Aboriginal Children in Aboriginal Care program, which recognises the needs of Aboriginal children are best met by Aboriginal community services that are culturally attuned. Aboriginal community-controlled organisations are also best placed to reconnect Aboriginal children and families to their culture and</w:t>
      </w:r>
      <w:r w:rsidR="003C6F78">
        <w:t> </w:t>
      </w:r>
      <w:r w:rsidRPr="002029AF">
        <w:t>identity, if there has been a disconnect.</w:t>
      </w:r>
    </w:p>
    <w:p w14:paraId="5E32A37B" w14:textId="77777777" w:rsidR="00603E4B" w:rsidRPr="002029AF" w:rsidRDefault="00603E4B" w:rsidP="003C6F78">
      <w:pPr>
        <w:pStyle w:val="ARbody"/>
        <w:keepLines/>
      </w:pPr>
      <w:r w:rsidRPr="002029AF">
        <w:lastRenderedPageBreak/>
        <w:t>Lakidjeka is an Aboriginal service that provides advice on the best interests of Aboriginal children and young people involved with the child protection system.</w:t>
      </w:r>
    </w:p>
    <w:p w14:paraId="6284A87F" w14:textId="71DBB463" w:rsidR="004E6007" w:rsidRPr="002029AF" w:rsidRDefault="004E6007" w:rsidP="004E6007">
      <w:pPr>
        <w:pStyle w:val="ARbody"/>
      </w:pPr>
      <w:r w:rsidRPr="002029AF">
        <w:t>In response to coronavirus (COV</w:t>
      </w:r>
      <w:r>
        <w:t>I</w:t>
      </w:r>
      <w:r w:rsidRPr="002029AF">
        <w:t>D-19), digital and</w:t>
      </w:r>
      <w:r w:rsidR="003C6F78">
        <w:t> </w:t>
      </w:r>
      <w:r w:rsidRPr="002029AF">
        <w:t xml:space="preserve">virtual platforms have been created to support innovative engagement with </w:t>
      </w:r>
      <w:r w:rsidRPr="00BA07B9">
        <w:rPr>
          <w:i/>
          <w:iCs/>
        </w:rPr>
        <w:t>Dhelk Dja</w:t>
      </w:r>
      <w:r w:rsidRPr="002029AF">
        <w:t xml:space="preserve"> members and key stakeholders and their attendance at various </w:t>
      </w:r>
      <w:r w:rsidRPr="00BA07B9">
        <w:rPr>
          <w:i/>
          <w:iCs/>
        </w:rPr>
        <w:t>Dhelk Dja</w:t>
      </w:r>
      <w:r w:rsidRPr="002029AF">
        <w:t xml:space="preserve"> governance structures.</w:t>
      </w:r>
    </w:p>
    <w:p w14:paraId="1115D489" w14:textId="204D84F9" w:rsidR="00603E4B" w:rsidRPr="002029AF" w:rsidRDefault="00603E4B" w:rsidP="00603E4B">
      <w:pPr>
        <w:pStyle w:val="ARbody"/>
      </w:pPr>
      <w:r w:rsidRPr="002029AF">
        <w:t>There has also been targeted funding for Aboriginal</w:t>
      </w:r>
      <w:r w:rsidR="003C6F78">
        <w:t> </w:t>
      </w:r>
      <w:r w:rsidRPr="002029AF">
        <w:t>community-controlled organisations to</w:t>
      </w:r>
      <w:r w:rsidR="003C6F78">
        <w:t> </w:t>
      </w:r>
      <w:r w:rsidRPr="002029AF">
        <w:t>meet additional demand for family violence case</w:t>
      </w:r>
      <w:r w:rsidR="003C6F78">
        <w:t> </w:t>
      </w:r>
      <w:r w:rsidRPr="002029AF">
        <w:t>management and crisis support.</w:t>
      </w:r>
    </w:p>
    <w:p w14:paraId="0D87337C" w14:textId="77777777" w:rsidR="00603E4B" w:rsidRPr="002029AF" w:rsidRDefault="00603E4B" w:rsidP="00603E4B">
      <w:pPr>
        <w:pStyle w:val="ARbody"/>
      </w:pPr>
      <w:r w:rsidRPr="002029AF">
        <w:t>Infrastructure and training have been provided to support capacity of the sector to shift components of their service delivery to telephone/online.</w:t>
      </w:r>
    </w:p>
    <w:p w14:paraId="16CED9DE" w14:textId="7CAE1707" w:rsidR="00603E4B" w:rsidRPr="002029AF" w:rsidRDefault="00603E4B" w:rsidP="00603E4B">
      <w:pPr>
        <w:pStyle w:val="ARbody"/>
      </w:pPr>
      <w:r w:rsidRPr="002029AF">
        <w:t>Some of our key achievements in 2019–20 are</w:t>
      </w:r>
      <w:r w:rsidR="003C6F78">
        <w:t> </w:t>
      </w:r>
      <w:r w:rsidRPr="002029AF">
        <w:t>outlined below.</w:t>
      </w:r>
    </w:p>
    <w:p w14:paraId="1888C782" w14:textId="6A107C7A" w:rsidR="00603E4B" w:rsidRPr="002029AF" w:rsidRDefault="00603E4B" w:rsidP="00603E4B">
      <w:pPr>
        <w:pStyle w:val="Heading5"/>
      </w:pPr>
      <w:r w:rsidRPr="002029AF">
        <w:t>Key result 24: Increase cultural connection</w:t>
      </w:r>
      <w:r w:rsidR="003C6F78">
        <w:t> </w:t>
      </w:r>
      <w:r w:rsidRPr="002029AF">
        <w:t>for children in out-of-home care</w:t>
      </w:r>
      <w:r w:rsidR="003C6F78">
        <w:t> </w:t>
      </w:r>
      <w:r w:rsidRPr="002029AF">
        <w:t>– especially Aboriginal children</w:t>
      </w:r>
    </w:p>
    <w:p w14:paraId="525A7FFF" w14:textId="0E91E28A" w:rsidR="00603E4B" w:rsidRPr="002029AF" w:rsidRDefault="00603E4B" w:rsidP="00603E4B">
      <w:pPr>
        <w:pStyle w:val="Heading6"/>
        <w:rPr>
          <w:lang w:val="en-AU"/>
        </w:rPr>
      </w:pPr>
      <w:r w:rsidRPr="002029AF">
        <w:rPr>
          <w:lang w:val="en-AU"/>
        </w:rPr>
        <w:t>Transition Aboriginal children to Aboriginal</w:t>
      </w:r>
      <w:r w:rsidR="003C6F78">
        <w:rPr>
          <w:lang w:val="en-AU"/>
        </w:rPr>
        <w:t> </w:t>
      </w:r>
      <w:r w:rsidRPr="002029AF">
        <w:rPr>
          <w:lang w:val="en-AU"/>
        </w:rPr>
        <w:t>care</w:t>
      </w:r>
    </w:p>
    <w:p w14:paraId="74ED3532" w14:textId="77777777" w:rsidR="00603E4B" w:rsidRPr="002029AF" w:rsidRDefault="00603E4B" w:rsidP="00603E4B">
      <w:pPr>
        <w:pStyle w:val="ARbody"/>
      </w:pPr>
      <w:r w:rsidRPr="002029AF">
        <w:t>The Victorian Government continues its commitment to transition the care and case management of Aboriginal children from government and non-Aboriginal organisations to Aboriginal community-controlled organisations.</w:t>
      </w:r>
    </w:p>
    <w:p w14:paraId="4B1EBE04" w14:textId="0D51BD8F" w:rsidR="00603E4B" w:rsidRPr="002029AF" w:rsidRDefault="00603E4B" w:rsidP="00603E4B">
      <w:pPr>
        <w:pStyle w:val="ARbody"/>
      </w:pPr>
      <w:r w:rsidRPr="002029AF">
        <w:t>Under the Aboriginal Children in Aboriginal Care</w:t>
      </w:r>
      <w:r w:rsidR="003C6F78">
        <w:t> </w:t>
      </w:r>
      <w:r w:rsidRPr="002029AF">
        <w:t>program, Aboriginal community-controlled organisations undertake case planning and case management for children and young people subject to Children’s Court protection orders. The program aims to promote Aboriginal children’s cultural identity and promote their connection to family, Country, community and culture. These connections are fundamental to supporting the</w:t>
      </w:r>
      <w:r w:rsidR="003C6F78">
        <w:t> </w:t>
      </w:r>
      <w:r w:rsidRPr="002029AF">
        <w:t>safety and identity of Aboriginal children.</w:t>
      </w:r>
    </w:p>
    <w:p w14:paraId="756C8D38" w14:textId="77777777" w:rsidR="00603E4B" w:rsidRPr="002029AF" w:rsidRDefault="00603E4B" w:rsidP="00603E4B">
      <w:pPr>
        <w:pStyle w:val="ARbody"/>
      </w:pPr>
      <w:r w:rsidRPr="002029AF">
        <w:t>Initiatives under this program are being developed and delivered through partnerships between the Victorian Government and Victorian Aboriginal communities, including through the Aboriginal Children’s Forum.</w:t>
      </w:r>
    </w:p>
    <w:p w14:paraId="6072A184" w14:textId="3389C356" w:rsidR="00603E4B" w:rsidRPr="002029AF" w:rsidRDefault="00603E4B" w:rsidP="00603E4B">
      <w:pPr>
        <w:pStyle w:val="ARbody"/>
      </w:pPr>
      <w:r w:rsidRPr="002029AF">
        <w:t xml:space="preserve">Implementation of the program has continued in 2019–20. At the end of June 2020, 49 per cent of Aboriginal children in care were case managed by Aboriginal community-controlled organisations and as a result have access to more culturally </w:t>
      </w:r>
      <w:r w:rsidRPr="002029AF">
        <w:t>appropriate supports and services. As part of the Victorian </w:t>
      </w:r>
      <w:r w:rsidR="00214739" w:rsidRPr="002029AF">
        <w:t>G</w:t>
      </w:r>
      <w:r w:rsidRPr="002029AF">
        <w:t xml:space="preserve">overnment’s commitment to Aboriginal self-determination, as outlined in </w:t>
      </w:r>
      <w:r w:rsidRPr="002029AF">
        <w:rPr>
          <w:i/>
        </w:rPr>
        <w:t>Wungurilwil Gapgapduir</w:t>
      </w:r>
      <w:r w:rsidRPr="002029AF">
        <w:t>, the department has committed to transferring the responsibility for all Aboriginal children in care to Aboriginal community-controlled organisations by 2021.</w:t>
      </w:r>
    </w:p>
    <w:p w14:paraId="28AB2EAE" w14:textId="77777777" w:rsidR="00603E4B" w:rsidRPr="002029AF" w:rsidRDefault="00603E4B" w:rsidP="00603E4B">
      <w:pPr>
        <w:pStyle w:val="Heading5"/>
      </w:pPr>
      <w:r w:rsidRPr="002029AF">
        <w:t>Key result 25 (new): Increase the cultural safety of our department’s direct-delivered and funded services</w:t>
      </w:r>
    </w:p>
    <w:p w14:paraId="4A2A8800" w14:textId="77777777" w:rsidR="00603E4B" w:rsidRPr="002029AF" w:rsidRDefault="00603E4B" w:rsidP="00603E4B">
      <w:pPr>
        <w:pStyle w:val="Heading6"/>
        <w:rPr>
          <w:lang w:val="en-AU"/>
        </w:rPr>
      </w:pPr>
      <w:r w:rsidRPr="002029AF">
        <w:rPr>
          <w:lang w:val="en-AU"/>
        </w:rPr>
        <w:t>Progressing Aboriginal self-determination</w:t>
      </w:r>
    </w:p>
    <w:p w14:paraId="5CB04A14" w14:textId="0653E1EF" w:rsidR="00603E4B" w:rsidRPr="002029AF" w:rsidRDefault="00603E4B" w:rsidP="00603E4B">
      <w:pPr>
        <w:pStyle w:val="ARbody"/>
      </w:pPr>
      <w:r w:rsidRPr="002029AF">
        <w:t xml:space="preserve">in 2019–20 the department continued to develop and implement policies to advance Aboriginal </w:t>
      </w:r>
      <w:r w:rsidR="00AD78D6">
        <w:br/>
      </w:r>
      <w:r w:rsidRPr="002029AF">
        <w:t xml:space="preserve">self-determination. The main policies to progress </w:t>
      </w:r>
      <w:r w:rsidR="00523674" w:rsidRPr="002029AF">
        <w:t>self-determination</w:t>
      </w:r>
      <w:r w:rsidRPr="002029AF">
        <w:t xml:space="preserve"> are listed below.</w:t>
      </w:r>
    </w:p>
    <w:p w14:paraId="7216D88C" w14:textId="6FEB1D67" w:rsidR="00603E4B" w:rsidRPr="002029AF" w:rsidRDefault="00603E4B" w:rsidP="00603E4B">
      <w:pPr>
        <w:pStyle w:val="ARbody"/>
      </w:pPr>
      <w:r w:rsidRPr="00BA07B9">
        <w:rPr>
          <w:i/>
          <w:iCs/>
        </w:rPr>
        <w:t>Korin Korin Balit-Djak</w:t>
      </w:r>
      <w:r w:rsidRPr="002029AF">
        <w:t xml:space="preserve"> adopts an approach based on cultural and social determinants of health and is</w:t>
      </w:r>
      <w:r w:rsidR="003C6F78">
        <w:t> </w:t>
      </w:r>
      <w:r w:rsidRPr="002029AF">
        <w:t>guided by the principle of self-determination. It details how the department will work with Aboriginal communities, community organisations, other government departments and mainstream service providers – now and into the future – to improve the</w:t>
      </w:r>
      <w:r w:rsidR="003C6F78">
        <w:t> </w:t>
      </w:r>
      <w:r w:rsidRPr="002029AF">
        <w:t>health, wellbeing and safety of Aboriginal people in Victoria.</w:t>
      </w:r>
    </w:p>
    <w:p w14:paraId="717E79A7" w14:textId="3B4D477B" w:rsidR="00603E4B" w:rsidRPr="002029AF" w:rsidRDefault="00603E4B" w:rsidP="00603E4B">
      <w:pPr>
        <w:pStyle w:val="ARbody"/>
      </w:pPr>
      <w:r w:rsidRPr="002029AF">
        <w:t xml:space="preserve">The Korin Korin Balit-Djak Monitoring and Reporting project seeks to deliver a high-level overview of the implementation of the </w:t>
      </w:r>
      <w:r w:rsidRPr="00BA07B9">
        <w:rPr>
          <w:i/>
          <w:iCs/>
        </w:rPr>
        <w:t>Korin Korin</w:t>
      </w:r>
      <w:r w:rsidR="002029AF" w:rsidRPr="00BA07B9">
        <w:rPr>
          <w:i/>
          <w:iCs/>
        </w:rPr>
        <w:t> </w:t>
      </w:r>
      <w:r w:rsidRPr="00BA07B9">
        <w:rPr>
          <w:i/>
          <w:iCs/>
        </w:rPr>
        <w:t>Balit-Djak</w:t>
      </w:r>
      <w:r w:rsidRPr="002029AF">
        <w:t xml:space="preserve"> strategy through an overarching monitoring tool. The tool will track all actions being implemented across the department.</w:t>
      </w:r>
    </w:p>
    <w:p w14:paraId="1C0DF32E" w14:textId="77777777" w:rsidR="00603E4B" w:rsidRPr="002029AF" w:rsidRDefault="00603E4B" w:rsidP="00603E4B">
      <w:pPr>
        <w:pStyle w:val="ARbody"/>
      </w:pPr>
      <w:r w:rsidRPr="00BA07B9">
        <w:rPr>
          <w:i/>
          <w:iCs/>
        </w:rPr>
        <w:t>Balit Murrup</w:t>
      </w:r>
      <w:r w:rsidRPr="002029AF">
        <w:t xml:space="preserve"> provides a self-determination and culturally based approach to improving mental health outcomes for Aboriginal Victorians. The framework aligns with a holistic and interconnected Aboriginal view of health which embraces social, emotional, physical, cultural and spiritual dimensions of wellbeing.</w:t>
      </w:r>
    </w:p>
    <w:p w14:paraId="5E36FAC2" w14:textId="77777777" w:rsidR="00603E4B" w:rsidRPr="002029AF" w:rsidRDefault="00603E4B" w:rsidP="00603E4B">
      <w:pPr>
        <w:pStyle w:val="ARbody"/>
      </w:pPr>
      <w:r w:rsidRPr="00BA07B9">
        <w:rPr>
          <w:i/>
          <w:iCs/>
        </w:rPr>
        <w:t>Dhelk Dja</w:t>
      </w:r>
      <w:r w:rsidRPr="002029AF">
        <w:t xml:space="preserve"> is the key Aboriginal-led Victorian agreement that commits the signatories – Aboriginal communities, Aboriginal services and government – to working together and being accountable for ensuring that Aboriginal women, men, children, young people, Elders, families and communities are stronger, safer, thriving and living free from family violence.</w:t>
      </w:r>
    </w:p>
    <w:p w14:paraId="7E3ED684" w14:textId="77777777" w:rsidR="00603E4B" w:rsidRPr="002029AF" w:rsidRDefault="00603E4B" w:rsidP="00603E4B">
      <w:pPr>
        <w:pStyle w:val="ARbody"/>
      </w:pPr>
      <w:r w:rsidRPr="002029AF">
        <w:rPr>
          <w:i/>
          <w:iCs/>
        </w:rPr>
        <w:t>Wungurilwil Gapgapduir</w:t>
      </w:r>
      <w:r w:rsidRPr="002029AF">
        <w:t xml:space="preserve"> is a tripartite agreement between the Aboriginal community, Victorian Government and community service organisations. It outlines a strategic direction to reduce the </w:t>
      </w:r>
      <w:r w:rsidRPr="002029AF">
        <w:lastRenderedPageBreak/>
        <w:t>number of Aboriginal children in out-of-home care by building their connection to culture, Country and community.</w:t>
      </w:r>
    </w:p>
    <w:p w14:paraId="4BB87153" w14:textId="0C427488" w:rsidR="00603E4B" w:rsidRPr="002029AF" w:rsidRDefault="00603E4B" w:rsidP="00603E4B">
      <w:pPr>
        <w:pStyle w:val="ARbody"/>
      </w:pPr>
      <w:r w:rsidRPr="002029AF">
        <w:t xml:space="preserve">The </w:t>
      </w:r>
      <w:r w:rsidRPr="002029AF">
        <w:rPr>
          <w:i/>
          <w:iCs/>
        </w:rPr>
        <w:t xml:space="preserve">Aboriginal </w:t>
      </w:r>
      <w:r w:rsidR="00177947">
        <w:rPr>
          <w:i/>
          <w:iCs/>
        </w:rPr>
        <w:t>G</w:t>
      </w:r>
      <w:r w:rsidRPr="002029AF">
        <w:rPr>
          <w:i/>
          <w:iCs/>
        </w:rPr>
        <w:t xml:space="preserve">overnance and </w:t>
      </w:r>
      <w:r w:rsidR="00177947">
        <w:rPr>
          <w:i/>
          <w:iCs/>
        </w:rPr>
        <w:t>A</w:t>
      </w:r>
      <w:r w:rsidRPr="002029AF">
        <w:rPr>
          <w:i/>
          <w:iCs/>
        </w:rPr>
        <w:t xml:space="preserve">ccountability </w:t>
      </w:r>
      <w:r w:rsidR="00177947">
        <w:rPr>
          <w:i/>
          <w:iCs/>
        </w:rPr>
        <w:t>F</w:t>
      </w:r>
      <w:r w:rsidRPr="002029AF">
        <w:rPr>
          <w:i/>
          <w:iCs/>
        </w:rPr>
        <w:t>ramework</w:t>
      </w:r>
      <w:r w:rsidRPr="002029AF">
        <w:t xml:space="preserve"> provides guidance for how we partner with communities to take forward the work of </w:t>
      </w:r>
      <w:r w:rsidRPr="00BA07B9">
        <w:rPr>
          <w:i/>
          <w:iCs/>
        </w:rPr>
        <w:t xml:space="preserve">Korin Korin Balit-Djak </w:t>
      </w:r>
      <w:r w:rsidRPr="002029AF">
        <w:t xml:space="preserve">and </w:t>
      </w:r>
      <w:r w:rsidRPr="00BA07B9">
        <w:rPr>
          <w:i/>
          <w:iCs/>
        </w:rPr>
        <w:t>Balit Murrup</w:t>
      </w:r>
      <w:r w:rsidRPr="002029AF">
        <w:t>. It provides an Aboriginal-led mechanism for oversight and accountability of the department’s commitment to advance self-determination and improve outcomes in health, wellbeing and safety.</w:t>
      </w:r>
    </w:p>
    <w:p w14:paraId="7DE0623A" w14:textId="1B24CD8C" w:rsidR="00603E4B" w:rsidRPr="002029AF" w:rsidRDefault="00603E4B" w:rsidP="00603E4B">
      <w:pPr>
        <w:pStyle w:val="ARbody"/>
      </w:pPr>
      <w:r w:rsidRPr="002029AF">
        <w:t xml:space="preserve">Under the </w:t>
      </w:r>
      <w:r w:rsidRPr="002029AF">
        <w:rPr>
          <w:i/>
          <w:iCs/>
        </w:rPr>
        <w:t xml:space="preserve">Aboriginal </w:t>
      </w:r>
      <w:r w:rsidR="00177947">
        <w:rPr>
          <w:i/>
          <w:iCs/>
        </w:rPr>
        <w:t>G</w:t>
      </w:r>
      <w:r w:rsidRPr="002029AF">
        <w:rPr>
          <w:i/>
          <w:iCs/>
        </w:rPr>
        <w:t xml:space="preserve">overnance and </w:t>
      </w:r>
      <w:r w:rsidR="00177947">
        <w:rPr>
          <w:i/>
          <w:iCs/>
        </w:rPr>
        <w:t>A</w:t>
      </w:r>
      <w:r w:rsidRPr="002029AF">
        <w:rPr>
          <w:i/>
          <w:iCs/>
        </w:rPr>
        <w:t>ccountability</w:t>
      </w:r>
      <w:r w:rsidR="00F305BC">
        <w:rPr>
          <w:i/>
          <w:iCs/>
        </w:rPr>
        <w:t xml:space="preserve"> </w:t>
      </w:r>
      <w:r w:rsidR="00177947">
        <w:rPr>
          <w:i/>
        </w:rPr>
        <w:t>F</w:t>
      </w:r>
      <w:r w:rsidRPr="002029AF">
        <w:rPr>
          <w:i/>
        </w:rPr>
        <w:t>ramework</w:t>
      </w:r>
      <w:r w:rsidRPr="002029AF">
        <w:t xml:space="preserve"> a set of robust and interconnected governance mechanisms that extend across the department’s operational divisions and areas has now been established.</w:t>
      </w:r>
    </w:p>
    <w:p w14:paraId="24254C8C" w14:textId="292DC5CF" w:rsidR="00603E4B" w:rsidRPr="002029AF" w:rsidRDefault="00603E4B" w:rsidP="00603E4B">
      <w:pPr>
        <w:pStyle w:val="ARbody"/>
      </w:pPr>
      <w:r w:rsidRPr="002029AF">
        <w:t xml:space="preserve">The Aboriginal Strategic Governance Forum is the statewide governance mechanism of the </w:t>
      </w:r>
      <w:r w:rsidRPr="002029AF">
        <w:rPr>
          <w:i/>
          <w:iCs/>
        </w:rPr>
        <w:t xml:space="preserve">Aboriginal </w:t>
      </w:r>
      <w:r w:rsidR="00177947">
        <w:rPr>
          <w:i/>
          <w:iCs/>
        </w:rPr>
        <w:t>G</w:t>
      </w:r>
      <w:r w:rsidRPr="002029AF">
        <w:rPr>
          <w:i/>
          <w:iCs/>
        </w:rPr>
        <w:t xml:space="preserve">overnance and </w:t>
      </w:r>
      <w:r w:rsidR="00177947">
        <w:rPr>
          <w:i/>
          <w:iCs/>
        </w:rPr>
        <w:t>A</w:t>
      </w:r>
      <w:r w:rsidRPr="002029AF">
        <w:rPr>
          <w:i/>
          <w:iCs/>
        </w:rPr>
        <w:t xml:space="preserve">ccountability </w:t>
      </w:r>
      <w:r w:rsidR="00177947">
        <w:rPr>
          <w:i/>
          <w:iCs/>
        </w:rPr>
        <w:t>F</w:t>
      </w:r>
      <w:r w:rsidRPr="002029AF">
        <w:rPr>
          <w:i/>
          <w:iCs/>
        </w:rPr>
        <w:t>ramework</w:t>
      </w:r>
      <w:r w:rsidRPr="002029AF">
        <w:t xml:space="preserve">. It is a strategic decision-making forum focused on the resolution of high-level strategic and cross-sectoral sector development and policy implementation issues. It also oversees the monitoring of progress against the strategic directions and actions outlined in </w:t>
      </w:r>
      <w:r w:rsidRPr="00BA07B9">
        <w:rPr>
          <w:i/>
          <w:iCs/>
        </w:rPr>
        <w:t>Korin Korin Balit-Djak</w:t>
      </w:r>
      <w:r w:rsidRPr="002029AF">
        <w:t>.</w:t>
      </w:r>
    </w:p>
    <w:p w14:paraId="45F66BE7" w14:textId="77777777" w:rsidR="00603E4B" w:rsidRPr="002029AF" w:rsidRDefault="00603E4B" w:rsidP="00603E4B">
      <w:pPr>
        <w:pStyle w:val="ARbody"/>
      </w:pPr>
      <w:r w:rsidRPr="002029AF">
        <w:t>The divisional Aboriginal Governance Committees provide advice and learnings from their local committees and communities into the Aboriginal Strategic Governance Forum.</w:t>
      </w:r>
    </w:p>
    <w:p w14:paraId="19965CFB" w14:textId="786ABF15" w:rsidR="00603E4B" w:rsidRPr="002029AF" w:rsidRDefault="00603E4B" w:rsidP="00603E4B">
      <w:pPr>
        <w:pStyle w:val="ARbody"/>
      </w:pPr>
      <w:r w:rsidRPr="002029AF">
        <w:t>The committees held their first divisional forums to</w:t>
      </w:r>
      <w:r w:rsidR="003C6F78">
        <w:t> </w:t>
      </w:r>
      <w:r w:rsidRPr="002029AF">
        <w:t>progress the development of divisional action plans, outlining aspirations and challenges for local</w:t>
      </w:r>
      <w:r w:rsidR="003C6F78">
        <w:t> </w:t>
      </w:r>
      <w:r w:rsidRPr="002029AF">
        <w:t>communities.</w:t>
      </w:r>
    </w:p>
    <w:p w14:paraId="3879B76A" w14:textId="64D624B3" w:rsidR="00603E4B" w:rsidRPr="002029AF" w:rsidRDefault="00603E4B" w:rsidP="00603E4B">
      <w:pPr>
        <w:pStyle w:val="ARbody"/>
      </w:pPr>
      <w:r w:rsidRPr="002029AF">
        <w:t xml:space="preserve">The area and divisional Aboriginal Governance Committees sponsor the allocation of </w:t>
      </w:r>
      <w:r w:rsidRPr="00BA07B9">
        <w:rPr>
          <w:i/>
          <w:iCs/>
        </w:rPr>
        <w:t>Korin Korin Balit</w:t>
      </w:r>
      <w:r w:rsidR="0054384A" w:rsidRPr="00BA07B9">
        <w:rPr>
          <w:i/>
          <w:iCs/>
        </w:rPr>
        <w:t>-</w:t>
      </w:r>
      <w:r w:rsidRPr="00BA07B9">
        <w:rPr>
          <w:i/>
          <w:iCs/>
        </w:rPr>
        <w:t>Djak</w:t>
      </w:r>
      <w:r w:rsidRPr="002029AF">
        <w:t xml:space="preserve"> funding to initiatives.</w:t>
      </w:r>
    </w:p>
    <w:p w14:paraId="307E3A1F" w14:textId="77777777" w:rsidR="00603E4B" w:rsidRPr="002029AF" w:rsidRDefault="00603E4B" w:rsidP="00603E4B">
      <w:pPr>
        <w:pStyle w:val="Heading6"/>
        <w:rPr>
          <w:szCs w:val="20"/>
          <w:lang w:val="en-AU"/>
        </w:rPr>
      </w:pPr>
      <w:r w:rsidRPr="002029AF">
        <w:rPr>
          <w:szCs w:val="20"/>
          <w:lang w:val="en-AU"/>
        </w:rPr>
        <w:t>Self-determination and prioritising funding</w:t>
      </w:r>
    </w:p>
    <w:p w14:paraId="75887E37" w14:textId="77777777" w:rsidR="00603E4B" w:rsidRPr="002029AF" w:rsidRDefault="00603E4B" w:rsidP="00603E4B">
      <w:pPr>
        <w:pStyle w:val="ARbody"/>
      </w:pPr>
      <w:r w:rsidRPr="002029AF">
        <w:t>Research shows that when services are designed, developed and delivered by and for Aboriginal people, their health and wellbeing outcomes are improved.</w:t>
      </w:r>
    </w:p>
    <w:p w14:paraId="105F04B6" w14:textId="621A8B4F" w:rsidR="00603E4B" w:rsidRPr="002029AF" w:rsidRDefault="00603E4B" w:rsidP="00603E4B">
      <w:pPr>
        <w:pStyle w:val="ARbody"/>
      </w:pPr>
      <w:r w:rsidRPr="002029AF">
        <w:t>In July 2017, the department launched the </w:t>
      </w:r>
      <w:r w:rsidRPr="002029AF">
        <w:rPr>
          <w:i/>
        </w:rPr>
        <w:t xml:space="preserve">Supporting </w:t>
      </w:r>
      <w:r w:rsidR="00F305BC">
        <w:rPr>
          <w:i/>
        </w:rPr>
        <w:t>S</w:t>
      </w:r>
      <w:r w:rsidRPr="002029AF">
        <w:rPr>
          <w:i/>
        </w:rPr>
        <w:t>elf-</w:t>
      </w:r>
      <w:r w:rsidR="00F305BC">
        <w:rPr>
          <w:i/>
        </w:rPr>
        <w:t>D</w:t>
      </w:r>
      <w:r w:rsidRPr="002029AF">
        <w:rPr>
          <w:i/>
        </w:rPr>
        <w:t xml:space="preserve">etermination: </w:t>
      </w:r>
      <w:r w:rsidR="00F305BC">
        <w:rPr>
          <w:i/>
        </w:rPr>
        <w:t>P</w:t>
      </w:r>
      <w:r w:rsidRPr="002029AF">
        <w:rPr>
          <w:i/>
        </w:rPr>
        <w:t xml:space="preserve">rioritising </w:t>
      </w:r>
      <w:r w:rsidR="00F305BC">
        <w:rPr>
          <w:i/>
        </w:rPr>
        <w:t>F</w:t>
      </w:r>
      <w:r w:rsidRPr="002029AF">
        <w:rPr>
          <w:i/>
        </w:rPr>
        <w:t xml:space="preserve">unding to Aboriginal </w:t>
      </w:r>
      <w:r w:rsidR="00F305BC">
        <w:rPr>
          <w:i/>
        </w:rPr>
        <w:t>O</w:t>
      </w:r>
      <w:r w:rsidRPr="002029AF">
        <w:rPr>
          <w:i/>
        </w:rPr>
        <w:t xml:space="preserve">rganisations </w:t>
      </w:r>
      <w:r w:rsidRPr="00BA07B9">
        <w:rPr>
          <w:iCs/>
        </w:rPr>
        <w:t>policy</w:t>
      </w:r>
      <w:r w:rsidRPr="002029AF">
        <w:rPr>
          <w:i/>
        </w:rPr>
        <w:t>,</w:t>
      </w:r>
      <w:r w:rsidRPr="002029AF">
        <w:t xml:space="preserve"> with the</w:t>
      </w:r>
      <w:r w:rsidR="003C6F78">
        <w:t> </w:t>
      </w:r>
      <w:r w:rsidRPr="002029AF">
        <w:t>overall objective of supporting Aboriginal self-determination and improving the health, wellbeing and safety outcomes of Aboriginal Victorians.</w:t>
      </w:r>
    </w:p>
    <w:p w14:paraId="28446FFE" w14:textId="0520C7A0" w:rsidR="00603E4B" w:rsidRPr="002029AF" w:rsidRDefault="003C6F78" w:rsidP="00603E4B">
      <w:pPr>
        <w:pStyle w:val="ARbody"/>
      </w:pPr>
      <w:r>
        <w:br w:type="column"/>
      </w:r>
      <w:r w:rsidR="00603E4B" w:rsidRPr="002029AF">
        <w:t>The policy aims to prioritise Aboriginal-specific funding to Aboriginal organisations who provide services that address their communities’ health, wellbeing and safety needs and aspirations.</w:t>
      </w:r>
    </w:p>
    <w:p w14:paraId="64892DC0" w14:textId="4C315E68" w:rsidR="00603E4B" w:rsidRPr="002029AF" w:rsidRDefault="00603E4B" w:rsidP="00603E4B">
      <w:pPr>
        <w:pStyle w:val="ARbody"/>
      </w:pPr>
      <w:r w:rsidRPr="002029AF">
        <w:t>Recognising the complexity of implementing the</w:t>
      </w:r>
      <w:r w:rsidR="0054384A">
        <w:t> </w:t>
      </w:r>
      <w:r w:rsidRPr="002029AF">
        <w:t>policy across the broad health and human services sector with multiple funding streams, the</w:t>
      </w:r>
      <w:r w:rsidR="0054384A">
        <w:t> </w:t>
      </w:r>
      <w:r w:rsidRPr="002029AF">
        <w:t>department undertook a research and consultation project to consider how best to stage</w:t>
      </w:r>
      <w:r w:rsidR="0054384A">
        <w:t> </w:t>
      </w:r>
      <w:r w:rsidRPr="002029AF">
        <w:t>implementation.</w:t>
      </w:r>
    </w:p>
    <w:p w14:paraId="7DAD0DB7" w14:textId="77777777" w:rsidR="00603E4B" w:rsidRPr="002029AF" w:rsidRDefault="00603E4B" w:rsidP="00603E4B">
      <w:pPr>
        <w:pStyle w:val="Heading6"/>
        <w:rPr>
          <w:lang w:val="en-AU"/>
        </w:rPr>
      </w:pPr>
      <w:r w:rsidRPr="002029AF">
        <w:rPr>
          <w:lang w:val="en-AU"/>
        </w:rPr>
        <w:t>Aboriginal Research and Evaluation Framework</w:t>
      </w:r>
    </w:p>
    <w:p w14:paraId="4489AF76" w14:textId="12FAE9C4" w:rsidR="004E6007" w:rsidRPr="002029AF" w:rsidRDefault="004E6007" w:rsidP="004E6007">
      <w:pPr>
        <w:pStyle w:val="ARbody"/>
      </w:pPr>
      <w:bookmarkStart w:id="45" w:name="_Hlk52950287"/>
      <w:r w:rsidRPr="002029AF">
        <w:t xml:space="preserve">The Victorian Aboriginal Child Care Agency will finalise the </w:t>
      </w:r>
      <w:r w:rsidRPr="00B032FB">
        <w:rPr>
          <w:i/>
          <w:iCs/>
        </w:rPr>
        <w:t xml:space="preserve">Aboriginal </w:t>
      </w:r>
      <w:r w:rsidR="00177947">
        <w:rPr>
          <w:i/>
          <w:iCs/>
        </w:rPr>
        <w:t>R</w:t>
      </w:r>
      <w:r w:rsidRPr="00B032FB">
        <w:rPr>
          <w:i/>
          <w:iCs/>
        </w:rPr>
        <w:t xml:space="preserve">esearch and </w:t>
      </w:r>
      <w:r w:rsidR="00177947">
        <w:rPr>
          <w:i/>
          <w:iCs/>
        </w:rPr>
        <w:t>E</w:t>
      </w:r>
      <w:r w:rsidRPr="00B032FB">
        <w:rPr>
          <w:i/>
          <w:iCs/>
        </w:rPr>
        <w:t xml:space="preserve">valuation </w:t>
      </w:r>
      <w:r w:rsidR="00177947">
        <w:rPr>
          <w:i/>
          <w:iCs/>
        </w:rPr>
        <w:t>F</w:t>
      </w:r>
      <w:r w:rsidRPr="00B032FB">
        <w:rPr>
          <w:i/>
          <w:iCs/>
        </w:rPr>
        <w:t>ramework</w:t>
      </w:r>
      <w:r w:rsidRPr="002029AF">
        <w:t xml:space="preserve"> and the monitoring, evaluation and accountability plans for each of the department’s policies. Following the delivery of the plans, the Victorian Aboriginal Child Care Agency will focus on developing the high-level, intersectional theory of change to be included in the framework.</w:t>
      </w:r>
    </w:p>
    <w:bookmarkEnd w:id="45"/>
    <w:p w14:paraId="1B64DB9A" w14:textId="77777777" w:rsidR="00603E4B" w:rsidRPr="002029AF" w:rsidRDefault="00603E4B" w:rsidP="00603E4B">
      <w:pPr>
        <w:pStyle w:val="ARbody"/>
      </w:pPr>
      <w:r w:rsidRPr="002029AF">
        <w:t xml:space="preserve">The implementation plan for the </w:t>
      </w:r>
      <w:r w:rsidRPr="00BA07B9">
        <w:rPr>
          <w:i/>
          <w:iCs/>
        </w:rPr>
        <w:t xml:space="preserve">Dhelk Dja </w:t>
      </w:r>
      <w:r w:rsidRPr="002029AF">
        <w:t xml:space="preserve">agreement sets out a monitoring and evaluation strategy for the Dhelk Dja Partnership Forum, including conducting an evaluation study, and oversees performance monitoring of key initiatives, programs and actions under the </w:t>
      </w:r>
      <w:r w:rsidRPr="00BA07B9">
        <w:rPr>
          <w:i/>
          <w:iCs/>
        </w:rPr>
        <w:t>Dhelk Dja</w:t>
      </w:r>
      <w:r w:rsidRPr="002029AF">
        <w:t xml:space="preserve"> agreement.</w:t>
      </w:r>
    </w:p>
    <w:p w14:paraId="074967CF" w14:textId="77777777" w:rsidR="00603E4B" w:rsidRPr="002029AF" w:rsidRDefault="00603E4B" w:rsidP="00603E4B">
      <w:pPr>
        <w:pStyle w:val="ARbody"/>
      </w:pPr>
      <w:r w:rsidRPr="002029AF">
        <w:t>Reporting on the implementation of actions in each three-year action plan will be formally monitored at Dhelk Dja Partnership Forum meetings. Indicators are being developed for reporting annually to enable the forum to track progress and make strategic decisions about priorities.</w:t>
      </w:r>
    </w:p>
    <w:p w14:paraId="262020E8" w14:textId="77777777" w:rsidR="00603E4B" w:rsidRPr="002029AF" w:rsidRDefault="00603E4B" w:rsidP="00603E4B">
      <w:pPr>
        <w:pStyle w:val="ARbody"/>
      </w:pPr>
      <w:r w:rsidRPr="002029AF">
        <w:t>An evaluation of capacity building for the Preventing the Cycle of Violence Aboriginal Fund and the Aboriginal Community Initiatives Fund is underway.</w:t>
      </w:r>
    </w:p>
    <w:p w14:paraId="399B1A4E" w14:textId="1D13AEE0" w:rsidR="00603E4B" w:rsidRPr="002029AF" w:rsidRDefault="00603E4B" w:rsidP="00603E4B">
      <w:pPr>
        <w:pStyle w:val="ARbody"/>
      </w:pPr>
      <w:r w:rsidRPr="002029AF">
        <w:t xml:space="preserve">The theory of change for </w:t>
      </w:r>
      <w:r w:rsidRPr="002029AF">
        <w:rPr>
          <w:i/>
          <w:iCs/>
        </w:rPr>
        <w:t>Wungurilwil Gapgapduir</w:t>
      </w:r>
      <w:r w:rsidRPr="002029AF">
        <w:t xml:space="preserve"> is</w:t>
      </w:r>
      <w:r w:rsidR="003C6F78">
        <w:t> </w:t>
      </w:r>
      <w:r w:rsidRPr="002029AF">
        <w:t>now complete and indicators and measures of impact are being developed.</w:t>
      </w:r>
    </w:p>
    <w:p w14:paraId="0E4CFAC1" w14:textId="48E6FEE9" w:rsidR="00603E4B" w:rsidRPr="002029AF" w:rsidRDefault="00603E4B" w:rsidP="00603E4B">
      <w:pPr>
        <w:pStyle w:val="ARbody"/>
      </w:pPr>
      <w:r w:rsidRPr="002029AF">
        <w:t xml:space="preserve">Stakeholder engagement is underway for the </w:t>
      </w:r>
      <w:r w:rsidRPr="00BA07B9">
        <w:rPr>
          <w:i/>
          <w:iCs/>
        </w:rPr>
        <w:t>Balit</w:t>
      </w:r>
      <w:r w:rsidR="003C6F78" w:rsidRPr="00BA07B9">
        <w:rPr>
          <w:i/>
          <w:iCs/>
        </w:rPr>
        <w:t> </w:t>
      </w:r>
      <w:r w:rsidRPr="00BA07B9">
        <w:rPr>
          <w:i/>
          <w:iCs/>
        </w:rPr>
        <w:t>Murrup</w:t>
      </w:r>
      <w:r w:rsidRPr="002029AF">
        <w:t xml:space="preserve"> and </w:t>
      </w:r>
      <w:r w:rsidRPr="00BA07B9">
        <w:rPr>
          <w:i/>
          <w:iCs/>
        </w:rPr>
        <w:t>Korin Korin Balit-Djak</w:t>
      </w:r>
      <w:r w:rsidRPr="002029AF">
        <w:t xml:space="preserve"> theories of</w:t>
      </w:r>
      <w:r w:rsidR="003C6F78">
        <w:t> </w:t>
      </w:r>
      <w:r w:rsidRPr="002029AF">
        <w:t>change.</w:t>
      </w:r>
    </w:p>
    <w:p w14:paraId="3A3C7E7A" w14:textId="5A053046" w:rsidR="00603E4B" w:rsidRPr="002029AF" w:rsidRDefault="00603E4B" w:rsidP="00603E4B">
      <w:pPr>
        <w:pStyle w:val="Heading6"/>
        <w:rPr>
          <w:lang w:val="en-AU"/>
        </w:rPr>
      </w:pPr>
      <w:r w:rsidRPr="002029AF">
        <w:rPr>
          <w:lang w:val="en-AU"/>
        </w:rPr>
        <w:t>Development of the Aboriginal Research</w:t>
      </w:r>
      <w:r w:rsidR="003C6F78">
        <w:rPr>
          <w:lang w:val="en-AU"/>
        </w:rPr>
        <w:t> </w:t>
      </w:r>
      <w:r w:rsidRPr="002029AF">
        <w:rPr>
          <w:lang w:val="en-AU"/>
        </w:rPr>
        <w:t>Accord</w:t>
      </w:r>
    </w:p>
    <w:p w14:paraId="3DCCE949" w14:textId="77777777" w:rsidR="00603E4B" w:rsidRPr="002029AF" w:rsidRDefault="00603E4B" w:rsidP="00603E4B">
      <w:pPr>
        <w:pStyle w:val="ARbody"/>
      </w:pPr>
      <w:r w:rsidRPr="002029AF">
        <w:t xml:space="preserve">The department has been progressing work on the development of an Aboriginal Research Accord to recognise and embed culturally sensitive practices and respect in medical research and to advance </w:t>
      </w:r>
      <w:r w:rsidRPr="002029AF">
        <w:lastRenderedPageBreak/>
        <w:t>Aboriginal research across all departmental services so that all models of care are informed with embedded cultural safety and responsiveness.</w:t>
      </w:r>
    </w:p>
    <w:p w14:paraId="791E5CA0" w14:textId="77777777" w:rsidR="00603E4B" w:rsidRPr="002029AF" w:rsidRDefault="00603E4B" w:rsidP="00603E4B">
      <w:pPr>
        <w:pStyle w:val="Heading6"/>
        <w:rPr>
          <w:lang w:val="en-AU"/>
        </w:rPr>
      </w:pPr>
      <w:r w:rsidRPr="002029AF">
        <w:rPr>
          <w:lang w:val="en-AU"/>
        </w:rPr>
        <w:t>Trans and gender diverse health initiative</w:t>
      </w:r>
    </w:p>
    <w:p w14:paraId="1CD44E6D" w14:textId="74B8E817" w:rsidR="00603E4B" w:rsidRPr="002029AF" w:rsidRDefault="00603E4B" w:rsidP="00603E4B">
      <w:pPr>
        <w:pStyle w:val="ARbody"/>
      </w:pPr>
      <w:r w:rsidRPr="002029AF">
        <w:t>In 2018, the Victorian Government announced an investment of $3.4 million to expand the health system</w:t>
      </w:r>
      <w:r w:rsidR="005F298C">
        <w:t>’</w:t>
      </w:r>
      <w:r w:rsidRPr="002029AF">
        <w:t>s capacity to support and better meet the needs of trans and gender diverse Victorians. To</w:t>
      </w:r>
      <w:r w:rsidR="003C6F78">
        <w:t> </w:t>
      </w:r>
      <w:r w:rsidRPr="002029AF">
        <w:t xml:space="preserve">progress </w:t>
      </w:r>
      <w:r w:rsidR="00531CF6" w:rsidRPr="002029AF">
        <w:t>this</w:t>
      </w:r>
      <w:r w:rsidRPr="002029AF">
        <w:t xml:space="preserve"> work the government has commissioned two multidisciplinary clinics (outer</w:t>
      </w:r>
      <w:r w:rsidR="00AD78D6">
        <w:t> </w:t>
      </w:r>
      <w:r w:rsidRPr="002029AF">
        <w:t>metropolitan and regional), and a targeted statewide health professional training program focused on inclusive and responsive healthcare.</w:t>
      </w:r>
    </w:p>
    <w:p w14:paraId="17D17F72" w14:textId="5543F4B8" w:rsidR="00603E4B" w:rsidRPr="002029AF" w:rsidRDefault="00603E4B" w:rsidP="00603E4B">
      <w:pPr>
        <w:pStyle w:val="ARbody"/>
      </w:pPr>
      <w:r w:rsidRPr="002029AF">
        <w:t>The clinics at Your Community Health in Melbourne</w:t>
      </w:r>
      <w:r w:rsidR="005F298C">
        <w:t>’</w:t>
      </w:r>
      <w:r w:rsidRPr="002029AF">
        <w:t>s North and Ballarat Community Health</w:t>
      </w:r>
      <w:r w:rsidR="003C6F78">
        <w:t> </w:t>
      </w:r>
      <w:r w:rsidRPr="002029AF">
        <w:t>provide primary care and gender affirmation services, including general practitioner services, sexual health, speech therapy and counselling. Trans and gender diverse peer navigators are a core component of the initiative. The new clinics provide coordinated referrals to Austin Health and other providers should they be required.</w:t>
      </w:r>
    </w:p>
    <w:p w14:paraId="5B12F5B4" w14:textId="1324F6DD" w:rsidR="00603E4B" w:rsidRPr="002029AF" w:rsidRDefault="00603E4B" w:rsidP="00603E4B">
      <w:pPr>
        <w:pStyle w:val="ARbody"/>
      </w:pPr>
      <w:r w:rsidRPr="002029AF">
        <w:t xml:space="preserve">Thorne Harbour Health delivered a training program for healthcare staff across the state to provide inclusive services to the trans and gender diverse community. The training program was </w:t>
      </w:r>
      <w:r w:rsidR="003C6F78">
        <w:br/>
      </w:r>
      <w:r w:rsidRPr="002029AF">
        <w:t>co-designed and delivered with trans and gender diverse people.</w:t>
      </w:r>
    </w:p>
    <w:p w14:paraId="0168EA90" w14:textId="26ED75AE" w:rsidR="00603E4B" w:rsidRPr="002029AF" w:rsidRDefault="00603E4B" w:rsidP="00603E4B">
      <w:pPr>
        <w:pStyle w:val="ARbody"/>
      </w:pPr>
      <w:r w:rsidRPr="002029AF">
        <w:t>As part of this initiative, the Victorian Government is</w:t>
      </w:r>
      <w:r w:rsidR="003C6F78">
        <w:t> </w:t>
      </w:r>
      <w:r w:rsidRPr="002029AF">
        <w:t>also partnering with Transgender Victoria to develop a peer support program, which will be designed by and delivered with trans and gender diverse community members.</w:t>
      </w:r>
    </w:p>
    <w:p w14:paraId="30FB4691" w14:textId="69A300DC" w:rsidR="00603E4B" w:rsidRPr="002029AF" w:rsidRDefault="00603E4B" w:rsidP="00603E4B">
      <w:pPr>
        <w:pStyle w:val="ARbody"/>
      </w:pPr>
      <w:r w:rsidRPr="002029AF">
        <w:t>The overall aim of this initiative is to ensure that trans and gender diverse people – and their families – have access to the appropriate healthcare and support they need, when they need</w:t>
      </w:r>
      <w:r w:rsidR="003C6F78">
        <w:t> </w:t>
      </w:r>
      <w:r w:rsidRPr="002029AF">
        <w:t>it.</w:t>
      </w:r>
    </w:p>
    <w:p w14:paraId="32CF019E" w14:textId="77777777" w:rsidR="00603E4B" w:rsidRPr="002029AF" w:rsidRDefault="00603E4B" w:rsidP="00603E4B">
      <w:pPr>
        <w:pStyle w:val="Heading5"/>
      </w:pPr>
      <w:r w:rsidRPr="002029AF">
        <w:t>COVID-19 objective 3: Empower the Victorian community, health professionals and the community to ensure a proportionate and equitable response.</w:t>
      </w:r>
    </w:p>
    <w:p w14:paraId="4A7DE0AE" w14:textId="24A33F07" w:rsidR="00603E4B" w:rsidRPr="002029AF" w:rsidRDefault="00603E4B" w:rsidP="00603E4B">
      <w:pPr>
        <w:pStyle w:val="Heading6"/>
        <w:rPr>
          <w:lang w:val="en-AU"/>
        </w:rPr>
      </w:pPr>
      <w:r w:rsidRPr="002029AF">
        <w:rPr>
          <w:lang w:val="en-AU"/>
        </w:rPr>
        <w:t>Supporting self-determination through Aboriginal-led, culturally safe responses to</w:t>
      </w:r>
      <w:r w:rsidR="007C4ED3">
        <w:rPr>
          <w:lang w:val="en-AU"/>
        </w:rPr>
        <w:t> </w:t>
      </w:r>
      <w:r w:rsidRPr="002029AF">
        <w:rPr>
          <w:lang w:val="en-AU"/>
        </w:rPr>
        <w:t>coronavirus (COVID-19)</w:t>
      </w:r>
    </w:p>
    <w:p w14:paraId="3DFE6609" w14:textId="77777777" w:rsidR="004E6007" w:rsidRPr="002029AF" w:rsidRDefault="004E6007" w:rsidP="004E6007">
      <w:pPr>
        <w:pStyle w:val="ARbody"/>
      </w:pPr>
      <w:r w:rsidRPr="002029AF">
        <w:t xml:space="preserve">On 16 June 2020, the Victorian Government announced $23 million in </w:t>
      </w:r>
      <w:r>
        <w:t xml:space="preserve">funding for </w:t>
      </w:r>
      <w:r w:rsidRPr="002029AF">
        <w:t xml:space="preserve">Aboriginal community-controlled organisations and Aboriginal community-controlled health organisations to </w:t>
      </w:r>
      <w:r w:rsidRPr="002029AF">
        <w:t>provide culturally safe coronavirus (COVID-19) services and public health information to Aboriginal Victorians, and to meet increased demand. The funding supports self-determination by putting decision-making power back in the hands of Aboriginal communities.</w:t>
      </w:r>
    </w:p>
    <w:p w14:paraId="639D2CBA" w14:textId="471027E6" w:rsidR="004E6007" w:rsidRPr="002029AF" w:rsidRDefault="004E6007" w:rsidP="004E6007">
      <w:pPr>
        <w:pStyle w:val="ARbody"/>
      </w:pPr>
      <w:r w:rsidRPr="002029AF">
        <w:t>In addition, the Victorian Government established the COVID-19 Aboriginal Community Taskforce of</w:t>
      </w:r>
      <w:r w:rsidR="007C4ED3">
        <w:t> </w:t>
      </w:r>
      <w:r w:rsidRPr="002029AF">
        <w:t xml:space="preserve">which the Department of Health and Human Services is a co-chair and key contributor, along with Aboriginal Affairs Victoria, Department of Premier and Cabinet, and the Department of Justice and Community Safety. Comprising chief executive officers from peak and key </w:t>
      </w:r>
      <w:r>
        <w:t>Aboriginal community-controlled organisations</w:t>
      </w:r>
      <w:r w:rsidRPr="002029AF">
        <w:t>, the taskforce raises community issues and assists in developing and delivering emergency management responses.</w:t>
      </w:r>
    </w:p>
    <w:p w14:paraId="4291E718" w14:textId="525345CB" w:rsidR="00603E4B" w:rsidRPr="002029AF" w:rsidRDefault="00603E4B" w:rsidP="00603E4B">
      <w:pPr>
        <w:pStyle w:val="Heading6"/>
        <w:rPr>
          <w:lang w:val="en-AU"/>
        </w:rPr>
      </w:pPr>
      <w:r w:rsidRPr="002029AF">
        <w:rPr>
          <w:lang w:val="en-AU"/>
        </w:rPr>
        <w:t>Supporting Victorians with a disability during</w:t>
      </w:r>
      <w:r w:rsidR="007C4ED3">
        <w:rPr>
          <w:lang w:val="en-AU"/>
        </w:rPr>
        <w:t> </w:t>
      </w:r>
      <w:r w:rsidRPr="002029AF">
        <w:rPr>
          <w:lang w:val="en-AU"/>
        </w:rPr>
        <w:t>coronavirus (COVID-19)</w:t>
      </w:r>
    </w:p>
    <w:p w14:paraId="5CE4325D" w14:textId="4F5B8CB3" w:rsidR="004220FF" w:rsidRPr="002029AF" w:rsidRDefault="004220FF" w:rsidP="004220FF">
      <w:pPr>
        <w:pStyle w:val="ARbody"/>
      </w:pPr>
      <w:r w:rsidRPr="002029AF">
        <w:t>Coronavirus (COVID-19) poses an increased risk to</w:t>
      </w:r>
      <w:r>
        <w:t> </w:t>
      </w:r>
      <w:r w:rsidRPr="002029AF">
        <w:t xml:space="preserve">people with disability. The department worked closely with the Victorian Disability Advisory Council </w:t>
      </w:r>
      <w:r>
        <w:t xml:space="preserve">and the COVID-19 Disability Taskforce </w:t>
      </w:r>
      <w:r w:rsidRPr="002029AF">
        <w:t>to ensure it is responsive to the particular needs of people with disability during the pandemic</w:t>
      </w:r>
      <w:r w:rsidR="00781D07">
        <w:t>,</w:t>
      </w:r>
      <w:r w:rsidRPr="002029AF">
        <w:t xml:space="preserve"> and the Victorian Government developed the coronavirus (COVID-19) Plan for the Disability Services Sector and provided an additional $17</w:t>
      </w:r>
      <w:r>
        <w:t> </w:t>
      </w:r>
      <w:r w:rsidRPr="002029AF">
        <w:t>million funding to support the needs of people</w:t>
      </w:r>
      <w:r>
        <w:t> </w:t>
      </w:r>
      <w:r w:rsidRPr="002029AF">
        <w:t>with disability.</w:t>
      </w:r>
    </w:p>
    <w:p w14:paraId="396CF2F3" w14:textId="77777777" w:rsidR="004220FF" w:rsidRPr="002029AF" w:rsidRDefault="004220FF" w:rsidP="004220FF">
      <w:pPr>
        <w:pStyle w:val="ARbody"/>
      </w:pPr>
      <w:r w:rsidRPr="002029AF">
        <w:t>The funding ensured that all Victorians with disability could access health services when they needed to, that disability advocacy services were available and that supports were available for the many people with disability in Victoria who do not have access to the National Disability Insurance Scheme.</w:t>
      </w:r>
    </w:p>
    <w:p w14:paraId="30CD1452" w14:textId="77777777" w:rsidR="00020FE5" w:rsidRDefault="004220FF" w:rsidP="004220FF">
      <w:pPr>
        <w:pStyle w:val="ARbody"/>
      </w:pPr>
      <w:r w:rsidRPr="002029AF">
        <w:t>The Victorian Government helped disability providers to increase their infection prevention and</w:t>
      </w:r>
      <w:r>
        <w:t> </w:t>
      </w:r>
      <w:r w:rsidRPr="002029AF">
        <w:t>control expertise</w:t>
      </w:r>
      <w:r>
        <w:t>.</w:t>
      </w:r>
    </w:p>
    <w:p w14:paraId="2A0024E3" w14:textId="2ABD0748" w:rsidR="00603E4B" w:rsidRPr="002029AF" w:rsidRDefault="004220FF" w:rsidP="004220FF">
      <w:pPr>
        <w:pStyle w:val="ARbody"/>
      </w:pPr>
      <w:r w:rsidRPr="002029AF">
        <w:t>Through the National Cabinet the Commonwealth, Victorian and other state and territory governments agreed to the Australian Health Sector Emergency Response Plan for Novel Coronavirus (COVID-19) Management and Operational Plan for People with Disability, and the National Disability Insurance Scheme implemented increased funding flexibility</w:t>
      </w:r>
      <w:r>
        <w:t>.</w:t>
      </w:r>
    </w:p>
    <w:p w14:paraId="6293ED5B" w14:textId="77777777" w:rsidR="00603E4B" w:rsidRPr="002029AF" w:rsidRDefault="00603E4B" w:rsidP="00603E4B">
      <w:pPr>
        <w:pStyle w:val="Heading5"/>
      </w:pPr>
      <w:r w:rsidRPr="002029AF">
        <w:lastRenderedPageBreak/>
        <w:t>COVID-19 objective 4: Support containment strategies through accurate, timely and coordinated communication and community support.</w:t>
      </w:r>
    </w:p>
    <w:p w14:paraId="6005B48B" w14:textId="77777777" w:rsidR="00603E4B" w:rsidRPr="002029AF" w:rsidRDefault="00603E4B" w:rsidP="00603E4B">
      <w:pPr>
        <w:pStyle w:val="Heading6"/>
        <w:rPr>
          <w:lang w:val="en-AU"/>
        </w:rPr>
      </w:pPr>
      <w:r w:rsidRPr="002029AF">
        <w:rPr>
          <w:lang w:val="en-AU"/>
        </w:rPr>
        <w:t>Coronavirus (COVID-19) public health information and directives</w:t>
      </w:r>
    </w:p>
    <w:p w14:paraId="55EC1555" w14:textId="765C432F" w:rsidR="00603E4B" w:rsidRPr="002029AF" w:rsidRDefault="00603E4B" w:rsidP="00B45A1D">
      <w:pPr>
        <w:pStyle w:val="ARbody"/>
      </w:pPr>
      <w:r w:rsidRPr="002029AF">
        <w:t xml:space="preserve">Victoria’s public health team has worked closely with health services, local government and community organisations to ensure people have information about coronavirus (COVID-19) and where to get tested. Their efforts include the provision of a round-the-clock coronavirus </w:t>
      </w:r>
      <w:r w:rsidR="007C4ED3">
        <w:br/>
      </w:r>
      <w:r w:rsidRPr="002029AF">
        <w:t>(COVID-19) hotline and up-to-date public health information in multiple languages on the dedicated coronavirus (COVID-19) website.</w:t>
      </w:r>
    </w:p>
    <w:p w14:paraId="5CFB39BD" w14:textId="604099D5" w:rsidR="00603E4B" w:rsidRPr="002029AF" w:rsidRDefault="007C4ED3" w:rsidP="00B45A1D">
      <w:pPr>
        <w:pStyle w:val="ARbody"/>
      </w:pPr>
      <w:r>
        <w:br w:type="column"/>
      </w:r>
      <w:r w:rsidR="00603E4B" w:rsidRPr="002029AF">
        <w:t xml:space="preserve">Communication and information regarding the public health directives during the pandemic, such as orders to stay at home and practise social distancing, </w:t>
      </w:r>
      <w:r w:rsidR="004E6007">
        <w:t>have</w:t>
      </w:r>
      <w:r w:rsidR="00603E4B" w:rsidRPr="002029AF">
        <w:t xml:space="preserve"> also been of great importance to the Victorian community. The Chief Health Officer and relevant health officials have regularly attended daily press conferences with the Victorian Premier throughout the pandemic, explaining the directives and their importance and answering questions about them.</w:t>
      </w:r>
    </w:p>
    <w:p w14:paraId="2CE2FC06" w14:textId="75561F30" w:rsidR="00603E4B" w:rsidRPr="002029AF" w:rsidRDefault="00603E4B" w:rsidP="00B45A1D">
      <w:pPr>
        <w:pStyle w:val="ARbody"/>
      </w:pPr>
      <w:r w:rsidRPr="002029AF">
        <w:t>The department convened and has worked closely</w:t>
      </w:r>
      <w:r w:rsidR="007C4ED3">
        <w:t> </w:t>
      </w:r>
      <w:r w:rsidRPr="002029AF">
        <w:t xml:space="preserve">with a </w:t>
      </w:r>
      <w:r w:rsidR="00CC3DEB" w:rsidRPr="002029AF">
        <w:t>coronavirus</w:t>
      </w:r>
      <w:r w:rsidR="00543458" w:rsidRPr="002029AF">
        <w:t xml:space="preserve"> (</w:t>
      </w:r>
      <w:r w:rsidRPr="002029AF">
        <w:t>COVID-19</w:t>
      </w:r>
      <w:r w:rsidR="00543458" w:rsidRPr="002029AF">
        <w:t>)</w:t>
      </w:r>
      <w:r w:rsidRPr="002029AF">
        <w:t xml:space="preserve"> Accessible Communications Reference Group. The Group – which comprises representatives from </w:t>
      </w:r>
      <w:r w:rsidR="004E6007">
        <w:t>the Victorian Disability Advisory Council</w:t>
      </w:r>
      <w:r w:rsidRPr="002029AF">
        <w:t xml:space="preserve">, disability advocacy organisations, and the broader disability community – has guided work around providing </w:t>
      </w:r>
      <w:r w:rsidR="00543458" w:rsidRPr="002029AF">
        <w:t>coronavirus (</w:t>
      </w:r>
      <w:r w:rsidRPr="002029AF">
        <w:t>COVID-19</w:t>
      </w:r>
      <w:r w:rsidR="00543458" w:rsidRPr="002029AF">
        <w:t>)</w:t>
      </w:r>
      <w:r w:rsidRPr="002029AF">
        <w:t xml:space="preserve"> related information in accessible formats and through a range of channels.</w:t>
      </w:r>
    </w:p>
    <w:p w14:paraId="1AEB4F65" w14:textId="77777777" w:rsidR="00603E4B" w:rsidRPr="002029AF" w:rsidRDefault="00603E4B" w:rsidP="00603E4B">
      <w:pPr>
        <w:rPr>
          <w:rFonts w:ascii="Arial" w:eastAsia="MS Gothic" w:hAnsi="Arial"/>
          <w:color w:val="87189D" w:themeColor="accent1"/>
          <w:sz w:val="28"/>
        </w:rPr>
        <w:sectPr w:rsidR="00603E4B" w:rsidRPr="002029AF" w:rsidSect="00B45A1D">
          <w:footnotePr>
            <w:numFmt w:val="chicago"/>
            <w:numRestart w:val="eachPage"/>
          </w:footnotePr>
          <w:endnotePr>
            <w:numFmt w:val="decimal"/>
          </w:endnotePr>
          <w:type w:val="continuous"/>
          <w:pgSz w:w="11900" w:h="16840" w:code="9"/>
          <w:pgMar w:top="1985" w:right="851" w:bottom="851" w:left="1418" w:header="510" w:footer="340" w:gutter="0"/>
          <w:cols w:num="2" w:space="454"/>
          <w15:footnoteColumns w:val="1"/>
        </w:sectPr>
      </w:pPr>
      <w:r w:rsidRPr="002029AF">
        <w:br w:type="page"/>
      </w:r>
    </w:p>
    <w:p w14:paraId="505187AB" w14:textId="77777777" w:rsidR="00603E4B" w:rsidRPr="002029AF" w:rsidRDefault="00603E4B" w:rsidP="002C0C09">
      <w:pPr>
        <w:pStyle w:val="Heading4larger"/>
      </w:pPr>
      <w:bookmarkStart w:id="46" w:name="_Toc50383611"/>
      <w:r w:rsidRPr="002029AF">
        <w:lastRenderedPageBreak/>
        <w:t>Objective 4: indicator results</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6A0" w:firstRow="1" w:lastRow="0" w:firstColumn="1" w:lastColumn="0" w:noHBand="1" w:noVBand="1"/>
      </w:tblPr>
      <w:tblGrid>
        <w:gridCol w:w="5485"/>
        <w:gridCol w:w="921"/>
        <w:gridCol w:w="921"/>
        <w:gridCol w:w="867"/>
        <w:gridCol w:w="1391"/>
        <w:gridCol w:w="54"/>
      </w:tblGrid>
      <w:tr w:rsidR="00961D18" w:rsidRPr="002029AF" w14:paraId="3AEA2699" w14:textId="77777777" w:rsidTr="006E2BC8">
        <w:trPr>
          <w:gridAfter w:val="1"/>
          <w:wAfter w:w="54" w:type="dxa"/>
          <w:cantSplit/>
          <w:tblHeader/>
        </w:trPr>
        <w:tc>
          <w:tcPr>
            <w:tcW w:w="5485" w:type="dxa"/>
            <w:tcBorders>
              <w:top w:val="nil"/>
              <w:left w:val="single" w:sz="4" w:space="0" w:color="FFFFFF"/>
              <w:bottom w:val="single" w:sz="4" w:space="0" w:color="auto"/>
              <w:right w:val="single" w:sz="4" w:space="0" w:color="FFFFFF"/>
            </w:tcBorders>
            <w:vAlign w:val="bottom"/>
          </w:tcPr>
          <w:p w14:paraId="569607F7" w14:textId="77777777" w:rsidR="00961D18" w:rsidRPr="002029AF" w:rsidRDefault="00961D18" w:rsidP="00F4536C">
            <w:pPr>
              <w:pStyle w:val="ARtablecolhead"/>
            </w:pPr>
          </w:p>
        </w:tc>
        <w:tc>
          <w:tcPr>
            <w:tcW w:w="921" w:type="dxa"/>
            <w:tcBorders>
              <w:top w:val="nil"/>
              <w:left w:val="single" w:sz="4" w:space="0" w:color="FFFFFF"/>
              <w:bottom w:val="single" w:sz="4" w:space="0" w:color="auto"/>
              <w:right w:val="single" w:sz="4" w:space="0" w:color="FFFFFF"/>
            </w:tcBorders>
            <w:vAlign w:val="bottom"/>
            <w:hideMark/>
          </w:tcPr>
          <w:p w14:paraId="54BC6473" w14:textId="77777777" w:rsidR="00961D18" w:rsidRPr="002029AF" w:rsidRDefault="00961D18" w:rsidP="00F4536C">
            <w:pPr>
              <w:pStyle w:val="ARtablecolhead"/>
            </w:pPr>
            <w:r w:rsidRPr="002029AF">
              <w:t>2016–17</w:t>
            </w:r>
          </w:p>
        </w:tc>
        <w:tc>
          <w:tcPr>
            <w:tcW w:w="921" w:type="dxa"/>
            <w:tcBorders>
              <w:top w:val="nil"/>
              <w:left w:val="single" w:sz="4" w:space="0" w:color="FFFFFF"/>
              <w:bottom w:val="single" w:sz="4" w:space="0" w:color="auto"/>
              <w:right w:val="single" w:sz="4" w:space="0" w:color="FFFFFF"/>
            </w:tcBorders>
            <w:vAlign w:val="bottom"/>
            <w:hideMark/>
          </w:tcPr>
          <w:p w14:paraId="5A6661D3" w14:textId="77777777" w:rsidR="00961D18" w:rsidRPr="002029AF" w:rsidRDefault="00961D18" w:rsidP="00F4536C">
            <w:pPr>
              <w:pStyle w:val="ARtablecolhead"/>
            </w:pPr>
            <w:r w:rsidRPr="002029AF">
              <w:t>2017–18</w:t>
            </w:r>
          </w:p>
        </w:tc>
        <w:tc>
          <w:tcPr>
            <w:tcW w:w="867" w:type="dxa"/>
            <w:tcBorders>
              <w:top w:val="nil"/>
              <w:left w:val="single" w:sz="4" w:space="0" w:color="FFFFFF"/>
              <w:bottom w:val="single" w:sz="4" w:space="0" w:color="auto"/>
              <w:right w:val="single" w:sz="4" w:space="0" w:color="FFFFFF"/>
            </w:tcBorders>
            <w:vAlign w:val="bottom"/>
            <w:hideMark/>
          </w:tcPr>
          <w:p w14:paraId="24C3B186" w14:textId="77777777" w:rsidR="00961D18" w:rsidRPr="002029AF" w:rsidRDefault="00961D18" w:rsidP="00F4536C">
            <w:pPr>
              <w:pStyle w:val="ARtablecolhead"/>
            </w:pPr>
            <w:r w:rsidRPr="002029AF">
              <w:t>2018–19</w:t>
            </w:r>
          </w:p>
        </w:tc>
        <w:tc>
          <w:tcPr>
            <w:tcW w:w="1391" w:type="dxa"/>
            <w:tcBorders>
              <w:top w:val="nil"/>
              <w:left w:val="single" w:sz="4" w:space="0" w:color="FFFFFF"/>
              <w:bottom w:val="single" w:sz="4" w:space="0" w:color="auto"/>
              <w:right w:val="single" w:sz="4" w:space="0" w:color="FFFFFF"/>
            </w:tcBorders>
            <w:vAlign w:val="bottom"/>
          </w:tcPr>
          <w:p w14:paraId="027E1B4E" w14:textId="77777777" w:rsidR="00961D18" w:rsidRPr="002029AF" w:rsidRDefault="00961D18" w:rsidP="00F4536C">
            <w:pPr>
              <w:pStyle w:val="ARtablecolhead"/>
            </w:pPr>
            <w:r w:rsidRPr="002029AF">
              <w:t>2019–20</w:t>
            </w:r>
          </w:p>
        </w:tc>
      </w:tr>
      <w:tr w:rsidR="00961D18" w:rsidRPr="002029AF" w14:paraId="4194AD03" w14:textId="77777777" w:rsidTr="006E2BC8">
        <w:trPr>
          <w:cantSplit/>
        </w:trPr>
        <w:tc>
          <w:tcPr>
            <w:tcW w:w="9639" w:type="dxa"/>
            <w:gridSpan w:val="6"/>
            <w:tcBorders>
              <w:top w:val="single" w:sz="4" w:space="0" w:color="auto"/>
              <w:left w:val="single" w:sz="4" w:space="0" w:color="FFFFFF"/>
              <w:bottom w:val="single" w:sz="4" w:space="0" w:color="BFBFBF"/>
              <w:right w:val="single" w:sz="4" w:space="0" w:color="FFFFFF"/>
            </w:tcBorders>
            <w:hideMark/>
          </w:tcPr>
          <w:p w14:paraId="43D79C51" w14:textId="77777777" w:rsidR="00961D18" w:rsidRPr="002029AF" w:rsidRDefault="00961D18" w:rsidP="00F4536C">
            <w:pPr>
              <w:pStyle w:val="ARtablesubhead"/>
            </w:pPr>
            <w:r w:rsidRPr="002029AF">
              <w:t>Victorians are socially engaged and live in inclusive communities</w:t>
            </w:r>
          </w:p>
        </w:tc>
      </w:tr>
      <w:tr w:rsidR="00961D18" w:rsidRPr="002029AF" w14:paraId="0A8CA7E4" w14:textId="77777777" w:rsidTr="006E2BC8">
        <w:trPr>
          <w:gridAfter w:val="1"/>
          <w:wAfter w:w="54" w:type="dxa"/>
          <w:cantSplit/>
        </w:trPr>
        <w:tc>
          <w:tcPr>
            <w:tcW w:w="5485" w:type="dxa"/>
            <w:tcBorders>
              <w:top w:val="single" w:sz="4" w:space="0" w:color="auto"/>
              <w:left w:val="single" w:sz="4" w:space="0" w:color="FFFFFF"/>
              <w:bottom w:val="single" w:sz="4" w:space="0" w:color="BFBFBF"/>
              <w:right w:val="single" w:sz="4" w:space="0" w:color="FFFFFF"/>
            </w:tcBorders>
            <w:shd w:val="clear" w:color="auto" w:fill="auto"/>
          </w:tcPr>
          <w:p w14:paraId="7FBE20E8" w14:textId="77777777" w:rsidR="00961D18" w:rsidRPr="002029AF" w:rsidRDefault="00961D18" w:rsidP="00F4536C">
            <w:pPr>
              <w:pStyle w:val="ARtabletext"/>
            </w:pPr>
            <w:r w:rsidRPr="002029AF">
              <w:t>Hours of coordination funding provided to Neighbourhood Houses</w:t>
            </w:r>
          </w:p>
        </w:tc>
        <w:tc>
          <w:tcPr>
            <w:tcW w:w="921" w:type="dxa"/>
            <w:tcBorders>
              <w:top w:val="single" w:sz="4" w:space="0" w:color="auto"/>
              <w:left w:val="single" w:sz="4" w:space="0" w:color="FFFFFF"/>
              <w:bottom w:val="single" w:sz="4" w:space="0" w:color="BFBFBF"/>
              <w:right w:val="single" w:sz="4" w:space="0" w:color="FFFFFF"/>
            </w:tcBorders>
            <w:shd w:val="clear" w:color="auto" w:fill="auto"/>
          </w:tcPr>
          <w:p w14:paraId="3C0155CC" w14:textId="77777777" w:rsidR="00961D18" w:rsidRPr="002029AF" w:rsidRDefault="00961D18" w:rsidP="00F4536C">
            <w:pPr>
              <w:pStyle w:val="ARtabletext"/>
            </w:pPr>
            <w:r w:rsidRPr="002029AF">
              <w:t>480,000</w:t>
            </w:r>
          </w:p>
        </w:tc>
        <w:tc>
          <w:tcPr>
            <w:tcW w:w="921" w:type="dxa"/>
            <w:tcBorders>
              <w:top w:val="single" w:sz="4" w:space="0" w:color="auto"/>
              <w:left w:val="single" w:sz="4" w:space="0" w:color="FFFFFF"/>
              <w:bottom w:val="single" w:sz="4" w:space="0" w:color="BFBFBF"/>
              <w:right w:val="single" w:sz="4" w:space="0" w:color="FFFFFF"/>
            </w:tcBorders>
            <w:shd w:val="clear" w:color="auto" w:fill="auto"/>
          </w:tcPr>
          <w:p w14:paraId="1A455425" w14:textId="77777777" w:rsidR="00961D18" w:rsidRPr="002029AF" w:rsidRDefault="00961D18" w:rsidP="00F4536C">
            <w:pPr>
              <w:pStyle w:val="ARtabletext"/>
            </w:pPr>
            <w:r w:rsidRPr="002029AF">
              <w:t>480,000</w:t>
            </w:r>
          </w:p>
        </w:tc>
        <w:tc>
          <w:tcPr>
            <w:tcW w:w="867" w:type="dxa"/>
            <w:tcBorders>
              <w:top w:val="single" w:sz="4" w:space="0" w:color="auto"/>
              <w:left w:val="single" w:sz="4" w:space="0" w:color="FFFFFF"/>
              <w:bottom w:val="single" w:sz="4" w:space="0" w:color="BFBFBF"/>
              <w:right w:val="single" w:sz="4" w:space="0" w:color="FFFFFF"/>
            </w:tcBorders>
            <w:shd w:val="clear" w:color="auto" w:fill="auto"/>
          </w:tcPr>
          <w:p w14:paraId="70B9CB88" w14:textId="77777777" w:rsidR="00961D18" w:rsidRPr="002029AF" w:rsidRDefault="00961D18" w:rsidP="00F4536C">
            <w:pPr>
              <w:pStyle w:val="ARtabletext"/>
            </w:pPr>
            <w:r w:rsidRPr="002029AF">
              <w:t>560,586</w:t>
            </w:r>
          </w:p>
        </w:tc>
        <w:tc>
          <w:tcPr>
            <w:tcW w:w="1391" w:type="dxa"/>
            <w:tcBorders>
              <w:top w:val="single" w:sz="4" w:space="0" w:color="auto"/>
              <w:left w:val="single" w:sz="4" w:space="0" w:color="FFFFFF"/>
              <w:bottom w:val="single" w:sz="4" w:space="0" w:color="BFBFBF"/>
              <w:right w:val="single" w:sz="4" w:space="0" w:color="FFFFFF"/>
            </w:tcBorders>
          </w:tcPr>
          <w:p w14:paraId="22C2142C" w14:textId="77777777" w:rsidR="00961D18" w:rsidRPr="002029AF" w:rsidRDefault="00961D18" w:rsidP="00F4536C">
            <w:pPr>
              <w:pStyle w:val="ARtabletext"/>
            </w:pPr>
            <w:r w:rsidRPr="002029AF">
              <w:t>560,125</w:t>
            </w:r>
          </w:p>
        </w:tc>
      </w:tr>
      <w:tr w:rsidR="00961D18" w:rsidRPr="002029AF" w14:paraId="34D79D1F" w14:textId="77777777" w:rsidTr="006E2BC8">
        <w:trPr>
          <w:gridAfter w:val="1"/>
          <w:wAfter w:w="54" w:type="dxa"/>
          <w:cantSplit/>
        </w:trPr>
        <w:tc>
          <w:tcPr>
            <w:tcW w:w="5485" w:type="dxa"/>
            <w:tcBorders>
              <w:top w:val="single" w:sz="4" w:space="0" w:color="BFBFBF"/>
              <w:left w:val="single" w:sz="4" w:space="0" w:color="FFFFFF"/>
              <w:bottom w:val="nil"/>
              <w:right w:val="single" w:sz="4" w:space="0" w:color="FFFFFF"/>
            </w:tcBorders>
            <w:shd w:val="clear" w:color="auto" w:fill="auto"/>
          </w:tcPr>
          <w:p w14:paraId="51118961" w14:textId="77777777" w:rsidR="00961D18" w:rsidRPr="002029AF" w:rsidRDefault="00961D18" w:rsidP="00F4536C">
            <w:pPr>
              <w:pStyle w:val="ARtabletext"/>
            </w:pPr>
            <w:r w:rsidRPr="002029AF">
              <w:t>Reported children/young people in out-of-home care that had a strong relationship with someone in their care setting</w:t>
            </w:r>
          </w:p>
        </w:tc>
        <w:tc>
          <w:tcPr>
            <w:tcW w:w="921" w:type="dxa"/>
            <w:tcBorders>
              <w:top w:val="single" w:sz="4" w:space="0" w:color="BFBFBF"/>
              <w:left w:val="single" w:sz="4" w:space="0" w:color="FFFFFF"/>
              <w:bottom w:val="nil"/>
              <w:right w:val="single" w:sz="4" w:space="0" w:color="FFFFFF"/>
            </w:tcBorders>
            <w:shd w:val="clear" w:color="auto" w:fill="auto"/>
          </w:tcPr>
          <w:p w14:paraId="28D026E1" w14:textId="77777777" w:rsidR="00961D18" w:rsidRPr="002029AF" w:rsidRDefault="00961D18" w:rsidP="00F4536C">
            <w:pPr>
              <w:pStyle w:val="ARtabletext"/>
            </w:pPr>
            <w:r w:rsidRPr="002029AF">
              <w:t>-</w:t>
            </w:r>
          </w:p>
        </w:tc>
        <w:tc>
          <w:tcPr>
            <w:tcW w:w="921" w:type="dxa"/>
            <w:tcBorders>
              <w:top w:val="single" w:sz="4" w:space="0" w:color="BFBFBF"/>
              <w:left w:val="single" w:sz="4" w:space="0" w:color="FFFFFF"/>
              <w:bottom w:val="nil"/>
              <w:right w:val="single" w:sz="4" w:space="0" w:color="FFFFFF"/>
            </w:tcBorders>
            <w:shd w:val="clear" w:color="auto" w:fill="auto"/>
          </w:tcPr>
          <w:p w14:paraId="54705B01" w14:textId="77777777" w:rsidR="00961D18" w:rsidRPr="002029AF" w:rsidRDefault="00961D18" w:rsidP="00F4536C">
            <w:pPr>
              <w:pStyle w:val="ARtabletext"/>
            </w:pPr>
            <w:r w:rsidRPr="002029AF">
              <w:t>-</w:t>
            </w:r>
          </w:p>
        </w:tc>
        <w:tc>
          <w:tcPr>
            <w:tcW w:w="867" w:type="dxa"/>
            <w:tcBorders>
              <w:top w:val="single" w:sz="4" w:space="0" w:color="BFBFBF"/>
              <w:left w:val="single" w:sz="4" w:space="0" w:color="FFFFFF"/>
              <w:bottom w:val="nil"/>
              <w:right w:val="single" w:sz="4" w:space="0" w:color="FFFFFF"/>
            </w:tcBorders>
            <w:shd w:val="clear" w:color="auto" w:fill="auto"/>
          </w:tcPr>
          <w:p w14:paraId="75602A53" w14:textId="77777777" w:rsidR="00961D18" w:rsidRPr="002029AF" w:rsidRDefault="00961D18" w:rsidP="00F4536C">
            <w:pPr>
              <w:pStyle w:val="ARtabletext"/>
            </w:pPr>
            <w:r w:rsidRPr="002029AF">
              <w:t>97%</w:t>
            </w:r>
          </w:p>
        </w:tc>
        <w:tc>
          <w:tcPr>
            <w:tcW w:w="1391" w:type="dxa"/>
            <w:tcBorders>
              <w:top w:val="single" w:sz="4" w:space="0" w:color="BFBFBF"/>
              <w:left w:val="single" w:sz="4" w:space="0" w:color="FFFFFF"/>
              <w:bottom w:val="nil"/>
              <w:right w:val="single" w:sz="4" w:space="0" w:color="FFFFFF"/>
            </w:tcBorders>
          </w:tcPr>
          <w:p w14:paraId="0544A0C0" w14:textId="77777777" w:rsidR="00961D18" w:rsidRPr="002029AF" w:rsidRDefault="00961D18" w:rsidP="00F4536C">
            <w:pPr>
              <w:pStyle w:val="ARtabletext"/>
            </w:pPr>
            <w:r w:rsidRPr="002029AF">
              <w:t>Data not available due to coronavirus (COVID-19)</w:t>
            </w:r>
          </w:p>
        </w:tc>
      </w:tr>
      <w:tr w:rsidR="00961D18" w:rsidRPr="002029AF" w14:paraId="54BC06D0" w14:textId="77777777" w:rsidTr="006E2BC8">
        <w:trPr>
          <w:gridAfter w:val="1"/>
          <w:wAfter w:w="54" w:type="dxa"/>
          <w:cantSplit/>
        </w:trPr>
        <w:tc>
          <w:tcPr>
            <w:tcW w:w="5485" w:type="dxa"/>
            <w:tcBorders>
              <w:top w:val="single" w:sz="4" w:space="0" w:color="BFBFBF"/>
              <w:left w:val="single" w:sz="4" w:space="0" w:color="FFFFFF"/>
              <w:bottom w:val="nil"/>
              <w:right w:val="single" w:sz="4" w:space="0" w:color="FFFFFF"/>
            </w:tcBorders>
            <w:shd w:val="clear" w:color="auto" w:fill="auto"/>
          </w:tcPr>
          <w:p w14:paraId="4EB39104" w14:textId="77777777" w:rsidR="00961D18" w:rsidRPr="002029AF" w:rsidRDefault="00961D18" w:rsidP="00F4536C">
            <w:pPr>
              <w:pStyle w:val="ARtabletext"/>
            </w:pPr>
            <w:r w:rsidRPr="002029AF">
              <w:t>Aboriginal children/young people in out-of-home care that have some contact with other Aboriginal children/young people outside their care setting</w:t>
            </w:r>
          </w:p>
        </w:tc>
        <w:tc>
          <w:tcPr>
            <w:tcW w:w="921" w:type="dxa"/>
            <w:tcBorders>
              <w:top w:val="single" w:sz="4" w:space="0" w:color="BFBFBF"/>
              <w:left w:val="single" w:sz="4" w:space="0" w:color="FFFFFF"/>
              <w:bottom w:val="nil"/>
              <w:right w:val="single" w:sz="4" w:space="0" w:color="FFFFFF"/>
            </w:tcBorders>
            <w:shd w:val="clear" w:color="auto" w:fill="auto"/>
          </w:tcPr>
          <w:p w14:paraId="59CF2FBA" w14:textId="77777777" w:rsidR="00961D18" w:rsidRPr="002029AF" w:rsidRDefault="00961D18" w:rsidP="00F4536C">
            <w:pPr>
              <w:pStyle w:val="ARtabletext"/>
            </w:pPr>
            <w:r w:rsidRPr="002029AF">
              <w:t>-</w:t>
            </w:r>
          </w:p>
        </w:tc>
        <w:tc>
          <w:tcPr>
            <w:tcW w:w="921" w:type="dxa"/>
            <w:tcBorders>
              <w:top w:val="single" w:sz="4" w:space="0" w:color="BFBFBF"/>
              <w:left w:val="single" w:sz="4" w:space="0" w:color="FFFFFF"/>
              <w:bottom w:val="nil"/>
              <w:right w:val="single" w:sz="4" w:space="0" w:color="FFFFFF"/>
            </w:tcBorders>
            <w:shd w:val="clear" w:color="auto" w:fill="auto"/>
          </w:tcPr>
          <w:p w14:paraId="7C66D446" w14:textId="77777777" w:rsidR="00961D18" w:rsidRPr="002029AF" w:rsidRDefault="00961D18" w:rsidP="00F4536C">
            <w:pPr>
              <w:pStyle w:val="ARtabletext"/>
            </w:pPr>
            <w:r w:rsidRPr="002029AF">
              <w:t>-</w:t>
            </w:r>
          </w:p>
        </w:tc>
        <w:tc>
          <w:tcPr>
            <w:tcW w:w="867" w:type="dxa"/>
            <w:tcBorders>
              <w:top w:val="single" w:sz="4" w:space="0" w:color="BFBFBF"/>
              <w:left w:val="single" w:sz="4" w:space="0" w:color="FFFFFF"/>
              <w:bottom w:val="nil"/>
              <w:right w:val="single" w:sz="4" w:space="0" w:color="FFFFFF"/>
            </w:tcBorders>
            <w:shd w:val="clear" w:color="auto" w:fill="auto"/>
          </w:tcPr>
          <w:p w14:paraId="0FEA7C3E" w14:textId="77777777" w:rsidR="00961D18" w:rsidRPr="002029AF" w:rsidRDefault="00961D18" w:rsidP="00F4536C">
            <w:pPr>
              <w:pStyle w:val="ARtabletext"/>
            </w:pPr>
            <w:r w:rsidRPr="002029AF">
              <w:t>88%</w:t>
            </w:r>
          </w:p>
        </w:tc>
        <w:tc>
          <w:tcPr>
            <w:tcW w:w="1391" w:type="dxa"/>
            <w:tcBorders>
              <w:top w:val="single" w:sz="4" w:space="0" w:color="BFBFBF"/>
              <w:left w:val="single" w:sz="4" w:space="0" w:color="FFFFFF"/>
              <w:bottom w:val="nil"/>
              <w:right w:val="single" w:sz="4" w:space="0" w:color="FFFFFF"/>
            </w:tcBorders>
          </w:tcPr>
          <w:p w14:paraId="31ACFEE9" w14:textId="77777777" w:rsidR="00961D18" w:rsidRPr="002029AF" w:rsidRDefault="00961D18" w:rsidP="00F4536C">
            <w:pPr>
              <w:pStyle w:val="ARtabletext"/>
            </w:pPr>
            <w:r w:rsidRPr="002029AF">
              <w:t>Data not available due to coronavirus (COVID-19)</w:t>
            </w:r>
          </w:p>
        </w:tc>
      </w:tr>
      <w:tr w:rsidR="00961D18" w:rsidRPr="002029AF" w14:paraId="54400F97" w14:textId="77777777" w:rsidTr="006E2BC8">
        <w:trPr>
          <w:cantSplit/>
        </w:trPr>
        <w:tc>
          <w:tcPr>
            <w:tcW w:w="9639" w:type="dxa"/>
            <w:gridSpan w:val="6"/>
            <w:tcBorders>
              <w:top w:val="single" w:sz="4" w:space="0" w:color="BFBFBF"/>
              <w:left w:val="nil"/>
              <w:bottom w:val="single" w:sz="4" w:space="0" w:color="auto"/>
              <w:right w:val="single" w:sz="4" w:space="0" w:color="FFFFFF"/>
            </w:tcBorders>
          </w:tcPr>
          <w:p w14:paraId="4C5E2F0E" w14:textId="77777777" w:rsidR="00961D18" w:rsidRPr="002029AF" w:rsidRDefault="00961D18" w:rsidP="00F4536C">
            <w:pPr>
              <w:pStyle w:val="ARtabletext"/>
            </w:pPr>
            <w:r w:rsidRPr="002029AF">
              <w:rPr>
                <w:sz w:val="16"/>
                <w:szCs w:val="16"/>
              </w:rPr>
              <w:t>Source: Internal departmental data</w:t>
            </w:r>
          </w:p>
        </w:tc>
      </w:tr>
      <w:tr w:rsidR="00961D18" w:rsidRPr="002029AF" w14:paraId="5EC788DA" w14:textId="77777777" w:rsidTr="006E2BC8">
        <w:trPr>
          <w:cantSplit/>
        </w:trPr>
        <w:tc>
          <w:tcPr>
            <w:tcW w:w="9639" w:type="dxa"/>
            <w:gridSpan w:val="6"/>
            <w:tcBorders>
              <w:top w:val="single" w:sz="4" w:space="0" w:color="auto"/>
              <w:left w:val="nil"/>
              <w:bottom w:val="single" w:sz="4" w:space="0" w:color="BFBFBF"/>
              <w:right w:val="single" w:sz="4" w:space="0" w:color="FFFFFF"/>
            </w:tcBorders>
            <w:hideMark/>
          </w:tcPr>
          <w:p w14:paraId="38A2F616" w14:textId="77777777" w:rsidR="00961D18" w:rsidRPr="002029AF" w:rsidRDefault="00961D18" w:rsidP="00F4536C">
            <w:pPr>
              <w:pStyle w:val="ARtablesubhead"/>
            </w:pPr>
            <w:r w:rsidRPr="002029AF">
              <w:t>Victorians can safely identify and connect with their culture and identity, with their health and wellbeing advanced through self-determination</w:t>
            </w:r>
          </w:p>
        </w:tc>
      </w:tr>
      <w:tr w:rsidR="00961D18" w:rsidRPr="002029AF" w14:paraId="66C9AC49" w14:textId="77777777" w:rsidTr="006E2BC8">
        <w:trPr>
          <w:gridAfter w:val="1"/>
          <w:wAfter w:w="54" w:type="dxa"/>
          <w:cantSplit/>
        </w:trPr>
        <w:tc>
          <w:tcPr>
            <w:tcW w:w="5485" w:type="dxa"/>
            <w:tcBorders>
              <w:top w:val="single" w:sz="4" w:space="0" w:color="auto"/>
              <w:left w:val="single" w:sz="4" w:space="0" w:color="FFFFFF"/>
              <w:bottom w:val="single" w:sz="4" w:space="0" w:color="FFFFFF"/>
              <w:right w:val="single" w:sz="4" w:space="0" w:color="FFFFFF"/>
            </w:tcBorders>
            <w:hideMark/>
          </w:tcPr>
          <w:p w14:paraId="27D9EB63" w14:textId="77777777" w:rsidR="00961D18" w:rsidRPr="002029AF" w:rsidRDefault="00961D18" w:rsidP="00F4536C">
            <w:pPr>
              <w:pStyle w:val="ARtabletext"/>
              <w:rPr>
                <w:i/>
              </w:rPr>
            </w:pPr>
            <w:r w:rsidRPr="002029AF">
              <w:t>Proportion of Aboriginal children placed with relatives/kin, other Aboriginal carers or in Aboriginal residential care</w:t>
            </w:r>
          </w:p>
        </w:tc>
        <w:tc>
          <w:tcPr>
            <w:tcW w:w="921" w:type="dxa"/>
            <w:tcBorders>
              <w:top w:val="single" w:sz="4" w:space="0" w:color="auto"/>
              <w:left w:val="single" w:sz="4" w:space="0" w:color="FFFFFF"/>
              <w:bottom w:val="single" w:sz="4" w:space="0" w:color="FFFFFF"/>
              <w:right w:val="single" w:sz="4" w:space="0" w:color="FFFFFF"/>
            </w:tcBorders>
            <w:hideMark/>
          </w:tcPr>
          <w:p w14:paraId="6E2806C9" w14:textId="77777777" w:rsidR="00961D18" w:rsidRPr="002029AF" w:rsidRDefault="00961D18" w:rsidP="00F4536C">
            <w:pPr>
              <w:pStyle w:val="ARtabletext"/>
            </w:pPr>
            <w:r w:rsidRPr="002029AF">
              <w:t>76.0%</w:t>
            </w:r>
          </w:p>
        </w:tc>
        <w:tc>
          <w:tcPr>
            <w:tcW w:w="921" w:type="dxa"/>
            <w:tcBorders>
              <w:top w:val="single" w:sz="4" w:space="0" w:color="auto"/>
              <w:left w:val="single" w:sz="4" w:space="0" w:color="FFFFFF"/>
              <w:bottom w:val="single" w:sz="4" w:space="0" w:color="FFFFFF"/>
              <w:right w:val="single" w:sz="4" w:space="0" w:color="FFFFFF"/>
            </w:tcBorders>
            <w:hideMark/>
          </w:tcPr>
          <w:p w14:paraId="10993459" w14:textId="77777777" w:rsidR="00961D18" w:rsidRPr="002029AF" w:rsidRDefault="00961D18" w:rsidP="00F4536C">
            <w:pPr>
              <w:pStyle w:val="ARtabletext"/>
            </w:pPr>
            <w:r w:rsidRPr="002029AF">
              <w:t>77.6%</w:t>
            </w:r>
          </w:p>
        </w:tc>
        <w:tc>
          <w:tcPr>
            <w:tcW w:w="867" w:type="dxa"/>
            <w:tcBorders>
              <w:top w:val="single" w:sz="4" w:space="0" w:color="auto"/>
              <w:left w:val="single" w:sz="4" w:space="0" w:color="FFFFFF"/>
              <w:bottom w:val="single" w:sz="4" w:space="0" w:color="FFFFFF"/>
              <w:right w:val="single" w:sz="4" w:space="0" w:color="FFFFFF"/>
            </w:tcBorders>
            <w:hideMark/>
          </w:tcPr>
          <w:p w14:paraId="607A0063" w14:textId="77777777" w:rsidR="00961D18" w:rsidRPr="002029AF" w:rsidRDefault="00961D18" w:rsidP="00F4536C">
            <w:pPr>
              <w:pStyle w:val="ARtabletext"/>
            </w:pPr>
            <w:r w:rsidRPr="002029AF">
              <w:t>78.8%</w:t>
            </w:r>
          </w:p>
        </w:tc>
        <w:tc>
          <w:tcPr>
            <w:tcW w:w="1391" w:type="dxa"/>
            <w:tcBorders>
              <w:top w:val="single" w:sz="4" w:space="0" w:color="auto"/>
              <w:left w:val="single" w:sz="4" w:space="0" w:color="FFFFFF"/>
              <w:bottom w:val="single" w:sz="4" w:space="0" w:color="FFFFFF"/>
              <w:right w:val="single" w:sz="4" w:space="0" w:color="FFFFFF"/>
            </w:tcBorders>
          </w:tcPr>
          <w:p w14:paraId="436DCFCC" w14:textId="77777777" w:rsidR="00961D18" w:rsidRPr="002029AF" w:rsidRDefault="00961D18" w:rsidP="00F4536C">
            <w:pPr>
              <w:pStyle w:val="ARtabletext"/>
            </w:pPr>
            <w:r w:rsidRPr="002029AF">
              <w:t>75.6%</w:t>
            </w:r>
          </w:p>
        </w:tc>
      </w:tr>
      <w:tr w:rsidR="00961D18" w:rsidRPr="002029AF" w14:paraId="67BE6134" w14:textId="77777777" w:rsidTr="006E2BC8">
        <w:trPr>
          <w:cantSplit/>
        </w:trPr>
        <w:tc>
          <w:tcPr>
            <w:tcW w:w="9639" w:type="dxa"/>
            <w:gridSpan w:val="6"/>
            <w:tcBorders>
              <w:top w:val="single" w:sz="4" w:space="0" w:color="BFBFBF"/>
              <w:left w:val="single" w:sz="4" w:space="0" w:color="FFFFFF"/>
              <w:bottom w:val="single" w:sz="4" w:space="0" w:color="auto"/>
              <w:right w:val="single" w:sz="4" w:space="0" w:color="FFFFFF"/>
            </w:tcBorders>
            <w:hideMark/>
          </w:tcPr>
          <w:p w14:paraId="61E34AED" w14:textId="77777777" w:rsidR="00961D18" w:rsidRPr="002029AF" w:rsidRDefault="00961D18" w:rsidP="00F4536C">
            <w:pPr>
              <w:pStyle w:val="ARtablefootnote"/>
            </w:pPr>
            <w:r w:rsidRPr="002029AF">
              <w:rPr>
                <w:rFonts w:eastAsia="Times"/>
                <w:lang w:eastAsia="en-AU"/>
              </w:rPr>
              <w:t>Source: Internal departmental data</w:t>
            </w:r>
          </w:p>
        </w:tc>
      </w:tr>
    </w:tbl>
    <w:p w14:paraId="12C13D9A" w14:textId="7DFBB31F" w:rsidR="00603E4B" w:rsidRPr="002029AF" w:rsidRDefault="00603E4B" w:rsidP="00603E4B">
      <w:pPr>
        <w:pStyle w:val="ARtablefootnote"/>
        <w:rPr>
          <w:lang w:eastAsia="en-AU"/>
        </w:rPr>
      </w:pPr>
      <w:r w:rsidRPr="002029AF">
        <w:rPr>
          <w:rFonts w:eastAsia="Times"/>
          <w:lang w:eastAsia="en-AU"/>
        </w:rPr>
        <w:t>The department is committed to measuring outcomes for all indicators set out in the Victorian budget papers. Further work is needed to test and validate measures to ensure departmental initiatives and policies are reflected by the performance indicators. As the outcomes approaches in the department mature, reporting will be provided against outcome measures and will inform the reporting of performance indicators.</w:t>
      </w:r>
    </w:p>
    <w:p w14:paraId="1A64EAF4" w14:textId="77777777" w:rsidR="00603E4B" w:rsidRPr="007C4ED3" w:rsidRDefault="00603E4B" w:rsidP="00603E4B">
      <w:pPr>
        <w:pStyle w:val="ARbody"/>
      </w:pPr>
      <w:r w:rsidRPr="007C4ED3">
        <w:br w:type="page"/>
      </w:r>
    </w:p>
    <w:p w14:paraId="2C965A59" w14:textId="77777777" w:rsidR="00603E4B" w:rsidRPr="002029AF" w:rsidRDefault="00603E4B" w:rsidP="000A18C8">
      <w:pPr>
        <w:pStyle w:val="Heading3larger"/>
      </w:pPr>
      <w:r w:rsidRPr="002029AF">
        <w:lastRenderedPageBreak/>
        <w:t>Objective 5: Victorian health and human services are person centred and sustainable</w:t>
      </w:r>
      <w:bookmarkEnd w:id="46"/>
    </w:p>
    <w:p w14:paraId="1F14DBA8" w14:textId="703C62CE" w:rsidR="00603E4B" w:rsidRPr="002029AF" w:rsidRDefault="00603E4B" w:rsidP="00603E4B">
      <w:pPr>
        <w:pStyle w:val="ARintro"/>
      </w:pPr>
      <w:r w:rsidRPr="002029AF">
        <w:t>This objective aims to improve the safety, quality, efficiency and sustainability of our services as</w:t>
      </w:r>
      <w:r w:rsidR="007C4ED3">
        <w:t> </w:t>
      </w:r>
      <w:r w:rsidRPr="002029AF">
        <w:t>a</w:t>
      </w:r>
      <w:r w:rsidR="007C4ED3">
        <w:t> </w:t>
      </w:r>
      <w:r w:rsidRPr="002029AF">
        <w:t>key part of achieving outcomes for our patients and clients.</w:t>
      </w:r>
    </w:p>
    <w:p w14:paraId="7E3B6EE7" w14:textId="7A4D9F92" w:rsidR="00603E4B" w:rsidRPr="002029AF" w:rsidRDefault="00603E4B" w:rsidP="00603E4B">
      <w:pPr>
        <w:pStyle w:val="ARintro"/>
      </w:pPr>
      <w:r w:rsidRPr="002029AF">
        <w:t>The safety, quality, responsiveness, efficiency and equitable distribution of services are crucial</w:t>
      </w:r>
      <w:r w:rsidR="007C4ED3">
        <w:t> </w:t>
      </w:r>
      <w:r w:rsidRPr="002029AF">
        <w:t>determinants of patient and client outcomes.</w:t>
      </w:r>
    </w:p>
    <w:p w14:paraId="491AA0EF" w14:textId="5479C4BA" w:rsidR="00603E4B" w:rsidRPr="002029AF" w:rsidRDefault="00603E4B" w:rsidP="00603E4B">
      <w:pPr>
        <w:pStyle w:val="ARintro"/>
      </w:pPr>
      <w:r w:rsidRPr="002029AF">
        <w:t>The way services are delivered is also important to improving outcomes. This includes strengthening system design and planning to respond to changes in population patterns and</w:t>
      </w:r>
      <w:r w:rsidR="007C4ED3">
        <w:t> </w:t>
      </w:r>
      <w:r w:rsidRPr="002029AF">
        <w:t>to</w:t>
      </w:r>
      <w:r w:rsidR="007C4ED3">
        <w:t> </w:t>
      </w:r>
      <w:r w:rsidRPr="002029AF">
        <w:t>be</w:t>
      </w:r>
      <w:r w:rsidR="007C4ED3">
        <w:t> </w:t>
      </w:r>
      <w:r w:rsidRPr="002029AF">
        <w:t>more responsive to need.</w:t>
      </w:r>
    </w:p>
    <w:p w14:paraId="1D9CC4F9" w14:textId="77777777" w:rsidR="00603E4B" w:rsidRPr="002029AF" w:rsidRDefault="00603E4B" w:rsidP="00603E4B">
      <w:pPr>
        <w:pStyle w:val="ARintro"/>
      </w:pPr>
      <w:r w:rsidRPr="002029AF">
        <w:t>These actions seek to ensure:</w:t>
      </w:r>
    </w:p>
    <w:p w14:paraId="223D3743" w14:textId="77777777" w:rsidR="00603E4B" w:rsidRPr="002029AF" w:rsidRDefault="00603E4B" w:rsidP="00603E4B">
      <w:pPr>
        <w:pStyle w:val="ARintrobullet"/>
      </w:pPr>
      <w:r w:rsidRPr="002029AF">
        <w:t>services are appropriate and accessible in the right place, at the right time</w:t>
      </w:r>
    </w:p>
    <w:p w14:paraId="217DBEAA" w14:textId="1A547215" w:rsidR="00603E4B" w:rsidRPr="002029AF" w:rsidRDefault="00603E4B" w:rsidP="00603E4B">
      <w:pPr>
        <w:pStyle w:val="ARintrobullet"/>
      </w:pPr>
      <w:r w:rsidRPr="002029AF">
        <w:t>services are inclusive and respond to choice, culture, identity, circumstances and</w:t>
      </w:r>
      <w:r w:rsidR="007C4ED3">
        <w:t xml:space="preserve"> </w:t>
      </w:r>
      <w:r w:rsidRPr="002029AF">
        <w:t>goals</w:t>
      </w:r>
    </w:p>
    <w:p w14:paraId="70083182" w14:textId="77777777" w:rsidR="00603E4B" w:rsidRPr="002029AF" w:rsidRDefault="00603E4B" w:rsidP="00603E4B">
      <w:pPr>
        <w:pStyle w:val="ARintrobullet"/>
      </w:pPr>
      <w:r w:rsidRPr="002029AF">
        <w:t>services are efficient and sustainable</w:t>
      </w:r>
    </w:p>
    <w:p w14:paraId="05603972" w14:textId="77777777" w:rsidR="00603E4B" w:rsidRPr="002029AF" w:rsidRDefault="00603E4B" w:rsidP="00603E4B">
      <w:pPr>
        <w:pStyle w:val="ARintrobullet"/>
      </w:pPr>
      <w:r w:rsidRPr="002029AF">
        <w:t>services are safe, high quality and provide a positive experience.</w:t>
      </w:r>
    </w:p>
    <w:p w14:paraId="57888F92" w14:textId="77777777" w:rsidR="00603E4B" w:rsidRPr="002029AF" w:rsidRDefault="00603E4B" w:rsidP="00603E4B">
      <w:pPr>
        <w:pStyle w:val="ARbody"/>
      </w:pPr>
    </w:p>
    <w:p w14:paraId="2CF8C6FB" w14:textId="77777777" w:rsidR="00603E4B" w:rsidRPr="002029AF" w:rsidRDefault="00603E4B" w:rsidP="00603E4B">
      <w:pPr>
        <w:pStyle w:val="ARbody"/>
        <w:sectPr w:rsidR="00603E4B" w:rsidRPr="002029AF" w:rsidSect="00B45A1D">
          <w:footnotePr>
            <w:numFmt w:val="chicago"/>
            <w:numRestart w:val="eachPage"/>
          </w:footnotePr>
          <w:endnotePr>
            <w:numFmt w:val="decimal"/>
          </w:endnotePr>
          <w:type w:val="continuous"/>
          <w:pgSz w:w="11900" w:h="16840" w:code="9"/>
          <w:pgMar w:top="1985" w:right="851" w:bottom="851" w:left="1418" w:header="510" w:footer="340" w:gutter="0"/>
          <w:cols w:space="454"/>
          <w15:footnoteColumns w:val="1"/>
        </w:sectPr>
      </w:pPr>
    </w:p>
    <w:p w14:paraId="5EF65716" w14:textId="77777777" w:rsidR="00603E4B" w:rsidRPr="002029AF" w:rsidRDefault="00603E4B" w:rsidP="007C4ED3">
      <w:pPr>
        <w:pStyle w:val="Heading4"/>
        <w:spacing w:before="0"/>
      </w:pPr>
      <w:r w:rsidRPr="002029AF">
        <w:t>Outcome 5.1: Services are appropriate and accessible in the right place, at the right time</w:t>
      </w:r>
    </w:p>
    <w:p w14:paraId="2B77C0E8" w14:textId="46A08844" w:rsidR="00603E4B" w:rsidRPr="002029AF" w:rsidRDefault="00603E4B" w:rsidP="00603E4B">
      <w:pPr>
        <w:pStyle w:val="ARbody"/>
      </w:pPr>
      <w:r w:rsidRPr="002029AF">
        <w:t>Services can be accessed by Victorians where and when they are needed. Access is enabled by a health and human services system that is easy to</w:t>
      </w:r>
      <w:r w:rsidR="007C4ED3">
        <w:t> </w:t>
      </w:r>
      <w:r w:rsidRPr="002029AF">
        <w:t>navigate.</w:t>
      </w:r>
    </w:p>
    <w:p w14:paraId="2C305CEC" w14:textId="77777777" w:rsidR="00603E4B" w:rsidRPr="002029AF" w:rsidRDefault="00603E4B" w:rsidP="00603E4B">
      <w:pPr>
        <w:pStyle w:val="Heading5"/>
        <w:rPr>
          <w:szCs w:val="22"/>
        </w:rPr>
      </w:pPr>
      <w:r w:rsidRPr="002029AF">
        <w:rPr>
          <w:szCs w:val="22"/>
        </w:rPr>
        <w:t>Progress against outcomes</w:t>
      </w:r>
    </w:p>
    <w:p w14:paraId="56699F00" w14:textId="4E0A8028" w:rsidR="00603E4B" w:rsidRPr="002029AF" w:rsidRDefault="00603E4B" w:rsidP="00603E4B">
      <w:pPr>
        <w:pStyle w:val="ARbody"/>
      </w:pPr>
      <w:r w:rsidRPr="002029AF">
        <w:t>Some of our key achievements in 2019–20 are</w:t>
      </w:r>
      <w:r w:rsidR="007C4ED3">
        <w:t> </w:t>
      </w:r>
      <w:r w:rsidRPr="002029AF">
        <w:t>outlined below.</w:t>
      </w:r>
    </w:p>
    <w:p w14:paraId="2D05B7F7" w14:textId="77777777" w:rsidR="00603E4B" w:rsidRPr="002029AF" w:rsidRDefault="00603E4B" w:rsidP="00603E4B">
      <w:pPr>
        <w:pStyle w:val="Heading5"/>
      </w:pPr>
      <w:r w:rsidRPr="002029AF">
        <w:rPr>
          <w:rFonts w:eastAsia="Calibri"/>
        </w:rPr>
        <w:t>Key result 26: Increase participation in universal and earlier intervention services – especially by Aboriginal Victorians</w:t>
      </w:r>
    </w:p>
    <w:p w14:paraId="4F6F46F6" w14:textId="77777777" w:rsidR="00603E4B" w:rsidRPr="002029AF" w:rsidRDefault="00603E4B" w:rsidP="00603E4B">
      <w:pPr>
        <w:pStyle w:val="Heading6"/>
        <w:rPr>
          <w:lang w:val="en-AU"/>
        </w:rPr>
      </w:pPr>
      <w:r w:rsidRPr="002029AF">
        <w:rPr>
          <w:lang w:val="en-AU"/>
        </w:rPr>
        <w:t>Koori Maternity Services</w:t>
      </w:r>
    </w:p>
    <w:p w14:paraId="7B022919" w14:textId="77777777" w:rsidR="00603E4B" w:rsidRPr="002029AF" w:rsidRDefault="00603E4B" w:rsidP="00603E4B">
      <w:pPr>
        <w:pStyle w:val="ARbody"/>
      </w:pPr>
      <w:r w:rsidRPr="002029AF">
        <w:t>The Koori Maternity Services program offers flexible, inclusive, culturally appropriate pregnancy and postnatal care to Aboriginal and Torres Strait Islander women in Victoria.</w:t>
      </w:r>
    </w:p>
    <w:p w14:paraId="1CEFAD34" w14:textId="77777777" w:rsidR="00603E4B" w:rsidRPr="002029AF" w:rsidRDefault="00603E4B" w:rsidP="00603E4B">
      <w:pPr>
        <w:pStyle w:val="ARbody"/>
      </w:pPr>
      <w:r w:rsidRPr="002029AF">
        <w:t>The program was developed by the Victorian Government in partnership with the Victorian Aboriginal Community Controlled Health Organisation.</w:t>
      </w:r>
    </w:p>
    <w:p w14:paraId="31D466F4" w14:textId="46DB627D" w:rsidR="00603E4B" w:rsidRPr="002029AF" w:rsidRDefault="00603E4B" w:rsidP="00603E4B">
      <w:pPr>
        <w:pStyle w:val="ARbody"/>
      </w:pPr>
      <w:r w:rsidRPr="002029AF">
        <w:t>There are now 18 Koori Maternity Services located</w:t>
      </w:r>
      <w:r w:rsidR="007C4ED3">
        <w:t> </w:t>
      </w:r>
      <w:r w:rsidRPr="002029AF">
        <w:t xml:space="preserve">in Aboriginal </w:t>
      </w:r>
      <w:r w:rsidR="0034349B" w:rsidRPr="002029AF">
        <w:t>community-controlled</w:t>
      </w:r>
      <w:r w:rsidRPr="002029AF">
        <w:t xml:space="preserve"> health organisations and public hospitals across Victoria.</w:t>
      </w:r>
    </w:p>
    <w:p w14:paraId="3C7E67EC" w14:textId="77777777" w:rsidR="00603E4B" w:rsidRPr="002029AF" w:rsidRDefault="00603E4B" w:rsidP="007C4ED3">
      <w:pPr>
        <w:pStyle w:val="Heading5"/>
        <w:spacing w:before="0"/>
        <w:rPr>
          <w:rFonts w:eastAsia="Calibri"/>
        </w:rPr>
      </w:pPr>
      <w:r w:rsidRPr="002029AF">
        <w:rPr>
          <w:rFonts w:eastAsia="Calibri"/>
        </w:rPr>
        <w:t>Key result 27: Reduce the average wait time for people on the priority housing list</w:t>
      </w:r>
    </w:p>
    <w:p w14:paraId="586594EF" w14:textId="77777777" w:rsidR="00603E4B" w:rsidRPr="002029AF" w:rsidRDefault="00603E4B" w:rsidP="00603E4B">
      <w:pPr>
        <w:pStyle w:val="Heading6"/>
        <w:rPr>
          <w:szCs w:val="20"/>
          <w:lang w:val="en-AU"/>
        </w:rPr>
      </w:pPr>
      <w:r w:rsidRPr="002029AF">
        <w:rPr>
          <w:szCs w:val="20"/>
          <w:lang w:val="en-AU"/>
        </w:rPr>
        <w:t>Homes for Victorians</w:t>
      </w:r>
    </w:p>
    <w:p w14:paraId="4C0F8A9C" w14:textId="5117A18D" w:rsidR="00603E4B" w:rsidRPr="002029AF" w:rsidRDefault="00603E4B" w:rsidP="00603E4B">
      <w:pPr>
        <w:pStyle w:val="ARbody"/>
      </w:pPr>
      <w:r w:rsidRPr="002029AF">
        <w:t xml:space="preserve">The $2.6 billion </w:t>
      </w:r>
      <w:r w:rsidRPr="004E6007">
        <w:rPr>
          <w:i/>
          <w:iCs/>
        </w:rPr>
        <w:t xml:space="preserve">Homes for Victorians plan </w:t>
      </w:r>
      <w:r w:rsidRPr="002029AF">
        <w:t xml:space="preserve">is increasing the number of </w:t>
      </w:r>
      <w:r w:rsidR="004220FF">
        <w:t>social</w:t>
      </w:r>
      <w:r w:rsidRPr="002029AF">
        <w:t xml:space="preserve"> housing properties available and addressing homelessness.</w:t>
      </w:r>
    </w:p>
    <w:p w14:paraId="0B457132" w14:textId="77777777" w:rsidR="00603E4B" w:rsidRPr="002029AF" w:rsidRDefault="00603E4B" w:rsidP="00603E4B">
      <w:pPr>
        <w:pStyle w:val="ARbody"/>
      </w:pPr>
      <w:r w:rsidRPr="002029AF">
        <w:t>The plan includes:</w:t>
      </w:r>
    </w:p>
    <w:p w14:paraId="014007D2" w14:textId="68A8D9FF" w:rsidR="004220FF" w:rsidRPr="002029AF" w:rsidRDefault="004220FF" w:rsidP="00FF3CAB">
      <w:pPr>
        <w:pStyle w:val="ARbullet1"/>
        <w:numPr>
          <w:ilvl w:val="0"/>
          <w:numId w:val="51"/>
        </w:numPr>
      </w:pPr>
      <w:r w:rsidRPr="002029AF">
        <w:t>$1 billion </w:t>
      </w:r>
      <w:hyperlink r:id="rId93" w:history="1">
        <w:r w:rsidRPr="002029AF">
          <w:t>Social Housing Growth Fund</w:t>
        </w:r>
      </w:hyperlink>
      <w:r>
        <w:t xml:space="preserve"> </w:t>
      </w:r>
      <w:r w:rsidRPr="002029AF">
        <w:t>to increase the supply of social and affordable housing</w:t>
      </w:r>
      <w:r>
        <w:t>, with the latest tranche delivering 780 new social housing homes</w:t>
      </w:r>
    </w:p>
    <w:p w14:paraId="5D3E108D" w14:textId="77777777" w:rsidR="00603E4B" w:rsidRPr="002029AF" w:rsidRDefault="00603E4B" w:rsidP="00FF3CAB">
      <w:pPr>
        <w:pStyle w:val="ARbullet1"/>
        <w:numPr>
          <w:ilvl w:val="0"/>
          <w:numId w:val="51"/>
        </w:numPr>
      </w:pPr>
      <w:r w:rsidRPr="002029AF">
        <w:t>$1.1 billion in financial support for the social housing sector</w:t>
      </w:r>
    </w:p>
    <w:p w14:paraId="310DDA20" w14:textId="298CAB22" w:rsidR="00603E4B" w:rsidRPr="002029AF" w:rsidRDefault="00603E4B" w:rsidP="00FF3CAB">
      <w:pPr>
        <w:pStyle w:val="ARbullet1"/>
        <w:numPr>
          <w:ilvl w:val="0"/>
          <w:numId w:val="51"/>
        </w:numPr>
      </w:pPr>
      <w:r w:rsidRPr="002029AF">
        <w:t>increased housing support for survivors of family</w:t>
      </w:r>
      <w:r w:rsidR="007C4ED3">
        <w:t> </w:t>
      </w:r>
      <w:r w:rsidRPr="002029AF">
        <w:t>violence through the $152 million Family Violence Housing Blitz</w:t>
      </w:r>
    </w:p>
    <w:p w14:paraId="7B75D37D" w14:textId="77777777" w:rsidR="00603E4B" w:rsidRPr="002029AF" w:rsidRDefault="00603E4B" w:rsidP="00FF3CAB">
      <w:pPr>
        <w:pStyle w:val="ARbullet1"/>
        <w:numPr>
          <w:ilvl w:val="0"/>
          <w:numId w:val="51"/>
        </w:numPr>
      </w:pPr>
      <w:r w:rsidRPr="002029AF">
        <w:t>an extra 913 social housing dwellings through the $120 million Social Housing Pipeline</w:t>
      </w:r>
    </w:p>
    <w:p w14:paraId="723F68C1" w14:textId="30C00625" w:rsidR="00603E4B" w:rsidRPr="002029AF" w:rsidRDefault="00603E4B" w:rsidP="00FF3CAB">
      <w:pPr>
        <w:pStyle w:val="ARbullet1"/>
        <w:numPr>
          <w:ilvl w:val="0"/>
          <w:numId w:val="51"/>
        </w:numPr>
      </w:pPr>
      <w:r w:rsidRPr="002029AF">
        <w:t>$109 million to help </w:t>
      </w:r>
      <w:hyperlink r:id="rId94" w:history="1">
        <w:r w:rsidRPr="002029AF">
          <w:t>move homeless Victorians into stable housing</w:t>
        </w:r>
      </w:hyperlink>
    </w:p>
    <w:p w14:paraId="05A2A82E" w14:textId="77777777" w:rsidR="00603E4B" w:rsidRPr="002029AF" w:rsidRDefault="00603E4B" w:rsidP="00FF3CAB">
      <w:pPr>
        <w:pStyle w:val="ARbullet1"/>
        <w:numPr>
          <w:ilvl w:val="0"/>
          <w:numId w:val="51"/>
        </w:numPr>
      </w:pPr>
      <w:r w:rsidRPr="002029AF">
        <w:t>$33 million to help 4,000 Victorians gain a private rental home.</w:t>
      </w:r>
    </w:p>
    <w:p w14:paraId="4C1AAE1F" w14:textId="77777777" w:rsidR="00603E4B" w:rsidRPr="002029AF" w:rsidRDefault="00603E4B" w:rsidP="00603E4B">
      <w:pPr>
        <w:pStyle w:val="ARbodyafterbullets"/>
      </w:pPr>
      <w:r w:rsidRPr="002029AF">
        <w:t>This is a long-term strategy to increase the availability of housing for Victorians.</w:t>
      </w:r>
    </w:p>
    <w:p w14:paraId="3696CB0E" w14:textId="77777777" w:rsidR="00603E4B" w:rsidRPr="002029AF" w:rsidRDefault="00603E4B" w:rsidP="00603E4B">
      <w:pPr>
        <w:pStyle w:val="Heading5"/>
        <w:rPr>
          <w:rFonts w:eastAsia="Calibri"/>
        </w:rPr>
      </w:pPr>
      <w:r w:rsidRPr="002029AF">
        <w:rPr>
          <w:rFonts w:eastAsia="Calibri"/>
        </w:rPr>
        <w:lastRenderedPageBreak/>
        <w:t>Key result 28: Improve the timeliness of access to elective surgery, emergency department treatment, outpatient services, ambulance services and palliative care</w:t>
      </w:r>
    </w:p>
    <w:p w14:paraId="51F8B239" w14:textId="27422CFA" w:rsidR="00603E4B" w:rsidRPr="002029AF" w:rsidRDefault="00603E4B" w:rsidP="00603E4B">
      <w:pPr>
        <w:pStyle w:val="Heading6"/>
        <w:rPr>
          <w:szCs w:val="20"/>
          <w:lang w:val="en-AU"/>
        </w:rPr>
      </w:pPr>
      <w:r w:rsidRPr="002029AF">
        <w:rPr>
          <w:szCs w:val="20"/>
          <w:lang w:val="en-AU"/>
        </w:rPr>
        <w:t>Impacts of coronavirus (COVID-19 on elective</w:t>
      </w:r>
      <w:r w:rsidR="007C4ED3">
        <w:rPr>
          <w:szCs w:val="20"/>
          <w:lang w:val="en-AU"/>
        </w:rPr>
        <w:t> </w:t>
      </w:r>
      <w:r w:rsidRPr="002029AF">
        <w:rPr>
          <w:szCs w:val="20"/>
          <w:lang w:val="en-AU"/>
        </w:rPr>
        <w:t>surgery</w:t>
      </w:r>
    </w:p>
    <w:p w14:paraId="4CDA2240" w14:textId="73E65646" w:rsidR="00603E4B" w:rsidRPr="002029AF" w:rsidRDefault="00603E4B" w:rsidP="00603E4B">
      <w:pPr>
        <w:pStyle w:val="ARbody"/>
      </w:pPr>
      <w:r w:rsidRPr="002029AF">
        <w:t>On 15 March 2020 and before any caps were imposed on elective surgery activity, the Victorian Government announced an elective surgery blitz, recognising that as the pandemic progressed the system’s capacity to undertake elective surgery would be compromised. The elective surgery blitz was intended to help prevent additional delays for vulnerable Victorians and free up hospital capacity for when it is needed most. Over this period, 632</w:t>
      </w:r>
      <w:r w:rsidR="007C4ED3">
        <w:t> </w:t>
      </w:r>
      <w:r w:rsidRPr="002029AF">
        <w:t>additional procedures were completed.</w:t>
      </w:r>
    </w:p>
    <w:p w14:paraId="6760E084" w14:textId="43CB8E1F" w:rsidR="00603E4B" w:rsidRPr="002029AF" w:rsidRDefault="00603E4B" w:rsidP="00603E4B">
      <w:pPr>
        <w:pStyle w:val="ARbody"/>
      </w:pPr>
      <w:r w:rsidRPr="002029AF">
        <w:t xml:space="preserve">On 25 March 2020, </w:t>
      </w:r>
      <w:r w:rsidRPr="002029AF">
        <w:rPr>
          <w:color w:val="000000"/>
        </w:rPr>
        <w:t>Victoria’s public hospitals were</w:t>
      </w:r>
      <w:r w:rsidR="007C4ED3">
        <w:rPr>
          <w:color w:val="000000"/>
        </w:rPr>
        <w:t> </w:t>
      </w:r>
      <w:r w:rsidRPr="002029AF">
        <w:rPr>
          <w:color w:val="000000"/>
        </w:rPr>
        <w:t>directed to begin winding back all non-urgent elective surgery as preparations escalated for the</w:t>
      </w:r>
      <w:r w:rsidR="007C4ED3">
        <w:rPr>
          <w:color w:val="000000"/>
        </w:rPr>
        <w:t> </w:t>
      </w:r>
      <w:r w:rsidRPr="002029AF">
        <w:rPr>
          <w:color w:val="000000"/>
        </w:rPr>
        <w:t>health system to cope with the coronavirus (COVID-19) pandemic,</w:t>
      </w:r>
      <w:r w:rsidRPr="002029AF">
        <w:t xml:space="preserve"> in line with the directives of</w:t>
      </w:r>
      <w:r w:rsidR="007C4ED3">
        <w:t> </w:t>
      </w:r>
      <w:r w:rsidRPr="002029AF">
        <w:t>National Cabinet and the Australian Health Protection Principal Committee.</w:t>
      </w:r>
    </w:p>
    <w:p w14:paraId="0A921E0B" w14:textId="7C112D95" w:rsidR="00603E4B" w:rsidRPr="002029AF" w:rsidRDefault="00603E4B" w:rsidP="00603E4B">
      <w:pPr>
        <w:pStyle w:val="Heading6"/>
        <w:rPr>
          <w:szCs w:val="20"/>
          <w:lang w:val="en-AU"/>
        </w:rPr>
      </w:pPr>
      <w:r w:rsidRPr="002029AF">
        <w:rPr>
          <w:szCs w:val="20"/>
          <w:lang w:val="en-AU"/>
        </w:rPr>
        <w:t>Review of private practice arrangements in</w:t>
      </w:r>
      <w:r w:rsidR="007C4ED3">
        <w:rPr>
          <w:szCs w:val="20"/>
          <w:lang w:val="en-AU"/>
        </w:rPr>
        <w:t> </w:t>
      </w:r>
      <w:r w:rsidRPr="002029AF">
        <w:rPr>
          <w:szCs w:val="20"/>
          <w:lang w:val="en-AU"/>
        </w:rPr>
        <w:t>public health services</w:t>
      </w:r>
    </w:p>
    <w:p w14:paraId="229749AA" w14:textId="77777777" w:rsidR="00603E4B" w:rsidRPr="002029AF" w:rsidRDefault="00603E4B" w:rsidP="00603E4B">
      <w:pPr>
        <w:pStyle w:val="ARbody"/>
      </w:pPr>
      <w:r w:rsidRPr="002029AF">
        <w:t xml:space="preserve">In its report, </w:t>
      </w:r>
      <w:r w:rsidRPr="002029AF">
        <w:rPr>
          <w:i/>
          <w:iCs/>
        </w:rPr>
        <w:t>Managing Private Medical Practice in Public Hospitals</w:t>
      </w:r>
      <w:r w:rsidRPr="002029AF">
        <w:t xml:space="preserve">, the Victorian Auditor-General’s Office raised concerns that health services and the department had not been effectively monitoring private practice arrangements to ensure compliance with the National Health Reform Agreement and the Commonwealth’s </w:t>
      </w:r>
      <w:r w:rsidRPr="002029AF">
        <w:rPr>
          <w:i/>
          <w:iCs/>
        </w:rPr>
        <w:t>Health Insurance Act 1973</w:t>
      </w:r>
      <w:r w:rsidRPr="002029AF">
        <w:t>.</w:t>
      </w:r>
    </w:p>
    <w:p w14:paraId="20F1C50B" w14:textId="77777777" w:rsidR="00603E4B" w:rsidRPr="002029AF" w:rsidRDefault="00603E4B" w:rsidP="00603E4B">
      <w:pPr>
        <w:pStyle w:val="ARbody"/>
      </w:pPr>
      <w:r w:rsidRPr="002029AF">
        <w:t>The department has accepted all VAGO’s recommendations and has a plan in place to address them.</w:t>
      </w:r>
    </w:p>
    <w:p w14:paraId="7620F901" w14:textId="7B8696D2" w:rsidR="00603E4B" w:rsidRPr="002029AF" w:rsidRDefault="00603E4B" w:rsidP="00603E4B">
      <w:pPr>
        <w:pStyle w:val="ARbody"/>
      </w:pPr>
      <w:r w:rsidRPr="002029AF">
        <w:t xml:space="preserve">In June 2019 Professor David Watters was appointed by the Minister for Health to lead a review on private practice arrangements in our public health </w:t>
      </w:r>
      <w:r w:rsidR="00CE7269" w:rsidRPr="002029AF">
        <w:t>services. The</w:t>
      </w:r>
      <w:r w:rsidRPr="002029AF">
        <w:t xml:space="preserve"> review will inform any additional measures required to ensure fair and equitable access to treatment.</w:t>
      </w:r>
    </w:p>
    <w:p w14:paraId="69FD9C8A" w14:textId="77777777" w:rsidR="00603E4B" w:rsidRPr="002029AF" w:rsidRDefault="00603E4B" w:rsidP="00603E4B">
      <w:pPr>
        <w:pStyle w:val="ARbody"/>
      </w:pPr>
      <w:r w:rsidRPr="002029AF">
        <w:t>Professor Watters has complete discretion to identify any areas of non-compliance that require immediate action and make recommendations aimed at strengthening equity of access for all patients requiring elective surgery in public hospitals.</w:t>
      </w:r>
    </w:p>
    <w:p w14:paraId="416B39AB" w14:textId="77777777" w:rsidR="00603E4B" w:rsidRPr="002029AF" w:rsidRDefault="00603E4B" w:rsidP="00603E4B">
      <w:pPr>
        <w:pStyle w:val="Heading6"/>
        <w:rPr>
          <w:szCs w:val="20"/>
          <w:lang w:val="en-AU"/>
        </w:rPr>
      </w:pPr>
      <w:r w:rsidRPr="002029AF">
        <w:rPr>
          <w:szCs w:val="20"/>
          <w:lang w:val="en-AU"/>
        </w:rPr>
        <w:t>Expanding access to hospitals</w:t>
      </w:r>
    </w:p>
    <w:p w14:paraId="49901F4D" w14:textId="5F13F386" w:rsidR="00603E4B" w:rsidRPr="002029AF" w:rsidRDefault="00603E4B" w:rsidP="00603E4B">
      <w:pPr>
        <w:pStyle w:val="ARbody"/>
      </w:pPr>
      <w:r w:rsidRPr="002029AF">
        <w:t>The $100 million boost to the Regional Health Infrastructure Fund supported 76 projects to provide safe and efficient care to rural and regional</w:t>
      </w:r>
      <w:r w:rsidR="007C4ED3">
        <w:t> </w:t>
      </w:r>
      <w:r w:rsidRPr="002029AF">
        <w:t>communities.</w:t>
      </w:r>
    </w:p>
    <w:p w14:paraId="390DA012" w14:textId="77777777" w:rsidR="00603E4B" w:rsidRPr="002029AF" w:rsidRDefault="00603E4B" w:rsidP="00603E4B">
      <w:pPr>
        <w:pStyle w:val="ARbody"/>
      </w:pPr>
      <w:r w:rsidRPr="002029AF">
        <w:t>The $115 million redevelopment of Wonthaggi Hospital will boost the capacity to treat an extra 26,000 emergency patients each year, meeting future demand for the growing Bass Coast Shire.</w:t>
      </w:r>
    </w:p>
    <w:p w14:paraId="5AC296DF" w14:textId="77777777" w:rsidR="00603E4B" w:rsidRPr="002029AF" w:rsidRDefault="00603E4B" w:rsidP="00603E4B">
      <w:pPr>
        <w:pStyle w:val="ARbody"/>
      </w:pPr>
      <w:r w:rsidRPr="002029AF">
        <w:t>Construction continues on the $162.7 million upgrade and expansion of the Northern Hospital, which is expected to be completed in 2021.</w:t>
      </w:r>
    </w:p>
    <w:p w14:paraId="7622DC06" w14:textId="77777777" w:rsidR="00603E4B" w:rsidRPr="002029AF" w:rsidRDefault="00603E4B" w:rsidP="00603E4B">
      <w:pPr>
        <w:pStyle w:val="Heading6"/>
        <w:rPr>
          <w:szCs w:val="20"/>
          <w:lang w:val="en-AU"/>
        </w:rPr>
      </w:pPr>
      <w:r w:rsidRPr="002029AF">
        <w:rPr>
          <w:szCs w:val="20"/>
          <w:lang w:val="en-AU"/>
        </w:rPr>
        <w:t>Increased ambulance services</w:t>
      </w:r>
    </w:p>
    <w:p w14:paraId="325FCB6A" w14:textId="4AE3A4AC" w:rsidR="00603E4B" w:rsidRPr="002029AF" w:rsidRDefault="00603E4B" w:rsidP="00603E4B">
      <w:pPr>
        <w:pStyle w:val="ARbody"/>
      </w:pPr>
      <w:r w:rsidRPr="002029AF">
        <w:t>Bacchus Marsh ambulance station was launched</w:t>
      </w:r>
      <w:r w:rsidR="007C4ED3">
        <w:t> </w:t>
      </w:r>
      <w:r w:rsidRPr="002029AF">
        <w:t>on 13 February 2020 and Bacchus Marsh</w:t>
      </w:r>
      <w:r w:rsidR="007C4ED3">
        <w:t> </w:t>
      </w:r>
      <w:r w:rsidRPr="002029AF">
        <w:t>paramedics now have the safe and modern facilities they need to respond to emergencies faster and save lives.</w:t>
      </w:r>
    </w:p>
    <w:p w14:paraId="200B7774" w14:textId="6D943B9B" w:rsidR="00603E4B" w:rsidRPr="002029AF" w:rsidRDefault="00603E4B" w:rsidP="00603E4B">
      <w:pPr>
        <w:pStyle w:val="ARbody"/>
      </w:pPr>
      <w:r w:rsidRPr="002029AF">
        <w:t>Winchelsea’s first-ever ambulance station opened</w:t>
      </w:r>
      <w:r w:rsidR="007C4ED3">
        <w:t> </w:t>
      </w:r>
      <w:r w:rsidRPr="002029AF">
        <w:t>in December 2019. It will help the region’s paramedics reach critical emergencies faster and save lives.</w:t>
      </w:r>
    </w:p>
    <w:p w14:paraId="72F25DBA" w14:textId="77777777" w:rsidR="00603E4B" w:rsidRPr="002029AF" w:rsidRDefault="00603E4B" w:rsidP="00603E4B">
      <w:pPr>
        <w:pStyle w:val="ARbody"/>
      </w:pPr>
      <w:r w:rsidRPr="002029AF">
        <w:t>Tatura’s first-ever ambulance station was also opened in late 2019. Ambulance Victoria are now operating out of all three stations.</w:t>
      </w:r>
    </w:p>
    <w:p w14:paraId="57029870" w14:textId="77777777" w:rsidR="00603E4B" w:rsidRPr="002029AF" w:rsidRDefault="00603E4B" w:rsidP="00603E4B">
      <w:pPr>
        <w:pStyle w:val="Heading6"/>
        <w:rPr>
          <w:lang w:val="en-AU"/>
        </w:rPr>
      </w:pPr>
      <w:r w:rsidRPr="002029AF">
        <w:rPr>
          <w:lang w:val="en-AU"/>
        </w:rPr>
        <w:t>Telehealth</w:t>
      </w:r>
    </w:p>
    <w:p w14:paraId="199EE1DF" w14:textId="40EEF948" w:rsidR="00603E4B" w:rsidRPr="002029AF" w:rsidRDefault="00603E4B" w:rsidP="00603E4B">
      <w:pPr>
        <w:pStyle w:val="ARbody"/>
      </w:pPr>
      <w:r w:rsidRPr="002029AF">
        <w:t>In response to the coronavirus (COVID-19) pandemic Victorian public health services have rapidly expanded their telehealth capacity to reduce transmission risks and support ongoing access to clinical services usually provided face</w:t>
      </w:r>
      <w:r w:rsidR="00437C83" w:rsidRPr="002029AF">
        <w:t>-</w:t>
      </w:r>
      <w:r w:rsidRPr="002029AF">
        <w:t>to</w:t>
      </w:r>
      <w:r w:rsidR="00437C83" w:rsidRPr="002029AF">
        <w:t>-</w:t>
      </w:r>
      <w:r w:rsidRPr="002029AF">
        <w:t>face.</w:t>
      </w:r>
    </w:p>
    <w:p w14:paraId="7F4BF20A" w14:textId="77777777" w:rsidR="00603E4B" w:rsidRPr="002029AF" w:rsidRDefault="00603E4B" w:rsidP="00603E4B">
      <w:pPr>
        <w:pStyle w:val="ARbody"/>
      </w:pPr>
      <w:r w:rsidRPr="002029AF">
        <w:t>New guidance released by Safer Care Victoria will help allied health professionals use telehealth, now and into the future. In particular, it will help them understand how best to leverage this technology.</w:t>
      </w:r>
    </w:p>
    <w:p w14:paraId="1F915528" w14:textId="5924F4CB" w:rsidR="00603E4B" w:rsidRPr="002029AF" w:rsidRDefault="00603E4B" w:rsidP="00603E4B">
      <w:pPr>
        <w:pStyle w:val="ARbody"/>
      </w:pPr>
      <w:r w:rsidRPr="002029AF">
        <w:t>In addition, a Public Health Emergency Order was issued to enable transmission of a digital image of a paper prescription</w:t>
      </w:r>
      <w:r w:rsidR="00E321BC">
        <w:t>,</w:t>
      </w:r>
      <w:r w:rsidRPr="002029AF">
        <w:t xml:space="preserve"> ensuring patients in isolation could continue to obtain essential medicines</w:t>
      </w:r>
      <w:r w:rsidR="008E08EE">
        <w:t>.</w:t>
      </w:r>
    </w:p>
    <w:p w14:paraId="257CAC2F" w14:textId="77777777" w:rsidR="00603E4B" w:rsidRPr="002029AF" w:rsidRDefault="00603E4B" w:rsidP="00603E4B">
      <w:pPr>
        <w:pStyle w:val="ARbody"/>
      </w:pPr>
      <w:r w:rsidRPr="002029AF">
        <w:t>Implementation of electronic prescribing was subsequently fast tracked. In May 2020, the first electronic prescription transmitted in Australia took place between a medical practice and pharmacy in Anglesea, Victoria.</w:t>
      </w:r>
    </w:p>
    <w:p w14:paraId="3AE659F2" w14:textId="52F9D93D" w:rsidR="00603E4B" w:rsidRPr="002029AF" w:rsidRDefault="00603E4B" w:rsidP="00603E4B">
      <w:pPr>
        <w:pStyle w:val="ARbody"/>
      </w:pPr>
      <w:r w:rsidRPr="002029AF">
        <w:t xml:space="preserve">In planning for the recovery phase post coronavirus (COVID-19), there is an opportunity to embed telehealth as ‘business as usual’ in public health </w:t>
      </w:r>
      <w:r w:rsidRPr="002029AF">
        <w:lastRenderedPageBreak/>
        <w:t>services, particularly in the delivery of allied health</w:t>
      </w:r>
      <w:r w:rsidR="007C4ED3">
        <w:t> </w:t>
      </w:r>
      <w:r w:rsidRPr="002029AF">
        <w:t>care.</w:t>
      </w:r>
    </w:p>
    <w:p w14:paraId="32156EB5" w14:textId="77777777" w:rsidR="00603E4B" w:rsidRPr="002029AF" w:rsidRDefault="00603E4B" w:rsidP="00603E4B">
      <w:pPr>
        <w:pStyle w:val="Heading6"/>
        <w:rPr>
          <w:szCs w:val="20"/>
          <w:lang w:val="en-AU"/>
        </w:rPr>
      </w:pPr>
      <w:r w:rsidRPr="002029AF">
        <w:rPr>
          <w:szCs w:val="20"/>
          <w:lang w:val="en-AU"/>
        </w:rPr>
        <w:t>More choice for end of life care</w:t>
      </w:r>
    </w:p>
    <w:p w14:paraId="7B44EEC4" w14:textId="79552C8C" w:rsidR="00603E4B" w:rsidRPr="002029AF" w:rsidRDefault="00603E4B" w:rsidP="00603E4B">
      <w:pPr>
        <w:pStyle w:val="ARbody"/>
      </w:pPr>
      <w:r w:rsidRPr="002029AF">
        <w:t>An extra $23.4 million was provided in the 2018</w:t>
      </w:r>
      <w:r w:rsidR="000F13EA" w:rsidRPr="002029AF">
        <w:t>–</w:t>
      </w:r>
      <w:r w:rsidRPr="002029AF">
        <w:t>19 budget to implement recommendations from an expert panel’s review into palliative care funding.</w:t>
      </w:r>
    </w:p>
    <w:p w14:paraId="1E88CD51" w14:textId="77777777" w:rsidR="00603E4B" w:rsidRPr="002029AF" w:rsidRDefault="00603E4B" w:rsidP="00603E4B">
      <w:pPr>
        <w:pStyle w:val="ARbody"/>
      </w:pPr>
      <w:r w:rsidRPr="002029AF">
        <w:t>This funding was allocated via one-off infrastructure grants in 2019 to 12 eligible community palliative care services in metropolitan Melbourne and peri-urban areas less than 100 km from Melbourne’s central business district, where demand for services is increasing.</w:t>
      </w:r>
    </w:p>
    <w:p w14:paraId="01395680" w14:textId="77777777" w:rsidR="00603E4B" w:rsidRPr="002029AF" w:rsidRDefault="00603E4B" w:rsidP="00603E4B">
      <w:pPr>
        <w:pStyle w:val="ARbody"/>
      </w:pPr>
      <w:r w:rsidRPr="002029AF">
        <w:t>The grants provide for infrastructure to enable more efficient service provision and in so doing support more Victorians with life-limiting illnesses who would benefit from palliative care to access that care as close to home as possible.</w:t>
      </w:r>
    </w:p>
    <w:p w14:paraId="0FB81736" w14:textId="3A4EFF74" w:rsidR="00603E4B" w:rsidRPr="002029AF" w:rsidRDefault="00603E4B" w:rsidP="00603E4B">
      <w:pPr>
        <w:pStyle w:val="ARbody"/>
      </w:pPr>
      <w:r w:rsidRPr="002029AF">
        <w:t>In April $2.4 million was provided to support projects that enable better integration between hospital and community palliative care services so</w:t>
      </w:r>
      <w:r w:rsidR="007C4ED3">
        <w:t> </w:t>
      </w:r>
      <w:r w:rsidRPr="002029AF">
        <w:t>that clients, their families and carers can access the best possible end of life and palliative care, irrespective of their care setting.</w:t>
      </w:r>
    </w:p>
    <w:p w14:paraId="245F3AA0" w14:textId="77777777" w:rsidR="00603E4B" w:rsidRPr="002029AF" w:rsidRDefault="00603E4B" w:rsidP="00603E4B">
      <w:pPr>
        <w:pStyle w:val="ARbody"/>
      </w:pPr>
      <w:r w:rsidRPr="002029AF">
        <w:t>This funding has supported the development and testing of new models of care, workforce models and support systems to enable more efficient service provision aimed at improving the continuity of care across multiple care settings for Victorians with life-limiting illnesses.</w:t>
      </w:r>
    </w:p>
    <w:p w14:paraId="7458E074" w14:textId="77777777" w:rsidR="00603E4B" w:rsidRPr="002029AF" w:rsidRDefault="00603E4B" w:rsidP="00603E4B">
      <w:pPr>
        <w:pStyle w:val="Heading5"/>
        <w:rPr>
          <w:rFonts w:eastAsia="Calibri"/>
        </w:rPr>
      </w:pPr>
      <w:r w:rsidRPr="002029AF">
        <w:rPr>
          <w:rFonts w:eastAsia="Calibri"/>
        </w:rPr>
        <w:t>Key result 29: Reduce unexplained variation in the care people receive – especially for disadvantaged groups</w:t>
      </w:r>
    </w:p>
    <w:p w14:paraId="10A7BFE9" w14:textId="4D757224" w:rsidR="00603E4B" w:rsidRPr="002029AF" w:rsidRDefault="00603E4B" w:rsidP="00603E4B">
      <w:pPr>
        <w:pStyle w:val="Heading6"/>
        <w:rPr>
          <w:szCs w:val="20"/>
          <w:lang w:val="en-AU"/>
        </w:rPr>
      </w:pPr>
      <w:r w:rsidRPr="002029AF">
        <w:rPr>
          <w:szCs w:val="20"/>
          <w:lang w:val="en-AU"/>
        </w:rPr>
        <w:t>Everybody Matters: Inclusion and Equity</w:t>
      </w:r>
      <w:r w:rsidR="007C4ED3">
        <w:rPr>
          <w:szCs w:val="20"/>
          <w:lang w:val="en-AU"/>
        </w:rPr>
        <w:t> </w:t>
      </w:r>
      <w:r w:rsidRPr="002029AF">
        <w:rPr>
          <w:szCs w:val="20"/>
          <w:lang w:val="en-AU"/>
        </w:rPr>
        <w:t>Statement</w:t>
      </w:r>
    </w:p>
    <w:p w14:paraId="0E7A0FF6" w14:textId="38DB42C3" w:rsidR="00603E4B" w:rsidRPr="002029AF" w:rsidRDefault="00603E4B" w:rsidP="00603E4B">
      <w:pPr>
        <w:pStyle w:val="ARbody"/>
      </w:pPr>
      <w:r w:rsidRPr="002029AF">
        <w:rPr>
          <w:i/>
          <w:iCs/>
        </w:rPr>
        <w:t xml:space="preserve">Everybody matters: inclusion and equity statement, </w:t>
      </w:r>
      <w:r w:rsidRPr="002029AF">
        <w:t>launched in April 2019, is a ten-year commitment that aims to build an inclusive, safe, responsive and</w:t>
      </w:r>
      <w:r w:rsidR="007C4ED3">
        <w:t> </w:t>
      </w:r>
      <w:r w:rsidRPr="002029AF">
        <w:t>accountable family violence system for all Victorians.</w:t>
      </w:r>
    </w:p>
    <w:p w14:paraId="020A3792" w14:textId="77777777" w:rsidR="00603E4B" w:rsidRPr="002029AF" w:rsidRDefault="00603E4B" w:rsidP="00603E4B">
      <w:pPr>
        <w:pStyle w:val="ARbody"/>
      </w:pPr>
      <w:bookmarkStart w:id="47" w:name="AUDIENCE"/>
      <w:bookmarkStart w:id="48" w:name="CONSULTATION_PROCESS"/>
      <w:bookmarkStart w:id="49" w:name="_bookmark1"/>
      <w:bookmarkEnd w:id="47"/>
      <w:bookmarkEnd w:id="48"/>
      <w:bookmarkEnd w:id="49"/>
      <w:r w:rsidRPr="002029AF">
        <w:t>The statement is the first attempt to apply an intersectionality framework across an entire reform agenda. Achieving its vision requires all relevant government departments and sector partners to work together.</w:t>
      </w:r>
    </w:p>
    <w:p w14:paraId="5D02816D" w14:textId="77777777" w:rsidR="00603E4B" w:rsidRPr="002029AF" w:rsidRDefault="00603E4B" w:rsidP="00603E4B">
      <w:pPr>
        <w:pStyle w:val="ARbody"/>
      </w:pPr>
      <w:r w:rsidRPr="002029AF">
        <w:t>The Equity Blueprint will deliver actions required, over three stages, to achieve the long-term vision of the statement.</w:t>
      </w:r>
    </w:p>
    <w:p w14:paraId="442C24F1" w14:textId="77777777" w:rsidR="00603E4B" w:rsidRPr="002029AF" w:rsidRDefault="00603E4B" w:rsidP="00603E4B">
      <w:pPr>
        <w:pStyle w:val="Heading6"/>
        <w:rPr>
          <w:lang w:val="en-AU"/>
        </w:rPr>
      </w:pPr>
      <w:r w:rsidRPr="002029AF">
        <w:rPr>
          <w:lang w:val="en-AU"/>
        </w:rPr>
        <w:t>Optimal care pathways for people with cancer</w:t>
      </w:r>
    </w:p>
    <w:p w14:paraId="6C920312" w14:textId="77777777" w:rsidR="00603E4B" w:rsidRPr="002029AF" w:rsidRDefault="00603E4B" w:rsidP="00603E4B">
      <w:pPr>
        <w:pStyle w:val="ARbody"/>
      </w:pPr>
      <w:r w:rsidRPr="002029AF">
        <w:t>The department commissioned Cancer Council Victoria to conduct a review of the optimal care pathways for specific tumour types such as bowel, breast and lung cancer.</w:t>
      </w:r>
    </w:p>
    <w:p w14:paraId="388CBB5B" w14:textId="784A3468" w:rsidR="00603E4B" w:rsidRPr="002029AF" w:rsidRDefault="00603E4B" w:rsidP="00603E4B">
      <w:pPr>
        <w:pStyle w:val="ARbody"/>
      </w:pPr>
      <w:r w:rsidRPr="002029AF">
        <w:t>The optimal care pathways were developed as part</w:t>
      </w:r>
      <w:r w:rsidR="007C4ED3">
        <w:t> </w:t>
      </w:r>
      <w:r w:rsidRPr="002029AF">
        <w:t xml:space="preserve">of the </w:t>
      </w:r>
      <w:r w:rsidRPr="002C13AE">
        <w:rPr>
          <w:i/>
          <w:iCs/>
        </w:rPr>
        <w:t>National Cancer Plan</w:t>
      </w:r>
      <w:r w:rsidRPr="002029AF">
        <w:t xml:space="preserve"> and have been endorsed by the National Cancer Expert Review Group, Cancer Australia, Cancer Council Australia, and the Australian Health Ministers Advisory Council.</w:t>
      </w:r>
    </w:p>
    <w:p w14:paraId="09FC689B" w14:textId="1D1CC423" w:rsidR="00603E4B" w:rsidRPr="002029AF" w:rsidRDefault="00603E4B" w:rsidP="00603E4B">
      <w:pPr>
        <w:pStyle w:val="ARbody"/>
      </w:pPr>
      <w:r w:rsidRPr="002029AF">
        <w:t>They provide health professionals with an evidence-based resource which can quickly tell</w:t>
      </w:r>
      <w:r w:rsidR="007C4ED3">
        <w:t> </w:t>
      </w:r>
      <w:r w:rsidRPr="002029AF">
        <w:t>them what the clinically optimal care pathway is</w:t>
      </w:r>
      <w:r w:rsidR="007C4ED3">
        <w:t> </w:t>
      </w:r>
      <w:r w:rsidRPr="002029AF">
        <w:t>for a person, depending on the cancer type. This</w:t>
      </w:r>
      <w:r w:rsidR="007C4ED3">
        <w:t> </w:t>
      </w:r>
      <w:r w:rsidRPr="002029AF">
        <w:t>resource includes prevention information and optimal clinical care and next steps for a wide range of cancers</w:t>
      </w:r>
      <w:r w:rsidR="00E321BC">
        <w:t>,</w:t>
      </w:r>
      <w:r w:rsidRPr="002029AF">
        <w:t xml:space="preserve"> including breast, bowel and lung</w:t>
      </w:r>
      <w:r w:rsidR="00AD78D6">
        <w:t> </w:t>
      </w:r>
      <w:r w:rsidRPr="002029AF">
        <w:t>cancer.</w:t>
      </w:r>
    </w:p>
    <w:p w14:paraId="3345ADEB" w14:textId="77777777" w:rsidR="00603E4B" w:rsidRPr="002029AF" w:rsidRDefault="00603E4B" w:rsidP="00603E4B">
      <w:pPr>
        <w:pStyle w:val="ARbody"/>
      </w:pPr>
      <w:r w:rsidRPr="002029AF">
        <w:t>Both detailed and quick reference guides have been developed and there is a specific guide for Aboriginal and Torres Strait Islander peoples.</w:t>
      </w:r>
    </w:p>
    <w:p w14:paraId="132DDF46" w14:textId="77777777" w:rsidR="00603E4B" w:rsidRPr="002029AF" w:rsidRDefault="00603E4B" w:rsidP="00603E4B">
      <w:pPr>
        <w:pStyle w:val="ARbody"/>
      </w:pPr>
      <w:r w:rsidRPr="002029AF">
        <w:t>As a result, people are receiving more informed and more accurate care when they are diagnosed with cancer, and it is hoped that this will improve outcomes for people with cancer in the longer term.</w:t>
      </w:r>
    </w:p>
    <w:p w14:paraId="61DB3E2B" w14:textId="77777777" w:rsidR="00603E4B" w:rsidRPr="002029AF" w:rsidRDefault="00603E4B" w:rsidP="00603E4B">
      <w:pPr>
        <w:pStyle w:val="Heading4"/>
      </w:pPr>
      <w:r w:rsidRPr="002029AF">
        <w:t>Outcomes 5.2: Services are inclusive and respond to choice, culture, identity, circumstances and goals</w:t>
      </w:r>
    </w:p>
    <w:p w14:paraId="32ECEB3D" w14:textId="77777777" w:rsidR="00603E4B" w:rsidRPr="002029AF" w:rsidRDefault="00603E4B" w:rsidP="00603E4B">
      <w:pPr>
        <w:pStyle w:val="ARbody"/>
      </w:pPr>
      <w:r w:rsidRPr="002029AF">
        <w:t>Services are person centred and respond to service users’ needs and preferences, whether they are geographical, physical, social or cultural. Services are culturally safe and focus on prioritising user choice, self-determination, ownership and empowerment.</w:t>
      </w:r>
    </w:p>
    <w:p w14:paraId="4609410D" w14:textId="77777777" w:rsidR="00603E4B" w:rsidRPr="002029AF" w:rsidRDefault="00603E4B" w:rsidP="00603E4B">
      <w:pPr>
        <w:pStyle w:val="Heading5"/>
        <w:rPr>
          <w:szCs w:val="22"/>
        </w:rPr>
      </w:pPr>
      <w:r w:rsidRPr="002029AF">
        <w:rPr>
          <w:szCs w:val="22"/>
        </w:rPr>
        <w:t>Progress against outcomes</w:t>
      </w:r>
    </w:p>
    <w:p w14:paraId="6C116AE8" w14:textId="6BD2BA28" w:rsidR="00603E4B" w:rsidRPr="002029AF" w:rsidRDefault="00603E4B" w:rsidP="00603E4B">
      <w:pPr>
        <w:pStyle w:val="ARbody"/>
      </w:pPr>
      <w:r w:rsidRPr="002029AF">
        <w:t>Some of our key achievements in 2019–20 are</w:t>
      </w:r>
      <w:r w:rsidR="007C4ED3">
        <w:t> </w:t>
      </w:r>
      <w:r w:rsidRPr="002029AF">
        <w:t>outlined below.</w:t>
      </w:r>
    </w:p>
    <w:p w14:paraId="733F48A7" w14:textId="77777777" w:rsidR="00603E4B" w:rsidRPr="002029AF" w:rsidRDefault="00603E4B" w:rsidP="00603E4B">
      <w:pPr>
        <w:pStyle w:val="Heading5"/>
        <w:rPr>
          <w:rFonts w:eastAsia="Calibri"/>
        </w:rPr>
      </w:pPr>
      <w:r w:rsidRPr="002029AF">
        <w:rPr>
          <w:rFonts w:eastAsia="Calibri"/>
        </w:rPr>
        <w:t>Key result 30: Increase client and patient choice concerning the services and treatment they receive</w:t>
      </w:r>
    </w:p>
    <w:p w14:paraId="5DD330F7" w14:textId="4258C730" w:rsidR="00603E4B" w:rsidRPr="002029AF" w:rsidRDefault="00603E4B" w:rsidP="00603E4B">
      <w:pPr>
        <w:pStyle w:val="Heading6"/>
        <w:rPr>
          <w:szCs w:val="20"/>
          <w:lang w:val="en-AU"/>
        </w:rPr>
      </w:pPr>
      <w:r w:rsidRPr="002029AF">
        <w:rPr>
          <w:szCs w:val="20"/>
          <w:lang w:val="en-AU"/>
        </w:rPr>
        <w:t>Royal Commission into Aged Care Quality and</w:t>
      </w:r>
      <w:r w:rsidR="007C4ED3">
        <w:rPr>
          <w:szCs w:val="20"/>
          <w:lang w:val="en-AU"/>
        </w:rPr>
        <w:t> </w:t>
      </w:r>
      <w:r w:rsidRPr="002029AF">
        <w:rPr>
          <w:szCs w:val="20"/>
          <w:lang w:val="en-AU"/>
        </w:rPr>
        <w:t>Safety</w:t>
      </w:r>
    </w:p>
    <w:p w14:paraId="0A0A6F24" w14:textId="0641D7BD" w:rsidR="00603E4B" w:rsidRPr="002029AF" w:rsidRDefault="00603E4B" w:rsidP="00603E4B">
      <w:pPr>
        <w:pStyle w:val="ARbody"/>
      </w:pPr>
      <w:r w:rsidRPr="002029AF">
        <w:t>The Commonwealth Government is the primary funder and regulator of aged</w:t>
      </w:r>
      <w:r w:rsidR="00B03D65" w:rsidRPr="002029AF">
        <w:t xml:space="preserve"> </w:t>
      </w:r>
      <w:r w:rsidRPr="002029AF">
        <w:t xml:space="preserve">care services in Australia. The Victorian Government has welcomed the Royal Commission to develop </w:t>
      </w:r>
      <w:r w:rsidRPr="002029AF">
        <w:lastRenderedPageBreak/>
        <w:t>recommendations on how best to support the delivery of high-quality and safe services for older</w:t>
      </w:r>
      <w:r w:rsidR="007C4ED3">
        <w:t> </w:t>
      </w:r>
      <w:r w:rsidRPr="002029AF">
        <w:t>Australians.</w:t>
      </w:r>
    </w:p>
    <w:p w14:paraId="4D5671C6" w14:textId="3B34EF27" w:rsidR="00603E4B" w:rsidRPr="002029AF" w:rsidRDefault="00603E4B" w:rsidP="00603E4B">
      <w:pPr>
        <w:pStyle w:val="ARbody"/>
      </w:pPr>
      <w:r w:rsidRPr="002029AF">
        <w:t>The Victorian Government’s submission to the Royal Commission was made in October 2019. It</w:t>
      </w:r>
      <w:r w:rsidR="007C4ED3">
        <w:t> </w:t>
      </w:r>
      <w:r w:rsidRPr="002029AF">
        <w:t xml:space="preserve">has 24 recommendations, covering increasing choice for care, including supporting people to stay in their homes, better integrated health care into aged </w:t>
      </w:r>
      <w:r w:rsidR="00E321BC">
        <w:t>c</w:t>
      </w:r>
      <w:r w:rsidRPr="002029AF">
        <w:t>are, strengthening clinical governance, reducing use of restraint (including chemical restraint), keeping older people safe from abuse and exploitation, and managing outbreaks of respiratory illnesses better in residential settings.</w:t>
      </w:r>
    </w:p>
    <w:p w14:paraId="08578D87" w14:textId="77777777" w:rsidR="00603E4B" w:rsidRPr="002029AF" w:rsidRDefault="00603E4B" w:rsidP="00603E4B">
      <w:pPr>
        <w:pStyle w:val="ARbody"/>
      </w:pPr>
      <w:r w:rsidRPr="002029AF">
        <w:t>The importance of these recommendations has been highlighted even more by the coronavirus (COVID-19) pandemic and its effects on people living in aged care facilities.</w:t>
      </w:r>
    </w:p>
    <w:p w14:paraId="21DD2A4B" w14:textId="77777777" w:rsidR="00603E4B" w:rsidRPr="002029AF" w:rsidRDefault="00603E4B" w:rsidP="00603E4B">
      <w:pPr>
        <w:pStyle w:val="ARbody"/>
      </w:pPr>
      <w:r w:rsidRPr="002029AF">
        <w:t>As of 5 August 2020, there had been 112 outbreaks of coronavirus (COVID-19) in aged care facilities in Victoria – 108 in privately run aged care facilities, and four in publicly funded facilities.</w:t>
      </w:r>
    </w:p>
    <w:p w14:paraId="3CAC4634" w14:textId="52B56EF9" w:rsidR="00603E4B" w:rsidRPr="002029AF" w:rsidRDefault="00603E4B" w:rsidP="00603E4B">
      <w:pPr>
        <w:pStyle w:val="ARbody"/>
      </w:pPr>
      <w:r w:rsidRPr="002029AF">
        <w:rPr>
          <w:rFonts w:eastAsia="Times New Roman"/>
        </w:rPr>
        <w:t>The Commonwealth Government oversees privately</w:t>
      </w:r>
      <w:r w:rsidR="002F170E">
        <w:rPr>
          <w:rFonts w:eastAsia="Times New Roman"/>
        </w:rPr>
        <w:t xml:space="preserve"> </w:t>
      </w:r>
      <w:r w:rsidRPr="002029AF">
        <w:rPr>
          <w:rFonts w:eastAsia="Times New Roman"/>
        </w:rPr>
        <w:t>run aged</w:t>
      </w:r>
      <w:r w:rsidR="00B03D65" w:rsidRPr="002029AF">
        <w:rPr>
          <w:rFonts w:eastAsia="Times New Roman"/>
        </w:rPr>
        <w:t xml:space="preserve"> </w:t>
      </w:r>
      <w:r w:rsidRPr="002029AF">
        <w:rPr>
          <w:rFonts w:eastAsia="Times New Roman"/>
        </w:rPr>
        <w:t>care facilities, and Victorian health services operate 178 public sector residential aged care services</w:t>
      </w:r>
      <w:r w:rsidR="002C13AE">
        <w:rPr>
          <w:rFonts w:eastAsia="Times New Roman"/>
        </w:rPr>
        <w:t>.</w:t>
      </w:r>
    </w:p>
    <w:p w14:paraId="380E1341" w14:textId="77777777" w:rsidR="00603E4B" w:rsidRPr="002029AF" w:rsidRDefault="00603E4B" w:rsidP="00603E4B">
      <w:pPr>
        <w:pStyle w:val="ARbody"/>
      </w:pPr>
      <w:r w:rsidRPr="002029AF">
        <w:rPr>
          <w:rFonts w:eastAsia="Times New Roman"/>
        </w:rPr>
        <w:t xml:space="preserve">Victorian-funded aged care facilities </w:t>
      </w:r>
      <w:r w:rsidRPr="002029AF">
        <w:t>have a mandated nurse to patient ratio, ensuring a minimum number of qualified nursing staff.</w:t>
      </w:r>
    </w:p>
    <w:p w14:paraId="0F0580B4" w14:textId="77777777" w:rsidR="00603E4B" w:rsidRPr="002029AF" w:rsidRDefault="00603E4B" w:rsidP="00603E4B">
      <w:pPr>
        <w:pStyle w:val="Heading5"/>
        <w:rPr>
          <w:rFonts w:eastAsia="Calibri"/>
        </w:rPr>
      </w:pPr>
      <w:r w:rsidRPr="002029AF">
        <w:rPr>
          <w:rFonts w:eastAsia="Calibri"/>
        </w:rPr>
        <w:t>Key result 31: Increase diversity of the department’s workforce – especially Aboriginal people employed in senior roles</w:t>
      </w:r>
    </w:p>
    <w:p w14:paraId="612735EE" w14:textId="77777777" w:rsidR="00603E4B" w:rsidRPr="002029AF" w:rsidRDefault="00603E4B" w:rsidP="00603E4B">
      <w:pPr>
        <w:pStyle w:val="Heading6"/>
        <w:rPr>
          <w:szCs w:val="20"/>
          <w:lang w:val="en-AU"/>
        </w:rPr>
      </w:pPr>
      <w:r w:rsidRPr="002029AF">
        <w:rPr>
          <w:szCs w:val="20"/>
          <w:lang w:val="en-AU"/>
        </w:rPr>
        <w:t>Aboriginal Cultural Safety Framework</w:t>
      </w:r>
    </w:p>
    <w:p w14:paraId="384CE2AC" w14:textId="77777777" w:rsidR="00603E4B" w:rsidRPr="002029AF" w:rsidRDefault="00603E4B" w:rsidP="00603E4B">
      <w:pPr>
        <w:pStyle w:val="ARbody"/>
      </w:pPr>
      <w:r w:rsidRPr="002029AF">
        <w:t xml:space="preserve">The department is delivering its </w:t>
      </w:r>
      <w:r w:rsidRPr="002C13AE">
        <w:rPr>
          <w:i/>
          <w:iCs/>
        </w:rPr>
        <w:t>Aboriginal Cultural Safety Framework</w:t>
      </w:r>
      <w:r w:rsidRPr="002029AF">
        <w:t xml:space="preserve"> with three action phases and more detailed Area plans, which are in different stages of development.</w:t>
      </w:r>
    </w:p>
    <w:p w14:paraId="78A0B9F2" w14:textId="77777777" w:rsidR="00603E4B" w:rsidRPr="002029AF" w:rsidRDefault="00603E4B" w:rsidP="00603E4B">
      <w:pPr>
        <w:pStyle w:val="ARbody"/>
      </w:pPr>
      <w:r w:rsidRPr="002029AF">
        <w:t>There are a number of ways we seek to make Aboriginal staff feel safe working in the department. They include training for all staff and managers on cultural safety, cultural awareness and Aboriginal culture.</w:t>
      </w:r>
    </w:p>
    <w:p w14:paraId="490A7478" w14:textId="77777777" w:rsidR="00603E4B" w:rsidRPr="002029AF" w:rsidRDefault="00603E4B" w:rsidP="00603E4B">
      <w:pPr>
        <w:pStyle w:val="Heading6"/>
        <w:rPr>
          <w:lang w:val="en-AU"/>
        </w:rPr>
      </w:pPr>
      <w:r w:rsidRPr="002029AF">
        <w:rPr>
          <w:lang w:val="en-AU"/>
        </w:rPr>
        <w:t>Wirrigirri reconciliation</w:t>
      </w:r>
    </w:p>
    <w:p w14:paraId="31230DAA" w14:textId="02A158FA" w:rsidR="00603E4B" w:rsidRPr="002029AF" w:rsidRDefault="00603E4B" w:rsidP="00603E4B">
      <w:pPr>
        <w:pStyle w:val="ARbody"/>
      </w:pPr>
      <w:r w:rsidRPr="002029AF">
        <w:t>The Wirrigirri reconciliation program has been established to support Aboriginal inclusion and a</w:t>
      </w:r>
      <w:r w:rsidR="007C4ED3">
        <w:t> </w:t>
      </w:r>
      <w:r w:rsidRPr="002029AF">
        <w:t xml:space="preserve">culturally safe workplace. It aims to build </w:t>
      </w:r>
      <w:r w:rsidRPr="002029AF">
        <w:t>knowledge and respect of the shared history and cultures of First People and to promote and build positive relationships with Aboriginal people. Wirrigirri (messengers) stand up for zero tolerance of racism and discrimination.</w:t>
      </w:r>
    </w:p>
    <w:p w14:paraId="28D00614" w14:textId="77777777" w:rsidR="00603E4B" w:rsidRPr="002029AF" w:rsidRDefault="00603E4B" w:rsidP="00603E4B">
      <w:pPr>
        <w:pStyle w:val="ARbody"/>
      </w:pPr>
      <w:r w:rsidRPr="002029AF">
        <w:t xml:space="preserve">The Wirrigirri reconciliation program is an initiative of the department’s </w:t>
      </w:r>
      <w:r w:rsidRPr="002C13AE">
        <w:rPr>
          <w:i/>
          <w:iCs/>
        </w:rPr>
        <w:t>Aboriginal Employment Strategy 2016–2021</w:t>
      </w:r>
      <w:r w:rsidRPr="002029AF">
        <w:t>.</w:t>
      </w:r>
    </w:p>
    <w:p w14:paraId="4F860681" w14:textId="77777777" w:rsidR="00603E4B" w:rsidRPr="002029AF" w:rsidRDefault="00603E4B" w:rsidP="00603E4B">
      <w:pPr>
        <w:pStyle w:val="Heading5"/>
        <w:rPr>
          <w:rFonts w:eastAsia="Calibri"/>
        </w:rPr>
      </w:pPr>
      <w:r w:rsidRPr="002029AF">
        <w:rPr>
          <w:rFonts w:eastAsia="Calibri"/>
        </w:rPr>
        <w:t>Key result 32: Increase citizen engagement in the design and delivery of services</w:t>
      </w:r>
    </w:p>
    <w:p w14:paraId="63B46983" w14:textId="77777777" w:rsidR="00603E4B" w:rsidRPr="002029AF" w:rsidRDefault="00603E4B" w:rsidP="00603E4B">
      <w:pPr>
        <w:pStyle w:val="Heading6"/>
        <w:rPr>
          <w:rFonts w:cs="Arial"/>
          <w:b w:val="0"/>
          <w:lang w:val="en-AU"/>
        </w:rPr>
      </w:pPr>
      <w:r w:rsidRPr="002029AF">
        <w:rPr>
          <w:szCs w:val="20"/>
          <w:lang w:val="en-AU"/>
        </w:rPr>
        <w:t>Victoria’s first Child Pr</w:t>
      </w:r>
      <w:r w:rsidRPr="002029AF">
        <w:rPr>
          <w:rFonts w:cs="Arial"/>
          <w:lang w:val="en-AU"/>
        </w:rPr>
        <w:t>otection Ministerial Youth Advisory Group</w:t>
      </w:r>
    </w:p>
    <w:p w14:paraId="1B40C0F3" w14:textId="156F379A" w:rsidR="00603E4B" w:rsidRPr="002029AF" w:rsidRDefault="00603E4B" w:rsidP="00603E4B">
      <w:pPr>
        <w:pStyle w:val="ARbody"/>
      </w:pPr>
      <w:r w:rsidRPr="002029AF">
        <w:t>The Child Protection Ministerial Youth Advisory Group was established in August 2019 in partnership with the CREATE Foundation to enable young people in the child protection system to have their voices heard directly by government. The group consists</w:t>
      </w:r>
      <w:r w:rsidR="002F170E">
        <w:t xml:space="preserve"> of</w:t>
      </w:r>
      <w:r w:rsidRPr="002029AF">
        <w:t xml:space="preserve"> young people aged 14 -25 years with a lived experience of child protection and care and meets directly with the Minister for Child Protection to provide advice on a range of matters identified by the Minister, department and young people.</w:t>
      </w:r>
    </w:p>
    <w:p w14:paraId="1E36F582" w14:textId="77777777" w:rsidR="00603E4B" w:rsidRPr="002029AF" w:rsidRDefault="00603E4B" w:rsidP="00603E4B">
      <w:pPr>
        <w:pStyle w:val="Heading6"/>
        <w:rPr>
          <w:szCs w:val="20"/>
          <w:lang w:val="en-AU"/>
        </w:rPr>
      </w:pPr>
      <w:r w:rsidRPr="002029AF">
        <w:rPr>
          <w:szCs w:val="20"/>
          <w:lang w:val="en-AU"/>
        </w:rPr>
        <w:t>Community consultative committees</w:t>
      </w:r>
    </w:p>
    <w:p w14:paraId="3D753DCA" w14:textId="6F30B313" w:rsidR="00603E4B" w:rsidRPr="002029AF" w:rsidRDefault="00603E4B" w:rsidP="00603E4B">
      <w:pPr>
        <w:pStyle w:val="ARbody"/>
      </w:pPr>
      <w:r w:rsidRPr="002029AF">
        <w:t>A community consultative committee is a partnership between a project team and the local</w:t>
      </w:r>
      <w:r w:rsidR="00AD78D6">
        <w:t> </w:t>
      </w:r>
      <w:r w:rsidRPr="002029AF">
        <w:t>community impacted by the project.</w:t>
      </w:r>
    </w:p>
    <w:p w14:paraId="55D045C0" w14:textId="44D33D2E" w:rsidR="00603E4B" w:rsidRPr="002029AF" w:rsidRDefault="00603E4B" w:rsidP="00603E4B">
      <w:pPr>
        <w:pStyle w:val="ARbody"/>
      </w:pPr>
      <w:r w:rsidRPr="002029AF">
        <w:t>It is a group comprising local residents, business owners, service providers and interest groups who</w:t>
      </w:r>
      <w:r w:rsidR="00AD78D6">
        <w:t> </w:t>
      </w:r>
      <w:r w:rsidRPr="002029AF">
        <w:t>can help a project team have meaningful and</w:t>
      </w:r>
      <w:r w:rsidR="00AD78D6">
        <w:t> </w:t>
      </w:r>
      <w:r w:rsidRPr="002029AF">
        <w:t>effective communications and discussions with</w:t>
      </w:r>
      <w:r w:rsidR="00AD78D6">
        <w:t> </w:t>
      </w:r>
      <w:r w:rsidRPr="002029AF">
        <w:t>the community affected by the project.</w:t>
      </w:r>
    </w:p>
    <w:p w14:paraId="3210A8A6" w14:textId="77777777" w:rsidR="00603E4B" w:rsidRPr="002029AF" w:rsidRDefault="00603E4B" w:rsidP="00603E4B">
      <w:pPr>
        <w:pStyle w:val="ARbody"/>
      </w:pPr>
      <w:r w:rsidRPr="002029AF">
        <w:rPr>
          <w:rFonts w:eastAsia="Times New Roman"/>
        </w:rPr>
        <w:t xml:space="preserve">As new infrastructure projects take shape across the state, it is important the communities they will </w:t>
      </w:r>
      <w:r w:rsidRPr="002029AF">
        <w:t>serve have a say in their design and services.</w:t>
      </w:r>
    </w:p>
    <w:p w14:paraId="4422B03C" w14:textId="60A7FAEB" w:rsidR="00603E4B" w:rsidRPr="002029AF" w:rsidRDefault="00603E4B" w:rsidP="00603E4B">
      <w:pPr>
        <w:pStyle w:val="ARbody"/>
        <w:rPr>
          <w:rFonts w:cs="Times New Roman"/>
        </w:rPr>
      </w:pPr>
      <w:r w:rsidRPr="002029AF">
        <w:rPr>
          <w:rFonts w:cs="Times New Roman"/>
        </w:rPr>
        <w:t>Ten consultative committees have been established to inform the design of the ten new community hospitals being developed in growth areas including Craigieburn, Cranbourne, City of Whittlesea, Eltham area, Fishermans Bend, Pakenham, Phillip Island, Point Cook, Sunbury and</w:t>
      </w:r>
      <w:r w:rsidR="00AD78D6">
        <w:rPr>
          <w:rFonts w:cs="Times New Roman"/>
        </w:rPr>
        <w:t> </w:t>
      </w:r>
      <w:r w:rsidRPr="002029AF">
        <w:rPr>
          <w:rFonts w:cs="Times New Roman"/>
        </w:rPr>
        <w:t>Torquay.</w:t>
      </w:r>
    </w:p>
    <w:p w14:paraId="03ABD6E5" w14:textId="77777777" w:rsidR="007C4ED3" w:rsidRDefault="00603E4B" w:rsidP="00603E4B">
      <w:pPr>
        <w:pStyle w:val="ARbody"/>
      </w:pPr>
      <w:r w:rsidRPr="002029AF">
        <w:t>The inclusion of community members in the design of services can increase functionality and use.</w:t>
      </w:r>
    </w:p>
    <w:p w14:paraId="44D4B38D" w14:textId="4D24465A" w:rsidR="007C4ED3" w:rsidRDefault="007C4ED3" w:rsidP="00603E4B">
      <w:pPr>
        <w:pStyle w:val="ARbody"/>
        <w:sectPr w:rsidR="007C4ED3" w:rsidSect="00B45A1D">
          <w:footnotePr>
            <w:numFmt w:val="chicago"/>
            <w:numRestart w:val="eachPage"/>
          </w:footnotePr>
          <w:endnotePr>
            <w:numFmt w:val="decimal"/>
          </w:endnotePr>
          <w:type w:val="continuous"/>
          <w:pgSz w:w="11900" w:h="16840" w:code="9"/>
          <w:pgMar w:top="1985" w:right="851" w:bottom="851" w:left="1418" w:header="510" w:footer="340" w:gutter="0"/>
          <w:cols w:num="2" w:space="454"/>
          <w15:footnoteColumns w:val="1"/>
        </w:sectPr>
      </w:pPr>
    </w:p>
    <w:p w14:paraId="1D52710F" w14:textId="4136BEB1" w:rsidR="00603E4B" w:rsidRPr="002029AF" w:rsidRDefault="00603E4B" w:rsidP="00F06373">
      <w:pPr>
        <w:pStyle w:val="Heading5"/>
        <w:spacing w:before="0"/>
        <w:rPr>
          <w:rFonts w:eastAsia="Calibri"/>
        </w:rPr>
      </w:pPr>
      <w:r w:rsidRPr="002029AF">
        <w:rPr>
          <w:rFonts w:eastAsia="Calibri"/>
        </w:rPr>
        <w:lastRenderedPageBreak/>
        <w:t>Key result 33: Increase participation of</w:t>
      </w:r>
      <w:r w:rsidR="007C4ED3">
        <w:rPr>
          <w:rFonts w:eastAsia="Calibri"/>
        </w:rPr>
        <w:t> </w:t>
      </w:r>
      <w:r w:rsidRPr="002029AF">
        <w:rPr>
          <w:rFonts w:eastAsia="Calibri"/>
        </w:rPr>
        <w:t>service providers and staff in the design</w:t>
      </w:r>
      <w:r w:rsidR="007C4ED3">
        <w:rPr>
          <w:rFonts w:eastAsia="Calibri"/>
        </w:rPr>
        <w:t> </w:t>
      </w:r>
      <w:r w:rsidRPr="002029AF">
        <w:rPr>
          <w:rFonts w:eastAsia="Calibri"/>
        </w:rPr>
        <w:t>of services</w:t>
      </w:r>
    </w:p>
    <w:p w14:paraId="7EC80DDC" w14:textId="77777777" w:rsidR="00603E4B" w:rsidRPr="002029AF" w:rsidRDefault="00603E4B" w:rsidP="00603E4B">
      <w:pPr>
        <w:pStyle w:val="Heading6"/>
        <w:rPr>
          <w:szCs w:val="20"/>
          <w:lang w:val="en-AU"/>
        </w:rPr>
      </w:pPr>
      <w:r w:rsidRPr="002029AF">
        <w:rPr>
          <w:szCs w:val="20"/>
          <w:lang w:val="en-AU"/>
        </w:rPr>
        <w:t>Public participation and engagement</w:t>
      </w:r>
    </w:p>
    <w:p w14:paraId="38C1F438" w14:textId="77777777" w:rsidR="002C13AE" w:rsidRPr="002029AF" w:rsidRDefault="002C13AE" w:rsidP="002C13AE">
      <w:pPr>
        <w:pStyle w:val="ARbody"/>
      </w:pPr>
      <w:r w:rsidRPr="002029AF">
        <w:t>The department has developed a framework and toolkit to provide for a consistent and genuine engagement process with people to inform service design and delivery.</w:t>
      </w:r>
    </w:p>
    <w:p w14:paraId="03C2CE68" w14:textId="77777777" w:rsidR="002C13AE" w:rsidRPr="002029AF" w:rsidRDefault="002C13AE" w:rsidP="002C13AE">
      <w:pPr>
        <w:pStyle w:val="ARbody"/>
      </w:pPr>
      <w:r w:rsidRPr="002029AF">
        <w:t>Public participation and stakeholder engagement are integral to the department’s work in designing, implementing and evaluating services and policies.</w:t>
      </w:r>
    </w:p>
    <w:p w14:paraId="637518E3" w14:textId="0995FCDE" w:rsidR="002C13AE" w:rsidRPr="002029AF" w:rsidRDefault="002C13AE" w:rsidP="002C13AE">
      <w:pPr>
        <w:pStyle w:val="ARbody"/>
      </w:pPr>
      <w:r w:rsidRPr="002029AF">
        <w:t>To drive improvements across our programs and</w:t>
      </w:r>
      <w:r w:rsidR="007C4ED3">
        <w:t> </w:t>
      </w:r>
      <w:r w:rsidRPr="002029AF">
        <w:t>services, we must engage effectively with our</w:t>
      </w:r>
      <w:r w:rsidR="007C4ED3">
        <w:t> </w:t>
      </w:r>
      <w:r w:rsidRPr="002029AF">
        <w:t>patients and clients, workforce, sector and the</w:t>
      </w:r>
      <w:r w:rsidR="007C4ED3">
        <w:t> </w:t>
      </w:r>
      <w:r w:rsidRPr="002029AF">
        <w:t>broader community. To do this well, our stakeholder engagement activities need to shift from traditional methods of ‘inform and consult’ to</w:t>
      </w:r>
      <w:r w:rsidR="007C4ED3">
        <w:t> </w:t>
      </w:r>
      <w:r w:rsidRPr="002029AF">
        <w:t>‘involve and collaborate’.</w:t>
      </w:r>
    </w:p>
    <w:p w14:paraId="1E48A3A5" w14:textId="77777777" w:rsidR="002C13AE" w:rsidRPr="002029AF" w:rsidRDefault="002C13AE" w:rsidP="002C13AE">
      <w:pPr>
        <w:pStyle w:val="ARbody"/>
      </w:pPr>
      <w:r w:rsidRPr="002029AF">
        <w:t>The framework and tools help design for diversity, including how to respectfully and safely consult with Aboriginal people.</w:t>
      </w:r>
    </w:p>
    <w:p w14:paraId="63BAA8FC" w14:textId="77777777" w:rsidR="002C13AE" w:rsidRPr="002029AF" w:rsidRDefault="002C13AE" w:rsidP="002C13AE">
      <w:pPr>
        <w:pStyle w:val="ARbody"/>
      </w:pPr>
      <w:r w:rsidRPr="002029AF">
        <w:t>One of the ways the department seeks the views of the public is via the Victorian Government’s Engage Victoria website. The website seeks the views of people from across the state on a variety of different issues.</w:t>
      </w:r>
    </w:p>
    <w:p w14:paraId="0AF1C6A8" w14:textId="77777777" w:rsidR="002C13AE" w:rsidRPr="002029AF" w:rsidRDefault="002C13AE" w:rsidP="002C13AE">
      <w:pPr>
        <w:pStyle w:val="ARbody"/>
      </w:pPr>
      <w:r w:rsidRPr="002029AF">
        <w:t xml:space="preserve">The website has become particularly useful </w:t>
      </w:r>
      <w:r>
        <w:t>since</w:t>
      </w:r>
      <w:r w:rsidRPr="002029AF">
        <w:t xml:space="preserve"> physical distancing measures have been in place as part of the coronavirus (COVID-19) public health response.</w:t>
      </w:r>
    </w:p>
    <w:p w14:paraId="785EDF36" w14:textId="77777777" w:rsidR="002C13AE" w:rsidRPr="002029AF" w:rsidRDefault="002C13AE" w:rsidP="002C13AE">
      <w:pPr>
        <w:pStyle w:val="ARbody"/>
      </w:pPr>
      <w:r w:rsidRPr="002029AF">
        <w:t xml:space="preserve">Engage Victoria has been used for a </w:t>
      </w:r>
      <w:r>
        <w:t>large</w:t>
      </w:r>
      <w:r w:rsidRPr="002029AF">
        <w:t xml:space="preserve"> number of department and related consultations, including:</w:t>
      </w:r>
    </w:p>
    <w:p w14:paraId="6AA6260E" w14:textId="77777777" w:rsidR="002C13AE" w:rsidRPr="002029AF" w:rsidRDefault="002C13AE" w:rsidP="00FF3CAB">
      <w:pPr>
        <w:pStyle w:val="ARbullet1"/>
        <w:numPr>
          <w:ilvl w:val="0"/>
          <w:numId w:val="51"/>
        </w:numPr>
      </w:pPr>
      <w:r>
        <w:t>i</w:t>
      </w:r>
      <w:r w:rsidRPr="002029AF">
        <w:t>nfrastructure response to the Royal Commission into Victoria’s Mental Health System</w:t>
      </w:r>
    </w:p>
    <w:p w14:paraId="030EE8A4" w14:textId="77777777" w:rsidR="002C13AE" w:rsidRPr="002029AF" w:rsidRDefault="002C13AE" w:rsidP="00FF3CAB">
      <w:pPr>
        <w:pStyle w:val="ARbullet1"/>
        <w:numPr>
          <w:ilvl w:val="0"/>
          <w:numId w:val="51"/>
        </w:numPr>
      </w:pPr>
      <w:r>
        <w:t>p</w:t>
      </w:r>
      <w:r w:rsidRPr="002029AF">
        <w:t>lanning the future of the Thomas Embling Hospital</w:t>
      </w:r>
    </w:p>
    <w:p w14:paraId="6DFF9139" w14:textId="77777777" w:rsidR="002C13AE" w:rsidRPr="002029AF" w:rsidRDefault="002C13AE" w:rsidP="00FF3CAB">
      <w:pPr>
        <w:pStyle w:val="ARbullet1"/>
        <w:numPr>
          <w:ilvl w:val="0"/>
          <w:numId w:val="51"/>
        </w:numPr>
      </w:pPr>
      <w:r w:rsidRPr="002029AF">
        <w:t>Frankston Hospital redevelopment</w:t>
      </w:r>
    </w:p>
    <w:p w14:paraId="00733A04" w14:textId="77777777" w:rsidR="002C13AE" w:rsidRPr="002029AF" w:rsidRDefault="002C13AE" w:rsidP="00FF3CAB">
      <w:pPr>
        <w:pStyle w:val="ARbullet1"/>
        <w:numPr>
          <w:ilvl w:val="0"/>
          <w:numId w:val="51"/>
        </w:numPr>
      </w:pPr>
      <w:r w:rsidRPr="00B032FB">
        <w:t>p</w:t>
      </w:r>
      <w:r w:rsidRPr="00A94FCE">
        <w:t xml:space="preserve">lanning the </w:t>
      </w:r>
      <w:r w:rsidRPr="00B032FB">
        <w:rPr>
          <w:i/>
          <w:iCs/>
        </w:rPr>
        <w:t>Rural and regional public sector residential aged care revitalisation strategy</w:t>
      </w:r>
      <w:r w:rsidRPr="00A94FCE">
        <w:t xml:space="preserve"> across</w:t>
      </w:r>
      <w:r w:rsidRPr="002029AF">
        <w:t xml:space="preserve"> Victoria</w:t>
      </w:r>
    </w:p>
    <w:p w14:paraId="5F854AB2" w14:textId="3EE6B07C" w:rsidR="002C13AE" w:rsidRPr="002029AF" w:rsidRDefault="009C4D1D" w:rsidP="00FF3CAB">
      <w:pPr>
        <w:pStyle w:val="ARbullet1"/>
        <w:numPr>
          <w:ilvl w:val="0"/>
          <w:numId w:val="51"/>
        </w:numPr>
      </w:pPr>
      <w:r>
        <w:t>f</w:t>
      </w:r>
      <w:r w:rsidR="002C13AE" w:rsidRPr="002029AF">
        <w:t>uture of healthcare in Melton</w:t>
      </w:r>
      <w:r>
        <w:t>,</w:t>
      </w:r>
      <w:r w:rsidR="002C13AE" w:rsidRPr="002029AF">
        <w:t xml:space="preserve"> including planning the new hospital in the </w:t>
      </w:r>
      <w:r w:rsidR="002C13AE">
        <w:t>w</w:t>
      </w:r>
      <w:r w:rsidR="002C13AE" w:rsidRPr="002029AF">
        <w:t>est</w:t>
      </w:r>
    </w:p>
    <w:p w14:paraId="178F850E" w14:textId="330D6C4D" w:rsidR="002C13AE" w:rsidRPr="002029AF" w:rsidRDefault="009C4D1D" w:rsidP="00FF3CAB">
      <w:pPr>
        <w:pStyle w:val="ARbullet1"/>
        <w:numPr>
          <w:ilvl w:val="0"/>
          <w:numId w:val="51"/>
        </w:numPr>
      </w:pPr>
      <w:r>
        <w:t>r</w:t>
      </w:r>
      <w:r w:rsidR="002C13AE" w:rsidRPr="002029AF">
        <w:t>ural and isolated practice nurses</w:t>
      </w:r>
    </w:p>
    <w:p w14:paraId="77F028B9" w14:textId="77777777" w:rsidR="002C13AE" w:rsidRPr="00B032FB" w:rsidRDefault="002C13AE" w:rsidP="00FF3CAB">
      <w:pPr>
        <w:pStyle w:val="ARbullet1"/>
        <w:numPr>
          <w:ilvl w:val="0"/>
          <w:numId w:val="51"/>
        </w:numPr>
        <w:rPr>
          <w:i/>
          <w:iCs/>
        </w:rPr>
      </w:pPr>
      <w:r w:rsidRPr="00B032FB">
        <w:rPr>
          <w:i/>
          <w:iCs/>
        </w:rPr>
        <w:t xml:space="preserve">Allied </w:t>
      </w:r>
      <w:r>
        <w:rPr>
          <w:i/>
          <w:iCs/>
        </w:rPr>
        <w:t>h</w:t>
      </w:r>
      <w:r w:rsidRPr="00B032FB">
        <w:rPr>
          <w:i/>
          <w:iCs/>
        </w:rPr>
        <w:t xml:space="preserve">ealth National Disability Insurance Scheme </w:t>
      </w:r>
      <w:r>
        <w:rPr>
          <w:i/>
          <w:iCs/>
        </w:rPr>
        <w:t>c</w:t>
      </w:r>
      <w:r w:rsidRPr="00B032FB">
        <w:rPr>
          <w:i/>
          <w:iCs/>
        </w:rPr>
        <w:t>apability framework</w:t>
      </w:r>
    </w:p>
    <w:p w14:paraId="53573BB7" w14:textId="77777777" w:rsidR="002C13AE" w:rsidRPr="002029AF" w:rsidRDefault="002C13AE" w:rsidP="00FF3CAB">
      <w:pPr>
        <w:pStyle w:val="ARbullet1"/>
        <w:numPr>
          <w:ilvl w:val="0"/>
          <w:numId w:val="51"/>
        </w:numPr>
      </w:pPr>
      <w:r w:rsidRPr="002029AF">
        <w:t>Albury Wodonga master planning</w:t>
      </w:r>
    </w:p>
    <w:p w14:paraId="549AB4B8" w14:textId="1291BABE" w:rsidR="002C13AE" w:rsidRPr="002029AF" w:rsidRDefault="002C13AE" w:rsidP="00FF3CAB">
      <w:pPr>
        <w:pStyle w:val="ARbullet1"/>
        <w:numPr>
          <w:ilvl w:val="0"/>
          <w:numId w:val="51"/>
        </w:numPr>
      </w:pPr>
      <w:r>
        <w:t>h</w:t>
      </w:r>
      <w:r w:rsidRPr="002029AF">
        <w:t>ealth and high-quality food in public hospitals</w:t>
      </w:r>
      <w:r w:rsidR="007C4ED3">
        <w:t> </w:t>
      </w:r>
      <w:r w:rsidRPr="002029AF">
        <w:t>and aged care service</w:t>
      </w:r>
    </w:p>
    <w:p w14:paraId="4E13DD7F" w14:textId="77777777" w:rsidR="002C13AE" w:rsidRPr="002029AF" w:rsidRDefault="002C13AE" w:rsidP="00FF3CAB">
      <w:pPr>
        <w:pStyle w:val="ARbullet1"/>
        <w:numPr>
          <w:ilvl w:val="0"/>
          <w:numId w:val="51"/>
        </w:numPr>
      </w:pPr>
      <w:r w:rsidRPr="002029AF">
        <w:t>Victorian sexual health services review</w:t>
      </w:r>
    </w:p>
    <w:p w14:paraId="6B252521" w14:textId="250084FD" w:rsidR="002C13AE" w:rsidRPr="002029AF" w:rsidRDefault="009C4D1D" w:rsidP="00FF3CAB">
      <w:pPr>
        <w:pStyle w:val="ARbullet1"/>
        <w:numPr>
          <w:ilvl w:val="0"/>
          <w:numId w:val="51"/>
        </w:numPr>
      </w:pPr>
      <w:r>
        <w:t>c</w:t>
      </w:r>
      <w:r w:rsidR="002C13AE" w:rsidRPr="002029AF">
        <w:t>ommunity hospitals program</w:t>
      </w:r>
    </w:p>
    <w:p w14:paraId="0B0E5495" w14:textId="1FFAAE89" w:rsidR="002C13AE" w:rsidRPr="002029AF" w:rsidRDefault="009C4D1D" w:rsidP="00FF3CAB">
      <w:pPr>
        <w:pStyle w:val="ARbullet1"/>
        <w:numPr>
          <w:ilvl w:val="0"/>
          <w:numId w:val="51"/>
        </w:numPr>
      </w:pPr>
      <w:r>
        <w:t>r</w:t>
      </w:r>
      <w:r w:rsidR="002C13AE" w:rsidRPr="002029AF">
        <w:t>eview of assisted reproductive treatment in</w:t>
      </w:r>
      <w:r w:rsidR="007C4ED3">
        <w:t> </w:t>
      </w:r>
      <w:r w:rsidR="002C13AE" w:rsidRPr="002029AF">
        <w:t>Victoria</w:t>
      </w:r>
    </w:p>
    <w:p w14:paraId="3FCF99B1" w14:textId="6F068254" w:rsidR="002C13AE" w:rsidRPr="002029AF" w:rsidRDefault="009C4D1D" w:rsidP="00FF3CAB">
      <w:pPr>
        <w:pStyle w:val="ARbullet1"/>
        <w:numPr>
          <w:ilvl w:val="0"/>
          <w:numId w:val="51"/>
        </w:numPr>
      </w:pPr>
      <w:r>
        <w:t>f</w:t>
      </w:r>
      <w:r w:rsidR="002C13AE" w:rsidRPr="002029AF">
        <w:t>uture health care needs of Mildura</w:t>
      </w:r>
    </w:p>
    <w:p w14:paraId="1A47F2AB" w14:textId="67C2B212" w:rsidR="002C13AE" w:rsidRPr="002029AF" w:rsidRDefault="009C4D1D" w:rsidP="00FF3CAB">
      <w:pPr>
        <w:pStyle w:val="ARbullet1"/>
        <w:numPr>
          <w:ilvl w:val="0"/>
          <w:numId w:val="51"/>
        </w:numPr>
      </w:pPr>
      <w:r>
        <w:t>f</w:t>
      </w:r>
      <w:r w:rsidR="002C13AE" w:rsidRPr="002029AF">
        <w:t>uture health care needs of the Mallee</w:t>
      </w:r>
    </w:p>
    <w:p w14:paraId="55355C04" w14:textId="77777777" w:rsidR="002C13AE" w:rsidRPr="00B032FB" w:rsidRDefault="002C13AE" w:rsidP="00FF3CAB">
      <w:pPr>
        <w:pStyle w:val="ARbullet1"/>
        <w:numPr>
          <w:ilvl w:val="0"/>
          <w:numId w:val="51"/>
        </w:numPr>
        <w:rPr>
          <w:i/>
          <w:iCs/>
        </w:rPr>
      </w:pPr>
      <w:r w:rsidRPr="00B032FB">
        <w:rPr>
          <w:i/>
          <w:iCs/>
        </w:rPr>
        <w:t>Victorian cancer plan 2020–2024</w:t>
      </w:r>
    </w:p>
    <w:p w14:paraId="7B17F3BF" w14:textId="33364990" w:rsidR="002C13AE" w:rsidRPr="002029AF" w:rsidRDefault="009C4D1D" w:rsidP="00FF3CAB">
      <w:pPr>
        <w:pStyle w:val="ARbullet1"/>
        <w:numPr>
          <w:ilvl w:val="0"/>
          <w:numId w:val="51"/>
        </w:numPr>
      </w:pPr>
      <w:r>
        <w:t>p</w:t>
      </w:r>
      <w:r w:rsidR="002C13AE" w:rsidRPr="002029AF">
        <w:t>lanning for the new Footscray Hospital</w:t>
      </w:r>
    </w:p>
    <w:p w14:paraId="60EECE9C" w14:textId="44B0D7CE" w:rsidR="002C13AE" w:rsidRPr="002029AF" w:rsidRDefault="009C4D1D" w:rsidP="00FF3CAB">
      <w:pPr>
        <w:pStyle w:val="ARbullet1"/>
        <w:numPr>
          <w:ilvl w:val="0"/>
          <w:numId w:val="51"/>
        </w:numPr>
      </w:pPr>
      <w:r>
        <w:t>p</w:t>
      </w:r>
      <w:r w:rsidR="002C13AE" w:rsidRPr="002029AF">
        <w:t xml:space="preserve">lanning for new and refurbished </w:t>
      </w:r>
      <w:r w:rsidR="002C13AE">
        <w:t>e</w:t>
      </w:r>
      <w:r w:rsidR="002C13AE" w:rsidRPr="002029AF">
        <w:t xml:space="preserve">arly </w:t>
      </w:r>
      <w:r w:rsidR="002C13AE">
        <w:t>p</w:t>
      </w:r>
      <w:r w:rsidR="002C13AE" w:rsidRPr="002029AF">
        <w:t xml:space="preserve">arenting </w:t>
      </w:r>
      <w:r w:rsidR="002C13AE">
        <w:t>c</w:t>
      </w:r>
      <w:r w:rsidR="002C13AE" w:rsidRPr="002029AF">
        <w:t>entres.</w:t>
      </w:r>
    </w:p>
    <w:p w14:paraId="447929FD" w14:textId="483DB035" w:rsidR="002C13AE" w:rsidRPr="002029AF" w:rsidRDefault="002C13AE" w:rsidP="002C13AE">
      <w:pPr>
        <w:pStyle w:val="ARbodyafterbullets"/>
      </w:pPr>
      <w:r w:rsidRPr="002029AF">
        <w:t xml:space="preserve">The department has also established two coronavirus (COVID-19) </w:t>
      </w:r>
      <w:r>
        <w:t>t</w:t>
      </w:r>
      <w:r w:rsidRPr="002029AF">
        <w:t>askforces</w:t>
      </w:r>
      <w:r w:rsidR="00B41446">
        <w:t>:</w:t>
      </w:r>
      <w:r w:rsidRPr="002029AF">
        <w:t xml:space="preserve"> the </w:t>
      </w:r>
      <w:r w:rsidRPr="002029AF">
        <w:rPr>
          <w:szCs w:val="20"/>
        </w:rPr>
        <w:t xml:space="preserve">Human Services and Health Partnership Implementation Committee </w:t>
      </w:r>
      <w:r>
        <w:rPr>
          <w:szCs w:val="20"/>
        </w:rPr>
        <w:t>C</w:t>
      </w:r>
      <w:r w:rsidRPr="002029AF">
        <w:rPr>
          <w:szCs w:val="20"/>
        </w:rPr>
        <w:t>oronavirus (COVID-19) Response Group</w:t>
      </w:r>
      <w:r w:rsidRPr="002029AF">
        <w:t>, and the COVID-19 Aboriginal Community Taskforce. Both of these are co-chaired by the department and key representatives, such as the Victorian Council of Social Service</w:t>
      </w:r>
      <w:r>
        <w:t>s</w:t>
      </w:r>
      <w:r w:rsidRPr="002029AF">
        <w:t>, and include members</w:t>
      </w:r>
      <w:r w:rsidR="00B41446">
        <w:t xml:space="preserve"> </w:t>
      </w:r>
      <w:r w:rsidRPr="002029AF">
        <w:t>within government and across the community that the Victorian Government considers key to the response. The taskforces help</w:t>
      </w:r>
      <w:r w:rsidR="007C4ED3">
        <w:t> </w:t>
      </w:r>
      <w:r w:rsidRPr="002029AF">
        <w:t>coordinate key sections of the service system</w:t>
      </w:r>
      <w:r w:rsidR="007C4ED3">
        <w:t> </w:t>
      </w:r>
      <w:r w:rsidRPr="002029AF">
        <w:t xml:space="preserve">to enable </w:t>
      </w:r>
      <w:r>
        <w:t xml:space="preserve">a </w:t>
      </w:r>
      <w:r w:rsidRPr="002029AF">
        <w:t>more streamlined and effective response</w:t>
      </w:r>
      <w:r w:rsidR="00B41446">
        <w:t>,</w:t>
      </w:r>
      <w:r w:rsidRPr="002029AF">
        <w:t xml:space="preserve"> raise community issues and assist in developing and delivering emergency management responses.</w:t>
      </w:r>
    </w:p>
    <w:p w14:paraId="7E0824A3" w14:textId="77777777" w:rsidR="00603E4B" w:rsidRPr="002029AF" w:rsidRDefault="00603E4B" w:rsidP="00603E4B">
      <w:pPr>
        <w:pStyle w:val="Heading4"/>
      </w:pPr>
      <w:r w:rsidRPr="002029AF">
        <w:t>5.3 Services are efficient and sustainable</w:t>
      </w:r>
    </w:p>
    <w:p w14:paraId="19728637" w14:textId="77777777" w:rsidR="00603E4B" w:rsidRPr="002029AF" w:rsidRDefault="00603E4B" w:rsidP="00603E4B">
      <w:pPr>
        <w:pStyle w:val="ARbody"/>
      </w:pPr>
      <w:r w:rsidRPr="002029AF">
        <w:t>Services are designed and delivered for maximum impact, enabling efficiencies in resource allocation and the management of complex and/or chronic conditions and needs. Efficiency is enabled by integrated and coordinated service delivery modalities and the sustainability of the system is enhanced by a well-trained and well-supported workforce.</w:t>
      </w:r>
    </w:p>
    <w:p w14:paraId="5993AF57" w14:textId="77777777" w:rsidR="00603E4B" w:rsidRPr="002029AF" w:rsidRDefault="00603E4B" w:rsidP="00603E4B">
      <w:pPr>
        <w:pStyle w:val="Heading5"/>
        <w:rPr>
          <w:szCs w:val="22"/>
        </w:rPr>
      </w:pPr>
      <w:r w:rsidRPr="002029AF">
        <w:rPr>
          <w:szCs w:val="22"/>
        </w:rPr>
        <w:t>Progress against outcomes</w:t>
      </w:r>
    </w:p>
    <w:p w14:paraId="11BA81C3" w14:textId="5E355D0C" w:rsidR="00603E4B" w:rsidRPr="002029AF" w:rsidRDefault="00603E4B" w:rsidP="00603E4B">
      <w:pPr>
        <w:pStyle w:val="ARbody"/>
      </w:pPr>
      <w:r w:rsidRPr="002029AF">
        <w:t xml:space="preserve">The department released guidelines for sustainability in capital works that set key sustainability principles of healing environments, passive design, minimising resource use and resilience to climate change for the department’s healthcare capital works program and equivalent </w:t>
      </w:r>
      <w:r w:rsidR="00DF45C4" w:rsidRPr="002029AF">
        <w:t>five</w:t>
      </w:r>
      <w:r w:rsidRPr="002029AF">
        <w:t xml:space="preserve"> Star NABERS design targets for new hospitals.</w:t>
      </w:r>
    </w:p>
    <w:p w14:paraId="3B10D18F" w14:textId="77777777" w:rsidR="00603E4B" w:rsidRPr="002029AF" w:rsidRDefault="00603E4B" w:rsidP="00603E4B">
      <w:pPr>
        <w:pStyle w:val="ARbody"/>
      </w:pPr>
      <w:r w:rsidRPr="002029AF">
        <w:t>Some of our key achievements in 2019–20 are outlined below.</w:t>
      </w:r>
    </w:p>
    <w:p w14:paraId="0F442BE0" w14:textId="29D588BD" w:rsidR="00603E4B" w:rsidRPr="002029AF" w:rsidRDefault="00603E4B" w:rsidP="00603E4B">
      <w:pPr>
        <w:pStyle w:val="Heading5"/>
        <w:rPr>
          <w:rFonts w:eastAsia="Calibri"/>
        </w:rPr>
      </w:pPr>
      <w:r w:rsidRPr="002029AF">
        <w:rPr>
          <w:rFonts w:eastAsia="Calibri"/>
        </w:rPr>
        <w:lastRenderedPageBreak/>
        <w:t>Key result 34: Reduce demand for acute</w:t>
      </w:r>
      <w:r w:rsidR="007C4ED3">
        <w:rPr>
          <w:rFonts w:eastAsia="Calibri"/>
        </w:rPr>
        <w:t> </w:t>
      </w:r>
      <w:r w:rsidRPr="002029AF">
        <w:rPr>
          <w:rFonts w:eastAsia="Calibri"/>
        </w:rPr>
        <w:t>services to manage complex and</w:t>
      </w:r>
      <w:r w:rsidR="007C4ED3">
        <w:rPr>
          <w:rFonts w:eastAsia="Calibri"/>
        </w:rPr>
        <w:t> </w:t>
      </w:r>
      <w:r w:rsidRPr="002029AF">
        <w:rPr>
          <w:rFonts w:eastAsia="Calibri"/>
        </w:rPr>
        <w:t>chronic conditions</w:t>
      </w:r>
    </w:p>
    <w:p w14:paraId="4553EA72" w14:textId="0B8A5CBB" w:rsidR="00603E4B" w:rsidRPr="002029AF" w:rsidRDefault="00603E4B" w:rsidP="00603E4B">
      <w:pPr>
        <w:pStyle w:val="Heading6"/>
        <w:rPr>
          <w:szCs w:val="20"/>
          <w:lang w:val="en-AU"/>
        </w:rPr>
      </w:pPr>
      <w:r w:rsidRPr="002029AF">
        <w:rPr>
          <w:szCs w:val="20"/>
          <w:lang w:val="en-AU"/>
        </w:rPr>
        <w:t>Caring for people who have complex and</w:t>
      </w:r>
      <w:r w:rsidR="007C4ED3">
        <w:rPr>
          <w:szCs w:val="20"/>
          <w:lang w:val="en-AU"/>
        </w:rPr>
        <w:t> </w:t>
      </w:r>
      <w:r w:rsidRPr="002029AF">
        <w:rPr>
          <w:szCs w:val="20"/>
          <w:lang w:val="en-AU"/>
        </w:rPr>
        <w:t>chronic conditions</w:t>
      </w:r>
    </w:p>
    <w:p w14:paraId="3F55E87D" w14:textId="77777777" w:rsidR="00603E4B" w:rsidRPr="002029AF" w:rsidRDefault="00603E4B" w:rsidP="00603E4B">
      <w:pPr>
        <w:pStyle w:val="ARbody"/>
      </w:pPr>
      <w:r w:rsidRPr="002029AF">
        <w:t>Chronic conditions have a major impact on quality of life and are a main cause of premature</w:t>
      </w:r>
      <w:r w:rsidRPr="002029AF">
        <w:rPr>
          <w:spacing w:val="-6"/>
        </w:rPr>
        <w:t xml:space="preserve"> </w:t>
      </w:r>
      <w:r w:rsidRPr="002029AF">
        <w:t>mortality</w:t>
      </w:r>
      <w:r w:rsidRPr="002029AF">
        <w:rPr>
          <w:spacing w:val="-6"/>
        </w:rPr>
        <w:t xml:space="preserve"> </w:t>
      </w:r>
      <w:r w:rsidRPr="002029AF">
        <w:t>for</w:t>
      </w:r>
      <w:r w:rsidRPr="002029AF">
        <w:rPr>
          <w:spacing w:val="-6"/>
        </w:rPr>
        <w:t xml:space="preserve"> </w:t>
      </w:r>
      <w:r w:rsidRPr="002029AF">
        <w:t>Australians.</w:t>
      </w:r>
      <w:r w:rsidRPr="002029AF">
        <w:rPr>
          <w:spacing w:val="-6"/>
        </w:rPr>
        <w:t xml:space="preserve"> </w:t>
      </w:r>
      <w:r w:rsidRPr="002029AF">
        <w:t>They</w:t>
      </w:r>
      <w:r w:rsidRPr="002029AF">
        <w:rPr>
          <w:spacing w:val="-6"/>
        </w:rPr>
        <w:t xml:space="preserve"> </w:t>
      </w:r>
      <w:r w:rsidRPr="002029AF">
        <w:t>contribute</w:t>
      </w:r>
      <w:r w:rsidRPr="002029AF">
        <w:rPr>
          <w:spacing w:val="-6"/>
        </w:rPr>
        <w:t xml:space="preserve"> </w:t>
      </w:r>
      <w:r w:rsidRPr="002029AF">
        <w:t>significantly</w:t>
      </w:r>
      <w:r w:rsidRPr="002029AF">
        <w:rPr>
          <w:spacing w:val="-6"/>
        </w:rPr>
        <w:t xml:space="preserve"> </w:t>
      </w:r>
      <w:r w:rsidRPr="002029AF">
        <w:t>to</w:t>
      </w:r>
      <w:r w:rsidRPr="002029AF">
        <w:rPr>
          <w:spacing w:val="-6"/>
        </w:rPr>
        <w:t xml:space="preserve"> </w:t>
      </w:r>
      <w:r w:rsidRPr="002029AF">
        <w:t>Australia’s</w:t>
      </w:r>
      <w:r w:rsidRPr="002029AF">
        <w:rPr>
          <w:spacing w:val="-6"/>
        </w:rPr>
        <w:t xml:space="preserve"> </w:t>
      </w:r>
      <w:r w:rsidRPr="002029AF">
        <w:t>overall burden of disease, including death, disability and diminished quality of life, as well as accounting for a significant proportion of healthcare</w:t>
      </w:r>
      <w:r w:rsidRPr="002029AF">
        <w:rPr>
          <w:spacing w:val="-1"/>
        </w:rPr>
        <w:t xml:space="preserve"> </w:t>
      </w:r>
      <w:r w:rsidRPr="002029AF">
        <w:t>costs.</w:t>
      </w:r>
    </w:p>
    <w:p w14:paraId="5DC4CB6A" w14:textId="5E2B3BF8" w:rsidR="00603E4B" w:rsidRPr="002029AF" w:rsidRDefault="00603E4B" w:rsidP="00603E4B">
      <w:pPr>
        <w:pStyle w:val="ARbody"/>
      </w:pPr>
      <w:r w:rsidRPr="002029AF">
        <w:t>Ongoing actions on a long-term basis are required to manage chronic conditions, including adjusting to</w:t>
      </w:r>
      <w:r w:rsidR="007C4ED3">
        <w:t> </w:t>
      </w:r>
      <w:r w:rsidRPr="002029AF">
        <w:t>living with the social and emotional impact of chronic conditions. In most situations, ongoing involvement with healthcare providers and the community is required.</w:t>
      </w:r>
    </w:p>
    <w:p w14:paraId="61BC90B3" w14:textId="4BE5E31D" w:rsidR="00603E4B" w:rsidRPr="002029AF" w:rsidRDefault="00603E4B" w:rsidP="00603E4B">
      <w:pPr>
        <w:pStyle w:val="ARbody"/>
      </w:pPr>
      <w:r w:rsidRPr="002029AF">
        <w:t>Community health services are ideally placed to</w:t>
      </w:r>
      <w:r w:rsidR="007C4ED3">
        <w:t> </w:t>
      </w:r>
      <w:r w:rsidRPr="002029AF">
        <w:t>help people with chronic or complex health conditions access services from a number of different public and private healthcare providers. They are locally situated and have well-developed local networks with other healthcare providers.</w:t>
      </w:r>
    </w:p>
    <w:p w14:paraId="1A081226" w14:textId="77777777" w:rsidR="00603E4B" w:rsidRPr="002029AF" w:rsidRDefault="00603E4B" w:rsidP="00603E4B">
      <w:pPr>
        <w:pStyle w:val="ARbody"/>
      </w:pPr>
      <w:r w:rsidRPr="002029AF">
        <w:rPr>
          <w:i/>
          <w:iCs/>
        </w:rPr>
        <w:t>Care for people with chronic conditions: guidelines for the Community Health Program</w:t>
      </w:r>
      <w:r w:rsidRPr="002029AF">
        <w:t xml:space="preserve"> supports Community Health Program funded services to deliver coordinated, integrated and effective person-centred care. It includes evidence-based models of care and processes for working in partnership with other providers. It provides tools for assessing chronic and complex conditions.</w:t>
      </w:r>
    </w:p>
    <w:p w14:paraId="42ACFD98" w14:textId="66CD0CDE" w:rsidR="00603E4B" w:rsidRPr="002029AF" w:rsidRDefault="00603E4B" w:rsidP="00603E4B">
      <w:pPr>
        <w:pStyle w:val="ARbody"/>
      </w:pPr>
      <w:r w:rsidRPr="002029AF">
        <w:t>The broad variation in the nature and complexity of conditions people experience requires community health services to provide person-centred service models that are grounded in current evidence and that address the needs of local populations.</w:t>
      </w:r>
    </w:p>
    <w:p w14:paraId="01897622" w14:textId="28A37328" w:rsidR="00603E4B" w:rsidRPr="002029AF" w:rsidRDefault="00603E4B" w:rsidP="00603E4B">
      <w:pPr>
        <w:pStyle w:val="Heading5"/>
        <w:rPr>
          <w:rFonts w:eastAsia="Calibri"/>
        </w:rPr>
      </w:pPr>
      <w:r w:rsidRPr="002029AF">
        <w:rPr>
          <w:rFonts w:eastAsia="Calibri"/>
        </w:rPr>
        <w:t>Key result 35: Increase the proportion of</w:t>
      </w:r>
      <w:r w:rsidR="007C4ED3">
        <w:rPr>
          <w:rFonts w:eastAsia="Calibri"/>
        </w:rPr>
        <w:t> </w:t>
      </w:r>
      <w:r w:rsidRPr="002029AF">
        <w:rPr>
          <w:rFonts w:eastAsia="Calibri"/>
        </w:rPr>
        <w:t>service assets that are appropriately maintained</w:t>
      </w:r>
    </w:p>
    <w:p w14:paraId="16E65344" w14:textId="4C518367" w:rsidR="002C13AE" w:rsidRPr="002029AF" w:rsidRDefault="002C13AE" w:rsidP="002C13AE">
      <w:pPr>
        <w:pStyle w:val="Heading6"/>
        <w:rPr>
          <w:szCs w:val="20"/>
          <w:lang w:val="en-AU"/>
        </w:rPr>
      </w:pPr>
      <w:r w:rsidRPr="002029AF">
        <w:rPr>
          <w:szCs w:val="20"/>
          <w:lang w:val="en-AU"/>
        </w:rPr>
        <w:t>New asset management policies and</w:t>
      </w:r>
      <w:r w:rsidR="007C4ED3">
        <w:rPr>
          <w:szCs w:val="20"/>
          <w:lang w:val="en-AU"/>
        </w:rPr>
        <w:t> </w:t>
      </w:r>
      <w:r w:rsidRPr="002029AF">
        <w:rPr>
          <w:szCs w:val="20"/>
          <w:lang w:val="en-AU"/>
        </w:rPr>
        <w:t>frameworks</w:t>
      </w:r>
    </w:p>
    <w:p w14:paraId="1D15166C" w14:textId="2673F2D1" w:rsidR="002C13AE" w:rsidRPr="002029AF" w:rsidRDefault="002C13AE" w:rsidP="002C13AE">
      <w:pPr>
        <w:pStyle w:val="ARbody"/>
      </w:pPr>
      <w:r w:rsidRPr="002029AF">
        <w:t>The Victorian Health and Human Services Building</w:t>
      </w:r>
      <w:r w:rsidR="007C4ED3">
        <w:t> </w:t>
      </w:r>
      <w:r w:rsidRPr="002029AF">
        <w:t>Authority has developed key policies and frameworks aligned to service delivery to apply best</w:t>
      </w:r>
      <w:r w:rsidR="000333EA">
        <w:t>-</w:t>
      </w:r>
      <w:r w:rsidRPr="002029AF">
        <w:t>practice asset management for the Victorian health asset portfolio.</w:t>
      </w:r>
    </w:p>
    <w:p w14:paraId="4D09E1FC" w14:textId="77777777" w:rsidR="002C13AE" w:rsidRPr="002029AF" w:rsidRDefault="002C13AE" w:rsidP="002C13AE">
      <w:pPr>
        <w:pStyle w:val="ARbody"/>
      </w:pPr>
      <w:r w:rsidRPr="002029AF">
        <w:t>The Asset Management policy outlines key principles that guide the decision-making approach in the management of the health asset portfolio.</w:t>
      </w:r>
    </w:p>
    <w:p w14:paraId="0F2F5598" w14:textId="77777777" w:rsidR="002C13AE" w:rsidRPr="002029AF" w:rsidRDefault="002C13AE" w:rsidP="002C13AE">
      <w:pPr>
        <w:pStyle w:val="ARbody"/>
      </w:pPr>
      <w:r w:rsidRPr="002029AF">
        <w:t>Principles include:</w:t>
      </w:r>
    </w:p>
    <w:p w14:paraId="25F361EA" w14:textId="77777777" w:rsidR="002C13AE" w:rsidRPr="002029AF" w:rsidRDefault="002C13AE" w:rsidP="00FF3CAB">
      <w:pPr>
        <w:pStyle w:val="ARbullet1"/>
        <w:numPr>
          <w:ilvl w:val="0"/>
          <w:numId w:val="51"/>
        </w:numPr>
      </w:pPr>
      <w:r w:rsidRPr="002029AF">
        <w:t>maintaining assets to meet clinical service standards now and into the future</w:t>
      </w:r>
    </w:p>
    <w:p w14:paraId="0500229B" w14:textId="77777777" w:rsidR="002C13AE" w:rsidRPr="002029AF" w:rsidRDefault="002C13AE" w:rsidP="00FF3CAB">
      <w:pPr>
        <w:pStyle w:val="ARbullet1"/>
        <w:numPr>
          <w:ilvl w:val="0"/>
          <w:numId w:val="51"/>
        </w:numPr>
      </w:pPr>
      <w:r w:rsidRPr="002029AF">
        <w:t>delivering sustainable health assets which reduce environmental impact over time and provide improved social outcomes</w:t>
      </w:r>
    </w:p>
    <w:p w14:paraId="713C4A8E" w14:textId="77777777" w:rsidR="002C13AE" w:rsidRPr="002029AF" w:rsidRDefault="002C13AE" w:rsidP="00FF3CAB">
      <w:pPr>
        <w:pStyle w:val="ARbullet1"/>
        <w:numPr>
          <w:ilvl w:val="0"/>
          <w:numId w:val="51"/>
        </w:numPr>
      </w:pPr>
      <w:r w:rsidRPr="002029AF">
        <w:t>provid</w:t>
      </w:r>
      <w:r>
        <w:t>ing</w:t>
      </w:r>
      <w:r w:rsidRPr="002029AF">
        <w:t xml:space="preserve"> planning and asset management that takes into account full lifecycle costs of assets.</w:t>
      </w:r>
    </w:p>
    <w:p w14:paraId="310516E8" w14:textId="77777777" w:rsidR="002C13AE" w:rsidRPr="002029AF" w:rsidRDefault="002C13AE" w:rsidP="002C13AE">
      <w:pPr>
        <w:pStyle w:val="Heading6"/>
        <w:rPr>
          <w:lang w:val="en-AU"/>
        </w:rPr>
      </w:pPr>
      <w:r w:rsidRPr="002029AF">
        <w:rPr>
          <w:lang w:val="en-AU"/>
        </w:rPr>
        <w:t xml:space="preserve">Victorian </w:t>
      </w:r>
      <w:r>
        <w:rPr>
          <w:lang w:val="en-AU"/>
        </w:rPr>
        <w:t>h</w:t>
      </w:r>
      <w:r w:rsidRPr="002029AF">
        <w:rPr>
          <w:lang w:val="en-AU"/>
        </w:rPr>
        <w:t xml:space="preserve">ealth </w:t>
      </w:r>
      <w:r>
        <w:rPr>
          <w:lang w:val="en-AU"/>
        </w:rPr>
        <w:t>a</w:t>
      </w:r>
      <w:r w:rsidRPr="002029AF">
        <w:rPr>
          <w:lang w:val="en-AU"/>
        </w:rPr>
        <w:t xml:space="preserve">sset </w:t>
      </w:r>
      <w:r>
        <w:rPr>
          <w:lang w:val="en-AU"/>
        </w:rPr>
        <w:t>m</w:t>
      </w:r>
      <w:r w:rsidRPr="002029AF">
        <w:rPr>
          <w:lang w:val="en-AU"/>
        </w:rPr>
        <w:t xml:space="preserve">anagement </w:t>
      </w:r>
      <w:r>
        <w:rPr>
          <w:lang w:val="en-AU"/>
        </w:rPr>
        <w:t>c</w:t>
      </w:r>
      <w:r w:rsidRPr="002029AF">
        <w:rPr>
          <w:lang w:val="en-AU"/>
        </w:rPr>
        <w:t xml:space="preserve">ommunities of </w:t>
      </w:r>
      <w:r>
        <w:rPr>
          <w:lang w:val="en-AU"/>
        </w:rPr>
        <w:t>p</w:t>
      </w:r>
      <w:r w:rsidRPr="002029AF">
        <w:rPr>
          <w:lang w:val="en-AU"/>
        </w:rPr>
        <w:t>ractice</w:t>
      </w:r>
    </w:p>
    <w:p w14:paraId="2B4C9CB9" w14:textId="77777777" w:rsidR="002C13AE" w:rsidRPr="002029AF" w:rsidRDefault="002C13AE" w:rsidP="002C13AE">
      <w:pPr>
        <w:pStyle w:val="ARbody"/>
      </w:pPr>
      <w:r w:rsidRPr="002029AF">
        <w:t>The Victorian Health and Human Services Building Authority established the communities of practice bringing together the functions of corporate, service delivery, finance, capital and facilities management to support health asset management practitioners to collaborate and share knowledge to improve asset management capability.</w:t>
      </w:r>
    </w:p>
    <w:p w14:paraId="352521E6" w14:textId="5155A229" w:rsidR="002C13AE" w:rsidRPr="002029AF" w:rsidRDefault="002C13AE" w:rsidP="002C13AE">
      <w:pPr>
        <w:pStyle w:val="ARbody"/>
      </w:pPr>
      <w:r w:rsidRPr="002029AF">
        <w:t>Four regional and six metropolitan local chapter events were held</w:t>
      </w:r>
      <w:r>
        <w:t>,</w:t>
      </w:r>
      <w:r w:rsidRPr="002029AF">
        <w:t xml:space="preserve"> with</w:t>
      </w:r>
      <w:r>
        <w:t xml:space="preserve"> the development of</w:t>
      </w:r>
      <w:r w:rsidRPr="002029AF">
        <w:t xml:space="preserve"> technical</w:t>
      </w:r>
      <w:r w:rsidR="007C4ED3">
        <w:t> </w:t>
      </w:r>
      <w:r w:rsidRPr="002029AF">
        <w:t>advice for critical assets and asset key</w:t>
      </w:r>
      <w:r w:rsidR="007C4ED3">
        <w:t> </w:t>
      </w:r>
      <w:r w:rsidRPr="002029AF">
        <w:t>performance indicators.</w:t>
      </w:r>
    </w:p>
    <w:p w14:paraId="055AE9A2" w14:textId="4F53C00B" w:rsidR="00603E4B" w:rsidRPr="002029AF" w:rsidRDefault="00603E4B" w:rsidP="00603E4B">
      <w:pPr>
        <w:pStyle w:val="Heading6"/>
        <w:rPr>
          <w:lang w:val="en-AU"/>
        </w:rPr>
      </w:pPr>
      <w:bookmarkStart w:id="50" w:name="_Hlk52198890"/>
      <w:r w:rsidRPr="002029AF">
        <w:rPr>
          <w:lang w:val="en-AU"/>
        </w:rPr>
        <w:t xml:space="preserve">Technical </w:t>
      </w:r>
      <w:r w:rsidR="000A1192">
        <w:rPr>
          <w:lang w:val="en-AU"/>
        </w:rPr>
        <w:t>g</w:t>
      </w:r>
      <w:r w:rsidRPr="002029AF">
        <w:rPr>
          <w:lang w:val="en-AU"/>
        </w:rPr>
        <w:t>uidance</w:t>
      </w:r>
    </w:p>
    <w:bookmarkEnd w:id="50"/>
    <w:p w14:paraId="244A8C44" w14:textId="749E5C74" w:rsidR="008D13C6" w:rsidRPr="002029AF" w:rsidRDefault="008D13C6" w:rsidP="008D13C6">
      <w:pPr>
        <w:pStyle w:val="ARbody"/>
      </w:pPr>
      <w:r>
        <w:t>The department p</w:t>
      </w:r>
      <w:r w:rsidRPr="002029AF">
        <w:t>ublished guidelines for engineering for healthcare facilities that set the fundamental principles across four key disciplines</w:t>
      </w:r>
      <w:r>
        <w:t>:</w:t>
      </w:r>
      <w:r w:rsidRPr="002029AF">
        <w:t xml:space="preserve"> electrical and lighting, data comm</w:t>
      </w:r>
      <w:r>
        <w:t>unication</w:t>
      </w:r>
      <w:r w:rsidRPr="002029AF">
        <w:t>s and security, heating, ventilation and air-conditioning</w:t>
      </w:r>
      <w:r>
        <w:t>,</w:t>
      </w:r>
      <w:r w:rsidRPr="002029AF">
        <w:t xml:space="preserve"> and fire and hydraulics.</w:t>
      </w:r>
    </w:p>
    <w:p w14:paraId="5AF3CBB7" w14:textId="385F7607" w:rsidR="008D13C6" w:rsidRPr="002029AF" w:rsidRDefault="008D13C6" w:rsidP="008D13C6">
      <w:pPr>
        <w:pStyle w:val="ARbody"/>
      </w:pPr>
      <w:r>
        <w:t>It also p</w:t>
      </w:r>
      <w:r w:rsidRPr="002029AF">
        <w:t>ublished technical guidance to assist health</w:t>
      </w:r>
      <w:r w:rsidR="007C4ED3">
        <w:t> </w:t>
      </w:r>
      <w:r w:rsidRPr="002029AF">
        <w:t>services with:</w:t>
      </w:r>
    </w:p>
    <w:p w14:paraId="55DB2277" w14:textId="77777777" w:rsidR="008D13C6" w:rsidRPr="002029AF" w:rsidRDefault="008D13C6" w:rsidP="00FF3CAB">
      <w:pPr>
        <w:pStyle w:val="ARbullet1"/>
        <w:numPr>
          <w:ilvl w:val="0"/>
          <w:numId w:val="51"/>
        </w:numPr>
      </w:pPr>
      <w:r>
        <w:t>heating, ventilation and air conditioning</w:t>
      </w:r>
      <w:r w:rsidRPr="002029AF">
        <w:t xml:space="preserve"> system strategies to </w:t>
      </w:r>
      <w:r>
        <w:t xml:space="preserve">combat </w:t>
      </w:r>
      <w:r w:rsidRPr="002029AF">
        <w:t>airborne infectious disease outbreaks</w:t>
      </w:r>
    </w:p>
    <w:p w14:paraId="52C61A27" w14:textId="77777777" w:rsidR="008D13C6" w:rsidRPr="002029AF" w:rsidRDefault="008D13C6" w:rsidP="00FF3CAB">
      <w:pPr>
        <w:pStyle w:val="ARbullet1"/>
        <w:numPr>
          <w:ilvl w:val="0"/>
          <w:numId w:val="51"/>
        </w:numPr>
      </w:pPr>
      <w:r>
        <w:t>r</w:t>
      </w:r>
      <w:r w:rsidRPr="002029AF">
        <w:t>esponse to humidity control events in sterile areas</w:t>
      </w:r>
    </w:p>
    <w:p w14:paraId="14E62BBA" w14:textId="77777777" w:rsidR="008D13C6" w:rsidRPr="002029AF" w:rsidRDefault="008D13C6" w:rsidP="00FF3CAB">
      <w:pPr>
        <w:pStyle w:val="ARbullet1"/>
        <w:numPr>
          <w:ilvl w:val="0"/>
          <w:numId w:val="51"/>
        </w:numPr>
      </w:pPr>
      <w:r>
        <w:t>i</w:t>
      </w:r>
      <w:r w:rsidRPr="002029AF">
        <w:t xml:space="preserve">nfrastructure activities during the coronavirus </w:t>
      </w:r>
      <w:r>
        <w:t xml:space="preserve">(COVID-19) </w:t>
      </w:r>
      <w:r w:rsidRPr="002029AF">
        <w:t>pandemic</w:t>
      </w:r>
    </w:p>
    <w:p w14:paraId="5D284514" w14:textId="5AFB4767" w:rsidR="008D13C6" w:rsidRPr="002029AF" w:rsidRDefault="000A1192" w:rsidP="00FF3CAB">
      <w:pPr>
        <w:pStyle w:val="ARbullet1"/>
        <w:numPr>
          <w:ilvl w:val="0"/>
          <w:numId w:val="51"/>
        </w:numPr>
      </w:pPr>
      <w:r>
        <w:t>i</w:t>
      </w:r>
      <w:r w:rsidR="008D13C6" w:rsidRPr="002029AF">
        <w:t xml:space="preserve">ncreasing bed capacity for coronavirus </w:t>
      </w:r>
      <w:r w:rsidR="007C4ED3">
        <w:br/>
      </w:r>
      <w:r w:rsidR="008D13C6" w:rsidRPr="002029AF">
        <w:t>(COVID-19) patients.</w:t>
      </w:r>
    </w:p>
    <w:p w14:paraId="6CEEE72E" w14:textId="6542B052" w:rsidR="008D13C6" w:rsidRPr="002029AF" w:rsidRDefault="008D13C6" w:rsidP="008D13C6">
      <w:pPr>
        <w:pStyle w:val="ARbodyafterbullets"/>
      </w:pPr>
      <w:r w:rsidRPr="002029AF">
        <w:t>The department conducted 46 condition assessments and reviewed 47 maintenance plans</w:t>
      </w:r>
      <w:r w:rsidR="007C4ED3">
        <w:t> </w:t>
      </w:r>
      <w:r w:rsidRPr="002029AF">
        <w:t>and 44 asset management plans.</w:t>
      </w:r>
    </w:p>
    <w:p w14:paraId="720D3D25" w14:textId="55E96AB9" w:rsidR="00603E4B" w:rsidRPr="002029AF" w:rsidRDefault="008D13C6" w:rsidP="008D13C6">
      <w:pPr>
        <w:pStyle w:val="Heading5"/>
        <w:rPr>
          <w:rFonts w:eastAsia="Calibri"/>
        </w:rPr>
      </w:pPr>
      <w:r w:rsidRPr="002029AF">
        <w:rPr>
          <w:rFonts w:eastAsia="Calibri"/>
        </w:rPr>
        <w:lastRenderedPageBreak/>
        <w:t xml:space="preserve">Key result 36: </w:t>
      </w:r>
      <w:r w:rsidR="00603E4B" w:rsidRPr="002029AF">
        <w:rPr>
          <w:rFonts w:eastAsia="Calibri"/>
        </w:rPr>
        <w:t>Increase the proportion of</w:t>
      </w:r>
      <w:r w:rsidR="007C4ED3">
        <w:rPr>
          <w:rFonts w:eastAsia="Calibri"/>
        </w:rPr>
        <w:t> </w:t>
      </w:r>
      <w:r w:rsidR="00603E4B" w:rsidRPr="002029AF">
        <w:rPr>
          <w:rFonts w:eastAsia="Calibri"/>
        </w:rPr>
        <w:t>capital projects delivered on time and on</w:t>
      </w:r>
      <w:r w:rsidR="007C4ED3">
        <w:rPr>
          <w:rFonts w:eastAsia="Calibri"/>
        </w:rPr>
        <w:t> </w:t>
      </w:r>
      <w:r w:rsidR="00603E4B" w:rsidRPr="002029AF">
        <w:rPr>
          <w:rFonts w:eastAsia="Calibri"/>
        </w:rPr>
        <w:t>budget</w:t>
      </w:r>
    </w:p>
    <w:p w14:paraId="00EFAE6E" w14:textId="77777777" w:rsidR="00603E4B" w:rsidRPr="002029AF" w:rsidRDefault="00603E4B" w:rsidP="00603E4B">
      <w:pPr>
        <w:pStyle w:val="Heading6"/>
        <w:rPr>
          <w:szCs w:val="20"/>
          <w:lang w:val="en-AU"/>
        </w:rPr>
      </w:pPr>
      <w:r w:rsidRPr="002029AF">
        <w:rPr>
          <w:szCs w:val="20"/>
          <w:lang w:val="en-AU"/>
        </w:rPr>
        <w:t>Goulburn Valley Health Shepparton Hospital</w:t>
      </w:r>
    </w:p>
    <w:p w14:paraId="06035A5A" w14:textId="5BAB8476" w:rsidR="00603E4B" w:rsidRPr="002029AF" w:rsidRDefault="00603E4B" w:rsidP="00603E4B">
      <w:pPr>
        <w:pStyle w:val="ARbody"/>
      </w:pPr>
      <w:r w:rsidRPr="002029AF">
        <w:t>The new inpatient tower at Shepparton Hospital was fast tracked, with construction completed eight</w:t>
      </w:r>
      <w:r w:rsidR="007C4ED3">
        <w:t> </w:t>
      </w:r>
      <w:r w:rsidRPr="002029AF">
        <w:t>weeks ahead of schedule.</w:t>
      </w:r>
    </w:p>
    <w:p w14:paraId="49ADDE80" w14:textId="77777777" w:rsidR="00603E4B" w:rsidRPr="002029AF" w:rsidRDefault="00603E4B" w:rsidP="00603E4B">
      <w:pPr>
        <w:pStyle w:val="ARbody"/>
      </w:pPr>
      <w:r w:rsidRPr="002029AF">
        <w:t>The Victorian Health and Human Services Building Authority worked with Goulburn Valley Health and its construction partners to accelerate the work so that the hospital had sufficient capacity to respond to the coronavirus (COVID-19) pandemic.</w:t>
      </w:r>
    </w:p>
    <w:p w14:paraId="2E3DB57E" w14:textId="77777777" w:rsidR="00603E4B" w:rsidRPr="002029AF" w:rsidRDefault="00603E4B" w:rsidP="00603E4B">
      <w:pPr>
        <w:pStyle w:val="ARbody"/>
      </w:pPr>
      <w:r w:rsidRPr="002029AF">
        <w:t>The new inpatient tower includes:</w:t>
      </w:r>
    </w:p>
    <w:p w14:paraId="106866F6" w14:textId="77777777" w:rsidR="00603E4B" w:rsidRPr="002029AF" w:rsidRDefault="00603E4B" w:rsidP="00FF3CAB">
      <w:pPr>
        <w:pStyle w:val="ARbullet1"/>
        <w:numPr>
          <w:ilvl w:val="0"/>
          <w:numId w:val="51"/>
        </w:numPr>
      </w:pPr>
      <w:r w:rsidRPr="002029AF">
        <w:t>10 critical care unit beds</w:t>
      </w:r>
    </w:p>
    <w:p w14:paraId="1042AA16" w14:textId="77777777" w:rsidR="00603E4B" w:rsidRPr="002029AF" w:rsidRDefault="00603E4B" w:rsidP="00FF3CAB">
      <w:pPr>
        <w:pStyle w:val="ARbullet1"/>
        <w:numPr>
          <w:ilvl w:val="0"/>
          <w:numId w:val="51"/>
        </w:numPr>
      </w:pPr>
      <w:r w:rsidRPr="002029AF">
        <w:t>64 inpatient beds</w:t>
      </w:r>
    </w:p>
    <w:p w14:paraId="6883C2BD" w14:textId="77777777" w:rsidR="00603E4B" w:rsidRPr="002029AF" w:rsidRDefault="00603E4B" w:rsidP="00FF3CAB">
      <w:pPr>
        <w:pStyle w:val="ARbullet1"/>
        <w:numPr>
          <w:ilvl w:val="0"/>
          <w:numId w:val="51"/>
        </w:numPr>
      </w:pPr>
      <w:r w:rsidRPr="002029AF">
        <w:t>eight new operating theatres</w:t>
      </w:r>
    </w:p>
    <w:p w14:paraId="21D2C812" w14:textId="77777777" w:rsidR="00603E4B" w:rsidRPr="002029AF" w:rsidRDefault="00603E4B" w:rsidP="00FF3CAB">
      <w:pPr>
        <w:pStyle w:val="ARbullet1"/>
        <w:numPr>
          <w:ilvl w:val="0"/>
          <w:numId w:val="51"/>
        </w:numPr>
      </w:pPr>
      <w:r w:rsidRPr="002029AF">
        <w:t>a new kitchen.</w:t>
      </w:r>
    </w:p>
    <w:p w14:paraId="2E52143C" w14:textId="0735470C" w:rsidR="00603E4B" w:rsidRPr="002029AF" w:rsidRDefault="00603E4B" w:rsidP="00603E4B">
      <w:pPr>
        <w:pStyle w:val="ARbodyafterbullets"/>
      </w:pPr>
      <w:r w:rsidRPr="002029AF">
        <w:t>In addition, a separate dialysis unit has also been</w:t>
      </w:r>
      <w:r w:rsidR="007C4ED3">
        <w:t> </w:t>
      </w:r>
      <w:r w:rsidRPr="002029AF">
        <w:t>built with 16 chairs, doubling the capacity for</w:t>
      </w:r>
      <w:r w:rsidR="007C4ED3">
        <w:t> </w:t>
      </w:r>
      <w:r w:rsidRPr="002029AF">
        <w:t>dialysis at the hospital.</w:t>
      </w:r>
    </w:p>
    <w:p w14:paraId="1DDF1665" w14:textId="77777777" w:rsidR="00603E4B" w:rsidRPr="002029AF" w:rsidRDefault="00603E4B" w:rsidP="00603E4B">
      <w:pPr>
        <w:pStyle w:val="ARbody"/>
      </w:pPr>
      <w:r w:rsidRPr="002029AF">
        <w:t>The new tower is part of the $229.3 million redevelopment of Goulburn Valley Health.</w:t>
      </w:r>
    </w:p>
    <w:p w14:paraId="126AD6F1" w14:textId="0E4E3CA0" w:rsidR="00603E4B" w:rsidRPr="002029AF" w:rsidRDefault="00603E4B" w:rsidP="00603E4B">
      <w:pPr>
        <w:pStyle w:val="ARbody"/>
      </w:pPr>
      <w:r w:rsidRPr="002029AF">
        <w:t>The Shepparton Hospital redevelopment will double</w:t>
      </w:r>
      <w:r w:rsidR="007C4ED3">
        <w:t> </w:t>
      </w:r>
      <w:r w:rsidRPr="002029AF">
        <w:t>the capacity of the emergency department, with 36 treatment spaces and nine short-stay beds for patients who need care for less than 24 hours.</w:t>
      </w:r>
    </w:p>
    <w:p w14:paraId="27C4A282" w14:textId="652B2AC2" w:rsidR="00603E4B" w:rsidRPr="002029AF" w:rsidRDefault="00603E4B" w:rsidP="00603E4B">
      <w:pPr>
        <w:pStyle w:val="ARbody"/>
      </w:pPr>
      <w:r w:rsidRPr="002029AF">
        <w:t>It will also mean more mums can give birth and</w:t>
      </w:r>
      <w:r w:rsidR="007C4ED3">
        <w:t> </w:t>
      </w:r>
      <w:r w:rsidRPr="002029AF">
        <w:t>start a family closer to home, with a 12-bed maternity unit, a 10-cot special care nursery and a</w:t>
      </w:r>
      <w:r w:rsidR="007C4ED3">
        <w:t> </w:t>
      </w:r>
      <w:r w:rsidRPr="002029AF">
        <w:t>12-bed paediatric ward. The project will deliver round-the-clock imaging capability in the expanded emergency department, including two new x-ray rooms, a CT scan room and an ultrasound room. An additional operating theatre is also being built, bringing the total to four new theatres.</w:t>
      </w:r>
    </w:p>
    <w:p w14:paraId="3D9B2F97" w14:textId="77777777" w:rsidR="00603E4B" w:rsidRPr="002029AF" w:rsidRDefault="00603E4B" w:rsidP="00603E4B">
      <w:pPr>
        <w:pStyle w:val="Heading6"/>
        <w:rPr>
          <w:szCs w:val="20"/>
          <w:lang w:val="en-AU"/>
        </w:rPr>
      </w:pPr>
      <w:r w:rsidRPr="002029AF">
        <w:rPr>
          <w:szCs w:val="20"/>
          <w:lang w:val="en-AU"/>
        </w:rPr>
        <w:t>Better management of VHHSBA projects</w:t>
      </w:r>
    </w:p>
    <w:p w14:paraId="057D8FF2" w14:textId="33FDBB89" w:rsidR="00603E4B" w:rsidRPr="002029AF" w:rsidRDefault="00603E4B" w:rsidP="00603E4B">
      <w:pPr>
        <w:pStyle w:val="ARbody"/>
        <w:rPr>
          <w:rFonts w:eastAsia="Times New Roman"/>
        </w:rPr>
      </w:pPr>
      <w:r w:rsidRPr="002029AF">
        <w:rPr>
          <w:rFonts w:eastAsia="Times New Roman"/>
        </w:rPr>
        <w:t>The Victorian Health and Human Services Building Authority</w:t>
      </w:r>
      <w:r w:rsidR="008D13C6">
        <w:rPr>
          <w:rFonts w:eastAsia="Times New Roman"/>
        </w:rPr>
        <w:t xml:space="preserve"> (VHHSBA)</w:t>
      </w:r>
      <w:r w:rsidRPr="002029AF">
        <w:rPr>
          <w:rFonts w:eastAsia="Times New Roman"/>
        </w:rPr>
        <w:t xml:space="preserve"> has established a project management office, improving its ability to deliver timely and affordable capital projects. The office has developed a project management framework and specialised project management system to guide the work and next steps</w:t>
      </w:r>
      <w:r w:rsidR="00B2707A">
        <w:rPr>
          <w:rFonts w:eastAsia="Times New Roman"/>
        </w:rPr>
        <w:t>,</w:t>
      </w:r>
      <w:r w:rsidRPr="002029AF">
        <w:rPr>
          <w:rFonts w:eastAsia="Times New Roman"/>
        </w:rPr>
        <w:t xml:space="preserve"> including co-design and planning and development minimum requirements.</w:t>
      </w:r>
    </w:p>
    <w:p w14:paraId="3D07F375" w14:textId="77777777" w:rsidR="00603E4B" w:rsidRPr="002029AF" w:rsidRDefault="00603E4B" w:rsidP="00603E4B">
      <w:pPr>
        <w:pStyle w:val="Heading5"/>
        <w:rPr>
          <w:rFonts w:eastAsia="Calibri"/>
        </w:rPr>
      </w:pPr>
      <w:r w:rsidRPr="002029AF">
        <w:t xml:space="preserve">Key result 37: Improve alignment of our health, human services and community recreation assets </w:t>
      </w:r>
      <w:r w:rsidRPr="002029AF">
        <w:rPr>
          <w:rFonts w:eastAsia="Calibri"/>
        </w:rPr>
        <w:t>with the needs of clients, patients and Victoria’s growing population</w:t>
      </w:r>
    </w:p>
    <w:p w14:paraId="7513A059" w14:textId="77777777" w:rsidR="00603E4B" w:rsidRPr="002029AF" w:rsidRDefault="00603E4B" w:rsidP="00603E4B">
      <w:pPr>
        <w:pStyle w:val="Heading6"/>
        <w:rPr>
          <w:szCs w:val="20"/>
          <w:lang w:val="en-AU"/>
        </w:rPr>
      </w:pPr>
      <w:r w:rsidRPr="002029AF">
        <w:rPr>
          <w:szCs w:val="20"/>
          <w:lang w:val="en-AU"/>
        </w:rPr>
        <w:t>Joan Kirner Women’s and Children’s Hospital</w:t>
      </w:r>
    </w:p>
    <w:p w14:paraId="370EE1C6" w14:textId="0E82FDE4" w:rsidR="008D13C6" w:rsidRPr="002029AF" w:rsidRDefault="008D13C6" w:rsidP="008D13C6">
      <w:pPr>
        <w:pStyle w:val="ARbody"/>
      </w:pPr>
      <w:r w:rsidRPr="002029AF">
        <w:t xml:space="preserve">One year since </w:t>
      </w:r>
      <w:r>
        <w:t xml:space="preserve">the </w:t>
      </w:r>
      <w:r w:rsidRPr="002029AF">
        <w:t>Joan Kirner Women’s and Children’s Hospital opened its doors to patients in Melbourne’s west, more than 6,000 babies have been delivered at th</w:t>
      </w:r>
      <w:r>
        <w:t>is</w:t>
      </w:r>
      <w:r w:rsidRPr="002029AF">
        <w:t xml:space="preserve"> world-class </w:t>
      </w:r>
      <w:r>
        <w:t xml:space="preserve">facility </w:t>
      </w:r>
      <w:r w:rsidRPr="002029AF">
        <w:t>in St</w:t>
      </w:r>
      <w:r w:rsidR="00AD78D6">
        <w:t> </w:t>
      </w:r>
      <w:r w:rsidRPr="002029AF">
        <w:t>Albans.</w:t>
      </w:r>
    </w:p>
    <w:p w14:paraId="50F83D99" w14:textId="77777777" w:rsidR="008D13C6" w:rsidRPr="002029AF" w:rsidRDefault="008D13C6" w:rsidP="008D13C6">
      <w:pPr>
        <w:pStyle w:val="ARbody"/>
      </w:pPr>
      <w:r w:rsidRPr="002029AF">
        <w:t>The hospital has also treated 22,780 patients, including 10,434 children, in the year since it opened and has allowed local mums to give birth and access specialist services closer to home. People in Melbourne’s western suburbs no longer have to travel or be transported for intensive or critical care.</w:t>
      </w:r>
    </w:p>
    <w:p w14:paraId="5E5FFA29" w14:textId="77777777" w:rsidR="008D13C6" w:rsidRPr="002029AF" w:rsidRDefault="008D13C6" w:rsidP="008D13C6">
      <w:pPr>
        <w:pStyle w:val="ARbody"/>
      </w:pPr>
      <w:r w:rsidRPr="002029AF">
        <w:t>The hospital provides women and families in Melbourne’s western suburbs with state-of-the-art maternity and paediatric services and features the area’s first neonatal intensive care unit.</w:t>
      </w:r>
    </w:p>
    <w:p w14:paraId="230CE019" w14:textId="77777777" w:rsidR="008D13C6" w:rsidRPr="002029AF" w:rsidRDefault="008D13C6" w:rsidP="008D13C6">
      <w:pPr>
        <w:pStyle w:val="ARbody"/>
      </w:pPr>
      <w:r w:rsidRPr="002029AF">
        <w:t>It includes 20 maternity delivery rooms, 237 beds, 39 special care nursery cots, four theatres and additional clinics, and covers more floor space than the MCG.</w:t>
      </w:r>
    </w:p>
    <w:p w14:paraId="3FFDD375" w14:textId="77777777" w:rsidR="008D13C6" w:rsidRPr="002029AF" w:rsidRDefault="008D13C6" w:rsidP="008D13C6">
      <w:pPr>
        <w:pStyle w:val="Heading6"/>
        <w:rPr>
          <w:lang w:val="en-AU"/>
        </w:rPr>
      </w:pPr>
      <w:r w:rsidRPr="002029AF">
        <w:rPr>
          <w:lang w:val="en-AU"/>
        </w:rPr>
        <w:t>Sunshine Hospital expansion</w:t>
      </w:r>
    </w:p>
    <w:p w14:paraId="07A60813" w14:textId="77777777" w:rsidR="008D13C6" w:rsidRPr="002029AF" w:rsidRDefault="008D13C6" w:rsidP="008D13C6">
      <w:pPr>
        <w:pStyle w:val="ARbody"/>
      </w:pPr>
      <w:r w:rsidRPr="002029AF">
        <w:t>The expansion of Sunshine Hospital has commenced, with the $29.6 million redevelopment of its emergency department.</w:t>
      </w:r>
    </w:p>
    <w:p w14:paraId="079068D8" w14:textId="77777777" w:rsidR="008D13C6" w:rsidRPr="002029AF" w:rsidRDefault="008D13C6" w:rsidP="008D13C6">
      <w:pPr>
        <w:pStyle w:val="ARbody"/>
      </w:pPr>
      <w:r w:rsidRPr="002029AF">
        <w:t>At a cost of $44.3 million, an additional 12 short</w:t>
      </w:r>
      <w:r>
        <w:t>-</w:t>
      </w:r>
      <w:r w:rsidRPr="002029AF">
        <w:t>stay beds and 12 treatment cubicles will be included as part of the redeveloped emergency department.</w:t>
      </w:r>
    </w:p>
    <w:p w14:paraId="4A12D2D3" w14:textId="77777777" w:rsidR="008D13C6" w:rsidRPr="002029AF" w:rsidRDefault="008D13C6" w:rsidP="008D13C6">
      <w:pPr>
        <w:pStyle w:val="ARbody"/>
      </w:pPr>
      <w:r w:rsidRPr="002029AF">
        <w:t>A new Mental Health and Drug and Alcohol Centre is also being included as part of the redevelopment.</w:t>
      </w:r>
    </w:p>
    <w:p w14:paraId="4F2ED6DF" w14:textId="582749BB" w:rsidR="008D13C6" w:rsidRPr="002029AF" w:rsidRDefault="008D13C6" w:rsidP="008D13C6">
      <w:pPr>
        <w:pStyle w:val="ARbody"/>
      </w:pPr>
      <w:r w:rsidRPr="002029AF">
        <w:t xml:space="preserve">This expansion and redevelopment of emergency, mental health and drug and alcohol services will improve access to important health services and give families in Melbourne’s </w:t>
      </w:r>
      <w:r>
        <w:t>w</w:t>
      </w:r>
      <w:r w:rsidRPr="002029AF">
        <w:t>est world-class health</w:t>
      </w:r>
      <w:r w:rsidR="007C4ED3">
        <w:t> </w:t>
      </w:r>
      <w:r w:rsidRPr="002029AF">
        <w:t>care.</w:t>
      </w:r>
    </w:p>
    <w:p w14:paraId="505A5ACA" w14:textId="4D9C6275" w:rsidR="00603E4B" w:rsidRPr="002029AF" w:rsidRDefault="00603E4B" w:rsidP="00603E4B">
      <w:pPr>
        <w:pStyle w:val="Heading6"/>
        <w:rPr>
          <w:lang w:val="en-AU"/>
        </w:rPr>
      </w:pPr>
      <w:r w:rsidRPr="002029AF">
        <w:rPr>
          <w:lang w:val="en-AU"/>
        </w:rPr>
        <w:t>Planning for new acute mental health beds</w:t>
      </w:r>
    </w:p>
    <w:p w14:paraId="1D9CD7FD" w14:textId="11322A15" w:rsidR="008D13C6" w:rsidRPr="002029AF" w:rsidRDefault="0026600A" w:rsidP="008D13C6">
      <w:pPr>
        <w:pStyle w:val="ARbody"/>
      </w:pPr>
      <w:r>
        <w:t>One of the recommendations of</w:t>
      </w:r>
      <w:r w:rsidR="008D13C6">
        <w:t xml:space="preserve"> the Royal Commission into Victoria’s Mental Health System interim report </w:t>
      </w:r>
      <w:r>
        <w:t xml:space="preserve">was for </w:t>
      </w:r>
      <w:r w:rsidR="000A264C">
        <w:t>an additional 135</w:t>
      </w:r>
      <w:r w:rsidR="007C4ED3">
        <w:t> </w:t>
      </w:r>
      <w:r w:rsidR="000A264C">
        <w:t>beds</w:t>
      </w:r>
      <w:r w:rsidR="006D7822">
        <w:t>.</w:t>
      </w:r>
      <w:r w:rsidR="008D13C6" w:rsidRPr="002029AF">
        <w:t xml:space="preserve"> </w:t>
      </w:r>
      <w:r w:rsidR="006D7822">
        <w:t>T</w:t>
      </w:r>
      <w:r w:rsidR="008D13C6" w:rsidRPr="002029AF">
        <w:t xml:space="preserve">he planning of this program has demonstrated the benefits of co-designing new services and the buildings that will enable them with those with lived </w:t>
      </w:r>
      <w:r w:rsidR="008D13C6" w:rsidRPr="002029AF">
        <w:lastRenderedPageBreak/>
        <w:t>experience of mental illness. Through the careful design of therapeutic spaces that connect visually and physically to their surrounds, these facilities have been developed to</w:t>
      </w:r>
      <w:r w:rsidR="007C4ED3">
        <w:t> </w:t>
      </w:r>
      <w:r w:rsidR="008D13C6" w:rsidRPr="002029AF">
        <w:t>project an image of safety and hope and will be delivered to meet the ambitious timelines set by the</w:t>
      </w:r>
      <w:r w:rsidR="007C4ED3">
        <w:t> </w:t>
      </w:r>
      <w:r w:rsidR="008D13C6" w:rsidRPr="002029AF">
        <w:t>Royal Commission.</w:t>
      </w:r>
    </w:p>
    <w:p w14:paraId="518B6B94" w14:textId="77777777" w:rsidR="00603E4B" w:rsidRPr="002029AF" w:rsidRDefault="00603E4B" w:rsidP="00603E4B">
      <w:pPr>
        <w:pStyle w:val="Heading6"/>
        <w:rPr>
          <w:szCs w:val="20"/>
          <w:lang w:val="en-AU"/>
        </w:rPr>
      </w:pPr>
      <w:r w:rsidRPr="002029AF">
        <w:rPr>
          <w:szCs w:val="20"/>
          <w:lang w:val="en-AU"/>
        </w:rPr>
        <w:t>Voluntary assisted dying</w:t>
      </w:r>
    </w:p>
    <w:p w14:paraId="3F88D36F" w14:textId="77777777" w:rsidR="000A264C" w:rsidRPr="002029AF" w:rsidRDefault="000A264C" w:rsidP="000A264C">
      <w:pPr>
        <w:pStyle w:val="ARbody"/>
      </w:pPr>
      <w:r w:rsidRPr="002029AF">
        <w:t>Fifty-two Victorians suffering at the end of their lives with a terminal illness accessed voluntary assisted dying in the first six months after the legislation took effect. As at February 2020, more than 370 doctors – a third of them in regional Victoria – had either completed or were undertaking the mandatory training</w:t>
      </w:r>
      <w:r>
        <w:t>,</w:t>
      </w:r>
      <w:r w:rsidRPr="002029AF">
        <w:t xml:space="preserve"> and those numbers continue to rise.</w:t>
      </w:r>
    </w:p>
    <w:p w14:paraId="724C8643" w14:textId="77777777" w:rsidR="00603E4B" w:rsidRPr="002029AF" w:rsidRDefault="00603E4B" w:rsidP="00603E4B">
      <w:pPr>
        <w:pStyle w:val="Heading6"/>
        <w:rPr>
          <w:lang w:val="en-AU"/>
        </w:rPr>
      </w:pPr>
      <w:r w:rsidRPr="002029AF">
        <w:rPr>
          <w:szCs w:val="20"/>
          <w:lang w:val="en-AU"/>
        </w:rPr>
        <w:t>Meeting the needs of regional Victoria</w:t>
      </w:r>
    </w:p>
    <w:p w14:paraId="38FDDFFC" w14:textId="5F04A2C5" w:rsidR="000A264C" w:rsidRPr="002029AF" w:rsidRDefault="000A264C" w:rsidP="000A264C">
      <w:pPr>
        <w:pStyle w:val="ARbody"/>
      </w:pPr>
      <w:r w:rsidRPr="002029AF">
        <w:t>We have invested $2.4 million to boost Victoria’s rural and regional hospital workforce and keep young doctors, nurses and midwives at the start of</w:t>
      </w:r>
      <w:r w:rsidR="007C4ED3">
        <w:t> </w:t>
      </w:r>
      <w:r w:rsidRPr="002029AF">
        <w:t>their careers in country areas.</w:t>
      </w:r>
    </w:p>
    <w:p w14:paraId="7E868AE1" w14:textId="77777777" w:rsidR="000A264C" w:rsidRPr="002029AF" w:rsidRDefault="000A264C" w:rsidP="000A264C">
      <w:pPr>
        <w:pStyle w:val="ARbody"/>
      </w:pPr>
      <w:r w:rsidRPr="002029AF">
        <w:t>The funding will allow regional hospitals to offer two-year contracts to their medical interns for the first time so they can undertake more of their training in regional areas. More than 460 new nurses and midwives will start their careers in regional Victoria this year.</w:t>
      </w:r>
    </w:p>
    <w:p w14:paraId="3C1C4E06" w14:textId="77777777" w:rsidR="00603E4B" w:rsidRPr="002029AF" w:rsidRDefault="00603E4B" w:rsidP="00603E4B">
      <w:pPr>
        <w:pStyle w:val="Heading6"/>
        <w:rPr>
          <w:szCs w:val="20"/>
          <w:lang w:val="en-AU"/>
        </w:rPr>
      </w:pPr>
      <w:r w:rsidRPr="002029AF">
        <w:rPr>
          <w:szCs w:val="20"/>
          <w:lang w:val="en-AU"/>
        </w:rPr>
        <w:t>Improving quality and safety for older Victorians</w:t>
      </w:r>
    </w:p>
    <w:p w14:paraId="1BD9FBAF" w14:textId="28F4AFA7" w:rsidR="000A264C" w:rsidRPr="002029AF" w:rsidRDefault="000A264C" w:rsidP="000A264C">
      <w:pPr>
        <w:pStyle w:val="ARbody"/>
        <w:rPr>
          <w:lang w:eastAsia="en-AU"/>
        </w:rPr>
      </w:pPr>
      <w:r w:rsidRPr="002029AF">
        <w:rPr>
          <w:lang w:eastAsia="en-AU"/>
        </w:rPr>
        <w:t>Safe Care Victoria has established a Care of Older</w:t>
      </w:r>
      <w:r w:rsidR="007C4ED3">
        <w:rPr>
          <w:lang w:eastAsia="en-AU"/>
        </w:rPr>
        <w:t> </w:t>
      </w:r>
      <w:r w:rsidRPr="002029AF">
        <w:rPr>
          <w:lang w:eastAsia="en-AU"/>
        </w:rPr>
        <w:t>People Clinical Network and projects to improve the care of older Victorians.</w:t>
      </w:r>
    </w:p>
    <w:p w14:paraId="14992724" w14:textId="71BB9EB4" w:rsidR="000A264C" w:rsidRPr="002029AF" w:rsidRDefault="000A264C" w:rsidP="000A264C">
      <w:pPr>
        <w:pStyle w:val="ARbody"/>
        <w:rPr>
          <w:lang w:eastAsia="en-AU"/>
        </w:rPr>
      </w:pPr>
      <w:r w:rsidRPr="002029AF">
        <w:rPr>
          <w:lang w:eastAsia="en-AU"/>
        </w:rPr>
        <w:t>A new screening process for frailty has been tested</w:t>
      </w:r>
      <w:r w:rsidR="007C4ED3">
        <w:rPr>
          <w:lang w:eastAsia="en-AU"/>
        </w:rPr>
        <w:t> </w:t>
      </w:r>
      <w:r w:rsidRPr="002029AF">
        <w:rPr>
          <w:lang w:eastAsia="en-AU"/>
        </w:rPr>
        <w:t>in five community settings and is now available for use.</w:t>
      </w:r>
    </w:p>
    <w:p w14:paraId="527F5D41" w14:textId="16F65A2D" w:rsidR="000A264C" w:rsidRPr="002029AF" w:rsidRDefault="000A264C" w:rsidP="000A264C">
      <w:pPr>
        <w:pStyle w:val="ARbody"/>
        <w:rPr>
          <w:lang w:eastAsia="en-AU"/>
        </w:rPr>
      </w:pPr>
      <w:r w:rsidRPr="002029AF">
        <w:rPr>
          <w:lang w:eastAsia="en-AU"/>
        </w:rPr>
        <w:t>Since its introduction, the rates of screening of older people for frailty have increased from 70 to 88</w:t>
      </w:r>
      <w:r w:rsidR="007C4ED3">
        <w:rPr>
          <w:lang w:eastAsia="en-AU"/>
        </w:rPr>
        <w:t> </w:t>
      </w:r>
      <w:r w:rsidRPr="002029AF">
        <w:rPr>
          <w:lang w:eastAsia="en-AU"/>
        </w:rPr>
        <w:t>per cent. People screened reported improved function, better social interaction and greater independence afterwards. Clinicians reported increased knowledge and understanding of improvements.</w:t>
      </w:r>
    </w:p>
    <w:p w14:paraId="289E278B" w14:textId="61367DB0" w:rsidR="00603E4B" w:rsidRPr="002029AF" w:rsidRDefault="00603E4B" w:rsidP="00603E4B">
      <w:pPr>
        <w:pStyle w:val="Heading6"/>
        <w:rPr>
          <w:lang w:val="en-AU"/>
        </w:rPr>
      </w:pPr>
      <w:r w:rsidRPr="002029AF">
        <w:rPr>
          <w:lang w:val="en-AU"/>
        </w:rPr>
        <w:t>Other major hospital redevelopments</w:t>
      </w:r>
    </w:p>
    <w:p w14:paraId="00068C79" w14:textId="77777777" w:rsidR="000A264C" w:rsidRPr="002029AF" w:rsidRDefault="000A264C" w:rsidP="000A264C">
      <w:pPr>
        <w:pStyle w:val="ARbody"/>
      </w:pPr>
      <w:r w:rsidRPr="002029AF">
        <w:t>The new Phillip Island Health Hub 24-hour Urgent Care Centre was completed at the end of 2019.</w:t>
      </w:r>
    </w:p>
    <w:p w14:paraId="16479B42" w14:textId="5FF669C0" w:rsidR="000A264C" w:rsidRPr="002029AF" w:rsidRDefault="007C4ED3" w:rsidP="000A264C">
      <w:pPr>
        <w:pStyle w:val="ARbody"/>
      </w:pPr>
      <w:r>
        <w:br w:type="column"/>
      </w:r>
      <w:r w:rsidR="000A264C" w:rsidRPr="002029AF">
        <w:t>Casey Hospital’s $135 million expansion was completed in April 2020. The redevelopment consists of 128 new inpatient beds and the hospital’s first intensive care unit in the new clinical</w:t>
      </w:r>
      <w:r>
        <w:t> </w:t>
      </w:r>
      <w:r w:rsidR="000A264C" w:rsidRPr="002029AF">
        <w:t>tower, as well as six new operating theatres, a new day surgery unit, an upgraded pharmacy, pathology, back-of-house areas and expanded parking facilities.</w:t>
      </w:r>
    </w:p>
    <w:p w14:paraId="541BE747" w14:textId="75710A19" w:rsidR="000A264C" w:rsidRPr="002029AF" w:rsidRDefault="000A264C" w:rsidP="000A264C">
      <w:pPr>
        <w:pStyle w:val="ARbody"/>
      </w:pPr>
      <w:r w:rsidRPr="002029AF">
        <w:t>The new intensive care unit will mean Casey Hospital is able to treat critically ill patients who present through the emergency department, rather</w:t>
      </w:r>
      <w:r w:rsidR="007C4ED3">
        <w:t> </w:t>
      </w:r>
      <w:r w:rsidRPr="002029AF">
        <w:t>than sending them to other Monash Health</w:t>
      </w:r>
      <w:r w:rsidR="007C4ED3">
        <w:t> </w:t>
      </w:r>
      <w:r w:rsidRPr="002029AF">
        <w:t>hospitals.</w:t>
      </w:r>
    </w:p>
    <w:p w14:paraId="4D846E0C" w14:textId="77777777" w:rsidR="000A264C" w:rsidRPr="002029AF" w:rsidRDefault="000A264C" w:rsidP="000A264C">
      <w:pPr>
        <w:pStyle w:val="ARbody"/>
      </w:pPr>
      <w:r w:rsidRPr="002029AF">
        <w:t>The full Casey expansion includes 160 additional beds and will enable Casey Hospital to treat an extra 25,800 patients, perform an extra 8,000 surgeries and procedures and support an extra 1,300 births every year.</w:t>
      </w:r>
    </w:p>
    <w:p w14:paraId="6C7E8F29" w14:textId="0AF7F2B9" w:rsidR="000A264C" w:rsidRPr="002029AF" w:rsidRDefault="000A264C" w:rsidP="000A264C">
      <w:pPr>
        <w:pStyle w:val="ARbody"/>
      </w:pPr>
      <w:r w:rsidRPr="002029AF">
        <w:t>Construction began on the $76.3 million Monash Hospital emergency department project, which will</w:t>
      </w:r>
      <w:r w:rsidR="007C4ED3">
        <w:t> </w:t>
      </w:r>
      <w:r w:rsidRPr="002029AF">
        <w:t>create a new emergency department with a devoted area for the treatment of children and a new mental health and drug and alcohol hub.</w:t>
      </w:r>
    </w:p>
    <w:p w14:paraId="4E46F8B4" w14:textId="77777777" w:rsidR="000A264C" w:rsidRPr="002029AF" w:rsidRDefault="000A264C" w:rsidP="000A264C">
      <w:pPr>
        <w:pStyle w:val="ARbody"/>
      </w:pPr>
      <w:r w:rsidRPr="002029AF">
        <w:t>The cutting-edge new emergency department will feature an additional 24 emergency department beds and 10 extra short-stay beds for patients requiring care for less than 24 hours.</w:t>
      </w:r>
    </w:p>
    <w:p w14:paraId="13BFDEF2" w14:textId="3268DB69" w:rsidR="000A264C" w:rsidRPr="002029AF" w:rsidRDefault="000A264C" w:rsidP="000A264C">
      <w:pPr>
        <w:pStyle w:val="ARbody"/>
      </w:pPr>
      <w:r w:rsidRPr="002029AF">
        <w:t>The major redevelopment will pave the way for 18</w:t>
      </w:r>
      <w:r w:rsidR="007C4ED3">
        <w:t> </w:t>
      </w:r>
      <w:r w:rsidRPr="002029AF">
        <w:t>extra emergency treatment spaces, three new operating theatres, a procedure room and a 32-bed inpatient ward.</w:t>
      </w:r>
    </w:p>
    <w:p w14:paraId="1565D726" w14:textId="12CD2AB8" w:rsidR="00603E4B" w:rsidRPr="002029AF" w:rsidRDefault="00603E4B" w:rsidP="00603E4B">
      <w:pPr>
        <w:pStyle w:val="Heading6"/>
        <w:rPr>
          <w:szCs w:val="20"/>
          <w:lang w:val="en-AU"/>
        </w:rPr>
      </w:pPr>
      <w:r w:rsidRPr="002029AF">
        <w:rPr>
          <w:szCs w:val="20"/>
          <w:lang w:val="en-AU"/>
        </w:rPr>
        <w:t>Cobaw Community Health Services</w:t>
      </w:r>
      <w:r w:rsidR="005D064D">
        <w:rPr>
          <w:szCs w:val="20"/>
          <w:lang w:val="en-AU"/>
        </w:rPr>
        <w:t xml:space="preserve"> – </w:t>
      </w:r>
      <w:r w:rsidRPr="002029AF">
        <w:rPr>
          <w:szCs w:val="20"/>
          <w:lang w:val="en-AU"/>
        </w:rPr>
        <w:t>Healthy</w:t>
      </w:r>
      <w:r w:rsidR="007C4ED3">
        <w:rPr>
          <w:szCs w:val="20"/>
          <w:lang w:val="en-AU"/>
        </w:rPr>
        <w:t> </w:t>
      </w:r>
      <w:r w:rsidRPr="002029AF">
        <w:rPr>
          <w:szCs w:val="20"/>
          <w:lang w:val="en-AU"/>
        </w:rPr>
        <w:t>Community Access Hub</w:t>
      </w:r>
    </w:p>
    <w:p w14:paraId="2CBAE6DC" w14:textId="77777777" w:rsidR="000A264C" w:rsidRPr="002029AF" w:rsidRDefault="000A264C" w:rsidP="000A264C">
      <w:pPr>
        <w:pStyle w:val="ARbody"/>
      </w:pPr>
      <w:r w:rsidRPr="002029AF">
        <w:t>The Victorian Government is investing $9.7 million to develop a Healthy Community Access Hub within Cobaw Community Health Services in Kyneton.</w:t>
      </w:r>
    </w:p>
    <w:p w14:paraId="193745B0" w14:textId="77777777" w:rsidR="000A264C" w:rsidRPr="002029AF" w:rsidRDefault="000A264C" w:rsidP="000A264C">
      <w:pPr>
        <w:pStyle w:val="ARbody"/>
      </w:pPr>
      <w:r w:rsidRPr="002029AF">
        <w:t>The project will bring vital community health and family services together under one roof, providing better access to healthcare for people in the Macedon Ranges Shire and surrounding communities.</w:t>
      </w:r>
    </w:p>
    <w:p w14:paraId="78793A84" w14:textId="77777777" w:rsidR="000A264C" w:rsidRPr="002029AF" w:rsidRDefault="000A264C" w:rsidP="000A264C">
      <w:pPr>
        <w:pStyle w:val="ARbody"/>
      </w:pPr>
      <w:r w:rsidRPr="002029AF">
        <w:t>The purpose-built hub will offer 13 consult rooms for allied health, counselling, paediatric and family services. E-health technology will help link patients in remote areas with the healthcare they need. The hub will also provide community meeting spaces and dedicated areas for youth and children’s services.</w:t>
      </w:r>
    </w:p>
    <w:p w14:paraId="03228FE1" w14:textId="77777777" w:rsidR="007C4ED3" w:rsidRDefault="007C4ED3" w:rsidP="00603E4B">
      <w:pPr>
        <w:pStyle w:val="Heading6"/>
        <w:rPr>
          <w:lang w:val="en-AU"/>
        </w:rPr>
        <w:sectPr w:rsidR="007C4ED3" w:rsidSect="00B45A1D">
          <w:footnotePr>
            <w:numFmt w:val="chicago"/>
            <w:numRestart w:val="eachPage"/>
          </w:footnotePr>
          <w:endnotePr>
            <w:numFmt w:val="decimal"/>
          </w:endnotePr>
          <w:type w:val="continuous"/>
          <w:pgSz w:w="11900" w:h="16840" w:code="9"/>
          <w:pgMar w:top="1985" w:right="851" w:bottom="851" w:left="1418" w:header="510" w:footer="340" w:gutter="0"/>
          <w:cols w:num="2" w:space="454"/>
          <w15:footnoteColumns w:val="1"/>
        </w:sectPr>
      </w:pPr>
    </w:p>
    <w:p w14:paraId="67DE6C4E" w14:textId="63EC8120" w:rsidR="00603E4B" w:rsidRPr="002029AF" w:rsidRDefault="00603E4B" w:rsidP="007C4ED3">
      <w:pPr>
        <w:pStyle w:val="Heading6"/>
        <w:spacing w:before="0"/>
        <w:rPr>
          <w:lang w:val="en-AU"/>
        </w:rPr>
      </w:pPr>
      <w:r w:rsidRPr="002029AF">
        <w:rPr>
          <w:lang w:val="en-AU"/>
        </w:rPr>
        <w:lastRenderedPageBreak/>
        <w:t>Melton hospital</w:t>
      </w:r>
    </w:p>
    <w:p w14:paraId="7B0E88AC" w14:textId="77777777" w:rsidR="000A264C" w:rsidRPr="002029AF" w:rsidRDefault="000A264C" w:rsidP="000A264C">
      <w:pPr>
        <w:pStyle w:val="ARbody"/>
      </w:pPr>
      <w:r w:rsidRPr="002029AF">
        <w:t>Plans are progressing for the development of Melton Hospital, with planning underway to determine the new 24-hour hospital’s location and size, and the range of services it will provide. The plans will also look at how the hospital will link into services at other public hospitals in the western region – including the $1.5 billion new Footscray Hospital. It is Victoria’s first post</w:t>
      </w:r>
      <w:r>
        <w:t>-</w:t>
      </w:r>
      <w:r w:rsidRPr="002029AF">
        <w:t>pandemic hospital planning project</w:t>
      </w:r>
      <w:r>
        <w:t>,</w:t>
      </w:r>
      <w:r w:rsidRPr="002029AF">
        <w:t xml:space="preserve"> providing us all with a glimpse of the future of health infrastructure around the world.</w:t>
      </w:r>
    </w:p>
    <w:p w14:paraId="708D6A5C" w14:textId="77777777" w:rsidR="00603E4B" w:rsidRPr="002029AF" w:rsidRDefault="00603E4B" w:rsidP="00603E4B">
      <w:pPr>
        <w:pStyle w:val="Heading6"/>
        <w:rPr>
          <w:lang w:val="en-AU"/>
        </w:rPr>
      </w:pPr>
      <w:r w:rsidRPr="002029AF">
        <w:rPr>
          <w:lang w:val="en-AU"/>
        </w:rPr>
        <w:t>Community hospitals program</w:t>
      </w:r>
    </w:p>
    <w:p w14:paraId="54E0C0D4" w14:textId="7B5FC9AE" w:rsidR="000A264C" w:rsidRPr="002029AF" w:rsidRDefault="000A264C" w:rsidP="000A264C">
      <w:pPr>
        <w:pStyle w:val="ARbody"/>
        <w:rPr>
          <w:rFonts w:eastAsia="Times New Roman"/>
        </w:rPr>
      </w:pPr>
      <w:r w:rsidRPr="002029AF">
        <w:rPr>
          <w:rFonts w:eastAsia="Times New Roman"/>
        </w:rPr>
        <w:t xml:space="preserve">The Victorian Government has committed $675 million to build ten community hospitals close to major growth areas. </w:t>
      </w:r>
      <w:r w:rsidRPr="002029AF">
        <w:t>These community hospitals will</w:t>
      </w:r>
      <w:r w:rsidR="007C4ED3">
        <w:t> </w:t>
      </w:r>
      <w:r w:rsidRPr="002029AF">
        <w:t xml:space="preserve">provide </w:t>
      </w:r>
      <w:r w:rsidRPr="002029AF">
        <w:rPr>
          <w:rFonts w:eastAsia="Times New Roman"/>
        </w:rPr>
        <w:t>more access to in-demand services, closer to home.</w:t>
      </w:r>
    </w:p>
    <w:p w14:paraId="4D526CA4" w14:textId="2E86C472" w:rsidR="000A264C" w:rsidRPr="002029AF" w:rsidRDefault="000A264C" w:rsidP="000A264C">
      <w:pPr>
        <w:pStyle w:val="ARbody"/>
        <w:rPr>
          <w:rFonts w:eastAsia="Times New Roman"/>
        </w:rPr>
      </w:pPr>
      <w:r w:rsidRPr="002029AF">
        <w:rPr>
          <w:rFonts w:eastAsia="Times New Roman"/>
        </w:rPr>
        <w:t>The investment will be used to upgrade or expand existing health services and build new services in growing suburbs</w:t>
      </w:r>
      <w:r w:rsidR="00A64FD7">
        <w:rPr>
          <w:rFonts w:eastAsia="Times New Roman"/>
        </w:rPr>
        <w:t>,</w:t>
      </w:r>
      <w:r w:rsidRPr="002029AF">
        <w:rPr>
          <w:rFonts w:eastAsia="Times New Roman"/>
        </w:rPr>
        <w:t xml:space="preserve"> adding value in both suburban and regional Victoria.</w:t>
      </w:r>
    </w:p>
    <w:p w14:paraId="6E1EB16F" w14:textId="1057AD2B" w:rsidR="000A264C" w:rsidRPr="002029AF" w:rsidRDefault="000A264C" w:rsidP="000A264C">
      <w:pPr>
        <w:pStyle w:val="ARbody"/>
        <w:rPr>
          <w:rFonts w:eastAsia="Times New Roman"/>
        </w:rPr>
      </w:pPr>
      <w:r w:rsidRPr="002029AF">
        <w:rPr>
          <w:rFonts w:eastAsia="Times New Roman"/>
        </w:rPr>
        <w:t xml:space="preserve">Whilst providing services to growing communities, </w:t>
      </w:r>
      <w:r>
        <w:rPr>
          <w:rFonts w:eastAsia="Times New Roman"/>
        </w:rPr>
        <w:t>the c</w:t>
      </w:r>
      <w:r w:rsidRPr="002029AF">
        <w:rPr>
          <w:rFonts w:eastAsia="Times New Roman"/>
        </w:rPr>
        <w:t xml:space="preserve">ommunity </w:t>
      </w:r>
      <w:r>
        <w:rPr>
          <w:rFonts w:eastAsia="Times New Roman"/>
        </w:rPr>
        <w:t>h</w:t>
      </w:r>
      <w:r w:rsidRPr="002029AF">
        <w:rPr>
          <w:rFonts w:eastAsia="Times New Roman"/>
        </w:rPr>
        <w:t>ospitals program will also act as a</w:t>
      </w:r>
      <w:r w:rsidR="007C4ED3">
        <w:rPr>
          <w:rFonts w:eastAsia="Times New Roman"/>
        </w:rPr>
        <w:t> </w:t>
      </w:r>
      <w:r w:rsidRPr="002029AF">
        <w:rPr>
          <w:rFonts w:eastAsia="Times New Roman"/>
        </w:rPr>
        <w:t>catalyst for improved suburban centres that promote walkability and meaningful engagement with place. In selecting locations for new facilities to</w:t>
      </w:r>
      <w:r w:rsidR="007C4ED3">
        <w:rPr>
          <w:rFonts w:eastAsia="Times New Roman"/>
        </w:rPr>
        <w:t> </w:t>
      </w:r>
      <w:r w:rsidRPr="002029AF">
        <w:rPr>
          <w:rFonts w:eastAsia="Times New Roman"/>
        </w:rPr>
        <w:t>be delivered, emphasis has been given to improving and creating connectivity with existing recreational and urban areas that will aid in the promotion of healthy lifestyles.</w:t>
      </w:r>
    </w:p>
    <w:p w14:paraId="2A89D1B5" w14:textId="77777777" w:rsidR="000A264C" w:rsidRPr="002029AF" w:rsidRDefault="000A264C" w:rsidP="000A264C">
      <w:pPr>
        <w:pStyle w:val="ARbody"/>
      </w:pPr>
      <w:r w:rsidRPr="002029AF">
        <w:rPr>
          <w:rFonts w:eastAsia="Times New Roman"/>
        </w:rPr>
        <w:t>Community consultative committees have been established. Th</w:t>
      </w:r>
      <w:r w:rsidRPr="002029AF">
        <w:t>e committees will provide a forum for members of each local community to participate in the planning and development of their community hospital through open dialogue and consultation.</w:t>
      </w:r>
    </w:p>
    <w:p w14:paraId="043ED344" w14:textId="77777777" w:rsidR="000A264C" w:rsidRPr="002029AF" w:rsidRDefault="000A264C" w:rsidP="000A264C">
      <w:pPr>
        <w:pStyle w:val="ARbody"/>
      </w:pPr>
      <w:r w:rsidRPr="002029AF">
        <w:t>The range of services provided in each community hospital will be driven by the health and wellbeing needs of the local community and the need to deliver services safely.</w:t>
      </w:r>
    </w:p>
    <w:p w14:paraId="793B8841" w14:textId="6C7466D8" w:rsidR="000A264C" w:rsidRPr="002029AF" w:rsidRDefault="000A264C" w:rsidP="000A264C">
      <w:pPr>
        <w:pStyle w:val="ARbody"/>
      </w:pPr>
      <w:r w:rsidRPr="002029AF">
        <w:t>Service planning is underway in all 10 sites, with</w:t>
      </w:r>
      <w:r w:rsidR="007C4ED3">
        <w:t> </w:t>
      </w:r>
      <w:r w:rsidRPr="002029AF">
        <w:t>construction expected to begin in 2022.</w:t>
      </w:r>
    </w:p>
    <w:p w14:paraId="5B9EEA45" w14:textId="77777777" w:rsidR="00603E4B" w:rsidRPr="002029AF" w:rsidRDefault="00603E4B" w:rsidP="00603E4B">
      <w:pPr>
        <w:pStyle w:val="Heading6"/>
        <w:rPr>
          <w:lang w:val="en-AU"/>
        </w:rPr>
      </w:pPr>
      <w:r w:rsidRPr="002029AF">
        <w:rPr>
          <w:lang w:val="en-AU"/>
        </w:rPr>
        <w:t>Climate change strategy</w:t>
      </w:r>
    </w:p>
    <w:p w14:paraId="7A8E3BF8" w14:textId="24EE606E" w:rsidR="00603E4B" w:rsidRPr="002029AF" w:rsidRDefault="00603E4B" w:rsidP="00603E4B">
      <w:pPr>
        <w:pStyle w:val="ARbody"/>
      </w:pPr>
      <w:r w:rsidRPr="002029AF">
        <w:t xml:space="preserve">In December 2019, the department released the </w:t>
      </w:r>
      <w:r w:rsidRPr="002029AF">
        <w:rPr>
          <w:i/>
          <w:iCs/>
        </w:rPr>
        <w:t>Pilot Health and Human Services Climate Change Adaptation Action Plan 2019</w:t>
      </w:r>
      <w:r w:rsidR="000F13EA" w:rsidRPr="002029AF">
        <w:rPr>
          <w:i/>
          <w:iCs/>
        </w:rPr>
        <w:t>–</w:t>
      </w:r>
      <w:r w:rsidRPr="002029AF">
        <w:rPr>
          <w:i/>
          <w:iCs/>
        </w:rPr>
        <w:t>21</w:t>
      </w:r>
      <w:r w:rsidRPr="002029AF">
        <w:t>, as the first step in a long-term process of building resilience to climate change.</w:t>
      </w:r>
    </w:p>
    <w:p w14:paraId="3D9F904E" w14:textId="4F163197" w:rsidR="00603E4B" w:rsidRPr="002029AF" w:rsidRDefault="00603E4B" w:rsidP="00603E4B">
      <w:pPr>
        <w:pStyle w:val="ARbody"/>
        <w:rPr>
          <w:i/>
        </w:rPr>
      </w:pPr>
      <w:r w:rsidRPr="002029AF">
        <w:rPr>
          <w:shd w:val="clear" w:color="auto" w:fill="FFFFFF"/>
        </w:rPr>
        <w:t>The plan will help the health and human services</w:t>
      </w:r>
      <w:r w:rsidR="007C4ED3">
        <w:rPr>
          <w:shd w:val="clear" w:color="auto" w:fill="FFFFFF"/>
        </w:rPr>
        <w:t> </w:t>
      </w:r>
      <w:r w:rsidRPr="002029AF">
        <w:rPr>
          <w:shd w:val="clear" w:color="auto" w:fill="FFFFFF"/>
        </w:rPr>
        <w:t>sectors to further embed climate change</w:t>
      </w:r>
      <w:r w:rsidR="007C4ED3">
        <w:rPr>
          <w:shd w:val="clear" w:color="auto" w:fill="FFFFFF"/>
        </w:rPr>
        <w:t> </w:t>
      </w:r>
      <w:r w:rsidRPr="002029AF">
        <w:rPr>
          <w:shd w:val="clear" w:color="auto" w:fill="FFFFFF"/>
        </w:rPr>
        <w:t>considerations into policies, planning and</w:t>
      </w:r>
      <w:r w:rsidR="00AD78D6">
        <w:rPr>
          <w:shd w:val="clear" w:color="auto" w:fill="FFFFFF"/>
        </w:rPr>
        <w:t> </w:t>
      </w:r>
      <w:r w:rsidRPr="002029AF">
        <w:rPr>
          <w:shd w:val="clear" w:color="auto" w:fill="FFFFFF"/>
        </w:rPr>
        <w:t>operations, and to respond to the significant risks climate change poses to health and wellbeing and the health and human services system.</w:t>
      </w:r>
    </w:p>
    <w:p w14:paraId="2D6FD9E0" w14:textId="77777777" w:rsidR="00603E4B" w:rsidRPr="002029AF" w:rsidRDefault="00603E4B" w:rsidP="00603E4B">
      <w:pPr>
        <w:pStyle w:val="ARbody"/>
        <w:rPr>
          <w:sz w:val="24"/>
          <w:lang w:eastAsia="en-AU"/>
        </w:rPr>
      </w:pPr>
      <w:r w:rsidRPr="002029AF">
        <w:t>The department is also preparing an emissions reduction plan to reduce greenhouse gas emissions in the department, and in health and human services funded agencies.</w:t>
      </w:r>
    </w:p>
    <w:p w14:paraId="3706428A" w14:textId="77777777" w:rsidR="00603E4B" w:rsidRPr="002029AF" w:rsidRDefault="00603E4B" w:rsidP="00603E4B">
      <w:pPr>
        <w:pStyle w:val="ARbody"/>
      </w:pPr>
      <w:r w:rsidRPr="002029AF">
        <w:t>Together, the emissions reduction plan and the adaptation action plan will form an integrated climate change strategy, recognising that action in both these areas is urgently needed to protect the health and wellbeing of Victorians from the climate crisis.</w:t>
      </w:r>
    </w:p>
    <w:p w14:paraId="06336BA6" w14:textId="7F18D1FF" w:rsidR="00603E4B" w:rsidRPr="002029AF" w:rsidRDefault="00603E4B" w:rsidP="00603E4B">
      <w:pPr>
        <w:pStyle w:val="Heading5"/>
        <w:rPr>
          <w:rFonts w:eastAsia="Calibri"/>
        </w:rPr>
      </w:pPr>
      <w:r w:rsidRPr="002029AF">
        <w:rPr>
          <w:rFonts w:eastAsia="Calibri"/>
        </w:rPr>
        <w:t>Key result 38: Reduce waste arising from</w:t>
      </w:r>
      <w:r w:rsidR="007C4ED3">
        <w:rPr>
          <w:rFonts w:eastAsia="Calibri"/>
        </w:rPr>
        <w:t> </w:t>
      </w:r>
      <w:r w:rsidRPr="002029AF">
        <w:rPr>
          <w:rFonts w:eastAsia="Calibri"/>
        </w:rPr>
        <w:t>the use of inappropriate care</w:t>
      </w:r>
    </w:p>
    <w:p w14:paraId="7DB565AA" w14:textId="77777777" w:rsidR="00603E4B" w:rsidRPr="002029AF" w:rsidRDefault="00603E4B" w:rsidP="00603E4B">
      <w:pPr>
        <w:pStyle w:val="Heading6"/>
        <w:rPr>
          <w:lang w:val="en-AU"/>
        </w:rPr>
      </w:pPr>
      <w:r w:rsidRPr="002029AF">
        <w:rPr>
          <w:lang w:val="en-AU"/>
        </w:rPr>
        <w:t>Geelong health hub</w:t>
      </w:r>
    </w:p>
    <w:p w14:paraId="330A2AF6" w14:textId="20197D83" w:rsidR="00603E4B" w:rsidRPr="002029AF" w:rsidRDefault="00603E4B" w:rsidP="00603E4B">
      <w:pPr>
        <w:pStyle w:val="ARbody"/>
      </w:pPr>
      <w:r w:rsidRPr="002029AF">
        <w:t>Geelong’s new $33 million health hub opened its</w:t>
      </w:r>
      <w:r w:rsidR="007C4ED3">
        <w:t> </w:t>
      </w:r>
      <w:r w:rsidRPr="002029AF">
        <w:t>doors in February 2020. Geelong’s growing northern suburbs now have access to more high-quality health services with the opening of the new state-of-the-art Barwon Health North facility.</w:t>
      </w:r>
    </w:p>
    <w:p w14:paraId="281EF11E" w14:textId="77777777" w:rsidR="00603E4B" w:rsidRPr="002029AF" w:rsidRDefault="00603E4B" w:rsidP="00603E4B">
      <w:pPr>
        <w:pStyle w:val="ARbody"/>
      </w:pPr>
      <w:r w:rsidRPr="002029AF">
        <w:t>With this new facility, a wide range of health care services, such as urgent care, medical imaging facilities, child and family services, renal dialysis, pathology and specialty clinics, will be locally available.</w:t>
      </w:r>
    </w:p>
    <w:p w14:paraId="4614C5E5" w14:textId="77777777" w:rsidR="00603E4B" w:rsidRPr="002029AF" w:rsidRDefault="00603E4B" w:rsidP="00603E4B">
      <w:pPr>
        <w:pStyle w:val="ARbody"/>
      </w:pPr>
      <w:r w:rsidRPr="002029AF">
        <w:t>By ensuring people get the right care at the right time, the Barwon Health North facility will reduce the wasteful use of other important health care services and free up emergency departments for use in crisis situations.</w:t>
      </w:r>
    </w:p>
    <w:p w14:paraId="25F8AC4C" w14:textId="77777777" w:rsidR="00603E4B" w:rsidRPr="002029AF" w:rsidRDefault="00603E4B" w:rsidP="00603E4B">
      <w:pPr>
        <w:pStyle w:val="Heading6"/>
        <w:rPr>
          <w:lang w:val="en-AU"/>
        </w:rPr>
      </w:pPr>
      <w:r w:rsidRPr="002029AF">
        <w:rPr>
          <w:lang w:val="en-AU"/>
        </w:rPr>
        <w:t>Clinical and related waste guidance</w:t>
      </w:r>
    </w:p>
    <w:p w14:paraId="6DADC94F" w14:textId="0B425DA5" w:rsidR="000A264C" w:rsidRPr="002029AF" w:rsidRDefault="00603E4B" w:rsidP="000A264C">
      <w:pPr>
        <w:pStyle w:val="ARbody"/>
      </w:pPr>
      <w:r w:rsidRPr="002029AF">
        <w:t xml:space="preserve">The department released the </w:t>
      </w:r>
      <w:r w:rsidRPr="000A264C">
        <w:rPr>
          <w:i/>
          <w:iCs/>
        </w:rPr>
        <w:t>Clinical and Related Waste Guidance Supplement</w:t>
      </w:r>
      <w:r w:rsidRPr="002029AF">
        <w:t xml:space="preserve"> </w:t>
      </w:r>
      <w:r w:rsidR="000A264C" w:rsidRPr="002029AF">
        <w:t>for healthcare staff to</w:t>
      </w:r>
      <w:r w:rsidR="007C4ED3">
        <w:t> </w:t>
      </w:r>
      <w:r w:rsidR="000A264C" w:rsidRPr="002029AF">
        <w:t>provide Victorian hospitals and health services with a practical decision-making process in clinical settings for identifying which waste items are clinical waste, landfill waste or recyclable.</w:t>
      </w:r>
    </w:p>
    <w:p w14:paraId="3F10BCE2" w14:textId="08C7701D" w:rsidR="000A264C" w:rsidRPr="002029AF" w:rsidRDefault="000A264C" w:rsidP="000A264C">
      <w:pPr>
        <w:pStyle w:val="ARbody"/>
      </w:pPr>
      <w:r w:rsidRPr="002029AF">
        <w:t>The Victorian Health and Human Services Building</w:t>
      </w:r>
      <w:r w:rsidR="007C4ED3">
        <w:t> </w:t>
      </w:r>
      <w:r w:rsidRPr="002029AF">
        <w:t xml:space="preserve">Authority held seven ‘Waste in Healthcare’ </w:t>
      </w:r>
      <w:r>
        <w:t>w</w:t>
      </w:r>
      <w:r w:rsidRPr="002029AF">
        <w:t>orkshops in Ballarat, Bendigo, Melbourne, Sale, Wangaratta and Warrnambool, in partnership with</w:t>
      </w:r>
      <w:r w:rsidR="007C4ED3">
        <w:t> </w:t>
      </w:r>
      <w:r w:rsidRPr="002029AF">
        <w:t xml:space="preserve">Sustainability Victoria. The workshops were attended by 167 staff from 40 public health services, 15 private hospitals and Ambulance </w:t>
      </w:r>
      <w:r w:rsidRPr="002029AF">
        <w:lastRenderedPageBreak/>
        <w:t>Victoria. These workshops assisted participants to</w:t>
      </w:r>
      <w:r w:rsidR="007C4ED3">
        <w:t> </w:t>
      </w:r>
      <w:r w:rsidRPr="002029AF">
        <w:t>develop plans for improving waste stream separation and recycling in their hospitals.</w:t>
      </w:r>
    </w:p>
    <w:p w14:paraId="0CED5D2E" w14:textId="2F6A38F0" w:rsidR="00603E4B" w:rsidRPr="002029AF" w:rsidRDefault="000A264C" w:rsidP="000A264C">
      <w:pPr>
        <w:pStyle w:val="ARbody"/>
      </w:pPr>
      <w:r>
        <w:t xml:space="preserve">The </w:t>
      </w:r>
      <w:r w:rsidRPr="002029AF">
        <w:t>Victorian Health and Human Services Building Authority conducted research to identify barriers and opportunities to improve waste management and increase resource recovery in clinical settings. Three health services were involved in the research with a series of interventions identified and trialled</w:t>
      </w:r>
      <w:r w:rsidR="00190926">
        <w:t>.</w:t>
      </w:r>
    </w:p>
    <w:p w14:paraId="091C5DBE" w14:textId="2A3691CC" w:rsidR="00603E4B" w:rsidRPr="002029AF" w:rsidRDefault="00603E4B" w:rsidP="00603E4B">
      <w:pPr>
        <w:pStyle w:val="Heading4"/>
      </w:pPr>
      <w:r w:rsidRPr="002029AF">
        <w:t>Outcomes 5.4: Services are safe, high</w:t>
      </w:r>
      <w:r w:rsidR="007C4ED3">
        <w:t> </w:t>
      </w:r>
      <w:r w:rsidRPr="002029AF">
        <w:t>quality and provide a positive experience</w:t>
      </w:r>
    </w:p>
    <w:p w14:paraId="20450610" w14:textId="07DDBE0A" w:rsidR="00603E4B" w:rsidRPr="002029AF" w:rsidRDefault="00603E4B" w:rsidP="00603E4B">
      <w:pPr>
        <w:pStyle w:val="ARbody"/>
      </w:pPr>
      <w:r w:rsidRPr="002029AF">
        <w:t>Services provide positive experiences for Victorians and allow users to participate in the system in an empowered and engaged way. Services of this kind</w:t>
      </w:r>
      <w:r w:rsidR="007C4ED3">
        <w:t> </w:t>
      </w:r>
      <w:r w:rsidRPr="002029AF">
        <w:t>are characterised by the safe delivery of care, strong leadership and workplace cultures, a skilled workforce, broad-based risk management, and a culture of continuous improvement and evidence-informed practice.</w:t>
      </w:r>
    </w:p>
    <w:p w14:paraId="13064498" w14:textId="77777777" w:rsidR="00603E4B" w:rsidRPr="002029AF" w:rsidRDefault="00603E4B" w:rsidP="00603E4B">
      <w:pPr>
        <w:pStyle w:val="Heading5"/>
        <w:rPr>
          <w:szCs w:val="22"/>
        </w:rPr>
      </w:pPr>
      <w:r w:rsidRPr="002029AF">
        <w:rPr>
          <w:szCs w:val="22"/>
        </w:rPr>
        <w:t>Progress against outcomes</w:t>
      </w:r>
    </w:p>
    <w:p w14:paraId="72823835" w14:textId="31482088" w:rsidR="00603E4B" w:rsidRPr="002029AF" w:rsidRDefault="00603E4B" w:rsidP="00603E4B">
      <w:pPr>
        <w:pStyle w:val="ARbody"/>
      </w:pPr>
      <w:r w:rsidRPr="002029AF">
        <w:t>Some of our key achievements in 2019–20 are</w:t>
      </w:r>
      <w:r w:rsidR="007C4ED3">
        <w:t> </w:t>
      </w:r>
      <w:r w:rsidRPr="002029AF">
        <w:t>outlined below.</w:t>
      </w:r>
    </w:p>
    <w:p w14:paraId="08B343EA" w14:textId="77777777" w:rsidR="00603E4B" w:rsidRPr="002029AF" w:rsidRDefault="00603E4B" w:rsidP="00603E4B">
      <w:pPr>
        <w:pStyle w:val="Heading5"/>
        <w:rPr>
          <w:rFonts w:eastAsia="Calibri"/>
        </w:rPr>
      </w:pPr>
      <w:r w:rsidRPr="002029AF">
        <w:rPr>
          <w:rFonts w:eastAsia="Calibri"/>
        </w:rPr>
        <w:t>Key result 39: Improve patient- and client-reported experiences of care and treatment</w:t>
      </w:r>
    </w:p>
    <w:p w14:paraId="604128D2" w14:textId="77777777" w:rsidR="00603E4B" w:rsidRPr="002029AF" w:rsidRDefault="00603E4B" w:rsidP="00603E4B">
      <w:pPr>
        <w:pStyle w:val="Heading6"/>
        <w:rPr>
          <w:szCs w:val="20"/>
          <w:lang w:val="en-AU"/>
        </w:rPr>
      </w:pPr>
      <w:r w:rsidRPr="002029AF">
        <w:rPr>
          <w:szCs w:val="20"/>
          <w:lang w:val="en-AU"/>
        </w:rPr>
        <w:t>Patient experience during the pandemic</w:t>
      </w:r>
    </w:p>
    <w:p w14:paraId="3EC7DEB3" w14:textId="663F0AA9" w:rsidR="00603E4B" w:rsidRPr="002029AF" w:rsidRDefault="00603E4B" w:rsidP="00603E4B">
      <w:pPr>
        <w:pStyle w:val="ARbodynospace"/>
        <w:spacing w:after="120"/>
      </w:pPr>
      <w:r w:rsidRPr="002029AF">
        <w:t xml:space="preserve">The Victorian Agency for Health Information has developed a Victorian Health Experience Survey (VHES) </w:t>
      </w:r>
      <w:r w:rsidR="0098533C" w:rsidRPr="002029AF">
        <w:t>coronavirus (</w:t>
      </w:r>
      <w:r w:rsidRPr="002029AF">
        <w:t>COVID-19</w:t>
      </w:r>
      <w:r w:rsidR="0098533C" w:rsidRPr="002029AF">
        <w:t>)</w:t>
      </w:r>
      <w:r w:rsidRPr="002029AF">
        <w:t xml:space="preserve"> module, comprising two surveys which capture and report on patient experience during the pandemic.</w:t>
      </w:r>
    </w:p>
    <w:p w14:paraId="14B74DC6" w14:textId="34FB1F45" w:rsidR="00603E4B" w:rsidRPr="002029AF" w:rsidRDefault="00603E4B" w:rsidP="00603E4B">
      <w:pPr>
        <w:pStyle w:val="ARbodynospace"/>
        <w:spacing w:after="120"/>
        <w:rPr>
          <w:szCs w:val="20"/>
        </w:rPr>
      </w:pPr>
      <w:r w:rsidRPr="002029AF">
        <w:rPr>
          <w:szCs w:val="20"/>
        </w:rPr>
        <w:t>The first survey focuses on changes to patient experience during the pandemic and has</w:t>
      </w:r>
      <w:r w:rsidR="007C4ED3">
        <w:rPr>
          <w:szCs w:val="20"/>
        </w:rPr>
        <w:t> </w:t>
      </w:r>
      <w:r w:rsidRPr="002029AF">
        <w:rPr>
          <w:szCs w:val="20"/>
        </w:rPr>
        <w:t>been designed to capture areas of feedback previously flagged for improvement by consumers.</w:t>
      </w:r>
    </w:p>
    <w:p w14:paraId="572F691D" w14:textId="6AB47411" w:rsidR="00603E4B" w:rsidRPr="002029AF" w:rsidRDefault="00603E4B" w:rsidP="00603E4B">
      <w:pPr>
        <w:pStyle w:val="ARbodynospace"/>
        <w:spacing w:after="120"/>
        <w:rPr>
          <w:szCs w:val="20"/>
        </w:rPr>
      </w:pPr>
      <w:r w:rsidRPr="002029AF">
        <w:rPr>
          <w:szCs w:val="20"/>
        </w:rPr>
        <w:t>It includes questions on delays to care, visiting arrangements and use of personal protective equipment by health service staff, as well as questions on the provision of support for anxiety and or concerns over coronavirus (COVID-19). This survey collected information on patient experiences in an adult inpatient, adult emergency department and maternity setting between April and June 2020. This survey will be extended into the 2020</w:t>
      </w:r>
      <w:r w:rsidR="000F13EA" w:rsidRPr="002029AF">
        <w:rPr>
          <w:szCs w:val="20"/>
        </w:rPr>
        <w:t>–</w:t>
      </w:r>
      <w:r w:rsidRPr="002029AF">
        <w:rPr>
          <w:szCs w:val="20"/>
        </w:rPr>
        <w:t>21 financial year.</w:t>
      </w:r>
    </w:p>
    <w:p w14:paraId="50E0629D" w14:textId="21794FF0" w:rsidR="00603E4B" w:rsidRPr="002029AF" w:rsidRDefault="00AD78D6" w:rsidP="00603E4B">
      <w:pPr>
        <w:pStyle w:val="ARbodynospace"/>
        <w:spacing w:after="120"/>
      </w:pPr>
      <w:r>
        <w:br w:type="column"/>
      </w:r>
      <w:r w:rsidR="00603E4B" w:rsidRPr="002029AF">
        <w:t>The second survey focuses on the use of telehealth during the pandemic and includes outpatients who had a telehealth consultation between April and June 2020. Further work is underway to examine how the questions from this survey will be incorporated in the ongoing VHES program</w:t>
      </w:r>
      <w:r w:rsidR="00190926">
        <w:t>,</w:t>
      </w:r>
      <w:r w:rsidR="00603E4B" w:rsidRPr="002029AF">
        <w:t xml:space="preserve"> which</w:t>
      </w:r>
      <w:r w:rsidR="007C4ED3">
        <w:t> </w:t>
      </w:r>
      <w:r w:rsidR="00603E4B" w:rsidRPr="002029AF">
        <w:t>is currently being redesigned.</w:t>
      </w:r>
    </w:p>
    <w:p w14:paraId="4B33FC26" w14:textId="77777777" w:rsidR="00603E4B" w:rsidRPr="002029AF" w:rsidRDefault="00603E4B" w:rsidP="00603E4B">
      <w:pPr>
        <w:pStyle w:val="ARbodynospace"/>
        <w:spacing w:after="120"/>
      </w:pPr>
      <w:r w:rsidRPr="002029AF">
        <w:t>For the first time survey results will be available in near real-time with interim data refreshed weekly on the VHES survey portal for Victorian public health services.</w:t>
      </w:r>
    </w:p>
    <w:p w14:paraId="245D12DA" w14:textId="77777777" w:rsidR="00603E4B" w:rsidRPr="002029AF" w:rsidRDefault="00603E4B" w:rsidP="00603E4B">
      <w:pPr>
        <w:pStyle w:val="Heading6"/>
        <w:rPr>
          <w:szCs w:val="20"/>
          <w:lang w:val="en-AU"/>
        </w:rPr>
      </w:pPr>
      <w:r w:rsidRPr="002029AF">
        <w:rPr>
          <w:szCs w:val="20"/>
          <w:lang w:val="en-AU"/>
        </w:rPr>
        <w:t>Client voice in community services</w:t>
      </w:r>
    </w:p>
    <w:p w14:paraId="21A8EEE4" w14:textId="77777777" w:rsidR="00603E4B" w:rsidRPr="002029AF" w:rsidRDefault="00603E4B" w:rsidP="00603E4B">
      <w:pPr>
        <w:pStyle w:val="ARbody"/>
        <w:rPr>
          <w:szCs w:val="20"/>
        </w:rPr>
      </w:pPr>
      <w:r w:rsidRPr="002029AF">
        <w:rPr>
          <w:szCs w:val="20"/>
        </w:rPr>
        <w:t xml:space="preserve">The </w:t>
      </w:r>
      <w:r w:rsidRPr="000A264C">
        <w:rPr>
          <w:i/>
          <w:iCs/>
          <w:szCs w:val="20"/>
        </w:rPr>
        <w:t>Client voice framework for community services</w:t>
      </w:r>
      <w:r w:rsidRPr="002029AF">
        <w:rPr>
          <w:szCs w:val="20"/>
        </w:rPr>
        <w:t>, launched in November 2019, seeks to elevate the client voice in community services delivery, design and review as well as in system-level policy and planning. The framework emphasises the critical link between quality governance, client voice and outcomes. It is intended to provide overarching principles and guidance for all Victorian community service organisations to actively seek, hear and respond to the client voice.</w:t>
      </w:r>
    </w:p>
    <w:p w14:paraId="68E1756C" w14:textId="524FF1C7" w:rsidR="00603E4B" w:rsidRPr="002029AF" w:rsidRDefault="00603E4B" w:rsidP="00603E4B">
      <w:pPr>
        <w:pStyle w:val="ARbody"/>
        <w:rPr>
          <w:szCs w:val="20"/>
        </w:rPr>
      </w:pPr>
      <w:r w:rsidRPr="002029AF">
        <w:rPr>
          <w:szCs w:val="20"/>
        </w:rPr>
        <w:t xml:space="preserve">The </w:t>
      </w:r>
      <w:r w:rsidRPr="000A264C">
        <w:rPr>
          <w:i/>
          <w:iCs/>
          <w:szCs w:val="20"/>
        </w:rPr>
        <w:t xml:space="preserve">Client voice framework </w:t>
      </w:r>
      <w:r w:rsidRPr="002029AF">
        <w:rPr>
          <w:szCs w:val="20"/>
        </w:rPr>
        <w:t>provides the overarching framework for the Child and Youth Participation Model and associated resources developed through the Voice of the Child project</w:t>
      </w:r>
      <w:r w:rsidR="00BD082D">
        <w:rPr>
          <w:szCs w:val="20"/>
        </w:rPr>
        <w:t>,</w:t>
      </w:r>
      <w:r w:rsidRPr="002029AF">
        <w:rPr>
          <w:szCs w:val="20"/>
        </w:rPr>
        <w:t xml:space="preserve"> which aims to promote the voice of children and young people in the design of policy and services that affect them.</w:t>
      </w:r>
    </w:p>
    <w:p w14:paraId="3E043E96" w14:textId="77777777" w:rsidR="000A264C" w:rsidRPr="002029AF" w:rsidRDefault="000A264C" w:rsidP="000A264C">
      <w:pPr>
        <w:pStyle w:val="ARbody"/>
        <w:rPr>
          <w:szCs w:val="20"/>
        </w:rPr>
      </w:pPr>
      <w:r w:rsidRPr="002029AF">
        <w:rPr>
          <w:szCs w:val="20"/>
        </w:rPr>
        <w:t>The Community Services Quality and Safety Office is committed to exploring client voice technologies to capture the views and experience of clients</w:t>
      </w:r>
      <w:r>
        <w:rPr>
          <w:szCs w:val="20"/>
        </w:rPr>
        <w:t>,</w:t>
      </w:r>
      <w:r w:rsidRPr="002029AF">
        <w:rPr>
          <w:szCs w:val="20"/>
        </w:rPr>
        <w:t xml:space="preserve"> including children in care</w:t>
      </w:r>
      <w:r>
        <w:rPr>
          <w:szCs w:val="20"/>
        </w:rPr>
        <w:t>,</w:t>
      </w:r>
      <w:r w:rsidRPr="002029AF">
        <w:rPr>
          <w:szCs w:val="20"/>
        </w:rPr>
        <w:t xml:space="preserve"> as well as developing client experience measures which will strengthen information already available through client complaint and feedback data.</w:t>
      </w:r>
    </w:p>
    <w:p w14:paraId="0B73CDDE" w14:textId="1D6D8158" w:rsidR="00603E4B" w:rsidRPr="002029AF" w:rsidRDefault="00603E4B" w:rsidP="00603E4B">
      <w:pPr>
        <w:pStyle w:val="Heading5"/>
        <w:rPr>
          <w:rFonts w:eastAsia="Calibri"/>
        </w:rPr>
      </w:pPr>
      <w:r w:rsidRPr="002029AF">
        <w:rPr>
          <w:rFonts w:eastAsia="Calibri"/>
        </w:rPr>
        <w:t>Key result 40: Reduce restrictive practices</w:t>
      </w:r>
      <w:r w:rsidR="007C4ED3">
        <w:rPr>
          <w:rFonts w:eastAsia="Calibri"/>
        </w:rPr>
        <w:t> </w:t>
      </w:r>
      <w:r w:rsidRPr="002029AF">
        <w:rPr>
          <w:rFonts w:eastAsia="Calibri"/>
        </w:rPr>
        <w:t>in formal care settings</w:t>
      </w:r>
    </w:p>
    <w:p w14:paraId="74AD6821" w14:textId="77777777" w:rsidR="00603E4B" w:rsidRPr="002029AF" w:rsidRDefault="00603E4B" w:rsidP="00603E4B">
      <w:pPr>
        <w:pStyle w:val="Heading6"/>
        <w:rPr>
          <w:szCs w:val="20"/>
          <w:lang w:val="en-AU"/>
        </w:rPr>
      </w:pPr>
      <w:r w:rsidRPr="002029AF">
        <w:rPr>
          <w:szCs w:val="20"/>
          <w:lang w:val="en-AU"/>
        </w:rPr>
        <w:t>Safewards Victoria</w:t>
      </w:r>
    </w:p>
    <w:p w14:paraId="7267588E" w14:textId="18F6F59C" w:rsidR="000A264C" w:rsidRPr="002029AF" w:rsidRDefault="000A264C" w:rsidP="000A264C">
      <w:pPr>
        <w:pStyle w:val="ARbody"/>
        <w:rPr>
          <w:rFonts w:eastAsia="Times New Roman"/>
        </w:rPr>
      </w:pPr>
      <w:r w:rsidRPr="002029AF">
        <w:rPr>
          <w:rFonts w:eastAsia="Times New Roman"/>
        </w:rPr>
        <w:t>Safewards is a clinical model developed in the United Kingdom that seeks to reduce conflict and</w:t>
      </w:r>
      <w:r w:rsidR="007C4ED3">
        <w:rPr>
          <w:rFonts w:eastAsia="Times New Roman"/>
        </w:rPr>
        <w:t> </w:t>
      </w:r>
      <w:r w:rsidRPr="002029AF">
        <w:rPr>
          <w:rFonts w:eastAsia="Times New Roman"/>
        </w:rPr>
        <w:t>the use of seclusion and other restrictive interventions in acute inpatient psychiatric wards. In</w:t>
      </w:r>
      <w:r w:rsidR="007C4ED3">
        <w:rPr>
          <w:rFonts w:eastAsia="Times New Roman"/>
        </w:rPr>
        <w:t> </w:t>
      </w:r>
      <w:r w:rsidRPr="002029AF">
        <w:rPr>
          <w:rFonts w:eastAsia="Times New Roman"/>
        </w:rPr>
        <w:t>Victoria, it has been used successfully in mental health inpatient units and is now being trialled in emergency departments to see if it is effective in improving carer experiences and safety and in reducing restrictive practices in emergency department settings.</w:t>
      </w:r>
    </w:p>
    <w:p w14:paraId="01BD3441" w14:textId="0BD00EC1" w:rsidR="000A264C" w:rsidRPr="002029AF" w:rsidRDefault="000A264C" w:rsidP="00AD78D6">
      <w:pPr>
        <w:pStyle w:val="ARbody"/>
        <w:spacing w:after="100"/>
        <w:rPr>
          <w:rFonts w:eastAsia="Times New Roman"/>
        </w:rPr>
      </w:pPr>
      <w:r w:rsidRPr="002029AF">
        <w:rPr>
          <w:rFonts w:eastAsia="Times New Roman"/>
        </w:rPr>
        <w:lastRenderedPageBreak/>
        <w:t>Emergency departments at two health services, Peninsula Health (Frankston and Rosebud Hospitals) and Bendigo Health, are participating in</w:t>
      </w:r>
      <w:r w:rsidR="007C4ED3">
        <w:rPr>
          <w:rFonts w:eastAsia="Times New Roman"/>
        </w:rPr>
        <w:t> </w:t>
      </w:r>
      <w:r w:rsidRPr="002029AF">
        <w:rPr>
          <w:rFonts w:eastAsia="Times New Roman"/>
        </w:rPr>
        <w:t>the trial.</w:t>
      </w:r>
    </w:p>
    <w:p w14:paraId="528A4E0C" w14:textId="77777777" w:rsidR="000A264C" w:rsidRPr="002029AF" w:rsidRDefault="000A264C" w:rsidP="00AD78D6">
      <w:pPr>
        <w:pStyle w:val="ARbody"/>
        <w:spacing w:after="100"/>
        <w:rPr>
          <w:rFonts w:eastAsia="Times New Roman"/>
        </w:rPr>
      </w:pPr>
      <w:r w:rsidRPr="002029AF">
        <w:rPr>
          <w:rFonts w:eastAsia="Times New Roman"/>
        </w:rPr>
        <w:t>The Safewards model has also been trialled successfully on a medical ward at Peninsula Health, improving patient and staff safety and reducing restrictive practice.</w:t>
      </w:r>
    </w:p>
    <w:p w14:paraId="1EE0F130" w14:textId="7936F767" w:rsidR="000A264C" w:rsidRPr="002029AF" w:rsidRDefault="000A264C" w:rsidP="00AD78D6">
      <w:pPr>
        <w:pStyle w:val="ARbody"/>
        <w:spacing w:after="100"/>
        <w:rPr>
          <w:rFonts w:eastAsia="Times New Roman"/>
        </w:rPr>
      </w:pPr>
      <w:r w:rsidRPr="002029AF">
        <w:rPr>
          <w:rFonts w:eastAsia="Times New Roman"/>
        </w:rPr>
        <w:t>Train the Trainer training for the emergency departments participating in the trial was completed</w:t>
      </w:r>
      <w:r w:rsidR="007C4ED3">
        <w:rPr>
          <w:rFonts w:eastAsia="Times New Roman"/>
        </w:rPr>
        <w:t> </w:t>
      </w:r>
      <w:r w:rsidRPr="002029AF">
        <w:rPr>
          <w:rFonts w:eastAsia="Times New Roman"/>
        </w:rPr>
        <w:t>in 2019.</w:t>
      </w:r>
    </w:p>
    <w:p w14:paraId="36918C37" w14:textId="77777777" w:rsidR="000A264C" w:rsidRPr="002029AF" w:rsidRDefault="000A264C" w:rsidP="00AD78D6">
      <w:pPr>
        <w:pStyle w:val="ARbody"/>
        <w:spacing w:after="100"/>
        <w:rPr>
          <w:rFonts w:eastAsia="Times New Roman"/>
        </w:rPr>
      </w:pPr>
      <w:r w:rsidRPr="002029AF">
        <w:rPr>
          <w:rFonts w:eastAsia="Times New Roman"/>
        </w:rPr>
        <w:t>The model and interventions are currently being implemented at the trial sites.</w:t>
      </w:r>
    </w:p>
    <w:p w14:paraId="08BCE24A" w14:textId="37AC598B" w:rsidR="000A264C" w:rsidRPr="002029AF" w:rsidRDefault="000A264C" w:rsidP="000A264C">
      <w:pPr>
        <w:pStyle w:val="ARbody"/>
        <w:rPr>
          <w:rFonts w:eastAsia="Times New Roman"/>
        </w:rPr>
      </w:pPr>
      <w:r w:rsidRPr="002029AF">
        <w:rPr>
          <w:rFonts w:eastAsia="Times New Roman"/>
        </w:rPr>
        <w:t>The Safewards trial in emergency departments is</w:t>
      </w:r>
      <w:r w:rsidR="007C4ED3">
        <w:rPr>
          <w:rFonts w:eastAsia="Times New Roman"/>
        </w:rPr>
        <w:t> </w:t>
      </w:r>
      <w:r w:rsidRPr="002029AF">
        <w:rPr>
          <w:rFonts w:eastAsia="Times New Roman"/>
        </w:rPr>
        <w:t>expected to end in December 2020.</w:t>
      </w:r>
    </w:p>
    <w:p w14:paraId="0386CC13" w14:textId="77777777" w:rsidR="00603E4B" w:rsidRPr="002029AF" w:rsidRDefault="00603E4B" w:rsidP="00603E4B">
      <w:pPr>
        <w:pStyle w:val="Heading6"/>
        <w:rPr>
          <w:szCs w:val="20"/>
          <w:lang w:val="en-AU"/>
        </w:rPr>
      </w:pPr>
      <w:r w:rsidRPr="002029AF">
        <w:rPr>
          <w:szCs w:val="20"/>
          <w:lang w:val="en-AU"/>
        </w:rPr>
        <w:t>Restraint in publicly funded aged care</w:t>
      </w:r>
    </w:p>
    <w:p w14:paraId="654FB21E" w14:textId="77777777" w:rsidR="00603E4B" w:rsidRPr="002029AF" w:rsidRDefault="00603E4B" w:rsidP="00603E4B">
      <w:pPr>
        <w:pStyle w:val="ARbody"/>
      </w:pPr>
      <w:r w:rsidRPr="002029AF">
        <w:t>Victoria is prioritising the reduction of physical restraint in public sector residential aged care services (PSRACS). The PSRACS Quality Indicator Program identified physical restraint as a priority area for action and, over several years, physical restraint in PSRACS has reduced by around 91 per cent. It is now rare in these services, despite the increasing complexity of need in public aged care.</w:t>
      </w:r>
    </w:p>
    <w:p w14:paraId="1057DDCD" w14:textId="04656CB0" w:rsidR="00603E4B" w:rsidRPr="002029AF" w:rsidRDefault="00603E4B" w:rsidP="00603E4B">
      <w:pPr>
        <w:pStyle w:val="Heading5"/>
        <w:rPr>
          <w:rFonts w:eastAsia="Calibri"/>
          <w:bCs/>
        </w:rPr>
      </w:pPr>
      <w:r w:rsidRPr="002029AF">
        <w:rPr>
          <w:rFonts w:eastAsia="Calibri"/>
          <w:bCs/>
        </w:rPr>
        <w:t>Key result 41: Increase the transparency of</w:t>
      </w:r>
      <w:r w:rsidR="007C4ED3">
        <w:rPr>
          <w:rFonts w:eastAsia="Calibri"/>
          <w:bCs/>
        </w:rPr>
        <w:t> </w:t>
      </w:r>
      <w:r w:rsidRPr="002029AF">
        <w:rPr>
          <w:rFonts w:eastAsia="Calibri"/>
          <w:bCs/>
        </w:rPr>
        <w:t>service safety and quality</w:t>
      </w:r>
    </w:p>
    <w:p w14:paraId="15E4BC72" w14:textId="679C6C8B" w:rsidR="00603E4B" w:rsidRPr="002029AF" w:rsidRDefault="00603E4B" w:rsidP="00AD78D6">
      <w:pPr>
        <w:pStyle w:val="Heading6"/>
        <w:spacing w:before="160"/>
        <w:rPr>
          <w:szCs w:val="20"/>
          <w:lang w:val="en-AU"/>
        </w:rPr>
      </w:pPr>
      <w:r w:rsidRPr="002029AF">
        <w:rPr>
          <w:szCs w:val="20"/>
          <w:lang w:val="en-AU"/>
        </w:rPr>
        <w:t>Medication management in publicly funded aged care</w:t>
      </w:r>
      <w:r w:rsidR="00BD082D">
        <w:rPr>
          <w:szCs w:val="20"/>
          <w:lang w:val="en-AU"/>
        </w:rPr>
        <w:t xml:space="preserve"> –</w:t>
      </w:r>
      <w:r w:rsidRPr="002029AF">
        <w:rPr>
          <w:szCs w:val="20"/>
          <w:lang w:val="en-AU"/>
        </w:rPr>
        <w:t xml:space="preserve"> Monash University study</w:t>
      </w:r>
    </w:p>
    <w:p w14:paraId="031E1305" w14:textId="77777777" w:rsidR="00603E4B" w:rsidRPr="002029AF" w:rsidRDefault="00603E4B" w:rsidP="00603E4B">
      <w:pPr>
        <w:pStyle w:val="ARbody"/>
      </w:pPr>
      <w:r w:rsidRPr="002029AF">
        <w:t>To support safe and appropriate use of all medicines in PSRACS, Victoria sought support from experts at the Centre for Medicine Use and Safety at Monash University.</w:t>
      </w:r>
    </w:p>
    <w:p w14:paraId="33CC63BC" w14:textId="77777777" w:rsidR="00603E4B" w:rsidRPr="002029AF" w:rsidRDefault="00603E4B" w:rsidP="00603E4B">
      <w:pPr>
        <w:pStyle w:val="ARbody"/>
      </w:pPr>
      <w:r w:rsidRPr="002029AF">
        <w:t>The researchers worked with the sector and experts to suggest a range of strategies that could support services and prescribers in improving their practice. The finalised outcomes of the work included:</w:t>
      </w:r>
    </w:p>
    <w:p w14:paraId="431AF0A0" w14:textId="77777777" w:rsidR="00603E4B" w:rsidRPr="002029AF" w:rsidRDefault="00603E4B" w:rsidP="00FF3CAB">
      <w:pPr>
        <w:pStyle w:val="ARbullet1"/>
        <w:numPr>
          <w:ilvl w:val="0"/>
          <w:numId w:val="51"/>
        </w:numPr>
      </w:pPr>
      <w:r w:rsidRPr="002029AF">
        <w:t>education resources and videos on the value of de-prescribing (rationalising the medicines being used by an older person)</w:t>
      </w:r>
    </w:p>
    <w:p w14:paraId="7B8E05FC" w14:textId="77777777" w:rsidR="00603E4B" w:rsidRPr="002029AF" w:rsidRDefault="00603E4B" w:rsidP="00FF3CAB">
      <w:pPr>
        <w:pStyle w:val="ARbullet1"/>
        <w:numPr>
          <w:ilvl w:val="0"/>
          <w:numId w:val="51"/>
        </w:numPr>
      </w:pPr>
      <w:r w:rsidRPr="002029AF">
        <w:t>a targeted data collection to support services in understanding their medicine use and how this may differ from other services</w:t>
      </w:r>
    </w:p>
    <w:p w14:paraId="128888EA" w14:textId="77777777" w:rsidR="00603E4B" w:rsidRPr="002029AF" w:rsidRDefault="00603E4B" w:rsidP="00FF3CAB">
      <w:pPr>
        <w:pStyle w:val="ARbullet1"/>
        <w:numPr>
          <w:ilvl w:val="0"/>
          <w:numId w:val="51"/>
        </w:numPr>
      </w:pPr>
      <w:r w:rsidRPr="002029AF">
        <w:t>de-prescribing prescriptions to support health professionals, GPs and consumers in instigating a discussion about medicines</w:t>
      </w:r>
    </w:p>
    <w:p w14:paraId="1AF92FEF" w14:textId="77777777" w:rsidR="00603E4B" w:rsidRPr="002029AF" w:rsidRDefault="00603E4B" w:rsidP="00FF3CAB">
      <w:pPr>
        <w:pStyle w:val="ARbullet1"/>
        <w:numPr>
          <w:ilvl w:val="0"/>
          <w:numId w:val="51"/>
        </w:numPr>
      </w:pPr>
      <w:r w:rsidRPr="002029AF">
        <w:t>feedback on best-practice governance arrangements for medicines.</w:t>
      </w:r>
    </w:p>
    <w:p w14:paraId="64B09CC5" w14:textId="123C28F8" w:rsidR="00603E4B" w:rsidRPr="002029AF" w:rsidRDefault="00603E4B" w:rsidP="00603E4B">
      <w:pPr>
        <w:pStyle w:val="Heading6"/>
        <w:rPr>
          <w:lang w:val="en-AU"/>
        </w:rPr>
      </w:pPr>
      <w:r w:rsidRPr="002029AF">
        <w:rPr>
          <w:lang w:val="en-AU"/>
        </w:rPr>
        <w:t>Medication management in publicly funded aged care</w:t>
      </w:r>
      <w:r w:rsidR="000A264C">
        <w:rPr>
          <w:lang w:val="en-AU"/>
        </w:rPr>
        <w:t xml:space="preserve"> – ongoing support</w:t>
      </w:r>
    </w:p>
    <w:p w14:paraId="667B0D34" w14:textId="5DB5F47E" w:rsidR="00603E4B" w:rsidRPr="002029AF" w:rsidRDefault="00603E4B" w:rsidP="00603E4B">
      <w:pPr>
        <w:pStyle w:val="ARbody"/>
      </w:pPr>
      <w:r w:rsidRPr="002029AF">
        <w:t>In addition to the research program with Monash University and the PSRACS Quality Indicator Program, the department has also sought to</w:t>
      </w:r>
      <w:r w:rsidR="00151355">
        <w:t> </w:t>
      </w:r>
      <w:r w:rsidRPr="002029AF">
        <w:t>improve medication management and administration in publicly funded aged care by</w:t>
      </w:r>
      <w:r w:rsidR="00151355">
        <w:t> </w:t>
      </w:r>
      <w:r w:rsidRPr="002029AF">
        <w:t>investing in:</w:t>
      </w:r>
    </w:p>
    <w:p w14:paraId="19B6635A" w14:textId="77777777" w:rsidR="00603E4B" w:rsidRPr="002029AF" w:rsidRDefault="00603E4B" w:rsidP="00FF3CAB">
      <w:pPr>
        <w:pStyle w:val="ARbullet1"/>
        <w:numPr>
          <w:ilvl w:val="0"/>
          <w:numId w:val="51"/>
        </w:numPr>
      </w:pPr>
      <w:r w:rsidRPr="002029AF">
        <w:t>reporting and investigation of catastrophic medicine errors</w:t>
      </w:r>
    </w:p>
    <w:p w14:paraId="050E36E9" w14:textId="20179F97" w:rsidR="00603E4B" w:rsidRPr="002029AF" w:rsidRDefault="00603E4B" w:rsidP="00FF3CAB">
      <w:pPr>
        <w:pStyle w:val="ARbullet1"/>
        <w:numPr>
          <w:ilvl w:val="0"/>
          <w:numId w:val="51"/>
        </w:numPr>
      </w:pPr>
      <w:r w:rsidRPr="002029AF">
        <w:t>comprehensive training in health assessment of</w:t>
      </w:r>
      <w:r w:rsidR="00151355">
        <w:t> </w:t>
      </w:r>
      <w:r w:rsidRPr="002029AF">
        <w:t>the older person, which teaches the importance of medicine reconciliation</w:t>
      </w:r>
    </w:p>
    <w:p w14:paraId="0D5D3980" w14:textId="77777777" w:rsidR="00603E4B" w:rsidRPr="002029AF" w:rsidRDefault="00603E4B" w:rsidP="00FF3CAB">
      <w:pPr>
        <w:pStyle w:val="ARbullet1"/>
        <w:numPr>
          <w:ilvl w:val="0"/>
          <w:numId w:val="51"/>
        </w:numPr>
      </w:pPr>
      <w:r w:rsidRPr="002029AF">
        <w:t>a standardised care process on polypharmacy, which guides clinicians on up-to-date evidence on reducing unnecessary medicine use</w:t>
      </w:r>
    </w:p>
    <w:p w14:paraId="4C73A776" w14:textId="7A8C5B95" w:rsidR="00603E4B" w:rsidRPr="002029AF" w:rsidRDefault="00603E4B" w:rsidP="00FF3CAB">
      <w:pPr>
        <w:pStyle w:val="ARbullet1"/>
        <w:numPr>
          <w:ilvl w:val="0"/>
          <w:numId w:val="51"/>
        </w:numPr>
      </w:pPr>
      <w:r w:rsidRPr="002029AF">
        <w:t xml:space="preserve">a resident information sheet on medicines, to support residents and their families in a better </w:t>
      </w:r>
      <w:r w:rsidRPr="002029AF">
        <w:rPr>
          <w:rFonts w:eastAsia="Times New Roman"/>
        </w:rPr>
        <w:t>understanding of the principles of quality use of</w:t>
      </w:r>
      <w:r w:rsidR="00151355">
        <w:rPr>
          <w:rFonts w:eastAsia="Times New Roman"/>
        </w:rPr>
        <w:t> </w:t>
      </w:r>
      <w:r w:rsidRPr="002029AF">
        <w:rPr>
          <w:rFonts w:eastAsia="Times New Roman"/>
        </w:rPr>
        <w:t>medicines.</w:t>
      </w:r>
    </w:p>
    <w:p w14:paraId="0BEC2A0B" w14:textId="3DB17E6E" w:rsidR="00603E4B" w:rsidRPr="002029AF" w:rsidRDefault="00603E4B" w:rsidP="00603E4B">
      <w:pPr>
        <w:pStyle w:val="Heading6"/>
        <w:rPr>
          <w:szCs w:val="20"/>
          <w:lang w:val="en-AU"/>
        </w:rPr>
      </w:pPr>
      <w:r w:rsidRPr="002029AF">
        <w:rPr>
          <w:szCs w:val="20"/>
          <w:lang w:val="en-AU"/>
        </w:rPr>
        <w:t>Medication management in aged care – a</w:t>
      </w:r>
      <w:r w:rsidR="00151355">
        <w:rPr>
          <w:szCs w:val="20"/>
          <w:lang w:val="en-AU"/>
        </w:rPr>
        <w:t> </w:t>
      </w:r>
      <w:r w:rsidRPr="002029AF">
        <w:rPr>
          <w:szCs w:val="20"/>
          <w:lang w:val="en-AU"/>
        </w:rPr>
        <w:t>new</w:t>
      </w:r>
      <w:r w:rsidR="00151355">
        <w:rPr>
          <w:szCs w:val="20"/>
          <w:lang w:val="en-AU"/>
        </w:rPr>
        <w:t> </w:t>
      </w:r>
      <w:r w:rsidRPr="002029AF">
        <w:rPr>
          <w:szCs w:val="20"/>
          <w:lang w:val="en-AU"/>
        </w:rPr>
        <w:t>approach</w:t>
      </w:r>
    </w:p>
    <w:p w14:paraId="7E15A91B" w14:textId="77777777" w:rsidR="00603E4B" w:rsidRPr="002029AF" w:rsidRDefault="00603E4B" w:rsidP="00603E4B">
      <w:pPr>
        <w:pStyle w:val="ARbody"/>
      </w:pPr>
      <w:r w:rsidRPr="002029AF">
        <w:t>In its submission to the Commonwealth Government’s Royal Commission into Aged Care Quality and Safety, the Victorian Government noted that medication management for older people could be improved through re-imagining opportunities for a multidisciplinary approach to medicine use and safety.</w:t>
      </w:r>
    </w:p>
    <w:p w14:paraId="20056B18" w14:textId="77777777" w:rsidR="00603E4B" w:rsidRPr="002029AF" w:rsidRDefault="00603E4B" w:rsidP="00603E4B">
      <w:pPr>
        <w:pStyle w:val="ARbody"/>
      </w:pPr>
      <w:r w:rsidRPr="002029AF">
        <w:t>This approach would bring together consumers, primary care clinicians and providers to develop a model for improved medicine use, with a focus on:</w:t>
      </w:r>
    </w:p>
    <w:p w14:paraId="0AEA3BFB" w14:textId="77777777" w:rsidR="00603E4B" w:rsidRPr="002029AF" w:rsidRDefault="00603E4B" w:rsidP="00FF3CAB">
      <w:pPr>
        <w:pStyle w:val="ARbullet1"/>
        <w:numPr>
          <w:ilvl w:val="0"/>
          <w:numId w:val="51"/>
        </w:numPr>
      </w:pPr>
      <w:r w:rsidRPr="002029AF">
        <w:t>improved partnering with consumers and better consumer health literacy</w:t>
      </w:r>
    </w:p>
    <w:p w14:paraId="570BD1DE" w14:textId="492FD789" w:rsidR="00603E4B" w:rsidRPr="002029AF" w:rsidRDefault="00603E4B" w:rsidP="00FF3CAB">
      <w:pPr>
        <w:pStyle w:val="ARbullet1"/>
        <w:numPr>
          <w:ilvl w:val="0"/>
          <w:numId w:val="51"/>
        </w:numPr>
      </w:pPr>
      <w:r w:rsidRPr="002029AF">
        <w:t>better use of pharmacists and nurse practitioners in oversight of quality use of</w:t>
      </w:r>
      <w:r w:rsidR="00151355">
        <w:t> </w:t>
      </w:r>
      <w:r w:rsidRPr="002029AF">
        <w:t>medicines</w:t>
      </w:r>
    </w:p>
    <w:p w14:paraId="7B7F08A3" w14:textId="77777777" w:rsidR="00603E4B" w:rsidRPr="002029AF" w:rsidRDefault="00603E4B" w:rsidP="00FF3CAB">
      <w:pPr>
        <w:pStyle w:val="ARbullet1"/>
        <w:numPr>
          <w:ilvl w:val="0"/>
          <w:numId w:val="51"/>
        </w:numPr>
      </w:pPr>
      <w:r w:rsidRPr="002029AF">
        <w:t>enhancing GP-pharmacy relationships</w:t>
      </w:r>
    </w:p>
    <w:p w14:paraId="537B50FF" w14:textId="77777777" w:rsidR="00603E4B" w:rsidRPr="002029AF" w:rsidRDefault="00603E4B" w:rsidP="00FF3CAB">
      <w:pPr>
        <w:pStyle w:val="ARbullet1"/>
        <w:numPr>
          <w:ilvl w:val="0"/>
          <w:numId w:val="51"/>
        </w:numPr>
      </w:pPr>
      <w:r w:rsidRPr="002029AF">
        <w:t>investing in the development of datasets so GPs can get feedback on their prescribing patterns.</w:t>
      </w:r>
    </w:p>
    <w:p w14:paraId="3CDF232C" w14:textId="1D4B4EF5" w:rsidR="00603E4B" w:rsidRPr="002029AF" w:rsidRDefault="00603E4B" w:rsidP="00603E4B">
      <w:pPr>
        <w:pStyle w:val="ARbodyafterbullets"/>
      </w:pPr>
      <w:r w:rsidRPr="002029AF">
        <w:t>The Victorian Government is currently reviewing</w:t>
      </w:r>
      <w:r w:rsidR="00151355">
        <w:t> </w:t>
      </w:r>
      <w:r w:rsidRPr="002029AF">
        <w:t xml:space="preserve">the minimum quality and safety standards in the Victorian aged care sector, including the administration and management of medications as specified in </w:t>
      </w:r>
      <w:r w:rsidRPr="002029AF">
        <w:rPr>
          <w:i/>
          <w:iCs/>
        </w:rPr>
        <w:t>Drugs, Poisons and Controlled Substances Act 1981</w:t>
      </w:r>
      <w:r w:rsidRPr="002029AF">
        <w:t xml:space="preserve"> and the Drugs, Poisons and Controlled Substances Regulations 2017. This review is on top of support provided to improve medicine use in PSRACS.</w:t>
      </w:r>
    </w:p>
    <w:p w14:paraId="57553556" w14:textId="1DB2D2C7" w:rsidR="00603E4B" w:rsidRPr="002029AF" w:rsidRDefault="00603E4B" w:rsidP="00603E4B">
      <w:pPr>
        <w:pStyle w:val="Heading6"/>
        <w:rPr>
          <w:lang w:val="en-AU"/>
        </w:rPr>
      </w:pPr>
      <w:r w:rsidRPr="002029AF">
        <w:rPr>
          <w:lang w:val="en-AU"/>
        </w:rPr>
        <w:lastRenderedPageBreak/>
        <w:t>Enhancing incident monitoring, reporting and</w:t>
      </w:r>
      <w:r w:rsidR="00151355">
        <w:rPr>
          <w:lang w:val="en-AU"/>
        </w:rPr>
        <w:t> </w:t>
      </w:r>
      <w:r w:rsidRPr="002029AF">
        <w:rPr>
          <w:lang w:val="en-AU"/>
        </w:rPr>
        <w:t>action</w:t>
      </w:r>
    </w:p>
    <w:p w14:paraId="7AEC02B9" w14:textId="77777777" w:rsidR="00603E4B" w:rsidRPr="002029AF" w:rsidRDefault="00603E4B" w:rsidP="00603E4B">
      <w:pPr>
        <w:pStyle w:val="ARbody"/>
      </w:pPr>
      <w:r w:rsidRPr="002029AF">
        <w:t>The Victorian Health Incident Management System (VHIMS) is a standardised dataset designed to collect clinical and occupational health and safety (OH&amp;S) incidents, non-clinical/non-OH&amp;S incidents (hazards), and feedback in Victorian public health services. The information collected in VHIMS enhances the information available for health services to support improvements in the quality, safety and experience of health care.</w:t>
      </w:r>
    </w:p>
    <w:p w14:paraId="4B317548" w14:textId="77777777" w:rsidR="00603E4B" w:rsidRPr="002029AF" w:rsidRDefault="00603E4B" w:rsidP="00603E4B">
      <w:pPr>
        <w:pStyle w:val="ARbody"/>
      </w:pPr>
      <w:r w:rsidRPr="002029AF">
        <w:t>In 2019–20 the VHIMS Central Solution was successfully implemented for 39 smaller Victorian public and community health services that have their incident reporting arrangements subsidised by the Victorian Government. These health services can now quickly and easily log and action their incidents and create reports to assess their performance.</w:t>
      </w:r>
    </w:p>
    <w:p w14:paraId="436D3195" w14:textId="51E1DB2A" w:rsidR="00603E4B" w:rsidRPr="002029AF" w:rsidRDefault="00603E4B" w:rsidP="00603E4B">
      <w:pPr>
        <w:pStyle w:val="ARbody"/>
        <w:rPr>
          <w:iCs/>
        </w:rPr>
      </w:pPr>
      <w:r w:rsidRPr="002029AF">
        <w:t xml:space="preserve">The release of </w:t>
      </w:r>
      <w:r w:rsidRPr="002029AF">
        <w:rPr>
          <w:i/>
          <w:iCs/>
        </w:rPr>
        <w:t>VHIMS reported incidents: Inaugural statewide report, July 2017</w:t>
      </w:r>
      <w:r w:rsidR="000F13EA" w:rsidRPr="002029AF">
        <w:rPr>
          <w:i/>
          <w:iCs/>
        </w:rPr>
        <w:t>–</w:t>
      </w:r>
      <w:r w:rsidRPr="002029AF">
        <w:rPr>
          <w:i/>
          <w:iCs/>
        </w:rPr>
        <w:t>December 2018</w:t>
      </w:r>
      <w:r w:rsidRPr="002029AF">
        <w:rPr>
          <w:i/>
        </w:rPr>
        <w:t xml:space="preserve"> </w:t>
      </w:r>
      <w:r w:rsidRPr="002029AF">
        <w:rPr>
          <w:iCs/>
        </w:rPr>
        <w:t>in November 2019 was also a milestone as it was</w:t>
      </w:r>
      <w:r w:rsidRPr="002029AF">
        <w:rPr>
          <w:i/>
          <w:iCs/>
        </w:rPr>
        <w:t xml:space="preserve"> </w:t>
      </w:r>
      <w:r w:rsidRPr="002029AF">
        <w:rPr>
          <w:iCs/>
        </w:rPr>
        <w:t>the</w:t>
      </w:r>
      <w:r w:rsidR="00151355">
        <w:rPr>
          <w:iCs/>
        </w:rPr>
        <w:t> </w:t>
      </w:r>
      <w:r w:rsidRPr="002029AF">
        <w:rPr>
          <w:iCs/>
        </w:rPr>
        <w:t>first statewide report in the program’s 12-year history.</w:t>
      </w:r>
    </w:p>
    <w:p w14:paraId="4F140695" w14:textId="35E5FBFF" w:rsidR="00603E4B" w:rsidRPr="002029AF" w:rsidRDefault="00603E4B" w:rsidP="00603E4B">
      <w:pPr>
        <w:pStyle w:val="ARbody"/>
        <w:rPr>
          <w:rFonts w:eastAsia="Times New Roman"/>
        </w:rPr>
      </w:pPr>
      <w:r w:rsidRPr="002029AF">
        <w:t>In response to the coronavirus (COVID-19) pandemic, the Victorian Agency for Health Information worked with representatives from the</w:t>
      </w:r>
      <w:r w:rsidR="00151355">
        <w:t> </w:t>
      </w:r>
      <w:r w:rsidRPr="002029AF">
        <w:t>Victorian Directors of Clinical Governance to implement a new field in the system for health services to log, monitor and respond to pandemic-related incidents. This data will also contribute to statewide reporting.</w:t>
      </w:r>
    </w:p>
    <w:p w14:paraId="4E4D59B8" w14:textId="77777777" w:rsidR="00603E4B" w:rsidRPr="002029AF" w:rsidRDefault="00603E4B" w:rsidP="00603E4B">
      <w:pPr>
        <w:pStyle w:val="Heading6"/>
        <w:rPr>
          <w:szCs w:val="20"/>
          <w:lang w:val="en-AU"/>
        </w:rPr>
      </w:pPr>
      <w:r w:rsidRPr="002029AF">
        <w:rPr>
          <w:szCs w:val="20"/>
          <w:lang w:val="en-AU"/>
        </w:rPr>
        <w:t>Quality and safety governance</w:t>
      </w:r>
    </w:p>
    <w:p w14:paraId="0877CEA6" w14:textId="5462E817" w:rsidR="00603E4B" w:rsidRPr="002029AF" w:rsidRDefault="00603E4B" w:rsidP="00603E4B">
      <w:pPr>
        <w:pStyle w:val="ARbody"/>
      </w:pPr>
      <w:r w:rsidRPr="002029AF">
        <w:t xml:space="preserve">The department is delivering the new </w:t>
      </w:r>
      <w:r w:rsidRPr="000A264C">
        <w:rPr>
          <w:i/>
          <w:iCs/>
        </w:rPr>
        <w:t>Community Services Quality and Safety framework</w:t>
      </w:r>
      <w:r w:rsidR="002D26AF">
        <w:rPr>
          <w:i/>
          <w:iCs/>
        </w:rPr>
        <w:t>,</w:t>
      </w:r>
      <w:r w:rsidRPr="002029AF">
        <w:t xml:space="preserve"> published in</w:t>
      </w:r>
      <w:r w:rsidR="00151355">
        <w:t> </w:t>
      </w:r>
      <w:r w:rsidRPr="002029AF">
        <w:t>October 2018. The framework is supporting community services to establish quality governance that will prevent avoidable harm to people using community services.</w:t>
      </w:r>
    </w:p>
    <w:p w14:paraId="773F71DF" w14:textId="7EF16976" w:rsidR="00603E4B" w:rsidRPr="002029AF" w:rsidRDefault="00603E4B" w:rsidP="00603E4B">
      <w:pPr>
        <w:pStyle w:val="ARbody"/>
      </w:pPr>
      <w:r w:rsidRPr="002029AF">
        <w:t>It is focusing on the use of data and evidence in</w:t>
      </w:r>
      <w:r w:rsidR="00151355">
        <w:t> </w:t>
      </w:r>
      <w:r w:rsidRPr="002029AF">
        <w:t xml:space="preserve">community services to foster a culture of continuous learning and improvement. The framework includes principles, domains, roles and responsibilities of quality governance and includes measures of success, and indicators of </w:t>
      </w:r>
      <w:r w:rsidR="00016394" w:rsidRPr="002029AF">
        <w:t>poor-quality</w:t>
      </w:r>
      <w:r w:rsidRPr="002029AF">
        <w:t xml:space="preserve"> governance.</w:t>
      </w:r>
    </w:p>
    <w:p w14:paraId="5800615C" w14:textId="21E7008D" w:rsidR="00603E4B" w:rsidRPr="002029AF" w:rsidRDefault="00603E4B" w:rsidP="00603E4B">
      <w:pPr>
        <w:pStyle w:val="ARbody"/>
      </w:pPr>
      <w:r w:rsidRPr="002029AF">
        <w:t xml:space="preserve">The </w:t>
      </w:r>
      <w:r w:rsidR="000A264C">
        <w:t>f</w:t>
      </w:r>
      <w:r w:rsidRPr="002029AF">
        <w:t>ramework aligns with Safer Care Victoria</w:t>
      </w:r>
      <w:r w:rsidR="005F298C">
        <w:t>’</w:t>
      </w:r>
      <w:r w:rsidRPr="002029AF">
        <w:t xml:space="preserve">s </w:t>
      </w:r>
      <w:r w:rsidRPr="000A264C">
        <w:rPr>
          <w:i/>
          <w:iCs/>
        </w:rPr>
        <w:t>Clinical Governance Framework.</w:t>
      </w:r>
    </w:p>
    <w:p w14:paraId="21A3EF40" w14:textId="77777777" w:rsidR="00603E4B" w:rsidRPr="002029AF" w:rsidRDefault="00603E4B" w:rsidP="00603E4B">
      <w:pPr>
        <w:pStyle w:val="Heading6"/>
        <w:rPr>
          <w:szCs w:val="20"/>
          <w:lang w:val="en-AU"/>
        </w:rPr>
      </w:pPr>
      <w:r w:rsidRPr="002029AF">
        <w:rPr>
          <w:szCs w:val="20"/>
          <w:lang w:val="en-AU"/>
        </w:rPr>
        <w:t>Data to improve safety</w:t>
      </w:r>
    </w:p>
    <w:p w14:paraId="291E2226" w14:textId="3E2040CE" w:rsidR="00603E4B" w:rsidRPr="002029AF" w:rsidRDefault="00603E4B" w:rsidP="00603E4B">
      <w:pPr>
        <w:pStyle w:val="ARbody"/>
      </w:pPr>
      <w:r w:rsidRPr="002029AF">
        <w:rPr>
          <w:i/>
          <w:iCs/>
        </w:rPr>
        <w:t>The Health Legislation Amendment and Repeal Bill</w:t>
      </w:r>
      <w:r w:rsidR="00151355">
        <w:rPr>
          <w:i/>
          <w:iCs/>
        </w:rPr>
        <w:t> </w:t>
      </w:r>
      <w:r w:rsidRPr="002029AF">
        <w:rPr>
          <w:i/>
          <w:iCs/>
        </w:rPr>
        <w:t>2019</w:t>
      </w:r>
      <w:r w:rsidR="000A264C">
        <w:rPr>
          <w:i/>
          <w:iCs/>
        </w:rPr>
        <w:t xml:space="preserve"> </w:t>
      </w:r>
      <w:r w:rsidRPr="002029AF">
        <w:t>introduced a series of new information sharing provisions.</w:t>
      </w:r>
    </w:p>
    <w:p w14:paraId="0410D29E" w14:textId="4339AAF6" w:rsidR="00603E4B" w:rsidRPr="002029AF" w:rsidRDefault="00603E4B" w:rsidP="00603E4B">
      <w:pPr>
        <w:pStyle w:val="ARbody"/>
      </w:pPr>
      <w:r w:rsidRPr="002029AF">
        <w:t>These provisions are intended to enhance the quality and safety of the Victorian health system by</w:t>
      </w:r>
      <w:r w:rsidR="00151355">
        <w:t> </w:t>
      </w:r>
      <w:r w:rsidRPr="002029AF">
        <w:t>allowing the sharing of health information between health services and Safer Care Victoria, the Victorian Agency for Health Information, the department and/or appointed ‘special advisors’ to</w:t>
      </w:r>
      <w:r w:rsidR="00151355">
        <w:t> </w:t>
      </w:r>
      <w:r w:rsidRPr="002029AF">
        <w:t>improve safety.</w:t>
      </w:r>
    </w:p>
    <w:p w14:paraId="146C9D77" w14:textId="77777777" w:rsidR="00603E4B" w:rsidRPr="002029AF" w:rsidRDefault="00603E4B" w:rsidP="00603E4B">
      <w:pPr>
        <w:pStyle w:val="ARbody"/>
      </w:pPr>
      <w:r w:rsidRPr="002029AF">
        <w:t>By making it easier for health service entities to share confidential information, more information about incidents, risks and areas for improvement will be reported and shared, driving quality and safety improvements across the entire health system.</w:t>
      </w:r>
    </w:p>
    <w:p w14:paraId="25E19C33" w14:textId="0CC946EE" w:rsidR="00603E4B" w:rsidRPr="002029AF" w:rsidRDefault="00603E4B" w:rsidP="00603E4B">
      <w:pPr>
        <w:pStyle w:val="ARbody"/>
      </w:pPr>
      <w:r w:rsidRPr="002029AF">
        <w:t xml:space="preserve">This is consistent with the recommendation made by </w:t>
      </w:r>
      <w:r w:rsidRPr="002029AF">
        <w:rPr>
          <w:i/>
          <w:iCs/>
        </w:rPr>
        <w:t>Targeting Zero: supporting the Victorian hospital system to eliminate avoidable harm and strengthen quality of care</w:t>
      </w:r>
      <w:r w:rsidRPr="002029AF">
        <w:t xml:space="preserve"> to improve the flow of</w:t>
      </w:r>
      <w:r w:rsidRPr="002029AF">
        <w:rPr>
          <w:i/>
          <w:iCs/>
        </w:rPr>
        <w:t xml:space="preserve"> </w:t>
      </w:r>
      <w:r w:rsidRPr="002029AF">
        <w:t>information in</w:t>
      </w:r>
      <w:r w:rsidR="00151355">
        <w:t> </w:t>
      </w:r>
      <w:r w:rsidRPr="002029AF">
        <w:t>the health system so as to facilitate the identification of deficiencies in care and focus attention on</w:t>
      </w:r>
      <w:r w:rsidRPr="002029AF">
        <w:rPr>
          <w:i/>
          <w:iCs/>
        </w:rPr>
        <w:t xml:space="preserve"> </w:t>
      </w:r>
      <w:r w:rsidRPr="002029AF">
        <w:t>opportunities for improvement.</w:t>
      </w:r>
    </w:p>
    <w:p w14:paraId="5B320C52" w14:textId="08DBAA1E" w:rsidR="00603E4B" w:rsidRPr="002029AF" w:rsidRDefault="00603E4B" w:rsidP="00603E4B">
      <w:pPr>
        <w:pStyle w:val="Heading6"/>
        <w:rPr>
          <w:lang w:val="en-AU"/>
        </w:rPr>
      </w:pPr>
      <w:r w:rsidRPr="002029AF">
        <w:rPr>
          <w:lang w:val="en-AU"/>
        </w:rPr>
        <w:t>Improving access to and transparency of</w:t>
      </w:r>
      <w:r w:rsidR="00151355">
        <w:rPr>
          <w:lang w:val="en-AU"/>
        </w:rPr>
        <w:t> </w:t>
      </w:r>
      <w:r w:rsidRPr="002029AF">
        <w:rPr>
          <w:lang w:val="en-AU"/>
        </w:rPr>
        <w:t>quality and safety data</w:t>
      </w:r>
    </w:p>
    <w:p w14:paraId="09A6568C" w14:textId="77777777" w:rsidR="000A264C" w:rsidRPr="002029AF" w:rsidRDefault="000A264C" w:rsidP="000A264C">
      <w:pPr>
        <w:pStyle w:val="ARbody"/>
      </w:pPr>
      <w:r w:rsidRPr="002029AF">
        <w:t xml:space="preserve">The evolution of </w:t>
      </w:r>
      <w:r>
        <w:t>the Victorian Agency for Health Information’s (</w:t>
      </w:r>
      <w:r w:rsidRPr="002029AF">
        <w:t>VAHI</w:t>
      </w:r>
      <w:r>
        <w:t>)</w:t>
      </w:r>
      <w:r w:rsidRPr="002029AF">
        <w:t xml:space="preserve"> Information Management Environment (VIME), including the VAHI portal, continued rapidly in 2019–20.</w:t>
      </w:r>
    </w:p>
    <w:p w14:paraId="2F555886" w14:textId="77777777" w:rsidR="00603E4B" w:rsidRPr="002029AF" w:rsidRDefault="00603E4B" w:rsidP="00603E4B">
      <w:pPr>
        <w:pStyle w:val="ARbody"/>
      </w:pPr>
      <w:r w:rsidRPr="002029AF">
        <w:t>VIME provides the information management infrastructure that enables data storage, processing, analytics and enhanced online reporting capabilities to facilitate consistent access to timely data and enhanced data visualisations.</w:t>
      </w:r>
    </w:p>
    <w:p w14:paraId="7831DE20" w14:textId="77777777" w:rsidR="00603E4B" w:rsidRPr="002029AF" w:rsidRDefault="00603E4B" w:rsidP="00603E4B">
      <w:pPr>
        <w:pStyle w:val="ARbody"/>
      </w:pPr>
      <w:r w:rsidRPr="002029AF">
        <w:t>The new Victorian Health Services Performance (VHSP) website for the Victorian community was launched in November 2019. The website has improved users’ experiences, with easier navigation, easy-to-understand language and improved data visualisations. Victorians can see results at a glance and drill down to more granular data if they wish.</w:t>
      </w:r>
    </w:p>
    <w:p w14:paraId="2C235C79" w14:textId="765EC5EC" w:rsidR="00603E4B" w:rsidRPr="002029AF" w:rsidRDefault="00603E4B" w:rsidP="00603E4B">
      <w:pPr>
        <w:pStyle w:val="ARbody"/>
      </w:pPr>
      <w:r w:rsidRPr="002029AF">
        <w:t>The (authenticated access) portal was officially</w:t>
      </w:r>
      <w:r w:rsidR="00151355">
        <w:t> </w:t>
      </w:r>
      <w:r w:rsidRPr="002029AF">
        <w:t>launched to all Victorian health services in March 2020, following a pilot period with selected health services. By 30 June 2020 the portal had 19,195 registered users, of whom 8,956 were authenticated users across health services.</w:t>
      </w:r>
    </w:p>
    <w:p w14:paraId="639F68B1" w14:textId="77777777" w:rsidR="00603E4B" w:rsidRPr="002029AF" w:rsidRDefault="00603E4B" w:rsidP="00603E4B">
      <w:pPr>
        <w:pStyle w:val="ARbody"/>
      </w:pPr>
      <w:r w:rsidRPr="002029AF">
        <w:lastRenderedPageBreak/>
        <w:t>Following its launch, the portal was rapidly repurposed to support Victoria’s coronavirus (COVID-19) response, consolidating different data sources in a single platform. It provides Victorian health services, and other authenticated users, with data and reports relating to suspected coronavirus (COVID-19) emergency department presentations, testing and symptomatic cases by local government area, and surveillance of notifiable conditions in Victoria.</w:t>
      </w:r>
    </w:p>
    <w:p w14:paraId="75804D3A" w14:textId="77777777" w:rsidR="00603E4B" w:rsidRPr="002029AF" w:rsidRDefault="00603E4B" w:rsidP="00603E4B">
      <w:pPr>
        <w:pStyle w:val="Heading5"/>
        <w:rPr>
          <w:rFonts w:eastAsia="Calibri"/>
        </w:rPr>
      </w:pPr>
      <w:r w:rsidRPr="002029AF">
        <w:rPr>
          <w:rFonts w:eastAsia="Calibri"/>
        </w:rPr>
        <w:t>Key result 42: Reduce assault, exploitation and neglect of clients and patients cared for in formal settings</w:t>
      </w:r>
    </w:p>
    <w:p w14:paraId="78F41857" w14:textId="77777777" w:rsidR="00215F71" w:rsidRPr="007C4ED3" w:rsidRDefault="00215F71" w:rsidP="00215F71">
      <w:pPr>
        <w:pStyle w:val="Heading6"/>
      </w:pPr>
      <w:bookmarkStart w:id="51" w:name="_Hlk53413949"/>
      <w:r w:rsidRPr="002029AF">
        <w:rPr>
          <w:lang w:val="en-AU"/>
        </w:rPr>
        <w:t>Improving care in residential service</w:t>
      </w:r>
      <w:r w:rsidRPr="007C4ED3">
        <w:t>s</w:t>
      </w:r>
    </w:p>
    <w:bookmarkEnd w:id="51"/>
    <w:p w14:paraId="4756ADBA" w14:textId="77777777" w:rsidR="00215F71" w:rsidRPr="002029AF" w:rsidRDefault="00215F71" w:rsidP="00215F71">
      <w:pPr>
        <w:pStyle w:val="ARbody"/>
        <w:rPr>
          <w:szCs w:val="20"/>
        </w:rPr>
      </w:pPr>
      <w:r w:rsidRPr="002029AF">
        <w:rPr>
          <w:szCs w:val="20"/>
        </w:rPr>
        <w:t>This initiative, a partnership between the department, Safer Care Victoria and the Institute for Healthcare Improvement, commenced in January 2020. The foundation phase of the initiative involved the establishment of a steering committee and core project team</w:t>
      </w:r>
      <w:r>
        <w:rPr>
          <w:szCs w:val="20"/>
        </w:rPr>
        <w:t>,</w:t>
      </w:r>
      <w:r w:rsidRPr="002029AF">
        <w:rPr>
          <w:szCs w:val="20"/>
        </w:rPr>
        <w:t xml:space="preserve"> inclusive of young people with lived experience of residential services. Improvement methodology training and capability building for the core team was undertaken as well as completion of capability and readiness self-assessments by a broad range of people with knowledge and experience of residential care</w:t>
      </w:r>
      <w:r>
        <w:rPr>
          <w:szCs w:val="20"/>
        </w:rPr>
        <w:t>,</w:t>
      </w:r>
      <w:r w:rsidRPr="002029AF">
        <w:rPr>
          <w:szCs w:val="20"/>
        </w:rPr>
        <w:t xml:space="preserve"> including direct workers, peak bodies, young people and families and policy staff.</w:t>
      </w:r>
    </w:p>
    <w:p w14:paraId="6BF6C50B" w14:textId="373D250E" w:rsidR="0062202B" w:rsidRPr="0062202B" w:rsidRDefault="00215F71" w:rsidP="00215F71">
      <w:pPr>
        <w:pStyle w:val="ARbody"/>
        <w:rPr>
          <w:szCs w:val="20"/>
        </w:rPr>
      </w:pPr>
      <w:r w:rsidRPr="002029AF">
        <w:rPr>
          <w:szCs w:val="20"/>
        </w:rPr>
        <w:t>A comprehensive review and analysis of the current system was undertaken in order to determine the opportunities for specific improvement projects. This lays the foundation for phase two of the initiative</w:t>
      </w:r>
      <w:r>
        <w:rPr>
          <w:szCs w:val="20"/>
        </w:rPr>
        <w:t>,</w:t>
      </w:r>
      <w:r w:rsidRPr="002029AF">
        <w:rPr>
          <w:szCs w:val="20"/>
        </w:rPr>
        <w:t xml:space="preserve"> which will involve a design process with key stakeholders to establish the areas of focus, improvement teams</w:t>
      </w:r>
      <w:r w:rsidR="003B759C">
        <w:rPr>
          <w:szCs w:val="20"/>
        </w:rPr>
        <w:t>,</w:t>
      </w:r>
      <w:r w:rsidRPr="002029AF">
        <w:rPr>
          <w:szCs w:val="20"/>
        </w:rPr>
        <w:t xml:space="preserve"> and data and reporting systems, alongside improvement methodology and</w:t>
      </w:r>
      <w:r>
        <w:rPr>
          <w:szCs w:val="20"/>
        </w:rPr>
        <w:t> </w:t>
      </w:r>
      <w:r w:rsidRPr="002029AF">
        <w:rPr>
          <w:szCs w:val="20"/>
        </w:rPr>
        <w:t>capability coaching for department staff by the</w:t>
      </w:r>
      <w:r>
        <w:rPr>
          <w:szCs w:val="20"/>
        </w:rPr>
        <w:t> </w:t>
      </w:r>
      <w:r w:rsidRPr="002029AF">
        <w:rPr>
          <w:szCs w:val="20"/>
        </w:rPr>
        <w:t>Institute for Healthcare Improvement.</w:t>
      </w:r>
    </w:p>
    <w:p w14:paraId="415E18A2" w14:textId="3CF1DCD2" w:rsidR="00603E4B" w:rsidRPr="002029AF" w:rsidRDefault="00603E4B" w:rsidP="00AD78D6">
      <w:pPr>
        <w:pStyle w:val="Heading5"/>
      </w:pPr>
      <w:r w:rsidRPr="002029AF">
        <w:t>COVID-19 objective 5: Mitigate and minimise impacts of the pandemic on the health system and broader community</w:t>
      </w:r>
    </w:p>
    <w:p w14:paraId="51E3CF19" w14:textId="59159BD5" w:rsidR="00603E4B" w:rsidRPr="002029AF" w:rsidRDefault="00603E4B" w:rsidP="00603E4B">
      <w:pPr>
        <w:pStyle w:val="Heading6"/>
        <w:rPr>
          <w:szCs w:val="20"/>
          <w:lang w:val="en-AU"/>
        </w:rPr>
      </w:pPr>
      <w:r w:rsidRPr="002029AF">
        <w:rPr>
          <w:szCs w:val="20"/>
          <w:lang w:val="en-AU"/>
        </w:rPr>
        <w:t>COVID-19 pandemic plan</w:t>
      </w:r>
      <w:r w:rsidR="0062202B">
        <w:rPr>
          <w:szCs w:val="20"/>
          <w:lang w:val="en-AU"/>
        </w:rPr>
        <w:t>s</w:t>
      </w:r>
    </w:p>
    <w:p w14:paraId="2B8CE087" w14:textId="115D3E6C" w:rsidR="00603E4B" w:rsidRPr="002029AF" w:rsidRDefault="00603E4B" w:rsidP="00603E4B">
      <w:pPr>
        <w:pStyle w:val="ARbody"/>
      </w:pPr>
      <w:r w:rsidRPr="002029AF">
        <w:t xml:space="preserve">On 10 March 2020, the Victorian Government released the </w:t>
      </w:r>
      <w:r w:rsidRPr="000A66A5">
        <w:rPr>
          <w:rStyle w:val="Emphasis"/>
          <w:rFonts w:eastAsia="MS Gothic"/>
          <w:i w:val="0"/>
          <w:iCs w:val="0"/>
          <w:color w:val="000000"/>
        </w:rPr>
        <w:t xml:space="preserve">COVID-19 </w:t>
      </w:r>
      <w:r w:rsidR="000A66A5">
        <w:rPr>
          <w:rStyle w:val="Emphasis"/>
          <w:rFonts w:eastAsia="MS Gothic"/>
          <w:i w:val="0"/>
          <w:iCs w:val="0"/>
          <w:color w:val="000000"/>
        </w:rPr>
        <w:t>P</w:t>
      </w:r>
      <w:r w:rsidRPr="000A66A5">
        <w:rPr>
          <w:rStyle w:val="Emphasis"/>
          <w:rFonts w:eastAsia="MS Gothic"/>
          <w:i w:val="0"/>
          <w:iCs w:val="0"/>
          <w:color w:val="000000"/>
        </w:rPr>
        <w:t xml:space="preserve">andemic </w:t>
      </w:r>
      <w:r w:rsidR="000A66A5">
        <w:rPr>
          <w:rStyle w:val="Emphasis"/>
          <w:rFonts w:eastAsia="MS Gothic"/>
          <w:i w:val="0"/>
          <w:iCs w:val="0"/>
          <w:color w:val="000000"/>
        </w:rPr>
        <w:t>P</w:t>
      </w:r>
      <w:r w:rsidRPr="000A66A5">
        <w:rPr>
          <w:rStyle w:val="Emphasis"/>
          <w:rFonts w:eastAsia="MS Gothic"/>
          <w:i w:val="0"/>
          <w:iCs w:val="0"/>
          <w:color w:val="000000"/>
        </w:rPr>
        <w:t xml:space="preserve">lan for the Victorian </w:t>
      </w:r>
      <w:r w:rsidR="000A66A5">
        <w:rPr>
          <w:rStyle w:val="Emphasis"/>
          <w:rFonts w:eastAsia="MS Gothic"/>
          <w:i w:val="0"/>
          <w:iCs w:val="0"/>
          <w:color w:val="000000"/>
        </w:rPr>
        <w:t>H</w:t>
      </w:r>
      <w:r w:rsidRPr="000A66A5">
        <w:rPr>
          <w:rStyle w:val="Emphasis"/>
          <w:rFonts w:eastAsia="MS Gothic"/>
          <w:i w:val="0"/>
          <w:iCs w:val="0"/>
          <w:color w:val="000000"/>
        </w:rPr>
        <w:t xml:space="preserve">ealth </w:t>
      </w:r>
      <w:r w:rsidR="000A66A5">
        <w:rPr>
          <w:rStyle w:val="Emphasis"/>
          <w:rFonts w:eastAsia="MS Gothic"/>
          <w:i w:val="0"/>
          <w:iCs w:val="0"/>
          <w:color w:val="000000"/>
        </w:rPr>
        <w:t>S</w:t>
      </w:r>
      <w:r w:rsidRPr="000A66A5">
        <w:rPr>
          <w:rStyle w:val="Emphasis"/>
          <w:rFonts w:eastAsia="MS Gothic"/>
          <w:i w:val="0"/>
          <w:iCs w:val="0"/>
          <w:color w:val="000000"/>
        </w:rPr>
        <w:t>ector</w:t>
      </w:r>
      <w:r w:rsidRPr="002029AF">
        <w:rPr>
          <w:rStyle w:val="Emphasis"/>
          <w:rFonts w:eastAsia="MS Gothic"/>
          <w:color w:val="000000"/>
        </w:rPr>
        <w:t xml:space="preserve">, </w:t>
      </w:r>
      <w:r w:rsidRPr="000A66A5">
        <w:rPr>
          <w:rStyle w:val="Emphasis"/>
          <w:rFonts w:eastAsia="MS Gothic"/>
          <w:i w:val="0"/>
          <w:iCs w:val="0"/>
          <w:color w:val="000000"/>
        </w:rPr>
        <w:t>which</w:t>
      </w:r>
      <w:r w:rsidRPr="002029AF">
        <w:rPr>
          <w:rStyle w:val="Emphasis"/>
          <w:rFonts w:eastAsia="MS Gothic"/>
          <w:color w:val="000000"/>
        </w:rPr>
        <w:t xml:space="preserve"> </w:t>
      </w:r>
      <w:r w:rsidRPr="002029AF">
        <w:t>set out a comprehensive, four-stage response to coronavirus</w:t>
      </w:r>
      <w:r w:rsidR="00151355">
        <w:t> </w:t>
      </w:r>
      <w:r w:rsidRPr="002029AF">
        <w:t>(COVID-19) for the health sector.</w:t>
      </w:r>
    </w:p>
    <w:p w14:paraId="568E6AD7" w14:textId="424D3E4F" w:rsidR="00603E4B" w:rsidRPr="002029AF" w:rsidRDefault="00603E4B" w:rsidP="00603E4B">
      <w:pPr>
        <w:pStyle w:val="ARbody"/>
      </w:pPr>
      <w:r w:rsidRPr="002029AF">
        <w:t>The plan is based on a partnership approach, where Victoria works with all states, territories and</w:t>
      </w:r>
      <w:r w:rsidR="00151355">
        <w:t> </w:t>
      </w:r>
      <w:r w:rsidRPr="002029AF">
        <w:t>the Commonwealth. Its four stages are:</w:t>
      </w:r>
    </w:p>
    <w:p w14:paraId="30A5A51B" w14:textId="77777777" w:rsidR="00603E4B" w:rsidRPr="002029AF" w:rsidRDefault="00603E4B" w:rsidP="00FF3CAB">
      <w:pPr>
        <w:pStyle w:val="ARbullet1"/>
        <w:numPr>
          <w:ilvl w:val="0"/>
          <w:numId w:val="51"/>
        </w:numPr>
      </w:pPr>
      <w:r w:rsidRPr="002029AF">
        <w:t>Stage One: initial containment</w:t>
      </w:r>
    </w:p>
    <w:p w14:paraId="5DBBBEF8" w14:textId="77777777" w:rsidR="00603E4B" w:rsidRPr="002029AF" w:rsidRDefault="00603E4B" w:rsidP="00FF3CAB">
      <w:pPr>
        <w:pStyle w:val="ARbullet1"/>
        <w:numPr>
          <w:ilvl w:val="0"/>
          <w:numId w:val="51"/>
        </w:numPr>
      </w:pPr>
      <w:r w:rsidRPr="002029AF">
        <w:t>Stage Two: targeted action</w:t>
      </w:r>
    </w:p>
    <w:p w14:paraId="069A18D9" w14:textId="77777777" w:rsidR="00603E4B" w:rsidRPr="002029AF" w:rsidRDefault="00603E4B" w:rsidP="00FF3CAB">
      <w:pPr>
        <w:pStyle w:val="ARbullet1"/>
        <w:numPr>
          <w:ilvl w:val="0"/>
          <w:numId w:val="51"/>
        </w:numPr>
      </w:pPr>
      <w:r w:rsidRPr="002029AF">
        <w:t>Stage Three: peak action</w:t>
      </w:r>
    </w:p>
    <w:p w14:paraId="60B7EDC2" w14:textId="77777777" w:rsidR="00603E4B" w:rsidRPr="002029AF" w:rsidRDefault="00603E4B" w:rsidP="00FF3CAB">
      <w:pPr>
        <w:pStyle w:val="ARbullet1"/>
        <w:numPr>
          <w:ilvl w:val="0"/>
          <w:numId w:val="51"/>
        </w:numPr>
        <w:rPr>
          <w:color w:val="000000"/>
        </w:rPr>
      </w:pPr>
      <w:r w:rsidRPr="002029AF">
        <w:t>Stage Four: stand-down and recovery.</w:t>
      </w:r>
    </w:p>
    <w:p w14:paraId="0B291CC6" w14:textId="77777777" w:rsidR="00603E4B" w:rsidRPr="002029AF" w:rsidRDefault="00603E4B" w:rsidP="00603E4B">
      <w:pPr>
        <w:pStyle w:val="ARbodyafterbullets"/>
      </w:pPr>
      <w:r w:rsidRPr="002029AF">
        <w:t>Some of the immediate measures introduced included dedicated screening clinics and increased testing at more Victorian laboratories – with healthcare workers who were unwell given priority so they could get the all-clear and get back to treating their patients sooner.</w:t>
      </w:r>
    </w:p>
    <w:p w14:paraId="43417D9E" w14:textId="77777777" w:rsidR="00603E4B" w:rsidRPr="002029AF" w:rsidRDefault="00603E4B" w:rsidP="00603E4B">
      <w:pPr>
        <w:pStyle w:val="ARbody"/>
      </w:pPr>
      <w:r w:rsidRPr="002029AF">
        <w:t>Further stages of the plan set out actions to slow the spread of coronavirus (COVID-19) in the Victorian community, manage demand on hospital resources, respond to a severe outbreak and recover as quickly as possible.</w:t>
      </w:r>
    </w:p>
    <w:p w14:paraId="6785C870" w14:textId="6CC3A97A" w:rsidR="005E41EB" w:rsidRPr="002029AF" w:rsidRDefault="00603E4B" w:rsidP="0062202B">
      <w:pPr>
        <w:pStyle w:val="ARbody"/>
        <w:rPr>
          <w:szCs w:val="20"/>
        </w:rPr>
      </w:pPr>
      <w:r w:rsidRPr="002029AF">
        <w:t xml:space="preserve">On 26 March 2020, the department also released the </w:t>
      </w:r>
      <w:r w:rsidRPr="00BA07B9">
        <w:t xml:space="preserve">Coronavirus (COVID-19) </w:t>
      </w:r>
      <w:r w:rsidR="000A66A5">
        <w:t>P</w:t>
      </w:r>
      <w:r w:rsidRPr="00BA07B9">
        <w:t xml:space="preserve">lan for the Victorian </w:t>
      </w:r>
      <w:r w:rsidR="000A66A5">
        <w:t>C</w:t>
      </w:r>
      <w:r w:rsidRPr="00BA07B9">
        <w:t xml:space="preserve">ommunity </w:t>
      </w:r>
      <w:r w:rsidR="000A66A5">
        <w:t>S</w:t>
      </w:r>
      <w:r w:rsidRPr="00BA07B9">
        <w:t xml:space="preserve">ervices </w:t>
      </w:r>
      <w:r w:rsidR="000A66A5">
        <w:t>S</w:t>
      </w:r>
      <w:r w:rsidRPr="00BA07B9">
        <w:t>ector</w:t>
      </w:r>
      <w:r w:rsidRPr="002029AF">
        <w:t>, and a range of complementary sub-sector plans, t</w:t>
      </w:r>
      <w:r w:rsidRPr="002029AF">
        <w:rPr>
          <w:color w:val="222222"/>
          <w:shd w:val="clear" w:color="auto" w:fill="FFFFFF"/>
        </w:rPr>
        <w:t>o enable the ongoing provision of vital services to vulnerable and</w:t>
      </w:r>
      <w:r w:rsidR="00151355">
        <w:rPr>
          <w:color w:val="222222"/>
          <w:shd w:val="clear" w:color="auto" w:fill="FFFFFF"/>
        </w:rPr>
        <w:t> </w:t>
      </w:r>
      <w:r w:rsidRPr="002029AF">
        <w:rPr>
          <w:color w:val="222222"/>
          <w:shd w:val="clear" w:color="auto" w:fill="FFFFFF"/>
        </w:rPr>
        <w:t>disadvantaged Victorians.</w:t>
      </w:r>
    </w:p>
    <w:p w14:paraId="241EBA31" w14:textId="334C9089" w:rsidR="005E41EB" w:rsidRDefault="005E41EB" w:rsidP="005E41EB">
      <w:pPr>
        <w:pStyle w:val="ARbody"/>
      </w:pPr>
      <w:r>
        <w:t>The department has continued to support sectors across Victoria by</w:t>
      </w:r>
      <w:r w:rsidR="00151355">
        <w:t> </w:t>
      </w:r>
      <w:r>
        <w:t>providing plans</w:t>
      </w:r>
      <w:r w:rsidR="00574F95">
        <w:t xml:space="preserve"> and guidance for</w:t>
      </w:r>
      <w:r>
        <w:t xml:space="preserve"> coronavirus (COVID-19) including:</w:t>
      </w:r>
    </w:p>
    <w:p w14:paraId="43142F4A" w14:textId="3EF15E9E" w:rsidR="0062202B" w:rsidRPr="0062202B" w:rsidRDefault="0062202B" w:rsidP="00FF3CAB">
      <w:pPr>
        <w:pStyle w:val="ARbullet1"/>
        <w:numPr>
          <w:ilvl w:val="0"/>
          <w:numId w:val="51"/>
        </w:numPr>
      </w:pPr>
      <w:r w:rsidRPr="0062202B">
        <w:t>Coronavirus (COVID-19) Residential Aged Care Facilities Plan for Victoria</w:t>
      </w:r>
      <w:r>
        <w:t xml:space="preserve"> </w:t>
      </w:r>
      <w:r w:rsidRPr="0062202B">
        <w:t>(first released on 23 March 2020).</w:t>
      </w:r>
    </w:p>
    <w:p w14:paraId="1BC9D913" w14:textId="77777777" w:rsidR="00B62544" w:rsidRDefault="00B62544" w:rsidP="00FF3CAB">
      <w:pPr>
        <w:pStyle w:val="ARbullet1"/>
        <w:numPr>
          <w:ilvl w:val="0"/>
          <w:numId w:val="51"/>
        </w:numPr>
      </w:pPr>
      <w:r>
        <w:t>Plan for Child and Family Services, COVID-19 (first released on 27 March 2020)</w:t>
      </w:r>
    </w:p>
    <w:p w14:paraId="29996979" w14:textId="08007D1F" w:rsidR="00B62544" w:rsidRPr="00962371" w:rsidRDefault="00B62544" w:rsidP="00FF3CAB">
      <w:pPr>
        <w:pStyle w:val="ARbullet1"/>
        <w:numPr>
          <w:ilvl w:val="0"/>
          <w:numId w:val="51"/>
        </w:numPr>
      </w:pPr>
      <w:r w:rsidRPr="000A66A5">
        <w:t>Plan for Care Services</w:t>
      </w:r>
      <w:r w:rsidR="003C6F78" w:rsidRPr="002733C4">
        <w:t xml:space="preserve"> – </w:t>
      </w:r>
      <w:r w:rsidRPr="002733C4">
        <w:t>Out</w:t>
      </w:r>
      <w:r w:rsidR="00A40196" w:rsidRPr="00BA07B9">
        <w:t>-</w:t>
      </w:r>
      <w:r w:rsidRPr="002733C4">
        <w:t>of</w:t>
      </w:r>
      <w:r w:rsidR="00A40196" w:rsidRPr="00BA07B9">
        <w:t>-</w:t>
      </w:r>
      <w:r w:rsidRPr="002733C4">
        <w:t>Home Care (first</w:t>
      </w:r>
      <w:r w:rsidR="00151355" w:rsidRPr="00962371">
        <w:t> </w:t>
      </w:r>
      <w:r w:rsidRPr="00962371">
        <w:t>released on 27 March 2020)</w:t>
      </w:r>
    </w:p>
    <w:p w14:paraId="2144167C" w14:textId="05CDBEB1" w:rsidR="00BD704C" w:rsidRPr="00962371" w:rsidRDefault="00BD704C" w:rsidP="00FF3CAB">
      <w:pPr>
        <w:pStyle w:val="ARbullet1"/>
        <w:numPr>
          <w:ilvl w:val="0"/>
          <w:numId w:val="51"/>
        </w:numPr>
      </w:pPr>
      <w:r w:rsidRPr="00962371">
        <w:t xml:space="preserve">Family Violence and Sexual Assault Sector Guidelines </w:t>
      </w:r>
      <w:r w:rsidR="00B62544" w:rsidRPr="00962371">
        <w:t>(first released on 30 March 2020)</w:t>
      </w:r>
    </w:p>
    <w:p w14:paraId="5A271BAE" w14:textId="3F2FCB02" w:rsidR="005E41EB" w:rsidRPr="00962371" w:rsidRDefault="005E41EB" w:rsidP="00FF3CAB">
      <w:pPr>
        <w:pStyle w:val="ARbullet1"/>
        <w:numPr>
          <w:ilvl w:val="0"/>
          <w:numId w:val="51"/>
        </w:numPr>
      </w:pPr>
      <w:r w:rsidRPr="00962371">
        <w:t xml:space="preserve">COVID-19 Plan for the Disability Services Sector </w:t>
      </w:r>
      <w:r w:rsidR="00B62544" w:rsidRPr="00962371">
        <w:t>(first released on 1 April 2020)</w:t>
      </w:r>
    </w:p>
    <w:p w14:paraId="17634EB1" w14:textId="0898CFF5" w:rsidR="005E41EB" w:rsidRPr="00542DFD" w:rsidRDefault="005E41EB" w:rsidP="00FF3CAB">
      <w:pPr>
        <w:pStyle w:val="ARbullet1"/>
        <w:numPr>
          <w:ilvl w:val="0"/>
          <w:numId w:val="51"/>
        </w:numPr>
      </w:pPr>
      <w:r w:rsidRPr="004D7DBD">
        <w:t xml:space="preserve">COVID-19 Plan for the Victorian Neighbourhood House Sector </w:t>
      </w:r>
      <w:r w:rsidR="00B62544" w:rsidRPr="00542DFD">
        <w:t>(first released on 1 April 2020)</w:t>
      </w:r>
    </w:p>
    <w:p w14:paraId="558D92FB" w14:textId="76DC7CC5" w:rsidR="0062202B" w:rsidRPr="000A66A5" w:rsidRDefault="0062202B" w:rsidP="00FF3CAB">
      <w:pPr>
        <w:pStyle w:val="ARbullet1"/>
        <w:numPr>
          <w:ilvl w:val="0"/>
          <w:numId w:val="51"/>
        </w:numPr>
      </w:pPr>
      <w:r w:rsidRPr="00542DFD">
        <w:t xml:space="preserve">COVID-19 Amendment to </w:t>
      </w:r>
      <w:r w:rsidR="00A40196" w:rsidRPr="00BA07B9">
        <w:t>H</w:t>
      </w:r>
      <w:r w:rsidRPr="000A66A5">
        <w:t xml:space="preserve">omelessness </w:t>
      </w:r>
      <w:r w:rsidR="00A40196" w:rsidRPr="00BA07B9">
        <w:t>S</w:t>
      </w:r>
      <w:r w:rsidRPr="000A66A5">
        <w:t xml:space="preserve">ervices </w:t>
      </w:r>
      <w:r w:rsidR="00A40196" w:rsidRPr="00BA07B9">
        <w:t>G</w:t>
      </w:r>
      <w:r w:rsidRPr="000A66A5">
        <w:t xml:space="preserve">uidelines and </w:t>
      </w:r>
      <w:r w:rsidR="00A40196" w:rsidRPr="00BA07B9">
        <w:t>C</w:t>
      </w:r>
      <w:r w:rsidRPr="000A66A5">
        <w:t>onditions of</w:t>
      </w:r>
      <w:r w:rsidRPr="002733C4">
        <w:t xml:space="preserve"> </w:t>
      </w:r>
      <w:r w:rsidR="00A40196" w:rsidRPr="00BA07B9">
        <w:t>F</w:t>
      </w:r>
      <w:r w:rsidRPr="000A66A5">
        <w:t>unding (released on 8 May 2020)</w:t>
      </w:r>
    </w:p>
    <w:p w14:paraId="7C878C11" w14:textId="03AB9478" w:rsidR="005E41EB" w:rsidRPr="002733C4" w:rsidRDefault="005E41EB" w:rsidP="00FF3CAB">
      <w:pPr>
        <w:pStyle w:val="ARbullet1"/>
        <w:numPr>
          <w:ilvl w:val="0"/>
          <w:numId w:val="51"/>
        </w:numPr>
      </w:pPr>
      <w:r w:rsidRPr="002733C4">
        <w:t xml:space="preserve">COVID-19 Factsheet for Victorian </w:t>
      </w:r>
      <w:r w:rsidR="00A40196" w:rsidRPr="00BA07B9">
        <w:t>V</w:t>
      </w:r>
      <w:r w:rsidRPr="000A66A5">
        <w:t xml:space="preserve">olunteers </w:t>
      </w:r>
      <w:r w:rsidR="00B62544" w:rsidRPr="002733C4">
        <w:t>(first released on 15 May 2020)</w:t>
      </w:r>
    </w:p>
    <w:p w14:paraId="325B48C5" w14:textId="14C339A6" w:rsidR="005E41EB" w:rsidRPr="00962371" w:rsidRDefault="005E41EB" w:rsidP="00FF3CAB">
      <w:pPr>
        <w:pStyle w:val="ARbullet1"/>
        <w:numPr>
          <w:ilvl w:val="0"/>
          <w:numId w:val="51"/>
        </w:numPr>
      </w:pPr>
      <w:r w:rsidRPr="00962371">
        <w:t xml:space="preserve">Guidance for </w:t>
      </w:r>
      <w:r w:rsidR="00A40196" w:rsidRPr="00BA07B9">
        <w:t>C</w:t>
      </w:r>
      <w:r w:rsidRPr="000A66A5">
        <w:t xml:space="preserve">oronavirus </w:t>
      </w:r>
      <w:r w:rsidR="00A40196" w:rsidRPr="00BA07B9">
        <w:t>P</w:t>
      </w:r>
      <w:r w:rsidRPr="000A66A5">
        <w:t xml:space="preserve">lanning in the </w:t>
      </w:r>
      <w:r w:rsidR="00A40196" w:rsidRPr="00BA07B9">
        <w:t>C</w:t>
      </w:r>
      <w:r w:rsidRPr="000A66A5">
        <w:t xml:space="preserve">ommunity </w:t>
      </w:r>
      <w:r w:rsidR="00A40196" w:rsidRPr="00BA07B9">
        <w:t>S</w:t>
      </w:r>
      <w:r w:rsidRPr="000A66A5">
        <w:t xml:space="preserve">ervices </w:t>
      </w:r>
      <w:r w:rsidR="00A40196" w:rsidRPr="00BA07B9">
        <w:t>S</w:t>
      </w:r>
      <w:r w:rsidRPr="000A66A5">
        <w:t xml:space="preserve">ector </w:t>
      </w:r>
      <w:r w:rsidR="00B62544" w:rsidRPr="002733C4">
        <w:t>(first released on</w:t>
      </w:r>
      <w:r w:rsidR="00151355" w:rsidRPr="002733C4">
        <w:t> </w:t>
      </w:r>
      <w:r w:rsidR="00B62544" w:rsidRPr="00962371">
        <w:t>1</w:t>
      </w:r>
      <w:r w:rsidR="00151355" w:rsidRPr="00962371">
        <w:t> </w:t>
      </w:r>
      <w:r w:rsidR="00B62544" w:rsidRPr="00962371">
        <w:t>June 2020)</w:t>
      </w:r>
    </w:p>
    <w:p w14:paraId="4B99709D" w14:textId="398D086F" w:rsidR="00E033B2" w:rsidRPr="00E033B2" w:rsidRDefault="00E033B2" w:rsidP="00397EAA">
      <w:pPr>
        <w:pStyle w:val="ARbodyafterbullets"/>
      </w:pPr>
      <w:r>
        <w:lastRenderedPageBreak/>
        <w:t>In addition, a</w:t>
      </w:r>
      <w:r w:rsidRPr="00E033B2">
        <w:t xml:space="preserve"> comprehensive communications strategy in the Aboriginal community-controlled sector </w:t>
      </w:r>
      <w:r>
        <w:t>has</w:t>
      </w:r>
      <w:r w:rsidRPr="00E033B2">
        <w:t xml:space="preserve"> provide</w:t>
      </w:r>
      <w:r>
        <w:t>d</w:t>
      </w:r>
      <w:r w:rsidRPr="00E033B2">
        <w:t xml:space="preserve"> key health messages and promotes COVID</w:t>
      </w:r>
      <w:r w:rsidR="0054421B">
        <w:t>-s</w:t>
      </w:r>
      <w:r w:rsidRPr="00E033B2">
        <w:t xml:space="preserve">afe plans </w:t>
      </w:r>
      <w:r>
        <w:t xml:space="preserve">that </w:t>
      </w:r>
      <w:r w:rsidRPr="00E033B2">
        <w:t>ha</w:t>
      </w:r>
      <w:r w:rsidR="00440F8D">
        <w:t>ve</w:t>
      </w:r>
      <w:r w:rsidRPr="00E033B2">
        <w:t xml:space="preserve"> helped contain </w:t>
      </w:r>
      <w:r>
        <w:t>coronavirus (COVID-19)</w:t>
      </w:r>
      <w:r w:rsidRPr="00E033B2">
        <w:t xml:space="preserve"> and manage potential outbreaks.</w:t>
      </w:r>
      <w:r>
        <w:t xml:space="preserve"> By October 2020</w:t>
      </w:r>
      <w:r w:rsidRPr="00E033B2">
        <w:t>, communications</w:t>
      </w:r>
      <w:r w:rsidR="00440F8D">
        <w:t xml:space="preserve"> </w:t>
      </w:r>
      <w:r w:rsidR="007371AE">
        <w:t>under</w:t>
      </w:r>
      <w:r w:rsidR="00440F8D">
        <w:t xml:space="preserve"> this strategy</w:t>
      </w:r>
      <w:r w:rsidRPr="00E033B2">
        <w:t xml:space="preserve"> have included a web page with </w:t>
      </w:r>
      <w:r>
        <w:t xml:space="preserve">over </w:t>
      </w:r>
      <w:r w:rsidR="00440F8D">
        <w:t xml:space="preserve">35,000 </w:t>
      </w:r>
      <w:r w:rsidRPr="00E033B2">
        <w:t xml:space="preserve">views, online publication of 14 guidance documents and videos, distribution of </w:t>
      </w:r>
      <w:r w:rsidR="004220FF">
        <w:t>seven</w:t>
      </w:r>
      <w:r w:rsidRPr="00E033B2">
        <w:t xml:space="preserve"> e-newsletters to over 600 Aboriginal community organisations</w:t>
      </w:r>
      <w:r w:rsidR="00440F8D">
        <w:t>,</w:t>
      </w:r>
      <w:r w:rsidRPr="00E033B2">
        <w:t xml:space="preserve"> contacts and stakeholders, 14 digital forums attended by nearly 700 participants</w:t>
      </w:r>
      <w:r w:rsidR="00440F8D">
        <w:t>,</w:t>
      </w:r>
      <w:r w:rsidRPr="00E033B2">
        <w:t xml:space="preserve"> and weekly radio broadcasts on 3KND, Melbourne’s Aboriginal radio station.</w:t>
      </w:r>
    </w:p>
    <w:p w14:paraId="5032ADA6" w14:textId="76C30B80" w:rsidR="00603E4B" w:rsidRPr="002029AF" w:rsidRDefault="00603E4B" w:rsidP="00603E4B">
      <w:pPr>
        <w:pStyle w:val="Heading6"/>
        <w:rPr>
          <w:szCs w:val="20"/>
          <w:lang w:val="en-AU"/>
        </w:rPr>
      </w:pPr>
      <w:r w:rsidRPr="002029AF">
        <w:rPr>
          <w:szCs w:val="20"/>
          <w:lang w:val="en-AU"/>
        </w:rPr>
        <w:t>Building health system capacity to prepare for</w:t>
      </w:r>
      <w:r w:rsidR="00151355">
        <w:rPr>
          <w:szCs w:val="20"/>
          <w:lang w:val="en-AU"/>
        </w:rPr>
        <w:t> </w:t>
      </w:r>
      <w:r w:rsidRPr="002029AF">
        <w:rPr>
          <w:szCs w:val="20"/>
          <w:lang w:val="en-AU"/>
        </w:rPr>
        <w:t>coronavirus (COVID-19)</w:t>
      </w:r>
    </w:p>
    <w:p w14:paraId="433C8F53" w14:textId="064FDE9E" w:rsidR="00603E4B" w:rsidRPr="002029AF" w:rsidRDefault="00603E4B" w:rsidP="00603E4B">
      <w:pPr>
        <w:pStyle w:val="ARbody"/>
      </w:pPr>
      <w:r w:rsidRPr="002029AF">
        <w:t>In April 2020, the Victorian Government invested $1.9 billion in the state’s hospitals to allow them to</w:t>
      </w:r>
      <w:r w:rsidR="00151355">
        <w:t> </w:t>
      </w:r>
      <w:r w:rsidRPr="002029AF">
        <w:t>prepare for and respond to the coronavirus (COVID-19) pandemic – by building more critical care bed capacity, securing enough ICU equipment, staff and space to meet the expected surge in cases, bringing forward new paramedics and boosting access to and distribution of personal</w:t>
      </w:r>
      <w:r w:rsidR="00397EAA">
        <w:t> </w:t>
      </w:r>
      <w:r w:rsidRPr="002029AF">
        <w:t>protective equipment (PPE).</w:t>
      </w:r>
    </w:p>
    <w:p w14:paraId="46C366A7" w14:textId="77777777" w:rsidR="000A264C" w:rsidRPr="002029AF" w:rsidRDefault="00603E4B" w:rsidP="000A264C">
      <w:pPr>
        <w:pStyle w:val="ARbody"/>
      </w:pPr>
      <w:r w:rsidRPr="002029AF">
        <w:t xml:space="preserve">Boosting inpatient capacity for health services was designed to help manage increased demand from the coronavirus (COVID-19) pandemic and ensure hospitals could continue to treat patients with other conditions. </w:t>
      </w:r>
      <w:r w:rsidR="000A264C" w:rsidRPr="002029AF">
        <w:t>This approach included</w:t>
      </w:r>
      <w:r w:rsidR="000A264C">
        <w:t xml:space="preserve"> the following</w:t>
      </w:r>
      <w:r w:rsidR="000A264C" w:rsidRPr="002029AF">
        <w:t xml:space="preserve"> three projects to increase capacity for care to respond to coronavirus (COVID-19):</w:t>
      </w:r>
    </w:p>
    <w:p w14:paraId="51460117" w14:textId="77777777" w:rsidR="000A264C" w:rsidRPr="002029AF" w:rsidRDefault="000A264C" w:rsidP="00FF3CAB">
      <w:pPr>
        <w:pStyle w:val="ARbullet1"/>
        <w:numPr>
          <w:ilvl w:val="0"/>
          <w:numId w:val="51"/>
        </w:numPr>
      </w:pPr>
      <w:r w:rsidRPr="002029AF">
        <w:t>Bendigo Health has 45 new beds which are now in operation and the new hospital also has built-in capacity for 20 additional intensive care beds if they are required in emergency situations</w:t>
      </w:r>
    </w:p>
    <w:p w14:paraId="05A4A2D4" w14:textId="77777777" w:rsidR="000A264C" w:rsidRPr="002029AF" w:rsidRDefault="000A264C" w:rsidP="00FF3CAB">
      <w:pPr>
        <w:pStyle w:val="ARbullet1"/>
        <w:numPr>
          <w:ilvl w:val="0"/>
          <w:numId w:val="51"/>
        </w:numPr>
      </w:pPr>
      <w:r w:rsidRPr="002029AF">
        <w:t>Baxter House, the former Geelong Private Hospital, has undergone a rapid renovation to provide a new Acute Respiratory Assessment Clinic with 50 new beds and consulting rooms</w:t>
      </w:r>
    </w:p>
    <w:p w14:paraId="18075FD5" w14:textId="6B96CD2A" w:rsidR="000A264C" w:rsidRPr="002029AF" w:rsidRDefault="000A264C" w:rsidP="00FF3CAB">
      <w:pPr>
        <w:pStyle w:val="ARbullet1"/>
        <w:numPr>
          <w:ilvl w:val="0"/>
          <w:numId w:val="51"/>
        </w:numPr>
      </w:pPr>
      <w:r>
        <w:t>The f</w:t>
      </w:r>
      <w:r w:rsidRPr="002029AF">
        <w:t>ormer Peter MacCallum Cancer Centre has</w:t>
      </w:r>
      <w:r w:rsidR="00397EAA">
        <w:t> </w:t>
      </w:r>
      <w:r w:rsidRPr="002029AF">
        <w:t>works to provide a further 84 beds. Funding enabled the re-establishment of essential services such as plumbing and power and other works to get the building ready for patients again.</w:t>
      </w:r>
    </w:p>
    <w:p w14:paraId="14460608" w14:textId="25B12E18" w:rsidR="00603E4B" w:rsidRPr="002029AF" w:rsidRDefault="00AD78D6" w:rsidP="00603E4B">
      <w:pPr>
        <w:pStyle w:val="ARbodyafterbullets"/>
      </w:pPr>
      <w:r>
        <w:br w:type="column"/>
      </w:r>
      <w:r w:rsidR="00603E4B" w:rsidRPr="002029AF">
        <w:t>In addition, the Victorian Government struck a deal</w:t>
      </w:r>
      <w:r w:rsidR="00397EAA">
        <w:t> </w:t>
      </w:r>
      <w:r w:rsidR="00603E4B" w:rsidRPr="002029AF">
        <w:t>with the state’s private hospital operators to</w:t>
      </w:r>
      <w:r w:rsidR="00397EAA">
        <w:t> </w:t>
      </w:r>
      <w:r w:rsidR="00603E4B" w:rsidRPr="002029AF">
        <w:t>ensure public and private hospitals worked together to respond successfully to the coronavirus</w:t>
      </w:r>
      <w:r w:rsidR="00397EAA">
        <w:t> </w:t>
      </w:r>
      <w:r w:rsidR="00603E4B" w:rsidRPr="002029AF">
        <w:t>(COVID-19) pandemic, and to facilitate</w:t>
      </w:r>
      <w:r w:rsidR="00397EAA">
        <w:t> </w:t>
      </w:r>
      <w:r w:rsidR="00603E4B" w:rsidRPr="002029AF">
        <w:t>a shared collaborative response in delivering safe, coordinated care during the response to coronavirus (COVID-19) and during</w:t>
      </w:r>
      <w:r w:rsidR="00397EAA">
        <w:t> </w:t>
      </w:r>
      <w:r w:rsidR="00603E4B" w:rsidRPr="002029AF">
        <w:t>subsequent recovery cases.</w:t>
      </w:r>
    </w:p>
    <w:p w14:paraId="5D622EFB" w14:textId="77777777" w:rsidR="00603E4B" w:rsidRPr="002029AF" w:rsidRDefault="00603E4B" w:rsidP="00603E4B">
      <w:pPr>
        <w:pStyle w:val="ARbody"/>
      </w:pPr>
      <w:r w:rsidRPr="002029AF">
        <w:t>This deal was on top of a recruitment drive which invited healthcare specialists, including retired doctors, nurses, midwives, paramedics and allied health professionals, to register their interest and undertake training to refresh their skills, in order to return to work as part of the Victorian Government’s coronavirus (COVID-19) response.</w:t>
      </w:r>
    </w:p>
    <w:p w14:paraId="1AB142DE" w14:textId="77777777" w:rsidR="00603E4B" w:rsidRPr="002029AF" w:rsidRDefault="00603E4B" w:rsidP="00603E4B">
      <w:pPr>
        <w:pStyle w:val="Heading6"/>
        <w:rPr>
          <w:lang w:val="en-AU"/>
        </w:rPr>
      </w:pPr>
      <w:r w:rsidRPr="002029AF">
        <w:rPr>
          <w:lang w:val="en-AU"/>
        </w:rPr>
        <w:t>Stockpiling medical supplies and PPE</w:t>
      </w:r>
    </w:p>
    <w:p w14:paraId="1D5EFB31" w14:textId="75274FE0" w:rsidR="00603E4B" w:rsidRPr="002029AF" w:rsidRDefault="00603E4B" w:rsidP="00603E4B">
      <w:pPr>
        <w:pStyle w:val="ARbody"/>
      </w:pPr>
      <w:r w:rsidRPr="002029AF">
        <w:t>The provision and use of medical supplies and PPE</w:t>
      </w:r>
      <w:r w:rsidR="00586502">
        <w:t>,</w:t>
      </w:r>
      <w:r w:rsidRPr="002029AF">
        <w:t xml:space="preserve"> such as surgical masks, gloves, gowns, hand sanitiser and ventilators, have been critical to the coronavirus (COVID-19) response.</w:t>
      </w:r>
    </w:p>
    <w:p w14:paraId="5FD757A6" w14:textId="77777777" w:rsidR="00603E4B" w:rsidRPr="002029AF" w:rsidRDefault="00603E4B" w:rsidP="00603E4B">
      <w:pPr>
        <w:pStyle w:val="ARbody"/>
      </w:pPr>
      <w:r w:rsidRPr="002029AF">
        <w:t>The department, in partnership with Health Purchasing Victoria and Monash Health, rapidly established a centralised statewide procurement and supply chain for critical PPE and equipment.</w:t>
      </w:r>
    </w:p>
    <w:p w14:paraId="634A54C4" w14:textId="77777777" w:rsidR="00603E4B" w:rsidRPr="002029AF" w:rsidRDefault="00603E4B" w:rsidP="00603E4B">
      <w:pPr>
        <w:pStyle w:val="ARbody"/>
      </w:pPr>
      <w:r w:rsidRPr="002029AF">
        <w:t>The central supply chain supplies PPE to:</w:t>
      </w:r>
    </w:p>
    <w:p w14:paraId="35A2DEC3" w14:textId="77777777" w:rsidR="00603E4B" w:rsidRPr="002029AF" w:rsidRDefault="00603E4B" w:rsidP="00FF3CAB">
      <w:pPr>
        <w:pStyle w:val="ARbullet1"/>
        <w:numPr>
          <w:ilvl w:val="0"/>
          <w:numId w:val="51"/>
        </w:numPr>
      </w:pPr>
      <w:r w:rsidRPr="002029AF">
        <w:t>all department-funded health services (including public hospitals and community-based services)</w:t>
      </w:r>
    </w:p>
    <w:p w14:paraId="4448A679" w14:textId="00302C74" w:rsidR="00603E4B" w:rsidRPr="002029AF" w:rsidRDefault="00603E4B" w:rsidP="00FF3CAB">
      <w:pPr>
        <w:pStyle w:val="ARbullet1"/>
        <w:numPr>
          <w:ilvl w:val="0"/>
          <w:numId w:val="51"/>
        </w:numPr>
      </w:pPr>
      <w:r w:rsidRPr="002029AF">
        <w:t>private hospitals (for their public activities such as coronavirus (COVID-19) treatment and public elective surgery</w:t>
      </w:r>
    </w:p>
    <w:p w14:paraId="32273C4F" w14:textId="77777777" w:rsidR="00603E4B" w:rsidRPr="002029AF" w:rsidRDefault="00603E4B" w:rsidP="00FF3CAB">
      <w:pPr>
        <w:pStyle w:val="ARbullet1"/>
        <w:numPr>
          <w:ilvl w:val="0"/>
          <w:numId w:val="51"/>
        </w:numPr>
      </w:pPr>
      <w:r w:rsidRPr="002029AF">
        <w:t>GP assessment clinics</w:t>
      </w:r>
    </w:p>
    <w:p w14:paraId="26418010" w14:textId="77777777" w:rsidR="00603E4B" w:rsidRPr="002029AF" w:rsidRDefault="00603E4B" w:rsidP="00FF3CAB">
      <w:pPr>
        <w:pStyle w:val="ARbullet1"/>
        <w:numPr>
          <w:ilvl w:val="0"/>
          <w:numId w:val="51"/>
        </w:numPr>
      </w:pPr>
      <w:r w:rsidRPr="002029AF">
        <w:t>testing programs</w:t>
      </w:r>
    </w:p>
    <w:p w14:paraId="39DAA5BA" w14:textId="77777777" w:rsidR="00603E4B" w:rsidRPr="002029AF" w:rsidRDefault="00603E4B" w:rsidP="00FF3CAB">
      <w:pPr>
        <w:pStyle w:val="ARbullet1"/>
        <w:numPr>
          <w:ilvl w:val="0"/>
          <w:numId w:val="51"/>
        </w:numPr>
      </w:pPr>
      <w:r w:rsidRPr="002029AF">
        <w:t>quarantine hotels.</w:t>
      </w:r>
    </w:p>
    <w:p w14:paraId="1414A817" w14:textId="77777777" w:rsidR="00603E4B" w:rsidRPr="002029AF" w:rsidRDefault="00603E4B" w:rsidP="00603E4B">
      <w:pPr>
        <w:pStyle w:val="ARbodyafterbullets"/>
      </w:pPr>
      <w:r w:rsidRPr="002029AF">
        <w:t>Over 132 million items of PPE have been supplied to the above services.</w:t>
      </w:r>
    </w:p>
    <w:p w14:paraId="778133D3" w14:textId="77777777" w:rsidR="00603E4B" w:rsidRPr="002029AF" w:rsidRDefault="00603E4B" w:rsidP="00603E4B">
      <w:pPr>
        <w:pStyle w:val="ARbody"/>
      </w:pPr>
      <w:r w:rsidRPr="002029AF">
        <w:t>Prior to the pandemic, Victoria’s health system was well equipped with ventilators and other emergency equipment, with approximately 1,100 ventilators across the system. In response to the coronavirus (COVID-19) pandemic, the Victorian Government has:</w:t>
      </w:r>
    </w:p>
    <w:p w14:paraId="32AE0BB5" w14:textId="77777777" w:rsidR="00603E4B" w:rsidRPr="002029AF" w:rsidRDefault="00603E4B" w:rsidP="00FF3CAB">
      <w:pPr>
        <w:pStyle w:val="ARbullet1"/>
        <w:numPr>
          <w:ilvl w:val="0"/>
          <w:numId w:val="51"/>
        </w:numPr>
      </w:pPr>
      <w:r w:rsidRPr="002029AF">
        <w:t>expended $325 million to purchase a central stockpile of ICU equipment, including ventilators and other essential items</w:t>
      </w:r>
    </w:p>
    <w:p w14:paraId="5A03E184" w14:textId="77777777" w:rsidR="00603E4B" w:rsidRPr="002029AF" w:rsidRDefault="00603E4B" w:rsidP="00FF3CAB">
      <w:pPr>
        <w:pStyle w:val="ARbullet1"/>
        <w:numPr>
          <w:ilvl w:val="0"/>
          <w:numId w:val="51"/>
        </w:numPr>
        <w:rPr>
          <w:color w:val="000000" w:themeColor="text1"/>
        </w:rPr>
      </w:pPr>
      <w:r w:rsidRPr="002029AF">
        <w:rPr>
          <w:color w:val="000000" w:themeColor="text1"/>
        </w:rPr>
        <w:t>confirmed purchases of 5,194 new ventilators.</w:t>
      </w:r>
    </w:p>
    <w:p w14:paraId="61EF58B9" w14:textId="77777777" w:rsidR="00603E4B" w:rsidRPr="002029AF" w:rsidRDefault="00603E4B" w:rsidP="00603E4B">
      <w:pPr>
        <w:pStyle w:val="ARbodyafterbullets"/>
      </w:pPr>
      <w:r w:rsidRPr="002029AF">
        <w:lastRenderedPageBreak/>
        <w:t>These purchases ensured Victorian healthcare workers were well supplied and protected throughout the coronavirus (COVID-19) pandemic.</w:t>
      </w:r>
    </w:p>
    <w:p w14:paraId="362B8DE5" w14:textId="77777777" w:rsidR="00603E4B" w:rsidRPr="002029AF" w:rsidRDefault="00603E4B" w:rsidP="00603E4B">
      <w:pPr>
        <w:pStyle w:val="ARbody"/>
      </w:pPr>
      <w:r w:rsidRPr="002029AF">
        <w:t>In addition, more than 10 million gloves, 16 million surgical masks, two million masks, five million isolation gowns and more than two million face shields and eye protection arrived at a warehouse facility in April 2020. A further 551 million gloves, 100 million masks and 14.5 million gowns were ordered to prepare for the peak of the pandemic.</w:t>
      </w:r>
    </w:p>
    <w:p w14:paraId="3FEF581E" w14:textId="77777777" w:rsidR="00603E4B" w:rsidRDefault="00603E4B" w:rsidP="00603E4B">
      <w:pPr>
        <w:pStyle w:val="ARbody"/>
      </w:pPr>
      <w:r w:rsidRPr="002029AF">
        <w:t>The 8,000 square metre warehouse was opened in August 2019 to allow for increased stock levels of critical hospital supplies and medical equipment, and for quick distribution to wherever it was most needed.</w:t>
      </w:r>
    </w:p>
    <w:p w14:paraId="4C6B94B2" w14:textId="77777777" w:rsidR="00590355" w:rsidRPr="002029AF" w:rsidRDefault="00590355" w:rsidP="00590355">
      <w:pPr>
        <w:pStyle w:val="Heading6"/>
        <w:rPr>
          <w:lang w:val="en-AU"/>
        </w:rPr>
      </w:pPr>
      <w:r w:rsidRPr="002029AF">
        <w:rPr>
          <w:lang w:val="en-AU"/>
        </w:rPr>
        <w:t>Family violence coronavirus (COVID-19) pandemic response and support</w:t>
      </w:r>
    </w:p>
    <w:p w14:paraId="56344209" w14:textId="571A911D" w:rsidR="00590355" w:rsidRPr="002029AF" w:rsidRDefault="00590355" w:rsidP="00590355">
      <w:pPr>
        <w:pStyle w:val="ARbody"/>
      </w:pPr>
      <w:r w:rsidRPr="002029AF">
        <w:t>Protecting Victorians remains a top priority for the department throughout the coronavirus (COVID-19) pandemic</w:t>
      </w:r>
      <w:r>
        <w:t>.</w:t>
      </w:r>
      <w:r w:rsidRPr="009E23DD">
        <w:t xml:space="preserve"> Family violence frontline services, including crisis accommodation, police and courts continue to operate to support adults, children and families.</w:t>
      </w:r>
    </w:p>
    <w:p w14:paraId="2DD63726" w14:textId="71168413" w:rsidR="00590355" w:rsidRPr="002029AF" w:rsidRDefault="00590355" w:rsidP="00590355">
      <w:pPr>
        <w:pStyle w:val="ARbody"/>
      </w:pPr>
      <w:r w:rsidRPr="002029AF">
        <w:t>Disaster events cause emotional, social and financial stress, and research shows this can compound the gendered drivers of violence and exacerbate the conditions that lead to violence.</w:t>
      </w:r>
      <w:r>
        <w:t xml:space="preserve"> </w:t>
      </w:r>
      <w:r w:rsidRPr="002029AF">
        <w:t>Additional supports announced in April and May 2020 recognise that self-isolation and increased stress during the coronavirus (COVID-19) pandemic will likely lead to an increase in family</w:t>
      </w:r>
      <w:r w:rsidR="00397EAA">
        <w:t> </w:t>
      </w:r>
      <w:r w:rsidRPr="002029AF">
        <w:t>violence incidents.</w:t>
      </w:r>
    </w:p>
    <w:p w14:paraId="0E0E8B84" w14:textId="28FD4EB5" w:rsidR="00590355" w:rsidRPr="009E23DD" w:rsidRDefault="00590355" w:rsidP="00590355">
      <w:pPr>
        <w:pStyle w:val="ARbody"/>
      </w:pPr>
      <w:r w:rsidRPr="009E23DD">
        <w:t xml:space="preserve">Key initiatives and funding announced in response to the pandemic included $40.2 million over two years to address the impacts of the </w:t>
      </w:r>
      <w:r w:rsidR="00564802">
        <w:t>coronavirus (</w:t>
      </w:r>
      <w:r w:rsidRPr="009E23DD">
        <w:t>COVID-19</w:t>
      </w:r>
      <w:r w:rsidR="00564802">
        <w:t>)</w:t>
      </w:r>
      <w:r w:rsidRPr="009E23DD">
        <w:t xml:space="preserve"> pandemic. This included:</w:t>
      </w:r>
    </w:p>
    <w:p w14:paraId="469FF851" w14:textId="58F51CB1" w:rsidR="00590355" w:rsidRPr="009E23DD" w:rsidRDefault="00590355" w:rsidP="00FF3CAB">
      <w:pPr>
        <w:pStyle w:val="ARbullet1"/>
        <w:numPr>
          <w:ilvl w:val="0"/>
          <w:numId w:val="51"/>
        </w:numPr>
      </w:pPr>
      <w:r w:rsidRPr="009E23DD">
        <w:t>$20.2 million to provide additional support services for victim survivors and service providers to adapt to the changing service delivery environment</w:t>
      </w:r>
      <w:r w:rsidR="00564802">
        <w:t>. This</w:t>
      </w:r>
      <w:r w:rsidRPr="009E23DD">
        <w:t xml:space="preserve"> includ</w:t>
      </w:r>
      <w:r w:rsidR="00564802">
        <w:t>ed</w:t>
      </w:r>
      <w:r w:rsidR="00E033B2">
        <w:t xml:space="preserve"> the provision of</w:t>
      </w:r>
      <w:r w:rsidR="00397EAA">
        <w:t> </w:t>
      </w:r>
      <w:r w:rsidRPr="009E23DD">
        <w:t>new technology and protective equipment for up to 120 family violence and sexual assault organisations so they can adapt their services and keep their staff safe while protecting and supporting victim</w:t>
      </w:r>
      <w:r w:rsidR="00564802">
        <w:t xml:space="preserve"> </w:t>
      </w:r>
      <w:r w:rsidRPr="009E23DD">
        <w:t>survivors, and targeted funding for Aboriginal community-controlled organisations to meet additional demand for family violence case management and crisis support</w:t>
      </w:r>
    </w:p>
    <w:p w14:paraId="64C89F27" w14:textId="03406CEF" w:rsidR="0009601F" w:rsidRPr="002029AF" w:rsidRDefault="00590355" w:rsidP="00FF3CAB">
      <w:pPr>
        <w:pStyle w:val="ARbullet1"/>
        <w:numPr>
          <w:ilvl w:val="0"/>
          <w:numId w:val="51"/>
        </w:numPr>
      </w:pPr>
      <w:r w:rsidRPr="009E23DD">
        <w:t xml:space="preserve">$20 million for a </w:t>
      </w:r>
      <w:r w:rsidR="00E033B2">
        <w:t>coronavirus (</w:t>
      </w:r>
      <w:r w:rsidRPr="009E23DD">
        <w:t>COVID-19</w:t>
      </w:r>
      <w:r w:rsidR="00E033B2">
        <w:t>)</w:t>
      </w:r>
      <w:r w:rsidRPr="009E23DD">
        <w:t xml:space="preserve"> Family Violence Housing Package for short-term accommodation for people who cannot safely isolate or recover from</w:t>
      </w:r>
      <w:r w:rsidR="00E033B2">
        <w:t xml:space="preserve"> coronavirus</w:t>
      </w:r>
      <w:r w:rsidRPr="009E23DD">
        <w:t xml:space="preserve"> </w:t>
      </w:r>
      <w:r w:rsidR="00E033B2">
        <w:t>(</w:t>
      </w:r>
      <w:r w:rsidRPr="009E23DD">
        <w:t>COVID-19</w:t>
      </w:r>
      <w:r w:rsidR="00E033B2">
        <w:t>)</w:t>
      </w:r>
      <w:r w:rsidRPr="009E23DD">
        <w:t xml:space="preserve"> at home</w:t>
      </w:r>
      <w:r w:rsidR="00564802">
        <w:t>.</w:t>
      </w:r>
      <w:r w:rsidRPr="002029AF" w:rsidDel="009A32F5">
        <w:t xml:space="preserve"> </w:t>
      </w:r>
      <w:r w:rsidR="00564802">
        <w:t>T</w:t>
      </w:r>
      <w:r w:rsidR="0009601F" w:rsidRPr="0009601F">
        <w:t>o enable victim survivors to remain safely in their homes, the funding will also provide accommodation for perpetrators.</w:t>
      </w:r>
    </w:p>
    <w:p w14:paraId="4E9B843D" w14:textId="57C8CD9F" w:rsidR="00590355" w:rsidRDefault="00E033B2" w:rsidP="00AD78D6">
      <w:pPr>
        <w:pStyle w:val="ARbodyafterbullets"/>
      </w:pPr>
      <w:r>
        <w:t xml:space="preserve">Relaunching of </w:t>
      </w:r>
      <w:r w:rsidR="00564802">
        <w:t>t</w:t>
      </w:r>
      <w:r w:rsidR="00590355" w:rsidRPr="009E23DD">
        <w:t>he Respect Women: Call it Out</w:t>
      </w:r>
      <w:r w:rsidR="00397EAA">
        <w:t> </w:t>
      </w:r>
      <w:r w:rsidR="00590355" w:rsidRPr="009E23DD">
        <w:t>campaign. This public television campaign encourages men at risk of using violence to reach</w:t>
      </w:r>
      <w:r w:rsidR="00397EAA">
        <w:t> </w:t>
      </w:r>
      <w:r w:rsidR="00590355" w:rsidRPr="009E23DD">
        <w:t xml:space="preserve">out for support. </w:t>
      </w:r>
      <w:r w:rsidR="00542DFD">
        <w:t xml:space="preserve">It </w:t>
      </w:r>
      <w:r w:rsidR="00590355" w:rsidRPr="009E23DD">
        <w:t>builds on the</w:t>
      </w:r>
      <w:r w:rsidR="00397EAA">
        <w:t> </w:t>
      </w:r>
      <w:r w:rsidR="00AC6591">
        <w:t xml:space="preserve">original </w:t>
      </w:r>
      <w:r w:rsidR="00590355" w:rsidRPr="009E23DD">
        <w:t xml:space="preserve">Respect </w:t>
      </w:r>
      <w:r w:rsidR="00291C88">
        <w:t>W</w:t>
      </w:r>
      <w:r w:rsidR="00590355" w:rsidRPr="009E23DD">
        <w:t>omen: Call it out campaign seen by</w:t>
      </w:r>
      <w:r w:rsidR="00397EAA">
        <w:t> </w:t>
      </w:r>
      <w:r w:rsidR="00590355" w:rsidRPr="009E23DD">
        <w:t>more than 11 million Victorians.</w:t>
      </w:r>
    </w:p>
    <w:p w14:paraId="5C144D24" w14:textId="77777777" w:rsidR="00603E4B" w:rsidRPr="002029AF" w:rsidRDefault="00603E4B" w:rsidP="00603E4B">
      <w:pPr>
        <w:pStyle w:val="Heading6"/>
        <w:rPr>
          <w:lang w:val="en-AU"/>
        </w:rPr>
      </w:pPr>
      <w:r w:rsidRPr="002029AF">
        <w:rPr>
          <w:lang w:val="en-AU"/>
        </w:rPr>
        <w:t>Rapid adaptation of departmental operations</w:t>
      </w:r>
    </w:p>
    <w:p w14:paraId="11E03A8B" w14:textId="61CAB4F0" w:rsidR="00603E4B" w:rsidRPr="002029AF" w:rsidRDefault="00603E4B" w:rsidP="00603E4B">
      <w:pPr>
        <w:pStyle w:val="ARbody"/>
      </w:pPr>
      <w:r w:rsidRPr="002029AF">
        <w:t xml:space="preserve">In March 2020, the department began redeploying its staff to assist with the Victorian Government’s response to the pandemic, all the while continuing to deliver critical health and social services. </w:t>
      </w:r>
      <w:r w:rsidR="00A465EF" w:rsidRPr="00472A1B">
        <w:t xml:space="preserve">As of October 2020, </w:t>
      </w:r>
      <w:r w:rsidR="00AC6591">
        <w:t>the department</w:t>
      </w:r>
      <w:r w:rsidR="00AC6591" w:rsidRPr="00472A1B">
        <w:t xml:space="preserve"> </w:t>
      </w:r>
      <w:r w:rsidR="00A465EF" w:rsidRPr="00472A1B">
        <w:t xml:space="preserve">has a workforce of over 7,406 staff working on the </w:t>
      </w:r>
      <w:r w:rsidR="00AC6591">
        <w:t>coronavirus (</w:t>
      </w:r>
      <w:r w:rsidR="00A465EF" w:rsidRPr="00472A1B">
        <w:t>COVID</w:t>
      </w:r>
      <w:r w:rsidR="00AC6591">
        <w:t>-19)</w:t>
      </w:r>
      <w:r w:rsidR="00A465EF" w:rsidRPr="00472A1B">
        <w:t xml:space="preserve"> response</w:t>
      </w:r>
      <w:r w:rsidR="00B6466A">
        <w:t>.</w:t>
      </w:r>
      <w:r w:rsidR="007371AE">
        <w:t xml:space="preserve"> </w:t>
      </w:r>
      <w:r w:rsidR="00B6466A">
        <w:t>Of these,</w:t>
      </w:r>
      <w:r w:rsidR="00B6466A" w:rsidRPr="00472A1B">
        <w:t xml:space="preserve"> </w:t>
      </w:r>
      <w:r w:rsidR="00A465EF" w:rsidRPr="00472A1B">
        <w:t>approximately 3,376 FTE, representing 80 per cent of the department</w:t>
      </w:r>
      <w:r w:rsidR="005F298C">
        <w:t>’</w:t>
      </w:r>
      <w:r w:rsidR="00A465EF" w:rsidRPr="00472A1B">
        <w:t>s non</w:t>
      </w:r>
      <w:r w:rsidR="00AC6591">
        <w:t>-</w:t>
      </w:r>
      <w:r w:rsidR="00A465EF" w:rsidRPr="00472A1B">
        <w:t>frontline staff</w:t>
      </w:r>
      <w:r w:rsidR="00AC6591">
        <w:t>,</w:t>
      </w:r>
      <w:r w:rsidR="00A465EF" w:rsidRPr="00472A1B">
        <w:t xml:space="preserve"> have been mobilised</w:t>
      </w:r>
      <w:r w:rsidR="00E01134">
        <w:t xml:space="preserve"> </w:t>
      </w:r>
      <w:r w:rsidRPr="002029AF">
        <w:t>to undertake coronavirus (COVID-19) direct response roles and</w:t>
      </w:r>
      <w:r w:rsidR="00397EAA">
        <w:t> </w:t>
      </w:r>
      <w:r w:rsidRPr="002029AF">
        <w:t>support functions across the full breadth of response activities</w:t>
      </w:r>
      <w:r w:rsidR="00CB6444">
        <w:t xml:space="preserve">. </w:t>
      </w:r>
      <w:r w:rsidRPr="002029AF">
        <w:t xml:space="preserve">To support this redeployment, the Victorian Government repurposed its Jobs and Skills Exchange and the department’s Career Mobility Pool to capture the relevant skills, profiles and interests of staff who were willing to support the coronavirus (COVID-19) response. Similarly, to ensure staff availability for the duration of the pandemic, staff contracts were extended until </w:t>
      </w:r>
      <w:r w:rsidR="00EF1215">
        <w:t>30 June</w:t>
      </w:r>
      <w:r w:rsidRPr="002029AF">
        <w:t xml:space="preserve"> </w:t>
      </w:r>
      <w:r w:rsidR="00EF1215" w:rsidRPr="002029AF">
        <w:t>202</w:t>
      </w:r>
      <w:r w:rsidR="00EF1215">
        <w:t>1</w:t>
      </w:r>
      <w:r w:rsidRPr="002029AF">
        <w:t>.</w:t>
      </w:r>
    </w:p>
    <w:p w14:paraId="62329F84" w14:textId="414A01EF" w:rsidR="00603E4B" w:rsidRPr="002029AF" w:rsidRDefault="00603E4B" w:rsidP="00603E4B">
      <w:pPr>
        <w:pStyle w:val="ARbody"/>
      </w:pPr>
      <w:r w:rsidRPr="002029AF">
        <w:t>The rapid pivot of the department’s priorities and workforce was delivered under the public health direction that anyone who could work from home, should work from home. Over a six-week period, up</w:t>
      </w:r>
      <w:r w:rsidR="00397EAA">
        <w:t> </w:t>
      </w:r>
      <w:r w:rsidRPr="002029AF">
        <w:t>to 90 per cent of departmental employees transitioned from office-based to remote working</w:t>
      </w:r>
      <w:r w:rsidR="00397EAA">
        <w:t> </w:t>
      </w:r>
      <w:r w:rsidRPr="002029AF">
        <w:t>arrangements, with up to 10,000 concurrent users connected to the department’s systems via Go Connect every day. To enable this, the department’s Corporate Services Division, especially its Business Technology and Information Management and Organisational Transformation Division worked tirelessly to fast track a number of</w:t>
      </w:r>
      <w:r w:rsidR="00397EAA">
        <w:t> </w:t>
      </w:r>
      <w:r w:rsidRPr="002029AF">
        <w:t xml:space="preserve">technology projects designed to improve the experience of working remotely, to keep teams connected and productive, and to provide </w:t>
      </w:r>
      <w:r w:rsidRPr="002029AF">
        <w:lastRenderedPageBreak/>
        <w:t>opportunities for online professional development. Such projects included:</w:t>
      </w:r>
    </w:p>
    <w:p w14:paraId="687718A6" w14:textId="77777777" w:rsidR="000A264C" w:rsidRPr="002029AF" w:rsidRDefault="000A264C" w:rsidP="00FF3CAB">
      <w:pPr>
        <w:pStyle w:val="ARbullet1"/>
        <w:numPr>
          <w:ilvl w:val="0"/>
          <w:numId w:val="51"/>
        </w:numPr>
      </w:pPr>
      <w:r w:rsidRPr="002029AF">
        <w:t>full deployment of Microsoft Office365 and Microsoft Teams, enabling staff to work remotely, from any location and on any device</w:t>
      </w:r>
      <w:r>
        <w:t>,</w:t>
      </w:r>
      <w:r w:rsidRPr="002029AF">
        <w:t xml:space="preserve"> and to have highly secure access to departmental systems and tools</w:t>
      </w:r>
    </w:p>
    <w:p w14:paraId="695DE249" w14:textId="77777777" w:rsidR="00603E4B" w:rsidRPr="002029AF" w:rsidRDefault="00603E4B" w:rsidP="00FF3CAB">
      <w:pPr>
        <w:pStyle w:val="ARbullet1"/>
        <w:numPr>
          <w:ilvl w:val="0"/>
          <w:numId w:val="51"/>
        </w:numPr>
      </w:pPr>
      <w:r w:rsidRPr="002029AF">
        <w:t>delivering all-staff forums and other team meetings remotely, using Teams Live events</w:t>
      </w:r>
    </w:p>
    <w:p w14:paraId="51BEF478" w14:textId="77777777" w:rsidR="00603E4B" w:rsidRPr="002029AF" w:rsidRDefault="00603E4B" w:rsidP="00FF3CAB">
      <w:pPr>
        <w:pStyle w:val="ARbullet1"/>
        <w:numPr>
          <w:ilvl w:val="0"/>
          <w:numId w:val="51"/>
        </w:numPr>
      </w:pPr>
      <w:r w:rsidRPr="002029AF">
        <w:t>working closely with Cenitex to improve the stability and capacity of the department’s networking infrastructure (GoConnect)</w:t>
      </w:r>
    </w:p>
    <w:p w14:paraId="25B5734A" w14:textId="77777777" w:rsidR="00603E4B" w:rsidRPr="002029AF" w:rsidRDefault="00603E4B" w:rsidP="00FF3CAB">
      <w:pPr>
        <w:pStyle w:val="ARbullet1"/>
        <w:numPr>
          <w:ilvl w:val="0"/>
          <w:numId w:val="51"/>
        </w:numPr>
      </w:pPr>
      <w:r w:rsidRPr="002029AF">
        <w:t>introducing LinkedIn Learning and other webinar-based professional development</w:t>
      </w:r>
    </w:p>
    <w:p w14:paraId="3D14B39A" w14:textId="77777777" w:rsidR="00603E4B" w:rsidRPr="002029AF" w:rsidRDefault="00603E4B" w:rsidP="00FF3CAB">
      <w:pPr>
        <w:pStyle w:val="ARbullet1"/>
        <w:numPr>
          <w:ilvl w:val="0"/>
          <w:numId w:val="51"/>
        </w:numPr>
      </w:pPr>
      <w:r w:rsidRPr="002029AF">
        <w:t>introducing the ‘keeping in touch’ initiative to keep track of the physical location of staff and current work assignments</w:t>
      </w:r>
    </w:p>
    <w:p w14:paraId="5E3AECFE" w14:textId="77777777" w:rsidR="00603E4B" w:rsidRPr="002029AF" w:rsidRDefault="00603E4B" w:rsidP="00FF3CAB">
      <w:pPr>
        <w:pStyle w:val="ARbullet1"/>
        <w:numPr>
          <w:ilvl w:val="0"/>
          <w:numId w:val="51"/>
        </w:numPr>
      </w:pPr>
      <w:r w:rsidRPr="002029AF">
        <w:t>introducing the ‘Ways of Working’ service</w:t>
      </w:r>
    </w:p>
    <w:p w14:paraId="15A2A225" w14:textId="61177D10" w:rsidR="00603E4B" w:rsidRPr="002029AF" w:rsidRDefault="00603E4B" w:rsidP="00FF3CAB">
      <w:pPr>
        <w:pStyle w:val="ARbullet1"/>
        <w:numPr>
          <w:ilvl w:val="0"/>
          <w:numId w:val="51"/>
        </w:numPr>
      </w:pPr>
      <w:r w:rsidRPr="002029AF">
        <w:t>providing online access to the intranet</w:t>
      </w:r>
    </w:p>
    <w:p w14:paraId="0A433AEA" w14:textId="19422557" w:rsidR="005C4D18" w:rsidRDefault="00603E4B" w:rsidP="005C4D18">
      <w:pPr>
        <w:pStyle w:val="ARbullet1"/>
        <w:numPr>
          <w:ilvl w:val="0"/>
          <w:numId w:val="51"/>
        </w:numPr>
      </w:pPr>
      <w:r w:rsidRPr="002029AF">
        <w:t>introducing OurService, OurPeople and OurBriefings software to support core business functions and new ways of managing briefs, papers and decisions in an increasingly online environment.</w:t>
      </w:r>
    </w:p>
    <w:p w14:paraId="133B7671" w14:textId="199F2D2F" w:rsidR="00603E4B" w:rsidRPr="002029AF" w:rsidRDefault="00AD78D6" w:rsidP="00111CB0">
      <w:pPr>
        <w:pStyle w:val="ARbodyafterbullets"/>
      </w:pPr>
      <w:r>
        <w:br w:type="column"/>
      </w:r>
      <w:r w:rsidR="00603E4B" w:rsidRPr="002029AF">
        <w:t>In addition, staff were permitted to take office equipment home to ensure safe and appropriate set-up of remote workspaces for the duration of the</w:t>
      </w:r>
      <w:r w:rsidR="00397EAA">
        <w:t> </w:t>
      </w:r>
      <w:r w:rsidR="00603E4B" w:rsidRPr="002029AF">
        <w:t>working-from-home directive.</w:t>
      </w:r>
    </w:p>
    <w:p w14:paraId="7991010C" w14:textId="77777777" w:rsidR="005C4D18" w:rsidRDefault="00603E4B" w:rsidP="00603E4B">
      <w:pPr>
        <w:pStyle w:val="ARbody"/>
        <w:rPr>
          <w:bdr w:val="none" w:sz="0" w:space="0" w:color="auto" w:frame="1"/>
        </w:rPr>
      </w:pPr>
      <w:r w:rsidRPr="002029AF">
        <w:t xml:space="preserve">Staff delivering critical services to Victorians have also innovated their practice. </w:t>
      </w:r>
      <w:r w:rsidRPr="002029AF">
        <w:rPr>
          <w:bdr w:val="none" w:sz="0" w:space="0" w:color="auto" w:frame="1"/>
        </w:rPr>
        <w:t>For example, the introduction of telehealth consultations for pharmacotherapy patients, telehealth for people with disabilities, and more regular phone-based welfare checks for older public housing residents have all proved very successful.</w:t>
      </w:r>
    </w:p>
    <w:p w14:paraId="47D70AA2" w14:textId="1111F92E" w:rsidR="00603E4B" w:rsidRDefault="00603E4B" w:rsidP="00603E4B">
      <w:pPr>
        <w:pStyle w:val="ARbody"/>
      </w:pPr>
      <w:r w:rsidRPr="002029AF">
        <w:t>The rapid adaptation of departmental operations has been universally lauded. Internal ‘Pulse’ surveys found that the majority of staff working from</w:t>
      </w:r>
      <w:r w:rsidR="00397EAA">
        <w:t> </w:t>
      </w:r>
      <w:r w:rsidRPr="002029AF">
        <w:t>home felt they had the supports they needed, and almost 80 per cent reported high levels of confidence working remotely. In light of this feedback, the department has committed to continuing many of these innovative systems and</w:t>
      </w:r>
      <w:r w:rsidR="00397EAA">
        <w:t> </w:t>
      </w:r>
      <w:r w:rsidRPr="002029AF">
        <w:t>flexible practices beyond the current crisis.</w:t>
      </w:r>
    </w:p>
    <w:p w14:paraId="65C700D1" w14:textId="5DACC38E" w:rsidR="00397EAA" w:rsidRPr="002029AF" w:rsidRDefault="00397EAA" w:rsidP="00603E4B">
      <w:pPr>
        <w:pStyle w:val="ARbody"/>
        <w:sectPr w:rsidR="00397EAA" w:rsidRPr="002029AF" w:rsidSect="00B45A1D">
          <w:footnotePr>
            <w:numFmt w:val="chicago"/>
            <w:numRestart w:val="eachPage"/>
          </w:footnotePr>
          <w:endnotePr>
            <w:numFmt w:val="decimal"/>
          </w:endnotePr>
          <w:type w:val="continuous"/>
          <w:pgSz w:w="11900" w:h="16840" w:code="9"/>
          <w:pgMar w:top="1985" w:right="851" w:bottom="851" w:left="1418" w:header="510" w:footer="340" w:gutter="0"/>
          <w:cols w:num="2" w:space="454"/>
          <w15:footnoteColumns w:val="1"/>
        </w:sectPr>
      </w:pPr>
    </w:p>
    <w:p w14:paraId="1E772FF7" w14:textId="77777777" w:rsidR="00603E4B" w:rsidRPr="002029AF" w:rsidRDefault="00603E4B" w:rsidP="002C0C09">
      <w:pPr>
        <w:pStyle w:val="Heading4larger"/>
      </w:pPr>
      <w:bookmarkStart w:id="52" w:name="_Ref52806676"/>
      <w:bookmarkEnd w:id="36"/>
      <w:bookmarkEnd w:id="37"/>
      <w:r w:rsidRPr="002029AF">
        <w:lastRenderedPageBreak/>
        <w:t>Objective 5: indicator results</w:t>
      </w:r>
      <w:bookmarkEnd w:id="52"/>
    </w:p>
    <w:tbl>
      <w:tblPr>
        <w:tblW w:w="965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6A0" w:firstRow="1" w:lastRow="0" w:firstColumn="1" w:lastColumn="0" w:noHBand="1" w:noVBand="1"/>
      </w:tblPr>
      <w:tblGrid>
        <w:gridCol w:w="5863"/>
        <w:gridCol w:w="938"/>
        <w:gridCol w:w="934"/>
        <w:gridCol w:w="880"/>
        <w:gridCol w:w="989"/>
        <w:gridCol w:w="49"/>
        <w:gridCol w:w="6"/>
      </w:tblGrid>
      <w:tr w:rsidR="00EA1D82" w:rsidRPr="002029AF" w14:paraId="72F7D47E" w14:textId="77777777" w:rsidTr="00F4536C">
        <w:trPr>
          <w:gridAfter w:val="2"/>
          <w:wAfter w:w="55" w:type="dxa"/>
          <w:cantSplit/>
          <w:tblHeader/>
        </w:trPr>
        <w:tc>
          <w:tcPr>
            <w:tcW w:w="5863" w:type="dxa"/>
            <w:tcBorders>
              <w:top w:val="nil"/>
              <w:left w:val="single" w:sz="4" w:space="0" w:color="FFFFFF"/>
              <w:bottom w:val="single" w:sz="4" w:space="0" w:color="auto"/>
              <w:right w:val="single" w:sz="4" w:space="0" w:color="FFFFFF"/>
            </w:tcBorders>
            <w:vAlign w:val="bottom"/>
          </w:tcPr>
          <w:p w14:paraId="51CD3FC5" w14:textId="77777777" w:rsidR="00EA1D82" w:rsidRPr="002029AF" w:rsidRDefault="00EA1D82" w:rsidP="00F4536C">
            <w:pPr>
              <w:pStyle w:val="ARtablecolhead"/>
            </w:pPr>
          </w:p>
        </w:tc>
        <w:tc>
          <w:tcPr>
            <w:tcW w:w="938" w:type="dxa"/>
            <w:tcBorders>
              <w:top w:val="nil"/>
              <w:left w:val="single" w:sz="4" w:space="0" w:color="FFFFFF"/>
              <w:bottom w:val="single" w:sz="4" w:space="0" w:color="auto"/>
              <w:right w:val="single" w:sz="4" w:space="0" w:color="FFFFFF"/>
            </w:tcBorders>
            <w:hideMark/>
          </w:tcPr>
          <w:p w14:paraId="4A14567C" w14:textId="77777777" w:rsidR="00EA1D82" w:rsidRPr="002029AF" w:rsidRDefault="00EA1D82" w:rsidP="00F4536C">
            <w:pPr>
              <w:pStyle w:val="ARtablecolhead"/>
            </w:pPr>
            <w:r w:rsidRPr="002029AF">
              <w:t>2016–17</w:t>
            </w:r>
          </w:p>
        </w:tc>
        <w:tc>
          <w:tcPr>
            <w:tcW w:w="934" w:type="dxa"/>
            <w:tcBorders>
              <w:top w:val="nil"/>
              <w:left w:val="single" w:sz="4" w:space="0" w:color="FFFFFF"/>
              <w:bottom w:val="single" w:sz="4" w:space="0" w:color="auto"/>
              <w:right w:val="single" w:sz="4" w:space="0" w:color="FFFFFF"/>
            </w:tcBorders>
            <w:hideMark/>
          </w:tcPr>
          <w:p w14:paraId="0946BECC" w14:textId="77777777" w:rsidR="00EA1D82" w:rsidRPr="002029AF" w:rsidRDefault="00EA1D82" w:rsidP="00F4536C">
            <w:pPr>
              <w:pStyle w:val="ARtablecolhead"/>
            </w:pPr>
            <w:r w:rsidRPr="002029AF">
              <w:t>2017–18</w:t>
            </w:r>
          </w:p>
        </w:tc>
        <w:tc>
          <w:tcPr>
            <w:tcW w:w="880" w:type="dxa"/>
            <w:tcBorders>
              <w:top w:val="nil"/>
              <w:left w:val="single" w:sz="4" w:space="0" w:color="FFFFFF"/>
              <w:bottom w:val="single" w:sz="4" w:space="0" w:color="auto"/>
              <w:right w:val="single" w:sz="4" w:space="0" w:color="FFFFFF"/>
            </w:tcBorders>
            <w:hideMark/>
          </w:tcPr>
          <w:p w14:paraId="7A125339" w14:textId="77777777" w:rsidR="00EA1D82" w:rsidRPr="002029AF" w:rsidRDefault="00EA1D82" w:rsidP="00F4536C">
            <w:pPr>
              <w:pStyle w:val="ARtablecolhead"/>
            </w:pPr>
            <w:r w:rsidRPr="002029AF">
              <w:t>2018–19</w:t>
            </w:r>
          </w:p>
        </w:tc>
        <w:tc>
          <w:tcPr>
            <w:tcW w:w="989" w:type="dxa"/>
            <w:tcBorders>
              <w:top w:val="nil"/>
              <w:left w:val="single" w:sz="4" w:space="0" w:color="FFFFFF"/>
              <w:bottom w:val="single" w:sz="4" w:space="0" w:color="auto"/>
              <w:right w:val="single" w:sz="4" w:space="0" w:color="FFFFFF"/>
            </w:tcBorders>
          </w:tcPr>
          <w:p w14:paraId="2C0FBDF9" w14:textId="77777777" w:rsidR="00EA1D82" w:rsidRPr="002029AF" w:rsidRDefault="00EA1D82" w:rsidP="00F4536C">
            <w:pPr>
              <w:pStyle w:val="ARtablecolhead"/>
            </w:pPr>
            <w:r w:rsidRPr="002029AF">
              <w:t>2019–20</w:t>
            </w:r>
          </w:p>
        </w:tc>
      </w:tr>
      <w:tr w:rsidR="00EA1D82" w:rsidRPr="002029AF" w14:paraId="17832DF3" w14:textId="77777777" w:rsidTr="00F4536C">
        <w:trPr>
          <w:cantSplit/>
        </w:trPr>
        <w:tc>
          <w:tcPr>
            <w:tcW w:w="9659" w:type="dxa"/>
            <w:gridSpan w:val="7"/>
            <w:tcBorders>
              <w:top w:val="single" w:sz="4" w:space="0" w:color="auto"/>
              <w:left w:val="single" w:sz="4" w:space="0" w:color="FFFFFF"/>
              <w:bottom w:val="single" w:sz="4" w:space="0" w:color="BFBFBF"/>
              <w:right w:val="single" w:sz="4" w:space="0" w:color="FFFFFF"/>
            </w:tcBorders>
            <w:hideMark/>
          </w:tcPr>
          <w:p w14:paraId="289FDA37" w14:textId="77777777" w:rsidR="00EA1D82" w:rsidRPr="002029AF" w:rsidRDefault="00EA1D82" w:rsidP="00F4536C">
            <w:pPr>
              <w:pStyle w:val="ARtablesubhead"/>
            </w:pPr>
            <w:r w:rsidRPr="002029AF">
              <w:t>Services are appropriate and accessible in the right place, at the right time</w:t>
            </w:r>
          </w:p>
        </w:tc>
      </w:tr>
      <w:tr w:rsidR="00EA1D82" w:rsidRPr="002029AF" w14:paraId="7B92A44B" w14:textId="77777777" w:rsidTr="00F4536C">
        <w:trPr>
          <w:gridAfter w:val="2"/>
          <w:wAfter w:w="55" w:type="dxa"/>
          <w:cantSplit/>
        </w:trPr>
        <w:tc>
          <w:tcPr>
            <w:tcW w:w="5863" w:type="dxa"/>
            <w:tcBorders>
              <w:top w:val="single" w:sz="4" w:space="0" w:color="auto"/>
              <w:left w:val="single" w:sz="4" w:space="0" w:color="FFFFFF"/>
              <w:bottom w:val="single" w:sz="4" w:space="0" w:color="BFBFBF"/>
              <w:right w:val="single" w:sz="4" w:space="0" w:color="FFFFFF"/>
            </w:tcBorders>
            <w:hideMark/>
          </w:tcPr>
          <w:p w14:paraId="1E867F13" w14:textId="77777777" w:rsidR="00EA1D82" w:rsidRPr="002029AF" w:rsidRDefault="00EA1D82" w:rsidP="00F4536C">
            <w:pPr>
              <w:pStyle w:val="ARtabletext"/>
              <w:rPr>
                <w:i/>
              </w:rPr>
            </w:pPr>
            <w:r w:rsidRPr="002029AF">
              <w:t>Non-urgent (Category 3) elective surgery patients admitted within 365 days</w:t>
            </w:r>
          </w:p>
        </w:tc>
        <w:tc>
          <w:tcPr>
            <w:tcW w:w="938" w:type="dxa"/>
            <w:tcBorders>
              <w:top w:val="single" w:sz="4" w:space="0" w:color="auto"/>
              <w:left w:val="single" w:sz="4" w:space="0" w:color="FFFFFF"/>
              <w:bottom w:val="single" w:sz="4" w:space="0" w:color="BFBFBF"/>
              <w:right w:val="single" w:sz="4" w:space="0" w:color="FFFFFF"/>
            </w:tcBorders>
            <w:hideMark/>
          </w:tcPr>
          <w:p w14:paraId="28C5AD6F" w14:textId="77777777" w:rsidR="00EA1D82" w:rsidRPr="002029AF" w:rsidRDefault="00EA1D82" w:rsidP="00F4536C">
            <w:pPr>
              <w:pStyle w:val="ARtabletext"/>
            </w:pPr>
            <w:r w:rsidRPr="002029AF">
              <w:t>95.0%</w:t>
            </w:r>
          </w:p>
        </w:tc>
        <w:tc>
          <w:tcPr>
            <w:tcW w:w="934" w:type="dxa"/>
            <w:tcBorders>
              <w:top w:val="single" w:sz="4" w:space="0" w:color="auto"/>
              <w:left w:val="single" w:sz="4" w:space="0" w:color="FFFFFF"/>
              <w:bottom w:val="single" w:sz="4" w:space="0" w:color="BFBFBF"/>
              <w:right w:val="single" w:sz="4" w:space="0" w:color="FFFFFF"/>
            </w:tcBorders>
            <w:hideMark/>
          </w:tcPr>
          <w:p w14:paraId="429B3146" w14:textId="77777777" w:rsidR="00EA1D82" w:rsidRPr="002029AF" w:rsidRDefault="00EA1D82" w:rsidP="00F4536C">
            <w:pPr>
              <w:pStyle w:val="ARtabletext"/>
            </w:pPr>
            <w:r w:rsidRPr="002029AF">
              <w:t>95.7%</w:t>
            </w:r>
          </w:p>
        </w:tc>
        <w:tc>
          <w:tcPr>
            <w:tcW w:w="880" w:type="dxa"/>
            <w:tcBorders>
              <w:top w:val="single" w:sz="4" w:space="0" w:color="auto"/>
              <w:left w:val="single" w:sz="4" w:space="0" w:color="FFFFFF"/>
              <w:bottom w:val="single" w:sz="4" w:space="0" w:color="BFBFBF"/>
              <w:right w:val="single" w:sz="4" w:space="0" w:color="FFFFFF"/>
            </w:tcBorders>
            <w:hideMark/>
          </w:tcPr>
          <w:p w14:paraId="56BE1BE0" w14:textId="77777777" w:rsidR="00EA1D82" w:rsidRPr="002029AF" w:rsidRDefault="00EA1D82" w:rsidP="00F4536C">
            <w:pPr>
              <w:pStyle w:val="ARtabletext"/>
            </w:pPr>
            <w:r w:rsidRPr="002029AF">
              <w:t>96.2%</w:t>
            </w:r>
          </w:p>
        </w:tc>
        <w:tc>
          <w:tcPr>
            <w:tcW w:w="989" w:type="dxa"/>
            <w:tcBorders>
              <w:top w:val="single" w:sz="4" w:space="0" w:color="auto"/>
              <w:left w:val="single" w:sz="4" w:space="0" w:color="FFFFFF"/>
              <w:bottom w:val="single" w:sz="4" w:space="0" w:color="BFBFBF"/>
              <w:right w:val="single" w:sz="4" w:space="0" w:color="FFFFFF"/>
            </w:tcBorders>
          </w:tcPr>
          <w:p w14:paraId="56404B39" w14:textId="77777777" w:rsidR="00EA1D82" w:rsidRPr="002029AF" w:rsidRDefault="00EA1D82" w:rsidP="00F4536C">
            <w:pPr>
              <w:pStyle w:val="ARtabletext"/>
            </w:pPr>
            <w:r w:rsidRPr="002029AF">
              <w:t>95.3%</w:t>
            </w:r>
          </w:p>
        </w:tc>
      </w:tr>
      <w:tr w:rsidR="00EA1D82" w:rsidRPr="002029AF" w14:paraId="38924276" w14:textId="77777777" w:rsidTr="00F4536C">
        <w:trPr>
          <w:gridAfter w:val="2"/>
          <w:wAfter w:w="55" w:type="dxa"/>
          <w:cantSplit/>
        </w:trPr>
        <w:tc>
          <w:tcPr>
            <w:tcW w:w="5863" w:type="dxa"/>
            <w:tcBorders>
              <w:top w:val="single" w:sz="4" w:space="0" w:color="BFBFBF"/>
              <w:left w:val="single" w:sz="4" w:space="0" w:color="FFFFFF"/>
              <w:bottom w:val="single" w:sz="4" w:space="0" w:color="FFFFFF"/>
              <w:right w:val="single" w:sz="4" w:space="0" w:color="FFFFFF"/>
            </w:tcBorders>
            <w:hideMark/>
          </w:tcPr>
          <w:p w14:paraId="43B5C23D" w14:textId="77777777" w:rsidR="00EA1D82" w:rsidRPr="002029AF" w:rsidRDefault="00EA1D82" w:rsidP="00F4536C">
            <w:pPr>
              <w:pStyle w:val="ARtabletext"/>
              <w:rPr>
                <w:i/>
              </w:rPr>
            </w:pPr>
            <w:r w:rsidRPr="002029AF">
              <w:t>Semi-urgent (Category 2) elective surgery patients admitted within 90 days</w:t>
            </w:r>
          </w:p>
        </w:tc>
        <w:tc>
          <w:tcPr>
            <w:tcW w:w="938" w:type="dxa"/>
            <w:tcBorders>
              <w:top w:val="single" w:sz="4" w:space="0" w:color="BFBFBF"/>
              <w:left w:val="single" w:sz="4" w:space="0" w:color="FFFFFF"/>
              <w:bottom w:val="single" w:sz="4" w:space="0" w:color="FFFFFF"/>
              <w:right w:val="single" w:sz="4" w:space="0" w:color="FFFFFF"/>
            </w:tcBorders>
            <w:hideMark/>
          </w:tcPr>
          <w:p w14:paraId="2EE974B4" w14:textId="77777777" w:rsidR="00EA1D82" w:rsidRPr="002029AF" w:rsidRDefault="00EA1D82" w:rsidP="00F4536C">
            <w:pPr>
              <w:pStyle w:val="ARtabletext"/>
            </w:pPr>
            <w:r w:rsidRPr="002029AF">
              <w:t>81.0%</w:t>
            </w:r>
          </w:p>
        </w:tc>
        <w:tc>
          <w:tcPr>
            <w:tcW w:w="934" w:type="dxa"/>
            <w:tcBorders>
              <w:top w:val="single" w:sz="4" w:space="0" w:color="BFBFBF"/>
              <w:left w:val="single" w:sz="4" w:space="0" w:color="FFFFFF"/>
              <w:bottom w:val="single" w:sz="4" w:space="0" w:color="FFFFFF"/>
              <w:right w:val="single" w:sz="4" w:space="0" w:color="FFFFFF"/>
            </w:tcBorders>
            <w:hideMark/>
          </w:tcPr>
          <w:p w14:paraId="4D2EEF5D" w14:textId="77777777" w:rsidR="00EA1D82" w:rsidRPr="002029AF" w:rsidRDefault="00EA1D82" w:rsidP="00F4536C">
            <w:pPr>
              <w:pStyle w:val="ARtabletext"/>
            </w:pPr>
            <w:r w:rsidRPr="002029AF">
              <w:t>80.6%</w:t>
            </w:r>
          </w:p>
        </w:tc>
        <w:tc>
          <w:tcPr>
            <w:tcW w:w="880" w:type="dxa"/>
            <w:tcBorders>
              <w:top w:val="single" w:sz="4" w:space="0" w:color="BFBFBF"/>
              <w:left w:val="single" w:sz="4" w:space="0" w:color="FFFFFF"/>
              <w:bottom w:val="single" w:sz="4" w:space="0" w:color="FFFFFF"/>
              <w:right w:val="single" w:sz="4" w:space="0" w:color="FFFFFF"/>
            </w:tcBorders>
            <w:hideMark/>
          </w:tcPr>
          <w:p w14:paraId="1CA191B0" w14:textId="77777777" w:rsidR="00EA1D82" w:rsidRPr="002029AF" w:rsidRDefault="00EA1D82" w:rsidP="00F4536C">
            <w:pPr>
              <w:pStyle w:val="ARtabletext"/>
            </w:pPr>
            <w:r w:rsidRPr="002029AF">
              <w:t>82.0%</w:t>
            </w:r>
          </w:p>
        </w:tc>
        <w:tc>
          <w:tcPr>
            <w:tcW w:w="989" w:type="dxa"/>
            <w:tcBorders>
              <w:top w:val="single" w:sz="4" w:space="0" w:color="BFBFBF"/>
              <w:left w:val="single" w:sz="4" w:space="0" w:color="FFFFFF"/>
              <w:bottom w:val="single" w:sz="4" w:space="0" w:color="FFFFFF"/>
              <w:right w:val="single" w:sz="4" w:space="0" w:color="FFFFFF"/>
            </w:tcBorders>
          </w:tcPr>
          <w:p w14:paraId="7D5ECAAD" w14:textId="77777777" w:rsidR="00EA1D82" w:rsidRPr="002029AF" w:rsidRDefault="00EA1D82" w:rsidP="00F4536C">
            <w:pPr>
              <w:pStyle w:val="ARtabletext"/>
            </w:pPr>
            <w:r w:rsidRPr="002029AF">
              <w:t>76.1%</w:t>
            </w:r>
          </w:p>
        </w:tc>
      </w:tr>
      <w:tr w:rsidR="00EA1D82" w:rsidRPr="002029AF" w14:paraId="02E0798D" w14:textId="77777777" w:rsidTr="00F4536C">
        <w:trPr>
          <w:gridAfter w:val="2"/>
          <w:wAfter w:w="55" w:type="dxa"/>
          <w:cantSplit/>
        </w:trPr>
        <w:tc>
          <w:tcPr>
            <w:tcW w:w="5863" w:type="dxa"/>
            <w:tcBorders>
              <w:top w:val="single" w:sz="4" w:space="0" w:color="BFBFBF"/>
              <w:left w:val="single" w:sz="4" w:space="0" w:color="FFFFFF"/>
              <w:bottom w:val="single" w:sz="4" w:space="0" w:color="FFFFFF"/>
              <w:right w:val="single" w:sz="4" w:space="0" w:color="FFFFFF"/>
            </w:tcBorders>
            <w:hideMark/>
          </w:tcPr>
          <w:p w14:paraId="5E0C8D32" w14:textId="77777777" w:rsidR="00EA1D82" w:rsidRPr="002029AF" w:rsidRDefault="00EA1D82" w:rsidP="00F4536C">
            <w:pPr>
              <w:pStyle w:val="ARtabletext"/>
              <w:rPr>
                <w:i/>
              </w:rPr>
            </w:pPr>
            <w:r w:rsidRPr="002029AF">
              <w:t>Urgent (Category 1) elective surgery patients admitted within 30 days</w:t>
            </w:r>
          </w:p>
        </w:tc>
        <w:tc>
          <w:tcPr>
            <w:tcW w:w="938" w:type="dxa"/>
            <w:tcBorders>
              <w:top w:val="single" w:sz="4" w:space="0" w:color="BFBFBF"/>
              <w:left w:val="single" w:sz="4" w:space="0" w:color="FFFFFF"/>
              <w:bottom w:val="single" w:sz="4" w:space="0" w:color="FFFFFF"/>
              <w:right w:val="single" w:sz="4" w:space="0" w:color="FFFFFF"/>
            </w:tcBorders>
            <w:hideMark/>
          </w:tcPr>
          <w:p w14:paraId="22919952" w14:textId="77777777" w:rsidR="00EA1D82" w:rsidRPr="002029AF" w:rsidRDefault="00EA1D82" w:rsidP="00F4536C">
            <w:pPr>
              <w:pStyle w:val="ARtabletext"/>
            </w:pPr>
            <w:r w:rsidRPr="002029AF">
              <w:t>100%</w:t>
            </w:r>
          </w:p>
        </w:tc>
        <w:tc>
          <w:tcPr>
            <w:tcW w:w="934" w:type="dxa"/>
            <w:tcBorders>
              <w:top w:val="single" w:sz="4" w:space="0" w:color="BFBFBF"/>
              <w:left w:val="single" w:sz="4" w:space="0" w:color="FFFFFF"/>
              <w:bottom w:val="single" w:sz="4" w:space="0" w:color="FFFFFF"/>
              <w:right w:val="single" w:sz="4" w:space="0" w:color="FFFFFF"/>
            </w:tcBorders>
            <w:hideMark/>
          </w:tcPr>
          <w:p w14:paraId="46B3B6AE" w14:textId="77777777" w:rsidR="00EA1D82" w:rsidRPr="002029AF" w:rsidRDefault="00EA1D82" w:rsidP="00F4536C">
            <w:pPr>
              <w:pStyle w:val="ARtabletext"/>
            </w:pPr>
            <w:r w:rsidRPr="002029AF">
              <w:t>100%</w:t>
            </w:r>
          </w:p>
        </w:tc>
        <w:tc>
          <w:tcPr>
            <w:tcW w:w="880" w:type="dxa"/>
            <w:tcBorders>
              <w:top w:val="single" w:sz="4" w:space="0" w:color="BFBFBF"/>
              <w:left w:val="single" w:sz="4" w:space="0" w:color="FFFFFF"/>
              <w:bottom w:val="single" w:sz="4" w:space="0" w:color="FFFFFF"/>
              <w:right w:val="single" w:sz="4" w:space="0" w:color="FFFFFF"/>
            </w:tcBorders>
            <w:hideMark/>
          </w:tcPr>
          <w:p w14:paraId="77740D85" w14:textId="77777777" w:rsidR="00EA1D82" w:rsidRPr="002029AF" w:rsidRDefault="00EA1D82" w:rsidP="00F4536C">
            <w:pPr>
              <w:pStyle w:val="ARtabletext"/>
            </w:pPr>
            <w:r w:rsidRPr="002029AF">
              <w:t>100%</w:t>
            </w:r>
          </w:p>
        </w:tc>
        <w:tc>
          <w:tcPr>
            <w:tcW w:w="989" w:type="dxa"/>
            <w:tcBorders>
              <w:top w:val="single" w:sz="4" w:space="0" w:color="BFBFBF"/>
              <w:left w:val="single" w:sz="4" w:space="0" w:color="FFFFFF"/>
              <w:bottom w:val="single" w:sz="4" w:space="0" w:color="FFFFFF"/>
              <w:right w:val="single" w:sz="4" w:space="0" w:color="FFFFFF"/>
            </w:tcBorders>
          </w:tcPr>
          <w:p w14:paraId="3A379F21" w14:textId="77777777" w:rsidR="00EA1D82" w:rsidRPr="002029AF" w:rsidRDefault="00EA1D82" w:rsidP="00F4536C">
            <w:pPr>
              <w:pStyle w:val="ARtabletext"/>
            </w:pPr>
            <w:r w:rsidRPr="002029AF">
              <w:t>100%</w:t>
            </w:r>
          </w:p>
        </w:tc>
      </w:tr>
      <w:tr w:rsidR="00EA1D82" w:rsidRPr="002029AF" w14:paraId="75703D54" w14:textId="77777777" w:rsidTr="00F4536C">
        <w:trPr>
          <w:gridAfter w:val="2"/>
          <w:wAfter w:w="55" w:type="dxa"/>
          <w:cantSplit/>
        </w:trPr>
        <w:tc>
          <w:tcPr>
            <w:tcW w:w="5863" w:type="dxa"/>
            <w:tcBorders>
              <w:top w:val="single" w:sz="4" w:space="0" w:color="BFBFBF"/>
              <w:left w:val="single" w:sz="4" w:space="0" w:color="FFFFFF"/>
              <w:bottom w:val="single" w:sz="4" w:space="0" w:color="FFFFFF"/>
              <w:right w:val="single" w:sz="4" w:space="0" w:color="FFFFFF"/>
            </w:tcBorders>
            <w:hideMark/>
          </w:tcPr>
          <w:p w14:paraId="78A3D16A" w14:textId="77777777" w:rsidR="00EA1D82" w:rsidRPr="002029AF" w:rsidRDefault="00EA1D82" w:rsidP="00F4536C">
            <w:pPr>
              <w:pStyle w:val="ARtabletext"/>
              <w:rPr>
                <w:i/>
              </w:rPr>
            </w:pPr>
            <w:r w:rsidRPr="002029AF">
              <w:t>Emergency Category 1 treated immediately</w:t>
            </w:r>
          </w:p>
        </w:tc>
        <w:tc>
          <w:tcPr>
            <w:tcW w:w="938" w:type="dxa"/>
            <w:tcBorders>
              <w:top w:val="single" w:sz="4" w:space="0" w:color="BFBFBF"/>
              <w:left w:val="single" w:sz="4" w:space="0" w:color="FFFFFF"/>
              <w:bottom w:val="single" w:sz="4" w:space="0" w:color="FFFFFF"/>
              <w:right w:val="single" w:sz="4" w:space="0" w:color="FFFFFF"/>
            </w:tcBorders>
            <w:hideMark/>
          </w:tcPr>
          <w:p w14:paraId="3FA5BC62" w14:textId="77777777" w:rsidR="00EA1D82" w:rsidRPr="002029AF" w:rsidRDefault="00EA1D82" w:rsidP="00F4536C">
            <w:pPr>
              <w:pStyle w:val="ARtabletext"/>
            </w:pPr>
            <w:r w:rsidRPr="002029AF">
              <w:t>100%</w:t>
            </w:r>
          </w:p>
        </w:tc>
        <w:tc>
          <w:tcPr>
            <w:tcW w:w="934" w:type="dxa"/>
            <w:tcBorders>
              <w:top w:val="single" w:sz="4" w:space="0" w:color="BFBFBF"/>
              <w:left w:val="single" w:sz="4" w:space="0" w:color="FFFFFF"/>
              <w:bottom w:val="single" w:sz="4" w:space="0" w:color="FFFFFF"/>
              <w:right w:val="single" w:sz="4" w:space="0" w:color="FFFFFF"/>
            </w:tcBorders>
            <w:hideMark/>
          </w:tcPr>
          <w:p w14:paraId="5438C328" w14:textId="77777777" w:rsidR="00EA1D82" w:rsidRPr="002029AF" w:rsidRDefault="00EA1D82" w:rsidP="00F4536C">
            <w:pPr>
              <w:pStyle w:val="ARtabletext"/>
            </w:pPr>
            <w:r w:rsidRPr="002029AF">
              <w:t>100%</w:t>
            </w:r>
          </w:p>
        </w:tc>
        <w:tc>
          <w:tcPr>
            <w:tcW w:w="880" w:type="dxa"/>
            <w:tcBorders>
              <w:top w:val="single" w:sz="4" w:space="0" w:color="BFBFBF"/>
              <w:left w:val="single" w:sz="4" w:space="0" w:color="FFFFFF"/>
              <w:bottom w:val="single" w:sz="4" w:space="0" w:color="FFFFFF"/>
              <w:right w:val="single" w:sz="4" w:space="0" w:color="FFFFFF"/>
            </w:tcBorders>
            <w:hideMark/>
          </w:tcPr>
          <w:p w14:paraId="20A3C148" w14:textId="77777777" w:rsidR="00EA1D82" w:rsidRPr="002029AF" w:rsidRDefault="00EA1D82" w:rsidP="00F4536C">
            <w:pPr>
              <w:pStyle w:val="ARtabletext"/>
            </w:pPr>
            <w:r w:rsidRPr="002029AF">
              <w:t>100%</w:t>
            </w:r>
          </w:p>
        </w:tc>
        <w:tc>
          <w:tcPr>
            <w:tcW w:w="989" w:type="dxa"/>
            <w:tcBorders>
              <w:top w:val="single" w:sz="4" w:space="0" w:color="BFBFBF"/>
              <w:left w:val="single" w:sz="4" w:space="0" w:color="FFFFFF"/>
              <w:bottom w:val="single" w:sz="4" w:space="0" w:color="FFFFFF"/>
              <w:right w:val="single" w:sz="4" w:space="0" w:color="FFFFFF"/>
            </w:tcBorders>
          </w:tcPr>
          <w:p w14:paraId="453AA246" w14:textId="77777777" w:rsidR="00EA1D82" w:rsidRPr="002029AF" w:rsidRDefault="00EA1D82" w:rsidP="00F4536C">
            <w:pPr>
              <w:pStyle w:val="ARtabletext"/>
            </w:pPr>
            <w:r w:rsidRPr="002029AF">
              <w:t>100%</w:t>
            </w:r>
          </w:p>
        </w:tc>
      </w:tr>
      <w:tr w:rsidR="00EA1D82" w:rsidRPr="002029AF" w14:paraId="52A2E86C" w14:textId="77777777" w:rsidTr="00F4536C">
        <w:trPr>
          <w:gridAfter w:val="2"/>
          <w:wAfter w:w="55" w:type="dxa"/>
          <w:cantSplit/>
        </w:trPr>
        <w:tc>
          <w:tcPr>
            <w:tcW w:w="5863" w:type="dxa"/>
            <w:tcBorders>
              <w:top w:val="single" w:sz="4" w:space="0" w:color="BFBFBF"/>
              <w:left w:val="single" w:sz="4" w:space="0" w:color="FFFFFF"/>
              <w:bottom w:val="single" w:sz="4" w:space="0" w:color="BFBFBF"/>
              <w:right w:val="single" w:sz="4" w:space="0" w:color="FFFFFF"/>
            </w:tcBorders>
            <w:hideMark/>
          </w:tcPr>
          <w:p w14:paraId="6DEDC0EA" w14:textId="77777777" w:rsidR="00EA1D82" w:rsidRPr="002029AF" w:rsidRDefault="00EA1D82" w:rsidP="00F4536C">
            <w:pPr>
              <w:pStyle w:val="ARtabletext"/>
            </w:pPr>
            <w:r w:rsidRPr="002029AF">
              <w:t>Emergency patients treated within clinically recommended time to treatment</w:t>
            </w:r>
          </w:p>
        </w:tc>
        <w:tc>
          <w:tcPr>
            <w:tcW w:w="938" w:type="dxa"/>
            <w:tcBorders>
              <w:top w:val="single" w:sz="4" w:space="0" w:color="BFBFBF"/>
              <w:left w:val="single" w:sz="4" w:space="0" w:color="FFFFFF"/>
              <w:bottom w:val="single" w:sz="4" w:space="0" w:color="BFBFBF"/>
              <w:right w:val="single" w:sz="4" w:space="0" w:color="FFFFFF"/>
            </w:tcBorders>
            <w:hideMark/>
          </w:tcPr>
          <w:p w14:paraId="550EC585" w14:textId="77777777" w:rsidR="00EA1D82" w:rsidRPr="002029AF" w:rsidRDefault="00EA1D82" w:rsidP="00F4536C">
            <w:pPr>
              <w:pStyle w:val="ARtabletext"/>
            </w:pPr>
            <w:r w:rsidRPr="002029AF">
              <w:t>73.4%</w:t>
            </w:r>
          </w:p>
        </w:tc>
        <w:tc>
          <w:tcPr>
            <w:tcW w:w="934" w:type="dxa"/>
            <w:tcBorders>
              <w:top w:val="single" w:sz="4" w:space="0" w:color="BFBFBF"/>
              <w:left w:val="single" w:sz="4" w:space="0" w:color="FFFFFF"/>
              <w:bottom w:val="single" w:sz="4" w:space="0" w:color="BFBFBF"/>
              <w:right w:val="single" w:sz="4" w:space="0" w:color="FFFFFF"/>
            </w:tcBorders>
            <w:hideMark/>
          </w:tcPr>
          <w:p w14:paraId="32BC6A8A" w14:textId="77777777" w:rsidR="00EA1D82" w:rsidRPr="002029AF" w:rsidRDefault="00EA1D82" w:rsidP="00F4536C">
            <w:pPr>
              <w:pStyle w:val="ARtabletext"/>
            </w:pPr>
            <w:r w:rsidRPr="002029AF">
              <w:t>72.3%</w:t>
            </w:r>
          </w:p>
        </w:tc>
        <w:tc>
          <w:tcPr>
            <w:tcW w:w="880" w:type="dxa"/>
            <w:tcBorders>
              <w:top w:val="single" w:sz="4" w:space="0" w:color="BFBFBF"/>
              <w:left w:val="single" w:sz="4" w:space="0" w:color="FFFFFF"/>
              <w:bottom w:val="single" w:sz="4" w:space="0" w:color="BFBFBF"/>
              <w:right w:val="single" w:sz="4" w:space="0" w:color="FFFFFF"/>
            </w:tcBorders>
            <w:hideMark/>
          </w:tcPr>
          <w:p w14:paraId="01500734" w14:textId="77777777" w:rsidR="00EA1D82" w:rsidRPr="002029AF" w:rsidRDefault="00EA1D82" w:rsidP="00F4536C">
            <w:pPr>
              <w:pStyle w:val="ARtabletext"/>
            </w:pPr>
            <w:r w:rsidRPr="002029AF">
              <w:t>71.5%</w:t>
            </w:r>
          </w:p>
        </w:tc>
        <w:tc>
          <w:tcPr>
            <w:tcW w:w="989" w:type="dxa"/>
            <w:tcBorders>
              <w:top w:val="single" w:sz="4" w:space="0" w:color="BFBFBF"/>
              <w:left w:val="single" w:sz="4" w:space="0" w:color="FFFFFF"/>
              <w:bottom w:val="single" w:sz="4" w:space="0" w:color="BFBFBF"/>
              <w:right w:val="single" w:sz="4" w:space="0" w:color="FFFFFF"/>
            </w:tcBorders>
          </w:tcPr>
          <w:p w14:paraId="76310BE9" w14:textId="77777777" w:rsidR="00EA1D82" w:rsidRPr="002029AF" w:rsidRDefault="00EA1D82" w:rsidP="00F4536C">
            <w:pPr>
              <w:pStyle w:val="ARtabletext"/>
            </w:pPr>
            <w:r w:rsidRPr="002029AF">
              <w:t>73.4%</w:t>
            </w:r>
          </w:p>
        </w:tc>
      </w:tr>
      <w:tr w:rsidR="00EA1D82" w:rsidRPr="002029AF" w14:paraId="06CB2D6B" w14:textId="77777777" w:rsidTr="00F4536C">
        <w:trPr>
          <w:cantSplit/>
        </w:trPr>
        <w:tc>
          <w:tcPr>
            <w:tcW w:w="9659" w:type="dxa"/>
            <w:gridSpan w:val="7"/>
            <w:tcBorders>
              <w:top w:val="single" w:sz="4" w:space="0" w:color="BFBFBF"/>
              <w:left w:val="single" w:sz="4" w:space="0" w:color="FFFFFF"/>
              <w:bottom w:val="single" w:sz="4" w:space="0" w:color="auto"/>
              <w:right w:val="single" w:sz="4" w:space="0" w:color="FFFFFF"/>
            </w:tcBorders>
          </w:tcPr>
          <w:p w14:paraId="4EBB6980" w14:textId="77777777" w:rsidR="00EA1D82" w:rsidRPr="002029AF" w:rsidRDefault="00EA1D82" w:rsidP="00F4536C">
            <w:pPr>
              <w:pStyle w:val="ARtablefootnote"/>
            </w:pPr>
            <w:r w:rsidRPr="002029AF">
              <w:t>Source: Internal departmental data</w:t>
            </w:r>
          </w:p>
        </w:tc>
      </w:tr>
      <w:tr w:rsidR="00EA1D82" w:rsidRPr="002029AF" w14:paraId="2103CB13" w14:textId="77777777" w:rsidTr="00F4536C">
        <w:trPr>
          <w:cantSplit/>
        </w:trPr>
        <w:tc>
          <w:tcPr>
            <w:tcW w:w="9659" w:type="dxa"/>
            <w:gridSpan w:val="7"/>
            <w:tcBorders>
              <w:top w:val="single" w:sz="4" w:space="0" w:color="auto"/>
              <w:left w:val="nil"/>
              <w:bottom w:val="single" w:sz="4" w:space="0" w:color="BFBFBF"/>
              <w:right w:val="single" w:sz="4" w:space="0" w:color="FFFFFF"/>
            </w:tcBorders>
            <w:hideMark/>
          </w:tcPr>
          <w:p w14:paraId="3B9A1426" w14:textId="77777777" w:rsidR="00EA1D82" w:rsidRPr="002029AF" w:rsidRDefault="00EA1D82" w:rsidP="00F4536C">
            <w:pPr>
              <w:pStyle w:val="ARtablesubhead"/>
            </w:pPr>
            <w:r w:rsidRPr="002029AF">
              <w:t>Services are inclusive and respond to choice, culture, identity, circumstances and goals</w:t>
            </w:r>
          </w:p>
        </w:tc>
      </w:tr>
      <w:tr w:rsidR="00EA1D82" w:rsidRPr="002029AF" w14:paraId="74F5FFD3" w14:textId="77777777" w:rsidTr="00F4536C">
        <w:trPr>
          <w:gridAfter w:val="2"/>
          <w:wAfter w:w="55" w:type="dxa"/>
          <w:cantSplit/>
        </w:trPr>
        <w:tc>
          <w:tcPr>
            <w:tcW w:w="5863" w:type="dxa"/>
            <w:tcBorders>
              <w:top w:val="single" w:sz="4" w:space="0" w:color="auto"/>
              <w:left w:val="single" w:sz="4" w:space="0" w:color="FFFFFF"/>
              <w:bottom w:val="single" w:sz="4" w:space="0" w:color="BFBFBF"/>
              <w:right w:val="single" w:sz="4" w:space="0" w:color="FFFFFF"/>
            </w:tcBorders>
            <w:hideMark/>
          </w:tcPr>
          <w:p w14:paraId="29926681" w14:textId="77777777" w:rsidR="00EA1D82" w:rsidRPr="002029AF" w:rsidRDefault="00EA1D82" w:rsidP="00F4536C">
            <w:pPr>
              <w:pStyle w:val="ARtabletext"/>
              <w:rPr>
                <w:i/>
              </w:rPr>
            </w:pPr>
            <w:r w:rsidRPr="002029AF">
              <w:t>Health Independence Program direct contacts</w:t>
            </w:r>
          </w:p>
        </w:tc>
        <w:tc>
          <w:tcPr>
            <w:tcW w:w="938" w:type="dxa"/>
            <w:tcBorders>
              <w:top w:val="single" w:sz="4" w:space="0" w:color="auto"/>
              <w:left w:val="single" w:sz="4" w:space="0" w:color="FFFFFF"/>
              <w:bottom w:val="single" w:sz="4" w:space="0" w:color="BFBFBF"/>
              <w:right w:val="single" w:sz="4" w:space="0" w:color="FFFFFF"/>
            </w:tcBorders>
            <w:hideMark/>
          </w:tcPr>
          <w:p w14:paraId="70732B17" w14:textId="77777777" w:rsidR="00EA1D82" w:rsidRPr="002029AF" w:rsidRDefault="00EA1D82" w:rsidP="00F4536C">
            <w:pPr>
              <w:pStyle w:val="ARtabletext"/>
            </w:pPr>
            <w:r w:rsidRPr="002029AF">
              <w:t>1,511</w:t>
            </w:r>
          </w:p>
        </w:tc>
        <w:tc>
          <w:tcPr>
            <w:tcW w:w="934" w:type="dxa"/>
            <w:tcBorders>
              <w:top w:val="single" w:sz="4" w:space="0" w:color="auto"/>
              <w:left w:val="single" w:sz="4" w:space="0" w:color="FFFFFF"/>
              <w:bottom w:val="single" w:sz="4" w:space="0" w:color="BFBFBF"/>
              <w:right w:val="single" w:sz="4" w:space="0" w:color="FFFFFF"/>
            </w:tcBorders>
            <w:hideMark/>
          </w:tcPr>
          <w:p w14:paraId="0D491575" w14:textId="77777777" w:rsidR="00EA1D82" w:rsidRPr="002029AF" w:rsidRDefault="00EA1D82" w:rsidP="00F4536C">
            <w:pPr>
              <w:pStyle w:val="ARtabletext"/>
            </w:pPr>
            <w:r w:rsidRPr="002029AF">
              <w:t>1,474</w:t>
            </w:r>
          </w:p>
        </w:tc>
        <w:tc>
          <w:tcPr>
            <w:tcW w:w="880" w:type="dxa"/>
            <w:tcBorders>
              <w:top w:val="single" w:sz="4" w:space="0" w:color="auto"/>
              <w:left w:val="single" w:sz="4" w:space="0" w:color="FFFFFF"/>
              <w:bottom w:val="single" w:sz="4" w:space="0" w:color="BFBFBF"/>
              <w:right w:val="single" w:sz="4" w:space="0" w:color="FFFFFF"/>
            </w:tcBorders>
            <w:hideMark/>
          </w:tcPr>
          <w:p w14:paraId="47C8E5F9" w14:textId="77777777" w:rsidR="00EA1D82" w:rsidRPr="002029AF" w:rsidRDefault="00EA1D82" w:rsidP="00F4536C">
            <w:pPr>
              <w:pStyle w:val="ARtabletext"/>
            </w:pPr>
            <w:r w:rsidRPr="002029AF">
              <w:t>1,591</w:t>
            </w:r>
          </w:p>
        </w:tc>
        <w:tc>
          <w:tcPr>
            <w:tcW w:w="989" w:type="dxa"/>
            <w:tcBorders>
              <w:top w:val="single" w:sz="4" w:space="0" w:color="auto"/>
              <w:left w:val="single" w:sz="4" w:space="0" w:color="FFFFFF"/>
              <w:bottom w:val="single" w:sz="4" w:space="0" w:color="BFBFBF"/>
              <w:right w:val="single" w:sz="4" w:space="0" w:color="FFFFFF"/>
            </w:tcBorders>
          </w:tcPr>
          <w:p w14:paraId="012B4B57" w14:textId="77777777" w:rsidR="00EA1D82" w:rsidRPr="002029AF" w:rsidRDefault="00EA1D82" w:rsidP="00F4536C">
            <w:pPr>
              <w:pStyle w:val="ARtabletext"/>
            </w:pPr>
            <w:r w:rsidRPr="002029AF">
              <w:t>1,502</w:t>
            </w:r>
          </w:p>
        </w:tc>
      </w:tr>
      <w:tr w:rsidR="00EA1D82" w:rsidRPr="002029AF" w14:paraId="2E61CCD9" w14:textId="77777777" w:rsidTr="00F4536C">
        <w:trPr>
          <w:gridAfter w:val="2"/>
          <w:wAfter w:w="55" w:type="dxa"/>
          <w:cantSplit/>
        </w:trPr>
        <w:tc>
          <w:tcPr>
            <w:tcW w:w="5863" w:type="dxa"/>
            <w:tcBorders>
              <w:top w:val="single" w:sz="4" w:space="0" w:color="BFBFBF"/>
              <w:left w:val="single" w:sz="4" w:space="0" w:color="FFFFFF"/>
              <w:bottom w:val="single" w:sz="4" w:space="0" w:color="FFFFFF"/>
              <w:right w:val="single" w:sz="4" w:space="0" w:color="FFFFFF"/>
            </w:tcBorders>
            <w:hideMark/>
          </w:tcPr>
          <w:p w14:paraId="1C643CD7" w14:textId="77777777" w:rsidR="00EA1D82" w:rsidRPr="002029AF" w:rsidRDefault="00EA1D82" w:rsidP="00F4536C">
            <w:pPr>
              <w:pStyle w:val="ARtabletext"/>
              <w:rPr>
                <w:i/>
              </w:rPr>
            </w:pPr>
            <w:r w:rsidRPr="002029AF">
              <w:t>Patients treated in specialist outpatient clinics – unweighted</w:t>
            </w:r>
          </w:p>
        </w:tc>
        <w:tc>
          <w:tcPr>
            <w:tcW w:w="938" w:type="dxa"/>
            <w:tcBorders>
              <w:top w:val="single" w:sz="4" w:space="0" w:color="BFBFBF"/>
              <w:left w:val="single" w:sz="4" w:space="0" w:color="FFFFFF"/>
              <w:bottom w:val="single" w:sz="4" w:space="0" w:color="FFFFFF"/>
              <w:right w:val="single" w:sz="4" w:space="0" w:color="FFFFFF"/>
            </w:tcBorders>
            <w:hideMark/>
          </w:tcPr>
          <w:p w14:paraId="4C7EB46F" w14:textId="77777777" w:rsidR="00EA1D82" w:rsidRPr="002029AF" w:rsidRDefault="00EA1D82" w:rsidP="00F4536C">
            <w:pPr>
              <w:pStyle w:val="ARtabletext"/>
            </w:pPr>
            <w:r w:rsidRPr="002029AF">
              <w:t>1,718</w:t>
            </w:r>
          </w:p>
        </w:tc>
        <w:tc>
          <w:tcPr>
            <w:tcW w:w="934" w:type="dxa"/>
            <w:tcBorders>
              <w:top w:val="single" w:sz="4" w:space="0" w:color="BFBFBF"/>
              <w:left w:val="single" w:sz="4" w:space="0" w:color="FFFFFF"/>
              <w:bottom w:val="single" w:sz="4" w:space="0" w:color="FFFFFF"/>
              <w:right w:val="single" w:sz="4" w:space="0" w:color="FFFFFF"/>
            </w:tcBorders>
            <w:hideMark/>
          </w:tcPr>
          <w:p w14:paraId="33DCE63C" w14:textId="77777777" w:rsidR="00EA1D82" w:rsidRPr="002029AF" w:rsidRDefault="00EA1D82" w:rsidP="00F4536C">
            <w:pPr>
              <w:pStyle w:val="ARtabletext"/>
            </w:pPr>
            <w:r w:rsidRPr="002029AF">
              <w:t>1,786</w:t>
            </w:r>
          </w:p>
        </w:tc>
        <w:tc>
          <w:tcPr>
            <w:tcW w:w="880" w:type="dxa"/>
            <w:tcBorders>
              <w:top w:val="single" w:sz="4" w:space="0" w:color="BFBFBF"/>
              <w:left w:val="single" w:sz="4" w:space="0" w:color="FFFFFF"/>
              <w:bottom w:val="single" w:sz="4" w:space="0" w:color="FFFFFF"/>
              <w:right w:val="single" w:sz="4" w:space="0" w:color="FFFFFF"/>
            </w:tcBorders>
            <w:hideMark/>
          </w:tcPr>
          <w:p w14:paraId="3C795274" w14:textId="77777777" w:rsidR="00EA1D82" w:rsidRPr="002029AF" w:rsidRDefault="00EA1D82" w:rsidP="00F4536C">
            <w:pPr>
              <w:pStyle w:val="ARtabletext"/>
            </w:pPr>
            <w:r w:rsidRPr="002029AF">
              <w:t>1,812</w:t>
            </w:r>
          </w:p>
        </w:tc>
        <w:tc>
          <w:tcPr>
            <w:tcW w:w="989" w:type="dxa"/>
            <w:tcBorders>
              <w:top w:val="single" w:sz="4" w:space="0" w:color="BFBFBF"/>
              <w:left w:val="single" w:sz="4" w:space="0" w:color="FFFFFF"/>
              <w:bottom w:val="single" w:sz="4" w:space="0" w:color="FFFFFF"/>
              <w:right w:val="single" w:sz="4" w:space="0" w:color="FFFFFF"/>
            </w:tcBorders>
          </w:tcPr>
          <w:p w14:paraId="155D10FF" w14:textId="77777777" w:rsidR="00EA1D82" w:rsidRPr="002029AF" w:rsidRDefault="00EA1D82" w:rsidP="00F4536C">
            <w:pPr>
              <w:pStyle w:val="ARtabletext"/>
            </w:pPr>
            <w:r w:rsidRPr="002029AF">
              <w:t>1,717</w:t>
            </w:r>
          </w:p>
        </w:tc>
      </w:tr>
      <w:tr w:rsidR="00EA1D82" w:rsidRPr="002029AF" w14:paraId="1D36BBE6" w14:textId="77777777" w:rsidTr="00F4536C">
        <w:trPr>
          <w:gridAfter w:val="2"/>
          <w:wAfter w:w="55" w:type="dxa"/>
          <w:cantSplit/>
        </w:trPr>
        <w:tc>
          <w:tcPr>
            <w:tcW w:w="5863" w:type="dxa"/>
            <w:tcBorders>
              <w:top w:val="single" w:sz="4" w:space="0" w:color="BFBFBF"/>
              <w:left w:val="single" w:sz="4" w:space="0" w:color="FFFFFF"/>
              <w:bottom w:val="single" w:sz="4" w:space="0" w:color="FFFFFF"/>
              <w:right w:val="single" w:sz="4" w:space="0" w:color="FFFFFF"/>
            </w:tcBorders>
            <w:hideMark/>
          </w:tcPr>
          <w:p w14:paraId="78FC5BDF" w14:textId="77777777" w:rsidR="00EA1D82" w:rsidRPr="002029AF" w:rsidRDefault="00EA1D82" w:rsidP="00F4536C">
            <w:pPr>
              <w:pStyle w:val="ARtabletext"/>
              <w:rPr>
                <w:i/>
              </w:rPr>
            </w:pPr>
            <w:r w:rsidRPr="002029AF">
              <w:t>Post-acute clients not readmitted to acute hospital</w:t>
            </w:r>
          </w:p>
        </w:tc>
        <w:tc>
          <w:tcPr>
            <w:tcW w:w="938" w:type="dxa"/>
            <w:tcBorders>
              <w:top w:val="single" w:sz="4" w:space="0" w:color="BFBFBF"/>
              <w:left w:val="single" w:sz="4" w:space="0" w:color="FFFFFF"/>
              <w:bottom w:val="single" w:sz="4" w:space="0" w:color="FFFFFF"/>
              <w:right w:val="single" w:sz="4" w:space="0" w:color="FFFFFF"/>
            </w:tcBorders>
            <w:hideMark/>
          </w:tcPr>
          <w:p w14:paraId="045D7F50" w14:textId="77777777" w:rsidR="00EA1D82" w:rsidRPr="002029AF" w:rsidRDefault="00EA1D82" w:rsidP="00F4536C">
            <w:pPr>
              <w:pStyle w:val="ARtabletext"/>
            </w:pPr>
            <w:r w:rsidRPr="002029AF">
              <w:t>93.0%</w:t>
            </w:r>
          </w:p>
        </w:tc>
        <w:tc>
          <w:tcPr>
            <w:tcW w:w="934" w:type="dxa"/>
            <w:tcBorders>
              <w:top w:val="single" w:sz="4" w:space="0" w:color="BFBFBF"/>
              <w:left w:val="single" w:sz="4" w:space="0" w:color="FFFFFF"/>
              <w:bottom w:val="single" w:sz="4" w:space="0" w:color="FFFFFF"/>
              <w:right w:val="single" w:sz="4" w:space="0" w:color="FFFFFF"/>
            </w:tcBorders>
            <w:hideMark/>
          </w:tcPr>
          <w:p w14:paraId="11E9D8F0" w14:textId="77777777" w:rsidR="00EA1D82" w:rsidRPr="002029AF" w:rsidRDefault="00EA1D82" w:rsidP="00F4536C">
            <w:pPr>
              <w:pStyle w:val="ARtabletext"/>
            </w:pPr>
            <w:r w:rsidRPr="002029AF">
              <w:t>93.6%</w:t>
            </w:r>
          </w:p>
        </w:tc>
        <w:tc>
          <w:tcPr>
            <w:tcW w:w="880" w:type="dxa"/>
            <w:tcBorders>
              <w:top w:val="single" w:sz="4" w:space="0" w:color="BFBFBF"/>
              <w:left w:val="single" w:sz="4" w:space="0" w:color="FFFFFF"/>
              <w:bottom w:val="single" w:sz="4" w:space="0" w:color="FFFFFF"/>
              <w:right w:val="single" w:sz="4" w:space="0" w:color="FFFFFF"/>
            </w:tcBorders>
            <w:hideMark/>
          </w:tcPr>
          <w:p w14:paraId="53341D7E" w14:textId="77777777" w:rsidR="00EA1D82" w:rsidRPr="002029AF" w:rsidRDefault="00EA1D82" w:rsidP="00F4536C">
            <w:pPr>
              <w:pStyle w:val="ARtabletext"/>
            </w:pPr>
            <w:r w:rsidRPr="002029AF">
              <w:t>93.9%</w:t>
            </w:r>
          </w:p>
        </w:tc>
        <w:tc>
          <w:tcPr>
            <w:tcW w:w="989" w:type="dxa"/>
            <w:tcBorders>
              <w:top w:val="single" w:sz="4" w:space="0" w:color="BFBFBF"/>
              <w:left w:val="single" w:sz="4" w:space="0" w:color="FFFFFF"/>
              <w:bottom w:val="single" w:sz="4" w:space="0" w:color="FFFFFF"/>
              <w:right w:val="single" w:sz="4" w:space="0" w:color="FFFFFF"/>
            </w:tcBorders>
          </w:tcPr>
          <w:p w14:paraId="115C4E5B" w14:textId="77777777" w:rsidR="00EA1D82" w:rsidRPr="002029AF" w:rsidRDefault="00EA1D82" w:rsidP="00F4536C">
            <w:pPr>
              <w:pStyle w:val="ARtabletext"/>
            </w:pPr>
            <w:r w:rsidRPr="002029AF">
              <w:t>93.7%</w:t>
            </w:r>
          </w:p>
        </w:tc>
      </w:tr>
      <w:tr w:rsidR="00EA1D82" w:rsidRPr="002029AF" w14:paraId="5124115D" w14:textId="77777777" w:rsidTr="00F4536C">
        <w:trPr>
          <w:gridAfter w:val="2"/>
          <w:wAfter w:w="55" w:type="dxa"/>
          <w:cantSplit/>
        </w:trPr>
        <w:tc>
          <w:tcPr>
            <w:tcW w:w="5863" w:type="dxa"/>
            <w:tcBorders>
              <w:top w:val="single" w:sz="4" w:space="0" w:color="BFBFBF"/>
              <w:left w:val="single" w:sz="4" w:space="0" w:color="FFFFFF"/>
              <w:bottom w:val="single" w:sz="4" w:space="0" w:color="FFFFFF"/>
              <w:right w:val="single" w:sz="4" w:space="0" w:color="FFFFFF"/>
            </w:tcBorders>
            <w:hideMark/>
          </w:tcPr>
          <w:p w14:paraId="57D31AEE" w14:textId="77777777" w:rsidR="00EA1D82" w:rsidRPr="002029AF" w:rsidRDefault="00EA1D82" w:rsidP="00F4536C">
            <w:pPr>
              <w:pStyle w:val="ARtabletext"/>
              <w:rPr>
                <w:i/>
              </w:rPr>
            </w:pPr>
            <w:r w:rsidRPr="002029AF">
              <w:t>Health Independence Program clients contacted within three days of referral</w:t>
            </w:r>
          </w:p>
        </w:tc>
        <w:tc>
          <w:tcPr>
            <w:tcW w:w="938" w:type="dxa"/>
            <w:tcBorders>
              <w:top w:val="single" w:sz="4" w:space="0" w:color="BFBFBF"/>
              <w:left w:val="single" w:sz="4" w:space="0" w:color="FFFFFF"/>
              <w:bottom w:val="single" w:sz="4" w:space="0" w:color="FFFFFF"/>
              <w:right w:val="single" w:sz="4" w:space="0" w:color="FFFFFF"/>
            </w:tcBorders>
            <w:hideMark/>
          </w:tcPr>
          <w:p w14:paraId="58BCF506" w14:textId="77777777" w:rsidR="00EA1D82" w:rsidRPr="002029AF" w:rsidRDefault="00EA1D82" w:rsidP="00F4536C">
            <w:pPr>
              <w:pStyle w:val="ARtabletext"/>
            </w:pPr>
            <w:r w:rsidRPr="002029AF">
              <w:t>89.0%</w:t>
            </w:r>
          </w:p>
        </w:tc>
        <w:tc>
          <w:tcPr>
            <w:tcW w:w="934" w:type="dxa"/>
            <w:tcBorders>
              <w:top w:val="single" w:sz="4" w:space="0" w:color="BFBFBF"/>
              <w:left w:val="single" w:sz="4" w:space="0" w:color="FFFFFF"/>
              <w:bottom w:val="single" w:sz="4" w:space="0" w:color="FFFFFF"/>
              <w:right w:val="single" w:sz="4" w:space="0" w:color="FFFFFF"/>
            </w:tcBorders>
            <w:hideMark/>
          </w:tcPr>
          <w:p w14:paraId="6410DBD7" w14:textId="77777777" w:rsidR="00EA1D82" w:rsidRPr="002029AF" w:rsidRDefault="00EA1D82" w:rsidP="00F4536C">
            <w:pPr>
              <w:pStyle w:val="ARtabletext"/>
            </w:pPr>
            <w:r w:rsidRPr="002029AF">
              <w:t>89.8%</w:t>
            </w:r>
          </w:p>
        </w:tc>
        <w:tc>
          <w:tcPr>
            <w:tcW w:w="880" w:type="dxa"/>
            <w:tcBorders>
              <w:top w:val="single" w:sz="4" w:space="0" w:color="BFBFBF"/>
              <w:left w:val="single" w:sz="4" w:space="0" w:color="FFFFFF"/>
              <w:bottom w:val="single" w:sz="4" w:space="0" w:color="FFFFFF"/>
              <w:right w:val="single" w:sz="4" w:space="0" w:color="FFFFFF"/>
            </w:tcBorders>
            <w:hideMark/>
          </w:tcPr>
          <w:p w14:paraId="75CEC030" w14:textId="77777777" w:rsidR="00EA1D82" w:rsidRPr="002029AF" w:rsidRDefault="00EA1D82" w:rsidP="00F4536C">
            <w:pPr>
              <w:pStyle w:val="ARtabletext"/>
            </w:pPr>
            <w:r w:rsidRPr="002029AF">
              <w:t>88.7%</w:t>
            </w:r>
          </w:p>
        </w:tc>
        <w:tc>
          <w:tcPr>
            <w:tcW w:w="989" w:type="dxa"/>
            <w:tcBorders>
              <w:top w:val="single" w:sz="4" w:space="0" w:color="BFBFBF"/>
              <w:left w:val="single" w:sz="4" w:space="0" w:color="FFFFFF"/>
              <w:bottom w:val="single" w:sz="4" w:space="0" w:color="FFFFFF"/>
              <w:right w:val="single" w:sz="4" w:space="0" w:color="FFFFFF"/>
            </w:tcBorders>
          </w:tcPr>
          <w:p w14:paraId="17AFDFA9" w14:textId="77777777" w:rsidR="00EA1D82" w:rsidRPr="002029AF" w:rsidRDefault="00EA1D82" w:rsidP="00F4536C">
            <w:pPr>
              <w:pStyle w:val="ARtabletext"/>
            </w:pPr>
            <w:r w:rsidRPr="002029AF">
              <w:t>90.8%</w:t>
            </w:r>
          </w:p>
        </w:tc>
      </w:tr>
      <w:tr w:rsidR="00EA1D82" w:rsidRPr="002029AF" w14:paraId="724C4D07" w14:textId="77777777" w:rsidTr="00F4536C">
        <w:trPr>
          <w:gridAfter w:val="1"/>
          <w:wAfter w:w="6" w:type="dxa"/>
          <w:cantSplit/>
        </w:trPr>
        <w:tc>
          <w:tcPr>
            <w:tcW w:w="9653" w:type="dxa"/>
            <w:gridSpan w:val="6"/>
            <w:tcBorders>
              <w:top w:val="single" w:sz="4" w:space="0" w:color="BFBFBF"/>
              <w:left w:val="single" w:sz="4" w:space="0" w:color="FFFFFF"/>
              <w:bottom w:val="single" w:sz="4" w:space="0" w:color="auto"/>
              <w:right w:val="single" w:sz="4" w:space="0" w:color="FFFFFF"/>
            </w:tcBorders>
            <w:hideMark/>
          </w:tcPr>
          <w:p w14:paraId="6FBAF4C0" w14:textId="77777777" w:rsidR="00EA1D82" w:rsidRPr="002029AF" w:rsidRDefault="00EA1D82" w:rsidP="00F4536C">
            <w:pPr>
              <w:pStyle w:val="ARtablefootnote"/>
            </w:pPr>
            <w:r w:rsidRPr="002029AF">
              <w:rPr>
                <w:rFonts w:eastAsia="Times"/>
                <w:lang w:eastAsia="en-AU"/>
              </w:rPr>
              <w:t>Source: Internal departmental data</w:t>
            </w:r>
          </w:p>
        </w:tc>
      </w:tr>
      <w:tr w:rsidR="00EA1D82" w:rsidRPr="002029AF" w14:paraId="08F0179B" w14:textId="77777777" w:rsidTr="00F4536C">
        <w:trPr>
          <w:cantSplit/>
        </w:trPr>
        <w:tc>
          <w:tcPr>
            <w:tcW w:w="9659" w:type="dxa"/>
            <w:gridSpan w:val="7"/>
            <w:tcBorders>
              <w:top w:val="single" w:sz="4" w:space="0" w:color="auto"/>
              <w:left w:val="nil"/>
              <w:bottom w:val="single" w:sz="4" w:space="0" w:color="BFBFBF"/>
              <w:right w:val="single" w:sz="4" w:space="0" w:color="FFFFFF"/>
            </w:tcBorders>
            <w:hideMark/>
          </w:tcPr>
          <w:p w14:paraId="7433F94E" w14:textId="77777777" w:rsidR="00EA1D82" w:rsidRPr="002029AF" w:rsidRDefault="00EA1D82" w:rsidP="00F4536C">
            <w:pPr>
              <w:pStyle w:val="ARtablesubhead"/>
            </w:pPr>
            <w:r w:rsidRPr="002029AF">
              <w:t>Services are efficient and sustainable</w:t>
            </w:r>
          </w:p>
        </w:tc>
      </w:tr>
      <w:tr w:rsidR="00EA1D82" w:rsidRPr="002029AF" w14:paraId="7DCB78E5" w14:textId="77777777" w:rsidTr="00F4536C">
        <w:trPr>
          <w:gridAfter w:val="2"/>
          <w:wAfter w:w="55" w:type="dxa"/>
          <w:cantSplit/>
        </w:trPr>
        <w:tc>
          <w:tcPr>
            <w:tcW w:w="5863" w:type="dxa"/>
            <w:tcBorders>
              <w:top w:val="single" w:sz="4" w:space="0" w:color="auto"/>
              <w:left w:val="single" w:sz="4" w:space="0" w:color="FFFFFF"/>
              <w:bottom w:val="single" w:sz="4" w:space="0" w:color="FFFFFF"/>
              <w:right w:val="single" w:sz="4" w:space="0" w:color="FFFFFF"/>
            </w:tcBorders>
            <w:hideMark/>
          </w:tcPr>
          <w:p w14:paraId="7DC648EE" w14:textId="77777777" w:rsidR="00EA1D82" w:rsidRPr="002029AF" w:rsidRDefault="00EA1D82" w:rsidP="00F4536C">
            <w:pPr>
              <w:pStyle w:val="ARtabletext"/>
              <w:rPr>
                <w:i/>
              </w:rPr>
            </w:pPr>
            <w:r w:rsidRPr="002029AF">
              <w:t>Major trauma patients transferred to a major trauma service</w:t>
            </w:r>
          </w:p>
        </w:tc>
        <w:tc>
          <w:tcPr>
            <w:tcW w:w="938" w:type="dxa"/>
            <w:tcBorders>
              <w:top w:val="single" w:sz="4" w:space="0" w:color="auto"/>
              <w:left w:val="single" w:sz="4" w:space="0" w:color="FFFFFF"/>
              <w:bottom w:val="single" w:sz="4" w:space="0" w:color="FFFFFF"/>
              <w:right w:val="single" w:sz="4" w:space="0" w:color="FFFFFF"/>
            </w:tcBorders>
            <w:hideMark/>
          </w:tcPr>
          <w:p w14:paraId="3AE8D86F" w14:textId="77777777" w:rsidR="00EA1D82" w:rsidRPr="002029AF" w:rsidRDefault="00EA1D82" w:rsidP="00F4536C">
            <w:pPr>
              <w:pStyle w:val="ARtabletext"/>
            </w:pPr>
            <w:r w:rsidRPr="002029AF">
              <w:t>85.0%</w:t>
            </w:r>
          </w:p>
        </w:tc>
        <w:tc>
          <w:tcPr>
            <w:tcW w:w="934" w:type="dxa"/>
            <w:tcBorders>
              <w:top w:val="single" w:sz="4" w:space="0" w:color="auto"/>
              <w:left w:val="single" w:sz="4" w:space="0" w:color="FFFFFF"/>
              <w:bottom w:val="single" w:sz="4" w:space="0" w:color="FFFFFF"/>
              <w:right w:val="single" w:sz="4" w:space="0" w:color="FFFFFF"/>
            </w:tcBorders>
            <w:hideMark/>
          </w:tcPr>
          <w:p w14:paraId="11C3EB7A" w14:textId="77777777" w:rsidR="00EA1D82" w:rsidRPr="002029AF" w:rsidRDefault="00EA1D82" w:rsidP="00F4536C">
            <w:pPr>
              <w:pStyle w:val="ARtabletext"/>
            </w:pPr>
            <w:r w:rsidRPr="002029AF">
              <w:t>90.0%</w:t>
            </w:r>
          </w:p>
        </w:tc>
        <w:tc>
          <w:tcPr>
            <w:tcW w:w="880" w:type="dxa"/>
            <w:tcBorders>
              <w:top w:val="single" w:sz="4" w:space="0" w:color="auto"/>
              <w:left w:val="single" w:sz="4" w:space="0" w:color="FFFFFF"/>
              <w:bottom w:val="single" w:sz="4" w:space="0" w:color="FFFFFF"/>
              <w:right w:val="single" w:sz="4" w:space="0" w:color="FFFFFF"/>
            </w:tcBorders>
            <w:hideMark/>
          </w:tcPr>
          <w:p w14:paraId="242D4FEF" w14:textId="77777777" w:rsidR="00EA1D82" w:rsidRPr="002029AF" w:rsidRDefault="00EA1D82" w:rsidP="00F4536C">
            <w:pPr>
              <w:pStyle w:val="ARtabletext"/>
            </w:pPr>
            <w:r w:rsidRPr="002029AF">
              <w:t>91.9%</w:t>
            </w:r>
          </w:p>
        </w:tc>
        <w:tc>
          <w:tcPr>
            <w:tcW w:w="989" w:type="dxa"/>
            <w:tcBorders>
              <w:top w:val="single" w:sz="4" w:space="0" w:color="auto"/>
              <w:left w:val="single" w:sz="4" w:space="0" w:color="FFFFFF"/>
              <w:bottom w:val="single" w:sz="4" w:space="0" w:color="FFFFFF"/>
              <w:right w:val="single" w:sz="4" w:space="0" w:color="FFFFFF"/>
            </w:tcBorders>
          </w:tcPr>
          <w:p w14:paraId="79604888" w14:textId="77777777" w:rsidR="00EA1D82" w:rsidRPr="002029AF" w:rsidRDefault="00EA1D82" w:rsidP="00F4536C">
            <w:pPr>
              <w:pStyle w:val="ARtabletext"/>
            </w:pPr>
            <w:r w:rsidRPr="002029AF">
              <w:t>91.2%</w:t>
            </w:r>
            <w:r w:rsidRPr="002029AF">
              <w:rPr>
                <w:rStyle w:val="Superscript"/>
              </w:rPr>
              <w:t>E</w:t>
            </w:r>
            <w:r w:rsidRPr="002029AF">
              <w:footnoteReference w:id="9"/>
            </w:r>
          </w:p>
        </w:tc>
      </w:tr>
      <w:tr w:rsidR="00EA1D82" w:rsidRPr="002029AF" w14:paraId="074986D2" w14:textId="77777777" w:rsidTr="00F4536C">
        <w:trPr>
          <w:gridAfter w:val="1"/>
          <w:wAfter w:w="6" w:type="dxa"/>
          <w:cantSplit/>
        </w:trPr>
        <w:tc>
          <w:tcPr>
            <w:tcW w:w="9653" w:type="dxa"/>
            <w:gridSpan w:val="6"/>
            <w:tcBorders>
              <w:top w:val="single" w:sz="4" w:space="0" w:color="BFBFBF"/>
              <w:left w:val="single" w:sz="4" w:space="0" w:color="FFFFFF"/>
              <w:bottom w:val="single" w:sz="4" w:space="0" w:color="auto"/>
              <w:right w:val="single" w:sz="4" w:space="0" w:color="FFFFFF"/>
            </w:tcBorders>
            <w:hideMark/>
          </w:tcPr>
          <w:p w14:paraId="01E9F430" w14:textId="77777777" w:rsidR="00EA1D82" w:rsidRPr="002029AF" w:rsidRDefault="00EA1D82" w:rsidP="00F4536C">
            <w:pPr>
              <w:pStyle w:val="ARtablefootnote"/>
            </w:pPr>
            <w:r w:rsidRPr="002029AF">
              <w:rPr>
                <w:rFonts w:eastAsia="Times"/>
                <w:lang w:eastAsia="en-AU"/>
              </w:rPr>
              <w:t>Source: Internal departmental data</w:t>
            </w:r>
          </w:p>
        </w:tc>
      </w:tr>
      <w:tr w:rsidR="00EA1D82" w:rsidRPr="002029AF" w14:paraId="018850A9" w14:textId="77777777" w:rsidTr="00F4536C">
        <w:trPr>
          <w:cantSplit/>
        </w:trPr>
        <w:tc>
          <w:tcPr>
            <w:tcW w:w="9659" w:type="dxa"/>
            <w:gridSpan w:val="7"/>
            <w:tcBorders>
              <w:top w:val="single" w:sz="4" w:space="0" w:color="auto"/>
              <w:left w:val="nil"/>
              <w:bottom w:val="single" w:sz="4" w:space="0" w:color="BFBFBF"/>
              <w:right w:val="single" w:sz="4" w:space="0" w:color="FFFFFF"/>
            </w:tcBorders>
            <w:hideMark/>
          </w:tcPr>
          <w:p w14:paraId="2AC5CE4E" w14:textId="77777777" w:rsidR="00EA1D82" w:rsidRPr="002029AF" w:rsidRDefault="00EA1D82" w:rsidP="00F4536C">
            <w:pPr>
              <w:pStyle w:val="ARtablesubhead"/>
            </w:pPr>
            <w:r w:rsidRPr="002029AF">
              <w:t>Services are safe, high-quality and provide a positive experience</w:t>
            </w:r>
          </w:p>
        </w:tc>
      </w:tr>
      <w:tr w:rsidR="00EA1D82" w:rsidRPr="002029AF" w14:paraId="01CEE424" w14:textId="77777777" w:rsidTr="00F4536C">
        <w:trPr>
          <w:gridAfter w:val="2"/>
          <w:wAfter w:w="55" w:type="dxa"/>
          <w:cantSplit/>
        </w:trPr>
        <w:tc>
          <w:tcPr>
            <w:tcW w:w="5863" w:type="dxa"/>
            <w:tcBorders>
              <w:top w:val="single" w:sz="4" w:space="0" w:color="auto"/>
              <w:left w:val="single" w:sz="4" w:space="0" w:color="FFFFFF"/>
              <w:bottom w:val="single" w:sz="4" w:space="0" w:color="BFBFBF"/>
              <w:right w:val="single" w:sz="4" w:space="0" w:color="FFFFFF"/>
            </w:tcBorders>
            <w:hideMark/>
          </w:tcPr>
          <w:p w14:paraId="658B0ED0" w14:textId="77777777" w:rsidR="00EA1D82" w:rsidRPr="002029AF" w:rsidRDefault="00EA1D82" w:rsidP="00F4536C">
            <w:pPr>
              <w:pStyle w:val="ARtabletext"/>
              <w:rPr>
                <w:i/>
              </w:rPr>
            </w:pPr>
            <w:r w:rsidRPr="002029AF">
              <w:t>Public hospitals accredited</w:t>
            </w:r>
          </w:p>
        </w:tc>
        <w:tc>
          <w:tcPr>
            <w:tcW w:w="938" w:type="dxa"/>
            <w:tcBorders>
              <w:top w:val="single" w:sz="4" w:space="0" w:color="auto"/>
              <w:left w:val="single" w:sz="4" w:space="0" w:color="FFFFFF"/>
              <w:bottom w:val="single" w:sz="4" w:space="0" w:color="BFBFBF"/>
              <w:right w:val="single" w:sz="4" w:space="0" w:color="FFFFFF"/>
            </w:tcBorders>
            <w:hideMark/>
          </w:tcPr>
          <w:p w14:paraId="22C43897" w14:textId="77777777" w:rsidR="00EA1D82" w:rsidRPr="002029AF" w:rsidRDefault="00EA1D82" w:rsidP="00F4536C">
            <w:pPr>
              <w:pStyle w:val="ARtabletext"/>
            </w:pPr>
            <w:r w:rsidRPr="002029AF">
              <w:t>100%</w:t>
            </w:r>
          </w:p>
        </w:tc>
        <w:tc>
          <w:tcPr>
            <w:tcW w:w="934" w:type="dxa"/>
            <w:tcBorders>
              <w:top w:val="single" w:sz="4" w:space="0" w:color="auto"/>
              <w:left w:val="single" w:sz="4" w:space="0" w:color="FFFFFF"/>
              <w:bottom w:val="single" w:sz="4" w:space="0" w:color="BFBFBF"/>
              <w:right w:val="single" w:sz="4" w:space="0" w:color="FFFFFF"/>
            </w:tcBorders>
            <w:hideMark/>
          </w:tcPr>
          <w:p w14:paraId="5CBBB938" w14:textId="77777777" w:rsidR="00EA1D82" w:rsidRPr="002029AF" w:rsidRDefault="00EA1D82" w:rsidP="00F4536C">
            <w:pPr>
              <w:pStyle w:val="ARtabletext"/>
            </w:pPr>
            <w:r w:rsidRPr="002029AF">
              <w:t>100%</w:t>
            </w:r>
          </w:p>
        </w:tc>
        <w:tc>
          <w:tcPr>
            <w:tcW w:w="880" w:type="dxa"/>
            <w:tcBorders>
              <w:top w:val="single" w:sz="4" w:space="0" w:color="auto"/>
              <w:left w:val="single" w:sz="4" w:space="0" w:color="FFFFFF"/>
              <w:bottom w:val="single" w:sz="4" w:space="0" w:color="BFBFBF"/>
              <w:right w:val="single" w:sz="4" w:space="0" w:color="FFFFFF"/>
            </w:tcBorders>
            <w:hideMark/>
          </w:tcPr>
          <w:p w14:paraId="28BD744F" w14:textId="77777777" w:rsidR="00EA1D82" w:rsidRPr="002029AF" w:rsidRDefault="00EA1D82" w:rsidP="00F4536C">
            <w:pPr>
              <w:pStyle w:val="ARtabletext"/>
            </w:pPr>
            <w:r w:rsidRPr="002029AF">
              <w:t>100%</w:t>
            </w:r>
          </w:p>
        </w:tc>
        <w:tc>
          <w:tcPr>
            <w:tcW w:w="989" w:type="dxa"/>
            <w:tcBorders>
              <w:top w:val="single" w:sz="4" w:space="0" w:color="auto"/>
              <w:left w:val="single" w:sz="4" w:space="0" w:color="FFFFFF"/>
              <w:bottom w:val="single" w:sz="4" w:space="0" w:color="BFBFBF"/>
              <w:right w:val="single" w:sz="4" w:space="0" w:color="FFFFFF"/>
            </w:tcBorders>
          </w:tcPr>
          <w:p w14:paraId="0723C1CF" w14:textId="77777777" w:rsidR="00EA1D82" w:rsidRPr="002029AF" w:rsidRDefault="00EA1D82" w:rsidP="00F4536C">
            <w:pPr>
              <w:pStyle w:val="ARtabletext"/>
            </w:pPr>
            <w:r w:rsidRPr="002029AF">
              <w:t>100%</w:t>
            </w:r>
          </w:p>
        </w:tc>
      </w:tr>
      <w:tr w:rsidR="00EA1D82" w:rsidRPr="002029AF" w14:paraId="07F8D268" w14:textId="77777777" w:rsidTr="00F4536C">
        <w:trPr>
          <w:gridAfter w:val="2"/>
          <w:wAfter w:w="55" w:type="dxa"/>
          <w:cantSplit/>
        </w:trPr>
        <w:tc>
          <w:tcPr>
            <w:tcW w:w="5863" w:type="dxa"/>
            <w:tcBorders>
              <w:top w:val="single" w:sz="4" w:space="0" w:color="BFBFBF"/>
              <w:left w:val="single" w:sz="4" w:space="0" w:color="FFFFFF"/>
              <w:bottom w:val="single" w:sz="4" w:space="0" w:color="FFFFFF"/>
              <w:right w:val="single" w:sz="4" w:space="0" w:color="FFFFFF"/>
            </w:tcBorders>
            <w:hideMark/>
          </w:tcPr>
          <w:p w14:paraId="7912E68E" w14:textId="77777777" w:rsidR="00EA1D82" w:rsidRPr="002029AF" w:rsidRDefault="00EA1D82" w:rsidP="00F4536C">
            <w:pPr>
              <w:pStyle w:val="ARtabletext"/>
              <w:rPr>
                <w:i/>
              </w:rPr>
            </w:pPr>
            <w:r w:rsidRPr="002029AF">
              <w:t>Patient reported hospital cleanliness</w:t>
            </w:r>
          </w:p>
        </w:tc>
        <w:tc>
          <w:tcPr>
            <w:tcW w:w="938" w:type="dxa"/>
            <w:tcBorders>
              <w:top w:val="single" w:sz="4" w:space="0" w:color="BFBFBF"/>
              <w:left w:val="single" w:sz="4" w:space="0" w:color="FFFFFF"/>
              <w:bottom w:val="single" w:sz="4" w:space="0" w:color="FFFFFF"/>
              <w:right w:val="single" w:sz="4" w:space="0" w:color="FFFFFF"/>
            </w:tcBorders>
            <w:hideMark/>
          </w:tcPr>
          <w:p w14:paraId="6523DF9B" w14:textId="77777777" w:rsidR="00EA1D82" w:rsidRPr="002029AF" w:rsidRDefault="00EA1D82" w:rsidP="00F4536C">
            <w:pPr>
              <w:pStyle w:val="ARtabletext"/>
            </w:pPr>
            <w:r w:rsidRPr="002029AF">
              <w:t>New measure</w:t>
            </w:r>
          </w:p>
        </w:tc>
        <w:tc>
          <w:tcPr>
            <w:tcW w:w="934" w:type="dxa"/>
            <w:tcBorders>
              <w:top w:val="single" w:sz="4" w:space="0" w:color="BFBFBF"/>
              <w:left w:val="single" w:sz="4" w:space="0" w:color="FFFFFF"/>
              <w:bottom w:val="single" w:sz="4" w:space="0" w:color="FFFFFF"/>
              <w:right w:val="single" w:sz="4" w:space="0" w:color="FFFFFF"/>
            </w:tcBorders>
            <w:hideMark/>
          </w:tcPr>
          <w:p w14:paraId="2C461E31" w14:textId="77777777" w:rsidR="00EA1D82" w:rsidRPr="002029AF" w:rsidRDefault="00EA1D82" w:rsidP="00F4536C">
            <w:pPr>
              <w:pStyle w:val="ARtabletext"/>
            </w:pPr>
            <w:r w:rsidRPr="002029AF">
              <w:t>70.0%</w:t>
            </w:r>
          </w:p>
        </w:tc>
        <w:tc>
          <w:tcPr>
            <w:tcW w:w="880" w:type="dxa"/>
            <w:tcBorders>
              <w:top w:val="single" w:sz="4" w:space="0" w:color="BFBFBF"/>
              <w:left w:val="single" w:sz="4" w:space="0" w:color="FFFFFF"/>
              <w:bottom w:val="single" w:sz="4" w:space="0" w:color="FFFFFF"/>
              <w:right w:val="single" w:sz="4" w:space="0" w:color="FFFFFF"/>
            </w:tcBorders>
            <w:hideMark/>
          </w:tcPr>
          <w:p w14:paraId="19011253" w14:textId="77777777" w:rsidR="00EA1D82" w:rsidRPr="002029AF" w:rsidRDefault="00EA1D82" w:rsidP="00F4536C">
            <w:pPr>
              <w:pStyle w:val="ARtabletext"/>
            </w:pPr>
            <w:r w:rsidRPr="002029AF">
              <w:t>69.4%</w:t>
            </w:r>
          </w:p>
        </w:tc>
        <w:tc>
          <w:tcPr>
            <w:tcW w:w="989" w:type="dxa"/>
            <w:tcBorders>
              <w:top w:val="single" w:sz="4" w:space="0" w:color="BFBFBF"/>
              <w:left w:val="single" w:sz="4" w:space="0" w:color="FFFFFF"/>
              <w:bottom w:val="single" w:sz="4" w:space="0" w:color="FFFFFF"/>
              <w:right w:val="single" w:sz="4" w:space="0" w:color="FFFFFF"/>
            </w:tcBorders>
          </w:tcPr>
          <w:p w14:paraId="5928A96E" w14:textId="77777777" w:rsidR="00EA1D82" w:rsidRPr="002029AF" w:rsidRDefault="00EA1D82" w:rsidP="00F4536C">
            <w:pPr>
              <w:pStyle w:val="ARtabletext"/>
            </w:pPr>
            <w:r w:rsidRPr="002029AF">
              <w:t>71.0%</w:t>
            </w:r>
            <w:r w:rsidRPr="002029AF">
              <w:rPr>
                <w:rStyle w:val="Superscript"/>
              </w:rPr>
              <w:t>E</w:t>
            </w:r>
          </w:p>
        </w:tc>
      </w:tr>
      <w:tr w:rsidR="00EA1D82" w:rsidRPr="002029AF" w14:paraId="4A9FDC64" w14:textId="77777777" w:rsidTr="00F4536C">
        <w:trPr>
          <w:cantSplit/>
        </w:trPr>
        <w:tc>
          <w:tcPr>
            <w:tcW w:w="9659" w:type="dxa"/>
            <w:gridSpan w:val="7"/>
            <w:tcBorders>
              <w:top w:val="single" w:sz="4" w:space="0" w:color="BFBFBF"/>
              <w:left w:val="single" w:sz="4" w:space="0" w:color="FFFFFF"/>
              <w:bottom w:val="single" w:sz="4" w:space="0" w:color="auto"/>
              <w:right w:val="single" w:sz="4" w:space="0" w:color="FFFFFF"/>
            </w:tcBorders>
            <w:hideMark/>
          </w:tcPr>
          <w:p w14:paraId="6FAC9367" w14:textId="77777777" w:rsidR="00EA1D82" w:rsidRPr="002029AF" w:rsidRDefault="00EA1D82" w:rsidP="00F4536C">
            <w:pPr>
              <w:pStyle w:val="ARtablefootnote"/>
            </w:pPr>
            <w:r w:rsidRPr="002029AF">
              <w:rPr>
                <w:rFonts w:eastAsia="Times"/>
                <w:lang w:eastAsia="en-AU"/>
              </w:rPr>
              <w:t>Source: Internal departmental data</w:t>
            </w:r>
          </w:p>
        </w:tc>
      </w:tr>
      <w:tr w:rsidR="00EA1D82" w:rsidRPr="002029AF" w14:paraId="1441B114" w14:textId="77777777" w:rsidTr="00F4536C">
        <w:trPr>
          <w:gridAfter w:val="2"/>
          <w:wAfter w:w="55" w:type="dxa"/>
          <w:cantSplit/>
        </w:trPr>
        <w:tc>
          <w:tcPr>
            <w:tcW w:w="5863" w:type="dxa"/>
            <w:tcBorders>
              <w:top w:val="single" w:sz="4" w:space="0" w:color="BFBFBF"/>
              <w:left w:val="single" w:sz="4" w:space="0" w:color="FFFFFF"/>
              <w:bottom w:val="single" w:sz="4" w:space="0" w:color="BFBFBF"/>
              <w:right w:val="single" w:sz="4" w:space="0" w:color="FFFFFF"/>
            </w:tcBorders>
            <w:hideMark/>
          </w:tcPr>
          <w:p w14:paraId="71D6B979" w14:textId="77777777" w:rsidR="00EA1D82" w:rsidRPr="002029AF" w:rsidRDefault="00EA1D82" w:rsidP="00F4536C">
            <w:pPr>
              <w:pStyle w:val="ARtabletext"/>
              <w:rPr>
                <w:i/>
              </w:rPr>
            </w:pPr>
            <w:r w:rsidRPr="002029AF">
              <w:t>Positive patient experience</w:t>
            </w:r>
          </w:p>
        </w:tc>
        <w:tc>
          <w:tcPr>
            <w:tcW w:w="938" w:type="dxa"/>
            <w:tcBorders>
              <w:top w:val="single" w:sz="4" w:space="0" w:color="BFBFBF"/>
              <w:left w:val="single" w:sz="4" w:space="0" w:color="FFFFFF"/>
              <w:bottom w:val="single" w:sz="4" w:space="0" w:color="BFBFBF"/>
              <w:right w:val="single" w:sz="4" w:space="0" w:color="FFFFFF"/>
            </w:tcBorders>
            <w:hideMark/>
          </w:tcPr>
          <w:p w14:paraId="55964C4B" w14:textId="77777777" w:rsidR="00EA1D82" w:rsidRPr="002029AF" w:rsidRDefault="00EA1D82" w:rsidP="00F4536C">
            <w:pPr>
              <w:pStyle w:val="ARtabletext"/>
            </w:pPr>
            <w:r w:rsidRPr="002029AF">
              <w:t>92.0%</w:t>
            </w:r>
          </w:p>
        </w:tc>
        <w:tc>
          <w:tcPr>
            <w:tcW w:w="934" w:type="dxa"/>
            <w:tcBorders>
              <w:top w:val="single" w:sz="4" w:space="0" w:color="BFBFBF"/>
              <w:left w:val="single" w:sz="4" w:space="0" w:color="FFFFFF"/>
              <w:bottom w:val="single" w:sz="4" w:space="0" w:color="BFBFBF"/>
              <w:right w:val="single" w:sz="4" w:space="0" w:color="FFFFFF"/>
            </w:tcBorders>
            <w:shd w:val="clear" w:color="auto" w:fill="auto"/>
            <w:hideMark/>
          </w:tcPr>
          <w:p w14:paraId="01F9C479" w14:textId="77777777" w:rsidR="00EA1D82" w:rsidRPr="002029AF" w:rsidRDefault="00EA1D82" w:rsidP="00F4536C">
            <w:pPr>
              <w:pStyle w:val="ARtabletext"/>
            </w:pPr>
            <w:r w:rsidRPr="002029AF">
              <w:t>91.5%</w:t>
            </w:r>
          </w:p>
        </w:tc>
        <w:tc>
          <w:tcPr>
            <w:tcW w:w="880" w:type="dxa"/>
            <w:tcBorders>
              <w:top w:val="single" w:sz="4" w:space="0" w:color="BFBFBF"/>
              <w:left w:val="single" w:sz="4" w:space="0" w:color="FFFFFF"/>
              <w:bottom w:val="single" w:sz="4" w:space="0" w:color="BFBFBF"/>
              <w:right w:val="single" w:sz="4" w:space="0" w:color="FFFFFF"/>
            </w:tcBorders>
            <w:shd w:val="clear" w:color="auto" w:fill="auto"/>
            <w:hideMark/>
          </w:tcPr>
          <w:p w14:paraId="65F306A9" w14:textId="77777777" w:rsidR="00EA1D82" w:rsidRPr="002029AF" w:rsidRDefault="00EA1D82" w:rsidP="00F4536C">
            <w:pPr>
              <w:pStyle w:val="ARtabletext"/>
            </w:pPr>
            <w:r w:rsidRPr="002029AF">
              <w:t>92.4%</w:t>
            </w:r>
          </w:p>
        </w:tc>
        <w:tc>
          <w:tcPr>
            <w:tcW w:w="989" w:type="dxa"/>
            <w:tcBorders>
              <w:top w:val="single" w:sz="4" w:space="0" w:color="BFBFBF"/>
              <w:left w:val="single" w:sz="4" w:space="0" w:color="FFFFFF"/>
              <w:bottom w:val="single" w:sz="4" w:space="0" w:color="BFBFBF"/>
              <w:right w:val="single" w:sz="4" w:space="0" w:color="FFFFFF"/>
            </w:tcBorders>
          </w:tcPr>
          <w:p w14:paraId="37535DC9" w14:textId="77777777" w:rsidR="00EA1D82" w:rsidRPr="002029AF" w:rsidRDefault="00EA1D82" w:rsidP="00F4536C">
            <w:pPr>
              <w:pStyle w:val="ARtabletext"/>
            </w:pPr>
            <w:r w:rsidRPr="002029AF">
              <w:t>Data available late 2020</w:t>
            </w:r>
          </w:p>
        </w:tc>
      </w:tr>
      <w:tr w:rsidR="00EA1D82" w:rsidRPr="002029AF" w14:paraId="68E59421" w14:textId="77777777" w:rsidTr="00F4536C">
        <w:trPr>
          <w:gridAfter w:val="2"/>
          <w:wAfter w:w="55" w:type="dxa"/>
          <w:cantSplit/>
        </w:trPr>
        <w:tc>
          <w:tcPr>
            <w:tcW w:w="5863" w:type="dxa"/>
            <w:tcBorders>
              <w:top w:val="single" w:sz="4" w:space="0" w:color="BFBFBF"/>
              <w:left w:val="single" w:sz="4" w:space="0" w:color="FFFFFF"/>
              <w:bottom w:val="single" w:sz="4" w:space="0" w:color="FFFFFF"/>
              <w:right w:val="single" w:sz="4" w:space="0" w:color="FFFFFF"/>
            </w:tcBorders>
            <w:hideMark/>
          </w:tcPr>
          <w:p w14:paraId="37330390" w14:textId="77777777" w:rsidR="00EA1D82" w:rsidRPr="002029AF" w:rsidRDefault="00EA1D82" w:rsidP="00F4536C">
            <w:pPr>
              <w:pStyle w:val="ARtabletext"/>
              <w:rPr>
                <w:i/>
              </w:rPr>
            </w:pPr>
            <w:r w:rsidRPr="002029AF">
              <w:t>Discharge Experience Index</w:t>
            </w:r>
          </w:p>
        </w:tc>
        <w:tc>
          <w:tcPr>
            <w:tcW w:w="938" w:type="dxa"/>
            <w:tcBorders>
              <w:top w:val="single" w:sz="4" w:space="0" w:color="BFBFBF"/>
              <w:left w:val="single" w:sz="4" w:space="0" w:color="FFFFFF"/>
              <w:bottom w:val="single" w:sz="4" w:space="0" w:color="FFFFFF"/>
              <w:right w:val="single" w:sz="4" w:space="0" w:color="FFFFFF"/>
            </w:tcBorders>
            <w:hideMark/>
          </w:tcPr>
          <w:p w14:paraId="3B1C871A" w14:textId="77777777" w:rsidR="00EA1D82" w:rsidRPr="002029AF" w:rsidRDefault="00EA1D82" w:rsidP="00F4536C">
            <w:pPr>
              <w:pStyle w:val="ARtabletext"/>
            </w:pPr>
            <w:r w:rsidRPr="002029AF">
              <w:t>75.6%</w:t>
            </w:r>
          </w:p>
        </w:tc>
        <w:tc>
          <w:tcPr>
            <w:tcW w:w="934" w:type="dxa"/>
            <w:tcBorders>
              <w:top w:val="single" w:sz="4" w:space="0" w:color="BFBFBF"/>
              <w:left w:val="single" w:sz="4" w:space="0" w:color="FFFFFF"/>
              <w:bottom w:val="single" w:sz="4" w:space="0" w:color="FFFFFF"/>
              <w:right w:val="single" w:sz="4" w:space="0" w:color="FFFFFF"/>
            </w:tcBorders>
            <w:shd w:val="clear" w:color="auto" w:fill="auto"/>
            <w:hideMark/>
          </w:tcPr>
          <w:p w14:paraId="5077B77A" w14:textId="77777777" w:rsidR="00EA1D82" w:rsidRPr="002029AF" w:rsidRDefault="00EA1D82" w:rsidP="00F4536C">
            <w:pPr>
              <w:pStyle w:val="ARtabletext"/>
            </w:pPr>
            <w:r w:rsidRPr="002029AF">
              <w:t>75.3%</w:t>
            </w:r>
          </w:p>
        </w:tc>
        <w:tc>
          <w:tcPr>
            <w:tcW w:w="880" w:type="dxa"/>
            <w:tcBorders>
              <w:top w:val="single" w:sz="4" w:space="0" w:color="BFBFBF"/>
              <w:left w:val="single" w:sz="4" w:space="0" w:color="FFFFFF"/>
              <w:bottom w:val="single" w:sz="4" w:space="0" w:color="FFFFFF"/>
              <w:right w:val="single" w:sz="4" w:space="0" w:color="FFFFFF"/>
            </w:tcBorders>
            <w:shd w:val="clear" w:color="auto" w:fill="auto"/>
            <w:hideMark/>
          </w:tcPr>
          <w:p w14:paraId="1BC6A4A8" w14:textId="77777777" w:rsidR="00EA1D82" w:rsidRPr="002029AF" w:rsidRDefault="00EA1D82" w:rsidP="00F4536C">
            <w:pPr>
              <w:pStyle w:val="ARtabletext"/>
            </w:pPr>
            <w:r w:rsidRPr="002029AF">
              <w:t>75.7%</w:t>
            </w:r>
          </w:p>
        </w:tc>
        <w:tc>
          <w:tcPr>
            <w:tcW w:w="989" w:type="dxa"/>
            <w:tcBorders>
              <w:top w:val="single" w:sz="4" w:space="0" w:color="BFBFBF"/>
              <w:left w:val="single" w:sz="4" w:space="0" w:color="FFFFFF"/>
              <w:bottom w:val="single" w:sz="4" w:space="0" w:color="FFFFFF"/>
              <w:right w:val="single" w:sz="4" w:space="0" w:color="FFFFFF"/>
            </w:tcBorders>
          </w:tcPr>
          <w:p w14:paraId="2EA772A3" w14:textId="77777777" w:rsidR="00EA1D82" w:rsidRPr="002029AF" w:rsidRDefault="00EA1D82" w:rsidP="00F4536C">
            <w:pPr>
              <w:pStyle w:val="ARtabletext"/>
            </w:pPr>
            <w:r w:rsidRPr="002029AF">
              <w:t>Data available late 2020</w:t>
            </w:r>
          </w:p>
        </w:tc>
      </w:tr>
      <w:tr w:rsidR="00EA1D82" w:rsidRPr="002029AF" w14:paraId="5F2A3D12" w14:textId="77777777" w:rsidTr="00F4536C">
        <w:trPr>
          <w:cantSplit/>
        </w:trPr>
        <w:tc>
          <w:tcPr>
            <w:tcW w:w="9659" w:type="dxa"/>
            <w:gridSpan w:val="7"/>
            <w:tcBorders>
              <w:top w:val="single" w:sz="4" w:space="0" w:color="BFBFBF"/>
              <w:left w:val="single" w:sz="4" w:space="0" w:color="FFFFFF"/>
              <w:bottom w:val="single" w:sz="4" w:space="0" w:color="auto"/>
              <w:right w:val="single" w:sz="4" w:space="0" w:color="FFFFFF"/>
            </w:tcBorders>
            <w:hideMark/>
          </w:tcPr>
          <w:p w14:paraId="4A70A9AD" w14:textId="77777777" w:rsidR="00EA1D82" w:rsidRPr="002029AF" w:rsidRDefault="00EA1D82" w:rsidP="00F4536C">
            <w:pPr>
              <w:pStyle w:val="ARtablefootnote"/>
            </w:pPr>
            <w:r w:rsidRPr="002029AF">
              <w:rPr>
                <w:rFonts w:eastAsia="Times"/>
                <w:lang w:eastAsia="en-AU"/>
              </w:rPr>
              <w:t>Source: Victorian Health Experience Survey</w:t>
            </w:r>
          </w:p>
        </w:tc>
      </w:tr>
    </w:tbl>
    <w:p w14:paraId="6EDDA98C" w14:textId="77777777" w:rsidR="00603E4B" w:rsidRPr="002029AF" w:rsidRDefault="00603E4B" w:rsidP="00603E4B">
      <w:pPr>
        <w:pStyle w:val="ARtablefootnote"/>
        <w:rPr>
          <w:lang w:eastAsia="en-AU"/>
        </w:rPr>
      </w:pPr>
      <w:r w:rsidRPr="002029AF">
        <w:rPr>
          <w:rFonts w:eastAsia="Times"/>
          <w:lang w:eastAsia="en-AU"/>
        </w:rPr>
        <w:t>The department is committed to measuring outcomes for all indicators set out in the Victorian budget papers. Further work is needed to test and validate measures to ensure departmental initiatives and policies are reflected by the performance indicators. As the outcomes approaches in the department mature, reporting will be provided against outcome measures and will inform the reporting of performance indicators.</w:t>
      </w:r>
    </w:p>
    <w:p w14:paraId="0793FFED" w14:textId="77777777" w:rsidR="007260D7" w:rsidRPr="002029AF" w:rsidRDefault="007260D7" w:rsidP="007260D7">
      <w:pPr>
        <w:pStyle w:val="ARbody"/>
      </w:pPr>
    </w:p>
    <w:p w14:paraId="55A760BD" w14:textId="11370A54" w:rsidR="007260D7" w:rsidRPr="002029AF" w:rsidRDefault="007260D7" w:rsidP="007260D7">
      <w:pPr>
        <w:pStyle w:val="ARbody"/>
        <w:sectPr w:rsidR="007260D7" w:rsidRPr="002029AF" w:rsidSect="00A518E2">
          <w:headerReference w:type="even" r:id="rId95"/>
          <w:headerReference w:type="default" r:id="rId96"/>
          <w:headerReference w:type="first" r:id="rId97"/>
          <w:footerReference w:type="first" r:id="rId98"/>
          <w:footnotePr>
            <w:numFmt w:val="chicago"/>
            <w:numRestart w:val="eachPage"/>
          </w:footnotePr>
          <w:endnotePr>
            <w:numFmt w:val="decimal"/>
          </w:endnotePr>
          <w:pgSz w:w="11900" w:h="16840" w:code="9"/>
          <w:pgMar w:top="1985" w:right="851" w:bottom="851" w:left="1418" w:header="510" w:footer="340" w:gutter="0"/>
          <w:cols w:space="454"/>
          <w15:footnoteColumns w:val="1"/>
        </w:sectPr>
      </w:pPr>
    </w:p>
    <w:p w14:paraId="40BD93B1" w14:textId="700B743E" w:rsidR="00650DAB" w:rsidRPr="002029AF" w:rsidRDefault="00C15C65" w:rsidP="005A1160">
      <w:pPr>
        <w:pStyle w:val="Heading1"/>
      </w:pPr>
      <w:bookmarkStart w:id="53" w:name="_Ref52199959"/>
      <w:bookmarkStart w:id="54" w:name="_Toc54690766"/>
      <w:bookmarkEnd w:id="26"/>
      <w:r w:rsidRPr="002029AF">
        <w:lastRenderedPageBreak/>
        <w:t>Performance</w:t>
      </w:r>
      <w:r w:rsidR="000A5329" w:rsidRPr="002029AF">
        <w:t xml:space="preserve"> </w:t>
      </w:r>
      <w:r w:rsidRPr="002029AF">
        <w:t>reporting</w:t>
      </w:r>
      <w:bookmarkEnd w:id="53"/>
      <w:bookmarkEnd w:id="54"/>
    </w:p>
    <w:p w14:paraId="4F0AC449" w14:textId="388C3D32" w:rsidR="00C15C65" w:rsidRPr="002029AF" w:rsidRDefault="00C15C65" w:rsidP="00650DAB">
      <w:pPr>
        <w:pStyle w:val="ARbody"/>
      </w:pPr>
      <w:r w:rsidRPr="002029AF">
        <w:t>The</w:t>
      </w:r>
      <w:r w:rsidR="000A5329" w:rsidRPr="002029AF">
        <w:t xml:space="preserve"> </w:t>
      </w:r>
      <w:r w:rsidRPr="002029AF">
        <w:t>201</w:t>
      </w:r>
      <w:r w:rsidR="00DB53E6" w:rsidRPr="002029AF">
        <w:t>9–</w:t>
      </w:r>
      <w:r w:rsidRPr="002029AF">
        <w:t>20</w:t>
      </w:r>
      <w:r w:rsidR="000A5329" w:rsidRPr="002029AF">
        <w:t xml:space="preserve"> </w:t>
      </w:r>
      <w:r w:rsidRPr="002029AF">
        <w:t>output</w:t>
      </w:r>
      <w:r w:rsidR="000A5329" w:rsidRPr="002029AF">
        <w:t xml:space="preserve"> </w:t>
      </w:r>
      <w:r w:rsidRPr="002029AF">
        <w:t>performance</w:t>
      </w:r>
      <w:r w:rsidR="000A5329" w:rsidRPr="002029AF">
        <w:t xml:space="preserve"> </w:t>
      </w:r>
      <w:r w:rsidRPr="002029AF">
        <w:t>has</w:t>
      </w:r>
      <w:r w:rsidR="000A5329" w:rsidRPr="002029AF">
        <w:t xml:space="preserve"> </w:t>
      </w:r>
      <w:r w:rsidRPr="002029AF">
        <w:t>been</w:t>
      </w:r>
      <w:r w:rsidR="000A5329" w:rsidRPr="002029AF">
        <w:t xml:space="preserve"> </w:t>
      </w:r>
      <w:r w:rsidRPr="002029AF">
        <w:t>affected</w:t>
      </w:r>
      <w:r w:rsidR="000A5329" w:rsidRPr="002029AF">
        <w:t xml:space="preserve"> </w:t>
      </w:r>
      <w:r w:rsidRPr="002029AF">
        <w:t>by</w:t>
      </w:r>
      <w:r w:rsidR="000A5329" w:rsidRPr="002029AF">
        <w:t xml:space="preserve"> </w:t>
      </w:r>
      <w:r w:rsidRPr="002029AF">
        <w:t>the</w:t>
      </w:r>
      <w:r w:rsidR="000A5329" w:rsidRPr="002029AF">
        <w:t xml:space="preserve"> </w:t>
      </w:r>
      <w:r w:rsidRPr="002029AF">
        <w:t>impacts</w:t>
      </w:r>
      <w:r w:rsidR="000A5329" w:rsidRPr="002029AF">
        <w:t xml:space="preserve"> </w:t>
      </w:r>
      <w:r w:rsidRPr="002029AF">
        <w:t>of</w:t>
      </w:r>
      <w:r w:rsidR="000A5329" w:rsidRPr="002029AF">
        <w:t xml:space="preserve"> </w:t>
      </w:r>
      <w:r w:rsidRPr="002029AF">
        <w:t>the</w:t>
      </w:r>
      <w:r w:rsidR="000A5329" w:rsidRPr="002029AF">
        <w:t xml:space="preserve"> </w:t>
      </w:r>
      <w:r w:rsidRPr="002029AF">
        <w:t>bushfires</w:t>
      </w:r>
      <w:r w:rsidR="000A5329" w:rsidRPr="002029AF">
        <w:t xml:space="preserve"> </w:t>
      </w:r>
      <w:r w:rsidRPr="002029AF">
        <w:t>and/or</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Many</w:t>
      </w:r>
      <w:r w:rsidR="000A5329" w:rsidRPr="002029AF">
        <w:t xml:space="preserve"> </w:t>
      </w:r>
      <w:r w:rsidRPr="002029AF">
        <w:t>of</w:t>
      </w:r>
      <w:r w:rsidR="000A5329" w:rsidRPr="002029AF">
        <w:t xml:space="preserve"> </w:t>
      </w:r>
      <w:r w:rsidRPr="002029AF">
        <w:t>the</w:t>
      </w:r>
      <w:r w:rsidR="000A5329" w:rsidRPr="002029AF">
        <w:t xml:space="preserve"> </w:t>
      </w:r>
      <w:r w:rsidRPr="002029AF">
        <w:t>performance</w:t>
      </w:r>
      <w:r w:rsidR="000A5329" w:rsidRPr="002029AF">
        <w:t xml:space="preserve"> </w:t>
      </w:r>
      <w:r w:rsidRPr="002029AF">
        <w:t>measures</w:t>
      </w:r>
      <w:r w:rsidR="000A5329" w:rsidRPr="002029AF">
        <w:t xml:space="preserve"> </w:t>
      </w:r>
      <w:r w:rsidRPr="002029AF">
        <w:t>relied</w:t>
      </w:r>
      <w:r w:rsidR="000A5329" w:rsidRPr="002029AF">
        <w:t xml:space="preserve"> </w:t>
      </w:r>
      <w:r w:rsidRPr="002029AF">
        <w:t>on</w:t>
      </w:r>
      <w:r w:rsidR="000A5329" w:rsidRPr="002029AF">
        <w:t xml:space="preserve"> </w:t>
      </w:r>
      <w:r w:rsidRPr="002029AF">
        <w:t>physical</w:t>
      </w:r>
      <w:r w:rsidR="000A5329" w:rsidRPr="002029AF">
        <w:t xml:space="preserve"> </w:t>
      </w:r>
      <w:r w:rsidRPr="002029AF">
        <w:t>and</w:t>
      </w:r>
      <w:r w:rsidR="000A5329" w:rsidRPr="002029AF">
        <w:t xml:space="preserve"> </w:t>
      </w:r>
      <w:r w:rsidRPr="002029AF">
        <w:t>social</w:t>
      </w:r>
      <w:r w:rsidR="000A5329" w:rsidRPr="002029AF">
        <w:t xml:space="preserve"> </w:t>
      </w:r>
      <w:r w:rsidRPr="002029AF">
        <w:t>interactions</w:t>
      </w:r>
      <w:r w:rsidR="000A5329" w:rsidRPr="002029AF">
        <w:t xml:space="preserve"> </w:t>
      </w:r>
      <w:r w:rsidRPr="002029AF">
        <w:t>or</w:t>
      </w:r>
      <w:r w:rsidR="000A5329" w:rsidRPr="002029AF">
        <w:t xml:space="preserve"> </w:t>
      </w:r>
      <w:r w:rsidRPr="002029AF">
        <w:t>were</w:t>
      </w:r>
      <w:r w:rsidR="000A5329" w:rsidRPr="002029AF">
        <w:t xml:space="preserve"> </w:t>
      </w:r>
      <w:r w:rsidRPr="002029AF">
        <w:t>impacted</w:t>
      </w:r>
      <w:r w:rsidR="000A5329" w:rsidRPr="002029AF">
        <w:t xml:space="preserve"> </w:t>
      </w:r>
      <w:r w:rsidRPr="002029AF">
        <w:t>by</w:t>
      </w:r>
      <w:r w:rsidR="000A5329" w:rsidRPr="002029AF">
        <w:t xml:space="preserve"> </w:t>
      </w:r>
      <w:r w:rsidRPr="002029AF">
        <w:t>the</w:t>
      </w:r>
      <w:r w:rsidR="000A5329" w:rsidRPr="002029AF">
        <w:t xml:space="preserve"> </w:t>
      </w:r>
      <w:r w:rsidRPr="002029AF">
        <w:t>emergency</w:t>
      </w:r>
      <w:r w:rsidR="000A5329" w:rsidRPr="002029AF">
        <w:t xml:space="preserve"> </w:t>
      </w:r>
      <w:r w:rsidRPr="002029AF">
        <w:t>response.</w:t>
      </w:r>
      <w:r w:rsidR="000A5329" w:rsidRPr="002029AF">
        <w:t xml:space="preserve"> </w:t>
      </w:r>
      <w:r w:rsidRPr="002029AF">
        <w:t>In</w:t>
      </w:r>
      <w:r w:rsidR="000A5329" w:rsidRPr="002029AF">
        <w:t xml:space="preserve"> </w:t>
      </w:r>
      <w:r w:rsidRPr="002029AF">
        <w:t>addition,</w:t>
      </w:r>
      <w:r w:rsidR="000A5329" w:rsidRPr="002029AF">
        <w:t xml:space="preserve"> </w:t>
      </w:r>
      <w:r w:rsidRPr="002029AF">
        <w:t>increased</w:t>
      </w:r>
      <w:r w:rsidR="000A5329" w:rsidRPr="002029AF">
        <w:t xml:space="preserve"> </w:t>
      </w:r>
      <w:r w:rsidRPr="002029AF">
        <w:t>support</w:t>
      </w:r>
      <w:r w:rsidR="000A5329" w:rsidRPr="002029AF">
        <w:t xml:space="preserve"> </w:t>
      </w:r>
      <w:r w:rsidRPr="002029AF">
        <w:t>provided</w:t>
      </w:r>
      <w:r w:rsidR="000A5329" w:rsidRPr="002029AF">
        <w:t xml:space="preserve"> </w:t>
      </w:r>
      <w:r w:rsidRPr="002029AF">
        <w:t>to</w:t>
      </w:r>
      <w:r w:rsidR="000A5329" w:rsidRPr="002029AF">
        <w:t xml:space="preserve"> </w:t>
      </w:r>
      <w:r w:rsidRPr="002029AF">
        <w:t>services</w:t>
      </w:r>
      <w:r w:rsidR="000A5329" w:rsidRPr="002029AF">
        <w:t xml:space="preserve"> </w:t>
      </w:r>
      <w:r w:rsidRPr="002029AF">
        <w:t>and</w:t>
      </w:r>
      <w:r w:rsidR="000A5329" w:rsidRPr="002029AF">
        <w:t xml:space="preserve"> </w:t>
      </w:r>
      <w:r w:rsidRPr="002029AF">
        <w:t>sectors</w:t>
      </w:r>
      <w:r w:rsidR="000A5329" w:rsidRPr="002029AF">
        <w:t xml:space="preserve"> </w:t>
      </w:r>
      <w:r w:rsidRPr="002029AF">
        <w:t>in</w:t>
      </w:r>
      <w:r w:rsidR="000A5329" w:rsidRPr="002029AF">
        <w:t xml:space="preserve"> </w:t>
      </w:r>
      <w:r w:rsidRPr="002029AF">
        <w:t>response</w:t>
      </w:r>
      <w:r w:rsidR="000A5329" w:rsidRPr="002029AF">
        <w:t xml:space="preserve"> </w:t>
      </w:r>
      <w:r w:rsidRPr="002029AF">
        <w:t>to</w:t>
      </w:r>
      <w:r w:rsidR="000A5329" w:rsidRPr="002029AF">
        <w:t xml:space="preserve"> </w:t>
      </w:r>
      <w:r w:rsidRPr="005432DB">
        <w:t>these</w:t>
      </w:r>
      <w:r w:rsidR="000A5329" w:rsidRPr="005432DB">
        <w:t xml:space="preserve"> </w:t>
      </w:r>
      <w:r w:rsidRPr="005432DB">
        <w:t>events</w:t>
      </w:r>
      <w:r w:rsidRPr="002029AF">
        <w:t>,</w:t>
      </w:r>
      <w:r w:rsidR="000A5329" w:rsidRPr="002029AF">
        <w:t xml:space="preserve"> </w:t>
      </w:r>
      <w:r w:rsidRPr="002029AF">
        <w:t>as</w:t>
      </w:r>
      <w:r w:rsidR="000A5329" w:rsidRPr="002029AF">
        <w:t xml:space="preserve"> </w:t>
      </w:r>
      <w:r w:rsidRPr="002029AF">
        <w:t>well</w:t>
      </w:r>
      <w:r w:rsidR="000A5329" w:rsidRPr="002029AF">
        <w:t xml:space="preserve"> </w:t>
      </w:r>
      <w:r w:rsidRPr="002029AF">
        <w:t>as</w:t>
      </w:r>
      <w:r w:rsidR="000A5329" w:rsidRPr="002029AF">
        <w:t xml:space="preserve"> </w:t>
      </w:r>
      <w:r w:rsidRPr="002029AF">
        <w:t>changes</w:t>
      </w:r>
      <w:r w:rsidR="000A5329" w:rsidRPr="002029AF">
        <w:t xml:space="preserve"> </w:t>
      </w:r>
      <w:r w:rsidRPr="002029AF">
        <w:t>in</w:t>
      </w:r>
      <w:r w:rsidR="000A5329" w:rsidRPr="002029AF">
        <w:t xml:space="preserve"> </w:t>
      </w:r>
      <w:r w:rsidRPr="002029AF">
        <w:t>demand</w:t>
      </w:r>
      <w:r w:rsidR="000A5329" w:rsidRPr="002029AF">
        <w:t xml:space="preserve"> </w:t>
      </w:r>
      <w:r w:rsidRPr="002029AF">
        <w:t>for</w:t>
      </w:r>
      <w:r w:rsidR="000A5329" w:rsidRPr="002029AF">
        <w:t xml:space="preserve"> </w:t>
      </w:r>
      <w:r w:rsidRPr="002029AF">
        <w:t>services,</w:t>
      </w:r>
      <w:r w:rsidR="000A5329" w:rsidRPr="002029AF">
        <w:t xml:space="preserve"> </w:t>
      </w:r>
      <w:r w:rsidRPr="002029AF">
        <w:t>ha</w:t>
      </w:r>
      <w:r w:rsidR="005432DB">
        <w:t>ve</w:t>
      </w:r>
      <w:r w:rsidR="000A5329" w:rsidRPr="002029AF">
        <w:t xml:space="preserve"> </w:t>
      </w:r>
      <w:r w:rsidRPr="002029AF">
        <w:t>created</w:t>
      </w:r>
      <w:r w:rsidR="000A5329" w:rsidRPr="002029AF">
        <w:t xml:space="preserve"> </w:t>
      </w:r>
      <w:r w:rsidRPr="002029AF">
        <w:t>results</w:t>
      </w:r>
      <w:r w:rsidR="000A5329" w:rsidRPr="002029AF">
        <w:t xml:space="preserve"> </w:t>
      </w:r>
      <w:r w:rsidRPr="002029AF">
        <w:t>that</w:t>
      </w:r>
      <w:r w:rsidR="000A5329" w:rsidRPr="002029AF">
        <w:t xml:space="preserve"> </w:t>
      </w:r>
      <w:r w:rsidRPr="002029AF">
        <w:t>could</w:t>
      </w:r>
      <w:r w:rsidR="000A5329" w:rsidRPr="002029AF">
        <w:t xml:space="preserve"> </w:t>
      </w:r>
      <w:r w:rsidRPr="002029AF">
        <w:t>not</w:t>
      </w:r>
      <w:r w:rsidR="000A5329" w:rsidRPr="002029AF">
        <w:t xml:space="preserve"> </w:t>
      </w:r>
      <w:r w:rsidR="00BA2A81">
        <w:t xml:space="preserve">have </w:t>
      </w:r>
      <w:r w:rsidRPr="002029AF">
        <w:t>be</w:t>
      </w:r>
      <w:r w:rsidR="00BA2A81">
        <w:t>en</w:t>
      </w:r>
      <w:r w:rsidR="000A5329" w:rsidRPr="002029AF">
        <w:t xml:space="preserve"> </w:t>
      </w:r>
      <w:r w:rsidRPr="002029AF">
        <w:t>anticipated</w:t>
      </w:r>
      <w:r w:rsidR="000A5329" w:rsidRPr="002029AF">
        <w:t xml:space="preserve"> </w:t>
      </w:r>
      <w:r w:rsidRPr="002029AF">
        <w:t>when</w:t>
      </w:r>
      <w:r w:rsidR="000A5329" w:rsidRPr="002029AF">
        <w:t xml:space="preserve"> </w:t>
      </w:r>
      <w:r w:rsidRPr="002029AF">
        <w:t>the</w:t>
      </w:r>
      <w:r w:rsidR="000A5329" w:rsidRPr="002029AF">
        <w:t xml:space="preserve"> </w:t>
      </w:r>
      <w:r w:rsidRPr="002029AF">
        <w:t>targets</w:t>
      </w:r>
      <w:r w:rsidR="000A5329" w:rsidRPr="002029AF">
        <w:t xml:space="preserve"> </w:t>
      </w:r>
      <w:r w:rsidRPr="002029AF">
        <w:t>were</w:t>
      </w:r>
      <w:r w:rsidR="000A5329" w:rsidRPr="002029AF">
        <w:t xml:space="preserve"> </w:t>
      </w:r>
      <w:r w:rsidRPr="002029AF">
        <w:t>set.</w:t>
      </w:r>
    </w:p>
    <w:p w14:paraId="6B1902A1" w14:textId="5CEBEC5F" w:rsidR="00C15C65" w:rsidRPr="002029AF" w:rsidRDefault="00C15C65" w:rsidP="00752BD4">
      <w:pPr>
        <w:pStyle w:val="ARbody"/>
      </w:pPr>
      <w:r w:rsidRPr="002029AF">
        <w:t>Results</w:t>
      </w:r>
      <w:r w:rsidR="000A5329" w:rsidRPr="002029AF">
        <w:t xml:space="preserve"> </w:t>
      </w:r>
      <w:r w:rsidRPr="002029AF">
        <w:t>in</w:t>
      </w:r>
      <w:r w:rsidR="000A5329" w:rsidRPr="002029AF">
        <w:t xml:space="preserve"> </w:t>
      </w:r>
      <w:r w:rsidRPr="002029AF">
        <w:t>the</w:t>
      </w:r>
      <w:r w:rsidR="000A5329" w:rsidRPr="002029AF">
        <w:t xml:space="preserve"> </w:t>
      </w:r>
      <w:r w:rsidRPr="002029AF">
        <w:t>tables</w:t>
      </w:r>
      <w:r w:rsidR="000A5329" w:rsidRPr="002029AF">
        <w:t xml:space="preserve"> </w:t>
      </w:r>
      <w:r w:rsidRPr="002029AF">
        <w:t>below</w:t>
      </w:r>
      <w:r w:rsidR="000A5329" w:rsidRPr="002029AF">
        <w:t xml:space="preserve"> </w:t>
      </w:r>
      <w:r w:rsidRPr="002029AF">
        <w:t>are</w:t>
      </w:r>
      <w:r w:rsidR="000A5329" w:rsidRPr="002029AF">
        <w:t xml:space="preserve"> </w:t>
      </w:r>
      <w:r w:rsidRPr="002029AF">
        <w:t>coded</w:t>
      </w:r>
      <w:r w:rsidR="000A5329" w:rsidRPr="002029AF">
        <w:t xml:space="preserve"> </w:t>
      </w:r>
      <w:r w:rsidRPr="002029AF">
        <w:t>according</w:t>
      </w:r>
      <w:r w:rsidR="000A5329" w:rsidRPr="002029AF">
        <w:t xml:space="preserve"> </w:t>
      </w:r>
      <w:r w:rsidRPr="002029AF">
        <w:t>to:</w:t>
      </w:r>
    </w:p>
    <w:p w14:paraId="3986B9B9" w14:textId="57069D68" w:rsidR="00C15C65" w:rsidRPr="002029AF" w:rsidRDefault="00C15C65" w:rsidP="00752BD4">
      <w:pPr>
        <w:pStyle w:val="ARbody"/>
      </w:pPr>
      <w:r w:rsidRPr="002029AF">
        <w:rPr>
          <w:rFonts w:ascii="Wingdings" w:eastAsia="Wingdings" w:hAnsi="Wingdings" w:cs="Wingdings"/>
        </w:rPr>
        <w:t></w:t>
      </w:r>
      <w:r w:rsidRPr="002029AF">
        <w:tab/>
        <w:t>Performance</w:t>
      </w:r>
      <w:r w:rsidR="000A5329" w:rsidRPr="002029AF">
        <w:t xml:space="preserve"> </w:t>
      </w:r>
      <w:r w:rsidRPr="002029AF">
        <w:t>target</w:t>
      </w:r>
      <w:r w:rsidR="000A5329" w:rsidRPr="002029AF">
        <w:t xml:space="preserve"> </w:t>
      </w:r>
      <w:r w:rsidRPr="002029AF">
        <w:t>achieved</w:t>
      </w:r>
      <w:r w:rsidR="000A5329" w:rsidRPr="002029AF">
        <w:t xml:space="preserve"> </w:t>
      </w:r>
      <w:r w:rsidRPr="002029AF">
        <w:t>or</w:t>
      </w:r>
      <w:r w:rsidR="000A5329" w:rsidRPr="002029AF">
        <w:t xml:space="preserve"> </w:t>
      </w:r>
      <w:r w:rsidRPr="002029AF">
        <w:t>exceeded</w:t>
      </w:r>
    </w:p>
    <w:p w14:paraId="008FC2F5" w14:textId="57591123" w:rsidR="00C15C65" w:rsidRPr="002029AF" w:rsidRDefault="00F768BF" w:rsidP="00752BD4">
      <w:pPr>
        <w:pStyle w:val="ARbody"/>
      </w:pPr>
      <w:r w:rsidRPr="002029AF">
        <w:rPr>
          <w:rFonts w:ascii="Wingdings" w:hAnsi="Wingdings"/>
        </w:rPr>
        <w:t>□</w:t>
      </w:r>
      <w:r w:rsidR="00C15C65" w:rsidRPr="002029AF">
        <w:tab/>
        <w:t>Performance</w:t>
      </w:r>
      <w:r w:rsidR="000A5329" w:rsidRPr="002029AF">
        <w:t xml:space="preserve"> </w:t>
      </w:r>
      <w:r w:rsidR="00C15C65" w:rsidRPr="002029AF">
        <w:t>target</w:t>
      </w:r>
      <w:r w:rsidR="000A5329" w:rsidRPr="002029AF">
        <w:t xml:space="preserve"> </w:t>
      </w:r>
      <w:r w:rsidR="00C15C65" w:rsidRPr="002029AF">
        <w:t>not</w:t>
      </w:r>
      <w:r w:rsidR="000A5329" w:rsidRPr="002029AF">
        <w:t xml:space="preserve"> </w:t>
      </w:r>
      <w:r w:rsidR="00C15C65" w:rsidRPr="002029AF">
        <w:t>achieved</w:t>
      </w:r>
      <w:r w:rsidR="000A5329" w:rsidRPr="002029AF">
        <w:t xml:space="preserve"> </w:t>
      </w:r>
      <w:r w:rsidR="00C15C65" w:rsidRPr="002029AF">
        <w:t>–</w:t>
      </w:r>
      <w:r w:rsidR="000A5329" w:rsidRPr="002029AF">
        <w:t xml:space="preserve"> </w:t>
      </w:r>
      <w:r w:rsidR="00C15C65" w:rsidRPr="002029AF">
        <w:t>within</w:t>
      </w:r>
      <w:r w:rsidR="000A5329" w:rsidRPr="002029AF">
        <w:t xml:space="preserve"> </w:t>
      </w:r>
      <w:r w:rsidR="00C15C65" w:rsidRPr="002029AF">
        <w:t>five</w:t>
      </w:r>
      <w:r w:rsidR="000A5329" w:rsidRPr="002029AF">
        <w:t xml:space="preserve"> </w:t>
      </w:r>
      <w:r w:rsidR="00C15C65" w:rsidRPr="002029AF">
        <w:t>per</w:t>
      </w:r>
      <w:r w:rsidR="000A5329" w:rsidRPr="002029AF">
        <w:t xml:space="preserve"> </w:t>
      </w:r>
      <w:r w:rsidR="00C15C65" w:rsidRPr="002029AF">
        <w:t>cent</w:t>
      </w:r>
      <w:r w:rsidR="000A5329" w:rsidRPr="002029AF">
        <w:t xml:space="preserve"> </w:t>
      </w:r>
      <w:r w:rsidR="00C15C65" w:rsidRPr="002029AF">
        <w:t>variance</w:t>
      </w:r>
    </w:p>
    <w:p w14:paraId="2636CED4" w14:textId="09C621F9" w:rsidR="00C15C65" w:rsidRPr="002029AF" w:rsidRDefault="00C15C65" w:rsidP="00752BD4">
      <w:pPr>
        <w:pStyle w:val="ARbody"/>
        <w:rPr>
          <w:kern w:val="28"/>
        </w:rPr>
      </w:pPr>
      <w:r w:rsidRPr="002029AF">
        <w:rPr>
          <w:rFonts w:ascii="Wingdings" w:eastAsia="Wingdings" w:hAnsi="Wingdings" w:cs="Wingdings"/>
        </w:rPr>
        <w:t></w:t>
      </w:r>
      <w:r w:rsidRPr="002029AF">
        <w:tab/>
        <w:t>Performance</w:t>
      </w:r>
      <w:r w:rsidR="000A5329" w:rsidRPr="002029AF">
        <w:t xml:space="preserve"> </w:t>
      </w:r>
      <w:r w:rsidRPr="002029AF">
        <w:t>target</w:t>
      </w:r>
      <w:r w:rsidR="000A5329" w:rsidRPr="002029AF">
        <w:t xml:space="preserve"> </w:t>
      </w:r>
      <w:r w:rsidRPr="002029AF">
        <w:t>not</w:t>
      </w:r>
      <w:r w:rsidR="000A5329" w:rsidRPr="002029AF">
        <w:t xml:space="preserve"> </w:t>
      </w:r>
      <w:r w:rsidRPr="002029AF">
        <w:t>achieved</w:t>
      </w:r>
      <w:r w:rsidR="000A5329" w:rsidRPr="002029AF">
        <w:t xml:space="preserve"> </w:t>
      </w:r>
      <w:r w:rsidRPr="002029AF">
        <w:t>–</w:t>
      </w:r>
      <w:r w:rsidR="000A5329" w:rsidRPr="002029AF">
        <w:t xml:space="preserve"> </w:t>
      </w:r>
      <w:r w:rsidRPr="002029AF">
        <w:t>exceeds</w:t>
      </w:r>
      <w:r w:rsidR="000A5329" w:rsidRPr="002029AF">
        <w:t xml:space="preserve"> </w:t>
      </w:r>
      <w:r w:rsidRPr="002029AF">
        <w:t>five</w:t>
      </w:r>
      <w:r w:rsidR="000A5329" w:rsidRPr="002029AF">
        <w:t xml:space="preserve"> </w:t>
      </w:r>
      <w:r w:rsidRPr="002029AF">
        <w:t>per</w:t>
      </w:r>
      <w:r w:rsidR="000A5329" w:rsidRPr="002029AF">
        <w:t xml:space="preserve"> </w:t>
      </w:r>
      <w:r w:rsidRPr="002029AF">
        <w:t>cent</w:t>
      </w:r>
      <w:r w:rsidR="000A5329" w:rsidRPr="002029AF">
        <w:t xml:space="preserve"> </w:t>
      </w:r>
      <w:r w:rsidRPr="002029AF">
        <w:t>variance</w:t>
      </w:r>
    </w:p>
    <w:p w14:paraId="1FA959BC" w14:textId="0D1E97D9" w:rsidR="00C15C65" w:rsidRPr="002029AF" w:rsidRDefault="00C15C65" w:rsidP="00752BD4">
      <w:pPr>
        <w:pStyle w:val="ARbody"/>
      </w:pPr>
      <w:r w:rsidRPr="002029AF">
        <w:t>Updated</w:t>
      </w:r>
      <w:r w:rsidR="000A5329" w:rsidRPr="002029AF">
        <w:t xml:space="preserve"> </w:t>
      </w:r>
      <w:r w:rsidRPr="002029AF">
        <w:t>results</w:t>
      </w:r>
      <w:r w:rsidR="000A5329" w:rsidRPr="002029AF">
        <w:t xml:space="preserve"> </w:t>
      </w:r>
      <w:r w:rsidRPr="002029AF">
        <w:t>will</w:t>
      </w:r>
      <w:r w:rsidR="000A5329" w:rsidRPr="002029AF">
        <w:t xml:space="preserve"> </w:t>
      </w:r>
      <w:r w:rsidRPr="002029AF">
        <w:t>be</w:t>
      </w:r>
      <w:r w:rsidR="000A5329" w:rsidRPr="002029AF">
        <w:t xml:space="preserve"> </w:t>
      </w:r>
      <w:r w:rsidRPr="002029AF">
        <w:t>provided</w:t>
      </w:r>
      <w:r w:rsidR="000A5329" w:rsidRPr="002029AF">
        <w:t xml:space="preserve"> </w:t>
      </w:r>
      <w:r w:rsidRPr="002029AF">
        <w:t>on</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annual</w:t>
      </w:r>
      <w:r w:rsidR="000A5329" w:rsidRPr="002029AF">
        <w:t xml:space="preserve"> </w:t>
      </w:r>
      <w:r w:rsidRPr="002029AF">
        <w:t>report</w:t>
      </w:r>
      <w:r w:rsidR="000A5329" w:rsidRPr="002029AF">
        <w:t xml:space="preserve"> </w:t>
      </w:r>
      <w:r w:rsidRPr="002029AF">
        <w:t>website</w:t>
      </w:r>
      <w:r w:rsidR="000A5329" w:rsidRPr="002029AF">
        <w:t xml:space="preserve"> </w:t>
      </w:r>
      <w:r w:rsidRPr="002029AF">
        <w:t>when</w:t>
      </w:r>
      <w:r w:rsidR="000A5329" w:rsidRPr="002029AF">
        <w:t xml:space="preserve"> </w:t>
      </w:r>
      <w:r w:rsidRPr="002029AF">
        <w:t>all</w:t>
      </w:r>
      <w:r w:rsidR="000A5329" w:rsidRPr="002029AF">
        <w:t xml:space="preserve"> </w:t>
      </w:r>
      <w:r w:rsidRPr="002029AF">
        <w:t>actuals</w:t>
      </w:r>
      <w:r w:rsidR="000A5329" w:rsidRPr="002029AF">
        <w:t xml:space="preserve"> </w:t>
      </w:r>
      <w:r w:rsidRPr="002029AF">
        <w:t>are</w:t>
      </w:r>
      <w:r w:rsidR="000A5329" w:rsidRPr="002029AF">
        <w:t xml:space="preserve"> </w:t>
      </w:r>
      <w:r w:rsidRPr="002029AF">
        <w:t>available.</w:t>
      </w:r>
    </w:p>
    <w:p w14:paraId="3EE4418C" w14:textId="13B4A2B1" w:rsidR="00C15C65" w:rsidRPr="002029AF" w:rsidRDefault="00C15C65" w:rsidP="00205D6E">
      <w:pPr>
        <w:pStyle w:val="Heading2"/>
      </w:pPr>
      <w:r w:rsidRPr="002029AF">
        <w:t>Acute</w:t>
      </w:r>
      <w:r w:rsidR="000A5329" w:rsidRPr="002029AF">
        <w:t xml:space="preserve"> </w:t>
      </w:r>
      <w:r w:rsidRPr="002029AF">
        <w:t>Health</w:t>
      </w:r>
      <w:r w:rsidR="000A5329" w:rsidRPr="002029AF">
        <w:t xml:space="preserve"> </w:t>
      </w:r>
      <w:r w:rsidRPr="002029AF">
        <w:t>Services</w:t>
      </w:r>
    </w:p>
    <w:p w14:paraId="55B37B8D" w14:textId="69F1082C" w:rsidR="00C15C65" w:rsidRPr="002029AF" w:rsidRDefault="00C15C65" w:rsidP="00752BD4">
      <w:pPr>
        <w:pStyle w:val="ARbody"/>
      </w:pPr>
      <w:r w:rsidRPr="002029AF">
        <w:t>This</w:t>
      </w:r>
      <w:r w:rsidR="000A5329" w:rsidRPr="002029AF">
        <w:t xml:space="preserve"> </w:t>
      </w:r>
      <w:r w:rsidRPr="002029AF">
        <w:t>output</w:t>
      </w:r>
      <w:r w:rsidR="000A5329" w:rsidRPr="002029AF">
        <w:t xml:space="preserve"> </w:t>
      </w:r>
      <w:r w:rsidRPr="002029AF">
        <w:t>provides</w:t>
      </w:r>
      <w:r w:rsidR="000A5329" w:rsidRPr="002029AF">
        <w:t xml:space="preserve"> </w:t>
      </w:r>
      <w:r w:rsidRPr="002029AF">
        <w:t>a</w:t>
      </w:r>
      <w:r w:rsidR="000A5329" w:rsidRPr="002029AF">
        <w:t xml:space="preserve"> </w:t>
      </w:r>
      <w:r w:rsidRPr="002029AF">
        <w:t>range</w:t>
      </w:r>
      <w:r w:rsidR="000A5329" w:rsidRPr="002029AF">
        <w:t xml:space="preserve"> </w:t>
      </w:r>
      <w:r w:rsidRPr="002029AF">
        <w:t>of</w:t>
      </w:r>
      <w:r w:rsidR="000A5329" w:rsidRPr="002029AF">
        <w:t xml:space="preserve"> </w:t>
      </w:r>
      <w:r w:rsidRPr="002029AF">
        <w:t>timely</w:t>
      </w:r>
      <w:r w:rsidR="000A5329" w:rsidRPr="002029AF">
        <w:t xml:space="preserve"> </w:t>
      </w:r>
      <w:r w:rsidRPr="002029AF">
        <w:t>and</w:t>
      </w:r>
      <w:r w:rsidR="000A5329" w:rsidRPr="002029AF">
        <w:t xml:space="preserve"> </w:t>
      </w:r>
      <w:r w:rsidRPr="002029AF">
        <w:t>high-quality</w:t>
      </w:r>
      <w:r w:rsidR="000A5329" w:rsidRPr="002029AF">
        <w:t xml:space="preserve"> </w:t>
      </w:r>
      <w:r w:rsidRPr="002029AF">
        <w:t>acute</w:t>
      </w:r>
      <w:r w:rsidR="000A5329" w:rsidRPr="002029AF">
        <w:t xml:space="preserve"> </w:t>
      </w:r>
      <w:r w:rsidRPr="002029AF">
        <w:t>hospital</w:t>
      </w:r>
      <w:r w:rsidR="000A5329" w:rsidRPr="002029AF">
        <w:t xml:space="preserve"> </w:t>
      </w:r>
      <w:r w:rsidRPr="002029AF">
        <w:t>inpatient,</w:t>
      </w:r>
      <w:r w:rsidR="000A5329" w:rsidRPr="002029AF">
        <w:t xml:space="preserve"> </w:t>
      </w:r>
      <w:r w:rsidRPr="002029AF">
        <w:t>ambulatory,</w:t>
      </w:r>
      <w:r w:rsidR="000A5329" w:rsidRPr="002029AF">
        <w:t xml:space="preserve"> </w:t>
      </w:r>
      <w:r w:rsidRPr="002029AF">
        <w:t>emergency,</w:t>
      </w:r>
      <w:r w:rsidR="000A5329" w:rsidRPr="002029AF">
        <w:t xml:space="preserve"> </w:t>
      </w:r>
      <w:r w:rsidRPr="002029AF">
        <w:t>community-based</w:t>
      </w:r>
      <w:r w:rsidR="000A5329" w:rsidRPr="002029AF">
        <w:t xml:space="preserve"> </w:t>
      </w:r>
      <w:r w:rsidRPr="002029AF">
        <w:t>and</w:t>
      </w:r>
      <w:r w:rsidR="000A5329" w:rsidRPr="002029AF">
        <w:t xml:space="preserve"> </w:t>
      </w:r>
      <w:r w:rsidRPr="002029AF">
        <w:t>specialist</w:t>
      </w:r>
      <w:r w:rsidR="000A5329" w:rsidRPr="002029AF">
        <w:t xml:space="preserve"> </w:t>
      </w:r>
      <w:r w:rsidRPr="002029AF">
        <w:t>services.</w:t>
      </w:r>
    </w:p>
    <w:tbl>
      <w:tblPr>
        <w:tblW w:w="9639" w:type="dxa"/>
        <w:tblLayout w:type="fixed"/>
        <w:tblCellMar>
          <w:left w:w="0" w:type="dxa"/>
        </w:tblCellMar>
        <w:tblLook w:val="06A0" w:firstRow="1" w:lastRow="0" w:firstColumn="1" w:lastColumn="0" w:noHBand="1" w:noVBand="1"/>
      </w:tblPr>
      <w:tblGrid>
        <w:gridCol w:w="4756"/>
        <w:gridCol w:w="1019"/>
        <w:gridCol w:w="1020"/>
        <w:gridCol w:w="1020"/>
        <w:gridCol w:w="1022"/>
        <w:gridCol w:w="796"/>
        <w:gridCol w:w="6"/>
      </w:tblGrid>
      <w:tr w:rsidR="00C15C65" w:rsidRPr="002029AF" w14:paraId="409CDB72" w14:textId="77777777" w:rsidTr="00192EEE">
        <w:trPr>
          <w:cantSplit/>
          <w:tblHeader/>
        </w:trPr>
        <w:tc>
          <w:tcPr>
            <w:tcW w:w="4756" w:type="dxa"/>
            <w:tcBorders>
              <w:top w:val="nil"/>
              <w:left w:val="nil"/>
              <w:bottom w:val="single" w:sz="4" w:space="0" w:color="auto"/>
              <w:right w:val="nil"/>
            </w:tcBorders>
            <w:vAlign w:val="bottom"/>
            <w:hideMark/>
          </w:tcPr>
          <w:p w14:paraId="6197B0BB" w14:textId="700C8416" w:rsidR="00C15C65" w:rsidRPr="002029AF" w:rsidRDefault="00C15C65" w:rsidP="00752BD4">
            <w:pPr>
              <w:pStyle w:val="ARtablecolhead"/>
            </w:pPr>
            <w:r w:rsidRPr="002029AF">
              <w:t>Performance</w:t>
            </w:r>
            <w:r w:rsidR="000A5329" w:rsidRPr="002029AF">
              <w:t xml:space="preserve"> </w:t>
            </w:r>
            <w:r w:rsidRPr="002029AF">
              <w:t>measures</w:t>
            </w:r>
          </w:p>
        </w:tc>
        <w:tc>
          <w:tcPr>
            <w:tcW w:w="1019" w:type="dxa"/>
            <w:tcBorders>
              <w:top w:val="nil"/>
              <w:left w:val="nil"/>
              <w:bottom w:val="single" w:sz="4" w:space="0" w:color="auto"/>
              <w:right w:val="nil"/>
            </w:tcBorders>
            <w:vAlign w:val="bottom"/>
            <w:hideMark/>
          </w:tcPr>
          <w:p w14:paraId="1363CDFA" w14:textId="089D1016" w:rsidR="00C15C65" w:rsidRPr="002029AF" w:rsidRDefault="00C15C65" w:rsidP="00752BD4">
            <w:pPr>
              <w:pStyle w:val="ARtablecolhead"/>
            </w:pPr>
            <w:r w:rsidRPr="002029AF">
              <w:t>Unit</w:t>
            </w:r>
            <w:r w:rsidR="000A5329" w:rsidRPr="002029AF">
              <w:t xml:space="preserve"> </w:t>
            </w:r>
            <w:r w:rsidRPr="002029AF">
              <w:t>of</w:t>
            </w:r>
            <w:r w:rsidR="000A5329" w:rsidRPr="002029AF">
              <w:t xml:space="preserve"> </w:t>
            </w:r>
            <w:r w:rsidRPr="002029AF">
              <w:t>measure</w:t>
            </w:r>
          </w:p>
        </w:tc>
        <w:tc>
          <w:tcPr>
            <w:tcW w:w="1020" w:type="dxa"/>
            <w:tcBorders>
              <w:top w:val="nil"/>
              <w:left w:val="nil"/>
              <w:bottom w:val="single" w:sz="4" w:space="0" w:color="auto"/>
              <w:right w:val="nil"/>
            </w:tcBorders>
            <w:vAlign w:val="bottom"/>
            <w:hideMark/>
          </w:tcPr>
          <w:p w14:paraId="76E1B3B4" w14:textId="767CF0B0" w:rsidR="00C15C65" w:rsidRPr="002029AF" w:rsidRDefault="00C15C65" w:rsidP="00752BD4">
            <w:pPr>
              <w:pStyle w:val="ARtablecolheadright"/>
            </w:pPr>
            <w:r w:rsidRPr="002029AF">
              <w:t>2019–20</w:t>
            </w:r>
            <w:r w:rsidR="000A5329" w:rsidRPr="002029AF">
              <w:t xml:space="preserve"> </w:t>
            </w:r>
            <w:r w:rsidRPr="002029AF">
              <w:t>target</w:t>
            </w:r>
          </w:p>
        </w:tc>
        <w:tc>
          <w:tcPr>
            <w:tcW w:w="1020" w:type="dxa"/>
            <w:tcBorders>
              <w:top w:val="nil"/>
              <w:left w:val="nil"/>
              <w:bottom w:val="single" w:sz="4" w:space="0" w:color="auto"/>
              <w:right w:val="nil"/>
            </w:tcBorders>
            <w:vAlign w:val="bottom"/>
            <w:hideMark/>
          </w:tcPr>
          <w:p w14:paraId="4BB7EFF5" w14:textId="23C93F58" w:rsidR="00C15C65" w:rsidRPr="002029AF" w:rsidRDefault="00C15C65" w:rsidP="00752BD4">
            <w:pPr>
              <w:pStyle w:val="ARtablecolheadright"/>
            </w:pPr>
            <w:r w:rsidRPr="002029AF">
              <w:t>2019–20</w:t>
            </w:r>
            <w:r w:rsidR="000A5329" w:rsidRPr="002029AF">
              <w:t xml:space="preserve"> </w:t>
            </w:r>
            <w:r w:rsidRPr="002029AF">
              <w:t>actual</w:t>
            </w:r>
          </w:p>
        </w:tc>
        <w:tc>
          <w:tcPr>
            <w:tcW w:w="1022" w:type="dxa"/>
            <w:tcBorders>
              <w:top w:val="nil"/>
              <w:left w:val="nil"/>
              <w:bottom w:val="single" w:sz="4" w:space="0" w:color="auto"/>
              <w:right w:val="nil"/>
            </w:tcBorders>
            <w:vAlign w:val="bottom"/>
            <w:hideMark/>
          </w:tcPr>
          <w:p w14:paraId="6A7D75AC" w14:textId="7C7FC9C2" w:rsidR="00C15C65" w:rsidRPr="002029AF" w:rsidRDefault="00C15C65" w:rsidP="00752BD4">
            <w:pPr>
              <w:pStyle w:val="ARtablecolheadright"/>
            </w:pPr>
            <w:r w:rsidRPr="002029AF">
              <w:t>Variation</w:t>
            </w:r>
            <w:r w:rsidR="000A5329" w:rsidRPr="002029AF">
              <w:t xml:space="preserve"> </w:t>
            </w:r>
            <w:r w:rsidRPr="002029AF">
              <w:t>(%)</w:t>
            </w:r>
          </w:p>
        </w:tc>
        <w:tc>
          <w:tcPr>
            <w:tcW w:w="802" w:type="dxa"/>
            <w:gridSpan w:val="2"/>
            <w:tcBorders>
              <w:top w:val="nil"/>
              <w:left w:val="nil"/>
              <w:bottom w:val="single" w:sz="4" w:space="0" w:color="auto"/>
              <w:right w:val="nil"/>
            </w:tcBorders>
            <w:vAlign w:val="bottom"/>
            <w:hideMark/>
          </w:tcPr>
          <w:p w14:paraId="6A18485C" w14:textId="77777777" w:rsidR="00C15C65" w:rsidRPr="002029AF" w:rsidRDefault="00C15C65" w:rsidP="000D3C3F">
            <w:pPr>
              <w:pStyle w:val="ARtablecolheadcentre"/>
            </w:pPr>
            <w:r w:rsidRPr="002029AF">
              <w:t>Result</w:t>
            </w:r>
          </w:p>
        </w:tc>
      </w:tr>
      <w:tr w:rsidR="00C15C65" w:rsidRPr="002029AF" w14:paraId="5466F3DD" w14:textId="77777777" w:rsidTr="00192EEE">
        <w:trPr>
          <w:cantSplit/>
        </w:trPr>
        <w:tc>
          <w:tcPr>
            <w:tcW w:w="9639" w:type="dxa"/>
            <w:gridSpan w:val="7"/>
            <w:tcBorders>
              <w:top w:val="single" w:sz="4" w:space="0" w:color="auto"/>
              <w:left w:val="nil"/>
              <w:bottom w:val="single" w:sz="4" w:space="0" w:color="auto"/>
              <w:right w:val="nil"/>
            </w:tcBorders>
            <w:hideMark/>
          </w:tcPr>
          <w:p w14:paraId="5C9B7F13" w14:textId="46DAFFB3" w:rsidR="00C15C65" w:rsidRPr="002029AF" w:rsidRDefault="00C15C65" w:rsidP="00752BD4">
            <w:pPr>
              <w:pStyle w:val="ARtablesubhead"/>
            </w:pPr>
            <w:r w:rsidRPr="002029AF">
              <w:t>Admitted</w:t>
            </w:r>
            <w:r w:rsidR="000A5329" w:rsidRPr="002029AF">
              <w:t xml:space="preserve"> </w:t>
            </w:r>
            <w:r w:rsidRPr="002029AF">
              <w:t>Services</w:t>
            </w:r>
          </w:p>
        </w:tc>
      </w:tr>
      <w:tr w:rsidR="00C15C65" w:rsidRPr="002029AF" w14:paraId="5FB3ED19" w14:textId="77777777" w:rsidTr="00192EEE">
        <w:trPr>
          <w:cantSplit/>
        </w:trPr>
        <w:tc>
          <w:tcPr>
            <w:tcW w:w="9639" w:type="dxa"/>
            <w:gridSpan w:val="7"/>
            <w:tcBorders>
              <w:top w:val="single" w:sz="4" w:space="0" w:color="auto"/>
              <w:left w:val="nil"/>
              <w:bottom w:val="nil"/>
              <w:right w:val="nil"/>
            </w:tcBorders>
            <w:hideMark/>
          </w:tcPr>
          <w:p w14:paraId="0CA637B6" w14:textId="77777777" w:rsidR="00C15C65" w:rsidRPr="002029AF" w:rsidRDefault="00C15C65" w:rsidP="00D96AFD">
            <w:pPr>
              <w:pStyle w:val="ARtablegreybold"/>
            </w:pPr>
            <w:r w:rsidRPr="002029AF">
              <w:t>Quantity</w:t>
            </w:r>
          </w:p>
        </w:tc>
      </w:tr>
      <w:tr w:rsidR="00C15C65" w:rsidRPr="002029AF" w14:paraId="0E0E9991" w14:textId="77777777" w:rsidTr="00192EEE">
        <w:trPr>
          <w:gridAfter w:val="1"/>
          <w:wAfter w:w="6" w:type="dxa"/>
          <w:cantSplit/>
        </w:trPr>
        <w:tc>
          <w:tcPr>
            <w:tcW w:w="4756" w:type="dxa"/>
            <w:tcBorders>
              <w:bottom w:val="single" w:sz="4" w:space="0" w:color="BFBFBF"/>
            </w:tcBorders>
            <w:shd w:val="clear" w:color="auto" w:fill="auto"/>
            <w:hideMark/>
          </w:tcPr>
          <w:p w14:paraId="149BC9D3" w14:textId="6D12AC4B" w:rsidR="00C15C65" w:rsidRPr="002029AF" w:rsidRDefault="00C15C65" w:rsidP="00C40F5D">
            <w:pPr>
              <w:pStyle w:val="ARtabletext"/>
            </w:pPr>
            <w:r w:rsidRPr="002029AF">
              <w:t>Palliative</w:t>
            </w:r>
            <w:r w:rsidR="000A5329" w:rsidRPr="002029AF">
              <w:t xml:space="preserve"> </w:t>
            </w:r>
            <w:r w:rsidRPr="002029AF">
              <w:t>separations</w:t>
            </w:r>
          </w:p>
        </w:tc>
        <w:tc>
          <w:tcPr>
            <w:tcW w:w="1019" w:type="dxa"/>
            <w:tcBorders>
              <w:bottom w:val="single" w:sz="4" w:space="0" w:color="BFBFBF"/>
            </w:tcBorders>
            <w:shd w:val="clear" w:color="auto" w:fill="auto"/>
            <w:hideMark/>
          </w:tcPr>
          <w:p w14:paraId="379A7327" w14:textId="77777777" w:rsidR="00C15C65" w:rsidRPr="002029AF" w:rsidRDefault="00C15C65" w:rsidP="00C40F5D">
            <w:pPr>
              <w:pStyle w:val="ARtabletext"/>
            </w:pPr>
            <w:r w:rsidRPr="002029AF">
              <w:t>number</w:t>
            </w:r>
          </w:p>
        </w:tc>
        <w:tc>
          <w:tcPr>
            <w:tcW w:w="1020" w:type="dxa"/>
            <w:tcBorders>
              <w:bottom w:val="single" w:sz="4" w:space="0" w:color="BFBFBF"/>
            </w:tcBorders>
            <w:shd w:val="clear" w:color="auto" w:fill="auto"/>
            <w:hideMark/>
          </w:tcPr>
          <w:p w14:paraId="3B406E4B" w14:textId="77777777" w:rsidR="00C15C65" w:rsidRPr="002029AF" w:rsidRDefault="00C15C65" w:rsidP="005B58F0">
            <w:pPr>
              <w:pStyle w:val="ARtabletextright"/>
            </w:pPr>
            <w:r w:rsidRPr="002029AF">
              <w:t>7,700</w:t>
            </w:r>
          </w:p>
        </w:tc>
        <w:tc>
          <w:tcPr>
            <w:tcW w:w="1020" w:type="dxa"/>
            <w:tcBorders>
              <w:bottom w:val="single" w:sz="4" w:space="0" w:color="BFBFBF"/>
            </w:tcBorders>
            <w:shd w:val="clear" w:color="auto" w:fill="auto"/>
            <w:hideMark/>
          </w:tcPr>
          <w:p w14:paraId="31D405E5" w14:textId="77777777" w:rsidR="00C15C65" w:rsidRPr="002029AF" w:rsidRDefault="00C15C65" w:rsidP="005B58F0">
            <w:pPr>
              <w:pStyle w:val="ARtabletextright"/>
            </w:pPr>
            <w:r w:rsidRPr="002029AF">
              <w:t>7,950</w:t>
            </w:r>
          </w:p>
        </w:tc>
        <w:tc>
          <w:tcPr>
            <w:tcW w:w="1022" w:type="dxa"/>
            <w:tcBorders>
              <w:bottom w:val="single" w:sz="4" w:space="0" w:color="BFBFBF"/>
            </w:tcBorders>
            <w:shd w:val="clear" w:color="auto" w:fill="auto"/>
          </w:tcPr>
          <w:p w14:paraId="2DF2E315" w14:textId="77777777" w:rsidR="00C15C65" w:rsidRPr="002029AF" w:rsidRDefault="00C15C65" w:rsidP="005B58F0">
            <w:pPr>
              <w:pStyle w:val="ARtabletextright"/>
            </w:pPr>
            <w:r w:rsidRPr="002029AF">
              <w:t>3.2</w:t>
            </w:r>
          </w:p>
        </w:tc>
        <w:tc>
          <w:tcPr>
            <w:tcW w:w="796" w:type="dxa"/>
            <w:tcBorders>
              <w:bottom w:val="single" w:sz="4" w:space="0" w:color="BFBFBF"/>
            </w:tcBorders>
            <w:shd w:val="clear" w:color="auto" w:fill="auto"/>
            <w:hideMark/>
          </w:tcPr>
          <w:p w14:paraId="59FE5BA4"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628EF67B" w14:textId="77777777" w:rsidTr="00192EEE">
        <w:trPr>
          <w:gridAfter w:val="1"/>
          <w:wAfter w:w="6" w:type="dxa"/>
          <w:cantSplit/>
        </w:trPr>
        <w:tc>
          <w:tcPr>
            <w:tcW w:w="4756" w:type="dxa"/>
            <w:tcBorders>
              <w:top w:val="single" w:sz="4" w:space="0" w:color="BFBFBF"/>
            </w:tcBorders>
            <w:shd w:val="clear" w:color="auto" w:fill="auto"/>
            <w:hideMark/>
          </w:tcPr>
          <w:p w14:paraId="6126143C" w14:textId="31DDCCD9" w:rsidR="00C15C65" w:rsidRPr="002029AF" w:rsidRDefault="00C15C65" w:rsidP="00C40F5D">
            <w:pPr>
              <w:pStyle w:val="ARtabletext"/>
            </w:pPr>
            <w:r w:rsidRPr="002029AF">
              <w:t>Sub-acute</w:t>
            </w:r>
            <w:r w:rsidR="000A5329" w:rsidRPr="002029AF">
              <w:t xml:space="preserve"> </w:t>
            </w:r>
            <w:r w:rsidRPr="002029AF">
              <w:t>care</w:t>
            </w:r>
            <w:r w:rsidR="000A5329" w:rsidRPr="002029AF">
              <w:t xml:space="preserve"> </w:t>
            </w:r>
            <w:r w:rsidRPr="002029AF">
              <w:t>separations</w:t>
            </w:r>
          </w:p>
        </w:tc>
        <w:tc>
          <w:tcPr>
            <w:tcW w:w="1019" w:type="dxa"/>
            <w:tcBorders>
              <w:top w:val="single" w:sz="4" w:space="0" w:color="BFBFBF"/>
            </w:tcBorders>
            <w:shd w:val="clear" w:color="auto" w:fill="auto"/>
            <w:hideMark/>
          </w:tcPr>
          <w:p w14:paraId="0CE3235B" w14:textId="77777777" w:rsidR="00C15C65" w:rsidRPr="002029AF" w:rsidRDefault="00C15C65" w:rsidP="00C40F5D">
            <w:pPr>
              <w:pStyle w:val="ARtabletext"/>
            </w:pPr>
            <w:r w:rsidRPr="002029AF">
              <w:t>number</w:t>
            </w:r>
          </w:p>
        </w:tc>
        <w:tc>
          <w:tcPr>
            <w:tcW w:w="1020" w:type="dxa"/>
            <w:tcBorders>
              <w:top w:val="single" w:sz="4" w:space="0" w:color="BFBFBF"/>
            </w:tcBorders>
            <w:shd w:val="clear" w:color="auto" w:fill="auto"/>
            <w:hideMark/>
          </w:tcPr>
          <w:p w14:paraId="00D02092" w14:textId="77777777" w:rsidR="00C15C65" w:rsidRPr="002029AF" w:rsidRDefault="00C15C65" w:rsidP="005B58F0">
            <w:pPr>
              <w:pStyle w:val="ARtabletextright"/>
            </w:pPr>
            <w:r w:rsidRPr="002029AF">
              <w:t>39,600</w:t>
            </w:r>
          </w:p>
        </w:tc>
        <w:tc>
          <w:tcPr>
            <w:tcW w:w="1020" w:type="dxa"/>
            <w:tcBorders>
              <w:top w:val="single" w:sz="4" w:space="0" w:color="BFBFBF"/>
            </w:tcBorders>
            <w:shd w:val="clear" w:color="auto" w:fill="auto"/>
            <w:hideMark/>
          </w:tcPr>
          <w:p w14:paraId="4B7E3198" w14:textId="77777777" w:rsidR="00C15C65" w:rsidRPr="002029AF" w:rsidRDefault="00C15C65" w:rsidP="005B58F0">
            <w:pPr>
              <w:pStyle w:val="ARtabletextright"/>
            </w:pPr>
            <w:r w:rsidRPr="002029AF">
              <w:t>37,434</w:t>
            </w:r>
          </w:p>
        </w:tc>
        <w:tc>
          <w:tcPr>
            <w:tcW w:w="1022" w:type="dxa"/>
            <w:tcBorders>
              <w:top w:val="single" w:sz="4" w:space="0" w:color="BFBFBF"/>
            </w:tcBorders>
            <w:shd w:val="clear" w:color="auto" w:fill="auto"/>
          </w:tcPr>
          <w:p w14:paraId="434162AC" w14:textId="77777777" w:rsidR="00C15C65" w:rsidRPr="002029AF" w:rsidRDefault="00C15C65" w:rsidP="005B58F0">
            <w:pPr>
              <w:pStyle w:val="ARtabletextright"/>
            </w:pPr>
            <w:r w:rsidRPr="002029AF">
              <w:t>-5.5</w:t>
            </w:r>
          </w:p>
        </w:tc>
        <w:tc>
          <w:tcPr>
            <w:tcW w:w="796" w:type="dxa"/>
            <w:tcBorders>
              <w:top w:val="single" w:sz="4" w:space="0" w:color="BFBFBF"/>
            </w:tcBorders>
            <w:shd w:val="clear" w:color="auto" w:fill="auto"/>
            <w:hideMark/>
          </w:tcPr>
          <w:p w14:paraId="3E73263E"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168340E2" w14:textId="77777777" w:rsidTr="00192EEE">
        <w:trPr>
          <w:gridAfter w:val="1"/>
          <w:wAfter w:w="6" w:type="dxa"/>
          <w:cantSplit/>
        </w:trPr>
        <w:tc>
          <w:tcPr>
            <w:tcW w:w="9633" w:type="dxa"/>
            <w:gridSpan w:val="6"/>
            <w:tcBorders>
              <w:bottom w:val="single" w:sz="4" w:space="0" w:color="BFBFBF"/>
            </w:tcBorders>
            <w:shd w:val="clear" w:color="auto" w:fill="auto"/>
            <w:noWrap/>
            <w:hideMark/>
          </w:tcPr>
          <w:p w14:paraId="2192C459" w14:textId="516D3BE7" w:rsidR="00C15C65" w:rsidRPr="002029AF" w:rsidRDefault="00C15C65" w:rsidP="002C5190">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lower</w:t>
            </w:r>
            <w:r w:rsidR="000A5329" w:rsidRPr="002029AF">
              <w:t xml:space="preserve"> </w:t>
            </w:r>
            <w:r w:rsidRPr="002029AF">
              <w:t>than</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the</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restrictions</w:t>
            </w:r>
            <w:r w:rsidR="000A5329" w:rsidRPr="002029AF">
              <w:t xml:space="preserve"> </w:t>
            </w:r>
            <w:r w:rsidRPr="002029AF">
              <w:t>imposed</w:t>
            </w:r>
            <w:r w:rsidR="000A5329" w:rsidRPr="002029AF">
              <w:t xml:space="preserve"> </w:t>
            </w:r>
            <w:r w:rsidRPr="002029AF">
              <w:t>on</w:t>
            </w:r>
            <w:r w:rsidR="000A5329" w:rsidRPr="002029AF">
              <w:t xml:space="preserve"> </w:t>
            </w:r>
            <w:r w:rsidRPr="002029AF">
              <w:t>elective</w:t>
            </w:r>
            <w:r w:rsidR="000A5329" w:rsidRPr="002029AF">
              <w:t xml:space="preserve"> </w:t>
            </w:r>
            <w:r w:rsidRPr="002029AF">
              <w:t>surgery</w:t>
            </w:r>
            <w:r w:rsidR="000A5329" w:rsidRPr="002029AF">
              <w:t xml:space="preserve"> </w:t>
            </w:r>
            <w:r w:rsidRPr="002029AF">
              <w:t>and</w:t>
            </w:r>
            <w:r w:rsidR="000A5329" w:rsidRPr="002029AF">
              <w:t xml:space="preserve"> </w:t>
            </w:r>
            <w:r w:rsidRPr="002029AF">
              <w:t>related</w:t>
            </w:r>
            <w:r w:rsidR="000A5329" w:rsidRPr="002029AF">
              <w:t xml:space="preserve"> </w:t>
            </w:r>
            <w:r w:rsidRPr="002029AF">
              <w:t>activities.</w:t>
            </w:r>
          </w:p>
        </w:tc>
      </w:tr>
      <w:tr w:rsidR="00C15C65" w:rsidRPr="002029AF" w14:paraId="46C9D23C" w14:textId="77777777" w:rsidTr="00192EEE">
        <w:trPr>
          <w:gridAfter w:val="1"/>
          <w:wAfter w:w="6" w:type="dxa"/>
          <w:cantSplit/>
        </w:trPr>
        <w:tc>
          <w:tcPr>
            <w:tcW w:w="4756" w:type="dxa"/>
            <w:shd w:val="clear" w:color="auto" w:fill="auto"/>
            <w:hideMark/>
          </w:tcPr>
          <w:p w14:paraId="445CDA92" w14:textId="3F776694" w:rsidR="00C15C65" w:rsidRPr="002029AF" w:rsidRDefault="00C15C65" w:rsidP="00C40F5D">
            <w:pPr>
              <w:pStyle w:val="ARtabletext"/>
            </w:pPr>
            <w:r w:rsidRPr="002029AF">
              <w:t>Total</w:t>
            </w:r>
            <w:r w:rsidR="000A5329" w:rsidRPr="002029AF">
              <w:t xml:space="preserve"> </w:t>
            </w:r>
            <w:r w:rsidRPr="002029AF">
              <w:t>separations</w:t>
            </w:r>
            <w:r w:rsidR="000A5329" w:rsidRPr="002029AF">
              <w:t xml:space="preserve"> </w:t>
            </w:r>
            <w:r w:rsidRPr="002029AF">
              <w:t>–</w:t>
            </w:r>
            <w:r w:rsidR="000A5329" w:rsidRPr="002029AF">
              <w:t xml:space="preserve"> </w:t>
            </w:r>
            <w:r w:rsidRPr="002029AF">
              <w:t>all</w:t>
            </w:r>
            <w:r w:rsidR="000A5329" w:rsidRPr="002029AF">
              <w:t xml:space="preserve"> </w:t>
            </w:r>
            <w:r w:rsidRPr="002029AF">
              <w:t>hospitals</w:t>
            </w:r>
          </w:p>
        </w:tc>
        <w:tc>
          <w:tcPr>
            <w:tcW w:w="1019" w:type="dxa"/>
            <w:shd w:val="clear" w:color="auto" w:fill="auto"/>
            <w:hideMark/>
          </w:tcPr>
          <w:p w14:paraId="3939DCEB" w14:textId="0DA5E46F" w:rsidR="00C15C65" w:rsidRPr="002029AF" w:rsidRDefault="00C15C65" w:rsidP="00C40F5D">
            <w:pPr>
              <w:pStyle w:val="ARtabletext"/>
            </w:pPr>
            <w:r w:rsidRPr="002029AF">
              <w:t>number</w:t>
            </w:r>
            <w:r w:rsidR="000A5329" w:rsidRPr="002029AF">
              <w:t xml:space="preserve"> </w:t>
            </w:r>
            <w:r w:rsidRPr="002029AF">
              <w:t>(</w:t>
            </w:r>
            <w:r w:rsidR="005F298C">
              <w:t>’000</w:t>
            </w:r>
            <w:r w:rsidRPr="002029AF">
              <w:t>)</w:t>
            </w:r>
          </w:p>
        </w:tc>
        <w:tc>
          <w:tcPr>
            <w:tcW w:w="1020" w:type="dxa"/>
            <w:shd w:val="clear" w:color="auto" w:fill="auto"/>
            <w:hideMark/>
          </w:tcPr>
          <w:p w14:paraId="7BDD00F4" w14:textId="77777777" w:rsidR="00C15C65" w:rsidRPr="002029AF" w:rsidRDefault="00C15C65" w:rsidP="005B58F0">
            <w:pPr>
              <w:pStyle w:val="ARtabletextright"/>
            </w:pPr>
            <w:r w:rsidRPr="002029AF">
              <w:t>2,021</w:t>
            </w:r>
          </w:p>
        </w:tc>
        <w:tc>
          <w:tcPr>
            <w:tcW w:w="1020" w:type="dxa"/>
            <w:shd w:val="clear" w:color="auto" w:fill="auto"/>
            <w:hideMark/>
          </w:tcPr>
          <w:p w14:paraId="687A8BD2" w14:textId="77777777" w:rsidR="00C15C65" w:rsidRPr="002029AF" w:rsidRDefault="00C15C65" w:rsidP="005B58F0">
            <w:pPr>
              <w:pStyle w:val="ARtabletextright"/>
            </w:pPr>
            <w:r w:rsidRPr="002029AF">
              <w:t>1,867</w:t>
            </w:r>
          </w:p>
        </w:tc>
        <w:tc>
          <w:tcPr>
            <w:tcW w:w="1022" w:type="dxa"/>
            <w:shd w:val="clear" w:color="auto" w:fill="auto"/>
          </w:tcPr>
          <w:p w14:paraId="4052E8CE" w14:textId="77777777" w:rsidR="00C15C65" w:rsidRPr="002029AF" w:rsidRDefault="00C15C65" w:rsidP="005B58F0">
            <w:pPr>
              <w:pStyle w:val="ARtabletextright"/>
            </w:pPr>
            <w:r w:rsidRPr="002029AF">
              <w:t>-7.6</w:t>
            </w:r>
          </w:p>
        </w:tc>
        <w:tc>
          <w:tcPr>
            <w:tcW w:w="796" w:type="dxa"/>
            <w:shd w:val="clear" w:color="auto" w:fill="auto"/>
            <w:hideMark/>
          </w:tcPr>
          <w:p w14:paraId="47BA07CB"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713F2A3D" w14:textId="77777777" w:rsidTr="00192EEE">
        <w:trPr>
          <w:gridAfter w:val="1"/>
          <w:wAfter w:w="6" w:type="dxa"/>
          <w:cantSplit/>
        </w:trPr>
        <w:tc>
          <w:tcPr>
            <w:tcW w:w="9633" w:type="dxa"/>
            <w:gridSpan w:val="6"/>
            <w:tcBorders>
              <w:bottom w:val="single" w:sz="4" w:space="0" w:color="BFBFBF"/>
            </w:tcBorders>
            <w:shd w:val="clear" w:color="auto" w:fill="auto"/>
            <w:noWrap/>
            <w:hideMark/>
          </w:tcPr>
          <w:p w14:paraId="47931952" w14:textId="2D5D66E3" w:rsidR="00C15C65" w:rsidRPr="002029AF" w:rsidRDefault="00C15C65" w:rsidP="002C5190">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lower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as</w:t>
            </w:r>
            <w:r w:rsidR="000A5329" w:rsidRPr="002029AF">
              <w:t xml:space="preserve"> </w:t>
            </w:r>
            <w:r w:rsidRPr="002029AF">
              <w:t>overall</w:t>
            </w:r>
            <w:r w:rsidR="000A5329" w:rsidRPr="002029AF">
              <w:t xml:space="preserve"> </w:t>
            </w:r>
            <w:r w:rsidRPr="002029AF">
              <w:t>activity</w:t>
            </w:r>
            <w:r w:rsidR="000A5329" w:rsidRPr="002029AF">
              <w:t xml:space="preserve"> </w:t>
            </w:r>
            <w:r w:rsidRPr="002029AF">
              <w:t>has</w:t>
            </w:r>
            <w:r w:rsidR="000A5329" w:rsidRPr="002029AF">
              <w:t xml:space="preserve"> </w:t>
            </w:r>
            <w:r w:rsidRPr="002029AF">
              <w:t>been</w:t>
            </w:r>
            <w:r w:rsidR="000A5329" w:rsidRPr="002029AF">
              <w:t xml:space="preserve"> </w:t>
            </w:r>
            <w:r w:rsidRPr="002029AF">
              <w:t>impacted</w:t>
            </w:r>
            <w:r w:rsidR="000A5329" w:rsidRPr="002029AF">
              <w:t xml:space="preserve"> </w:t>
            </w:r>
            <w:r w:rsidRPr="002029AF">
              <w:t>by</w:t>
            </w:r>
            <w:r w:rsidR="000A5329" w:rsidRPr="002029AF">
              <w:t xml:space="preserve"> </w:t>
            </w:r>
            <w:r w:rsidRPr="002029AF">
              <w:t>coronavirus</w:t>
            </w:r>
            <w:r w:rsidR="000A5329" w:rsidRPr="002029AF">
              <w:t xml:space="preserve"> </w:t>
            </w:r>
            <w:r w:rsidRPr="002029AF">
              <w:t>(COVID-19).</w:t>
            </w:r>
          </w:p>
        </w:tc>
      </w:tr>
      <w:tr w:rsidR="00C15C65" w:rsidRPr="002029AF" w14:paraId="05245632" w14:textId="77777777" w:rsidTr="00192EEE">
        <w:trPr>
          <w:gridAfter w:val="1"/>
          <w:wAfter w:w="6" w:type="dxa"/>
          <w:cantSplit/>
        </w:trPr>
        <w:tc>
          <w:tcPr>
            <w:tcW w:w="4756" w:type="dxa"/>
            <w:shd w:val="clear" w:color="auto" w:fill="auto"/>
            <w:hideMark/>
          </w:tcPr>
          <w:p w14:paraId="1F4462FE" w14:textId="6B67C75A" w:rsidR="00C15C65" w:rsidRPr="002029AF" w:rsidRDefault="00C15C65" w:rsidP="00C40F5D">
            <w:pPr>
              <w:pStyle w:val="ARtabletext"/>
            </w:pPr>
            <w:r w:rsidRPr="002029AF">
              <w:t>Weighted</w:t>
            </w:r>
            <w:r w:rsidR="000A5329" w:rsidRPr="002029AF">
              <w:t xml:space="preserve"> </w:t>
            </w:r>
            <w:r w:rsidRPr="002029AF">
              <w:t>Inlier</w:t>
            </w:r>
            <w:r w:rsidR="000A5329" w:rsidRPr="002029AF">
              <w:t xml:space="preserve"> </w:t>
            </w:r>
            <w:r w:rsidRPr="002029AF">
              <w:t>Equivalent</w:t>
            </w:r>
            <w:r w:rsidR="000A5329" w:rsidRPr="002029AF">
              <w:t xml:space="preserve"> </w:t>
            </w:r>
            <w:r w:rsidRPr="002029AF">
              <w:t>Separations</w:t>
            </w:r>
            <w:r w:rsidR="000A5329" w:rsidRPr="002029AF">
              <w:t xml:space="preserve"> </w:t>
            </w:r>
            <w:r w:rsidRPr="002029AF">
              <w:t>(WIES)</w:t>
            </w:r>
            <w:r w:rsidR="000A5329" w:rsidRPr="002029AF">
              <w:t xml:space="preserve"> </w:t>
            </w:r>
            <w:r w:rsidRPr="002029AF">
              <w:t>–</w:t>
            </w:r>
            <w:r w:rsidR="000A5329" w:rsidRPr="002029AF">
              <w:t xml:space="preserve"> </w:t>
            </w:r>
            <w:r w:rsidRPr="002029AF">
              <w:t>all</w:t>
            </w:r>
            <w:r w:rsidR="000A5329" w:rsidRPr="002029AF">
              <w:t xml:space="preserve"> </w:t>
            </w:r>
            <w:r w:rsidRPr="002029AF">
              <w:t>hospitals</w:t>
            </w:r>
            <w:r w:rsidR="000A5329" w:rsidRPr="002029AF">
              <w:t xml:space="preserve"> </w:t>
            </w:r>
            <w:r w:rsidRPr="002029AF">
              <w:t>except</w:t>
            </w:r>
            <w:r w:rsidR="000A5329" w:rsidRPr="002029AF">
              <w:t xml:space="preserve"> </w:t>
            </w:r>
            <w:r w:rsidRPr="002029AF">
              <w:t>small</w:t>
            </w:r>
            <w:r w:rsidR="000A5329" w:rsidRPr="002029AF">
              <w:t xml:space="preserve"> </w:t>
            </w:r>
            <w:r w:rsidRPr="002029AF">
              <w:t>rural</w:t>
            </w:r>
            <w:r w:rsidR="000A5329" w:rsidRPr="002029AF">
              <w:t xml:space="preserve"> </w:t>
            </w:r>
            <w:r w:rsidRPr="002029AF">
              <w:t>health</w:t>
            </w:r>
            <w:r w:rsidR="000A5329" w:rsidRPr="002029AF">
              <w:t xml:space="preserve"> </w:t>
            </w:r>
            <w:r w:rsidRPr="002029AF">
              <w:t>services</w:t>
            </w:r>
          </w:p>
        </w:tc>
        <w:tc>
          <w:tcPr>
            <w:tcW w:w="1019" w:type="dxa"/>
            <w:shd w:val="clear" w:color="auto" w:fill="auto"/>
            <w:hideMark/>
          </w:tcPr>
          <w:p w14:paraId="1D96756E" w14:textId="34434972" w:rsidR="00C15C65" w:rsidRPr="002029AF" w:rsidRDefault="00C15C65" w:rsidP="00C40F5D">
            <w:pPr>
              <w:pStyle w:val="ARtabletext"/>
            </w:pPr>
            <w:r w:rsidRPr="002029AF">
              <w:t>number</w:t>
            </w:r>
            <w:r w:rsidR="000A5329" w:rsidRPr="002029AF">
              <w:t xml:space="preserve"> </w:t>
            </w:r>
            <w:r w:rsidR="005F298C">
              <w:t>(’000</w:t>
            </w:r>
            <w:r w:rsidRPr="002029AF">
              <w:t>)</w:t>
            </w:r>
          </w:p>
        </w:tc>
        <w:tc>
          <w:tcPr>
            <w:tcW w:w="1020" w:type="dxa"/>
            <w:shd w:val="clear" w:color="auto" w:fill="auto"/>
            <w:hideMark/>
          </w:tcPr>
          <w:p w14:paraId="3023B78E" w14:textId="77777777" w:rsidR="00C15C65" w:rsidRPr="002029AF" w:rsidRDefault="00C15C65" w:rsidP="005B58F0">
            <w:pPr>
              <w:pStyle w:val="ARtabletextright"/>
            </w:pPr>
            <w:r w:rsidRPr="002029AF">
              <w:t>1,444</w:t>
            </w:r>
          </w:p>
        </w:tc>
        <w:tc>
          <w:tcPr>
            <w:tcW w:w="1020" w:type="dxa"/>
            <w:shd w:val="clear" w:color="auto" w:fill="auto"/>
            <w:hideMark/>
          </w:tcPr>
          <w:p w14:paraId="65459E12" w14:textId="77777777" w:rsidR="00C15C65" w:rsidRPr="002029AF" w:rsidRDefault="00C15C65" w:rsidP="005B58F0">
            <w:pPr>
              <w:pStyle w:val="ARtabletextright"/>
            </w:pPr>
            <w:r w:rsidRPr="002029AF">
              <w:t>1,367</w:t>
            </w:r>
          </w:p>
        </w:tc>
        <w:tc>
          <w:tcPr>
            <w:tcW w:w="1022" w:type="dxa"/>
            <w:shd w:val="clear" w:color="auto" w:fill="auto"/>
          </w:tcPr>
          <w:p w14:paraId="3ACE106D" w14:textId="77777777" w:rsidR="00C15C65" w:rsidRPr="002029AF" w:rsidRDefault="00C15C65" w:rsidP="005B58F0">
            <w:pPr>
              <w:pStyle w:val="ARtabletextright"/>
            </w:pPr>
            <w:r w:rsidRPr="002029AF">
              <w:t>-5.3</w:t>
            </w:r>
          </w:p>
        </w:tc>
        <w:tc>
          <w:tcPr>
            <w:tcW w:w="796" w:type="dxa"/>
            <w:shd w:val="clear" w:color="auto" w:fill="auto"/>
            <w:hideMark/>
          </w:tcPr>
          <w:p w14:paraId="0E58F10E"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758D91DB" w14:textId="77777777" w:rsidTr="00192EEE">
        <w:trPr>
          <w:gridAfter w:val="1"/>
          <w:wAfter w:w="6" w:type="dxa"/>
          <w:cantSplit/>
        </w:trPr>
        <w:tc>
          <w:tcPr>
            <w:tcW w:w="9633" w:type="dxa"/>
            <w:gridSpan w:val="6"/>
            <w:tcBorders>
              <w:bottom w:val="single" w:sz="4" w:space="0" w:color="BFBFBF"/>
            </w:tcBorders>
            <w:shd w:val="clear" w:color="auto" w:fill="auto"/>
            <w:noWrap/>
            <w:hideMark/>
          </w:tcPr>
          <w:p w14:paraId="5E0B60CD" w14:textId="4DA71C77" w:rsidR="00C15C65" w:rsidRPr="002029AF" w:rsidRDefault="00C15C65" w:rsidP="002C5190">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lower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as</w:t>
            </w:r>
            <w:r w:rsidR="000A5329" w:rsidRPr="002029AF">
              <w:t xml:space="preserve"> </w:t>
            </w:r>
            <w:r w:rsidRPr="002029AF">
              <w:t>overall</w:t>
            </w:r>
            <w:r w:rsidR="000A5329" w:rsidRPr="002029AF">
              <w:t xml:space="preserve"> </w:t>
            </w:r>
            <w:r w:rsidRPr="002029AF">
              <w:t>activity</w:t>
            </w:r>
            <w:r w:rsidR="000A5329" w:rsidRPr="002029AF">
              <w:t xml:space="preserve"> </w:t>
            </w:r>
            <w:r w:rsidRPr="002029AF">
              <w:t>has</w:t>
            </w:r>
            <w:r w:rsidR="000A5329" w:rsidRPr="002029AF">
              <w:t xml:space="preserve"> </w:t>
            </w:r>
            <w:r w:rsidRPr="002029AF">
              <w:t>been</w:t>
            </w:r>
            <w:r w:rsidR="000A5329" w:rsidRPr="002029AF">
              <w:t xml:space="preserve"> </w:t>
            </w:r>
            <w:r w:rsidRPr="002029AF">
              <w:t>impacted</w:t>
            </w:r>
            <w:r w:rsidR="000A5329" w:rsidRPr="002029AF">
              <w:t xml:space="preserve"> </w:t>
            </w:r>
            <w:r w:rsidRPr="002029AF">
              <w:t>by</w:t>
            </w:r>
            <w:r w:rsidR="000A5329" w:rsidRPr="002029AF">
              <w:t xml:space="preserve"> </w:t>
            </w:r>
            <w:r w:rsidRPr="002029AF">
              <w:t>coronavirus</w:t>
            </w:r>
            <w:r w:rsidR="000A5329" w:rsidRPr="002029AF">
              <w:t xml:space="preserve"> </w:t>
            </w:r>
            <w:r w:rsidRPr="002029AF">
              <w:t>(COVID-19).</w:t>
            </w:r>
          </w:p>
        </w:tc>
      </w:tr>
      <w:tr w:rsidR="00C15C65" w:rsidRPr="002029AF" w14:paraId="55FEE180" w14:textId="77777777" w:rsidTr="00192EEE">
        <w:trPr>
          <w:gridAfter w:val="1"/>
          <w:wAfter w:w="6" w:type="dxa"/>
          <w:cantSplit/>
        </w:trPr>
        <w:tc>
          <w:tcPr>
            <w:tcW w:w="4756" w:type="dxa"/>
            <w:shd w:val="clear" w:color="auto" w:fill="auto"/>
            <w:hideMark/>
          </w:tcPr>
          <w:p w14:paraId="5321624A" w14:textId="58F009A2" w:rsidR="00C15C65" w:rsidRPr="002029AF" w:rsidRDefault="00C15C65" w:rsidP="00C40F5D">
            <w:pPr>
              <w:pStyle w:val="ARtabletext"/>
            </w:pPr>
            <w:r w:rsidRPr="002029AF">
              <w:t>WIES</w:t>
            </w:r>
            <w:r w:rsidR="000A5329" w:rsidRPr="002029AF">
              <w:t xml:space="preserve"> </w:t>
            </w:r>
            <w:r w:rsidRPr="002029AF">
              <w:t>funded</w:t>
            </w:r>
            <w:r w:rsidR="000A5329" w:rsidRPr="002029AF">
              <w:t xml:space="preserve"> </w:t>
            </w:r>
            <w:r w:rsidRPr="002029AF">
              <w:t>separations</w:t>
            </w:r>
            <w:r w:rsidR="000A5329" w:rsidRPr="002029AF">
              <w:t xml:space="preserve"> </w:t>
            </w:r>
            <w:r w:rsidRPr="002029AF">
              <w:t>–</w:t>
            </w:r>
            <w:r w:rsidR="000A5329" w:rsidRPr="002029AF">
              <w:t xml:space="preserve"> </w:t>
            </w:r>
            <w:r w:rsidRPr="002029AF">
              <w:t>all</w:t>
            </w:r>
            <w:r w:rsidR="000A5329" w:rsidRPr="002029AF">
              <w:t xml:space="preserve"> </w:t>
            </w:r>
            <w:r w:rsidRPr="002029AF">
              <w:t>hospitals</w:t>
            </w:r>
            <w:r w:rsidR="000A5329" w:rsidRPr="002029AF">
              <w:t xml:space="preserve"> </w:t>
            </w:r>
            <w:r w:rsidRPr="002029AF">
              <w:t>except</w:t>
            </w:r>
            <w:r w:rsidR="000A5329" w:rsidRPr="002029AF">
              <w:t xml:space="preserve"> </w:t>
            </w:r>
            <w:r w:rsidRPr="002029AF">
              <w:t>small</w:t>
            </w:r>
            <w:r w:rsidR="000A5329" w:rsidRPr="002029AF">
              <w:t xml:space="preserve"> </w:t>
            </w:r>
            <w:r w:rsidRPr="002029AF">
              <w:t>rural</w:t>
            </w:r>
            <w:r w:rsidR="000A5329" w:rsidRPr="002029AF">
              <w:t xml:space="preserve"> </w:t>
            </w:r>
            <w:r w:rsidRPr="002029AF">
              <w:t>health</w:t>
            </w:r>
            <w:r w:rsidR="000A5329" w:rsidRPr="002029AF">
              <w:t xml:space="preserve"> </w:t>
            </w:r>
            <w:r w:rsidRPr="002029AF">
              <w:t>services</w:t>
            </w:r>
          </w:p>
        </w:tc>
        <w:tc>
          <w:tcPr>
            <w:tcW w:w="1019" w:type="dxa"/>
            <w:shd w:val="clear" w:color="auto" w:fill="auto"/>
            <w:hideMark/>
          </w:tcPr>
          <w:p w14:paraId="42C481BB" w14:textId="0EE8444E" w:rsidR="00C15C65" w:rsidRPr="002029AF" w:rsidRDefault="00C15C65" w:rsidP="00C40F5D">
            <w:pPr>
              <w:pStyle w:val="ARtabletext"/>
            </w:pPr>
            <w:r w:rsidRPr="002029AF">
              <w:t>number</w:t>
            </w:r>
            <w:r w:rsidR="000A5329" w:rsidRPr="002029AF">
              <w:t xml:space="preserve"> </w:t>
            </w:r>
            <w:r w:rsidRPr="002029AF">
              <w:t>(</w:t>
            </w:r>
            <w:r w:rsidR="005F298C">
              <w:t>’</w:t>
            </w:r>
            <w:r w:rsidRPr="002029AF">
              <w:t>000)</w:t>
            </w:r>
          </w:p>
        </w:tc>
        <w:tc>
          <w:tcPr>
            <w:tcW w:w="1020" w:type="dxa"/>
            <w:shd w:val="clear" w:color="auto" w:fill="auto"/>
            <w:hideMark/>
          </w:tcPr>
          <w:p w14:paraId="07B1BC67" w14:textId="77777777" w:rsidR="00C15C65" w:rsidRPr="002029AF" w:rsidRDefault="00C15C65" w:rsidP="005B58F0">
            <w:pPr>
              <w:pStyle w:val="ARtabletextright"/>
            </w:pPr>
            <w:r w:rsidRPr="002029AF">
              <w:t>1,827</w:t>
            </w:r>
          </w:p>
        </w:tc>
        <w:tc>
          <w:tcPr>
            <w:tcW w:w="1020" w:type="dxa"/>
            <w:shd w:val="clear" w:color="auto" w:fill="auto"/>
            <w:hideMark/>
          </w:tcPr>
          <w:p w14:paraId="48956A3F" w14:textId="77777777" w:rsidR="00C15C65" w:rsidRPr="002029AF" w:rsidRDefault="00C15C65" w:rsidP="005B58F0">
            <w:pPr>
              <w:pStyle w:val="ARtabletextright"/>
            </w:pPr>
            <w:r w:rsidRPr="002029AF">
              <w:t>1,702</w:t>
            </w:r>
          </w:p>
        </w:tc>
        <w:tc>
          <w:tcPr>
            <w:tcW w:w="1022" w:type="dxa"/>
            <w:shd w:val="clear" w:color="auto" w:fill="auto"/>
          </w:tcPr>
          <w:p w14:paraId="2719E0E2" w14:textId="77777777" w:rsidR="00C15C65" w:rsidRPr="002029AF" w:rsidRDefault="00C15C65" w:rsidP="005B58F0">
            <w:pPr>
              <w:pStyle w:val="ARtabletextright"/>
            </w:pPr>
            <w:r w:rsidRPr="002029AF">
              <w:t>-6.8</w:t>
            </w:r>
          </w:p>
        </w:tc>
        <w:tc>
          <w:tcPr>
            <w:tcW w:w="796" w:type="dxa"/>
            <w:shd w:val="clear" w:color="auto" w:fill="auto"/>
            <w:hideMark/>
          </w:tcPr>
          <w:p w14:paraId="26D50A75"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490596CF" w14:textId="77777777" w:rsidTr="00192EEE">
        <w:trPr>
          <w:gridAfter w:val="1"/>
          <w:wAfter w:w="6" w:type="dxa"/>
          <w:cantSplit/>
        </w:trPr>
        <w:tc>
          <w:tcPr>
            <w:tcW w:w="9633" w:type="dxa"/>
            <w:gridSpan w:val="6"/>
            <w:tcBorders>
              <w:bottom w:val="single" w:sz="4" w:space="0" w:color="BFBFBF"/>
            </w:tcBorders>
            <w:shd w:val="clear" w:color="auto" w:fill="auto"/>
            <w:noWrap/>
            <w:hideMark/>
          </w:tcPr>
          <w:p w14:paraId="2E1DD1C7" w14:textId="1F18CB43" w:rsidR="00C15C65" w:rsidRPr="002029AF" w:rsidRDefault="00C15C65" w:rsidP="002C5190">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lower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as</w:t>
            </w:r>
            <w:r w:rsidR="000A5329" w:rsidRPr="002029AF">
              <w:t xml:space="preserve"> </w:t>
            </w:r>
            <w:r w:rsidRPr="002029AF">
              <w:t>overall</w:t>
            </w:r>
            <w:r w:rsidR="000A5329" w:rsidRPr="002029AF">
              <w:t xml:space="preserve"> </w:t>
            </w:r>
            <w:r w:rsidRPr="002029AF">
              <w:t>activity</w:t>
            </w:r>
            <w:r w:rsidR="000A5329" w:rsidRPr="002029AF">
              <w:t xml:space="preserve"> </w:t>
            </w:r>
            <w:r w:rsidRPr="002029AF">
              <w:t>has</w:t>
            </w:r>
            <w:r w:rsidR="000A5329" w:rsidRPr="002029AF">
              <w:t xml:space="preserve"> </w:t>
            </w:r>
            <w:r w:rsidRPr="002029AF">
              <w:t>been</w:t>
            </w:r>
            <w:r w:rsidR="000A5329" w:rsidRPr="002029AF">
              <w:t xml:space="preserve"> </w:t>
            </w:r>
            <w:r w:rsidRPr="002029AF">
              <w:t>impacted</w:t>
            </w:r>
            <w:r w:rsidR="000A5329" w:rsidRPr="002029AF">
              <w:t xml:space="preserve"> </w:t>
            </w:r>
            <w:r w:rsidRPr="002029AF">
              <w:t>by</w:t>
            </w:r>
            <w:r w:rsidR="000A5329" w:rsidRPr="002029AF">
              <w:t xml:space="preserve"> </w:t>
            </w:r>
            <w:r w:rsidRPr="002029AF">
              <w:t>coronavirus</w:t>
            </w:r>
            <w:r w:rsidR="000A5329" w:rsidRPr="002029AF">
              <w:t xml:space="preserve"> </w:t>
            </w:r>
            <w:r w:rsidRPr="002029AF">
              <w:t>(COVID-19).</w:t>
            </w:r>
          </w:p>
        </w:tc>
      </w:tr>
      <w:tr w:rsidR="00C15C65" w:rsidRPr="002029AF" w14:paraId="0B02F952" w14:textId="77777777" w:rsidTr="00192EEE">
        <w:trPr>
          <w:gridAfter w:val="1"/>
          <w:wAfter w:w="6" w:type="dxa"/>
          <w:cantSplit/>
        </w:trPr>
        <w:tc>
          <w:tcPr>
            <w:tcW w:w="4756" w:type="dxa"/>
            <w:tcBorders>
              <w:top w:val="single" w:sz="4" w:space="0" w:color="BFBFBF"/>
              <w:bottom w:val="single" w:sz="4" w:space="0" w:color="BFBFBF"/>
            </w:tcBorders>
            <w:shd w:val="clear" w:color="auto" w:fill="auto"/>
            <w:hideMark/>
          </w:tcPr>
          <w:p w14:paraId="76776308" w14:textId="027F1ED3" w:rsidR="00C15C65" w:rsidRPr="002029AF" w:rsidRDefault="00C15C65" w:rsidP="00C40F5D">
            <w:pPr>
              <w:pStyle w:val="ARtabletext"/>
            </w:pPr>
            <w:r w:rsidRPr="002029AF">
              <w:t>Perinatal</w:t>
            </w:r>
            <w:r w:rsidR="000A5329" w:rsidRPr="002029AF">
              <w:t xml:space="preserve"> </w:t>
            </w:r>
            <w:r w:rsidRPr="002029AF">
              <w:t>mortality</w:t>
            </w:r>
            <w:r w:rsidR="000A5329" w:rsidRPr="002029AF">
              <w:t xml:space="preserve"> </w:t>
            </w:r>
            <w:r w:rsidRPr="002029AF">
              <w:t>rate</w:t>
            </w:r>
            <w:r w:rsidR="000A5329" w:rsidRPr="002029AF">
              <w:t xml:space="preserve"> </w:t>
            </w:r>
            <w:r w:rsidRPr="002029AF">
              <w:t>per</w:t>
            </w:r>
            <w:r w:rsidR="000A5329" w:rsidRPr="002029AF">
              <w:t xml:space="preserve"> </w:t>
            </w:r>
            <w:r w:rsidRPr="002029AF">
              <w:t>1000</w:t>
            </w:r>
            <w:r w:rsidR="000A5329" w:rsidRPr="002029AF">
              <w:t xml:space="preserve"> </w:t>
            </w:r>
            <w:r w:rsidRPr="002029AF">
              <w:t>babies</w:t>
            </w:r>
            <w:r w:rsidR="000A5329" w:rsidRPr="002029AF">
              <w:t xml:space="preserve"> </w:t>
            </w:r>
            <w:r w:rsidRPr="002029AF">
              <w:t>of</w:t>
            </w:r>
            <w:r w:rsidR="000A5329" w:rsidRPr="002029AF">
              <w:t xml:space="preserve"> </w:t>
            </w:r>
            <w:r w:rsidRPr="002029AF">
              <w:t>Aboriginal</w:t>
            </w:r>
            <w:r w:rsidR="000A5329" w:rsidRPr="002029AF">
              <w:t xml:space="preserve"> </w:t>
            </w:r>
            <w:r w:rsidRPr="002029AF">
              <w:t>mothers,</w:t>
            </w:r>
            <w:r w:rsidR="000A5329" w:rsidRPr="002029AF">
              <w:t xml:space="preserve"> </w:t>
            </w:r>
            <w:r w:rsidRPr="002029AF">
              <w:t>using</w:t>
            </w:r>
            <w:r w:rsidR="000A5329" w:rsidRPr="002029AF">
              <w:t xml:space="preserve"> </w:t>
            </w:r>
            <w:r w:rsidRPr="002029AF">
              <w:t>rolling</w:t>
            </w:r>
            <w:r w:rsidR="000A5329" w:rsidRPr="002029AF">
              <w:t xml:space="preserve"> </w:t>
            </w:r>
            <w:r w:rsidRPr="002029AF">
              <w:t>3</w:t>
            </w:r>
            <w:r w:rsidR="000A5329" w:rsidRPr="002029AF">
              <w:t xml:space="preserve"> </w:t>
            </w:r>
            <w:r w:rsidRPr="002029AF">
              <w:t>year</w:t>
            </w:r>
            <w:r w:rsidR="000A5329" w:rsidRPr="002029AF">
              <w:t xml:space="preserve"> </w:t>
            </w:r>
            <w:r w:rsidRPr="002029AF">
              <w:t>average</w:t>
            </w:r>
          </w:p>
        </w:tc>
        <w:tc>
          <w:tcPr>
            <w:tcW w:w="1019" w:type="dxa"/>
            <w:tcBorders>
              <w:top w:val="single" w:sz="4" w:space="0" w:color="BFBFBF"/>
              <w:bottom w:val="single" w:sz="4" w:space="0" w:color="BFBFBF"/>
            </w:tcBorders>
            <w:shd w:val="clear" w:color="auto" w:fill="auto"/>
            <w:hideMark/>
          </w:tcPr>
          <w:p w14:paraId="5D1F0FF5" w14:textId="77777777" w:rsidR="00C15C65" w:rsidRPr="002029AF" w:rsidRDefault="00C15C65" w:rsidP="00C40F5D">
            <w:pPr>
              <w:pStyle w:val="ARtabletext"/>
            </w:pPr>
            <w:r w:rsidRPr="002029AF">
              <w:t>rate</w:t>
            </w:r>
          </w:p>
        </w:tc>
        <w:tc>
          <w:tcPr>
            <w:tcW w:w="1020" w:type="dxa"/>
            <w:tcBorders>
              <w:top w:val="single" w:sz="4" w:space="0" w:color="BFBFBF"/>
              <w:bottom w:val="single" w:sz="4" w:space="0" w:color="BFBFBF"/>
            </w:tcBorders>
            <w:shd w:val="clear" w:color="auto" w:fill="auto"/>
            <w:hideMark/>
          </w:tcPr>
          <w:p w14:paraId="0BB41322" w14:textId="77777777" w:rsidR="00C15C65" w:rsidRPr="002029AF" w:rsidRDefault="00C15C65" w:rsidP="005B58F0">
            <w:pPr>
              <w:pStyle w:val="ARtabletextright"/>
            </w:pPr>
            <w:r w:rsidRPr="002029AF">
              <w:t>11</w:t>
            </w:r>
          </w:p>
        </w:tc>
        <w:tc>
          <w:tcPr>
            <w:tcW w:w="1020" w:type="dxa"/>
            <w:tcBorders>
              <w:top w:val="single" w:sz="4" w:space="0" w:color="BFBFBF"/>
              <w:bottom w:val="single" w:sz="4" w:space="0" w:color="BFBFBF"/>
            </w:tcBorders>
            <w:shd w:val="clear" w:color="auto" w:fill="auto"/>
            <w:hideMark/>
          </w:tcPr>
          <w:p w14:paraId="164EACC3" w14:textId="77777777" w:rsidR="00C15C65" w:rsidRPr="002029AF" w:rsidRDefault="00C15C65" w:rsidP="005B58F0">
            <w:pPr>
              <w:pStyle w:val="ARtabletextright"/>
            </w:pPr>
            <w:r w:rsidRPr="002029AF">
              <w:t>11.5</w:t>
            </w:r>
          </w:p>
        </w:tc>
        <w:tc>
          <w:tcPr>
            <w:tcW w:w="1022" w:type="dxa"/>
            <w:tcBorders>
              <w:top w:val="single" w:sz="4" w:space="0" w:color="BFBFBF"/>
              <w:bottom w:val="single" w:sz="4" w:space="0" w:color="BFBFBF"/>
            </w:tcBorders>
            <w:shd w:val="clear" w:color="auto" w:fill="auto"/>
          </w:tcPr>
          <w:p w14:paraId="63466B29" w14:textId="77777777" w:rsidR="00C15C65" w:rsidRPr="002029AF" w:rsidRDefault="00C15C65" w:rsidP="005B58F0">
            <w:pPr>
              <w:pStyle w:val="ARtabletextright"/>
            </w:pPr>
            <w:r w:rsidRPr="002029AF">
              <w:t>4.5</w:t>
            </w:r>
          </w:p>
        </w:tc>
        <w:tc>
          <w:tcPr>
            <w:tcW w:w="796" w:type="dxa"/>
            <w:tcBorders>
              <w:top w:val="single" w:sz="4" w:space="0" w:color="BFBFBF"/>
              <w:bottom w:val="single" w:sz="4" w:space="0" w:color="BFBFBF"/>
            </w:tcBorders>
            <w:shd w:val="clear" w:color="auto" w:fill="auto"/>
            <w:hideMark/>
          </w:tcPr>
          <w:p w14:paraId="1F89F82F" w14:textId="77777777" w:rsidR="00C15C65" w:rsidRPr="002029AF" w:rsidRDefault="00C15C65" w:rsidP="00F54F80">
            <w:pPr>
              <w:pStyle w:val="ARtableperformancesymbol"/>
              <w:rPr>
                <w:rFonts w:hint="eastAsia"/>
                <w:lang w:val="en-AU"/>
              </w:rPr>
            </w:pPr>
            <w:r w:rsidRPr="002029AF">
              <w:rPr>
                <w:lang w:val="en-AU"/>
              </w:rPr>
              <w:t>□</w:t>
            </w:r>
          </w:p>
        </w:tc>
      </w:tr>
      <w:tr w:rsidR="00C15C65" w:rsidRPr="002029AF" w14:paraId="094AB65F" w14:textId="77777777" w:rsidTr="00192EEE">
        <w:trPr>
          <w:gridAfter w:val="1"/>
          <w:wAfter w:w="6" w:type="dxa"/>
          <w:cantSplit/>
        </w:trPr>
        <w:tc>
          <w:tcPr>
            <w:tcW w:w="4756" w:type="dxa"/>
            <w:tcBorders>
              <w:top w:val="single" w:sz="4" w:space="0" w:color="BFBFBF"/>
            </w:tcBorders>
            <w:shd w:val="clear" w:color="auto" w:fill="auto"/>
            <w:hideMark/>
          </w:tcPr>
          <w:p w14:paraId="0C2374E4" w14:textId="1897EA6B" w:rsidR="00C15C65" w:rsidRPr="002029AF" w:rsidRDefault="00C15C65" w:rsidP="00C40F5D">
            <w:pPr>
              <w:pStyle w:val="ARtabletext"/>
            </w:pPr>
            <w:r w:rsidRPr="002029AF">
              <w:t>Number</w:t>
            </w:r>
            <w:r w:rsidR="000A5329" w:rsidRPr="002029AF">
              <w:t xml:space="preserve"> </w:t>
            </w:r>
            <w:r w:rsidRPr="002029AF">
              <w:t>of</w:t>
            </w:r>
            <w:r w:rsidR="000A5329" w:rsidRPr="002029AF">
              <w:t xml:space="preserve"> </w:t>
            </w:r>
            <w:r w:rsidRPr="002029AF">
              <w:t>patients</w:t>
            </w:r>
            <w:r w:rsidR="000A5329" w:rsidRPr="002029AF">
              <w:t xml:space="preserve"> </w:t>
            </w:r>
            <w:r w:rsidRPr="002029AF">
              <w:t>admitted</w:t>
            </w:r>
            <w:r w:rsidR="000A5329" w:rsidRPr="002029AF">
              <w:t xml:space="preserve"> </w:t>
            </w:r>
            <w:r w:rsidRPr="002029AF">
              <w:t>from</w:t>
            </w:r>
            <w:r w:rsidR="000A5329" w:rsidRPr="002029AF">
              <w:t xml:space="preserve"> </w:t>
            </w:r>
            <w:r w:rsidRPr="002029AF">
              <w:t>the</w:t>
            </w:r>
            <w:r w:rsidR="000A5329" w:rsidRPr="002029AF">
              <w:t xml:space="preserve"> </w:t>
            </w:r>
            <w:r w:rsidRPr="002029AF">
              <w:t>elective</w:t>
            </w:r>
            <w:r w:rsidR="000A5329" w:rsidRPr="002029AF">
              <w:t xml:space="preserve"> </w:t>
            </w:r>
            <w:r w:rsidRPr="002029AF">
              <w:t>surgery</w:t>
            </w:r>
            <w:r w:rsidR="000A5329" w:rsidRPr="002029AF">
              <w:t xml:space="preserve"> </w:t>
            </w:r>
            <w:r w:rsidRPr="002029AF">
              <w:t>waiting</w:t>
            </w:r>
            <w:r w:rsidR="000A5329" w:rsidRPr="002029AF">
              <w:t xml:space="preserve"> </w:t>
            </w:r>
            <w:r w:rsidRPr="002029AF">
              <w:t>list</w:t>
            </w:r>
          </w:p>
        </w:tc>
        <w:tc>
          <w:tcPr>
            <w:tcW w:w="1019" w:type="dxa"/>
            <w:tcBorders>
              <w:top w:val="single" w:sz="4" w:space="0" w:color="BFBFBF"/>
            </w:tcBorders>
            <w:shd w:val="clear" w:color="auto" w:fill="auto"/>
            <w:hideMark/>
          </w:tcPr>
          <w:p w14:paraId="474807D9" w14:textId="77777777" w:rsidR="00C15C65" w:rsidRPr="002029AF" w:rsidRDefault="00C15C65" w:rsidP="00C40F5D">
            <w:pPr>
              <w:pStyle w:val="ARtabletext"/>
            </w:pPr>
            <w:r w:rsidRPr="002029AF">
              <w:t>number</w:t>
            </w:r>
          </w:p>
        </w:tc>
        <w:tc>
          <w:tcPr>
            <w:tcW w:w="1020" w:type="dxa"/>
            <w:tcBorders>
              <w:top w:val="single" w:sz="4" w:space="0" w:color="BFBFBF"/>
            </w:tcBorders>
            <w:shd w:val="clear" w:color="auto" w:fill="auto"/>
            <w:hideMark/>
          </w:tcPr>
          <w:p w14:paraId="3161F270" w14:textId="77777777" w:rsidR="00C15C65" w:rsidRPr="002029AF" w:rsidRDefault="00C15C65" w:rsidP="005B58F0">
            <w:pPr>
              <w:pStyle w:val="ARtabletextright"/>
            </w:pPr>
            <w:r w:rsidRPr="002029AF">
              <w:t>203,020</w:t>
            </w:r>
          </w:p>
        </w:tc>
        <w:tc>
          <w:tcPr>
            <w:tcW w:w="1020" w:type="dxa"/>
            <w:tcBorders>
              <w:top w:val="single" w:sz="4" w:space="0" w:color="BFBFBF"/>
            </w:tcBorders>
            <w:shd w:val="clear" w:color="auto" w:fill="auto"/>
            <w:hideMark/>
          </w:tcPr>
          <w:p w14:paraId="159E8E07" w14:textId="77777777" w:rsidR="00C15C65" w:rsidRPr="002029AF" w:rsidRDefault="00C15C65" w:rsidP="005B58F0">
            <w:pPr>
              <w:pStyle w:val="ARtabletextright"/>
            </w:pPr>
            <w:r w:rsidRPr="002029AF">
              <w:t>171,068</w:t>
            </w:r>
          </w:p>
        </w:tc>
        <w:tc>
          <w:tcPr>
            <w:tcW w:w="1022" w:type="dxa"/>
            <w:tcBorders>
              <w:top w:val="single" w:sz="4" w:space="0" w:color="BFBFBF"/>
            </w:tcBorders>
            <w:shd w:val="clear" w:color="auto" w:fill="auto"/>
          </w:tcPr>
          <w:p w14:paraId="7EBB6620" w14:textId="77777777" w:rsidR="00C15C65" w:rsidRPr="002029AF" w:rsidRDefault="00C15C65" w:rsidP="005B58F0">
            <w:pPr>
              <w:pStyle w:val="ARtabletextright"/>
            </w:pPr>
            <w:r w:rsidRPr="002029AF">
              <w:t>-15.7</w:t>
            </w:r>
          </w:p>
        </w:tc>
        <w:tc>
          <w:tcPr>
            <w:tcW w:w="796" w:type="dxa"/>
            <w:tcBorders>
              <w:top w:val="single" w:sz="4" w:space="0" w:color="BFBFBF"/>
            </w:tcBorders>
            <w:shd w:val="clear" w:color="auto" w:fill="auto"/>
            <w:hideMark/>
          </w:tcPr>
          <w:p w14:paraId="7649D3AE"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315FB5E0" w14:textId="77777777" w:rsidTr="00192EEE">
        <w:trPr>
          <w:gridAfter w:val="1"/>
          <w:wAfter w:w="6" w:type="dxa"/>
          <w:cantSplit/>
        </w:trPr>
        <w:tc>
          <w:tcPr>
            <w:tcW w:w="9633" w:type="dxa"/>
            <w:gridSpan w:val="6"/>
            <w:tcBorders>
              <w:bottom w:val="single" w:sz="4" w:space="0" w:color="BFBFBF"/>
            </w:tcBorders>
            <w:shd w:val="clear" w:color="auto" w:fill="auto"/>
            <w:noWrap/>
            <w:hideMark/>
          </w:tcPr>
          <w:p w14:paraId="12430D3E" w14:textId="3610916A" w:rsidR="00C15C65" w:rsidRPr="002029AF" w:rsidRDefault="00C15C65" w:rsidP="002C5190">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lower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as</w:t>
            </w:r>
            <w:r w:rsidR="000A5329" w:rsidRPr="002029AF">
              <w:t xml:space="preserve"> </w:t>
            </w:r>
            <w:r w:rsidRPr="002029AF">
              <w:t>overall</w:t>
            </w:r>
            <w:r w:rsidR="000A5329" w:rsidRPr="002029AF">
              <w:t xml:space="preserve"> </w:t>
            </w:r>
            <w:r w:rsidRPr="002029AF">
              <w:t>activity</w:t>
            </w:r>
            <w:r w:rsidR="000A5329" w:rsidRPr="002029AF">
              <w:t xml:space="preserve"> </w:t>
            </w:r>
            <w:r w:rsidRPr="002029AF">
              <w:t>has</w:t>
            </w:r>
            <w:r w:rsidR="000A5329" w:rsidRPr="002029AF">
              <w:t xml:space="preserve"> </w:t>
            </w:r>
            <w:r w:rsidRPr="002029AF">
              <w:t>been</w:t>
            </w:r>
            <w:r w:rsidR="000A5329" w:rsidRPr="002029AF">
              <w:t xml:space="preserve"> </w:t>
            </w:r>
            <w:r w:rsidRPr="002029AF">
              <w:t>impacted</w:t>
            </w:r>
            <w:r w:rsidR="000A5329" w:rsidRPr="002029AF">
              <w:t xml:space="preserve"> </w:t>
            </w:r>
            <w:r w:rsidRPr="002029AF">
              <w:t>by</w:t>
            </w:r>
            <w:r w:rsidR="000A5329" w:rsidRPr="002029AF">
              <w:t xml:space="preserve"> </w:t>
            </w:r>
            <w:r w:rsidRPr="002029AF">
              <w:t>the</w:t>
            </w:r>
            <w:r w:rsidR="000A5329" w:rsidRPr="002029AF">
              <w:t xml:space="preserve"> </w:t>
            </w:r>
            <w:r w:rsidR="002029AF" w:rsidRPr="002029AF">
              <w:t>restrictions</w:t>
            </w:r>
            <w:r w:rsidR="000A5329" w:rsidRPr="002029AF">
              <w:t xml:space="preserve"> </w:t>
            </w:r>
            <w:r w:rsidRPr="002029AF">
              <w:t>put</w:t>
            </w:r>
            <w:r w:rsidR="000A5329" w:rsidRPr="002029AF">
              <w:t xml:space="preserve"> </w:t>
            </w:r>
            <w:r w:rsidRPr="002029AF">
              <w:t>in</w:t>
            </w:r>
            <w:r w:rsidR="000A5329" w:rsidRPr="002029AF">
              <w:t xml:space="preserve"> </w:t>
            </w:r>
            <w:r w:rsidRPr="002029AF">
              <w:t>place</w:t>
            </w:r>
            <w:r w:rsidR="000A5329" w:rsidRPr="002029AF">
              <w:t xml:space="preserve"> </w:t>
            </w:r>
            <w:r w:rsidRPr="002029AF">
              <w:t>due</w:t>
            </w:r>
            <w:r w:rsidR="000A5329" w:rsidRPr="002029AF">
              <w:t xml:space="preserve"> </w:t>
            </w:r>
            <w:r w:rsidRPr="002029AF">
              <w:t>to</w:t>
            </w:r>
            <w:r w:rsidR="000A5329" w:rsidRPr="002029AF">
              <w:t xml:space="preserve"> </w:t>
            </w:r>
            <w:r w:rsidRPr="002029AF">
              <w:t>coronavirus</w:t>
            </w:r>
            <w:r w:rsidR="000A5329" w:rsidRPr="002029AF">
              <w:t xml:space="preserve"> </w:t>
            </w:r>
            <w:r w:rsidRPr="002029AF">
              <w:t>(COVID-19).</w:t>
            </w:r>
          </w:p>
        </w:tc>
      </w:tr>
      <w:tr w:rsidR="00C15C65" w:rsidRPr="002029AF" w14:paraId="0A5AEE6F" w14:textId="77777777" w:rsidTr="009950F3">
        <w:trPr>
          <w:gridAfter w:val="1"/>
          <w:wAfter w:w="6" w:type="dxa"/>
          <w:cantSplit/>
        </w:trPr>
        <w:tc>
          <w:tcPr>
            <w:tcW w:w="4756" w:type="dxa"/>
            <w:shd w:val="clear" w:color="auto" w:fill="auto"/>
            <w:hideMark/>
          </w:tcPr>
          <w:p w14:paraId="3FD12E9D" w14:textId="60529C9E" w:rsidR="00C15C65" w:rsidRPr="002029AF" w:rsidRDefault="00C15C65" w:rsidP="007666A5">
            <w:pPr>
              <w:pStyle w:val="ARtabletext"/>
              <w:keepNext/>
            </w:pPr>
            <w:r w:rsidRPr="002029AF">
              <w:t>WIES</w:t>
            </w:r>
            <w:r w:rsidR="000A5329" w:rsidRPr="002029AF">
              <w:t xml:space="preserve"> </w:t>
            </w:r>
            <w:r w:rsidRPr="002029AF">
              <w:t>funded</w:t>
            </w:r>
            <w:r w:rsidR="000A5329" w:rsidRPr="002029AF">
              <w:t xml:space="preserve"> </w:t>
            </w:r>
            <w:r w:rsidRPr="002029AF">
              <w:t>emergency</w:t>
            </w:r>
            <w:r w:rsidR="000A5329" w:rsidRPr="002029AF">
              <w:t xml:space="preserve"> </w:t>
            </w:r>
            <w:r w:rsidRPr="002029AF">
              <w:t>separations</w:t>
            </w:r>
            <w:r w:rsidR="000A5329" w:rsidRPr="002029AF">
              <w:t xml:space="preserve"> </w:t>
            </w:r>
            <w:r w:rsidRPr="002029AF">
              <w:t>–</w:t>
            </w:r>
            <w:r w:rsidR="000A5329" w:rsidRPr="002029AF">
              <w:t xml:space="preserve"> </w:t>
            </w:r>
            <w:r w:rsidRPr="002029AF">
              <w:t>all</w:t>
            </w:r>
            <w:r w:rsidR="000A5329" w:rsidRPr="002029AF">
              <w:t xml:space="preserve"> </w:t>
            </w:r>
            <w:r w:rsidRPr="002029AF">
              <w:t>hospitals</w:t>
            </w:r>
          </w:p>
        </w:tc>
        <w:tc>
          <w:tcPr>
            <w:tcW w:w="1019" w:type="dxa"/>
            <w:shd w:val="clear" w:color="auto" w:fill="auto"/>
            <w:hideMark/>
          </w:tcPr>
          <w:p w14:paraId="56F60783" w14:textId="52D5787B" w:rsidR="00C15C65" w:rsidRPr="002029AF" w:rsidRDefault="00C15C65" w:rsidP="00C40F5D">
            <w:pPr>
              <w:pStyle w:val="ARtabletext"/>
            </w:pPr>
            <w:r w:rsidRPr="002029AF">
              <w:t>number</w:t>
            </w:r>
            <w:r w:rsidR="000A5329" w:rsidRPr="002029AF">
              <w:t xml:space="preserve"> </w:t>
            </w:r>
            <w:r w:rsidR="005F298C">
              <w:t>(’000</w:t>
            </w:r>
            <w:r w:rsidRPr="002029AF">
              <w:t>)</w:t>
            </w:r>
          </w:p>
        </w:tc>
        <w:tc>
          <w:tcPr>
            <w:tcW w:w="1020" w:type="dxa"/>
            <w:shd w:val="clear" w:color="auto" w:fill="auto"/>
            <w:hideMark/>
          </w:tcPr>
          <w:p w14:paraId="378B1B8F" w14:textId="77777777" w:rsidR="00C15C65" w:rsidRPr="002029AF" w:rsidRDefault="00C15C65" w:rsidP="005B58F0">
            <w:pPr>
              <w:pStyle w:val="ARtabletextright"/>
            </w:pPr>
            <w:r w:rsidRPr="002029AF">
              <w:t>756</w:t>
            </w:r>
          </w:p>
        </w:tc>
        <w:tc>
          <w:tcPr>
            <w:tcW w:w="1020" w:type="dxa"/>
            <w:shd w:val="clear" w:color="auto" w:fill="auto"/>
            <w:hideMark/>
          </w:tcPr>
          <w:p w14:paraId="6EAD1729" w14:textId="77777777" w:rsidR="00C15C65" w:rsidRPr="002029AF" w:rsidRDefault="00C15C65" w:rsidP="005B58F0">
            <w:pPr>
              <w:pStyle w:val="ARtabletextright"/>
            </w:pPr>
            <w:r w:rsidRPr="002029AF">
              <w:t>650</w:t>
            </w:r>
          </w:p>
        </w:tc>
        <w:tc>
          <w:tcPr>
            <w:tcW w:w="1022" w:type="dxa"/>
            <w:shd w:val="clear" w:color="auto" w:fill="auto"/>
          </w:tcPr>
          <w:p w14:paraId="015E746A" w14:textId="77777777" w:rsidR="00C15C65" w:rsidRPr="002029AF" w:rsidRDefault="00C15C65" w:rsidP="005B58F0">
            <w:pPr>
              <w:pStyle w:val="ARtabletextright"/>
            </w:pPr>
            <w:r w:rsidRPr="002029AF">
              <w:t>-14.0</w:t>
            </w:r>
          </w:p>
        </w:tc>
        <w:tc>
          <w:tcPr>
            <w:tcW w:w="796" w:type="dxa"/>
            <w:shd w:val="clear" w:color="auto" w:fill="auto"/>
            <w:hideMark/>
          </w:tcPr>
          <w:p w14:paraId="1FA4A502"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26A740E6" w14:textId="77777777" w:rsidTr="009950F3">
        <w:trPr>
          <w:gridAfter w:val="1"/>
          <w:wAfter w:w="6" w:type="dxa"/>
          <w:cantSplit/>
        </w:trPr>
        <w:tc>
          <w:tcPr>
            <w:tcW w:w="9633" w:type="dxa"/>
            <w:gridSpan w:val="6"/>
            <w:tcBorders>
              <w:bottom w:val="single" w:sz="4" w:space="0" w:color="auto"/>
            </w:tcBorders>
            <w:shd w:val="clear" w:color="auto" w:fill="auto"/>
            <w:noWrap/>
            <w:hideMark/>
          </w:tcPr>
          <w:p w14:paraId="5D79D9D9" w14:textId="5D7336CD" w:rsidR="00C15C65" w:rsidRPr="002029AF" w:rsidRDefault="00C15C65" w:rsidP="002C5190">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lower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as</w:t>
            </w:r>
            <w:r w:rsidR="000A5329" w:rsidRPr="002029AF">
              <w:t xml:space="preserve"> </w:t>
            </w:r>
            <w:r w:rsidRPr="002029AF">
              <w:t>overall</w:t>
            </w:r>
            <w:r w:rsidR="000A5329" w:rsidRPr="002029AF">
              <w:t xml:space="preserve"> </w:t>
            </w:r>
            <w:r w:rsidRPr="002029AF">
              <w:t>activity</w:t>
            </w:r>
            <w:r w:rsidR="000A5329" w:rsidRPr="002029AF">
              <w:t xml:space="preserve"> </w:t>
            </w:r>
            <w:r w:rsidRPr="002029AF">
              <w:t>has</w:t>
            </w:r>
            <w:r w:rsidR="000A5329" w:rsidRPr="002029AF">
              <w:t xml:space="preserve"> </w:t>
            </w:r>
            <w:r w:rsidRPr="002029AF">
              <w:t>been</w:t>
            </w:r>
            <w:r w:rsidR="000A5329" w:rsidRPr="002029AF">
              <w:t xml:space="preserve"> </w:t>
            </w:r>
            <w:r w:rsidRPr="002029AF">
              <w:t>impacted</w:t>
            </w:r>
            <w:r w:rsidR="000A5329" w:rsidRPr="002029AF">
              <w:t xml:space="preserve"> </w:t>
            </w:r>
            <w:r w:rsidRPr="002029AF">
              <w:t>by</w:t>
            </w:r>
            <w:r w:rsidR="000A5329" w:rsidRPr="002029AF">
              <w:t xml:space="preserve"> </w:t>
            </w:r>
            <w:r w:rsidRPr="002029AF">
              <w:t>coronavirus</w:t>
            </w:r>
            <w:r w:rsidR="000A5329" w:rsidRPr="002029AF">
              <w:t xml:space="preserve"> </w:t>
            </w:r>
            <w:r w:rsidRPr="002029AF">
              <w:t>(COVID-19).</w:t>
            </w:r>
          </w:p>
        </w:tc>
      </w:tr>
      <w:tr w:rsidR="00C15C65" w:rsidRPr="002029AF" w14:paraId="1120ACB1" w14:textId="77777777" w:rsidTr="00192EEE">
        <w:trPr>
          <w:cantSplit/>
        </w:trPr>
        <w:tc>
          <w:tcPr>
            <w:tcW w:w="9639" w:type="dxa"/>
            <w:gridSpan w:val="7"/>
            <w:tcBorders>
              <w:top w:val="single" w:sz="4" w:space="0" w:color="auto"/>
              <w:left w:val="nil"/>
              <w:right w:val="nil"/>
            </w:tcBorders>
            <w:hideMark/>
          </w:tcPr>
          <w:p w14:paraId="7971784A" w14:textId="77777777" w:rsidR="00C15C65" w:rsidRPr="002029AF" w:rsidRDefault="00C15C65" w:rsidP="00D96AFD">
            <w:pPr>
              <w:pStyle w:val="ARtablegreybold"/>
            </w:pPr>
            <w:r w:rsidRPr="002029AF">
              <w:lastRenderedPageBreak/>
              <w:t>Quality</w:t>
            </w:r>
          </w:p>
        </w:tc>
      </w:tr>
      <w:tr w:rsidR="00C15C65" w:rsidRPr="002029AF" w14:paraId="01C856B3" w14:textId="77777777" w:rsidTr="00192EEE">
        <w:trPr>
          <w:gridAfter w:val="1"/>
          <w:wAfter w:w="6" w:type="dxa"/>
          <w:cantSplit/>
        </w:trPr>
        <w:tc>
          <w:tcPr>
            <w:tcW w:w="4756" w:type="dxa"/>
            <w:tcBorders>
              <w:bottom w:val="single" w:sz="4" w:space="0" w:color="BFBFBF"/>
            </w:tcBorders>
            <w:shd w:val="clear" w:color="auto" w:fill="auto"/>
            <w:hideMark/>
          </w:tcPr>
          <w:p w14:paraId="2D8DB4E1" w14:textId="51A9C4FF" w:rsidR="00C15C65" w:rsidRPr="002029AF" w:rsidRDefault="00C15C65" w:rsidP="00C40F5D">
            <w:pPr>
              <w:pStyle w:val="ARtabletext"/>
            </w:pPr>
            <w:r w:rsidRPr="002029AF">
              <w:t>Eligible</w:t>
            </w:r>
            <w:r w:rsidR="000A5329" w:rsidRPr="002029AF">
              <w:t xml:space="preserve"> </w:t>
            </w:r>
            <w:r w:rsidRPr="002029AF">
              <w:t>newborns</w:t>
            </w:r>
            <w:r w:rsidR="000A5329" w:rsidRPr="002029AF">
              <w:t xml:space="preserve"> </w:t>
            </w:r>
            <w:r w:rsidRPr="002029AF">
              <w:t>screened</w:t>
            </w:r>
            <w:r w:rsidR="000A5329" w:rsidRPr="002029AF">
              <w:t xml:space="preserve"> </w:t>
            </w:r>
            <w:r w:rsidRPr="002029AF">
              <w:t>for</w:t>
            </w:r>
            <w:r w:rsidR="000A5329" w:rsidRPr="002029AF">
              <w:t xml:space="preserve"> </w:t>
            </w:r>
            <w:r w:rsidRPr="002029AF">
              <w:t>hearing</w:t>
            </w:r>
            <w:r w:rsidR="000A5329" w:rsidRPr="002029AF">
              <w:t xml:space="preserve"> </w:t>
            </w:r>
            <w:r w:rsidRPr="002029AF">
              <w:t>deficit</w:t>
            </w:r>
            <w:r w:rsidR="000A5329" w:rsidRPr="002029AF">
              <w:t xml:space="preserve"> </w:t>
            </w:r>
            <w:r w:rsidRPr="002029AF">
              <w:t>before</w:t>
            </w:r>
            <w:r w:rsidR="000A5329" w:rsidRPr="002029AF">
              <w:t xml:space="preserve"> </w:t>
            </w:r>
            <w:r w:rsidRPr="002029AF">
              <w:t>one</w:t>
            </w:r>
            <w:r w:rsidR="000A5329" w:rsidRPr="002029AF">
              <w:t xml:space="preserve"> </w:t>
            </w:r>
            <w:r w:rsidRPr="002029AF">
              <w:t>month</w:t>
            </w:r>
            <w:r w:rsidR="000A5329" w:rsidRPr="002029AF">
              <w:t xml:space="preserve"> </w:t>
            </w:r>
            <w:r w:rsidRPr="002029AF">
              <w:t>of</w:t>
            </w:r>
            <w:r w:rsidR="000A5329" w:rsidRPr="002029AF">
              <w:t xml:space="preserve"> </w:t>
            </w:r>
            <w:r w:rsidRPr="002029AF">
              <w:t>age.</w:t>
            </w:r>
          </w:p>
        </w:tc>
        <w:tc>
          <w:tcPr>
            <w:tcW w:w="1019" w:type="dxa"/>
            <w:tcBorders>
              <w:bottom w:val="single" w:sz="4" w:space="0" w:color="BFBFBF"/>
            </w:tcBorders>
            <w:shd w:val="clear" w:color="auto" w:fill="auto"/>
            <w:hideMark/>
          </w:tcPr>
          <w:p w14:paraId="3060E685" w14:textId="4232EE4F" w:rsidR="00C15C65" w:rsidRPr="002029AF" w:rsidRDefault="00C15C65" w:rsidP="00C40F5D">
            <w:pPr>
              <w:pStyle w:val="ARtabletext"/>
            </w:pPr>
            <w:r w:rsidRPr="002029AF">
              <w:t>per</w:t>
            </w:r>
            <w:r w:rsidR="000A5329" w:rsidRPr="002029AF">
              <w:t xml:space="preserve"> </w:t>
            </w:r>
            <w:r w:rsidRPr="002029AF">
              <w:t>cent</w:t>
            </w:r>
          </w:p>
        </w:tc>
        <w:tc>
          <w:tcPr>
            <w:tcW w:w="1020" w:type="dxa"/>
            <w:tcBorders>
              <w:bottom w:val="single" w:sz="4" w:space="0" w:color="BFBFBF"/>
            </w:tcBorders>
            <w:shd w:val="clear" w:color="auto" w:fill="auto"/>
            <w:hideMark/>
          </w:tcPr>
          <w:p w14:paraId="10783A6F" w14:textId="77777777" w:rsidR="00C15C65" w:rsidRPr="002029AF" w:rsidRDefault="00C15C65" w:rsidP="005B58F0">
            <w:pPr>
              <w:pStyle w:val="ARtabletextright"/>
            </w:pPr>
            <w:r w:rsidRPr="002029AF">
              <w:t>97</w:t>
            </w:r>
          </w:p>
        </w:tc>
        <w:tc>
          <w:tcPr>
            <w:tcW w:w="1020" w:type="dxa"/>
            <w:tcBorders>
              <w:bottom w:val="single" w:sz="4" w:space="0" w:color="BFBFBF"/>
            </w:tcBorders>
            <w:shd w:val="clear" w:color="auto" w:fill="auto"/>
            <w:hideMark/>
          </w:tcPr>
          <w:p w14:paraId="6F667E0D" w14:textId="77777777" w:rsidR="00C15C65" w:rsidRPr="002029AF" w:rsidRDefault="00C15C65" w:rsidP="005B58F0">
            <w:pPr>
              <w:pStyle w:val="ARtabletextright"/>
            </w:pPr>
            <w:r w:rsidRPr="002029AF">
              <w:t>98.4</w:t>
            </w:r>
          </w:p>
        </w:tc>
        <w:tc>
          <w:tcPr>
            <w:tcW w:w="1022" w:type="dxa"/>
            <w:tcBorders>
              <w:bottom w:val="single" w:sz="4" w:space="0" w:color="BFBFBF"/>
            </w:tcBorders>
            <w:shd w:val="clear" w:color="auto" w:fill="auto"/>
          </w:tcPr>
          <w:p w14:paraId="49FEAEBC" w14:textId="77777777" w:rsidR="00C15C65" w:rsidRPr="002029AF" w:rsidRDefault="00C15C65" w:rsidP="005B58F0">
            <w:pPr>
              <w:pStyle w:val="ARtabletextright"/>
            </w:pPr>
            <w:r w:rsidRPr="002029AF">
              <w:t>1.4</w:t>
            </w:r>
          </w:p>
        </w:tc>
        <w:tc>
          <w:tcPr>
            <w:tcW w:w="796" w:type="dxa"/>
            <w:tcBorders>
              <w:bottom w:val="single" w:sz="4" w:space="0" w:color="BFBFBF"/>
            </w:tcBorders>
            <w:shd w:val="clear" w:color="auto" w:fill="auto"/>
            <w:hideMark/>
          </w:tcPr>
          <w:p w14:paraId="4A823F6F" w14:textId="77777777" w:rsidR="00C15C65" w:rsidRPr="002029AF" w:rsidRDefault="00C15C65" w:rsidP="00F768BF">
            <w:pPr>
              <w:pStyle w:val="ARtableperformancesymbol"/>
              <w:rPr>
                <w:rFonts w:hint="eastAsia"/>
                <w:lang w:val="en-AU"/>
              </w:rPr>
            </w:pPr>
            <w:r w:rsidRPr="002029AF">
              <w:rPr>
                <w:lang w:val="en-AU"/>
              </w:rPr>
              <w:t></w:t>
            </w:r>
          </w:p>
        </w:tc>
      </w:tr>
      <w:tr w:rsidR="00C15C65" w:rsidRPr="002029AF" w14:paraId="7B55BB30" w14:textId="77777777" w:rsidTr="00192EEE">
        <w:trPr>
          <w:gridAfter w:val="1"/>
          <w:wAfter w:w="6" w:type="dxa"/>
          <w:cantSplit/>
        </w:trPr>
        <w:tc>
          <w:tcPr>
            <w:tcW w:w="4756" w:type="dxa"/>
            <w:tcBorders>
              <w:top w:val="single" w:sz="4" w:space="0" w:color="BFBFBF"/>
            </w:tcBorders>
            <w:shd w:val="clear" w:color="auto" w:fill="auto"/>
            <w:hideMark/>
          </w:tcPr>
          <w:p w14:paraId="7DB2CE8A" w14:textId="50464AAC" w:rsidR="00C15C65" w:rsidRPr="002029AF" w:rsidRDefault="00C15C65" w:rsidP="00C40F5D">
            <w:pPr>
              <w:pStyle w:val="ARtabletext"/>
            </w:pPr>
            <w:r w:rsidRPr="002029AF">
              <w:t>Hand</w:t>
            </w:r>
            <w:r w:rsidR="000A5329" w:rsidRPr="002029AF">
              <w:t xml:space="preserve"> </w:t>
            </w:r>
            <w:r w:rsidRPr="002029AF">
              <w:t>hygiene</w:t>
            </w:r>
            <w:r w:rsidR="000A5329" w:rsidRPr="002029AF">
              <w:t xml:space="preserve"> </w:t>
            </w:r>
            <w:r w:rsidRPr="002029AF">
              <w:t>compliance</w:t>
            </w:r>
          </w:p>
        </w:tc>
        <w:tc>
          <w:tcPr>
            <w:tcW w:w="1019" w:type="dxa"/>
            <w:tcBorders>
              <w:top w:val="single" w:sz="4" w:space="0" w:color="BFBFBF"/>
            </w:tcBorders>
            <w:shd w:val="clear" w:color="auto" w:fill="auto"/>
            <w:hideMark/>
          </w:tcPr>
          <w:p w14:paraId="4FAA8935" w14:textId="57CFE383" w:rsidR="00C15C65" w:rsidRPr="002029AF" w:rsidRDefault="00C15C65" w:rsidP="00C40F5D">
            <w:pPr>
              <w:pStyle w:val="ARtabletext"/>
            </w:pPr>
            <w:r w:rsidRPr="002029AF">
              <w:t>per</w:t>
            </w:r>
            <w:r w:rsidR="000A5329" w:rsidRPr="002029AF">
              <w:t xml:space="preserve"> </w:t>
            </w:r>
            <w:r w:rsidRPr="002029AF">
              <w:t>cent</w:t>
            </w:r>
          </w:p>
        </w:tc>
        <w:tc>
          <w:tcPr>
            <w:tcW w:w="1020" w:type="dxa"/>
            <w:tcBorders>
              <w:top w:val="single" w:sz="4" w:space="0" w:color="BFBFBF"/>
            </w:tcBorders>
            <w:shd w:val="clear" w:color="auto" w:fill="auto"/>
            <w:hideMark/>
          </w:tcPr>
          <w:p w14:paraId="5C5E9796" w14:textId="77777777" w:rsidR="00C15C65" w:rsidRPr="002029AF" w:rsidRDefault="00C15C65" w:rsidP="005B58F0">
            <w:pPr>
              <w:pStyle w:val="ARtabletextright"/>
            </w:pPr>
            <w:r w:rsidRPr="002029AF">
              <w:t>85</w:t>
            </w:r>
          </w:p>
        </w:tc>
        <w:tc>
          <w:tcPr>
            <w:tcW w:w="1020" w:type="dxa"/>
            <w:tcBorders>
              <w:top w:val="single" w:sz="4" w:space="0" w:color="BFBFBF"/>
            </w:tcBorders>
            <w:shd w:val="clear" w:color="auto" w:fill="auto"/>
            <w:hideMark/>
          </w:tcPr>
          <w:p w14:paraId="33EA2D76" w14:textId="77777777" w:rsidR="00C15C65" w:rsidRPr="002029AF" w:rsidRDefault="00C15C65" w:rsidP="005B58F0">
            <w:pPr>
              <w:pStyle w:val="ARtabletextright"/>
            </w:pPr>
            <w:r w:rsidRPr="002029AF">
              <w:t>87.5</w:t>
            </w:r>
          </w:p>
        </w:tc>
        <w:tc>
          <w:tcPr>
            <w:tcW w:w="1022" w:type="dxa"/>
            <w:tcBorders>
              <w:top w:val="single" w:sz="4" w:space="0" w:color="BFBFBF"/>
            </w:tcBorders>
            <w:shd w:val="clear" w:color="auto" w:fill="auto"/>
          </w:tcPr>
          <w:p w14:paraId="39DEC4C9" w14:textId="77777777" w:rsidR="00C15C65" w:rsidRPr="002029AF" w:rsidRDefault="00C15C65" w:rsidP="005B58F0">
            <w:pPr>
              <w:pStyle w:val="ARtabletextright"/>
            </w:pPr>
            <w:r w:rsidRPr="002029AF">
              <w:t>2.9</w:t>
            </w:r>
          </w:p>
        </w:tc>
        <w:tc>
          <w:tcPr>
            <w:tcW w:w="796" w:type="dxa"/>
            <w:tcBorders>
              <w:top w:val="single" w:sz="4" w:space="0" w:color="BFBFBF"/>
            </w:tcBorders>
            <w:shd w:val="clear" w:color="auto" w:fill="auto"/>
            <w:hideMark/>
          </w:tcPr>
          <w:p w14:paraId="32302059" w14:textId="77777777" w:rsidR="00C15C65" w:rsidRPr="002029AF" w:rsidRDefault="00C15C65" w:rsidP="00F768BF">
            <w:pPr>
              <w:pStyle w:val="ARtableperformancesymbol"/>
              <w:rPr>
                <w:rFonts w:hint="eastAsia"/>
                <w:lang w:val="en-AU"/>
              </w:rPr>
            </w:pPr>
            <w:r w:rsidRPr="002029AF">
              <w:rPr>
                <w:lang w:val="en-AU"/>
              </w:rPr>
              <w:t></w:t>
            </w:r>
          </w:p>
        </w:tc>
      </w:tr>
      <w:tr w:rsidR="00C15C65" w:rsidRPr="002029AF" w14:paraId="16B5AA30" w14:textId="77777777" w:rsidTr="00192EEE">
        <w:trPr>
          <w:gridAfter w:val="1"/>
          <w:wAfter w:w="6" w:type="dxa"/>
          <w:cantSplit/>
        </w:trPr>
        <w:tc>
          <w:tcPr>
            <w:tcW w:w="9633" w:type="dxa"/>
            <w:gridSpan w:val="6"/>
            <w:tcBorders>
              <w:bottom w:val="single" w:sz="4" w:space="0" w:color="BFBFBF"/>
            </w:tcBorders>
            <w:shd w:val="clear" w:color="auto" w:fill="auto"/>
            <w:noWrap/>
            <w:hideMark/>
          </w:tcPr>
          <w:p w14:paraId="22FB1DDF" w14:textId="0F97CF14" w:rsidR="00C15C65" w:rsidRPr="002029AF" w:rsidRDefault="00C15C65" w:rsidP="002C5190">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in</w:t>
            </w:r>
            <w:r w:rsidR="000A5329" w:rsidRPr="002029AF">
              <w:t xml:space="preserve"> </w:t>
            </w:r>
            <w:r w:rsidRPr="002029AF">
              <w:t>late</w:t>
            </w:r>
            <w:r w:rsidR="000A5329" w:rsidRPr="002029AF">
              <w:t xml:space="preserve"> </w:t>
            </w:r>
            <w:r w:rsidRPr="002029AF">
              <w:t>2020.</w:t>
            </w:r>
          </w:p>
        </w:tc>
      </w:tr>
      <w:tr w:rsidR="00C15C65" w:rsidRPr="002029AF" w14:paraId="173ACEE5" w14:textId="77777777" w:rsidTr="00192EEE">
        <w:trPr>
          <w:gridAfter w:val="1"/>
          <w:wAfter w:w="6" w:type="dxa"/>
          <w:cantSplit/>
        </w:trPr>
        <w:tc>
          <w:tcPr>
            <w:tcW w:w="4756" w:type="dxa"/>
            <w:shd w:val="clear" w:color="auto" w:fill="auto"/>
            <w:hideMark/>
          </w:tcPr>
          <w:p w14:paraId="524EB36D" w14:textId="46D23B12" w:rsidR="00C15C65" w:rsidRPr="002029AF" w:rsidRDefault="00C15C65" w:rsidP="00C40F5D">
            <w:pPr>
              <w:pStyle w:val="ARtabletext"/>
            </w:pPr>
            <w:r w:rsidRPr="002029AF">
              <w:t>Healthcare</w:t>
            </w:r>
            <w:r w:rsidR="000A5329" w:rsidRPr="002029AF">
              <w:t xml:space="preserve"> </w:t>
            </w:r>
            <w:r w:rsidRPr="002029AF">
              <w:t>worker</w:t>
            </w:r>
            <w:r w:rsidR="000A5329" w:rsidRPr="002029AF">
              <w:t xml:space="preserve"> </w:t>
            </w:r>
            <w:r w:rsidRPr="002029AF">
              <w:t>immunisation</w:t>
            </w:r>
            <w:r w:rsidR="000A5329" w:rsidRPr="002029AF">
              <w:t xml:space="preserve"> </w:t>
            </w:r>
            <w:r w:rsidRPr="002029AF">
              <w:t>–</w:t>
            </w:r>
            <w:r w:rsidR="000A5329" w:rsidRPr="002029AF">
              <w:t xml:space="preserve"> </w:t>
            </w:r>
            <w:r w:rsidRPr="002029AF">
              <w:t>influenza</w:t>
            </w:r>
          </w:p>
        </w:tc>
        <w:tc>
          <w:tcPr>
            <w:tcW w:w="1019" w:type="dxa"/>
            <w:shd w:val="clear" w:color="auto" w:fill="auto"/>
            <w:hideMark/>
          </w:tcPr>
          <w:p w14:paraId="30463B15" w14:textId="15C6774A" w:rsidR="00C15C65" w:rsidRPr="002029AF" w:rsidRDefault="00C15C65" w:rsidP="00C40F5D">
            <w:pPr>
              <w:pStyle w:val="ARtabletext"/>
            </w:pPr>
            <w:r w:rsidRPr="002029AF">
              <w:t>per</w:t>
            </w:r>
            <w:r w:rsidR="000A5329" w:rsidRPr="002029AF">
              <w:t xml:space="preserve"> </w:t>
            </w:r>
            <w:r w:rsidRPr="002029AF">
              <w:t>cent</w:t>
            </w:r>
          </w:p>
        </w:tc>
        <w:tc>
          <w:tcPr>
            <w:tcW w:w="1020" w:type="dxa"/>
            <w:shd w:val="clear" w:color="auto" w:fill="auto"/>
            <w:hideMark/>
          </w:tcPr>
          <w:p w14:paraId="11557058" w14:textId="77777777" w:rsidR="00C15C65" w:rsidRPr="002029AF" w:rsidRDefault="00C15C65" w:rsidP="005B58F0">
            <w:pPr>
              <w:pStyle w:val="ARtabletextright"/>
            </w:pPr>
            <w:r w:rsidRPr="002029AF">
              <w:t>83</w:t>
            </w:r>
          </w:p>
        </w:tc>
        <w:tc>
          <w:tcPr>
            <w:tcW w:w="1020" w:type="dxa"/>
            <w:shd w:val="clear" w:color="auto" w:fill="auto"/>
            <w:hideMark/>
          </w:tcPr>
          <w:p w14:paraId="15C3A009" w14:textId="77777777" w:rsidR="00C15C65" w:rsidRPr="002029AF" w:rsidRDefault="00C15C65" w:rsidP="005B58F0">
            <w:pPr>
              <w:pStyle w:val="ARtabletextright"/>
            </w:pPr>
            <w:r w:rsidRPr="002029AF">
              <w:t>87.7</w:t>
            </w:r>
          </w:p>
        </w:tc>
        <w:tc>
          <w:tcPr>
            <w:tcW w:w="1022" w:type="dxa"/>
            <w:shd w:val="clear" w:color="auto" w:fill="auto"/>
          </w:tcPr>
          <w:p w14:paraId="0CDF385D" w14:textId="77777777" w:rsidR="00C15C65" w:rsidRPr="002029AF" w:rsidRDefault="00C15C65" w:rsidP="005B58F0">
            <w:pPr>
              <w:pStyle w:val="ARtabletextright"/>
            </w:pPr>
            <w:r w:rsidRPr="002029AF">
              <w:t>5.7</w:t>
            </w:r>
          </w:p>
        </w:tc>
        <w:tc>
          <w:tcPr>
            <w:tcW w:w="796" w:type="dxa"/>
            <w:shd w:val="clear" w:color="auto" w:fill="auto"/>
            <w:hideMark/>
          </w:tcPr>
          <w:p w14:paraId="6A81F903" w14:textId="77777777" w:rsidR="00C15C65" w:rsidRPr="002029AF" w:rsidRDefault="00C15C65" w:rsidP="00F768BF">
            <w:pPr>
              <w:pStyle w:val="ARtableperformancesymbol"/>
              <w:rPr>
                <w:rFonts w:hint="eastAsia"/>
                <w:lang w:val="en-AU"/>
              </w:rPr>
            </w:pPr>
            <w:r w:rsidRPr="002029AF">
              <w:rPr>
                <w:lang w:val="en-AU"/>
              </w:rPr>
              <w:t></w:t>
            </w:r>
          </w:p>
        </w:tc>
      </w:tr>
      <w:tr w:rsidR="00C15C65" w:rsidRPr="002029AF" w14:paraId="504B15D3" w14:textId="77777777" w:rsidTr="00192EEE">
        <w:trPr>
          <w:gridAfter w:val="1"/>
          <w:wAfter w:w="6" w:type="dxa"/>
          <w:cantSplit/>
        </w:trPr>
        <w:tc>
          <w:tcPr>
            <w:tcW w:w="9633" w:type="dxa"/>
            <w:gridSpan w:val="6"/>
            <w:tcBorders>
              <w:bottom w:val="single" w:sz="4" w:space="0" w:color="BFBFBF"/>
            </w:tcBorders>
            <w:shd w:val="clear" w:color="auto" w:fill="auto"/>
            <w:noWrap/>
            <w:hideMark/>
          </w:tcPr>
          <w:p w14:paraId="461FE2C2" w14:textId="28A9154A" w:rsidR="00C15C65" w:rsidRPr="002029AF" w:rsidRDefault="00C15C65" w:rsidP="002C5190">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higher</w:t>
            </w:r>
            <w:r w:rsidR="000A5329" w:rsidRPr="002029AF">
              <w:t xml:space="preserve"> </w:t>
            </w:r>
            <w:r w:rsidRPr="002029AF">
              <w:t>than</w:t>
            </w:r>
            <w:r w:rsidR="000A5329" w:rsidRPr="002029AF">
              <w:t xml:space="preserve"> </w:t>
            </w:r>
            <w:r w:rsidRPr="002029AF">
              <w:t>target</w:t>
            </w:r>
            <w:r w:rsidR="000A5329" w:rsidRPr="002029AF">
              <w:t xml:space="preserve"> </w:t>
            </w:r>
            <w:r w:rsidRPr="002029AF">
              <w:t>and</w:t>
            </w:r>
            <w:r w:rsidR="000A5329" w:rsidRPr="002029AF">
              <w:t xml:space="preserve"> </w:t>
            </w:r>
            <w:r w:rsidRPr="002029AF">
              <w:t>is</w:t>
            </w:r>
            <w:r w:rsidR="000A5329" w:rsidRPr="002029AF">
              <w:t xml:space="preserve"> </w:t>
            </w:r>
            <w:r w:rsidRPr="002029AF">
              <w:t>a</w:t>
            </w:r>
            <w:r w:rsidR="000A5329" w:rsidRPr="002029AF">
              <w:t xml:space="preserve"> </w:t>
            </w:r>
            <w:r w:rsidRPr="002029AF">
              <w:t>positive</w:t>
            </w:r>
            <w:r w:rsidR="000A5329" w:rsidRPr="002029AF">
              <w:t xml:space="preserve"> </w:t>
            </w:r>
            <w:r w:rsidRPr="002029AF">
              <w:t>result.</w:t>
            </w:r>
          </w:p>
        </w:tc>
      </w:tr>
      <w:tr w:rsidR="00C15C65" w:rsidRPr="002029AF" w14:paraId="6A378421" w14:textId="77777777" w:rsidTr="00192EEE">
        <w:trPr>
          <w:gridAfter w:val="1"/>
          <w:wAfter w:w="6" w:type="dxa"/>
          <w:cantSplit/>
        </w:trPr>
        <w:tc>
          <w:tcPr>
            <w:tcW w:w="4756" w:type="dxa"/>
            <w:shd w:val="clear" w:color="auto" w:fill="auto"/>
            <w:hideMark/>
          </w:tcPr>
          <w:p w14:paraId="6B912853" w14:textId="181C5228" w:rsidR="00C15C65" w:rsidRPr="002029AF" w:rsidRDefault="00C15C65" w:rsidP="002C5190">
            <w:pPr>
              <w:pStyle w:val="ARtabletext"/>
              <w:keepNext/>
            </w:pPr>
            <w:r w:rsidRPr="002029AF">
              <w:t>Intensive</w:t>
            </w:r>
            <w:r w:rsidR="000A5329" w:rsidRPr="002029AF">
              <w:t xml:space="preserve"> </w:t>
            </w:r>
            <w:r w:rsidRPr="002029AF">
              <w:t>Care</w:t>
            </w:r>
            <w:r w:rsidR="000A5329" w:rsidRPr="002029AF">
              <w:t xml:space="preserve"> </w:t>
            </w:r>
            <w:r w:rsidRPr="002029AF">
              <w:t>Unit</w:t>
            </w:r>
            <w:r w:rsidR="000A5329" w:rsidRPr="002029AF">
              <w:t xml:space="preserve"> </w:t>
            </w:r>
            <w:r w:rsidRPr="002029AF">
              <w:t>central</w:t>
            </w:r>
            <w:r w:rsidR="000A5329" w:rsidRPr="002029AF">
              <w:t xml:space="preserve"> </w:t>
            </w:r>
            <w:r w:rsidRPr="002029AF">
              <w:t>line</w:t>
            </w:r>
            <w:r w:rsidR="000A5329" w:rsidRPr="002029AF">
              <w:t xml:space="preserve"> </w:t>
            </w:r>
            <w:r w:rsidRPr="002029AF">
              <w:t>associated</w:t>
            </w:r>
            <w:r w:rsidR="000A5329" w:rsidRPr="002029AF">
              <w:t xml:space="preserve"> </w:t>
            </w:r>
            <w:r w:rsidRPr="002029AF">
              <w:t>blood</w:t>
            </w:r>
            <w:r w:rsidR="000A5329" w:rsidRPr="002029AF">
              <w:t xml:space="preserve"> </w:t>
            </w:r>
            <w:r w:rsidRPr="002029AF">
              <w:t>stream</w:t>
            </w:r>
            <w:r w:rsidR="000A5329" w:rsidRPr="002029AF">
              <w:t xml:space="preserve"> </w:t>
            </w:r>
            <w:r w:rsidRPr="002029AF">
              <w:t>infections</w:t>
            </w:r>
            <w:r w:rsidR="000A5329" w:rsidRPr="002029AF">
              <w:t xml:space="preserve"> </w:t>
            </w:r>
            <w:r w:rsidRPr="002029AF">
              <w:t>(CLABSI)</w:t>
            </w:r>
            <w:r w:rsidR="000A5329" w:rsidRPr="002029AF">
              <w:t xml:space="preserve"> </w:t>
            </w:r>
            <w:r w:rsidRPr="002029AF">
              <w:t>per</w:t>
            </w:r>
            <w:r w:rsidR="000A5329" w:rsidRPr="002029AF">
              <w:t xml:space="preserve"> </w:t>
            </w:r>
            <w:r w:rsidRPr="002029AF">
              <w:t>1000</w:t>
            </w:r>
            <w:r w:rsidR="000A5329" w:rsidRPr="002029AF">
              <w:t xml:space="preserve"> </w:t>
            </w:r>
            <w:r w:rsidRPr="002029AF">
              <w:t>device</w:t>
            </w:r>
            <w:r w:rsidR="000A5329" w:rsidRPr="002029AF">
              <w:t xml:space="preserve"> </w:t>
            </w:r>
            <w:r w:rsidRPr="002029AF">
              <w:t>days</w:t>
            </w:r>
          </w:p>
        </w:tc>
        <w:tc>
          <w:tcPr>
            <w:tcW w:w="1019" w:type="dxa"/>
            <w:shd w:val="clear" w:color="auto" w:fill="auto"/>
            <w:hideMark/>
          </w:tcPr>
          <w:p w14:paraId="3AC4EED7" w14:textId="77777777" w:rsidR="00C15C65" w:rsidRPr="002029AF" w:rsidRDefault="00C15C65" w:rsidP="00C40F5D">
            <w:pPr>
              <w:pStyle w:val="ARtabletext"/>
            </w:pPr>
            <w:r w:rsidRPr="002029AF">
              <w:t>rate</w:t>
            </w:r>
          </w:p>
        </w:tc>
        <w:tc>
          <w:tcPr>
            <w:tcW w:w="1020" w:type="dxa"/>
            <w:shd w:val="clear" w:color="auto" w:fill="auto"/>
            <w:hideMark/>
          </w:tcPr>
          <w:p w14:paraId="300B7D28" w14:textId="77777777" w:rsidR="00C15C65" w:rsidRPr="002029AF" w:rsidRDefault="00C15C65" w:rsidP="005B58F0">
            <w:pPr>
              <w:pStyle w:val="ARtabletextright"/>
            </w:pPr>
            <w:r w:rsidRPr="002029AF">
              <w:t>0</w:t>
            </w:r>
          </w:p>
        </w:tc>
        <w:tc>
          <w:tcPr>
            <w:tcW w:w="1020" w:type="dxa"/>
            <w:shd w:val="clear" w:color="auto" w:fill="auto"/>
            <w:hideMark/>
          </w:tcPr>
          <w:p w14:paraId="43CD3335" w14:textId="77777777" w:rsidR="00C15C65" w:rsidRPr="002029AF" w:rsidRDefault="00C15C65" w:rsidP="005B58F0">
            <w:pPr>
              <w:pStyle w:val="ARtabletextright"/>
            </w:pPr>
            <w:r w:rsidRPr="002029AF">
              <w:t>0.8</w:t>
            </w:r>
          </w:p>
        </w:tc>
        <w:tc>
          <w:tcPr>
            <w:tcW w:w="1022" w:type="dxa"/>
            <w:shd w:val="clear" w:color="auto" w:fill="auto"/>
          </w:tcPr>
          <w:p w14:paraId="323263A1" w14:textId="77777777" w:rsidR="00C15C65" w:rsidRPr="002029AF" w:rsidRDefault="00C15C65" w:rsidP="005B58F0">
            <w:pPr>
              <w:pStyle w:val="ARtabletextright"/>
            </w:pPr>
            <w:r w:rsidRPr="002029AF">
              <w:t>N/A</w:t>
            </w:r>
          </w:p>
        </w:tc>
        <w:tc>
          <w:tcPr>
            <w:tcW w:w="796" w:type="dxa"/>
            <w:shd w:val="clear" w:color="auto" w:fill="auto"/>
            <w:hideMark/>
          </w:tcPr>
          <w:p w14:paraId="5224D621" w14:textId="77777777" w:rsidR="00C15C65" w:rsidRPr="002029AF" w:rsidRDefault="00C15C65" w:rsidP="00F768BF">
            <w:pPr>
              <w:pStyle w:val="ARtableperformancesymbol"/>
              <w:rPr>
                <w:rFonts w:hint="eastAsia"/>
                <w:lang w:val="en-AU"/>
              </w:rPr>
            </w:pPr>
            <w:r w:rsidRPr="002029AF">
              <w:rPr>
                <w:lang w:val="en-AU"/>
              </w:rPr>
              <w:t></w:t>
            </w:r>
          </w:p>
        </w:tc>
      </w:tr>
      <w:tr w:rsidR="00C15C65" w:rsidRPr="002029AF" w14:paraId="7875D8A2" w14:textId="77777777" w:rsidTr="00192EEE">
        <w:trPr>
          <w:gridAfter w:val="1"/>
          <w:wAfter w:w="6" w:type="dxa"/>
          <w:cantSplit/>
        </w:trPr>
        <w:tc>
          <w:tcPr>
            <w:tcW w:w="9633" w:type="dxa"/>
            <w:gridSpan w:val="6"/>
            <w:tcBorders>
              <w:bottom w:val="single" w:sz="4" w:space="0" w:color="BFBFBF"/>
            </w:tcBorders>
            <w:shd w:val="clear" w:color="auto" w:fill="auto"/>
            <w:noWrap/>
            <w:hideMark/>
          </w:tcPr>
          <w:p w14:paraId="6ED4E584" w14:textId="633A72A9" w:rsidR="00C15C65" w:rsidRPr="002029AF" w:rsidRDefault="00C15C65" w:rsidP="00251E7B">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w:t>
            </w:r>
            <w:r w:rsidR="000A5329" w:rsidRPr="002029AF">
              <w:t xml:space="preserve"> </w:t>
            </w:r>
            <w:r w:rsidRPr="002029AF">
              <w:t>of</w:t>
            </w:r>
            <w:r w:rsidR="000A5329" w:rsidRPr="002029AF">
              <w:t xml:space="preserve"> </w:t>
            </w:r>
            <w:r w:rsidRPr="002029AF">
              <w:t>year</w:t>
            </w:r>
            <w:r w:rsidR="000A5329" w:rsidRPr="002029AF">
              <w:t xml:space="preserve"> </w:t>
            </w:r>
            <w:r w:rsidRPr="002029AF">
              <w:t>result</w:t>
            </w:r>
            <w:r w:rsidR="000A5329" w:rsidRPr="002029AF">
              <w:t xml:space="preserve"> </w:t>
            </w:r>
            <w:r w:rsidRPr="002029AF">
              <w:t>is</w:t>
            </w:r>
            <w:r w:rsidR="000A5329" w:rsidRPr="002029AF">
              <w:t xml:space="preserve"> </w:t>
            </w:r>
            <w:r w:rsidRPr="002029AF">
              <w:t>not</w:t>
            </w:r>
            <w:r w:rsidR="000A5329" w:rsidRPr="002029AF">
              <w:t xml:space="preserve"> </w:t>
            </w:r>
            <w:r w:rsidRPr="002029AF">
              <w:t>available</w:t>
            </w:r>
            <w:r w:rsidR="000A5329" w:rsidRPr="002029AF">
              <w:t xml:space="preserve"> </w:t>
            </w:r>
            <w:r w:rsidRPr="002029AF">
              <w:t>for</w:t>
            </w:r>
            <w:r w:rsidR="000A5329" w:rsidRPr="002029AF">
              <w:t xml:space="preserve"> </w:t>
            </w:r>
            <w:r w:rsidRPr="002029AF">
              <w:t>201</w:t>
            </w:r>
            <w:r w:rsidR="00DB53E6" w:rsidRPr="002029AF">
              <w:t>9–</w:t>
            </w:r>
            <w:r w:rsidRPr="002029AF">
              <w:t>20.</w:t>
            </w:r>
            <w:r w:rsidR="000A5329" w:rsidRPr="002029AF">
              <w:t xml:space="preserve"> </w:t>
            </w:r>
            <w:r w:rsidRPr="002029AF">
              <w:t>While</w:t>
            </w:r>
            <w:r w:rsidR="000A5329" w:rsidRPr="002029AF">
              <w:t xml:space="preserve"> </w:t>
            </w:r>
            <w:r w:rsidRPr="002029AF">
              <w:t>infection</w:t>
            </w:r>
            <w:r w:rsidR="000A5329" w:rsidRPr="002029AF">
              <w:t xml:space="preserve"> </w:t>
            </w:r>
            <w:r w:rsidRPr="002029AF">
              <w:t>rates</w:t>
            </w:r>
            <w:r w:rsidR="000A5329" w:rsidRPr="002029AF">
              <w:t xml:space="preserve"> </w:t>
            </w:r>
            <w:r w:rsidRPr="002029AF">
              <w:t>remain</w:t>
            </w:r>
            <w:r w:rsidR="000A5329" w:rsidRPr="002029AF">
              <w:t xml:space="preserve"> </w:t>
            </w:r>
            <w:r w:rsidRPr="002029AF">
              <w:t>a</w:t>
            </w:r>
            <w:r w:rsidR="000A5329" w:rsidRPr="002029AF">
              <w:t xml:space="preserve"> </w:t>
            </w:r>
            <w:r w:rsidRPr="002029AF">
              <w:t>key</w:t>
            </w:r>
            <w:r w:rsidR="000A5329" w:rsidRPr="002029AF">
              <w:t xml:space="preserve"> </w:t>
            </w:r>
            <w:r w:rsidRPr="002029AF">
              <w:t>focus</w:t>
            </w:r>
            <w:r w:rsidR="000A5329" w:rsidRPr="002029AF">
              <w:t xml:space="preserve"> </w:t>
            </w:r>
            <w:r w:rsidRPr="002029AF">
              <w:t>of</w:t>
            </w:r>
            <w:r w:rsidR="000A5329" w:rsidRPr="002029AF">
              <w:t xml:space="preserve"> </w:t>
            </w:r>
            <w:r w:rsidRPr="002029AF">
              <w:t>Victorian</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the</w:t>
            </w:r>
            <w:r w:rsidR="000A5329" w:rsidRPr="002029AF">
              <w:t xml:space="preserve"> </w:t>
            </w:r>
            <w:r w:rsidRPr="002029AF">
              <w:t>requirement</w:t>
            </w:r>
            <w:r w:rsidR="000A5329" w:rsidRPr="002029AF">
              <w:t xml:space="preserve"> </w:t>
            </w:r>
            <w:r w:rsidRPr="002029AF">
              <w:t>to</w:t>
            </w:r>
            <w:r w:rsidR="000A5329" w:rsidRPr="002029AF">
              <w:t xml:space="preserve"> </w:t>
            </w:r>
            <w:r w:rsidRPr="002029AF">
              <w:t>report</w:t>
            </w:r>
            <w:r w:rsidR="000A5329" w:rsidRPr="002029AF">
              <w:t xml:space="preserve"> </w:t>
            </w:r>
            <w:r w:rsidRPr="002029AF">
              <w:t>this</w:t>
            </w:r>
            <w:r w:rsidR="000A5329" w:rsidRPr="002029AF">
              <w:t xml:space="preserve"> </w:t>
            </w:r>
            <w:r w:rsidRPr="005432DB">
              <w:t>measure</w:t>
            </w:r>
            <w:r w:rsidR="000A5329" w:rsidRPr="005432DB">
              <w:t xml:space="preserve"> </w:t>
            </w:r>
            <w:r w:rsidRPr="005432DB">
              <w:t>has</w:t>
            </w:r>
            <w:r w:rsidR="000A5329" w:rsidRPr="005432DB">
              <w:t xml:space="preserve"> </w:t>
            </w:r>
            <w:r w:rsidRPr="005432DB">
              <w:t>been</w:t>
            </w:r>
            <w:r w:rsidR="000A5329" w:rsidRPr="005432DB">
              <w:t xml:space="preserve"> </w:t>
            </w:r>
            <w:r w:rsidRPr="005432DB">
              <w:t>paused</w:t>
            </w:r>
            <w:r w:rsidR="000A5329" w:rsidRPr="00FB1957">
              <w:t xml:space="preserve"> </w:t>
            </w:r>
            <w:r w:rsidRPr="00FB1957">
              <w:t>from</w:t>
            </w:r>
            <w:r w:rsidR="000A5329" w:rsidRPr="00FB1957">
              <w:t xml:space="preserve"> </w:t>
            </w:r>
            <w:r w:rsidRPr="002029AF">
              <w:t>1</w:t>
            </w:r>
            <w:r w:rsidR="000A5329" w:rsidRPr="002029AF">
              <w:t xml:space="preserve"> </w:t>
            </w:r>
            <w:r w:rsidRPr="002029AF">
              <w:t>April</w:t>
            </w:r>
            <w:r w:rsidR="000A5329" w:rsidRPr="002029AF">
              <w:t xml:space="preserve"> </w:t>
            </w:r>
            <w:r w:rsidRPr="002029AF">
              <w:t>2020</w:t>
            </w:r>
            <w:r w:rsidR="000A5329" w:rsidRPr="002029AF">
              <w:t xml:space="preserve"> </w:t>
            </w:r>
            <w:r w:rsidRPr="002029AF">
              <w:t>to</w:t>
            </w:r>
            <w:r w:rsidR="000A5329" w:rsidRPr="002029AF">
              <w:t xml:space="preserve"> </w:t>
            </w:r>
            <w:r w:rsidRPr="002029AF">
              <w:t>allow</w:t>
            </w:r>
            <w:r w:rsidR="000A5329" w:rsidRPr="002029AF">
              <w:t xml:space="preserve"> </w:t>
            </w:r>
            <w:r w:rsidRPr="002029AF">
              <w:t>health</w:t>
            </w:r>
            <w:r w:rsidR="000A5329" w:rsidRPr="002029AF">
              <w:t xml:space="preserve"> </w:t>
            </w:r>
            <w:r w:rsidRPr="002029AF">
              <w:t>service</w:t>
            </w:r>
            <w:r w:rsidR="000A5329" w:rsidRPr="002029AF">
              <w:t xml:space="preserve"> </w:t>
            </w:r>
            <w:r w:rsidRPr="002029AF">
              <w:t>staff</w:t>
            </w:r>
            <w:r w:rsidR="000A5329" w:rsidRPr="002029AF">
              <w:t xml:space="preserve"> </w:t>
            </w:r>
            <w:r w:rsidRPr="002029AF">
              <w:t>to</w:t>
            </w:r>
            <w:r w:rsidR="000A5329" w:rsidRPr="002029AF">
              <w:t xml:space="preserve"> </w:t>
            </w:r>
            <w:r w:rsidRPr="002029AF">
              <w:t>focus</w:t>
            </w:r>
            <w:r w:rsidR="000A5329" w:rsidRPr="002029AF">
              <w:t xml:space="preserve"> </w:t>
            </w:r>
            <w:r w:rsidRPr="002029AF">
              <w:t>on</w:t>
            </w:r>
            <w:r w:rsidR="000A5329" w:rsidRPr="002029AF">
              <w:t xml:space="preserve"> </w:t>
            </w:r>
            <w:r w:rsidRPr="002029AF">
              <w:t>care</w:t>
            </w:r>
            <w:r w:rsidR="000A5329" w:rsidRPr="002029AF">
              <w:t xml:space="preserve"> </w:t>
            </w:r>
            <w:r w:rsidRPr="002029AF">
              <w:t>delivery.</w:t>
            </w:r>
          </w:p>
        </w:tc>
      </w:tr>
      <w:tr w:rsidR="00C15C65" w:rsidRPr="002029AF" w14:paraId="10AF3A04" w14:textId="77777777" w:rsidTr="00192EEE">
        <w:trPr>
          <w:gridAfter w:val="1"/>
          <w:wAfter w:w="6" w:type="dxa"/>
          <w:cantSplit/>
        </w:trPr>
        <w:tc>
          <w:tcPr>
            <w:tcW w:w="4756" w:type="dxa"/>
            <w:shd w:val="clear" w:color="auto" w:fill="auto"/>
            <w:hideMark/>
          </w:tcPr>
          <w:p w14:paraId="5C04BD67" w14:textId="1766DCB4" w:rsidR="00C15C65" w:rsidRPr="002029AF" w:rsidRDefault="00C15C65" w:rsidP="00C40F5D">
            <w:pPr>
              <w:pStyle w:val="ARtabletext"/>
            </w:pPr>
            <w:r w:rsidRPr="002029AF">
              <w:t>Major</w:t>
            </w:r>
            <w:r w:rsidR="000A5329" w:rsidRPr="002029AF">
              <w:t xml:space="preserve"> </w:t>
            </w:r>
            <w:r w:rsidRPr="002029AF">
              <w:t>trauma</w:t>
            </w:r>
            <w:r w:rsidR="000A5329" w:rsidRPr="002029AF">
              <w:t xml:space="preserve"> </w:t>
            </w:r>
            <w:r w:rsidRPr="002029AF">
              <w:t>patients</w:t>
            </w:r>
            <w:r w:rsidR="000A5329" w:rsidRPr="002029AF">
              <w:t xml:space="preserve"> </w:t>
            </w:r>
            <w:r w:rsidRPr="002029AF">
              <w:t>transferred</w:t>
            </w:r>
            <w:r w:rsidR="000A5329" w:rsidRPr="002029AF">
              <w:t xml:space="preserve"> </w:t>
            </w:r>
            <w:r w:rsidRPr="002029AF">
              <w:t>to</w:t>
            </w:r>
            <w:r w:rsidR="000A5329" w:rsidRPr="002029AF">
              <w:t xml:space="preserve"> </w:t>
            </w:r>
            <w:r w:rsidRPr="002029AF">
              <w:t>a</w:t>
            </w:r>
            <w:r w:rsidR="000A5329" w:rsidRPr="002029AF">
              <w:t xml:space="preserve"> </w:t>
            </w:r>
            <w:r w:rsidRPr="002029AF">
              <w:t>major</w:t>
            </w:r>
            <w:r w:rsidR="000A5329" w:rsidRPr="002029AF">
              <w:t xml:space="preserve"> </w:t>
            </w:r>
            <w:r w:rsidRPr="002029AF">
              <w:t>trauma</w:t>
            </w:r>
            <w:r w:rsidR="000A5329" w:rsidRPr="002029AF">
              <w:t xml:space="preserve"> </w:t>
            </w:r>
            <w:r w:rsidRPr="002029AF">
              <w:t>service</w:t>
            </w:r>
          </w:p>
        </w:tc>
        <w:tc>
          <w:tcPr>
            <w:tcW w:w="1019" w:type="dxa"/>
            <w:shd w:val="clear" w:color="auto" w:fill="auto"/>
            <w:hideMark/>
          </w:tcPr>
          <w:p w14:paraId="3CE310AE" w14:textId="549E1CA9" w:rsidR="00C15C65" w:rsidRPr="002029AF" w:rsidRDefault="00C15C65" w:rsidP="00C40F5D">
            <w:pPr>
              <w:pStyle w:val="ARtabletext"/>
            </w:pPr>
            <w:r w:rsidRPr="002029AF">
              <w:t>per</w:t>
            </w:r>
            <w:r w:rsidR="000A5329" w:rsidRPr="002029AF">
              <w:t xml:space="preserve"> </w:t>
            </w:r>
            <w:r w:rsidRPr="002029AF">
              <w:t>cent</w:t>
            </w:r>
          </w:p>
        </w:tc>
        <w:tc>
          <w:tcPr>
            <w:tcW w:w="1020" w:type="dxa"/>
            <w:shd w:val="clear" w:color="auto" w:fill="auto"/>
            <w:hideMark/>
          </w:tcPr>
          <w:p w14:paraId="6E03AB24" w14:textId="77777777" w:rsidR="00C15C65" w:rsidRPr="002029AF" w:rsidRDefault="00C15C65" w:rsidP="005B58F0">
            <w:pPr>
              <w:pStyle w:val="ARtabletextright"/>
            </w:pPr>
            <w:r w:rsidRPr="002029AF">
              <w:t>85</w:t>
            </w:r>
          </w:p>
        </w:tc>
        <w:tc>
          <w:tcPr>
            <w:tcW w:w="1020" w:type="dxa"/>
            <w:shd w:val="clear" w:color="auto" w:fill="auto"/>
            <w:hideMark/>
          </w:tcPr>
          <w:p w14:paraId="1DC96C4E" w14:textId="77777777" w:rsidR="00C15C65" w:rsidRPr="002029AF" w:rsidRDefault="00C15C65" w:rsidP="005B58F0">
            <w:pPr>
              <w:pStyle w:val="ARtabletextright"/>
            </w:pPr>
            <w:r w:rsidRPr="002029AF">
              <w:t>91.2</w:t>
            </w:r>
          </w:p>
        </w:tc>
        <w:tc>
          <w:tcPr>
            <w:tcW w:w="1022" w:type="dxa"/>
            <w:shd w:val="clear" w:color="auto" w:fill="auto"/>
          </w:tcPr>
          <w:p w14:paraId="534CB949" w14:textId="77777777" w:rsidR="00C15C65" w:rsidRPr="002029AF" w:rsidRDefault="00C15C65" w:rsidP="005B58F0">
            <w:pPr>
              <w:pStyle w:val="ARtabletextright"/>
            </w:pPr>
            <w:r w:rsidRPr="002029AF">
              <w:t>7.3</w:t>
            </w:r>
          </w:p>
        </w:tc>
        <w:tc>
          <w:tcPr>
            <w:tcW w:w="796" w:type="dxa"/>
            <w:shd w:val="clear" w:color="auto" w:fill="auto"/>
            <w:hideMark/>
          </w:tcPr>
          <w:p w14:paraId="416D1444" w14:textId="77777777" w:rsidR="00C15C65" w:rsidRPr="002029AF" w:rsidRDefault="00C15C65" w:rsidP="00F768BF">
            <w:pPr>
              <w:pStyle w:val="ARtableperformancesymbol"/>
              <w:rPr>
                <w:rFonts w:hint="eastAsia"/>
                <w:lang w:val="en-AU"/>
              </w:rPr>
            </w:pPr>
            <w:r w:rsidRPr="002029AF">
              <w:rPr>
                <w:lang w:val="en-AU"/>
              </w:rPr>
              <w:t></w:t>
            </w:r>
          </w:p>
        </w:tc>
      </w:tr>
      <w:tr w:rsidR="00C15C65" w:rsidRPr="002029AF" w14:paraId="25CD80F9" w14:textId="77777777" w:rsidTr="00192EEE">
        <w:trPr>
          <w:gridAfter w:val="1"/>
          <w:wAfter w:w="6" w:type="dxa"/>
          <w:cantSplit/>
        </w:trPr>
        <w:tc>
          <w:tcPr>
            <w:tcW w:w="9633" w:type="dxa"/>
            <w:gridSpan w:val="6"/>
            <w:tcBorders>
              <w:bottom w:val="single" w:sz="4" w:space="0" w:color="BFBFBF"/>
            </w:tcBorders>
            <w:shd w:val="clear" w:color="auto" w:fill="auto"/>
            <w:noWrap/>
            <w:hideMark/>
          </w:tcPr>
          <w:p w14:paraId="2D515F9B" w14:textId="78C8C205" w:rsidR="00C15C65" w:rsidRPr="002029AF" w:rsidRDefault="00C15C65" w:rsidP="00251E7B">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in</w:t>
            </w:r>
            <w:r w:rsidR="000A5329" w:rsidRPr="002029AF">
              <w:t xml:space="preserve"> </w:t>
            </w:r>
            <w:r w:rsidRPr="002029AF">
              <w:t>late</w:t>
            </w:r>
            <w:r w:rsidR="000A5329" w:rsidRPr="002029AF">
              <w:t xml:space="preserve"> </w:t>
            </w:r>
            <w:r w:rsidRPr="002029AF">
              <w:t>2020.</w:t>
            </w:r>
            <w:r w:rsidR="000A5329" w:rsidRPr="002029AF">
              <w:t xml:space="preserve"> </w:t>
            </w: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changes</w:t>
            </w:r>
            <w:r w:rsidR="000A5329" w:rsidRPr="002029AF">
              <w:t xml:space="preserve"> </w:t>
            </w:r>
            <w:r w:rsidRPr="002029AF">
              <w:t>in</w:t>
            </w:r>
            <w:r w:rsidR="000A5329" w:rsidRPr="002029AF">
              <w:t xml:space="preserve"> </w:t>
            </w:r>
            <w:r w:rsidRPr="002029AF">
              <w:t>demand</w:t>
            </w:r>
            <w:r w:rsidR="000A5329" w:rsidRPr="002029AF">
              <w:t xml:space="preserve"> </w:t>
            </w:r>
            <w:r w:rsidRPr="002029AF">
              <w:t>caused</w:t>
            </w:r>
            <w:r w:rsidR="000A5329" w:rsidRPr="002029AF">
              <w:t xml:space="preserve"> </w:t>
            </w:r>
            <w:r w:rsidRPr="002029AF">
              <w:t>by</w:t>
            </w:r>
            <w:r w:rsidR="000A5329" w:rsidRPr="002029AF">
              <w:t xml:space="preserve"> </w:t>
            </w:r>
            <w:r w:rsidRPr="002029AF">
              <w:t>restrictions</w:t>
            </w:r>
            <w:r w:rsidR="000A5329" w:rsidRPr="002029AF">
              <w:t xml:space="preserve"> </w:t>
            </w:r>
            <w:r w:rsidRPr="002029AF">
              <w:t>imposed</w:t>
            </w:r>
            <w:r w:rsidR="000A5329" w:rsidRPr="002029AF">
              <w:t xml:space="preserve"> </w:t>
            </w:r>
            <w:r w:rsidRPr="002029AF">
              <w:t>due</w:t>
            </w:r>
            <w:r w:rsidR="000A5329" w:rsidRPr="002029AF">
              <w:t xml:space="preserve"> </w:t>
            </w:r>
            <w:r w:rsidRPr="002029AF">
              <w:t>to</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This</w:t>
            </w:r>
            <w:r w:rsidR="000A5329" w:rsidRPr="002029AF">
              <w:t xml:space="preserve"> </w:t>
            </w:r>
            <w:r w:rsidRPr="002029AF">
              <w:t>is</w:t>
            </w:r>
            <w:r w:rsidR="000A5329" w:rsidRPr="002029AF">
              <w:t xml:space="preserve"> </w:t>
            </w:r>
            <w:r w:rsidRPr="002029AF">
              <w:t>a</w:t>
            </w:r>
            <w:r w:rsidR="000A5329" w:rsidRPr="002029AF">
              <w:t xml:space="preserve"> </w:t>
            </w:r>
            <w:r w:rsidRPr="002029AF">
              <w:t>positive</w:t>
            </w:r>
            <w:r w:rsidR="000A5329" w:rsidRPr="002029AF">
              <w:t xml:space="preserve"> </w:t>
            </w:r>
            <w:r w:rsidRPr="002029AF">
              <w:t>result.</w:t>
            </w:r>
          </w:p>
        </w:tc>
      </w:tr>
      <w:tr w:rsidR="00C15C65" w:rsidRPr="002029AF" w14:paraId="44525C49" w14:textId="77777777" w:rsidTr="00192EEE">
        <w:trPr>
          <w:gridAfter w:val="1"/>
          <w:wAfter w:w="6" w:type="dxa"/>
          <w:cantSplit/>
        </w:trPr>
        <w:tc>
          <w:tcPr>
            <w:tcW w:w="4756" w:type="dxa"/>
            <w:shd w:val="clear" w:color="auto" w:fill="auto"/>
            <w:hideMark/>
          </w:tcPr>
          <w:p w14:paraId="57D984C1" w14:textId="7C143EAB" w:rsidR="00C15C65" w:rsidRPr="002029AF" w:rsidRDefault="00C15C65" w:rsidP="00C40F5D">
            <w:pPr>
              <w:pStyle w:val="ARtabletext"/>
            </w:pPr>
            <w:r w:rsidRPr="002029AF">
              <w:t>Percentage</w:t>
            </w:r>
            <w:r w:rsidR="000A5329" w:rsidRPr="002029AF">
              <w:t xml:space="preserve"> </w:t>
            </w:r>
            <w:r w:rsidRPr="002029AF">
              <w:t>of</w:t>
            </w:r>
            <w:r w:rsidR="000A5329" w:rsidRPr="002029AF">
              <w:t xml:space="preserve"> </w:t>
            </w:r>
            <w:r w:rsidRPr="002029AF">
              <w:t>patients</w:t>
            </w:r>
            <w:r w:rsidR="000A5329" w:rsidRPr="002029AF">
              <w:t xml:space="preserve"> </w:t>
            </w:r>
            <w:r w:rsidRPr="002029AF">
              <w:t>who</w:t>
            </w:r>
            <w:r w:rsidR="000A5329" w:rsidRPr="002029AF">
              <w:t xml:space="preserve"> </w:t>
            </w:r>
            <w:r w:rsidRPr="002029AF">
              <w:t>reported</w:t>
            </w:r>
            <w:r w:rsidR="000A5329" w:rsidRPr="002029AF">
              <w:t xml:space="preserve"> </w:t>
            </w:r>
            <w:r w:rsidRPr="002029AF">
              <w:t>positive</w:t>
            </w:r>
            <w:r w:rsidR="000A5329" w:rsidRPr="002029AF">
              <w:t xml:space="preserve"> </w:t>
            </w:r>
            <w:r w:rsidRPr="002029AF">
              <w:t>experiences</w:t>
            </w:r>
            <w:r w:rsidR="000A5329" w:rsidRPr="002029AF">
              <w:t xml:space="preserve"> </w:t>
            </w:r>
            <w:r w:rsidRPr="002029AF">
              <w:t>of</w:t>
            </w:r>
            <w:r w:rsidR="000A5329" w:rsidRPr="002029AF">
              <w:t xml:space="preserve"> </w:t>
            </w:r>
            <w:r w:rsidRPr="002029AF">
              <w:t>their</w:t>
            </w:r>
            <w:r w:rsidR="000A5329" w:rsidRPr="002029AF">
              <w:t xml:space="preserve"> </w:t>
            </w:r>
            <w:r w:rsidRPr="002029AF">
              <w:t>hospital</w:t>
            </w:r>
            <w:r w:rsidR="000A5329" w:rsidRPr="002029AF">
              <w:t xml:space="preserve"> </w:t>
            </w:r>
            <w:r w:rsidRPr="002029AF">
              <w:t>stay</w:t>
            </w:r>
          </w:p>
        </w:tc>
        <w:tc>
          <w:tcPr>
            <w:tcW w:w="1019" w:type="dxa"/>
            <w:shd w:val="clear" w:color="auto" w:fill="auto"/>
            <w:hideMark/>
          </w:tcPr>
          <w:p w14:paraId="4EC6D813" w14:textId="5269BD09" w:rsidR="00C15C65" w:rsidRPr="002029AF" w:rsidRDefault="00C15C65" w:rsidP="00C40F5D">
            <w:pPr>
              <w:pStyle w:val="ARtabletext"/>
            </w:pPr>
            <w:r w:rsidRPr="002029AF">
              <w:t>per</w:t>
            </w:r>
            <w:r w:rsidR="000A5329" w:rsidRPr="002029AF">
              <w:t xml:space="preserve"> </w:t>
            </w:r>
            <w:r w:rsidRPr="002029AF">
              <w:t>cent</w:t>
            </w:r>
          </w:p>
        </w:tc>
        <w:tc>
          <w:tcPr>
            <w:tcW w:w="1020" w:type="dxa"/>
            <w:shd w:val="clear" w:color="auto" w:fill="auto"/>
            <w:hideMark/>
          </w:tcPr>
          <w:p w14:paraId="3D5C2353" w14:textId="77777777" w:rsidR="00C15C65" w:rsidRPr="002029AF" w:rsidRDefault="00C15C65" w:rsidP="005B58F0">
            <w:pPr>
              <w:pStyle w:val="ARtabletextright"/>
            </w:pPr>
            <w:r w:rsidRPr="002029AF">
              <w:t>95</w:t>
            </w:r>
          </w:p>
        </w:tc>
        <w:tc>
          <w:tcPr>
            <w:tcW w:w="1020" w:type="dxa"/>
            <w:shd w:val="clear" w:color="auto" w:fill="auto"/>
            <w:hideMark/>
          </w:tcPr>
          <w:p w14:paraId="12C3F980" w14:textId="77777777" w:rsidR="00C15C65" w:rsidRPr="002029AF" w:rsidRDefault="00C15C65" w:rsidP="005B58F0">
            <w:pPr>
              <w:pStyle w:val="ARtabletextright"/>
            </w:pPr>
            <w:r w:rsidRPr="002029AF">
              <w:t>92</w:t>
            </w:r>
          </w:p>
        </w:tc>
        <w:tc>
          <w:tcPr>
            <w:tcW w:w="1022" w:type="dxa"/>
            <w:shd w:val="clear" w:color="auto" w:fill="auto"/>
          </w:tcPr>
          <w:p w14:paraId="03476EE2" w14:textId="77777777" w:rsidR="00C15C65" w:rsidRPr="002029AF" w:rsidRDefault="00C15C65" w:rsidP="005B58F0">
            <w:pPr>
              <w:pStyle w:val="ARtabletextright"/>
            </w:pPr>
            <w:r w:rsidRPr="002029AF">
              <w:t>-3.2</w:t>
            </w:r>
          </w:p>
        </w:tc>
        <w:tc>
          <w:tcPr>
            <w:tcW w:w="796" w:type="dxa"/>
            <w:shd w:val="clear" w:color="auto" w:fill="auto"/>
            <w:hideMark/>
          </w:tcPr>
          <w:p w14:paraId="66757D3C" w14:textId="20CAD079" w:rsidR="00C15C65" w:rsidRPr="002029AF" w:rsidRDefault="003A6C3B" w:rsidP="000F6867">
            <w:pPr>
              <w:pStyle w:val="ARtableperformancesymbol"/>
              <w:rPr>
                <w:rFonts w:hint="eastAsia"/>
                <w:lang w:val="en-AU"/>
              </w:rPr>
            </w:pPr>
            <w:r w:rsidRPr="002029AF">
              <w:rPr>
                <w:lang w:val="en-AU"/>
              </w:rPr>
              <w:t>□</w:t>
            </w:r>
          </w:p>
        </w:tc>
      </w:tr>
      <w:tr w:rsidR="00C15C65" w:rsidRPr="002029AF" w14:paraId="13AFBDCF" w14:textId="77777777" w:rsidTr="00192EEE">
        <w:trPr>
          <w:gridAfter w:val="1"/>
          <w:wAfter w:w="6" w:type="dxa"/>
          <w:cantSplit/>
        </w:trPr>
        <w:tc>
          <w:tcPr>
            <w:tcW w:w="9633" w:type="dxa"/>
            <w:gridSpan w:val="6"/>
            <w:tcBorders>
              <w:bottom w:val="single" w:sz="4" w:space="0" w:color="BFBFBF"/>
            </w:tcBorders>
            <w:shd w:val="clear" w:color="auto" w:fill="auto"/>
            <w:noWrap/>
            <w:hideMark/>
          </w:tcPr>
          <w:p w14:paraId="26AB462C" w14:textId="6CB7ED16" w:rsidR="00C15C65" w:rsidRPr="002029AF" w:rsidRDefault="00C15C65" w:rsidP="002C5190">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by</w:t>
            </w:r>
            <w:r w:rsidR="000A5329" w:rsidRPr="002029AF">
              <w:t xml:space="preserve"> </w:t>
            </w:r>
            <w:r w:rsidRPr="002029AF">
              <w:t>late</w:t>
            </w:r>
            <w:r w:rsidR="000A5329" w:rsidRPr="002029AF">
              <w:t xml:space="preserve"> </w:t>
            </w:r>
            <w:r w:rsidRPr="002029AF">
              <w:t>2020.</w:t>
            </w:r>
          </w:p>
        </w:tc>
      </w:tr>
      <w:tr w:rsidR="00C15C65" w:rsidRPr="002029AF" w14:paraId="5422FBA0" w14:textId="77777777" w:rsidTr="00192EEE">
        <w:trPr>
          <w:gridAfter w:val="1"/>
          <w:wAfter w:w="6" w:type="dxa"/>
          <w:cantSplit/>
        </w:trPr>
        <w:tc>
          <w:tcPr>
            <w:tcW w:w="4756" w:type="dxa"/>
            <w:tcBorders>
              <w:bottom w:val="single" w:sz="4" w:space="0" w:color="BFBFBF"/>
            </w:tcBorders>
            <w:shd w:val="clear" w:color="auto" w:fill="auto"/>
            <w:hideMark/>
          </w:tcPr>
          <w:p w14:paraId="58116E09" w14:textId="20AE5180" w:rsidR="00C15C65" w:rsidRPr="002029AF" w:rsidRDefault="00C15C65" w:rsidP="00C40F5D">
            <w:pPr>
              <w:pStyle w:val="ARtabletext"/>
            </w:pPr>
            <w:r w:rsidRPr="002029AF">
              <w:t>Perinatal</w:t>
            </w:r>
            <w:r w:rsidR="000A5329" w:rsidRPr="002029AF">
              <w:t xml:space="preserve"> </w:t>
            </w:r>
            <w:r w:rsidRPr="002029AF">
              <w:t>and</w:t>
            </w:r>
            <w:r w:rsidR="000A5329" w:rsidRPr="002029AF">
              <w:t xml:space="preserve"> </w:t>
            </w:r>
            <w:r w:rsidRPr="002029AF">
              <w:t>child</w:t>
            </w:r>
            <w:r w:rsidR="000A5329" w:rsidRPr="002029AF">
              <w:t xml:space="preserve"> </w:t>
            </w:r>
            <w:r w:rsidRPr="002029AF">
              <w:t>mortality</w:t>
            </w:r>
            <w:r w:rsidR="000A5329" w:rsidRPr="002029AF">
              <w:t xml:space="preserve"> </w:t>
            </w:r>
            <w:r w:rsidRPr="002029AF">
              <w:t>reports</w:t>
            </w:r>
            <w:r w:rsidR="000A5329" w:rsidRPr="002029AF">
              <w:t xml:space="preserve"> </w:t>
            </w:r>
            <w:r w:rsidRPr="002029AF">
              <w:t>received,</w:t>
            </w:r>
            <w:r w:rsidR="000A5329" w:rsidRPr="002029AF">
              <w:t xml:space="preserve"> </w:t>
            </w:r>
            <w:r w:rsidRPr="002029AF">
              <w:t>reviewed</w:t>
            </w:r>
            <w:r w:rsidR="000A5329" w:rsidRPr="002029AF">
              <w:t xml:space="preserve"> </w:t>
            </w:r>
            <w:r w:rsidRPr="002029AF">
              <w:t>and</w:t>
            </w:r>
            <w:r w:rsidR="000A5329" w:rsidRPr="002029AF">
              <w:t xml:space="preserve"> </w:t>
            </w:r>
            <w:r w:rsidRPr="002029AF">
              <w:t>classified</w:t>
            </w:r>
          </w:p>
        </w:tc>
        <w:tc>
          <w:tcPr>
            <w:tcW w:w="1019" w:type="dxa"/>
            <w:tcBorders>
              <w:bottom w:val="single" w:sz="4" w:space="0" w:color="BFBFBF"/>
            </w:tcBorders>
            <w:shd w:val="clear" w:color="auto" w:fill="auto"/>
            <w:hideMark/>
          </w:tcPr>
          <w:p w14:paraId="2FB7462F" w14:textId="7E3BB76F" w:rsidR="00C15C65" w:rsidRPr="002029AF" w:rsidRDefault="00C15C65" w:rsidP="00C40F5D">
            <w:pPr>
              <w:pStyle w:val="ARtabletext"/>
            </w:pPr>
            <w:r w:rsidRPr="002029AF">
              <w:t>per</w:t>
            </w:r>
            <w:r w:rsidR="000A5329" w:rsidRPr="002029AF">
              <w:t xml:space="preserve"> </w:t>
            </w:r>
            <w:r w:rsidRPr="002029AF">
              <w:t>cent</w:t>
            </w:r>
          </w:p>
        </w:tc>
        <w:tc>
          <w:tcPr>
            <w:tcW w:w="1020" w:type="dxa"/>
            <w:tcBorders>
              <w:bottom w:val="single" w:sz="4" w:space="0" w:color="BFBFBF"/>
            </w:tcBorders>
            <w:shd w:val="clear" w:color="auto" w:fill="auto"/>
            <w:hideMark/>
          </w:tcPr>
          <w:p w14:paraId="250C36AB" w14:textId="77777777" w:rsidR="00C15C65" w:rsidRPr="002029AF" w:rsidRDefault="00C15C65" w:rsidP="005B58F0">
            <w:pPr>
              <w:pStyle w:val="ARtabletextright"/>
            </w:pPr>
            <w:r w:rsidRPr="002029AF">
              <w:t>95</w:t>
            </w:r>
          </w:p>
        </w:tc>
        <w:tc>
          <w:tcPr>
            <w:tcW w:w="1020" w:type="dxa"/>
            <w:tcBorders>
              <w:bottom w:val="single" w:sz="4" w:space="0" w:color="BFBFBF"/>
            </w:tcBorders>
            <w:shd w:val="clear" w:color="auto" w:fill="auto"/>
            <w:hideMark/>
          </w:tcPr>
          <w:p w14:paraId="6099FD6F" w14:textId="77777777" w:rsidR="00C15C65" w:rsidRPr="002029AF" w:rsidRDefault="00C15C65" w:rsidP="005B58F0">
            <w:pPr>
              <w:pStyle w:val="ARtabletextright"/>
            </w:pPr>
            <w:r w:rsidRPr="002029AF">
              <w:t>99.3</w:t>
            </w:r>
          </w:p>
        </w:tc>
        <w:tc>
          <w:tcPr>
            <w:tcW w:w="1022" w:type="dxa"/>
            <w:tcBorders>
              <w:bottom w:val="single" w:sz="4" w:space="0" w:color="BFBFBF"/>
            </w:tcBorders>
            <w:shd w:val="clear" w:color="auto" w:fill="auto"/>
          </w:tcPr>
          <w:p w14:paraId="0E9C77D3" w14:textId="77777777" w:rsidR="00C15C65" w:rsidRPr="002029AF" w:rsidRDefault="00C15C65" w:rsidP="005B58F0">
            <w:pPr>
              <w:pStyle w:val="ARtabletextright"/>
            </w:pPr>
            <w:r w:rsidRPr="002029AF">
              <w:t>4.5</w:t>
            </w:r>
          </w:p>
        </w:tc>
        <w:tc>
          <w:tcPr>
            <w:tcW w:w="796" w:type="dxa"/>
            <w:tcBorders>
              <w:bottom w:val="single" w:sz="4" w:space="0" w:color="BFBFBF"/>
            </w:tcBorders>
            <w:shd w:val="clear" w:color="auto" w:fill="auto"/>
            <w:hideMark/>
          </w:tcPr>
          <w:p w14:paraId="23AD8DBB"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1FA48C90" w14:textId="77777777" w:rsidTr="00192EEE">
        <w:trPr>
          <w:gridAfter w:val="1"/>
          <w:wAfter w:w="6" w:type="dxa"/>
          <w:cantSplit/>
        </w:trPr>
        <w:tc>
          <w:tcPr>
            <w:tcW w:w="4756" w:type="dxa"/>
            <w:tcBorders>
              <w:top w:val="single" w:sz="4" w:space="0" w:color="BFBFBF"/>
              <w:bottom w:val="single" w:sz="4" w:space="0" w:color="BFBFBF"/>
            </w:tcBorders>
            <w:shd w:val="clear" w:color="auto" w:fill="auto"/>
            <w:hideMark/>
          </w:tcPr>
          <w:p w14:paraId="5D1C07E8" w14:textId="347F0216" w:rsidR="00C15C65" w:rsidRPr="002029AF" w:rsidRDefault="00C15C65" w:rsidP="00C40F5D">
            <w:pPr>
              <w:pStyle w:val="ARtabletext"/>
            </w:pPr>
            <w:r w:rsidRPr="002029AF">
              <w:t>Public</w:t>
            </w:r>
            <w:r w:rsidR="000A5329" w:rsidRPr="002029AF">
              <w:t xml:space="preserve"> </w:t>
            </w:r>
            <w:r w:rsidRPr="002029AF">
              <w:t>hospitals</w:t>
            </w:r>
            <w:r w:rsidR="000A5329" w:rsidRPr="002029AF">
              <w:t xml:space="preserve"> </w:t>
            </w:r>
            <w:r w:rsidRPr="002029AF">
              <w:t>accredited</w:t>
            </w:r>
          </w:p>
        </w:tc>
        <w:tc>
          <w:tcPr>
            <w:tcW w:w="1019" w:type="dxa"/>
            <w:tcBorders>
              <w:top w:val="single" w:sz="4" w:space="0" w:color="BFBFBF"/>
              <w:bottom w:val="single" w:sz="4" w:space="0" w:color="BFBFBF"/>
            </w:tcBorders>
            <w:shd w:val="clear" w:color="auto" w:fill="auto"/>
            <w:hideMark/>
          </w:tcPr>
          <w:p w14:paraId="176846DF" w14:textId="4F61A40F" w:rsidR="00C15C65" w:rsidRPr="002029AF" w:rsidRDefault="00C15C65" w:rsidP="00C40F5D">
            <w:pPr>
              <w:pStyle w:val="ARtabletext"/>
            </w:pPr>
            <w:r w:rsidRPr="002029AF">
              <w:t>per</w:t>
            </w:r>
            <w:r w:rsidR="000A5329" w:rsidRPr="002029AF">
              <w:t xml:space="preserve"> </w:t>
            </w:r>
            <w:r w:rsidRPr="002029AF">
              <w:t>cent</w:t>
            </w:r>
          </w:p>
        </w:tc>
        <w:tc>
          <w:tcPr>
            <w:tcW w:w="1020" w:type="dxa"/>
            <w:tcBorders>
              <w:top w:val="single" w:sz="4" w:space="0" w:color="BFBFBF"/>
              <w:bottom w:val="single" w:sz="4" w:space="0" w:color="BFBFBF"/>
            </w:tcBorders>
            <w:shd w:val="clear" w:color="auto" w:fill="auto"/>
            <w:hideMark/>
          </w:tcPr>
          <w:p w14:paraId="16738898" w14:textId="77777777" w:rsidR="00C15C65" w:rsidRPr="002029AF" w:rsidRDefault="00C15C65" w:rsidP="005B58F0">
            <w:pPr>
              <w:pStyle w:val="ARtabletextright"/>
            </w:pPr>
            <w:r w:rsidRPr="002029AF">
              <w:t>100</w:t>
            </w:r>
          </w:p>
        </w:tc>
        <w:tc>
          <w:tcPr>
            <w:tcW w:w="1020" w:type="dxa"/>
            <w:tcBorders>
              <w:top w:val="single" w:sz="4" w:space="0" w:color="BFBFBF"/>
              <w:bottom w:val="single" w:sz="4" w:space="0" w:color="BFBFBF"/>
            </w:tcBorders>
            <w:shd w:val="clear" w:color="auto" w:fill="auto"/>
            <w:hideMark/>
          </w:tcPr>
          <w:p w14:paraId="694BEFCE" w14:textId="77777777" w:rsidR="00C15C65" w:rsidRPr="002029AF" w:rsidRDefault="00C15C65" w:rsidP="005B58F0">
            <w:pPr>
              <w:pStyle w:val="ARtabletextright"/>
            </w:pPr>
            <w:r w:rsidRPr="002029AF">
              <w:t>100</w:t>
            </w:r>
          </w:p>
        </w:tc>
        <w:tc>
          <w:tcPr>
            <w:tcW w:w="1022" w:type="dxa"/>
            <w:tcBorders>
              <w:top w:val="single" w:sz="4" w:space="0" w:color="BFBFBF"/>
              <w:bottom w:val="single" w:sz="4" w:space="0" w:color="BFBFBF"/>
            </w:tcBorders>
            <w:shd w:val="clear" w:color="auto" w:fill="auto"/>
          </w:tcPr>
          <w:p w14:paraId="213BA1B5" w14:textId="77777777" w:rsidR="00C15C65" w:rsidRPr="002029AF" w:rsidRDefault="00C15C65" w:rsidP="005B58F0">
            <w:pPr>
              <w:pStyle w:val="ARtabletextright"/>
            </w:pPr>
            <w:r w:rsidRPr="002029AF">
              <w:t>0.0</w:t>
            </w:r>
          </w:p>
        </w:tc>
        <w:tc>
          <w:tcPr>
            <w:tcW w:w="796" w:type="dxa"/>
            <w:tcBorders>
              <w:top w:val="single" w:sz="4" w:space="0" w:color="BFBFBF"/>
              <w:bottom w:val="single" w:sz="4" w:space="0" w:color="BFBFBF"/>
            </w:tcBorders>
            <w:shd w:val="clear" w:color="auto" w:fill="auto"/>
            <w:hideMark/>
          </w:tcPr>
          <w:p w14:paraId="07B75780"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38BC13EB" w14:textId="77777777" w:rsidTr="00192EEE">
        <w:trPr>
          <w:gridAfter w:val="1"/>
          <w:wAfter w:w="6" w:type="dxa"/>
          <w:cantSplit/>
        </w:trPr>
        <w:tc>
          <w:tcPr>
            <w:tcW w:w="4756" w:type="dxa"/>
            <w:tcBorders>
              <w:top w:val="single" w:sz="4" w:space="0" w:color="BFBFBF"/>
            </w:tcBorders>
            <w:shd w:val="clear" w:color="auto" w:fill="auto"/>
            <w:hideMark/>
          </w:tcPr>
          <w:p w14:paraId="06B13999" w14:textId="4FAD0E5B" w:rsidR="00C15C65" w:rsidRPr="002029AF" w:rsidRDefault="00C15C65" w:rsidP="00C40F5D">
            <w:pPr>
              <w:pStyle w:val="ARtabletext"/>
            </w:pPr>
            <w:r w:rsidRPr="002029AF">
              <w:t>Patient</w:t>
            </w:r>
            <w:r w:rsidR="000A5329" w:rsidRPr="002029AF">
              <w:t xml:space="preserve"> </w:t>
            </w:r>
            <w:r w:rsidRPr="002029AF">
              <w:t>reported</w:t>
            </w:r>
            <w:r w:rsidR="000A5329" w:rsidRPr="002029AF">
              <w:t xml:space="preserve"> </w:t>
            </w:r>
            <w:r w:rsidRPr="002029AF">
              <w:t>hospital</w:t>
            </w:r>
            <w:r w:rsidR="000A5329" w:rsidRPr="002029AF">
              <w:t xml:space="preserve"> </w:t>
            </w:r>
            <w:r w:rsidRPr="002029AF">
              <w:t>cleanliness</w:t>
            </w:r>
          </w:p>
        </w:tc>
        <w:tc>
          <w:tcPr>
            <w:tcW w:w="1019" w:type="dxa"/>
            <w:tcBorders>
              <w:top w:val="single" w:sz="4" w:space="0" w:color="BFBFBF"/>
            </w:tcBorders>
            <w:shd w:val="clear" w:color="auto" w:fill="auto"/>
            <w:hideMark/>
          </w:tcPr>
          <w:p w14:paraId="57FB486B" w14:textId="26C56F38" w:rsidR="00C15C65" w:rsidRPr="002029AF" w:rsidRDefault="00C15C65" w:rsidP="00C40F5D">
            <w:pPr>
              <w:pStyle w:val="ARtabletext"/>
            </w:pPr>
            <w:r w:rsidRPr="002029AF">
              <w:t>per</w:t>
            </w:r>
            <w:r w:rsidR="000A5329" w:rsidRPr="002029AF">
              <w:t xml:space="preserve"> </w:t>
            </w:r>
            <w:r w:rsidRPr="002029AF">
              <w:t>cent</w:t>
            </w:r>
          </w:p>
        </w:tc>
        <w:tc>
          <w:tcPr>
            <w:tcW w:w="1020" w:type="dxa"/>
            <w:tcBorders>
              <w:top w:val="single" w:sz="4" w:space="0" w:color="BFBFBF"/>
            </w:tcBorders>
            <w:shd w:val="clear" w:color="auto" w:fill="auto"/>
            <w:hideMark/>
          </w:tcPr>
          <w:p w14:paraId="5E1626A8" w14:textId="77777777" w:rsidR="00C15C65" w:rsidRPr="002029AF" w:rsidRDefault="00C15C65" w:rsidP="005B58F0">
            <w:pPr>
              <w:pStyle w:val="ARtabletextright"/>
            </w:pPr>
            <w:r w:rsidRPr="002029AF">
              <w:t>70</w:t>
            </w:r>
          </w:p>
        </w:tc>
        <w:tc>
          <w:tcPr>
            <w:tcW w:w="1020" w:type="dxa"/>
            <w:tcBorders>
              <w:top w:val="single" w:sz="4" w:space="0" w:color="BFBFBF"/>
            </w:tcBorders>
            <w:shd w:val="clear" w:color="auto" w:fill="auto"/>
            <w:hideMark/>
          </w:tcPr>
          <w:p w14:paraId="12D5E98E" w14:textId="77777777" w:rsidR="00C15C65" w:rsidRPr="002029AF" w:rsidRDefault="00C15C65" w:rsidP="005B58F0">
            <w:pPr>
              <w:pStyle w:val="ARtabletextright"/>
            </w:pPr>
            <w:r w:rsidRPr="002029AF">
              <w:t>71</w:t>
            </w:r>
          </w:p>
        </w:tc>
        <w:tc>
          <w:tcPr>
            <w:tcW w:w="1022" w:type="dxa"/>
            <w:tcBorders>
              <w:top w:val="single" w:sz="4" w:space="0" w:color="BFBFBF"/>
            </w:tcBorders>
            <w:shd w:val="clear" w:color="auto" w:fill="auto"/>
          </w:tcPr>
          <w:p w14:paraId="336D9CFE" w14:textId="77777777" w:rsidR="00C15C65" w:rsidRPr="002029AF" w:rsidRDefault="00C15C65" w:rsidP="005B58F0">
            <w:pPr>
              <w:pStyle w:val="ARtabletextright"/>
            </w:pPr>
            <w:r w:rsidRPr="002029AF">
              <w:t>1.4</w:t>
            </w:r>
          </w:p>
        </w:tc>
        <w:tc>
          <w:tcPr>
            <w:tcW w:w="796" w:type="dxa"/>
            <w:tcBorders>
              <w:top w:val="single" w:sz="4" w:space="0" w:color="BFBFBF"/>
            </w:tcBorders>
            <w:shd w:val="clear" w:color="auto" w:fill="auto"/>
            <w:hideMark/>
          </w:tcPr>
          <w:p w14:paraId="0F2C7CCA"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3277EDA2" w14:textId="77777777" w:rsidTr="00192EEE">
        <w:trPr>
          <w:gridAfter w:val="1"/>
          <w:wAfter w:w="6" w:type="dxa"/>
          <w:cantSplit/>
        </w:trPr>
        <w:tc>
          <w:tcPr>
            <w:tcW w:w="9633" w:type="dxa"/>
            <w:gridSpan w:val="6"/>
            <w:tcBorders>
              <w:bottom w:val="single" w:sz="4" w:space="0" w:color="BFBFBF"/>
            </w:tcBorders>
            <w:shd w:val="clear" w:color="auto" w:fill="auto"/>
            <w:noWrap/>
            <w:hideMark/>
          </w:tcPr>
          <w:p w14:paraId="2255039A" w14:textId="35C879D3" w:rsidR="00C15C65" w:rsidRPr="002029AF" w:rsidRDefault="00C15C65" w:rsidP="002C5190">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by</w:t>
            </w:r>
            <w:r w:rsidR="000A5329" w:rsidRPr="002029AF">
              <w:t xml:space="preserve"> </w:t>
            </w:r>
            <w:r w:rsidRPr="002029AF">
              <w:t>late</w:t>
            </w:r>
            <w:r w:rsidR="000A5329" w:rsidRPr="002029AF">
              <w:t xml:space="preserve"> </w:t>
            </w:r>
            <w:r w:rsidRPr="002029AF">
              <w:t>2020.</w:t>
            </w:r>
          </w:p>
        </w:tc>
      </w:tr>
      <w:tr w:rsidR="00C15C65" w:rsidRPr="002029AF" w14:paraId="746C799E" w14:textId="77777777" w:rsidTr="00192EEE">
        <w:trPr>
          <w:gridAfter w:val="1"/>
          <w:wAfter w:w="6" w:type="dxa"/>
          <w:cantSplit/>
        </w:trPr>
        <w:tc>
          <w:tcPr>
            <w:tcW w:w="4756" w:type="dxa"/>
            <w:shd w:val="clear" w:color="auto" w:fill="auto"/>
            <w:hideMark/>
          </w:tcPr>
          <w:p w14:paraId="3DE42CA7" w14:textId="7CFFD3C4" w:rsidR="00C15C65" w:rsidRPr="002029AF" w:rsidRDefault="00C15C65" w:rsidP="00C40F5D">
            <w:pPr>
              <w:pStyle w:val="ARtabletext"/>
            </w:pPr>
            <w:r w:rsidRPr="002029AF">
              <w:t>Staphylococcus</w:t>
            </w:r>
            <w:r w:rsidR="000A5329" w:rsidRPr="002029AF">
              <w:t xml:space="preserve"> </w:t>
            </w:r>
            <w:r w:rsidRPr="002029AF">
              <w:t>aureus</w:t>
            </w:r>
            <w:r w:rsidR="000A5329" w:rsidRPr="002029AF">
              <w:t xml:space="preserve"> </w:t>
            </w:r>
            <w:r w:rsidRPr="002029AF">
              <w:t>bacteraemias</w:t>
            </w:r>
            <w:r w:rsidR="000A5329" w:rsidRPr="002029AF">
              <w:t xml:space="preserve"> </w:t>
            </w:r>
            <w:r w:rsidRPr="002029AF">
              <w:t>(SAB)</w:t>
            </w:r>
            <w:r w:rsidR="000A5329" w:rsidRPr="002029AF">
              <w:t xml:space="preserve"> </w:t>
            </w:r>
            <w:r w:rsidRPr="002029AF">
              <w:t>infections</w:t>
            </w:r>
            <w:r w:rsidR="000A5329" w:rsidRPr="002029AF">
              <w:t xml:space="preserve"> </w:t>
            </w:r>
            <w:r w:rsidRPr="002029AF">
              <w:t>per</w:t>
            </w:r>
            <w:r w:rsidR="000A5329" w:rsidRPr="002029AF">
              <w:t xml:space="preserve"> </w:t>
            </w:r>
            <w:r w:rsidRPr="002029AF">
              <w:t>10</w:t>
            </w:r>
            <w:r w:rsidR="000A5329" w:rsidRPr="002029AF">
              <w:t xml:space="preserve"> </w:t>
            </w:r>
            <w:r w:rsidRPr="002029AF">
              <w:t>000</w:t>
            </w:r>
            <w:r w:rsidR="000A5329" w:rsidRPr="002029AF">
              <w:t xml:space="preserve"> </w:t>
            </w:r>
            <w:r w:rsidRPr="002029AF">
              <w:t>patient</w:t>
            </w:r>
            <w:r w:rsidR="000A5329" w:rsidRPr="002029AF">
              <w:t xml:space="preserve"> </w:t>
            </w:r>
            <w:r w:rsidRPr="002029AF">
              <w:t>days</w:t>
            </w:r>
          </w:p>
        </w:tc>
        <w:tc>
          <w:tcPr>
            <w:tcW w:w="1019" w:type="dxa"/>
            <w:shd w:val="clear" w:color="auto" w:fill="auto"/>
            <w:hideMark/>
          </w:tcPr>
          <w:p w14:paraId="7591E379" w14:textId="77777777" w:rsidR="00C15C65" w:rsidRPr="002029AF" w:rsidRDefault="00C15C65" w:rsidP="00C40F5D">
            <w:pPr>
              <w:pStyle w:val="ARtabletext"/>
            </w:pPr>
            <w:r w:rsidRPr="002029AF">
              <w:t>rate</w:t>
            </w:r>
          </w:p>
        </w:tc>
        <w:tc>
          <w:tcPr>
            <w:tcW w:w="1020" w:type="dxa"/>
            <w:shd w:val="clear" w:color="auto" w:fill="auto"/>
            <w:hideMark/>
          </w:tcPr>
          <w:p w14:paraId="78D08CDE" w14:textId="77777777" w:rsidR="00C15C65" w:rsidRPr="002029AF" w:rsidRDefault="00C15C65" w:rsidP="005B58F0">
            <w:pPr>
              <w:pStyle w:val="ARtabletextright"/>
            </w:pPr>
            <w:r w:rsidRPr="002029AF">
              <w:t>1</w:t>
            </w:r>
          </w:p>
        </w:tc>
        <w:tc>
          <w:tcPr>
            <w:tcW w:w="1020" w:type="dxa"/>
            <w:shd w:val="clear" w:color="auto" w:fill="auto"/>
            <w:hideMark/>
          </w:tcPr>
          <w:p w14:paraId="73B920D9" w14:textId="77777777" w:rsidR="00C15C65" w:rsidRPr="002029AF" w:rsidRDefault="00C15C65" w:rsidP="005B58F0">
            <w:pPr>
              <w:pStyle w:val="ARtabletextright"/>
            </w:pPr>
            <w:r w:rsidRPr="002029AF">
              <w:t>0.8</w:t>
            </w:r>
          </w:p>
        </w:tc>
        <w:tc>
          <w:tcPr>
            <w:tcW w:w="1022" w:type="dxa"/>
            <w:shd w:val="clear" w:color="auto" w:fill="auto"/>
          </w:tcPr>
          <w:p w14:paraId="202E1CF2" w14:textId="77777777" w:rsidR="00C15C65" w:rsidRPr="002029AF" w:rsidRDefault="00C15C65" w:rsidP="005B58F0">
            <w:pPr>
              <w:pStyle w:val="ARtabletextright"/>
            </w:pPr>
            <w:r w:rsidRPr="002029AF">
              <w:t>-20.0</w:t>
            </w:r>
          </w:p>
        </w:tc>
        <w:tc>
          <w:tcPr>
            <w:tcW w:w="796" w:type="dxa"/>
            <w:shd w:val="clear" w:color="auto" w:fill="auto"/>
            <w:hideMark/>
          </w:tcPr>
          <w:p w14:paraId="241929FC"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2BF89E79" w14:textId="77777777" w:rsidTr="00192EEE">
        <w:trPr>
          <w:gridAfter w:val="1"/>
          <w:wAfter w:w="6" w:type="dxa"/>
          <w:cantSplit/>
        </w:trPr>
        <w:tc>
          <w:tcPr>
            <w:tcW w:w="9633" w:type="dxa"/>
            <w:gridSpan w:val="6"/>
            <w:tcBorders>
              <w:bottom w:val="single" w:sz="4" w:space="0" w:color="BFBFBF"/>
            </w:tcBorders>
            <w:shd w:val="clear" w:color="auto" w:fill="auto"/>
            <w:noWrap/>
            <w:hideMark/>
          </w:tcPr>
          <w:p w14:paraId="008290C6" w14:textId="09845A16" w:rsidR="00C15C65" w:rsidRPr="002029AF" w:rsidRDefault="00C15C65" w:rsidP="005432DB">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is</w:t>
            </w:r>
            <w:r w:rsidR="000A5329" w:rsidRPr="002029AF">
              <w:t xml:space="preserve"> </w:t>
            </w:r>
            <w:r w:rsidRPr="002029AF">
              <w:t>not</w:t>
            </w:r>
            <w:r w:rsidR="000A5329" w:rsidRPr="002029AF">
              <w:t xml:space="preserve"> </w:t>
            </w:r>
            <w:r w:rsidRPr="002029AF">
              <w:t>available</w:t>
            </w:r>
            <w:r w:rsidR="000A5329" w:rsidRPr="002029AF">
              <w:t xml:space="preserve"> </w:t>
            </w:r>
            <w:r w:rsidRPr="002029AF">
              <w:t>for</w:t>
            </w:r>
            <w:r w:rsidR="000A5329" w:rsidRPr="002029AF">
              <w:t xml:space="preserve"> </w:t>
            </w:r>
            <w:r w:rsidRPr="002029AF">
              <w:t>201</w:t>
            </w:r>
            <w:r w:rsidR="00DB53E6" w:rsidRPr="002029AF">
              <w:t>9–</w:t>
            </w:r>
            <w:r w:rsidRPr="002029AF">
              <w:t>20.</w:t>
            </w:r>
            <w:r w:rsidR="000A5329" w:rsidRPr="002029AF">
              <w:t xml:space="preserve"> </w:t>
            </w:r>
            <w:r w:rsidRPr="002029AF">
              <w:t>While</w:t>
            </w:r>
            <w:r w:rsidR="000A5329" w:rsidRPr="002029AF">
              <w:t xml:space="preserve"> </w:t>
            </w:r>
            <w:r w:rsidRPr="002029AF">
              <w:t>infection</w:t>
            </w:r>
            <w:r w:rsidR="000A5329" w:rsidRPr="002029AF">
              <w:t xml:space="preserve"> </w:t>
            </w:r>
            <w:r w:rsidRPr="002029AF">
              <w:t>rates</w:t>
            </w:r>
            <w:r w:rsidR="000A5329" w:rsidRPr="002029AF">
              <w:t xml:space="preserve"> </w:t>
            </w:r>
            <w:r w:rsidRPr="002029AF">
              <w:t>remain</w:t>
            </w:r>
            <w:r w:rsidR="000A5329" w:rsidRPr="002029AF">
              <w:t xml:space="preserve"> </w:t>
            </w:r>
            <w:r w:rsidRPr="002029AF">
              <w:t>a</w:t>
            </w:r>
            <w:r w:rsidR="000A5329" w:rsidRPr="002029AF">
              <w:t xml:space="preserve"> </w:t>
            </w:r>
            <w:r w:rsidRPr="002029AF">
              <w:t>key</w:t>
            </w:r>
            <w:r w:rsidR="000A5329" w:rsidRPr="002029AF">
              <w:t xml:space="preserve"> </w:t>
            </w:r>
            <w:r w:rsidRPr="002029AF">
              <w:t>focus</w:t>
            </w:r>
            <w:r w:rsidR="000A5329" w:rsidRPr="002029AF">
              <w:t xml:space="preserve"> </w:t>
            </w:r>
            <w:r w:rsidRPr="002029AF">
              <w:t>of</w:t>
            </w:r>
            <w:r w:rsidR="000A5329" w:rsidRPr="002029AF">
              <w:t xml:space="preserve"> </w:t>
            </w:r>
            <w:r w:rsidRPr="002029AF">
              <w:t>Victorian</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the</w:t>
            </w:r>
            <w:r w:rsidR="000A5329" w:rsidRPr="002029AF">
              <w:t xml:space="preserve"> </w:t>
            </w:r>
            <w:r w:rsidRPr="002029AF">
              <w:t>requirement</w:t>
            </w:r>
            <w:r w:rsidR="000A5329" w:rsidRPr="002029AF">
              <w:t xml:space="preserve"> </w:t>
            </w:r>
            <w:r w:rsidRPr="002029AF">
              <w:t>to</w:t>
            </w:r>
            <w:r w:rsidR="000A5329" w:rsidRPr="002029AF">
              <w:t xml:space="preserve"> </w:t>
            </w:r>
            <w:r w:rsidRPr="002029AF">
              <w:t>report</w:t>
            </w:r>
            <w:r w:rsidR="000A5329" w:rsidRPr="002029AF">
              <w:t xml:space="preserve"> </w:t>
            </w:r>
            <w:r w:rsidRPr="002029AF">
              <w:t>this</w:t>
            </w:r>
            <w:r w:rsidR="000A5329" w:rsidRPr="002029AF">
              <w:t xml:space="preserve"> </w:t>
            </w:r>
            <w:r w:rsidRPr="002029AF">
              <w:t>measure</w:t>
            </w:r>
            <w:r w:rsidR="000A5329" w:rsidRPr="002029AF">
              <w:t xml:space="preserve"> </w:t>
            </w:r>
            <w:r w:rsidRPr="005432DB">
              <w:t>has</w:t>
            </w:r>
            <w:r w:rsidR="000A5329" w:rsidRPr="00FB1957">
              <w:t xml:space="preserve"> </w:t>
            </w:r>
            <w:r w:rsidRPr="00FB1957">
              <w:t>been</w:t>
            </w:r>
            <w:r w:rsidR="000A5329" w:rsidRPr="00FB1957">
              <w:t xml:space="preserve"> </w:t>
            </w:r>
            <w:r w:rsidRPr="009F38F3">
              <w:t>paused</w:t>
            </w:r>
            <w:r w:rsidR="000A5329" w:rsidRPr="009F38F3">
              <w:t xml:space="preserve"> </w:t>
            </w:r>
            <w:r w:rsidRPr="009F38F3">
              <w:t>from</w:t>
            </w:r>
            <w:r w:rsidR="000A5329" w:rsidRPr="00CB4DD6">
              <w:t xml:space="preserve"> </w:t>
            </w:r>
            <w:r w:rsidRPr="00D8303B">
              <w:t>1</w:t>
            </w:r>
            <w:r w:rsidR="000A5329" w:rsidRPr="002029AF">
              <w:t xml:space="preserve"> </w:t>
            </w:r>
            <w:r w:rsidRPr="002029AF">
              <w:t>April</w:t>
            </w:r>
            <w:r w:rsidR="000A5329" w:rsidRPr="002029AF">
              <w:t xml:space="preserve"> </w:t>
            </w:r>
            <w:r w:rsidRPr="002029AF">
              <w:t>2020</w:t>
            </w:r>
            <w:r w:rsidR="000A5329" w:rsidRPr="002029AF">
              <w:t xml:space="preserve"> </w:t>
            </w:r>
            <w:r w:rsidRPr="002029AF">
              <w:t>to</w:t>
            </w:r>
            <w:r w:rsidR="000A5329" w:rsidRPr="002029AF">
              <w:t xml:space="preserve"> </w:t>
            </w:r>
            <w:r w:rsidRPr="002029AF">
              <w:t>allow</w:t>
            </w:r>
            <w:r w:rsidR="000A5329" w:rsidRPr="002029AF">
              <w:t xml:space="preserve"> </w:t>
            </w:r>
            <w:r w:rsidRPr="002029AF">
              <w:t>health</w:t>
            </w:r>
            <w:r w:rsidR="000A5329" w:rsidRPr="002029AF">
              <w:t xml:space="preserve"> </w:t>
            </w:r>
            <w:r w:rsidRPr="002029AF">
              <w:t>service</w:t>
            </w:r>
            <w:r w:rsidR="000A5329" w:rsidRPr="002029AF">
              <w:t xml:space="preserve"> </w:t>
            </w:r>
            <w:r w:rsidRPr="002029AF">
              <w:t>staff</w:t>
            </w:r>
            <w:r w:rsidR="000A5329" w:rsidRPr="002029AF">
              <w:t xml:space="preserve"> </w:t>
            </w:r>
            <w:r w:rsidRPr="002029AF">
              <w:t>to</w:t>
            </w:r>
            <w:r w:rsidR="000A5329" w:rsidRPr="002029AF">
              <w:t xml:space="preserve"> </w:t>
            </w:r>
            <w:r w:rsidRPr="002029AF">
              <w:t>focus</w:t>
            </w:r>
            <w:r w:rsidR="000A5329" w:rsidRPr="002029AF">
              <w:t xml:space="preserve"> </w:t>
            </w:r>
            <w:r w:rsidRPr="002029AF">
              <w:t>on</w:t>
            </w:r>
            <w:r w:rsidR="000A5329" w:rsidRPr="002029AF">
              <w:t xml:space="preserve"> </w:t>
            </w:r>
            <w:r w:rsidRPr="002029AF">
              <w:t>care</w:t>
            </w:r>
            <w:r w:rsidR="000A5329" w:rsidRPr="002029AF">
              <w:t xml:space="preserve"> </w:t>
            </w:r>
            <w:r w:rsidRPr="002029AF">
              <w:t>delivery.</w:t>
            </w:r>
          </w:p>
        </w:tc>
      </w:tr>
      <w:tr w:rsidR="00C15C65" w:rsidRPr="002029AF" w14:paraId="6F8A7CC0" w14:textId="77777777" w:rsidTr="00192EEE">
        <w:trPr>
          <w:gridAfter w:val="1"/>
          <w:wAfter w:w="6" w:type="dxa"/>
          <w:cantSplit/>
        </w:trPr>
        <w:tc>
          <w:tcPr>
            <w:tcW w:w="4756" w:type="dxa"/>
            <w:shd w:val="clear" w:color="auto" w:fill="auto"/>
            <w:hideMark/>
          </w:tcPr>
          <w:p w14:paraId="7BE457AE" w14:textId="0505F90D" w:rsidR="00C15C65" w:rsidRPr="002029AF" w:rsidRDefault="00C15C65" w:rsidP="00C40F5D">
            <w:pPr>
              <w:pStyle w:val="ARtabletext"/>
            </w:pPr>
            <w:r w:rsidRPr="002029AF">
              <w:t>Unplanned/unexpected</w:t>
            </w:r>
            <w:r w:rsidR="000A5329" w:rsidRPr="002029AF">
              <w:t xml:space="preserve"> </w:t>
            </w:r>
            <w:r w:rsidRPr="002029AF">
              <w:t>readmission</w:t>
            </w:r>
            <w:r w:rsidR="000A5329" w:rsidRPr="002029AF">
              <w:t xml:space="preserve"> </w:t>
            </w:r>
            <w:r w:rsidRPr="002029AF">
              <w:t>for</w:t>
            </w:r>
            <w:r w:rsidR="000A5329" w:rsidRPr="002029AF">
              <w:t xml:space="preserve"> </w:t>
            </w:r>
            <w:r w:rsidRPr="002029AF">
              <w:t>acute</w:t>
            </w:r>
            <w:r w:rsidR="000A5329" w:rsidRPr="002029AF">
              <w:t xml:space="preserve"> </w:t>
            </w:r>
            <w:r w:rsidRPr="002029AF">
              <w:t>myocardial</w:t>
            </w:r>
            <w:r w:rsidR="000A5329" w:rsidRPr="002029AF">
              <w:t xml:space="preserve"> </w:t>
            </w:r>
            <w:r w:rsidRPr="002029AF">
              <w:t>infarction</w:t>
            </w:r>
          </w:p>
        </w:tc>
        <w:tc>
          <w:tcPr>
            <w:tcW w:w="1019" w:type="dxa"/>
            <w:shd w:val="clear" w:color="auto" w:fill="auto"/>
            <w:hideMark/>
          </w:tcPr>
          <w:p w14:paraId="02049DBF" w14:textId="3CAD2F6B" w:rsidR="00C15C65" w:rsidRPr="002029AF" w:rsidRDefault="00C15C65" w:rsidP="00C40F5D">
            <w:pPr>
              <w:pStyle w:val="ARtabletext"/>
            </w:pPr>
            <w:r w:rsidRPr="002029AF">
              <w:t>per</w:t>
            </w:r>
            <w:r w:rsidR="000A5329" w:rsidRPr="002029AF">
              <w:t xml:space="preserve"> </w:t>
            </w:r>
            <w:r w:rsidRPr="002029AF">
              <w:t>cent</w:t>
            </w:r>
          </w:p>
        </w:tc>
        <w:tc>
          <w:tcPr>
            <w:tcW w:w="1020" w:type="dxa"/>
            <w:shd w:val="clear" w:color="auto" w:fill="auto"/>
            <w:hideMark/>
          </w:tcPr>
          <w:p w14:paraId="06245712" w14:textId="77777777" w:rsidR="00C15C65" w:rsidRPr="002029AF" w:rsidRDefault="00C15C65" w:rsidP="005B58F0">
            <w:pPr>
              <w:pStyle w:val="ARtabletextright"/>
            </w:pPr>
            <w:r w:rsidRPr="002029AF">
              <w:t>2</w:t>
            </w:r>
          </w:p>
        </w:tc>
        <w:tc>
          <w:tcPr>
            <w:tcW w:w="1020" w:type="dxa"/>
            <w:shd w:val="clear" w:color="auto" w:fill="auto"/>
            <w:hideMark/>
          </w:tcPr>
          <w:p w14:paraId="3B2D073D" w14:textId="77777777" w:rsidR="00C15C65" w:rsidRPr="002029AF" w:rsidRDefault="00C15C65" w:rsidP="005B58F0">
            <w:pPr>
              <w:pStyle w:val="ARtabletextright"/>
            </w:pPr>
            <w:r w:rsidRPr="002029AF">
              <w:t>2.05</w:t>
            </w:r>
          </w:p>
        </w:tc>
        <w:tc>
          <w:tcPr>
            <w:tcW w:w="1022" w:type="dxa"/>
            <w:shd w:val="clear" w:color="auto" w:fill="auto"/>
          </w:tcPr>
          <w:p w14:paraId="497B7462" w14:textId="77777777" w:rsidR="00C15C65" w:rsidRPr="002029AF" w:rsidRDefault="00C15C65" w:rsidP="005B58F0">
            <w:pPr>
              <w:pStyle w:val="ARtabletextright"/>
            </w:pPr>
            <w:r w:rsidRPr="002029AF">
              <w:t>2.5</w:t>
            </w:r>
          </w:p>
        </w:tc>
        <w:tc>
          <w:tcPr>
            <w:tcW w:w="796" w:type="dxa"/>
            <w:shd w:val="clear" w:color="auto" w:fill="auto"/>
            <w:hideMark/>
          </w:tcPr>
          <w:p w14:paraId="202CBE3A" w14:textId="37C136B3" w:rsidR="00C15C65" w:rsidRPr="002029AF" w:rsidRDefault="003A6C3B" w:rsidP="000F6867">
            <w:pPr>
              <w:pStyle w:val="ARtableperformancesymbol"/>
              <w:rPr>
                <w:rFonts w:hint="eastAsia"/>
                <w:lang w:val="en-AU"/>
              </w:rPr>
            </w:pPr>
            <w:r w:rsidRPr="002029AF">
              <w:rPr>
                <w:lang w:val="en-AU"/>
              </w:rPr>
              <w:t>□</w:t>
            </w:r>
          </w:p>
        </w:tc>
      </w:tr>
      <w:tr w:rsidR="00C15C65" w:rsidRPr="002029AF" w14:paraId="0176144E" w14:textId="77777777" w:rsidTr="00192EEE">
        <w:trPr>
          <w:gridAfter w:val="1"/>
          <w:wAfter w:w="6" w:type="dxa"/>
          <w:cantSplit/>
        </w:trPr>
        <w:tc>
          <w:tcPr>
            <w:tcW w:w="9633" w:type="dxa"/>
            <w:gridSpan w:val="6"/>
            <w:tcBorders>
              <w:bottom w:val="single" w:sz="4" w:space="0" w:color="BFBFBF"/>
            </w:tcBorders>
            <w:shd w:val="clear" w:color="auto" w:fill="auto"/>
            <w:noWrap/>
            <w:hideMark/>
          </w:tcPr>
          <w:p w14:paraId="2EE0CF1B" w14:textId="619151C0" w:rsidR="00C15C65" w:rsidRPr="002029AF" w:rsidRDefault="00C15C65" w:rsidP="002C5190">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by</w:t>
            </w:r>
            <w:r w:rsidR="000A5329" w:rsidRPr="002029AF">
              <w:t xml:space="preserve"> </w:t>
            </w:r>
            <w:r w:rsidRPr="002029AF">
              <w:t>late</w:t>
            </w:r>
            <w:r w:rsidR="000A5329" w:rsidRPr="002029AF">
              <w:t xml:space="preserve"> </w:t>
            </w:r>
            <w:r w:rsidRPr="002029AF">
              <w:t>2020.</w:t>
            </w:r>
          </w:p>
        </w:tc>
      </w:tr>
      <w:tr w:rsidR="00C15C65" w:rsidRPr="002029AF" w14:paraId="09793A87" w14:textId="77777777" w:rsidTr="00192EEE">
        <w:trPr>
          <w:gridAfter w:val="1"/>
          <w:wAfter w:w="6" w:type="dxa"/>
          <w:cantSplit/>
        </w:trPr>
        <w:tc>
          <w:tcPr>
            <w:tcW w:w="4756" w:type="dxa"/>
            <w:shd w:val="clear" w:color="auto" w:fill="auto"/>
            <w:hideMark/>
          </w:tcPr>
          <w:p w14:paraId="29F5B17B" w14:textId="59598481" w:rsidR="00C15C65" w:rsidRPr="002029AF" w:rsidRDefault="00C15C65" w:rsidP="00C40F5D">
            <w:pPr>
              <w:pStyle w:val="ARtabletext"/>
            </w:pPr>
            <w:r w:rsidRPr="002029AF">
              <w:t>Unplanned/unexpected</w:t>
            </w:r>
            <w:r w:rsidR="000A5329" w:rsidRPr="002029AF">
              <w:t xml:space="preserve"> </w:t>
            </w:r>
            <w:r w:rsidRPr="002029AF">
              <w:t>readmission</w:t>
            </w:r>
            <w:r w:rsidR="000A5329" w:rsidRPr="002029AF">
              <w:t xml:space="preserve"> </w:t>
            </w:r>
            <w:r w:rsidRPr="002029AF">
              <w:t>for</w:t>
            </w:r>
            <w:r w:rsidR="000A5329" w:rsidRPr="002029AF">
              <w:t xml:space="preserve"> </w:t>
            </w:r>
            <w:r w:rsidRPr="002029AF">
              <w:t>heart</w:t>
            </w:r>
            <w:r w:rsidR="000A5329" w:rsidRPr="002029AF">
              <w:t xml:space="preserve"> </w:t>
            </w:r>
            <w:r w:rsidRPr="002029AF">
              <w:t>failure</w:t>
            </w:r>
          </w:p>
        </w:tc>
        <w:tc>
          <w:tcPr>
            <w:tcW w:w="1019" w:type="dxa"/>
            <w:shd w:val="clear" w:color="auto" w:fill="auto"/>
            <w:hideMark/>
          </w:tcPr>
          <w:p w14:paraId="51A6778D" w14:textId="77889820" w:rsidR="00C15C65" w:rsidRPr="002029AF" w:rsidRDefault="00C15C65" w:rsidP="00C40F5D">
            <w:pPr>
              <w:pStyle w:val="ARtabletext"/>
            </w:pPr>
            <w:r w:rsidRPr="002029AF">
              <w:t>per</w:t>
            </w:r>
            <w:r w:rsidR="000A5329" w:rsidRPr="002029AF">
              <w:t xml:space="preserve"> </w:t>
            </w:r>
            <w:r w:rsidRPr="002029AF">
              <w:t>cent</w:t>
            </w:r>
          </w:p>
        </w:tc>
        <w:tc>
          <w:tcPr>
            <w:tcW w:w="1020" w:type="dxa"/>
            <w:shd w:val="clear" w:color="auto" w:fill="auto"/>
            <w:hideMark/>
          </w:tcPr>
          <w:p w14:paraId="7A454695" w14:textId="77777777" w:rsidR="00C15C65" w:rsidRPr="002029AF" w:rsidRDefault="00C15C65" w:rsidP="005B58F0">
            <w:pPr>
              <w:pStyle w:val="ARtabletextright"/>
            </w:pPr>
            <w:r w:rsidRPr="002029AF">
              <w:t>10</w:t>
            </w:r>
          </w:p>
        </w:tc>
        <w:tc>
          <w:tcPr>
            <w:tcW w:w="1020" w:type="dxa"/>
            <w:shd w:val="clear" w:color="auto" w:fill="auto"/>
            <w:hideMark/>
          </w:tcPr>
          <w:p w14:paraId="4EB1A8EE" w14:textId="77777777" w:rsidR="00C15C65" w:rsidRPr="002029AF" w:rsidRDefault="00C15C65" w:rsidP="005B58F0">
            <w:pPr>
              <w:pStyle w:val="ARtabletextright"/>
            </w:pPr>
            <w:r w:rsidRPr="002029AF">
              <w:t>8.9</w:t>
            </w:r>
          </w:p>
        </w:tc>
        <w:tc>
          <w:tcPr>
            <w:tcW w:w="1022" w:type="dxa"/>
            <w:shd w:val="clear" w:color="auto" w:fill="auto"/>
          </w:tcPr>
          <w:p w14:paraId="10AA9465" w14:textId="77777777" w:rsidR="00C15C65" w:rsidRPr="002029AF" w:rsidRDefault="00C15C65" w:rsidP="005B58F0">
            <w:pPr>
              <w:pStyle w:val="ARtabletextright"/>
            </w:pPr>
            <w:r w:rsidRPr="002029AF">
              <w:t>-11.0</w:t>
            </w:r>
          </w:p>
        </w:tc>
        <w:tc>
          <w:tcPr>
            <w:tcW w:w="796" w:type="dxa"/>
            <w:shd w:val="clear" w:color="auto" w:fill="auto"/>
            <w:hideMark/>
          </w:tcPr>
          <w:p w14:paraId="7B0BA9AD"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0E019049" w14:textId="77777777" w:rsidTr="00192EEE">
        <w:trPr>
          <w:gridAfter w:val="1"/>
          <w:wAfter w:w="6" w:type="dxa"/>
          <w:cantSplit/>
        </w:trPr>
        <w:tc>
          <w:tcPr>
            <w:tcW w:w="9633" w:type="dxa"/>
            <w:gridSpan w:val="6"/>
            <w:tcBorders>
              <w:bottom w:val="single" w:sz="4" w:space="0" w:color="BFBFBF"/>
            </w:tcBorders>
            <w:shd w:val="clear" w:color="auto" w:fill="auto"/>
            <w:noWrap/>
            <w:hideMark/>
          </w:tcPr>
          <w:p w14:paraId="0AC6F715" w14:textId="51C9D8E2" w:rsidR="00C15C65" w:rsidRPr="002029AF" w:rsidRDefault="00C15C65" w:rsidP="002C5190">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by</w:t>
            </w:r>
            <w:r w:rsidR="000A5329" w:rsidRPr="002029AF">
              <w:t xml:space="preserve"> </w:t>
            </w:r>
            <w:r w:rsidRPr="002029AF">
              <w:t>late</w:t>
            </w:r>
            <w:r w:rsidR="000A5329" w:rsidRPr="002029AF">
              <w:t xml:space="preserve"> </w:t>
            </w:r>
            <w:r w:rsidRPr="002029AF">
              <w:t>2020.</w:t>
            </w:r>
          </w:p>
        </w:tc>
      </w:tr>
      <w:tr w:rsidR="00C15C65" w:rsidRPr="002029AF" w14:paraId="766AC439" w14:textId="77777777" w:rsidTr="00192EEE">
        <w:trPr>
          <w:gridAfter w:val="1"/>
          <w:wAfter w:w="6" w:type="dxa"/>
          <w:cantSplit/>
        </w:trPr>
        <w:tc>
          <w:tcPr>
            <w:tcW w:w="4756" w:type="dxa"/>
            <w:shd w:val="clear" w:color="auto" w:fill="auto"/>
            <w:hideMark/>
          </w:tcPr>
          <w:p w14:paraId="6D090813" w14:textId="2ACE5EEA" w:rsidR="00C15C65" w:rsidRPr="002029AF" w:rsidRDefault="00C15C65" w:rsidP="00C40F5D">
            <w:pPr>
              <w:pStyle w:val="ARtabletext"/>
            </w:pPr>
            <w:r w:rsidRPr="002029AF">
              <w:t>Unplanned/unexpected</w:t>
            </w:r>
            <w:r w:rsidR="000A5329" w:rsidRPr="002029AF">
              <w:t xml:space="preserve"> </w:t>
            </w:r>
            <w:r w:rsidRPr="002029AF">
              <w:t>readmission</w:t>
            </w:r>
            <w:r w:rsidR="000A5329" w:rsidRPr="002029AF">
              <w:t xml:space="preserve"> </w:t>
            </w:r>
            <w:r w:rsidRPr="002029AF">
              <w:t>for</w:t>
            </w:r>
            <w:r w:rsidR="000A5329" w:rsidRPr="002029AF">
              <w:t xml:space="preserve"> </w:t>
            </w:r>
            <w:r w:rsidRPr="002029AF">
              <w:t>hip</w:t>
            </w:r>
            <w:r w:rsidR="000A5329" w:rsidRPr="002029AF">
              <w:t xml:space="preserve"> </w:t>
            </w:r>
            <w:r w:rsidRPr="002029AF">
              <w:t>replacement</w:t>
            </w:r>
          </w:p>
        </w:tc>
        <w:tc>
          <w:tcPr>
            <w:tcW w:w="1019" w:type="dxa"/>
            <w:shd w:val="clear" w:color="auto" w:fill="auto"/>
            <w:hideMark/>
          </w:tcPr>
          <w:p w14:paraId="0E87ACA7" w14:textId="310FCE65" w:rsidR="00C15C65" w:rsidRPr="002029AF" w:rsidRDefault="00C15C65" w:rsidP="00C40F5D">
            <w:pPr>
              <w:pStyle w:val="ARtabletext"/>
            </w:pPr>
            <w:r w:rsidRPr="002029AF">
              <w:t>per</w:t>
            </w:r>
            <w:r w:rsidR="000A5329" w:rsidRPr="002029AF">
              <w:t xml:space="preserve"> </w:t>
            </w:r>
            <w:r w:rsidRPr="002029AF">
              <w:t>cent</w:t>
            </w:r>
          </w:p>
        </w:tc>
        <w:tc>
          <w:tcPr>
            <w:tcW w:w="1020" w:type="dxa"/>
            <w:shd w:val="clear" w:color="auto" w:fill="auto"/>
            <w:hideMark/>
          </w:tcPr>
          <w:p w14:paraId="05F73DF1" w14:textId="77777777" w:rsidR="00C15C65" w:rsidRPr="002029AF" w:rsidRDefault="00C15C65" w:rsidP="005B58F0">
            <w:pPr>
              <w:pStyle w:val="ARtabletextright"/>
            </w:pPr>
            <w:r w:rsidRPr="002029AF">
              <w:t>2.5</w:t>
            </w:r>
          </w:p>
        </w:tc>
        <w:tc>
          <w:tcPr>
            <w:tcW w:w="1020" w:type="dxa"/>
            <w:shd w:val="clear" w:color="auto" w:fill="auto"/>
            <w:hideMark/>
          </w:tcPr>
          <w:p w14:paraId="790FEDA9" w14:textId="77777777" w:rsidR="00C15C65" w:rsidRPr="002029AF" w:rsidRDefault="00C15C65" w:rsidP="005B58F0">
            <w:pPr>
              <w:pStyle w:val="ARtabletextright"/>
            </w:pPr>
            <w:r w:rsidRPr="002029AF">
              <w:t>3.7</w:t>
            </w:r>
          </w:p>
        </w:tc>
        <w:tc>
          <w:tcPr>
            <w:tcW w:w="1022" w:type="dxa"/>
            <w:shd w:val="clear" w:color="auto" w:fill="auto"/>
          </w:tcPr>
          <w:p w14:paraId="731D658D" w14:textId="77777777" w:rsidR="00C15C65" w:rsidRPr="002029AF" w:rsidRDefault="00C15C65" w:rsidP="005B58F0">
            <w:pPr>
              <w:pStyle w:val="ARtabletextright"/>
            </w:pPr>
            <w:r w:rsidRPr="002029AF">
              <w:t>48.0</w:t>
            </w:r>
          </w:p>
        </w:tc>
        <w:tc>
          <w:tcPr>
            <w:tcW w:w="796" w:type="dxa"/>
            <w:shd w:val="clear" w:color="auto" w:fill="auto"/>
            <w:hideMark/>
          </w:tcPr>
          <w:p w14:paraId="49CDC77C"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2C2F2C04" w14:textId="77777777" w:rsidTr="00192EEE">
        <w:trPr>
          <w:gridAfter w:val="1"/>
          <w:wAfter w:w="6" w:type="dxa"/>
          <w:cantSplit/>
        </w:trPr>
        <w:tc>
          <w:tcPr>
            <w:tcW w:w="9633" w:type="dxa"/>
            <w:gridSpan w:val="6"/>
            <w:tcBorders>
              <w:bottom w:val="single" w:sz="4" w:space="0" w:color="BFBFBF"/>
            </w:tcBorders>
            <w:shd w:val="clear" w:color="auto" w:fill="auto"/>
            <w:noWrap/>
            <w:hideMark/>
          </w:tcPr>
          <w:p w14:paraId="78F6B949" w14:textId="5338E0A0" w:rsidR="00C15C65" w:rsidRPr="002029AF" w:rsidRDefault="00C15C65" w:rsidP="00251E7B">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by</w:t>
            </w:r>
            <w:r w:rsidR="000A5329" w:rsidRPr="002029AF">
              <w:t xml:space="preserve"> </w:t>
            </w:r>
            <w:r w:rsidRPr="002029AF">
              <w:t>late</w:t>
            </w:r>
            <w:r w:rsidR="000A5329" w:rsidRPr="002029AF">
              <w:t xml:space="preserve"> </w:t>
            </w:r>
            <w:r w:rsidRPr="002029AF">
              <w:t>2020.</w:t>
            </w:r>
            <w:r w:rsidR="000A5329" w:rsidRPr="002029AF">
              <w:t xml:space="preserve"> </w:t>
            </w: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00251E7B">
              <w:t>14</w:t>
            </w:r>
            <w:r w:rsidR="00251E7B" w:rsidRPr="002029AF">
              <w:t xml:space="preserve"> </w:t>
            </w:r>
            <w:r w:rsidRPr="002029AF">
              <w:t>health</w:t>
            </w:r>
            <w:r w:rsidR="000A5329" w:rsidRPr="002029AF">
              <w:t xml:space="preserve"> </w:t>
            </w:r>
            <w:r w:rsidRPr="002029AF">
              <w:t>services</w:t>
            </w:r>
            <w:r w:rsidR="000A5329" w:rsidRPr="002029AF">
              <w:t xml:space="preserve"> </w:t>
            </w:r>
            <w:r w:rsidRPr="002029AF">
              <w:t>not</w:t>
            </w:r>
            <w:r w:rsidR="000A5329" w:rsidRPr="002029AF">
              <w:t xml:space="preserve"> </w:t>
            </w:r>
            <w:r w:rsidRPr="002029AF">
              <w:t>achieving</w:t>
            </w:r>
            <w:r w:rsidR="000A5329" w:rsidRPr="002029AF">
              <w:t xml:space="preserve"> </w:t>
            </w:r>
            <w:r w:rsidRPr="002029AF">
              <w:t>the</w:t>
            </w:r>
            <w:r w:rsidR="000A5329" w:rsidRPr="002029AF">
              <w:t xml:space="preserve"> </w:t>
            </w:r>
            <w:r w:rsidRPr="002029AF">
              <w:t>target.</w:t>
            </w:r>
            <w:r w:rsidR="000A5329" w:rsidRPr="002029AF">
              <w:t xml:space="preserve"> </w:t>
            </w:r>
            <w:r w:rsidRPr="002029AF">
              <w:t>S</w:t>
            </w:r>
            <w:r w:rsidR="00251E7B">
              <w:t xml:space="preserve">afer </w:t>
            </w:r>
            <w:r w:rsidRPr="002029AF">
              <w:t>C</w:t>
            </w:r>
            <w:r w:rsidR="00251E7B">
              <w:t xml:space="preserve">are </w:t>
            </w:r>
            <w:r w:rsidRPr="002029AF">
              <w:t>V</w:t>
            </w:r>
            <w:r w:rsidR="00251E7B">
              <w:t>ictoria</w:t>
            </w:r>
            <w:r w:rsidR="000A5329" w:rsidRPr="002029AF">
              <w:t xml:space="preserve"> </w:t>
            </w:r>
            <w:r w:rsidRPr="002029AF">
              <w:t>has</w:t>
            </w:r>
            <w:r w:rsidR="000A5329" w:rsidRPr="002029AF">
              <w:t xml:space="preserve"> </w:t>
            </w:r>
            <w:r w:rsidRPr="002029AF">
              <w:t>monitored</w:t>
            </w:r>
            <w:r w:rsidR="000A5329" w:rsidRPr="002029AF">
              <w:t xml:space="preserve"> </w:t>
            </w:r>
            <w:r w:rsidRPr="002029AF">
              <w:t>all</w:t>
            </w:r>
            <w:r w:rsidR="000A5329" w:rsidRPr="002029AF">
              <w:t xml:space="preserve"> </w:t>
            </w:r>
            <w:r w:rsidRPr="002029AF">
              <w:t>above</w:t>
            </w:r>
            <w:r w:rsidR="00251E7B">
              <w:t>-</w:t>
            </w:r>
            <w:r w:rsidRPr="002029AF">
              <w:t>target</w:t>
            </w:r>
            <w:r w:rsidR="000A5329" w:rsidRPr="002029AF">
              <w:t xml:space="preserve"> </w:t>
            </w:r>
            <w:r w:rsidRPr="002029AF">
              <w:t>performance</w:t>
            </w:r>
            <w:r w:rsidR="000A5329" w:rsidRPr="002029AF">
              <w:t xml:space="preserve"> </w:t>
            </w:r>
            <w:r w:rsidRPr="002029AF">
              <w:t>to</w:t>
            </w:r>
            <w:r w:rsidR="000A5329" w:rsidRPr="002029AF">
              <w:t xml:space="preserve"> </w:t>
            </w:r>
            <w:r w:rsidRPr="002029AF">
              <w:t>ensure</w:t>
            </w:r>
            <w:r w:rsidR="000A5329" w:rsidRPr="002029AF">
              <w:t xml:space="preserve"> </w:t>
            </w:r>
            <w:r w:rsidRPr="002029AF">
              <w:t>that</w:t>
            </w:r>
            <w:r w:rsidR="000A5329" w:rsidRPr="002029AF">
              <w:t xml:space="preserve"> </w:t>
            </w:r>
            <w:r w:rsidRPr="002029AF">
              <w:t>the</w:t>
            </w:r>
            <w:r w:rsidR="000A5329" w:rsidRPr="002029AF">
              <w:t xml:space="preserve"> </w:t>
            </w:r>
            <w:r w:rsidRPr="002029AF">
              <w:t>risk</w:t>
            </w:r>
            <w:r w:rsidR="000A5329" w:rsidRPr="002029AF">
              <w:t xml:space="preserve"> </w:t>
            </w:r>
            <w:r w:rsidRPr="002029AF">
              <w:t>of</w:t>
            </w:r>
            <w:r w:rsidR="000A5329" w:rsidRPr="002029AF">
              <w:t xml:space="preserve"> </w:t>
            </w:r>
            <w:r w:rsidRPr="002029AF">
              <w:t>patient</w:t>
            </w:r>
            <w:r w:rsidR="000A5329" w:rsidRPr="002029AF">
              <w:t xml:space="preserve"> </w:t>
            </w:r>
            <w:r w:rsidRPr="002029AF">
              <w:t>harm</w:t>
            </w:r>
            <w:r w:rsidR="000A5329" w:rsidRPr="002029AF">
              <w:t xml:space="preserve"> </w:t>
            </w:r>
            <w:r w:rsidRPr="002029AF">
              <w:t>is</w:t>
            </w:r>
            <w:r w:rsidR="000A5329" w:rsidRPr="002029AF">
              <w:t xml:space="preserve"> </w:t>
            </w:r>
            <w:r w:rsidRPr="002029AF">
              <w:t>minimised.</w:t>
            </w:r>
          </w:p>
        </w:tc>
      </w:tr>
      <w:tr w:rsidR="00C15C65" w:rsidRPr="002029AF" w14:paraId="202BDA47" w14:textId="77777777" w:rsidTr="00192EEE">
        <w:trPr>
          <w:gridAfter w:val="1"/>
          <w:wAfter w:w="6" w:type="dxa"/>
          <w:cantSplit/>
        </w:trPr>
        <w:tc>
          <w:tcPr>
            <w:tcW w:w="4756" w:type="dxa"/>
            <w:shd w:val="clear" w:color="auto" w:fill="auto"/>
            <w:hideMark/>
          </w:tcPr>
          <w:p w14:paraId="28B87118" w14:textId="0F636340" w:rsidR="00C15C65" w:rsidRPr="002029AF" w:rsidRDefault="00C15C65" w:rsidP="00860E95">
            <w:pPr>
              <w:pStyle w:val="ARtabletext"/>
              <w:keepNext/>
            </w:pPr>
            <w:r w:rsidRPr="002029AF">
              <w:t>Unplanned/unexpected</w:t>
            </w:r>
            <w:r w:rsidR="000A5329" w:rsidRPr="002029AF">
              <w:t xml:space="preserve"> </w:t>
            </w:r>
            <w:r w:rsidRPr="002029AF">
              <w:t>readmission</w:t>
            </w:r>
            <w:r w:rsidR="000A5329" w:rsidRPr="002029AF">
              <w:t xml:space="preserve"> </w:t>
            </w:r>
            <w:r w:rsidRPr="002029AF">
              <w:t>for</w:t>
            </w:r>
            <w:r w:rsidR="000A5329" w:rsidRPr="002029AF">
              <w:t xml:space="preserve"> </w:t>
            </w:r>
            <w:r w:rsidRPr="002029AF">
              <w:t>paediatric</w:t>
            </w:r>
            <w:r w:rsidR="000A5329" w:rsidRPr="002029AF">
              <w:t xml:space="preserve"> </w:t>
            </w:r>
            <w:r w:rsidRPr="002029AF">
              <w:t>tonsillectomy</w:t>
            </w:r>
            <w:r w:rsidR="000A5329" w:rsidRPr="002029AF">
              <w:t xml:space="preserve"> </w:t>
            </w:r>
            <w:r w:rsidRPr="002029AF">
              <w:t>and</w:t>
            </w:r>
            <w:r w:rsidR="000A5329" w:rsidRPr="002029AF">
              <w:t xml:space="preserve"> </w:t>
            </w:r>
            <w:r w:rsidRPr="002029AF">
              <w:t>adenoidectomy</w:t>
            </w:r>
          </w:p>
        </w:tc>
        <w:tc>
          <w:tcPr>
            <w:tcW w:w="1019" w:type="dxa"/>
            <w:shd w:val="clear" w:color="auto" w:fill="auto"/>
            <w:hideMark/>
          </w:tcPr>
          <w:p w14:paraId="46D75ED0" w14:textId="168509E8" w:rsidR="00C15C65" w:rsidRPr="002029AF" w:rsidRDefault="00C15C65" w:rsidP="00C40F5D">
            <w:pPr>
              <w:pStyle w:val="ARtabletext"/>
            </w:pPr>
            <w:r w:rsidRPr="002029AF">
              <w:t>per</w:t>
            </w:r>
            <w:r w:rsidR="000A5329" w:rsidRPr="002029AF">
              <w:t xml:space="preserve"> </w:t>
            </w:r>
            <w:r w:rsidRPr="002029AF">
              <w:t>cent</w:t>
            </w:r>
          </w:p>
        </w:tc>
        <w:tc>
          <w:tcPr>
            <w:tcW w:w="1020" w:type="dxa"/>
            <w:shd w:val="clear" w:color="auto" w:fill="auto"/>
            <w:hideMark/>
          </w:tcPr>
          <w:p w14:paraId="4F5D3B23" w14:textId="77777777" w:rsidR="00C15C65" w:rsidRPr="002029AF" w:rsidRDefault="00C15C65" w:rsidP="005B58F0">
            <w:pPr>
              <w:pStyle w:val="ARtabletextright"/>
            </w:pPr>
            <w:r w:rsidRPr="002029AF">
              <w:t>2.2</w:t>
            </w:r>
          </w:p>
        </w:tc>
        <w:tc>
          <w:tcPr>
            <w:tcW w:w="1020" w:type="dxa"/>
            <w:shd w:val="clear" w:color="auto" w:fill="auto"/>
            <w:hideMark/>
          </w:tcPr>
          <w:p w14:paraId="46B284EE" w14:textId="77777777" w:rsidR="00C15C65" w:rsidRPr="002029AF" w:rsidRDefault="00C15C65" w:rsidP="005B58F0">
            <w:pPr>
              <w:pStyle w:val="ARtabletextright"/>
            </w:pPr>
            <w:r w:rsidRPr="002029AF">
              <w:t>2.8</w:t>
            </w:r>
          </w:p>
        </w:tc>
        <w:tc>
          <w:tcPr>
            <w:tcW w:w="1022" w:type="dxa"/>
            <w:shd w:val="clear" w:color="auto" w:fill="auto"/>
          </w:tcPr>
          <w:p w14:paraId="49A288C9" w14:textId="77777777" w:rsidR="00C15C65" w:rsidRPr="002029AF" w:rsidRDefault="00C15C65" w:rsidP="005B58F0">
            <w:pPr>
              <w:pStyle w:val="ARtabletextright"/>
            </w:pPr>
            <w:r w:rsidRPr="002029AF">
              <w:t>27.3</w:t>
            </w:r>
          </w:p>
        </w:tc>
        <w:tc>
          <w:tcPr>
            <w:tcW w:w="796" w:type="dxa"/>
            <w:shd w:val="clear" w:color="auto" w:fill="auto"/>
            <w:hideMark/>
          </w:tcPr>
          <w:p w14:paraId="7B665731"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36BB759D" w14:textId="77777777" w:rsidTr="00192EEE">
        <w:trPr>
          <w:gridAfter w:val="1"/>
          <w:wAfter w:w="6" w:type="dxa"/>
          <w:cantSplit/>
        </w:trPr>
        <w:tc>
          <w:tcPr>
            <w:tcW w:w="9633" w:type="dxa"/>
            <w:gridSpan w:val="6"/>
            <w:tcBorders>
              <w:bottom w:val="single" w:sz="4" w:space="0" w:color="BFBFBF"/>
            </w:tcBorders>
            <w:shd w:val="clear" w:color="auto" w:fill="auto"/>
            <w:noWrap/>
            <w:hideMark/>
          </w:tcPr>
          <w:p w14:paraId="4D61A9C9" w14:textId="7B1F3F35" w:rsidR="00C15C65" w:rsidRPr="002029AF" w:rsidRDefault="00C15C65" w:rsidP="00251E7B">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by</w:t>
            </w:r>
            <w:r w:rsidR="000A5329" w:rsidRPr="002029AF">
              <w:t xml:space="preserve"> </w:t>
            </w:r>
            <w:r w:rsidRPr="002029AF">
              <w:t>late</w:t>
            </w:r>
            <w:r w:rsidR="000A5329" w:rsidRPr="002029AF">
              <w:t xml:space="preserve"> </w:t>
            </w:r>
            <w:r w:rsidRPr="002029AF">
              <w:t>2020.</w:t>
            </w:r>
            <w:r w:rsidR="000A5329" w:rsidRPr="002029AF">
              <w:t xml:space="preserve"> </w:t>
            </w: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00251E7B">
              <w:t>10</w:t>
            </w:r>
            <w:r w:rsidR="00251E7B" w:rsidRPr="002029AF">
              <w:t xml:space="preserve"> </w:t>
            </w:r>
            <w:r w:rsidRPr="002029AF">
              <w:t>health</w:t>
            </w:r>
            <w:r w:rsidR="000A5329" w:rsidRPr="002029AF">
              <w:t xml:space="preserve"> </w:t>
            </w:r>
            <w:r w:rsidRPr="002029AF">
              <w:t>services</w:t>
            </w:r>
            <w:r w:rsidR="000A5329" w:rsidRPr="002029AF">
              <w:t xml:space="preserve"> </w:t>
            </w:r>
            <w:r w:rsidRPr="002029AF">
              <w:t>not</w:t>
            </w:r>
            <w:r w:rsidR="000A5329" w:rsidRPr="002029AF">
              <w:t xml:space="preserve"> </w:t>
            </w:r>
            <w:r w:rsidRPr="002029AF">
              <w:t>achieving</w:t>
            </w:r>
            <w:r w:rsidR="000A5329" w:rsidRPr="002029AF">
              <w:t xml:space="preserve"> </w:t>
            </w:r>
            <w:r w:rsidRPr="002029AF">
              <w:t>the</w:t>
            </w:r>
            <w:r w:rsidR="000A5329" w:rsidRPr="002029AF">
              <w:t xml:space="preserve"> </w:t>
            </w:r>
            <w:r w:rsidRPr="002029AF">
              <w:t>target</w:t>
            </w:r>
            <w:r w:rsidR="000A5329" w:rsidRPr="002029AF">
              <w:t xml:space="preserve"> </w:t>
            </w:r>
            <w:r w:rsidRPr="002029AF">
              <w:t>for</w:t>
            </w:r>
            <w:r w:rsidR="000A5329" w:rsidRPr="002029AF">
              <w:t xml:space="preserve"> </w:t>
            </w:r>
            <w:r w:rsidRPr="002029AF">
              <w:t>this</w:t>
            </w:r>
            <w:r w:rsidR="000A5329" w:rsidRPr="002029AF">
              <w:t xml:space="preserve"> </w:t>
            </w:r>
            <w:r w:rsidRPr="002029AF">
              <w:t>measure.</w:t>
            </w:r>
            <w:r w:rsidR="000A5329" w:rsidRPr="002029AF">
              <w:t xml:space="preserve"> </w:t>
            </w:r>
            <w:r w:rsidRPr="002029AF">
              <w:t>S</w:t>
            </w:r>
            <w:r w:rsidR="00251E7B">
              <w:t xml:space="preserve">afer </w:t>
            </w:r>
            <w:r w:rsidRPr="002029AF">
              <w:t>C</w:t>
            </w:r>
            <w:r w:rsidR="00251E7B">
              <w:t xml:space="preserve">are </w:t>
            </w:r>
            <w:r w:rsidRPr="002029AF">
              <w:t>V</w:t>
            </w:r>
            <w:r w:rsidR="00251E7B">
              <w:t>ictoria</w:t>
            </w:r>
            <w:r w:rsidR="000A5329" w:rsidRPr="002029AF">
              <w:t xml:space="preserve"> </w:t>
            </w:r>
            <w:r w:rsidRPr="002029AF">
              <w:t>has</w:t>
            </w:r>
            <w:r w:rsidR="000A5329" w:rsidRPr="002029AF">
              <w:t xml:space="preserve"> </w:t>
            </w:r>
            <w:r w:rsidRPr="002029AF">
              <w:t>monitored</w:t>
            </w:r>
            <w:r w:rsidR="000A5329" w:rsidRPr="002029AF">
              <w:t xml:space="preserve"> </w:t>
            </w:r>
            <w:r w:rsidRPr="002029AF">
              <w:t>all</w:t>
            </w:r>
            <w:r w:rsidR="000A5329" w:rsidRPr="002029AF">
              <w:t xml:space="preserve"> </w:t>
            </w:r>
            <w:r w:rsidRPr="002029AF">
              <w:t>above</w:t>
            </w:r>
            <w:r w:rsidR="00251E7B">
              <w:t>-</w:t>
            </w:r>
            <w:r w:rsidRPr="002029AF">
              <w:t>target</w:t>
            </w:r>
            <w:r w:rsidR="000A5329" w:rsidRPr="002029AF">
              <w:t xml:space="preserve"> </w:t>
            </w:r>
            <w:r w:rsidRPr="002029AF">
              <w:t>performance</w:t>
            </w:r>
            <w:r w:rsidR="000A5329" w:rsidRPr="002029AF">
              <w:t xml:space="preserve"> </w:t>
            </w:r>
            <w:r w:rsidRPr="002029AF">
              <w:t>to</w:t>
            </w:r>
            <w:r w:rsidR="000A5329" w:rsidRPr="002029AF">
              <w:t xml:space="preserve"> </w:t>
            </w:r>
            <w:r w:rsidRPr="002029AF">
              <w:t>ensure</w:t>
            </w:r>
            <w:r w:rsidR="000A5329" w:rsidRPr="002029AF">
              <w:t xml:space="preserve"> </w:t>
            </w:r>
            <w:r w:rsidRPr="002029AF">
              <w:t>that</w:t>
            </w:r>
            <w:r w:rsidR="000A5329" w:rsidRPr="002029AF">
              <w:t xml:space="preserve"> </w:t>
            </w:r>
            <w:r w:rsidRPr="002029AF">
              <w:t>the</w:t>
            </w:r>
            <w:r w:rsidR="000A5329" w:rsidRPr="002029AF">
              <w:t xml:space="preserve"> </w:t>
            </w:r>
            <w:r w:rsidRPr="002029AF">
              <w:t>risk</w:t>
            </w:r>
            <w:r w:rsidR="000A5329" w:rsidRPr="002029AF">
              <w:t xml:space="preserve"> </w:t>
            </w:r>
            <w:r w:rsidRPr="002029AF">
              <w:t>of</w:t>
            </w:r>
            <w:r w:rsidR="000A5329" w:rsidRPr="002029AF">
              <w:t xml:space="preserve"> </w:t>
            </w:r>
            <w:r w:rsidRPr="002029AF">
              <w:t>patient</w:t>
            </w:r>
            <w:r w:rsidR="000A5329" w:rsidRPr="002029AF">
              <w:t xml:space="preserve"> </w:t>
            </w:r>
            <w:r w:rsidRPr="002029AF">
              <w:t>harm</w:t>
            </w:r>
            <w:r w:rsidR="000A5329" w:rsidRPr="002029AF">
              <w:t xml:space="preserve"> </w:t>
            </w:r>
            <w:r w:rsidRPr="002029AF">
              <w:t>is</w:t>
            </w:r>
            <w:r w:rsidR="000A5329" w:rsidRPr="002029AF">
              <w:t xml:space="preserve"> </w:t>
            </w:r>
            <w:r w:rsidRPr="002029AF">
              <w:t>minimised.</w:t>
            </w:r>
          </w:p>
        </w:tc>
      </w:tr>
      <w:tr w:rsidR="00C15C65" w:rsidRPr="002029AF" w14:paraId="45AEE53A" w14:textId="77777777" w:rsidTr="009950F3">
        <w:trPr>
          <w:gridAfter w:val="1"/>
          <w:wAfter w:w="6" w:type="dxa"/>
          <w:cantSplit/>
        </w:trPr>
        <w:tc>
          <w:tcPr>
            <w:tcW w:w="4756" w:type="dxa"/>
            <w:shd w:val="clear" w:color="auto" w:fill="auto"/>
            <w:hideMark/>
          </w:tcPr>
          <w:p w14:paraId="509BC999" w14:textId="32C8A7FE" w:rsidR="00C15C65" w:rsidRPr="002029AF" w:rsidRDefault="00C15C65" w:rsidP="00C40F5D">
            <w:pPr>
              <w:pStyle w:val="ARtabletext"/>
            </w:pPr>
            <w:r w:rsidRPr="002029AF">
              <w:t>Unplanned/unexpected</w:t>
            </w:r>
            <w:r w:rsidR="000A5329" w:rsidRPr="002029AF">
              <w:t xml:space="preserve"> </w:t>
            </w:r>
            <w:r w:rsidRPr="002029AF">
              <w:t>readmission</w:t>
            </w:r>
            <w:r w:rsidR="000A5329" w:rsidRPr="002029AF">
              <w:t xml:space="preserve"> </w:t>
            </w:r>
            <w:r w:rsidRPr="002029AF">
              <w:t>for</w:t>
            </w:r>
            <w:r w:rsidR="000A5329" w:rsidRPr="002029AF">
              <w:t xml:space="preserve"> </w:t>
            </w:r>
            <w:r w:rsidRPr="002029AF">
              <w:t>knee</w:t>
            </w:r>
            <w:r w:rsidR="000A5329" w:rsidRPr="002029AF">
              <w:t xml:space="preserve"> </w:t>
            </w:r>
            <w:r w:rsidRPr="002029AF">
              <w:t>replacement</w:t>
            </w:r>
          </w:p>
        </w:tc>
        <w:tc>
          <w:tcPr>
            <w:tcW w:w="1019" w:type="dxa"/>
            <w:shd w:val="clear" w:color="auto" w:fill="auto"/>
            <w:hideMark/>
          </w:tcPr>
          <w:p w14:paraId="0391C9F4" w14:textId="23FD6F6C" w:rsidR="00C15C65" w:rsidRPr="002029AF" w:rsidRDefault="00C15C65" w:rsidP="00C40F5D">
            <w:pPr>
              <w:pStyle w:val="ARtabletext"/>
            </w:pPr>
            <w:r w:rsidRPr="002029AF">
              <w:t>per</w:t>
            </w:r>
            <w:r w:rsidR="000A5329" w:rsidRPr="002029AF">
              <w:t xml:space="preserve"> </w:t>
            </w:r>
            <w:r w:rsidRPr="002029AF">
              <w:t>cent</w:t>
            </w:r>
          </w:p>
        </w:tc>
        <w:tc>
          <w:tcPr>
            <w:tcW w:w="1020" w:type="dxa"/>
            <w:shd w:val="clear" w:color="auto" w:fill="auto"/>
            <w:hideMark/>
          </w:tcPr>
          <w:p w14:paraId="0AFD412D" w14:textId="77777777" w:rsidR="00C15C65" w:rsidRPr="002029AF" w:rsidRDefault="00C15C65" w:rsidP="0014376C">
            <w:pPr>
              <w:pStyle w:val="ARtabletextright"/>
            </w:pPr>
            <w:r w:rsidRPr="002029AF">
              <w:t>6</w:t>
            </w:r>
          </w:p>
        </w:tc>
        <w:tc>
          <w:tcPr>
            <w:tcW w:w="1020" w:type="dxa"/>
            <w:shd w:val="clear" w:color="auto" w:fill="auto"/>
            <w:hideMark/>
          </w:tcPr>
          <w:p w14:paraId="30BA2348" w14:textId="77777777" w:rsidR="00C15C65" w:rsidRPr="002029AF" w:rsidRDefault="00C15C65" w:rsidP="0014376C">
            <w:pPr>
              <w:pStyle w:val="ARtabletextright"/>
            </w:pPr>
            <w:r w:rsidRPr="002029AF">
              <w:t>4.9</w:t>
            </w:r>
          </w:p>
        </w:tc>
        <w:tc>
          <w:tcPr>
            <w:tcW w:w="1022" w:type="dxa"/>
            <w:shd w:val="clear" w:color="auto" w:fill="auto"/>
          </w:tcPr>
          <w:p w14:paraId="6FE84304" w14:textId="77777777" w:rsidR="00C15C65" w:rsidRPr="002029AF" w:rsidRDefault="00C15C65" w:rsidP="0014376C">
            <w:pPr>
              <w:pStyle w:val="ARtabletextright"/>
            </w:pPr>
            <w:r w:rsidRPr="002029AF">
              <w:t>-18.3</w:t>
            </w:r>
          </w:p>
        </w:tc>
        <w:tc>
          <w:tcPr>
            <w:tcW w:w="796" w:type="dxa"/>
            <w:shd w:val="clear" w:color="auto" w:fill="auto"/>
            <w:hideMark/>
          </w:tcPr>
          <w:p w14:paraId="3C5FE3B2"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5482CF95" w14:textId="77777777" w:rsidTr="009950F3">
        <w:trPr>
          <w:gridAfter w:val="1"/>
          <w:wAfter w:w="6" w:type="dxa"/>
          <w:cantSplit/>
        </w:trPr>
        <w:tc>
          <w:tcPr>
            <w:tcW w:w="9633" w:type="dxa"/>
            <w:gridSpan w:val="6"/>
            <w:tcBorders>
              <w:bottom w:val="single" w:sz="4" w:space="0" w:color="auto"/>
            </w:tcBorders>
            <w:shd w:val="clear" w:color="auto" w:fill="auto"/>
            <w:noWrap/>
            <w:hideMark/>
          </w:tcPr>
          <w:p w14:paraId="619CB96F" w14:textId="0513A64C" w:rsidR="00C15C65" w:rsidRPr="002029AF" w:rsidRDefault="00C15C65" w:rsidP="002C5190">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by</w:t>
            </w:r>
            <w:r w:rsidR="000A5329" w:rsidRPr="002029AF">
              <w:t xml:space="preserve"> </w:t>
            </w:r>
            <w:r w:rsidRPr="002029AF">
              <w:t>late</w:t>
            </w:r>
            <w:r w:rsidR="000A5329" w:rsidRPr="002029AF">
              <w:t xml:space="preserve"> </w:t>
            </w:r>
            <w:r w:rsidRPr="002029AF">
              <w:t>2020.</w:t>
            </w:r>
          </w:p>
        </w:tc>
      </w:tr>
      <w:tr w:rsidR="00C15C65" w:rsidRPr="002029AF" w14:paraId="113F9876" w14:textId="77777777" w:rsidTr="00192EEE">
        <w:trPr>
          <w:cantSplit/>
        </w:trPr>
        <w:tc>
          <w:tcPr>
            <w:tcW w:w="9639" w:type="dxa"/>
            <w:gridSpan w:val="7"/>
            <w:tcBorders>
              <w:top w:val="single" w:sz="4" w:space="0" w:color="auto"/>
              <w:left w:val="nil"/>
              <w:bottom w:val="nil"/>
              <w:right w:val="nil"/>
            </w:tcBorders>
            <w:hideMark/>
          </w:tcPr>
          <w:p w14:paraId="3962756D" w14:textId="77777777" w:rsidR="00C15C65" w:rsidRPr="002029AF" w:rsidRDefault="00C15C65" w:rsidP="007666A5">
            <w:pPr>
              <w:pStyle w:val="ARtablegreybold"/>
            </w:pPr>
            <w:r w:rsidRPr="002029AF">
              <w:lastRenderedPageBreak/>
              <w:t>Timeliness</w:t>
            </w:r>
          </w:p>
        </w:tc>
      </w:tr>
      <w:tr w:rsidR="00C15C65" w:rsidRPr="002029AF" w14:paraId="2E4A793E" w14:textId="77777777" w:rsidTr="00192EEE">
        <w:trPr>
          <w:gridAfter w:val="1"/>
          <w:wAfter w:w="6" w:type="dxa"/>
          <w:cantSplit/>
        </w:trPr>
        <w:tc>
          <w:tcPr>
            <w:tcW w:w="4756" w:type="dxa"/>
            <w:tcBorders>
              <w:bottom w:val="single" w:sz="4" w:space="0" w:color="BFBFBF"/>
            </w:tcBorders>
            <w:shd w:val="clear" w:color="auto" w:fill="auto"/>
            <w:hideMark/>
          </w:tcPr>
          <w:p w14:paraId="4FC8B3BE" w14:textId="2D5AEB40" w:rsidR="00C15C65" w:rsidRPr="002029AF" w:rsidRDefault="00C15C65" w:rsidP="00C40F5D">
            <w:pPr>
              <w:pStyle w:val="ARtabletext"/>
            </w:pPr>
            <w:r w:rsidRPr="002029AF">
              <w:t>Non-urgent</w:t>
            </w:r>
            <w:r w:rsidR="000A5329" w:rsidRPr="002029AF">
              <w:t xml:space="preserve"> </w:t>
            </w:r>
            <w:r w:rsidRPr="002029AF">
              <w:t>(Category</w:t>
            </w:r>
            <w:r w:rsidR="000A5329" w:rsidRPr="002029AF">
              <w:t xml:space="preserve"> </w:t>
            </w:r>
            <w:r w:rsidRPr="002029AF">
              <w:t>3)</w:t>
            </w:r>
            <w:r w:rsidR="000A5329" w:rsidRPr="002029AF">
              <w:t xml:space="preserve"> </w:t>
            </w:r>
            <w:r w:rsidRPr="002029AF">
              <w:t>elective</w:t>
            </w:r>
            <w:r w:rsidR="000A5329" w:rsidRPr="002029AF">
              <w:t xml:space="preserve"> </w:t>
            </w:r>
            <w:r w:rsidRPr="002029AF">
              <w:t>surgery</w:t>
            </w:r>
            <w:r w:rsidR="000A5329" w:rsidRPr="002029AF">
              <w:t xml:space="preserve"> </w:t>
            </w:r>
            <w:r w:rsidRPr="002029AF">
              <w:t>patients</w:t>
            </w:r>
            <w:r w:rsidR="000A5329" w:rsidRPr="002029AF">
              <w:t xml:space="preserve"> </w:t>
            </w:r>
            <w:r w:rsidRPr="002029AF">
              <w:t>admitted</w:t>
            </w:r>
            <w:r w:rsidR="000A5329" w:rsidRPr="002029AF">
              <w:t xml:space="preserve"> </w:t>
            </w:r>
            <w:r w:rsidRPr="002029AF">
              <w:t>within</w:t>
            </w:r>
            <w:r w:rsidR="000A5329" w:rsidRPr="002029AF">
              <w:t xml:space="preserve"> </w:t>
            </w:r>
            <w:r w:rsidRPr="002029AF">
              <w:t>365</w:t>
            </w:r>
            <w:r w:rsidR="000A5329" w:rsidRPr="002029AF">
              <w:t xml:space="preserve"> </w:t>
            </w:r>
            <w:r w:rsidRPr="002029AF">
              <w:t>days</w:t>
            </w:r>
          </w:p>
        </w:tc>
        <w:tc>
          <w:tcPr>
            <w:tcW w:w="1019" w:type="dxa"/>
            <w:tcBorders>
              <w:bottom w:val="single" w:sz="4" w:space="0" w:color="BFBFBF"/>
            </w:tcBorders>
            <w:shd w:val="clear" w:color="auto" w:fill="auto"/>
            <w:hideMark/>
          </w:tcPr>
          <w:p w14:paraId="61A467CC" w14:textId="57D3548B" w:rsidR="00C15C65" w:rsidRPr="002029AF" w:rsidRDefault="00C15C65" w:rsidP="00C40F5D">
            <w:pPr>
              <w:pStyle w:val="ARtabletext"/>
            </w:pPr>
            <w:r w:rsidRPr="002029AF">
              <w:t>per</w:t>
            </w:r>
            <w:r w:rsidR="000A5329" w:rsidRPr="002029AF">
              <w:t xml:space="preserve"> </w:t>
            </w:r>
            <w:r w:rsidRPr="002029AF">
              <w:t>cent</w:t>
            </w:r>
          </w:p>
        </w:tc>
        <w:tc>
          <w:tcPr>
            <w:tcW w:w="1020" w:type="dxa"/>
            <w:tcBorders>
              <w:bottom w:val="single" w:sz="4" w:space="0" w:color="BFBFBF"/>
            </w:tcBorders>
            <w:shd w:val="clear" w:color="auto" w:fill="auto"/>
            <w:hideMark/>
          </w:tcPr>
          <w:p w14:paraId="7B2EECE6" w14:textId="77777777" w:rsidR="00C15C65" w:rsidRPr="002029AF" w:rsidRDefault="00C15C65" w:rsidP="0014376C">
            <w:pPr>
              <w:pStyle w:val="ARtabletextright"/>
            </w:pPr>
            <w:r w:rsidRPr="002029AF">
              <w:t>95</w:t>
            </w:r>
          </w:p>
        </w:tc>
        <w:tc>
          <w:tcPr>
            <w:tcW w:w="1020" w:type="dxa"/>
            <w:tcBorders>
              <w:bottom w:val="single" w:sz="4" w:space="0" w:color="BFBFBF"/>
            </w:tcBorders>
            <w:shd w:val="clear" w:color="auto" w:fill="auto"/>
            <w:hideMark/>
          </w:tcPr>
          <w:p w14:paraId="5243340E" w14:textId="77777777" w:rsidR="00C15C65" w:rsidRPr="002029AF" w:rsidRDefault="00C15C65" w:rsidP="0014376C">
            <w:pPr>
              <w:pStyle w:val="ARtabletextright"/>
            </w:pPr>
            <w:r w:rsidRPr="002029AF">
              <w:t>95.3</w:t>
            </w:r>
          </w:p>
        </w:tc>
        <w:tc>
          <w:tcPr>
            <w:tcW w:w="1022" w:type="dxa"/>
            <w:tcBorders>
              <w:bottom w:val="single" w:sz="4" w:space="0" w:color="BFBFBF"/>
            </w:tcBorders>
            <w:shd w:val="clear" w:color="auto" w:fill="auto"/>
          </w:tcPr>
          <w:p w14:paraId="7730EAB4" w14:textId="77777777" w:rsidR="00C15C65" w:rsidRPr="002029AF" w:rsidRDefault="00C15C65" w:rsidP="0014376C">
            <w:pPr>
              <w:pStyle w:val="ARtabletextright"/>
            </w:pPr>
            <w:r w:rsidRPr="002029AF">
              <w:t>0.3</w:t>
            </w:r>
          </w:p>
        </w:tc>
        <w:tc>
          <w:tcPr>
            <w:tcW w:w="796" w:type="dxa"/>
            <w:tcBorders>
              <w:bottom w:val="single" w:sz="4" w:space="0" w:color="BFBFBF"/>
            </w:tcBorders>
            <w:shd w:val="clear" w:color="auto" w:fill="auto"/>
            <w:hideMark/>
          </w:tcPr>
          <w:p w14:paraId="2AA8F1A1"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2AF0ECFF" w14:textId="77777777" w:rsidTr="00192EEE">
        <w:trPr>
          <w:gridAfter w:val="1"/>
          <w:wAfter w:w="6" w:type="dxa"/>
          <w:cantSplit/>
        </w:trPr>
        <w:tc>
          <w:tcPr>
            <w:tcW w:w="4756" w:type="dxa"/>
            <w:tcBorders>
              <w:top w:val="single" w:sz="4" w:space="0" w:color="BFBFBF"/>
            </w:tcBorders>
            <w:shd w:val="clear" w:color="auto" w:fill="auto"/>
            <w:hideMark/>
          </w:tcPr>
          <w:p w14:paraId="7A1A0B7F" w14:textId="7EC3EBB6" w:rsidR="00C15C65" w:rsidRPr="002029AF" w:rsidRDefault="00C15C65" w:rsidP="00C40F5D">
            <w:pPr>
              <w:pStyle w:val="ARtabletext"/>
            </w:pPr>
            <w:r w:rsidRPr="002029AF">
              <w:t>Semi-urgent</w:t>
            </w:r>
            <w:r w:rsidR="000A5329" w:rsidRPr="002029AF">
              <w:t xml:space="preserve"> </w:t>
            </w:r>
            <w:r w:rsidRPr="002029AF">
              <w:t>(Category</w:t>
            </w:r>
            <w:r w:rsidR="000A5329" w:rsidRPr="002029AF">
              <w:t xml:space="preserve"> </w:t>
            </w:r>
            <w:r w:rsidRPr="002029AF">
              <w:t>2)</w:t>
            </w:r>
            <w:r w:rsidR="000A5329" w:rsidRPr="002029AF">
              <w:t xml:space="preserve"> </w:t>
            </w:r>
            <w:r w:rsidRPr="002029AF">
              <w:t>elective</w:t>
            </w:r>
            <w:r w:rsidR="000A5329" w:rsidRPr="002029AF">
              <w:t xml:space="preserve"> </w:t>
            </w:r>
            <w:r w:rsidRPr="002029AF">
              <w:t>surgery</w:t>
            </w:r>
            <w:r w:rsidR="000A5329" w:rsidRPr="002029AF">
              <w:t xml:space="preserve"> </w:t>
            </w:r>
            <w:r w:rsidRPr="002029AF">
              <w:t>patients</w:t>
            </w:r>
            <w:r w:rsidR="000A5329" w:rsidRPr="002029AF">
              <w:t xml:space="preserve"> </w:t>
            </w:r>
            <w:r w:rsidRPr="002029AF">
              <w:t>admitted</w:t>
            </w:r>
            <w:r w:rsidR="000A5329" w:rsidRPr="002029AF">
              <w:t xml:space="preserve"> </w:t>
            </w:r>
            <w:r w:rsidRPr="002029AF">
              <w:t>within</w:t>
            </w:r>
            <w:r w:rsidR="000A5329" w:rsidRPr="002029AF">
              <w:t xml:space="preserve"> </w:t>
            </w:r>
            <w:r w:rsidRPr="002029AF">
              <w:t>90</w:t>
            </w:r>
            <w:r w:rsidR="000A5329" w:rsidRPr="002029AF">
              <w:t xml:space="preserve"> </w:t>
            </w:r>
            <w:r w:rsidRPr="002029AF">
              <w:t>days</w:t>
            </w:r>
          </w:p>
        </w:tc>
        <w:tc>
          <w:tcPr>
            <w:tcW w:w="1019" w:type="dxa"/>
            <w:tcBorders>
              <w:top w:val="single" w:sz="4" w:space="0" w:color="BFBFBF"/>
            </w:tcBorders>
            <w:shd w:val="clear" w:color="auto" w:fill="auto"/>
            <w:hideMark/>
          </w:tcPr>
          <w:p w14:paraId="54380E62" w14:textId="73EFB26D" w:rsidR="00C15C65" w:rsidRPr="002029AF" w:rsidRDefault="00C15C65" w:rsidP="00C40F5D">
            <w:pPr>
              <w:pStyle w:val="ARtabletext"/>
            </w:pPr>
            <w:r w:rsidRPr="002029AF">
              <w:t>per</w:t>
            </w:r>
            <w:r w:rsidR="000A5329" w:rsidRPr="002029AF">
              <w:t xml:space="preserve"> </w:t>
            </w:r>
            <w:r w:rsidRPr="002029AF">
              <w:t>cent</w:t>
            </w:r>
          </w:p>
        </w:tc>
        <w:tc>
          <w:tcPr>
            <w:tcW w:w="1020" w:type="dxa"/>
            <w:tcBorders>
              <w:top w:val="single" w:sz="4" w:space="0" w:color="BFBFBF"/>
            </w:tcBorders>
            <w:shd w:val="clear" w:color="auto" w:fill="auto"/>
            <w:hideMark/>
          </w:tcPr>
          <w:p w14:paraId="058C9A33" w14:textId="77777777" w:rsidR="00C15C65" w:rsidRPr="002029AF" w:rsidRDefault="00C15C65" w:rsidP="0014376C">
            <w:pPr>
              <w:pStyle w:val="ARtabletextright"/>
            </w:pPr>
            <w:r w:rsidRPr="002029AF">
              <w:t>83</w:t>
            </w:r>
          </w:p>
        </w:tc>
        <w:tc>
          <w:tcPr>
            <w:tcW w:w="1020" w:type="dxa"/>
            <w:tcBorders>
              <w:top w:val="single" w:sz="4" w:space="0" w:color="BFBFBF"/>
            </w:tcBorders>
            <w:shd w:val="clear" w:color="auto" w:fill="auto"/>
            <w:hideMark/>
          </w:tcPr>
          <w:p w14:paraId="7E044CC6" w14:textId="77777777" w:rsidR="00C15C65" w:rsidRPr="002029AF" w:rsidRDefault="00C15C65" w:rsidP="0014376C">
            <w:pPr>
              <w:pStyle w:val="ARtabletextright"/>
            </w:pPr>
            <w:r w:rsidRPr="002029AF">
              <w:t>76.1</w:t>
            </w:r>
          </w:p>
        </w:tc>
        <w:tc>
          <w:tcPr>
            <w:tcW w:w="1022" w:type="dxa"/>
            <w:tcBorders>
              <w:top w:val="single" w:sz="4" w:space="0" w:color="BFBFBF"/>
            </w:tcBorders>
            <w:shd w:val="clear" w:color="auto" w:fill="auto"/>
          </w:tcPr>
          <w:p w14:paraId="06023541" w14:textId="77777777" w:rsidR="00C15C65" w:rsidRPr="002029AF" w:rsidRDefault="00C15C65" w:rsidP="0014376C">
            <w:pPr>
              <w:pStyle w:val="ARtabletextright"/>
            </w:pPr>
            <w:r w:rsidRPr="002029AF">
              <w:t>-8.3</w:t>
            </w:r>
          </w:p>
        </w:tc>
        <w:tc>
          <w:tcPr>
            <w:tcW w:w="796" w:type="dxa"/>
            <w:tcBorders>
              <w:top w:val="single" w:sz="4" w:space="0" w:color="BFBFBF"/>
            </w:tcBorders>
            <w:shd w:val="clear" w:color="auto" w:fill="auto"/>
            <w:hideMark/>
          </w:tcPr>
          <w:p w14:paraId="1DC1B2B1"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356F2FAC" w14:textId="77777777" w:rsidTr="00192EEE">
        <w:trPr>
          <w:gridAfter w:val="1"/>
          <w:wAfter w:w="6" w:type="dxa"/>
          <w:cantSplit/>
        </w:trPr>
        <w:tc>
          <w:tcPr>
            <w:tcW w:w="9633" w:type="dxa"/>
            <w:gridSpan w:val="6"/>
            <w:tcBorders>
              <w:bottom w:val="single" w:sz="4" w:space="0" w:color="BFBFBF"/>
            </w:tcBorders>
            <w:shd w:val="clear" w:color="auto" w:fill="auto"/>
            <w:noWrap/>
            <w:hideMark/>
          </w:tcPr>
          <w:p w14:paraId="77C0AB0E" w14:textId="32166BB3" w:rsidR="00C15C65" w:rsidRPr="002029AF" w:rsidRDefault="00C15C65" w:rsidP="002C5190">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lower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as</w:t>
            </w:r>
            <w:r w:rsidR="000A5329" w:rsidRPr="002029AF">
              <w:t xml:space="preserve"> </w:t>
            </w:r>
            <w:r w:rsidRPr="002029AF">
              <w:t>the</w:t>
            </w:r>
            <w:r w:rsidR="000A5329" w:rsidRPr="002029AF">
              <w:t xml:space="preserve"> </w:t>
            </w:r>
            <w:r w:rsidRPr="002029AF">
              <w:t>measure</w:t>
            </w:r>
            <w:r w:rsidR="000A5329" w:rsidRPr="002029AF">
              <w:t xml:space="preserve"> </w:t>
            </w:r>
            <w:r w:rsidRPr="002029AF">
              <w:t>has</w:t>
            </w:r>
            <w:r w:rsidR="000A5329" w:rsidRPr="002029AF">
              <w:t xml:space="preserve"> </w:t>
            </w:r>
            <w:r w:rsidRPr="002029AF">
              <w:t>been</w:t>
            </w:r>
            <w:r w:rsidR="000A5329" w:rsidRPr="002029AF">
              <w:t xml:space="preserve"> </w:t>
            </w:r>
            <w:r w:rsidRPr="002029AF">
              <w:t>impacted</w:t>
            </w:r>
            <w:r w:rsidR="000A5329" w:rsidRPr="002029AF">
              <w:t xml:space="preserve"> </w:t>
            </w:r>
            <w:r w:rsidRPr="002029AF">
              <w:t>by</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restrictions.</w:t>
            </w:r>
          </w:p>
        </w:tc>
      </w:tr>
      <w:tr w:rsidR="00C15C65" w:rsidRPr="002029AF" w14:paraId="5563F351" w14:textId="77777777" w:rsidTr="00192EEE">
        <w:trPr>
          <w:gridAfter w:val="1"/>
          <w:wAfter w:w="6" w:type="dxa"/>
          <w:cantSplit/>
        </w:trPr>
        <w:tc>
          <w:tcPr>
            <w:tcW w:w="4756" w:type="dxa"/>
            <w:shd w:val="clear" w:color="auto" w:fill="auto"/>
            <w:hideMark/>
          </w:tcPr>
          <w:p w14:paraId="0584AF6E" w14:textId="337A61E5" w:rsidR="00C15C65" w:rsidRPr="002029AF" w:rsidRDefault="00C15C65" w:rsidP="00C40F5D">
            <w:pPr>
              <w:pStyle w:val="ARtabletext"/>
            </w:pPr>
            <w:r w:rsidRPr="002029AF">
              <w:t>Urgent</w:t>
            </w:r>
            <w:r w:rsidR="000A5329" w:rsidRPr="002029AF">
              <w:t xml:space="preserve"> </w:t>
            </w:r>
            <w:r w:rsidRPr="002029AF">
              <w:t>(Category</w:t>
            </w:r>
            <w:r w:rsidR="000A5329" w:rsidRPr="002029AF">
              <w:t xml:space="preserve"> </w:t>
            </w:r>
            <w:r w:rsidRPr="002029AF">
              <w:t>1)</w:t>
            </w:r>
            <w:r w:rsidR="000A5329" w:rsidRPr="002029AF">
              <w:t xml:space="preserve"> </w:t>
            </w:r>
            <w:r w:rsidRPr="002029AF">
              <w:t>elective</w:t>
            </w:r>
            <w:r w:rsidR="000A5329" w:rsidRPr="002029AF">
              <w:t xml:space="preserve"> </w:t>
            </w:r>
            <w:r w:rsidRPr="002029AF">
              <w:t>surgery</w:t>
            </w:r>
            <w:r w:rsidR="000A5329" w:rsidRPr="002029AF">
              <w:t xml:space="preserve"> </w:t>
            </w:r>
            <w:r w:rsidRPr="002029AF">
              <w:t>patients</w:t>
            </w:r>
            <w:r w:rsidR="000A5329" w:rsidRPr="002029AF">
              <w:t xml:space="preserve"> </w:t>
            </w:r>
            <w:r w:rsidRPr="002029AF">
              <w:t>admitted</w:t>
            </w:r>
            <w:r w:rsidR="000A5329" w:rsidRPr="002029AF">
              <w:t xml:space="preserve"> </w:t>
            </w:r>
            <w:r w:rsidRPr="002029AF">
              <w:t>within</w:t>
            </w:r>
            <w:r w:rsidR="000A5329" w:rsidRPr="002029AF">
              <w:t xml:space="preserve"> </w:t>
            </w:r>
            <w:r w:rsidRPr="002029AF">
              <w:t>30</w:t>
            </w:r>
            <w:r w:rsidR="000A5329" w:rsidRPr="002029AF">
              <w:t xml:space="preserve"> </w:t>
            </w:r>
            <w:r w:rsidRPr="002029AF">
              <w:t>days</w:t>
            </w:r>
          </w:p>
        </w:tc>
        <w:tc>
          <w:tcPr>
            <w:tcW w:w="1019" w:type="dxa"/>
            <w:shd w:val="clear" w:color="auto" w:fill="auto"/>
            <w:hideMark/>
          </w:tcPr>
          <w:p w14:paraId="4E4ACF8C" w14:textId="1EE1311B" w:rsidR="00C15C65" w:rsidRPr="002029AF" w:rsidRDefault="00C15C65" w:rsidP="00C40F5D">
            <w:pPr>
              <w:pStyle w:val="ARtabletext"/>
            </w:pPr>
            <w:r w:rsidRPr="002029AF">
              <w:t>per</w:t>
            </w:r>
            <w:r w:rsidR="000A5329" w:rsidRPr="002029AF">
              <w:t xml:space="preserve"> </w:t>
            </w:r>
            <w:r w:rsidRPr="002029AF">
              <w:t>cent</w:t>
            </w:r>
          </w:p>
        </w:tc>
        <w:tc>
          <w:tcPr>
            <w:tcW w:w="1020" w:type="dxa"/>
            <w:shd w:val="clear" w:color="auto" w:fill="auto"/>
            <w:hideMark/>
          </w:tcPr>
          <w:p w14:paraId="27091DBB" w14:textId="77777777" w:rsidR="00C15C65" w:rsidRPr="002029AF" w:rsidRDefault="00C15C65" w:rsidP="0014376C">
            <w:pPr>
              <w:pStyle w:val="ARtabletextright"/>
            </w:pPr>
            <w:r w:rsidRPr="002029AF">
              <w:t>100</w:t>
            </w:r>
          </w:p>
        </w:tc>
        <w:tc>
          <w:tcPr>
            <w:tcW w:w="1020" w:type="dxa"/>
            <w:shd w:val="clear" w:color="auto" w:fill="auto"/>
            <w:hideMark/>
          </w:tcPr>
          <w:p w14:paraId="23C649AE" w14:textId="77777777" w:rsidR="00C15C65" w:rsidRPr="002029AF" w:rsidRDefault="00C15C65" w:rsidP="0014376C">
            <w:pPr>
              <w:pStyle w:val="ARtabletextright"/>
            </w:pPr>
            <w:r w:rsidRPr="002029AF">
              <w:t>100</w:t>
            </w:r>
          </w:p>
        </w:tc>
        <w:tc>
          <w:tcPr>
            <w:tcW w:w="1022" w:type="dxa"/>
            <w:shd w:val="clear" w:color="auto" w:fill="auto"/>
          </w:tcPr>
          <w:p w14:paraId="09055B47" w14:textId="77777777" w:rsidR="00C15C65" w:rsidRPr="002029AF" w:rsidRDefault="00C15C65" w:rsidP="0014376C">
            <w:pPr>
              <w:pStyle w:val="ARtabletextright"/>
            </w:pPr>
            <w:r w:rsidRPr="002029AF">
              <w:t>0.0</w:t>
            </w:r>
          </w:p>
        </w:tc>
        <w:tc>
          <w:tcPr>
            <w:tcW w:w="796" w:type="dxa"/>
            <w:shd w:val="clear" w:color="auto" w:fill="auto"/>
            <w:hideMark/>
          </w:tcPr>
          <w:p w14:paraId="2D8B55B6"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4FC9E623" w14:textId="77777777" w:rsidTr="00192EEE">
        <w:trPr>
          <w:cantSplit/>
        </w:trPr>
        <w:tc>
          <w:tcPr>
            <w:tcW w:w="9639" w:type="dxa"/>
            <w:gridSpan w:val="7"/>
            <w:tcBorders>
              <w:top w:val="single" w:sz="4" w:space="0" w:color="auto"/>
              <w:left w:val="nil"/>
              <w:bottom w:val="nil"/>
              <w:right w:val="nil"/>
            </w:tcBorders>
            <w:hideMark/>
          </w:tcPr>
          <w:p w14:paraId="767A6036" w14:textId="77777777" w:rsidR="00C15C65" w:rsidRPr="002029AF" w:rsidRDefault="00C15C65" w:rsidP="007666A5">
            <w:pPr>
              <w:pStyle w:val="ARtablegreybold"/>
            </w:pPr>
            <w:r w:rsidRPr="002029AF">
              <w:t>Cost</w:t>
            </w:r>
          </w:p>
        </w:tc>
      </w:tr>
      <w:tr w:rsidR="00C15C65" w:rsidRPr="002029AF" w14:paraId="0FE901A4" w14:textId="77777777" w:rsidTr="00192EEE">
        <w:trPr>
          <w:cantSplit/>
        </w:trPr>
        <w:tc>
          <w:tcPr>
            <w:tcW w:w="4756" w:type="dxa"/>
            <w:hideMark/>
          </w:tcPr>
          <w:p w14:paraId="0F8EA38F" w14:textId="6B254EF6" w:rsidR="00C15C65" w:rsidRPr="002029AF" w:rsidRDefault="00C15C65" w:rsidP="00C40F5D">
            <w:pPr>
              <w:pStyle w:val="ARtabletext"/>
              <w:rPr>
                <w:b/>
              </w:rPr>
            </w:pPr>
            <w:r w:rsidRPr="002029AF">
              <w:rPr>
                <w:b/>
              </w:rPr>
              <w:t>Total</w:t>
            </w:r>
            <w:r w:rsidR="000A5329" w:rsidRPr="002029AF">
              <w:rPr>
                <w:b/>
              </w:rPr>
              <w:t xml:space="preserve"> </w:t>
            </w:r>
            <w:r w:rsidRPr="002029AF">
              <w:rPr>
                <w:b/>
              </w:rPr>
              <w:t>output</w:t>
            </w:r>
            <w:r w:rsidR="000A5329" w:rsidRPr="002029AF">
              <w:rPr>
                <w:b/>
              </w:rPr>
              <w:t xml:space="preserve"> </w:t>
            </w:r>
            <w:r w:rsidRPr="002029AF">
              <w:rPr>
                <w:b/>
              </w:rPr>
              <w:t>cost</w:t>
            </w:r>
          </w:p>
        </w:tc>
        <w:tc>
          <w:tcPr>
            <w:tcW w:w="1019" w:type="dxa"/>
            <w:hideMark/>
          </w:tcPr>
          <w:p w14:paraId="6E256C6E" w14:textId="3D70167F" w:rsidR="00C15C65" w:rsidRPr="002029AF" w:rsidRDefault="00C15C65" w:rsidP="00C40F5D">
            <w:pPr>
              <w:pStyle w:val="ARtabletext"/>
              <w:rPr>
                <w:b/>
              </w:rPr>
            </w:pPr>
            <w:r w:rsidRPr="002029AF">
              <w:rPr>
                <w:b/>
              </w:rPr>
              <w:t>$</w:t>
            </w:r>
            <w:r w:rsidR="000A5329" w:rsidRPr="002029AF">
              <w:rPr>
                <w:b/>
              </w:rPr>
              <w:t xml:space="preserve"> </w:t>
            </w:r>
            <w:r w:rsidRPr="002029AF">
              <w:rPr>
                <w:b/>
              </w:rPr>
              <w:t>million</w:t>
            </w:r>
          </w:p>
        </w:tc>
        <w:tc>
          <w:tcPr>
            <w:tcW w:w="1020" w:type="dxa"/>
          </w:tcPr>
          <w:p w14:paraId="2CBD9CBE" w14:textId="77777777" w:rsidR="00C15C65" w:rsidRPr="002029AF" w:rsidRDefault="00C15C65" w:rsidP="0014376C">
            <w:pPr>
              <w:pStyle w:val="ARtabletextrightbold"/>
            </w:pPr>
            <w:r w:rsidRPr="002029AF">
              <w:t>11,647.7</w:t>
            </w:r>
          </w:p>
        </w:tc>
        <w:tc>
          <w:tcPr>
            <w:tcW w:w="1020" w:type="dxa"/>
          </w:tcPr>
          <w:p w14:paraId="0132E458" w14:textId="77777777" w:rsidR="00C15C65" w:rsidRPr="002029AF" w:rsidRDefault="00C15C65" w:rsidP="0014376C">
            <w:pPr>
              <w:pStyle w:val="ARtabletextrightbold"/>
            </w:pPr>
            <w:r w:rsidRPr="002029AF">
              <w:t>13,377.9</w:t>
            </w:r>
          </w:p>
        </w:tc>
        <w:tc>
          <w:tcPr>
            <w:tcW w:w="1022" w:type="dxa"/>
          </w:tcPr>
          <w:p w14:paraId="186EA3BE" w14:textId="77777777" w:rsidR="00C15C65" w:rsidRPr="002029AF" w:rsidRDefault="00C15C65" w:rsidP="0014376C">
            <w:pPr>
              <w:pStyle w:val="ARtabletextrightbold"/>
            </w:pPr>
            <w:r w:rsidRPr="002029AF">
              <w:t>14.9</w:t>
            </w:r>
          </w:p>
        </w:tc>
        <w:tc>
          <w:tcPr>
            <w:tcW w:w="802" w:type="dxa"/>
            <w:gridSpan w:val="2"/>
          </w:tcPr>
          <w:p w14:paraId="678C6419" w14:textId="77777777" w:rsidR="00C15C65" w:rsidRPr="002029AF" w:rsidRDefault="00C15C65" w:rsidP="00C40F5D">
            <w:pPr>
              <w:pStyle w:val="ARtabletext"/>
              <w:rPr>
                <w:b/>
              </w:rPr>
            </w:pPr>
          </w:p>
        </w:tc>
      </w:tr>
      <w:tr w:rsidR="00C15C65" w:rsidRPr="002029AF" w14:paraId="45C0BD01" w14:textId="77777777" w:rsidTr="00192EEE">
        <w:trPr>
          <w:gridAfter w:val="1"/>
          <w:wAfter w:w="6" w:type="dxa"/>
          <w:cantSplit/>
        </w:trPr>
        <w:tc>
          <w:tcPr>
            <w:tcW w:w="9633" w:type="dxa"/>
            <w:gridSpan w:val="6"/>
            <w:tcBorders>
              <w:bottom w:val="single" w:sz="4" w:space="0" w:color="BFBFBF"/>
            </w:tcBorders>
            <w:shd w:val="clear" w:color="auto" w:fill="auto"/>
            <w:noWrap/>
            <w:hideMark/>
          </w:tcPr>
          <w:p w14:paraId="78F0B79B" w14:textId="36651F9E" w:rsidR="00C15C65" w:rsidRPr="002029AF" w:rsidRDefault="00C15C65" w:rsidP="002C5190">
            <w:pPr>
              <w:pStyle w:val="ARtablenoteindent"/>
            </w:pPr>
            <w:r w:rsidRPr="002029AF">
              <w:t>The</w:t>
            </w:r>
            <w:r w:rsidR="000A5329" w:rsidRPr="002029AF">
              <w:t xml:space="preserve"> </w:t>
            </w:r>
            <w:r w:rsidRPr="002029AF">
              <w:t>201</w:t>
            </w:r>
            <w:r w:rsidR="00DB53E6" w:rsidRPr="002029AF">
              <w:t>9–</w:t>
            </w:r>
            <w:r w:rsidRPr="002029AF">
              <w:t>20</w:t>
            </w:r>
            <w:r w:rsidR="000A5329" w:rsidRPr="002029AF">
              <w:t xml:space="preserve"> </w:t>
            </w:r>
            <w:r w:rsidRPr="002029AF">
              <w:t>actual</w:t>
            </w:r>
            <w:r w:rsidR="000A5329" w:rsidRPr="002029AF">
              <w:t xml:space="preserve"> </w:t>
            </w:r>
            <w:r w:rsidRPr="002029AF">
              <w:t>outcome</w:t>
            </w:r>
            <w:r w:rsidR="000A5329" w:rsidRPr="002029AF">
              <w:t xml:space="preserve"> </w:t>
            </w:r>
            <w:r w:rsidRPr="002029AF">
              <w:t>primarily</w:t>
            </w:r>
            <w:r w:rsidR="000A5329" w:rsidRPr="002029AF">
              <w:t xml:space="preserve"> </w:t>
            </w:r>
            <w:r w:rsidRPr="002029AF">
              <w:t>reflects</w:t>
            </w:r>
            <w:r w:rsidR="000A5329" w:rsidRPr="002029AF">
              <w:t xml:space="preserve"> </w:t>
            </w:r>
            <w:r w:rsidRPr="002029AF">
              <w:t>higher</w:t>
            </w:r>
            <w:r w:rsidR="000A5329" w:rsidRPr="002029AF">
              <w:t xml:space="preserve"> </w:t>
            </w:r>
            <w:r w:rsidRPr="002029AF">
              <w:t>than</w:t>
            </w:r>
            <w:r w:rsidR="000A5329" w:rsidRPr="002029AF">
              <w:t xml:space="preserve"> </w:t>
            </w:r>
            <w:r w:rsidRPr="002029AF">
              <w:t>expected</w:t>
            </w:r>
            <w:r w:rsidR="000A5329" w:rsidRPr="002029AF">
              <w:t xml:space="preserve"> </w:t>
            </w:r>
            <w:r w:rsidRPr="002029AF">
              <w:t>depreciation</w:t>
            </w:r>
            <w:r w:rsidR="000A5329" w:rsidRPr="002029AF">
              <w:t xml:space="preserve"> </w:t>
            </w:r>
            <w:r w:rsidRPr="002029AF">
              <w:t>expense;</w:t>
            </w:r>
            <w:r w:rsidR="000A5329" w:rsidRPr="002029AF">
              <w:t xml:space="preserve"> </w:t>
            </w:r>
            <w:r w:rsidRPr="002029AF">
              <w:t>realignment</w:t>
            </w:r>
            <w:r w:rsidR="000A5329" w:rsidRPr="002029AF">
              <w:t xml:space="preserve"> </w:t>
            </w:r>
            <w:r w:rsidRPr="002029AF">
              <w:t>of</w:t>
            </w:r>
            <w:r w:rsidR="000A5329" w:rsidRPr="002029AF">
              <w:t xml:space="preserve"> </w:t>
            </w:r>
            <w:r w:rsidRPr="002029AF">
              <w:t>Commonwealth</w:t>
            </w:r>
            <w:r w:rsidR="000A5329" w:rsidRPr="002029AF">
              <w:t xml:space="preserve"> </w:t>
            </w:r>
            <w:r w:rsidRPr="002029AF">
              <w:t>National</w:t>
            </w:r>
            <w:r w:rsidR="000A5329" w:rsidRPr="002029AF">
              <w:t xml:space="preserve"> </w:t>
            </w:r>
            <w:r w:rsidRPr="002029AF">
              <w:t>Health</w:t>
            </w:r>
            <w:r w:rsidR="000A5329" w:rsidRPr="002029AF">
              <w:t xml:space="preserve"> </w:t>
            </w:r>
            <w:r w:rsidRPr="002029AF">
              <w:t>Reform</w:t>
            </w:r>
            <w:r w:rsidR="000A5329" w:rsidRPr="002029AF">
              <w:t xml:space="preserve"> </w:t>
            </w:r>
            <w:r w:rsidRPr="002029AF">
              <w:t>revenue;</w:t>
            </w:r>
            <w:r w:rsidR="000A5329" w:rsidRPr="002029AF">
              <w:t xml:space="preserve"> </w:t>
            </w:r>
            <w:r w:rsidRPr="002029AF">
              <w:t>additional</w:t>
            </w:r>
            <w:r w:rsidR="000A5329" w:rsidRPr="002029AF">
              <w:t xml:space="preserve"> </w:t>
            </w:r>
            <w:r w:rsidRPr="002029AF">
              <w:t>government</w:t>
            </w:r>
            <w:r w:rsidR="000A5329" w:rsidRPr="002029AF">
              <w:t xml:space="preserve"> </w:t>
            </w:r>
            <w:r w:rsidRPr="002029AF">
              <w:t>policy</w:t>
            </w:r>
            <w:r w:rsidR="000A5329" w:rsidRPr="002029AF">
              <w:t xml:space="preserve"> </w:t>
            </w:r>
            <w:r w:rsidRPr="002029AF">
              <w:t>initiatives</w:t>
            </w:r>
            <w:r w:rsidR="000A5329" w:rsidRPr="002029AF">
              <w:t xml:space="preserve"> </w:t>
            </w:r>
            <w:r w:rsidRPr="002029AF">
              <w:t>including</w:t>
            </w:r>
            <w:r w:rsidR="000A5329" w:rsidRPr="002029AF">
              <w:t xml:space="preserve"> </w:t>
            </w:r>
            <w:r w:rsidRPr="002029AF">
              <w:t>the</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response;</w:t>
            </w:r>
            <w:r w:rsidR="000A5329" w:rsidRPr="002029AF">
              <w:t xml:space="preserve"> </w:t>
            </w:r>
            <w:r w:rsidRPr="002029AF">
              <w:t>higher</w:t>
            </w:r>
            <w:r w:rsidR="000A5329" w:rsidRPr="002029AF">
              <w:t xml:space="preserve"> </w:t>
            </w:r>
            <w:r w:rsidRPr="002029AF">
              <w:t>Commonwealth-related</w:t>
            </w:r>
            <w:r w:rsidR="000A5329" w:rsidRPr="002029AF">
              <w:t xml:space="preserve"> </w:t>
            </w:r>
            <w:r w:rsidRPr="002029AF">
              <w:t>expenditure</w:t>
            </w:r>
            <w:r w:rsidR="000A5329" w:rsidRPr="002029AF">
              <w:t xml:space="preserve"> </w:t>
            </w:r>
            <w:r w:rsidRPr="002029AF">
              <w:t>than</w:t>
            </w:r>
            <w:r w:rsidR="000A5329" w:rsidRPr="002029AF">
              <w:t xml:space="preserve"> </w:t>
            </w:r>
            <w:r w:rsidRPr="002029AF">
              <w:t>estimated,</w:t>
            </w:r>
            <w:r w:rsidR="000A5329" w:rsidRPr="002029AF">
              <w:t xml:space="preserve"> </w:t>
            </w:r>
            <w:r w:rsidRPr="002029AF">
              <w:t>partially</w:t>
            </w:r>
            <w:r w:rsidR="000A5329" w:rsidRPr="002029AF">
              <w:t xml:space="preserve"> </w:t>
            </w:r>
            <w:r w:rsidRPr="002029AF">
              <w:t>offset</w:t>
            </w:r>
            <w:r w:rsidR="000A5329" w:rsidRPr="002029AF">
              <w:t xml:space="preserve"> </w:t>
            </w:r>
            <w:r w:rsidRPr="002029AF">
              <w:t>by</w:t>
            </w:r>
            <w:r w:rsidR="000A5329" w:rsidRPr="002029AF">
              <w:t xml:space="preserve"> </w:t>
            </w:r>
            <w:r w:rsidRPr="002029AF">
              <w:t>lower</w:t>
            </w:r>
            <w:r w:rsidR="000A5329" w:rsidRPr="002029AF">
              <w:t xml:space="preserve"> </w:t>
            </w:r>
            <w:r w:rsidRPr="002029AF">
              <w:t>than</w:t>
            </w:r>
            <w:r w:rsidR="000A5329" w:rsidRPr="002029AF">
              <w:t xml:space="preserve"> </w:t>
            </w:r>
            <w:r w:rsidRPr="002029AF">
              <w:t>expected</w:t>
            </w:r>
            <w:r w:rsidR="000A5329" w:rsidRPr="002029AF">
              <w:t xml:space="preserve"> </w:t>
            </w:r>
            <w:r w:rsidRPr="002029AF">
              <w:t>Hospital</w:t>
            </w:r>
            <w:r w:rsidR="000A5329" w:rsidRPr="002029AF">
              <w:t xml:space="preserve"> </w:t>
            </w:r>
            <w:r w:rsidRPr="002029AF">
              <w:t>Own</w:t>
            </w:r>
            <w:r w:rsidR="000A5329" w:rsidRPr="002029AF">
              <w:t xml:space="preserve"> </w:t>
            </w:r>
            <w:r w:rsidRPr="002029AF">
              <w:t>Source</w:t>
            </w:r>
            <w:r w:rsidR="000A5329" w:rsidRPr="002029AF">
              <w:t xml:space="preserve"> </w:t>
            </w:r>
            <w:r w:rsidRPr="002029AF">
              <w:t>revenue.</w:t>
            </w:r>
          </w:p>
        </w:tc>
      </w:tr>
      <w:tr w:rsidR="00C15C65" w:rsidRPr="002029AF" w14:paraId="6F6604AA" w14:textId="77777777" w:rsidTr="00192EEE">
        <w:trPr>
          <w:cantSplit/>
        </w:trPr>
        <w:tc>
          <w:tcPr>
            <w:tcW w:w="9639" w:type="dxa"/>
            <w:gridSpan w:val="7"/>
            <w:tcBorders>
              <w:top w:val="single" w:sz="4" w:space="0" w:color="auto"/>
              <w:left w:val="nil"/>
              <w:bottom w:val="single" w:sz="4" w:space="0" w:color="auto"/>
              <w:right w:val="nil"/>
            </w:tcBorders>
            <w:hideMark/>
          </w:tcPr>
          <w:p w14:paraId="0E1FA768" w14:textId="5EE757C6" w:rsidR="00C15C65" w:rsidRPr="002029AF" w:rsidRDefault="00C15C65" w:rsidP="007666A5">
            <w:pPr>
              <w:pStyle w:val="ARtablesubhead"/>
            </w:pPr>
            <w:r w:rsidRPr="002029AF">
              <w:t>Non-Admitted</w:t>
            </w:r>
            <w:r w:rsidR="000A5329" w:rsidRPr="002029AF">
              <w:t xml:space="preserve"> </w:t>
            </w:r>
            <w:r w:rsidRPr="002029AF">
              <w:t>Services</w:t>
            </w:r>
          </w:p>
        </w:tc>
      </w:tr>
      <w:tr w:rsidR="00C15C65" w:rsidRPr="002029AF" w14:paraId="6FB0A4D2" w14:textId="77777777" w:rsidTr="00192EEE">
        <w:trPr>
          <w:cantSplit/>
        </w:trPr>
        <w:tc>
          <w:tcPr>
            <w:tcW w:w="9639" w:type="dxa"/>
            <w:gridSpan w:val="7"/>
            <w:tcBorders>
              <w:top w:val="single" w:sz="4" w:space="0" w:color="auto"/>
              <w:left w:val="nil"/>
              <w:bottom w:val="nil"/>
              <w:right w:val="nil"/>
            </w:tcBorders>
            <w:hideMark/>
          </w:tcPr>
          <w:p w14:paraId="37CDDD54" w14:textId="77777777" w:rsidR="00C15C65" w:rsidRPr="002029AF" w:rsidRDefault="00C15C65" w:rsidP="00D96AFD">
            <w:pPr>
              <w:pStyle w:val="ARtablegreybold"/>
            </w:pPr>
            <w:r w:rsidRPr="002029AF">
              <w:t>Quantity</w:t>
            </w:r>
          </w:p>
        </w:tc>
      </w:tr>
      <w:tr w:rsidR="00C15C65" w:rsidRPr="002029AF" w14:paraId="765B61F0" w14:textId="77777777" w:rsidTr="00192EEE">
        <w:trPr>
          <w:gridAfter w:val="1"/>
          <w:wAfter w:w="6" w:type="dxa"/>
          <w:cantSplit/>
        </w:trPr>
        <w:tc>
          <w:tcPr>
            <w:tcW w:w="4756" w:type="dxa"/>
            <w:shd w:val="clear" w:color="auto" w:fill="auto"/>
            <w:hideMark/>
          </w:tcPr>
          <w:p w14:paraId="66B00D2A" w14:textId="4320AFD5" w:rsidR="00C15C65" w:rsidRPr="002029AF" w:rsidRDefault="00C15C65" w:rsidP="00C40F5D">
            <w:pPr>
              <w:pStyle w:val="ARtabletext"/>
            </w:pPr>
            <w:r w:rsidRPr="002029AF">
              <w:t>Health</w:t>
            </w:r>
            <w:r w:rsidR="000A5329" w:rsidRPr="002029AF">
              <w:t xml:space="preserve"> </w:t>
            </w:r>
            <w:r w:rsidRPr="002029AF">
              <w:t>Independence</w:t>
            </w:r>
            <w:r w:rsidR="000A5329" w:rsidRPr="002029AF">
              <w:t xml:space="preserve"> </w:t>
            </w:r>
            <w:r w:rsidRPr="002029AF">
              <w:t>Program</w:t>
            </w:r>
            <w:r w:rsidR="000A5329" w:rsidRPr="002029AF">
              <w:t xml:space="preserve"> </w:t>
            </w:r>
            <w:r w:rsidRPr="002029AF">
              <w:t>direct</w:t>
            </w:r>
            <w:r w:rsidR="000A5329" w:rsidRPr="002029AF">
              <w:t xml:space="preserve"> </w:t>
            </w:r>
            <w:r w:rsidRPr="002029AF">
              <w:t>contacts</w:t>
            </w:r>
          </w:p>
        </w:tc>
        <w:tc>
          <w:tcPr>
            <w:tcW w:w="1019" w:type="dxa"/>
            <w:shd w:val="clear" w:color="auto" w:fill="auto"/>
            <w:hideMark/>
          </w:tcPr>
          <w:p w14:paraId="0AF5EE49" w14:textId="48890203" w:rsidR="00C15C65" w:rsidRPr="002029AF" w:rsidRDefault="00C15C65" w:rsidP="00C40F5D">
            <w:pPr>
              <w:pStyle w:val="ARtabletext"/>
            </w:pPr>
            <w:r w:rsidRPr="002029AF">
              <w:t>number</w:t>
            </w:r>
            <w:r w:rsidR="000A5329" w:rsidRPr="002029AF">
              <w:t xml:space="preserve"> </w:t>
            </w:r>
            <w:r w:rsidR="005F298C">
              <w:t>(’000</w:t>
            </w:r>
            <w:r w:rsidRPr="002029AF">
              <w:t>)</w:t>
            </w:r>
          </w:p>
        </w:tc>
        <w:tc>
          <w:tcPr>
            <w:tcW w:w="1020" w:type="dxa"/>
            <w:shd w:val="clear" w:color="auto" w:fill="auto"/>
            <w:hideMark/>
          </w:tcPr>
          <w:p w14:paraId="17C31AD2" w14:textId="77777777" w:rsidR="00C15C65" w:rsidRPr="002029AF" w:rsidRDefault="00C15C65" w:rsidP="0014376C">
            <w:pPr>
              <w:pStyle w:val="ARtabletextright"/>
            </w:pPr>
            <w:r w:rsidRPr="002029AF">
              <w:t>1,599</w:t>
            </w:r>
          </w:p>
        </w:tc>
        <w:tc>
          <w:tcPr>
            <w:tcW w:w="1020" w:type="dxa"/>
            <w:shd w:val="clear" w:color="auto" w:fill="auto"/>
            <w:hideMark/>
          </w:tcPr>
          <w:p w14:paraId="32E8BBE3" w14:textId="77777777" w:rsidR="00C15C65" w:rsidRPr="002029AF" w:rsidRDefault="00C15C65" w:rsidP="0014376C">
            <w:pPr>
              <w:pStyle w:val="ARtabletextright"/>
            </w:pPr>
            <w:r w:rsidRPr="002029AF">
              <w:t>1,502</w:t>
            </w:r>
          </w:p>
        </w:tc>
        <w:tc>
          <w:tcPr>
            <w:tcW w:w="1022" w:type="dxa"/>
            <w:shd w:val="clear" w:color="auto" w:fill="auto"/>
          </w:tcPr>
          <w:p w14:paraId="257CC5E3" w14:textId="77777777" w:rsidR="00C15C65" w:rsidRPr="002029AF" w:rsidRDefault="00C15C65" w:rsidP="0014376C">
            <w:pPr>
              <w:pStyle w:val="ARtabletextright"/>
            </w:pPr>
            <w:r w:rsidRPr="002029AF">
              <w:t>-6.1</w:t>
            </w:r>
          </w:p>
        </w:tc>
        <w:tc>
          <w:tcPr>
            <w:tcW w:w="796" w:type="dxa"/>
            <w:shd w:val="clear" w:color="auto" w:fill="auto"/>
            <w:hideMark/>
          </w:tcPr>
          <w:p w14:paraId="3EC067D0"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025F03ED" w14:textId="77777777" w:rsidTr="00192EEE">
        <w:trPr>
          <w:gridAfter w:val="1"/>
          <w:wAfter w:w="6" w:type="dxa"/>
          <w:cantSplit/>
        </w:trPr>
        <w:tc>
          <w:tcPr>
            <w:tcW w:w="9633" w:type="dxa"/>
            <w:gridSpan w:val="6"/>
            <w:tcBorders>
              <w:bottom w:val="single" w:sz="4" w:space="0" w:color="BFBFBF"/>
            </w:tcBorders>
            <w:shd w:val="clear" w:color="auto" w:fill="auto"/>
            <w:noWrap/>
            <w:hideMark/>
          </w:tcPr>
          <w:p w14:paraId="2AC92A0D" w14:textId="48C83E11" w:rsidR="00C15C65" w:rsidRPr="002029AF" w:rsidRDefault="00C15C65" w:rsidP="00615F62">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lower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because</w:t>
            </w:r>
            <w:r w:rsidR="000A5329" w:rsidRPr="002029AF">
              <w:t xml:space="preserve"> </w:t>
            </w:r>
            <w:r w:rsidRPr="002029AF">
              <w:t>overall</w:t>
            </w:r>
            <w:r w:rsidR="000A5329" w:rsidRPr="002029AF">
              <w:t xml:space="preserve"> </w:t>
            </w:r>
            <w:r w:rsidRPr="002029AF">
              <w:t>activity</w:t>
            </w:r>
            <w:r w:rsidR="000A5329" w:rsidRPr="002029AF">
              <w:t xml:space="preserve"> </w:t>
            </w:r>
            <w:r w:rsidRPr="002029AF">
              <w:t>has</w:t>
            </w:r>
            <w:r w:rsidR="000A5329" w:rsidRPr="002029AF">
              <w:t xml:space="preserve"> </w:t>
            </w:r>
            <w:r w:rsidRPr="002029AF">
              <w:t>been</w:t>
            </w:r>
            <w:r w:rsidR="000A5329" w:rsidRPr="002029AF">
              <w:t xml:space="preserve"> </w:t>
            </w:r>
            <w:r w:rsidRPr="002029AF">
              <w:t>impacted</w:t>
            </w:r>
            <w:r w:rsidR="000A5329" w:rsidRPr="002029AF">
              <w:t xml:space="preserve"> </w:t>
            </w:r>
            <w:r w:rsidRPr="002029AF">
              <w:t>by</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Patients</w:t>
            </w:r>
            <w:r w:rsidR="000A5329" w:rsidRPr="002029AF">
              <w:t xml:space="preserve"> </w:t>
            </w:r>
            <w:r w:rsidRPr="002029AF">
              <w:t>have</w:t>
            </w:r>
            <w:r w:rsidR="000A5329" w:rsidRPr="002029AF">
              <w:t xml:space="preserve"> </w:t>
            </w:r>
            <w:r w:rsidRPr="002029AF">
              <w:t>been</w:t>
            </w:r>
            <w:r w:rsidR="000A5329" w:rsidRPr="002029AF">
              <w:t xml:space="preserve"> </w:t>
            </w:r>
            <w:r w:rsidRPr="002029AF">
              <w:t>less</w:t>
            </w:r>
            <w:r w:rsidR="000A5329" w:rsidRPr="002029AF">
              <w:t xml:space="preserve"> </w:t>
            </w:r>
            <w:r w:rsidRPr="002029AF">
              <w:t>willing</w:t>
            </w:r>
            <w:r w:rsidR="000A5329" w:rsidRPr="002029AF">
              <w:t xml:space="preserve"> </w:t>
            </w:r>
            <w:r w:rsidRPr="002029AF">
              <w:t>to</w:t>
            </w:r>
            <w:r w:rsidR="000A5329" w:rsidRPr="002029AF">
              <w:t xml:space="preserve"> </w:t>
            </w:r>
            <w:r w:rsidRPr="002029AF">
              <w:t>seek</w:t>
            </w:r>
            <w:r w:rsidR="000A5329" w:rsidRPr="002029AF">
              <w:t xml:space="preserve"> </w:t>
            </w:r>
            <w:r w:rsidRPr="002029AF">
              <w:t>care;</w:t>
            </w:r>
            <w:r w:rsidR="000A5329" w:rsidRPr="002029AF">
              <w:t xml:space="preserve"> </w:t>
            </w:r>
            <w:r w:rsidRPr="002029AF">
              <w:t>physical</w:t>
            </w:r>
            <w:r w:rsidR="000A5329" w:rsidRPr="002029AF">
              <w:t xml:space="preserve"> </w:t>
            </w:r>
            <w:r w:rsidRPr="002029AF">
              <w:t>distancing</w:t>
            </w:r>
            <w:r w:rsidR="000A5329" w:rsidRPr="002029AF">
              <w:t xml:space="preserve"> </w:t>
            </w:r>
            <w:r w:rsidRPr="002029AF">
              <w:t>restrictions</w:t>
            </w:r>
            <w:r w:rsidR="000A5329" w:rsidRPr="002029AF">
              <w:t xml:space="preserve"> </w:t>
            </w:r>
            <w:r w:rsidRPr="002029AF">
              <w:t>have</w:t>
            </w:r>
            <w:r w:rsidR="000A5329" w:rsidRPr="002029AF">
              <w:t xml:space="preserve"> </w:t>
            </w:r>
            <w:r w:rsidRPr="002029AF">
              <w:t>impacted</w:t>
            </w:r>
            <w:r w:rsidR="000A5329" w:rsidRPr="002029AF">
              <w:t xml:space="preserve"> </w:t>
            </w:r>
            <w:r w:rsidRPr="002029AF">
              <w:t>throughput;</w:t>
            </w:r>
            <w:r w:rsidR="000A5329" w:rsidRPr="002029AF">
              <w:t xml:space="preserve"> </w:t>
            </w:r>
            <w:r w:rsidRPr="002029AF">
              <w:t>and</w:t>
            </w:r>
            <w:r w:rsidR="000A5329" w:rsidRPr="002029AF">
              <w:t xml:space="preserve"> </w:t>
            </w:r>
            <w:r w:rsidRPr="002029AF">
              <w:t>in</w:t>
            </w:r>
            <w:r w:rsidR="000A5329" w:rsidRPr="002029AF">
              <w:t xml:space="preserve"> </w:t>
            </w:r>
            <w:r w:rsidRPr="002029AF">
              <w:t>some</w:t>
            </w:r>
            <w:r w:rsidR="000A5329" w:rsidRPr="002029AF">
              <w:t xml:space="preserve"> </w:t>
            </w:r>
            <w:r w:rsidRPr="002029AF">
              <w:t>cases</w:t>
            </w:r>
            <w:r w:rsidR="000A5329" w:rsidRPr="002029AF">
              <w:t xml:space="preserve"> </w:t>
            </w:r>
            <w:r w:rsidRPr="002029AF">
              <w:t>non-urgent</w:t>
            </w:r>
            <w:r w:rsidR="000A5329" w:rsidRPr="002029AF">
              <w:t xml:space="preserve"> </w:t>
            </w:r>
            <w:r w:rsidRPr="002029AF">
              <w:t>care</w:t>
            </w:r>
            <w:r w:rsidR="000A5329" w:rsidRPr="002029AF">
              <w:t xml:space="preserve"> </w:t>
            </w:r>
            <w:r w:rsidRPr="002029AF">
              <w:t>has</w:t>
            </w:r>
            <w:r w:rsidR="000A5329" w:rsidRPr="002029AF">
              <w:t xml:space="preserve"> </w:t>
            </w:r>
            <w:r w:rsidRPr="002029AF">
              <w:t>been</w:t>
            </w:r>
            <w:r w:rsidR="000A5329" w:rsidRPr="002029AF">
              <w:t xml:space="preserve"> </w:t>
            </w:r>
            <w:r w:rsidRPr="002029AF">
              <w:t>deferred</w:t>
            </w:r>
            <w:r w:rsidR="000A5329" w:rsidRPr="002029AF">
              <w:t xml:space="preserve"> </w:t>
            </w:r>
            <w:r w:rsidRPr="002029AF">
              <w:t>to</w:t>
            </w:r>
            <w:r w:rsidR="000A5329" w:rsidRPr="002029AF">
              <w:t xml:space="preserve"> </w:t>
            </w:r>
            <w:r w:rsidRPr="002029AF">
              <w:t>enable</w:t>
            </w:r>
            <w:r w:rsidR="000A5329" w:rsidRPr="002029AF">
              <w:t xml:space="preserve"> </w:t>
            </w:r>
            <w:r w:rsidRPr="002029AF">
              <w:t>deployment</w:t>
            </w:r>
            <w:r w:rsidR="000A5329" w:rsidRPr="002029AF">
              <w:t xml:space="preserve"> </w:t>
            </w:r>
            <w:r w:rsidRPr="002029AF">
              <w:t>of</w:t>
            </w:r>
            <w:r w:rsidR="000A5329" w:rsidRPr="002029AF">
              <w:t xml:space="preserve"> </w:t>
            </w:r>
            <w:r w:rsidRPr="002029AF">
              <w:t>staff</w:t>
            </w:r>
            <w:r w:rsidR="000A5329" w:rsidRPr="002029AF">
              <w:t xml:space="preserve"> </w:t>
            </w:r>
            <w:r w:rsidRPr="002029AF">
              <w:t>to</w:t>
            </w:r>
            <w:r w:rsidR="000A5329" w:rsidRPr="002029AF">
              <w:t xml:space="preserve"> </w:t>
            </w:r>
            <w:r w:rsidRPr="002029AF">
              <w:t>aged</w:t>
            </w:r>
            <w:r w:rsidR="000A5329" w:rsidRPr="002029AF">
              <w:t xml:space="preserve"> </w:t>
            </w:r>
            <w:r w:rsidRPr="002029AF">
              <w:t>care</w:t>
            </w:r>
            <w:r w:rsidR="000A5329" w:rsidRPr="002029AF">
              <w:t xml:space="preserve"> </w:t>
            </w:r>
            <w:r w:rsidRPr="002029AF">
              <w:t>outbreaks.</w:t>
            </w:r>
            <w:r w:rsidR="000A5329" w:rsidRPr="002029AF">
              <w:t xml:space="preserve"> </w:t>
            </w:r>
            <w:r w:rsidRPr="002029AF">
              <w:t>Clinics</w:t>
            </w:r>
            <w:r w:rsidR="000A5329" w:rsidRPr="002029AF">
              <w:t xml:space="preserve"> </w:t>
            </w:r>
            <w:r w:rsidRPr="002029AF">
              <w:t>have</w:t>
            </w:r>
            <w:r w:rsidR="000A5329" w:rsidRPr="002029AF">
              <w:t xml:space="preserve"> </w:t>
            </w:r>
            <w:r w:rsidRPr="002029AF">
              <w:t>continued</w:t>
            </w:r>
            <w:r w:rsidR="000A5329" w:rsidRPr="002029AF">
              <w:t xml:space="preserve"> </w:t>
            </w:r>
            <w:r w:rsidRPr="002029AF">
              <w:t>to</w:t>
            </w:r>
            <w:r w:rsidR="000A5329" w:rsidRPr="002029AF">
              <w:t xml:space="preserve"> </w:t>
            </w:r>
            <w:r w:rsidRPr="002029AF">
              <w:t>prioritise</w:t>
            </w:r>
            <w:r w:rsidR="000A5329" w:rsidRPr="002029AF">
              <w:t xml:space="preserve"> </w:t>
            </w:r>
            <w:r w:rsidRPr="002029AF">
              <w:t>care</w:t>
            </w:r>
            <w:r w:rsidR="000A5329" w:rsidRPr="002029AF">
              <w:t xml:space="preserve"> </w:t>
            </w:r>
            <w:r w:rsidRPr="002029AF">
              <w:t>to</w:t>
            </w:r>
            <w:r w:rsidR="000A5329" w:rsidRPr="002029AF">
              <w:t xml:space="preserve"> </w:t>
            </w:r>
            <w:r w:rsidRPr="002029AF">
              <w:t>the</w:t>
            </w:r>
            <w:r w:rsidR="000A5329" w:rsidRPr="002029AF">
              <w:t xml:space="preserve"> </w:t>
            </w:r>
            <w:r w:rsidRPr="002029AF">
              <w:t>most</w:t>
            </w:r>
            <w:r w:rsidR="000A5329" w:rsidRPr="002029AF">
              <w:t xml:space="preserve"> </w:t>
            </w:r>
            <w:r w:rsidRPr="002029AF">
              <w:t>urgent</w:t>
            </w:r>
            <w:r w:rsidR="000A5329" w:rsidRPr="002029AF">
              <w:t xml:space="preserve"> </w:t>
            </w:r>
            <w:r w:rsidRPr="002029AF">
              <w:t>patients.</w:t>
            </w:r>
          </w:p>
        </w:tc>
      </w:tr>
      <w:tr w:rsidR="00C15C65" w:rsidRPr="002029AF" w14:paraId="096B2A6C" w14:textId="77777777" w:rsidTr="00192EEE">
        <w:trPr>
          <w:gridAfter w:val="1"/>
          <w:wAfter w:w="6" w:type="dxa"/>
          <w:cantSplit/>
        </w:trPr>
        <w:tc>
          <w:tcPr>
            <w:tcW w:w="4756" w:type="dxa"/>
            <w:shd w:val="clear" w:color="auto" w:fill="auto"/>
            <w:hideMark/>
          </w:tcPr>
          <w:p w14:paraId="12264E5A" w14:textId="6B668242" w:rsidR="00C15C65" w:rsidRPr="002029AF" w:rsidRDefault="00C15C65" w:rsidP="00C40F5D">
            <w:pPr>
              <w:pStyle w:val="ARtabletext"/>
            </w:pPr>
            <w:r w:rsidRPr="002029AF">
              <w:t>Patients</w:t>
            </w:r>
            <w:r w:rsidR="000A5329" w:rsidRPr="002029AF">
              <w:t xml:space="preserve"> </w:t>
            </w:r>
            <w:r w:rsidRPr="002029AF">
              <w:t>treated</w:t>
            </w:r>
            <w:r w:rsidR="000A5329" w:rsidRPr="002029AF">
              <w:t xml:space="preserve"> </w:t>
            </w:r>
            <w:r w:rsidRPr="002029AF">
              <w:t>in</w:t>
            </w:r>
            <w:r w:rsidR="000A5329" w:rsidRPr="002029AF">
              <w:t xml:space="preserve"> </w:t>
            </w:r>
            <w:r w:rsidRPr="002029AF">
              <w:t>Specialist</w:t>
            </w:r>
            <w:r w:rsidR="000A5329" w:rsidRPr="002029AF">
              <w:t xml:space="preserve"> </w:t>
            </w:r>
            <w:r w:rsidRPr="002029AF">
              <w:t>Outpatient</w:t>
            </w:r>
            <w:r w:rsidR="000A5329" w:rsidRPr="002029AF">
              <w:t xml:space="preserve"> </w:t>
            </w:r>
            <w:r w:rsidRPr="002029AF">
              <w:t>Clinics</w:t>
            </w:r>
            <w:r w:rsidR="000A5329" w:rsidRPr="002029AF">
              <w:t xml:space="preserve"> </w:t>
            </w:r>
            <w:r w:rsidRPr="002029AF">
              <w:t>–</w:t>
            </w:r>
            <w:r w:rsidR="000A5329" w:rsidRPr="002029AF">
              <w:t xml:space="preserve"> </w:t>
            </w:r>
            <w:r w:rsidRPr="002029AF">
              <w:t>unweighted</w:t>
            </w:r>
          </w:p>
        </w:tc>
        <w:tc>
          <w:tcPr>
            <w:tcW w:w="1019" w:type="dxa"/>
            <w:shd w:val="clear" w:color="auto" w:fill="auto"/>
            <w:hideMark/>
          </w:tcPr>
          <w:p w14:paraId="62988F76" w14:textId="7F375731" w:rsidR="00C15C65" w:rsidRPr="002029AF" w:rsidRDefault="00C15C65" w:rsidP="00C40F5D">
            <w:pPr>
              <w:pStyle w:val="ARtabletext"/>
            </w:pPr>
            <w:r w:rsidRPr="002029AF">
              <w:t>number</w:t>
            </w:r>
            <w:r w:rsidR="000A5329" w:rsidRPr="002029AF">
              <w:t xml:space="preserve"> </w:t>
            </w:r>
            <w:r w:rsidR="005F298C">
              <w:t>(’000</w:t>
            </w:r>
            <w:r w:rsidRPr="002029AF">
              <w:t>)</w:t>
            </w:r>
          </w:p>
        </w:tc>
        <w:tc>
          <w:tcPr>
            <w:tcW w:w="1020" w:type="dxa"/>
            <w:shd w:val="clear" w:color="auto" w:fill="auto"/>
            <w:hideMark/>
          </w:tcPr>
          <w:p w14:paraId="11C49EA0" w14:textId="77777777" w:rsidR="00C15C65" w:rsidRPr="002029AF" w:rsidRDefault="00C15C65" w:rsidP="0014376C">
            <w:pPr>
              <w:pStyle w:val="ARtabletextright"/>
            </w:pPr>
            <w:r w:rsidRPr="002029AF">
              <w:t>1,975</w:t>
            </w:r>
          </w:p>
        </w:tc>
        <w:tc>
          <w:tcPr>
            <w:tcW w:w="1020" w:type="dxa"/>
            <w:shd w:val="clear" w:color="auto" w:fill="auto"/>
            <w:hideMark/>
          </w:tcPr>
          <w:p w14:paraId="3F062429" w14:textId="77777777" w:rsidR="00C15C65" w:rsidRPr="002029AF" w:rsidRDefault="00C15C65" w:rsidP="0014376C">
            <w:pPr>
              <w:pStyle w:val="ARtabletextright"/>
            </w:pPr>
            <w:r w:rsidRPr="002029AF">
              <w:t>1,717</w:t>
            </w:r>
          </w:p>
        </w:tc>
        <w:tc>
          <w:tcPr>
            <w:tcW w:w="1022" w:type="dxa"/>
            <w:shd w:val="clear" w:color="auto" w:fill="auto"/>
          </w:tcPr>
          <w:p w14:paraId="69A61009" w14:textId="77777777" w:rsidR="00C15C65" w:rsidRPr="002029AF" w:rsidRDefault="00C15C65" w:rsidP="0014376C">
            <w:pPr>
              <w:pStyle w:val="ARtabletextright"/>
            </w:pPr>
            <w:r w:rsidRPr="002029AF">
              <w:t>-13.1</w:t>
            </w:r>
          </w:p>
        </w:tc>
        <w:tc>
          <w:tcPr>
            <w:tcW w:w="796" w:type="dxa"/>
            <w:shd w:val="clear" w:color="auto" w:fill="auto"/>
            <w:hideMark/>
          </w:tcPr>
          <w:p w14:paraId="22C20CA0"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1954F4E7" w14:textId="77777777" w:rsidTr="00192EEE">
        <w:trPr>
          <w:gridAfter w:val="1"/>
          <w:wAfter w:w="6" w:type="dxa"/>
          <w:cantSplit/>
        </w:trPr>
        <w:tc>
          <w:tcPr>
            <w:tcW w:w="9633" w:type="dxa"/>
            <w:gridSpan w:val="6"/>
            <w:tcBorders>
              <w:bottom w:val="single" w:sz="4" w:space="0" w:color="BFBFBF"/>
            </w:tcBorders>
            <w:shd w:val="clear" w:color="auto" w:fill="auto"/>
            <w:noWrap/>
            <w:hideMark/>
          </w:tcPr>
          <w:p w14:paraId="6F4731F8" w14:textId="2E092F24" w:rsidR="00C15C65" w:rsidRPr="002029AF" w:rsidRDefault="00C15C65" w:rsidP="002C5190">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lower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as</w:t>
            </w:r>
            <w:r w:rsidR="000A5329" w:rsidRPr="002029AF">
              <w:t xml:space="preserve"> </w:t>
            </w:r>
            <w:r w:rsidRPr="002029AF">
              <w:t>overall</w:t>
            </w:r>
            <w:r w:rsidR="000A5329" w:rsidRPr="002029AF">
              <w:t xml:space="preserve"> </w:t>
            </w:r>
            <w:r w:rsidRPr="002029AF">
              <w:t>activity</w:t>
            </w:r>
            <w:r w:rsidR="000A5329" w:rsidRPr="002029AF">
              <w:t xml:space="preserve"> </w:t>
            </w:r>
            <w:r w:rsidRPr="002029AF">
              <w:t>has</w:t>
            </w:r>
            <w:r w:rsidR="000A5329" w:rsidRPr="002029AF">
              <w:t xml:space="preserve"> </w:t>
            </w:r>
            <w:r w:rsidRPr="002029AF">
              <w:t>been</w:t>
            </w:r>
            <w:r w:rsidR="000A5329" w:rsidRPr="002029AF">
              <w:t xml:space="preserve"> </w:t>
            </w:r>
            <w:r w:rsidRPr="002029AF">
              <w:t>impacted</w:t>
            </w:r>
            <w:r w:rsidR="000A5329" w:rsidRPr="002029AF">
              <w:t xml:space="preserve"> </w:t>
            </w:r>
            <w:r w:rsidRPr="002029AF">
              <w:t>by</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restrictions.</w:t>
            </w:r>
          </w:p>
        </w:tc>
      </w:tr>
      <w:tr w:rsidR="00C15C65" w:rsidRPr="002029AF" w14:paraId="290776EB" w14:textId="77777777" w:rsidTr="00192EEE">
        <w:trPr>
          <w:cantSplit/>
        </w:trPr>
        <w:tc>
          <w:tcPr>
            <w:tcW w:w="9639" w:type="dxa"/>
            <w:gridSpan w:val="7"/>
            <w:tcBorders>
              <w:top w:val="single" w:sz="4" w:space="0" w:color="auto"/>
              <w:left w:val="nil"/>
              <w:bottom w:val="nil"/>
              <w:right w:val="nil"/>
            </w:tcBorders>
            <w:hideMark/>
          </w:tcPr>
          <w:p w14:paraId="6B43F47E" w14:textId="77777777" w:rsidR="00C15C65" w:rsidRPr="002029AF" w:rsidRDefault="00C15C65" w:rsidP="00D96AFD">
            <w:pPr>
              <w:pStyle w:val="ARtablegreybold"/>
            </w:pPr>
            <w:r w:rsidRPr="002029AF">
              <w:t>Quality</w:t>
            </w:r>
          </w:p>
        </w:tc>
      </w:tr>
      <w:tr w:rsidR="00C15C65" w:rsidRPr="002029AF" w14:paraId="17C10BAE" w14:textId="77777777" w:rsidTr="00192EEE">
        <w:trPr>
          <w:gridAfter w:val="1"/>
          <w:wAfter w:w="6" w:type="dxa"/>
          <w:cantSplit/>
        </w:trPr>
        <w:tc>
          <w:tcPr>
            <w:tcW w:w="4756" w:type="dxa"/>
            <w:shd w:val="clear" w:color="auto" w:fill="auto"/>
            <w:hideMark/>
          </w:tcPr>
          <w:p w14:paraId="1E69D3A4" w14:textId="7CC45548" w:rsidR="00C15C65" w:rsidRPr="002029AF" w:rsidRDefault="00C15C65" w:rsidP="00C40F5D">
            <w:pPr>
              <w:pStyle w:val="ARtabletext"/>
            </w:pPr>
            <w:r w:rsidRPr="002029AF">
              <w:t>Post-acute</w:t>
            </w:r>
            <w:r w:rsidR="000A5329" w:rsidRPr="002029AF">
              <w:t xml:space="preserve"> </w:t>
            </w:r>
            <w:r w:rsidRPr="002029AF">
              <w:t>clients</w:t>
            </w:r>
            <w:r w:rsidR="000A5329" w:rsidRPr="002029AF">
              <w:t xml:space="preserve"> </w:t>
            </w:r>
            <w:r w:rsidRPr="002029AF">
              <w:t>not</w:t>
            </w:r>
            <w:r w:rsidR="000A5329" w:rsidRPr="002029AF">
              <w:t xml:space="preserve"> </w:t>
            </w:r>
            <w:r w:rsidRPr="002029AF">
              <w:t>readmitted</w:t>
            </w:r>
            <w:r w:rsidR="000A5329" w:rsidRPr="002029AF">
              <w:t xml:space="preserve"> </w:t>
            </w:r>
            <w:r w:rsidRPr="002029AF">
              <w:t>to</w:t>
            </w:r>
            <w:r w:rsidR="000A5329" w:rsidRPr="002029AF">
              <w:t xml:space="preserve"> </w:t>
            </w:r>
            <w:r w:rsidRPr="002029AF">
              <w:t>acute</w:t>
            </w:r>
            <w:r w:rsidR="000A5329" w:rsidRPr="002029AF">
              <w:t xml:space="preserve"> </w:t>
            </w:r>
            <w:r w:rsidRPr="002029AF">
              <w:t>hospital</w:t>
            </w:r>
          </w:p>
        </w:tc>
        <w:tc>
          <w:tcPr>
            <w:tcW w:w="1019" w:type="dxa"/>
            <w:shd w:val="clear" w:color="auto" w:fill="auto"/>
            <w:hideMark/>
          </w:tcPr>
          <w:p w14:paraId="5CE8EBE1" w14:textId="4D83471A" w:rsidR="00C15C65" w:rsidRPr="002029AF" w:rsidRDefault="00C15C65" w:rsidP="00C40F5D">
            <w:pPr>
              <w:pStyle w:val="ARtabletext"/>
            </w:pPr>
            <w:r w:rsidRPr="002029AF">
              <w:t>per</w:t>
            </w:r>
            <w:r w:rsidR="000A5329" w:rsidRPr="002029AF">
              <w:t xml:space="preserve"> </w:t>
            </w:r>
            <w:r w:rsidRPr="002029AF">
              <w:t>cent</w:t>
            </w:r>
          </w:p>
        </w:tc>
        <w:tc>
          <w:tcPr>
            <w:tcW w:w="1020" w:type="dxa"/>
            <w:shd w:val="clear" w:color="auto" w:fill="auto"/>
            <w:hideMark/>
          </w:tcPr>
          <w:p w14:paraId="6EAE0481" w14:textId="77777777" w:rsidR="00C15C65" w:rsidRPr="002029AF" w:rsidRDefault="00C15C65" w:rsidP="0014376C">
            <w:pPr>
              <w:pStyle w:val="ARtabletextright"/>
            </w:pPr>
            <w:r w:rsidRPr="002029AF">
              <w:t>90</w:t>
            </w:r>
          </w:p>
        </w:tc>
        <w:tc>
          <w:tcPr>
            <w:tcW w:w="1020" w:type="dxa"/>
            <w:shd w:val="clear" w:color="auto" w:fill="auto"/>
            <w:hideMark/>
          </w:tcPr>
          <w:p w14:paraId="24EFCD0A" w14:textId="77777777" w:rsidR="00C15C65" w:rsidRPr="002029AF" w:rsidRDefault="00C15C65" w:rsidP="0014376C">
            <w:pPr>
              <w:pStyle w:val="ARtabletextright"/>
            </w:pPr>
            <w:r w:rsidRPr="002029AF">
              <w:t>93.7</w:t>
            </w:r>
          </w:p>
        </w:tc>
        <w:tc>
          <w:tcPr>
            <w:tcW w:w="1022" w:type="dxa"/>
            <w:shd w:val="clear" w:color="auto" w:fill="auto"/>
          </w:tcPr>
          <w:p w14:paraId="1E99BBFF" w14:textId="77777777" w:rsidR="00C15C65" w:rsidRPr="002029AF" w:rsidRDefault="00C15C65" w:rsidP="0014376C">
            <w:pPr>
              <w:pStyle w:val="ARtabletextright"/>
            </w:pPr>
            <w:r w:rsidRPr="002029AF">
              <w:t>4.1</w:t>
            </w:r>
          </w:p>
        </w:tc>
        <w:tc>
          <w:tcPr>
            <w:tcW w:w="796" w:type="dxa"/>
            <w:shd w:val="clear" w:color="auto" w:fill="auto"/>
            <w:hideMark/>
          </w:tcPr>
          <w:p w14:paraId="0ACDE46E"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1EBB6FC9" w14:textId="77777777" w:rsidTr="00192EEE">
        <w:trPr>
          <w:cantSplit/>
        </w:trPr>
        <w:tc>
          <w:tcPr>
            <w:tcW w:w="9639" w:type="dxa"/>
            <w:gridSpan w:val="7"/>
            <w:tcBorders>
              <w:top w:val="single" w:sz="4" w:space="0" w:color="auto"/>
              <w:left w:val="nil"/>
              <w:bottom w:val="nil"/>
              <w:right w:val="nil"/>
            </w:tcBorders>
            <w:hideMark/>
          </w:tcPr>
          <w:p w14:paraId="63E9E322" w14:textId="77777777" w:rsidR="00C15C65" w:rsidRPr="002029AF" w:rsidRDefault="00C15C65" w:rsidP="007666A5">
            <w:pPr>
              <w:pStyle w:val="ARtablegreybold"/>
            </w:pPr>
            <w:r w:rsidRPr="002029AF">
              <w:t>Timeliness</w:t>
            </w:r>
          </w:p>
        </w:tc>
      </w:tr>
      <w:tr w:rsidR="00C15C65" w:rsidRPr="002029AF" w14:paraId="61EFC88C" w14:textId="77777777" w:rsidTr="00192EEE">
        <w:trPr>
          <w:gridAfter w:val="1"/>
          <w:wAfter w:w="6" w:type="dxa"/>
          <w:cantSplit/>
        </w:trPr>
        <w:tc>
          <w:tcPr>
            <w:tcW w:w="4756" w:type="dxa"/>
            <w:shd w:val="clear" w:color="auto" w:fill="auto"/>
            <w:hideMark/>
          </w:tcPr>
          <w:p w14:paraId="17BC4318" w14:textId="5CF7723D" w:rsidR="00C15C65" w:rsidRPr="002029AF" w:rsidRDefault="00C15C65" w:rsidP="00C40F5D">
            <w:pPr>
              <w:pStyle w:val="ARtabletext"/>
            </w:pPr>
            <w:r w:rsidRPr="002029AF">
              <w:t>Health</w:t>
            </w:r>
            <w:r w:rsidR="000A5329" w:rsidRPr="002029AF">
              <w:t xml:space="preserve"> </w:t>
            </w:r>
            <w:r w:rsidRPr="002029AF">
              <w:t>Independence</w:t>
            </w:r>
            <w:r w:rsidR="000A5329" w:rsidRPr="002029AF">
              <w:t xml:space="preserve"> </w:t>
            </w:r>
            <w:r w:rsidRPr="002029AF">
              <w:t>Program</w:t>
            </w:r>
            <w:r w:rsidR="000A5329" w:rsidRPr="002029AF">
              <w:t xml:space="preserve"> </w:t>
            </w:r>
            <w:r w:rsidRPr="002029AF">
              <w:t>clients</w:t>
            </w:r>
            <w:r w:rsidR="000A5329" w:rsidRPr="002029AF">
              <w:t xml:space="preserve"> </w:t>
            </w:r>
            <w:r w:rsidRPr="002029AF">
              <w:t>contacted</w:t>
            </w:r>
            <w:r w:rsidR="000A5329" w:rsidRPr="002029AF">
              <w:t xml:space="preserve"> </w:t>
            </w:r>
            <w:r w:rsidRPr="002029AF">
              <w:t>within</w:t>
            </w:r>
            <w:r w:rsidR="000A5329" w:rsidRPr="002029AF">
              <w:t xml:space="preserve"> </w:t>
            </w:r>
            <w:r w:rsidRPr="002029AF">
              <w:t>three</w:t>
            </w:r>
            <w:r w:rsidR="000A5329" w:rsidRPr="002029AF">
              <w:t xml:space="preserve"> </w:t>
            </w:r>
            <w:r w:rsidRPr="002029AF">
              <w:t>days</w:t>
            </w:r>
            <w:r w:rsidR="000A5329" w:rsidRPr="002029AF">
              <w:t xml:space="preserve"> </w:t>
            </w:r>
            <w:r w:rsidRPr="002029AF">
              <w:t>of</w:t>
            </w:r>
            <w:r w:rsidR="000A5329" w:rsidRPr="002029AF">
              <w:t xml:space="preserve"> </w:t>
            </w:r>
            <w:r w:rsidRPr="002029AF">
              <w:t>referral</w:t>
            </w:r>
          </w:p>
        </w:tc>
        <w:tc>
          <w:tcPr>
            <w:tcW w:w="1019" w:type="dxa"/>
            <w:shd w:val="clear" w:color="auto" w:fill="auto"/>
            <w:hideMark/>
          </w:tcPr>
          <w:p w14:paraId="2C66B7BA" w14:textId="72448D41" w:rsidR="00C15C65" w:rsidRPr="002029AF" w:rsidRDefault="00C15C65" w:rsidP="00C40F5D">
            <w:pPr>
              <w:pStyle w:val="ARtabletext"/>
            </w:pPr>
            <w:r w:rsidRPr="002029AF">
              <w:t>per</w:t>
            </w:r>
            <w:r w:rsidR="000A5329" w:rsidRPr="002029AF">
              <w:t xml:space="preserve"> </w:t>
            </w:r>
            <w:r w:rsidRPr="002029AF">
              <w:t>cent</w:t>
            </w:r>
          </w:p>
        </w:tc>
        <w:tc>
          <w:tcPr>
            <w:tcW w:w="1020" w:type="dxa"/>
            <w:shd w:val="clear" w:color="auto" w:fill="auto"/>
            <w:hideMark/>
          </w:tcPr>
          <w:p w14:paraId="7BA32366" w14:textId="77777777" w:rsidR="00C15C65" w:rsidRPr="002029AF" w:rsidRDefault="00C15C65" w:rsidP="0014376C">
            <w:pPr>
              <w:pStyle w:val="ARtabletextright"/>
            </w:pPr>
            <w:r w:rsidRPr="002029AF">
              <w:t>85</w:t>
            </w:r>
          </w:p>
        </w:tc>
        <w:tc>
          <w:tcPr>
            <w:tcW w:w="1020" w:type="dxa"/>
            <w:shd w:val="clear" w:color="auto" w:fill="auto"/>
            <w:hideMark/>
          </w:tcPr>
          <w:p w14:paraId="3C91EF2D" w14:textId="77777777" w:rsidR="00C15C65" w:rsidRPr="002029AF" w:rsidRDefault="00C15C65" w:rsidP="0014376C">
            <w:pPr>
              <w:pStyle w:val="ARtabletextright"/>
            </w:pPr>
            <w:r w:rsidRPr="002029AF">
              <w:t>90.8</w:t>
            </w:r>
          </w:p>
        </w:tc>
        <w:tc>
          <w:tcPr>
            <w:tcW w:w="1022" w:type="dxa"/>
            <w:shd w:val="clear" w:color="auto" w:fill="auto"/>
          </w:tcPr>
          <w:p w14:paraId="45915336" w14:textId="77777777" w:rsidR="00C15C65" w:rsidRPr="002029AF" w:rsidRDefault="00C15C65" w:rsidP="0014376C">
            <w:pPr>
              <w:pStyle w:val="ARtabletextright"/>
            </w:pPr>
            <w:r w:rsidRPr="002029AF">
              <w:t>6.8</w:t>
            </w:r>
          </w:p>
        </w:tc>
        <w:tc>
          <w:tcPr>
            <w:tcW w:w="796" w:type="dxa"/>
            <w:shd w:val="clear" w:color="auto" w:fill="auto"/>
            <w:hideMark/>
          </w:tcPr>
          <w:p w14:paraId="73320B7E"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2322CAAE" w14:textId="77777777" w:rsidTr="00192EEE">
        <w:trPr>
          <w:gridAfter w:val="1"/>
          <w:wAfter w:w="6" w:type="dxa"/>
          <w:cantSplit/>
        </w:trPr>
        <w:tc>
          <w:tcPr>
            <w:tcW w:w="9633" w:type="dxa"/>
            <w:gridSpan w:val="6"/>
            <w:tcBorders>
              <w:bottom w:val="single" w:sz="4" w:space="0" w:color="BFBFBF"/>
            </w:tcBorders>
            <w:shd w:val="clear" w:color="auto" w:fill="auto"/>
            <w:noWrap/>
            <w:hideMark/>
          </w:tcPr>
          <w:p w14:paraId="46ED92BA" w14:textId="4501DC94" w:rsidR="00C15C65" w:rsidRPr="002029AF" w:rsidRDefault="00C15C65" w:rsidP="00615F62">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002029AF"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shift</w:t>
            </w:r>
            <w:r w:rsidR="000A5329" w:rsidRPr="002029AF">
              <w:t xml:space="preserve"> </w:t>
            </w:r>
            <w:r w:rsidRPr="002029AF">
              <w:t>in</w:t>
            </w:r>
            <w:r w:rsidR="000A5329" w:rsidRPr="002029AF">
              <w:t xml:space="preserve"> </w:t>
            </w:r>
            <w:r w:rsidRPr="002029AF">
              <w:t>hospital</w:t>
            </w:r>
            <w:r w:rsidR="000A5329" w:rsidRPr="002029AF">
              <w:t xml:space="preserve"> </w:t>
            </w:r>
            <w:r w:rsidRPr="002029AF">
              <w:t>practices</w:t>
            </w:r>
            <w:r w:rsidR="000A5329" w:rsidRPr="002029AF">
              <w:t xml:space="preserve"> </w:t>
            </w:r>
            <w:r w:rsidRPr="002029AF">
              <w:t>during</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where</w:t>
            </w:r>
            <w:r w:rsidR="000A5329" w:rsidRPr="002029AF">
              <w:t xml:space="preserve"> </w:t>
            </w:r>
            <w:r w:rsidRPr="002029AF">
              <w:t>care</w:t>
            </w:r>
            <w:r w:rsidR="000A5329" w:rsidRPr="002029AF">
              <w:t xml:space="preserve"> </w:t>
            </w:r>
            <w:r w:rsidRPr="002029AF">
              <w:t>was</w:t>
            </w:r>
            <w:r w:rsidR="000A5329" w:rsidRPr="002029AF">
              <w:t xml:space="preserve"> </w:t>
            </w:r>
            <w:r w:rsidRPr="002029AF">
              <w:t>transferred</w:t>
            </w:r>
            <w:r w:rsidR="000A5329" w:rsidRPr="002029AF">
              <w:t xml:space="preserve"> </w:t>
            </w:r>
            <w:r w:rsidRPr="002029AF">
              <w:t>from</w:t>
            </w:r>
            <w:r w:rsidR="000A5329" w:rsidRPr="002029AF">
              <w:t xml:space="preserve"> </w:t>
            </w:r>
            <w:r w:rsidRPr="002029AF">
              <w:t>admitted</w:t>
            </w:r>
            <w:r w:rsidR="000A5329" w:rsidRPr="002029AF">
              <w:t xml:space="preserve"> </w:t>
            </w:r>
            <w:r w:rsidRPr="002029AF">
              <w:t>to</w:t>
            </w:r>
            <w:r w:rsidR="000A5329" w:rsidRPr="002029AF">
              <w:t xml:space="preserve"> </w:t>
            </w:r>
            <w:r w:rsidRPr="002029AF">
              <w:t>non-admitted</w:t>
            </w:r>
            <w:r w:rsidR="000A5329" w:rsidRPr="002029AF">
              <w:t xml:space="preserve"> </w:t>
            </w:r>
            <w:r w:rsidRPr="002029AF">
              <w:t>services,</w:t>
            </w:r>
            <w:r w:rsidR="000A5329" w:rsidRPr="002029AF">
              <w:t xml:space="preserve"> </w:t>
            </w:r>
            <w:r w:rsidRPr="002029AF">
              <w:t>to</w:t>
            </w:r>
            <w:r w:rsidR="000A5329" w:rsidRPr="002029AF">
              <w:t xml:space="preserve"> </w:t>
            </w:r>
            <w:r w:rsidRPr="002029AF">
              <w:t>free</w:t>
            </w:r>
            <w:r w:rsidR="000A5329" w:rsidRPr="002029AF">
              <w:t xml:space="preserve"> </w:t>
            </w:r>
            <w:r w:rsidRPr="002029AF">
              <w:t>up</w:t>
            </w:r>
            <w:r w:rsidR="000A5329" w:rsidRPr="002029AF">
              <w:t xml:space="preserve"> </w:t>
            </w:r>
            <w:r w:rsidRPr="002029AF">
              <w:t>inpatient</w:t>
            </w:r>
            <w:r w:rsidR="000A5329" w:rsidRPr="002029AF">
              <w:t xml:space="preserve"> </w:t>
            </w:r>
            <w:r w:rsidRPr="002029AF">
              <w:t>beds</w:t>
            </w:r>
            <w:r w:rsidR="000A5329" w:rsidRPr="002029AF">
              <w:t xml:space="preserve"> </w:t>
            </w:r>
            <w:r w:rsidRPr="002029AF">
              <w:t>and</w:t>
            </w:r>
            <w:r w:rsidR="000A5329" w:rsidRPr="002029AF">
              <w:t xml:space="preserve"> </w:t>
            </w:r>
            <w:r w:rsidRPr="002029AF">
              <w:t>minimise</w:t>
            </w:r>
            <w:r w:rsidR="000A5329" w:rsidRPr="002029AF">
              <w:t xml:space="preserve"> </w:t>
            </w:r>
            <w:r w:rsidRPr="002029AF">
              <w:t>infection</w:t>
            </w:r>
            <w:r w:rsidR="000A5329" w:rsidRPr="002029AF">
              <w:t xml:space="preserve"> </w:t>
            </w:r>
            <w:r w:rsidRPr="002029AF">
              <w:t>risk.</w:t>
            </w:r>
            <w:r w:rsidR="000A5329" w:rsidRPr="002029AF">
              <w:t xml:space="preserve"> </w:t>
            </w:r>
            <w:r w:rsidRPr="002029AF">
              <w:t>The</w:t>
            </w:r>
            <w:r w:rsidR="000A5329" w:rsidRPr="002029AF">
              <w:t xml:space="preserve"> </w:t>
            </w:r>
            <w:r w:rsidRPr="002029AF">
              <w:t>Health</w:t>
            </w:r>
            <w:r w:rsidR="000A5329" w:rsidRPr="002029AF">
              <w:t xml:space="preserve"> </w:t>
            </w:r>
            <w:r w:rsidRPr="002029AF">
              <w:t>Independence</w:t>
            </w:r>
            <w:r w:rsidR="000A5329" w:rsidRPr="002029AF">
              <w:t xml:space="preserve"> </w:t>
            </w:r>
            <w:r w:rsidRPr="002029AF">
              <w:t>Program</w:t>
            </w:r>
            <w:r w:rsidR="000A5329" w:rsidRPr="002029AF">
              <w:t xml:space="preserve"> </w:t>
            </w:r>
            <w:r w:rsidRPr="002029AF">
              <w:t>focused</w:t>
            </w:r>
            <w:r w:rsidR="000A5329" w:rsidRPr="002029AF">
              <w:t xml:space="preserve"> </w:t>
            </w:r>
            <w:r w:rsidRPr="002029AF">
              <w:t>on</w:t>
            </w:r>
            <w:r w:rsidR="000A5329" w:rsidRPr="002029AF">
              <w:t xml:space="preserve"> </w:t>
            </w:r>
            <w:r w:rsidRPr="002029AF">
              <w:t>early</w:t>
            </w:r>
            <w:r w:rsidR="000A5329" w:rsidRPr="002029AF">
              <w:t xml:space="preserve"> </w:t>
            </w:r>
            <w:r w:rsidRPr="002029AF">
              <w:t>follow-up</w:t>
            </w:r>
            <w:r w:rsidR="000A5329" w:rsidRPr="002029AF">
              <w:t xml:space="preserve"> </w:t>
            </w:r>
            <w:r w:rsidRPr="002029AF">
              <w:t>and</w:t>
            </w:r>
            <w:r w:rsidR="000A5329" w:rsidRPr="002029AF">
              <w:t xml:space="preserve"> </w:t>
            </w:r>
            <w:r w:rsidRPr="002029AF">
              <w:t>review</w:t>
            </w:r>
            <w:r w:rsidR="000A5329" w:rsidRPr="002029AF">
              <w:t xml:space="preserve"> </w:t>
            </w:r>
            <w:r w:rsidRPr="002029AF">
              <w:t>of</w:t>
            </w:r>
            <w:r w:rsidR="000A5329" w:rsidRPr="002029AF">
              <w:t xml:space="preserve"> </w:t>
            </w:r>
            <w:r w:rsidRPr="002029AF">
              <w:t>treatment</w:t>
            </w:r>
            <w:r w:rsidR="000A5329" w:rsidRPr="002029AF">
              <w:t xml:space="preserve"> </w:t>
            </w:r>
            <w:r w:rsidRPr="002029AF">
              <w:t>options.</w:t>
            </w:r>
            <w:r w:rsidR="000A5329" w:rsidRPr="002029AF">
              <w:t xml:space="preserve"> </w:t>
            </w:r>
            <w:r w:rsidRPr="002029AF">
              <w:t>This</w:t>
            </w:r>
            <w:r w:rsidR="000A5329" w:rsidRPr="002029AF">
              <w:t xml:space="preserve"> </w:t>
            </w:r>
            <w:r w:rsidRPr="002029AF">
              <w:t>is</w:t>
            </w:r>
            <w:r w:rsidR="000A5329" w:rsidRPr="002029AF">
              <w:t xml:space="preserve"> </w:t>
            </w:r>
            <w:r w:rsidRPr="002029AF">
              <w:t>a</w:t>
            </w:r>
            <w:r w:rsidR="000A5329" w:rsidRPr="002029AF">
              <w:t xml:space="preserve"> </w:t>
            </w:r>
            <w:r w:rsidRPr="002029AF">
              <w:t>positive</w:t>
            </w:r>
            <w:r w:rsidR="000A5329" w:rsidRPr="002029AF">
              <w:t xml:space="preserve"> </w:t>
            </w:r>
            <w:r w:rsidRPr="002029AF">
              <w:t>result.</w:t>
            </w:r>
          </w:p>
        </w:tc>
      </w:tr>
      <w:tr w:rsidR="00C15C65" w:rsidRPr="002029AF" w14:paraId="37699EB6" w14:textId="77777777" w:rsidTr="00192EEE">
        <w:trPr>
          <w:cantSplit/>
        </w:trPr>
        <w:tc>
          <w:tcPr>
            <w:tcW w:w="9639" w:type="dxa"/>
            <w:gridSpan w:val="7"/>
            <w:tcBorders>
              <w:top w:val="single" w:sz="4" w:space="0" w:color="auto"/>
              <w:left w:val="nil"/>
              <w:bottom w:val="nil"/>
              <w:right w:val="nil"/>
            </w:tcBorders>
            <w:hideMark/>
          </w:tcPr>
          <w:p w14:paraId="08C63847" w14:textId="77777777" w:rsidR="00C15C65" w:rsidRPr="002029AF" w:rsidRDefault="00C15C65" w:rsidP="007666A5">
            <w:pPr>
              <w:pStyle w:val="ARtablegreybold"/>
            </w:pPr>
            <w:r w:rsidRPr="002029AF">
              <w:t>Cost</w:t>
            </w:r>
          </w:p>
        </w:tc>
      </w:tr>
      <w:tr w:rsidR="00C15C65" w:rsidRPr="002029AF" w14:paraId="65A9910F" w14:textId="77777777" w:rsidTr="00192EEE">
        <w:trPr>
          <w:cantSplit/>
        </w:trPr>
        <w:tc>
          <w:tcPr>
            <w:tcW w:w="4756" w:type="dxa"/>
            <w:hideMark/>
          </w:tcPr>
          <w:p w14:paraId="69FA7851" w14:textId="735CCD53" w:rsidR="00C15C65" w:rsidRPr="002029AF" w:rsidRDefault="00C15C65" w:rsidP="00C40F5D">
            <w:pPr>
              <w:pStyle w:val="ARtabletext"/>
              <w:rPr>
                <w:b/>
              </w:rPr>
            </w:pPr>
            <w:r w:rsidRPr="002029AF">
              <w:rPr>
                <w:b/>
              </w:rPr>
              <w:t>Total</w:t>
            </w:r>
            <w:r w:rsidR="000A5329" w:rsidRPr="002029AF">
              <w:rPr>
                <w:b/>
              </w:rPr>
              <w:t xml:space="preserve"> </w:t>
            </w:r>
            <w:r w:rsidRPr="002029AF">
              <w:rPr>
                <w:b/>
              </w:rPr>
              <w:t>output</w:t>
            </w:r>
            <w:r w:rsidR="000A5329" w:rsidRPr="002029AF">
              <w:rPr>
                <w:b/>
              </w:rPr>
              <w:t xml:space="preserve"> </w:t>
            </w:r>
            <w:r w:rsidRPr="002029AF">
              <w:rPr>
                <w:b/>
              </w:rPr>
              <w:t>cost</w:t>
            </w:r>
          </w:p>
        </w:tc>
        <w:tc>
          <w:tcPr>
            <w:tcW w:w="1019" w:type="dxa"/>
            <w:hideMark/>
          </w:tcPr>
          <w:p w14:paraId="48E6B136" w14:textId="40D8604A" w:rsidR="00C15C65" w:rsidRPr="002029AF" w:rsidRDefault="00C15C65" w:rsidP="00C40F5D">
            <w:pPr>
              <w:pStyle w:val="ARtabletext"/>
              <w:rPr>
                <w:b/>
              </w:rPr>
            </w:pPr>
            <w:r w:rsidRPr="002029AF">
              <w:rPr>
                <w:b/>
              </w:rPr>
              <w:t>$</w:t>
            </w:r>
            <w:r w:rsidR="000A5329" w:rsidRPr="002029AF">
              <w:rPr>
                <w:b/>
              </w:rPr>
              <w:t xml:space="preserve"> </w:t>
            </w:r>
            <w:r w:rsidRPr="002029AF">
              <w:rPr>
                <w:b/>
              </w:rPr>
              <w:t>million</w:t>
            </w:r>
          </w:p>
        </w:tc>
        <w:tc>
          <w:tcPr>
            <w:tcW w:w="1020" w:type="dxa"/>
          </w:tcPr>
          <w:p w14:paraId="55295323" w14:textId="77777777" w:rsidR="00C15C65" w:rsidRPr="002029AF" w:rsidRDefault="00C15C65" w:rsidP="0014376C">
            <w:pPr>
              <w:pStyle w:val="ARtabletextrightbold"/>
            </w:pPr>
            <w:r w:rsidRPr="002029AF">
              <w:t>1,920.7</w:t>
            </w:r>
          </w:p>
        </w:tc>
        <w:tc>
          <w:tcPr>
            <w:tcW w:w="1020" w:type="dxa"/>
          </w:tcPr>
          <w:p w14:paraId="2D673C7C" w14:textId="77777777" w:rsidR="00C15C65" w:rsidRPr="002029AF" w:rsidRDefault="00C15C65" w:rsidP="0014376C">
            <w:pPr>
              <w:pStyle w:val="ARtabletextrightbold"/>
            </w:pPr>
            <w:r w:rsidRPr="002029AF">
              <w:t>1,895.9</w:t>
            </w:r>
          </w:p>
        </w:tc>
        <w:tc>
          <w:tcPr>
            <w:tcW w:w="1022" w:type="dxa"/>
          </w:tcPr>
          <w:p w14:paraId="6C88218F" w14:textId="77777777" w:rsidR="00C15C65" w:rsidRPr="002029AF" w:rsidRDefault="00C15C65" w:rsidP="0014376C">
            <w:pPr>
              <w:pStyle w:val="ARtabletextrightbold"/>
            </w:pPr>
            <w:r w:rsidRPr="002029AF">
              <w:t>-1.3</w:t>
            </w:r>
          </w:p>
        </w:tc>
        <w:tc>
          <w:tcPr>
            <w:tcW w:w="802" w:type="dxa"/>
            <w:gridSpan w:val="2"/>
          </w:tcPr>
          <w:p w14:paraId="3D7C53D9" w14:textId="77777777" w:rsidR="00C15C65" w:rsidRPr="002029AF" w:rsidRDefault="00C15C65" w:rsidP="00C40F5D">
            <w:pPr>
              <w:pStyle w:val="ARtabletext"/>
              <w:rPr>
                <w:b/>
              </w:rPr>
            </w:pPr>
          </w:p>
        </w:tc>
      </w:tr>
      <w:tr w:rsidR="00C15C65" w:rsidRPr="002029AF" w14:paraId="60C15C4D" w14:textId="77777777" w:rsidTr="00192EEE">
        <w:trPr>
          <w:gridAfter w:val="1"/>
          <w:wAfter w:w="6" w:type="dxa"/>
          <w:cantSplit/>
        </w:trPr>
        <w:tc>
          <w:tcPr>
            <w:tcW w:w="9633" w:type="dxa"/>
            <w:gridSpan w:val="6"/>
            <w:tcBorders>
              <w:bottom w:val="single" w:sz="4" w:space="0" w:color="BFBFBF"/>
            </w:tcBorders>
            <w:shd w:val="clear" w:color="auto" w:fill="auto"/>
            <w:noWrap/>
            <w:hideMark/>
          </w:tcPr>
          <w:p w14:paraId="352ED580" w14:textId="094C6FEB" w:rsidR="00C15C65" w:rsidRPr="002029AF" w:rsidRDefault="00C15C65" w:rsidP="002C5190">
            <w:pPr>
              <w:pStyle w:val="ARtablenoteindent"/>
            </w:pPr>
            <w:r w:rsidRPr="002029AF">
              <w:t>The</w:t>
            </w:r>
            <w:r w:rsidR="000A5329" w:rsidRPr="002029AF">
              <w:t xml:space="preserve"> </w:t>
            </w:r>
            <w:r w:rsidRPr="002029AF">
              <w:t>201</w:t>
            </w:r>
            <w:r w:rsidR="00DB53E6" w:rsidRPr="002029AF">
              <w:t>9–</w:t>
            </w:r>
            <w:r w:rsidRPr="002029AF">
              <w:t>20</w:t>
            </w:r>
            <w:r w:rsidR="000A5329" w:rsidRPr="002029AF">
              <w:t xml:space="preserve"> </w:t>
            </w:r>
            <w:r w:rsidRPr="002029AF">
              <w:t>actual</w:t>
            </w:r>
            <w:r w:rsidR="000A5329" w:rsidRPr="002029AF">
              <w:t xml:space="preserve"> </w:t>
            </w:r>
            <w:r w:rsidRPr="002029AF">
              <w:t>outcome</w:t>
            </w:r>
            <w:r w:rsidR="000A5329" w:rsidRPr="002029AF">
              <w:t xml:space="preserve"> </w:t>
            </w:r>
            <w:r w:rsidRPr="002029AF">
              <w:t>primarily</w:t>
            </w:r>
            <w:r w:rsidR="000A5329" w:rsidRPr="002029AF">
              <w:t xml:space="preserve"> </w:t>
            </w:r>
            <w:r w:rsidRPr="002029AF">
              <w:t>reflects</w:t>
            </w:r>
            <w:r w:rsidR="000A5329" w:rsidRPr="002029AF">
              <w:t xml:space="preserve"> </w:t>
            </w:r>
            <w:r w:rsidRPr="002029AF">
              <w:t>lower</w:t>
            </w:r>
            <w:r w:rsidR="000A5329" w:rsidRPr="002029AF">
              <w:t xml:space="preserve"> </w:t>
            </w:r>
            <w:r w:rsidRPr="002029AF">
              <w:t>than</w:t>
            </w:r>
            <w:r w:rsidR="000A5329" w:rsidRPr="002029AF">
              <w:t xml:space="preserve"> </w:t>
            </w:r>
            <w:r w:rsidRPr="002029AF">
              <w:t>expected</w:t>
            </w:r>
            <w:r w:rsidR="000A5329" w:rsidRPr="002029AF">
              <w:t xml:space="preserve"> </w:t>
            </w:r>
            <w:r w:rsidRPr="002029AF">
              <w:t>Commonwealth</w:t>
            </w:r>
            <w:r w:rsidR="000A5329" w:rsidRPr="002029AF">
              <w:t xml:space="preserve"> </w:t>
            </w:r>
            <w:r w:rsidRPr="002029AF">
              <w:t>revenue</w:t>
            </w:r>
            <w:r w:rsidR="000A5329" w:rsidRPr="002029AF">
              <w:t xml:space="preserve"> </w:t>
            </w:r>
            <w:r w:rsidRPr="002029AF">
              <w:t>for</w:t>
            </w:r>
            <w:r w:rsidR="000A5329" w:rsidRPr="002029AF">
              <w:t xml:space="preserve"> </w:t>
            </w:r>
            <w:r w:rsidRPr="002029AF">
              <w:t>highly</w:t>
            </w:r>
            <w:r w:rsidR="000A5329" w:rsidRPr="002029AF">
              <w:t xml:space="preserve"> </w:t>
            </w:r>
            <w:r w:rsidRPr="002029AF">
              <w:t>specialised</w:t>
            </w:r>
            <w:r w:rsidR="000A5329" w:rsidRPr="002029AF">
              <w:t xml:space="preserve"> </w:t>
            </w:r>
            <w:r w:rsidRPr="002029AF">
              <w:t>drugs</w:t>
            </w:r>
            <w:r w:rsidR="000A5329" w:rsidRPr="002029AF">
              <w:t xml:space="preserve"> </w:t>
            </w:r>
            <w:r w:rsidRPr="002029AF">
              <w:t>and</w:t>
            </w:r>
            <w:r w:rsidR="000A5329" w:rsidRPr="002029AF">
              <w:t xml:space="preserve"> </w:t>
            </w:r>
            <w:r w:rsidRPr="002029AF">
              <w:t>realignment</w:t>
            </w:r>
            <w:r w:rsidR="000A5329" w:rsidRPr="002029AF">
              <w:t xml:space="preserve"> </w:t>
            </w:r>
            <w:r w:rsidRPr="002029AF">
              <w:t>of</w:t>
            </w:r>
            <w:r w:rsidR="000A5329" w:rsidRPr="002029AF">
              <w:t xml:space="preserve"> </w:t>
            </w:r>
            <w:r w:rsidRPr="002029AF">
              <w:t>output</w:t>
            </w:r>
            <w:r w:rsidR="000A5329" w:rsidRPr="002029AF">
              <w:t xml:space="preserve"> </w:t>
            </w:r>
            <w:r w:rsidRPr="002029AF">
              <w:t>budget</w:t>
            </w:r>
            <w:r w:rsidR="000A5329" w:rsidRPr="002029AF">
              <w:t xml:space="preserve"> </w:t>
            </w:r>
            <w:r w:rsidRPr="002029AF">
              <w:t>related</w:t>
            </w:r>
            <w:r w:rsidR="000A5329" w:rsidRPr="002029AF">
              <w:t xml:space="preserve"> </w:t>
            </w:r>
            <w:r w:rsidRPr="002029AF">
              <w:t>to</w:t>
            </w:r>
            <w:r w:rsidR="000A5329" w:rsidRPr="002029AF">
              <w:t xml:space="preserve"> </w:t>
            </w:r>
            <w:r w:rsidRPr="002029AF">
              <w:t>National</w:t>
            </w:r>
            <w:r w:rsidR="000A5329" w:rsidRPr="002029AF">
              <w:t xml:space="preserve"> </w:t>
            </w:r>
            <w:r w:rsidRPr="002029AF">
              <w:t>Health</w:t>
            </w:r>
            <w:r w:rsidR="000A5329" w:rsidRPr="002029AF">
              <w:t xml:space="preserve"> </w:t>
            </w:r>
            <w:r w:rsidRPr="002029AF">
              <w:t>Reform</w:t>
            </w:r>
            <w:r w:rsidR="000A5329" w:rsidRPr="002029AF">
              <w:t xml:space="preserve"> </w:t>
            </w:r>
            <w:r w:rsidRPr="002029AF">
              <w:t>funding</w:t>
            </w:r>
            <w:r w:rsidR="000A5329" w:rsidRPr="002029AF">
              <w:t xml:space="preserve"> </w:t>
            </w:r>
            <w:r w:rsidRPr="002029AF">
              <w:t>(realigned</w:t>
            </w:r>
            <w:r w:rsidR="000A5329" w:rsidRPr="002029AF">
              <w:t xml:space="preserve"> </w:t>
            </w:r>
            <w:r w:rsidRPr="002029AF">
              <w:t>to</w:t>
            </w:r>
            <w:r w:rsidR="000A5329" w:rsidRPr="002029AF">
              <w:t xml:space="preserve"> </w:t>
            </w:r>
            <w:r w:rsidRPr="002029AF">
              <w:t>Admitted</w:t>
            </w:r>
            <w:r w:rsidR="000A5329" w:rsidRPr="002029AF">
              <w:t xml:space="preserve"> </w:t>
            </w:r>
            <w:r w:rsidRPr="002029AF">
              <w:t>Services);</w:t>
            </w:r>
            <w:r w:rsidR="000A5329" w:rsidRPr="002029AF">
              <w:t xml:space="preserve"> </w:t>
            </w:r>
            <w:r w:rsidRPr="002029AF">
              <w:t>partially</w:t>
            </w:r>
            <w:r w:rsidR="000A5329" w:rsidRPr="002029AF">
              <w:t xml:space="preserve"> </w:t>
            </w:r>
            <w:r w:rsidRPr="002029AF">
              <w:t>offset</w:t>
            </w:r>
            <w:r w:rsidR="000A5329" w:rsidRPr="002029AF">
              <w:t xml:space="preserve"> </w:t>
            </w:r>
            <w:r w:rsidRPr="002029AF">
              <w:t>by</w:t>
            </w:r>
            <w:r w:rsidR="000A5329" w:rsidRPr="002029AF">
              <w:t xml:space="preserve"> </w:t>
            </w:r>
            <w:r w:rsidRPr="002029AF">
              <w:t>additional</w:t>
            </w:r>
            <w:r w:rsidR="000A5329" w:rsidRPr="002029AF">
              <w:t xml:space="preserve"> </w:t>
            </w:r>
            <w:r w:rsidRPr="002029AF">
              <w:t>government</w:t>
            </w:r>
            <w:r w:rsidR="000A5329" w:rsidRPr="002029AF">
              <w:t xml:space="preserve"> </w:t>
            </w:r>
            <w:r w:rsidRPr="002029AF">
              <w:t>policy</w:t>
            </w:r>
            <w:r w:rsidR="000A5329" w:rsidRPr="002029AF">
              <w:t xml:space="preserve"> </w:t>
            </w:r>
            <w:r w:rsidRPr="002029AF">
              <w:t>initiatives</w:t>
            </w:r>
          </w:p>
        </w:tc>
      </w:tr>
      <w:tr w:rsidR="00C15C65" w:rsidRPr="002029AF" w14:paraId="6F828434" w14:textId="77777777" w:rsidTr="00192EEE">
        <w:trPr>
          <w:cantSplit/>
        </w:trPr>
        <w:tc>
          <w:tcPr>
            <w:tcW w:w="9639" w:type="dxa"/>
            <w:gridSpan w:val="7"/>
            <w:tcBorders>
              <w:top w:val="single" w:sz="4" w:space="0" w:color="auto"/>
              <w:left w:val="nil"/>
              <w:bottom w:val="single" w:sz="4" w:space="0" w:color="auto"/>
              <w:right w:val="nil"/>
            </w:tcBorders>
            <w:hideMark/>
          </w:tcPr>
          <w:p w14:paraId="74FED6C7" w14:textId="239B0744" w:rsidR="00C15C65" w:rsidRPr="002029AF" w:rsidRDefault="00C15C65" w:rsidP="00CA3123">
            <w:pPr>
              <w:pStyle w:val="ARtablesubhead"/>
              <w:keepNext/>
            </w:pPr>
            <w:r w:rsidRPr="002029AF">
              <w:t>Emergency</w:t>
            </w:r>
            <w:r w:rsidR="000A5329" w:rsidRPr="002029AF">
              <w:t xml:space="preserve"> </w:t>
            </w:r>
            <w:r w:rsidRPr="002029AF">
              <w:t>Services</w:t>
            </w:r>
          </w:p>
        </w:tc>
      </w:tr>
      <w:tr w:rsidR="00C15C65" w:rsidRPr="002029AF" w14:paraId="6CADCD77" w14:textId="77777777" w:rsidTr="00192EEE">
        <w:trPr>
          <w:cantSplit/>
        </w:trPr>
        <w:tc>
          <w:tcPr>
            <w:tcW w:w="9639" w:type="dxa"/>
            <w:gridSpan w:val="7"/>
            <w:tcBorders>
              <w:top w:val="single" w:sz="4" w:space="0" w:color="auto"/>
              <w:left w:val="nil"/>
              <w:bottom w:val="nil"/>
              <w:right w:val="nil"/>
            </w:tcBorders>
            <w:hideMark/>
          </w:tcPr>
          <w:p w14:paraId="7D16BF17" w14:textId="77777777" w:rsidR="00C15C65" w:rsidRPr="002029AF" w:rsidRDefault="00C15C65" w:rsidP="00CA3123">
            <w:pPr>
              <w:pStyle w:val="ARtablegreybold"/>
              <w:keepNext/>
            </w:pPr>
            <w:r w:rsidRPr="002029AF">
              <w:t>Quantity</w:t>
            </w:r>
          </w:p>
        </w:tc>
      </w:tr>
      <w:tr w:rsidR="00C15C65" w:rsidRPr="002029AF" w14:paraId="3077E281" w14:textId="77777777" w:rsidTr="009950F3">
        <w:trPr>
          <w:gridAfter w:val="1"/>
          <w:wAfter w:w="6" w:type="dxa"/>
          <w:cantSplit/>
        </w:trPr>
        <w:tc>
          <w:tcPr>
            <w:tcW w:w="4756" w:type="dxa"/>
            <w:shd w:val="clear" w:color="auto" w:fill="auto"/>
            <w:hideMark/>
          </w:tcPr>
          <w:p w14:paraId="62B02EA9" w14:textId="7C9E2CAB" w:rsidR="00C15C65" w:rsidRPr="002029AF" w:rsidRDefault="00C15C65" w:rsidP="00C40F5D">
            <w:pPr>
              <w:pStyle w:val="ARtabletext"/>
            </w:pPr>
            <w:r w:rsidRPr="002029AF">
              <w:t>Emergency</w:t>
            </w:r>
            <w:r w:rsidR="000A5329" w:rsidRPr="002029AF">
              <w:t xml:space="preserve"> </w:t>
            </w:r>
            <w:r w:rsidRPr="002029AF">
              <w:t>presentations</w:t>
            </w:r>
          </w:p>
        </w:tc>
        <w:tc>
          <w:tcPr>
            <w:tcW w:w="1019" w:type="dxa"/>
            <w:shd w:val="clear" w:color="auto" w:fill="auto"/>
            <w:hideMark/>
          </w:tcPr>
          <w:p w14:paraId="1BFB00E8" w14:textId="1C40A9C6" w:rsidR="00C15C65" w:rsidRPr="002029AF" w:rsidRDefault="00C15C65" w:rsidP="00C40F5D">
            <w:pPr>
              <w:pStyle w:val="ARtabletext"/>
            </w:pPr>
            <w:r w:rsidRPr="002029AF">
              <w:t>number</w:t>
            </w:r>
            <w:r w:rsidR="000A5329" w:rsidRPr="002029AF">
              <w:t xml:space="preserve"> </w:t>
            </w:r>
            <w:r w:rsidR="005F298C">
              <w:t>(’000</w:t>
            </w:r>
            <w:r w:rsidRPr="002029AF">
              <w:t>)</w:t>
            </w:r>
          </w:p>
        </w:tc>
        <w:tc>
          <w:tcPr>
            <w:tcW w:w="1020" w:type="dxa"/>
            <w:shd w:val="clear" w:color="auto" w:fill="auto"/>
            <w:hideMark/>
          </w:tcPr>
          <w:p w14:paraId="075E9342" w14:textId="77777777" w:rsidR="00C15C65" w:rsidRPr="002029AF" w:rsidRDefault="00C15C65" w:rsidP="0014376C">
            <w:pPr>
              <w:pStyle w:val="ARtabletextright"/>
            </w:pPr>
            <w:r w:rsidRPr="002029AF">
              <w:t>1,913</w:t>
            </w:r>
          </w:p>
        </w:tc>
        <w:tc>
          <w:tcPr>
            <w:tcW w:w="1020" w:type="dxa"/>
            <w:shd w:val="clear" w:color="auto" w:fill="auto"/>
            <w:hideMark/>
          </w:tcPr>
          <w:p w14:paraId="52440FAF" w14:textId="77777777" w:rsidR="00C15C65" w:rsidRPr="002029AF" w:rsidRDefault="00C15C65" w:rsidP="0014376C">
            <w:pPr>
              <w:pStyle w:val="ARtabletextright"/>
            </w:pPr>
            <w:r w:rsidRPr="002029AF">
              <w:t>2,006</w:t>
            </w:r>
          </w:p>
        </w:tc>
        <w:tc>
          <w:tcPr>
            <w:tcW w:w="1022" w:type="dxa"/>
            <w:shd w:val="clear" w:color="auto" w:fill="auto"/>
          </w:tcPr>
          <w:p w14:paraId="181A9C12" w14:textId="77777777" w:rsidR="00C15C65" w:rsidRPr="002029AF" w:rsidRDefault="00C15C65" w:rsidP="0014376C">
            <w:pPr>
              <w:pStyle w:val="ARtabletextright"/>
            </w:pPr>
            <w:r w:rsidRPr="002029AF">
              <w:t>4.9</w:t>
            </w:r>
          </w:p>
        </w:tc>
        <w:tc>
          <w:tcPr>
            <w:tcW w:w="796" w:type="dxa"/>
            <w:shd w:val="clear" w:color="auto" w:fill="auto"/>
            <w:hideMark/>
          </w:tcPr>
          <w:p w14:paraId="4FE21CCE"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67E3D2E0" w14:textId="77777777" w:rsidTr="009950F3">
        <w:trPr>
          <w:gridAfter w:val="1"/>
          <w:wAfter w:w="6" w:type="dxa"/>
          <w:cantSplit/>
        </w:trPr>
        <w:tc>
          <w:tcPr>
            <w:tcW w:w="9633" w:type="dxa"/>
            <w:gridSpan w:val="6"/>
            <w:tcBorders>
              <w:bottom w:val="single" w:sz="4" w:space="0" w:color="auto"/>
            </w:tcBorders>
            <w:shd w:val="clear" w:color="auto" w:fill="auto"/>
            <w:noWrap/>
            <w:hideMark/>
          </w:tcPr>
          <w:p w14:paraId="02393646" w14:textId="760270B0" w:rsidR="00C15C65" w:rsidRPr="002029AF" w:rsidRDefault="00C15C65" w:rsidP="00615F62">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lower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reduced</w:t>
            </w:r>
            <w:r w:rsidR="000A5329" w:rsidRPr="002029AF">
              <w:t xml:space="preserve"> </w:t>
            </w:r>
            <w:r w:rsidRPr="002029AF">
              <w:t>demand</w:t>
            </w:r>
            <w:r w:rsidR="000A5329" w:rsidRPr="002029AF">
              <w:t xml:space="preserve"> </w:t>
            </w:r>
            <w:r w:rsidRPr="002029AF">
              <w:t>for</w:t>
            </w:r>
            <w:r w:rsidR="000A5329" w:rsidRPr="002029AF">
              <w:t xml:space="preserve"> </w:t>
            </w:r>
            <w:r w:rsidRPr="002029AF">
              <w:t>emergency</w:t>
            </w:r>
            <w:r w:rsidR="000A5329" w:rsidRPr="002029AF">
              <w:t xml:space="preserve"> </w:t>
            </w:r>
            <w:r w:rsidRPr="002029AF">
              <w:t>department</w:t>
            </w:r>
            <w:r w:rsidR="000A5329" w:rsidRPr="002029AF">
              <w:t xml:space="preserve"> </w:t>
            </w:r>
            <w:r w:rsidRPr="002029AF">
              <w:t>services</w:t>
            </w:r>
            <w:r w:rsidR="000A5329" w:rsidRPr="002029AF">
              <w:t xml:space="preserve"> </w:t>
            </w:r>
            <w:r w:rsidRPr="002029AF">
              <w:t>during</w:t>
            </w:r>
            <w:r w:rsidR="000A5329" w:rsidRPr="002029AF">
              <w:t xml:space="preserve"> </w:t>
            </w:r>
            <w:r w:rsidRPr="002029AF">
              <w:t>the</w:t>
            </w:r>
            <w:r w:rsidR="000A5329" w:rsidRPr="002029AF">
              <w:t xml:space="preserve"> </w:t>
            </w:r>
            <w:r w:rsidRPr="002029AF">
              <w:t>coronavirus</w:t>
            </w:r>
            <w:r w:rsidR="000A5329" w:rsidRPr="002029AF">
              <w:t xml:space="preserve"> </w:t>
            </w:r>
            <w:r w:rsidR="007417B6">
              <w:br/>
            </w:r>
            <w:r w:rsidRPr="002029AF">
              <w:t>(COVID-19).</w:t>
            </w:r>
          </w:p>
        </w:tc>
      </w:tr>
      <w:tr w:rsidR="00C15C65" w:rsidRPr="002029AF" w14:paraId="531F4C3D" w14:textId="77777777" w:rsidTr="00192EEE">
        <w:trPr>
          <w:cantSplit/>
        </w:trPr>
        <w:tc>
          <w:tcPr>
            <w:tcW w:w="9639" w:type="dxa"/>
            <w:gridSpan w:val="7"/>
            <w:tcBorders>
              <w:top w:val="single" w:sz="4" w:space="0" w:color="auto"/>
            </w:tcBorders>
          </w:tcPr>
          <w:p w14:paraId="2A1DC51A" w14:textId="77777777" w:rsidR="00C15C65" w:rsidRPr="002029AF" w:rsidRDefault="00C15C65" w:rsidP="005A1160">
            <w:pPr>
              <w:pStyle w:val="ARtablegreybold"/>
              <w:keepNext/>
            </w:pPr>
            <w:r w:rsidRPr="002029AF">
              <w:lastRenderedPageBreak/>
              <w:t>Quality</w:t>
            </w:r>
          </w:p>
        </w:tc>
      </w:tr>
      <w:tr w:rsidR="00C15C65" w:rsidRPr="002029AF" w14:paraId="5C1AA7EA" w14:textId="77777777" w:rsidTr="00192EEE">
        <w:trPr>
          <w:gridAfter w:val="1"/>
          <w:wAfter w:w="6" w:type="dxa"/>
          <w:cantSplit/>
        </w:trPr>
        <w:tc>
          <w:tcPr>
            <w:tcW w:w="4756" w:type="dxa"/>
            <w:shd w:val="clear" w:color="auto" w:fill="auto"/>
            <w:hideMark/>
          </w:tcPr>
          <w:p w14:paraId="72BC992C" w14:textId="4BCED072" w:rsidR="00C15C65" w:rsidRPr="002029AF" w:rsidRDefault="00C15C65" w:rsidP="005A1160">
            <w:pPr>
              <w:pStyle w:val="ARtabletext"/>
              <w:keepNext/>
            </w:pPr>
            <w:r w:rsidRPr="002029AF">
              <w:t>Emergency</w:t>
            </w:r>
            <w:r w:rsidR="000A5329" w:rsidRPr="002029AF">
              <w:t xml:space="preserve"> </w:t>
            </w:r>
            <w:r w:rsidRPr="002029AF">
              <w:t>patients</w:t>
            </w:r>
            <w:r w:rsidR="000A5329" w:rsidRPr="002029AF">
              <w:t xml:space="preserve"> </w:t>
            </w:r>
            <w:r w:rsidRPr="002029AF">
              <w:t>that</w:t>
            </w:r>
            <w:r w:rsidR="000A5329" w:rsidRPr="002029AF">
              <w:t xml:space="preserve"> </w:t>
            </w:r>
            <w:r w:rsidRPr="002029AF">
              <w:t>did</w:t>
            </w:r>
            <w:r w:rsidR="000A5329" w:rsidRPr="002029AF">
              <w:t xml:space="preserve"> </w:t>
            </w:r>
            <w:r w:rsidRPr="002029AF">
              <w:t>not</w:t>
            </w:r>
            <w:r w:rsidR="000A5329" w:rsidRPr="002029AF">
              <w:t xml:space="preserve"> </w:t>
            </w:r>
            <w:r w:rsidRPr="002029AF">
              <w:t>wait</w:t>
            </w:r>
            <w:r w:rsidR="000A5329" w:rsidRPr="002029AF">
              <w:t xml:space="preserve"> </w:t>
            </w:r>
            <w:r w:rsidRPr="002029AF">
              <w:t>for</w:t>
            </w:r>
            <w:r w:rsidR="000A5329" w:rsidRPr="002029AF">
              <w:t xml:space="preserve"> </w:t>
            </w:r>
            <w:r w:rsidRPr="002029AF">
              <w:t>treatment</w:t>
            </w:r>
          </w:p>
        </w:tc>
        <w:tc>
          <w:tcPr>
            <w:tcW w:w="1019" w:type="dxa"/>
            <w:shd w:val="clear" w:color="auto" w:fill="auto"/>
            <w:hideMark/>
          </w:tcPr>
          <w:p w14:paraId="484D2518" w14:textId="4A002231" w:rsidR="00C15C65" w:rsidRPr="002029AF" w:rsidRDefault="00C15C65" w:rsidP="00C40F5D">
            <w:pPr>
              <w:pStyle w:val="ARtabletext"/>
            </w:pPr>
            <w:r w:rsidRPr="002029AF">
              <w:t>per</w:t>
            </w:r>
            <w:r w:rsidR="000A5329" w:rsidRPr="002029AF">
              <w:t xml:space="preserve"> </w:t>
            </w:r>
            <w:r w:rsidRPr="002029AF">
              <w:t>cent</w:t>
            </w:r>
          </w:p>
        </w:tc>
        <w:tc>
          <w:tcPr>
            <w:tcW w:w="1020" w:type="dxa"/>
            <w:shd w:val="clear" w:color="auto" w:fill="auto"/>
            <w:hideMark/>
          </w:tcPr>
          <w:p w14:paraId="5294EA27" w14:textId="77777777" w:rsidR="00C15C65" w:rsidRPr="002029AF" w:rsidRDefault="00C15C65" w:rsidP="0014376C">
            <w:pPr>
              <w:pStyle w:val="ARtabletextright"/>
            </w:pPr>
            <w:r w:rsidRPr="002029AF">
              <w:t>5</w:t>
            </w:r>
          </w:p>
        </w:tc>
        <w:tc>
          <w:tcPr>
            <w:tcW w:w="1020" w:type="dxa"/>
            <w:shd w:val="clear" w:color="auto" w:fill="auto"/>
            <w:hideMark/>
          </w:tcPr>
          <w:p w14:paraId="35E7AB3E" w14:textId="77777777" w:rsidR="00C15C65" w:rsidRPr="002029AF" w:rsidRDefault="00C15C65" w:rsidP="0014376C">
            <w:pPr>
              <w:pStyle w:val="ARtabletextright"/>
            </w:pPr>
            <w:r w:rsidRPr="002029AF">
              <w:t>4</w:t>
            </w:r>
          </w:p>
        </w:tc>
        <w:tc>
          <w:tcPr>
            <w:tcW w:w="1022" w:type="dxa"/>
            <w:shd w:val="clear" w:color="auto" w:fill="auto"/>
          </w:tcPr>
          <w:p w14:paraId="13A13188" w14:textId="77777777" w:rsidR="00C15C65" w:rsidRPr="002029AF" w:rsidRDefault="00C15C65" w:rsidP="0014376C">
            <w:pPr>
              <w:pStyle w:val="ARtabletextright"/>
            </w:pPr>
            <w:r w:rsidRPr="002029AF">
              <w:t>-20.0</w:t>
            </w:r>
          </w:p>
        </w:tc>
        <w:tc>
          <w:tcPr>
            <w:tcW w:w="796" w:type="dxa"/>
            <w:shd w:val="clear" w:color="auto" w:fill="auto"/>
            <w:hideMark/>
          </w:tcPr>
          <w:p w14:paraId="29F5F73D"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31AE7ECE" w14:textId="77777777" w:rsidTr="00192EEE">
        <w:trPr>
          <w:gridAfter w:val="1"/>
          <w:wAfter w:w="6" w:type="dxa"/>
          <w:cantSplit/>
        </w:trPr>
        <w:tc>
          <w:tcPr>
            <w:tcW w:w="9633" w:type="dxa"/>
            <w:gridSpan w:val="6"/>
            <w:tcBorders>
              <w:bottom w:val="single" w:sz="4" w:space="0" w:color="BFBFBF"/>
            </w:tcBorders>
            <w:shd w:val="clear" w:color="auto" w:fill="auto"/>
            <w:noWrap/>
            <w:hideMark/>
          </w:tcPr>
          <w:p w14:paraId="05A8A429" w14:textId="502592D5" w:rsidR="00C15C65" w:rsidRPr="002029AF" w:rsidRDefault="00C15C65" w:rsidP="002C5190">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lower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reduced</w:t>
            </w:r>
            <w:r w:rsidR="000A5329" w:rsidRPr="002029AF">
              <w:t xml:space="preserve"> </w:t>
            </w:r>
            <w:r w:rsidRPr="002029AF">
              <w:t>demand</w:t>
            </w:r>
            <w:r w:rsidR="000A5329" w:rsidRPr="002029AF">
              <w:t xml:space="preserve"> </w:t>
            </w:r>
            <w:r w:rsidRPr="002029AF">
              <w:t>in</w:t>
            </w:r>
            <w:r w:rsidR="000A5329" w:rsidRPr="002029AF">
              <w:t xml:space="preserve"> </w:t>
            </w:r>
            <w:r w:rsidRPr="002029AF">
              <w:t>the</w:t>
            </w:r>
            <w:r w:rsidR="000A5329" w:rsidRPr="002029AF">
              <w:t xml:space="preserve"> </w:t>
            </w:r>
            <w:r w:rsidRPr="002029AF">
              <w:t>fourth</w:t>
            </w:r>
            <w:r w:rsidR="000A5329" w:rsidRPr="002029AF">
              <w:t xml:space="preserve"> </w:t>
            </w:r>
            <w:r w:rsidRPr="002029AF">
              <w:t>quarter.</w:t>
            </w:r>
            <w:r w:rsidR="000A5329" w:rsidRPr="002029AF">
              <w:t xml:space="preserve"> </w:t>
            </w:r>
            <w:r w:rsidRPr="002029AF">
              <w:t>This</w:t>
            </w:r>
            <w:r w:rsidR="000A5329" w:rsidRPr="002029AF">
              <w:t xml:space="preserve"> </w:t>
            </w:r>
            <w:r w:rsidRPr="002029AF">
              <w:t>is</w:t>
            </w:r>
            <w:r w:rsidR="000A5329" w:rsidRPr="002029AF">
              <w:t xml:space="preserve"> </w:t>
            </w:r>
            <w:r w:rsidRPr="002029AF">
              <w:t>a</w:t>
            </w:r>
            <w:r w:rsidR="000A5329" w:rsidRPr="002029AF">
              <w:t xml:space="preserve"> </w:t>
            </w:r>
            <w:r w:rsidRPr="002029AF">
              <w:t>positive</w:t>
            </w:r>
            <w:r w:rsidR="000A5329" w:rsidRPr="002029AF">
              <w:t xml:space="preserve"> </w:t>
            </w:r>
            <w:r w:rsidRPr="002029AF">
              <w:t>result.</w:t>
            </w:r>
          </w:p>
        </w:tc>
      </w:tr>
      <w:tr w:rsidR="00C15C65" w:rsidRPr="002029AF" w14:paraId="48408D48" w14:textId="77777777" w:rsidTr="00192EEE">
        <w:trPr>
          <w:gridAfter w:val="1"/>
          <w:wAfter w:w="6" w:type="dxa"/>
          <w:cantSplit/>
        </w:trPr>
        <w:tc>
          <w:tcPr>
            <w:tcW w:w="4756" w:type="dxa"/>
            <w:shd w:val="clear" w:color="auto" w:fill="auto"/>
            <w:hideMark/>
          </w:tcPr>
          <w:p w14:paraId="0E436A5F" w14:textId="7766B02D" w:rsidR="00C15C65" w:rsidRPr="002029AF" w:rsidRDefault="00C15C65" w:rsidP="00C40F5D">
            <w:pPr>
              <w:pStyle w:val="ARtabletext"/>
            </w:pPr>
            <w:r w:rsidRPr="002029AF">
              <w:t>Emergency</w:t>
            </w:r>
            <w:r w:rsidR="000A5329" w:rsidRPr="002029AF">
              <w:t xml:space="preserve"> </w:t>
            </w:r>
            <w:r w:rsidRPr="002029AF">
              <w:t>patients</w:t>
            </w:r>
            <w:r w:rsidR="000A5329" w:rsidRPr="002029AF">
              <w:t xml:space="preserve"> </w:t>
            </w:r>
            <w:r w:rsidRPr="002029AF">
              <w:t>re-presenting</w:t>
            </w:r>
            <w:r w:rsidR="000A5329" w:rsidRPr="002029AF">
              <w:t xml:space="preserve"> </w:t>
            </w:r>
            <w:r w:rsidRPr="002029AF">
              <w:t>to</w:t>
            </w:r>
            <w:r w:rsidR="000A5329" w:rsidRPr="002029AF">
              <w:t xml:space="preserve"> </w:t>
            </w:r>
            <w:r w:rsidRPr="002029AF">
              <w:t>the</w:t>
            </w:r>
            <w:r w:rsidR="000A5329" w:rsidRPr="002029AF">
              <w:t xml:space="preserve"> </w:t>
            </w:r>
            <w:r w:rsidRPr="002029AF">
              <w:t>emergency</w:t>
            </w:r>
            <w:r w:rsidR="000A5329" w:rsidRPr="002029AF">
              <w:t xml:space="preserve"> </w:t>
            </w:r>
            <w:r w:rsidRPr="002029AF">
              <w:t>department</w:t>
            </w:r>
            <w:r w:rsidR="000A5329" w:rsidRPr="002029AF">
              <w:t xml:space="preserve"> </w:t>
            </w:r>
            <w:r w:rsidRPr="002029AF">
              <w:t>within</w:t>
            </w:r>
            <w:r w:rsidR="000A5329" w:rsidRPr="002029AF">
              <w:t xml:space="preserve"> </w:t>
            </w:r>
            <w:r w:rsidRPr="002029AF">
              <w:t>48</w:t>
            </w:r>
            <w:r w:rsidR="000A5329" w:rsidRPr="002029AF">
              <w:t xml:space="preserve"> </w:t>
            </w:r>
            <w:r w:rsidRPr="002029AF">
              <w:t>hours</w:t>
            </w:r>
            <w:r w:rsidR="000A5329" w:rsidRPr="002029AF">
              <w:t xml:space="preserve"> </w:t>
            </w:r>
            <w:r w:rsidRPr="002029AF">
              <w:t>of</w:t>
            </w:r>
            <w:r w:rsidR="000A5329" w:rsidRPr="002029AF">
              <w:t xml:space="preserve"> </w:t>
            </w:r>
            <w:r w:rsidRPr="002029AF">
              <w:t>previous</w:t>
            </w:r>
            <w:r w:rsidR="000A5329" w:rsidRPr="002029AF">
              <w:t xml:space="preserve"> </w:t>
            </w:r>
            <w:r w:rsidRPr="002029AF">
              <w:t>presentation</w:t>
            </w:r>
          </w:p>
        </w:tc>
        <w:tc>
          <w:tcPr>
            <w:tcW w:w="1019" w:type="dxa"/>
            <w:shd w:val="clear" w:color="auto" w:fill="auto"/>
            <w:hideMark/>
          </w:tcPr>
          <w:p w14:paraId="4B548791" w14:textId="3BF30CEC" w:rsidR="00C15C65" w:rsidRPr="002029AF" w:rsidRDefault="00C15C65" w:rsidP="00C40F5D">
            <w:pPr>
              <w:pStyle w:val="ARtabletext"/>
            </w:pPr>
            <w:r w:rsidRPr="002029AF">
              <w:t>per</w:t>
            </w:r>
            <w:r w:rsidR="000A5329" w:rsidRPr="002029AF">
              <w:t xml:space="preserve"> </w:t>
            </w:r>
            <w:r w:rsidRPr="002029AF">
              <w:t>cent</w:t>
            </w:r>
          </w:p>
        </w:tc>
        <w:tc>
          <w:tcPr>
            <w:tcW w:w="1020" w:type="dxa"/>
            <w:shd w:val="clear" w:color="auto" w:fill="auto"/>
            <w:hideMark/>
          </w:tcPr>
          <w:p w14:paraId="04E1A357" w14:textId="77777777" w:rsidR="00C15C65" w:rsidRPr="002029AF" w:rsidRDefault="00C15C65" w:rsidP="0014376C">
            <w:pPr>
              <w:pStyle w:val="ARtabletextright"/>
            </w:pPr>
            <w:r w:rsidRPr="002029AF">
              <w:t>6</w:t>
            </w:r>
          </w:p>
        </w:tc>
        <w:tc>
          <w:tcPr>
            <w:tcW w:w="1020" w:type="dxa"/>
            <w:shd w:val="clear" w:color="auto" w:fill="auto"/>
            <w:hideMark/>
          </w:tcPr>
          <w:p w14:paraId="5F43F607" w14:textId="77777777" w:rsidR="00C15C65" w:rsidRPr="002029AF" w:rsidRDefault="00C15C65" w:rsidP="0014376C">
            <w:pPr>
              <w:pStyle w:val="ARtabletextright"/>
            </w:pPr>
            <w:r w:rsidRPr="002029AF">
              <w:t>5.2</w:t>
            </w:r>
          </w:p>
        </w:tc>
        <w:tc>
          <w:tcPr>
            <w:tcW w:w="1022" w:type="dxa"/>
            <w:shd w:val="clear" w:color="auto" w:fill="auto"/>
          </w:tcPr>
          <w:p w14:paraId="4D4257F0" w14:textId="77777777" w:rsidR="00C15C65" w:rsidRPr="002029AF" w:rsidRDefault="00C15C65" w:rsidP="0014376C">
            <w:pPr>
              <w:pStyle w:val="ARtabletextright"/>
            </w:pPr>
            <w:r w:rsidRPr="002029AF">
              <w:t>-13.3</w:t>
            </w:r>
          </w:p>
        </w:tc>
        <w:tc>
          <w:tcPr>
            <w:tcW w:w="796" w:type="dxa"/>
            <w:shd w:val="clear" w:color="auto" w:fill="auto"/>
            <w:hideMark/>
          </w:tcPr>
          <w:p w14:paraId="05347386"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0C2D2404" w14:textId="77777777" w:rsidTr="00192EEE">
        <w:trPr>
          <w:gridAfter w:val="1"/>
          <w:wAfter w:w="6" w:type="dxa"/>
          <w:cantSplit/>
        </w:trPr>
        <w:tc>
          <w:tcPr>
            <w:tcW w:w="9633" w:type="dxa"/>
            <w:gridSpan w:val="6"/>
            <w:tcBorders>
              <w:bottom w:val="single" w:sz="4" w:space="0" w:color="BFBFBF"/>
            </w:tcBorders>
            <w:shd w:val="clear" w:color="auto" w:fill="auto"/>
            <w:noWrap/>
            <w:hideMark/>
          </w:tcPr>
          <w:p w14:paraId="6F78E66F" w14:textId="4457AD16" w:rsidR="00C15C65" w:rsidRPr="002029AF" w:rsidRDefault="00C15C65" w:rsidP="00615F62">
            <w:pPr>
              <w:pStyle w:val="ARtablenoteindent"/>
            </w:pPr>
            <w:r w:rsidRPr="002029AF">
              <w:t>The</w:t>
            </w:r>
            <w:r w:rsidR="000A5329" w:rsidRPr="002029AF">
              <w:t xml:space="preserve"> </w:t>
            </w:r>
            <w:r w:rsidRPr="002029AF">
              <w:t>result</w:t>
            </w:r>
            <w:r w:rsidR="000A5329" w:rsidRPr="002029AF">
              <w:t xml:space="preserve"> </w:t>
            </w:r>
            <w:r w:rsidRPr="002029AF">
              <w:t>is</w:t>
            </w:r>
            <w:r w:rsidR="000A5329" w:rsidRPr="002029AF">
              <w:t xml:space="preserve"> </w:t>
            </w:r>
            <w:r w:rsidRPr="002029AF">
              <w:t>lower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a</w:t>
            </w:r>
            <w:r w:rsidR="000A5329" w:rsidRPr="002029AF">
              <w:t xml:space="preserve"> </w:t>
            </w:r>
            <w:r w:rsidRPr="002029AF">
              <w:t>reduced</w:t>
            </w:r>
            <w:r w:rsidR="000A5329" w:rsidRPr="002029AF">
              <w:t xml:space="preserve"> </w:t>
            </w:r>
            <w:r w:rsidRPr="002029AF">
              <w:t>overall</w:t>
            </w:r>
            <w:r w:rsidR="000A5329" w:rsidRPr="002029AF">
              <w:t xml:space="preserve"> </w:t>
            </w:r>
            <w:r w:rsidRPr="002029AF">
              <w:t>demand</w:t>
            </w:r>
            <w:r w:rsidR="000A5329" w:rsidRPr="002029AF">
              <w:t xml:space="preserve"> </w:t>
            </w:r>
            <w:r w:rsidRPr="002029AF">
              <w:t>in</w:t>
            </w:r>
            <w:r w:rsidR="000A5329" w:rsidRPr="002029AF">
              <w:t xml:space="preserve"> </w:t>
            </w:r>
            <w:r w:rsidRPr="002029AF">
              <w:t>the</w:t>
            </w:r>
            <w:r w:rsidR="000A5329" w:rsidRPr="002029AF">
              <w:t xml:space="preserve"> </w:t>
            </w:r>
            <w:r w:rsidRPr="002029AF">
              <w:t>emergency</w:t>
            </w:r>
            <w:r w:rsidR="000A5329" w:rsidRPr="002029AF">
              <w:t xml:space="preserve"> </w:t>
            </w:r>
            <w:r w:rsidRPr="002029AF">
              <w:t>departments.</w:t>
            </w:r>
          </w:p>
        </w:tc>
      </w:tr>
      <w:tr w:rsidR="00C15C65" w:rsidRPr="002029AF" w14:paraId="36E50353" w14:textId="77777777" w:rsidTr="00192EEE">
        <w:trPr>
          <w:gridAfter w:val="1"/>
          <w:wAfter w:w="6" w:type="dxa"/>
          <w:cantSplit/>
        </w:trPr>
        <w:tc>
          <w:tcPr>
            <w:tcW w:w="4756" w:type="dxa"/>
            <w:shd w:val="clear" w:color="auto" w:fill="auto"/>
            <w:hideMark/>
          </w:tcPr>
          <w:p w14:paraId="3ACB7250" w14:textId="6D334006" w:rsidR="00C15C65" w:rsidRPr="002029AF" w:rsidRDefault="00C15C65" w:rsidP="00C40F5D">
            <w:pPr>
              <w:pStyle w:val="ARtabletext"/>
            </w:pPr>
            <w:r w:rsidRPr="002029AF">
              <w:t>Patients’</w:t>
            </w:r>
            <w:r w:rsidR="000A5329" w:rsidRPr="002029AF">
              <w:t xml:space="preserve"> </w:t>
            </w:r>
            <w:r w:rsidRPr="002029AF">
              <w:t>experience</w:t>
            </w:r>
            <w:r w:rsidR="000A5329" w:rsidRPr="002029AF">
              <w:t xml:space="preserve"> </w:t>
            </w:r>
            <w:r w:rsidRPr="002029AF">
              <w:t>of</w:t>
            </w:r>
            <w:r w:rsidR="000A5329" w:rsidRPr="002029AF">
              <w:t xml:space="preserve"> </w:t>
            </w:r>
            <w:r w:rsidRPr="002029AF">
              <w:t>emergency</w:t>
            </w:r>
            <w:r w:rsidR="000A5329" w:rsidRPr="002029AF">
              <w:t xml:space="preserve"> </w:t>
            </w:r>
            <w:r w:rsidRPr="002029AF">
              <w:t>department</w:t>
            </w:r>
            <w:r w:rsidR="000A5329" w:rsidRPr="002029AF">
              <w:t xml:space="preserve"> </w:t>
            </w:r>
            <w:r w:rsidRPr="002029AF">
              <w:t>care</w:t>
            </w:r>
          </w:p>
        </w:tc>
        <w:tc>
          <w:tcPr>
            <w:tcW w:w="1019" w:type="dxa"/>
            <w:shd w:val="clear" w:color="auto" w:fill="auto"/>
            <w:hideMark/>
          </w:tcPr>
          <w:p w14:paraId="29ED3E21" w14:textId="4E00C671" w:rsidR="00C15C65" w:rsidRPr="002029AF" w:rsidRDefault="00C15C65" w:rsidP="00C40F5D">
            <w:pPr>
              <w:pStyle w:val="ARtabletext"/>
            </w:pPr>
            <w:r w:rsidRPr="002029AF">
              <w:t>per</w:t>
            </w:r>
            <w:r w:rsidR="000A5329" w:rsidRPr="002029AF">
              <w:t xml:space="preserve"> </w:t>
            </w:r>
            <w:r w:rsidRPr="002029AF">
              <w:t>cent</w:t>
            </w:r>
          </w:p>
        </w:tc>
        <w:tc>
          <w:tcPr>
            <w:tcW w:w="1020" w:type="dxa"/>
            <w:shd w:val="clear" w:color="auto" w:fill="auto"/>
            <w:hideMark/>
          </w:tcPr>
          <w:p w14:paraId="0D755461" w14:textId="77777777" w:rsidR="00C15C65" w:rsidRPr="002029AF" w:rsidRDefault="00C15C65" w:rsidP="0014376C">
            <w:pPr>
              <w:pStyle w:val="ARtabletextright"/>
            </w:pPr>
            <w:r w:rsidRPr="002029AF">
              <w:t>85</w:t>
            </w:r>
          </w:p>
        </w:tc>
        <w:tc>
          <w:tcPr>
            <w:tcW w:w="1020" w:type="dxa"/>
            <w:shd w:val="clear" w:color="auto" w:fill="auto"/>
            <w:hideMark/>
          </w:tcPr>
          <w:p w14:paraId="6932BF4A" w14:textId="77777777" w:rsidR="00C15C65" w:rsidRPr="002029AF" w:rsidRDefault="00C15C65" w:rsidP="0014376C">
            <w:pPr>
              <w:pStyle w:val="ARtabletextright"/>
            </w:pPr>
            <w:r w:rsidRPr="002029AF">
              <w:t>84</w:t>
            </w:r>
          </w:p>
        </w:tc>
        <w:tc>
          <w:tcPr>
            <w:tcW w:w="1022" w:type="dxa"/>
            <w:shd w:val="clear" w:color="auto" w:fill="auto"/>
          </w:tcPr>
          <w:p w14:paraId="5AE1609C" w14:textId="77777777" w:rsidR="00C15C65" w:rsidRPr="002029AF" w:rsidRDefault="00C15C65" w:rsidP="0014376C">
            <w:pPr>
              <w:pStyle w:val="ARtabletextright"/>
            </w:pPr>
            <w:r w:rsidRPr="002029AF">
              <w:t>-1.2</w:t>
            </w:r>
          </w:p>
        </w:tc>
        <w:tc>
          <w:tcPr>
            <w:tcW w:w="796" w:type="dxa"/>
            <w:shd w:val="clear" w:color="auto" w:fill="auto"/>
            <w:hideMark/>
          </w:tcPr>
          <w:p w14:paraId="13441BA3" w14:textId="0EFF175D" w:rsidR="00C15C65" w:rsidRPr="002029AF" w:rsidRDefault="003A6C3B" w:rsidP="000F6867">
            <w:pPr>
              <w:pStyle w:val="ARtableperformancesymbol"/>
              <w:rPr>
                <w:rFonts w:hint="eastAsia"/>
                <w:lang w:val="en-AU"/>
              </w:rPr>
            </w:pPr>
            <w:r w:rsidRPr="002029AF">
              <w:rPr>
                <w:lang w:val="en-AU"/>
              </w:rPr>
              <w:t>□</w:t>
            </w:r>
          </w:p>
        </w:tc>
      </w:tr>
      <w:tr w:rsidR="00C15C65" w:rsidRPr="002029AF" w14:paraId="1AA9CB34" w14:textId="77777777" w:rsidTr="00192EEE">
        <w:trPr>
          <w:gridAfter w:val="1"/>
          <w:wAfter w:w="6" w:type="dxa"/>
          <w:cantSplit/>
        </w:trPr>
        <w:tc>
          <w:tcPr>
            <w:tcW w:w="9633" w:type="dxa"/>
            <w:gridSpan w:val="6"/>
            <w:tcBorders>
              <w:bottom w:val="single" w:sz="4" w:space="0" w:color="BFBFBF"/>
            </w:tcBorders>
            <w:shd w:val="clear" w:color="auto" w:fill="auto"/>
            <w:noWrap/>
            <w:hideMark/>
          </w:tcPr>
          <w:p w14:paraId="0ABD4918" w14:textId="57F5CFAC" w:rsidR="00C15C65" w:rsidRPr="002029AF" w:rsidRDefault="00C15C65" w:rsidP="002C5190">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by</w:t>
            </w:r>
            <w:r w:rsidR="000A5329" w:rsidRPr="002029AF">
              <w:t xml:space="preserve"> </w:t>
            </w:r>
            <w:r w:rsidRPr="002029AF">
              <w:t>late</w:t>
            </w:r>
            <w:r w:rsidR="000A5329" w:rsidRPr="002029AF">
              <w:t xml:space="preserve"> </w:t>
            </w:r>
            <w:r w:rsidRPr="002029AF">
              <w:t>2020.</w:t>
            </w:r>
          </w:p>
        </w:tc>
      </w:tr>
      <w:tr w:rsidR="00C15C65" w:rsidRPr="002029AF" w14:paraId="3CE89FE1" w14:textId="77777777" w:rsidTr="00192EEE">
        <w:trPr>
          <w:cantSplit/>
        </w:trPr>
        <w:tc>
          <w:tcPr>
            <w:tcW w:w="9639" w:type="dxa"/>
            <w:gridSpan w:val="7"/>
            <w:tcBorders>
              <w:top w:val="single" w:sz="4" w:space="0" w:color="auto"/>
              <w:left w:val="nil"/>
              <w:bottom w:val="nil"/>
              <w:right w:val="nil"/>
            </w:tcBorders>
            <w:hideMark/>
          </w:tcPr>
          <w:p w14:paraId="7EE5472E" w14:textId="77777777" w:rsidR="00C15C65" w:rsidRPr="002029AF" w:rsidRDefault="00C15C65" w:rsidP="007666A5">
            <w:pPr>
              <w:pStyle w:val="ARtablegreybold"/>
            </w:pPr>
            <w:r w:rsidRPr="002029AF">
              <w:t>Timeliness</w:t>
            </w:r>
          </w:p>
        </w:tc>
      </w:tr>
      <w:tr w:rsidR="00C15C65" w:rsidRPr="002029AF" w14:paraId="2ED6D7FF" w14:textId="77777777" w:rsidTr="00192EEE">
        <w:trPr>
          <w:gridAfter w:val="1"/>
          <w:wAfter w:w="6" w:type="dxa"/>
          <w:cantSplit/>
        </w:trPr>
        <w:tc>
          <w:tcPr>
            <w:tcW w:w="4756" w:type="dxa"/>
            <w:tcBorders>
              <w:bottom w:val="single" w:sz="4" w:space="0" w:color="BFBFBF"/>
            </w:tcBorders>
            <w:shd w:val="clear" w:color="auto" w:fill="auto"/>
            <w:hideMark/>
          </w:tcPr>
          <w:p w14:paraId="434A516E" w14:textId="477EA661" w:rsidR="00C15C65" w:rsidRPr="002029AF" w:rsidRDefault="00C15C65" w:rsidP="00C40F5D">
            <w:pPr>
              <w:pStyle w:val="ARtabletext"/>
            </w:pPr>
            <w:r w:rsidRPr="002029AF">
              <w:t>Emergency</w:t>
            </w:r>
            <w:r w:rsidR="000A5329" w:rsidRPr="002029AF">
              <w:t xml:space="preserve"> </w:t>
            </w:r>
            <w:r w:rsidRPr="002029AF">
              <w:t>Category</w:t>
            </w:r>
            <w:r w:rsidR="000A5329" w:rsidRPr="002029AF">
              <w:t xml:space="preserve"> </w:t>
            </w:r>
            <w:r w:rsidRPr="002029AF">
              <w:t>1</w:t>
            </w:r>
            <w:r w:rsidR="000A5329" w:rsidRPr="002029AF">
              <w:t xml:space="preserve"> </w:t>
            </w:r>
            <w:r w:rsidRPr="002029AF">
              <w:t>treated</w:t>
            </w:r>
            <w:r w:rsidR="000A5329" w:rsidRPr="002029AF">
              <w:t xml:space="preserve"> </w:t>
            </w:r>
            <w:r w:rsidRPr="002029AF">
              <w:t>immediately</w:t>
            </w:r>
          </w:p>
        </w:tc>
        <w:tc>
          <w:tcPr>
            <w:tcW w:w="1019" w:type="dxa"/>
            <w:tcBorders>
              <w:bottom w:val="single" w:sz="4" w:space="0" w:color="BFBFBF"/>
            </w:tcBorders>
            <w:shd w:val="clear" w:color="auto" w:fill="auto"/>
            <w:hideMark/>
          </w:tcPr>
          <w:p w14:paraId="1522C8DF" w14:textId="001AF04E" w:rsidR="00C15C65" w:rsidRPr="002029AF" w:rsidRDefault="00C15C65" w:rsidP="00C40F5D">
            <w:pPr>
              <w:pStyle w:val="ARtabletext"/>
            </w:pPr>
            <w:r w:rsidRPr="002029AF">
              <w:t>per</w:t>
            </w:r>
            <w:r w:rsidR="000A5329" w:rsidRPr="002029AF">
              <w:t xml:space="preserve"> </w:t>
            </w:r>
            <w:r w:rsidRPr="002029AF">
              <w:t>cent</w:t>
            </w:r>
          </w:p>
        </w:tc>
        <w:tc>
          <w:tcPr>
            <w:tcW w:w="1020" w:type="dxa"/>
            <w:tcBorders>
              <w:bottom w:val="single" w:sz="4" w:space="0" w:color="BFBFBF"/>
            </w:tcBorders>
            <w:shd w:val="clear" w:color="auto" w:fill="auto"/>
            <w:hideMark/>
          </w:tcPr>
          <w:p w14:paraId="7280D9AB" w14:textId="77777777" w:rsidR="00C15C65" w:rsidRPr="002029AF" w:rsidRDefault="00C15C65" w:rsidP="0014376C">
            <w:pPr>
              <w:pStyle w:val="ARtabletextright"/>
            </w:pPr>
            <w:r w:rsidRPr="002029AF">
              <w:t>100</w:t>
            </w:r>
          </w:p>
        </w:tc>
        <w:tc>
          <w:tcPr>
            <w:tcW w:w="1020" w:type="dxa"/>
            <w:tcBorders>
              <w:bottom w:val="single" w:sz="4" w:space="0" w:color="BFBFBF"/>
            </w:tcBorders>
            <w:shd w:val="clear" w:color="auto" w:fill="auto"/>
            <w:hideMark/>
          </w:tcPr>
          <w:p w14:paraId="542B59F9" w14:textId="77777777" w:rsidR="00C15C65" w:rsidRPr="002029AF" w:rsidRDefault="00C15C65" w:rsidP="0014376C">
            <w:pPr>
              <w:pStyle w:val="ARtabletextright"/>
            </w:pPr>
            <w:r w:rsidRPr="002029AF">
              <w:t>100</w:t>
            </w:r>
          </w:p>
        </w:tc>
        <w:tc>
          <w:tcPr>
            <w:tcW w:w="1022" w:type="dxa"/>
            <w:tcBorders>
              <w:bottom w:val="single" w:sz="4" w:space="0" w:color="BFBFBF"/>
            </w:tcBorders>
            <w:shd w:val="clear" w:color="auto" w:fill="auto"/>
          </w:tcPr>
          <w:p w14:paraId="1E27922E" w14:textId="77777777" w:rsidR="00C15C65" w:rsidRPr="002029AF" w:rsidRDefault="00C15C65" w:rsidP="0014376C">
            <w:pPr>
              <w:pStyle w:val="ARtabletextright"/>
            </w:pPr>
            <w:r w:rsidRPr="002029AF">
              <w:t>0.0</w:t>
            </w:r>
          </w:p>
        </w:tc>
        <w:tc>
          <w:tcPr>
            <w:tcW w:w="796" w:type="dxa"/>
            <w:tcBorders>
              <w:bottom w:val="single" w:sz="4" w:space="0" w:color="BFBFBF"/>
            </w:tcBorders>
            <w:shd w:val="clear" w:color="auto" w:fill="auto"/>
            <w:hideMark/>
          </w:tcPr>
          <w:p w14:paraId="6F1FB7B0"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71A04B6F" w14:textId="77777777" w:rsidTr="00192EEE">
        <w:trPr>
          <w:gridAfter w:val="1"/>
          <w:wAfter w:w="6" w:type="dxa"/>
          <w:cantSplit/>
        </w:trPr>
        <w:tc>
          <w:tcPr>
            <w:tcW w:w="4756" w:type="dxa"/>
            <w:tcBorders>
              <w:top w:val="single" w:sz="4" w:space="0" w:color="BFBFBF"/>
            </w:tcBorders>
            <w:shd w:val="clear" w:color="auto" w:fill="auto"/>
            <w:hideMark/>
          </w:tcPr>
          <w:p w14:paraId="4E00E4AE" w14:textId="082493C7" w:rsidR="00C15C65" w:rsidRPr="002029AF" w:rsidRDefault="00C15C65" w:rsidP="00C40F5D">
            <w:pPr>
              <w:pStyle w:val="ARtabletext"/>
            </w:pPr>
            <w:r w:rsidRPr="002029AF">
              <w:t>Emergency</w:t>
            </w:r>
            <w:r w:rsidR="000A5329" w:rsidRPr="002029AF">
              <w:t xml:space="preserve"> </w:t>
            </w:r>
            <w:r w:rsidRPr="002029AF">
              <w:t>patients</w:t>
            </w:r>
            <w:r w:rsidR="000A5329" w:rsidRPr="002029AF">
              <w:t xml:space="preserve"> </w:t>
            </w:r>
            <w:r w:rsidRPr="002029AF">
              <w:t>treated</w:t>
            </w:r>
            <w:r w:rsidR="000A5329" w:rsidRPr="002029AF">
              <w:t xml:space="preserve"> </w:t>
            </w:r>
            <w:r w:rsidRPr="002029AF">
              <w:t>within</w:t>
            </w:r>
            <w:r w:rsidR="000A5329" w:rsidRPr="002029AF">
              <w:t xml:space="preserve"> </w:t>
            </w:r>
            <w:r w:rsidRPr="002029AF">
              <w:t>clinically</w:t>
            </w:r>
            <w:r w:rsidR="000A5329" w:rsidRPr="002029AF">
              <w:t xml:space="preserve"> </w:t>
            </w:r>
            <w:r w:rsidRPr="002029AF">
              <w:t>recommended</w:t>
            </w:r>
            <w:r w:rsidR="000A5329" w:rsidRPr="002029AF">
              <w:t xml:space="preserve"> </w:t>
            </w:r>
            <w:r w:rsidRPr="002029AF">
              <w:t>‘time</w:t>
            </w:r>
            <w:r w:rsidR="000A5329" w:rsidRPr="002029AF">
              <w:t xml:space="preserve"> </w:t>
            </w:r>
            <w:r w:rsidRPr="002029AF">
              <w:t>to</w:t>
            </w:r>
            <w:r w:rsidR="000A5329" w:rsidRPr="002029AF">
              <w:t xml:space="preserve"> </w:t>
            </w:r>
            <w:r w:rsidRPr="002029AF">
              <w:t>treatment’</w:t>
            </w:r>
          </w:p>
        </w:tc>
        <w:tc>
          <w:tcPr>
            <w:tcW w:w="1019" w:type="dxa"/>
            <w:tcBorders>
              <w:top w:val="single" w:sz="4" w:space="0" w:color="BFBFBF"/>
            </w:tcBorders>
            <w:shd w:val="clear" w:color="auto" w:fill="auto"/>
            <w:hideMark/>
          </w:tcPr>
          <w:p w14:paraId="1351C4CD" w14:textId="5BB5D1F2" w:rsidR="00C15C65" w:rsidRPr="002029AF" w:rsidRDefault="00C15C65" w:rsidP="00C40F5D">
            <w:pPr>
              <w:pStyle w:val="ARtabletext"/>
            </w:pPr>
            <w:r w:rsidRPr="002029AF">
              <w:t>per</w:t>
            </w:r>
            <w:r w:rsidR="000A5329" w:rsidRPr="002029AF">
              <w:t xml:space="preserve"> </w:t>
            </w:r>
            <w:r w:rsidRPr="002029AF">
              <w:t>cent</w:t>
            </w:r>
          </w:p>
        </w:tc>
        <w:tc>
          <w:tcPr>
            <w:tcW w:w="1020" w:type="dxa"/>
            <w:tcBorders>
              <w:top w:val="single" w:sz="4" w:space="0" w:color="BFBFBF"/>
            </w:tcBorders>
            <w:shd w:val="clear" w:color="auto" w:fill="auto"/>
            <w:hideMark/>
          </w:tcPr>
          <w:p w14:paraId="42F79AEE" w14:textId="77777777" w:rsidR="00C15C65" w:rsidRPr="002029AF" w:rsidRDefault="00C15C65" w:rsidP="0014376C">
            <w:pPr>
              <w:pStyle w:val="ARtabletextright"/>
            </w:pPr>
            <w:r w:rsidRPr="002029AF">
              <w:t>80</w:t>
            </w:r>
          </w:p>
        </w:tc>
        <w:tc>
          <w:tcPr>
            <w:tcW w:w="1020" w:type="dxa"/>
            <w:tcBorders>
              <w:top w:val="single" w:sz="4" w:space="0" w:color="BFBFBF"/>
            </w:tcBorders>
            <w:shd w:val="clear" w:color="auto" w:fill="auto"/>
            <w:hideMark/>
          </w:tcPr>
          <w:p w14:paraId="2FFF679E" w14:textId="77777777" w:rsidR="00C15C65" w:rsidRPr="002029AF" w:rsidRDefault="00C15C65" w:rsidP="0014376C">
            <w:pPr>
              <w:pStyle w:val="ARtabletextright"/>
            </w:pPr>
            <w:r w:rsidRPr="002029AF">
              <w:t>73.4</w:t>
            </w:r>
          </w:p>
        </w:tc>
        <w:tc>
          <w:tcPr>
            <w:tcW w:w="1022" w:type="dxa"/>
            <w:tcBorders>
              <w:top w:val="single" w:sz="4" w:space="0" w:color="BFBFBF"/>
            </w:tcBorders>
            <w:shd w:val="clear" w:color="auto" w:fill="auto"/>
          </w:tcPr>
          <w:p w14:paraId="7436D2FD" w14:textId="77777777" w:rsidR="00C15C65" w:rsidRPr="002029AF" w:rsidRDefault="00C15C65" w:rsidP="0014376C">
            <w:pPr>
              <w:pStyle w:val="ARtabletextright"/>
            </w:pPr>
            <w:r w:rsidRPr="002029AF">
              <w:t>-8.2</w:t>
            </w:r>
          </w:p>
        </w:tc>
        <w:tc>
          <w:tcPr>
            <w:tcW w:w="796" w:type="dxa"/>
            <w:tcBorders>
              <w:top w:val="single" w:sz="4" w:space="0" w:color="BFBFBF"/>
            </w:tcBorders>
            <w:shd w:val="clear" w:color="auto" w:fill="auto"/>
            <w:hideMark/>
          </w:tcPr>
          <w:p w14:paraId="764935C2"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5D111676" w14:textId="77777777" w:rsidTr="00192EEE">
        <w:trPr>
          <w:gridAfter w:val="1"/>
          <w:wAfter w:w="6" w:type="dxa"/>
          <w:cantSplit/>
        </w:trPr>
        <w:tc>
          <w:tcPr>
            <w:tcW w:w="9633" w:type="dxa"/>
            <w:gridSpan w:val="6"/>
            <w:tcBorders>
              <w:bottom w:val="single" w:sz="4" w:space="0" w:color="BFBFBF"/>
            </w:tcBorders>
            <w:shd w:val="clear" w:color="auto" w:fill="auto"/>
            <w:noWrap/>
            <w:hideMark/>
          </w:tcPr>
          <w:p w14:paraId="2D7ADA2F" w14:textId="2D4B6A61" w:rsidR="00C15C65" w:rsidRPr="002029AF" w:rsidRDefault="00C15C65" w:rsidP="002C5190">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lower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social</w:t>
            </w:r>
            <w:r w:rsidR="000A5329" w:rsidRPr="002029AF">
              <w:t xml:space="preserve"> </w:t>
            </w:r>
            <w:r w:rsidRPr="002029AF">
              <w:t>distancing</w:t>
            </w:r>
            <w:r w:rsidR="000A5329" w:rsidRPr="002029AF">
              <w:t xml:space="preserve"> </w:t>
            </w:r>
            <w:r w:rsidRPr="002029AF">
              <w:t>requirements</w:t>
            </w:r>
            <w:r w:rsidR="000A5329" w:rsidRPr="002029AF">
              <w:t xml:space="preserve"> </w:t>
            </w:r>
            <w:r w:rsidRPr="002029AF">
              <w:t>and</w:t>
            </w:r>
            <w:r w:rsidR="000A5329" w:rsidRPr="002029AF">
              <w:t xml:space="preserve"> </w:t>
            </w:r>
            <w:r w:rsidRPr="002029AF">
              <w:t>heightened</w:t>
            </w:r>
            <w:r w:rsidR="000A5329" w:rsidRPr="002029AF">
              <w:t xml:space="preserve"> </w:t>
            </w:r>
            <w:r w:rsidRPr="002029AF">
              <w:t>hygiene</w:t>
            </w:r>
            <w:r w:rsidR="000A5329" w:rsidRPr="002029AF">
              <w:t xml:space="preserve"> </w:t>
            </w:r>
            <w:r w:rsidRPr="002029AF">
              <w:t>practices</w:t>
            </w:r>
            <w:r w:rsidR="000A5329" w:rsidRPr="002029AF">
              <w:t xml:space="preserve"> </w:t>
            </w:r>
            <w:r w:rsidRPr="002029AF">
              <w:t>within</w:t>
            </w:r>
            <w:r w:rsidR="000A5329" w:rsidRPr="002029AF">
              <w:t xml:space="preserve"> </w:t>
            </w:r>
            <w:r w:rsidRPr="002029AF">
              <w:t>the</w:t>
            </w:r>
            <w:r w:rsidR="000A5329" w:rsidRPr="002029AF">
              <w:t xml:space="preserve"> </w:t>
            </w:r>
            <w:r w:rsidRPr="002029AF">
              <w:t>emergency</w:t>
            </w:r>
            <w:r w:rsidR="000A5329" w:rsidRPr="002029AF">
              <w:t xml:space="preserve"> </w:t>
            </w:r>
            <w:r w:rsidRPr="002029AF">
              <w:t>departments,</w:t>
            </w:r>
            <w:r w:rsidR="000A5329" w:rsidRPr="002029AF">
              <w:t xml:space="preserve"> </w:t>
            </w:r>
            <w:r w:rsidRPr="002029AF">
              <w:t>resulting</w:t>
            </w:r>
            <w:r w:rsidR="000A5329" w:rsidRPr="002029AF">
              <w:t xml:space="preserve"> </w:t>
            </w:r>
            <w:r w:rsidRPr="002029AF">
              <w:t>in</w:t>
            </w:r>
            <w:r w:rsidR="000A5329" w:rsidRPr="002029AF">
              <w:t xml:space="preserve"> </w:t>
            </w:r>
            <w:r w:rsidRPr="002029AF">
              <w:t>reduced</w:t>
            </w:r>
            <w:r w:rsidR="000A5329" w:rsidRPr="002029AF">
              <w:t xml:space="preserve"> </w:t>
            </w:r>
            <w:r w:rsidRPr="002029AF">
              <w:t>emergency</w:t>
            </w:r>
            <w:r w:rsidR="000A5329" w:rsidRPr="002029AF">
              <w:t xml:space="preserve"> </w:t>
            </w:r>
            <w:r w:rsidR="002029AF" w:rsidRPr="002029AF">
              <w:t>department</w:t>
            </w:r>
            <w:r w:rsidR="000A5329" w:rsidRPr="002029AF">
              <w:t xml:space="preserve"> </w:t>
            </w:r>
            <w:r w:rsidRPr="002029AF">
              <w:t>efficiencies.</w:t>
            </w:r>
          </w:p>
        </w:tc>
      </w:tr>
      <w:tr w:rsidR="00C15C65" w:rsidRPr="002029AF" w14:paraId="75AC0E6E" w14:textId="77777777" w:rsidTr="00192EEE">
        <w:trPr>
          <w:gridAfter w:val="1"/>
          <w:wAfter w:w="6" w:type="dxa"/>
          <w:cantSplit/>
        </w:trPr>
        <w:tc>
          <w:tcPr>
            <w:tcW w:w="4756" w:type="dxa"/>
            <w:shd w:val="clear" w:color="auto" w:fill="auto"/>
            <w:hideMark/>
          </w:tcPr>
          <w:p w14:paraId="7397A174" w14:textId="34438EBE" w:rsidR="00C15C65" w:rsidRPr="002029AF" w:rsidRDefault="00C15C65" w:rsidP="00C40F5D">
            <w:pPr>
              <w:pStyle w:val="ARtabletext"/>
            </w:pPr>
            <w:r w:rsidRPr="002029AF">
              <w:t>Emergency</w:t>
            </w:r>
            <w:r w:rsidR="000A5329" w:rsidRPr="002029AF">
              <w:t xml:space="preserve"> </w:t>
            </w:r>
            <w:r w:rsidRPr="002029AF">
              <w:t>patients</w:t>
            </w:r>
            <w:r w:rsidR="000A5329" w:rsidRPr="002029AF">
              <w:t xml:space="preserve"> </w:t>
            </w:r>
            <w:r w:rsidRPr="002029AF">
              <w:t>with</w:t>
            </w:r>
            <w:r w:rsidR="000A5329" w:rsidRPr="002029AF">
              <w:t xml:space="preserve"> </w:t>
            </w:r>
            <w:r w:rsidRPr="002029AF">
              <w:t>a</w:t>
            </w:r>
            <w:r w:rsidR="000A5329" w:rsidRPr="002029AF">
              <w:t xml:space="preserve"> </w:t>
            </w:r>
            <w:r w:rsidRPr="002029AF">
              <w:t>length</w:t>
            </w:r>
            <w:r w:rsidR="000A5329" w:rsidRPr="002029AF">
              <w:t xml:space="preserve"> </w:t>
            </w:r>
            <w:r w:rsidRPr="002029AF">
              <w:t>of</w:t>
            </w:r>
            <w:r w:rsidR="000A5329" w:rsidRPr="002029AF">
              <w:t xml:space="preserve"> </w:t>
            </w:r>
            <w:r w:rsidRPr="002029AF">
              <w:t>stay</w:t>
            </w:r>
            <w:r w:rsidR="000A5329" w:rsidRPr="002029AF">
              <w:t xml:space="preserve"> </w:t>
            </w:r>
            <w:r w:rsidRPr="002029AF">
              <w:t>of</w:t>
            </w:r>
            <w:r w:rsidR="000A5329" w:rsidRPr="002029AF">
              <w:t xml:space="preserve"> </w:t>
            </w:r>
            <w:r w:rsidRPr="002029AF">
              <w:t>less</w:t>
            </w:r>
            <w:r w:rsidR="000A5329" w:rsidRPr="002029AF">
              <w:t xml:space="preserve"> </w:t>
            </w:r>
            <w:r w:rsidRPr="002029AF">
              <w:t>than</w:t>
            </w:r>
            <w:r w:rsidR="000A5329" w:rsidRPr="002029AF">
              <w:t xml:space="preserve"> </w:t>
            </w:r>
            <w:r w:rsidRPr="002029AF">
              <w:t>four</w:t>
            </w:r>
            <w:r w:rsidR="000A5329" w:rsidRPr="002029AF">
              <w:t xml:space="preserve"> </w:t>
            </w:r>
            <w:r w:rsidRPr="002029AF">
              <w:t>hours</w:t>
            </w:r>
          </w:p>
        </w:tc>
        <w:tc>
          <w:tcPr>
            <w:tcW w:w="1019" w:type="dxa"/>
            <w:shd w:val="clear" w:color="auto" w:fill="auto"/>
            <w:hideMark/>
          </w:tcPr>
          <w:p w14:paraId="1B19D142" w14:textId="741550C9" w:rsidR="00C15C65" w:rsidRPr="002029AF" w:rsidRDefault="00C15C65" w:rsidP="00C40F5D">
            <w:pPr>
              <w:pStyle w:val="ARtabletext"/>
            </w:pPr>
            <w:r w:rsidRPr="002029AF">
              <w:t>per</w:t>
            </w:r>
            <w:r w:rsidR="000A5329" w:rsidRPr="002029AF">
              <w:t xml:space="preserve"> </w:t>
            </w:r>
            <w:r w:rsidRPr="002029AF">
              <w:t>cent</w:t>
            </w:r>
          </w:p>
        </w:tc>
        <w:tc>
          <w:tcPr>
            <w:tcW w:w="1020" w:type="dxa"/>
            <w:shd w:val="clear" w:color="auto" w:fill="auto"/>
            <w:hideMark/>
          </w:tcPr>
          <w:p w14:paraId="487D9D07" w14:textId="77777777" w:rsidR="00C15C65" w:rsidRPr="002029AF" w:rsidRDefault="00C15C65" w:rsidP="0014376C">
            <w:pPr>
              <w:pStyle w:val="ARtabletextright"/>
            </w:pPr>
            <w:r w:rsidRPr="002029AF">
              <w:t>75</w:t>
            </w:r>
          </w:p>
        </w:tc>
        <w:tc>
          <w:tcPr>
            <w:tcW w:w="1020" w:type="dxa"/>
            <w:shd w:val="clear" w:color="auto" w:fill="auto"/>
            <w:hideMark/>
          </w:tcPr>
          <w:p w14:paraId="15FDFD65" w14:textId="77777777" w:rsidR="00C15C65" w:rsidRPr="002029AF" w:rsidRDefault="00C15C65" w:rsidP="0014376C">
            <w:pPr>
              <w:pStyle w:val="ARtabletextright"/>
            </w:pPr>
            <w:r w:rsidRPr="002029AF">
              <w:t>68.6</w:t>
            </w:r>
          </w:p>
        </w:tc>
        <w:tc>
          <w:tcPr>
            <w:tcW w:w="1022" w:type="dxa"/>
            <w:shd w:val="clear" w:color="auto" w:fill="auto"/>
          </w:tcPr>
          <w:p w14:paraId="4BEEDC17" w14:textId="77777777" w:rsidR="00C15C65" w:rsidRPr="002029AF" w:rsidRDefault="00C15C65" w:rsidP="0014376C">
            <w:pPr>
              <w:pStyle w:val="ARtabletextright"/>
            </w:pPr>
            <w:r w:rsidRPr="002029AF">
              <w:t>-8.5</w:t>
            </w:r>
          </w:p>
        </w:tc>
        <w:tc>
          <w:tcPr>
            <w:tcW w:w="796" w:type="dxa"/>
            <w:shd w:val="clear" w:color="auto" w:fill="auto"/>
            <w:hideMark/>
          </w:tcPr>
          <w:p w14:paraId="257E3460"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2E8D6A63" w14:textId="77777777" w:rsidTr="00192EEE">
        <w:trPr>
          <w:gridAfter w:val="1"/>
          <w:wAfter w:w="6" w:type="dxa"/>
          <w:cantSplit/>
        </w:trPr>
        <w:tc>
          <w:tcPr>
            <w:tcW w:w="9633" w:type="dxa"/>
            <w:gridSpan w:val="6"/>
            <w:tcBorders>
              <w:bottom w:val="single" w:sz="4" w:space="0" w:color="BFBFBF"/>
            </w:tcBorders>
            <w:shd w:val="clear" w:color="auto" w:fill="auto"/>
            <w:noWrap/>
            <w:hideMark/>
          </w:tcPr>
          <w:p w14:paraId="64B27DB5" w14:textId="25A2FDEC" w:rsidR="00C15C65" w:rsidRPr="002029AF" w:rsidRDefault="00C15C65" w:rsidP="002C5190">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lower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high</w:t>
            </w:r>
            <w:r w:rsidR="000A5329" w:rsidRPr="002029AF">
              <w:t xml:space="preserve"> </w:t>
            </w:r>
            <w:r w:rsidRPr="002029AF">
              <w:t>number</w:t>
            </w:r>
            <w:r w:rsidR="000A5329" w:rsidRPr="002029AF">
              <w:t xml:space="preserve"> </w:t>
            </w:r>
            <w:r w:rsidRPr="002029AF">
              <w:t>of</w:t>
            </w:r>
            <w:r w:rsidR="000A5329" w:rsidRPr="002029AF">
              <w:t xml:space="preserve"> </w:t>
            </w:r>
            <w:r w:rsidRPr="002029AF">
              <w:t>Emergency</w:t>
            </w:r>
            <w:r w:rsidR="000A5329" w:rsidRPr="002029AF">
              <w:t xml:space="preserve"> </w:t>
            </w:r>
            <w:r w:rsidRPr="002029AF">
              <w:t>Department</w:t>
            </w:r>
            <w:r w:rsidR="000A5329" w:rsidRPr="002029AF">
              <w:t xml:space="preserve"> </w:t>
            </w:r>
            <w:r w:rsidRPr="002029AF">
              <w:t>presentations</w:t>
            </w:r>
            <w:r w:rsidR="000A5329" w:rsidRPr="002029AF">
              <w:t xml:space="preserve"> </w:t>
            </w:r>
            <w:r w:rsidRPr="002029AF">
              <w:t>at</w:t>
            </w:r>
            <w:r w:rsidR="000A5329" w:rsidRPr="002029AF">
              <w:t xml:space="preserve"> </w:t>
            </w:r>
            <w:r w:rsidRPr="002029AF">
              <w:t>the</w:t>
            </w:r>
            <w:r w:rsidR="000A5329" w:rsidRPr="002029AF">
              <w:t xml:space="preserve"> </w:t>
            </w:r>
            <w:r w:rsidRPr="002029AF">
              <w:t>start</w:t>
            </w:r>
            <w:r w:rsidR="000A5329" w:rsidRPr="002029AF">
              <w:t xml:space="preserve"> </w:t>
            </w:r>
            <w:r w:rsidRPr="002029AF">
              <w:t>of</w:t>
            </w:r>
            <w:r w:rsidR="000A5329" w:rsidRPr="002029AF">
              <w:t xml:space="preserve"> </w:t>
            </w:r>
            <w:r w:rsidRPr="002029AF">
              <w:t>the</w:t>
            </w:r>
            <w:r w:rsidR="000A5329" w:rsidRPr="002029AF">
              <w:t xml:space="preserve"> </w:t>
            </w:r>
            <w:r w:rsidRPr="002029AF">
              <w:t>year</w:t>
            </w:r>
            <w:r w:rsidR="000A5329" w:rsidRPr="002029AF">
              <w:t xml:space="preserve"> </w:t>
            </w:r>
            <w:r w:rsidRPr="002029AF">
              <w:t>which</w:t>
            </w:r>
            <w:r w:rsidR="000A5329" w:rsidRPr="002029AF">
              <w:t xml:space="preserve"> </w:t>
            </w:r>
            <w:r w:rsidRPr="002029AF">
              <w:t>was</w:t>
            </w:r>
            <w:r w:rsidR="000A5329" w:rsidRPr="002029AF">
              <w:t xml:space="preserve"> </w:t>
            </w:r>
            <w:r w:rsidRPr="002029AF">
              <w:t>not</w:t>
            </w:r>
            <w:r w:rsidR="000A5329" w:rsidRPr="002029AF">
              <w:t xml:space="preserve"> </w:t>
            </w:r>
            <w:r w:rsidRPr="002029AF">
              <w:t>offset</w:t>
            </w:r>
            <w:r w:rsidR="000A5329" w:rsidRPr="002029AF">
              <w:t xml:space="preserve"> </w:t>
            </w:r>
            <w:r w:rsidRPr="002029AF">
              <w:t>by</w:t>
            </w:r>
            <w:r w:rsidR="000A5329" w:rsidRPr="002029AF">
              <w:t xml:space="preserve"> </w:t>
            </w:r>
            <w:r w:rsidRPr="002029AF">
              <w:t>the</w:t>
            </w:r>
            <w:r w:rsidR="000A5329" w:rsidRPr="002029AF">
              <w:t xml:space="preserve"> </w:t>
            </w:r>
            <w:r w:rsidRPr="002029AF">
              <w:t>significant</w:t>
            </w:r>
            <w:r w:rsidR="000A5329" w:rsidRPr="002029AF">
              <w:t xml:space="preserve"> </w:t>
            </w:r>
            <w:r w:rsidRPr="002029AF">
              <w:t>improvement</w:t>
            </w:r>
            <w:r w:rsidR="000A5329" w:rsidRPr="002029AF">
              <w:t xml:space="preserve"> </w:t>
            </w:r>
            <w:r w:rsidRPr="002029AF">
              <w:t>shown</w:t>
            </w:r>
            <w:r w:rsidR="000A5329" w:rsidRPr="002029AF">
              <w:t xml:space="preserve"> </w:t>
            </w:r>
            <w:r w:rsidRPr="002029AF">
              <w:t>in</w:t>
            </w:r>
            <w:r w:rsidR="000A5329" w:rsidRPr="002029AF">
              <w:t xml:space="preserve"> </w:t>
            </w:r>
            <w:r w:rsidRPr="002029AF">
              <w:t>the</w:t>
            </w:r>
            <w:r w:rsidR="000A5329" w:rsidRPr="002029AF">
              <w:t xml:space="preserve"> </w:t>
            </w:r>
            <w:r w:rsidRPr="002029AF">
              <w:t>second</w:t>
            </w:r>
            <w:r w:rsidR="000A5329" w:rsidRPr="002029AF">
              <w:t xml:space="preserve"> </w:t>
            </w:r>
            <w:r w:rsidRPr="002029AF">
              <w:t>half</w:t>
            </w:r>
            <w:r w:rsidR="000A5329" w:rsidRPr="002029AF">
              <w:t xml:space="preserve"> </w:t>
            </w:r>
            <w:r w:rsidRPr="002029AF">
              <w:t>of</w:t>
            </w:r>
            <w:r w:rsidR="000A5329" w:rsidRPr="002029AF">
              <w:t xml:space="preserve"> </w:t>
            </w:r>
            <w:r w:rsidRPr="002029AF">
              <w:t>the</w:t>
            </w:r>
            <w:r w:rsidR="000A5329" w:rsidRPr="002029AF">
              <w:t xml:space="preserve"> </w:t>
            </w:r>
            <w:r w:rsidRPr="002029AF">
              <w:t>year.</w:t>
            </w:r>
          </w:p>
        </w:tc>
      </w:tr>
      <w:tr w:rsidR="00C15C65" w:rsidRPr="002029AF" w14:paraId="40656DE9" w14:textId="77777777" w:rsidTr="00192EEE">
        <w:trPr>
          <w:gridAfter w:val="1"/>
          <w:wAfter w:w="6" w:type="dxa"/>
          <w:cantSplit/>
        </w:trPr>
        <w:tc>
          <w:tcPr>
            <w:tcW w:w="4756" w:type="dxa"/>
            <w:shd w:val="clear" w:color="auto" w:fill="auto"/>
            <w:hideMark/>
          </w:tcPr>
          <w:p w14:paraId="02372572" w14:textId="7D2F0BC4" w:rsidR="00C15C65" w:rsidRPr="002029AF" w:rsidRDefault="00C15C65" w:rsidP="00C40F5D">
            <w:pPr>
              <w:pStyle w:val="ARtabletext"/>
            </w:pPr>
            <w:r w:rsidRPr="002029AF">
              <w:t>Proportion</w:t>
            </w:r>
            <w:r w:rsidR="000A5329" w:rsidRPr="002029AF">
              <w:t xml:space="preserve"> </w:t>
            </w:r>
            <w:r w:rsidRPr="002029AF">
              <w:t>of</w:t>
            </w:r>
            <w:r w:rsidR="000A5329" w:rsidRPr="002029AF">
              <w:t xml:space="preserve"> </w:t>
            </w:r>
            <w:r w:rsidRPr="002029AF">
              <w:t>ambulance</w:t>
            </w:r>
            <w:r w:rsidR="000A5329" w:rsidRPr="002029AF">
              <w:t xml:space="preserve"> </w:t>
            </w:r>
            <w:r w:rsidRPr="002029AF">
              <w:t>patient</w:t>
            </w:r>
            <w:r w:rsidR="000A5329" w:rsidRPr="002029AF">
              <w:t xml:space="preserve"> </w:t>
            </w:r>
            <w:r w:rsidRPr="002029AF">
              <w:t>transfers</w:t>
            </w:r>
            <w:r w:rsidR="000A5329" w:rsidRPr="002029AF">
              <w:t xml:space="preserve"> </w:t>
            </w:r>
            <w:r w:rsidRPr="002029AF">
              <w:t>within</w:t>
            </w:r>
            <w:r w:rsidR="000A5329" w:rsidRPr="002029AF">
              <w:t xml:space="preserve"> </w:t>
            </w:r>
            <w:r w:rsidRPr="002029AF">
              <w:t>40</w:t>
            </w:r>
            <w:r w:rsidR="000A5329" w:rsidRPr="002029AF">
              <w:t xml:space="preserve"> </w:t>
            </w:r>
            <w:r w:rsidRPr="002029AF">
              <w:t>minutes</w:t>
            </w:r>
          </w:p>
        </w:tc>
        <w:tc>
          <w:tcPr>
            <w:tcW w:w="1019" w:type="dxa"/>
            <w:shd w:val="clear" w:color="auto" w:fill="auto"/>
            <w:hideMark/>
          </w:tcPr>
          <w:p w14:paraId="18A432D9" w14:textId="7E9822DE" w:rsidR="00C15C65" w:rsidRPr="002029AF" w:rsidRDefault="00C15C65" w:rsidP="00C40F5D">
            <w:pPr>
              <w:pStyle w:val="ARtabletext"/>
            </w:pPr>
            <w:r w:rsidRPr="002029AF">
              <w:t>per</w:t>
            </w:r>
            <w:r w:rsidR="000A5329" w:rsidRPr="002029AF">
              <w:t xml:space="preserve"> </w:t>
            </w:r>
            <w:r w:rsidRPr="002029AF">
              <w:t>cent</w:t>
            </w:r>
          </w:p>
        </w:tc>
        <w:tc>
          <w:tcPr>
            <w:tcW w:w="1020" w:type="dxa"/>
            <w:shd w:val="clear" w:color="auto" w:fill="auto"/>
            <w:hideMark/>
          </w:tcPr>
          <w:p w14:paraId="6E3F7DA8" w14:textId="77777777" w:rsidR="00C15C65" w:rsidRPr="002029AF" w:rsidRDefault="00C15C65" w:rsidP="0014376C">
            <w:pPr>
              <w:pStyle w:val="ARtabletextright"/>
            </w:pPr>
            <w:r w:rsidRPr="002029AF">
              <w:t>90</w:t>
            </w:r>
          </w:p>
        </w:tc>
        <w:tc>
          <w:tcPr>
            <w:tcW w:w="1020" w:type="dxa"/>
            <w:shd w:val="clear" w:color="auto" w:fill="auto"/>
            <w:hideMark/>
          </w:tcPr>
          <w:p w14:paraId="14C48A2C" w14:textId="77777777" w:rsidR="00C15C65" w:rsidRPr="002029AF" w:rsidRDefault="00C15C65" w:rsidP="0014376C">
            <w:pPr>
              <w:pStyle w:val="ARtabletextright"/>
            </w:pPr>
            <w:r w:rsidRPr="002029AF">
              <w:t>77.8</w:t>
            </w:r>
          </w:p>
        </w:tc>
        <w:tc>
          <w:tcPr>
            <w:tcW w:w="1022" w:type="dxa"/>
            <w:shd w:val="clear" w:color="auto" w:fill="auto"/>
          </w:tcPr>
          <w:p w14:paraId="52F58270" w14:textId="77777777" w:rsidR="00C15C65" w:rsidRPr="002029AF" w:rsidRDefault="00C15C65" w:rsidP="0014376C">
            <w:pPr>
              <w:pStyle w:val="ARtabletextright"/>
            </w:pPr>
            <w:r w:rsidRPr="002029AF">
              <w:t>-13.6</w:t>
            </w:r>
          </w:p>
        </w:tc>
        <w:tc>
          <w:tcPr>
            <w:tcW w:w="796" w:type="dxa"/>
            <w:shd w:val="clear" w:color="auto" w:fill="auto"/>
            <w:hideMark/>
          </w:tcPr>
          <w:p w14:paraId="2F99F554"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5368B55A" w14:textId="77777777" w:rsidTr="00192EEE">
        <w:trPr>
          <w:gridAfter w:val="1"/>
          <w:wAfter w:w="6" w:type="dxa"/>
          <w:cantSplit/>
        </w:trPr>
        <w:tc>
          <w:tcPr>
            <w:tcW w:w="9633" w:type="dxa"/>
            <w:gridSpan w:val="6"/>
            <w:tcBorders>
              <w:bottom w:val="single" w:sz="4" w:space="0" w:color="BFBFBF"/>
            </w:tcBorders>
            <w:shd w:val="clear" w:color="auto" w:fill="auto"/>
            <w:noWrap/>
            <w:hideMark/>
          </w:tcPr>
          <w:p w14:paraId="0E3647AF" w14:textId="53BF1FD5" w:rsidR="00C15C65" w:rsidRPr="002029AF" w:rsidRDefault="00C15C65" w:rsidP="002C5190">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lower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high</w:t>
            </w:r>
            <w:r w:rsidR="000A5329" w:rsidRPr="002029AF">
              <w:t xml:space="preserve"> </w:t>
            </w:r>
            <w:r w:rsidRPr="002029AF">
              <w:t>demand</w:t>
            </w:r>
            <w:r w:rsidR="000A5329" w:rsidRPr="002029AF">
              <w:t xml:space="preserve"> </w:t>
            </w:r>
            <w:r w:rsidRPr="002029AF">
              <w:t>at</w:t>
            </w:r>
            <w:r w:rsidR="000A5329" w:rsidRPr="002029AF">
              <w:t xml:space="preserve"> </w:t>
            </w:r>
            <w:r w:rsidRPr="002029AF">
              <w:t>the</w:t>
            </w:r>
            <w:r w:rsidR="000A5329" w:rsidRPr="002029AF">
              <w:t xml:space="preserve"> </w:t>
            </w:r>
            <w:r w:rsidRPr="002029AF">
              <w:t>start</w:t>
            </w:r>
            <w:r w:rsidR="000A5329" w:rsidRPr="002029AF">
              <w:t xml:space="preserve"> </w:t>
            </w:r>
            <w:r w:rsidRPr="002029AF">
              <w:t>of</w:t>
            </w:r>
            <w:r w:rsidR="000A5329" w:rsidRPr="002029AF">
              <w:t xml:space="preserve"> </w:t>
            </w:r>
            <w:r w:rsidRPr="002029AF">
              <w:t>the</w:t>
            </w:r>
            <w:r w:rsidR="000A5329" w:rsidRPr="002029AF">
              <w:t xml:space="preserve"> </w:t>
            </w:r>
            <w:r w:rsidRPr="002029AF">
              <w:t>year</w:t>
            </w:r>
            <w:r w:rsidR="000A5329" w:rsidRPr="002029AF">
              <w:t xml:space="preserve"> </w:t>
            </w:r>
            <w:r w:rsidRPr="002029AF">
              <w:t>which</w:t>
            </w:r>
            <w:r w:rsidR="000A5329" w:rsidRPr="002029AF">
              <w:t xml:space="preserve"> </w:t>
            </w:r>
            <w:r w:rsidRPr="002029AF">
              <w:t>was</w:t>
            </w:r>
            <w:r w:rsidR="000A5329" w:rsidRPr="002029AF">
              <w:t xml:space="preserve"> </w:t>
            </w:r>
            <w:r w:rsidRPr="002029AF">
              <w:t>not</w:t>
            </w:r>
            <w:r w:rsidR="000A5329" w:rsidRPr="002029AF">
              <w:t xml:space="preserve"> </w:t>
            </w:r>
            <w:r w:rsidRPr="002029AF">
              <w:t>offset</w:t>
            </w:r>
            <w:r w:rsidR="000A5329" w:rsidRPr="002029AF">
              <w:t xml:space="preserve"> </w:t>
            </w:r>
            <w:r w:rsidRPr="002029AF">
              <w:t>by</w:t>
            </w:r>
            <w:r w:rsidR="000A5329" w:rsidRPr="002029AF">
              <w:t xml:space="preserve"> </w:t>
            </w:r>
            <w:r w:rsidRPr="002029AF">
              <w:t>the</w:t>
            </w:r>
            <w:r w:rsidR="000A5329" w:rsidRPr="002029AF">
              <w:t xml:space="preserve"> </w:t>
            </w:r>
            <w:r w:rsidRPr="002029AF">
              <w:t>significant</w:t>
            </w:r>
            <w:r w:rsidR="000A5329" w:rsidRPr="002029AF">
              <w:t xml:space="preserve"> </w:t>
            </w:r>
            <w:r w:rsidRPr="002029AF">
              <w:t>improvement</w:t>
            </w:r>
            <w:r w:rsidR="000A5329" w:rsidRPr="002029AF">
              <w:t xml:space="preserve"> </w:t>
            </w:r>
            <w:r w:rsidRPr="002029AF">
              <w:t>shown</w:t>
            </w:r>
            <w:r w:rsidR="000A5329" w:rsidRPr="002029AF">
              <w:t xml:space="preserve"> </w:t>
            </w:r>
            <w:r w:rsidRPr="002029AF">
              <w:t>in</w:t>
            </w:r>
            <w:r w:rsidR="000A5329" w:rsidRPr="002029AF">
              <w:t xml:space="preserve"> </w:t>
            </w:r>
            <w:r w:rsidRPr="002029AF">
              <w:t>the</w:t>
            </w:r>
            <w:r w:rsidR="000A5329" w:rsidRPr="002029AF">
              <w:t xml:space="preserve"> </w:t>
            </w:r>
            <w:r w:rsidRPr="002029AF">
              <w:t>second</w:t>
            </w:r>
            <w:r w:rsidR="000A5329" w:rsidRPr="002029AF">
              <w:t xml:space="preserve"> </w:t>
            </w:r>
            <w:r w:rsidRPr="002029AF">
              <w:t>half</w:t>
            </w:r>
            <w:r w:rsidR="000A5329" w:rsidRPr="002029AF">
              <w:t xml:space="preserve"> </w:t>
            </w:r>
            <w:r w:rsidRPr="002029AF">
              <w:t>of</w:t>
            </w:r>
            <w:r w:rsidR="000A5329" w:rsidRPr="002029AF">
              <w:t xml:space="preserve"> </w:t>
            </w:r>
            <w:r w:rsidRPr="002029AF">
              <w:t>the</w:t>
            </w:r>
            <w:r w:rsidR="000A5329" w:rsidRPr="002029AF">
              <w:t xml:space="preserve"> </w:t>
            </w:r>
            <w:r w:rsidRPr="002029AF">
              <w:t>year.</w:t>
            </w:r>
          </w:p>
        </w:tc>
      </w:tr>
      <w:tr w:rsidR="00C15C65" w:rsidRPr="002029AF" w14:paraId="33BAC405" w14:textId="77777777" w:rsidTr="00192EEE">
        <w:trPr>
          <w:cantSplit/>
        </w:trPr>
        <w:tc>
          <w:tcPr>
            <w:tcW w:w="9639" w:type="dxa"/>
            <w:gridSpan w:val="7"/>
            <w:tcBorders>
              <w:top w:val="single" w:sz="4" w:space="0" w:color="auto"/>
              <w:left w:val="nil"/>
              <w:bottom w:val="nil"/>
              <w:right w:val="nil"/>
            </w:tcBorders>
            <w:hideMark/>
          </w:tcPr>
          <w:p w14:paraId="7302210C" w14:textId="77777777" w:rsidR="00C15C65" w:rsidRPr="002029AF" w:rsidRDefault="00C15C65" w:rsidP="007666A5">
            <w:pPr>
              <w:pStyle w:val="ARtablegreybold"/>
            </w:pPr>
            <w:r w:rsidRPr="002029AF">
              <w:t>Cost</w:t>
            </w:r>
          </w:p>
        </w:tc>
      </w:tr>
      <w:tr w:rsidR="00C15C65" w:rsidRPr="002029AF" w14:paraId="5D02EA10" w14:textId="77777777" w:rsidTr="00192EEE">
        <w:trPr>
          <w:cantSplit/>
        </w:trPr>
        <w:tc>
          <w:tcPr>
            <w:tcW w:w="4756" w:type="dxa"/>
            <w:hideMark/>
          </w:tcPr>
          <w:p w14:paraId="1EFEB4A2" w14:textId="2446BB71" w:rsidR="00C15C65" w:rsidRPr="002029AF" w:rsidRDefault="00C15C65" w:rsidP="00C40F5D">
            <w:pPr>
              <w:pStyle w:val="ARtabletext"/>
              <w:rPr>
                <w:b/>
              </w:rPr>
            </w:pPr>
            <w:r w:rsidRPr="002029AF">
              <w:rPr>
                <w:b/>
              </w:rPr>
              <w:t>Total</w:t>
            </w:r>
            <w:r w:rsidR="000A5329" w:rsidRPr="002029AF">
              <w:rPr>
                <w:b/>
              </w:rPr>
              <w:t xml:space="preserve"> </w:t>
            </w:r>
            <w:r w:rsidRPr="002029AF">
              <w:rPr>
                <w:b/>
              </w:rPr>
              <w:t>output</w:t>
            </w:r>
            <w:r w:rsidR="000A5329" w:rsidRPr="002029AF">
              <w:rPr>
                <w:b/>
              </w:rPr>
              <w:t xml:space="preserve"> </w:t>
            </w:r>
            <w:r w:rsidRPr="002029AF">
              <w:rPr>
                <w:b/>
              </w:rPr>
              <w:t>cost</w:t>
            </w:r>
          </w:p>
        </w:tc>
        <w:tc>
          <w:tcPr>
            <w:tcW w:w="1019" w:type="dxa"/>
            <w:hideMark/>
          </w:tcPr>
          <w:p w14:paraId="2C6462E6" w14:textId="18684197" w:rsidR="00C15C65" w:rsidRPr="002029AF" w:rsidRDefault="00C15C65" w:rsidP="00C40F5D">
            <w:pPr>
              <w:pStyle w:val="ARtabletext"/>
              <w:rPr>
                <w:b/>
              </w:rPr>
            </w:pPr>
            <w:r w:rsidRPr="002029AF">
              <w:rPr>
                <w:b/>
              </w:rPr>
              <w:t>$</w:t>
            </w:r>
            <w:r w:rsidR="000A5329" w:rsidRPr="002029AF">
              <w:rPr>
                <w:b/>
              </w:rPr>
              <w:t xml:space="preserve"> </w:t>
            </w:r>
            <w:r w:rsidRPr="002029AF">
              <w:rPr>
                <w:b/>
              </w:rPr>
              <w:t>million</w:t>
            </w:r>
          </w:p>
        </w:tc>
        <w:tc>
          <w:tcPr>
            <w:tcW w:w="1020" w:type="dxa"/>
          </w:tcPr>
          <w:p w14:paraId="2232E64D" w14:textId="77777777" w:rsidR="00C15C65" w:rsidRPr="002029AF" w:rsidRDefault="00C15C65" w:rsidP="00036F13">
            <w:pPr>
              <w:pStyle w:val="ARtabletextrightbold"/>
            </w:pPr>
            <w:r w:rsidRPr="002029AF">
              <w:t>784.3</w:t>
            </w:r>
          </w:p>
        </w:tc>
        <w:tc>
          <w:tcPr>
            <w:tcW w:w="1020" w:type="dxa"/>
          </w:tcPr>
          <w:p w14:paraId="15B9DC29" w14:textId="77777777" w:rsidR="00C15C65" w:rsidRPr="002029AF" w:rsidRDefault="00C15C65" w:rsidP="00036F13">
            <w:pPr>
              <w:pStyle w:val="ARtabletextrightbold"/>
            </w:pPr>
            <w:r w:rsidRPr="002029AF">
              <w:t>750.6</w:t>
            </w:r>
          </w:p>
        </w:tc>
        <w:tc>
          <w:tcPr>
            <w:tcW w:w="1022" w:type="dxa"/>
          </w:tcPr>
          <w:p w14:paraId="163FCF9D" w14:textId="77777777" w:rsidR="00C15C65" w:rsidRPr="002029AF" w:rsidRDefault="00C15C65" w:rsidP="00036F13">
            <w:pPr>
              <w:pStyle w:val="ARtabletextrightbold"/>
            </w:pPr>
            <w:r w:rsidRPr="002029AF">
              <w:t>-4.3</w:t>
            </w:r>
          </w:p>
        </w:tc>
        <w:tc>
          <w:tcPr>
            <w:tcW w:w="802" w:type="dxa"/>
            <w:gridSpan w:val="2"/>
          </w:tcPr>
          <w:p w14:paraId="290C6EC9" w14:textId="77777777" w:rsidR="00C15C65" w:rsidRPr="002029AF" w:rsidRDefault="00C15C65" w:rsidP="00C40F5D">
            <w:pPr>
              <w:pStyle w:val="ARtabletext"/>
              <w:rPr>
                <w:b/>
              </w:rPr>
            </w:pPr>
          </w:p>
        </w:tc>
      </w:tr>
      <w:tr w:rsidR="00C15C65" w:rsidRPr="002029AF" w14:paraId="78040A9A" w14:textId="77777777" w:rsidTr="00192EEE">
        <w:trPr>
          <w:cantSplit/>
        </w:trPr>
        <w:tc>
          <w:tcPr>
            <w:tcW w:w="9639" w:type="dxa"/>
            <w:gridSpan w:val="7"/>
            <w:tcBorders>
              <w:top w:val="nil"/>
              <w:left w:val="nil"/>
              <w:bottom w:val="single" w:sz="4" w:space="0" w:color="BFBFBF"/>
              <w:right w:val="nil"/>
            </w:tcBorders>
            <w:noWrap/>
          </w:tcPr>
          <w:p w14:paraId="53DA47DF" w14:textId="6CFF098B" w:rsidR="00C15C65" w:rsidRPr="002029AF" w:rsidRDefault="00C15C65" w:rsidP="002C5190">
            <w:pPr>
              <w:pStyle w:val="ARtablenoteindent"/>
            </w:pPr>
            <w:r w:rsidRPr="002029AF">
              <w:t>The</w:t>
            </w:r>
            <w:r w:rsidR="000A5329" w:rsidRPr="002029AF">
              <w:t xml:space="preserve"> </w:t>
            </w:r>
            <w:r w:rsidRPr="002029AF">
              <w:t>201</w:t>
            </w:r>
            <w:r w:rsidR="00DB53E6" w:rsidRPr="002029AF">
              <w:t>9–</w:t>
            </w:r>
            <w:r w:rsidRPr="002029AF">
              <w:t>20</w:t>
            </w:r>
            <w:r w:rsidR="000A5329" w:rsidRPr="002029AF">
              <w:t xml:space="preserve"> </w:t>
            </w:r>
            <w:r w:rsidRPr="002029AF">
              <w:t>actual</w:t>
            </w:r>
            <w:r w:rsidR="000A5329" w:rsidRPr="002029AF">
              <w:t xml:space="preserve"> </w:t>
            </w:r>
            <w:r w:rsidRPr="002029AF">
              <w:t>outcome</w:t>
            </w:r>
            <w:r w:rsidR="000A5329" w:rsidRPr="002029AF">
              <w:t xml:space="preserve"> </w:t>
            </w:r>
            <w:r w:rsidRPr="002029AF">
              <w:t>primarily</w:t>
            </w:r>
            <w:r w:rsidR="000A5329" w:rsidRPr="002029AF">
              <w:t xml:space="preserve"> </w:t>
            </w:r>
            <w:r w:rsidRPr="002029AF">
              <w:t>reflects</w:t>
            </w:r>
            <w:r w:rsidR="000A5329" w:rsidRPr="002029AF">
              <w:t xml:space="preserve"> </w:t>
            </w:r>
            <w:r w:rsidRPr="002029AF">
              <w:t>output</w:t>
            </w:r>
            <w:r w:rsidR="000A5329" w:rsidRPr="002029AF">
              <w:t xml:space="preserve"> </w:t>
            </w:r>
            <w:r w:rsidRPr="002029AF">
              <w:t>realignment</w:t>
            </w:r>
            <w:r w:rsidR="000A5329" w:rsidRPr="002029AF">
              <w:t xml:space="preserve"> </w:t>
            </w:r>
            <w:r w:rsidRPr="002029AF">
              <w:t>related</w:t>
            </w:r>
            <w:r w:rsidR="000A5329" w:rsidRPr="002029AF">
              <w:t xml:space="preserve"> </w:t>
            </w:r>
            <w:r w:rsidRPr="002029AF">
              <w:t>to</w:t>
            </w:r>
            <w:r w:rsidR="000A5329" w:rsidRPr="002029AF">
              <w:t xml:space="preserve"> </w:t>
            </w:r>
            <w:r w:rsidRPr="002029AF">
              <w:t>the</w:t>
            </w:r>
            <w:r w:rsidR="000A5329" w:rsidRPr="002029AF">
              <w:t xml:space="preserve"> </w:t>
            </w:r>
            <w:r w:rsidRPr="002029AF">
              <w:t>National</w:t>
            </w:r>
            <w:r w:rsidR="000A5329" w:rsidRPr="002029AF">
              <w:t xml:space="preserve"> </w:t>
            </w:r>
            <w:r w:rsidRPr="002029AF">
              <w:t>Health</w:t>
            </w:r>
            <w:r w:rsidR="000A5329" w:rsidRPr="002029AF">
              <w:t xml:space="preserve"> </w:t>
            </w:r>
            <w:r w:rsidRPr="002029AF">
              <w:t>Reform</w:t>
            </w:r>
            <w:r w:rsidR="000A5329" w:rsidRPr="002029AF">
              <w:t xml:space="preserve"> </w:t>
            </w:r>
            <w:r w:rsidRPr="002029AF">
              <w:t>funding</w:t>
            </w:r>
            <w:r w:rsidR="000A5329" w:rsidRPr="002029AF">
              <w:t xml:space="preserve"> </w:t>
            </w:r>
            <w:r w:rsidRPr="002029AF">
              <w:t>(realigned</w:t>
            </w:r>
            <w:r w:rsidR="000A5329" w:rsidRPr="002029AF">
              <w:t xml:space="preserve"> </w:t>
            </w:r>
            <w:r w:rsidRPr="002029AF">
              <w:t>to</w:t>
            </w:r>
            <w:r w:rsidR="000A5329" w:rsidRPr="002029AF">
              <w:t xml:space="preserve"> </w:t>
            </w:r>
            <w:r w:rsidRPr="002029AF">
              <w:t>Admitted</w:t>
            </w:r>
            <w:r w:rsidR="000A5329" w:rsidRPr="002029AF">
              <w:t xml:space="preserve"> </w:t>
            </w:r>
            <w:r w:rsidRPr="002029AF">
              <w:t>Services)</w:t>
            </w:r>
          </w:p>
        </w:tc>
      </w:tr>
      <w:tr w:rsidR="00C15C65" w:rsidRPr="002029AF" w14:paraId="7F1DFCB0" w14:textId="77777777" w:rsidTr="00192EEE">
        <w:trPr>
          <w:cantSplit/>
        </w:trPr>
        <w:tc>
          <w:tcPr>
            <w:tcW w:w="9639" w:type="dxa"/>
            <w:gridSpan w:val="7"/>
            <w:tcBorders>
              <w:top w:val="single" w:sz="4" w:space="0" w:color="auto"/>
              <w:left w:val="nil"/>
              <w:bottom w:val="single" w:sz="4" w:space="0" w:color="auto"/>
              <w:right w:val="nil"/>
            </w:tcBorders>
            <w:hideMark/>
          </w:tcPr>
          <w:p w14:paraId="4E17B8EB" w14:textId="6A348C23" w:rsidR="00C15C65" w:rsidRPr="002029AF" w:rsidRDefault="00C15C65" w:rsidP="007666A5">
            <w:pPr>
              <w:pStyle w:val="ARtablesubhead"/>
            </w:pPr>
            <w:r w:rsidRPr="002029AF">
              <w:t>Acute</w:t>
            </w:r>
            <w:r w:rsidR="000A5329" w:rsidRPr="002029AF">
              <w:t xml:space="preserve"> </w:t>
            </w:r>
            <w:r w:rsidRPr="002029AF">
              <w:t>Training</w:t>
            </w:r>
            <w:r w:rsidR="000A5329" w:rsidRPr="002029AF">
              <w:t xml:space="preserve"> </w:t>
            </w:r>
            <w:r w:rsidRPr="002029AF">
              <w:t>and</w:t>
            </w:r>
            <w:r w:rsidR="000A5329" w:rsidRPr="002029AF">
              <w:t xml:space="preserve"> </w:t>
            </w:r>
            <w:r w:rsidRPr="002029AF">
              <w:t>Development</w:t>
            </w:r>
          </w:p>
        </w:tc>
      </w:tr>
      <w:tr w:rsidR="00C15C65" w:rsidRPr="002029AF" w14:paraId="464B11FF" w14:textId="77777777" w:rsidTr="00192EEE">
        <w:trPr>
          <w:cantSplit/>
        </w:trPr>
        <w:tc>
          <w:tcPr>
            <w:tcW w:w="9639" w:type="dxa"/>
            <w:gridSpan w:val="7"/>
            <w:tcBorders>
              <w:top w:val="single" w:sz="4" w:space="0" w:color="auto"/>
              <w:left w:val="nil"/>
              <w:right w:val="nil"/>
            </w:tcBorders>
            <w:hideMark/>
          </w:tcPr>
          <w:p w14:paraId="3C73ECAA" w14:textId="77777777" w:rsidR="00C15C65" w:rsidRPr="002029AF" w:rsidRDefault="00C15C65" w:rsidP="00D96AFD">
            <w:pPr>
              <w:pStyle w:val="ARtablegreybold"/>
            </w:pPr>
            <w:r w:rsidRPr="002029AF">
              <w:t>Quantity</w:t>
            </w:r>
          </w:p>
        </w:tc>
      </w:tr>
      <w:tr w:rsidR="00C15C65" w:rsidRPr="002029AF" w14:paraId="775E497E" w14:textId="77777777" w:rsidTr="00192EEE">
        <w:trPr>
          <w:gridAfter w:val="1"/>
          <w:wAfter w:w="6" w:type="dxa"/>
          <w:cantSplit/>
        </w:trPr>
        <w:tc>
          <w:tcPr>
            <w:tcW w:w="4756" w:type="dxa"/>
            <w:tcBorders>
              <w:bottom w:val="single" w:sz="4" w:space="0" w:color="BFBFBF"/>
            </w:tcBorders>
            <w:shd w:val="clear" w:color="auto" w:fill="auto"/>
            <w:hideMark/>
          </w:tcPr>
          <w:p w14:paraId="48FE2E1D" w14:textId="614EB8BC" w:rsidR="00C15C65" w:rsidRPr="002029AF" w:rsidRDefault="00C15C65" w:rsidP="00C40F5D">
            <w:pPr>
              <w:pStyle w:val="ARtabletext"/>
            </w:pPr>
            <w:r w:rsidRPr="002029AF">
              <w:t>Clinical</w:t>
            </w:r>
            <w:r w:rsidR="000A5329" w:rsidRPr="002029AF">
              <w:t xml:space="preserve"> </w:t>
            </w:r>
            <w:r w:rsidRPr="002029AF">
              <w:t>placement</w:t>
            </w:r>
            <w:r w:rsidR="000A5329" w:rsidRPr="002029AF">
              <w:t xml:space="preserve"> </w:t>
            </w:r>
            <w:r w:rsidRPr="002029AF">
              <w:t>student</w:t>
            </w:r>
            <w:r w:rsidR="000A5329" w:rsidRPr="002029AF">
              <w:t xml:space="preserve"> </w:t>
            </w:r>
            <w:r w:rsidRPr="002029AF">
              <w:t>days</w:t>
            </w:r>
            <w:r w:rsidR="000A5329" w:rsidRPr="002029AF">
              <w:t xml:space="preserve"> </w:t>
            </w:r>
            <w:r w:rsidRPr="002029AF">
              <w:t>(medicine)</w:t>
            </w:r>
          </w:p>
        </w:tc>
        <w:tc>
          <w:tcPr>
            <w:tcW w:w="1019" w:type="dxa"/>
            <w:tcBorders>
              <w:bottom w:val="single" w:sz="4" w:space="0" w:color="BFBFBF"/>
            </w:tcBorders>
            <w:shd w:val="clear" w:color="auto" w:fill="auto"/>
            <w:hideMark/>
          </w:tcPr>
          <w:p w14:paraId="5A3BFD81" w14:textId="77777777" w:rsidR="00C15C65" w:rsidRPr="002029AF" w:rsidRDefault="00C15C65" w:rsidP="00C40F5D">
            <w:pPr>
              <w:pStyle w:val="ARtabletext"/>
            </w:pPr>
            <w:r w:rsidRPr="002029AF">
              <w:t>number</w:t>
            </w:r>
          </w:p>
        </w:tc>
        <w:tc>
          <w:tcPr>
            <w:tcW w:w="1020" w:type="dxa"/>
            <w:tcBorders>
              <w:bottom w:val="single" w:sz="4" w:space="0" w:color="BFBFBF"/>
            </w:tcBorders>
            <w:shd w:val="clear" w:color="auto" w:fill="auto"/>
            <w:hideMark/>
          </w:tcPr>
          <w:p w14:paraId="4A791814" w14:textId="77777777" w:rsidR="00C15C65" w:rsidRPr="002029AF" w:rsidRDefault="00C15C65" w:rsidP="0014376C">
            <w:pPr>
              <w:pStyle w:val="ARtabletextright"/>
            </w:pPr>
            <w:r w:rsidRPr="002029AF">
              <w:t>385,000</w:t>
            </w:r>
          </w:p>
        </w:tc>
        <w:tc>
          <w:tcPr>
            <w:tcW w:w="1020" w:type="dxa"/>
            <w:tcBorders>
              <w:bottom w:val="single" w:sz="4" w:space="0" w:color="BFBFBF"/>
            </w:tcBorders>
            <w:shd w:val="clear" w:color="auto" w:fill="auto"/>
            <w:hideMark/>
          </w:tcPr>
          <w:p w14:paraId="229D856B" w14:textId="77777777" w:rsidR="00C15C65" w:rsidRPr="002029AF" w:rsidRDefault="00C15C65" w:rsidP="0014376C">
            <w:pPr>
              <w:pStyle w:val="ARtabletextright"/>
            </w:pPr>
            <w:r w:rsidRPr="002029AF">
              <w:t>402,008</w:t>
            </w:r>
          </w:p>
        </w:tc>
        <w:tc>
          <w:tcPr>
            <w:tcW w:w="1022" w:type="dxa"/>
            <w:tcBorders>
              <w:bottom w:val="single" w:sz="4" w:space="0" w:color="BFBFBF"/>
            </w:tcBorders>
            <w:shd w:val="clear" w:color="auto" w:fill="auto"/>
          </w:tcPr>
          <w:p w14:paraId="10141EA9" w14:textId="77777777" w:rsidR="00C15C65" w:rsidRPr="002029AF" w:rsidRDefault="00C15C65" w:rsidP="0014376C">
            <w:pPr>
              <w:pStyle w:val="ARtabletextright"/>
            </w:pPr>
            <w:r w:rsidRPr="002029AF">
              <w:t>4.4</w:t>
            </w:r>
          </w:p>
        </w:tc>
        <w:tc>
          <w:tcPr>
            <w:tcW w:w="796" w:type="dxa"/>
            <w:tcBorders>
              <w:bottom w:val="single" w:sz="4" w:space="0" w:color="BFBFBF"/>
            </w:tcBorders>
            <w:shd w:val="clear" w:color="auto" w:fill="auto"/>
            <w:hideMark/>
          </w:tcPr>
          <w:p w14:paraId="6EE8E321"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72580778" w14:textId="77777777" w:rsidTr="00192EEE">
        <w:trPr>
          <w:gridAfter w:val="1"/>
          <w:wAfter w:w="6" w:type="dxa"/>
          <w:cantSplit/>
        </w:trPr>
        <w:tc>
          <w:tcPr>
            <w:tcW w:w="4756" w:type="dxa"/>
            <w:tcBorders>
              <w:top w:val="single" w:sz="4" w:space="0" w:color="BFBFBF"/>
            </w:tcBorders>
            <w:shd w:val="clear" w:color="auto" w:fill="auto"/>
            <w:hideMark/>
          </w:tcPr>
          <w:p w14:paraId="7736652D" w14:textId="364E2D42" w:rsidR="00C15C65" w:rsidRPr="002029AF" w:rsidRDefault="00C15C65" w:rsidP="00C40F5D">
            <w:pPr>
              <w:pStyle w:val="ARtabletext"/>
            </w:pPr>
            <w:r w:rsidRPr="002029AF">
              <w:t>Clinical</w:t>
            </w:r>
            <w:r w:rsidR="000A5329" w:rsidRPr="002029AF">
              <w:t xml:space="preserve"> </w:t>
            </w:r>
            <w:r w:rsidRPr="002029AF">
              <w:t>placement</w:t>
            </w:r>
            <w:r w:rsidR="000A5329" w:rsidRPr="002029AF">
              <w:t xml:space="preserve"> </w:t>
            </w:r>
            <w:r w:rsidRPr="002029AF">
              <w:t>student</w:t>
            </w:r>
            <w:r w:rsidR="000A5329" w:rsidRPr="002029AF">
              <w:t xml:space="preserve"> </w:t>
            </w:r>
            <w:r w:rsidRPr="002029AF">
              <w:t>days</w:t>
            </w:r>
            <w:r w:rsidR="000A5329" w:rsidRPr="002029AF">
              <w:t xml:space="preserve"> </w:t>
            </w:r>
            <w:r w:rsidRPr="002029AF">
              <w:t>(nursing</w:t>
            </w:r>
            <w:r w:rsidR="000A5329" w:rsidRPr="002029AF">
              <w:t xml:space="preserve"> </w:t>
            </w:r>
            <w:r w:rsidRPr="002029AF">
              <w:t>and</w:t>
            </w:r>
            <w:r w:rsidR="000A5329" w:rsidRPr="002029AF">
              <w:t xml:space="preserve"> </w:t>
            </w:r>
            <w:r w:rsidRPr="002029AF">
              <w:t>midwifery)</w:t>
            </w:r>
          </w:p>
        </w:tc>
        <w:tc>
          <w:tcPr>
            <w:tcW w:w="1019" w:type="dxa"/>
            <w:tcBorders>
              <w:top w:val="single" w:sz="4" w:space="0" w:color="BFBFBF"/>
            </w:tcBorders>
            <w:shd w:val="clear" w:color="auto" w:fill="auto"/>
            <w:hideMark/>
          </w:tcPr>
          <w:p w14:paraId="7CD459AB" w14:textId="77777777" w:rsidR="00C15C65" w:rsidRPr="002029AF" w:rsidRDefault="00C15C65" w:rsidP="00C40F5D">
            <w:pPr>
              <w:pStyle w:val="ARtabletext"/>
            </w:pPr>
            <w:r w:rsidRPr="002029AF">
              <w:t>number</w:t>
            </w:r>
          </w:p>
        </w:tc>
        <w:tc>
          <w:tcPr>
            <w:tcW w:w="1020" w:type="dxa"/>
            <w:tcBorders>
              <w:top w:val="single" w:sz="4" w:space="0" w:color="BFBFBF"/>
            </w:tcBorders>
            <w:shd w:val="clear" w:color="auto" w:fill="auto"/>
            <w:hideMark/>
          </w:tcPr>
          <w:p w14:paraId="7980EBBB" w14:textId="77777777" w:rsidR="00C15C65" w:rsidRPr="002029AF" w:rsidRDefault="00C15C65" w:rsidP="0014376C">
            <w:pPr>
              <w:pStyle w:val="ARtabletextright"/>
            </w:pPr>
            <w:r w:rsidRPr="002029AF">
              <w:t>385,000</w:t>
            </w:r>
          </w:p>
        </w:tc>
        <w:tc>
          <w:tcPr>
            <w:tcW w:w="1020" w:type="dxa"/>
            <w:tcBorders>
              <w:top w:val="single" w:sz="4" w:space="0" w:color="BFBFBF"/>
            </w:tcBorders>
            <w:shd w:val="clear" w:color="auto" w:fill="auto"/>
            <w:hideMark/>
          </w:tcPr>
          <w:p w14:paraId="61E05373" w14:textId="77777777" w:rsidR="00C15C65" w:rsidRPr="002029AF" w:rsidRDefault="00C15C65" w:rsidP="0014376C">
            <w:pPr>
              <w:pStyle w:val="ARtabletextright"/>
            </w:pPr>
            <w:r w:rsidRPr="002029AF">
              <w:t>435,731</w:t>
            </w:r>
          </w:p>
        </w:tc>
        <w:tc>
          <w:tcPr>
            <w:tcW w:w="1022" w:type="dxa"/>
            <w:tcBorders>
              <w:top w:val="single" w:sz="4" w:space="0" w:color="BFBFBF"/>
            </w:tcBorders>
            <w:shd w:val="clear" w:color="auto" w:fill="auto"/>
          </w:tcPr>
          <w:p w14:paraId="75EE5FFB" w14:textId="77777777" w:rsidR="00C15C65" w:rsidRPr="002029AF" w:rsidRDefault="00C15C65" w:rsidP="0014376C">
            <w:pPr>
              <w:pStyle w:val="ARtabletextright"/>
            </w:pPr>
            <w:r w:rsidRPr="002029AF">
              <w:t>13.2</w:t>
            </w:r>
          </w:p>
        </w:tc>
        <w:tc>
          <w:tcPr>
            <w:tcW w:w="796" w:type="dxa"/>
            <w:tcBorders>
              <w:top w:val="single" w:sz="4" w:space="0" w:color="BFBFBF"/>
            </w:tcBorders>
            <w:shd w:val="clear" w:color="auto" w:fill="auto"/>
            <w:hideMark/>
          </w:tcPr>
          <w:p w14:paraId="54E50E07"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0A1147CA" w14:textId="77777777" w:rsidTr="00192EEE">
        <w:trPr>
          <w:gridAfter w:val="1"/>
          <w:wAfter w:w="6" w:type="dxa"/>
          <w:cantSplit/>
        </w:trPr>
        <w:tc>
          <w:tcPr>
            <w:tcW w:w="9633" w:type="dxa"/>
            <w:gridSpan w:val="6"/>
            <w:tcBorders>
              <w:bottom w:val="single" w:sz="4" w:space="0" w:color="BFBFBF"/>
            </w:tcBorders>
            <w:shd w:val="clear" w:color="auto" w:fill="auto"/>
            <w:noWrap/>
            <w:hideMark/>
          </w:tcPr>
          <w:p w14:paraId="36237A22" w14:textId="788988B2" w:rsidR="00C15C65" w:rsidRPr="002029AF" w:rsidRDefault="00C15C65" w:rsidP="002C5190">
            <w:pPr>
              <w:pStyle w:val="ARtablenoteindent"/>
            </w:pPr>
            <w:r w:rsidRPr="002029AF">
              <w:t>Clinical</w:t>
            </w:r>
            <w:r w:rsidR="000A5329" w:rsidRPr="002029AF">
              <w:t xml:space="preserve"> </w:t>
            </w:r>
            <w:r w:rsidRPr="002029AF">
              <w:t>placement</w:t>
            </w:r>
            <w:r w:rsidR="000A5329" w:rsidRPr="002029AF">
              <w:t xml:space="preserve"> </w:t>
            </w:r>
            <w:r w:rsidRPr="002029AF">
              <w:t>days</w:t>
            </w:r>
            <w:r w:rsidR="000A5329" w:rsidRPr="002029AF">
              <w:t xml:space="preserve"> </w:t>
            </w:r>
            <w:r w:rsidRPr="002029AF">
              <w:t>are</w:t>
            </w:r>
            <w:r w:rsidR="000A5329" w:rsidRPr="002029AF">
              <w:t xml:space="preserve"> </w:t>
            </w:r>
            <w:r w:rsidRPr="002029AF">
              <w:t>a</w:t>
            </w:r>
            <w:r w:rsidR="000A5329" w:rsidRPr="002029AF">
              <w:t xml:space="preserve"> </w:t>
            </w:r>
            <w:r w:rsidRPr="002029AF">
              <w:t>demand-based</w:t>
            </w:r>
            <w:r w:rsidR="000A5329" w:rsidRPr="002029AF">
              <w:t xml:space="preserve"> </w:t>
            </w:r>
            <w:r w:rsidRPr="002029AF">
              <w:t>measure.</w:t>
            </w:r>
          </w:p>
        </w:tc>
      </w:tr>
      <w:tr w:rsidR="00C15C65" w:rsidRPr="002029AF" w14:paraId="05D650BD" w14:textId="77777777" w:rsidTr="00192EEE">
        <w:trPr>
          <w:gridAfter w:val="1"/>
          <w:wAfter w:w="6" w:type="dxa"/>
          <w:cantSplit/>
        </w:trPr>
        <w:tc>
          <w:tcPr>
            <w:tcW w:w="4756" w:type="dxa"/>
            <w:tcBorders>
              <w:top w:val="single" w:sz="4" w:space="0" w:color="BFBFBF"/>
              <w:bottom w:val="single" w:sz="4" w:space="0" w:color="BFBFBF"/>
            </w:tcBorders>
            <w:shd w:val="clear" w:color="auto" w:fill="auto"/>
            <w:hideMark/>
          </w:tcPr>
          <w:p w14:paraId="53FBD744" w14:textId="57ECBC5D" w:rsidR="00C15C65" w:rsidRPr="002029AF" w:rsidRDefault="00C15C65" w:rsidP="00C40F5D">
            <w:pPr>
              <w:pStyle w:val="ARtabletext"/>
            </w:pPr>
            <w:r w:rsidRPr="002029AF">
              <w:t>Clinical</w:t>
            </w:r>
            <w:r w:rsidR="000A5329" w:rsidRPr="002029AF">
              <w:t xml:space="preserve"> </w:t>
            </w:r>
            <w:r w:rsidRPr="002029AF">
              <w:t>placement</w:t>
            </w:r>
            <w:r w:rsidR="000A5329" w:rsidRPr="002029AF">
              <w:t xml:space="preserve"> </w:t>
            </w:r>
            <w:r w:rsidRPr="002029AF">
              <w:t>student</w:t>
            </w:r>
            <w:r w:rsidR="000A5329" w:rsidRPr="002029AF">
              <w:t xml:space="preserve"> </w:t>
            </w:r>
            <w:r w:rsidRPr="002029AF">
              <w:t>days</w:t>
            </w:r>
            <w:r w:rsidR="000A5329" w:rsidRPr="002029AF">
              <w:t xml:space="preserve"> </w:t>
            </w:r>
            <w:r w:rsidRPr="002029AF">
              <w:t>(allied</w:t>
            </w:r>
            <w:r w:rsidR="000A5329" w:rsidRPr="002029AF">
              <w:t xml:space="preserve"> </w:t>
            </w:r>
            <w:r w:rsidRPr="002029AF">
              <w:t>health)</w:t>
            </w:r>
          </w:p>
        </w:tc>
        <w:tc>
          <w:tcPr>
            <w:tcW w:w="1019" w:type="dxa"/>
            <w:tcBorders>
              <w:top w:val="single" w:sz="4" w:space="0" w:color="BFBFBF"/>
              <w:bottom w:val="single" w:sz="4" w:space="0" w:color="BFBFBF"/>
            </w:tcBorders>
            <w:shd w:val="clear" w:color="auto" w:fill="auto"/>
            <w:hideMark/>
          </w:tcPr>
          <w:p w14:paraId="7F7E1F18" w14:textId="77777777" w:rsidR="00C15C65" w:rsidRPr="002029AF" w:rsidRDefault="00C15C65" w:rsidP="00C40F5D">
            <w:pPr>
              <w:pStyle w:val="ARtabletext"/>
            </w:pPr>
            <w:r w:rsidRPr="002029AF">
              <w:t>number</w:t>
            </w:r>
          </w:p>
        </w:tc>
        <w:tc>
          <w:tcPr>
            <w:tcW w:w="1020" w:type="dxa"/>
            <w:tcBorders>
              <w:top w:val="single" w:sz="4" w:space="0" w:color="BFBFBF"/>
              <w:bottom w:val="single" w:sz="4" w:space="0" w:color="BFBFBF"/>
            </w:tcBorders>
            <w:shd w:val="clear" w:color="auto" w:fill="auto"/>
            <w:hideMark/>
          </w:tcPr>
          <w:p w14:paraId="247BE24B" w14:textId="77777777" w:rsidR="00C15C65" w:rsidRPr="002029AF" w:rsidRDefault="00C15C65" w:rsidP="0014376C">
            <w:pPr>
              <w:pStyle w:val="ARtabletextright"/>
            </w:pPr>
            <w:r w:rsidRPr="002029AF">
              <w:t>160,000</w:t>
            </w:r>
          </w:p>
        </w:tc>
        <w:tc>
          <w:tcPr>
            <w:tcW w:w="1020" w:type="dxa"/>
            <w:tcBorders>
              <w:top w:val="single" w:sz="4" w:space="0" w:color="BFBFBF"/>
              <w:bottom w:val="single" w:sz="4" w:space="0" w:color="BFBFBF"/>
            </w:tcBorders>
            <w:shd w:val="clear" w:color="auto" w:fill="auto"/>
            <w:hideMark/>
          </w:tcPr>
          <w:p w14:paraId="3FA5136A" w14:textId="77777777" w:rsidR="00C15C65" w:rsidRPr="002029AF" w:rsidRDefault="00C15C65" w:rsidP="0014376C">
            <w:pPr>
              <w:pStyle w:val="ARtabletextright"/>
            </w:pPr>
            <w:r w:rsidRPr="002029AF">
              <w:t>159,172</w:t>
            </w:r>
          </w:p>
        </w:tc>
        <w:tc>
          <w:tcPr>
            <w:tcW w:w="1022" w:type="dxa"/>
            <w:tcBorders>
              <w:top w:val="single" w:sz="4" w:space="0" w:color="BFBFBF"/>
              <w:bottom w:val="single" w:sz="4" w:space="0" w:color="BFBFBF"/>
            </w:tcBorders>
            <w:shd w:val="clear" w:color="auto" w:fill="auto"/>
          </w:tcPr>
          <w:p w14:paraId="3AE69DE1" w14:textId="77777777" w:rsidR="00C15C65" w:rsidRPr="002029AF" w:rsidRDefault="00C15C65" w:rsidP="0014376C">
            <w:pPr>
              <w:pStyle w:val="ARtabletextright"/>
            </w:pPr>
            <w:r w:rsidRPr="002029AF">
              <w:t>-0.5</w:t>
            </w:r>
          </w:p>
        </w:tc>
        <w:tc>
          <w:tcPr>
            <w:tcW w:w="796" w:type="dxa"/>
            <w:tcBorders>
              <w:top w:val="single" w:sz="4" w:space="0" w:color="BFBFBF"/>
              <w:bottom w:val="single" w:sz="4" w:space="0" w:color="BFBFBF"/>
            </w:tcBorders>
            <w:shd w:val="clear" w:color="auto" w:fill="auto"/>
            <w:hideMark/>
          </w:tcPr>
          <w:p w14:paraId="3C438872" w14:textId="29E6F146" w:rsidR="00C15C65" w:rsidRPr="002029AF" w:rsidRDefault="003A6C3B" w:rsidP="000F6867">
            <w:pPr>
              <w:pStyle w:val="ARtableperformancesymbol"/>
              <w:rPr>
                <w:rFonts w:hint="eastAsia"/>
                <w:lang w:val="en-AU"/>
              </w:rPr>
            </w:pPr>
            <w:r w:rsidRPr="002029AF">
              <w:rPr>
                <w:lang w:val="en-AU"/>
              </w:rPr>
              <w:t>□</w:t>
            </w:r>
          </w:p>
        </w:tc>
      </w:tr>
      <w:tr w:rsidR="00C15C65" w:rsidRPr="002029AF" w14:paraId="009EABE5" w14:textId="77777777" w:rsidTr="00192EEE">
        <w:trPr>
          <w:gridAfter w:val="1"/>
          <w:wAfter w:w="6" w:type="dxa"/>
          <w:cantSplit/>
        </w:trPr>
        <w:tc>
          <w:tcPr>
            <w:tcW w:w="4756" w:type="dxa"/>
            <w:tcBorders>
              <w:top w:val="single" w:sz="4" w:space="0" w:color="BFBFBF"/>
            </w:tcBorders>
            <w:shd w:val="clear" w:color="auto" w:fill="auto"/>
            <w:hideMark/>
          </w:tcPr>
          <w:p w14:paraId="09E4158A" w14:textId="2F4ECC09" w:rsidR="00C15C65" w:rsidRPr="002029AF" w:rsidRDefault="00C15C65" w:rsidP="00C40F5D">
            <w:pPr>
              <w:pStyle w:val="ARtabletext"/>
            </w:pPr>
            <w:r w:rsidRPr="002029AF">
              <w:t>Number</w:t>
            </w:r>
            <w:r w:rsidR="000A5329" w:rsidRPr="002029AF">
              <w:t xml:space="preserve"> </w:t>
            </w:r>
            <w:r w:rsidRPr="002029AF">
              <w:t>of</w:t>
            </w:r>
            <w:r w:rsidR="000A5329" w:rsidRPr="002029AF">
              <w:t xml:space="preserve"> </w:t>
            </w:r>
            <w:r w:rsidRPr="002029AF">
              <w:t>filled</w:t>
            </w:r>
            <w:r w:rsidR="000A5329" w:rsidRPr="002029AF">
              <w:t xml:space="preserve"> </w:t>
            </w:r>
            <w:r w:rsidRPr="002029AF">
              <w:t>rural</w:t>
            </w:r>
            <w:r w:rsidR="000A5329" w:rsidRPr="002029AF">
              <w:t xml:space="preserve"> </w:t>
            </w:r>
            <w:r w:rsidRPr="002029AF">
              <w:t>generalist</w:t>
            </w:r>
            <w:r w:rsidR="000A5329" w:rsidRPr="002029AF">
              <w:t xml:space="preserve"> </w:t>
            </w:r>
            <w:r w:rsidRPr="002029AF">
              <w:t>GP</w:t>
            </w:r>
            <w:r w:rsidR="000A5329" w:rsidRPr="002029AF">
              <w:t xml:space="preserve"> </w:t>
            </w:r>
            <w:r w:rsidRPr="002029AF">
              <w:t>procedural</w:t>
            </w:r>
            <w:r w:rsidR="000A5329" w:rsidRPr="002029AF">
              <w:t xml:space="preserve"> </w:t>
            </w:r>
            <w:r w:rsidRPr="002029AF">
              <w:t>positions</w:t>
            </w:r>
          </w:p>
        </w:tc>
        <w:tc>
          <w:tcPr>
            <w:tcW w:w="1019" w:type="dxa"/>
            <w:tcBorders>
              <w:top w:val="single" w:sz="4" w:space="0" w:color="BFBFBF"/>
            </w:tcBorders>
            <w:shd w:val="clear" w:color="auto" w:fill="auto"/>
            <w:hideMark/>
          </w:tcPr>
          <w:p w14:paraId="0E1B0F6D" w14:textId="77777777" w:rsidR="00C15C65" w:rsidRPr="002029AF" w:rsidRDefault="00C15C65" w:rsidP="00C40F5D">
            <w:pPr>
              <w:pStyle w:val="ARtabletext"/>
            </w:pPr>
            <w:r w:rsidRPr="002029AF">
              <w:t>number</w:t>
            </w:r>
          </w:p>
        </w:tc>
        <w:tc>
          <w:tcPr>
            <w:tcW w:w="1020" w:type="dxa"/>
            <w:tcBorders>
              <w:top w:val="single" w:sz="4" w:space="0" w:color="BFBFBF"/>
            </w:tcBorders>
            <w:shd w:val="clear" w:color="auto" w:fill="auto"/>
            <w:hideMark/>
          </w:tcPr>
          <w:p w14:paraId="3F2B763B" w14:textId="77777777" w:rsidR="00C15C65" w:rsidRPr="002029AF" w:rsidRDefault="00C15C65" w:rsidP="0014376C">
            <w:pPr>
              <w:pStyle w:val="ARtabletextright"/>
            </w:pPr>
            <w:r w:rsidRPr="002029AF">
              <w:t>15</w:t>
            </w:r>
          </w:p>
        </w:tc>
        <w:tc>
          <w:tcPr>
            <w:tcW w:w="1020" w:type="dxa"/>
            <w:tcBorders>
              <w:top w:val="single" w:sz="4" w:space="0" w:color="BFBFBF"/>
            </w:tcBorders>
            <w:shd w:val="clear" w:color="auto" w:fill="auto"/>
            <w:hideMark/>
          </w:tcPr>
          <w:p w14:paraId="016380AA" w14:textId="77777777" w:rsidR="00C15C65" w:rsidRPr="002029AF" w:rsidRDefault="00C15C65" w:rsidP="0014376C">
            <w:pPr>
              <w:pStyle w:val="ARtabletextright"/>
            </w:pPr>
            <w:r w:rsidRPr="002029AF">
              <w:t>15</w:t>
            </w:r>
          </w:p>
        </w:tc>
        <w:tc>
          <w:tcPr>
            <w:tcW w:w="1022" w:type="dxa"/>
            <w:tcBorders>
              <w:top w:val="single" w:sz="4" w:space="0" w:color="BFBFBF"/>
            </w:tcBorders>
            <w:shd w:val="clear" w:color="auto" w:fill="auto"/>
          </w:tcPr>
          <w:p w14:paraId="614BBB52" w14:textId="77777777" w:rsidR="00C15C65" w:rsidRPr="002029AF" w:rsidRDefault="00C15C65" w:rsidP="0014376C">
            <w:pPr>
              <w:pStyle w:val="ARtabletextright"/>
            </w:pPr>
            <w:r w:rsidRPr="002029AF">
              <w:t>0.0</w:t>
            </w:r>
          </w:p>
        </w:tc>
        <w:tc>
          <w:tcPr>
            <w:tcW w:w="796" w:type="dxa"/>
            <w:tcBorders>
              <w:top w:val="single" w:sz="4" w:space="0" w:color="BFBFBF"/>
            </w:tcBorders>
            <w:shd w:val="clear" w:color="auto" w:fill="auto"/>
            <w:hideMark/>
          </w:tcPr>
          <w:p w14:paraId="315E1028"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2D835354" w14:textId="77777777" w:rsidTr="00192EEE">
        <w:trPr>
          <w:gridAfter w:val="1"/>
          <w:wAfter w:w="6" w:type="dxa"/>
          <w:cantSplit/>
        </w:trPr>
        <w:tc>
          <w:tcPr>
            <w:tcW w:w="9633" w:type="dxa"/>
            <w:gridSpan w:val="6"/>
            <w:tcBorders>
              <w:bottom w:val="single" w:sz="4" w:space="0" w:color="BFBFBF"/>
            </w:tcBorders>
            <w:shd w:val="clear" w:color="auto" w:fill="auto"/>
            <w:noWrap/>
            <w:hideMark/>
          </w:tcPr>
          <w:p w14:paraId="6235301A" w14:textId="439D7534" w:rsidR="00C15C65" w:rsidRPr="002029AF" w:rsidRDefault="00C15C65" w:rsidP="002C5190">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by</w:t>
            </w:r>
            <w:r w:rsidR="000A5329" w:rsidRPr="002029AF">
              <w:t xml:space="preserve"> </w:t>
            </w:r>
            <w:r w:rsidRPr="002029AF">
              <w:t>late</w:t>
            </w:r>
            <w:r w:rsidR="000A5329" w:rsidRPr="002029AF">
              <w:t xml:space="preserve"> </w:t>
            </w:r>
            <w:r w:rsidRPr="002029AF">
              <w:t>2020.</w:t>
            </w:r>
          </w:p>
        </w:tc>
      </w:tr>
      <w:tr w:rsidR="00C15C65" w:rsidRPr="002029AF" w14:paraId="7EA55509" w14:textId="77777777" w:rsidTr="00192EEE">
        <w:trPr>
          <w:gridAfter w:val="1"/>
          <w:wAfter w:w="6" w:type="dxa"/>
          <w:cantSplit/>
        </w:trPr>
        <w:tc>
          <w:tcPr>
            <w:tcW w:w="4756" w:type="dxa"/>
            <w:shd w:val="clear" w:color="auto" w:fill="auto"/>
            <w:hideMark/>
          </w:tcPr>
          <w:p w14:paraId="22208274" w14:textId="10C3103A" w:rsidR="00C15C65" w:rsidRPr="002029AF" w:rsidRDefault="00C15C65" w:rsidP="00CA3123">
            <w:pPr>
              <w:pStyle w:val="ARtabletext"/>
              <w:keepNext/>
            </w:pPr>
            <w:r w:rsidRPr="002029AF">
              <w:t>Funded</w:t>
            </w:r>
            <w:r w:rsidR="000A5329" w:rsidRPr="002029AF">
              <w:t xml:space="preserve"> </w:t>
            </w:r>
            <w:r w:rsidRPr="002029AF">
              <w:t>post</w:t>
            </w:r>
            <w:r w:rsidR="000A5329" w:rsidRPr="002029AF">
              <w:t xml:space="preserve"> </w:t>
            </w:r>
            <w:r w:rsidRPr="002029AF">
              <w:t>graduate</w:t>
            </w:r>
            <w:r w:rsidR="000A5329" w:rsidRPr="002029AF">
              <w:t xml:space="preserve"> </w:t>
            </w:r>
            <w:r w:rsidRPr="002029AF">
              <w:t>nursing</w:t>
            </w:r>
            <w:r w:rsidR="000A5329" w:rsidRPr="002029AF">
              <w:t xml:space="preserve"> </w:t>
            </w:r>
            <w:r w:rsidRPr="002029AF">
              <w:t>and</w:t>
            </w:r>
            <w:r w:rsidR="000A5329" w:rsidRPr="002029AF">
              <w:t xml:space="preserve"> </w:t>
            </w:r>
            <w:r w:rsidRPr="002029AF">
              <w:t>midwifery</w:t>
            </w:r>
            <w:r w:rsidR="000A5329" w:rsidRPr="002029AF">
              <w:t xml:space="preserve"> </w:t>
            </w:r>
            <w:r w:rsidRPr="002029AF">
              <w:t>places</w:t>
            </w:r>
            <w:r w:rsidR="000A5329" w:rsidRPr="002029AF">
              <w:t xml:space="preserve"> </w:t>
            </w:r>
            <w:r w:rsidRPr="002029AF">
              <w:t>at</w:t>
            </w:r>
            <w:r w:rsidR="000A5329" w:rsidRPr="002029AF">
              <w:t xml:space="preserve"> </w:t>
            </w:r>
            <w:r w:rsidRPr="002029AF">
              <w:t>Diploma</w:t>
            </w:r>
            <w:r w:rsidR="000A5329" w:rsidRPr="002029AF">
              <w:t xml:space="preserve"> </w:t>
            </w:r>
            <w:r w:rsidRPr="002029AF">
              <w:t>and</w:t>
            </w:r>
            <w:r w:rsidR="000A5329" w:rsidRPr="002029AF">
              <w:t xml:space="preserve"> </w:t>
            </w:r>
            <w:r w:rsidRPr="002029AF">
              <w:t>Certificate</w:t>
            </w:r>
            <w:r w:rsidR="000A5329" w:rsidRPr="002029AF">
              <w:t xml:space="preserve"> </w:t>
            </w:r>
            <w:r w:rsidRPr="002029AF">
              <w:t>level</w:t>
            </w:r>
          </w:p>
        </w:tc>
        <w:tc>
          <w:tcPr>
            <w:tcW w:w="1019" w:type="dxa"/>
            <w:shd w:val="clear" w:color="auto" w:fill="auto"/>
            <w:hideMark/>
          </w:tcPr>
          <w:p w14:paraId="543953D0" w14:textId="77777777" w:rsidR="00C15C65" w:rsidRPr="002029AF" w:rsidRDefault="00C15C65" w:rsidP="00C40F5D">
            <w:pPr>
              <w:pStyle w:val="ARtabletext"/>
            </w:pPr>
            <w:r w:rsidRPr="002029AF">
              <w:t>number</w:t>
            </w:r>
          </w:p>
        </w:tc>
        <w:tc>
          <w:tcPr>
            <w:tcW w:w="1020" w:type="dxa"/>
            <w:shd w:val="clear" w:color="auto" w:fill="auto"/>
            <w:hideMark/>
          </w:tcPr>
          <w:p w14:paraId="36512AD4" w14:textId="77777777" w:rsidR="00C15C65" w:rsidRPr="002029AF" w:rsidRDefault="00C15C65" w:rsidP="0014376C">
            <w:pPr>
              <w:pStyle w:val="ARtabletextright"/>
            </w:pPr>
            <w:r w:rsidRPr="002029AF">
              <w:t>1,077</w:t>
            </w:r>
          </w:p>
        </w:tc>
        <w:tc>
          <w:tcPr>
            <w:tcW w:w="1020" w:type="dxa"/>
            <w:shd w:val="clear" w:color="auto" w:fill="auto"/>
            <w:hideMark/>
          </w:tcPr>
          <w:p w14:paraId="62E4DFCE" w14:textId="77777777" w:rsidR="00C15C65" w:rsidRPr="002029AF" w:rsidRDefault="00C15C65" w:rsidP="0014376C">
            <w:pPr>
              <w:pStyle w:val="ARtabletextright"/>
            </w:pPr>
            <w:r w:rsidRPr="002029AF">
              <w:t>1,077</w:t>
            </w:r>
          </w:p>
        </w:tc>
        <w:tc>
          <w:tcPr>
            <w:tcW w:w="1022" w:type="dxa"/>
            <w:shd w:val="clear" w:color="auto" w:fill="auto"/>
          </w:tcPr>
          <w:p w14:paraId="016AC50C" w14:textId="77777777" w:rsidR="00C15C65" w:rsidRPr="002029AF" w:rsidRDefault="00C15C65" w:rsidP="0014376C">
            <w:pPr>
              <w:pStyle w:val="ARtabletextright"/>
            </w:pPr>
            <w:r w:rsidRPr="002029AF">
              <w:t>0.0</w:t>
            </w:r>
          </w:p>
        </w:tc>
        <w:tc>
          <w:tcPr>
            <w:tcW w:w="796" w:type="dxa"/>
            <w:shd w:val="clear" w:color="auto" w:fill="auto"/>
            <w:hideMark/>
          </w:tcPr>
          <w:p w14:paraId="7815FD5A"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7C5DF737" w14:textId="77777777" w:rsidTr="00192EEE">
        <w:trPr>
          <w:gridAfter w:val="1"/>
          <w:wAfter w:w="6" w:type="dxa"/>
          <w:cantSplit/>
        </w:trPr>
        <w:tc>
          <w:tcPr>
            <w:tcW w:w="9633" w:type="dxa"/>
            <w:gridSpan w:val="6"/>
            <w:tcBorders>
              <w:bottom w:val="single" w:sz="4" w:space="0" w:color="BFBFBF"/>
            </w:tcBorders>
            <w:shd w:val="clear" w:color="auto" w:fill="auto"/>
            <w:noWrap/>
            <w:hideMark/>
          </w:tcPr>
          <w:p w14:paraId="27BC42DE" w14:textId="42F409DE" w:rsidR="00C15C65" w:rsidRPr="002029AF" w:rsidRDefault="00C15C65" w:rsidP="002C5190">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by</w:t>
            </w:r>
            <w:r w:rsidR="000A5329" w:rsidRPr="002029AF">
              <w:t xml:space="preserve"> </w:t>
            </w:r>
            <w:r w:rsidRPr="002029AF">
              <w:t>late</w:t>
            </w:r>
            <w:r w:rsidR="000A5329" w:rsidRPr="002029AF">
              <w:t xml:space="preserve"> </w:t>
            </w:r>
            <w:r w:rsidRPr="002029AF">
              <w:t>2020.</w:t>
            </w:r>
          </w:p>
        </w:tc>
      </w:tr>
      <w:tr w:rsidR="00C15C65" w:rsidRPr="002029AF" w14:paraId="3C535EB1" w14:textId="77777777" w:rsidTr="00192EEE">
        <w:trPr>
          <w:gridAfter w:val="1"/>
          <w:wAfter w:w="6" w:type="dxa"/>
          <w:cantSplit/>
        </w:trPr>
        <w:tc>
          <w:tcPr>
            <w:tcW w:w="4756" w:type="dxa"/>
            <w:shd w:val="clear" w:color="auto" w:fill="auto"/>
            <w:hideMark/>
          </w:tcPr>
          <w:p w14:paraId="3BE1FE81" w14:textId="6F30FCAF" w:rsidR="00C15C65" w:rsidRPr="002029AF" w:rsidRDefault="00C15C65" w:rsidP="00C40F5D">
            <w:pPr>
              <w:pStyle w:val="ARtabletext"/>
            </w:pPr>
            <w:r w:rsidRPr="002029AF">
              <w:t>Total</w:t>
            </w:r>
            <w:r w:rsidR="000A5329" w:rsidRPr="002029AF">
              <w:t xml:space="preserve"> </w:t>
            </w:r>
            <w:r w:rsidRPr="002029AF">
              <w:t>funded</w:t>
            </w:r>
            <w:r w:rsidR="000A5329" w:rsidRPr="002029AF">
              <w:t xml:space="preserve"> </w:t>
            </w:r>
            <w:r w:rsidRPr="002029AF">
              <w:t>FTE</w:t>
            </w:r>
            <w:r w:rsidR="000A5329" w:rsidRPr="002029AF">
              <w:t xml:space="preserve"> </w:t>
            </w:r>
            <w:r w:rsidRPr="002029AF">
              <w:t>(early</w:t>
            </w:r>
            <w:r w:rsidR="000A5329" w:rsidRPr="002029AF">
              <w:t xml:space="preserve"> </w:t>
            </w:r>
            <w:r w:rsidRPr="002029AF">
              <w:t>graduate)</w:t>
            </w:r>
            <w:r w:rsidR="000A5329" w:rsidRPr="002029AF">
              <w:t xml:space="preserve"> </w:t>
            </w:r>
            <w:r w:rsidRPr="002029AF">
              <w:t>allied</w:t>
            </w:r>
            <w:r w:rsidR="000A5329" w:rsidRPr="002029AF">
              <w:t xml:space="preserve"> </w:t>
            </w:r>
            <w:r w:rsidRPr="002029AF">
              <w:t>health</w:t>
            </w:r>
            <w:r w:rsidR="000A5329" w:rsidRPr="002029AF">
              <w:t xml:space="preserve"> </w:t>
            </w:r>
            <w:r w:rsidRPr="002029AF">
              <w:t>positions</w:t>
            </w:r>
            <w:r w:rsidR="000A5329" w:rsidRPr="002029AF">
              <w:t xml:space="preserve"> </w:t>
            </w:r>
            <w:r w:rsidRPr="002029AF">
              <w:t>in</w:t>
            </w:r>
            <w:r w:rsidR="000A5329" w:rsidRPr="002029AF">
              <w:t xml:space="preserve"> </w:t>
            </w:r>
            <w:r w:rsidRPr="002029AF">
              <w:t>public</w:t>
            </w:r>
            <w:r w:rsidR="000A5329" w:rsidRPr="002029AF">
              <w:t xml:space="preserve"> </w:t>
            </w:r>
            <w:r w:rsidRPr="002029AF">
              <w:t>system</w:t>
            </w:r>
          </w:p>
        </w:tc>
        <w:tc>
          <w:tcPr>
            <w:tcW w:w="1019" w:type="dxa"/>
            <w:shd w:val="clear" w:color="auto" w:fill="auto"/>
            <w:hideMark/>
          </w:tcPr>
          <w:p w14:paraId="67ED68B6" w14:textId="77777777" w:rsidR="00C15C65" w:rsidRPr="002029AF" w:rsidRDefault="00C15C65" w:rsidP="00C40F5D">
            <w:pPr>
              <w:pStyle w:val="ARtabletext"/>
            </w:pPr>
            <w:r w:rsidRPr="002029AF">
              <w:t>number</w:t>
            </w:r>
          </w:p>
        </w:tc>
        <w:tc>
          <w:tcPr>
            <w:tcW w:w="1020" w:type="dxa"/>
            <w:shd w:val="clear" w:color="auto" w:fill="auto"/>
            <w:hideMark/>
          </w:tcPr>
          <w:p w14:paraId="19D703C2" w14:textId="77777777" w:rsidR="00C15C65" w:rsidRPr="002029AF" w:rsidRDefault="00C15C65" w:rsidP="0014376C">
            <w:pPr>
              <w:pStyle w:val="ARtabletextright"/>
            </w:pPr>
            <w:r w:rsidRPr="002029AF">
              <w:t>700</w:t>
            </w:r>
          </w:p>
        </w:tc>
        <w:tc>
          <w:tcPr>
            <w:tcW w:w="1020" w:type="dxa"/>
            <w:shd w:val="clear" w:color="auto" w:fill="auto"/>
            <w:hideMark/>
          </w:tcPr>
          <w:p w14:paraId="68B7E3B2" w14:textId="77777777" w:rsidR="00C15C65" w:rsidRPr="002029AF" w:rsidRDefault="00C15C65" w:rsidP="0014376C">
            <w:pPr>
              <w:pStyle w:val="ARtabletextright"/>
            </w:pPr>
            <w:r w:rsidRPr="002029AF">
              <w:t>691</w:t>
            </w:r>
          </w:p>
        </w:tc>
        <w:tc>
          <w:tcPr>
            <w:tcW w:w="1022" w:type="dxa"/>
            <w:shd w:val="clear" w:color="auto" w:fill="auto"/>
          </w:tcPr>
          <w:p w14:paraId="71A702AC" w14:textId="77777777" w:rsidR="00C15C65" w:rsidRPr="002029AF" w:rsidRDefault="00C15C65" w:rsidP="0014376C">
            <w:pPr>
              <w:pStyle w:val="ARtabletextright"/>
            </w:pPr>
            <w:r w:rsidRPr="002029AF">
              <w:t>-1.3</w:t>
            </w:r>
          </w:p>
        </w:tc>
        <w:tc>
          <w:tcPr>
            <w:tcW w:w="796" w:type="dxa"/>
            <w:shd w:val="clear" w:color="auto" w:fill="auto"/>
            <w:hideMark/>
          </w:tcPr>
          <w:p w14:paraId="2F1E669D" w14:textId="1CCD92FC" w:rsidR="00C15C65" w:rsidRPr="002029AF" w:rsidRDefault="003A6C3B" w:rsidP="000F6867">
            <w:pPr>
              <w:pStyle w:val="ARtableperformancesymbol"/>
              <w:rPr>
                <w:rFonts w:hint="eastAsia"/>
                <w:lang w:val="en-AU"/>
              </w:rPr>
            </w:pPr>
            <w:r w:rsidRPr="002029AF">
              <w:rPr>
                <w:lang w:val="en-AU"/>
              </w:rPr>
              <w:t>□</w:t>
            </w:r>
          </w:p>
        </w:tc>
      </w:tr>
      <w:tr w:rsidR="00C15C65" w:rsidRPr="002029AF" w14:paraId="59E8A25D" w14:textId="77777777" w:rsidTr="00192EEE">
        <w:trPr>
          <w:gridAfter w:val="1"/>
          <w:wAfter w:w="6" w:type="dxa"/>
          <w:cantSplit/>
        </w:trPr>
        <w:tc>
          <w:tcPr>
            <w:tcW w:w="9633" w:type="dxa"/>
            <w:gridSpan w:val="6"/>
            <w:tcBorders>
              <w:bottom w:val="single" w:sz="4" w:space="0" w:color="BFBFBF"/>
            </w:tcBorders>
            <w:shd w:val="clear" w:color="auto" w:fill="auto"/>
            <w:noWrap/>
            <w:hideMark/>
          </w:tcPr>
          <w:p w14:paraId="656474FB" w14:textId="06C4F3CB" w:rsidR="00C15C65" w:rsidRPr="002029AF" w:rsidRDefault="00C15C65" w:rsidP="002C5190">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by</w:t>
            </w:r>
            <w:r w:rsidR="000A5329" w:rsidRPr="002029AF">
              <w:t xml:space="preserve"> </w:t>
            </w:r>
            <w:r w:rsidRPr="002029AF">
              <w:t>late</w:t>
            </w:r>
            <w:r w:rsidR="000A5329" w:rsidRPr="002029AF">
              <w:t xml:space="preserve"> </w:t>
            </w:r>
            <w:r w:rsidRPr="002029AF">
              <w:t>2020.</w:t>
            </w:r>
          </w:p>
        </w:tc>
      </w:tr>
      <w:tr w:rsidR="00C15C65" w:rsidRPr="002029AF" w14:paraId="36DBF15D" w14:textId="77777777" w:rsidTr="00192EEE">
        <w:trPr>
          <w:gridAfter w:val="1"/>
          <w:wAfter w:w="6" w:type="dxa"/>
          <w:cantSplit/>
        </w:trPr>
        <w:tc>
          <w:tcPr>
            <w:tcW w:w="4756" w:type="dxa"/>
            <w:shd w:val="clear" w:color="auto" w:fill="auto"/>
            <w:hideMark/>
          </w:tcPr>
          <w:p w14:paraId="4CA9BA2D" w14:textId="1B3CDA46" w:rsidR="00C15C65" w:rsidRPr="002029AF" w:rsidRDefault="00C15C65" w:rsidP="005A1160">
            <w:pPr>
              <w:pStyle w:val="ARtabletext"/>
              <w:keepNext/>
            </w:pPr>
            <w:r w:rsidRPr="002029AF">
              <w:lastRenderedPageBreak/>
              <w:t>Total</w:t>
            </w:r>
            <w:r w:rsidR="000A5329" w:rsidRPr="002029AF">
              <w:t xml:space="preserve"> </w:t>
            </w:r>
            <w:r w:rsidRPr="002029AF">
              <w:t>funded</w:t>
            </w:r>
            <w:r w:rsidR="000A5329" w:rsidRPr="002029AF">
              <w:t xml:space="preserve"> </w:t>
            </w:r>
            <w:r w:rsidRPr="002029AF">
              <w:t>FTE</w:t>
            </w:r>
            <w:r w:rsidR="000A5329" w:rsidRPr="002029AF">
              <w:t xml:space="preserve"> </w:t>
            </w:r>
            <w:r w:rsidRPr="002029AF">
              <w:t>(early</w:t>
            </w:r>
            <w:r w:rsidR="000A5329" w:rsidRPr="002029AF">
              <w:t xml:space="preserve"> </w:t>
            </w:r>
            <w:r w:rsidRPr="002029AF">
              <w:t>graduate)</w:t>
            </w:r>
            <w:r w:rsidR="000A5329" w:rsidRPr="002029AF">
              <w:t xml:space="preserve"> </w:t>
            </w:r>
            <w:r w:rsidRPr="002029AF">
              <w:t>medical</w:t>
            </w:r>
            <w:r w:rsidR="000A5329" w:rsidRPr="002029AF">
              <w:t xml:space="preserve"> </w:t>
            </w:r>
            <w:r w:rsidRPr="002029AF">
              <w:t>positions</w:t>
            </w:r>
            <w:r w:rsidR="000A5329" w:rsidRPr="002029AF">
              <w:t xml:space="preserve"> </w:t>
            </w:r>
            <w:r w:rsidRPr="002029AF">
              <w:t>in</w:t>
            </w:r>
            <w:r w:rsidR="000A5329" w:rsidRPr="002029AF">
              <w:t xml:space="preserve"> </w:t>
            </w:r>
            <w:r w:rsidRPr="002029AF">
              <w:t>public</w:t>
            </w:r>
            <w:r w:rsidR="000A5329" w:rsidRPr="002029AF">
              <w:t xml:space="preserve"> </w:t>
            </w:r>
            <w:r w:rsidRPr="002029AF">
              <w:t>system</w:t>
            </w:r>
          </w:p>
        </w:tc>
        <w:tc>
          <w:tcPr>
            <w:tcW w:w="1019" w:type="dxa"/>
            <w:shd w:val="clear" w:color="auto" w:fill="auto"/>
            <w:hideMark/>
          </w:tcPr>
          <w:p w14:paraId="26583BDF" w14:textId="77777777" w:rsidR="00C15C65" w:rsidRPr="002029AF" w:rsidRDefault="00C15C65" w:rsidP="00C40F5D">
            <w:pPr>
              <w:pStyle w:val="ARtabletext"/>
            </w:pPr>
            <w:r w:rsidRPr="002029AF">
              <w:t>number</w:t>
            </w:r>
          </w:p>
        </w:tc>
        <w:tc>
          <w:tcPr>
            <w:tcW w:w="1020" w:type="dxa"/>
            <w:shd w:val="clear" w:color="auto" w:fill="auto"/>
            <w:hideMark/>
          </w:tcPr>
          <w:p w14:paraId="21FDA697" w14:textId="77777777" w:rsidR="00C15C65" w:rsidRPr="002029AF" w:rsidRDefault="00C15C65" w:rsidP="0014376C">
            <w:pPr>
              <w:pStyle w:val="ARtabletextright"/>
            </w:pPr>
            <w:r w:rsidRPr="002029AF">
              <w:t>1,525</w:t>
            </w:r>
          </w:p>
        </w:tc>
        <w:tc>
          <w:tcPr>
            <w:tcW w:w="1020" w:type="dxa"/>
            <w:shd w:val="clear" w:color="auto" w:fill="auto"/>
            <w:hideMark/>
          </w:tcPr>
          <w:p w14:paraId="1AECBAC3" w14:textId="77777777" w:rsidR="00C15C65" w:rsidRPr="002029AF" w:rsidRDefault="00C15C65" w:rsidP="0014376C">
            <w:pPr>
              <w:pStyle w:val="ARtabletextright"/>
            </w:pPr>
            <w:r w:rsidRPr="002029AF">
              <w:t>1,525</w:t>
            </w:r>
          </w:p>
        </w:tc>
        <w:tc>
          <w:tcPr>
            <w:tcW w:w="1022" w:type="dxa"/>
            <w:shd w:val="clear" w:color="auto" w:fill="auto"/>
          </w:tcPr>
          <w:p w14:paraId="06C57E65" w14:textId="77777777" w:rsidR="00C15C65" w:rsidRPr="002029AF" w:rsidRDefault="00C15C65" w:rsidP="0014376C">
            <w:pPr>
              <w:pStyle w:val="ARtabletextright"/>
            </w:pPr>
            <w:r w:rsidRPr="002029AF">
              <w:t>0.0</w:t>
            </w:r>
          </w:p>
        </w:tc>
        <w:tc>
          <w:tcPr>
            <w:tcW w:w="796" w:type="dxa"/>
            <w:shd w:val="clear" w:color="auto" w:fill="auto"/>
            <w:hideMark/>
          </w:tcPr>
          <w:p w14:paraId="618E9AF7"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2EA3DD32" w14:textId="77777777" w:rsidTr="00192EEE">
        <w:trPr>
          <w:gridAfter w:val="1"/>
          <w:wAfter w:w="6" w:type="dxa"/>
          <w:cantSplit/>
        </w:trPr>
        <w:tc>
          <w:tcPr>
            <w:tcW w:w="9633" w:type="dxa"/>
            <w:gridSpan w:val="6"/>
            <w:tcBorders>
              <w:bottom w:val="single" w:sz="4" w:space="0" w:color="BFBFBF"/>
            </w:tcBorders>
            <w:shd w:val="clear" w:color="auto" w:fill="auto"/>
            <w:noWrap/>
            <w:hideMark/>
          </w:tcPr>
          <w:p w14:paraId="2EC74B63" w14:textId="5E7F70E7" w:rsidR="00C15C65" w:rsidRPr="002029AF" w:rsidRDefault="00C15C65" w:rsidP="002C5190">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by</w:t>
            </w:r>
            <w:r w:rsidR="000A5329" w:rsidRPr="002029AF">
              <w:t xml:space="preserve"> </w:t>
            </w:r>
            <w:r w:rsidRPr="002029AF">
              <w:t>late</w:t>
            </w:r>
            <w:r w:rsidR="000A5329" w:rsidRPr="002029AF">
              <w:t xml:space="preserve"> </w:t>
            </w:r>
            <w:r w:rsidRPr="002029AF">
              <w:t>2020.</w:t>
            </w:r>
          </w:p>
        </w:tc>
      </w:tr>
      <w:tr w:rsidR="00C15C65" w:rsidRPr="002029AF" w14:paraId="44FCE994" w14:textId="77777777" w:rsidTr="00192EEE">
        <w:trPr>
          <w:gridAfter w:val="1"/>
          <w:wAfter w:w="6" w:type="dxa"/>
          <w:cantSplit/>
        </w:trPr>
        <w:tc>
          <w:tcPr>
            <w:tcW w:w="4756" w:type="dxa"/>
            <w:shd w:val="clear" w:color="auto" w:fill="auto"/>
            <w:hideMark/>
          </w:tcPr>
          <w:p w14:paraId="5F69A4E6" w14:textId="3A652A65" w:rsidR="00C15C65" w:rsidRPr="002029AF" w:rsidRDefault="00C15C65" w:rsidP="00C40F5D">
            <w:pPr>
              <w:pStyle w:val="ARtabletext"/>
            </w:pPr>
            <w:r w:rsidRPr="002029AF">
              <w:t>Total</w:t>
            </w:r>
            <w:r w:rsidR="000A5329" w:rsidRPr="002029AF">
              <w:t xml:space="preserve"> </w:t>
            </w:r>
            <w:r w:rsidRPr="002029AF">
              <w:t>funded</w:t>
            </w:r>
            <w:r w:rsidR="000A5329" w:rsidRPr="002029AF">
              <w:t xml:space="preserve"> </w:t>
            </w:r>
            <w:r w:rsidRPr="002029AF">
              <w:t>FTE</w:t>
            </w:r>
            <w:r w:rsidR="000A5329" w:rsidRPr="002029AF">
              <w:t xml:space="preserve"> </w:t>
            </w:r>
            <w:r w:rsidRPr="002029AF">
              <w:t>(early</w:t>
            </w:r>
            <w:r w:rsidR="000A5329" w:rsidRPr="002029AF">
              <w:t xml:space="preserve"> </w:t>
            </w:r>
            <w:r w:rsidRPr="002029AF">
              <w:t>graduate)</w:t>
            </w:r>
            <w:r w:rsidR="000A5329" w:rsidRPr="002029AF">
              <w:t xml:space="preserve"> </w:t>
            </w:r>
            <w:r w:rsidRPr="002029AF">
              <w:t>nursing</w:t>
            </w:r>
            <w:r w:rsidR="000A5329" w:rsidRPr="002029AF">
              <w:t xml:space="preserve"> </w:t>
            </w:r>
            <w:r w:rsidRPr="002029AF">
              <w:t>and</w:t>
            </w:r>
            <w:r w:rsidR="000A5329" w:rsidRPr="002029AF">
              <w:t xml:space="preserve"> </w:t>
            </w:r>
            <w:r w:rsidRPr="002029AF">
              <w:t>midwifery</w:t>
            </w:r>
            <w:r w:rsidR="000A5329" w:rsidRPr="002029AF">
              <w:t xml:space="preserve"> </w:t>
            </w:r>
            <w:r w:rsidRPr="002029AF">
              <w:t>positions</w:t>
            </w:r>
            <w:r w:rsidR="000A5329" w:rsidRPr="002029AF">
              <w:t xml:space="preserve"> </w:t>
            </w:r>
            <w:r w:rsidRPr="002029AF">
              <w:t>in</w:t>
            </w:r>
            <w:r w:rsidR="000A5329" w:rsidRPr="002029AF">
              <w:t xml:space="preserve"> </w:t>
            </w:r>
            <w:r w:rsidRPr="002029AF">
              <w:t>public</w:t>
            </w:r>
            <w:r w:rsidR="000A5329" w:rsidRPr="002029AF">
              <w:t xml:space="preserve"> </w:t>
            </w:r>
            <w:r w:rsidRPr="002029AF">
              <w:t>system</w:t>
            </w:r>
          </w:p>
        </w:tc>
        <w:tc>
          <w:tcPr>
            <w:tcW w:w="1019" w:type="dxa"/>
            <w:shd w:val="clear" w:color="auto" w:fill="auto"/>
            <w:hideMark/>
          </w:tcPr>
          <w:p w14:paraId="72E7EE4F" w14:textId="77777777" w:rsidR="00C15C65" w:rsidRPr="002029AF" w:rsidRDefault="00C15C65" w:rsidP="00C40F5D">
            <w:pPr>
              <w:pStyle w:val="ARtabletext"/>
            </w:pPr>
            <w:r w:rsidRPr="002029AF">
              <w:t>number</w:t>
            </w:r>
          </w:p>
        </w:tc>
        <w:tc>
          <w:tcPr>
            <w:tcW w:w="1020" w:type="dxa"/>
            <w:shd w:val="clear" w:color="auto" w:fill="auto"/>
            <w:hideMark/>
          </w:tcPr>
          <w:p w14:paraId="46AE35F9" w14:textId="77777777" w:rsidR="00C15C65" w:rsidRPr="002029AF" w:rsidRDefault="00C15C65" w:rsidP="0014376C">
            <w:pPr>
              <w:pStyle w:val="ARtabletextright"/>
            </w:pPr>
            <w:r w:rsidRPr="002029AF">
              <w:t>1,956</w:t>
            </w:r>
          </w:p>
        </w:tc>
        <w:tc>
          <w:tcPr>
            <w:tcW w:w="1020" w:type="dxa"/>
            <w:shd w:val="clear" w:color="auto" w:fill="auto"/>
            <w:hideMark/>
          </w:tcPr>
          <w:p w14:paraId="2459733E" w14:textId="77777777" w:rsidR="00C15C65" w:rsidRPr="002029AF" w:rsidRDefault="00C15C65" w:rsidP="0014376C">
            <w:pPr>
              <w:pStyle w:val="ARtabletextright"/>
            </w:pPr>
            <w:r w:rsidRPr="002029AF">
              <w:t>1,956</w:t>
            </w:r>
          </w:p>
        </w:tc>
        <w:tc>
          <w:tcPr>
            <w:tcW w:w="1022" w:type="dxa"/>
            <w:shd w:val="clear" w:color="auto" w:fill="auto"/>
          </w:tcPr>
          <w:p w14:paraId="16A6C693" w14:textId="77777777" w:rsidR="00C15C65" w:rsidRPr="002029AF" w:rsidRDefault="00C15C65" w:rsidP="0014376C">
            <w:pPr>
              <w:pStyle w:val="ARtabletextright"/>
            </w:pPr>
            <w:r w:rsidRPr="002029AF">
              <w:t>0.0</w:t>
            </w:r>
          </w:p>
        </w:tc>
        <w:tc>
          <w:tcPr>
            <w:tcW w:w="796" w:type="dxa"/>
            <w:shd w:val="clear" w:color="auto" w:fill="auto"/>
            <w:hideMark/>
          </w:tcPr>
          <w:p w14:paraId="171CBFF5"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62EFCE72" w14:textId="77777777" w:rsidTr="00192EEE">
        <w:trPr>
          <w:gridAfter w:val="1"/>
          <w:wAfter w:w="6" w:type="dxa"/>
          <w:cantSplit/>
        </w:trPr>
        <w:tc>
          <w:tcPr>
            <w:tcW w:w="9633" w:type="dxa"/>
            <w:gridSpan w:val="6"/>
            <w:shd w:val="clear" w:color="auto" w:fill="auto"/>
          </w:tcPr>
          <w:p w14:paraId="3599A8DC" w14:textId="09079513" w:rsidR="00C15C65" w:rsidRPr="002029AF" w:rsidRDefault="00C15C65" w:rsidP="002C5190">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by</w:t>
            </w:r>
            <w:r w:rsidR="000A5329" w:rsidRPr="002029AF">
              <w:t xml:space="preserve"> </w:t>
            </w:r>
            <w:r w:rsidRPr="002029AF">
              <w:t>late</w:t>
            </w:r>
            <w:r w:rsidR="000A5329" w:rsidRPr="002029AF">
              <w:t xml:space="preserve"> </w:t>
            </w:r>
            <w:r w:rsidRPr="002029AF">
              <w:t>2020.</w:t>
            </w:r>
          </w:p>
        </w:tc>
      </w:tr>
      <w:tr w:rsidR="00C15C65" w:rsidRPr="002029AF" w14:paraId="53E0087D" w14:textId="77777777" w:rsidTr="00192EEE">
        <w:trPr>
          <w:cantSplit/>
        </w:trPr>
        <w:tc>
          <w:tcPr>
            <w:tcW w:w="9639" w:type="dxa"/>
            <w:gridSpan w:val="7"/>
            <w:tcBorders>
              <w:top w:val="single" w:sz="4" w:space="0" w:color="auto"/>
              <w:left w:val="nil"/>
              <w:bottom w:val="nil"/>
              <w:right w:val="nil"/>
            </w:tcBorders>
            <w:hideMark/>
          </w:tcPr>
          <w:p w14:paraId="24CFD30B" w14:textId="77777777" w:rsidR="00C15C65" w:rsidRPr="002029AF" w:rsidRDefault="00C15C65" w:rsidP="00D96AFD">
            <w:pPr>
              <w:pStyle w:val="ARtablegreybold"/>
            </w:pPr>
            <w:r w:rsidRPr="002029AF">
              <w:t>Quality</w:t>
            </w:r>
          </w:p>
        </w:tc>
      </w:tr>
      <w:tr w:rsidR="00C15C65" w:rsidRPr="002029AF" w14:paraId="5882D51A" w14:textId="77777777" w:rsidTr="00192EEE">
        <w:trPr>
          <w:gridAfter w:val="1"/>
          <w:wAfter w:w="6" w:type="dxa"/>
          <w:cantSplit/>
        </w:trPr>
        <w:tc>
          <w:tcPr>
            <w:tcW w:w="4756" w:type="dxa"/>
            <w:shd w:val="clear" w:color="auto" w:fill="auto"/>
            <w:hideMark/>
          </w:tcPr>
          <w:p w14:paraId="54B285CA" w14:textId="6122FAAF" w:rsidR="00C15C65" w:rsidRPr="002029AF" w:rsidRDefault="00C15C65" w:rsidP="00C40F5D">
            <w:pPr>
              <w:pStyle w:val="ARtabletext"/>
            </w:pPr>
            <w:r w:rsidRPr="002029AF">
              <w:t>Learner</w:t>
            </w:r>
            <w:r w:rsidR="000A5329" w:rsidRPr="002029AF">
              <w:t xml:space="preserve"> </w:t>
            </w:r>
            <w:r w:rsidRPr="002029AF">
              <w:t>satisfaction</w:t>
            </w:r>
            <w:r w:rsidR="000A5329" w:rsidRPr="002029AF">
              <w:t xml:space="preserve"> </w:t>
            </w:r>
            <w:r w:rsidRPr="002029AF">
              <w:t>about</w:t>
            </w:r>
            <w:r w:rsidR="000A5329" w:rsidRPr="002029AF">
              <w:t xml:space="preserve"> </w:t>
            </w:r>
            <w:r w:rsidRPr="002029AF">
              <w:t>their</w:t>
            </w:r>
            <w:r w:rsidR="000A5329" w:rsidRPr="002029AF">
              <w:t xml:space="preserve"> </w:t>
            </w:r>
            <w:r w:rsidRPr="002029AF">
              <w:t>feeling</w:t>
            </w:r>
            <w:r w:rsidR="000A5329" w:rsidRPr="002029AF">
              <w:t xml:space="preserve"> </w:t>
            </w:r>
            <w:r w:rsidRPr="002029AF">
              <w:t>of</w:t>
            </w:r>
            <w:r w:rsidR="000A5329" w:rsidRPr="002029AF">
              <w:t xml:space="preserve"> </w:t>
            </w:r>
            <w:r w:rsidRPr="002029AF">
              <w:t>safety</w:t>
            </w:r>
            <w:r w:rsidR="000A5329" w:rsidRPr="002029AF">
              <w:t xml:space="preserve"> </w:t>
            </w:r>
            <w:r w:rsidRPr="002029AF">
              <w:t>and</w:t>
            </w:r>
            <w:r w:rsidR="000A5329" w:rsidRPr="002029AF">
              <w:t xml:space="preserve"> </w:t>
            </w:r>
            <w:r w:rsidRPr="002029AF">
              <w:t>wellbeing</w:t>
            </w:r>
            <w:r w:rsidR="000A5329" w:rsidRPr="002029AF">
              <w:t xml:space="preserve"> </w:t>
            </w:r>
            <w:r w:rsidRPr="002029AF">
              <w:t>while</w:t>
            </w:r>
            <w:r w:rsidR="000A5329" w:rsidRPr="002029AF">
              <w:t xml:space="preserve"> </w:t>
            </w:r>
            <w:r w:rsidRPr="002029AF">
              <w:t>undertaking</w:t>
            </w:r>
            <w:r w:rsidR="000A5329" w:rsidRPr="002029AF">
              <w:t xml:space="preserve"> </w:t>
            </w:r>
            <w:r w:rsidRPr="002029AF">
              <w:t>their</w:t>
            </w:r>
            <w:r w:rsidR="000A5329" w:rsidRPr="002029AF">
              <w:t xml:space="preserve"> </w:t>
            </w:r>
            <w:r w:rsidRPr="002029AF">
              <w:t>program</w:t>
            </w:r>
            <w:r w:rsidR="000A5329" w:rsidRPr="002029AF">
              <w:t xml:space="preserve"> </w:t>
            </w:r>
            <w:r w:rsidRPr="002029AF">
              <w:t>of</w:t>
            </w:r>
            <w:r w:rsidR="000A5329" w:rsidRPr="002029AF">
              <w:t xml:space="preserve"> </w:t>
            </w:r>
            <w:r w:rsidRPr="002029AF">
              <w:t>study</w:t>
            </w:r>
            <w:r w:rsidR="000A5329" w:rsidRPr="002029AF">
              <w:t xml:space="preserve"> </w:t>
            </w:r>
            <w:r w:rsidRPr="002029AF">
              <w:t>at</w:t>
            </w:r>
            <w:r w:rsidR="000A5329" w:rsidRPr="002029AF">
              <w:t xml:space="preserve"> </w:t>
            </w:r>
            <w:r w:rsidRPr="002029AF">
              <w:t>health</w:t>
            </w:r>
            <w:r w:rsidR="000A5329" w:rsidRPr="002029AF">
              <w:t xml:space="preserve"> </w:t>
            </w:r>
            <w:r w:rsidRPr="002029AF">
              <w:t>services</w:t>
            </w:r>
          </w:p>
        </w:tc>
        <w:tc>
          <w:tcPr>
            <w:tcW w:w="1019" w:type="dxa"/>
            <w:shd w:val="clear" w:color="auto" w:fill="auto"/>
            <w:hideMark/>
          </w:tcPr>
          <w:p w14:paraId="5FC3832D" w14:textId="65FA3935" w:rsidR="00C15C65" w:rsidRPr="002029AF" w:rsidRDefault="00C15C65" w:rsidP="00C40F5D">
            <w:pPr>
              <w:pStyle w:val="ARtabletext"/>
            </w:pPr>
            <w:r w:rsidRPr="002029AF">
              <w:t>per</w:t>
            </w:r>
            <w:r w:rsidR="000A5329" w:rsidRPr="002029AF">
              <w:t xml:space="preserve"> </w:t>
            </w:r>
            <w:r w:rsidRPr="002029AF">
              <w:t>cent</w:t>
            </w:r>
          </w:p>
        </w:tc>
        <w:tc>
          <w:tcPr>
            <w:tcW w:w="1020" w:type="dxa"/>
            <w:shd w:val="clear" w:color="auto" w:fill="auto"/>
            <w:hideMark/>
          </w:tcPr>
          <w:p w14:paraId="6A8C4BA8" w14:textId="77777777" w:rsidR="00C15C65" w:rsidRPr="002029AF" w:rsidRDefault="00C15C65" w:rsidP="0014376C">
            <w:pPr>
              <w:pStyle w:val="ARtabletextright"/>
            </w:pPr>
            <w:r w:rsidRPr="002029AF">
              <w:t>80</w:t>
            </w:r>
          </w:p>
        </w:tc>
        <w:tc>
          <w:tcPr>
            <w:tcW w:w="1020" w:type="dxa"/>
            <w:shd w:val="clear" w:color="auto" w:fill="auto"/>
            <w:hideMark/>
          </w:tcPr>
          <w:p w14:paraId="233F64F8" w14:textId="77777777" w:rsidR="00C15C65" w:rsidRPr="002029AF" w:rsidRDefault="00C15C65" w:rsidP="0014376C">
            <w:pPr>
              <w:pStyle w:val="ARtabletextright"/>
            </w:pPr>
            <w:r w:rsidRPr="002029AF">
              <w:t>94</w:t>
            </w:r>
          </w:p>
        </w:tc>
        <w:tc>
          <w:tcPr>
            <w:tcW w:w="1022" w:type="dxa"/>
            <w:shd w:val="clear" w:color="auto" w:fill="auto"/>
          </w:tcPr>
          <w:p w14:paraId="52113803" w14:textId="77777777" w:rsidR="00C15C65" w:rsidRPr="002029AF" w:rsidRDefault="00C15C65" w:rsidP="0014376C">
            <w:pPr>
              <w:pStyle w:val="ARtabletextright"/>
            </w:pPr>
            <w:r w:rsidRPr="002029AF">
              <w:t>17.5</w:t>
            </w:r>
          </w:p>
        </w:tc>
        <w:tc>
          <w:tcPr>
            <w:tcW w:w="796" w:type="dxa"/>
            <w:shd w:val="clear" w:color="auto" w:fill="auto"/>
            <w:hideMark/>
          </w:tcPr>
          <w:p w14:paraId="799EB496"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709ABE7F" w14:textId="77777777" w:rsidTr="00192EEE">
        <w:trPr>
          <w:gridAfter w:val="1"/>
          <w:wAfter w:w="6" w:type="dxa"/>
          <w:cantSplit/>
        </w:trPr>
        <w:tc>
          <w:tcPr>
            <w:tcW w:w="9633" w:type="dxa"/>
            <w:gridSpan w:val="6"/>
            <w:tcBorders>
              <w:bottom w:val="single" w:sz="4" w:space="0" w:color="BFBFBF"/>
            </w:tcBorders>
            <w:shd w:val="clear" w:color="auto" w:fill="auto"/>
            <w:noWrap/>
            <w:hideMark/>
          </w:tcPr>
          <w:p w14:paraId="2E3634F7" w14:textId="1FD96F0C" w:rsidR="00C15C65" w:rsidRPr="002029AF" w:rsidRDefault="00C15C65" w:rsidP="002C5190">
            <w:pPr>
              <w:pStyle w:val="ARtablenoteindent"/>
            </w:pPr>
            <w:r w:rsidRPr="002029AF">
              <w:t>This</w:t>
            </w:r>
            <w:r w:rsidR="000A5329" w:rsidRPr="002029AF">
              <w:t xml:space="preserve"> </w:t>
            </w:r>
            <w:r w:rsidRPr="002029AF">
              <w:t>measure</w:t>
            </w:r>
            <w:r w:rsidR="000A5329" w:rsidRPr="002029AF">
              <w:t xml:space="preserve"> </w:t>
            </w:r>
            <w:r w:rsidRPr="002029AF">
              <w:t>was</w:t>
            </w:r>
            <w:r w:rsidR="000A5329" w:rsidRPr="002029AF">
              <w:t xml:space="preserve"> </w:t>
            </w:r>
            <w:r w:rsidRPr="002029AF">
              <w:t>introduced</w:t>
            </w:r>
            <w:r w:rsidR="000A5329" w:rsidRPr="002029AF">
              <w:t xml:space="preserve"> </w:t>
            </w:r>
            <w:r w:rsidRPr="002029AF">
              <w:t>in</w:t>
            </w:r>
            <w:r w:rsidR="000A5329" w:rsidRPr="002029AF">
              <w:t xml:space="preserve"> </w:t>
            </w:r>
            <w:r w:rsidRPr="002029AF">
              <w:t>2017–18</w:t>
            </w:r>
            <w:r w:rsidR="000A5329" w:rsidRPr="002029AF">
              <w:t xml:space="preserve"> </w:t>
            </w:r>
            <w:r w:rsidRPr="002029AF">
              <w:t>and</w:t>
            </w:r>
            <w:r w:rsidR="000A5329" w:rsidRPr="002029AF">
              <w:t xml:space="preserve"> </w:t>
            </w:r>
            <w:r w:rsidRPr="002029AF">
              <w:t>has</w:t>
            </w:r>
            <w:r w:rsidR="000A5329" w:rsidRPr="002029AF">
              <w:t xml:space="preserve"> </w:t>
            </w:r>
            <w:r w:rsidRPr="002029AF">
              <w:t>been</w:t>
            </w:r>
            <w:r w:rsidR="000A5329" w:rsidRPr="002029AF">
              <w:t xml:space="preserve"> </w:t>
            </w:r>
            <w:r w:rsidRPr="002029AF">
              <w:t>consistently</w:t>
            </w:r>
            <w:r w:rsidR="000A5329" w:rsidRPr="002029AF">
              <w:t xml:space="preserve"> </w:t>
            </w:r>
            <w:r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This</w:t>
            </w:r>
            <w:r w:rsidR="000A5329" w:rsidRPr="002029AF">
              <w:t xml:space="preserve"> </w:t>
            </w:r>
            <w:r w:rsidRPr="002029AF">
              <w:t>is</w:t>
            </w:r>
            <w:r w:rsidR="000A5329" w:rsidRPr="002029AF">
              <w:t xml:space="preserve"> </w:t>
            </w:r>
            <w:r w:rsidRPr="002029AF">
              <w:t>a</w:t>
            </w:r>
            <w:r w:rsidR="000A5329" w:rsidRPr="002029AF">
              <w:t xml:space="preserve"> </w:t>
            </w:r>
            <w:r w:rsidRPr="002029AF">
              <w:t>positive</w:t>
            </w:r>
            <w:r w:rsidR="000A5329" w:rsidRPr="002029AF">
              <w:t xml:space="preserve"> </w:t>
            </w:r>
            <w:r w:rsidRPr="002029AF">
              <w:t>result.</w:t>
            </w:r>
          </w:p>
        </w:tc>
      </w:tr>
      <w:tr w:rsidR="00C15C65" w:rsidRPr="002029AF" w14:paraId="1CE65D11" w14:textId="77777777" w:rsidTr="00192EEE">
        <w:trPr>
          <w:cantSplit/>
        </w:trPr>
        <w:tc>
          <w:tcPr>
            <w:tcW w:w="9639" w:type="dxa"/>
            <w:gridSpan w:val="7"/>
            <w:tcBorders>
              <w:top w:val="single" w:sz="4" w:space="0" w:color="auto"/>
              <w:left w:val="nil"/>
              <w:bottom w:val="nil"/>
              <w:right w:val="nil"/>
            </w:tcBorders>
            <w:hideMark/>
          </w:tcPr>
          <w:p w14:paraId="7B8AF503" w14:textId="77777777" w:rsidR="00C15C65" w:rsidRPr="002029AF" w:rsidRDefault="00C15C65" w:rsidP="007666A5">
            <w:pPr>
              <w:pStyle w:val="ARtablegreybold"/>
            </w:pPr>
            <w:r w:rsidRPr="002029AF">
              <w:t>Cost</w:t>
            </w:r>
          </w:p>
        </w:tc>
      </w:tr>
      <w:tr w:rsidR="00C15C65" w:rsidRPr="002029AF" w14:paraId="1554368E" w14:textId="77777777" w:rsidTr="00192EEE">
        <w:trPr>
          <w:cantSplit/>
        </w:trPr>
        <w:tc>
          <w:tcPr>
            <w:tcW w:w="4756" w:type="dxa"/>
            <w:hideMark/>
          </w:tcPr>
          <w:p w14:paraId="4C8D1B15" w14:textId="6973987D" w:rsidR="00C15C65" w:rsidRPr="002029AF" w:rsidRDefault="00C15C65" w:rsidP="00C40F5D">
            <w:pPr>
              <w:pStyle w:val="ARtabletext"/>
              <w:rPr>
                <w:b/>
              </w:rPr>
            </w:pPr>
            <w:r w:rsidRPr="002029AF">
              <w:rPr>
                <w:b/>
              </w:rPr>
              <w:t>Total</w:t>
            </w:r>
            <w:r w:rsidR="000A5329" w:rsidRPr="002029AF">
              <w:rPr>
                <w:b/>
              </w:rPr>
              <w:t xml:space="preserve"> </w:t>
            </w:r>
            <w:r w:rsidRPr="002029AF">
              <w:rPr>
                <w:b/>
              </w:rPr>
              <w:t>output</w:t>
            </w:r>
            <w:r w:rsidR="000A5329" w:rsidRPr="002029AF">
              <w:rPr>
                <w:b/>
              </w:rPr>
              <w:t xml:space="preserve"> </w:t>
            </w:r>
            <w:r w:rsidRPr="002029AF">
              <w:rPr>
                <w:b/>
              </w:rPr>
              <w:t>cost</w:t>
            </w:r>
          </w:p>
        </w:tc>
        <w:tc>
          <w:tcPr>
            <w:tcW w:w="1019" w:type="dxa"/>
            <w:hideMark/>
          </w:tcPr>
          <w:p w14:paraId="5C54E086" w14:textId="34AFD37F" w:rsidR="00C15C65" w:rsidRPr="002029AF" w:rsidRDefault="00C15C65" w:rsidP="00C40F5D">
            <w:pPr>
              <w:pStyle w:val="ARtabletext"/>
              <w:rPr>
                <w:b/>
              </w:rPr>
            </w:pPr>
            <w:r w:rsidRPr="002029AF">
              <w:rPr>
                <w:b/>
              </w:rPr>
              <w:t>$</w:t>
            </w:r>
            <w:r w:rsidR="000A5329" w:rsidRPr="002029AF">
              <w:rPr>
                <w:b/>
              </w:rPr>
              <w:t xml:space="preserve"> </w:t>
            </w:r>
            <w:r w:rsidRPr="002029AF">
              <w:rPr>
                <w:b/>
              </w:rPr>
              <w:t>million</w:t>
            </w:r>
          </w:p>
        </w:tc>
        <w:tc>
          <w:tcPr>
            <w:tcW w:w="1020" w:type="dxa"/>
          </w:tcPr>
          <w:p w14:paraId="3F366419" w14:textId="77777777" w:rsidR="00C15C65" w:rsidRPr="002029AF" w:rsidRDefault="00C15C65" w:rsidP="00036F13">
            <w:pPr>
              <w:pStyle w:val="ARtabletextrightbold"/>
            </w:pPr>
            <w:r w:rsidRPr="002029AF">
              <w:t>314.5</w:t>
            </w:r>
          </w:p>
        </w:tc>
        <w:tc>
          <w:tcPr>
            <w:tcW w:w="1020" w:type="dxa"/>
          </w:tcPr>
          <w:p w14:paraId="24AAF0BF" w14:textId="77777777" w:rsidR="00C15C65" w:rsidRPr="002029AF" w:rsidRDefault="00C15C65" w:rsidP="00036F13">
            <w:pPr>
              <w:pStyle w:val="ARtabletextrightbold"/>
            </w:pPr>
            <w:r w:rsidRPr="002029AF">
              <w:t>292.7</w:t>
            </w:r>
          </w:p>
        </w:tc>
        <w:tc>
          <w:tcPr>
            <w:tcW w:w="1022" w:type="dxa"/>
          </w:tcPr>
          <w:p w14:paraId="4CE284CF" w14:textId="77777777" w:rsidR="00C15C65" w:rsidRPr="002029AF" w:rsidRDefault="00C15C65" w:rsidP="00036F13">
            <w:pPr>
              <w:pStyle w:val="ARtabletextrightbold"/>
            </w:pPr>
            <w:r w:rsidRPr="002029AF">
              <w:t>-6.9</w:t>
            </w:r>
          </w:p>
        </w:tc>
        <w:tc>
          <w:tcPr>
            <w:tcW w:w="802" w:type="dxa"/>
            <w:gridSpan w:val="2"/>
          </w:tcPr>
          <w:p w14:paraId="290DE699" w14:textId="77777777" w:rsidR="00C15C65" w:rsidRPr="002029AF" w:rsidRDefault="00C15C65" w:rsidP="00C40F5D">
            <w:pPr>
              <w:pStyle w:val="ARtabletext"/>
              <w:rPr>
                <w:b/>
              </w:rPr>
            </w:pPr>
          </w:p>
        </w:tc>
      </w:tr>
      <w:tr w:rsidR="00C15C65" w:rsidRPr="002029AF" w14:paraId="365DEFB8" w14:textId="77777777" w:rsidTr="00192EEE">
        <w:trPr>
          <w:cantSplit/>
        </w:trPr>
        <w:tc>
          <w:tcPr>
            <w:tcW w:w="9639" w:type="dxa"/>
            <w:gridSpan w:val="7"/>
            <w:tcBorders>
              <w:top w:val="nil"/>
              <w:left w:val="nil"/>
              <w:bottom w:val="single" w:sz="4" w:space="0" w:color="auto"/>
              <w:right w:val="nil"/>
            </w:tcBorders>
            <w:noWrap/>
          </w:tcPr>
          <w:p w14:paraId="5ABD9730" w14:textId="5C17BE55" w:rsidR="00C15C65" w:rsidRPr="002029AF" w:rsidRDefault="00C15C65" w:rsidP="002C5190">
            <w:pPr>
              <w:pStyle w:val="ARtablenoteindent"/>
            </w:pPr>
            <w:r w:rsidRPr="002029AF">
              <w:t>The</w:t>
            </w:r>
            <w:r w:rsidR="000A5329" w:rsidRPr="002029AF">
              <w:t xml:space="preserve"> </w:t>
            </w:r>
            <w:r w:rsidRPr="002029AF">
              <w:t>201</w:t>
            </w:r>
            <w:r w:rsidR="00DB53E6" w:rsidRPr="002029AF">
              <w:t>9–</w:t>
            </w:r>
            <w:r w:rsidRPr="002029AF">
              <w:t>20</w:t>
            </w:r>
            <w:r w:rsidR="000A5329" w:rsidRPr="002029AF">
              <w:t xml:space="preserve"> </w:t>
            </w:r>
            <w:r w:rsidRPr="002029AF">
              <w:t>actual</w:t>
            </w:r>
            <w:r w:rsidR="000A5329" w:rsidRPr="002029AF">
              <w:t xml:space="preserve"> </w:t>
            </w:r>
            <w:r w:rsidRPr="002029AF">
              <w:t>outcome</w:t>
            </w:r>
            <w:r w:rsidR="000A5329" w:rsidRPr="002029AF">
              <w:t xml:space="preserve"> </w:t>
            </w:r>
            <w:r w:rsidRPr="002029AF">
              <w:t>primarily</w:t>
            </w:r>
            <w:r w:rsidR="000A5329" w:rsidRPr="002029AF">
              <w:t xml:space="preserve"> </w:t>
            </w:r>
            <w:r w:rsidRPr="002029AF">
              <w:t>reflects</w:t>
            </w:r>
            <w:r w:rsidR="000A5329" w:rsidRPr="002029AF">
              <w:t xml:space="preserve"> </w:t>
            </w:r>
            <w:r w:rsidRPr="002029AF">
              <w:t>output</w:t>
            </w:r>
            <w:r w:rsidR="000A5329" w:rsidRPr="002029AF">
              <w:t xml:space="preserve"> </w:t>
            </w:r>
            <w:r w:rsidRPr="002029AF">
              <w:t>realignment</w:t>
            </w:r>
            <w:r w:rsidR="000A5329" w:rsidRPr="002029AF">
              <w:t xml:space="preserve"> </w:t>
            </w:r>
            <w:r w:rsidRPr="002029AF">
              <w:t>related</w:t>
            </w:r>
            <w:r w:rsidR="000A5329" w:rsidRPr="002029AF">
              <w:t xml:space="preserve"> </w:t>
            </w:r>
            <w:r w:rsidRPr="002029AF">
              <w:t>to</w:t>
            </w:r>
            <w:r w:rsidR="000A5329" w:rsidRPr="002029AF">
              <w:t xml:space="preserve"> </w:t>
            </w:r>
            <w:r w:rsidRPr="002029AF">
              <w:t>the</w:t>
            </w:r>
            <w:r w:rsidR="000A5329" w:rsidRPr="002029AF">
              <w:t xml:space="preserve"> </w:t>
            </w:r>
            <w:r w:rsidRPr="002029AF">
              <w:t>National</w:t>
            </w:r>
            <w:r w:rsidR="000A5329" w:rsidRPr="002029AF">
              <w:t xml:space="preserve"> </w:t>
            </w:r>
            <w:r w:rsidRPr="002029AF">
              <w:t>Health</w:t>
            </w:r>
            <w:r w:rsidR="000A5329" w:rsidRPr="002029AF">
              <w:t xml:space="preserve"> </w:t>
            </w:r>
            <w:r w:rsidRPr="002029AF">
              <w:t>Reform</w:t>
            </w:r>
            <w:r w:rsidR="000A5329" w:rsidRPr="002029AF">
              <w:t xml:space="preserve"> </w:t>
            </w:r>
            <w:r w:rsidRPr="002029AF">
              <w:t>funding</w:t>
            </w:r>
            <w:r w:rsidR="000A5329" w:rsidRPr="002029AF">
              <w:t xml:space="preserve"> </w:t>
            </w:r>
            <w:r w:rsidRPr="002029AF">
              <w:t>(realigned</w:t>
            </w:r>
            <w:r w:rsidR="000A5329" w:rsidRPr="002029AF">
              <w:t xml:space="preserve"> </w:t>
            </w:r>
            <w:r w:rsidRPr="002029AF">
              <w:t>to</w:t>
            </w:r>
            <w:r w:rsidR="000A5329" w:rsidRPr="002029AF">
              <w:t xml:space="preserve"> </w:t>
            </w:r>
            <w:r w:rsidRPr="002029AF">
              <w:t>Admitted</w:t>
            </w:r>
            <w:r w:rsidR="000A5329" w:rsidRPr="002029AF">
              <w:t xml:space="preserve"> </w:t>
            </w:r>
            <w:r w:rsidRPr="002029AF">
              <w:t>Services)</w:t>
            </w:r>
            <w:r w:rsidR="000A5329" w:rsidRPr="002029AF">
              <w:t xml:space="preserve"> </w:t>
            </w:r>
            <w:r w:rsidRPr="002029AF">
              <w:t>and</w:t>
            </w:r>
            <w:r w:rsidR="000A5329" w:rsidRPr="002029AF">
              <w:t xml:space="preserve"> </w:t>
            </w:r>
            <w:r w:rsidRPr="002029AF">
              <w:t>lower</w:t>
            </w:r>
            <w:r w:rsidR="000A5329" w:rsidRPr="002029AF">
              <w:t xml:space="preserve"> </w:t>
            </w:r>
            <w:r w:rsidRPr="002029AF">
              <w:t>expenditure</w:t>
            </w:r>
            <w:r w:rsidR="000A5329" w:rsidRPr="002029AF">
              <w:t xml:space="preserve"> </w:t>
            </w:r>
            <w:r w:rsidRPr="002029AF">
              <w:t>than</w:t>
            </w:r>
            <w:r w:rsidR="000A5329" w:rsidRPr="002029AF">
              <w:t xml:space="preserve"> </w:t>
            </w:r>
            <w:r w:rsidRPr="002029AF">
              <w:t>expected</w:t>
            </w:r>
            <w:r w:rsidR="000A5329" w:rsidRPr="002029AF">
              <w:t xml:space="preserve"> </w:t>
            </w:r>
            <w:r w:rsidRPr="002029AF">
              <w:t>on</w:t>
            </w:r>
            <w:r w:rsidR="000A5329" w:rsidRPr="002029AF">
              <w:t xml:space="preserve"> </w:t>
            </w:r>
            <w:r w:rsidRPr="002029AF">
              <w:t>government</w:t>
            </w:r>
            <w:r w:rsidR="000A5329" w:rsidRPr="002029AF">
              <w:t xml:space="preserve"> </w:t>
            </w:r>
            <w:r w:rsidRPr="002029AF">
              <w:t>policy</w:t>
            </w:r>
            <w:r w:rsidR="000A5329" w:rsidRPr="002029AF">
              <w:t xml:space="preserve"> </w:t>
            </w:r>
            <w:r w:rsidRPr="002029AF">
              <w:t>initiatives</w:t>
            </w:r>
          </w:p>
        </w:tc>
      </w:tr>
    </w:tbl>
    <w:p w14:paraId="4CC2332B" w14:textId="15AB8FE3" w:rsidR="00C15C65" w:rsidRPr="002029AF" w:rsidRDefault="00C15C65" w:rsidP="00205D6E">
      <w:pPr>
        <w:pStyle w:val="Heading2"/>
      </w:pPr>
      <w:r w:rsidRPr="002029AF">
        <w:t>Ageing,</w:t>
      </w:r>
      <w:r w:rsidR="000A5329" w:rsidRPr="002029AF">
        <w:t xml:space="preserve"> </w:t>
      </w:r>
      <w:r w:rsidRPr="002029AF">
        <w:t>Aged</w:t>
      </w:r>
      <w:r w:rsidR="000A5329" w:rsidRPr="002029AF">
        <w:t xml:space="preserve"> </w:t>
      </w:r>
      <w:r w:rsidRPr="002029AF">
        <w:t>and</w:t>
      </w:r>
      <w:r w:rsidR="000A5329" w:rsidRPr="002029AF">
        <w:t xml:space="preserve"> </w:t>
      </w:r>
      <w:r w:rsidRPr="002029AF">
        <w:t>Home</w:t>
      </w:r>
      <w:r w:rsidR="000A5329" w:rsidRPr="002029AF">
        <w:t xml:space="preserve"> </w:t>
      </w:r>
      <w:r w:rsidRPr="002029AF">
        <w:t>Care</w:t>
      </w:r>
    </w:p>
    <w:p w14:paraId="5131E3D8" w14:textId="2AF6646D" w:rsidR="00C15C65" w:rsidRPr="002029AF" w:rsidRDefault="00C15C65" w:rsidP="00C40F5D">
      <w:pPr>
        <w:pStyle w:val="ARbody"/>
      </w:pPr>
      <w:r w:rsidRPr="002029AF">
        <w:t>This</w:t>
      </w:r>
      <w:r w:rsidR="000A5329" w:rsidRPr="002029AF">
        <w:t xml:space="preserve"> </w:t>
      </w:r>
      <w:r w:rsidRPr="002029AF">
        <w:t>output</w:t>
      </w:r>
      <w:r w:rsidR="000A5329" w:rsidRPr="002029AF">
        <w:t xml:space="preserve"> </w:t>
      </w:r>
      <w:r w:rsidRPr="002029AF">
        <w:t>encompasses</w:t>
      </w:r>
      <w:r w:rsidR="000A5329" w:rsidRPr="002029AF">
        <w:t xml:space="preserve"> </w:t>
      </w:r>
      <w:r w:rsidRPr="002029AF">
        <w:t>leading</w:t>
      </w:r>
      <w:r w:rsidR="000A5329" w:rsidRPr="002029AF">
        <w:t xml:space="preserve"> </w:t>
      </w:r>
      <w:r w:rsidRPr="002029AF">
        <w:t>and</w:t>
      </w:r>
      <w:r w:rsidR="000A5329" w:rsidRPr="002029AF">
        <w:t xml:space="preserve"> </w:t>
      </w:r>
      <w:r w:rsidRPr="002029AF">
        <w:t>coordinating</w:t>
      </w:r>
      <w:r w:rsidR="000A5329" w:rsidRPr="002029AF">
        <w:t xml:space="preserve"> </w:t>
      </w:r>
      <w:r w:rsidRPr="002029AF">
        <w:t>the</w:t>
      </w:r>
      <w:r w:rsidR="000A5329" w:rsidRPr="002029AF">
        <w:t xml:space="preserve"> </w:t>
      </w:r>
      <w:r w:rsidRPr="002029AF">
        <w:t>whole-of-government</w:t>
      </w:r>
      <w:r w:rsidR="000A5329" w:rsidRPr="002029AF">
        <w:t xml:space="preserve"> </w:t>
      </w:r>
      <w:r w:rsidRPr="002029AF">
        <w:t>policy</w:t>
      </w:r>
      <w:r w:rsidR="000A5329" w:rsidRPr="002029AF">
        <w:t xml:space="preserve"> </w:t>
      </w:r>
      <w:r w:rsidRPr="002029AF">
        <w:t>on</w:t>
      </w:r>
      <w:r w:rsidR="000A5329" w:rsidRPr="002029AF">
        <w:t xml:space="preserve"> </w:t>
      </w:r>
      <w:r w:rsidRPr="002029AF">
        <w:t>issues</w:t>
      </w:r>
      <w:r w:rsidR="000A5329" w:rsidRPr="002029AF">
        <w:t xml:space="preserve"> </w:t>
      </w:r>
      <w:r w:rsidRPr="002029AF">
        <w:t>affecting</w:t>
      </w:r>
      <w:r w:rsidR="000A5329" w:rsidRPr="002029AF">
        <w:t xml:space="preserve"> </w:t>
      </w:r>
      <w:r w:rsidRPr="002029AF">
        <w:t>our</w:t>
      </w:r>
      <w:r w:rsidR="000A5329" w:rsidRPr="002029AF">
        <w:t xml:space="preserve"> </w:t>
      </w:r>
      <w:r w:rsidRPr="002029AF">
        <w:t>ageing</w:t>
      </w:r>
      <w:r w:rsidR="000A5329" w:rsidRPr="002029AF">
        <w:t xml:space="preserve"> </w:t>
      </w:r>
      <w:r w:rsidRPr="002029AF">
        <w:t>community.</w:t>
      </w:r>
      <w:r w:rsidR="000A5329" w:rsidRPr="002029AF">
        <w:t xml:space="preserve"> </w:t>
      </w:r>
      <w:r w:rsidRPr="002029AF">
        <w:t>It</w:t>
      </w:r>
      <w:r w:rsidR="000A5329" w:rsidRPr="002029AF">
        <w:t xml:space="preserve"> </w:t>
      </w:r>
      <w:r w:rsidRPr="002029AF">
        <w:t>includes</w:t>
      </w:r>
      <w:r w:rsidR="000A5329" w:rsidRPr="002029AF">
        <w:t xml:space="preserve"> </w:t>
      </w:r>
      <w:r w:rsidRPr="002029AF">
        <w:t>a</w:t>
      </w:r>
      <w:r w:rsidR="000A5329" w:rsidRPr="002029AF">
        <w:t xml:space="preserve"> </w:t>
      </w:r>
      <w:r w:rsidRPr="002029AF">
        <w:t>range</w:t>
      </w:r>
      <w:r w:rsidR="000A5329" w:rsidRPr="002029AF">
        <w:t xml:space="preserve"> </w:t>
      </w:r>
      <w:r w:rsidRPr="002029AF">
        <w:t>of</w:t>
      </w:r>
      <w:r w:rsidR="000A5329" w:rsidRPr="002029AF">
        <w:t xml:space="preserve"> </w:t>
      </w:r>
      <w:r w:rsidRPr="002029AF">
        <w:t>in-home,</w:t>
      </w:r>
      <w:r w:rsidR="000A5329" w:rsidRPr="002029AF">
        <w:t xml:space="preserve"> </w:t>
      </w:r>
      <w:r w:rsidRPr="002029AF">
        <w:t>specialist</w:t>
      </w:r>
      <w:r w:rsidR="000A5329" w:rsidRPr="002029AF">
        <w:t xml:space="preserve"> </w:t>
      </w:r>
      <w:r w:rsidRPr="002029AF">
        <w:t>geriatric</w:t>
      </w:r>
      <w:r w:rsidR="000A5329" w:rsidRPr="002029AF">
        <w:t xml:space="preserve"> </w:t>
      </w:r>
      <w:r w:rsidRPr="002029AF">
        <w:t>residential</w:t>
      </w:r>
      <w:r w:rsidR="000A5329" w:rsidRPr="002029AF">
        <w:t xml:space="preserve"> </w:t>
      </w:r>
      <w:r w:rsidRPr="002029AF">
        <w:t>care</w:t>
      </w:r>
      <w:r w:rsidR="000A5329" w:rsidRPr="002029AF">
        <w:t xml:space="preserve"> </w:t>
      </w:r>
      <w:r w:rsidRPr="002029AF">
        <w:t>and</w:t>
      </w:r>
      <w:r w:rsidR="000A5329" w:rsidRPr="002029AF">
        <w:t xml:space="preserve"> </w:t>
      </w:r>
      <w:r w:rsidRPr="002029AF">
        <w:t>community-based</w:t>
      </w:r>
      <w:r w:rsidR="000A5329" w:rsidRPr="002029AF">
        <w:t xml:space="preserve"> </w:t>
      </w:r>
      <w:r w:rsidRPr="002029AF">
        <w:t>programs,</w:t>
      </w:r>
      <w:r w:rsidR="000A5329" w:rsidRPr="002029AF">
        <w:t xml:space="preserve"> </w:t>
      </w:r>
      <w:r w:rsidRPr="002029AF">
        <w:t>such</w:t>
      </w:r>
      <w:r w:rsidR="000A5329" w:rsidRPr="002029AF">
        <w:t xml:space="preserve"> </w:t>
      </w:r>
      <w:r w:rsidRPr="002029AF">
        <w:t>as</w:t>
      </w:r>
      <w:r w:rsidR="000A5329" w:rsidRPr="002029AF">
        <w:t xml:space="preserve"> </w:t>
      </w:r>
      <w:r w:rsidRPr="002029AF">
        <w:t>Home</w:t>
      </w:r>
      <w:r w:rsidR="000A5329" w:rsidRPr="002029AF">
        <w:t xml:space="preserve"> </w:t>
      </w:r>
      <w:r w:rsidRPr="002029AF">
        <w:t>and</w:t>
      </w:r>
      <w:r w:rsidR="000A5329" w:rsidRPr="002029AF">
        <w:t xml:space="preserve"> </w:t>
      </w:r>
      <w:r w:rsidRPr="002029AF">
        <w:t>Community</w:t>
      </w:r>
      <w:r w:rsidR="000A5329" w:rsidRPr="002029AF">
        <w:t xml:space="preserve"> </w:t>
      </w:r>
      <w:r w:rsidRPr="002029AF">
        <w:t>Care,</w:t>
      </w:r>
      <w:r w:rsidR="000A5329" w:rsidRPr="002029AF">
        <w:t xml:space="preserve"> </w:t>
      </w:r>
      <w:r w:rsidRPr="002029AF">
        <w:t>that</w:t>
      </w:r>
      <w:r w:rsidR="000A5329" w:rsidRPr="002029AF">
        <w:t xml:space="preserve"> </w:t>
      </w:r>
      <w:r w:rsidRPr="002029AF">
        <w:t>are</w:t>
      </w:r>
      <w:r w:rsidR="000A5329" w:rsidRPr="002029AF">
        <w:t xml:space="preserve"> </w:t>
      </w:r>
      <w:r w:rsidRPr="002029AF">
        <w:t>targeted</w:t>
      </w:r>
      <w:r w:rsidR="000A5329" w:rsidRPr="002029AF">
        <w:t xml:space="preserve"> </w:t>
      </w:r>
      <w:r w:rsidRPr="002029AF">
        <w:t>to</w:t>
      </w:r>
      <w:r w:rsidR="000A5329" w:rsidRPr="002029AF">
        <w:t xml:space="preserve"> </w:t>
      </w:r>
      <w:r w:rsidRPr="002029AF">
        <w:t>older</w:t>
      </w:r>
      <w:r w:rsidR="000A5329" w:rsidRPr="002029AF">
        <w:t xml:space="preserve"> </w:t>
      </w:r>
      <w:r w:rsidRPr="002029AF">
        <w:t>people,</w:t>
      </w:r>
      <w:r w:rsidR="000A5329" w:rsidRPr="002029AF">
        <w:t xml:space="preserve"> </w:t>
      </w:r>
      <w:r w:rsidRPr="002029AF">
        <w:t>people</w:t>
      </w:r>
      <w:r w:rsidR="000A5329" w:rsidRPr="002029AF">
        <w:t xml:space="preserve"> </w:t>
      </w:r>
      <w:r w:rsidRPr="002029AF">
        <w:t>with</w:t>
      </w:r>
      <w:r w:rsidR="000A5329" w:rsidRPr="002029AF">
        <w:t xml:space="preserve"> </w:t>
      </w:r>
      <w:r w:rsidRPr="002029AF">
        <w:t>a</w:t>
      </w:r>
      <w:r w:rsidR="000A5329" w:rsidRPr="002029AF">
        <w:t xml:space="preserve"> </w:t>
      </w:r>
      <w:r w:rsidRPr="002029AF">
        <w:t>disability,</w:t>
      </w:r>
      <w:r w:rsidR="000A5329" w:rsidRPr="002029AF">
        <w:t xml:space="preserve"> </w:t>
      </w:r>
      <w:r w:rsidRPr="002029AF">
        <w:t>and</w:t>
      </w:r>
      <w:r w:rsidR="000A5329" w:rsidRPr="002029AF">
        <w:t xml:space="preserve"> </w:t>
      </w:r>
      <w:r w:rsidRPr="002029AF">
        <w:t>their</w:t>
      </w:r>
      <w:r w:rsidR="000A5329" w:rsidRPr="002029AF">
        <w:t xml:space="preserve"> </w:t>
      </w:r>
      <w:r w:rsidRPr="002029AF">
        <w:t>carers.</w:t>
      </w:r>
    </w:p>
    <w:tbl>
      <w:tblPr>
        <w:tblW w:w="9639" w:type="dxa"/>
        <w:tblLayout w:type="fixed"/>
        <w:tblCellMar>
          <w:left w:w="0" w:type="dxa"/>
        </w:tblCellMar>
        <w:tblLook w:val="04A0" w:firstRow="1" w:lastRow="0" w:firstColumn="1" w:lastColumn="0" w:noHBand="0" w:noVBand="1"/>
      </w:tblPr>
      <w:tblGrid>
        <w:gridCol w:w="4725"/>
        <w:gridCol w:w="27"/>
        <w:gridCol w:w="989"/>
        <w:gridCol w:w="31"/>
        <w:gridCol w:w="985"/>
        <w:gridCol w:w="35"/>
        <w:gridCol w:w="985"/>
        <w:gridCol w:w="35"/>
        <w:gridCol w:w="1023"/>
        <w:gridCol w:w="798"/>
        <w:gridCol w:w="6"/>
      </w:tblGrid>
      <w:tr w:rsidR="005B58F0" w:rsidRPr="002029AF" w14:paraId="1D063214" w14:textId="77777777" w:rsidTr="005B58F0">
        <w:trPr>
          <w:cantSplit/>
          <w:tblHeader/>
        </w:trPr>
        <w:tc>
          <w:tcPr>
            <w:tcW w:w="4752" w:type="dxa"/>
            <w:gridSpan w:val="2"/>
            <w:tcBorders>
              <w:top w:val="nil"/>
              <w:left w:val="nil"/>
              <w:bottom w:val="single" w:sz="4" w:space="0" w:color="auto"/>
              <w:right w:val="nil"/>
            </w:tcBorders>
            <w:vAlign w:val="bottom"/>
            <w:hideMark/>
          </w:tcPr>
          <w:p w14:paraId="12A70289" w14:textId="061A5278" w:rsidR="005B58F0" w:rsidRPr="002029AF" w:rsidRDefault="005B58F0" w:rsidP="0014376C">
            <w:pPr>
              <w:pStyle w:val="ARtablecolhead"/>
            </w:pPr>
            <w:r w:rsidRPr="002029AF">
              <w:t>Performance</w:t>
            </w:r>
            <w:r w:rsidR="000A5329" w:rsidRPr="002029AF">
              <w:t xml:space="preserve"> </w:t>
            </w:r>
            <w:r w:rsidRPr="002029AF">
              <w:t>measures</w:t>
            </w:r>
          </w:p>
        </w:tc>
        <w:tc>
          <w:tcPr>
            <w:tcW w:w="1020" w:type="dxa"/>
            <w:gridSpan w:val="2"/>
            <w:tcBorders>
              <w:top w:val="nil"/>
              <w:left w:val="nil"/>
              <w:bottom w:val="single" w:sz="4" w:space="0" w:color="auto"/>
              <w:right w:val="nil"/>
            </w:tcBorders>
            <w:vAlign w:val="bottom"/>
            <w:hideMark/>
          </w:tcPr>
          <w:p w14:paraId="2C190BE0" w14:textId="0563FBB9" w:rsidR="005B58F0" w:rsidRPr="002029AF" w:rsidRDefault="005B58F0" w:rsidP="0014376C">
            <w:pPr>
              <w:pStyle w:val="ARtablecolhead"/>
            </w:pPr>
            <w:r w:rsidRPr="002029AF">
              <w:t>Unit</w:t>
            </w:r>
            <w:r w:rsidR="000A5329" w:rsidRPr="002029AF">
              <w:t xml:space="preserve"> </w:t>
            </w:r>
            <w:r w:rsidRPr="002029AF">
              <w:t>of</w:t>
            </w:r>
            <w:r w:rsidR="000A5329" w:rsidRPr="002029AF">
              <w:t xml:space="preserve"> </w:t>
            </w:r>
            <w:r w:rsidRPr="002029AF">
              <w:t>measure</w:t>
            </w:r>
          </w:p>
        </w:tc>
        <w:tc>
          <w:tcPr>
            <w:tcW w:w="1020" w:type="dxa"/>
            <w:gridSpan w:val="2"/>
            <w:tcBorders>
              <w:top w:val="nil"/>
              <w:left w:val="nil"/>
              <w:bottom w:val="single" w:sz="4" w:space="0" w:color="auto"/>
              <w:right w:val="nil"/>
            </w:tcBorders>
            <w:vAlign w:val="bottom"/>
            <w:hideMark/>
          </w:tcPr>
          <w:p w14:paraId="57E95C80" w14:textId="48E7032B" w:rsidR="005B58F0" w:rsidRPr="002029AF" w:rsidRDefault="005B58F0" w:rsidP="0014376C">
            <w:pPr>
              <w:pStyle w:val="ARtablecolheadright"/>
            </w:pPr>
            <w:r w:rsidRPr="002029AF">
              <w:t>2019–20</w:t>
            </w:r>
            <w:r w:rsidR="000A5329" w:rsidRPr="002029AF">
              <w:t xml:space="preserve"> </w:t>
            </w:r>
            <w:r w:rsidRPr="002029AF">
              <w:t>target</w:t>
            </w:r>
          </w:p>
        </w:tc>
        <w:tc>
          <w:tcPr>
            <w:tcW w:w="1020" w:type="dxa"/>
            <w:gridSpan w:val="2"/>
            <w:tcBorders>
              <w:top w:val="nil"/>
              <w:left w:val="nil"/>
              <w:bottom w:val="single" w:sz="4" w:space="0" w:color="auto"/>
              <w:right w:val="nil"/>
            </w:tcBorders>
            <w:vAlign w:val="bottom"/>
            <w:hideMark/>
          </w:tcPr>
          <w:p w14:paraId="2E8E8952" w14:textId="58286007" w:rsidR="005B58F0" w:rsidRPr="002029AF" w:rsidRDefault="005B58F0" w:rsidP="0014376C">
            <w:pPr>
              <w:pStyle w:val="ARtablecolheadright"/>
            </w:pPr>
            <w:r w:rsidRPr="002029AF">
              <w:t>2019–20</w:t>
            </w:r>
            <w:r w:rsidR="000A5329" w:rsidRPr="002029AF">
              <w:t xml:space="preserve"> </w:t>
            </w:r>
            <w:r w:rsidRPr="002029AF">
              <w:t>actual</w:t>
            </w:r>
          </w:p>
        </w:tc>
        <w:tc>
          <w:tcPr>
            <w:tcW w:w="1023" w:type="dxa"/>
            <w:tcBorders>
              <w:top w:val="nil"/>
              <w:left w:val="nil"/>
              <w:bottom w:val="single" w:sz="4" w:space="0" w:color="auto"/>
              <w:right w:val="nil"/>
            </w:tcBorders>
            <w:vAlign w:val="bottom"/>
            <w:hideMark/>
          </w:tcPr>
          <w:p w14:paraId="2D36DB11" w14:textId="25AE9179" w:rsidR="005B58F0" w:rsidRPr="002029AF" w:rsidRDefault="005B58F0" w:rsidP="0014376C">
            <w:pPr>
              <w:pStyle w:val="ARtablecolheadright"/>
            </w:pPr>
            <w:r w:rsidRPr="002029AF">
              <w:t>Variation</w:t>
            </w:r>
            <w:r w:rsidR="000A5329" w:rsidRPr="002029AF">
              <w:t xml:space="preserve"> </w:t>
            </w:r>
            <w:r w:rsidRPr="002029AF">
              <w:t>(%)</w:t>
            </w:r>
          </w:p>
        </w:tc>
        <w:tc>
          <w:tcPr>
            <w:tcW w:w="804" w:type="dxa"/>
            <w:gridSpan w:val="2"/>
            <w:tcBorders>
              <w:top w:val="nil"/>
              <w:left w:val="nil"/>
              <w:bottom w:val="single" w:sz="4" w:space="0" w:color="auto"/>
              <w:right w:val="nil"/>
            </w:tcBorders>
            <w:vAlign w:val="bottom"/>
            <w:hideMark/>
          </w:tcPr>
          <w:p w14:paraId="2C7EF192" w14:textId="77777777" w:rsidR="005B58F0" w:rsidRPr="002029AF" w:rsidRDefault="005B58F0" w:rsidP="000D3C3F">
            <w:pPr>
              <w:pStyle w:val="ARtablecolheadcentre"/>
            </w:pPr>
            <w:r w:rsidRPr="002029AF">
              <w:t>Result</w:t>
            </w:r>
          </w:p>
        </w:tc>
      </w:tr>
      <w:tr w:rsidR="00C15C65" w:rsidRPr="002029AF" w14:paraId="63CDB303" w14:textId="77777777" w:rsidTr="005B58F0">
        <w:trPr>
          <w:cantSplit/>
        </w:trPr>
        <w:tc>
          <w:tcPr>
            <w:tcW w:w="9639" w:type="dxa"/>
            <w:gridSpan w:val="11"/>
            <w:tcBorders>
              <w:top w:val="single" w:sz="4" w:space="0" w:color="auto"/>
              <w:left w:val="nil"/>
              <w:bottom w:val="single" w:sz="4" w:space="0" w:color="auto"/>
              <w:right w:val="nil"/>
            </w:tcBorders>
            <w:hideMark/>
          </w:tcPr>
          <w:p w14:paraId="040C3804" w14:textId="258635C1" w:rsidR="00C15C65" w:rsidRPr="002029AF" w:rsidRDefault="00C15C65" w:rsidP="007666A5">
            <w:pPr>
              <w:pStyle w:val="ARtablesubhead"/>
            </w:pPr>
            <w:r w:rsidRPr="002029AF">
              <w:t>Seniors</w:t>
            </w:r>
            <w:r w:rsidR="000A5329" w:rsidRPr="002029AF">
              <w:t xml:space="preserve"> </w:t>
            </w:r>
            <w:r w:rsidRPr="002029AF">
              <w:t>Programs</w:t>
            </w:r>
            <w:r w:rsidR="000A5329" w:rsidRPr="002029AF">
              <w:t xml:space="preserve"> </w:t>
            </w:r>
            <w:r w:rsidRPr="002029AF">
              <w:t>and</w:t>
            </w:r>
            <w:r w:rsidR="000A5329" w:rsidRPr="002029AF">
              <w:t xml:space="preserve"> </w:t>
            </w:r>
            <w:r w:rsidRPr="002029AF">
              <w:t>Participation</w:t>
            </w:r>
          </w:p>
        </w:tc>
      </w:tr>
      <w:tr w:rsidR="00C15C65" w:rsidRPr="002029AF" w14:paraId="34568530" w14:textId="77777777" w:rsidTr="005B58F0">
        <w:trPr>
          <w:cantSplit/>
        </w:trPr>
        <w:tc>
          <w:tcPr>
            <w:tcW w:w="9639" w:type="dxa"/>
            <w:gridSpan w:val="11"/>
            <w:tcBorders>
              <w:top w:val="single" w:sz="4" w:space="0" w:color="auto"/>
              <w:left w:val="nil"/>
              <w:bottom w:val="nil"/>
              <w:right w:val="nil"/>
            </w:tcBorders>
            <w:hideMark/>
          </w:tcPr>
          <w:p w14:paraId="655977D1" w14:textId="77777777" w:rsidR="00C15C65" w:rsidRPr="002029AF" w:rsidRDefault="00C15C65" w:rsidP="00D96AFD">
            <w:pPr>
              <w:pStyle w:val="ARtablegreybold"/>
            </w:pPr>
            <w:r w:rsidRPr="002029AF">
              <w:t>Quantity</w:t>
            </w:r>
          </w:p>
        </w:tc>
      </w:tr>
      <w:tr w:rsidR="00C15C65" w:rsidRPr="002029AF" w14:paraId="02C7016B" w14:textId="77777777" w:rsidTr="005B58F0">
        <w:trPr>
          <w:gridAfter w:val="1"/>
          <w:wAfter w:w="6" w:type="dxa"/>
          <w:cantSplit/>
        </w:trPr>
        <w:tc>
          <w:tcPr>
            <w:tcW w:w="4725" w:type="dxa"/>
            <w:shd w:val="clear" w:color="auto" w:fill="auto"/>
            <w:hideMark/>
          </w:tcPr>
          <w:p w14:paraId="76404A5E" w14:textId="30EA092C" w:rsidR="00C15C65" w:rsidRPr="002029AF" w:rsidRDefault="00C15C65" w:rsidP="00C40F5D">
            <w:pPr>
              <w:pStyle w:val="ARtabletext"/>
            </w:pPr>
            <w:r w:rsidRPr="002029AF">
              <w:t>New</w:t>
            </w:r>
            <w:r w:rsidR="000A5329" w:rsidRPr="002029AF">
              <w:t xml:space="preserve"> </w:t>
            </w:r>
            <w:r w:rsidRPr="002029AF">
              <w:t>University</w:t>
            </w:r>
            <w:r w:rsidR="000A5329" w:rsidRPr="002029AF">
              <w:t xml:space="preserve"> </w:t>
            </w:r>
            <w:r w:rsidRPr="002029AF">
              <w:t>of</w:t>
            </w:r>
            <w:r w:rsidR="000A5329" w:rsidRPr="002029AF">
              <w:t xml:space="preserve"> </w:t>
            </w:r>
            <w:r w:rsidRPr="002029AF">
              <w:t>the</w:t>
            </w:r>
            <w:r w:rsidR="000A5329" w:rsidRPr="002029AF">
              <w:t xml:space="preserve"> </w:t>
            </w:r>
            <w:r w:rsidRPr="002029AF">
              <w:t>Third</w:t>
            </w:r>
            <w:r w:rsidR="000A5329" w:rsidRPr="002029AF">
              <w:t xml:space="preserve"> </w:t>
            </w:r>
            <w:r w:rsidRPr="002029AF">
              <w:t>Age</w:t>
            </w:r>
            <w:r w:rsidR="000A5329" w:rsidRPr="002029AF">
              <w:t xml:space="preserve"> </w:t>
            </w:r>
            <w:r w:rsidRPr="002029AF">
              <w:t>membership</w:t>
            </w:r>
            <w:r w:rsidR="000A5329" w:rsidRPr="002029AF">
              <w:t xml:space="preserve"> </w:t>
            </w:r>
            <w:r w:rsidRPr="002029AF">
              <w:t>growth</w:t>
            </w:r>
          </w:p>
        </w:tc>
        <w:tc>
          <w:tcPr>
            <w:tcW w:w="1016" w:type="dxa"/>
            <w:gridSpan w:val="2"/>
            <w:shd w:val="clear" w:color="auto" w:fill="auto"/>
            <w:hideMark/>
          </w:tcPr>
          <w:p w14:paraId="1B71E060" w14:textId="39438707" w:rsidR="00C15C65" w:rsidRPr="002029AF" w:rsidRDefault="00C15C65" w:rsidP="00C40F5D">
            <w:pPr>
              <w:pStyle w:val="ARtabletext"/>
            </w:pPr>
            <w:r w:rsidRPr="002029AF">
              <w:t>per</w:t>
            </w:r>
            <w:r w:rsidR="000A5329" w:rsidRPr="002029AF">
              <w:t xml:space="preserve"> </w:t>
            </w:r>
            <w:r w:rsidRPr="002029AF">
              <w:t>cent</w:t>
            </w:r>
          </w:p>
        </w:tc>
        <w:tc>
          <w:tcPr>
            <w:tcW w:w="1016" w:type="dxa"/>
            <w:gridSpan w:val="2"/>
            <w:shd w:val="clear" w:color="auto" w:fill="auto"/>
            <w:hideMark/>
          </w:tcPr>
          <w:p w14:paraId="7AB98FD3" w14:textId="77777777" w:rsidR="00C15C65" w:rsidRPr="002029AF" w:rsidRDefault="00C15C65" w:rsidP="0014376C">
            <w:pPr>
              <w:pStyle w:val="ARtabletextright"/>
            </w:pPr>
            <w:r w:rsidRPr="002029AF">
              <w:t>5</w:t>
            </w:r>
          </w:p>
        </w:tc>
        <w:tc>
          <w:tcPr>
            <w:tcW w:w="1020" w:type="dxa"/>
            <w:gridSpan w:val="2"/>
            <w:shd w:val="clear" w:color="auto" w:fill="auto"/>
            <w:hideMark/>
          </w:tcPr>
          <w:p w14:paraId="3BCF8066" w14:textId="78E5B210" w:rsidR="00C15C65" w:rsidRPr="002029AF" w:rsidRDefault="00A26E29" w:rsidP="0014376C">
            <w:pPr>
              <w:pStyle w:val="ARtabletextright"/>
            </w:pPr>
            <w:r>
              <w:t>-</w:t>
            </w:r>
            <w:r w:rsidR="00C15C65" w:rsidRPr="002029AF">
              <w:t>0.4</w:t>
            </w:r>
          </w:p>
        </w:tc>
        <w:tc>
          <w:tcPr>
            <w:tcW w:w="1058" w:type="dxa"/>
            <w:gridSpan w:val="2"/>
            <w:shd w:val="clear" w:color="auto" w:fill="auto"/>
          </w:tcPr>
          <w:p w14:paraId="227D8E84" w14:textId="249203BC" w:rsidR="00C15C65" w:rsidRPr="002029AF" w:rsidRDefault="00C15C65" w:rsidP="0014376C">
            <w:pPr>
              <w:pStyle w:val="ARtabletextright"/>
            </w:pPr>
            <w:r w:rsidRPr="002029AF">
              <w:t>-</w:t>
            </w:r>
            <w:r w:rsidR="00A26E29">
              <w:t>108.6</w:t>
            </w:r>
          </w:p>
        </w:tc>
        <w:tc>
          <w:tcPr>
            <w:tcW w:w="798" w:type="dxa"/>
            <w:shd w:val="clear" w:color="auto" w:fill="auto"/>
            <w:hideMark/>
          </w:tcPr>
          <w:p w14:paraId="45D1200A"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11AB9A4B" w14:textId="77777777" w:rsidTr="005B58F0">
        <w:trPr>
          <w:gridAfter w:val="1"/>
          <w:wAfter w:w="6" w:type="dxa"/>
          <w:cantSplit/>
        </w:trPr>
        <w:tc>
          <w:tcPr>
            <w:tcW w:w="9633" w:type="dxa"/>
            <w:gridSpan w:val="10"/>
            <w:tcBorders>
              <w:bottom w:val="single" w:sz="4" w:space="0" w:color="BFBFBF"/>
            </w:tcBorders>
            <w:shd w:val="clear" w:color="auto" w:fill="auto"/>
            <w:noWrap/>
            <w:hideMark/>
          </w:tcPr>
          <w:p w14:paraId="278E1AEC" w14:textId="437F3388" w:rsidR="00C15C65" w:rsidRPr="002029AF" w:rsidRDefault="00C15C65" w:rsidP="00312252">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lower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a</w:t>
            </w:r>
            <w:r w:rsidR="000A5329" w:rsidRPr="002029AF">
              <w:t xml:space="preserve"> </w:t>
            </w:r>
            <w:r w:rsidRPr="002029AF">
              <w:t>decrease</w:t>
            </w:r>
            <w:r w:rsidR="000A5329" w:rsidRPr="002029AF">
              <w:t xml:space="preserve"> </w:t>
            </w:r>
            <w:r w:rsidRPr="002029AF">
              <w:t>in</w:t>
            </w:r>
            <w:r w:rsidR="000A5329" w:rsidRPr="002029AF">
              <w:t xml:space="preserve"> </w:t>
            </w:r>
            <w:r w:rsidRPr="002029AF">
              <w:t>membership</w:t>
            </w:r>
            <w:r w:rsidR="000A5329" w:rsidRPr="002029AF">
              <w:t xml:space="preserve"> </w:t>
            </w:r>
            <w:r w:rsidRPr="002029AF">
              <w:t>numbers,</w:t>
            </w:r>
            <w:r w:rsidR="000A5329" w:rsidRPr="002029AF">
              <w:t xml:space="preserve"> </w:t>
            </w:r>
            <w:r w:rsidRPr="002029AF">
              <w:t>which</w:t>
            </w:r>
            <w:r w:rsidR="000A5329" w:rsidRPr="002029AF">
              <w:t xml:space="preserve"> </w:t>
            </w:r>
            <w:r w:rsidRPr="002029AF">
              <w:t>may</w:t>
            </w:r>
            <w:r w:rsidR="000A5329" w:rsidRPr="002029AF">
              <w:t xml:space="preserve"> </w:t>
            </w:r>
            <w:r w:rsidRPr="002029AF">
              <w:t>be</w:t>
            </w:r>
            <w:r w:rsidR="000A5329" w:rsidRPr="002029AF">
              <w:t xml:space="preserve"> </w:t>
            </w:r>
            <w:r w:rsidRPr="002029AF">
              <w:t>linked</w:t>
            </w:r>
            <w:r w:rsidR="000A5329" w:rsidRPr="002029AF">
              <w:t xml:space="preserve"> </w:t>
            </w:r>
            <w:r w:rsidRPr="002029AF">
              <w:t>to</w:t>
            </w:r>
            <w:r w:rsidR="000A5329" w:rsidRPr="002029AF">
              <w:t xml:space="preserve"> </w:t>
            </w:r>
            <w:r w:rsidRPr="002029AF">
              <w:t>coronavirus</w:t>
            </w:r>
            <w:r w:rsidR="000A5329" w:rsidRPr="002029AF">
              <w:t xml:space="preserve"> </w:t>
            </w:r>
            <w:r w:rsidRPr="002029AF">
              <w:t>(COVID-19)</w:t>
            </w:r>
            <w:r w:rsidR="00975E07">
              <w:t xml:space="preserve"> </w:t>
            </w:r>
            <w:r w:rsidR="00975E07" w:rsidRPr="00975E07">
              <w:t>and restrictions on face to face meetings</w:t>
            </w:r>
            <w:r w:rsidRPr="002029AF">
              <w:t>.</w:t>
            </w:r>
          </w:p>
        </w:tc>
      </w:tr>
      <w:tr w:rsidR="00C15C65" w:rsidRPr="002029AF" w14:paraId="678A66C5" w14:textId="77777777" w:rsidTr="005B58F0">
        <w:trPr>
          <w:gridAfter w:val="1"/>
          <w:wAfter w:w="6" w:type="dxa"/>
          <w:cantSplit/>
        </w:trPr>
        <w:tc>
          <w:tcPr>
            <w:tcW w:w="4725" w:type="dxa"/>
            <w:shd w:val="clear" w:color="auto" w:fill="auto"/>
            <w:hideMark/>
          </w:tcPr>
          <w:p w14:paraId="7F4AEF75" w14:textId="6E824358" w:rsidR="00C15C65" w:rsidRPr="002029AF" w:rsidRDefault="00C15C65" w:rsidP="00C40F5D">
            <w:pPr>
              <w:pStyle w:val="ARtabletext"/>
            </w:pPr>
            <w:r w:rsidRPr="002029AF">
              <w:t>Seniors</w:t>
            </w:r>
            <w:r w:rsidR="000A5329" w:rsidRPr="002029AF">
              <w:t xml:space="preserve"> </w:t>
            </w:r>
            <w:r w:rsidRPr="002029AF">
              <w:t>funded</w:t>
            </w:r>
            <w:r w:rsidR="000A5329" w:rsidRPr="002029AF">
              <w:t xml:space="preserve"> </w:t>
            </w:r>
            <w:r w:rsidRPr="002029AF">
              <w:t>activities</w:t>
            </w:r>
            <w:r w:rsidR="000A5329" w:rsidRPr="002029AF">
              <w:t xml:space="preserve"> </w:t>
            </w:r>
            <w:r w:rsidRPr="002029AF">
              <w:t>and</w:t>
            </w:r>
            <w:r w:rsidR="000A5329" w:rsidRPr="002029AF">
              <w:t xml:space="preserve"> </w:t>
            </w:r>
            <w:r w:rsidRPr="002029AF">
              <w:t>programs</w:t>
            </w:r>
            <w:r w:rsidR="000A5329" w:rsidRPr="002029AF">
              <w:t xml:space="preserve"> </w:t>
            </w:r>
            <w:r w:rsidRPr="002029AF">
              <w:t>–</w:t>
            </w:r>
            <w:r w:rsidR="000A5329" w:rsidRPr="002029AF">
              <w:t xml:space="preserve"> </w:t>
            </w:r>
            <w:r w:rsidRPr="002029AF">
              <w:t>number</w:t>
            </w:r>
            <w:r w:rsidR="000A5329" w:rsidRPr="002029AF">
              <w:t xml:space="preserve"> </w:t>
            </w:r>
            <w:r w:rsidRPr="002029AF">
              <w:t>approved</w:t>
            </w:r>
          </w:p>
        </w:tc>
        <w:tc>
          <w:tcPr>
            <w:tcW w:w="1016" w:type="dxa"/>
            <w:gridSpan w:val="2"/>
            <w:shd w:val="clear" w:color="auto" w:fill="auto"/>
            <w:hideMark/>
          </w:tcPr>
          <w:p w14:paraId="78D14EE4" w14:textId="77777777" w:rsidR="00C15C65" w:rsidRPr="002029AF" w:rsidRDefault="00C15C65" w:rsidP="00C40F5D">
            <w:pPr>
              <w:pStyle w:val="ARtabletext"/>
            </w:pPr>
            <w:r w:rsidRPr="002029AF">
              <w:t>number</w:t>
            </w:r>
          </w:p>
        </w:tc>
        <w:tc>
          <w:tcPr>
            <w:tcW w:w="1016" w:type="dxa"/>
            <w:gridSpan w:val="2"/>
            <w:shd w:val="clear" w:color="auto" w:fill="auto"/>
            <w:hideMark/>
          </w:tcPr>
          <w:p w14:paraId="10CC768B" w14:textId="2FD13262" w:rsidR="00C15C65" w:rsidRPr="002029AF" w:rsidRDefault="00C15C65" w:rsidP="0014376C">
            <w:pPr>
              <w:pStyle w:val="ARtabletextright"/>
            </w:pPr>
            <w:r w:rsidRPr="002029AF">
              <w:t>13</w:t>
            </w:r>
            <w:r w:rsidR="00DB53E6" w:rsidRPr="002029AF">
              <w:t>5–</w:t>
            </w:r>
            <w:r w:rsidRPr="002029AF">
              <w:t>150</w:t>
            </w:r>
          </w:p>
        </w:tc>
        <w:tc>
          <w:tcPr>
            <w:tcW w:w="1020" w:type="dxa"/>
            <w:gridSpan w:val="2"/>
            <w:shd w:val="clear" w:color="auto" w:fill="auto"/>
            <w:hideMark/>
          </w:tcPr>
          <w:p w14:paraId="0EEC73C3" w14:textId="77777777" w:rsidR="00C15C65" w:rsidRPr="002029AF" w:rsidRDefault="00C15C65" w:rsidP="0014376C">
            <w:pPr>
              <w:pStyle w:val="ARtabletextright"/>
            </w:pPr>
            <w:r w:rsidRPr="002029AF">
              <w:t>106</w:t>
            </w:r>
          </w:p>
        </w:tc>
        <w:tc>
          <w:tcPr>
            <w:tcW w:w="1058" w:type="dxa"/>
            <w:gridSpan w:val="2"/>
            <w:shd w:val="clear" w:color="auto" w:fill="auto"/>
          </w:tcPr>
          <w:p w14:paraId="2021BB56" w14:textId="77777777" w:rsidR="00C15C65" w:rsidRPr="002029AF" w:rsidRDefault="00C15C65" w:rsidP="0014376C">
            <w:pPr>
              <w:pStyle w:val="ARtabletextright"/>
            </w:pPr>
            <w:r w:rsidRPr="002029AF">
              <w:t>-2.1</w:t>
            </w:r>
          </w:p>
        </w:tc>
        <w:tc>
          <w:tcPr>
            <w:tcW w:w="798" w:type="dxa"/>
            <w:shd w:val="clear" w:color="auto" w:fill="auto"/>
            <w:hideMark/>
          </w:tcPr>
          <w:p w14:paraId="491C8E42" w14:textId="4CEAB612" w:rsidR="00C15C65" w:rsidRPr="002029AF" w:rsidRDefault="003A6C3B" w:rsidP="000F6867">
            <w:pPr>
              <w:pStyle w:val="ARtableperformancesymbol"/>
              <w:rPr>
                <w:rFonts w:hint="eastAsia"/>
                <w:lang w:val="en-AU"/>
              </w:rPr>
            </w:pPr>
            <w:r w:rsidRPr="002029AF">
              <w:rPr>
                <w:lang w:val="en-AU"/>
              </w:rPr>
              <w:t>□</w:t>
            </w:r>
          </w:p>
        </w:tc>
      </w:tr>
      <w:tr w:rsidR="00C15C65" w:rsidRPr="002029AF" w14:paraId="5AD74F4F" w14:textId="77777777" w:rsidTr="005B58F0">
        <w:trPr>
          <w:gridAfter w:val="1"/>
          <w:wAfter w:w="6" w:type="dxa"/>
          <w:cantSplit/>
        </w:trPr>
        <w:tc>
          <w:tcPr>
            <w:tcW w:w="9633" w:type="dxa"/>
            <w:gridSpan w:val="10"/>
            <w:tcBorders>
              <w:bottom w:val="single" w:sz="4" w:space="0" w:color="BFBFBF"/>
            </w:tcBorders>
            <w:shd w:val="clear" w:color="auto" w:fill="auto"/>
            <w:noWrap/>
            <w:hideMark/>
          </w:tcPr>
          <w:p w14:paraId="439589E1" w14:textId="2AFCE105" w:rsidR="00C15C65" w:rsidRPr="002029AF" w:rsidRDefault="00B54B88" w:rsidP="002C5190">
            <w:pPr>
              <w:pStyle w:val="ARtablenoteindent"/>
            </w:pPr>
            <w:r>
              <w:t xml:space="preserve">The result </w:t>
            </w:r>
            <w:r w:rsidRPr="00B54B88">
              <w:t>reflects residual activities from the Seniors Participation Action Plan program including an expanded Seniors Festival and seniors online activities.</w:t>
            </w:r>
          </w:p>
        </w:tc>
      </w:tr>
      <w:tr w:rsidR="00C15C65" w:rsidRPr="002029AF" w14:paraId="4E616E01" w14:textId="77777777" w:rsidTr="005B58F0">
        <w:trPr>
          <w:gridAfter w:val="1"/>
          <w:wAfter w:w="6" w:type="dxa"/>
          <w:cantSplit/>
        </w:trPr>
        <w:tc>
          <w:tcPr>
            <w:tcW w:w="4725" w:type="dxa"/>
            <w:shd w:val="clear" w:color="auto" w:fill="auto"/>
            <w:hideMark/>
          </w:tcPr>
          <w:p w14:paraId="110A69FC" w14:textId="666192E4" w:rsidR="00C15C65" w:rsidRPr="002029AF" w:rsidRDefault="00C15C65" w:rsidP="00C40F5D">
            <w:pPr>
              <w:pStyle w:val="ARtabletext"/>
            </w:pPr>
            <w:r w:rsidRPr="002029AF">
              <w:t>Open</w:t>
            </w:r>
            <w:r w:rsidR="000A5329" w:rsidRPr="002029AF">
              <w:t xml:space="preserve"> </w:t>
            </w:r>
            <w:r w:rsidRPr="002029AF">
              <w:t>rates</w:t>
            </w:r>
            <w:r w:rsidR="000A5329" w:rsidRPr="002029AF">
              <w:t xml:space="preserve"> </w:t>
            </w:r>
            <w:r w:rsidRPr="002029AF">
              <w:t>for</w:t>
            </w:r>
            <w:r w:rsidR="000A5329" w:rsidRPr="002029AF">
              <w:t xml:space="preserve"> </w:t>
            </w:r>
            <w:r w:rsidRPr="002029AF">
              <w:t>Seniors</w:t>
            </w:r>
            <w:r w:rsidR="000A5329" w:rsidRPr="002029AF">
              <w:t xml:space="preserve"> </w:t>
            </w:r>
            <w:r w:rsidRPr="002029AF">
              <w:t>Card</w:t>
            </w:r>
            <w:r w:rsidR="000A5329" w:rsidRPr="002029AF">
              <w:t xml:space="preserve"> </w:t>
            </w:r>
            <w:r w:rsidRPr="002029AF">
              <w:t>e-Newsletters</w:t>
            </w:r>
          </w:p>
        </w:tc>
        <w:tc>
          <w:tcPr>
            <w:tcW w:w="1016" w:type="dxa"/>
            <w:gridSpan w:val="2"/>
            <w:shd w:val="clear" w:color="auto" w:fill="auto"/>
            <w:hideMark/>
          </w:tcPr>
          <w:p w14:paraId="5790ABAE" w14:textId="53ADB473" w:rsidR="00C15C65" w:rsidRPr="002029AF" w:rsidRDefault="00C15C65" w:rsidP="00C40F5D">
            <w:pPr>
              <w:pStyle w:val="ARtabletext"/>
            </w:pPr>
            <w:r w:rsidRPr="002029AF">
              <w:t>per</w:t>
            </w:r>
            <w:r w:rsidR="000A5329" w:rsidRPr="002029AF">
              <w:t xml:space="preserve"> </w:t>
            </w:r>
            <w:r w:rsidRPr="002029AF">
              <w:t>cent</w:t>
            </w:r>
          </w:p>
        </w:tc>
        <w:tc>
          <w:tcPr>
            <w:tcW w:w="1016" w:type="dxa"/>
            <w:gridSpan w:val="2"/>
            <w:shd w:val="clear" w:color="auto" w:fill="auto"/>
            <w:hideMark/>
          </w:tcPr>
          <w:p w14:paraId="641728D2" w14:textId="77777777" w:rsidR="00C15C65" w:rsidRPr="002029AF" w:rsidRDefault="00C15C65" w:rsidP="0014376C">
            <w:pPr>
              <w:pStyle w:val="ARtabletextright"/>
            </w:pPr>
            <w:r w:rsidRPr="002029AF">
              <w:t>48</w:t>
            </w:r>
          </w:p>
        </w:tc>
        <w:tc>
          <w:tcPr>
            <w:tcW w:w="1020" w:type="dxa"/>
            <w:gridSpan w:val="2"/>
            <w:shd w:val="clear" w:color="auto" w:fill="auto"/>
            <w:hideMark/>
          </w:tcPr>
          <w:p w14:paraId="6785EEBB" w14:textId="77777777" w:rsidR="00C15C65" w:rsidRPr="002029AF" w:rsidRDefault="00C15C65" w:rsidP="0014376C">
            <w:pPr>
              <w:pStyle w:val="ARtabletextright"/>
            </w:pPr>
            <w:r w:rsidRPr="002029AF">
              <w:t>49</w:t>
            </w:r>
          </w:p>
        </w:tc>
        <w:tc>
          <w:tcPr>
            <w:tcW w:w="1058" w:type="dxa"/>
            <w:gridSpan w:val="2"/>
            <w:shd w:val="clear" w:color="auto" w:fill="auto"/>
          </w:tcPr>
          <w:p w14:paraId="18247219" w14:textId="77777777" w:rsidR="00C15C65" w:rsidRPr="002029AF" w:rsidRDefault="00C15C65" w:rsidP="0014376C">
            <w:pPr>
              <w:pStyle w:val="ARtabletextright"/>
            </w:pPr>
            <w:r w:rsidRPr="002029AF">
              <w:t>2.1</w:t>
            </w:r>
          </w:p>
        </w:tc>
        <w:tc>
          <w:tcPr>
            <w:tcW w:w="798" w:type="dxa"/>
            <w:shd w:val="clear" w:color="auto" w:fill="auto"/>
            <w:hideMark/>
          </w:tcPr>
          <w:p w14:paraId="4939EDB7"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69BF00D3" w14:textId="77777777" w:rsidTr="005B58F0">
        <w:trPr>
          <w:cantSplit/>
        </w:trPr>
        <w:tc>
          <w:tcPr>
            <w:tcW w:w="9639" w:type="dxa"/>
            <w:gridSpan w:val="11"/>
            <w:tcBorders>
              <w:top w:val="single" w:sz="4" w:space="0" w:color="auto"/>
              <w:left w:val="nil"/>
              <w:bottom w:val="nil"/>
              <w:right w:val="nil"/>
            </w:tcBorders>
            <w:hideMark/>
          </w:tcPr>
          <w:p w14:paraId="0AC6051E" w14:textId="77777777" w:rsidR="00C15C65" w:rsidRPr="002029AF" w:rsidRDefault="00C15C65" w:rsidP="00D96AFD">
            <w:pPr>
              <w:pStyle w:val="ARtablegreybold"/>
            </w:pPr>
            <w:r w:rsidRPr="002029AF">
              <w:t>Quality</w:t>
            </w:r>
          </w:p>
        </w:tc>
      </w:tr>
      <w:tr w:rsidR="00C15C65" w:rsidRPr="002029AF" w14:paraId="7ED786C8" w14:textId="77777777" w:rsidTr="005B58F0">
        <w:trPr>
          <w:gridAfter w:val="1"/>
          <w:wAfter w:w="6" w:type="dxa"/>
          <w:cantSplit/>
        </w:trPr>
        <w:tc>
          <w:tcPr>
            <w:tcW w:w="4725" w:type="dxa"/>
            <w:tcBorders>
              <w:bottom w:val="single" w:sz="4" w:space="0" w:color="BFBFBF"/>
            </w:tcBorders>
            <w:shd w:val="clear" w:color="auto" w:fill="auto"/>
            <w:hideMark/>
          </w:tcPr>
          <w:p w14:paraId="5F8F8FF1" w14:textId="1F3585DD" w:rsidR="00C15C65" w:rsidRPr="002029AF" w:rsidRDefault="00C15C65" w:rsidP="00C40F5D">
            <w:pPr>
              <w:pStyle w:val="ARtabletext"/>
            </w:pPr>
            <w:r w:rsidRPr="002029AF">
              <w:t>Eligible</w:t>
            </w:r>
            <w:r w:rsidR="000A5329" w:rsidRPr="002029AF">
              <w:t xml:space="preserve"> </w:t>
            </w:r>
            <w:r w:rsidRPr="002029AF">
              <w:t>seniors</w:t>
            </w:r>
            <w:r w:rsidR="000A5329" w:rsidRPr="002029AF">
              <w:t xml:space="preserve"> </w:t>
            </w:r>
            <w:r w:rsidRPr="002029AF">
              <w:t>in</w:t>
            </w:r>
            <w:r w:rsidR="000A5329" w:rsidRPr="002029AF">
              <w:t xml:space="preserve"> </w:t>
            </w:r>
            <w:r w:rsidRPr="002029AF">
              <w:t>the</w:t>
            </w:r>
            <w:r w:rsidR="000A5329" w:rsidRPr="002029AF">
              <w:t xml:space="preserve"> </w:t>
            </w:r>
            <w:r w:rsidRPr="002029AF">
              <w:t>Seniors</w:t>
            </w:r>
            <w:r w:rsidR="000A5329" w:rsidRPr="002029AF">
              <w:t xml:space="preserve"> </w:t>
            </w:r>
            <w:r w:rsidRPr="002029AF">
              <w:t>Card</w:t>
            </w:r>
            <w:r w:rsidR="000A5329" w:rsidRPr="002029AF">
              <w:t xml:space="preserve"> </w:t>
            </w:r>
            <w:r w:rsidRPr="002029AF">
              <w:t>Program</w:t>
            </w:r>
          </w:p>
        </w:tc>
        <w:tc>
          <w:tcPr>
            <w:tcW w:w="1016" w:type="dxa"/>
            <w:gridSpan w:val="2"/>
            <w:tcBorders>
              <w:bottom w:val="single" w:sz="4" w:space="0" w:color="BFBFBF"/>
            </w:tcBorders>
            <w:shd w:val="clear" w:color="auto" w:fill="auto"/>
            <w:hideMark/>
          </w:tcPr>
          <w:p w14:paraId="219202F8" w14:textId="09026DE2" w:rsidR="00C15C65" w:rsidRPr="002029AF" w:rsidRDefault="00C15C65" w:rsidP="00C40F5D">
            <w:pPr>
              <w:pStyle w:val="ARtabletext"/>
            </w:pPr>
            <w:r w:rsidRPr="002029AF">
              <w:t>per</w:t>
            </w:r>
            <w:r w:rsidR="000A5329" w:rsidRPr="002029AF">
              <w:t xml:space="preserve"> </w:t>
            </w:r>
            <w:r w:rsidRPr="002029AF">
              <w:t>cent</w:t>
            </w:r>
          </w:p>
        </w:tc>
        <w:tc>
          <w:tcPr>
            <w:tcW w:w="1016" w:type="dxa"/>
            <w:gridSpan w:val="2"/>
            <w:tcBorders>
              <w:bottom w:val="single" w:sz="4" w:space="0" w:color="BFBFBF"/>
            </w:tcBorders>
            <w:shd w:val="clear" w:color="auto" w:fill="auto"/>
            <w:hideMark/>
          </w:tcPr>
          <w:p w14:paraId="7988A594" w14:textId="77777777" w:rsidR="00C15C65" w:rsidRPr="002029AF" w:rsidRDefault="00C15C65" w:rsidP="0014376C">
            <w:pPr>
              <w:pStyle w:val="ARtabletextright"/>
            </w:pPr>
            <w:r w:rsidRPr="002029AF">
              <w:t>90</w:t>
            </w:r>
          </w:p>
        </w:tc>
        <w:tc>
          <w:tcPr>
            <w:tcW w:w="1020" w:type="dxa"/>
            <w:gridSpan w:val="2"/>
            <w:tcBorders>
              <w:bottom w:val="single" w:sz="4" w:space="0" w:color="BFBFBF"/>
            </w:tcBorders>
            <w:shd w:val="clear" w:color="auto" w:fill="auto"/>
            <w:hideMark/>
          </w:tcPr>
          <w:p w14:paraId="0A451588" w14:textId="77777777" w:rsidR="00C15C65" w:rsidRPr="002029AF" w:rsidRDefault="00C15C65" w:rsidP="0014376C">
            <w:pPr>
              <w:pStyle w:val="ARtabletextright"/>
            </w:pPr>
            <w:r w:rsidRPr="002029AF">
              <w:t>89.5</w:t>
            </w:r>
          </w:p>
        </w:tc>
        <w:tc>
          <w:tcPr>
            <w:tcW w:w="1058" w:type="dxa"/>
            <w:gridSpan w:val="2"/>
            <w:tcBorders>
              <w:bottom w:val="single" w:sz="4" w:space="0" w:color="BFBFBF"/>
            </w:tcBorders>
            <w:shd w:val="clear" w:color="auto" w:fill="auto"/>
          </w:tcPr>
          <w:p w14:paraId="1757B223" w14:textId="77777777" w:rsidR="00C15C65" w:rsidRPr="002029AF" w:rsidRDefault="00C15C65" w:rsidP="0014376C">
            <w:pPr>
              <w:pStyle w:val="ARtabletextright"/>
            </w:pPr>
            <w:r w:rsidRPr="002029AF">
              <w:t>-0.6</w:t>
            </w:r>
          </w:p>
        </w:tc>
        <w:tc>
          <w:tcPr>
            <w:tcW w:w="798" w:type="dxa"/>
            <w:tcBorders>
              <w:bottom w:val="single" w:sz="4" w:space="0" w:color="BFBFBF"/>
            </w:tcBorders>
            <w:shd w:val="clear" w:color="auto" w:fill="auto"/>
            <w:hideMark/>
          </w:tcPr>
          <w:p w14:paraId="1A59B73E" w14:textId="379D00FA" w:rsidR="00C15C65" w:rsidRPr="002029AF" w:rsidRDefault="003A6C3B" w:rsidP="000F6867">
            <w:pPr>
              <w:pStyle w:val="ARtableperformancesymbol"/>
              <w:rPr>
                <w:rFonts w:hint="eastAsia"/>
                <w:lang w:val="en-AU"/>
              </w:rPr>
            </w:pPr>
            <w:r w:rsidRPr="002029AF">
              <w:rPr>
                <w:lang w:val="en-AU"/>
              </w:rPr>
              <w:t>□</w:t>
            </w:r>
          </w:p>
        </w:tc>
      </w:tr>
      <w:tr w:rsidR="00C15C65" w:rsidRPr="002029AF" w14:paraId="4404EA12" w14:textId="77777777" w:rsidTr="005B58F0">
        <w:trPr>
          <w:gridAfter w:val="1"/>
          <w:wAfter w:w="6" w:type="dxa"/>
          <w:cantSplit/>
        </w:trPr>
        <w:tc>
          <w:tcPr>
            <w:tcW w:w="4725" w:type="dxa"/>
            <w:tcBorders>
              <w:top w:val="single" w:sz="4" w:space="0" w:color="BFBFBF"/>
            </w:tcBorders>
            <w:shd w:val="clear" w:color="auto" w:fill="auto"/>
            <w:hideMark/>
          </w:tcPr>
          <w:p w14:paraId="2D5AAEE1" w14:textId="56D2C684" w:rsidR="00C15C65" w:rsidRPr="002029AF" w:rsidRDefault="00C15C65" w:rsidP="00C40F5D">
            <w:pPr>
              <w:pStyle w:val="ARtabletext"/>
            </w:pPr>
            <w:r w:rsidRPr="002029AF">
              <w:t>Senior</w:t>
            </w:r>
            <w:r w:rsidR="000A5329" w:rsidRPr="002029AF">
              <w:t xml:space="preserve"> </w:t>
            </w:r>
            <w:r w:rsidRPr="002029AF">
              <w:t>satisfaction</w:t>
            </w:r>
            <w:r w:rsidR="000A5329" w:rsidRPr="002029AF">
              <w:t xml:space="preserve"> </w:t>
            </w:r>
            <w:r w:rsidRPr="002029AF">
              <w:t>with</w:t>
            </w:r>
            <w:r w:rsidR="000A5329" w:rsidRPr="002029AF">
              <w:t xml:space="preserve"> </w:t>
            </w:r>
            <w:r w:rsidRPr="002029AF">
              <w:t>Victorian</w:t>
            </w:r>
            <w:r w:rsidR="000A5329" w:rsidRPr="002029AF">
              <w:t xml:space="preserve"> </w:t>
            </w:r>
            <w:r w:rsidRPr="002029AF">
              <w:t>Seniors</w:t>
            </w:r>
            <w:r w:rsidR="000A5329" w:rsidRPr="002029AF">
              <w:t xml:space="preserve"> </w:t>
            </w:r>
            <w:r w:rsidRPr="002029AF">
              <w:t>Festival</w:t>
            </w:r>
            <w:r w:rsidR="000A5329" w:rsidRPr="002029AF">
              <w:t xml:space="preserve"> </w:t>
            </w:r>
            <w:r w:rsidRPr="002029AF">
              <w:t>events</w:t>
            </w:r>
          </w:p>
        </w:tc>
        <w:tc>
          <w:tcPr>
            <w:tcW w:w="1016" w:type="dxa"/>
            <w:gridSpan w:val="2"/>
            <w:tcBorders>
              <w:top w:val="single" w:sz="4" w:space="0" w:color="BFBFBF"/>
            </w:tcBorders>
            <w:shd w:val="clear" w:color="auto" w:fill="auto"/>
            <w:hideMark/>
          </w:tcPr>
          <w:p w14:paraId="0AF3A9E9" w14:textId="50A56443" w:rsidR="00C15C65" w:rsidRPr="002029AF" w:rsidRDefault="00C15C65" w:rsidP="00C40F5D">
            <w:pPr>
              <w:pStyle w:val="ARtabletext"/>
            </w:pPr>
            <w:r w:rsidRPr="002029AF">
              <w:t>per</w:t>
            </w:r>
            <w:r w:rsidR="000A5329" w:rsidRPr="002029AF">
              <w:t xml:space="preserve"> </w:t>
            </w:r>
            <w:r w:rsidRPr="002029AF">
              <w:t>cent</w:t>
            </w:r>
          </w:p>
        </w:tc>
        <w:tc>
          <w:tcPr>
            <w:tcW w:w="1016" w:type="dxa"/>
            <w:gridSpan w:val="2"/>
            <w:tcBorders>
              <w:top w:val="single" w:sz="4" w:space="0" w:color="BFBFBF"/>
            </w:tcBorders>
            <w:shd w:val="clear" w:color="auto" w:fill="auto"/>
            <w:hideMark/>
          </w:tcPr>
          <w:p w14:paraId="40C9FDA7" w14:textId="77777777" w:rsidR="00C15C65" w:rsidRPr="002029AF" w:rsidRDefault="00C15C65" w:rsidP="0014376C">
            <w:pPr>
              <w:pStyle w:val="ARtabletextright"/>
            </w:pPr>
            <w:r w:rsidRPr="002029AF">
              <w:t>90</w:t>
            </w:r>
          </w:p>
        </w:tc>
        <w:tc>
          <w:tcPr>
            <w:tcW w:w="1020" w:type="dxa"/>
            <w:gridSpan w:val="2"/>
            <w:tcBorders>
              <w:top w:val="single" w:sz="4" w:space="0" w:color="BFBFBF"/>
            </w:tcBorders>
            <w:shd w:val="clear" w:color="auto" w:fill="auto"/>
            <w:hideMark/>
          </w:tcPr>
          <w:p w14:paraId="2014B760" w14:textId="77777777" w:rsidR="00C15C65" w:rsidRPr="002029AF" w:rsidRDefault="00C15C65" w:rsidP="0014376C">
            <w:pPr>
              <w:pStyle w:val="ARtabletextright"/>
            </w:pPr>
            <w:r w:rsidRPr="002029AF">
              <w:t>95</w:t>
            </w:r>
          </w:p>
        </w:tc>
        <w:tc>
          <w:tcPr>
            <w:tcW w:w="1058" w:type="dxa"/>
            <w:gridSpan w:val="2"/>
            <w:tcBorders>
              <w:top w:val="single" w:sz="4" w:space="0" w:color="BFBFBF"/>
            </w:tcBorders>
            <w:shd w:val="clear" w:color="auto" w:fill="auto"/>
          </w:tcPr>
          <w:p w14:paraId="55CBB132" w14:textId="77777777" w:rsidR="00C15C65" w:rsidRPr="002029AF" w:rsidRDefault="00C15C65" w:rsidP="0014376C">
            <w:pPr>
              <w:pStyle w:val="ARtabletextright"/>
            </w:pPr>
            <w:r w:rsidRPr="002029AF">
              <w:t>5.6</w:t>
            </w:r>
          </w:p>
        </w:tc>
        <w:tc>
          <w:tcPr>
            <w:tcW w:w="798" w:type="dxa"/>
            <w:tcBorders>
              <w:top w:val="single" w:sz="4" w:space="0" w:color="BFBFBF"/>
            </w:tcBorders>
            <w:shd w:val="clear" w:color="auto" w:fill="auto"/>
            <w:hideMark/>
          </w:tcPr>
          <w:p w14:paraId="0259A468"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5C46D200" w14:textId="77777777" w:rsidTr="005B58F0">
        <w:trPr>
          <w:gridAfter w:val="1"/>
          <w:wAfter w:w="6" w:type="dxa"/>
          <w:cantSplit/>
        </w:trPr>
        <w:tc>
          <w:tcPr>
            <w:tcW w:w="9633" w:type="dxa"/>
            <w:gridSpan w:val="10"/>
            <w:tcBorders>
              <w:bottom w:val="single" w:sz="4" w:space="0" w:color="BFBFBF"/>
            </w:tcBorders>
            <w:shd w:val="clear" w:color="auto" w:fill="auto"/>
            <w:noWrap/>
            <w:hideMark/>
          </w:tcPr>
          <w:p w14:paraId="0B94888A" w14:textId="7DFDC75F" w:rsidR="00C15C65" w:rsidRPr="002029AF" w:rsidRDefault="00C15C65" w:rsidP="002C5190">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and</w:t>
            </w:r>
            <w:r w:rsidR="000A5329" w:rsidRPr="002029AF">
              <w:t xml:space="preserve"> </w:t>
            </w:r>
            <w:r w:rsidRPr="002029AF">
              <w:t>is</w:t>
            </w:r>
            <w:r w:rsidR="000A5329" w:rsidRPr="002029AF">
              <w:t xml:space="preserve"> </w:t>
            </w:r>
            <w:r w:rsidRPr="002029AF">
              <w:t>a</w:t>
            </w:r>
            <w:r w:rsidR="000A5329" w:rsidRPr="002029AF">
              <w:t xml:space="preserve"> </w:t>
            </w:r>
            <w:r w:rsidRPr="002029AF">
              <w:t>positive</w:t>
            </w:r>
            <w:r w:rsidR="000A5329" w:rsidRPr="002029AF">
              <w:t xml:space="preserve"> </w:t>
            </w:r>
            <w:r w:rsidRPr="002029AF">
              <w:t>result.</w:t>
            </w:r>
          </w:p>
        </w:tc>
      </w:tr>
      <w:tr w:rsidR="00C15C65" w:rsidRPr="002029AF" w14:paraId="4273581D" w14:textId="77777777" w:rsidTr="005B58F0">
        <w:trPr>
          <w:cantSplit/>
        </w:trPr>
        <w:tc>
          <w:tcPr>
            <w:tcW w:w="9639" w:type="dxa"/>
            <w:gridSpan w:val="11"/>
            <w:tcBorders>
              <w:top w:val="single" w:sz="4" w:space="0" w:color="auto"/>
              <w:left w:val="nil"/>
              <w:bottom w:val="nil"/>
              <w:right w:val="nil"/>
            </w:tcBorders>
            <w:hideMark/>
          </w:tcPr>
          <w:p w14:paraId="23F328DC" w14:textId="77777777" w:rsidR="00C15C65" w:rsidRPr="002029AF" w:rsidRDefault="00C15C65" w:rsidP="00CA3123">
            <w:pPr>
              <w:pStyle w:val="ARtablegreybold"/>
              <w:keepNext/>
            </w:pPr>
            <w:r w:rsidRPr="002029AF">
              <w:t>Cost</w:t>
            </w:r>
          </w:p>
        </w:tc>
      </w:tr>
      <w:tr w:rsidR="00C15C65" w:rsidRPr="002029AF" w14:paraId="15D97B81" w14:textId="77777777" w:rsidTr="005B58F0">
        <w:trPr>
          <w:cantSplit/>
        </w:trPr>
        <w:tc>
          <w:tcPr>
            <w:tcW w:w="4725" w:type="dxa"/>
            <w:hideMark/>
          </w:tcPr>
          <w:p w14:paraId="5E08225B" w14:textId="4CDDC5E1" w:rsidR="00C15C65" w:rsidRPr="002029AF" w:rsidRDefault="00C15C65" w:rsidP="00C40F5D">
            <w:pPr>
              <w:pStyle w:val="ARtabletext"/>
              <w:rPr>
                <w:b/>
              </w:rPr>
            </w:pPr>
            <w:r w:rsidRPr="002029AF">
              <w:rPr>
                <w:b/>
              </w:rPr>
              <w:t>Total</w:t>
            </w:r>
            <w:r w:rsidR="000A5329" w:rsidRPr="002029AF">
              <w:rPr>
                <w:b/>
              </w:rPr>
              <w:t xml:space="preserve"> </w:t>
            </w:r>
            <w:r w:rsidRPr="002029AF">
              <w:rPr>
                <w:b/>
              </w:rPr>
              <w:t>output</w:t>
            </w:r>
            <w:r w:rsidR="000A5329" w:rsidRPr="002029AF">
              <w:rPr>
                <w:b/>
              </w:rPr>
              <w:t xml:space="preserve"> </w:t>
            </w:r>
            <w:r w:rsidRPr="002029AF">
              <w:rPr>
                <w:b/>
              </w:rPr>
              <w:t>cost</w:t>
            </w:r>
          </w:p>
        </w:tc>
        <w:tc>
          <w:tcPr>
            <w:tcW w:w="1016" w:type="dxa"/>
            <w:gridSpan w:val="2"/>
            <w:hideMark/>
          </w:tcPr>
          <w:p w14:paraId="791AE462" w14:textId="7483352B" w:rsidR="00C15C65" w:rsidRPr="002029AF" w:rsidRDefault="00C15C65" w:rsidP="00C40F5D">
            <w:pPr>
              <w:pStyle w:val="ARtabletext"/>
              <w:rPr>
                <w:b/>
              </w:rPr>
            </w:pPr>
            <w:r w:rsidRPr="002029AF">
              <w:rPr>
                <w:b/>
              </w:rPr>
              <w:t>$</w:t>
            </w:r>
            <w:r w:rsidR="000A5329" w:rsidRPr="002029AF">
              <w:rPr>
                <w:b/>
              </w:rPr>
              <w:t xml:space="preserve"> </w:t>
            </w:r>
            <w:r w:rsidRPr="002029AF">
              <w:rPr>
                <w:b/>
              </w:rPr>
              <w:t>million</w:t>
            </w:r>
          </w:p>
        </w:tc>
        <w:tc>
          <w:tcPr>
            <w:tcW w:w="1016" w:type="dxa"/>
            <w:gridSpan w:val="2"/>
            <w:hideMark/>
          </w:tcPr>
          <w:p w14:paraId="17B86FF3" w14:textId="77777777" w:rsidR="00C15C65" w:rsidRPr="002029AF" w:rsidRDefault="00C15C65" w:rsidP="00036F13">
            <w:pPr>
              <w:pStyle w:val="ARtabletextrightbold"/>
            </w:pPr>
            <w:r w:rsidRPr="002029AF">
              <w:t>8.9</w:t>
            </w:r>
          </w:p>
        </w:tc>
        <w:tc>
          <w:tcPr>
            <w:tcW w:w="1020" w:type="dxa"/>
            <w:gridSpan w:val="2"/>
            <w:hideMark/>
          </w:tcPr>
          <w:p w14:paraId="19AB89EF" w14:textId="77777777" w:rsidR="00C15C65" w:rsidRPr="002029AF" w:rsidRDefault="00C15C65" w:rsidP="00036F13">
            <w:pPr>
              <w:pStyle w:val="ARtabletextrightbold"/>
            </w:pPr>
            <w:r w:rsidRPr="002029AF">
              <w:t>11.4</w:t>
            </w:r>
          </w:p>
        </w:tc>
        <w:tc>
          <w:tcPr>
            <w:tcW w:w="1058" w:type="dxa"/>
            <w:gridSpan w:val="2"/>
            <w:hideMark/>
          </w:tcPr>
          <w:p w14:paraId="64D74254" w14:textId="77777777" w:rsidR="00C15C65" w:rsidRPr="002029AF" w:rsidRDefault="00C15C65" w:rsidP="00036F13">
            <w:pPr>
              <w:pStyle w:val="ARtabletextrightbold"/>
            </w:pPr>
            <w:r w:rsidRPr="002029AF">
              <w:t>28.2</w:t>
            </w:r>
          </w:p>
        </w:tc>
        <w:tc>
          <w:tcPr>
            <w:tcW w:w="804" w:type="dxa"/>
            <w:gridSpan w:val="2"/>
            <w:hideMark/>
          </w:tcPr>
          <w:p w14:paraId="31188CAC" w14:textId="77777777" w:rsidR="00C15C65" w:rsidRPr="002029AF" w:rsidRDefault="00C15C65" w:rsidP="00C40F5D">
            <w:pPr>
              <w:pStyle w:val="ARtabletext"/>
              <w:rPr>
                <w:b/>
              </w:rPr>
            </w:pPr>
          </w:p>
        </w:tc>
      </w:tr>
      <w:tr w:rsidR="00C15C65" w:rsidRPr="002029AF" w14:paraId="3246E43F" w14:textId="77777777" w:rsidTr="009950F3">
        <w:trPr>
          <w:gridAfter w:val="1"/>
          <w:wAfter w:w="6" w:type="dxa"/>
          <w:cantSplit/>
        </w:trPr>
        <w:tc>
          <w:tcPr>
            <w:tcW w:w="9633" w:type="dxa"/>
            <w:gridSpan w:val="10"/>
            <w:tcBorders>
              <w:bottom w:val="single" w:sz="4" w:space="0" w:color="auto"/>
            </w:tcBorders>
            <w:shd w:val="clear" w:color="auto" w:fill="auto"/>
            <w:noWrap/>
            <w:hideMark/>
          </w:tcPr>
          <w:p w14:paraId="5363AF3F" w14:textId="698C4066" w:rsidR="00C15C65" w:rsidRPr="002029AF" w:rsidRDefault="00C15C65" w:rsidP="002C5190">
            <w:pPr>
              <w:pStyle w:val="ARtablenoteindent"/>
            </w:pPr>
            <w:r w:rsidRPr="002029AF">
              <w:t>The</w:t>
            </w:r>
            <w:r w:rsidR="000A5329" w:rsidRPr="002029AF">
              <w:t xml:space="preserve"> </w:t>
            </w:r>
            <w:r w:rsidRPr="002029AF">
              <w:t>201</w:t>
            </w:r>
            <w:r w:rsidR="00DB53E6" w:rsidRPr="002029AF">
              <w:t>9–</w:t>
            </w:r>
            <w:r w:rsidRPr="002029AF">
              <w:t>20</w:t>
            </w:r>
            <w:r w:rsidR="000A5329" w:rsidRPr="002029AF">
              <w:t xml:space="preserve"> </w:t>
            </w:r>
            <w:r w:rsidRPr="002029AF">
              <w:t>actual</w:t>
            </w:r>
            <w:r w:rsidR="000A5329" w:rsidRPr="002029AF">
              <w:t xml:space="preserve"> </w:t>
            </w:r>
            <w:r w:rsidRPr="002029AF">
              <w:t>outcome</w:t>
            </w:r>
            <w:r w:rsidR="000A5329" w:rsidRPr="002029AF">
              <w:t xml:space="preserve"> </w:t>
            </w:r>
            <w:r w:rsidRPr="002029AF">
              <w:t>primarily</w:t>
            </w:r>
            <w:r w:rsidR="000A5329" w:rsidRPr="002029AF">
              <w:t xml:space="preserve"> </w:t>
            </w:r>
            <w:r w:rsidRPr="002029AF">
              <w:t>reflects</w:t>
            </w:r>
            <w:r w:rsidR="000A5329" w:rsidRPr="002029AF">
              <w:t xml:space="preserve"> </w:t>
            </w:r>
            <w:r w:rsidRPr="002029AF">
              <w:t>higher</w:t>
            </w:r>
            <w:r w:rsidR="000A5329" w:rsidRPr="002029AF">
              <w:t xml:space="preserve"> </w:t>
            </w:r>
            <w:r w:rsidRPr="002029AF">
              <w:t>expenditure</w:t>
            </w:r>
            <w:r w:rsidR="000A5329" w:rsidRPr="002029AF">
              <w:t xml:space="preserve"> </w:t>
            </w:r>
            <w:r w:rsidRPr="002029AF">
              <w:t>on</w:t>
            </w:r>
            <w:r w:rsidR="000A5329" w:rsidRPr="002029AF">
              <w:t xml:space="preserve"> </w:t>
            </w:r>
            <w:r w:rsidRPr="002029AF">
              <w:t>the</w:t>
            </w:r>
            <w:r w:rsidR="000A5329" w:rsidRPr="002029AF">
              <w:t xml:space="preserve"> </w:t>
            </w:r>
            <w:r w:rsidRPr="002029AF">
              <w:t>Seniors</w:t>
            </w:r>
            <w:r w:rsidR="000A5329" w:rsidRPr="002029AF">
              <w:t xml:space="preserve"> </w:t>
            </w:r>
            <w:r w:rsidRPr="002029AF">
              <w:t>Card,</w:t>
            </w:r>
            <w:r w:rsidR="000A5329" w:rsidRPr="002029AF">
              <w:t xml:space="preserve"> </w:t>
            </w:r>
            <w:r w:rsidRPr="002029AF">
              <w:t>Companion</w:t>
            </w:r>
            <w:r w:rsidR="000A5329" w:rsidRPr="002029AF">
              <w:t xml:space="preserve"> </w:t>
            </w:r>
            <w:r w:rsidRPr="002029AF">
              <w:t>Card</w:t>
            </w:r>
            <w:r w:rsidR="000A5329" w:rsidRPr="002029AF">
              <w:t xml:space="preserve"> </w:t>
            </w:r>
            <w:r w:rsidRPr="002029AF">
              <w:t>and</w:t>
            </w:r>
            <w:r w:rsidR="000A5329" w:rsidRPr="002029AF">
              <w:t xml:space="preserve"> </w:t>
            </w:r>
            <w:r w:rsidRPr="002029AF">
              <w:t>Elder</w:t>
            </w:r>
            <w:r w:rsidR="000A5329" w:rsidRPr="002029AF">
              <w:t xml:space="preserve"> </w:t>
            </w:r>
            <w:r w:rsidRPr="002029AF">
              <w:t>Abuse</w:t>
            </w:r>
            <w:r w:rsidR="000A5329" w:rsidRPr="002029AF">
              <w:t xml:space="preserve"> </w:t>
            </w:r>
            <w:r w:rsidRPr="002029AF">
              <w:t>Prevention</w:t>
            </w:r>
            <w:r w:rsidR="000A5329" w:rsidRPr="002029AF">
              <w:t xml:space="preserve"> </w:t>
            </w:r>
            <w:r w:rsidRPr="002029AF">
              <w:t>programs.</w:t>
            </w:r>
          </w:p>
        </w:tc>
      </w:tr>
      <w:tr w:rsidR="00C15C65" w:rsidRPr="002029AF" w14:paraId="2ADEF267" w14:textId="77777777" w:rsidTr="005B58F0">
        <w:trPr>
          <w:cantSplit/>
        </w:trPr>
        <w:tc>
          <w:tcPr>
            <w:tcW w:w="9639" w:type="dxa"/>
            <w:gridSpan w:val="11"/>
            <w:tcBorders>
              <w:top w:val="single" w:sz="4" w:space="0" w:color="auto"/>
              <w:left w:val="nil"/>
              <w:bottom w:val="single" w:sz="4" w:space="0" w:color="auto"/>
              <w:right w:val="nil"/>
            </w:tcBorders>
            <w:hideMark/>
          </w:tcPr>
          <w:p w14:paraId="64AF0EFD" w14:textId="11008ADE" w:rsidR="00C15C65" w:rsidRPr="002029AF" w:rsidRDefault="00C15C65" w:rsidP="006D5287">
            <w:pPr>
              <w:pStyle w:val="ARtablesubhead"/>
              <w:keepNext/>
            </w:pPr>
            <w:r w:rsidRPr="002029AF">
              <w:lastRenderedPageBreak/>
              <w:t>Residential</w:t>
            </w:r>
            <w:r w:rsidR="000A5329" w:rsidRPr="002029AF">
              <w:t xml:space="preserve"> </w:t>
            </w:r>
            <w:r w:rsidRPr="002029AF">
              <w:t>Aged</w:t>
            </w:r>
            <w:r w:rsidR="000A5329" w:rsidRPr="002029AF">
              <w:t xml:space="preserve"> </w:t>
            </w:r>
            <w:r w:rsidRPr="002029AF">
              <w:t>Care</w:t>
            </w:r>
          </w:p>
        </w:tc>
      </w:tr>
      <w:tr w:rsidR="00C15C65" w:rsidRPr="002029AF" w14:paraId="744E5AA6" w14:textId="77777777" w:rsidTr="005B58F0">
        <w:trPr>
          <w:cantSplit/>
        </w:trPr>
        <w:tc>
          <w:tcPr>
            <w:tcW w:w="9639" w:type="dxa"/>
            <w:gridSpan w:val="11"/>
            <w:tcBorders>
              <w:top w:val="single" w:sz="4" w:space="0" w:color="auto"/>
              <w:left w:val="nil"/>
              <w:bottom w:val="nil"/>
              <w:right w:val="nil"/>
            </w:tcBorders>
            <w:hideMark/>
          </w:tcPr>
          <w:p w14:paraId="460621E0" w14:textId="77777777" w:rsidR="00C15C65" w:rsidRPr="002029AF" w:rsidRDefault="00C15C65" w:rsidP="006D5287">
            <w:pPr>
              <w:pStyle w:val="ARtablegreybold"/>
              <w:keepNext/>
            </w:pPr>
            <w:r w:rsidRPr="002029AF">
              <w:t>Quantity</w:t>
            </w:r>
          </w:p>
        </w:tc>
      </w:tr>
      <w:tr w:rsidR="00C15C65" w:rsidRPr="002029AF" w14:paraId="3FB2C643" w14:textId="77777777" w:rsidTr="005B58F0">
        <w:trPr>
          <w:gridAfter w:val="1"/>
          <w:wAfter w:w="6" w:type="dxa"/>
          <w:cantSplit/>
        </w:trPr>
        <w:tc>
          <w:tcPr>
            <w:tcW w:w="4752" w:type="dxa"/>
            <w:gridSpan w:val="2"/>
            <w:shd w:val="clear" w:color="auto" w:fill="auto"/>
            <w:hideMark/>
          </w:tcPr>
          <w:p w14:paraId="7CF88F0F" w14:textId="1EFFC4CA" w:rsidR="00C15C65" w:rsidRPr="002029AF" w:rsidRDefault="00C15C65" w:rsidP="00C40F5D">
            <w:pPr>
              <w:pStyle w:val="ARtabletext"/>
            </w:pPr>
            <w:r w:rsidRPr="002029AF">
              <w:t>Available</w:t>
            </w:r>
            <w:r w:rsidR="000A5329" w:rsidRPr="002029AF">
              <w:t xml:space="preserve"> </w:t>
            </w:r>
            <w:r w:rsidRPr="002029AF">
              <w:t>bed</w:t>
            </w:r>
            <w:r w:rsidR="000A5329" w:rsidRPr="002029AF">
              <w:t xml:space="preserve"> </w:t>
            </w:r>
            <w:r w:rsidRPr="002029AF">
              <w:t>days</w:t>
            </w:r>
          </w:p>
        </w:tc>
        <w:tc>
          <w:tcPr>
            <w:tcW w:w="1020" w:type="dxa"/>
            <w:gridSpan w:val="2"/>
            <w:shd w:val="clear" w:color="auto" w:fill="auto"/>
            <w:hideMark/>
          </w:tcPr>
          <w:p w14:paraId="66951CEC" w14:textId="77777777" w:rsidR="00C15C65" w:rsidRPr="002029AF" w:rsidRDefault="00C15C65" w:rsidP="00C40F5D">
            <w:pPr>
              <w:pStyle w:val="ARtabletext"/>
            </w:pPr>
            <w:r w:rsidRPr="002029AF">
              <w:t>days</w:t>
            </w:r>
          </w:p>
        </w:tc>
        <w:tc>
          <w:tcPr>
            <w:tcW w:w="1020" w:type="dxa"/>
            <w:gridSpan w:val="2"/>
            <w:shd w:val="clear" w:color="auto" w:fill="auto"/>
            <w:hideMark/>
          </w:tcPr>
          <w:p w14:paraId="018367EC" w14:textId="77777777" w:rsidR="00C15C65" w:rsidRPr="002029AF" w:rsidRDefault="00C15C65" w:rsidP="0014376C">
            <w:pPr>
              <w:pStyle w:val="ARtabletextright"/>
            </w:pPr>
            <w:r w:rsidRPr="002029AF">
              <w:t>1,152,417</w:t>
            </w:r>
          </w:p>
        </w:tc>
        <w:tc>
          <w:tcPr>
            <w:tcW w:w="1020" w:type="dxa"/>
            <w:gridSpan w:val="2"/>
            <w:shd w:val="clear" w:color="auto" w:fill="auto"/>
            <w:hideMark/>
          </w:tcPr>
          <w:p w14:paraId="29368893" w14:textId="77777777" w:rsidR="00C15C65" w:rsidRPr="002029AF" w:rsidRDefault="00C15C65" w:rsidP="0014376C">
            <w:pPr>
              <w:pStyle w:val="ARtabletextright"/>
            </w:pPr>
            <w:r w:rsidRPr="002029AF">
              <w:t>1,142,016</w:t>
            </w:r>
          </w:p>
        </w:tc>
        <w:tc>
          <w:tcPr>
            <w:tcW w:w="1023" w:type="dxa"/>
            <w:shd w:val="clear" w:color="auto" w:fill="auto"/>
          </w:tcPr>
          <w:p w14:paraId="2C223FF4" w14:textId="77777777" w:rsidR="00C15C65" w:rsidRPr="002029AF" w:rsidRDefault="00C15C65" w:rsidP="0014376C">
            <w:pPr>
              <w:pStyle w:val="ARtabletextright"/>
            </w:pPr>
            <w:r w:rsidRPr="002029AF">
              <w:t>-0.9</w:t>
            </w:r>
          </w:p>
        </w:tc>
        <w:tc>
          <w:tcPr>
            <w:tcW w:w="798" w:type="dxa"/>
            <w:shd w:val="clear" w:color="auto" w:fill="auto"/>
            <w:hideMark/>
          </w:tcPr>
          <w:p w14:paraId="38FC3CBC" w14:textId="0656034C" w:rsidR="00C15C65" w:rsidRPr="002029AF" w:rsidRDefault="003A6C3B" w:rsidP="000F6867">
            <w:pPr>
              <w:pStyle w:val="ARtableperformancesymbol"/>
              <w:rPr>
                <w:rFonts w:hint="eastAsia"/>
                <w:lang w:val="en-AU"/>
              </w:rPr>
            </w:pPr>
            <w:r w:rsidRPr="002029AF">
              <w:rPr>
                <w:lang w:val="en-AU"/>
              </w:rPr>
              <w:t>□</w:t>
            </w:r>
          </w:p>
        </w:tc>
      </w:tr>
      <w:tr w:rsidR="00C15C65" w:rsidRPr="002029AF" w14:paraId="0EE5419F" w14:textId="77777777" w:rsidTr="005B58F0">
        <w:trPr>
          <w:cantSplit/>
        </w:trPr>
        <w:tc>
          <w:tcPr>
            <w:tcW w:w="9639" w:type="dxa"/>
            <w:gridSpan w:val="11"/>
            <w:tcBorders>
              <w:top w:val="single" w:sz="4" w:space="0" w:color="auto"/>
              <w:left w:val="nil"/>
              <w:right w:val="nil"/>
            </w:tcBorders>
            <w:hideMark/>
          </w:tcPr>
          <w:p w14:paraId="486CBEEC" w14:textId="77777777" w:rsidR="00C15C65" w:rsidRPr="002029AF" w:rsidRDefault="00C15C65" w:rsidP="00D96AFD">
            <w:pPr>
              <w:pStyle w:val="ARtablegreybold"/>
            </w:pPr>
            <w:r w:rsidRPr="002029AF">
              <w:t>Quality</w:t>
            </w:r>
          </w:p>
        </w:tc>
      </w:tr>
      <w:tr w:rsidR="00C15C65" w:rsidRPr="002029AF" w14:paraId="7A8D1162" w14:textId="77777777" w:rsidTr="005B58F0">
        <w:trPr>
          <w:gridAfter w:val="1"/>
          <w:wAfter w:w="6" w:type="dxa"/>
          <w:cantSplit/>
        </w:trPr>
        <w:tc>
          <w:tcPr>
            <w:tcW w:w="4752" w:type="dxa"/>
            <w:gridSpan w:val="2"/>
            <w:tcBorders>
              <w:bottom w:val="single" w:sz="4" w:space="0" w:color="auto"/>
            </w:tcBorders>
            <w:shd w:val="clear" w:color="auto" w:fill="auto"/>
            <w:hideMark/>
          </w:tcPr>
          <w:p w14:paraId="0C133B18" w14:textId="4B440BBE" w:rsidR="00C15C65" w:rsidRPr="002029AF" w:rsidRDefault="00C15C65" w:rsidP="00C40F5D">
            <w:pPr>
              <w:pStyle w:val="ARtabletext"/>
            </w:pPr>
            <w:r w:rsidRPr="002029AF">
              <w:t>Residential</w:t>
            </w:r>
            <w:r w:rsidR="000A5329" w:rsidRPr="002029AF">
              <w:t xml:space="preserve"> </w:t>
            </w:r>
            <w:r w:rsidRPr="002029AF">
              <w:t>care</w:t>
            </w:r>
            <w:r w:rsidR="000A5329" w:rsidRPr="002029AF">
              <w:t xml:space="preserve"> </w:t>
            </w:r>
            <w:r w:rsidRPr="002029AF">
              <w:t>services</w:t>
            </w:r>
            <w:r w:rsidR="000A5329" w:rsidRPr="002029AF">
              <w:t xml:space="preserve"> </w:t>
            </w:r>
            <w:r w:rsidRPr="002029AF">
              <w:t>accredited</w:t>
            </w:r>
          </w:p>
        </w:tc>
        <w:tc>
          <w:tcPr>
            <w:tcW w:w="1020" w:type="dxa"/>
            <w:gridSpan w:val="2"/>
            <w:tcBorders>
              <w:bottom w:val="single" w:sz="4" w:space="0" w:color="auto"/>
            </w:tcBorders>
            <w:shd w:val="clear" w:color="auto" w:fill="auto"/>
            <w:hideMark/>
          </w:tcPr>
          <w:p w14:paraId="58CEC263" w14:textId="270A8463" w:rsidR="00C15C65" w:rsidRPr="002029AF" w:rsidRDefault="00C15C65" w:rsidP="00C40F5D">
            <w:pPr>
              <w:pStyle w:val="ARtabletext"/>
            </w:pPr>
            <w:r w:rsidRPr="002029AF">
              <w:t>per</w:t>
            </w:r>
            <w:r w:rsidR="000A5329" w:rsidRPr="002029AF">
              <w:t xml:space="preserve"> </w:t>
            </w:r>
            <w:r w:rsidRPr="002029AF">
              <w:t>cent</w:t>
            </w:r>
          </w:p>
        </w:tc>
        <w:tc>
          <w:tcPr>
            <w:tcW w:w="1020" w:type="dxa"/>
            <w:gridSpan w:val="2"/>
            <w:tcBorders>
              <w:bottom w:val="single" w:sz="4" w:space="0" w:color="auto"/>
            </w:tcBorders>
            <w:shd w:val="clear" w:color="auto" w:fill="auto"/>
            <w:hideMark/>
          </w:tcPr>
          <w:p w14:paraId="0F04326D" w14:textId="77777777" w:rsidR="00C15C65" w:rsidRPr="002029AF" w:rsidRDefault="00C15C65" w:rsidP="0014376C">
            <w:pPr>
              <w:pStyle w:val="ARtabletextright"/>
            </w:pPr>
            <w:r w:rsidRPr="002029AF">
              <w:t>100</w:t>
            </w:r>
          </w:p>
        </w:tc>
        <w:tc>
          <w:tcPr>
            <w:tcW w:w="1020" w:type="dxa"/>
            <w:gridSpan w:val="2"/>
            <w:tcBorders>
              <w:bottom w:val="single" w:sz="4" w:space="0" w:color="auto"/>
            </w:tcBorders>
            <w:shd w:val="clear" w:color="auto" w:fill="auto"/>
            <w:hideMark/>
          </w:tcPr>
          <w:p w14:paraId="2F0F26A3" w14:textId="77777777" w:rsidR="00C15C65" w:rsidRPr="002029AF" w:rsidRDefault="00C15C65" w:rsidP="0014376C">
            <w:pPr>
              <w:pStyle w:val="ARtabletextright"/>
            </w:pPr>
            <w:r w:rsidRPr="002029AF">
              <w:t>100</w:t>
            </w:r>
          </w:p>
        </w:tc>
        <w:tc>
          <w:tcPr>
            <w:tcW w:w="1023" w:type="dxa"/>
            <w:tcBorders>
              <w:bottom w:val="single" w:sz="4" w:space="0" w:color="auto"/>
            </w:tcBorders>
            <w:shd w:val="clear" w:color="auto" w:fill="auto"/>
          </w:tcPr>
          <w:p w14:paraId="734A070A" w14:textId="77777777" w:rsidR="00C15C65" w:rsidRPr="002029AF" w:rsidRDefault="00C15C65" w:rsidP="0014376C">
            <w:pPr>
              <w:pStyle w:val="ARtabletextright"/>
            </w:pPr>
            <w:r w:rsidRPr="002029AF">
              <w:t>0.0</w:t>
            </w:r>
          </w:p>
        </w:tc>
        <w:tc>
          <w:tcPr>
            <w:tcW w:w="798" w:type="dxa"/>
            <w:tcBorders>
              <w:bottom w:val="single" w:sz="4" w:space="0" w:color="auto"/>
            </w:tcBorders>
            <w:shd w:val="clear" w:color="auto" w:fill="auto"/>
            <w:hideMark/>
          </w:tcPr>
          <w:p w14:paraId="79FD03F0"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1DD418F7" w14:textId="77777777" w:rsidTr="005B58F0">
        <w:trPr>
          <w:cantSplit/>
        </w:trPr>
        <w:tc>
          <w:tcPr>
            <w:tcW w:w="9639" w:type="dxa"/>
            <w:gridSpan w:val="11"/>
            <w:tcBorders>
              <w:top w:val="single" w:sz="4" w:space="0" w:color="auto"/>
              <w:left w:val="nil"/>
              <w:bottom w:val="nil"/>
              <w:right w:val="nil"/>
            </w:tcBorders>
            <w:hideMark/>
          </w:tcPr>
          <w:p w14:paraId="10E0DEE8" w14:textId="77777777" w:rsidR="00C15C65" w:rsidRPr="002029AF" w:rsidRDefault="00C15C65" w:rsidP="007666A5">
            <w:pPr>
              <w:pStyle w:val="ARtablegreybold"/>
            </w:pPr>
            <w:r w:rsidRPr="002029AF">
              <w:t>Cost</w:t>
            </w:r>
          </w:p>
        </w:tc>
      </w:tr>
      <w:tr w:rsidR="00C15C65" w:rsidRPr="002029AF" w14:paraId="773DF87A" w14:textId="77777777" w:rsidTr="005B58F0">
        <w:trPr>
          <w:cantSplit/>
        </w:trPr>
        <w:tc>
          <w:tcPr>
            <w:tcW w:w="4725" w:type="dxa"/>
            <w:hideMark/>
          </w:tcPr>
          <w:p w14:paraId="6CCE756C" w14:textId="6028B2E6" w:rsidR="00C15C65" w:rsidRPr="002029AF" w:rsidRDefault="00C15C65" w:rsidP="00C40F5D">
            <w:pPr>
              <w:pStyle w:val="ARtabletext"/>
              <w:rPr>
                <w:b/>
              </w:rPr>
            </w:pPr>
            <w:r w:rsidRPr="002029AF">
              <w:rPr>
                <w:b/>
              </w:rPr>
              <w:t>Total</w:t>
            </w:r>
            <w:r w:rsidR="000A5329" w:rsidRPr="002029AF">
              <w:rPr>
                <w:b/>
              </w:rPr>
              <w:t xml:space="preserve"> </w:t>
            </w:r>
            <w:r w:rsidRPr="002029AF">
              <w:rPr>
                <w:b/>
              </w:rPr>
              <w:t>output</w:t>
            </w:r>
            <w:r w:rsidR="000A5329" w:rsidRPr="002029AF">
              <w:rPr>
                <w:b/>
              </w:rPr>
              <w:t xml:space="preserve"> </w:t>
            </w:r>
            <w:r w:rsidRPr="002029AF">
              <w:rPr>
                <w:b/>
              </w:rPr>
              <w:t>cost</w:t>
            </w:r>
          </w:p>
        </w:tc>
        <w:tc>
          <w:tcPr>
            <w:tcW w:w="1016" w:type="dxa"/>
            <w:gridSpan w:val="2"/>
            <w:hideMark/>
          </w:tcPr>
          <w:p w14:paraId="477BAB31" w14:textId="5E64B8AF" w:rsidR="00C15C65" w:rsidRPr="002029AF" w:rsidRDefault="00C15C65" w:rsidP="00C40F5D">
            <w:pPr>
              <w:pStyle w:val="ARtabletext"/>
              <w:rPr>
                <w:b/>
              </w:rPr>
            </w:pPr>
            <w:r w:rsidRPr="002029AF">
              <w:rPr>
                <w:b/>
              </w:rPr>
              <w:t>$</w:t>
            </w:r>
            <w:r w:rsidR="000A5329" w:rsidRPr="002029AF">
              <w:rPr>
                <w:b/>
              </w:rPr>
              <w:t xml:space="preserve"> </w:t>
            </w:r>
            <w:r w:rsidRPr="002029AF">
              <w:rPr>
                <w:b/>
              </w:rPr>
              <w:t>million</w:t>
            </w:r>
          </w:p>
        </w:tc>
        <w:tc>
          <w:tcPr>
            <w:tcW w:w="1016" w:type="dxa"/>
            <w:gridSpan w:val="2"/>
          </w:tcPr>
          <w:p w14:paraId="6E63537C" w14:textId="77777777" w:rsidR="00C15C65" w:rsidRPr="002029AF" w:rsidRDefault="00C15C65" w:rsidP="00C40F5D">
            <w:pPr>
              <w:pStyle w:val="ARtabletext"/>
              <w:rPr>
                <w:b/>
              </w:rPr>
            </w:pPr>
            <w:r w:rsidRPr="002029AF">
              <w:rPr>
                <w:b/>
              </w:rPr>
              <w:t>433.0</w:t>
            </w:r>
          </w:p>
        </w:tc>
        <w:tc>
          <w:tcPr>
            <w:tcW w:w="1020" w:type="dxa"/>
            <w:gridSpan w:val="2"/>
          </w:tcPr>
          <w:p w14:paraId="7386B055" w14:textId="77777777" w:rsidR="00C15C65" w:rsidRPr="002029AF" w:rsidRDefault="00C15C65" w:rsidP="00C40F5D">
            <w:pPr>
              <w:pStyle w:val="ARtabletext"/>
              <w:rPr>
                <w:b/>
              </w:rPr>
            </w:pPr>
            <w:r w:rsidRPr="002029AF">
              <w:rPr>
                <w:b/>
              </w:rPr>
              <w:t>380.5</w:t>
            </w:r>
          </w:p>
        </w:tc>
        <w:tc>
          <w:tcPr>
            <w:tcW w:w="1058" w:type="dxa"/>
            <w:gridSpan w:val="2"/>
          </w:tcPr>
          <w:p w14:paraId="1127A97D" w14:textId="77777777" w:rsidR="00C15C65" w:rsidRPr="002029AF" w:rsidRDefault="00C15C65" w:rsidP="00C40F5D">
            <w:pPr>
              <w:pStyle w:val="ARtabletext"/>
              <w:rPr>
                <w:b/>
              </w:rPr>
            </w:pPr>
            <w:r w:rsidRPr="002029AF">
              <w:rPr>
                <w:b/>
              </w:rPr>
              <w:t>-12.1</w:t>
            </w:r>
          </w:p>
        </w:tc>
        <w:tc>
          <w:tcPr>
            <w:tcW w:w="804" w:type="dxa"/>
            <w:gridSpan w:val="2"/>
          </w:tcPr>
          <w:p w14:paraId="399DD696" w14:textId="77777777" w:rsidR="00C15C65" w:rsidRPr="002029AF" w:rsidRDefault="00C15C65" w:rsidP="00C40F5D">
            <w:pPr>
              <w:pStyle w:val="ARtabletext"/>
              <w:rPr>
                <w:b/>
              </w:rPr>
            </w:pPr>
          </w:p>
        </w:tc>
      </w:tr>
      <w:tr w:rsidR="00C15C65" w:rsidRPr="002029AF" w14:paraId="029FFE6A" w14:textId="77777777" w:rsidTr="005B58F0">
        <w:trPr>
          <w:cantSplit/>
        </w:trPr>
        <w:tc>
          <w:tcPr>
            <w:tcW w:w="9639" w:type="dxa"/>
            <w:gridSpan w:val="11"/>
            <w:tcBorders>
              <w:top w:val="nil"/>
              <w:left w:val="nil"/>
              <w:bottom w:val="single" w:sz="4" w:space="0" w:color="BFBFBF"/>
              <w:right w:val="nil"/>
            </w:tcBorders>
            <w:noWrap/>
          </w:tcPr>
          <w:p w14:paraId="1F72652C" w14:textId="009E7B94" w:rsidR="00C15C65" w:rsidRPr="002029AF" w:rsidRDefault="00C15C65" w:rsidP="002C5190">
            <w:pPr>
              <w:pStyle w:val="ARtablenoteindent"/>
            </w:pPr>
            <w:r w:rsidRPr="002029AF">
              <w:t>The</w:t>
            </w:r>
            <w:r w:rsidR="000A5329" w:rsidRPr="002029AF">
              <w:t xml:space="preserve"> </w:t>
            </w:r>
            <w:r w:rsidRPr="002029AF">
              <w:t>201</w:t>
            </w:r>
            <w:r w:rsidR="00DB53E6" w:rsidRPr="002029AF">
              <w:t>9–</w:t>
            </w:r>
            <w:r w:rsidRPr="002029AF">
              <w:t>20</w:t>
            </w:r>
            <w:r w:rsidR="000A5329" w:rsidRPr="002029AF">
              <w:t xml:space="preserve"> </w:t>
            </w:r>
            <w:r w:rsidRPr="002029AF">
              <w:t>actual</w:t>
            </w:r>
            <w:r w:rsidR="000A5329" w:rsidRPr="002029AF">
              <w:t xml:space="preserve"> </w:t>
            </w:r>
            <w:r w:rsidRPr="002029AF">
              <w:t>outcome</w:t>
            </w:r>
            <w:r w:rsidR="000A5329" w:rsidRPr="002029AF">
              <w:t xml:space="preserve"> </w:t>
            </w:r>
            <w:r w:rsidRPr="002029AF">
              <w:t>primarily</w:t>
            </w:r>
            <w:r w:rsidR="000A5329" w:rsidRPr="002029AF">
              <w:t xml:space="preserve"> </w:t>
            </w:r>
            <w:r w:rsidRPr="002029AF">
              <w:t>relates</w:t>
            </w:r>
            <w:r w:rsidR="000A5329" w:rsidRPr="002029AF">
              <w:t xml:space="preserve"> </w:t>
            </w:r>
            <w:r w:rsidRPr="002029AF">
              <w:t>to</w:t>
            </w:r>
            <w:r w:rsidR="000A5329" w:rsidRPr="002029AF">
              <w:t xml:space="preserve"> </w:t>
            </w:r>
            <w:r w:rsidRPr="002029AF">
              <w:t>lower</w:t>
            </w:r>
            <w:r w:rsidR="000A5329" w:rsidRPr="002029AF">
              <w:t xml:space="preserve"> </w:t>
            </w:r>
            <w:r w:rsidRPr="002029AF">
              <w:t>than</w:t>
            </w:r>
            <w:r w:rsidR="000A5329" w:rsidRPr="002029AF">
              <w:t xml:space="preserve"> </w:t>
            </w:r>
            <w:r w:rsidRPr="002029AF">
              <w:t>estimated</w:t>
            </w:r>
            <w:r w:rsidR="000A5329" w:rsidRPr="002029AF">
              <w:t xml:space="preserve"> </w:t>
            </w:r>
            <w:r w:rsidRPr="002029AF">
              <w:t>Commonwealth</w:t>
            </w:r>
            <w:r w:rsidR="000A5329" w:rsidRPr="002029AF">
              <w:t xml:space="preserve"> </w:t>
            </w:r>
            <w:r w:rsidRPr="002029AF">
              <w:t>revenue</w:t>
            </w:r>
            <w:r w:rsidR="000A5329" w:rsidRPr="002029AF">
              <w:t xml:space="preserve"> </w:t>
            </w:r>
            <w:r w:rsidRPr="002029AF">
              <w:t>direct</w:t>
            </w:r>
            <w:r w:rsidR="000A5329" w:rsidRPr="002029AF">
              <w:t xml:space="preserve"> </w:t>
            </w:r>
            <w:r w:rsidRPr="002029AF">
              <w:t>to</w:t>
            </w:r>
            <w:r w:rsidR="000A5329" w:rsidRPr="002029AF">
              <w:t xml:space="preserve"> </w:t>
            </w:r>
            <w:r w:rsidRPr="002029AF">
              <w:t>hospitals,</w:t>
            </w:r>
            <w:r w:rsidR="000A5329" w:rsidRPr="002029AF">
              <w:t xml:space="preserve"> </w:t>
            </w:r>
            <w:r w:rsidRPr="002029AF">
              <w:t>lower</w:t>
            </w:r>
            <w:r w:rsidR="000A5329" w:rsidRPr="002029AF">
              <w:t xml:space="preserve"> </w:t>
            </w:r>
            <w:r w:rsidRPr="002029AF">
              <w:t>than</w:t>
            </w:r>
            <w:r w:rsidR="000A5329" w:rsidRPr="002029AF">
              <w:t xml:space="preserve"> </w:t>
            </w:r>
            <w:r w:rsidRPr="002029AF">
              <w:t>budgeted</w:t>
            </w:r>
            <w:r w:rsidR="000A5329" w:rsidRPr="002029AF">
              <w:t xml:space="preserve"> </w:t>
            </w:r>
            <w:r w:rsidRPr="002029AF">
              <w:t>resident</w:t>
            </w:r>
            <w:r w:rsidR="000A5329" w:rsidRPr="002029AF">
              <w:t xml:space="preserve"> </w:t>
            </w:r>
            <w:r w:rsidRPr="002029AF">
              <w:t>contributions</w:t>
            </w:r>
            <w:r w:rsidR="000A5329" w:rsidRPr="002029AF">
              <w:t xml:space="preserve"> </w:t>
            </w:r>
            <w:r w:rsidRPr="002029AF">
              <w:t>and</w:t>
            </w:r>
            <w:r w:rsidR="000A5329" w:rsidRPr="002029AF">
              <w:t xml:space="preserve"> </w:t>
            </w:r>
            <w:r w:rsidRPr="002029AF">
              <w:t>an</w:t>
            </w:r>
            <w:r w:rsidR="000A5329" w:rsidRPr="002029AF">
              <w:t xml:space="preserve"> </w:t>
            </w:r>
            <w:r w:rsidRPr="002029AF">
              <w:t>output</w:t>
            </w:r>
            <w:r w:rsidR="000A5329" w:rsidRPr="002029AF">
              <w:t xml:space="preserve"> </w:t>
            </w:r>
            <w:r w:rsidRPr="002029AF">
              <w:t>realignment</w:t>
            </w:r>
            <w:r w:rsidR="000A5329" w:rsidRPr="002029AF">
              <w:t xml:space="preserve"> </w:t>
            </w:r>
            <w:r w:rsidRPr="002029AF">
              <w:t>across</w:t>
            </w:r>
            <w:r w:rsidR="000A5329" w:rsidRPr="002029AF">
              <w:t xml:space="preserve"> </w:t>
            </w:r>
            <w:r w:rsidRPr="002029AF">
              <w:t>the</w:t>
            </w:r>
            <w:r w:rsidR="000A5329" w:rsidRPr="002029AF">
              <w:t xml:space="preserve"> </w:t>
            </w:r>
            <w:r w:rsidRPr="002029AF">
              <w:t>output</w:t>
            </w:r>
            <w:r w:rsidR="000A5329" w:rsidRPr="002029AF">
              <w:t xml:space="preserve"> </w:t>
            </w:r>
            <w:r w:rsidRPr="002029AF">
              <w:t>group.</w:t>
            </w:r>
          </w:p>
        </w:tc>
      </w:tr>
      <w:tr w:rsidR="00C15C65" w:rsidRPr="002029AF" w14:paraId="6005A4AE" w14:textId="77777777" w:rsidTr="005B58F0">
        <w:trPr>
          <w:cantSplit/>
        </w:trPr>
        <w:tc>
          <w:tcPr>
            <w:tcW w:w="9639" w:type="dxa"/>
            <w:gridSpan w:val="11"/>
            <w:tcBorders>
              <w:top w:val="single" w:sz="4" w:space="0" w:color="auto"/>
              <w:left w:val="nil"/>
              <w:bottom w:val="single" w:sz="4" w:space="0" w:color="auto"/>
              <w:right w:val="nil"/>
            </w:tcBorders>
            <w:hideMark/>
          </w:tcPr>
          <w:p w14:paraId="4EEFC92D" w14:textId="3049B72F" w:rsidR="00C15C65" w:rsidRPr="002029AF" w:rsidRDefault="00C15C65" w:rsidP="007666A5">
            <w:pPr>
              <w:pStyle w:val="ARtablesubhead"/>
            </w:pPr>
            <w:r w:rsidRPr="002029AF">
              <w:t>Aged</w:t>
            </w:r>
            <w:r w:rsidR="000A5329" w:rsidRPr="002029AF">
              <w:t xml:space="preserve"> </w:t>
            </w:r>
            <w:r w:rsidRPr="002029AF">
              <w:t>Care</w:t>
            </w:r>
            <w:r w:rsidR="000A5329" w:rsidRPr="002029AF">
              <w:t xml:space="preserve"> </w:t>
            </w:r>
            <w:r w:rsidRPr="002029AF">
              <w:t>Assessment</w:t>
            </w:r>
          </w:p>
        </w:tc>
      </w:tr>
      <w:tr w:rsidR="00C15C65" w:rsidRPr="002029AF" w14:paraId="2D0D3CED" w14:textId="77777777" w:rsidTr="005B58F0">
        <w:trPr>
          <w:cantSplit/>
        </w:trPr>
        <w:tc>
          <w:tcPr>
            <w:tcW w:w="9639" w:type="dxa"/>
            <w:gridSpan w:val="11"/>
            <w:tcBorders>
              <w:top w:val="single" w:sz="4" w:space="0" w:color="auto"/>
              <w:left w:val="nil"/>
              <w:bottom w:val="nil"/>
              <w:right w:val="nil"/>
            </w:tcBorders>
            <w:hideMark/>
          </w:tcPr>
          <w:p w14:paraId="538B962E" w14:textId="77777777" w:rsidR="00C15C65" w:rsidRPr="002029AF" w:rsidRDefault="00C15C65" w:rsidP="00D96AFD">
            <w:pPr>
              <w:pStyle w:val="ARtablegreybold"/>
            </w:pPr>
            <w:r w:rsidRPr="002029AF">
              <w:t>Quantity</w:t>
            </w:r>
          </w:p>
        </w:tc>
      </w:tr>
      <w:tr w:rsidR="00C15C65" w:rsidRPr="002029AF" w14:paraId="01C89733" w14:textId="77777777" w:rsidTr="005B58F0">
        <w:trPr>
          <w:gridAfter w:val="1"/>
          <w:wAfter w:w="6" w:type="dxa"/>
          <w:cantSplit/>
        </w:trPr>
        <w:tc>
          <w:tcPr>
            <w:tcW w:w="4752" w:type="dxa"/>
            <w:gridSpan w:val="2"/>
            <w:shd w:val="clear" w:color="auto" w:fill="auto"/>
            <w:hideMark/>
          </w:tcPr>
          <w:p w14:paraId="6FE71E3F" w14:textId="3DC90026" w:rsidR="00C15C65" w:rsidRPr="002029AF" w:rsidRDefault="00C15C65" w:rsidP="00C40F5D">
            <w:pPr>
              <w:pStyle w:val="ARtabletext"/>
            </w:pPr>
            <w:r w:rsidRPr="002029AF">
              <w:t>Aged</w:t>
            </w:r>
            <w:r w:rsidR="000A5329" w:rsidRPr="002029AF">
              <w:t xml:space="preserve"> </w:t>
            </w:r>
            <w:r w:rsidRPr="002029AF">
              <w:t>care</w:t>
            </w:r>
            <w:r w:rsidR="000A5329" w:rsidRPr="002029AF">
              <w:t xml:space="preserve"> </w:t>
            </w:r>
            <w:r w:rsidRPr="002029AF">
              <w:t>assessments</w:t>
            </w:r>
          </w:p>
        </w:tc>
        <w:tc>
          <w:tcPr>
            <w:tcW w:w="1020" w:type="dxa"/>
            <w:gridSpan w:val="2"/>
            <w:shd w:val="clear" w:color="auto" w:fill="auto"/>
            <w:hideMark/>
          </w:tcPr>
          <w:p w14:paraId="1080420A" w14:textId="77777777" w:rsidR="00C15C65" w:rsidRPr="002029AF" w:rsidRDefault="00C15C65" w:rsidP="00C40F5D">
            <w:pPr>
              <w:pStyle w:val="ARtabletext"/>
            </w:pPr>
            <w:r w:rsidRPr="002029AF">
              <w:t>number</w:t>
            </w:r>
          </w:p>
        </w:tc>
        <w:tc>
          <w:tcPr>
            <w:tcW w:w="1020" w:type="dxa"/>
            <w:gridSpan w:val="2"/>
            <w:shd w:val="clear" w:color="auto" w:fill="auto"/>
            <w:hideMark/>
          </w:tcPr>
          <w:p w14:paraId="23722385" w14:textId="77777777" w:rsidR="00C15C65" w:rsidRPr="002029AF" w:rsidRDefault="00C15C65" w:rsidP="0014376C">
            <w:pPr>
              <w:pStyle w:val="ARtabletextright"/>
            </w:pPr>
            <w:r w:rsidRPr="002029AF">
              <w:t>59,000</w:t>
            </w:r>
          </w:p>
        </w:tc>
        <w:tc>
          <w:tcPr>
            <w:tcW w:w="1020" w:type="dxa"/>
            <w:gridSpan w:val="2"/>
            <w:shd w:val="clear" w:color="auto" w:fill="auto"/>
            <w:hideMark/>
          </w:tcPr>
          <w:p w14:paraId="6CC96D65" w14:textId="77777777" w:rsidR="00C15C65" w:rsidRPr="002029AF" w:rsidRDefault="00C15C65" w:rsidP="0014376C">
            <w:pPr>
              <w:pStyle w:val="ARtabletextright"/>
            </w:pPr>
            <w:r w:rsidRPr="002029AF">
              <w:t>52,877</w:t>
            </w:r>
          </w:p>
        </w:tc>
        <w:tc>
          <w:tcPr>
            <w:tcW w:w="1023" w:type="dxa"/>
            <w:shd w:val="clear" w:color="auto" w:fill="auto"/>
          </w:tcPr>
          <w:p w14:paraId="0676B1DB" w14:textId="77777777" w:rsidR="00C15C65" w:rsidRPr="002029AF" w:rsidRDefault="00C15C65" w:rsidP="0014376C">
            <w:pPr>
              <w:pStyle w:val="ARtabletextright"/>
            </w:pPr>
            <w:r w:rsidRPr="002029AF">
              <w:t>-10.4</w:t>
            </w:r>
          </w:p>
        </w:tc>
        <w:tc>
          <w:tcPr>
            <w:tcW w:w="798" w:type="dxa"/>
            <w:shd w:val="clear" w:color="auto" w:fill="auto"/>
            <w:hideMark/>
          </w:tcPr>
          <w:p w14:paraId="1291E345"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1F186C6B" w14:textId="77777777" w:rsidTr="005B58F0">
        <w:trPr>
          <w:gridAfter w:val="1"/>
          <w:wAfter w:w="6" w:type="dxa"/>
          <w:cantSplit/>
        </w:trPr>
        <w:tc>
          <w:tcPr>
            <w:tcW w:w="9633" w:type="dxa"/>
            <w:gridSpan w:val="10"/>
            <w:tcBorders>
              <w:bottom w:val="single" w:sz="4" w:space="0" w:color="BFBFBF"/>
            </w:tcBorders>
            <w:shd w:val="clear" w:color="auto" w:fill="auto"/>
            <w:noWrap/>
            <w:hideMark/>
          </w:tcPr>
          <w:p w14:paraId="075D3DCC" w14:textId="56D5DA90" w:rsidR="00C15C65" w:rsidRPr="002029AF" w:rsidRDefault="00975E07" w:rsidP="00996E89">
            <w:pPr>
              <w:pStyle w:val="ARtablenoteindent"/>
            </w:pPr>
            <w:r w:rsidRPr="008C09BA">
              <w:t>The 2019</w:t>
            </w:r>
            <w:r w:rsidR="00020FE5">
              <w:t>–</w:t>
            </w:r>
            <w:r w:rsidRPr="008C09BA">
              <w:t>20 outcome for assessment volume was lower than the target, as it has been impacted by an overall reduced demand against the target. Coronavirus (COVID-19) has seen a general reduction in demand as people and their families delay assessments, while the bushfires impacted the ability of some specific services to respond during these incidents.</w:t>
            </w:r>
          </w:p>
        </w:tc>
      </w:tr>
      <w:tr w:rsidR="00C15C65" w:rsidRPr="002029AF" w14:paraId="3F0A3C24" w14:textId="77777777" w:rsidTr="005B58F0">
        <w:trPr>
          <w:cantSplit/>
        </w:trPr>
        <w:tc>
          <w:tcPr>
            <w:tcW w:w="9639" w:type="dxa"/>
            <w:gridSpan w:val="11"/>
            <w:tcBorders>
              <w:top w:val="single" w:sz="4" w:space="0" w:color="auto"/>
              <w:left w:val="nil"/>
              <w:bottom w:val="nil"/>
              <w:right w:val="nil"/>
            </w:tcBorders>
            <w:hideMark/>
          </w:tcPr>
          <w:p w14:paraId="0703FCE9" w14:textId="77777777" w:rsidR="00C15C65" w:rsidRPr="002029AF" w:rsidRDefault="00C15C65" w:rsidP="007666A5">
            <w:pPr>
              <w:pStyle w:val="ARtablegreybold"/>
            </w:pPr>
            <w:r w:rsidRPr="002029AF">
              <w:t>Timeliness</w:t>
            </w:r>
          </w:p>
        </w:tc>
      </w:tr>
      <w:tr w:rsidR="00C15C65" w:rsidRPr="002029AF" w14:paraId="1AFE98B0" w14:textId="77777777" w:rsidTr="005B58F0">
        <w:trPr>
          <w:gridAfter w:val="1"/>
          <w:wAfter w:w="6" w:type="dxa"/>
          <w:cantSplit/>
        </w:trPr>
        <w:tc>
          <w:tcPr>
            <w:tcW w:w="4752" w:type="dxa"/>
            <w:gridSpan w:val="2"/>
            <w:shd w:val="clear" w:color="auto" w:fill="auto"/>
            <w:hideMark/>
          </w:tcPr>
          <w:p w14:paraId="06B209D6" w14:textId="75B3A6D1" w:rsidR="00C15C65" w:rsidRPr="002029AF" w:rsidRDefault="00C15C65" w:rsidP="00C40F5D">
            <w:pPr>
              <w:pStyle w:val="ARtabletext"/>
            </w:pPr>
            <w:r w:rsidRPr="002029AF">
              <w:t>Average</w:t>
            </w:r>
            <w:r w:rsidR="000A5329" w:rsidRPr="002029AF">
              <w:t xml:space="preserve"> </w:t>
            </w:r>
            <w:r w:rsidRPr="002029AF">
              <w:t>waiting</w:t>
            </w:r>
            <w:r w:rsidR="000A5329" w:rsidRPr="002029AF">
              <w:t xml:space="preserve"> </w:t>
            </w:r>
            <w:r w:rsidRPr="002029AF">
              <w:t>time</w:t>
            </w:r>
            <w:r w:rsidR="000A5329" w:rsidRPr="002029AF">
              <w:t xml:space="preserve"> </w:t>
            </w:r>
            <w:r w:rsidRPr="002029AF">
              <w:t>(calendar</w:t>
            </w:r>
            <w:r w:rsidR="000A5329" w:rsidRPr="002029AF">
              <w:t xml:space="preserve"> </w:t>
            </w:r>
            <w:r w:rsidRPr="002029AF">
              <w:t>days)</w:t>
            </w:r>
            <w:r w:rsidR="000A5329" w:rsidRPr="002029AF">
              <w:t xml:space="preserve"> </w:t>
            </w:r>
            <w:r w:rsidRPr="002029AF">
              <w:t>from</w:t>
            </w:r>
            <w:r w:rsidR="000A5329" w:rsidRPr="002029AF">
              <w:t xml:space="preserve"> </w:t>
            </w:r>
            <w:r w:rsidRPr="002029AF">
              <w:t>referral</w:t>
            </w:r>
            <w:r w:rsidR="000A5329" w:rsidRPr="002029AF">
              <w:t xml:space="preserve"> </w:t>
            </w:r>
            <w:r w:rsidRPr="002029AF">
              <w:t>to</w:t>
            </w:r>
            <w:r w:rsidR="000A5329" w:rsidRPr="002029AF">
              <w:t xml:space="preserve"> </w:t>
            </w:r>
            <w:r w:rsidRPr="002029AF">
              <w:t>assessment</w:t>
            </w:r>
          </w:p>
        </w:tc>
        <w:tc>
          <w:tcPr>
            <w:tcW w:w="1020" w:type="dxa"/>
            <w:gridSpan w:val="2"/>
            <w:shd w:val="clear" w:color="auto" w:fill="auto"/>
            <w:hideMark/>
          </w:tcPr>
          <w:p w14:paraId="772FFCF4" w14:textId="77777777" w:rsidR="00C15C65" w:rsidRPr="002029AF" w:rsidRDefault="00C15C65" w:rsidP="00C40F5D">
            <w:pPr>
              <w:pStyle w:val="ARtabletext"/>
            </w:pPr>
            <w:r w:rsidRPr="002029AF">
              <w:t>days</w:t>
            </w:r>
          </w:p>
        </w:tc>
        <w:tc>
          <w:tcPr>
            <w:tcW w:w="1020" w:type="dxa"/>
            <w:gridSpan w:val="2"/>
            <w:shd w:val="clear" w:color="auto" w:fill="auto"/>
            <w:hideMark/>
          </w:tcPr>
          <w:p w14:paraId="07080EE9" w14:textId="77777777" w:rsidR="00C15C65" w:rsidRPr="002029AF" w:rsidRDefault="00C15C65" w:rsidP="0014376C">
            <w:pPr>
              <w:pStyle w:val="ARtabletextright"/>
            </w:pPr>
            <w:r w:rsidRPr="002029AF">
              <w:t>16</w:t>
            </w:r>
          </w:p>
        </w:tc>
        <w:tc>
          <w:tcPr>
            <w:tcW w:w="1020" w:type="dxa"/>
            <w:gridSpan w:val="2"/>
            <w:shd w:val="clear" w:color="auto" w:fill="auto"/>
            <w:hideMark/>
          </w:tcPr>
          <w:p w14:paraId="5B30B445" w14:textId="77777777" w:rsidR="00C15C65" w:rsidRPr="002029AF" w:rsidRDefault="00C15C65" w:rsidP="0014376C">
            <w:pPr>
              <w:pStyle w:val="ARtabletextright"/>
            </w:pPr>
            <w:r w:rsidRPr="002029AF">
              <w:t>14.5</w:t>
            </w:r>
          </w:p>
        </w:tc>
        <w:tc>
          <w:tcPr>
            <w:tcW w:w="1023" w:type="dxa"/>
            <w:shd w:val="clear" w:color="auto" w:fill="auto"/>
          </w:tcPr>
          <w:p w14:paraId="76809AAC" w14:textId="77777777" w:rsidR="00C15C65" w:rsidRPr="002029AF" w:rsidRDefault="00C15C65" w:rsidP="0014376C">
            <w:pPr>
              <w:pStyle w:val="ARtabletextright"/>
            </w:pPr>
            <w:r w:rsidRPr="002029AF">
              <w:t>-9.4</w:t>
            </w:r>
          </w:p>
        </w:tc>
        <w:tc>
          <w:tcPr>
            <w:tcW w:w="798" w:type="dxa"/>
            <w:shd w:val="clear" w:color="auto" w:fill="auto"/>
            <w:hideMark/>
          </w:tcPr>
          <w:p w14:paraId="3EBAAFFF"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58DE6968" w14:textId="77777777" w:rsidTr="005B58F0">
        <w:trPr>
          <w:gridAfter w:val="1"/>
          <w:wAfter w:w="6" w:type="dxa"/>
          <w:cantSplit/>
        </w:trPr>
        <w:tc>
          <w:tcPr>
            <w:tcW w:w="9633" w:type="dxa"/>
            <w:gridSpan w:val="10"/>
            <w:tcBorders>
              <w:bottom w:val="single" w:sz="4" w:space="0" w:color="BFBFBF"/>
            </w:tcBorders>
            <w:shd w:val="clear" w:color="auto" w:fill="auto"/>
            <w:noWrap/>
            <w:hideMark/>
          </w:tcPr>
          <w:p w14:paraId="3434639E" w14:textId="68221F25" w:rsidR="00C15C65" w:rsidRPr="002029AF" w:rsidRDefault="00C15C65" w:rsidP="002C5190">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and</w:t>
            </w:r>
            <w:r w:rsidR="000A5329" w:rsidRPr="002029AF">
              <w:t xml:space="preserve"> </w:t>
            </w:r>
            <w:r w:rsidRPr="002029AF">
              <w:t>is</w:t>
            </w:r>
            <w:r w:rsidR="000A5329" w:rsidRPr="002029AF">
              <w:t xml:space="preserve"> </w:t>
            </w:r>
            <w:r w:rsidRPr="002029AF">
              <w:t>a</w:t>
            </w:r>
            <w:r w:rsidR="000A5329" w:rsidRPr="002029AF">
              <w:t xml:space="preserve"> </w:t>
            </w:r>
            <w:r w:rsidRPr="002029AF">
              <w:t>positive</w:t>
            </w:r>
            <w:r w:rsidR="000A5329" w:rsidRPr="002029AF">
              <w:t xml:space="preserve"> </w:t>
            </w:r>
            <w:r w:rsidRPr="002029AF">
              <w:t>result.</w:t>
            </w:r>
          </w:p>
        </w:tc>
      </w:tr>
      <w:tr w:rsidR="00C15C65" w:rsidRPr="002029AF" w14:paraId="34383332" w14:textId="77777777" w:rsidTr="005B58F0">
        <w:trPr>
          <w:gridAfter w:val="1"/>
          <w:wAfter w:w="6" w:type="dxa"/>
          <w:cantSplit/>
        </w:trPr>
        <w:tc>
          <w:tcPr>
            <w:tcW w:w="4752" w:type="dxa"/>
            <w:gridSpan w:val="2"/>
            <w:shd w:val="clear" w:color="auto" w:fill="auto"/>
            <w:hideMark/>
          </w:tcPr>
          <w:p w14:paraId="677E9FC8" w14:textId="6B461735" w:rsidR="00C15C65" w:rsidRPr="002029AF" w:rsidRDefault="00C15C65" w:rsidP="00C40F5D">
            <w:pPr>
              <w:pStyle w:val="ARtabletext"/>
            </w:pPr>
            <w:r w:rsidRPr="002029AF">
              <w:t>Percentage</w:t>
            </w:r>
            <w:r w:rsidR="000A5329" w:rsidRPr="002029AF">
              <w:t xml:space="preserve"> </w:t>
            </w:r>
            <w:r w:rsidRPr="002029AF">
              <w:t>of</w:t>
            </w:r>
            <w:r w:rsidR="000A5329" w:rsidRPr="002029AF">
              <w:t xml:space="preserve"> </w:t>
            </w:r>
            <w:r w:rsidRPr="002029AF">
              <w:t>high</w:t>
            </w:r>
            <w:r w:rsidR="000A5329" w:rsidRPr="002029AF">
              <w:t xml:space="preserve"> </w:t>
            </w:r>
            <w:r w:rsidRPr="002029AF">
              <w:t>priority</w:t>
            </w:r>
            <w:r w:rsidR="000A5329" w:rsidRPr="002029AF">
              <w:t xml:space="preserve"> </w:t>
            </w:r>
            <w:r w:rsidRPr="002029AF">
              <w:t>clients</w:t>
            </w:r>
            <w:r w:rsidR="000A5329" w:rsidRPr="002029AF">
              <w:t xml:space="preserve"> </w:t>
            </w:r>
            <w:r w:rsidRPr="002029AF">
              <w:t>assessed</w:t>
            </w:r>
            <w:r w:rsidR="000A5329" w:rsidRPr="002029AF">
              <w:t xml:space="preserve"> </w:t>
            </w:r>
            <w:r w:rsidRPr="002029AF">
              <w:t>within</w:t>
            </w:r>
            <w:r w:rsidR="000A5329" w:rsidRPr="002029AF">
              <w:t xml:space="preserve"> </w:t>
            </w:r>
            <w:r w:rsidRPr="002029AF">
              <w:t>the</w:t>
            </w:r>
            <w:r w:rsidR="000A5329" w:rsidRPr="002029AF">
              <w:t xml:space="preserve"> </w:t>
            </w:r>
            <w:r w:rsidRPr="002029AF">
              <w:t>appropriate</w:t>
            </w:r>
            <w:r w:rsidR="000A5329" w:rsidRPr="002029AF">
              <w:t xml:space="preserve"> </w:t>
            </w:r>
            <w:r w:rsidRPr="002029AF">
              <w:t>time</w:t>
            </w:r>
            <w:r w:rsidR="000A5329" w:rsidRPr="002029AF">
              <w:t xml:space="preserve"> </w:t>
            </w:r>
            <w:r w:rsidRPr="002029AF">
              <w:t>in</w:t>
            </w:r>
            <w:r w:rsidR="000A5329" w:rsidRPr="002029AF">
              <w:t xml:space="preserve"> </w:t>
            </w:r>
            <w:r w:rsidRPr="002029AF">
              <w:t>all</w:t>
            </w:r>
            <w:r w:rsidR="000A5329" w:rsidRPr="002029AF">
              <w:t xml:space="preserve"> </w:t>
            </w:r>
            <w:r w:rsidRPr="002029AF">
              <w:t>settings</w:t>
            </w:r>
          </w:p>
        </w:tc>
        <w:tc>
          <w:tcPr>
            <w:tcW w:w="1020" w:type="dxa"/>
            <w:gridSpan w:val="2"/>
            <w:shd w:val="clear" w:color="auto" w:fill="auto"/>
            <w:hideMark/>
          </w:tcPr>
          <w:p w14:paraId="7FC4B629" w14:textId="2B474715" w:rsidR="00C15C65" w:rsidRPr="002029AF" w:rsidRDefault="00C15C65" w:rsidP="00C40F5D">
            <w:pPr>
              <w:pStyle w:val="ARtabletext"/>
            </w:pPr>
            <w:r w:rsidRPr="002029AF">
              <w:t>per</w:t>
            </w:r>
            <w:r w:rsidR="000A5329" w:rsidRPr="002029AF">
              <w:t xml:space="preserve"> </w:t>
            </w:r>
            <w:r w:rsidRPr="002029AF">
              <w:t>cent</w:t>
            </w:r>
          </w:p>
        </w:tc>
        <w:tc>
          <w:tcPr>
            <w:tcW w:w="1020" w:type="dxa"/>
            <w:gridSpan w:val="2"/>
            <w:shd w:val="clear" w:color="auto" w:fill="auto"/>
            <w:hideMark/>
          </w:tcPr>
          <w:p w14:paraId="388D426C" w14:textId="77777777" w:rsidR="00C15C65" w:rsidRPr="002029AF" w:rsidRDefault="00C15C65" w:rsidP="0014376C">
            <w:pPr>
              <w:pStyle w:val="ARtabletextright"/>
            </w:pPr>
            <w:r w:rsidRPr="002029AF">
              <w:t>90</w:t>
            </w:r>
          </w:p>
        </w:tc>
        <w:tc>
          <w:tcPr>
            <w:tcW w:w="1020" w:type="dxa"/>
            <w:gridSpan w:val="2"/>
            <w:shd w:val="clear" w:color="auto" w:fill="auto"/>
            <w:hideMark/>
          </w:tcPr>
          <w:p w14:paraId="1E3A0912" w14:textId="77777777" w:rsidR="00C15C65" w:rsidRPr="002029AF" w:rsidRDefault="00C15C65" w:rsidP="0014376C">
            <w:pPr>
              <w:pStyle w:val="ARtabletextright"/>
            </w:pPr>
            <w:r w:rsidRPr="002029AF">
              <w:t>95.8</w:t>
            </w:r>
          </w:p>
        </w:tc>
        <w:tc>
          <w:tcPr>
            <w:tcW w:w="1023" w:type="dxa"/>
            <w:shd w:val="clear" w:color="auto" w:fill="auto"/>
          </w:tcPr>
          <w:p w14:paraId="337AB73B" w14:textId="77777777" w:rsidR="00C15C65" w:rsidRPr="002029AF" w:rsidRDefault="00C15C65" w:rsidP="0014376C">
            <w:pPr>
              <w:pStyle w:val="ARtabletextright"/>
            </w:pPr>
            <w:r w:rsidRPr="002029AF">
              <w:t>6.4</w:t>
            </w:r>
          </w:p>
        </w:tc>
        <w:tc>
          <w:tcPr>
            <w:tcW w:w="798" w:type="dxa"/>
            <w:shd w:val="clear" w:color="auto" w:fill="auto"/>
            <w:hideMark/>
          </w:tcPr>
          <w:p w14:paraId="05D4150C"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7D31AA1B" w14:textId="77777777" w:rsidTr="005B58F0">
        <w:trPr>
          <w:gridAfter w:val="1"/>
          <w:wAfter w:w="6" w:type="dxa"/>
          <w:cantSplit/>
        </w:trPr>
        <w:tc>
          <w:tcPr>
            <w:tcW w:w="9633" w:type="dxa"/>
            <w:gridSpan w:val="10"/>
            <w:tcBorders>
              <w:bottom w:val="single" w:sz="4" w:space="0" w:color="BFBFBF"/>
            </w:tcBorders>
            <w:shd w:val="clear" w:color="auto" w:fill="auto"/>
            <w:noWrap/>
            <w:hideMark/>
          </w:tcPr>
          <w:p w14:paraId="6B10C3BA" w14:textId="7F3D4FC5" w:rsidR="00C15C65" w:rsidRPr="002029AF" w:rsidRDefault="00C15C65" w:rsidP="002C5190">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as</w:t>
            </w:r>
            <w:r w:rsidR="000A5329" w:rsidRPr="002029AF">
              <w:t xml:space="preserve"> </w:t>
            </w:r>
            <w:r w:rsidRPr="002029AF">
              <w:t>more</w:t>
            </w:r>
            <w:r w:rsidR="000A5329" w:rsidRPr="002029AF">
              <w:t xml:space="preserve"> </w:t>
            </w:r>
            <w:r w:rsidRPr="002029AF">
              <w:t>people</w:t>
            </w:r>
            <w:r w:rsidR="000A5329" w:rsidRPr="002029AF">
              <w:t xml:space="preserve"> </w:t>
            </w:r>
            <w:r w:rsidRPr="002029AF">
              <w:t>are</w:t>
            </w:r>
            <w:r w:rsidR="000A5329" w:rsidRPr="002029AF">
              <w:t xml:space="preserve"> </w:t>
            </w:r>
            <w:r w:rsidRPr="002029AF">
              <w:t>being</w:t>
            </w:r>
            <w:r w:rsidR="000A5329" w:rsidRPr="002029AF">
              <w:t xml:space="preserve"> </w:t>
            </w:r>
            <w:r w:rsidRPr="002029AF">
              <w:t>assessed</w:t>
            </w:r>
            <w:r w:rsidR="000A5329" w:rsidRPr="002029AF">
              <w:t xml:space="preserve"> </w:t>
            </w:r>
            <w:r w:rsidRPr="002029AF">
              <w:t>within</w:t>
            </w:r>
            <w:r w:rsidR="000A5329" w:rsidRPr="002029AF">
              <w:t xml:space="preserve"> </w:t>
            </w:r>
            <w:r w:rsidRPr="002029AF">
              <w:t>the</w:t>
            </w:r>
            <w:r w:rsidR="000A5329" w:rsidRPr="002029AF">
              <w:t xml:space="preserve"> </w:t>
            </w:r>
            <w:r w:rsidRPr="002029AF">
              <w:t>appropriate</w:t>
            </w:r>
            <w:r w:rsidR="000A5329" w:rsidRPr="002029AF">
              <w:t xml:space="preserve"> </w:t>
            </w:r>
            <w:r w:rsidRPr="002029AF">
              <w:t>timeframes.</w:t>
            </w:r>
            <w:r w:rsidR="000A5329" w:rsidRPr="002029AF">
              <w:t xml:space="preserve"> </w:t>
            </w:r>
            <w:r w:rsidRPr="002029AF">
              <w:t>This</w:t>
            </w:r>
            <w:r w:rsidR="000A5329" w:rsidRPr="002029AF">
              <w:t xml:space="preserve"> </w:t>
            </w:r>
            <w:r w:rsidRPr="002029AF">
              <w:t>is</w:t>
            </w:r>
            <w:r w:rsidR="000A5329" w:rsidRPr="002029AF">
              <w:t xml:space="preserve"> </w:t>
            </w:r>
            <w:r w:rsidRPr="002029AF">
              <w:t>a</w:t>
            </w:r>
            <w:r w:rsidR="000A5329" w:rsidRPr="002029AF">
              <w:t xml:space="preserve"> </w:t>
            </w:r>
            <w:r w:rsidRPr="002029AF">
              <w:t>positive</w:t>
            </w:r>
            <w:r w:rsidR="000A5329" w:rsidRPr="002029AF">
              <w:t xml:space="preserve"> </w:t>
            </w:r>
            <w:r w:rsidRPr="002029AF">
              <w:t>result.</w:t>
            </w:r>
          </w:p>
        </w:tc>
      </w:tr>
      <w:tr w:rsidR="00C15C65" w:rsidRPr="002029AF" w14:paraId="4742B83A" w14:textId="77777777" w:rsidTr="005B58F0">
        <w:trPr>
          <w:gridAfter w:val="1"/>
          <w:wAfter w:w="6" w:type="dxa"/>
          <w:cantSplit/>
        </w:trPr>
        <w:tc>
          <w:tcPr>
            <w:tcW w:w="4752" w:type="dxa"/>
            <w:gridSpan w:val="2"/>
            <w:tcBorders>
              <w:top w:val="single" w:sz="4" w:space="0" w:color="BFBFBF"/>
              <w:bottom w:val="single" w:sz="4" w:space="0" w:color="BFBFBF"/>
            </w:tcBorders>
            <w:shd w:val="clear" w:color="auto" w:fill="auto"/>
            <w:hideMark/>
          </w:tcPr>
          <w:p w14:paraId="7557D19B" w14:textId="2961D1B3" w:rsidR="00C15C65" w:rsidRPr="002029AF" w:rsidRDefault="00C15C65" w:rsidP="00C40F5D">
            <w:pPr>
              <w:pStyle w:val="ARtabletext"/>
            </w:pPr>
            <w:r w:rsidRPr="002029AF">
              <w:t>Percentage</w:t>
            </w:r>
            <w:r w:rsidR="000A5329" w:rsidRPr="002029AF">
              <w:t xml:space="preserve"> </w:t>
            </w:r>
            <w:r w:rsidRPr="002029AF">
              <w:t>of</w:t>
            </w:r>
            <w:r w:rsidR="000A5329" w:rsidRPr="002029AF">
              <w:t xml:space="preserve"> </w:t>
            </w:r>
            <w:r w:rsidRPr="002029AF">
              <w:t>low</w:t>
            </w:r>
            <w:r w:rsidR="000A5329" w:rsidRPr="002029AF">
              <w:t xml:space="preserve"> </w:t>
            </w:r>
            <w:r w:rsidRPr="002029AF">
              <w:t>priority</w:t>
            </w:r>
            <w:r w:rsidR="000A5329" w:rsidRPr="002029AF">
              <w:t xml:space="preserve"> </w:t>
            </w:r>
            <w:r w:rsidRPr="002029AF">
              <w:t>clients</w:t>
            </w:r>
            <w:r w:rsidR="000A5329" w:rsidRPr="002029AF">
              <w:t xml:space="preserve"> </w:t>
            </w:r>
            <w:r w:rsidRPr="002029AF">
              <w:t>assessed</w:t>
            </w:r>
            <w:r w:rsidR="000A5329" w:rsidRPr="002029AF">
              <w:t xml:space="preserve"> </w:t>
            </w:r>
            <w:r w:rsidRPr="002029AF">
              <w:t>within</w:t>
            </w:r>
            <w:r w:rsidR="000A5329" w:rsidRPr="002029AF">
              <w:t xml:space="preserve"> </w:t>
            </w:r>
            <w:r w:rsidRPr="002029AF">
              <w:t>the</w:t>
            </w:r>
            <w:r w:rsidR="000A5329" w:rsidRPr="002029AF">
              <w:t xml:space="preserve"> </w:t>
            </w:r>
            <w:r w:rsidRPr="002029AF">
              <w:t>appropriate</w:t>
            </w:r>
            <w:r w:rsidR="000A5329" w:rsidRPr="002029AF">
              <w:t xml:space="preserve"> </w:t>
            </w:r>
            <w:r w:rsidRPr="002029AF">
              <w:t>time</w:t>
            </w:r>
            <w:r w:rsidR="000A5329" w:rsidRPr="002029AF">
              <w:t xml:space="preserve"> </w:t>
            </w:r>
            <w:r w:rsidRPr="002029AF">
              <w:t>in</w:t>
            </w:r>
            <w:r w:rsidR="000A5329" w:rsidRPr="002029AF">
              <w:t xml:space="preserve"> </w:t>
            </w:r>
            <w:r w:rsidRPr="002029AF">
              <w:t>all</w:t>
            </w:r>
            <w:r w:rsidR="000A5329" w:rsidRPr="002029AF">
              <w:t xml:space="preserve"> </w:t>
            </w:r>
            <w:r w:rsidRPr="002029AF">
              <w:t>settings</w:t>
            </w:r>
          </w:p>
        </w:tc>
        <w:tc>
          <w:tcPr>
            <w:tcW w:w="1020" w:type="dxa"/>
            <w:gridSpan w:val="2"/>
            <w:tcBorders>
              <w:top w:val="single" w:sz="4" w:space="0" w:color="BFBFBF"/>
              <w:bottom w:val="single" w:sz="4" w:space="0" w:color="BFBFBF"/>
            </w:tcBorders>
            <w:shd w:val="clear" w:color="auto" w:fill="auto"/>
            <w:hideMark/>
          </w:tcPr>
          <w:p w14:paraId="451114A1" w14:textId="7D682BC7" w:rsidR="00C15C65" w:rsidRPr="002029AF" w:rsidRDefault="00C15C65" w:rsidP="00C40F5D">
            <w:pPr>
              <w:pStyle w:val="ARtabletext"/>
            </w:pPr>
            <w:r w:rsidRPr="002029AF">
              <w:t>per</w:t>
            </w:r>
            <w:r w:rsidR="000A5329" w:rsidRPr="002029AF">
              <w:t xml:space="preserve"> </w:t>
            </w:r>
            <w:r w:rsidRPr="002029AF">
              <w:t>cent</w:t>
            </w:r>
          </w:p>
        </w:tc>
        <w:tc>
          <w:tcPr>
            <w:tcW w:w="1020" w:type="dxa"/>
            <w:gridSpan w:val="2"/>
            <w:tcBorders>
              <w:top w:val="single" w:sz="4" w:space="0" w:color="BFBFBF"/>
              <w:bottom w:val="single" w:sz="4" w:space="0" w:color="BFBFBF"/>
            </w:tcBorders>
            <w:shd w:val="clear" w:color="auto" w:fill="auto"/>
            <w:hideMark/>
          </w:tcPr>
          <w:p w14:paraId="3B513EED" w14:textId="77777777" w:rsidR="00C15C65" w:rsidRPr="002029AF" w:rsidRDefault="00C15C65" w:rsidP="0014376C">
            <w:pPr>
              <w:pStyle w:val="ARtabletextright"/>
            </w:pPr>
            <w:r w:rsidRPr="002029AF">
              <w:t>90</w:t>
            </w:r>
          </w:p>
        </w:tc>
        <w:tc>
          <w:tcPr>
            <w:tcW w:w="1020" w:type="dxa"/>
            <w:gridSpan w:val="2"/>
            <w:tcBorders>
              <w:top w:val="single" w:sz="4" w:space="0" w:color="BFBFBF"/>
              <w:bottom w:val="single" w:sz="4" w:space="0" w:color="BFBFBF"/>
            </w:tcBorders>
            <w:shd w:val="clear" w:color="auto" w:fill="auto"/>
            <w:hideMark/>
          </w:tcPr>
          <w:p w14:paraId="36E7ED27" w14:textId="77777777" w:rsidR="00C15C65" w:rsidRPr="002029AF" w:rsidRDefault="00C15C65" w:rsidP="0014376C">
            <w:pPr>
              <w:pStyle w:val="ARtabletextright"/>
            </w:pPr>
            <w:r w:rsidRPr="002029AF">
              <w:t>92.3</w:t>
            </w:r>
          </w:p>
        </w:tc>
        <w:tc>
          <w:tcPr>
            <w:tcW w:w="1023" w:type="dxa"/>
            <w:tcBorders>
              <w:top w:val="single" w:sz="4" w:space="0" w:color="BFBFBF"/>
              <w:bottom w:val="single" w:sz="4" w:space="0" w:color="BFBFBF"/>
            </w:tcBorders>
            <w:shd w:val="clear" w:color="auto" w:fill="auto"/>
          </w:tcPr>
          <w:p w14:paraId="7A81CFF3" w14:textId="77777777" w:rsidR="00C15C65" w:rsidRPr="002029AF" w:rsidRDefault="00C15C65" w:rsidP="0014376C">
            <w:pPr>
              <w:pStyle w:val="ARtabletextright"/>
            </w:pPr>
            <w:r w:rsidRPr="002029AF">
              <w:t>2.6</w:t>
            </w:r>
          </w:p>
        </w:tc>
        <w:tc>
          <w:tcPr>
            <w:tcW w:w="798" w:type="dxa"/>
            <w:tcBorders>
              <w:top w:val="single" w:sz="4" w:space="0" w:color="BFBFBF"/>
              <w:bottom w:val="single" w:sz="4" w:space="0" w:color="BFBFBF"/>
            </w:tcBorders>
            <w:shd w:val="clear" w:color="auto" w:fill="auto"/>
            <w:hideMark/>
          </w:tcPr>
          <w:p w14:paraId="611394DC"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3B485C08" w14:textId="77777777" w:rsidTr="005B58F0">
        <w:trPr>
          <w:gridAfter w:val="1"/>
          <w:wAfter w:w="6" w:type="dxa"/>
          <w:cantSplit/>
        </w:trPr>
        <w:tc>
          <w:tcPr>
            <w:tcW w:w="4752" w:type="dxa"/>
            <w:gridSpan w:val="2"/>
            <w:tcBorders>
              <w:top w:val="single" w:sz="4" w:space="0" w:color="BFBFBF"/>
            </w:tcBorders>
            <w:shd w:val="clear" w:color="auto" w:fill="auto"/>
            <w:hideMark/>
          </w:tcPr>
          <w:p w14:paraId="65A27005" w14:textId="1F4E327E" w:rsidR="00C15C65" w:rsidRPr="002029AF" w:rsidRDefault="00C15C65" w:rsidP="00C40F5D">
            <w:pPr>
              <w:pStyle w:val="ARtabletext"/>
            </w:pPr>
            <w:r w:rsidRPr="002029AF">
              <w:t>Percentage</w:t>
            </w:r>
            <w:r w:rsidR="000A5329" w:rsidRPr="002029AF">
              <w:t xml:space="preserve"> </w:t>
            </w:r>
            <w:r w:rsidRPr="002029AF">
              <w:t>of</w:t>
            </w:r>
            <w:r w:rsidR="000A5329" w:rsidRPr="002029AF">
              <w:t xml:space="preserve"> </w:t>
            </w:r>
            <w:r w:rsidRPr="002029AF">
              <w:t>medium</w:t>
            </w:r>
            <w:r w:rsidR="000A5329" w:rsidRPr="002029AF">
              <w:t xml:space="preserve"> </w:t>
            </w:r>
            <w:r w:rsidRPr="002029AF">
              <w:t>priority</w:t>
            </w:r>
            <w:r w:rsidR="000A5329" w:rsidRPr="002029AF">
              <w:t xml:space="preserve"> </w:t>
            </w:r>
            <w:r w:rsidRPr="002029AF">
              <w:t>clients</w:t>
            </w:r>
            <w:r w:rsidR="000A5329" w:rsidRPr="002029AF">
              <w:t xml:space="preserve"> </w:t>
            </w:r>
            <w:r w:rsidRPr="002029AF">
              <w:t>assessed</w:t>
            </w:r>
            <w:r w:rsidR="000A5329" w:rsidRPr="002029AF">
              <w:t xml:space="preserve"> </w:t>
            </w:r>
            <w:r w:rsidRPr="002029AF">
              <w:t>within</w:t>
            </w:r>
            <w:r w:rsidR="000A5329" w:rsidRPr="002029AF">
              <w:t xml:space="preserve"> </w:t>
            </w:r>
            <w:r w:rsidRPr="002029AF">
              <w:t>the</w:t>
            </w:r>
            <w:r w:rsidR="000A5329" w:rsidRPr="002029AF">
              <w:t xml:space="preserve"> </w:t>
            </w:r>
            <w:r w:rsidRPr="002029AF">
              <w:t>appropriate</w:t>
            </w:r>
            <w:r w:rsidR="000A5329" w:rsidRPr="002029AF">
              <w:t xml:space="preserve"> </w:t>
            </w:r>
            <w:r w:rsidRPr="002029AF">
              <w:t>time</w:t>
            </w:r>
            <w:r w:rsidR="000A5329" w:rsidRPr="002029AF">
              <w:t xml:space="preserve"> </w:t>
            </w:r>
            <w:r w:rsidRPr="002029AF">
              <w:t>in</w:t>
            </w:r>
            <w:r w:rsidR="000A5329" w:rsidRPr="002029AF">
              <w:t xml:space="preserve"> </w:t>
            </w:r>
            <w:r w:rsidRPr="002029AF">
              <w:t>all</w:t>
            </w:r>
            <w:r w:rsidR="000A5329" w:rsidRPr="002029AF">
              <w:t xml:space="preserve"> </w:t>
            </w:r>
            <w:r w:rsidRPr="002029AF">
              <w:t>settings</w:t>
            </w:r>
          </w:p>
        </w:tc>
        <w:tc>
          <w:tcPr>
            <w:tcW w:w="1020" w:type="dxa"/>
            <w:gridSpan w:val="2"/>
            <w:tcBorders>
              <w:top w:val="single" w:sz="4" w:space="0" w:color="BFBFBF"/>
            </w:tcBorders>
            <w:shd w:val="clear" w:color="auto" w:fill="auto"/>
            <w:hideMark/>
          </w:tcPr>
          <w:p w14:paraId="23B05FB0" w14:textId="46556562" w:rsidR="00C15C65" w:rsidRPr="002029AF" w:rsidRDefault="00C15C65" w:rsidP="00C40F5D">
            <w:pPr>
              <w:pStyle w:val="ARtabletext"/>
            </w:pPr>
            <w:r w:rsidRPr="002029AF">
              <w:t>per</w:t>
            </w:r>
            <w:r w:rsidR="000A5329" w:rsidRPr="002029AF">
              <w:t xml:space="preserve"> </w:t>
            </w:r>
            <w:r w:rsidRPr="002029AF">
              <w:t>cent</w:t>
            </w:r>
          </w:p>
        </w:tc>
        <w:tc>
          <w:tcPr>
            <w:tcW w:w="1020" w:type="dxa"/>
            <w:gridSpan w:val="2"/>
            <w:tcBorders>
              <w:top w:val="single" w:sz="4" w:space="0" w:color="BFBFBF"/>
            </w:tcBorders>
            <w:shd w:val="clear" w:color="auto" w:fill="auto"/>
            <w:hideMark/>
          </w:tcPr>
          <w:p w14:paraId="40539DAE" w14:textId="77777777" w:rsidR="00C15C65" w:rsidRPr="002029AF" w:rsidRDefault="00C15C65" w:rsidP="0014376C">
            <w:pPr>
              <w:pStyle w:val="ARtabletextright"/>
            </w:pPr>
            <w:r w:rsidRPr="002029AF">
              <w:t>90</w:t>
            </w:r>
          </w:p>
        </w:tc>
        <w:tc>
          <w:tcPr>
            <w:tcW w:w="1020" w:type="dxa"/>
            <w:gridSpan w:val="2"/>
            <w:tcBorders>
              <w:top w:val="single" w:sz="4" w:space="0" w:color="BFBFBF"/>
            </w:tcBorders>
            <w:shd w:val="clear" w:color="auto" w:fill="auto"/>
            <w:hideMark/>
          </w:tcPr>
          <w:p w14:paraId="62D505A2" w14:textId="77777777" w:rsidR="00C15C65" w:rsidRPr="002029AF" w:rsidRDefault="00C15C65" w:rsidP="0014376C">
            <w:pPr>
              <w:pStyle w:val="ARtabletextright"/>
            </w:pPr>
            <w:r w:rsidRPr="002029AF">
              <w:t>99.5</w:t>
            </w:r>
          </w:p>
        </w:tc>
        <w:tc>
          <w:tcPr>
            <w:tcW w:w="1023" w:type="dxa"/>
            <w:tcBorders>
              <w:top w:val="single" w:sz="4" w:space="0" w:color="BFBFBF"/>
            </w:tcBorders>
            <w:shd w:val="clear" w:color="auto" w:fill="auto"/>
          </w:tcPr>
          <w:p w14:paraId="2146077F" w14:textId="77777777" w:rsidR="00C15C65" w:rsidRPr="002029AF" w:rsidRDefault="00C15C65" w:rsidP="0014376C">
            <w:pPr>
              <w:pStyle w:val="ARtabletextright"/>
            </w:pPr>
            <w:r w:rsidRPr="002029AF">
              <w:t>10.6</w:t>
            </w:r>
          </w:p>
        </w:tc>
        <w:tc>
          <w:tcPr>
            <w:tcW w:w="798" w:type="dxa"/>
            <w:tcBorders>
              <w:top w:val="single" w:sz="4" w:space="0" w:color="BFBFBF"/>
            </w:tcBorders>
            <w:shd w:val="clear" w:color="auto" w:fill="auto"/>
            <w:hideMark/>
          </w:tcPr>
          <w:p w14:paraId="169A5F57"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1E21A795" w14:textId="77777777" w:rsidTr="005B58F0">
        <w:trPr>
          <w:gridAfter w:val="1"/>
          <w:wAfter w:w="6" w:type="dxa"/>
          <w:cantSplit/>
        </w:trPr>
        <w:tc>
          <w:tcPr>
            <w:tcW w:w="9633" w:type="dxa"/>
            <w:gridSpan w:val="10"/>
            <w:tcBorders>
              <w:bottom w:val="single" w:sz="4" w:space="0" w:color="BFBFBF"/>
            </w:tcBorders>
            <w:shd w:val="clear" w:color="auto" w:fill="auto"/>
            <w:noWrap/>
            <w:hideMark/>
          </w:tcPr>
          <w:p w14:paraId="61FF670F" w14:textId="467E04E1" w:rsidR="00C15C65" w:rsidRPr="002029AF" w:rsidRDefault="00C15C65" w:rsidP="002C5190">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as</w:t>
            </w:r>
            <w:r w:rsidR="000A5329" w:rsidRPr="002029AF">
              <w:t xml:space="preserve"> </w:t>
            </w:r>
            <w:r w:rsidRPr="002029AF">
              <w:t>more</w:t>
            </w:r>
            <w:r w:rsidR="000A5329" w:rsidRPr="002029AF">
              <w:t xml:space="preserve"> </w:t>
            </w:r>
            <w:r w:rsidRPr="002029AF">
              <w:t>people</w:t>
            </w:r>
            <w:r w:rsidR="000A5329" w:rsidRPr="002029AF">
              <w:t xml:space="preserve"> </w:t>
            </w:r>
            <w:r w:rsidRPr="002029AF">
              <w:t>are</w:t>
            </w:r>
            <w:r w:rsidR="000A5329" w:rsidRPr="002029AF">
              <w:t xml:space="preserve"> </w:t>
            </w:r>
            <w:r w:rsidRPr="002029AF">
              <w:t>being</w:t>
            </w:r>
            <w:r w:rsidR="000A5329" w:rsidRPr="002029AF">
              <w:t xml:space="preserve"> </w:t>
            </w:r>
            <w:r w:rsidRPr="002029AF">
              <w:t>assessed</w:t>
            </w:r>
            <w:r w:rsidR="000A5329" w:rsidRPr="002029AF">
              <w:t xml:space="preserve"> </w:t>
            </w:r>
            <w:r w:rsidRPr="002029AF">
              <w:t>within</w:t>
            </w:r>
            <w:r w:rsidR="000A5329" w:rsidRPr="002029AF">
              <w:t xml:space="preserve"> </w:t>
            </w:r>
            <w:r w:rsidRPr="002029AF">
              <w:t>the</w:t>
            </w:r>
            <w:r w:rsidR="000A5329" w:rsidRPr="002029AF">
              <w:t xml:space="preserve"> </w:t>
            </w:r>
            <w:r w:rsidRPr="002029AF">
              <w:t>appropriate</w:t>
            </w:r>
            <w:r w:rsidR="000A5329" w:rsidRPr="002029AF">
              <w:t xml:space="preserve"> </w:t>
            </w:r>
            <w:r w:rsidRPr="002029AF">
              <w:t>timeframes.</w:t>
            </w:r>
            <w:r w:rsidR="000A5329" w:rsidRPr="002029AF">
              <w:t xml:space="preserve"> </w:t>
            </w:r>
            <w:r w:rsidRPr="002029AF">
              <w:t>This</w:t>
            </w:r>
            <w:r w:rsidR="000A5329" w:rsidRPr="002029AF">
              <w:t xml:space="preserve"> </w:t>
            </w:r>
            <w:r w:rsidRPr="002029AF">
              <w:t>is</w:t>
            </w:r>
            <w:r w:rsidR="000A5329" w:rsidRPr="002029AF">
              <w:t xml:space="preserve"> </w:t>
            </w:r>
            <w:r w:rsidRPr="002029AF">
              <w:t>a</w:t>
            </w:r>
            <w:r w:rsidR="000A5329" w:rsidRPr="002029AF">
              <w:t xml:space="preserve"> </w:t>
            </w:r>
            <w:r w:rsidRPr="002029AF">
              <w:t>positive</w:t>
            </w:r>
            <w:r w:rsidR="000A5329" w:rsidRPr="002029AF">
              <w:t xml:space="preserve"> </w:t>
            </w:r>
            <w:r w:rsidRPr="002029AF">
              <w:t>result.</w:t>
            </w:r>
          </w:p>
        </w:tc>
      </w:tr>
      <w:tr w:rsidR="00C15C65" w:rsidRPr="002029AF" w14:paraId="4592DF7A" w14:textId="77777777" w:rsidTr="005B58F0">
        <w:trPr>
          <w:cantSplit/>
        </w:trPr>
        <w:tc>
          <w:tcPr>
            <w:tcW w:w="9639" w:type="dxa"/>
            <w:gridSpan w:val="11"/>
            <w:tcBorders>
              <w:top w:val="single" w:sz="4" w:space="0" w:color="auto"/>
              <w:left w:val="nil"/>
              <w:bottom w:val="nil"/>
              <w:right w:val="nil"/>
            </w:tcBorders>
            <w:hideMark/>
          </w:tcPr>
          <w:p w14:paraId="0C26BFA5" w14:textId="77777777" w:rsidR="00C15C65" w:rsidRPr="002029AF" w:rsidRDefault="00C15C65" w:rsidP="007666A5">
            <w:pPr>
              <w:pStyle w:val="ARtablegreybold"/>
            </w:pPr>
            <w:r w:rsidRPr="002029AF">
              <w:t>Cost</w:t>
            </w:r>
          </w:p>
        </w:tc>
      </w:tr>
      <w:tr w:rsidR="00C15C65" w:rsidRPr="002029AF" w14:paraId="251DF099" w14:textId="77777777" w:rsidTr="005B58F0">
        <w:trPr>
          <w:cantSplit/>
        </w:trPr>
        <w:tc>
          <w:tcPr>
            <w:tcW w:w="4725" w:type="dxa"/>
            <w:hideMark/>
          </w:tcPr>
          <w:p w14:paraId="2E94308D" w14:textId="00A2B956" w:rsidR="00C15C65" w:rsidRPr="002029AF" w:rsidRDefault="00C15C65" w:rsidP="00C40F5D">
            <w:pPr>
              <w:pStyle w:val="ARtabletext"/>
              <w:rPr>
                <w:b/>
              </w:rPr>
            </w:pPr>
            <w:r w:rsidRPr="002029AF">
              <w:rPr>
                <w:b/>
              </w:rPr>
              <w:t>Total</w:t>
            </w:r>
            <w:r w:rsidR="000A5329" w:rsidRPr="002029AF">
              <w:rPr>
                <w:b/>
              </w:rPr>
              <w:t xml:space="preserve"> </w:t>
            </w:r>
            <w:r w:rsidRPr="002029AF">
              <w:rPr>
                <w:b/>
              </w:rPr>
              <w:t>output</w:t>
            </w:r>
            <w:r w:rsidR="000A5329" w:rsidRPr="002029AF">
              <w:rPr>
                <w:b/>
              </w:rPr>
              <w:t xml:space="preserve"> </w:t>
            </w:r>
            <w:r w:rsidRPr="002029AF">
              <w:rPr>
                <w:b/>
              </w:rPr>
              <w:t>cost</w:t>
            </w:r>
          </w:p>
        </w:tc>
        <w:tc>
          <w:tcPr>
            <w:tcW w:w="1016" w:type="dxa"/>
            <w:gridSpan w:val="2"/>
            <w:hideMark/>
          </w:tcPr>
          <w:p w14:paraId="061753EA" w14:textId="6B26CB76" w:rsidR="00C15C65" w:rsidRPr="002029AF" w:rsidRDefault="00C15C65" w:rsidP="00C40F5D">
            <w:pPr>
              <w:pStyle w:val="ARtabletext"/>
              <w:rPr>
                <w:b/>
              </w:rPr>
            </w:pPr>
            <w:r w:rsidRPr="002029AF">
              <w:rPr>
                <w:b/>
              </w:rPr>
              <w:t>$</w:t>
            </w:r>
            <w:r w:rsidR="000A5329" w:rsidRPr="002029AF">
              <w:rPr>
                <w:b/>
              </w:rPr>
              <w:t xml:space="preserve"> </w:t>
            </w:r>
            <w:r w:rsidRPr="002029AF">
              <w:rPr>
                <w:b/>
              </w:rPr>
              <w:t>million</w:t>
            </w:r>
          </w:p>
        </w:tc>
        <w:tc>
          <w:tcPr>
            <w:tcW w:w="1016" w:type="dxa"/>
            <w:gridSpan w:val="2"/>
          </w:tcPr>
          <w:p w14:paraId="47FADE72" w14:textId="77777777" w:rsidR="00C15C65" w:rsidRPr="002029AF" w:rsidRDefault="00C15C65" w:rsidP="00036F13">
            <w:pPr>
              <w:pStyle w:val="ARtabletextrightbold"/>
            </w:pPr>
            <w:r w:rsidRPr="002029AF">
              <w:t>62.4</w:t>
            </w:r>
          </w:p>
        </w:tc>
        <w:tc>
          <w:tcPr>
            <w:tcW w:w="1020" w:type="dxa"/>
            <w:gridSpan w:val="2"/>
          </w:tcPr>
          <w:p w14:paraId="7E349C38" w14:textId="77777777" w:rsidR="00C15C65" w:rsidRPr="002029AF" w:rsidRDefault="00C15C65" w:rsidP="00036F13">
            <w:pPr>
              <w:pStyle w:val="ARtabletextrightbold"/>
            </w:pPr>
            <w:r w:rsidRPr="002029AF">
              <w:t>61.6</w:t>
            </w:r>
          </w:p>
        </w:tc>
        <w:tc>
          <w:tcPr>
            <w:tcW w:w="1058" w:type="dxa"/>
            <w:gridSpan w:val="2"/>
          </w:tcPr>
          <w:p w14:paraId="435A0442" w14:textId="77777777" w:rsidR="00C15C65" w:rsidRPr="002029AF" w:rsidRDefault="00C15C65" w:rsidP="00036F13">
            <w:pPr>
              <w:pStyle w:val="ARtabletextrightbold"/>
            </w:pPr>
            <w:r w:rsidRPr="002029AF">
              <w:t>-1.3</w:t>
            </w:r>
          </w:p>
        </w:tc>
        <w:tc>
          <w:tcPr>
            <w:tcW w:w="804" w:type="dxa"/>
            <w:gridSpan w:val="2"/>
          </w:tcPr>
          <w:p w14:paraId="6F6231D0" w14:textId="77777777" w:rsidR="00C15C65" w:rsidRPr="002029AF" w:rsidRDefault="00C15C65" w:rsidP="00C40F5D">
            <w:pPr>
              <w:pStyle w:val="ARtabletext"/>
              <w:rPr>
                <w:b/>
              </w:rPr>
            </w:pPr>
          </w:p>
        </w:tc>
      </w:tr>
      <w:tr w:rsidR="00C15C65" w:rsidRPr="002029AF" w14:paraId="154C3C6D" w14:textId="77777777" w:rsidTr="005B58F0">
        <w:trPr>
          <w:cantSplit/>
        </w:trPr>
        <w:tc>
          <w:tcPr>
            <w:tcW w:w="9639" w:type="dxa"/>
            <w:gridSpan w:val="11"/>
            <w:tcBorders>
              <w:top w:val="nil"/>
              <w:left w:val="nil"/>
              <w:bottom w:val="single" w:sz="4" w:space="0" w:color="BFBFBF"/>
              <w:right w:val="nil"/>
            </w:tcBorders>
            <w:noWrap/>
          </w:tcPr>
          <w:p w14:paraId="08A3F720" w14:textId="44E233FC" w:rsidR="00C15C65" w:rsidRPr="002029AF" w:rsidRDefault="00C15C65" w:rsidP="002C5190">
            <w:pPr>
              <w:pStyle w:val="ARtablenoteindent"/>
            </w:pPr>
            <w:r w:rsidRPr="002029AF">
              <w:t>The</w:t>
            </w:r>
            <w:r w:rsidR="000A5329" w:rsidRPr="002029AF">
              <w:t xml:space="preserve"> </w:t>
            </w:r>
            <w:r w:rsidRPr="002029AF">
              <w:t>201</w:t>
            </w:r>
            <w:r w:rsidR="00DB53E6" w:rsidRPr="002029AF">
              <w:t>9–</w:t>
            </w:r>
            <w:r w:rsidRPr="002029AF">
              <w:t>20</w:t>
            </w:r>
            <w:r w:rsidR="000A5329" w:rsidRPr="002029AF">
              <w:t xml:space="preserve"> </w:t>
            </w:r>
            <w:r w:rsidRPr="002029AF">
              <w:t>actual</w:t>
            </w:r>
            <w:r w:rsidR="000A5329" w:rsidRPr="002029AF">
              <w:t xml:space="preserve"> </w:t>
            </w:r>
            <w:r w:rsidRPr="002029AF">
              <w:t>outcome</w:t>
            </w:r>
            <w:r w:rsidR="000A5329" w:rsidRPr="002029AF">
              <w:t xml:space="preserve"> </w:t>
            </w:r>
            <w:r w:rsidRPr="002029AF">
              <w:t>primarily</w:t>
            </w:r>
            <w:r w:rsidR="000A5329" w:rsidRPr="002029AF">
              <w:t xml:space="preserve"> </w:t>
            </w:r>
            <w:r w:rsidRPr="002029AF">
              <w:t>reflects</w:t>
            </w:r>
            <w:r w:rsidR="000A5329" w:rsidRPr="002029AF">
              <w:t xml:space="preserve"> </w:t>
            </w:r>
            <w:r w:rsidRPr="002029AF">
              <w:t>funding</w:t>
            </w:r>
            <w:r w:rsidR="000A5329" w:rsidRPr="002029AF">
              <w:t xml:space="preserve"> </w:t>
            </w:r>
            <w:r w:rsidRPr="002029AF">
              <w:t>requested</w:t>
            </w:r>
            <w:r w:rsidR="000A5329" w:rsidRPr="002029AF">
              <w:t xml:space="preserve"> </w:t>
            </w:r>
            <w:r w:rsidRPr="002029AF">
              <w:t>to</w:t>
            </w:r>
            <w:r w:rsidR="000A5329" w:rsidRPr="002029AF">
              <w:t xml:space="preserve"> </w:t>
            </w:r>
            <w:r w:rsidRPr="002029AF">
              <w:t>be</w:t>
            </w:r>
            <w:r w:rsidR="000A5329" w:rsidRPr="002029AF">
              <w:t xml:space="preserve"> </w:t>
            </w:r>
            <w:r w:rsidRPr="002029AF">
              <w:t>carried</w:t>
            </w:r>
            <w:r w:rsidR="000A5329" w:rsidRPr="002029AF">
              <w:t xml:space="preserve"> </w:t>
            </w:r>
            <w:r w:rsidRPr="002029AF">
              <w:t>over</w:t>
            </w:r>
            <w:r w:rsidR="000A5329" w:rsidRPr="002029AF">
              <w:t xml:space="preserve"> </w:t>
            </w:r>
            <w:r w:rsidRPr="002029AF">
              <w:t>into</w:t>
            </w:r>
            <w:r w:rsidR="000A5329" w:rsidRPr="002029AF">
              <w:t xml:space="preserve"> </w:t>
            </w:r>
            <w:r w:rsidRPr="002029AF">
              <w:t>202</w:t>
            </w:r>
            <w:r w:rsidR="00DB53E6" w:rsidRPr="002029AF">
              <w:t>0–</w:t>
            </w:r>
            <w:r w:rsidRPr="002029AF">
              <w:t>21</w:t>
            </w:r>
            <w:r w:rsidR="000A5329" w:rsidRPr="002029AF">
              <w:t xml:space="preserve"> </w:t>
            </w:r>
            <w:r w:rsidRPr="002029AF">
              <w:t>for</w:t>
            </w:r>
            <w:r w:rsidR="000A5329" w:rsidRPr="002029AF">
              <w:t xml:space="preserve"> </w:t>
            </w:r>
            <w:r w:rsidRPr="002029AF">
              <w:t>the</w:t>
            </w:r>
            <w:r w:rsidR="000A5329" w:rsidRPr="002029AF">
              <w:t xml:space="preserve"> </w:t>
            </w:r>
            <w:r w:rsidRPr="002029AF">
              <w:t>Commonwealth</w:t>
            </w:r>
            <w:r w:rsidR="000A5329" w:rsidRPr="002029AF">
              <w:t xml:space="preserve"> </w:t>
            </w:r>
            <w:r w:rsidRPr="002029AF">
              <w:t>Aged</w:t>
            </w:r>
            <w:r w:rsidR="000A5329" w:rsidRPr="002029AF">
              <w:t xml:space="preserve"> </w:t>
            </w:r>
            <w:r w:rsidRPr="002029AF">
              <w:t>Care</w:t>
            </w:r>
            <w:r w:rsidR="000A5329" w:rsidRPr="002029AF">
              <w:t xml:space="preserve"> </w:t>
            </w:r>
            <w:r w:rsidRPr="002029AF">
              <w:t>Assessment</w:t>
            </w:r>
            <w:r w:rsidR="000A5329" w:rsidRPr="002029AF">
              <w:t xml:space="preserve"> </w:t>
            </w:r>
            <w:r w:rsidRPr="002029AF">
              <w:t>Program</w:t>
            </w:r>
          </w:p>
        </w:tc>
      </w:tr>
      <w:tr w:rsidR="00C15C65" w:rsidRPr="002029AF" w14:paraId="0B802FE7" w14:textId="77777777" w:rsidTr="005B58F0">
        <w:trPr>
          <w:cantSplit/>
        </w:trPr>
        <w:tc>
          <w:tcPr>
            <w:tcW w:w="9639" w:type="dxa"/>
            <w:gridSpan w:val="11"/>
            <w:tcBorders>
              <w:top w:val="single" w:sz="4" w:space="0" w:color="auto"/>
              <w:left w:val="nil"/>
              <w:bottom w:val="single" w:sz="4" w:space="0" w:color="auto"/>
              <w:right w:val="nil"/>
            </w:tcBorders>
            <w:hideMark/>
          </w:tcPr>
          <w:p w14:paraId="28B6E51C" w14:textId="113504A7" w:rsidR="00C15C65" w:rsidRPr="002029AF" w:rsidRDefault="00C15C65" w:rsidP="007666A5">
            <w:pPr>
              <w:pStyle w:val="ARtablesubhead"/>
            </w:pPr>
            <w:r w:rsidRPr="002029AF">
              <w:t>Aged</w:t>
            </w:r>
            <w:r w:rsidR="000A5329" w:rsidRPr="002029AF">
              <w:t xml:space="preserve"> </w:t>
            </w:r>
            <w:r w:rsidRPr="002029AF">
              <w:t>Support</w:t>
            </w:r>
            <w:r w:rsidR="000A5329" w:rsidRPr="002029AF">
              <w:t xml:space="preserve"> </w:t>
            </w:r>
            <w:r w:rsidRPr="002029AF">
              <w:t>Services</w:t>
            </w:r>
          </w:p>
        </w:tc>
      </w:tr>
      <w:tr w:rsidR="00C15C65" w:rsidRPr="002029AF" w14:paraId="3CAA485D" w14:textId="77777777" w:rsidTr="005B58F0">
        <w:trPr>
          <w:cantSplit/>
        </w:trPr>
        <w:tc>
          <w:tcPr>
            <w:tcW w:w="9639" w:type="dxa"/>
            <w:gridSpan w:val="11"/>
            <w:tcBorders>
              <w:top w:val="single" w:sz="4" w:space="0" w:color="auto"/>
              <w:left w:val="nil"/>
              <w:bottom w:val="nil"/>
              <w:right w:val="nil"/>
            </w:tcBorders>
            <w:hideMark/>
          </w:tcPr>
          <w:p w14:paraId="4FBA6465" w14:textId="77777777" w:rsidR="00C15C65" w:rsidRPr="002029AF" w:rsidRDefault="00C15C65" w:rsidP="00D96AFD">
            <w:pPr>
              <w:pStyle w:val="ARtablegreybold"/>
            </w:pPr>
            <w:r w:rsidRPr="002029AF">
              <w:t>Quantity</w:t>
            </w:r>
          </w:p>
        </w:tc>
      </w:tr>
      <w:tr w:rsidR="00C15C65" w:rsidRPr="002029AF" w14:paraId="6AABB9E8" w14:textId="77777777" w:rsidTr="005B58F0">
        <w:trPr>
          <w:gridAfter w:val="1"/>
          <w:wAfter w:w="6" w:type="dxa"/>
          <w:cantSplit/>
        </w:trPr>
        <w:tc>
          <w:tcPr>
            <w:tcW w:w="4752" w:type="dxa"/>
            <w:gridSpan w:val="2"/>
            <w:shd w:val="clear" w:color="auto" w:fill="auto"/>
            <w:hideMark/>
          </w:tcPr>
          <w:p w14:paraId="6BA6F12C" w14:textId="08B878FB" w:rsidR="00C15C65" w:rsidRPr="002029AF" w:rsidRDefault="00C15C65" w:rsidP="00C40F5D">
            <w:pPr>
              <w:pStyle w:val="ARtabletext"/>
            </w:pPr>
            <w:r w:rsidRPr="002029AF">
              <w:t>Individuals</w:t>
            </w:r>
            <w:r w:rsidR="000A5329" w:rsidRPr="002029AF">
              <w:t xml:space="preserve"> </w:t>
            </w:r>
            <w:r w:rsidRPr="002029AF">
              <w:t>provided</w:t>
            </w:r>
            <w:r w:rsidR="000A5329" w:rsidRPr="002029AF">
              <w:t xml:space="preserve"> </w:t>
            </w:r>
            <w:r w:rsidRPr="002029AF">
              <w:t>with</w:t>
            </w:r>
            <w:r w:rsidR="000A5329" w:rsidRPr="002029AF">
              <w:t xml:space="preserve"> </w:t>
            </w:r>
            <w:r w:rsidRPr="002029AF">
              <w:t>respite</w:t>
            </w:r>
            <w:r w:rsidR="000A5329" w:rsidRPr="002029AF">
              <w:t xml:space="preserve"> </w:t>
            </w:r>
            <w:r w:rsidRPr="002029AF">
              <w:t>and</w:t>
            </w:r>
            <w:r w:rsidR="000A5329" w:rsidRPr="002029AF">
              <w:t xml:space="preserve"> </w:t>
            </w:r>
            <w:r w:rsidRPr="002029AF">
              <w:t>support</w:t>
            </w:r>
            <w:r w:rsidR="000A5329" w:rsidRPr="002029AF">
              <w:t xml:space="preserve"> </w:t>
            </w:r>
            <w:r w:rsidRPr="002029AF">
              <w:t>services</w:t>
            </w:r>
          </w:p>
        </w:tc>
        <w:tc>
          <w:tcPr>
            <w:tcW w:w="1020" w:type="dxa"/>
            <w:gridSpan w:val="2"/>
            <w:shd w:val="clear" w:color="auto" w:fill="auto"/>
            <w:hideMark/>
          </w:tcPr>
          <w:p w14:paraId="7E7F1992" w14:textId="77777777" w:rsidR="00C15C65" w:rsidRPr="002029AF" w:rsidRDefault="00C15C65" w:rsidP="00C40F5D">
            <w:pPr>
              <w:pStyle w:val="ARtabletext"/>
            </w:pPr>
            <w:r w:rsidRPr="002029AF">
              <w:t>number</w:t>
            </w:r>
          </w:p>
        </w:tc>
        <w:tc>
          <w:tcPr>
            <w:tcW w:w="1020" w:type="dxa"/>
            <w:gridSpan w:val="2"/>
            <w:shd w:val="clear" w:color="auto" w:fill="auto"/>
            <w:hideMark/>
          </w:tcPr>
          <w:p w14:paraId="6D04E827" w14:textId="77777777" w:rsidR="00C15C65" w:rsidRPr="002029AF" w:rsidRDefault="00C15C65" w:rsidP="0014376C">
            <w:pPr>
              <w:pStyle w:val="ARtabletextright"/>
            </w:pPr>
            <w:r w:rsidRPr="002029AF">
              <w:t>13,250</w:t>
            </w:r>
          </w:p>
        </w:tc>
        <w:tc>
          <w:tcPr>
            <w:tcW w:w="1020" w:type="dxa"/>
            <w:gridSpan w:val="2"/>
            <w:shd w:val="clear" w:color="auto" w:fill="auto"/>
            <w:hideMark/>
          </w:tcPr>
          <w:p w14:paraId="704B1295" w14:textId="77777777" w:rsidR="00C15C65" w:rsidRPr="002029AF" w:rsidRDefault="00C15C65" w:rsidP="0014376C">
            <w:pPr>
              <w:pStyle w:val="ARtabletextright"/>
            </w:pPr>
            <w:r w:rsidRPr="002029AF">
              <w:t>13,709</w:t>
            </w:r>
          </w:p>
        </w:tc>
        <w:tc>
          <w:tcPr>
            <w:tcW w:w="1023" w:type="dxa"/>
            <w:shd w:val="clear" w:color="auto" w:fill="auto"/>
          </w:tcPr>
          <w:p w14:paraId="0B14C60F" w14:textId="77777777" w:rsidR="00C15C65" w:rsidRPr="002029AF" w:rsidRDefault="00C15C65" w:rsidP="0014376C">
            <w:pPr>
              <w:pStyle w:val="ARtabletextright"/>
            </w:pPr>
            <w:r w:rsidRPr="002029AF">
              <w:t>3.5</w:t>
            </w:r>
          </w:p>
        </w:tc>
        <w:tc>
          <w:tcPr>
            <w:tcW w:w="798" w:type="dxa"/>
            <w:shd w:val="clear" w:color="auto" w:fill="auto"/>
            <w:hideMark/>
          </w:tcPr>
          <w:p w14:paraId="36FEDE87"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1EADC1BE" w14:textId="77777777" w:rsidTr="005B58F0">
        <w:trPr>
          <w:gridAfter w:val="1"/>
          <w:wAfter w:w="6" w:type="dxa"/>
          <w:cantSplit/>
        </w:trPr>
        <w:tc>
          <w:tcPr>
            <w:tcW w:w="9633" w:type="dxa"/>
            <w:gridSpan w:val="10"/>
            <w:tcBorders>
              <w:bottom w:val="single" w:sz="4" w:space="0" w:color="BFBFBF"/>
            </w:tcBorders>
            <w:shd w:val="clear" w:color="auto" w:fill="auto"/>
            <w:noWrap/>
            <w:hideMark/>
          </w:tcPr>
          <w:p w14:paraId="5907E374" w14:textId="6AA0A3DD" w:rsidR="00C15C65" w:rsidRPr="002029AF" w:rsidRDefault="00C15C65" w:rsidP="002C5190">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by</w:t>
            </w:r>
            <w:r w:rsidR="000A5329" w:rsidRPr="002029AF">
              <w:t xml:space="preserve"> </w:t>
            </w:r>
            <w:r w:rsidRPr="002029AF">
              <w:t>late</w:t>
            </w:r>
            <w:r w:rsidR="000A5329" w:rsidRPr="002029AF">
              <w:t xml:space="preserve"> </w:t>
            </w:r>
            <w:r w:rsidRPr="002029AF">
              <w:t>2020.</w:t>
            </w:r>
          </w:p>
        </w:tc>
      </w:tr>
      <w:tr w:rsidR="00C15C65" w:rsidRPr="002029AF" w14:paraId="5D8E1CF0" w14:textId="77777777" w:rsidTr="005B58F0">
        <w:trPr>
          <w:gridAfter w:val="1"/>
          <w:wAfter w:w="6" w:type="dxa"/>
          <w:cantSplit/>
        </w:trPr>
        <w:tc>
          <w:tcPr>
            <w:tcW w:w="4752" w:type="dxa"/>
            <w:gridSpan w:val="2"/>
            <w:shd w:val="clear" w:color="auto" w:fill="auto"/>
            <w:hideMark/>
          </w:tcPr>
          <w:p w14:paraId="0AEE5F62" w14:textId="0C4559DF" w:rsidR="00C15C65" w:rsidRPr="002029AF" w:rsidRDefault="00C15C65" w:rsidP="00CA3123">
            <w:pPr>
              <w:pStyle w:val="ARtabletext"/>
              <w:keepNext/>
            </w:pPr>
            <w:r w:rsidRPr="002029AF">
              <w:t>Number</w:t>
            </w:r>
            <w:r w:rsidR="000A5329" w:rsidRPr="002029AF">
              <w:t xml:space="preserve"> </w:t>
            </w:r>
            <w:r w:rsidRPr="002029AF">
              <w:t>of</w:t>
            </w:r>
            <w:r w:rsidR="000A5329" w:rsidRPr="002029AF">
              <w:t xml:space="preserve"> </w:t>
            </w:r>
            <w:r w:rsidRPr="002029AF">
              <w:t>hours</w:t>
            </w:r>
            <w:r w:rsidR="000A5329" w:rsidRPr="002029AF">
              <w:t xml:space="preserve"> </w:t>
            </w:r>
            <w:r w:rsidRPr="002029AF">
              <w:t>of</w:t>
            </w:r>
            <w:r w:rsidR="000A5329" w:rsidRPr="002029AF">
              <w:t xml:space="preserve"> </w:t>
            </w:r>
            <w:r w:rsidRPr="002029AF">
              <w:t>respite</w:t>
            </w:r>
            <w:r w:rsidR="000A5329" w:rsidRPr="002029AF">
              <w:t xml:space="preserve"> </w:t>
            </w:r>
            <w:r w:rsidRPr="002029AF">
              <w:t>and</w:t>
            </w:r>
            <w:r w:rsidR="000A5329" w:rsidRPr="002029AF">
              <w:t xml:space="preserve"> </w:t>
            </w:r>
            <w:r w:rsidRPr="002029AF">
              <w:t>support</w:t>
            </w:r>
            <w:r w:rsidR="000A5329" w:rsidRPr="002029AF">
              <w:t xml:space="preserve"> </w:t>
            </w:r>
            <w:r w:rsidRPr="002029AF">
              <w:t>services</w:t>
            </w:r>
          </w:p>
        </w:tc>
        <w:tc>
          <w:tcPr>
            <w:tcW w:w="1020" w:type="dxa"/>
            <w:gridSpan w:val="2"/>
            <w:shd w:val="clear" w:color="auto" w:fill="auto"/>
            <w:hideMark/>
          </w:tcPr>
          <w:p w14:paraId="75CDDF68" w14:textId="77777777" w:rsidR="00C15C65" w:rsidRPr="002029AF" w:rsidRDefault="00C15C65" w:rsidP="00C40F5D">
            <w:pPr>
              <w:pStyle w:val="ARtabletext"/>
            </w:pPr>
            <w:r w:rsidRPr="002029AF">
              <w:t>number</w:t>
            </w:r>
          </w:p>
        </w:tc>
        <w:tc>
          <w:tcPr>
            <w:tcW w:w="1020" w:type="dxa"/>
            <w:gridSpan w:val="2"/>
            <w:shd w:val="clear" w:color="auto" w:fill="auto"/>
            <w:hideMark/>
          </w:tcPr>
          <w:p w14:paraId="76008A72" w14:textId="77777777" w:rsidR="00C15C65" w:rsidRPr="002029AF" w:rsidRDefault="00C15C65" w:rsidP="0014376C">
            <w:pPr>
              <w:pStyle w:val="ARtabletextright"/>
            </w:pPr>
            <w:r w:rsidRPr="002029AF">
              <w:t>261,250</w:t>
            </w:r>
          </w:p>
        </w:tc>
        <w:tc>
          <w:tcPr>
            <w:tcW w:w="1020" w:type="dxa"/>
            <w:gridSpan w:val="2"/>
            <w:shd w:val="clear" w:color="auto" w:fill="auto"/>
            <w:hideMark/>
          </w:tcPr>
          <w:p w14:paraId="0DCC2663" w14:textId="77777777" w:rsidR="00C15C65" w:rsidRPr="002029AF" w:rsidRDefault="00C15C65" w:rsidP="0014376C">
            <w:pPr>
              <w:pStyle w:val="ARtabletextright"/>
            </w:pPr>
            <w:r w:rsidRPr="002029AF">
              <w:t>176,750</w:t>
            </w:r>
          </w:p>
        </w:tc>
        <w:tc>
          <w:tcPr>
            <w:tcW w:w="1023" w:type="dxa"/>
            <w:shd w:val="clear" w:color="auto" w:fill="auto"/>
          </w:tcPr>
          <w:p w14:paraId="6BE957E3" w14:textId="77777777" w:rsidR="00C15C65" w:rsidRPr="002029AF" w:rsidRDefault="00C15C65" w:rsidP="0014376C">
            <w:pPr>
              <w:pStyle w:val="ARtabletextright"/>
            </w:pPr>
            <w:r w:rsidRPr="002029AF">
              <w:t>-32.3</w:t>
            </w:r>
          </w:p>
        </w:tc>
        <w:tc>
          <w:tcPr>
            <w:tcW w:w="798" w:type="dxa"/>
            <w:shd w:val="clear" w:color="auto" w:fill="auto"/>
            <w:hideMark/>
          </w:tcPr>
          <w:p w14:paraId="71DD9AF2"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026B150A" w14:textId="77777777" w:rsidTr="005B58F0">
        <w:trPr>
          <w:gridAfter w:val="1"/>
          <w:wAfter w:w="6" w:type="dxa"/>
          <w:cantSplit/>
        </w:trPr>
        <w:tc>
          <w:tcPr>
            <w:tcW w:w="9633" w:type="dxa"/>
            <w:gridSpan w:val="10"/>
            <w:tcBorders>
              <w:bottom w:val="single" w:sz="4" w:space="0" w:color="BFBFBF"/>
            </w:tcBorders>
            <w:shd w:val="clear" w:color="auto" w:fill="auto"/>
            <w:noWrap/>
            <w:hideMark/>
          </w:tcPr>
          <w:p w14:paraId="2FF91A1A" w14:textId="356445C7" w:rsidR="00C15C65" w:rsidRPr="002029AF" w:rsidRDefault="00C15C65" w:rsidP="002C5190">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by</w:t>
            </w:r>
            <w:r w:rsidR="000A5329" w:rsidRPr="002029AF">
              <w:t xml:space="preserve"> </w:t>
            </w:r>
            <w:r w:rsidRPr="002029AF">
              <w:t>late</w:t>
            </w:r>
            <w:r w:rsidR="000A5329" w:rsidRPr="002029AF">
              <w:t xml:space="preserve"> </w:t>
            </w:r>
            <w:r w:rsidRPr="002029AF">
              <w:t>2020.</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will</w:t>
            </w:r>
            <w:r w:rsidR="000A5329" w:rsidRPr="002029AF">
              <w:t xml:space="preserve"> </w:t>
            </w:r>
            <w:r w:rsidRPr="002029AF">
              <w:t>likely</w:t>
            </w:r>
            <w:r w:rsidR="000A5329" w:rsidRPr="002029AF">
              <w:t xml:space="preserve"> </w:t>
            </w:r>
            <w:r w:rsidRPr="002029AF">
              <w:t>impact</w:t>
            </w:r>
            <w:r w:rsidR="000A5329" w:rsidRPr="002029AF">
              <w:t xml:space="preserve"> </w:t>
            </w:r>
            <w:r w:rsidRPr="002029AF">
              <w:t>on</w:t>
            </w:r>
            <w:r w:rsidR="000A5329" w:rsidRPr="002029AF">
              <w:t xml:space="preserve"> </w:t>
            </w:r>
            <w:r w:rsidRPr="002029AF">
              <w:t>the</w:t>
            </w:r>
            <w:r w:rsidR="000A5329" w:rsidRPr="002029AF">
              <w:t xml:space="preserve"> </w:t>
            </w:r>
            <w:r w:rsidRPr="002029AF">
              <w:t>final</w:t>
            </w:r>
            <w:r w:rsidR="000A5329" w:rsidRPr="002029AF">
              <w:t xml:space="preserve"> </w:t>
            </w:r>
            <w:r w:rsidRPr="002029AF">
              <w:t>result.</w:t>
            </w:r>
            <w:r w:rsidR="000A5329" w:rsidRPr="002029AF">
              <w:t xml:space="preserve"> </w:t>
            </w:r>
            <w:r w:rsidR="00975E07" w:rsidRPr="00975E07">
              <w:t>Coronavirus</w:t>
            </w:r>
            <w:r w:rsidR="00975E07">
              <w:t xml:space="preserve"> (COVID-19)</w:t>
            </w:r>
            <w:r w:rsidR="00975E07" w:rsidRPr="00975E07">
              <w:t xml:space="preserve"> has reduced demand for some in-home services, while some providers have reduced face-to-face respite in line with public health advice to limit the spread of coronavirus</w:t>
            </w:r>
            <w:r w:rsidR="00975E07">
              <w:t xml:space="preserve"> (COVID-19)</w:t>
            </w:r>
            <w:r w:rsidR="00975E07" w:rsidRPr="00975E07">
              <w:t>.</w:t>
            </w:r>
          </w:p>
        </w:tc>
      </w:tr>
      <w:tr w:rsidR="00C15C65" w:rsidRPr="002029AF" w14:paraId="5F3D5DBD" w14:textId="77777777" w:rsidTr="005B58F0">
        <w:trPr>
          <w:gridAfter w:val="1"/>
          <w:wAfter w:w="6" w:type="dxa"/>
          <w:cantSplit/>
        </w:trPr>
        <w:tc>
          <w:tcPr>
            <w:tcW w:w="4752" w:type="dxa"/>
            <w:gridSpan w:val="2"/>
            <w:tcBorders>
              <w:bottom w:val="single" w:sz="4" w:space="0" w:color="BFBFBF"/>
            </w:tcBorders>
            <w:shd w:val="clear" w:color="auto" w:fill="auto"/>
            <w:hideMark/>
          </w:tcPr>
          <w:p w14:paraId="6112DFF2" w14:textId="26B2EA7E" w:rsidR="00C15C65" w:rsidRPr="002029AF" w:rsidRDefault="00C15C65" w:rsidP="00C40F5D">
            <w:pPr>
              <w:pStyle w:val="ARtabletext"/>
            </w:pPr>
            <w:r w:rsidRPr="002029AF">
              <w:t>Pension-level</w:t>
            </w:r>
            <w:r w:rsidR="000A5329" w:rsidRPr="002029AF">
              <w:t xml:space="preserve"> </w:t>
            </w:r>
            <w:r w:rsidRPr="002029AF">
              <w:t>beds</w:t>
            </w:r>
            <w:r w:rsidR="000A5329" w:rsidRPr="002029AF">
              <w:t xml:space="preserve"> </w:t>
            </w:r>
            <w:r w:rsidRPr="002029AF">
              <w:t>available</w:t>
            </w:r>
            <w:r w:rsidR="000A5329" w:rsidRPr="002029AF">
              <w:t xml:space="preserve"> </w:t>
            </w:r>
            <w:r w:rsidRPr="002029AF">
              <w:t>in</w:t>
            </w:r>
            <w:r w:rsidR="000A5329" w:rsidRPr="002029AF">
              <w:t xml:space="preserve"> </w:t>
            </w:r>
            <w:r w:rsidRPr="002029AF">
              <w:t>assisted</w:t>
            </w:r>
            <w:r w:rsidR="000A5329" w:rsidRPr="002029AF">
              <w:t xml:space="preserve"> </w:t>
            </w:r>
            <w:r w:rsidRPr="002029AF">
              <w:t>Supported</w:t>
            </w:r>
            <w:r w:rsidR="000A5329" w:rsidRPr="002029AF">
              <w:t xml:space="preserve"> </w:t>
            </w:r>
            <w:r w:rsidRPr="002029AF">
              <w:t>Residential</w:t>
            </w:r>
            <w:r w:rsidR="000A5329" w:rsidRPr="002029AF">
              <w:t xml:space="preserve"> </w:t>
            </w:r>
            <w:r w:rsidRPr="002029AF">
              <w:t>Services</w:t>
            </w:r>
            <w:r w:rsidR="000A5329" w:rsidRPr="002029AF">
              <w:t xml:space="preserve"> </w:t>
            </w:r>
            <w:r w:rsidRPr="002029AF">
              <w:t>facilities</w:t>
            </w:r>
          </w:p>
        </w:tc>
        <w:tc>
          <w:tcPr>
            <w:tcW w:w="1020" w:type="dxa"/>
            <w:gridSpan w:val="2"/>
            <w:tcBorders>
              <w:bottom w:val="single" w:sz="4" w:space="0" w:color="BFBFBF"/>
            </w:tcBorders>
            <w:shd w:val="clear" w:color="auto" w:fill="auto"/>
            <w:hideMark/>
          </w:tcPr>
          <w:p w14:paraId="2C26336A" w14:textId="77777777" w:rsidR="00C15C65" w:rsidRPr="002029AF" w:rsidRDefault="00C15C65" w:rsidP="00C40F5D">
            <w:pPr>
              <w:pStyle w:val="ARtabletext"/>
            </w:pPr>
            <w:r w:rsidRPr="002029AF">
              <w:t>number</w:t>
            </w:r>
          </w:p>
        </w:tc>
        <w:tc>
          <w:tcPr>
            <w:tcW w:w="1020" w:type="dxa"/>
            <w:gridSpan w:val="2"/>
            <w:tcBorders>
              <w:bottom w:val="single" w:sz="4" w:space="0" w:color="BFBFBF"/>
            </w:tcBorders>
            <w:shd w:val="clear" w:color="auto" w:fill="auto"/>
            <w:hideMark/>
          </w:tcPr>
          <w:p w14:paraId="508F3496" w14:textId="75CB6A9D" w:rsidR="00C15C65" w:rsidRPr="002029AF" w:rsidRDefault="00C15C65" w:rsidP="0014376C">
            <w:pPr>
              <w:pStyle w:val="ARtabletextright"/>
            </w:pPr>
            <w:r w:rsidRPr="002029AF">
              <w:t>1,</w:t>
            </w:r>
            <w:r w:rsidR="001D4B6B" w:rsidRPr="002029AF">
              <w:t>816</w:t>
            </w:r>
          </w:p>
        </w:tc>
        <w:tc>
          <w:tcPr>
            <w:tcW w:w="1020" w:type="dxa"/>
            <w:gridSpan w:val="2"/>
            <w:tcBorders>
              <w:bottom w:val="single" w:sz="4" w:space="0" w:color="BFBFBF"/>
            </w:tcBorders>
            <w:shd w:val="clear" w:color="auto" w:fill="auto"/>
            <w:hideMark/>
          </w:tcPr>
          <w:p w14:paraId="20E1387C" w14:textId="77777777" w:rsidR="00C15C65" w:rsidRPr="002029AF" w:rsidRDefault="00C15C65" w:rsidP="0014376C">
            <w:pPr>
              <w:pStyle w:val="ARtabletextright"/>
            </w:pPr>
            <w:r w:rsidRPr="002029AF">
              <w:t>1,795</w:t>
            </w:r>
          </w:p>
        </w:tc>
        <w:tc>
          <w:tcPr>
            <w:tcW w:w="1023" w:type="dxa"/>
            <w:tcBorders>
              <w:bottom w:val="single" w:sz="4" w:space="0" w:color="BFBFBF"/>
            </w:tcBorders>
            <w:shd w:val="clear" w:color="auto" w:fill="auto"/>
          </w:tcPr>
          <w:p w14:paraId="7B40A64A" w14:textId="17C60831" w:rsidR="00C15C65" w:rsidRPr="002029AF" w:rsidRDefault="00C15C65" w:rsidP="0014376C">
            <w:pPr>
              <w:pStyle w:val="ARtabletextright"/>
            </w:pPr>
            <w:r w:rsidRPr="002029AF">
              <w:t>-</w:t>
            </w:r>
            <w:r w:rsidR="001D4B6B" w:rsidRPr="002029AF">
              <w:t>1.2</w:t>
            </w:r>
          </w:p>
        </w:tc>
        <w:tc>
          <w:tcPr>
            <w:tcW w:w="798" w:type="dxa"/>
            <w:tcBorders>
              <w:bottom w:val="single" w:sz="4" w:space="0" w:color="BFBFBF"/>
            </w:tcBorders>
            <w:shd w:val="clear" w:color="auto" w:fill="auto"/>
            <w:hideMark/>
          </w:tcPr>
          <w:p w14:paraId="7A385C64"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6B8213A8" w14:textId="77777777" w:rsidTr="005B58F0">
        <w:trPr>
          <w:gridAfter w:val="1"/>
          <w:wAfter w:w="6" w:type="dxa"/>
          <w:cantSplit/>
        </w:trPr>
        <w:tc>
          <w:tcPr>
            <w:tcW w:w="4752" w:type="dxa"/>
            <w:gridSpan w:val="2"/>
            <w:tcBorders>
              <w:top w:val="single" w:sz="4" w:space="0" w:color="BFBFBF"/>
              <w:bottom w:val="single" w:sz="4" w:space="0" w:color="BFBFBF"/>
            </w:tcBorders>
            <w:shd w:val="clear" w:color="auto" w:fill="auto"/>
            <w:hideMark/>
          </w:tcPr>
          <w:p w14:paraId="50420DC6" w14:textId="18690586" w:rsidR="00C15C65" w:rsidRPr="002029AF" w:rsidRDefault="00C15C65" w:rsidP="00C40F5D">
            <w:pPr>
              <w:pStyle w:val="ARtabletext"/>
            </w:pPr>
            <w:r w:rsidRPr="002029AF">
              <w:lastRenderedPageBreak/>
              <w:t>Pension-level</w:t>
            </w:r>
            <w:r w:rsidR="000A5329" w:rsidRPr="002029AF">
              <w:t xml:space="preserve"> </w:t>
            </w:r>
            <w:r w:rsidRPr="002029AF">
              <w:t>Supported</w:t>
            </w:r>
            <w:r w:rsidR="000A5329" w:rsidRPr="002029AF">
              <w:t xml:space="preserve"> </w:t>
            </w:r>
            <w:r w:rsidRPr="002029AF">
              <w:t>Residential</w:t>
            </w:r>
            <w:r w:rsidR="000A5329" w:rsidRPr="002029AF">
              <w:t xml:space="preserve"> </w:t>
            </w:r>
            <w:r w:rsidRPr="002029AF">
              <w:t>Services</w:t>
            </w:r>
            <w:r w:rsidR="000A5329" w:rsidRPr="002029AF">
              <w:t xml:space="preserve"> </w:t>
            </w:r>
            <w:r w:rsidRPr="002029AF">
              <w:t>residents</w:t>
            </w:r>
            <w:r w:rsidR="000A5329" w:rsidRPr="002029AF">
              <w:t xml:space="preserve"> </w:t>
            </w:r>
            <w:r w:rsidRPr="002029AF">
              <w:t>provided</w:t>
            </w:r>
            <w:r w:rsidR="000A5329" w:rsidRPr="002029AF">
              <w:t xml:space="preserve"> </w:t>
            </w:r>
            <w:r w:rsidRPr="002029AF">
              <w:t>with</w:t>
            </w:r>
            <w:r w:rsidR="000A5329" w:rsidRPr="002029AF">
              <w:t xml:space="preserve"> </w:t>
            </w:r>
            <w:r w:rsidRPr="002029AF">
              <w:t>service</w:t>
            </w:r>
            <w:r w:rsidR="000A5329" w:rsidRPr="002029AF">
              <w:t xml:space="preserve"> </w:t>
            </w:r>
            <w:r w:rsidRPr="002029AF">
              <w:t>coordination</w:t>
            </w:r>
            <w:r w:rsidR="000A5329" w:rsidRPr="002029AF">
              <w:t xml:space="preserve"> </w:t>
            </w:r>
            <w:r w:rsidRPr="002029AF">
              <w:t>and</w:t>
            </w:r>
            <w:r w:rsidR="000A5329" w:rsidRPr="002029AF">
              <w:t xml:space="preserve"> </w:t>
            </w:r>
            <w:r w:rsidRPr="002029AF">
              <w:t>support/brokerage</w:t>
            </w:r>
            <w:r w:rsidR="000A5329" w:rsidRPr="002029AF">
              <w:t xml:space="preserve"> </w:t>
            </w:r>
            <w:r w:rsidRPr="002029AF">
              <w:t>services</w:t>
            </w:r>
          </w:p>
        </w:tc>
        <w:tc>
          <w:tcPr>
            <w:tcW w:w="1020" w:type="dxa"/>
            <w:gridSpan w:val="2"/>
            <w:tcBorders>
              <w:top w:val="single" w:sz="4" w:space="0" w:color="BFBFBF"/>
              <w:bottom w:val="single" w:sz="4" w:space="0" w:color="BFBFBF"/>
            </w:tcBorders>
            <w:shd w:val="clear" w:color="auto" w:fill="auto"/>
            <w:hideMark/>
          </w:tcPr>
          <w:p w14:paraId="11175746" w14:textId="77777777" w:rsidR="00C15C65" w:rsidRPr="002029AF" w:rsidRDefault="00C15C65" w:rsidP="00C40F5D">
            <w:pPr>
              <w:pStyle w:val="ARtabletext"/>
            </w:pPr>
            <w:r w:rsidRPr="002029AF">
              <w:t>number</w:t>
            </w:r>
          </w:p>
        </w:tc>
        <w:tc>
          <w:tcPr>
            <w:tcW w:w="1020" w:type="dxa"/>
            <w:gridSpan w:val="2"/>
            <w:tcBorders>
              <w:top w:val="single" w:sz="4" w:space="0" w:color="BFBFBF"/>
              <w:bottom w:val="single" w:sz="4" w:space="0" w:color="BFBFBF"/>
            </w:tcBorders>
            <w:shd w:val="clear" w:color="auto" w:fill="auto"/>
            <w:hideMark/>
          </w:tcPr>
          <w:p w14:paraId="477BD2F3" w14:textId="77777777" w:rsidR="00C15C65" w:rsidRPr="002029AF" w:rsidRDefault="00C15C65" w:rsidP="0014376C">
            <w:pPr>
              <w:pStyle w:val="ARtabletextright"/>
            </w:pPr>
            <w:r w:rsidRPr="002029AF">
              <w:t>775</w:t>
            </w:r>
          </w:p>
        </w:tc>
        <w:tc>
          <w:tcPr>
            <w:tcW w:w="1020" w:type="dxa"/>
            <w:gridSpan w:val="2"/>
            <w:tcBorders>
              <w:top w:val="single" w:sz="4" w:space="0" w:color="BFBFBF"/>
              <w:bottom w:val="single" w:sz="4" w:space="0" w:color="BFBFBF"/>
            </w:tcBorders>
            <w:shd w:val="clear" w:color="auto" w:fill="auto"/>
            <w:hideMark/>
          </w:tcPr>
          <w:p w14:paraId="745888CB" w14:textId="77777777" w:rsidR="00C15C65" w:rsidRPr="002029AF" w:rsidRDefault="00C15C65" w:rsidP="0014376C">
            <w:pPr>
              <w:pStyle w:val="ARtabletextright"/>
            </w:pPr>
            <w:r w:rsidRPr="002029AF">
              <w:t>775</w:t>
            </w:r>
          </w:p>
        </w:tc>
        <w:tc>
          <w:tcPr>
            <w:tcW w:w="1023" w:type="dxa"/>
            <w:tcBorders>
              <w:top w:val="single" w:sz="4" w:space="0" w:color="BFBFBF"/>
              <w:bottom w:val="single" w:sz="4" w:space="0" w:color="BFBFBF"/>
            </w:tcBorders>
            <w:shd w:val="clear" w:color="auto" w:fill="auto"/>
          </w:tcPr>
          <w:p w14:paraId="0384CFC2" w14:textId="77777777" w:rsidR="00C15C65" w:rsidRPr="002029AF" w:rsidRDefault="00C15C65" w:rsidP="0014376C">
            <w:pPr>
              <w:pStyle w:val="ARtabletextright"/>
            </w:pPr>
            <w:r w:rsidRPr="002029AF">
              <w:t>0.0</w:t>
            </w:r>
          </w:p>
        </w:tc>
        <w:tc>
          <w:tcPr>
            <w:tcW w:w="798" w:type="dxa"/>
            <w:tcBorders>
              <w:top w:val="single" w:sz="4" w:space="0" w:color="BFBFBF"/>
              <w:bottom w:val="single" w:sz="4" w:space="0" w:color="BFBFBF"/>
            </w:tcBorders>
            <w:shd w:val="clear" w:color="auto" w:fill="auto"/>
            <w:hideMark/>
          </w:tcPr>
          <w:p w14:paraId="1922EA45"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7FD53FA5" w14:textId="77777777" w:rsidTr="005B58F0">
        <w:trPr>
          <w:gridAfter w:val="1"/>
          <w:wAfter w:w="6" w:type="dxa"/>
          <w:cantSplit/>
        </w:trPr>
        <w:tc>
          <w:tcPr>
            <w:tcW w:w="4752" w:type="dxa"/>
            <w:gridSpan w:val="2"/>
            <w:tcBorders>
              <w:top w:val="single" w:sz="4" w:space="0" w:color="BFBFBF"/>
              <w:bottom w:val="single" w:sz="4" w:space="0" w:color="BFBFBF"/>
            </w:tcBorders>
            <w:shd w:val="clear" w:color="auto" w:fill="auto"/>
            <w:hideMark/>
          </w:tcPr>
          <w:p w14:paraId="783915E1" w14:textId="3029078D" w:rsidR="00C15C65" w:rsidRPr="002029AF" w:rsidRDefault="00C15C65" w:rsidP="00C40F5D">
            <w:pPr>
              <w:pStyle w:val="ARtabletext"/>
            </w:pPr>
            <w:r w:rsidRPr="002029AF">
              <w:t>Personal</w:t>
            </w:r>
            <w:r w:rsidR="000A5329" w:rsidRPr="002029AF">
              <w:t xml:space="preserve"> </w:t>
            </w:r>
            <w:r w:rsidRPr="002029AF">
              <w:t>alert</w:t>
            </w:r>
            <w:r w:rsidR="000A5329" w:rsidRPr="002029AF">
              <w:t xml:space="preserve"> </w:t>
            </w:r>
            <w:r w:rsidRPr="002029AF">
              <w:t>units</w:t>
            </w:r>
            <w:r w:rsidR="000A5329" w:rsidRPr="002029AF">
              <w:t xml:space="preserve"> </w:t>
            </w:r>
            <w:r w:rsidRPr="002029AF">
              <w:t>allocated</w:t>
            </w:r>
          </w:p>
        </w:tc>
        <w:tc>
          <w:tcPr>
            <w:tcW w:w="1020" w:type="dxa"/>
            <w:gridSpan w:val="2"/>
            <w:tcBorders>
              <w:top w:val="single" w:sz="4" w:space="0" w:color="BFBFBF"/>
              <w:bottom w:val="single" w:sz="4" w:space="0" w:color="BFBFBF"/>
            </w:tcBorders>
            <w:shd w:val="clear" w:color="auto" w:fill="auto"/>
            <w:hideMark/>
          </w:tcPr>
          <w:p w14:paraId="410950B3" w14:textId="77777777" w:rsidR="00C15C65" w:rsidRPr="002029AF" w:rsidRDefault="00C15C65" w:rsidP="00C40F5D">
            <w:pPr>
              <w:pStyle w:val="ARtabletext"/>
            </w:pPr>
            <w:r w:rsidRPr="002029AF">
              <w:t>number</w:t>
            </w:r>
          </w:p>
        </w:tc>
        <w:tc>
          <w:tcPr>
            <w:tcW w:w="1020" w:type="dxa"/>
            <w:gridSpan w:val="2"/>
            <w:tcBorders>
              <w:top w:val="single" w:sz="4" w:space="0" w:color="BFBFBF"/>
              <w:bottom w:val="single" w:sz="4" w:space="0" w:color="BFBFBF"/>
            </w:tcBorders>
            <w:shd w:val="clear" w:color="auto" w:fill="auto"/>
            <w:hideMark/>
          </w:tcPr>
          <w:p w14:paraId="1D69B587" w14:textId="77777777" w:rsidR="00C15C65" w:rsidRPr="002029AF" w:rsidRDefault="00C15C65" w:rsidP="0014376C">
            <w:pPr>
              <w:pStyle w:val="ARtabletextright"/>
            </w:pPr>
            <w:r w:rsidRPr="002029AF">
              <w:t>29,121</w:t>
            </w:r>
          </w:p>
        </w:tc>
        <w:tc>
          <w:tcPr>
            <w:tcW w:w="1020" w:type="dxa"/>
            <w:gridSpan w:val="2"/>
            <w:tcBorders>
              <w:top w:val="single" w:sz="4" w:space="0" w:color="BFBFBF"/>
              <w:bottom w:val="single" w:sz="4" w:space="0" w:color="BFBFBF"/>
            </w:tcBorders>
            <w:shd w:val="clear" w:color="auto" w:fill="auto"/>
            <w:hideMark/>
          </w:tcPr>
          <w:p w14:paraId="7B65AEFE" w14:textId="77777777" w:rsidR="00C15C65" w:rsidRPr="002029AF" w:rsidRDefault="00C15C65" w:rsidP="0014376C">
            <w:pPr>
              <w:pStyle w:val="ARtabletextright"/>
            </w:pPr>
            <w:r w:rsidRPr="002029AF">
              <w:t>29,121</w:t>
            </w:r>
          </w:p>
        </w:tc>
        <w:tc>
          <w:tcPr>
            <w:tcW w:w="1023" w:type="dxa"/>
            <w:tcBorders>
              <w:top w:val="single" w:sz="4" w:space="0" w:color="BFBFBF"/>
              <w:bottom w:val="single" w:sz="4" w:space="0" w:color="BFBFBF"/>
            </w:tcBorders>
            <w:shd w:val="clear" w:color="auto" w:fill="auto"/>
          </w:tcPr>
          <w:p w14:paraId="06F733E6" w14:textId="77777777" w:rsidR="00C15C65" w:rsidRPr="002029AF" w:rsidRDefault="00C15C65" w:rsidP="0014376C">
            <w:pPr>
              <w:pStyle w:val="ARtabletextright"/>
            </w:pPr>
            <w:r w:rsidRPr="002029AF">
              <w:t>0.0</w:t>
            </w:r>
          </w:p>
        </w:tc>
        <w:tc>
          <w:tcPr>
            <w:tcW w:w="798" w:type="dxa"/>
            <w:tcBorders>
              <w:top w:val="single" w:sz="4" w:space="0" w:color="BFBFBF"/>
              <w:bottom w:val="single" w:sz="4" w:space="0" w:color="BFBFBF"/>
            </w:tcBorders>
            <w:shd w:val="clear" w:color="auto" w:fill="auto"/>
            <w:hideMark/>
          </w:tcPr>
          <w:p w14:paraId="548EA824"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1747410D" w14:textId="77777777" w:rsidTr="005B58F0">
        <w:trPr>
          <w:gridAfter w:val="1"/>
          <w:wAfter w:w="6" w:type="dxa"/>
          <w:cantSplit/>
        </w:trPr>
        <w:tc>
          <w:tcPr>
            <w:tcW w:w="4752" w:type="dxa"/>
            <w:gridSpan w:val="2"/>
            <w:tcBorders>
              <w:top w:val="single" w:sz="4" w:space="0" w:color="BFBFBF"/>
            </w:tcBorders>
            <w:shd w:val="clear" w:color="auto" w:fill="auto"/>
            <w:hideMark/>
          </w:tcPr>
          <w:p w14:paraId="32F7A397" w14:textId="375B0A50" w:rsidR="00C15C65" w:rsidRPr="002029AF" w:rsidRDefault="00C15C65" w:rsidP="00C40F5D">
            <w:pPr>
              <w:pStyle w:val="ARtabletext"/>
            </w:pPr>
            <w:r w:rsidRPr="002029AF">
              <w:t>Victorian</w:t>
            </w:r>
            <w:r w:rsidR="000A5329" w:rsidRPr="002029AF">
              <w:t xml:space="preserve"> </w:t>
            </w:r>
            <w:r w:rsidRPr="002029AF">
              <w:t>Eye</w:t>
            </w:r>
            <w:r w:rsidR="000A5329" w:rsidRPr="002029AF">
              <w:t xml:space="preserve"> </w:t>
            </w:r>
            <w:r w:rsidRPr="002029AF">
              <w:t>Care</w:t>
            </w:r>
            <w:r w:rsidR="000A5329" w:rsidRPr="002029AF">
              <w:t xml:space="preserve"> </w:t>
            </w:r>
            <w:r w:rsidRPr="002029AF">
              <w:t>Service</w:t>
            </w:r>
            <w:r w:rsidR="000A5329" w:rsidRPr="002029AF">
              <w:t xml:space="preserve"> </w:t>
            </w:r>
            <w:r w:rsidRPr="002029AF">
              <w:t>(occasions</w:t>
            </w:r>
            <w:r w:rsidR="000A5329" w:rsidRPr="002029AF">
              <w:t xml:space="preserve"> </w:t>
            </w:r>
            <w:r w:rsidRPr="002029AF">
              <w:t>of</w:t>
            </w:r>
            <w:r w:rsidR="000A5329" w:rsidRPr="002029AF">
              <w:t xml:space="preserve"> </w:t>
            </w:r>
            <w:r w:rsidRPr="002029AF">
              <w:t>service)</w:t>
            </w:r>
          </w:p>
        </w:tc>
        <w:tc>
          <w:tcPr>
            <w:tcW w:w="1020" w:type="dxa"/>
            <w:gridSpan w:val="2"/>
            <w:tcBorders>
              <w:top w:val="single" w:sz="4" w:space="0" w:color="BFBFBF"/>
            </w:tcBorders>
            <w:shd w:val="clear" w:color="auto" w:fill="auto"/>
            <w:hideMark/>
          </w:tcPr>
          <w:p w14:paraId="614B9B10" w14:textId="77777777" w:rsidR="00C15C65" w:rsidRPr="002029AF" w:rsidRDefault="00C15C65" w:rsidP="00C40F5D">
            <w:pPr>
              <w:pStyle w:val="ARtabletext"/>
            </w:pPr>
            <w:r w:rsidRPr="002029AF">
              <w:t>number</w:t>
            </w:r>
          </w:p>
        </w:tc>
        <w:tc>
          <w:tcPr>
            <w:tcW w:w="1020" w:type="dxa"/>
            <w:gridSpan w:val="2"/>
            <w:tcBorders>
              <w:top w:val="single" w:sz="4" w:space="0" w:color="BFBFBF"/>
            </w:tcBorders>
            <w:shd w:val="clear" w:color="auto" w:fill="auto"/>
            <w:hideMark/>
          </w:tcPr>
          <w:p w14:paraId="2C88B265" w14:textId="2334FCB8" w:rsidR="00C15C65" w:rsidRPr="002029AF" w:rsidRDefault="00C15C65" w:rsidP="0014376C">
            <w:pPr>
              <w:pStyle w:val="ARtabletextright"/>
            </w:pPr>
            <w:r w:rsidRPr="002029AF">
              <w:t>75,</w:t>
            </w:r>
            <w:r w:rsidR="001D4B6B" w:rsidRPr="002029AF">
              <w:t>800</w:t>
            </w:r>
          </w:p>
        </w:tc>
        <w:tc>
          <w:tcPr>
            <w:tcW w:w="1020" w:type="dxa"/>
            <w:gridSpan w:val="2"/>
            <w:tcBorders>
              <w:top w:val="single" w:sz="4" w:space="0" w:color="BFBFBF"/>
            </w:tcBorders>
            <w:shd w:val="clear" w:color="auto" w:fill="auto"/>
            <w:hideMark/>
          </w:tcPr>
          <w:p w14:paraId="133090A8" w14:textId="77777777" w:rsidR="00C15C65" w:rsidRPr="002029AF" w:rsidRDefault="00C15C65" w:rsidP="0014376C">
            <w:pPr>
              <w:pStyle w:val="ARtabletextright"/>
            </w:pPr>
            <w:r w:rsidRPr="002029AF">
              <w:t>66,545</w:t>
            </w:r>
          </w:p>
        </w:tc>
        <w:tc>
          <w:tcPr>
            <w:tcW w:w="1023" w:type="dxa"/>
            <w:tcBorders>
              <w:top w:val="single" w:sz="4" w:space="0" w:color="BFBFBF"/>
            </w:tcBorders>
            <w:shd w:val="clear" w:color="auto" w:fill="auto"/>
          </w:tcPr>
          <w:p w14:paraId="492A26D7" w14:textId="42CFEC2B" w:rsidR="00C15C65" w:rsidRPr="002029AF" w:rsidRDefault="00C15C65" w:rsidP="0014376C">
            <w:pPr>
              <w:pStyle w:val="ARtabletextright"/>
            </w:pPr>
            <w:r w:rsidRPr="002029AF">
              <w:t>-12.</w:t>
            </w:r>
            <w:r w:rsidR="001D4B6B" w:rsidRPr="002029AF">
              <w:t>2</w:t>
            </w:r>
          </w:p>
        </w:tc>
        <w:tc>
          <w:tcPr>
            <w:tcW w:w="798" w:type="dxa"/>
            <w:tcBorders>
              <w:top w:val="single" w:sz="4" w:space="0" w:color="BFBFBF"/>
            </w:tcBorders>
            <w:shd w:val="clear" w:color="auto" w:fill="auto"/>
            <w:hideMark/>
          </w:tcPr>
          <w:p w14:paraId="7120ED94"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7F7DB03A" w14:textId="77777777" w:rsidTr="005B58F0">
        <w:trPr>
          <w:gridAfter w:val="1"/>
          <w:wAfter w:w="6" w:type="dxa"/>
          <w:cantSplit/>
        </w:trPr>
        <w:tc>
          <w:tcPr>
            <w:tcW w:w="9633" w:type="dxa"/>
            <w:gridSpan w:val="10"/>
            <w:tcBorders>
              <w:bottom w:val="single" w:sz="4" w:space="0" w:color="BFBFBF"/>
            </w:tcBorders>
            <w:shd w:val="clear" w:color="auto" w:fill="auto"/>
            <w:noWrap/>
            <w:hideMark/>
          </w:tcPr>
          <w:p w14:paraId="239753FC" w14:textId="158A0C59" w:rsidR="00C15C65" w:rsidRPr="002029AF" w:rsidRDefault="00C15C65" w:rsidP="002C5190">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lower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a</w:t>
            </w:r>
            <w:r w:rsidR="000A5329" w:rsidRPr="002029AF">
              <w:t xml:space="preserve"> </w:t>
            </w:r>
            <w:r w:rsidRPr="002029AF">
              <w:t>decrease</w:t>
            </w:r>
            <w:r w:rsidR="000A5329" w:rsidRPr="002029AF">
              <w:t xml:space="preserve"> </w:t>
            </w:r>
            <w:r w:rsidRPr="002029AF">
              <w:t>in</w:t>
            </w:r>
            <w:r w:rsidR="000A5329" w:rsidRPr="002029AF">
              <w:t xml:space="preserve"> </w:t>
            </w:r>
            <w:r w:rsidRPr="002029AF">
              <w:t>the</w:t>
            </w:r>
            <w:r w:rsidR="000A5329" w:rsidRPr="002029AF">
              <w:t xml:space="preserve"> </w:t>
            </w:r>
            <w:r w:rsidRPr="002029AF">
              <w:t>ability</w:t>
            </w:r>
            <w:r w:rsidR="000A5329" w:rsidRPr="002029AF">
              <w:t xml:space="preserve"> </w:t>
            </w:r>
            <w:r w:rsidRPr="002029AF">
              <w:t>to</w:t>
            </w:r>
            <w:r w:rsidR="000A5329" w:rsidRPr="002029AF">
              <w:t xml:space="preserve"> </w:t>
            </w:r>
            <w:r w:rsidRPr="002029AF">
              <w:t>provide</w:t>
            </w:r>
            <w:r w:rsidR="000A5329" w:rsidRPr="002029AF">
              <w:t xml:space="preserve"> </w:t>
            </w:r>
            <w:r w:rsidRPr="002029AF">
              <w:t>services</w:t>
            </w:r>
            <w:r w:rsidR="000A5329" w:rsidRPr="002029AF">
              <w:t xml:space="preserve"> </w:t>
            </w:r>
            <w:r w:rsidRPr="002029AF">
              <w:t>caused</w:t>
            </w:r>
            <w:r w:rsidR="000A5329" w:rsidRPr="002029AF">
              <w:t xml:space="preserve"> </w:t>
            </w:r>
            <w:r w:rsidRPr="002029AF">
              <w:t>by</w:t>
            </w:r>
            <w:r w:rsidR="000A5329" w:rsidRPr="002029AF">
              <w:t xml:space="preserve"> </w:t>
            </w:r>
            <w:r w:rsidRPr="002029AF">
              <w:t>the</w:t>
            </w:r>
            <w:r w:rsidR="000A5329" w:rsidRPr="002029AF">
              <w:t xml:space="preserve"> </w:t>
            </w:r>
            <w:r w:rsidRPr="002029AF">
              <w:t>impact</w:t>
            </w:r>
            <w:r w:rsidR="000A5329" w:rsidRPr="002029AF">
              <w:t xml:space="preserve"> </w:t>
            </w:r>
            <w:r w:rsidRPr="002029AF">
              <w:t>of</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Some</w:t>
            </w:r>
            <w:r w:rsidR="000A5329" w:rsidRPr="002029AF">
              <w:t xml:space="preserve"> </w:t>
            </w:r>
            <w:r w:rsidRPr="002029AF">
              <w:t>practices</w:t>
            </w:r>
            <w:r w:rsidR="000A5329" w:rsidRPr="002029AF">
              <w:t xml:space="preserve"> </w:t>
            </w:r>
            <w:r w:rsidRPr="002029AF">
              <w:t>stopped</w:t>
            </w:r>
            <w:r w:rsidR="000A5329" w:rsidRPr="002029AF">
              <w:t xml:space="preserve"> </w:t>
            </w:r>
            <w:r w:rsidRPr="002029AF">
              <w:t>seeing</w:t>
            </w:r>
            <w:r w:rsidR="000A5329" w:rsidRPr="002029AF">
              <w:t xml:space="preserve"> </w:t>
            </w:r>
            <w:r w:rsidRPr="002029AF">
              <w:t>clients</w:t>
            </w:r>
            <w:r w:rsidR="000A5329" w:rsidRPr="002029AF">
              <w:t xml:space="preserve"> </w:t>
            </w:r>
            <w:r w:rsidRPr="002029AF">
              <w:t>and</w:t>
            </w:r>
            <w:r w:rsidR="000A5329" w:rsidRPr="002029AF">
              <w:t xml:space="preserve"> </w:t>
            </w:r>
            <w:r w:rsidRPr="002029AF">
              <w:t>the</w:t>
            </w:r>
            <w:r w:rsidR="000A5329" w:rsidRPr="002029AF">
              <w:t xml:space="preserve"> </w:t>
            </w:r>
            <w:r w:rsidRPr="002029AF">
              <w:t>remainder</w:t>
            </w:r>
            <w:r w:rsidR="000A5329" w:rsidRPr="002029AF">
              <w:t xml:space="preserve"> </w:t>
            </w:r>
            <w:r w:rsidRPr="002029AF">
              <w:t>have</w:t>
            </w:r>
            <w:r w:rsidR="000A5329" w:rsidRPr="002029AF">
              <w:t xml:space="preserve"> </w:t>
            </w:r>
            <w:r w:rsidRPr="002029AF">
              <w:t>experienced</w:t>
            </w:r>
            <w:r w:rsidR="000A5329" w:rsidRPr="002029AF">
              <w:t xml:space="preserve"> </w:t>
            </w:r>
            <w:r w:rsidRPr="002029AF">
              <w:t>reduced</w:t>
            </w:r>
            <w:r w:rsidR="000A5329" w:rsidRPr="002029AF">
              <w:t xml:space="preserve"> </w:t>
            </w:r>
            <w:r w:rsidRPr="002029AF">
              <w:t>activity</w:t>
            </w:r>
            <w:r w:rsidR="000A5329" w:rsidRPr="002029AF">
              <w:t xml:space="preserve"> </w:t>
            </w:r>
            <w:r w:rsidRPr="002029AF">
              <w:t>while</w:t>
            </w:r>
            <w:r w:rsidR="000A5329" w:rsidRPr="002029AF">
              <w:t xml:space="preserve"> </w:t>
            </w:r>
            <w:r w:rsidRPr="002029AF">
              <w:t>seeing</w:t>
            </w:r>
            <w:r w:rsidR="000A5329" w:rsidRPr="002029AF">
              <w:t xml:space="preserve"> </w:t>
            </w:r>
            <w:r w:rsidRPr="002029AF">
              <w:t>urgent</w:t>
            </w:r>
            <w:r w:rsidR="000A5329" w:rsidRPr="002029AF">
              <w:t xml:space="preserve"> </w:t>
            </w:r>
            <w:r w:rsidRPr="002029AF">
              <w:t>and</w:t>
            </w:r>
            <w:r w:rsidR="000A5329" w:rsidRPr="002029AF">
              <w:t xml:space="preserve"> </w:t>
            </w:r>
            <w:r w:rsidRPr="002029AF">
              <w:t>essential</w:t>
            </w:r>
            <w:r w:rsidR="000A5329" w:rsidRPr="002029AF">
              <w:t xml:space="preserve"> </w:t>
            </w:r>
            <w:r w:rsidRPr="002029AF">
              <w:t>clients</w:t>
            </w:r>
            <w:r w:rsidR="000A5329" w:rsidRPr="002029AF">
              <w:t xml:space="preserve"> </w:t>
            </w:r>
            <w:r w:rsidRPr="002029AF">
              <w:t>only.</w:t>
            </w:r>
          </w:p>
        </w:tc>
      </w:tr>
      <w:tr w:rsidR="00C15C65" w:rsidRPr="002029AF" w14:paraId="1449651F" w14:textId="77777777" w:rsidTr="005B58F0">
        <w:trPr>
          <w:cantSplit/>
        </w:trPr>
        <w:tc>
          <w:tcPr>
            <w:tcW w:w="4752" w:type="dxa"/>
            <w:gridSpan w:val="2"/>
            <w:shd w:val="clear" w:color="auto" w:fill="auto"/>
            <w:hideMark/>
          </w:tcPr>
          <w:p w14:paraId="13DE9E6E" w14:textId="275A0210" w:rsidR="00C15C65" w:rsidRPr="002029AF" w:rsidRDefault="00C15C65" w:rsidP="00C40F5D">
            <w:pPr>
              <w:pStyle w:val="ARtabletext"/>
            </w:pPr>
            <w:r w:rsidRPr="002029AF">
              <w:t>Clients</w:t>
            </w:r>
            <w:r w:rsidR="000A5329" w:rsidRPr="002029AF">
              <w:t xml:space="preserve"> </w:t>
            </w:r>
            <w:r w:rsidRPr="002029AF">
              <w:t>accessing</w:t>
            </w:r>
            <w:r w:rsidR="000A5329" w:rsidRPr="002029AF">
              <w:t xml:space="preserve"> </w:t>
            </w:r>
            <w:r w:rsidRPr="002029AF">
              <w:t>aids</w:t>
            </w:r>
            <w:r w:rsidR="000A5329" w:rsidRPr="002029AF">
              <w:t xml:space="preserve"> </w:t>
            </w:r>
            <w:r w:rsidRPr="002029AF">
              <w:t>and</w:t>
            </w:r>
            <w:r w:rsidR="000A5329" w:rsidRPr="002029AF">
              <w:t xml:space="preserve"> </w:t>
            </w:r>
            <w:r w:rsidRPr="002029AF">
              <w:t>equipment</w:t>
            </w:r>
          </w:p>
        </w:tc>
        <w:tc>
          <w:tcPr>
            <w:tcW w:w="1020" w:type="dxa"/>
            <w:gridSpan w:val="2"/>
            <w:shd w:val="clear" w:color="auto" w:fill="auto"/>
            <w:hideMark/>
          </w:tcPr>
          <w:p w14:paraId="5E709117" w14:textId="77777777" w:rsidR="00C15C65" w:rsidRPr="002029AF" w:rsidRDefault="00C15C65" w:rsidP="00C40F5D">
            <w:pPr>
              <w:pStyle w:val="ARtabletext"/>
            </w:pPr>
            <w:r w:rsidRPr="002029AF">
              <w:t>number</w:t>
            </w:r>
          </w:p>
        </w:tc>
        <w:tc>
          <w:tcPr>
            <w:tcW w:w="1020" w:type="dxa"/>
            <w:gridSpan w:val="2"/>
            <w:shd w:val="clear" w:color="auto" w:fill="auto"/>
            <w:hideMark/>
          </w:tcPr>
          <w:p w14:paraId="1F7B02DD" w14:textId="77777777" w:rsidR="00C15C65" w:rsidRPr="002029AF" w:rsidRDefault="00C15C65" w:rsidP="0014376C">
            <w:pPr>
              <w:pStyle w:val="ARtabletextright"/>
            </w:pPr>
            <w:r w:rsidRPr="002029AF">
              <w:t>15,000</w:t>
            </w:r>
          </w:p>
        </w:tc>
        <w:tc>
          <w:tcPr>
            <w:tcW w:w="1020" w:type="dxa"/>
            <w:gridSpan w:val="2"/>
            <w:shd w:val="clear" w:color="auto" w:fill="auto"/>
            <w:hideMark/>
          </w:tcPr>
          <w:p w14:paraId="4D299427" w14:textId="77777777" w:rsidR="00C15C65" w:rsidRPr="002029AF" w:rsidRDefault="00C15C65" w:rsidP="0014376C">
            <w:pPr>
              <w:pStyle w:val="ARtabletextright"/>
            </w:pPr>
            <w:r w:rsidRPr="002029AF">
              <w:t>26,975</w:t>
            </w:r>
          </w:p>
        </w:tc>
        <w:tc>
          <w:tcPr>
            <w:tcW w:w="1023" w:type="dxa"/>
            <w:shd w:val="clear" w:color="auto" w:fill="auto"/>
          </w:tcPr>
          <w:p w14:paraId="4F257B07" w14:textId="77777777" w:rsidR="00C15C65" w:rsidRPr="002029AF" w:rsidRDefault="00C15C65" w:rsidP="0014376C">
            <w:pPr>
              <w:pStyle w:val="ARtabletextright"/>
            </w:pPr>
            <w:r w:rsidRPr="002029AF">
              <w:t>79.8</w:t>
            </w:r>
          </w:p>
        </w:tc>
        <w:tc>
          <w:tcPr>
            <w:tcW w:w="804" w:type="dxa"/>
            <w:gridSpan w:val="2"/>
            <w:shd w:val="clear" w:color="auto" w:fill="auto"/>
            <w:hideMark/>
          </w:tcPr>
          <w:p w14:paraId="6BED93BB"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7DBCD20D" w14:textId="77777777" w:rsidTr="005B58F0">
        <w:trPr>
          <w:cantSplit/>
        </w:trPr>
        <w:tc>
          <w:tcPr>
            <w:tcW w:w="9639" w:type="dxa"/>
            <w:gridSpan w:val="11"/>
            <w:tcBorders>
              <w:bottom w:val="single" w:sz="4" w:space="0" w:color="BFBFBF"/>
            </w:tcBorders>
            <w:shd w:val="clear" w:color="auto" w:fill="auto"/>
            <w:noWrap/>
            <w:hideMark/>
          </w:tcPr>
          <w:p w14:paraId="5EB91739" w14:textId="63258D74" w:rsidR="00C15C65" w:rsidRPr="002029AF" w:rsidRDefault="00C15C65" w:rsidP="002C5190">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more</w:t>
            </w:r>
            <w:r w:rsidR="000A5329" w:rsidRPr="002029AF">
              <w:t xml:space="preserve"> </w:t>
            </w:r>
            <w:r w:rsidRPr="002029AF">
              <w:t>people</w:t>
            </w:r>
            <w:r w:rsidR="000A5329" w:rsidRPr="002029AF">
              <w:t xml:space="preserve"> </w:t>
            </w:r>
            <w:r w:rsidRPr="002029AF">
              <w:t>accessing</w:t>
            </w:r>
            <w:r w:rsidR="000A5329" w:rsidRPr="002029AF">
              <w:t xml:space="preserve"> </w:t>
            </w:r>
            <w:r w:rsidRPr="002029AF">
              <w:t>low-cost</w:t>
            </w:r>
            <w:r w:rsidR="000A5329" w:rsidRPr="002029AF">
              <w:t xml:space="preserve"> </w:t>
            </w:r>
            <w:r w:rsidRPr="002029AF">
              <w:t>items,</w:t>
            </w:r>
            <w:r w:rsidR="000A5329" w:rsidRPr="002029AF">
              <w:t xml:space="preserve"> </w:t>
            </w:r>
            <w:r w:rsidRPr="002029AF">
              <w:t>and</w:t>
            </w:r>
            <w:r w:rsidR="000A5329" w:rsidRPr="002029AF">
              <w:t xml:space="preserve"> </w:t>
            </w:r>
            <w:r w:rsidRPr="002029AF">
              <w:t>includes</w:t>
            </w:r>
            <w:r w:rsidR="000A5329" w:rsidRPr="002029AF">
              <w:t xml:space="preserve"> </w:t>
            </w:r>
            <w:r w:rsidRPr="002029AF">
              <w:t>ongoing</w:t>
            </w:r>
            <w:r w:rsidR="000A5329" w:rsidRPr="002029AF">
              <w:t xml:space="preserve"> </w:t>
            </w:r>
            <w:r w:rsidRPr="002029AF">
              <w:t>oxygen</w:t>
            </w:r>
            <w:r w:rsidR="000A5329" w:rsidRPr="002029AF">
              <w:t xml:space="preserve"> </w:t>
            </w:r>
            <w:r w:rsidRPr="002029AF">
              <w:t>and</w:t>
            </w:r>
            <w:r w:rsidR="000A5329" w:rsidRPr="002029AF">
              <w:t xml:space="preserve"> </w:t>
            </w:r>
            <w:r w:rsidRPr="002029AF">
              <w:t>continence</w:t>
            </w:r>
            <w:r w:rsidR="000A5329" w:rsidRPr="002029AF">
              <w:t xml:space="preserve"> </w:t>
            </w:r>
            <w:r w:rsidRPr="002029AF">
              <w:t>clients.</w:t>
            </w:r>
            <w:r w:rsidR="000A5329" w:rsidRPr="002029AF">
              <w:t xml:space="preserve"> </w:t>
            </w:r>
            <w:r w:rsidRPr="002029AF">
              <w:t>This</w:t>
            </w:r>
            <w:r w:rsidR="000A5329" w:rsidRPr="002029AF">
              <w:t xml:space="preserve"> </w:t>
            </w:r>
            <w:r w:rsidRPr="002029AF">
              <w:t>is</w:t>
            </w:r>
            <w:r w:rsidR="000A5329" w:rsidRPr="002029AF">
              <w:t xml:space="preserve"> </w:t>
            </w:r>
            <w:r w:rsidRPr="002029AF">
              <w:t>a</w:t>
            </w:r>
            <w:r w:rsidR="000A5329" w:rsidRPr="002029AF">
              <w:t xml:space="preserve"> </w:t>
            </w:r>
            <w:r w:rsidRPr="002029AF">
              <w:t>positive</w:t>
            </w:r>
            <w:r w:rsidR="000A5329" w:rsidRPr="002029AF">
              <w:t xml:space="preserve"> </w:t>
            </w:r>
            <w:r w:rsidRPr="002029AF">
              <w:t>result.</w:t>
            </w:r>
          </w:p>
        </w:tc>
      </w:tr>
      <w:tr w:rsidR="00C15C65" w:rsidRPr="002029AF" w14:paraId="73D578DD" w14:textId="77777777" w:rsidTr="005B58F0">
        <w:trPr>
          <w:cantSplit/>
        </w:trPr>
        <w:tc>
          <w:tcPr>
            <w:tcW w:w="9639" w:type="dxa"/>
            <w:gridSpan w:val="11"/>
            <w:tcBorders>
              <w:top w:val="single" w:sz="4" w:space="0" w:color="auto"/>
              <w:left w:val="nil"/>
              <w:bottom w:val="nil"/>
              <w:right w:val="nil"/>
            </w:tcBorders>
            <w:hideMark/>
          </w:tcPr>
          <w:p w14:paraId="4FD32F96" w14:textId="77777777" w:rsidR="00C15C65" w:rsidRPr="002029AF" w:rsidRDefault="00C15C65" w:rsidP="00D96AFD">
            <w:pPr>
              <w:pStyle w:val="ARtablegreybold"/>
            </w:pPr>
            <w:r w:rsidRPr="002029AF">
              <w:t>Quality</w:t>
            </w:r>
          </w:p>
        </w:tc>
      </w:tr>
      <w:tr w:rsidR="00C15C65" w:rsidRPr="002029AF" w14:paraId="076F5C47" w14:textId="77777777" w:rsidTr="005B58F0">
        <w:trPr>
          <w:gridAfter w:val="1"/>
          <w:wAfter w:w="6" w:type="dxa"/>
          <w:cantSplit/>
        </w:trPr>
        <w:tc>
          <w:tcPr>
            <w:tcW w:w="4752" w:type="dxa"/>
            <w:gridSpan w:val="2"/>
            <w:tcBorders>
              <w:bottom w:val="single" w:sz="4" w:space="0" w:color="BFBFBF"/>
            </w:tcBorders>
            <w:shd w:val="clear" w:color="auto" w:fill="auto"/>
            <w:hideMark/>
          </w:tcPr>
          <w:p w14:paraId="5F8A9B49" w14:textId="21296547" w:rsidR="00C15C65" w:rsidRPr="002029AF" w:rsidRDefault="00C15C65" w:rsidP="00C40F5D">
            <w:pPr>
              <w:pStyle w:val="ARtabletext"/>
            </w:pPr>
            <w:r w:rsidRPr="002029AF">
              <w:t>Funded</w:t>
            </w:r>
            <w:r w:rsidR="000A5329" w:rsidRPr="002029AF">
              <w:t xml:space="preserve"> </w:t>
            </w:r>
            <w:r w:rsidRPr="002029AF">
              <w:t>research</w:t>
            </w:r>
            <w:r w:rsidR="000A5329" w:rsidRPr="002029AF">
              <w:t xml:space="preserve"> </w:t>
            </w:r>
            <w:r w:rsidRPr="002029AF">
              <w:t>and</w:t>
            </w:r>
            <w:r w:rsidR="000A5329" w:rsidRPr="002029AF">
              <w:t xml:space="preserve"> </w:t>
            </w:r>
            <w:r w:rsidRPr="002029AF">
              <w:t>service</w:t>
            </w:r>
            <w:r w:rsidR="000A5329" w:rsidRPr="002029AF">
              <w:t xml:space="preserve"> </w:t>
            </w:r>
            <w:r w:rsidRPr="002029AF">
              <w:t>development</w:t>
            </w:r>
            <w:r w:rsidR="000A5329" w:rsidRPr="002029AF">
              <w:t xml:space="preserve"> </w:t>
            </w:r>
            <w:r w:rsidRPr="002029AF">
              <w:t>projects</w:t>
            </w:r>
            <w:r w:rsidR="000A5329" w:rsidRPr="002029AF">
              <w:t xml:space="preserve"> </w:t>
            </w:r>
            <w:r w:rsidRPr="002029AF">
              <w:t>for</w:t>
            </w:r>
            <w:r w:rsidR="000A5329" w:rsidRPr="002029AF">
              <w:t xml:space="preserve"> </w:t>
            </w:r>
            <w:r w:rsidRPr="002029AF">
              <w:t>which</w:t>
            </w:r>
            <w:r w:rsidR="000A5329" w:rsidRPr="002029AF">
              <w:t xml:space="preserve"> </w:t>
            </w:r>
            <w:r w:rsidRPr="002029AF">
              <w:t>satisfactory</w:t>
            </w:r>
            <w:r w:rsidR="000A5329" w:rsidRPr="002029AF">
              <w:t xml:space="preserve"> </w:t>
            </w:r>
            <w:r w:rsidRPr="002029AF">
              <w:t>reports</w:t>
            </w:r>
            <w:r w:rsidR="000A5329" w:rsidRPr="002029AF">
              <w:t xml:space="preserve"> </w:t>
            </w:r>
            <w:r w:rsidRPr="002029AF">
              <w:t>have</w:t>
            </w:r>
            <w:r w:rsidR="000A5329" w:rsidRPr="002029AF">
              <w:t xml:space="preserve"> </w:t>
            </w:r>
            <w:r w:rsidRPr="002029AF">
              <w:t>been</w:t>
            </w:r>
            <w:r w:rsidR="000A5329" w:rsidRPr="002029AF">
              <w:t xml:space="preserve"> </w:t>
            </w:r>
            <w:r w:rsidRPr="002029AF">
              <w:t>received</w:t>
            </w:r>
          </w:p>
        </w:tc>
        <w:tc>
          <w:tcPr>
            <w:tcW w:w="1020" w:type="dxa"/>
            <w:gridSpan w:val="2"/>
            <w:tcBorders>
              <w:bottom w:val="single" w:sz="4" w:space="0" w:color="BFBFBF"/>
            </w:tcBorders>
            <w:shd w:val="clear" w:color="auto" w:fill="auto"/>
            <w:hideMark/>
          </w:tcPr>
          <w:p w14:paraId="63743A07" w14:textId="5DD7CD60" w:rsidR="00C15C65" w:rsidRPr="002029AF" w:rsidRDefault="00C15C65" w:rsidP="00C40F5D">
            <w:pPr>
              <w:pStyle w:val="ARtabletext"/>
            </w:pPr>
            <w:r w:rsidRPr="002029AF">
              <w:t>per</w:t>
            </w:r>
            <w:r w:rsidR="000A5329" w:rsidRPr="002029AF">
              <w:t xml:space="preserve"> </w:t>
            </w:r>
            <w:r w:rsidRPr="002029AF">
              <w:t>cent</w:t>
            </w:r>
          </w:p>
        </w:tc>
        <w:tc>
          <w:tcPr>
            <w:tcW w:w="1020" w:type="dxa"/>
            <w:gridSpan w:val="2"/>
            <w:tcBorders>
              <w:bottom w:val="single" w:sz="4" w:space="0" w:color="BFBFBF"/>
            </w:tcBorders>
            <w:shd w:val="clear" w:color="auto" w:fill="auto"/>
            <w:hideMark/>
          </w:tcPr>
          <w:p w14:paraId="7CE2F7B4" w14:textId="77777777" w:rsidR="00C15C65" w:rsidRPr="002029AF" w:rsidRDefault="00C15C65" w:rsidP="0014376C">
            <w:pPr>
              <w:pStyle w:val="ARtabletextright"/>
            </w:pPr>
            <w:r w:rsidRPr="002029AF">
              <w:t>100</w:t>
            </w:r>
          </w:p>
        </w:tc>
        <w:tc>
          <w:tcPr>
            <w:tcW w:w="1020" w:type="dxa"/>
            <w:gridSpan w:val="2"/>
            <w:tcBorders>
              <w:bottom w:val="single" w:sz="4" w:space="0" w:color="BFBFBF"/>
            </w:tcBorders>
            <w:shd w:val="clear" w:color="auto" w:fill="auto"/>
            <w:hideMark/>
          </w:tcPr>
          <w:p w14:paraId="2A45BA70" w14:textId="77777777" w:rsidR="00C15C65" w:rsidRPr="002029AF" w:rsidRDefault="00C15C65" w:rsidP="0014376C">
            <w:pPr>
              <w:pStyle w:val="ARtabletextright"/>
            </w:pPr>
            <w:r w:rsidRPr="002029AF">
              <w:t>100</w:t>
            </w:r>
          </w:p>
        </w:tc>
        <w:tc>
          <w:tcPr>
            <w:tcW w:w="1023" w:type="dxa"/>
            <w:tcBorders>
              <w:bottom w:val="single" w:sz="4" w:space="0" w:color="BFBFBF"/>
            </w:tcBorders>
            <w:shd w:val="clear" w:color="auto" w:fill="auto"/>
          </w:tcPr>
          <w:p w14:paraId="500E32E1" w14:textId="77777777" w:rsidR="00C15C65" w:rsidRPr="002029AF" w:rsidRDefault="00C15C65" w:rsidP="0014376C">
            <w:pPr>
              <w:pStyle w:val="ARtabletextright"/>
            </w:pPr>
            <w:r w:rsidRPr="002029AF">
              <w:t>0.0</w:t>
            </w:r>
          </w:p>
        </w:tc>
        <w:tc>
          <w:tcPr>
            <w:tcW w:w="798" w:type="dxa"/>
            <w:tcBorders>
              <w:bottom w:val="single" w:sz="4" w:space="0" w:color="BFBFBF"/>
            </w:tcBorders>
            <w:shd w:val="clear" w:color="auto" w:fill="auto"/>
            <w:hideMark/>
          </w:tcPr>
          <w:p w14:paraId="4BC2B38F"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55679022" w14:textId="77777777" w:rsidTr="005B58F0">
        <w:trPr>
          <w:cantSplit/>
        </w:trPr>
        <w:tc>
          <w:tcPr>
            <w:tcW w:w="4752" w:type="dxa"/>
            <w:gridSpan w:val="2"/>
            <w:shd w:val="clear" w:color="auto" w:fill="auto"/>
            <w:hideMark/>
          </w:tcPr>
          <w:p w14:paraId="5633D5C6" w14:textId="4461E5C7" w:rsidR="00C15C65" w:rsidRPr="002029AF" w:rsidRDefault="00C15C65" w:rsidP="00C40F5D">
            <w:pPr>
              <w:pStyle w:val="ARtabletext"/>
            </w:pPr>
            <w:r w:rsidRPr="002029AF">
              <w:t>Clients</w:t>
            </w:r>
            <w:r w:rsidR="000A5329" w:rsidRPr="002029AF">
              <w:t xml:space="preserve"> </w:t>
            </w:r>
            <w:r w:rsidRPr="002029AF">
              <w:t>satisfied</w:t>
            </w:r>
            <w:r w:rsidR="000A5329" w:rsidRPr="002029AF">
              <w:t xml:space="preserve"> </w:t>
            </w:r>
            <w:r w:rsidRPr="002029AF">
              <w:t>with</w:t>
            </w:r>
            <w:r w:rsidR="000A5329" w:rsidRPr="002029AF">
              <w:t xml:space="preserve"> </w:t>
            </w:r>
            <w:r w:rsidRPr="002029AF">
              <w:t>the</w:t>
            </w:r>
            <w:r w:rsidR="000A5329" w:rsidRPr="002029AF">
              <w:t xml:space="preserve"> </w:t>
            </w:r>
            <w:r w:rsidRPr="002029AF">
              <w:t>aids</w:t>
            </w:r>
            <w:r w:rsidR="000A5329" w:rsidRPr="002029AF">
              <w:t xml:space="preserve"> </w:t>
            </w:r>
            <w:r w:rsidRPr="002029AF">
              <w:t>and</w:t>
            </w:r>
            <w:r w:rsidR="000A5329" w:rsidRPr="002029AF">
              <w:t xml:space="preserve"> </w:t>
            </w:r>
            <w:r w:rsidRPr="002029AF">
              <w:t>equipment</w:t>
            </w:r>
            <w:r w:rsidR="000A5329" w:rsidRPr="002029AF">
              <w:t xml:space="preserve"> </w:t>
            </w:r>
            <w:r w:rsidRPr="002029AF">
              <w:t>services</w:t>
            </w:r>
            <w:r w:rsidR="000A5329" w:rsidRPr="002029AF">
              <w:t xml:space="preserve"> </w:t>
            </w:r>
            <w:r w:rsidRPr="002029AF">
              <w:t>system</w:t>
            </w:r>
          </w:p>
        </w:tc>
        <w:tc>
          <w:tcPr>
            <w:tcW w:w="1020" w:type="dxa"/>
            <w:gridSpan w:val="2"/>
            <w:shd w:val="clear" w:color="auto" w:fill="auto"/>
            <w:hideMark/>
          </w:tcPr>
          <w:p w14:paraId="1D9CFFCC" w14:textId="23723738" w:rsidR="00C15C65" w:rsidRPr="002029AF" w:rsidRDefault="00C15C65" w:rsidP="00C40F5D">
            <w:pPr>
              <w:pStyle w:val="ARtabletext"/>
            </w:pPr>
            <w:r w:rsidRPr="002029AF">
              <w:t>per</w:t>
            </w:r>
            <w:r w:rsidR="000A5329" w:rsidRPr="002029AF">
              <w:t xml:space="preserve"> </w:t>
            </w:r>
            <w:r w:rsidRPr="002029AF">
              <w:t>cent</w:t>
            </w:r>
          </w:p>
        </w:tc>
        <w:tc>
          <w:tcPr>
            <w:tcW w:w="1020" w:type="dxa"/>
            <w:gridSpan w:val="2"/>
            <w:shd w:val="clear" w:color="auto" w:fill="auto"/>
            <w:hideMark/>
          </w:tcPr>
          <w:p w14:paraId="2B0DFA0C" w14:textId="77777777" w:rsidR="00C15C65" w:rsidRPr="002029AF" w:rsidRDefault="00C15C65" w:rsidP="0014376C">
            <w:pPr>
              <w:pStyle w:val="ARtabletextright"/>
            </w:pPr>
            <w:r w:rsidRPr="002029AF">
              <w:t>85</w:t>
            </w:r>
          </w:p>
        </w:tc>
        <w:tc>
          <w:tcPr>
            <w:tcW w:w="1020" w:type="dxa"/>
            <w:gridSpan w:val="2"/>
            <w:shd w:val="clear" w:color="auto" w:fill="auto"/>
            <w:hideMark/>
          </w:tcPr>
          <w:p w14:paraId="523E5608" w14:textId="77777777" w:rsidR="00C15C65" w:rsidRPr="002029AF" w:rsidRDefault="00C15C65" w:rsidP="0014376C">
            <w:pPr>
              <w:pStyle w:val="ARtabletextright"/>
            </w:pPr>
            <w:r w:rsidRPr="002029AF">
              <w:t>95.3</w:t>
            </w:r>
          </w:p>
        </w:tc>
        <w:tc>
          <w:tcPr>
            <w:tcW w:w="1023" w:type="dxa"/>
            <w:shd w:val="clear" w:color="auto" w:fill="auto"/>
          </w:tcPr>
          <w:p w14:paraId="3C77492C" w14:textId="77777777" w:rsidR="00C15C65" w:rsidRPr="002029AF" w:rsidRDefault="00C15C65" w:rsidP="0014376C">
            <w:pPr>
              <w:pStyle w:val="ARtabletextright"/>
            </w:pPr>
            <w:r w:rsidRPr="002029AF">
              <w:t>12.1</w:t>
            </w:r>
          </w:p>
        </w:tc>
        <w:tc>
          <w:tcPr>
            <w:tcW w:w="804" w:type="dxa"/>
            <w:gridSpan w:val="2"/>
            <w:shd w:val="clear" w:color="auto" w:fill="auto"/>
            <w:hideMark/>
          </w:tcPr>
          <w:p w14:paraId="473EF5C6"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10F982E3" w14:textId="77777777" w:rsidTr="005B58F0">
        <w:trPr>
          <w:cantSplit/>
        </w:trPr>
        <w:tc>
          <w:tcPr>
            <w:tcW w:w="9639" w:type="dxa"/>
            <w:gridSpan w:val="11"/>
            <w:tcBorders>
              <w:bottom w:val="single" w:sz="4" w:space="0" w:color="BFBFBF"/>
            </w:tcBorders>
            <w:shd w:val="clear" w:color="auto" w:fill="auto"/>
            <w:noWrap/>
            <w:hideMark/>
          </w:tcPr>
          <w:p w14:paraId="01115514" w14:textId="4FFBE146" w:rsidR="00C15C65" w:rsidRPr="002029AF" w:rsidRDefault="00C15C65" w:rsidP="002C5190">
            <w:pPr>
              <w:pStyle w:val="ARtablenoteindent"/>
            </w:pPr>
            <w:r w:rsidRPr="002029AF">
              <w:t>The</w:t>
            </w:r>
            <w:r w:rsidR="000A5329" w:rsidRPr="002029AF">
              <w:t xml:space="preserve"> </w:t>
            </w:r>
            <w:r w:rsidRPr="002029AF">
              <w:t>result</w:t>
            </w:r>
            <w:r w:rsidR="000A5329" w:rsidRPr="002029AF">
              <w:t xml:space="preserve"> </w:t>
            </w:r>
            <w:r w:rsidRPr="002029AF">
              <w:t>is</w:t>
            </w:r>
            <w:r w:rsidR="000A5329" w:rsidRPr="002029AF">
              <w:t xml:space="preserve"> </w:t>
            </w:r>
            <w:r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timely</w:t>
            </w:r>
            <w:r w:rsidR="000A5329" w:rsidRPr="002029AF">
              <w:t xml:space="preserve"> </w:t>
            </w:r>
            <w:r w:rsidRPr="002029AF">
              <w:t>and</w:t>
            </w:r>
            <w:r w:rsidR="000A5329" w:rsidRPr="002029AF">
              <w:t xml:space="preserve"> </w:t>
            </w:r>
            <w:r w:rsidRPr="002029AF">
              <w:t>responsive</w:t>
            </w:r>
            <w:r w:rsidR="000A5329" w:rsidRPr="002029AF">
              <w:t xml:space="preserve"> </w:t>
            </w:r>
            <w:r w:rsidRPr="002029AF">
              <w:t>service</w:t>
            </w:r>
            <w:r w:rsidR="000A5329" w:rsidRPr="002029AF">
              <w:t xml:space="preserve"> </w:t>
            </w:r>
            <w:r w:rsidRPr="002029AF">
              <w:t>to</w:t>
            </w:r>
            <w:r w:rsidR="000A5329" w:rsidRPr="002029AF">
              <w:t xml:space="preserve"> </w:t>
            </w:r>
            <w:r w:rsidRPr="002029AF">
              <w:t>clients.</w:t>
            </w:r>
            <w:r w:rsidR="000A5329" w:rsidRPr="002029AF">
              <w:t xml:space="preserve"> </w:t>
            </w:r>
            <w:r w:rsidRPr="002029AF">
              <w:t>This</w:t>
            </w:r>
            <w:r w:rsidR="000A5329" w:rsidRPr="002029AF">
              <w:t xml:space="preserve"> </w:t>
            </w:r>
            <w:r w:rsidRPr="002029AF">
              <w:t>is</w:t>
            </w:r>
            <w:r w:rsidR="000A5329" w:rsidRPr="002029AF">
              <w:t xml:space="preserve"> </w:t>
            </w:r>
            <w:r w:rsidRPr="002029AF">
              <w:t>a</w:t>
            </w:r>
            <w:r w:rsidR="000A5329" w:rsidRPr="002029AF">
              <w:t xml:space="preserve"> </w:t>
            </w:r>
            <w:r w:rsidRPr="002029AF">
              <w:t>positive</w:t>
            </w:r>
            <w:r w:rsidR="000A5329" w:rsidRPr="002029AF">
              <w:t xml:space="preserve"> </w:t>
            </w:r>
            <w:r w:rsidRPr="002029AF">
              <w:t>result.</w:t>
            </w:r>
          </w:p>
        </w:tc>
      </w:tr>
      <w:tr w:rsidR="00C15C65" w:rsidRPr="002029AF" w14:paraId="70BBCD27" w14:textId="77777777" w:rsidTr="005B58F0">
        <w:trPr>
          <w:cantSplit/>
        </w:trPr>
        <w:tc>
          <w:tcPr>
            <w:tcW w:w="9639" w:type="dxa"/>
            <w:gridSpan w:val="11"/>
            <w:tcBorders>
              <w:top w:val="single" w:sz="4" w:space="0" w:color="auto"/>
              <w:left w:val="nil"/>
              <w:bottom w:val="nil"/>
              <w:right w:val="nil"/>
            </w:tcBorders>
            <w:hideMark/>
          </w:tcPr>
          <w:p w14:paraId="4F1EEECB" w14:textId="77777777" w:rsidR="00C15C65" w:rsidRPr="002029AF" w:rsidRDefault="00C15C65" w:rsidP="007666A5">
            <w:pPr>
              <w:pStyle w:val="ARtablegreybold"/>
            </w:pPr>
            <w:r w:rsidRPr="002029AF">
              <w:t>Timeliness</w:t>
            </w:r>
          </w:p>
        </w:tc>
      </w:tr>
      <w:tr w:rsidR="00C15C65" w:rsidRPr="002029AF" w14:paraId="34F8BE49" w14:textId="77777777" w:rsidTr="005B58F0">
        <w:trPr>
          <w:gridAfter w:val="1"/>
          <w:wAfter w:w="6" w:type="dxa"/>
          <w:cantSplit/>
        </w:trPr>
        <w:tc>
          <w:tcPr>
            <w:tcW w:w="4752" w:type="dxa"/>
            <w:gridSpan w:val="2"/>
            <w:shd w:val="clear" w:color="auto" w:fill="auto"/>
            <w:hideMark/>
          </w:tcPr>
          <w:p w14:paraId="6FBA4CCC" w14:textId="49718C73" w:rsidR="00C15C65" w:rsidRPr="002029AF" w:rsidRDefault="00C15C65" w:rsidP="00C40F5D">
            <w:pPr>
              <w:pStyle w:val="ARtabletext"/>
            </w:pPr>
            <w:r w:rsidRPr="002029AF">
              <w:t>Applications</w:t>
            </w:r>
            <w:r w:rsidR="000A5329" w:rsidRPr="002029AF">
              <w:t xml:space="preserve"> </w:t>
            </w:r>
            <w:r w:rsidRPr="002029AF">
              <w:t>for</w:t>
            </w:r>
            <w:r w:rsidR="000A5329" w:rsidRPr="002029AF">
              <w:t xml:space="preserve"> </w:t>
            </w:r>
            <w:r w:rsidRPr="002029AF">
              <w:t>aids</w:t>
            </w:r>
            <w:r w:rsidR="000A5329" w:rsidRPr="002029AF">
              <w:t xml:space="preserve"> </w:t>
            </w:r>
            <w:r w:rsidRPr="002029AF">
              <w:t>and</w:t>
            </w:r>
            <w:r w:rsidR="000A5329" w:rsidRPr="002029AF">
              <w:t xml:space="preserve"> </w:t>
            </w:r>
            <w:r w:rsidRPr="002029AF">
              <w:t>equipment</w:t>
            </w:r>
            <w:r w:rsidR="000A5329" w:rsidRPr="002029AF">
              <w:t xml:space="preserve"> </w:t>
            </w:r>
            <w:r w:rsidRPr="002029AF">
              <w:t>acknowledged</w:t>
            </w:r>
            <w:r w:rsidR="000A5329" w:rsidRPr="002029AF">
              <w:t xml:space="preserve"> </w:t>
            </w:r>
            <w:r w:rsidRPr="002029AF">
              <w:t>in</w:t>
            </w:r>
            <w:r w:rsidR="000A5329" w:rsidRPr="002029AF">
              <w:t xml:space="preserve"> </w:t>
            </w:r>
            <w:r w:rsidRPr="002029AF">
              <w:t>writing</w:t>
            </w:r>
            <w:r w:rsidR="000A5329" w:rsidRPr="002029AF">
              <w:t xml:space="preserve"> </w:t>
            </w:r>
            <w:r w:rsidRPr="002029AF">
              <w:t>within</w:t>
            </w:r>
            <w:r w:rsidR="000A5329" w:rsidRPr="002029AF">
              <w:t xml:space="preserve"> </w:t>
            </w:r>
            <w:r w:rsidRPr="002029AF">
              <w:t>10</w:t>
            </w:r>
            <w:r w:rsidR="000A5329" w:rsidRPr="002029AF">
              <w:t xml:space="preserve"> </w:t>
            </w:r>
            <w:r w:rsidRPr="002029AF">
              <w:t>working</w:t>
            </w:r>
            <w:r w:rsidR="000A5329" w:rsidRPr="002029AF">
              <w:t xml:space="preserve"> </w:t>
            </w:r>
            <w:r w:rsidRPr="002029AF">
              <w:t>days</w:t>
            </w:r>
          </w:p>
        </w:tc>
        <w:tc>
          <w:tcPr>
            <w:tcW w:w="1020" w:type="dxa"/>
            <w:gridSpan w:val="2"/>
            <w:shd w:val="clear" w:color="auto" w:fill="auto"/>
            <w:hideMark/>
          </w:tcPr>
          <w:p w14:paraId="59212339" w14:textId="5DF5549B" w:rsidR="00C15C65" w:rsidRPr="002029AF" w:rsidRDefault="00C15C65" w:rsidP="00C40F5D">
            <w:pPr>
              <w:pStyle w:val="ARtabletext"/>
            </w:pPr>
            <w:r w:rsidRPr="002029AF">
              <w:t>per</w:t>
            </w:r>
            <w:r w:rsidR="000A5329" w:rsidRPr="002029AF">
              <w:t xml:space="preserve"> </w:t>
            </w:r>
            <w:r w:rsidRPr="002029AF">
              <w:t>cent</w:t>
            </w:r>
          </w:p>
        </w:tc>
        <w:tc>
          <w:tcPr>
            <w:tcW w:w="1020" w:type="dxa"/>
            <w:gridSpan w:val="2"/>
            <w:shd w:val="clear" w:color="auto" w:fill="auto"/>
            <w:hideMark/>
          </w:tcPr>
          <w:p w14:paraId="675117F3" w14:textId="77777777" w:rsidR="00C15C65" w:rsidRPr="002029AF" w:rsidRDefault="00C15C65" w:rsidP="0014376C">
            <w:pPr>
              <w:pStyle w:val="ARtabletextright"/>
            </w:pPr>
            <w:r w:rsidRPr="002029AF">
              <w:t>90</w:t>
            </w:r>
          </w:p>
        </w:tc>
        <w:tc>
          <w:tcPr>
            <w:tcW w:w="1020" w:type="dxa"/>
            <w:gridSpan w:val="2"/>
            <w:shd w:val="clear" w:color="auto" w:fill="auto"/>
            <w:hideMark/>
          </w:tcPr>
          <w:p w14:paraId="2D10A1BE" w14:textId="77777777" w:rsidR="00C15C65" w:rsidRPr="002029AF" w:rsidRDefault="00C15C65" w:rsidP="0014376C">
            <w:pPr>
              <w:pStyle w:val="ARtabletextright"/>
            </w:pPr>
            <w:r w:rsidRPr="002029AF">
              <w:t>100</w:t>
            </w:r>
          </w:p>
        </w:tc>
        <w:tc>
          <w:tcPr>
            <w:tcW w:w="1023" w:type="dxa"/>
            <w:shd w:val="clear" w:color="auto" w:fill="auto"/>
          </w:tcPr>
          <w:p w14:paraId="7219AF0B" w14:textId="77777777" w:rsidR="00C15C65" w:rsidRPr="002029AF" w:rsidRDefault="00C15C65" w:rsidP="0014376C">
            <w:pPr>
              <w:pStyle w:val="ARtabletextright"/>
            </w:pPr>
            <w:r w:rsidRPr="002029AF">
              <w:t>11.1</w:t>
            </w:r>
          </w:p>
        </w:tc>
        <w:tc>
          <w:tcPr>
            <w:tcW w:w="798" w:type="dxa"/>
            <w:shd w:val="clear" w:color="auto" w:fill="auto"/>
            <w:hideMark/>
          </w:tcPr>
          <w:p w14:paraId="5E5D1B9A"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74F87180" w14:textId="77777777" w:rsidTr="005B58F0">
        <w:trPr>
          <w:gridAfter w:val="1"/>
          <w:wAfter w:w="6" w:type="dxa"/>
          <w:cantSplit/>
        </w:trPr>
        <w:tc>
          <w:tcPr>
            <w:tcW w:w="9633" w:type="dxa"/>
            <w:gridSpan w:val="10"/>
            <w:tcBorders>
              <w:bottom w:val="single" w:sz="4" w:space="0" w:color="BFBFBF"/>
            </w:tcBorders>
            <w:shd w:val="clear" w:color="auto" w:fill="auto"/>
            <w:noWrap/>
            <w:hideMark/>
          </w:tcPr>
          <w:p w14:paraId="45A8BA1B" w14:textId="546B97DD" w:rsidR="00C15C65" w:rsidRPr="002029AF" w:rsidRDefault="00C15C65" w:rsidP="002C5190">
            <w:pPr>
              <w:pStyle w:val="ARtablenoteindent"/>
            </w:pPr>
            <w:r w:rsidRPr="002029AF">
              <w:t>The</w:t>
            </w:r>
            <w:r w:rsidR="000A5329" w:rsidRPr="002029AF">
              <w:t xml:space="preserve"> </w:t>
            </w:r>
            <w:r w:rsidRPr="002029AF">
              <w:t>result</w:t>
            </w:r>
            <w:r w:rsidR="000A5329" w:rsidRPr="002029AF">
              <w:t xml:space="preserve"> </w:t>
            </w:r>
            <w:r w:rsidRPr="002029AF">
              <w:t>is</w:t>
            </w:r>
            <w:r w:rsidR="000A5329" w:rsidRPr="002029AF">
              <w:t xml:space="preserve"> </w:t>
            </w:r>
            <w:r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timely</w:t>
            </w:r>
            <w:r w:rsidR="000A5329" w:rsidRPr="002029AF">
              <w:t xml:space="preserve"> </w:t>
            </w:r>
            <w:r w:rsidRPr="002029AF">
              <w:t>and</w:t>
            </w:r>
            <w:r w:rsidR="000A5329" w:rsidRPr="002029AF">
              <w:t xml:space="preserve"> </w:t>
            </w:r>
            <w:r w:rsidRPr="002029AF">
              <w:t>efficient</w:t>
            </w:r>
            <w:r w:rsidR="000A5329" w:rsidRPr="002029AF">
              <w:t xml:space="preserve"> </w:t>
            </w:r>
            <w:r w:rsidRPr="002029AF">
              <w:t>processing</w:t>
            </w:r>
            <w:r w:rsidR="000A5329" w:rsidRPr="002029AF">
              <w:t xml:space="preserve"> </w:t>
            </w:r>
            <w:r w:rsidRPr="002029AF">
              <w:t>of</w:t>
            </w:r>
            <w:r w:rsidR="000A5329" w:rsidRPr="002029AF">
              <w:t xml:space="preserve"> </w:t>
            </w:r>
            <w:r w:rsidRPr="002029AF">
              <w:t>applications.</w:t>
            </w:r>
            <w:r w:rsidR="000A5329" w:rsidRPr="002029AF">
              <w:t xml:space="preserve"> </w:t>
            </w:r>
            <w:r w:rsidRPr="002029AF">
              <w:t>This</w:t>
            </w:r>
            <w:r w:rsidR="000A5329" w:rsidRPr="002029AF">
              <w:t xml:space="preserve"> </w:t>
            </w:r>
            <w:r w:rsidRPr="002029AF">
              <w:t>is</w:t>
            </w:r>
            <w:r w:rsidR="000A5329" w:rsidRPr="002029AF">
              <w:t xml:space="preserve"> </w:t>
            </w:r>
            <w:r w:rsidRPr="002029AF">
              <w:t>a</w:t>
            </w:r>
            <w:r w:rsidR="000A5329" w:rsidRPr="002029AF">
              <w:t xml:space="preserve"> </w:t>
            </w:r>
            <w:r w:rsidRPr="002029AF">
              <w:t>positive</w:t>
            </w:r>
            <w:r w:rsidR="000A5329" w:rsidRPr="002029AF">
              <w:t xml:space="preserve"> </w:t>
            </w:r>
            <w:r w:rsidRPr="002029AF">
              <w:t>result.</w:t>
            </w:r>
          </w:p>
        </w:tc>
      </w:tr>
      <w:tr w:rsidR="00C15C65" w:rsidRPr="002029AF" w14:paraId="4D8C212D" w14:textId="77777777" w:rsidTr="005B58F0">
        <w:trPr>
          <w:cantSplit/>
        </w:trPr>
        <w:tc>
          <w:tcPr>
            <w:tcW w:w="9639" w:type="dxa"/>
            <w:gridSpan w:val="11"/>
            <w:tcBorders>
              <w:top w:val="single" w:sz="4" w:space="0" w:color="auto"/>
              <w:left w:val="nil"/>
              <w:bottom w:val="nil"/>
              <w:right w:val="nil"/>
            </w:tcBorders>
            <w:hideMark/>
          </w:tcPr>
          <w:p w14:paraId="7A273794" w14:textId="77777777" w:rsidR="00C15C65" w:rsidRPr="002029AF" w:rsidRDefault="00C15C65" w:rsidP="007666A5">
            <w:pPr>
              <w:pStyle w:val="ARtablegreybold"/>
            </w:pPr>
            <w:r w:rsidRPr="002029AF">
              <w:t>Cost</w:t>
            </w:r>
          </w:p>
        </w:tc>
      </w:tr>
      <w:tr w:rsidR="00C15C65" w:rsidRPr="002029AF" w14:paraId="27CA9D66" w14:textId="77777777" w:rsidTr="005B58F0">
        <w:trPr>
          <w:cantSplit/>
        </w:trPr>
        <w:tc>
          <w:tcPr>
            <w:tcW w:w="4725" w:type="dxa"/>
            <w:hideMark/>
          </w:tcPr>
          <w:p w14:paraId="13E1914B" w14:textId="1F024E53" w:rsidR="00C15C65" w:rsidRPr="002029AF" w:rsidRDefault="00C15C65" w:rsidP="00C40F5D">
            <w:pPr>
              <w:pStyle w:val="ARtabletext"/>
              <w:rPr>
                <w:b/>
              </w:rPr>
            </w:pPr>
            <w:r w:rsidRPr="002029AF">
              <w:rPr>
                <w:b/>
              </w:rPr>
              <w:t>Total</w:t>
            </w:r>
            <w:r w:rsidR="000A5329" w:rsidRPr="002029AF">
              <w:rPr>
                <w:b/>
              </w:rPr>
              <w:t xml:space="preserve"> </w:t>
            </w:r>
            <w:r w:rsidRPr="002029AF">
              <w:rPr>
                <w:b/>
              </w:rPr>
              <w:t>output</w:t>
            </w:r>
            <w:r w:rsidR="000A5329" w:rsidRPr="002029AF">
              <w:rPr>
                <w:b/>
              </w:rPr>
              <w:t xml:space="preserve"> </w:t>
            </w:r>
            <w:r w:rsidRPr="002029AF">
              <w:rPr>
                <w:b/>
              </w:rPr>
              <w:t>cost</w:t>
            </w:r>
          </w:p>
        </w:tc>
        <w:tc>
          <w:tcPr>
            <w:tcW w:w="1016" w:type="dxa"/>
            <w:gridSpan w:val="2"/>
            <w:hideMark/>
          </w:tcPr>
          <w:p w14:paraId="4F8FAAD5" w14:textId="6FBDC60D" w:rsidR="00C15C65" w:rsidRPr="002029AF" w:rsidRDefault="00C15C65" w:rsidP="00C40F5D">
            <w:pPr>
              <w:pStyle w:val="ARtabletext"/>
              <w:rPr>
                <w:b/>
              </w:rPr>
            </w:pPr>
            <w:r w:rsidRPr="002029AF">
              <w:rPr>
                <w:b/>
              </w:rPr>
              <w:t>$</w:t>
            </w:r>
            <w:r w:rsidR="000A5329" w:rsidRPr="002029AF">
              <w:rPr>
                <w:b/>
              </w:rPr>
              <w:t xml:space="preserve"> </w:t>
            </w:r>
            <w:r w:rsidRPr="002029AF">
              <w:rPr>
                <w:b/>
              </w:rPr>
              <w:t>million</w:t>
            </w:r>
          </w:p>
        </w:tc>
        <w:tc>
          <w:tcPr>
            <w:tcW w:w="1016" w:type="dxa"/>
            <w:gridSpan w:val="2"/>
          </w:tcPr>
          <w:p w14:paraId="55999D3F" w14:textId="77777777" w:rsidR="00C15C65" w:rsidRPr="002029AF" w:rsidRDefault="00C15C65" w:rsidP="00036F13">
            <w:pPr>
              <w:pStyle w:val="ARtabletextrightbold"/>
            </w:pPr>
            <w:r w:rsidRPr="002029AF">
              <w:t>122.0</w:t>
            </w:r>
          </w:p>
        </w:tc>
        <w:tc>
          <w:tcPr>
            <w:tcW w:w="1020" w:type="dxa"/>
            <w:gridSpan w:val="2"/>
          </w:tcPr>
          <w:p w14:paraId="01325AFF" w14:textId="77777777" w:rsidR="00C15C65" w:rsidRPr="002029AF" w:rsidRDefault="00C15C65" w:rsidP="00036F13">
            <w:pPr>
              <w:pStyle w:val="ARtabletextrightbold"/>
            </w:pPr>
            <w:r w:rsidRPr="002029AF">
              <w:t>142.6</w:t>
            </w:r>
          </w:p>
        </w:tc>
        <w:tc>
          <w:tcPr>
            <w:tcW w:w="1058" w:type="dxa"/>
            <w:gridSpan w:val="2"/>
          </w:tcPr>
          <w:p w14:paraId="03D9ABB4" w14:textId="77777777" w:rsidR="00C15C65" w:rsidRPr="002029AF" w:rsidRDefault="00C15C65" w:rsidP="00036F13">
            <w:pPr>
              <w:pStyle w:val="ARtabletextrightbold"/>
            </w:pPr>
            <w:r w:rsidRPr="002029AF">
              <w:t>16.9</w:t>
            </w:r>
          </w:p>
        </w:tc>
        <w:tc>
          <w:tcPr>
            <w:tcW w:w="804" w:type="dxa"/>
            <w:gridSpan w:val="2"/>
          </w:tcPr>
          <w:p w14:paraId="509CBB4F" w14:textId="77777777" w:rsidR="00C15C65" w:rsidRPr="002029AF" w:rsidRDefault="00C15C65" w:rsidP="00C40F5D">
            <w:pPr>
              <w:pStyle w:val="ARtabletext"/>
              <w:rPr>
                <w:b/>
              </w:rPr>
            </w:pPr>
          </w:p>
        </w:tc>
      </w:tr>
      <w:tr w:rsidR="00C15C65" w:rsidRPr="002029AF" w14:paraId="17F067B0" w14:textId="77777777" w:rsidTr="005B58F0">
        <w:trPr>
          <w:cantSplit/>
        </w:trPr>
        <w:tc>
          <w:tcPr>
            <w:tcW w:w="9639" w:type="dxa"/>
            <w:gridSpan w:val="11"/>
            <w:tcBorders>
              <w:top w:val="nil"/>
              <w:left w:val="nil"/>
              <w:bottom w:val="single" w:sz="4" w:space="0" w:color="BFBFBF"/>
              <w:right w:val="nil"/>
            </w:tcBorders>
            <w:noWrap/>
          </w:tcPr>
          <w:p w14:paraId="23052886" w14:textId="3FE503A7" w:rsidR="00C15C65" w:rsidRPr="002029AF" w:rsidRDefault="00C15C65" w:rsidP="00937256">
            <w:pPr>
              <w:pStyle w:val="ARtablenoteindent"/>
            </w:pPr>
            <w:r w:rsidRPr="002029AF">
              <w:t>The</w:t>
            </w:r>
            <w:r w:rsidR="000A5329" w:rsidRPr="002029AF">
              <w:t xml:space="preserve"> </w:t>
            </w:r>
            <w:r w:rsidRPr="002029AF">
              <w:t>201</w:t>
            </w:r>
            <w:r w:rsidR="00DB53E6" w:rsidRPr="002029AF">
              <w:t>9–</w:t>
            </w:r>
            <w:r w:rsidRPr="002029AF">
              <w:t>20</w:t>
            </w:r>
            <w:r w:rsidR="000A5329" w:rsidRPr="002029AF">
              <w:t xml:space="preserve"> </w:t>
            </w:r>
            <w:r w:rsidRPr="002029AF">
              <w:t>actual</w:t>
            </w:r>
            <w:r w:rsidR="000A5329" w:rsidRPr="002029AF">
              <w:t xml:space="preserve"> </w:t>
            </w:r>
            <w:r w:rsidRPr="002029AF">
              <w:t>outcome</w:t>
            </w:r>
            <w:r w:rsidR="000A5329" w:rsidRPr="002029AF">
              <w:t xml:space="preserve"> </w:t>
            </w:r>
            <w:r w:rsidRPr="002029AF">
              <w:t>primarily</w:t>
            </w:r>
            <w:r w:rsidR="000A5329" w:rsidRPr="002029AF">
              <w:t xml:space="preserve"> </w:t>
            </w:r>
            <w:r w:rsidRPr="002029AF">
              <w:t>reflects</w:t>
            </w:r>
            <w:r w:rsidR="000A5329" w:rsidRPr="002029AF">
              <w:t xml:space="preserve"> </w:t>
            </w:r>
            <w:r w:rsidRPr="002029AF">
              <w:t>the</w:t>
            </w:r>
            <w:r w:rsidR="000A5329" w:rsidRPr="002029AF">
              <w:t xml:space="preserve"> </w:t>
            </w:r>
            <w:r w:rsidRPr="002029AF">
              <w:t>additional</w:t>
            </w:r>
            <w:r w:rsidR="000A5329" w:rsidRPr="002029AF">
              <w:t xml:space="preserve"> </w:t>
            </w:r>
            <w:r w:rsidRPr="002029AF">
              <w:t>budget</w:t>
            </w:r>
            <w:r w:rsidR="000A5329" w:rsidRPr="002029AF">
              <w:t xml:space="preserve"> </w:t>
            </w:r>
            <w:r w:rsidRPr="002029AF">
              <w:t>transferred</w:t>
            </w:r>
            <w:r w:rsidR="000A5329" w:rsidRPr="002029AF">
              <w:t xml:space="preserve"> </w:t>
            </w:r>
            <w:r w:rsidRPr="002029AF">
              <w:t>during</w:t>
            </w:r>
            <w:r w:rsidR="000A5329" w:rsidRPr="002029AF">
              <w:t xml:space="preserve"> </w:t>
            </w:r>
            <w:r w:rsidRPr="002029AF">
              <w:t>the</w:t>
            </w:r>
            <w:r w:rsidR="000A5329" w:rsidRPr="002029AF">
              <w:t xml:space="preserve"> </w:t>
            </w:r>
            <w:r w:rsidRPr="002029AF">
              <w:t>year</w:t>
            </w:r>
            <w:r w:rsidR="000A5329" w:rsidRPr="002029AF">
              <w:t xml:space="preserve"> </w:t>
            </w:r>
            <w:r w:rsidRPr="002029AF">
              <w:t>for</w:t>
            </w:r>
            <w:r w:rsidR="000A5329" w:rsidRPr="002029AF">
              <w:t xml:space="preserve"> </w:t>
            </w:r>
            <w:r w:rsidRPr="002029AF">
              <w:t>aids</w:t>
            </w:r>
            <w:r w:rsidR="000A5329" w:rsidRPr="002029AF">
              <w:t xml:space="preserve"> </w:t>
            </w:r>
            <w:r w:rsidR="00937256">
              <w:t>and</w:t>
            </w:r>
            <w:r w:rsidR="00937256" w:rsidRPr="002029AF">
              <w:t xml:space="preserve"> </w:t>
            </w:r>
            <w:r w:rsidRPr="002029AF">
              <w:t>equipment</w:t>
            </w:r>
            <w:r w:rsidR="000A5329" w:rsidRPr="002029AF">
              <w:t xml:space="preserve"> </w:t>
            </w:r>
            <w:r w:rsidRPr="002029AF">
              <w:t>from</w:t>
            </w:r>
            <w:r w:rsidR="000A5329" w:rsidRPr="002029AF">
              <w:t xml:space="preserve"> </w:t>
            </w:r>
            <w:r w:rsidRPr="002029AF">
              <w:t>Disability</w:t>
            </w:r>
            <w:r w:rsidR="000A5329" w:rsidRPr="002029AF">
              <w:t xml:space="preserve"> </w:t>
            </w:r>
            <w:r w:rsidRPr="002029AF">
              <w:t>Services</w:t>
            </w:r>
            <w:r w:rsidR="000A5329" w:rsidRPr="002029AF">
              <w:t xml:space="preserve"> </w:t>
            </w:r>
            <w:r w:rsidRPr="002029AF">
              <w:t>to</w:t>
            </w:r>
            <w:r w:rsidR="000A5329" w:rsidRPr="002029AF">
              <w:t xml:space="preserve"> </w:t>
            </w:r>
            <w:r w:rsidRPr="002029AF">
              <w:t>Aged</w:t>
            </w:r>
            <w:r w:rsidR="000A5329" w:rsidRPr="002029AF">
              <w:t xml:space="preserve"> </w:t>
            </w:r>
            <w:r w:rsidRPr="002029AF">
              <w:t>Support</w:t>
            </w:r>
            <w:r w:rsidR="000A5329" w:rsidRPr="002029AF">
              <w:t xml:space="preserve"> </w:t>
            </w:r>
            <w:r w:rsidRPr="002029AF">
              <w:t>Services.</w:t>
            </w:r>
          </w:p>
        </w:tc>
      </w:tr>
      <w:tr w:rsidR="00C15C65" w:rsidRPr="002029AF" w14:paraId="64E6E5F2" w14:textId="77777777" w:rsidTr="005B58F0">
        <w:trPr>
          <w:cantSplit/>
        </w:trPr>
        <w:tc>
          <w:tcPr>
            <w:tcW w:w="9639" w:type="dxa"/>
            <w:gridSpan w:val="11"/>
            <w:tcBorders>
              <w:top w:val="single" w:sz="4" w:space="0" w:color="auto"/>
              <w:left w:val="nil"/>
              <w:bottom w:val="single" w:sz="4" w:space="0" w:color="auto"/>
              <w:right w:val="nil"/>
            </w:tcBorders>
            <w:hideMark/>
          </w:tcPr>
          <w:p w14:paraId="7CC67797" w14:textId="75A49CB8" w:rsidR="00C15C65" w:rsidRPr="002029AF" w:rsidRDefault="00C15C65" w:rsidP="007666A5">
            <w:pPr>
              <w:pStyle w:val="ARtablesubhead"/>
            </w:pPr>
            <w:r w:rsidRPr="002029AF">
              <w:t>Home</w:t>
            </w:r>
            <w:r w:rsidR="000A5329" w:rsidRPr="002029AF">
              <w:t xml:space="preserve"> </w:t>
            </w:r>
            <w:r w:rsidRPr="002029AF">
              <w:t>and</w:t>
            </w:r>
            <w:r w:rsidR="000A5329" w:rsidRPr="002029AF">
              <w:t xml:space="preserve"> </w:t>
            </w:r>
            <w:r w:rsidRPr="002029AF">
              <w:t>Community</w:t>
            </w:r>
            <w:r w:rsidR="000A5329" w:rsidRPr="002029AF">
              <w:t xml:space="preserve"> </w:t>
            </w:r>
            <w:r w:rsidRPr="002029AF">
              <w:t>Care</w:t>
            </w:r>
            <w:r w:rsidR="000A5329" w:rsidRPr="002029AF">
              <w:t xml:space="preserve"> </w:t>
            </w:r>
            <w:r w:rsidRPr="002029AF">
              <w:t>Program</w:t>
            </w:r>
            <w:r w:rsidR="000A5329" w:rsidRPr="002029AF">
              <w:t xml:space="preserve"> </w:t>
            </w:r>
            <w:r w:rsidRPr="002029AF">
              <w:t>for</w:t>
            </w:r>
            <w:r w:rsidR="000A5329" w:rsidRPr="002029AF">
              <w:t xml:space="preserve"> </w:t>
            </w:r>
            <w:r w:rsidRPr="002029AF">
              <w:t>Younger</w:t>
            </w:r>
            <w:r w:rsidR="000A5329" w:rsidRPr="002029AF">
              <w:t xml:space="preserve"> </w:t>
            </w:r>
            <w:r w:rsidRPr="002029AF">
              <w:t>People</w:t>
            </w:r>
          </w:p>
        </w:tc>
      </w:tr>
      <w:tr w:rsidR="00C15C65" w:rsidRPr="002029AF" w14:paraId="5610E117" w14:textId="77777777" w:rsidTr="005B58F0">
        <w:trPr>
          <w:cantSplit/>
        </w:trPr>
        <w:tc>
          <w:tcPr>
            <w:tcW w:w="9639" w:type="dxa"/>
            <w:gridSpan w:val="11"/>
            <w:tcBorders>
              <w:top w:val="single" w:sz="4" w:space="0" w:color="auto"/>
              <w:left w:val="nil"/>
              <w:bottom w:val="nil"/>
              <w:right w:val="nil"/>
            </w:tcBorders>
            <w:hideMark/>
          </w:tcPr>
          <w:p w14:paraId="09106C21" w14:textId="77777777" w:rsidR="00C15C65" w:rsidRPr="002029AF" w:rsidRDefault="00C15C65" w:rsidP="00D96AFD">
            <w:pPr>
              <w:pStyle w:val="ARtablegreybold"/>
            </w:pPr>
            <w:r w:rsidRPr="002029AF">
              <w:t>Quantity</w:t>
            </w:r>
          </w:p>
        </w:tc>
      </w:tr>
      <w:tr w:rsidR="00C15C65" w:rsidRPr="002029AF" w14:paraId="7218048D" w14:textId="77777777" w:rsidTr="005B58F0">
        <w:trPr>
          <w:gridAfter w:val="1"/>
          <w:wAfter w:w="6" w:type="dxa"/>
          <w:cantSplit/>
        </w:trPr>
        <w:tc>
          <w:tcPr>
            <w:tcW w:w="4752" w:type="dxa"/>
            <w:gridSpan w:val="2"/>
            <w:shd w:val="clear" w:color="auto" w:fill="auto"/>
            <w:hideMark/>
          </w:tcPr>
          <w:p w14:paraId="6098048C" w14:textId="6B187162" w:rsidR="00C15C65" w:rsidRPr="002029AF" w:rsidRDefault="00C15C65" w:rsidP="00C40F5D">
            <w:pPr>
              <w:pStyle w:val="ARtabletext"/>
            </w:pPr>
            <w:r w:rsidRPr="002029AF">
              <w:t>Home</w:t>
            </w:r>
            <w:r w:rsidR="000A5329" w:rsidRPr="002029AF">
              <w:t xml:space="preserve"> </w:t>
            </w:r>
            <w:r w:rsidRPr="002029AF">
              <w:t>and</w:t>
            </w:r>
            <w:r w:rsidR="000A5329" w:rsidRPr="002029AF">
              <w:t xml:space="preserve"> </w:t>
            </w:r>
            <w:r w:rsidRPr="002029AF">
              <w:t>Community</w:t>
            </w:r>
            <w:r w:rsidR="000A5329" w:rsidRPr="002029AF">
              <w:t xml:space="preserve"> </w:t>
            </w:r>
            <w:r w:rsidRPr="002029AF">
              <w:t>Care</w:t>
            </w:r>
            <w:r w:rsidR="000A5329" w:rsidRPr="002029AF">
              <w:t xml:space="preserve"> </w:t>
            </w:r>
            <w:r w:rsidRPr="002029AF">
              <w:t>for</w:t>
            </w:r>
            <w:r w:rsidR="000A5329" w:rsidRPr="002029AF">
              <w:t xml:space="preserve"> </w:t>
            </w:r>
            <w:r w:rsidRPr="002029AF">
              <w:t>Younger</w:t>
            </w:r>
            <w:r w:rsidR="000A5329" w:rsidRPr="002029AF">
              <w:t xml:space="preserve"> </w:t>
            </w:r>
            <w:r w:rsidRPr="002029AF">
              <w:t>People</w:t>
            </w:r>
            <w:r w:rsidR="000A5329" w:rsidRPr="002029AF">
              <w:t xml:space="preserve"> </w:t>
            </w:r>
            <w:r w:rsidRPr="002029AF">
              <w:t>–</w:t>
            </w:r>
            <w:r w:rsidR="000A5329" w:rsidRPr="002029AF">
              <w:t xml:space="preserve"> </w:t>
            </w:r>
            <w:r w:rsidRPr="002029AF">
              <w:t>number</w:t>
            </w:r>
            <w:r w:rsidR="000A5329" w:rsidRPr="002029AF">
              <w:t xml:space="preserve"> </w:t>
            </w:r>
            <w:r w:rsidRPr="002029AF">
              <w:t>of</w:t>
            </w:r>
            <w:r w:rsidR="000A5329" w:rsidRPr="002029AF">
              <w:t xml:space="preserve"> </w:t>
            </w:r>
            <w:r w:rsidRPr="002029AF">
              <w:t>clients</w:t>
            </w:r>
            <w:r w:rsidR="000A5329" w:rsidRPr="002029AF">
              <w:t xml:space="preserve"> </w:t>
            </w:r>
            <w:r w:rsidRPr="002029AF">
              <w:t>receiving</w:t>
            </w:r>
            <w:r w:rsidR="000A5329" w:rsidRPr="002029AF">
              <w:t xml:space="preserve"> </w:t>
            </w:r>
            <w:r w:rsidRPr="002029AF">
              <w:t>a</w:t>
            </w:r>
            <w:r w:rsidR="000A5329" w:rsidRPr="002029AF">
              <w:t xml:space="preserve"> </w:t>
            </w:r>
            <w:r w:rsidRPr="002029AF">
              <w:t>service</w:t>
            </w:r>
          </w:p>
        </w:tc>
        <w:tc>
          <w:tcPr>
            <w:tcW w:w="1020" w:type="dxa"/>
            <w:gridSpan w:val="2"/>
            <w:shd w:val="clear" w:color="auto" w:fill="auto"/>
            <w:hideMark/>
          </w:tcPr>
          <w:p w14:paraId="42F35CDB" w14:textId="77777777" w:rsidR="00C15C65" w:rsidRPr="002029AF" w:rsidRDefault="00C15C65" w:rsidP="00C40F5D">
            <w:pPr>
              <w:pStyle w:val="ARtabletext"/>
            </w:pPr>
            <w:r w:rsidRPr="002029AF">
              <w:t>number</w:t>
            </w:r>
          </w:p>
        </w:tc>
        <w:tc>
          <w:tcPr>
            <w:tcW w:w="1020" w:type="dxa"/>
            <w:gridSpan w:val="2"/>
            <w:shd w:val="clear" w:color="auto" w:fill="auto"/>
            <w:hideMark/>
          </w:tcPr>
          <w:p w14:paraId="0D3E09EA" w14:textId="77777777" w:rsidR="00C15C65" w:rsidRPr="002029AF" w:rsidRDefault="00C15C65" w:rsidP="0014376C">
            <w:pPr>
              <w:pStyle w:val="ARtabletextright"/>
            </w:pPr>
            <w:r w:rsidRPr="002029AF">
              <w:t>60,000</w:t>
            </w:r>
          </w:p>
        </w:tc>
        <w:tc>
          <w:tcPr>
            <w:tcW w:w="1020" w:type="dxa"/>
            <w:gridSpan w:val="2"/>
            <w:shd w:val="clear" w:color="auto" w:fill="auto"/>
            <w:hideMark/>
          </w:tcPr>
          <w:p w14:paraId="200F0D02" w14:textId="77777777" w:rsidR="00C15C65" w:rsidRPr="002029AF" w:rsidRDefault="00C15C65" w:rsidP="0014376C">
            <w:pPr>
              <w:pStyle w:val="ARtabletextright"/>
            </w:pPr>
            <w:r w:rsidRPr="002029AF">
              <w:t>62,561</w:t>
            </w:r>
          </w:p>
        </w:tc>
        <w:tc>
          <w:tcPr>
            <w:tcW w:w="1023" w:type="dxa"/>
            <w:shd w:val="clear" w:color="auto" w:fill="auto"/>
          </w:tcPr>
          <w:p w14:paraId="7C72C5A3" w14:textId="77777777" w:rsidR="00C15C65" w:rsidRPr="002029AF" w:rsidRDefault="00C15C65" w:rsidP="0014376C">
            <w:pPr>
              <w:pStyle w:val="ARtabletextright"/>
            </w:pPr>
            <w:r w:rsidRPr="002029AF">
              <w:t>4.3</w:t>
            </w:r>
          </w:p>
        </w:tc>
        <w:tc>
          <w:tcPr>
            <w:tcW w:w="798" w:type="dxa"/>
            <w:shd w:val="clear" w:color="auto" w:fill="auto"/>
            <w:hideMark/>
          </w:tcPr>
          <w:p w14:paraId="5A14FC18"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4F4D158E" w14:textId="77777777" w:rsidTr="005B58F0">
        <w:trPr>
          <w:gridAfter w:val="1"/>
          <w:wAfter w:w="6" w:type="dxa"/>
          <w:cantSplit/>
        </w:trPr>
        <w:tc>
          <w:tcPr>
            <w:tcW w:w="9633" w:type="dxa"/>
            <w:gridSpan w:val="10"/>
            <w:tcBorders>
              <w:bottom w:val="single" w:sz="4" w:space="0" w:color="BFBFBF"/>
            </w:tcBorders>
            <w:shd w:val="clear" w:color="auto" w:fill="auto"/>
            <w:noWrap/>
            <w:hideMark/>
          </w:tcPr>
          <w:p w14:paraId="1E737B47" w14:textId="4CD88B7E" w:rsidR="00C15C65" w:rsidRPr="002029AF" w:rsidRDefault="00C15C65" w:rsidP="002C5190">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by</w:t>
            </w:r>
            <w:r w:rsidR="000A5329" w:rsidRPr="002029AF">
              <w:t xml:space="preserve"> </w:t>
            </w:r>
            <w:r w:rsidRPr="002029AF">
              <w:t>late</w:t>
            </w:r>
            <w:r w:rsidR="000A5329" w:rsidRPr="002029AF">
              <w:t xml:space="preserve"> </w:t>
            </w:r>
            <w:r w:rsidRPr="002029AF">
              <w:t>2020.</w:t>
            </w:r>
          </w:p>
        </w:tc>
      </w:tr>
      <w:tr w:rsidR="00C15C65" w:rsidRPr="002029AF" w14:paraId="202EC862" w14:textId="77777777" w:rsidTr="005B58F0">
        <w:trPr>
          <w:gridAfter w:val="1"/>
          <w:wAfter w:w="6" w:type="dxa"/>
          <w:cantSplit/>
        </w:trPr>
        <w:tc>
          <w:tcPr>
            <w:tcW w:w="4752" w:type="dxa"/>
            <w:gridSpan w:val="2"/>
            <w:shd w:val="clear" w:color="auto" w:fill="auto"/>
            <w:hideMark/>
          </w:tcPr>
          <w:p w14:paraId="5B40BC5B" w14:textId="628E50CF" w:rsidR="00C15C65" w:rsidRPr="002029AF" w:rsidRDefault="00C15C65" w:rsidP="00C40F5D">
            <w:pPr>
              <w:pStyle w:val="ARtabletext"/>
            </w:pPr>
            <w:r w:rsidRPr="002029AF">
              <w:t>Home</w:t>
            </w:r>
            <w:r w:rsidR="000A5329" w:rsidRPr="002029AF">
              <w:t xml:space="preserve"> </w:t>
            </w:r>
            <w:r w:rsidRPr="002029AF">
              <w:t>and</w:t>
            </w:r>
            <w:r w:rsidR="000A5329" w:rsidRPr="002029AF">
              <w:t xml:space="preserve"> </w:t>
            </w:r>
            <w:r w:rsidRPr="002029AF">
              <w:t>Community</w:t>
            </w:r>
            <w:r w:rsidR="000A5329" w:rsidRPr="002029AF">
              <w:t xml:space="preserve"> </w:t>
            </w:r>
            <w:r w:rsidRPr="002029AF">
              <w:t>Care</w:t>
            </w:r>
            <w:r w:rsidR="000A5329" w:rsidRPr="002029AF">
              <w:t xml:space="preserve"> </w:t>
            </w:r>
            <w:r w:rsidRPr="002029AF">
              <w:t>for</w:t>
            </w:r>
            <w:r w:rsidR="000A5329" w:rsidRPr="002029AF">
              <w:t xml:space="preserve"> </w:t>
            </w:r>
            <w:r w:rsidRPr="002029AF">
              <w:t>Younger</w:t>
            </w:r>
            <w:r w:rsidR="000A5329" w:rsidRPr="002029AF">
              <w:t xml:space="preserve"> </w:t>
            </w:r>
            <w:r w:rsidRPr="002029AF">
              <w:t>People</w:t>
            </w:r>
            <w:r w:rsidR="000A5329" w:rsidRPr="002029AF">
              <w:t xml:space="preserve"> </w:t>
            </w:r>
            <w:r w:rsidRPr="002029AF">
              <w:t>–</w:t>
            </w:r>
            <w:r w:rsidR="000A5329" w:rsidRPr="002029AF">
              <w:t xml:space="preserve"> </w:t>
            </w:r>
            <w:r w:rsidRPr="002029AF">
              <w:t>hours</w:t>
            </w:r>
            <w:r w:rsidR="000A5329" w:rsidRPr="002029AF">
              <w:t xml:space="preserve"> </w:t>
            </w:r>
            <w:r w:rsidRPr="002029AF">
              <w:t>of</w:t>
            </w:r>
            <w:r w:rsidR="000A5329" w:rsidRPr="002029AF">
              <w:t xml:space="preserve"> </w:t>
            </w:r>
            <w:r w:rsidRPr="002029AF">
              <w:t>service</w:t>
            </w:r>
            <w:r w:rsidR="000A5329" w:rsidRPr="002029AF">
              <w:t xml:space="preserve"> </w:t>
            </w:r>
            <w:r w:rsidRPr="002029AF">
              <w:t>delivery</w:t>
            </w:r>
          </w:p>
        </w:tc>
        <w:tc>
          <w:tcPr>
            <w:tcW w:w="1020" w:type="dxa"/>
            <w:gridSpan w:val="2"/>
            <w:shd w:val="clear" w:color="auto" w:fill="auto"/>
            <w:hideMark/>
          </w:tcPr>
          <w:p w14:paraId="5D86CBBE" w14:textId="4597C1CA" w:rsidR="00C15C65" w:rsidRPr="002029AF" w:rsidRDefault="00C15C65" w:rsidP="00C40F5D">
            <w:pPr>
              <w:pStyle w:val="ARtabletext"/>
            </w:pPr>
            <w:r w:rsidRPr="002029AF">
              <w:t>number</w:t>
            </w:r>
            <w:r w:rsidR="000A5329" w:rsidRPr="002029AF">
              <w:t xml:space="preserve"> </w:t>
            </w:r>
            <w:r w:rsidR="005F298C">
              <w:t>(’000</w:t>
            </w:r>
            <w:r w:rsidRPr="002029AF">
              <w:t>)</w:t>
            </w:r>
          </w:p>
        </w:tc>
        <w:tc>
          <w:tcPr>
            <w:tcW w:w="1020" w:type="dxa"/>
            <w:gridSpan w:val="2"/>
            <w:shd w:val="clear" w:color="auto" w:fill="auto"/>
            <w:hideMark/>
          </w:tcPr>
          <w:p w14:paraId="17432C51" w14:textId="77777777" w:rsidR="00C15C65" w:rsidRPr="002029AF" w:rsidRDefault="00C15C65" w:rsidP="0014376C">
            <w:pPr>
              <w:pStyle w:val="ARtabletextright"/>
            </w:pPr>
            <w:r w:rsidRPr="002029AF">
              <w:t>1,000</w:t>
            </w:r>
          </w:p>
        </w:tc>
        <w:tc>
          <w:tcPr>
            <w:tcW w:w="1020" w:type="dxa"/>
            <w:gridSpan w:val="2"/>
            <w:shd w:val="clear" w:color="auto" w:fill="auto"/>
            <w:hideMark/>
          </w:tcPr>
          <w:p w14:paraId="0707CF4F" w14:textId="77777777" w:rsidR="00C15C65" w:rsidRPr="002029AF" w:rsidRDefault="00C15C65" w:rsidP="0014376C">
            <w:pPr>
              <w:pStyle w:val="ARtabletextright"/>
            </w:pPr>
            <w:r w:rsidRPr="002029AF">
              <w:t>931</w:t>
            </w:r>
          </w:p>
        </w:tc>
        <w:tc>
          <w:tcPr>
            <w:tcW w:w="1023" w:type="dxa"/>
            <w:shd w:val="clear" w:color="auto" w:fill="auto"/>
          </w:tcPr>
          <w:p w14:paraId="51A8BFCC" w14:textId="77777777" w:rsidR="00C15C65" w:rsidRPr="002029AF" w:rsidRDefault="00C15C65" w:rsidP="0014376C">
            <w:pPr>
              <w:pStyle w:val="ARtabletextright"/>
            </w:pPr>
            <w:r w:rsidRPr="002029AF">
              <w:t>-6.9</w:t>
            </w:r>
          </w:p>
        </w:tc>
        <w:tc>
          <w:tcPr>
            <w:tcW w:w="798" w:type="dxa"/>
            <w:shd w:val="clear" w:color="auto" w:fill="auto"/>
            <w:hideMark/>
          </w:tcPr>
          <w:p w14:paraId="51D2D47E"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0B514D5B" w14:textId="77777777" w:rsidTr="005B58F0">
        <w:trPr>
          <w:gridAfter w:val="1"/>
          <w:wAfter w:w="6" w:type="dxa"/>
          <w:cantSplit/>
        </w:trPr>
        <w:tc>
          <w:tcPr>
            <w:tcW w:w="9633" w:type="dxa"/>
            <w:gridSpan w:val="10"/>
            <w:tcBorders>
              <w:bottom w:val="single" w:sz="4" w:space="0" w:color="BFBFBF"/>
            </w:tcBorders>
            <w:shd w:val="clear" w:color="auto" w:fill="auto"/>
            <w:noWrap/>
            <w:hideMark/>
          </w:tcPr>
          <w:p w14:paraId="3DCA0C94" w14:textId="47A82512" w:rsidR="00C15C65" w:rsidRPr="002029AF" w:rsidRDefault="00C15C65" w:rsidP="00937256">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by</w:t>
            </w:r>
            <w:r w:rsidR="000A5329" w:rsidRPr="002029AF">
              <w:t xml:space="preserve"> </w:t>
            </w:r>
            <w:r w:rsidRPr="002029AF">
              <w:t>late</w:t>
            </w:r>
            <w:r w:rsidR="000A5329" w:rsidRPr="002029AF">
              <w:t xml:space="preserve"> </w:t>
            </w:r>
            <w:r w:rsidRPr="002029AF">
              <w:t>2020.</w:t>
            </w:r>
            <w:r w:rsidR="000A5329" w:rsidRPr="002029AF">
              <w:t xml:space="preserve"> </w:t>
            </w:r>
            <w:r w:rsidR="00975E07" w:rsidRPr="00975E07">
              <w:t>The result deviates from the target due to agencies being unable to report services in the client database that were redirected to respond to client needs during coronavirus (COVID-19).</w:t>
            </w:r>
            <w:r w:rsidR="00020FE5">
              <w:t xml:space="preserve"> </w:t>
            </w:r>
            <w:r w:rsidR="00975E07" w:rsidRPr="00975E07">
              <w:t>Performance has also been impacted by NDIS transition in eight departmental areas and bushfires. The department will continue to monitor the impacts of coronavirus (COVID-19) on services available to this group.</w:t>
            </w:r>
          </w:p>
        </w:tc>
      </w:tr>
      <w:tr w:rsidR="00C15C65" w:rsidRPr="002029AF" w14:paraId="3739570C" w14:textId="77777777" w:rsidTr="005B58F0">
        <w:trPr>
          <w:cantSplit/>
        </w:trPr>
        <w:tc>
          <w:tcPr>
            <w:tcW w:w="9639" w:type="dxa"/>
            <w:gridSpan w:val="11"/>
            <w:tcBorders>
              <w:top w:val="single" w:sz="4" w:space="0" w:color="auto"/>
              <w:left w:val="nil"/>
              <w:right w:val="nil"/>
            </w:tcBorders>
            <w:hideMark/>
          </w:tcPr>
          <w:p w14:paraId="49114964" w14:textId="77777777" w:rsidR="00C15C65" w:rsidRPr="002029AF" w:rsidRDefault="00C15C65" w:rsidP="00CA3123">
            <w:pPr>
              <w:pStyle w:val="ARtablegreybold"/>
              <w:keepNext/>
            </w:pPr>
            <w:r w:rsidRPr="002029AF">
              <w:t>Cost</w:t>
            </w:r>
          </w:p>
        </w:tc>
      </w:tr>
      <w:tr w:rsidR="00C15C65" w:rsidRPr="002029AF" w14:paraId="6CE8C64F" w14:textId="77777777" w:rsidTr="005B58F0">
        <w:trPr>
          <w:cantSplit/>
        </w:trPr>
        <w:tc>
          <w:tcPr>
            <w:tcW w:w="4725" w:type="dxa"/>
            <w:hideMark/>
          </w:tcPr>
          <w:p w14:paraId="2DCD3968" w14:textId="0D59ABD2" w:rsidR="00C15C65" w:rsidRPr="002029AF" w:rsidRDefault="00C15C65" w:rsidP="00CA3123">
            <w:pPr>
              <w:pStyle w:val="ARtabletext"/>
              <w:keepNext/>
              <w:rPr>
                <w:b/>
              </w:rPr>
            </w:pPr>
            <w:r w:rsidRPr="002029AF">
              <w:rPr>
                <w:b/>
              </w:rPr>
              <w:t>Total</w:t>
            </w:r>
            <w:r w:rsidR="000A5329" w:rsidRPr="002029AF">
              <w:rPr>
                <w:b/>
              </w:rPr>
              <w:t xml:space="preserve"> </w:t>
            </w:r>
            <w:r w:rsidRPr="002029AF">
              <w:rPr>
                <w:b/>
              </w:rPr>
              <w:t>output</w:t>
            </w:r>
            <w:r w:rsidR="000A5329" w:rsidRPr="002029AF">
              <w:rPr>
                <w:b/>
              </w:rPr>
              <w:t xml:space="preserve"> </w:t>
            </w:r>
            <w:r w:rsidRPr="002029AF">
              <w:rPr>
                <w:b/>
              </w:rPr>
              <w:t>cost</w:t>
            </w:r>
          </w:p>
        </w:tc>
        <w:tc>
          <w:tcPr>
            <w:tcW w:w="1016" w:type="dxa"/>
            <w:gridSpan w:val="2"/>
            <w:hideMark/>
          </w:tcPr>
          <w:p w14:paraId="352020A6" w14:textId="4A5E0879" w:rsidR="00C15C65" w:rsidRPr="002029AF" w:rsidRDefault="00C15C65" w:rsidP="00C40F5D">
            <w:pPr>
              <w:pStyle w:val="ARtabletext"/>
              <w:rPr>
                <w:b/>
              </w:rPr>
            </w:pPr>
            <w:r w:rsidRPr="002029AF">
              <w:rPr>
                <w:b/>
              </w:rPr>
              <w:t>$</w:t>
            </w:r>
            <w:r w:rsidR="000A5329" w:rsidRPr="002029AF">
              <w:rPr>
                <w:b/>
              </w:rPr>
              <w:t xml:space="preserve"> </w:t>
            </w:r>
            <w:r w:rsidRPr="002029AF">
              <w:rPr>
                <w:b/>
              </w:rPr>
              <w:t>million</w:t>
            </w:r>
          </w:p>
        </w:tc>
        <w:tc>
          <w:tcPr>
            <w:tcW w:w="1016" w:type="dxa"/>
            <w:gridSpan w:val="2"/>
          </w:tcPr>
          <w:p w14:paraId="2C91604A" w14:textId="77777777" w:rsidR="00C15C65" w:rsidRPr="002029AF" w:rsidRDefault="00C15C65" w:rsidP="00036F13">
            <w:pPr>
              <w:pStyle w:val="ARtabletextrightbold"/>
            </w:pPr>
            <w:r w:rsidRPr="002029AF">
              <w:t>183.6</w:t>
            </w:r>
          </w:p>
        </w:tc>
        <w:tc>
          <w:tcPr>
            <w:tcW w:w="1020" w:type="dxa"/>
            <w:gridSpan w:val="2"/>
          </w:tcPr>
          <w:p w14:paraId="6027C482" w14:textId="77777777" w:rsidR="00C15C65" w:rsidRPr="002029AF" w:rsidRDefault="00C15C65" w:rsidP="00036F13">
            <w:pPr>
              <w:pStyle w:val="ARtabletextrightbold"/>
            </w:pPr>
            <w:r w:rsidRPr="002029AF">
              <w:t>207.9</w:t>
            </w:r>
          </w:p>
        </w:tc>
        <w:tc>
          <w:tcPr>
            <w:tcW w:w="1058" w:type="dxa"/>
            <w:gridSpan w:val="2"/>
          </w:tcPr>
          <w:p w14:paraId="70AA8FF5" w14:textId="77777777" w:rsidR="00C15C65" w:rsidRPr="002029AF" w:rsidRDefault="00C15C65" w:rsidP="00036F13">
            <w:pPr>
              <w:pStyle w:val="ARtabletextrightbold"/>
            </w:pPr>
            <w:r w:rsidRPr="002029AF">
              <w:t>13.3</w:t>
            </w:r>
          </w:p>
        </w:tc>
        <w:tc>
          <w:tcPr>
            <w:tcW w:w="804" w:type="dxa"/>
            <w:gridSpan w:val="2"/>
          </w:tcPr>
          <w:p w14:paraId="5A6196F3" w14:textId="77777777" w:rsidR="00C15C65" w:rsidRPr="002029AF" w:rsidRDefault="00C15C65" w:rsidP="00C40F5D">
            <w:pPr>
              <w:pStyle w:val="ARtabletext"/>
              <w:rPr>
                <w:b/>
              </w:rPr>
            </w:pPr>
          </w:p>
        </w:tc>
      </w:tr>
      <w:tr w:rsidR="00C15C65" w:rsidRPr="002029AF" w14:paraId="39AE4675" w14:textId="77777777" w:rsidTr="005B58F0">
        <w:trPr>
          <w:gridAfter w:val="1"/>
          <w:wAfter w:w="6" w:type="dxa"/>
          <w:cantSplit/>
        </w:trPr>
        <w:tc>
          <w:tcPr>
            <w:tcW w:w="9633" w:type="dxa"/>
            <w:gridSpan w:val="10"/>
            <w:tcBorders>
              <w:bottom w:val="single" w:sz="4" w:space="0" w:color="auto"/>
            </w:tcBorders>
            <w:shd w:val="clear" w:color="auto" w:fill="auto"/>
            <w:noWrap/>
            <w:hideMark/>
          </w:tcPr>
          <w:p w14:paraId="390CC354" w14:textId="1AD7BCE3" w:rsidR="00C15C65" w:rsidRPr="002029AF" w:rsidRDefault="00C15C65" w:rsidP="002C5190">
            <w:pPr>
              <w:pStyle w:val="ARtablenoteindent"/>
            </w:pPr>
            <w:r w:rsidRPr="002029AF">
              <w:t>The</w:t>
            </w:r>
            <w:r w:rsidR="000A5329" w:rsidRPr="002029AF">
              <w:t xml:space="preserve"> </w:t>
            </w:r>
            <w:r w:rsidRPr="002029AF">
              <w:t>201</w:t>
            </w:r>
            <w:r w:rsidR="00DB53E6" w:rsidRPr="002029AF">
              <w:t>9–</w:t>
            </w:r>
            <w:r w:rsidRPr="002029AF">
              <w:t>20</w:t>
            </w:r>
            <w:r w:rsidR="000A5329" w:rsidRPr="002029AF">
              <w:t xml:space="preserve"> </w:t>
            </w:r>
            <w:r w:rsidRPr="002029AF">
              <w:t>actual</w:t>
            </w:r>
            <w:r w:rsidR="000A5329" w:rsidRPr="002029AF">
              <w:t xml:space="preserve"> </w:t>
            </w:r>
            <w:r w:rsidRPr="002029AF">
              <w:t>outcome</w:t>
            </w:r>
            <w:r w:rsidR="000A5329" w:rsidRPr="002029AF">
              <w:t xml:space="preserve"> </w:t>
            </w:r>
            <w:r w:rsidRPr="002029AF">
              <w:t>includes</w:t>
            </w:r>
            <w:r w:rsidR="000A5329" w:rsidRPr="002029AF">
              <w:t xml:space="preserve"> </w:t>
            </w:r>
            <w:r w:rsidRPr="002029AF">
              <w:t>expenditure</w:t>
            </w:r>
            <w:r w:rsidR="000A5329" w:rsidRPr="002029AF">
              <w:t xml:space="preserve"> </w:t>
            </w:r>
            <w:r w:rsidRPr="002029AF">
              <w:t>under</w:t>
            </w:r>
            <w:r w:rsidR="000A5329" w:rsidRPr="002029AF">
              <w:t xml:space="preserve"> </w:t>
            </w:r>
            <w:r w:rsidRPr="002029AF">
              <w:t>the</w:t>
            </w:r>
            <w:r w:rsidR="000A5329" w:rsidRPr="002029AF">
              <w:t xml:space="preserve"> </w:t>
            </w:r>
            <w:r w:rsidRPr="002029AF">
              <w:t>Commonwealth</w:t>
            </w:r>
            <w:r w:rsidR="000A5329" w:rsidRPr="002029AF">
              <w:t xml:space="preserve"> </w:t>
            </w:r>
            <w:r w:rsidRPr="002029AF">
              <w:t>Regional</w:t>
            </w:r>
            <w:r w:rsidR="000A5329" w:rsidRPr="002029AF">
              <w:t xml:space="preserve"> </w:t>
            </w:r>
            <w:r w:rsidRPr="002029AF">
              <w:t>Assessment</w:t>
            </w:r>
            <w:r w:rsidR="000A5329" w:rsidRPr="002029AF">
              <w:t xml:space="preserve"> </w:t>
            </w:r>
            <w:r w:rsidRPr="002029AF">
              <w:t>Services,</w:t>
            </w:r>
            <w:r w:rsidR="000A5329" w:rsidRPr="002029AF">
              <w:t xml:space="preserve"> </w:t>
            </w:r>
            <w:r w:rsidRPr="002029AF">
              <w:t>which</w:t>
            </w:r>
            <w:r w:rsidR="000A5329" w:rsidRPr="002029AF">
              <w:t xml:space="preserve"> </w:t>
            </w:r>
            <w:r w:rsidRPr="002029AF">
              <w:t>is</w:t>
            </w:r>
            <w:r w:rsidR="000A5329" w:rsidRPr="002029AF">
              <w:t xml:space="preserve"> </w:t>
            </w:r>
            <w:r w:rsidRPr="002029AF">
              <w:t>partially</w:t>
            </w:r>
            <w:r w:rsidR="000A5329" w:rsidRPr="002029AF">
              <w:t xml:space="preserve"> </w:t>
            </w:r>
            <w:r w:rsidRPr="002029AF">
              <w:t>offset</w:t>
            </w:r>
            <w:r w:rsidR="000A5329" w:rsidRPr="002029AF">
              <w:t xml:space="preserve"> </w:t>
            </w:r>
            <w:r w:rsidRPr="002029AF">
              <w:t>by</w:t>
            </w:r>
            <w:r w:rsidR="000A5329" w:rsidRPr="002029AF">
              <w:t xml:space="preserve"> </w:t>
            </w:r>
            <w:r w:rsidRPr="002029AF">
              <w:t>the</w:t>
            </w:r>
            <w:r w:rsidR="000A5329" w:rsidRPr="002029AF">
              <w:t xml:space="preserve"> </w:t>
            </w:r>
            <w:r w:rsidRPr="002029AF">
              <w:t>transition</w:t>
            </w:r>
            <w:r w:rsidR="000A5329" w:rsidRPr="002029AF">
              <w:t xml:space="preserve"> </w:t>
            </w:r>
            <w:r w:rsidRPr="002029AF">
              <w:t>of</w:t>
            </w:r>
            <w:r w:rsidR="000A5329" w:rsidRPr="002029AF">
              <w:t xml:space="preserve"> </w:t>
            </w:r>
            <w:r w:rsidRPr="002029AF">
              <w:t>Home</w:t>
            </w:r>
            <w:r w:rsidR="000A5329" w:rsidRPr="002029AF">
              <w:t xml:space="preserve"> </w:t>
            </w:r>
            <w:r w:rsidRPr="002029AF">
              <w:t>and</w:t>
            </w:r>
            <w:r w:rsidR="000A5329" w:rsidRPr="002029AF">
              <w:t xml:space="preserve"> </w:t>
            </w:r>
            <w:r w:rsidRPr="002029AF">
              <w:t>Community</w:t>
            </w:r>
            <w:r w:rsidR="000A5329" w:rsidRPr="002029AF">
              <w:t xml:space="preserve"> </w:t>
            </w:r>
            <w:r w:rsidRPr="002029AF">
              <w:t>Care</w:t>
            </w:r>
            <w:r w:rsidR="000A5329" w:rsidRPr="002029AF">
              <w:t xml:space="preserve"> </w:t>
            </w:r>
            <w:r w:rsidRPr="002029AF">
              <w:t>Program</w:t>
            </w:r>
            <w:r w:rsidR="000A5329" w:rsidRPr="002029AF">
              <w:t xml:space="preserve"> </w:t>
            </w:r>
            <w:r w:rsidRPr="002029AF">
              <w:t>for</w:t>
            </w:r>
            <w:r w:rsidR="000A5329" w:rsidRPr="002029AF">
              <w:t xml:space="preserve"> </w:t>
            </w:r>
            <w:r w:rsidRPr="002029AF">
              <w:t>Younger</w:t>
            </w:r>
            <w:r w:rsidR="000A5329" w:rsidRPr="002029AF">
              <w:t xml:space="preserve"> </w:t>
            </w:r>
            <w:r w:rsidRPr="002029AF">
              <w:t>People</w:t>
            </w:r>
            <w:r w:rsidR="000A5329" w:rsidRPr="002029AF">
              <w:t xml:space="preserve"> </w:t>
            </w:r>
            <w:r w:rsidRPr="002029AF">
              <w:t>services</w:t>
            </w:r>
            <w:r w:rsidR="000A5329" w:rsidRPr="002029AF">
              <w:t xml:space="preserve"> </w:t>
            </w:r>
            <w:r w:rsidRPr="002029AF">
              <w:t>to</w:t>
            </w:r>
            <w:r w:rsidR="000A5329" w:rsidRPr="002029AF">
              <w:t xml:space="preserve"> </w:t>
            </w:r>
            <w:r w:rsidRPr="002029AF">
              <w:t>the</w:t>
            </w:r>
            <w:r w:rsidR="000A5329" w:rsidRPr="002029AF">
              <w:t xml:space="preserve"> </w:t>
            </w:r>
            <w:r w:rsidRPr="002029AF">
              <w:t>National</w:t>
            </w:r>
            <w:r w:rsidR="000A5329" w:rsidRPr="002029AF">
              <w:t xml:space="preserve"> </w:t>
            </w:r>
            <w:r w:rsidRPr="002029AF">
              <w:t>Disability</w:t>
            </w:r>
            <w:r w:rsidR="000A5329" w:rsidRPr="002029AF">
              <w:t xml:space="preserve"> </w:t>
            </w:r>
            <w:r w:rsidRPr="002029AF">
              <w:t>Insurance</w:t>
            </w:r>
            <w:r w:rsidR="000A5329" w:rsidRPr="002029AF">
              <w:t xml:space="preserve"> </w:t>
            </w:r>
            <w:r w:rsidRPr="002029AF">
              <w:t>Scheme.</w:t>
            </w:r>
          </w:p>
        </w:tc>
      </w:tr>
    </w:tbl>
    <w:p w14:paraId="2DCBBFFC" w14:textId="77777777" w:rsidR="006D5287" w:rsidRPr="002029AF" w:rsidRDefault="006D5287" w:rsidP="006D5287">
      <w:pPr>
        <w:pStyle w:val="ARbody"/>
      </w:pPr>
      <w:r w:rsidRPr="002029AF">
        <w:br w:type="page"/>
      </w:r>
    </w:p>
    <w:p w14:paraId="6DD1C148" w14:textId="573BD79E" w:rsidR="00C15C65" w:rsidRPr="002029AF" w:rsidRDefault="00C15C65" w:rsidP="00205D6E">
      <w:pPr>
        <w:pStyle w:val="Heading2"/>
      </w:pPr>
      <w:r w:rsidRPr="002029AF">
        <w:lastRenderedPageBreak/>
        <w:t>Ambulance</w:t>
      </w:r>
      <w:r w:rsidR="000A5329" w:rsidRPr="002029AF">
        <w:t xml:space="preserve"> </w:t>
      </w:r>
      <w:r w:rsidRPr="002029AF">
        <w:t>Services</w:t>
      </w:r>
    </w:p>
    <w:p w14:paraId="22F0CBA3" w14:textId="4DD6B3A6" w:rsidR="00C15C65" w:rsidRPr="002029AF" w:rsidRDefault="00C15C65" w:rsidP="00C40F5D">
      <w:pPr>
        <w:pStyle w:val="ARbody"/>
      </w:pPr>
      <w:r w:rsidRPr="002029AF">
        <w:t>This</w:t>
      </w:r>
      <w:r w:rsidR="000A5329" w:rsidRPr="002029AF">
        <w:t xml:space="preserve"> </w:t>
      </w:r>
      <w:r w:rsidRPr="002029AF">
        <w:t>output</w:t>
      </w:r>
      <w:r w:rsidR="000A5329" w:rsidRPr="002029AF">
        <w:t xml:space="preserve"> </w:t>
      </w:r>
      <w:r w:rsidRPr="002029AF">
        <w:t>describes</w:t>
      </w:r>
      <w:r w:rsidR="000A5329" w:rsidRPr="002029AF">
        <w:t xml:space="preserve"> </w:t>
      </w:r>
      <w:r w:rsidRPr="002029AF">
        <w:t>the</w:t>
      </w:r>
      <w:r w:rsidR="000A5329" w:rsidRPr="002029AF">
        <w:t xml:space="preserve"> </w:t>
      </w:r>
      <w:r w:rsidRPr="002029AF">
        <w:t>units</w:t>
      </w:r>
      <w:r w:rsidR="000A5329" w:rsidRPr="002029AF">
        <w:t xml:space="preserve"> </w:t>
      </w:r>
      <w:r w:rsidRPr="002029AF">
        <w:t>of</w:t>
      </w:r>
      <w:r w:rsidR="000A5329" w:rsidRPr="002029AF">
        <w:t xml:space="preserve"> </w:t>
      </w:r>
      <w:r w:rsidRPr="002029AF">
        <w:t>activity</w:t>
      </w:r>
      <w:r w:rsidR="000A5329" w:rsidRPr="002029AF">
        <w:t xml:space="preserve"> </w:t>
      </w:r>
      <w:r w:rsidRPr="002029AF">
        <w:t>for</w:t>
      </w:r>
      <w:r w:rsidR="000A5329" w:rsidRPr="002029AF">
        <w:t xml:space="preserve"> </w:t>
      </w:r>
      <w:r w:rsidRPr="002029AF">
        <w:t>emergency</w:t>
      </w:r>
      <w:r w:rsidR="000A5329" w:rsidRPr="002029AF">
        <w:t xml:space="preserve"> </w:t>
      </w:r>
      <w:r w:rsidRPr="002029AF">
        <w:t>and</w:t>
      </w:r>
      <w:r w:rsidR="000A5329" w:rsidRPr="002029AF">
        <w:t xml:space="preserve"> </w:t>
      </w:r>
      <w:r w:rsidRPr="002029AF">
        <w:t>non-emergency</w:t>
      </w:r>
      <w:r w:rsidR="000A5329" w:rsidRPr="002029AF">
        <w:t xml:space="preserve"> </w:t>
      </w:r>
      <w:r w:rsidRPr="002029AF">
        <w:t>ambulance</w:t>
      </w:r>
      <w:r w:rsidR="000A5329" w:rsidRPr="002029AF">
        <w:t xml:space="preserve"> </w:t>
      </w:r>
      <w:r w:rsidRPr="002029AF">
        <w:t>services</w:t>
      </w:r>
      <w:r w:rsidR="000A5329" w:rsidRPr="002029AF">
        <w:t xml:space="preserve"> </w:t>
      </w:r>
      <w:r w:rsidRPr="002029AF">
        <w:t>under</w:t>
      </w:r>
      <w:r w:rsidR="000A5329" w:rsidRPr="002029AF">
        <w:t xml:space="preserve"> </w:t>
      </w:r>
      <w:r w:rsidRPr="002029AF">
        <w:t>the</w:t>
      </w:r>
      <w:r w:rsidR="000A5329" w:rsidRPr="002029AF">
        <w:t xml:space="preserve"> </w:t>
      </w:r>
      <w:r w:rsidRPr="002029AF">
        <w:t>funding</w:t>
      </w:r>
      <w:r w:rsidR="000A5329" w:rsidRPr="002029AF">
        <w:t xml:space="preserve"> </w:t>
      </w:r>
      <w:r w:rsidRPr="002029AF">
        <w:t>model</w:t>
      </w:r>
      <w:r w:rsidR="000A5329" w:rsidRPr="002029AF">
        <w:t xml:space="preserve"> </w:t>
      </w:r>
      <w:r w:rsidRPr="002029AF">
        <w:t>introduced</w:t>
      </w:r>
      <w:r w:rsidR="000A5329" w:rsidRPr="002029AF">
        <w:t xml:space="preserve"> </w:t>
      </w:r>
      <w:r w:rsidRPr="002029AF">
        <w:t>1</w:t>
      </w:r>
      <w:r w:rsidR="000A5329" w:rsidRPr="002029AF">
        <w:t xml:space="preserve"> </w:t>
      </w:r>
      <w:r w:rsidRPr="002029AF">
        <w:t>July</w:t>
      </w:r>
      <w:r w:rsidR="000A5329" w:rsidRPr="002029AF">
        <w:t xml:space="preserve"> </w:t>
      </w:r>
      <w:r w:rsidRPr="002029AF">
        <w:t>2014.</w:t>
      </w:r>
      <w:r w:rsidR="000A5329" w:rsidRPr="002029AF">
        <w:t xml:space="preserve"> </w:t>
      </w:r>
      <w:r w:rsidRPr="002029AF">
        <w:t>It</w:t>
      </w:r>
      <w:r w:rsidR="000A5329" w:rsidRPr="002029AF">
        <w:t xml:space="preserve"> </w:t>
      </w:r>
      <w:r w:rsidRPr="002029AF">
        <w:t>includes</w:t>
      </w:r>
      <w:r w:rsidR="000A5329" w:rsidRPr="002029AF">
        <w:t xml:space="preserve"> </w:t>
      </w:r>
      <w:r w:rsidRPr="002029AF">
        <w:t>a</w:t>
      </w:r>
      <w:r w:rsidR="000A5329" w:rsidRPr="002029AF">
        <w:t xml:space="preserve"> </w:t>
      </w:r>
      <w:r w:rsidRPr="002029AF">
        <w:t>range</w:t>
      </w:r>
      <w:r w:rsidR="000A5329" w:rsidRPr="002029AF">
        <w:t xml:space="preserve"> </w:t>
      </w:r>
      <w:r w:rsidRPr="002029AF">
        <w:t>of</w:t>
      </w:r>
      <w:r w:rsidR="000A5329" w:rsidRPr="002029AF">
        <w:t xml:space="preserve"> </w:t>
      </w:r>
      <w:r w:rsidRPr="002029AF">
        <w:t>performance</w:t>
      </w:r>
      <w:r w:rsidR="000A5329" w:rsidRPr="002029AF">
        <w:t xml:space="preserve"> </w:t>
      </w:r>
      <w:r w:rsidRPr="002029AF">
        <w:t>deliverables</w:t>
      </w:r>
      <w:r w:rsidR="000A5329" w:rsidRPr="002029AF">
        <w:t xml:space="preserve"> </w:t>
      </w:r>
      <w:r w:rsidRPr="002029AF">
        <w:t>that</w:t>
      </w:r>
      <w:r w:rsidR="000A5329" w:rsidRPr="002029AF">
        <w:t xml:space="preserve"> </w:t>
      </w:r>
      <w:r w:rsidRPr="002029AF">
        <w:t>measure</w:t>
      </w:r>
      <w:r w:rsidR="000A5329" w:rsidRPr="002029AF">
        <w:t xml:space="preserve"> </w:t>
      </w:r>
      <w:r w:rsidRPr="002029AF">
        <w:t>the</w:t>
      </w:r>
      <w:r w:rsidR="000A5329" w:rsidRPr="002029AF">
        <w:t xml:space="preserve"> </w:t>
      </w:r>
      <w:r w:rsidRPr="002029AF">
        <w:t>quality</w:t>
      </w:r>
      <w:r w:rsidR="000A5329" w:rsidRPr="002029AF">
        <w:t xml:space="preserve"> </w:t>
      </w:r>
      <w:r w:rsidRPr="002029AF">
        <w:t>and</w:t>
      </w:r>
      <w:r w:rsidR="000A5329" w:rsidRPr="002029AF">
        <w:t xml:space="preserve"> </w:t>
      </w:r>
      <w:r w:rsidRPr="002029AF">
        <w:t>timeliness</w:t>
      </w:r>
      <w:r w:rsidR="000A5329" w:rsidRPr="002029AF">
        <w:t xml:space="preserve"> </w:t>
      </w:r>
      <w:r w:rsidRPr="002029AF">
        <w:t>of</w:t>
      </w:r>
      <w:r w:rsidR="000A5329" w:rsidRPr="002029AF">
        <w:t xml:space="preserve"> </w:t>
      </w:r>
      <w:r w:rsidRPr="002029AF">
        <w:t>ambulance</w:t>
      </w:r>
      <w:r w:rsidR="000A5329" w:rsidRPr="002029AF">
        <w:t xml:space="preserve"> </w:t>
      </w:r>
      <w:r w:rsidRPr="002029AF">
        <w:t>services</w:t>
      </w:r>
      <w:r w:rsidR="000A5329" w:rsidRPr="002029AF">
        <w:t xml:space="preserve"> </w:t>
      </w:r>
      <w:r w:rsidRPr="002029AF">
        <w:t>expected</w:t>
      </w:r>
      <w:r w:rsidR="000A5329" w:rsidRPr="002029AF">
        <w:t xml:space="preserve"> </w:t>
      </w:r>
      <w:r w:rsidRPr="002029AF">
        <w:t>over</w:t>
      </w:r>
      <w:r w:rsidR="000A5329" w:rsidRPr="002029AF">
        <w:t xml:space="preserve"> </w:t>
      </w:r>
      <w:r w:rsidRPr="002029AF">
        <w:t>the</w:t>
      </w:r>
      <w:r w:rsidR="000A5329" w:rsidRPr="002029AF">
        <w:t xml:space="preserve"> </w:t>
      </w:r>
      <w:r w:rsidRPr="002029AF">
        <w:t>period.</w:t>
      </w:r>
      <w:r w:rsidR="000A5329" w:rsidRPr="002029AF">
        <w:t xml:space="preserve"> </w:t>
      </w:r>
      <w:r w:rsidRPr="002029AF">
        <w:t>The</w:t>
      </w:r>
      <w:r w:rsidR="000A5329" w:rsidRPr="002029AF">
        <w:t xml:space="preserve"> </w:t>
      </w:r>
      <w:r w:rsidRPr="002029AF">
        <w:t>quality</w:t>
      </w:r>
      <w:r w:rsidR="000A5329" w:rsidRPr="002029AF">
        <w:t xml:space="preserve"> </w:t>
      </w:r>
      <w:r w:rsidRPr="002029AF">
        <w:t>and</w:t>
      </w:r>
      <w:r w:rsidR="000A5329" w:rsidRPr="002029AF">
        <w:t xml:space="preserve"> </w:t>
      </w:r>
      <w:r w:rsidRPr="002029AF">
        <w:t>timeliness</w:t>
      </w:r>
      <w:r w:rsidR="000A5329" w:rsidRPr="002029AF">
        <w:t xml:space="preserve"> </w:t>
      </w:r>
      <w:r w:rsidRPr="002029AF">
        <w:t>measures</w:t>
      </w:r>
      <w:r w:rsidR="000A5329" w:rsidRPr="002029AF">
        <w:t xml:space="preserve"> </w:t>
      </w:r>
      <w:r w:rsidRPr="002029AF">
        <w:t>identify</w:t>
      </w:r>
      <w:r w:rsidR="000A5329" w:rsidRPr="002029AF">
        <w:t xml:space="preserve"> </w:t>
      </w:r>
      <w:r w:rsidRPr="002029AF">
        <w:t>expected</w:t>
      </w:r>
      <w:r w:rsidR="000A5329" w:rsidRPr="002029AF">
        <w:t xml:space="preserve"> </w:t>
      </w:r>
      <w:r w:rsidRPr="002029AF">
        <w:t>clinical</w:t>
      </w:r>
      <w:r w:rsidR="000A5329" w:rsidRPr="002029AF">
        <w:t xml:space="preserve"> </w:t>
      </w:r>
      <w:r w:rsidRPr="002029AF">
        <w:t>output</w:t>
      </w:r>
      <w:r w:rsidR="000A5329" w:rsidRPr="002029AF">
        <w:t xml:space="preserve"> </w:t>
      </w:r>
      <w:r w:rsidRPr="002029AF">
        <w:t>measures</w:t>
      </w:r>
      <w:r w:rsidR="000A5329" w:rsidRPr="002029AF">
        <w:t xml:space="preserve"> </w:t>
      </w:r>
      <w:r w:rsidRPr="002029AF">
        <w:t>and</w:t>
      </w:r>
      <w:r w:rsidR="000A5329" w:rsidRPr="002029AF">
        <w:t xml:space="preserve"> </w:t>
      </w:r>
      <w:r w:rsidRPr="002029AF">
        <w:t>ambulance</w:t>
      </w:r>
      <w:r w:rsidR="000A5329" w:rsidRPr="002029AF">
        <w:t xml:space="preserve"> </w:t>
      </w:r>
      <w:r w:rsidRPr="002029AF">
        <w:t>response</w:t>
      </w:r>
      <w:r w:rsidR="000A5329" w:rsidRPr="002029AF">
        <w:t xml:space="preserve"> </w:t>
      </w:r>
      <w:r w:rsidRPr="002029AF">
        <w:t>times,</w:t>
      </w:r>
      <w:r w:rsidR="000A5329" w:rsidRPr="002029AF">
        <w:t xml:space="preserve"> </w:t>
      </w:r>
      <w:r w:rsidRPr="002029AF">
        <w:t>which</w:t>
      </w:r>
      <w:r w:rsidR="000A5329" w:rsidRPr="002029AF">
        <w:t xml:space="preserve"> </w:t>
      </w:r>
      <w:r w:rsidRPr="002029AF">
        <w:t>are</w:t>
      </w:r>
      <w:r w:rsidR="000A5329" w:rsidRPr="002029AF">
        <w:t xml:space="preserve"> </w:t>
      </w:r>
      <w:r w:rsidRPr="002029AF">
        <w:t>important</w:t>
      </w:r>
      <w:r w:rsidR="000A5329" w:rsidRPr="002029AF">
        <w:t xml:space="preserve"> </w:t>
      </w:r>
      <w:r w:rsidRPr="002029AF">
        <w:t>to</w:t>
      </w:r>
      <w:r w:rsidR="000A5329" w:rsidRPr="002029AF">
        <w:t xml:space="preserve"> </w:t>
      </w:r>
      <w:r w:rsidRPr="002029AF">
        <w:t>ensure</w:t>
      </w:r>
      <w:r w:rsidR="000A5329" w:rsidRPr="002029AF">
        <w:t xml:space="preserve"> </w:t>
      </w:r>
      <w:r w:rsidRPr="002029AF">
        <w:t>critically</w:t>
      </w:r>
      <w:r w:rsidR="000A5329" w:rsidRPr="002029AF">
        <w:t xml:space="preserve"> </w:t>
      </w:r>
      <w:r w:rsidRPr="002029AF">
        <w:t>ill</w:t>
      </w:r>
      <w:r w:rsidR="000A5329" w:rsidRPr="002029AF">
        <w:t xml:space="preserve"> </w:t>
      </w:r>
      <w:r w:rsidRPr="002029AF">
        <w:t>Victorians</w:t>
      </w:r>
      <w:r w:rsidR="000A5329" w:rsidRPr="002029AF">
        <w:t xml:space="preserve"> </w:t>
      </w:r>
      <w:r w:rsidRPr="002029AF">
        <w:t>receive</w:t>
      </w:r>
      <w:r w:rsidR="000A5329" w:rsidRPr="002029AF">
        <w:t xml:space="preserve"> </w:t>
      </w:r>
      <w:r w:rsidRPr="002029AF">
        <w:t>the</w:t>
      </w:r>
      <w:r w:rsidR="000A5329" w:rsidRPr="002029AF">
        <w:t xml:space="preserve"> </w:t>
      </w:r>
      <w:r w:rsidRPr="002029AF">
        <w:t>care</w:t>
      </w:r>
      <w:r w:rsidR="000A5329" w:rsidRPr="002029AF">
        <w:t xml:space="preserve"> </w:t>
      </w:r>
      <w:r w:rsidRPr="002029AF">
        <w:t>they</w:t>
      </w:r>
      <w:r w:rsidR="000A5329" w:rsidRPr="002029AF">
        <w:t xml:space="preserve"> </w:t>
      </w:r>
      <w:r w:rsidRPr="002029AF">
        <w:t>need.</w:t>
      </w:r>
    </w:p>
    <w:tbl>
      <w:tblPr>
        <w:tblW w:w="9639" w:type="dxa"/>
        <w:tblLayout w:type="fixed"/>
        <w:tblCellMar>
          <w:left w:w="0" w:type="dxa"/>
        </w:tblCellMar>
        <w:tblLook w:val="04A0" w:firstRow="1" w:lastRow="0" w:firstColumn="1" w:lastColumn="0" w:noHBand="0" w:noVBand="1"/>
      </w:tblPr>
      <w:tblGrid>
        <w:gridCol w:w="4753"/>
        <w:gridCol w:w="1019"/>
        <w:gridCol w:w="1020"/>
        <w:gridCol w:w="1020"/>
        <w:gridCol w:w="1023"/>
        <w:gridCol w:w="797"/>
        <w:gridCol w:w="7"/>
      </w:tblGrid>
      <w:tr w:rsidR="005B58F0" w:rsidRPr="002029AF" w14:paraId="554D3793" w14:textId="77777777" w:rsidTr="005B58F0">
        <w:trPr>
          <w:cantSplit/>
          <w:tblHeader/>
        </w:trPr>
        <w:tc>
          <w:tcPr>
            <w:tcW w:w="4753" w:type="dxa"/>
            <w:tcBorders>
              <w:top w:val="nil"/>
              <w:left w:val="nil"/>
              <w:bottom w:val="single" w:sz="4" w:space="0" w:color="auto"/>
              <w:right w:val="nil"/>
            </w:tcBorders>
            <w:vAlign w:val="bottom"/>
            <w:hideMark/>
          </w:tcPr>
          <w:p w14:paraId="32D4DA1A" w14:textId="3E6FD65D" w:rsidR="005B58F0" w:rsidRPr="002029AF" w:rsidRDefault="005B58F0" w:rsidP="0014376C">
            <w:pPr>
              <w:pStyle w:val="ARtablecolhead"/>
            </w:pPr>
            <w:r w:rsidRPr="002029AF">
              <w:t>Performance</w:t>
            </w:r>
            <w:r w:rsidR="000A5329" w:rsidRPr="002029AF">
              <w:t xml:space="preserve"> </w:t>
            </w:r>
            <w:r w:rsidRPr="002029AF">
              <w:t>measures</w:t>
            </w:r>
          </w:p>
        </w:tc>
        <w:tc>
          <w:tcPr>
            <w:tcW w:w="1019" w:type="dxa"/>
            <w:tcBorders>
              <w:top w:val="nil"/>
              <w:left w:val="nil"/>
              <w:bottom w:val="single" w:sz="4" w:space="0" w:color="auto"/>
              <w:right w:val="nil"/>
            </w:tcBorders>
            <w:vAlign w:val="bottom"/>
            <w:hideMark/>
          </w:tcPr>
          <w:p w14:paraId="2ABFEC7E" w14:textId="5C1F848B" w:rsidR="005B58F0" w:rsidRPr="002029AF" w:rsidRDefault="005B58F0" w:rsidP="0014376C">
            <w:pPr>
              <w:pStyle w:val="ARtablecolhead"/>
            </w:pPr>
            <w:r w:rsidRPr="002029AF">
              <w:t>Unit</w:t>
            </w:r>
            <w:r w:rsidR="000A5329" w:rsidRPr="002029AF">
              <w:t xml:space="preserve"> </w:t>
            </w:r>
            <w:r w:rsidRPr="002029AF">
              <w:t>of</w:t>
            </w:r>
            <w:r w:rsidR="000A5329" w:rsidRPr="002029AF">
              <w:t xml:space="preserve"> </w:t>
            </w:r>
            <w:r w:rsidRPr="002029AF">
              <w:t>measure</w:t>
            </w:r>
          </w:p>
        </w:tc>
        <w:tc>
          <w:tcPr>
            <w:tcW w:w="1020" w:type="dxa"/>
            <w:tcBorders>
              <w:top w:val="nil"/>
              <w:left w:val="nil"/>
              <w:bottom w:val="single" w:sz="4" w:space="0" w:color="auto"/>
              <w:right w:val="nil"/>
            </w:tcBorders>
            <w:vAlign w:val="bottom"/>
            <w:hideMark/>
          </w:tcPr>
          <w:p w14:paraId="1FE05778" w14:textId="0ED1E716" w:rsidR="005B58F0" w:rsidRPr="002029AF" w:rsidRDefault="005B58F0" w:rsidP="0014376C">
            <w:pPr>
              <w:pStyle w:val="ARtablecolheadright"/>
            </w:pPr>
            <w:r w:rsidRPr="002029AF">
              <w:t>2019–20</w:t>
            </w:r>
            <w:r w:rsidR="000A5329" w:rsidRPr="002029AF">
              <w:t xml:space="preserve"> </w:t>
            </w:r>
            <w:r w:rsidRPr="002029AF">
              <w:t>target</w:t>
            </w:r>
          </w:p>
        </w:tc>
        <w:tc>
          <w:tcPr>
            <w:tcW w:w="1020" w:type="dxa"/>
            <w:tcBorders>
              <w:top w:val="nil"/>
              <w:left w:val="nil"/>
              <w:bottom w:val="single" w:sz="4" w:space="0" w:color="auto"/>
              <w:right w:val="nil"/>
            </w:tcBorders>
            <w:vAlign w:val="bottom"/>
            <w:hideMark/>
          </w:tcPr>
          <w:p w14:paraId="7C886B2F" w14:textId="429215BB" w:rsidR="005B58F0" w:rsidRPr="002029AF" w:rsidRDefault="005B58F0" w:rsidP="0014376C">
            <w:pPr>
              <w:pStyle w:val="ARtablecolheadright"/>
            </w:pPr>
            <w:r w:rsidRPr="002029AF">
              <w:t>2019–20</w:t>
            </w:r>
            <w:r w:rsidR="000A5329" w:rsidRPr="002029AF">
              <w:t xml:space="preserve"> </w:t>
            </w:r>
            <w:r w:rsidRPr="002029AF">
              <w:t>actual</w:t>
            </w:r>
          </w:p>
        </w:tc>
        <w:tc>
          <w:tcPr>
            <w:tcW w:w="1023" w:type="dxa"/>
            <w:tcBorders>
              <w:top w:val="nil"/>
              <w:left w:val="nil"/>
              <w:bottom w:val="single" w:sz="4" w:space="0" w:color="auto"/>
              <w:right w:val="nil"/>
            </w:tcBorders>
            <w:vAlign w:val="bottom"/>
            <w:hideMark/>
          </w:tcPr>
          <w:p w14:paraId="1884ED0D" w14:textId="5561E5CE" w:rsidR="005B58F0" w:rsidRPr="002029AF" w:rsidRDefault="005B58F0" w:rsidP="0014376C">
            <w:pPr>
              <w:pStyle w:val="ARtablecolheadright"/>
            </w:pPr>
            <w:r w:rsidRPr="002029AF">
              <w:t>Variation</w:t>
            </w:r>
            <w:r w:rsidR="000A5329" w:rsidRPr="002029AF">
              <w:t xml:space="preserve"> </w:t>
            </w:r>
            <w:r w:rsidRPr="002029AF">
              <w:t>(%)</w:t>
            </w:r>
          </w:p>
        </w:tc>
        <w:tc>
          <w:tcPr>
            <w:tcW w:w="804" w:type="dxa"/>
            <w:gridSpan w:val="2"/>
            <w:tcBorders>
              <w:top w:val="nil"/>
              <w:left w:val="nil"/>
              <w:bottom w:val="single" w:sz="4" w:space="0" w:color="auto"/>
              <w:right w:val="nil"/>
            </w:tcBorders>
            <w:vAlign w:val="bottom"/>
            <w:hideMark/>
          </w:tcPr>
          <w:p w14:paraId="3E86D2AE" w14:textId="77777777" w:rsidR="005B58F0" w:rsidRPr="002029AF" w:rsidRDefault="005B58F0" w:rsidP="000D3C3F">
            <w:pPr>
              <w:pStyle w:val="ARtablecolheadcentre"/>
            </w:pPr>
            <w:r w:rsidRPr="002029AF">
              <w:t>Result</w:t>
            </w:r>
          </w:p>
        </w:tc>
      </w:tr>
      <w:tr w:rsidR="00C15C65" w:rsidRPr="002029AF" w14:paraId="7DC14AA4" w14:textId="77777777" w:rsidTr="005B58F0">
        <w:trPr>
          <w:cantSplit/>
        </w:trPr>
        <w:tc>
          <w:tcPr>
            <w:tcW w:w="9639" w:type="dxa"/>
            <w:gridSpan w:val="7"/>
            <w:tcBorders>
              <w:top w:val="single" w:sz="4" w:space="0" w:color="auto"/>
              <w:left w:val="nil"/>
              <w:bottom w:val="single" w:sz="4" w:space="0" w:color="auto"/>
              <w:right w:val="nil"/>
            </w:tcBorders>
            <w:hideMark/>
          </w:tcPr>
          <w:p w14:paraId="52897102" w14:textId="0F894B81" w:rsidR="00C15C65" w:rsidRPr="002029AF" w:rsidRDefault="00C15C65" w:rsidP="007666A5">
            <w:pPr>
              <w:pStyle w:val="ARtablesubhead"/>
            </w:pPr>
            <w:r w:rsidRPr="002029AF">
              <w:t>Ambulance</w:t>
            </w:r>
            <w:r w:rsidR="000A5329" w:rsidRPr="002029AF">
              <w:t xml:space="preserve"> </w:t>
            </w:r>
            <w:r w:rsidRPr="002029AF">
              <w:t>Emergency</w:t>
            </w:r>
            <w:r w:rsidR="000A5329" w:rsidRPr="002029AF">
              <w:t xml:space="preserve"> </w:t>
            </w:r>
            <w:r w:rsidRPr="002029AF">
              <w:t>Services</w:t>
            </w:r>
          </w:p>
        </w:tc>
      </w:tr>
      <w:tr w:rsidR="00C15C65" w:rsidRPr="002029AF" w14:paraId="307E7D32" w14:textId="77777777" w:rsidTr="005B58F0">
        <w:trPr>
          <w:cantSplit/>
        </w:trPr>
        <w:tc>
          <w:tcPr>
            <w:tcW w:w="9639" w:type="dxa"/>
            <w:gridSpan w:val="7"/>
            <w:tcBorders>
              <w:top w:val="single" w:sz="4" w:space="0" w:color="auto"/>
              <w:left w:val="nil"/>
              <w:bottom w:val="nil"/>
              <w:right w:val="nil"/>
            </w:tcBorders>
            <w:hideMark/>
          </w:tcPr>
          <w:p w14:paraId="7B596B83" w14:textId="77777777" w:rsidR="00C15C65" w:rsidRPr="002029AF" w:rsidRDefault="00C15C65" w:rsidP="00D96AFD">
            <w:pPr>
              <w:pStyle w:val="ARtablegreybold"/>
            </w:pPr>
            <w:r w:rsidRPr="002029AF">
              <w:t>Quantity</w:t>
            </w:r>
          </w:p>
        </w:tc>
      </w:tr>
      <w:tr w:rsidR="00C15C65" w:rsidRPr="002029AF" w14:paraId="3BF565A4" w14:textId="77777777" w:rsidTr="005B58F0">
        <w:trPr>
          <w:gridAfter w:val="1"/>
          <w:wAfter w:w="7" w:type="dxa"/>
          <w:cantSplit/>
        </w:trPr>
        <w:tc>
          <w:tcPr>
            <w:tcW w:w="4753" w:type="dxa"/>
            <w:shd w:val="clear" w:color="auto" w:fill="auto"/>
            <w:hideMark/>
          </w:tcPr>
          <w:p w14:paraId="7F95C3B2" w14:textId="2B681E3F" w:rsidR="00C15C65" w:rsidRPr="002029AF" w:rsidRDefault="00C15C65" w:rsidP="00C40F5D">
            <w:pPr>
              <w:pStyle w:val="ARtabletext"/>
            </w:pPr>
            <w:r w:rsidRPr="002029AF">
              <w:t>Community</w:t>
            </w:r>
            <w:r w:rsidR="000A5329" w:rsidRPr="002029AF">
              <w:t xml:space="preserve"> </w:t>
            </w:r>
            <w:r w:rsidRPr="002029AF">
              <w:t>Service</w:t>
            </w:r>
            <w:r w:rsidR="000A5329" w:rsidRPr="002029AF">
              <w:t xml:space="preserve"> </w:t>
            </w:r>
            <w:r w:rsidRPr="002029AF">
              <w:t>Obligation</w:t>
            </w:r>
            <w:r w:rsidR="000A5329" w:rsidRPr="002029AF">
              <w:t xml:space="preserve"> </w:t>
            </w:r>
            <w:r w:rsidRPr="002029AF">
              <w:t>emergency</w:t>
            </w:r>
            <w:r w:rsidR="000A5329" w:rsidRPr="002029AF">
              <w:t xml:space="preserve"> </w:t>
            </w:r>
            <w:r w:rsidRPr="002029AF">
              <w:t>road</w:t>
            </w:r>
            <w:r w:rsidR="000A5329" w:rsidRPr="002029AF">
              <w:t xml:space="preserve"> </w:t>
            </w:r>
            <w:r w:rsidRPr="002029AF">
              <w:t>and</w:t>
            </w:r>
            <w:r w:rsidR="000A5329" w:rsidRPr="002029AF">
              <w:t xml:space="preserve"> </w:t>
            </w:r>
            <w:r w:rsidRPr="002029AF">
              <w:t>air</w:t>
            </w:r>
            <w:r w:rsidR="000A5329" w:rsidRPr="002029AF">
              <w:t xml:space="preserve"> </w:t>
            </w:r>
            <w:r w:rsidRPr="002029AF">
              <w:t>transports</w:t>
            </w:r>
          </w:p>
        </w:tc>
        <w:tc>
          <w:tcPr>
            <w:tcW w:w="1019" w:type="dxa"/>
            <w:shd w:val="clear" w:color="auto" w:fill="auto"/>
            <w:hideMark/>
          </w:tcPr>
          <w:p w14:paraId="2F819061" w14:textId="77777777" w:rsidR="00C15C65" w:rsidRPr="002029AF" w:rsidRDefault="00C15C65" w:rsidP="00C40F5D">
            <w:pPr>
              <w:pStyle w:val="ARtabletext"/>
            </w:pPr>
            <w:r w:rsidRPr="002029AF">
              <w:t>number</w:t>
            </w:r>
          </w:p>
        </w:tc>
        <w:tc>
          <w:tcPr>
            <w:tcW w:w="1020" w:type="dxa"/>
            <w:shd w:val="clear" w:color="auto" w:fill="auto"/>
            <w:hideMark/>
          </w:tcPr>
          <w:p w14:paraId="188CB7E0" w14:textId="77777777" w:rsidR="00C15C65" w:rsidRPr="002029AF" w:rsidRDefault="00C15C65" w:rsidP="0014376C">
            <w:pPr>
              <w:pStyle w:val="ARtabletextright"/>
            </w:pPr>
            <w:r w:rsidRPr="002029AF">
              <w:t>262,590</w:t>
            </w:r>
          </w:p>
        </w:tc>
        <w:tc>
          <w:tcPr>
            <w:tcW w:w="1020" w:type="dxa"/>
            <w:shd w:val="clear" w:color="auto" w:fill="auto"/>
            <w:hideMark/>
          </w:tcPr>
          <w:p w14:paraId="6976CFA9" w14:textId="77777777" w:rsidR="00C15C65" w:rsidRPr="002029AF" w:rsidRDefault="00C15C65" w:rsidP="0014376C">
            <w:pPr>
              <w:pStyle w:val="ARtabletextright"/>
            </w:pPr>
            <w:r w:rsidRPr="002029AF">
              <w:t>279,439</w:t>
            </w:r>
          </w:p>
        </w:tc>
        <w:tc>
          <w:tcPr>
            <w:tcW w:w="1023" w:type="dxa"/>
            <w:shd w:val="clear" w:color="auto" w:fill="auto"/>
          </w:tcPr>
          <w:p w14:paraId="0E096495" w14:textId="77777777" w:rsidR="00C15C65" w:rsidRPr="002029AF" w:rsidRDefault="00C15C65" w:rsidP="0014376C">
            <w:pPr>
              <w:pStyle w:val="ARtabletextright"/>
            </w:pPr>
            <w:r w:rsidRPr="002029AF">
              <w:t>6.4</w:t>
            </w:r>
          </w:p>
        </w:tc>
        <w:tc>
          <w:tcPr>
            <w:tcW w:w="797" w:type="dxa"/>
            <w:shd w:val="clear" w:color="auto" w:fill="auto"/>
            <w:hideMark/>
          </w:tcPr>
          <w:p w14:paraId="196467F8"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21A4CF16" w14:textId="77777777" w:rsidTr="005B58F0">
        <w:trPr>
          <w:gridAfter w:val="1"/>
          <w:wAfter w:w="7" w:type="dxa"/>
          <w:cantSplit/>
        </w:trPr>
        <w:tc>
          <w:tcPr>
            <w:tcW w:w="9632" w:type="dxa"/>
            <w:gridSpan w:val="6"/>
            <w:tcBorders>
              <w:bottom w:val="single" w:sz="4" w:space="0" w:color="BFBFBF"/>
            </w:tcBorders>
            <w:shd w:val="clear" w:color="auto" w:fill="auto"/>
            <w:noWrap/>
            <w:hideMark/>
          </w:tcPr>
          <w:p w14:paraId="50492888" w14:textId="7323B1A7" w:rsidR="00C15C65" w:rsidRPr="002029AF" w:rsidRDefault="00C15C65" w:rsidP="002C5190">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higher</w:t>
            </w:r>
            <w:r w:rsidR="000A5329" w:rsidRPr="002029AF">
              <w:t xml:space="preserve"> </w:t>
            </w:r>
            <w:r w:rsidRPr="002029AF">
              <w:t>than</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increased</w:t>
            </w:r>
            <w:r w:rsidR="000A5329" w:rsidRPr="002029AF">
              <w:t xml:space="preserve"> </w:t>
            </w:r>
            <w:r w:rsidRPr="002029AF">
              <w:t>demand</w:t>
            </w:r>
            <w:r w:rsidR="000A5329" w:rsidRPr="002029AF">
              <w:t xml:space="preserve"> </w:t>
            </w:r>
            <w:r w:rsidRPr="002029AF">
              <w:t>for</w:t>
            </w:r>
            <w:r w:rsidR="000A5329" w:rsidRPr="002029AF">
              <w:t xml:space="preserve"> </w:t>
            </w:r>
            <w:r w:rsidRPr="002029AF">
              <w:t>ambulance</w:t>
            </w:r>
            <w:r w:rsidR="000A5329" w:rsidRPr="002029AF">
              <w:t xml:space="preserve"> </w:t>
            </w:r>
            <w:r w:rsidRPr="002029AF">
              <w:t>services.</w:t>
            </w:r>
          </w:p>
        </w:tc>
      </w:tr>
      <w:tr w:rsidR="00C15C65" w:rsidRPr="002029AF" w14:paraId="7EE15C6C" w14:textId="77777777" w:rsidTr="005B58F0">
        <w:trPr>
          <w:gridAfter w:val="1"/>
          <w:wAfter w:w="7" w:type="dxa"/>
          <w:cantSplit/>
        </w:trPr>
        <w:tc>
          <w:tcPr>
            <w:tcW w:w="4753" w:type="dxa"/>
            <w:shd w:val="clear" w:color="auto" w:fill="auto"/>
            <w:hideMark/>
          </w:tcPr>
          <w:p w14:paraId="4AA94520" w14:textId="6D436AF4" w:rsidR="00C15C65" w:rsidRPr="002029AF" w:rsidRDefault="00C15C65" w:rsidP="00C40F5D">
            <w:pPr>
              <w:pStyle w:val="ARtabletext"/>
            </w:pPr>
            <w:r w:rsidRPr="002029AF">
              <w:t>Statewide</w:t>
            </w:r>
            <w:r w:rsidR="000A5329" w:rsidRPr="002029AF">
              <w:t xml:space="preserve"> </w:t>
            </w:r>
            <w:r w:rsidRPr="002029AF">
              <w:t>emergency</w:t>
            </w:r>
            <w:r w:rsidR="000A5329" w:rsidRPr="002029AF">
              <w:t xml:space="preserve"> </w:t>
            </w:r>
            <w:r w:rsidRPr="002029AF">
              <w:t>air</w:t>
            </w:r>
            <w:r w:rsidR="000A5329" w:rsidRPr="002029AF">
              <w:t xml:space="preserve"> </w:t>
            </w:r>
            <w:r w:rsidRPr="002029AF">
              <w:t>transports</w:t>
            </w:r>
          </w:p>
        </w:tc>
        <w:tc>
          <w:tcPr>
            <w:tcW w:w="1019" w:type="dxa"/>
            <w:shd w:val="clear" w:color="auto" w:fill="auto"/>
            <w:hideMark/>
          </w:tcPr>
          <w:p w14:paraId="5ACDB710" w14:textId="77777777" w:rsidR="00C15C65" w:rsidRPr="002029AF" w:rsidRDefault="00C15C65" w:rsidP="00C40F5D">
            <w:pPr>
              <w:pStyle w:val="ARtabletext"/>
            </w:pPr>
            <w:r w:rsidRPr="002029AF">
              <w:t>number</w:t>
            </w:r>
          </w:p>
        </w:tc>
        <w:tc>
          <w:tcPr>
            <w:tcW w:w="1020" w:type="dxa"/>
            <w:shd w:val="clear" w:color="auto" w:fill="auto"/>
            <w:hideMark/>
          </w:tcPr>
          <w:p w14:paraId="20F4C3DF" w14:textId="77777777" w:rsidR="00C15C65" w:rsidRPr="002029AF" w:rsidRDefault="00C15C65" w:rsidP="0014376C">
            <w:pPr>
              <w:pStyle w:val="ARtabletextright"/>
            </w:pPr>
            <w:r w:rsidRPr="002029AF">
              <w:t>4,688</w:t>
            </w:r>
          </w:p>
        </w:tc>
        <w:tc>
          <w:tcPr>
            <w:tcW w:w="1020" w:type="dxa"/>
            <w:shd w:val="clear" w:color="auto" w:fill="auto"/>
            <w:hideMark/>
          </w:tcPr>
          <w:p w14:paraId="690AFA6E" w14:textId="77777777" w:rsidR="00C15C65" w:rsidRPr="002029AF" w:rsidRDefault="00C15C65" w:rsidP="0014376C">
            <w:pPr>
              <w:pStyle w:val="ARtabletextright"/>
            </w:pPr>
            <w:r w:rsidRPr="002029AF">
              <w:t>4,228</w:t>
            </w:r>
          </w:p>
        </w:tc>
        <w:tc>
          <w:tcPr>
            <w:tcW w:w="1023" w:type="dxa"/>
            <w:shd w:val="clear" w:color="auto" w:fill="auto"/>
          </w:tcPr>
          <w:p w14:paraId="6536458B" w14:textId="77777777" w:rsidR="00C15C65" w:rsidRPr="002029AF" w:rsidRDefault="00C15C65" w:rsidP="0014376C">
            <w:pPr>
              <w:pStyle w:val="ARtabletextright"/>
            </w:pPr>
            <w:r w:rsidRPr="002029AF">
              <w:t>-9.8</w:t>
            </w:r>
          </w:p>
        </w:tc>
        <w:tc>
          <w:tcPr>
            <w:tcW w:w="797" w:type="dxa"/>
            <w:shd w:val="clear" w:color="auto" w:fill="auto"/>
            <w:hideMark/>
          </w:tcPr>
          <w:p w14:paraId="6E16E1CD"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6B22055E" w14:textId="77777777" w:rsidTr="005B58F0">
        <w:trPr>
          <w:gridAfter w:val="1"/>
          <w:wAfter w:w="7" w:type="dxa"/>
          <w:cantSplit/>
        </w:trPr>
        <w:tc>
          <w:tcPr>
            <w:tcW w:w="9632" w:type="dxa"/>
            <w:gridSpan w:val="6"/>
            <w:tcBorders>
              <w:bottom w:val="single" w:sz="4" w:space="0" w:color="BFBFBF"/>
            </w:tcBorders>
            <w:shd w:val="clear" w:color="auto" w:fill="auto"/>
            <w:noWrap/>
            <w:hideMark/>
          </w:tcPr>
          <w:p w14:paraId="26A38B41" w14:textId="6489BC54" w:rsidR="00C15C65" w:rsidRPr="002029AF" w:rsidRDefault="00C15C65" w:rsidP="002C5190">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lower</w:t>
            </w:r>
            <w:r w:rsidR="000A5329" w:rsidRPr="002029AF">
              <w:t xml:space="preserve"> </w:t>
            </w:r>
            <w:r w:rsidRPr="002029AF">
              <w:t>than</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lower</w:t>
            </w:r>
            <w:r w:rsidR="000A5329" w:rsidRPr="002029AF">
              <w:t xml:space="preserve"> </w:t>
            </w:r>
            <w:r w:rsidRPr="002029AF">
              <w:t>demand</w:t>
            </w:r>
            <w:r w:rsidR="000A5329" w:rsidRPr="002029AF">
              <w:t xml:space="preserve"> </w:t>
            </w:r>
            <w:r w:rsidRPr="002029AF">
              <w:t>for</w:t>
            </w:r>
            <w:r w:rsidR="000A5329" w:rsidRPr="002029AF">
              <w:t xml:space="preserve"> </w:t>
            </w:r>
            <w:r w:rsidRPr="002029AF">
              <w:t>services.</w:t>
            </w:r>
          </w:p>
        </w:tc>
      </w:tr>
      <w:tr w:rsidR="00C15C65" w:rsidRPr="002029AF" w14:paraId="3418F4AC" w14:textId="77777777" w:rsidTr="005B58F0">
        <w:trPr>
          <w:gridAfter w:val="1"/>
          <w:wAfter w:w="7" w:type="dxa"/>
          <w:cantSplit/>
        </w:trPr>
        <w:tc>
          <w:tcPr>
            <w:tcW w:w="4753" w:type="dxa"/>
            <w:shd w:val="clear" w:color="auto" w:fill="auto"/>
            <w:hideMark/>
          </w:tcPr>
          <w:p w14:paraId="1334CF4D" w14:textId="6561CB58" w:rsidR="00C15C65" w:rsidRPr="002029AF" w:rsidRDefault="00C15C65" w:rsidP="00C40F5D">
            <w:pPr>
              <w:pStyle w:val="ARtabletext"/>
            </w:pPr>
            <w:r w:rsidRPr="002029AF">
              <w:t>Statewide</w:t>
            </w:r>
            <w:r w:rsidR="000A5329" w:rsidRPr="002029AF">
              <w:t xml:space="preserve"> </w:t>
            </w:r>
            <w:r w:rsidRPr="002029AF">
              <w:t>emergency</w:t>
            </w:r>
            <w:r w:rsidR="000A5329" w:rsidRPr="002029AF">
              <w:t xml:space="preserve"> </w:t>
            </w:r>
            <w:r w:rsidRPr="002029AF">
              <w:t>road</w:t>
            </w:r>
            <w:r w:rsidR="000A5329" w:rsidRPr="002029AF">
              <w:t xml:space="preserve"> </w:t>
            </w:r>
            <w:r w:rsidRPr="002029AF">
              <w:t>transports</w:t>
            </w:r>
          </w:p>
        </w:tc>
        <w:tc>
          <w:tcPr>
            <w:tcW w:w="1019" w:type="dxa"/>
            <w:shd w:val="clear" w:color="auto" w:fill="auto"/>
            <w:hideMark/>
          </w:tcPr>
          <w:p w14:paraId="6C018307" w14:textId="77777777" w:rsidR="00C15C65" w:rsidRPr="002029AF" w:rsidRDefault="00C15C65" w:rsidP="00C40F5D">
            <w:pPr>
              <w:pStyle w:val="ARtabletext"/>
            </w:pPr>
            <w:r w:rsidRPr="002029AF">
              <w:t>number</w:t>
            </w:r>
          </w:p>
        </w:tc>
        <w:tc>
          <w:tcPr>
            <w:tcW w:w="1020" w:type="dxa"/>
            <w:shd w:val="clear" w:color="auto" w:fill="auto"/>
            <w:hideMark/>
          </w:tcPr>
          <w:p w14:paraId="110C9D61" w14:textId="77777777" w:rsidR="00C15C65" w:rsidRPr="002029AF" w:rsidRDefault="00C15C65" w:rsidP="0014376C">
            <w:pPr>
              <w:pStyle w:val="ARtabletextright"/>
            </w:pPr>
            <w:r w:rsidRPr="002029AF">
              <w:t>468,518</w:t>
            </w:r>
          </w:p>
        </w:tc>
        <w:tc>
          <w:tcPr>
            <w:tcW w:w="1020" w:type="dxa"/>
            <w:shd w:val="clear" w:color="auto" w:fill="auto"/>
            <w:hideMark/>
          </w:tcPr>
          <w:p w14:paraId="2BFE5334" w14:textId="77777777" w:rsidR="00C15C65" w:rsidRPr="002029AF" w:rsidRDefault="00C15C65" w:rsidP="0014376C">
            <w:pPr>
              <w:pStyle w:val="ARtabletextright"/>
            </w:pPr>
            <w:r w:rsidRPr="002029AF">
              <w:t>498,836</w:t>
            </w:r>
          </w:p>
        </w:tc>
        <w:tc>
          <w:tcPr>
            <w:tcW w:w="1023" w:type="dxa"/>
            <w:shd w:val="clear" w:color="auto" w:fill="auto"/>
          </w:tcPr>
          <w:p w14:paraId="56CAB7DF" w14:textId="77777777" w:rsidR="00C15C65" w:rsidRPr="002029AF" w:rsidRDefault="00C15C65" w:rsidP="0014376C">
            <w:pPr>
              <w:pStyle w:val="ARtabletextright"/>
            </w:pPr>
            <w:r w:rsidRPr="002029AF">
              <w:t>6.5</w:t>
            </w:r>
          </w:p>
        </w:tc>
        <w:tc>
          <w:tcPr>
            <w:tcW w:w="797" w:type="dxa"/>
            <w:shd w:val="clear" w:color="auto" w:fill="auto"/>
            <w:hideMark/>
          </w:tcPr>
          <w:p w14:paraId="39FCD8E1"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143DEE96" w14:textId="77777777" w:rsidTr="005B58F0">
        <w:trPr>
          <w:gridAfter w:val="1"/>
          <w:wAfter w:w="7" w:type="dxa"/>
          <w:cantSplit/>
        </w:trPr>
        <w:tc>
          <w:tcPr>
            <w:tcW w:w="9632" w:type="dxa"/>
            <w:gridSpan w:val="6"/>
            <w:tcBorders>
              <w:bottom w:val="single" w:sz="4" w:space="0" w:color="BFBFBF"/>
            </w:tcBorders>
            <w:shd w:val="clear" w:color="auto" w:fill="auto"/>
            <w:noWrap/>
            <w:hideMark/>
          </w:tcPr>
          <w:p w14:paraId="3C6F4885" w14:textId="1B19251B" w:rsidR="00C15C65" w:rsidRPr="002029AF" w:rsidRDefault="00C15C65" w:rsidP="002C5190">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the</w:t>
            </w:r>
            <w:r w:rsidR="000A5329" w:rsidRPr="002029AF">
              <w:t xml:space="preserve"> </w:t>
            </w:r>
            <w:r w:rsidRPr="002029AF">
              <w:t>increased</w:t>
            </w:r>
            <w:r w:rsidR="000A5329" w:rsidRPr="002029AF">
              <w:t xml:space="preserve"> </w:t>
            </w:r>
            <w:r w:rsidRPr="002029AF">
              <w:t>demand</w:t>
            </w:r>
            <w:r w:rsidR="000A5329" w:rsidRPr="002029AF">
              <w:t xml:space="preserve"> </w:t>
            </w:r>
            <w:r w:rsidRPr="002029AF">
              <w:t>for</w:t>
            </w:r>
            <w:r w:rsidR="000A5329" w:rsidRPr="002029AF">
              <w:t xml:space="preserve"> </w:t>
            </w:r>
            <w:r w:rsidRPr="002029AF">
              <w:t>ambulance</w:t>
            </w:r>
            <w:r w:rsidR="000A5329" w:rsidRPr="002029AF">
              <w:t xml:space="preserve"> </w:t>
            </w:r>
            <w:r w:rsidRPr="002029AF">
              <w:t>services,</w:t>
            </w:r>
            <w:r w:rsidR="000A5329" w:rsidRPr="002029AF">
              <w:t xml:space="preserve"> </w:t>
            </w:r>
            <w:r w:rsidRPr="002029AF">
              <w:t>despite</w:t>
            </w:r>
            <w:r w:rsidR="000A5329" w:rsidRPr="002029AF">
              <w:t xml:space="preserve"> </w:t>
            </w:r>
            <w:r w:rsidRPr="002029AF">
              <w:t>a</w:t>
            </w:r>
            <w:r w:rsidR="000A5329" w:rsidRPr="002029AF">
              <w:t xml:space="preserve"> </w:t>
            </w:r>
            <w:r w:rsidRPr="002029AF">
              <w:t>reduction</w:t>
            </w:r>
            <w:r w:rsidR="000A5329" w:rsidRPr="002029AF">
              <w:t xml:space="preserve"> </w:t>
            </w:r>
            <w:r w:rsidRPr="002029AF">
              <w:t>in</w:t>
            </w:r>
            <w:r w:rsidR="000A5329" w:rsidRPr="002029AF">
              <w:t xml:space="preserve"> </w:t>
            </w:r>
            <w:r w:rsidRPr="002029AF">
              <w:t>activity</w:t>
            </w:r>
            <w:r w:rsidR="000A5329" w:rsidRPr="002029AF">
              <w:t xml:space="preserve"> </w:t>
            </w:r>
            <w:r w:rsidRPr="002029AF">
              <w:t>during</w:t>
            </w:r>
            <w:r w:rsidR="000A5329" w:rsidRPr="002029AF">
              <w:t xml:space="preserve"> </w:t>
            </w:r>
            <w:r w:rsidRPr="002029AF">
              <w:t>lockdown</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restriction</w:t>
            </w:r>
            <w:r w:rsidR="00937256">
              <w:t>s</w:t>
            </w:r>
            <w:r w:rsidRPr="002029AF">
              <w:t>.</w:t>
            </w:r>
          </w:p>
        </w:tc>
      </w:tr>
      <w:tr w:rsidR="00C15C65" w:rsidRPr="002029AF" w14:paraId="73D8094D" w14:textId="77777777" w:rsidTr="005B58F0">
        <w:trPr>
          <w:gridAfter w:val="1"/>
          <w:wAfter w:w="7" w:type="dxa"/>
          <w:cantSplit/>
        </w:trPr>
        <w:tc>
          <w:tcPr>
            <w:tcW w:w="4753" w:type="dxa"/>
            <w:shd w:val="clear" w:color="auto" w:fill="auto"/>
            <w:hideMark/>
          </w:tcPr>
          <w:p w14:paraId="26F6A2EC" w14:textId="5249AF73" w:rsidR="00C15C65" w:rsidRPr="002029AF" w:rsidRDefault="00C15C65" w:rsidP="00C40F5D">
            <w:pPr>
              <w:pStyle w:val="ARtabletext"/>
            </w:pPr>
            <w:r w:rsidRPr="002029AF">
              <w:t>Treatment</w:t>
            </w:r>
            <w:r w:rsidR="000A5329" w:rsidRPr="002029AF">
              <w:t xml:space="preserve"> </w:t>
            </w:r>
            <w:r w:rsidRPr="002029AF">
              <w:t>without</w:t>
            </w:r>
            <w:r w:rsidR="000A5329" w:rsidRPr="002029AF">
              <w:t xml:space="preserve"> </w:t>
            </w:r>
            <w:r w:rsidRPr="002029AF">
              <w:t>transport</w:t>
            </w:r>
          </w:p>
        </w:tc>
        <w:tc>
          <w:tcPr>
            <w:tcW w:w="1019" w:type="dxa"/>
            <w:shd w:val="clear" w:color="auto" w:fill="auto"/>
            <w:hideMark/>
          </w:tcPr>
          <w:p w14:paraId="5ED4F493" w14:textId="77777777" w:rsidR="00C15C65" w:rsidRPr="002029AF" w:rsidRDefault="00C15C65" w:rsidP="00C40F5D">
            <w:pPr>
              <w:pStyle w:val="ARtabletext"/>
            </w:pPr>
            <w:r w:rsidRPr="002029AF">
              <w:t>number</w:t>
            </w:r>
          </w:p>
        </w:tc>
        <w:tc>
          <w:tcPr>
            <w:tcW w:w="1020" w:type="dxa"/>
            <w:shd w:val="clear" w:color="auto" w:fill="auto"/>
            <w:hideMark/>
          </w:tcPr>
          <w:p w14:paraId="2AB79820" w14:textId="77777777" w:rsidR="00C15C65" w:rsidRPr="002029AF" w:rsidRDefault="00C15C65" w:rsidP="0014376C">
            <w:pPr>
              <w:pStyle w:val="ARtabletextright"/>
            </w:pPr>
            <w:r w:rsidRPr="002029AF">
              <w:t>90,000</w:t>
            </w:r>
          </w:p>
        </w:tc>
        <w:tc>
          <w:tcPr>
            <w:tcW w:w="1020" w:type="dxa"/>
            <w:shd w:val="clear" w:color="auto" w:fill="auto"/>
            <w:hideMark/>
          </w:tcPr>
          <w:p w14:paraId="6053CC9A" w14:textId="77777777" w:rsidR="00C15C65" w:rsidRPr="002029AF" w:rsidRDefault="00C15C65" w:rsidP="0014376C">
            <w:pPr>
              <w:pStyle w:val="ARtabletextright"/>
            </w:pPr>
            <w:r w:rsidRPr="002029AF">
              <w:t>84,087</w:t>
            </w:r>
          </w:p>
        </w:tc>
        <w:tc>
          <w:tcPr>
            <w:tcW w:w="1023" w:type="dxa"/>
            <w:shd w:val="clear" w:color="auto" w:fill="auto"/>
          </w:tcPr>
          <w:p w14:paraId="09DD2D01" w14:textId="77777777" w:rsidR="00C15C65" w:rsidRPr="002029AF" w:rsidRDefault="00C15C65" w:rsidP="0014376C">
            <w:pPr>
              <w:pStyle w:val="ARtabletextright"/>
            </w:pPr>
            <w:r w:rsidRPr="002029AF">
              <w:t>-6.6</w:t>
            </w:r>
          </w:p>
        </w:tc>
        <w:tc>
          <w:tcPr>
            <w:tcW w:w="797" w:type="dxa"/>
            <w:shd w:val="clear" w:color="auto" w:fill="auto"/>
            <w:hideMark/>
          </w:tcPr>
          <w:p w14:paraId="051438EA"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3DA49260" w14:textId="77777777" w:rsidTr="005B58F0">
        <w:trPr>
          <w:gridAfter w:val="1"/>
          <w:wAfter w:w="7" w:type="dxa"/>
          <w:cantSplit/>
        </w:trPr>
        <w:tc>
          <w:tcPr>
            <w:tcW w:w="9632" w:type="dxa"/>
            <w:gridSpan w:val="6"/>
            <w:tcBorders>
              <w:bottom w:val="single" w:sz="4" w:space="0" w:color="BFBFBF"/>
            </w:tcBorders>
            <w:shd w:val="clear" w:color="auto" w:fill="auto"/>
            <w:noWrap/>
            <w:hideMark/>
          </w:tcPr>
          <w:p w14:paraId="41E9B3D4" w14:textId="01E105AE" w:rsidR="00C15C65" w:rsidRPr="002029AF" w:rsidRDefault="00C15C65" w:rsidP="002C5190">
            <w:pPr>
              <w:pStyle w:val="ARtablenoteindent"/>
            </w:pPr>
            <w:r w:rsidRPr="002029AF">
              <w:t>The</w:t>
            </w:r>
            <w:r w:rsidR="000A5329" w:rsidRPr="002029AF">
              <w:t xml:space="preserve"> </w:t>
            </w:r>
            <w:r w:rsidRPr="002029AF">
              <w:t>result</w:t>
            </w:r>
            <w:r w:rsidR="000A5329" w:rsidRPr="002029AF">
              <w:t xml:space="preserve"> </w:t>
            </w:r>
            <w:r w:rsidRPr="002029AF">
              <w:t>is</w:t>
            </w:r>
            <w:r w:rsidR="000A5329" w:rsidRPr="002029AF">
              <w:t xml:space="preserve"> </w:t>
            </w:r>
            <w:r w:rsidRPr="002029AF">
              <w:t>lower</w:t>
            </w:r>
            <w:r w:rsidR="000A5329" w:rsidRPr="002029AF">
              <w:t xml:space="preserve"> </w:t>
            </w:r>
            <w:r w:rsidRPr="002029AF">
              <w:t>than</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Ambulance</w:t>
            </w:r>
            <w:r w:rsidR="000A5329" w:rsidRPr="002029AF">
              <w:t xml:space="preserve"> </w:t>
            </w:r>
            <w:r w:rsidRPr="002029AF">
              <w:t>Victoria</w:t>
            </w:r>
            <w:r w:rsidR="005F298C">
              <w:t>’</w:t>
            </w:r>
            <w:r w:rsidRPr="002029AF">
              <w:t>s</w:t>
            </w:r>
            <w:r w:rsidR="000A5329" w:rsidRPr="002029AF">
              <w:t xml:space="preserve"> </w:t>
            </w:r>
            <w:r w:rsidRPr="002029AF">
              <w:t>implementation</w:t>
            </w:r>
            <w:r w:rsidR="000A5329" w:rsidRPr="002029AF">
              <w:t xml:space="preserve"> </w:t>
            </w:r>
            <w:r w:rsidRPr="002029AF">
              <w:t>of</w:t>
            </w:r>
            <w:r w:rsidR="000A5329" w:rsidRPr="002029AF">
              <w:t xml:space="preserve"> </w:t>
            </w:r>
            <w:r w:rsidRPr="002029AF">
              <w:t>its</w:t>
            </w:r>
            <w:r w:rsidR="000A5329" w:rsidRPr="002029AF">
              <w:t xml:space="preserve"> </w:t>
            </w:r>
            <w:r w:rsidRPr="002029AF">
              <w:t>revised</w:t>
            </w:r>
            <w:r w:rsidR="000A5329" w:rsidRPr="002029AF">
              <w:t xml:space="preserve"> </w:t>
            </w:r>
            <w:r w:rsidRPr="002029AF">
              <w:t>clinical</w:t>
            </w:r>
            <w:r w:rsidR="000A5329" w:rsidRPr="002029AF">
              <w:t xml:space="preserve"> </w:t>
            </w:r>
            <w:r w:rsidRPr="002029AF">
              <w:t>response</w:t>
            </w:r>
            <w:r w:rsidR="000A5329" w:rsidRPr="002029AF">
              <w:t xml:space="preserve"> </w:t>
            </w:r>
            <w:r w:rsidRPr="002029AF">
              <w:t>model.</w:t>
            </w:r>
            <w:r w:rsidR="000A5329" w:rsidRPr="002029AF">
              <w:t xml:space="preserve"> </w:t>
            </w:r>
            <w:r w:rsidRPr="002029AF">
              <w:t>This</w:t>
            </w:r>
            <w:r w:rsidR="000A5329" w:rsidRPr="002029AF">
              <w:t xml:space="preserve"> </w:t>
            </w:r>
            <w:r w:rsidRPr="002029AF">
              <w:t>model</w:t>
            </w:r>
            <w:r w:rsidR="000A5329" w:rsidRPr="002029AF">
              <w:t xml:space="preserve"> </w:t>
            </w:r>
            <w:r w:rsidRPr="002029AF">
              <w:t>is</w:t>
            </w:r>
            <w:r w:rsidR="000A5329" w:rsidRPr="002029AF">
              <w:t xml:space="preserve"> </w:t>
            </w:r>
            <w:r w:rsidRPr="002029AF">
              <w:t>ensuring</w:t>
            </w:r>
            <w:r w:rsidR="000A5329" w:rsidRPr="002029AF">
              <w:t xml:space="preserve"> </w:t>
            </w:r>
            <w:r w:rsidRPr="002029AF">
              <w:t>that</w:t>
            </w:r>
            <w:r w:rsidR="000A5329" w:rsidRPr="002029AF">
              <w:t xml:space="preserve"> </w:t>
            </w:r>
            <w:r w:rsidRPr="002029AF">
              <w:t>patients</w:t>
            </w:r>
            <w:r w:rsidR="000A5329" w:rsidRPr="002029AF">
              <w:t xml:space="preserve"> </w:t>
            </w:r>
            <w:r w:rsidRPr="002029AF">
              <w:t>are</w:t>
            </w:r>
            <w:r w:rsidR="000A5329" w:rsidRPr="002029AF">
              <w:t xml:space="preserve"> </w:t>
            </w:r>
            <w:r w:rsidRPr="002029AF">
              <w:t>receiving</w:t>
            </w:r>
            <w:r w:rsidR="000A5329" w:rsidRPr="002029AF">
              <w:t xml:space="preserve"> </w:t>
            </w:r>
            <w:r w:rsidRPr="002029AF">
              <w:t>care</w:t>
            </w:r>
            <w:r w:rsidR="000A5329" w:rsidRPr="002029AF">
              <w:t xml:space="preserve"> </w:t>
            </w:r>
            <w:r w:rsidRPr="002029AF">
              <w:t>appropriate</w:t>
            </w:r>
            <w:r w:rsidR="000A5329" w:rsidRPr="002029AF">
              <w:t xml:space="preserve"> </w:t>
            </w:r>
            <w:r w:rsidRPr="002029AF">
              <w:t>to</w:t>
            </w:r>
            <w:r w:rsidR="000A5329" w:rsidRPr="002029AF">
              <w:t xml:space="preserve"> </w:t>
            </w:r>
            <w:r w:rsidRPr="002029AF">
              <w:t>their</w:t>
            </w:r>
            <w:r w:rsidR="000A5329" w:rsidRPr="002029AF">
              <w:t xml:space="preserve"> </w:t>
            </w:r>
            <w:r w:rsidRPr="002029AF">
              <w:t>needs,</w:t>
            </w:r>
            <w:r w:rsidR="000A5329" w:rsidRPr="002029AF">
              <w:t xml:space="preserve"> </w:t>
            </w:r>
            <w:r w:rsidRPr="002029AF">
              <w:t>and</w:t>
            </w:r>
            <w:r w:rsidR="000A5329" w:rsidRPr="002029AF">
              <w:t xml:space="preserve"> </w:t>
            </w:r>
            <w:r w:rsidRPr="002029AF">
              <w:t>that</w:t>
            </w:r>
            <w:r w:rsidR="000A5329" w:rsidRPr="002029AF">
              <w:t xml:space="preserve"> </w:t>
            </w:r>
            <w:r w:rsidRPr="002029AF">
              <w:t>emergency</w:t>
            </w:r>
            <w:r w:rsidR="000A5329" w:rsidRPr="002029AF">
              <w:t xml:space="preserve"> </w:t>
            </w:r>
            <w:r w:rsidRPr="002029AF">
              <w:t>ambulances</w:t>
            </w:r>
            <w:r w:rsidR="000A5329" w:rsidRPr="002029AF">
              <w:t xml:space="preserve"> </w:t>
            </w:r>
            <w:r w:rsidRPr="002029AF">
              <w:t>are</w:t>
            </w:r>
            <w:r w:rsidR="000A5329" w:rsidRPr="002029AF">
              <w:t xml:space="preserve"> </w:t>
            </w:r>
            <w:r w:rsidRPr="002029AF">
              <w:t>less</w:t>
            </w:r>
            <w:r w:rsidR="000A5329" w:rsidRPr="002029AF">
              <w:t xml:space="preserve"> </w:t>
            </w:r>
            <w:r w:rsidRPr="002029AF">
              <w:t>frequently</w:t>
            </w:r>
            <w:r w:rsidR="000A5329" w:rsidRPr="002029AF">
              <w:t xml:space="preserve"> </w:t>
            </w:r>
            <w:r w:rsidRPr="002029AF">
              <w:t>dispatched</w:t>
            </w:r>
            <w:r w:rsidR="000A5329" w:rsidRPr="002029AF">
              <w:t xml:space="preserve"> </w:t>
            </w:r>
            <w:r w:rsidRPr="002029AF">
              <w:t>to</w:t>
            </w:r>
            <w:r w:rsidR="000A5329" w:rsidRPr="002029AF">
              <w:t xml:space="preserve"> </w:t>
            </w:r>
            <w:r w:rsidRPr="002029AF">
              <w:t>patients</w:t>
            </w:r>
            <w:r w:rsidR="000A5329" w:rsidRPr="002029AF">
              <w:t xml:space="preserve"> </w:t>
            </w:r>
            <w:r w:rsidRPr="002029AF">
              <w:t>who</w:t>
            </w:r>
            <w:r w:rsidR="000A5329" w:rsidRPr="002029AF">
              <w:t xml:space="preserve"> </w:t>
            </w:r>
            <w:r w:rsidRPr="002029AF">
              <w:t>do</w:t>
            </w:r>
            <w:r w:rsidR="000A5329" w:rsidRPr="002029AF">
              <w:t xml:space="preserve"> </w:t>
            </w:r>
            <w:r w:rsidRPr="002029AF">
              <w:t>not</w:t>
            </w:r>
            <w:r w:rsidR="000A5329" w:rsidRPr="002029AF">
              <w:t xml:space="preserve"> </w:t>
            </w:r>
            <w:r w:rsidRPr="002029AF">
              <w:t>need</w:t>
            </w:r>
            <w:r w:rsidR="000A5329" w:rsidRPr="002029AF">
              <w:t xml:space="preserve"> </w:t>
            </w:r>
            <w:r w:rsidRPr="002029AF">
              <w:t>transport</w:t>
            </w:r>
            <w:r w:rsidR="000A5329" w:rsidRPr="002029AF">
              <w:t xml:space="preserve"> </w:t>
            </w:r>
            <w:r w:rsidRPr="002029AF">
              <w:t>to</w:t>
            </w:r>
            <w:r w:rsidR="000A5329" w:rsidRPr="002029AF">
              <w:t xml:space="preserve"> </w:t>
            </w:r>
            <w:r w:rsidRPr="002029AF">
              <w:t>hospital.</w:t>
            </w:r>
          </w:p>
        </w:tc>
      </w:tr>
      <w:tr w:rsidR="00C15C65" w:rsidRPr="002029AF" w14:paraId="506EE940" w14:textId="77777777" w:rsidTr="005B58F0">
        <w:trPr>
          <w:cantSplit/>
        </w:trPr>
        <w:tc>
          <w:tcPr>
            <w:tcW w:w="9639" w:type="dxa"/>
            <w:gridSpan w:val="7"/>
            <w:tcBorders>
              <w:top w:val="single" w:sz="4" w:space="0" w:color="auto"/>
              <w:left w:val="nil"/>
              <w:bottom w:val="nil"/>
              <w:right w:val="nil"/>
            </w:tcBorders>
            <w:hideMark/>
          </w:tcPr>
          <w:p w14:paraId="6D9035DA" w14:textId="77777777" w:rsidR="00C15C65" w:rsidRPr="002029AF" w:rsidRDefault="00C15C65" w:rsidP="00D96AFD">
            <w:pPr>
              <w:pStyle w:val="ARtablegreybold"/>
            </w:pPr>
            <w:r w:rsidRPr="002029AF">
              <w:t>Quality</w:t>
            </w:r>
          </w:p>
        </w:tc>
      </w:tr>
      <w:tr w:rsidR="00C15C65" w:rsidRPr="002029AF" w14:paraId="617F6D28" w14:textId="77777777" w:rsidTr="005B58F0">
        <w:trPr>
          <w:gridAfter w:val="1"/>
          <w:wAfter w:w="7" w:type="dxa"/>
          <w:cantSplit/>
        </w:trPr>
        <w:tc>
          <w:tcPr>
            <w:tcW w:w="4753" w:type="dxa"/>
            <w:shd w:val="clear" w:color="auto" w:fill="auto"/>
            <w:hideMark/>
          </w:tcPr>
          <w:p w14:paraId="49F71C3C" w14:textId="07D31725" w:rsidR="00C15C65" w:rsidRPr="002029AF" w:rsidRDefault="00C15C65" w:rsidP="00C40F5D">
            <w:pPr>
              <w:pStyle w:val="ARtabletext"/>
            </w:pPr>
            <w:r w:rsidRPr="002029AF">
              <w:t>Audited</w:t>
            </w:r>
            <w:r w:rsidR="000A5329" w:rsidRPr="002029AF">
              <w:t xml:space="preserve"> </w:t>
            </w:r>
            <w:r w:rsidRPr="002029AF">
              <w:t>cases</w:t>
            </w:r>
            <w:r w:rsidR="000A5329" w:rsidRPr="002029AF">
              <w:t xml:space="preserve"> </w:t>
            </w:r>
            <w:r w:rsidRPr="002029AF">
              <w:t>attended</w:t>
            </w:r>
            <w:r w:rsidR="000A5329" w:rsidRPr="002029AF">
              <w:t xml:space="preserve"> </w:t>
            </w:r>
            <w:r w:rsidRPr="002029AF">
              <w:t>by</w:t>
            </w:r>
            <w:r w:rsidR="000A5329" w:rsidRPr="002029AF">
              <w:t xml:space="preserve"> </w:t>
            </w:r>
            <w:r w:rsidRPr="002029AF">
              <w:t>Community</w:t>
            </w:r>
            <w:r w:rsidR="000A5329" w:rsidRPr="002029AF">
              <w:t xml:space="preserve"> </w:t>
            </w:r>
            <w:r w:rsidRPr="002029AF">
              <w:t>Emergency</w:t>
            </w:r>
            <w:r w:rsidR="000A5329" w:rsidRPr="002029AF">
              <w:t xml:space="preserve"> </w:t>
            </w:r>
            <w:r w:rsidRPr="002029AF">
              <w:t>Response</w:t>
            </w:r>
            <w:r w:rsidR="000A5329" w:rsidRPr="002029AF">
              <w:t xml:space="preserve"> </w:t>
            </w:r>
            <w:r w:rsidRPr="002029AF">
              <w:t>Teams</w:t>
            </w:r>
            <w:r w:rsidR="000A5329" w:rsidRPr="002029AF">
              <w:t xml:space="preserve"> </w:t>
            </w:r>
            <w:r w:rsidRPr="002029AF">
              <w:t>(CERT)</w:t>
            </w:r>
            <w:r w:rsidR="000A5329" w:rsidRPr="002029AF">
              <w:t xml:space="preserve"> </w:t>
            </w:r>
            <w:r w:rsidRPr="002029AF">
              <w:t>meeting</w:t>
            </w:r>
            <w:r w:rsidR="000A5329" w:rsidRPr="002029AF">
              <w:t xml:space="preserve"> </w:t>
            </w:r>
            <w:r w:rsidRPr="002029AF">
              <w:t>clinical</w:t>
            </w:r>
            <w:r w:rsidR="000A5329" w:rsidRPr="002029AF">
              <w:t xml:space="preserve"> </w:t>
            </w:r>
            <w:r w:rsidRPr="002029AF">
              <w:t>practice</w:t>
            </w:r>
            <w:r w:rsidR="000A5329" w:rsidRPr="002029AF">
              <w:t xml:space="preserve"> </w:t>
            </w:r>
            <w:r w:rsidRPr="002029AF">
              <w:t>standards</w:t>
            </w:r>
          </w:p>
        </w:tc>
        <w:tc>
          <w:tcPr>
            <w:tcW w:w="1019" w:type="dxa"/>
            <w:shd w:val="clear" w:color="auto" w:fill="auto"/>
            <w:hideMark/>
          </w:tcPr>
          <w:p w14:paraId="2802F76D" w14:textId="4AB429F1" w:rsidR="00C15C65" w:rsidRPr="002029AF" w:rsidRDefault="00C15C65" w:rsidP="00C40F5D">
            <w:pPr>
              <w:pStyle w:val="ARtabletext"/>
            </w:pPr>
            <w:r w:rsidRPr="002029AF">
              <w:t>per</w:t>
            </w:r>
            <w:r w:rsidR="000A5329" w:rsidRPr="002029AF">
              <w:t xml:space="preserve"> </w:t>
            </w:r>
            <w:r w:rsidRPr="002029AF">
              <w:t>cent</w:t>
            </w:r>
          </w:p>
        </w:tc>
        <w:tc>
          <w:tcPr>
            <w:tcW w:w="1020" w:type="dxa"/>
            <w:shd w:val="clear" w:color="auto" w:fill="auto"/>
            <w:hideMark/>
          </w:tcPr>
          <w:p w14:paraId="14DACAF8" w14:textId="77777777" w:rsidR="00C15C65" w:rsidRPr="002029AF" w:rsidRDefault="00C15C65" w:rsidP="0014376C">
            <w:pPr>
              <w:pStyle w:val="ARtabletextright"/>
            </w:pPr>
            <w:r w:rsidRPr="002029AF">
              <w:t>90</w:t>
            </w:r>
          </w:p>
        </w:tc>
        <w:tc>
          <w:tcPr>
            <w:tcW w:w="1020" w:type="dxa"/>
            <w:shd w:val="clear" w:color="auto" w:fill="auto"/>
            <w:hideMark/>
          </w:tcPr>
          <w:p w14:paraId="28A952AE" w14:textId="77777777" w:rsidR="00C15C65" w:rsidRPr="002029AF" w:rsidRDefault="00C15C65" w:rsidP="0014376C">
            <w:pPr>
              <w:pStyle w:val="ARtabletextright"/>
            </w:pPr>
            <w:r w:rsidRPr="002029AF">
              <w:t>100</w:t>
            </w:r>
          </w:p>
        </w:tc>
        <w:tc>
          <w:tcPr>
            <w:tcW w:w="1023" w:type="dxa"/>
            <w:shd w:val="clear" w:color="auto" w:fill="auto"/>
          </w:tcPr>
          <w:p w14:paraId="02D594BD" w14:textId="77777777" w:rsidR="00C15C65" w:rsidRPr="002029AF" w:rsidRDefault="00C15C65" w:rsidP="0014376C">
            <w:pPr>
              <w:pStyle w:val="ARtabletextright"/>
            </w:pPr>
            <w:r w:rsidRPr="002029AF">
              <w:t>11.1</w:t>
            </w:r>
          </w:p>
        </w:tc>
        <w:tc>
          <w:tcPr>
            <w:tcW w:w="797" w:type="dxa"/>
            <w:shd w:val="clear" w:color="auto" w:fill="auto"/>
            <w:hideMark/>
          </w:tcPr>
          <w:p w14:paraId="56B7BAA0"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3546249C" w14:textId="77777777" w:rsidTr="005B58F0">
        <w:trPr>
          <w:gridAfter w:val="1"/>
          <w:wAfter w:w="7" w:type="dxa"/>
          <w:cantSplit/>
        </w:trPr>
        <w:tc>
          <w:tcPr>
            <w:tcW w:w="9632" w:type="dxa"/>
            <w:gridSpan w:val="6"/>
            <w:tcBorders>
              <w:bottom w:val="single" w:sz="4" w:space="0" w:color="BFBFBF"/>
            </w:tcBorders>
            <w:shd w:val="clear" w:color="auto" w:fill="auto"/>
            <w:noWrap/>
            <w:hideMark/>
          </w:tcPr>
          <w:p w14:paraId="708B90FD" w14:textId="6BF77BDC" w:rsidR="00C15C65" w:rsidRPr="002029AF" w:rsidRDefault="00C15C65" w:rsidP="002C5190">
            <w:pPr>
              <w:pStyle w:val="ARtablenoteindent"/>
            </w:pPr>
            <w:r w:rsidRPr="002029AF">
              <w:t>The</w:t>
            </w:r>
            <w:r w:rsidR="000A5329" w:rsidRPr="002029AF">
              <w:t xml:space="preserve"> </w:t>
            </w:r>
            <w:r w:rsidRPr="002029AF">
              <w:t>result</w:t>
            </w:r>
            <w:r w:rsidR="000A5329" w:rsidRPr="002029AF">
              <w:t xml:space="preserve"> </w:t>
            </w:r>
            <w:r w:rsidRPr="002029AF">
              <w:t>is</w:t>
            </w:r>
            <w:r w:rsidR="000A5329" w:rsidRPr="002029AF">
              <w:t xml:space="preserve"> </w:t>
            </w:r>
            <w:r w:rsidRPr="002029AF">
              <w:t>higher</w:t>
            </w:r>
            <w:r w:rsidR="000A5329" w:rsidRPr="002029AF">
              <w:t xml:space="preserve"> </w:t>
            </w:r>
            <w:r w:rsidRPr="002029AF">
              <w:t>than</w:t>
            </w:r>
            <w:r w:rsidR="000A5329" w:rsidRPr="002029AF">
              <w:t xml:space="preserve"> </w:t>
            </w:r>
            <w:r w:rsidRPr="002029AF">
              <w:t>target,</w:t>
            </w:r>
            <w:r w:rsidR="000A5329" w:rsidRPr="002029AF">
              <w:t xml:space="preserve"> </w:t>
            </w:r>
            <w:r w:rsidRPr="002029AF">
              <w:t>which</w:t>
            </w:r>
            <w:r w:rsidR="000A5329" w:rsidRPr="002029AF">
              <w:t xml:space="preserve"> </w:t>
            </w:r>
            <w:r w:rsidRPr="002029AF">
              <w:t>is</w:t>
            </w:r>
            <w:r w:rsidR="000A5329" w:rsidRPr="002029AF">
              <w:t xml:space="preserve"> </w:t>
            </w:r>
            <w:r w:rsidRPr="002029AF">
              <w:t>a</w:t>
            </w:r>
            <w:r w:rsidR="000A5329" w:rsidRPr="002029AF">
              <w:t xml:space="preserve"> </w:t>
            </w:r>
            <w:r w:rsidRPr="002029AF">
              <w:t>positive</w:t>
            </w:r>
            <w:r w:rsidR="000A5329" w:rsidRPr="002029AF">
              <w:t xml:space="preserve"> </w:t>
            </w:r>
            <w:r w:rsidRPr="002029AF">
              <w:t>result.</w:t>
            </w:r>
          </w:p>
        </w:tc>
      </w:tr>
      <w:tr w:rsidR="00C15C65" w:rsidRPr="002029AF" w14:paraId="7191E7CC" w14:textId="77777777" w:rsidTr="005B58F0">
        <w:trPr>
          <w:gridAfter w:val="1"/>
          <w:wAfter w:w="7" w:type="dxa"/>
          <w:cantSplit/>
        </w:trPr>
        <w:tc>
          <w:tcPr>
            <w:tcW w:w="4753" w:type="dxa"/>
            <w:shd w:val="clear" w:color="auto" w:fill="auto"/>
            <w:hideMark/>
          </w:tcPr>
          <w:p w14:paraId="5EF74152" w14:textId="30269735" w:rsidR="00C15C65" w:rsidRPr="002029AF" w:rsidRDefault="00C15C65" w:rsidP="00C40F5D">
            <w:pPr>
              <w:pStyle w:val="ARtabletext"/>
            </w:pPr>
            <w:r w:rsidRPr="002029AF">
              <w:t>Audited</w:t>
            </w:r>
            <w:r w:rsidR="000A5329" w:rsidRPr="002029AF">
              <w:t xml:space="preserve"> </w:t>
            </w:r>
            <w:r w:rsidRPr="002029AF">
              <w:t>cases</w:t>
            </w:r>
            <w:r w:rsidR="000A5329" w:rsidRPr="002029AF">
              <w:t xml:space="preserve"> </w:t>
            </w:r>
            <w:r w:rsidRPr="002029AF">
              <w:t>statewide</w:t>
            </w:r>
            <w:r w:rsidR="000A5329" w:rsidRPr="002029AF">
              <w:t xml:space="preserve"> </w:t>
            </w:r>
            <w:r w:rsidRPr="002029AF">
              <w:t>meeting</w:t>
            </w:r>
            <w:r w:rsidR="000A5329" w:rsidRPr="002029AF">
              <w:t xml:space="preserve"> </w:t>
            </w:r>
            <w:r w:rsidRPr="002029AF">
              <w:t>clinical</w:t>
            </w:r>
            <w:r w:rsidR="000A5329" w:rsidRPr="002029AF">
              <w:t xml:space="preserve"> </w:t>
            </w:r>
            <w:r w:rsidRPr="002029AF">
              <w:t>practice</w:t>
            </w:r>
            <w:r w:rsidR="000A5329" w:rsidRPr="002029AF">
              <w:t xml:space="preserve"> </w:t>
            </w:r>
            <w:r w:rsidRPr="002029AF">
              <w:t>standards</w:t>
            </w:r>
          </w:p>
        </w:tc>
        <w:tc>
          <w:tcPr>
            <w:tcW w:w="1019" w:type="dxa"/>
            <w:shd w:val="clear" w:color="auto" w:fill="auto"/>
            <w:hideMark/>
          </w:tcPr>
          <w:p w14:paraId="4E91E006" w14:textId="7B59E5F7" w:rsidR="00C15C65" w:rsidRPr="002029AF" w:rsidRDefault="00C15C65" w:rsidP="00C40F5D">
            <w:pPr>
              <w:pStyle w:val="ARtabletext"/>
            </w:pPr>
            <w:r w:rsidRPr="002029AF">
              <w:t>per</w:t>
            </w:r>
            <w:r w:rsidR="000A5329" w:rsidRPr="002029AF">
              <w:t xml:space="preserve"> </w:t>
            </w:r>
            <w:r w:rsidRPr="002029AF">
              <w:t>cent</w:t>
            </w:r>
          </w:p>
        </w:tc>
        <w:tc>
          <w:tcPr>
            <w:tcW w:w="1020" w:type="dxa"/>
            <w:shd w:val="clear" w:color="auto" w:fill="auto"/>
            <w:hideMark/>
          </w:tcPr>
          <w:p w14:paraId="4D4C1BF9" w14:textId="77777777" w:rsidR="00C15C65" w:rsidRPr="002029AF" w:rsidRDefault="00C15C65" w:rsidP="0014376C">
            <w:pPr>
              <w:pStyle w:val="ARtabletextright"/>
            </w:pPr>
            <w:r w:rsidRPr="002029AF">
              <w:t>95</w:t>
            </w:r>
          </w:p>
        </w:tc>
        <w:tc>
          <w:tcPr>
            <w:tcW w:w="1020" w:type="dxa"/>
            <w:shd w:val="clear" w:color="auto" w:fill="auto"/>
            <w:hideMark/>
          </w:tcPr>
          <w:p w14:paraId="7BD9F878" w14:textId="77777777" w:rsidR="00C15C65" w:rsidRPr="002029AF" w:rsidRDefault="00C15C65" w:rsidP="0014376C">
            <w:pPr>
              <w:pStyle w:val="ARtabletextright"/>
            </w:pPr>
            <w:r w:rsidRPr="002029AF">
              <w:t>99.8</w:t>
            </w:r>
          </w:p>
        </w:tc>
        <w:tc>
          <w:tcPr>
            <w:tcW w:w="1023" w:type="dxa"/>
            <w:shd w:val="clear" w:color="auto" w:fill="auto"/>
          </w:tcPr>
          <w:p w14:paraId="741E0BB3" w14:textId="77777777" w:rsidR="00C15C65" w:rsidRPr="002029AF" w:rsidRDefault="00C15C65" w:rsidP="0014376C">
            <w:pPr>
              <w:pStyle w:val="ARtabletextright"/>
            </w:pPr>
            <w:r w:rsidRPr="002029AF">
              <w:t>5.1</w:t>
            </w:r>
          </w:p>
        </w:tc>
        <w:tc>
          <w:tcPr>
            <w:tcW w:w="797" w:type="dxa"/>
            <w:shd w:val="clear" w:color="auto" w:fill="auto"/>
            <w:hideMark/>
          </w:tcPr>
          <w:p w14:paraId="3FB3D8D3"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2C116AA3" w14:textId="77777777" w:rsidTr="005B58F0">
        <w:trPr>
          <w:gridAfter w:val="1"/>
          <w:wAfter w:w="7" w:type="dxa"/>
          <w:cantSplit/>
        </w:trPr>
        <w:tc>
          <w:tcPr>
            <w:tcW w:w="9632" w:type="dxa"/>
            <w:gridSpan w:val="6"/>
            <w:tcBorders>
              <w:bottom w:val="single" w:sz="4" w:space="0" w:color="BFBFBF"/>
            </w:tcBorders>
            <w:shd w:val="clear" w:color="auto" w:fill="auto"/>
            <w:noWrap/>
            <w:hideMark/>
          </w:tcPr>
          <w:p w14:paraId="05767273" w14:textId="4DC0B3E3" w:rsidR="00C15C65" w:rsidRPr="002029AF" w:rsidRDefault="00C15C65" w:rsidP="002C5190">
            <w:pPr>
              <w:pStyle w:val="ARtablenoteindent"/>
            </w:pPr>
            <w:r w:rsidRPr="002029AF">
              <w:t>The</w:t>
            </w:r>
            <w:r w:rsidR="000A5329" w:rsidRPr="002029AF">
              <w:t xml:space="preserve"> </w:t>
            </w:r>
            <w:r w:rsidRPr="002029AF">
              <w:t>result</w:t>
            </w:r>
            <w:r w:rsidR="000A5329" w:rsidRPr="002029AF">
              <w:t xml:space="preserve"> </w:t>
            </w:r>
            <w:r w:rsidRPr="002029AF">
              <w:t>is</w:t>
            </w:r>
            <w:r w:rsidR="000A5329" w:rsidRPr="002029AF">
              <w:t xml:space="preserve"> </w:t>
            </w:r>
            <w:r w:rsidRPr="002029AF">
              <w:t>higher</w:t>
            </w:r>
            <w:r w:rsidR="000A5329" w:rsidRPr="002029AF">
              <w:t xml:space="preserve"> </w:t>
            </w:r>
            <w:r w:rsidRPr="002029AF">
              <w:t>than</w:t>
            </w:r>
            <w:r w:rsidR="000A5329" w:rsidRPr="002029AF">
              <w:t xml:space="preserve"> </w:t>
            </w:r>
            <w:r w:rsidRPr="002029AF">
              <w:t>target,</w:t>
            </w:r>
            <w:r w:rsidR="000A5329" w:rsidRPr="002029AF">
              <w:t xml:space="preserve"> </w:t>
            </w:r>
            <w:r w:rsidRPr="002029AF">
              <w:t>which</w:t>
            </w:r>
            <w:r w:rsidR="000A5329" w:rsidRPr="002029AF">
              <w:t xml:space="preserve"> </w:t>
            </w:r>
            <w:r w:rsidRPr="002029AF">
              <w:t>is</w:t>
            </w:r>
            <w:r w:rsidR="000A5329" w:rsidRPr="002029AF">
              <w:t xml:space="preserve"> </w:t>
            </w:r>
            <w:r w:rsidRPr="002029AF">
              <w:t>a</w:t>
            </w:r>
            <w:r w:rsidR="000A5329" w:rsidRPr="002029AF">
              <w:t xml:space="preserve"> </w:t>
            </w:r>
            <w:r w:rsidRPr="002029AF">
              <w:t>positive</w:t>
            </w:r>
            <w:r w:rsidR="000A5329" w:rsidRPr="002029AF">
              <w:t xml:space="preserve"> </w:t>
            </w:r>
            <w:r w:rsidRPr="002029AF">
              <w:t>result.</w:t>
            </w:r>
          </w:p>
        </w:tc>
      </w:tr>
      <w:tr w:rsidR="00C15C65" w:rsidRPr="002029AF" w14:paraId="61A204A3" w14:textId="77777777" w:rsidTr="005B58F0">
        <w:trPr>
          <w:gridAfter w:val="1"/>
          <w:wAfter w:w="7" w:type="dxa"/>
          <w:cantSplit/>
        </w:trPr>
        <w:tc>
          <w:tcPr>
            <w:tcW w:w="4753" w:type="dxa"/>
            <w:shd w:val="clear" w:color="auto" w:fill="auto"/>
            <w:hideMark/>
          </w:tcPr>
          <w:p w14:paraId="3334C648" w14:textId="6621CC6D" w:rsidR="00C15C65" w:rsidRPr="002029AF" w:rsidRDefault="00C15C65" w:rsidP="00C40F5D">
            <w:pPr>
              <w:pStyle w:val="ARtabletext"/>
            </w:pPr>
            <w:r w:rsidRPr="002029AF">
              <w:t>Proportion</w:t>
            </w:r>
            <w:r w:rsidR="000A5329" w:rsidRPr="002029AF">
              <w:t xml:space="preserve"> </w:t>
            </w:r>
            <w:r w:rsidRPr="002029AF">
              <w:t>of</w:t>
            </w:r>
            <w:r w:rsidR="000A5329" w:rsidRPr="002029AF">
              <w:t xml:space="preserve"> </w:t>
            </w:r>
            <w:r w:rsidRPr="002029AF">
              <w:t>adult</w:t>
            </w:r>
            <w:r w:rsidR="000A5329" w:rsidRPr="002029AF">
              <w:t xml:space="preserve"> </w:t>
            </w:r>
            <w:r w:rsidRPr="002029AF">
              <w:t>patients</w:t>
            </w:r>
            <w:r w:rsidR="000A5329" w:rsidRPr="002029AF">
              <w:t xml:space="preserve"> </w:t>
            </w:r>
            <w:r w:rsidRPr="002029AF">
              <w:t>suspected</w:t>
            </w:r>
            <w:r w:rsidR="000A5329" w:rsidRPr="002029AF">
              <w:t xml:space="preserve"> </w:t>
            </w:r>
            <w:r w:rsidRPr="002029AF">
              <w:t>of</w:t>
            </w:r>
            <w:r w:rsidR="000A5329" w:rsidRPr="002029AF">
              <w:t xml:space="preserve"> </w:t>
            </w:r>
            <w:r w:rsidRPr="002029AF">
              <w:t>having</w:t>
            </w:r>
            <w:r w:rsidR="000A5329" w:rsidRPr="002029AF">
              <w:t xml:space="preserve"> </w:t>
            </w:r>
            <w:r w:rsidRPr="002029AF">
              <w:t>a</w:t>
            </w:r>
            <w:r w:rsidR="000A5329" w:rsidRPr="002029AF">
              <w:t xml:space="preserve"> </w:t>
            </w:r>
            <w:r w:rsidRPr="002029AF">
              <w:t>stroke</w:t>
            </w:r>
            <w:r w:rsidR="000A5329" w:rsidRPr="002029AF">
              <w:t xml:space="preserve"> </w:t>
            </w:r>
            <w:r w:rsidRPr="002029AF">
              <w:t>who</w:t>
            </w:r>
            <w:r w:rsidR="000A5329" w:rsidRPr="002029AF">
              <w:t xml:space="preserve"> </w:t>
            </w:r>
            <w:r w:rsidRPr="002029AF">
              <w:t>were</w:t>
            </w:r>
            <w:r w:rsidR="000A5329" w:rsidRPr="002029AF">
              <w:t xml:space="preserve"> </w:t>
            </w:r>
            <w:r w:rsidRPr="002029AF">
              <w:t>transported</w:t>
            </w:r>
            <w:r w:rsidR="000A5329" w:rsidRPr="002029AF">
              <w:t xml:space="preserve"> </w:t>
            </w:r>
            <w:r w:rsidRPr="002029AF">
              <w:t>to</w:t>
            </w:r>
            <w:r w:rsidR="000A5329" w:rsidRPr="002029AF">
              <w:t xml:space="preserve"> </w:t>
            </w:r>
            <w:r w:rsidRPr="002029AF">
              <w:t>a</w:t>
            </w:r>
            <w:r w:rsidR="000A5329" w:rsidRPr="002029AF">
              <w:t xml:space="preserve"> </w:t>
            </w:r>
            <w:r w:rsidRPr="002029AF">
              <w:t>stroke</w:t>
            </w:r>
            <w:r w:rsidR="000A5329" w:rsidRPr="002029AF">
              <w:t xml:space="preserve"> </w:t>
            </w:r>
            <w:r w:rsidRPr="002029AF">
              <w:t>unit</w:t>
            </w:r>
            <w:r w:rsidR="000A5329" w:rsidRPr="002029AF">
              <w:t xml:space="preserve"> </w:t>
            </w:r>
            <w:r w:rsidRPr="002029AF">
              <w:t>with</w:t>
            </w:r>
            <w:r w:rsidR="000A5329" w:rsidRPr="002029AF">
              <w:t xml:space="preserve"> </w:t>
            </w:r>
            <w:r w:rsidRPr="002029AF">
              <w:t>thrombolysis</w:t>
            </w:r>
            <w:r w:rsidR="000A5329" w:rsidRPr="002029AF">
              <w:t xml:space="preserve"> </w:t>
            </w:r>
            <w:r w:rsidRPr="002029AF">
              <w:t>facilities</w:t>
            </w:r>
            <w:r w:rsidR="000A5329" w:rsidRPr="002029AF">
              <w:t xml:space="preserve"> </w:t>
            </w:r>
            <w:r w:rsidRPr="002029AF">
              <w:t>within</w:t>
            </w:r>
            <w:r w:rsidR="000A5329" w:rsidRPr="002029AF">
              <w:t xml:space="preserve"> </w:t>
            </w:r>
            <w:r w:rsidRPr="002029AF">
              <w:t>60</w:t>
            </w:r>
            <w:r w:rsidR="000A5329" w:rsidRPr="002029AF">
              <w:t xml:space="preserve"> </w:t>
            </w:r>
            <w:r w:rsidRPr="002029AF">
              <w:t>minutes</w:t>
            </w:r>
          </w:p>
        </w:tc>
        <w:tc>
          <w:tcPr>
            <w:tcW w:w="1019" w:type="dxa"/>
            <w:shd w:val="clear" w:color="auto" w:fill="auto"/>
            <w:hideMark/>
          </w:tcPr>
          <w:p w14:paraId="0AA7948C" w14:textId="269F6245" w:rsidR="00C15C65" w:rsidRPr="002029AF" w:rsidRDefault="00C15C65" w:rsidP="00C40F5D">
            <w:pPr>
              <w:pStyle w:val="ARtabletext"/>
            </w:pPr>
            <w:r w:rsidRPr="002029AF">
              <w:t>per</w:t>
            </w:r>
            <w:r w:rsidR="000A5329" w:rsidRPr="002029AF">
              <w:t xml:space="preserve"> </w:t>
            </w:r>
            <w:r w:rsidRPr="002029AF">
              <w:t>cent</w:t>
            </w:r>
          </w:p>
        </w:tc>
        <w:tc>
          <w:tcPr>
            <w:tcW w:w="1020" w:type="dxa"/>
            <w:shd w:val="clear" w:color="auto" w:fill="auto"/>
            <w:hideMark/>
          </w:tcPr>
          <w:p w14:paraId="59FA70E9" w14:textId="77777777" w:rsidR="00C15C65" w:rsidRPr="002029AF" w:rsidRDefault="00C15C65" w:rsidP="0014376C">
            <w:pPr>
              <w:pStyle w:val="ARtabletextright"/>
            </w:pPr>
            <w:r w:rsidRPr="002029AF">
              <w:t>90</w:t>
            </w:r>
          </w:p>
        </w:tc>
        <w:tc>
          <w:tcPr>
            <w:tcW w:w="1020" w:type="dxa"/>
            <w:shd w:val="clear" w:color="auto" w:fill="auto"/>
            <w:hideMark/>
          </w:tcPr>
          <w:p w14:paraId="77CA815E" w14:textId="77777777" w:rsidR="00C15C65" w:rsidRPr="002029AF" w:rsidRDefault="00C15C65" w:rsidP="0014376C">
            <w:pPr>
              <w:pStyle w:val="ARtabletextright"/>
            </w:pPr>
            <w:r w:rsidRPr="002029AF">
              <w:t>97.9</w:t>
            </w:r>
          </w:p>
        </w:tc>
        <w:tc>
          <w:tcPr>
            <w:tcW w:w="1023" w:type="dxa"/>
            <w:shd w:val="clear" w:color="auto" w:fill="auto"/>
          </w:tcPr>
          <w:p w14:paraId="2ED1F47A" w14:textId="77777777" w:rsidR="00C15C65" w:rsidRPr="002029AF" w:rsidRDefault="00C15C65" w:rsidP="0014376C">
            <w:pPr>
              <w:pStyle w:val="ARtabletextright"/>
            </w:pPr>
            <w:r w:rsidRPr="002029AF">
              <w:t>8.7</w:t>
            </w:r>
          </w:p>
        </w:tc>
        <w:tc>
          <w:tcPr>
            <w:tcW w:w="797" w:type="dxa"/>
            <w:shd w:val="clear" w:color="auto" w:fill="auto"/>
            <w:hideMark/>
          </w:tcPr>
          <w:p w14:paraId="479CB394"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44EA701D" w14:textId="77777777" w:rsidTr="005B58F0">
        <w:trPr>
          <w:gridAfter w:val="1"/>
          <w:wAfter w:w="7" w:type="dxa"/>
          <w:cantSplit/>
        </w:trPr>
        <w:tc>
          <w:tcPr>
            <w:tcW w:w="9632" w:type="dxa"/>
            <w:gridSpan w:val="6"/>
            <w:tcBorders>
              <w:bottom w:val="single" w:sz="4" w:space="0" w:color="BFBFBF"/>
            </w:tcBorders>
            <w:shd w:val="clear" w:color="auto" w:fill="auto"/>
            <w:noWrap/>
            <w:hideMark/>
          </w:tcPr>
          <w:p w14:paraId="1F98D32F" w14:textId="4500F43D" w:rsidR="00C15C65" w:rsidRPr="002029AF" w:rsidRDefault="00C15C65" w:rsidP="002C5190">
            <w:pPr>
              <w:pStyle w:val="ARtablenoteindent"/>
            </w:pPr>
            <w:r w:rsidRPr="002029AF">
              <w:t>The</w:t>
            </w:r>
            <w:r w:rsidR="000A5329" w:rsidRPr="002029AF">
              <w:t xml:space="preserve"> </w:t>
            </w:r>
            <w:r w:rsidRPr="002029AF">
              <w:t>result</w:t>
            </w:r>
            <w:r w:rsidR="000A5329" w:rsidRPr="002029AF">
              <w:t xml:space="preserve"> </w:t>
            </w:r>
            <w:r w:rsidRPr="002029AF">
              <w:t>is</w:t>
            </w:r>
            <w:r w:rsidR="000A5329" w:rsidRPr="002029AF">
              <w:t xml:space="preserve"> </w:t>
            </w:r>
            <w:r w:rsidRPr="002029AF">
              <w:t>higher</w:t>
            </w:r>
            <w:r w:rsidR="000A5329" w:rsidRPr="002029AF">
              <w:t xml:space="preserve"> </w:t>
            </w:r>
            <w:r w:rsidRPr="002029AF">
              <w:t>than</w:t>
            </w:r>
            <w:r w:rsidR="000A5329" w:rsidRPr="002029AF">
              <w:t xml:space="preserve"> </w:t>
            </w:r>
            <w:r w:rsidRPr="002029AF">
              <w:t>target,</w:t>
            </w:r>
            <w:r w:rsidR="000A5329" w:rsidRPr="002029AF">
              <w:t xml:space="preserve"> </w:t>
            </w:r>
            <w:r w:rsidRPr="002029AF">
              <w:t>which</w:t>
            </w:r>
            <w:r w:rsidR="000A5329" w:rsidRPr="002029AF">
              <w:t xml:space="preserve"> </w:t>
            </w:r>
            <w:r w:rsidRPr="002029AF">
              <w:t>is</w:t>
            </w:r>
            <w:r w:rsidR="000A5329" w:rsidRPr="002029AF">
              <w:t xml:space="preserve"> </w:t>
            </w:r>
            <w:r w:rsidRPr="002029AF">
              <w:t>a</w:t>
            </w:r>
            <w:r w:rsidR="000A5329" w:rsidRPr="002029AF">
              <w:t xml:space="preserve"> </w:t>
            </w:r>
            <w:r w:rsidRPr="002029AF">
              <w:t>positive</w:t>
            </w:r>
            <w:r w:rsidR="000A5329" w:rsidRPr="002029AF">
              <w:t xml:space="preserve"> </w:t>
            </w:r>
            <w:r w:rsidRPr="002029AF">
              <w:t>result.</w:t>
            </w:r>
          </w:p>
        </w:tc>
      </w:tr>
      <w:tr w:rsidR="00C15C65" w:rsidRPr="002029AF" w14:paraId="7371C5A5" w14:textId="77777777" w:rsidTr="005B58F0">
        <w:trPr>
          <w:gridAfter w:val="1"/>
          <w:wAfter w:w="7" w:type="dxa"/>
          <w:cantSplit/>
        </w:trPr>
        <w:tc>
          <w:tcPr>
            <w:tcW w:w="4753" w:type="dxa"/>
            <w:shd w:val="clear" w:color="auto" w:fill="auto"/>
            <w:hideMark/>
          </w:tcPr>
          <w:p w14:paraId="70DBF1A8" w14:textId="7EAA7A4A" w:rsidR="00C15C65" w:rsidRPr="002029AF" w:rsidRDefault="00C15C65" w:rsidP="00C40F5D">
            <w:pPr>
              <w:pStyle w:val="ARtabletext"/>
            </w:pPr>
            <w:r w:rsidRPr="002029AF">
              <w:t>Proportion</w:t>
            </w:r>
            <w:r w:rsidR="000A5329" w:rsidRPr="002029AF">
              <w:t xml:space="preserve"> </w:t>
            </w:r>
            <w:r w:rsidRPr="002029AF">
              <w:t>of</w:t>
            </w:r>
            <w:r w:rsidR="000A5329" w:rsidRPr="002029AF">
              <w:t xml:space="preserve"> </w:t>
            </w:r>
            <w:r w:rsidRPr="002029AF">
              <w:t>adult</w:t>
            </w:r>
            <w:r w:rsidR="000A5329" w:rsidRPr="002029AF">
              <w:t xml:space="preserve"> </w:t>
            </w:r>
            <w:r w:rsidRPr="002029AF">
              <w:t>VF/VT</w:t>
            </w:r>
            <w:r w:rsidR="000A5329" w:rsidRPr="002029AF">
              <w:t xml:space="preserve"> </w:t>
            </w:r>
            <w:r w:rsidRPr="002029AF">
              <w:t>cardiac</w:t>
            </w:r>
            <w:r w:rsidR="000A5329" w:rsidRPr="002029AF">
              <w:t xml:space="preserve"> </w:t>
            </w:r>
            <w:r w:rsidRPr="002029AF">
              <w:t>arrest</w:t>
            </w:r>
            <w:r w:rsidR="000A5329" w:rsidRPr="002029AF">
              <w:t xml:space="preserve"> </w:t>
            </w:r>
            <w:r w:rsidRPr="002029AF">
              <w:t>patients</w:t>
            </w:r>
            <w:r w:rsidR="000A5329" w:rsidRPr="002029AF">
              <w:t xml:space="preserve"> </w:t>
            </w:r>
            <w:r w:rsidRPr="002029AF">
              <w:t>with</w:t>
            </w:r>
            <w:r w:rsidR="000A5329" w:rsidRPr="002029AF">
              <w:t xml:space="preserve"> </w:t>
            </w:r>
            <w:r w:rsidRPr="002029AF">
              <w:t>vital</w:t>
            </w:r>
            <w:r w:rsidR="000A5329" w:rsidRPr="002029AF">
              <w:t xml:space="preserve"> </w:t>
            </w:r>
            <w:r w:rsidRPr="002029AF">
              <w:t>signs</w:t>
            </w:r>
            <w:r w:rsidR="000A5329" w:rsidRPr="002029AF">
              <w:t xml:space="preserve"> </w:t>
            </w:r>
            <w:r w:rsidRPr="002029AF">
              <w:t>at</w:t>
            </w:r>
            <w:r w:rsidR="000A5329" w:rsidRPr="002029AF">
              <w:t xml:space="preserve"> </w:t>
            </w:r>
            <w:r w:rsidRPr="002029AF">
              <w:t>hospital</w:t>
            </w:r>
          </w:p>
        </w:tc>
        <w:tc>
          <w:tcPr>
            <w:tcW w:w="1019" w:type="dxa"/>
            <w:shd w:val="clear" w:color="auto" w:fill="auto"/>
            <w:hideMark/>
          </w:tcPr>
          <w:p w14:paraId="40D2B42A" w14:textId="5E3CEAAF" w:rsidR="00C15C65" w:rsidRPr="002029AF" w:rsidRDefault="00C15C65" w:rsidP="00C40F5D">
            <w:pPr>
              <w:pStyle w:val="ARtabletext"/>
            </w:pPr>
            <w:r w:rsidRPr="002029AF">
              <w:t>per</w:t>
            </w:r>
            <w:r w:rsidR="000A5329" w:rsidRPr="002029AF">
              <w:t xml:space="preserve"> </w:t>
            </w:r>
            <w:r w:rsidRPr="002029AF">
              <w:t>cent</w:t>
            </w:r>
          </w:p>
        </w:tc>
        <w:tc>
          <w:tcPr>
            <w:tcW w:w="1020" w:type="dxa"/>
            <w:shd w:val="clear" w:color="auto" w:fill="auto"/>
            <w:hideMark/>
          </w:tcPr>
          <w:p w14:paraId="6E568C17" w14:textId="77777777" w:rsidR="00C15C65" w:rsidRPr="002029AF" w:rsidRDefault="00C15C65" w:rsidP="0014376C">
            <w:pPr>
              <w:pStyle w:val="ARtabletextright"/>
            </w:pPr>
            <w:r w:rsidRPr="002029AF">
              <w:t>50</w:t>
            </w:r>
          </w:p>
        </w:tc>
        <w:tc>
          <w:tcPr>
            <w:tcW w:w="1020" w:type="dxa"/>
            <w:shd w:val="clear" w:color="auto" w:fill="auto"/>
            <w:hideMark/>
          </w:tcPr>
          <w:p w14:paraId="09495096" w14:textId="77777777" w:rsidR="00C15C65" w:rsidRPr="002029AF" w:rsidRDefault="00C15C65" w:rsidP="0014376C">
            <w:pPr>
              <w:pStyle w:val="ARtabletextright"/>
            </w:pPr>
            <w:r w:rsidRPr="002029AF">
              <w:t>55.2</w:t>
            </w:r>
          </w:p>
        </w:tc>
        <w:tc>
          <w:tcPr>
            <w:tcW w:w="1023" w:type="dxa"/>
            <w:shd w:val="clear" w:color="auto" w:fill="auto"/>
          </w:tcPr>
          <w:p w14:paraId="5CA53247" w14:textId="77777777" w:rsidR="00C15C65" w:rsidRPr="002029AF" w:rsidRDefault="00C15C65" w:rsidP="0014376C">
            <w:pPr>
              <w:pStyle w:val="ARtabletextright"/>
            </w:pPr>
            <w:r w:rsidRPr="002029AF">
              <w:t>10.4</w:t>
            </w:r>
          </w:p>
        </w:tc>
        <w:tc>
          <w:tcPr>
            <w:tcW w:w="797" w:type="dxa"/>
            <w:shd w:val="clear" w:color="auto" w:fill="auto"/>
            <w:hideMark/>
          </w:tcPr>
          <w:p w14:paraId="4886B8F1"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3027709B" w14:textId="77777777" w:rsidTr="005B58F0">
        <w:trPr>
          <w:gridAfter w:val="1"/>
          <w:wAfter w:w="7" w:type="dxa"/>
          <w:cantSplit/>
        </w:trPr>
        <w:tc>
          <w:tcPr>
            <w:tcW w:w="9632" w:type="dxa"/>
            <w:gridSpan w:val="6"/>
            <w:tcBorders>
              <w:bottom w:val="single" w:sz="4" w:space="0" w:color="BFBFBF"/>
            </w:tcBorders>
            <w:shd w:val="clear" w:color="auto" w:fill="auto"/>
            <w:noWrap/>
            <w:hideMark/>
          </w:tcPr>
          <w:p w14:paraId="6EB851CF" w14:textId="3809F1B0" w:rsidR="00C15C65" w:rsidRPr="002029AF" w:rsidRDefault="00C15C65" w:rsidP="002C5190">
            <w:pPr>
              <w:pStyle w:val="ARtablenoteindent"/>
            </w:pPr>
            <w:r w:rsidRPr="002029AF">
              <w:t>The</w:t>
            </w:r>
            <w:r w:rsidR="000A5329" w:rsidRPr="002029AF">
              <w:t xml:space="preserve"> </w:t>
            </w:r>
            <w:r w:rsidRPr="002029AF">
              <w:t>result</w:t>
            </w:r>
            <w:r w:rsidR="000A5329" w:rsidRPr="002029AF">
              <w:t xml:space="preserve"> </w:t>
            </w:r>
            <w:r w:rsidRPr="002029AF">
              <w:t>is</w:t>
            </w:r>
            <w:r w:rsidR="000A5329" w:rsidRPr="002029AF">
              <w:t xml:space="preserve"> </w:t>
            </w:r>
            <w:r w:rsidRPr="002029AF">
              <w:t>higher</w:t>
            </w:r>
            <w:r w:rsidR="000A5329" w:rsidRPr="002029AF">
              <w:t xml:space="preserve"> </w:t>
            </w:r>
            <w:r w:rsidRPr="002029AF">
              <w:t>than</w:t>
            </w:r>
            <w:r w:rsidR="000A5329" w:rsidRPr="002029AF">
              <w:t xml:space="preserve"> </w:t>
            </w:r>
            <w:r w:rsidRPr="002029AF">
              <w:t>target,</w:t>
            </w:r>
            <w:r w:rsidR="000A5329" w:rsidRPr="002029AF">
              <w:t xml:space="preserve"> </w:t>
            </w:r>
            <w:r w:rsidRPr="002029AF">
              <w:t>which</w:t>
            </w:r>
            <w:r w:rsidR="000A5329" w:rsidRPr="002029AF">
              <w:t xml:space="preserve"> </w:t>
            </w:r>
            <w:r w:rsidRPr="002029AF">
              <w:t>is</w:t>
            </w:r>
            <w:r w:rsidR="000A5329" w:rsidRPr="002029AF">
              <w:t xml:space="preserve"> </w:t>
            </w:r>
            <w:r w:rsidRPr="002029AF">
              <w:t>a</w:t>
            </w:r>
            <w:r w:rsidR="000A5329" w:rsidRPr="002029AF">
              <w:t xml:space="preserve"> </w:t>
            </w:r>
            <w:r w:rsidRPr="002029AF">
              <w:t>positive</w:t>
            </w:r>
            <w:r w:rsidR="000A5329" w:rsidRPr="002029AF">
              <w:t xml:space="preserve"> </w:t>
            </w:r>
            <w:r w:rsidRPr="002029AF">
              <w:t>result.</w:t>
            </w:r>
          </w:p>
        </w:tc>
      </w:tr>
      <w:tr w:rsidR="00C15C65" w:rsidRPr="002029AF" w14:paraId="2AD89198" w14:textId="77777777" w:rsidTr="005B58F0">
        <w:trPr>
          <w:gridAfter w:val="1"/>
          <w:wAfter w:w="7" w:type="dxa"/>
          <w:cantSplit/>
        </w:trPr>
        <w:tc>
          <w:tcPr>
            <w:tcW w:w="4753" w:type="dxa"/>
            <w:tcBorders>
              <w:top w:val="single" w:sz="4" w:space="0" w:color="BFBFBF"/>
              <w:bottom w:val="single" w:sz="4" w:space="0" w:color="BFBFBF"/>
            </w:tcBorders>
            <w:shd w:val="clear" w:color="auto" w:fill="auto"/>
            <w:hideMark/>
          </w:tcPr>
          <w:p w14:paraId="7417AE44" w14:textId="5AEE4AC5" w:rsidR="00C15C65" w:rsidRPr="002029AF" w:rsidRDefault="00C15C65" w:rsidP="00C40F5D">
            <w:pPr>
              <w:pStyle w:val="ARtabletext"/>
            </w:pPr>
            <w:r w:rsidRPr="002029AF">
              <w:t>Proportion</w:t>
            </w:r>
            <w:r w:rsidR="000A5329" w:rsidRPr="002029AF">
              <w:t xml:space="preserve"> </w:t>
            </w:r>
            <w:r w:rsidRPr="002029AF">
              <w:t>of</w:t>
            </w:r>
            <w:r w:rsidR="000A5329" w:rsidRPr="002029AF">
              <w:t xml:space="preserve"> </w:t>
            </w:r>
            <w:r w:rsidRPr="002029AF">
              <w:t>patients</w:t>
            </w:r>
            <w:r w:rsidR="000A5329" w:rsidRPr="002029AF">
              <w:t xml:space="preserve"> </w:t>
            </w:r>
            <w:r w:rsidRPr="002029AF">
              <w:t>experiencing</w:t>
            </w:r>
            <w:r w:rsidR="000A5329" w:rsidRPr="002029AF">
              <w:t xml:space="preserve"> </w:t>
            </w:r>
            <w:r w:rsidRPr="002029AF">
              <w:t>severe</w:t>
            </w:r>
            <w:r w:rsidR="000A5329" w:rsidRPr="002029AF">
              <w:t xml:space="preserve"> </w:t>
            </w:r>
            <w:r w:rsidRPr="002029AF">
              <w:t>cardiac</w:t>
            </w:r>
            <w:r w:rsidR="000A5329" w:rsidRPr="002029AF">
              <w:t xml:space="preserve"> </w:t>
            </w:r>
            <w:r w:rsidRPr="002029AF">
              <w:t>or</w:t>
            </w:r>
            <w:r w:rsidR="000A5329" w:rsidRPr="002029AF">
              <w:t xml:space="preserve"> </w:t>
            </w:r>
            <w:r w:rsidRPr="002029AF">
              <w:t>traumatic</w:t>
            </w:r>
            <w:r w:rsidR="000A5329" w:rsidRPr="002029AF">
              <w:t xml:space="preserve"> </w:t>
            </w:r>
            <w:r w:rsidRPr="002029AF">
              <w:t>pain</w:t>
            </w:r>
            <w:r w:rsidR="000A5329" w:rsidRPr="002029AF">
              <w:t xml:space="preserve"> </w:t>
            </w:r>
            <w:r w:rsidRPr="002029AF">
              <w:t>whose</w:t>
            </w:r>
            <w:r w:rsidR="000A5329" w:rsidRPr="002029AF">
              <w:t xml:space="preserve"> </w:t>
            </w:r>
            <w:r w:rsidRPr="002029AF">
              <w:t>level</w:t>
            </w:r>
            <w:r w:rsidR="000A5329" w:rsidRPr="002029AF">
              <w:t xml:space="preserve"> </w:t>
            </w:r>
            <w:r w:rsidRPr="002029AF">
              <w:t>of</w:t>
            </w:r>
            <w:r w:rsidR="000A5329" w:rsidRPr="002029AF">
              <w:t xml:space="preserve"> </w:t>
            </w:r>
            <w:r w:rsidRPr="002029AF">
              <w:t>pain</w:t>
            </w:r>
            <w:r w:rsidR="000A5329" w:rsidRPr="002029AF">
              <w:t xml:space="preserve"> </w:t>
            </w:r>
            <w:r w:rsidRPr="002029AF">
              <w:t>is</w:t>
            </w:r>
            <w:r w:rsidR="000A5329" w:rsidRPr="002029AF">
              <w:t xml:space="preserve"> </w:t>
            </w:r>
            <w:r w:rsidRPr="002029AF">
              <w:t>reduced</w:t>
            </w:r>
            <w:r w:rsidR="000A5329" w:rsidRPr="002029AF">
              <w:t xml:space="preserve"> </w:t>
            </w:r>
            <w:r w:rsidRPr="002029AF">
              <w:t>significantly</w:t>
            </w:r>
          </w:p>
        </w:tc>
        <w:tc>
          <w:tcPr>
            <w:tcW w:w="1019" w:type="dxa"/>
            <w:tcBorders>
              <w:top w:val="single" w:sz="4" w:space="0" w:color="BFBFBF"/>
              <w:bottom w:val="single" w:sz="4" w:space="0" w:color="BFBFBF"/>
            </w:tcBorders>
            <w:shd w:val="clear" w:color="auto" w:fill="auto"/>
            <w:hideMark/>
          </w:tcPr>
          <w:p w14:paraId="4B855D3D" w14:textId="4F1AD900" w:rsidR="00C15C65" w:rsidRPr="002029AF" w:rsidRDefault="00C15C65" w:rsidP="00C40F5D">
            <w:pPr>
              <w:pStyle w:val="ARtabletext"/>
            </w:pPr>
            <w:r w:rsidRPr="002029AF">
              <w:t>per</w:t>
            </w:r>
            <w:r w:rsidR="000A5329" w:rsidRPr="002029AF">
              <w:t xml:space="preserve"> </w:t>
            </w:r>
            <w:r w:rsidRPr="002029AF">
              <w:t>cent</w:t>
            </w:r>
          </w:p>
        </w:tc>
        <w:tc>
          <w:tcPr>
            <w:tcW w:w="1020" w:type="dxa"/>
            <w:tcBorders>
              <w:top w:val="single" w:sz="4" w:space="0" w:color="BFBFBF"/>
              <w:bottom w:val="single" w:sz="4" w:space="0" w:color="BFBFBF"/>
            </w:tcBorders>
            <w:shd w:val="clear" w:color="auto" w:fill="auto"/>
            <w:hideMark/>
          </w:tcPr>
          <w:p w14:paraId="5656D4C9" w14:textId="77777777" w:rsidR="00C15C65" w:rsidRPr="002029AF" w:rsidRDefault="00C15C65" w:rsidP="00FD77AA">
            <w:pPr>
              <w:pStyle w:val="ARtabletextright"/>
            </w:pPr>
            <w:r w:rsidRPr="002029AF">
              <w:t>90</w:t>
            </w:r>
          </w:p>
        </w:tc>
        <w:tc>
          <w:tcPr>
            <w:tcW w:w="1020" w:type="dxa"/>
            <w:tcBorders>
              <w:top w:val="single" w:sz="4" w:space="0" w:color="BFBFBF"/>
              <w:bottom w:val="single" w:sz="4" w:space="0" w:color="BFBFBF"/>
            </w:tcBorders>
            <w:shd w:val="clear" w:color="auto" w:fill="auto"/>
            <w:hideMark/>
          </w:tcPr>
          <w:p w14:paraId="5C2E04E0" w14:textId="77777777" w:rsidR="00C15C65" w:rsidRPr="002029AF" w:rsidRDefault="00C15C65" w:rsidP="00FD77AA">
            <w:pPr>
              <w:pStyle w:val="ARtabletextright"/>
            </w:pPr>
            <w:r w:rsidRPr="002029AF">
              <w:t>91.8</w:t>
            </w:r>
          </w:p>
        </w:tc>
        <w:tc>
          <w:tcPr>
            <w:tcW w:w="1023" w:type="dxa"/>
            <w:tcBorders>
              <w:top w:val="single" w:sz="4" w:space="0" w:color="BFBFBF"/>
              <w:bottom w:val="single" w:sz="4" w:space="0" w:color="BFBFBF"/>
            </w:tcBorders>
            <w:shd w:val="clear" w:color="auto" w:fill="auto"/>
          </w:tcPr>
          <w:p w14:paraId="6C7DE7C1" w14:textId="77777777" w:rsidR="00C15C65" w:rsidRPr="002029AF" w:rsidRDefault="00C15C65" w:rsidP="00FD77AA">
            <w:pPr>
              <w:pStyle w:val="ARtabletextright"/>
            </w:pPr>
            <w:r w:rsidRPr="002029AF">
              <w:t>2.0</w:t>
            </w:r>
          </w:p>
        </w:tc>
        <w:tc>
          <w:tcPr>
            <w:tcW w:w="797" w:type="dxa"/>
            <w:tcBorders>
              <w:top w:val="single" w:sz="4" w:space="0" w:color="BFBFBF"/>
              <w:bottom w:val="single" w:sz="4" w:space="0" w:color="BFBFBF"/>
            </w:tcBorders>
            <w:shd w:val="clear" w:color="auto" w:fill="auto"/>
            <w:hideMark/>
          </w:tcPr>
          <w:p w14:paraId="3530C3E9"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1B9B08CE" w14:textId="77777777" w:rsidTr="005B58F0">
        <w:trPr>
          <w:gridAfter w:val="1"/>
          <w:wAfter w:w="7" w:type="dxa"/>
          <w:cantSplit/>
        </w:trPr>
        <w:tc>
          <w:tcPr>
            <w:tcW w:w="4753" w:type="dxa"/>
            <w:tcBorders>
              <w:top w:val="single" w:sz="4" w:space="0" w:color="BFBFBF"/>
            </w:tcBorders>
            <w:shd w:val="clear" w:color="auto" w:fill="auto"/>
            <w:hideMark/>
          </w:tcPr>
          <w:p w14:paraId="515646CA" w14:textId="75DFA6FA" w:rsidR="00C15C65" w:rsidRPr="002029AF" w:rsidRDefault="00C15C65" w:rsidP="00C40F5D">
            <w:pPr>
              <w:pStyle w:val="ARtabletext"/>
            </w:pPr>
            <w:r w:rsidRPr="002029AF">
              <w:t>Proportion</w:t>
            </w:r>
            <w:r w:rsidR="000A5329" w:rsidRPr="002029AF">
              <w:t xml:space="preserve"> </w:t>
            </w:r>
            <w:r w:rsidRPr="002029AF">
              <w:t>of</w:t>
            </w:r>
            <w:r w:rsidR="000A5329" w:rsidRPr="002029AF">
              <w:t xml:space="preserve"> </w:t>
            </w:r>
            <w:r w:rsidRPr="002029AF">
              <w:t>patients</w:t>
            </w:r>
            <w:r w:rsidR="000A5329" w:rsidRPr="002029AF">
              <w:t xml:space="preserve"> </w:t>
            </w:r>
            <w:r w:rsidRPr="002029AF">
              <w:t>very</w:t>
            </w:r>
            <w:r w:rsidR="000A5329" w:rsidRPr="002029AF">
              <w:t xml:space="preserve"> </w:t>
            </w:r>
            <w:r w:rsidRPr="002029AF">
              <w:t>satisfied</w:t>
            </w:r>
            <w:r w:rsidR="000A5329" w:rsidRPr="002029AF">
              <w:t xml:space="preserve"> </w:t>
            </w:r>
            <w:r w:rsidRPr="002029AF">
              <w:t>or</w:t>
            </w:r>
            <w:r w:rsidR="000A5329" w:rsidRPr="002029AF">
              <w:t xml:space="preserve"> </w:t>
            </w:r>
            <w:r w:rsidRPr="002029AF">
              <w:t>satisfied</w:t>
            </w:r>
            <w:r w:rsidR="000A5329" w:rsidRPr="002029AF">
              <w:t xml:space="preserve"> </w:t>
            </w:r>
            <w:r w:rsidRPr="002029AF">
              <w:t>with</w:t>
            </w:r>
            <w:r w:rsidR="000A5329" w:rsidRPr="002029AF">
              <w:t xml:space="preserve"> </w:t>
            </w:r>
            <w:r w:rsidRPr="002029AF">
              <w:t>overall</w:t>
            </w:r>
            <w:r w:rsidR="000A5329" w:rsidRPr="002029AF">
              <w:t xml:space="preserve"> </w:t>
            </w:r>
            <w:r w:rsidRPr="002029AF">
              <w:t>services</w:t>
            </w:r>
            <w:r w:rsidR="000A5329" w:rsidRPr="002029AF">
              <w:t xml:space="preserve"> </w:t>
            </w:r>
            <w:r w:rsidRPr="002029AF">
              <w:t>delivered</w:t>
            </w:r>
            <w:r w:rsidR="000A5329" w:rsidRPr="002029AF">
              <w:t xml:space="preserve"> </w:t>
            </w:r>
            <w:r w:rsidRPr="002029AF">
              <w:t>by</w:t>
            </w:r>
            <w:r w:rsidR="000A5329" w:rsidRPr="002029AF">
              <w:t xml:space="preserve"> </w:t>
            </w:r>
            <w:r w:rsidRPr="002029AF">
              <w:t>paramedics</w:t>
            </w:r>
          </w:p>
        </w:tc>
        <w:tc>
          <w:tcPr>
            <w:tcW w:w="1019" w:type="dxa"/>
            <w:tcBorders>
              <w:top w:val="single" w:sz="4" w:space="0" w:color="BFBFBF"/>
            </w:tcBorders>
            <w:shd w:val="clear" w:color="auto" w:fill="auto"/>
            <w:hideMark/>
          </w:tcPr>
          <w:p w14:paraId="75E693AA" w14:textId="7C2360B8" w:rsidR="00C15C65" w:rsidRPr="002029AF" w:rsidRDefault="00C15C65" w:rsidP="00C40F5D">
            <w:pPr>
              <w:pStyle w:val="ARtabletext"/>
            </w:pPr>
            <w:r w:rsidRPr="002029AF">
              <w:t>per</w:t>
            </w:r>
            <w:r w:rsidR="000A5329" w:rsidRPr="002029AF">
              <w:t xml:space="preserve"> </w:t>
            </w:r>
            <w:r w:rsidRPr="002029AF">
              <w:t>cent</w:t>
            </w:r>
          </w:p>
        </w:tc>
        <w:tc>
          <w:tcPr>
            <w:tcW w:w="1020" w:type="dxa"/>
            <w:tcBorders>
              <w:top w:val="single" w:sz="4" w:space="0" w:color="BFBFBF"/>
            </w:tcBorders>
            <w:shd w:val="clear" w:color="auto" w:fill="auto"/>
            <w:hideMark/>
          </w:tcPr>
          <w:p w14:paraId="29BBCA42" w14:textId="77777777" w:rsidR="00C15C65" w:rsidRPr="002029AF" w:rsidRDefault="00C15C65" w:rsidP="00FD77AA">
            <w:pPr>
              <w:pStyle w:val="ARtabletextright"/>
            </w:pPr>
            <w:r w:rsidRPr="002029AF">
              <w:t>95</w:t>
            </w:r>
          </w:p>
        </w:tc>
        <w:tc>
          <w:tcPr>
            <w:tcW w:w="1020" w:type="dxa"/>
            <w:tcBorders>
              <w:top w:val="single" w:sz="4" w:space="0" w:color="BFBFBF"/>
            </w:tcBorders>
            <w:shd w:val="clear" w:color="auto" w:fill="auto"/>
            <w:hideMark/>
          </w:tcPr>
          <w:p w14:paraId="244B163A" w14:textId="77777777" w:rsidR="00C15C65" w:rsidRPr="002029AF" w:rsidRDefault="00C15C65" w:rsidP="00FD77AA">
            <w:pPr>
              <w:pStyle w:val="ARtabletextright"/>
            </w:pPr>
            <w:r w:rsidRPr="002029AF">
              <w:t>97.6</w:t>
            </w:r>
          </w:p>
        </w:tc>
        <w:tc>
          <w:tcPr>
            <w:tcW w:w="1023" w:type="dxa"/>
            <w:tcBorders>
              <w:top w:val="single" w:sz="4" w:space="0" w:color="BFBFBF"/>
            </w:tcBorders>
            <w:shd w:val="clear" w:color="auto" w:fill="auto"/>
          </w:tcPr>
          <w:p w14:paraId="6FA07726" w14:textId="77777777" w:rsidR="00C15C65" w:rsidRPr="002029AF" w:rsidRDefault="00C15C65" w:rsidP="00FD77AA">
            <w:pPr>
              <w:pStyle w:val="ARtabletextright"/>
            </w:pPr>
            <w:r w:rsidRPr="002029AF">
              <w:t>2.7</w:t>
            </w:r>
          </w:p>
        </w:tc>
        <w:tc>
          <w:tcPr>
            <w:tcW w:w="797" w:type="dxa"/>
            <w:tcBorders>
              <w:top w:val="single" w:sz="4" w:space="0" w:color="BFBFBF"/>
            </w:tcBorders>
            <w:shd w:val="clear" w:color="auto" w:fill="auto"/>
            <w:hideMark/>
          </w:tcPr>
          <w:p w14:paraId="7A07E2F7"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0E7BBB3C" w14:textId="77777777" w:rsidTr="005B58F0">
        <w:trPr>
          <w:cantSplit/>
        </w:trPr>
        <w:tc>
          <w:tcPr>
            <w:tcW w:w="9639" w:type="dxa"/>
            <w:gridSpan w:val="7"/>
            <w:tcBorders>
              <w:top w:val="single" w:sz="4" w:space="0" w:color="auto"/>
              <w:left w:val="nil"/>
              <w:bottom w:val="nil"/>
              <w:right w:val="nil"/>
            </w:tcBorders>
            <w:hideMark/>
          </w:tcPr>
          <w:p w14:paraId="25AD900B" w14:textId="77777777" w:rsidR="00C15C65" w:rsidRPr="002029AF" w:rsidRDefault="00C15C65" w:rsidP="007666A5">
            <w:pPr>
              <w:pStyle w:val="ARtablegreybold"/>
            </w:pPr>
            <w:r w:rsidRPr="002029AF">
              <w:t>Timeliness</w:t>
            </w:r>
          </w:p>
        </w:tc>
      </w:tr>
      <w:tr w:rsidR="00C15C65" w:rsidRPr="002029AF" w14:paraId="4E64821B" w14:textId="77777777" w:rsidTr="005B58F0">
        <w:trPr>
          <w:gridAfter w:val="1"/>
          <w:wAfter w:w="7" w:type="dxa"/>
          <w:cantSplit/>
        </w:trPr>
        <w:tc>
          <w:tcPr>
            <w:tcW w:w="4753" w:type="dxa"/>
            <w:tcBorders>
              <w:bottom w:val="single" w:sz="4" w:space="0" w:color="BFBFBF"/>
            </w:tcBorders>
            <w:shd w:val="clear" w:color="auto" w:fill="auto"/>
            <w:hideMark/>
          </w:tcPr>
          <w:p w14:paraId="3BCA99FB" w14:textId="1588B3AD" w:rsidR="00C15C65" w:rsidRPr="002029AF" w:rsidRDefault="00C15C65" w:rsidP="00C40F5D">
            <w:pPr>
              <w:pStyle w:val="ARtabletext"/>
            </w:pPr>
            <w:r w:rsidRPr="002029AF">
              <w:t>Proportion</w:t>
            </w:r>
            <w:r w:rsidR="000A5329" w:rsidRPr="002029AF">
              <w:t xml:space="preserve"> </w:t>
            </w:r>
            <w:r w:rsidRPr="002029AF">
              <w:t>of</w:t>
            </w:r>
            <w:r w:rsidR="000A5329" w:rsidRPr="002029AF">
              <w:t xml:space="preserve"> </w:t>
            </w:r>
            <w:r w:rsidRPr="002029AF">
              <w:t>emergency</w:t>
            </w:r>
            <w:r w:rsidR="000A5329" w:rsidRPr="002029AF">
              <w:t xml:space="preserve"> </w:t>
            </w:r>
            <w:r w:rsidRPr="002029AF">
              <w:t>(Code</w:t>
            </w:r>
            <w:r w:rsidR="000A5329" w:rsidRPr="002029AF">
              <w:t xml:space="preserve"> </w:t>
            </w:r>
            <w:r w:rsidRPr="002029AF">
              <w:t>1)</w:t>
            </w:r>
            <w:r w:rsidR="000A5329" w:rsidRPr="002029AF">
              <w:t xml:space="preserve"> </w:t>
            </w:r>
            <w:r w:rsidRPr="002029AF">
              <w:t>incidents</w:t>
            </w:r>
            <w:r w:rsidR="000A5329" w:rsidRPr="002029AF">
              <w:t xml:space="preserve"> </w:t>
            </w:r>
            <w:r w:rsidRPr="002029AF">
              <w:t>responded</w:t>
            </w:r>
            <w:r w:rsidR="000A5329" w:rsidRPr="002029AF">
              <w:t xml:space="preserve"> </w:t>
            </w:r>
            <w:r w:rsidRPr="002029AF">
              <w:t>to</w:t>
            </w:r>
            <w:r w:rsidR="000A5329" w:rsidRPr="002029AF">
              <w:t xml:space="preserve"> </w:t>
            </w:r>
            <w:r w:rsidRPr="002029AF">
              <w:t>within</w:t>
            </w:r>
            <w:r w:rsidR="000A5329" w:rsidRPr="002029AF">
              <w:t xml:space="preserve"> </w:t>
            </w:r>
            <w:r w:rsidRPr="002029AF">
              <w:t>15</w:t>
            </w:r>
            <w:r w:rsidR="000A5329" w:rsidRPr="002029AF">
              <w:t xml:space="preserve"> </w:t>
            </w:r>
            <w:r w:rsidRPr="002029AF">
              <w:t>minutes</w:t>
            </w:r>
            <w:r w:rsidR="000A5329" w:rsidRPr="002029AF">
              <w:t xml:space="preserve"> </w:t>
            </w:r>
            <w:r w:rsidRPr="002029AF">
              <w:t>–</w:t>
            </w:r>
            <w:r w:rsidR="000A5329" w:rsidRPr="002029AF">
              <w:t xml:space="preserve"> </w:t>
            </w:r>
            <w:r w:rsidRPr="002029AF">
              <w:t>statewide</w:t>
            </w:r>
          </w:p>
        </w:tc>
        <w:tc>
          <w:tcPr>
            <w:tcW w:w="1019" w:type="dxa"/>
            <w:tcBorders>
              <w:bottom w:val="single" w:sz="4" w:space="0" w:color="BFBFBF"/>
            </w:tcBorders>
            <w:shd w:val="clear" w:color="auto" w:fill="auto"/>
            <w:hideMark/>
          </w:tcPr>
          <w:p w14:paraId="6681F9F6" w14:textId="190042ED" w:rsidR="00C15C65" w:rsidRPr="002029AF" w:rsidRDefault="00C15C65" w:rsidP="00C40F5D">
            <w:pPr>
              <w:pStyle w:val="ARtabletext"/>
            </w:pPr>
            <w:r w:rsidRPr="002029AF">
              <w:t>per</w:t>
            </w:r>
            <w:r w:rsidR="000A5329" w:rsidRPr="002029AF">
              <w:t xml:space="preserve"> </w:t>
            </w:r>
            <w:r w:rsidRPr="002029AF">
              <w:t>cent</w:t>
            </w:r>
          </w:p>
        </w:tc>
        <w:tc>
          <w:tcPr>
            <w:tcW w:w="1020" w:type="dxa"/>
            <w:tcBorders>
              <w:bottom w:val="single" w:sz="4" w:space="0" w:color="BFBFBF"/>
            </w:tcBorders>
            <w:shd w:val="clear" w:color="auto" w:fill="auto"/>
            <w:hideMark/>
          </w:tcPr>
          <w:p w14:paraId="235F5305" w14:textId="77777777" w:rsidR="00C15C65" w:rsidRPr="002029AF" w:rsidRDefault="00C15C65" w:rsidP="00FD77AA">
            <w:pPr>
              <w:pStyle w:val="ARtabletextright"/>
            </w:pPr>
            <w:r w:rsidRPr="002029AF">
              <w:t>85</w:t>
            </w:r>
          </w:p>
        </w:tc>
        <w:tc>
          <w:tcPr>
            <w:tcW w:w="1020" w:type="dxa"/>
            <w:tcBorders>
              <w:bottom w:val="single" w:sz="4" w:space="0" w:color="BFBFBF"/>
            </w:tcBorders>
            <w:shd w:val="clear" w:color="auto" w:fill="auto"/>
            <w:hideMark/>
          </w:tcPr>
          <w:p w14:paraId="1B00BBF0" w14:textId="77777777" w:rsidR="00C15C65" w:rsidRPr="002029AF" w:rsidRDefault="00C15C65" w:rsidP="00FD77AA">
            <w:pPr>
              <w:pStyle w:val="ARtabletextright"/>
            </w:pPr>
            <w:r w:rsidRPr="002029AF">
              <w:t>82.3</w:t>
            </w:r>
          </w:p>
        </w:tc>
        <w:tc>
          <w:tcPr>
            <w:tcW w:w="1023" w:type="dxa"/>
            <w:tcBorders>
              <w:bottom w:val="single" w:sz="4" w:space="0" w:color="BFBFBF"/>
            </w:tcBorders>
            <w:shd w:val="clear" w:color="auto" w:fill="auto"/>
          </w:tcPr>
          <w:p w14:paraId="0636A6DB" w14:textId="77777777" w:rsidR="00C15C65" w:rsidRPr="002029AF" w:rsidRDefault="00C15C65" w:rsidP="00FD77AA">
            <w:pPr>
              <w:pStyle w:val="ARtabletextright"/>
            </w:pPr>
            <w:r w:rsidRPr="002029AF">
              <w:t>-3.1</w:t>
            </w:r>
          </w:p>
        </w:tc>
        <w:tc>
          <w:tcPr>
            <w:tcW w:w="797" w:type="dxa"/>
            <w:tcBorders>
              <w:bottom w:val="single" w:sz="4" w:space="0" w:color="BFBFBF"/>
            </w:tcBorders>
            <w:shd w:val="clear" w:color="auto" w:fill="auto"/>
            <w:hideMark/>
          </w:tcPr>
          <w:p w14:paraId="79ABC9AA" w14:textId="3BDA6099" w:rsidR="00C15C65" w:rsidRPr="002029AF" w:rsidRDefault="003A6C3B" w:rsidP="000F6867">
            <w:pPr>
              <w:pStyle w:val="ARtableperformancesymbol"/>
              <w:rPr>
                <w:rFonts w:hint="eastAsia"/>
                <w:lang w:val="en-AU"/>
              </w:rPr>
            </w:pPr>
            <w:r w:rsidRPr="002029AF">
              <w:rPr>
                <w:lang w:val="en-AU"/>
              </w:rPr>
              <w:t>□</w:t>
            </w:r>
          </w:p>
        </w:tc>
      </w:tr>
      <w:tr w:rsidR="00C15C65" w:rsidRPr="002029AF" w14:paraId="3245B799" w14:textId="77777777" w:rsidTr="005B58F0">
        <w:trPr>
          <w:gridAfter w:val="1"/>
          <w:wAfter w:w="7" w:type="dxa"/>
          <w:cantSplit/>
        </w:trPr>
        <w:tc>
          <w:tcPr>
            <w:tcW w:w="4753" w:type="dxa"/>
            <w:tcBorders>
              <w:top w:val="single" w:sz="4" w:space="0" w:color="BFBFBF"/>
            </w:tcBorders>
            <w:shd w:val="clear" w:color="auto" w:fill="auto"/>
            <w:hideMark/>
          </w:tcPr>
          <w:p w14:paraId="00E02FB0" w14:textId="2B561FC5" w:rsidR="00C15C65" w:rsidRPr="002029AF" w:rsidRDefault="00C15C65" w:rsidP="00C40F5D">
            <w:pPr>
              <w:pStyle w:val="ARtabletext"/>
            </w:pPr>
            <w:r w:rsidRPr="002029AF">
              <w:lastRenderedPageBreak/>
              <w:t>Proportion</w:t>
            </w:r>
            <w:r w:rsidR="000A5329" w:rsidRPr="002029AF">
              <w:t xml:space="preserve"> </w:t>
            </w:r>
            <w:r w:rsidRPr="002029AF">
              <w:t>of</w:t>
            </w:r>
            <w:r w:rsidR="000A5329" w:rsidRPr="002029AF">
              <w:t xml:space="preserve"> </w:t>
            </w:r>
            <w:r w:rsidRPr="002029AF">
              <w:t>emergency</w:t>
            </w:r>
            <w:r w:rsidR="000A5329" w:rsidRPr="002029AF">
              <w:t xml:space="preserve"> </w:t>
            </w:r>
            <w:r w:rsidRPr="002029AF">
              <w:t>(Code</w:t>
            </w:r>
            <w:r w:rsidR="000A5329" w:rsidRPr="002029AF">
              <w:t xml:space="preserve"> </w:t>
            </w:r>
            <w:r w:rsidRPr="002029AF">
              <w:t>1)</w:t>
            </w:r>
            <w:r w:rsidR="000A5329" w:rsidRPr="002029AF">
              <w:t xml:space="preserve"> </w:t>
            </w:r>
            <w:r w:rsidRPr="002029AF">
              <w:t>incidents</w:t>
            </w:r>
            <w:r w:rsidR="000A5329" w:rsidRPr="002029AF">
              <w:t xml:space="preserve"> </w:t>
            </w:r>
            <w:r w:rsidRPr="002029AF">
              <w:t>responded</w:t>
            </w:r>
            <w:r w:rsidR="000A5329" w:rsidRPr="002029AF">
              <w:t xml:space="preserve"> </w:t>
            </w:r>
            <w:r w:rsidRPr="002029AF">
              <w:t>to</w:t>
            </w:r>
            <w:r w:rsidR="000A5329" w:rsidRPr="002029AF">
              <w:t xml:space="preserve"> </w:t>
            </w:r>
            <w:r w:rsidRPr="002029AF">
              <w:t>within</w:t>
            </w:r>
            <w:r w:rsidR="000A5329" w:rsidRPr="002029AF">
              <w:t xml:space="preserve"> </w:t>
            </w:r>
            <w:r w:rsidRPr="002029AF">
              <w:t>15</w:t>
            </w:r>
            <w:r w:rsidR="000A5329" w:rsidRPr="002029AF">
              <w:t xml:space="preserve"> </w:t>
            </w:r>
            <w:r w:rsidRPr="002029AF">
              <w:t>minutes</w:t>
            </w:r>
            <w:r w:rsidR="000A5329" w:rsidRPr="002029AF">
              <w:t xml:space="preserve"> </w:t>
            </w:r>
            <w:r w:rsidRPr="002029AF">
              <w:t>in</w:t>
            </w:r>
            <w:r w:rsidR="000A5329" w:rsidRPr="002029AF">
              <w:t xml:space="preserve"> </w:t>
            </w:r>
            <w:r w:rsidRPr="002029AF">
              <w:t>centres</w:t>
            </w:r>
            <w:r w:rsidR="000A5329" w:rsidRPr="002029AF">
              <w:t xml:space="preserve"> </w:t>
            </w:r>
            <w:r w:rsidRPr="002029AF">
              <w:t>with</w:t>
            </w:r>
            <w:r w:rsidR="000A5329" w:rsidRPr="002029AF">
              <w:t xml:space="preserve"> </w:t>
            </w:r>
            <w:r w:rsidRPr="002029AF">
              <w:t>more</w:t>
            </w:r>
            <w:r w:rsidR="000A5329" w:rsidRPr="002029AF">
              <w:t xml:space="preserve"> </w:t>
            </w:r>
            <w:r w:rsidRPr="002029AF">
              <w:t>than</w:t>
            </w:r>
            <w:r w:rsidR="000A5329" w:rsidRPr="002029AF">
              <w:t xml:space="preserve"> </w:t>
            </w:r>
            <w:r w:rsidRPr="002029AF">
              <w:t>7</w:t>
            </w:r>
            <w:r w:rsidR="000A5329" w:rsidRPr="002029AF">
              <w:t xml:space="preserve"> </w:t>
            </w:r>
            <w:r w:rsidRPr="002029AF">
              <w:t>500</w:t>
            </w:r>
            <w:r w:rsidR="000A5329" w:rsidRPr="002029AF">
              <w:t xml:space="preserve"> </w:t>
            </w:r>
            <w:r w:rsidRPr="002029AF">
              <w:t>population</w:t>
            </w:r>
          </w:p>
        </w:tc>
        <w:tc>
          <w:tcPr>
            <w:tcW w:w="1019" w:type="dxa"/>
            <w:tcBorders>
              <w:top w:val="single" w:sz="4" w:space="0" w:color="BFBFBF"/>
            </w:tcBorders>
            <w:shd w:val="clear" w:color="auto" w:fill="auto"/>
            <w:hideMark/>
          </w:tcPr>
          <w:p w14:paraId="3392194D" w14:textId="007DFD0F" w:rsidR="00C15C65" w:rsidRPr="002029AF" w:rsidRDefault="00C15C65" w:rsidP="00C40F5D">
            <w:pPr>
              <w:pStyle w:val="ARtabletext"/>
            </w:pPr>
            <w:r w:rsidRPr="002029AF">
              <w:t>per</w:t>
            </w:r>
            <w:r w:rsidR="000A5329" w:rsidRPr="002029AF">
              <w:t xml:space="preserve"> </w:t>
            </w:r>
            <w:r w:rsidRPr="002029AF">
              <w:t>cent</w:t>
            </w:r>
          </w:p>
        </w:tc>
        <w:tc>
          <w:tcPr>
            <w:tcW w:w="1020" w:type="dxa"/>
            <w:tcBorders>
              <w:top w:val="single" w:sz="4" w:space="0" w:color="BFBFBF"/>
            </w:tcBorders>
            <w:shd w:val="clear" w:color="auto" w:fill="auto"/>
            <w:hideMark/>
          </w:tcPr>
          <w:p w14:paraId="06E178D1" w14:textId="77777777" w:rsidR="00C15C65" w:rsidRPr="002029AF" w:rsidRDefault="00C15C65" w:rsidP="00FD77AA">
            <w:pPr>
              <w:pStyle w:val="ARtabletextright"/>
            </w:pPr>
            <w:r w:rsidRPr="002029AF">
              <w:t>90</w:t>
            </w:r>
          </w:p>
        </w:tc>
        <w:tc>
          <w:tcPr>
            <w:tcW w:w="1020" w:type="dxa"/>
            <w:tcBorders>
              <w:top w:val="single" w:sz="4" w:space="0" w:color="BFBFBF"/>
            </w:tcBorders>
            <w:shd w:val="clear" w:color="auto" w:fill="auto"/>
            <w:hideMark/>
          </w:tcPr>
          <w:p w14:paraId="12E4A0BD" w14:textId="77777777" w:rsidR="00C15C65" w:rsidRPr="002029AF" w:rsidRDefault="00C15C65" w:rsidP="00FD77AA">
            <w:pPr>
              <w:pStyle w:val="ARtabletextright"/>
            </w:pPr>
            <w:r w:rsidRPr="002029AF">
              <w:t>87.6</w:t>
            </w:r>
          </w:p>
        </w:tc>
        <w:tc>
          <w:tcPr>
            <w:tcW w:w="1023" w:type="dxa"/>
            <w:tcBorders>
              <w:top w:val="single" w:sz="4" w:space="0" w:color="BFBFBF"/>
            </w:tcBorders>
            <w:shd w:val="clear" w:color="auto" w:fill="auto"/>
          </w:tcPr>
          <w:p w14:paraId="67F73455" w14:textId="77777777" w:rsidR="00C15C65" w:rsidRPr="002029AF" w:rsidRDefault="00C15C65" w:rsidP="00FD77AA">
            <w:pPr>
              <w:pStyle w:val="ARtabletextright"/>
            </w:pPr>
            <w:r w:rsidRPr="002029AF">
              <w:t>-2.7</w:t>
            </w:r>
          </w:p>
        </w:tc>
        <w:tc>
          <w:tcPr>
            <w:tcW w:w="797" w:type="dxa"/>
            <w:tcBorders>
              <w:top w:val="single" w:sz="4" w:space="0" w:color="BFBFBF"/>
            </w:tcBorders>
            <w:shd w:val="clear" w:color="auto" w:fill="auto"/>
            <w:hideMark/>
          </w:tcPr>
          <w:p w14:paraId="119F95E2" w14:textId="1C6EFDC1" w:rsidR="00C15C65" w:rsidRPr="002029AF" w:rsidRDefault="003A6C3B" w:rsidP="000F6867">
            <w:pPr>
              <w:pStyle w:val="ARtableperformancesymbol"/>
              <w:rPr>
                <w:rFonts w:hint="eastAsia"/>
                <w:lang w:val="en-AU"/>
              </w:rPr>
            </w:pPr>
            <w:r w:rsidRPr="002029AF">
              <w:rPr>
                <w:lang w:val="en-AU"/>
              </w:rPr>
              <w:t>□</w:t>
            </w:r>
          </w:p>
        </w:tc>
      </w:tr>
      <w:tr w:rsidR="00C15C65" w:rsidRPr="002029AF" w14:paraId="403EBDC0" w14:textId="77777777" w:rsidTr="005B58F0">
        <w:trPr>
          <w:cantSplit/>
        </w:trPr>
        <w:tc>
          <w:tcPr>
            <w:tcW w:w="9639" w:type="dxa"/>
            <w:gridSpan w:val="7"/>
            <w:tcBorders>
              <w:top w:val="single" w:sz="4" w:space="0" w:color="auto"/>
              <w:left w:val="nil"/>
              <w:bottom w:val="nil"/>
              <w:right w:val="nil"/>
            </w:tcBorders>
            <w:hideMark/>
          </w:tcPr>
          <w:p w14:paraId="37A140C6" w14:textId="77777777" w:rsidR="00C15C65" w:rsidRPr="002029AF" w:rsidRDefault="00C15C65" w:rsidP="007666A5">
            <w:pPr>
              <w:pStyle w:val="ARtablegreybold"/>
            </w:pPr>
            <w:r w:rsidRPr="002029AF">
              <w:t>Cost</w:t>
            </w:r>
          </w:p>
        </w:tc>
      </w:tr>
      <w:tr w:rsidR="00C15C65" w:rsidRPr="002029AF" w14:paraId="7FA3A4E2" w14:textId="77777777" w:rsidTr="005B58F0">
        <w:trPr>
          <w:cantSplit/>
        </w:trPr>
        <w:tc>
          <w:tcPr>
            <w:tcW w:w="4753" w:type="dxa"/>
            <w:hideMark/>
          </w:tcPr>
          <w:p w14:paraId="42025614" w14:textId="513F3E30" w:rsidR="00C15C65" w:rsidRPr="002029AF" w:rsidRDefault="00C15C65" w:rsidP="00C40F5D">
            <w:pPr>
              <w:pStyle w:val="ARtabletext"/>
              <w:rPr>
                <w:b/>
              </w:rPr>
            </w:pPr>
            <w:r w:rsidRPr="002029AF">
              <w:rPr>
                <w:b/>
              </w:rPr>
              <w:t>Total</w:t>
            </w:r>
            <w:r w:rsidR="000A5329" w:rsidRPr="002029AF">
              <w:rPr>
                <w:b/>
              </w:rPr>
              <w:t xml:space="preserve"> </w:t>
            </w:r>
            <w:r w:rsidRPr="002029AF">
              <w:rPr>
                <w:b/>
              </w:rPr>
              <w:t>output</w:t>
            </w:r>
            <w:r w:rsidR="000A5329" w:rsidRPr="002029AF">
              <w:rPr>
                <w:b/>
              </w:rPr>
              <w:t xml:space="preserve"> </w:t>
            </w:r>
            <w:r w:rsidRPr="002029AF">
              <w:rPr>
                <w:b/>
              </w:rPr>
              <w:t>cost</w:t>
            </w:r>
          </w:p>
        </w:tc>
        <w:tc>
          <w:tcPr>
            <w:tcW w:w="1019" w:type="dxa"/>
            <w:hideMark/>
          </w:tcPr>
          <w:p w14:paraId="6EAD033F" w14:textId="2A29CE8D" w:rsidR="00C15C65" w:rsidRPr="002029AF" w:rsidRDefault="00C15C65" w:rsidP="00C40F5D">
            <w:pPr>
              <w:pStyle w:val="ARtabletext"/>
              <w:rPr>
                <w:b/>
              </w:rPr>
            </w:pPr>
            <w:r w:rsidRPr="002029AF">
              <w:rPr>
                <w:b/>
              </w:rPr>
              <w:t>$</w:t>
            </w:r>
            <w:r w:rsidR="000A5329" w:rsidRPr="002029AF">
              <w:rPr>
                <w:b/>
              </w:rPr>
              <w:t xml:space="preserve"> </w:t>
            </w:r>
            <w:r w:rsidRPr="002029AF">
              <w:rPr>
                <w:b/>
              </w:rPr>
              <w:t>million</w:t>
            </w:r>
          </w:p>
        </w:tc>
        <w:tc>
          <w:tcPr>
            <w:tcW w:w="1020" w:type="dxa"/>
          </w:tcPr>
          <w:p w14:paraId="7E627AC0" w14:textId="77777777" w:rsidR="00C15C65" w:rsidRPr="002029AF" w:rsidRDefault="00C15C65" w:rsidP="00036F13">
            <w:pPr>
              <w:pStyle w:val="ARtabletextrightbold"/>
            </w:pPr>
            <w:r w:rsidRPr="002029AF">
              <w:t>958.2</w:t>
            </w:r>
          </w:p>
        </w:tc>
        <w:tc>
          <w:tcPr>
            <w:tcW w:w="1020" w:type="dxa"/>
          </w:tcPr>
          <w:p w14:paraId="230C0320" w14:textId="77777777" w:rsidR="00C15C65" w:rsidRPr="002029AF" w:rsidRDefault="00C15C65" w:rsidP="00036F13">
            <w:pPr>
              <w:pStyle w:val="ARtabletextrightbold"/>
            </w:pPr>
            <w:r w:rsidRPr="002029AF">
              <w:t>947.1</w:t>
            </w:r>
          </w:p>
        </w:tc>
        <w:tc>
          <w:tcPr>
            <w:tcW w:w="1023" w:type="dxa"/>
          </w:tcPr>
          <w:p w14:paraId="1EE0A158" w14:textId="77777777" w:rsidR="00C15C65" w:rsidRPr="002029AF" w:rsidRDefault="00C15C65" w:rsidP="00036F13">
            <w:pPr>
              <w:pStyle w:val="ARtabletextrightbold"/>
            </w:pPr>
            <w:r w:rsidRPr="002029AF">
              <w:t>-1.2</w:t>
            </w:r>
          </w:p>
        </w:tc>
        <w:tc>
          <w:tcPr>
            <w:tcW w:w="804" w:type="dxa"/>
            <w:gridSpan w:val="2"/>
          </w:tcPr>
          <w:p w14:paraId="2A9A61B8" w14:textId="77777777" w:rsidR="00C15C65" w:rsidRPr="002029AF" w:rsidRDefault="00C15C65" w:rsidP="00C40F5D">
            <w:pPr>
              <w:pStyle w:val="ARtabletext"/>
              <w:rPr>
                <w:b/>
              </w:rPr>
            </w:pPr>
          </w:p>
        </w:tc>
      </w:tr>
      <w:tr w:rsidR="00C15C65" w:rsidRPr="002029AF" w14:paraId="5491816C" w14:textId="77777777" w:rsidTr="005B58F0">
        <w:trPr>
          <w:cantSplit/>
        </w:trPr>
        <w:tc>
          <w:tcPr>
            <w:tcW w:w="9639" w:type="dxa"/>
            <w:gridSpan w:val="7"/>
            <w:tcBorders>
              <w:top w:val="nil"/>
              <w:left w:val="nil"/>
              <w:bottom w:val="single" w:sz="4" w:space="0" w:color="BFBFBF"/>
              <w:right w:val="nil"/>
            </w:tcBorders>
            <w:noWrap/>
            <w:hideMark/>
          </w:tcPr>
          <w:p w14:paraId="43F97886" w14:textId="1AA79285" w:rsidR="00C15C65" w:rsidRPr="002029AF" w:rsidRDefault="00C15C65" w:rsidP="00C40F5D">
            <w:pPr>
              <w:pStyle w:val="ARtabletext"/>
            </w:pPr>
            <w:r w:rsidRPr="002029AF">
              <w:t>The</w:t>
            </w:r>
            <w:r w:rsidR="000A5329" w:rsidRPr="002029AF">
              <w:t xml:space="preserve"> </w:t>
            </w:r>
            <w:r w:rsidRPr="002029AF">
              <w:t>201</w:t>
            </w:r>
            <w:r w:rsidR="00DB53E6" w:rsidRPr="002029AF">
              <w:t>9–</w:t>
            </w:r>
            <w:r w:rsidRPr="002029AF">
              <w:t>20</w:t>
            </w:r>
            <w:r w:rsidR="000A5329" w:rsidRPr="002029AF">
              <w:t xml:space="preserve"> </w:t>
            </w:r>
            <w:r w:rsidRPr="002029AF">
              <w:t>actual</w:t>
            </w:r>
            <w:r w:rsidR="000A5329" w:rsidRPr="002029AF">
              <w:t xml:space="preserve"> </w:t>
            </w:r>
            <w:r w:rsidRPr="002029AF">
              <w:t>outcome</w:t>
            </w:r>
            <w:r w:rsidR="000A5329" w:rsidRPr="002029AF">
              <w:t xml:space="preserve"> </w:t>
            </w:r>
            <w:r w:rsidRPr="002029AF">
              <w:t>primarily</w:t>
            </w:r>
            <w:r w:rsidR="000A5329" w:rsidRPr="002029AF">
              <w:t xml:space="preserve"> </w:t>
            </w:r>
            <w:r w:rsidRPr="002029AF">
              <w:t>reflects</w:t>
            </w:r>
            <w:r w:rsidR="000A5329" w:rsidRPr="002029AF">
              <w:t xml:space="preserve"> </w:t>
            </w:r>
            <w:r w:rsidRPr="002029AF">
              <w:t>an</w:t>
            </w:r>
            <w:r w:rsidR="000A5329" w:rsidRPr="002029AF">
              <w:t xml:space="preserve"> </w:t>
            </w:r>
            <w:r w:rsidRPr="002029AF">
              <w:t>output</w:t>
            </w:r>
            <w:r w:rsidR="000A5329" w:rsidRPr="002029AF">
              <w:t xml:space="preserve"> </w:t>
            </w:r>
            <w:r w:rsidRPr="002029AF">
              <w:t>realignment</w:t>
            </w:r>
            <w:r w:rsidR="000A5329" w:rsidRPr="002029AF">
              <w:t xml:space="preserve"> </w:t>
            </w:r>
            <w:r w:rsidRPr="002029AF">
              <w:t>from</w:t>
            </w:r>
            <w:r w:rsidR="000A5329" w:rsidRPr="002029AF">
              <w:t xml:space="preserve"> </w:t>
            </w:r>
            <w:r w:rsidRPr="002029AF">
              <w:t>Ambulance</w:t>
            </w:r>
            <w:r w:rsidR="000A5329" w:rsidRPr="002029AF">
              <w:t xml:space="preserve"> </w:t>
            </w:r>
            <w:r w:rsidRPr="002029AF">
              <w:t>Emergency</w:t>
            </w:r>
            <w:r w:rsidR="000A5329" w:rsidRPr="002029AF">
              <w:t xml:space="preserve"> </w:t>
            </w:r>
            <w:r w:rsidRPr="002029AF">
              <w:t>Services</w:t>
            </w:r>
            <w:r w:rsidR="000A5329" w:rsidRPr="002029AF">
              <w:t xml:space="preserve"> </w:t>
            </w:r>
            <w:r w:rsidRPr="002029AF">
              <w:t>to</w:t>
            </w:r>
            <w:r w:rsidR="000A5329" w:rsidRPr="002029AF">
              <w:t xml:space="preserve"> </w:t>
            </w:r>
            <w:r w:rsidRPr="002029AF">
              <w:t>Ambulance</w:t>
            </w:r>
            <w:r w:rsidR="000A5329" w:rsidRPr="002029AF">
              <w:t xml:space="preserve"> </w:t>
            </w:r>
            <w:r w:rsidRPr="002029AF">
              <w:t>Non-Emergency</w:t>
            </w:r>
            <w:r w:rsidR="000A5329" w:rsidRPr="002029AF">
              <w:t xml:space="preserve"> </w:t>
            </w:r>
            <w:r w:rsidRPr="002029AF">
              <w:t>Services</w:t>
            </w:r>
          </w:p>
        </w:tc>
      </w:tr>
      <w:tr w:rsidR="00C15C65" w:rsidRPr="002029AF" w14:paraId="57EE3BBC" w14:textId="77777777" w:rsidTr="005B58F0">
        <w:trPr>
          <w:cantSplit/>
        </w:trPr>
        <w:tc>
          <w:tcPr>
            <w:tcW w:w="9639" w:type="dxa"/>
            <w:gridSpan w:val="7"/>
            <w:tcBorders>
              <w:top w:val="single" w:sz="4" w:space="0" w:color="auto"/>
              <w:left w:val="nil"/>
              <w:bottom w:val="single" w:sz="4" w:space="0" w:color="auto"/>
              <w:right w:val="nil"/>
            </w:tcBorders>
            <w:hideMark/>
          </w:tcPr>
          <w:p w14:paraId="6D1EF6C8" w14:textId="5C6D8954" w:rsidR="00C15C65" w:rsidRPr="002029AF" w:rsidRDefault="00C15C65" w:rsidP="007666A5">
            <w:pPr>
              <w:pStyle w:val="ARtablesubhead"/>
            </w:pPr>
            <w:r w:rsidRPr="002029AF">
              <w:t>Ambulance</w:t>
            </w:r>
            <w:r w:rsidR="000A5329" w:rsidRPr="002029AF">
              <w:t xml:space="preserve"> </w:t>
            </w:r>
            <w:r w:rsidRPr="002029AF">
              <w:t>Non-Emergency</w:t>
            </w:r>
            <w:r w:rsidR="000A5329" w:rsidRPr="002029AF">
              <w:t xml:space="preserve"> </w:t>
            </w:r>
            <w:r w:rsidRPr="002029AF">
              <w:t>Services</w:t>
            </w:r>
          </w:p>
        </w:tc>
      </w:tr>
      <w:tr w:rsidR="00C15C65" w:rsidRPr="002029AF" w14:paraId="00AC4F10" w14:textId="77777777" w:rsidTr="005B58F0">
        <w:trPr>
          <w:cantSplit/>
        </w:trPr>
        <w:tc>
          <w:tcPr>
            <w:tcW w:w="9639" w:type="dxa"/>
            <w:gridSpan w:val="7"/>
            <w:tcBorders>
              <w:top w:val="single" w:sz="4" w:space="0" w:color="auto"/>
              <w:left w:val="nil"/>
              <w:bottom w:val="nil"/>
              <w:right w:val="nil"/>
            </w:tcBorders>
            <w:hideMark/>
          </w:tcPr>
          <w:p w14:paraId="6976767B" w14:textId="77777777" w:rsidR="00C15C65" w:rsidRPr="002029AF" w:rsidRDefault="00C15C65" w:rsidP="00D96AFD">
            <w:pPr>
              <w:pStyle w:val="ARtablegreybold"/>
            </w:pPr>
            <w:r w:rsidRPr="002029AF">
              <w:t>Quantity</w:t>
            </w:r>
          </w:p>
        </w:tc>
      </w:tr>
      <w:tr w:rsidR="00C15C65" w:rsidRPr="002029AF" w14:paraId="5DD4AE9F" w14:textId="77777777" w:rsidTr="005B58F0">
        <w:trPr>
          <w:gridAfter w:val="1"/>
          <w:wAfter w:w="7" w:type="dxa"/>
          <w:cantSplit/>
        </w:trPr>
        <w:tc>
          <w:tcPr>
            <w:tcW w:w="4753" w:type="dxa"/>
            <w:tcBorders>
              <w:bottom w:val="single" w:sz="4" w:space="0" w:color="BFBFBF"/>
            </w:tcBorders>
            <w:shd w:val="clear" w:color="auto" w:fill="auto"/>
            <w:hideMark/>
          </w:tcPr>
          <w:p w14:paraId="6D61CE62" w14:textId="124890BD" w:rsidR="00C15C65" w:rsidRPr="002029AF" w:rsidRDefault="00C15C65" w:rsidP="00C40F5D">
            <w:pPr>
              <w:pStyle w:val="ARtabletext"/>
            </w:pPr>
            <w:r w:rsidRPr="002029AF">
              <w:t>Community</w:t>
            </w:r>
            <w:r w:rsidR="000A5329" w:rsidRPr="002029AF">
              <w:t xml:space="preserve"> </w:t>
            </w:r>
            <w:r w:rsidRPr="002029AF">
              <w:t>Service</w:t>
            </w:r>
            <w:r w:rsidR="000A5329" w:rsidRPr="002029AF">
              <w:t xml:space="preserve"> </w:t>
            </w:r>
            <w:r w:rsidRPr="002029AF">
              <w:t>Obligation</w:t>
            </w:r>
            <w:r w:rsidR="000A5329" w:rsidRPr="002029AF">
              <w:t xml:space="preserve"> </w:t>
            </w:r>
            <w:r w:rsidRPr="002029AF">
              <w:t>non-emergency</w:t>
            </w:r>
            <w:r w:rsidR="000A5329" w:rsidRPr="002029AF">
              <w:t xml:space="preserve"> </w:t>
            </w:r>
            <w:r w:rsidRPr="002029AF">
              <w:t>road</w:t>
            </w:r>
            <w:r w:rsidR="000A5329" w:rsidRPr="002029AF">
              <w:t xml:space="preserve"> </w:t>
            </w:r>
            <w:r w:rsidRPr="002029AF">
              <w:t>and</w:t>
            </w:r>
            <w:r w:rsidR="000A5329" w:rsidRPr="002029AF">
              <w:t xml:space="preserve"> </w:t>
            </w:r>
            <w:r w:rsidRPr="002029AF">
              <w:t>air</w:t>
            </w:r>
            <w:r w:rsidR="000A5329" w:rsidRPr="002029AF">
              <w:t xml:space="preserve"> </w:t>
            </w:r>
            <w:r w:rsidRPr="002029AF">
              <w:t>transports</w:t>
            </w:r>
          </w:p>
        </w:tc>
        <w:tc>
          <w:tcPr>
            <w:tcW w:w="1019" w:type="dxa"/>
            <w:tcBorders>
              <w:bottom w:val="single" w:sz="4" w:space="0" w:color="BFBFBF"/>
            </w:tcBorders>
            <w:shd w:val="clear" w:color="auto" w:fill="auto"/>
            <w:hideMark/>
          </w:tcPr>
          <w:p w14:paraId="5C3780EF" w14:textId="77777777" w:rsidR="00C15C65" w:rsidRPr="002029AF" w:rsidRDefault="00C15C65" w:rsidP="00C40F5D">
            <w:pPr>
              <w:pStyle w:val="ARtabletext"/>
            </w:pPr>
            <w:r w:rsidRPr="002029AF">
              <w:t>number</w:t>
            </w:r>
          </w:p>
        </w:tc>
        <w:tc>
          <w:tcPr>
            <w:tcW w:w="1020" w:type="dxa"/>
            <w:tcBorders>
              <w:bottom w:val="single" w:sz="4" w:space="0" w:color="BFBFBF"/>
            </w:tcBorders>
            <w:shd w:val="clear" w:color="auto" w:fill="auto"/>
            <w:hideMark/>
          </w:tcPr>
          <w:p w14:paraId="585A3574" w14:textId="77777777" w:rsidR="00C15C65" w:rsidRPr="002029AF" w:rsidRDefault="00C15C65" w:rsidP="00FD77AA">
            <w:pPr>
              <w:pStyle w:val="ARtabletextright"/>
            </w:pPr>
            <w:r w:rsidRPr="002029AF">
              <w:t>223,235</w:t>
            </w:r>
          </w:p>
        </w:tc>
        <w:tc>
          <w:tcPr>
            <w:tcW w:w="1020" w:type="dxa"/>
            <w:tcBorders>
              <w:bottom w:val="single" w:sz="4" w:space="0" w:color="BFBFBF"/>
            </w:tcBorders>
            <w:shd w:val="clear" w:color="auto" w:fill="auto"/>
            <w:hideMark/>
          </w:tcPr>
          <w:p w14:paraId="17C17ACF" w14:textId="77777777" w:rsidR="00C15C65" w:rsidRPr="002029AF" w:rsidRDefault="00C15C65" w:rsidP="00FD77AA">
            <w:pPr>
              <w:pStyle w:val="ARtabletextright"/>
            </w:pPr>
            <w:r w:rsidRPr="002029AF">
              <w:t>233,826</w:t>
            </w:r>
          </w:p>
        </w:tc>
        <w:tc>
          <w:tcPr>
            <w:tcW w:w="1023" w:type="dxa"/>
            <w:tcBorders>
              <w:bottom w:val="single" w:sz="4" w:space="0" w:color="BFBFBF"/>
            </w:tcBorders>
            <w:shd w:val="clear" w:color="auto" w:fill="auto"/>
          </w:tcPr>
          <w:p w14:paraId="74911E9A" w14:textId="77777777" w:rsidR="00C15C65" w:rsidRPr="002029AF" w:rsidRDefault="00C15C65" w:rsidP="00FD77AA">
            <w:pPr>
              <w:pStyle w:val="ARtabletextright"/>
            </w:pPr>
            <w:r w:rsidRPr="002029AF">
              <w:t>4.7</w:t>
            </w:r>
          </w:p>
        </w:tc>
        <w:tc>
          <w:tcPr>
            <w:tcW w:w="797" w:type="dxa"/>
            <w:tcBorders>
              <w:bottom w:val="single" w:sz="4" w:space="0" w:color="BFBFBF"/>
            </w:tcBorders>
            <w:shd w:val="clear" w:color="auto" w:fill="auto"/>
            <w:hideMark/>
          </w:tcPr>
          <w:p w14:paraId="7E4FFE1E"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7439C9F6" w14:textId="77777777" w:rsidTr="005B58F0">
        <w:trPr>
          <w:gridAfter w:val="1"/>
          <w:wAfter w:w="7" w:type="dxa"/>
          <w:cantSplit/>
        </w:trPr>
        <w:tc>
          <w:tcPr>
            <w:tcW w:w="4753" w:type="dxa"/>
            <w:tcBorders>
              <w:top w:val="single" w:sz="4" w:space="0" w:color="BFBFBF"/>
            </w:tcBorders>
            <w:shd w:val="clear" w:color="auto" w:fill="auto"/>
            <w:hideMark/>
          </w:tcPr>
          <w:p w14:paraId="433BEEFD" w14:textId="1DAB3BAC" w:rsidR="00C15C65" w:rsidRPr="002029AF" w:rsidRDefault="00C15C65" w:rsidP="00C40F5D">
            <w:pPr>
              <w:pStyle w:val="ARtabletext"/>
            </w:pPr>
            <w:r w:rsidRPr="002029AF">
              <w:t>Statewide</w:t>
            </w:r>
            <w:r w:rsidR="000A5329" w:rsidRPr="002029AF">
              <w:t xml:space="preserve"> </w:t>
            </w:r>
            <w:r w:rsidRPr="002029AF">
              <w:t>non-emergency</w:t>
            </w:r>
            <w:r w:rsidR="000A5329" w:rsidRPr="002029AF">
              <w:t xml:space="preserve"> </w:t>
            </w:r>
            <w:r w:rsidRPr="002029AF">
              <w:t>air</w:t>
            </w:r>
            <w:r w:rsidR="000A5329" w:rsidRPr="002029AF">
              <w:t xml:space="preserve"> </w:t>
            </w:r>
            <w:r w:rsidRPr="002029AF">
              <w:t>transports</w:t>
            </w:r>
          </w:p>
        </w:tc>
        <w:tc>
          <w:tcPr>
            <w:tcW w:w="1019" w:type="dxa"/>
            <w:tcBorders>
              <w:top w:val="single" w:sz="4" w:space="0" w:color="BFBFBF"/>
            </w:tcBorders>
            <w:shd w:val="clear" w:color="auto" w:fill="auto"/>
            <w:hideMark/>
          </w:tcPr>
          <w:p w14:paraId="6D4C48F5" w14:textId="77777777" w:rsidR="00C15C65" w:rsidRPr="002029AF" w:rsidRDefault="00C15C65" w:rsidP="00C40F5D">
            <w:pPr>
              <w:pStyle w:val="ARtabletext"/>
            </w:pPr>
            <w:r w:rsidRPr="002029AF">
              <w:t>number</w:t>
            </w:r>
          </w:p>
        </w:tc>
        <w:tc>
          <w:tcPr>
            <w:tcW w:w="1020" w:type="dxa"/>
            <w:tcBorders>
              <w:top w:val="single" w:sz="4" w:space="0" w:color="BFBFBF"/>
            </w:tcBorders>
            <w:shd w:val="clear" w:color="auto" w:fill="auto"/>
            <w:hideMark/>
          </w:tcPr>
          <w:p w14:paraId="2297D22C" w14:textId="77777777" w:rsidR="00C15C65" w:rsidRPr="002029AF" w:rsidRDefault="00C15C65" w:rsidP="00FD77AA">
            <w:pPr>
              <w:pStyle w:val="ARtabletextright"/>
            </w:pPr>
            <w:r w:rsidRPr="002029AF">
              <w:t>2,363</w:t>
            </w:r>
          </w:p>
        </w:tc>
        <w:tc>
          <w:tcPr>
            <w:tcW w:w="1020" w:type="dxa"/>
            <w:tcBorders>
              <w:top w:val="single" w:sz="4" w:space="0" w:color="BFBFBF"/>
            </w:tcBorders>
            <w:shd w:val="clear" w:color="auto" w:fill="auto"/>
            <w:hideMark/>
          </w:tcPr>
          <w:p w14:paraId="35669C81" w14:textId="77777777" w:rsidR="00C15C65" w:rsidRPr="002029AF" w:rsidRDefault="00C15C65" w:rsidP="00FD77AA">
            <w:pPr>
              <w:pStyle w:val="ARtabletextright"/>
            </w:pPr>
            <w:r w:rsidRPr="002029AF">
              <w:t>2,003</w:t>
            </w:r>
          </w:p>
        </w:tc>
        <w:tc>
          <w:tcPr>
            <w:tcW w:w="1023" w:type="dxa"/>
            <w:tcBorders>
              <w:top w:val="single" w:sz="4" w:space="0" w:color="BFBFBF"/>
            </w:tcBorders>
            <w:shd w:val="clear" w:color="auto" w:fill="auto"/>
          </w:tcPr>
          <w:p w14:paraId="3C8ED562" w14:textId="77777777" w:rsidR="00C15C65" w:rsidRPr="002029AF" w:rsidRDefault="00C15C65" w:rsidP="00FD77AA">
            <w:pPr>
              <w:pStyle w:val="ARtabletextright"/>
            </w:pPr>
            <w:r w:rsidRPr="002029AF">
              <w:t>-15.2</w:t>
            </w:r>
          </w:p>
        </w:tc>
        <w:tc>
          <w:tcPr>
            <w:tcW w:w="797" w:type="dxa"/>
            <w:tcBorders>
              <w:top w:val="single" w:sz="4" w:space="0" w:color="BFBFBF"/>
            </w:tcBorders>
            <w:shd w:val="clear" w:color="auto" w:fill="auto"/>
            <w:hideMark/>
          </w:tcPr>
          <w:p w14:paraId="4E9CE63E"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44D78C87" w14:textId="77777777" w:rsidTr="005B58F0">
        <w:trPr>
          <w:gridAfter w:val="1"/>
          <w:wAfter w:w="7" w:type="dxa"/>
          <w:cantSplit/>
        </w:trPr>
        <w:tc>
          <w:tcPr>
            <w:tcW w:w="9632" w:type="dxa"/>
            <w:gridSpan w:val="6"/>
            <w:tcBorders>
              <w:bottom w:val="single" w:sz="4" w:space="0" w:color="BFBFBF"/>
            </w:tcBorders>
            <w:shd w:val="clear" w:color="auto" w:fill="auto"/>
            <w:noWrap/>
            <w:hideMark/>
          </w:tcPr>
          <w:p w14:paraId="6805E2B8" w14:textId="75022268" w:rsidR="00C15C65" w:rsidRPr="002029AF" w:rsidRDefault="00C15C65" w:rsidP="002C5190">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lower</w:t>
            </w:r>
            <w:r w:rsidR="000A5329" w:rsidRPr="002029AF">
              <w:t xml:space="preserve"> </w:t>
            </w:r>
            <w:r w:rsidRPr="002029AF">
              <w:t>than</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lower</w:t>
            </w:r>
            <w:r w:rsidR="000A5329" w:rsidRPr="002029AF">
              <w:t xml:space="preserve"> </w:t>
            </w:r>
            <w:r w:rsidRPr="002029AF">
              <w:t>demand</w:t>
            </w:r>
            <w:r w:rsidR="000A5329" w:rsidRPr="002029AF">
              <w:t xml:space="preserve"> </w:t>
            </w:r>
            <w:r w:rsidRPr="002029AF">
              <w:t>for</w:t>
            </w:r>
            <w:r w:rsidR="000A5329" w:rsidRPr="002029AF">
              <w:t xml:space="preserve"> </w:t>
            </w:r>
            <w:r w:rsidRPr="002029AF">
              <w:t>services.</w:t>
            </w:r>
            <w:r w:rsidR="000A5329" w:rsidRPr="002029AF">
              <w:t xml:space="preserve"> </w:t>
            </w:r>
            <w:r w:rsidRPr="002029AF">
              <w:t>This</w:t>
            </w:r>
            <w:r w:rsidR="000A5329" w:rsidRPr="002029AF">
              <w:t xml:space="preserve"> </w:t>
            </w:r>
            <w:r w:rsidRPr="002029AF">
              <w:t>is</w:t>
            </w:r>
            <w:r w:rsidR="000A5329" w:rsidRPr="002029AF">
              <w:t xml:space="preserve"> </w:t>
            </w:r>
            <w:r w:rsidRPr="002029AF">
              <w:t>an</w:t>
            </w:r>
            <w:r w:rsidR="000A5329" w:rsidRPr="002029AF">
              <w:t xml:space="preserve"> </w:t>
            </w:r>
            <w:r w:rsidRPr="002029AF">
              <w:t>entirely</w:t>
            </w:r>
            <w:r w:rsidR="000A5329" w:rsidRPr="002029AF">
              <w:t xml:space="preserve"> </w:t>
            </w:r>
            <w:r w:rsidRPr="002029AF">
              <w:t>demand-driven</w:t>
            </w:r>
            <w:r w:rsidR="000A5329" w:rsidRPr="002029AF">
              <w:t xml:space="preserve"> </w:t>
            </w:r>
            <w:r w:rsidRPr="002029AF">
              <w:t>activity.</w:t>
            </w:r>
          </w:p>
        </w:tc>
      </w:tr>
      <w:tr w:rsidR="00C15C65" w:rsidRPr="002029AF" w14:paraId="7DE5E732" w14:textId="77777777" w:rsidTr="005B58F0">
        <w:trPr>
          <w:gridAfter w:val="1"/>
          <w:wAfter w:w="7" w:type="dxa"/>
          <w:cantSplit/>
        </w:trPr>
        <w:tc>
          <w:tcPr>
            <w:tcW w:w="4753" w:type="dxa"/>
            <w:shd w:val="clear" w:color="auto" w:fill="auto"/>
            <w:hideMark/>
          </w:tcPr>
          <w:p w14:paraId="1C36EF29" w14:textId="2720DB6E" w:rsidR="00C15C65" w:rsidRPr="002029AF" w:rsidRDefault="00C15C65" w:rsidP="00C40F5D">
            <w:pPr>
              <w:pStyle w:val="ARtabletext"/>
            </w:pPr>
            <w:r w:rsidRPr="002029AF">
              <w:t>Statewide</w:t>
            </w:r>
            <w:r w:rsidR="000A5329" w:rsidRPr="002029AF">
              <w:t xml:space="preserve"> </w:t>
            </w:r>
            <w:r w:rsidRPr="002029AF">
              <w:t>non-emergency</w:t>
            </w:r>
            <w:r w:rsidR="000A5329" w:rsidRPr="002029AF">
              <w:t xml:space="preserve"> </w:t>
            </w:r>
            <w:r w:rsidRPr="002029AF">
              <w:t>road</w:t>
            </w:r>
            <w:r w:rsidR="000A5329" w:rsidRPr="002029AF">
              <w:t xml:space="preserve"> </w:t>
            </w:r>
            <w:r w:rsidRPr="002029AF">
              <w:t>transports</w:t>
            </w:r>
          </w:p>
        </w:tc>
        <w:tc>
          <w:tcPr>
            <w:tcW w:w="1019" w:type="dxa"/>
            <w:shd w:val="clear" w:color="auto" w:fill="auto"/>
            <w:hideMark/>
          </w:tcPr>
          <w:p w14:paraId="0281C2C1" w14:textId="77777777" w:rsidR="00C15C65" w:rsidRPr="002029AF" w:rsidRDefault="00C15C65" w:rsidP="00C40F5D">
            <w:pPr>
              <w:pStyle w:val="ARtabletext"/>
            </w:pPr>
            <w:r w:rsidRPr="002029AF">
              <w:t>number</w:t>
            </w:r>
          </w:p>
        </w:tc>
        <w:tc>
          <w:tcPr>
            <w:tcW w:w="1020" w:type="dxa"/>
            <w:shd w:val="clear" w:color="auto" w:fill="auto"/>
            <w:hideMark/>
          </w:tcPr>
          <w:p w14:paraId="471904D5" w14:textId="77777777" w:rsidR="00C15C65" w:rsidRPr="002029AF" w:rsidRDefault="00C15C65" w:rsidP="00FD77AA">
            <w:pPr>
              <w:pStyle w:val="ARtabletextright"/>
            </w:pPr>
            <w:r w:rsidRPr="002029AF">
              <w:t>273,514</w:t>
            </w:r>
          </w:p>
        </w:tc>
        <w:tc>
          <w:tcPr>
            <w:tcW w:w="1020" w:type="dxa"/>
            <w:shd w:val="clear" w:color="auto" w:fill="auto"/>
            <w:hideMark/>
          </w:tcPr>
          <w:p w14:paraId="25DB4B5B" w14:textId="77777777" w:rsidR="00C15C65" w:rsidRPr="002029AF" w:rsidRDefault="00C15C65" w:rsidP="00FD77AA">
            <w:pPr>
              <w:pStyle w:val="ARtabletextright"/>
            </w:pPr>
            <w:r w:rsidRPr="002029AF">
              <w:t>306,794</w:t>
            </w:r>
          </w:p>
        </w:tc>
        <w:tc>
          <w:tcPr>
            <w:tcW w:w="1023" w:type="dxa"/>
            <w:shd w:val="clear" w:color="auto" w:fill="auto"/>
          </w:tcPr>
          <w:p w14:paraId="68E6A2B8" w14:textId="77777777" w:rsidR="00C15C65" w:rsidRPr="002029AF" w:rsidRDefault="00C15C65" w:rsidP="00FD77AA">
            <w:pPr>
              <w:pStyle w:val="ARtabletextright"/>
            </w:pPr>
            <w:r w:rsidRPr="002029AF">
              <w:t>12.2</w:t>
            </w:r>
          </w:p>
        </w:tc>
        <w:tc>
          <w:tcPr>
            <w:tcW w:w="797" w:type="dxa"/>
            <w:shd w:val="clear" w:color="auto" w:fill="auto"/>
            <w:hideMark/>
          </w:tcPr>
          <w:p w14:paraId="72FD63AD"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66F5736F" w14:textId="77777777" w:rsidTr="005B58F0">
        <w:trPr>
          <w:gridAfter w:val="1"/>
          <w:wAfter w:w="7" w:type="dxa"/>
          <w:cantSplit/>
        </w:trPr>
        <w:tc>
          <w:tcPr>
            <w:tcW w:w="9632" w:type="dxa"/>
            <w:gridSpan w:val="6"/>
            <w:tcBorders>
              <w:bottom w:val="single" w:sz="4" w:space="0" w:color="BFBFBF"/>
            </w:tcBorders>
            <w:shd w:val="clear" w:color="auto" w:fill="auto"/>
            <w:noWrap/>
            <w:hideMark/>
          </w:tcPr>
          <w:p w14:paraId="77E35309" w14:textId="4C8D2A16" w:rsidR="00C15C65" w:rsidRPr="002029AF" w:rsidRDefault="00C15C65" w:rsidP="002C5190">
            <w:pPr>
              <w:pStyle w:val="ARtablenoteindent"/>
            </w:pPr>
            <w:r w:rsidRPr="002029AF">
              <w:t>The</w:t>
            </w:r>
            <w:r w:rsidR="000A5329" w:rsidRPr="002029AF">
              <w:t xml:space="preserve"> </w:t>
            </w:r>
            <w:r w:rsidRPr="002029AF">
              <w:t>result</w:t>
            </w:r>
            <w:r w:rsidR="000A5329" w:rsidRPr="002029AF">
              <w:t xml:space="preserve"> </w:t>
            </w:r>
            <w:r w:rsidRPr="002029AF">
              <w:t>is</w:t>
            </w:r>
            <w:r w:rsidR="000A5329" w:rsidRPr="002029AF">
              <w:t xml:space="preserve"> </w:t>
            </w:r>
            <w:r w:rsidRPr="002029AF">
              <w:t>higher</w:t>
            </w:r>
            <w:r w:rsidR="000A5329" w:rsidRPr="002029AF">
              <w:t xml:space="preserve"> </w:t>
            </w:r>
            <w:r w:rsidRPr="002029AF">
              <w:t>than</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increased</w:t>
            </w:r>
            <w:r w:rsidR="000A5329" w:rsidRPr="002029AF">
              <w:t xml:space="preserve"> </w:t>
            </w:r>
            <w:r w:rsidRPr="002029AF">
              <w:t>demand</w:t>
            </w:r>
            <w:r w:rsidR="000A5329" w:rsidRPr="002029AF">
              <w:t xml:space="preserve"> </w:t>
            </w:r>
            <w:r w:rsidRPr="002029AF">
              <w:t>for</w:t>
            </w:r>
            <w:r w:rsidR="000A5329" w:rsidRPr="002029AF">
              <w:t xml:space="preserve"> </w:t>
            </w:r>
            <w:r w:rsidRPr="002029AF">
              <w:t>non-emergency</w:t>
            </w:r>
            <w:r w:rsidR="000A5329" w:rsidRPr="002029AF">
              <w:t xml:space="preserve"> </w:t>
            </w:r>
            <w:r w:rsidRPr="002029AF">
              <w:t>transport</w:t>
            </w:r>
            <w:r w:rsidR="000A5329" w:rsidRPr="002029AF">
              <w:t xml:space="preserve"> </w:t>
            </w:r>
            <w:r w:rsidRPr="002029AF">
              <w:t>based</w:t>
            </w:r>
            <w:r w:rsidR="000A5329" w:rsidRPr="002029AF">
              <w:t xml:space="preserve"> </w:t>
            </w:r>
            <w:r w:rsidRPr="002029AF">
              <w:t>on</w:t>
            </w:r>
            <w:r w:rsidR="000A5329" w:rsidRPr="002029AF">
              <w:t xml:space="preserve"> </w:t>
            </w:r>
            <w:r w:rsidRPr="002029AF">
              <w:t>increasing</w:t>
            </w:r>
            <w:r w:rsidR="000A5329" w:rsidRPr="002029AF">
              <w:t xml:space="preserve"> </w:t>
            </w:r>
            <w:r w:rsidRPr="002029AF">
              <w:t>population</w:t>
            </w:r>
            <w:r w:rsidR="000A5329" w:rsidRPr="002029AF">
              <w:t xml:space="preserve"> </w:t>
            </w:r>
            <w:r w:rsidRPr="002029AF">
              <w:t>and</w:t>
            </w:r>
            <w:r w:rsidR="000A5329" w:rsidRPr="002029AF">
              <w:t xml:space="preserve"> </w:t>
            </w:r>
            <w:r w:rsidRPr="002029AF">
              <w:t>demand</w:t>
            </w:r>
            <w:r w:rsidR="000A5329" w:rsidRPr="002029AF">
              <w:t xml:space="preserve"> </w:t>
            </w:r>
            <w:r w:rsidRPr="002029AF">
              <w:t>for</w:t>
            </w:r>
            <w:r w:rsidR="000A5329" w:rsidRPr="002029AF">
              <w:t xml:space="preserve"> </w:t>
            </w:r>
            <w:r w:rsidRPr="002029AF">
              <w:t>care.</w:t>
            </w:r>
          </w:p>
        </w:tc>
      </w:tr>
      <w:tr w:rsidR="00C15C65" w:rsidRPr="002029AF" w14:paraId="2FDDA7C6" w14:textId="77777777" w:rsidTr="005B58F0">
        <w:trPr>
          <w:cantSplit/>
        </w:trPr>
        <w:tc>
          <w:tcPr>
            <w:tcW w:w="9639" w:type="dxa"/>
            <w:gridSpan w:val="7"/>
            <w:tcBorders>
              <w:top w:val="single" w:sz="4" w:space="0" w:color="auto"/>
              <w:left w:val="nil"/>
              <w:bottom w:val="nil"/>
              <w:right w:val="nil"/>
            </w:tcBorders>
            <w:hideMark/>
          </w:tcPr>
          <w:p w14:paraId="715A4A34" w14:textId="77777777" w:rsidR="00C15C65" w:rsidRPr="002029AF" w:rsidRDefault="00C15C65" w:rsidP="00D96AFD">
            <w:pPr>
              <w:pStyle w:val="ARtablegreybold"/>
            </w:pPr>
            <w:r w:rsidRPr="002029AF">
              <w:t>Quality</w:t>
            </w:r>
          </w:p>
        </w:tc>
      </w:tr>
      <w:tr w:rsidR="00C15C65" w:rsidRPr="002029AF" w14:paraId="4233B2B5" w14:textId="77777777" w:rsidTr="005B58F0">
        <w:trPr>
          <w:gridAfter w:val="1"/>
          <w:wAfter w:w="7" w:type="dxa"/>
          <w:cantSplit/>
        </w:trPr>
        <w:tc>
          <w:tcPr>
            <w:tcW w:w="4753" w:type="dxa"/>
            <w:shd w:val="clear" w:color="auto" w:fill="auto"/>
            <w:hideMark/>
          </w:tcPr>
          <w:p w14:paraId="657A2C92" w14:textId="66217219" w:rsidR="00C15C65" w:rsidRPr="002029AF" w:rsidRDefault="00C15C65" w:rsidP="00C40F5D">
            <w:pPr>
              <w:pStyle w:val="ARtabletext"/>
            </w:pPr>
            <w:r w:rsidRPr="002029AF">
              <w:t>Audited</w:t>
            </w:r>
            <w:r w:rsidR="000A5329" w:rsidRPr="002029AF">
              <w:t xml:space="preserve"> </w:t>
            </w:r>
            <w:r w:rsidRPr="002029AF">
              <w:t>cases</w:t>
            </w:r>
            <w:r w:rsidR="000A5329" w:rsidRPr="002029AF">
              <w:t xml:space="preserve"> </w:t>
            </w:r>
            <w:r w:rsidRPr="002029AF">
              <w:t>statewide</w:t>
            </w:r>
            <w:r w:rsidR="000A5329" w:rsidRPr="002029AF">
              <w:t xml:space="preserve"> </w:t>
            </w:r>
            <w:r w:rsidRPr="002029AF">
              <w:t>meeting</w:t>
            </w:r>
            <w:r w:rsidR="000A5329" w:rsidRPr="002029AF">
              <w:t xml:space="preserve"> </w:t>
            </w:r>
            <w:r w:rsidRPr="002029AF">
              <w:t>clinical</w:t>
            </w:r>
            <w:r w:rsidR="000A5329" w:rsidRPr="002029AF">
              <w:t xml:space="preserve"> </w:t>
            </w:r>
            <w:r w:rsidRPr="002029AF">
              <w:t>practice</w:t>
            </w:r>
            <w:r w:rsidR="000A5329" w:rsidRPr="002029AF">
              <w:t xml:space="preserve"> </w:t>
            </w:r>
            <w:r w:rsidRPr="002029AF">
              <w:t>standards</w:t>
            </w:r>
          </w:p>
        </w:tc>
        <w:tc>
          <w:tcPr>
            <w:tcW w:w="1019" w:type="dxa"/>
            <w:shd w:val="clear" w:color="auto" w:fill="auto"/>
            <w:hideMark/>
          </w:tcPr>
          <w:p w14:paraId="1B0CCE7C" w14:textId="58E5CA5E" w:rsidR="00C15C65" w:rsidRPr="002029AF" w:rsidRDefault="00C15C65" w:rsidP="00C40F5D">
            <w:pPr>
              <w:pStyle w:val="ARtabletext"/>
            </w:pPr>
            <w:r w:rsidRPr="002029AF">
              <w:t>per</w:t>
            </w:r>
            <w:r w:rsidR="000A5329" w:rsidRPr="002029AF">
              <w:t xml:space="preserve"> </w:t>
            </w:r>
            <w:r w:rsidRPr="002029AF">
              <w:t>cent</w:t>
            </w:r>
          </w:p>
        </w:tc>
        <w:tc>
          <w:tcPr>
            <w:tcW w:w="1020" w:type="dxa"/>
            <w:shd w:val="clear" w:color="auto" w:fill="auto"/>
            <w:hideMark/>
          </w:tcPr>
          <w:p w14:paraId="555A1EAC" w14:textId="77777777" w:rsidR="00C15C65" w:rsidRPr="002029AF" w:rsidRDefault="00C15C65" w:rsidP="00FD77AA">
            <w:pPr>
              <w:pStyle w:val="ARtabletextright"/>
            </w:pPr>
            <w:r w:rsidRPr="002029AF">
              <w:t>95</w:t>
            </w:r>
          </w:p>
        </w:tc>
        <w:tc>
          <w:tcPr>
            <w:tcW w:w="1020" w:type="dxa"/>
            <w:shd w:val="clear" w:color="auto" w:fill="auto"/>
            <w:hideMark/>
          </w:tcPr>
          <w:p w14:paraId="7D578C17" w14:textId="77777777" w:rsidR="00C15C65" w:rsidRPr="002029AF" w:rsidRDefault="00C15C65" w:rsidP="00FD77AA">
            <w:pPr>
              <w:pStyle w:val="ARtabletextright"/>
            </w:pPr>
            <w:r w:rsidRPr="002029AF">
              <w:t>100</w:t>
            </w:r>
          </w:p>
        </w:tc>
        <w:tc>
          <w:tcPr>
            <w:tcW w:w="1023" w:type="dxa"/>
            <w:shd w:val="clear" w:color="auto" w:fill="auto"/>
          </w:tcPr>
          <w:p w14:paraId="22A645DE" w14:textId="77777777" w:rsidR="00C15C65" w:rsidRPr="002029AF" w:rsidRDefault="00C15C65" w:rsidP="00FD77AA">
            <w:pPr>
              <w:pStyle w:val="ARtabletextright"/>
            </w:pPr>
            <w:r w:rsidRPr="002029AF">
              <w:t>5.3</w:t>
            </w:r>
          </w:p>
        </w:tc>
        <w:tc>
          <w:tcPr>
            <w:tcW w:w="797" w:type="dxa"/>
            <w:shd w:val="clear" w:color="auto" w:fill="auto"/>
            <w:hideMark/>
          </w:tcPr>
          <w:p w14:paraId="5FD324B2"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5780B3D8" w14:textId="77777777" w:rsidTr="005B58F0">
        <w:trPr>
          <w:gridAfter w:val="1"/>
          <w:wAfter w:w="7" w:type="dxa"/>
          <w:cantSplit/>
        </w:trPr>
        <w:tc>
          <w:tcPr>
            <w:tcW w:w="9632" w:type="dxa"/>
            <w:gridSpan w:val="6"/>
            <w:tcBorders>
              <w:bottom w:val="single" w:sz="4" w:space="0" w:color="BFBFBF"/>
            </w:tcBorders>
            <w:shd w:val="clear" w:color="auto" w:fill="auto"/>
            <w:noWrap/>
            <w:hideMark/>
          </w:tcPr>
          <w:p w14:paraId="545B8EC3" w14:textId="7308DA4A" w:rsidR="00C15C65" w:rsidRPr="002029AF" w:rsidRDefault="00C15C65" w:rsidP="002C5190">
            <w:pPr>
              <w:pStyle w:val="ARtablenoteindent"/>
            </w:pPr>
            <w:r w:rsidRPr="002029AF">
              <w:t>This</w:t>
            </w:r>
            <w:r w:rsidR="000A5329" w:rsidRPr="002029AF">
              <w:t xml:space="preserve"> </w:t>
            </w:r>
            <w:r w:rsidRPr="002029AF">
              <w:t>is</w:t>
            </w:r>
            <w:r w:rsidR="000A5329" w:rsidRPr="002029AF">
              <w:t xml:space="preserve"> </w:t>
            </w:r>
            <w:r w:rsidRPr="002029AF">
              <w:t>a</w:t>
            </w:r>
            <w:r w:rsidR="000A5329" w:rsidRPr="002029AF">
              <w:t xml:space="preserve"> </w:t>
            </w:r>
            <w:r w:rsidRPr="002029AF">
              <w:t>positive</w:t>
            </w:r>
            <w:r w:rsidR="000A5329" w:rsidRPr="002029AF">
              <w:t xml:space="preserve"> </w:t>
            </w:r>
            <w:r w:rsidRPr="002029AF">
              <w:t>result.</w:t>
            </w:r>
          </w:p>
        </w:tc>
      </w:tr>
      <w:tr w:rsidR="00C15C65" w:rsidRPr="002029AF" w14:paraId="752F1532" w14:textId="77777777" w:rsidTr="005B58F0">
        <w:trPr>
          <w:cantSplit/>
        </w:trPr>
        <w:tc>
          <w:tcPr>
            <w:tcW w:w="9639" w:type="dxa"/>
            <w:gridSpan w:val="7"/>
            <w:tcBorders>
              <w:top w:val="single" w:sz="4" w:space="0" w:color="auto"/>
              <w:left w:val="nil"/>
              <w:bottom w:val="nil"/>
              <w:right w:val="nil"/>
            </w:tcBorders>
            <w:hideMark/>
          </w:tcPr>
          <w:p w14:paraId="7F80399C" w14:textId="77777777" w:rsidR="00C15C65" w:rsidRPr="002029AF" w:rsidRDefault="00C15C65" w:rsidP="007666A5">
            <w:pPr>
              <w:pStyle w:val="ARtablegreybold"/>
            </w:pPr>
            <w:r w:rsidRPr="002029AF">
              <w:t>Cost</w:t>
            </w:r>
          </w:p>
        </w:tc>
      </w:tr>
      <w:tr w:rsidR="00C15C65" w:rsidRPr="002029AF" w14:paraId="70286817" w14:textId="77777777" w:rsidTr="005B58F0">
        <w:trPr>
          <w:cantSplit/>
        </w:trPr>
        <w:tc>
          <w:tcPr>
            <w:tcW w:w="4753" w:type="dxa"/>
            <w:hideMark/>
          </w:tcPr>
          <w:p w14:paraId="2A4D255D" w14:textId="0D81637D" w:rsidR="00C15C65" w:rsidRPr="002029AF" w:rsidRDefault="00C15C65" w:rsidP="00C40F5D">
            <w:pPr>
              <w:pStyle w:val="ARtabletext"/>
              <w:rPr>
                <w:b/>
              </w:rPr>
            </w:pPr>
            <w:r w:rsidRPr="002029AF">
              <w:rPr>
                <w:b/>
              </w:rPr>
              <w:t>Total</w:t>
            </w:r>
            <w:r w:rsidR="000A5329" w:rsidRPr="002029AF">
              <w:rPr>
                <w:b/>
              </w:rPr>
              <w:t xml:space="preserve"> </w:t>
            </w:r>
            <w:r w:rsidRPr="002029AF">
              <w:rPr>
                <w:b/>
              </w:rPr>
              <w:t>output</w:t>
            </w:r>
            <w:r w:rsidR="000A5329" w:rsidRPr="002029AF">
              <w:rPr>
                <w:b/>
              </w:rPr>
              <w:t xml:space="preserve"> </w:t>
            </w:r>
            <w:r w:rsidRPr="002029AF">
              <w:rPr>
                <w:b/>
              </w:rPr>
              <w:t>cost</w:t>
            </w:r>
          </w:p>
        </w:tc>
        <w:tc>
          <w:tcPr>
            <w:tcW w:w="1019" w:type="dxa"/>
            <w:hideMark/>
          </w:tcPr>
          <w:p w14:paraId="6C9F208C" w14:textId="1BFD99C3" w:rsidR="00C15C65" w:rsidRPr="002029AF" w:rsidRDefault="00C15C65" w:rsidP="00C40F5D">
            <w:pPr>
              <w:pStyle w:val="ARtabletext"/>
              <w:rPr>
                <w:b/>
              </w:rPr>
            </w:pPr>
            <w:r w:rsidRPr="002029AF">
              <w:rPr>
                <w:b/>
              </w:rPr>
              <w:t>$</w:t>
            </w:r>
            <w:r w:rsidR="000A5329" w:rsidRPr="002029AF">
              <w:rPr>
                <w:b/>
              </w:rPr>
              <w:t xml:space="preserve"> </w:t>
            </w:r>
            <w:r w:rsidRPr="002029AF">
              <w:rPr>
                <w:b/>
              </w:rPr>
              <w:t>million</w:t>
            </w:r>
          </w:p>
        </w:tc>
        <w:tc>
          <w:tcPr>
            <w:tcW w:w="1020" w:type="dxa"/>
          </w:tcPr>
          <w:p w14:paraId="2FB08ACE" w14:textId="77777777" w:rsidR="00C15C65" w:rsidRPr="002029AF" w:rsidRDefault="00C15C65" w:rsidP="00036F13">
            <w:pPr>
              <w:pStyle w:val="ARtabletextrightbold"/>
            </w:pPr>
            <w:r w:rsidRPr="002029AF">
              <w:t>161.8</w:t>
            </w:r>
          </w:p>
        </w:tc>
        <w:tc>
          <w:tcPr>
            <w:tcW w:w="1020" w:type="dxa"/>
          </w:tcPr>
          <w:p w14:paraId="22C9C2B3" w14:textId="77777777" w:rsidR="00C15C65" w:rsidRPr="002029AF" w:rsidRDefault="00C15C65" w:rsidP="00036F13">
            <w:pPr>
              <w:pStyle w:val="ARtabletextrightbold"/>
            </w:pPr>
            <w:r w:rsidRPr="002029AF">
              <w:t>172.7</w:t>
            </w:r>
          </w:p>
        </w:tc>
        <w:tc>
          <w:tcPr>
            <w:tcW w:w="1023" w:type="dxa"/>
          </w:tcPr>
          <w:p w14:paraId="313F19E8" w14:textId="77777777" w:rsidR="00C15C65" w:rsidRPr="002029AF" w:rsidRDefault="00C15C65" w:rsidP="00036F13">
            <w:pPr>
              <w:pStyle w:val="ARtabletextrightbold"/>
            </w:pPr>
            <w:r w:rsidRPr="002029AF">
              <w:t>6.7</w:t>
            </w:r>
          </w:p>
        </w:tc>
        <w:tc>
          <w:tcPr>
            <w:tcW w:w="804" w:type="dxa"/>
            <w:gridSpan w:val="2"/>
          </w:tcPr>
          <w:p w14:paraId="5CD19AB1" w14:textId="77777777" w:rsidR="00C15C65" w:rsidRPr="002029AF" w:rsidRDefault="00C15C65" w:rsidP="00C40F5D">
            <w:pPr>
              <w:pStyle w:val="ARtabletext"/>
              <w:rPr>
                <w:b/>
              </w:rPr>
            </w:pPr>
          </w:p>
        </w:tc>
      </w:tr>
      <w:tr w:rsidR="00C15C65" w:rsidRPr="002029AF" w14:paraId="5D94D12D" w14:textId="77777777" w:rsidTr="005B58F0">
        <w:trPr>
          <w:cantSplit/>
        </w:trPr>
        <w:tc>
          <w:tcPr>
            <w:tcW w:w="9639" w:type="dxa"/>
            <w:gridSpan w:val="7"/>
            <w:tcBorders>
              <w:top w:val="nil"/>
              <w:left w:val="nil"/>
              <w:bottom w:val="single" w:sz="4" w:space="0" w:color="auto"/>
              <w:right w:val="nil"/>
            </w:tcBorders>
            <w:noWrap/>
            <w:hideMark/>
          </w:tcPr>
          <w:p w14:paraId="592E3ADB" w14:textId="29717035" w:rsidR="00C15C65" w:rsidRPr="002029AF" w:rsidRDefault="00C15C65" w:rsidP="002C5190">
            <w:pPr>
              <w:pStyle w:val="ARtablenoteindent"/>
            </w:pPr>
            <w:r w:rsidRPr="002029AF">
              <w:t>The</w:t>
            </w:r>
            <w:r w:rsidR="000A5329" w:rsidRPr="002029AF">
              <w:t xml:space="preserve"> </w:t>
            </w:r>
            <w:r w:rsidRPr="002029AF">
              <w:t>201</w:t>
            </w:r>
            <w:r w:rsidR="00DB53E6" w:rsidRPr="002029AF">
              <w:t>9–</w:t>
            </w:r>
            <w:r w:rsidRPr="002029AF">
              <w:t>20</w:t>
            </w:r>
            <w:r w:rsidR="000A5329" w:rsidRPr="002029AF">
              <w:t xml:space="preserve"> </w:t>
            </w:r>
            <w:r w:rsidRPr="002029AF">
              <w:t>actual</w:t>
            </w:r>
            <w:r w:rsidR="000A5329" w:rsidRPr="002029AF">
              <w:t xml:space="preserve"> </w:t>
            </w:r>
            <w:r w:rsidRPr="002029AF">
              <w:t>outcome</w:t>
            </w:r>
            <w:r w:rsidR="000A5329" w:rsidRPr="002029AF">
              <w:t xml:space="preserve"> </w:t>
            </w:r>
            <w:r w:rsidRPr="002029AF">
              <w:t>primarily</w:t>
            </w:r>
            <w:r w:rsidR="000A5329" w:rsidRPr="002029AF">
              <w:t xml:space="preserve"> </w:t>
            </w:r>
            <w:r w:rsidRPr="002029AF">
              <w:t>reflects</w:t>
            </w:r>
            <w:r w:rsidR="000A5329" w:rsidRPr="002029AF">
              <w:t xml:space="preserve"> </w:t>
            </w:r>
            <w:r w:rsidRPr="002029AF">
              <w:t>an</w:t>
            </w:r>
            <w:r w:rsidR="000A5329" w:rsidRPr="002029AF">
              <w:t xml:space="preserve"> </w:t>
            </w:r>
            <w:r w:rsidRPr="002029AF">
              <w:t>output</w:t>
            </w:r>
            <w:r w:rsidR="000A5329" w:rsidRPr="002029AF">
              <w:t xml:space="preserve"> </w:t>
            </w:r>
            <w:r w:rsidRPr="002029AF">
              <w:t>realignment</w:t>
            </w:r>
            <w:r w:rsidR="000A5329" w:rsidRPr="002029AF">
              <w:t xml:space="preserve"> </w:t>
            </w:r>
            <w:r w:rsidRPr="002029AF">
              <w:t>to</w:t>
            </w:r>
            <w:r w:rsidR="000A5329" w:rsidRPr="002029AF">
              <w:t xml:space="preserve"> </w:t>
            </w:r>
            <w:r w:rsidRPr="002029AF">
              <w:t>Ambulance</w:t>
            </w:r>
            <w:r w:rsidR="000A5329" w:rsidRPr="002029AF">
              <w:t xml:space="preserve"> </w:t>
            </w:r>
            <w:r w:rsidRPr="002029AF">
              <w:t>Non-Emergency</w:t>
            </w:r>
            <w:r w:rsidR="000A5329" w:rsidRPr="002029AF">
              <w:t xml:space="preserve"> </w:t>
            </w:r>
            <w:r w:rsidRPr="002029AF">
              <w:t>Services</w:t>
            </w:r>
            <w:r w:rsidR="000A5329" w:rsidRPr="002029AF">
              <w:t xml:space="preserve"> </w:t>
            </w:r>
            <w:r w:rsidRPr="002029AF">
              <w:t>from</w:t>
            </w:r>
            <w:r w:rsidR="000A5329" w:rsidRPr="002029AF">
              <w:t xml:space="preserve"> </w:t>
            </w:r>
            <w:r w:rsidRPr="002029AF">
              <w:t>Ambulance</w:t>
            </w:r>
            <w:r w:rsidR="000A5329" w:rsidRPr="002029AF">
              <w:t xml:space="preserve"> </w:t>
            </w:r>
            <w:r w:rsidRPr="002029AF">
              <w:t>Emergency</w:t>
            </w:r>
            <w:r w:rsidR="000A5329" w:rsidRPr="002029AF">
              <w:t xml:space="preserve"> </w:t>
            </w:r>
            <w:r w:rsidRPr="002029AF">
              <w:t>Services</w:t>
            </w:r>
          </w:p>
        </w:tc>
      </w:tr>
    </w:tbl>
    <w:p w14:paraId="3129A196" w14:textId="61A68336" w:rsidR="00C15C65" w:rsidRPr="002029AF" w:rsidRDefault="00C15C65" w:rsidP="00205D6E">
      <w:pPr>
        <w:pStyle w:val="Heading2"/>
      </w:pPr>
      <w:r w:rsidRPr="002029AF">
        <w:t>Drug</w:t>
      </w:r>
      <w:r w:rsidR="000A5329" w:rsidRPr="002029AF">
        <w:t xml:space="preserve"> </w:t>
      </w:r>
      <w:r w:rsidRPr="002029AF">
        <w:t>Services</w:t>
      </w:r>
    </w:p>
    <w:p w14:paraId="2528C319" w14:textId="6B73D390" w:rsidR="00C15C65" w:rsidRPr="002029AF" w:rsidRDefault="00C15C65" w:rsidP="00C40F5D">
      <w:pPr>
        <w:pStyle w:val="ARbody"/>
      </w:pPr>
      <w:r w:rsidRPr="002029AF">
        <w:t>This</w:t>
      </w:r>
      <w:r w:rsidR="000A5329" w:rsidRPr="002029AF">
        <w:t xml:space="preserve"> </w:t>
      </w:r>
      <w:r w:rsidRPr="002029AF">
        <w:t>output</w:t>
      </w:r>
      <w:r w:rsidR="000A5329" w:rsidRPr="002029AF">
        <w:t xml:space="preserve"> </w:t>
      </w:r>
      <w:r w:rsidRPr="002029AF">
        <w:t>includes</w:t>
      </w:r>
      <w:r w:rsidR="000A5329" w:rsidRPr="002029AF">
        <w:t xml:space="preserve"> </w:t>
      </w:r>
      <w:r w:rsidRPr="002029AF">
        <w:t>programs</w:t>
      </w:r>
      <w:r w:rsidR="000A5329" w:rsidRPr="002029AF">
        <w:t xml:space="preserve"> </w:t>
      </w:r>
      <w:r w:rsidRPr="002029AF">
        <w:t>and</w:t>
      </w:r>
      <w:r w:rsidR="000A5329" w:rsidRPr="002029AF">
        <w:t xml:space="preserve"> </w:t>
      </w:r>
      <w:r w:rsidRPr="002029AF">
        <w:t>services</w:t>
      </w:r>
      <w:r w:rsidR="000A5329" w:rsidRPr="002029AF">
        <w:t xml:space="preserve"> </w:t>
      </w:r>
      <w:r w:rsidRPr="002029AF">
        <w:t>aimed</w:t>
      </w:r>
      <w:r w:rsidR="000A5329" w:rsidRPr="002029AF">
        <w:t xml:space="preserve"> </w:t>
      </w:r>
      <w:r w:rsidRPr="002029AF">
        <w:t>at</w:t>
      </w:r>
      <w:r w:rsidR="000A5329" w:rsidRPr="002029AF">
        <w:t xml:space="preserve"> </w:t>
      </w:r>
      <w:r w:rsidRPr="002029AF">
        <w:t>promoting</w:t>
      </w:r>
      <w:r w:rsidR="000A5329" w:rsidRPr="002029AF">
        <w:t xml:space="preserve"> </w:t>
      </w:r>
      <w:r w:rsidRPr="002029AF">
        <w:t>and</w:t>
      </w:r>
      <w:r w:rsidR="000A5329" w:rsidRPr="002029AF">
        <w:t xml:space="preserve"> </w:t>
      </w:r>
      <w:r w:rsidRPr="002029AF">
        <w:t>protecting</w:t>
      </w:r>
      <w:r w:rsidR="000A5329" w:rsidRPr="002029AF">
        <w:t xml:space="preserve"> </w:t>
      </w:r>
      <w:r w:rsidRPr="002029AF">
        <w:t>health</w:t>
      </w:r>
      <w:r w:rsidR="000A5329" w:rsidRPr="002029AF">
        <w:t xml:space="preserve"> </w:t>
      </w:r>
      <w:r w:rsidRPr="002029AF">
        <w:t>by</w:t>
      </w:r>
      <w:r w:rsidR="000A5329" w:rsidRPr="002029AF">
        <w:t xml:space="preserve"> </w:t>
      </w:r>
      <w:r w:rsidRPr="002029AF">
        <w:t>reducing</w:t>
      </w:r>
      <w:r w:rsidR="000A5329" w:rsidRPr="002029AF">
        <w:t xml:space="preserve"> </w:t>
      </w:r>
      <w:r w:rsidRPr="002029AF">
        <w:t>death,</w:t>
      </w:r>
      <w:r w:rsidR="000A5329" w:rsidRPr="002029AF">
        <w:t xml:space="preserve"> </w:t>
      </w:r>
      <w:r w:rsidRPr="002029AF">
        <w:t>disease</w:t>
      </w:r>
      <w:r w:rsidR="000A5329" w:rsidRPr="002029AF">
        <w:t xml:space="preserve"> </w:t>
      </w:r>
      <w:r w:rsidRPr="002029AF">
        <w:t>and</w:t>
      </w:r>
      <w:r w:rsidR="000A5329" w:rsidRPr="002029AF">
        <w:t xml:space="preserve"> </w:t>
      </w:r>
      <w:r w:rsidRPr="002029AF">
        <w:t>social</w:t>
      </w:r>
      <w:r w:rsidR="000A5329" w:rsidRPr="002029AF">
        <w:t xml:space="preserve"> </w:t>
      </w:r>
      <w:r w:rsidRPr="002029AF">
        <w:t>harm</w:t>
      </w:r>
      <w:r w:rsidR="000A5329" w:rsidRPr="002029AF">
        <w:t xml:space="preserve"> </w:t>
      </w:r>
      <w:r w:rsidRPr="002029AF">
        <w:t>caused</w:t>
      </w:r>
      <w:r w:rsidR="000A5329" w:rsidRPr="002029AF">
        <w:t xml:space="preserve"> </w:t>
      </w:r>
      <w:r w:rsidRPr="002029AF">
        <w:t>by</w:t>
      </w:r>
      <w:r w:rsidR="000A5329" w:rsidRPr="002029AF">
        <w:t xml:space="preserve"> </w:t>
      </w:r>
      <w:r w:rsidRPr="002029AF">
        <w:t>the</w:t>
      </w:r>
      <w:r w:rsidR="000A5329" w:rsidRPr="002029AF">
        <w:t xml:space="preserve"> </w:t>
      </w:r>
      <w:r w:rsidRPr="002029AF">
        <w:t>use</w:t>
      </w:r>
      <w:r w:rsidR="000A5329" w:rsidRPr="002029AF">
        <w:t xml:space="preserve"> </w:t>
      </w:r>
      <w:r w:rsidRPr="002029AF">
        <w:t>and</w:t>
      </w:r>
      <w:r w:rsidR="000A5329" w:rsidRPr="002029AF">
        <w:t xml:space="preserve"> </w:t>
      </w:r>
      <w:r w:rsidRPr="002029AF">
        <w:t>misuse</w:t>
      </w:r>
      <w:r w:rsidR="000A5329" w:rsidRPr="002029AF">
        <w:t xml:space="preserve"> </w:t>
      </w:r>
      <w:r w:rsidRPr="002029AF">
        <w:t>of</w:t>
      </w:r>
      <w:r w:rsidR="000A5329" w:rsidRPr="002029AF">
        <w:t xml:space="preserve"> </w:t>
      </w:r>
      <w:r w:rsidRPr="002029AF">
        <w:t>licit</w:t>
      </w:r>
      <w:r w:rsidR="000A5329" w:rsidRPr="002029AF">
        <w:t xml:space="preserve"> </w:t>
      </w:r>
      <w:r w:rsidRPr="002029AF">
        <w:t>and</w:t>
      </w:r>
      <w:r w:rsidR="000A5329" w:rsidRPr="002029AF">
        <w:t xml:space="preserve"> </w:t>
      </w:r>
      <w:r w:rsidRPr="002029AF">
        <w:t>illicit</w:t>
      </w:r>
      <w:r w:rsidR="000A5329" w:rsidRPr="002029AF">
        <w:t xml:space="preserve"> </w:t>
      </w:r>
      <w:r w:rsidRPr="002029AF">
        <w:t>drugs.</w:t>
      </w:r>
    </w:p>
    <w:tbl>
      <w:tblPr>
        <w:tblW w:w="9639" w:type="dxa"/>
        <w:tblLayout w:type="fixed"/>
        <w:tblCellMar>
          <w:left w:w="0" w:type="dxa"/>
        </w:tblCellMar>
        <w:tblLook w:val="04A0" w:firstRow="1" w:lastRow="0" w:firstColumn="1" w:lastColumn="0" w:noHBand="0" w:noVBand="1"/>
      </w:tblPr>
      <w:tblGrid>
        <w:gridCol w:w="4722"/>
        <w:gridCol w:w="18"/>
        <w:gridCol w:w="9"/>
        <w:gridCol w:w="989"/>
        <w:gridCol w:w="21"/>
        <w:gridCol w:w="10"/>
        <w:gridCol w:w="984"/>
        <w:gridCol w:w="36"/>
        <w:gridCol w:w="987"/>
        <w:gridCol w:w="35"/>
        <w:gridCol w:w="1024"/>
        <w:gridCol w:w="797"/>
        <w:gridCol w:w="7"/>
      </w:tblGrid>
      <w:tr w:rsidR="005B58F0" w:rsidRPr="002029AF" w14:paraId="56306EEF" w14:textId="77777777" w:rsidTr="0014376C">
        <w:trPr>
          <w:cantSplit/>
          <w:tblHeader/>
        </w:trPr>
        <w:tc>
          <w:tcPr>
            <w:tcW w:w="4752" w:type="dxa"/>
            <w:gridSpan w:val="3"/>
            <w:tcBorders>
              <w:top w:val="nil"/>
              <w:left w:val="nil"/>
              <w:bottom w:val="single" w:sz="4" w:space="0" w:color="auto"/>
              <w:right w:val="nil"/>
            </w:tcBorders>
            <w:vAlign w:val="bottom"/>
            <w:hideMark/>
          </w:tcPr>
          <w:p w14:paraId="0E59DE7E" w14:textId="645D7FC6" w:rsidR="005B58F0" w:rsidRPr="002029AF" w:rsidRDefault="005B58F0" w:rsidP="0014376C">
            <w:pPr>
              <w:pStyle w:val="ARtablecolhead"/>
            </w:pPr>
            <w:r w:rsidRPr="002029AF">
              <w:t>Performance</w:t>
            </w:r>
            <w:r w:rsidR="000A5329" w:rsidRPr="002029AF">
              <w:t xml:space="preserve"> </w:t>
            </w:r>
            <w:r w:rsidRPr="002029AF">
              <w:t>measures</w:t>
            </w:r>
          </w:p>
        </w:tc>
        <w:tc>
          <w:tcPr>
            <w:tcW w:w="1020" w:type="dxa"/>
            <w:gridSpan w:val="3"/>
            <w:tcBorders>
              <w:top w:val="nil"/>
              <w:left w:val="nil"/>
              <w:bottom w:val="single" w:sz="4" w:space="0" w:color="auto"/>
              <w:right w:val="nil"/>
            </w:tcBorders>
            <w:vAlign w:val="bottom"/>
            <w:hideMark/>
          </w:tcPr>
          <w:p w14:paraId="28B94451" w14:textId="706A15D3" w:rsidR="005B58F0" w:rsidRPr="002029AF" w:rsidRDefault="005B58F0" w:rsidP="0014376C">
            <w:pPr>
              <w:pStyle w:val="ARtablecolhead"/>
            </w:pPr>
            <w:r w:rsidRPr="002029AF">
              <w:t>Unit</w:t>
            </w:r>
            <w:r w:rsidR="000A5329" w:rsidRPr="002029AF">
              <w:t xml:space="preserve"> </w:t>
            </w:r>
            <w:r w:rsidRPr="002029AF">
              <w:t>of</w:t>
            </w:r>
            <w:r w:rsidR="000A5329" w:rsidRPr="002029AF">
              <w:t xml:space="preserve"> </w:t>
            </w:r>
            <w:r w:rsidRPr="002029AF">
              <w:t>measure</w:t>
            </w:r>
          </w:p>
        </w:tc>
        <w:tc>
          <w:tcPr>
            <w:tcW w:w="1020" w:type="dxa"/>
            <w:gridSpan w:val="2"/>
            <w:tcBorders>
              <w:top w:val="nil"/>
              <w:left w:val="nil"/>
              <w:bottom w:val="single" w:sz="4" w:space="0" w:color="auto"/>
              <w:right w:val="nil"/>
            </w:tcBorders>
            <w:vAlign w:val="bottom"/>
            <w:hideMark/>
          </w:tcPr>
          <w:p w14:paraId="667EA845" w14:textId="55D13246" w:rsidR="005B58F0" w:rsidRPr="002029AF" w:rsidRDefault="005B58F0" w:rsidP="0014376C">
            <w:pPr>
              <w:pStyle w:val="ARtablecolheadright"/>
            </w:pPr>
            <w:r w:rsidRPr="002029AF">
              <w:t>2019–20</w:t>
            </w:r>
            <w:r w:rsidR="000A5329" w:rsidRPr="002029AF">
              <w:t xml:space="preserve"> </w:t>
            </w:r>
            <w:r w:rsidRPr="002029AF">
              <w:t>target</w:t>
            </w:r>
          </w:p>
        </w:tc>
        <w:tc>
          <w:tcPr>
            <w:tcW w:w="1020" w:type="dxa"/>
            <w:gridSpan w:val="2"/>
            <w:tcBorders>
              <w:top w:val="nil"/>
              <w:left w:val="nil"/>
              <w:bottom w:val="single" w:sz="4" w:space="0" w:color="auto"/>
              <w:right w:val="nil"/>
            </w:tcBorders>
            <w:vAlign w:val="bottom"/>
            <w:hideMark/>
          </w:tcPr>
          <w:p w14:paraId="240A5EE5" w14:textId="0EA277D5" w:rsidR="005B58F0" w:rsidRPr="002029AF" w:rsidRDefault="005B58F0" w:rsidP="0014376C">
            <w:pPr>
              <w:pStyle w:val="ARtablecolheadright"/>
            </w:pPr>
            <w:r w:rsidRPr="002029AF">
              <w:t>2019–20</w:t>
            </w:r>
            <w:r w:rsidR="000A5329" w:rsidRPr="002029AF">
              <w:t xml:space="preserve"> </w:t>
            </w:r>
            <w:r w:rsidRPr="002029AF">
              <w:t>actual</w:t>
            </w:r>
          </w:p>
        </w:tc>
        <w:tc>
          <w:tcPr>
            <w:tcW w:w="1023" w:type="dxa"/>
            <w:tcBorders>
              <w:top w:val="nil"/>
              <w:left w:val="nil"/>
              <w:bottom w:val="single" w:sz="4" w:space="0" w:color="auto"/>
              <w:right w:val="nil"/>
            </w:tcBorders>
            <w:vAlign w:val="bottom"/>
            <w:hideMark/>
          </w:tcPr>
          <w:p w14:paraId="3CE74C63" w14:textId="5169E1EE" w:rsidR="005B58F0" w:rsidRPr="002029AF" w:rsidRDefault="005B58F0" w:rsidP="0014376C">
            <w:pPr>
              <w:pStyle w:val="ARtablecolheadright"/>
            </w:pPr>
            <w:r w:rsidRPr="002029AF">
              <w:t>Variation</w:t>
            </w:r>
            <w:r w:rsidR="000A5329" w:rsidRPr="002029AF">
              <w:t xml:space="preserve"> </w:t>
            </w:r>
            <w:r w:rsidRPr="002029AF">
              <w:t>(%)</w:t>
            </w:r>
          </w:p>
        </w:tc>
        <w:tc>
          <w:tcPr>
            <w:tcW w:w="804" w:type="dxa"/>
            <w:gridSpan w:val="2"/>
            <w:tcBorders>
              <w:top w:val="nil"/>
              <w:left w:val="nil"/>
              <w:bottom w:val="single" w:sz="4" w:space="0" w:color="auto"/>
              <w:right w:val="nil"/>
            </w:tcBorders>
            <w:vAlign w:val="bottom"/>
            <w:hideMark/>
          </w:tcPr>
          <w:p w14:paraId="106A3999" w14:textId="77777777" w:rsidR="005B58F0" w:rsidRPr="002029AF" w:rsidRDefault="005B58F0" w:rsidP="000D3C3F">
            <w:pPr>
              <w:pStyle w:val="ARtablecolheadcentre"/>
            </w:pPr>
            <w:r w:rsidRPr="002029AF">
              <w:t>Result</w:t>
            </w:r>
          </w:p>
        </w:tc>
      </w:tr>
      <w:tr w:rsidR="00C15C65" w:rsidRPr="002029AF" w14:paraId="5D9C40DA" w14:textId="77777777" w:rsidTr="005B58F0">
        <w:trPr>
          <w:cantSplit/>
        </w:trPr>
        <w:tc>
          <w:tcPr>
            <w:tcW w:w="9639" w:type="dxa"/>
            <w:gridSpan w:val="13"/>
            <w:tcBorders>
              <w:top w:val="single" w:sz="4" w:space="0" w:color="auto"/>
              <w:left w:val="nil"/>
              <w:bottom w:val="single" w:sz="4" w:space="0" w:color="auto"/>
              <w:right w:val="nil"/>
            </w:tcBorders>
            <w:hideMark/>
          </w:tcPr>
          <w:p w14:paraId="39F0954B" w14:textId="041BF824" w:rsidR="00C15C65" w:rsidRPr="002029AF" w:rsidRDefault="00C15C65" w:rsidP="007666A5">
            <w:pPr>
              <w:pStyle w:val="ARtablesubhead"/>
            </w:pPr>
            <w:r w:rsidRPr="002029AF">
              <w:t>Drug</w:t>
            </w:r>
            <w:r w:rsidR="000A5329" w:rsidRPr="002029AF">
              <w:t xml:space="preserve"> </w:t>
            </w:r>
            <w:r w:rsidRPr="002029AF">
              <w:t>Prevention</w:t>
            </w:r>
            <w:r w:rsidR="000A5329" w:rsidRPr="002029AF">
              <w:t xml:space="preserve"> </w:t>
            </w:r>
            <w:r w:rsidRPr="002029AF">
              <w:t>and</w:t>
            </w:r>
            <w:r w:rsidR="000A5329" w:rsidRPr="002029AF">
              <w:t xml:space="preserve"> </w:t>
            </w:r>
            <w:r w:rsidRPr="002029AF">
              <w:t>Control</w:t>
            </w:r>
          </w:p>
        </w:tc>
      </w:tr>
      <w:tr w:rsidR="00C15C65" w:rsidRPr="002029AF" w14:paraId="577D395B" w14:textId="77777777" w:rsidTr="005B58F0">
        <w:trPr>
          <w:cantSplit/>
        </w:trPr>
        <w:tc>
          <w:tcPr>
            <w:tcW w:w="9639" w:type="dxa"/>
            <w:gridSpan w:val="13"/>
            <w:tcBorders>
              <w:top w:val="single" w:sz="4" w:space="0" w:color="auto"/>
              <w:left w:val="nil"/>
              <w:bottom w:val="nil"/>
              <w:right w:val="nil"/>
            </w:tcBorders>
            <w:hideMark/>
          </w:tcPr>
          <w:p w14:paraId="4E70C688" w14:textId="77777777" w:rsidR="00C15C65" w:rsidRPr="002029AF" w:rsidRDefault="00C15C65" w:rsidP="00D96AFD">
            <w:pPr>
              <w:pStyle w:val="ARtablegreybold"/>
            </w:pPr>
            <w:r w:rsidRPr="002029AF">
              <w:t>Quantity</w:t>
            </w:r>
          </w:p>
        </w:tc>
      </w:tr>
      <w:tr w:rsidR="00C15C65" w:rsidRPr="002029AF" w14:paraId="67993B0A" w14:textId="77777777" w:rsidTr="005B58F0">
        <w:trPr>
          <w:gridAfter w:val="1"/>
          <w:wAfter w:w="6" w:type="dxa"/>
          <w:cantSplit/>
        </w:trPr>
        <w:tc>
          <w:tcPr>
            <w:tcW w:w="4725" w:type="dxa"/>
            <w:shd w:val="clear" w:color="auto" w:fill="auto"/>
            <w:hideMark/>
          </w:tcPr>
          <w:p w14:paraId="7A0E2BC0" w14:textId="1FCE6118" w:rsidR="00C15C65" w:rsidRPr="002029AF" w:rsidRDefault="00C15C65" w:rsidP="00C40F5D">
            <w:pPr>
              <w:pStyle w:val="ARtabletext"/>
            </w:pPr>
            <w:r w:rsidRPr="002029AF">
              <w:t>Number</w:t>
            </w:r>
            <w:r w:rsidR="000A5329" w:rsidRPr="002029AF">
              <w:t xml:space="preserve"> </w:t>
            </w:r>
            <w:r w:rsidRPr="002029AF">
              <w:t>of</w:t>
            </w:r>
            <w:r w:rsidR="000A5329" w:rsidRPr="002029AF">
              <w:t xml:space="preserve"> </w:t>
            </w:r>
            <w:r w:rsidRPr="002029AF">
              <w:t>phone</w:t>
            </w:r>
            <w:r w:rsidR="000A5329" w:rsidRPr="002029AF">
              <w:t xml:space="preserve"> </w:t>
            </w:r>
            <w:r w:rsidRPr="002029AF">
              <w:t>contacts</w:t>
            </w:r>
            <w:r w:rsidR="000A5329" w:rsidRPr="002029AF">
              <w:t xml:space="preserve"> </w:t>
            </w:r>
            <w:r w:rsidRPr="002029AF">
              <w:t>from</w:t>
            </w:r>
            <w:r w:rsidR="000A5329" w:rsidRPr="002029AF">
              <w:t xml:space="preserve"> </w:t>
            </w:r>
            <w:r w:rsidRPr="002029AF">
              <w:t>family</w:t>
            </w:r>
            <w:r w:rsidR="000A5329" w:rsidRPr="002029AF">
              <w:t xml:space="preserve"> </w:t>
            </w:r>
            <w:r w:rsidRPr="002029AF">
              <w:t>members</w:t>
            </w:r>
            <w:r w:rsidR="000A5329" w:rsidRPr="002029AF">
              <w:t xml:space="preserve"> </w:t>
            </w:r>
            <w:r w:rsidRPr="002029AF">
              <w:t>seeking</w:t>
            </w:r>
            <w:r w:rsidR="000A5329" w:rsidRPr="002029AF">
              <w:t xml:space="preserve"> </w:t>
            </w:r>
            <w:r w:rsidRPr="002029AF">
              <w:t>support</w:t>
            </w:r>
          </w:p>
        </w:tc>
        <w:tc>
          <w:tcPr>
            <w:tcW w:w="1016" w:type="dxa"/>
            <w:gridSpan w:val="3"/>
            <w:shd w:val="clear" w:color="auto" w:fill="auto"/>
            <w:hideMark/>
          </w:tcPr>
          <w:p w14:paraId="0CB160D6" w14:textId="77777777" w:rsidR="00C15C65" w:rsidRPr="002029AF" w:rsidRDefault="00C15C65" w:rsidP="00C40F5D">
            <w:pPr>
              <w:pStyle w:val="ARtabletext"/>
            </w:pPr>
            <w:r w:rsidRPr="002029AF">
              <w:t>number</w:t>
            </w:r>
          </w:p>
        </w:tc>
        <w:tc>
          <w:tcPr>
            <w:tcW w:w="1015" w:type="dxa"/>
            <w:gridSpan w:val="3"/>
            <w:shd w:val="clear" w:color="auto" w:fill="auto"/>
            <w:hideMark/>
          </w:tcPr>
          <w:p w14:paraId="0BDC9D6E" w14:textId="77777777" w:rsidR="00C15C65" w:rsidRPr="002029AF" w:rsidRDefault="00C15C65" w:rsidP="00FD77AA">
            <w:pPr>
              <w:pStyle w:val="ARtabletextright"/>
            </w:pPr>
            <w:r w:rsidRPr="002029AF">
              <w:t>14,300</w:t>
            </w:r>
          </w:p>
        </w:tc>
        <w:tc>
          <w:tcPr>
            <w:tcW w:w="1023" w:type="dxa"/>
            <w:gridSpan w:val="2"/>
            <w:shd w:val="clear" w:color="auto" w:fill="auto"/>
            <w:hideMark/>
          </w:tcPr>
          <w:p w14:paraId="29903478" w14:textId="77777777" w:rsidR="00C15C65" w:rsidRPr="002029AF" w:rsidRDefault="00C15C65" w:rsidP="00FD77AA">
            <w:pPr>
              <w:pStyle w:val="ARtabletextright"/>
            </w:pPr>
            <w:r w:rsidRPr="002029AF">
              <w:t>10,682</w:t>
            </w:r>
          </w:p>
        </w:tc>
        <w:tc>
          <w:tcPr>
            <w:tcW w:w="1057" w:type="dxa"/>
            <w:gridSpan w:val="2"/>
            <w:shd w:val="clear" w:color="auto" w:fill="auto"/>
          </w:tcPr>
          <w:p w14:paraId="1C399937" w14:textId="77777777" w:rsidR="00C15C65" w:rsidRPr="002029AF" w:rsidRDefault="00C15C65" w:rsidP="00FD77AA">
            <w:pPr>
              <w:pStyle w:val="ARtabletextright"/>
            </w:pPr>
            <w:r w:rsidRPr="002029AF">
              <w:t>-25.3</w:t>
            </w:r>
          </w:p>
        </w:tc>
        <w:tc>
          <w:tcPr>
            <w:tcW w:w="797" w:type="dxa"/>
            <w:shd w:val="clear" w:color="auto" w:fill="auto"/>
            <w:hideMark/>
          </w:tcPr>
          <w:p w14:paraId="68B7A09B"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10469AA7" w14:textId="77777777" w:rsidTr="005B58F0">
        <w:trPr>
          <w:gridAfter w:val="1"/>
          <w:wAfter w:w="6" w:type="dxa"/>
          <w:cantSplit/>
        </w:trPr>
        <w:tc>
          <w:tcPr>
            <w:tcW w:w="9633" w:type="dxa"/>
            <w:gridSpan w:val="12"/>
            <w:tcBorders>
              <w:bottom w:val="single" w:sz="4" w:space="0" w:color="BFBFBF"/>
            </w:tcBorders>
            <w:shd w:val="clear" w:color="auto" w:fill="auto"/>
            <w:noWrap/>
            <w:hideMark/>
          </w:tcPr>
          <w:p w14:paraId="7C7ADB93" w14:textId="00FF7E39" w:rsidR="00C15C65" w:rsidRPr="002029AF" w:rsidRDefault="00C15C65" w:rsidP="002C5190">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by</w:t>
            </w:r>
            <w:r w:rsidR="000A5329" w:rsidRPr="002029AF">
              <w:t xml:space="preserve"> </w:t>
            </w:r>
            <w:r w:rsidRPr="002029AF">
              <w:t>late</w:t>
            </w:r>
            <w:r w:rsidR="000A5329" w:rsidRPr="002029AF">
              <w:t xml:space="preserve"> </w:t>
            </w:r>
            <w:r w:rsidRPr="002029AF">
              <w:t>2020.</w:t>
            </w:r>
            <w:r w:rsidR="000A5329" w:rsidRPr="002029AF">
              <w:t xml:space="preserve"> </w:t>
            </w: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lower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a</w:t>
            </w:r>
            <w:r w:rsidR="000A5329" w:rsidRPr="002029AF">
              <w:t xml:space="preserve"> </w:t>
            </w:r>
            <w:r w:rsidRPr="002029AF">
              <w:t>change</w:t>
            </w:r>
            <w:r w:rsidR="000A5329" w:rsidRPr="002029AF">
              <w:t xml:space="preserve"> </w:t>
            </w:r>
            <w:r w:rsidRPr="002029AF">
              <w:t>in</w:t>
            </w:r>
            <w:r w:rsidR="000A5329" w:rsidRPr="002029AF">
              <w:t xml:space="preserve"> </w:t>
            </w:r>
            <w:r w:rsidRPr="002029AF">
              <w:t>preference</w:t>
            </w:r>
            <w:r w:rsidR="000A5329" w:rsidRPr="002029AF">
              <w:t xml:space="preserve"> </w:t>
            </w:r>
            <w:r w:rsidRPr="002029AF">
              <w:t>for</w:t>
            </w:r>
            <w:r w:rsidR="000A5329" w:rsidRPr="002029AF">
              <w:t xml:space="preserve"> </w:t>
            </w:r>
            <w:r w:rsidRPr="002029AF">
              <w:t>how</w:t>
            </w:r>
            <w:r w:rsidR="000A5329" w:rsidRPr="002029AF">
              <w:t xml:space="preserve"> </w:t>
            </w:r>
            <w:r w:rsidRPr="002029AF">
              <w:t>clients</w:t>
            </w:r>
            <w:r w:rsidR="000A5329" w:rsidRPr="002029AF">
              <w:t xml:space="preserve"> </w:t>
            </w:r>
            <w:r w:rsidRPr="002029AF">
              <w:t>access</w:t>
            </w:r>
            <w:r w:rsidR="000A5329" w:rsidRPr="002029AF">
              <w:t xml:space="preserve"> </w:t>
            </w:r>
            <w:r w:rsidRPr="002029AF">
              <w:t>drug</w:t>
            </w:r>
            <w:r w:rsidR="000A5329" w:rsidRPr="002029AF">
              <w:t xml:space="preserve"> </w:t>
            </w:r>
            <w:r w:rsidRPr="002029AF">
              <w:t>and</w:t>
            </w:r>
            <w:r w:rsidR="000A5329" w:rsidRPr="002029AF">
              <w:t xml:space="preserve"> </w:t>
            </w:r>
            <w:r w:rsidRPr="002029AF">
              <w:t>alcohol</w:t>
            </w:r>
            <w:r w:rsidR="000A5329" w:rsidRPr="002029AF">
              <w:t xml:space="preserve"> </w:t>
            </w:r>
            <w:r w:rsidRPr="002029AF">
              <w:t>information.</w:t>
            </w:r>
          </w:p>
        </w:tc>
      </w:tr>
      <w:tr w:rsidR="00C15C65" w:rsidRPr="002029AF" w14:paraId="6917971F" w14:textId="77777777" w:rsidTr="005B58F0">
        <w:trPr>
          <w:gridAfter w:val="1"/>
          <w:wAfter w:w="6" w:type="dxa"/>
          <w:cantSplit/>
        </w:trPr>
        <w:tc>
          <w:tcPr>
            <w:tcW w:w="4725" w:type="dxa"/>
            <w:shd w:val="clear" w:color="auto" w:fill="auto"/>
            <w:hideMark/>
          </w:tcPr>
          <w:p w14:paraId="7FA7C311" w14:textId="691C0BE5" w:rsidR="00C15C65" w:rsidRPr="002029AF" w:rsidRDefault="00C15C65" w:rsidP="00CA3123">
            <w:pPr>
              <w:pStyle w:val="ARtabletext"/>
              <w:keepNext/>
            </w:pPr>
            <w:r w:rsidRPr="002029AF">
              <w:t>Needles</w:t>
            </w:r>
            <w:r w:rsidR="000A5329" w:rsidRPr="002029AF">
              <w:t xml:space="preserve"> </w:t>
            </w:r>
            <w:r w:rsidRPr="002029AF">
              <w:t>and</w:t>
            </w:r>
            <w:r w:rsidR="000A5329" w:rsidRPr="002029AF">
              <w:t xml:space="preserve"> </w:t>
            </w:r>
            <w:r w:rsidRPr="002029AF">
              <w:t>syringes</w:t>
            </w:r>
            <w:r w:rsidR="000A5329" w:rsidRPr="002029AF">
              <w:t xml:space="preserve"> </w:t>
            </w:r>
            <w:r w:rsidRPr="002029AF">
              <w:t>provided</w:t>
            </w:r>
            <w:r w:rsidR="000A5329" w:rsidRPr="002029AF">
              <w:t xml:space="preserve"> </w:t>
            </w:r>
            <w:r w:rsidRPr="002029AF">
              <w:t>through</w:t>
            </w:r>
            <w:r w:rsidR="000A5329" w:rsidRPr="002029AF">
              <w:t xml:space="preserve"> </w:t>
            </w:r>
            <w:r w:rsidRPr="002029AF">
              <w:t>the</w:t>
            </w:r>
            <w:r w:rsidR="000A5329" w:rsidRPr="002029AF">
              <w:t xml:space="preserve"> </w:t>
            </w:r>
            <w:r w:rsidRPr="002029AF">
              <w:t>Needle</w:t>
            </w:r>
            <w:r w:rsidR="000A5329" w:rsidRPr="002029AF">
              <w:t xml:space="preserve"> </w:t>
            </w:r>
            <w:r w:rsidRPr="002029AF">
              <w:t>and</w:t>
            </w:r>
            <w:r w:rsidR="000A5329" w:rsidRPr="002029AF">
              <w:t xml:space="preserve"> </w:t>
            </w:r>
            <w:r w:rsidRPr="002029AF">
              <w:t>Syringe</w:t>
            </w:r>
            <w:r w:rsidR="000A5329" w:rsidRPr="002029AF">
              <w:t xml:space="preserve"> </w:t>
            </w:r>
            <w:r w:rsidRPr="002029AF">
              <w:t>Program</w:t>
            </w:r>
          </w:p>
        </w:tc>
        <w:tc>
          <w:tcPr>
            <w:tcW w:w="1016" w:type="dxa"/>
            <w:gridSpan w:val="3"/>
            <w:shd w:val="clear" w:color="auto" w:fill="auto"/>
            <w:hideMark/>
          </w:tcPr>
          <w:p w14:paraId="61F3718A" w14:textId="0E72D792" w:rsidR="00C15C65" w:rsidRPr="002029AF" w:rsidRDefault="00C15C65" w:rsidP="00C40F5D">
            <w:pPr>
              <w:pStyle w:val="ARtabletext"/>
            </w:pPr>
            <w:r w:rsidRPr="002029AF">
              <w:t>number</w:t>
            </w:r>
            <w:r w:rsidR="000A5329" w:rsidRPr="002029AF">
              <w:t xml:space="preserve"> </w:t>
            </w:r>
            <w:r w:rsidR="005F298C">
              <w:t>(’000</w:t>
            </w:r>
            <w:r w:rsidRPr="002029AF">
              <w:t>)</w:t>
            </w:r>
          </w:p>
        </w:tc>
        <w:tc>
          <w:tcPr>
            <w:tcW w:w="1015" w:type="dxa"/>
            <w:gridSpan w:val="3"/>
            <w:shd w:val="clear" w:color="auto" w:fill="auto"/>
            <w:hideMark/>
          </w:tcPr>
          <w:p w14:paraId="53579977" w14:textId="77777777" w:rsidR="00C15C65" w:rsidRPr="002029AF" w:rsidRDefault="00C15C65" w:rsidP="00FD77AA">
            <w:pPr>
              <w:pStyle w:val="ARtabletextright"/>
            </w:pPr>
            <w:r w:rsidRPr="002029AF">
              <w:t>9,680</w:t>
            </w:r>
          </w:p>
        </w:tc>
        <w:tc>
          <w:tcPr>
            <w:tcW w:w="1023" w:type="dxa"/>
            <w:gridSpan w:val="2"/>
            <w:shd w:val="clear" w:color="auto" w:fill="auto"/>
            <w:hideMark/>
          </w:tcPr>
          <w:p w14:paraId="62A75E5E" w14:textId="77777777" w:rsidR="00C15C65" w:rsidRPr="002029AF" w:rsidRDefault="00C15C65" w:rsidP="00FD77AA">
            <w:pPr>
              <w:pStyle w:val="ARtabletextright"/>
            </w:pPr>
            <w:r w:rsidRPr="002029AF">
              <w:t>12,408</w:t>
            </w:r>
          </w:p>
        </w:tc>
        <w:tc>
          <w:tcPr>
            <w:tcW w:w="1057" w:type="dxa"/>
            <w:gridSpan w:val="2"/>
            <w:shd w:val="clear" w:color="auto" w:fill="auto"/>
          </w:tcPr>
          <w:p w14:paraId="49DC2AD1" w14:textId="77777777" w:rsidR="00C15C65" w:rsidRPr="002029AF" w:rsidRDefault="00C15C65" w:rsidP="00FD77AA">
            <w:pPr>
              <w:pStyle w:val="ARtabletextright"/>
            </w:pPr>
            <w:r w:rsidRPr="002029AF">
              <w:t>28.2</w:t>
            </w:r>
          </w:p>
        </w:tc>
        <w:tc>
          <w:tcPr>
            <w:tcW w:w="797" w:type="dxa"/>
            <w:shd w:val="clear" w:color="auto" w:fill="auto"/>
            <w:hideMark/>
          </w:tcPr>
          <w:p w14:paraId="1E6378A2"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22A4EDD5" w14:textId="77777777" w:rsidTr="005B58F0">
        <w:trPr>
          <w:gridAfter w:val="1"/>
          <w:wAfter w:w="6" w:type="dxa"/>
          <w:cantSplit/>
        </w:trPr>
        <w:tc>
          <w:tcPr>
            <w:tcW w:w="9633" w:type="dxa"/>
            <w:gridSpan w:val="12"/>
            <w:tcBorders>
              <w:bottom w:val="single" w:sz="4" w:space="0" w:color="BFBFBF"/>
            </w:tcBorders>
            <w:shd w:val="clear" w:color="auto" w:fill="auto"/>
            <w:noWrap/>
            <w:hideMark/>
          </w:tcPr>
          <w:p w14:paraId="490D69E9" w14:textId="78A91270" w:rsidR="00C15C65" w:rsidRPr="002029AF" w:rsidRDefault="00C15C65" w:rsidP="002C5190">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ongoing</w:t>
            </w:r>
            <w:r w:rsidR="000A5329" w:rsidRPr="002029AF">
              <w:t xml:space="preserve"> </w:t>
            </w:r>
            <w:r w:rsidRPr="002029AF">
              <w:t>strong</w:t>
            </w:r>
            <w:r w:rsidR="000A5329" w:rsidRPr="002029AF">
              <w:t xml:space="preserve"> </w:t>
            </w:r>
            <w:r w:rsidRPr="002029AF">
              <w:t>engagement</w:t>
            </w:r>
            <w:r w:rsidR="000A5329" w:rsidRPr="002029AF">
              <w:t xml:space="preserve"> </w:t>
            </w:r>
            <w:r w:rsidRPr="002029AF">
              <w:t>by</w:t>
            </w:r>
            <w:r w:rsidR="000A5329" w:rsidRPr="002029AF">
              <w:t xml:space="preserve"> </w:t>
            </w:r>
            <w:r w:rsidRPr="002029AF">
              <w:t>clients</w:t>
            </w:r>
            <w:r w:rsidR="000A5329" w:rsidRPr="002029AF">
              <w:t xml:space="preserve"> </w:t>
            </w:r>
            <w:r w:rsidRPr="002029AF">
              <w:t>with</w:t>
            </w:r>
            <w:r w:rsidR="000A5329" w:rsidRPr="002029AF">
              <w:t xml:space="preserve"> </w:t>
            </w:r>
            <w:r w:rsidRPr="002029AF">
              <w:t>the</w:t>
            </w:r>
            <w:r w:rsidR="000A5329" w:rsidRPr="002029AF">
              <w:t xml:space="preserve"> </w:t>
            </w:r>
            <w:r w:rsidRPr="002029AF">
              <w:t>program.</w:t>
            </w:r>
            <w:r w:rsidR="000A5329" w:rsidRPr="002029AF">
              <w:t xml:space="preserve"> </w:t>
            </w:r>
            <w:r w:rsidRPr="002029AF">
              <w:t>This</w:t>
            </w:r>
            <w:r w:rsidR="000A5329" w:rsidRPr="002029AF">
              <w:t xml:space="preserve"> </w:t>
            </w:r>
            <w:r w:rsidRPr="002029AF">
              <w:t>is</w:t>
            </w:r>
            <w:r w:rsidR="000A5329" w:rsidRPr="002029AF">
              <w:t xml:space="preserve"> </w:t>
            </w:r>
            <w:r w:rsidRPr="002029AF">
              <w:t>a</w:t>
            </w:r>
            <w:r w:rsidR="000A5329" w:rsidRPr="002029AF">
              <w:t xml:space="preserve"> </w:t>
            </w:r>
            <w:r w:rsidRPr="002029AF">
              <w:t>positive</w:t>
            </w:r>
            <w:r w:rsidR="000A5329" w:rsidRPr="002029AF">
              <w:t xml:space="preserve"> </w:t>
            </w:r>
            <w:r w:rsidRPr="002029AF">
              <w:t>result.</w:t>
            </w:r>
          </w:p>
        </w:tc>
      </w:tr>
      <w:tr w:rsidR="00C15C65" w:rsidRPr="002029AF" w14:paraId="3111C61E" w14:textId="77777777" w:rsidTr="00EF3FCC">
        <w:trPr>
          <w:gridAfter w:val="1"/>
          <w:wAfter w:w="6" w:type="dxa"/>
          <w:cantSplit/>
        </w:trPr>
        <w:tc>
          <w:tcPr>
            <w:tcW w:w="4725" w:type="dxa"/>
            <w:shd w:val="clear" w:color="auto" w:fill="auto"/>
            <w:hideMark/>
          </w:tcPr>
          <w:p w14:paraId="2C44C438" w14:textId="28356D65" w:rsidR="00C15C65" w:rsidRPr="002029AF" w:rsidRDefault="00C15C65" w:rsidP="00C40F5D">
            <w:pPr>
              <w:pStyle w:val="ARtabletext"/>
            </w:pPr>
            <w:r w:rsidRPr="002029AF">
              <w:t>Number</w:t>
            </w:r>
            <w:r w:rsidR="000A5329" w:rsidRPr="002029AF">
              <w:t xml:space="preserve"> </w:t>
            </w:r>
            <w:r w:rsidRPr="002029AF">
              <w:t>of</w:t>
            </w:r>
            <w:r w:rsidR="000A5329" w:rsidRPr="002029AF">
              <w:t xml:space="preserve"> </w:t>
            </w:r>
            <w:r w:rsidRPr="002029AF">
              <w:t>telephone,</w:t>
            </w:r>
            <w:r w:rsidR="000A5329" w:rsidRPr="002029AF">
              <w:t xml:space="preserve"> </w:t>
            </w:r>
            <w:r w:rsidRPr="002029AF">
              <w:t>email,</w:t>
            </w:r>
            <w:r w:rsidR="000A5329" w:rsidRPr="002029AF">
              <w:t xml:space="preserve"> </w:t>
            </w:r>
            <w:r w:rsidRPr="002029AF">
              <w:t>website</w:t>
            </w:r>
            <w:r w:rsidR="000A5329" w:rsidRPr="002029AF">
              <w:t xml:space="preserve"> </w:t>
            </w:r>
            <w:r w:rsidRPr="002029AF">
              <w:t>contacts</w:t>
            </w:r>
            <w:r w:rsidR="000A5329" w:rsidRPr="002029AF">
              <w:t xml:space="preserve"> </w:t>
            </w:r>
            <w:r w:rsidRPr="002029AF">
              <w:t>and</w:t>
            </w:r>
            <w:r w:rsidR="000A5329" w:rsidRPr="002029AF">
              <w:t xml:space="preserve"> </w:t>
            </w:r>
            <w:r w:rsidRPr="002029AF">
              <w:t>requests</w:t>
            </w:r>
            <w:r w:rsidR="000A5329" w:rsidRPr="002029AF">
              <w:t xml:space="preserve"> </w:t>
            </w:r>
            <w:r w:rsidRPr="002029AF">
              <w:t>for</w:t>
            </w:r>
            <w:r w:rsidR="000A5329" w:rsidRPr="002029AF">
              <w:t xml:space="preserve"> </w:t>
            </w:r>
            <w:r w:rsidRPr="002029AF">
              <w:t>information</w:t>
            </w:r>
            <w:r w:rsidR="000A5329" w:rsidRPr="002029AF">
              <w:t xml:space="preserve"> </w:t>
            </w:r>
            <w:r w:rsidRPr="002029AF">
              <w:t>on</w:t>
            </w:r>
            <w:r w:rsidR="000A5329" w:rsidRPr="002029AF">
              <w:t xml:space="preserve"> </w:t>
            </w:r>
            <w:r w:rsidRPr="002029AF">
              <w:t>alcohol</w:t>
            </w:r>
            <w:r w:rsidR="000A5329" w:rsidRPr="002029AF">
              <w:t xml:space="preserve"> </w:t>
            </w:r>
            <w:r w:rsidRPr="002029AF">
              <w:t>and</w:t>
            </w:r>
            <w:r w:rsidR="000A5329" w:rsidRPr="002029AF">
              <w:t xml:space="preserve"> </w:t>
            </w:r>
            <w:r w:rsidRPr="002029AF">
              <w:t>other</w:t>
            </w:r>
            <w:r w:rsidR="000A5329" w:rsidRPr="002029AF">
              <w:t xml:space="preserve"> </w:t>
            </w:r>
            <w:r w:rsidRPr="002029AF">
              <w:t>drugs</w:t>
            </w:r>
          </w:p>
        </w:tc>
        <w:tc>
          <w:tcPr>
            <w:tcW w:w="1016" w:type="dxa"/>
            <w:gridSpan w:val="3"/>
            <w:shd w:val="clear" w:color="auto" w:fill="auto"/>
            <w:hideMark/>
          </w:tcPr>
          <w:p w14:paraId="652868E4" w14:textId="22B0AB13" w:rsidR="00C15C65" w:rsidRPr="002029AF" w:rsidRDefault="00C15C65" w:rsidP="00C40F5D">
            <w:pPr>
              <w:pStyle w:val="ARtabletext"/>
            </w:pPr>
            <w:r w:rsidRPr="002029AF">
              <w:t>number</w:t>
            </w:r>
            <w:r w:rsidR="000A5329" w:rsidRPr="002029AF">
              <w:t xml:space="preserve"> </w:t>
            </w:r>
            <w:r w:rsidR="005F298C">
              <w:t>(’000</w:t>
            </w:r>
            <w:r w:rsidRPr="002029AF">
              <w:t>)</w:t>
            </w:r>
          </w:p>
        </w:tc>
        <w:tc>
          <w:tcPr>
            <w:tcW w:w="1015" w:type="dxa"/>
            <w:gridSpan w:val="3"/>
            <w:shd w:val="clear" w:color="auto" w:fill="auto"/>
            <w:hideMark/>
          </w:tcPr>
          <w:p w14:paraId="5A4CD6C8" w14:textId="77777777" w:rsidR="00C15C65" w:rsidRPr="002029AF" w:rsidRDefault="00C15C65" w:rsidP="00FD77AA">
            <w:pPr>
              <w:pStyle w:val="ARtabletextright"/>
            </w:pPr>
            <w:r w:rsidRPr="002029AF">
              <w:t>2,000</w:t>
            </w:r>
          </w:p>
        </w:tc>
        <w:tc>
          <w:tcPr>
            <w:tcW w:w="1023" w:type="dxa"/>
            <w:gridSpan w:val="2"/>
            <w:shd w:val="clear" w:color="auto" w:fill="auto"/>
            <w:hideMark/>
          </w:tcPr>
          <w:p w14:paraId="50D89C55" w14:textId="77777777" w:rsidR="00C15C65" w:rsidRPr="002029AF" w:rsidRDefault="00C15C65" w:rsidP="00FD77AA">
            <w:pPr>
              <w:pStyle w:val="ARtabletextright"/>
            </w:pPr>
            <w:r w:rsidRPr="002029AF">
              <w:t>4,885</w:t>
            </w:r>
          </w:p>
        </w:tc>
        <w:tc>
          <w:tcPr>
            <w:tcW w:w="1057" w:type="dxa"/>
            <w:gridSpan w:val="2"/>
            <w:shd w:val="clear" w:color="auto" w:fill="auto"/>
          </w:tcPr>
          <w:p w14:paraId="20F25561" w14:textId="77777777" w:rsidR="00C15C65" w:rsidRPr="002029AF" w:rsidRDefault="00C15C65" w:rsidP="00FD77AA">
            <w:pPr>
              <w:pStyle w:val="ARtabletextright"/>
            </w:pPr>
            <w:r w:rsidRPr="002029AF">
              <w:t>144.3</w:t>
            </w:r>
          </w:p>
        </w:tc>
        <w:tc>
          <w:tcPr>
            <w:tcW w:w="797" w:type="dxa"/>
            <w:shd w:val="clear" w:color="auto" w:fill="auto"/>
            <w:hideMark/>
          </w:tcPr>
          <w:p w14:paraId="0BC21E51"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646649CB" w14:textId="77777777" w:rsidTr="00EF3FCC">
        <w:trPr>
          <w:gridAfter w:val="1"/>
          <w:wAfter w:w="6" w:type="dxa"/>
          <w:cantSplit/>
        </w:trPr>
        <w:tc>
          <w:tcPr>
            <w:tcW w:w="9633" w:type="dxa"/>
            <w:gridSpan w:val="12"/>
            <w:tcBorders>
              <w:bottom w:val="single" w:sz="4" w:space="0" w:color="auto"/>
            </w:tcBorders>
            <w:shd w:val="clear" w:color="auto" w:fill="auto"/>
            <w:noWrap/>
            <w:hideMark/>
          </w:tcPr>
          <w:p w14:paraId="11EA4BB0" w14:textId="55A60D76" w:rsidR="00C15C65" w:rsidRPr="002029AF" w:rsidRDefault="00C15C65" w:rsidP="002C5190">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by</w:t>
            </w:r>
            <w:r w:rsidR="000A5329" w:rsidRPr="002029AF">
              <w:t xml:space="preserve"> </w:t>
            </w:r>
            <w:r w:rsidRPr="002029AF">
              <w:t>late</w:t>
            </w:r>
            <w:r w:rsidR="000A5329" w:rsidRPr="002029AF">
              <w:t xml:space="preserve"> </w:t>
            </w:r>
            <w:r w:rsidRPr="002029AF">
              <w:t>2020.</w:t>
            </w:r>
            <w:r w:rsidR="000A5329" w:rsidRPr="002029AF">
              <w:t xml:space="preserve"> </w:t>
            </w: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the</w:t>
            </w:r>
            <w:r w:rsidR="000A5329" w:rsidRPr="002029AF">
              <w:t xml:space="preserve"> </w:t>
            </w:r>
            <w:r w:rsidRPr="002029AF">
              <w:t>high</w:t>
            </w:r>
            <w:r w:rsidR="000A5329" w:rsidRPr="002029AF">
              <w:t xml:space="preserve"> </w:t>
            </w:r>
            <w:r w:rsidRPr="002029AF">
              <w:t>uptake</w:t>
            </w:r>
            <w:r w:rsidR="000A5329" w:rsidRPr="002029AF">
              <w:t xml:space="preserve"> </w:t>
            </w:r>
            <w:r w:rsidRPr="002029AF">
              <w:t>of</w:t>
            </w:r>
            <w:r w:rsidR="000A5329" w:rsidRPr="002029AF">
              <w:t xml:space="preserve"> </w:t>
            </w:r>
            <w:r w:rsidRPr="002029AF">
              <w:t>online</w:t>
            </w:r>
            <w:r w:rsidR="000A5329" w:rsidRPr="002029AF">
              <w:t xml:space="preserve"> </w:t>
            </w:r>
            <w:r w:rsidRPr="002029AF">
              <w:t>drug</w:t>
            </w:r>
            <w:r w:rsidR="000A5329" w:rsidRPr="002029AF">
              <w:t xml:space="preserve"> </w:t>
            </w:r>
            <w:r w:rsidRPr="002029AF">
              <w:t>and</w:t>
            </w:r>
            <w:r w:rsidR="000A5329" w:rsidRPr="002029AF">
              <w:t xml:space="preserve"> </w:t>
            </w:r>
            <w:r w:rsidRPr="002029AF">
              <w:t>alcohol</w:t>
            </w:r>
            <w:r w:rsidR="000A5329" w:rsidRPr="002029AF">
              <w:t xml:space="preserve"> </w:t>
            </w:r>
            <w:r w:rsidRPr="002029AF">
              <w:t>information</w:t>
            </w:r>
            <w:r w:rsidR="000A5329" w:rsidRPr="002029AF">
              <w:t xml:space="preserve"> </w:t>
            </w:r>
            <w:r w:rsidRPr="002029AF">
              <w:t>services</w:t>
            </w:r>
            <w:r w:rsidR="000A5329" w:rsidRPr="002029AF">
              <w:t xml:space="preserve"> </w:t>
            </w:r>
            <w:r w:rsidRPr="002029AF">
              <w:t>by</w:t>
            </w:r>
            <w:r w:rsidR="000A5329" w:rsidRPr="002029AF">
              <w:t xml:space="preserve"> </w:t>
            </w:r>
            <w:r w:rsidRPr="002029AF">
              <w:t>clients.</w:t>
            </w:r>
            <w:r w:rsidR="000A5329" w:rsidRPr="002029AF">
              <w:t xml:space="preserve"> </w:t>
            </w:r>
            <w:r w:rsidRPr="002029AF">
              <w:t>This</w:t>
            </w:r>
            <w:r w:rsidR="000A5329" w:rsidRPr="002029AF">
              <w:t xml:space="preserve"> </w:t>
            </w:r>
            <w:r w:rsidRPr="002029AF">
              <w:t>is</w:t>
            </w:r>
            <w:r w:rsidR="000A5329" w:rsidRPr="002029AF">
              <w:t xml:space="preserve"> </w:t>
            </w:r>
            <w:r w:rsidRPr="002029AF">
              <w:t>a</w:t>
            </w:r>
            <w:r w:rsidR="000A5329" w:rsidRPr="002029AF">
              <w:t xml:space="preserve"> </w:t>
            </w:r>
            <w:r w:rsidRPr="002029AF">
              <w:t>positive</w:t>
            </w:r>
            <w:r w:rsidR="000A5329" w:rsidRPr="002029AF">
              <w:t xml:space="preserve"> </w:t>
            </w:r>
            <w:r w:rsidRPr="002029AF">
              <w:t>result.</w:t>
            </w:r>
          </w:p>
        </w:tc>
      </w:tr>
      <w:tr w:rsidR="00C15C65" w:rsidRPr="002029AF" w14:paraId="3A77F2AD" w14:textId="77777777" w:rsidTr="005B58F0">
        <w:trPr>
          <w:cantSplit/>
        </w:trPr>
        <w:tc>
          <w:tcPr>
            <w:tcW w:w="9639" w:type="dxa"/>
            <w:gridSpan w:val="13"/>
            <w:tcBorders>
              <w:top w:val="single" w:sz="4" w:space="0" w:color="auto"/>
              <w:left w:val="nil"/>
              <w:bottom w:val="nil"/>
              <w:right w:val="nil"/>
            </w:tcBorders>
            <w:hideMark/>
          </w:tcPr>
          <w:p w14:paraId="4329ED0D" w14:textId="77777777" w:rsidR="00C15C65" w:rsidRPr="002029AF" w:rsidRDefault="00C15C65" w:rsidP="00D96AFD">
            <w:pPr>
              <w:pStyle w:val="ARtablegreybold"/>
            </w:pPr>
            <w:r w:rsidRPr="002029AF">
              <w:lastRenderedPageBreak/>
              <w:t>Quality</w:t>
            </w:r>
          </w:p>
        </w:tc>
      </w:tr>
      <w:tr w:rsidR="00C15C65" w:rsidRPr="002029AF" w14:paraId="4D54A7C3" w14:textId="77777777" w:rsidTr="005B58F0">
        <w:trPr>
          <w:gridAfter w:val="1"/>
          <w:wAfter w:w="6" w:type="dxa"/>
          <w:cantSplit/>
        </w:trPr>
        <w:tc>
          <w:tcPr>
            <w:tcW w:w="4725" w:type="dxa"/>
            <w:shd w:val="clear" w:color="auto" w:fill="auto"/>
            <w:hideMark/>
          </w:tcPr>
          <w:p w14:paraId="26A5A05B" w14:textId="409A9B74" w:rsidR="00C15C65" w:rsidRPr="002029AF" w:rsidRDefault="00C15C65" w:rsidP="00C40F5D">
            <w:pPr>
              <w:pStyle w:val="ARtabletext"/>
            </w:pPr>
            <w:r w:rsidRPr="002029AF">
              <w:t>Pharmacotherapy</w:t>
            </w:r>
            <w:r w:rsidR="000A5329" w:rsidRPr="002029AF">
              <w:t xml:space="preserve"> </w:t>
            </w:r>
            <w:r w:rsidRPr="002029AF">
              <w:t>permits</w:t>
            </w:r>
            <w:r w:rsidR="000A5329" w:rsidRPr="002029AF">
              <w:t xml:space="preserve"> </w:t>
            </w:r>
            <w:r w:rsidRPr="002029AF">
              <w:t>processed</w:t>
            </w:r>
            <w:r w:rsidR="000A5329" w:rsidRPr="002029AF">
              <w:t xml:space="preserve"> </w:t>
            </w:r>
            <w:r w:rsidRPr="002029AF">
              <w:t>within</w:t>
            </w:r>
            <w:r w:rsidR="000A5329" w:rsidRPr="002029AF">
              <w:t xml:space="preserve"> </w:t>
            </w:r>
            <w:r w:rsidRPr="002029AF">
              <w:t>designated</w:t>
            </w:r>
            <w:r w:rsidR="000A5329" w:rsidRPr="002029AF">
              <w:t xml:space="preserve"> </w:t>
            </w:r>
            <w:r w:rsidRPr="002029AF">
              <w:t>timeframe</w:t>
            </w:r>
            <w:r w:rsidR="000A5329" w:rsidRPr="002029AF">
              <w:t xml:space="preserve"> </w:t>
            </w:r>
            <w:r w:rsidRPr="002029AF">
              <w:t>(24</w:t>
            </w:r>
            <w:r w:rsidR="000A5329" w:rsidRPr="002029AF">
              <w:t xml:space="preserve"> </w:t>
            </w:r>
            <w:r w:rsidRPr="002029AF">
              <w:t>hours</w:t>
            </w:r>
            <w:r w:rsidR="000A5329" w:rsidRPr="002029AF">
              <w:t xml:space="preserve"> </w:t>
            </w:r>
            <w:r w:rsidRPr="002029AF">
              <w:t>after</w:t>
            </w:r>
            <w:r w:rsidR="000A5329" w:rsidRPr="002029AF">
              <w:t xml:space="preserve"> </w:t>
            </w:r>
            <w:r w:rsidRPr="002029AF">
              <w:t>receipt</w:t>
            </w:r>
            <w:r w:rsidR="000A5329" w:rsidRPr="002029AF">
              <w:t xml:space="preserve"> </w:t>
            </w:r>
            <w:r w:rsidRPr="002029AF">
              <w:t>of</w:t>
            </w:r>
            <w:r w:rsidR="000A5329" w:rsidRPr="002029AF">
              <w:t xml:space="preserve"> </w:t>
            </w:r>
            <w:r w:rsidRPr="002029AF">
              <w:t>the</w:t>
            </w:r>
            <w:r w:rsidR="000A5329" w:rsidRPr="002029AF">
              <w:t xml:space="preserve"> </w:t>
            </w:r>
            <w:r w:rsidRPr="002029AF">
              <w:t>application).</w:t>
            </w:r>
          </w:p>
        </w:tc>
        <w:tc>
          <w:tcPr>
            <w:tcW w:w="1016" w:type="dxa"/>
            <w:gridSpan w:val="3"/>
            <w:shd w:val="clear" w:color="auto" w:fill="auto"/>
            <w:hideMark/>
          </w:tcPr>
          <w:p w14:paraId="3B057DCE" w14:textId="768B9C4A" w:rsidR="00C15C65" w:rsidRPr="002029AF" w:rsidRDefault="00C15C65" w:rsidP="00C40F5D">
            <w:pPr>
              <w:pStyle w:val="ARtabletext"/>
            </w:pPr>
            <w:r w:rsidRPr="002029AF">
              <w:t>per</w:t>
            </w:r>
            <w:r w:rsidR="000A5329" w:rsidRPr="002029AF">
              <w:t xml:space="preserve"> </w:t>
            </w:r>
            <w:r w:rsidRPr="002029AF">
              <w:t>cent</w:t>
            </w:r>
          </w:p>
        </w:tc>
        <w:tc>
          <w:tcPr>
            <w:tcW w:w="1015" w:type="dxa"/>
            <w:gridSpan w:val="3"/>
            <w:shd w:val="clear" w:color="auto" w:fill="auto"/>
            <w:hideMark/>
          </w:tcPr>
          <w:p w14:paraId="5CB80AE5" w14:textId="77777777" w:rsidR="00C15C65" w:rsidRPr="002029AF" w:rsidRDefault="00C15C65" w:rsidP="00FD77AA">
            <w:pPr>
              <w:pStyle w:val="ARtabletextright"/>
            </w:pPr>
            <w:r w:rsidRPr="002029AF">
              <w:t>100</w:t>
            </w:r>
          </w:p>
        </w:tc>
        <w:tc>
          <w:tcPr>
            <w:tcW w:w="1023" w:type="dxa"/>
            <w:gridSpan w:val="2"/>
            <w:shd w:val="clear" w:color="auto" w:fill="auto"/>
            <w:hideMark/>
          </w:tcPr>
          <w:p w14:paraId="1B86E2D6" w14:textId="77777777" w:rsidR="00C15C65" w:rsidRPr="002029AF" w:rsidRDefault="00C15C65" w:rsidP="00FD77AA">
            <w:pPr>
              <w:pStyle w:val="ARtabletextright"/>
            </w:pPr>
            <w:r w:rsidRPr="002029AF">
              <w:t>100</w:t>
            </w:r>
          </w:p>
        </w:tc>
        <w:tc>
          <w:tcPr>
            <w:tcW w:w="1057" w:type="dxa"/>
            <w:gridSpan w:val="2"/>
            <w:shd w:val="clear" w:color="auto" w:fill="auto"/>
          </w:tcPr>
          <w:p w14:paraId="20B8F7F2" w14:textId="77777777" w:rsidR="00C15C65" w:rsidRPr="002029AF" w:rsidRDefault="00C15C65" w:rsidP="00FD77AA">
            <w:pPr>
              <w:pStyle w:val="ARtabletextright"/>
            </w:pPr>
            <w:r w:rsidRPr="002029AF">
              <w:t>0.0</w:t>
            </w:r>
          </w:p>
        </w:tc>
        <w:tc>
          <w:tcPr>
            <w:tcW w:w="797" w:type="dxa"/>
            <w:shd w:val="clear" w:color="auto" w:fill="auto"/>
            <w:hideMark/>
          </w:tcPr>
          <w:p w14:paraId="730CCE56"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076A930F" w14:textId="77777777" w:rsidTr="005B58F0">
        <w:trPr>
          <w:cantSplit/>
        </w:trPr>
        <w:tc>
          <w:tcPr>
            <w:tcW w:w="9639" w:type="dxa"/>
            <w:gridSpan w:val="13"/>
            <w:tcBorders>
              <w:top w:val="single" w:sz="4" w:space="0" w:color="auto"/>
              <w:left w:val="nil"/>
              <w:right w:val="nil"/>
            </w:tcBorders>
            <w:hideMark/>
          </w:tcPr>
          <w:p w14:paraId="43B4BAAF" w14:textId="77777777" w:rsidR="00C15C65" w:rsidRPr="002029AF" w:rsidRDefault="00C15C65" w:rsidP="007666A5">
            <w:pPr>
              <w:pStyle w:val="ARtablegreybold"/>
            </w:pPr>
            <w:r w:rsidRPr="002029AF">
              <w:t>Timeliness</w:t>
            </w:r>
          </w:p>
        </w:tc>
      </w:tr>
      <w:tr w:rsidR="00C15C65" w:rsidRPr="002029AF" w14:paraId="1447CABA" w14:textId="77777777" w:rsidTr="005B58F0">
        <w:trPr>
          <w:gridAfter w:val="1"/>
          <w:wAfter w:w="6" w:type="dxa"/>
          <w:cantSplit/>
        </w:trPr>
        <w:tc>
          <w:tcPr>
            <w:tcW w:w="4743" w:type="dxa"/>
            <w:gridSpan w:val="2"/>
            <w:tcBorders>
              <w:bottom w:val="single" w:sz="4" w:space="0" w:color="BFBFBF"/>
            </w:tcBorders>
            <w:shd w:val="clear" w:color="auto" w:fill="auto"/>
            <w:hideMark/>
          </w:tcPr>
          <w:p w14:paraId="1E9864DE" w14:textId="02D7A954" w:rsidR="00C15C65" w:rsidRPr="002029AF" w:rsidRDefault="00C15C65" w:rsidP="00C40F5D">
            <w:pPr>
              <w:pStyle w:val="ARtabletext"/>
            </w:pPr>
            <w:r w:rsidRPr="002029AF">
              <w:t>Percentage</w:t>
            </w:r>
            <w:r w:rsidR="000A5329" w:rsidRPr="002029AF">
              <w:t xml:space="preserve"> </w:t>
            </w:r>
            <w:r w:rsidRPr="002029AF">
              <w:t>of</w:t>
            </w:r>
            <w:r w:rsidR="000A5329" w:rsidRPr="002029AF">
              <w:t xml:space="preserve"> </w:t>
            </w:r>
            <w:r w:rsidRPr="002029AF">
              <w:t>new</w:t>
            </w:r>
            <w:r w:rsidR="000A5329" w:rsidRPr="002029AF">
              <w:t xml:space="preserve"> </w:t>
            </w:r>
            <w:r w:rsidRPr="002029AF">
              <w:t>licences</w:t>
            </w:r>
            <w:r w:rsidR="000A5329" w:rsidRPr="002029AF">
              <w:t xml:space="preserve"> </w:t>
            </w:r>
            <w:r w:rsidRPr="002029AF">
              <w:t>and</w:t>
            </w:r>
            <w:r w:rsidR="000A5329" w:rsidRPr="002029AF">
              <w:t xml:space="preserve"> </w:t>
            </w:r>
            <w:r w:rsidRPr="002029AF">
              <w:t>permits</w:t>
            </w:r>
            <w:r w:rsidR="000A5329" w:rsidRPr="002029AF">
              <w:t xml:space="preserve"> </w:t>
            </w:r>
            <w:r w:rsidRPr="002029AF">
              <w:t>issued</w:t>
            </w:r>
            <w:r w:rsidR="000A5329" w:rsidRPr="002029AF">
              <w:t xml:space="preserve"> </w:t>
            </w:r>
            <w:r w:rsidRPr="002029AF">
              <w:t>to</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or</w:t>
            </w:r>
            <w:r w:rsidR="000A5329" w:rsidRPr="002029AF">
              <w:t xml:space="preserve"> </w:t>
            </w:r>
            <w:r w:rsidRPr="002029AF">
              <w:t>businesses</w:t>
            </w:r>
            <w:r w:rsidR="000A5329" w:rsidRPr="002029AF">
              <w:t xml:space="preserve"> </w:t>
            </w:r>
            <w:r w:rsidRPr="002029AF">
              <w:t>for</w:t>
            </w:r>
            <w:r w:rsidR="000A5329" w:rsidRPr="002029AF">
              <w:t xml:space="preserve"> </w:t>
            </w:r>
            <w:r w:rsidRPr="002029AF">
              <w:t>the</w:t>
            </w:r>
            <w:r w:rsidR="000A5329" w:rsidRPr="002029AF">
              <w:t xml:space="preserve"> </w:t>
            </w:r>
            <w:r w:rsidRPr="002029AF">
              <w:t>manufacture,</w:t>
            </w:r>
            <w:r w:rsidR="000A5329" w:rsidRPr="002029AF">
              <w:t xml:space="preserve"> </w:t>
            </w:r>
            <w:r w:rsidRPr="002029AF">
              <w:t>use</w:t>
            </w:r>
            <w:r w:rsidR="000A5329" w:rsidRPr="002029AF">
              <w:t xml:space="preserve"> </w:t>
            </w:r>
            <w:r w:rsidRPr="002029AF">
              <w:t>or</w:t>
            </w:r>
            <w:r w:rsidR="000A5329" w:rsidRPr="002029AF">
              <w:t xml:space="preserve"> </w:t>
            </w:r>
            <w:r w:rsidRPr="002029AF">
              <w:t>supply</w:t>
            </w:r>
            <w:r w:rsidR="000A5329" w:rsidRPr="002029AF">
              <w:t xml:space="preserve"> </w:t>
            </w:r>
            <w:r w:rsidRPr="002029AF">
              <w:t>of</w:t>
            </w:r>
            <w:r w:rsidR="000A5329" w:rsidRPr="002029AF">
              <w:t xml:space="preserve"> </w:t>
            </w:r>
            <w:r w:rsidRPr="002029AF">
              <w:t>drugs</w:t>
            </w:r>
            <w:r w:rsidR="000A5329" w:rsidRPr="002029AF">
              <w:t xml:space="preserve"> </w:t>
            </w:r>
            <w:r w:rsidRPr="002029AF">
              <w:t>and</w:t>
            </w:r>
            <w:r w:rsidR="000A5329" w:rsidRPr="002029AF">
              <w:t xml:space="preserve"> </w:t>
            </w:r>
            <w:r w:rsidRPr="002029AF">
              <w:t>poisons</w:t>
            </w:r>
            <w:r w:rsidR="000A5329" w:rsidRPr="002029AF">
              <w:t xml:space="preserve"> </w:t>
            </w:r>
            <w:r w:rsidRPr="002029AF">
              <w:t>within</w:t>
            </w:r>
            <w:r w:rsidR="000A5329" w:rsidRPr="002029AF">
              <w:t xml:space="preserve"> </w:t>
            </w:r>
            <w:r w:rsidRPr="002029AF">
              <w:t>six</w:t>
            </w:r>
            <w:r w:rsidR="000A5329" w:rsidRPr="002029AF">
              <w:t xml:space="preserve"> </w:t>
            </w:r>
            <w:r w:rsidRPr="002029AF">
              <w:t>weeks</w:t>
            </w:r>
            <w:r w:rsidR="000A5329" w:rsidRPr="002029AF">
              <w:t xml:space="preserve"> </w:t>
            </w:r>
            <w:r w:rsidRPr="002029AF">
              <w:t>following</w:t>
            </w:r>
            <w:r w:rsidR="000A5329" w:rsidRPr="002029AF">
              <w:t xml:space="preserve"> </w:t>
            </w:r>
            <w:r w:rsidRPr="002029AF">
              <w:t>receipt</w:t>
            </w:r>
            <w:r w:rsidR="000A5329" w:rsidRPr="002029AF">
              <w:t xml:space="preserve"> </w:t>
            </w:r>
            <w:r w:rsidRPr="002029AF">
              <w:t>of</w:t>
            </w:r>
            <w:r w:rsidR="000A5329" w:rsidRPr="002029AF">
              <w:t xml:space="preserve"> </w:t>
            </w:r>
            <w:r w:rsidRPr="002029AF">
              <w:t>full</w:t>
            </w:r>
            <w:r w:rsidR="000A5329" w:rsidRPr="002029AF">
              <w:t xml:space="preserve"> </w:t>
            </w:r>
            <w:r w:rsidRPr="002029AF">
              <w:t>information</w:t>
            </w:r>
          </w:p>
        </w:tc>
        <w:tc>
          <w:tcPr>
            <w:tcW w:w="1019" w:type="dxa"/>
            <w:gridSpan w:val="3"/>
            <w:tcBorders>
              <w:bottom w:val="single" w:sz="4" w:space="0" w:color="BFBFBF"/>
            </w:tcBorders>
            <w:shd w:val="clear" w:color="auto" w:fill="auto"/>
            <w:hideMark/>
          </w:tcPr>
          <w:p w14:paraId="576257E3" w14:textId="3FEF0553" w:rsidR="00C15C65" w:rsidRPr="002029AF" w:rsidRDefault="00C15C65" w:rsidP="00C40F5D">
            <w:pPr>
              <w:pStyle w:val="ARtabletext"/>
            </w:pPr>
            <w:r w:rsidRPr="002029AF">
              <w:t>per</w:t>
            </w:r>
            <w:r w:rsidR="000A5329" w:rsidRPr="002029AF">
              <w:t xml:space="preserve"> </w:t>
            </w:r>
            <w:r w:rsidRPr="002029AF">
              <w:t>cent</w:t>
            </w:r>
          </w:p>
        </w:tc>
        <w:tc>
          <w:tcPr>
            <w:tcW w:w="1028" w:type="dxa"/>
            <w:gridSpan w:val="3"/>
            <w:tcBorders>
              <w:bottom w:val="single" w:sz="4" w:space="0" w:color="BFBFBF"/>
            </w:tcBorders>
            <w:shd w:val="clear" w:color="auto" w:fill="auto"/>
            <w:hideMark/>
          </w:tcPr>
          <w:p w14:paraId="72D284FD" w14:textId="77777777" w:rsidR="00C15C65" w:rsidRPr="002029AF" w:rsidRDefault="00C15C65" w:rsidP="00FD77AA">
            <w:pPr>
              <w:pStyle w:val="ARtabletextright"/>
            </w:pPr>
            <w:r w:rsidRPr="002029AF">
              <w:t>100</w:t>
            </w:r>
          </w:p>
        </w:tc>
        <w:tc>
          <w:tcPr>
            <w:tcW w:w="1022" w:type="dxa"/>
            <w:gridSpan w:val="2"/>
            <w:tcBorders>
              <w:bottom w:val="single" w:sz="4" w:space="0" w:color="BFBFBF"/>
            </w:tcBorders>
            <w:shd w:val="clear" w:color="auto" w:fill="auto"/>
            <w:hideMark/>
          </w:tcPr>
          <w:p w14:paraId="1144E2D6" w14:textId="77777777" w:rsidR="00C15C65" w:rsidRPr="002029AF" w:rsidRDefault="00C15C65" w:rsidP="00FD77AA">
            <w:pPr>
              <w:pStyle w:val="ARtabletextright"/>
            </w:pPr>
            <w:r w:rsidRPr="002029AF">
              <w:t>100</w:t>
            </w:r>
          </w:p>
        </w:tc>
        <w:tc>
          <w:tcPr>
            <w:tcW w:w="1024" w:type="dxa"/>
            <w:tcBorders>
              <w:bottom w:val="single" w:sz="4" w:space="0" w:color="BFBFBF"/>
            </w:tcBorders>
            <w:shd w:val="clear" w:color="auto" w:fill="auto"/>
          </w:tcPr>
          <w:p w14:paraId="1ABEE836" w14:textId="77777777" w:rsidR="00C15C65" w:rsidRPr="002029AF" w:rsidRDefault="00C15C65" w:rsidP="00FD77AA">
            <w:pPr>
              <w:pStyle w:val="ARtabletextright"/>
            </w:pPr>
            <w:r w:rsidRPr="002029AF">
              <w:t>0.0</w:t>
            </w:r>
          </w:p>
        </w:tc>
        <w:tc>
          <w:tcPr>
            <w:tcW w:w="797" w:type="dxa"/>
            <w:tcBorders>
              <w:bottom w:val="single" w:sz="4" w:space="0" w:color="BFBFBF"/>
            </w:tcBorders>
            <w:shd w:val="clear" w:color="auto" w:fill="auto"/>
            <w:hideMark/>
          </w:tcPr>
          <w:p w14:paraId="28DF2980"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5A4A6C11" w14:textId="77777777" w:rsidTr="005B58F0">
        <w:trPr>
          <w:gridAfter w:val="1"/>
          <w:wAfter w:w="6" w:type="dxa"/>
          <w:cantSplit/>
        </w:trPr>
        <w:tc>
          <w:tcPr>
            <w:tcW w:w="4743" w:type="dxa"/>
            <w:gridSpan w:val="2"/>
            <w:tcBorders>
              <w:top w:val="single" w:sz="4" w:space="0" w:color="BFBFBF"/>
            </w:tcBorders>
            <w:shd w:val="clear" w:color="auto" w:fill="auto"/>
            <w:hideMark/>
          </w:tcPr>
          <w:p w14:paraId="2138F007" w14:textId="1F1313F5" w:rsidR="00C15C65" w:rsidRPr="002029AF" w:rsidRDefault="00C15C65" w:rsidP="00C40F5D">
            <w:pPr>
              <w:pStyle w:val="ARtabletext"/>
            </w:pPr>
            <w:r w:rsidRPr="002029AF">
              <w:t>Percentage</w:t>
            </w:r>
            <w:r w:rsidR="000A5329" w:rsidRPr="002029AF">
              <w:t xml:space="preserve"> </w:t>
            </w:r>
            <w:r w:rsidRPr="002029AF">
              <w:t>of</w:t>
            </w:r>
            <w:r w:rsidR="000A5329" w:rsidRPr="002029AF">
              <w:t xml:space="preserve"> </w:t>
            </w:r>
            <w:r w:rsidRPr="002029AF">
              <w:t>treatment</w:t>
            </w:r>
            <w:r w:rsidR="000A5329" w:rsidRPr="002029AF">
              <w:t xml:space="preserve"> </w:t>
            </w:r>
            <w:r w:rsidRPr="002029AF">
              <w:t>permits</w:t>
            </w:r>
            <w:r w:rsidR="000A5329" w:rsidRPr="002029AF">
              <w:t xml:space="preserve"> </w:t>
            </w:r>
            <w:r w:rsidRPr="002029AF">
              <w:t>for</w:t>
            </w:r>
            <w:r w:rsidR="000A5329" w:rsidRPr="002029AF">
              <w:t xml:space="preserve"> </w:t>
            </w:r>
            <w:r w:rsidRPr="002029AF">
              <w:t>medical</w:t>
            </w:r>
            <w:r w:rsidR="000A5329" w:rsidRPr="002029AF">
              <w:t xml:space="preserve"> </w:t>
            </w:r>
            <w:r w:rsidRPr="002029AF">
              <w:t>practitioners</w:t>
            </w:r>
            <w:r w:rsidR="000A5329" w:rsidRPr="002029AF">
              <w:t xml:space="preserve"> </w:t>
            </w:r>
            <w:r w:rsidRPr="002029AF">
              <w:t>or</w:t>
            </w:r>
            <w:r w:rsidR="000A5329" w:rsidRPr="002029AF">
              <w:t xml:space="preserve"> </w:t>
            </w:r>
            <w:r w:rsidRPr="002029AF">
              <w:t>nurse</w:t>
            </w:r>
            <w:r w:rsidR="000A5329" w:rsidRPr="002029AF">
              <w:t xml:space="preserve"> </w:t>
            </w:r>
            <w:r w:rsidRPr="002029AF">
              <w:t>practitioners</w:t>
            </w:r>
            <w:r w:rsidR="000A5329" w:rsidRPr="002029AF">
              <w:t xml:space="preserve"> </w:t>
            </w:r>
            <w:r w:rsidRPr="002029AF">
              <w:t>to</w:t>
            </w:r>
            <w:r w:rsidR="000A5329" w:rsidRPr="002029AF">
              <w:t xml:space="preserve"> </w:t>
            </w:r>
            <w:r w:rsidRPr="002029AF">
              <w:t>prescribe</w:t>
            </w:r>
            <w:r w:rsidR="000A5329" w:rsidRPr="002029AF">
              <w:t xml:space="preserve"> </w:t>
            </w:r>
            <w:r w:rsidRPr="002029AF">
              <w:t>Schedule</w:t>
            </w:r>
            <w:r w:rsidR="000A5329" w:rsidRPr="002029AF">
              <w:t xml:space="preserve"> </w:t>
            </w:r>
            <w:r w:rsidRPr="002029AF">
              <w:t>8</w:t>
            </w:r>
            <w:r w:rsidR="000A5329" w:rsidRPr="002029AF">
              <w:t xml:space="preserve"> </w:t>
            </w:r>
            <w:r w:rsidRPr="002029AF">
              <w:t>drugs</w:t>
            </w:r>
            <w:r w:rsidR="000A5329" w:rsidRPr="002029AF">
              <w:t xml:space="preserve"> </w:t>
            </w:r>
            <w:r w:rsidRPr="002029AF">
              <w:t>assessed</w:t>
            </w:r>
            <w:r w:rsidR="000A5329" w:rsidRPr="002029AF">
              <w:t xml:space="preserve"> </w:t>
            </w:r>
            <w:r w:rsidRPr="002029AF">
              <w:t>within</w:t>
            </w:r>
            <w:r w:rsidR="000A5329" w:rsidRPr="002029AF">
              <w:t xml:space="preserve"> </w:t>
            </w:r>
            <w:r w:rsidRPr="002029AF">
              <w:t>four</w:t>
            </w:r>
            <w:r w:rsidR="000A5329" w:rsidRPr="002029AF">
              <w:t xml:space="preserve"> </w:t>
            </w:r>
            <w:r w:rsidRPr="002029AF">
              <w:t>weeks</w:t>
            </w:r>
          </w:p>
        </w:tc>
        <w:tc>
          <w:tcPr>
            <w:tcW w:w="1019" w:type="dxa"/>
            <w:gridSpan w:val="3"/>
            <w:tcBorders>
              <w:top w:val="single" w:sz="4" w:space="0" w:color="BFBFBF"/>
            </w:tcBorders>
            <w:shd w:val="clear" w:color="auto" w:fill="auto"/>
            <w:hideMark/>
          </w:tcPr>
          <w:p w14:paraId="205D07B3" w14:textId="79935011" w:rsidR="00C15C65" w:rsidRPr="002029AF" w:rsidRDefault="00C15C65" w:rsidP="00C40F5D">
            <w:pPr>
              <w:pStyle w:val="ARtabletext"/>
            </w:pPr>
            <w:r w:rsidRPr="002029AF">
              <w:t>per</w:t>
            </w:r>
            <w:r w:rsidR="000A5329" w:rsidRPr="002029AF">
              <w:t xml:space="preserve"> </w:t>
            </w:r>
            <w:r w:rsidRPr="002029AF">
              <w:t>cent</w:t>
            </w:r>
          </w:p>
        </w:tc>
        <w:tc>
          <w:tcPr>
            <w:tcW w:w="1028" w:type="dxa"/>
            <w:gridSpan w:val="3"/>
            <w:tcBorders>
              <w:top w:val="single" w:sz="4" w:space="0" w:color="BFBFBF"/>
            </w:tcBorders>
            <w:shd w:val="clear" w:color="auto" w:fill="auto"/>
            <w:hideMark/>
          </w:tcPr>
          <w:p w14:paraId="2BFD189F" w14:textId="77777777" w:rsidR="00C15C65" w:rsidRPr="002029AF" w:rsidRDefault="00C15C65" w:rsidP="00FD77AA">
            <w:pPr>
              <w:pStyle w:val="ARtabletextright"/>
            </w:pPr>
            <w:r w:rsidRPr="002029AF">
              <w:t>75</w:t>
            </w:r>
          </w:p>
        </w:tc>
        <w:tc>
          <w:tcPr>
            <w:tcW w:w="1022" w:type="dxa"/>
            <w:gridSpan w:val="2"/>
            <w:tcBorders>
              <w:top w:val="single" w:sz="4" w:space="0" w:color="BFBFBF"/>
            </w:tcBorders>
            <w:shd w:val="clear" w:color="auto" w:fill="auto"/>
            <w:hideMark/>
          </w:tcPr>
          <w:p w14:paraId="27A66740" w14:textId="77777777" w:rsidR="00C15C65" w:rsidRPr="002029AF" w:rsidRDefault="00C15C65" w:rsidP="00FD77AA">
            <w:pPr>
              <w:pStyle w:val="ARtabletextright"/>
            </w:pPr>
            <w:r w:rsidRPr="002029AF">
              <w:t>100</w:t>
            </w:r>
          </w:p>
        </w:tc>
        <w:tc>
          <w:tcPr>
            <w:tcW w:w="1024" w:type="dxa"/>
            <w:tcBorders>
              <w:top w:val="single" w:sz="4" w:space="0" w:color="BFBFBF"/>
            </w:tcBorders>
            <w:shd w:val="clear" w:color="auto" w:fill="auto"/>
          </w:tcPr>
          <w:p w14:paraId="35D3D3C6" w14:textId="77777777" w:rsidR="00C15C65" w:rsidRPr="002029AF" w:rsidRDefault="00C15C65" w:rsidP="00FD77AA">
            <w:pPr>
              <w:pStyle w:val="ARtabletextright"/>
            </w:pPr>
            <w:r w:rsidRPr="002029AF">
              <w:t>33.3</w:t>
            </w:r>
          </w:p>
        </w:tc>
        <w:tc>
          <w:tcPr>
            <w:tcW w:w="797" w:type="dxa"/>
            <w:tcBorders>
              <w:top w:val="single" w:sz="4" w:space="0" w:color="BFBFBF"/>
            </w:tcBorders>
            <w:shd w:val="clear" w:color="auto" w:fill="auto"/>
            <w:hideMark/>
          </w:tcPr>
          <w:p w14:paraId="1A701E63"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267ADC85" w14:textId="77777777" w:rsidTr="005B58F0">
        <w:trPr>
          <w:gridAfter w:val="1"/>
          <w:wAfter w:w="6" w:type="dxa"/>
          <w:cantSplit/>
        </w:trPr>
        <w:tc>
          <w:tcPr>
            <w:tcW w:w="9633" w:type="dxa"/>
            <w:gridSpan w:val="12"/>
            <w:tcBorders>
              <w:bottom w:val="single" w:sz="4" w:space="0" w:color="BFBFBF"/>
            </w:tcBorders>
            <w:shd w:val="clear" w:color="auto" w:fill="auto"/>
            <w:noWrap/>
            <w:hideMark/>
          </w:tcPr>
          <w:p w14:paraId="7420B98A" w14:textId="2CA22DEE" w:rsidR="00C15C65" w:rsidRPr="002029AF" w:rsidRDefault="00C15C65" w:rsidP="002C5190">
            <w:pPr>
              <w:pStyle w:val="ARtablenoteindent"/>
            </w:pPr>
            <w:r w:rsidRPr="002029AF">
              <w:t>The</w:t>
            </w:r>
            <w:r w:rsidR="000A5329" w:rsidRPr="002029AF">
              <w:t xml:space="preserve"> </w:t>
            </w:r>
            <w:r w:rsidRPr="002029AF">
              <w:t>result</w:t>
            </w:r>
            <w:r w:rsidR="000A5329" w:rsidRPr="002029AF">
              <w:t xml:space="preserve"> </w:t>
            </w:r>
            <w:r w:rsidRPr="002029AF">
              <w:t>is</w:t>
            </w:r>
            <w:r w:rsidR="000A5329" w:rsidRPr="002029AF">
              <w:t xml:space="preserve"> </w:t>
            </w:r>
            <w:r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an</w:t>
            </w:r>
            <w:r w:rsidR="000A5329" w:rsidRPr="002029AF">
              <w:t xml:space="preserve"> </w:t>
            </w:r>
            <w:r w:rsidRPr="002029AF">
              <w:t>improvement</w:t>
            </w:r>
            <w:r w:rsidR="000A5329" w:rsidRPr="002029AF">
              <w:t xml:space="preserve"> </w:t>
            </w:r>
            <w:r w:rsidRPr="002029AF">
              <w:t>in</w:t>
            </w:r>
            <w:r w:rsidR="000A5329" w:rsidRPr="002029AF">
              <w:t xml:space="preserve"> </w:t>
            </w:r>
            <w:r w:rsidRPr="002029AF">
              <w:t>processing.</w:t>
            </w:r>
            <w:r w:rsidR="000A5329" w:rsidRPr="002029AF">
              <w:t xml:space="preserve"> </w:t>
            </w:r>
            <w:r w:rsidRPr="002029AF">
              <w:t>This</w:t>
            </w:r>
            <w:r w:rsidR="000A5329" w:rsidRPr="002029AF">
              <w:t xml:space="preserve"> </w:t>
            </w:r>
            <w:r w:rsidRPr="002029AF">
              <w:t>is</w:t>
            </w:r>
            <w:r w:rsidR="000A5329" w:rsidRPr="002029AF">
              <w:t xml:space="preserve"> </w:t>
            </w:r>
            <w:r w:rsidRPr="002029AF">
              <w:t>a</w:t>
            </w:r>
            <w:r w:rsidR="000A5329" w:rsidRPr="002029AF">
              <w:t xml:space="preserve"> </w:t>
            </w:r>
            <w:r w:rsidRPr="002029AF">
              <w:t>positive</w:t>
            </w:r>
            <w:r w:rsidR="000A5329" w:rsidRPr="002029AF">
              <w:t xml:space="preserve"> </w:t>
            </w:r>
            <w:r w:rsidRPr="002029AF">
              <w:t>result.</w:t>
            </w:r>
          </w:p>
        </w:tc>
      </w:tr>
      <w:tr w:rsidR="00C15C65" w:rsidRPr="002029AF" w14:paraId="5E49E558" w14:textId="77777777" w:rsidTr="005B58F0">
        <w:trPr>
          <w:cantSplit/>
        </w:trPr>
        <w:tc>
          <w:tcPr>
            <w:tcW w:w="9639" w:type="dxa"/>
            <w:gridSpan w:val="13"/>
            <w:tcBorders>
              <w:top w:val="single" w:sz="4" w:space="0" w:color="auto"/>
              <w:left w:val="nil"/>
              <w:bottom w:val="nil"/>
              <w:right w:val="nil"/>
            </w:tcBorders>
            <w:hideMark/>
          </w:tcPr>
          <w:p w14:paraId="526A97AF" w14:textId="77777777" w:rsidR="00C15C65" w:rsidRPr="002029AF" w:rsidRDefault="00C15C65" w:rsidP="007666A5">
            <w:pPr>
              <w:pStyle w:val="ARtablegreybold"/>
            </w:pPr>
            <w:r w:rsidRPr="002029AF">
              <w:t>Cost</w:t>
            </w:r>
          </w:p>
        </w:tc>
      </w:tr>
      <w:tr w:rsidR="00C15C65" w:rsidRPr="002029AF" w14:paraId="1B2AB669" w14:textId="77777777" w:rsidTr="005B58F0">
        <w:trPr>
          <w:cantSplit/>
        </w:trPr>
        <w:tc>
          <w:tcPr>
            <w:tcW w:w="4725" w:type="dxa"/>
            <w:hideMark/>
          </w:tcPr>
          <w:p w14:paraId="53F059D4" w14:textId="1A23ED1C" w:rsidR="00C15C65" w:rsidRPr="002029AF" w:rsidRDefault="00C15C65" w:rsidP="00C40F5D">
            <w:pPr>
              <w:pStyle w:val="ARtabletext"/>
              <w:rPr>
                <w:b/>
              </w:rPr>
            </w:pPr>
            <w:r w:rsidRPr="002029AF">
              <w:rPr>
                <w:b/>
              </w:rPr>
              <w:t>Total</w:t>
            </w:r>
            <w:r w:rsidR="000A5329" w:rsidRPr="002029AF">
              <w:rPr>
                <w:b/>
              </w:rPr>
              <w:t xml:space="preserve"> </w:t>
            </w:r>
            <w:r w:rsidRPr="002029AF">
              <w:rPr>
                <w:b/>
              </w:rPr>
              <w:t>output</w:t>
            </w:r>
            <w:r w:rsidR="000A5329" w:rsidRPr="002029AF">
              <w:rPr>
                <w:b/>
              </w:rPr>
              <w:t xml:space="preserve"> </w:t>
            </w:r>
            <w:r w:rsidRPr="002029AF">
              <w:rPr>
                <w:b/>
              </w:rPr>
              <w:t>cost</w:t>
            </w:r>
          </w:p>
        </w:tc>
        <w:tc>
          <w:tcPr>
            <w:tcW w:w="1016" w:type="dxa"/>
            <w:gridSpan w:val="3"/>
            <w:hideMark/>
          </w:tcPr>
          <w:p w14:paraId="46B2F354" w14:textId="555D4AF8" w:rsidR="00C15C65" w:rsidRPr="002029AF" w:rsidRDefault="00C15C65" w:rsidP="00C40F5D">
            <w:pPr>
              <w:pStyle w:val="ARtabletext"/>
              <w:rPr>
                <w:b/>
              </w:rPr>
            </w:pPr>
            <w:r w:rsidRPr="002029AF">
              <w:rPr>
                <w:b/>
              </w:rPr>
              <w:t>$</w:t>
            </w:r>
            <w:r w:rsidR="000A5329" w:rsidRPr="002029AF">
              <w:rPr>
                <w:b/>
              </w:rPr>
              <w:t xml:space="preserve"> </w:t>
            </w:r>
            <w:r w:rsidRPr="002029AF">
              <w:rPr>
                <w:b/>
              </w:rPr>
              <w:t>million</w:t>
            </w:r>
          </w:p>
        </w:tc>
        <w:tc>
          <w:tcPr>
            <w:tcW w:w="1015" w:type="dxa"/>
            <w:gridSpan w:val="3"/>
          </w:tcPr>
          <w:p w14:paraId="5A2DCB22" w14:textId="77777777" w:rsidR="00C15C65" w:rsidRPr="002029AF" w:rsidRDefault="00C15C65" w:rsidP="00C40F5D">
            <w:pPr>
              <w:pStyle w:val="ARtabletext"/>
              <w:rPr>
                <w:b/>
              </w:rPr>
            </w:pPr>
            <w:r w:rsidRPr="002029AF">
              <w:rPr>
                <w:b/>
              </w:rPr>
              <w:t>46.2</w:t>
            </w:r>
          </w:p>
        </w:tc>
        <w:tc>
          <w:tcPr>
            <w:tcW w:w="1023" w:type="dxa"/>
            <w:gridSpan w:val="2"/>
          </w:tcPr>
          <w:p w14:paraId="29D6CD97" w14:textId="77777777" w:rsidR="00C15C65" w:rsidRPr="002029AF" w:rsidRDefault="00C15C65" w:rsidP="00C40F5D">
            <w:pPr>
              <w:pStyle w:val="ARtabletext"/>
              <w:rPr>
                <w:b/>
              </w:rPr>
            </w:pPr>
            <w:r w:rsidRPr="002029AF">
              <w:rPr>
                <w:b/>
              </w:rPr>
              <w:t>34.3</w:t>
            </w:r>
          </w:p>
        </w:tc>
        <w:tc>
          <w:tcPr>
            <w:tcW w:w="1057" w:type="dxa"/>
            <w:gridSpan w:val="2"/>
          </w:tcPr>
          <w:p w14:paraId="3099E576" w14:textId="77777777" w:rsidR="00C15C65" w:rsidRPr="002029AF" w:rsidRDefault="00C15C65" w:rsidP="00C40F5D">
            <w:pPr>
              <w:pStyle w:val="ARtabletext"/>
              <w:rPr>
                <w:b/>
              </w:rPr>
            </w:pPr>
            <w:r w:rsidRPr="002029AF">
              <w:rPr>
                <w:b/>
              </w:rPr>
              <w:t>-25.7</w:t>
            </w:r>
          </w:p>
        </w:tc>
        <w:tc>
          <w:tcPr>
            <w:tcW w:w="803" w:type="dxa"/>
            <w:gridSpan w:val="2"/>
          </w:tcPr>
          <w:p w14:paraId="1B049DE9" w14:textId="77777777" w:rsidR="00C15C65" w:rsidRPr="002029AF" w:rsidRDefault="00C15C65" w:rsidP="00C40F5D">
            <w:pPr>
              <w:pStyle w:val="ARtabletext"/>
              <w:rPr>
                <w:b/>
              </w:rPr>
            </w:pPr>
          </w:p>
        </w:tc>
      </w:tr>
      <w:tr w:rsidR="00C15C65" w:rsidRPr="002029AF" w14:paraId="52F108E8" w14:textId="77777777" w:rsidTr="005B58F0">
        <w:trPr>
          <w:gridAfter w:val="1"/>
          <w:wAfter w:w="6" w:type="dxa"/>
          <w:cantSplit/>
        </w:trPr>
        <w:tc>
          <w:tcPr>
            <w:tcW w:w="9633" w:type="dxa"/>
            <w:gridSpan w:val="12"/>
            <w:tcBorders>
              <w:bottom w:val="single" w:sz="4" w:space="0" w:color="BFBFBF"/>
            </w:tcBorders>
            <w:shd w:val="clear" w:color="auto" w:fill="auto"/>
            <w:noWrap/>
            <w:hideMark/>
          </w:tcPr>
          <w:p w14:paraId="50A4878D" w14:textId="75762AAE" w:rsidR="00C15C65" w:rsidRPr="002029AF" w:rsidRDefault="00C15C65" w:rsidP="002C5190">
            <w:pPr>
              <w:pStyle w:val="ARtablenoteindent"/>
            </w:pPr>
            <w:r w:rsidRPr="002029AF">
              <w:t>The</w:t>
            </w:r>
            <w:r w:rsidR="000A5329" w:rsidRPr="002029AF">
              <w:t xml:space="preserve"> </w:t>
            </w:r>
            <w:r w:rsidRPr="002029AF">
              <w:t>201</w:t>
            </w:r>
            <w:r w:rsidR="00DB53E6" w:rsidRPr="002029AF">
              <w:t>9–</w:t>
            </w:r>
            <w:r w:rsidRPr="002029AF">
              <w:t>20</w:t>
            </w:r>
            <w:r w:rsidR="000A5329" w:rsidRPr="002029AF">
              <w:t xml:space="preserve"> </w:t>
            </w:r>
            <w:r w:rsidRPr="002029AF">
              <w:t>actual</w:t>
            </w:r>
            <w:r w:rsidR="000A5329" w:rsidRPr="002029AF">
              <w:t xml:space="preserve"> </w:t>
            </w:r>
            <w:r w:rsidRPr="002029AF">
              <w:t>outcome</w:t>
            </w:r>
            <w:r w:rsidR="000A5329" w:rsidRPr="002029AF">
              <w:t xml:space="preserve"> </w:t>
            </w:r>
            <w:r w:rsidRPr="002029AF">
              <w:t>primarily</w:t>
            </w:r>
            <w:r w:rsidR="000A5329" w:rsidRPr="002029AF">
              <w:t xml:space="preserve"> </w:t>
            </w:r>
            <w:r w:rsidRPr="002029AF">
              <w:t>reflects</w:t>
            </w:r>
            <w:r w:rsidR="000A5329" w:rsidRPr="002029AF">
              <w:t xml:space="preserve"> </w:t>
            </w:r>
            <w:r w:rsidRPr="002029AF">
              <w:t>an</w:t>
            </w:r>
            <w:r w:rsidR="000A5329" w:rsidRPr="002029AF">
              <w:t xml:space="preserve"> </w:t>
            </w:r>
            <w:r w:rsidRPr="002029AF">
              <w:t>output</w:t>
            </w:r>
            <w:r w:rsidR="000A5329" w:rsidRPr="002029AF">
              <w:t xml:space="preserve"> </w:t>
            </w:r>
            <w:r w:rsidRPr="002029AF">
              <w:t>realignment</w:t>
            </w:r>
            <w:r w:rsidR="000A5329" w:rsidRPr="002029AF">
              <w:t xml:space="preserve"> </w:t>
            </w:r>
            <w:r w:rsidRPr="002029AF">
              <w:t>from</w:t>
            </w:r>
            <w:r w:rsidR="000A5329" w:rsidRPr="002029AF">
              <w:t xml:space="preserve"> </w:t>
            </w:r>
            <w:r w:rsidRPr="002029AF">
              <w:t>Drug</w:t>
            </w:r>
            <w:r w:rsidR="000A5329" w:rsidRPr="002029AF">
              <w:t xml:space="preserve"> </w:t>
            </w:r>
            <w:r w:rsidRPr="002029AF">
              <w:t>Prevention</w:t>
            </w:r>
            <w:r w:rsidR="000A5329" w:rsidRPr="002029AF">
              <w:t xml:space="preserve"> </w:t>
            </w:r>
            <w:r w:rsidRPr="002029AF">
              <w:t>and</w:t>
            </w:r>
            <w:r w:rsidR="000A5329" w:rsidRPr="002029AF">
              <w:t xml:space="preserve"> </w:t>
            </w:r>
            <w:r w:rsidRPr="002029AF">
              <w:t>Control</w:t>
            </w:r>
            <w:r w:rsidR="000A5329" w:rsidRPr="002029AF">
              <w:t xml:space="preserve"> </w:t>
            </w:r>
            <w:r w:rsidRPr="002029AF">
              <w:t>to</w:t>
            </w:r>
            <w:r w:rsidR="000A5329" w:rsidRPr="002029AF">
              <w:t xml:space="preserve"> </w:t>
            </w:r>
            <w:r w:rsidRPr="002029AF">
              <w:t>Drug</w:t>
            </w:r>
            <w:r w:rsidR="000A5329" w:rsidRPr="002029AF">
              <w:t xml:space="preserve"> </w:t>
            </w:r>
            <w:r w:rsidRPr="002029AF">
              <w:t>Treatment</w:t>
            </w:r>
            <w:r w:rsidR="000A5329" w:rsidRPr="002029AF">
              <w:t xml:space="preserve"> </w:t>
            </w:r>
            <w:r w:rsidRPr="002029AF">
              <w:t>and</w:t>
            </w:r>
            <w:r w:rsidR="000A5329" w:rsidRPr="002029AF">
              <w:t xml:space="preserve"> </w:t>
            </w:r>
            <w:r w:rsidRPr="002029AF">
              <w:t>Rehabilitation.</w:t>
            </w:r>
          </w:p>
        </w:tc>
      </w:tr>
      <w:tr w:rsidR="00C15C65" w:rsidRPr="002029AF" w14:paraId="1AEFD749" w14:textId="77777777" w:rsidTr="005B58F0">
        <w:trPr>
          <w:cantSplit/>
        </w:trPr>
        <w:tc>
          <w:tcPr>
            <w:tcW w:w="9639" w:type="dxa"/>
            <w:gridSpan w:val="13"/>
            <w:tcBorders>
              <w:top w:val="single" w:sz="4" w:space="0" w:color="auto"/>
              <w:left w:val="nil"/>
              <w:bottom w:val="single" w:sz="4" w:space="0" w:color="auto"/>
              <w:right w:val="nil"/>
            </w:tcBorders>
            <w:hideMark/>
          </w:tcPr>
          <w:p w14:paraId="03EFA093" w14:textId="1989E140" w:rsidR="00C15C65" w:rsidRPr="002029AF" w:rsidRDefault="00C15C65" w:rsidP="007666A5">
            <w:pPr>
              <w:pStyle w:val="ARtablesubhead"/>
            </w:pPr>
            <w:r w:rsidRPr="002029AF">
              <w:t>Drug</w:t>
            </w:r>
            <w:r w:rsidR="000A5329" w:rsidRPr="002029AF">
              <w:t xml:space="preserve"> </w:t>
            </w:r>
            <w:r w:rsidRPr="002029AF">
              <w:t>Treatment</w:t>
            </w:r>
            <w:r w:rsidR="000A5329" w:rsidRPr="002029AF">
              <w:t xml:space="preserve"> </w:t>
            </w:r>
            <w:r w:rsidRPr="002029AF">
              <w:t>and</w:t>
            </w:r>
            <w:r w:rsidR="000A5329" w:rsidRPr="002029AF">
              <w:t xml:space="preserve"> </w:t>
            </w:r>
            <w:r w:rsidRPr="002029AF">
              <w:t>Rehabilitation</w:t>
            </w:r>
          </w:p>
        </w:tc>
      </w:tr>
      <w:tr w:rsidR="00C15C65" w:rsidRPr="002029AF" w14:paraId="166AA9C9" w14:textId="77777777" w:rsidTr="005B58F0">
        <w:trPr>
          <w:cantSplit/>
        </w:trPr>
        <w:tc>
          <w:tcPr>
            <w:tcW w:w="9639" w:type="dxa"/>
            <w:gridSpan w:val="13"/>
            <w:tcBorders>
              <w:top w:val="single" w:sz="4" w:space="0" w:color="auto"/>
              <w:left w:val="nil"/>
              <w:bottom w:val="nil"/>
              <w:right w:val="nil"/>
            </w:tcBorders>
            <w:hideMark/>
          </w:tcPr>
          <w:p w14:paraId="7E22C19D" w14:textId="77777777" w:rsidR="00C15C65" w:rsidRPr="002029AF" w:rsidRDefault="00C15C65" w:rsidP="00D96AFD">
            <w:pPr>
              <w:pStyle w:val="ARtablegreybold"/>
            </w:pPr>
            <w:r w:rsidRPr="002029AF">
              <w:t>Quantity</w:t>
            </w:r>
          </w:p>
        </w:tc>
      </w:tr>
      <w:tr w:rsidR="00C15C65" w:rsidRPr="002029AF" w14:paraId="2A7B35E0" w14:textId="77777777" w:rsidTr="005B58F0">
        <w:trPr>
          <w:gridAfter w:val="1"/>
          <w:wAfter w:w="6" w:type="dxa"/>
          <w:cantSplit/>
        </w:trPr>
        <w:tc>
          <w:tcPr>
            <w:tcW w:w="4743" w:type="dxa"/>
            <w:gridSpan w:val="2"/>
            <w:shd w:val="clear" w:color="auto" w:fill="auto"/>
            <w:hideMark/>
          </w:tcPr>
          <w:p w14:paraId="15004057" w14:textId="672E19BE" w:rsidR="00C15C65" w:rsidRPr="002029AF" w:rsidRDefault="00C15C65" w:rsidP="00C40F5D">
            <w:pPr>
              <w:pStyle w:val="ARtabletext"/>
            </w:pPr>
            <w:r w:rsidRPr="002029AF">
              <w:t>Clients</w:t>
            </w:r>
            <w:r w:rsidR="000A5329" w:rsidRPr="002029AF">
              <w:t xml:space="preserve"> </w:t>
            </w:r>
            <w:r w:rsidRPr="002029AF">
              <w:t>on</w:t>
            </w:r>
            <w:r w:rsidR="000A5329" w:rsidRPr="002029AF">
              <w:t xml:space="preserve"> </w:t>
            </w:r>
            <w:r w:rsidRPr="002029AF">
              <w:t>the</w:t>
            </w:r>
            <w:r w:rsidR="000A5329" w:rsidRPr="002029AF">
              <w:t xml:space="preserve"> </w:t>
            </w:r>
            <w:r w:rsidRPr="002029AF">
              <w:t>pharmacotherapy</w:t>
            </w:r>
            <w:r w:rsidR="000A5329" w:rsidRPr="002029AF">
              <w:t xml:space="preserve"> </w:t>
            </w:r>
            <w:r w:rsidRPr="002029AF">
              <w:t>program</w:t>
            </w:r>
          </w:p>
        </w:tc>
        <w:tc>
          <w:tcPr>
            <w:tcW w:w="1019" w:type="dxa"/>
            <w:gridSpan w:val="3"/>
            <w:shd w:val="clear" w:color="auto" w:fill="auto"/>
            <w:hideMark/>
          </w:tcPr>
          <w:p w14:paraId="45B1058C" w14:textId="77777777" w:rsidR="00C15C65" w:rsidRPr="002029AF" w:rsidRDefault="00C15C65" w:rsidP="00C40F5D">
            <w:pPr>
              <w:pStyle w:val="ARtabletext"/>
            </w:pPr>
            <w:r w:rsidRPr="002029AF">
              <w:t>number</w:t>
            </w:r>
          </w:p>
        </w:tc>
        <w:tc>
          <w:tcPr>
            <w:tcW w:w="1028" w:type="dxa"/>
            <w:gridSpan w:val="3"/>
            <w:shd w:val="clear" w:color="auto" w:fill="auto"/>
            <w:hideMark/>
          </w:tcPr>
          <w:p w14:paraId="332EB1B0" w14:textId="77777777" w:rsidR="00C15C65" w:rsidRPr="002029AF" w:rsidRDefault="00C15C65" w:rsidP="00FD77AA">
            <w:pPr>
              <w:pStyle w:val="ARtabletextright"/>
            </w:pPr>
            <w:r w:rsidRPr="002029AF">
              <w:t>14,000</w:t>
            </w:r>
          </w:p>
        </w:tc>
        <w:tc>
          <w:tcPr>
            <w:tcW w:w="1022" w:type="dxa"/>
            <w:gridSpan w:val="2"/>
            <w:shd w:val="clear" w:color="auto" w:fill="auto"/>
            <w:hideMark/>
          </w:tcPr>
          <w:p w14:paraId="21638102" w14:textId="77777777" w:rsidR="00C15C65" w:rsidRPr="002029AF" w:rsidRDefault="00C15C65" w:rsidP="00FD77AA">
            <w:pPr>
              <w:pStyle w:val="ARtabletextright"/>
            </w:pPr>
            <w:r w:rsidRPr="002029AF">
              <w:t>14,063</w:t>
            </w:r>
          </w:p>
        </w:tc>
        <w:tc>
          <w:tcPr>
            <w:tcW w:w="1024" w:type="dxa"/>
            <w:shd w:val="clear" w:color="auto" w:fill="auto"/>
          </w:tcPr>
          <w:p w14:paraId="0158FBED" w14:textId="77777777" w:rsidR="00C15C65" w:rsidRPr="002029AF" w:rsidRDefault="00C15C65" w:rsidP="00FD77AA">
            <w:pPr>
              <w:pStyle w:val="ARtabletextright"/>
            </w:pPr>
            <w:r w:rsidRPr="002029AF">
              <w:t>0.5</w:t>
            </w:r>
          </w:p>
        </w:tc>
        <w:tc>
          <w:tcPr>
            <w:tcW w:w="797" w:type="dxa"/>
            <w:shd w:val="clear" w:color="auto" w:fill="auto"/>
            <w:hideMark/>
          </w:tcPr>
          <w:p w14:paraId="4DC5708A"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3AB18BA7" w14:textId="77777777" w:rsidTr="005B58F0">
        <w:trPr>
          <w:gridAfter w:val="1"/>
          <w:wAfter w:w="6" w:type="dxa"/>
          <w:cantSplit/>
        </w:trPr>
        <w:tc>
          <w:tcPr>
            <w:tcW w:w="9633" w:type="dxa"/>
            <w:gridSpan w:val="12"/>
            <w:tcBorders>
              <w:bottom w:val="single" w:sz="4" w:space="0" w:color="BFBFBF"/>
            </w:tcBorders>
            <w:shd w:val="clear" w:color="auto" w:fill="auto"/>
            <w:noWrap/>
            <w:hideMark/>
          </w:tcPr>
          <w:p w14:paraId="53CEAC37" w14:textId="7AFAF416" w:rsidR="00C15C65" w:rsidRPr="002029AF" w:rsidRDefault="00C15C65" w:rsidP="002C5190">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by</w:t>
            </w:r>
            <w:r w:rsidR="000A5329" w:rsidRPr="002029AF">
              <w:t xml:space="preserve"> </w:t>
            </w:r>
            <w:r w:rsidRPr="002029AF">
              <w:t>late</w:t>
            </w:r>
            <w:r w:rsidR="000A5329" w:rsidRPr="002029AF">
              <w:t xml:space="preserve"> </w:t>
            </w:r>
            <w:r w:rsidRPr="002029AF">
              <w:t>2020.</w:t>
            </w:r>
          </w:p>
        </w:tc>
      </w:tr>
      <w:tr w:rsidR="00C15C65" w:rsidRPr="002029AF" w14:paraId="7E05351B" w14:textId="77777777" w:rsidTr="005B58F0">
        <w:trPr>
          <w:gridAfter w:val="1"/>
          <w:wAfter w:w="6" w:type="dxa"/>
          <w:cantSplit/>
        </w:trPr>
        <w:tc>
          <w:tcPr>
            <w:tcW w:w="4743" w:type="dxa"/>
            <w:gridSpan w:val="2"/>
            <w:shd w:val="clear" w:color="auto" w:fill="auto"/>
            <w:hideMark/>
          </w:tcPr>
          <w:p w14:paraId="48475F0F" w14:textId="4A2B1303" w:rsidR="00C15C65" w:rsidRPr="002029AF" w:rsidRDefault="00C15C65" w:rsidP="00C40F5D">
            <w:pPr>
              <w:pStyle w:val="ARtabletext"/>
            </w:pPr>
            <w:r w:rsidRPr="002029AF">
              <w:t>Commenced</w:t>
            </w:r>
            <w:r w:rsidR="000A5329" w:rsidRPr="002029AF">
              <w:t xml:space="preserve"> </w:t>
            </w:r>
            <w:r w:rsidRPr="002029AF">
              <w:t>courses</w:t>
            </w:r>
            <w:r w:rsidR="000A5329" w:rsidRPr="002029AF">
              <w:t xml:space="preserve"> </w:t>
            </w:r>
            <w:r w:rsidRPr="002029AF">
              <w:t>of</w:t>
            </w:r>
            <w:r w:rsidR="000A5329" w:rsidRPr="002029AF">
              <w:t xml:space="preserve"> </w:t>
            </w:r>
            <w:r w:rsidRPr="002029AF">
              <w:t>treatment</w:t>
            </w:r>
            <w:r w:rsidR="000A5329" w:rsidRPr="002029AF">
              <w:t xml:space="preserve"> </w:t>
            </w:r>
            <w:r w:rsidRPr="002029AF">
              <w:t>–</w:t>
            </w:r>
            <w:r w:rsidR="000A5329" w:rsidRPr="002029AF">
              <w:t xml:space="preserve"> </w:t>
            </w:r>
            <w:r w:rsidRPr="002029AF">
              <w:t>community-based</w:t>
            </w:r>
            <w:r w:rsidR="000A5329" w:rsidRPr="002029AF">
              <w:t xml:space="preserve"> </w:t>
            </w:r>
            <w:r w:rsidRPr="002029AF">
              <w:t>drug</w:t>
            </w:r>
            <w:r w:rsidR="000A5329" w:rsidRPr="002029AF">
              <w:t xml:space="preserve"> </w:t>
            </w:r>
            <w:r w:rsidRPr="002029AF">
              <w:t>treatment</w:t>
            </w:r>
            <w:r w:rsidR="000A5329" w:rsidRPr="002029AF">
              <w:t xml:space="preserve"> </w:t>
            </w:r>
            <w:r w:rsidRPr="002029AF">
              <w:t>services</w:t>
            </w:r>
          </w:p>
        </w:tc>
        <w:tc>
          <w:tcPr>
            <w:tcW w:w="1019" w:type="dxa"/>
            <w:gridSpan w:val="3"/>
            <w:shd w:val="clear" w:color="auto" w:fill="auto"/>
            <w:hideMark/>
          </w:tcPr>
          <w:p w14:paraId="751690AC" w14:textId="77777777" w:rsidR="00C15C65" w:rsidRPr="002029AF" w:rsidRDefault="00C15C65" w:rsidP="00C40F5D">
            <w:pPr>
              <w:pStyle w:val="ARtabletext"/>
            </w:pPr>
            <w:r w:rsidRPr="002029AF">
              <w:t>number</w:t>
            </w:r>
          </w:p>
        </w:tc>
        <w:tc>
          <w:tcPr>
            <w:tcW w:w="1028" w:type="dxa"/>
            <w:gridSpan w:val="3"/>
            <w:shd w:val="clear" w:color="auto" w:fill="auto"/>
            <w:hideMark/>
          </w:tcPr>
          <w:p w14:paraId="7DB90899" w14:textId="77777777" w:rsidR="00C15C65" w:rsidRPr="002029AF" w:rsidRDefault="00C15C65" w:rsidP="00FD77AA">
            <w:pPr>
              <w:pStyle w:val="ARtabletextright"/>
            </w:pPr>
            <w:r w:rsidRPr="002029AF">
              <w:t>8,319</w:t>
            </w:r>
          </w:p>
        </w:tc>
        <w:tc>
          <w:tcPr>
            <w:tcW w:w="1022" w:type="dxa"/>
            <w:gridSpan w:val="2"/>
            <w:shd w:val="clear" w:color="auto" w:fill="auto"/>
            <w:hideMark/>
          </w:tcPr>
          <w:p w14:paraId="3E8BC7FF" w14:textId="77777777" w:rsidR="00C15C65" w:rsidRPr="002029AF" w:rsidRDefault="00C15C65" w:rsidP="00FD77AA">
            <w:pPr>
              <w:pStyle w:val="ARtabletextright"/>
            </w:pPr>
            <w:r w:rsidRPr="002029AF">
              <w:t>10,238</w:t>
            </w:r>
          </w:p>
        </w:tc>
        <w:tc>
          <w:tcPr>
            <w:tcW w:w="1024" w:type="dxa"/>
            <w:shd w:val="clear" w:color="auto" w:fill="auto"/>
          </w:tcPr>
          <w:p w14:paraId="13846991" w14:textId="77777777" w:rsidR="00C15C65" w:rsidRPr="002029AF" w:rsidRDefault="00C15C65" w:rsidP="00FD77AA">
            <w:pPr>
              <w:pStyle w:val="ARtabletextright"/>
            </w:pPr>
            <w:r w:rsidRPr="002029AF">
              <w:t>23.1</w:t>
            </w:r>
          </w:p>
        </w:tc>
        <w:tc>
          <w:tcPr>
            <w:tcW w:w="797" w:type="dxa"/>
            <w:shd w:val="clear" w:color="auto" w:fill="auto"/>
            <w:hideMark/>
          </w:tcPr>
          <w:p w14:paraId="59D290AD"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4A8F3CAC" w14:textId="77777777" w:rsidTr="005B58F0">
        <w:trPr>
          <w:gridAfter w:val="1"/>
          <w:wAfter w:w="6" w:type="dxa"/>
          <w:cantSplit/>
        </w:trPr>
        <w:tc>
          <w:tcPr>
            <w:tcW w:w="9633" w:type="dxa"/>
            <w:gridSpan w:val="12"/>
            <w:tcBorders>
              <w:bottom w:val="single" w:sz="4" w:space="0" w:color="BFBFBF"/>
            </w:tcBorders>
            <w:shd w:val="clear" w:color="auto" w:fill="auto"/>
            <w:noWrap/>
            <w:hideMark/>
          </w:tcPr>
          <w:p w14:paraId="28D33B1B" w14:textId="6A515499" w:rsidR="00C15C65" w:rsidRPr="002029AF" w:rsidRDefault="00C15C65" w:rsidP="002C5190">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an</w:t>
            </w:r>
            <w:r w:rsidR="000A5329" w:rsidRPr="002029AF">
              <w:t xml:space="preserve"> </w:t>
            </w:r>
            <w:r w:rsidRPr="002029AF">
              <w:t>ongoing</w:t>
            </w:r>
            <w:r w:rsidR="000A5329" w:rsidRPr="002029AF">
              <w:t xml:space="preserve"> </w:t>
            </w:r>
            <w:r w:rsidRPr="002029AF">
              <w:t>increase</w:t>
            </w:r>
            <w:r w:rsidR="000A5329" w:rsidRPr="002029AF">
              <w:t xml:space="preserve"> </w:t>
            </w:r>
            <w:r w:rsidRPr="002029AF">
              <w:t>in</w:t>
            </w:r>
            <w:r w:rsidR="000A5329" w:rsidRPr="002029AF">
              <w:t xml:space="preserve"> </w:t>
            </w:r>
            <w:r w:rsidRPr="002029AF">
              <w:t>the</w:t>
            </w:r>
            <w:r w:rsidR="000A5329" w:rsidRPr="002029AF">
              <w:t xml:space="preserve"> </w:t>
            </w:r>
            <w:r w:rsidRPr="002029AF">
              <w:t>delivery</w:t>
            </w:r>
            <w:r w:rsidR="000A5329" w:rsidRPr="002029AF">
              <w:t xml:space="preserve"> </w:t>
            </w:r>
            <w:r w:rsidRPr="002029AF">
              <w:t>of</w:t>
            </w:r>
            <w:r w:rsidR="000A5329" w:rsidRPr="002029AF">
              <w:t xml:space="preserve"> </w:t>
            </w:r>
            <w:r w:rsidRPr="002029AF">
              <w:t>a</w:t>
            </w:r>
            <w:r w:rsidR="000A5329" w:rsidRPr="002029AF">
              <w:t xml:space="preserve"> </w:t>
            </w:r>
            <w:r w:rsidRPr="002029AF">
              <w:t>range</w:t>
            </w:r>
            <w:r w:rsidR="000A5329" w:rsidRPr="002029AF">
              <w:t xml:space="preserve"> </w:t>
            </w:r>
            <w:r w:rsidRPr="002029AF">
              <w:t>of</w:t>
            </w:r>
            <w:r w:rsidR="000A5329" w:rsidRPr="002029AF">
              <w:t xml:space="preserve"> </w:t>
            </w:r>
            <w:r w:rsidRPr="002029AF">
              <w:t>treatment</w:t>
            </w:r>
            <w:r w:rsidR="000A5329" w:rsidRPr="002029AF">
              <w:t xml:space="preserve"> </w:t>
            </w:r>
            <w:r w:rsidRPr="002029AF">
              <w:t>types.</w:t>
            </w:r>
            <w:r w:rsidR="000A5329" w:rsidRPr="002029AF">
              <w:t xml:space="preserve"> </w:t>
            </w:r>
            <w:r w:rsidRPr="002029AF">
              <w:t>This</w:t>
            </w:r>
            <w:r w:rsidR="000A5329" w:rsidRPr="002029AF">
              <w:t xml:space="preserve"> </w:t>
            </w:r>
            <w:r w:rsidRPr="002029AF">
              <w:t>is</w:t>
            </w:r>
            <w:r w:rsidR="000A5329" w:rsidRPr="002029AF">
              <w:t xml:space="preserve"> </w:t>
            </w:r>
            <w:r w:rsidRPr="002029AF">
              <w:t>a</w:t>
            </w:r>
            <w:r w:rsidR="000A5329" w:rsidRPr="002029AF">
              <w:t xml:space="preserve"> </w:t>
            </w:r>
            <w:r w:rsidRPr="002029AF">
              <w:t>positive</w:t>
            </w:r>
            <w:r w:rsidR="000A5329" w:rsidRPr="002029AF">
              <w:t xml:space="preserve"> </w:t>
            </w:r>
            <w:r w:rsidRPr="002029AF">
              <w:t>result.</w:t>
            </w:r>
          </w:p>
        </w:tc>
      </w:tr>
      <w:tr w:rsidR="00C15C65" w:rsidRPr="002029AF" w14:paraId="4EDA0900" w14:textId="77777777" w:rsidTr="005B58F0">
        <w:trPr>
          <w:gridAfter w:val="1"/>
          <w:wAfter w:w="6" w:type="dxa"/>
          <w:cantSplit/>
        </w:trPr>
        <w:tc>
          <w:tcPr>
            <w:tcW w:w="4743" w:type="dxa"/>
            <w:gridSpan w:val="2"/>
            <w:shd w:val="clear" w:color="auto" w:fill="auto"/>
            <w:hideMark/>
          </w:tcPr>
          <w:p w14:paraId="74175F5C" w14:textId="545A4B6E" w:rsidR="00C15C65" w:rsidRPr="002029AF" w:rsidRDefault="00C15C65" w:rsidP="00C40F5D">
            <w:pPr>
              <w:pStyle w:val="ARtabletext"/>
            </w:pPr>
            <w:r w:rsidRPr="002029AF">
              <w:t>Number</w:t>
            </w:r>
            <w:r w:rsidR="000A5329" w:rsidRPr="002029AF">
              <w:t xml:space="preserve"> </w:t>
            </w:r>
            <w:r w:rsidRPr="002029AF">
              <w:t>of</w:t>
            </w:r>
            <w:r w:rsidR="000A5329" w:rsidRPr="002029AF">
              <w:t xml:space="preserve"> </w:t>
            </w:r>
            <w:r w:rsidRPr="002029AF">
              <w:t>drug</w:t>
            </w:r>
            <w:r w:rsidR="000A5329" w:rsidRPr="002029AF">
              <w:t xml:space="preserve"> </w:t>
            </w:r>
            <w:r w:rsidRPr="002029AF">
              <w:t>treatment</w:t>
            </w:r>
            <w:r w:rsidR="000A5329" w:rsidRPr="002029AF">
              <w:t xml:space="preserve"> </w:t>
            </w:r>
            <w:r w:rsidRPr="002029AF">
              <w:t>activity</w:t>
            </w:r>
            <w:r w:rsidR="000A5329" w:rsidRPr="002029AF">
              <w:t xml:space="preserve"> </w:t>
            </w:r>
            <w:r w:rsidRPr="002029AF">
              <w:t>units</w:t>
            </w:r>
            <w:r w:rsidR="000A5329" w:rsidRPr="002029AF">
              <w:t xml:space="preserve"> </w:t>
            </w:r>
            <w:r w:rsidRPr="002029AF">
              <w:t>–</w:t>
            </w:r>
            <w:r w:rsidR="000A5329" w:rsidRPr="002029AF">
              <w:t xml:space="preserve"> </w:t>
            </w:r>
            <w:r w:rsidRPr="002029AF">
              <w:t>residential</w:t>
            </w:r>
            <w:r w:rsidR="000A5329" w:rsidRPr="002029AF">
              <w:t xml:space="preserve"> </w:t>
            </w:r>
            <w:r w:rsidRPr="002029AF">
              <w:t>services</w:t>
            </w:r>
          </w:p>
        </w:tc>
        <w:tc>
          <w:tcPr>
            <w:tcW w:w="1019" w:type="dxa"/>
            <w:gridSpan w:val="3"/>
            <w:shd w:val="clear" w:color="auto" w:fill="auto"/>
            <w:hideMark/>
          </w:tcPr>
          <w:p w14:paraId="3FB23433" w14:textId="77777777" w:rsidR="00C15C65" w:rsidRPr="002029AF" w:rsidRDefault="00C15C65" w:rsidP="00C40F5D">
            <w:pPr>
              <w:pStyle w:val="ARtabletext"/>
            </w:pPr>
            <w:r w:rsidRPr="002029AF">
              <w:t>number</w:t>
            </w:r>
          </w:p>
        </w:tc>
        <w:tc>
          <w:tcPr>
            <w:tcW w:w="1028" w:type="dxa"/>
            <w:gridSpan w:val="3"/>
            <w:shd w:val="clear" w:color="auto" w:fill="auto"/>
            <w:hideMark/>
          </w:tcPr>
          <w:p w14:paraId="32895208" w14:textId="77777777" w:rsidR="00C15C65" w:rsidRPr="002029AF" w:rsidRDefault="00C15C65" w:rsidP="00FD77AA">
            <w:pPr>
              <w:pStyle w:val="ARtabletextright"/>
            </w:pPr>
            <w:r w:rsidRPr="002029AF">
              <w:t>76,759</w:t>
            </w:r>
          </w:p>
        </w:tc>
        <w:tc>
          <w:tcPr>
            <w:tcW w:w="1022" w:type="dxa"/>
            <w:gridSpan w:val="2"/>
            <w:shd w:val="clear" w:color="auto" w:fill="auto"/>
            <w:hideMark/>
          </w:tcPr>
          <w:p w14:paraId="591CDE03" w14:textId="77777777" w:rsidR="00C15C65" w:rsidRPr="002029AF" w:rsidRDefault="00C15C65" w:rsidP="00FD77AA">
            <w:pPr>
              <w:pStyle w:val="ARtabletextright"/>
            </w:pPr>
            <w:r w:rsidRPr="002029AF">
              <w:t>68,259</w:t>
            </w:r>
          </w:p>
        </w:tc>
        <w:tc>
          <w:tcPr>
            <w:tcW w:w="1024" w:type="dxa"/>
            <w:shd w:val="clear" w:color="auto" w:fill="auto"/>
          </w:tcPr>
          <w:p w14:paraId="437E0284" w14:textId="77777777" w:rsidR="00C15C65" w:rsidRPr="002029AF" w:rsidRDefault="00C15C65" w:rsidP="00FD77AA">
            <w:pPr>
              <w:pStyle w:val="ARtabletextright"/>
            </w:pPr>
            <w:r w:rsidRPr="002029AF">
              <w:t>-11.1</w:t>
            </w:r>
          </w:p>
        </w:tc>
        <w:tc>
          <w:tcPr>
            <w:tcW w:w="797" w:type="dxa"/>
            <w:shd w:val="clear" w:color="auto" w:fill="auto"/>
            <w:hideMark/>
          </w:tcPr>
          <w:p w14:paraId="54334B3B"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6E5461C0" w14:textId="77777777" w:rsidTr="005B58F0">
        <w:trPr>
          <w:gridAfter w:val="1"/>
          <w:wAfter w:w="6" w:type="dxa"/>
          <w:cantSplit/>
        </w:trPr>
        <w:tc>
          <w:tcPr>
            <w:tcW w:w="9633" w:type="dxa"/>
            <w:gridSpan w:val="12"/>
            <w:tcBorders>
              <w:bottom w:val="single" w:sz="4" w:space="0" w:color="BFBFBF"/>
            </w:tcBorders>
            <w:shd w:val="clear" w:color="auto" w:fill="auto"/>
            <w:noWrap/>
            <w:hideMark/>
          </w:tcPr>
          <w:p w14:paraId="1D98146D" w14:textId="3310A2F1" w:rsidR="00C15C65" w:rsidRPr="002029AF" w:rsidRDefault="00C15C65" w:rsidP="002C5190">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lower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the</w:t>
            </w:r>
            <w:r w:rsidR="000A5329" w:rsidRPr="002029AF">
              <w:t xml:space="preserve"> </w:t>
            </w:r>
            <w:r w:rsidRPr="002029AF">
              <w:t>impact</w:t>
            </w:r>
            <w:r w:rsidR="000A5329" w:rsidRPr="002029AF">
              <w:t xml:space="preserve"> </w:t>
            </w:r>
            <w:r w:rsidRPr="002029AF">
              <w:t>of</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social</w:t>
            </w:r>
            <w:r w:rsidR="000A5329" w:rsidRPr="002029AF">
              <w:t xml:space="preserve"> </w:t>
            </w:r>
            <w:r w:rsidRPr="002029AF">
              <w:t>distancing</w:t>
            </w:r>
            <w:r w:rsidR="000A5329" w:rsidRPr="002029AF">
              <w:t xml:space="preserve"> </w:t>
            </w:r>
            <w:r w:rsidRPr="002029AF">
              <w:t>measures</w:t>
            </w:r>
            <w:r w:rsidR="000A5329" w:rsidRPr="002029AF">
              <w:t xml:space="preserve"> </w:t>
            </w:r>
            <w:r w:rsidRPr="002029AF">
              <w:t>on</w:t>
            </w:r>
            <w:r w:rsidR="000A5329" w:rsidRPr="002029AF">
              <w:t xml:space="preserve"> </w:t>
            </w:r>
            <w:r w:rsidRPr="002029AF">
              <w:t>service</w:t>
            </w:r>
            <w:r w:rsidR="000A5329" w:rsidRPr="002029AF">
              <w:t xml:space="preserve"> </w:t>
            </w:r>
            <w:r w:rsidRPr="002029AF">
              <w:t>delivery.</w:t>
            </w:r>
          </w:p>
        </w:tc>
      </w:tr>
      <w:tr w:rsidR="00C15C65" w:rsidRPr="002029AF" w14:paraId="036EF1F7" w14:textId="77777777" w:rsidTr="005B58F0">
        <w:trPr>
          <w:gridAfter w:val="1"/>
          <w:wAfter w:w="6" w:type="dxa"/>
          <w:cantSplit/>
        </w:trPr>
        <w:tc>
          <w:tcPr>
            <w:tcW w:w="4743" w:type="dxa"/>
            <w:gridSpan w:val="2"/>
            <w:shd w:val="clear" w:color="auto" w:fill="auto"/>
            <w:hideMark/>
          </w:tcPr>
          <w:p w14:paraId="3636FFE2" w14:textId="722F584B" w:rsidR="00C15C65" w:rsidRPr="002029AF" w:rsidRDefault="00C15C65" w:rsidP="00C40F5D">
            <w:pPr>
              <w:pStyle w:val="ARtabletext"/>
            </w:pPr>
            <w:r w:rsidRPr="002029AF">
              <w:t>Number</w:t>
            </w:r>
            <w:r w:rsidR="000A5329" w:rsidRPr="002029AF">
              <w:t xml:space="preserve"> </w:t>
            </w:r>
            <w:r w:rsidRPr="002029AF">
              <w:t>of</w:t>
            </w:r>
            <w:r w:rsidR="000A5329" w:rsidRPr="002029AF">
              <w:t xml:space="preserve"> </w:t>
            </w:r>
            <w:r w:rsidRPr="002029AF">
              <w:t>drug</w:t>
            </w:r>
            <w:r w:rsidR="000A5329" w:rsidRPr="002029AF">
              <w:t xml:space="preserve"> </w:t>
            </w:r>
            <w:r w:rsidRPr="002029AF">
              <w:t>treatment</w:t>
            </w:r>
            <w:r w:rsidR="000A5329" w:rsidRPr="002029AF">
              <w:t xml:space="preserve"> </w:t>
            </w:r>
            <w:r w:rsidRPr="002029AF">
              <w:t>activity</w:t>
            </w:r>
            <w:r w:rsidR="000A5329" w:rsidRPr="002029AF">
              <w:t xml:space="preserve"> </w:t>
            </w:r>
            <w:r w:rsidRPr="002029AF">
              <w:t>units</w:t>
            </w:r>
            <w:r w:rsidR="000A5329" w:rsidRPr="002029AF">
              <w:t xml:space="preserve"> </w:t>
            </w:r>
            <w:r w:rsidRPr="002029AF">
              <w:t>–</w:t>
            </w:r>
            <w:r w:rsidR="000A5329" w:rsidRPr="002029AF">
              <w:t xml:space="preserve"> </w:t>
            </w:r>
            <w:r w:rsidRPr="002029AF">
              <w:t>community-based</w:t>
            </w:r>
            <w:r w:rsidR="000A5329" w:rsidRPr="002029AF">
              <w:t xml:space="preserve"> </w:t>
            </w:r>
            <w:r w:rsidRPr="002029AF">
              <w:t>services</w:t>
            </w:r>
          </w:p>
        </w:tc>
        <w:tc>
          <w:tcPr>
            <w:tcW w:w="1019" w:type="dxa"/>
            <w:gridSpan w:val="3"/>
            <w:shd w:val="clear" w:color="auto" w:fill="auto"/>
            <w:hideMark/>
          </w:tcPr>
          <w:p w14:paraId="770341C3" w14:textId="77777777" w:rsidR="00C15C65" w:rsidRPr="002029AF" w:rsidRDefault="00C15C65" w:rsidP="00C40F5D">
            <w:pPr>
              <w:pStyle w:val="ARtabletext"/>
            </w:pPr>
            <w:r w:rsidRPr="002029AF">
              <w:t>number</w:t>
            </w:r>
          </w:p>
        </w:tc>
        <w:tc>
          <w:tcPr>
            <w:tcW w:w="1028" w:type="dxa"/>
            <w:gridSpan w:val="3"/>
            <w:shd w:val="clear" w:color="auto" w:fill="auto"/>
            <w:hideMark/>
          </w:tcPr>
          <w:p w14:paraId="52FECCAD" w14:textId="77777777" w:rsidR="00C15C65" w:rsidRPr="002029AF" w:rsidRDefault="00C15C65" w:rsidP="00FD77AA">
            <w:pPr>
              <w:pStyle w:val="ARtabletextright"/>
            </w:pPr>
            <w:r w:rsidRPr="002029AF">
              <w:t>90,325</w:t>
            </w:r>
          </w:p>
        </w:tc>
        <w:tc>
          <w:tcPr>
            <w:tcW w:w="1022" w:type="dxa"/>
            <w:gridSpan w:val="2"/>
            <w:shd w:val="clear" w:color="auto" w:fill="auto"/>
            <w:hideMark/>
          </w:tcPr>
          <w:p w14:paraId="13FEE5FD" w14:textId="77777777" w:rsidR="00C15C65" w:rsidRPr="002029AF" w:rsidRDefault="00C15C65" w:rsidP="00FD77AA">
            <w:pPr>
              <w:pStyle w:val="ARtabletextright"/>
            </w:pPr>
            <w:r w:rsidRPr="002029AF">
              <w:t>83,087</w:t>
            </w:r>
          </w:p>
        </w:tc>
        <w:tc>
          <w:tcPr>
            <w:tcW w:w="1024" w:type="dxa"/>
            <w:shd w:val="clear" w:color="auto" w:fill="auto"/>
          </w:tcPr>
          <w:p w14:paraId="34C9C5EC" w14:textId="77777777" w:rsidR="00C15C65" w:rsidRPr="002029AF" w:rsidRDefault="00C15C65" w:rsidP="00FD77AA">
            <w:pPr>
              <w:pStyle w:val="ARtabletextright"/>
            </w:pPr>
            <w:r w:rsidRPr="002029AF">
              <w:t>-8.0</w:t>
            </w:r>
          </w:p>
        </w:tc>
        <w:tc>
          <w:tcPr>
            <w:tcW w:w="797" w:type="dxa"/>
            <w:shd w:val="clear" w:color="auto" w:fill="auto"/>
            <w:hideMark/>
          </w:tcPr>
          <w:p w14:paraId="3BBAAC40"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440091D3" w14:textId="77777777" w:rsidTr="005B58F0">
        <w:trPr>
          <w:gridAfter w:val="1"/>
          <w:wAfter w:w="6" w:type="dxa"/>
          <w:cantSplit/>
        </w:trPr>
        <w:tc>
          <w:tcPr>
            <w:tcW w:w="9633" w:type="dxa"/>
            <w:gridSpan w:val="12"/>
            <w:tcBorders>
              <w:bottom w:val="single" w:sz="4" w:space="0" w:color="BFBFBF"/>
            </w:tcBorders>
            <w:shd w:val="clear" w:color="auto" w:fill="auto"/>
            <w:noWrap/>
            <w:hideMark/>
          </w:tcPr>
          <w:p w14:paraId="5245349F" w14:textId="034A05C5" w:rsidR="00C15C65" w:rsidRPr="002029AF" w:rsidRDefault="00C15C65" w:rsidP="002C5190">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lower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the</w:t>
            </w:r>
            <w:r w:rsidR="000A5329" w:rsidRPr="002029AF">
              <w:t xml:space="preserve"> </w:t>
            </w:r>
            <w:r w:rsidRPr="002029AF">
              <w:t>impact</w:t>
            </w:r>
            <w:r w:rsidR="000A5329" w:rsidRPr="002029AF">
              <w:t xml:space="preserve"> </w:t>
            </w:r>
            <w:r w:rsidRPr="002029AF">
              <w:t>of</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social</w:t>
            </w:r>
            <w:r w:rsidR="000A5329" w:rsidRPr="002029AF">
              <w:t xml:space="preserve"> </w:t>
            </w:r>
            <w:r w:rsidRPr="002029AF">
              <w:t>distancing</w:t>
            </w:r>
            <w:r w:rsidR="000A5329" w:rsidRPr="002029AF">
              <w:t xml:space="preserve"> </w:t>
            </w:r>
            <w:r w:rsidRPr="002029AF">
              <w:t>measures</w:t>
            </w:r>
            <w:r w:rsidR="000A5329" w:rsidRPr="002029AF">
              <w:t xml:space="preserve"> </w:t>
            </w:r>
            <w:r w:rsidRPr="002029AF">
              <w:t>on</w:t>
            </w:r>
            <w:r w:rsidR="000A5329" w:rsidRPr="002029AF">
              <w:t xml:space="preserve"> </w:t>
            </w:r>
            <w:r w:rsidRPr="002029AF">
              <w:t>service</w:t>
            </w:r>
            <w:r w:rsidR="000A5329" w:rsidRPr="002029AF">
              <w:t xml:space="preserve"> </w:t>
            </w:r>
            <w:r w:rsidRPr="002029AF">
              <w:t>delivery.</w:t>
            </w:r>
          </w:p>
        </w:tc>
      </w:tr>
      <w:tr w:rsidR="00C15C65" w:rsidRPr="002029AF" w14:paraId="7319ABCE" w14:textId="77777777" w:rsidTr="005B58F0">
        <w:trPr>
          <w:gridAfter w:val="1"/>
          <w:wAfter w:w="6" w:type="dxa"/>
          <w:cantSplit/>
        </w:trPr>
        <w:tc>
          <w:tcPr>
            <w:tcW w:w="4743" w:type="dxa"/>
            <w:gridSpan w:val="2"/>
            <w:shd w:val="clear" w:color="auto" w:fill="auto"/>
            <w:hideMark/>
          </w:tcPr>
          <w:p w14:paraId="64E7323A" w14:textId="4EE0694D" w:rsidR="00C15C65" w:rsidRPr="002029AF" w:rsidRDefault="00C15C65" w:rsidP="00C40F5D">
            <w:pPr>
              <w:pStyle w:val="ARtabletext"/>
            </w:pPr>
            <w:r w:rsidRPr="002029AF">
              <w:t>Commenced</w:t>
            </w:r>
            <w:r w:rsidR="000A5329" w:rsidRPr="002029AF">
              <w:t xml:space="preserve"> </w:t>
            </w:r>
            <w:r w:rsidRPr="002029AF">
              <w:t>courses</w:t>
            </w:r>
            <w:r w:rsidR="000A5329" w:rsidRPr="002029AF">
              <w:t xml:space="preserve"> </w:t>
            </w:r>
            <w:r w:rsidRPr="002029AF">
              <w:t>of</w:t>
            </w:r>
            <w:r w:rsidR="000A5329" w:rsidRPr="002029AF">
              <w:t xml:space="preserve"> </w:t>
            </w:r>
            <w:r w:rsidRPr="002029AF">
              <w:t>treatment</w:t>
            </w:r>
            <w:r w:rsidR="000A5329" w:rsidRPr="002029AF">
              <w:t xml:space="preserve"> </w:t>
            </w:r>
            <w:r w:rsidRPr="002029AF">
              <w:t>–</w:t>
            </w:r>
            <w:r w:rsidR="000A5329" w:rsidRPr="002029AF">
              <w:t xml:space="preserve"> </w:t>
            </w:r>
            <w:r w:rsidRPr="002029AF">
              <w:t>residential-based</w:t>
            </w:r>
            <w:r w:rsidR="000A5329" w:rsidRPr="002029AF">
              <w:t xml:space="preserve"> </w:t>
            </w:r>
            <w:r w:rsidRPr="002029AF">
              <w:t>drug</w:t>
            </w:r>
            <w:r w:rsidR="000A5329" w:rsidRPr="002029AF">
              <w:t xml:space="preserve"> </w:t>
            </w:r>
            <w:r w:rsidRPr="002029AF">
              <w:t>treatment</w:t>
            </w:r>
            <w:r w:rsidR="000A5329" w:rsidRPr="002029AF">
              <w:t xml:space="preserve"> </w:t>
            </w:r>
            <w:r w:rsidRPr="002029AF">
              <w:t>services</w:t>
            </w:r>
          </w:p>
        </w:tc>
        <w:tc>
          <w:tcPr>
            <w:tcW w:w="1019" w:type="dxa"/>
            <w:gridSpan w:val="3"/>
            <w:shd w:val="clear" w:color="auto" w:fill="auto"/>
            <w:hideMark/>
          </w:tcPr>
          <w:p w14:paraId="147ECE76" w14:textId="77777777" w:rsidR="00C15C65" w:rsidRPr="002029AF" w:rsidRDefault="00C15C65" w:rsidP="00C40F5D">
            <w:pPr>
              <w:pStyle w:val="ARtabletext"/>
            </w:pPr>
            <w:r w:rsidRPr="002029AF">
              <w:t>number</w:t>
            </w:r>
          </w:p>
        </w:tc>
        <w:tc>
          <w:tcPr>
            <w:tcW w:w="1028" w:type="dxa"/>
            <w:gridSpan w:val="3"/>
            <w:shd w:val="clear" w:color="auto" w:fill="auto"/>
            <w:hideMark/>
          </w:tcPr>
          <w:p w14:paraId="5FC35437" w14:textId="77777777" w:rsidR="00C15C65" w:rsidRPr="002029AF" w:rsidRDefault="00C15C65" w:rsidP="00FD77AA">
            <w:pPr>
              <w:pStyle w:val="ARtabletextright"/>
            </w:pPr>
            <w:r w:rsidRPr="002029AF">
              <w:t>6,848</w:t>
            </w:r>
          </w:p>
        </w:tc>
        <w:tc>
          <w:tcPr>
            <w:tcW w:w="1022" w:type="dxa"/>
            <w:gridSpan w:val="2"/>
            <w:shd w:val="clear" w:color="auto" w:fill="auto"/>
            <w:hideMark/>
          </w:tcPr>
          <w:p w14:paraId="6382A988" w14:textId="77777777" w:rsidR="00C15C65" w:rsidRPr="002029AF" w:rsidRDefault="00C15C65" w:rsidP="00FD77AA">
            <w:pPr>
              <w:pStyle w:val="ARtabletextright"/>
            </w:pPr>
            <w:r w:rsidRPr="002029AF">
              <w:t>0</w:t>
            </w:r>
          </w:p>
        </w:tc>
        <w:tc>
          <w:tcPr>
            <w:tcW w:w="1024" w:type="dxa"/>
            <w:shd w:val="clear" w:color="auto" w:fill="auto"/>
          </w:tcPr>
          <w:p w14:paraId="26AEA14C" w14:textId="77777777" w:rsidR="00C15C65" w:rsidRPr="002029AF" w:rsidRDefault="00C15C65" w:rsidP="00FD77AA">
            <w:pPr>
              <w:pStyle w:val="ARtabletextright"/>
            </w:pPr>
            <w:r w:rsidRPr="002029AF">
              <w:t>-100.0</w:t>
            </w:r>
          </w:p>
        </w:tc>
        <w:tc>
          <w:tcPr>
            <w:tcW w:w="797" w:type="dxa"/>
            <w:shd w:val="clear" w:color="auto" w:fill="auto"/>
            <w:hideMark/>
          </w:tcPr>
          <w:p w14:paraId="146EA0C0"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638A4272" w14:textId="77777777" w:rsidTr="005B58F0">
        <w:trPr>
          <w:gridAfter w:val="1"/>
          <w:wAfter w:w="6" w:type="dxa"/>
          <w:cantSplit/>
        </w:trPr>
        <w:tc>
          <w:tcPr>
            <w:tcW w:w="9633" w:type="dxa"/>
            <w:gridSpan w:val="12"/>
            <w:tcBorders>
              <w:bottom w:val="single" w:sz="4" w:space="0" w:color="BFBFBF"/>
            </w:tcBorders>
            <w:shd w:val="clear" w:color="auto" w:fill="auto"/>
            <w:noWrap/>
            <w:hideMark/>
          </w:tcPr>
          <w:p w14:paraId="3AE0F7AC" w14:textId="558CAACD" w:rsidR="00C15C65" w:rsidRPr="002029AF" w:rsidRDefault="00C15C65" w:rsidP="002C5190">
            <w:pPr>
              <w:pStyle w:val="ARtablenoteindent"/>
            </w:pPr>
            <w:r w:rsidRPr="002029AF">
              <w:t>This</w:t>
            </w:r>
            <w:r w:rsidR="000A5329" w:rsidRPr="002029AF">
              <w:t xml:space="preserve"> </w:t>
            </w:r>
            <w:r w:rsidRPr="002029AF">
              <w:t>measure</w:t>
            </w:r>
            <w:r w:rsidR="000A5329" w:rsidRPr="002029AF">
              <w:t xml:space="preserve"> </w:t>
            </w:r>
            <w:r w:rsidRPr="002029AF">
              <w:t>is</w:t>
            </w:r>
            <w:r w:rsidR="000A5329" w:rsidRPr="002029AF">
              <w:t xml:space="preserve"> </w:t>
            </w:r>
            <w:r w:rsidRPr="002029AF">
              <w:t>no</w:t>
            </w:r>
            <w:r w:rsidR="000A5329" w:rsidRPr="002029AF">
              <w:t xml:space="preserve"> </w:t>
            </w:r>
            <w:r w:rsidRPr="002029AF">
              <w:t>longer</w:t>
            </w:r>
            <w:r w:rsidR="000A5329" w:rsidRPr="002029AF">
              <w:t xml:space="preserve"> </w:t>
            </w:r>
            <w:r w:rsidRPr="002029AF">
              <w:t>applicable</w:t>
            </w:r>
            <w:r w:rsidR="000A5329" w:rsidRPr="002029AF">
              <w:t xml:space="preserve"> </w:t>
            </w:r>
            <w:r w:rsidRPr="002029AF">
              <w:t>due</w:t>
            </w:r>
            <w:r w:rsidR="000A5329" w:rsidRPr="002029AF">
              <w:t xml:space="preserve"> </w:t>
            </w:r>
            <w:r w:rsidRPr="002029AF">
              <w:t>to</w:t>
            </w:r>
            <w:r w:rsidR="000A5329" w:rsidRPr="002029AF">
              <w:t xml:space="preserve"> </w:t>
            </w:r>
            <w:r w:rsidRPr="002029AF">
              <w:t>a</w:t>
            </w:r>
            <w:r w:rsidR="000A5329" w:rsidRPr="002029AF">
              <w:t xml:space="preserve"> </w:t>
            </w:r>
            <w:r w:rsidRPr="002029AF">
              <w:t>change</w:t>
            </w:r>
            <w:r w:rsidR="000A5329" w:rsidRPr="002029AF">
              <w:t xml:space="preserve"> </w:t>
            </w:r>
            <w:r w:rsidRPr="002029AF">
              <w:t>in</w:t>
            </w:r>
            <w:r w:rsidR="000A5329" w:rsidRPr="002029AF">
              <w:t xml:space="preserve"> </w:t>
            </w:r>
            <w:r w:rsidRPr="002029AF">
              <w:t>how</w:t>
            </w:r>
            <w:r w:rsidR="000A5329" w:rsidRPr="002029AF">
              <w:t xml:space="preserve"> </w:t>
            </w:r>
            <w:r w:rsidRPr="002029AF">
              <w:t>residential</w:t>
            </w:r>
            <w:r w:rsidR="000A5329" w:rsidRPr="002029AF">
              <w:t xml:space="preserve"> </w:t>
            </w:r>
            <w:r w:rsidRPr="002029AF">
              <w:t>treatment</w:t>
            </w:r>
            <w:r w:rsidR="000A5329" w:rsidRPr="002029AF">
              <w:t xml:space="preserve"> </w:t>
            </w:r>
            <w:r w:rsidRPr="002029AF">
              <w:t>services</w:t>
            </w:r>
            <w:r w:rsidR="000A5329" w:rsidRPr="002029AF">
              <w:t xml:space="preserve"> </w:t>
            </w:r>
            <w:r w:rsidRPr="002029AF">
              <w:t>are</w:t>
            </w:r>
            <w:r w:rsidR="000A5329" w:rsidRPr="002029AF">
              <w:t xml:space="preserve"> </w:t>
            </w:r>
            <w:r w:rsidRPr="002029AF">
              <w:t>funded.</w:t>
            </w:r>
            <w:r w:rsidR="000A5329" w:rsidRPr="002029AF">
              <w:t xml:space="preserve"> </w:t>
            </w:r>
            <w:r w:rsidRPr="002029AF">
              <w:t>Refer</w:t>
            </w:r>
            <w:r w:rsidR="000A5329" w:rsidRPr="002029AF">
              <w:t xml:space="preserve"> </w:t>
            </w:r>
            <w:r w:rsidRPr="002029AF">
              <w:t>to</w:t>
            </w:r>
            <w:r w:rsidR="000A5329" w:rsidRPr="002029AF">
              <w:t xml:space="preserve"> </w:t>
            </w:r>
            <w:r w:rsidRPr="002029AF">
              <w:t>‘Number</w:t>
            </w:r>
            <w:r w:rsidR="000A5329" w:rsidRPr="002029AF">
              <w:t xml:space="preserve"> </w:t>
            </w:r>
            <w:r w:rsidRPr="002029AF">
              <w:t>of</w:t>
            </w:r>
            <w:r w:rsidR="000A5329" w:rsidRPr="002029AF">
              <w:t xml:space="preserve"> </w:t>
            </w:r>
            <w:r w:rsidRPr="002029AF">
              <w:t>drug</w:t>
            </w:r>
            <w:r w:rsidR="000A5329" w:rsidRPr="002029AF">
              <w:t xml:space="preserve"> </w:t>
            </w:r>
            <w:r w:rsidRPr="002029AF">
              <w:t>treatment</w:t>
            </w:r>
            <w:r w:rsidR="000A5329" w:rsidRPr="002029AF">
              <w:t xml:space="preserve"> </w:t>
            </w:r>
            <w:r w:rsidRPr="002029AF">
              <w:t>activity</w:t>
            </w:r>
            <w:r w:rsidR="000A5329" w:rsidRPr="002029AF">
              <w:t xml:space="preserve"> </w:t>
            </w:r>
            <w:r w:rsidRPr="002029AF">
              <w:t>units</w:t>
            </w:r>
            <w:r w:rsidR="000A5329" w:rsidRPr="002029AF">
              <w:t xml:space="preserve"> </w:t>
            </w:r>
            <w:r w:rsidRPr="002029AF">
              <w:t>–</w:t>
            </w:r>
            <w:r w:rsidR="000A5329" w:rsidRPr="002029AF">
              <w:t xml:space="preserve"> </w:t>
            </w:r>
            <w:r w:rsidRPr="002029AF">
              <w:t>residential</w:t>
            </w:r>
            <w:r w:rsidR="000A5329" w:rsidRPr="002029AF">
              <w:t xml:space="preserve"> </w:t>
            </w:r>
            <w:r w:rsidRPr="002029AF">
              <w:t>services’</w:t>
            </w:r>
            <w:r w:rsidR="000A5329" w:rsidRPr="002029AF">
              <w:t xml:space="preserve"> </w:t>
            </w:r>
            <w:r w:rsidRPr="002029AF">
              <w:t>for</w:t>
            </w:r>
            <w:r w:rsidR="000A5329" w:rsidRPr="002029AF">
              <w:t xml:space="preserve"> </w:t>
            </w:r>
            <w:r w:rsidRPr="002029AF">
              <w:t>a</w:t>
            </w:r>
            <w:r w:rsidR="000A5329" w:rsidRPr="002029AF">
              <w:t xml:space="preserve"> </w:t>
            </w:r>
            <w:r w:rsidRPr="002029AF">
              <w:t>measure</w:t>
            </w:r>
            <w:r w:rsidR="000A5329" w:rsidRPr="002029AF">
              <w:t xml:space="preserve"> </w:t>
            </w:r>
            <w:r w:rsidRPr="002029AF">
              <w:t>of</w:t>
            </w:r>
            <w:r w:rsidR="000A5329" w:rsidRPr="002029AF">
              <w:t xml:space="preserve"> </w:t>
            </w:r>
            <w:r w:rsidRPr="002029AF">
              <w:t>the</w:t>
            </w:r>
            <w:r w:rsidR="000A5329" w:rsidRPr="002029AF">
              <w:t xml:space="preserve"> </w:t>
            </w:r>
            <w:r w:rsidRPr="002029AF">
              <w:t>number</w:t>
            </w:r>
            <w:r w:rsidR="000A5329" w:rsidRPr="002029AF">
              <w:t xml:space="preserve"> </w:t>
            </w:r>
            <w:r w:rsidRPr="002029AF">
              <w:t>of</w:t>
            </w:r>
            <w:r w:rsidR="000A5329" w:rsidRPr="002029AF">
              <w:t xml:space="preserve"> </w:t>
            </w:r>
            <w:r w:rsidRPr="002029AF">
              <w:t>services</w:t>
            </w:r>
            <w:r w:rsidR="000A5329" w:rsidRPr="002029AF">
              <w:t xml:space="preserve"> </w:t>
            </w:r>
            <w:r w:rsidRPr="002029AF">
              <w:t>delivered</w:t>
            </w:r>
            <w:r w:rsidR="000A5329" w:rsidRPr="002029AF">
              <w:t xml:space="preserve"> </w:t>
            </w:r>
            <w:r w:rsidRPr="002029AF">
              <w:t>in</w:t>
            </w:r>
            <w:r w:rsidR="000A5329" w:rsidRPr="002029AF">
              <w:t xml:space="preserve"> </w:t>
            </w:r>
            <w:r w:rsidRPr="002029AF">
              <w:t>201</w:t>
            </w:r>
            <w:r w:rsidR="00DB53E6" w:rsidRPr="002029AF">
              <w:t>9–</w:t>
            </w:r>
            <w:r w:rsidRPr="002029AF">
              <w:t>20.</w:t>
            </w:r>
          </w:p>
        </w:tc>
      </w:tr>
      <w:tr w:rsidR="00C15C65" w:rsidRPr="002029AF" w14:paraId="52A405BE" w14:textId="77777777" w:rsidTr="005B58F0">
        <w:trPr>
          <w:gridAfter w:val="1"/>
          <w:wAfter w:w="6" w:type="dxa"/>
          <w:cantSplit/>
        </w:trPr>
        <w:tc>
          <w:tcPr>
            <w:tcW w:w="4743" w:type="dxa"/>
            <w:gridSpan w:val="2"/>
            <w:shd w:val="clear" w:color="auto" w:fill="auto"/>
            <w:hideMark/>
          </w:tcPr>
          <w:p w14:paraId="4A23FBC3" w14:textId="55D3FA61" w:rsidR="00C15C65" w:rsidRPr="002029AF" w:rsidRDefault="00C15C65" w:rsidP="00C40F5D">
            <w:pPr>
              <w:pStyle w:val="ARtabletext"/>
            </w:pPr>
            <w:r w:rsidRPr="002029AF">
              <w:t>Number</w:t>
            </w:r>
            <w:r w:rsidR="000A5329" w:rsidRPr="002029AF">
              <w:t xml:space="preserve"> </w:t>
            </w:r>
            <w:r w:rsidRPr="002029AF">
              <w:t>of</w:t>
            </w:r>
            <w:r w:rsidR="000A5329" w:rsidRPr="002029AF">
              <w:t xml:space="preserve"> </w:t>
            </w:r>
            <w:r w:rsidRPr="002029AF">
              <w:t>new</w:t>
            </w:r>
            <w:r w:rsidR="000A5329" w:rsidRPr="002029AF">
              <w:t xml:space="preserve"> </w:t>
            </w:r>
            <w:r w:rsidRPr="002029AF">
              <w:t>residential</w:t>
            </w:r>
            <w:r w:rsidR="000A5329" w:rsidRPr="002029AF">
              <w:t xml:space="preserve"> </w:t>
            </w:r>
            <w:r w:rsidRPr="002029AF">
              <w:t>withdrawal</w:t>
            </w:r>
            <w:r w:rsidR="000A5329" w:rsidRPr="002029AF">
              <w:t xml:space="preserve"> </w:t>
            </w:r>
            <w:r w:rsidRPr="002029AF">
              <w:t>clients</w:t>
            </w:r>
          </w:p>
        </w:tc>
        <w:tc>
          <w:tcPr>
            <w:tcW w:w="1019" w:type="dxa"/>
            <w:gridSpan w:val="3"/>
            <w:shd w:val="clear" w:color="auto" w:fill="auto"/>
            <w:hideMark/>
          </w:tcPr>
          <w:p w14:paraId="617E3457" w14:textId="77777777" w:rsidR="00C15C65" w:rsidRPr="002029AF" w:rsidRDefault="00C15C65" w:rsidP="00C40F5D">
            <w:pPr>
              <w:pStyle w:val="ARtabletext"/>
            </w:pPr>
            <w:r w:rsidRPr="002029AF">
              <w:t>number</w:t>
            </w:r>
          </w:p>
        </w:tc>
        <w:tc>
          <w:tcPr>
            <w:tcW w:w="1028" w:type="dxa"/>
            <w:gridSpan w:val="3"/>
            <w:shd w:val="clear" w:color="auto" w:fill="auto"/>
            <w:hideMark/>
          </w:tcPr>
          <w:p w14:paraId="41AAD8E7" w14:textId="77777777" w:rsidR="00C15C65" w:rsidRPr="002029AF" w:rsidRDefault="00C15C65" w:rsidP="00FD77AA">
            <w:pPr>
              <w:pStyle w:val="ARtabletextright"/>
            </w:pPr>
            <w:r w:rsidRPr="002029AF">
              <w:t>2,309</w:t>
            </w:r>
          </w:p>
        </w:tc>
        <w:tc>
          <w:tcPr>
            <w:tcW w:w="1022" w:type="dxa"/>
            <w:gridSpan w:val="2"/>
            <w:shd w:val="clear" w:color="auto" w:fill="auto"/>
            <w:hideMark/>
          </w:tcPr>
          <w:p w14:paraId="524FF3F4" w14:textId="77777777" w:rsidR="00C15C65" w:rsidRPr="002029AF" w:rsidRDefault="00C15C65" w:rsidP="00FD77AA">
            <w:pPr>
              <w:pStyle w:val="ARtabletextright"/>
            </w:pPr>
            <w:r w:rsidRPr="002029AF">
              <w:t>2,043</w:t>
            </w:r>
          </w:p>
        </w:tc>
        <w:tc>
          <w:tcPr>
            <w:tcW w:w="1024" w:type="dxa"/>
            <w:shd w:val="clear" w:color="auto" w:fill="auto"/>
          </w:tcPr>
          <w:p w14:paraId="604EAFE8" w14:textId="77777777" w:rsidR="00C15C65" w:rsidRPr="002029AF" w:rsidRDefault="00C15C65" w:rsidP="00FD77AA">
            <w:pPr>
              <w:pStyle w:val="ARtabletextright"/>
            </w:pPr>
            <w:r w:rsidRPr="002029AF">
              <w:t>-11.5</w:t>
            </w:r>
          </w:p>
        </w:tc>
        <w:tc>
          <w:tcPr>
            <w:tcW w:w="797" w:type="dxa"/>
            <w:shd w:val="clear" w:color="auto" w:fill="auto"/>
            <w:hideMark/>
          </w:tcPr>
          <w:p w14:paraId="45BF3012"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53AA065E" w14:textId="77777777" w:rsidTr="005B58F0">
        <w:trPr>
          <w:gridAfter w:val="1"/>
          <w:wAfter w:w="6" w:type="dxa"/>
          <w:cantSplit/>
        </w:trPr>
        <w:tc>
          <w:tcPr>
            <w:tcW w:w="9633" w:type="dxa"/>
            <w:gridSpan w:val="12"/>
            <w:tcBorders>
              <w:bottom w:val="single" w:sz="4" w:space="0" w:color="BFBFBF"/>
            </w:tcBorders>
            <w:shd w:val="clear" w:color="auto" w:fill="auto"/>
            <w:noWrap/>
            <w:hideMark/>
          </w:tcPr>
          <w:p w14:paraId="797D36BE" w14:textId="0BCEB158" w:rsidR="00C15C65" w:rsidRPr="002029AF" w:rsidRDefault="00C15C65" w:rsidP="002C45C7">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lower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the</w:t>
            </w:r>
            <w:r w:rsidR="000A5329" w:rsidRPr="002029AF">
              <w:t xml:space="preserve"> </w:t>
            </w:r>
            <w:r w:rsidRPr="002029AF">
              <w:t>continuation</w:t>
            </w:r>
            <w:r w:rsidR="000A5329" w:rsidRPr="002029AF">
              <w:t xml:space="preserve"> </w:t>
            </w:r>
            <w:r w:rsidRPr="002029AF">
              <w:t>of</w:t>
            </w:r>
            <w:r w:rsidR="000A5329" w:rsidRPr="002029AF">
              <w:t xml:space="preserve"> </w:t>
            </w:r>
            <w:r w:rsidRPr="002029AF">
              <w:t>a</w:t>
            </w:r>
            <w:r w:rsidR="000A5329" w:rsidRPr="002029AF">
              <w:t xml:space="preserve"> </w:t>
            </w:r>
            <w:r w:rsidRPr="002029AF">
              <w:t>long-term</w:t>
            </w:r>
            <w:r w:rsidR="000A5329" w:rsidRPr="002029AF">
              <w:t xml:space="preserve"> </w:t>
            </w:r>
            <w:r w:rsidRPr="002029AF">
              <w:t>trend</w:t>
            </w:r>
            <w:r w:rsidR="000A5329" w:rsidRPr="002029AF">
              <w:t xml:space="preserve"> </w:t>
            </w:r>
            <w:r w:rsidRPr="002029AF">
              <w:t>of</w:t>
            </w:r>
            <w:r w:rsidR="000A5329" w:rsidRPr="002029AF">
              <w:t xml:space="preserve"> </w:t>
            </w:r>
            <w:r w:rsidRPr="002029AF">
              <w:t>increasing</w:t>
            </w:r>
            <w:r w:rsidR="000A5329" w:rsidRPr="002029AF">
              <w:t xml:space="preserve"> </w:t>
            </w:r>
            <w:r w:rsidRPr="002029AF">
              <w:t>client</w:t>
            </w:r>
            <w:r w:rsidR="000A5329" w:rsidRPr="002029AF">
              <w:t xml:space="preserve"> </w:t>
            </w:r>
            <w:r w:rsidRPr="002029AF">
              <w:t>complexity,</w:t>
            </w:r>
            <w:r w:rsidR="000A5329" w:rsidRPr="002029AF">
              <w:t xml:space="preserve"> </w:t>
            </w:r>
            <w:r w:rsidRPr="002029AF">
              <w:t>leading</w:t>
            </w:r>
            <w:r w:rsidR="000A5329" w:rsidRPr="002029AF">
              <w:t xml:space="preserve"> </w:t>
            </w:r>
            <w:r w:rsidRPr="002029AF">
              <w:t>to</w:t>
            </w:r>
            <w:r w:rsidR="000A5329" w:rsidRPr="002029AF">
              <w:t xml:space="preserve"> </w:t>
            </w:r>
            <w:r w:rsidRPr="002029AF">
              <w:t>lower</w:t>
            </w:r>
            <w:r w:rsidR="000A5329" w:rsidRPr="002029AF">
              <w:t xml:space="preserve"> </w:t>
            </w:r>
            <w:r w:rsidRPr="002029AF">
              <w:t>overall</w:t>
            </w:r>
            <w:r w:rsidR="000A5329" w:rsidRPr="002029AF">
              <w:t xml:space="preserve"> </w:t>
            </w:r>
            <w:r w:rsidRPr="002029AF">
              <w:t>throughput.</w:t>
            </w:r>
            <w:r w:rsidR="000A5329" w:rsidRPr="002029AF">
              <w:t xml:space="preserve"> </w:t>
            </w:r>
            <w:r w:rsidRPr="002029AF">
              <w:t>This</w:t>
            </w:r>
            <w:r w:rsidR="000A5329" w:rsidRPr="002029AF">
              <w:t xml:space="preserve"> </w:t>
            </w:r>
            <w:r w:rsidRPr="002029AF">
              <w:t>is</w:t>
            </w:r>
            <w:r w:rsidR="000A5329" w:rsidRPr="002029AF">
              <w:t xml:space="preserve"> </w:t>
            </w:r>
            <w:r w:rsidRPr="002029AF">
              <w:t>due</w:t>
            </w:r>
            <w:r w:rsidR="000A5329" w:rsidRPr="002029AF">
              <w:t xml:space="preserve"> </w:t>
            </w:r>
            <w:r w:rsidRPr="002029AF">
              <w:t>to</w:t>
            </w:r>
            <w:r w:rsidR="000A5329" w:rsidRPr="002029AF">
              <w:t xml:space="preserve"> </w:t>
            </w:r>
            <w:r w:rsidRPr="002029AF">
              <w:t>more</w:t>
            </w:r>
            <w:r w:rsidR="000A5329" w:rsidRPr="002029AF">
              <w:t xml:space="preserve"> </w:t>
            </w:r>
            <w:r w:rsidRPr="002029AF">
              <w:t>clients</w:t>
            </w:r>
            <w:r w:rsidR="000A5329" w:rsidRPr="002029AF">
              <w:t xml:space="preserve"> </w:t>
            </w:r>
            <w:r w:rsidRPr="002029AF">
              <w:t>receiving</w:t>
            </w:r>
            <w:r w:rsidR="000A5329" w:rsidRPr="002029AF">
              <w:t xml:space="preserve"> </w:t>
            </w:r>
            <w:r w:rsidRPr="002029AF">
              <w:t>multiple</w:t>
            </w:r>
            <w:r w:rsidR="000A5329" w:rsidRPr="002029AF">
              <w:t xml:space="preserve"> </w:t>
            </w:r>
            <w:r w:rsidRPr="002029AF">
              <w:t>courses</w:t>
            </w:r>
            <w:r w:rsidR="000A5329" w:rsidRPr="002029AF">
              <w:t xml:space="preserve"> </w:t>
            </w:r>
            <w:r w:rsidRPr="002029AF">
              <w:t>of</w:t>
            </w:r>
            <w:r w:rsidR="000A5329" w:rsidRPr="002029AF">
              <w:t xml:space="preserve"> </w:t>
            </w:r>
            <w:r w:rsidRPr="002029AF">
              <w:t>treatment</w:t>
            </w:r>
            <w:r w:rsidR="000A5329" w:rsidRPr="002029AF">
              <w:t xml:space="preserve"> </w:t>
            </w:r>
            <w:r w:rsidRPr="002029AF">
              <w:t>and</w:t>
            </w:r>
            <w:r w:rsidR="000A5329" w:rsidRPr="002029AF">
              <w:t xml:space="preserve"> </w:t>
            </w:r>
            <w:r w:rsidRPr="002029AF">
              <w:t>having</w:t>
            </w:r>
            <w:r w:rsidR="000A5329" w:rsidRPr="002029AF">
              <w:t xml:space="preserve"> </w:t>
            </w:r>
            <w:r w:rsidRPr="002029AF">
              <w:t>longer</w:t>
            </w:r>
            <w:r w:rsidR="000A5329" w:rsidRPr="002029AF">
              <w:t xml:space="preserve"> </w:t>
            </w:r>
            <w:r w:rsidRPr="002029AF">
              <w:t>lengths</w:t>
            </w:r>
            <w:r w:rsidR="000A5329" w:rsidRPr="002029AF">
              <w:t xml:space="preserve"> </w:t>
            </w:r>
            <w:r w:rsidRPr="002029AF">
              <w:t>of</w:t>
            </w:r>
            <w:r w:rsidR="000A5329" w:rsidRPr="002029AF">
              <w:t xml:space="preserve"> </w:t>
            </w:r>
            <w:r w:rsidRPr="002029AF">
              <w:t>stay.</w:t>
            </w:r>
          </w:p>
        </w:tc>
      </w:tr>
      <w:tr w:rsidR="00C15C65" w:rsidRPr="002029AF" w14:paraId="18717FC7" w14:textId="77777777" w:rsidTr="005B58F0">
        <w:trPr>
          <w:gridAfter w:val="1"/>
          <w:wAfter w:w="6" w:type="dxa"/>
          <w:cantSplit/>
        </w:trPr>
        <w:tc>
          <w:tcPr>
            <w:tcW w:w="4743" w:type="dxa"/>
            <w:gridSpan w:val="2"/>
            <w:shd w:val="clear" w:color="auto" w:fill="auto"/>
            <w:hideMark/>
          </w:tcPr>
          <w:p w14:paraId="3CC31AFE" w14:textId="423B3246" w:rsidR="00C15C65" w:rsidRPr="002029AF" w:rsidRDefault="00C15C65" w:rsidP="00C40F5D">
            <w:pPr>
              <w:pStyle w:val="ARtabletext"/>
            </w:pPr>
            <w:r w:rsidRPr="002029AF">
              <w:t>Residential</w:t>
            </w:r>
            <w:r w:rsidR="000A5329" w:rsidRPr="002029AF">
              <w:t xml:space="preserve"> </w:t>
            </w:r>
            <w:r w:rsidRPr="002029AF">
              <w:t>bed</w:t>
            </w:r>
            <w:r w:rsidR="000A5329" w:rsidRPr="002029AF">
              <w:t xml:space="preserve"> </w:t>
            </w:r>
            <w:r w:rsidRPr="002029AF">
              <w:t>days</w:t>
            </w:r>
          </w:p>
        </w:tc>
        <w:tc>
          <w:tcPr>
            <w:tcW w:w="1019" w:type="dxa"/>
            <w:gridSpan w:val="3"/>
            <w:shd w:val="clear" w:color="auto" w:fill="auto"/>
            <w:hideMark/>
          </w:tcPr>
          <w:p w14:paraId="23EF49C2" w14:textId="77777777" w:rsidR="00C15C65" w:rsidRPr="002029AF" w:rsidRDefault="00C15C65" w:rsidP="00C40F5D">
            <w:pPr>
              <w:pStyle w:val="ARtabletext"/>
            </w:pPr>
            <w:r w:rsidRPr="002029AF">
              <w:t>number</w:t>
            </w:r>
          </w:p>
        </w:tc>
        <w:tc>
          <w:tcPr>
            <w:tcW w:w="1028" w:type="dxa"/>
            <w:gridSpan w:val="3"/>
            <w:shd w:val="clear" w:color="auto" w:fill="auto"/>
            <w:hideMark/>
          </w:tcPr>
          <w:p w14:paraId="2DED55E5" w14:textId="77777777" w:rsidR="00C15C65" w:rsidRPr="002029AF" w:rsidRDefault="00C15C65" w:rsidP="00FD77AA">
            <w:pPr>
              <w:pStyle w:val="ARtabletextright"/>
            </w:pPr>
            <w:r w:rsidRPr="002029AF">
              <w:t>143,993</w:t>
            </w:r>
          </w:p>
        </w:tc>
        <w:tc>
          <w:tcPr>
            <w:tcW w:w="1022" w:type="dxa"/>
            <w:gridSpan w:val="2"/>
            <w:shd w:val="clear" w:color="auto" w:fill="auto"/>
            <w:hideMark/>
          </w:tcPr>
          <w:p w14:paraId="0504F16F" w14:textId="77777777" w:rsidR="00C15C65" w:rsidRPr="002029AF" w:rsidRDefault="00C15C65" w:rsidP="00FD77AA">
            <w:pPr>
              <w:pStyle w:val="ARtabletextright"/>
            </w:pPr>
            <w:r w:rsidRPr="002029AF">
              <w:t>212,271</w:t>
            </w:r>
          </w:p>
        </w:tc>
        <w:tc>
          <w:tcPr>
            <w:tcW w:w="1024" w:type="dxa"/>
            <w:shd w:val="clear" w:color="auto" w:fill="auto"/>
          </w:tcPr>
          <w:p w14:paraId="29AEEE7E" w14:textId="77777777" w:rsidR="00C15C65" w:rsidRPr="002029AF" w:rsidRDefault="00C15C65" w:rsidP="00FD77AA">
            <w:pPr>
              <w:pStyle w:val="ARtabletextright"/>
            </w:pPr>
            <w:r w:rsidRPr="002029AF">
              <w:t>47.4</w:t>
            </w:r>
          </w:p>
        </w:tc>
        <w:tc>
          <w:tcPr>
            <w:tcW w:w="797" w:type="dxa"/>
            <w:shd w:val="clear" w:color="auto" w:fill="auto"/>
            <w:hideMark/>
          </w:tcPr>
          <w:p w14:paraId="37000FF8"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077F30A1" w14:textId="77777777" w:rsidTr="005B58F0">
        <w:trPr>
          <w:gridAfter w:val="1"/>
          <w:wAfter w:w="6" w:type="dxa"/>
          <w:cantSplit/>
        </w:trPr>
        <w:tc>
          <w:tcPr>
            <w:tcW w:w="9633" w:type="dxa"/>
            <w:gridSpan w:val="12"/>
            <w:tcBorders>
              <w:bottom w:val="single" w:sz="4" w:space="0" w:color="BFBFBF"/>
            </w:tcBorders>
            <w:shd w:val="clear" w:color="auto" w:fill="auto"/>
            <w:noWrap/>
            <w:hideMark/>
          </w:tcPr>
          <w:p w14:paraId="553FB13C" w14:textId="4F4173D5" w:rsidR="00C15C65" w:rsidRPr="002029AF" w:rsidRDefault="00C15C65" w:rsidP="002C5190">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an</w:t>
            </w:r>
            <w:r w:rsidR="000A5329" w:rsidRPr="002029AF">
              <w:t xml:space="preserve"> </w:t>
            </w:r>
            <w:r w:rsidRPr="002029AF">
              <w:t>improvement</w:t>
            </w:r>
            <w:r w:rsidR="000A5329" w:rsidRPr="002029AF">
              <w:t xml:space="preserve"> </w:t>
            </w:r>
            <w:r w:rsidRPr="002029AF">
              <w:t>in</w:t>
            </w:r>
            <w:r w:rsidR="000A5329" w:rsidRPr="002029AF">
              <w:t xml:space="preserve"> </w:t>
            </w:r>
            <w:r w:rsidRPr="002029AF">
              <w:t>the</w:t>
            </w:r>
            <w:r w:rsidR="000A5329" w:rsidRPr="002029AF">
              <w:t xml:space="preserve"> </w:t>
            </w:r>
            <w:r w:rsidRPr="002029AF">
              <w:t>way</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derives</w:t>
            </w:r>
            <w:r w:rsidR="000A5329" w:rsidRPr="002029AF">
              <w:t xml:space="preserve"> </w:t>
            </w:r>
            <w:r w:rsidRPr="002029AF">
              <w:t>data</w:t>
            </w:r>
            <w:r w:rsidR="000A5329" w:rsidRPr="002029AF">
              <w:t xml:space="preserve"> </w:t>
            </w:r>
            <w:r w:rsidRPr="002029AF">
              <w:t>for</w:t>
            </w:r>
            <w:r w:rsidR="000A5329" w:rsidRPr="002029AF">
              <w:t xml:space="preserve"> </w:t>
            </w:r>
            <w:r w:rsidRPr="002029AF">
              <w:t>this</w:t>
            </w:r>
            <w:r w:rsidR="000A5329" w:rsidRPr="002029AF">
              <w:t xml:space="preserve"> </w:t>
            </w:r>
            <w:r w:rsidRPr="002029AF">
              <w:t>measure.</w:t>
            </w:r>
            <w:r w:rsidR="000A5329" w:rsidRPr="002029AF">
              <w:t xml:space="preserve"> </w:t>
            </w:r>
            <w:r w:rsidRPr="002029AF">
              <w:t>This</w:t>
            </w:r>
            <w:r w:rsidR="000A5329" w:rsidRPr="002029AF">
              <w:t xml:space="preserve"> </w:t>
            </w:r>
            <w:r w:rsidRPr="002029AF">
              <w:t>is</w:t>
            </w:r>
            <w:r w:rsidR="000A5329" w:rsidRPr="002029AF">
              <w:t xml:space="preserve"> </w:t>
            </w:r>
            <w:r w:rsidRPr="002029AF">
              <w:t>a</w:t>
            </w:r>
            <w:r w:rsidR="000A5329" w:rsidRPr="002029AF">
              <w:t xml:space="preserve"> </w:t>
            </w:r>
            <w:r w:rsidRPr="002029AF">
              <w:t>positive</w:t>
            </w:r>
            <w:r w:rsidR="000A5329" w:rsidRPr="002029AF">
              <w:t xml:space="preserve"> </w:t>
            </w:r>
            <w:r w:rsidRPr="002029AF">
              <w:t>result.</w:t>
            </w:r>
          </w:p>
        </w:tc>
      </w:tr>
      <w:tr w:rsidR="00C15C65" w:rsidRPr="002029AF" w14:paraId="0753D65D" w14:textId="77777777" w:rsidTr="005B58F0">
        <w:trPr>
          <w:cantSplit/>
        </w:trPr>
        <w:tc>
          <w:tcPr>
            <w:tcW w:w="9639" w:type="dxa"/>
            <w:gridSpan w:val="13"/>
            <w:tcBorders>
              <w:top w:val="single" w:sz="4" w:space="0" w:color="auto"/>
              <w:left w:val="nil"/>
              <w:bottom w:val="nil"/>
              <w:right w:val="nil"/>
            </w:tcBorders>
            <w:hideMark/>
          </w:tcPr>
          <w:p w14:paraId="35793E32" w14:textId="77777777" w:rsidR="00C15C65" w:rsidRPr="002029AF" w:rsidRDefault="00C15C65" w:rsidP="00D96AFD">
            <w:pPr>
              <w:pStyle w:val="ARtablegreybold"/>
            </w:pPr>
            <w:r w:rsidRPr="002029AF">
              <w:t>Quality</w:t>
            </w:r>
          </w:p>
        </w:tc>
      </w:tr>
      <w:tr w:rsidR="00C15C65" w:rsidRPr="002029AF" w14:paraId="1694CC56" w14:textId="77777777" w:rsidTr="005B58F0">
        <w:trPr>
          <w:gridAfter w:val="1"/>
          <w:wAfter w:w="6" w:type="dxa"/>
          <w:cantSplit/>
        </w:trPr>
        <w:tc>
          <w:tcPr>
            <w:tcW w:w="4743" w:type="dxa"/>
            <w:gridSpan w:val="2"/>
            <w:tcBorders>
              <w:bottom w:val="single" w:sz="4" w:space="0" w:color="BFBFBF"/>
            </w:tcBorders>
            <w:shd w:val="clear" w:color="auto" w:fill="auto"/>
            <w:hideMark/>
          </w:tcPr>
          <w:p w14:paraId="36536B3A" w14:textId="51278765" w:rsidR="00C15C65" w:rsidRPr="002029AF" w:rsidRDefault="00C15C65" w:rsidP="00C40F5D">
            <w:pPr>
              <w:pStyle w:val="ARtabletext"/>
            </w:pPr>
            <w:r w:rsidRPr="002029AF">
              <w:t>Workers</w:t>
            </w:r>
            <w:r w:rsidR="000A5329" w:rsidRPr="002029AF">
              <w:t xml:space="preserve"> </w:t>
            </w:r>
            <w:r w:rsidRPr="002029AF">
              <w:t>complying</w:t>
            </w:r>
            <w:r w:rsidR="000A5329" w:rsidRPr="002029AF">
              <w:t xml:space="preserve"> </w:t>
            </w:r>
            <w:r w:rsidRPr="002029AF">
              <w:t>with</w:t>
            </w:r>
            <w:r w:rsidR="000A5329" w:rsidRPr="002029AF">
              <w:t xml:space="preserve"> </w:t>
            </w:r>
            <w:r w:rsidRPr="002029AF">
              <w:t>Alcohol</w:t>
            </w:r>
            <w:r w:rsidR="000A5329" w:rsidRPr="002029AF">
              <w:t xml:space="preserve"> </w:t>
            </w:r>
            <w:r w:rsidRPr="002029AF">
              <w:t>and</w:t>
            </w:r>
            <w:r w:rsidR="000A5329" w:rsidRPr="002029AF">
              <w:t xml:space="preserve"> </w:t>
            </w:r>
            <w:r w:rsidRPr="002029AF">
              <w:t>Other</w:t>
            </w:r>
            <w:r w:rsidR="000A5329" w:rsidRPr="002029AF">
              <w:t xml:space="preserve"> </w:t>
            </w:r>
            <w:r w:rsidRPr="002029AF">
              <w:t>Drug</w:t>
            </w:r>
            <w:r w:rsidR="000A5329" w:rsidRPr="002029AF">
              <w:t xml:space="preserve"> </w:t>
            </w:r>
            <w:r w:rsidRPr="002029AF">
              <w:t>Minimum</w:t>
            </w:r>
            <w:r w:rsidR="000A5329" w:rsidRPr="002029AF">
              <w:t xml:space="preserve"> </w:t>
            </w:r>
            <w:r w:rsidRPr="002029AF">
              <w:t>Qualification</w:t>
            </w:r>
            <w:r w:rsidR="000A5329" w:rsidRPr="002029AF">
              <w:t xml:space="preserve"> </w:t>
            </w:r>
            <w:r w:rsidRPr="002029AF">
              <w:t>Strategy</w:t>
            </w:r>
            <w:r w:rsidR="000A5329" w:rsidRPr="002029AF">
              <w:t xml:space="preserve"> </w:t>
            </w:r>
            <w:r w:rsidRPr="002029AF">
              <w:t>requirements</w:t>
            </w:r>
          </w:p>
        </w:tc>
        <w:tc>
          <w:tcPr>
            <w:tcW w:w="1019" w:type="dxa"/>
            <w:gridSpan w:val="3"/>
            <w:tcBorders>
              <w:bottom w:val="single" w:sz="4" w:space="0" w:color="BFBFBF"/>
            </w:tcBorders>
            <w:shd w:val="clear" w:color="auto" w:fill="auto"/>
            <w:hideMark/>
          </w:tcPr>
          <w:p w14:paraId="394567D0" w14:textId="3B875CA8" w:rsidR="00C15C65" w:rsidRPr="002029AF" w:rsidRDefault="00C15C65" w:rsidP="00C40F5D">
            <w:pPr>
              <w:pStyle w:val="ARtabletext"/>
            </w:pPr>
            <w:r w:rsidRPr="002029AF">
              <w:t>per</w:t>
            </w:r>
            <w:r w:rsidR="000A5329" w:rsidRPr="002029AF">
              <w:t xml:space="preserve"> </w:t>
            </w:r>
            <w:r w:rsidRPr="002029AF">
              <w:t>cent</w:t>
            </w:r>
          </w:p>
        </w:tc>
        <w:tc>
          <w:tcPr>
            <w:tcW w:w="1028" w:type="dxa"/>
            <w:gridSpan w:val="3"/>
            <w:tcBorders>
              <w:bottom w:val="single" w:sz="4" w:space="0" w:color="BFBFBF"/>
            </w:tcBorders>
            <w:shd w:val="clear" w:color="auto" w:fill="auto"/>
            <w:hideMark/>
          </w:tcPr>
          <w:p w14:paraId="36AC64F0" w14:textId="77777777" w:rsidR="00C15C65" w:rsidRPr="002029AF" w:rsidRDefault="00C15C65" w:rsidP="00FD77AA">
            <w:pPr>
              <w:pStyle w:val="ARtabletextright"/>
            </w:pPr>
            <w:r w:rsidRPr="002029AF">
              <w:t>85</w:t>
            </w:r>
          </w:p>
        </w:tc>
        <w:tc>
          <w:tcPr>
            <w:tcW w:w="1022" w:type="dxa"/>
            <w:gridSpan w:val="2"/>
            <w:tcBorders>
              <w:bottom w:val="single" w:sz="4" w:space="0" w:color="BFBFBF"/>
            </w:tcBorders>
            <w:shd w:val="clear" w:color="auto" w:fill="auto"/>
            <w:hideMark/>
          </w:tcPr>
          <w:p w14:paraId="0EA924E1" w14:textId="77777777" w:rsidR="00C15C65" w:rsidRPr="002029AF" w:rsidRDefault="00C15C65" w:rsidP="00FD77AA">
            <w:pPr>
              <w:pStyle w:val="ARtabletextright"/>
            </w:pPr>
            <w:r w:rsidRPr="002029AF">
              <w:t>85</w:t>
            </w:r>
          </w:p>
        </w:tc>
        <w:tc>
          <w:tcPr>
            <w:tcW w:w="1024" w:type="dxa"/>
            <w:tcBorders>
              <w:bottom w:val="single" w:sz="4" w:space="0" w:color="BFBFBF"/>
            </w:tcBorders>
            <w:shd w:val="clear" w:color="auto" w:fill="auto"/>
          </w:tcPr>
          <w:p w14:paraId="09F88F7A" w14:textId="77777777" w:rsidR="00C15C65" w:rsidRPr="002029AF" w:rsidRDefault="00C15C65" w:rsidP="00FD77AA">
            <w:pPr>
              <w:pStyle w:val="ARtabletextright"/>
            </w:pPr>
            <w:r w:rsidRPr="002029AF">
              <w:t>0.0</w:t>
            </w:r>
          </w:p>
        </w:tc>
        <w:tc>
          <w:tcPr>
            <w:tcW w:w="797" w:type="dxa"/>
            <w:tcBorders>
              <w:bottom w:val="single" w:sz="4" w:space="0" w:color="BFBFBF"/>
            </w:tcBorders>
            <w:shd w:val="clear" w:color="auto" w:fill="auto"/>
            <w:hideMark/>
          </w:tcPr>
          <w:p w14:paraId="1FA4F697"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1CEA6DB3" w14:textId="77777777" w:rsidTr="005B58F0">
        <w:trPr>
          <w:gridAfter w:val="1"/>
          <w:wAfter w:w="6" w:type="dxa"/>
          <w:cantSplit/>
        </w:trPr>
        <w:tc>
          <w:tcPr>
            <w:tcW w:w="4743" w:type="dxa"/>
            <w:gridSpan w:val="2"/>
            <w:tcBorders>
              <w:top w:val="single" w:sz="4" w:space="0" w:color="BFBFBF"/>
            </w:tcBorders>
            <w:shd w:val="clear" w:color="auto" w:fill="auto"/>
            <w:hideMark/>
          </w:tcPr>
          <w:p w14:paraId="656FABAC" w14:textId="27C8CFBF" w:rsidR="00C15C65" w:rsidRPr="002029AF" w:rsidRDefault="00C15C65" w:rsidP="00C40F5D">
            <w:pPr>
              <w:pStyle w:val="ARtabletext"/>
            </w:pPr>
            <w:r w:rsidRPr="002029AF">
              <w:lastRenderedPageBreak/>
              <w:t>Percentage</w:t>
            </w:r>
            <w:r w:rsidR="000A5329" w:rsidRPr="002029AF">
              <w:t xml:space="preserve"> </w:t>
            </w:r>
            <w:r w:rsidRPr="002029AF">
              <w:t>of</w:t>
            </w:r>
            <w:r w:rsidR="000A5329" w:rsidRPr="002029AF">
              <w:t xml:space="preserve"> </w:t>
            </w:r>
            <w:r w:rsidRPr="002029AF">
              <w:t>new</w:t>
            </w:r>
            <w:r w:rsidR="000A5329" w:rsidRPr="002029AF">
              <w:t xml:space="preserve"> </w:t>
            </w:r>
            <w:r w:rsidRPr="002029AF">
              <w:t>clients</w:t>
            </w:r>
            <w:r w:rsidR="000A5329" w:rsidRPr="002029AF">
              <w:t xml:space="preserve"> </w:t>
            </w:r>
            <w:r w:rsidRPr="002029AF">
              <w:t>to</w:t>
            </w:r>
            <w:r w:rsidR="000A5329" w:rsidRPr="002029AF">
              <w:t xml:space="preserve"> </w:t>
            </w:r>
            <w:r w:rsidRPr="002029AF">
              <w:t>existing</w:t>
            </w:r>
            <w:r w:rsidR="000A5329" w:rsidRPr="002029AF">
              <w:t xml:space="preserve"> </w:t>
            </w:r>
            <w:r w:rsidRPr="002029AF">
              <w:t>clients</w:t>
            </w:r>
          </w:p>
        </w:tc>
        <w:tc>
          <w:tcPr>
            <w:tcW w:w="1019" w:type="dxa"/>
            <w:gridSpan w:val="3"/>
            <w:tcBorders>
              <w:top w:val="single" w:sz="4" w:space="0" w:color="BFBFBF"/>
            </w:tcBorders>
            <w:shd w:val="clear" w:color="auto" w:fill="auto"/>
            <w:hideMark/>
          </w:tcPr>
          <w:p w14:paraId="0819DAAD" w14:textId="0EA5A9BD" w:rsidR="00C15C65" w:rsidRPr="002029AF" w:rsidRDefault="00C15C65" w:rsidP="00C40F5D">
            <w:pPr>
              <w:pStyle w:val="ARtabletext"/>
            </w:pPr>
            <w:r w:rsidRPr="002029AF">
              <w:t>per</w:t>
            </w:r>
            <w:r w:rsidR="000A5329" w:rsidRPr="002029AF">
              <w:t xml:space="preserve"> </w:t>
            </w:r>
            <w:r w:rsidRPr="002029AF">
              <w:t>cent</w:t>
            </w:r>
          </w:p>
        </w:tc>
        <w:tc>
          <w:tcPr>
            <w:tcW w:w="1028" w:type="dxa"/>
            <w:gridSpan w:val="3"/>
            <w:tcBorders>
              <w:top w:val="single" w:sz="4" w:space="0" w:color="BFBFBF"/>
            </w:tcBorders>
            <w:shd w:val="clear" w:color="auto" w:fill="auto"/>
            <w:hideMark/>
          </w:tcPr>
          <w:p w14:paraId="62E6D59E" w14:textId="77777777" w:rsidR="00C15C65" w:rsidRPr="002029AF" w:rsidRDefault="00C15C65" w:rsidP="00FD77AA">
            <w:pPr>
              <w:pStyle w:val="ARtabletextright"/>
            </w:pPr>
            <w:r w:rsidRPr="002029AF">
              <w:t>50</w:t>
            </w:r>
          </w:p>
        </w:tc>
        <w:tc>
          <w:tcPr>
            <w:tcW w:w="1022" w:type="dxa"/>
            <w:gridSpan w:val="2"/>
            <w:tcBorders>
              <w:top w:val="single" w:sz="4" w:space="0" w:color="BFBFBF"/>
            </w:tcBorders>
            <w:shd w:val="clear" w:color="auto" w:fill="auto"/>
            <w:hideMark/>
          </w:tcPr>
          <w:p w14:paraId="4C9E0622" w14:textId="77777777" w:rsidR="00C15C65" w:rsidRPr="002029AF" w:rsidRDefault="00C15C65" w:rsidP="00FD77AA">
            <w:pPr>
              <w:pStyle w:val="ARtabletextright"/>
            </w:pPr>
            <w:r w:rsidRPr="002029AF">
              <w:t>61.3</w:t>
            </w:r>
          </w:p>
        </w:tc>
        <w:tc>
          <w:tcPr>
            <w:tcW w:w="1024" w:type="dxa"/>
            <w:tcBorders>
              <w:top w:val="single" w:sz="4" w:space="0" w:color="BFBFBF"/>
            </w:tcBorders>
            <w:shd w:val="clear" w:color="auto" w:fill="auto"/>
          </w:tcPr>
          <w:p w14:paraId="655E2A3B" w14:textId="77777777" w:rsidR="00C15C65" w:rsidRPr="002029AF" w:rsidRDefault="00C15C65" w:rsidP="00FD77AA">
            <w:pPr>
              <w:pStyle w:val="ARtabletextright"/>
            </w:pPr>
            <w:r w:rsidRPr="002029AF">
              <w:t>22.6</w:t>
            </w:r>
          </w:p>
        </w:tc>
        <w:tc>
          <w:tcPr>
            <w:tcW w:w="797" w:type="dxa"/>
            <w:tcBorders>
              <w:top w:val="single" w:sz="4" w:space="0" w:color="BFBFBF"/>
            </w:tcBorders>
            <w:shd w:val="clear" w:color="auto" w:fill="auto"/>
            <w:hideMark/>
          </w:tcPr>
          <w:p w14:paraId="6886F824"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6FF10925" w14:textId="77777777" w:rsidTr="005B58F0">
        <w:trPr>
          <w:gridAfter w:val="1"/>
          <w:wAfter w:w="6" w:type="dxa"/>
          <w:cantSplit/>
        </w:trPr>
        <w:tc>
          <w:tcPr>
            <w:tcW w:w="9633" w:type="dxa"/>
            <w:gridSpan w:val="12"/>
            <w:tcBorders>
              <w:bottom w:val="single" w:sz="4" w:space="0" w:color="BFBFBF"/>
            </w:tcBorders>
            <w:shd w:val="clear" w:color="auto" w:fill="auto"/>
            <w:noWrap/>
            <w:hideMark/>
          </w:tcPr>
          <w:p w14:paraId="687F1FBA" w14:textId="6BCA95A3" w:rsidR="00C15C65" w:rsidRPr="002029AF" w:rsidRDefault="00C15C65" w:rsidP="002C5190">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an</w:t>
            </w:r>
            <w:r w:rsidR="000A5329" w:rsidRPr="002029AF">
              <w:t xml:space="preserve"> </w:t>
            </w:r>
            <w:r w:rsidRPr="002029AF">
              <w:t>increase</w:t>
            </w:r>
            <w:r w:rsidR="000A5329" w:rsidRPr="002029AF">
              <w:t xml:space="preserve"> </w:t>
            </w:r>
            <w:r w:rsidRPr="002029AF">
              <w:t>in</w:t>
            </w:r>
            <w:r w:rsidR="000A5329" w:rsidRPr="002029AF">
              <w:t xml:space="preserve"> </w:t>
            </w:r>
            <w:r w:rsidRPr="002029AF">
              <w:t>the</w:t>
            </w:r>
            <w:r w:rsidR="000A5329" w:rsidRPr="002029AF">
              <w:t xml:space="preserve"> </w:t>
            </w:r>
            <w:r w:rsidRPr="002029AF">
              <w:t>number</w:t>
            </w:r>
            <w:r w:rsidR="000A5329" w:rsidRPr="002029AF">
              <w:t xml:space="preserve"> </w:t>
            </w:r>
            <w:r w:rsidRPr="002029AF">
              <w:t>of</w:t>
            </w:r>
            <w:r w:rsidR="000A5329" w:rsidRPr="002029AF">
              <w:t xml:space="preserve"> </w:t>
            </w:r>
            <w:r w:rsidRPr="002029AF">
              <w:t>clients</w:t>
            </w:r>
            <w:r w:rsidR="000A5329" w:rsidRPr="002029AF">
              <w:t xml:space="preserve"> </w:t>
            </w:r>
            <w:r w:rsidRPr="002029AF">
              <w:t>seeking</w:t>
            </w:r>
            <w:r w:rsidR="000A5329" w:rsidRPr="002029AF">
              <w:t xml:space="preserve"> </w:t>
            </w:r>
            <w:r w:rsidRPr="002029AF">
              <w:t>drug</w:t>
            </w:r>
            <w:r w:rsidR="000A5329" w:rsidRPr="002029AF">
              <w:t xml:space="preserve"> </w:t>
            </w:r>
            <w:r w:rsidRPr="002029AF">
              <w:t>treatment</w:t>
            </w:r>
            <w:r w:rsidR="000A5329" w:rsidRPr="002029AF">
              <w:t xml:space="preserve"> </w:t>
            </w:r>
            <w:r w:rsidRPr="002029AF">
              <w:t>for</w:t>
            </w:r>
            <w:r w:rsidR="000A5329" w:rsidRPr="002029AF">
              <w:t xml:space="preserve"> </w:t>
            </w:r>
            <w:r w:rsidRPr="002029AF">
              <w:t>the</w:t>
            </w:r>
            <w:r w:rsidR="000A5329" w:rsidRPr="002029AF">
              <w:t xml:space="preserve"> </w:t>
            </w:r>
            <w:r w:rsidRPr="002029AF">
              <w:t>first</w:t>
            </w:r>
            <w:r w:rsidR="000A5329" w:rsidRPr="002029AF">
              <w:t xml:space="preserve"> </w:t>
            </w:r>
            <w:r w:rsidRPr="002029AF">
              <w:t>time.</w:t>
            </w:r>
          </w:p>
        </w:tc>
      </w:tr>
      <w:tr w:rsidR="00C15C65" w:rsidRPr="002029AF" w14:paraId="32CB67B6" w14:textId="77777777" w:rsidTr="005B58F0">
        <w:trPr>
          <w:gridAfter w:val="1"/>
          <w:wAfter w:w="6" w:type="dxa"/>
          <w:cantSplit/>
        </w:trPr>
        <w:tc>
          <w:tcPr>
            <w:tcW w:w="4743" w:type="dxa"/>
            <w:gridSpan w:val="2"/>
            <w:shd w:val="clear" w:color="auto" w:fill="auto"/>
            <w:hideMark/>
          </w:tcPr>
          <w:p w14:paraId="0CF8C3D6" w14:textId="79449116" w:rsidR="00C15C65" w:rsidRPr="002029AF" w:rsidRDefault="00C15C65" w:rsidP="00C40F5D">
            <w:pPr>
              <w:pStyle w:val="ARtabletext"/>
            </w:pPr>
            <w:r w:rsidRPr="002029AF">
              <w:t>Percentage</w:t>
            </w:r>
            <w:r w:rsidR="000A5329" w:rsidRPr="002029AF">
              <w:t xml:space="preserve"> </w:t>
            </w:r>
            <w:r w:rsidRPr="002029AF">
              <w:t>of</w:t>
            </w:r>
            <w:r w:rsidR="000A5329" w:rsidRPr="002029AF">
              <w:t xml:space="preserve"> </w:t>
            </w:r>
            <w:r w:rsidRPr="002029AF">
              <w:t>residential</w:t>
            </w:r>
            <w:r w:rsidR="000A5329" w:rsidRPr="002029AF">
              <w:t xml:space="preserve"> </w:t>
            </w:r>
            <w:r w:rsidRPr="002029AF">
              <w:t>rehabilitation</w:t>
            </w:r>
            <w:r w:rsidR="000A5329" w:rsidRPr="002029AF">
              <w:t xml:space="preserve"> </w:t>
            </w:r>
            <w:r w:rsidRPr="002029AF">
              <w:t>clients</w:t>
            </w:r>
            <w:r w:rsidR="000A5329" w:rsidRPr="002029AF">
              <w:t xml:space="preserve"> </w:t>
            </w:r>
            <w:r w:rsidRPr="002029AF">
              <w:t>remaining</w:t>
            </w:r>
            <w:r w:rsidR="000A5329" w:rsidRPr="002029AF">
              <w:t xml:space="preserve"> </w:t>
            </w:r>
            <w:r w:rsidRPr="002029AF">
              <w:t>in</w:t>
            </w:r>
            <w:r w:rsidR="000A5329" w:rsidRPr="002029AF">
              <w:t xml:space="preserve"> </w:t>
            </w:r>
            <w:r w:rsidRPr="002029AF">
              <w:t>treatment</w:t>
            </w:r>
            <w:r w:rsidR="000A5329" w:rsidRPr="002029AF">
              <w:t xml:space="preserve"> </w:t>
            </w:r>
            <w:r w:rsidRPr="002029AF">
              <w:t>for</w:t>
            </w:r>
            <w:r w:rsidR="000A5329" w:rsidRPr="002029AF">
              <w:t xml:space="preserve"> </w:t>
            </w:r>
            <w:r w:rsidRPr="002029AF">
              <w:t>ten</w:t>
            </w:r>
            <w:r w:rsidR="000A5329" w:rsidRPr="002029AF">
              <w:t xml:space="preserve"> </w:t>
            </w:r>
            <w:r w:rsidRPr="002029AF">
              <w:t>days</w:t>
            </w:r>
            <w:r w:rsidR="000A5329" w:rsidRPr="002029AF">
              <w:t xml:space="preserve"> </w:t>
            </w:r>
            <w:r w:rsidRPr="002029AF">
              <w:t>or</w:t>
            </w:r>
            <w:r w:rsidR="000A5329" w:rsidRPr="002029AF">
              <w:t xml:space="preserve"> </w:t>
            </w:r>
            <w:r w:rsidRPr="002029AF">
              <w:t>more</w:t>
            </w:r>
          </w:p>
        </w:tc>
        <w:tc>
          <w:tcPr>
            <w:tcW w:w="1019" w:type="dxa"/>
            <w:gridSpan w:val="3"/>
            <w:shd w:val="clear" w:color="auto" w:fill="auto"/>
            <w:hideMark/>
          </w:tcPr>
          <w:p w14:paraId="3E7D91BA" w14:textId="5E5ED99A" w:rsidR="00C15C65" w:rsidRPr="002029AF" w:rsidRDefault="00C15C65" w:rsidP="00C40F5D">
            <w:pPr>
              <w:pStyle w:val="ARtabletext"/>
            </w:pPr>
            <w:r w:rsidRPr="002029AF">
              <w:t>per</w:t>
            </w:r>
            <w:r w:rsidR="000A5329" w:rsidRPr="002029AF">
              <w:t xml:space="preserve"> </w:t>
            </w:r>
            <w:r w:rsidRPr="002029AF">
              <w:t>cent</w:t>
            </w:r>
          </w:p>
        </w:tc>
        <w:tc>
          <w:tcPr>
            <w:tcW w:w="1028" w:type="dxa"/>
            <w:gridSpan w:val="3"/>
            <w:shd w:val="clear" w:color="auto" w:fill="auto"/>
            <w:hideMark/>
          </w:tcPr>
          <w:p w14:paraId="724C741E" w14:textId="77777777" w:rsidR="00C15C65" w:rsidRPr="002029AF" w:rsidRDefault="00C15C65" w:rsidP="00FD77AA">
            <w:pPr>
              <w:pStyle w:val="ARtabletextright"/>
            </w:pPr>
            <w:r w:rsidRPr="002029AF">
              <w:t>80</w:t>
            </w:r>
          </w:p>
        </w:tc>
        <w:tc>
          <w:tcPr>
            <w:tcW w:w="1022" w:type="dxa"/>
            <w:gridSpan w:val="2"/>
            <w:shd w:val="clear" w:color="auto" w:fill="auto"/>
            <w:hideMark/>
          </w:tcPr>
          <w:p w14:paraId="7A0FA426" w14:textId="77777777" w:rsidR="00C15C65" w:rsidRPr="002029AF" w:rsidRDefault="00C15C65" w:rsidP="00FD77AA">
            <w:pPr>
              <w:pStyle w:val="ARtabletextright"/>
            </w:pPr>
            <w:r w:rsidRPr="002029AF">
              <w:t>90</w:t>
            </w:r>
          </w:p>
        </w:tc>
        <w:tc>
          <w:tcPr>
            <w:tcW w:w="1024" w:type="dxa"/>
            <w:shd w:val="clear" w:color="auto" w:fill="auto"/>
          </w:tcPr>
          <w:p w14:paraId="45192C62" w14:textId="77777777" w:rsidR="00C15C65" w:rsidRPr="002029AF" w:rsidRDefault="00C15C65" w:rsidP="00FD77AA">
            <w:pPr>
              <w:pStyle w:val="ARtabletextright"/>
            </w:pPr>
            <w:r w:rsidRPr="002029AF">
              <w:t>12.5</w:t>
            </w:r>
          </w:p>
        </w:tc>
        <w:tc>
          <w:tcPr>
            <w:tcW w:w="797" w:type="dxa"/>
            <w:shd w:val="clear" w:color="auto" w:fill="auto"/>
            <w:hideMark/>
          </w:tcPr>
          <w:p w14:paraId="71C878B3"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4ECDDC56" w14:textId="77777777" w:rsidTr="005B58F0">
        <w:trPr>
          <w:gridAfter w:val="1"/>
          <w:wAfter w:w="6" w:type="dxa"/>
          <w:cantSplit/>
        </w:trPr>
        <w:tc>
          <w:tcPr>
            <w:tcW w:w="9633" w:type="dxa"/>
            <w:gridSpan w:val="12"/>
            <w:tcBorders>
              <w:bottom w:val="single" w:sz="4" w:space="0" w:color="BFBFBF"/>
            </w:tcBorders>
            <w:shd w:val="clear" w:color="auto" w:fill="auto"/>
            <w:noWrap/>
            <w:hideMark/>
          </w:tcPr>
          <w:p w14:paraId="40566E2F" w14:textId="5DD5B16D" w:rsidR="00C15C65" w:rsidRPr="002029AF" w:rsidRDefault="00C15C65" w:rsidP="002C5190">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the</w:t>
            </w:r>
            <w:r w:rsidR="000A5329" w:rsidRPr="002029AF">
              <w:t xml:space="preserve"> </w:t>
            </w:r>
            <w:r w:rsidRPr="002029AF">
              <w:t>majority</w:t>
            </w:r>
            <w:r w:rsidR="000A5329" w:rsidRPr="002029AF">
              <w:t xml:space="preserve"> </w:t>
            </w:r>
            <w:r w:rsidRPr="002029AF">
              <w:t>of</w:t>
            </w:r>
            <w:r w:rsidR="000A5329" w:rsidRPr="002029AF">
              <w:t xml:space="preserve"> </w:t>
            </w:r>
            <w:r w:rsidRPr="002029AF">
              <w:t>clients</w:t>
            </w:r>
            <w:r w:rsidR="000A5329" w:rsidRPr="002029AF">
              <w:t xml:space="preserve"> </w:t>
            </w:r>
            <w:r w:rsidRPr="002029AF">
              <w:t>remaining</w:t>
            </w:r>
            <w:r w:rsidR="000A5329" w:rsidRPr="002029AF">
              <w:t xml:space="preserve"> </w:t>
            </w:r>
            <w:r w:rsidRPr="002029AF">
              <w:t>in</w:t>
            </w:r>
            <w:r w:rsidR="000A5329" w:rsidRPr="002029AF">
              <w:t xml:space="preserve"> </w:t>
            </w:r>
            <w:r w:rsidRPr="002029AF">
              <w:t>treatment</w:t>
            </w:r>
            <w:r w:rsidR="000A5329" w:rsidRPr="002029AF">
              <w:t xml:space="preserve"> </w:t>
            </w:r>
            <w:r w:rsidRPr="002029AF">
              <w:t>for</w:t>
            </w:r>
            <w:r w:rsidR="000A5329" w:rsidRPr="002029AF">
              <w:t xml:space="preserve"> </w:t>
            </w:r>
            <w:r w:rsidRPr="002029AF">
              <w:t>at</w:t>
            </w:r>
            <w:r w:rsidR="000A5329" w:rsidRPr="002029AF">
              <w:t xml:space="preserve"> </w:t>
            </w:r>
            <w:r w:rsidRPr="002029AF">
              <w:t>least</w:t>
            </w:r>
            <w:r w:rsidR="000A5329" w:rsidRPr="002029AF">
              <w:t xml:space="preserve"> </w:t>
            </w:r>
            <w:r w:rsidRPr="002029AF">
              <w:t>the</w:t>
            </w:r>
            <w:r w:rsidR="000A5329" w:rsidRPr="002029AF">
              <w:t xml:space="preserve"> </w:t>
            </w:r>
            <w:r w:rsidRPr="002029AF">
              <w:t>minimum</w:t>
            </w:r>
            <w:r w:rsidR="000A5329" w:rsidRPr="002029AF">
              <w:t xml:space="preserve"> </w:t>
            </w:r>
            <w:r w:rsidRPr="002029AF">
              <w:t>time</w:t>
            </w:r>
            <w:r w:rsidR="000A5329" w:rsidRPr="002029AF">
              <w:t xml:space="preserve"> </w:t>
            </w:r>
            <w:r w:rsidRPr="002029AF">
              <w:t>needed</w:t>
            </w:r>
            <w:r w:rsidR="000A5329" w:rsidRPr="002029AF">
              <w:t xml:space="preserve"> </w:t>
            </w:r>
            <w:r w:rsidRPr="002029AF">
              <w:t>to</w:t>
            </w:r>
            <w:r w:rsidR="000A5329" w:rsidRPr="002029AF">
              <w:t xml:space="preserve"> </w:t>
            </w:r>
            <w:r w:rsidRPr="002029AF">
              <w:t>achieve</w:t>
            </w:r>
            <w:r w:rsidR="000A5329" w:rsidRPr="002029AF">
              <w:t xml:space="preserve"> </w:t>
            </w:r>
            <w:r w:rsidRPr="002029AF">
              <w:t>quality</w:t>
            </w:r>
            <w:r w:rsidR="000A5329" w:rsidRPr="002029AF">
              <w:t xml:space="preserve"> </w:t>
            </w:r>
            <w:r w:rsidRPr="002029AF">
              <w:t>treatment</w:t>
            </w:r>
            <w:r w:rsidR="000A5329" w:rsidRPr="002029AF">
              <w:t xml:space="preserve"> </w:t>
            </w:r>
            <w:r w:rsidRPr="002029AF">
              <w:t>outcomes.</w:t>
            </w:r>
            <w:r w:rsidR="000A5329" w:rsidRPr="002029AF">
              <w:t xml:space="preserve"> </w:t>
            </w:r>
            <w:r w:rsidRPr="002029AF">
              <w:t>This</w:t>
            </w:r>
            <w:r w:rsidR="000A5329" w:rsidRPr="002029AF">
              <w:t xml:space="preserve"> </w:t>
            </w:r>
            <w:r w:rsidRPr="002029AF">
              <w:t>is</w:t>
            </w:r>
            <w:r w:rsidR="000A5329" w:rsidRPr="002029AF">
              <w:t xml:space="preserve"> </w:t>
            </w:r>
            <w:r w:rsidRPr="002029AF">
              <w:t>a</w:t>
            </w:r>
            <w:r w:rsidR="000A5329" w:rsidRPr="002029AF">
              <w:t xml:space="preserve"> </w:t>
            </w:r>
            <w:r w:rsidRPr="002029AF">
              <w:t>positive</w:t>
            </w:r>
            <w:r w:rsidR="000A5329" w:rsidRPr="002029AF">
              <w:t xml:space="preserve"> </w:t>
            </w:r>
            <w:r w:rsidRPr="002029AF">
              <w:t>result.</w:t>
            </w:r>
          </w:p>
        </w:tc>
      </w:tr>
      <w:tr w:rsidR="00C15C65" w:rsidRPr="002029AF" w14:paraId="588B2E24" w14:textId="77777777" w:rsidTr="005B58F0">
        <w:trPr>
          <w:gridAfter w:val="1"/>
          <w:wAfter w:w="6" w:type="dxa"/>
          <w:cantSplit/>
        </w:trPr>
        <w:tc>
          <w:tcPr>
            <w:tcW w:w="4743" w:type="dxa"/>
            <w:gridSpan w:val="2"/>
            <w:shd w:val="clear" w:color="auto" w:fill="auto"/>
            <w:hideMark/>
          </w:tcPr>
          <w:p w14:paraId="4A8AB239" w14:textId="5264DD29" w:rsidR="00C15C65" w:rsidRPr="002029AF" w:rsidRDefault="00C15C65" w:rsidP="00C40F5D">
            <w:pPr>
              <w:pStyle w:val="ARtabletext"/>
            </w:pPr>
            <w:r w:rsidRPr="002029AF">
              <w:t>Successful</w:t>
            </w:r>
            <w:r w:rsidR="000A5329" w:rsidRPr="002029AF">
              <w:t xml:space="preserve"> </w:t>
            </w:r>
            <w:r w:rsidRPr="002029AF">
              <w:t>courses</w:t>
            </w:r>
            <w:r w:rsidR="000A5329" w:rsidRPr="002029AF">
              <w:t xml:space="preserve"> </w:t>
            </w:r>
            <w:r w:rsidRPr="002029AF">
              <w:t>of</w:t>
            </w:r>
            <w:r w:rsidR="000A5329" w:rsidRPr="002029AF">
              <w:t xml:space="preserve"> </w:t>
            </w:r>
            <w:r w:rsidRPr="002029AF">
              <w:t>treatment</w:t>
            </w:r>
            <w:r w:rsidR="000A5329" w:rsidRPr="002029AF">
              <w:t xml:space="preserve"> </w:t>
            </w:r>
            <w:r w:rsidRPr="002029AF">
              <w:t>(episodes</w:t>
            </w:r>
            <w:r w:rsidR="000A5329" w:rsidRPr="002029AF">
              <w:t xml:space="preserve"> </w:t>
            </w:r>
            <w:r w:rsidRPr="002029AF">
              <w:t>of</w:t>
            </w:r>
            <w:r w:rsidR="000A5329" w:rsidRPr="002029AF">
              <w:t xml:space="preserve"> </w:t>
            </w:r>
            <w:r w:rsidRPr="002029AF">
              <w:t>care)</w:t>
            </w:r>
            <w:r w:rsidR="000A5329" w:rsidRPr="002029AF">
              <w:t xml:space="preserve"> </w:t>
            </w:r>
            <w:r w:rsidRPr="002029AF">
              <w:t>–</w:t>
            </w:r>
            <w:r w:rsidR="000A5329" w:rsidRPr="002029AF">
              <w:t xml:space="preserve"> </w:t>
            </w:r>
            <w:r w:rsidRPr="002029AF">
              <w:t>community-based</w:t>
            </w:r>
            <w:r w:rsidR="000A5329" w:rsidRPr="002029AF">
              <w:t xml:space="preserve"> </w:t>
            </w:r>
            <w:r w:rsidRPr="002029AF">
              <w:t>drug</w:t>
            </w:r>
            <w:r w:rsidR="000A5329" w:rsidRPr="002029AF">
              <w:t xml:space="preserve"> </w:t>
            </w:r>
            <w:r w:rsidRPr="002029AF">
              <w:t>treatment</w:t>
            </w:r>
            <w:r w:rsidR="000A5329" w:rsidRPr="002029AF">
              <w:t xml:space="preserve"> </w:t>
            </w:r>
            <w:r w:rsidRPr="002029AF">
              <w:t>services</w:t>
            </w:r>
          </w:p>
        </w:tc>
        <w:tc>
          <w:tcPr>
            <w:tcW w:w="1019" w:type="dxa"/>
            <w:gridSpan w:val="3"/>
            <w:shd w:val="clear" w:color="auto" w:fill="auto"/>
            <w:hideMark/>
          </w:tcPr>
          <w:p w14:paraId="45E40C86" w14:textId="77777777" w:rsidR="00C15C65" w:rsidRPr="002029AF" w:rsidRDefault="00C15C65" w:rsidP="00C40F5D">
            <w:pPr>
              <w:pStyle w:val="ARtabletext"/>
            </w:pPr>
            <w:r w:rsidRPr="002029AF">
              <w:t>number</w:t>
            </w:r>
          </w:p>
        </w:tc>
        <w:tc>
          <w:tcPr>
            <w:tcW w:w="1028" w:type="dxa"/>
            <w:gridSpan w:val="3"/>
            <w:shd w:val="clear" w:color="auto" w:fill="auto"/>
            <w:hideMark/>
          </w:tcPr>
          <w:p w14:paraId="58C14606" w14:textId="77777777" w:rsidR="00C15C65" w:rsidRPr="002029AF" w:rsidRDefault="00C15C65" w:rsidP="00FD77AA">
            <w:pPr>
              <w:pStyle w:val="ARtabletextright"/>
            </w:pPr>
            <w:r w:rsidRPr="002029AF">
              <w:t>7,250</w:t>
            </w:r>
          </w:p>
        </w:tc>
        <w:tc>
          <w:tcPr>
            <w:tcW w:w="1022" w:type="dxa"/>
            <w:gridSpan w:val="2"/>
            <w:shd w:val="clear" w:color="auto" w:fill="auto"/>
            <w:hideMark/>
          </w:tcPr>
          <w:p w14:paraId="09A829C0" w14:textId="77777777" w:rsidR="00C15C65" w:rsidRPr="002029AF" w:rsidRDefault="00C15C65" w:rsidP="00FD77AA">
            <w:pPr>
              <w:pStyle w:val="ARtabletextright"/>
            </w:pPr>
            <w:r w:rsidRPr="002029AF">
              <w:t>8,741</w:t>
            </w:r>
          </w:p>
        </w:tc>
        <w:tc>
          <w:tcPr>
            <w:tcW w:w="1024" w:type="dxa"/>
            <w:shd w:val="clear" w:color="auto" w:fill="auto"/>
          </w:tcPr>
          <w:p w14:paraId="13566EDD" w14:textId="77777777" w:rsidR="00C15C65" w:rsidRPr="002029AF" w:rsidRDefault="00C15C65" w:rsidP="00FD77AA">
            <w:pPr>
              <w:pStyle w:val="ARtabletextright"/>
            </w:pPr>
            <w:r w:rsidRPr="002029AF">
              <w:t>20.6</w:t>
            </w:r>
          </w:p>
        </w:tc>
        <w:tc>
          <w:tcPr>
            <w:tcW w:w="797" w:type="dxa"/>
            <w:shd w:val="clear" w:color="auto" w:fill="auto"/>
            <w:hideMark/>
          </w:tcPr>
          <w:p w14:paraId="75E7CC07"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3D7E35D6" w14:textId="77777777" w:rsidTr="005B58F0">
        <w:trPr>
          <w:gridAfter w:val="1"/>
          <w:wAfter w:w="6" w:type="dxa"/>
          <w:cantSplit/>
        </w:trPr>
        <w:tc>
          <w:tcPr>
            <w:tcW w:w="9633" w:type="dxa"/>
            <w:gridSpan w:val="12"/>
            <w:tcBorders>
              <w:bottom w:val="single" w:sz="4" w:space="0" w:color="BFBFBF"/>
            </w:tcBorders>
            <w:shd w:val="clear" w:color="auto" w:fill="auto"/>
            <w:noWrap/>
            <w:hideMark/>
          </w:tcPr>
          <w:p w14:paraId="6E75EFD2" w14:textId="6ECE3AFC" w:rsidR="00C15C65" w:rsidRPr="002029AF" w:rsidRDefault="00C15C65" w:rsidP="002C5190">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the</w:t>
            </w:r>
            <w:r w:rsidR="000A5329" w:rsidRPr="002029AF">
              <w:t xml:space="preserve"> </w:t>
            </w:r>
            <w:r w:rsidRPr="002029AF">
              <w:t>continual</w:t>
            </w:r>
            <w:r w:rsidR="000A5329" w:rsidRPr="002029AF">
              <w:t xml:space="preserve"> </w:t>
            </w:r>
            <w:r w:rsidRPr="002029AF">
              <w:t>investment</w:t>
            </w:r>
            <w:r w:rsidR="000A5329" w:rsidRPr="002029AF">
              <w:t xml:space="preserve"> </w:t>
            </w:r>
            <w:r w:rsidRPr="002029AF">
              <w:t>in</w:t>
            </w:r>
            <w:r w:rsidR="000A5329" w:rsidRPr="002029AF">
              <w:t xml:space="preserve"> </w:t>
            </w:r>
            <w:r w:rsidRPr="002029AF">
              <w:t>community-based</w:t>
            </w:r>
            <w:r w:rsidR="000A5329" w:rsidRPr="002029AF">
              <w:t xml:space="preserve"> </w:t>
            </w:r>
            <w:r w:rsidRPr="002029AF">
              <w:t>drug</w:t>
            </w:r>
            <w:r w:rsidR="000A5329" w:rsidRPr="002029AF">
              <w:t xml:space="preserve"> </w:t>
            </w:r>
            <w:r w:rsidRPr="002029AF">
              <w:t>treatment</w:t>
            </w:r>
            <w:r w:rsidR="000A5329" w:rsidRPr="002029AF">
              <w:t xml:space="preserve"> </w:t>
            </w:r>
            <w:r w:rsidRPr="002029AF">
              <w:t>services.</w:t>
            </w:r>
            <w:r w:rsidR="000A5329" w:rsidRPr="002029AF">
              <w:t xml:space="preserve"> </w:t>
            </w:r>
            <w:r w:rsidRPr="002029AF">
              <w:t>This</w:t>
            </w:r>
            <w:r w:rsidR="000A5329" w:rsidRPr="002029AF">
              <w:t xml:space="preserve"> </w:t>
            </w:r>
            <w:r w:rsidRPr="002029AF">
              <w:t>is</w:t>
            </w:r>
            <w:r w:rsidR="000A5329" w:rsidRPr="002029AF">
              <w:t xml:space="preserve"> </w:t>
            </w:r>
            <w:r w:rsidRPr="002029AF">
              <w:t>a</w:t>
            </w:r>
            <w:r w:rsidR="000A5329" w:rsidRPr="002029AF">
              <w:t xml:space="preserve"> </w:t>
            </w:r>
            <w:r w:rsidRPr="002029AF">
              <w:t>positive</w:t>
            </w:r>
            <w:r w:rsidR="000A5329" w:rsidRPr="002029AF">
              <w:t xml:space="preserve"> </w:t>
            </w:r>
            <w:r w:rsidRPr="002029AF">
              <w:t>result.</w:t>
            </w:r>
          </w:p>
        </w:tc>
      </w:tr>
      <w:tr w:rsidR="00C15C65" w:rsidRPr="002029AF" w14:paraId="050F8A47" w14:textId="77777777" w:rsidTr="005B58F0">
        <w:trPr>
          <w:cantSplit/>
        </w:trPr>
        <w:tc>
          <w:tcPr>
            <w:tcW w:w="4743" w:type="dxa"/>
            <w:gridSpan w:val="2"/>
            <w:shd w:val="clear" w:color="auto" w:fill="auto"/>
            <w:hideMark/>
          </w:tcPr>
          <w:p w14:paraId="2DE437F9" w14:textId="1D7FABBA" w:rsidR="00C15C65" w:rsidRPr="002029AF" w:rsidRDefault="00C15C65" w:rsidP="00C40F5D">
            <w:pPr>
              <w:pStyle w:val="ARtabletext"/>
            </w:pPr>
            <w:r w:rsidRPr="002029AF">
              <w:t>Percentage</w:t>
            </w:r>
            <w:r w:rsidR="000A5329" w:rsidRPr="002029AF">
              <w:t xml:space="preserve"> </w:t>
            </w:r>
            <w:r w:rsidRPr="002029AF">
              <w:t>of</w:t>
            </w:r>
            <w:r w:rsidR="000A5329" w:rsidRPr="002029AF">
              <w:t xml:space="preserve"> </w:t>
            </w:r>
            <w:r w:rsidRPr="002029AF">
              <w:t>residential</w:t>
            </w:r>
            <w:r w:rsidR="000A5329" w:rsidRPr="002029AF">
              <w:t xml:space="preserve"> </w:t>
            </w:r>
            <w:r w:rsidRPr="002029AF">
              <w:t>withdrawal</w:t>
            </w:r>
            <w:r w:rsidR="000A5329" w:rsidRPr="002029AF">
              <w:t xml:space="preserve"> </w:t>
            </w:r>
            <w:r w:rsidRPr="002029AF">
              <w:t>clients</w:t>
            </w:r>
            <w:r w:rsidR="000A5329" w:rsidRPr="002029AF">
              <w:t xml:space="preserve"> </w:t>
            </w:r>
            <w:r w:rsidRPr="002029AF">
              <w:t>remaining</w:t>
            </w:r>
            <w:r w:rsidR="000A5329" w:rsidRPr="002029AF">
              <w:t xml:space="preserve"> </w:t>
            </w:r>
            <w:r w:rsidRPr="002029AF">
              <w:t>in</w:t>
            </w:r>
            <w:r w:rsidR="000A5329" w:rsidRPr="002029AF">
              <w:t xml:space="preserve"> </w:t>
            </w:r>
            <w:r w:rsidRPr="002029AF">
              <w:t>treatment</w:t>
            </w:r>
            <w:r w:rsidR="000A5329" w:rsidRPr="002029AF">
              <w:t xml:space="preserve"> </w:t>
            </w:r>
            <w:r w:rsidRPr="002029AF">
              <w:t>for</w:t>
            </w:r>
            <w:r w:rsidR="000A5329" w:rsidRPr="002029AF">
              <w:t xml:space="preserve"> </w:t>
            </w:r>
            <w:r w:rsidRPr="002029AF">
              <w:t>two</w:t>
            </w:r>
            <w:r w:rsidR="000A5329" w:rsidRPr="002029AF">
              <w:t xml:space="preserve"> </w:t>
            </w:r>
            <w:r w:rsidRPr="002029AF">
              <w:t>days</w:t>
            </w:r>
            <w:r w:rsidR="000A5329" w:rsidRPr="002029AF">
              <w:t xml:space="preserve"> </w:t>
            </w:r>
            <w:r w:rsidRPr="002029AF">
              <w:t>or</w:t>
            </w:r>
            <w:r w:rsidR="000A5329" w:rsidRPr="002029AF">
              <w:t xml:space="preserve"> </w:t>
            </w:r>
            <w:r w:rsidRPr="002029AF">
              <w:t>more</w:t>
            </w:r>
          </w:p>
        </w:tc>
        <w:tc>
          <w:tcPr>
            <w:tcW w:w="1019" w:type="dxa"/>
            <w:gridSpan w:val="3"/>
            <w:shd w:val="clear" w:color="auto" w:fill="auto"/>
            <w:hideMark/>
          </w:tcPr>
          <w:p w14:paraId="27440E25" w14:textId="7D904E3C" w:rsidR="00C15C65" w:rsidRPr="002029AF" w:rsidRDefault="00C15C65" w:rsidP="00C40F5D">
            <w:pPr>
              <w:pStyle w:val="ARtabletext"/>
            </w:pPr>
            <w:r w:rsidRPr="002029AF">
              <w:t>per</w:t>
            </w:r>
            <w:r w:rsidR="000A5329" w:rsidRPr="002029AF">
              <w:t xml:space="preserve"> </w:t>
            </w:r>
            <w:r w:rsidRPr="002029AF">
              <w:t>cent</w:t>
            </w:r>
          </w:p>
        </w:tc>
        <w:tc>
          <w:tcPr>
            <w:tcW w:w="1028" w:type="dxa"/>
            <w:gridSpan w:val="3"/>
            <w:shd w:val="clear" w:color="auto" w:fill="auto"/>
            <w:hideMark/>
          </w:tcPr>
          <w:p w14:paraId="78DF6E3D" w14:textId="77777777" w:rsidR="00C15C65" w:rsidRPr="002029AF" w:rsidRDefault="00C15C65" w:rsidP="00FD77AA">
            <w:pPr>
              <w:pStyle w:val="ARtabletextright"/>
            </w:pPr>
            <w:r w:rsidRPr="002029AF">
              <w:t>80</w:t>
            </w:r>
          </w:p>
        </w:tc>
        <w:tc>
          <w:tcPr>
            <w:tcW w:w="1022" w:type="dxa"/>
            <w:gridSpan w:val="2"/>
            <w:shd w:val="clear" w:color="auto" w:fill="auto"/>
            <w:hideMark/>
          </w:tcPr>
          <w:p w14:paraId="2E952155" w14:textId="77777777" w:rsidR="00C15C65" w:rsidRPr="002029AF" w:rsidRDefault="00C15C65" w:rsidP="00FD77AA">
            <w:pPr>
              <w:pStyle w:val="ARtabletextright"/>
            </w:pPr>
            <w:r w:rsidRPr="002029AF">
              <w:t>95.9</w:t>
            </w:r>
          </w:p>
        </w:tc>
        <w:tc>
          <w:tcPr>
            <w:tcW w:w="1024" w:type="dxa"/>
            <w:shd w:val="clear" w:color="auto" w:fill="auto"/>
          </w:tcPr>
          <w:p w14:paraId="2A2C876E" w14:textId="77777777" w:rsidR="00C15C65" w:rsidRPr="002029AF" w:rsidRDefault="00C15C65" w:rsidP="00FD77AA">
            <w:pPr>
              <w:pStyle w:val="ARtabletextright"/>
            </w:pPr>
            <w:r w:rsidRPr="002029AF">
              <w:t>19.9</w:t>
            </w:r>
          </w:p>
        </w:tc>
        <w:tc>
          <w:tcPr>
            <w:tcW w:w="803" w:type="dxa"/>
            <w:gridSpan w:val="2"/>
            <w:shd w:val="clear" w:color="auto" w:fill="auto"/>
            <w:hideMark/>
          </w:tcPr>
          <w:p w14:paraId="095460BB"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521DF767" w14:textId="77777777" w:rsidTr="005B58F0">
        <w:trPr>
          <w:cantSplit/>
        </w:trPr>
        <w:tc>
          <w:tcPr>
            <w:tcW w:w="9639" w:type="dxa"/>
            <w:gridSpan w:val="13"/>
            <w:tcBorders>
              <w:bottom w:val="single" w:sz="4" w:space="0" w:color="BFBFBF"/>
            </w:tcBorders>
            <w:shd w:val="clear" w:color="auto" w:fill="auto"/>
            <w:noWrap/>
            <w:hideMark/>
          </w:tcPr>
          <w:p w14:paraId="40387CF1" w14:textId="3204A948" w:rsidR="00C15C65" w:rsidRPr="002029AF" w:rsidRDefault="00C15C65" w:rsidP="002C5190">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the</w:t>
            </w:r>
            <w:r w:rsidR="000A5329" w:rsidRPr="002029AF">
              <w:t xml:space="preserve"> </w:t>
            </w:r>
            <w:r w:rsidRPr="002029AF">
              <w:t>majority</w:t>
            </w:r>
            <w:r w:rsidR="000A5329" w:rsidRPr="002029AF">
              <w:t xml:space="preserve"> </w:t>
            </w:r>
            <w:r w:rsidRPr="002029AF">
              <w:t>of</w:t>
            </w:r>
            <w:r w:rsidR="000A5329" w:rsidRPr="002029AF">
              <w:t xml:space="preserve"> </w:t>
            </w:r>
            <w:r w:rsidRPr="002029AF">
              <w:t>clients</w:t>
            </w:r>
            <w:r w:rsidR="000A5329" w:rsidRPr="002029AF">
              <w:t xml:space="preserve"> </w:t>
            </w:r>
            <w:r w:rsidRPr="002029AF">
              <w:t>remaining</w:t>
            </w:r>
            <w:r w:rsidR="000A5329" w:rsidRPr="002029AF">
              <w:t xml:space="preserve"> </w:t>
            </w:r>
            <w:r w:rsidRPr="002029AF">
              <w:t>in</w:t>
            </w:r>
            <w:r w:rsidR="000A5329" w:rsidRPr="002029AF">
              <w:t xml:space="preserve"> </w:t>
            </w:r>
            <w:r w:rsidRPr="002029AF">
              <w:t>treatment</w:t>
            </w:r>
            <w:r w:rsidR="000A5329" w:rsidRPr="002029AF">
              <w:t xml:space="preserve"> </w:t>
            </w:r>
            <w:r w:rsidRPr="002029AF">
              <w:t>for</w:t>
            </w:r>
            <w:r w:rsidR="000A5329" w:rsidRPr="002029AF">
              <w:t xml:space="preserve"> </w:t>
            </w:r>
            <w:r w:rsidRPr="002029AF">
              <w:t>at</w:t>
            </w:r>
            <w:r w:rsidR="000A5329" w:rsidRPr="002029AF">
              <w:t xml:space="preserve"> </w:t>
            </w:r>
            <w:r w:rsidRPr="002029AF">
              <w:t>least</w:t>
            </w:r>
            <w:r w:rsidR="000A5329" w:rsidRPr="002029AF">
              <w:t xml:space="preserve"> </w:t>
            </w:r>
            <w:r w:rsidRPr="002029AF">
              <w:t>the</w:t>
            </w:r>
            <w:r w:rsidR="000A5329" w:rsidRPr="002029AF">
              <w:t xml:space="preserve"> </w:t>
            </w:r>
            <w:r w:rsidRPr="002029AF">
              <w:t>minimum</w:t>
            </w:r>
            <w:r w:rsidR="000A5329" w:rsidRPr="002029AF">
              <w:t xml:space="preserve"> </w:t>
            </w:r>
            <w:r w:rsidRPr="002029AF">
              <w:t>time</w:t>
            </w:r>
            <w:r w:rsidR="000A5329" w:rsidRPr="002029AF">
              <w:t xml:space="preserve"> </w:t>
            </w:r>
            <w:r w:rsidRPr="002029AF">
              <w:t>needed</w:t>
            </w:r>
            <w:r w:rsidR="000A5329" w:rsidRPr="002029AF">
              <w:t xml:space="preserve"> </w:t>
            </w:r>
            <w:r w:rsidRPr="002029AF">
              <w:t>to</w:t>
            </w:r>
            <w:r w:rsidR="000A5329" w:rsidRPr="002029AF">
              <w:t xml:space="preserve"> </w:t>
            </w:r>
            <w:r w:rsidRPr="002029AF">
              <w:t>achieve</w:t>
            </w:r>
            <w:r w:rsidR="000A5329" w:rsidRPr="002029AF">
              <w:t xml:space="preserve"> </w:t>
            </w:r>
            <w:r w:rsidRPr="002029AF">
              <w:t>quality</w:t>
            </w:r>
            <w:r w:rsidR="000A5329" w:rsidRPr="002029AF">
              <w:t xml:space="preserve"> </w:t>
            </w:r>
            <w:r w:rsidRPr="002029AF">
              <w:t>treatment</w:t>
            </w:r>
            <w:r w:rsidR="000A5329" w:rsidRPr="002029AF">
              <w:t xml:space="preserve"> </w:t>
            </w:r>
            <w:r w:rsidRPr="002029AF">
              <w:t>outcomes.</w:t>
            </w:r>
            <w:r w:rsidR="000A5329" w:rsidRPr="002029AF">
              <w:t xml:space="preserve"> </w:t>
            </w:r>
            <w:r w:rsidRPr="002029AF">
              <w:t>This</w:t>
            </w:r>
            <w:r w:rsidR="000A5329" w:rsidRPr="002029AF">
              <w:t xml:space="preserve"> </w:t>
            </w:r>
            <w:r w:rsidRPr="002029AF">
              <w:t>is</w:t>
            </w:r>
            <w:r w:rsidR="000A5329" w:rsidRPr="002029AF">
              <w:t xml:space="preserve"> </w:t>
            </w:r>
            <w:r w:rsidRPr="002029AF">
              <w:t>a</w:t>
            </w:r>
            <w:r w:rsidR="000A5329" w:rsidRPr="002029AF">
              <w:t xml:space="preserve"> </w:t>
            </w:r>
            <w:r w:rsidRPr="002029AF">
              <w:t>positive</w:t>
            </w:r>
            <w:r w:rsidR="000A5329" w:rsidRPr="002029AF">
              <w:t xml:space="preserve"> </w:t>
            </w:r>
            <w:r w:rsidRPr="002029AF">
              <w:t>result.</w:t>
            </w:r>
          </w:p>
        </w:tc>
      </w:tr>
      <w:tr w:rsidR="00C15C65" w:rsidRPr="002029AF" w14:paraId="25A63CEA" w14:textId="77777777" w:rsidTr="005B58F0">
        <w:trPr>
          <w:cantSplit/>
        </w:trPr>
        <w:tc>
          <w:tcPr>
            <w:tcW w:w="4743" w:type="dxa"/>
            <w:gridSpan w:val="2"/>
            <w:shd w:val="clear" w:color="auto" w:fill="auto"/>
            <w:hideMark/>
          </w:tcPr>
          <w:p w14:paraId="62A8F9B1" w14:textId="7F7ECED6" w:rsidR="00C15C65" w:rsidRPr="002029AF" w:rsidRDefault="00C15C65" w:rsidP="00C40F5D">
            <w:pPr>
              <w:pStyle w:val="ARtabletext"/>
            </w:pPr>
            <w:r w:rsidRPr="002029AF">
              <w:t>Percentage</w:t>
            </w:r>
            <w:r w:rsidR="000A5329" w:rsidRPr="002029AF">
              <w:t xml:space="preserve"> </w:t>
            </w:r>
            <w:r w:rsidRPr="002029AF">
              <w:t>of</w:t>
            </w:r>
            <w:r w:rsidR="000A5329" w:rsidRPr="002029AF">
              <w:t xml:space="preserve"> </w:t>
            </w:r>
            <w:r w:rsidRPr="002029AF">
              <w:t>residential</w:t>
            </w:r>
            <w:r w:rsidR="000A5329" w:rsidRPr="002029AF">
              <w:t xml:space="preserve"> </w:t>
            </w:r>
            <w:r w:rsidRPr="002029AF">
              <w:t>rehabilitation</w:t>
            </w:r>
            <w:r w:rsidR="000A5329" w:rsidRPr="002029AF">
              <w:t xml:space="preserve"> </w:t>
            </w:r>
            <w:r w:rsidRPr="002029AF">
              <w:t>courses</w:t>
            </w:r>
            <w:r w:rsidR="000A5329" w:rsidRPr="002029AF">
              <w:t xml:space="preserve"> </w:t>
            </w:r>
            <w:r w:rsidRPr="002029AF">
              <w:t>of</w:t>
            </w:r>
            <w:r w:rsidR="000A5329" w:rsidRPr="002029AF">
              <w:t xml:space="preserve"> </w:t>
            </w:r>
            <w:r w:rsidRPr="002029AF">
              <w:t>treatment</w:t>
            </w:r>
            <w:r w:rsidR="000A5329" w:rsidRPr="002029AF">
              <w:t xml:space="preserve"> </w:t>
            </w:r>
            <w:r w:rsidRPr="002029AF">
              <w:t>greater</w:t>
            </w:r>
            <w:r w:rsidR="000A5329" w:rsidRPr="002029AF">
              <w:t xml:space="preserve"> </w:t>
            </w:r>
            <w:r w:rsidRPr="002029AF">
              <w:t>than</w:t>
            </w:r>
            <w:r w:rsidR="000A5329" w:rsidRPr="002029AF">
              <w:t xml:space="preserve"> </w:t>
            </w:r>
            <w:r w:rsidRPr="002029AF">
              <w:t>65</w:t>
            </w:r>
            <w:r w:rsidR="000A5329" w:rsidRPr="002029AF">
              <w:t xml:space="preserve"> </w:t>
            </w:r>
            <w:r w:rsidRPr="002029AF">
              <w:t>days</w:t>
            </w:r>
          </w:p>
        </w:tc>
        <w:tc>
          <w:tcPr>
            <w:tcW w:w="1019" w:type="dxa"/>
            <w:gridSpan w:val="3"/>
            <w:shd w:val="clear" w:color="auto" w:fill="auto"/>
            <w:hideMark/>
          </w:tcPr>
          <w:p w14:paraId="077FDBE3" w14:textId="17CFC8AA" w:rsidR="00C15C65" w:rsidRPr="002029AF" w:rsidRDefault="00C15C65" w:rsidP="00C40F5D">
            <w:pPr>
              <w:pStyle w:val="ARtabletext"/>
            </w:pPr>
            <w:r w:rsidRPr="002029AF">
              <w:t>per</w:t>
            </w:r>
            <w:r w:rsidR="000A5329" w:rsidRPr="002029AF">
              <w:t xml:space="preserve"> </w:t>
            </w:r>
            <w:r w:rsidRPr="002029AF">
              <w:t>cent</w:t>
            </w:r>
          </w:p>
        </w:tc>
        <w:tc>
          <w:tcPr>
            <w:tcW w:w="1028" w:type="dxa"/>
            <w:gridSpan w:val="3"/>
            <w:shd w:val="clear" w:color="auto" w:fill="auto"/>
            <w:hideMark/>
          </w:tcPr>
          <w:p w14:paraId="4F234C1C" w14:textId="77777777" w:rsidR="00C15C65" w:rsidRPr="002029AF" w:rsidRDefault="00C15C65" w:rsidP="00FD77AA">
            <w:pPr>
              <w:pStyle w:val="ARtabletextright"/>
            </w:pPr>
            <w:r w:rsidRPr="002029AF">
              <w:t>50</w:t>
            </w:r>
          </w:p>
        </w:tc>
        <w:tc>
          <w:tcPr>
            <w:tcW w:w="1022" w:type="dxa"/>
            <w:gridSpan w:val="2"/>
            <w:shd w:val="clear" w:color="auto" w:fill="auto"/>
            <w:hideMark/>
          </w:tcPr>
          <w:p w14:paraId="182BB44D" w14:textId="77777777" w:rsidR="00C15C65" w:rsidRPr="002029AF" w:rsidRDefault="00C15C65" w:rsidP="00FD77AA">
            <w:pPr>
              <w:pStyle w:val="ARtabletextright"/>
            </w:pPr>
            <w:r w:rsidRPr="002029AF">
              <w:t>34</w:t>
            </w:r>
          </w:p>
        </w:tc>
        <w:tc>
          <w:tcPr>
            <w:tcW w:w="1024" w:type="dxa"/>
            <w:shd w:val="clear" w:color="auto" w:fill="auto"/>
          </w:tcPr>
          <w:p w14:paraId="5FB0B78D" w14:textId="77777777" w:rsidR="00C15C65" w:rsidRPr="002029AF" w:rsidRDefault="00C15C65" w:rsidP="00FD77AA">
            <w:pPr>
              <w:pStyle w:val="ARtabletextright"/>
            </w:pPr>
            <w:r w:rsidRPr="002029AF">
              <w:t>-32.0</w:t>
            </w:r>
          </w:p>
        </w:tc>
        <w:tc>
          <w:tcPr>
            <w:tcW w:w="803" w:type="dxa"/>
            <w:gridSpan w:val="2"/>
            <w:shd w:val="clear" w:color="auto" w:fill="auto"/>
            <w:hideMark/>
          </w:tcPr>
          <w:p w14:paraId="197E844D"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23B59071" w14:textId="77777777" w:rsidTr="005B58F0">
        <w:trPr>
          <w:cantSplit/>
        </w:trPr>
        <w:tc>
          <w:tcPr>
            <w:tcW w:w="9639" w:type="dxa"/>
            <w:gridSpan w:val="13"/>
            <w:tcBorders>
              <w:bottom w:val="single" w:sz="4" w:space="0" w:color="BFBFBF"/>
            </w:tcBorders>
            <w:shd w:val="clear" w:color="auto" w:fill="auto"/>
            <w:noWrap/>
            <w:hideMark/>
          </w:tcPr>
          <w:p w14:paraId="757BA6A9" w14:textId="4F35E18A" w:rsidR="00C15C65" w:rsidRPr="002029AF" w:rsidRDefault="00C15C65" w:rsidP="002C5190">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lower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several</w:t>
            </w:r>
            <w:r w:rsidR="000A5329" w:rsidRPr="002029AF">
              <w:t xml:space="preserve"> </w:t>
            </w:r>
            <w:r w:rsidRPr="002029AF">
              <w:t>service</w:t>
            </w:r>
            <w:r w:rsidR="000A5329" w:rsidRPr="002029AF">
              <w:t xml:space="preserve"> </w:t>
            </w:r>
            <w:r w:rsidRPr="002029AF">
              <w:t>providers</w:t>
            </w:r>
            <w:r w:rsidR="000A5329" w:rsidRPr="002029AF">
              <w:t xml:space="preserve"> </w:t>
            </w:r>
            <w:r w:rsidRPr="002029AF">
              <w:t>delivering</w:t>
            </w:r>
            <w:r w:rsidR="000A5329" w:rsidRPr="002029AF">
              <w:t xml:space="preserve"> </w:t>
            </w:r>
            <w:r w:rsidRPr="002029AF">
              <w:t>treatment</w:t>
            </w:r>
            <w:r w:rsidR="000A5329" w:rsidRPr="002029AF">
              <w:t xml:space="preserve"> </w:t>
            </w:r>
            <w:r w:rsidRPr="002029AF">
              <w:t>models</w:t>
            </w:r>
            <w:r w:rsidR="000A5329" w:rsidRPr="002029AF">
              <w:t xml:space="preserve"> </w:t>
            </w:r>
            <w:r w:rsidRPr="002029AF">
              <w:t>with</w:t>
            </w:r>
            <w:r w:rsidR="000A5329" w:rsidRPr="002029AF">
              <w:t xml:space="preserve"> </w:t>
            </w:r>
            <w:r w:rsidRPr="002029AF">
              <w:t>shorter</w:t>
            </w:r>
            <w:r w:rsidR="000A5329" w:rsidRPr="002029AF">
              <w:t xml:space="preserve"> </w:t>
            </w:r>
            <w:r w:rsidRPr="002029AF">
              <w:t>courses</w:t>
            </w:r>
            <w:r w:rsidR="000A5329" w:rsidRPr="002029AF">
              <w:t xml:space="preserve"> </w:t>
            </w:r>
            <w:r w:rsidRPr="002029AF">
              <w:t>of</w:t>
            </w:r>
            <w:r w:rsidR="000A5329" w:rsidRPr="002029AF">
              <w:t xml:space="preserve"> </w:t>
            </w:r>
            <w:r w:rsidRPr="002029AF">
              <w:t>treatment,</w:t>
            </w:r>
            <w:r w:rsidR="000A5329" w:rsidRPr="002029AF">
              <w:t xml:space="preserve"> </w:t>
            </w:r>
            <w:r w:rsidRPr="002029AF">
              <w:t>in</w:t>
            </w:r>
            <w:r w:rsidR="000A5329" w:rsidRPr="002029AF">
              <w:t xml:space="preserve"> </w:t>
            </w:r>
            <w:r w:rsidRPr="002029AF">
              <w:t>line</w:t>
            </w:r>
            <w:r w:rsidR="000A5329" w:rsidRPr="002029AF">
              <w:t xml:space="preserve"> </w:t>
            </w:r>
            <w:r w:rsidRPr="002029AF">
              <w:t>with</w:t>
            </w:r>
            <w:r w:rsidR="000A5329" w:rsidRPr="002029AF">
              <w:t xml:space="preserve"> </w:t>
            </w:r>
            <w:r w:rsidRPr="002029AF">
              <w:t>evidence-based</w:t>
            </w:r>
            <w:r w:rsidR="000A5329" w:rsidRPr="002029AF">
              <w:t xml:space="preserve"> </w:t>
            </w:r>
            <w:r w:rsidRPr="002029AF">
              <w:t>practice</w:t>
            </w:r>
            <w:r w:rsidR="000A5329" w:rsidRPr="002029AF">
              <w:t xml:space="preserve"> </w:t>
            </w:r>
            <w:r w:rsidRPr="002029AF">
              <w:t>models.</w:t>
            </w:r>
            <w:r w:rsidR="000A5329" w:rsidRPr="002029AF">
              <w:t xml:space="preserve"> </w:t>
            </w:r>
            <w:r w:rsidRPr="002029AF">
              <w:t>This</w:t>
            </w:r>
            <w:r w:rsidR="000A5329" w:rsidRPr="002029AF">
              <w:t xml:space="preserve"> </w:t>
            </w:r>
            <w:r w:rsidRPr="002029AF">
              <w:t>measure</w:t>
            </w:r>
            <w:r w:rsidR="000A5329" w:rsidRPr="002029AF">
              <w:t xml:space="preserve"> </w:t>
            </w:r>
            <w:r w:rsidRPr="002029AF">
              <w:t>is</w:t>
            </w:r>
            <w:r w:rsidR="000A5329" w:rsidRPr="002029AF">
              <w:t xml:space="preserve"> </w:t>
            </w:r>
            <w:r w:rsidRPr="002029AF">
              <w:t>superseded</w:t>
            </w:r>
            <w:r w:rsidR="000A5329" w:rsidRPr="002029AF">
              <w:t xml:space="preserve"> </w:t>
            </w:r>
            <w:r w:rsidRPr="002029AF">
              <w:t>by</w:t>
            </w:r>
            <w:r w:rsidR="000A5329" w:rsidRPr="002029AF">
              <w:t xml:space="preserve"> </w:t>
            </w:r>
            <w:r w:rsidR="005F298C">
              <w:t>‘</w:t>
            </w:r>
            <w:r w:rsidRPr="002029AF">
              <w:t>Percentage</w:t>
            </w:r>
            <w:r w:rsidR="000A5329" w:rsidRPr="002029AF">
              <w:t xml:space="preserve"> </w:t>
            </w:r>
            <w:r w:rsidRPr="002029AF">
              <w:t>of</w:t>
            </w:r>
            <w:r w:rsidR="000A5329" w:rsidRPr="002029AF">
              <w:t xml:space="preserve"> </w:t>
            </w:r>
            <w:r w:rsidRPr="002029AF">
              <w:t>residential</w:t>
            </w:r>
            <w:r w:rsidR="000A5329" w:rsidRPr="002029AF">
              <w:t xml:space="preserve"> </w:t>
            </w:r>
            <w:r w:rsidRPr="002029AF">
              <w:t>rehabilitation</w:t>
            </w:r>
            <w:r w:rsidR="000A5329" w:rsidRPr="002029AF">
              <w:t xml:space="preserve"> </w:t>
            </w:r>
            <w:r w:rsidRPr="002029AF">
              <w:t>clients</w:t>
            </w:r>
            <w:r w:rsidR="000A5329" w:rsidRPr="002029AF">
              <w:t xml:space="preserve"> </w:t>
            </w:r>
            <w:r w:rsidRPr="002029AF">
              <w:t>remaining</w:t>
            </w:r>
            <w:r w:rsidR="000A5329" w:rsidRPr="002029AF">
              <w:t xml:space="preserve"> </w:t>
            </w:r>
            <w:r w:rsidRPr="002029AF">
              <w:t>in</w:t>
            </w:r>
            <w:r w:rsidR="000A5329" w:rsidRPr="002029AF">
              <w:t xml:space="preserve"> </w:t>
            </w:r>
            <w:r w:rsidRPr="002029AF">
              <w:t>treatment</w:t>
            </w:r>
            <w:r w:rsidR="000A5329" w:rsidRPr="002029AF">
              <w:t xml:space="preserve"> </w:t>
            </w:r>
            <w:r w:rsidRPr="002029AF">
              <w:t>for</w:t>
            </w:r>
            <w:r w:rsidR="000A5329" w:rsidRPr="002029AF">
              <w:t xml:space="preserve"> </w:t>
            </w:r>
            <w:r w:rsidRPr="002029AF">
              <w:t>ten</w:t>
            </w:r>
            <w:r w:rsidR="000A5329" w:rsidRPr="002029AF">
              <w:t xml:space="preserve"> </w:t>
            </w:r>
            <w:r w:rsidRPr="002029AF">
              <w:t>days</w:t>
            </w:r>
            <w:r w:rsidR="000A5329" w:rsidRPr="002029AF">
              <w:t xml:space="preserve"> </w:t>
            </w:r>
            <w:r w:rsidRPr="002029AF">
              <w:t>or</w:t>
            </w:r>
            <w:r w:rsidR="000A5329" w:rsidRPr="002029AF">
              <w:t xml:space="preserve"> </w:t>
            </w:r>
            <w:r w:rsidRPr="002029AF">
              <w:t>more</w:t>
            </w:r>
            <w:r w:rsidR="005F298C">
              <w:t>’</w:t>
            </w:r>
            <w:r w:rsidRPr="002029AF">
              <w:t>.</w:t>
            </w:r>
          </w:p>
        </w:tc>
      </w:tr>
      <w:tr w:rsidR="00C15C65" w:rsidRPr="002029AF" w14:paraId="735876DF" w14:textId="77777777" w:rsidTr="005B58F0">
        <w:trPr>
          <w:cantSplit/>
        </w:trPr>
        <w:tc>
          <w:tcPr>
            <w:tcW w:w="4743" w:type="dxa"/>
            <w:gridSpan w:val="2"/>
            <w:shd w:val="clear" w:color="auto" w:fill="auto"/>
            <w:hideMark/>
          </w:tcPr>
          <w:p w14:paraId="0772FA06" w14:textId="0AF3A4DA" w:rsidR="00C15C65" w:rsidRPr="002029AF" w:rsidRDefault="00C15C65" w:rsidP="00C40F5D">
            <w:pPr>
              <w:pStyle w:val="ARtabletext"/>
            </w:pPr>
            <w:r w:rsidRPr="002029AF">
              <w:t>Successful</w:t>
            </w:r>
            <w:r w:rsidR="000A5329" w:rsidRPr="002029AF">
              <w:t xml:space="preserve"> </w:t>
            </w:r>
            <w:r w:rsidRPr="002029AF">
              <w:t>courses</w:t>
            </w:r>
            <w:r w:rsidR="000A5329" w:rsidRPr="002029AF">
              <w:t xml:space="preserve"> </w:t>
            </w:r>
            <w:r w:rsidRPr="002029AF">
              <w:t>of</w:t>
            </w:r>
            <w:r w:rsidR="000A5329" w:rsidRPr="002029AF">
              <w:t xml:space="preserve"> </w:t>
            </w:r>
            <w:r w:rsidRPr="002029AF">
              <w:t>treatment</w:t>
            </w:r>
            <w:r w:rsidR="000A5329" w:rsidRPr="002029AF">
              <w:t xml:space="preserve"> </w:t>
            </w:r>
            <w:r w:rsidRPr="002029AF">
              <w:t>(episodes</w:t>
            </w:r>
            <w:r w:rsidR="000A5329" w:rsidRPr="002029AF">
              <w:t xml:space="preserve"> </w:t>
            </w:r>
            <w:r w:rsidRPr="002029AF">
              <w:t>of</w:t>
            </w:r>
            <w:r w:rsidR="000A5329" w:rsidRPr="002029AF">
              <w:t xml:space="preserve"> </w:t>
            </w:r>
            <w:r w:rsidRPr="002029AF">
              <w:t>care):</w:t>
            </w:r>
            <w:r w:rsidR="000A5329" w:rsidRPr="002029AF">
              <w:t xml:space="preserve"> </w:t>
            </w:r>
            <w:r w:rsidRPr="002029AF">
              <w:t>residential-based</w:t>
            </w:r>
            <w:r w:rsidR="000A5329" w:rsidRPr="002029AF">
              <w:t xml:space="preserve"> </w:t>
            </w:r>
            <w:r w:rsidRPr="002029AF">
              <w:t>drug</w:t>
            </w:r>
            <w:r w:rsidR="000A5329" w:rsidRPr="002029AF">
              <w:t xml:space="preserve"> </w:t>
            </w:r>
            <w:r w:rsidRPr="002029AF">
              <w:t>treatment</w:t>
            </w:r>
            <w:r w:rsidR="000A5329" w:rsidRPr="002029AF">
              <w:t xml:space="preserve"> </w:t>
            </w:r>
            <w:r w:rsidRPr="002029AF">
              <w:t>services</w:t>
            </w:r>
          </w:p>
        </w:tc>
        <w:tc>
          <w:tcPr>
            <w:tcW w:w="1019" w:type="dxa"/>
            <w:gridSpan w:val="3"/>
            <w:shd w:val="clear" w:color="auto" w:fill="auto"/>
            <w:hideMark/>
          </w:tcPr>
          <w:p w14:paraId="60EE69C8" w14:textId="77777777" w:rsidR="00C15C65" w:rsidRPr="002029AF" w:rsidRDefault="00C15C65" w:rsidP="00C40F5D">
            <w:pPr>
              <w:pStyle w:val="ARtabletext"/>
            </w:pPr>
            <w:r w:rsidRPr="002029AF">
              <w:t>number</w:t>
            </w:r>
          </w:p>
        </w:tc>
        <w:tc>
          <w:tcPr>
            <w:tcW w:w="1028" w:type="dxa"/>
            <w:gridSpan w:val="3"/>
            <w:shd w:val="clear" w:color="auto" w:fill="auto"/>
            <w:hideMark/>
          </w:tcPr>
          <w:p w14:paraId="355D00F0" w14:textId="77777777" w:rsidR="00C15C65" w:rsidRPr="002029AF" w:rsidRDefault="00C15C65" w:rsidP="00FD77AA">
            <w:pPr>
              <w:pStyle w:val="ARtabletextright"/>
            </w:pPr>
            <w:r w:rsidRPr="002029AF">
              <w:t>6,351</w:t>
            </w:r>
          </w:p>
        </w:tc>
        <w:tc>
          <w:tcPr>
            <w:tcW w:w="1022" w:type="dxa"/>
            <w:gridSpan w:val="2"/>
            <w:shd w:val="clear" w:color="auto" w:fill="auto"/>
            <w:hideMark/>
          </w:tcPr>
          <w:p w14:paraId="4BF9C483" w14:textId="77777777" w:rsidR="00C15C65" w:rsidRPr="002029AF" w:rsidRDefault="00C15C65" w:rsidP="00FD77AA">
            <w:pPr>
              <w:pStyle w:val="ARtabletextright"/>
            </w:pPr>
            <w:r w:rsidRPr="002029AF">
              <w:t>0</w:t>
            </w:r>
          </w:p>
        </w:tc>
        <w:tc>
          <w:tcPr>
            <w:tcW w:w="1024" w:type="dxa"/>
            <w:shd w:val="clear" w:color="auto" w:fill="auto"/>
          </w:tcPr>
          <w:p w14:paraId="47F4C0D0" w14:textId="77777777" w:rsidR="00C15C65" w:rsidRPr="002029AF" w:rsidRDefault="00C15C65" w:rsidP="00FD77AA">
            <w:pPr>
              <w:pStyle w:val="ARtabletextright"/>
            </w:pPr>
            <w:r w:rsidRPr="002029AF">
              <w:t>-100.0</w:t>
            </w:r>
          </w:p>
        </w:tc>
        <w:tc>
          <w:tcPr>
            <w:tcW w:w="803" w:type="dxa"/>
            <w:gridSpan w:val="2"/>
            <w:shd w:val="clear" w:color="auto" w:fill="auto"/>
            <w:hideMark/>
          </w:tcPr>
          <w:p w14:paraId="1395C2A2"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482FF71C" w14:textId="77777777" w:rsidTr="005B58F0">
        <w:trPr>
          <w:cantSplit/>
        </w:trPr>
        <w:tc>
          <w:tcPr>
            <w:tcW w:w="9639" w:type="dxa"/>
            <w:gridSpan w:val="13"/>
            <w:tcBorders>
              <w:bottom w:val="single" w:sz="4" w:space="0" w:color="BFBFBF"/>
            </w:tcBorders>
            <w:shd w:val="clear" w:color="auto" w:fill="auto"/>
            <w:noWrap/>
            <w:hideMark/>
          </w:tcPr>
          <w:p w14:paraId="23D547CB" w14:textId="64E22E70" w:rsidR="00C15C65" w:rsidRPr="002029AF" w:rsidRDefault="00C15C65" w:rsidP="002C5190">
            <w:pPr>
              <w:pStyle w:val="ARtablenoteindent"/>
            </w:pPr>
            <w:r w:rsidRPr="002029AF">
              <w:t>This</w:t>
            </w:r>
            <w:r w:rsidR="000A5329" w:rsidRPr="002029AF">
              <w:t xml:space="preserve"> </w:t>
            </w:r>
            <w:r w:rsidRPr="002029AF">
              <w:t>measure</w:t>
            </w:r>
            <w:r w:rsidR="000A5329" w:rsidRPr="002029AF">
              <w:t xml:space="preserve"> </w:t>
            </w:r>
            <w:r w:rsidRPr="002029AF">
              <w:t>is</w:t>
            </w:r>
            <w:r w:rsidR="000A5329" w:rsidRPr="002029AF">
              <w:t xml:space="preserve"> </w:t>
            </w:r>
            <w:r w:rsidRPr="002029AF">
              <w:t>no</w:t>
            </w:r>
            <w:r w:rsidR="000A5329" w:rsidRPr="002029AF">
              <w:t xml:space="preserve"> </w:t>
            </w:r>
            <w:r w:rsidRPr="002029AF">
              <w:t>longer</w:t>
            </w:r>
            <w:r w:rsidR="000A5329" w:rsidRPr="002029AF">
              <w:t xml:space="preserve"> </w:t>
            </w:r>
            <w:r w:rsidRPr="002029AF">
              <w:t>applicable</w:t>
            </w:r>
            <w:r w:rsidR="000A5329" w:rsidRPr="002029AF">
              <w:t xml:space="preserve"> </w:t>
            </w:r>
            <w:r w:rsidRPr="002029AF">
              <w:t>due</w:t>
            </w:r>
            <w:r w:rsidR="000A5329" w:rsidRPr="002029AF">
              <w:t xml:space="preserve"> </w:t>
            </w:r>
            <w:r w:rsidRPr="002029AF">
              <w:t>to</w:t>
            </w:r>
            <w:r w:rsidR="000A5329" w:rsidRPr="002029AF">
              <w:t xml:space="preserve"> </w:t>
            </w:r>
            <w:r w:rsidRPr="002029AF">
              <w:t>a</w:t>
            </w:r>
            <w:r w:rsidR="000A5329" w:rsidRPr="002029AF">
              <w:t xml:space="preserve"> </w:t>
            </w:r>
            <w:r w:rsidRPr="002029AF">
              <w:t>change</w:t>
            </w:r>
            <w:r w:rsidR="000A5329" w:rsidRPr="002029AF">
              <w:t xml:space="preserve"> </w:t>
            </w:r>
            <w:r w:rsidRPr="002029AF">
              <w:t>in</w:t>
            </w:r>
            <w:r w:rsidR="000A5329" w:rsidRPr="002029AF">
              <w:t xml:space="preserve"> </w:t>
            </w:r>
            <w:r w:rsidRPr="002029AF">
              <w:t>how</w:t>
            </w:r>
            <w:r w:rsidR="000A5329" w:rsidRPr="002029AF">
              <w:t xml:space="preserve"> </w:t>
            </w:r>
            <w:r w:rsidRPr="002029AF">
              <w:t>residential</w:t>
            </w:r>
            <w:r w:rsidR="000A5329" w:rsidRPr="002029AF">
              <w:t xml:space="preserve"> </w:t>
            </w:r>
            <w:r w:rsidRPr="002029AF">
              <w:t>treatment</w:t>
            </w:r>
            <w:r w:rsidR="000A5329" w:rsidRPr="002029AF">
              <w:t xml:space="preserve"> </w:t>
            </w:r>
            <w:r w:rsidRPr="002029AF">
              <w:t>services</w:t>
            </w:r>
            <w:r w:rsidR="000A5329" w:rsidRPr="002029AF">
              <w:t xml:space="preserve"> </w:t>
            </w:r>
            <w:r w:rsidRPr="002029AF">
              <w:t>are</w:t>
            </w:r>
            <w:r w:rsidR="000A5329" w:rsidRPr="002029AF">
              <w:t xml:space="preserve"> </w:t>
            </w:r>
            <w:r w:rsidRPr="002029AF">
              <w:t>funded.</w:t>
            </w:r>
            <w:r w:rsidR="000A5329" w:rsidRPr="002029AF">
              <w:t xml:space="preserve"> </w:t>
            </w:r>
            <w:r w:rsidRPr="002029AF">
              <w:t>Refer</w:t>
            </w:r>
            <w:r w:rsidR="000A5329" w:rsidRPr="002029AF">
              <w:t xml:space="preserve"> </w:t>
            </w:r>
            <w:r w:rsidRPr="002029AF">
              <w:t>to</w:t>
            </w:r>
            <w:r w:rsidR="000A5329" w:rsidRPr="002029AF">
              <w:t xml:space="preserve"> </w:t>
            </w:r>
            <w:r w:rsidRPr="002029AF">
              <w:t>‘Number</w:t>
            </w:r>
            <w:r w:rsidR="000A5329" w:rsidRPr="002029AF">
              <w:t xml:space="preserve"> </w:t>
            </w:r>
            <w:r w:rsidRPr="002029AF">
              <w:t>of</w:t>
            </w:r>
            <w:r w:rsidR="000A5329" w:rsidRPr="002029AF">
              <w:t xml:space="preserve"> </w:t>
            </w:r>
            <w:r w:rsidRPr="002029AF">
              <w:t>drug</w:t>
            </w:r>
            <w:r w:rsidR="000A5329" w:rsidRPr="002029AF">
              <w:t xml:space="preserve"> </w:t>
            </w:r>
            <w:r w:rsidRPr="002029AF">
              <w:t>treatment</w:t>
            </w:r>
            <w:r w:rsidR="000A5329" w:rsidRPr="002029AF">
              <w:t xml:space="preserve"> </w:t>
            </w:r>
            <w:r w:rsidRPr="002029AF">
              <w:t>activity</w:t>
            </w:r>
            <w:r w:rsidR="000A5329" w:rsidRPr="002029AF">
              <w:t xml:space="preserve"> </w:t>
            </w:r>
            <w:r w:rsidRPr="002029AF">
              <w:t>units</w:t>
            </w:r>
            <w:r w:rsidR="000A5329" w:rsidRPr="002029AF">
              <w:t xml:space="preserve"> </w:t>
            </w:r>
            <w:r w:rsidRPr="002029AF">
              <w:t>–</w:t>
            </w:r>
            <w:r w:rsidR="000A5329" w:rsidRPr="002029AF">
              <w:t xml:space="preserve"> </w:t>
            </w:r>
            <w:r w:rsidRPr="002029AF">
              <w:t>residential</w:t>
            </w:r>
            <w:r w:rsidR="000A5329" w:rsidRPr="002029AF">
              <w:t xml:space="preserve"> </w:t>
            </w:r>
            <w:r w:rsidRPr="002029AF">
              <w:t>services’</w:t>
            </w:r>
            <w:r w:rsidR="000A5329" w:rsidRPr="002029AF">
              <w:t xml:space="preserve"> </w:t>
            </w:r>
            <w:r w:rsidRPr="002029AF">
              <w:t>for</w:t>
            </w:r>
            <w:r w:rsidR="000A5329" w:rsidRPr="002029AF">
              <w:t xml:space="preserve"> </w:t>
            </w:r>
            <w:r w:rsidRPr="002029AF">
              <w:t>a</w:t>
            </w:r>
            <w:r w:rsidR="000A5329" w:rsidRPr="002029AF">
              <w:t xml:space="preserve"> </w:t>
            </w:r>
            <w:r w:rsidRPr="002029AF">
              <w:t>measure</w:t>
            </w:r>
            <w:r w:rsidR="000A5329" w:rsidRPr="002029AF">
              <w:t xml:space="preserve"> </w:t>
            </w:r>
            <w:r w:rsidRPr="002029AF">
              <w:t>of</w:t>
            </w:r>
            <w:r w:rsidR="000A5329" w:rsidRPr="002029AF">
              <w:t xml:space="preserve"> </w:t>
            </w:r>
            <w:r w:rsidRPr="002029AF">
              <w:t>the</w:t>
            </w:r>
            <w:r w:rsidR="000A5329" w:rsidRPr="002029AF">
              <w:t xml:space="preserve"> </w:t>
            </w:r>
            <w:r w:rsidRPr="002029AF">
              <w:t>number</w:t>
            </w:r>
            <w:r w:rsidR="000A5329" w:rsidRPr="002029AF">
              <w:t xml:space="preserve"> </w:t>
            </w:r>
            <w:r w:rsidRPr="002029AF">
              <w:t>of</w:t>
            </w:r>
            <w:r w:rsidR="000A5329" w:rsidRPr="002029AF">
              <w:t xml:space="preserve"> </w:t>
            </w:r>
            <w:r w:rsidRPr="002029AF">
              <w:t>services</w:t>
            </w:r>
            <w:r w:rsidR="000A5329" w:rsidRPr="002029AF">
              <w:t xml:space="preserve"> </w:t>
            </w:r>
            <w:r w:rsidRPr="002029AF">
              <w:t>delivered</w:t>
            </w:r>
            <w:r w:rsidR="000A5329" w:rsidRPr="002029AF">
              <w:t xml:space="preserve"> </w:t>
            </w:r>
            <w:r w:rsidRPr="002029AF">
              <w:t>in</w:t>
            </w:r>
            <w:r w:rsidR="000A5329" w:rsidRPr="002029AF">
              <w:t xml:space="preserve"> </w:t>
            </w:r>
            <w:r w:rsidRPr="002029AF">
              <w:t>201</w:t>
            </w:r>
            <w:r w:rsidR="00DB53E6" w:rsidRPr="002029AF">
              <w:t>9–</w:t>
            </w:r>
            <w:r w:rsidRPr="002029AF">
              <w:t>20.</w:t>
            </w:r>
          </w:p>
        </w:tc>
      </w:tr>
      <w:tr w:rsidR="00C15C65" w:rsidRPr="002029AF" w14:paraId="5835ADD2" w14:textId="77777777" w:rsidTr="005B58F0">
        <w:trPr>
          <w:cantSplit/>
        </w:trPr>
        <w:tc>
          <w:tcPr>
            <w:tcW w:w="9639" w:type="dxa"/>
            <w:gridSpan w:val="13"/>
            <w:tcBorders>
              <w:top w:val="single" w:sz="4" w:space="0" w:color="auto"/>
              <w:left w:val="nil"/>
              <w:bottom w:val="nil"/>
              <w:right w:val="nil"/>
            </w:tcBorders>
            <w:hideMark/>
          </w:tcPr>
          <w:p w14:paraId="7327C822" w14:textId="77777777" w:rsidR="00C15C65" w:rsidRPr="002029AF" w:rsidRDefault="00C15C65" w:rsidP="007666A5">
            <w:pPr>
              <w:pStyle w:val="ARtablegreybold"/>
            </w:pPr>
            <w:r w:rsidRPr="002029AF">
              <w:t>Timeliness</w:t>
            </w:r>
          </w:p>
        </w:tc>
      </w:tr>
      <w:tr w:rsidR="00C15C65" w:rsidRPr="002029AF" w14:paraId="5F8D8C4D" w14:textId="77777777" w:rsidTr="005B58F0">
        <w:trPr>
          <w:gridAfter w:val="1"/>
          <w:wAfter w:w="6" w:type="dxa"/>
          <w:cantSplit/>
        </w:trPr>
        <w:tc>
          <w:tcPr>
            <w:tcW w:w="4743" w:type="dxa"/>
            <w:gridSpan w:val="2"/>
            <w:shd w:val="clear" w:color="auto" w:fill="auto"/>
            <w:hideMark/>
          </w:tcPr>
          <w:p w14:paraId="1E5A39AB" w14:textId="3FA3C933" w:rsidR="00C15C65" w:rsidRPr="002029AF" w:rsidRDefault="00C15C65" w:rsidP="00C40F5D">
            <w:pPr>
              <w:pStyle w:val="ARtabletext"/>
            </w:pPr>
            <w:r w:rsidRPr="002029AF">
              <w:t>Median</w:t>
            </w:r>
            <w:r w:rsidR="000A5329" w:rsidRPr="002029AF">
              <w:t xml:space="preserve"> </w:t>
            </w:r>
            <w:r w:rsidRPr="002029AF">
              <w:t>wait</w:t>
            </w:r>
            <w:r w:rsidR="000A5329" w:rsidRPr="002029AF">
              <w:t xml:space="preserve"> </w:t>
            </w:r>
            <w:r w:rsidRPr="002029AF">
              <w:t>time</w:t>
            </w:r>
            <w:r w:rsidR="000A5329" w:rsidRPr="002029AF">
              <w:t xml:space="preserve"> </w:t>
            </w:r>
            <w:r w:rsidRPr="002029AF">
              <w:t>between</w:t>
            </w:r>
            <w:r w:rsidR="000A5329" w:rsidRPr="002029AF">
              <w:t xml:space="preserve"> </w:t>
            </w:r>
            <w:r w:rsidRPr="002029AF">
              <w:t>intake</w:t>
            </w:r>
            <w:r w:rsidR="000A5329" w:rsidRPr="002029AF">
              <w:t xml:space="preserve"> </w:t>
            </w:r>
            <w:r w:rsidRPr="002029AF">
              <w:t>and</w:t>
            </w:r>
            <w:r w:rsidR="000A5329" w:rsidRPr="002029AF">
              <w:t xml:space="preserve"> </w:t>
            </w:r>
            <w:r w:rsidRPr="002029AF">
              <w:t>assessment</w:t>
            </w:r>
          </w:p>
        </w:tc>
        <w:tc>
          <w:tcPr>
            <w:tcW w:w="1019" w:type="dxa"/>
            <w:gridSpan w:val="3"/>
            <w:shd w:val="clear" w:color="auto" w:fill="auto"/>
            <w:hideMark/>
          </w:tcPr>
          <w:p w14:paraId="06630993" w14:textId="77777777" w:rsidR="00C15C65" w:rsidRPr="002029AF" w:rsidRDefault="00C15C65" w:rsidP="00C40F5D">
            <w:pPr>
              <w:pStyle w:val="ARtabletext"/>
            </w:pPr>
            <w:r w:rsidRPr="002029AF">
              <w:t>days</w:t>
            </w:r>
          </w:p>
        </w:tc>
        <w:tc>
          <w:tcPr>
            <w:tcW w:w="1028" w:type="dxa"/>
            <w:gridSpan w:val="3"/>
            <w:shd w:val="clear" w:color="auto" w:fill="auto"/>
            <w:hideMark/>
          </w:tcPr>
          <w:p w14:paraId="20730593" w14:textId="77777777" w:rsidR="00C15C65" w:rsidRPr="002029AF" w:rsidRDefault="00C15C65" w:rsidP="00FD77AA">
            <w:pPr>
              <w:pStyle w:val="ARtabletextright"/>
            </w:pPr>
            <w:r w:rsidRPr="002029AF">
              <w:t>10</w:t>
            </w:r>
          </w:p>
        </w:tc>
        <w:tc>
          <w:tcPr>
            <w:tcW w:w="1022" w:type="dxa"/>
            <w:gridSpan w:val="2"/>
            <w:shd w:val="clear" w:color="auto" w:fill="auto"/>
            <w:hideMark/>
          </w:tcPr>
          <w:p w14:paraId="77A9A294" w14:textId="77777777" w:rsidR="00C15C65" w:rsidRPr="002029AF" w:rsidRDefault="00C15C65" w:rsidP="00FD77AA">
            <w:pPr>
              <w:pStyle w:val="ARtabletextright"/>
            </w:pPr>
            <w:r w:rsidRPr="002029AF">
              <w:t>7</w:t>
            </w:r>
          </w:p>
        </w:tc>
        <w:tc>
          <w:tcPr>
            <w:tcW w:w="1024" w:type="dxa"/>
            <w:shd w:val="clear" w:color="auto" w:fill="auto"/>
          </w:tcPr>
          <w:p w14:paraId="41CF0139" w14:textId="77777777" w:rsidR="00C15C65" w:rsidRPr="002029AF" w:rsidRDefault="00C15C65" w:rsidP="00FD77AA">
            <w:pPr>
              <w:pStyle w:val="ARtabletextright"/>
            </w:pPr>
            <w:r w:rsidRPr="002029AF">
              <w:t>-30.0</w:t>
            </w:r>
          </w:p>
        </w:tc>
        <w:tc>
          <w:tcPr>
            <w:tcW w:w="797" w:type="dxa"/>
            <w:shd w:val="clear" w:color="auto" w:fill="auto"/>
            <w:hideMark/>
          </w:tcPr>
          <w:p w14:paraId="3D6ED27B"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104F312A" w14:textId="77777777" w:rsidTr="005B58F0">
        <w:trPr>
          <w:gridAfter w:val="1"/>
          <w:wAfter w:w="6" w:type="dxa"/>
          <w:cantSplit/>
        </w:trPr>
        <w:tc>
          <w:tcPr>
            <w:tcW w:w="9633" w:type="dxa"/>
            <w:gridSpan w:val="12"/>
            <w:tcBorders>
              <w:bottom w:val="single" w:sz="4" w:space="0" w:color="BFBFBF"/>
            </w:tcBorders>
            <w:shd w:val="clear" w:color="auto" w:fill="auto"/>
            <w:noWrap/>
            <w:hideMark/>
          </w:tcPr>
          <w:p w14:paraId="544C5B16" w14:textId="182EB8FA" w:rsidR="00C15C65" w:rsidRPr="002029AF" w:rsidRDefault="00C15C65" w:rsidP="002C5190">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lower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clients</w:t>
            </w:r>
            <w:r w:rsidR="000A5329" w:rsidRPr="002029AF">
              <w:t xml:space="preserve"> </w:t>
            </w:r>
            <w:r w:rsidRPr="002029AF">
              <w:t>receiving</w:t>
            </w:r>
            <w:r w:rsidR="000A5329" w:rsidRPr="002029AF">
              <w:t xml:space="preserve"> </w:t>
            </w:r>
            <w:r w:rsidRPr="002029AF">
              <w:t>an</w:t>
            </w:r>
            <w:r w:rsidR="000A5329" w:rsidRPr="002029AF">
              <w:t xml:space="preserve"> </w:t>
            </w:r>
            <w:r w:rsidRPr="002029AF">
              <w:t>assessment</w:t>
            </w:r>
            <w:r w:rsidR="000A5329" w:rsidRPr="002029AF">
              <w:t xml:space="preserve"> </w:t>
            </w:r>
            <w:r w:rsidRPr="002029AF">
              <w:t>of</w:t>
            </w:r>
            <w:r w:rsidR="000A5329" w:rsidRPr="002029AF">
              <w:t xml:space="preserve"> </w:t>
            </w:r>
            <w:r w:rsidRPr="002029AF">
              <w:t>their</w:t>
            </w:r>
            <w:r w:rsidR="000A5329" w:rsidRPr="002029AF">
              <w:t xml:space="preserve"> </w:t>
            </w:r>
            <w:r w:rsidRPr="002029AF">
              <w:t>treatment</w:t>
            </w:r>
            <w:r w:rsidR="000A5329" w:rsidRPr="002029AF">
              <w:t xml:space="preserve"> </w:t>
            </w:r>
            <w:r w:rsidRPr="002029AF">
              <w:t>needs</w:t>
            </w:r>
            <w:r w:rsidR="000A5329" w:rsidRPr="002029AF">
              <w:t xml:space="preserve"> </w:t>
            </w:r>
            <w:r w:rsidRPr="002029AF">
              <w:t>within</w:t>
            </w:r>
            <w:r w:rsidR="000A5329" w:rsidRPr="002029AF">
              <w:t xml:space="preserve"> </w:t>
            </w:r>
            <w:r w:rsidRPr="002029AF">
              <w:t>a</w:t>
            </w:r>
            <w:r w:rsidR="000A5329" w:rsidRPr="002029AF">
              <w:t xml:space="preserve"> </w:t>
            </w:r>
            <w:r w:rsidRPr="002029AF">
              <w:t>reasonable</w:t>
            </w:r>
            <w:r w:rsidR="000A5329" w:rsidRPr="002029AF">
              <w:t xml:space="preserve"> </w:t>
            </w:r>
            <w:r w:rsidRPr="002029AF">
              <w:t>time</w:t>
            </w:r>
            <w:r w:rsidR="000A5329" w:rsidRPr="002029AF">
              <w:t xml:space="preserve"> </w:t>
            </w:r>
            <w:r w:rsidRPr="002029AF">
              <w:t>following</w:t>
            </w:r>
            <w:r w:rsidR="000A5329" w:rsidRPr="002029AF">
              <w:t xml:space="preserve"> </w:t>
            </w:r>
            <w:r w:rsidRPr="002029AF">
              <w:t>intake.</w:t>
            </w:r>
            <w:r w:rsidR="000A5329" w:rsidRPr="002029AF">
              <w:t xml:space="preserve"> </w:t>
            </w:r>
            <w:r w:rsidRPr="002029AF">
              <w:t>This</w:t>
            </w:r>
            <w:r w:rsidR="000A5329" w:rsidRPr="002029AF">
              <w:t xml:space="preserve"> </w:t>
            </w:r>
            <w:r w:rsidRPr="002029AF">
              <w:t>is</w:t>
            </w:r>
            <w:r w:rsidR="000A5329" w:rsidRPr="002029AF">
              <w:t xml:space="preserve"> </w:t>
            </w:r>
            <w:r w:rsidRPr="002029AF">
              <w:t>a</w:t>
            </w:r>
            <w:r w:rsidR="000A5329" w:rsidRPr="002029AF">
              <w:t xml:space="preserve"> </w:t>
            </w:r>
            <w:r w:rsidRPr="002029AF">
              <w:t>positive</w:t>
            </w:r>
            <w:r w:rsidR="000A5329" w:rsidRPr="002029AF">
              <w:t xml:space="preserve"> </w:t>
            </w:r>
            <w:r w:rsidRPr="002029AF">
              <w:t>result.</w:t>
            </w:r>
          </w:p>
        </w:tc>
      </w:tr>
      <w:tr w:rsidR="00C15C65" w:rsidRPr="002029AF" w14:paraId="27C9F86E" w14:textId="77777777" w:rsidTr="005B58F0">
        <w:trPr>
          <w:gridAfter w:val="1"/>
          <w:wAfter w:w="6" w:type="dxa"/>
          <w:cantSplit/>
        </w:trPr>
        <w:tc>
          <w:tcPr>
            <w:tcW w:w="4743" w:type="dxa"/>
            <w:gridSpan w:val="2"/>
            <w:shd w:val="clear" w:color="auto" w:fill="auto"/>
            <w:hideMark/>
          </w:tcPr>
          <w:p w14:paraId="491DC763" w14:textId="51EE881A" w:rsidR="00C15C65" w:rsidRPr="002029AF" w:rsidRDefault="00C15C65" w:rsidP="00C40F5D">
            <w:pPr>
              <w:pStyle w:val="ARtabletext"/>
            </w:pPr>
            <w:r w:rsidRPr="002029AF">
              <w:t>Median</w:t>
            </w:r>
            <w:r w:rsidR="000A5329" w:rsidRPr="002029AF">
              <w:t xml:space="preserve"> </w:t>
            </w:r>
            <w:r w:rsidRPr="002029AF">
              <w:t>wait</w:t>
            </w:r>
            <w:r w:rsidR="000A5329" w:rsidRPr="002029AF">
              <w:t xml:space="preserve"> </w:t>
            </w:r>
            <w:r w:rsidRPr="002029AF">
              <w:t>time</w:t>
            </w:r>
            <w:r w:rsidR="000A5329" w:rsidRPr="002029AF">
              <w:t xml:space="preserve"> </w:t>
            </w:r>
            <w:r w:rsidRPr="002029AF">
              <w:t>between</w:t>
            </w:r>
            <w:r w:rsidR="000A5329" w:rsidRPr="002029AF">
              <w:t xml:space="preserve"> </w:t>
            </w:r>
            <w:r w:rsidRPr="002029AF">
              <w:t>assessment</w:t>
            </w:r>
            <w:r w:rsidR="000A5329" w:rsidRPr="002029AF">
              <w:t xml:space="preserve"> </w:t>
            </w:r>
            <w:r w:rsidRPr="002029AF">
              <w:t>and</w:t>
            </w:r>
            <w:r w:rsidR="000A5329" w:rsidRPr="002029AF">
              <w:t xml:space="preserve"> </w:t>
            </w:r>
            <w:r w:rsidRPr="002029AF">
              <w:t>commencement</w:t>
            </w:r>
            <w:r w:rsidR="000A5329" w:rsidRPr="002029AF">
              <w:t xml:space="preserve"> </w:t>
            </w:r>
            <w:r w:rsidRPr="002029AF">
              <w:t>of</w:t>
            </w:r>
            <w:r w:rsidR="000A5329" w:rsidRPr="002029AF">
              <w:t xml:space="preserve"> </w:t>
            </w:r>
            <w:r w:rsidRPr="002029AF">
              <w:t>treatment</w:t>
            </w:r>
          </w:p>
        </w:tc>
        <w:tc>
          <w:tcPr>
            <w:tcW w:w="1019" w:type="dxa"/>
            <w:gridSpan w:val="3"/>
            <w:shd w:val="clear" w:color="auto" w:fill="auto"/>
            <w:hideMark/>
          </w:tcPr>
          <w:p w14:paraId="16770479" w14:textId="77777777" w:rsidR="00C15C65" w:rsidRPr="002029AF" w:rsidRDefault="00C15C65" w:rsidP="00C40F5D">
            <w:pPr>
              <w:pStyle w:val="ARtabletext"/>
            </w:pPr>
            <w:r w:rsidRPr="002029AF">
              <w:t>days</w:t>
            </w:r>
          </w:p>
        </w:tc>
        <w:tc>
          <w:tcPr>
            <w:tcW w:w="1028" w:type="dxa"/>
            <w:gridSpan w:val="3"/>
            <w:shd w:val="clear" w:color="auto" w:fill="auto"/>
            <w:hideMark/>
          </w:tcPr>
          <w:p w14:paraId="6EF351D2" w14:textId="77777777" w:rsidR="00C15C65" w:rsidRPr="002029AF" w:rsidRDefault="00C15C65" w:rsidP="00FD77AA">
            <w:pPr>
              <w:pStyle w:val="ARtabletextright"/>
            </w:pPr>
            <w:r w:rsidRPr="002029AF">
              <w:t>20</w:t>
            </w:r>
          </w:p>
        </w:tc>
        <w:tc>
          <w:tcPr>
            <w:tcW w:w="1022" w:type="dxa"/>
            <w:gridSpan w:val="2"/>
            <w:shd w:val="clear" w:color="auto" w:fill="auto"/>
            <w:hideMark/>
          </w:tcPr>
          <w:p w14:paraId="0796EA84" w14:textId="77777777" w:rsidR="00C15C65" w:rsidRPr="002029AF" w:rsidRDefault="00C15C65" w:rsidP="00FD77AA">
            <w:pPr>
              <w:pStyle w:val="ARtabletextright"/>
            </w:pPr>
            <w:r w:rsidRPr="002029AF">
              <w:t>13</w:t>
            </w:r>
          </w:p>
        </w:tc>
        <w:tc>
          <w:tcPr>
            <w:tcW w:w="1024" w:type="dxa"/>
            <w:shd w:val="clear" w:color="auto" w:fill="auto"/>
          </w:tcPr>
          <w:p w14:paraId="43AF7BEE" w14:textId="77777777" w:rsidR="00C15C65" w:rsidRPr="002029AF" w:rsidRDefault="00C15C65" w:rsidP="00FD77AA">
            <w:pPr>
              <w:pStyle w:val="ARtabletextright"/>
            </w:pPr>
            <w:r w:rsidRPr="002029AF">
              <w:t>-35.0</w:t>
            </w:r>
          </w:p>
        </w:tc>
        <w:tc>
          <w:tcPr>
            <w:tcW w:w="797" w:type="dxa"/>
            <w:shd w:val="clear" w:color="auto" w:fill="auto"/>
            <w:hideMark/>
          </w:tcPr>
          <w:p w14:paraId="3E323938"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2E402420" w14:textId="77777777" w:rsidTr="005B58F0">
        <w:trPr>
          <w:gridAfter w:val="1"/>
          <w:wAfter w:w="6" w:type="dxa"/>
          <w:cantSplit/>
        </w:trPr>
        <w:tc>
          <w:tcPr>
            <w:tcW w:w="9633" w:type="dxa"/>
            <w:gridSpan w:val="12"/>
            <w:tcBorders>
              <w:bottom w:val="single" w:sz="4" w:space="0" w:color="BFBFBF"/>
            </w:tcBorders>
            <w:shd w:val="clear" w:color="auto" w:fill="auto"/>
            <w:noWrap/>
            <w:hideMark/>
          </w:tcPr>
          <w:p w14:paraId="0A4C5AB2" w14:textId="7FB3AD1D" w:rsidR="00C15C65" w:rsidRPr="002029AF" w:rsidRDefault="00C15C65" w:rsidP="002C5190">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lower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clients</w:t>
            </w:r>
            <w:r w:rsidR="000A5329" w:rsidRPr="002029AF">
              <w:t xml:space="preserve"> </w:t>
            </w:r>
            <w:r w:rsidRPr="002029AF">
              <w:t>accessing</w:t>
            </w:r>
            <w:r w:rsidR="000A5329" w:rsidRPr="002029AF">
              <w:t xml:space="preserve"> </w:t>
            </w:r>
            <w:r w:rsidRPr="002029AF">
              <w:t>treatment</w:t>
            </w:r>
            <w:r w:rsidR="000A5329" w:rsidRPr="002029AF">
              <w:t xml:space="preserve"> </w:t>
            </w:r>
            <w:r w:rsidRPr="002029AF">
              <w:t>within</w:t>
            </w:r>
            <w:r w:rsidR="000A5329" w:rsidRPr="002029AF">
              <w:t xml:space="preserve"> </w:t>
            </w:r>
            <w:r w:rsidRPr="002029AF">
              <w:t>a</w:t>
            </w:r>
            <w:r w:rsidR="000A5329" w:rsidRPr="002029AF">
              <w:t xml:space="preserve"> </w:t>
            </w:r>
            <w:r w:rsidRPr="002029AF">
              <w:t>reasonable</w:t>
            </w:r>
            <w:r w:rsidR="000A5329" w:rsidRPr="002029AF">
              <w:t xml:space="preserve"> </w:t>
            </w:r>
            <w:r w:rsidRPr="002029AF">
              <w:t>time</w:t>
            </w:r>
            <w:r w:rsidR="000A5329" w:rsidRPr="002029AF">
              <w:t xml:space="preserve"> </w:t>
            </w:r>
            <w:r w:rsidRPr="002029AF">
              <w:t>following</w:t>
            </w:r>
            <w:r w:rsidR="000A5329" w:rsidRPr="002029AF">
              <w:t xml:space="preserve"> </w:t>
            </w:r>
            <w:r w:rsidRPr="002029AF">
              <w:t>assessment.</w:t>
            </w:r>
            <w:r w:rsidR="000A5329" w:rsidRPr="002029AF">
              <w:t xml:space="preserve"> </w:t>
            </w:r>
            <w:r w:rsidRPr="002029AF">
              <w:t>This</w:t>
            </w:r>
            <w:r w:rsidR="000A5329" w:rsidRPr="002029AF">
              <w:t xml:space="preserve"> </w:t>
            </w:r>
            <w:r w:rsidRPr="002029AF">
              <w:t>is</w:t>
            </w:r>
            <w:r w:rsidR="000A5329" w:rsidRPr="002029AF">
              <w:t xml:space="preserve"> </w:t>
            </w:r>
            <w:r w:rsidRPr="002029AF">
              <w:t>a</w:t>
            </w:r>
            <w:r w:rsidR="000A5329" w:rsidRPr="002029AF">
              <w:t xml:space="preserve"> </w:t>
            </w:r>
            <w:r w:rsidRPr="002029AF">
              <w:t>positive</w:t>
            </w:r>
            <w:r w:rsidR="000A5329" w:rsidRPr="002029AF">
              <w:t xml:space="preserve"> </w:t>
            </w:r>
            <w:r w:rsidRPr="002029AF">
              <w:t>result.</w:t>
            </w:r>
          </w:p>
        </w:tc>
      </w:tr>
      <w:tr w:rsidR="00C15C65" w:rsidRPr="002029AF" w14:paraId="261DBB47" w14:textId="77777777" w:rsidTr="005B58F0">
        <w:trPr>
          <w:cantSplit/>
        </w:trPr>
        <w:tc>
          <w:tcPr>
            <w:tcW w:w="4750" w:type="dxa"/>
            <w:gridSpan w:val="3"/>
            <w:shd w:val="clear" w:color="auto" w:fill="auto"/>
            <w:hideMark/>
          </w:tcPr>
          <w:p w14:paraId="6DB6A1B6" w14:textId="0D5C44FF" w:rsidR="00C15C65" w:rsidRPr="002029AF" w:rsidRDefault="00C15C65" w:rsidP="00C40F5D">
            <w:pPr>
              <w:pStyle w:val="ARtabletext"/>
            </w:pPr>
            <w:r w:rsidRPr="002029AF">
              <w:t>Average</w:t>
            </w:r>
            <w:r w:rsidR="000A5329" w:rsidRPr="002029AF">
              <w:t xml:space="preserve"> </w:t>
            </w:r>
            <w:r w:rsidRPr="002029AF">
              <w:t>working</w:t>
            </w:r>
            <w:r w:rsidR="000A5329" w:rsidRPr="002029AF">
              <w:t xml:space="preserve"> </w:t>
            </w:r>
            <w:r w:rsidRPr="002029AF">
              <w:t>days</w:t>
            </w:r>
            <w:r w:rsidR="000A5329" w:rsidRPr="002029AF">
              <w:t xml:space="preserve"> </w:t>
            </w:r>
            <w:r w:rsidRPr="002029AF">
              <w:t>between</w:t>
            </w:r>
            <w:r w:rsidR="000A5329" w:rsidRPr="002029AF">
              <w:t xml:space="preserve"> </w:t>
            </w:r>
            <w:r w:rsidRPr="002029AF">
              <w:t>screening</w:t>
            </w:r>
            <w:r w:rsidR="000A5329" w:rsidRPr="002029AF">
              <w:t xml:space="preserve"> </w:t>
            </w:r>
            <w:r w:rsidRPr="002029AF">
              <w:t>of</w:t>
            </w:r>
            <w:r w:rsidR="000A5329" w:rsidRPr="002029AF">
              <w:t xml:space="preserve"> </w:t>
            </w:r>
            <w:r w:rsidRPr="002029AF">
              <w:t>client</w:t>
            </w:r>
            <w:r w:rsidR="000A5329" w:rsidRPr="002029AF">
              <w:t xml:space="preserve"> </w:t>
            </w:r>
            <w:r w:rsidRPr="002029AF">
              <w:t>and</w:t>
            </w:r>
            <w:r w:rsidR="000A5329" w:rsidRPr="002029AF">
              <w:t xml:space="preserve"> </w:t>
            </w:r>
            <w:r w:rsidRPr="002029AF">
              <w:t>commencement</w:t>
            </w:r>
            <w:r w:rsidR="000A5329" w:rsidRPr="002029AF">
              <w:t xml:space="preserve"> </w:t>
            </w:r>
            <w:r w:rsidRPr="002029AF">
              <w:t>of</w:t>
            </w:r>
            <w:r w:rsidR="000A5329" w:rsidRPr="002029AF">
              <w:t xml:space="preserve"> </w:t>
            </w:r>
            <w:r w:rsidRPr="002029AF">
              <w:t>community-based</w:t>
            </w:r>
            <w:r w:rsidR="000A5329" w:rsidRPr="002029AF">
              <w:t xml:space="preserve"> </w:t>
            </w:r>
            <w:r w:rsidRPr="002029AF">
              <w:t>drug</w:t>
            </w:r>
            <w:r w:rsidR="000A5329" w:rsidRPr="002029AF">
              <w:t xml:space="preserve"> </w:t>
            </w:r>
            <w:r w:rsidRPr="002029AF">
              <w:t>treatment</w:t>
            </w:r>
          </w:p>
        </w:tc>
        <w:tc>
          <w:tcPr>
            <w:tcW w:w="1020" w:type="dxa"/>
            <w:gridSpan w:val="3"/>
            <w:shd w:val="clear" w:color="auto" w:fill="auto"/>
            <w:hideMark/>
          </w:tcPr>
          <w:p w14:paraId="1266A4E7" w14:textId="77777777" w:rsidR="00C15C65" w:rsidRPr="002029AF" w:rsidRDefault="00C15C65" w:rsidP="00C40F5D">
            <w:pPr>
              <w:pStyle w:val="ARtabletext"/>
            </w:pPr>
            <w:r w:rsidRPr="002029AF">
              <w:t>days</w:t>
            </w:r>
          </w:p>
        </w:tc>
        <w:tc>
          <w:tcPr>
            <w:tcW w:w="1020" w:type="dxa"/>
            <w:gridSpan w:val="2"/>
            <w:shd w:val="clear" w:color="auto" w:fill="auto"/>
            <w:hideMark/>
          </w:tcPr>
          <w:p w14:paraId="06D0E70C" w14:textId="77777777" w:rsidR="00C15C65" w:rsidRPr="002029AF" w:rsidRDefault="00C15C65" w:rsidP="00FD77AA">
            <w:pPr>
              <w:pStyle w:val="ARtabletextright"/>
            </w:pPr>
            <w:r w:rsidRPr="002029AF">
              <w:t>3</w:t>
            </w:r>
          </w:p>
        </w:tc>
        <w:tc>
          <w:tcPr>
            <w:tcW w:w="1022" w:type="dxa"/>
            <w:gridSpan w:val="2"/>
            <w:shd w:val="clear" w:color="auto" w:fill="auto"/>
            <w:hideMark/>
          </w:tcPr>
          <w:p w14:paraId="173C6285" w14:textId="77777777" w:rsidR="00C15C65" w:rsidRPr="002029AF" w:rsidRDefault="00C15C65" w:rsidP="00FD77AA">
            <w:pPr>
              <w:pStyle w:val="ARtabletextright"/>
            </w:pPr>
            <w:r w:rsidRPr="002029AF">
              <w:t>8.4</w:t>
            </w:r>
          </w:p>
        </w:tc>
        <w:tc>
          <w:tcPr>
            <w:tcW w:w="1024" w:type="dxa"/>
            <w:shd w:val="clear" w:color="auto" w:fill="auto"/>
          </w:tcPr>
          <w:p w14:paraId="029C53C6" w14:textId="77777777" w:rsidR="00C15C65" w:rsidRPr="002029AF" w:rsidRDefault="00C15C65" w:rsidP="00FD77AA">
            <w:pPr>
              <w:pStyle w:val="ARtabletextright"/>
            </w:pPr>
            <w:r w:rsidRPr="002029AF">
              <w:t>180.0</w:t>
            </w:r>
          </w:p>
        </w:tc>
        <w:tc>
          <w:tcPr>
            <w:tcW w:w="803" w:type="dxa"/>
            <w:gridSpan w:val="2"/>
            <w:shd w:val="clear" w:color="auto" w:fill="auto"/>
            <w:hideMark/>
          </w:tcPr>
          <w:p w14:paraId="42468309"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514F7ACE" w14:textId="77777777" w:rsidTr="005B58F0">
        <w:trPr>
          <w:cantSplit/>
        </w:trPr>
        <w:tc>
          <w:tcPr>
            <w:tcW w:w="9639" w:type="dxa"/>
            <w:gridSpan w:val="13"/>
            <w:tcBorders>
              <w:bottom w:val="single" w:sz="4" w:space="0" w:color="BFBFBF"/>
            </w:tcBorders>
            <w:shd w:val="clear" w:color="auto" w:fill="auto"/>
            <w:noWrap/>
            <w:hideMark/>
          </w:tcPr>
          <w:p w14:paraId="5DA65674" w14:textId="33AFCCF2" w:rsidR="00C15C65" w:rsidRPr="002029AF" w:rsidRDefault="00C15C65" w:rsidP="002C5190">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the</w:t>
            </w:r>
            <w:r w:rsidR="000A5329" w:rsidRPr="002029AF">
              <w:t xml:space="preserve"> </w:t>
            </w:r>
            <w:r w:rsidRPr="002029AF">
              <w:t>impact</w:t>
            </w:r>
            <w:r w:rsidR="000A5329" w:rsidRPr="002029AF">
              <w:t xml:space="preserve"> </w:t>
            </w:r>
            <w:r w:rsidRPr="002029AF">
              <w:t>of</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social</w:t>
            </w:r>
            <w:r w:rsidR="000A5329" w:rsidRPr="002029AF">
              <w:t xml:space="preserve"> </w:t>
            </w:r>
            <w:r w:rsidRPr="002029AF">
              <w:t>distancing</w:t>
            </w:r>
            <w:r w:rsidR="000A5329" w:rsidRPr="002029AF">
              <w:t xml:space="preserve"> </w:t>
            </w:r>
            <w:r w:rsidRPr="002029AF">
              <w:t>measures</w:t>
            </w:r>
            <w:r w:rsidR="000A5329" w:rsidRPr="002029AF">
              <w:t xml:space="preserve"> </w:t>
            </w:r>
            <w:r w:rsidRPr="002029AF">
              <w:t>on</w:t>
            </w:r>
            <w:r w:rsidR="000A5329" w:rsidRPr="002029AF">
              <w:t xml:space="preserve"> </w:t>
            </w:r>
            <w:r w:rsidRPr="002029AF">
              <w:t>service</w:t>
            </w:r>
            <w:r w:rsidR="000A5329" w:rsidRPr="002029AF">
              <w:t xml:space="preserve"> </w:t>
            </w:r>
            <w:r w:rsidRPr="002029AF">
              <w:t>delivery.</w:t>
            </w:r>
          </w:p>
        </w:tc>
      </w:tr>
      <w:tr w:rsidR="00C15C65" w:rsidRPr="002029AF" w14:paraId="4CA1C550" w14:textId="77777777" w:rsidTr="005B58F0">
        <w:trPr>
          <w:cantSplit/>
        </w:trPr>
        <w:tc>
          <w:tcPr>
            <w:tcW w:w="4750" w:type="dxa"/>
            <w:gridSpan w:val="3"/>
            <w:shd w:val="clear" w:color="auto" w:fill="auto"/>
            <w:hideMark/>
          </w:tcPr>
          <w:p w14:paraId="7127026E" w14:textId="7A849721" w:rsidR="00C15C65" w:rsidRPr="002029AF" w:rsidRDefault="00C15C65" w:rsidP="00C40F5D">
            <w:pPr>
              <w:pStyle w:val="ARtabletext"/>
            </w:pPr>
            <w:r w:rsidRPr="002029AF">
              <w:t>Average</w:t>
            </w:r>
            <w:r w:rsidR="000A5329" w:rsidRPr="002029AF">
              <w:t xml:space="preserve"> </w:t>
            </w:r>
            <w:r w:rsidRPr="002029AF">
              <w:t>working</w:t>
            </w:r>
            <w:r w:rsidR="000A5329" w:rsidRPr="002029AF">
              <w:t xml:space="preserve"> </w:t>
            </w:r>
            <w:r w:rsidRPr="002029AF">
              <w:t>days</w:t>
            </w:r>
            <w:r w:rsidR="000A5329" w:rsidRPr="002029AF">
              <w:t xml:space="preserve"> </w:t>
            </w:r>
            <w:r w:rsidRPr="002029AF">
              <w:t>between</w:t>
            </w:r>
            <w:r w:rsidR="000A5329" w:rsidRPr="002029AF">
              <w:t xml:space="preserve"> </w:t>
            </w:r>
            <w:r w:rsidRPr="002029AF">
              <w:t>screening</w:t>
            </w:r>
            <w:r w:rsidR="000A5329" w:rsidRPr="002029AF">
              <w:t xml:space="preserve"> </w:t>
            </w:r>
            <w:r w:rsidRPr="002029AF">
              <w:t>of</w:t>
            </w:r>
            <w:r w:rsidR="000A5329" w:rsidRPr="002029AF">
              <w:t xml:space="preserve"> </w:t>
            </w:r>
            <w:r w:rsidRPr="002029AF">
              <w:t>client</w:t>
            </w:r>
            <w:r w:rsidR="000A5329" w:rsidRPr="002029AF">
              <w:t xml:space="preserve"> </w:t>
            </w:r>
            <w:r w:rsidRPr="002029AF">
              <w:t>and</w:t>
            </w:r>
            <w:r w:rsidR="000A5329" w:rsidRPr="002029AF">
              <w:t xml:space="preserve"> </w:t>
            </w:r>
            <w:r w:rsidRPr="002029AF">
              <w:t>commencement</w:t>
            </w:r>
            <w:r w:rsidR="000A5329" w:rsidRPr="002029AF">
              <w:t xml:space="preserve"> </w:t>
            </w:r>
            <w:r w:rsidRPr="002029AF">
              <w:t>of</w:t>
            </w:r>
            <w:r w:rsidR="000A5329" w:rsidRPr="002029AF">
              <w:t xml:space="preserve"> </w:t>
            </w:r>
            <w:r w:rsidRPr="002029AF">
              <w:t>residential-based</w:t>
            </w:r>
            <w:r w:rsidR="000A5329" w:rsidRPr="002029AF">
              <w:t xml:space="preserve"> </w:t>
            </w:r>
            <w:r w:rsidRPr="002029AF">
              <w:t>drug</w:t>
            </w:r>
            <w:r w:rsidR="000A5329" w:rsidRPr="002029AF">
              <w:t xml:space="preserve"> </w:t>
            </w:r>
            <w:r w:rsidRPr="002029AF">
              <w:t>treatment</w:t>
            </w:r>
          </w:p>
        </w:tc>
        <w:tc>
          <w:tcPr>
            <w:tcW w:w="1020" w:type="dxa"/>
            <w:gridSpan w:val="3"/>
            <w:shd w:val="clear" w:color="auto" w:fill="auto"/>
            <w:hideMark/>
          </w:tcPr>
          <w:p w14:paraId="00952EC0" w14:textId="77777777" w:rsidR="00C15C65" w:rsidRPr="002029AF" w:rsidRDefault="00C15C65" w:rsidP="00C40F5D">
            <w:pPr>
              <w:pStyle w:val="ARtabletext"/>
            </w:pPr>
            <w:r w:rsidRPr="002029AF">
              <w:t>number</w:t>
            </w:r>
          </w:p>
        </w:tc>
        <w:tc>
          <w:tcPr>
            <w:tcW w:w="1020" w:type="dxa"/>
            <w:gridSpan w:val="2"/>
            <w:shd w:val="clear" w:color="auto" w:fill="auto"/>
            <w:hideMark/>
          </w:tcPr>
          <w:p w14:paraId="762F27BB" w14:textId="77777777" w:rsidR="00C15C65" w:rsidRPr="002029AF" w:rsidRDefault="00C15C65" w:rsidP="00FD77AA">
            <w:pPr>
              <w:pStyle w:val="ARtabletextright"/>
            </w:pPr>
            <w:r w:rsidRPr="002029AF">
              <w:t>6</w:t>
            </w:r>
          </w:p>
        </w:tc>
        <w:tc>
          <w:tcPr>
            <w:tcW w:w="1022" w:type="dxa"/>
            <w:gridSpan w:val="2"/>
            <w:shd w:val="clear" w:color="auto" w:fill="auto"/>
            <w:hideMark/>
          </w:tcPr>
          <w:p w14:paraId="0A1422AE" w14:textId="77777777" w:rsidR="00C15C65" w:rsidRPr="002029AF" w:rsidRDefault="00C15C65" w:rsidP="00FD77AA">
            <w:pPr>
              <w:pStyle w:val="ARtabletextright"/>
            </w:pPr>
            <w:r w:rsidRPr="002029AF">
              <w:t>11.7</w:t>
            </w:r>
          </w:p>
        </w:tc>
        <w:tc>
          <w:tcPr>
            <w:tcW w:w="1024" w:type="dxa"/>
            <w:shd w:val="clear" w:color="auto" w:fill="auto"/>
          </w:tcPr>
          <w:p w14:paraId="418321E3" w14:textId="77777777" w:rsidR="00C15C65" w:rsidRPr="002029AF" w:rsidRDefault="00C15C65" w:rsidP="00FD77AA">
            <w:pPr>
              <w:pStyle w:val="ARtabletextright"/>
            </w:pPr>
            <w:r w:rsidRPr="002029AF">
              <w:t>95.0</w:t>
            </w:r>
          </w:p>
        </w:tc>
        <w:tc>
          <w:tcPr>
            <w:tcW w:w="803" w:type="dxa"/>
            <w:gridSpan w:val="2"/>
            <w:shd w:val="clear" w:color="auto" w:fill="auto"/>
            <w:hideMark/>
          </w:tcPr>
          <w:p w14:paraId="5EB7CF8A"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3696444A" w14:textId="77777777" w:rsidTr="005B58F0">
        <w:trPr>
          <w:cantSplit/>
        </w:trPr>
        <w:tc>
          <w:tcPr>
            <w:tcW w:w="9639" w:type="dxa"/>
            <w:gridSpan w:val="13"/>
            <w:tcBorders>
              <w:bottom w:val="single" w:sz="4" w:space="0" w:color="BFBFBF"/>
            </w:tcBorders>
            <w:shd w:val="clear" w:color="auto" w:fill="auto"/>
            <w:noWrap/>
            <w:hideMark/>
          </w:tcPr>
          <w:p w14:paraId="751B6247" w14:textId="050FCFA4" w:rsidR="00C15C65" w:rsidRPr="002029AF" w:rsidRDefault="00C15C65" w:rsidP="0044119C">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the</w:t>
            </w:r>
            <w:r w:rsidR="000A5329" w:rsidRPr="002029AF">
              <w:t xml:space="preserve"> </w:t>
            </w:r>
            <w:r w:rsidRPr="002029AF">
              <w:t>impact</w:t>
            </w:r>
            <w:r w:rsidR="000A5329" w:rsidRPr="002029AF">
              <w:t xml:space="preserve"> </w:t>
            </w:r>
            <w:r w:rsidRPr="002029AF">
              <w:t>of</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related</w:t>
            </w:r>
            <w:r w:rsidR="000A5329" w:rsidRPr="002029AF">
              <w:t xml:space="preserve"> </w:t>
            </w:r>
            <w:r w:rsidRPr="002029AF">
              <w:t>social</w:t>
            </w:r>
            <w:r w:rsidR="000A5329" w:rsidRPr="002029AF">
              <w:t xml:space="preserve"> </w:t>
            </w:r>
            <w:r w:rsidRPr="002029AF">
              <w:t>distancing</w:t>
            </w:r>
            <w:r w:rsidR="000A5329" w:rsidRPr="002029AF">
              <w:t xml:space="preserve"> </w:t>
            </w:r>
            <w:r w:rsidRPr="002029AF">
              <w:t>measures</w:t>
            </w:r>
            <w:r w:rsidR="000A5329" w:rsidRPr="002029AF">
              <w:t xml:space="preserve"> </w:t>
            </w:r>
            <w:r w:rsidRPr="002029AF">
              <w:t>on</w:t>
            </w:r>
            <w:r w:rsidR="000A5329" w:rsidRPr="002029AF">
              <w:t xml:space="preserve"> </w:t>
            </w:r>
            <w:r w:rsidRPr="002029AF">
              <w:t>service</w:t>
            </w:r>
            <w:r w:rsidR="000A5329" w:rsidRPr="002029AF">
              <w:t xml:space="preserve"> </w:t>
            </w:r>
            <w:r w:rsidRPr="002029AF">
              <w:t>delivery.</w:t>
            </w:r>
          </w:p>
        </w:tc>
      </w:tr>
      <w:tr w:rsidR="00C15C65" w:rsidRPr="002029AF" w14:paraId="08EF1BC7" w14:textId="77777777" w:rsidTr="005B58F0">
        <w:trPr>
          <w:cantSplit/>
        </w:trPr>
        <w:tc>
          <w:tcPr>
            <w:tcW w:w="9639" w:type="dxa"/>
            <w:gridSpan w:val="13"/>
            <w:tcBorders>
              <w:top w:val="single" w:sz="4" w:space="0" w:color="auto"/>
              <w:left w:val="nil"/>
              <w:bottom w:val="nil"/>
              <w:right w:val="nil"/>
            </w:tcBorders>
            <w:hideMark/>
          </w:tcPr>
          <w:p w14:paraId="3DC6A685" w14:textId="77777777" w:rsidR="00C15C65" w:rsidRPr="002029AF" w:rsidRDefault="00C15C65" w:rsidP="00CA3123">
            <w:pPr>
              <w:pStyle w:val="ARtablegreybold"/>
              <w:keepNext/>
            </w:pPr>
            <w:r w:rsidRPr="002029AF">
              <w:t>Cost</w:t>
            </w:r>
          </w:p>
        </w:tc>
      </w:tr>
      <w:tr w:rsidR="00C15C65" w:rsidRPr="002029AF" w14:paraId="5A47501F" w14:textId="77777777" w:rsidTr="005B58F0">
        <w:trPr>
          <w:cantSplit/>
        </w:trPr>
        <w:tc>
          <w:tcPr>
            <w:tcW w:w="4725" w:type="dxa"/>
            <w:hideMark/>
          </w:tcPr>
          <w:p w14:paraId="58096481" w14:textId="0B2192BD" w:rsidR="00C15C65" w:rsidRPr="002029AF" w:rsidRDefault="00C15C65" w:rsidP="00CA3123">
            <w:pPr>
              <w:pStyle w:val="ARtabletext"/>
              <w:keepNext/>
              <w:rPr>
                <w:b/>
              </w:rPr>
            </w:pPr>
            <w:r w:rsidRPr="002029AF">
              <w:rPr>
                <w:b/>
              </w:rPr>
              <w:t>Total</w:t>
            </w:r>
            <w:r w:rsidR="000A5329" w:rsidRPr="002029AF">
              <w:rPr>
                <w:b/>
              </w:rPr>
              <w:t xml:space="preserve"> </w:t>
            </w:r>
            <w:r w:rsidRPr="002029AF">
              <w:rPr>
                <w:b/>
              </w:rPr>
              <w:t>output</w:t>
            </w:r>
            <w:r w:rsidR="000A5329" w:rsidRPr="002029AF">
              <w:rPr>
                <w:b/>
              </w:rPr>
              <w:t xml:space="preserve"> </w:t>
            </w:r>
            <w:r w:rsidRPr="002029AF">
              <w:rPr>
                <w:b/>
              </w:rPr>
              <w:t>cost</w:t>
            </w:r>
          </w:p>
        </w:tc>
        <w:tc>
          <w:tcPr>
            <w:tcW w:w="1016" w:type="dxa"/>
            <w:gridSpan w:val="3"/>
            <w:hideMark/>
          </w:tcPr>
          <w:p w14:paraId="7B618014" w14:textId="06F3FE82" w:rsidR="00C15C65" w:rsidRPr="002029AF" w:rsidRDefault="00C15C65" w:rsidP="00C40F5D">
            <w:pPr>
              <w:pStyle w:val="ARtabletext"/>
              <w:rPr>
                <w:b/>
              </w:rPr>
            </w:pPr>
            <w:r w:rsidRPr="002029AF">
              <w:rPr>
                <w:b/>
              </w:rPr>
              <w:t>$</w:t>
            </w:r>
            <w:r w:rsidR="000A5329" w:rsidRPr="002029AF">
              <w:rPr>
                <w:b/>
              </w:rPr>
              <w:t xml:space="preserve"> </w:t>
            </w:r>
            <w:r w:rsidRPr="002029AF">
              <w:rPr>
                <w:b/>
              </w:rPr>
              <w:t>million</w:t>
            </w:r>
          </w:p>
        </w:tc>
        <w:tc>
          <w:tcPr>
            <w:tcW w:w="1015" w:type="dxa"/>
            <w:gridSpan w:val="3"/>
          </w:tcPr>
          <w:p w14:paraId="667B6996" w14:textId="77777777" w:rsidR="00C15C65" w:rsidRPr="002029AF" w:rsidRDefault="00C15C65" w:rsidP="00036F13">
            <w:pPr>
              <w:pStyle w:val="ARtabletextrightbold"/>
            </w:pPr>
            <w:r w:rsidRPr="002029AF">
              <w:t>227.0</w:t>
            </w:r>
          </w:p>
        </w:tc>
        <w:tc>
          <w:tcPr>
            <w:tcW w:w="1023" w:type="dxa"/>
            <w:gridSpan w:val="2"/>
          </w:tcPr>
          <w:p w14:paraId="278E961B" w14:textId="77777777" w:rsidR="00C15C65" w:rsidRPr="002029AF" w:rsidRDefault="00C15C65" w:rsidP="00036F13">
            <w:pPr>
              <w:pStyle w:val="ARtabletextrightbold"/>
            </w:pPr>
            <w:r w:rsidRPr="002029AF">
              <w:t>235.4</w:t>
            </w:r>
          </w:p>
        </w:tc>
        <w:tc>
          <w:tcPr>
            <w:tcW w:w="1057" w:type="dxa"/>
            <w:gridSpan w:val="2"/>
          </w:tcPr>
          <w:p w14:paraId="242151E4" w14:textId="77777777" w:rsidR="00C15C65" w:rsidRPr="002029AF" w:rsidRDefault="00C15C65" w:rsidP="00036F13">
            <w:pPr>
              <w:pStyle w:val="ARtabletextrightbold"/>
            </w:pPr>
            <w:r w:rsidRPr="002029AF">
              <w:t>3.7</w:t>
            </w:r>
          </w:p>
        </w:tc>
        <w:tc>
          <w:tcPr>
            <w:tcW w:w="803" w:type="dxa"/>
            <w:gridSpan w:val="2"/>
          </w:tcPr>
          <w:p w14:paraId="2D4F67A1" w14:textId="77777777" w:rsidR="00C15C65" w:rsidRPr="002029AF" w:rsidRDefault="00C15C65" w:rsidP="00C40F5D">
            <w:pPr>
              <w:pStyle w:val="ARtabletext"/>
              <w:rPr>
                <w:b/>
              </w:rPr>
            </w:pPr>
          </w:p>
        </w:tc>
      </w:tr>
      <w:tr w:rsidR="00C15C65" w:rsidRPr="002029AF" w14:paraId="438710C5" w14:textId="77777777" w:rsidTr="005B58F0">
        <w:trPr>
          <w:cantSplit/>
        </w:trPr>
        <w:tc>
          <w:tcPr>
            <w:tcW w:w="9639" w:type="dxa"/>
            <w:gridSpan w:val="13"/>
            <w:tcBorders>
              <w:top w:val="nil"/>
              <w:left w:val="nil"/>
              <w:bottom w:val="single" w:sz="4" w:space="0" w:color="auto"/>
              <w:right w:val="nil"/>
            </w:tcBorders>
            <w:noWrap/>
          </w:tcPr>
          <w:p w14:paraId="7CD99DC9" w14:textId="30D60E16" w:rsidR="00C15C65" w:rsidRPr="002029AF" w:rsidRDefault="00C15C65" w:rsidP="002C5190">
            <w:pPr>
              <w:pStyle w:val="ARtablenoteindent"/>
            </w:pPr>
            <w:r w:rsidRPr="002029AF">
              <w:t>The</w:t>
            </w:r>
            <w:r w:rsidR="000A5329" w:rsidRPr="002029AF">
              <w:t xml:space="preserve"> </w:t>
            </w:r>
            <w:r w:rsidRPr="002029AF">
              <w:t>201</w:t>
            </w:r>
            <w:r w:rsidR="00DB53E6" w:rsidRPr="002029AF">
              <w:t>9–</w:t>
            </w:r>
            <w:r w:rsidRPr="002029AF">
              <w:t>20</w:t>
            </w:r>
            <w:r w:rsidR="000A5329" w:rsidRPr="002029AF">
              <w:t xml:space="preserve"> </w:t>
            </w:r>
            <w:r w:rsidRPr="002029AF">
              <w:t>actual</w:t>
            </w:r>
            <w:r w:rsidR="000A5329" w:rsidRPr="002029AF">
              <w:t xml:space="preserve"> </w:t>
            </w:r>
            <w:r w:rsidRPr="002029AF">
              <w:t>outcome</w:t>
            </w:r>
            <w:r w:rsidR="000A5329" w:rsidRPr="002029AF">
              <w:t xml:space="preserve"> </w:t>
            </w:r>
            <w:r w:rsidRPr="002029AF">
              <w:t>primarily</w:t>
            </w:r>
            <w:r w:rsidR="000A5329" w:rsidRPr="002029AF">
              <w:t xml:space="preserve"> </w:t>
            </w:r>
            <w:r w:rsidRPr="002029AF">
              <w:t>reflects</w:t>
            </w:r>
            <w:r w:rsidR="000A5329" w:rsidRPr="002029AF">
              <w:t xml:space="preserve"> </w:t>
            </w:r>
            <w:r w:rsidRPr="002029AF">
              <w:t>an</w:t>
            </w:r>
            <w:r w:rsidR="000A5329" w:rsidRPr="002029AF">
              <w:t xml:space="preserve"> </w:t>
            </w:r>
            <w:r w:rsidRPr="002029AF">
              <w:t>output</w:t>
            </w:r>
            <w:r w:rsidR="000A5329" w:rsidRPr="002029AF">
              <w:t xml:space="preserve"> </w:t>
            </w:r>
            <w:r w:rsidRPr="002029AF">
              <w:t>realignment</w:t>
            </w:r>
            <w:r w:rsidR="000A5329" w:rsidRPr="002029AF">
              <w:t xml:space="preserve"> </w:t>
            </w:r>
            <w:r w:rsidRPr="002029AF">
              <w:t>to</w:t>
            </w:r>
            <w:r w:rsidR="000A5329" w:rsidRPr="002029AF">
              <w:t xml:space="preserve"> </w:t>
            </w:r>
            <w:r w:rsidRPr="002029AF">
              <w:t>Drug</w:t>
            </w:r>
            <w:r w:rsidR="000A5329" w:rsidRPr="002029AF">
              <w:t xml:space="preserve"> </w:t>
            </w:r>
            <w:r w:rsidRPr="002029AF">
              <w:t>Treatment</w:t>
            </w:r>
            <w:r w:rsidR="000A5329" w:rsidRPr="002029AF">
              <w:t xml:space="preserve"> </w:t>
            </w:r>
            <w:r w:rsidRPr="002029AF">
              <w:t>and</w:t>
            </w:r>
            <w:r w:rsidR="000A5329" w:rsidRPr="002029AF">
              <w:t xml:space="preserve"> </w:t>
            </w:r>
            <w:r w:rsidRPr="002029AF">
              <w:t>Rehabilitation</w:t>
            </w:r>
            <w:r w:rsidR="000A5329" w:rsidRPr="002029AF">
              <w:t xml:space="preserve"> </w:t>
            </w:r>
            <w:r w:rsidRPr="002029AF">
              <w:t>from</w:t>
            </w:r>
            <w:r w:rsidR="000A5329" w:rsidRPr="002029AF">
              <w:t xml:space="preserve"> </w:t>
            </w:r>
            <w:r w:rsidRPr="002029AF">
              <w:t>Drug</w:t>
            </w:r>
            <w:r w:rsidR="000A5329" w:rsidRPr="002029AF">
              <w:t xml:space="preserve"> </w:t>
            </w:r>
            <w:r w:rsidRPr="002029AF">
              <w:t>Prevention</w:t>
            </w:r>
            <w:r w:rsidR="000A5329" w:rsidRPr="002029AF">
              <w:t xml:space="preserve"> </w:t>
            </w:r>
            <w:r w:rsidRPr="002029AF">
              <w:t>and</w:t>
            </w:r>
            <w:r w:rsidR="000A5329" w:rsidRPr="002029AF">
              <w:t xml:space="preserve"> </w:t>
            </w:r>
            <w:r w:rsidRPr="002029AF">
              <w:t>Control.</w:t>
            </w:r>
          </w:p>
        </w:tc>
      </w:tr>
    </w:tbl>
    <w:p w14:paraId="576E0ABB" w14:textId="77777777" w:rsidR="006D5287" w:rsidRPr="002029AF" w:rsidRDefault="006D5287" w:rsidP="006D5287">
      <w:pPr>
        <w:pStyle w:val="ARbody"/>
      </w:pPr>
      <w:r w:rsidRPr="002029AF">
        <w:br w:type="page"/>
      </w:r>
    </w:p>
    <w:p w14:paraId="2F9B2D02" w14:textId="03866F72" w:rsidR="00C15C65" w:rsidRPr="002029AF" w:rsidRDefault="00C15C65" w:rsidP="00205D6E">
      <w:pPr>
        <w:pStyle w:val="Heading2"/>
      </w:pPr>
      <w:r w:rsidRPr="002029AF">
        <w:lastRenderedPageBreak/>
        <w:t>Mental</w:t>
      </w:r>
      <w:r w:rsidR="000A5329" w:rsidRPr="002029AF">
        <w:t xml:space="preserve"> </w:t>
      </w:r>
      <w:r w:rsidRPr="002029AF">
        <w:t>Health</w:t>
      </w:r>
    </w:p>
    <w:p w14:paraId="6F1A7E97" w14:textId="5D9572C5" w:rsidR="00C15C65" w:rsidRPr="002029AF" w:rsidRDefault="00C15C65" w:rsidP="00C40F5D">
      <w:pPr>
        <w:pStyle w:val="ARbody"/>
      </w:pPr>
      <w:r w:rsidRPr="002029AF">
        <w:t>This</w:t>
      </w:r>
      <w:r w:rsidR="000A5329" w:rsidRPr="002029AF">
        <w:t xml:space="preserve"> </w:t>
      </w:r>
      <w:r w:rsidRPr="002029AF">
        <w:t>output</w:t>
      </w:r>
      <w:r w:rsidR="000A5329" w:rsidRPr="002029AF">
        <w:t xml:space="preserve"> </w:t>
      </w:r>
      <w:r w:rsidRPr="002029AF">
        <w:t>includes</w:t>
      </w:r>
      <w:r w:rsidR="000A5329" w:rsidRPr="002029AF">
        <w:t xml:space="preserve"> </w:t>
      </w:r>
      <w:r w:rsidRPr="002029AF">
        <w:t>the</w:t>
      </w:r>
      <w:r w:rsidR="000A5329" w:rsidRPr="002029AF">
        <w:t xml:space="preserve"> </w:t>
      </w:r>
      <w:r w:rsidRPr="002029AF">
        <w:t>provision</w:t>
      </w:r>
      <w:r w:rsidR="000A5329" w:rsidRPr="002029AF">
        <w:t xml:space="preserve"> </w:t>
      </w:r>
      <w:r w:rsidRPr="002029AF">
        <w:t>of</w:t>
      </w:r>
      <w:r w:rsidR="000A5329" w:rsidRPr="002029AF">
        <w:t xml:space="preserve"> </w:t>
      </w:r>
      <w:r w:rsidRPr="002029AF">
        <w:t>a</w:t>
      </w:r>
      <w:r w:rsidR="000A5329" w:rsidRPr="002029AF">
        <w:t xml:space="preserve"> </w:t>
      </w:r>
      <w:r w:rsidRPr="002029AF">
        <w:t>range</w:t>
      </w:r>
      <w:r w:rsidR="000A5329" w:rsidRPr="002029AF">
        <w:t xml:space="preserve"> </w:t>
      </w:r>
      <w:r w:rsidRPr="002029AF">
        <w:t>of</w:t>
      </w:r>
      <w:r w:rsidR="000A5329" w:rsidRPr="002029AF">
        <w:t xml:space="preserve"> </w:t>
      </w:r>
      <w:r w:rsidRPr="002029AF">
        <w:t>inpatient,</w:t>
      </w:r>
      <w:r w:rsidR="000A5329" w:rsidRPr="002029AF">
        <w:t xml:space="preserve"> </w:t>
      </w:r>
      <w:r w:rsidRPr="002029AF">
        <w:t>community-based</w:t>
      </w:r>
      <w:r w:rsidR="000A5329" w:rsidRPr="002029AF">
        <w:t xml:space="preserve"> </w:t>
      </w:r>
      <w:r w:rsidRPr="002029AF">
        <w:t>residential</w:t>
      </w:r>
      <w:r w:rsidR="000A5329" w:rsidRPr="002029AF">
        <w:t xml:space="preserve"> </w:t>
      </w:r>
      <w:r w:rsidRPr="002029AF">
        <w:t>and</w:t>
      </w:r>
      <w:r w:rsidR="000A5329" w:rsidRPr="002029AF">
        <w:t xml:space="preserve"> </w:t>
      </w:r>
      <w:r w:rsidRPr="002029AF">
        <w:t>ambulatory</w:t>
      </w:r>
      <w:r w:rsidR="000A5329" w:rsidRPr="002029AF">
        <w:t xml:space="preserve"> </w:t>
      </w:r>
      <w:r w:rsidRPr="002029AF">
        <w:t>services</w:t>
      </w:r>
      <w:r w:rsidR="000A5329" w:rsidRPr="002029AF">
        <w:t xml:space="preserve"> </w:t>
      </w:r>
      <w:r w:rsidRPr="002029AF">
        <w:t>that</w:t>
      </w:r>
      <w:r w:rsidR="000A5329" w:rsidRPr="002029AF">
        <w:t xml:space="preserve"> </w:t>
      </w:r>
      <w:r w:rsidRPr="002029AF">
        <w:t>target</w:t>
      </w:r>
      <w:r w:rsidR="000A5329" w:rsidRPr="002029AF">
        <w:t xml:space="preserve"> </w:t>
      </w:r>
      <w:r w:rsidRPr="002029AF">
        <w:t>and</w:t>
      </w:r>
      <w:r w:rsidR="000A5329" w:rsidRPr="002029AF">
        <w:t xml:space="preserve"> </w:t>
      </w:r>
      <w:r w:rsidRPr="002029AF">
        <w:t>support</w:t>
      </w:r>
      <w:r w:rsidR="000A5329" w:rsidRPr="002029AF">
        <w:t xml:space="preserve"> </w:t>
      </w:r>
      <w:r w:rsidRPr="002029AF">
        <w:t>people</w:t>
      </w:r>
      <w:r w:rsidR="000A5329" w:rsidRPr="002029AF">
        <w:t xml:space="preserve"> </w:t>
      </w:r>
      <w:r w:rsidRPr="002029AF">
        <w:t>with</w:t>
      </w:r>
      <w:r w:rsidR="000A5329" w:rsidRPr="002029AF">
        <w:t xml:space="preserve"> </w:t>
      </w:r>
      <w:r w:rsidRPr="002029AF">
        <w:t>a</w:t>
      </w:r>
      <w:r w:rsidR="000A5329" w:rsidRPr="002029AF">
        <w:t xml:space="preserve"> </w:t>
      </w:r>
      <w:r w:rsidRPr="002029AF">
        <w:t>mental</w:t>
      </w:r>
      <w:r w:rsidR="000A5329" w:rsidRPr="002029AF">
        <w:t xml:space="preserve"> </w:t>
      </w:r>
      <w:r w:rsidRPr="002029AF">
        <w:t>illness</w:t>
      </w:r>
      <w:r w:rsidR="000A5329" w:rsidRPr="002029AF">
        <w:t xml:space="preserve"> </w:t>
      </w:r>
      <w:r w:rsidRPr="002029AF">
        <w:t>and</w:t>
      </w:r>
      <w:r w:rsidR="000A5329" w:rsidRPr="002029AF">
        <w:t xml:space="preserve"> </w:t>
      </w:r>
      <w:r w:rsidRPr="002029AF">
        <w:t>their</w:t>
      </w:r>
      <w:r w:rsidR="000A5329" w:rsidRPr="002029AF">
        <w:t xml:space="preserve"> </w:t>
      </w:r>
      <w:r w:rsidRPr="002029AF">
        <w:t>families</w:t>
      </w:r>
      <w:r w:rsidR="000A5329" w:rsidRPr="002029AF">
        <w:t xml:space="preserve"> </w:t>
      </w:r>
      <w:r w:rsidRPr="002029AF">
        <w:t>and</w:t>
      </w:r>
      <w:r w:rsidR="000A5329" w:rsidRPr="002029AF">
        <w:t xml:space="preserve"> </w:t>
      </w:r>
      <w:r w:rsidRPr="002029AF">
        <w:t>carers,</w:t>
      </w:r>
      <w:r w:rsidR="000A5329" w:rsidRPr="002029AF">
        <w:t xml:space="preserve"> </w:t>
      </w:r>
      <w:r w:rsidRPr="002029AF">
        <w:t>identifying</w:t>
      </w:r>
      <w:r w:rsidR="000A5329" w:rsidRPr="002029AF">
        <w:t xml:space="preserve"> </w:t>
      </w:r>
      <w:r w:rsidRPr="002029AF">
        <w:t>mental</w:t>
      </w:r>
      <w:r w:rsidR="000A5329" w:rsidRPr="002029AF">
        <w:t xml:space="preserve"> </w:t>
      </w:r>
      <w:r w:rsidRPr="002029AF">
        <w:t>illness</w:t>
      </w:r>
      <w:r w:rsidR="000A5329" w:rsidRPr="002029AF">
        <w:t xml:space="preserve"> </w:t>
      </w:r>
      <w:r w:rsidRPr="002029AF">
        <w:t>early,</w:t>
      </w:r>
      <w:r w:rsidR="000A5329" w:rsidRPr="002029AF">
        <w:t xml:space="preserve"> </w:t>
      </w:r>
      <w:r w:rsidRPr="002029AF">
        <w:t>and</w:t>
      </w:r>
      <w:r w:rsidR="000A5329" w:rsidRPr="002029AF">
        <w:t xml:space="preserve"> </w:t>
      </w:r>
      <w:r w:rsidRPr="002029AF">
        <w:t>seek</w:t>
      </w:r>
      <w:r w:rsidR="000A5329" w:rsidRPr="002029AF">
        <w:t xml:space="preserve"> </w:t>
      </w:r>
      <w:r w:rsidRPr="002029AF">
        <w:t>to</w:t>
      </w:r>
      <w:r w:rsidR="000A5329" w:rsidRPr="002029AF">
        <w:t xml:space="preserve"> </w:t>
      </w:r>
      <w:r w:rsidRPr="002029AF">
        <w:t>reduce</w:t>
      </w:r>
      <w:r w:rsidR="000A5329" w:rsidRPr="002029AF">
        <w:t xml:space="preserve"> </w:t>
      </w:r>
      <w:r w:rsidRPr="002029AF">
        <w:t>its</w:t>
      </w:r>
      <w:r w:rsidR="000A5329" w:rsidRPr="002029AF">
        <w:t xml:space="preserve"> </w:t>
      </w:r>
      <w:r w:rsidRPr="002029AF">
        <w:t>impact</w:t>
      </w:r>
      <w:r w:rsidR="000A5329" w:rsidRPr="002029AF">
        <w:t xml:space="preserve"> </w:t>
      </w:r>
      <w:r w:rsidRPr="002029AF">
        <w:t>through</w:t>
      </w:r>
      <w:r w:rsidR="000A5329" w:rsidRPr="002029AF">
        <w:t xml:space="preserve"> </w:t>
      </w:r>
      <w:r w:rsidRPr="002029AF">
        <w:t>providing</w:t>
      </w:r>
      <w:r w:rsidR="000A5329" w:rsidRPr="002029AF">
        <w:t xml:space="preserve"> </w:t>
      </w:r>
      <w:r w:rsidRPr="002029AF">
        <w:t>timely</w:t>
      </w:r>
      <w:r w:rsidR="000A5329" w:rsidRPr="002029AF">
        <w:t xml:space="preserve"> </w:t>
      </w:r>
      <w:r w:rsidRPr="002029AF">
        <w:t>acute</w:t>
      </w:r>
      <w:r w:rsidR="000A5329" w:rsidRPr="002029AF">
        <w:t xml:space="preserve"> </w:t>
      </w:r>
      <w:r w:rsidRPr="002029AF">
        <w:t>care</w:t>
      </w:r>
      <w:r w:rsidR="000A5329" w:rsidRPr="002029AF">
        <w:t xml:space="preserve"> </w:t>
      </w:r>
      <w:r w:rsidRPr="002029AF">
        <w:t>services</w:t>
      </w:r>
      <w:r w:rsidR="000A5329" w:rsidRPr="002029AF">
        <w:t xml:space="preserve"> </w:t>
      </w:r>
      <w:r w:rsidRPr="002029AF">
        <w:t>and</w:t>
      </w:r>
      <w:r w:rsidR="000A5329" w:rsidRPr="002029AF">
        <w:t xml:space="preserve"> </w:t>
      </w:r>
      <w:r w:rsidRPr="002029AF">
        <w:t>appropriate</w:t>
      </w:r>
      <w:r w:rsidR="000A5329" w:rsidRPr="002029AF">
        <w:t xml:space="preserve"> </w:t>
      </w:r>
      <w:r w:rsidRPr="002029AF">
        <w:t>longer-term</w:t>
      </w:r>
      <w:r w:rsidR="000A5329" w:rsidRPr="002029AF">
        <w:t xml:space="preserve"> </w:t>
      </w:r>
      <w:r w:rsidRPr="002029AF">
        <w:t>accommodation</w:t>
      </w:r>
      <w:r w:rsidR="000A5329" w:rsidRPr="002029AF">
        <w:t xml:space="preserve"> </w:t>
      </w:r>
      <w:r w:rsidRPr="002029AF">
        <w:t>and</w:t>
      </w:r>
      <w:r w:rsidR="000A5329" w:rsidRPr="002029AF">
        <w:t xml:space="preserve"> </w:t>
      </w:r>
      <w:r w:rsidRPr="002029AF">
        <w:t>support</w:t>
      </w:r>
      <w:r w:rsidR="000A5329" w:rsidRPr="002029AF">
        <w:t xml:space="preserve"> </w:t>
      </w:r>
      <w:r w:rsidRPr="002029AF">
        <w:t>for</w:t>
      </w:r>
      <w:r w:rsidR="000A5329" w:rsidRPr="002029AF">
        <w:t xml:space="preserve"> </w:t>
      </w:r>
      <w:r w:rsidRPr="002029AF">
        <w:t>those</w:t>
      </w:r>
      <w:r w:rsidR="000A5329" w:rsidRPr="002029AF">
        <w:t xml:space="preserve"> </w:t>
      </w:r>
      <w:r w:rsidRPr="002029AF">
        <w:t>living</w:t>
      </w:r>
      <w:r w:rsidR="000A5329" w:rsidRPr="002029AF">
        <w:t xml:space="preserve"> </w:t>
      </w:r>
      <w:r w:rsidRPr="002029AF">
        <w:t>with</w:t>
      </w:r>
      <w:r w:rsidR="000A5329" w:rsidRPr="002029AF">
        <w:t xml:space="preserve"> </w:t>
      </w:r>
      <w:r w:rsidRPr="002029AF">
        <w:t>a</w:t>
      </w:r>
      <w:r w:rsidR="000A5329" w:rsidRPr="002029AF">
        <w:t xml:space="preserve"> </w:t>
      </w:r>
      <w:r w:rsidRPr="002029AF">
        <w:t>mental</w:t>
      </w:r>
      <w:r w:rsidR="000A5329" w:rsidRPr="002029AF">
        <w:t xml:space="preserve"> </w:t>
      </w:r>
      <w:r w:rsidRPr="002029AF">
        <w:t>illness.</w:t>
      </w:r>
    </w:p>
    <w:tbl>
      <w:tblPr>
        <w:tblW w:w="9639" w:type="dxa"/>
        <w:tblLayout w:type="fixed"/>
        <w:tblCellMar>
          <w:left w:w="0" w:type="dxa"/>
        </w:tblCellMar>
        <w:tblLook w:val="04A0" w:firstRow="1" w:lastRow="0" w:firstColumn="1" w:lastColumn="0" w:noHBand="0" w:noVBand="1"/>
      </w:tblPr>
      <w:tblGrid>
        <w:gridCol w:w="4743"/>
        <w:gridCol w:w="1022"/>
        <w:gridCol w:w="1019"/>
        <w:gridCol w:w="1021"/>
        <w:gridCol w:w="1032"/>
        <w:gridCol w:w="794"/>
        <w:gridCol w:w="8"/>
      </w:tblGrid>
      <w:tr w:rsidR="005B58F0" w:rsidRPr="002029AF" w14:paraId="1D4A201C" w14:textId="77777777" w:rsidTr="00CB3B6B">
        <w:trPr>
          <w:cantSplit/>
          <w:tblHeader/>
        </w:trPr>
        <w:tc>
          <w:tcPr>
            <w:tcW w:w="4743" w:type="dxa"/>
            <w:tcBorders>
              <w:top w:val="nil"/>
              <w:left w:val="nil"/>
              <w:bottom w:val="single" w:sz="4" w:space="0" w:color="auto"/>
              <w:right w:val="nil"/>
            </w:tcBorders>
            <w:vAlign w:val="bottom"/>
            <w:hideMark/>
          </w:tcPr>
          <w:p w14:paraId="1B1CA430" w14:textId="226E9D32" w:rsidR="005B58F0" w:rsidRPr="002029AF" w:rsidRDefault="005B58F0" w:rsidP="0014376C">
            <w:pPr>
              <w:pStyle w:val="ARtablecolhead"/>
            </w:pPr>
            <w:r w:rsidRPr="002029AF">
              <w:t>Performance</w:t>
            </w:r>
            <w:r w:rsidR="000A5329" w:rsidRPr="002029AF">
              <w:t xml:space="preserve"> </w:t>
            </w:r>
            <w:r w:rsidRPr="002029AF">
              <w:t>measures</w:t>
            </w:r>
          </w:p>
        </w:tc>
        <w:tc>
          <w:tcPr>
            <w:tcW w:w="1022" w:type="dxa"/>
            <w:tcBorders>
              <w:top w:val="nil"/>
              <w:left w:val="nil"/>
              <w:bottom w:val="single" w:sz="4" w:space="0" w:color="auto"/>
              <w:right w:val="nil"/>
            </w:tcBorders>
            <w:vAlign w:val="bottom"/>
            <w:hideMark/>
          </w:tcPr>
          <w:p w14:paraId="34D3855A" w14:textId="0BB1A140" w:rsidR="005B58F0" w:rsidRPr="002029AF" w:rsidRDefault="005B58F0" w:rsidP="0014376C">
            <w:pPr>
              <w:pStyle w:val="ARtablecolhead"/>
            </w:pPr>
            <w:r w:rsidRPr="002029AF">
              <w:t>Unit</w:t>
            </w:r>
            <w:r w:rsidR="000A5329" w:rsidRPr="002029AF">
              <w:t xml:space="preserve"> </w:t>
            </w:r>
            <w:r w:rsidRPr="002029AF">
              <w:t>of</w:t>
            </w:r>
            <w:r w:rsidR="000A5329" w:rsidRPr="002029AF">
              <w:t xml:space="preserve"> </w:t>
            </w:r>
            <w:r w:rsidRPr="002029AF">
              <w:t>measure</w:t>
            </w:r>
          </w:p>
        </w:tc>
        <w:tc>
          <w:tcPr>
            <w:tcW w:w="1019" w:type="dxa"/>
            <w:tcBorders>
              <w:top w:val="nil"/>
              <w:left w:val="nil"/>
              <w:bottom w:val="single" w:sz="4" w:space="0" w:color="auto"/>
              <w:right w:val="nil"/>
            </w:tcBorders>
            <w:vAlign w:val="bottom"/>
            <w:hideMark/>
          </w:tcPr>
          <w:p w14:paraId="31AFA536" w14:textId="32417FDD" w:rsidR="005B58F0" w:rsidRPr="002029AF" w:rsidRDefault="005B58F0" w:rsidP="0014376C">
            <w:pPr>
              <w:pStyle w:val="ARtablecolheadright"/>
            </w:pPr>
            <w:r w:rsidRPr="002029AF">
              <w:t>2019–20</w:t>
            </w:r>
            <w:r w:rsidR="000A5329" w:rsidRPr="002029AF">
              <w:t xml:space="preserve"> </w:t>
            </w:r>
            <w:r w:rsidRPr="002029AF">
              <w:t>target</w:t>
            </w:r>
          </w:p>
        </w:tc>
        <w:tc>
          <w:tcPr>
            <w:tcW w:w="1021" w:type="dxa"/>
            <w:tcBorders>
              <w:top w:val="nil"/>
              <w:left w:val="nil"/>
              <w:bottom w:val="single" w:sz="4" w:space="0" w:color="auto"/>
              <w:right w:val="nil"/>
            </w:tcBorders>
            <w:vAlign w:val="bottom"/>
            <w:hideMark/>
          </w:tcPr>
          <w:p w14:paraId="3A61E873" w14:textId="5EBEAC8E" w:rsidR="005B58F0" w:rsidRPr="002029AF" w:rsidRDefault="005B58F0" w:rsidP="0014376C">
            <w:pPr>
              <w:pStyle w:val="ARtablecolheadright"/>
            </w:pPr>
            <w:r w:rsidRPr="002029AF">
              <w:t>2019–20</w:t>
            </w:r>
            <w:r w:rsidR="000A5329" w:rsidRPr="002029AF">
              <w:t xml:space="preserve"> </w:t>
            </w:r>
            <w:r w:rsidRPr="002029AF">
              <w:t>actual</w:t>
            </w:r>
          </w:p>
        </w:tc>
        <w:tc>
          <w:tcPr>
            <w:tcW w:w="1032" w:type="dxa"/>
            <w:tcBorders>
              <w:top w:val="nil"/>
              <w:left w:val="nil"/>
              <w:bottom w:val="single" w:sz="4" w:space="0" w:color="auto"/>
              <w:right w:val="nil"/>
            </w:tcBorders>
            <w:vAlign w:val="bottom"/>
            <w:hideMark/>
          </w:tcPr>
          <w:p w14:paraId="591F69D4" w14:textId="054522D3" w:rsidR="005B58F0" w:rsidRPr="002029AF" w:rsidRDefault="005B58F0" w:rsidP="0014376C">
            <w:pPr>
              <w:pStyle w:val="ARtablecolheadright"/>
            </w:pPr>
            <w:r w:rsidRPr="002029AF">
              <w:t>Variation</w:t>
            </w:r>
            <w:r w:rsidR="000A5329" w:rsidRPr="002029AF">
              <w:t xml:space="preserve"> </w:t>
            </w:r>
            <w:r w:rsidRPr="002029AF">
              <w:t>(%)</w:t>
            </w:r>
          </w:p>
        </w:tc>
        <w:tc>
          <w:tcPr>
            <w:tcW w:w="802" w:type="dxa"/>
            <w:gridSpan w:val="2"/>
            <w:tcBorders>
              <w:top w:val="nil"/>
              <w:left w:val="nil"/>
              <w:bottom w:val="single" w:sz="4" w:space="0" w:color="auto"/>
              <w:right w:val="nil"/>
            </w:tcBorders>
            <w:vAlign w:val="bottom"/>
            <w:hideMark/>
          </w:tcPr>
          <w:p w14:paraId="252BD2FE" w14:textId="77777777" w:rsidR="005B58F0" w:rsidRPr="002029AF" w:rsidRDefault="005B58F0" w:rsidP="000D3C3F">
            <w:pPr>
              <w:pStyle w:val="ARtablecolheadcentre"/>
            </w:pPr>
            <w:r w:rsidRPr="002029AF">
              <w:t>Result</w:t>
            </w:r>
          </w:p>
        </w:tc>
      </w:tr>
      <w:tr w:rsidR="00C15C65" w:rsidRPr="002029AF" w14:paraId="1A4ED897" w14:textId="77777777" w:rsidTr="005B58F0">
        <w:trPr>
          <w:cantSplit/>
        </w:trPr>
        <w:tc>
          <w:tcPr>
            <w:tcW w:w="9639" w:type="dxa"/>
            <w:gridSpan w:val="7"/>
            <w:tcBorders>
              <w:top w:val="single" w:sz="4" w:space="0" w:color="auto"/>
              <w:left w:val="nil"/>
              <w:bottom w:val="single" w:sz="4" w:space="0" w:color="auto"/>
              <w:right w:val="nil"/>
            </w:tcBorders>
            <w:hideMark/>
          </w:tcPr>
          <w:p w14:paraId="5369BB9A" w14:textId="18AB0BD2" w:rsidR="00C15C65" w:rsidRPr="002029AF" w:rsidRDefault="00C15C65" w:rsidP="007666A5">
            <w:pPr>
              <w:pStyle w:val="ARtablesubhead"/>
            </w:pPr>
            <w:r w:rsidRPr="002029AF">
              <w:t>Clinical</w:t>
            </w:r>
            <w:r w:rsidR="000A5329" w:rsidRPr="002029AF">
              <w:t xml:space="preserve"> </w:t>
            </w:r>
            <w:r w:rsidRPr="002029AF">
              <w:t>Care</w:t>
            </w:r>
          </w:p>
        </w:tc>
      </w:tr>
      <w:tr w:rsidR="00C15C65" w:rsidRPr="002029AF" w14:paraId="3E5021D0" w14:textId="77777777" w:rsidTr="005B58F0">
        <w:trPr>
          <w:cantSplit/>
        </w:trPr>
        <w:tc>
          <w:tcPr>
            <w:tcW w:w="9639" w:type="dxa"/>
            <w:gridSpan w:val="7"/>
            <w:tcBorders>
              <w:top w:val="single" w:sz="4" w:space="0" w:color="auto"/>
              <w:left w:val="nil"/>
              <w:bottom w:val="nil"/>
              <w:right w:val="nil"/>
            </w:tcBorders>
            <w:hideMark/>
          </w:tcPr>
          <w:p w14:paraId="5DD7E3EF" w14:textId="77777777" w:rsidR="00C15C65" w:rsidRPr="002029AF" w:rsidRDefault="00C15C65" w:rsidP="00D96AFD">
            <w:pPr>
              <w:pStyle w:val="ARtablegreybold"/>
            </w:pPr>
            <w:r w:rsidRPr="002029AF">
              <w:t>Quantity</w:t>
            </w:r>
          </w:p>
        </w:tc>
      </w:tr>
      <w:tr w:rsidR="00C15C65" w:rsidRPr="002029AF" w14:paraId="5605C033" w14:textId="77777777" w:rsidTr="00CB3B6B">
        <w:trPr>
          <w:gridAfter w:val="1"/>
          <w:wAfter w:w="8" w:type="dxa"/>
          <w:cantSplit/>
        </w:trPr>
        <w:tc>
          <w:tcPr>
            <w:tcW w:w="4743" w:type="dxa"/>
            <w:tcBorders>
              <w:bottom w:val="single" w:sz="4" w:space="0" w:color="BFBFBF"/>
            </w:tcBorders>
            <w:shd w:val="clear" w:color="auto" w:fill="auto"/>
            <w:hideMark/>
          </w:tcPr>
          <w:p w14:paraId="232E082C" w14:textId="08FBBA18" w:rsidR="00C15C65" w:rsidRPr="002029AF" w:rsidRDefault="00C15C65" w:rsidP="00C40F5D">
            <w:pPr>
              <w:pStyle w:val="ARtabletext"/>
            </w:pPr>
            <w:r w:rsidRPr="002029AF">
              <w:t>Clinical</w:t>
            </w:r>
            <w:r w:rsidR="000A5329" w:rsidRPr="002029AF">
              <w:t xml:space="preserve"> </w:t>
            </w:r>
            <w:r w:rsidRPr="002029AF">
              <w:t>inpatient</w:t>
            </w:r>
            <w:r w:rsidR="000A5329" w:rsidRPr="002029AF">
              <w:t xml:space="preserve"> </w:t>
            </w:r>
            <w:r w:rsidRPr="002029AF">
              <w:t>separations</w:t>
            </w:r>
          </w:p>
        </w:tc>
        <w:tc>
          <w:tcPr>
            <w:tcW w:w="1022" w:type="dxa"/>
            <w:tcBorders>
              <w:bottom w:val="single" w:sz="4" w:space="0" w:color="BFBFBF"/>
            </w:tcBorders>
            <w:shd w:val="clear" w:color="auto" w:fill="auto"/>
            <w:hideMark/>
          </w:tcPr>
          <w:p w14:paraId="37FC5122" w14:textId="77777777" w:rsidR="00C15C65" w:rsidRPr="002029AF" w:rsidRDefault="00C15C65" w:rsidP="00C40F5D">
            <w:pPr>
              <w:pStyle w:val="ARtabletext"/>
            </w:pPr>
            <w:r w:rsidRPr="002029AF">
              <w:t>number</w:t>
            </w:r>
          </w:p>
        </w:tc>
        <w:tc>
          <w:tcPr>
            <w:tcW w:w="1019" w:type="dxa"/>
            <w:tcBorders>
              <w:bottom w:val="single" w:sz="4" w:space="0" w:color="BFBFBF"/>
            </w:tcBorders>
            <w:shd w:val="clear" w:color="auto" w:fill="auto"/>
            <w:hideMark/>
          </w:tcPr>
          <w:p w14:paraId="65C15453" w14:textId="77777777" w:rsidR="00C15C65" w:rsidRPr="002029AF" w:rsidRDefault="00C15C65" w:rsidP="00FD77AA">
            <w:pPr>
              <w:pStyle w:val="ARtabletextright"/>
            </w:pPr>
            <w:r w:rsidRPr="002029AF">
              <w:t>27,000</w:t>
            </w:r>
          </w:p>
        </w:tc>
        <w:tc>
          <w:tcPr>
            <w:tcW w:w="1021" w:type="dxa"/>
            <w:tcBorders>
              <w:bottom w:val="single" w:sz="4" w:space="0" w:color="BFBFBF"/>
            </w:tcBorders>
            <w:shd w:val="clear" w:color="auto" w:fill="auto"/>
            <w:hideMark/>
          </w:tcPr>
          <w:p w14:paraId="44CCDF3A" w14:textId="77777777" w:rsidR="00C15C65" w:rsidRPr="002029AF" w:rsidRDefault="00C15C65" w:rsidP="00FD77AA">
            <w:pPr>
              <w:pStyle w:val="ARtabletextright"/>
            </w:pPr>
            <w:r w:rsidRPr="002029AF">
              <w:t>27,216</w:t>
            </w:r>
          </w:p>
        </w:tc>
        <w:tc>
          <w:tcPr>
            <w:tcW w:w="1032" w:type="dxa"/>
            <w:tcBorders>
              <w:bottom w:val="single" w:sz="4" w:space="0" w:color="BFBFBF"/>
            </w:tcBorders>
            <w:shd w:val="clear" w:color="auto" w:fill="auto"/>
          </w:tcPr>
          <w:p w14:paraId="029C7D34" w14:textId="77777777" w:rsidR="00C15C65" w:rsidRPr="002029AF" w:rsidRDefault="00C15C65" w:rsidP="00FD77AA">
            <w:pPr>
              <w:pStyle w:val="ARtabletextright"/>
            </w:pPr>
            <w:r w:rsidRPr="002029AF">
              <w:t>0.8</w:t>
            </w:r>
          </w:p>
        </w:tc>
        <w:tc>
          <w:tcPr>
            <w:tcW w:w="794" w:type="dxa"/>
            <w:tcBorders>
              <w:bottom w:val="single" w:sz="4" w:space="0" w:color="BFBFBF"/>
            </w:tcBorders>
            <w:shd w:val="clear" w:color="auto" w:fill="auto"/>
            <w:hideMark/>
          </w:tcPr>
          <w:p w14:paraId="487BF228"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2F0048D9" w14:textId="77777777" w:rsidTr="00CB3B6B">
        <w:trPr>
          <w:gridAfter w:val="1"/>
          <w:wAfter w:w="8" w:type="dxa"/>
          <w:cantSplit/>
        </w:trPr>
        <w:tc>
          <w:tcPr>
            <w:tcW w:w="4743" w:type="dxa"/>
            <w:tcBorders>
              <w:top w:val="single" w:sz="4" w:space="0" w:color="BFBFBF"/>
              <w:bottom w:val="single" w:sz="4" w:space="0" w:color="BFBFBF"/>
            </w:tcBorders>
            <w:shd w:val="clear" w:color="auto" w:fill="auto"/>
            <w:hideMark/>
          </w:tcPr>
          <w:p w14:paraId="35AB42F0" w14:textId="46971525" w:rsidR="00C15C65" w:rsidRPr="002029AF" w:rsidRDefault="00C15C65" w:rsidP="00C40F5D">
            <w:pPr>
              <w:pStyle w:val="ARtabletext"/>
            </w:pPr>
            <w:r w:rsidRPr="002029AF">
              <w:t>Total</w:t>
            </w:r>
            <w:r w:rsidR="000A5329" w:rsidRPr="002029AF">
              <w:t xml:space="preserve"> </w:t>
            </w:r>
            <w:r w:rsidRPr="002029AF">
              <w:t>community</w:t>
            </w:r>
            <w:r w:rsidR="000A5329" w:rsidRPr="002029AF">
              <w:t xml:space="preserve"> </w:t>
            </w:r>
            <w:r w:rsidRPr="002029AF">
              <w:t>service</w:t>
            </w:r>
            <w:r w:rsidR="000A5329" w:rsidRPr="002029AF">
              <w:t xml:space="preserve"> </w:t>
            </w:r>
            <w:r w:rsidRPr="002029AF">
              <w:t>hours</w:t>
            </w:r>
          </w:p>
        </w:tc>
        <w:tc>
          <w:tcPr>
            <w:tcW w:w="1022" w:type="dxa"/>
            <w:tcBorders>
              <w:top w:val="single" w:sz="4" w:space="0" w:color="BFBFBF"/>
              <w:bottom w:val="single" w:sz="4" w:space="0" w:color="BFBFBF"/>
            </w:tcBorders>
            <w:shd w:val="clear" w:color="auto" w:fill="auto"/>
            <w:hideMark/>
          </w:tcPr>
          <w:p w14:paraId="0633C5EF" w14:textId="02838B9E" w:rsidR="00C15C65" w:rsidRPr="002029AF" w:rsidRDefault="00C15C65" w:rsidP="00C40F5D">
            <w:pPr>
              <w:pStyle w:val="ARtabletext"/>
            </w:pPr>
            <w:r w:rsidRPr="002029AF">
              <w:t>number</w:t>
            </w:r>
            <w:r w:rsidR="000A5329" w:rsidRPr="002029AF">
              <w:t xml:space="preserve"> </w:t>
            </w:r>
            <w:r w:rsidR="005F298C">
              <w:t>(’000</w:t>
            </w:r>
            <w:r w:rsidRPr="002029AF">
              <w:t>)</w:t>
            </w:r>
          </w:p>
        </w:tc>
        <w:tc>
          <w:tcPr>
            <w:tcW w:w="1019" w:type="dxa"/>
            <w:tcBorders>
              <w:top w:val="single" w:sz="4" w:space="0" w:color="BFBFBF"/>
              <w:bottom w:val="single" w:sz="4" w:space="0" w:color="BFBFBF"/>
            </w:tcBorders>
            <w:shd w:val="clear" w:color="auto" w:fill="auto"/>
            <w:hideMark/>
          </w:tcPr>
          <w:p w14:paraId="0B3D2603" w14:textId="77777777" w:rsidR="00C15C65" w:rsidRPr="002029AF" w:rsidRDefault="00C15C65" w:rsidP="00FD77AA">
            <w:pPr>
              <w:pStyle w:val="ARtabletextright"/>
            </w:pPr>
            <w:r w:rsidRPr="002029AF">
              <w:t>1,403</w:t>
            </w:r>
          </w:p>
        </w:tc>
        <w:tc>
          <w:tcPr>
            <w:tcW w:w="1021" w:type="dxa"/>
            <w:tcBorders>
              <w:top w:val="single" w:sz="4" w:space="0" w:color="BFBFBF"/>
              <w:bottom w:val="single" w:sz="4" w:space="0" w:color="BFBFBF"/>
            </w:tcBorders>
            <w:shd w:val="clear" w:color="auto" w:fill="auto"/>
            <w:hideMark/>
          </w:tcPr>
          <w:p w14:paraId="43E7FFCE" w14:textId="77777777" w:rsidR="00C15C65" w:rsidRPr="002029AF" w:rsidRDefault="00C15C65" w:rsidP="00FD77AA">
            <w:pPr>
              <w:pStyle w:val="ARtabletextright"/>
            </w:pPr>
            <w:r w:rsidRPr="002029AF">
              <w:t>1,437.8</w:t>
            </w:r>
          </w:p>
        </w:tc>
        <w:tc>
          <w:tcPr>
            <w:tcW w:w="1032" w:type="dxa"/>
            <w:tcBorders>
              <w:top w:val="single" w:sz="4" w:space="0" w:color="BFBFBF"/>
              <w:bottom w:val="single" w:sz="4" w:space="0" w:color="BFBFBF"/>
            </w:tcBorders>
            <w:shd w:val="clear" w:color="auto" w:fill="auto"/>
          </w:tcPr>
          <w:p w14:paraId="364D5CF3" w14:textId="77777777" w:rsidR="00C15C65" w:rsidRPr="002029AF" w:rsidRDefault="00C15C65" w:rsidP="00FD77AA">
            <w:pPr>
              <w:pStyle w:val="ARtabletextright"/>
            </w:pPr>
            <w:r w:rsidRPr="002029AF">
              <w:t>2.5</w:t>
            </w:r>
          </w:p>
        </w:tc>
        <w:tc>
          <w:tcPr>
            <w:tcW w:w="794" w:type="dxa"/>
            <w:tcBorders>
              <w:top w:val="single" w:sz="4" w:space="0" w:color="BFBFBF"/>
              <w:bottom w:val="single" w:sz="4" w:space="0" w:color="BFBFBF"/>
            </w:tcBorders>
            <w:shd w:val="clear" w:color="auto" w:fill="auto"/>
            <w:hideMark/>
          </w:tcPr>
          <w:p w14:paraId="50F3AB52"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15AA17E3" w14:textId="77777777" w:rsidTr="00CB3B6B">
        <w:trPr>
          <w:gridAfter w:val="1"/>
          <w:wAfter w:w="8" w:type="dxa"/>
          <w:cantSplit/>
        </w:trPr>
        <w:tc>
          <w:tcPr>
            <w:tcW w:w="4743" w:type="dxa"/>
            <w:tcBorders>
              <w:top w:val="single" w:sz="4" w:space="0" w:color="BFBFBF"/>
            </w:tcBorders>
            <w:shd w:val="clear" w:color="auto" w:fill="auto"/>
            <w:hideMark/>
          </w:tcPr>
          <w:p w14:paraId="38F7816D" w14:textId="5737A620" w:rsidR="00C15C65" w:rsidRPr="002029AF" w:rsidRDefault="00C15C65" w:rsidP="00C40F5D">
            <w:pPr>
              <w:pStyle w:val="ARtabletext"/>
            </w:pPr>
            <w:r w:rsidRPr="002029AF">
              <w:t>New</w:t>
            </w:r>
            <w:r w:rsidR="000A5329" w:rsidRPr="002029AF">
              <w:t xml:space="preserve"> </w:t>
            </w:r>
            <w:r w:rsidRPr="002029AF">
              <w:t>case</w:t>
            </w:r>
            <w:r w:rsidR="000A5329" w:rsidRPr="002029AF">
              <w:t xml:space="preserve"> </w:t>
            </w:r>
            <w:r w:rsidRPr="002029AF">
              <w:t>index</w:t>
            </w:r>
          </w:p>
        </w:tc>
        <w:tc>
          <w:tcPr>
            <w:tcW w:w="1022" w:type="dxa"/>
            <w:tcBorders>
              <w:top w:val="single" w:sz="4" w:space="0" w:color="BFBFBF"/>
            </w:tcBorders>
            <w:shd w:val="clear" w:color="auto" w:fill="auto"/>
            <w:hideMark/>
          </w:tcPr>
          <w:p w14:paraId="0A2D0F36" w14:textId="7CA906D8" w:rsidR="00C15C65" w:rsidRPr="002029AF" w:rsidRDefault="00C15C65" w:rsidP="00C40F5D">
            <w:pPr>
              <w:pStyle w:val="ARtabletext"/>
            </w:pPr>
            <w:r w:rsidRPr="002029AF">
              <w:t>per</w:t>
            </w:r>
            <w:r w:rsidR="000A5329" w:rsidRPr="002029AF">
              <w:t xml:space="preserve"> </w:t>
            </w:r>
            <w:r w:rsidRPr="002029AF">
              <w:t>cent</w:t>
            </w:r>
          </w:p>
        </w:tc>
        <w:tc>
          <w:tcPr>
            <w:tcW w:w="1019" w:type="dxa"/>
            <w:tcBorders>
              <w:top w:val="single" w:sz="4" w:space="0" w:color="BFBFBF"/>
            </w:tcBorders>
            <w:shd w:val="clear" w:color="auto" w:fill="auto"/>
            <w:hideMark/>
          </w:tcPr>
          <w:p w14:paraId="7DAD5192" w14:textId="77777777" w:rsidR="00C15C65" w:rsidRPr="002029AF" w:rsidRDefault="00C15C65" w:rsidP="00FD77AA">
            <w:pPr>
              <w:pStyle w:val="ARtabletextright"/>
            </w:pPr>
            <w:r w:rsidRPr="002029AF">
              <w:t>50</w:t>
            </w:r>
          </w:p>
        </w:tc>
        <w:tc>
          <w:tcPr>
            <w:tcW w:w="1021" w:type="dxa"/>
            <w:tcBorders>
              <w:top w:val="single" w:sz="4" w:space="0" w:color="BFBFBF"/>
            </w:tcBorders>
            <w:shd w:val="clear" w:color="auto" w:fill="auto"/>
            <w:hideMark/>
          </w:tcPr>
          <w:p w14:paraId="7D1F4EC3" w14:textId="77777777" w:rsidR="00C15C65" w:rsidRPr="002029AF" w:rsidRDefault="00C15C65" w:rsidP="00FD77AA">
            <w:pPr>
              <w:pStyle w:val="ARtabletextright"/>
            </w:pPr>
            <w:r w:rsidRPr="002029AF">
              <w:t>53.2</w:t>
            </w:r>
          </w:p>
        </w:tc>
        <w:tc>
          <w:tcPr>
            <w:tcW w:w="1032" w:type="dxa"/>
            <w:tcBorders>
              <w:top w:val="single" w:sz="4" w:space="0" w:color="BFBFBF"/>
            </w:tcBorders>
            <w:shd w:val="clear" w:color="auto" w:fill="auto"/>
          </w:tcPr>
          <w:p w14:paraId="351D9171" w14:textId="77777777" w:rsidR="00C15C65" w:rsidRPr="002029AF" w:rsidRDefault="00C15C65" w:rsidP="00FD77AA">
            <w:pPr>
              <w:pStyle w:val="ARtabletextright"/>
            </w:pPr>
            <w:r w:rsidRPr="002029AF">
              <w:t>6.4</w:t>
            </w:r>
          </w:p>
        </w:tc>
        <w:tc>
          <w:tcPr>
            <w:tcW w:w="794" w:type="dxa"/>
            <w:tcBorders>
              <w:top w:val="single" w:sz="4" w:space="0" w:color="BFBFBF"/>
            </w:tcBorders>
            <w:shd w:val="clear" w:color="auto" w:fill="auto"/>
            <w:hideMark/>
          </w:tcPr>
          <w:p w14:paraId="4A61669B"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284ABFB1" w14:textId="77777777" w:rsidTr="005B58F0">
        <w:trPr>
          <w:gridAfter w:val="1"/>
          <w:wAfter w:w="8" w:type="dxa"/>
          <w:cantSplit/>
        </w:trPr>
        <w:tc>
          <w:tcPr>
            <w:tcW w:w="9631" w:type="dxa"/>
            <w:gridSpan w:val="6"/>
            <w:tcBorders>
              <w:bottom w:val="single" w:sz="4" w:space="0" w:color="BFBFBF"/>
            </w:tcBorders>
            <w:shd w:val="clear" w:color="auto" w:fill="auto"/>
            <w:noWrap/>
            <w:hideMark/>
          </w:tcPr>
          <w:p w14:paraId="39630F32" w14:textId="4A9D68E5" w:rsidR="00C15C65" w:rsidRPr="002029AF" w:rsidRDefault="00C15C65" w:rsidP="002C5190">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which</w:t>
            </w:r>
            <w:r w:rsidR="000A5329" w:rsidRPr="002029AF">
              <w:t xml:space="preserve"> </w:t>
            </w:r>
            <w:r w:rsidRPr="002029AF">
              <w:t>is</w:t>
            </w:r>
            <w:r w:rsidR="000A5329" w:rsidRPr="002029AF">
              <w:t xml:space="preserve"> </w:t>
            </w:r>
            <w:r w:rsidRPr="002029AF">
              <w:t>indicative</w:t>
            </w:r>
            <w:r w:rsidR="000A5329" w:rsidRPr="002029AF">
              <w:t xml:space="preserve"> </w:t>
            </w:r>
            <w:r w:rsidRPr="002029AF">
              <w:t>of</w:t>
            </w:r>
            <w:r w:rsidR="000A5329" w:rsidRPr="002029AF">
              <w:t xml:space="preserve"> </w:t>
            </w:r>
            <w:r w:rsidRPr="002029AF">
              <w:t>reaching</w:t>
            </w:r>
            <w:r w:rsidR="000A5329" w:rsidRPr="002029AF">
              <w:t xml:space="preserve"> </w:t>
            </w:r>
            <w:r w:rsidRPr="002029AF">
              <w:t>new</w:t>
            </w:r>
            <w:r w:rsidR="000A5329" w:rsidRPr="002029AF">
              <w:t xml:space="preserve"> </w:t>
            </w:r>
            <w:r w:rsidRPr="002029AF">
              <w:t>clients</w:t>
            </w:r>
            <w:r w:rsidR="000A5329" w:rsidRPr="002029AF">
              <w:t xml:space="preserve"> </w:t>
            </w:r>
            <w:r w:rsidRPr="002029AF">
              <w:t>and</w:t>
            </w:r>
            <w:r w:rsidR="000A5329" w:rsidRPr="002029AF">
              <w:t xml:space="preserve"> </w:t>
            </w:r>
            <w:r w:rsidRPr="002029AF">
              <w:t>also</w:t>
            </w:r>
            <w:r w:rsidR="000A5329" w:rsidRPr="002029AF">
              <w:t xml:space="preserve"> </w:t>
            </w:r>
            <w:r w:rsidRPr="002029AF">
              <w:t>new</w:t>
            </w:r>
            <w:r w:rsidR="000A5329" w:rsidRPr="002029AF">
              <w:t xml:space="preserve"> </w:t>
            </w:r>
            <w:r w:rsidRPr="002029AF">
              <w:t>cases</w:t>
            </w:r>
            <w:r w:rsidR="000A5329" w:rsidRPr="002029AF">
              <w:t xml:space="preserve"> </w:t>
            </w:r>
            <w:r w:rsidRPr="002029AF">
              <w:t>being</w:t>
            </w:r>
            <w:r w:rsidR="000A5329" w:rsidRPr="002029AF">
              <w:t xml:space="preserve"> </w:t>
            </w:r>
            <w:r w:rsidRPr="002029AF">
              <w:t>opened</w:t>
            </w:r>
            <w:r w:rsidR="000A5329" w:rsidRPr="002029AF">
              <w:t xml:space="preserve"> </w:t>
            </w:r>
            <w:r w:rsidRPr="002029AF">
              <w:t>for</w:t>
            </w:r>
            <w:r w:rsidR="000A5329" w:rsidRPr="002029AF">
              <w:t xml:space="preserve"> </w:t>
            </w:r>
            <w:r w:rsidRPr="002029AF">
              <w:t>current</w:t>
            </w:r>
            <w:r w:rsidR="000A5329" w:rsidRPr="002029AF">
              <w:t xml:space="preserve"> </w:t>
            </w:r>
            <w:r w:rsidRPr="002029AF">
              <w:t>clients</w:t>
            </w:r>
            <w:r w:rsidR="000A5329" w:rsidRPr="002029AF">
              <w:t xml:space="preserve"> </w:t>
            </w:r>
            <w:r w:rsidRPr="002029AF">
              <w:t>where</w:t>
            </w:r>
            <w:r w:rsidR="000A5329" w:rsidRPr="002029AF">
              <w:t xml:space="preserve"> </w:t>
            </w:r>
            <w:r w:rsidRPr="002029AF">
              <w:t>their</w:t>
            </w:r>
            <w:r w:rsidR="000A5329" w:rsidRPr="002029AF">
              <w:t xml:space="preserve"> </w:t>
            </w:r>
            <w:r w:rsidRPr="002029AF">
              <w:t>previous</w:t>
            </w:r>
            <w:r w:rsidR="000A5329" w:rsidRPr="002029AF">
              <w:t xml:space="preserve"> </w:t>
            </w:r>
            <w:r w:rsidRPr="002029AF">
              <w:t>case</w:t>
            </w:r>
            <w:r w:rsidR="000A5329" w:rsidRPr="002029AF">
              <w:t xml:space="preserve"> </w:t>
            </w:r>
            <w:r w:rsidRPr="002029AF">
              <w:t>was</w:t>
            </w:r>
            <w:r w:rsidR="000A5329" w:rsidRPr="002029AF">
              <w:t xml:space="preserve"> </w:t>
            </w:r>
            <w:r w:rsidRPr="002029AF">
              <w:t>closed</w:t>
            </w:r>
            <w:r w:rsidR="000A5329" w:rsidRPr="002029AF">
              <w:t xml:space="preserve"> </w:t>
            </w:r>
            <w:r w:rsidRPr="002029AF">
              <w:t>prematurely.</w:t>
            </w:r>
          </w:p>
        </w:tc>
      </w:tr>
      <w:tr w:rsidR="00C15C65" w:rsidRPr="002029AF" w14:paraId="1FF9241A" w14:textId="77777777" w:rsidTr="00CB3B6B">
        <w:trPr>
          <w:gridAfter w:val="1"/>
          <w:wAfter w:w="8" w:type="dxa"/>
          <w:cantSplit/>
        </w:trPr>
        <w:tc>
          <w:tcPr>
            <w:tcW w:w="4743" w:type="dxa"/>
            <w:tcBorders>
              <w:bottom w:val="single" w:sz="4" w:space="0" w:color="BFBFBF"/>
            </w:tcBorders>
            <w:shd w:val="clear" w:color="auto" w:fill="auto"/>
            <w:hideMark/>
          </w:tcPr>
          <w:p w14:paraId="56A8AA90" w14:textId="61462FE4" w:rsidR="00C15C65" w:rsidRPr="002029AF" w:rsidRDefault="00C15C65" w:rsidP="00C40F5D">
            <w:pPr>
              <w:pStyle w:val="ARtabletext"/>
            </w:pPr>
            <w:r w:rsidRPr="002029AF">
              <w:t>Registered</w:t>
            </w:r>
            <w:r w:rsidR="000A5329" w:rsidRPr="002029AF">
              <w:t xml:space="preserve"> </w:t>
            </w:r>
            <w:r w:rsidRPr="002029AF">
              <w:t>community</w:t>
            </w:r>
            <w:r w:rsidR="000A5329" w:rsidRPr="002029AF">
              <w:t xml:space="preserve"> </w:t>
            </w:r>
            <w:r w:rsidRPr="002029AF">
              <w:t>clients</w:t>
            </w:r>
          </w:p>
        </w:tc>
        <w:tc>
          <w:tcPr>
            <w:tcW w:w="1022" w:type="dxa"/>
            <w:tcBorders>
              <w:bottom w:val="single" w:sz="4" w:space="0" w:color="BFBFBF"/>
            </w:tcBorders>
            <w:shd w:val="clear" w:color="auto" w:fill="auto"/>
            <w:hideMark/>
          </w:tcPr>
          <w:p w14:paraId="1FA4382C" w14:textId="77777777" w:rsidR="00C15C65" w:rsidRPr="002029AF" w:rsidRDefault="00C15C65" w:rsidP="00C40F5D">
            <w:pPr>
              <w:pStyle w:val="ARtabletext"/>
            </w:pPr>
            <w:r w:rsidRPr="002029AF">
              <w:t>number</w:t>
            </w:r>
          </w:p>
        </w:tc>
        <w:tc>
          <w:tcPr>
            <w:tcW w:w="1019" w:type="dxa"/>
            <w:tcBorders>
              <w:bottom w:val="single" w:sz="4" w:space="0" w:color="BFBFBF"/>
            </w:tcBorders>
            <w:shd w:val="clear" w:color="auto" w:fill="auto"/>
            <w:hideMark/>
          </w:tcPr>
          <w:p w14:paraId="7A0BAC00" w14:textId="77777777" w:rsidR="00C15C65" w:rsidRPr="002029AF" w:rsidRDefault="00C15C65" w:rsidP="00FD77AA">
            <w:pPr>
              <w:pStyle w:val="ARtabletextright"/>
            </w:pPr>
            <w:r w:rsidRPr="002029AF">
              <w:t>74,000</w:t>
            </w:r>
          </w:p>
        </w:tc>
        <w:tc>
          <w:tcPr>
            <w:tcW w:w="1021" w:type="dxa"/>
            <w:tcBorders>
              <w:bottom w:val="single" w:sz="4" w:space="0" w:color="BFBFBF"/>
            </w:tcBorders>
            <w:shd w:val="clear" w:color="auto" w:fill="auto"/>
            <w:hideMark/>
          </w:tcPr>
          <w:p w14:paraId="2CD268CC" w14:textId="77777777" w:rsidR="00C15C65" w:rsidRPr="002029AF" w:rsidRDefault="00C15C65" w:rsidP="00FD77AA">
            <w:pPr>
              <w:pStyle w:val="ARtabletextright"/>
            </w:pPr>
            <w:r w:rsidRPr="002029AF">
              <w:t>75,087</w:t>
            </w:r>
          </w:p>
        </w:tc>
        <w:tc>
          <w:tcPr>
            <w:tcW w:w="1032" w:type="dxa"/>
            <w:tcBorders>
              <w:bottom w:val="single" w:sz="4" w:space="0" w:color="BFBFBF"/>
            </w:tcBorders>
            <w:shd w:val="clear" w:color="auto" w:fill="auto"/>
          </w:tcPr>
          <w:p w14:paraId="1F0B2A0F" w14:textId="77777777" w:rsidR="00C15C65" w:rsidRPr="002029AF" w:rsidRDefault="00C15C65" w:rsidP="00FD77AA">
            <w:pPr>
              <w:pStyle w:val="ARtabletextright"/>
            </w:pPr>
            <w:r w:rsidRPr="002029AF">
              <w:t>1.5</w:t>
            </w:r>
          </w:p>
        </w:tc>
        <w:tc>
          <w:tcPr>
            <w:tcW w:w="794" w:type="dxa"/>
            <w:tcBorders>
              <w:bottom w:val="single" w:sz="4" w:space="0" w:color="BFBFBF"/>
            </w:tcBorders>
            <w:shd w:val="clear" w:color="auto" w:fill="auto"/>
            <w:hideMark/>
          </w:tcPr>
          <w:p w14:paraId="0A595406"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503FE3BE" w14:textId="77777777" w:rsidTr="00CB3B6B">
        <w:trPr>
          <w:gridAfter w:val="1"/>
          <w:wAfter w:w="8" w:type="dxa"/>
          <w:cantSplit/>
        </w:trPr>
        <w:tc>
          <w:tcPr>
            <w:tcW w:w="4743" w:type="dxa"/>
            <w:tcBorders>
              <w:top w:val="single" w:sz="4" w:space="0" w:color="BFBFBF"/>
              <w:bottom w:val="single" w:sz="4" w:space="0" w:color="BFBFBF"/>
            </w:tcBorders>
            <w:shd w:val="clear" w:color="auto" w:fill="auto"/>
            <w:hideMark/>
          </w:tcPr>
          <w:p w14:paraId="33EABC95" w14:textId="4A45A5F2" w:rsidR="00C15C65" w:rsidRPr="002029AF" w:rsidRDefault="00C15C65" w:rsidP="00C40F5D">
            <w:pPr>
              <w:pStyle w:val="ARtabletext"/>
            </w:pPr>
            <w:r w:rsidRPr="002029AF">
              <w:t>Occupied</w:t>
            </w:r>
            <w:r w:rsidR="000A5329" w:rsidRPr="002029AF">
              <w:t xml:space="preserve"> </w:t>
            </w:r>
            <w:r w:rsidRPr="002029AF">
              <w:t>Residential</w:t>
            </w:r>
            <w:r w:rsidR="000A5329" w:rsidRPr="002029AF">
              <w:t xml:space="preserve"> </w:t>
            </w:r>
            <w:r w:rsidRPr="002029AF">
              <w:t>bed</w:t>
            </w:r>
            <w:r w:rsidR="000A5329" w:rsidRPr="002029AF">
              <w:t xml:space="preserve"> </w:t>
            </w:r>
            <w:r w:rsidRPr="002029AF">
              <w:t>days</w:t>
            </w:r>
          </w:p>
        </w:tc>
        <w:tc>
          <w:tcPr>
            <w:tcW w:w="1022" w:type="dxa"/>
            <w:tcBorders>
              <w:top w:val="single" w:sz="4" w:space="0" w:color="BFBFBF"/>
              <w:bottom w:val="single" w:sz="4" w:space="0" w:color="BFBFBF"/>
            </w:tcBorders>
            <w:shd w:val="clear" w:color="auto" w:fill="auto"/>
            <w:hideMark/>
          </w:tcPr>
          <w:p w14:paraId="4F517060" w14:textId="77777777" w:rsidR="00C15C65" w:rsidRPr="002029AF" w:rsidRDefault="00C15C65" w:rsidP="00C40F5D">
            <w:pPr>
              <w:pStyle w:val="ARtabletext"/>
            </w:pPr>
            <w:r w:rsidRPr="002029AF">
              <w:t>number</w:t>
            </w:r>
          </w:p>
        </w:tc>
        <w:tc>
          <w:tcPr>
            <w:tcW w:w="1019" w:type="dxa"/>
            <w:tcBorders>
              <w:top w:val="single" w:sz="4" w:space="0" w:color="BFBFBF"/>
              <w:bottom w:val="single" w:sz="4" w:space="0" w:color="BFBFBF"/>
            </w:tcBorders>
            <w:shd w:val="clear" w:color="auto" w:fill="auto"/>
            <w:hideMark/>
          </w:tcPr>
          <w:p w14:paraId="02510153" w14:textId="77777777" w:rsidR="00C15C65" w:rsidRPr="002029AF" w:rsidRDefault="00C15C65" w:rsidP="00FD77AA">
            <w:pPr>
              <w:pStyle w:val="ARtabletextright"/>
            </w:pPr>
            <w:r w:rsidRPr="002029AF">
              <w:t>153,574</w:t>
            </w:r>
          </w:p>
        </w:tc>
        <w:tc>
          <w:tcPr>
            <w:tcW w:w="1021" w:type="dxa"/>
            <w:tcBorders>
              <w:top w:val="single" w:sz="4" w:space="0" w:color="BFBFBF"/>
              <w:bottom w:val="single" w:sz="4" w:space="0" w:color="BFBFBF"/>
            </w:tcBorders>
            <w:shd w:val="clear" w:color="auto" w:fill="auto"/>
            <w:hideMark/>
          </w:tcPr>
          <w:p w14:paraId="78AC7696" w14:textId="77777777" w:rsidR="00C15C65" w:rsidRPr="002029AF" w:rsidRDefault="00C15C65" w:rsidP="00FD77AA">
            <w:pPr>
              <w:pStyle w:val="ARtabletextright"/>
            </w:pPr>
            <w:r w:rsidRPr="002029AF">
              <w:t>151,523</w:t>
            </w:r>
          </w:p>
        </w:tc>
        <w:tc>
          <w:tcPr>
            <w:tcW w:w="1032" w:type="dxa"/>
            <w:tcBorders>
              <w:top w:val="single" w:sz="4" w:space="0" w:color="BFBFBF"/>
              <w:bottom w:val="single" w:sz="4" w:space="0" w:color="BFBFBF"/>
            </w:tcBorders>
            <w:shd w:val="clear" w:color="auto" w:fill="auto"/>
          </w:tcPr>
          <w:p w14:paraId="0B4E437F" w14:textId="77777777" w:rsidR="00C15C65" w:rsidRPr="002029AF" w:rsidRDefault="00C15C65" w:rsidP="00FD77AA">
            <w:pPr>
              <w:pStyle w:val="ARtabletextright"/>
            </w:pPr>
            <w:r w:rsidRPr="002029AF">
              <w:t>-1.3</w:t>
            </w:r>
          </w:p>
        </w:tc>
        <w:tc>
          <w:tcPr>
            <w:tcW w:w="794" w:type="dxa"/>
            <w:tcBorders>
              <w:top w:val="single" w:sz="4" w:space="0" w:color="BFBFBF"/>
              <w:bottom w:val="single" w:sz="4" w:space="0" w:color="BFBFBF"/>
            </w:tcBorders>
            <w:shd w:val="clear" w:color="auto" w:fill="auto"/>
            <w:hideMark/>
          </w:tcPr>
          <w:p w14:paraId="54801203" w14:textId="3275A4BB" w:rsidR="00C15C65" w:rsidRPr="002029AF" w:rsidRDefault="003A6C3B" w:rsidP="000F6867">
            <w:pPr>
              <w:pStyle w:val="ARtableperformancesymbol"/>
              <w:rPr>
                <w:rFonts w:hint="eastAsia"/>
                <w:lang w:val="en-AU"/>
              </w:rPr>
            </w:pPr>
            <w:r w:rsidRPr="002029AF">
              <w:rPr>
                <w:lang w:val="en-AU"/>
              </w:rPr>
              <w:t>□</w:t>
            </w:r>
          </w:p>
        </w:tc>
      </w:tr>
      <w:tr w:rsidR="00C15C65" w:rsidRPr="002029AF" w14:paraId="5AF8C2C7" w14:textId="77777777" w:rsidTr="00CB3B6B">
        <w:trPr>
          <w:gridAfter w:val="1"/>
          <w:wAfter w:w="8" w:type="dxa"/>
          <w:cantSplit/>
        </w:trPr>
        <w:tc>
          <w:tcPr>
            <w:tcW w:w="4743" w:type="dxa"/>
            <w:tcBorders>
              <w:top w:val="single" w:sz="4" w:space="0" w:color="BFBFBF"/>
            </w:tcBorders>
            <w:shd w:val="clear" w:color="auto" w:fill="auto"/>
            <w:hideMark/>
          </w:tcPr>
          <w:p w14:paraId="3E10C405" w14:textId="167AC803" w:rsidR="00C15C65" w:rsidRPr="002029AF" w:rsidRDefault="00C15C65" w:rsidP="00C40F5D">
            <w:pPr>
              <w:pStyle w:val="ARtabletext"/>
            </w:pPr>
            <w:r w:rsidRPr="002029AF">
              <w:t>Occupied</w:t>
            </w:r>
            <w:r w:rsidR="000A5329" w:rsidRPr="002029AF">
              <w:t xml:space="preserve"> </w:t>
            </w:r>
            <w:r w:rsidRPr="002029AF">
              <w:t>Sub-acute</w:t>
            </w:r>
            <w:r w:rsidR="000A5329" w:rsidRPr="002029AF">
              <w:t xml:space="preserve"> </w:t>
            </w:r>
            <w:r w:rsidRPr="002029AF">
              <w:t>bed</w:t>
            </w:r>
            <w:r w:rsidR="000A5329" w:rsidRPr="002029AF">
              <w:t xml:space="preserve"> </w:t>
            </w:r>
            <w:r w:rsidRPr="002029AF">
              <w:t>days</w:t>
            </w:r>
          </w:p>
        </w:tc>
        <w:tc>
          <w:tcPr>
            <w:tcW w:w="1022" w:type="dxa"/>
            <w:tcBorders>
              <w:top w:val="single" w:sz="4" w:space="0" w:color="BFBFBF"/>
            </w:tcBorders>
            <w:shd w:val="clear" w:color="auto" w:fill="auto"/>
            <w:hideMark/>
          </w:tcPr>
          <w:p w14:paraId="243CBF0C" w14:textId="77777777" w:rsidR="00C15C65" w:rsidRPr="002029AF" w:rsidRDefault="00C15C65" w:rsidP="00C40F5D">
            <w:pPr>
              <w:pStyle w:val="ARtabletext"/>
            </w:pPr>
            <w:r w:rsidRPr="002029AF">
              <w:t>number</w:t>
            </w:r>
          </w:p>
        </w:tc>
        <w:tc>
          <w:tcPr>
            <w:tcW w:w="1019" w:type="dxa"/>
            <w:tcBorders>
              <w:top w:val="single" w:sz="4" w:space="0" w:color="BFBFBF"/>
            </w:tcBorders>
            <w:shd w:val="clear" w:color="auto" w:fill="auto"/>
            <w:hideMark/>
          </w:tcPr>
          <w:p w14:paraId="4979F0EC" w14:textId="77777777" w:rsidR="00C15C65" w:rsidRPr="002029AF" w:rsidRDefault="00C15C65" w:rsidP="00FD77AA">
            <w:pPr>
              <w:pStyle w:val="ARtabletextright"/>
            </w:pPr>
            <w:r w:rsidRPr="002029AF">
              <w:t>191,724</w:t>
            </w:r>
          </w:p>
        </w:tc>
        <w:tc>
          <w:tcPr>
            <w:tcW w:w="1021" w:type="dxa"/>
            <w:tcBorders>
              <w:top w:val="single" w:sz="4" w:space="0" w:color="BFBFBF"/>
            </w:tcBorders>
            <w:shd w:val="clear" w:color="auto" w:fill="auto"/>
            <w:hideMark/>
          </w:tcPr>
          <w:p w14:paraId="661C6519" w14:textId="77777777" w:rsidR="00C15C65" w:rsidRPr="002029AF" w:rsidRDefault="00C15C65" w:rsidP="00FD77AA">
            <w:pPr>
              <w:pStyle w:val="ARtabletextright"/>
            </w:pPr>
            <w:r w:rsidRPr="002029AF">
              <w:t>197,849</w:t>
            </w:r>
          </w:p>
        </w:tc>
        <w:tc>
          <w:tcPr>
            <w:tcW w:w="1032" w:type="dxa"/>
            <w:tcBorders>
              <w:top w:val="single" w:sz="4" w:space="0" w:color="BFBFBF"/>
            </w:tcBorders>
            <w:shd w:val="clear" w:color="auto" w:fill="auto"/>
          </w:tcPr>
          <w:p w14:paraId="6A5F6857" w14:textId="77777777" w:rsidR="00C15C65" w:rsidRPr="002029AF" w:rsidRDefault="00C15C65" w:rsidP="00FD77AA">
            <w:pPr>
              <w:pStyle w:val="ARtabletextright"/>
            </w:pPr>
            <w:r w:rsidRPr="002029AF">
              <w:t>3.2</w:t>
            </w:r>
          </w:p>
        </w:tc>
        <w:tc>
          <w:tcPr>
            <w:tcW w:w="794" w:type="dxa"/>
            <w:tcBorders>
              <w:top w:val="single" w:sz="4" w:space="0" w:color="BFBFBF"/>
            </w:tcBorders>
            <w:shd w:val="clear" w:color="auto" w:fill="auto"/>
            <w:hideMark/>
          </w:tcPr>
          <w:p w14:paraId="6932BFE6"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25732C2F" w14:textId="77777777" w:rsidTr="005B58F0">
        <w:trPr>
          <w:cantSplit/>
        </w:trPr>
        <w:tc>
          <w:tcPr>
            <w:tcW w:w="9639" w:type="dxa"/>
            <w:gridSpan w:val="7"/>
            <w:tcBorders>
              <w:top w:val="single" w:sz="4" w:space="0" w:color="auto"/>
              <w:left w:val="nil"/>
              <w:bottom w:val="nil"/>
              <w:right w:val="nil"/>
            </w:tcBorders>
            <w:hideMark/>
          </w:tcPr>
          <w:p w14:paraId="14553F89" w14:textId="77777777" w:rsidR="00C15C65" w:rsidRPr="002029AF" w:rsidRDefault="00C15C65" w:rsidP="00D96AFD">
            <w:pPr>
              <w:pStyle w:val="ARtablegreybold"/>
            </w:pPr>
            <w:r w:rsidRPr="002029AF">
              <w:t>Quality</w:t>
            </w:r>
          </w:p>
        </w:tc>
      </w:tr>
      <w:tr w:rsidR="00C15C65" w:rsidRPr="002029AF" w14:paraId="329ABD46" w14:textId="77777777" w:rsidTr="00CB3B6B">
        <w:trPr>
          <w:gridAfter w:val="1"/>
          <w:wAfter w:w="8" w:type="dxa"/>
          <w:cantSplit/>
        </w:trPr>
        <w:tc>
          <w:tcPr>
            <w:tcW w:w="4743" w:type="dxa"/>
            <w:tcBorders>
              <w:bottom w:val="single" w:sz="4" w:space="0" w:color="BFBFBF"/>
            </w:tcBorders>
            <w:shd w:val="clear" w:color="auto" w:fill="auto"/>
            <w:hideMark/>
          </w:tcPr>
          <w:p w14:paraId="4E72D081" w14:textId="3490772E" w:rsidR="00C15C65" w:rsidRPr="002029AF" w:rsidRDefault="00C15C65" w:rsidP="00C40F5D">
            <w:pPr>
              <w:pStyle w:val="ARtabletext"/>
            </w:pPr>
            <w:r w:rsidRPr="002029AF">
              <w:t>Clients</w:t>
            </w:r>
            <w:r w:rsidR="000A5329" w:rsidRPr="002029AF">
              <w:t xml:space="preserve"> </w:t>
            </w:r>
            <w:r w:rsidRPr="002029AF">
              <w:t>readmitted</w:t>
            </w:r>
            <w:r w:rsidR="000A5329" w:rsidRPr="002029AF">
              <w:t xml:space="preserve"> </w:t>
            </w:r>
            <w:r w:rsidRPr="002029AF">
              <w:t>(unplanned)</w:t>
            </w:r>
            <w:r w:rsidR="000A5329" w:rsidRPr="002029AF">
              <w:t xml:space="preserve"> </w:t>
            </w:r>
            <w:r w:rsidRPr="002029AF">
              <w:t>within</w:t>
            </w:r>
            <w:r w:rsidR="000A5329" w:rsidRPr="002029AF">
              <w:t xml:space="preserve"> </w:t>
            </w:r>
            <w:r w:rsidRPr="002029AF">
              <w:t>28</w:t>
            </w:r>
            <w:r w:rsidR="000A5329" w:rsidRPr="002029AF">
              <w:t xml:space="preserve"> </w:t>
            </w:r>
            <w:r w:rsidRPr="002029AF">
              <w:t>days</w:t>
            </w:r>
          </w:p>
        </w:tc>
        <w:tc>
          <w:tcPr>
            <w:tcW w:w="1022" w:type="dxa"/>
            <w:tcBorders>
              <w:bottom w:val="single" w:sz="4" w:space="0" w:color="BFBFBF"/>
            </w:tcBorders>
            <w:shd w:val="clear" w:color="auto" w:fill="auto"/>
            <w:hideMark/>
          </w:tcPr>
          <w:p w14:paraId="25B5BF01" w14:textId="17235861" w:rsidR="00C15C65" w:rsidRPr="002029AF" w:rsidRDefault="00C15C65" w:rsidP="00C40F5D">
            <w:pPr>
              <w:pStyle w:val="ARtabletext"/>
            </w:pPr>
            <w:r w:rsidRPr="002029AF">
              <w:t>per</w:t>
            </w:r>
            <w:r w:rsidR="000A5329" w:rsidRPr="002029AF">
              <w:t xml:space="preserve"> </w:t>
            </w:r>
            <w:r w:rsidRPr="002029AF">
              <w:t>cent</w:t>
            </w:r>
          </w:p>
        </w:tc>
        <w:tc>
          <w:tcPr>
            <w:tcW w:w="1019" w:type="dxa"/>
            <w:tcBorders>
              <w:bottom w:val="single" w:sz="4" w:space="0" w:color="BFBFBF"/>
            </w:tcBorders>
            <w:shd w:val="clear" w:color="auto" w:fill="auto"/>
            <w:hideMark/>
          </w:tcPr>
          <w:p w14:paraId="486D508C" w14:textId="77777777" w:rsidR="00C15C65" w:rsidRPr="002029AF" w:rsidRDefault="00C15C65" w:rsidP="00FD77AA">
            <w:pPr>
              <w:pStyle w:val="ARtabletextright"/>
            </w:pPr>
            <w:r w:rsidRPr="002029AF">
              <w:t>14</w:t>
            </w:r>
          </w:p>
        </w:tc>
        <w:tc>
          <w:tcPr>
            <w:tcW w:w="1021" w:type="dxa"/>
            <w:tcBorders>
              <w:bottom w:val="single" w:sz="4" w:space="0" w:color="BFBFBF"/>
            </w:tcBorders>
            <w:shd w:val="clear" w:color="auto" w:fill="auto"/>
            <w:hideMark/>
          </w:tcPr>
          <w:p w14:paraId="24B7D3C4" w14:textId="77777777" w:rsidR="00C15C65" w:rsidRPr="002029AF" w:rsidRDefault="00C15C65" w:rsidP="00FD77AA">
            <w:pPr>
              <w:pStyle w:val="ARtabletextright"/>
            </w:pPr>
            <w:r w:rsidRPr="002029AF">
              <w:t>14.5</w:t>
            </w:r>
          </w:p>
        </w:tc>
        <w:tc>
          <w:tcPr>
            <w:tcW w:w="1032" w:type="dxa"/>
            <w:tcBorders>
              <w:bottom w:val="single" w:sz="4" w:space="0" w:color="BFBFBF"/>
            </w:tcBorders>
            <w:shd w:val="clear" w:color="auto" w:fill="auto"/>
          </w:tcPr>
          <w:p w14:paraId="3B43D5ED" w14:textId="77777777" w:rsidR="00C15C65" w:rsidRPr="002029AF" w:rsidRDefault="00C15C65" w:rsidP="00FD77AA">
            <w:pPr>
              <w:pStyle w:val="ARtabletextright"/>
            </w:pPr>
            <w:r w:rsidRPr="002029AF">
              <w:t>3.6</w:t>
            </w:r>
          </w:p>
        </w:tc>
        <w:tc>
          <w:tcPr>
            <w:tcW w:w="794" w:type="dxa"/>
            <w:tcBorders>
              <w:bottom w:val="single" w:sz="4" w:space="0" w:color="BFBFBF"/>
            </w:tcBorders>
            <w:shd w:val="clear" w:color="auto" w:fill="auto"/>
            <w:hideMark/>
          </w:tcPr>
          <w:p w14:paraId="3472C921"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7AA641A5" w14:textId="77777777" w:rsidTr="00CB3B6B">
        <w:trPr>
          <w:gridAfter w:val="1"/>
          <w:wAfter w:w="8" w:type="dxa"/>
          <w:cantSplit/>
        </w:trPr>
        <w:tc>
          <w:tcPr>
            <w:tcW w:w="4743" w:type="dxa"/>
            <w:tcBorders>
              <w:top w:val="single" w:sz="4" w:space="0" w:color="BFBFBF"/>
              <w:bottom w:val="single" w:sz="4" w:space="0" w:color="BFBFBF"/>
            </w:tcBorders>
            <w:shd w:val="clear" w:color="auto" w:fill="auto"/>
            <w:hideMark/>
          </w:tcPr>
          <w:p w14:paraId="755BE870" w14:textId="0523E551" w:rsidR="00C15C65" w:rsidRPr="002029AF" w:rsidRDefault="00C15C65" w:rsidP="00C40F5D">
            <w:pPr>
              <w:pStyle w:val="ARtabletext"/>
            </w:pPr>
            <w:r w:rsidRPr="002029AF">
              <w:t>New</w:t>
            </w:r>
            <w:r w:rsidR="000A5329" w:rsidRPr="002029AF">
              <w:t xml:space="preserve"> </w:t>
            </w:r>
            <w:r w:rsidRPr="002029AF">
              <w:t>client</w:t>
            </w:r>
            <w:r w:rsidR="000A5329" w:rsidRPr="002029AF">
              <w:t xml:space="preserve"> </w:t>
            </w:r>
            <w:r w:rsidRPr="002029AF">
              <w:t>index</w:t>
            </w:r>
          </w:p>
        </w:tc>
        <w:tc>
          <w:tcPr>
            <w:tcW w:w="1022" w:type="dxa"/>
            <w:tcBorders>
              <w:top w:val="single" w:sz="4" w:space="0" w:color="BFBFBF"/>
              <w:bottom w:val="single" w:sz="4" w:space="0" w:color="BFBFBF"/>
            </w:tcBorders>
            <w:shd w:val="clear" w:color="auto" w:fill="auto"/>
            <w:hideMark/>
          </w:tcPr>
          <w:p w14:paraId="61F111DD" w14:textId="077837C0" w:rsidR="00C15C65" w:rsidRPr="002029AF" w:rsidRDefault="00C15C65" w:rsidP="00C40F5D">
            <w:pPr>
              <w:pStyle w:val="ARtabletext"/>
            </w:pPr>
            <w:r w:rsidRPr="002029AF">
              <w:t>per</w:t>
            </w:r>
            <w:r w:rsidR="000A5329" w:rsidRPr="002029AF">
              <w:t xml:space="preserve"> </w:t>
            </w:r>
            <w:r w:rsidRPr="002029AF">
              <w:t>cent</w:t>
            </w:r>
          </w:p>
        </w:tc>
        <w:tc>
          <w:tcPr>
            <w:tcW w:w="1019" w:type="dxa"/>
            <w:tcBorders>
              <w:top w:val="single" w:sz="4" w:space="0" w:color="BFBFBF"/>
              <w:bottom w:val="single" w:sz="4" w:space="0" w:color="BFBFBF"/>
            </w:tcBorders>
            <w:shd w:val="clear" w:color="auto" w:fill="auto"/>
            <w:hideMark/>
          </w:tcPr>
          <w:p w14:paraId="78472AD1" w14:textId="77777777" w:rsidR="00C15C65" w:rsidRPr="002029AF" w:rsidRDefault="00C15C65" w:rsidP="00FD77AA">
            <w:pPr>
              <w:pStyle w:val="ARtabletextright"/>
            </w:pPr>
            <w:r w:rsidRPr="002029AF">
              <w:t>45</w:t>
            </w:r>
          </w:p>
        </w:tc>
        <w:tc>
          <w:tcPr>
            <w:tcW w:w="1021" w:type="dxa"/>
            <w:tcBorders>
              <w:top w:val="single" w:sz="4" w:space="0" w:color="BFBFBF"/>
              <w:bottom w:val="single" w:sz="4" w:space="0" w:color="BFBFBF"/>
            </w:tcBorders>
            <w:shd w:val="clear" w:color="auto" w:fill="auto"/>
            <w:hideMark/>
          </w:tcPr>
          <w:p w14:paraId="5D428477" w14:textId="77777777" w:rsidR="00C15C65" w:rsidRPr="002029AF" w:rsidRDefault="00C15C65" w:rsidP="00FD77AA">
            <w:pPr>
              <w:pStyle w:val="ARtabletextright"/>
            </w:pPr>
            <w:r w:rsidRPr="002029AF">
              <w:t>44.5</w:t>
            </w:r>
          </w:p>
        </w:tc>
        <w:tc>
          <w:tcPr>
            <w:tcW w:w="1032" w:type="dxa"/>
            <w:tcBorders>
              <w:top w:val="single" w:sz="4" w:space="0" w:color="BFBFBF"/>
              <w:bottom w:val="single" w:sz="4" w:space="0" w:color="BFBFBF"/>
            </w:tcBorders>
            <w:shd w:val="clear" w:color="auto" w:fill="auto"/>
          </w:tcPr>
          <w:p w14:paraId="5BE0C2D6" w14:textId="77777777" w:rsidR="00C15C65" w:rsidRPr="002029AF" w:rsidRDefault="00C15C65" w:rsidP="00FD77AA">
            <w:pPr>
              <w:pStyle w:val="ARtabletextright"/>
            </w:pPr>
            <w:r w:rsidRPr="002029AF">
              <w:t>-1.1</w:t>
            </w:r>
          </w:p>
        </w:tc>
        <w:tc>
          <w:tcPr>
            <w:tcW w:w="794" w:type="dxa"/>
            <w:tcBorders>
              <w:top w:val="single" w:sz="4" w:space="0" w:color="BFBFBF"/>
              <w:bottom w:val="single" w:sz="4" w:space="0" w:color="BFBFBF"/>
            </w:tcBorders>
            <w:shd w:val="clear" w:color="auto" w:fill="auto"/>
            <w:hideMark/>
          </w:tcPr>
          <w:p w14:paraId="589F8460" w14:textId="6F4D05E0" w:rsidR="00C15C65" w:rsidRPr="002029AF" w:rsidRDefault="003A6C3B" w:rsidP="000F6867">
            <w:pPr>
              <w:pStyle w:val="ARtableperformancesymbol"/>
              <w:rPr>
                <w:rFonts w:hint="eastAsia"/>
                <w:lang w:val="en-AU"/>
              </w:rPr>
            </w:pPr>
            <w:r w:rsidRPr="002029AF">
              <w:rPr>
                <w:lang w:val="en-AU"/>
              </w:rPr>
              <w:t>□</w:t>
            </w:r>
          </w:p>
        </w:tc>
      </w:tr>
      <w:tr w:rsidR="00C15C65" w:rsidRPr="002029AF" w14:paraId="20F14E1E" w14:textId="77777777" w:rsidTr="00CB3B6B">
        <w:trPr>
          <w:gridAfter w:val="1"/>
          <w:wAfter w:w="8" w:type="dxa"/>
          <w:cantSplit/>
        </w:trPr>
        <w:tc>
          <w:tcPr>
            <w:tcW w:w="4743" w:type="dxa"/>
            <w:tcBorders>
              <w:top w:val="single" w:sz="4" w:space="0" w:color="BFBFBF"/>
            </w:tcBorders>
            <w:shd w:val="clear" w:color="auto" w:fill="auto"/>
            <w:hideMark/>
          </w:tcPr>
          <w:p w14:paraId="573150EC" w14:textId="17577CF5" w:rsidR="00C15C65" w:rsidRPr="002029AF" w:rsidRDefault="00C15C65" w:rsidP="00C40F5D">
            <w:pPr>
              <w:pStyle w:val="ARtabletext"/>
            </w:pPr>
            <w:r w:rsidRPr="002029AF">
              <w:t>Number</w:t>
            </w:r>
            <w:r w:rsidR="000A5329" w:rsidRPr="002029AF">
              <w:t xml:space="preserve"> </w:t>
            </w:r>
            <w:r w:rsidRPr="002029AF">
              <w:t>of</w:t>
            </w:r>
            <w:r w:rsidR="000A5329" w:rsidRPr="002029AF">
              <w:t xml:space="preserve"> </w:t>
            </w:r>
            <w:r w:rsidRPr="002029AF">
              <w:t>designated</w:t>
            </w:r>
            <w:r w:rsidR="000A5329" w:rsidRPr="002029AF">
              <w:t xml:space="preserve"> </w:t>
            </w:r>
            <w:r w:rsidRPr="002029AF">
              <w:t>mental</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achieving</w:t>
            </w:r>
            <w:r w:rsidR="000A5329" w:rsidRPr="002029AF">
              <w:t xml:space="preserve"> </w:t>
            </w:r>
            <w:r w:rsidRPr="002029AF">
              <w:t>or</w:t>
            </w:r>
            <w:r w:rsidR="000A5329" w:rsidRPr="002029AF">
              <w:t xml:space="preserve"> </w:t>
            </w:r>
            <w:r w:rsidRPr="002029AF">
              <w:t>maintaining</w:t>
            </w:r>
            <w:r w:rsidR="000A5329" w:rsidRPr="002029AF">
              <w:t xml:space="preserve"> </w:t>
            </w:r>
            <w:r w:rsidRPr="002029AF">
              <w:t>accreditation</w:t>
            </w:r>
            <w:r w:rsidR="000A5329" w:rsidRPr="002029AF">
              <w:t xml:space="preserve"> </w:t>
            </w:r>
            <w:r w:rsidRPr="002029AF">
              <w:t>under</w:t>
            </w:r>
            <w:r w:rsidR="000A5329" w:rsidRPr="002029AF">
              <w:t xml:space="preserve"> </w:t>
            </w:r>
            <w:r w:rsidRPr="002029AF">
              <w:t>the</w:t>
            </w:r>
            <w:r w:rsidR="000A5329" w:rsidRPr="002029AF">
              <w:t xml:space="preserve"> </w:t>
            </w:r>
            <w:r w:rsidRPr="002029AF">
              <w:t>National</w:t>
            </w:r>
            <w:r w:rsidR="000A5329" w:rsidRPr="002029AF">
              <w:t xml:space="preserve"> </w:t>
            </w:r>
            <w:r w:rsidRPr="002029AF">
              <w:t>Standards</w:t>
            </w:r>
            <w:r w:rsidR="000A5329" w:rsidRPr="002029AF">
              <w:t xml:space="preserve"> </w:t>
            </w:r>
            <w:r w:rsidRPr="002029AF">
              <w:t>for</w:t>
            </w:r>
            <w:r w:rsidR="000A5329" w:rsidRPr="002029AF">
              <w:t xml:space="preserve"> </w:t>
            </w:r>
            <w:r w:rsidRPr="002029AF">
              <w:t>Mental</w:t>
            </w:r>
            <w:r w:rsidR="000A5329" w:rsidRPr="002029AF">
              <w:t xml:space="preserve"> </w:t>
            </w:r>
            <w:r w:rsidRPr="002029AF">
              <w:t>Health</w:t>
            </w:r>
            <w:r w:rsidR="000A5329" w:rsidRPr="002029AF">
              <w:t xml:space="preserve"> </w:t>
            </w:r>
            <w:r w:rsidRPr="002029AF">
              <w:t>Services</w:t>
            </w:r>
          </w:p>
        </w:tc>
        <w:tc>
          <w:tcPr>
            <w:tcW w:w="1022" w:type="dxa"/>
            <w:tcBorders>
              <w:top w:val="single" w:sz="4" w:space="0" w:color="BFBFBF"/>
            </w:tcBorders>
            <w:shd w:val="clear" w:color="auto" w:fill="auto"/>
            <w:hideMark/>
          </w:tcPr>
          <w:p w14:paraId="19FA62DA" w14:textId="77777777" w:rsidR="00C15C65" w:rsidRPr="002029AF" w:rsidRDefault="00C15C65" w:rsidP="00C40F5D">
            <w:pPr>
              <w:pStyle w:val="ARtabletext"/>
            </w:pPr>
            <w:r w:rsidRPr="002029AF">
              <w:t>number</w:t>
            </w:r>
          </w:p>
        </w:tc>
        <w:tc>
          <w:tcPr>
            <w:tcW w:w="1019" w:type="dxa"/>
            <w:tcBorders>
              <w:top w:val="single" w:sz="4" w:space="0" w:color="BFBFBF"/>
            </w:tcBorders>
            <w:shd w:val="clear" w:color="auto" w:fill="auto"/>
            <w:hideMark/>
          </w:tcPr>
          <w:p w14:paraId="35AEF500" w14:textId="77777777" w:rsidR="00C15C65" w:rsidRPr="002029AF" w:rsidRDefault="00C15C65" w:rsidP="00FD77AA">
            <w:pPr>
              <w:pStyle w:val="ARtabletextright"/>
            </w:pPr>
            <w:r w:rsidRPr="002029AF">
              <w:t>18</w:t>
            </w:r>
          </w:p>
        </w:tc>
        <w:tc>
          <w:tcPr>
            <w:tcW w:w="1021" w:type="dxa"/>
            <w:tcBorders>
              <w:top w:val="single" w:sz="4" w:space="0" w:color="BFBFBF"/>
            </w:tcBorders>
            <w:shd w:val="clear" w:color="auto" w:fill="auto"/>
            <w:hideMark/>
          </w:tcPr>
          <w:p w14:paraId="13F9D67F" w14:textId="77777777" w:rsidR="00C15C65" w:rsidRPr="002029AF" w:rsidRDefault="00C15C65" w:rsidP="00FD77AA">
            <w:pPr>
              <w:pStyle w:val="ARtabletextright"/>
            </w:pPr>
            <w:r w:rsidRPr="002029AF">
              <w:t>9</w:t>
            </w:r>
          </w:p>
        </w:tc>
        <w:tc>
          <w:tcPr>
            <w:tcW w:w="1032" w:type="dxa"/>
            <w:tcBorders>
              <w:top w:val="single" w:sz="4" w:space="0" w:color="BFBFBF"/>
            </w:tcBorders>
            <w:shd w:val="clear" w:color="auto" w:fill="auto"/>
          </w:tcPr>
          <w:p w14:paraId="72A68347" w14:textId="77777777" w:rsidR="00C15C65" w:rsidRPr="002029AF" w:rsidRDefault="00C15C65" w:rsidP="00FD77AA">
            <w:pPr>
              <w:pStyle w:val="ARtabletextright"/>
            </w:pPr>
            <w:r w:rsidRPr="002029AF">
              <w:t>-50.0</w:t>
            </w:r>
          </w:p>
        </w:tc>
        <w:tc>
          <w:tcPr>
            <w:tcW w:w="794" w:type="dxa"/>
            <w:tcBorders>
              <w:top w:val="single" w:sz="4" w:space="0" w:color="BFBFBF"/>
            </w:tcBorders>
            <w:shd w:val="clear" w:color="auto" w:fill="auto"/>
            <w:hideMark/>
          </w:tcPr>
          <w:p w14:paraId="79071D05"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34A1933D" w14:textId="77777777" w:rsidTr="005B58F0">
        <w:trPr>
          <w:gridAfter w:val="1"/>
          <w:wAfter w:w="8" w:type="dxa"/>
          <w:cantSplit/>
        </w:trPr>
        <w:tc>
          <w:tcPr>
            <w:tcW w:w="9631" w:type="dxa"/>
            <w:gridSpan w:val="6"/>
            <w:tcBorders>
              <w:bottom w:val="single" w:sz="4" w:space="0" w:color="BFBFBF"/>
            </w:tcBorders>
            <w:shd w:val="clear" w:color="auto" w:fill="auto"/>
            <w:noWrap/>
            <w:hideMark/>
          </w:tcPr>
          <w:p w14:paraId="644E8DC4" w14:textId="75853A6F" w:rsidR="00C15C65" w:rsidRPr="002029AF" w:rsidRDefault="00C15C65" w:rsidP="002C5190">
            <w:pPr>
              <w:pStyle w:val="ARtablenoteindent"/>
            </w:pPr>
            <w:r w:rsidRPr="002029AF">
              <w:t>Whilst</w:t>
            </w:r>
            <w:r w:rsidR="000A5329" w:rsidRPr="002029AF">
              <w:t xml:space="preserve"> </w:t>
            </w:r>
            <w:r w:rsidRPr="002029AF">
              <w:t>the</w:t>
            </w:r>
            <w:r w:rsidR="000A5329" w:rsidRPr="002029AF">
              <w:t xml:space="preserve"> </w:t>
            </w:r>
            <w:r w:rsidRPr="002029AF">
              <w:t>number</w:t>
            </w:r>
            <w:r w:rsidR="000A5329" w:rsidRPr="002029AF">
              <w:t xml:space="preserve"> </w:t>
            </w:r>
            <w:r w:rsidRPr="002029AF">
              <w:t>of</w:t>
            </w:r>
            <w:r w:rsidR="000A5329" w:rsidRPr="002029AF">
              <w:t xml:space="preserve"> </w:t>
            </w:r>
            <w:r w:rsidRPr="002029AF">
              <w:t>designated</w:t>
            </w:r>
            <w:r w:rsidR="000A5329" w:rsidRPr="002029AF">
              <w:t xml:space="preserve"> </w:t>
            </w:r>
            <w:r w:rsidRPr="002029AF">
              <w:t>mental</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against</w:t>
            </w:r>
            <w:r w:rsidR="000A5329" w:rsidRPr="002029AF">
              <w:t xml:space="preserve"> </w:t>
            </w:r>
            <w:r w:rsidRPr="002029AF">
              <w:t>the</w:t>
            </w:r>
            <w:r w:rsidR="000A5329" w:rsidRPr="002029AF">
              <w:t xml:space="preserve"> </w:t>
            </w:r>
            <w:r w:rsidRPr="002029AF">
              <w:t>National</w:t>
            </w:r>
            <w:r w:rsidR="000A5329" w:rsidRPr="002029AF">
              <w:t xml:space="preserve"> </w:t>
            </w:r>
            <w:r w:rsidRPr="002029AF">
              <w:t>Mental</w:t>
            </w:r>
            <w:r w:rsidR="000A5329" w:rsidRPr="002029AF">
              <w:t xml:space="preserve"> </w:t>
            </w:r>
            <w:r w:rsidRPr="002029AF">
              <w:t>Health</w:t>
            </w:r>
            <w:r w:rsidR="000A5329" w:rsidRPr="002029AF">
              <w:t xml:space="preserve"> </w:t>
            </w:r>
            <w:r w:rsidRPr="002029AF">
              <w:t>Standards</w:t>
            </w:r>
            <w:r w:rsidR="000A5329" w:rsidRPr="002029AF">
              <w:t xml:space="preserve"> </w:t>
            </w:r>
            <w:r w:rsidRPr="002029AF">
              <w:t>is</w:t>
            </w:r>
            <w:r w:rsidR="000A5329" w:rsidRPr="002029AF">
              <w:t xml:space="preserve"> </w:t>
            </w:r>
            <w:r w:rsidRPr="002029AF">
              <w:t>below</w:t>
            </w:r>
            <w:r w:rsidR="000A5329" w:rsidRPr="002029AF">
              <w:t xml:space="preserve"> </w:t>
            </w:r>
            <w:r w:rsidRPr="002029AF">
              <w:t>target,</w:t>
            </w:r>
            <w:r w:rsidR="000A5329" w:rsidRPr="002029AF">
              <w:t xml:space="preserve"> </w:t>
            </w:r>
            <w:r w:rsidRPr="002029AF">
              <w:t>all</w:t>
            </w:r>
            <w:r w:rsidR="000A5329" w:rsidRPr="002029AF">
              <w:t xml:space="preserve"> </w:t>
            </w:r>
            <w:r w:rsidRPr="002029AF">
              <w:t>Victorian</w:t>
            </w:r>
            <w:r w:rsidR="000A5329" w:rsidRPr="002029AF">
              <w:t xml:space="preserve"> </w:t>
            </w:r>
            <w:r w:rsidRPr="002029AF">
              <w:t>mental</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are</w:t>
            </w:r>
            <w:r w:rsidR="000A5329" w:rsidRPr="002029AF">
              <w:t xml:space="preserve"> </w:t>
            </w:r>
            <w:r w:rsidRPr="002029AF">
              <w:t>accredited.</w:t>
            </w:r>
            <w:r w:rsidR="000A5329" w:rsidRPr="002029AF">
              <w:t xml:space="preserve"> </w:t>
            </w:r>
            <w:r w:rsidRPr="002029AF">
              <w:t>Victorian</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are</w:t>
            </w:r>
            <w:r w:rsidR="000A5329" w:rsidRPr="002029AF">
              <w:t xml:space="preserve"> </w:t>
            </w:r>
            <w:r w:rsidRPr="002029AF">
              <w:t>in</w:t>
            </w:r>
            <w:r w:rsidR="000A5329" w:rsidRPr="002029AF">
              <w:t xml:space="preserve"> </w:t>
            </w:r>
            <w:r w:rsidRPr="002029AF">
              <w:t>transition</w:t>
            </w:r>
            <w:r w:rsidR="000A5329" w:rsidRPr="002029AF">
              <w:t xml:space="preserve"> </w:t>
            </w:r>
            <w:r w:rsidRPr="002029AF">
              <w:t>to</w:t>
            </w:r>
            <w:r w:rsidR="000A5329" w:rsidRPr="002029AF">
              <w:t xml:space="preserve"> </w:t>
            </w:r>
            <w:r w:rsidRPr="002029AF">
              <w:t>a</w:t>
            </w:r>
            <w:r w:rsidR="000A5329" w:rsidRPr="002029AF">
              <w:t xml:space="preserve"> </w:t>
            </w:r>
            <w:r w:rsidRPr="002029AF">
              <w:t>single</w:t>
            </w:r>
            <w:r w:rsidR="000A5329" w:rsidRPr="002029AF">
              <w:t xml:space="preserve"> </w:t>
            </w:r>
            <w:r w:rsidRPr="002029AF">
              <w:t>accreditation</w:t>
            </w:r>
            <w:r w:rsidR="000A5329" w:rsidRPr="002029AF">
              <w:t xml:space="preserve"> </w:t>
            </w:r>
            <w:r w:rsidRPr="002029AF">
              <w:t>process</w:t>
            </w:r>
            <w:r w:rsidR="000A5329" w:rsidRPr="002029AF">
              <w:t xml:space="preserve"> </w:t>
            </w:r>
            <w:r w:rsidRPr="002029AF">
              <w:t>–</w:t>
            </w:r>
            <w:r w:rsidR="000A5329" w:rsidRPr="002029AF">
              <w:t xml:space="preserve"> </w:t>
            </w:r>
            <w:r w:rsidRPr="002029AF">
              <w:t>nine</w:t>
            </w:r>
            <w:r w:rsidR="000A5329" w:rsidRPr="002029AF">
              <w:t xml:space="preserve"> </w:t>
            </w:r>
            <w:r w:rsidRPr="002029AF">
              <w:t>services</w:t>
            </w:r>
            <w:r w:rsidR="000A5329" w:rsidRPr="002029AF">
              <w:t xml:space="preserve"> </w:t>
            </w:r>
            <w:r w:rsidRPr="002029AF">
              <w:t>were</w:t>
            </w:r>
            <w:r w:rsidR="000A5329" w:rsidRPr="002029AF">
              <w:t xml:space="preserve"> </w:t>
            </w:r>
            <w:r w:rsidRPr="002029AF">
              <w:t>accredited</w:t>
            </w:r>
            <w:r w:rsidR="000A5329" w:rsidRPr="002029AF">
              <w:t xml:space="preserve"> </w:t>
            </w:r>
            <w:r w:rsidRPr="002029AF">
              <w:t>under</w:t>
            </w:r>
            <w:r w:rsidR="000A5329" w:rsidRPr="002029AF">
              <w:t xml:space="preserve"> </w:t>
            </w:r>
            <w:r w:rsidRPr="002029AF">
              <w:t>the</w:t>
            </w:r>
            <w:r w:rsidR="000A5329" w:rsidRPr="002029AF">
              <w:t xml:space="preserve"> </w:t>
            </w:r>
            <w:r w:rsidRPr="002029AF">
              <w:t>National</w:t>
            </w:r>
            <w:r w:rsidR="000A5329" w:rsidRPr="002029AF">
              <w:t xml:space="preserve"> </w:t>
            </w:r>
            <w:r w:rsidRPr="002029AF">
              <w:t>Mental</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while</w:t>
            </w:r>
            <w:r w:rsidR="000A5329" w:rsidRPr="002029AF">
              <w:t xml:space="preserve"> </w:t>
            </w:r>
            <w:r w:rsidRPr="002029AF">
              <w:t>the</w:t>
            </w:r>
            <w:r w:rsidR="000A5329" w:rsidRPr="002029AF">
              <w:t xml:space="preserve"> </w:t>
            </w:r>
            <w:r w:rsidRPr="002029AF">
              <w:t>remaining</w:t>
            </w:r>
            <w:r w:rsidR="000A5329" w:rsidRPr="002029AF">
              <w:t xml:space="preserve"> </w:t>
            </w:r>
            <w:r w:rsidRPr="002029AF">
              <w:t>are</w:t>
            </w:r>
            <w:r w:rsidR="000A5329" w:rsidRPr="002029AF">
              <w:t xml:space="preserve"> </w:t>
            </w:r>
            <w:r w:rsidRPr="002029AF">
              <w:t>transitioning</w:t>
            </w:r>
            <w:r w:rsidR="000A5329" w:rsidRPr="002029AF">
              <w:t xml:space="preserve"> </w:t>
            </w:r>
            <w:r w:rsidRPr="002029AF">
              <w:t>to</w:t>
            </w:r>
            <w:r w:rsidR="000A5329" w:rsidRPr="002029AF">
              <w:t xml:space="preserve"> </w:t>
            </w:r>
            <w:r w:rsidRPr="002029AF">
              <w:t>the</w:t>
            </w:r>
            <w:r w:rsidR="000A5329" w:rsidRPr="002029AF">
              <w:t xml:space="preserve"> </w:t>
            </w:r>
            <w:r w:rsidRPr="002029AF">
              <w:t>new</w:t>
            </w:r>
            <w:r w:rsidR="000A5329" w:rsidRPr="002029AF">
              <w:t xml:space="preserve"> </w:t>
            </w:r>
            <w:r w:rsidRPr="002029AF">
              <w:t>National</w:t>
            </w:r>
            <w:r w:rsidR="000A5329" w:rsidRPr="002029AF">
              <w:t xml:space="preserve"> </w:t>
            </w:r>
            <w:r w:rsidRPr="002029AF">
              <w:t>Safety</w:t>
            </w:r>
            <w:r w:rsidR="000A5329" w:rsidRPr="002029AF">
              <w:t xml:space="preserve"> </w:t>
            </w:r>
            <w:r w:rsidRPr="002029AF">
              <w:t>and</w:t>
            </w:r>
            <w:r w:rsidR="000A5329" w:rsidRPr="002029AF">
              <w:t xml:space="preserve"> </w:t>
            </w:r>
            <w:r w:rsidRPr="002029AF">
              <w:t>Quality</w:t>
            </w:r>
            <w:r w:rsidR="000A5329" w:rsidRPr="002029AF">
              <w:t xml:space="preserve"> </w:t>
            </w:r>
            <w:r w:rsidRPr="002029AF">
              <w:t>in</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Standards</w:t>
            </w:r>
            <w:r w:rsidR="000A5329" w:rsidRPr="002029AF">
              <w:t xml:space="preserve"> </w:t>
            </w:r>
            <w:r w:rsidRPr="002029AF">
              <w:t>(second</w:t>
            </w:r>
            <w:r w:rsidR="000A5329" w:rsidRPr="002029AF">
              <w:t xml:space="preserve"> </w:t>
            </w:r>
            <w:r w:rsidRPr="002029AF">
              <w:t>edition).</w:t>
            </w:r>
          </w:p>
        </w:tc>
      </w:tr>
      <w:tr w:rsidR="00C15C65" w:rsidRPr="002029AF" w14:paraId="2D4C7A72" w14:textId="77777777" w:rsidTr="00CB3B6B">
        <w:trPr>
          <w:gridAfter w:val="1"/>
          <w:wAfter w:w="8" w:type="dxa"/>
          <w:cantSplit/>
        </w:trPr>
        <w:tc>
          <w:tcPr>
            <w:tcW w:w="4743" w:type="dxa"/>
            <w:tcBorders>
              <w:top w:val="single" w:sz="4" w:space="0" w:color="BFBFBF"/>
              <w:bottom w:val="single" w:sz="4" w:space="0" w:color="BFBFBF"/>
            </w:tcBorders>
            <w:shd w:val="clear" w:color="auto" w:fill="auto"/>
            <w:hideMark/>
          </w:tcPr>
          <w:p w14:paraId="359A4861" w14:textId="1C5A28BB" w:rsidR="00C15C65" w:rsidRPr="002029AF" w:rsidRDefault="00C15C65" w:rsidP="00C40F5D">
            <w:pPr>
              <w:pStyle w:val="ARtabletext"/>
            </w:pPr>
            <w:r w:rsidRPr="002029AF">
              <w:t>Post-discharge</w:t>
            </w:r>
            <w:r w:rsidR="000A5329" w:rsidRPr="002029AF">
              <w:t xml:space="preserve"> </w:t>
            </w:r>
            <w:r w:rsidRPr="002029AF">
              <w:t>community</w:t>
            </w:r>
            <w:r w:rsidR="000A5329" w:rsidRPr="002029AF">
              <w:t xml:space="preserve"> </w:t>
            </w:r>
            <w:r w:rsidRPr="002029AF">
              <w:t>care</w:t>
            </w:r>
          </w:p>
        </w:tc>
        <w:tc>
          <w:tcPr>
            <w:tcW w:w="1022" w:type="dxa"/>
            <w:tcBorders>
              <w:top w:val="single" w:sz="4" w:space="0" w:color="BFBFBF"/>
              <w:bottom w:val="single" w:sz="4" w:space="0" w:color="BFBFBF"/>
            </w:tcBorders>
            <w:shd w:val="clear" w:color="auto" w:fill="auto"/>
            <w:hideMark/>
          </w:tcPr>
          <w:p w14:paraId="7AD77412" w14:textId="305B778C" w:rsidR="00C15C65" w:rsidRPr="002029AF" w:rsidRDefault="00C15C65" w:rsidP="00C40F5D">
            <w:pPr>
              <w:pStyle w:val="ARtabletext"/>
            </w:pPr>
            <w:r w:rsidRPr="002029AF">
              <w:t>per</w:t>
            </w:r>
            <w:r w:rsidR="000A5329" w:rsidRPr="002029AF">
              <w:t xml:space="preserve"> </w:t>
            </w:r>
            <w:r w:rsidRPr="002029AF">
              <w:t>cent</w:t>
            </w:r>
          </w:p>
        </w:tc>
        <w:tc>
          <w:tcPr>
            <w:tcW w:w="1019" w:type="dxa"/>
            <w:tcBorders>
              <w:top w:val="single" w:sz="4" w:space="0" w:color="BFBFBF"/>
              <w:bottom w:val="single" w:sz="4" w:space="0" w:color="BFBFBF"/>
            </w:tcBorders>
            <w:shd w:val="clear" w:color="auto" w:fill="auto"/>
            <w:hideMark/>
          </w:tcPr>
          <w:p w14:paraId="368CD7A4" w14:textId="77777777" w:rsidR="00C15C65" w:rsidRPr="002029AF" w:rsidRDefault="00C15C65" w:rsidP="00FD77AA">
            <w:pPr>
              <w:pStyle w:val="ARtabletextright"/>
            </w:pPr>
            <w:r w:rsidRPr="002029AF">
              <w:t>88</w:t>
            </w:r>
          </w:p>
        </w:tc>
        <w:tc>
          <w:tcPr>
            <w:tcW w:w="1021" w:type="dxa"/>
            <w:tcBorders>
              <w:top w:val="single" w:sz="4" w:space="0" w:color="BFBFBF"/>
              <w:bottom w:val="single" w:sz="4" w:space="0" w:color="BFBFBF"/>
            </w:tcBorders>
            <w:shd w:val="clear" w:color="auto" w:fill="auto"/>
            <w:hideMark/>
          </w:tcPr>
          <w:p w14:paraId="54398738" w14:textId="77777777" w:rsidR="00C15C65" w:rsidRPr="002029AF" w:rsidRDefault="00C15C65" w:rsidP="00FD77AA">
            <w:pPr>
              <w:pStyle w:val="ARtabletextright"/>
            </w:pPr>
            <w:r w:rsidRPr="002029AF">
              <w:t>89.5</w:t>
            </w:r>
          </w:p>
        </w:tc>
        <w:tc>
          <w:tcPr>
            <w:tcW w:w="1032" w:type="dxa"/>
            <w:tcBorders>
              <w:top w:val="single" w:sz="4" w:space="0" w:color="BFBFBF"/>
              <w:bottom w:val="single" w:sz="4" w:space="0" w:color="BFBFBF"/>
            </w:tcBorders>
            <w:shd w:val="clear" w:color="auto" w:fill="auto"/>
          </w:tcPr>
          <w:p w14:paraId="3E05449D" w14:textId="77777777" w:rsidR="00C15C65" w:rsidRPr="002029AF" w:rsidRDefault="00C15C65" w:rsidP="00FD77AA">
            <w:pPr>
              <w:pStyle w:val="ARtabletextright"/>
            </w:pPr>
            <w:r w:rsidRPr="002029AF">
              <w:t>1.7</w:t>
            </w:r>
          </w:p>
        </w:tc>
        <w:tc>
          <w:tcPr>
            <w:tcW w:w="794" w:type="dxa"/>
            <w:tcBorders>
              <w:top w:val="single" w:sz="4" w:space="0" w:color="BFBFBF"/>
              <w:bottom w:val="single" w:sz="4" w:space="0" w:color="BFBFBF"/>
            </w:tcBorders>
            <w:shd w:val="clear" w:color="auto" w:fill="auto"/>
            <w:hideMark/>
          </w:tcPr>
          <w:p w14:paraId="6B2609A2"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11588FD5" w14:textId="77777777" w:rsidTr="00CB3B6B">
        <w:trPr>
          <w:gridAfter w:val="1"/>
          <w:wAfter w:w="8" w:type="dxa"/>
          <w:cantSplit/>
        </w:trPr>
        <w:tc>
          <w:tcPr>
            <w:tcW w:w="4743" w:type="dxa"/>
            <w:tcBorders>
              <w:top w:val="single" w:sz="4" w:space="0" w:color="BFBFBF"/>
              <w:bottom w:val="single" w:sz="4" w:space="0" w:color="BFBFBF"/>
            </w:tcBorders>
            <w:shd w:val="clear" w:color="auto" w:fill="auto"/>
            <w:hideMark/>
          </w:tcPr>
          <w:p w14:paraId="6A024526" w14:textId="09699046" w:rsidR="00C15C65" w:rsidRPr="002029AF" w:rsidRDefault="00C15C65" w:rsidP="00C40F5D">
            <w:pPr>
              <w:pStyle w:val="ARtabletext"/>
            </w:pPr>
            <w:r w:rsidRPr="002029AF">
              <w:t>Pre-admission</w:t>
            </w:r>
            <w:r w:rsidR="000A5329" w:rsidRPr="002029AF">
              <w:t xml:space="preserve"> </w:t>
            </w:r>
            <w:r w:rsidRPr="002029AF">
              <w:t>community</w:t>
            </w:r>
            <w:r w:rsidR="000A5329" w:rsidRPr="002029AF">
              <w:t xml:space="preserve"> </w:t>
            </w:r>
            <w:r w:rsidRPr="002029AF">
              <w:t>care</w:t>
            </w:r>
          </w:p>
        </w:tc>
        <w:tc>
          <w:tcPr>
            <w:tcW w:w="1022" w:type="dxa"/>
            <w:tcBorders>
              <w:top w:val="single" w:sz="4" w:space="0" w:color="BFBFBF"/>
              <w:bottom w:val="single" w:sz="4" w:space="0" w:color="BFBFBF"/>
            </w:tcBorders>
            <w:shd w:val="clear" w:color="auto" w:fill="auto"/>
            <w:hideMark/>
          </w:tcPr>
          <w:p w14:paraId="7423A58F" w14:textId="29919790" w:rsidR="00C15C65" w:rsidRPr="002029AF" w:rsidRDefault="00C15C65" w:rsidP="00C40F5D">
            <w:pPr>
              <w:pStyle w:val="ARtabletext"/>
            </w:pPr>
            <w:r w:rsidRPr="002029AF">
              <w:t>per</w:t>
            </w:r>
            <w:r w:rsidR="000A5329" w:rsidRPr="002029AF">
              <w:t xml:space="preserve"> </w:t>
            </w:r>
            <w:r w:rsidRPr="002029AF">
              <w:t>cent</w:t>
            </w:r>
          </w:p>
        </w:tc>
        <w:tc>
          <w:tcPr>
            <w:tcW w:w="1019" w:type="dxa"/>
            <w:tcBorders>
              <w:top w:val="single" w:sz="4" w:space="0" w:color="BFBFBF"/>
              <w:bottom w:val="single" w:sz="4" w:space="0" w:color="BFBFBF"/>
            </w:tcBorders>
            <w:shd w:val="clear" w:color="auto" w:fill="auto"/>
            <w:hideMark/>
          </w:tcPr>
          <w:p w14:paraId="1693483A" w14:textId="77777777" w:rsidR="00C15C65" w:rsidRPr="002029AF" w:rsidRDefault="00C15C65" w:rsidP="00FD77AA">
            <w:pPr>
              <w:pStyle w:val="ARtabletextright"/>
            </w:pPr>
            <w:r w:rsidRPr="002029AF">
              <w:t>61</w:t>
            </w:r>
          </w:p>
        </w:tc>
        <w:tc>
          <w:tcPr>
            <w:tcW w:w="1021" w:type="dxa"/>
            <w:tcBorders>
              <w:top w:val="single" w:sz="4" w:space="0" w:color="BFBFBF"/>
              <w:bottom w:val="single" w:sz="4" w:space="0" w:color="BFBFBF"/>
            </w:tcBorders>
            <w:shd w:val="clear" w:color="auto" w:fill="auto"/>
            <w:hideMark/>
          </w:tcPr>
          <w:p w14:paraId="2B46947D" w14:textId="77777777" w:rsidR="00C15C65" w:rsidRPr="002029AF" w:rsidRDefault="00C15C65" w:rsidP="00FD77AA">
            <w:pPr>
              <w:pStyle w:val="ARtabletextright"/>
            </w:pPr>
            <w:r w:rsidRPr="002029AF">
              <w:t>60.6</w:t>
            </w:r>
          </w:p>
        </w:tc>
        <w:tc>
          <w:tcPr>
            <w:tcW w:w="1032" w:type="dxa"/>
            <w:tcBorders>
              <w:top w:val="single" w:sz="4" w:space="0" w:color="BFBFBF"/>
              <w:bottom w:val="single" w:sz="4" w:space="0" w:color="BFBFBF"/>
            </w:tcBorders>
            <w:shd w:val="clear" w:color="auto" w:fill="auto"/>
          </w:tcPr>
          <w:p w14:paraId="4DBB5AD2" w14:textId="77777777" w:rsidR="00C15C65" w:rsidRPr="002029AF" w:rsidRDefault="00C15C65" w:rsidP="00FD77AA">
            <w:pPr>
              <w:pStyle w:val="ARtabletextright"/>
            </w:pPr>
            <w:r w:rsidRPr="002029AF">
              <w:t>-0.7</w:t>
            </w:r>
          </w:p>
        </w:tc>
        <w:tc>
          <w:tcPr>
            <w:tcW w:w="794" w:type="dxa"/>
            <w:tcBorders>
              <w:top w:val="single" w:sz="4" w:space="0" w:color="BFBFBF"/>
              <w:bottom w:val="single" w:sz="4" w:space="0" w:color="BFBFBF"/>
            </w:tcBorders>
            <w:shd w:val="clear" w:color="auto" w:fill="auto"/>
            <w:hideMark/>
          </w:tcPr>
          <w:p w14:paraId="27981B35" w14:textId="5A8A32E6" w:rsidR="00C15C65" w:rsidRPr="002029AF" w:rsidRDefault="003A6C3B" w:rsidP="000F6867">
            <w:pPr>
              <w:pStyle w:val="ARtableperformancesymbol"/>
              <w:rPr>
                <w:rFonts w:hint="eastAsia"/>
                <w:lang w:val="en-AU"/>
              </w:rPr>
            </w:pPr>
            <w:r w:rsidRPr="002029AF">
              <w:rPr>
                <w:lang w:val="en-AU"/>
              </w:rPr>
              <w:t>□</w:t>
            </w:r>
          </w:p>
        </w:tc>
      </w:tr>
      <w:tr w:rsidR="00C15C65" w:rsidRPr="002029AF" w14:paraId="56618EC7" w14:textId="77777777" w:rsidTr="00CB3B6B">
        <w:trPr>
          <w:gridAfter w:val="1"/>
          <w:wAfter w:w="8" w:type="dxa"/>
          <w:cantSplit/>
        </w:trPr>
        <w:tc>
          <w:tcPr>
            <w:tcW w:w="4743" w:type="dxa"/>
            <w:tcBorders>
              <w:top w:val="single" w:sz="4" w:space="0" w:color="BFBFBF"/>
            </w:tcBorders>
            <w:shd w:val="clear" w:color="auto" w:fill="auto"/>
            <w:hideMark/>
          </w:tcPr>
          <w:p w14:paraId="0D928E1D" w14:textId="7A99CEB3" w:rsidR="00C15C65" w:rsidRPr="002029AF" w:rsidRDefault="00C15C65" w:rsidP="00C40F5D">
            <w:pPr>
              <w:pStyle w:val="ARtabletext"/>
            </w:pPr>
            <w:r w:rsidRPr="002029AF">
              <w:t>Seclusions</w:t>
            </w:r>
            <w:r w:rsidR="000A5329" w:rsidRPr="002029AF">
              <w:t xml:space="preserve"> </w:t>
            </w:r>
            <w:r w:rsidRPr="002029AF">
              <w:t>per</w:t>
            </w:r>
            <w:r w:rsidR="000A5329" w:rsidRPr="002029AF">
              <w:t xml:space="preserve"> </w:t>
            </w:r>
            <w:r w:rsidRPr="002029AF">
              <w:t>1</w:t>
            </w:r>
            <w:r w:rsidR="000A5329" w:rsidRPr="002029AF">
              <w:t xml:space="preserve"> </w:t>
            </w:r>
            <w:r w:rsidRPr="002029AF">
              <w:t>000</w:t>
            </w:r>
            <w:r w:rsidR="000A5329" w:rsidRPr="002029AF">
              <w:t xml:space="preserve"> </w:t>
            </w:r>
            <w:r w:rsidRPr="002029AF">
              <w:t>occupied</w:t>
            </w:r>
            <w:r w:rsidR="000A5329" w:rsidRPr="002029AF">
              <w:t xml:space="preserve"> </w:t>
            </w:r>
            <w:r w:rsidRPr="002029AF">
              <w:t>bed</w:t>
            </w:r>
            <w:r w:rsidR="000A5329" w:rsidRPr="002029AF">
              <w:t xml:space="preserve"> </w:t>
            </w:r>
            <w:r w:rsidRPr="002029AF">
              <w:t>days</w:t>
            </w:r>
          </w:p>
        </w:tc>
        <w:tc>
          <w:tcPr>
            <w:tcW w:w="1022" w:type="dxa"/>
            <w:tcBorders>
              <w:top w:val="single" w:sz="4" w:space="0" w:color="BFBFBF"/>
            </w:tcBorders>
            <w:shd w:val="clear" w:color="auto" w:fill="auto"/>
            <w:hideMark/>
          </w:tcPr>
          <w:p w14:paraId="4A6296B2" w14:textId="77777777" w:rsidR="00C15C65" w:rsidRPr="002029AF" w:rsidRDefault="00C15C65" w:rsidP="00C40F5D">
            <w:pPr>
              <w:pStyle w:val="ARtabletext"/>
            </w:pPr>
            <w:r w:rsidRPr="002029AF">
              <w:t>number</w:t>
            </w:r>
          </w:p>
        </w:tc>
        <w:tc>
          <w:tcPr>
            <w:tcW w:w="1019" w:type="dxa"/>
            <w:tcBorders>
              <w:top w:val="single" w:sz="4" w:space="0" w:color="BFBFBF"/>
            </w:tcBorders>
            <w:shd w:val="clear" w:color="auto" w:fill="auto"/>
            <w:hideMark/>
          </w:tcPr>
          <w:p w14:paraId="433C124A" w14:textId="77777777" w:rsidR="00C15C65" w:rsidRPr="002029AF" w:rsidRDefault="00C15C65" w:rsidP="00FD77AA">
            <w:pPr>
              <w:pStyle w:val="ARtabletextright"/>
            </w:pPr>
            <w:r w:rsidRPr="002029AF">
              <w:t>8</w:t>
            </w:r>
          </w:p>
        </w:tc>
        <w:tc>
          <w:tcPr>
            <w:tcW w:w="1021" w:type="dxa"/>
            <w:tcBorders>
              <w:top w:val="single" w:sz="4" w:space="0" w:color="BFBFBF"/>
            </w:tcBorders>
            <w:shd w:val="clear" w:color="auto" w:fill="auto"/>
            <w:hideMark/>
          </w:tcPr>
          <w:p w14:paraId="729682BD" w14:textId="77777777" w:rsidR="00C15C65" w:rsidRPr="002029AF" w:rsidRDefault="00C15C65" w:rsidP="00FD77AA">
            <w:pPr>
              <w:pStyle w:val="ARtabletextright"/>
            </w:pPr>
            <w:r w:rsidRPr="002029AF">
              <w:t>9</w:t>
            </w:r>
          </w:p>
        </w:tc>
        <w:tc>
          <w:tcPr>
            <w:tcW w:w="1032" w:type="dxa"/>
            <w:tcBorders>
              <w:top w:val="single" w:sz="4" w:space="0" w:color="BFBFBF"/>
            </w:tcBorders>
            <w:shd w:val="clear" w:color="auto" w:fill="auto"/>
          </w:tcPr>
          <w:p w14:paraId="13226F0B" w14:textId="77777777" w:rsidR="00C15C65" w:rsidRPr="002029AF" w:rsidRDefault="00C15C65" w:rsidP="00FD77AA">
            <w:pPr>
              <w:pStyle w:val="ARtabletextright"/>
            </w:pPr>
            <w:r w:rsidRPr="002029AF">
              <w:t>12.5</w:t>
            </w:r>
          </w:p>
        </w:tc>
        <w:tc>
          <w:tcPr>
            <w:tcW w:w="794" w:type="dxa"/>
            <w:tcBorders>
              <w:top w:val="single" w:sz="4" w:space="0" w:color="BFBFBF"/>
            </w:tcBorders>
            <w:shd w:val="clear" w:color="auto" w:fill="auto"/>
            <w:hideMark/>
          </w:tcPr>
          <w:p w14:paraId="2B0ABF81"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1D93B578" w14:textId="77777777" w:rsidTr="005B58F0">
        <w:trPr>
          <w:gridAfter w:val="1"/>
          <w:wAfter w:w="8" w:type="dxa"/>
          <w:cantSplit/>
        </w:trPr>
        <w:tc>
          <w:tcPr>
            <w:tcW w:w="9631" w:type="dxa"/>
            <w:gridSpan w:val="6"/>
            <w:tcBorders>
              <w:bottom w:val="single" w:sz="4" w:space="0" w:color="BFBFBF"/>
            </w:tcBorders>
            <w:shd w:val="clear" w:color="auto" w:fill="auto"/>
            <w:noWrap/>
            <w:hideMark/>
          </w:tcPr>
          <w:p w14:paraId="77AF5D1A" w14:textId="00EA59B3" w:rsidR="00C15C65" w:rsidRPr="002029AF" w:rsidRDefault="00C15C65" w:rsidP="002C5190">
            <w:pPr>
              <w:pStyle w:val="ARtablenoteindent"/>
            </w:pPr>
            <w:r w:rsidRPr="002029AF">
              <w:t>The</w:t>
            </w:r>
            <w:r w:rsidR="000A5329" w:rsidRPr="002029AF">
              <w:t xml:space="preserve"> </w:t>
            </w:r>
            <w:r w:rsidRPr="002029AF">
              <w:t>result</w:t>
            </w:r>
            <w:r w:rsidR="000A5329" w:rsidRPr="002029AF">
              <w:t xml:space="preserve"> </w:t>
            </w:r>
            <w:r w:rsidRPr="002029AF">
              <w:t>is</w:t>
            </w:r>
            <w:r w:rsidR="000A5329" w:rsidRPr="002029AF">
              <w:t xml:space="preserve"> </w:t>
            </w:r>
            <w:r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The</w:t>
            </w:r>
            <w:r w:rsidR="000A5329" w:rsidRPr="002029AF">
              <w:t xml:space="preserve"> </w:t>
            </w:r>
            <w:r w:rsidRPr="002029AF">
              <w:t>measure</w:t>
            </w:r>
            <w:r w:rsidR="000A5329" w:rsidRPr="002029AF">
              <w:t xml:space="preserve"> </w:t>
            </w:r>
            <w:r w:rsidRPr="002029AF">
              <w:t>is</w:t>
            </w:r>
            <w:r w:rsidR="000A5329" w:rsidRPr="002029AF">
              <w:t xml:space="preserve"> </w:t>
            </w:r>
            <w:r w:rsidRPr="002029AF">
              <w:t>impacted</w:t>
            </w:r>
            <w:r w:rsidR="000A5329" w:rsidRPr="002029AF">
              <w:t xml:space="preserve"> </w:t>
            </w:r>
            <w:r w:rsidRPr="002029AF">
              <w:t>by</w:t>
            </w:r>
            <w:r w:rsidR="000A5329" w:rsidRPr="002029AF">
              <w:t xml:space="preserve"> </w:t>
            </w:r>
            <w:r w:rsidRPr="002029AF">
              <w:t>a</w:t>
            </w:r>
            <w:r w:rsidR="000A5329" w:rsidRPr="002029AF">
              <w:t xml:space="preserve"> </w:t>
            </w:r>
            <w:r w:rsidRPr="002029AF">
              <w:t>higher</w:t>
            </w:r>
            <w:r w:rsidR="000A5329" w:rsidRPr="002029AF">
              <w:t xml:space="preserve"> </w:t>
            </w:r>
            <w:r w:rsidRPr="002029AF">
              <w:t>number</w:t>
            </w:r>
            <w:r w:rsidR="000A5329" w:rsidRPr="002029AF">
              <w:t xml:space="preserve"> </w:t>
            </w:r>
            <w:r w:rsidRPr="002029AF">
              <w:t>of</w:t>
            </w:r>
            <w:r w:rsidR="000A5329" w:rsidRPr="002029AF">
              <w:t xml:space="preserve"> </w:t>
            </w:r>
            <w:r w:rsidRPr="002029AF">
              <w:t>events</w:t>
            </w:r>
            <w:r w:rsidR="000A5329" w:rsidRPr="002029AF">
              <w:t xml:space="preserve"> </w:t>
            </w:r>
            <w:r w:rsidRPr="002029AF">
              <w:t>for</w:t>
            </w:r>
            <w:r w:rsidR="000A5329" w:rsidRPr="002029AF">
              <w:t xml:space="preserve"> </w:t>
            </w:r>
            <w:r w:rsidRPr="002029AF">
              <w:t>a</w:t>
            </w:r>
            <w:r w:rsidR="000A5329" w:rsidRPr="002029AF">
              <w:t xml:space="preserve"> </w:t>
            </w:r>
            <w:r w:rsidRPr="002029AF">
              <w:t>small</w:t>
            </w:r>
            <w:r w:rsidR="000A5329" w:rsidRPr="002029AF">
              <w:t xml:space="preserve"> </w:t>
            </w:r>
            <w:r w:rsidRPr="002029AF">
              <w:t>number</w:t>
            </w:r>
            <w:r w:rsidR="000A5329" w:rsidRPr="002029AF">
              <w:t xml:space="preserve"> </w:t>
            </w:r>
            <w:r w:rsidRPr="002029AF">
              <w:t>of</w:t>
            </w:r>
            <w:r w:rsidR="000A5329" w:rsidRPr="002029AF">
              <w:t xml:space="preserve"> </w:t>
            </w:r>
            <w:r w:rsidRPr="002029AF">
              <w:t>adult</w:t>
            </w:r>
            <w:r w:rsidR="000A5329" w:rsidRPr="002029AF">
              <w:t xml:space="preserve"> </w:t>
            </w:r>
            <w:r w:rsidRPr="002029AF">
              <w:t>patients</w:t>
            </w:r>
            <w:r w:rsidR="000A5329" w:rsidRPr="002029AF">
              <w:t xml:space="preserve"> </w:t>
            </w:r>
            <w:r w:rsidRPr="002029AF">
              <w:t>with</w:t>
            </w:r>
            <w:r w:rsidR="000A5329" w:rsidRPr="002029AF">
              <w:t xml:space="preserve"> </w:t>
            </w:r>
            <w:r w:rsidRPr="002029AF">
              <w:t>challenging</w:t>
            </w:r>
            <w:r w:rsidR="000A5329" w:rsidRPr="002029AF">
              <w:t xml:space="preserve"> </w:t>
            </w:r>
            <w:r w:rsidRPr="002029AF">
              <w:t>behaviours</w:t>
            </w:r>
            <w:r w:rsidR="000A5329" w:rsidRPr="002029AF">
              <w:t xml:space="preserve"> </w:t>
            </w:r>
            <w:r w:rsidRPr="002029AF">
              <w:t>and</w:t>
            </w:r>
            <w:r w:rsidR="000A5329" w:rsidRPr="002029AF">
              <w:t xml:space="preserve"> </w:t>
            </w:r>
            <w:r w:rsidRPr="002029AF">
              <w:t>the</w:t>
            </w:r>
            <w:r w:rsidR="000A5329" w:rsidRPr="002029AF">
              <w:t xml:space="preserve"> </w:t>
            </w:r>
            <w:r w:rsidRPr="002029AF">
              <w:t>limited</w:t>
            </w:r>
            <w:r w:rsidR="000A5329" w:rsidRPr="002029AF">
              <w:t xml:space="preserve"> </w:t>
            </w:r>
            <w:r w:rsidRPr="002029AF">
              <w:t>number</w:t>
            </w:r>
            <w:r w:rsidR="000A5329" w:rsidRPr="002029AF">
              <w:t xml:space="preserve"> </w:t>
            </w:r>
            <w:r w:rsidRPr="002029AF">
              <w:t>of</w:t>
            </w:r>
            <w:r w:rsidR="000A5329" w:rsidRPr="002029AF">
              <w:t xml:space="preserve"> </w:t>
            </w:r>
            <w:r w:rsidRPr="002029AF">
              <w:t>adolescent</w:t>
            </w:r>
            <w:r w:rsidR="000A5329" w:rsidRPr="002029AF">
              <w:t xml:space="preserve"> </w:t>
            </w:r>
            <w:r w:rsidRPr="002029AF">
              <w:t>units</w:t>
            </w:r>
            <w:r w:rsidR="000A5329" w:rsidRPr="002029AF">
              <w:t xml:space="preserve"> </w:t>
            </w:r>
            <w:r w:rsidRPr="002029AF">
              <w:t>in</w:t>
            </w:r>
            <w:r w:rsidR="000A5329" w:rsidRPr="002029AF">
              <w:t xml:space="preserve"> </w:t>
            </w:r>
            <w:r w:rsidRPr="002029AF">
              <w:t>the</w:t>
            </w:r>
            <w:r w:rsidR="000A5329" w:rsidRPr="002029AF">
              <w:t xml:space="preserve"> </w:t>
            </w:r>
            <w:r w:rsidRPr="002029AF">
              <w:t>metropolitan</w:t>
            </w:r>
            <w:r w:rsidR="000A5329" w:rsidRPr="002029AF">
              <w:t xml:space="preserve"> </w:t>
            </w:r>
            <w:r w:rsidRPr="002029AF">
              <w:t>area</w:t>
            </w:r>
            <w:r w:rsidR="000A5329" w:rsidRPr="002029AF">
              <w:t xml:space="preserve"> </w:t>
            </w:r>
            <w:r w:rsidRPr="002029AF">
              <w:t>providing</w:t>
            </w:r>
            <w:r w:rsidR="000A5329" w:rsidRPr="002029AF">
              <w:t xml:space="preserve"> </w:t>
            </w:r>
            <w:r w:rsidRPr="002029AF">
              <w:t>treatment</w:t>
            </w:r>
            <w:r w:rsidR="000A5329" w:rsidRPr="002029AF">
              <w:t xml:space="preserve"> </w:t>
            </w:r>
            <w:r w:rsidRPr="002029AF">
              <w:t>for</w:t>
            </w:r>
            <w:r w:rsidR="000A5329" w:rsidRPr="002029AF">
              <w:t xml:space="preserve"> </w:t>
            </w:r>
            <w:r w:rsidRPr="002029AF">
              <w:t>the</w:t>
            </w:r>
            <w:r w:rsidR="000A5329" w:rsidRPr="002029AF">
              <w:t xml:space="preserve"> </w:t>
            </w:r>
            <w:r w:rsidRPr="002029AF">
              <w:t>entire</w:t>
            </w:r>
            <w:r w:rsidR="000A5329" w:rsidRPr="002029AF">
              <w:t xml:space="preserve"> </w:t>
            </w:r>
            <w:r w:rsidRPr="002029AF">
              <w:t>state.</w:t>
            </w:r>
          </w:p>
        </w:tc>
      </w:tr>
      <w:tr w:rsidR="00C15C65" w:rsidRPr="002029AF" w14:paraId="55A09F00" w14:textId="77777777" w:rsidTr="005B58F0">
        <w:trPr>
          <w:cantSplit/>
        </w:trPr>
        <w:tc>
          <w:tcPr>
            <w:tcW w:w="9639" w:type="dxa"/>
            <w:gridSpan w:val="7"/>
            <w:tcBorders>
              <w:top w:val="single" w:sz="4" w:space="0" w:color="auto"/>
              <w:left w:val="nil"/>
              <w:bottom w:val="nil"/>
              <w:right w:val="nil"/>
            </w:tcBorders>
            <w:hideMark/>
          </w:tcPr>
          <w:p w14:paraId="46A57C5C" w14:textId="77777777" w:rsidR="00C15C65" w:rsidRPr="002029AF" w:rsidRDefault="00C15C65" w:rsidP="00CA3123">
            <w:pPr>
              <w:pStyle w:val="ARtablegreybold"/>
              <w:keepNext/>
            </w:pPr>
            <w:r w:rsidRPr="002029AF">
              <w:t>Timeliness</w:t>
            </w:r>
          </w:p>
        </w:tc>
      </w:tr>
      <w:tr w:rsidR="00C15C65" w:rsidRPr="002029AF" w14:paraId="326AA697" w14:textId="77777777" w:rsidTr="00CB3B6B">
        <w:trPr>
          <w:gridAfter w:val="1"/>
          <w:wAfter w:w="8" w:type="dxa"/>
          <w:cantSplit/>
        </w:trPr>
        <w:tc>
          <w:tcPr>
            <w:tcW w:w="4743" w:type="dxa"/>
            <w:shd w:val="clear" w:color="auto" w:fill="auto"/>
            <w:hideMark/>
          </w:tcPr>
          <w:p w14:paraId="0E00AB14" w14:textId="25E2A22D" w:rsidR="00C15C65" w:rsidRPr="002029AF" w:rsidRDefault="00C15C65" w:rsidP="00CA3123">
            <w:pPr>
              <w:pStyle w:val="ARtabletext"/>
              <w:keepNext/>
            </w:pPr>
            <w:r w:rsidRPr="002029AF">
              <w:t>Emergency</w:t>
            </w:r>
            <w:r w:rsidR="000A5329" w:rsidRPr="002029AF">
              <w:t xml:space="preserve"> </w:t>
            </w:r>
            <w:r w:rsidRPr="002029AF">
              <w:t>patients</w:t>
            </w:r>
            <w:r w:rsidR="000A5329" w:rsidRPr="002029AF">
              <w:t xml:space="preserve"> </w:t>
            </w:r>
            <w:r w:rsidRPr="002029AF">
              <w:t>admitted</w:t>
            </w:r>
            <w:r w:rsidR="000A5329" w:rsidRPr="002029AF">
              <w:t xml:space="preserve"> </w:t>
            </w:r>
            <w:r w:rsidRPr="002029AF">
              <w:t>to</w:t>
            </w:r>
            <w:r w:rsidR="000A5329" w:rsidRPr="002029AF">
              <w:t xml:space="preserve"> </w:t>
            </w:r>
            <w:r w:rsidRPr="002029AF">
              <w:t>a</w:t>
            </w:r>
            <w:r w:rsidR="000A5329" w:rsidRPr="002029AF">
              <w:t xml:space="preserve"> </w:t>
            </w:r>
            <w:r w:rsidRPr="002029AF">
              <w:t>mental</w:t>
            </w:r>
            <w:r w:rsidR="000A5329" w:rsidRPr="002029AF">
              <w:t xml:space="preserve"> </w:t>
            </w:r>
            <w:r w:rsidRPr="002029AF">
              <w:t>health</w:t>
            </w:r>
            <w:r w:rsidR="000A5329" w:rsidRPr="002029AF">
              <w:t xml:space="preserve"> </w:t>
            </w:r>
            <w:r w:rsidRPr="002029AF">
              <w:t>bed</w:t>
            </w:r>
            <w:r w:rsidR="000A5329" w:rsidRPr="002029AF">
              <w:t xml:space="preserve"> </w:t>
            </w:r>
            <w:r w:rsidRPr="002029AF">
              <w:t>within</w:t>
            </w:r>
            <w:r w:rsidR="000A5329" w:rsidRPr="002029AF">
              <w:t xml:space="preserve"> </w:t>
            </w:r>
            <w:r w:rsidRPr="002029AF">
              <w:t>eight</w:t>
            </w:r>
            <w:r w:rsidR="000A5329" w:rsidRPr="002029AF">
              <w:t xml:space="preserve"> </w:t>
            </w:r>
            <w:r w:rsidRPr="002029AF">
              <w:t>hours</w:t>
            </w:r>
          </w:p>
        </w:tc>
        <w:tc>
          <w:tcPr>
            <w:tcW w:w="1022" w:type="dxa"/>
            <w:shd w:val="clear" w:color="auto" w:fill="auto"/>
            <w:hideMark/>
          </w:tcPr>
          <w:p w14:paraId="4AAFDD34" w14:textId="46B53F79" w:rsidR="00C15C65" w:rsidRPr="002029AF" w:rsidRDefault="00C15C65" w:rsidP="00C40F5D">
            <w:pPr>
              <w:pStyle w:val="ARtabletext"/>
            </w:pPr>
            <w:r w:rsidRPr="002029AF">
              <w:t>per</w:t>
            </w:r>
            <w:r w:rsidR="000A5329" w:rsidRPr="002029AF">
              <w:t xml:space="preserve"> </w:t>
            </w:r>
            <w:r w:rsidRPr="002029AF">
              <w:t>cent</w:t>
            </w:r>
          </w:p>
        </w:tc>
        <w:tc>
          <w:tcPr>
            <w:tcW w:w="1019" w:type="dxa"/>
            <w:shd w:val="clear" w:color="auto" w:fill="auto"/>
            <w:hideMark/>
          </w:tcPr>
          <w:p w14:paraId="57C603E8" w14:textId="77777777" w:rsidR="00C15C65" w:rsidRPr="002029AF" w:rsidRDefault="00C15C65" w:rsidP="00FD77AA">
            <w:pPr>
              <w:pStyle w:val="ARtabletextright"/>
            </w:pPr>
            <w:r w:rsidRPr="002029AF">
              <w:t>80</w:t>
            </w:r>
          </w:p>
        </w:tc>
        <w:tc>
          <w:tcPr>
            <w:tcW w:w="1021" w:type="dxa"/>
            <w:shd w:val="clear" w:color="auto" w:fill="auto"/>
            <w:hideMark/>
          </w:tcPr>
          <w:p w14:paraId="6290CA53" w14:textId="77777777" w:rsidR="00C15C65" w:rsidRPr="002029AF" w:rsidRDefault="00C15C65" w:rsidP="00FD77AA">
            <w:pPr>
              <w:pStyle w:val="ARtabletextright"/>
            </w:pPr>
            <w:r w:rsidRPr="002029AF">
              <w:t>54.4</w:t>
            </w:r>
          </w:p>
        </w:tc>
        <w:tc>
          <w:tcPr>
            <w:tcW w:w="1032" w:type="dxa"/>
            <w:shd w:val="clear" w:color="auto" w:fill="auto"/>
          </w:tcPr>
          <w:p w14:paraId="67AEB355" w14:textId="77777777" w:rsidR="00C15C65" w:rsidRPr="002029AF" w:rsidRDefault="00C15C65" w:rsidP="00FD77AA">
            <w:pPr>
              <w:pStyle w:val="ARtabletextright"/>
            </w:pPr>
            <w:r w:rsidRPr="002029AF">
              <w:t>-32.0</w:t>
            </w:r>
          </w:p>
        </w:tc>
        <w:tc>
          <w:tcPr>
            <w:tcW w:w="794" w:type="dxa"/>
            <w:shd w:val="clear" w:color="auto" w:fill="auto"/>
            <w:hideMark/>
          </w:tcPr>
          <w:p w14:paraId="3422B446"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65745D3A" w14:textId="77777777" w:rsidTr="005B58F0">
        <w:trPr>
          <w:gridAfter w:val="1"/>
          <w:wAfter w:w="8" w:type="dxa"/>
          <w:cantSplit/>
        </w:trPr>
        <w:tc>
          <w:tcPr>
            <w:tcW w:w="9631" w:type="dxa"/>
            <w:gridSpan w:val="6"/>
            <w:tcBorders>
              <w:bottom w:val="single" w:sz="4" w:space="0" w:color="BFBFBF"/>
            </w:tcBorders>
            <w:shd w:val="clear" w:color="auto" w:fill="auto"/>
            <w:noWrap/>
            <w:hideMark/>
          </w:tcPr>
          <w:p w14:paraId="4085BB6F" w14:textId="37BD448E" w:rsidR="00C15C65" w:rsidRPr="002029AF" w:rsidRDefault="00C15C65" w:rsidP="002C5190">
            <w:pPr>
              <w:pStyle w:val="ARtablenoteindent"/>
            </w:pPr>
            <w:r w:rsidRPr="002029AF">
              <w:t>This</w:t>
            </w:r>
            <w:r w:rsidR="000A5329" w:rsidRPr="002029AF">
              <w:t xml:space="preserve"> </w:t>
            </w:r>
            <w:r w:rsidRPr="002029AF">
              <w:t>result</w:t>
            </w:r>
            <w:r w:rsidR="000A5329" w:rsidRPr="002029AF">
              <w:t xml:space="preserve"> </w:t>
            </w:r>
            <w:r w:rsidRPr="002029AF">
              <w:t>is</w:t>
            </w:r>
            <w:r w:rsidR="000A5329" w:rsidRPr="002029AF">
              <w:t xml:space="preserve"> </w:t>
            </w:r>
            <w:r w:rsidRPr="002029AF">
              <w:t>due</w:t>
            </w:r>
            <w:r w:rsidR="000A5329" w:rsidRPr="002029AF">
              <w:t xml:space="preserve"> </w:t>
            </w:r>
            <w:r w:rsidRPr="002029AF">
              <w:t>to</w:t>
            </w:r>
            <w:r w:rsidR="000A5329" w:rsidRPr="002029AF">
              <w:t xml:space="preserve"> </w:t>
            </w:r>
            <w:r w:rsidRPr="002029AF">
              <w:t>the</w:t>
            </w:r>
            <w:r w:rsidR="000A5329" w:rsidRPr="002029AF">
              <w:t xml:space="preserve"> </w:t>
            </w:r>
            <w:r w:rsidRPr="002029AF">
              <w:t>increasing</w:t>
            </w:r>
            <w:r w:rsidR="000A5329" w:rsidRPr="002029AF">
              <w:t xml:space="preserve"> </w:t>
            </w:r>
            <w:r w:rsidRPr="002029AF">
              <w:t>trend</w:t>
            </w:r>
            <w:r w:rsidR="000A5329" w:rsidRPr="002029AF">
              <w:t xml:space="preserve"> </w:t>
            </w:r>
            <w:r w:rsidRPr="002029AF">
              <w:t>in</w:t>
            </w:r>
            <w:r w:rsidR="000A5329" w:rsidRPr="002029AF">
              <w:t xml:space="preserve"> </w:t>
            </w:r>
            <w:r w:rsidRPr="002029AF">
              <w:t>the</w:t>
            </w:r>
            <w:r w:rsidR="000A5329" w:rsidRPr="002029AF">
              <w:t xml:space="preserve"> </w:t>
            </w:r>
            <w:r w:rsidRPr="002029AF">
              <w:t>number</w:t>
            </w:r>
            <w:r w:rsidR="000A5329" w:rsidRPr="002029AF">
              <w:t xml:space="preserve"> </w:t>
            </w:r>
            <w:r w:rsidRPr="002029AF">
              <w:t>of</w:t>
            </w:r>
            <w:r w:rsidR="000A5329" w:rsidRPr="002029AF">
              <w:t xml:space="preserve"> </w:t>
            </w:r>
            <w:r w:rsidRPr="002029AF">
              <w:t>people</w:t>
            </w:r>
            <w:r w:rsidR="000A5329" w:rsidRPr="002029AF">
              <w:t xml:space="preserve"> </w:t>
            </w:r>
            <w:r w:rsidRPr="002029AF">
              <w:t>presenting</w:t>
            </w:r>
            <w:r w:rsidR="000A5329" w:rsidRPr="002029AF">
              <w:t xml:space="preserve"> </w:t>
            </w:r>
            <w:r w:rsidRPr="002029AF">
              <w:t>directly</w:t>
            </w:r>
            <w:r w:rsidR="000A5329" w:rsidRPr="002029AF">
              <w:t xml:space="preserve"> </w:t>
            </w:r>
            <w:r w:rsidRPr="002029AF">
              <w:t>to</w:t>
            </w:r>
            <w:r w:rsidR="000A5329" w:rsidRPr="002029AF">
              <w:t xml:space="preserve"> </w:t>
            </w:r>
            <w:r w:rsidRPr="002029AF">
              <w:t>Emergency</w:t>
            </w:r>
            <w:r w:rsidR="000A5329" w:rsidRPr="002029AF">
              <w:t xml:space="preserve"> </w:t>
            </w:r>
            <w:r w:rsidRPr="002029AF">
              <w:t>Departments.</w:t>
            </w:r>
            <w:r w:rsidR="000A5329" w:rsidRPr="002029AF">
              <w:t xml:space="preserve"> </w:t>
            </w:r>
            <w:r w:rsidRPr="002029AF">
              <w:t>The</w:t>
            </w:r>
            <w:r w:rsidR="000A5329" w:rsidRPr="002029AF">
              <w:t xml:space="preserve"> </w:t>
            </w:r>
            <w:r w:rsidRPr="002029AF">
              <w:t>majority</w:t>
            </w:r>
            <w:r w:rsidR="000A5329" w:rsidRPr="002029AF">
              <w:t xml:space="preserve"> </w:t>
            </w:r>
            <w:r w:rsidRPr="002029AF">
              <w:t>of</w:t>
            </w:r>
            <w:r w:rsidR="000A5329" w:rsidRPr="002029AF">
              <w:t xml:space="preserve"> </w:t>
            </w:r>
            <w:r w:rsidRPr="002029AF">
              <w:t>rural</w:t>
            </w:r>
            <w:r w:rsidR="000A5329" w:rsidRPr="002029AF">
              <w:t xml:space="preserve"> </w:t>
            </w:r>
            <w:r w:rsidRPr="002029AF">
              <w:t>services</w:t>
            </w:r>
            <w:r w:rsidR="000A5329" w:rsidRPr="002029AF">
              <w:t xml:space="preserve"> </w:t>
            </w:r>
            <w:r w:rsidRPr="002029AF">
              <w:t>meet</w:t>
            </w:r>
            <w:r w:rsidR="000A5329" w:rsidRPr="002029AF">
              <w:t xml:space="preserve"> </w:t>
            </w:r>
            <w:r w:rsidRPr="002029AF">
              <w:t>the</w:t>
            </w:r>
            <w:r w:rsidR="000A5329" w:rsidRPr="002029AF">
              <w:t xml:space="preserve"> </w:t>
            </w:r>
            <w:r w:rsidRPr="002029AF">
              <w:t>80</w:t>
            </w:r>
            <w:r w:rsidR="00BA7608">
              <w:t xml:space="preserve"> per cent</w:t>
            </w:r>
            <w:r w:rsidR="000A5329" w:rsidRPr="002029AF">
              <w:t xml:space="preserve"> </w:t>
            </w:r>
            <w:r w:rsidRPr="002029AF">
              <w:t>of</w:t>
            </w:r>
            <w:r w:rsidR="000A5329" w:rsidRPr="002029AF">
              <w:t xml:space="preserve"> </w:t>
            </w:r>
            <w:r w:rsidRPr="002029AF">
              <w:t>emergency</w:t>
            </w:r>
            <w:r w:rsidR="000A5329" w:rsidRPr="002029AF">
              <w:t xml:space="preserve"> </w:t>
            </w:r>
            <w:r w:rsidRPr="002029AF">
              <w:t>patients</w:t>
            </w:r>
            <w:r w:rsidR="000A5329" w:rsidRPr="002029AF">
              <w:t xml:space="preserve"> </w:t>
            </w:r>
            <w:r w:rsidRPr="002029AF">
              <w:t>admitted</w:t>
            </w:r>
            <w:r w:rsidR="000A5329" w:rsidRPr="002029AF">
              <w:t xml:space="preserve"> </w:t>
            </w:r>
            <w:r w:rsidRPr="002029AF">
              <w:t>to</w:t>
            </w:r>
            <w:r w:rsidR="000A5329" w:rsidRPr="002029AF">
              <w:t xml:space="preserve"> </w:t>
            </w:r>
            <w:r w:rsidRPr="002029AF">
              <w:t>a</w:t>
            </w:r>
            <w:r w:rsidR="000A5329" w:rsidRPr="002029AF">
              <w:t xml:space="preserve"> </w:t>
            </w:r>
            <w:r w:rsidRPr="002029AF">
              <w:t>mental</w:t>
            </w:r>
            <w:r w:rsidR="000A5329" w:rsidRPr="002029AF">
              <w:t xml:space="preserve"> </w:t>
            </w:r>
            <w:r w:rsidRPr="002029AF">
              <w:t>health</w:t>
            </w:r>
            <w:r w:rsidR="000A5329" w:rsidRPr="002029AF">
              <w:t xml:space="preserve"> </w:t>
            </w:r>
            <w:r w:rsidRPr="002029AF">
              <w:t>bed</w:t>
            </w:r>
            <w:r w:rsidR="000A5329" w:rsidRPr="002029AF">
              <w:t xml:space="preserve"> </w:t>
            </w:r>
            <w:r w:rsidRPr="002029AF">
              <w:t>within</w:t>
            </w:r>
            <w:r w:rsidR="000A5329" w:rsidRPr="002029AF">
              <w:t xml:space="preserve"> </w:t>
            </w:r>
            <w:r w:rsidRPr="002029AF">
              <w:t>eight</w:t>
            </w:r>
            <w:r w:rsidR="000A5329" w:rsidRPr="002029AF">
              <w:t xml:space="preserve"> </w:t>
            </w:r>
            <w:r w:rsidRPr="002029AF">
              <w:t>hours</w:t>
            </w:r>
            <w:r w:rsidR="000A5329" w:rsidRPr="002029AF">
              <w:t xml:space="preserve"> </w:t>
            </w:r>
            <w:r w:rsidRPr="002029AF">
              <w:t>target.</w:t>
            </w:r>
            <w:r w:rsidR="000A5329" w:rsidRPr="002029AF">
              <w:t xml:space="preserve"> </w:t>
            </w:r>
            <w:r w:rsidRPr="002029AF">
              <w:t>Results</w:t>
            </w:r>
            <w:r w:rsidR="000A5329" w:rsidRPr="002029AF">
              <w:t xml:space="preserve"> </w:t>
            </w:r>
            <w:r w:rsidRPr="002029AF">
              <w:t>for</w:t>
            </w:r>
            <w:r w:rsidR="000A5329" w:rsidRPr="002029AF">
              <w:t xml:space="preserve"> </w:t>
            </w:r>
            <w:r w:rsidRPr="002029AF">
              <w:t>metropolitan</w:t>
            </w:r>
            <w:r w:rsidR="000A5329" w:rsidRPr="002029AF">
              <w:t xml:space="preserve"> </w:t>
            </w:r>
            <w:r w:rsidRPr="002029AF">
              <w:t>services</w:t>
            </w:r>
            <w:r w:rsidR="000A5329" w:rsidRPr="002029AF">
              <w:t xml:space="preserve"> </w:t>
            </w:r>
            <w:r w:rsidRPr="002029AF">
              <w:t>most</w:t>
            </w:r>
            <w:r w:rsidR="000A5329" w:rsidRPr="002029AF">
              <w:t xml:space="preserve"> </w:t>
            </w:r>
            <w:r w:rsidRPr="002029AF">
              <w:t>challenged</w:t>
            </w:r>
            <w:r w:rsidR="000A5329" w:rsidRPr="002029AF">
              <w:t xml:space="preserve"> </w:t>
            </w:r>
            <w:r w:rsidRPr="002029AF">
              <w:t>by</w:t>
            </w:r>
            <w:r w:rsidR="000A5329" w:rsidRPr="002029AF">
              <w:t xml:space="preserve"> </w:t>
            </w:r>
            <w:r w:rsidRPr="002029AF">
              <w:t>this</w:t>
            </w:r>
            <w:r w:rsidR="000A5329" w:rsidRPr="002029AF">
              <w:t xml:space="preserve"> </w:t>
            </w:r>
            <w:r w:rsidRPr="002029AF">
              <w:t>measure</w:t>
            </w:r>
            <w:r w:rsidR="000A5329" w:rsidRPr="002029AF">
              <w:t xml:space="preserve"> </w:t>
            </w:r>
            <w:r w:rsidRPr="002029AF">
              <w:t>impact</w:t>
            </w:r>
            <w:r w:rsidR="000A5329" w:rsidRPr="002029AF">
              <w:t xml:space="preserve"> </w:t>
            </w:r>
            <w:r w:rsidRPr="002029AF">
              <w:t>negatively</w:t>
            </w:r>
            <w:r w:rsidR="000A5329" w:rsidRPr="002029AF">
              <w:t xml:space="preserve"> </w:t>
            </w:r>
            <w:r w:rsidRPr="002029AF">
              <w:t>on</w:t>
            </w:r>
            <w:r w:rsidR="000A5329" w:rsidRPr="002029AF">
              <w:t xml:space="preserve"> </w:t>
            </w:r>
            <w:r w:rsidRPr="002029AF">
              <w:t>the</w:t>
            </w:r>
            <w:r w:rsidR="000A5329" w:rsidRPr="002029AF">
              <w:t xml:space="preserve"> </w:t>
            </w:r>
            <w:r w:rsidRPr="002029AF">
              <w:t>statewide</w:t>
            </w:r>
            <w:r w:rsidR="000A5329" w:rsidRPr="002029AF">
              <w:t xml:space="preserve"> </w:t>
            </w:r>
            <w:r w:rsidRPr="002029AF">
              <w:t>results.</w:t>
            </w:r>
          </w:p>
        </w:tc>
      </w:tr>
      <w:tr w:rsidR="00C15C65" w:rsidRPr="002029AF" w14:paraId="1887C331" w14:textId="77777777" w:rsidTr="00AB0C69">
        <w:trPr>
          <w:cantSplit/>
        </w:trPr>
        <w:tc>
          <w:tcPr>
            <w:tcW w:w="9639" w:type="dxa"/>
            <w:gridSpan w:val="7"/>
            <w:tcBorders>
              <w:top w:val="single" w:sz="4" w:space="0" w:color="auto"/>
              <w:left w:val="nil"/>
              <w:right w:val="nil"/>
            </w:tcBorders>
            <w:hideMark/>
          </w:tcPr>
          <w:p w14:paraId="3C2953FC" w14:textId="77777777" w:rsidR="00C15C65" w:rsidRPr="002029AF" w:rsidRDefault="00C15C65" w:rsidP="007666A5">
            <w:pPr>
              <w:pStyle w:val="ARtablegreybold"/>
            </w:pPr>
            <w:r w:rsidRPr="002029AF">
              <w:t>Cost</w:t>
            </w:r>
          </w:p>
        </w:tc>
      </w:tr>
      <w:tr w:rsidR="00C15C65" w:rsidRPr="002029AF" w14:paraId="1E3307C2" w14:textId="77777777" w:rsidTr="00AB0C69">
        <w:trPr>
          <w:cantSplit/>
        </w:trPr>
        <w:tc>
          <w:tcPr>
            <w:tcW w:w="4743" w:type="dxa"/>
            <w:tcBorders>
              <w:bottom w:val="single" w:sz="4" w:space="0" w:color="auto"/>
            </w:tcBorders>
            <w:hideMark/>
          </w:tcPr>
          <w:p w14:paraId="2B57DDB5" w14:textId="32E01612" w:rsidR="00C15C65" w:rsidRPr="002029AF" w:rsidRDefault="00C15C65" w:rsidP="00C40F5D">
            <w:pPr>
              <w:pStyle w:val="ARtabletext"/>
              <w:rPr>
                <w:b/>
              </w:rPr>
            </w:pPr>
            <w:r w:rsidRPr="002029AF">
              <w:rPr>
                <w:b/>
              </w:rPr>
              <w:t>Total</w:t>
            </w:r>
            <w:r w:rsidR="000A5329" w:rsidRPr="002029AF">
              <w:rPr>
                <w:b/>
              </w:rPr>
              <w:t xml:space="preserve"> </w:t>
            </w:r>
            <w:r w:rsidRPr="002029AF">
              <w:rPr>
                <w:b/>
              </w:rPr>
              <w:t>output</w:t>
            </w:r>
            <w:r w:rsidR="000A5329" w:rsidRPr="002029AF">
              <w:rPr>
                <w:b/>
              </w:rPr>
              <w:t xml:space="preserve"> </w:t>
            </w:r>
            <w:r w:rsidRPr="002029AF">
              <w:rPr>
                <w:b/>
              </w:rPr>
              <w:t>cost</w:t>
            </w:r>
          </w:p>
        </w:tc>
        <w:tc>
          <w:tcPr>
            <w:tcW w:w="1022" w:type="dxa"/>
            <w:tcBorders>
              <w:bottom w:val="single" w:sz="4" w:space="0" w:color="auto"/>
            </w:tcBorders>
            <w:hideMark/>
          </w:tcPr>
          <w:p w14:paraId="64E1375A" w14:textId="08149F55" w:rsidR="00C15C65" w:rsidRPr="002029AF" w:rsidRDefault="00C15C65" w:rsidP="00C40F5D">
            <w:pPr>
              <w:pStyle w:val="ARtabletext"/>
              <w:rPr>
                <w:b/>
              </w:rPr>
            </w:pPr>
            <w:r w:rsidRPr="002029AF">
              <w:rPr>
                <w:b/>
              </w:rPr>
              <w:t>$</w:t>
            </w:r>
            <w:r w:rsidR="000A5329" w:rsidRPr="002029AF">
              <w:rPr>
                <w:b/>
              </w:rPr>
              <w:t xml:space="preserve"> </w:t>
            </w:r>
            <w:r w:rsidRPr="002029AF">
              <w:rPr>
                <w:b/>
              </w:rPr>
              <w:t>million</w:t>
            </w:r>
          </w:p>
        </w:tc>
        <w:tc>
          <w:tcPr>
            <w:tcW w:w="1019" w:type="dxa"/>
            <w:tcBorders>
              <w:bottom w:val="single" w:sz="4" w:space="0" w:color="auto"/>
            </w:tcBorders>
          </w:tcPr>
          <w:p w14:paraId="2F15664A" w14:textId="77777777" w:rsidR="00C15C65" w:rsidRPr="002029AF" w:rsidRDefault="00C15C65" w:rsidP="00036F13">
            <w:pPr>
              <w:pStyle w:val="ARtabletextrightbold"/>
            </w:pPr>
            <w:r w:rsidRPr="002029AF">
              <w:t>1,631.8</w:t>
            </w:r>
          </w:p>
        </w:tc>
        <w:tc>
          <w:tcPr>
            <w:tcW w:w="1021" w:type="dxa"/>
            <w:tcBorders>
              <w:bottom w:val="single" w:sz="4" w:space="0" w:color="auto"/>
            </w:tcBorders>
          </w:tcPr>
          <w:p w14:paraId="6302029E" w14:textId="77777777" w:rsidR="00C15C65" w:rsidRPr="002029AF" w:rsidRDefault="00C15C65" w:rsidP="00036F13">
            <w:pPr>
              <w:pStyle w:val="ARtabletextrightbold"/>
            </w:pPr>
            <w:r w:rsidRPr="002029AF">
              <w:t>1,650.0</w:t>
            </w:r>
          </w:p>
        </w:tc>
        <w:tc>
          <w:tcPr>
            <w:tcW w:w="1032" w:type="dxa"/>
            <w:tcBorders>
              <w:bottom w:val="single" w:sz="4" w:space="0" w:color="auto"/>
            </w:tcBorders>
          </w:tcPr>
          <w:p w14:paraId="5F2B4A27" w14:textId="77777777" w:rsidR="00C15C65" w:rsidRPr="002029AF" w:rsidRDefault="00C15C65" w:rsidP="00036F13">
            <w:pPr>
              <w:pStyle w:val="ARtabletextrightbold"/>
            </w:pPr>
            <w:r w:rsidRPr="002029AF">
              <w:t>1.1</w:t>
            </w:r>
          </w:p>
        </w:tc>
        <w:tc>
          <w:tcPr>
            <w:tcW w:w="802" w:type="dxa"/>
            <w:gridSpan w:val="2"/>
            <w:tcBorders>
              <w:bottom w:val="single" w:sz="4" w:space="0" w:color="auto"/>
            </w:tcBorders>
          </w:tcPr>
          <w:p w14:paraId="1AC8A372" w14:textId="77777777" w:rsidR="00C15C65" w:rsidRPr="002029AF" w:rsidRDefault="00C15C65" w:rsidP="00C40F5D">
            <w:pPr>
              <w:pStyle w:val="ARtabletext"/>
              <w:rPr>
                <w:b/>
              </w:rPr>
            </w:pPr>
          </w:p>
        </w:tc>
      </w:tr>
      <w:tr w:rsidR="00C15C65" w:rsidRPr="002029AF" w14:paraId="4CC83969" w14:textId="77777777" w:rsidTr="00AB0C69">
        <w:trPr>
          <w:cantSplit/>
        </w:trPr>
        <w:tc>
          <w:tcPr>
            <w:tcW w:w="9639" w:type="dxa"/>
            <w:gridSpan w:val="7"/>
            <w:tcBorders>
              <w:top w:val="single" w:sz="4" w:space="0" w:color="auto"/>
              <w:left w:val="nil"/>
              <w:bottom w:val="single" w:sz="4" w:space="0" w:color="auto"/>
              <w:right w:val="nil"/>
            </w:tcBorders>
            <w:hideMark/>
          </w:tcPr>
          <w:p w14:paraId="26BD71EC" w14:textId="75C8E3D7" w:rsidR="00C15C65" w:rsidRPr="002029AF" w:rsidRDefault="00C15C65" w:rsidP="006D5287">
            <w:pPr>
              <w:pStyle w:val="ARtablesubhead"/>
              <w:keepNext/>
            </w:pPr>
            <w:r w:rsidRPr="002029AF">
              <w:lastRenderedPageBreak/>
              <w:t>Mental</w:t>
            </w:r>
            <w:r w:rsidR="000A5329" w:rsidRPr="002029AF">
              <w:t xml:space="preserve"> </w:t>
            </w:r>
            <w:r w:rsidRPr="002029AF">
              <w:t>Health</w:t>
            </w:r>
            <w:r w:rsidR="000A5329" w:rsidRPr="002029AF">
              <w:t xml:space="preserve"> </w:t>
            </w:r>
            <w:r w:rsidRPr="002029AF">
              <w:t>Community</w:t>
            </w:r>
            <w:r w:rsidR="000A5329" w:rsidRPr="002029AF">
              <w:t xml:space="preserve"> </w:t>
            </w:r>
            <w:r w:rsidRPr="002029AF">
              <w:t>Support</w:t>
            </w:r>
            <w:r w:rsidR="000A5329" w:rsidRPr="002029AF">
              <w:t xml:space="preserve"> </w:t>
            </w:r>
            <w:r w:rsidRPr="002029AF">
              <w:t>Services</w:t>
            </w:r>
            <w:r w:rsidR="000A5329" w:rsidRPr="002029AF">
              <w:t xml:space="preserve"> </w:t>
            </w:r>
            <w:r w:rsidRPr="002029AF">
              <w:t>(MHCSS)</w:t>
            </w:r>
          </w:p>
        </w:tc>
      </w:tr>
      <w:tr w:rsidR="00C15C65" w:rsidRPr="002029AF" w14:paraId="53644995" w14:textId="77777777" w:rsidTr="005B58F0">
        <w:trPr>
          <w:cantSplit/>
        </w:trPr>
        <w:tc>
          <w:tcPr>
            <w:tcW w:w="9639" w:type="dxa"/>
            <w:gridSpan w:val="7"/>
            <w:tcBorders>
              <w:top w:val="single" w:sz="4" w:space="0" w:color="auto"/>
              <w:left w:val="nil"/>
              <w:bottom w:val="nil"/>
              <w:right w:val="nil"/>
            </w:tcBorders>
            <w:hideMark/>
          </w:tcPr>
          <w:p w14:paraId="384F4058" w14:textId="77777777" w:rsidR="00C15C65" w:rsidRPr="002029AF" w:rsidRDefault="00C15C65" w:rsidP="00D96AFD">
            <w:pPr>
              <w:pStyle w:val="ARtablegreybold"/>
            </w:pPr>
            <w:r w:rsidRPr="002029AF">
              <w:t>Quantity</w:t>
            </w:r>
          </w:p>
        </w:tc>
      </w:tr>
      <w:tr w:rsidR="00C15C65" w:rsidRPr="002029AF" w14:paraId="5142159E" w14:textId="77777777" w:rsidTr="00CB3B6B">
        <w:trPr>
          <w:gridAfter w:val="1"/>
          <w:wAfter w:w="8" w:type="dxa"/>
          <w:cantSplit/>
        </w:trPr>
        <w:tc>
          <w:tcPr>
            <w:tcW w:w="4743" w:type="dxa"/>
            <w:shd w:val="clear" w:color="auto" w:fill="auto"/>
            <w:hideMark/>
          </w:tcPr>
          <w:p w14:paraId="4967BC42" w14:textId="59328F58" w:rsidR="00C15C65" w:rsidRPr="002029AF" w:rsidRDefault="00C15C65" w:rsidP="00C40F5D">
            <w:pPr>
              <w:pStyle w:val="ARtabletext"/>
            </w:pPr>
            <w:r w:rsidRPr="002029AF">
              <w:t>Bed</w:t>
            </w:r>
            <w:r w:rsidR="000A5329" w:rsidRPr="002029AF">
              <w:t xml:space="preserve"> </w:t>
            </w:r>
            <w:r w:rsidRPr="002029AF">
              <w:t>days</w:t>
            </w:r>
          </w:p>
        </w:tc>
        <w:tc>
          <w:tcPr>
            <w:tcW w:w="1022" w:type="dxa"/>
            <w:shd w:val="clear" w:color="auto" w:fill="auto"/>
            <w:hideMark/>
          </w:tcPr>
          <w:p w14:paraId="2BAE15BB" w14:textId="77777777" w:rsidR="00C15C65" w:rsidRPr="002029AF" w:rsidRDefault="00C15C65" w:rsidP="00C40F5D">
            <w:pPr>
              <w:pStyle w:val="ARtabletext"/>
            </w:pPr>
            <w:r w:rsidRPr="002029AF">
              <w:t>number</w:t>
            </w:r>
          </w:p>
        </w:tc>
        <w:tc>
          <w:tcPr>
            <w:tcW w:w="1019" w:type="dxa"/>
            <w:shd w:val="clear" w:color="auto" w:fill="auto"/>
            <w:hideMark/>
          </w:tcPr>
          <w:p w14:paraId="50847409" w14:textId="77777777" w:rsidR="00C15C65" w:rsidRPr="002029AF" w:rsidRDefault="00C15C65" w:rsidP="00FD77AA">
            <w:pPr>
              <w:pStyle w:val="ARtabletextright"/>
            </w:pPr>
            <w:r w:rsidRPr="002029AF">
              <w:t>58,000</w:t>
            </w:r>
          </w:p>
        </w:tc>
        <w:tc>
          <w:tcPr>
            <w:tcW w:w="1021" w:type="dxa"/>
            <w:shd w:val="clear" w:color="auto" w:fill="auto"/>
            <w:hideMark/>
          </w:tcPr>
          <w:p w14:paraId="04645397" w14:textId="77777777" w:rsidR="00C15C65" w:rsidRPr="002029AF" w:rsidRDefault="00C15C65" w:rsidP="00FD77AA">
            <w:pPr>
              <w:pStyle w:val="ARtabletextright"/>
            </w:pPr>
            <w:r w:rsidRPr="002029AF">
              <w:t>51,029</w:t>
            </w:r>
          </w:p>
        </w:tc>
        <w:tc>
          <w:tcPr>
            <w:tcW w:w="1032" w:type="dxa"/>
            <w:shd w:val="clear" w:color="auto" w:fill="auto"/>
          </w:tcPr>
          <w:p w14:paraId="17E784ED" w14:textId="77777777" w:rsidR="00C15C65" w:rsidRPr="002029AF" w:rsidRDefault="00C15C65" w:rsidP="00FD77AA">
            <w:pPr>
              <w:pStyle w:val="ARtabletextright"/>
            </w:pPr>
            <w:r w:rsidRPr="002029AF">
              <w:t>-12.0</w:t>
            </w:r>
          </w:p>
        </w:tc>
        <w:tc>
          <w:tcPr>
            <w:tcW w:w="794" w:type="dxa"/>
            <w:shd w:val="clear" w:color="auto" w:fill="auto"/>
            <w:hideMark/>
          </w:tcPr>
          <w:p w14:paraId="27E32D00"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247AE153" w14:textId="77777777" w:rsidTr="005B58F0">
        <w:trPr>
          <w:gridAfter w:val="1"/>
          <w:wAfter w:w="8" w:type="dxa"/>
          <w:cantSplit/>
        </w:trPr>
        <w:tc>
          <w:tcPr>
            <w:tcW w:w="9631" w:type="dxa"/>
            <w:gridSpan w:val="6"/>
            <w:tcBorders>
              <w:bottom w:val="single" w:sz="4" w:space="0" w:color="BFBFBF"/>
            </w:tcBorders>
            <w:shd w:val="clear" w:color="auto" w:fill="auto"/>
            <w:noWrap/>
            <w:hideMark/>
          </w:tcPr>
          <w:p w14:paraId="6F442636" w14:textId="317FD32A" w:rsidR="00C15C65" w:rsidRPr="002029AF" w:rsidRDefault="00C15C65" w:rsidP="00951259">
            <w:pPr>
              <w:pStyle w:val="ARtablenoteindent"/>
            </w:pPr>
            <w:r w:rsidRPr="002029AF">
              <w:t>Bed</w:t>
            </w:r>
            <w:r w:rsidR="000A5329" w:rsidRPr="002029AF">
              <w:t xml:space="preserve"> </w:t>
            </w:r>
            <w:r w:rsidRPr="002029AF">
              <w:t>days</w:t>
            </w:r>
            <w:r w:rsidR="000A5329" w:rsidRPr="002029AF">
              <w:t xml:space="preserve"> </w:t>
            </w:r>
            <w:r w:rsidRPr="002029AF">
              <w:t>have</w:t>
            </w:r>
            <w:r w:rsidR="000A5329" w:rsidRPr="002029AF">
              <w:t xml:space="preserve"> </w:t>
            </w:r>
            <w:r w:rsidRPr="002029AF">
              <w:t>decreased</w:t>
            </w:r>
            <w:r w:rsidR="000A5329" w:rsidRPr="002029AF">
              <w:t xml:space="preserve"> </w:t>
            </w:r>
            <w:r w:rsidRPr="002029AF">
              <w:t>due</w:t>
            </w:r>
            <w:r w:rsidR="000A5329" w:rsidRPr="002029AF">
              <w:t xml:space="preserve"> </w:t>
            </w:r>
            <w:r w:rsidRPr="002029AF">
              <w:t>to</w:t>
            </w:r>
            <w:r w:rsidR="000A5329" w:rsidRPr="002029AF">
              <w:t xml:space="preserve"> </w:t>
            </w:r>
            <w:r w:rsidRPr="002029AF">
              <w:t>Youth</w:t>
            </w:r>
            <w:r w:rsidR="000A5329" w:rsidRPr="002029AF">
              <w:t xml:space="preserve"> </w:t>
            </w:r>
            <w:r w:rsidRPr="002029AF">
              <w:t>Residential</w:t>
            </w:r>
            <w:r w:rsidR="000A5329" w:rsidRPr="002029AF">
              <w:t xml:space="preserve"> </w:t>
            </w:r>
            <w:r w:rsidRPr="002029AF">
              <w:t>Rehabilitation</w:t>
            </w:r>
            <w:r w:rsidR="000A5329" w:rsidRPr="002029AF">
              <w:t xml:space="preserve"> </w:t>
            </w:r>
            <w:r w:rsidRPr="002029AF">
              <w:t>Services</w:t>
            </w:r>
            <w:r w:rsidR="000A5329" w:rsidRPr="002029AF">
              <w:t xml:space="preserve"> </w:t>
            </w:r>
            <w:r w:rsidRPr="002029AF">
              <w:t>being</w:t>
            </w:r>
            <w:r w:rsidR="000A5329" w:rsidRPr="002029AF">
              <w:t xml:space="preserve"> </w:t>
            </w:r>
            <w:r w:rsidRPr="002029AF">
              <w:t>directed</w:t>
            </w:r>
            <w:r w:rsidR="000A5329" w:rsidRPr="002029AF">
              <w:t xml:space="preserve"> </w:t>
            </w:r>
            <w:r w:rsidRPr="002029AF">
              <w:t>to</w:t>
            </w:r>
            <w:r w:rsidR="000A5329" w:rsidRPr="002029AF">
              <w:t xml:space="preserve"> </w:t>
            </w:r>
            <w:r w:rsidRPr="002029AF">
              <w:t>leave</w:t>
            </w:r>
            <w:r w:rsidR="000A5329" w:rsidRPr="002029AF">
              <w:t xml:space="preserve"> </w:t>
            </w:r>
            <w:r w:rsidRPr="002029AF">
              <w:t>a</w:t>
            </w:r>
            <w:r w:rsidR="000A5329" w:rsidRPr="002029AF">
              <w:t xml:space="preserve"> </w:t>
            </w:r>
            <w:r w:rsidRPr="002029AF">
              <w:t>unit</w:t>
            </w:r>
            <w:r w:rsidR="000A5329" w:rsidRPr="002029AF">
              <w:t xml:space="preserve"> </w:t>
            </w:r>
            <w:r w:rsidRPr="002029AF">
              <w:t>in</w:t>
            </w:r>
            <w:r w:rsidR="000A5329" w:rsidRPr="002029AF">
              <w:t xml:space="preserve"> </w:t>
            </w:r>
            <w:r w:rsidRPr="002029AF">
              <w:t>each</w:t>
            </w:r>
            <w:r w:rsidR="000A5329" w:rsidRPr="002029AF">
              <w:t xml:space="preserve"> </w:t>
            </w:r>
            <w:r w:rsidRPr="002029AF">
              <w:t>property</w:t>
            </w:r>
            <w:r w:rsidR="000A5329" w:rsidRPr="002029AF">
              <w:t xml:space="preserve"> </w:t>
            </w:r>
            <w:r w:rsidRPr="002029AF">
              <w:t>vacant</w:t>
            </w:r>
            <w:r w:rsidR="000A5329" w:rsidRPr="002029AF">
              <w:t xml:space="preserve"> </w:t>
            </w:r>
            <w:r w:rsidRPr="002029AF">
              <w:t>to</w:t>
            </w:r>
            <w:r w:rsidR="000A5329" w:rsidRPr="002029AF">
              <w:t xml:space="preserve"> </w:t>
            </w:r>
            <w:r w:rsidRPr="002029AF">
              <w:t>respond</w:t>
            </w:r>
            <w:r w:rsidR="000A5329" w:rsidRPr="002029AF">
              <w:t xml:space="preserve"> </w:t>
            </w:r>
            <w:r w:rsidRPr="002029AF">
              <w:t>to</w:t>
            </w:r>
            <w:r w:rsidR="000A5329" w:rsidRPr="002029AF">
              <w:t xml:space="preserve"> </w:t>
            </w:r>
            <w:r w:rsidRPr="002029AF">
              <w:t>client/s</w:t>
            </w:r>
            <w:r w:rsidR="000A5329" w:rsidRPr="002029AF">
              <w:t xml:space="preserve"> </w:t>
            </w:r>
            <w:r w:rsidRPr="002029AF">
              <w:t>who</w:t>
            </w:r>
            <w:r w:rsidR="000A5329" w:rsidRPr="002029AF">
              <w:t xml:space="preserve"> </w:t>
            </w:r>
            <w:r w:rsidRPr="002029AF">
              <w:t>need</w:t>
            </w:r>
            <w:r w:rsidR="000A5329" w:rsidRPr="002029AF">
              <w:t xml:space="preserve"> </w:t>
            </w:r>
            <w:r w:rsidRPr="002029AF">
              <w:t>to</w:t>
            </w:r>
            <w:r w:rsidR="000A5329" w:rsidRPr="002029AF">
              <w:t xml:space="preserve"> </w:t>
            </w:r>
            <w:r w:rsidRPr="002029AF">
              <w:t>self</w:t>
            </w:r>
            <w:r w:rsidR="00951259">
              <w:t>-</w:t>
            </w:r>
            <w:r w:rsidRPr="002029AF">
              <w:t>isolate</w:t>
            </w:r>
            <w:r w:rsidR="000A5329" w:rsidRPr="002029AF">
              <w:t xml:space="preserve"> </w:t>
            </w:r>
            <w:r w:rsidRPr="002029AF">
              <w:t>due</w:t>
            </w:r>
            <w:r w:rsidR="000A5329" w:rsidRPr="002029AF">
              <w:t xml:space="preserve"> </w:t>
            </w:r>
            <w:r w:rsidRPr="002029AF">
              <w:t>to</w:t>
            </w:r>
            <w:r w:rsidR="000A5329" w:rsidRPr="002029AF">
              <w:t xml:space="preserve"> </w:t>
            </w:r>
            <w:r w:rsidRPr="002029AF">
              <w:t>suspected</w:t>
            </w:r>
            <w:r w:rsidR="000A5329" w:rsidRPr="002029AF">
              <w:t xml:space="preserve"> </w:t>
            </w:r>
            <w:r w:rsidRPr="002029AF">
              <w:t>or</w:t>
            </w:r>
            <w:r w:rsidR="000A5329" w:rsidRPr="002029AF">
              <w:t xml:space="preserve"> </w:t>
            </w:r>
            <w:r w:rsidRPr="002029AF">
              <w:t>diagnosed</w:t>
            </w:r>
            <w:r w:rsidR="000A5329" w:rsidRPr="002029AF">
              <w:t xml:space="preserve"> </w:t>
            </w:r>
            <w:r w:rsidRPr="002029AF">
              <w:t>coronavirus</w:t>
            </w:r>
            <w:r w:rsidR="000A5329" w:rsidRPr="002029AF">
              <w:t xml:space="preserve"> </w:t>
            </w:r>
            <w:r w:rsidRPr="002029AF">
              <w:t>(COVID-19).</w:t>
            </w:r>
          </w:p>
        </w:tc>
      </w:tr>
      <w:tr w:rsidR="00C15C65" w:rsidRPr="002029AF" w14:paraId="24EBC87F" w14:textId="77777777" w:rsidTr="00CB3B6B">
        <w:trPr>
          <w:gridAfter w:val="1"/>
          <w:wAfter w:w="8" w:type="dxa"/>
          <w:cantSplit/>
        </w:trPr>
        <w:tc>
          <w:tcPr>
            <w:tcW w:w="4743" w:type="dxa"/>
            <w:tcBorders>
              <w:top w:val="single" w:sz="4" w:space="0" w:color="BFBFBF"/>
            </w:tcBorders>
            <w:shd w:val="clear" w:color="auto" w:fill="auto"/>
            <w:hideMark/>
          </w:tcPr>
          <w:p w14:paraId="192302CC" w14:textId="24A022EB" w:rsidR="00C15C65" w:rsidRPr="002029AF" w:rsidRDefault="00C15C65" w:rsidP="00C40F5D">
            <w:pPr>
              <w:pStyle w:val="ARtabletext"/>
            </w:pPr>
            <w:r w:rsidRPr="002029AF">
              <w:t>Client</w:t>
            </w:r>
            <w:r w:rsidR="000A5329" w:rsidRPr="002029AF">
              <w:t xml:space="preserve"> </w:t>
            </w:r>
            <w:r w:rsidRPr="002029AF">
              <w:t>Support</w:t>
            </w:r>
            <w:r w:rsidR="000A5329" w:rsidRPr="002029AF">
              <w:t xml:space="preserve"> </w:t>
            </w:r>
            <w:r w:rsidRPr="002029AF">
              <w:t>Units</w:t>
            </w:r>
          </w:p>
        </w:tc>
        <w:tc>
          <w:tcPr>
            <w:tcW w:w="1022" w:type="dxa"/>
            <w:tcBorders>
              <w:top w:val="single" w:sz="4" w:space="0" w:color="BFBFBF"/>
            </w:tcBorders>
            <w:shd w:val="clear" w:color="auto" w:fill="auto"/>
            <w:hideMark/>
          </w:tcPr>
          <w:p w14:paraId="6F2F172F" w14:textId="77777777" w:rsidR="00C15C65" w:rsidRPr="002029AF" w:rsidRDefault="00C15C65" w:rsidP="00C40F5D">
            <w:pPr>
              <w:pStyle w:val="ARtabletext"/>
            </w:pPr>
            <w:r w:rsidRPr="002029AF">
              <w:t>number</w:t>
            </w:r>
          </w:p>
        </w:tc>
        <w:tc>
          <w:tcPr>
            <w:tcW w:w="1019" w:type="dxa"/>
            <w:tcBorders>
              <w:top w:val="single" w:sz="4" w:space="0" w:color="BFBFBF"/>
            </w:tcBorders>
            <w:shd w:val="clear" w:color="auto" w:fill="auto"/>
            <w:hideMark/>
          </w:tcPr>
          <w:p w14:paraId="7C99666C" w14:textId="77777777" w:rsidR="00C15C65" w:rsidRPr="002029AF" w:rsidRDefault="00C15C65" w:rsidP="00FD77AA">
            <w:pPr>
              <w:pStyle w:val="ARtabletextright"/>
            </w:pPr>
            <w:r w:rsidRPr="002029AF">
              <w:t>41,900</w:t>
            </w:r>
          </w:p>
        </w:tc>
        <w:tc>
          <w:tcPr>
            <w:tcW w:w="1021" w:type="dxa"/>
            <w:tcBorders>
              <w:top w:val="single" w:sz="4" w:space="0" w:color="BFBFBF"/>
            </w:tcBorders>
            <w:shd w:val="clear" w:color="auto" w:fill="auto"/>
            <w:hideMark/>
          </w:tcPr>
          <w:p w14:paraId="23FB4348" w14:textId="77777777" w:rsidR="00C15C65" w:rsidRPr="002029AF" w:rsidRDefault="00C15C65" w:rsidP="00FD77AA">
            <w:pPr>
              <w:pStyle w:val="ARtabletextright"/>
            </w:pPr>
            <w:r w:rsidRPr="002029AF">
              <w:t>128,007</w:t>
            </w:r>
          </w:p>
        </w:tc>
        <w:tc>
          <w:tcPr>
            <w:tcW w:w="1032" w:type="dxa"/>
            <w:tcBorders>
              <w:top w:val="single" w:sz="4" w:space="0" w:color="BFBFBF"/>
            </w:tcBorders>
            <w:shd w:val="clear" w:color="auto" w:fill="auto"/>
          </w:tcPr>
          <w:p w14:paraId="7950F958" w14:textId="77777777" w:rsidR="00C15C65" w:rsidRPr="002029AF" w:rsidRDefault="00C15C65" w:rsidP="00FD77AA">
            <w:pPr>
              <w:pStyle w:val="ARtabletextright"/>
            </w:pPr>
            <w:r w:rsidRPr="002029AF">
              <w:t>205.5</w:t>
            </w:r>
          </w:p>
        </w:tc>
        <w:tc>
          <w:tcPr>
            <w:tcW w:w="794" w:type="dxa"/>
            <w:tcBorders>
              <w:top w:val="single" w:sz="4" w:space="0" w:color="BFBFBF"/>
            </w:tcBorders>
            <w:shd w:val="clear" w:color="auto" w:fill="auto"/>
            <w:hideMark/>
          </w:tcPr>
          <w:p w14:paraId="327A9D28"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B3B6B" w:rsidRPr="002029AF" w14:paraId="09368F67" w14:textId="77777777" w:rsidTr="00CB3B6B">
        <w:trPr>
          <w:cantSplit/>
        </w:trPr>
        <w:tc>
          <w:tcPr>
            <w:tcW w:w="9631" w:type="dxa"/>
            <w:gridSpan w:val="7"/>
            <w:tcBorders>
              <w:bottom w:val="single" w:sz="4" w:space="0" w:color="BFBFBF"/>
            </w:tcBorders>
            <w:shd w:val="clear" w:color="auto" w:fill="auto"/>
          </w:tcPr>
          <w:p w14:paraId="64F0E964" w14:textId="7338A117" w:rsidR="00CB3B6B" w:rsidRPr="002029AF" w:rsidRDefault="00CB3B6B" w:rsidP="00CB3B6B">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the</w:t>
            </w:r>
            <w:r w:rsidR="000A5329" w:rsidRPr="002029AF">
              <w:t xml:space="preserve"> </w:t>
            </w:r>
            <w:r w:rsidRPr="002029AF">
              <w:t>unanticipated</w:t>
            </w:r>
            <w:r w:rsidR="000A5329" w:rsidRPr="002029AF">
              <w:t xml:space="preserve"> </w:t>
            </w:r>
            <w:r w:rsidRPr="002029AF">
              <w:t>delay</w:t>
            </w:r>
            <w:r w:rsidR="000A5329" w:rsidRPr="002029AF">
              <w:t xml:space="preserve"> </w:t>
            </w:r>
            <w:r w:rsidRPr="002029AF">
              <w:t>in</w:t>
            </w:r>
            <w:r w:rsidR="000A5329" w:rsidRPr="002029AF">
              <w:t xml:space="preserve"> </w:t>
            </w:r>
            <w:r w:rsidRPr="002029AF">
              <w:t>the</w:t>
            </w:r>
            <w:r w:rsidR="000A5329" w:rsidRPr="002029AF">
              <w:t xml:space="preserve"> </w:t>
            </w:r>
            <w:r w:rsidRPr="002029AF">
              <w:t>transition</w:t>
            </w:r>
            <w:r w:rsidR="000A5329" w:rsidRPr="002029AF">
              <w:t xml:space="preserve"> </w:t>
            </w:r>
            <w:r w:rsidRPr="002029AF">
              <w:t>of</w:t>
            </w:r>
            <w:r w:rsidR="000A5329" w:rsidRPr="002029AF">
              <w:t xml:space="preserve"> </w:t>
            </w:r>
            <w:r w:rsidRPr="002029AF">
              <w:t>funding</w:t>
            </w:r>
            <w:r w:rsidR="000A5329" w:rsidRPr="002029AF">
              <w:t xml:space="preserve"> </w:t>
            </w:r>
            <w:r w:rsidRPr="002029AF">
              <w:t>committed</w:t>
            </w:r>
            <w:r w:rsidR="000A5329" w:rsidRPr="002029AF">
              <w:t xml:space="preserve"> </w:t>
            </w:r>
            <w:r w:rsidRPr="002029AF">
              <w:t>to</w:t>
            </w:r>
            <w:r w:rsidR="000A5329" w:rsidRPr="002029AF">
              <w:t xml:space="preserve"> </w:t>
            </w:r>
            <w:r w:rsidRPr="002029AF">
              <w:t>individualised</w:t>
            </w:r>
            <w:r w:rsidR="000A5329" w:rsidRPr="002029AF">
              <w:t xml:space="preserve"> </w:t>
            </w:r>
            <w:r w:rsidRPr="002029AF">
              <w:t>client</w:t>
            </w:r>
            <w:r w:rsidR="000A5329" w:rsidRPr="002029AF">
              <w:t xml:space="preserve"> </w:t>
            </w:r>
            <w:r w:rsidRPr="002029AF">
              <w:t>support</w:t>
            </w:r>
            <w:r w:rsidR="000A5329" w:rsidRPr="002029AF">
              <w:t xml:space="preserve"> </w:t>
            </w:r>
            <w:r w:rsidRPr="002029AF">
              <w:t>packages</w:t>
            </w:r>
            <w:r w:rsidR="000A5329" w:rsidRPr="002029AF">
              <w:t xml:space="preserve"> </w:t>
            </w:r>
            <w:r w:rsidRPr="002029AF">
              <w:t>to</w:t>
            </w:r>
            <w:r w:rsidR="000A5329" w:rsidRPr="002029AF">
              <w:t xml:space="preserve"> </w:t>
            </w:r>
            <w:r w:rsidRPr="002029AF">
              <w:t>the</w:t>
            </w:r>
            <w:r w:rsidR="000A5329" w:rsidRPr="002029AF">
              <w:t xml:space="preserve"> </w:t>
            </w:r>
            <w:r w:rsidRPr="002029AF">
              <w:t>NDIS.</w:t>
            </w:r>
          </w:p>
        </w:tc>
      </w:tr>
      <w:tr w:rsidR="00C15C65" w:rsidRPr="002029AF" w14:paraId="3A01B8BB" w14:textId="77777777" w:rsidTr="00CB3B6B">
        <w:trPr>
          <w:gridAfter w:val="1"/>
          <w:wAfter w:w="8" w:type="dxa"/>
          <w:cantSplit/>
        </w:trPr>
        <w:tc>
          <w:tcPr>
            <w:tcW w:w="4743" w:type="dxa"/>
            <w:tcBorders>
              <w:top w:val="single" w:sz="4" w:space="0" w:color="BFBFBF"/>
            </w:tcBorders>
            <w:shd w:val="clear" w:color="auto" w:fill="auto"/>
            <w:hideMark/>
          </w:tcPr>
          <w:p w14:paraId="04777620" w14:textId="36906DF4" w:rsidR="00C15C65" w:rsidRPr="002029AF" w:rsidRDefault="00C15C65" w:rsidP="00C40F5D">
            <w:pPr>
              <w:pStyle w:val="ARtabletext"/>
            </w:pPr>
            <w:r w:rsidRPr="002029AF">
              <w:t>Clients</w:t>
            </w:r>
            <w:r w:rsidR="000A5329" w:rsidRPr="002029AF">
              <w:t xml:space="preserve"> </w:t>
            </w:r>
            <w:r w:rsidRPr="002029AF">
              <w:t>receiving</w:t>
            </w:r>
            <w:r w:rsidR="000A5329" w:rsidRPr="002029AF">
              <w:t xml:space="preserve"> </w:t>
            </w:r>
            <w:r w:rsidRPr="002029AF">
              <w:t>community</w:t>
            </w:r>
            <w:r w:rsidR="000A5329" w:rsidRPr="002029AF">
              <w:t xml:space="preserve"> </w:t>
            </w:r>
            <w:r w:rsidRPr="002029AF">
              <w:t>mental</w:t>
            </w:r>
            <w:r w:rsidR="000A5329" w:rsidRPr="002029AF">
              <w:t xml:space="preserve"> </w:t>
            </w:r>
            <w:r w:rsidRPr="002029AF">
              <w:t>health</w:t>
            </w:r>
            <w:r w:rsidR="000A5329" w:rsidRPr="002029AF">
              <w:t xml:space="preserve"> </w:t>
            </w:r>
            <w:r w:rsidRPr="002029AF">
              <w:t>support</w:t>
            </w:r>
            <w:r w:rsidR="000A5329" w:rsidRPr="002029AF">
              <w:t xml:space="preserve"> </w:t>
            </w:r>
            <w:r w:rsidRPr="002029AF">
              <w:t>services</w:t>
            </w:r>
          </w:p>
        </w:tc>
        <w:tc>
          <w:tcPr>
            <w:tcW w:w="1022" w:type="dxa"/>
            <w:tcBorders>
              <w:top w:val="single" w:sz="4" w:space="0" w:color="BFBFBF"/>
            </w:tcBorders>
            <w:shd w:val="clear" w:color="auto" w:fill="auto"/>
            <w:hideMark/>
          </w:tcPr>
          <w:p w14:paraId="75FB4FC3" w14:textId="77777777" w:rsidR="00C15C65" w:rsidRPr="002029AF" w:rsidRDefault="00C15C65" w:rsidP="00C40F5D">
            <w:pPr>
              <w:pStyle w:val="ARtabletext"/>
            </w:pPr>
            <w:r w:rsidRPr="002029AF">
              <w:t>number</w:t>
            </w:r>
          </w:p>
        </w:tc>
        <w:tc>
          <w:tcPr>
            <w:tcW w:w="1019" w:type="dxa"/>
            <w:tcBorders>
              <w:top w:val="single" w:sz="4" w:space="0" w:color="BFBFBF"/>
            </w:tcBorders>
            <w:shd w:val="clear" w:color="auto" w:fill="auto"/>
            <w:hideMark/>
          </w:tcPr>
          <w:p w14:paraId="452FD723" w14:textId="77777777" w:rsidR="00C15C65" w:rsidRPr="002029AF" w:rsidRDefault="00C15C65" w:rsidP="00FD77AA">
            <w:pPr>
              <w:pStyle w:val="ARtabletextright"/>
            </w:pPr>
            <w:r w:rsidRPr="002029AF">
              <w:t>1,600</w:t>
            </w:r>
          </w:p>
        </w:tc>
        <w:tc>
          <w:tcPr>
            <w:tcW w:w="1021" w:type="dxa"/>
            <w:tcBorders>
              <w:top w:val="single" w:sz="4" w:space="0" w:color="BFBFBF"/>
            </w:tcBorders>
            <w:shd w:val="clear" w:color="auto" w:fill="auto"/>
            <w:hideMark/>
          </w:tcPr>
          <w:p w14:paraId="575D37C0" w14:textId="77777777" w:rsidR="00C15C65" w:rsidRPr="002029AF" w:rsidRDefault="00C15C65" w:rsidP="00FD77AA">
            <w:pPr>
              <w:pStyle w:val="ARtabletextright"/>
            </w:pPr>
            <w:r w:rsidRPr="002029AF">
              <w:t>5,818</w:t>
            </w:r>
          </w:p>
        </w:tc>
        <w:tc>
          <w:tcPr>
            <w:tcW w:w="1032" w:type="dxa"/>
            <w:tcBorders>
              <w:top w:val="single" w:sz="4" w:space="0" w:color="BFBFBF"/>
            </w:tcBorders>
            <w:shd w:val="clear" w:color="auto" w:fill="auto"/>
          </w:tcPr>
          <w:p w14:paraId="2E309904" w14:textId="77777777" w:rsidR="00C15C65" w:rsidRPr="002029AF" w:rsidRDefault="00C15C65" w:rsidP="00FD77AA">
            <w:pPr>
              <w:pStyle w:val="ARtabletextright"/>
            </w:pPr>
            <w:r w:rsidRPr="002029AF">
              <w:t>263.6</w:t>
            </w:r>
          </w:p>
        </w:tc>
        <w:tc>
          <w:tcPr>
            <w:tcW w:w="794" w:type="dxa"/>
            <w:tcBorders>
              <w:top w:val="single" w:sz="4" w:space="0" w:color="BFBFBF"/>
            </w:tcBorders>
            <w:shd w:val="clear" w:color="auto" w:fill="auto"/>
            <w:hideMark/>
          </w:tcPr>
          <w:p w14:paraId="196B073F"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1F639A3B" w14:textId="77777777" w:rsidTr="005B58F0">
        <w:trPr>
          <w:gridAfter w:val="1"/>
          <w:wAfter w:w="8" w:type="dxa"/>
          <w:cantSplit/>
        </w:trPr>
        <w:tc>
          <w:tcPr>
            <w:tcW w:w="9631" w:type="dxa"/>
            <w:gridSpan w:val="6"/>
            <w:tcBorders>
              <w:bottom w:val="single" w:sz="4" w:space="0" w:color="BFBFBF"/>
            </w:tcBorders>
            <w:shd w:val="clear" w:color="auto" w:fill="auto"/>
            <w:noWrap/>
            <w:hideMark/>
          </w:tcPr>
          <w:p w14:paraId="6F18A44A" w14:textId="3D8837CC" w:rsidR="00C15C65" w:rsidRPr="002029AF" w:rsidRDefault="00C15C65" w:rsidP="002C5190">
            <w:pPr>
              <w:pStyle w:val="ARtablenoteindent"/>
            </w:pPr>
            <w:r w:rsidRPr="002029AF">
              <w:t>The</w:t>
            </w:r>
            <w:r w:rsidR="000A5329" w:rsidRPr="002029AF">
              <w:t xml:space="preserve"> </w:t>
            </w:r>
            <w:r w:rsidRPr="002029AF">
              <w:t>201</w:t>
            </w:r>
            <w:r w:rsidR="00DB53E6" w:rsidRPr="002029AF">
              <w:t>9–</w:t>
            </w:r>
            <w:r w:rsidRPr="002029AF">
              <w:t>20</w:t>
            </w:r>
            <w:r w:rsidR="000A5329" w:rsidRPr="002029AF">
              <w:t xml:space="preserve"> </w:t>
            </w:r>
            <w:r w:rsidRPr="002029AF">
              <w:t>target</w:t>
            </w:r>
            <w:r w:rsidR="000A5329" w:rsidRPr="002029AF">
              <w:t xml:space="preserve"> </w:t>
            </w:r>
            <w:r w:rsidRPr="002029AF">
              <w:t>is</w:t>
            </w:r>
            <w:r w:rsidR="000A5329" w:rsidRPr="002029AF">
              <w:t xml:space="preserve"> </w:t>
            </w:r>
            <w:r w:rsidRPr="002029AF">
              <w:t>based</w:t>
            </w:r>
            <w:r w:rsidR="000A5329" w:rsidRPr="002029AF">
              <w:t xml:space="preserve"> </w:t>
            </w:r>
            <w:r w:rsidRPr="002029AF">
              <w:t>on</w:t>
            </w:r>
            <w:r w:rsidR="000A5329" w:rsidRPr="002029AF">
              <w:t xml:space="preserve"> </w:t>
            </w:r>
            <w:r w:rsidRPr="002029AF">
              <w:t>the</w:t>
            </w:r>
            <w:r w:rsidR="000A5329" w:rsidRPr="002029AF">
              <w:t xml:space="preserve"> </w:t>
            </w:r>
            <w:r w:rsidRPr="002029AF">
              <w:t>expectation</w:t>
            </w:r>
            <w:r w:rsidR="000A5329" w:rsidRPr="002029AF">
              <w:t xml:space="preserve"> </w:t>
            </w:r>
            <w:r w:rsidRPr="002029AF">
              <w:t>that</w:t>
            </w:r>
            <w:r w:rsidR="000A5329" w:rsidRPr="002029AF">
              <w:t xml:space="preserve"> </w:t>
            </w:r>
            <w:r w:rsidRPr="002029AF">
              <w:t>clients</w:t>
            </w:r>
            <w:r w:rsidR="000A5329" w:rsidRPr="002029AF">
              <w:t xml:space="preserve"> </w:t>
            </w:r>
            <w:r w:rsidRPr="002029AF">
              <w:t>of</w:t>
            </w:r>
            <w:r w:rsidR="000A5329" w:rsidRPr="002029AF">
              <w:t xml:space="preserve"> </w:t>
            </w:r>
            <w:r w:rsidRPr="002029AF">
              <w:t>in-scope</w:t>
            </w:r>
            <w:r w:rsidR="000A5329" w:rsidRPr="002029AF">
              <w:t xml:space="preserve"> </w:t>
            </w:r>
            <w:r w:rsidRPr="002029AF">
              <w:t>NDIS</w:t>
            </w:r>
            <w:r w:rsidR="000A5329" w:rsidRPr="002029AF">
              <w:t xml:space="preserve"> </w:t>
            </w:r>
            <w:r w:rsidRPr="002029AF">
              <w:t>programs</w:t>
            </w:r>
            <w:r w:rsidR="000A5329" w:rsidRPr="002029AF">
              <w:t xml:space="preserve"> </w:t>
            </w:r>
            <w:r w:rsidRPr="002029AF">
              <w:t>would</w:t>
            </w:r>
            <w:r w:rsidR="000A5329" w:rsidRPr="002029AF">
              <w:t xml:space="preserve"> </w:t>
            </w:r>
            <w:r w:rsidRPr="002029AF">
              <w:t>have</w:t>
            </w:r>
            <w:r w:rsidR="000A5329" w:rsidRPr="002029AF">
              <w:t xml:space="preserve"> </w:t>
            </w:r>
            <w:r w:rsidRPr="002029AF">
              <w:t>fully</w:t>
            </w:r>
            <w:r w:rsidR="000A5329" w:rsidRPr="002029AF">
              <w:t xml:space="preserve"> </w:t>
            </w:r>
            <w:r w:rsidRPr="002029AF">
              <w:t>transitioned</w:t>
            </w:r>
            <w:r w:rsidR="000A5329" w:rsidRPr="002029AF">
              <w:t xml:space="preserve"> </w:t>
            </w:r>
            <w:r w:rsidRPr="002029AF">
              <w:t>to</w:t>
            </w:r>
            <w:r w:rsidR="000A5329" w:rsidRPr="002029AF">
              <w:t xml:space="preserve"> </w:t>
            </w:r>
            <w:r w:rsidRPr="002029AF">
              <w:t>the</w:t>
            </w:r>
            <w:r w:rsidR="000A5329" w:rsidRPr="002029AF">
              <w:t xml:space="preserve"> </w:t>
            </w:r>
            <w:r w:rsidRPr="002029AF">
              <w:t>NDIS</w:t>
            </w:r>
            <w:r w:rsidR="000A5329" w:rsidRPr="002029AF">
              <w:t xml:space="preserve"> </w:t>
            </w:r>
            <w:r w:rsidRPr="002029AF">
              <w:t>by</w:t>
            </w:r>
            <w:r w:rsidR="000A5329" w:rsidRPr="002029AF">
              <w:t xml:space="preserve"> </w:t>
            </w:r>
            <w:r w:rsidRPr="002029AF">
              <w:t>30</w:t>
            </w:r>
            <w:r w:rsidR="000A5329" w:rsidRPr="002029AF">
              <w:t xml:space="preserve"> </w:t>
            </w:r>
            <w:r w:rsidRPr="002029AF">
              <w:t>June</w:t>
            </w:r>
            <w:r w:rsidR="000A5329" w:rsidRPr="002029AF">
              <w:t xml:space="preserve"> </w:t>
            </w:r>
            <w:r w:rsidRPr="002029AF">
              <w:t>2019.</w:t>
            </w:r>
            <w:r w:rsidR="000A5329" w:rsidRPr="002029AF">
              <w:t xml:space="preserve"> </w:t>
            </w:r>
            <w:r w:rsidRPr="002029AF">
              <w:t>Due</w:t>
            </w:r>
            <w:r w:rsidR="000A5329" w:rsidRPr="002029AF">
              <w:t xml:space="preserve"> </w:t>
            </w:r>
            <w:r w:rsidRPr="002029AF">
              <w:t>the</w:t>
            </w:r>
            <w:r w:rsidR="000A5329" w:rsidRPr="002029AF">
              <w:t xml:space="preserve"> </w:t>
            </w:r>
            <w:r w:rsidRPr="002029AF">
              <w:t>NDIS</w:t>
            </w:r>
            <w:r w:rsidR="000A5329" w:rsidRPr="002029AF">
              <w:t xml:space="preserve"> </w:t>
            </w:r>
            <w:r w:rsidRPr="002029AF">
              <w:t>delays,</w:t>
            </w:r>
            <w:r w:rsidR="000A5329" w:rsidRPr="002029AF">
              <w:t xml:space="preserve"> </w:t>
            </w:r>
            <w:r w:rsidRPr="002029AF">
              <w:t>transition</w:t>
            </w:r>
            <w:r w:rsidR="000A5329" w:rsidRPr="002029AF">
              <w:t xml:space="preserve"> </w:t>
            </w:r>
            <w:r w:rsidRPr="002029AF">
              <w:t>was</w:t>
            </w:r>
            <w:r w:rsidR="000A5329" w:rsidRPr="002029AF">
              <w:t xml:space="preserve"> </w:t>
            </w:r>
            <w:r w:rsidRPr="002029AF">
              <w:t>completed</w:t>
            </w:r>
            <w:r w:rsidR="000A5329" w:rsidRPr="002029AF">
              <w:t xml:space="preserve"> </w:t>
            </w:r>
            <w:r w:rsidRPr="002029AF">
              <w:t>on</w:t>
            </w:r>
            <w:r w:rsidR="000A5329" w:rsidRPr="002029AF">
              <w:t xml:space="preserve"> </w:t>
            </w:r>
            <w:r w:rsidRPr="002029AF">
              <w:t>31</w:t>
            </w:r>
            <w:r w:rsidR="000A5329" w:rsidRPr="002029AF">
              <w:t xml:space="preserve"> </w:t>
            </w:r>
            <w:r w:rsidRPr="002029AF">
              <w:t>March</w:t>
            </w:r>
            <w:r w:rsidR="000A5329" w:rsidRPr="002029AF">
              <w:t xml:space="preserve"> </w:t>
            </w:r>
            <w:r w:rsidRPr="002029AF">
              <w:t>2020.</w:t>
            </w:r>
          </w:p>
        </w:tc>
      </w:tr>
      <w:tr w:rsidR="00C15C65" w:rsidRPr="002029AF" w14:paraId="37F1CD7D" w14:textId="77777777" w:rsidTr="005B58F0">
        <w:trPr>
          <w:cantSplit/>
        </w:trPr>
        <w:tc>
          <w:tcPr>
            <w:tcW w:w="9639" w:type="dxa"/>
            <w:gridSpan w:val="7"/>
            <w:tcBorders>
              <w:top w:val="single" w:sz="4" w:space="0" w:color="auto"/>
              <w:left w:val="nil"/>
              <w:right w:val="nil"/>
            </w:tcBorders>
            <w:hideMark/>
          </w:tcPr>
          <w:p w14:paraId="4B2079E9" w14:textId="77777777" w:rsidR="00C15C65" w:rsidRPr="002029AF" w:rsidRDefault="00C15C65" w:rsidP="00D96AFD">
            <w:pPr>
              <w:pStyle w:val="ARtablegreybold"/>
            </w:pPr>
            <w:r w:rsidRPr="002029AF">
              <w:t>Quality</w:t>
            </w:r>
          </w:p>
        </w:tc>
      </w:tr>
      <w:tr w:rsidR="00C15C65" w:rsidRPr="002029AF" w14:paraId="6C5B030B" w14:textId="77777777" w:rsidTr="00CB3B6B">
        <w:trPr>
          <w:gridAfter w:val="1"/>
          <w:wAfter w:w="8" w:type="dxa"/>
          <w:cantSplit/>
        </w:trPr>
        <w:tc>
          <w:tcPr>
            <w:tcW w:w="4743" w:type="dxa"/>
            <w:shd w:val="clear" w:color="auto" w:fill="auto"/>
            <w:hideMark/>
          </w:tcPr>
          <w:p w14:paraId="52651930" w14:textId="6A5DB6CE" w:rsidR="00C15C65" w:rsidRPr="002029AF" w:rsidRDefault="00C15C65" w:rsidP="00C40F5D">
            <w:pPr>
              <w:pStyle w:val="ARtabletext"/>
            </w:pPr>
            <w:r w:rsidRPr="002029AF">
              <w:t>Proportion</w:t>
            </w:r>
            <w:r w:rsidR="000A5329" w:rsidRPr="002029AF">
              <w:t xml:space="preserve"> </w:t>
            </w:r>
            <w:r w:rsidRPr="002029AF">
              <w:t>of</w:t>
            </w:r>
            <w:r w:rsidR="000A5329" w:rsidRPr="002029AF">
              <w:t xml:space="preserve"> </w:t>
            </w:r>
            <w:r w:rsidRPr="002029AF">
              <w:t>major</w:t>
            </w:r>
            <w:r w:rsidR="000A5329" w:rsidRPr="002029AF">
              <w:t xml:space="preserve"> </w:t>
            </w:r>
            <w:r w:rsidRPr="002029AF">
              <w:t>agencies</w:t>
            </w:r>
            <w:r w:rsidR="000A5329" w:rsidRPr="002029AF">
              <w:t xml:space="preserve"> </w:t>
            </w:r>
            <w:r w:rsidRPr="002029AF">
              <w:t>accredited</w:t>
            </w:r>
          </w:p>
        </w:tc>
        <w:tc>
          <w:tcPr>
            <w:tcW w:w="1022" w:type="dxa"/>
            <w:shd w:val="clear" w:color="auto" w:fill="auto"/>
            <w:hideMark/>
          </w:tcPr>
          <w:p w14:paraId="0B842C0B" w14:textId="752212D1" w:rsidR="00C15C65" w:rsidRPr="002029AF" w:rsidRDefault="00C15C65" w:rsidP="00C40F5D">
            <w:pPr>
              <w:pStyle w:val="ARtabletext"/>
            </w:pPr>
            <w:r w:rsidRPr="002029AF">
              <w:t>per</w:t>
            </w:r>
            <w:r w:rsidR="000A5329" w:rsidRPr="002029AF">
              <w:t xml:space="preserve"> </w:t>
            </w:r>
            <w:r w:rsidRPr="002029AF">
              <w:t>cent</w:t>
            </w:r>
          </w:p>
        </w:tc>
        <w:tc>
          <w:tcPr>
            <w:tcW w:w="1019" w:type="dxa"/>
            <w:shd w:val="clear" w:color="auto" w:fill="auto"/>
            <w:hideMark/>
          </w:tcPr>
          <w:p w14:paraId="689A6129" w14:textId="77777777" w:rsidR="00C15C65" w:rsidRPr="002029AF" w:rsidRDefault="00C15C65" w:rsidP="00FD77AA">
            <w:pPr>
              <w:pStyle w:val="ARtabletextright"/>
            </w:pPr>
            <w:r w:rsidRPr="002029AF">
              <w:t>100</w:t>
            </w:r>
          </w:p>
        </w:tc>
        <w:tc>
          <w:tcPr>
            <w:tcW w:w="1021" w:type="dxa"/>
            <w:shd w:val="clear" w:color="auto" w:fill="auto"/>
            <w:hideMark/>
          </w:tcPr>
          <w:p w14:paraId="058E4075" w14:textId="77777777" w:rsidR="00C15C65" w:rsidRPr="002029AF" w:rsidRDefault="00C15C65" w:rsidP="00FD77AA">
            <w:pPr>
              <w:pStyle w:val="ARtabletextright"/>
            </w:pPr>
            <w:r w:rsidRPr="002029AF">
              <w:t>100</w:t>
            </w:r>
          </w:p>
        </w:tc>
        <w:tc>
          <w:tcPr>
            <w:tcW w:w="1032" w:type="dxa"/>
            <w:shd w:val="clear" w:color="auto" w:fill="auto"/>
          </w:tcPr>
          <w:p w14:paraId="3D4B84D2" w14:textId="77777777" w:rsidR="00C15C65" w:rsidRPr="002029AF" w:rsidRDefault="00C15C65" w:rsidP="00FD77AA">
            <w:pPr>
              <w:pStyle w:val="ARtabletextright"/>
            </w:pPr>
            <w:r w:rsidRPr="002029AF">
              <w:t>0.0</w:t>
            </w:r>
          </w:p>
        </w:tc>
        <w:tc>
          <w:tcPr>
            <w:tcW w:w="794" w:type="dxa"/>
            <w:shd w:val="clear" w:color="auto" w:fill="auto"/>
            <w:hideMark/>
          </w:tcPr>
          <w:p w14:paraId="15334E99"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1CD9C94F" w14:textId="77777777" w:rsidTr="005B58F0">
        <w:trPr>
          <w:gridAfter w:val="1"/>
          <w:wAfter w:w="8" w:type="dxa"/>
          <w:cantSplit/>
        </w:trPr>
        <w:tc>
          <w:tcPr>
            <w:tcW w:w="9631" w:type="dxa"/>
            <w:gridSpan w:val="6"/>
            <w:tcBorders>
              <w:bottom w:val="single" w:sz="4" w:space="0" w:color="BFBFBF"/>
            </w:tcBorders>
            <w:shd w:val="clear" w:color="auto" w:fill="auto"/>
            <w:noWrap/>
            <w:hideMark/>
          </w:tcPr>
          <w:p w14:paraId="7A90B76D" w14:textId="56C5D4D5" w:rsidR="00C15C65" w:rsidRPr="002029AF" w:rsidRDefault="00C15C65" w:rsidP="002C5190">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by</w:t>
            </w:r>
            <w:r w:rsidR="000A5329" w:rsidRPr="002029AF">
              <w:t xml:space="preserve"> </w:t>
            </w:r>
            <w:r w:rsidRPr="002029AF">
              <w:t>late</w:t>
            </w:r>
            <w:r w:rsidR="000A5329" w:rsidRPr="002029AF">
              <w:t xml:space="preserve"> </w:t>
            </w:r>
            <w:r w:rsidRPr="002029AF">
              <w:t>2020.</w:t>
            </w:r>
          </w:p>
        </w:tc>
      </w:tr>
      <w:tr w:rsidR="00C15C65" w:rsidRPr="002029AF" w14:paraId="027559A4" w14:textId="77777777" w:rsidTr="005B58F0">
        <w:trPr>
          <w:cantSplit/>
        </w:trPr>
        <w:tc>
          <w:tcPr>
            <w:tcW w:w="9639" w:type="dxa"/>
            <w:gridSpan w:val="7"/>
            <w:tcBorders>
              <w:top w:val="single" w:sz="4" w:space="0" w:color="auto"/>
              <w:left w:val="nil"/>
              <w:right w:val="nil"/>
            </w:tcBorders>
            <w:hideMark/>
          </w:tcPr>
          <w:p w14:paraId="6A0CA726" w14:textId="77777777" w:rsidR="00C15C65" w:rsidRPr="002029AF" w:rsidRDefault="00C15C65" w:rsidP="007666A5">
            <w:pPr>
              <w:pStyle w:val="ARtablegreybold"/>
            </w:pPr>
            <w:r w:rsidRPr="002029AF">
              <w:t>Cost</w:t>
            </w:r>
          </w:p>
        </w:tc>
      </w:tr>
      <w:tr w:rsidR="00C15C65" w:rsidRPr="002029AF" w14:paraId="635274E2" w14:textId="77777777" w:rsidTr="00CB3B6B">
        <w:trPr>
          <w:cantSplit/>
        </w:trPr>
        <w:tc>
          <w:tcPr>
            <w:tcW w:w="4743" w:type="dxa"/>
            <w:tcBorders>
              <w:bottom w:val="single" w:sz="4" w:space="0" w:color="auto"/>
            </w:tcBorders>
            <w:hideMark/>
          </w:tcPr>
          <w:p w14:paraId="6AFC8D37" w14:textId="6DE0F153" w:rsidR="00C15C65" w:rsidRPr="002029AF" w:rsidRDefault="00C15C65" w:rsidP="00C40F5D">
            <w:pPr>
              <w:pStyle w:val="ARtabletext"/>
              <w:rPr>
                <w:b/>
              </w:rPr>
            </w:pPr>
            <w:r w:rsidRPr="002029AF">
              <w:rPr>
                <w:b/>
              </w:rPr>
              <w:t>Total</w:t>
            </w:r>
            <w:r w:rsidR="000A5329" w:rsidRPr="002029AF">
              <w:rPr>
                <w:b/>
              </w:rPr>
              <w:t xml:space="preserve"> </w:t>
            </w:r>
            <w:r w:rsidRPr="002029AF">
              <w:rPr>
                <w:b/>
              </w:rPr>
              <w:t>output</w:t>
            </w:r>
            <w:r w:rsidR="000A5329" w:rsidRPr="002029AF">
              <w:rPr>
                <w:b/>
              </w:rPr>
              <w:t xml:space="preserve"> </w:t>
            </w:r>
            <w:r w:rsidRPr="002029AF">
              <w:rPr>
                <w:b/>
              </w:rPr>
              <w:t>cost</w:t>
            </w:r>
          </w:p>
        </w:tc>
        <w:tc>
          <w:tcPr>
            <w:tcW w:w="1022" w:type="dxa"/>
            <w:tcBorders>
              <w:bottom w:val="single" w:sz="4" w:space="0" w:color="auto"/>
            </w:tcBorders>
            <w:hideMark/>
          </w:tcPr>
          <w:p w14:paraId="75C2705D" w14:textId="5D7760C7" w:rsidR="00C15C65" w:rsidRPr="002029AF" w:rsidRDefault="00C15C65" w:rsidP="00C40F5D">
            <w:pPr>
              <w:pStyle w:val="ARtabletext"/>
              <w:rPr>
                <w:b/>
              </w:rPr>
            </w:pPr>
            <w:r w:rsidRPr="002029AF">
              <w:rPr>
                <w:b/>
              </w:rPr>
              <w:t>$</w:t>
            </w:r>
            <w:r w:rsidR="000A5329" w:rsidRPr="002029AF">
              <w:rPr>
                <w:b/>
              </w:rPr>
              <w:t xml:space="preserve"> </w:t>
            </w:r>
            <w:r w:rsidRPr="002029AF">
              <w:rPr>
                <w:b/>
              </w:rPr>
              <w:t>million</w:t>
            </w:r>
          </w:p>
        </w:tc>
        <w:tc>
          <w:tcPr>
            <w:tcW w:w="1019" w:type="dxa"/>
            <w:tcBorders>
              <w:bottom w:val="single" w:sz="4" w:space="0" w:color="auto"/>
            </w:tcBorders>
          </w:tcPr>
          <w:p w14:paraId="3F5D9A98" w14:textId="77777777" w:rsidR="00C15C65" w:rsidRPr="002029AF" w:rsidRDefault="00C15C65" w:rsidP="00036F13">
            <w:pPr>
              <w:pStyle w:val="ARtabletextrightbold"/>
            </w:pPr>
            <w:r w:rsidRPr="002029AF">
              <w:t>110.9</w:t>
            </w:r>
          </w:p>
        </w:tc>
        <w:tc>
          <w:tcPr>
            <w:tcW w:w="1021" w:type="dxa"/>
            <w:tcBorders>
              <w:bottom w:val="single" w:sz="4" w:space="0" w:color="auto"/>
            </w:tcBorders>
          </w:tcPr>
          <w:p w14:paraId="050087F9" w14:textId="77777777" w:rsidR="00C15C65" w:rsidRPr="002029AF" w:rsidRDefault="00C15C65" w:rsidP="00036F13">
            <w:pPr>
              <w:pStyle w:val="ARtabletextrightbold"/>
            </w:pPr>
            <w:r w:rsidRPr="002029AF">
              <w:t>111.0</w:t>
            </w:r>
          </w:p>
        </w:tc>
        <w:tc>
          <w:tcPr>
            <w:tcW w:w="1032" w:type="dxa"/>
            <w:tcBorders>
              <w:bottom w:val="single" w:sz="4" w:space="0" w:color="auto"/>
            </w:tcBorders>
          </w:tcPr>
          <w:p w14:paraId="006D0B44" w14:textId="77777777" w:rsidR="00C15C65" w:rsidRPr="002029AF" w:rsidRDefault="00C15C65" w:rsidP="00036F13">
            <w:pPr>
              <w:pStyle w:val="ARtabletextrightbold"/>
            </w:pPr>
            <w:r w:rsidRPr="002029AF">
              <w:t>0.1</w:t>
            </w:r>
          </w:p>
        </w:tc>
        <w:tc>
          <w:tcPr>
            <w:tcW w:w="802" w:type="dxa"/>
            <w:gridSpan w:val="2"/>
            <w:tcBorders>
              <w:bottom w:val="single" w:sz="4" w:space="0" w:color="auto"/>
            </w:tcBorders>
          </w:tcPr>
          <w:p w14:paraId="7255DED5" w14:textId="77777777" w:rsidR="00C15C65" w:rsidRPr="002029AF" w:rsidRDefault="00C15C65" w:rsidP="00C40F5D">
            <w:pPr>
              <w:pStyle w:val="ARtabletext"/>
              <w:rPr>
                <w:b/>
              </w:rPr>
            </w:pPr>
          </w:p>
        </w:tc>
      </w:tr>
    </w:tbl>
    <w:p w14:paraId="6D5AEFDE" w14:textId="1B0E047B" w:rsidR="00C15C65" w:rsidRPr="002029AF" w:rsidRDefault="00C15C65" w:rsidP="00205D6E">
      <w:pPr>
        <w:pStyle w:val="Heading2"/>
      </w:pPr>
      <w:r w:rsidRPr="002029AF">
        <w:t>Primary,</w:t>
      </w:r>
      <w:r w:rsidR="000A5329" w:rsidRPr="002029AF">
        <w:t xml:space="preserve"> </w:t>
      </w:r>
      <w:r w:rsidRPr="002029AF">
        <w:t>Community</w:t>
      </w:r>
      <w:r w:rsidR="000A5329" w:rsidRPr="002029AF">
        <w:t xml:space="preserve"> </w:t>
      </w:r>
      <w:r w:rsidRPr="002029AF">
        <w:t>and</w:t>
      </w:r>
      <w:r w:rsidR="000A5329" w:rsidRPr="002029AF">
        <w:t xml:space="preserve"> </w:t>
      </w:r>
      <w:r w:rsidRPr="002029AF">
        <w:t>Dental</w:t>
      </w:r>
      <w:r w:rsidR="000A5329" w:rsidRPr="002029AF">
        <w:t xml:space="preserve"> </w:t>
      </w:r>
      <w:r w:rsidRPr="002029AF">
        <w:t>Health</w:t>
      </w:r>
    </w:p>
    <w:p w14:paraId="54B11BD2" w14:textId="654E712E" w:rsidR="00C15C65" w:rsidRPr="002029AF" w:rsidRDefault="00C15C65" w:rsidP="00C40F5D">
      <w:pPr>
        <w:pStyle w:val="ARbody"/>
      </w:pPr>
      <w:r w:rsidRPr="002029AF">
        <w:t>This</w:t>
      </w:r>
      <w:r w:rsidR="000A5329" w:rsidRPr="002029AF">
        <w:t xml:space="preserve"> </w:t>
      </w:r>
      <w:r w:rsidRPr="002029AF">
        <w:t>output,</w:t>
      </w:r>
      <w:r w:rsidR="000A5329" w:rsidRPr="002029AF">
        <w:t xml:space="preserve"> </w:t>
      </w:r>
      <w:r w:rsidRPr="002029AF">
        <w:t>through</w:t>
      </w:r>
      <w:r w:rsidR="000A5329" w:rsidRPr="002029AF">
        <w:t xml:space="preserve"> </w:t>
      </w:r>
      <w:r w:rsidRPr="002029AF">
        <w:t>the</w:t>
      </w:r>
      <w:r w:rsidR="000A5329" w:rsidRPr="002029AF">
        <w:t xml:space="preserve"> </w:t>
      </w:r>
      <w:r w:rsidRPr="002029AF">
        <w:t>provision</w:t>
      </w:r>
      <w:r w:rsidR="000A5329" w:rsidRPr="002029AF">
        <w:t xml:space="preserve"> </w:t>
      </w:r>
      <w:r w:rsidRPr="002029AF">
        <w:t>of</w:t>
      </w:r>
      <w:r w:rsidR="000A5329" w:rsidRPr="002029AF">
        <w:t xml:space="preserve"> </w:t>
      </w:r>
      <w:r w:rsidRPr="002029AF">
        <w:t>a</w:t>
      </w:r>
      <w:r w:rsidR="000A5329" w:rsidRPr="002029AF">
        <w:t xml:space="preserve"> </w:t>
      </w:r>
      <w:r w:rsidRPr="002029AF">
        <w:t>range</w:t>
      </w:r>
      <w:r w:rsidR="000A5329" w:rsidRPr="002029AF">
        <w:t xml:space="preserve"> </w:t>
      </w:r>
      <w:r w:rsidRPr="002029AF">
        <w:t>of</w:t>
      </w:r>
      <w:r w:rsidR="000A5329" w:rsidRPr="002029AF">
        <w:t xml:space="preserve"> </w:t>
      </w:r>
      <w:r w:rsidRPr="002029AF">
        <w:t>in-home,</w:t>
      </w:r>
      <w:r w:rsidR="000A5329" w:rsidRPr="002029AF">
        <w:t xml:space="preserve"> </w:t>
      </w:r>
      <w:r w:rsidRPr="002029AF">
        <w:t>community-based,</w:t>
      </w:r>
      <w:r w:rsidR="000A5329" w:rsidRPr="002029AF">
        <w:t xml:space="preserve"> </w:t>
      </w:r>
      <w:r w:rsidRPr="002029AF">
        <w:t>community,</w:t>
      </w:r>
      <w:r w:rsidR="000A5329" w:rsidRPr="002029AF">
        <w:t xml:space="preserve"> </w:t>
      </w:r>
      <w:r w:rsidRPr="002029AF">
        <w:t>maternal</w:t>
      </w:r>
      <w:r w:rsidR="000A5329" w:rsidRPr="002029AF">
        <w:t xml:space="preserve"> </w:t>
      </w:r>
      <w:r w:rsidRPr="002029AF">
        <w:t>and</w:t>
      </w:r>
      <w:r w:rsidR="000A5329" w:rsidRPr="002029AF">
        <w:t xml:space="preserve"> </w:t>
      </w:r>
      <w:r w:rsidRPr="002029AF">
        <w:t>child,</w:t>
      </w:r>
      <w:r w:rsidR="000A5329" w:rsidRPr="002029AF">
        <w:t xml:space="preserve"> </w:t>
      </w:r>
      <w:r w:rsidRPr="002029AF">
        <w:t>early</w:t>
      </w:r>
      <w:r w:rsidR="000A5329" w:rsidRPr="002029AF">
        <w:t xml:space="preserve"> </w:t>
      </w:r>
      <w:r w:rsidRPr="002029AF">
        <w:t>parenting,</w:t>
      </w:r>
      <w:r w:rsidR="000A5329" w:rsidRPr="002029AF">
        <w:t xml:space="preserve"> </w:t>
      </w:r>
      <w:r w:rsidRPr="002029AF">
        <w:t>primary</w:t>
      </w:r>
      <w:r w:rsidR="000A5329" w:rsidRPr="002029AF">
        <w:t xml:space="preserve"> </w:t>
      </w:r>
      <w:r w:rsidRPr="002029AF">
        <w:t>health</w:t>
      </w:r>
      <w:r w:rsidR="000A5329" w:rsidRPr="002029AF">
        <w:t xml:space="preserve"> </w:t>
      </w:r>
      <w:r w:rsidRPr="002029AF">
        <w:t>and</w:t>
      </w:r>
      <w:r w:rsidR="000A5329" w:rsidRPr="002029AF">
        <w:t xml:space="preserve"> </w:t>
      </w:r>
      <w:r w:rsidRPr="002029AF">
        <w:t>dental</w:t>
      </w:r>
      <w:r w:rsidR="000A5329" w:rsidRPr="002029AF">
        <w:t xml:space="preserve"> </w:t>
      </w:r>
      <w:r w:rsidRPr="002029AF">
        <w:t>services,</w:t>
      </w:r>
      <w:r w:rsidR="000A5329" w:rsidRPr="002029AF">
        <w:t xml:space="preserve"> </w:t>
      </w:r>
      <w:r w:rsidRPr="002029AF">
        <w:t>promotes</w:t>
      </w:r>
      <w:r w:rsidR="000A5329" w:rsidRPr="002029AF">
        <w:t xml:space="preserve"> </w:t>
      </w:r>
      <w:r w:rsidRPr="002029AF">
        <w:t>health</w:t>
      </w:r>
      <w:r w:rsidR="000A5329" w:rsidRPr="002029AF">
        <w:t xml:space="preserve"> </w:t>
      </w:r>
      <w:r w:rsidRPr="002029AF">
        <w:t>and</w:t>
      </w:r>
      <w:r w:rsidR="000A5329" w:rsidRPr="002029AF">
        <w:t xml:space="preserve"> </w:t>
      </w:r>
      <w:r w:rsidRPr="002029AF">
        <w:t>wellbeing</w:t>
      </w:r>
      <w:r w:rsidR="000A5329" w:rsidRPr="002029AF">
        <w:t xml:space="preserve"> </w:t>
      </w:r>
      <w:r w:rsidRPr="002029AF">
        <w:t>and</w:t>
      </w:r>
      <w:r w:rsidR="000A5329" w:rsidRPr="002029AF">
        <w:t xml:space="preserve"> </w:t>
      </w:r>
      <w:r w:rsidRPr="002029AF">
        <w:t>prevents</w:t>
      </w:r>
      <w:r w:rsidR="000A5329" w:rsidRPr="002029AF">
        <w:t xml:space="preserve"> </w:t>
      </w:r>
      <w:r w:rsidRPr="002029AF">
        <w:t>the</w:t>
      </w:r>
      <w:r w:rsidR="000A5329" w:rsidRPr="002029AF">
        <w:t xml:space="preserve"> </w:t>
      </w:r>
      <w:r w:rsidRPr="002029AF">
        <w:t>onset</w:t>
      </w:r>
      <w:r w:rsidR="000A5329" w:rsidRPr="002029AF">
        <w:t xml:space="preserve"> </w:t>
      </w:r>
      <w:r w:rsidRPr="002029AF">
        <w:t>of</w:t>
      </w:r>
      <w:r w:rsidR="000A5329" w:rsidRPr="002029AF">
        <w:t xml:space="preserve"> </w:t>
      </w:r>
      <w:r w:rsidRPr="002029AF">
        <w:t>more</w:t>
      </w:r>
      <w:r w:rsidR="000A5329" w:rsidRPr="002029AF">
        <w:t xml:space="preserve"> </w:t>
      </w:r>
      <w:r w:rsidRPr="002029AF">
        <w:t>serious</w:t>
      </w:r>
      <w:r w:rsidR="000A5329" w:rsidRPr="002029AF">
        <w:t xml:space="preserve"> </w:t>
      </w:r>
      <w:r w:rsidRPr="002029AF">
        <w:t>illnesses.</w:t>
      </w:r>
    </w:p>
    <w:tbl>
      <w:tblPr>
        <w:tblW w:w="9639" w:type="dxa"/>
        <w:tblLayout w:type="fixed"/>
        <w:tblCellMar>
          <w:left w:w="0" w:type="dxa"/>
        </w:tblCellMar>
        <w:tblLook w:val="04A0" w:firstRow="1" w:lastRow="0" w:firstColumn="1" w:lastColumn="0" w:noHBand="0" w:noVBand="1"/>
      </w:tblPr>
      <w:tblGrid>
        <w:gridCol w:w="4753"/>
        <w:gridCol w:w="1019"/>
        <w:gridCol w:w="1020"/>
        <w:gridCol w:w="1020"/>
        <w:gridCol w:w="1023"/>
        <w:gridCol w:w="797"/>
        <w:gridCol w:w="7"/>
      </w:tblGrid>
      <w:tr w:rsidR="005B58F0" w:rsidRPr="002029AF" w14:paraId="11420C52" w14:textId="77777777" w:rsidTr="00FD77AA">
        <w:trPr>
          <w:cantSplit/>
          <w:tblHeader/>
        </w:trPr>
        <w:tc>
          <w:tcPr>
            <w:tcW w:w="4753" w:type="dxa"/>
            <w:tcBorders>
              <w:top w:val="nil"/>
              <w:left w:val="nil"/>
              <w:bottom w:val="single" w:sz="4" w:space="0" w:color="auto"/>
              <w:right w:val="nil"/>
            </w:tcBorders>
            <w:vAlign w:val="bottom"/>
            <w:hideMark/>
          </w:tcPr>
          <w:p w14:paraId="3FBE90BD" w14:textId="256814A6" w:rsidR="005B58F0" w:rsidRPr="002029AF" w:rsidRDefault="005B58F0" w:rsidP="0014376C">
            <w:pPr>
              <w:pStyle w:val="ARtablecolhead"/>
            </w:pPr>
            <w:r w:rsidRPr="002029AF">
              <w:t>Performance</w:t>
            </w:r>
            <w:r w:rsidR="000A5329" w:rsidRPr="002029AF">
              <w:t xml:space="preserve"> </w:t>
            </w:r>
            <w:r w:rsidRPr="002029AF">
              <w:t>measures</w:t>
            </w:r>
          </w:p>
        </w:tc>
        <w:tc>
          <w:tcPr>
            <w:tcW w:w="1019" w:type="dxa"/>
            <w:tcBorders>
              <w:top w:val="nil"/>
              <w:left w:val="nil"/>
              <w:bottom w:val="single" w:sz="4" w:space="0" w:color="auto"/>
              <w:right w:val="nil"/>
            </w:tcBorders>
            <w:vAlign w:val="bottom"/>
            <w:hideMark/>
          </w:tcPr>
          <w:p w14:paraId="0CC36FD7" w14:textId="7802045E" w:rsidR="005B58F0" w:rsidRPr="002029AF" w:rsidRDefault="005B58F0" w:rsidP="0014376C">
            <w:pPr>
              <w:pStyle w:val="ARtablecolhead"/>
            </w:pPr>
            <w:r w:rsidRPr="002029AF">
              <w:t>Unit</w:t>
            </w:r>
            <w:r w:rsidR="000A5329" w:rsidRPr="002029AF">
              <w:t xml:space="preserve"> </w:t>
            </w:r>
            <w:r w:rsidRPr="002029AF">
              <w:t>of</w:t>
            </w:r>
            <w:r w:rsidR="000A5329" w:rsidRPr="002029AF">
              <w:t xml:space="preserve"> </w:t>
            </w:r>
            <w:r w:rsidRPr="002029AF">
              <w:t>measure</w:t>
            </w:r>
          </w:p>
        </w:tc>
        <w:tc>
          <w:tcPr>
            <w:tcW w:w="1020" w:type="dxa"/>
            <w:tcBorders>
              <w:top w:val="nil"/>
              <w:left w:val="nil"/>
              <w:bottom w:val="single" w:sz="4" w:space="0" w:color="auto"/>
              <w:right w:val="nil"/>
            </w:tcBorders>
            <w:vAlign w:val="bottom"/>
            <w:hideMark/>
          </w:tcPr>
          <w:p w14:paraId="40A64207" w14:textId="27BC3EB0" w:rsidR="005B58F0" w:rsidRPr="002029AF" w:rsidRDefault="005B58F0" w:rsidP="0014376C">
            <w:pPr>
              <w:pStyle w:val="ARtablecolheadright"/>
            </w:pPr>
            <w:r w:rsidRPr="002029AF">
              <w:t>2019–20</w:t>
            </w:r>
            <w:r w:rsidR="000A5329" w:rsidRPr="002029AF">
              <w:t xml:space="preserve"> </w:t>
            </w:r>
            <w:r w:rsidRPr="002029AF">
              <w:t>target</w:t>
            </w:r>
          </w:p>
        </w:tc>
        <w:tc>
          <w:tcPr>
            <w:tcW w:w="1020" w:type="dxa"/>
            <w:tcBorders>
              <w:top w:val="nil"/>
              <w:left w:val="nil"/>
              <w:bottom w:val="single" w:sz="4" w:space="0" w:color="auto"/>
              <w:right w:val="nil"/>
            </w:tcBorders>
            <w:vAlign w:val="bottom"/>
            <w:hideMark/>
          </w:tcPr>
          <w:p w14:paraId="453FE5DA" w14:textId="37BB4641" w:rsidR="005B58F0" w:rsidRPr="002029AF" w:rsidRDefault="005B58F0" w:rsidP="0014376C">
            <w:pPr>
              <w:pStyle w:val="ARtablecolheadright"/>
            </w:pPr>
            <w:r w:rsidRPr="002029AF">
              <w:t>2019–20</w:t>
            </w:r>
            <w:r w:rsidR="000A5329" w:rsidRPr="002029AF">
              <w:t xml:space="preserve"> </w:t>
            </w:r>
            <w:r w:rsidRPr="002029AF">
              <w:t>actual</w:t>
            </w:r>
          </w:p>
        </w:tc>
        <w:tc>
          <w:tcPr>
            <w:tcW w:w="1023" w:type="dxa"/>
            <w:tcBorders>
              <w:top w:val="nil"/>
              <w:left w:val="nil"/>
              <w:bottom w:val="single" w:sz="4" w:space="0" w:color="auto"/>
              <w:right w:val="nil"/>
            </w:tcBorders>
            <w:vAlign w:val="bottom"/>
            <w:hideMark/>
          </w:tcPr>
          <w:p w14:paraId="3F61B7D5" w14:textId="0A5B517D" w:rsidR="005B58F0" w:rsidRPr="002029AF" w:rsidRDefault="005B58F0" w:rsidP="0014376C">
            <w:pPr>
              <w:pStyle w:val="ARtablecolheadright"/>
            </w:pPr>
            <w:r w:rsidRPr="002029AF">
              <w:t>Variation</w:t>
            </w:r>
            <w:r w:rsidR="000A5329" w:rsidRPr="002029AF">
              <w:t xml:space="preserve"> </w:t>
            </w:r>
            <w:r w:rsidRPr="002029AF">
              <w:t>(%)</w:t>
            </w:r>
          </w:p>
        </w:tc>
        <w:tc>
          <w:tcPr>
            <w:tcW w:w="804" w:type="dxa"/>
            <w:gridSpan w:val="2"/>
            <w:tcBorders>
              <w:top w:val="nil"/>
              <w:left w:val="nil"/>
              <w:bottom w:val="single" w:sz="4" w:space="0" w:color="auto"/>
              <w:right w:val="nil"/>
            </w:tcBorders>
            <w:vAlign w:val="bottom"/>
            <w:hideMark/>
          </w:tcPr>
          <w:p w14:paraId="22D645D7" w14:textId="77777777" w:rsidR="005B58F0" w:rsidRPr="002029AF" w:rsidRDefault="005B58F0" w:rsidP="000D3C3F">
            <w:pPr>
              <w:pStyle w:val="ARtablecolheadcentre"/>
            </w:pPr>
            <w:r w:rsidRPr="002029AF">
              <w:t>Result</w:t>
            </w:r>
          </w:p>
        </w:tc>
      </w:tr>
      <w:tr w:rsidR="00C15C65" w:rsidRPr="002029AF" w14:paraId="57860239" w14:textId="77777777" w:rsidTr="005B58F0">
        <w:trPr>
          <w:cantSplit/>
        </w:trPr>
        <w:tc>
          <w:tcPr>
            <w:tcW w:w="9639" w:type="dxa"/>
            <w:gridSpan w:val="7"/>
            <w:tcBorders>
              <w:top w:val="single" w:sz="4" w:space="0" w:color="auto"/>
              <w:left w:val="nil"/>
              <w:bottom w:val="single" w:sz="4" w:space="0" w:color="auto"/>
              <w:right w:val="nil"/>
            </w:tcBorders>
            <w:hideMark/>
          </w:tcPr>
          <w:p w14:paraId="60311F2E" w14:textId="2E61544F" w:rsidR="00C15C65" w:rsidRPr="002029AF" w:rsidRDefault="00C15C65" w:rsidP="007666A5">
            <w:pPr>
              <w:pStyle w:val="ARtablesubhead"/>
            </w:pPr>
            <w:r w:rsidRPr="002029AF">
              <w:t>Community</w:t>
            </w:r>
            <w:r w:rsidR="000A5329" w:rsidRPr="002029AF">
              <w:t xml:space="preserve"> </w:t>
            </w:r>
            <w:r w:rsidRPr="002029AF">
              <w:t>Health</w:t>
            </w:r>
            <w:r w:rsidR="000A5329" w:rsidRPr="002029AF">
              <w:t xml:space="preserve"> </w:t>
            </w:r>
            <w:r w:rsidRPr="002029AF">
              <w:t>Care</w:t>
            </w:r>
          </w:p>
        </w:tc>
      </w:tr>
      <w:tr w:rsidR="00C15C65" w:rsidRPr="002029AF" w14:paraId="46DD9699" w14:textId="77777777" w:rsidTr="005B58F0">
        <w:trPr>
          <w:cantSplit/>
        </w:trPr>
        <w:tc>
          <w:tcPr>
            <w:tcW w:w="9639" w:type="dxa"/>
            <w:gridSpan w:val="7"/>
            <w:tcBorders>
              <w:top w:val="single" w:sz="4" w:space="0" w:color="auto"/>
              <w:left w:val="nil"/>
              <w:bottom w:val="nil"/>
              <w:right w:val="nil"/>
            </w:tcBorders>
            <w:hideMark/>
          </w:tcPr>
          <w:p w14:paraId="4B102EBB" w14:textId="77777777" w:rsidR="00C15C65" w:rsidRPr="002029AF" w:rsidRDefault="00C15C65" w:rsidP="00D96AFD">
            <w:pPr>
              <w:pStyle w:val="ARtablegreybold"/>
            </w:pPr>
            <w:r w:rsidRPr="002029AF">
              <w:t>Quantity</w:t>
            </w:r>
          </w:p>
        </w:tc>
      </w:tr>
      <w:tr w:rsidR="00C15C65" w:rsidRPr="002029AF" w14:paraId="614E4F01" w14:textId="77777777" w:rsidTr="00FD77AA">
        <w:trPr>
          <w:gridAfter w:val="1"/>
          <w:wAfter w:w="7" w:type="dxa"/>
          <w:cantSplit/>
        </w:trPr>
        <w:tc>
          <w:tcPr>
            <w:tcW w:w="4753" w:type="dxa"/>
            <w:shd w:val="clear" w:color="auto" w:fill="auto"/>
            <w:hideMark/>
          </w:tcPr>
          <w:p w14:paraId="3DE73D2E" w14:textId="2570B1DF" w:rsidR="00C15C65" w:rsidRPr="002029AF" w:rsidRDefault="00C15C65" w:rsidP="00C40F5D">
            <w:pPr>
              <w:pStyle w:val="ARtabletext"/>
            </w:pPr>
            <w:r w:rsidRPr="002029AF">
              <w:t>Better</w:t>
            </w:r>
            <w:r w:rsidR="000A5329" w:rsidRPr="002029AF">
              <w:t xml:space="preserve"> </w:t>
            </w:r>
            <w:r w:rsidRPr="002029AF">
              <w:t>Health</w:t>
            </w:r>
            <w:r w:rsidR="000A5329" w:rsidRPr="002029AF">
              <w:t xml:space="preserve"> </w:t>
            </w:r>
            <w:r w:rsidRPr="002029AF">
              <w:t>Channel</w:t>
            </w:r>
            <w:r w:rsidR="000A5329" w:rsidRPr="002029AF">
              <w:t xml:space="preserve"> </w:t>
            </w:r>
            <w:r w:rsidRPr="002029AF">
              <w:t>visits</w:t>
            </w:r>
          </w:p>
        </w:tc>
        <w:tc>
          <w:tcPr>
            <w:tcW w:w="1019" w:type="dxa"/>
            <w:shd w:val="clear" w:color="auto" w:fill="auto"/>
            <w:hideMark/>
          </w:tcPr>
          <w:p w14:paraId="6B22E021" w14:textId="26DA8517" w:rsidR="00C15C65" w:rsidRPr="002029AF" w:rsidRDefault="00C15C65" w:rsidP="00C40F5D">
            <w:pPr>
              <w:pStyle w:val="ARtabletext"/>
            </w:pPr>
            <w:r w:rsidRPr="002029AF">
              <w:t>number</w:t>
            </w:r>
            <w:r w:rsidR="000A5329" w:rsidRPr="002029AF">
              <w:t xml:space="preserve"> </w:t>
            </w:r>
            <w:r w:rsidR="005F298C">
              <w:t>(’000</w:t>
            </w:r>
            <w:r w:rsidRPr="002029AF">
              <w:t>)</w:t>
            </w:r>
          </w:p>
        </w:tc>
        <w:tc>
          <w:tcPr>
            <w:tcW w:w="1020" w:type="dxa"/>
            <w:shd w:val="clear" w:color="auto" w:fill="auto"/>
            <w:hideMark/>
          </w:tcPr>
          <w:p w14:paraId="33FD4AB3" w14:textId="77777777" w:rsidR="00C15C65" w:rsidRPr="002029AF" w:rsidRDefault="00C15C65" w:rsidP="00FD77AA">
            <w:pPr>
              <w:pStyle w:val="ARtabletextright"/>
            </w:pPr>
            <w:r w:rsidRPr="002029AF">
              <w:t>40,000</w:t>
            </w:r>
          </w:p>
        </w:tc>
        <w:tc>
          <w:tcPr>
            <w:tcW w:w="1020" w:type="dxa"/>
            <w:shd w:val="clear" w:color="auto" w:fill="auto"/>
            <w:hideMark/>
          </w:tcPr>
          <w:p w14:paraId="1727807C" w14:textId="77777777" w:rsidR="00C15C65" w:rsidRPr="002029AF" w:rsidRDefault="00C15C65" w:rsidP="00FD77AA">
            <w:pPr>
              <w:pStyle w:val="ARtabletextright"/>
            </w:pPr>
            <w:r w:rsidRPr="002029AF">
              <w:t>51,419</w:t>
            </w:r>
          </w:p>
        </w:tc>
        <w:tc>
          <w:tcPr>
            <w:tcW w:w="1023" w:type="dxa"/>
            <w:shd w:val="clear" w:color="auto" w:fill="auto"/>
          </w:tcPr>
          <w:p w14:paraId="6178C526" w14:textId="77777777" w:rsidR="00C15C65" w:rsidRPr="002029AF" w:rsidRDefault="00C15C65" w:rsidP="00FD77AA">
            <w:pPr>
              <w:pStyle w:val="ARtabletextright"/>
            </w:pPr>
            <w:r w:rsidRPr="002029AF">
              <w:t>28.5</w:t>
            </w:r>
          </w:p>
        </w:tc>
        <w:tc>
          <w:tcPr>
            <w:tcW w:w="797" w:type="dxa"/>
            <w:shd w:val="clear" w:color="auto" w:fill="auto"/>
            <w:hideMark/>
          </w:tcPr>
          <w:p w14:paraId="7130342B"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0618127F" w14:textId="77777777" w:rsidTr="00FD77AA">
        <w:trPr>
          <w:gridAfter w:val="1"/>
          <w:wAfter w:w="7" w:type="dxa"/>
          <w:cantSplit/>
        </w:trPr>
        <w:tc>
          <w:tcPr>
            <w:tcW w:w="9632" w:type="dxa"/>
            <w:gridSpan w:val="6"/>
            <w:tcBorders>
              <w:bottom w:val="single" w:sz="4" w:space="0" w:color="BFBFBF"/>
            </w:tcBorders>
            <w:shd w:val="clear" w:color="auto" w:fill="auto"/>
            <w:noWrap/>
            <w:hideMark/>
          </w:tcPr>
          <w:p w14:paraId="1439BD19" w14:textId="3C19F59F" w:rsidR="00C15C65" w:rsidRPr="002029AF" w:rsidRDefault="00C15C65" w:rsidP="003C44F4">
            <w:pPr>
              <w:pStyle w:val="ARtablenoteindent"/>
            </w:pPr>
            <w:r w:rsidRPr="002029AF">
              <w:t>Visits</w:t>
            </w:r>
            <w:r w:rsidR="000A5329" w:rsidRPr="002029AF">
              <w:t xml:space="preserve"> </w:t>
            </w:r>
            <w:r w:rsidRPr="002029AF">
              <w:t>to</w:t>
            </w:r>
            <w:r w:rsidR="000A5329" w:rsidRPr="002029AF">
              <w:t xml:space="preserve"> </w:t>
            </w:r>
            <w:r w:rsidRPr="002029AF">
              <w:t>the</w:t>
            </w:r>
            <w:r w:rsidR="000A5329" w:rsidRPr="002029AF">
              <w:t xml:space="preserve"> </w:t>
            </w:r>
            <w:r w:rsidRPr="002029AF">
              <w:t>Better</w:t>
            </w:r>
            <w:r w:rsidR="000A5329" w:rsidRPr="002029AF">
              <w:t xml:space="preserve"> </w:t>
            </w:r>
            <w:r w:rsidRPr="002029AF">
              <w:t>Health</w:t>
            </w:r>
            <w:r w:rsidR="000A5329" w:rsidRPr="002029AF">
              <w:t xml:space="preserve"> </w:t>
            </w:r>
            <w:r w:rsidRPr="002029AF">
              <w:t>Channel</w:t>
            </w:r>
            <w:r w:rsidR="000A5329" w:rsidRPr="002029AF">
              <w:t xml:space="preserve"> </w:t>
            </w:r>
            <w:r w:rsidRPr="002029AF">
              <w:t>website</w:t>
            </w:r>
            <w:r w:rsidR="000A5329" w:rsidRPr="002029AF">
              <w:t xml:space="preserve"> </w:t>
            </w:r>
            <w:r w:rsidRPr="002029AF">
              <w:t>remained</w:t>
            </w:r>
            <w:r w:rsidR="000A5329" w:rsidRPr="002029AF">
              <w:t xml:space="preserve"> </w:t>
            </w:r>
            <w:r w:rsidRPr="002029AF">
              <w:t>strong</w:t>
            </w:r>
            <w:r w:rsidR="000A5329" w:rsidRPr="002029AF">
              <w:t xml:space="preserve"> </w:t>
            </w:r>
            <w:r w:rsidRPr="002029AF">
              <w:t>at</w:t>
            </w:r>
            <w:r w:rsidR="000A5329" w:rsidRPr="002029AF">
              <w:t xml:space="preserve"> </w:t>
            </w:r>
            <w:r w:rsidRPr="002029AF">
              <w:t>51.4</w:t>
            </w:r>
            <w:r w:rsidR="000A5329" w:rsidRPr="002029AF">
              <w:t xml:space="preserve"> </w:t>
            </w:r>
            <w:r w:rsidRPr="002029AF">
              <w:t>million.</w:t>
            </w:r>
            <w:r w:rsidR="000A5329" w:rsidRPr="002029AF">
              <w:t xml:space="preserve"> </w:t>
            </w:r>
            <w:r w:rsidRPr="002029AF">
              <w:t>This</w:t>
            </w:r>
            <w:r w:rsidR="000A5329" w:rsidRPr="002029AF">
              <w:t xml:space="preserve"> </w:t>
            </w:r>
            <w:r w:rsidRPr="002029AF">
              <w:t>performance</w:t>
            </w:r>
            <w:r w:rsidR="000A5329" w:rsidRPr="002029AF">
              <w:t xml:space="preserve"> </w:t>
            </w:r>
            <w:r w:rsidRPr="002029AF">
              <w:t>is</w:t>
            </w:r>
            <w:r w:rsidR="000A5329" w:rsidRPr="002029AF">
              <w:t xml:space="preserve"> </w:t>
            </w:r>
            <w:r w:rsidRPr="002029AF">
              <w:t>attributable</w:t>
            </w:r>
            <w:r w:rsidR="000A5329" w:rsidRPr="002029AF">
              <w:t xml:space="preserve"> </w:t>
            </w:r>
            <w:r w:rsidRPr="002029AF">
              <w:t>to</w:t>
            </w:r>
            <w:r w:rsidR="000A5329" w:rsidRPr="002029AF">
              <w:t xml:space="preserve"> </w:t>
            </w:r>
            <w:r w:rsidRPr="002029AF">
              <w:t>new</w:t>
            </w:r>
            <w:r w:rsidR="000A5329" w:rsidRPr="002029AF">
              <w:t xml:space="preserve"> </w:t>
            </w:r>
            <w:r w:rsidRPr="002029AF">
              <w:t>and</w:t>
            </w:r>
            <w:r w:rsidR="000A5329" w:rsidRPr="002029AF">
              <w:t xml:space="preserve"> </w:t>
            </w:r>
            <w:r w:rsidRPr="002029AF">
              <w:t>updated</w:t>
            </w:r>
            <w:r w:rsidR="000A5329" w:rsidRPr="002029AF">
              <w:t xml:space="preserve"> </w:t>
            </w:r>
            <w:r w:rsidRPr="002029AF">
              <w:t>content</w:t>
            </w:r>
            <w:r w:rsidR="000A5329" w:rsidRPr="002029AF">
              <w:t xml:space="preserve"> </w:t>
            </w:r>
            <w:r w:rsidRPr="002029AF">
              <w:t>and</w:t>
            </w:r>
            <w:r w:rsidR="000A5329" w:rsidRPr="002029AF">
              <w:t xml:space="preserve"> </w:t>
            </w:r>
            <w:r w:rsidRPr="002029AF">
              <w:t>improved</w:t>
            </w:r>
            <w:r w:rsidR="000A5329" w:rsidRPr="002029AF">
              <w:t xml:space="preserve"> </w:t>
            </w:r>
            <w:r w:rsidRPr="002029AF">
              <w:t>organic</w:t>
            </w:r>
            <w:r w:rsidR="000A5329" w:rsidRPr="002029AF">
              <w:t xml:space="preserve"> </w:t>
            </w:r>
            <w:r w:rsidRPr="002029AF">
              <w:t>search</w:t>
            </w:r>
            <w:r w:rsidR="000A5329" w:rsidRPr="002029AF">
              <w:t xml:space="preserve"> </w:t>
            </w:r>
            <w:r w:rsidRPr="002029AF">
              <w:t>referrals,</w:t>
            </w:r>
            <w:r w:rsidR="000A5329" w:rsidRPr="002029AF">
              <w:t xml:space="preserve"> </w:t>
            </w:r>
            <w:r w:rsidRPr="002029AF">
              <w:t>which</w:t>
            </w:r>
            <w:r w:rsidR="000A5329" w:rsidRPr="002029AF">
              <w:t xml:space="preserve"> </w:t>
            </w:r>
            <w:r w:rsidRPr="002029AF">
              <w:t>resulted</w:t>
            </w:r>
            <w:r w:rsidR="000A5329" w:rsidRPr="002029AF">
              <w:t xml:space="preserve"> </w:t>
            </w:r>
            <w:r w:rsidRPr="002029AF">
              <w:t>from</w:t>
            </w:r>
            <w:r w:rsidR="000A5329" w:rsidRPr="002029AF">
              <w:t xml:space="preserve"> </w:t>
            </w:r>
            <w:r w:rsidRPr="002029AF">
              <w:t>changes</w:t>
            </w:r>
            <w:r w:rsidR="000A5329" w:rsidRPr="002029AF">
              <w:t xml:space="preserve"> </w:t>
            </w:r>
            <w:r w:rsidRPr="002029AF">
              <w:t>to</w:t>
            </w:r>
            <w:r w:rsidR="000A5329" w:rsidRPr="002029AF">
              <w:t xml:space="preserve"> </w:t>
            </w:r>
            <w:r w:rsidRPr="002029AF">
              <w:t>the</w:t>
            </w:r>
            <w:r w:rsidR="000A5329" w:rsidRPr="002029AF">
              <w:t xml:space="preserve"> </w:t>
            </w:r>
            <w:r w:rsidRPr="002029AF">
              <w:t>Google</w:t>
            </w:r>
            <w:r w:rsidR="000A5329" w:rsidRPr="002029AF">
              <w:t xml:space="preserve"> </w:t>
            </w:r>
            <w:r w:rsidRPr="002029AF">
              <w:t>search</w:t>
            </w:r>
            <w:r w:rsidR="000A5329" w:rsidRPr="002029AF">
              <w:t xml:space="preserve"> </w:t>
            </w:r>
            <w:r w:rsidRPr="002029AF">
              <w:t>algorithm.</w:t>
            </w:r>
          </w:p>
        </w:tc>
      </w:tr>
      <w:tr w:rsidR="00C15C65" w:rsidRPr="002029AF" w14:paraId="7E82D570" w14:textId="77777777" w:rsidTr="00FD77AA">
        <w:trPr>
          <w:gridAfter w:val="1"/>
          <w:wAfter w:w="7" w:type="dxa"/>
          <w:cantSplit/>
        </w:trPr>
        <w:tc>
          <w:tcPr>
            <w:tcW w:w="4753" w:type="dxa"/>
            <w:shd w:val="clear" w:color="auto" w:fill="auto"/>
            <w:hideMark/>
          </w:tcPr>
          <w:p w14:paraId="648A3E45" w14:textId="522CB034" w:rsidR="00C15C65" w:rsidRPr="002029AF" w:rsidRDefault="00C15C65" w:rsidP="00C40F5D">
            <w:pPr>
              <w:pStyle w:val="ARtabletext"/>
            </w:pPr>
            <w:r w:rsidRPr="002029AF">
              <w:t>Rate</w:t>
            </w:r>
            <w:r w:rsidR="000A5329" w:rsidRPr="002029AF">
              <w:t xml:space="preserve"> </w:t>
            </w:r>
            <w:r w:rsidRPr="002029AF">
              <w:t>of</w:t>
            </w:r>
            <w:r w:rsidR="000A5329" w:rsidRPr="002029AF">
              <w:t xml:space="preserve"> </w:t>
            </w:r>
            <w:r w:rsidRPr="002029AF">
              <w:t>admissions</w:t>
            </w:r>
            <w:r w:rsidR="000A5329" w:rsidRPr="002029AF">
              <w:t xml:space="preserve"> </w:t>
            </w:r>
            <w:r w:rsidRPr="002029AF">
              <w:t>for</w:t>
            </w:r>
            <w:r w:rsidR="000A5329" w:rsidRPr="002029AF">
              <w:t xml:space="preserve"> </w:t>
            </w:r>
            <w:r w:rsidRPr="002029AF">
              <w:t>ambulatory</w:t>
            </w:r>
            <w:r w:rsidR="000A5329" w:rsidRPr="002029AF">
              <w:t xml:space="preserve"> </w:t>
            </w:r>
            <w:r w:rsidRPr="002029AF">
              <w:t>care</w:t>
            </w:r>
            <w:r w:rsidR="000A5329" w:rsidRPr="002029AF">
              <w:t xml:space="preserve"> </w:t>
            </w:r>
            <w:r w:rsidRPr="002029AF">
              <w:t>sensitive</w:t>
            </w:r>
            <w:r w:rsidR="000A5329" w:rsidRPr="002029AF">
              <w:t xml:space="preserve"> </w:t>
            </w:r>
            <w:r w:rsidRPr="002029AF">
              <w:t>chronic</w:t>
            </w:r>
            <w:r w:rsidR="000A5329" w:rsidRPr="002029AF">
              <w:t xml:space="preserve"> </w:t>
            </w:r>
            <w:r w:rsidRPr="002029AF">
              <w:t>conditions</w:t>
            </w:r>
            <w:r w:rsidR="000A5329" w:rsidRPr="002029AF">
              <w:t xml:space="preserve"> </w:t>
            </w:r>
            <w:r w:rsidRPr="002029AF">
              <w:t>for</w:t>
            </w:r>
            <w:r w:rsidR="000A5329" w:rsidRPr="002029AF">
              <w:t xml:space="preserve"> </w:t>
            </w:r>
            <w:r w:rsidRPr="002029AF">
              <w:t>Aboriginal</w:t>
            </w:r>
            <w:r w:rsidR="000A5329" w:rsidRPr="002029AF">
              <w:t xml:space="preserve"> </w:t>
            </w:r>
            <w:r w:rsidRPr="002029AF">
              <w:t>Victorians</w:t>
            </w:r>
          </w:p>
        </w:tc>
        <w:tc>
          <w:tcPr>
            <w:tcW w:w="1019" w:type="dxa"/>
            <w:shd w:val="clear" w:color="auto" w:fill="auto"/>
            <w:hideMark/>
          </w:tcPr>
          <w:p w14:paraId="2683B662" w14:textId="1CDF52DC" w:rsidR="00C15C65" w:rsidRPr="002029AF" w:rsidRDefault="00230D99" w:rsidP="00C40F5D">
            <w:pPr>
              <w:pStyle w:val="ARtabletext"/>
            </w:pPr>
            <w:r w:rsidRPr="002029AF">
              <w:t>R</w:t>
            </w:r>
            <w:r w:rsidR="00C15C65" w:rsidRPr="002029AF">
              <w:t>ate</w:t>
            </w:r>
          </w:p>
        </w:tc>
        <w:tc>
          <w:tcPr>
            <w:tcW w:w="1020" w:type="dxa"/>
            <w:shd w:val="clear" w:color="auto" w:fill="auto"/>
            <w:hideMark/>
          </w:tcPr>
          <w:p w14:paraId="25F894DC" w14:textId="77777777" w:rsidR="00C15C65" w:rsidRPr="002029AF" w:rsidRDefault="00C15C65" w:rsidP="00FD77AA">
            <w:pPr>
              <w:pStyle w:val="ARtabletextright"/>
            </w:pPr>
            <w:r w:rsidRPr="002029AF">
              <w:t>14.4</w:t>
            </w:r>
          </w:p>
        </w:tc>
        <w:tc>
          <w:tcPr>
            <w:tcW w:w="1020" w:type="dxa"/>
            <w:shd w:val="clear" w:color="auto" w:fill="auto"/>
            <w:hideMark/>
          </w:tcPr>
          <w:p w14:paraId="4C738BCC" w14:textId="77777777" w:rsidR="00C15C65" w:rsidRPr="002029AF" w:rsidRDefault="00C15C65" w:rsidP="00FD77AA">
            <w:pPr>
              <w:pStyle w:val="ARtabletextright"/>
            </w:pPr>
            <w:r w:rsidRPr="002029AF">
              <w:t>14.4</w:t>
            </w:r>
          </w:p>
        </w:tc>
        <w:tc>
          <w:tcPr>
            <w:tcW w:w="1023" w:type="dxa"/>
            <w:shd w:val="clear" w:color="auto" w:fill="auto"/>
          </w:tcPr>
          <w:p w14:paraId="07C6DCB7" w14:textId="77777777" w:rsidR="00C15C65" w:rsidRPr="002029AF" w:rsidRDefault="00C15C65" w:rsidP="00FD77AA">
            <w:pPr>
              <w:pStyle w:val="ARtabletextright"/>
            </w:pPr>
            <w:r w:rsidRPr="002029AF">
              <w:t>0.0</w:t>
            </w:r>
          </w:p>
        </w:tc>
        <w:tc>
          <w:tcPr>
            <w:tcW w:w="797" w:type="dxa"/>
            <w:shd w:val="clear" w:color="auto" w:fill="auto"/>
            <w:hideMark/>
          </w:tcPr>
          <w:p w14:paraId="730E1685"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36C4EBEC" w14:textId="77777777" w:rsidTr="00FD77AA">
        <w:trPr>
          <w:gridAfter w:val="1"/>
          <w:wAfter w:w="7" w:type="dxa"/>
          <w:cantSplit/>
        </w:trPr>
        <w:tc>
          <w:tcPr>
            <w:tcW w:w="9632" w:type="dxa"/>
            <w:gridSpan w:val="6"/>
            <w:tcBorders>
              <w:bottom w:val="single" w:sz="4" w:space="0" w:color="BFBFBF"/>
            </w:tcBorders>
            <w:shd w:val="clear" w:color="auto" w:fill="auto"/>
            <w:noWrap/>
            <w:hideMark/>
          </w:tcPr>
          <w:p w14:paraId="7C4323E4" w14:textId="44869E99" w:rsidR="00C15C65" w:rsidRPr="002029AF" w:rsidRDefault="00C15C65" w:rsidP="00D96AFD">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by</w:t>
            </w:r>
            <w:r w:rsidR="000A5329" w:rsidRPr="002029AF">
              <w:t xml:space="preserve"> </w:t>
            </w:r>
            <w:r w:rsidRPr="002029AF">
              <w:t>late</w:t>
            </w:r>
            <w:r w:rsidR="000A5329" w:rsidRPr="002029AF">
              <w:t xml:space="preserve"> </w:t>
            </w:r>
            <w:r w:rsidRPr="002029AF">
              <w:t>2020.</w:t>
            </w:r>
          </w:p>
        </w:tc>
      </w:tr>
      <w:tr w:rsidR="00C15C65" w:rsidRPr="002029AF" w14:paraId="15012592" w14:textId="77777777" w:rsidTr="00FD77AA">
        <w:trPr>
          <w:gridAfter w:val="1"/>
          <w:wAfter w:w="7" w:type="dxa"/>
          <w:cantSplit/>
        </w:trPr>
        <w:tc>
          <w:tcPr>
            <w:tcW w:w="4753" w:type="dxa"/>
            <w:shd w:val="clear" w:color="auto" w:fill="auto"/>
            <w:hideMark/>
          </w:tcPr>
          <w:p w14:paraId="3B9B8D95" w14:textId="7C3825AC" w:rsidR="00C15C65" w:rsidRPr="002029AF" w:rsidRDefault="00C15C65" w:rsidP="00860E95">
            <w:pPr>
              <w:pStyle w:val="ARtabletext"/>
              <w:keepNext/>
            </w:pPr>
            <w:r w:rsidRPr="002029AF">
              <w:t>Number</w:t>
            </w:r>
            <w:r w:rsidR="000A5329" w:rsidRPr="002029AF">
              <w:t xml:space="preserve"> </w:t>
            </w:r>
            <w:r w:rsidRPr="002029AF">
              <w:t>of</w:t>
            </w:r>
            <w:r w:rsidR="000A5329" w:rsidRPr="002029AF">
              <w:t xml:space="preserve"> </w:t>
            </w:r>
            <w:r w:rsidRPr="002029AF">
              <w:t>referrals</w:t>
            </w:r>
            <w:r w:rsidR="000A5329" w:rsidRPr="002029AF">
              <w:t xml:space="preserve"> </w:t>
            </w:r>
            <w:r w:rsidRPr="002029AF">
              <w:t>made</w:t>
            </w:r>
            <w:r w:rsidR="000A5329" w:rsidRPr="002029AF">
              <w:t xml:space="preserve"> </w:t>
            </w:r>
            <w:r w:rsidRPr="002029AF">
              <w:t>using</w:t>
            </w:r>
            <w:r w:rsidR="000A5329" w:rsidRPr="002029AF">
              <w:t xml:space="preserve"> </w:t>
            </w:r>
            <w:r w:rsidRPr="002029AF">
              <w:t>secure</w:t>
            </w:r>
            <w:r w:rsidR="000A5329" w:rsidRPr="002029AF">
              <w:t xml:space="preserve"> </w:t>
            </w:r>
            <w:r w:rsidRPr="002029AF">
              <w:t>electronic</w:t>
            </w:r>
            <w:r w:rsidR="000A5329" w:rsidRPr="002029AF">
              <w:t xml:space="preserve"> </w:t>
            </w:r>
            <w:r w:rsidRPr="002029AF">
              <w:t>referral</w:t>
            </w:r>
            <w:r w:rsidR="000A5329" w:rsidRPr="002029AF">
              <w:t xml:space="preserve"> </w:t>
            </w:r>
            <w:r w:rsidRPr="002029AF">
              <w:t>systems</w:t>
            </w:r>
          </w:p>
        </w:tc>
        <w:tc>
          <w:tcPr>
            <w:tcW w:w="1019" w:type="dxa"/>
            <w:shd w:val="clear" w:color="auto" w:fill="auto"/>
            <w:hideMark/>
          </w:tcPr>
          <w:p w14:paraId="59936698" w14:textId="77777777" w:rsidR="00C15C65" w:rsidRPr="002029AF" w:rsidRDefault="00C15C65" w:rsidP="00C40F5D">
            <w:pPr>
              <w:pStyle w:val="ARtabletext"/>
            </w:pPr>
            <w:r w:rsidRPr="002029AF">
              <w:t>number</w:t>
            </w:r>
          </w:p>
        </w:tc>
        <w:tc>
          <w:tcPr>
            <w:tcW w:w="1020" w:type="dxa"/>
            <w:shd w:val="clear" w:color="auto" w:fill="auto"/>
            <w:hideMark/>
          </w:tcPr>
          <w:p w14:paraId="06D3AA6B" w14:textId="77777777" w:rsidR="00C15C65" w:rsidRPr="002029AF" w:rsidRDefault="00C15C65" w:rsidP="00FD77AA">
            <w:pPr>
              <w:pStyle w:val="ARtabletextright"/>
            </w:pPr>
            <w:r w:rsidRPr="002029AF">
              <w:t>75,000</w:t>
            </w:r>
          </w:p>
        </w:tc>
        <w:tc>
          <w:tcPr>
            <w:tcW w:w="1020" w:type="dxa"/>
            <w:shd w:val="clear" w:color="auto" w:fill="auto"/>
            <w:hideMark/>
          </w:tcPr>
          <w:p w14:paraId="013D6C25" w14:textId="77777777" w:rsidR="00C15C65" w:rsidRPr="002029AF" w:rsidRDefault="00C15C65" w:rsidP="00FD77AA">
            <w:pPr>
              <w:pStyle w:val="ARtabletextright"/>
            </w:pPr>
            <w:r w:rsidRPr="002029AF">
              <w:t>75,000</w:t>
            </w:r>
          </w:p>
        </w:tc>
        <w:tc>
          <w:tcPr>
            <w:tcW w:w="1023" w:type="dxa"/>
            <w:shd w:val="clear" w:color="auto" w:fill="auto"/>
          </w:tcPr>
          <w:p w14:paraId="2C6A6D6E" w14:textId="77777777" w:rsidR="00C15C65" w:rsidRPr="002029AF" w:rsidRDefault="00C15C65" w:rsidP="00FD77AA">
            <w:pPr>
              <w:pStyle w:val="ARtabletextright"/>
            </w:pPr>
            <w:r w:rsidRPr="002029AF">
              <w:t>0.0</w:t>
            </w:r>
          </w:p>
        </w:tc>
        <w:tc>
          <w:tcPr>
            <w:tcW w:w="797" w:type="dxa"/>
            <w:shd w:val="clear" w:color="auto" w:fill="auto"/>
            <w:hideMark/>
          </w:tcPr>
          <w:p w14:paraId="09F4F254"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0BB8455B" w14:textId="77777777" w:rsidTr="00FD77AA">
        <w:trPr>
          <w:gridAfter w:val="1"/>
          <w:wAfter w:w="7" w:type="dxa"/>
          <w:cantSplit/>
        </w:trPr>
        <w:tc>
          <w:tcPr>
            <w:tcW w:w="9632" w:type="dxa"/>
            <w:gridSpan w:val="6"/>
            <w:tcBorders>
              <w:bottom w:val="single" w:sz="4" w:space="0" w:color="BFBFBF"/>
            </w:tcBorders>
            <w:shd w:val="clear" w:color="auto" w:fill="auto"/>
            <w:noWrap/>
            <w:hideMark/>
          </w:tcPr>
          <w:p w14:paraId="680B11D7" w14:textId="2B57A67F" w:rsidR="00C15C65" w:rsidRPr="002029AF" w:rsidRDefault="00C15C65" w:rsidP="00D96AFD">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by</w:t>
            </w:r>
            <w:r w:rsidR="000A5329" w:rsidRPr="002029AF">
              <w:t xml:space="preserve"> </w:t>
            </w:r>
            <w:r w:rsidRPr="002029AF">
              <w:t>late</w:t>
            </w:r>
            <w:r w:rsidR="000A5329" w:rsidRPr="002029AF">
              <w:t xml:space="preserve"> </w:t>
            </w:r>
            <w:r w:rsidRPr="002029AF">
              <w:t>2020.</w:t>
            </w:r>
          </w:p>
        </w:tc>
      </w:tr>
      <w:tr w:rsidR="00C15C65" w:rsidRPr="002029AF" w14:paraId="75C0A655" w14:textId="77777777" w:rsidTr="00FD77AA">
        <w:trPr>
          <w:gridAfter w:val="1"/>
          <w:wAfter w:w="7" w:type="dxa"/>
          <w:cantSplit/>
        </w:trPr>
        <w:tc>
          <w:tcPr>
            <w:tcW w:w="4753" w:type="dxa"/>
            <w:shd w:val="clear" w:color="auto" w:fill="auto"/>
            <w:hideMark/>
          </w:tcPr>
          <w:p w14:paraId="37496091" w14:textId="1172AF42" w:rsidR="00C15C65" w:rsidRPr="002029AF" w:rsidRDefault="00C15C65" w:rsidP="00C40F5D">
            <w:pPr>
              <w:pStyle w:val="ARtabletext"/>
            </w:pPr>
            <w:r w:rsidRPr="002029AF">
              <w:t>Primary</w:t>
            </w:r>
            <w:r w:rsidR="000A5329" w:rsidRPr="002029AF">
              <w:t xml:space="preserve"> </w:t>
            </w:r>
            <w:r w:rsidRPr="002029AF">
              <w:t>Care</w:t>
            </w:r>
            <w:r w:rsidR="000A5329" w:rsidRPr="002029AF">
              <w:t xml:space="preserve"> </w:t>
            </w:r>
            <w:r w:rsidRPr="002029AF">
              <w:t>Partnerships</w:t>
            </w:r>
            <w:r w:rsidR="000A5329" w:rsidRPr="002029AF">
              <w:t xml:space="preserve"> </w:t>
            </w:r>
            <w:r w:rsidRPr="002029AF">
              <w:t>with</w:t>
            </w:r>
            <w:r w:rsidR="000A5329" w:rsidRPr="002029AF">
              <w:t xml:space="preserve"> </w:t>
            </w:r>
            <w:r w:rsidRPr="002029AF">
              <w:t>reviewed</w:t>
            </w:r>
            <w:r w:rsidR="000A5329" w:rsidRPr="002029AF">
              <w:t xml:space="preserve"> </w:t>
            </w:r>
            <w:r w:rsidRPr="002029AF">
              <w:t>and</w:t>
            </w:r>
            <w:r w:rsidR="000A5329" w:rsidRPr="002029AF">
              <w:t xml:space="preserve"> </w:t>
            </w:r>
            <w:r w:rsidRPr="002029AF">
              <w:t>updated</w:t>
            </w:r>
            <w:r w:rsidR="000A5329" w:rsidRPr="002029AF">
              <w:t xml:space="preserve"> </w:t>
            </w:r>
            <w:r w:rsidRPr="002029AF">
              <w:t>Strategic</w:t>
            </w:r>
            <w:r w:rsidR="000A5329" w:rsidRPr="002029AF">
              <w:t xml:space="preserve"> </w:t>
            </w:r>
            <w:r w:rsidRPr="002029AF">
              <w:t>Plans</w:t>
            </w:r>
          </w:p>
        </w:tc>
        <w:tc>
          <w:tcPr>
            <w:tcW w:w="1019" w:type="dxa"/>
            <w:shd w:val="clear" w:color="auto" w:fill="auto"/>
            <w:hideMark/>
          </w:tcPr>
          <w:p w14:paraId="150A7079" w14:textId="3E1D9D3E" w:rsidR="00C15C65" w:rsidRPr="002029AF" w:rsidRDefault="00C15C65" w:rsidP="00C40F5D">
            <w:pPr>
              <w:pStyle w:val="ARtabletext"/>
            </w:pPr>
            <w:r w:rsidRPr="002029AF">
              <w:t>per</w:t>
            </w:r>
            <w:r w:rsidR="000A5329" w:rsidRPr="002029AF">
              <w:t xml:space="preserve"> </w:t>
            </w:r>
            <w:r w:rsidRPr="002029AF">
              <w:t>cent</w:t>
            </w:r>
          </w:p>
        </w:tc>
        <w:tc>
          <w:tcPr>
            <w:tcW w:w="1020" w:type="dxa"/>
            <w:shd w:val="clear" w:color="auto" w:fill="auto"/>
            <w:hideMark/>
          </w:tcPr>
          <w:p w14:paraId="4C89849C" w14:textId="77777777" w:rsidR="00C15C65" w:rsidRPr="002029AF" w:rsidRDefault="00C15C65" w:rsidP="00FD77AA">
            <w:pPr>
              <w:pStyle w:val="ARtabletextright"/>
            </w:pPr>
            <w:r w:rsidRPr="002029AF">
              <w:t>100</w:t>
            </w:r>
          </w:p>
        </w:tc>
        <w:tc>
          <w:tcPr>
            <w:tcW w:w="1020" w:type="dxa"/>
            <w:shd w:val="clear" w:color="auto" w:fill="auto"/>
            <w:hideMark/>
          </w:tcPr>
          <w:p w14:paraId="52B1266B" w14:textId="77777777" w:rsidR="00C15C65" w:rsidRPr="002029AF" w:rsidRDefault="00C15C65" w:rsidP="00FD77AA">
            <w:pPr>
              <w:pStyle w:val="ARtabletextright"/>
            </w:pPr>
            <w:r w:rsidRPr="002029AF">
              <w:t>100</w:t>
            </w:r>
          </w:p>
        </w:tc>
        <w:tc>
          <w:tcPr>
            <w:tcW w:w="1023" w:type="dxa"/>
            <w:shd w:val="clear" w:color="auto" w:fill="auto"/>
          </w:tcPr>
          <w:p w14:paraId="711BB73A" w14:textId="77777777" w:rsidR="00C15C65" w:rsidRPr="002029AF" w:rsidRDefault="00C15C65" w:rsidP="00FD77AA">
            <w:pPr>
              <w:pStyle w:val="ARtabletextright"/>
            </w:pPr>
            <w:r w:rsidRPr="002029AF">
              <w:t>0.0</w:t>
            </w:r>
          </w:p>
        </w:tc>
        <w:tc>
          <w:tcPr>
            <w:tcW w:w="797" w:type="dxa"/>
            <w:shd w:val="clear" w:color="auto" w:fill="auto"/>
            <w:hideMark/>
          </w:tcPr>
          <w:p w14:paraId="4F511C89"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4CB86847" w14:textId="77777777" w:rsidTr="00FD77AA">
        <w:trPr>
          <w:gridAfter w:val="1"/>
          <w:wAfter w:w="7" w:type="dxa"/>
          <w:cantSplit/>
        </w:trPr>
        <w:tc>
          <w:tcPr>
            <w:tcW w:w="9632" w:type="dxa"/>
            <w:gridSpan w:val="6"/>
            <w:tcBorders>
              <w:bottom w:val="single" w:sz="4" w:space="0" w:color="BFBFBF"/>
            </w:tcBorders>
            <w:shd w:val="clear" w:color="auto" w:fill="auto"/>
            <w:noWrap/>
            <w:hideMark/>
          </w:tcPr>
          <w:p w14:paraId="7ABA00AA" w14:textId="55EE8D19" w:rsidR="00C15C65" w:rsidRPr="002029AF" w:rsidRDefault="00C15C65" w:rsidP="00D96AFD">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by</w:t>
            </w:r>
            <w:r w:rsidR="000A5329" w:rsidRPr="002029AF">
              <w:t xml:space="preserve"> </w:t>
            </w:r>
            <w:r w:rsidRPr="002029AF">
              <w:t>late</w:t>
            </w:r>
            <w:r w:rsidR="000A5329" w:rsidRPr="002029AF">
              <w:t xml:space="preserve"> </w:t>
            </w:r>
            <w:r w:rsidRPr="002029AF">
              <w:t>2020.</w:t>
            </w:r>
          </w:p>
        </w:tc>
      </w:tr>
      <w:tr w:rsidR="00C15C65" w:rsidRPr="002029AF" w14:paraId="3C566EE4" w14:textId="77777777" w:rsidTr="00EF3FCC">
        <w:trPr>
          <w:gridAfter w:val="1"/>
          <w:wAfter w:w="7" w:type="dxa"/>
          <w:cantSplit/>
        </w:trPr>
        <w:tc>
          <w:tcPr>
            <w:tcW w:w="4753" w:type="dxa"/>
            <w:shd w:val="clear" w:color="auto" w:fill="auto"/>
            <w:hideMark/>
          </w:tcPr>
          <w:p w14:paraId="598542A2" w14:textId="058D5896" w:rsidR="00C15C65" w:rsidRPr="002029AF" w:rsidRDefault="00C15C65" w:rsidP="00C40F5D">
            <w:pPr>
              <w:pStyle w:val="ARtabletext"/>
            </w:pPr>
            <w:r w:rsidRPr="002029AF">
              <w:t>Service</w:t>
            </w:r>
            <w:r w:rsidR="000A5329" w:rsidRPr="002029AF">
              <w:t xml:space="preserve"> </w:t>
            </w:r>
            <w:r w:rsidRPr="002029AF">
              <w:t>delivery</w:t>
            </w:r>
            <w:r w:rsidR="000A5329" w:rsidRPr="002029AF">
              <w:t xml:space="preserve"> </w:t>
            </w:r>
            <w:r w:rsidRPr="002029AF">
              <w:t>hours</w:t>
            </w:r>
            <w:r w:rsidR="000A5329" w:rsidRPr="002029AF">
              <w:t xml:space="preserve"> </w:t>
            </w:r>
            <w:r w:rsidRPr="002029AF">
              <w:t>in</w:t>
            </w:r>
            <w:r w:rsidR="000A5329" w:rsidRPr="002029AF">
              <w:t xml:space="preserve"> </w:t>
            </w:r>
            <w:r w:rsidRPr="002029AF">
              <w:t>community</w:t>
            </w:r>
            <w:r w:rsidR="000A5329" w:rsidRPr="002029AF">
              <w:t xml:space="preserve"> </w:t>
            </w:r>
            <w:r w:rsidRPr="002029AF">
              <w:t>health</w:t>
            </w:r>
            <w:r w:rsidR="000A5329" w:rsidRPr="002029AF">
              <w:t xml:space="preserve"> </w:t>
            </w:r>
            <w:r w:rsidRPr="002029AF">
              <w:t>care</w:t>
            </w:r>
          </w:p>
        </w:tc>
        <w:tc>
          <w:tcPr>
            <w:tcW w:w="1019" w:type="dxa"/>
            <w:shd w:val="clear" w:color="auto" w:fill="auto"/>
            <w:hideMark/>
          </w:tcPr>
          <w:p w14:paraId="685A2EB2" w14:textId="686A86A2" w:rsidR="00C15C65" w:rsidRPr="002029AF" w:rsidRDefault="00C15C65" w:rsidP="00C40F5D">
            <w:pPr>
              <w:pStyle w:val="ARtabletext"/>
            </w:pPr>
            <w:r w:rsidRPr="002029AF">
              <w:t>number</w:t>
            </w:r>
            <w:r w:rsidR="000A5329" w:rsidRPr="002029AF">
              <w:t xml:space="preserve"> </w:t>
            </w:r>
            <w:r w:rsidR="005F298C">
              <w:t>(’000</w:t>
            </w:r>
            <w:r w:rsidRPr="002029AF">
              <w:t>)</w:t>
            </w:r>
          </w:p>
        </w:tc>
        <w:tc>
          <w:tcPr>
            <w:tcW w:w="1020" w:type="dxa"/>
            <w:shd w:val="clear" w:color="auto" w:fill="auto"/>
            <w:hideMark/>
          </w:tcPr>
          <w:p w14:paraId="66BE4771" w14:textId="77777777" w:rsidR="00C15C65" w:rsidRPr="002029AF" w:rsidRDefault="00C15C65" w:rsidP="00FD77AA">
            <w:pPr>
              <w:pStyle w:val="ARtabletextright"/>
            </w:pPr>
            <w:r w:rsidRPr="002029AF">
              <w:t>1,060</w:t>
            </w:r>
          </w:p>
        </w:tc>
        <w:tc>
          <w:tcPr>
            <w:tcW w:w="1020" w:type="dxa"/>
            <w:shd w:val="clear" w:color="auto" w:fill="auto"/>
            <w:hideMark/>
          </w:tcPr>
          <w:p w14:paraId="2CC79FA8" w14:textId="77777777" w:rsidR="00C15C65" w:rsidRPr="002029AF" w:rsidRDefault="00C15C65" w:rsidP="00FD77AA">
            <w:pPr>
              <w:pStyle w:val="ARtabletextright"/>
            </w:pPr>
            <w:r w:rsidRPr="002029AF">
              <w:t>1,060</w:t>
            </w:r>
          </w:p>
        </w:tc>
        <w:tc>
          <w:tcPr>
            <w:tcW w:w="1023" w:type="dxa"/>
            <w:shd w:val="clear" w:color="auto" w:fill="auto"/>
          </w:tcPr>
          <w:p w14:paraId="0144AF33" w14:textId="77777777" w:rsidR="00C15C65" w:rsidRPr="002029AF" w:rsidRDefault="00C15C65" w:rsidP="00FD77AA">
            <w:pPr>
              <w:pStyle w:val="ARtabletextright"/>
            </w:pPr>
            <w:r w:rsidRPr="002029AF">
              <w:t>0.0</w:t>
            </w:r>
          </w:p>
        </w:tc>
        <w:tc>
          <w:tcPr>
            <w:tcW w:w="797" w:type="dxa"/>
            <w:shd w:val="clear" w:color="auto" w:fill="auto"/>
            <w:hideMark/>
          </w:tcPr>
          <w:p w14:paraId="4301EFB9"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3422239C" w14:textId="77777777" w:rsidTr="00EF3FCC">
        <w:trPr>
          <w:gridAfter w:val="1"/>
          <w:wAfter w:w="7" w:type="dxa"/>
          <w:cantSplit/>
        </w:trPr>
        <w:tc>
          <w:tcPr>
            <w:tcW w:w="9632" w:type="dxa"/>
            <w:gridSpan w:val="6"/>
            <w:tcBorders>
              <w:bottom w:val="single" w:sz="4" w:space="0" w:color="auto"/>
            </w:tcBorders>
            <w:shd w:val="clear" w:color="auto" w:fill="auto"/>
            <w:noWrap/>
            <w:hideMark/>
          </w:tcPr>
          <w:p w14:paraId="5AE8E83C" w14:textId="27438796" w:rsidR="00C15C65" w:rsidRPr="002029AF" w:rsidRDefault="00C15C65" w:rsidP="00D96AFD">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by</w:t>
            </w:r>
            <w:r w:rsidR="000A5329" w:rsidRPr="002029AF">
              <w:t xml:space="preserve"> </w:t>
            </w:r>
            <w:r w:rsidRPr="002029AF">
              <w:t>late</w:t>
            </w:r>
            <w:r w:rsidR="000A5329" w:rsidRPr="002029AF">
              <w:t xml:space="preserve"> </w:t>
            </w:r>
            <w:r w:rsidRPr="002029AF">
              <w:t>2020.</w:t>
            </w:r>
          </w:p>
        </w:tc>
      </w:tr>
      <w:tr w:rsidR="00FD77AA" w:rsidRPr="002029AF" w14:paraId="1F3EDFB4" w14:textId="77777777" w:rsidTr="00A518E2">
        <w:trPr>
          <w:cantSplit/>
        </w:trPr>
        <w:tc>
          <w:tcPr>
            <w:tcW w:w="9639" w:type="dxa"/>
            <w:gridSpan w:val="7"/>
            <w:tcBorders>
              <w:top w:val="single" w:sz="4" w:space="0" w:color="auto"/>
              <w:left w:val="nil"/>
              <w:bottom w:val="nil"/>
              <w:right w:val="nil"/>
            </w:tcBorders>
            <w:hideMark/>
          </w:tcPr>
          <w:p w14:paraId="4BD75759" w14:textId="61DC95F9" w:rsidR="00FD77AA" w:rsidRPr="002029AF" w:rsidRDefault="00FD77AA" w:rsidP="006D5287">
            <w:pPr>
              <w:pStyle w:val="ARtablegreybold"/>
              <w:keepNext/>
            </w:pPr>
            <w:r w:rsidRPr="002029AF">
              <w:lastRenderedPageBreak/>
              <w:t>Quality</w:t>
            </w:r>
          </w:p>
        </w:tc>
      </w:tr>
      <w:tr w:rsidR="00C15C65" w:rsidRPr="002029AF" w14:paraId="439080F2" w14:textId="77777777" w:rsidTr="00FD77AA">
        <w:trPr>
          <w:gridAfter w:val="1"/>
          <w:wAfter w:w="7" w:type="dxa"/>
          <w:cantSplit/>
        </w:trPr>
        <w:tc>
          <w:tcPr>
            <w:tcW w:w="4753" w:type="dxa"/>
            <w:shd w:val="clear" w:color="auto" w:fill="auto"/>
            <w:hideMark/>
          </w:tcPr>
          <w:p w14:paraId="4A18C538" w14:textId="376E652C" w:rsidR="00C15C65" w:rsidRPr="002029AF" w:rsidRDefault="00C15C65" w:rsidP="00C40F5D">
            <w:pPr>
              <w:pStyle w:val="ARtabletext"/>
            </w:pPr>
            <w:r w:rsidRPr="002029AF">
              <w:t>Agencies</w:t>
            </w:r>
            <w:r w:rsidR="000A5329" w:rsidRPr="002029AF">
              <w:t xml:space="preserve"> </w:t>
            </w:r>
            <w:r w:rsidRPr="002029AF">
              <w:t>with</w:t>
            </w:r>
            <w:r w:rsidR="000A5329" w:rsidRPr="002029AF">
              <w:t xml:space="preserve"> </w:t>
            </w:r>
            <w:r w:rsidRPr="002029AF">
              <w:t>an</w:t>
            </w:r>
            <w:r w:rsidR="000A5329" w:rsidRPr="002029AF">
              <w:t xml:space="preserve"> </w:t>
            </w:r>
            <w:r w:rsidRPr="002029AF">
              <w:t>Integrated</w:t>
            </w:r>
            <w:r w:rsidR="000A5329" w:rsidRPr="002029AF">
              <w:t xml:space="preserve"> </w:t>
            </w:r>
            <w:r w:rsidRPr="002029AF">
              <w:t>Health</w:t>
            </w:r>
            <w:r w:rsidR="000A5329" w:rsidRPr="002029AF">
              <w:t xml:space="preserve"> </w:t>
            </w:r>
            <w:r w:rsidRPr="002029AF">
              <w:t>Promotion</w:t>
            </w:r>
            <w:r w:rsidR="000A5329" w:rsidRPr="002029AF">
              <w:t xml:space="preserve"> </w:t>
            </w:r>
            <w:r w:rsidRPr="002029AF">
              <w:t>plan</w:t>
            </w:r>
            <w:r w:rsidR="000A5329" w:rsidRPr="002029AF">
              <w:t xml:space="preserve"> </w:t>
            </w:r>
            <w:r w:rsidRPr="002029AF">
              <w:t>that</w:t>
            </w:r>
            <w:r w:rsidR="000A5329" w:rsidRPr="002029AF">
              <w:t xml:space="preserve"> </w:t>
            </w:r>
            <w:r w:rsidRPr="002029AF">
              <w:t>meets</w:t>
            </w:r>
            <w:r w:rsidR="000A5329" w:rsidRPr="002029AF">
              <w:t xml:space="preserve"> </w:t>
            </w:r>
            <w:r w:rsidRPr="002029AF">
              <w:t>the</w:t>
            </w:r>
            <w:r w:rsidR="000A5329" w:rsidRPr="002029AF">
              <w:t xml:space="preserve"> </w:t>
            </w:r>
            <w:r w:rsidRPr="002029AF">
              <w:t>stipulated</w:t>
            </w:r>
            <w:r w:rsidR="000A5329" w:rsidRPr="002029AF">
              <w:t xml:space="preserve"> </w:t>
            </w:r>
            <w:r w:rsidRPr="002029AF">
              <w:t>planning</w:t>
            </w:r>
            <w:r w:rsidR="000A5329" w:rsidRPr="002029AF">
              <w:t xml:space="preserve"> </w:t>
            </w:r>
            <w:r w:rsidRPr="002029AF">
              <w:t>requirements</w:t>
            </w:r>
          </w:p>
        </w:tc>
        <w:tc>
          <w:tcPr>
            <w:tcW w:w="1019" w:type="dxa"/>
            <w:shd w:val="clear" w:color="auto" w:fill="auto"/>
            <w:hideMark/>
          </w:tcPr>
          <w:p w14:paraId="3352E477" w14:textId="327DAA24" w:rsidR="00C15C65" w:rsidRPr="002029AF" w:rsidRDefault="00C15C65" w:rsidP="00C40F5D">
            <w:pPr>
              <w:pStyle w:val="ARtabletext"/>
            </w:pPr>
            <w:r w:rsidRPr="002029AF">
              <w:t>per</w:t>
            </w:r>
            <w:r w:rsidR="000A5329" w:rsidRPr="002029AF">
              <w:t xml:space="preserve"> </w:t>
            </w:r>
            <w:r w:rsidRPr="002029AF">
              <w:t>cent</w:t>
            </w:r>
          </w:p>
        </w:tc>
        <w:tc>
          <w:tcPr>
            <w:tcW w:w="1020" w:type="dxa"/>
            <w:shd w:val="clear" w:color="auto" w:fill="auto"/>
            <w:hideMark/>
          </w:tcPr>
          <w:p w14:paraId="0E136B05" w14:textId="77777777" w:rsidR="00C15C65" w:rsidRPr="002029AF" w:rsidRDefault="00C15C65" w:rsidP="00FD77AA">
            <w:pPr>
              <w:pStyle w:val="ARtabletextright"/>
            </w:pPr>
            <w:r w:rsidRPr="002029AF">
              <w:t>95</w:t>
            </w:r>
          </w:p>
        </w:tc>
        <w:tc>
          <w:tcPr>
            <w:tcW w:w="1020" w:type="dxa"/>
            <w:shd w:val="clear" w:color="auto" w:fill="auto"/>
            <w:hideMark/>
          </w:tcPr>
          <w:p w14:paraId="19FD64BA" w14:textId="77777777" w:rsidR="00C15C65" w:rsidRPr="002029AF" w:rsidRDefault="00C15C65" w:rsidP="00FD77AA">
            <w:pPr>
              <w:pStyle w:val="ARtabletextright"/>
            </w:pPr>
            <w:r w:rsidRPr="002029AF">
              <w:t>95</w:t>
            </w:r>
          </w:p>
        </w:tc>
        <w:tc>
          <w:tcPr>
            <w:tcW w:w="1023" w:type="dxa"/>
            <w:shd w:val="clear" w:color="auto" w:fill="auto"/>
          </w:tcPr>
          <w:p w14:paraId="290DF91B" w14:textId="77777777" w:rsidR="00C15C65" w:rsidRPr="002029AF" w:rsidRDefault="00C15C65" w:rsidP="00FD77AA">
            <w:pPr>
              <w:pStyle w:val="ARtabletextright"/>
            </w:pPr>
            <w:r w:rsidRPr="002029AF">
              <w:t>0.0</w:t>
            </w:r>
          </w:p>
        </w:tc>
        <w:tc>
          <w:tcPr>
            <w:tcW w:w="797" w:type="dxa"/>
            <w:shd w:val="clear" w:color="auto" w:fill="auto"/>
            <w:hideMark/>
          </w:tcPr>
          <w:p w14:paraId="181A49DE"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036F13" w:rsidRPr="002029AF" w14:paraId="07A1CD20" w14:textId="77777777" w:rsidTr="00A518E2">
        <w:trPr>
          <w:cantSplit/>
        </w:trPr>
        <w:tc>
          <w:tcPr>
            <w:tcW w:w="9639" w:type="dxa"/>
            <w:gridSpan w:val="7"/>
            <w:tcBorders>
              <w:top w:val="single" w:sz="4" w:space="0" w:color="auto"/>
              <w:left w:val="nil"/>
              <w:bottom w:val="nil"/>
              <w:right w:val="nil"/>
            </w:tcBorders>
            <w:hideMark/>
          </w:tcPr>
          <w:p w14:paraId="3313549D" w14:textId="6DDDCB96" w:rsidR="00036F13" w:rsidRPr="002029AF" w:rsidRDefault="00036F13" w:rsidP="00C40F5D">
            <w:pPr>
              <w:pStyle w:val="ARtabletext"/>
            </w:pPr>
            <w:r w:rsidRPr="002029AF">
              <w:t>Cost</w:t>
            </w:r>
          </w:p>
        </w:tc>
      </w:tr>
      <w:tr w:rsidR="00C15C65" w:rsidRPr="002029AF" w14:paraId="50BC435C" w14:textId="77777777" w:rsidTr="00FD77AA">
        <w:trPr>
          <w:cantSplit/>
        </w:trPr>
        <w:tc>
          <w:tcPr>
            <w:tcW w:w="4753" w:type="dxa"/>
            <w:hideMark/>
          </w:tcPr>
          <w:p w14:paraId="6547000B" w14:textId="28F0DB5D" w:rsidR="00C15C65" w:rsidRPr="002029AF" w:rsidRDefault="00C15C65" w:rsidP="00C40F5D">
            <w:pPr>
              <w:pStyle w:val="ARtabletext"/>
              <w:rPr>
                <w:b/>
              </w:rPr>
            </w:pPr>
            <w:r w:rsidRPr="002029AF">
              <w:rPr>
                <w:b/>
              </w:rPr>
              <w:t>Total</w:t>
            </w:r>
            <w:r w:rsidR="000A5329" w:rsidRPr="002029AF">
              <w:rPr>
                <w:b/>
              </w:rPr>
              <w:t xml:space="preserve"> </w:t>
            </w:r>
            <w:r w:rsidRPr="002029AF">
              <w:rPr>
                <w:b/>
              </w:rPr>
              <w:t>output</w:t>
            </w:r>
            <w:r w:rsidR="000A5329" w:rsidRPr="002029AF">
              <w:rPr>
                <w:b/>
              </w:rPr>
              <w:t xml:space="preserve"> </w:t>
            </w:r>
            <w:r w:rsidRPr="002029AF">
              <w:rPr>
                <w:b/>
              </w:rPr>
              <w:t>cost</w:t>
            </w:r>
          </w:p>
        </w:tc>
        <w:tc>
          <w:tcPr>
            <w:tcW w:w="1019" w:type="dxa"/>
            <w:hideMark/>
          </w:tcPr>
          <w:p w14:paraId="6FD98168" w14:textId="44BDFAA2" w:rsidR="00C15C65" w:rsidRPr="002029AF" w:rsidRDefault="00C15C65" w:rsidP="00C40F5D">
            <w:pPr>
              <w:pStyle w:val="ARtabletext"/>
              <w:rPr>
                <w:b/>
              </w:rPr>
            </w:pPr>
            <w:r w:rsidRPr="002029AF">
              <w:rPr>
                <w:b/>
              </w:rPr>
              <w:t>$</w:t>
            </w:r>
            <w:r w:rsidR="000A5329" w:rsidRPr="002029AF">
              <w:rPr>
                <w:b/>
              </w:rPr>
              <w:t xml:space="preserve"> </w:t>
            </w:r>
            <w:r w:rsidRPr="002029AF">
              <w:rPr>
                <w:b/>
              </w:rPr>
              <w:t>million</w:t>
            </w:r>
          </w:p>
        </w:tc>
        <w:tc>
          <w:tcPr>
            <w:tcW w:w="1020" w:type="dxa"/>
          </w:tcPr>
          <w:p w14:paraId="064663B4" w14:textId="77777777" w:rsidR="00C15C65" w:rsidRPr="002029AF" w:rsidRDefault="00C15C65" w:rsidP="00036F13">
            <w:pPr>
              <w:pStyle w:val="ARtabletextrightbold"/>
            </w:pPr>
            <w:r w:rsidRPr="002029AF">
              <w:t>294.0</w:t>
            </w:r>
          </w:p>
        </w:tc>
        <w:tc>
          <w:tcPr>
            <w:tcW w:w="1020" w:type="dxa"/>
          </w:tcPr>
          <w:p w14:paraId="556B99AD" w14:textId="77777777" w:rsidR="00C15C65" w:rsidRPr="002029AF" w:rsidRDefault="00C15C65" w:rsidP="00036F13">
            <w:pPr>
              <w:pStyle w:val="ARtabletextrightbold"/>
            </w:pPr>
            <w:r w:rsidRPr="002029AF">
              <w:t>334.4</w:t>
            </w:r>
          </w:p>
        </w:tc>
        <w:tc>
          <w:tcPr>
            <w:tcW w:w="1023" w:type="dxa"/>
          </w:tcPr>
          <w:p w14:paraId="1BF35EE9" w14:textId="77777777" w:rsidR="00C15C65" w:rsidRPr="002029AF" w:rsidRDefault="00C15C65" w:rsidP="00036F13">
            <w:pPr>
              <w:pStyle w:val="ARtabletextrightbold"/>
            </w:pPr>
            <w:r w:rsidRPr="002029AF">
              <w:t>13.7</w:t>
            </w:r>
          </w:p>
        </w:tc>
        <w:tc>
          <w:tcPr>
            <w:tcW w:w="804" w:type="dxa"/>
            <w:gridSpan w:val="2"/>
          </w:tcPr>
          <w:p w14:paraId="628CDB0C" w14:textId="77777777" w:rsidR="00C15C65" w:rsidRPr="002029AF" w:rsidRDefault="00C15C65" w:rsidP="00C40F5D">
            <w:pPr>
              <w:pStyle w:val="ARtabletext"/>
              <w:rPr>
                <w:b/>
              </w:rPr>
            </w:pPr>
          </w:p>
        </w:tc>
      </w:tr>
      <w:tr w:rsidR="00C15C65" w:rsidRPr="002029AF" w14:paraId="46EA2641" w14:textId="77777777" w:rsidTr="005B58F0">
        <w:trPr>
          <w:cantSplit/>
        </w:trPr>
        <w:tc>
          <w:tcPr>
            <w:tcW w:w="9639" w:type="dxa"/>
            <w:gridSpan w:val="7"/>
            <w:tcBorders>
              <w:top w:val="nil"/>
              <w:left w:val="nil"/>
              <w:bottom w:val="single" w:sz="4" w:space="0" w:color="auto"/>
              <w:right w:val="nil"/>
            </w:tcBorders>
            <w:noWrap/>
            <w:hideMark/>
          </w:tcPr>
          <w:p w14:paraId="6170FEC1" w14:textId="0EE9287F" w:rsidR="00C15C65" w:rsidRPr="002029AF" w:rsidRDefault="00C15C65" w:rsidP="00D96AFD">
            <w:pPr>
              <w:pStyle w:val="ARtablenoteindent"/>
            </w:pPr>
            <w:r w:rsidRPr="002029AF">
              <w:t>The</w:t>
            </w:r>
            <w:r w:rsidR="000A5329" w:rsidRPr="002029AF">
              <w:t xml:space="preserve"> </w:t>
            </w:r>
            <w:r w:rsidRPr="002029AF">
              <w:t>201</w:t>
            </w:r>
            <w:r w:rsidR="00DB53E6" w:rsidRPr="002029AF">
              <w:t>9–</w:t>
            </w:r>
            <w:r w:rsidRPr="002029AF">
              <w:t>20</w:t>
            </w:r>
            <w:r w:rsidR="000A5329" w:rsidRPr="002029AF">
              <w:t xml:space="preserve"> </w:t>
            </w:r>
            <w:r w:rsidRPr="002029AF">
              <w:t>actual</w:t>
            </w:r>
            <w:r w:rsidR="000A5329" w:rsidRPr="002029AF">
              <w:t xml:space="preserve"> </w:t>
            </w:r>
            <w:r w:rsidRPr="002029AF">
              <w:t>outcome</w:t>
            </w:r>
            <w:r w:rsidR="000A5329" w:rsidRPr="002029AF">
              <w:t xml:space="preserve"> </w:t>
            </w:r>
            <w:r w:rsidRPr="002029AF">
              <w:t>primarily</w:t>
            </w:r>
            <w:r w:rsidR="000A5329" w:rsidRPr="002029AF">
              <w:t xml:space="preserve"> </w:t>
            </w:r>
            <w:r w:rsidRPr="002029AF">
              <w:t>reflects</w:t>
            </w:r>
            <w:r w:rsidR="000A5329" w:rsidRPr="002029AF">
              <w:t xml:space="preserve"> </w:t>
            </w:r>
            <w:r w:rsidRPr="002029AF">
              <w:t>increases</w:t>
            </w:r>
            <w:r w:rsidR="000A5329" w:rsidRPr="002029AF">
              <w:t xml:space="preserve"> </w:t>
            </w:r>
            <w:r w:rsidRPr="002029AF">
              <w:t>in</w:t>
            </w:r>
            <w:r w:rsidR="000A5329" w:rsidRPr="002029AF">
              <w:t xml:space="preserve"> </w:t>
            </w:r>
            <w:r w:rsidRPr="002029AF">
              <w:t>government</w:t>
            </w:r>
            <w:r w:rsidR="000A5329" w:rsidRPr="002029AF">
              <w:t xml:space="preserve"> </w:t>
            </w:r>
            <w:r w:rsidRPr="002029AF">
              <w:t>policy</w:t>
            </w:r>
            <w:r w:rsidR="000A5329" w:rsidRPr="002029AF">
              <w:t xml:space="preserve"> </w:t>
            </w:r>
            <w:r w:rsidRPr="002029AF">
              <w:t>initiatives</w:t>
            </w:r>
            <w:r w:rsidR="000A5329" w:rsidRPr="002029AF">
              <w:t xml:space="preserve"> </w:t>
            </w:r>
            <w:r w:rsidRPr="002029AF">
              <w:t>related</w:t>
            </w:r>
            <w:r w:rsidR="000A5329" w:rsidRPr="002029AF">
              <w:t xml:space="preserve"> </w:t>
            </w:r>
            <w:r w:rsidRPr="002029AF">
              <w:t>to</w:t>
            </w:r>
            <w:r w:rsidR="000A5329" w:rsidRPr="002029AF">
              <w:t xml:space="preserve"> </w:t>
            </w:r>
            <w:r w:rsidRPr="002029AF">
              <w:t>the</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response.</w:t>
            </w:r>
          </w:p>
        </w:tc>
      </w:tr>
      <w:tr w:rsidR="00C15C65" w:rsidRPr="002029AF" w14:paraId="30024313" w14:textId="77777777" w:rsidTr="005B58F0">
        <w:trPr>
          <w:cantSplit/>
        </w:trPr>
        <w:tc>
          <w:tcPr>
            <w:tcW w:w="9639" w:type="dxa"/>
            <w:gridSpan w:val="7"/>
            <w:tcBorders>
              <w:top w:val="single" w:sz="4" w:space="0" w:color="auto"/>
              <w:left w:val="nil"/>
              <w:bottom w:val="single" w:sz="4" w:space="0" w:color="auto"/>
              <w:right w:val="nil"/>
            </w:tcBorders>
            <w:hideMark/>
          </w:tcPr>
          <w:p w14:paraId="1FCA53EC" w14:textId="5A30F947" w:rsidR="00C15C65" w:rsidRPr="002029AF" w:rsidRDefault="00C15C65" w:rsidP="007666A5">
            <w:pPr>
              <w:pStyle w:val="ARtablesubhead"/>
            </w:pPr>
            <w:r w:rsidRPr="002029AF">
              <w:t>Dental</w:t>
            </w:r>
            <w:r w:rsidR="000A5329" w:rsidRPr="002029AF">
              <w:t xml:space="preserve"> </w:t>
            </w:r>
            <w:r w:rsidRPr="002029AF">
              <w:t>Services</w:t>
            </w:r>
          </w:p>
        </w:tc>
      </w:tr>
      <w:tr w:rsidR="00C15C65" w:rsidRPr="002029AF" w14:paraId="1F3E876C" w14:textId="77777777" w:rsidTr="005B58F0">
        <w:trPr>
          <w:cantSplit/>
        </w:trPr>
        <w:tc>
          <w:tcPr>
            <w:tcW w:w="9639" w:type="dxa"/>
            <w:gridSpan w:val="7"/>
            <w:tcBorders>
              <w:top w:val="single" w:sz="4" w:space="0" w:color="auto"/>
              <w:left w:val="nil"/>
              <w:bottom w:val="nil"/>
              <w:right w:val="nil"/>
            </w:tcBorders>
            <w:hideMark/>
          </w:tcPr>
          <w:p w14:paraId="61D40E89" w14:textId="77777777" w:rsidR="00C15C65" w:rsidRPr="002029AF" w:rsidRDefault="00C15C65" w:rsidP="00D96AFD">
            <w:pPr>
              <w:pStyle w:val="ARtablegreybold"/>
            </w:pPr>
            <w:r w:rsidRPr="002029AF">
              <w:t>Quantity</w:t>
            </w:r>
          </w:p>
        </w:tc>
      </w:tr>
      <w:tr w:rsidR="00C15C65" w:rsidRPr="002029AF" w14:paraId="58E4A7FA" w14:textId="77777777" w:rsidTr="00FD77AA">
        <w:trPr>
          <w:gridAfter w:val="1"/>
          <w:wAfter w:w="7" w:type="dxa"/>
          <w:cantSplit/>
        </w:trPr>
        <w:tc>
          <w:tcPr>
            <w:tcW w:w="4753" w:type="dxa"/>
            <w:tcBorders>
              <w:bottom w:val="single" w:sz="4" w:space="0" w:color="BFBFBF"/>
            </w:tcBorders>
            <w:shd w:val="clear" w:color="auto" w:fill="auto"/>
            <w:hideMark/>
          </w:tcPr>
          <w:p w14:paraId="3CDDF20E" w14:textId="2E2806AA" w:rsidR="00C15C65" w:rsidRPr="002029AF" w:rsidRDefault="00C15C65" w:rsidP="00C40F5D">
            <w:pPr>
              <w:pStyle w:val="ARtabletext"/>
            </w:pPr>
            <w:r w:rsidRPr="002029AF">
              <w:t>Persons</w:t>
            </w:r>
            <w:r w:rsidR="000A5329" w:rsidRPr="002029AF">
              <w:t xml:space="preserve"> </w:t>
            </w:r>
            <w:r w:rsidRPr="002029AF">
              <w:t>treated</w:t>
            </w:r>
          </w:p>
        </w:tc>
        <w:tc>
          <w:tcPr>
            <w:tcW w:w="1019" w:type="dxa"/>
            <w:tcBorders>
              <w:bottom w:val="single" w:sz="4" w:space="0" w:color="BFBFBF"/>
            </w:tcBorders>
            <w:shd w:val="clear" w:color="auto" w:fill="auto"/>
            <w:hideMark/>
          </w:tcPr>
          <w:p w14:paraId="299BE94A" w14:textId="77777777" w:rsidR="00C15C65" w:rsidRPr="002029AF" w:rsidRDefault="00C15C65" w:rsidP="00C40F5D">
            <w:pPr>
              <w:pStyle w:val="ARtabletext"/>
            </w:pPr>
            <w:r w:rsidRPr="002029AF">
              <w:t>number</w:t>
            </w:r>
          </w:p>
        </w:tc>
        <w:tc>
          <w:tcPr>
            <w:tcW w:w="1020" w:type="dxa"/>
            <w:tcBorders>
              <w:bottom w:val="single" w:sz="4" w:space="0" w:color="BFBFBF"/>
            </w:tcBorders>
            <w:shd w:val="clear" w:color="auto" w:fill="auto"/>
            <w:hideMark/>
          </w:tcPr>
          <w:p w14:paraId="5D518C6E" w14:textId="77777777" w:rsidR="00C15C65" w:rsidRPr="002029AF" w:rsidRDefault="00C15C65" w:rsidP="00FD77AA">
            <w:pPr>
              <w:pStyle w:val="ARtabletextright"/>
            </w:pPr>
            <w:r w:rsidRPr="002029AF">
              <w:t>332,150</w:t>
            </w:r>
          </w:p>
        </w:tc>
        <w:tc>
          <w:tcPr>
            <w:tcW w:w="1020" w:type="dxa"/>
            <w:tcBorders>
              <w:bottom w:val="single" w:sz="4" w:space="0" w:color="BFBFBF"/>
            </w:tcBorders>
            <w:shd w:val="clear" w:color="auto" w:fill="auto"/>
            <w:hideMark/>
          </w:tcPr>
          <w:p w14:paraId="1C853BEB" w14:textId="77777777" w:rsidR="00C15C65" w:rsidRPr="002029AF" w:rsidRDefault="00C15C65" w:rsidP="00FD77AA">
            <w:pPr>
              <w:pStyle w:val="ARtabletextright"/>
            </w:pPr>
            <w:r w:rsidRPr="002029AF">
              <w:t>323,637</w:t>
            </w:r>
          </w:p>
        </w:tc>
        <w:tc>
          <w:tcPr>
            <w:tcW w:w="1023" w:type="dxa"/>
            <w:tcBorders>
              <w:bottom w:val="single" w:sz="4" w:space="0" w:color="BFBFBF"/>
            </w:tcBorders>
            <w:shd w:val="clear" w:color="auto" w:fill="auto"/>
          </w:tcPr>
          <w:p w14:paraId="3E5865B0" w14:textId="77777777" w:rsidR="00C15C65" w:rsidRPr="002029AF" w:rsidRDefault="00C15C65" w:rsidP="00FD77AA">
            <w:pPr>
              <w:pStyle w:val="ARtabletextright"/>
            </w:pPr>
            <w:r w:rsidRPr="002029AF">
              <w:t>-2.6</w:t>
            </w:r>
          </w:p>
        </w:tc>
        <w:tc>
          <w:tcPr>
            <w:tcW w:w="797" w:type="dxa"/>
            <w:tcBorders>
              <w:bottom w:val="single" w:sz="4" w:space="0" w:color="BFBFBF"/>
            </w:tcBorders>
            <w:shd w:val="clear" w:color="auto" w:fill="auto"/>
            <w:hideMark/>
          </w:tcPr>
          <w:p w14:paraId="6041D712" w14:textId="5CD811CE" w:rsidR="00C15C65" w:rsidRPr="002029AF" w:rsidRDefault="003A6C3B" w:rsidP="000F6867">
            <w:pPr>
              <w:pStyle w:val="ARtableperformancesymbol"/>
              <w:rPr>
                <w:rFonts w:hint="eastAsia"/>
                <w:lang w:val="en-AU"/>
              </w:rPr>
            </w:pPr>
            <w:r w:rsidRPr="002029AF">
              <w:rPr>
                <w:lang w:val="en-AU"/>
              </w:rPr>
              <w:t>□</w:t>
            </w:r>
          </w:p>
        </w:tc>
      </w:tr>
      <w:tr w:rsidR="00C15C65" w:rsidRPr="002029AF" w14:paraId="46563EBF" w14:textId="77777777" w:rsidTr="00FD77AA">
        <w:trPr>
          <w:gridAfter w:val="1"/>
          <w:wAfter w:w="7" w:type="dxa"/>
          <w:cantSplit/>
        </w:trPr>
        <w:tc>
          <w:tcPr>
            <w:tcW w:w="4753" w:type="dxa"/>
            <w:tcBorders>
              <w:top w:val="single" w:sz="4" w:space="0" w:color="BFBFBF"/>
            </w:tcBorders>
            <w:shd w:val="clear" w:color="auto" w:fill="auto"/>
            <w:hideMark/>
          </w:tcPr>
          <w:p w14:paraId="570D04E0" w14:textId="639C6E90" w:rsidR="00C15C65" w:rsidRPr="002029AF" w:rsidRDefault="00C15C65" w:rsidP="00C40F5D">
            <w:pPr>
              <w:pStyle w:val="ARtabletext"/>
            </w:pPr>
            <w:r w:rsidRPr="002029AF">
              <w:t>Priority</w:t>
            </w:r>
            <w:r w:rsidR="000A5329" w:rsidRPr="002029AF">
              <w:t xml:space="preserve"> </w:t>
            </w:r>
            <w:r w:rsidRPr="002029AF">
              <w:t>and</w:t>
            </w:r>
            <w:r w:rsidR="000A5329" w:rsidRPr="002029AF">
              <w:t xml:space="preserve"> </w:t>
            </w:r>
            <w:r w:rsidRPr="002029AF">
              <w:t>emergency</w:t>
            </w:r>
            <w:r w:rsidR="000A5329" w:rsidRPr="002029AF">
              <w:t xml:space="preserve"> </w:t>
            </w:r>
            <w:r w:rsidRPr="002029AF">
              <w:t>clients</w:t>
            </w:r>
            <w:r w:rsidR="000A5329" w:rsidRPr="002029AF">
              <w:t xml:space="preserve"> </w:t>
            </w:r>
            <w:r w:rsidRPr="002029AF">
              <w:t>treated</w:t>
            </w:r>
          </w:p>
        </w:tc>
        <w:tc>
          <w:tcPr>
            <w:tcW w:w="1019" w:type="dxa"/>
            <w:tcBorders>
              <w:top w:val="single" w:sz="4" w:space="0" w:color="BFBFBF"/>
            </w:tcBorders>
            <w:shd w:val="clear" w:color="auto" w:fill="auto"/>
            <w:hideMark/>
          </w:tcPr>
          <w:p w14:paraId="2980E429" w14:textId="77777777" w:rsidR="00C15C65" w:rsidRPr="002029AF" w:rsidRDefault="00C15C65" w:rsidP="00C40F5D">
            <w:pPr>
              <w:pStyle w:val="ARtabletext"/>
            </w:pPr>
            <w:r w:rsidRPr="002029AF">
              <w:t>number</w:t>
            </w:r>
          </w:p>
        </w:tc>
        <w:tc>
          <w:tcPr>
            <w:tcW w:w="1020" w:type="dxa"/>
            <w:tcBorders>
              <w:top w:val="single" w:sz="4" w:space="0" w:color="BFBFBF"/>
            </w:tcBorders>
            <w:shd w:val="clear" w:color="auto" w:fill="auto"/>
            <w:hideMark/>
          </w:tcPr>
          <w:p w14:paraId="50BDCA1E" w14:textId="77777777" w:rsidR="00C15C65" w:rsidRPr="002029AF" w:rsidRDefault="00C15C65" w:rsidP="00FD77AA">
            <w:pPr>
              <w:pStyle w:val="ARtabletextright"/>
            </w:pPr>
            <w:r w:rsidRPr="002029AF">
              <w:t>249,100</w:t>
            </w:r>
          </w:p>
        </w:tc>
        <w:tc>
          <w:tcPr>
            <w:tcW w:w="1020" w:type="dxa"/>
            <w:tcBorders>
              <w:top w:val="single" w:sz="4" w:space="0" w:color="BFBFBF"/>
            </w:tcBorders>
            <w:shd w:val="clear" w:color="auto" w:fill="auto"/>
            <w:hideMark/>
          </w:tcPr>
          <w:p w14:paraId="1BFFB6D8" w14:textId="77777777" w:rsidR="00C15C65" w:rsidRPr="002029AF" w:rsidRDefault="00C15C65" w:rsidP="00FD77AA">
            <w:pPr>
              <w:pStyle w:val="ARtabletextright"/>
            </w:pPr>
            <w:r w:rsidRPr="002029AF">
              <w:t>263,243</w:t>
            </w:r>
          </w:p>
        </w:tc>
        <w:tc>
          <w:tcPr>
            <w:tcW w:w="1023" w:type="dxa"/>
            <w:tcBorders>
              <w:top w:val="single" w:sz="4" w:space="0" w:color="BFBFBF"/>
            </w:tcBorders>
            <w:shd w:val="clear" w:color="auto" w:fill="auto"/>
          </w:tcPr>
          <w:p w14:paraId="3C163D0F" w14:textId="77777777" w:rsidR="00C15C65" w:rsidRPr="002029AF" w:rsidRDefault="00C15C65" w:rsidP="00FD77AA">
            <w:pPr>
              <w:pStyle w:val="ARtabletextright"/>
            </w:pPr>
            <w:r w:rsidRPr="002029AF">
              <w:t>5.7</w:t>
            </w:r>
          </w:p>
        </w:tc>
        <w:tc>
          <w:tcPr>
            <w:tcW w:w="797" w:type="dxa"/>
            <w:tcBorders>
              <w:top w:val="single" w:sz="4" w:space="0" w:color="BFBFBF"/>
            </w:tcBorders>
            <w:shd w:val="clear" w:color="auto" w:fill="auto"/>
            <w:hideMark/>
          </w:tcPr>
          <w:p w14:paraId="3C3131F4"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4AEF0AD8" w14:textId="77777777" w:rsidTr="00FD77AA">
        <w:trPr>
          <w:gridAfter w:val="1"/>
          <w:wAfter w:w="7" w:type="dxa"/>
          <w:cantSplit/>
        </w:trPr>
        <w:tc>
          <w:tcPr>
            <w:tcW w:w="9632" w:type="dxa"/>
            <w:gridSpan w:val="6"/>
            <w:tcBorders>
              <w:bottom w:val="single" w:sz="4" w:space="0" w:color="BFBFBF"/>
            </w:tcBorders>
            <w:shd w:val="clear" w:color="auto" w:fill="auto"/>
            <w:noWrap/>
            <w:hideMark/>
          </w:tcPr>
          <w:p w14:paraId="75B20ECF" w14:textId="2A54C98A" w:rsidR="00C15C65" w:rsidRPr="002029AF" w:rsidRDefault="00C15C65" w:rsidP="00D96AFD">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additional</w:t>
            </w:r>
            <w:r w:rsidR="000A5329" w:rsidRPr="002029AF">
              <w:t xml:space="preserve"> </w:t>
            </w:r>
            <w:r w:rsidRPr="002029AF">
              <w:t>activity</w:t>
            </w:r>
            <w:r w:rsidR="000A5329" w:rsidRPr="002029AF">
              <w:t xml:space="preserve"> </w:t>
            </w:r>
            <w:r w:rsidRPr="002029AF">
              <w:t>being</w:t>
            </w:r>
            <w:r w:rsidR="000A5329" w:rsidRPr="002029AF">
              <w:t xml:space="preserve"> </w:t>
            </w:r>
            <w:r w:rsidRPr="002029AF">
              <w:t>delivered.</w:t>
            </w:r>
            <w:r w:rsidR="000A5329" w:rsidRPr="002029AF">
              <w:t xml:space="preserve"> </w:t>
            </w:r>
            <w:r w:rsidRPr="002029AF">
              <w:t>This</w:t>
            </w:r>
            <w:r w:rsidR="000A5329" w:rsidRPr="002029AF">
              <w:t xml:space="preserve"> </w:t>
            </w:r>
            <w:r w:rsidRPr="002029AF">
              <w:t>is</w:t>
            </w:r>
            <w:r w:rsidR="000A5329" w:rsidRPr="002029AF">
              <w:t xml:space="preserve"> </w:t>
            </w:r>
            <w:r w:rsidRPr="002029AF">
              <w:t>a</w:t>
            </w:r>
            <w:r w:rsidR="000A5329" w:rsidRPr="002029AF">
              <w:t xml:space="preserve"> </w:t>
            </w:r>
            <w:r w:rsidRPr="002029AF">
              <w:t>positive</w:t>
            </w:r>
            <w:r w:rsidR="000A5329" w:rsidRPr="002029AF">
              <w:t xml:space="preserve"> </w:t>
            </w:r>
            <w:r w:rsidRPr="002029AF">
              <w:t>result.</w:t>
            </w:r>
          </w:p>
        </w:tc>
      </w:tr>
      <w:tr w:rsidR="00C15C65" w:rsidRPr="002029AF" w14:paraId="286FBE5D" w14:textId="77777777" w:rsidTr="00FD77AA">
        <w:trPr>
          <w:cantSplit/>
        </w:trPr>
        <w:tc>
          <w:tcPr>
            <w:tcW w:w="4753" w:type="dxa"/>
            <w:shd w:val="clear" w:color="auto" w:fill="auto"/>
            <w:hideMark/>
          </w:tcPr>
          <w:p w14:paraId="4F7FCCD2" w14:textId="354A6403" w:rsidR="00C15C65" w:rsidRPr="002029AF" w:rsidRDefault="00C15C65" w:rsidP="00C40F5D">
            <w:pPr>
              <w:pStyle w:val="ARtabletext"/>
            </w:pPr>
            <w:r w:rsidRPr="002029AF">
              <w:t>Children</w:t>
            </w:r>
            <w:r w:rsidR="000A5329" w:rsidRPr="002029AF">
              <w:t xml:space="preserve"> </w:t>
            </w:r>
            <w:r w:rsidRPr="002029AF">
              <w:t>participating</w:t>
            </w:r>
            <w:r w:rsidR="000A5329" w:rsidRPr="002029AF">
              <w:t xml:space="preserve"> </w:t>
            </w:r>
            <w:r w:rsidRPr="002029AF">
              <w:t>in</w:t>
            </w:r>
            <w:r w:rsidR="000A5329" w:rsidRPr="002029AF">
              <w:t xml:space="preserve"> </w:t>
            </w:r>
            <w:r w:rsidRPr="002029AF">
              <w:t>the</w:t>
            </w:r>
            <w:r w:rsidR="000A5329" w:rsidRPr="002029AF">
              <w:t xml:space="preserve"> </w:t>
            </w:r>
            <w:r w:rsidRPr="002029AF">
              <w:t>Smiles</w:t>
            </w:r>
            <w:r w:rsidR="000A5329" w:rsidRPr="002029AF">
              <w:t xml:space="preserve"> </w:t>
            </w:r>
            <w:r w:rsidRPr="002029AF">
              <w:t>4</w:t>
            </w:r>
            <w:r w:rsidR="000A5329" w:rsidRPr="002029AF">
              <w:t xml:space="preserve"> </w:t>
            </w:r>
            <w:r w:rsidRPr="002029AF">
              <w:t>Miles</w:t>
            </w:r>
            <w:r w:rsidR="000A5329" w:rsidRPr="002029AF">
              <w:t xml:space="preserve"> </w:t>
            </w:r>
            <w:r w:rsidRPr="002029AF">
              <w:t>oral</w:t>
            </w:r>
            <w:r w:rsidR="000A5329" w:rsidRPr="002029AF">
              <w:t xml:space="preserve"> </w:t>
            </w:r>
            <w:r w:rsidRPr="002029AF">
              <w:t>health</w:t>
            </w:r>
            <w:r w:rsidR="000A5329" w:rsidRPr="002029AF">
              <w:t xml:space="preserve"> </w:t>
            </w:r>
            <w:r w:rsidRPr="002029AF">
              <w:t>promotion</w:t>
            </w:r>
            <w:r w:rsidR="000A5329" w:rsidRPr="002029AF">
              <w:t xml:space="preserve"> </w:t>
            </w:r>
            <w:r w:rsidRPr="002029AF">
              <w:t>program</w:t>
            </w:r>
          </w:p>
        </w:tc>
        <w:tc>
          <w:tcPr>
            <w:tcW w:w="1019" w:type="dxa"/>
            <w:shd w:val="clear" w:color="auto" w:fill="auto"/>
            <w:hideMark/>
          </w:tcPr>
          <w:p w14:paraId="74E171A6" w14:textId="77777777" w:rsidR="00C15C65" w:rsidRPr="002029AF" w:rsidRDefault="00C15C65" w:rsidP="00C40F5D">
            <w:pPr>
              <w:pStyle w:val="ARtabletext"/>
            </w:pPr>
            <w:r w:rsidRPr="002029AF">
              <w:t>number</w:t>
            </w:r>
          </w:p>
        </w:tc>
        <w:tc>
          <w:tcPr>
            <w:tcW w:w="1020" w:type="dxa"/>
            <w:shd w:val="clear" w:color="auto" w:fill="auto"/>
            <w:hideMark/>
          </w:tcPr>
          <w:p w14:paraId="07D1D396" w14:textId="77777777" w:rsidR="00C15C65" w:rsidRPr="002029AF" w:rsidRDefault="00C15C65" w:rsidP="00FD77AA">
            <w:pPr>
              <w:pStyle w:val="ARtabletextright"/>
            </w:pPr>
            <w:r w:rsidRPr="002029AF">
              <w:t>34,000</w:t>
            </w:r>
          </w:p>
        </w:tc>
        <w:tc>
          <w:tcPr>
            <w:tcW w:w="1020" w:type="dxa"/>
            <w:shd w:val="clear" w:color="auto" w:fill="auto"/>
            <w:hideMark/>
          </w:tcPr>
          <w:p w14:paraId="17AED2B9" w14:textId="77777777" w:rsidR="00C15C65" w:rsidRPr="002029AF" w:rsidRDefault="00C15C65" w:rsidP="00FD77AA">
            <w:pPr>
              <w:pStyle w:val="ARtabletextright"/>
            </w:pPr>
            <w:r w:rsidRPr="002029AF">
              <w:t>34,000</w:t>
            </w:r>
          </w:p>
        </w:tc>
        <w:tc>
          <w:tcPr>
            <w:tcW w:w="1023" w:type="dxa"/>
            <w:shd w:val="clear" w:color="auto" w:fill="auto"/>
          </w:tcPr>
          <w:p w14:paraId="28D6C3A6" w14:textId="77777777" w:rsidR="00C15C65" w:rsidRPr="002029AF" w:rsidRDefault="00C15C65" w:rsidP="00FD77AA">
            <w:pPr>
              <w:pStyle w:val="ARtabletextright"/>
            </w:pPr>
            <w:r w:rsidRPr="002029AF">
              <w:t>0.0</w:t>
            </w:r>
          </w:p>
        </w:tc>
        <w:tc>
          <w:tcPr>
            <w:tcW w:w="804" w:type="dxa"/>
            <w:gridSpan w:val="2"/>
            <w:shd w:val="clear" w:color="auto" w:fill="auto"/>
            <w:hideMark/>
          </w:tcPr>
          <w:p w14:paraId="521C72DF"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6B316767" w14:textId="77777777" w:rsidTr="005B58F0">
        <w:trPr>
          <w:cantSplit/>
        </w:trPr>
        <w:tc>
          <w:tcPr>
            <w:tcW w:w="9639" w:type="dxa"/>
            <w:gridSpan w:val="7"/>
            <w:tcBorders>
              <w:bottom w:val="single" w:sz="4" w:space="0" w:color="BFBFBF"/>
            </w:tcBorders>
            <w:shd w:val="clear" w:color="auto" w:fill="auto"/>
            <w:noWrap/>
            <w:hideMark/>
          </w:tcPr>
          <w:p w14:paraId="61E6B818" w14:textId="275786D8" w:rsidR="00C15C65" w:rsidRPr="002029AF" w:rsidRDefault="00C15C65" w:rsidP="00D96AFD">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results</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by</w:t>
            </w:r>
            <w:r w:rsidR="000A5329" w:rsidRPr="002029AF">
              <w:t xml:space="preserve"> </w:t>
            </w:r>
            <w:r w:rsidRPr="002029AF">
              <w:t>early</w:t>
            </w:r>
            <w:r w:rsidR="000A5329" w:rsidRPr="002029AF">
              <w:t xml:space="preserve"> </w:t>
            </w:r>
            <w:r w:rsidRPr="002029AF">
              <w:t>2021.</w:t>
            </w:r>
          </w:p>
        </w:tc>
      </w:tr>
      <w:tr w:rsidR="00C15C65" w:rsidRPr="002029AF" w14:paraId="2729EA22" w14:textId="77777777" w:rsidTr="005B58F0">
        <w:trPr>
          <w:cantSplit/>
        </w:trPr>
        <w:tc>
          <w:tcPr>
            <w:tcW w:w="9639" w:type="dxa"/>
            <w:gridSpan w:val="7"/>
            <w:tcBorders>
              <w:top w:val="single" w:sz="4" w:space="0" w:color="auto"/>
              <w:left w:val="nil"/>
              <w:bottom w:val="nil"/>
              <w:right w:val="nil"/>
            </w:tcBorders>
            <w:hideMark/>
          </w:tcPr>
          <w:p w14:paraId="6158CFD4" w14:textId="77777777" w:rsidR="00C15C65" w:rsidRPr="002029AF" w:rsidRDefault="00C15C65" w:rsidP="007666A5">
            <w:pPr>
              <w:pStyle w:val="ARtablegreybold"/>
            </w:pPr>
            <w:r w:rsidRPr="002029AF">
              <w:t>Timeliness</w:t>
            </w:r>
          </w:p>
        </w:tc>
      </w:tr>
      <w:tr w:rsidR="00C15C65" w:rsidRPr="002029AF" w14:paraId="7877DFF4" w14:textId="77777777" w:rsidTr="00FD77AA">
        <w:trPr>
          <w:gridAfter w:val="1"/>
          <w:wAfter w:w="7" w:type="dxa"/>
          <w:cantSplit/>
        </w:trPr>
        <w:tc>
          <w:tcPr>
            <w:tcW w:w="4753" w:type="dxa"/>
            <w:shd w:val="clear" w:color="auto" w:fill="auto"/>
            <w:hideMark/>
          </w:tcPr>
          <w:p w14:paraId="0E07E655" w14:textId="7B9C3689" w:rsidR="00C15C65" w:rsidRPr="002029AF" w:rsidRDefault="00C15C65" w:rsidP="00C40F5D">
            <w:pPr>
              <w:pStyle w:val="ARtabletext"/>
            </w:pPr>
            <w:r w:rsidRPr="002029AF">
              <w:t>Waiting</w:t>
            </w:r>
            <w:r w:rsidR="000A5329" w:rsidRPr="002029AF">
              <w:t xml:space="preserve"> </w:t>
            </w:r>
            <w:r w:rsidRPr="002029AF">
              <w:t>time</w:t>
            </w:r>
            <w:r w:rsidR="000A5329" w:rsidRPr="002029AF">
              <w:t xml:space="preserve"> </w:t>
            </w:r>
            <w:r w:rsidRPr="002029AF">
              <w:t>for</w:t>
            </w:r>
            <w:r w:rsidR="000A5329" w:rsidRPr="002029AF">
              <w:t xml:space="preserve"> </w:t>
            </w:r>
            <w:r w:rsidRPr="002029AF">
              <w:t>dentures</w:t>
            </w:r>
          </w:p>
        </w:tc>
        <w:tc>
          <w:tcPr>
            <w:tcW w:w="1019" w:type="dxa"/>
            <w:shd w:val="clear" w:color="auto" w:fill="auto"/>
            <w:hideMark/>
          </w:tcPr>
          <w:p w14:paraId="601C0565" w14:textId="77777777" w:rsidR="00C15C65" w:rsidRPr="002029AF" w:rsidRDefault="00C15C65" w:rsidP="00C40F5D">
            <w:pPr>
              <w:pStyle w:val="ARtabletext"/>
            </w:pPr>
            <w:r w:rsidRPr="002029AF">
              <w:t>months</w:t>
            </w:r>
          </w:p>
        </w:tc>
        <w:tc>
          <w:tcPr>
            <w:tcW w:w="1020" w:type="dxa"/>
            <w:shd w:val="clear" w:color="auto" w:fill="auto"/>
            <w:hideMark/>
          </w:tcPr>
          <w:p w14:paraId="2E07EE93" w14:textId="77777777" w:rsidR="00C15C65" w:rsidRPr="002029AF" w:rsidRDefault="00C15C65" w:rsidP="00FD77AA">
            <w:pPr>
              <w:pStyle w:val="ARtabletextright"/>
            </w:pPr>
            <w:r w:rsidRPr="002029AF">
              <w:t>22</w:t>
            </w:r>
          </w:p>
        </w:tc>
        <w:tc>
          <w:tcPr>
            <w:tcW w:w="1020" w:type="dxa"/>
            <w:shd w:val="clear" w:color="auto" w:fill="auto"/>
            <w:hideMark/>
          </w:tcPr>
          <w:p w14:paraId="0158530D" w14:textId="77777777" w:rsidR="00C15C65" w:rsidRPr="002029AF" w:rsidRDefault="00C15C65" w:rsidP="00FD77AA">
            <w:pPr>
              <w:pStyle w:val="ARtabletextright"/>
            </w:pPr>
            <w:r w:rsidRPr="002029AF">
              <w:t>17.8</w:t>
            </w:r>
          </w:p>
        </w:tc>
        <w:tc>
          <w:tcPr>
            <w:tcW w:w="1023" w:type="dxa"/>
            <w:shd w:val="clear" w:color="auto" w:fill="auto"/>
          </w:tcPr>
          <w:p w14:paraId="3476BE70" w14:textId="77777777" w:rsidR="00C15C65" w:rsidRPr="002029AF" w:rsidRDefault="00C15C65" w:rsidP="00FD77AA">
            <w:pPr>
              <w:pStyle w:val="ARtabletextright"/>
            </w:pPr>
            <w:r w:rsidRPr="002029AF">
              <w:t>-19.1</w:t>
            </w:r>
          </w:p>
        </w:tc>
        <w:tc>
          <w:tcPr>
            <w:tcW w:w="797" w:type="dxa"/>
            <w:shd w:val="clear" w:color="auto" w:fill="auto"/>
            <w:hideMark/>
          </w:tcPr>
          <w:p w14:paraId="4A74A8AD"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4F32AD13" w14:textId="77777777" w:rsidTr="00FD77AA">
        <w:trPr>
          <w:gridAfter w:val="1"/>
          <w:wAfter w:w="7" w:type="dxa"/>
          <w:cantSplit/>
        </w:trPr>
        <w:tc>
          <w:tcPr>
            <w:tcW w:w="9632" w:type="dxa"/>
            <w:gridSpan w:val="6"/>
            <w:tcBorders>
              <w:bottom w:val="single" w:sz="4" w:space="0" w:color="BFBFBF"/>
            </w:tcBorders>
            <w:shd w:val="clear" w:color="auto" w:fill="auto"/>
            <w:noWrap/>
            <w:hideMark/>
          </w:tcPr>
          <w:p w14:paraId="29D799C4" w14:textId="17664BAF" w:rsidR="00C15C65" w:rsidRPr="002029AF" w:rsidRDefault="00C15C65" w:rsidP="00D96AFD">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lower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additional</w:t>
            </w:r>
            <w:r w:rsidR="000A5329" w:rsidRPr="002029AF">
              <w:t xml:space="preserve"> </w:t>
            </w:r>
            <w:r w:rsidRPr="002029AF">
              <w:t>activity</w:t>
            </w:r>
            <w:r w:rsidR="000A5329" w:rsidRPr="002029AF">
              <w:t xml:space="preserve"> </w:t>
            </w:r>
            <w:r w:rsidRPr="002029AF">
              <w:t>being</w:t>
            </w:r>
            <w:r w:rsidR="000A5329" w:rsidRPr="002029AF">
              <w:t xml:space="preserve"> </w:t>
            </w:r>
            <w:r w:rsidRPr="002029AF">
              <w:t>delivered.</w:t>
            </w:r>
            <w:r w:rsidR="000A5329" w:rsidRPr="002029AF">
              <w:t xml:space="preserve"> </w:t>
            </w:r>
            <w:r w:rsidRPr="002029AF">
              <w:t>This</w:t>
            </w:r>
            <w:r w:rsidR="000A5329" w:rsidRPr="002029AF">
              <w:t xml:space="preserve"> </w:t>
            </w:r>
            <w:r w:rsidRPr="002029AF">
              <w:t>is</w:t>
            </w:r>
            <w:r w:rsidR="000A5329" w:rsidRPr="002029AF">
              <w:t xml:space="preserve"> </w:t>
            </w:r>
            <w:r w:rsidRPr="002029AF">
              <w:t>a</w:t>
            </w:r>
            <w:r w:rsidR="000A5329" w:rsidRPr="002029AF">
              <w:t xml:space="preserve"> </w:t>
            </w:r>
            <w:r w:rsidRPr="002029AF">
              <w:t>positive</w:t>
            </w:r>
            <w:r w:rsidR="000A5329" w:rsidRPr="002029AF">
              <w:t xml:space="preserve"> </w:t>
            </w:r>
            <w:r w:rsidRPr="002029AF">
              <w:t>result.</w:t>
            </w:r>
          </w:p>
        </w:tc>
      </w:tr>
      <w:tr w:rsidR="00C15C65" w:rsidRPr="002029AF" w14:paraId="4C3F4324" w14:textId="77777777" w:rsidTr="00FD77AA">
        <w:trPr>
          <w:gridAfter w:val="1"/>
          <w:wAfter w:w="7" w:type="dxa"/>
          <w:cantSplit/>
        </w:trPr>
        <w:tc>
          <w:tcPr>
            <w:tcW w:w="4753" w:type="dxa"/>
            <w:shd w:val="clear" w:color="auto" w:fill="auto"/>
            <w:hideMark/>
          </w:tcPr>
          <w:p w14:paraId="66268692" w14:textId="07B3EBC0" w:rsidR="00C15C65" w:rsidRPr="002029AF" w:rsidRDefault="00C15C65" w:rsidP="00C40F5D">
            <w:pPr>
              <w:pStyle w:val="ARtabletext"/>
            </w:pPr>
            <w:r w:rsidRPr="002029AF">
              <w:t>Percentage</w:t>
            </w:r>
            <w:r w:rsidR="000A5329" w:rsidRPr="002029AF">
              <w:t xml:space="preserve"> </w:t>
            </w:r>
            <w:r w:rsidRPr="002029AF">
              <w:t>of</w:t>
            </w:r>
            <w:r w:rsidR="000A5329" w:rsidRPr="002029AF">
              <w:t xml:space="preserve"> </w:t>
            </w:r>
            <w:r w:rsidRPr="002029AF">
              <w:t>Dental</w:t>
            </w:r>
            <w:r w:rsidR="000A5329" w:rsidRPr="002029AF">
              <w:t xml:space="preserve"> </w:t>
            </w:r>
            <w:r w:rsidRPr="002029AF">
              <w:t>Emergency</w:t>
            </w:r>
            <w:r w:rsidR="000A5329" w:rsidRPr="002029AF">
              <w:t xml:space="preserve"> </w:t>
            </w:r>
            <w:r w:rsidRPr="002029AF">
              <w:t>Triage</w:t>
            </w:r>
            <w:r w:rsidR="000A5329" w:rsidRPr="002029AF">
              <w:t xml:space="preserve"> </w:t>
            </w:r>
            <w:r w:rsidRPr="002029AF">
              <w:t>Category</w:t>
            </w:r>
            <w:r w:rsidR="000A5329" w:rsidRPr="002029AF">
              <w:t xml:space="preserve"> </w:t>
            </w:r>
            <w:r w:rsidRPr="002029AF">
              <w:t>1</w:t>
            </w:r>
            <w:r w:rsidR="000A5329" w:rsidRPr="002029AF">
              <w:t xml:space="preserve"> </w:t>
            </w:r>
            <w:r w:rsidRPr="002029AF">
              <w:t>clients</w:t>
            </w:r>
            <w:r w:rsidR="000A5329" w:rsidRPr="002029AF">
              <w:t xml:space="preserve"> </w:t>
            </w:r>
            <w:r w:rsidRPr="002029AF">
              <w:t>treated</w:t>
            </w:r>
            <w:r w:rsidR="000A5329" w:rsidRPr="002029AF">
              <w:t xml:space="preserve"> </w:t>
            </w:r>
            <w:r w:rsidRPr="002029AF">
              <w:t>within</w:t>
            </w:r>
            <w:r w:rsidR="000A5329" w:rsidRPr="002029AF">
              <w:t xml:space="preserve"> </w:t>
            </w:r>
            <w:r w:rsidRPr="002029AF">
              <w:t>24</w:t>
            </w:r>
            <w:r w:rsidR="000A5329" w:rsidRPr="002029AF">
              <w:t xml:space="preserve"> </w:t>
            </w:r>
            <w:r w:rsidRPr="002029AF">
              <w:t>hours</w:t>
            </w:r>
          </w:p>
        </w:tc>
        <w:tc>
          <w:tcPr>
            <w:tcW w:w="1019" w:type="dxa"/>
            <w:shd w:val="clear" w:color="auto" w:fill="auto"/>
            <w:hideMark/>
          </w:tcPr>
          <w:p w14:paraId="6F05729E" w14:textId="548915A4" w:rsidR="00C15C65" w:rsidRPr="002029AF" w:rsidRDefault="00C15C65" w:rsidP="00C40F5D">
            <w:pPr>
              <w:pStyle w:val="ARtabletext"/>
            </w:pPr>
            <w:r w:rsidRPr="002029AF">
              <w:t>per</w:t>
            </w:r>
            <w:r w:rsidR="000A5329" w:rsidRPr="002029AF">
              <w:t xml:space="preserve"> </w:t>
            </w:r>
            <w:r w:rsidRPr="002029AF">
              <w:t>cent</w:t>
            </w:r>
          </w:p>
        </w:tc>
        <w:tc>
          <w:tcPr>
            <w:tcW w:w="1020" w:type="dxa"/>
            <w:shd w:val="clear" w:color="auto" w:fill="auto"/>
            <w:hideMark/>
          </w:tcPr>
          <w:p w14:paraId="3F0B0099" w14:textId="77777777" w:rsidR="00C15C65" w:rsidRPr="002029AF" w:rsidRDefault="00C15C65" w:rsidP="00FD77AA">
            <w:pPr>
              <w:pStyle w:val="ARtabletextright"/>
            </w:pPr>
            <w:r w:rsidRPr="002029AF">
              <w:t>85</w:t>
            </w:r>
          </w:p>
        </w:tc>
        <w:tc>
          <w:tcPr>
            <w:tcW w:w="1020" w:type="dxa"/>
            <w:shd w:val="clear" w:color="auto" w:fill="auto"/>
            <w:hideMark/>
          </w:tcPr>
          <w:p w14:paraId="2422C852" w14:textId="77777777" w:rsidR="00C15C65" w:rsidRPr="002029AF" w:rsidRDefault="00C15C65" w:rsidP="00FD77AA">
            <w:pPr>
              <w:pStyle w:val="ARtabletextright"/>
            </w:pPr>
            <w:r w:rsidRPr="002029AF">
              <w:t>94</w:t>
            </w:r>
          </w:p>
        </w:tc>
        <w:tc>
          <w:tcPr>
            <w:tcW w:w="1023" w:type="dxa"/>
            <w:shd w:val="clear" w:color="auto" w:fill="auto"/>
          </w:tcPr>
          <w:p w14:paraId="656BCA5A" w14:textId="77777777" w:rsidR="00C15C65" w:rsidRPr="002029AF" w:rsidRDefault="00C15C65" w:rsidP="00FD77AA">
            <w:pPr>
              <w:pStyle w:val="ARtabletextright"/>
            </w:pPr>
            <w:r w:rsidRPr="002029AF">
              <w:t>10.6</w:t>
            </w:r>
          </w:p>
        </w:tc>
        <w:tc>
          <w:tcPr>
            <w:tcW w:w="797" w:type="dxa"/>
            <w:shd w:val="clear" w:color="auto" w:fill="auto"/>
            <w:hideMark/>
          </w:tcPr>
          <w:p w14:paraId="733ED35B"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383506DE" w14:textId="77777777" w:rsidTr="00FD77AA">
        <w:trPr>
          <w:gridAfter w:val="1"/>
          <w:wAfter w:w="7" w:type="dxa"/>
          <w:cantSplit/>
        </w:trPr>
        <w:tc>
          <w:tcPr>
            <w:tcW w:w="9632" w:type="dxa"/>
            <w:gridSpan w:val="6"/>
            <w:tcBorders>
              <w:bottom w:val="single" w:sz="4" w:space="0" w:color="BFBFBF"/>
            </w:tcBorders>
            <w:shd w:val="clear" w:color="auto" w:fill="auto"/>
            <w:noWrap/>
            <w:hideMark/>
          </w:tcPr>
          <w:p w14:paraId="31FFAA4C" w14:textId="4344AF2E" w:rsidR="00C15C65" w:rsidRPr="002029AF" w:rsidRDefault="00C15C65" w:rsidP="00D96AFD">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a</w:t>
            </w:r>
            <w:r w:rsidR="000A5329" w:rsidRPr="002029AF">
              <w:t xml:space="preserve"> </w:t>
            </w:r>
            <w:r w:rsidRPr="002029AF">
              <w:t>higher</w:t>
            </w:r>
            <w:r w:rsidR="000A5329" w:rsidRPr="002029AF">
              <w:t xml:space="preserve"> </w:t>
            </w:r>
            <w:r w:rsidRPr="002029AF">
              <w:t>percentage</w:t>
            </w:r>
            <w:r w:rsidR="000A5329" w:rsidRPr="002029AF">
              <w:t xml:space="preserve"> </w:t>
            </w:r>
            <w:r w:rsidRPr="002029AF">
              <w:t>of</w:t>
            </w:r>
            <w:r w:rsidR="000A5329" w:rsidRPr="002029AF">
              <w:t xml:space="preserve"> </w:t>
            </w:r>
            <w:r w:rsidRPr="002029AF">
              <w:t>people</w:t>
            </w:r>
            <w:r w:rsidR="000A5329" w:rsidRPr="002029AF">
              <w:t xml:space="preserve"> </w:t>
            </w:r>
            <w:r w:rsidRPr="002029AF">
              <w:t>requiring</w:t>
            </w:r>
            <w:r w:rsidR="000A5329" w:rsidRPr="002029AF">
              <w:t xml:space="preserve"> </w:t>
            </w:r>
            <w:r w:rsidRPr="002029AF">
              <w:t>emergency</w:t>
            </w:r>
            <w:r w:rsidR="000A5329" w:rsidRPr="002029AF">
              <w:t xml:space="preserve"> </w:t>
            </w:r>
            <w:r w:rsidRPr="002029AF">
              <w:t>care</w:t>
            </w:r>
            <w:r w:rsidR="000A5329" w:rsidRPr="002029AF">
              <w:t xml:space="preserve"> </w:t>
            </w:r>
            <w:r w:rsidRPr="002029AF">
              <w:t>being</w:t>
            </w:r>
            <w:r w:rsidR="000A5329" w:rsidRPr="002029AF">
              <w:t xml:space="preserve"> </w:t>
            </w:r>
            <w:r w:rsidRPr="002029AF">
              <w:t>treated</w:t>
            </w:r>
            <w:r w:rsidR="000A5329" w:rsidRPr="002029AF">
              <w:t xml:space="preserve"> </w:t>
            </w:r>
            <w:r w:rsidRPr="002029AF">
              <w:t>within</w:t>
            </w:r>
            <w:r w:rsidR="000A5329" w:rsidRPr="002029AF">
              <w:t xml:space="preserve"> </w:t>
            </w:r>
            <w:r w:rsidRPr="002029AF">
              <w:t>the</w:t>
            </w:r>
            <w:r w:rsidR="000A5329" w:rsidRPr="002029AF">
              <w:t xml:space="preserve"> </w:t>
            </w:r>
            <w:r w:rsidRPr="002029AF">
              <w:t>appropriate</w:t>
            </w:r>
            <w:r w:rsidR="000A5329" w:rsidRPr="002029AF">
              <w:t xml:space="preserve"> </w:t>
            </w:r>
            <w:r w:rsidRPr="002029AF">
              <w:t>time</w:t>
            </w:r>
            <w:r w:rsidR="000A5329" w:rsidRPr="002029AF">
              <w:t xml:space="preserve"> </w:t>
            </w:r>
            <w:r w:rsidRPr="002029AF">
              <w:t>period.</w:t>
            </w:r>
            <w:r w:rsidR="000A5329" w:rsidRPr="002029AF">
              <w:t xml:space="preserve"> </w:t>
            </w:r>
            <w:r w:rsidRPr="002029AF">
              <w:t>This</w:t>
            </w:r>
            <w:r w:rsidR="000A5329" w:rsidRPr="002029AF">
              <w:t xml:space="preserve"> </w:t>
            </w:r>
            <w:r w:rsidRPr="002029AF">
              <w:t>is</w:t>
            </w:r>
            <w:r w:rsidR="000A5329" w:rsidRPr="002029AF">
              <w:t xml:space="preserve"> </w:t>
            </w:r>
            <w:r w:rsidRPr="002029AF">
              <w:t>a</w:t>
            </w:r>
            <w:r w:rsidR="000A5329" w:rsidRPr="002029AF">
              <w:t xml:space="preserve"> </w:t>
            </w:r>
            <w:r w:rsidRPr="002029AF">
              <w:t>positive</w:t>
            </w:r>
            <w:r w:rsidR="000A5329" w:rsidRPr="002029AF">
              <w:t xml:space="preserve"> </w:t>
            </w:r>
            <w:r w:rsidRPr="002029AF">
              <w:t>result.</w:t>
            </w:r>
          </w:p>
        </w:tc>
      </w:tr>
      <w:tr w:rsidR="00C15C65" w:rsidRPr="002029AF" w14:paraId="7CAD7E39" w14:textId="77777777" w:rsidTr="00FD77AA">
        <w:trPr>
          <w:gridAfter w:val="1"/>
          <w:wAfter w:w="7" w:type="dxa"/>
          <w:cantSplit/>
        </w:trPr>
        <w:tc>
          <w:tcPr>
            <w:tcW w:w="4753" w:type="dxa"/>
            <w:shd w:val="clear" w:color="auto" w:fill="auto"/>
            <w:hideMark/>
          </w:tcPr>
          <w:p w14:paraId="655543A5" w14:textId="3E3BD532" w:rsidR="00C15C65" w:rsidRPr="002029AF" w:rsidRDefault="00C15C65" w:rsidP="00C40F5D">
            <w:pPr>
              <w:pStyle w:val="ARtabletext"/>
            </w:pPr>
            <w:r w:rsidRPr="002029AF">
              <w:t>Waiting</w:t>
            </w:r>
            <w:r w:rsidR="000A5329" w:rsidRPr="002029AF">
              <w:t xml:space="preserve"> </w:t>
            </w:r>
            <w:r w:rsidRPr="002029AF">
              <w:t>time</w:t>
            </w:r>
            <w:r w:rsidR="000A5329" w:rsidRPr="002029AF">
              <w:t xml:space="preserve"> </w:t>
            </w:r>
            <w:r w:rsidRPr="002029AF">
              <w:t>for</w:t>
            </w:r>
            <w:r w:rsidR="000A5329" w:rsidRPr="002029AF">
              <w:t xml:space="preserve"> </w:t>
            </w:r>
            <w:r w:rsidRPr="002029AF">
              <w:t>general</w:t>
            </w:r>
            <w:r w:rsidR="000A5329" w:rsidRPr="002029AF">
              <w:t xml:space="preserve"> </w:t>
            </w:r>
            <w:r w:rsidRPr="002029AF">
              <w:t>dental</w:t>
            </w:r>
            <w:r w:rsidR="000A5329" w:rsidRPr="002029AF">
              <w:t xml:space="preserve"> </w:t>
            </w:r>
            <w:r w:rsidRPr="002029AF">
              <w:t>care</w:t>
            </w:r>
          </w:p>
        </w:tc>
        <w:tc>
          <w:tcPr>
            <w:tcW w:w="1019" w:type="dxa"/>
            <w:shd w:val="clear" w:color="auto" w:fill="auto"/>
            <w:hideMark/>
          </w:tcPr>
          <w:p w14:paraId="1310F858" w14:textId="77777777" w:rsidR="00C15C65" w:rsidRPr="002029AF" w:rsidRDefault="00C15C65" w:rsidP="00C40F5D">
            <w:pPr>
              <w:pStyle w:val="ARtabletext"/>
            </w:pPr>
            <w:r w:rsidRPr="002029AF">
              <w:t>months</w:t>
            </w:r>
          </w:p>
        </w:tc>
        <w:tc>
          <w:tcPr>
            <w:tcW w:w="1020" w:type="dxa"/>
            <w:shd w:val="clear" w:color="auto" w:fill="auto"/>
            <w:hideMark/>
          </w:tcPr>
          <w:p w14:paraId="0D1414EC" w14:textId="77777777" w:rsidR="00C15C65" w:rsidRPr="002029AF" w:rsidRDefault="00C15C65" w:rsidP="00FD77AA">
            <w:pPr>
              <w:pStyle w:val="ARtabletextright"/>
            </w:pPr>
            <w:r w:rsidRPr="002029AF">
              <w:t>23</w:t>
            </w:r>
          </w:p>
        </w:tc>
        <w:tc>
          <w:tcPr>
            <w:tcW w:w="1020" w:type="dxa"/>
            <w:shd w:val="clear" w:color="auto" w:fill="auto"/>
            <w:hideMark/>
          </w:tcPr>
          <w:p w14:paraId="56736A1D" w14:textId="77777777" w:rsidR="00C15C65" w:rsidRPr="002029AF" w:rsidRDefault="00C15C65" w:rsidP="00FD77AA">
            <w:pPr>
              <w:pStyle w:val="ARtabletextright"/>
            </w:pPr>
            <w:r w:rsidRPr="002029AF">
              <w:t>19.4</w:t>
            </w:r>
          </w:p>
        </w:tc>
        <w:tc>
          <w:tcPr>
            <w:tcW w:w="1023" w:type="dxa"/>
            <w:shd w:val="clear" w:color="auto" w:fill="auto"/>
          </w:tcPr>
          <w:p w14:paraId="24BAC636" w14:textId="77777777" w:rsidR="00C15C65" w:rsidRPr="002029AF" w:rsidRDefault="00C15C65" w:rsidP="00FD77AA">
            <w:pPr>
              <w:pStyle w:val="ARtabletextright"/>
            </w:pPr>
            <w:r w:rsidRPr="002029AF">
              <w:t>-15.7</w:t>
            </w:r>
          </w:p>
        </w:tc>
        <w:tc>
          <w:tcPr>
            <w:tcW w:w="797" w:type="dxa"/>
            <w:shd w:val="clear" w:color="auto" w:fill="auto"/>
            <w:hideMark/>
          </w:tcPr>
          <w:p w14:paraId="2C52B9C5"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20DC6B0C" w14:textId="77777777" w:rsidTr="00FD77AA">
        <w:trPr>
          <w:gridAfter w:val="1"/>
          <w:wAfter w:w="7" w:type="dxa"/>
          <w:cantSplit/>
        </w:trPr>
        <w:tc>
          <w:tcPr>
            <w:tcW w:w="9632" w:type="dxa"/>
            <w:gridSpan w:val="6"/>
            <w:tcBorders>
              <w:bottom w:val="single" w:sz="4" w:space="0" w:color="BFBFBF"/>
            </w:tcBorders>
            <w:shd w:val="clear" w:color="auto" w:fill="auto"/>
            <w:noWrap/>
            <w:hideMark/>
          </w:tcPr>
          <w:p w14:paraId="26D051BC" w14:textId="136D60CF" w:rsidR="00C15C65" w:rsidRPr="002029AF" w:rsidRDefault="00C15C65" w:rsidP="00D96AFD">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lower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additional</w:t>
            </w:r>
            <w:r w:rsidR="000A5329" w:rsidRPr="002029AF">
              <w:t xml:space="preserve"> </w:t>
            </w:r>
            <w:r w:rsidRPr="002029AF">
              <w:t>activity</w:t>
            </w:r>
            <w:r w:rsidR="000A5329" w:rsidRPr="002029AF">
              <w:t xml:space="preserve"> </w:t>
            </w:r>
            <w:r w:rsidRPr="002029AF">
              <w:t>being</w:t>
            </w:r>
            <w:r w:rsidR="000A5329" w:rsidRPr="002029AF">
              <w:t xml:space="preserve"> </w:t>
            </w:r>
            <w:r w:rsidRPr="002029AF">
              <w:t>delivered.</w:t>
            </w:r>
            <w:r w:rsidR="000A5329" w:rsidRPr="002029AF">
              <w:t xml:space="preserve"> </w:t>
            </w:r>
            <w:r w:rsidRPr="002029AF">
              <w:t>This</w:t>
            </w:r>
            <w:r w:rsidR="000A5329" w:rsidRPr="002029AF">
              <w:t xml:space="preserve"> </w:t>
            </w:r>
            <w:r w:rsidRPr="002029AF">
              <w:t>is</w:t>
            </w:r>
            <w:r w:rsidR="000A5329" w:rsidRPr="002029AF">
              <w:t xml:space="preserve"> </w:t>
            </w:r>
            <w:r w:rsidRPr="002029AF">
              <w:t>a</w:t>
            </w:r>
            <w:r w:rsidR="000A5329" w:rsidRPr="002029AF">
              <w:t xml:space="preserve"> </w:t>
            </w:r>
            <w:r w:rsidRPr="002029AF">
              <w:t>positive</w:t>
            </w:r>
            <w:r w:rsidR="000A5329" w:rsidRPr="002029AF">
              <w:t xml:space="preserve"> </w:t>
            </w:r>
            <w:r w:rsidRPr="002029AF">
              <w:t>result.</w:t>
            </w:r>
          </w:p>
        </w:tc>
      </w:tr>
      <w:tr w:rsidR="00C15C65" w:rsidRPr="002029AF" w14:paraId="74541E29" w14:textId="77777777" w:rsidTr="005B58F0">
        <w:trPr>
          <w:cantSplit/>
        </w:trPr>
        <w:tc>
          <w:tcPr>
            <w:tcW w:w="9639" w:type="dxa"/>
            <w:gridSpan w:val="7"/>
            <w:tcBorders>
              <w:top w:val="single" w:sz="4" w:space="0" w:color="auto"/>
              <w:left w:val="nil"/>
              <w:bottom w:val="nil"/>
              <w:right w:val="nil"/>
            </w:tcBorders>
            <w:hideMark/>
          </w:tcPr>
          <w:p w14:paraId="4303655B" w14:textId="77777777" w:rsidR="00C15C65" w:rsidRPr="002029AF" w:rsidRDefault="00C15C65" w:rsidP="007666A5">
            <w:pPr>
              <w:pStyle w:val="ARtablegreybold"/>
            </w:pPr>
            <w:r w:rsidRPr="002029AF">
              <w:t>Cost</w:t>
            </w:r>
          </w:p>
        </w:tc>
      </w:tr>
      <w:tr w:rsidR="00C15C65" w:rsidRPr="002029AF" w14:paraId="1526116D" w14:textId="77777777" w:rsidTr="00FD77AA">
        <w:trPr>
          <w:cantSplit/>
        </w:trPr>
        <w:tc>
          <w:tcPr>
            <w:tcW w:w="4753" w:type="dxa"/>
            <w:hideMark/>
          </w:tcPr>
          <w:p w14:paraId="5A15FD62" w14:textId="6C61D2CB" w:rsidR="00C15C65" w:rsidRPr="002029AF" w:rsidRDefault="00C15C65" w:rsidP="00C40F5D">
            <w:pPr>
              <w:pStyle w:val="ARtabletext"/>
              <w:rPr>
                <w:b/>
              </w:rPr>
            </w:pPr>
            <w:r w:rsidRPr="002029AF">
              <w:rPr>
                <w:b/>
              </w:rPr>
              <w:t>Total</w:t>
            </w:r>
            <w:r w:rsidR="000A5329" w:rsidRPr="002029AF">
              <w:rPr>
                <w:b/>
              </w:rPr>
              <w:t xml:space="preserve"> </w:t>
            </w:r>
            <w:r w:rsidRPr="002029AF">
              <w:rPr>
                <w:b/>
              </w:rPr>
              <w:t>output</w:t>
            </w:r>
            <w:r w:rsidR="000A5329" w:rsidRPr="002029AF">
              <w:rPr>
                <w:b/>
              </w:rPr>
              <w:t xml:space="preserve"> </w:t>
            </w:r>
            <w:r w:rsidRPr="002029AF">
              <w:rPr>
                <w:b/>
              </w:rPr>
              <w:t>cost</w:t>
            </w:r>
          </w:p>
        </w:tc>
        <w:tc>
          <w:tcPr>
            <w:tcW w:w="1019" w:type="dxa"/>
            <w:hideMark/>
          </w:tcPr>
          <w:p w14:paraId="18A6876C" w14:textId="6733052B" w:rsidR="00C15C65" w:rsidRPr="002029AF" w:rsidRDefault="00C15C65" w:rsidP="00C40F5D">
            <w:pPr>
              <w:pStyle w:val="ARtabletext"/>
              <w:rPr>
                <w:b/>
              </w:rPr>
            </w:pPr>
            <w:r w:rsidRPr="002029AF">
              <w:rPr>
                <w:b/>
              </w:rPr>
              <w:t>$</w:t>
            </w:r>
            <w:r w:rsidR="000A5329" w:rsidRPr="002029AF">
              <w:rPr>
                <w:b/>
              </w:rPr>
              <w:t xml:space="preserve"> </w:t>
            </w:r>
            <w:r w:rsidRPr="002029AF">
              <w:rPr>
                <w:b/>
              </w:rPr>
              <w:t>million</w:t>
            </w:r>
          </w:p>
        </w:tc>
        <w:tc>
          <w:tcPr>
            <w:tcW w:w="1020" w:type="dxa"/>
          </w:tcPr>
          <w:p w14:paraId="47A60683" w14:textId="77777777" w:rsidR="00C15C65" w:rsidRPr="002029AF" w:rsidRDefault="00C15C65" w:rsidP="00C9755D">
            <w:pPr>
              <w:pStyle w:val="ARtabletextrightbold"/>
            </w:pPr>
            <w:r w:rsidRPr="002029AF">
              <w:t>235.9</w:t>
            </w:r>
          </w:p>
        </w:tc>
        <w:tc>
          <w:tcPr>
            <w:tcW w:w="1020" w:type="dxa"/>
          </w:tcPr>
          <w:p w14:paraId="4754A5FB" w14:textId="77777777" w:rsidR="00C15C65" w:rsidRPr="002029AF" w:rsidRDefault="00C15C65" w:rsidP="00C9755D">
            <w:pPr>
              <w:pStyle w:val="ARtabletextrightbold"/>
            </w:pPr>
            <w:r w:rsidRPr="002029AF">
              <w:t>249.8</w:t>
            </w:r>
          </w:p>
        </w:tc>
        <w:tc>
          <w:tcPr>
            <w:tcW w:w="1023" w:type="dxa"/>
          </w:tcPr>
          <w:p w14:paraId="15707896" w14:textId="77777777" w:rsidR="00C15C65" w:rsidRPr="002029AF" w:rsidRDefault="00C15C65" w:rsidP="00C9755D">
            <w:pPr>
              <w:pStyle w:val="ARtabletextrightbold"/>
            </w:pPr>
            <w:r w:rsidRPr="002029AF">
              <w:t>5.9</w:t>
            </w:r>
          </w:p>
        </w:tc>
        <w:tc>
          <w:tcPr>
            <w:tcW w:w="804" w:type="dxa"/>
            <w:gridSpan w:val="2"/>
          </w:tcPr>
          <w:p w14:paraId="16CEC346" w14:textId="77777777" w:rsidR="00C15C65" w:rsidRPr="002029AF" w:rsidRDefault="00C15C65" w:rsidP="00C40F5D">
            <w:pPr>
              <w:pStyle w:val="ARtabletext"/>
              <w:rPr>
                <w:b/>
              </w:rPr>
            </w:pPr>
          </w:p>
        </w:tc>
      </w:tr>
      <w:tr w:rsidR="00C15C65" w:rsidRPr="002029AF" w14:paraId="278D9225" w14:textId="77777777" w:rsidTr="005B58F0">
        <w:trPr>
          <w:cantSplit/>
        </w:trPr>
        <w:tc>
          <w:tcPr>
            <w:tcW w:w="9639" w:type="dxa"/>
            <w:gridSpan w:val="7"/>
            <w:tcBorders>
              <w:top w:val="nil"/>
              <w:left w:val="nil"/>
              <w:bottom w:val="single" w:sz="4" w:space="0" w:color="BFBFBF"/>
              <w:right w:val="nil"/>
            </w:tcBorders>
            <w:noWrap/>
            <w:hideMark/>
          </w:tcPr>
          <w:p w14:paraId="70773087" w14:textId="2F85CB0F" w:rsidR="00C15C65" w:rsidRPr="002029AF" w:rsidRDefault="00C15C65" w:rsidP="00D96AFD">
            <w:pPr>
              <w:pStyle w:val="ARtablenoteindent"/>
            </w:pPr>
            <w:r w:rsidRPr="002029AF">
              <w:t>The</w:t>
            </w:r>
            <w:r w:rsidR="000A5329" w:rsidRPr="002029AF">
              <w:t xml:space="preserve"> </w:t>
            </w:r>
            <w:r w:rsidRPr="002029AF">
              <w:t>201</w:t>
            </w:r>
            <w:r w:rsidR="00DB53E6" w:rsidRPr="002029AF">
              <w:t>9–</w:t>
            </w:r>
            <w:r w:rsidRPr="002029AF">
              <w:t>20</w:t>
            </w:r>
            <w:r w:rsidR="000A5329" w:rsidRPr="002029AF">
              <w:t xml:space="preserve"> </w:t>
            </w:r>
            <w:r w:rsidRPr="002029AF">
              <w:t>actual</w:t>
            </w:r>
            <w:r w:rsidR="000A5329" w:rsidRPr="002029AF">
              <w:t xml:space="preserve"> </w:t>
            </w:r>
            <w:r w:rsidRPr="002029AF">
              <w:t>outcome</w:t>
            </w:r>
            <w:r w:rsidR="000A5329" w:rsidRPr="002029AF">
              <w:t xml:space="preserve"> </w:t>
            </w:r>
            <w:r w:rsidRPr="002029AF">
              <w:t>primarily</w:t>
            </w:r>
            <w:r w:rsidR="000A5329" w:rsidRPr="002029AF">
              <w:t xml:space="preserve"> </w:t>
            </w:r>
            <w:r w:rsidRPr="002029AF">
              <w:t>reflects</w:t>
            </w:r>
            <w:r w:rsidR="000A5329" w:rsidRPr="002029AF">
              <w:t xml:space="preserve"> </w:t>
            </w:r>
            <w:r w:rsidRPr="002029AF">
              <w:t>the</w:t>
            </w:r>
            <w:r w:rsidR="000A5329" w:rsidRPr="002029AF">
              <w:t xml:space="preserve"> </w:t>
            </w:r>
            <w:r w:rsidRPr="002029AF">
              <w:t>timing</w:t>
            </w:r>
            <w:r w:rsidR="000A5329" w:rsidRPr="002029AF">
              <w:t xml:space="preserve"> </w:t>
            </w:r>
            <w:r w:rsidRPr="002029AF">
              <w:t>of</w:t>
            </w:r>
            <w:r w:rsidR="000A5329" w:rsidRPr="002029AF">
              <w:t xml:space="preserve"> </w:t>
            </w:r>
            <w:r w:rsidRPr="002029AF">
              <w:t>expenditure</w:t>
            </w:r>
            <w:r w:rsidR="000A5329" w:rsidRPr="002029AF">
              <w:t xml:space="preserve"> </w:t>
            </w:r>
            <w:r w:rsidRPr="002029AF">
              <w:t>for</w:t>
            </w:r>
            <w:r w:rsidR="000A5329" w:rsidRPr="002029AF">
              <w:t xml:space="preserve"> </w:t>
            </w:r>
            <w:r w:rsidRPr="002029AF">
              <w:t>the</w:t>
            </w:r>
            <w:r w:rsidR="000A5329" w:rsidRPr="002029AF">
              <w:t xml:space="preserve"> </w:t>
            </w:r>
            <w:r w:rsidRPr="002029AF">
              <w:t>Adult</w:t>
            </w:r>
            <w:r w:rsidR="000A5329" w:rsidRPr="002029AF">
              <w:t xml:space="preserve"> </w:t>
            </w:r>
            <w:r w:rsidRPr="002029AF">
              <w:t>Public</w:t>
            </w:r>
            <w:r w:rsidR="000A5329" w:rsidRPr="002029AF">
              <w:t xml:space="preserve"> </w:t>
            </w:r>
            <w:r w:rsidRPr="002029AF">
              <w:t>Dental</w:t>
            </w:r>
            <w:r w:rsidR="000A5329" w:rsidRPr="002029AF">
              <w:t xml:space="preserve"> </w:t>
            </w:r>
            <w:r w:rsidRPr="002029AF">
              <w:t>Services</w:t>
            </w:r>
            <w:r w:rsidR="000A5329" w:rsidRPr="002029AF">
              <w:t xml:space="preserve"> </w:t>
            </w:r>
            <w:r w:rsidRPr="002029AF">
              <w:t>National</w:t>
            </w:r>
            <w:r w:rsidR="000A5329" w:rsidRPr="002029AF">
              <w:t xml:space="preserve"> </w:t>
            </w:r>
            <w:r w:rsidRPr="002029AF">
              <w:t>Partnership</w:t>
            </w:r>
            <w:r w:rsidR="000A5329" w:rsidRPr="002029AF">
              <w:t xml:space="preserve"> </w:t>
            </w:r>
            <w:r w:rsidRPr="002029AF">
              <w:t>Agreement</w:t>
            </w:r>
            <w:r w:rsidR="000A5329" w:rsidRPr="002029AF">
              <w:t xml:space="preserve"> </w:t>
            </w:r>
            <w:r w:rsidRPr="002029AF">
              <w:t>which</w:t>
            </w:r>
            <w:r w:rsidR="000A5329" w:rsidRPr="002029AF">
              <w:t xml:space="preserve"> </w:t>
            </w:r>
            <w:r w:rsidRPr="002029AF">
              <w:t>was</w:t>
            </w:r>
            <w:r w:rsidR="000A5329" w:rsidRPr="002029AF">
              <w:t xml:space="preserve"> </w:t>
            </w:r>
            <w:r w:rsidRPr="002029AF">
              <w:t>not</w:t>
            </w:r>
            <w:r w:rsidR="000A5329" w:rsidRPr="002029AF">
              <w:t xml:space="preserve"> </w:t>
            </w:r>
            <w:r w:rsidRPr="002029AF">
              <w:t>included</w:t>
            </w:r>
            <w:r w:rsidR="000A5329" w:rsidRPr="002029AF">
              <w:t xml:space="preserve"> </w:t>
            </w:r>
            <w:r w:rsidRPr="002029AF">
              <w:t>in</w:t>
            </w:r>
            <w:r w:rsidR="000A5329" w:rsidRPr="002029AF">
              <w:t xml:space="preserve"> </w:t>
            </w:r>
            <w:r w:rsidRPr="002029AF">
              <w:t>the</w:t>
            </w:r>
            <w:r w:rsidR="000A5329" w:rsidRPr="002029AF">
              <w:t xml:space="preserve"> </w:t>
            </w:r>
            <w:r w:rsidRPr="002029AF">
              <w:t>201</w:t>
            </w:r>
            <w:r w:rsidR="00DB53E6" w:rsidRPr="002029AF">
              <w:t>9–</w:t>
            </w:r>
            <w:r w:rsidRPr="002029AF">
              <w:t>20</w:t>
            </w:r>
            <w:r w:rsidR="000A5329" w:rsidRPr="002029AF">
              <w:t xml:space="preserve"> </w:t>
            </w:r>
            <w:r w:rsidRPr="002029AF">
              <w:t>published</w:t>
            </w:r>
            <w:r w:rsidR="000A5329" w:rsidRPr="002029AF">
              <w:t xml:space="preserve"> </w:t>
            </w:r>
            <w:r w:rsidRPr="002029AF">
              <w:t>Budget,</w:t>
            </w:r>
            <w:r w:rsidR="000A5329" w:rsidRPr="002029AF">
              <w:t xml:space="preserve"> </w:t>
            </w:r>
            <w:r w:rsidRPr="002029AF">
              <w:t>and</w:t>
            </w:r>
            <w:r w:rsidR="000A5329" w:rsidRPr="002029AF">
              <w:t xml:space="preserve"> </w:t>
            </w:r>
            <w:r w:rsidRPr="002029AF">
              <w:t>lower</w:t>
            </w:r>
            <w:r w:rsidR="000A5329" w:rsidRPr="002029AF">
              <w:t xml:space="preserve"> </w:t>
            </w:r>
            <w:r w:rsidRPr="002029AF">
              <w:t>than</w:t>
            </w:r>
            <w:r w:rsidR="000A5329" w:rsidRPr="002029AF">
              <w:t xml:space="preserve"> </w:t>
            </w:r>
            <w:r w:rsidRPr="002029AF">
              <w:t>estimated</w:t>
            </w:r>
            <w:r w:rsidR="000A5329" w:rsidRPr="002029AF">
              <w:t xml:space="preserve"> </w:t>
            </w:r>
            <w:r w:rsidRPr="002029AF">
              <w:t>Hospital</w:t>
            </w:r>
            <w:r w:rsidR="000A5329" w:rsidRPr="002029AF">
              <w:t xml:space="preserve"> </w:t>
            </w:r>
            <w:r w:rsidRPr="002029AF">
              <w:t>Own</w:t>
            </w:r>
            <w:r w:rsidR="000A5329" w:rsidRPr="002029AF">
              <w:t xml:space="preserve"> </w:t>
            </w:r>
            <w:r w:rsidRPr="002029AF">
              <w:t>Source</w:t>
            </w:r>
            <w:r w:rsidR="000A5329" w:rsidRPr="002029AF">
              <w:t xml:space="preserve"> </w:t>
            </w:r>
            <w:r w:rsidRPr="002029AF">
              <w:t>revenue</w:t>
            </w:r>
            <w:r w:rsidR="000A5329" w:rsidRPr="002029AF">
              <w:t xml:space="preserve"> </w:t>
            </w:r>
            <w:r w:rsidRPr="002029AF">
              <w:t>which</w:t>
            </w:r>
            <w:r w:rsidR="000A5329" w:rsidRPr="002029AF">
              <w:t xml:space="preserve"> </w:t>
            </w:r>
            <w:r w:rsidRPr="002029AF">
              <w:t>was</w:t>
            </w:r>
            <w:r w:rsidR="000A5329" w:rsidRPr="002029AF">
              <w:t xml:space="preserve"> </w:t>
            </w:r>
            <w:r w:rsidRPr="002029AF">
              <w:t>impacted</w:t>
            </w:r>
            <w:r w:rsidR="000A5329" w:rsidRPr="002029AF">
              <w:t xml:space="preserve"> </w:t>
            </w:r>
            <w:r w:rsidRPr="002029AF">
              <w:t>by</w:t>
            </w:r>
            <w:r w:rsidR="000A5329" w:rsidRPr="002029AF">
              <w:t xml:space="preserve"> </w:t>
            </w:r>
            <w:r w:rsidRPr="002029AF">
              <w:t>lower</w:t>
            </w:r>
            <w:r w:rsidR="000A5329" w:rsidRPr="002029AF">
              <w:t xml:space="preserve"> </w:t>
            </w:r>
            <w:r w:rsidRPr="002029AF">
              <w:t>demand</w:t>
            </w:r>
            <w:r w:rsidR="000A5329" w:rsidRPr="002029AF">
              <w:t xml:space="preserve"> </w:t>
            </w:r>
            <w:r w:rsidRPr="002029AF">
              <w:t>as</w:t>
            </w:r>
            <w:r w:rsidR="000A5329" w:rsidRPr="002029AF">
              <w:t xml:space="preserve"> </w:t>
            </w:r>
            <w:r w:rsidRPr="002029AF">
              <w:t>a</w:t>
            </w:r>
            <w:r w:rsidR="000A5329" w:rsidRPr="002029AF">
              <w:t xml:space="preserve"> </w:t>
            </w:r>
            <w:r w:rsidRPr="002029AF">
              <w:t>result</w:t>
            </w:r>
            <w:r w:rsidR="000A5329" w:rsidRPr="002029AF">
              <w:t xml:space="preserve"> </w:t>
            </w:r>
            <w:r w:rsidRPr="002029AF">
              <w:t>of</w:t>
            </w:r>
            <w:r w:rsidR="000A5329" w:rsidRPr="002029AF">
              <w:t xml:space="preserve"> </w:t>
            </w:r>
            <w:r w:rsidRPr="002029AF">
              <w:t>the</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pandemic.</w:t>
            </w:r>
          </w:p>
        </w:tc>
      </w:tr>
      <w:tr w:rsidR="00C15C65" w:rsidRPr="002029AF" w14:paraId="2C59F2F8" w14:textId="77777777" w:rsidTr="005B58F0">
        <w:trPr>
          <w:cantSplit/>
        </w:trPr>
        <w:tc>
          <w:tcPr>
            <w:tcW w:w="9639" w:type="dxa"/>
            <w:gridSpan w:val="7"/>
            <w:tcBorders>
              <w:top w:val="single" w:sz="4" w:space="0" w:color="auto"/>
              <w:left w:val="nil"/>
              <w:bottom w:val="single" w:sz="4" w:space="0" w:color="auto"/>
              <w:right w:val="nil"/>
            </w:tcBorders>
            <w:hideMark/>
          </w:tcPr>
          <w:p w14:paraId="7D2C6CE1" w14:textId="3413D04A" w:rsidR="00C15C65" w:rsidRPr="002029AF" w:rsidRDefault="00C15C65" w:rsidP="00860E95">
            <w:pPr>
              <w:pStyle w:val="ARtablesubhead"/>
              <w:keepNext/>
            </w:pPr>
            <w:r w:rsidRPr="002029AF">
              <w:t>Maternal</w:t>
            </w:r>
            <w:r w:rsidR="000A5329" w:rsidRPr="002029AF">
              <w:t xml:space="preserve"> </w:t>
            </w:r>
            <w:r w:rsidRPr="002029AF">
              <w:t>and</w:t>
            </w:r>
            <w:r w:rsidR="000A5329" w:rsidRPr="002029AF">
              <w:t xml:space="preserve"> </w:t>
            </w:r>
            <w:r w:rsidRPr="002029AF">
              <w:t>Child</w:t>
            </w:r>
            <w:r w:rsidR="000A5329" w:rsidRPr="002029AF">
              <w:t xml:space="preserve"> </w:t>
            </w:r>
            <w:r w:rsidRPr="002029AF">
              <w:t>Health</w:t>
            </w:r>
            <w:r w:rsidR="000A5329" w:rsidRPr="002029AF">
              <w:t xml:space="preserve"> </w:t>
            </w:r>
            <w:r w:rsidRPr="002029AF">
              <w:t>and</w:t>
            </w:r>
            <w:r w:rsidR="000A5329" w:rsidRPr="002029AF">
              <w:t xml:space="preserve"> </w:t>
            </w:r>
            <w:r w:rsidRPr="002029AF">
              <w:t>Early</w:t>
            </w:r>
            <w:r w:rsidR="000A5329" w:rsidRPr="002029AF">
              <w:t xml:space="preserve"> </w:t>
            </w:r>
            <w:r w:rsidRPr="002029AF">
              <w:t>Parenting</w:t>
            </w:r>
            <w:r w:rsidR="000A5329" w:rsidRPr="002029AF">
              <w:t xml:space="preserve"> </w:t>
            </w:r>
            <w:r w:rsidRPr="002029AF">
              <w:t>Services</w:t>
            </w:r>
          </w:p>
        </w:tc>
      </w:tr>
      <w:tr w:rsidR="00C15C65" w:rsidRPr="002029AF" w14:paraId="2DCF6143" w14:textId="77777777" w:rsidTr="005B58F0">
        <w:trPr>
          <w:cantSplit/>
        </w:trPr>
        <w:tc>
          <w:tcPr>
            <w:tcW w:w="9639" w:type="dxa"/>
            <w:gridSpan w:val="7"/>
            <w:tcBorders>
              <w:top w:val="single" w:sz="4" w:space="0" w:color="auto"/>
              <w:left w:val="nil"/>
              <w:bottom w:val="nil"/>
              <w:right w:val="nil"/>
            </w:tcBorders>
            <w:hideMark/>
          </w:tcPr>
          <w:p w14:paraId="11CAD80F" w14:textId="77777777" w:rsidR="00C15C65" w:rsidRPr="002029AF" w:rsidRDefault="00C15C65" w:rsidP="00860E95">
            <w:pPr>
              <w:pStyle w:val="ARtablegreybold"/>
              <w:keepNext/>
            </w:pPr>
            <w:r w:rsidRPr="002029AF">
              <w:t>Quantity</w:t>
            </w:r>
          </w:p>
        </w:tc>
      </w:tr>
      <w:tr w:rsidR="00C15C65" w:rsidRPr="002029AF" w14:paraId="368CF2C5" w14:textId="77777777" w:rsidTr="00FD77AA">
        <w:trPr>
          <w:gridAfter w:val="1"/>
          <w:wAfter w:w="7" w:type="dxa"/>
          <w:cantSplit/>
        </w:trPr>
        <w:tc>
          <w:tcPr>
            <w:tcW w:w="4753" w:type="dxa"/>
            <w:shd w:val="clear" w:color="auto" w:fill="auto"/>
            <w:hideMark/>
          </w:tcPr>
          <w:p w14:paraId="07D30875" w14:textId="37C94FBE" w:rsidR="00C15C65" w:rsidRPr="002029AF" w:rsidRDefault="00C15C65" w:rsidP="00860E95">
            <w:pPr>
              <w:pStyle w:val="ARtabletext"/>
              <w:keepNext/>
            </w:pPr>
            <w:r w:rsidRPr="002029AF">
              <w:t>Maternal</w:t>
            </w:r>
            <w:r w:rsidR="000A5329" w:rsidRPr="002029AF">
              <w:t xml:space="preserve"> </w:t>
            </w:r>
            <w:r w:rsidRPr="002029AF">
              <w:t>and</w:t>
            </w:r>
            <w:r w:rsidR="000A5329" w:rsidRPr="002029AF">
              <w:t xml:space="preserve"> </w:t>
            </w:r>
            <w:r w:rsidRPr="002029AF">
              <w:t>child</w:t>
            </w:r>
            <w:r w:rsidR="000A5329" w:rsidRPr="002029AF">
              <w:t xml:space="preserve"> </w:t>
            </w:r>
            <w:r w:rsidRPr="002029AF">
              <w:t>health</w:t>
            </w:r>
            <w:r w:rsidR="000A5329" w:rsidRPr="002029AF">
              <w:t xml:space="preserve"> </w:t>
            </w:r>
            <w:r w:rsidRPr="002029AF">
              <w:t>clients</w:t>
            </w:r>
            <w:r w:rsidR="000A5329" w:rsidRPr="002029AF">
              <w:t xml:space="preserve"> </w:t>
            </w:r>
            <w:r w:rsidRPr="002029AF">
              <w:t>with</w:t>
            </w:r>
            <w:r w:rsidR="000A5329" w:rsidRPr="002029AF">
              <w:t xml:space="preserve"> </w:t>
            </w:r>
            <w:r w:rsidRPr="002029AF">
              <w:t>children</w:t>
            </w:r>
            <w:r w:rsidR="000A5329" w:rsidRPr="002029AF">
              <w:t xml:space="preserve"> </w:t>
            </w:r>
            <w:r w:rsidRPr="002029AF">
              <w:t>aged</w:t>
            </w:r>
            <w:r w:rsidR="000A5329" w:rsidRPr="002029AF">
              <w:t xml:space="preserve"> </w:t>
            </w:r>
            <w:r w:rsidRPr="002029AF">
              <w:t>0</w:t>
            </w:r>
            <w:r w:rsidR="000A5329" w:rsidRPr="002029AF">
              <w:t xml:space="preserve"> </w:t>
            </w:r>
            <w:r w:rsidRPr="002029AF">
              <w:t>to</w:t>
            </w:r>
            <w:r w:rsidR="000A5329" w:rsidRPr="002029AF">
              <w:t xml:space="preserve"> </w:t>
            </w:r>
            <w:r w:rsidRPr="002029AF">
              <w:t>1</w:t>
            </w:r>
            <w:r w:rsidR="000A5329" w:rsidRPr="002029AF">
              <w:t xml:space="preserve"> </w:t>
            </w:r>
            <w:r w:rsidRPr="002029AF">
              <w:t>year</w:t>
            </w:r>
            <w:r w:rsidR="000A5329" w:rsidRPr="002029AF">
              <w:t xml:space="preserve"> </w:t>
            </w:r>
            <w:r w:rsidRPr="002029AF">
              <w:t>receiving</w:t>
            </w:r>
            <w:r w:rsidR="000A5329" w:rsidRPr="002029AF">
              <w:t xml:space="preserve"> </w:t>
            </w:r>
            <w:r w:rsidRPr="002029AF">
              <w:t>additional</w:t>
            </w:r>
            <w:r w:rsidR="000A5329" w:rsidRPr="002029AF">
              <w:t xml:space="preserve"> </w:t>
            </w:r>
            <w:r w:rsidRPr="002029AF">
              <w:t>support</w:t>
            </w:r>
            <w:r w:rsidR="000A5329" w:rsidRPr="002029AF">
              <w:t xml:space="preserve"> </w:t>
            </w:r>
            <w:r w:rsidRPr="002029AF">
              <w:t>through</w:t>
            </w:r>
            <w:r w:rsidR="000A5329" w:rsidRPr="002029AF">
              <w:t xml:space="preserve"> </w:t>
            </w:r>
            <w:r w:rsidRPr="002029AF">
              <w:t>enhanced</w:t>
            </w:r>
            <w:r w:rsidR="000A5329" w:rsidRPr="002029AF">
              <w:t xml:space="preserve"> </w:t>
            </w:r>
            <w:r w:rsidRPr="002029AF">
              <w:t>maternal</w:t>
            </w:r>
            <w:r w:rsidR="000A5329" w:rsidRPr="002029AF">
              <w:t xml:space="preserve"> </w:t>
            </w:r>
            <w:r w:rsidRPr="002029AF">
              <w:t>and</w:t>
            </w:r>
            <w:r w:rsidR="000A5329" w:rsidRPr="002029AF">
              <w:t xml:space="preserve"> </w:t>
            </w:r>
            <w:r w:rsidRPr="002029AF">
              <w:t>child</w:t>
            </w:r>
            <w:r w:rsidR="000A5329" w:rsidRPr="002029AF">
              <w:t xml:space="preserve"> </w:t>
            </w:r>
            <w:r w:rsidRPr="002029AF">
              <w:t>health</w:t>
            </w:r>
            <w:r w:rsidR="000A5329" w:rsidRPr="002029AF">
              <w:t xml:space="preserve"> </w:t>
            </w:r>
            <w:r w:rsidRPr="002029AF">
              <w:t>services</w:t>
            </w:r>
          </w:p>
        </w:tc>
        <w:tc>
          <w:tcPr>
            <w:tcW w:w="1019" w:type="dxa"/>
            <w:shd w:val="clear" w:color="auto" w:fill="auto"/>
            <w:hideMark/>
          </w:tcPr>
          <w:p w14:paraId="45F81E0F" w14:textId="761B3F58" w:rsidR="00C15C65" w:rsidRPr="002029AF" w:rsidRDefault="00C15C65" w:rsidP="00C40F5D">
            <w:pPr>
              <w:pStyle w:val="ARtabletext"/>
            </w:pPr>
            <w:r w:rsidRPr="002029AF">
              <w:t>per</w:t>
            </w:r>
            <w:r w:rsidR="000A5329" w:rsidRPr="002029AF">
              <w:t xml:space="preserve"> </w:t>
            </w:r>
            <w:r w:rsidRPr="002029AF">
              <w:t>cent</w:t>
            </w:r>
          </w:p>
        </w:tc>
        <w:tc>
          <w:tcPr>
            <w:tcW w:w="1020" w:type="dxa"/>
            <w:shd w:val="clear" w:color="auto" w:fill="auto"/>
            <w:hideMark/>
          </w:tcPr>
          <w:p w14:paraId="5AA61012" w14:textId="77777777" w:rsidR="00C15C65" w:rsidRPr="002029AF" w:rsidRDefault="00C15C65" w:rsidP="00FD77AA">
            <w:pPr>
              <w:pStyle w:val="ARtabletextright"/>
            </w:pPr>
            <w:r w:rsidRPr="002029AF">
              <w:t>15</w:t>
            </w:r>
          </w:p>
        </w:tc>
        <w:tc>
          <w:tcPr>
            <w:tcW w:w="1020" w:type="dxa"/>
            <w:shd w:val="clear" w:color="auto" w:fill="auto"/>
            <w:hideMark/>
          </w:tcPr>
          <w:p w14:paraId="2FC36E96" w14:textId="77777777" w:rsidR="00C15C65" w:rsidRPr="002029AF" w:rsidRDefault="00C15C65" w:rsidP="00FD77AA">
            <w:pPr>
              <w:pStyle w:val="ARtabletextright"/>
            </w:pPr>
            <w:r w:rsidRPr="002029AF">
              <w:t>15</w:t>
            </w:r>
          </w:p>
        </w:tc>
        <w:tc>
          <w:tcPr>
            <w:tcW w:w="1023" w:type="dxa"/>
            <w:shd w:val="clear" w:color="auto" w:fill="auto"/>
          </w:tcPr>
          <w:p w14:paraId="7776477B" w14:textId="77777777" w:rsidR="00C15C65" w:rsidRPr="002029AF" w:rsidRDefault="00C15C65" w:rsidP="00FD77AA">
            <w:pPr>
              <w:pStyle w:val="ARtabletextright"/>
            </w:pPr>
            <w:r w:rsidRPr="002029AF">
              <w:t>0.0</w:t>
            </w:r>
          </w:p>
        </w:tc>
        <w:tc>
          <w:tcPr>
            <w:tcW w:w="797" w:type="dxa"/>
            <w:shd w:val="clear" w:color="auto" w:fill="auto"/>
            <w:hideMark/>
          </w:tcPr>
          <w:p w14:paraId="0FA13578"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310F3912" w14:textId="77777777" w:rsidTr="00FD77AA">
        <w:trPr>
          <w:gridAfter w:val="1"/>
          <w:wAfter w:w="7" w:type="dxa"/>
          <w:cantSplit/>
        </w:trPr>
        <w:tc>
          <w:tcPr>
            <w:tcW w:w="9632" w:type="dxa"/>
            <w:gridSpan w:val="6"/>
            <w:tcBorders>
              <w:bottom w:val="single" w:sz="4" w:space="0" w:color="BFBFBF"/>
            </w:tcBorders>
            <w:shd w:val="clear" w:color="auto" w:fill="auto"/>
            <w:noWrap/>
            <w:hideMark/>
          </w:tcPr>
          <w:p w14:paraId="584A2F8E" w14:textId="4D07E243" w:rsidR="00C15C65" w:rsidRPr="002029AF" w:rsidRDefault="00C15C65" w:rsidP="00D96AFD">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before</w:t>
            </w:r>
            <w:r w:rsidR="000A5329" w:rsidRPr="002029AF">
              <w:t xml:space="preserve"> </w:t>
            </w:r>
            <w:r w:rsidRPr="002029AF">
              <w:t>mid-2021.</w:t>
            </w:r>
          </w:p>
        </w:tc>
      </w:tr>
      <w:tr w:rsidR="00C15C65" w:rsidRPr="002029AF" w14:paraId="6AA8FE94" w14:textId="77777777" w:rsidTr="00FD77AA">
        <w:trPr>
          <w:gridAfter w:val="1"/>
          <w:wAfter w:w="7" w:type="dxa"/>
          <w:cantSplit/>
        </w:trPr>
        <w:tc>
          <w:tcPr>
            <w:tcW w:w="4753" w:type="dxa"/>
            <w:shd w:val="clear" w:color="auto" w:fill="auto"/>
            <w:hideMark/>
          </w:tcPr>
          <w:p w14:paraId="300D4341" w14:textId="43A3041C" w:rsidR="00C15C65" w:rsidRPr="002029AF" w:rsidRDefault="00C15C65" w:rsidP="00CA3123">
            <w:pPr>
              <w:pStyle w:val="ARtabletext"/>
              <w:keepNext/>
            </w:pPr>
            <w:r w:rsidRPr="002029AF">
              <w:t>Total</w:t>
            </w:r>
            <w:r w:rsidR="000A5329" w:rsidRPr="002029AF">
              <w:t xml:space="preserve"> </w:t>
            </w:r>
            <w:r w:rsidRPr="002029AF">
              <w:t>number</w:t>
            </w:r>
            <w:r w:rsidR="000A5329" w:rsidRPr="002029AF">
              <w:t xml:space="preserve"> </w:t>
            </w:r>
            <w:r w:rsidRPr="002029AF">
              <w:t>of</w:t>
            </w:r>
            <w:r w:rsidR="000A5329" w:rsidRPr="002029AF">
              <w:t xml:space="preserve"> </w:t>
            </w:r>
            <w:r w:rsidRPr="002029AF">
              <w:t>Maternal</w:t>
            </w:r>
            <w:r w:rsidR="000A5329" w:rsidRPr="002029AF">
              <w:t xml:space="preserve"> </w:t>
            </w:r>
            <w:r w:rsidRPr="002029AF">
              <w:t>and</w:t>
            </w:r>
            <w:r w:rsidR="000A5329" w:rsidRPr="002029AF">
              <w:t xml:space="preserve"> </w:t>
            </w:r>
            <w:r w:rsidRPr="002029AF">
              <w:t>Child</w:t>
            </w:r>
            <w:r w:rsidR="000A5329" w:rsidRPr="002029AF">
              <w:t xml:space="preserve"> </w:t>
            </w:r>
            <w:r w:rsidRPr="002029AF">
              <w:t>Health</w:t>
            </w:r>
            <w:r w:rsidR="000A5329" w:rsidRPr="002029AF">
              <w:t xml:space="preserve"> </w:t>
            </w:r>
            <w:r w:rsidRPr="002029AF">
              <w:t>Service</w:t>
            </w:r>
            <w:r w:rsidR="000A5329" w:rsidRPr="002029AF">
              <w:t xml:space="preserve"> </w:t>
            </w:r>
            <w:r w:rsidRPr="002029AF">
              <w:t>clients</w:t>
            </w:r>
            <w:r w:rsidR="000A5329" w:rsidRPr="002029AF">
              <w:t xml:space="preserve"> </w:t>
            </w:r>
            <w:r w:rsidRPr="002029AF">
              <w:t>(aged</w:t>
            </w:r>
            <w:r w:rsidR="000A5329" w:rsidRPr="002029AF">
              <w:t xml:space="preserve"> </w:t>
            </w:r>
            <w:r w:rsidRPr="002029AF">
              <w:t>0</w:t>
            </w:r>
            <w:r w:rsidR="000A5329" w:rsidRPr="002029AF">
              <w:t xml:space="preserve"> </w:t>
            </w:r>
            <w:r w:rsidRPr="002029AF">
              <w:t>to</w:t>
            </w:r>
            <w:r w:rsidR="000A5329" w:rsidRPr="002029AF">
              <w:t xml:space="preserve"> </w:t>
            </w:r>
            <w:r w:rsidRPr="002029AF">
              <w:t>1</w:t>
            </w:r>
            <w:r w:rsidR="000A5329" w:rsidRPr="002029AF">
              <w:t xml:space="preserve"> </w:t>
            </w:r>
            <w:r w:rsidRPr="002029AF">
              <w:t>year)</w:t>
            </w:r>
          </w:p>
        </w:tc>
        <w:tc>
          <w:tcPr>
            <w:tcW w:w="1019" w:type="dxa"/>
            <w:shd w:val="clear" w:color="auto" w:fill="auto"/>
            <w:hideMark/>
          </w:tcPr>
          <w:p w14:paraId="07D9D4AE" w14:textId="77777777" w:rsidR="00C15C65" w:rsidRPr="002029AF" w:rsidRDefault="00C15C65" w:rsidP="00C40F5D">
            <w:pPr>
              <w:pStyle w:val="ARtabletext"/>
            </w:pPr>
            <w:r w:rsidRPr="002029AF">
              <w:t>number</w:t>
            </w:r>
          </w:p>
        </w:tc>
        <w:tc>
          <w:tcPr>
            <w:tcW w:w="1020" w:type="dxa"/>
            <w:shd w:val="clear" w:color="auto" w:fill="auto"/>
            <w:hideMark/>
          </w:tcPr>
          <w:p w14:paraId="4AC0D64D" w14:textId="77777777" w:rsidR="00C15C65" w:rsidRPr="002029AF" w:rsidRDefault="00C15C65" w:rsidP="00FD77AA">
            <w:pPr>
              <w:pStyle w:val="ARtabletextright"/>
            </w:pPr>
            <w:r w:rsidRPr="002029AF">
              <w:t>80,000</w:t>
            </w:r>
          </w:p>
        </w:tc>
        <w:tc>
          <w:tcPr>
            <w:tcW w:w="1020" w:type="dxa"/>
            <w:shd w:val="clear" w:color="auto" w:fill="auto"/>
            <w:hideMark/>
          </w:tcPr>
          <w:p w14:paraId="62EA1F90" w14:textId="77777777" w:rsidR="00C15C65" w:rsidRPr="002029AF" w:rsidRDefault="00C15C65" w:rsidP="00FD77AA">
            <w:pPr>
              <w:pStyle w:val="ARtabletextright"/>
            </w:pPr>
            <w:r w:rsidRPr="002029AF">
              <w:t>80,000</w:t>
            </w:r>
          </w:p>
        </w:tc>
        <w:tc>
          <w:tcPr>
            <w:tcW w:w="1023" w:type="dxa"/>
            <w:shd w:val="clear" w:color="auto" w:fill="auto"/>
          </w:tcPr>
          <w:p w14:paraId="4AC9BE1D" w14:textId="77777777" w:rsidR="00C15C65" w:rsidRPr="002029AF" w:rsidRDefault="00C15C65" w:rsidP="00FD77AA">
            <w:pPr>
              <w:pStyle w:val="ARtabletextright"/>
            </w:pPr>
            <w:r w:rsidRPr="002029AF">
              <w:t>0.0</w:t>
            </w:r>
          </w:p>
        </w:tc>
        <w:tc>
          <w:tcPr>
            <w:tcW w:w="797" w:type="dxa"/>
            <w:shd w:val="clear" w:color="auto" w:fill="auto"/>
            <w:hideMark/>
          </w:tcPr>
          <w:p w14:paraId="388F4078"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30562B60" w14:textId="77777777" w:rsidTr="00FD77AA">
        <w:trPr>
          <w:gridAfter w:val="1"/>
          <w:wAfter w:w="7" w:type="dxa"/>
          <w:cantSplit/>
        </w:trPr>
        <w:tc>
          <w:tcPr>
            <w:tcW w:w="9632" w:type="dxa"/>
            <w:gridSpan w:val="6"/>
            <w:tcBorders>
              <w:bottom w:val="single" w:sz="4" w:space="0" w:color="BFBFBF"/>
            </w:tcBorders>
            <w:shd w:val="clear" w:color="auto" w:fill="auto"/>
            <w:noWrap/>
            <w:hideMark/>
          </w:tcPr>
          <w:p w14:paraId="703B5C70" w14:textId="2A974E7E" w:rsidR="00C15C65" w:rsidRPr="002029AF" w:rsidRDefault="00C15C65" w:rsidP="00D96AFD">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before</w:t>
            </w:r>
            <w:r w:rsidR="000A5329" w:rsidRPr="002029AF">
              <w:t xml:space="preserve"> </w:t>
            </w:r>
            <w:r w:rsidRPr="002029AF">
              <w:t>mid-2021.</w:t>
            </w:r>
          </w:p>
        </w:tc>
      </w:tr>
      <w:tr w:rsidR="00C15C65" w:rsidRPr="002029AF" w14:paraId="23BDDFC7" w14:textId="77777777" w:rsidTr="005B58F0">
        <w:trPr>
          <w:cantSplit/>
        </w:trPr>
        <w:tc>
          <w:tcPr>
            <w:tcW w:w="9639" w:type="dxa"/>
            <w:gridSpan w:val="7"/>
            <w:tcBorders>
              <w:top w:val="single" w:sz="4" w:space="0" w:color="auto"/>
              <w:left w:val="nil"/>
              <w:bottom w:val="nil"/>
              <w:right w:val="nil"/>
            </w:tcBorders>
            <w:hideMark/>
          </w:tcPr>
          <w:p w14:paraId="74CAD0EC" w14:textId="77777777" w:rsidR="00C15C65" w:rsidRPr="002029AF" w:rsidRDefault="00C15C65" w:rsidP="007666A5">
            <w:pPr>
              <w:pStyle w:val="ARtablegreybold"/>
            </w:pPr>
            <w:r w:rsidRPr="002029AF">
              <w:t>Timeliness</w:t>
            </w:r>
          </w:p>
        </w:tc>
      </w:tr>
      <w:tr w:rsidR="00C15C65" w:rsidRPr="002029AF" w14:paraId="588897EF" w14:textId="77777777" w:rsidTr="00EF3FCC">
        <w:trPr>
          <w:gridAfter w:val="1"/>
          <w:wAfter w:w="7" w:type="dxa"/>
          <w:cantSplit/>
        </w:trPr>
        <w:tc>
          <w:tcPr>
            <w:tcW w:w="4753" w:type="dxa"/>
            <w:shd w:val="clear" w:color="auto" w:fill="auto"/>
            <w:hideMark/>
          </w:tcPr>
          <w:p w14:paraId="463E9A74" w14:textId="283C93AA" w:rsidR="00C15C65" w:rsidRPr="002029AF" w:rsidRDefault="00C15C65" w:rsidP="00C40F5D">
            <w:pPr>
              <w:pStyle w:val="ARtabletext"/>
            </w:pPr>
            <w:r w:rsidRPr="002029AF">
              <w:t>Children</w:t>
            </w:r>
            <w:r w:rsidR="000A5329" w:rsidRPr="002029AF">
              <w:t xml:space="preserve"> </w:t>
            </w:r>
            <w:r w:rsidRPr="002029AF">
              <w:t>aged</w:t>
            </w:r>
            <w:r w:rsidR="000A5329" w:rsidRPr="002029AF">
              <w:t xml:space="preserve"> </w:t>
            </w:r>
            <w:r w:rsidRPr="002029AF">
              <w:t>0</w:t>
            </w:r>
            <w:r w:rsidR="000A5329" w:rsidRPr="002029AF">
              <w:t xml:space="preserve"> </w:t>
            </w:r>
            <w:r w:rsidRPr="002029AF">
              <w:t>to</w:t>
            </w:r>
            <w:r w:rsidR="000A5329" w:rsidRPr="002029AF">
              <w:t xml:space="preserve"> </w:t>
            </w:r>
            <w:r w:rsidRPr="002029AF">
              <w:t>1</w:t>
            </w:r>
            <w:r w:rsidR="000A5329" w:rsidRPr="002029AF">
              <w:t xml:space="preserve"> </w:t>
            </w:r>
            <w:r w:rsidRPr="002029AF">
              <w:t>month</w:t>
            </w:r>
            <w:r w:rsidR="000A5329" w:rsidRPr="002029AF">
              <w:t xml:space="preserve"> </w:t>
            </w:r>
            <w:r w:rsidRPr="002029AF">
              <w:t>enrolled</w:t>
            </w:r>
            <w:r w:rsidR="000A5329" w:rsidRPr="002029AF">
              <w:t xml:space="preserve"> </w:t>
            </w:r>
            <w:r w:rsidRPr="002029AF">
              <w:t>at</w:t>
            </w:r>
            <w:r w:rsidR="000A5329" w:rsidRPr="002029AF">
              <w:t xml:space="preserve"> </w:t>
            </w:r>
            <w:r w:rsidRPr="002029AF">
              <w:t>maternal</w:t>
            </w:r>
            <w:r w:rsidR="000A5329" w:rsidRPr="002029AF">
              <w:t xml:space="preserve"> </w:t>
            </w:r>
            <w:r w:rsidRPr="002029AF">
              <w:t>and</w:t>
            </w:r>
            <w:r w:rsidR="000A5329" w:rsidRPr="002029AF">
              <w:t xml:space="preserve"> </w:t>
            </w:r>
            <w:r w:rsidRPr="002029AF">
              <w:t>child</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from</w:t>
            </w:r>
            <w:r w:rsidR="000A5329" w:rsidRPr="002029AF">
              <w:t xml:space="preserve"> </w:t>
            </w:r>
            <w:r w:rsidRPr="002029AF">
              <w:t>birth</w:t>
            </w:r>
            <w:r w:rsidR="000A5329" w:rsidRPr="002029AF">
              <w:t xml:space="preserve"> </w:t>
            </w:r>
            <w:r w:rsidRPr="002029AF">
              <w:t>notifications</w:t>
            </w:r>
          </w:p>
        </w:tc>
        <w:tc>
          <w:tcPr>
            <w:tcW w:w="1019" w:type="dxa"/>
            <w:shd w:val="clear" w:color="auto" w:fill="auto"/>
            <w:hideMark/>
          </w:tcPr>
          <w:p w14:paraId="6AB820B7" w14:textId="24B1FA2E" w:rsidR="00C15C65" w:rsidRPr="002029AF" w:rsidRDefault="00C15C65" w:rsidP="00C40F5D">
            <w:pPr>
              <w:pStyle w:val="ARtabletext"/>
            </w:pPr>
            <w:r w:rsidRPr="002029AF">
              <w:t>per</w:t>
            </w:r>
            <w:r w:rsidR="000A5329" w:rsidRPr="002029AF">
              <w:t xml:space="preserve"> </w:t>
            </w:r>
            <w:r w:rsidRPr="002029AF">
              <w:t>cent</w:t>
            </w:r>
          </w:p>
        </w:tc>
        <w:tc>
          <w:tcPr>
            <w:tcW w:w="1020" w:type="dxa"/>
            <w:shd w:val="clear" w:color="auto" w:fill="auto"/>
            <w:hideMark/>
          </w:tcPr>
          <w:p w14:paraId="34CBFEBF" w14:textId="77777777" w:rsidR="00C15C65" w:rsidRPr="002029AF" w:rsidRDefault="00C15C65" w:rsidP="00FD77AA">
            <w:pPr>
              <w:pStyle w:val="ARtabletextright"/>
            </w:pPr>
            <w:r w:rsidRPr="002029AF">
              <w:t>99</w:t>
            </w:r>
          </w:p>
        </w:tc>
        <w:tc>
          <w:tcPr>
            <w:tcW w:w="1020" w:type="dxa"/>
            <w:shd w:val="clear" w:color="auto" w:fill="auto"/>
            <w:hideMark/>
          </w:tcPr>
          <w:p w14:paraId="10F8BF4E" w14:textId="77777777" w:rsidR="00C15C65" w:rsidRPr="002029AF" w:rsidRDefault="00C15C65" w:rsidP="00FD77AA">
            <w:pPr>
              <w:pStyle w:val="ARtabletextright"/>
            </w:pPr>
            <w:r w:rsidRPr="002029AF">
              <w:t>99</w:t>
            </w:r>
          </w:p>
        </w:tc>
        <w:tc>
          <w:tcPr>
            <w:tcW w:w="1023" w:type="dxa"/>
            <w:shd w:val="clear" w:color="auto" w:fill="auto"/>
          </w:tcPr>
          <w:p w14:paraId="31CFC59D" w14:textId="77777777" w:rsidR="00C15C65" w:rsidRPr="002029AF" w:rsidRDefault="00C15C65" w:rsidP="00FD77AA">
            <w:pPr>
              <w:pStyle w:val="ARtabletextright"/>
            </w:pPr>
            <w:r w:rsidRPr="002029AF">
              <w:t>0.0</w:t>
            </w:r>
          </w:p>
        </w:tc>
        <w:tc>
          <w:tcPr>
            <w:tcW w:w="797" w:type="dxa"/>
            <w:shd w:val="clear" w:color="auto" w:fill="auto"/>
            <w:hideMark/>
          </w:tcPr>
          <w:p w14:paraId="0ADCED4F"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3BE5D89B" w14:textId="77777777" w:rsidTr="00EF3FCC">
        <w:trPr>
          <w:gridAfter w:val="1"/>
          <w:wAfter w:w="7" w:type="dxa"/>
          <w:cantSplit/>
        </w:trPr>
        <w:tc>
          <w:tcPr>
            <w:tcW w:w="9632" w:type="dxa"/>
            <w:gridSpan w:val="6"/>
            <w:tcBorders>
              <w:bottom w:val="single" w:sz="4" w:space="0" w:color="auto"/>
            </w:tcBorders>
            <w:shd w:val="clear" w:color="auto" w:fill="auto"/>
            <w:noWrap/>
            <w:hideMark/>
          </w:tcPr>
          <w:p w14:paraId="0B399A6C" w14:textId="2F7B1D84" w:rsidR="00C15C65" w:rsidRPr="002029AF" w:rsidRDefault="00C15C65" w:rsidP="00D96AFD">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before</w:t>
            </w:r>
            <w:r w:rsidR="000A5329" w:rsidRPr="002029AF">
              <w:t xml:space="preserve"> </w:t>
            </w:r>
            <w:r w:rsidRPr="002029AF">
              <w:t>mid-2021.</w:t>
            </w:r>
          </w:p>
        </w:tc>
      </w:tr>
      <w:tr w:rsidR="00C15C65" w:rsidRPr="002029AF" w14:paraId="336A7016" w14:textId="77777777" w:rsidTr="005B58F0">
        <w:trPr>
          <w:cantSplit/>
        </w:trPr>
        <w:tc>
          <w:tcPr>
            <w:tcW w:w="9639" w:type="dxa"/>
            <w:gridSpan w:val="7"/>
            <w:tcBorders>
              <w:top w:val="single" w:sz="4" w:space="0" w:color="auto"/>
              <w:left w:val="nil"/>
              <w:bottom w:val="nil"/>
              <w:right w:val="nil"/>
            </w:tcBorders>
            <w:hideMark/>
          </w:tcPr>
          <w:p w14:paraId="7BB39510" w14:textId="77777777" w:rsidR="00C15C65" w:rsidRPr="002029AF" w:rsidRDefault="00C15C65" w:rsidP="007666A5">
            <w:pPr>
              <w:pStyle w:val="ARtablegreybold"/>
            </w:pPr>
            <w:r w:rsidRPr="002029AF">
              <w:lastRenderedPageBreak/>
              <w:t>Cost</w:t>
            </w:r>
          </w:p>
        </w:tc>
      </w:tr>
      <w:tr w:rsidR="00C15C65" w:rsidRPr="002029AF" w14:paraId="59AF8A6B" w14:textId="77777777" w:rsidTr="00FD77AA">
        <w:trPr>
          <w:cantSplit/>
        </w:trPr>
        <w:tc>
          <w:tcPr>
            <w:tcW w:w="4753" w:type="dxa"/>
            <w:hideMark/>
          </w:tcPr>
          <w:p w14:paraId="155ADDC7" w14:textId="13B738EC" w:rsidR="00C15C65" w:rsidRPr="002029AF" w:rsidRDefault="00C15C65" w:rsidP="00C40F5D">
            <w:pPr>
              <w:pStyle w:val="ARtabletext"/>
              <w:rPr>
                <w:b/>
              </w:rPr>
            </w:pPr>
            <w:r w:rsidRPr="002029AF">
              <w:rPr>
                <w:b/>
              </w:rPr>
              <w:t>Total</w:t>
            </w:r>
            <w:r w:rsidR="000A5329" w:rsidRPr="002029AF">
              <w:rPr>
                <w:b/>
              </w:rPr>
              <w:t xml:space="preserve"> </w:t>
            </w:r>
            <w:r w:rsidRPr="002029AF">
              <w:rPr>
                <w:b/>
              </w:rPr>
              <w:t>output</w:t>
            </w:r>
            <w:r w:rsidR="000A5329" w:rsidRPr="002029AF">
              <w:rPr>
                <w:b/>
              </w:rPr>
              <w:t xml:space="preserve"> </w:t>
            </w:r>
            <w:r w:rsidRPr="002029AF">
              <w:rPr>
                <w:b/>
              </w:rPr>
              <w:t>cost</w:t>
            </w:r>
          </w:p>
        </w:tc>
        <w:tc>
          <w:tcPr>
            <w:tcW w:w="1019" w:type="dxa"/>
            <w:hideMark/>
          </w:tcPr>
          <w:p w14:paraId="59FAD057" w14:textId="27A29301" w:rsidR="00C15C65" w:rsidRPr="002029AF" w:rsidRDefault="00C15C65" w:rsidP="00C40F5D">
            <w:pPr>
              <w:pStyle w:val="ARtabletext"/>
              <w:rPr>
                <w:b/>
              </w:rPr>
            </w:pPr>
            <w:r w:rsidRPr="002029AF">
              <w:rPr>
                <w:b/>
              </w:rPr>
              <w:t>$</w:t>
            </w:r>
            <w:r w:rsidR="000A5329" w:rsidRPr="002029AF">
              <w:rPr>
                <w:b/>
              </w:rPr>
              <w:t xml:space="preserve"> </w:t>
            </w:r>
            <w:r w:rsidRPr="002029AF">
              <w:rPr>
                <w:b/>
              </w:rPr>
              <w:t>million</w:t>
            </w:r>
          </w:p>
        </w:tc>
        <w:tc>
          <w:tcPr>
            <w:tcW w:w="1020" w:type="dxa"/>
          </w:tcPr>
          <w:p w14:paraId="06178A87" w14:textId="77777777" w:rsidR="00C15C65" w:rsidRPr="002029AF" w:rsidRDefault="00C15C65" w:rsidP="00C9755D">
            <w:pPr>
              <w:pStyle w:val="ARtabletextrightbold"/>
            </w:pPr>
            <w:r w:rsidRPr="002029AF">
              <w:t>115.0</w:t>
            </w:r>
          </w:p>
        </w:tc>
        <w:tc>
          <w:tcPr>
            <w:tcW w:w="1020" w:type="dxa"/>
          </w:tcPr>
          <w:p w14:paraId="502A0641" w14:textId="77777777" w:rsidR="00C15C65" w:rsidRPr="002029AF" w:rsidRDefault="00C15C65" w:rsidP="00C9755D">
            <w:pPr>
              <w:pStyle w:val="ARtabletextrightbold"/>
            </w:pPr>
            <w:r w:rsidRPr="002029AF">
              <w:t>109.5</w:t>
            </w:r>
          </w:p>
        </w:tc>
        <w:tc>
          <w:tcPr>
            <w:tcW w:w="1023" w:type="dxa"/>
          </w:tcPr>
          <w:p w14:paraId="773EC1B4" w14:textId="77777777" w:rsidR="00C15C65" w:rsidRPr="002029AF" w:rsidRDefault="00C15C65" w:rsidP="00C9755D">
            <w:pPr>
              <w:pStyle w:val="ARtabletextrightbold"/>
            </w:pPr>
            <w:r w:rsidRPr="002029AF">
              <w:t>-4.8</w:t>
            </w:r>
          </w:p>
        </w:tc>
        <w:tc>
          <w:tcPr>
            <w:tcW w:w="804" w:type="dxa"/>
            <w:gridSpan w:val="2"/>
          </w:tcPr>
          <w:p w14:paraId="3D9A0B47" w14:textId="77777777" w:rsidR="00C15C65" w:rsidRPr="002029AF" w:rsidRDefault="00C15C65" w:rsidP="00C40F5D">
            <w:pPr>
              <w:pStyle w:val="ARtabletext"/>
              <w:rPr>
                <w:b/>
              </w:rPr>
            </w:pPr>
          </w:p>
        </w:tc>
      </w:tr>
      <w:tr w:rsidR="00C15C65" w:rsidRPr="002029AF" w14:paraId="391B1DF4" w14:textId="77777777" w:rsidTr="005B58F0">
        <w:trPr>
          <w:cantSplit/>
        </w:trPr>
        <w:tc>
          <w:tcPr>
            <w:tcW w:w="9639" w:type="dxa"/>
            <w:gridSpan w:val="7"/>
            <w:tcBorders>
              <w:top w:val="nil"/>
              <w:left w:val="nil"/>
              <w:bottom w:val="single" w:sz="4" w:space="0" w:color="auto"/>
              <w:right w:val="nil"/>
            </w:tcBorders>
            <w:noWrap/>
          </w:tcPr>
          <w:p w14:paraId="3E5E0CBA" w14:textId="798A236E" w:rsidR="00C15C65" w:rsidRPr="002029AF" w:rsidRDefault="00C15C65" w:rsidP="00D96AFD">
            <w:pPr>
              <w:pStyle w:val="ARtablenoteindent"/>
            </w:pPr>
            <w:r w:rsidRPr="002029AF">
              <w:t>The</w:t>
            </w:r>
            <w:r w:rsidR="000A5329" w:rsidRPr="002029AF">
              <w:t xml:space="preserve"> </w:t>
            </w:r>
            <w:r w:rsidRPr="002029AF">
              <w:t>201</w:t>
            </w:r>
            <w:r w:rsidR="00DB53E6" w:rsidRPr="002029AF">
              <w:t>9–</w:t>
            </w:r>
            <w:r w:rsidRPr="002029AF">
              <w:t>20</w:t>
            </w:r>
            <w:r w:rsidR="000A5329" w:rsidRPr="002029AF">
              <w:t xml:space="preserve"> </w:t>
            </w:r>
            <w:r w:rsidRPr="002029AF">
              <w:t>actual</w:t>
            </w:r>
            <w:r w:rsidR="000A5329" w:rsidRPr="002029AF">
              <w:t xml:space="preserve"> </w:t>
            </w:r>
            <w:r w:rsidRPr="002029AF">
              <w:t>outcome</w:t>
            </w:r>
            <w:r w:rsidR="000A5329" w:rsidRPr="002029AF">
              <w:t xml:space="preserve"> </w:t>
            </w:r>
            <w:r w:rsidRPr="002029AF">
              <w:t>primarily</w:t>
            </w:r>
            <w:r w:rsidR="000A5329" w:rsidRPr="002029AF">
              <w:t xml:space="preserve"> </w:t>
            </w:r>
            <w:r w:rsidRPr="002029AF">
              <w:t>reflects</w:t>
            </w:r>
            <w:r w:rsidR="000A5329" w:rsidRPr="002029AF">
              <w:t xml:space="preserve"> </w:t>
            </w:r>
            <w:r w:rsidRPr="002029AF">
              <w:t>impact</w:t>
            </w:r>
            <w:r w:rsidR="000A5329" w:rsidRPr="002029AF">
              <w:t xml:space="preserve"> </w:t>
            </w:r>
            <w:r w:rsidRPr="002029AF">
              <w:t>of</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on</w:t>
            </w:r>
            <w:r w:rsidR="000A5329" w:rsidRPr="002029AF">
              <w:t xml:space="preserve"> </w:t>
            </w:r>
            <w:r w:rsidRPr="002029AF">
              <w:t>the</w:t>
            </w:r>
            <w:r w:rsidR="000A5329" w:rsidRPr="002029AF">
              <w:t xml:space="preserve"> </w:t>
            </w:r>
            <w:r w:rsidRPr="002029AF">
              <w:t>rollout</w:t>
            </w:r>
            <w:r w:rsidR="000A5329" w:rsidRPr="002029AF">
              <w:t xml:space="preserve"> </w:t>
            </w:r>
            <w:r w:rsidRPr="002029AF">
              <w:t>of</w:t>
            </w:r>
            <w:r w:rsidR="000A5329" w:rsidRPr="002029AF">
              <w:t xml:space="preserve"> </w:t>
            </w:r>
            <w:r w:rsidRPr="002029AF">
              <w:t>new</w:t>
            </w:r>
            <w:r w:rsidR="000A5329" w:rsidRPr="002029AF">
              <w:t xml:space="preserve"> </w:t>
            </w:r>
            <w:r w:rsidRPr="002029AF">
              <w:t>programs.</w:t>
            </w:r>
          </w:p>
        </w:tc>
      </w:tr>
    </w:tbl>
    <w:p w14:paraId="6058E012" w14:textId="59897A82" w:rsidR="00C15C65" w:rsidRPr="002029AF" w:rsidRDefault="00C15C65" w:rsidP="00205D6E">
      <w:pPr>
        <w:pStyle w:val="Heading2"/>
      </w:pPr>
      <w:r w:rsidRPr="002029AF">
        <w:t>Public</w:t>
      </w:r>
      <w:r w:rsidR="000A5329" w:rsidRPr="002029AF">
        <w:t xml:space="preserve"> </w:t>
      </w:r>
      <w:r w:rsidRPr="002029AF">
        <w:t>Health</w:t>
      </w:r>
    </w:p>
    <w:p w14:paraId="4C9908DA" w14:textId="78920A2C" w:rsidR="00C15C65" w:rsidRPr="002029AF" w:rsidRDefault="00C15C65" w:rsidP="00C40F5D">
      <w:pPr>
        <w:pStyle w:val="ARbody"/>
      </w:pPr>
      <w:r w:rsidRPr="002029AF">
        <w:t>This</w:t>
      </w:r>
      <w:r w:rsidR="000A5329" w:rsidRPr="002029AF">
        <w:t xml:space="preserve"> </w:t>
      </w:r>
      <w:r w:rsidRPr="002029AF">
        <w:t>output</w:t>
      </w:r>
      <w:r w:rsidR="000A5329" w:rsidRPr="002029AF">
        <w:t xml:space="preserve"> </w:t>
      </w:r>
      <w:r w:rsidRPr="002029AF">
        <w:t>encompasses</w:t>
      </w:r>
      <w:r w:rsidR="000A5329" w:rsidRPr="002029AF">
        <w:t xml:space="preserve"> </w:t>
      </w:r>
      <w:r w:rsidRPr="002029AF">
        <w:t>services</w:t>
      </w:r>
      <w:r w:rsidR="000A5329" w:rsidRPr="002029AF">
        <w:t xml:space="preserve"> </w:t>
      </w:r>
      <w:r w:rsidRPr="002029AF">
        <w:t>and</w:t>
      </w:r>
      <w:r w:rsidR="000A5329" w:rsidRPr="002029AF">
        <w:t xml:space="preserve"> </w:t>
      </w:r>
      <w:r w:rsidRPr="002029AF">
        <w:t>support,</w:t>
      </w:r>
      <w:r w:rsidR="000A5329" w:rsidRPr="002029AF">
        <w:t xml:space="preserve"> </w:t>
      </w:r>
      <w:r w:rsidRPr="002029AF">
        <w:t>including</w:t>
      </w:r>
      <w:r w:rsidR="000A5329" w:rsidRPr="002029AF">
        <w:t xml:space="preserve"> </w:t>
      </w:r>
      <w:r w:rsidRPr="002029AF">
        <w:t>screening</w:t>
      </w:r>
      <w:r w:rsidR="000A5329" w:rsidRPr="002029AF">
        <w:t xml:space="preserve"> </w:t>
      </w:r>
      <w:r w:rsidRPr="002029AF">
        <w:t>for</w:t>
      </w:r>
      <w:r w:rsidR="000A5329" w:rsidRPr="002029AF">
        <w:t xml:space="preserve"> </w:t>
      </w:r>
      <w:r w:rsidRPr="002029AF">
        <w:t>health</w:t>
      </w:r>
      <w:r w:rsidR="000A5329" w:rsidRPr="002029AF">
        <w:t xml:space="preserve"> </w:t>
      </w:r>
      <w:r w:rsidRPr="002029AF">
        <w:t>conditions</w:t>
      </w:r>
      <w:r w:rsidR="000A5329" w:rsidRPr="002029AF">
        <w:t xml:space="preserve"> </w:t>
      </w:r>
      <w:r w:rsidRPr="002029AF">
        <w:t>and</w:t>
      </w:r>
      <w:r w:rsidR="000A5329" w:rsidRPr="002029AF">
        <w:t xml:space="preserve"> </w:t>
      </w:r>
      <w:r w:rsidRPr="002029AF">
        <w:t>safety</w:t>
      </w:r>
      <w:r w:rsidR="000A5329" w:rsidRPr="002029AF">
        <w:t xml:space="preserve"> </w:t>
      </w:r>
      <w:r w:rsidRPr="002029AF">
        <w:t>inspections,</w:t>
      </w:r>
      <w:r w:rsidR="000A5329" w:rsidRPr="002029AF">
        <w:t xml:space="preserve"> </w:t>
      </w:r>
      <w:r w:rsidRPr="002029AF">
        <w:t>that</w:t>
      </w:r>
      <w:r w:rsidR="000A5329" w:rsidRPr="002029AF">
        <w:t xml:space="preserve"> </w:t>
      </w:r>
      <w:r w:rsidRPr="002029AF">
        <w:t>promote</w:t>
      </w:r>
      <w:r w:rsidR="000A5329" w:rsidRPr="002029AF">
        <w:t xml:space="preserve"> </w:t>
      </w:r>
      <w:r w:rsidRPr="002029AF">
        <w:t>and</w:t>
      </w:r>
      <w:r w:rsidR="000A5329" w:rsidRPr="002029AF">
        <w:t xml:space="preserve"> </w:t>
      </w:r>
      <w:r w:rsidRPr="002029AF">
        <w:t>protect</w:t>
      </w:r>
      <w:r w:rsidR="000A5329" w:rsidRPr="002029AF">
        <w:t xml:space="preserve"> </w:t>
      </w:r>
      <w:r w:rsidRPr="002029AF">
        <w:t>the</w:t>
      </w:r>
      <w:r w:rsidR="000A5329" w:rsidRPr="002029AF">
        <w:t xml:space="preserve"> </w:t>
      </w:r>
      <w:r w:rsidRPr="002029AF">
        <w:t>health</w:t>
      </w:r>
      <w:r w:rsidR="000A5329" w:rsidRPr="002029AF">
        <w:t xml:space="preserve"> </w:t>
      </w:r>
      <w:r w:rsidRPr="002029AF">
        <w:t>and</w:t>
      </w:r>
      <w:r w:rsidR="000A5329" w:rsidRPr="002029AF">
        <w:t xml:space="preserve"> </w:t>
      </w:r>
      <w:r w:rsidRPr="002029AF">
        <w:t>wellbeing</w:t>
      </w:r>
      <w:r w:rsidR="000A5329" w:rsidRPr="002029AF">
        <w:t xml:space="preserve"> </w:t>
      </w:r>
      <w:r w:rsidRPr="002029AF">
        <w:t>of</w:t>
      </w:r>
      <w:r w:rsidR="000A5329" w:rsidRPr="002029AF">
        <w:t xml:space="preserve"> </w:t>
      </w:r>
      <w:r w:rsidRPr="002029AF">
        <w:t>all</w:t>
      </w:r>
      <w:r w:rsidR="000A5329" w:rsidRPr="002029AF">
        <w:t xml:space="preserve"> </w:t>
      </w:r>
      <w:r w:rsidRPr="002029AF">
        <w:t>Victorians.</w:t>
      </w:r>
      <w:r w:rsidR="000A5329" w:rsidRPr="002029AF">
        <w:t xml:space="preserve"> </w:t>
      </w:r>
      <w:r w:rsidRPr="002029AF">
        <w:t>These</w:t>
      </w:r>
      <w:r w:rsidR="000A5329" w:rsidRPr="002029AF">
        <w:t xml:space="preserve"> </w:t>
      </w:r>
      <w:r w:rsidRPr="002029AF">
        <w:t>services</w:t>
      </w:r>
      <w:r w:rsidR="000A5329" w:rsidRPr="002029AF">
        <w:t xml:space="preserve"> </w:t>
      </w:r>
      <w:r w:rsidRPr="002029AF">
        <w:t>are</w:t>
      </w:r>
      <w:r w:rsidR="000A5329" w:rsidRPr="002029AF">
        <w:t xml:space="preserve"> </w:t>
      </w:r>
      <w:r w:rsidRPr="002029AF">
        <w:t>delivered</w:t>
      </w:r>
      <w:r w:rsidR="000A5329" w:rsidRPr="002029AF">
        <w:t xml:space="preserve"> </w:t>
      </w:r>
      <w:r w:rsidRPr="002029AF">
        <w:t>in</w:t>
      </w:r>
      <w:r w:rsidR="000A5329" w:rsidRPr="002029AF">
        <w:t xml:space="preserve"> </w:t>
      </w:r>
      <w:r w:rsidRPr="002029AF">
        <w:t>partnership</w:t>
      </w:r>
      <w:r w:rsidR="000A5329" w:rsidRPr="002029AF">
        <w:t xml:space="preserve"> </w:t>
      </w:r>
      <w:r w:rsidRPr="002029AF">
        <w:t>with</w:t>
      </w:r>
      <w:r w:rsidR="000A5329" w:rsidRPr="002029AF">
        <w:t xml:space="preserve"> </w:t>
      </w:r>
      <w:r w:rsidRPr="002029AF">
        <w:t>key</w:t>
      </w:r>
      <w:r w:rsidR="000A5329" w:rsidRPr="002029AF">
        <w:t xml:space="preserve"> </w:t>
      </w:r>
      <w:r w:rsidRPr="002029AF">
        <w:t>stakeholders</w:t>
      </w:r>
      <w:r w:rsidR="000A5329" w:rsidRPr="002029AF">
        <w:t xml:space="preserve"> </w:t>
      </w:r>
      <w:r w:rsidRPr="002029AF">
        <w:t>and</w:t>
      </w:r>
      <w:r w:rsidR="000A5329" w:rsidRPr="002029AF">
        <w:t xml:space="preserve"> </w:t>
      </w:r>
      <w:r w:rsidRPr="002029AF">
        <w:t>communities.</w:t>
      </w:r>
    </w:p>
    <w:tbl>
      <w:tblPr>
        <w:tblW w:w="9639" w:type="dxa"/>
        <w:tblLayout w:type="fixed"/>
        <w:tblCellMar>
          <w:left w:w="0" w:type="dxa"/>
        </w:tblCellMar>
        <w:tblLook w:val="04A0" w:firstRow="1" w:lastRow="0" w:firstColumn="1" w:lastColumn="0" w:noHBand="0" w:noVBand="1"/>
      </w:tblPr>
      <w:tblGrid>
        <w:gridCol w:w="4741"/>
        <w:gridCol w:w="12"/>
        <w:gridCol w:w="1007"/>
        <w:gridCol w:w="13"/>
        <w:gridCol w:w="1005"/>
        <w:gridCol w:w="15"/>
        <w:gridCol w:w="1007"/>
        <w:gridCol w:w="13"/>
        <w:gridCol w:w="1022"/>
        <w:gridCol w:w="796"/>
        <w:gridCol w:w="8"/>
      </w:tblGrid>
      <w:tr w:rsidR="005B58F0" w:rsidRPr="002029AF" w14:paraId="62405AE2" w14:textId="77777777" w:rsidTr="0014376C">
        <w:trPr>
          <w:cantSplit/>
          <w:tblHeader/>
        </w:trPr>
        <w:tc>
          <w:tcPr>
            <w:tcW w:w="4752" w:type="dxa"/>
            <w:gridSpan w:val="2"/>
            <w:tcBorders>
              <w:top w:val="nil"/>
              <w:left w:val="nil"/>
              <w:bottom w:val="single" w:sz="4" w:space="0" w:color="auto"/>
              <w:right w:val="nil"/>
            </w:tcBorders>
            <w:vAlign w:val="bottom"/>
            <w:hideMark/>
          </w:tcPr>
          <w:p w14:paraId="2DDF56A5" w14:textId="4D56737E" w:rsidR="005B58F0" w:rsidRPr="002029AF" w:rsidRDefault="005B58F0" w:rsidP="0014376C">
            <w:pPr>
              <w:pStyle w:val="ARtablecolhead"/>
            </w:pPr>
            <w:r w:rsidRPr="002029AF">
              <w:t>Performance</w:t>
            </w:r>
            <w:r w:rsidR="000A5329" w:rsidRPr="002029AF">
              <w:t xml:space="preserve"> </w:t>
            </w:r>
            <w:r w:rsidRPr="002029AF">
              <w:t>measures</w:t>
            </w:r>
          </w:p>
        </w:tc>
        <w:tc>
          <w:tcPr>
            <w:tcW w:w="1020" w:type="dxa"/>
            <w:gridSpan w:val="2"/>
            <w:tcBorders>
              <w:top w:val="nil"/>
              <w:left w:val="nil"/>
              <w:bottom w:val="single" w:sz="4" w:space="0" w:color="auto"/>
              <w:right w:val="nil"/>
            </w:tcBorders>
            <w:vAlign w:val="bottom"/>
            <w:hideMark/>
          </w:tcPr>
          <w:p w14:paraId="6C0BBBE6" w14:textId="311D2BDB" w:rsidR="005B58F0" w:rsidRPr="002029AF" w:rsidRDefault="005B58F0" w:rsidP="0014376C">
            <w:pPr>
              <w:pStyle w:val="ARtablecolhead"/>
            </w:pPr>
            <w:r w:rsidRPr="002029AF">
              <w:t>Unit</w:t>
            </w:r>
            <w:r w:rsidR="000A5329" w:rsidRPr="002029AF">
              <w:t xml:space="preserve"> </w:t>
            </w:r>
            <w:r w:rsidRPr="002029AF">
              <w:t>of</w:t>
            </w:r>
            <w:r w:rsidR="000A5329" w:rsidRPr="002029AF">
              <w:t xml:space="preserve"> </w:t>
            </w:r>
            <w:r w:rsidRPr="002029AF">
              <w:t>measure</w:t>
            </w:r>
          </w:p>
        </w:tc>
        <w:tc>
          <w:tcPr>
            <w:tcW w:w="1020" w:type="dxa"/>
            <w:gridSpan w:val="2"/>
            <w:tcBorders>
              <w:top w:val="nil"/>
              <w:left w:val="nil"/>
              <w:bottom w:val="single" w:sz="4" w:space="0" w:color="auto"/>
              <w:right w:val="nil"/>
            </w:tcBorders>
            <w:vAlign w:val="bottom"/>
            <w:hideMark/>
          </w:tcPr>
          <w:p w14:paraId="19345D18" w14:textId="7030D76C" w:rsidR="005B58F0" w:rsidRPr="002029AF" w:rsidRDefault="005B58F0" w:rsidP="0014376C">
            <w:pPr>
              <w:pStyle w:val="ARtablecolheadright"/>
            </w:pPr>
            <w:r w:rsidRPr="002029AF">
              <w:t>2019–20</w:t>
            </w:r>
            <w:r w:rsidR="000A5329" w:rsidRPr="002029AF">
              <w:t xml:space="preserve"> </w:t>
            </w:r>
            <w:r w:rsidRPr="002029AF">
              <w:t>target</w:t>
            </w:r>
          </w:p>
        </w:tc>
        <w:tc>
          <w:tcPr>
            <w:tcW w:w="1020" w:type="dxa"/>
            <w:gridSpan w:val="2"/>
            <w:tcBorders>
              <w:top w:val="nil"/>
              <w:left w:val="nil"/>
              <w:bottom w:val="single" w:sz="4" w:space="0" w:color="auto"/>
              <w:right w:val="nil"/>
            </w:tcBorders>
            <w:vAlign w:val="bottom"/>
            <w:hideMark/>
          </w:tcPr>
          <w:p w14:paraId="08E422FC" w14:textId="5561380E" w:rsidR="005B58F0" w:rsidRPr="002029AF" w:rsidRDefault="005B58F0" w:rsidP="0014376C">
            <w:pPr>
              <w:pStyle w:val="ARtablecolheadright"/>
            </w:pPr>
            <w:r w:rsidRPr="002029AF">
              <w:t>2019–20</w:t>
            </w:r>
            <w:r w:rsidR="000A5329" w:rsidRPr="002029AF">
              <w:t xml:space="preserve"> </w:t>
            </w:r>
            <w:r w:rsidRPr="002029AF">
              <w:t>actual</w:t>
            </w:r>
          </w:p>
        </w:tc>
        <w:tc>
          <w:tcPr>
            <w:tcW w:w="1023" w:type="dxa"/>
            <w:tcBorders>
              <w:top w:val="nil"/>
              <w:left w:val="nil"/>
              <w:bottom w:val="single" w:sz="4" w:space="0" w:color="auto"/>
              <w:right w:val="nil"/>
            </w:tcBorders>
            <w:vAlign w:val="bottom"/>
            <w:hideMark/>
          </w:tcPr>
          <w:p w14:paraId="331ED90B" w14:textId="408D4861" w:rsidR="005B58F0" w:rsidRPr="002029AF" w:rsidRDefault="005B58F0" w:rsidP="0014376C">
            <w:pPr>
              <w:pStyle w:val="ARtablecolheadright"/>
            </w:pPr>
            <w:r w:rsidRPr="002029AF">
              <w:t>Variation</w:t>
            </w:r>
            <w:r w:rsidR="000A5329" w:rsidRPr="002029AF">
              <w:t xml:space="preserve"> </w:t>
            </w:r>
            <w:r w:rsidRPr="002029AF">
              <w:t>(%)</w:t>
            </w:r>
          </w:p>
        </w:tc>
        <w:tc>
          <w:tcPr>
            <w:tcW w:w="804" w:type="dxa"/>
            <w:gridSpan w:val="2"/>
            <w:tcBorders>
              <w:top w:val="nil"/>
              <w:left w:val="nil"/>
              <w:bottom w:val="single" w:sz="4" w:space="0" w:color="auto"/>
              <w:right w:val="nil"/>
            </w:tcBorders>
            <w:vAlign w:val="bottom"/>
            <w:hideMark/>
          </w:tcPr>
          <w:p w14:paraId="41793704" w14:textId="77777777" w:rsidR="005B58F0" w:rsidRPr="002029AF" w:rsidRDefault="005B58F0" w:rsidP="000D3C3F">
            <w:pPr>
              <w:pStyle w:val="ARtablecolheadcentre"/>
            </w:pPr>
            <w:r w:rsidRPr="002029AF">
              <w:t>Result</w:t>
            </w:r>
          </w:p>
        </w:tc>
      </w:tr>
      <w:tr w:rsidR="00C15C65" w:rsidRPr="002029AF" w14:paraId="2551DCC6" w14:textId="77777777" w:rsidTr="005B58F0">
        <w:trPr>
          <w:cantSplit/>
        </w:trPr>
        <w:tc>
          <w:tcPr>
            <w:tcW w:w="9639" w:type="dxa"/>
            <w:gridSpan w:val="11"/>
            <w:tcBorders>
              <w:top w:val="single" w:sz="4" w:space="0" w:color="auto"/>
              <w:left w:val="nil"/>
              <w:bottom w:val="single" w:sz="4" w:space="0" w:color="auto"/>
              <w:right w:val="nil"/>
            </w:tcBorders>
            <w:hideMark/>
          </w:tcPr>
          <w:p w14:paraId="3847609B" w14:textId="3AF8225C" w:rsidR="00C15C65" w:rsidRPr="002029AF" w:rsidRDefault="00C15C65" w:rsidP="007666A5">
            <w:pPr>
              <w:pStyle w:val="ARtablesubhead"/>
            </w:pPr>
            <w:r w:rsidRPr="002029AF">
              <w:t>Health</w:t>
            </w:r>
            <w:r w:rsidR="000A5329" w:rsidRPr="002029AF">
              <w:t xml:space="preserve"> </w:t>
            </w:r>
            <w:r w:rsidRPr="002029AF">
              <w:t>Protection</w:t>
            </w:r>
          </w:p>
        </w:tc>
      </w:tr>
      <w:tr w:rsidR="00C15C65" w:rsidRPr="002029AF" w14:paraId="24F63ED3" w14:textId="77777777" w:rsidTr="005B58F0">
        <w:trPr>
          <w:cantSplit/>
        </w:trPr>
        <w:tc>
          <w:tcPr>
            <w:tcW w:w="9639" w:type="dxa"/>
            <w:gridSpan w:val="11"/>
            <w:tcBorders>
              <w:top w:val="single" w:sz="4" w:space="0" w:color="auto"/>
              <w:left w:val="nil"/>
              <w:bottom w:val="nil"/>
              <w:right w:val="nil"/>
            </w:tcBorders>
            <w:hideMark/>
          </w:tcPr>
          <w:p w14:paraId="508F4FD3" w14:textId="77777777" w:rsidR="00C15C65" w:rsidRPr="002029AF" w:rsidRDefault="00C15C65" w:rsidP="00D96AFD">
            <w:pPr>
              <w:pStyle w:val="ARtablegreybold"/>
            </w:pPr>
            <w:r w:rsidRPr="002029AF">
              <w:t>Quantity</w:t>
            </w:r>
          </w:p>
        </w:tc>
      </w:tr>
      <w:tr w:rsidR="00C15C65" w:rsidRPr="002029AF" w14:paraId="5AA050CB" w14:textId="77777777" w:rsidTr="005B58F0">
        <w:trPr>
          <w:gridAfter w:val="1"/>
          <w:wAfter w:w="6" w:type="dxa"/>
          <w:cantSplit/>
        </w:trPr>
        <w:tc>
          <w:tcPr>
            <w:tcW w:w="4745" w:type="dxa"/>
            <w:shd w:val="clear" w:color="auto" w:fill="auto"/>
            <w:hideMark/>
          </w:tcPr>
          <w:p w14:paraId="15D4F115" w14:textId="3C9EFB5C" w:rsidR="00C15C65" w:rsidRPr="002029AF" w:rsidRDefault="00C15C65" w:rsidP="00C40F5D">
            <w:pPr>
              <w:pStyle w:val="ARtabletext"/>
            </w:pPr>
            <w:r w:rsidRPr="002029AF">
              <w:t>Calls</w:t>
            </w:r>
            <w:r w:rsidR="000A5329" w:rsidRPr="002029AF">
              <w:t xml:space="preserve"> </w:t>
            </w:r>
            <w:r w:rsidRPr="002029AF">
              <w:t>to</w:t>
            </w:r>
            <w:r w:rsidR="000A5329" w:rsidRPr="002029AF">
              <w:t xml:space="preserve"> </w:t>
            </w:r>
            <w:r w:rsidRPr="002029AF">
              <w:t>food</w:t>
            </w:r>
            <w:r w:rsidR="000A5329" w:rsidRPr="002029AF">
              <w:t xml:space="preserve"> </w:t>
            </w:r>
            <w:r w:rsidRPr="002029AF">
              <w:t>safety</w:t>
            </w:r>
            <w:r w:rsidR="000A5329" w:rsidRPr="002029AF">
              <w:t xml:space="preserve"> </w:t>
            </w:r>
            <w:r w:rsidRPr="002029AF">
              <w:t>hotlines</w:t>
            </w:r>
          </w:p>
        </w:tc>
        <w:tc>
          <w:tcPr>
            <w:tcW w:w="1019" w:type="dxa"/>
            <w:gridSpan w:val="2"/>
            <w:shd w:val="clear" w:color="auto" w:fill="auto"/>
            <w:hideMark/>
          </w:tcPr>
          <w:p w14:paraId="25317099" w14:textId="77777777" w:rsidR="00C15C65" w:rsidRPr="002029AF" w:rsidRDefault="00C15C65" w:rsidP="00C40F5D">
            <w:pPr>
              <w:pStyle w:val="ARtabletext"/>
            </w:pPr>
            <w:r w:rsidRPr="002029AF">
              <w:t>number</w:t>
            </w:r>
          </w:p>
        </w:tc>
        <w:tc>
          <w:tcPr>
            <w:tcW w:w="1018" w:type="dxa"/>
            <w:gridSpan w:val="2"/>
            <w:shd w:val="clear" w:color="auto" w:fill="auto"/>
            <w:hideMark/>
          </w:tcPr>
          <w:p w14:paraId="74B9595F" w14:textId="77777777" w:rsidR="00C15C65" w:rsidRPr="002029AF" w:rsidRDefault="00C15C65" w:rsidP="00FD77AA">
            <w:pPr>
              <w:pStyle w:val="ARtabletextright"/>
            </w:pPr>
            <w:r w:rsidRPr="002029AF">
              <w:t>4,500</w:t>
            </w:r>
          </w:p>
        </w:tc>
        <w:tc>
          <w:tcPr>
            <w:tcW w:w="1022" w:type="dxa"/>
            <w:gridSpan w:val="2"/>
            <w:shd w:val="clear" w:color="auto" w:fill="auto"/>
            <w:hideMark/>
          </w:tcPr>
          <w:p w14:paraId="05A68FC5" w14:textId="77777777" w:rsidR="00C15C65" w:rsidRPr="002029AF" w:rsidRDefault="00C15C65" w:rsidP="00FD77AA">
            <w:pPr>
              <w:pStyle w:val="ARtabletextright"/>
            </w:pPr>
            <w:r w:rsidRPr="002029AF">
              <w:t>4,036</w:t>
            </w:r>
          </w:p>
        </w:tc>
        <w:tc>
          <w:tcPr>
            <w:tcW w:w="1033" w:type="dxa"/>
            <w:gridSpan w:val="2"/>
            <w:shd w:val="clear" w:color="auto" w:fill="auto"/>
          </w:tcPr>
          <w:p w14:paraId="61E62E97" w14:textId="77777777" w:rsidR="00C15C65" w:rsidRPr="002029AF" w:rsidRDefault="00C15C65" w:rsidP="00FD77AA">
            <w:pPr>
              <w:pStyle w:val="ARtabletextright"/>
            </w:pPr>
            <w:r w:rsidRPr="002029AF">
              <w:t>-10.3</w:t>
            </w:r>
          </w:p>
        </w:tc>
        <w:tc>
          <w:tcPr>
            <w:tcW w:w="796" w:type="dxa"/>
            <w:shd w:val="clear" w:color="auto" w:fill="auto"/>
            <w:hideMark/>
          </w:tcPr>
          <w:p w14:paraId="56962F45"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19334B3A" w14:textId="77777777" w:rsidTr="005B58F0">
        <w:trPr>
          <w:gridAfter w:val="1"/>
          <w:wAfter w:w="6" w:type="dxa"/>
          <w:cantSplit/>
        </w:trPr>
        <w:tc>
          <w:tcPr>
            <w:tcW w:w="9633" w:type="dxa"/>
            <w:gridSpan w:val="10"/>
            <w:tcBorders>
              <w:bottom w:val="single" w:sz="4" w:space="0" w:color="BFBFBF"/>
            </w:tcBorders>
            <w:shd w:val="clear" w:color="auto" w:fill="auto"/>
            <w:noWrap/>
            <w:hideMark/>
          </w:tcPr>
          <w:p w14:paraId="534856B5" w14:textId="0B860F89" w:rsidR="00C15C65" w:rsidRPr="002029AF" w:rsidRDefault="00C15C65" w:rsidP="00D96AFD">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lower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and</w:t>
            </w:r>
            <w:r w:rsidR="000A5329" w:rsidRPr="002029AF">
              <w:t xml:space="preserve"> </w:t>
            </w:r>
            <w:r w:rsidRPr="002029AF">
              <w:t>remote</w:t>
            </w:r>
            <w:r w:rsidR="000A5329" w:rsidRPr="002029AF">
              <w:t xml:space="preserve"> </w:t>
            </w:r>
            <w:r w:rsidRPr="002029AF">
              <w:t>working.</w:t>
            </w:r>
            <w:r w:rsidR="000A5329" w:rsidRPr="002029AF">
              <w:t xml:space="preserve"> </w:t>
            </w:r>
            <w:r w:rsidRPr="002029AF">
              <w:t>The</w:t>
            </w:r>
            <w:r w:rsidR="000A5329" w:rsidRPr="002029AF">
              <w:t xml:space="preserve"> </w:t>
            </w:r>
            <w:r w:rsidRPr="002029AF">
              <w:t>phone</w:t>
            </w:r>
            <w:r w:rsidR="000A5329" w:rsidRPr="002029AF">
              <w:t xml:space="preserve"> </w:t>
            </w:r>
            <w:r w:rsidRPr="002029AF">
              <w:t>mailbox</w:t>
            </w:r>
            <w:r w:rsidR="000A5329" w:rsidRPr="002029AF">
              <w:t xml:space="preserve"> </w:t>
            </w:r>
            <w:r w:rsidRPr="002029AF">
              <w:t>messaging</w:t>
            </w:r>
            <w:r w:rsidR="000A5329" w:rsidRPr="002029AF">
              <w:t xml:space="preserve"> </w:t>
            </w:r>
            <w:r w:rsidRPr="002029AF">
              <w:t>changed</w:t>
            </w:r>
            <w:r w:rsidR="000A5329" w:rsidRPr="002029AF">
              <w:t xml:space="preserve"> </w:t>
            </w:r>
            <w:r w:rsidRPr="002029AF">
              <w:t>to</w:t>
            </w:r>
            <w:r w:rsidR="000A5329" w:rsidRPr="002029AF">
              <w:t xml:space="preserve"> </w:t>
            </w:r>
            <w:r w:rsidRPr="002029AF">
              <w:t>encourage</w:t>
            </w:r>
            <w:r w:rsidR="000A5329" w:rsidRPr="002029AF">
              <w:t xml:space="preserve"> </w:t>
            </w:r>
            <w:r w:rsidRPr="002029AF">
              <w:t>more</w:t>
            </w:r>
            <w:r w:rsidR="000A5329" w:rsidRPr="002029AF">
              <w:t xml:space="preserve"> </w:t>
            </w:r>
            <w:r w:rsidRPr="002029AF">
              <w:t>people</w:t>
            </w:r>
            <w:r w:rsidR="000A5329" w:rsidRPr="002029AF">
              <w:t xml:space="preserve"> </w:t>
            </w:r>
            <w:r w:rsidRPr="002029AF">
              <w:t>to</w:t>
            </w:r>
            <w:r w:rsidR="000A5329" w:rsidRPr="002029AF">
              <w:t xml:space="preserve"> </w:t>
            </w:r>
            <w:r w:rsidRPr="002029AF">
              <w:t>communicate</w:t>
            </w:r>
            <w:r w:rsidR="000A5329" w:rsidRPr="002029AF">
              <w:t xml:space="preserve"> </w:t>
            </w:r>
            <w:r w:rsidRPr="002029AF">
              <w:t>via</w:t>
            </w:r>
            <w:r w:rsidR="000A5329" w:rsidRPr="002029AF">
              <w:t xml:space="preserve"> </w:t>
            </w:r>
            <w:r w:rsidRPr="002029AF">
              <w:t>email.</w:t>
            </w:r>
            <w:r w:rsidR="000A5329" w:rsidRPr="002029AF">
              <w:t xml:space="preserve"> </w:t>
            </w:r>
            <w:r w:rsidRPr="002029AF">
              <w:t>A</w:t>
            </w:r>
            <w:r w:rsidR="000A5329" w:rsidRPr="002029AF">
              <w:t xml:space="preserve"> </w:t>
            </w:r>
            <w:r w:rsidRPr="002029AF">
              <w:t>reduction</w:t>
            </w:r>
            <w:r w:rsidR="000A5329" w:rsidRPr="002029AF">
              <w:t xml:space="preserve"> </w:t>
            </w:r>
            <w:r w:rsidRPr="002029AF">
              <w:t>in</w:t>
            </w:r>
            <w:r w:rsidR="000A5329" w:rsidRPr="002029AF">
              <w:t xml:space="preserve"> </w:t>
            </w:r>
            <w:r w:rsidRPr="002029AF">
              <w:t>calls,</w:t>
            </w:r>
            <w:r w:rsidR="000A5329" w:rsidRPr="002029AF">
              <w:t xml:space="preserve"> </w:t>
            </w:r>
            <w:r w:rsidRPr="002029AF">
              <w:t>which</w:t>
            </w:r>
            <w:r w:rsidR="000A5329" w:rsidRPr="002029AF">
              <w:t xml:space="preserve"> </w:t>
            </w:r>
            <w:r w:rsidRPr="002029AF">
              <w:t>is</w:t>
            </w:r>
            <w:r w:rsidR="000A5329" w:rsidRPr="002029AF">
              <w:t xml:space="preserve"> </w:t>
            </w:r>
            <w:r w:rsidRPr="002029AF">
              <w:t>desired,</w:t>
            </w:r>
            <w:r w:rsidR="000A5329" w:rsidRPr="002029AF">
              <w:t xml:space="preserve"> </w:t>
            </w:r>
            <w:r w:rsidRPr="002029AF">
              <w:t>has</w:t>
            </w:r>
            <w:r w:rsidR="000A5329" w:rsidRPr="002029AF">
              <w:t xml:space="preserve"> </w:t>
            </w:r>
            <w:r w:rsidRPr="002029AF">
              <w:t>occurred</w:t>
            </w:r>
            <w:r w:rsidR="000A5329" w:rsidRPr="002029AF">
              <w:t xml:space="preserve"> </w:t>
            </w:r>
            <w:r w:rsidRPr="002029AF">
              <w:t>faster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p>
        </w:tc>
      </w:tr>
      <w:tr w:rsidR="00C15C65" w:rsidRPr="002029AF" w14:paraId="2F569EBB" w14:textId="77777777" w:rsidTr="005B58F0">
        <w:trPr>
          <w:gridAfter w:val="1"/>
          <w:wAfter w:w="6" w:type="dxa"/>
          <w:cantSplit/>
        </w:trPr>
        <w:tc>
          <w:tcPr>
            <w:tcW w:w="4745" w:type="dxa"/>
            <w:shd w:val="clear" w:color="auto" w:fill="auto"/>
            <w:hideMark/>
          </w:tcPr>
          <w:p w14:paraId="5FD9B201" w14:textId="320FE013" w:rsidR="00C15C65" w:rsidRPr="002029AF" w:rsidRDefault="00C15C65" w:rsidP="00C40F5D">
            <w:pPr>
              <w:pStyle w:val="ARtabletext"/>
            </w:pPr>
            <w:r w:rsidRPr="002029AF">
              <w:t>Inspections</w:t>
            </w:r>
            <w:r w:rsidR="000A5329" w:rsidRPr="002029AF">
              <w:t xml:space="preserve"> </w:t>
            </w:r>
            <w:r w:rsidRPr="002029AF">
              <w:t>of</w:t>
            </w:r>
            <w:r w:rsidR="000A5329" w:rsidRPr="002029AF">
              <w:t xml:space="preserve"> </w:t>
            </w:r>
            <w:r w:rsidRPr="002029AF">
              <w:t>cooling</w:t>
            </w:r>
            <w:r w:rsidR="000A5329" w:rsidRPr="002029AF">
              <w:t xml:space="preserve"> </w:t>
            </w:r>
            <w:r w:rsidRPr="002029AF">
              <w:t>towers</w:t>
            </w:r>
          </w:p>
        </w:tc>
        <w:tc>
          <w:tcPr>
            <w:tcW w:w="1019" w:type="dxa"/>
            <w:gridSpan w:val="2"/>
            <w:shd w:val="clear" w:color="auto" w:fill="auto"/>
            <w:hideMark/>
          </w:tcPr>
          <w:p w14:paraId="3D8ECA92" w14:textId="77777777" w:rsidR="00C15C65" w:rsidRPr="002029AF" w:rsidRDefault="00C15C65" w:rsidP="00C40F5D">
            <w:pPr>
              <w:pStyle w:val="ARtabletext"/>
            </w:pPr>
            <w:r w:rsidRPr="002029AF">
              <w:t>number</w:t>
            </w:r>
          </w:p>
        </w:tc>
        <w:tc>
          <w:tcPr>
            <w:tcW w:w="1018" w:type="dxa"/>
            <w:gridSpan w:val="2"/>
            <w:shd w:val="clear" w:color="auto" w:fill="auto"/>
            <w:hideMark/>
          </w:tcPr>
          <w:p w14:paraId="29FE26B2" w14:textId="77777777" w:rsidR="00C15C65" w:rsidRPr="002029AF" w:rsidRDefault="00C15C65" w:rsidP="00FD77AA">
            <w:pPr>
              <w:pStyle w:val="ARtabletextright"/>
            </w:pPr>
            <w:r w:rsidRPr="002029AF">
              <w:t>1,300</w:t>
            </w:r>
          </w:p>
        </w:tc>
        <w:tc>
          <w:tcPr>
            <w:tcW w:w="1022" w:type="dxa"/>
            <w:gridSpan w:val="2"/>
            <w:shd w:val="clear" w:color="auto" w:fill="auto"/>
            <w:hideMark/>
          </w:tcPr>
          <w:p w14:paraId="161F4479" w14:textId="77777777" w:rsidR="00C15C65" w:rsidRPr="002029AF" w:rsidRDefault="00C15C65" w:rsidP="00FD77AA">
            <w:pPr>
              <w:pStyle w:val="ARtabletextright"/>
            </w:pPr>
            <w:r w:rsidRPr="002029AF">
              <w:t>779</w:t>
            </w:r>
          </w:p>
        </w:tc>
        <w:tc>
          <w:tcPr>
            <w:tcW w:w="1033" w:type="dxa"/>
            <w:gridSpan w:val="2"/>
            <w:shd w:val="clear" w:color="auto" w:fill="auto"/>
          </w:tcPr>
          <w:p w14:paraId="48928636" w14:textId="77777777" w:rsidR="00C15C65" w:rsidRPr="002029AF" w:rsidRDefault="00C15C65" w:rsidP="00FD77AA">
            <w:pPr>
              <w:pStyle w:val="ARtabletextright"/>
            </w:pPr>
            <w:r w:rsidRPr="002029AF">
              <w:t>-40.1</w:t>
            </w:r>
          </w:p>
        </w:tc>
        <w:tc>
          <w:tcPr>
            <w:tcW w:w="796" w:type="dxa"/>
            <w:shd w:val="clear" w:color="auto" w:fill="auto"/>
            <w:hideMark/>
          </w:tcPr>
          <w:p w14:paraId="38339E8F"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059DFE75" w14:textId="77777777" w:rsidTr="005B58F0">
        <w:trPr>
          <w:gridAfter w:val="1"/>
          <w:wAfter w:w="6" w:type="dxa"/>
          <w:cantSplit/>
        </w:trPr>
        <w:tc>
          <w:tcPr>
            <w:tcW w:w="9633" w:type="dxa"/>
            <w:gridSpan w:val="10"/>
            <w:tcBorders>
              <w:bottom w:val="single" w:sz="4" w:space="0" w:color="BFBFBF"/>
            </w:tcBorders>
            <w:shd w:val="clear" w:color="auto" w:fill="auto"/>
            <w:noWrap/>
            <w:hideMark/>
          </w:tcPr>
          <w:p w14:paraId="29142A0D" w14:textId="5F3D937A" w:rsidR="00C15C65" w:rsidRPr="002029AF" w:rsidRDefault="00C15C65" w:rsidP="00D96AFD">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lower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a</w:t>
            </w:r>
            <w:r w:rsidR="000A5329" w:rsidRPr="002029AF">
              <w:t xml:space="preserve"> </w:t>
            </w:r>
            <w:r w:rsidRPr="002029AF">
              <w:t>number</w:t>
            </w:r>
            <w:r w:rsidR="000A5329" w:rsidRPr="002029AF">
              <w:t xml:space="preserve"> </w:t>
            </w:r>
            <w:r w:rsidRPr="002029AF">
              <w:t>of</w:t>
            </w:r>
            <w:r w:rsidR="000A5329" w:rsidRPr="002029AF">
              <w:t xml:space="preserve"> </w:t>
            </w:r>
            <w:r w:rsidRPr="002029AF">
              <w:t>staff</w:t>
            </w:r>
            <w:r w:rsidR="000A5329" w:rsidRPr="002029AF">
              <w:t xml:space="preserve"> </w:t>
            </w:r>
            <w:r w:rsidRPr="002029AF">
              <w:t>diverted</w:t>
            </w:r>
            <w:r w:rsidR="000A5329" w:rsidRPr="002029AF">
              <w:t xml:space="preserve"> </w:t>
            </w:r>
            <w:r w:rsidRPr="002029AF">
              <w:t>to</w:t>
            </w:r>
            <w:r w:rsidR="000A5329" w:rsidRPr="002029AF">
              <w:t xml:space="preserve"> </w:t>
            </w:r>
            <w:r w:rsidRPr="002029AF">
              <w:t>assist</w:t>
            </w:r>
            <w:r w:rsidR="000A5329" w:rsidRPr="002029AF">
              <w:t xml:space="preserve"> </w:t>
            </w:r>
            <w:r w:rsidRPr="002029AF">
              <w:t>with</w:t>
            </w:r>
            <w:r w:rsidR="000A5329" w:rsidRPr="002029AF">
              <w:t xml:space="preserve"> </w:t>
            </w:r>
            <w:r w:rsidRPr="002029AF">
              <w:t>the</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response</w:t>
            </w:r>
            <w:r w:rsidR="000A5329" w:rsidRPr="002029AF">
              <w:t xml:space="preserve"> </w:t>
            </w:r>
            <w:r w:rsidRPr="002029AF">
              <w:t>and</w:t>
            </w:r>
            <w:r w:rsidR="000A5329" w:rsidRPr="002029AF">
              <w:t xml:space="preserve"> </w:t>
            </w:r>
            <w:r w:rsidRPr="002029AF">
              <w:t>insufficient</w:t>
            </w:r>
            <w:r w:rsidR="000A5329" w:rsidRPr="002029AF">
              <w:t xml:space="preserve"> </w:t>
            </w:r>
            <w:r w:rsidRPr="002029AF">
              <w:t>numbers</w:t>
            </w:r>
            <w:r w:rsidR="000A5329" w:rsidRPr="002029AF">
              <w:t xml:space="preserve"> </w:t>
            </w:r>
            <w:r w:rsidRPr="002029AF">
              <w:t>of</w:t>
            </w:r>
            <w:r w:rsidR="000A5329" w:rsidRPr="002029AF">
              <w:t xml:space="preserve"> </w:t>
            </w:r>
            <w:r w:rsidRPr="002029AF">
              <w:t>staff</w:t>
            </w:r>
            <w:r w:rsidR="000A5329" w:rsidRPr="002029AF">
              <w:t xml:space="preserve"> </w:t>
            </w:r>
            <w:r w:rsidRPr="002029AF">
              <w:t>to</w:t>
            </w:r>
            <w:r w:rsidR="000A5329" w:rsidRPr="002029AF">
              <w:t xml:space="preserve"> </w:t>
            </w:r>
            <w:r w:rsidRPr="002029AF">
              <w:t>meet</w:t>
            </w:r>
            <w:r w:rsidR="000A5329" w:rsidRPr="002029AF">
              <w:t xml:space="preserve"> </w:t>
            </w:r>
            <w:r w:rsidRPr="002029AF">
              <w:t>the</w:t>
            </w:r>
            <w:r w:rsidR="000A5329" w:rsidRPr="002029AF">
              <w:t xml:space="preserve"> </w:t>
            </w:r>
            <w:r w:rsidRPr="002029AF">
              <w:t>target</w:t>
            </w:r>
            <w:r w:rsidR="000A5329" w:rsidRPr="002029AF">
              <w:t xml:space="preserve"> </w:t>
            </w:r>
            <w:r w:rsidRPr="002029AF">
              <w:t>in</w:t>
            </w:r>
            <w:r w:rsidR="000A5329" w:rsidRPr="002029AF">
              <w:t xml:space="preserve"> </w:t>
            </w:r>
            <w:r w:rsidRPr="002029AF">
              <w:t>the</w:t>
            </w:r>
            <w:r w:rsidR="000A5329" w:rsidRPr="002029AF">
              <w:t xml:space="preserve"> </w:t>
            </w:r>
            <w:r w:rsidRPr="002029AF">
              <w:t>context</w:t>
            </w:r>
            <w:r w:rsidR="000A5329" w:rsidRPr="002029AF">
              <w:t xml:space="preserve"> </w:t>
            </w:r>
            <w:r w:rsidRPr="002029AF">
              <w:t>of</w:t>
            </w:r>
            <w:r w:rsidR="000A5329" w:rsidRPr="002029AF">
              <w:t xml:space="preserve"> </w:t>
            </w:r>
            <w:r w:rsidRPr="002029AF">
              <w:t>increasing</w:t>
            </w:r>
            <w:r w:rsidR="000A5329" w:rsidRPr="002029AF">
              <w:t xml:space="preserve"> </w:t>
            </w:r>
            <w:r w:rsidRPr="002029AF">
              <w:t>volume</w:t>
            </w:r>
            <w:r w:rsidR="000A5329" w:rsidRPr="002029AF">
              <w:t xml:space="preserve"> </w:t>
            </w:r>
            <w:r w:rsidRPr="002029AF">
              <w:t>and</w:t>
            </w:r>
            <w:r w:rsidR="000A5329" w:rsidRPr="002029AF">
              <w:t xml:space="preserve"> </w:t>
            </w:r>
            <w:r w:rsidRPr="002029AF">
              <w:t>complexity</w:t>
            </w:r>
            <w:r w:rsidR="000A5329" w:rsidRPr="002029AF">
              <w:t xml:space="preserve"> </w:t>
            </w:r>
            <w:r w:rsidRPr="002029AF">
              <w:t>of</w:t>
            </w:r>
            <w:r w:rsidR="000A5329" w:rsidRPr="002029AF">
              <w:t xml:space="preserve"> </w:t>
            </w:r>
            <w:r w:rsidRPr="002029AF">
              <w:t>demands.</w:t>
            </w:r>
            <w:r w:rsidR="000A5329" w:rsidRPr="002029AF">
              <w:t xml:space="preserve"> </w:t>
            </w:r>
            <w:r w:rsidRPr="002029AF">
              <w:t>One</w:t>
            </w:r>
            <w:r w:rsidR="000A5329" w:rsidRPr="002029AF">
              <w:t xml:space="preserve"> </w:t>
            </w:r>
            <w:r w:rsidRPr="002029AF">
              <w:t>hundred</w:t>
            </w:r>
            <w:r w:rsidR="000A5329" w:rsidRPr="002029AF">
              <w:t xml:space="preserve"> </w:t>
            </w:r>
            <w:r w:rsidRPr="002029AF">
              <w:t>and</w:t>
            </w:r>
            <w:r w:rsidR="000A5329" w:rsidRPr="002029AF">
              <w:t xml:space="preserve"> </w:t>
            </w:r>
            <w:r w:rsidRPr="002029AF">
              <w:t>fifty-six</w:t>
            </w:r>
            <w:r w:rsidR="000A5329" w:rsidRPr="002029AF">
              <w:t xml:space="preserve"> </w:t>
            </w:r>
            <w:r w:rsidRPr="002029AF">
              <w:t>targeted</w:t>
            </w:r>
            <w:r w:rsidR="000A5329" w:rsidRPr="002029AF">
              <w:t xml:space="preserve"> </w:t>
            </w:r>
            <w:r w:rsidRPr="002029AF">
              <w:t>self-audits</w:t>
            </w:r>
            <w:r w:rsidR="000A5329" w:rsidRPr="002029AF">
              <w:t xml:space="preserve"> </w:t>
            </w:r>
            <w:r w:rsidRPr="002029AF">
              <w:t>and</w:t>
            </w:r>
            <w:r w:rsidR="000A5329" w:rsidRPr="002029AF">
              <w:t xml:space="preserve"> </w:t>
            </w:r>
            <w:r w:rsidRPr="002029AF">
              <w:t>surveys</w:t>
            </w:r>
            <w:r w:rsidR="000A5329" w:rsidRPr="002029AF">
              <w:t xml:space="preserve"> </w:t>
            </w:r>
            <w:r w:rsidRPr="002029AF">
              <w:t>of</w:t>
            </w:r>
            <w:r w:rsidR="000A5329" w:rsidRPr="002029AF">
              <w:t xml:space="preserve"> </w:t>
            </w:r>
            <w:r w:rsidRPr="002029AF">
              <w:t>licence</w:t>
            </w:r>
            <w:r w:rsidR="000A5329" w:rsidRPr="002029AF">
              <w:t xml:space="preserve"> </w:t>
            </w:r>
            <w:r w:rsidRPr="002029AF">
              <w:t>holders</w:t>
            </w:r>
            <w:r w:rsidR="000A5329" w:rsidRPr="002029AF">
              <w:t xml:space="preserve"> </w:t>
            </w:r>
            <w:r w:rsidRPr="002029AF">
              <w:t>have</w:t>
            </w:r>
            <w:r w:rsidR="000A5329" w:rsidRPr="002029AF">
              <w:t xml:space="preserve"> </w:t>
            </w:r>
            <w:r w:rsidRPr="002029AF">
              <w:t>been</w:t>
            </w:r>
            <w:r w:rsidR="000A5329" w:rsidRPr="002029AF">
              <w:t xml:space="preserve"> </w:t>
            </w:r>
            <w:r w:rsidRPr="002029AF">
              <w:t>conducted</w:t>
            </w:r>
            <w:r w:rsidR="000A5329" w:rsidRPr="002029AF">
              <w:t xml:space="preserve"> </w:t>
            </w:r>
            <w:r w:rsidRPr="002029AF">
              <w:t>since</w:t>
            </w:r>
            <w:r w:rsidR="000A5329" w:rsidRPr="002029AF">
              <w:t xml:space="preserve"> </w:t>
            </w:r>
            <w:r w:rsidRPr="002029AF">
              <w:t>April</w:t>
            </w:r>
            <w:r w:rsidR="000A5329" w:rsidRPr="002029AF">
              <w:t xml:space="preserve"> </w:t>
            </w:r>
            <w:r w:rsidRPr="002029AF">
              <w:t>2020</w:t>
            </w:r>
            <w:r w:rsidR="000A5329" w:rsidRPr="002029AF">
              <w:t xml:space="preserve"> </w:t>
            </w:r>
            <w:r w:rsidRPr="002029AF">
              <w:t>but</w:t>
            </w:r>
            <w:r w:rsidR="000A5329" w:rsidRPr="002029AF">
              <w:t xml:space="preserve"> </w:t>
            </w:r>
            <w:r w:rsidRPr="002029AF">
              <w:t>these</w:t>
            </w:r>
            <w:r w:rsidR="000A5329" w:rsidRPr="002029AF">
              <w:t xml:space="preserve"> </w:t>
            </w:r>
            <w:r w:rsidRPr="002029AF">
              <w:t>have</w:t>
            </w:r>
            <w:r w:rsidR="000A5329" w:rsidRPr="002029AF">
              <w:t xml:space="preserve"> </w:t>
            </w:r>
            <w:r w:rsidRPr="002029AF">
              <w:t>not</w:t>
            </w:r>
            <w:r w:rsidR="000A5329" w:rsidRPr="002029AF">
              <w:t xml:space="preserve"> </w:t>
            </w:r>
            <w:r w:rsidRPr="002029AF">
              <w:t>been</w:t>
            </w:r>
            <w:r w:rsidR="000A5329" w:rsidRPr="002029AF">
              <w:t xml:space="preserve"> </w:t>
            </w:r>
            <w:r w:rsidRPr="002029AF">
              <w:t>included</w:t>
            </w:r>
            <w:r w:rsidR="000A5329" w:rsidRPr="002029AF">
              <w:t xml:space="preserve"> </w:t>
            </w:r>
            <w:r w:rsidRPr="002029AF">
              <w:t>in</w:t>
            </w:r>
            <w:r w:rsidR="000A5329" w:rsidRPr="002029AF">
              <w:t xml:space="preserve"> </w:t>
            </w:r>
            <w:r w:rsidRPr="002029AF">
              <w:t>the</w:t>
            </w:r>
            <w:r w:rsidR="000A5329" w:rsidRPr="002029AF">
              <w:t xml:space="preserve"> </w:t>
            </w:r>
            <w:r w:rsidRPr="002029AF">
              <w:t>total</w:t>
            </w:r>
            <w:r w:rsidR="000A5329" w:rsidRPr="002029AF">
              <w:t xml:space="preserve"> </w:t>
            </w:r>
            <w:r w:rsidRPr="002029AF">
              <w:t>number</w:t>
            </w:r>
            <w:r w:rsidR="000A5329" w:rsidRPr="002029AF">
              <w:t xml:space="preserve"> </w:t>
            </w:r>
            <w:r w:rsidRPr="002029AF">
              <w:t>of</w:t>
            </w:r>
            <w:r w:rsidR="000A5329" w:rsidRPr="002029AF">
              <w:t xml:space="preserve"> </w:t>
            </w:r>
            <w:r w:rsidRPr="002029AF">
              <w:t>inspections.</w:t>
            </w:r>
          </w:p>
        </w:tc>
      </w:tr>
      <w:tr w:rsidR="00C15C65" w:rsidRPr="002029AF" w14:paraId="6787E4F4" w14:textId="77777777" w:rsidTr="005B58F0">
        <w:trPr>
          <w:gridAfter w:val="1"/>
          <w:wAfter w:w="6" w:type="dxa"/>
          <w:cantSplit/>
        </w:trPr>
        <w:tc>
          <w:tcPr>
            <w:tcW w:w="4745" w:type="dxa"/>
            <w:shd w:val="clear" w:color="auto" w:fill="auto"/>
            <w:hideMark/>
          </w:tcPr>
          <w:p w14:paraId="193777CB" w14:textId="39D15935" w:rsidR="00C15C65" w:rsidRPr="002029AF" w:rsidRDefault="00C15C65" w:rsidP="00C40F5D">
            <w:pPr>
              <w:pStyle w:val="ARtabletext"/>
            </w:pPr>
            <w:r w:rsidRPr="002029AF">
              <w:t>Inspections</w:t>
            </w:r>
            <w:r w:rsidR="000A5329" w:rsidRPr="002029AF">
              <w:t xml:space="preserve"> </w:t>
            </w:r>
            <w:r w:rsidRPr="002029AF">
              <w:t>of</w:t>
            </w:r>
            <w:r w:rsidR="000A5329" w:rsidRPr="002029AF">
              <w:t xml:space="preserve"> </w:t>
            </w:r>
            <w:r w:rsidRPr="002029AF">
              <w:t>radiation</w:t>
            </w:r>
            <w:r w:rsidR="000A5329" w:rsidRPr="002029AF">
              <w:t xml:space="preserve"> </w:t>
            </w:r>
            <w:r w:rsidRPr="002029AF">
              <w:t>safety</w:t>
            </w:r>
            <w:r w:rsidR="000A5329" w:rsidRPr="002029AF">
              <w:t xml:space="preserve"> </w:t>
            </w:r>
            <w:r w:rsidRPr="002029AF">
              <w:t>management</w:t>
            </w:r>
            <w:r w:rsidR="000A5329" w:rsidRPr="002029AF">
              <w:t xml:space="preserve"> </w:t>
            </w:r>
            <w:r w:rsidRPr="002029AF">
              <w:t>licences</w:t>
            </w:r>
          </w:p>
        </w:tc>
        <w:tc>
          <w:tcPr>
            <w:tcW w:w="1019" w:type="dxa"/>
            <w:gridSpan w:val="2"/>
            <w:shd w:val="clear" w:color="auto" w:fill="auto"/>
            <w:hideMark/>
          </w:tcPr>
          <w:p w14:paraId="7FFB5D71" w14:textId="77777777" w:rsidR="00C15C65" w:rsidRPr="002029AF" w:rsidRDefault="00C15C65" w:rsidP="00C40F5D">
            <w:pPr>
              <w:pStyle w:val="ARtabletext"/>
            </w:pPr>
            <w:r w:rsidRPr="002029AF">
              <w:t>number</w:t>
            </w:r>
          </w:p>
        </w:tc>
        <w:tc>
          <w:tcPr>
            <w:tcW w:w="1018" w:type="dxa"/>
            <w:gridSpan w:val="2"/>
            <w:shd w:val="clear" w:color="auto" w:fill="auto"/>
            <w:hideMark/>
          </w:tcPr>
          <w:p w14:paraId="693CA8D1" w14:textId="77777777" w:rsidR="00C15C65" w:rsidRPr="002029AF" w:rsidRDefault="00C15C65" w:rsidP="00FD77AA">
            <w:pPr>
              <w:pStyle w:val="ARtabletextright"/>
            </w:pPr>
            <w:r w:rsidRPr="002029AF">
              <w:t>480</w:t>
            </w:r>
          </w:p>
        </w:tc>
        <w:tc>
          <w:tcPr>
            <w:tcW w:w="1022" w:type="dxa"/>
            <w:gridSpan w:val="2"/>
            <w:shd w:val="clear" w:color="auto" w:fill="auto"/>
            <w:hideMark/>
          </w:tcPr>
          <w:p w14:paraId="57254200" w14:textId="77777777" w:rsidR="00C15C65" w:rsidRPr="002029AF" w:rsidRDefault="00C15C65" w:rsidP="00FD77AA">
            <w:pPr>
              <w:pStyle w:val="ARtabletextright"/>
            </w:pPr>
            <w:r w:rsidRPr="002029AF">
              <w:t>138</w:t>
            </w:r>
          </w:p>
        </w:tc>
        <w:tc>
          <w:tcPr>
            <w:tcW w:w="1033" w:type="dxa"/>
            <w:gridSpan w:val="2"/>
            <w:shd w:val="clear" w:color="auto" w:fill="auto"/>
          </w:tcPr>
          <w:p w14:paraId="4B61DF4D" w14:textId="77777777" w:rsidR="00C15C65" w:rsidRPr="002029AF" w:rsidRDefault="00C15C65" w:rsidP="00FD77AA">
            <w:pPr>
              <w:pStyle w:val="ARtabletextright"/>
            </w:pPr>
            <w:r w:rsidRPr="002029AF">
              <w:t>-71.3</w:t>
            </w:r>
          </w:p>
        </w:tc>
        <w:tc>
          <w:tcPr>
            <w:tcW w:w="796" w:type="dxa"/>
            <w:shd w:val="clear" w:color="auto" w:fill="auto"/>
            <w:hideMark/>
          </w:tcPr>
          <w:p w14:paraId="04C07CFF"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0BEE79AF" w14:textId="77777777" w:rsidTr="005B58F0">
        <w:trPr>
          <w:gridAfter w:val="1"/>
          <w:wAfter w:w="6" w:type="dxa"/>
          <w:cantSplit/>
        </w:trPr>
        <w:tc>
          <w:tcPr>
            <w:tcW w:w="9633" w:type="dxa"/>
            <w:gridSpan w:val="10"/>
            <w:tcBorders>
              <w:bottom w:val="single" w:sz="4" w:space="0" w:color="BFBFBF"/>
            </w:tcBorders>
            <w:shd w:val="clear" w:color="auto" w:fill="auto"/>
            <w:noWrap/>
            <w:hideMark/>
          </w:tcPr>
          <w:p w14:paraId="636745D2" w14:textId="220228D6" w:rsidR="00C15C65" w:rsidRPr="002029AF" w:rsidRDefault="00C15C65" w:rsidP="00D96AFD">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lower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a</w:t>
            </w:r>
            <w:r w:rsidR="000A5329" w:rsidRPr="002029AF">
              <w:t xml:space="preserve"> </w:t>
            </w:r>
            <w:r w:rsidRPr="002029AF">
              <w:t>number</w:t>
            </w:r>
            <w:r w:rsidR="000A5329" w:rsidRPr="002029AF">
              <w:t xml:space="preserve"> </w:t>
            </w:r>
            <w:r w:rsidRPr="002029AF">
              <w:t>of</w:t>
            </w:r>
            <w:r w:rsidR="000A5329" w:rsidRPr="002029AF">
              <w:t xml:space="preserve"> </w:t>
            </w:r>
            <w:r w:rsidRPr="002029AF">
              <w:t>staff</w:t>
            </w:r>
            <w:r w:rsidR="000A5329" w:rsidRPr="002029AF">
              <w:t xml:space="preserve"> </w:t>
            </w:r>
            <w:r w:rsidRPr="002029AF">
              <w:t>diverted</w:t>
            </w:r>
            <w:r w:rsidR="000A5329" w:rsidRPr="002029AF">
              <w:t xml:space="preserve"> </w:t>
            </w:r>
            <w:r w:rsidRPr="002029AF">
              <w:t>to</w:t>
            </w:r>
            <w:r w:rsidR="000A5329" w:rsidRPr="002029AF">
              <w:t xml:space="preserve"> </w:t>
            </w:r>
            <w:r w:rsidRPr="002029AF">
              <w:t>assist</w:t>
            </w:r>
            <w:r w:rsidR="000A5329" w:rsidRPr="002029AF">
              <w:t xml:space="preserve"> </w:t>
            </w:r>
            <w:r w:rsidRPr="002029AF">
              <w:t>with</w:t>
            </w:r>
            <w:r w:rsidR="000A5329" w:rsidRPr="002029AF">
              <w:t xml:space="preserve"> </w:t>
            </w:r>
            <w:r w:rsidRPr="002029AF">
              <w:t>the</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response</w:t>
            </w:r>
            <w:r w:rsidR="000A5329" w:rsidRPr="002029AF">
              <w:t xml:space="preserve"> </w:t>
            </w:r>
            <w:r w:rsidRPr="002029AF">
              <w:t>and</w:t>
            </w:r>
            <w:r w:rsidR="000A5329" w:rsidRPr="002029AF">
              <w:t xml:space="preserve"> </w:t>
            </w:r>
            <w:r w:rsidRPr="002029AF">
              <w:t>insufficient</w:t>
            </w:r>
            <w:r w:rsidR="000A5329" w:rsidRPr="002029AF">
              <w:t xml:space="preserve"> </w:t>
            </w:r>
            <w:r w:rsidRPr="002029AF">
              <w:t>numbers</w:t>
            </w:r>
            <w:r w:rsidR="000A5329" w:rsidRPr="002029AF">
              <w:t xml:space="preserve"> </w:t>
            </w:r>
            <w:r w:rsidRPr="002029AF">
              <w:t>of</w:t>
            </w:r>
            <w:r w:rsidR="000A5329" w:rsidRPr="002029AF">
              <w:t xml:space="preserve"> </w:t>
            </w:r>
            <w:r w:rsidRPr="002029AF">
              <w:t>staff</w:t>
            </w:r>
            <w:r w:rsidR="000A5329" w:rsidRPr="002029AF">
              <w:t xml:space="preserve"> </w:t>
            </w:r>
            <w:r w:rsidRPr="002029AF">
              <w:t>to</w:t>
            </w:r>
            <w:r w:rsidR="000A5329" w:rsidRPr="002029AF">
              <w:t xml:space="preserve"> </w:t>
            </w:r>
            <w:r w:rsidRPr="002029AF">
              <w:t>meet</w:t>
            </w:r>
            <w:r w:rsidR="000A5329" w:rsidRPr="002029AF">
              <w:t xml:space="preserve"> </w:t>
            </w:r>
            <w:r w:rsidRPr="002029AF">
              <w:t>the</w:t>
            </w:r>
            <w:r w:rsidR="000A5329" w:rsidRPr="002029AF">
              <w:t xml:space="preserve"> </w:t>
            </w:r>
            <w:r w:rsidRPr="002029AF">
              <w:t>target</w:t>
            </w:r>
            <w:r w:rsidR="000A5329" w:rsidRPr="002029AF">
              <w:t xml:space="preserve"> </w:t>
            </w:r>
            <w:r w:rsidRPr="002029AF">
              <w:t>in</w:t>
            </w:r>
            <w:r w:rsidR="000A5329" w:rsidRPr="002029AF">
              <w:t xml:space="preserve"> </w:t>
            </w:r>
            <w:r w:rsidRPr="002029AF">
              <w:t>the</w:t>
            </w:r>
            <w:r w:rsidR="000A5329" w:rsidRPr="002029AF">
              <w:t xml:space="preserve"> </w:t>
            </w:r>
            <w:r w:rsidRPr="002029AF">
              <w:t>context</w:t>
            </w:r>
            <w:r w:rsidR="000A5329" w:rsidRPr="002029AF">
              <w:t xml:space="preserve"> </w:t>
            </w:r>
            <w:r w:rsidRPr="002029AF">
              <w:t>of</w:t>
            </w:r>
            <w:r w:rsidR="000A5329" w:rsidRPr="002029AF">
              <w:t xml:space="preserve"> </w:t>
            </w:r>
            <w:r w:rsidRPr="002029AF">
              <w:t>increasing</w:t>
            </w:r>
            <w:r w:rsidR="000A5329" w:rsidRPr="002029AF">
              <w:t xml:space="preserve"> </w:t>
            </w:r>
            <w:r w:rsidRPr="002029AF">
              <w:t>volume</w:t>
            </w:r>
            <w:r w:rsidR="000A5329" w:rsidRPr="002029AF">
              <w:t xml:space="preserve"> </w:t>
            </w:r>
            <w:r w:rsidRPr="002029AF">
              <w:t>and</w:t>
            </w:r>
            <w:r w:rsidR="000A5329" w:rsidRPr="002029AF">
              <w:t xml:space="preserve"> </w:t>
            </w:r>
            <w:r w:rsidRPr="002029AF">
              <w:t>complexity</w:t>
            </w:r>
            <w:r w:rsidR="000A5329" w:rsidRPr="002029AF">
              <w:t xml:space="preserve"> </w:t>
            </w:r>
            <w:r w:rsidRPr="002029AF">
              <w:t>of</w:t>
            </w:r>
            <w:r w:rsidR="000A5329" w:rsidRPr="002029AF">
              <w:t xml:space="preserve"> </w:t>
            </w:r>
            <w:r w:rsidRPr="002029AF">
              <w:t>demands.</w:t>
            </w:r>
            <w:r w:rsidR="000A5329" w:rsidRPr="002029AF">
              <w:t xml:space="preserve"> </w:t>
            </w:r>
            <w:r w:rsidRPr="002029AF">
              <w:t>One</w:t>
            </w:r>
            <w:r w:rsidR="000A5329" w:rsidRPr="002029AF">
              <w:t xml:space="preserve"> </w:t>
            </w:r>
            <w:r w:rsidRPr="002029AF">
              <w:t>hundred</w:t>
            </w:r>
            <w:r w:rsidR="000A5329" w:rsidRPr="002029AF">
              <w:t xml:space="preserve"> </w:t>
            </w:r>
            <w:r w:rsidRPr="002029AF">
              <w:t>and</w:t>
            </w:r>
            <w:r w:rsidR="000A5329" w:rsidRPr="002029AF">
              <w:t xml:space="preserve"> </w:t>
            </w:r>
            <w:r w:rsidRPr="002029AF">
              <w:t>fifty-six</w:t>
            </w:r>
            <w:r w:rsidR="000A5329" w:rsidRPr="002029AF">
              <w:t xml:space="preserve"> </w:t>
            </w:r>
            <w:r w:rsidRPr="002029AF">
              <w:t>targeted</w:t>
            </w:r>
            <w:r w:rsidR="000A5329" w:rsidRPr="002029AF">
              <w:t xml:space="preserve"> </w:t>
            </w:r>
            <w:r w:rsidRPr="002029AF">
              <w:t>self-audits</w:t>
            </w:r>
            <w:r w:rsidR="000A5329" w:rsidRPr="002029AF">
              <w:t xml:space="preserve"> </w:t>
            </w:r>
            <w:r w:rsidRPr="002029AF">
              <w:t>and</w:t>
            </w:r>
            <w:r w:rsidR="000A5329" w:rsidRPr="002029AF">
              <w:t xml:space="preserve"> </w:t>
            </w:r>
            <w:r w:rsidRPr="002029AF">
              <w:t>surveys</w:t>
            </w:r>
            <w:r w:rsidR="000A5329" w:rsidRPr="002029AF">
              <w:t xml:space="preserve"> </w:t>
            </w:r>
            <w:r w:rsidRPr="002029AF">
              <w:t>of</w:t>
            </w:r>
            <w:r w:rsidR="000A5329" w:rsidRPr="002029AF">
              <w:t xml:space="preserve"> </w:t>
            </w:r>
            <w:r w:rsidRPr="002029AF">
              <w:t>licence</w:t>
            </w:r>
            <w:r w:rsidR="000A5329" w:rsidRPr="002029AF">
              <w:t xml:space="preserve"> </w:t>
            </w:r>
            <w:r w:rsidRPr="002029AF">
              <w:t>holders</w:t>
            </w:r>
            <w:r w:rsidR="000A5329" w:rsidRPr="002029AF">
              <w:t xml:space="preserve"> </w:t>
            </w:r>
            <w:r w:rsidRPr="002029AF">
              <w:t>have</w:t>
            </w:r>
            <w:r w:rsidR="000A5329" w:rsidRPr="002029AF">
              <w:t xml:space="preserve"> </w:t>
            </w:r>
            <w:r w:rsidRPr="002029AF">
              <w:t>been</w:t>
            </w:r>
            <w:r w:rsidR="000A5329" w:rsidRPr="002029AF">
              <w:t xml:space="preserve"> </w:t>
            </w:r>
            <w:r w:rsidRPr="002029AF">
              <w:t>conducted</w:t>
            </w:r>
            <w:r w:rsidR="000A5329" w:rsidRPr="002029AF">
              <w:t xml:space="preserve"> </w:t>
            </w:r>
            <w:r w:rsidRPr="002029AF">
              <w:t>since</w:t>
            </w:r>
            <w:r w:rsidR="000A5329" w:rsidRPr="002029AF">
              <w:t xml:space="preserve"> </w:t>
            </w:r>
            <w:r w:rsidRPr="002029AF">
              <w:t>April</w:t>
            </w:r>
            <w:r w:rsidR="000A5329" w:rsidRPr="002029AF">
              <w:t xml:space="preserve"> </w:t>
            </w:r>
            <w:r w:rsidRPr="002029AF">
              <w:t>2020</w:t>
            </w:r>
            <w:r w:rsidR="000A5329" w:rsidRPr="002029AF">
              <w:t xml:space="preserve"> </w:t>
            </w:r>
            <w:r w:rsidRPr="002029AF">
              <w:t>but</w:t>
            </w:r>
            <w:r w:rsidR="000A5329" w:rsidRPr="002029AF">
              <w:t xml:space="preserve"> </w:t>
            </w:r>
            <w:r w:rsidRPr="002029AF">
              <w:t>these</w:t>
            </w:r>
            <w:r w:rsidR="000A5329" w:rsidRPr="002029AF">
              <w:t xml:space="preserve"> </w:t>
            </w:r>
            <w:r w:rsidRPr="002029AF">
              <w:t>have</w:t>
            </w:r>
            <w:r w:rsidR="000A5329" w:rsidRPr="002029AF">
              <w:t xml:space="preserve"> </w:t>
            </w:r>
            <w:r w:rsidRPr="002029AF">
              <w:t>not</w:t>
            </w:r>
            <w:r w:rsidR="000A5329" w:rsidRPr="002029AF">
              <w:t xml:space="preserve"> </w:t>
            </w:r>
            <w:r w:rsidRPr="002029AF">
              <w:t>been</w:t>
            </w:r>
            <w:r w:rsidR="000A5329" w:rsidRPr="002029AF">
              <w:t xml:space="preserve"> </w:t>
            </w:r>
            <w:r w:rsidRPr="002029AF">
              <w:t>included</w:t>
            </w:r>
            <w:r w:rsidR="000A5329" w:rsidRPr="002029AF">
              <w:t xml:space="preserve"> </w:t>
            </w:r>
            <w:r w:rsidRPr="002029AF">
              <w:t>in</w:t>
            </w:r>
            <w:r w:rsidR="000A5329" w:rsidRPr="002029AF">
              <w:t xml:space="preserve"> </w:t>
            </w:r>
            <w:r w:rsidRPr="002029AF">
              <w:t>the</w:t>
            </w:r>
            <w:r w:rsidR="000A5329" w:rsidRPr="002029AF">
              <w:t xml:space="preserve"> </w:t>
            </w:r>
            <w:r w:rsidRPr="002029AF">
              <w:t>total</w:t>
            </w:r>
            <w:r w:rsidR="000A5329" w:rsidRPr="002029AF">
              <w:t xml:space="preserve"> </w:t>
            </w:r>
            <w:r w:rsidR="00517701">
              <w:t xml:space="preserve">number </w:t>
            </w:r>
            <w:r w:rsidRPr="002029AF">
              <w:t>of</w:t>
            </w:r>
            <w:r w:rsidR="000A5329" w:rsidRPr="002029AF">
              <w:t xml:space="preserve"> </w:t>
            </w:r>
            <w:r w:rsidRPr="002029AF">
              <w:t>inspections.</w:t>
            </w:r>
          </w:p>
        </w:tc>
      </w:tr>
      <w:tr w:rsidR="00C15C65" w:rsidRPr="002029AF" w14:paraId="71968A0F" w14:textId="77777777" w:rsidTr="005B58F0">
        <w:trPr>
          <w:gridAfter w:val="1"/>
          <w:wAfter w:w="6" w:type="dxa"/>
          <w:cantSplit/>
        </w:trPr>
        <w:tc>
          <w:tcPr>
            <w:tcW w:w="4745" w:type="dxa"/>
            <w:tcBorders>
              <w:top w:val="single" w:sz="4" w:space="0" w:color="BFBFBF"/>
              <w:bottom w:val="single" w:sz="4" w:space="0" w:color="BFBFBF"/>
            </w:tcBorders>
            <w:shd w:val="clear" w:color="auto" w:fill="auto"/>
            <w:hideMark/>
          </w:tcPr>
          <w:p w14:paraId="56BEF3BB" w14:textId="401DF20C" w:rsidR="00C15C65" w:rsidRPr="002029AF" w:rsidRDefault="00C15C65" w:rsidP="00C40F5D">
            <w:pPr>
              <w:pStyle w:val="ARtabletext"/>
            </w:pPr>
            <w:r w:rsidRPr="002029AF">
              <w:t>Percentage</w:t>
            </w:r>
            <w:r w:rsidR="000A5329" w:rsidRPr="002029AF">
              <w:t xml:space="preserve"> </w:t>
            </w:r>
            <w:r w:rsidRPr="002029AF">
              <w:t>of</w:t>
            </w:r>
            <w:r w:rsidR="000A5329" w:rsidRPr="002029AF">
              <w:t xml:space="preserve"> </w:t>
            </w:r>
            <w:r w:rsidRPr="002029AF">
              <w:t>Aboriginal</w:t>
            </w:r>
            <w:r w:rsidR="000A5329" w:rsidRPr="002029AF">
              <w:t xml:space="preserve"> </w:t>
            </w:r>
            <w:r w:rsidRPr="002029AF">
              <w:t>children</w:t>
            </w:r>
            <w:r w:rsidR="000A5329" w:rsidRPr="002029AF">
              <w:t xml:space="preserve"> </w:t>
            </w:r>
            <w:r w:rsidRPr="002029AF">
              <w:t>fully</w:t>
            </w:r>
            <w:r w:rsidR="000A5329" w:rsidRPr="002029AF">
              <w:t xml:space="preserve"> </w:t>
            </w:r>
            <w:r w:rsidRPr="002029AF">
              <w:t>immunised</w:t>
            </w:r>
            <w:r w:rsidR="000A5329" w:rsidRPr="002029AF">
              <w:t xml:space="preserve"> </w:t>
            </w:r>
            <w:r w:rsidRPr="002029AF">
              <w:t>at</w:t>
            </w:r>
            <w:r w:rsidR="000A5329" w:rsidRPr="002029AF">
              <w:t xml:space="preserve"> </w:t>
            </w:r>
            <w:r w:rsidRPr="002029AF">
              <w:t>60</w:t>
            </w:r>
            <w:r w:rsidR="000A5329" w:rsidRPr="002029AF">
              <w:t xml:space="preserve"> </w:t>
            </w:r>
            <w:r w:rsidRPr="002029AF">
              <w:t>months</w:t>
            </w:r>
          </w:p>
        </w:tc>
        <w:tc>
          <w:tcPr>
            <w:tcW w:w="1019" w:type="dxa"/>
            <w:gridSpan w:val="2"/>
            <w:tcBorders>
              <w:top w:val="single" w:sz="4" w:space="0" w:color="BFBFBF"/>
              <w:bottom w:val="single" w:sz="4" w:space="0" w:color="BFBFBF"/>
            </w:tcBorders>
            <w:shd w:val="clear" w:color="auto" w:fill="auto"/>
            <w:hideMark/>
          </w:tcPr>
          <w:p w14:paraId="76993FDF" w14:textId="1EFB11E6" w:rsidR="00C15C65" w:rsidRPr="002029AF" w:rsidRDefault="00C15C65" w:rsidP="00C40F5D">
            <w:pPr>
              <w:pStyle w:val="ARtabletext"/>
            </w:pPr>
            <w:r w:rsidRPr="002029AF">
              <w:t>per</w:t>
            </w:r>
            <w:r w:rsidR="000A5329" w:rsidRPr="002029AF">
              <w:t xml:space="preserve"> </w:t>
            </w:r>
            <w:r w:rsidRPr="002029AF">
              <w:t>cent</w:t>
            </w:r>
          </w:p>
        </w:tc>
        <w:tc>
          <w:tcPr>
            <w:tcW w:w="1018" w:type="dxa"/>
            <w:gridSpan w:val="2"/>
            <w:tcBorders>
              <w:top w:val="single" w:sz="4" w:space="0" w:color="BFBFBF"/>
              <w:bottom w:val="single" w:sz="4" w:space="0" w:color="BFBFBF"/>
            </w:tcBorders>
            <w:shd w:val="clear" w:color="auto" w:fill="auto"/>
            <w:hideMark/>
          </w:tcPr>
          <w:p w14:paraId="70344046" w14:textId="77777777" w:rsidR="00C15C65" w:rsidRPr="002029AF" w:rsidRDefault="00C15C65" w:rsidP="00FD77AA">
            <w:pPr>
              <w:pStyle w:val="ARtabletextright"/>
            </w:pPr>
            <w:r w:rsidRPr="002029AF">
              <w:t>95</w:t>
            </w:r>
          </w:p>
        </w:tc>
        <w:tc>
          <w:tcPr>
            <w:tcW w:w="1022" w:type="dxa"/>
            <w:gridSpan w:val="2"/>
            <w:tcBorders>
              <w:top w:val="single" w:sz="4" w:space="0" w:color="BFBFBF"/>
              <w:bottom w:val="single" w:sz="4" w:space="0" w:color="BFBFBF"/>
            </w:tcBorders>
            <w:shd w:val="clear" w:color="auto" w:fill="auto"/>
            <w:hideMark/>
          </w:tcPr>
          <w:p w14:paraId="1F92BDC9" w14:textId="77777777" w:rsidR="00C15C65" w:rsidRPr="002029AF" w:rsidRDefault="00C15C65" w:rsidP="00FD77AA">
            <w:pPr>
              <w:pStyle w:val="ARtabletextright"/>
            </w:pPr>
            <w:r w:rsidRPr="002029AF">
              <w:t>97.7</w:t>
            </w:r>
          </w:p>
        </w:tc>
        <w:tc>
          <w:tcPr>
            <w:tcW w:w="1033" w:type="dxa"/>
            <w:gridSpan w:val="2"/>
            <w:tcBorders>
              <w:top w:val="single" w:sz="4" w:space="0" w:color="BFBFBF"/>
              <w:bottom w:val="single" w:sz="4" w:space="0" w:color="BFBFBF"/>
            </w:tcBorders>
            <w:shd w:val="clear" w:color="auto" w:fill="auto"/>
          </w:tcPr>
          <w:p w14:paraId="5B878157" w14:textId="77777777" w:rsidR="00C15C65" w:rsidRPr="002029AF" w:rsidRDefault="00C15C65" w:rsidP="00FD77AA">
            <w:pPr>
              <w:pStyle w:val="ARtabletextright"/>
            </w:pPr>
            <w:r w:rsidRPr="002029AF">
              <w:t>2.8</w:t>
            </w:r>
          </w:p>
        </w:tc>
        <w:tc>
          <w:tcPr>
            <w:tcW w:w="796" w:type="dxa"/>
            <w:tcBorders>
              <w:top w:val="single" w:sz="4" w:space="0" w:color="BFBFBF"/>
              <w:bottom w:val="single" w:sz="4" w:space="0" w:color="BFBFBF"/>
            </w:tcBorders>
            <w:shd w:val="clear" w:color="auto" w:fill="auto"/>
            <w:hideMark/>
          </w:tcPr>
          <w:p w14:paraId="7879BEB8"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3C5FB9FA" w14:textId="77777777" w:rsidTr="005B58F0">
        <w:trPr>
          <w:gridAfter w:val="1"/>
          <w:wAfter w:w="6" w:type="dxa"/>
          <w:cantSplit/>
        </w:trPr>
        <w:tc>
          <w:tcPr>
            <w:tcW w:w="4745" w:type="dxa"/>
            <w:tcBorders>
              <w:top w:val="single" w:sz="4" w:space="0" w:color="BFBFBF"/>
            </w:tcBorders>
            <w:shd w:val="clear" w:color="auto" w:fill="auto"/>
            <w:hideMark/>
          </w:tcPr>
          <w:p w14:paraId="373B4CF9" w14:textId="5B599DEE" w:rsidR="00C15C65" w:rsidRPr="002029AF" w:rsidRDefault="00C15C65" w:rsidP="00C40F5D">
            <w:pPr>
              <w:pStyle w:val="ARtabletext"/>
            </w:pPr>
            <w:r w:rsidRPr="002029AF">
              <w:t>Number</w:t>
            </w:r>
            <w:r w:rsidR="000A5329" w:rsidRPr="002029AF">
              <w:t xml:space="preserve"> </w:t>
            </w:r>
            <w:r w:rsidRPr="002029AF">
              <w:t>of</w:t>
            </w:r>
            <w:r w:rsidR="000A5329" w:rsidRPr="002029AF">
              <w:t xml:space="preserve"> </w:t>
            </w:r>
            <w:r w:rsidRPr="002029AF">
              <w:t>available</w:t>
            </w:r>
            <w:r w:rsidR="000A5329" w:rsidRPr="002029AF">
              <w:t xml:space="preserve"> </w:t>
            </w:r>
            <w:r w:rsidRPr="002029AF">
              <w:t>HIV</w:t>
            </w:r>
            <w:r w:rsidR="000A5329" w:rsidRPr="002029AF">
              <w:t xml:space="preserve"> </w:t>
            </w:r>
            <w:r w:rsidRPr="002029AF">
              <w:t>rapid</w:t>
            </w:r>
            <w:r w:rsidR="000A5329" w:rsidRPr="002029AF">
              <w:t xml:space="preserve"> </w:t>
            </w:r>
            <w:r w:rsidRPr="002029AF">
              <w:t>test</w:t>
            </w:r>
            <w:r w:rsidR="000A5329" w:rsidRPr="002029AF">
              <w:t xml:space="preserve"> </w:t>
            </w:r>
            <w:r w:rsidRPr="002029AF">
              <w:t>trial</w:t>
            </w:r>
            <w:r w:rsidR="000A5329" w:rsidRPr="002029AF">
              <w:t xml:space="preserve"> </w:t>
            </w:r>
            <w:r w:rsidRPr="002029AF">
              <w:t>appointments</w:t>
            </w:r>
            <w:r w:rsidR="000A5329" w:rsidRPr="002029AF">
              <w:t xml:space="preserve"> </w:t>
            </w:r>
            <w:r w:rsidRPr="002029AF">
              <w:t>used</w:t>
            </w:r>
          </w:p>
        </w:tc>
        <w:tc>
          <w:tcPr>
            <w:tcW w:w="1019" w:type="dxa"/>
            <w:gridSpan w:val="2"/>
            <w:tcBorders>
              <w:top w:val="single" w:sz="4" w:space="0" w:color="BFBFBF"/>
            </w:tcBorders>
            <w:shd w:val="clear" w:color="auto" w:fill="auto"/>
            <w:hideMark/>
          </w:tcPr>
          <w:p w14:paraId="7904B91B" w14:textId="77777777" w:rsidR="00C15C65" w:rsidRPr="002029AF" w:rsidRDefault="00C15C65" w:rsidP="00C40F5D">
            <w:pPr>
              <w:pStyle w:val="ARtabletext"/>
            </w:pPr>
            <w:r w:rsidRPr="002029AF">
              <w:t>number</w:t>
            </w:r>
          </w:p>
        </w:tc>
        <w:tc>
          <w:tcPr>
            <w:tcW w:w="1018" w:type="dxa"/>
            <w:gridSpan w:val="2"/>
            <w:tcBorders>
              <w:top w:val="single" w:sz="4" w:space="0" w:color="BFBFBF"/>
            </w:tcBorders>
            <w:shd w:val="clear" w:color="auto" w:fill="auto"/>
            <w:hideMark/>
          </w:tcPr>
          <w:p w14:paraId="453E3A0B" w14:textId="77777777" w:rsidR="00C15C65" w:rsidRPr="002029AF" w:rsidRDefault="00C15C65" w:rsidP="00FD77AA">
            <w:pPr>
              <w:pStyle w:val="ARtabletextright"/>
            </w:pPr>
            <w:r w:rsidRPr="002029AF">
              <w:t>2,875</w:t>
            </w:r>
          </w:p>
        </w:tc>
        <w:tc>
          <w:tcPr>
            <w:tcW w:w="1022" w:type="dxa"/>
            <w:gridSpan w:val="2"/>
            <w:tcBorders>
              <w:top w:val="single" w:sz="4" w:space="0" w:color="BFBFBF"/>
            </w:tcBorders>
            <w:shd w:val="clear" w:color="auto" w:fill="auto"/>
            <w:hideMark/>
          </w:tcPr>
          <w:p w14:paraId="7F458DEF" w14:textId="77777777" w:rsidR="00C15C65" w:rsidRPr="002029AF" w:rsidRDefault="00C15C65" w:rsidP="00FD77AA">
            <w:pPr>
              <w:pStyle w:val="ARtabletextright"/>
            </w:pPr>
            <w:r w:rsidRPr="002029AF">
              <w:t>2,120</w:t>
            </w:r>
          </w:p>
        </w:tc>
        <w:tc>
          <w:tcPr>
            <w:tcW w:w="1033" w:type="dxa"/>
            <w:gridSpan w:val="2"/>
            <w:tcBorders>
              <w:top w:val="single" w:sz="4" w:space="0" w:color="BFBFBF"/>
            </w:tcBorders>
            <w:shd w:val="clear" w:color="auto" w:fill="auto"/>
          </w:tcPr>
          <w:p w14:paraId="2A631724" w14:textId="77777777" w:rsidR="00C15C65" w:rsidRPr="002029AF" w:rsidRDefault="00C15C65" w:rsidP="00FD77AA">
            <w:pPr>
              <w:pStyle w:val="ARtabletextright"/>
            </w:pPr>
            <w:r w:rsidRPr="002029AF">
              <w:t>-26.3</w:t>
            </w:r>
          </w:p>
        </w:tc>
        <w:tc>
          <w:tcPr>
            <w:tcW w:w="796" w:type="dxa"/>
            <w:tcBorders>
              <w:top w:val="single" w:sz="4" w:space="0" w:color="BFBFBF"/>
            </w:tcBorders>
            <w:shd w:val="clear" w:color="auto" w:fill="auto"/>
            <w:hideMark/>
          </w:tcPr>
          <w:p w14:paraId="367B89BC"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0F242965" w14:textId="77777777" w:rsidTr="005B58F0">
        <w:trPr>
          <w:gridAfter w:val="1"/>
          <w:wAfter w:w="6" w:type="dxa"/>
          <w:cantSplit/>
        </w:trPr>
        <w:tc>
          <w:tcPr>
            <w:tcW w:w="9633" w:type="dxa"/>
            <w:gridSpan w:val="10"/>
            <w:tcBorders>
              <w:bottom w:val="single" w:sz="4" w:space="0" w:color="BFBFBF"/>
            </w:tcBorders>
            <w:shd w:val="clear" w:color="auto" w:fill="auto"/>
            <w:noWrap/>
            <w:hideMark/>
          </w:tcPr>
          <w:p w14:paraId="3F6E8D01" w14:textId="37EBDC4D" w:rsidR="00C15C65" w:rsidRPr="002029AF" w:rsidRDefault="00C15C65" w:rsidP="00D96AFD">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by</w:t>
            </w:r>
            <w:r w:rsidR="000A5329" w:rsidRPr="002029AF">
              <w:t xml:space="preserve"> </w:t>
            </w:r>
            <w:r w:rsidRPr="002029AF">
              <w:t>late</w:t>
            </w:r>
            <w:r w:rsidR="000A5329" w:rsidRPr="002029AF">
              <w:t xml:space="preserve"> </w:t>
            </w:r>
            <w:r w:rsidRPr="002029AF">
              <w:t>2020.</w:t>
            </w:r>
            <w:r w:rsidR="000A5329" w:rsidRPr="002029AF">
              <w:t xml:space="preserve"> </w:t>
            </w:r>
            <w:r w:rsidRPr="002029AF">
              <w:t>The</w:t>
            </w:r>
            <w:r w:rsidR="000A5329" w:rsidRPr="002029AF">
              <w:t xml:space="preserve"> </w:t>
            </w:r>
            <w:r w:rsidRPr="002029AF">
              <w:t>end-of-year</w:t>
            </w:r>
            <w:r w:rsidR="000A5329" w:rsidRPr="002029AF">
              <w:t xml:space="preserve"> </w:t>
            </w:r>
            <w:r w:rsidRPr="002029AF">
              <w:t>results</w:t>
            </w:r>
            <w:r w:rsidR="000A5329" w:rsidRPr="002029AF">
              <w:t xml:space="preserve"> </w:t>
            </w:r>
            <w:r w:rsidRPr="002029AF">
              <w:t>have</w:t>
            </w:r>
            <w:r w:rsidR="000A5329" w:rsidRPr="002029AF">
              <w:t xml:space="preserve"> </w:t>
            </w:r>
            <w:r w:rsidRPr="002029AF">
              <w:t>been</w:t>
            </w:r>
            <w:r w:rsidR="000A5329" w:rsidRPr="002029AF">
              <w:t xml:space="preserve"> </w:t>
            </w:r>
            <w:r w:rsidRPr="002029AF">
              <w:t>impacted</w:t>
            </w:r>
            <w:r w:rsidR="000A5329" w:rsidRPr="002029AF">
              <w:t xml:space="preserve"> </w:t>
            </w:r>
            <w:r w:rsidRPr="002029AF">
              <w:t>by</w:t>
            </w:r>
            <w:r w:rsidR="000A5329" w:rsidRPr="002029AF">
              <w:t xml:space="preserve"> </w:t>
            </w:r>
            <w:r w:rsidRPr="002029AF">
              <w:t>coronavirus</w:t>
            </w:r>
            <w:r w:rsidR="000A5329" w:rsidRPr="002029AF">
              <w:t xml:space="preserve"> </w:t>
            </w:r>
            <w:r w:rsidRPr="002029AF">
              <w:t>(COVID-19).</w:t>
            </w:r>
          </w:p>
        </w:tc>
      </w:tr>
      <w:tr w:rsidR="00C15C65" w:rsidRPr="002029AF" w14:paraId="62E612A2" w14:textId="77777777" w:rsidTr="005B58F0">
        <w:trPr>
          <w:gridAfter w:val="1"/>
          <w:wAfter w:w="6" w:type="dxa"/>
          <w:cantSplit/>
        </w:trPr>
        <w:tc>
          <w:tcPr>
            <w:tcW w:w="4745" w:type="dxa"/>
            <w:shd w:val="clear" w:color="auto" w:fill="auto"/>
            <w:hideMark/>
          </w:tcPr>
          <w:p w14:paraId="7954CCD9" w14:textId="3609EA5D" w:rsidR="00C15C65" w:rsidRPr="002029AF" w:rsidRDefault="00C15C65" w:rsidP="00C40F5D">
            <w:pPr>
              <w:pStyle w:val="ARtabletext"/>
            </w:pPr>
            <w:r w:rsidRPr="002029AF">
              <w:t>Women</w:t>
            </w:r>
            <w:r w:rsidR="000A5329" w:rsidRPr="002029AF">
              <w:t xml:space="preserve"> </w:t>
            </w:r>
            <w:r w:rsidRPr="002029AF">
              <w:t>screened</w:t>
            </w:r>
            <w:r w:rsidR="000A5329" w:rsidRPr="002029AF">
              <w:t xml:space="preserve"> </w:t>
            </w:r>
            <w:r w:rsidRPr="002029AF">
              <w:t>for</w:t>
            </w:r>
            <w:r w:rsidR="000A5329" w:rsidRPr="002029AF">
              <w:t xml:space="preserve"> </w:t>
            </w:r>
            <w:r w:rsidRPr="002029AF">
              <w:t>breast</w:t>
            </w:r>
            <w:r w:rsidR="000A5329" w:rsidRPr="002029AF">
              <w:t xml:space="preserve"> </w:t>
            </w:r>
            <w:r w:rsidRPr="002029AF">
              <w:t>cancer</w:t>
            </w:r>
            <w:r w:rsidR="000A5329" w:rsidRPr="002029AF">
              <w:t xml:space="preserve"> </w:t>
            </w:r>
            <w:r w:rsidRPr="002029AF">
              <w:t>by</w:t>
            </w:r>
            <w:r w:rsidR="000A5329" w:rsidRPr="002029AF">
              <w:t xml:space="preserve"> </w:t>
            </w:r>
            <w:r w:rsidRPr="002029AF">
              <w:t>BreastScreen</w:t>
            </w:r>
            <w:r w:rsidR="000A5329" w:rsidRPr="002029AF">
              <w:t xml:space="preserve"> </w:t>
            </w:r>
            <w:r w:rsidRPr="002029AF">
              <w:t>Victoria</w:t>
            </w:r>
          </w:p>
        </w:tc>
        <w:tc>
          <w:tcPr>
            <w:tcW w:w="1019" w:type="dxa"/>
            <w:gridSpan w:val="2"/>
            <w:shd w:val="clear" w:color="auto" w:fill="auto"/>
            <w:hideMark/>
          </w:tcPr>
          <w:p w14:paraId="454393C6" w14:textId="77777777" w:rsidR="00C15C65" w:rsidRPr="002029AF" w:rsidRDefault="00C15C65" w:rsidP="00C40F5D">
            <w:pPr>
              <w:pStyle w:val="ARtabletext"/>
            </w:pPr>
            <w:r w:rsidRPr="002029AF">
              <w:t>number</w:t>
            </w:r>
          </w:p>
        </w:tc>
        <w:tc>
          <w:tcPr>
            <w:tcW w:w="1018" w:type="dxa"/>
            <w:gridSpan w:val="2"/>
            <w:shd w:val="clear" w:color="auto" w:fill="auto"/>
            <w:hideMark/>
          </w:tcPr>
          <w:p w14:paraId="4C88DEFB" w14:textId="77777777" w:rsidR="00C15C65" w:rsidRPr="002029AF" w:rsidRDefault="00C15C65" w:rsidP="00FD77AA">
            <w:pPr>
              <w:pStyle w:val="ARtabletextright"/>
            </w:pPr>
            <w:r w:rsidRPr="002029AF">
              <w:t>267,000</w:t>
            </w:r>
          </w:p>
        </w:tc>
        <w:tc>
          <w:tcPr>
            <w:tcW w:w="1022" w:type="dxa"/>
            <w:gridSpan w:val="2"/>
            <w:shd w:val="clear" w:color="auto" w:fill="auto"/>
            <w:hideMark/>
          </w:tcPr>
          <w:p w14:paraId="39DF2B09" w14:textId="77777777" w:rsidR="00C15C65" w:rsidRPr="002029AF" w:rsidRDefault="00C15C65" w:rsidP="00FD77AA">
            <w:pPr>
              <w:pStyle w:val="ARtabletextright"/>
            </w:pPr>
            <w:r w:rsidRPr="002029AF">
              <w:t>218,129</w:t>
            </w:r>
          </w:p>
        </w:tc>
        <w:tc>
          <w:tcPr>
            <w:tcW w:w="1033" w:type="dxa"/>
            <w:gridSpan w:val="2"/>
            <w:shd w:val="clear" w:color="auto" w:fill="auto"/>
          </w:tcPr>
          <w:p w14:paraId="4182C8AB" w14:textId="77777777" w:rsidR="00C15C65" w:rsidRPr="002029AF" w:rsidRDefault="00C15C65" w:rsidP="00FD77AA">
            <w:pPr>
              <w:pStyle w:val="ARtabletextright"/>
            </w:pPr>
            <w:r w:rsidRPr="002029AF">
              <w:t>-18.3</w:t>
            </w:r>
          </w:p>
        </w:tc>
        <w:tc>
          <w:tcPr>
            <w:tcW w:w="796" w:type="dxa"/>
            <w:shd w:val="clear" w:color="auto" w:fill="auto"/>
            <w:hideMark/>
          </w:tcPr>
          <w:p w14:paraId="51591E23"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6D011B10" w14:textId="77777777" w:rsidTr="005B58F0">
        <w:trPr>
          <w:gridAfter w:val="1"/>
          <w:wAfter w:w="6" w:type="dxa"/>
          <w:cantSplit/>
        </w:trPr>
        <w:tc>
          <w:tcPr>
            <w:tcW w:w="9633" w:type="dxa"/>
            <w:gridSpan w:val="10"/>
            <w:tcBorders>
              <w:bottom w:val="single" w:sz="4" w:space="0" w:color="BFBFBF"/>
            </w:tcBorders>
            <w:shd w:val="clear" w:color="auto" w:fill="auto"/>
            <w:noWrap/>
            <w:hideMark/>
          </w:tcPr>
          <w:p w14:paraId="2F65BC9A" w14:textId="3E7A8BBA" w:rsidR="00C15C65" w:rsidRPr="002029AF" w:rsidRDefault="00C15C65" w:rsidP="00517701">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lower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BreastScreen</w:t>
            </w:r>
            <w:r w:rsidR="000A5329" w:rsidRPr="002029AF">
              <w:t xml:space="preserve"> </w:t>
            </w:r>
            <w:r w:rsidRPr="002029AF">
              <w:t>Victoria</w:t>
            </w:r>
            <w:r w:rsidR="000A5329" w:rsidRPr="002029AF">
              <w:t xml:space="preserve"> </w:t>
            </w:r>
            <w:r w:rsidRPr="002029AF">
              <w:t>paused</w:t>
            </w:r>
            <w:r w:rsidR="000A5329" w:rsidRPr="002029AF">
              <w:t xml:space="preserve"> </w:t>
            </w:r>
            <w:r w:rsidRPr="002029AF">
              <w:t>service</w:t>
            </w:r>
            <w:r w:rsidR="000A5329" w:rsidRPr="002029AF">
              <w:t xml:space="preserve"> </w:t>
            </w:r>
            <w:r w:rsidRPr="002029AF">
              <w:t>delivery</w:t>
            </w:r>
            <w:r w:rsidR="000A5329" w:rsidRPr="002029AF">
              <w:t xml:space="preserve"> </w:t>
            </w:r>
            <w:r w:rsidRPr="002029AF">
              <w:t>temporarily</w:t>
            </w:r>
            <w:r w:rsidR="000A5329" w:rsidRPr="002029AF">
              <w:t xml:space="preserve"> </w:t>
            </w:r>
            <w:r w:rsidRPr="002029AF">
              <w:t>between</w:t>
            </w:r>
            <w:r w:rsidR="000A5329" w:rsidRPr="002029AF">
              <w:t xml:space="preserve"> </w:t>
            </w:r>
            <w:r w:rsidRPr="002029AF">
              <w:t>25</w:t>
            </w:r>
            <w:r w:rsidR="000A5329" w:rsidRPr="002029AF">
              <w:t xml:space="preserve"> </w:t>
            </w:r>
            <w:r w:rsidRPr="002029AF">
              <w:t>March</w:t>
            </w:r>
            <w:r w:rsidR="000A5329" w:rsidRPr="002029AF">
              <w:t xml:space="preserve"> </w:t>
            </w:r>
            <w:r w:rsidRPr="002029AF">
              <w:t>and</w:t>
            </w:r>
            <w:r w:rsidR="000A5329" w:rsidRPr="002029AF">
              <w:t xml:space="preserve"> </w:t>
            </w:r>
            <w:r w:rsidRPr="002029AF">
              <w:t>11</w:t>
            </w:r>
            <w:r w:rsidR="000A5329" w:rsidRPr="002029AF">
              <w:t xml:space="preserve"> </w:t>
            </w:r>
            <w:r w:rsidRPr="002029AF">
              <w:t>May</w:t>
            </w:r>
            <w:r w:rsidR="000A5329" w:rsidRPr="002029AF">
              <w:t xml:space="preserve"> </w:t>
            </w:r>
            <w:r w:rsidRPr="002029AF">
              <w:t>2020,</w:t>
            </w:r>
            <w:r w:rsidR="000A5329" w:rsidRPr="002029AF">
              <w:t xml:space="preserve"> </w:t>
            </w:r>
            <w:r w:rsidRPr="002029AF">
              <w:t>and</w:t>
            </w:r>
            <w:r w:rsidR="000A5329" w:rsidRPr="002029AF">
              <w:t xml:space="preserve"> </w:t>
            </w:r>
            <w:r w:rsidRPr="002029AF">
              <w:t>upon</w:t>
            </w:r>
            <w:r w:rsidR="000A5329" w:rsidRPr="002029AF">
              <w:t xml:space="preserve"> </w:t>
            </w:r>
            <w:r w:rsidRPr="002029AF">
              <w:t>resumption</w:t>
            </w:r>
            <w:r w:rsidR="000A5329" w:rsidRPr="002029AF">
              <w:t xml:space="preserve"> </w:t>
            </w:r>
            <w:r w:rsidRPr="002029AF">
              <w:t>operated</w:t>
            </w:r>
            <w:r w:rsidR="000A5329" w:rsidRPr="002029AF">
              <w:t xml:space="preserve"> </w:t>
            </w:r>
            <w:r w:rsidRPr="002029AF">
              <w:t>at</w:t>
            </w:r>
            <w:r w:rsidR="000A5329" w:rsidRPr="002029AF">
              <w:t xml:space="preserve"> </w:t>
            </w:r>
            <w:r w:rsidRPr="002029AF">
              <w:t>significantly</w:t>
            </w:r>
            <w:r w:rsidR="000A5329" w:rsidRPr="002029AF">
              <w:t xml:space="preserve"> </w:t>
            </w:r>
            <w:r w:rsidRPr="002029AF">
              <w:t>reduced</w:t>
            </w:r>
            <w:r w:rsidR="000A5329" w:rsidRPr="002029AF">
              <w:t xml:space="preserve"> </w:t>
            </w:r>
            <w:r w:rsidRPr="002029AF">
              <w:t>capacity</w:t>
            </w:r>
            <w:r w:rsidR="000A5329" w:rsidRPr="002029AF">
              <w:t xml:space="preserve"> </w:t>
            </w:r>
            <w:r w:rsidRPr="002029AF">
              <w:t>due</w:t>
            </w:r>
            <w:r w:rsidR="000A5329" w:rsidRPr="002029AF">
              <w:t xml:space="preserve"> </w:t>
            </w:r>
            <w:r w:rsidRPr="002029AF">
              <w:t>to</w:t>
            </w:r>
            <w:r w:rsidR="000A5329" w:rsidRPr="002029AF">
              <w:t xml:space="preserve"> </w:t>
            </w:r>
            <w:r w:rsidRPr="002029AF">
              <w:t>the</w:t>
            </w:r>
            <w:r w:rsidR="000A5329" w:rsidRPr="002029AF">
              <w:t xml:space="preserve"> </w:t>
            </w:r>
            <w:r w:rsidRPr="002029AF">
              <w:t>need</w:t>
            </w:r>
            <w:r w:rsidR="000A5329" w:rsidRPr="002029AF">
              <w:t xml:space="preserve"> </w:t>
            </w:r>
            <w:r w:rsidRPr="002029AF">
              <w:t>to</w:t>
            </w:r>
            <w:r w:rsidR="000A5329" w:rsidRPr="002029AF">
              <w:t xml:space="preserve"> </w:t>
            </w:r>
            <w:r w:rsidRPr="002029AF">
              <w:t>implement</w:t>
            </w:r>
            <w:r w:rsidR="000A5329" w:rsidRPr="002029AF">
              <w:t xml:space="preserve"> </w:t>
            </w:r>
            <w:r w:rsidRPr="002029AF">
              <w:t>physical</w:t>
            </w:r>
            <w:r w:rsidR="000A5329" w:rsidRPr="002029AF">
              <w:t xml:space="preserve"> </w:t>
            </w:r>
            <w:r w:rsidRPr="002029AF">
              <w:t>distancing</w:t>
            </w:r>
            <w:r w:rsidR="000A5329" w:rsidRPr="002029AF">
              <w:t xml:space="preserve"> </w:t>
            </w:r>
            <w:r w:rsidRPr="002029AF">
              <w:t>and</w:t>
            </w:r>
            <w:r w:rsidR="000A5329" w:rsidRPr="002029AF">
              <w:t xml:space="preserve"> </w:t>
            </w:r>
            <w:r w:rsidRPr="002029AF">
              <w:t>infection</w:t>
            </w:r>
            <w:r w:rsidR="000A5329" w:rsidRPr="002029AF">
              <w:t xml:space="preserve"> </w:t>
            </w:r>
            <w:r w:rsidRPr="002029AF">
              <w:t>control</w:t>
            </w:r>
            <w:r w:rsidR="000A5329" w:rsidRPr="002029AF">
              <w:t xml:space="preserve"> </w:t>
            </w:r>
            <w:r w:rsidRPr="002029AF">
              <w:t>measures</w:t>
            </w:r>
            <w:r w:rsidR="000A5329" w:rsidRPr="002029AF">
              <w:t xml:space="preserve"> </w:t>
            </w:r>
            <w:r w:rsidRPr="002029AF">
              <w:t>to</w:t>
            </w:r>
            <w:r w:rsidR="000A5329" w:rsidRPr="002029AF">
              <w:t xml:space="preserve"> </w:t>
            </w:r>
            <w:r w:rsidRPr="002029AF">
              <w:t>ensure</w:t>
            </w:r>
            <w:r w:rsidR="000A5329" w:rsidRPr="002029AF">
              <w:t xml:space="preserve"> </w:t>
            </w:r>
            <w:r w:rsidRPr="002029AF">
              <w:t>the</w:t>
            </w:r>
            <w:r w:rsidR="000A5329" w:rsidRPr="002029AF">
              <w:t xml:space="preserve"> </w:t>
            </w:r>
            <w:r w:rsidRPr="002029AF">
              <w:t>safety</w:t>
            </w:r>
            <w:r w:rsidR="000A5329" w:rsidRPr="002029AF">
              <w:t xml:space="preserve"> </w:t>
            </w:r>
            <w:r w:rsidRPr="002029AF">
              <w:t>of</w:t>
            </w:r>
            <w:r w:rsidR="000A5329" w:rsidRPr="002029AF">
              <w:t xml:space="preserve"> </w:t>
            </w:r>
            <w:r w:rsidRPr="002029AF">
              <w:t>staff</w:t>
            </w:r>
            <w:r w:rsidR="000A5329" w:rsidRPr="002029AF">
              <w:t xml:space="preserve"> </w:t>
            </w:r>
            <w:r w:rsidRPr="002029AF">
              <w:t>and</w:t>
            </w:r>
            <w:r w:rsidR="000A5329" w:rsidRPr="002029AF">
              <w:t xml:space="preserve"> </w:t>
            </w:r>
            <w:r w:rsidRPr="002029AF">
              <w:t>clients.</w:t>
            </w:r>
            <w:r w:rsidR="000A5329" w:rsidRPr="002029AF">
              <w:t xml:space="preserve"> </w:t>
            </w:r>
            <w:r w:rsidRPr="002029AF">
              <w:t>Prior</w:t>
            </w:r>
            <w:r w:rsidR="000A5329" w:rsidRPr="002029AF">
              <w:t xml:space="preserve"> </w:t>
            </w:r>
            <w:r w:rsidRPr="002029AF">
              <w:t>to</w:t>
            </w:r>
            <w:r w:rsidR="000A5329" w:rsidRPr="002029AF">
              <w:t xml:space="preserve"> </w:t>
            </w:r>
            <w:r w:rsidRPr="002029AF">
              <w:t>March</w:t>
            </w:r>
            <w:r w:rsidR="000A5329" w:rsidRPr="002029AF">
              <w:t xml:space="preserve"> </w:t>
            </w:r>
            <w:r w:rsidRPr="002029AF">
              <w:t>2020,</w:t>
            </w:r>
            <w:r w:rsidR="000A5329" w:rsidRPr="002029AF">
              <w:t xml:space="preserve"> </w:t>
            </w:r>
            <w:r w:rsidRPr="002029AF">
              <w:t>the</w:t>
            </w:r>
            <w:r w:rsidR="000A5329" w:rsidRPr="002029AF">
              <w:t xml:space="preserve"> </w:t>
            </w:r>
            <w:r w:rsidRPr="002029AF">
              <w:t>number</w:t>
            </w:r>
            <w:r w:rsidR="000A5329" w:rsidRPr="002029AF">
              <w:t xml:space="preserve"> </w:t>
            </w:r>
            <w:r w:rsidRPr="002029AF">
              <w:t>of</w:t>
            </w:r>
            <w:r w:rsidR="000A5329" w:rsidRPr="002029AF">
              <w:t xml:space="preserve"> </w:t>
            </w:r>
            <w:r w:rsidRPr="002029AF">
              <w:t>women</w:t>
            </w:r>
            <w:r w:rsidR="000A5329" w:rsidRPr="002029AF">
              <w:t xml:space="preserve"> </w:t>
            </w:r>
            <w:r w:rsidRPr="002029AF">
              <w:t>screen</w:t>
            </w:r>
            <w:r w:rsidR="00517701">
              <w:t>ed</w:t>
            </w:r>
            <w:r w:rsidR="000A5329" w:rsidRPr="002029AF">
              <w:t xml:space="preserve"> </w:t>
            </w:r>
            <w:r w:rsidRPr="002029AF">
              <w:t>was</w:t>
            </w:r>
            <w:r w:rsidR="000A5329" w:rsidRPr="002029AF">
              <w:t xml:space="preserve"> </w:t>
            </w:r>
            <w:r w:rsidRPr="002029AF">
              <w:t>at</w:t>
            </w:r>
            <w:r w:rsidR="000A5329" w:rsidRPr="002029AF">
              <w:t xml:space="preserve"> </w:t>
            </w:r>
            <w:r w:rsidRPr="002029AF">
              <w:t>99</w:t>
            </w:r>
            <w:r w:rsidR="000A5329" w:rsidRPr="002029AF">
              <w:t xml:space="preserve"> </w:t>
            </w:r>
            <w:r w:rsidRPr="002029AF">
              <w:t>per</w:t>
            </w:r>
            <w:r w:rsidR="000A5329" w:rsidRPr="002029AF">
              <w:t xml:space="preserve"> </w:t>
            </w:r>
            <w:r w:rsidRPr="002029AF">
              <w:t>cent</w:t>
            </w:r>
            <w:r w:rsidR="000A5329" w:rsidRPr="002029AF">
              <w:t xml:space="preserve"> </w:t>
            </w:r>
            <w:r w:rsidRPr="002029AF">
              <w:t>of</w:t>
            </w:r>
            <w:r w:rsidR="000A5329" w:rsidRPr="002029AF">
              <w:t xml:space="preserve"> </w:t>
            </w:r>
            <w:r w:rsidRPr="002029AF">
              <w:t>target.</w:t>
            </w:r>
          </w:p>
        </w:tc>
      </w:tr>
      <w:tr w:rsidR="00C15C65" w:rsidRPr="002029AF" w14:paraId="0A43FF6D" w14:textId="77777777" w:rsidTr="005B58F0">
        <w:trPr>
          <w:gridAfter w:val="1"/>
          <w:wAfter w:w="6" w:type="dxa"/>
          <w:cantSplit/>
        </w:trPr>
        <w:tc>
          <w:tcPr>
            <w:tcW w:w="4745" w:type="dxa"/>
            <w:tcBorders>
              <w:top w:val="single" w:sz="4" w:space="0" w:color="BFBFBF"/>
              <w:bottom w:val="single" w:sz="4" w:space="0" w:color="BFBFBF"/>
            </w:tcBorders>
            <w:shd w:val="clear" w:color="auto" w:fill="auto"/>
            <w:hideMark/>
          </w:tcPr>
          <w:p w14:paraId="5E781AB7" w14:textId="6F51C2CA" w:rsidR="00C15C65" w:rsidRPr="002029AF" w:rsidRDefault="00C15C65" w:rsidP="00C40F5D">
            <w:pPr>
              <w:pStyle w:val="ARtabletext"/>
            </w:pPr>
            <w:r w:rsidRPr="002029AF">
              <w:t>Number</w:t>
            </w:r>
            <w:r w:rsidR="000A5329" w:rsidRPr="002029AF">
              <w:t xml:space="preserve"> </w:t>
            </w:r>
            <w:r w:rsidRPr="002029AF">
              <w:t>of</w:t>
            </w:r>
            <w:r w:rsidR="000A5329" w:rsidRPr="002029AF">
              <w:t xml:space="preserve"> </w:t>
            </w:r>
            <w:r w:rsidRPr="002029AF">
              <w:t>persons</w:t>
            </w:r>
            <w:r w:rsidR="000A5329" w:rsidRPr="002029AF">
              <w:t xml:space="preserve"> </w:t>
            </w:r>
            <w:r w:rsidRPr="002029AF">
              <w:t>participating</w:t>
            </w:r>
            <w:r w:rsidR="000A5329" w:rsidRPr="002029AF">
              <w:t xml:space="preserve"> </w:t>
            </w:r>
            <w:r w:rsidRPr="002029AF">
              <w:t>in</w:t>
            </w:r>
            <w:r w:rsidR="000A5329" w:rsidRPr="002029AF">
              <w:t xml:space="preserve"> </w:t>
            </w:r>
            <w:r w:rsidRPr="002029AF">
              <w:t>newborn</w:t>
            </w:r>
            <w:r w:rsidR="000A5329" w:rsidRPr="002029AF">
              <w:t xml:space="preserve"> </w:t>
            </w:r>
            <w:r w:rsidRPr="002029AF">
              <w:t>bloodspot</w:t>
            </w:r>
            <w:r w:rsidR="000A5329" w:rsidRPr="002029AF">
              <w:t xml:space="preserve"> </w:t>
            </w:r>
            <w:r w:rsidRPr="002029AF">
              <w:t>or</w:t>
            </w:r>
            <w:r w:rsidR="000A5329" w:rsidRPr="002029AF">
              <w:t xml:space="preserve"> </w:t>
            </w:r>
            <w:r w:rsidRPr="002029AF">
              <w:t>maternal</w:t>
            </w:r>
            <w:r w:rsidR="000A5329" w:rsidRPr="002029AF">
              <w:t xml:space="preserve"> </w:t>
            </w:r>
            <w:r w:rsidRPr="002029AF">
              <w:t>serum</w:t>
            </w:r>
            <w:r w:rsidR="000A5329" w:rsidRPr="002029AF">
              <w:t xml:space="preserve"> </w:t>
            </w:r>
            <w:r w:rsidRPr="002029AF">
              <w:t>screening</w:t>
            </w:r>
          </w:p>
        </w:tc>
        <w:tc>
          <w:tcPr>
            <w:tcW w:w="1019" w:type="dxa"/>
            <w:gridSpan w:val="2"/>
            <w:tcBorders>
              <w:top w:val="single" w:sz="4" w:space="0" w:color="BFBFBF"/>
              <w:bottom w:val="single" w:sz="4" w:space="0" w:color="BFBFBF"/>
            </w:tcBorders>
            <w:shd w:val="clear" w:color="auto" w:fill="auto"/>
            <w:hideMark/>
          </w:tcPr>
          <w:p w14:paraId="40A5B985" w14:textId="77777777" w:rsidR="00C15C65" w:rsidRPr="002029AF" w:rsidRDefault="00C15C65" w:rsidP="00C40F5D">
            <w:pPr>
              <w:pStyle w:val="ARtabletext"/>
            </w:pPr>
            <w:r w:rsidRPr="002029AF">
              <w:t>number</w:t>
            </w:r>
          </w:p>
        </w:tc>
        <w:tc>
          <w:tcPr>
            <w:tcW w:w="1018" w:type="dxa"/>
            <w:gridSpan w:val="2"/>
            <w:tcBorders>
              <w:top w:val="single" w:sz="4" w:space="0" w:color="BFBFBF"/>
              <w:bottom w:val="single" w:sz="4" w:space="0" w:color="BFBFBF"/>
            </w:tcBorders>
            <w:shd w:val="clear" w:color="auto" w:fill="auto"/>
            <w:hideMark/>
          </w:tcPr>
          <w:p w14:paraId="30CAF165" w14:textId="77777777" w:rsidR="00C15C65" w:rsidRPr="002029AF" w:rsidRDefault="00C15C65" w:rsidP="000024F3">
            <w:pPr>
              <w:pStyle w:val="ARtabletextright"/>
            </w:pPr>
            <w:r w:rsidRPr="002029AF">
              <w:t>80,000</w:t>
            </w:r>
          </w:p>
        </w:tc>
        <w:tc>
          <w:tcPr>
            <w:tcW w:w="1022" w:type="dxa"/>
            <w:gridSpan w:val="2"/>
            <w:tcBorders>
              <w:top w:val="single" w:sz="4" w:space="0" w:color="BFBFBF"/>
              <w:bottom w:val="single" w:sz="4" w:space="0" w:color="BFBFBF"/>
            </w:tcBorders>
            <w:shd w:val="clear" w:color="auto" w:fill="auto"/>
            <w:hideMark/>
          </w:tcPr>
          <w:p w14:paraId="749B6D81" w14:textId="77777777" w:rsidR="00C15C65" w:rsidRPr="002029AF" w:rsidRDefault="00C15C65" w:rsidP="000024F3">
            <w:pPr>
              <w:pStyle w:val="ARtabletextright"/>
            </w:pPr>
            <w:r w:rsidRPr="002029AF">
              <w:t>78,165</w:t>
            </w:r>
          </w:p>
        </w:tc>
        <w:tc>
          <w:tcPr>
            <w:tcW w:w="1033" w:type="dxa"/>
            <w:gridSpan w:val="2"/>
            <w:tcBorders>
              <w:top w:val="single" w:sz="4" w:space="0" w:color="BFBFBF"/>
              <w:bottom w:val="single" w:sz="4" w:space="0" w:color="BFBFBF"/>
            </w:tcBorders>
            <w:shd w:val="clear" w:color="auto" w:fill="auto"/>
          </w:tcPr>
          <w:p w14:paraId="09C4E873" w14:textId="77777777" w:rsidR="00C15C65" w:rsidRPr="002029AF" w:rsidRDefault="00C15C65" w:rsidP="000024F3">
            <w:pPr>
              <w:pStyle w:val="ARtabletextright"/>
            </w:pPr>
            <w:r w:rsidRPr="002029AF">
              <w:t>-2.3</w:t>
            </w:r>
          </w:p>
        </w:tc>
        <w:tc>
          <w:tcPr>
            <w:tcW w:w="796" w:type="dxa"/>
            <w:tcBorders>
              <w:top w:val="single" w:sz="4" w:space="0" w:color="BFBFBF"/>
              <w:bottom w:val="single" w:sz="4" w:space="0" w:color="BFBFBF"/>
            </w:tcBorders>
            <w:shd w:val="clear" w:color="auto" w:fill="auto"/>
            <w:hideMark/>
          </w:tcPr>
          <w:p w14:paraId="62163D8C" w14:textId="133CD07C" w:rsidR="00C15C65" w:rsidRPr="002029AF" w:rsidRDefault="003A6C3B" w:rsidP="000F6867">
            <w:pPr>
              <w:pStyle w:val="ARtableperformancesymbol"/>
              <w:rPr>
                <w:rFonts w:hint="eastAsia"/>
                <w:lang w:val="en-AU"/>
              </w:rPr>
            </w:pPr>
            <w:r w:rsidRPr="002029AF">
              <w:rPr>
                <w:lang w:val="en-AU"/>
              </w:rPr>
              <w:t>□</w:t>
            </w:r>
          </w:p>
        </w:tc>
      </w:tr>
      <w:tr w:rsidR="00C15C65" w:rsidRPr="002029AF" w14:paraId="4C43971A" w14:textId="77777777" w:rsidTr="005B58F0">
        <w:trPr>
          <w:gridAfter w:val="1"/>
          <w:wAfter w:w="6" w:type="dxa"/>
          <w:cantSplit/>
        </w:trPr>
        <w:tc>
          <w:tcPr>
            <w:tcW w:w="4745" w:type="dxa"/>
            <w:tcBorders>
              <w:top w:val="single" w:sz="4" w:space="0" w:color="BFBFBF"/>
              <w:bottom w:val="single" w:sz="4" w:space="0" w:color="BFBFBF"/>
            </w:tcBorders>
            <w:shd w:val="clear" w:color="auto" w:fill="auto"/>
            <w:hideMark/>
          </w:tcPr>
          <w:p w14:paraId="6DAAAAB9" w14:textId="70B5A56E" w:rsidR="00C15C65" w:rsidRPr="002029AF" w:rsidRDefault="00C15C65" w:rsidP="00C40F5D">
            <w:pPr>
              <w:pStyle w:val="ARtabletext"/>
            </w:pPr>
            <w:r w:rsidRPr="002029AF">
              <w:t>Persons</w:t>
            </w:r>
            <w:r w:rsidR="000A5329" w:rsidRPr="002029AF">
              <w:t xml:space="preserve"> </w:t>
            </w:r>
            <w:r w:rsidRPr="002029AF">
              <w:t>screened</w:t>
            </w:r>
            <w:r w:rsidR="000A5329" w:rsidRPr="002029AF">
              <w:t xml:space="preserve"> </w:t>
            </w:r>
            <w:r w:rsidRPr="002029AF">
              <w:t>for</w:t>
            </w:r>
            <w:r w:rsidR="000A5329" w:rsidRPr="002029AF">
              <w:t xml:space="preserve"> </w:t>
            </w:r>
            <w:r w:rsidRPr="002029AF">
              <w:t>prevention</w:t>
            </w:r>
            <w:r w:rsidR="000A5329" w:rsidRPr="002029AF">
              <w:t xml:space="preserve"> </w:t>
            </w:r>
            <w:r w:rsidRPr="002029AF">
              <w:t>and</w:t>
            </w:r>
            <w:r w:rsidR="000A5329" w:rsidRPr="002029AF">
              <w:t xml:space="preserve"> </w:t>
            </w:r>
            <w:r w:rsidRPr="002029AF">
              <w:t>early</w:t>
            </w:r>
            <w:r w:rsidR="000A5329" w:rsidRPr="002029AF">
              <w:t xml:space="preserve"> </w:t>
            </w:r>
            <w:r w:rsidRPr="002029AF">
              <w:t>detection</w:t>
            </w:r>
            <w:r w:rsidR="000A5329" w:rsidRPr="002029AF">
              <w:t xml:space="preserve"> </w:t>
            </w:r>
            <w:r w:rsidRPr="002029AF">
              <w:t>of</w:t>
            </w:r>
            <w:r w:rsidR="000A5329" w:rsidRPr="002029AF">
              <w:t xml:space="preserve"> </w:t>
            </w:r>
            <w:r w:rsidRPr="002029AF">
              <w:t>health</w:t>
            </w:r>
            <w:r w:rsidR="000A5329" w:rsidRPr="002029AF">
              <w:t xml:space="preserve"> </w:t>
            </w:r>
            <w:r w:rsidRPr="002029AF">
              <w:t>conditions</w:t>
            </w:r>
            <w:r w:rsidR="000A5329" w:rsidRPr="002029AF">
              <w:t xml:space="preserve"> </w:t>
            </w:r>
            <w:r w:rsidRPr="002029AF">
              <w:t>–</w:t>
            </w:r>
            <w:r w:rsidR="000A5329" w:rsidRPr="002029AF">
              <w:t xml:space="preserve"> </w:t>
            </w:r>
            <w:r w:rsidRPr="002029AF">
              <w:t>pulmonary</w:t>
            </w:r>
            <w:r w:rsidR="000A5329" w:rsidRPr="002029AF">
              <w:t xml:space="preserve"> </w:t>
            </w:r>
            <w:r w:rsidRPr="002029AF">
              <w:t>tuberculosis</w:t>
            </w:r>
            <w:r w:rsidR="000A5329" w:rsidRPr="002029AF">
              <w:t xml:space="preserve"> </w:t>
            </w:r>
            <w:r w:rsidRPr="002029AF">
              <w:t>screening</w:t>
            </w:r>
          </w:p>
        </w:tc>
        <w:tc>
          <w:tcPr>
            <w:tcW w:w="1019" w:type="dxa"/>
            <w:gridSpan w:val="2"/>
            <w:tcBorders>
              <w:top w:val="single" w:sz="4" w:space="0" w:color="BFBFBF"/>
              <w:bottom w:val="single" w:sz="4" w:space="0" w:color="BFBFBF"/>
            </w:tcBorders>
            <w:shd w:val="clear" w:color="auto" w:fill="auto"/>
            <w:hideMark/>
          </w:tcPr>
          <w:p w14:paraId="476468E7" w14:textId="77777777" w:rsidR="00C15C65" w:rsidRPr="002029AF" w:rsidRDefault="00C15C65" w:rsidP="00C40F5D">
            <w:pPr>
              <w:pStyle w:val="ARtabletext"/>
            </w:pPr>
            <w:r w:rsidRPr="002029AF">
              <w:t>number</w:t>
            </w:r>
          </w:p>
        </w:tc>
        <w:tc>
          <w:tcPr>
            <w:tcW w:w="1018" w:type="dxa"/>
            <w:gridSpan w:val="2"/>
            <w:tcBorders>
              <w:top w:val="single" w:sz="4" w:space="0" w:color="BFBFBF"/>
              <w:bottom w:val="single" w:sz="4" w:space="0" w:color="BFBFBF"/>
            </w:tcBorders>
            <w:shd w:val="clear" w:color="auto" w:fill="auto"/>
            <w:hideMark/>
          </w:tcPr>
          <w:p w14:paraId="72193CC2" w14:textId="77777777" w:rsidR="00C15C65" w:rsidRPr="002029AF" w:rsidRDefault="00C15C65" w:rsidP="000024F3">
            <w:pPr>
              <w:pStyle w:val="ARtabletextright"/>
            </w:pPr>
            <w:r w:rsidRPr="002029AF">
              <w:t>2,000</w:t>
            </w:r>
          </w:p>
        </w:tc>
        <w:tc>
          <w:tcPr>
            <w:tcW w:w="1022" w:type="dxa"/>
            <w:gridSpan w:val="2"/>
            <w:tcBorders>
              <w:top w:val="single" w:sz="4" w:space="0" w:color="BFBFBF"/>
              <w:bottom w:val="single" w:sz="4" w:space="0" w:color="BFBFBF"/>
            </w:tcBorders>
            <w:shd w:val="clear" w:color="auto" w:fill="auto"/>
            <w:hideMark/>
          </w:tcPr>
          <w:p w14:paraId="4D3CCC52" w14:textId="77777777" w:rsidR="00C15C65" w:rsidRPr="002029AF" w:rsidRDefault="00C15C65" w:rsidP="000024F3">
            <w:pPr>
              <w:pStyle w:val="ARtabletextright"/>
            </w:pPr>
            <w:r w:rsidRPr="002029AF">
              <w:t>1,946</w:t>
            </w:r>
          </w:p>
        </w:tc>
        <w:tc>
          <w:tcPr>
            <w:tcW w:w="1033" w:type="dxa"/>
            <w:gridSpan w:val="2"/>
            <w:tcBorders>
              <w:top w:val="single" w:sz="4" w:space="0" w:color="BFBFBF"/>
              <w:bottom w:val="single" w:sz="4" w:space="0" w:color="BFBFBF"/>
            </w:tcBorders>
            <w:shd w:val="clear" w:color="auto" w:fill="auto"/>
          </w:tcPr>
          <w:p w14:paraId="30774AB8" w14:textId="77777777" w:rsidR="00C15C65" w:rsidRPr="002029AF" w:rsidRDefault="00C15C65" w:rsidP="000024F3">
            <w:pPr>
              <w:pStyle w:val="ARtabletextright"/>
            </w:pPr>
            <w:r w:rsidRPr="002029AF">
              <w:t>-2.7</w:t>
            </w:r>
          </w:p>
        </w:tc>
        <w:tc>
          <w:tcPr>
            <w:tcW w:w="796" w:type="dxa"/>
            <w:tcBorders>
              <w:top w:val="single" w:sz="4" w:space="0" w:color="BFBFBF"/>
              <w:bottom w:val="single" w:sz="4" w:space="0" w:color="BFBFBF"/>
            </w:tcBorders>
            <w:shd w:val="clear" w:color="auto" w:fill="auto"/>
            <w:hideMark/>
          </w:tcPr>
          <w:p w14:paraId="6B7A4204" w14:textId="4BAE10A5" w:rsidR="00C15C65" w:rsidRPr="002029AF" w:rsidRDefault="003A6C3B" w:rsidP="000F6867">
            <w:pPr>
              <w:pStyle w:val="ARtableperformancesymbol"/>
              <w:rPr>
                <w:rFonts w:hint="eastAsia"/>
                <w:lang w:val="en-AU"/>
              </w:rPr>
            </w:pPr>
            <w:r w:rsidRPr="002029AF">
              <w:rPr>
                <w:lang w:val="en-AU"/>
              </w:rPr>
              <w:t>□</w:t>
            </w:r>
          </w:p>
        </w:tc>
      </w:tr>
      <w:tr w:rsidR="00C15C65" w:rsidRPr="002029AF" w14:paraId="29F1F4CE" w14:textId="77777777" w:rsidTr="005B58F0">
        <w:trPr>
          <w:gridAfter w:val="1"/>
          <w:wAfter w:w="6" w:type="dxa"/>
          <w:cantSplit/>
        </w:trPr>
        <w:tc>
          <w:tcPr>
            <w:tcW w:w="4745" w:type="dxa"/>
            <w:tcBorders>
              <w:top w:val="single" w:sz="4" w:space="0" w:color="BFBFBF"/>
            </w:tcBorders>
            <w:shd w:val="clear" w:color="auto" w:fill="auto"/>
            <w:hideMark/>
          </w:tcPr>
          <w:p w14:paraId="58089FD4" w14:textId="4A88CDB1" w:rsidR="00C15C65" w:rsidRPr="002029AF" w:rsidRDefault="00C15C65" w:rsidP="00C40F5D">
            <w:pPr>
              <w:pStyle w:val="ARtabletext"/>
            </w:pPr>
            <w:r w:rsidRPr="002029AF">
              <w:t>Smoking</w:t>
            </w:r>
            <w:r w:rsidR="000A5329" w:rsidRPr="002029AF">
              <w:t xml:space="preserve"> </w:t>
            </w:r>
            <w:r w:rsidRPr="002029AF">
              <w:t>cessation</w:t>
            </w:r>
            <w:r w:rsidR="000A5329" w:rsidRPr="002029AF">
              <w:t xml:space="preserve"> </w:t>
            </w:r>
            <w:r w:rsidRPr="002029AF">
              <w:t>of</w:t>
            </w:r>
            <w:r w:rsidR="000A5329" w:rsidRPr="002029AF">
              <w:t xml:space="preserve"> </w:t>
            </w:r>
            <w:r w:rsidRPr="002029AF">
              <w:t>Aboriginal</w:t>
            </w:r>
            <w:r w:rsidR="000A5329" w:rsidRPr="002029AF">
              <w:t xml:space="preserve"> </w:t>
            </w:r>
            <w:r w:rsidRPr="002029AF">
              <w:t>mothers</w:t>
            </w:r>
          </w:p>
        </w:tc>
        <w:tc>
          <w:tcPr>
            <w:tcW w:w="1019" w:type="dxa"/>
            <w:gridSpan w:val="2"/>
            <w:tcBorders>
              <w:top w:val="single" w:sz="4" w:space="0" w:color="BFBFBF"/>
            </w:tcBorders>
            <w:shd w:val="clear" w:color="auto" w:fill="auto"/>
            <w:hideMark/>
          </w:tcPr>
          <w:p w14:paraId="5DE86A9F" w14:textId="4978DF35" w:rsidR="00C15C65" w:rsidRPr="002029AF" w:rsidRDefault="00C15C65" w:rsidP="00C40F5D">
            <w:pPr>
              <w:pStyle w:val="ARtabletext"/>
            </w:pPr>
            <w:r w:rsidRPr="002029AF">
              <w:t>per</w:t>
            </w:r>
            <w:r w:rsidR="000A5329" w:rsidRPr="002029AF">
              <w:t xml:space="preserve"> </w:t>
            </w:r>
            <w:r w:rsidRPr="002029AF">
              <w:t>cent</w:t>
            </w:r>
          </w:p>
        </w:tc>
        <w:tc>
          <w:tcPr>
            <w:tcW w:w="1018" w:type="dxa"/>
            <w:gridSpan w:val="2"/>
            <w:tcBorders>
              <w:top w:val="single" w:sz="4" w:space="0" w:color="BFBFBF"/>
            </w:tcBorders>
            <w:shd w:val="clear" w:color="auto" w:fill="auto"/>
            <w:hideMark/>
          </w:tcPr>
          <w:p w14:paraId="384F311A" w14:textId="77777777" w:rsidR="00C15C65" w:rsidRPr="002029AF" w:rsidRDefault="00C15C65" w:rsidP="000024F3">
            <w:pPr>
              <w:pStyle w:val="ARtabletextright"/>
            </w:pPr>
            <w:r w:rsidRPr="002029AF">
              <w:t>25.2</w:t>
            </w:r>
          </w:p>
        </w:tc>
        <w:tc>
          <w:tcPr>
            <w:tcW w:w="1022" w:type="dxa"/>
            <w:gridSpan w:val="2"/>
            <w:tcBorders>
              <w:top w:val="single" w:sz="4" w:space="0" w:color="BFBFBF"/>
            </w:tcBorders>
            <w:shd w:val="clear" w:color="auto" w:fill="auto"/>
            <w:hideMark/>
          </w:tcPr>
          <w:p w14:paraId="511B7608" w14:textId="77777777" w:rsidR="00C15C65" w:rsidRPr="002029AF" w:rsidRDefault="00C15C65" w:rsidP="000024F3">
            <w:pPr>
              <w:pStyle w:val="ARtabletextright"/>
            </w:pPr>
            <w:r w:rsidRPr="002029AF">
              <w:t>24.1</w:t>
            </w:r>
          </w:p>
        </w:tc>
        <w:tc>
          <w:tcPr>
            <w:tcW w:w="1033" w:type="dxa"/>
            <w:gridSpan w:val="2"/>
            <w:tcBorders>
              <w:top w:val="single" w:sz="4" w:space="0" w:color="BFBFBF"/>
            </w:tcBorders>
            <w:shd w:val="clear" w:color="auto" w:fill="auto"/>
          </w:tcPr>
          <w:p w14:paraId="258BE49A" w14:textId="77777777" w:rsidR="00C15C65" w:rsidRPr="002029AF" w:rsidRDefault="00C15C65" w:rsidP="000024F3">
            <w:pPr>
              <w:pStyle w:val="ARtabletextright"/>
            </w:pPr>
            <w:r w:rsidRPr="002029AF">
              <w:t>-4.4</w:t>
            </w:r>
          </w:p>
        </w:tc>
        <w:tc>
          <w:tcPr>
            <w:tcW w:w="796" w:type="dxa"/>
            <w:tcBorders>
              <w:top w:val="single" w:sz="4" w:space="0" w:color="BFBFBF"/>
            </w:tcBorders>
            <w:shd w:val="clear" w:color="auto" w:fill="auto"/>
            <w:hideMark/>
          </w:tcPr>
          <w:p w14:paraId="02CDBDAB" w14:textId="66D35BB5" w:rsidR="00C15C65" w:rsidRPr="002029AF" w:rsidRDefault="003A6C3B" w:rsidP="000F6867">
            <w:pPr>
              <w:pStyle w:val="ARtableperformancesymbol"/>
              <w:rPr>
                <w:rFonts w:hint="eastAsia"/>
                <w:lang w:val="en-AU"/>
              </w:rPr>
            </w:pPr>
            <w:r w:rsidRPr="002029AF">
              <w:rPr>
                <w:lang w:val="en-AU"/>
              </w:rPr>
              <w:t>□</w:t>
            </w:r>
          </w:p>
        </w:tc>
      </w:tr>
      <w:tr w:rsidR="00C15C65" w:rsidRPr="002029AF" w14:paraId="12DCE861" w14:textId="77777777" w:rsidTr="005B58F0">
        <w:trPr>
          <w:cantSplit/>
        </w:trPr>
        <w:tc>
          <w:tcPr>
            <w:tcW w:w="9639" w:type="dxa"/>
            <w:gridSpan w:val="11"/>
            <w:tcBorders>
              <w:top w:val="single" w:sz="4" w:space="0" w:color="auto"/>
              <w:left w:val="nil"/>
              <w:right w:val="nil"/>
            </w:tcBorders>
            <w:hideMark/>
          </w:tcPr>
          <w:p w14:paraId="424958B5" w14:textId="77777777" w:rsidR="00C15C65" w:rsidRPr="002029AF" w:rsidRDefault="00C15C65" w:rsidP="00D96AFD">
            <w:pPr>
              <w:pStyle w:val="ARtablegreybold"/>
            </w:pPr>
            <w:r w:rsidRPr="002029AF">
              <w:t>Quality</w:t>
            </w:r>
          </w:p>
        </w:tc>
      </w:tr>
      <w:tr w:rsidR="00C15C65" w:rsidRPr="002029AF" w14:paraId="5CE81C36" w14:textId="77777777" w:rsidTr="005B58F0">
        <w:trPr>
          <w:gridAfter w:val="1"/>
          <w:wAfter w:w="6" w:type="dxa"/>
          <w:cantSplit/>
        </w:trPr>
        <w:tc>
          <w:tcPr>
            <w:tcW w:w="4745" w:type="dxa"/>
            <w:tcBorders>
              <w:bottom w:val="single" w:sz="4" w:space="0" w:color="BFBFBF"/>
            </w:tcBorders>
            <w:shd w:val="clear" w:color="auto" w:fill="auto"/>
            <w:hideMark/>
          </w:tcPr>
          <w:p w14:paraId="3FCB95CC" w14:textId="5FAC3A10" w:rsidR="00C15C65" w:rsidRPr="002029AF" w:rsidRDefault="00C15C65" w:rsidP="00C40F5D">
            <w:pPr>
              <w:pStyle w:val="ARtabletext"/>
            </w:pPr>
            <w:r w:rsidRPr="002029AF">
              <w:t>Calls</w:t>
            </w:r>
            <w:r w:rsidR="000A5329" w:rsidRPr="002029AF">
              <w:t xml:space="preserve"> </w:t>
            </w:r>
            <w:r w:rsidRPr="002029AF">
              <w:t>to</w:t>
            </w:r>
            <w:r w:rsidR="000A5329" w:rsidRPr="002029AF">
              <w:t xml:space="preserve"> </w:t>
            </w:r>
            <w:r w:rsidRPr="002029AF">
              <w:t>food</w:t>
            </w:r>
            <w:r w:rsidR="000A5329" w:rsidRPr="002029AF">
              <w:t xml:space="preserve"> </w:t>
            </w:r>
            <w:r w:rsidRPr="002029AF">
              <w:t>safety</w:t>
            </w:r>
            <w:r w:rsidR="000A5329" w:rsidRPr="002029AF">
              <w:t xml:space="preserve"> </w:t>
            </w:r>
            <w:r w:rsidRPr="002029AF">
              <w:t>hotlines</w:t>
            </w:r>
            <w:r w:rsidR="000A5329" w:rsidRPr="002029AF">
              <w:t xml:space="preserve"> </w:t>
            </w:r>
            <w:r w:rsidRPr="002029AF">
              <w:t>that</w:t>
            </w:r>
            <w:r w:rsidR="000A5329" w:rsidRPr="002029AF">
              <w:t xml:space="preserve"> </w:t>
            </w:r>
            <w:r w:rsidRPr="002029AF">
              <w:t>are</w:t>
            </w:r>
            <w:r w:rsidR="000A5329" w:rsidRPr="002029AF">
              <w:t xml:space="preserve"> </w:t>
            </w:r>
            <w:r w:rsidRPr="002029AF">
              <w:t>answered</w:t>
            </w:r>
          </w:p>
        </w:tc>
        <w:tc>
          <w:tcPr>
            <w:tcW w:w="1019" w:type="dxa"/>
            <w:gridSpan w:val="2"/>
            <w:tcBorders>
              <w:bottom w:val="single" w:sz="4" w:space="0" w:color="BFBFBF"/>
            </w:tcBorders>
            <w:shd w:val="clear" w:color="auto" w:fill="auto"/>
            <w:hideMark/>
          </w:tcPr>
          <w:p w14:paraId="003E94AC" w14:textId="41739E8B" w:rsidR="00C15C65" w:rsidRPr="002029AF" w:rsidRDefault="00C15C65" w:rsidP="00C40F5D">
            <w:pPr>
              <w:pStyle w:val="ARtabletext"/>
            </w:pPr>
            <w:r w:rsidRPr="002029AF">
              <w:t>per</w:t>
            </w:r>
            <w:r w:rsidR="000A5329" w:rsidRPr="002029AF">
              <w:t xml:space="preserve"> </w:t>
            </w:r>
            <w:r w:rsidRPr="002029AF">
              <w:t>cent</w:t>
            </w:r>
          </w:p>
        </w:tc>
        <w:tc>
          <w:tcPr>
            <w:tcW w:w="1018" w:type="dxa"/>
            <w:gridSpan w:val="2"/>
            <w:tcBorders>
              <w:bottom w:val="single" w:sz="4" w:space="0" w:color="BFBFBF"/>
            </w:tcBorders>
            <w:shd w:val="clear" w:color="auto" w:fill="auto"/>
            <w:hideMark/>
          </w:tcPr>
          <w:p w14:paraId="7BDA2AA0" w14:textId="77777777" w:rsidR="00C15C65" w:rsidRPr="002029AF" w:rsidRDefault="00C15C65" w:rsidP="000024F3">
            <w:pPr>
              <w:pStyle w:val="ARtabletextright"/>
            </w:pPr>
            <w:r w:rsidRPr="002029AF">
              <w:t>97</w:t>
            </w:r>
          </w:p>
        </w:tc>
        <w:tc>
          <w:tcPr>
            <w:tcW w:w="1022" w:type="dxa"/>
            <w:gridSpan w:val="2"/>
            <w:tcBorders>
              <w:bottom w:val="single" w:sz="4" w:space="0" w:color="BFBFBF"/>
            </w:tcBorders>
            <w:shd w:val="clear" w:color="auto" w:fill="auto"/>
            <w:hideMark/>
          </w:tcPr>
          <w:p w14:paraId="7BA23967" w14:textId="77777777" w:rsidR="00C15C65" w:rsidRPr="002029AF" w:rsidRDefault="00C15C65" w:rsidP="000024F3">
            <w:pPr>
              <w:pStyle w:val="ARtabletextright"/>
            </w:pPr>
            <w:r w:rsidRPr="002029AF">
              <w:t>99.2</w:t>
            </w:r>
          </w:p>
        </w:tc>
        <w:tc>
          <w:tcPr>
            <w:tcW w:w="1033" w:type="dxa"/>
            <w:gridSpan w:val="2"/>
            <w:tcBorders>
              <w:bottom w:val="single" w:sz="4" w:space="0" w:color="BFBFBF"/>
            </w:tcBorders>
            <w:shd w:val="clear" w:color="auto" w:fill="auto"/>
          </w:tcPr>
          <w:p w14:paraId="1981279F" w14:textId="77777777" w:rsidR="00C15C65" w:rsidRPr="002029AF" w:rsidRDefault="00C15C65" w:rsidP="000024F3">
            <w:pPr>
              <w:pStyle w:val="ARtabletextright"/>
            </w:pPr>
            <w:r w:rsidRPr="002029AF">
              <w:t>2.3</w:t>
            </w:r>
          </w:p>
        </w:tc>
        <w:tc>
          <w:tcPr>
            <w:tcW w:w="796" w:type="dxa"/>
            <w:tcBorders>
              <w:bottom w:val="single" w:sz="4" w:space="0" w:color="BFBFBF"/>
            </w:tcBorders>
            <w:shd w:val="clear" w:color="auto" w:fill="auto"/>
            <w:hideMark/>
          </w:tcPr>
          <w:p w14:paraId="0AD9B457"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73B57720" w14:textId="77777777" w:rsidTr="005B58F0">
        <w:trPr>
          <w:gridAfter w:val="1"/>
          <w:wAfter w:w="6" w:type="dxa"/>
          <w:cantSplit/>
        </w:trPr>
        <w:tc>
          <w:tcPr>
            <w:tcW w:w="4745" w:type="dxa"/>
            <w:tcBorders>
              <w:top w:val="single" w:sz="4" w:space="0" w:color="BFBFBF"/>
            </w:tcBorders>
            <w:shd w:val="clear" w:color="auto" w:fill="auto"/>
            <w:hideMark/>
          </w:tcPr>
          <w:p w14:paraId="4F8F1CB5" w14:textId="0857C644" w:rsidR="00C15C65" w:rsidRPr="002029AF" w:rsidRDefault="00C15C65" w:rsidP="00C40F5D">
            <w:pPr>
              <w:pStyle w:val="ARtabletext"/>
            </w:pPr>
            <w:r w:rsidRPr="002029AF">
              <w:lastRenderedPageBreak/>
              <w:t>Immunisation</w:t>
            </w:r>
            <w:r w:rsidR="000A5329" w:rsidRPr="002029AF">
              <w:t xml:space="preserve"> </w:t>
            </w:r>
            <w:r w:rsidRPr="002029AF">
              <w:t>coverage</w:t>
            </w:r>
            <w:r w:rsidR="000A5329" w:rsidRPr="002029AF">
              <w:t xml:space="preserve"> </w:t>
            </w:r>
            <w:r w:rsidRPr="002029AF">
              <w:t>–</w:t>
            </w:r>
            <w:r w:rsidR="000A5329" w:rsidRPr="002029AF">
              <w:t xml:space="preserve"> </w:t>
            </w:r>
            <w:r w:rsidRPr="002029AF">
              <w:t>adolescent</w:t>
            </w:r>
            <w:r w:rsidR="000A5329" w:rsidRPr="002029AF">
              <w:t xml:space="preserve"> </w:t>
            </w:r>
            <w:r w:rsidRPr="002029AF">
              <w:t>(Year</w:t>
            </w:r>
            <w:r w:rsidR="000A5329" w:rsidRPr="002029AF">
              <w:t xml:space="preserve"> </w:t>
            </w:r>
            <w:r w:rsidRPr="002029AF">
              <w:t>7)</w:t>
            </w:r>
            <w:r w:rsidR="000A5329" w:rsidRPr="002029AF">
              <w:t xml:space="preserve"> </w:t>
            </w:r>
            <w:r w:rsidRPr="002029AF">
              <w:t>students</w:t>
            </w:r>
            <w:r w:rsidR="000A5329" w:rsidRPr="002029AF">
              <w:t xml:space="preserve"> </w:t>
            </w:r>
            <w:r w:rsidRPr="002029AF">
              <w:t>fully</w:t>
            </w:r>
            <w:r w:rsidR="000A5329" w:rsidRPr="002029AF">
              <w:t xml:space="preserve"> </w:t>
            </w:r>
            <w:r w:rsidRPr="002029AF">
              <w:t>immunised</w:t>
            </w:r>
            <w:r w:rsidR="000A5329" w:rsidRPr="002029AF">
              <w:t xml:space="preserve"> </w:t>
            </w:r>
            <w:r w:rsidRPr="002029AF">
              <w:t>for</w:t>
            </w:r>
            <w:r w:rsidR="000A5329" w:rsidRPr="002029AF">
              <w:t xml:space="preserve"> </w:t>
            </w:r>
            <w:r w:rsidRPr="002029AF">
              <w:t>DTPa</w:t>
            </w:r>
            <w:r w:rsidR="000A5329" w:rsidRPr="002029AF">
              <w:t xml:space="preserve"> </w:t>
            </w:r>
            <w:r w:rsidRPr="002029AF">
              <w:t>(diphtheria,</w:t>
            </w:r>
            <w:r w:rsidR="000A5329" w:rsidRPr="002029AF">
              <w:t xml:space="preserve"> </w:t>
            </w:r>
            <w:r w:rsidRPr="002029AF">
              <w:t>tetanus</w:t>
            </w:r>
            <w:r w:rsidR="000A5329" w:rsidRPr="002029AF">
              <w:t xml:space="preserve"> </w:t>
            </w:r>
            <w:r w:rsidRPr="002029AF">
              <w:t>and</w:t>
            </w:r>
            <w:r w:rsidR="000A5329" w:rsidRPr="002029AF">
              <w:t xml:space="preserve"> </w:t>
            </w:r>
            <w:r w:rsidRPr="002029AF">
              <w:t>pertussis)</w:t>
            </w:r>
          </w:p>
        </w:tc>
        <w:tc>
          <w:tcPr>
            <w:tcW w:w="1019" w:type="dxa"/>
            <w:gridSpan w:val="2"/>
            <w:tcBorders>
              <w:top w:val="single" w:sz="4" w:space="0" w:color="BFBFBF"/>
            </w:tcBorders>
            <w:shd w:val="clear" w:color="auto" w:fill="auto"/>
            <w:hideMark/>
          </w:tcPr>
          <w:p w14:paraId="404D2478" w14:textId="6A01FB27" w:rsidR="00C15C65" w:rsidRPr="002029AF" w:rsidRDefault="00C15C65" w:rsidP="00C40F5D">
            <w:pPr>
              <w:pStyle w:val="ARtabletext"/>
            </w:pPr>
            <w:r w:rsidRPr="002029AF">
              <w:t>per</w:t>
            </w:r>
            <w:r w:rsidR="000A5329" w:rsidRPr="002029AF">
              <w:t xml:space="preserve"> </w:t>
            </w:r>
            <w:r w:rsidRPr="002029AF">
              <w:t>cent</w:t>
            </w:r>
          </w:p>
        </w:tc>
        <w:tc>
          <w:tcPr>
            <w:tcW w:w="1018" w:type="dxa"/>
            <w:gridSpan w:val="2"/>
            <w:tcBorders>
              <w:top w:val="single" w:sz="4" w:space="0" w:color="BFBFBF"/>
            </w:tcBorders>
            <w:shd w:val="clear" w:color="auto" w:fill="auto"/>
            <w:hideMark/>
          </w:tcPr>
          <w:p w14:paraId="6A7CEBD4" w14:textId="77777777" w:rsidR="00C15C65" w:rsidRPr="002029AF" w:rsidRDefault="00C15C65" w:rsidP="000024F3">
            <w:pPr>
              <w:pStyle w:val="ARtabletextright"/>
            </w:pPr>
            <w:r w:rsidRPr="002029AF">
              <w:t>90</w:t>
            </w:r>
          </w:p>
        </w:tc>
        <w:tc>
          <w:tcPr>
            <w:tcW w:w="1022" w:type="dxa"/>
            <w:gridSpan w:val="2"/>
            <w:tcBorders>
              <w:top w:val="single" w:sz="4" w:space="0" w:color="BFBFBF"/>
            </w:tcBorders>
            <w:shd w:val="clear" w:color="auto" w:fill="auto"/>
            <w:hideMark/>
          </w:tcPr>
          <w:p w14:paraId="557014DB" w14:textId="77777777" w:rsidR="00C15C65" w:rsidRPr="002029AF" w:rsidRDefault="00C15C65" w:rsidP="000024F3">
            <w:pPr>
              <w:pStyle w:val="ARtabletextright"/>
            </w:pPr>
            <w:r w:rsidRPr="002029AF">
              <w:t>82</w:t>
            </w:r>
          </w:p>
        </w:tc>
        <w:tc>
          <w:tcPr>
            <w:tcW w:w="1033" w:type="dxa"/>
            <w:gridSpan w:val="2"/>
            <w:tcBorders>
              <w:top w:val="single" w:sz="4" w:space="0" w:color="BFBFBF"/>
            </w:tcBorders>
            <w:shd w:val="clear" w:color="auto" w:fill="auto"/>
          </w:tcPr>
          <w:p w14:paraId="47DD0487" w14:textId="77777777" w:rsidR="00C15C65" w:rsidRPr="002029AF" w:rsidRDefault="00C15C65" w:rsidP="000024F3">
            <w:pPr>
              <w:pStyle w:val="ARtabletextright"/>
            </w:pPr>
            <w:r w:rsidRPr="002029AF">
              <w:t>-8.9</w:t>
            </w:r>
          </w:p>
        </w:tc>
        <w:tc>
          <w:tcPr>
            <w:tcW w:w="796" w:type="dxa"/>
            <w:tcBorders>
              <w:top w:val="single" w:sz="4" w:space="0" w:color="BFBFBF"/>
            </w:tcBorders>
            <w:shd w:val="clear" w:color="auto" w:fill="auto"/>
            <w:hideMark/>
          </w:tcPr>
          <w:p w14:paraId="05038943"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2CF3092E" w14:textId="77777777" w:rsidTr="005B58F0">
        <w:trPr>
          <w:gridAfter w:val="1"/>
          <w:wAfter w:w="6" w:type="dxa"/>
          <w:cantSplit/>
        </w:trPr>
        <w:tc>
          <w:tcPr>
            <w:tcW w:w="9633" w:type="dxa"/>
            <w:gridSpan w:val="10"/>
            <w:tcBorders>
              <w:bottom w:val="single" w:sz="4" w:space="0" w:color="BFBFBF"/>
            </w:tcBorders>
            <w:shd w:val="clear" w:color="auto" w:fill="auto"/>
            <w:noWrap/>
            <w:hideMark/>
          </w:tcPr>
          <w:p w14:paraId="13A7F1C7" w14:textId="3591986A" w:rsidR="00C15C65" w:rsidRPr="002029AF" w:rsidRDefault="00C15C65" w:rsidP="00D96AFD">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lower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as</w:t>
            </w:r>
            <w:r w:rsidR="000A5329" w:rsidRPr="002029AF">
              <w:t xml:space="preserve"> </w:t>
            </w:r>
            <w:r w:rsidRPr="002029AF">
              <w:t>this</w:t>
            </w:r>
            <w:r w:rsidR="000A5329" w:rsidRPr="002029AF">
              <w:t xml:space="preserve"> </w:t>
            </w:r>
            <w:r w:rsidRPr="002029AF">
              <w:t>is</w:t>
            </w:r>
            <w:r w:rsidR="000A5329" w:rsidRPr="002029AF">
              <w:t xml:space="preserve"> </w:t>
            </w:r>
            <w:r w:rsidRPr="002029AF">
              <w:t>based</w:t>
            </w:r>
            <w:r w:rsidR="000A5329" w:rsidRPr="002029AF">
              <w:t xml:space="preserve"> </w:t>
            </w:r>
            <w:r w:rsidRPr="002029AF">
              <w:t>on</w:t>
            </w:r>
            <w:r w:rsidR="000A5329" w:rsidRPr="002029AF">
              <w:t xml:space="preserve"> </w:t>
            </w:r>
            <w:r w:rsidRPr="002029AF">
              <w:t>Year</w:t>
            </w:r>
            <w:r w:rsidR="000A5329" w:rsidRPr="002029AF">
              <w:t xml:space="preserve"> </w:t>
            </w:r>
            <w:r w:rsidRPr="002029AF">
              <w:t>7</w:t>
            </w:r>
            <w:r w:rsidR="000A5329" w:rsidRPr="002029AF">
              <w:t xml:space="preserve"> </w:t>
            </w:r>
            <w:r w:rsidRPr="002029AF">
              <w:t>adolescents</w:t>
            </w:r>
            <w:r w:rsidR="000A5329" w:rsidRPr="002029AF">
              <w:t xml:space="preserve"> </w:t>
            </w:r>
            <w:r w:rsidRPr="002029AF">
              <w:t>vaccinated</w:t>
            </w:r>
            <w:r w:rsidR="000A5329" w:rsidRPr="002029AF">
              <w:t xml:space="preserve"> </w:t>
            </w:r>
            <w:r w:rsidRPr="002029AF">
              <w:t>at</w:t>
            </w:r>
            <w:r w:rsidR="000A5329" w:rsidRPr="002029AF">
              <w:t xml:space="preserve"> </w:t>
            </w:r>
            <w:r w:rsidRPr="002029AF">
              <w:t>a</w:t>
            </w:r>
            <w:r w:rsidR="000A5329" w:rsidRPr="002029AF">
              <w:t xml:space="preserve"> </w:t>
            </w:r>
            <w:r w:rsidRPr="002029AF">
              <w:t>school</w:t>
            </w:r>
            <w:r w:rsidR="000A5329" w:rsidRPr="002029AF">
              <w:t xml:space="preserve"> </w:t>
            </w:r>
            <w:r w:rsidRPr="002029AF">
              <w:t>session</w:t>
            </w:r>
            <w:r w:rsidR="000A5329" w:rsidRPr="002029AF">
              <w:t xml:space="preserve"> </w:t>
            </w:r>
            <w:r w:rsidRPr="002029AF">
              <w:t>or</w:t>
            </w:r>
            <w:r w:rsidR="000A5329" w:rsidRPr="002029AF">
              <w:t xml:space="preserve"> </w:t>
            </w:r>
            <w:r w:rsidRPr="002029AF">
              <w:t>where</w:t>
            </w:r>
            <w:r w:rsidR="000A5329" w:rsidRPr="002029AF">
              <w:t xml:space="preserve"> </w:t>
            </w:r>
            <w:r w:rsidRPr="002029AF">
              <w:t>it</w:t>
            </w:r>
            <w:r w:rsidR="000A5329" w:rsidRPr="002029AF">
              <w:t xml:space="preserve"> </w:t>
            </w:r>
            <w:r w:rsidRPr="002029AF">
              <w:t>is</w:t>
            </w:r>
            <w:r w:rsidR="000A5329" w:rsidRPr="002029AF">
              <w:t xml:space="preserve"> </w:t>
            </w:r>
            <w:r w:rsidRPr="002029AF">
              <w:t>indicated</w:t>
            </w:r>
            <w:r w:rsidR="000A5329" w:rsidRPr="002029AF">
              <w:t xml:space="preserve"> </w:t>
            </w:r>
            <w:r w:rsidRPr="002029AF">
              <w:t>on</w:t>
            </w:r>
            <w:r w:rsidR="000A5329" w:rsidRPr="002029AF">
              <w:t xml:space="preserve"> </w:t>
            </w:r>
            <w:r w:rsidRPr="002029AF">
              <w:t>their</w:t>
            </w:r>
            <w:r w:rsidR="000A5329" w:rsidRPr="002029AF">
              <w:t xml:space="preserve"> </w:t>
            </w:r>
            <w:r w:rsidRPr="002029AF">
              <w:t>returned</w:t>
            </w:r>
            <w:r w:rsidR="000A5329" w:rsidRPr="002029AF">
              <w:t xml:space="preserve"> </w:t>
            </w:r>
            <w:r w:rsidRPr="002029AF">
              <w:t>consent</w:t>
            </w:r>
            <w:r w:rsidR="000A5329" w:rsidRPr="002029AF">
              <w:t xml:space="preserve"> </w:t>
            </w:r>
            <w:r w:rsidRPr="002029AF">
              <w:t>card</w:t>
            </w:r>
            <w:r w:rsidR="000A5329" w:rsidRPr="002029AF">
              <w:t xml:space="preserve"> </w:t>
            </w:r>
            <w:r w:rsidRPr="002029AF">
              <w:t>that</w:t>
            </w:r>
            <w:r w:rsidR="000A5329" w:rsidRPr="002029AF">
              <w:t xml:space="preserve"> </w:t>
            </w:r>
            <w:r w:rsidRPr="002029AF">
              <w:t>they</w:t>
            </w:r>
            <w:r w:rsidR="000A5329" w:rsidRPr="002029AF">
              <w:t xml:space="preserve"> </w:t>
            </w:r>
            <w:r w:rsidRPr="002029AF">
              <w:t>have</w:t>
            </w:r>
            <w:r w:rsidR="000A5329" w:rsidRPr="002029AF">
              <w:t xml:space="preserve"> </w:t>
            </w:r>
            <w:r w:rsidRPr="002029AF">
              <w:t>previously</w:t>
            </w:r>
            <w:r w:rsidR="000A5329" w:rsidRPr="002029AF">
              <w:t xml:space="preserve"> </w:t>
            </w:r>
            <w:r w:rsidRPr="002029AF">
              <w:t>had</w:t>
            </w:r>
            <w:r w:rsidR="000A5329" w:rsidRPr="002029AF">
              <w:t xml:space="preserve"> </w:t>
            </w:r>
            <w:r w:rsidRPr="002029AF">
              <w:t>the</w:t>
            </w:r>
            <w:r w:rsidR="000A5329" w:rsidRPr="002029AF">
              <w:t xml:space="preserve"> </w:t>
            </w:r>
            <w:r w:rsidRPr="002029AF">
              <w:t>injection</w:t>
            </w:r>
            <w:r w:rsidR="000A5329" w:rsidRPr="002029AF">
              <w:t xml:space="preserve"> </w:t>
            </w:r>
            <w:r w:rsidRPr="002029AF">
              <w:t>elsewhere</w:t>
            </w:r>
            <w:r w:rsidR="000A5329" w:rsidRPr="002029AF">
              <w:t xml:space="preserve"> </w:t>
            </w:r>
            <w:r w:rsidRPr="002029AF">
              <w:t>(general</w:t>
            </w:r>
            <w:r w:rsidR="000A5329" w:rsidRPr="002029AF">
              <w:t xml:space="preserve"> </w:t>
            </w:r>
            <w:r w:rsidRPr="002029AF">
              <w:t>practice).</w:t>
            </w:r>
            <w:r w:rsidR="000A5329" w:rsidRPr="002029AF">
              <w:t xml:space="preserve"> </w:t>
            </w:r>
            <w:r w:rsidRPr="002029AF">
              <w:t>It</w:t>
            </w:r>
            <w:r w:rsidR="000A5329" w:rsidRPr="002029AF">
              <w:t xml:space="preserve"> </w:t>
            </w:r>
            <w:r w:rsidRPr="002029AF">
              <w:t>does</w:t>
            </w:r>
            <w:r w:rsidR="000A5329" w:rsidRPr="002029AF">
              <w:t xml:space="preserve"> </w:t>
            </w:r>
            <w:r w:rsidRPr="002029AF">
              <w:t>not</w:t>
            </w:r>
            <w:r w:rsidR="000A5329" w:rsidRPr="002029AF">
              <w:t xml:space="preserve"> </w:t>
            </w:r>
            <w:r w:rsidRPr="002029AF">
              <w:t>include</w:t>
            </w:r>
            <w:r w:rsidR="000A5329" w:rsidRPr="002029AF">
              <w:t xml:space="preserve"> </w:t>
            </w:r>
            <w:r w:rsidRPr="002029AF">
              <w:t>School</w:t>
            </w:r>
            <w:r w:rsidR="000A5329" w:rsidRPr="002029AF">
              <w:t xml:space="preserve"> </w:t>
            </w:r>
            <w:r w:rsidRPr="002029AF">
              <w:t>Year</w:t>
            </w:r>
            <w:r w:rsidR="000A5329" w:rsidRPr="002029AF">
              <w:t xml:space="preserve"> </w:t>
            </w:r>
            <w:r w:rsidRPr="002029AF">
              <w:t>7</w:t>
            </w:r>
            <w:r w:rsidR="000A5329" w:rsidRPr="002029AF">
              <w:t xml:space="preserve"> </w:t>
            </w:r>
            <w:r w:rsidRPr="002029AF">
              <w:t>adolescents</w:t>
            </w:r>
            <w:r w:rsidR="000A5329" w:rsidRPr="002029AF">
              <w:t xml:space="preserve"> </w:t>
            </w:r>
            <w:r w:rsidRPr="002029AF">
              <w:t>that</w:t>
            </w:r>
            <w:r w:rsidR="000A5329" w:rsidRPr="002029AF">
              <w:t xml:space="preserve"> </w:t>
            </w:r>
            <w:r w:rsidRPr="002029AF">
              <w:t>return</w:t>
            </w:r>
            <w:r w:rsidR="000A5329" w:rsidRPr="002029AF">
              <w:t xml:space="preserve"> </w:t>
            </w:r>
            <w:r w:rsidRPr="002029AF">
              <w:t>consent</w:t>
            </w:r>
            <w:r w:rsidR="000A5329" w:rsidRPr="002029AF">
              <w:t xml:space="preserve"> </w:t>
            </w:r>
            <w:r w:rsidRPr="002029AF">
              <w:t>cards</w:t>
            </w:r>
            <w:r w:rsidR="000A5329" w:rsidRPr="002029AF">
              <w:t xml:space="preserve"> </w:t>
            </w:r>
            <w:r w:rsidRPr="002029AF">
              <w:t>declining</w:t>
            </w:r>
            <w:r w:rsidR="000A5329" w:rsidRPr="002029AF">
              <w:t xml:space="preserve"> </w:t>
            </w:r>
            <w:r w:rsidRPr="002029AF">
              <w:t>vaccination</w:t>
            </w:r>
            <w:r w:rsidR="000A5329" w:rsidRPr="002029AF">
              <w:t xml:space="preserve"> </w:t>
            </w:r>
            <w:r w:rsidRPr="002029AF">
              <w:t>at</w:t>
            </w:r>
            <w:r w:rsidR="000A5329" w:rsidRPr="002029AF">
              <w:t xml:space="preserve"> </w:t>
            </w:r>
            <w:r w:rsidRPr="002029AF">
              <w:t>school</w:t>
            </w:r>
            <w:r w:rsidR="000A5329" w:rsidRPr="002029AF">
              <w:t xml:space="preserve"> </w:t>
            </w:r>
            <w:r w:rsidRPr="002029AF">
              <w:t>and</w:t>
            </w:r>
            <w:r w:rsidR="000A5329" w:rsidRPr="002029AF">
              <w:t xml:space="preserve"> </w:t>
            </w:r>
            <w:r w:rsidRPr="002029AF">
              <w:t>then</w:t>
            </w:r>
            <w:r w:rsidR="000A5329" w:rsidRPr="002029AF">
              <w:t xml:space="preserve"> </w:t>
            </w:r>
            <w:r w:rsidRPr="002029AF">
              <w:t>proceed</w:t>
            </w:r>
            <w:r w:rsidR="000A5329" w:rsidRPr="002029AF">
              <w:t xml:space="preserve"> </w:t>
            </w:r>
            <w:r w:rsidRPr="002029AF">
              <w:t>to</w:t>
            </w:r>
            <w:r w:rsidR="000A5329" w:rsidRPr="002029AF">
              <w:t xml:space="preserve"> </w:t>
            </w:r>
            <w:r w:rsidRPr="002029AF">
              <w:t>have</w:t>
            </w:r>
            <w:r w:rsidR="000A5329" w:rsidRPr="002029AF">
              <w:t xml:space="preserve"> </w:t>
            </w:r>
            <w:r w:rsidR="00517701">
              <w:t xml:space="preserve">the </w:t>
            </w:r>
            <w:r w:rsidRPr="002029AF">
              <w:t>vaccination</w:t>
            </w:r>
            <w:r w:rsidR="000A5329" w:rsidRPr="002029AF">
              <w:t xml:space="preserve"> </w:t>
            </w:r>
            <w:r w:rsidRPr="002029AF">
              <w:t>elsewhere.</w:t>
            </w:r>
            <w:r w:rsidR="000A5329" w:rsidRPr="002029AF">
              <w:t xml:space="preserve"> </w:t>
            </w:r>
            <w:r w:rsidR="002029AF" w:rsidRPr="002029AF">
              <w:t>Jurisdictions</w:t>
            </w:r>
            <w:r w:rsidR="000A5329" w:rsidRPr="002029AF">
              <w:t xml:space="preserve"> </w:t>
            </w:r>
            <w:r w:rsidRPr="002029AF">
              <w:t>are</w:t>
            </w:r>
            <w:r w:rsidR="000A5329" w:rsidRPr="002029AF">
              <w:t xml:space="preserve"> </w:t>
            </w:r>
            <w:r w:rsidRPr="002029AF">
              <w:t>currently</w:t>
            </w:r>
            <w:r w:rsidR="000A5329" w:rsidRPr="002029AF">
              <w:t xml:space="preserve"> </w:t>
            </w:r>
            <w:r w:rsidRPr="002029AF">
              <w:t>lobbying</w:t>
            </w:r>
            <w:r w:rsidR="000A5329" w:rsidRPr="002029AF">
              <w:t xml:space="preserve"> </w:t>
            </w:r>
            <w:r w:rsidRPr="002029AF">
              <w:t>the</w:t>
            </w:r>
            <w:r w:rsidR="000A5329" w:rsidRPr="002029AF">
              <w:t xml:space="preserve"> </w:t>
            </w:r>
            <w:r w:rsidRPr="002029AF">
              <w:t>Commonwealth</w:t>
            </w:r>
            <w:r w:rsidR="000A5329" w:rsidRPr="002029AF">
              <w:t xml:space="preserve"> </w:t>
            </w:r>
            <w:r w:rsidRPr="002029AF">
              <w:t>Department</w:t>
            </w:r>
            <w:r w:rsidR="000A5329" w:rsidRPr="002029AF">
              <w:t xml:space="preserve"> </w:t>
            </w:r>
            <w:r w:rsidRPr="002029AF">
              <w:t>of</w:t>
            </w:r>
            <w:r w:rsidR="000A5329" w:rsidRPr="002029AF">
              <w:t xml:space="preserve"> </w:t>
            </w:r>
            <w:r w:rsidRPr="002029AF">
              <w:t>Human</w:t>
            </w:r>
            <w:r w:rsidR="000A5329" w:rsidRPr="002029AF">
              <w:t xml:space="preserve"> </w:t>
            </w:r>
            <w:r w:rsidRPr="002029AF">
              <w:t>Services</w:t>
            </w:r>
            <w:r w:rsidR="000A5329" w:rsidRPr="002029AF">
              <w:t xml:space="preserve"> </w:t>
            </w:r>
            <w:r w:rsidRPr="002029AF">
              <w:t>to</w:t>
            </w:r>
            <w:r w:rsidR="000A5329" w:rsidRPr="002029AF">
              <w:t xml:space="preserve"> </w:t>
            </w:r>
            <w:r w:rsidRPr="002029AF">
              <w:t>include</w:t>
            </w:r>
            <w:r w:rsidR="000A5329" w:rsidRPr="002029AF">
              <w:t xml:space="preserve"> </w:t>
            </w:r>
            <w:r w:rsidRPr="002029AF">
              <w:t>a</w:t>
            </w:r>
            <w:r w:rsidR="000A5329" w:rsidRPr="002029AF">
              <w:t xml:space="preserve"> </w:t>
            </w:r>
            <w:r w:rsidRPr="002029AF">
              <w:t>school</w:t>
            </w:r>
            <w:r w:rsidR="000A5329" w:rsidRPr="002029AF">
              <w:t xml:space="preserve"> </w:t>
            </w:r>
            <w:r w:rsidRPr="002029AF">
              <w:t>year</w:t>
            </w:r>
            <w:r w:rsidR="000A5329" w:rsidRPr="002029AF">
              <w:t xml:space="preserve"> </w:t>
            </w:r>
            <w:r w:rsidRPr="002029AF">
              <w:t>on</w:t>
            </w:r>
            <w:r w:rsidR="000A5329" w:rsidRPr="002029AF">
              <w:t xml:space="preserve"> </w:t>
            </w:r>
            <w:r w:rsidRPr="002029AF">
              <w:t>individual</w:t>
            </w:r>
            <w:r w:rsidR="000A5329" w:rsidRPr="002029AF">
              <w:t xml:space="preserve"> </w:t>
            </w:r>
            <w:r w:rsidRPr="002029AF">
              <w:t>records.</w:t>
            </w:r>
          </w:p>
        </w:tc>
      </w:tr>
      <w:tr w:rsidR="00C15C65" w:rsidRPr="002029AF" w14:paraId="68D951A9" w14:textId="77777777" w:rsidTr="005B58F0">
        <w:trPr>
          <w:gridAfter w:val="1"/>
          <w:wAfter w:w="6" w:type="dxa"/>
          <w:cantSplit/>
        </w:trPr>
        <w:tc>
          <w:tcPr>
            <w:tcW w:w="4745" w:type="dxa"/>
            <w:tcBorders>
              <w:top w:val="single" w:sz="4" w:space="0" w:color="BFBFBF"/>
              <w:bottom w:val="single" w:sz="4" w:space="0" w:color="BFBFBF"/>
            </w:tcBorders>
            <w:shd w:val="clear" w:color="auto" w:fill="auto"/>
            <w:hideMark/>
          </w:tcPr>
          <w:p w14:paraId="02B3F1CC" w14:textId="2D1EC261" w:rsidR="00C15C65" w:rsidRPr="002029AF" w:rsidRDefault="00C15C65" w:rsidP="00C40F5D">
            <w:pPr>
              <w:pStyle w:val="ARtabletext"/>
            </w:pPr>
            <w:r w:rsidRPr="002029AF">
              <w:t>Immunisation</w:t>
            </w:r>
            <w:r w:rsidR="000A5329" w:rsidRPr="002029AF">
              <w:t xml:space="preserve"> </w:t>
            </w:r>
            <w:r w:rsidRPr="002029AF">
              <w:t>coverage</w:t>
            </w:r>
            <w:r w:rsidR="000A5329" w:rsidRPr="002029AF">
              <w:t xml:space="preserve"> </w:t>
            </w:r>
            <w:r w:rsidRPr="002029AF">
              <w:t>–</w:t>
            </w:r>
            <w:r w:rsidR="000A5329" w:rsidRPr="002029AF">
              <w:t xml:space="preserve"> </w:t>
            </w:r>
            <w:r w:rsidRPr="002029AF">
              <w:t>At</w:t>
            </w:r>
            <w:r w:rsidR="000A5329" w:rsidRPr="002029AF">
              <w:t xml:space="preserve"> </w:t>
            </w:r>
            <w:r w:rsidRPr="002029AF">
              <w:t>school</w:t>
            </w:r>
            <w:r w:rsidR="000A5329" w:rsidRPr="002029AF">
              <w:t xml:space="preserve"> </w:t>
            </w:r>
            <w:r w:rsidRPr="002029AF">
              <w:t>entry</w:t>
            </w:r>
          </w:p>
        </w:tc>
        <w:tc>
          <w:tcPr>
            <w:tcW w:w="1019" w:type="dxa"/>
            <w:gridSpan w:val="2"/>
            <w:tcBorders>
              <w:top w:val="single" w:sz="4" w:space="0" w:color="BFBFBF"/>
              <w:bottom w:val="single" w:sz="4" w:space="0" w:color="BFBFBF"/>
            </w:tcBorders>
            <w:shd w:val="clear" w:color="auto" w:fill="auto"/>
            <w:hideMark/>
          </w:tcPr>
          <w:p w14:paraId="4C4FC88B" w14:textId="616C0419" w:rsidR="00C15C65" w:rsidRPr="002029AF" w:rsidRDefault="00C15C65" w:rsidP="00C40F5D">
            <w:pPr>
              <w:pStyle w:val="ARtabletext"/>
            </w:pPr>
            <w:r w:rsidRPr="002029AF">
              <w:t>per</w:t>
            </w:r>
            <w:r w:rsidR="000A5329" w:rsidRPr="002029AF">
              <w:t xml:space="preserve"> </w:t>
            </w:r>
            <w:r w:rsidRPr="002029AF">
              <w:t>cent</w:t>
            </w:r>
          </w:p>
        </w:tc>
        <w:tc>
          <w:tcPr>
            <w:tcW w:w="1018" w:type="dxa"/>
            <w:gridSpan w:val="2"/>
            <w:tcBorders>
              <w:top w:val="single" w:sz="4" w:space="0" w:color="BFBFBF"/>
              <w:bottom w:val="single" w:sz="4" w:space="0" w:color="BFBFBF"/>
            </w:tcBorders>
            <w:shd w:val="clear" w:color="auto" w:fill="auto"/>
            <w:hideMark/>
          </w:tcPr>
          <w:p w14:paraId="2BCD677F" w14:textId="77777777" w:rsidR="00C15C65" w:rsidRPr="002029AF" w:rsidRDefault="00C15C65" w:rsidP="000024F3">
            <w:pPr>
              <w:pStyle w:val="ARtabletextright"/>
            </w:pPr>
            <w:r w:rsidRPr="002029AF">
              <w:t>95</w:t>
            </w:r>
          </w:p>
        </w:tc>
        <w:tc>
          <w:tcPr>
            <w:tcW w:w="1022" w:type="dxa"/>
            <w:gridSpan w:val="2"/>
            <w:tcBorders>
              <w:top w:val="single" w:sz="4" w:space="0" w:color="BFBFBF"/>
              <w:bottom w:val="single" w:sz="4" w:space="0" w:color="BFBFBF"/>
            </w:tcBorders>
            <w:shd w:val="clear" w:color="auto" w:fill="auto"/>
            <w:hideMark/>
          </w:tcPr>
          <w:p w14:paraId="02084C4E" w14:textId="77777777" w:rsidR="00C15C65" w:rsidRPr="002029AF" w:rsidRDefault="00C15C65" w:rsidP="000024F3">
            <w:pPr>
              <w:pStyle w:val="ARtabletextright"/>
            </w:pPr>
            <w:r w:rsidRPr="002029AF">
              <w:t>95.8</w:t>
            </w:r>
          </w:p>
        </w:tc>
        <w:tc>
          <w:tcPr>
            <w:tcW w:w="1033" w:type="dxa"/>
            <w:gridSpan w:val="2"/>
            <w:tcBorders>
              <w:top w:val="single" w:sz="4" w:space="0" w:color="BFBFBF"/>
              <w:bottom w:val="single" w:sz="4" w:space="0" w:color="BFBFBF"/>
            </w:tcBorders>
            <w:shd w:val="clear" w:color="auto" w:fill="auto"/>
          </w:tcPr>
          <w:p w14:paraId="136405A9" w14:textId="77777777" w:rsidR="00C15C65" w:rsidRPr="002029AF" w:rsidRDefault="00C15C65" w:rsidP="000024F3">
            <w:pPr>
              <w:pStyle w:val="ARtabletextright"/>
            </w:pPr>
            <w:r w:rsidRPr="002029AF">
              <w:t>0.8</w:t>
            </w:r>
          </w:p>
        </w:tc>
        <w:tc>
          <w:tcPr>
            <w:tcW w:w="796" w:type="dxa"/>
            <w:tcBorders>
              <w:top w:val="single" w:sz="4" w:space="0" w:color="BFBFBF"/>
              <w:bottom w:val="single" w:sz="4" w:space="0" w:color="BFBFBF"/>
            </w:tcBorders>
            <w:shd w:val="clear" w:color="auto" w:fill="auto"/>
            <w:hideMark/>
          </w:tcPr>
          <w:p w14:paraId="7F39D625"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23F878A2" w14:textId="77777777" w:rsidTr="005B58F0">
        <w:trPr>
          <w:gridAfter w:val="1"/>
          <w:wAfter w:w="6" w:type="dxa"/>
          <w:cantSplit/>
        </w:trPr>
        <w:tc>
          <w:tcPr>
            <w:tcW w:w="4745" w:type="dxa"/>
            <w:tcBorders>
              <w:top w:val="single" w:sz="4" w:space="0" w:color="BFBFBF"/>
              <w:bottom w:val="single" w:sz="4" w:space="0" w:color="BFBFBF"/>
            </w:tcBorders>
            <w:shd w:val="clear" w:color="auto" w:fill="auto"/>
            <w:hideMark/>
          </w:tcPr>
          <w:p w14:paraId="741EA2EC" w14:textId="75AFF43C" w:rsidR="00C15C65" w:rsidRPr="002029AF" w:rsidRDefault="00C15C65" w:rsidP="00C40F5D">
            <w:pPr>
              <w:pStyle w:val="ARtabletext"/>
            </w:pPr>
            <w:r w:rsidRPr="002029AF">
              <w:t>Immunisation</w:t>
            </w:r>
            <w:r w:rsidR="000A5329" w:rsidRPr="002029AF">
              <w:t xml:space="preserve"> </w:t>
            </w:r>
            <w:r w:rsidRPr="002029AF">
              <w:t>coverage</w:t>
            </w:r>
            <w:r w:rsidR="000A5329" w:rsidRPr="002029AF">
              <w:t xml:space="preserve"> </w:t>
            </w:r>
            <w:r w:rsidRPr="002029AF">
              <w:t>–</w:t>
            </w:r>
            <w:r w:rsidR="000A5329" w:rsidRPr="002029AF">
              <w:t xml:space="preserve"> </w:t>
            </w:r>
            <w:r w:rsidRPr="002029AF">
              <w:t>At</w:t>
            </w:r>
            <w:r w:rsidR="000A5329" w:rsidRPr="002029AF">
              <w:t xml:space="preserve"> </w:t>
            </w:r>
            <w:r w:rsidRPr="002029AF">
              <w:t>two</w:t>
            </w:r>
            <w:r w:rsidR="000A5329" w:rsidRPr="002029AF">
              <w:t xml:space="preserve"> </w:t>
            </w:r>
            <w:r w:rsidRPr="002029AF">
              <w:t>years</w:t>
            </w:r>
            <w:r w:rsidR="000A5329" w:rsidRPr="002029AF">
              <w:t xml:space="preserve"> </w:t>
            </w:r>
            <w:r w:rsidRPr="002029AF">
              <w:t>of</w:t>
            </w:r>
            <w:r w:rsidR="000A5329" w:rsidRPr="002029AF">
              <w:t xml:space="preserve"> </w:t>
            </w:r>
            <w:r w:rsidRPr="002029AF">
              <w:t>age</w:t>
            </w:r>
          </w:p>
        </w:tc>
        <w:tc>
          <w:tcPr>
            <w:tcW w:w="1019" w:type="dxa"/>
            <w:gridSpan w:val="2"/>
            <w:tcBorders>
              <w:top w:val="single" w:sz="4" w:space="0" w:color="BFBFBF"/>
              <w:bottom w:val="single" w:sz="4" w:space="0" w:color="BFBFBF"/>
            </w:tcBorders>
            <w:shd w:val="clear" w:color="auto" w:fill="auto"/>
            <w:hideMark/>
          </w:tcPr>
          <w:p w14:paraId="565D3277" w14:textId="10000C10" w:rsidR="00C15C65" w:rsidRPr="002029AF" w:rsidRDefault="00C15C65" w:rsidP="00C40F5D">
            <w:pPr>
              <w:pStyle w:val="ARtabletext"/>
            </w:pPr>
            <w:r w:rsidRPr="002029AF">
              <w:t>per</w:t>
            </w:r>
            <w:r w:rsidR="000A5329" w:rsidRPr="002029AF">
              <w:t xml:space="preserve"> </w:t>
            </w:r>
            <w:r w:rsidRPr="002029AF">
              <w:t>cent</w:t>
            </w:r>
          </w:p>
        </w:tc>
        <w:tc>
          <w:tcPr>
            <w:tcW w:w="1018" w:type="dxa"/>
            <w:gridSpan w:val="2"/>
            <w:tcBorders>
              <w:top w:val="single" w:sz="4" w:space="0" w:color="BFBFBF"/>
              <w:bottom w:val="single" w:sz="4" w:space="0" w:color="BFBFBF"/>
            </w:tcBorders>
            <w:shd w:val="clear" w:color="auto" w:fill="auto"/>
            <w:hideMark/>
          </w:tcPr>
          <w:p w14:paraId="5065ED73" w14:textId="77777777" w:rsidR="00C15C65" w:rsidRPr="002029AF" w:rsidRDefault="00C15C65" w:rsidP="000024F3">
            <w:pPr>
              <w:pStyle w:val="ARtabletextright"/>
            </w:pPr>
            <w:r w:rsidRPr="002029AF">
              <w:t>95</w:t>
            </w:r>
          </w:p>
        </w:tc>
        <w:tc>
          <w:tcPr>
            <w:tcW w:w="1022" w:type="dxa"/>
            <w:gridSpan w:val="2"/>
            <w:tcBorders>
              <w:top w:val="single" w:sz="4" w:space="0" w:color="BFBFBF"/>
              <w:bottom w:val="single" w:sz="4" w:space="0" w:color="BFBFBF"/>
            </w:tcBorders>
            <w:shd w:val="clear" w:color="auto" w:fill="auto"/>
            <w:hideMark/>
          </w:tcPr>
          <w:p w14:paraId="71533608" w14:textId="77777777" w:rsidR="00C15C65" w:rsidRPr="002029AF" w:rsidRDefault="00C15C65" w:rsidP="000024F3">
            <w:pPr>
              <w:pStyle w:val="ARtabletextright"/>
            </w:pPr>
            <w:r w:rsidRPr="002029AF">
              <w:t>92.3</w:t>
            </w:r>
          </w:p>
        </w:tc>
        <w:tc>
          <w:tcPr>
            <w:tcW w:w="1033" w:type="dxa"/>
            <w:gridSpan w:val="2"/>
            <w:tcBorders>
              <w:top w:val="single" w:sz="4" w:space="0" w:color="BFBFBF"/>
              <w:bottom w:val="single" w:sz="4" w:space="0" w:color="BFBFBF"/>
            </w:tcBorders>
            <w:shd w:val="clear" w:color="auto" w:fill="auto"/>
          </w:tcPr>
          <w:p w14:paraId="204CC845" w14:textId="77777777" w:rsidR="00C15C65" w:rsidRPr="002029AF" w:rsidRDefault="00C15C65" w:rsidP="000024F3">
            <w:pPr>
              <w:pStyle w:val="ARtabletextright"/>
            </w:pPr>
            <w:r w:rsidRPr="002029AF">
              <w:t>-2.8</w:t>
            </w:r>
          </w:p>
        </w:tc>
        <w:tc>
          <w:tcPr>
            <w:tcW w:w="796" w:type="dxa"/>
            <w:tcBorders>
              <w:top w:val="single" w:sz="4" w:space="0" w:color="BFBFBF"/>
              <w:bottom w:val="single" w:sz="4" w:space="0" w:color="BFBFBF"/>
            </w:tcBorders>
            <w:shd w:val="clear" w:color="auto" w:fill="auto"/>
            <w:hideMark/>
          </w:tcPr>
          <w:p w14:paraId="3CABC02E" w14:textId="17F644E3" w:rsidR="00C15C65" w:rsidRPr="002029AF" w:rsidRDefault="003A6C3B" w:rsidP="000F6867">
            <w:pPr>
              <w:pStyle w:val="ARtableperformancesymbol"/>
              <w:rPr>
                <w:rFonts w:hint="eastAsia"/>
                <w:lang w:val="en-AU"/>
              </w:rPr>
            </w:pPr>
            <w:r w:rsidRPr="002029AF">
              <w:rPr>
                <w:lang w:val="en-AU"/>
              </w:rPr>
              <w:t>□</w:t>
            </w:r>
          </w:p>
        </w:tc>
      </w:tr>
      <w:tr w:rsidR="00C15C65" w:rsidRPr="002029AF" w14:paraId="2E09B50C" w14:textId="77777777" w:rsidTr="005B58F0">
        <w:trPr>
          <w:gridAfter w:val="1"/>
          <w:wAfter w:w="6" w:type="dxa"/>
          <w:cantSplit/>
        </w:trPr>
        <w:tc>
          <w:tcPr>
            <w:tcW w:w="4745" w:type="dxa"/>
            <w:tcBorders>
              <w:top w:val="single" w:sz="4" w:space="0" w:color="BFBFBF"/>
            </w:tcBorders>
            <w:shd w:val="clear" w:color="auto" w:fill="auto"/>
            <w:hideMark/>
          </w:tcPr>
          <w:p w14:paraId="0E38A31D" w14:textId="2A43C4D1" w:rsidR="00C15C65" w:rsidRPr="002029AF" w:rsidRDefault="00C15C65" w:rsidP="00C40F5D">
            <w:pPr>
              <w:pStyle w:val="ARtabletext"/>
            </w:pPr>
            <w:r w:rsidRPr="002029AF">
              <w:t>Public</w:t>
            </w:r>
            <w:r w:rsidR="000A5329" w:rsidRPr="002029AF">
              <w:t xml:space="preserve"> </w:t>
            </w:r>
            <w:r w:rsidRPr="002029AF">
              <w:t>health</w:t>
            </w:r>
            <w:r w:rsidR="000A5329" w:rsidRPr="002029AF">
              <w:t xml:space="preserve"> </w:t>
            </w:r>
            <w:r w:rsidRPr="002029AF">
              <w:t>emergency</w:t>
            </w:r>
            <w:r w:rsidR="000A5329" w:rsidRPr="002029AF">
              <w:t xml:space="preserve"> </w:t>
            </w:r>
            <w:r w:rsidRPr="002029AF">
              <w:t>response</w:t>
            </w:r>
            <w:r w:rsidR="000A5329" w:rsidRPr="002029AF">
              <w:t xml:space="preserve"> </w:t>
            </w:r>
            <w:r w:rsidRPr="002029AF">
              <w:t>calls</w:t>
            </w:r>
            <w:r w:rsidR="000A5329" w:rsidRPr="002029AF">
              <w:t xml:space="preserve"> </w:t>
            </w:r>
            <w:r w:rsidRPr="002029AF">
              <w:t>dealt</w:t>
            </w:r>
            <w:r w:rsidR="000A5329" w:rsidRPr="002029AF">
              <w:t xml:space="preserve"> </w:t>
            </w:r>
            <w:r w:rsidRPr="002029AF">
              <w:t>with</w:t>
            </w:r>
            <w:r w:rsidR="000A5329" w:rsidRPr="002029AF">
              <w:t xml:space="preserve"> </w:t>
            </w:r>
            <w:r w:rsidRPr="002029AF">
              <w:t>within</w:t>
            </w:r>
            <w:r w:rsidR="000A5329" w:rsidRPr="002029AF">
              <w:t xml:space="preserve"> </w:t>
            </w:r>
            <w:r w:rsidRPr="002029AF">
              <w:t>designated</w:t>
            </w:r>
            <w:r w:rsidR="000A5329" w:rsidRPr="002029AF">
              <w:t xml:space="preserve"> </w:t>
            </w:r>
            <w:r w:rsidRPr="002029AF">
              <w:t>plans</w:t>
            </w:r>
            <w:r w:rsidR="000A5329" w:rsidRPr="002029AF">
              <w:t xml:space="preserve"> </w:t>
            </w:r>
            <w:r w:rsidRPr="002029AF">
              <w:t>and</w:t>
            </w:r>
            <w:r w:rsidR="000A5329" w:rsidRPr="002029AF">
              <w:t xml:space="preserve"> </w:t>
            </w:r>
            <w:r w:rsidRPr="002029AF">
              <w:t>procedure</w:t>
            </w:r>
            <w:r w:rsidR="000A5329" w:rsidRPr="002029AF">
              <w:t xml:space="preserve"> </w:t>
            </w:r>
            <w:r w:rsidRPr="002029AF">
              <w:t>timelines</w:t>
            </w:r>
          </w:p>
        </w:tc>
        <w:tc>
          <w:tcPr>
            <w:tcW w:w="1019" w:type="dxa"/>
            <w:gridSpan w:val="2"/>
            <w:tcBorders>
              <w:top w:val="single" w:sz="4" w:space="0" w:color="BFBFBF"/>
            </w:tcBorders>
            <w:shd w:val="clear" w:color="auto" w:fill="auto"/>
            <w:hideMark/>
          </w:tcPr>
          <w:p w14:paraId="2DD65538" w14:textId="793EEDDE" w:rsidR="00C15C65" w:rsidRPr="002029AF" w:rsidRDefault="00C15C65" w:rsidP="00C40F5D">
            <w:pPr>
              <w:pStyle w:val="ARtabletext"/>
            </w:pPr>
            <w:r w:rsidRPr="002029AF">
              <w:t>per</w:t>
            </w:r>
            <w:r w:rsidR="000A5329" w:rsidRPr="002029AF">
              <w:t xml:space="preserve"> </w:t>
            </w:r>
            <w:r w:rsidRPr="002029AF">
              <w:t>cent</w:t>
            </w:r>
          </w:p>
        </w:tc>
        <w:tc>
          <w:tcPr>
            <w:tcW w:w="1018" w:type="dxa"/>
            <w:gridSpan w:val="2"/>
            <w:tcBorders>
              <w:top w:val="single" w:sz="4" w:space="0" w:color="BFBFBF"/>
            </w:tcBorders>
            <w:shd w:val="clear" w:color="auto" w:fill="auto"/>
            <w:hideMark/>
          </w:tcPr>
          <w:p w14:paraId="12901C57" w14:textId="77777777" w:rsidR="00C15C65" w:rsidRPr="002029AF" w:rsidRDefault="00C15C65" w:rsidP="000024F3">
            <w:pPr>
              <w:pStyle w:val="ARtabletextright"/>
            </w:pPr>
            <w:r w:rsidRPr="002029AF">
              <w:t>100</w:t>
            </w:r>
          </w:p>
        </w:tc>
        <w:tc>
          <w:tcPr>
            <w:tcW w:w="1022" w:type="dxa"/>
            <w:gridSpan w:val="2"/>
            <w:tcBorders>
              <w:top w:val="single" w:sz="4" w:space="0" w:color="BFBFBF"/>
            </w:tcBorders>
            <w:shd w:val="clear" w:color="auto" w:fill="auto"/>
            <w:hideMark/>
          </w:tcPr>
          <w:p w14:paraId="3D9BE4A9" w14:textId="77777777" w:rsidR="00C15C65" w:rsidRPr="002029AF" w:rsidRDefault="00C15C65" w:rsidP="000024F3">
            <w:pPr>
              <w:pStyle w:val="ARtabletextright"/>
            </w:pPr>
            <w:r w:rsidRPr="002029AF">
              <w:t>100</w:t>
            </w:r>
          </w:p>
        </w:tc>
        <w:tc>
          <w:tcPr>
            <w:tcW w:w="1033" w:type="dxa"/>
            <w:gridSpan w:val="2"/>
            <w:tcBorders>
              <w:top w:val="single" w:sz="4" w:space="0" w:color="BFBFBF"/>
            </w:tcBorders>
            <w:shd w:val="clear" w:color="auto" w:fill="auto"/>
          </w:tcPr>
          <w:p w14:paraId="20A003EF" w14:textId="77777777" w:rsidR="00C15C65" w:rsidRPr="002029AF" w:rsidRDefault="00C15C65" w:rsidP="000024F3">
            <w:pPr>
              <w:pStyle w:val="ARtabletextright"/>
            </w:pPr>
            <w:r w:rsidRPr="002029AF">
              <w:t>0.0</w:t>
            </w:r>
          </w:p>
        </w:tc>
        <w:tc>
          <w:tcPr>
            <w:tcW w:w="796" w:type="dxa"/>
            <w:tcBorders>
              <w:top w:val="single" w:sz="4" w:space="0" w:color="BFBFBF"/>
            </w:tcBorders>
            <w:shd w:val="clear" w:color="auto" w:fill="auto"/>
            <w:hideMark/>
          </w:tcPr>
          <w:p w14:paraId="35C3A7D0"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7792BDF7" w14:textId="77777777" w:rsidTr="005B58F0">
        <w:trPr>
          <w:cantSplit/>
        </w:trPr>
        <w:tc>
          <w:tcPr>
            <w:tcW w:w="9639" w:type="dxa"/>
            <w:gridSpan w:val="11"/>
            <w:tcBorders>
              <w:top w:val="single" w:sz="4" w:space="0" w:color="auto"/>
              <w:left w:val="nil"/>
              <w:bottom w:val="nil"/>
              <w:right w:val="nil"/>
            </w:tcBorders>
            <w:hideMark/>
          </w:tcPr>
          <w:p w14:paraId="45736912" w14:textId="77777777" w:rsidR="00C15C65" w:rsidRPr="002029AF" w:rsidRDefault="00C15C65" w:rsidP="007666A5">
            <w:pPr>
              <w:pStyle w:val="ARtablegreybold"/>
            </w:pPr>
            <w:r w:rsidRPr="002029AF">
              <w:t>Timeliness</w:t>
            </w:r>
          </w:p>
        </w:tc>
      </w:tr>
      <w:tr w:rsidR="00C15C65" w:rsidRPr="002029AF" w14:paraId="7A4BAA41" w14:textId="77777777" w:rsidTr="005B58F0">
        <w:trPr>
          <w:gridAfter w:val="1"/>
          <w:wAfter w:w="6" w:type="dxa"/>
          <w:cantSplit/>
        </w:trPr>
        <w:tc>
          <w:tcPr>
            <w:tcW w:w="4757" w:type="dxa"/>
            <w:gridSpan w:val="2"/>
            <w:shd w:val="clear" w:color="auto" w:fill="auto"/>
            <w:hideMark/>
          </w:tcPr>
          <w:p w14:paraId="538E922F" w14:textId="4FB71221" w:rsidR="00C15C65" w:rsidRPr="002029AF" w:rsidRDefault="00C15C65" w:rsidP="00C40F5D">
            <w:pPr>
              <w:pStyle w:val="ARtabletext"/>
            </w:pPr>
            <w:r w:rsidRPr="002029AF">
              <w:t>Average</w:t>
            </w:r>
            <w:r w:rsidR="000A5329" w:rsidRPr="002029AF">
              <w:t xml:space="preserve"> </w:t>
            </w:r>
            <w:r w:rsidRPr="002029AF">
              <w:t>time</w:t>
            </w:r>
            <w:r w:rsidR="000A5329" w:rsidRPr="002029AF">
              <w:t xml:space="preserve"> </w:t>
            </w:r>
            <w:r w:rsidRPr="002029AF">
              <w:t>taken</w:t>
            </w:r>
            <w:r w:rsidR="000A5329" w:rsidRPr="002029AF">
              <w:t xml:space="preserve"> </w:t>
            </w:r>
            <w:r w:rsidRPr="002029AF">
              <w:t>from</w:t>
            </w:r>
            <w:r w:rsidR="000A5329" w:rsidRPr="002029AF">
              <w:t xml:space="preserve"> </w:t>
            </w:r>
            <w:r w:rsidRPr="002029AF">
              <w:t>notification</w:t>
            </w:r>
            <w:r w:rsidR="000A5329" w:rsidRPr="002029AF">
              <w:t xml:space="preserve"> </w:t>
            </w:r>
            <w:r w:rsidRPr="002029AF">
              <w:t>of</w:t>
            </w:r>
            <w:r w:rsidR="000A5329" w:rsidRPr="002029AF">
              <w:t xml:space="preserve"> </w:t>
            </w:r>
            <w:r w:rsidRPr="002029AF">
              <w:t>a</w:t>
            </w:r>
            <w:r w:rsidR="000A5329" w:rsidRPr="002029AF">
              <w:t xml:space="preserve"> </w:t>
            </w:r>
            <w:r w:rsidRPr="002029AF">
              <w:t>food</w:t>
            </w:r>
            <w:r w:rsidR="000A5329" w:rsidRPr="002029AF">
              <w:t xml:space="preserve"> </w:t>
            </w:r>
            <w:r w:rsidRPr="002029AF">
              <w:t>complaint</w:t>
            </w:r>
            <w:r w:rsidR="000A5329" w:rsidRPr="002029AF">
              <w:t xml:space="preserve"> </w:t>
            </w:r>
            <w:r w:rsidRPr="002029AF">
              <w:t>to</w:t>
            </w:r>
            <w:r w:rsidR="000A5329" w:rsidRPr="002029AF">
              <w:t xml:space="preserve"> </w:t>
            </w:r>
            <w:r w:rsidRPr="002029AF">
              <w:t>commencement</w:t>
            </w:r>
            <w:r w:rsidR="000A5329" w:rsidRPr="002029AF">
              <w:t xml:space="preserve"> </w:t>
            </w:r>
            <w:r w:rsidRPr="002029AF">
              <w:t>of</w:t>
            </w:r>
            <w:r w:rsidR="000A5329" w:rsidRPr="002029AF">
              <w:t xml:space="preserve"> </w:t>
            </w:r>
            <w:r w:rsidRPr="002029AF">
              <w:t>appropriate</w:t>
            </w:r>
            <w:r w:rsidR="000A5329" w:rsidRPr="002029AF">
              <w:t xml:space="preserve"> </w:t>
            </w:r>
            <w:r w:rsidRPr="002029AF">
              <w:t>action</w:t>
            </w:r>
          </w:p>
        </w:tc>
        <w:tc>
          <w:tcPr>
            <w:tcW w:w="1020" w:type="dxa"/>
            <w:gridSpan w:val="2"/>
            <w:shd w:val="clear" w:color="auto" w:fill="auto"/>
            <w:hideMark/>
          </w:tcPr>
          <w:p w14:paraId="1F8AECD1" w14:textId="77777777" w:rsidR="00C15C65" w:rsidRPr="002029AF" w:rsidRDefault="00C15C65" w:rsidP="00C40F5D">
            <w:pPr>
              <w:pStyle w:val="ARtabletext"/>
            </w:pPr>
            <w:r w:rsidRPr="002029AF">
              <w:t>number</w:t>
            </w:r>
          </w:p>
        </w:tc>
        <w:tc>
          <w:tcPr>
            <w:tcW w:w="1020" w:type="dxa"/>
            <w:gridSpan w:val="2"/>
            <w:shd w:val="clear" w:color="auto" w:fill="auto"/>
            <w:hideMark/>
          </w:tcPr>
          <w:p w14:paraId="2FABDC4D" w14:textId="77777777" w:rsidR="00C15C65" w:rsidRPr="002029AF" w:rsidRDefault="00C15C65" w:rsidP="000024F3">
            <w:pPr>
              <w:pStyle w:val="ARtabletextright"/>
            </w:pPr>
            <w:r w:rsidRPr="002029AF">
              <w:t>24</w:t>
            </w:r>
          </w:p>
        </w:tc>
        <w:tc>
          <w:tcPr>
            <w:tcW w:w="1020" w:type="dxa"/>
            <w:gridSpan w:val="2"/>
            <w:shd w:val="clear" w:color="auto" w:fill="auto"/>
            <w:hideMark/>
          </w:tcPr>
          <w:p w14:paraId="6F2F4FA9" w14:textId="77777777" w:rsidR="00C15C65" w:rsidRPr="002029AF" w:rsidRDefault="00C15C65" w:rsidP="000024F3">
            <w:pPr>
              <w:pStyle w:val="ARtabletextright"/>
            </w:pPr>
            <w:r w:rsidRPr="002029AF">
              <w:t>24</w:t>
            </w:r>
          </w:p>
        </w:tc>
        <w:tc>
          <w:tcPr>
            <w:tcW w:w="1020" w:type="dxa"/>
            <w:shd w:val="clear" w:color="auto" w:fill="auto"/>
          </w:tcPr>
          <w:p w14:paraId="050FF07F" w14:textId="77777777" w:rsidR="00C15C65" w:rsidRPr="002029AF" w:rsidRDefault="00C15C65" w:rsidP="000024F3">
            <w:pPr>
              <w:pStyle w:val="ARtabletextright"/>
            </w:pPr>
            <w:r w:rsidRPr="002029AF">
              <w:t>0.0</w:t>
            </w:r>
          </w:p>
        </w:tc>
        <w:tc>
          <w:tcPr>
            <w:tcW w:w="796" w:type="dxa"/>
            <w:shd w:val="clear" w:color="auto" w:fill="auto"/>
            <w:hideMark/>
          </w:tcPr>
          <w:p w14:paraId="4F89F368"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095912D5" w14:textId="77777777" w:rsidTr="005B58F0">
        <w:trPr>
          <w:gridAfter w:val="1"/>
          <w:wAfter w:w="6" w:type="dxa"/>
          <w:cantSplit/>
        </w:trPr>
        <w:tc>
          <w:tcPr>
            <w:tcW w:w="9633" w:type="dxa"/>
            <w:gridSpan w:val="10"/>
            <w:tcBorders>
              <w:bottom w:val="single" w:sz="4" w:space="0" w:color="BFBFBF"/>
            </w:tcBorders>
            <w:shd w:val="clear" w:color="auto" w:fill="auto"/>
            <w:noWrap/>
            <w:hideMark/>
          </w:tcPr>
          <w:p w14:paraId="43CF78C6" w14:textId="51C648F6" w:rsidR="00C15C65" w:rsidRPr="002029AF" w:rsidRDefault="00C15C65" w:rsidP="00D96AFD">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by</w:t>
            </w:r>
            <w:r w:rsidR="000A5329" w:rsidRPr="002029AF">
              <w:t xml:space="preserve"> </w:t>
            </w:r>
            <w:r w:rsidRPr="002029AF">
              <w:t>late</w:t>
            </w:r>
            <w:r w:rsidR="000A5329" w:rsidRPr="002029AF">
              <w:t xml:space="preserve"> </w:t>
            </w:r>
            <w:r w:rsidRPr="002029AF">
              <w:t>2020.</w:t>
            </w:r>
          </w:p>
        </w:tc>
      </w:tr>
      <w:tr w:rsidR="00C15C65" w:rsidRPr="002029AF" w14:paraId="3EFECADE" w14:textId="77777777" w:rsidTr="005B58F0">
        <w:trPr>
          <w:gridAfter w:val="1"/>
          <w:wAfter w:w="6" w:type="dxa"/>
          <w:cantSplit/>
        </w:trPr>
        <w:tc>
          <w:tcPr>
            <w:tcW w:w="4757" w:type="dxa"/>
            <w:gridSpan w:val="2"/>
            <w:tcBorders>
              <w:top w:val="single" w:sz="4" w:space="0" w:color="BFBFBF"/>
              <w:bottom w:val="single" w:sz="4" w:space="0" w:color="BFBFBF"/>
            </w:tcBorders>
            <w:shd w:val="clear" w:color="auto" w:fill="auto"/>
            <w:hideMark/>
          </w:tcPr>
          <w:p w14:paraId="3934331F" w14:textId="18261D1E" w:rsidR="00C15C65" w:rsidRPr="002029AF" w:rsidRDefault="00C15C65" w:rsidP="00C40F5D">
            <w:pPr>
              <w:pStyle w:val="ARtabletext"/>
            </w:pPr>
            <w:r w:rsidRPr="002029AF">
              <w:t>Infectious</w:t>
            </w:r>
            <w:r w:rsidR="000A5329" w:rsidRPr="002029AF">
              <w:t xml:space="preserve"> </w:t>
            </w:r>
            <w:r w:rsidRPr="002029AF">
              <w:t>disease</w:t>
            </w:r>
            <w:r w:rsidR="000A5329" w:rsidRPr="002029AF">
              <w:t xml:space="preserve"> </w:t>
            </w:r>
            <w:r w:rsidRPr="002029AF">
              <w:t>outbreaks</w:t>
            </w:r>
            <w:r w:rsidR="000A5329" w:rsidRPr="002029AF">
              <w:t xml:space="preserve"> </w:t>
            </w:r>
            <w:r w:rsidRPr="002029AF">
              <w:t>responded</w:t>
            </w:r>
            <w:r w:rsidR="000A5329" w:rsidRPr="002029AF">
              <w:t xml:space="preserve"> </w:t>
            </w:r>
            <w:r w:rsidRPr="002029AF">
              <w:t>to</w:t>
            </w:r>
            <w:r w:rsidR="000A5329" w:rsidRPr="002029AF">
              <w:t xml:space="preserve"> </w:t>
            </w:r>
            <w:r w:rsidRPr="002029AF">
              <w:t>within</w:t>
            </w:r>
            <w:r w:rsidR="000A5329" w:rsidRPr="002029AF">
              <w:t xml:space="preserve"> </w:t>
            </w:r>
            <w:r w:rsidRPr="002029AF">
              <w:t>24</w:t>
            </w:r>
            <w:r w:rsidR="000A5329" w:rsidRPr="002029AF">
              <w:t xml:space="preserve"> </w:t>
            </w:r>
            <w:r w:rsidRPr="002029AF">
              <w:t>hours</w:t>
            </w:r>
          </w:p>
        </w:tc>
        <w:tc>
          <w:tcPr>
            <w:tcW w:w="1020" w:type="dxa"/>
            <w:gridSpan w:val="2"/>
            <w:tcBorders>
              <w:top w:val="single" w:sz="4" w:space="0" w:color="BFBFBF"/>
              <w:bottom w:val="single" w:sz="4" w:space="0" w:color="BFBFBF"/>
            </w:tcBorders>
            <w:shd w:val="clear" w:color="auto" w:fill="auto"/>
            <w:hideMark/>
          </w:tcPr>
          <w:p w14:paraId="2299F984" w14:textId="3AC89BCA" w:rsidR="00C15C65" w:rsidRPr="002029AF" w:rsidRDefault="00C15C65" w:rsidP="00C40F5D">
            <w:pPr>
              <w:pStyle w:val="ARtabletext"/>
            </w:pPr>
            <w:r w:rsidRPr="002029AF">
              <w:t>per</w:t>
            </w:r>
            <w:r w:rsidR="000A5329" w:rsidRPr="002029AF">
              <w:t xml:space="preserve"> </w:t>
            </w:r>
            <w:r w:rsidRPr="002029AF">
              <w:t>cent</w:t>
            </w:r>
          </w:p>
        </w:tc>
        <w:tc>
          <w:tcPr>
            <w:tcW w:w="1020" w:type="dxa"/>
            <w:gridSpan w:val="2"/>
            <w:tcBorders>
              <w:top w:val="single" w:sz="4" w:space="0" w:color="BFBFBF"/>
              <w:bottom w:val="single" w:sz="4" w:space="0" w:color="BFBFBF"/>
            </w:tcBorders>
            <w:shd w:val="clear" w:color="auto" w:fill="auto"/>
            <w:hideMark/>
          </w:tcPr>
          <w:p w14:paraId="0805FAD9" w14:textId="77777777" w:rsidR="00C15C65" w:rsidRPr="002029AF" w:rsidRDefault="00C15C65" w:rsidP="000024F3">
            <w:pPr>
              <w:pStyle w:val="ARtabletextright"/>
            </w:pPr>
            <w:r w:rsidRPr="002029AF">
              <w:t>100</w:t>
            </w:r>
          </w:p>
        </w:tc>
        <w:tc>
          <w:tcPr>
            <w:tcW w:w="1020" w:type="dxa"/>
            <w:gridSpan w:val="2"/>
            <w:tcBorders>
              <w:top w:val="single" w:sz="4" w:space="0" w:color="BFBFBF"/>
              <w:bottom w:val="single" w:sz="4" w:space="0" w:color="BFBFBF"/>
            </w:tcBorders>
            <w:shd w:val="clear" w:color="auto" w:fill="auto"/>
            <w:hideMark/>
          </w:tcPr>
          <w:p w14:paraId="68750BA8" w14:textId="77777777" w:rsidR="00C15C65" w:rsidRPr="002029AF" w:rsidRDefault="00C15C65" w:rsidP="000024F3">
            <w:pPr>
              <w:pStyle w:val="ARtabletextright"/>
            </w:pPr>
            <w:r w:rsidRPr="002029AF">
              <w:t>100</w:t>
            </w:r>
          </w:p>
        </w:tc>
        <w:tc>
          <w:tcPr>
            <w:tcW w:w="1020" w:type="dxa"/>
            <w:tcBorders>
              <w:top w:val="single" w:sz="4" w:space="0" w:color="BFBFBF"/>
              <w:bottom w:val="single" w:sz="4" w:space="0" w:color="BFBFBF"/>
            </w:tcBorders>
            <w:shd w:val="clear" w:color="auto" w:fill="auto"/>
          </w:tcPr>
          <w:p w14:paraId="6D4D080A" w14:textId="77777777" w:rsidR="00C15C65" w:rsidRPr="002029AF" w:rsidRDefault="00C15C65" w:rsidP="000024F3">
            <w:pPr>
              <w:pStyle w:val="ARtabletextright"/>
            </w:pPr>
            <w:r w:rsidRPr="002029AF">
              <w:t>0.0</w:t>
            </w:r>
          </w:p>
        </w:tc>
        <w:tc>
          <w:tcPr>
            <w:tcW w:w="796" w:type="dxa"/>
            <w:tcBorders>
              <w:top w:val="single" w:sz="4" w:space="0" w:color="BFBFBF"/>
              <w:bottom w:val="single" w:sz="4" w:space="0" w:color="BFBFBF"/>
            </w:tcBorders>
            <w:shd w:val="clear" w:color="auto" w:fill="auto"/>
            <w:hideMark/>
          </w:tcPr>
          <w:p w14:paraId="3F3A69EF"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6047DB29" w14:textId="77777777" w:rsidTr="005B58F0">
        <w:trPr>
          <w:gridAfter w:val="1"/>
          <w:wAfter w:w="6" w:type="dxa"/>
          <w:cantSplit/>
        </w:trPr>
        <w:tc>
          <w:tcPr>
            <w:tcW w:w="4757" w:type="dxa"/>
            <w:gridSpan w:val="2"/>
            <w:tcBorders>
              <w:top w:val="single" w:sz="4" w:space="0" w:color="BFBFBF"/>
            </w:tcBorders>
            <w:shd w:val="clear" w:color="auto" w:fill="auto"/>
            <w:hideMark/>
          </w:tcPr>
          <w:p w14:paraId="4FB986B5" w14:textId="248C1C5F" w:rsidR="00C15C65" w:rsidRPr="002029AF" w:rsidRDefault="00C15C65" w:rsidP="00C40F5D">
            <w:pPr>
              <w:pStyle w:val="ARtabletext"/>
            </w:pPr>
            <w:r w:rsidRPr="002029AF">
              <w:t>Participation</w:t>
            </w:r>
            <w:r w:rsidR="000A5329" w:rsidRPr="002029AF">
              <w:t xml:space="preserve"> </w:t>
            </w:r>
            <w:r w:rsidRPr="002029AF">
              <w:t>rate</w:t>
            </w:r>
            <w:r w:rsidR="000A5329" w:rsidRPr="002029AF">
              <w:t xml:space="preserve"> </w:t>
            </w:r>
            <w:r w:rsidRPr="002029AF">
              <w:t>of</w:t>
            </w:r>
            <w:r w:rsidR="000A5329" w:rsidRPr="002029AF">
              <w:t xml:space="preserve"> </w:t>
            </w:r>
            <w:r w:rsidRPr="002029AF">
              <w:t>women</w:t>
            </w:r>
            <w:r w:rsidR="000A5329" w:rsidRPr="002029AF">
              <w:t xml:space="preserve"> </w:t>
            </w:r>
            <w:r w:rsidRPr="002029AF">
              <w:t>in</w:t>
            </w:r>
            <w:r w:rsidR="000A5329" w:rsidRPr="002029AF">
              <w:t xml:space="preserve"> </w:t>
            </w:r>
            <w:r w:rsidRPr="002029AF">
              <w:t>target</w:t>
            </w:r>
            <w:r w:rsidR="000A5329" w:rsidRPr="002029AF">
              <w:t xml:space="preserve"> </w:t>
            </w:r>
            <w:r w:rsidRPr="002029AF">
              <w:t>age</w:t>
            </w:r>
            <w:r w:rsidR="000A5329" w:rsidRPr="002029AF">
              <w:t xml:space="preserve"> </w:t>
            </w:r>
            <w:r w:rsidRPr="002029AF">
              <w:t>range</w:t>
            </w:r>
            <w:r w:rsidR="000A5329" w:rsidRPr="002029AF">
              <w:t xml:space="preserve"> </w:t>
            </w:r>
            <w:r w:rsidRPr="002029AF">
              <w:t>screened</w:t>
            </w:r>
            <w:r w:rsidR="000A5329" w:rsidRPr="002029AF">
              <w:t xml:space="preserve"> </w:t>
            </w:r>
            <w:r w:rsidRPr="002029AF">
              <w:t>for</w:t>
            </w:r>
            <w:r w:rsidR="000A5329" w:rsidRPr="002029AF">
              <w:t xml:space="preserve"> </w:t>
            </w:r>
            <w:r w:rsidRPr="002029AF">
              <w:t>breast</w:t>
            </w:r>
            <w:r w:rsidR="000A5329" w:rsidRPr="002029AF">
              <w:t xml:space="preserve"> </w:t>
            </w:r>
            <w:r w:rsidRPr="002029AF">
              <w:t>cancer</w:t>
            </w:r>
          </w:p>
        </w:tc>
        <w:tc>
          <w:tcPr>
            <w:tcW w:w="1020" w:type="dxa"/>
            <w:gridSpan w:val="2"/>
            <w:tcBorders>
              <w:top w:val="single" w:sz="4" w:space="0" w:color="BFBFBF"/>
            </w:tcBorders>
            <w:shd w:val="clear" w:color="auto" w:fill="auto"/>
            <w:hideMark/>
          </w:tcPr>
          <w:p w14:paraId="1B71A25A" w14:textId="7A2C2A31" w:rsidR="00C15C65" w:rsidRPr="002029AF" w:rsidRDefault="00C15C65" w:rsidP="00C40F5D">
            <w:pPr>
              <w:pStyle w:val="ARtabletext"/>
            </w:pPr>
            <w:r w:rsidRPr="002029AF">
              <w:t>per</w:t>
            </w:r>
            <w:r w:rsidR="000A5329" w:rsidRPr="002029AF">
              <w:t xml:space="preserve"> </w:t>
            </w:r>
            <w:r w:rsidRPr="002029AF">
              <w:t>cent</w:t>
            </w:r>
          </w:p>
        </w:tc>
        <w:tc>
          <w:tcPr>
            <w:tcW w:w="1020" w:type="dxa"/>
            <w:gridSpan w:val="2"/>
            <w:tcBorders>
              <w:top w:val="single" w:sz="4" w:space="0" w:color="BFBFBF"/>
            </w:tcBorders>
            <w:shd w:val="clear" w:color="auto" w:fill="auto"/>
            <w:hideMark/>
          </w:tcPr>
          <w:p w14:paraId="716E0CF1" w14:textId="77777777" w:rsidR="00C15C65" w:rsidRPr="002029AF" w:rsidRDefault="00C15C65" w:rsidP="000024F3">
            <w:pPr>
              <w:pStyle w:val="ARtabletextright"/>
            </w:pPr>
            <w:r w:rsidRPr="002029AF">
              <w:t>54</w:t>
            </w:r>
          </w:p>
        </w:tc>
        <w:tc>
          <w:tcPr>
            <w:tcW w:w="1020" w:type="dxa"/>
            <w:gridSpan w:val="2"/>
            <w:tcBorders>
              <w:top w:val="single" w:sz="4" w:space="0" w:color="BFBFBF"/>
            </w:tcBorders>
            <w:shd w:val="clear" w:color="auto" w:fill="auto"/>
            <w:hideMark/>
          </w:tcPr>
          <w:p w14:paraId="25F366E0" w14:textId="77777777" w:rsidR="00C15C65" w:rsidRPr="002029AF" w:rsidRDefault="00C15C65" w:rsidP="000024F3">
            <w:pPr>
              <w:pStyle w:val="ARtabletextright"/>
            </w:pPr>
            <w:r w:rsidRPr="002029AF">
              <w:t>49</w:t>
            </w:r>
          </w:p>
        </w:tc>
        <w:tc>
          <w:tcPr>
            <w:tcW w:w="1020" w:type="dxa"/>
            <w:tcBorders>
              <w:top w:val="single" w:sz="4" w:space="0" w:color="BFBFBF"/>
            </w:tcBorders>
            <w:shd w:val="clear" w:color="auto" w:fill="auto"/>
          </w:tcPr>
          <w:p w14:paraId="05BE5374" w14:textId="77777777" w:rsidR="00C15C65" w:rsidRPr="002029AF" w:rsidRDefault="00C15C65" w:rsidP="000024F3">
            <w:pPr>
              <w:pStyle w:val="ARtabletextright"/>
            </w:pPr>
            <w:r w:rsidRPr="002029AF">
              <w:t>-9.3</w:t>
            </w:r>
          </w:p>
        </w:tc>
        <w:tc>
          <w:tcPr>
            <w:tcW w:w="796" w:type="dxa"/>
            <w:tcBorders>
              <w:top w:val="single" w:sz="4" w:space="0" w:color="BFBFBF"/>
            </w:tcBorders>
            <w:shd w:val="clear" w:color="auto" w:fill="auto"/>
            <w:hideMark/>
          </w:tcPr>
          <w:p w14:paraId="719445D4"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5155437F" w14:textId="77777777" w:rsidTr="005B58F0">
        <w:trPr>
          <w:gridAfter w:val="1"/>
          <w:wAfter w:w="6" w:type="dxa"/>
          <w:cantSplit/>
        </w:trPr>
        <w:tc>
          <w:tcPr>
            <w:tcW w:w="9633" w:type="dxa"/>
            <w:gridSpan w:val="10"/>
            <w:tcBorders>
              <w:bottom w:val="single" w:sz="4" w:space="0" w:color="BFBFBF"/>
            </w:tcBorders>
            <w:shd w:val="clear" w:color="auto" w:fill="auto"/>
            <w:noWrap/>
            <w:hideMark/>
          </w:tcPr>
          <w:p w14:paraId="3FAFAB8E" w14:textId="2D90E570" w:rsidR="00C15C65" w:rsidRPr="002029AF" w:rsidRDefault="00C15C65" w:rsidP="00D96AFD">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participation</w:t>
            </w:r>
            <w:r w:rsidR="000A5329" w:rsidRPr="002029AF">
              <w:t xml:space="preserve"> </w:t>
            </w:r>
            <w:r w:rsidRPr="002029AF">
              <w:t>results</w:t>
            </w:r>
            <w:r w:rsidR="000A5329" w:rsidRPr="002029AF">
              <w:t xml:space="preserve"> </w:t>
            </w:r>
            <w:r w:rsidRPr="002029AF">
              <w:t>for</w:t>
            </w:r>
            <w:r w:rsidR="000A5329" w:rsidRPr="002029AF">
              <w:t xml:space="preserve"> </w:t>
            </w:r>
            <w:r w:rsidRPr="002029AF">
              <w:t>1</w:t>
            </w:r>
            <w:r w:rsidR="000A5329" w:rsidRPr="002029AF">
              <w:t xml:space="preserve"> </w:t>
            </w:r>
            <w:r w:rsidRPr="002029AF">
              <w:t>July</w:t>
            </w:r>
            <w:r w:rsidR="000A5329" w:rsidRPr="002029AF">
              <w:t xml:space="preserve"> </w:t>
            </w:r>
            <w:r w:rsidRPr="002029AF">
              <w:t>2018</w:t>
            </w:r>
            <w:r w:rsidR="000A5329" w:rsidRPr="002029AF">
              <w:t xml:space="preserve"> </w:t>
            </w:r>
            <w:r w:rsidRPr="002029AF">
              <w:t>to</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by</w:t>
            </w:r>
            <w:r w:rsidR="000A5329" w:rsidRPr="002029AF">
              <w:t xml:space="preserve"> </w:t>
            </w:r>
            <w:r w:rsidRPr="002029AF">
              <w:t>early</w:t>
            </w:r>
            <w:r w:rsidR="000A5329" w:rsidRPr="002029AF">
              <w:t xml:space="preserve"> </w:t>
            </w:r>
            <w:r w:rsidRPr="002029AF">
              <w:t>2021</w:t>
            </w:r>
            <w:r w:rsidR="000A5329" w:rsidRPr="002029AF">
              <w:t xml:space="preserve"> </w:t>
            </w:r>
            <w:r w:rsidRPr="002029AF">
              <w:t>in</w:t>
            </w:r>
            <w:r w:rsidR="000A5329" w:rsidRPr="002029AF">
              <w:t xml:space="preserve"> </w:t>
            </w:r>
            <w:r w:rsidRPr="002029AF">
              <w:t>line</w:t>
            </w:r>
            <w:r w:rsidR="000A5329" w:rsidRPr="002029AF">
              <w:t xml:space="preserve"> </w:t>
            </w:r>
            <w:r w:rsidRPr="002029AF">
              <w:t>with</w:t>
            </w:r>
            <w:r w:rsidR="000A5329" w:rsidRPr="002029AF">
              <w:t xml:space="preserve"> </w:t>
            </w:r>
            <w:r w:rsidRPr="002029AF">
              <w:t>Australian</w:t>
            </w:r>
            <w:r w:rsidR="000A5329" w:rsidRPr="002029AF">
              <w:t xml:space="preserve"> </w:t>
            </w:r>
            <w:r w:rsidRPr="002029AF">
              <w:t>Institute</w:t>
            </w:r>
            <w:r w:rsidR="000A5329" w:rsidRPr="002029AF">
              <w:t xml:space="preserve"> </w:t>
            </w:r>
            <w:r w:rsidRPr="002029AF">
              <w:t>of</w:t>
            </w:r>
            <w:r w:rsidR="000A5329" w:rsidRPr="002029AF">
              <w:t xml:space="preserve"> </w:t>
            </w:r>
            <w:r w:rsidRPr="002029AF">
              <w:t>Health</w:t>
            </w:r>
            <w:r w:rsidR="00517701">
              <w:t xml:space="preserve"> and</w:t>
            </w:r>
            <w:r w:rsidR="000A5329" w:rsidRPr="002029AF">
              <w:t xml:space="preserve"> </w:t>
            </w:r>
            <w:r w:rsidRPr="002029AF">
              <w:t>Welfare</w:t>
            </w:r>
            <w:r w:rsidR="000A5329" w:rsidRPr="002029AF">
              <w:t xml:space="preserve"> </w:t>
            </w:r>
            <w:r w:rsidRPr="002029AF">
              <w:t>reporting.</w:t>
            </w:r>
            <w:r w:rsidR="000A5329" w:rsidRPr="002029AF">
              <w:t xml:space="preserve"> </w:t>
            </w: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lower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the</w:t>
            </w:r>
            <w:r w:rsidR="000A5329" w:rsidRPr="002029AF">
              <w:t xml:space="preserve"> </w:t>
            </w:r>
            <w:r w:rsidRPr="002029AF">
              <w:t>impact</w:t>
            </w:r>
            <w:r w:rsidR="000A5329" w:rsidRPr="002029AF">
              <w:t xml:space="preserve"> </w:t>
            </w:r>
            <w:r w:rsidRPr="002029AF">
              <w:t>of</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on</w:t>
            </w:r>
            <w:r w:rsidR="000A5329" w:rsidRPr="002029AF">
              <w:t xml:space="preserve"> </w:t>
            </w:r>
            <w:r w:rsidRPr="002029AF">
              <w:t>service</w:t>
            </w:r>
            <w:r w:rsidR="000A5329" w:rsidRPr="002029AF">
              <w:t xml:space="preserve"> </w:t>
            </w:r>
            <w:r w:rsidRPr="002029AF">
              <w:t>delivery.</w:t>
            </w:r>
          </w:p>
        </w:tc>
      </w:tr>
      <w:tr w:rsidR="00C15C65" w:rsidRPr="002029AF" w14:paraId="7DEE90F8" w14:textId="77777777" w:rsidTr="005B58F0">
        <w:trPr>
          <w:cantSplit/>
        </w:trPr>
        <w:tc>
          <w:tcPr>
            <w:tcW w:w="9639" w:type="dxa"/>
            <w:gridSpan w:val="11"/>
            <w:tcBorders>
              <w:top w:val="single" w:sz="4" w:space="0" w:color="auto"/>
              <w:left w:val="nil"/>
              <w:bottom w:val="nil"/>
              <w:right w:val="nil"/>
            </w:tcBorders>
            <w:hideMark/>
          </w:tcPr>
          <w:p w14:paraId="4F0B41F7" w14:textId="77777777" w:rsidR="00C15C65" w:rsidRPr="002029AF" w:rsidRDefault="00C15C65" w:rsidP="007666A5">
            <w:pPr>
              <w:pStyle w:val="ARtablegreybold"/>
            </w:pPr>
            <w:r w:rsidRPr="002029AF">
              <w:t>Cost</w:t>
            </w:r>
          </w:p>
        </w:tc>
      </w:tr>
      <w:tr w:rsidR="00C15C65" w:rsidRPr="002029AF" w14:paraId="6508844B" w14:textId="77777777" w:rsidTr="005B58F0">
        <w:trPr>
          <w:cantSplit/>
        </w:trPr>
        <w:tc>
          <w:tcPr>
            <w:tcW w:w="4745" w:type="dxa"/>
            <w:hideMark/>
          </w:tcPr>
          <w:p w14:paraId="443C7E0B" w14:textId="012B9045" w:rsidR="00C15C65" w:rsidRPr="002029AF" w:rsidRDefault="00C15C65" w:rsidP="00C40F5D">
            <w:pPr>
              <w:pStyle w:val="ARtabletext"/>
              <w:rPr>
                <w:b/>
              </w:rPr>
            </w:pPr>
            <w:r w:rsidRPr="002029AF">
              <w:rPr>
                <w:b/>
              </w:rPr>
              <w:t>Total</w:t>
            </w:r>
            <w:r w:rsidR="000A5329" w:rsidRPr="002029AF">
              <w:rPr>
                <w:b/>
              </w:rPr>
              <w:t xml:space="preserve"> </w:t>
            </w:r>
            <w:r w:rsidRPr="002029AF">
              <w:rPr>
                <w:b/>
              </w:rPr>
              <w:t>output</w:t>
            </w:r>
            <w:r w:rsidR="000A5329" w:rsidRPr="002029AF">
              <w:rPr>
                <w:b/>
              </w:rPr>
              <w:t xml:space="preserve"> </w:t>
            </w:r>
            <w:r w:rsidRPr="002029AF">
              <w:rPr>
                <w:b/>
              </w:rPr>
              <w:t>cost</w:t>
            </w:r>
          </w:p>
        </w:tc>
        <w:tc>
          <w:tcPr>
            <w:tcW w:w="1019" w:type="dxa"/>
            <w:gridSpan w:val="2"/>
            <w:hideMark/>
          </w:tcPr>
          <w:p w14:paraId="5FBC40E3" w14:textId="61A02241" w:rsidR="00C15C65" w:rsidRPr="002029AF" w:rsidRDefault="00C15C65" w:rsidP="00C40F5D">
            <w:pPr>
              <w:pStyle w:val="ARtabletext"/>
              <w:rPr>
                <w:b/>
              </w:rPr>
            </w:pPr>
            <w:r w:rsidRPr="002029AF">
              <w:rPr>
                <w:b/>
              </w:rPr>
              <w:t>$</w:t>
            </w:r>
            <w:r w:rsidR="000A5329" w:rsidRPr="002029AF">
              <w:rPr>
                <w:b/>
              </w:rPr>
              <w:t xml:space="preserve"> </w:t>
            </w:r>
            <w:r w:rsidRPr="002029AF">
              <w:rPr>
                <w:b/>
              </w:rPr>
              <w:t>million</w:t>
            </w:r>
          </w:p>
        </w:tc>
        <w:tc>
          <w:tcPr>
            <w:tcW w:w="1018" w:type="dxa"/>
            <w:gridSpan w:val="2"/>
          </w:tcPr>
          <w:p w14:paraId="54123CF3" w14:textId="77777777" w:rsidR="00C15C65" w:rsidRPr="002029AF" w:rsidRDefault="00C15C65" w:rsidP="00C9755D">
            <w:pPr>
              <w:pStyle w:val="ARtabletextrightbold"/>
            </w:pPr>
            <w:r w:rsidRPr="002029AF">
              <w:t>218.2</w:t>
            </w:r>
          </w:p>
        </w:tc>
        <w:tc>
          <w:tcPr>
            <w:tcW w:w="1022" w:type="dxa"/>
            <w:gridSpan w:val="2"/>
          </w:tcPr>
          <w:p w14:paraId="5AB9131D" w14:textId="77777777" w:rsidR="00C15C65" w:rsidRPr="002029AF" w:rsidRDefault="00C15C65" w:rsidP="00C9755D">
            <w:pPr>
              <w:pStyle w:val="ARtabletextrightbold"/>
            </w:pPr>
            <w:r w:rsidRPr="002029AF">
              <w:t>292.4</w:t>
            </w:r>
          </w:p>
        </w:tc>
        <w:tc>
          <w:tcPr>
            <w:tcW w:w="1033" w:type="dxa"/>
            <w:gridSpan w:val="2"/>
          </w:tcPr>
          <w:p w14:paraId="091F1B67" w14:textId="77777777" w:rsidR="00C15C65" w:rsidRPr="002029AF" w:rsidRDefault="00C15C65" w:rsidP="00C9755D">
            <w:pPr>
              <w:pStyle w:val="ARtabletextrightbold"/>
            </w:pPr>
            <w:r w:rsidRPr="002029AF">
              <w:t>34.0</w:t>
            </w:r>
          </w:p>
        </w:tc>
        <w:tc>
          <w:tcPr>
            <w:tcW w:w="802" w:type="dxa"/>
            <w:gridSpan w:val="2"/>
          </w:tcPr>
          <w:p w14:paraId="096AE60F" w14:textId="77777777" w:rsidR="00C15C65" w:rsidRPr="002029AF" w:rsidRDefault="00C15C65" w:rsidP="00C40F5D">
            <w:pPr>
              <w:pStyle w:val="ARtabletext"/>
              <w:rPr>
                <w:b/>
              </w:rPr>
            </w:pPr>
          </w:p>
        </w:tc>
      </w:tr>
      <w:tr w:rsidR="00C15C65" w:rsidRPr="002029AF" w14:paraId="24E45D0A" w14:textId="77777777" w:rsidTr="005B58F0">
        <w:trPr>
          <w:cantSplit/>
        </w:trPr>
        <w:tc>
          <w:tcPr>
            <w:tcW w:w="9639" w:type="dxa"/>
            <w:gridSpan w:val="11"/>
            <w:tcBorders>
              <w:top w:val="nil"/>
              <w:left w:val="nil"/>
              <w:bottom w:val="single" w:sz="4" w:space="0" w:color="BFBFBF"/>
              <w:right w:val="nil"/>
            </w:tcBorders>
            <w:noWrap/>
          </w:tcPr>
          <w:p w14:paraId="12C82FF4" w14:textId="0699E92D" w:rsidR="00C15C65" w:rsidRPr="002029AF" w:rsidRDefault="00C15C65" w:rsidP="00D96AFD">
            <w:pPr>
              <w:pStyle w:val="ARtablenoteindent"/>
            </w:pPr>
            <w:r w:rsidRPr="002029AF">
              <w:t>The</w:t>
            </w:r>
            <w:r w:rsidR="000A5329" w:rsidRPr="002029AF">
              <w:t xml:space="preserve"> </w:t>
            </w:r>
            <w:r w:rsidRPr="002029AF">
              <w:t>201</w:t>
            </w:r>
            <w:r w:rsidR="00DB53E6" w:rsidRPr="002029AF">
              <w:t>9–</w:t>
            </w:r>
            <w:r w:rsidRPr="002029AF">
              <w:t>20</w:t>
            </w:r>
            <w:r w:rsidR="000A5329" w:rsidRPr="002029AF">
              <w:t xml:space="preserve"> </w:t>
            </w:r>
            <w:r w:rsidRPr="002029AF">
              <w:t>actual</w:t>
            </w:r>
            <w:r w:rsidR="000A5329" w:rsidRPr="002029AF">
              <w:t xml:space="preserve"> </w:t>
            </w:r>
            <w:r w:rsidRPr="002029AF">
              <w:t>outcome</w:t>
            </w:r>
            <w:r w:rsidR="000A5329" w:rsidRPr="002029AF">
              <w:t xml:space="preserve"> </w:t>
            </w:r>
            <w:r w:rsidRPr="002029AF">
              <w:t>primarily</w:t>
            </w:r>
            <w:r w:rsidR="000A5329" w:rsidRPr="002029AF">
              <w:t xml:space="preserve"> </w:t>
            </w:r>
            <w:r w:rsidRPr="002029AF">
              <w:t>reflects</w:t>
            </w:r>
            <w:r w:rsidR="000A5329" w:rsidRPr="002029AF">
              <w:t xml:space="preserve"> </w:t>
            </w:r>
            <w:r w:rsidRPr="002029AF">
              <w:t>increases</w:t>
            </w:r>
            <w:r w:rsidR="000A5329" w:rsidRPr="002029AF">
              <w:t xml:space="preserve"> </w:t>
            </w:r>
            <w:r w:rsidRPr="002029AF">
              <w:t>in</w:t>
            </w:r>
            <w:r w:rsidR="000A5329" w:rsidRPr="002029AF">
              <w:t xml:space="preserve"> </w:t>
            </w:r>
            <w:r w:rsidRPr="002029AF">
              <w:t>government</w:t>
            </w:r>
            <w:r w:rsidR="000A5329" w:rsidRPr="002029AF">
              <w:t xml:space="preserve"> </w:t>
            </w:r>
            <w:r w:rsidRPr="002029AF">
              <w:t>policy</w:t>
            </w:r>
            <w:r w:rsidR="000A5329" w:rsidRPr="002029AF">
              <w:t xml:space="preserve"> </w:t>
            </w:r>
            <w:r w:rsidRPr="002029AF">
              <w:t>initiatives</w:t>
            </w:r>
            <w:r w:rsidR="000A5329" w:rsidRPr="002029AF">
              <w:t xml:space="preserve"> </w:t>
            </w:r>
            <w:r w:rsidRPr="002029AF">
              <w:t>related</w:t>
            </w:r>
            <w:r w:rsidR="000A5329" w:rsidRPr="002029AF">
              <w:t xml:space="preserve"> </w:t>
            </w:r>
            <w:r w:rsidRPr="002029AF">
              <w:t>to</w:t>
            </w:r>
            <w:r w:rsidR="000A5329" w:rsidRPr="002029AF">
              <w:t xml:space="preserve"> </w:t>
            </w:r>
            <w:r w:rsidRPr="002029AF">
              <w:t>the</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response.</w:t>
            </w:r>
          </w:p>
        </w:tc>
      </w:tr>
      <w:tr w:rsidR="00C15C65" w:rsidRPr="002029AF" w14:paraId="7E8AC6CA" w14:textId="77777777" w:rsidTr="005B58F0">
        <w:trPr>
          <w:cantSplit/>
        </w:trPr>
        <w:tc>
          <w:tcPr>
            <w:tcW w:w="9639" w:type="dxa"/>
            <w:gridSpan w:val="11"/>
            <w:tcBorders>
              <w:top w:val="single" w:sz="4" w:space="0" w:color="auto"/>
              <w:left w:val="nil"/>
              <w:bottom w:val="single" w:sz="4" w:space="0" w:color="auto"/>
              <w:right w:val="nil"/>
            </w:tcBorders>
            <w:hideMark/>
          </w:tcPr>
          <w:p w14:paraId="67D2015A" w14:textId="7CE4D70B" w:rsidR="00C15C65" w:rsidRPr="002029AF" w:rsidRDefault="00C15C65" w:rsidP="007666A5">
            <w:pPr>
              <w:pStyle w:val="ARtablesubhead"/>
            </w:pPr>
            <w:r w:rsidRPr="002029AF">
              <w:t>Health</w:t>
            </w:r>
            <w:r w:rsidR="000A5329" w:rsidRPr="002029AF">
              <w:t xml:space="preserve"> </w:t>
            </w:r>
            <w:r w:rsidRPr="002029AF">
              <w:t>Advancement</w:t>
            </w:r>
          </w:p>
        </w:tc>
      </w:tr>
      <w:tr w:rsidR="00C15C65" w:rsidRPr="002029AF" w14:paraId="6C2EF66A" w14:textId="77777777" w:rsidTr="005B58F0">
        <w:trPr>
          <w:cantSplit/>
        </w:trPr>
        <w:tc>
          <w:tcPr>
            <w:tcW w:w="9639" w:type="dxa"/>
            <w:gridSpan w:val="11"/>
            <w:tcBorders>
              <w:top w:val="single" w:sz="4" w:space="0" w:color="auto"/>
              <w:left w:val="nil"/>
              <w:right w:val="nil"/>
            </w:tcBorders>
            <w:hideMark/>
          </w:tcPr>
          <w:p w14:paraId="2CF91F35" w14:textId="77777777" w:rsidR="00C15C65" w:rsidRPr="002029AF" w:rsidRDefault="00C15C65" w:rsidP="00D96AFD">
            <w:pPr>
              <w:pStyle w:val="ARtablegreybold"/>
            </w:pPr>
            <w:r w:rsidRPr="002029AF">
              <w:t>Quantity</w:t>
            </w:r>
          </w:p>
        </w:tc>
      </w:tr>
      <w:tr w:rsidR="00C15C65" w:rsidRPr="002029AF" w14:paraId="0C98CF7E" w14:textId="77777777" w:rsidTr="005B58F0">
        <w:trPr>
          <w:gridAfter w:val="1"/>
          <w:wAfter w:w="6" w:type="dxa"/>
          <w:cantSplit/>
        </w:trPr>
        <w:tc>
          <w:tcPr>
            <w:tcW w:w="4757" w:type="dxa"/>
            <w:gridSpan w:val="2"/>
            <w:shd w:val="clear" w:color="auto" w:fill="auto"/>
            <w:hideMark/>
          </w:tcPr>
          <w:p w14:paraId="60B02942" w14:textId="569FE9B7" w:rsidR="00C15C65" w:rsidRPr="002029AF" w:rsidRDefault="00C15C65" w:rsidP="00C40F5D">
            <w:pPr>
              <w:pStyle w:val="ARtabletext"/>
            </w:pPr>
            <w:r w:rsidRPr="002029AF">
              <w:t>Persons</w:t>
            </w:r>
            <w:r w:rsidR="000A5329" w:rsidRPr="002029AF">
              <w:t xml:space="preserve"> </w:t>
            </w:r>
            <w:r w:rsidRPr="002029AF">
              <w:t>completing</w:t>
            </w:r>
            <w:r w:rsidR="000A5329" w:rsidRPr="002029AF">
              <w:t xml:space="preserve"> </w:t>
            </w:r>
            <w:r w:rsidRPr="002029AF">
              <w:t>the</w:t>
            </w:r>
            <w:r w:rsidR="000A5329" w:rsidRPr="002029AF">
              <w:t xml:space="preserve"> </w:t>
            </w:r>
            <w:r w:rsidRPr="002029AF">
              <w:t>Life!</w:t>
            </w:r>
            <w:r w:rsidR="000A5329" w:rsidRPr="002029AF">
              <w:t xml:space="preserve"> </w:t>
            </w:r>
            <w:r w:rsidRPr="002029AF">
              <w:t>–</w:t>
            </w:r>
            <w:r w:rsidR="000A5329" w:rsidRPr="002029AF">
              <w:t xml:space="preserve"> </w:t>
            </w:r>
            <w:r w:rsidRPr="002029AF">
              <w:t>Diabetes</w:t>
            </w:r>
            <w:r w:rsidR="000A5329" w:rsidRPr="002029AF">
              <w:t xml:space="preserve"> </w:t>
            </w:r>
            <w:r w:rsidRPr="002029AF">
              <w:t>and</w:t>
            </w:r>
            <w:r w:rsidR="000A5329" w:rsidRPr="002029AF">
              <w:t xml:space="preserve"> </w:t>
            </w:r>
            <w:r w:rsidRPr="002029AF">
              <w:t>Cardiovascular</w:t>
            </w:r>
            <w:r w:rsidR="000A5329" w:rsidRPr="002029AF">
              <w:t xml:space="preserve"> </w:t>
            </w:r>
            <w:r w:rsidRPr="002029AF">
              <w:t>Disease</w:t>
            </w:r>
            <w:r w:rsidR="000A5329" w:rsidRPr="002029AF">
              <w:t xml:space="preserve"> </w:t>
            </w:r>
            <w:r w:rsidRPr="002029AF">
              <w:t>Prevention</w:t>
            </w:r>
            <w:r w:rsidR="000A5329" w:rsidRPr="002029AF">
              <w:t xml:space="preserve"> </w:t>
            </w:r>
            <w:r w:rsidRPr="002029AF">
              <w:t>program</w:t>
            </w:r>
          </w:p>
        </w:tc>
        <w:tc>
          <w:tcPr>
            <w:tcW w:w="1020" w:type="dxa"/>
            <w:gridSpan w:val="2"/>
            <w:shd w:val="clear" w:color="auto" w:fill="auto"/>
            <w:hideMark/>
          </w:tcPr>
          <w:p w14:paraId="612BA06B" w14:textId="77777777" w:rsidR="00C15C65" w:rsidRPr="002029AF" w:rsidRDefault="00C15C65" w:rsidP="00C40F5D">
            <w:pPr>
              <w:pStyle w:val="ARtabletext"/>
            </w:pPr>
            <w:r w:rsidRPr="002029AF">
              <w:t>number</w:t>
            </w:r>
          </w:p>
        </w:tc>
        <w:tc>
          <w:tcPr>
            <w:tcW w:w="1020" w:type="dxa"/>
            <w:gridSpan w:val="2"/>
            <w:shd w:val="clear" w:color="auto" w:fill="auto"/>
            <w:hideMark/>
          </w:tcPr>
          <w:p w14:paraId="61B601BC" w14:textId="77777777" w:rsidR="00C15C65" w:rsidRPr="002029AF" w:rsidRDefault="00C15C65" w:rsidP="000024F3">
            <w:pPr>
              <w:pStyle w:val="ARtabletextright"/>
            </w:pPr>
            <w:r w:rsidRPr="002029AF">
              <w:t>5,616</w:t>
            </w:r>
          </w:p>
        </w:tc>
        <w:tc>
          <w:tcPr>
            <w:tcW w:w="1020" w:type="dxa"/>
            <w:gridSpan w:val="2"/>
            <w:shd w:val="clear" w:color="auto" w:fill="auto"/>
            <w:hideMark/>
          </w:tcPr>
          <w:p w14:paraId="1E6D7379" w14:textId="77777777" w:rsidR="00C15C65" w:rsidRPr="002029AF" w:rsidRDefault="00C15C65" w:rsidP="000024F3">
            <w:pPr>
              <w:pStyle w:val="ARtabletextright"/>
            </w:pPr>
            <w:r w:rsidRPr="002029AF">
              <w:t>4,612</w:t>
            </w:r>
          </w:p>
        </w:tc>
        <w:tc>
          <w:tcPr>
            <w:tcW w:w="1020" w:type="dxa"/>
            <w:shd w:val="clear" w:color="auto" w:fill="auto"/>
          </w:tcPr>
          <w:p w14:paraId="67F3AB31" w14:textId="77777777" w:rsidR="00C15C65" w:rsidRPr="002029AF" w:rsidRDefault="00C15C65" w:rsidP="000024F3">
            <w:pPr>
              <w:pStyle w:val="ARtabletextright"/>
            </w:pPr>
            <w:r w:rsidRPr="002029AF">
              <w:t>-17.9</w:t>
            </w:r>
          </w:p>
        </w:tc>
        <w:tc>
          <w:tcPr>
            <w:tcW w:w="796" w:type="dxa"/>
            <w:shd w:val="clear" w:color="auto" w:fill="auto"/>
            <w:hideMark/>
          </w:tcPr>
          <w:p w14:paraId="09FB6686"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494D6A03" w14:textId="77777777" w:rsidTr="005B58F0">
        <w:trPr>
          <w:gridAfter w:val="1"/>
          <w:wAfter w:w="6" w:type="dxa"/>
          <w:cantSplit/>
        </w:trPr>
        <w:tc>
          <w:tcPr>
            <w:tcW w:w="9633" w:type="dxa"/>
            <w:gridSpan w:val="10"/>
            <w:tcBorders>
              <w:bottom w:val="single" w:sz="4" w:space="0" w:color="BFBFBF"/>
            </w:tcBorders>
            <w:shd w:val="clear" w:color="auto" w:fill="auto"/>
            <w:noWrap/>
            <w:hideMark/>
          </w:tcPr>
          <w:p w14:paraId="5D5CB9B6" w14:textId="3FB84B61" w:rsidR="00C15C65" w:rsidRPr="002029AF" w:rsidRDefault="00C15C65" w:rsidP="00517701">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lower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the</w:t>
            </w:r>
            <w:r w:rsidR="000A5329" w:rsidRPr="002029AF">
              <w:t xml:space="preserve"> </w:t>
            </w:r>
            <w:r w:rsidRPr="002029AF">
              <w:t>impact</w:t>
            </w:r>
            <w:r w:rsidR="000A5329" w:rsidRPr="002029AF">
              <w:t xml:space="preserve"> </w:t>
            </w:r>
            <w:r w:rsidRPr="002029AF">
              <w:t>of</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restrictions</w:t>
            </w:r>
            <w:r w:rsidR="000A5329" w:rsidRPr="002029AF">
              <w:t xml:space="preserve"> </w:t>
            </w:r>
            <w:r w:rsidRPr="002029AF">
              <w:t>on</w:t>
            </w:r>
            <w:r w:rsidR="000A5329" w:rsidRPr="002029AF">
              <w:t xml:space="preserve"> </w:t>
            </w:r>
            <w:r w:rsidRPr="002029AF">
              <w:t>program</w:t>
            </w:r>
            <w:r w:rsidR="000A5329" w:rsidRPr="002029AF">
              <w:t xml:space="preserve"> </w:t>
            </w:r>
            <w:r w:rsidRPr="002029AF">
              <w:t>delivery.</w:t>
            </w:r>
          </w:p>
        </w:tc>
      </w:tr>
      <w:tr w:rsidR="00C15C65" w:rsidRPr="002029AF" w14:paraId="56376FD7" w14:textId="77777777" w:rsidTr="005B58F0">
        <w:trPr>
          <w:gridAfter w:val="1"/>
          <w:wAfter w:w="6" w:type="dxa"/>
          <w:cantSplit/>
        </w:trPr>
        <w:tc>
          <w:tcPr>
            <w:tcW w:w="4757" w:type="dxa"/>
            <w:gridSpan w:val="2"/>
            <w:tcBorders>
              <w:top w:val="single" w:sz="4" w:space="0" w:color="BFBFBF"/>
              <w:bottom w:val="single" w:sz="4" w:space="0" w:color="BFBFBF"/>
            </w:tcBorders>
            <w:shd w:val="clear" w:color="auto" w:fill="auto"/>
            <w:hideMark/>
          </w:tcPr>
          <w:p w14:paraId="39E8C856" w14:textId="60D90DE0" w:rsidR="00C15C65" w:rsidRPr="002029AF" w:rsidRDefault="00C15C65" w:rsidP="00C40F5D">
            <w:pPr>
              <w:pStyle w:val="ARtabletext"/>
            </w:pPr>
            <w:r w:rsidRPr="002029AF">
              <w:t>Number</w:t>
            </w:r>
            <w:r w:rsidR="000A5329" w:rsidRPr="002029AF">
              <w:t xml:space="preserve"> </w:t>
            </w:r>
            <w:r w:rsidRPr="002029AF">
              <w:t>of</w:t>
            </w:r>
            <w:r w:rsidR="000A5329" w:rsidRPr="002029AF">
              <w:t xml:space="preserve"> </w:t>
            </w:r>
            <w:r w:rsidRPr="002029AF">
              <w:t>training</w:t>
            </w:r>
            <w:r w:rsidR="000A5329" w:rsidRPr="002029AF">
              <w:t xml:space="preserve"> </w:t>
            </w:r>
            <w:r w:rsidRPr="002029AF">
              <w:t>courses</w:t>
            </w:r>
            <w:r w:rsidR="000A5329" w:rsidRPr="002029AF">
              <w:t xml:space="preserve"> </w:t>
            </w:r>
            <w:r w:rsidRPr="002029AF">
              <w:t>for</w:t>
            </w:r>
            <w:r w:rsidR="000A5329" w:rsidRPr="002029AF">
              <w:t xml:space="preserve"> </w:t>
            </w:r>
            <w:r w:rsidRPr="002029AF">
              <w:t>health</w:t>
            </w:r>
            <w:r w:rsidR="000A5329" w:rsidRPr="002029AF">
              <w:t xml:space="preserve"> </w:t>
            </w:r>
            <w:r w:rsidRPr="002029AF">
              <w:t>professionals</w:t>
            </w:r>
            <w:r w:rsidR="000A5329" w:rsidRPr="002029AF">
              <w:t xml:space="preserve"> </w:t>
            </w:r>
            <w:r w:rsidRPr="002029AF">
              <w:t>on</w:t>
            </w:r>
            <w:r w:rsidR="000A5329" w:rsidRPr="002029AF">
              <w:t xml:space="preserve"> </w:t>
            </w:r>
            <w:r w:rsidRPr="002029AF">
              <w:t>sexual</w:t>
            </w:r>
            <w:r w:rsidR="000A5329" w:rsidRPr="002029AF">
              <w:t xml:space="preserve"> </w:t>
            </w:r>
            <w:r w:rsidRPr="002029AF">
              <w:t>and</w:t>
            </w:r>
            <w:r w:rsidR="000A5329" w:rsidRPr="002029AF">
              <w:t xml:space="preserve"> </w:t>
            </w:r>
            <w:r w:rsidRPr="002029AF">
              <w:t>reproductive</w:t>
            </w:r>
            <w:r w:rsidR="000A5329" w:rsidRPr="002029AF">
              <w:t xml:space="preserve"> </w:t>
            </w:r>
            <w:r w:rsidRPr="002029AF">
              <w:t>health</w:t>
            </w:r>
          </w:p>
        </w:tc>
        <w:tc>
          <w:tcPr>
            <w:tcW w:w="1020" w:type="dxa"/>
            <w:gridSpan w:val="2"/>
            <w:tcBorders>
              <w:top w:val="single" w:sz="4" w:space="0" w:color="BFBFBF"/>
              <w:bottom w:val="single" w:sz="4" w:space="0" w:color="BFBFBF"/>
            </w:tcBorders>
            <w:shd w:val="clear" w:color="auto" w:fill="auto"/>
            <w:hideMark/>
          </w:tcPr>
          <w:p w14:paraId="325A5D84" w14:textId="77777777" w:rsidR="00C15C65" w:rsidRPr="002029AF" w:rsidRDefault="00C15C65" w:rsidP="00C40F5D">
            <w:pPr>
              <w:pStyle w:val="ARtabletext"/>
            </w:pPr>
            <w:r w:rsidRPr="002029AF">
              <w:t>number</w:t>
            </w:r>
          </w:p>
        </w:tc>
        <w:tc>
          <w:tcPr>
            <w:tcW w:w="1020" w:type="dxa"/>
            <w:gridSpan w:val="2"/>
            <w:tcBorders>
              <w:top w:val="single" w:sz="4" w:space="0" w:color="BFBFBF"/>
              <w:bottom w:val="single" w:sz="4" w:space="0" w:color="BFBFBF"/>
            </w:tcBorders>
            <w:shd w:val="clear" w:color="auto" w:fill="auto"/>
            <w:hideMark/>
          </w:tcPr>
          <w:p w14:paraId="4FC2555D" w14:textId="77777777" w:rsidR="00C15C65" w:rsidRPr="002029AF" w:rsidRDefault="00C15C65" w:rsidP="000024F3">
            <w:pPr>
              <w:pStyle w:val="ARtabletextright"/>
            </w:pPr>
            <w:r w:rsidRPr="002029AF">
              <w:t>50</w:t>
            </w:r>
          </w:p>
        </w:tc>
        <w:tc>
          <w:tcPr>
            <w:tcW w:w="1020" w:type="dxa"/>
            <w:gridSpan w:val="2"/>
            <w:tcBorders>
              <w:top w:val="single" w:sz="4" w:space="0" w:color="BFBFBF"/>
              <w:bottom w:val="single" w:sz="4" w:space="0" w:color="BFBFBF"/>
            </w:tcBorders>
            <w:shd w:val="clear" w:color="auto" w:fill="auto"/>
            <w:hideMark/>
          </w:tcPr>
          <w:p w14:paraId="6D51A467" w14:textId="77777777" w:rsidR="00C15C65" w:rsidRPr="002029AF" w:rsidRDefault="00C15C65" w:rsidP="000024F3">
            <w:pPr>
              <w:pStyle w:val="ARtabletextright"/>
            </w:pPr>
            <w:r w:rsidRPr="002029AF">
              <w:t>51</w:t>
            </w:r>
          </w:p>
        </w:tc>
        <w:tc>
          <w:tcPr>
            <w:tcW w:w="1020" w:type="dxa"/>
            <w:tcBorders>
              <w:top w:val="single" w:sz="4" w:space="0" w:color="BFBFBF"/>
              <w:bottom w:val="single" w:sz="4" w:space="0" w:color="BFBFBF"/>
            </w:tcBorders>
            <w:shd w:val="clear" w:color="auto" w:fill="auto"/>
          </w:tcPr>
          <w:p w14:paraId="701CF887" w14:textId="77777777" w:rsidR="00C15C65" w:rsidRPr="002029AF" w:rsidRDefault="00C15C65" w:rsidP="000024F3">
            <w:pPr>
              <w:pStyle w:val="ARtabletextright"/>
            </w:pPr>
            <w:r w:rsidRPr="002029AF">
              <w:t>2.0</w:t>
            </w:r>
          </w:p>
        </w:tc>
        <w:tc>
          <w:tcPr>
            <w:tcW w:w="796" w:type="dxa"/>
            <w:tcBorders>
              <w:top w:val="single" w:sz="4" w:space="0" w:color="BFBFBF"/>
              <w:bottom w:val="single" w:sz="4" w:space="0" w:color="BFBFBF"/>
            </w:tcBorders>
            <w:shd w:val="clear" w:color="auto" w:fill="auto"/>
            <w:hideMark/>
          </w:tcPr>
          <w:p w14:paraId="22774FA7"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03282770" w14:textId="77777777" w:rsidTr="005B58F0">
        <w:trPr>
          <w:gridAfter w:val="1"/>
          <w:wAfter w:w="6" w:type="dxa"/>
          <w:cantSplit/>
        </w:trPr>
        <w:tc>
          <w:tcPr>
            <w:tcW w:w="4757" w:type="dxa"/>
            <w:gridSpan w:val="2"/>
            <w:tcBorders>
              <w:top w:val="single" w:sz="4" w:space="0" w:color="BFBFBF"/>
            </w:tcBorders>
            <w:shd w:val="clear" w:color="auto" w:fill="auto"/>
            <w:hideMark/>
          </w:tcPr>
          <w:p w14:paraId="27CA7176" w14:textId="1C1E8081" w:rsidR="00C15C65" w:rsidRPr="002029AF" w:rsidRDefault="00C15C65" w:rsidP="00C40F5D">
            <w:pPr>
              <w:pStyle w:val="ARtabletext"/>
            </w:pPr>
            <w:r w:rsidRPr="002029AF">
              <w:t>Workplaces</w:t>
            </w:r>
            <w:r w:rsidR="000A5329" w:rsidRPr="002029AF">
              <w:t xml:space="preserve"> </w:t>
            </w:r>
            <w:r w:rsidRPr="002029AF">
              <w:t>and</w:t>
            </w:r>
            <w:r w:rsidR="000A5329" w:rsidRPr="002029AF">
              <w:t xml:space="preserve"> </w:t>
            </w:r>
            <w:r w:rsidRPr="002029AF">
              <w:t>pubs</w:t>
            </w:r>
            <w:r w:rsidR="000A5329" w:rsidRPr="002029AF">
              <w:t xml:space="preserve"> </w:t>
            </w:r>
            <w:r w:rsidRPr="002029AF">
              <w:t>and</w:t>
            </w:r>
            <w:r w:rsidR="000A5329" w:rsidRPr="002029AF">
              <w:t xml:space="preserve"> </w:t>
            </w:r>
            <w:r w:rsidRPr="002029AF">
              <w:t>clubs</w:t>
            </w:r>
            <w:r w:rsidR="000A5329" w:rsidRPr="002029AF">
              <w:t xml:space="preserve"> </w:t>
            </w:r>
            <w:r w:rsidRPr="002029AF">
              <w:t>complying</w:t>
            </w:r>
            <w:r w:rsidR="000A5329" w:rsidRPr="002029AF">
              <w:t xml:space="preserve"> </w:t>
            </w:r>
            <w:r w:rsidRPr="002029AF">
              <w:t>with</w:t>
            </w:r>
            <w:r w:rsidR="000A5329" w:rsidRPr="002029AF">
              <w:t xml:space="preserve"> </w:t>
            </w:r>
            <w:r w:rsidRPr="002029AF">
              <w:t>smoke</w:t>
            </w:r>
            <w:r w:rsidR="000A5329" w:rsidRPr="002029AF">
              <w:t xml:space="preserve"> </w:t>
            </w:r>
            <w:r w:rsidRPr="002029AF">
              <w:t>free</w:t>
            </w:r>
            <w:r w:rsidR="000A5329" w:rsidRPr="002029AF">
              <w:t xml:space="preserve"> </w:t>
            </w:r>
            <w:r w:rsidRPr="002029AF">
              <w:t>environment</w:t>
            </w:r>
            <w:r w:rsidR="000A5329" w:rsidRPr="002029AF">
              <w:t xml:space="preserve"> </w:t>
            </w:r>
            <w:r w:rsidRPr="002029AF">
              <w:t>laws</w:t>
            </w:r>
          </w:p>
        </w:tc>
        <w:tc>
          <w:tcPr>
            <w:tcW w:w="1020" w:type="dxa"/>
            <w:gridSpan w:val="2"/>
            <w:tcBorders>
              <w:top w:val="single" w:sz="4" w:space="0" w:color="BFBFBF"/>
            </w:tcBorders>
            <w:shd w:val="clear" w:color="auto" w:fill="auto"/>
            <w:hideMark/>
          </w:tcPr>
          <w:p w14:paraId="1C6F73FE" w14:textId="4FD7FDD8" w:rsidR="00C15C65" w:rsidRPr="002029AF" w:rsidRDefault="00C15C65" w:rsidP="00C40F5D">
            <w:pPr>
              <w:pStyle w:val="ARtabletext"/>
            </w:pPr>
            <w:r w:rsidRPr="002029AF">
              <w:t>per</w:t>
            </w:r>
            <w:r w:rsidR="000A5329" w:rsidRPr="002029AF">
              <w:t xml:space="preserve"> </w:t>
            </w:r>
            <w:r w:rsidRPr="002029AF">
              <w:t>cent</w:t>
            </w:r>
          </w:p>
        </w:tc>
        <w:tc>
          <w:tcPr>
            <w:tcW w:w="1020" w:type="dxa"/>
            <w:gridSpan w:val="2"/>
            <w:tcBorders>
              <w:top w:val="single" w:sz="4" w:space="0" w:color="BFBFBF"/>
            </w:tcBorders>
            <w:shd w:val="clear" w:color="auto" w:fill="auto"/>
            <w:hideMark/>
          </w:tcPr>
          <w:p w14:paraId="7AC18C9E" w14:textId="77777777" w:rsidR="00C15C65" w:rsidRPr="002029AF" w:rsidRDefault="00C15C65" w:rsidP="000024F3">
            <w:pPr>
              <w:pStyle w:val="ARtabletextright"/>
            </w:pPr>
            <w:r w:rsidRPr="002029AF">
              <w:t>99</w:t>
            </w:r>
          </w:p>
        </w:tc>
        <w:tc>
          <w:tcPr>
            <w:tcW w:w="1020" w:type="dxa"/>
            <w:gridSpan w:val="2"/>
            <w:tcBorders>
              <w:top w:val="single" w:sz="4" w:space="0" w:color="BFBFBF"/>
            </w:tcBorders>
            <w:shd w:val="clear" w:color="auto" w:fill="auto"/>
            <w:hideMark/>
          </w:tcPr>
          <w:p w14:paraId="6E3C9630" w14:textId="77777777" w:rsidR="00C15C65" w:rsidRPr="002029AF" w:rsidRDefault="00C15C65" w:rsidP="000024F3">
            <w:pPr>
              <w:pStyle w:val="ARtabletextright"/>
            </w:pPr>
            <w:r w:rsidRPr="002029AF">
              <w:t>99</w:t>
            </w:r>
          </w:p>
        </w:tc>
        <w:tc>
          <w:tcPr>
            <w:tcW w:w="1020" w:type="dxa"/>
            <w:tcBorders>
              <w:top w:val="single" w:sz="4" w:space="0" w:color="BFBFBF"/>
            </w:tcBorders>
            <w:shd w:val="clear" w:color="auto" w:fill="auto"/>
          </w:tcPr>
          <w:p w14:paraId="255A94F8" w14:textId="77777777" w:rsidR="00C15C65" w:rsidRPr="002029AF" w:rsidRDefault="00C15C65" w:rsidP="000024F3">
            <w:pPr>
              <w:pStyle w:val="ARtabletextright"/>
            </w:pPr>
            <w:r w:rsidRPr="002029AF">
              <w:t>0.0</w:t>
            </w:r>
          </w:p>
        </w:tc>
        <w:tc>
          <w:tcPr>
            <w:tcW w:w="796" w:type="dxa"/>
            <w:tcBorders>
              <w:top w:val="single" w:sz="4" w:space="0" w:color="BFBFBF"/>
            </w:tcBorders>
            <w:shd w:val="clear" w:color="auto" w:fill="auto"/>
            <w:hideMark/>
          </w:tcPr>
          <w:p w14:paraId="1F11A65E"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0E29806F" w14:textId="77777777" w:rsidTr="005B58F0">
        <w:trPr>
          <w:gridAfter w:val="1"/>
          <w:wAfter w:w="6" w:type="dxa"/>
          <w:cantSplit/>
        </w:trPr>
        <w:tc>
          <w:tcPr>
            <w:tcW w:w="9633" w:type="dxa"/>
            <w:gridSpan w:val="10"/>
            <w:tcBorders>
              <w:bottom w:val="single" w:sz="4" w:space="0" w:color="BFBFBF"/>
            </w:tcBorders>
            <w:shd w:val="clear" w:color="auto" w:fill="auto"/>
            <w:noWrap/>
            <w:hideMark/>
          </w:tcPr>
          <w:p w14:paraId="367DAB83" w14:textId="32F043A1" w:rsidR="00C15C65" w:rsidRPr="002029AF" w:rsidRDefault="00C15C65" w:rsidP="00D96AFD">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by</w:t>
            </w:r>
            <w:r w:rsidR="000A5329" w:rsidRPr="002029AF">
              <w:t xml:space="preserve"> </w:t>
            </w:r>
            <w:r w:rsidRPr="002029AF">
              <w:t>late</w:t>
            </w:r>
            <w:r w:rsidR="000A5329" w:rsidRPr="002029AF">
              <w:t xml:space="preserve"> </w:t>
            </w:r>
            <w:r w:rsidRPr="002029AF">
              <w:t>2020.</w:t>
            </w:r>
          </w:p>
        </w:tc>
      </w:tr>
      <w:tr w:rsidR="00C15C65" w:rsidRPr="002029AF" w14:paraId="1394F37B" w14:textId="77777777" w:rsidTr="005B58F0">
        <w:trPr>
          <w:cantSplit/>
        </w:trPr>
        <w:tc>
          <w:tcPr>
            <w:tcW w:w="9639" w:type="dxa"/>
            <w:gridSpan w:val="11"/>
            <w:tcBorders>
              <w:top w:val="single" w:sz="4" w:space="0" w:color="auto"/>
              <w:left w:val="nil"/>
              <w:bottom w:val="nil"/>
              <w:right w:val="nil"/>
            </w:tcBorders>
            <w:hideMark/>
          </w:tcPr>
          <w:p w14:paraId="6930E382" w14:textId="77777777" w:rsidR="00C15C65" w:rsidRPr="002029AF" w:rsidRDefault="00C15C65" w:rsidP="00CA3123">
            <w:pPr>
              <w:pStyle w:val="ARtablegreybold"/>
              <w:keepNext/>
            </w:pPr>
            <w:r w:rsidRPr="002029AF">
              <w:t>Quality</w:t>
            </w:r>
          </w:p>
        </w:tc>
      </w:tr>
      <w:tr w:rsidR="00C15C65" w:rsidRPr="002029AF" w14:paraId="5BD3775A" w14:textId="77777777" w:rsidTr="005B58F0">
        <w:trPr>
          <w:gridAfter w:val="1"/>
          <w:wAfter w:w="6" w:type="dxa"/>
          <w:cantSplit/>
        </w:trPr>
        <w:tc>
          <w:tcPr>
            <w:tcW w:w="4757" w:type="dxa"/>
            <w:gridSpan w:val="2"/>
            <w:shd w:val="clear" w:color="auto" w:fill="auto"/>
            <w:hideMark/>
          </w:tcPr>
          <w:p w14:paraId="544D75D2" w14:textId="24E840D3" w:rsidR="00C15C65" w:rsidRPr="002029AF" w:rsidRDefault="00C15C65" w:rsidP="00C40F5D">
            <w:pPr>
              <w:pStyle w:val="ARtabletext"/>
            </w:pPr>
            <w:r w:rsidRPr="002029AF">
              <w:t>Local</w:t>
            </w:r>
            <w:r w:rsidR="000A5329" w:rsidRPr="002029AF">
              <w:t xml:space="preserve"> </w:t>
            </w:r>
            <w:r w:rsidRPr="002029AF">
              <w:t>Government</w:t>
            </w:r>
            <w:r w:rsidR="000A5329" w:rsidRPr="002029AF">
              <w:t xml:space="preserve"> </w:t>
            </w:r>
            <w:r w:rsidRPr="002029AF">
              <w:t>Authorities</w:t>
            </w:r>
            <w:r w:rsidR="000A5329" w:rsidRPr="002029AF">
              <w:t xml:space="preserve"> </w:t>
            </w:r>
            <w:r w:rsidRPr="002029AF">
              <w:t>with</w:t>
            </w:r>
            <w:r w:rsidR="000A5329" w:rsidRPr="002029AF">
              <w:t xml:space="preserve"> </w:t>
            </w:r>
            <w:r w:rsidRPr="002029AF">
              <w:t>Municipal</w:t>
            </w:r>
            <w:r w:rsidR="000A5329" w:rsidRPr="002029AF">
              <w:t xml:space="preserve"> </w:t>
            </w:r>
            <w:r w:rsidRPr="002029AF">
              <w:t>Public</w:t>
            </w:r>
            <w:r w:rsidR="000A5329" w:rsidRPr="002029AF">
              <w:t xml:space="preserve"> </w:t>
            </w:r>
            <w:r w:rsidRPr="002029AF">
              <w:t>Health</w:t>
            </w:r>
            <w:r w:rsidR="000A5329" w:rsidRPr="002029AF">
              <w:t xml:space="preserve"> </w:t>
            </w:r>
            <w:r w:rsidRPr="002029AF">
              <w:t>and</w:t>
            </w:r>
            <w:r w:rsidR="000A5329" w:rsidRPr="002029AF">
              <w:t xml:space="preserve"> </w:t>
            </w:r>
            <w:r w:rsidRPr="002029AF">
              <w:t>Wellbeing</w:t>
            </w:r>
            <w:r w:rsidR="000A5329" w:rsidRPr="002029AF">
              <w:t xml:space="preserve"> </w:t>
            </w:r>
            <w:r w:rsidRPr="002029AF">
              <w:t>Plans</w:t>
            </w:r>
          </w:p>
        </w:tc>
        <w:tc>
          <w:tcPr>
            <w:tcW w:w="1020" w:type="dxa"/>
            <w:gridSpan w:val="2"/>
            <w:shd w:val="clear" w:color="auto" w:fill="auto"/>
            <w:hideMark/>
          </w:tcPr>
          <w:p w14:paraId="3AADE5B6" w14:textId="44305CC6" w:rsidR="00C15C65" w:rsidRPr="002029AF" w:rsidRDefault="00C15C65" w:rsidP="00C40F5D">
            <w:pPr>
              <w:pStyle w:val="ARtabletext"/>
            </w:pPr>
            <w:r w:rsidRPr="002029AF">
              <w:t>per</w:t>
            </w:r>
            <w:r w:rsidR="000A5329" w:rsidRPr="002029AF">
              <w:t xml:space="preserve"> </w:t>
            </w:r>
            <w:r w:rsidRPr="002029AF">
              <w:t>cent</w:t>
            </w:r>
          </w:p>
        </w:tc>
        <w:tc>
          <w:tcPr>
            <w:tcW w:w="1020" w:type="dxa"/>
            <w:gridSpan w:val="2"/>
            <w:shd w:val="clear" w:color="auto" w:fill="auto"/>
            <w:hideMark/>
          </w:tcPr>
          <w:p w14:paraId="3C524A96" w14:textId="77777777" w:rsidR="00C15C65" w:rsidRPr="002029AF" w:rsidRDefault="00C15C65" w:rsidP="000024F3">
            <w:pPr>
              <w:pStyle w:val="ARtabletextright"/>
            </w:pPr>
            <w:r w:rsidRPr="002029AF">
              <w:t>100</w:t>
            </w:r>
          </w:p>
        </w:tc>
        <w:tc>
          <w:tcPr>
            <w:tcW w:w="1020" w:type="dxa"/>
            <w:gridSpan w:val="2"/>
            <w:shd w:val="clear" w:color="auto" w:fill="auto"/>
            <w:hideMark/>
          </w:tcPr>
          <w:p w14:paraId="3C0443AB" w14:textId="77777777" w:rsidR="00C15C65" w:rsidRPr="002029AF" w:rsidRDefault="00C15C65" w:rsidP="000024F3">
            <w:pPr>
              <w:pStyle w:val="ARtabletextright"/>
            </w:pPr>
            <w:r w:rsidRPr="002029AF">
              <w:t>100</w:t>
            </w:r>
          </w:p>
        </w:tc>
        <w:tc>
          <w:tcPr>
            <w:tcW w:w="1020" w:type="dxa"/>
            <w:shd w:val="clear" w:color="auto" w:fill="auto"/>
          </w:tcPr>
          <w:p w14:paraId="0AA4D589" w14:textId="77777777" w:rsidR="00C15C65" w:rsidRPr="002029AF" w:rsidRDefault="00C15C65" w:rsidP="000024F3">
            <w:pPr>
              <w:pStyle w:val="ARtabletextright"/>
            </w:pPr>
            <w:r w:rsidRPr="002029AF">
              <w:t>0.0</w:t>
            </w:r>
          </w:p>
        </w:tc>
        <w:tc>
          <w:tcPr>
            <w:tcW w:w="796" w:type="dxa"/>
            <w:shd w:val="clear" w:color="auto" w:fill="auto"/>
            <w:hideMark/>
          </w:tcPr>
          <w:p w14:paraId="70A09726"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5F0EF2C8" w14:textId="77777777" w:rsidTr="005B58F0">
        <w:trPr>
          <w:cantSplit/>
        </w:trPr>
        <w:tc>
          <w:tcPr>
            <w:tcW w:w="9639" w:type="dxa"/>
            <w:gridSpan w:val="11"/>
            <w:tcBorders>
              <w:top w:val="single" w:sz="4" w:space="0" w:color="auto"/>
              <w:left w:val="nil"/>
              <w:bottom w:val="nil"/>
              <w:right w:val="nil"/>
            </w:tcBorders>
            <w:hideMark/>
          </w:tcPr>
          <w:p w14:paraId="5A969CEC" w14:textId="77777777" w:rsidR="00C15C65" w:rsidRPr="002029AF" w:rsidRDefault="00C15C65" w:rsidP="007666A5">
            <w:pPr>
              <w:pStyle w:val="ARtablegreybold"/>
            </w:pPr>
            <w:r w:rsidRPr="002029AF">
              <w:t>Cost</w:t>
            </w:r>
          </w:p>
        </w:tc>
      </w:tr>
      <w:tr w:rsidR="00C15C65" w:rsidRPr="002029AF" w14:paraId="185434BA" w14:textId="77777777" w:rsidTr="00EF3FCC">
        <w:trPr>
          <w:cantSplit/>
        </w:trPr>
        <w:tc>
          <w:tcPr>
            <w:tcW w:w="4745" w:type="dxa"/>
            <w:hideMark/>
          </w:tcPr>
          <w:p w14:paraId="5B84D5D2" w14:textId="3ACF4431" w:rsidR="00C15C65" w:rsidRPr="002029AF" w:rsidRDefault="00C15C65" w:rsidP="00C40F5D">
            <w:pPr>
              <w:pStyle w:val="ARtabletext"/>
              <w:rPr>
                <w:b/>
              </w:rPr>
            </w:pPr>
            <w:r w:rsidRPr="002029AF">
              <w:rPr>
                <w:b/>
              </w:rPr>
              <w:t>Total</w:t>
            </w:r>
            <w:r w:rsidR="000A5329" w:rsidRPr="002029AF">
              <w:rPr>
                <w:b/>
              </w:rPr>
              <w:t xml:space="preserve"> </w:t>
            </w:r>
            <w:r w:rsidRPr="002029AF">
              <w:rPr>
                <w:b/>
              </w:rPr>
              <w:t>output</w:t>
            </w:r>
            <w:r w:rsidR="000A5329" w:rsidRPr="002029AF">
              <w:rPr>
                <w:b/>
              </w:rPr>
              <w:t xml:space="preserve"> </w:t>
            </w:r>
            <w:r w:rsidRPr="002029AF">
              <w:rPr>
                <w:b/>
              </w:rPr>
              <w:t>cost</w:t>
            </w:r>
          </w:p>
        </w:tc>
        <w:tc>
          <w:tcPr>
            <w:tcW w:w="1019" w:type="dxa"/>
            <w:gridSpan w:val="2"/>
            <w:hideMark/>
          </w:tcPr>
          <w:p w14:paraId="120BBA19" w14:textId="5CA0AE0B" w:rsidR="00C15C65" w:rsidRPr="002029AF" w:rsidRDefault="00C15C65" w:rsidP="00C40F5D">
            <w:pPr>
              <w:pStyle w:val="ARtabletext"/>
              <w:rPr>
                <w:b/>
              </w:rPr>
            </w:pPr>
            <w:r w:rsidRPr="002029AF">
              <w:rPr>
                <w:b/>
              </w:rPr>
              <w:t>$</w:t>
            </w:r>
            <w:r w:rsidR="000A5329" w:rsidRPr="002029AF">
              <w:rPr>
                <w:b/>
              </w:rPr>
              <w:t xml:space="preserve"> </w:t>
            </w:r>
            <w:r w:rsidRPr="002029AF">
              <w:rPr>
                <w:b/>
              </w:rPr>
              <w:t>million</w:t>
            </w:r>
          </w:p>
        </w:tc>
        <w:tc>
          <w:tcPr>
            <w:tcW w:w="1018" w:type="dxa"/>
            <w:gridSpan w:val="2"/>
          </w:tcPr>
          <w:p w14:paraId="66EF1EA1" w14:textId="77777777" w:rsidR="00C15C65" w:rsidRPr="002029AF" w:rsidRDefault="00C15C65" w:rsidP="00C9755D">
            <w:pPr>
              <w:pStyle w:val="ARtabletextrightbold"/>
            </w:pPr>
            <w:r w:rsidRPr="002029AF">
              <w:t>79.7</w:t>
            </w:r>
          </w:p>
        </w:tc>
        <w:tc>
          <w:tcPr>
            <w:tcW w:w="1022" w:type="dxa"/>
            <w:gridSpan w:val="2"/>
          </w:tcPr>
          <w:p w14:paraId="7E77069D" w14:textId="77777777" w:rsidR="00C15C65" w:rsidRPr="002029AF" w:rsidRDefault="00C15C65" w:rsidP="00C9755D">
            <w:pPr>
              <w:pStyle w:val="ARtabletextrightbold"/>
            </w:pPr>
            <w:r w:rsidRPr="002029AF">
              <w:t>82.5</w:t>
            </w:r>
          </w:p>
        </w:tc>
        <w:tc>
          <w:tcPr>
            <w:tcW w:w="1033" w:type="dxa"/>
            <w:gridSpan w:val="2"/>
          </w:tcPr>
          <w:p w14:paraId="3745A61A" w14:textId="77777777" w:rsidR="00C15C65" w:rsidRPr="002029AF" w:rsidRDefault="00C15C65" w:rsidP="00C9755D">
            <w:pPr>
              <w:pStyle w:val="ARtabletextrightbold"/>
            </w:pPr>
            <w:r w:rsidRPr="002029AF">
              <w:t>3.5</w:t>
            </w:r>
          </w:p>
        </w:tc>
        <w:tc>
          <w:tcPr>
            <w:tcW w:w="802" w:type="dxa"/>
            <w:gridSpan w:val="2"/>
          </w:tcPr>
          <w:p w14:paraId="06021109" w14:textId="77777777" w:rsidR="00C15C65" w:rsidRPr="002029AF" w:rsidRDefault="00C15C65" w:rsidP="00C40F5D">
            <w:pPr>
              <w:pStyle w:val="ARtabletext"/>
              <w:rPr>
                <w:b/>
              </w:rPr>
            </w:pPr>
          </w:p>
        </w:tc>
      </w:tr>
      <w:tr w:rsidR="00C15C65" w:rsidRPr="002029AF" w14:paraId="12AB302B" w14:textId="77777777" w:rsidTr="00EF3FCC">
        <w:trPr>
          <w:cantSplit/>
        </w:trPr>
        <w:tc>
          <w:tcPr>
            <w:tcW w:w="9639" w:type="dxa"/>
            <w:gridSpan w:val="11"/>
            <w:tcBorders>
              <w:top w:val="nil"/>
              <w:left w:val="nil"/>
              <w:bottom w:val="single" w:sz="4" w:space="0" w:color="auto"/>
              <w:right w:val="nil"/>
            </w:tcBorders>
            <w:noWrap/>
          </w:tcPr>
          <w:p w14:paraId="71778EB8" w14:textId="7711702C" w:rsidR="00C15C65" w:rsidRPr="002029AF" w:rsidRDefault="00C15C65" w:rsidP="00D96AFD">
            <w:pPr>
              <w:pStyle w:val="ARtablenoteindent"/>
            </w:pPr>
            <w:r w:rsidRPr="002029AF">
              <w:t>The</w:t>
            </w:r>
            <w:r w:rsidR="000A5329" w:rsidRPr="002029AF">
              <w:t xml:space="preserve"> </w:t>
            </w:r>
            <w:r w:rsidRPr="002029AF">
              <w:t>201</w:t>
            </w:r>
            <w:r w:rsidR="00DB53E6" w:rsidRPr="002029AF">
              <w:t>9–</w:t>
            </w:r>
            <w:r w:rsidRPr="002029AF">
              <w:t>20</w:t>
            </w:r>
            <w:r w:rsidR="000A5329" w:rsidRPr="002029AF">
              <w:t xml:space="preserve"> </w:t>
            </w:r>
            <w:r w:rsidRPr="002029AF">
              <w:t>actual</w:t>
            </w:r>
            <w:r w:rsidR="000A5329" w:rsidRPr="002029AF">
              <w:t xml:space="preserve"> </w:t>
            </w:r>
            <w:r w:rsidRPr="002029AF">
              <w:t>outcome</w:t>
            </w:r>
            <w:r w:rsidR="000A5329" w:rsidRPr="002029AF">
              <w:t xml:space="preserve"> </w:t>
            </w:r>
            <w:r w:rsidRPr="002029AF">
              <w:t>primarily</w:t>
            </w:r>
            <w:r w:rsidR="000A5329" w:rsidRPr="002029AF">
              <w:t xml:space="preserve"> </w:t>
            </w:r>
            <w:r w:rsidRPr="002029AF">
              <w:t>reflects</w:t>
            </w:r>
            <w:r w:rsidR="000A5329" w:rsidRPr="002029AF">
              <w:t xml:space="preserve"> </w:t>
            </w:r>
            <w:r w:rsidRPr="002029AF">
              <w:t>increases</w:t>
            </w:r>
            <w:r w:rsidR="000A5329" w:rsidRPr="002029AF">
              <w:t xml:space="preserve"> </w:t>
            </w:r>
            <w:r w:rsidRPr="002029AF">
              <w:t>in</w:t>
            </w:r>
            <w:r w:rsidR="000A5329" w:rsidRPr="002029AF">
              <w:t xml:space="preserve"> </w:t>
            </w:r>
            <w:r w:rsidRPr="002029AF">
              <w:t>government</w:t>
            </w:r>
            <w:r w:rsidR="000A5329" w:rsidRPr="002029AF">
              <w:t xml:space="preserve"> </w:t>
            </w:r>
            <w:r w:rsidRPr="002029AF">
              <w:t>policy</w:t>
            </w:r>
            <w:r w:rsidR="000A5329" w:rsidRPr="002029AF">
              <w:t xml:space="preserve"> </w:t>
            </w:r>
            <w:r w:rsidRPr="002029AF">
              <w:t>initiatives</w:t>
            </w:r>
            <w:r w:rsidR="000A5329" w:rsidRPr="002029AF">
              <w:t xml:space="preserve"> </w:t>
            </w:r>
            <w:r w:rsidRPr="002029AF">
              <w:t>related</w:t>
            </w:r>
            <w:r w:rsidR="000A5329" w:rsidRPr="002029AF">
              <w:t xml:space="preserve"> </w:t>
            </w:r>
            <w:r w:rsidRPr="002029AF">
              <w:t>to</w:t>
            </w:r>
            <w:r w:rsidR="000A5329" w:rsidRPr="002029AF">
              <w:t xml:space="preserve"> </w:t>
            </w:r>
            <w:r w:rsidRPr="002029AF">
              <w:t>the</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response.</w:t>
            </w:r>
          </w:p>
        </w:tc>
      </w:tr>
      <w:tr w:rsidR="00C15C65" w:rsidRPr="002029AF" w14:paraId="23A0AEA7" w14:textId="77777777" w:rsidTr="00EF3FCC">
        <w:trPr>
          <w:cantSplit/>
        </w:trPr>
        <w:tc>
          <w:tcPr>
            <w:tcW w:w="9639" w:type="dxa"/>
            <w:gridSpan w:val="11"/>
            <w:tcBorders>
              <w:top w:val="single" w:sz="4" w:space="0" w:color="auto"/>
              <w:left w:val="nil"/>
              <w:bottom w:val="single" w:sz="4" w:space="0" w:color="auto"/>
              <w:right w:val="nil"/>
            </w:tcBorders>
            <w:hideMark/>
          </w:tcPr>
          <w:p w14:paraId="4C6396E5" w14:textId="4F889BE2" w:rsidR="00C15C65" w:rsidRPr="002029AF" w:rsidRDefault="00C15C65" w:rsidP="006D5287">
            <w:pPr>
              <w:pStyle w:val="ARtablesubhead"/>
              <w:keepNext/>
            </w:pPr>
            <w:r w:rsidRPr="002029AF">
              <w:lastRenderedPageBreak/>
              <w:t>Public</w:t>
            </w:r>
            <w:r w:rsidR="000A5329" w:rsidRPr="002029AF">
              <w:t xml:space="preserve"> </w:t>
            </w:r>
            <w:r w:rsidRPr="002029AF">
              <w:t>Health</w:t>
            </w:r>
            <w:r w:rsidR="000A5329" w:rsidRPr="002029AF">
              <w:t xml:space="preserve"> </w:t>
            </w:r>
            <w:r w:rsidRPr="002029AF">
              <w:t>Development,</w:t>
            </w:r>
            <w:r w:rsidR="000A5329" w:rsidRPr="002029AF">
              <w:t xml:space="preserve"> </w:t>
            </w:r>
            <w:r w:rsidRPr="002029AF">
              <w:t>Research</w:t>
            </w:r>
            <w:r w:rsidR="000A5329" w:rsidRPr="002029AF">
              <w:t xml:space="preserve"> </w:t>
            </w:r>
            <w:r w:rsidRPr="002029AF">
              <w:t>and</w:t>
            </w:r>
            <w:r w:rsidR="000A5329" w:rsidRPr="002029AF">
              <w:t xml:space="preserve"> </w:t>
            </w:r>
            <w:r w:rsidRPr="002029AF">
              <w:t>Support</w:t>
            </w:r>
          </w:p>
        </w:tc>
      </w:tr>
      <w:tr w:rsidR="00C15C65" w:rsidRPr="002029AF" w14:paraId="7F5D31F4" w14:textId="77777777" w:rsidTr="005B58F0">
        <w:trPr>
          <w:cantSplit/>
        </w:trPr>
        <w:tc>
          <w:tcPr>
            <w:tcW w:w="9639" w:type="dxa"/>
            <w:gridSpan w:val="11"/>
            <w:tcBorders>
              <w:top w:val="single" w:sz="4" w:space="0" w:color="auto"/>
              <w:left w:val="nil"/>
              <w:bottom w:val="nil"/>
              <w:right w:val="nil"/>
            </w:tcBorders>
            <w:hideMark/>
          </w:tcPr>
          <w:p w14:paraId="6658FFE0" w14:textId="77777777" w:rsidR="00C15C65" w:rsidRPr="002029AF" w:rsidRDefault="00C15C65" w:rsidP="00D96AFD">
            <w:pPr>
              <w:pStyle w:val="ARtablegreybold"/>
            </w:pPr>
            <w:r w:rsidRPr="002029AF">
              <w:t>Quantity</w:t>
            </w:r>
          </w:p>
        </w:tc>
      </w:tr>
      <w:tr w:rsidR="00C15C65" w:rsidRPr="002029AF" w14:paraId="0157320A" w14:textId="77777777" w:rsidTr="005B58F0">
        <w:trPr>
          <w:gridAfter w:val="1"/>
          <w:wAfter w:w="6" w:type="dxa"/>
          <w:cantSplit/>
        </w:trPr>
        <w:tc>
          <w:tcPr>
            <w:tcW w:w="4757" w:type="dxa"/>
            <w:gridSpan w:val="2"/>
            <w:shd w:val="clear" w:color="auto" w:fill="auto"/>
            <w:hideMark/>
          </w:tcPr>
          <w:p w14:paraId="355247F7" w14:textId="333240C2" w:rsidR="00C15C65" w:rsidRPr="002029AF" w:rsidRDefault="00C15C65" w:rsidP="00C40F5D">
            <w:pPr>
              <w:pStyle w:val="ARtabletext"/>
            </w:pPr>
            <w:r w:rsidRPr="002029AF">
              <w:t>Number</w:t>
            </w:r>
            <w:r w:rsidR="000A5329" w:rsidRPr="002029AF">
              <w:t xml:space="preserve"> </w:t>
            </w:r>
            <w:r w:rsidRPr="002029AF">
              <w:t>of</w:t>
            </w:r>
            <w:r w:rsidR="000A5329" w:rsidRPr="002029AF">
              <w:t xml:space="preserve"> </w:t>
            </w:r>
            <w:r w:rsidRPr="002029AF">
              <w:t>people</w:t>
            </w:r>
            <w:r w:rsidR="000A5329" w:rsidRPr="002029AF">
              <w:t xml:space="preserve"> </w:t>
            </w:r>
            <w:r w:rsidRPr="002029AF">
              <w:t>trained</w:t>
            </w:r>
            <w:r w:rsidR="000A5329" w:rsidRPr="002029AF">
              <w:t xml:space="preserve"> </w:t>
            </w:r>
            <w:r w:rsidRPr="002029AF">
              <w:t>in</w:t>
            </w:r>
            <w:r w:rsidR="000A5329" w:rsidRPr="002029AF">
              <w:t xml:space="preserve"> </w:t>
            </w:r>
            <w:r w:rsidRPr="002029AF">
              <w:t>emergency</w:t>
            </w:r>
            <w:r w:rsidR="000A5329" w:rsidRPr="002029AF">
              <w:t xml:space="preserve"> </w:t>
            </w:r>
            <w:r w:rsidRPr="002029AF">
              <w:t>management</w:t>
            </w:r>
          </w:p>
        </w:tc>
        <w:tc>
          <w:tcPr>
            <w:tcW w:w="1020" w:type="dxa"/>
            <w:gridSpan w:val="2"/>
            <w:shd w:val="clear" w:color="auto" w:fill="auto"/>
            <w:hideMark/>
          </w:tcPr>
          <w:p w14:paraId="309F9EFB" w14:textId="77777777" w:rsidR="00C15C65" w:rsidRPr="002029AF" w:rsidRDefault="00C15C65" w:rsidP="00C40F5D">
            <w:pPr>
              <w:pStyle w:val="ARtabletext"/>
            </w:pPr>
            <w:r w:rsidRPr="002029AF">
              <w:t>number</w:t>
            </w:r>
          </w:p>
        </w:tc>
        <w:tc>
          <w:tcPr>
            <w:tcW w:w="1020" w:type="dxa"/>
            <w:gridSpan w:val="2"/>
            <w:shd w:val="clear" w:color="auto" w:fill="auto"/>
            <w:hideMark/>
          </w:tcPr>
          <w:p w14:paraId="76A2CB43" w14:textId="77777777" w:rsidR="00C15C65" w:rsidRPr="002029AF" w:rsidRDefault="00C15C65" w:rsidP="000024F3">
            <w:pPr>
              <w:pStyle w:val="ARtabletextright"/>
            </w:pPr>
            <w:r w:rsidRPr="002029AF">
              <w:t>2,000</w:t>
            </w:r>
          </w:p>
        </w:tc>
        <w:tc>
          <w:tcPr>
            <w:tcW w:w="1020" w:type="dxa"/>
            <w:gridSpan w:val="2"/>
            <w:shd w:val="clear" w:color="auto" w:fill="auto"/>
            <w:hideMark/>
          </w:tcPr>
          <w:p w14:paraId="5E5CBF80" w14:textId="77777777" w:rsidR="00C15C65" w:rsidRPr="002029AF" w:rsidRDefault="00C15C65" w:rsidP="000024F3">
            <w:pPr>
              <w:pStyle w:val="ARtabletextright"/>
            </w:pPr>
            <w:r w:rsidRPr="002029AF">
              <w:t>2,923</w:t>
            </w:r>
          </w:p>
        </w:tc>
        <w:tc>
          <w:tcPr>
            <w:tcW w:w="1020" w:type="dxa"/>
            <w:shd w:val="clear" w:color="auto" w:fill="auto"/>
          </w:tcPr>
          <w:p w14:paraId="272B7C93" w14:textId="77777777" w:rsidR="00C15C65" w:rsidRPr="002029AF" w:rsidRDefault="00C15C65" w:rsidP="000024F3">
            <w:pPr>
              <w:pStyle w:val="ARtabletextright"/>
            </w:pPr>
            <w:r w:rsidRPr="002029AF">
              <w:t>46.2</w:t>
            </w:r>
          </w:p>
        </w:tc>
        <w:tc>
          <w:tcPr>
            <w:tcW w:w="796" w:type="dxa"/>
            <w:shd w:val="clear" w:color="auto" w:fill="auto"/>
            <w:hideMark/>
          </w:tcPr>
          <w:p w14:paraId="4A56DC88"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45D87098" w14:textId="77777777" w:rsidTr="005B58F0">
        <w:trPr>
          <w:gridAfter w:val="1"/>
          <w:wAfter w:w="6" w:type="dxa"/>
          <w:cantSplit/>
        </w:trPr>
        <w:tc>
          <w:tcPr>
            <w:tcW w:w="9633" w:type="dxa"/>
            <w:gridSpan w:val="10"/>
            <w:tcBorders>
              <w:bottom w:val="single" w:sz="4" w:space="0" w:color="BFBFBF"/>
            </w:tcBorders>
            <w:shd w:val="clear" w:color="auto" w:fill="auto"/>
            <w:noWrap/>
            <w:hideMark/>
          </w:tcPr>
          <w:p w14:paraId="09275AF0" w14:textId="2E3D484E" w:rsidR="00C15C65" w:rsidRPr="002029AF" w:rsidRDefault="00C15C65" w:rsidP="00D96AFD">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as</w:t>
            </w:r>
            <w:r w:rsidR="000A5329" w:rsidRPr="002029AF">
              <w:t xml:space="preserve"> </w:t>
            </w:r>
            <w:r w:rsidRPr="002029AF">
              <w:t>EmergoTraining</w:t>
            </w:r>
            <w:r w:rsidR="000A5329" w:rsidRPr="002029AF">
              <w:t xml:space="preserve"> </w:t>
            </w:r>
            <w:r w:rsidRPr="002029AF">
              <w:t>(with</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and</w:t>
            </w:r>
            <w:r w:rsidR="000A5329" w:rsidRPr="002029AF">
              <w:t xml:space="preserve"> </w:t>
            </w:r>
            <w:r w:rsidRPr="002029AF">
              <w:t>summer</w:t>
            </w:r>
            <w:r w:rsidR="000A5329" w:rsidRPr="002029AF">
              <w:t xml:space="preserve"> </w:t>
            </w:r>
            <w:r w:rsidRPr="002029AF">
              <w:t>preparedness</w:t>
            </w:r>
            <w:r w:rsidR="000A5329" w:rsidRPr="002029AF">
              <w:t xml:space="preserve"> </w:t>
            </w:r>
            <w:r w:rsidRPr="002029AF">
              <w:t>forums</w:t>
            </w:r>
            <w:r w:rsidR="000A5329" w:rsidRPr="002029AF">
              <w:t xml:space="preserve"> </w:t>
            </w:r>
            <w:r w:rsidRPr="002029AF">
              <w:t>(with</w:t>
            </w:r>
            <w:r w:rsidR="000A5329" w:rsidRPr="002029AF">
              <w:t xml:space="preserve"> </w:t>
            </w:r>
            <w:r w:rsidRPr="002029AF">
              <w:t>local</w:t>
            </w:r>
            <w:r w:rsidR="000A5329" w:rsidRPr="002029AF">
              <w:t xml:space="preserve"> </w:t>
            </w:r>
            <w:r w:rsidRPr="002029AF">
              <w:t>councils</w:t>
            </w:r>
            <w:r w:rsidR="000A5329" w:rsidRPr="002029AF">
              <w:t xml:space="preserve"> </w:t>
            </w:r>
            <w:r w:rsidRPr="002029AF">
              <w:t>and</w:t>
            </w:r>
            <w:r w:rsidR="000A5329" w:rsidRPr="002029AF">
              <w:t xml:space="preserve"> </w:t>
            </w:r>
            <w:r w:rsidRPr="002029AF">
              <w:t>agencies)</w:t>
            </w:r>
            <w:r w:rsidR="000A5329" w:rsidRPr="002029AF">
              <w:t xml:space="preserve"> </w:t>
            </w:r>
            <w:r w:rsidRPr="002029AF">
              <w:t>were</w:t>
            </w:r>
            <w:r w:rsidR="000A5329" w:rsidRPr="002029AF">
              <w:t xml:space="preserve"> </w:t>
            </w:r>
            <w:r w:rsidRPr="002029AF">
              <w:t>popular</w:t>
            </w:r>
            <w:r w:rsidR="000A5329" w:rsidRPr="002029AF">
              <w:t xml:space="preserve"> </w:t>
            </w:r>
            <w:r w:rsidRPr="002029AF">
              <w:t>this</w:t>
            </w:r>
            <w:r w:rsidR="000A5329" w:rsidRPr="002029AF">
              <w:t xml:space="preserve"> </w:t>
            </w:r>
            <w:r w:rsidRPr="002029AF">
              <w:t>year,</w:t>
            </w:r>
            <w:r w:rsidR="000A5329" w:rsidRPr="002029AF">
              <w:t xml:space="preserve"> </w:t>
            </w:r>
            <w:r w:rsidRPr="002029AF">
              <w:t>attracting</w:t>
            </w:r>
            <w:r w:rsidR="000A5329" w:rsidRPr="002029AF">
              <w:t xml:space="preserve"> </w:t>
            </w:r>
            <w:r w:rsidRPr="002029AF">
              <w:t>high</w:t>
            </w:r>
            <w:r w:rsidR="000A5329" w:rsidRPr="002029AF">
              <w:t xml:space="preserve"> </w:t>
            </w:r>
            <w:r w:rsidRPr="002029AF">
              <w:t>attendance</w:t>
            </w:r>
            <w:r w:rsidR="000A5329" w:rsidRPr="002029AF">
              <w:t xml:space="preserve"> </w:t>
            </w:r>
            <w:r w:rsidRPr="002029AF">
              <w:t>numbers.</w:t>
            </w:r>
            <w:r w:rsidR="000A5329" w:rsidRPr="002029AF">
              <w:t xml:space="preserve"> </w:t>
            </w:r>
            <w:r w:rsidRPr="002029AF">
              <w:t>This</w:t>
            </w:r>
            <w:r w:rsidR="000A5329" w:rsidRPr="002029AF">
              <w:t xml:space="preserve"> </w:t>
            </w:r>
            <w:r w:rsidRPr="002029AF">
              <w:t>is</w:t>
            </w:r>
            <w:r w:rsidR="000A5329" w:rsidRPr="002029AF">
              <w:t xml:space="preserve"> </w:t>
            </w:r>
            <w:r w:rsidRPr="002029AF">
              <w:t>a</w:t>
            </w:r>
            <w:r w:rsidR="000A5329" w:rsidRPr="002029AF">
              <w:t xml:space="preserve"> </w:t>
            </w:r>
            <w:r w:rsidRPr="002029AF">
              <w:t>positive</w:t>
            </w:r>
            <w:r w:rsidR="000A5329" w:rsidRPr="002029AF">
              <w:t xml:space="preserve"> </w:t>
            </w:r>
            <w:r w:rsidRPr="002029AF">
              <w:t>result.</w:t>
            </w:r>
          </w:p>
        </w:tc>
      </w:tr>
      <w:tr w:rsidR="00C15C65" w:rsidRPr="002029AF" w14:paraId="129C515C" w14:textId="77777777" w:rsidTr="005B58F0">
        <w:trPr>
          <w:gridAfter w:val="1"/>
          <w:wAfter w:w="6" w:type="dxa"/>
          <w:cantSplit/>
        </w:trPr>
        <w:tc>
          <w:tcPr>
            <w:tcW w:w="4757" w:type="dxa"/>
            <w:gridSpan w:val="2"/>
            <w:shd w:val="clear" w:color="auto" w:fill="auto"/>
            <w:hideMark/>
          </w:tcPr>
          <w:p w14:paraId="1B646088" w14:textId="7FF769DF" w:rsidR="00C15C65" w:rsidRPr="002029AF" w:rsidRDefault="00C15C65" w:rsidP="00C40F5D">
            <w:pPr>
              <w:pStyle w:val="ARtabletext"/>
            </w:pPr>
            <w:r w:rsidRPr="002029AF">
              <w:t>Operational</w:t>
            </w:r>
            <w:r w:rsidR="000A5329" w:rsidRPr="002029AF">
              <w:t xml:space="preserve"> </w:t>
            </w:r>
            <w:r w:rsidRPr="002029AF">
              <w:t>infrastructure</w:t>
            </w:r>
            <w:r w:rsidR="000A5329" w:rsidRPr="002029AF">
              <w:t xml:space="preserve"> </w:t>
            </w:r>
            <w:r w:rsidRPr="002029AF">
              <w:t>support</w:t>
            </w:r>
            <w:r w:rsidR="000A5329" w:rsidRPr="002029AF">
              <w:t xml:space="preserve"> </w:t>
            </w:r>
            <w:r w:rsidRPr="002029AF">
              <w:t>grants</w:t>
            </w:r>
            <w:r w:rsidR="000A5329" w:rsidRPr="002029AF">
              <w:t xml:space="preserve"> </w:t>
            </w:r>
            <w:r w:rsidRPr="002029AF">
              <w:t>under</w:t>
            </w:r>
            <w:r w:rsidR="000A5329" w:rsidRPr="002029AF">
              <w:t xml:space="preserve"> </w:t>
            </w:r>
            <w:r w:rsidRPr="002029AF">
              <w:t>management</w:t>
            </w:r>
          </w:p>
        </w:tc>
        <w:tc>
          <w:tcPr>
            <w:tcW w:w="1020" w:type="dxa"/>
            <w:gridSpan w:val="2"/>
            <w:shd w:val="clear" w:color="auto" w:fill="auto"/>
            <w:hideMark/>
          </w:tcPr>
          <w:p w14:paraId="74D81360" w14:textId="77777777" w:rsidR="00C15C65" w:rsidRPr="002029AF" w:rsidRDefault="00C15C65" w:rsidP="00C40F5D">
            <w:pPr>
              <w:pStyle w:val="ARtabletext"/>
            </w:pPr>
            <w:r w:rsidRPr="002029AF">
              <w:t>number</w:t>
            </w:r>
          </w:p>
        </w:tc>
        <w:tc>
          <w:tcPr>
            <w:tcW w:w="1020" w:type="dxa"/>
            <w:gridSpan w:val="2"/>
            <w:shd w:val="clear" w:color="auto" w:fill="auto"/>
            <w:hideMark/>
          </w:tcPr>
          <w:p w14:paraId="206C3F24" w14:textId="77777777" w:rsidR="00C15C65" w:rsidRPr="002029AF" w:rsidRDefault="00C15C65" w:rsidP="000024F3">
            <w:pPr>
              <w:pStyle w:val="ARtabletextright"/>
            </w:pPr>
            <w:r w:rsidRPr="002029AF">
              <w:t>12</w:t>
            </w:r>
          </w:p>
        </w:tc>
        <w:tc>
          <w:tcPr>
            <w:tcW w:w="1020" w:type="dxa"/>
            <w:gridSpan w:val="2"/>
            <w:shd w:val="clear" w:color="auto" w:fill="auto"/>
            <w:hideMark/>
          </w:tcPr>
          <w:p w14:paraId="73BF05E4" w14:textId="77777777" w:rsidR="00C15C65" w:rsidRPr="002029AF" w:rsidRDefault="00C15C65" w:rsidP="000024F3">
            <w:pPr>
              <w:pStyle w:val="ARtabletextright"/>
            </w:pPr>
            <w:r w:rsidRPr="002029AF">
              <w:t>12</w:t>
            </w:r>
          </w:p>
        </w:tc>
        <w:tc>
          <w:tcPr>
            <w:tcW w:w="1020" w:type="dxa"/>
            <w:shd w:val="clear" w:color="auto" w:fill="auto"/>
          </w:tcPr>
          <w:p w14:paraId="0251F66A" w14:textId="77777777" w:rsidR="00C15C65" w:rsidRPr="002029AF" w:rsidRDefault="00C15C65" w:rsidP="000024F3">
            <w:pPr>
              <w:pStyle w:val="ARtabletextright"/>
            </w:pPr>
            <w:r w:rsidRPr="002029AF">
              <w:t>0.0</w:t>
            </w:r>
          </w:p>
        </w:tc>
        <w:tc>
          <w:tcPr>
            <w:tcW w:w="796" w:type="dxa"/>
            <w:shd w:val="clear" w:color="auto" w:fill="auto"/>
            <w:hideMark/>
          </w:tcPr>
          <w:p w14:paraId="1D66FA48"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58FDA8DA" w14:textId="77777777" w:rsidTr="005B58F0">
        <w:trPr>
          <w:cantSplit/>
        </w:trPr>
        <w:tc>
          <w:tcPr>
            <w:tcW w:w="9639" w:type="dxa"/>
            <w:gridSpan w:val="11"/>
            <w:tcBorders>
              <w:top w:val="single" w:sz="4" w:space="0" w:color="auto"/>
              <w:left w:val="nil"/>
              <w:bottom w:val="nil"/>
              <w:right w:val="nil"/>
            </w:tcBorders>
            <w:hideMark/>
          </w:tcPr>
          <w:p w14:paraId="11E9FF8E" w14:textId="77777777" w:rsidR="00C15C65" w:rsidRPr="002029AF" w:rsidRDefault="00C15C65" w:rsidP="007666A5">
            <w:pPr>
              <w:pStyle w:val="ARtablegreybold"/>
            </w:pPr>
            <w:r w:rsidRPr="002029AF">
              <w:t>Cost</w:t>
            </w:r>
          </w:p>
        </w:tc>
      </w:tr>
      <w:tr w:rsidR="00C15C65" w:rsidRPr="002029AF" w14:paraId="3B5659A5" w14:textId="77777777" w:rsidTr="005B58F0">
        <w:trPr>
          <w:cantSplit/>
        </w:trPr>
        <w:tc>
          <w:tcPr>
            <w:tcW w:w="4745" w:type="dxa"/>
            <w:hideMark/>
          </w:tcPr>
          <w:p w14:paraId="16438ADD" w14:textId="2C079F28" w:rsidR="00C15C65" w:rsidRPr="002029AF" w:rsidRDefault="00C15C65" w:rsidP="00C40F5D">
            <w:pPr>
              <w:pStyle w:val="ARtabletext"/>
              <w:rPr>
                <w:b/>
              </w:rPr>
            </w:pPr>
            <w:r w:rsidRPr="002029AF">
              <w:rPr>
                <w:b/>
              </w:rPr>
              <w:t>Total</w:t>
            </w:r>
            <w:r w:rsidR="000A5329" w:rsidRPr="002029AF">
              <w:rPr>
                <w:b/>
              </w:rPr>
              <w:t xml:space="preserve"> </w:t>
            </w:r>
            <w:r w:rsidRPr="002029AF">
              <w:rPr>
                <w:b/>
              </w:rPr>
              <w:t>output</w:t>
            </w:r>
            <w:r w:rsidR="000A5329" w:rsidRPr="002029AF">
              <w:rPr>
                <w:b/>
              </w:rPr>
              <w:t xml:space="preserve"> </w:t>
            </w:r>
            <w:r w:rsidRPr="002029AF">
              <w:rPr>
                <w:b/>
              </w:rPr>
              <w:t>cost</w:t>
            </w:r>
          </w:p>
        </w:tc>
        <w:tc>
          <w:tcPr>
            <w:tcW w:w="1019" w:type="dxa"/>
            <w:gridSpan w:val="2"/>
            <w:hideMark/>
          </w:tcPr>
          <w:p w14:paraId="383307B1" w14:textId="0E31D668" w:rsidR="00C15C65" w:rsidRPr="002029AF" w:rsidRDefault="00C15C65" w:rsidP="00C40F5D">
            <w:pPr>
              <w:pStyle w:val="ARtabletext"/>
              <w:rPr>
                <w:b/>
              </w:rPr>
            </w:pPr>
            <w:r w:rsidRPr="002029AF">
              <w:rPr>
                <w:b/>
              </w:rPr>
              <w:t>$</w:t>
            </w:r>
            <w:r w:rsidR="000A5329" w:rsidRPr="002029AF">
              <w:rPr>
                <w:b/>
              </w:rPr>
              <w:t xml:space="preserve"> </w:t>
            </w:r>
            <w:r w:rsidRPr="002029AF">
              <w:rPr>
                <w:b/>
              </w:rPr>
              <w:t>million</w:t>
            </w:r>
          </w:p>
        </w:tc>
        <w:tc>
          <w:tcPr>
            <w:tcW w:w="1018" w:type="dxa"/>
            <w:gridSpan w:val="2"/>
          </w:tcPr>
          <w:p w14:paraId="18BAEF1D" w14:textId="77777777" w:rsidR="00C15C65" w:rsidRPr="002029AF" w:rsidRDefault="00C15C65" w:rsidP="00C9755D">
            <w:pPr>
              <w:pStyle w:val="ARtabletextrightbold"/>
            </w:pPr>
            <w:r w:rsidRPr="002029AF">
              <w:t>91.6</w:t>
            </w:r>
          </w:p>
        </w:tc>
        <w:tc>
          <w:tcPr>
            <w:tcW w:w="1022" w:type="dxa"/>
            <w:gridSpan w:val="2"/>
          </w:tcPr>
          <w:p w14:paraId="5673EEE5" w14:textId="77777777" w:rsidR="00C15C65" w:rsidRPr="002029AF" w:rsidRDefault="00C15C65" w:rsidP="00C9755D">
            <w:pPr>
              <w:pStyle w:val="ARtabletextrightbold"/>
            </w:pPr>
            <w:r w:rsidRPr="002029AF">
              <w:t>119.3</w:t>
            </w:r>
          </w:p>
        </w:tc>
        <w:tc>
          <w:tcPr>
            <w:tcW w:w="1033" w:type="dxa"/>
            <w:gridSpan w:val="2"/>
          </w:tcPr>
          <w:p w14:paraId="38A0AC58" w14:textId="77777777" w:rsidR="00C15C65" w:rsidRPr="002029AF" w:rsidRDefault="00C15C65" w:rsidP="00C9755D">
            <w:pPr>
              <w:pStyle w:val="ARtabletextrightbold"/>
            </w:pPr>
            <w:r w:rsidRPr="002029AF">
              <w:t>30.2</w:t>
            </w:r>
          </w:p>
        </w:tc>
        <w:tc>
          <w:tcPr>
            <w:tcW w:w="802" w:type="dxa"/>
            <w:gridSpan w:val="2"/>
          </w:tcPr>
          <w:p w14:paraId="07008E0E" w14:textId="77777777" w:rsidR="00C15C65" w:rsidRPr="002029AF" w:rsidRDefault="00C15C65" w:rsidP="00C40F5D">
            <w:pPr>
              <w:pStyle w:val="ARtabletext"/>
              <w:rPr>
                <w:b/>
              </w:rPr>
            </w:pPr>
          </w:p>
        </w:tc>
      </w:tr>
      <w:tr w:rsidR="00C15C65" w:rsidRPr="002029AF" w14:paraId="4A2106F2" w14:textId="77777777" w:rsidTr="005B58F0">
        <w:trPr>
          <w:cantSplit/>
        </w:trPr>
        <w:tc>
          <w:tcPr>
            <w:tcW w:w="9639" w:type="dxa"/>
            <w:gridSpan w:val="11"/>
            <w:tcBorders>
              <w:top w:val="nil"/>
              <w:left w:val="nil"/>
              <w:bottom w:val="single" w:sz="4" w:space="0" w:color="auto"/>
              <w:right w:val="nil"/>
            </w:tcBorders>
            <w:noWrap/>
          </w:tcPr>
          <w:p w14:paraId="7AB9EF5F" w14:textId="3064DAEA" w:rsidR="00C15C65" w:rsidRPr="002029AF" w:rsidRDefault="00C15C65" w:rsidP="00D96AFD">
            <w:pPr>
              <w:pStyle w:val="ARtablenoteindent"/>
            </w:pPr>
            <w:r w:rsidRPr="002029AF">
              <w:t>The</w:t>
            </w:r>
            <w:r w:rsidR="000A5329" w:rsidRPr="002029AF">
              <w:t xml:space="preserve"> </w:t>
            </w:r>
            <w:r w:rsidRPr="002029AF">
              <w:t>201</w:t>
            </w:r>
            <w:r w:rsidR="00DB53E6" w:rsidRPr="002029AF">
              <w:t>9–</w:t>
            </w:r>
            <w:r w:rsidRPr="002029AF">
              <w:t>20</w:t>
            </w:r>
            <w:r w:rsidR="000A5329" w:rsidRPr="002029AF">
              <w:t xml:space="preserve"> </w:t>
            </w:r>
            <w:r w:rsidRPr="002029AF">
              <w:t>actual</w:t>
            </w:r>
            <w:r w:rsidR="000A5329" w:rsidRPr="002029AF">
              <w:t xml:space="preserve"> </w:t>
            </w:r>
            <w:r w:rsidRPr="002029AF">
              <w:t>outcome</w:t>
            </w:r>
            <w:r w:rsidR="000A5329" w:rsidRPr="002029AF">
              <w:t xml:space="preserve"> </w:t>
            </w:r>
            <w:r w:rsidRPr="002029AF">
              <w:t>primarily</w:t>
            </w:r>
            <w:r w:rsidR="000A5329" w:rsidRPr="002029AF">
              <w:t xml:space="preserve"> </w:t>
            </w:r>
            <w:r w:rsidRPr="002029AF">
              <w:t>reflects</w:t>
            </w:r>
            <w:r w:rsidR="000A5329" w:rsidRPr="002029AF">
              <w:t xml:space="preserve"> </w:t>
            </w:r>
            <w:r w:rsidRPr="002029AF">
              <w:t>increases</w:t>
            </w:r>
            <w:r w:rsidR="000A5329" w:rsidRPr="002029AF">
              <w:t xml:space="preserve"> </w:t>
            </w:r>
            <w:r w:rsidRPr="002029AF">
              <w:t>in</w:t>
            </w:r>
            <w:r w:rsidR="000A5329" w:rsidRPr="002029AF">
              <w:t xml:space="preserve"> </w:t>
            </w:r>
            <w:r w:rsidRPr="002029AF">
              <w:t>government</w:t>
            </w:r>
            <w:r w:rsidR="000A5329" w:rsidRPr="002029AF">
              <w:t xml:space="preserve"> </w:t>
            </w:r>
            <w:r w:rsidRPr="002029AF">
              <w:t>policy</w:t>
            </w:r>
            <w:r w:rsidR="000A5329" w:rsidRPr="002029AF">
              <w:t xml:space="preserve"> </w:t>
            </w:r>
            <w:r w:rsidRPr="002029AF">
              <w:t>initiatives</w:t>
            </w:r>
            <w:r w:rsidR="000A5329" w:rsidRPr="002029AF">
              <w:t xml:space="preserve"> </w:t>
            </w:r>
            <w:r w:rsidRPr="002029AF">
              <w:t>related</w:t>
            </w:r>
            <w:r w:rsidR="000A5329" w:rsidRPr="002029AF">
              <w:t xml:space="preserve"> </w:t>
            </w:r>
            <w:r w:rsidRPr="002029AF">
              <w:t>to</w:t>
            </w:r>
            <w:r w:rsidR="000A5329" w:rsidRPr="002029AF">
              <w:t xml:space="preserve"> </w:t>
            </w:r>
            <w:r w:rsidRPr="002029AF">
              <w:t>the</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response</w:t>
            </w:r>
            <w:r w:rsidR="000A5329" w:rsidRPr="002029AF">
              <w:t xml:space="preserve"> </w:t>
            </w:r>
            <w:r w:rsidRPr="002029AF">
              <w:t>and</w:t>
            </w:r>
            <w:r w:rsidR="000A5329" w:rsidRPr="002029AF">
              <w:t xml:space="preserve"> </w:t>
            </w:r>
            <w:r w:rsidRPr="002029AF">
              <w:t>funding</w:t>
            </w:r>
            <w:r w:rsidR="000A5329" w:rsidRPr="002029AF">
              <w:t xml:space="preserve"> </w:t>
            </w:r>
            <w:r w:rsidRPr="002029AF">
              <w:t>provided</w:t>
            </w:r>
            <w:r w:rsidR="000A5329" w:rsidRPr="002029AF">
              <w:t xml:space="preserve"> </w:t>
            </w:r>
            <w:r w:rsidRPr="002029AF">
              <w:t>to</w:t>
            </w:r>
            <w:r w:rsidR="000A5329" w:rsidRPr="002029AF">
              <w:t xml:space="preserve"> </w:t>
            </w:r>
            <w:r w:rsidRPr="002029AF">
              <w:t>the</w:t>
            </w:r>
            <w:r w:rsidR="000A5329" w:rsidRPr="002029AF">
              <w:t xml:space="preserve"> </w:t>
            </w:r>
            <w:r w:rsidRPr="002029AF">
              <w:t>Walter</w:t>
            </w:r>
            <w:r w:rsidR="000A5329" w:rsidRPr="002029AF">
              <w:t xml:space="preserve"> </w:t>
            </w:r>
            <w:r w:rsidRPr="002029AF">
              <w:t>and</w:t>
            </w:r>
            <w:r w:rsidR="000A5329" w:rsidRPr="002029AF">
              <w:t xml:space="preserve"> </w:t>
            </w:r>
            <w:r w:rsidRPr="002029AF">
              <w:t>Eliza</w:t>
            </w:r>
            <w:r w:rsidR="000A5329" w:rsidRPr="002029AF">
              <w:t xml:space="preserve"> </w:t>
            </w:r>
            <w:r w:rsidRPr="002029AF">
              <w:t>Hall</w:t>
            </w:r>
            <w:r w:rsidR="000A5329" w:rsidRPr="002029AF">
              <w:t xml:space="preserve"> </w:t>
            </w:r>
            <w:r w:rsidRPr="002029AF">
              <w:t>Institute</w:t>
            </w:r>
            <w:r w:rsidR="000A5329" w:rsidRPr="002029AF">
              <w:t xml:space="preserve"> </w:t>
            </w:r>
            <w:r w:rsidRPr="002029AF">
              <w:t>for</w:t>
            </w:r>
            <w:r w:rsidR="000A5329" w:rsidRPr="002029AF">
              <w:t xml:space="preserve"> </w:t>
            </w:r>
            <w:r w:rsidRPr="002029AF">
              <w:t>the</w:t>
            </w:r>
            <w:r w:rsidR="000A5329" w:rsidRPr="002029AF">
              <w:t xml:space="preserve"> </w:t>
            </w:r>
            <w:r w:rsidRPr="002029AF">
              <w:t>Protecting</w:t>
            </w:r>
            <w:r w:rsidR="000A5329" w:rsidRPr="002029AF">
              <w:t xml:space="preserve"> </w:t>
            </w:r>
            <w:r w:rsidRPr="002029AF">
              <w:t>Victoria</w:t>
            </w:r>
            <w:r w:rsidR="005F298C">
              <w:t>’</w:t>
            </w:r>
            <w:r w:rsidRPr="002029AF">
              <w:t>s</w:t>
            </w:r>
            <w:r w:rsidR="000A5329" w:rsidRPr="002029AF">
              <w:t xml:space="preserve"> </w:t>
            </w:r>
            <w:r w:rsidRPr="002029AF">
              <w:t>Lead</w:t>
            </w:r>
            <w:r w:rsidR="000A5329" w:rsidRPr="002029AF">
              <w:t xml:space="preserve"> </w:t>
            </w:r>
            <w:r w:rsidRPr="002029AF">
              <w:t>in</w:t>
            </w:r>
            <w:r w:rsidR="000A5329" w:rsidRPr="002029AF">
              <w:t xml:space="preserve"> </w:t>
            </w:r>
            <w:r w:rsidRPr="002029AF">
              <w:t>Health</w:t>
            </w:r>
            <w:r w:rsidR="000A5329" w:rsidRPr="002029AF">
              <w:t xml:space="preserve"> </w:t>
            </w:r>
            <w:r w:rsidRPr="002029AF">
              <w:t>and</w:t>
            </w:r>
            <w:r w:rsidR="000A5329" w:rsidRPr="002029AF">
              <w:t xml:space="preserve"> </w:t>
            </w:r>
            <w:r w:rsidRPr="002029AF">
              <w:t>Medical</w:t>
            </w:r>
            <w:r w:rsidR="000A5329" w:rsidRPr="002029AF">
              <w:t xml:space="preserve"> </w:t>
            </w:r>
            <w:r w:rsidRPr="002029AF">
              <w:t>Research</w:t>
            </w:r>
            <w:r w:rsidR="000A5329" w:rsidRPr="002029AF">
              <w:t xml:space="preserve"> </w:t>
            </w:r>
            <w:r w:rsidRPr="002029AF">
              <w:t>program.</w:t>
            </w:r>
          </w:p>
        </w:tc>
      </w:tr>
    </w:tbl>
    <w:p w14:paraId="7014606E" w14:textId="0E49A669" w:rsidR="00C15C65" w:rsidRPr="002029AF" w:rsidRDefault="00C15C65" w:rsidP="00205D6E">
      <w:pPr>
        <w:pStyle w:val="Heading2"/>
      </w:pPr>
      <w:r w:rsidRPr="002029AF">
        <w:t>Small</w:t>
      </w:r>
      <w:r w:rsidR="000A5329" w:rsidRPr="002029AF">
        <w:t xml:space="preserve"> </w:t>
      </w:r>
      <w:r w:rsidRPr="002029AF">
        <w:t>Rural</w:t>
      </w:r>
      <w:r w:rsidR="000A5329" w:rsidRPr="002029AF">
        <w:t xml:space="preserve"> </w:t>
      </w:r>
      <w:r w:rsidRPr="002029AF">
        <w:t>Services</w:t>
      </w:r>
    </w:p>
    <w:p w14:paraId="58C45917" w14:textId="4AEB7F6D" w:rsidR="00C15C65" w:rsidRPr="002029AF" w:rsidRDefault="00C15C65" w:rsidP="00C40F5D">
      <w:pPr>
        <w:pStyle w:val="ARbody"/>
      </w:pPr>
      <w:r w:rsidRPr="002029AF">
        <w:t>This</w:t>
      </w:r>
      <w:r w:rsidR="000A5329" w:rsidRPr="002029AF">
        <w:t xml:space="preserve"> </w:t>
      </w:r>
      <w:r w:rsidRPr="002029AF">
        <w:t>output</w:t>
      </w:r>
      <w:r w:rsidR="000A5329" w:rsidRPr="002029AF">
        <w:t xml:space="preserve"> </w:t>
      </w:r>
      <w:r w:rsidRPr="002029AF">
        <w:t>includes</w:t>
      </w:r>
      <w:r w:rsidR="000A5329" w:rsidRPr="002029AF">
        <w:t xml:space="preserve"> </w:t>
      </w:r>
      <w:r w:rsidRPr="002029AF">
        <w:t>a</w:t>
      </w:r>
      <w:r w:rsidR="000A5329" w:rsidRPr="002029AF">
        <w:t xml:space="preserve"> </w:t>
      </w:r>
      <w:r w:rsidRPr="002029AF">
        <w:t>range</w:t>
      </w:r>
      <w:r w:rsidR="000A5329" w:rsidRPr="002029AF">
        <w:t xml:space="preserve"> </w:t>
      </w:r>
      <w:r w:rsidRPr="002029AF">
        <w:t>of</w:t>
      </w:r>
      <w:r w:rsidR="000A5329" w:rsidRPr="002029AF">
        <w:t xml:space="preserve"> </w:t>
      </w:r>
      <w:r w:rsidRPr="002029AF">
        <w:t>health</w:t>
      </w:r>
      <w:r w:rsidR="000A5329" w:rsidRPr="002029AF">
        <w:t xml:space="preserve"> </w:t>
      </w:r>
      <w:r w:rsidRPr="002029AF">
        <w:t>and</w:t>
      </w:r>
      <w:r w:rsidR="000A5329" w:rsidRPr="002029AF">
        <w:t xml:space="preserve"> </w:t>
      </w:r>
      <w:r w:rsidRPr="002029AF">
        <w:t>aged</w:t>
      </w:r>
      <w:r w:rsidR="000A5329" w:rsidRPr="002029AF">
        <w:t xml:space="preserve"> </w:t>
      </w:r>
      <w:r w:rsidRPr="002029AF">
        <w:t>care</w:t>
      </w:r>
      <w:r w:rsidR="000A5329" w:rsidRPr="002029AF">
        <w:t xml:space="preserve"> </w:t>
      </w:r>
      <w:r w:rsidRPr="002029AF">
        <w:t>services</w:t>
      </w:r>
      <w:r w:rsidR="000A5329" w:rsidRPr="002029AF">
        <w:t xml:space="preserve"> </w:t>
      </w:r>
      <w:r w:rsidRPr="002029AF">
        <w:t>delivered</w:t>
      </w:r>
      <w:r w:rsidR="000A5329" w:rsidRPr="002029AF">
        <w:t xml:space="preserve"> </w:t>
      </w:r>
      <w:r w:rsidRPr="002029AF">
        <w:t>in</w:t>
      </w:r>
      <w:r w:rsidR="000A5329" w:rsidRPr="002029AF">
        <w:t xml:space="preserve"> </w:t>
      </w:r>
      <w:r w:rsidRPr="002029AF">
        <w:t>small</w:t>
      </w:r>
      <w:r w:rsidR="000A5329" w:rsidRPr="002029AF">
        <w:t xml:space="preserve"> </w:t>
      </w:r>
      <w:r w:rsidRPr="002029AF">
        <w:t>rural</w:t>
      </w:r>
      <w:r w:rsidR="000A5329" w:rsidRPr="002029AF">
        <w:t xml:space="preserve"> </w:t>
      </w:r>
      <w:r w:rsidRPr="002029AF">
        <w:t>towns.</w:t>
      </w:r>
      <w:r w:rsidR="000A5329" w:rsidRPr="002029AF">
        <w:t xml:space="preserve"> </w:t>
      </w:r>
      <w:r w:rsidRPr="002029AF">
        <w:t>The</w:t>
      </w:r>
      <w:r w:rsidR="000A5329" w:rsidRPr="002029AF">
        <w:t xml:space="preserve"> </w:t>
      </w:r>
      <w:r w:rsidRPr="002029AF">
        <w:t>funding</w:t>
      </w:r>
      <w:r w:rsidR="000A5329" w:rsidRPr="002029AF">
        <w:t xml:space="preserve"> </w:t>
      </w:r>
      <w:r w:rsidRPr="002029AF">
        <w:t>and</w:t>
      </w:r>
      <w:r w:rsidR="000A5329" w:rsidRPr="002029AF">
        <w:t xml:space="preserve"> </w:t>
      </w:r>
      <w:r w:rsidRPr="002029AF">
        <w:t>service</w:t>
      </w:r>
      <w:r w:rsidR="000A5329" w:rsidRPr="002029AF">
        <w:t xml:space="preserve"> </w:t>
      </w:r>
      <w:r w:rsidRPr="002029AF">
        <w:t>delivery</w:t>
      </w:r>
      <w:r w:rsidR="000A5329" w:rsidRPr="002029AF">
        <w:t xml:space="preserve"> </w:t>
      </w:r>
      <w:r w:rsidRPr="002029AF">
        <w:t>approach</w:t>
      </w:r>
      <w:r w:rsidR="000A5329" w:rsidRPr="002029AF">
        <w:t xml:space="preserve"> </w:t>
      </w:r>
      <w:r w:rsidRPr="002029AF">
        <w:t>focuses</w:t>
      </w:r>
      <w:r w:rsidR="000A5329" w:rsidRPr="002029AF">
        <w:t xml:space="preserve"> </w:t>
      </w:r>
      <w:r w:rsidRPr="002029AF">
        <w:t>on</w:t>
      </w:r>
      <w:r w:rsidR="000A5329" w:rsidRPr="002029AF">
        <w:t xml:space="preserve"> </w:t>
      </w:r>
      <w:r w:rsidRPr="002029AF">
        <w:t>achieving</w:t>
      </w:r>
      <w:r w:rsidR="000A5329" w:rsidRPr="002029AF">
        <w:t xml:space="preserve"> </w:t>
      </w:r>
      <w:r w:rsidRPr="002029AF">
        <w:t>a</w:t>
      </w:r>
      <w:r w:rsidR="000A5329" w:rsidRPr="002029AF">
        <w:t xml:space="preserve"> </w:t>
      </w:r>
      <w:r w:rsidRPr="002029AF">
        <w:t>sustainable,</w:t>
      </w:r>
      <w:r w:rsidR="000A5329" w:rsidRPr="002029AF">
        <w:t xml:space="preserve"> </w:t>
      </w:r>
      <w:r w:rsidRPr="002029AF">
        <w:t>flexible</w:t>
      </w:r>
      <w:r w:rsidR="000A5329" w:rsidRPr="002029AF">
        <w:t xml:space="preserve"> </w:t>
      </w:r>
      <w:r w:rsidRPr="002029AF">
        <w:t>service</w:t>
      </w:r>
      <w:r w:rsidR="000A5329" w:rsidRPr="002029AF">
        <w:t xml:space="preserve"> </w:t>
      </w:r>
      <w:r w:rsidRPr="002029AF">
        <w:t>mix</w:t>
      </w:r>
      <w:r w:rsidR="000A5329" w:rsidRPr="002029AF">
        <w:t xml:space="preserve"> </w:t>
      </w:r>
      <w:r w:rsidRPr="002029AF">
        <w:t>that</w:t>
      </w:r>
      <w:r w:rsidR="000A5329" w:rsidRPr="002029AF">
        <w:t xml:space="preserve"> </w:t>
      </w:r>
      <w:r w:rsidRPr="002029AF">
        <w:t>is</w:t>
      </w:r>
      <w:r w:rsidR="000A5329" w:rsidRPr="002029AF">
        <w:t xml:space="preserve"> </w:t>
      </w:r>
      <w:r w:rsidRPr="002029AF">
        <w:t>responsive</w:t>
      </w:r>
      <w:r w:rsidR="000A5329" w:rsidRPr="002029AF">
        <w:t xml:space="preserve"> </w:t>
      </w:r>
      <w:r w:rsidRPr="002029AF">
        <w:t>to</w:t>
      </w:r>
      <w:r w:rsidR="000A5329" w:rsidRPr="002029AF">
        <w:t xml:space="preserve"> </w:t>
      </w:r>
      <w:r w:rsidRPr="002029AF">
        <w:t>local</w:t>
      </w:r>
      <w:r w:rsidR="000A5329" w:rsidRPr="002029AF">
        <w:t xml:space="preserve"> </w:t>
      </w:r>
      <w:r w:rsidRPr="002029AF">
        <w:t>needs.</w:t>
      </w:r>
      <w:r w:rsidR="000A5329" w:rsidRPr="002029AF">
        <w:t xml:space="preserve"> </w:t>
      </w:r>
      <w:r w:rsidRPr="002029AF">
        <w:t>Service</w:t>
      </w:r>
      <w:r w:rsidR="000A5329" w:rsidRPr="002029AF">
        <w:t xml:space="preserve"> </w:t>
      </w:r>
      <w:r w:rsidRPr="002029AF">
        <w:t>providers</w:t>
      </w:r>
      <w:r w:rsidR="000A5329" w:rsidRPr="002029AF">
        <w:t xml:space="preserve"> </w:t>
      </w:r>
      <w:r w:rsidRPr="002029AF">
        <w:t>include</w:t>
      </w:r>
      <w:r w:rsidR="000A5329" w:rsidRPr="002029AF">
        <w:t xml:space="preserve"> </w:t>
      </w:r>
      <w:r w:rsidRPr="002029AF">
        <w:t>small</w:t>
      </w:r>
      <w:r w:rsidR="000A5329" w:rsidRPr="002029AF">
        <w:t xml:space="preserve"> </w:t>
      </w:r>
      <w:r w:rsidRPr="002029AF">
        <w:t>rural</w:t>
      </w:r>
      <w:r w:rsidR="000A5329" w:rsidRPr="002029AF">
        <w:t xml:space="preserve"> </w:t>
      </w:r>
      <w:r w:rsidRPr="002029AF">
        <w:t>hospitals,</w:t>
      </w:r>
      <w:r w:rsidR="000A5329" w:rsidRPr="002029AF">
        <w:t xml:space="preserve"> </w:t>
      </w:r>
      <w:r w:rsidRPr="002029AF">
        <w:t>community</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bush</w:t>
      </w:r>
      <w:r w:rsidR="000A5329" w:rsidRPr="002029AF">
        <w:t xml:space="preserve"> </w:t>
      </w:r>
      <w:r w:rsidRPr="002029AF">
        <w:t>nursing</w:t>
      </w:r>
      <w:r w:rsidR="000A5329" w:rsidRPr="002029AF">
        <w:t xml:space="preserve"> </w:t>
      </w:r>
      <w:r w:rsidRPr="002029AF">
        <w:t>centres,</w:t>
      </w:r>
      <w:r w:rsidR="000A5329" w:rsidRPr="002029AF">
        <w:t xml:space="preserve"> </w:t>
      </w:r>
      <w:r w:rsidRPr="002029AF">
        <w:t>multipurpose</w:t>
      </w:r>
      <w:r w:rsidR="000A5329" w:rsidRPr="002029AF">
        <w:t xml:space="preserve"> </w:t>
      </w:r>
      <w:r w:rsidRPr="002029AF">
        <w:t>services</w:t>
      </w:r>
      <w:r w:rsidR="000A5329" w:rsidRPr="002029AF">
        <w:t xml:space="preserve"> </w:t>
      </w:r>
      <w:r w:rsidRPr="002029AF">
        <w:t>and</w:t>
      </w:r>
      <w:r w:rsidR="000A5329" w:rsidRPr="002029AF">
        <w:t xml:space="preserve"> </w:t>
      </w:r>
      <w:r w:rsidRPr="002029AF">
        <w:t>public</w:t>
      </w:r>
      <w:r w:rsidR="000A5329" w:rsidRPr="002029AF">
        <w:t xml:space="preserve"> </w:t>
      </w:r>
      <w:r w:rsidRPr="002029AF">
        <w:t>sector</w:t>
      </w:r>
      <w:r w:rsidR="000A5329" w:rsidRPr="002029AF">
        <w:t xml:space="preserve"> </w:t>
      </w:r>
      <w:r w:rsidRPr="002029AF">
        <w:t>residential</w:t>
      </w:r>
      <w:r w:rsidR="000A5329" w:rsidRPr="002029AF">
        <w:t xml:space="preserve"> </w:t>
      </w:r>
      <w:r w:rsidRPr="002029AF">
        <w:t>aged</w:t>
      </w:r>
      <w:r w:rsidR="000A5329" w:rsidRPr="002029AF">
        <w:t xml:space="preserve"> </w:t>
      </w:r>
      <w:r w:rsidRPr="002029AF">
        <w:t>care</w:t>
      </w:r>
      <w:r w:rsidR="000A5329" w:rsidRPr="002029AF">
        <w:t xml:space="preserve"> </w:t>
      </w:r>
      <w:r w:rsidRPr="002029AF">
        <w:t>services.</w:t>
      </w:r>
    </w:p>
    <w:tbl>
      <w:tblPr>
        <w:tblW w:w="9639" w:type="dxa"/>
        <w:tblLayout w:type="fixed"/>
        <w:tblCellMar>
          <w:left w:w="0" w:type="dxa"/>
        </w:tblCellMar>
        <w:tblLook w:val="04A0" w:firstRow="1" w:lastRow="0" w:firstColumn="1" w:lastColumn="0" w:noHBand="0" w:noVBand="1"/>
      </w:tblPr>
      <w:tblGrid>
        <w:gridCol w:w="4741"/>
        <w:gridCol w:w="12"/>
        <w:gridCol w:w="1007"/>
        <w:gridCol w:w="13"/>
        <w:gridCol w:w="1005"/>
        <w:gridCol w:w="15"/>
        <w:gridCol w:w="1007"/>
        <w:gridCol w:w="13"/>
        <w:gridCol w:w="1022"/>
        <w:gridCol w:w="796"/>
        <w:gridCol w:w="8"/>
      </w:tblGrid>
      <w:tr w:rsidR="005B58F0" w:rsidRPr="002029AF" w14:paraId="02E66B7A" w14:textId="77777777" w:rsidTr="005B58F0">
        <w:trPr>
          <w:cantSplit/>
          <w:tblHeader/>
        </w:trPr>
        <w:tc>
          <w:tcPr>
            <w:tcW w:w="4753" w:type="dxa"/>
            <w:gridSpan w:val="2"/>
            <w:tcBorders>
              <w:top w:val="nil"/>
              <w:left w:val="nil"/>
              <w:bottom w:val="single" w:sz="4" w:space="0" w:color="auto"/>
              <w:right w:val="nil"/>
            </w:tcBorders>
            <w:vAlign w:val="bottom"/>
            <w:hideMark/>
          </w:tcPr>
          <w:p w14:paraId="59EB8669" w14:textId="39DCEA0D" w:rsidR="005B58F0" w:rsidRPr="002029AF" w:rsidRDefault="005B58F0" w:rsidP="0014376C">
            <w:pPr>
              <w:pStyle w:val="ARtablecolhead"/>
            </w:pPr>
            <w:r w:rsidRPr="002029AF">
              <w:t>Performance</w:t>
            </w:r>
            <w:r w:rsidR="000A5329" w:rsidRPr="002029AF">
              <w:t xml:space="preserve"> </w:t>
            </w:r>
            <w:r w:rsidRPr="002029AF">
              <w:t>measures</w:t>
            </w:r>
          </w:p>
        </w:tc>
        <w:tc>
          <w:tcPr>
            <w:tcW w:w="1020" w:type="dxa"/>
            <w:gridSpan w:val="2"/>
            <w:tcBorders>
              <w:top w:val="nil"/>
              <w:left w:val="nil"/>
              <w:bottom w:val="single" w:sz="4" w:space="0" w:color="auto"/>
              <w:right w:val="nil"/>
            </w:tcBorders>
            <w:vAlign w:val="bottom"/>
            <w:hideMark/>
          </w:tcPr>
          <w:p w14:paraId="3B906314" w14:textId="45F306CF" w:rsidR="005B58F0" w:rsidRPr="002029AF" w:rsidRDefault="005B58F0" w:rsidP="0014376C">
            <w:pPr>
              <w:pStyle w:val="ARtablecolhead"/>
            </w:pPr>
            <w:r w:rsidRPr="002029AF">
              <w:t>Unit</w:t>
            </w:r>
            <w:r w:rsidR="000A5329" w:rsidRPr="002029AF">
              <w:t xml:space="preserve"> </w:t>
            </w:r>
            <w:r w:rsidRPr="002029AF">
              <w:t>of</w:t>
            </w:r>
            <w:r w:rsidR="000A5329" w:rsidRPr="002029AF">
              <w:t xml:space="preserve"> </w:t>
            </w:r>
            <w:r w:rsidRPr="002029AF">
              <w:t>measure</w:t>
            </w:r>
          </w:p>
        </w:tc>
        <w:tc>
          <w:tcPr>
            <w:tcW w:w="1020" w:type="dxa"/>
            <w:gridSpan w:val="2"/>
            <w:tcBorders>
              <w:top w:val="nil"/>
              <w:left w:val="nil"/>
              <w:bottom w:val="single" w:sz="4" w:space="0" w:color="auto"/>
              <w:right w:val="nil"/>
            </w:tcBorders>
            <w:vAlign w:val="bottom"/>
            <w:hideMark/>
          </w:tcPr>
          <w:p w14:paraId="2D35D68D" w14:textId="4E89C7FA" w:rsidR="005B58F0" w:rsidRPr="002029AF" w:rsidRDefault="005B58F0" w:rsidP="0014376C">
            <w:pPr>
              <w:pStyle w:val="ARtablecolheadright"/>
            </w:pPr>
            <w:r w:rsidRPr="002029AF">
              <w:t>2019–20</w:t>
            </w:r>
            <w:r w:rsidR="000A5329" w:rsidRPr="002029AF">
              <w:t xml:space="preserve"> </w:t>
            </w:r>
            <w:r w:rsidRPr="002029AF">
              <w:t>target</w:t>
            </w:r>
          </w:p>
        </w:tc>
        <w:tc>
          <w:tcPr>
            <w:tcW w:w="1020" w:type="dxa"/>
            <w:gridSpan w:val="2"/>
            <w:tcBorders>
              <w:top w:val="nil"/>
              <w:left w:val="nil"/>
              <w:bottom w:val="single" w:sz="4" w:space="0" w:color="auto"/>
              <w:right w:val="nil"/>
            </w:tcBorders>
            <w:vAlign w:val="bottom"/>
            <w:hideMark/>
          </w:tcPr>
          <w:p w14:paraId="0574A25D" w14:textId="4FB5F072" w:rsidR="005B58F0" w:rsidRPr="002029AF" w:rsidRDefault="005B58F0" w:rsidP="0014376C">
            <w:pPr>
              <w:pStyle w:val="ARtablecolheadright"/>
            </w:pPr>
            <w:r w:rsidRPr="002029AF">
              <w:t>2019–20</w:t>
            </w:r>
            <w:r w:rsidR="000A5329" w:rsidRPr="002029AF">
              <w:t xml:space="preserve"> </w:t>
            </w:r>
            <w:r w:rsidRPr="002029AF">
              <w:t>actual</w:t>
            </w:r>
          </w:p>
        </w:tc>
        <w:tc>
          <w:tcPr>
            <w:tcW w:w="1022" w:type="dxa"/>
            <w:tcBorders>
              <w:top w:val="nil"/>
              <w:left w:val="nil"/>
              <w:bottom w:val="single" w:sz="4" w:space="0" w:color="auto"/>
              <w:right w:val="nil"/>
            </w:tcBorders>
            <w:vAlign w:val="bottom"/>
            <w:hideMark/>
          </w:tcPr>
          <w:p w14:paraId="668573AB" w14:textId="5E5D1394" w:rsidR="005B58F0" w:rsidRPr="002029AF" w:rsidRDefault="005B58F0" w:rsidP="0014376C">
            <w:pPr>
              <w:pStyle w:val="ARtablecolheadright"/>
            </w:pPr>
            <w:r w:rsidRPr="002029AF">
              <w:t>Variation</w:t>
            </w:r>
            <w:r w:rsidR="000A5329" w:rsidRPr="002029AF">
              <w:t xml:space="preserve"> </w:t>
            </w:r>
            <w:r w:rsidRPr="002029AF">
              <w:t>(%)</w:t>
            </w:r>
          </w:p>
        </w:tc>
        <w:tc>
          <w:tcPr>
            <w:tcW w:w="804" w:type="dxa"/>
            <w:gridSpan w:val="2"/>
            <w:tcBorders>
              <w:top w:val="nil"/>
              <w:left w:val="nil"/>
              <w:bottom w:val="single" w:sz="4" w:space="0" w:color="auto"/>
              <w:right w:val="nil"/>
            </w:tcBorders>
            <w:vAlign w:val="bottom"/>
            <w:hideMark/>
          </w:tcPr>
          <w:p w14:paraId="28B35591" w14:textId="77777777" w:rsidR="005B58F0" w:rsidRPr="002029AF" w:rsidRDefault="005B58F0" w:rsidP="000D3C3F">
            <w:pPr>
              <w:pStyle w:val="ARtablecolheadcentre"/>
            </w:pPr>
            <w:r w:rsidRPr="002029AF">
              <w:t>Result</w:t>
            </w:r>
          </w:p>
        </w:tc>
      </w:tr>
      <w:tr w:rsidR="00C15C65" w:rsidRPr="002029AF" w14:paraId="3D1C1481" w14:textId="77777777" w:rsidTr="007666A5">
        <w:trPr>
          <w:cantSplit/>
        </w:trPr>
        <w:tc>
          <w:tcPr>
            <w:tcW w:w="9639" w:type="dxa"/>
            <w:gridSpan w:val="11"/>
            <w:tcBorders>
              <w:top w:val="single" w:sz="4" w:space="0" w:color="auto"/>
              <w:left w:val="nil"/>
              <w:bottom w:val="single" w:sz="4" w:space="0" w:color="auto"/>
              <w:right w:val="nil"/>
            </w:tcBorders>
            <w:hideMark/>
          </w:tcPr>
          <w:p w14:paraId="56921428" w14:textId="049BD778" w:rsidR="00C15C65" w:rsidRPr="002029AF" w:rsidRDefault="00C15C65" w:rsidP="007666A5">
            <w:pPr>
              <w:pStyle w:val="ARtablesubhead"/>
            </w:pPr>
            <w:r w:rsidRPr="002029AF">
              <w:t>Small</w:t>
            </w:r>
            <w:r w:rsidR="000A5329" w:rsidRPr="002029AF">
              <w:t xml:space="preserve"> </w:t>
            </w:r>
            <w:r w:rsidRPr="002029AF">
              <w:t>Rural</w:t>
            </w:r>
            <w:r w:rsidR="000A5329" w:rsidRPr="002029AF">
              <w:t xml:space="preserve"> </w:t>
            </w:r>
            <w:r w:rsidRPr="002029AF">
              <w:t>Services</w:t>
            </w:r>
            <w:r w:rsidR="000A5329" w:rsidRPr="002029AF">
              <w:t xml:space="preserve"> </w:t>
            </w:r>
            <w:r w:rsidRPr="002029AF">
              <w:t>–</w:t>
            </w:r>
            <w:r w:rsidR="000A5329" w:rsidRPr="002029AF">
              <w:t xml:space="preserve"> </w:t>
            </w:r>
            <w:r w:rsidRPr="002029AF">
              <w:t>Acute</w:t>
            </w:r>
            <w:r w:rsidR="000A5329" w:rsidRPr="002029AF">
              <w:t xml:space="preserve"> </w:t>
            </w:r>
            <w:r w:rsidRPr="002029AF">
              <w:t>Health</w:t>
            </w:r>
          </w:p>
        </w:tc>
      </w:tr>
      <w:tr w:rsidR="00C15C65" w:rsidRPr="002029AF" w14:paraId="5CD887F1" w14:textId="77777777" w:rsidTr="007666A5">
        <w:trPr>
          <w:cantSplit/>
        </w:trPr>
        <w:tc>
          <w:tcPr>
            <w:tcW w:w="9639" w:type="dxa"/>
            <w:gridSpan w:val="11"/>
            <w:tcBorders>
              <w:top w:val="single" w:sz="4" w:space="0" w:color="auto"/>
              <w:left w:val="nil"/>
              <w:bottom w:val="nil"/>
              <w:right w:val="nil"/>
            </w:tcBorders>
            <w:hideMark/>
          </w:tcPr>
          <w:p w14:paraId="794B67C2" w14:textId="77777777" w:rsidR="00C15C65" w:rsidRPr="002029AF" w:rsidRDefault="00C15C65" w:rsidP="00D96AFD">
            <w:pPr>
              <w:pStyle w:val="ARtablegreybold"/>
            </w:pPr>
            <w:r w:rsidRPr="002029AF">
              <w:t>Quantity</w:t>
            </w:r>
          </w:p>
        </w:tc>
      </w:tr>
      <w:tr w:rsidR="00C15C65" w:rsidRPr="002029AF" w14:paraId="342347C1" w14:textId="77777777" w:rsidTr="005B58F0">
        <w:trPr>
          <w:gridAfter w:val="1"/>
          <w:wAfter w:w="8" w:type="dxa"/>
          <w:cantSplit/>
        </w:trPr>
        <w:tc>
          <w:tcPr>
            <w:tcW w:w="4741" w:type="dxa"/>
            <w:shd w:val="clear" w:color="auto" w:fill="auto"/>
            <w:hideMark/>
          </w:tcPr>
          <w:p w14:paraId="79E41C29" w14:textId="77777777" w:rsidR="00C15C65" w:rsidRPr="002029AF" w:rsidRDefault="00C15C65" w:rsidP="00C40F5D">
            <w:pPr>
              <w:pStyle w:val="ARtabletext"/>
            </w:pPr>
            <w:r w:rsidRPr="002029AF">
              <w:t>Separations</w:t>
            </w:r>
          </w:p>
        </w:tc>
        <w:tc>
          <w:tcPr>
            <w:tcW w:w="1019" w:type="dxa"/>
            <w:gridSpan w:val="2"/>
            <w:shd w:val="clear" w:color="auto" w:fill="auto"/>
            <w:hideMark/>
          </w:tcPr>
          <w:p w14:paraId="3F195B83" w14:textId="163B6F56" w:rsidR="00C15C65" w:rsidRPr="002029AF" w:rsidRDefault="00C15C65" w:rsidP="00C40F5D">
            <w:pPr>
              <w:pStyle w:val="ARtabletext"/>
            </w:pPr>
            <w:r w:rsidRPr="002029AF">
              <w:t>number</w:t>
            </w:r>
            <w:r w:rsidR="000A5329" w:rsidRPr="002029AF">
              <w:t xml:space="preserve"> </w:t>
            </w:r>
            <w:r w:rsidR="005F298C">
              <w:t>(’000</w:t>
            </w:r>
            <w:r w:rsidRPr="002029AF">
              <w:t>)</w:t>
            </w:r>
          </w:p>
        </w:tc>
        <w:tc>
          <w:tcPr>
            <w:tcW w:w="1018" w:type="dxa"/>
            <w:gridSpan w:val="2"/>
            <w:shd w:val="clear" w:color="auto" w:fill="auto"/>
            <w:hideMark/>
          </w:tcPr>
          <w:p w14:paraId="4AD88BED" w14:textId="77777777" w:rsidR="00C15C65" w:rsidRPr="002029AF" w:rsidRDefault="00C15C65" w:rsidP="000024F3">
            <w:pPr>
              <w:pStyle w:val="ARtabletextright"/>
            </w:pPr>
            <w:r w:rsidRPr="002029AF">
              <w:t>35.8</w:t>
            </w:r>
          </w:p>
        </w:tc>
        <w:tc>
          <w:tcPr>
            <w:tcW w:w="1022" w:type="dxa"/>
            <w:gridSpan w:val="2"/>
            <w:shd w:val="clear" w:color="auto" w:fill="auto"/>
            <w:hideMark/>
          </w:tcPr>
          <w:p w14:paraId="707CED0B" w14:textId="77777777" w:rsidR="00C15C65" w:rsidRPr="002029AF" w:rsidRDefault="00C15C65" w:rsidP="000024F3">
            <w:pPr>
              <w:pStyle w:val="ARtabletextright"/>
            </w:pPr>
            <w:r w:rsidRPr="002029AF">
              <w:t>31.6</w:t>
            </w:r>
          </w:p>
        </w:tc>
        <w:tc>
          <w:tcPr>
            <w:tcW w:w="1035" w:type="dxa"/>
            <w:gridSpan w:val="2"/>
            <w:shd w:val="clear" w:color="auto" w:fill="auto"/>
          </w:tcPr>
          <w:p w14:paraId="039EB90F" w14:textId="77777777" w:rsidR="00C15C65" w:rsidRPr="002029AF" w:rsidRDefault="00C15C65" w:rsidP="000024F3">
            <w:pPr>
              <w:pStyle w:val="ARtabletextright"/>
            </w:pPr>
            <w:r w:rsidRPr="002029AF">
              <w:t>-11.7</w:t>
            </w:r>
          </w:p>
        </w:tc>
        <w:tc>
          <w:tcPr>
            <w:tcW w:w="796" w:type="dxa"/>
            <w:shd w:val="clear" w:color="auto" w:fill="auto"/>
            <w:hideMark/>
          </w:tcPr>
          <w:p w14:paraId="7B2E23E0"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1F834048" w14:textId="77777777" w:rsidTr="005B58F0">
        <w:trPr>
          <w:gridAfter w:val="1"/>
          <w:wAfter w:w="8" w:type="dxa"/>
          <w:cantSplit/>
        </w:trPr>
        <w:tc>
          <w:tcPr>
            <w:tcW w:w="9631" w:type="dxa"/>
            <w:gridSpan w:val="10"/>
            <w:tcBorders>
              <w:bottom w:val="single" w:sz="4" w:space="0" w:color="BFBFBF"/>
            </w:tcBorders>
            <w:shd w:val="clear" w:color="auto" w:fill="auto"/>
            <w:noWrap/>
            <w:hideMark/>
          </w:tcPr>
          <w:p w14:paraId="488488DC" w14:textId="1C309318" w:rsidR="00C15C65" w:rsidRPr="002029AF" w:rsidRDefault="00C15C65" w:rsidP="00397FEB">
            <w:pPr>
              <w:pStyle w:val="ARtablenoteindent"/>
            </w:pPr>
            <w:r w:rsidRPr="002029AF">
              <w:t>A</w:t>
            </w:r>
            <w:r w:rsidR="000A5329" w:rsidRPr="002029AF">
              <w:t xml:space="preserve"> </w:t>
            </w:r>
            <w:r w:rsidRPr="002029AF">
              <w:t>number</w:t>
            </w:r>
            <w:r w:rsidR="000A5329" w:rsidRPr="002029AF">
              <w:t xml:space="preserve"> </w:t>
            </w:r>
            <w:r w:rsidRPr="002029AF">
              <w:t>of</w:t>
            </w:r>
            <w:r w:rsidR="000A5329" w:rsidRPr="002029AF">
              <w:t xml:space="preserve"> </w:t>
            </w:r>
            <w:r w:rsidRPr="002029AF">
              <w:t>small</w:t>
            </w:r>
            <w:r w:rsidR="000A5329" w:rsidRPr="002029AF">
              <w:t xml:space="preserve"> </w:t>
            </w:r>
            <w:r w:rsidRPr="002029AF">
              <w:t>rural</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in</w:t>
            </w:r>
            <w:r w:rsidR="000A5329" w:rsidRPr="002029AF">
              <w:t xml:space="preserve"> </w:t>
            </w:r>
            <w:r w:rsidRPr="002029AF">
              <w:t>bushfire</w:t>
            </w:r>
            <w:r w:rsidR="00397FEB">
              <w:t>-</w:t>
            </w:r>
            <w:r w:rsidRPr="002029AF">
              <w:t>affected</w:t>
            </w:r>
            <w:r w:rsidR="000A5329" w:rsidRPr="002029AF">
              <w:t xml:space="preserve"> </w:t>
            </w:r>
            <w:r w:rsidRPr="002029AF">
              <w:t>regions</w:t>
            </w:r>
            <w:r w:rsidR="000A5329" w:rsidRPr="002029AF">
              <w:t xml:space="preserve"> </w:t>
            </w:r>
            <w:r w:rsidRPr="002029AF">
              <w:t>of</w:t>
            </w:r>
            <w:r w:rsidR="000A5329" w:rsidRPr="002029AF">
              <w:t xml:space="preserve"> </w:t>
            </w:r>
            <w:r w:rsidRPr="002029AF">
              <w:t>the</w:t>
            </w:r>
            <w:r w:rsidR="000A5329" w:rsidRPr="002029AF">
              <w:t xml:space="preserve"> </w:t>
            </w:r>
            <w:r w:rsidRPr="002029AF">
              <w:t>state</w:t>
            </w:r>
            <w:r w:rsidR="000A5329" w:rsidRPr="002029AF">
              <w:t xml:space="preserve"> </w:t>
            </w:r>
            <w:r w:rsidRPr="002029AF">
              <w:t>experienced</w:t>
            </w:r>
            <w:r w:rsidR="000A5329" w:rsidRPr="002029AF">
              <w:t xml:space="preserve"> </w:t>
            </w:r>
            <w:r w:rsidRPr="002029AF">
              <w:t>lower</w:t>
            </w:r>
            <w:r w:rsidR="000A5329" w:rsidRPr="002029AF">
              <w:t xml:space="preserve"> </w:t>
            </w:r>
            <w:r w:rsidRPr="002029AF">
              <w:t>than</w:t>
            </w:r>
            <w:r w:rsidR="000A5329" w:rsidRPr="002029AF">
              <w:t xml:space="preserve"> </w:t>
            </w:r>
            <w:r w:rsidRPr="002029AF">
              <w:t>expected</w:t>
            </w:r>
            <w:r w:rsidR="000A5329" w:rsidRPr="002029AF">
              <w:t xml:space="preserve"> </w:t>
            </w:r>
            <w:r w:rsidRPr="002029AF">
              <w:t>admitted</w:t>
            </w:r>
            <w:r w:rsidR="000A5329" w:rsidRPr="002029AF">
              <w:t xml:space="preserve"> </w:t>
            </w:r>
            <w:r w:rsidRPr="002029AF">
              <w:t>activity</w:t>
            </w:r>
            <w:r w:rsidR="000A5329" w:rsidRPr="002029AF">
              <w:t xml:space="preserve"> </w:t>
            </w:r>
            <w:r w:rsidRPr="002029AF">
              <w:t>in</w:t>
            </w:r>
            <w:r w:rsidR="000A5329" w:rsidRPr="002029AF">
              <w:t xml:space="preserve"> </w:t>
            </w:r>
            <w:r w:rsidRPr="002029AF">
              <w:t>the</w:t>
            </w:r>
            <w:r w:rsidR="000A5329" w:rsidRPr="002029AF">
              <w:t xml:space="preserve"> </w:t>
            </w:r>
            <w:r w:rsidRPr="002029AF">
              <w:t>second</w:t>
            </w:r>
            <w:r w:rsidR="000A5329" w:rsidRPr="002029AF">
              <w:t xml:space="preserve"> </w:t>
            </w:r>
            <w:r w:rsidRPr="002029AF">
              <w:t>and</w:t>
            </w:r>
            <w:r w:rsidR="000A5329" w:rsidRPr="002029AF">
              <w:t xml:space="preserve"> </w:t>
            </w:r>
            <w:r w:rsidRPr="002029AF">
              <w:t>third</w:t>
            </w:r>
            <w:r w:rsidR="000A5329" w:rsidRPr="002029AF">
              <w:t xml:space="preserve"> </w:t>
            </w:r>
            <w:r w:rsidRPr="002029AF">
              <w:t>quarters.</w:t>
            </w:r>
            <w:r w:rsidR="000A5329" w:rsidRPr="002029AF">
              <w:t xml:space="preserve"> </w:t>
            </w:r>
            <w:r w:rsidRPr="002029AF">
              <w:t>The</w:t>
            </w:r>
            <w:r w:rsidR="000A5329" w:rsidRPr="002029AF">
              <w:t xml:space="preserve"> </w:t>
            </w:r>
            <w:r w:rsidRPr="002029AF">
              <w:t>impact</w:t>
            </w:r>
            <w:r w:rsidR="000A5329" w:rsidRPr="002029AF">
              <w:t xml:space="preserve"> </w:t>
            </w:r>
            <w:r w:rsidRPr="002029AF">
              <w:t>of</w:t>
            </w:r>
            <w:r w:rsidR="000A5329" w:rsidRPr="002029AF">
              <w:t xml:space="preserve"> </w:t>
            </w:r>
            <w:r w:rsidRPr="002029AF">
              <w:t>the</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pandemic</w:t>
            </w:r>
            <w:r w:rsidR="000A5329" w:rsidRPr="002029AF">
              <w:t xml:space="preserve"> </w:t>
            </w:r>
            <w:r w:rsidRPr="002029AF">
              <w:t>reduced</w:t>
            </w:r>
            <w:r w:rsidR="000A5329" w:rsidRPr="002029AF">
              <w:t xml:space="preserve"> </w:t>
            </w:r>
            <w:r w:rsidRPr="002029AF">
              <w:t>admitted</w:t>
            </w:r>
            <w:r w:rsidR="000A5329" w:rsidRPr="002029AF">
              <w:t xml:space="preserve"> </w:t>
            </w:r>
            <w:r w:rsidRPr="002029AF">
              <w:t>activity</w:t>
            </w:r>
            <w:r w:rsidR="000A5329" w:rsidRPr="002029AF">
              <w:t xml:space="preserve"> </w:t>
            </w:r>
            <w:r w:rsidRPr="002029AF">
              <w:t>at</w:t>
            </w:r>
            <w:r w:rsidR="000A5329" w:rsidRPr="002029AF">
              <w:t xml:space="preserve"> </w:t>
            </w:r>
            <w:r w:rsidRPr="002029AF">
              <w:t>small</w:t>
            </w:r>
            <w:r w:rsidR="000A5329" w:rsidRPr="002029AF">
              <w:t xml:space="preserve"> </w:t>
            </w:r>
            <w:r w:rsidRPr="002029AF">
              <w:t>rural</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across</w:t>
            </w:r>
            <w:r w:rsidR="000A5329" w:rsidRPr="002029AF">
              <w:t xml:space="preserve"> </w:t>
            </w:r>
            <w:r w:rsidRPr="002029AF">
              <w:t>the</w:t>
            </w:r>
            <w:r w:rsidR="000A5329" w:rsidRPr="002029AF">
              <w:t xml:space="preserve"> </w:t>
            </w:r>
            <w:r w:rsidRPr="002029AF">
              <w:t>state.</w:t>
            </w:r>
          </w:p>
        </w:tc>
      </w:tr>
      <w:tr w:rsidR="00C15C65" w:rsidRPr="002029AF" w14:paraId="0D5ADBB7" w14:textId="77777777" w:rsidTr="005B58F0">
        <w:trPr>
          <w:gridAfter w:val="1"/>
          <w:wAfter w:w="8" w:type="dxa"/>
          <w:cantSplit/>
        </w:trPr>
        <w:tc>
          <w:tcPr>
            <w:tcW w:w="4741" w:type="dxa"/>
            <w:shd w:val="clear" w:color="auto" w:fill="auto"/>
            <w:hideMark/>
          </w:tcPr>
          <w:p w14:paraId="0945D444" w14:textId="1C706DFA" w:rsidR="00C15C65" w:rsidRPr="002029AF" w:rsidRDefault="00C15C65" w:rsidP="00C40F5D">
            <w:pPr>
              <w:pStyle w:val="ARtabletext"/>
            </w:pPr>
            <w:r w:rsidRPr="002029AF">
              <w:t>Small</w:t>
            </w:r>
            <w:r w:rsidR="000A5329" w:rsidRPr="002029AF">
              <w:t xml:space="preserve"> </w:t>
            </w:r>
            <w:r w:rsidRPr="002029AF">
              <w:t>rural</w:t>
            </w:r>
            <w:r w:rsidR="000A5329" w:rsidRPr="002029AF">
              <w:t xml:space="preserve"> </w:t>
            </w:r>
            <w:r w:rsidRPr="002029AF">
              <w:t>weighted</w:t>
            </w:r>
            <w:r w:rsidR="000A5329" w:rsidRPr="002029AF">
              <w:t xml:space="preserve"> </w:t>
            </w:r>
            <w:r w:rsidRPr="002029AF">
              <w:t>activity</w:t>
            </w:r>
            <w:r w:rsidR="000A5329" w:rsidRPr="002029AF">
              <w:t xml:space="preserve"> </w:t>
            </w:r>
            <w:r w:rsidRPr="002029AF">
              <w:t>unit</w:t>
            </w:r>
          </w:p>
        </w:tc>
        <w:tc>
          <w:tcPr>
            <w:tcW w:w="1019" w:type="dxa"/>
            <w:gridSpan w:val="2"/>
            <w:shd w:val="clear" w:color="auto" w:fill="auto"/>
            <w:hideMark/>
          </w:tcPr>
          <w:p w14:paraId="56ECDA77" w14:textId="77777777" w:rsidR="00C15C65" w:rsidRPr="002029AF" w:rsidRDefault="00C15C65" w:rsidP="00C40F5D">
            <w:pPr>
              <w:pStyle w:val="ARtabletext"/>
            </w:pPr>
            <w:r w:rsidRPr="002029AF">
              <w:t>number</w:t>
            </w:r>
          </w:p>
        </w:tc>
        <w:tc>
          <w:tcPr>
            <w:tcW w:w="1018" w:type="dxa"/>
            <w:gridSpan w:val="2"/>
            <w:shd w:val="clear" w:color="auto" w:fill="auto"/>
            <w:hideMark/>
          </w:tcPr>
          <w:p w14:paraId="5785F60C" w14:textId="77777777" w:rsidR="00C15C65" w:rsidRPr="002029AF" w:rsidRDefault="00C15C65" w:rsidP="000024F3">
            <w:pPr>
              <w:pStyle w:val="ARtabletextright"/>
            </w:pPr>
            <w:r w:rsidRPr="002029AF">
              <w:t>350,000</w:t>
            </w:r>
          </w:p>
        </w:tc>
        <w:tc>
          <w:tcPr>
            <w:tcW w:w="1022" w:type="dxa"/>
            <w:gridSpan w:val="2"/>
            <w:shd w:val="clear" w:color="auto" w:fill="auto"/>
            <w:hideMark/>
          </w:tcPr>
          <w:p w14:paraId="493D1D00" w14:textId="77777777" w:rsidR="00C15C65" w:rsidRPr="002029AF" w:rsidRDefault="00C15C65" w:rsidP="000024F3">
            <w:pPr>
              <w:pStyle w:val="ARtabletextright"/>
            </w:pPr>
            <w:r w:rsidRPr="002029AF">
              <w:t>338,000</w:t>
            </w:r>
          </w:p>
        </w:tc>
        <w:tc>
          <w:tcPr>
            <w:tcW w:w="1035" w:type="dxa"/>
            <w:gridSpan w:val="2"/>
            <w:shd w:val="clear" w:color="auto" w:fill="auto"/>
          </w:tcPr>
          <w:p w14:paraId="488E5F64" w14:textId="77777777" w:rsidR="00C15C65" w:rsidRPr="002029AF" w:rsidRDefault="00C15C65" w:rsidP="000024F3">
            <w:pPr>
              <w:pStyle w:val="ARtabletextright"/>
            </w:pPr>
            <w:r w:rsidRPr="002029AF">
              <w:t>-3.4</w:t>
            </w:r>
          </w:p>
        </w:tc>
        <w:tc>
          <w:tcPr>
            <w:tcW w:w="796" w:type="dxa"/>
            <w:shd w:val="clear" w:color="auto" w:fill="auto"/>
            <w:hideMark/>
          </w:tcPr>
          <w:p w14:paraId="18EE69BB" w14:textId="47B784A7" w:rsidR="00C15C65" w:rsidRPr="002029AF" w:rsidRDefault="003A6C3B" w:rsidP="000F6867">
            <w:pPr>
              <w:pStyle w:val="ARtableperformancesymbol"/>
              <w:rPr>
                <w:rFonts w:hint="eastAsia"/>
                <w:lang w:val="en-AU"/>
              </w:rPr>
            </w:pPr>
            <w:r w:rsidRPr="002029AF">
              <w:rPr>
                <w:lang w:val="en-AU"/>
              </w:rPr>
              <w:t>□</w:t>
            </w:r>
          </w:p>
        </w:tc>
      </w:tr>
      <w:tr w:rsidR="00C15C65" w:rsidRPr="002029AF" w14:paraId="63D0CE40" w14:textId="77777777" w:rsidTr="005B58F0">
        <w:trPr>
          <w:gridAfter w:val="1"/>
          <w:wAfter w:w="8" w:type="dxa"/>
          <w:cantSplit/>
        </w:trPr>
        <w:tc>
          <w:tcPr>
            <w:tcW w:w="9631" w:type="dxa"/>
            <w:gridSpan w:val="10"/>
            <w:tcBorders>
              <w:bottom w:val="single" w:sz="4" w:space="0" w:color="BFBFBF"/>
            </w:tcBorders>
            <w:shd w:val="clear" w:color="auto" w:fill="auto"/>
            <w:noWrap/>
            <w:hideMark/>
          </w:tcPr>
          <w:p w14:paraId="71ABB878" w14:textId="332CE65A" w:rsidR="00C15C65" w:rsidRPr="002029AF" w:rsidRDefault="00C15C65" w:rsidP="00D96AFD">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by</w:t>
            </w:r>
            <w:r w:rsidR="000A5329" w:rsidRPr="002029AF">
              <w:t xml:space="preserve"> </w:t>
            </w:r>
            <w:r w:rsidRPr="002029AF">
              <w:t>late</w:t>
            </w:r>
            <w:r w:rsidR="000A5329" w:rsidRPr="002029AF">
              <w:t xml:space="preserve"> </w:t>
            </w:r>
            <w:r w:rsidRPr="002029AF">
              <w:t>2020.</w:t>
            </w:r>
          </w:p>
        </w:tc>
      </w:tr>
      <w:tr w:rsidR="00C15C65" w:rsidRPr="002029AF" w14:paraId="0204B803" w14:textId="77777777" w:rsidTr="007666A5">
        <w:trPr>
          <w:cantSplit/>
        </w:trPr>
        <w:tc>
          <w:tcPr>
            <w:tcW w:w="9639" w:type="dxa"/>
            <w:gridSpan w:val="11"/>
            <w:tcBorders>
              <w:top w:val="single" w:sz="4" w:space="0" w:color="auto"/>
              <w:left w:val="nil"/>
              <w:bottom w:val="nil"/>
              <w:right w:val="nil"/>
            </w:tcBorders>
            <w:hideMark/>
          </w:tcPr>
          <w:p w14:paraId="5C85546D" w14:textId="77777777" w:rsidR="00C15C65" w:rsidRPr="002029AF" w:rsidRDefault="00C15C65" w:rsidP="00D96AFD">
            <w:pPr>
              <w:pStyle w:val="ARtablegreybold"/>
            </w:pPr>
            <w:r w:rsidRPr="002029AF">
              <w:t>Quality</w:t>
            </w:r>
          </w:p>
        </w:tc>
      </w:tr>
      <w:tr w:rsidR="00C15C65" w:rsidRPr="002029AF" w14:paraId="1186A115" w14:textId="77777777" w:rsidTr="00860E95">
        <w:trPr>
          <w:gridAfter w:val="1"/>
          <w:wAfter w:w="8" w:type="dxa"/>
          <w:cantSplit/>
        </w:trPr>
        <w:tc>
          <w:tcPr>
            <w:tcW w:w="4741" w:type="dxa"/>
            <w:tcBorders>
              <w:bottom w:val="single" w:sz="4" w:space="0" w:color="auto"/>
            </w:tcBorders>
            <w:shd w:val="clear" w:color="auto" w:fill="auto"/>
            <w:hideMark/>
          </w:tcPr>
          <w:p w14:paraId="0A13F979" w14:textId="23E8C6BA" w:rsidR="00C15C65" w:rsidRPr="002029AF" w:rsidRDefault="00C15C65" w:rsidP="00C40F5D">
            <w:pPr>
              <w:pStyle w:val="ARtabletext"/>
            </w:pPr>
            <w:r w:rsidRPr="002029AF">
              <w:t>Percentage</w:t>
            </w:r>
            <w:r w:rsidR="000A5329" w:rsidRPr="002029AF">
              <w:t xml:space="preserve"> </w:t>
            </w:r>
            <w:r w:rsidRPr="002029AF">
              <w:t>of</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accredited</w:t>
            </w:r>
          </w:p>
        </w:tc>
        <w:tc>
          <w:tcPr>
            <w:tcW w:w="1019" w:type="dxa"/>
            <w:gridSpan w:val="2"/>
            <w:tcBorders>
              <w:bottom w:val="single" w:sz="4" w:space="0" w:color="auto"/>
            </w:tcBorders>
            <w:shd w:val="clear" w:color="auto" w:fill="auto"/>
            <w:hideMark/>
          </w:tcPr>
          <w:p w14:paraId="3B565B25" w14:textId="462D6869" w:rsidR="00C15C65" w:rsidRPr="002029AF" w:rsidRDefault="00C15C65" w:rsidP="00C40F5D">
            <w:pPr>
              <w:pStyle w:val="ARtabletext"/>
            </w:pPr>
            <w:r w:rsidRPr="002029AF">
              <w:t>per</w:t>
            </w:r>
            <w:r w:rsidR="000A5329" w:rsidRPr="002029AF">
              <w:t xml:space="preserve"> </w:t>
            </w:r>
            <w:r w:rsidRPr="002029AF">
              <w:t>cent</w:t>
            </w:r>
          </w:p>
        </w:tc>
        <w:tc>
          <w:tcPr>
            <w:tcW w:w="1018" w:type="dxa"/>
            <w:gridSpan w:val="2"/>
            <w:tcBorders>
              <w:bottom w:val="single" w:sz="4" w:space="0" w:color="auto"/>
            </w:tcBorders>
            <w:shd w:val="clear" w:color="auto" w:fill="auto"/>
            <w:hideMark/>
          </w:tcPr>
          <w:p w14:paraId="7AF37026" w14:textId="77777777" w:rsidR="00C15C65" w:rsidRPr="002029AF" w:rsidRDefault="00C15C65" w:rsidP="000024F3">
            <w:pPr>
              <w:pStyle w:val="ARtabletextright"/>
            </w:pPr>
            <w:r w:rsidRPr="002029AF">
              <w:t>100</w:t>
            </w:r>
          </w:p>
        </w:tc>
        <w:tc>
          <w:tcPr>
            <w:tcW w:w="1022" w:type="dxa"/>
            <w:gridSpan w:val="2"/>
            <w:tcBorders>
              <w:bottom w:val="single" w:sz="4" w:space="0" w:color="auto"/>
            </w:tcBorders>
            <w:shd w:val="clear" w:color="auto" w:fill="auto"/>
            <w:hideMark/>
          </w:tcPr>
          <w:p w14:paraId="68224AED" w14:textId="77777777" w:rsidR="00C15C65" w:rsidRPr="002029AF" w:rsidRDefault="00C15C65" w:rsidP="000024F3">
            <w:pPr>
              <w:pStyle w:val="ARtabletextright"/>
            </w:pPr>
            <w:r w:rsidRPr="002029AF">
              <w:t>100</w:t>
            </w:r>
          </w:p>
        </w:tc>
        <w:tc>
          <w:tcPr>
            <w:tcW w:w="1035" w:type="dxa"/>
            <w:gridSpan w:val="2"/>
            <w:tcBorders>
              <w:bottom w:val="single" w:sz="4" w:space="0" w:color="auto"/>
            </w:tcBorders>
            <w:shd w:val="clear" w:color="auto" w:fill="auto"/>
          </w:tcPr>
          <w:p w14:paraId="06A1604F" w14:textId="77777777" w:rsidR="00C15C65" w:rsidRPr="002029AF" w:rsidRDefault="00C15C65" w:rsidP="000024F3">
            <w:pPr>
              <w:pStyle w:val="ARtabletextright"/>
            </w:pPr>
            <w:r w:rsidRPr="002029AF">
              <w:t>0.0</w:t>
            </w:r>
          </w:p>
        </w:tc>
        <w:tc>
          <w:tcPr>
            <w:tcW w:w="796" w:type="dxa"/>
            <w:tcBorders>
              <w:bottom w:val="single" w:sz="4" w:space="0" w:color="auto"/>
            </w:tcBorders>
            <w:shd w:val="clear" w:color="auto" w:fill="auto"/>
            <w:hideMark/>
          </w:tcPr>
          <w:p w14:paraId="77F873FD"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102160EA" w14:textId="77777777" w:rsidTr="007666A5">
        <w:trPr>
          <w:cantSplit/>
        </w:trPr>
        <w:tc>
          <w:tcPr>
            <w:tcW w:w="9639" w:type="dxa"/>
            <w:gridSpan w:val="11"/>
            <w:tcBorders>
              <w:top w:val="single" w:sz="4" w:space="0" w:color="auto"/>
              <w:left w:val="nil"/>
              <w:bottom w:val="nil"/>
              <w:right w:val="nil"/>
            </w:tcBorders>
            <w:hideMark/>
          </w:tcPr>
          <w:p w14:paraId="74DE52F4" w14:textId="77777777" w:rsidR="00C15C65" w:rsidRPr="002029AF" w:rsidRDefault="00C15C65" w:rsidP="007666A5">
            <w:pPr>
              <w:pStyle w:val="ARtablegreybold"/>
            </w:pPr>
            <w:r w:rsidRPr="002029AF">
              <w:t>Cost</w:t>
            </w:r>
          </w:p>
        </w:tc>
      </w:tr>
      <w:tr w:rsidR="00C15C65" w:rsidRPr="002029AF" w14:paraId="48ECAEA2" w14:textId="77777777" w:rsidTr="005B58F0">
        <w:trPr>
          <w:cantSplit/>
        </w:trPr>
        <w:tc>
          <w:tcPr>
            <w:tcW w:w="4741" w:type="dxa"/>
            <w:hideMark/>
          </w:tcPr>
          <w:p w14:paraId="6B8FB7AA" w14:textId="0631DFA5" w:rsidR="00C15C65" w:rsidRPr="002029AF" w:rsidRDefault="00C15C65" w:rsidP="00C40F5D">
            <w:pPr>
              <w:pStyle w:val="ARtabletext"/>
              <w:rPr>
                <w:b/>
              </w:rPr>
            </w:pPr>
            <w:r w:rsidRPr="002029AF">
              <w:rPr>
                <w:b/>
              </w:rPr>
              <w:t>Total</w:t>
            </w:r>
            <w:r w:rsidR="000A5329" w:rsidRPr="002029AF">
              <w:rPr>
                <w:b/>
              </w:rPr>
              <w:t xml:space="preserve"> </w:t>
            </w:r>
            <w:r w:rsidRPr="002029AF">
              <w:rPr>
                <w:b/>
              </w:rPr>
              <w:t>output</w:t>
            </w:r>
            <w:r w:rsidR="000A5329" w:rsidRPr="002029AF">
              <w:rPr>
                <w:b/>
              </w:rPr>
              <w:t xml:space="preserve"> </w:t>
            </w:r>
            <w:r w:rsidRPr="002029AF">
              <w:rPr>
                <w:b/>
              </w:rPr>
              <w:t>cost</w:t>
            </w:r>
          </w:p>
        </w:tc>
        <w:tc>
          <w:tcPr>
            <w:tcW w:w="1019" w:type="dxa"/>
            <w:gridSpan w:val="2"/>
            <w:hideMark/>
          </w:tcPr>
          <w:p w14:paraId="0385D99E" w14:textId="16EABC52" w:rsidR="00C15C65" w:rsidRPr="002029AF" w:rsidRDefault="00C15C65" w:rsidP="00C40F5D">
            <w:pPr>
              <w:pStyle w:val="ARtabletext"/>
              <w:rPr>
                <w:b/>
              </w:rPr>
            </w:pPr>
            <w:r w:rsidRPr="002029AF">
              <w:rPr>
                <w:b/>
              </w:rPr>
              <w:t>$</w:t>
            </w:r>
            <w:r w:rsidR="000A5329" w:rsidRPr="002029AF">
              <w:rPr>
                <w:b/>
              </w:rPr>
              <w:t xml:space="preserve"> </w:t>
            </w:r>
            <w:r w:rsidRPr="002029AF">
              <w:rPr>
                <w:b/>
              </w:rPr>
              <w:t>million</w:t>
            </w:r>
          </w:p>
        </w:tc>
        <w:tc>
          <w:tcPr>
            <w:tcW w:w="1018" w:type="dxa"/>
            <w:gridSpan w:val="2"/>
          </w:tcPr>
          <w:p w14:paraId="40FA2265" w14:textId="77777777" w:rsidR="00C15C65" w:rsidRPr="002029AF" w:rsidRDefault="00C15C65" w:rsidP="00C9755D">
            <w:pPr>
              <w:pStyle w:val="ARtabletextrightbold"/>
            </w:pPr>
            <w:r w:rsidRPr="002029AF">
              <w:t>385.0</w:t>
            </w:r>
          </w:p>
        </w:tc>
        <w:tc>
          <w:tcPr>
            <w:tcW w:w="1022" w:type="dxa"/>
            <w:gridSpan w:val="2"/>
          </w:tcPr>
          <w:p w14:paraId="570645AC" w14:textId="77777777" w:rsidR="00C15C65" w:rsidRPr="002029AF" w:rsidRDefault="00C15C65" w:rsidP="00C9755D">
            <w:pPr>
              <w:pStyle w:val="ARtabletextrightbold"/>
            </w:pPr>
            <w:r w:rsidRPr="002029AF">
              <w:t>414.0</w:t>
            </w:r>
          </w:p>
        </w:tc>
        <w:tc>
          <w:tcPr>
            <w:tcW w:w="1035" w:type="dxa"/>
            <w:gridSpan w:val="2"/>
          </w:tcPr>
          <w:p w14:paraId="26ABAE2E" w14:textId="77777777" w:rsidR="00C15C65" w:rsidRPr="002029AF" w:rsidRDefault="00C15C65" w:rsidP="00C9755D">
            <w:pPr>
              <w:pStyle w:val="ARtabletextrightbold"/>
            </w:pPr>
            <w:r w:rsidRPr="002029AF">
              <w:t>7.5</w:t>
            </w:r>
          </w:p>
        </w:tc>
        <w:tc>
          <w:tcPr>
            <w:tcW w:w="804" w:type="dxa"/>
            <w:gridSpan w:val="2"/>
          </w:tcPr>
          <w:p w14:paraId="2345D442" w14:textId="77777777" w:rsidR="00C15C65" w:rsidRPr="002029AF" w:rsidRDefault="00C15C65" w:rsidP="00C40F5D">
            <w:pPr>
              <w:pStyle w:val="ARtabletext"/>
              <w:rPr>
                <w:b/>
              </w:rPr>
            </w:pPr>
          </w:p>
        </w:tc>
      </w:tr>
      <w:tr w:rsidR="00C15C65" w:rsidRPr="002029AF" w14:paraId="4C5522F6" w14:textId="77777777" w:rsidTr="005B58F0">
        <w:trPr>
          <w:gridAfter w:val="1"/>
          <w:wAfter w:w="8" w:type="dxa"/>
          <w:cantSplit/>
        </w:trPr>
        <w:tc>
          <w:tcPr>
            <w:tcW w:w="9631" w:type="dxa"/>
            <w:gridSpan w:val="10"/>
            <w:tcBorders>
              <w:bottom w:val="single" w:sz="4" w:space="0" w:color="BFBFBF"/>
            </w:tcBorders>
            <w:shd w:val="clear" w:color="auto" w:fill="auto"/>
            <w:noWrap/>
            <w:hideMark/>
          </w:tcPr>
          <w:p w14:paraId="3AF461B5" w14:textId="77DE6724" w:rsidR="00C15C65" w:rsidRPr="002029AF" w:rsidRDefault="00C15C65" w:rsidP="00D96AFD">
            <w:pPr>
              <w:pStyle w:val="ARtablenoteindent"/>
            </w:pPr>
            <w:r w:rsidRPr="002029AF">
              <w:t>The</w:t>
            </w:r>
            <w:r w:rsidR="000A5329" w:rsidRPr="002029AF">
              <w:t xml:space="preserve"> </w:t>
            </w:r>
            <w:r w:rsidRPr="002029AF">
              <w:t>201</w:t>
            </w:r>
            <w:r w:rsidR="00DB53E6" w:rsidRPr="002029AF">
              <w:t>9–</w:t>
            </w:r>
            <w:r w:rsidRPr="002029AF">
              <w:t>20</w:t>
            </w:r>
            <w:r w:rsidR="000A5329" w:rsidRPr="002029AF">
              <w:t xml:space="preserve"> </w:t>
            </w:r>
            <w:r w:rsidRPr="002029AF">
              <w:t>actual</w:t>
            </w:r>
            <w:r w:rsidR="000A5329" w:rsidRPr="002029AF">
              <w:t xml:space="preserve"> </w:t>
            </w:r>
            <w:r w:rsidRPr="002029AF">
              <w:t>outcome</w:t>
            </w:r>
            <w:r w:rsidR="000A5329" w:rsidRPr="002029AF">
              <w:t xml:space="preserve"> </w:t>
            </w:r>
            <w:r w:rsidRPr="002029AF">
              <w:t>primarily</w:t>
            </w:r>
            <w:r w:rsidR="000A5329" w:rsidRPr="002029AF">
              <w:t xml:space="preserve"> </w:t>
            </w:r>
            <w:r w:rsidRPr="002029AF">
              <w:t>reflects</w:t>
            </w:r>
            <w:r w:rsidR="000A5329" w:rsidRPr="002029AF">
              <w:t xml:space="preserve"> </w:t>
            </w:r>
            <w:r w:rsidRPr="002029AF">
              <w:t>increases</w:t>
            </w:r>
            <w:r w:rsidR="000A5329" w:rsidRPr="002029AF">
              <w:t xml:space="preserve"> </w:t>
            </w:r>
            <w:r w:rsidRPr="002029AF">
              <w:t>in</w:t>
            </w:r>
            <w:r w:rsidR="000A5329" w:rsidRPr="002029AF">
              <w:t xml:space="preserve"> </w:t>
            </w:r>
            <w:r w:rsidRPr="002029AF">
              <w:t>government</w:t>
            </w:r>
            <w:r w:rsidR="000A5329" w:rsidRPr="002029AF">
              <w:t xml:space="preserve"> </w:t>
            </w:r>
            <w:r w:rsidRPr="002029AF">
              <w:t>policy</w:t>
            </w:r>
            <w:r w:rsidR="000A5329" w:rsidRPr="002029AF">
              <w:t xml:space="preserve"> </w:t>
            </w:r>
            <w:r w:rsidRPr="002029AF">
              <w:t>initiatives</w:t>
            </w:r>
            <w:r w:rsidR="000A5329" w:rsidRPr="002029AF">
              <w:t xml:space="preserve"> </w:t>
            </w:r>
            <w:r w:rsidRPr="002029AF">
              <w:t>and</w:t>
            </w:r>
            <w:r w:rsidR="000A5329" w:rsidRPr="002029AF">
              <w:t xml:space="preserve"> </w:t>
            </w:r>
            <w:r w:rsidRPr="002029AF">
              <w:t>higher</w:t>
            </w:r>
            <w:r w:rsidR="000A5329" w:rsidRPr="002029AF">
              <w:t xml:space="preserve"> </w:t>
            </w:r>
            <w:r w:rsidRPr="002029AF">
              <w:t>than</w:t>
            </w:r>
            <w:r w:rsidR="000A5329" w:rsidRPr="002029AF">
              <w:t xml:space="preserve"> </w:t>
            </w:r>
            <w:r w:rsidRPr="002029AF">
              <w:t>estimated</w:t>
            </w:r>
            <w:r w:rsidR="000A5329" w:rsidRPr="002029AF">
              <w:t xml:space="preserve"> </w:t>
            </w:r>
            <w:r w:rsidRPr="002029AF">
              <w:t>Hospital</w:t>
            </w:r>
            <w:r w:rsidR="000A5329" w:rsidRPr="002029AF">
              <w:t xml:space="preserve"> </w:t>
            </w:r>
            <w:r w:rsidRPr="002029AF">
              <w:t>Own</w:t>
            </w:r>
            <w:r w:rsidR="000A5329" w:rsidRPr="002029AF">
              <w:t xml:space="preserve"> </w:t>
            </w:r>
            <w:r w:rsidRPr="002029AF">
              <w:t>Source</w:t>
            </w:r>
            <w:r w:rsidR="000A5329" w:rsidRPr="002029AF">
              <w:t xml:space="preserve"> </w:t>
            </w:r>
            <w:r w:rsidRPr="002029AF">
              <w:t>revenue</w:t>
            </w:r>
            <w:r w:rsidR="000A5329" w:rsidRPr="002029AF">
              <w:t xml:space="preserve"> </w:t>
            </w:r>
            <w:r w:rsidRPr="002029AF">
              <w:t>for</w:t>
            </w:r>
            <w:r w:rsidR="000A5329" w:rsidRPr="002029AF">
              <w:t xml:space="preserve"> </w:t>
            </w:r>
            <w:r w:rsidRPr="002029AF">
              <w:t>patient</w:t>
            </w:r>
            <w:r w:rsidR="000A5329" w:rsidRPr="002029AF">
              <w:t xml:space="preserve"> </w:t>
            </w:r>
            <w:r w:rsidRPr="002029AF">
              <w:t>fees.</w:t>
            </w:r>
          </w:p>
        </w:tc>
      </w:tr>
      <w:tr w:rsidR="00C15C65" w:rsidRPr="002029AF" w14:paraId="056242DE" w14:textId="77777777" w:rsidTr="007666A5">
        <w:trPr>
          <w:cantSplit/>
        </w:trPr>
        <w:tc>
          <w:tcPr>
            <w:tcW w:w="9639" w:type="dxa"/>
            <w:gridSpan w:val="11"/>
            <w:tcBorders>
              <w:top w:val="single" w:sz="4" w:space="0" w:color="auto"/>
              <w:left w:val="nil"/>
              <w:bottom w:val="single" w:sz="4" w:space="0" w:color="auto"/>
              <w:right w:val="nil"/>
            </w:tcBorders>
            <w:hideMark/>
          </w:tcPr>
          <w:p w14:paraId="792B18C5" w14:textId="3515E05A" w:rsidR="00C15C65" w:rsidRPr="002029AF" w:rsidRDefault="00C15C65" w:rsidP="00CA3123">
            <w:pPr>
              <w:pStyle w:val="ARtablesubhead"/>
              <w:keepNext/>
            </w:pPr>
            <w:r w:rsidRPr="002029AF">
              <w:t>Small</w:t>
            </w:r>
            <w:r w:rsidR="000A5329" w:rsidRPr="002029AF">
              <w:t xml:space="preserve"> </w:t>
            </w:r>
            <w:r w:rsidRPr="002029AF">
              <w:t>Rural</w:t>
            </w:r>
            <w:r w:rsidR="000A5329" w:rsidRPr="002029AF">
              <w:t xml:space="preserve"> </w:t>
            </w:r>
            <w:r w:rsidRPr="002029AF">
              <w:t>Services</w:t>
            </w:r>
            <w:r w:rsidR="000A5329" w:rsidRPr="002029AF">
              <w:t xml:space="preserve"> </w:t>
            </w:r>
            <w:r w:rsidRPr="002029AF">
              <w:t>–</w:t>
            </w:r>
            <w:r w:rsidR="000A5329" w:rsidRPr="002029AF">
              <w:t xml:space="preserve"> </w:t>
            </w:r>
            <w:r w:rsidRPr="002029AF">
              <w:t>Aged</w:t>
            </w:r>
            <w:r w:rsidR="000A5329" w:rsidRPr="002029AF">
              <w:t xml:space="preserve"> </w:t>
            </w:r>
            <w:r w:rsidRPr="002029AF">
              <w:t>Care</w:t>
            </w:r>
          </w:p>
        </w:tc>
      </w:tr>
      <w:tr w:rsidR="00C15C65" w:rsidRPr="002029AF" w14:paraId="51437DFC" w14:textId="77777777" w:rsidTr="007666A5">
        <w:trPr>
          <w:cantSplit/>
        </w:trPr>
        <w:tc>
          <w:tcPr>
            <w:tcW w:w="9639" w:type="dxa"/>
            <w:gridSpan w:val="11"/>
            <w:tcBorders>
              <w:top w:val="single" w:sz="4" w:space="0" w:color="auto"/>
              <w:left w:val="nil"/>
              <w:bottom w:val="nil"/>
              <w:right w:val="nil"/>
            </w:tcBorders>
            <w:hideMark/>
          </w:tcPr>
          <w:p w14:paraId="25ABF785" w14:textId="77777777" w:rsidR="00C15C65" w:rsidRPr="002029AF" w:rsidRDefault="00C15C65" w:rsidP="00D96AFD">
            <w:pPr>
              <w:pStyle w:val="ARtablegreybold"/>
            </w:pPr>
            <w:r w:rsidRPr="002029AF">
              <w:t>Quantity</w:t>
            </w:r>
          </w:p>
        </w:tc>
      </w:tr>
      <w:tr w:rsidR="00C15C65" w:rsidRPr="002029AF" w14:paraId="1AB9ABFF" w14:textId="77777777" w:rsidTr="005B58F0">
        <w:trPr>
          <w:gridAfter w:val="1"/>
          <w:wAfter w:w="8" w:type="dxa"/>
          <w:cantSplit/>
        </w:trPr>
        <w:tc>
          <w:tcPr>
            <w:tcW w:w="4753" w:type="dxa"/>
            <w:gridSpan w:val="2"/>
            <w:shd w:val="clear" w:color="auto" w:fill="auto"/>
            <w:hideMark/>
          </w:tcPr>
          <w:p w14:paraId="25451021" w14:textId="2377C46A" w:rsidR="00C15C65" w:rsidRPr="002029AF" w:rsidRDefault="00C15C65" w:rsidP="00C40F5D">
            <w:pPr>
              <w:pStyle w:val="ARtabletext"/>
            </w:pPr>
            <w:r w:rsidRPr="002029AF">
              <w:t>Small</w:t>
            </w:r>
            <w:r w:rsidR="000A5329" w:rsidRPr="002029AF">
              <w:t xml:space="preserve"> </w:t>
            </w:r>
            <w:r w:rsidRPr="002029AF">
              <w:t>rural</w:t>
            </w:r>
            <w:r w:rsidR="000A5329" w:rsidRPr="002029AF">
              <w:t xml:space="preserve"> </w:t>
            </w:r>
            <w:r w:rsidRPr="002029AF">
              <w:t>available</w:t>
            </w:r>
            <w:r w:rsidR="000A5329" w:rsidRPr="002029AF">
              <w:t xml:space="preserve"> </w:t>
            </w:r>
            <w:r w:rsidRPr="002029AF">
              <w:t>bed</w:t>
            </w:r>
            <w:r w:rsidR="000A5329" w:rsidRPr="002029AF">
              <w:t xml:space="preserve"> </w:t>
            </w:r>
            <w:r w:rsidRPr="002029AF">
              <w:t>days</w:t>
            </w:r>
          </w:p>
        </w:tc>
        <w:tc>
          <w:tcPr>
            <w:tcW w:w="1020" w:type="dxa"/>
            <w:gridSpan w:val="2"/>
            <w:shd w:val="clear" w:color="auto" w:fill="auto"/>
            <w:hideMark/>
          </w:tcPr>
          <w:p w14:paraId="658884D3" w14:textId="77777777" w:rsidR="00C15C65" w:rsidRPr="002029AF" w:rsidRDefault="00C15C65" w:rsidP="00C40F5D">
            <w:pPr>
              <w:pStyle w:val="ARtabletext"/>
            </w:pPr>
            <w:r w:rsidRPr="002029AF">
              <w:t>number</w:t>
            </w:r>
          </w:p>
        </w:tc>
        <w:tc>
          <w:tcPr>
            <w:tcW w:w="1020" w:type="dxa"/>
            <w:gridSpan w:val="2"/>
            <w:shd w:val="clear" w:color="auto" w:fill="auto"/>
            <w:hideMark/>
          </w:tcPr>
          <w:p w14:paraId="415C6D64" w14:textId="77777777" w:rsidR="00C15C65" w:rsidRPr="002029AF" w:rsidRDefault="00C15C65" w:rsidP="000024F3">
            <w:pPr>
              <w:pStyle w:val="ARtabletextright"/>
            </w:pPr>
            <w:r w:rsidRPr="002029AF">
              <w:t>701,143</w:t>
            </w:r>
          </w:p>
        </w:tc>
        <w:tc>
          <w:tcPr>
            <w:tcW w:w="1020" w:type="dxa"/>
            <w:gridSpan w:val="2"/>
            <w:shd w:val="clear" w:color="auto" w:fill="auto"/>
            <w:hideMark/>
          </w:tcPr>
          <w:p w14:paraId="11DD6DE6" w14:textId="77777777" w:rsidR="00C15C65" w:rsidRPr="002029AF" w:rsidRDefault="00C15C65" w:rsidP="000024F3">
            <w:pPr>
              <w:pStyle w:val="ARtabletextright"/>
            </w:pPr>
            <w:r w:rsidRPr="002029AF">
              <w:t>701,143</w:t>
            </w:r>
          </w:p>
        </w:tc>
        <w:tc>
          <w:tcPr>
            <w:tcW w:w="1022" w:type="dxa"/>
            <w:shd w:val="clear" w:color="auto" w:fill="auto"/>
          </w:tcPr>
          <w:p w14:paraId="76CDB87D" w14:textId="77777777" w:rsidR="00C15C65" w:rsidRPr="002029AF" w:rsidRDefault="00C15C65" w:rsidP="000024F3">
            <w:pPr>
              <w:pStyle w:val="ARtabletextright"/>
            </w:pPr>
            <w:r w:rsidRPr="002029AF">
              <w:t>0.0</w:t>
            </w:r>
          </w:p>
        </w:tc>
        <w:tc>
          <w:tcPr>
            <w:tcW w:w="796" w:type="dxa"/>
            <w:shd w:val="clear" w:color="auto" w:fill="auto"/>
            <w:hideMark/>
          </w:tcPr>
          <w:p w14:paraId="4D2B8C7E"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306F0268" w14:textId="77777777" w:rsidTr="007666A5">
        <w:trPr>
          <w:cantSplit/>
        </w:trPr>
        <w:tc>
          <w:tcPr>
            <w:tcW w:w="9639" w:type="dxa"/>
            <w:gridSpan w:val="11"/>
            <w:tcBorders>
              <w:top w:val="single" w:sz="4" w:space="0" w:color="auto"/>
              <w:left w:val="nil"/>
              <w:bottom w:val="nil"/>
              <w:right w:val="nil"/>
            </w:tcBorders>
            <w:hideMark/>
          </w:tcPr>
          <w:p w14:paraId="60081087" w14:textId="77777777" w:rsidR="00C15C65" w:rsidRPr="002029AF" w:rsidRDefault="00C15C65" w:rsidP="00D96AFD">
            <w:pPr>
              <w:pStyle w:val="ARtablegreybold"/>
            </w:pPr>
            <w:r w:rsidRPr="002029AF">
              <w:t>Quality</w:t>
            </w:r>
          </w:p>
        </w:tc>
      </w:tr>
      <w:tr w:rsidR="00C15C65" w:rsidRPr="002029AF" w14:paraId="34CAD5A6" w14:textId="77777777" w:rsidTr="0037374F">
        <w:trPr>
          <w:gridAfter w:val="1"/>
          <w:wAfter w:w="8" w:type="dxa"/>
          <w:cantSplit/>
        </w:trPr>
        <w:tc>
          <w:tcPr>
            <w:tcW w:w="4753" w:type="dxa"/>
            <w:gridSpan w:val="2"/>
            <w:tcBorders>
              <w:bottom w:val="single" w:sz="4" w:space="0" w:color="auto"/>
            </w:tcBorders>
            <w:shd w:val="clear" w:color="auto" w:fill="auto"/>
            <w:hideMark/>
          </w:tcPr>
          <w:p w14:paraId="2DBC10D2" w14:textId="62EBEB7B" w:rsidR="00C15C65" w:rsidRPr="002029AF" w:rsidRDefault="00C15C65" w:rsidP="00C40F5D">
            <w:pPr>
              <w:pStyle w:val="ARtabletext"/>
            </w:pPr>
            <w:r w:rsidRPr="002029AF">
              <w:t>Residential</w:t>
            </w:r>
            <w:r w:rsidR="000A5329" w:rsidRPr="002029AF">
              <w:t xml:space="preserve"> </w:t>
            </w:r>
            <w:r w:rsidRPr="002029AF">
              <w:t>care</w:t>
            </w:r>
            <w:r w:rsidR="000A5329" w:rsidRPr="002029AF">
              <w:t xml:space="preserve"> </w:t>
            </w:r>
            <w:r w:rsidRPr="002029AF">
              <w:t>services</w:t>
            </w:r>
            <w:r w:rsidR="000A5329" w:rsidRPr="002029AF">
              <w:t xml:space="preserve"> </w:t>
            </w:r>
            <w:r w:rsidRPr="002029AF">
              <w:t>accredited</w:t>
            </w:r>
          </w:p>
        </w:tc>
        <w:tc>
          <w:tcPr>
            <w:tcW w:w="1020" w:type="dxa"/>
            <w:gridSpan w:val="2"/>
            <w:tcBorders>
              <w:bottom w:val="single" w:sz="4" w:space="0" w:color="auto"/>
            </w:tcBorders>
            <w:shd w:val="clear" w:color="auto" w:fill="auto"/>
            <w:hideMark/>
          </w:tcPr>
          <w:p w14:paraId="22DE153E" w14:textId="4B2CE035" w:rsidR="00C15C65" w:rsidRPr="002029AF" w:rsidRDefault="00C15C65" w:rsidP="00C40F5D">
            <w:pPr>
              <w:pStyle w:val="ARtabletext"/>
            </w:pPr>
            <w:r w:rsidRPr="002029AF">
              <w:t>per</w:t>
            </w:r>
            <w:r w:rsidR="000A5329" w:rsidRPr="002029AF">
              <w:t xml:space="preserve"> </w:t>
            </w:r>
            <w:r w:rsidRPr="002029AF">
              <w:t>cent</w:t>
            </w:r>
          </w:p>
        </w:tc>
        <w:tc>
          <w:tcPr>
            <w:tcW w:w="1020" w:type="dxa"/>
            <w:gridSpan w:val="2"/>
            <w:tcBorders>
              <w:bottom w:val="single" w:sz="4" w:space="0" w:color="auto"/>
            </w:tcBorders>
            <w:shd w:val="clear" w:color="auto" w:fill="auto"/>
            <w:hideMark/>
          </w:tcPr>
          <w:p w14:paraId="3CE1B3E8" w14:textId="77777777" w:rsidR="00C15C65" w:rsidRPr="002029AF" w:rsidRDefault="00C15C65" w:rsidP="000024F3">
            <w:pPr>
              <w:pStyle w:val="ARtabletextright"/>
            </w:pPr>
            <w:r w:rsidRPr="002029AF">
              <w:t>100</w:t>
            </w:r>
          </w:p>
        </w:tc>
        <w:tc>
          <w:tcPr>
            <w:tcW w:w="1020" w:type="dxa"/>
            <w:gridSpan w:val="2"/>
            <w:tcBorders>
              <w:bottom w:val="single" w:sz="4" w:space="0" w:color="auto"/>
            </w:tcBorders>
            <w:shd w:val="clear" w:color="auto" w:fill="auto"/>
            <w:hideMark/>
          </w:tcPr>
          <w:p w14:paraId="39BF9097" w14:textId="77777777" w:rsidR="00C15C65" w:rsidRPr="002029AF" w:rsidRDefault="00C15C65" w:rsidP="000024F3">
            <w:pPr>
              <w:pStyle w:val="ARtabletextright"/>
            </w:pPr>
            <w:r w:rsidRPr="002029AF">
              <w:t>100</w:t>
            </w:r>
          </w:p>
        </w:tc>
        <w:tc>
          <w:tcPr>
            <w:tcW w:w="1022" w:type="dxa"/>
            <w:tcBorders>
              <w:bottom w:val="single" w:sz="4" w:space="0" w:color="auto"/>
            </w:tcBorders>
            <w:shd w:val="clear" w:color="auto" w:fill="auto"/>
          </w:tcPr>
          <w:p w14:paraId="051ACB5F" w14:textId="77777777" w:rsidR="00C15C65" w:rsidRPr="002029AF" w:rsidRDefault="00C15C65" w:rsidP="000024F3">
            <w:pPr>
              <w:pStyle w:val="ARtabletextright"/>
            </w:pPr>
            <w:r w:rsidRPr="002029AF">
              <w:t>0.0</w:t>
            </w:r>
          </w:p>
        </w:tc>
        <w:tc>
          <w:tcPr>
            <w:tcW w:w="796" w:type="dxa"/>
            <w:tcBorders>
              <w:bottom w:val="single" w:sz="4" w:space="0" w:color="auto"/>
            </w:tcBorders>
            <w:shd w:val="clear" w:color="auto" w:fill="auto"/>
            <w:hideMark/>
          </w:tcPr>
          <w:p w14:paraId="6FF8BF2B"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2DAEBA15" w14:textId="77777777" w:rsidTr="007666A5">
        <w:trPr>
          <w:cantSplit/>
        </w:trPr>
        <w:tc>
          <w:tcPr>
            <w:tcW w:w="9639" w:type="dxa"/>
            <w:gridSpan w:val="11"/>
            <w:tcBorders>
              <w:top w:val="single" w:sz="4" w:space="0" w:color="auto"/>
              <w:left w:val="nil"/>
              <w:bottom w:val="nil"/>
              <w:right w:val="nil"/>
            </w:tcBorders>
            <w:hideMark/>
          </w:tcPr>
          <w:p w14:paraId="6473130D" w14:textId="77777777" w:rsidR="00C15C65" w:rsidRPr="002029AF" w:rsidRDefault="00C15C65" w:rsidP="006D5287">
            <w:pPr>
              <w:pStyle w:val="ARtablegreybold"/>
              <w:keepNext/>
            </w:pPr>
            <w:r w:rsidRPr="002029AF">
              <w:lastRenderedPageBreak/>
              <w:t>Cost</w:t>
            </w:r>
          </w:p>
        </w:tc>
      </w:tr>
      <w:tr w:rsidR="00C15C65" w:rsidRPr="002029AF" w14:paraId="604E6CBB" w14:textId="77777777" w:rsidTr="005B58F0">
        <w:trPr>
          <w:cantSplit/>
        </w:trPr>
        <w:tc>
          <w:tcPr>
            <w:tcW w:w="4741" w:type="dxa"/>
            <w:hideMark/>
          </w:tcPr>
          <w:p w14:paraId="232581BC" w14:textId="2A6DC482" w:rsidR="00C15C65" w:rsidRPr="002029AF" w:rsidRDefault="00C15C65" w:rsidP="006D5287">
            <w:pPr>
              <w:pStyle w:val="ARtabletext"/>
              <w:keepNext/>
              <w:rPr>
                <w:b/>
              </w:rPr>
            </w:pPr>
            <w:r w:rsidRPr="002029AF">
              <w:rPr>
                <w:b/>
              </w:rPr>
              <w:t>Total</w:t>
            </w:r>
            <w:r w:rsidR="000A5329" w:rsidRPr="002029AF">
              <w:rPr>
                <w:b/>
              </w:rPr>
              <w:t xml:space="preserve"> </w:t>
            </w:r>
            <w:r w:rsidRPr="002029AF">
              <w:rPr>
                <w:b/>
              </w:rPr>
              <w:t>output</w:t>
            </w:r>
            <w:r w:rsidR="000A5329" w:rsidRPr="002029AF">
              <w:rPr>
                <w:b/>
              </w:rPr>
              <w:t xml:space="preserve"> </w:t>
            </w:r>
            <w:r w:rsidRPr="002029AF">
              <w:rPr>
                <w:b/>
              </w:rPr>
              <w:t>cost</w:t>
            </w:r>
          </w:p>
        </w:tc>
        <w:tc>
          <w:tcPr>
            <w:tcW w:w="1019" w:type="dxa"/>
            <w:gridSpan w:val="2"/>
            <w:hideMark/>
          </w:tcPr>
          <w:p w14:paraId="70EED56C" w14:textId="56CDF42D" w:rsidR="00C15C65" w:rsidRPr="002029AF" w:rsidRDefault="00C15C65" w:rsidP="00C40F5D">
            <w:pPr>
              <w:pStyle w:val="ARtabletext"/>
              <w:rPr>
                <w:b/>
              </w:rPr>
            </w:pPr>
            <w:r w:rsidRPr="002029AF">
              <w:rPr>
                <w:b/>
              </w:rPr>
              <w:t>$</w:t>
            </w:r>
            <w:r w:rsidR="000A5329" w:rsidRPr="002029AF">
              <w:rPr>
                <w:b/>
              </w:rPr>
              <w:t xml:space="preserve"> </w:t>
            </w:r>
            <w:r w:rsidRPr="002029AF">
              <w:rPr>
                <w:b/>
              </w:rPr>
              <w:t>million</w:t>
            </w:r>
          </w:p>
        </w:tc>
        <w:tc>
          <w:tcPr>
            <w:tcW w:w="1018" w:type="dxa"/>
            <w:gridSpan w:val="2"/>
          </w:tcPr>
          <w:p w14:paraId="157E7F0E" w14:textId="77777777" w:rsidR="00C15C65" w:rsidRPr="002029AF" w:rsidRDefault="00C15C65" w:rsidP="00C9755D">
            <w:pPr>
              <w:pStyle w:val="ARtabletextrightbold"/>
            </w:pPr>
            <w:r w:rsidRPr="002029AF">
              <w:t>212.8</w:t>
            </w:r>
          </w:p>
        </w:tc>
        <w:tc>
          <w:tcPr>
            <w:tcW w:w="1022" w:type="dxa"/>
            <w:gridSpan w:val="2"/>
          </w:tcPr>
          <w:p w14:paraId="30DD0870" w14:textId="77777777" w:rsidR="00C15C65" w:rsidRPr="002029AF" w:rsidRDefault="00C15C65" w:rsidP="00C9755D">
            <w:pPr>
              <w:pStyle w:val="ARtabletextrightbold"/>
            </w:pPr>
            <w:r w:rsidRPr="002029AF">
              <w:t>198.9</w:t>
            </w:r>
          </w:p>
        </w:tc>
        <w:tc>
          <w:tcPr>
            <w:tcW w:w="1035" w:type="dxa"/>
            <w:gridSpan w:val="2"/>
          </w:tcPr>
          <w:p w14:paraId="2A998E0D" w14:textId="77777777" w:rsidR="00C15C65" w:rsidRPr="002029AF" w:rsidRDefault="00C15C65" w:rsidP="00C9755D">
            <w:pPr>
              <w:pStyle w:val="ARtabletextrightbold"/>
            </w:pPr>
            <w:r w:rsidRPr="002029AF">
              <w:t>-6.5</w:t>
            </w:r>
          </w:p>
        </w:tc>
        <w:tc>
          <w:tcPr>
            <w:tcW w:w="804" w:type="dxa"/>
            <w:gridSpan w:val="2"/>
          </w:tcPr>
          <w:p w14:paraId="5FEB48A3" w14:textId="77777777" w:rsidR="00C15C65" w:rsidRPr="002029AF" w:rsidRDefault="00C15C65" w:rsidP="00C40F5D">
            <w:pPr>
              <w:pStyle w:val="ARtabletext"/>
              <w:rPr>
                <w:b/>
              </w:rPr>
            </w:pPr>
          </w:p>
        </w:tc>
      </w:tr>
      <w:tr w:rsidR="00C15C65" w:rsidRPr="002029AF" w14:paraId="22524242" w14:textId="77777777" w:rsidTr="005B58F0">
        <w:trPr>
          <w:gridAfter w:val="1"/>
          <w:wAfter w:w="8" w:type="dxa"/>
          <w:cantSplit/>
        </w:trPr>
        <w:tc>
          <w:tcPr>
            <w:tcW w:w="9631" w:type="dxa"/>
            <w:gridSpan w:val="10"/>
            <w:tcBorders>
              <w:bottom w:val="single" w:sz="4" w:space="0" w:color="BFBFBF"/>
            </w:tcBorders>
            <w:shd w:val="clear" w:color="auto" w:fill="auto"/>
            <w:noWrap/>
            <w:hideMark/>
          </w:tcPr>
          <w:p w14:paraId="3BAE21C4" w14:textId="7E33E2FA" w:rsidR="00C15C65" w:rsidRPr="002029AF" w:rsidRDefault="00C15C65" w:rsidP="00D96AFD">
            <w:pPr>
              <w:pStyle w:val="ARtablenoteindent"/>
            </w:pPr>
            <w:r w:rsidRPr="002029AF">
              <w:t>The</w:t>
            </w:r>
            <w:r w:rsidR="000A5329" w:rsidRPr="002029AF">
              <w:t xml:space="preserve"> </w:t>
            </w:r>
            <w:r w:rsidRPr="002029AF">
              <w:t>201</w:t>
            </w:r>
            <w:r w:rsidR="00DB53E6" w:rsidRPr="002029AF">
              <w:t>9–</w:t>
            </w:r>
            <w:r w:rsidRPr="002029AF">
              <w:t>20</w:t>
            </w:r>
            <w:r w:rsidR="000A5329" w:rsidRPr="002029AF">
              <w:t xml:space="preserve"> </w:t>
            </w:r>
            <w:r w:rsidRPr="002029AF">
              <w:t>actual</w:t>
            </w:r>
            <w:r w:rsidR="000A5329" w:rsidRPr="002029AF">
              <w:t xml:space="preserve"> </w:t>
            </w:r>
            <w:r w:rsidRPr="002029AF">
              <w:t>outcome</w:t>
            </w:r>
            <w:r w:rsidR="000A5329" w:rsidRPr="002029AF">
              <w:t xml:space="preserve"> </w:t>
            </w:r>
            <w:r w:rsidRPr="002029AF">
              <w:t>primarily</w:t>
            </w:r>
            <w:r w:rsidR="000A5329" w:rsidRPr="002029AF">
              <w:t xml:space="preserve"> </w:t>
            </w:r>
            <w:r w:rsidRPr="002029AF">
              <w:t>reflects</w:t>
            </w:r>
            <w:r w:rsidR="000A5329" w:rsidRPr="002029AF">
              <w:t xml:space="preserve"> </w:t>
            </w:r>
            <w:r w:rsidRPr="002029AF">
              <w:t>lower</w:t>
            </w:r>
            <w:r w:rsidR="000A5329" w:rsidRPr="002029AF">
              <w:t xml:space="preserve"> </w:t>
            </w:r>
            <w:r w:rsidRPr="002029AF">
              <w:t>than</w:t>
            </w:r>
            <w:r w:rsidR="000A5329" w:rsidRPr="002029AF">
              <w:t xml:space="preserve"> </w:t>
            </w:r>
            <w:r w:rsidRPr="002029AF">
              <w:t>estimated</w:t>
            </w:r>
            <w:r w:rsidR="000A5329" w:rsidRPr="002029AF">
              <w:t xml:space="preserve"> </w:t>
            </w:r>
            <w:r w:rsidRPr="002029AF">
              <w:t>Hospital</w:t>
            </w:r>
            <w:r w:rsidR="000A5329" w:rsidRPr="002029AF">
              <w:t xml:space="preserve"> </w:t>
            </w:r>
            <w:r w:rsidRPr="002029AF">
              <w:t>Own</w:t>
            </w:r>
            <w:r w:rsidR="000A5329" w:rsidRPr="002029AF">
              <w:t xml:space="preserve"> </w:t>
            </w:r>
            <w:r w:rsidRPr="002029AF">
              <w:t>Source</w:t>
            </w:r>
            <w:r w:rsidR="000A5329" w:rsidRPr="002029AF">
              <w:t xml:space="preserve"> </w:t>
            </w:r>
            <w:r w:rsidRPr="002029AF">
              <w:t>revenue</w:t>
            </w:r>
            <w:r w:rsidR="000A5329" w:rsidRPr="002029AF">
              <w:t xml:space="preserve"> </w:t>
            </w:r>
            <w:r w:rsidRPr="002029AF">
              <w:t>for</w:t>
            </w:r>
            <w:r w:rsidR="000A5329" w:rsidRPr="002029AF">
              <w:t xml:space="preserve"> </w:t>
            </w:r>
            <w:r w:rsidRPr="002029AF">
              <w:t>nursing</w:t>
            </w:r>
            <w:r w:rsidR="000A5329" w:rsidRPr="002029AF">
              <w:t xml:space="preserve"> </w:t>
            </w:r>
            <w:r w:rsidRPr="002029AF">
              <w:t>home</w:t>
            </w:r>
            <w:r w:rsidR="000A5329" w:rsidRPr="002029AF">
              <w:t xml:space="preserve"> </w:t>
            </w:r>
            <w:r w:rsidRPr="002029AF">
              <w:t>and</w:t>
            </w:r>
            <w:r w:rsidR="000A5329" w:rsidRPr="002029AF">
              <w:t xml:space="preserve"> </w:t>
            </w:r>
            <w:r w:rsidRPr="002029AF">
              <w:t>hostel</w:t>
            </w:r>
            <w:r w:rsidR="000A5329" w:rsidRPr="002029AF">
              <w:t xml:space="preserve"> </w:t>
            </w:r>
            <w:r w:rsidRPr="002029AF">
              <w:t>residents.</w:t>
            </w:r>
          </w:p>
        </w:tc>
      </w:tr>
      <w:tr w:rsidR="007666A5" w:rsidRPr="002029AF" w14:paraId="1CD71BC7" w14:textId="77777777" w:rsidTr="0014376C">
        <w:trPr>
          <w:cantSplit/>
        </w:trPr>
        <w:tc>
          <w:tcPr>
            <w:tcW w:w="9639" w:type="dxa"/>
            <w:gridSpan w:val="11"/>
            <w:tcBorders>
              <w:top w:val="single" w:sz="4" w:space="0" w:color="auto"/>
              <w:left w:val="nil"/>
              <w:bottom w:val="single" w:sz="4" w:space="0" w:color="auto"/>
              <w:right w:val="nil"/>
            </w:tcBorders>
            <w:hideMark/>
          </w:tcPr>
          <w:p w14:paraId="07B09880" w14:textId="4044CEDA" w:rsidR="007666A5" w:rsidRPr="002029AF" w:rsidRDefault="007666A5" w:rsidP="00AB0C69">
            <w:pPr>
              <w:pStyle w:val="ARtablesubhead"/>
            </w:pPr>
            <w:r w:rsidRPr="002029AF">
              <w:t>Small</w:t>
            </w:r>
            <w:r w:rsidR="000A5329" w:rsidRPr="002029AF">
              <w:t xml:space="preserve"> </w:t>
            </w:r>
            <w:r w:rsidRPr="002029AF">
              <w:t>Rural</w:t>
            </w:r>
            <w:r w:rsidR="000A5329" w:rsidRPr="002029AF">
              <w:t xml:space="preserve"> </w:t>
            </w:r>
            <w:r w:rsidRPr="002029AF">
              <w:t>Services</w:t>
            </w:r>
            <w:r w:rsidR="000A5329" w:rsidRPr="002029AF">
              <w:t xml:space="preserve"> </w:t>
            </w:r>
            <w:r w:rsidRPr="002029AF">
              <w:t>–</w:t>
            </w:r>
            <w:r w:rsidR="000A5329" w:rsidRPr="002029AF">
              <w:t xml:space="preserve"> </w:t>
            </w:r>
            <w:r w:rsidRPr="002029AF">
              <w:t>Home</w:t>
            </w:r>
            <w:r w:rsidR="000A5329" w:rsidRPr="002029AF">
              <w:t xml:space="preserve"> </w:t>
            </w:r>
            <w:r w:rsidRPr="002029AF">
              <w:t>and</w:t>
            </w:r>
            <w:r w:rsidR="000A5329" w:rsidRPr="002029AF">
              <w:t xml:space="preserve"> </w:t>
            </w:r>
            <w:r w:rsidRPr="002029AF">
              <w:t>Community</w:t>
            </w:r>
            <w:r w:rsidR="000A5329" w:rsidRPr="002029AF">
              <w:t xml:space="preserve"> </w:t>
            </w:r>
            <w:r w:rsidRPr="002029AF">
              <w:t>Care</w:t>
            </w:r>
            <w:r w:rsidR="000A5329" w:rsidRPr="002029AF">
              <w:t xml:space="preserve"> </w:t>
            </w:r>
            <w:r w:rsidRPr="002029AF">
              <w:t>Services</w:t>
            </w:r>
          </w:p>
        </w:tc>
      </w:tr>
      <w:tr w:rsidR="00C15C65" w:rsidRPr="002029AF" w14:paraId="63057189" w14:textId="77777777" w:rsidTr="007666A5">
        <w:trPr>
          <w:cantSplit/>
        </w:trPr>
        <w:tc>
          <w:tcPr>
            <w:tcW w:w="9639" w:type="dxa"/>
            <w:gridSpan w:val="11"/>
            <w:tcBorders>
              <w:top w:val="single" w:sz="4" w:space="0" w:color="auto"/>
              <w:left w:val="nil"/>
              <w:bottom w:val="nil"/>
              <w:right w:val="nil"/>
            </w:tcBorders>
            <w:hideMark/>
          </w:tcPr>
          <w:p w14:paraId="03515A64" w14:textId="77777777" w:rsidR="00C15C65" w:rsidRPr="002029AF" w:rsidRDefault="00C15C65" w:rsidP="00D96AFD">
            <w:pPr>
              <w:pStyle w:val="ARtablegreybold"/>
            </w:pPr>
            <w:r w:rsidRPr="002029AF">
              <w:t>Quantity</w:t>
            </w:r>
          </w:p>
        </w:tc>
      </w:tr>
      <w:tr w:rsidR="00C15C65" w:rsidRPr="002029AF" w14:paraId="19C541C3" w14:textId="77777777" w:rsidTr="005B58F0">
        <w:trPr>
          <w:gridAfter w:val="1"/>
          <w:wAfter w:w="8" w:type="dxa"/>
          <w:cantSplit/>
        </w:trPr>
        <w:tc>
          <w:tcPr>
            <w:tcW w:w="4753" w:type="dxa"/>
            <w:gridSpan w:val="2"/>
            <w:shd w:val="clear" w:color="auto" w:fill="auto"/>
            <w:hideMark/>
          </w:tcPr>
          <w:p w14:paraId="62E1925A" w14:textId="39259185" w:rsidR="00C15C65" w:rsidRPr="002029AF" w:rsidRDefault="00C15C65" w:rsidP="00C40F5D">
            <w:pPr>
              <w:pStyle w:val="ARtabletext"/>
            </w:pPr>
            <w:r w:rsidRPr="002029AF">
              <w:t>Home</w:t>
            </w:r>
            <w:r w:rsidR="000A5329" w:rsidRPr="002029AF">
              <w:t xml:space="preserve"> </w:t>
            </w:r>
            <w:r w:rsidRPr="002029AF">
              <w:t>&amp;</w:t>
            </w:r>
            <w:r w:rsidR="000A5329" w:rsidRPr="002029AF">
              <w:t xml:space="preserve"> </w:t>
            </w:r>
            <w:r w:rsidRPr="002029AF">
              <w:t>Community</w:t>
            </w:r>
            <w:r w:rsidR="000A5329" w:rsidRPr="002029AF">
              <w:t xml:space="preserve"> </w:t>
            </w:r>
            <w:r w:rsidRPr="002029AF">
              <w:t>Care</w:t>
            </w:r>
            <w:r w:rsidR="000A5329" w:rsidRPr="002029AF">
              <w:t xml:space="preserve"> </w:t>
            </w:r>
            <w:r w:rsidRPr="002029AF">
              <w:t>for</w:t>
            </w:r>
            <w:r w:rsidR="000A5329" w:rsidRPr="002029AF">
              <w:t xml:space="preserve"> </w:t>
            </w:r>
            <w:r w:rsidRPr="002029AF">
              <w:t>Younger</w:t>
            </w:r>
            <w:r w:rsidR="000A5329" w:rsidRPr="002029AF">
              <w:t xml:space="preserve"> </w:t>
            </w:r>
            <w:r w:rsidRPr="002029AF">
              <w:t>People</w:t>
            </w:r>
            <w:r w:rsidR="000A5329" w:rsidRPr="002029AF">
              <w:t xml:space="preserve"> </w:t>
            </w:r>
            <w:r w:rsidRPr="002029AF">
              <w:t>–</w:t>
            </w:r>
            <w:r w:rsidR="000A5329" w:rsidRPr="002029AF">
              <w:t xml:space="preserve"> </w:t>
            </w:r>
            <w:r w:rsidRPr="002029AF">
              <w:t>hours</w:t>
            </w:r>
            <w:r w:rsidR="000A5329" w:rsidRPr="002029AF">
              <w:t xml:space="preserve"> </w:t>
            </w:r>
            <w:r w:rsidRPr="002029AF">
              <w:t>of</w:t>
            </w:r>
            <w:r w:rsidR="000A5329" w:rsidRPr="002029AF">
              <w:t xml:space="preserve"> </w:t>
            </w:r>
            <w:r w:rsidRPr="002029AF">
              <w:t>service</w:t>
            </w:r>
            <w:r w:rsidR="000A5329" w:rsidRPr="002029AF">
              <w:t xml:space="preserve"> </w:t>
            </w:r>
            <w:r w:rsidRPr="002029AF">
              <w:t>delivery</w:t>
            </w:r>
          </w:p>
        </w:tc>
        <w:tc>
          <w:tcPr>
            <w:tcW w:w="1020" w:type="dxa"/>
            <w:gridSpan w:val="2"/>
            <w:shd w:val="clear" w:color="auto" w:fill="auto"/>
            <w:hideMark/>
          </w:tcPr>
          <w:p w14:paraId="02B861AA" w14:textId="77777777" w:rsidR="00C15C65" w:rsidRPr="002029AF" w:rsidRDefault="00C15C65" w:rsidP="00C40F5D">
            <w:pPr>
              <w:pStyle w:val="ARtabletext"/>
            </w:pPr>
            <w:r w:rsidRPr="002029AF">
              <w:t>hours</w:t>
            </w:r>
          </w:p>
        </w:tc>
        <w:tc>
          <w:tcPr>
            <w:tcW w:w="1020" w:type="dxa"/>
            <w:gridSpan w:val="2"/>
            <w:shd w:val="clear" w:color="auto" w:fill="auto"/>
            <w:hideMark/>
          </w:tcPr>
          <w:p w14:paraId="76875780" w14:textId="77777777" w:rsidR="00C15C65" w:rsidRPr="002029AF" w:rsidRDefault="00C15C65" w:rsidP="000024F3">
            <w:pPr>
              <w:pStyle w:val="ARtabletextright"/>
            </w:pPr>
            <w:r w:rsidRPr="002029AF">
              <w:t>86,000</w:t>
            </w:r>
          </w:p>
        </w:tc>
        <w:tc>
          <w:tcPr>
            <w:tcW w:w="1020" w:type="dxa"/>
            <w:gridSpan w:val="2"/>
            <w:shd w:val="clear" w:color="auto" w:fill="auto"/>
            <w:hideMark/>
          </w:tcPr>
          <w:p w14:paraId="4134B1CE" w14:textId="77777777" w:rsidR="00C15C65" w:rsidRPr="002029AF" w:rsidRDefault="00C15C65" w:rsidP="000024F3">
            <w:pPr>
              <w:pStyle w:val="ARtabletextright"/>
            </w:pPr>
            <w:r w:rsidRPr="002029AF">
              <w:t>59,674</w:t>
            </w:r>
          </w:p>
        </w:tc>
        <w:tc>
          <w:tcPr>
            <w:tcW w:w="1022" w:type="dxa"/>
            <w:shd w:val="clear" w:color="auto" w:fill="auto"/>
          </w:tcPr>
          <w:p w14:paraId="1D95F066" w14:textId="77777777" w:rsidR="00C15C65" w:rsidRPr="002029AF" w:rsidRDefault="00C15C65" w:rsidP="000024F3">
            <w:pPr>
              <w:pStyle w:val="ARtabletextright"/>
            </w:pPr>
            <w:r w:rsidRPr="002029AF">
              <w:t>-30.6</w:t>
            </w:r>
          </w:p>
        </w:tc>
        <w:tc>
          <w:tcPr>
            <w:tcW w:w="796" w:type="dxa"/>
            <w:shd w:val="clear" w:color="auto" w:fill="auto"/>
            <w:hideMark/>
          </w:tcPr>
          <w:p w14:paraId="1C343440"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0DC89F25" w14:textId="77777777" w:rsidTr="005B58F0">
        <w:trPr>
          <w:gridAfter w:val="1"/>
          <w:wAfter w:w="8" w:type="dxa"/>
          <w:cantSplit/>
        </w:trPr>
        <w:tc>
          <w:tcPr>
            <w:tcW w:w="9631" w:type="dxa"/>
            <w:gridSpan w:val="10"/>
            <w:tcBorders>
              <w:bottom w:val="single" w:sz="4" w:space="0" w:color="BFBFBF"/>
            </w:tcBorders>
            <w:shd w:val="clear" w:color="auto" w:fill="auto"/>
            <w:noWrap/>
            <w:hideMark/>
          </w:tcPr>
          <w:p w14:paraId="3F788665" w14:textId="3F9B6616" w:rsidR="00C15C65" w:rsidRPr="002029AF" w:rsidRDefault="00C15C65" w:rsidP="00397FEB">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by</w:t>
            </w:r>
            <w:r w:rsidR="000A5329" w:rsidRPr="002029AF">
              <w:t xml:space="preserve"> </w:t>
            </w:r>
            <w:r w:rsidRPr="002029AF">
              <w:t>late</w:t>
            </w:r>
            <w:r w:rsidR="000A5329" w:rsidRPr="002029AF">
              <w:t xml:space="preserve"> </w:t>
            </w:r>
            <w:r w:rsidRPr="002029AF">
              <w:t>2020.</w:t>
            </w:r>
            <w:r w:rsidR="000A5329" w:rsidRPr="002029AF">
              <w:t xml:space="preserve"> </w:t>
            </w:r>
            <w:r w:rsidR="00975E07" w:rsidRPr="00975E07">
              <w:t>The result deviates from the target primarily due to agencies being unable to report services in the client database that were redirected to respond to client needs during coronavirus (COVID-19).</w:t>
            </w:r>
            <w:r w:rsidR="00020FE5">
              <w:t xml:space="preserve"> </w:t>
            </w:r>
            <w:r w:rsidR="00975E07" w:rsidRPr="00975E07">
              <w:t>Performance has also been impacted by NDIS transition in eight departmental areas and bushfires. The department will continue to monitor the impacts of coronavirus (COVID-19) on services available to this group</w:t>
            </w:r>
            <w:r w:rsidR="00397FEB">
              <w:t>.</w:t>
            </w:r>
          </w:p>
        </w:tc>
      </w:tr>
      <w:tr w:rsidR="00C15C65" w:rsidRPr="002029AF" w14:paraId="37F1FA46" w14:textId="77777777" w:rsidTr="007666A5">
        <w:trPr>
          <w:cantSplit/>
        </w:trPr>
        <w:tc>
          <w:tcPr>
            <w:tcW w:w="9639" w:type="dxa"/>
            <w:gridSpan w:val="11"/>
            <w:tcBorders>
              <w:top w:val="single" w:sz="4" w:space="0" w:color="auto"/>
              <w:left w:val="nil"/>
              <w:bottom w:val="nil"/>
              <w:right w:val="nil"/>
            </w:tcBorders>
            <w:hideMark/>
          </w:tcPr>
          <w:p w14:paraId="648E08BC" w14:textId="77777777" w:rsidR="00C15C65" w:rsidRPr="002029AF" w:rsidRDefault="00C15C65" w:rsidP="007666A5">
            <w:pPr>
              <w:pStyle w:val="ARtablegreybold"/>
            </w:pPr>
            <w:r w:rsidRPr="002029AF">
              <w:t>Cost</w:t>
            </w:r>
          </w:p>
        </w:tc>
      </w:tr>
      <w:tr w:rsidR="00C15C65" w:rsidRPr="002029AF" w14:paraId="0424CD21" w14:textId="77777777" w:rsidTr="005B58F0">
        <w:trPr>
          <w:cantSplit/>
        </w:trPr>
        <w:tc>
          <w:tcPr>
            <w:tcW w:w="4741" w:type="dxa"/>
            <w:hideMark/>
          </w:tcPr>
          <w:p w14:paraId="591B316F" w14:textId="24B9ED0A" w:rsidR="00C15C65" w:rsidRPr="002029AF" w:rsidRDefault="00C15C65" w:rsidP="00C40F5D">
            <w:pPr>
              <w:pStyle w:val="ARtabletext"/>
              <w:rPr>
                <w:b/>
              </w:rPr>
            </w:pPr>
            <w:r w:rsidRPr="002029AF">
              <w:rPr>
                <w:b/>
              </w:rPr>
              <w:t>Total</w:t>
            </w:r>
            <w:r w:rsidR="000A5329" w:rsidRPr="002029AF">
              <w:rPr>
                <w:b/>
              </w:rPr>
              <w:t xml:space="preserve"> </w:t>
            </w:r>
            <w:r w:rsidRPr="002029AF">
              <w:rPr>
                <w:b/>
              </w:rPr>
              <w:t>output</w:t>
            </w:r>
            <w:r w:rsidR="000A5329" w:rsidRPr="002029AF">
              <w:rPr>
                <w:b/>
              </w:rPr>
              <w:t xml:space="preserve"> </w:t>
            </w:r>
            <w:r w:rsidRPr="002029AF">
              <w:rPr>
                <w:b/>
              </w:rPr>
              <w:t>cost</w:t>
            </w:r>
          </w:p>
        </w:tc>
        <w:tc>
          <w:tcPr>
            <w:tcW w:w="1019" w:type="dxa"/>
            <w:gridSpan w:val="2"/>
            <w:hideMark/>
          </w:tcPr>
          <w:p w14:paraId="03445FA5" w14:textId="79A849DB" w:rsidR="00C15C65" w:rsidRPr="002029AF" w:rsidRDefault="00C15C65" w:rsidP="00C40F5D">
            <w:pPr>
              <w:pStyle w:val="ARtabletext"/>
              <w:rPr>
                <w:b/>
              </w:rPr>
            </w:pPr>
            <w:r w:rsidRPr="002029AF">
              <w:rPr>
                <w:b/>
              </w:rPr>
              <w:t>$</w:t>
            </w:r>
            <w:r w:rsidR="000A5329" w:rsidRPr="002029AF">
              <w:rPr>
                <w:b/>
              </w:rPr>
              <w:t xml:space="preserve"> </w:t>
            </w:r>
            <w:r w:rsidRPr="002029AF">
              <w:rPr>
                <w:b/>
              </w:rPr>
              <w:t>million</w:t>
            </w:r>
          </w:p>
        </w:tc>
        <w:tc>
          <w:tcPr>
            <w:tcW w:w="1018" w:type="dxa"/>
            <w:gridSpan w:val="2"/>
          </w:tcPr>
          <w:p w14:paraId="7115FB21" w14:textId="77777777" w:rsidR="00C15C65" w:rsidRPr="002029AF" w:rsidRDefault="00C15C65" w:rsidP="00C9755D">
            <w:pPr>
              <w:pStyle w:val="ARtabletextrightbold"/>
            </w:pPr>
            <w:r w:rsidRPr="002029AF">
              <w:t>12.0</w:t>
            </w:r>
          </w:p>
        </w:tc>
        <w:tc>
          <w:tcPr>
            <w:tcW w:w="1022" w:type="dxa"/>
            <w:gridSpan w:val="2"/>
          </w:tcPr>
          <w:p w14:paraId="7350180D" w14:textId="77777777" w:rsidR="00C15C65" w:rsidRPr="002029AF" w:rsidRDefault="00C15C65" w:rsidP="00C9755D">
            <w:pPr>
              <w:pStyle w:val="ARtabletextrightbold"/>
            </w:pPr>
            <w:r w:rsidRPr="002029AF">
              <w:t>4.8</w:t>
            </w:r>
          </w:p>
        </w:tc>
        <w:tc>
          <w:tcPr>
            <w:tcW w:w="1035" w:type="dxa"/>
            <w:gridSpan w:val="2"/>
          </w:tcPr>
          <w:p w14:paraId="62B78D40" w14:textId="77777777" w:rsidR="00C15C65" w:rsidRPr="002029AF" w:rsidRDefault="00C15C65" w:rsidP="00C9755D">
            <w:pPr>
              <w:pStyle w:val="ARtabletextrightbold"/>
            </w:pPr>
            <w:r w:rsidRPr="002029AF">
              <w:t>-60.3</w:t>
            </w:r>
          </w:p>
        </w:tc>
        <w:tc>
          <w:tcPr>
            <w:tcW w:w="804" w:type="dxa"/>
            <w:gridSpan w:val="2"/>
          </w:tcPr>
          <w:p w14:paraId="36B2CB0F" w14:textId="77777777" w:rsidR="00C15C65" w:rsidRPr="002029AF" w:rsidRDefault="00C15C65" w:rsidP="00C40F5D">
            <w:pPr>
              <w:pStyle w:val="ARtabletext"/>
              <w:rPr>
                <w:b/>
              </w:rPr>
            </w:pPr>
          </w:p>
        </w:tc>
      </w:tr>
      <w:tr w:rsidR="00C15C65" w:rsidRPr="002029AF" w14:paraId="6CAB5F44" w14:textId="77777777" w:rsidTr="007666A5">
        <w:trPr>
          <w:cantSplit/>
        </w:trPr>
        <w:tc>
          <w:tcPr>
            <w:tcW w:w="9639" w:type="dxa"/>
            <w:gridSpan w:val="11"/>
            <w:tcBorders>
              <w:top w:val="nil"/>
              <w:left w:val="nil"/>
              <w:bottom w:val="single" w:sz="4" w:space="0" w:color="BFBFBF"/>
              <w:right w:val="nil"/>
            </w:tcBorders>
            <w:noWrap/>
            <w:hideMark/>
          </w:tcPr>
          <w:p w14:paraId="12DE13D4" w14:textId="275304AE" w:rsidR="00C15C65" w:rsidRPr="002029AF" w:rsidRDefault="00C15C65" w:rsidP="00D96AFD">
            <w:pPr>
              <w:pStyle w:val="ARtablenoteindent"/>
            </w:pPr>
            <w:r w:rsidRPr="002029AF">
              <w:t>The</w:t>
            </w:r>
            <w:r w:rsidR="000A5329" w:rsidRPr="002029AF">
              <w:t xml:space="preserve"> </w:t>
            </w:r>
            <w:r w:rsidRPr="002029AF">
              <w:t>201</w:t>
            </w:r>
            <w:r w:rsidR="00DB53E6" w:rsidRPr="002029AF">
              <w:t>9–</w:t>
            </w:r>
            <w:r w:rsidRPr="002029AF">
              <w:t>20</w:t>
            </w:r>
            <w:r w:rsidR="000A5329" w:rsidRPr="002029AF">
              <w:t xml:space="preserve"> </w:t>
            </w:r>
            <w:r w:rsidRPr="002029AF">
              <w:t>actual</w:t>
            </w:r>
            <w:r w:rsidR="000A5329" w:rsidRPr="002029AF">
              <w:t xml:space="preserve"> </w:t>
            </w:r>
            <w:r w:rsidRPr="002029AF">
              <w:t>outcome</w:t>
            </w:r>
            <w:r w:rsidR="000A5329" w:rsidRPr="002029AF">
              <w:t xml:space="preserve"> </w:t>
            </w:r>
            <w:r w:rsidRPr="002029AF">
              <w:t>primarily</w:t>
            </w:r>
            <w:r w:rsidR="000A5329" w:rsidRPr="002029AF">
              <w:t xml:space="preserve"> </w:t>
            </w:r>
            <w:r w:rsidRPr="002029AF">
              <w:t>reflects</w:t>
            </w:r>
            <w:r w:rsidR="000A5329" w:rsidRPr="002029AF">
              <w:t xml:space="preserve"> </w:t>
            </w:r>
            <w:r w:rsidRPr="002029AF">
              <w:t>lower</w:t>
            </w:r>
            <w:r w:rsidR="000A5329" w:rsidRPr="002029AF">
              <w:t xml:space="preserve"> </w:t>
            </w:r>
            <w:r w:rsidRPr="002029AF">
              <w:t>than</w:t>
            </w:r>
            <w:r w:rsidR="000A5329" w:rsidRPr="002029AF">
              <w:t xml:space="preserve"> </w:t>
            </w:r>
            <w:r w:rsidRPr="002029AF">
              <w:t>estimated</w:t>
            </w:r>
            <w:r w:rsidR="000A5329" w:rsidRPr="002029AF">
              <w:t xml:space="preserve"> </w:t>
            </w:r>
            <w:r w:rsidRPr="002029AF">
              <w:t>contribution</w:t>
            </w:r>
            <w:r w:rsidR="000A5329" w:rsidRPr="002029AF">
              <w:t xml:space="preserve"> </w:t>
            </w:r>
            <w:r w:rsidRPr="002029AF">
              <w:t>to</w:t>
            </w:r>
            <w:r w:rsidR="000A5329" w:rsidRPr="002029AF">
              <w:t xml:space="preserve"> </w:t>
            </w:r>
            <w:r w:rsidRPr="002029AF">
              <w:t>the</w:t>
            </w:r>
            <w:r w:rsidR="000A5329" w:rsidRPr="002029AF">
              <w:t xml:space="preserve"> </w:t>
            </w:r>
            <w:r w:rsidRPr="002029AF">
              <w:t>National</w:t>
            </w:r>
            <w:r w:rsidR="000A5329" w:rsidRPr="002029AF">
              <w:t xml:space="preserve"> </w:t>
            </w:r>
            <w:r w:rsidRPr="002029AF">
              <w:t>Disability</w:t>
            </w:r>
            <w:r w:rsidR="000A5329" w:rsidRPr="002029AF">
              <w:t xml:space="preserve"> </w:t>
            </w:r>
            <w:r w:rsidRPr="002029AF">
              <w:t>Insurance</w:t>
            </w:r>
            <w:r w:rsidR="000A5329" w:rsidRPr="002029AF">
              <w:t xml:space="preserve"> </w:t>
            </w:r>
            <w:r w:rsidRPr="002029AF">
              <w:t>Scheme</w:t>
            </w:r>
            <w:r w:rsidR="000A5329" w:rsidRPr="002029AF">
              <w:t xml:space="preserve"> </w:t>
            </w:r>
            <w:r w:rsidRPr="002029AF">
              <w:t>(NDIS)</w:t>
            </w:r>
            <w:r w:rsidR="000A5329" w:rsidRPr="002029AF">
              <w:t xml:space="preserve"> </w:t>
            </w:r>
            <w:r w:rsidRPr="002029AF">
              <w:t>due</w:t>
            </w:r>
            <w:r w:rsidR="000A5329" w:rsidRPr="002029AF">
              <w:t xml:space="preserve"> </w:t>
            </w:r>
            <w:r w:rsidRPr="002029AF">
              <w:t>to</w:t>
            </w:r>
            <w:r w:rsidR="000A5329" w:rsidRPr="002029AF">
              <w:t xml:space="preserve"> </w:t>
            </w:r>
            <w:r w:rsidRPr="002029AF">
              <w:t>a</w:t>
            </w:r>
            <w:r w:rsidR="000A5329" w:rsidRPr="002029AF">
              <w:t xml:space="preserve"> </w:t>
            </w:r>
            <w:r w:rsidRPr="002029AF">
              <w:t>slower</w:t>
            </w:r>
            <w:r w:rsidR="000A5329" w:rsidRPr="002029AF">
              <w:t xml:space="preserve"> </w:t>
            </w:r>
            <w:r w:rsidRPr="002029AF">
              <w:t>than</w:t>
            </w:r>
            <w:r w:rsidR="000A5329" w:rsidRPr="002029AF">
              <w:t xml:space="preserve"> </w:t>
            </w:r>
            <w:r w:rsidRPr="002029AF">
              <w:t>anticipated</w:t>
            </w:r>
            <w:r w:rsidR="000A5329" w:rsidRPr="002029AF">
              <w:t xml:space="preserve"> </w:t>
            </w:r>
            <w:r w:rsidRPr="002029AF">
              <w:t>transition</w:t>
            </w:r>
            <w:r w:rsidR="000A5329" w:rsidRPr="002029AF">
              <w:t xml:space="preserve"> </w:t>
            </w:r>
            <w:r w:rsidRPr="002029AF">
              <w:t>to</w:t>
            </w:r>
            <w:r w:rsidR="000A5329" w:rsidRPr="002029AF">
              <w:t xml:space="preserve"> </w:t>
            </w:r>
            <w:r w:rsidRPr="002029AF">
              <w:t>the</w:t>
            </w:r>
            <w:r w:rsidR="000A5329" w:rsidRPr="002029AF">
              <w:t xml:space="preserve"> </w:t>
            </w:r>
            <w:r w:rsidRPr="002029AF">
              <w:t>NDIS</w:t>
            </w:r>
            <w:r w:rsidR="000A5329" w:rsidRPr="002029AF">
              <w:t xml:space="preserve"> </w:t>
            </w:r>
            <w:r w:rsidRPr="002029AF">
              <w:t>in</w:t>
            </w:r>
            <w:r w:rsidR="000A5329" w:rsidRPr="002029AF">
              <w:t xml:space="preserve"> </w:t>
            </w:r>
            <w:r w:rsidRPr="002029AF">
              <w:t>rural</w:t>
            </w:r>
            <w:r w:rsidR="000A5329" w:rsidRPr="002029AF">
              <w:t xml:space="preserve"> </w:t>
            </w:r>
            <w:r w:rsidRPr="002029AF">
              <w:t>areas</w:t>
            </w:r>
            <w:r w:rsidR="000A5329" w:rsidRPr="002029AF">
              <w:t xml:space="preserve"> </w:t>
            </w:r>
            <w:r w:rsidRPr="002029AF">
              <w:t>and</w:t>
            </w:r>
            <w:r w:rsidR="000A5329" w:rsidRPr="002029AF">
              <w:t xml:space="preserve"> </w:t>
            </w:r>
            <w:r w:rsidRPr="002029AF">
              <w:t>lower</w:t>
            </w:r>
            <w:r w:rsidR="000A5329" w:rsidRPr="002029AF">
              <w:t xml:space="preserve"> </w:t>
            </w:r>
            <w:r w:rsidRPr="002029AF">
              <w:t>than</w:t>
            </w:r>
            <w:r w:rsidR="000A5329" w:rsidRPr="002029AF">
              <w:t xml:space="preserve"> </w:t>
            </w:r>
            <w:r w:rsidRPr="002029AF">
              <w:t>estimated</w:t>
            </w:r>
            <w:r w:rsidR="000A5329" w:rsidRPr="002029AF">
              <w:t xml:space="preserve"> </w:t>
            </w:r>
            <w:r w:rsidRPr="002029AF">
              <w:t>Hospital</w:t>
            </w:r>
            <w:r w:rsidR="000A5329" w:rsidRPr="002029AF">
              <w:t xml:space="preserve"> </w:t>
            </w:r>
            <w:r w:rsidRPr="002029AF">
              <w:t>Own</w:t>
            </w:r>
            <w:r w:rsidR="000A5329" w:rsidRPr="002029AF">
              <w:t xml:space="preserve"> </w:t>
            </w:r>
            <w:r w:rsidRPr="002029AF">
              <w:t>Source</w:t>
            </w:r>
            <w:r w:rsidR="000A5329" w:rsidRPr="002029AF">
              <w:t xml:space="preserve"> </w:t>
            </w:r>
            <w:r w:rsidRPr="002029AF">
              <w:t>revenue.</w:t>
            </w:r>
          </w:p>
        </w:tc>
      </w:tr>
      <w:tr w:rsidR="00C15C65" w:rsidRPr="002029AF" w14:paraId="18114F36" w14:textId="77777777" w:rsidTr="007666A5">
        <w:trPr>
          <w:cantSplit/>
        </w:trPr>
        <w:tc>
          <w:tcPr>
            <w:tcW w:w="9639" w:type="dxa"/>
            <w:gridSpan w:val="11"/>
            <w:tcBorders>
              <w:top w:val="single" w:sz="4" w:space="0" w:color="auto"/>
              <w:left w:val="nil"/>
              <w:bottom w:val="single" w:sz="4" w:space="0" w:color="auto"/>
              <w:right w:val="nil"/>
            </w:tcBorders>
            <w:hideMark/>
          </w:tcPr>
          <w:p w14:paraId="057296D6" w14:textId="7E36A0A5" w:rsidR="00C15C65" w:rsidRPr="002029AF" w:rsidRDefault="00C15C65" w:rsidP="00C40F5D">
            <w:pPr>
              <w:pStyle w:val="ARtabletext"/>
            </w:pPr>
            <w:r w:rsidRPr="002029AF">
              <w:t>Small</w:t>
            </w:r>
            <w:r w:rsidR="000A5329" w:rsidRPr="002029AF">
              <w:t xml:space="preserve"> </w:t>
            </w:r>
            <w:r w:rsidRPr="002029AF">
              <w:t>Rural</w:t>
            </w:r>
            <w:r w:rsidR="000A5329" w:rsidRPr="002029AF">
              <w:t xml:space="preserve"> </w:t>
            </w:r>
            <w:r w:rsidRPr="002029AF">
              <w:t>Services</w:t>
            </w:r>
            <w:r w:rsidR="000A5329" w:rsidRPr="002029AF">
              <w:t xml:space="preserve"> </w:t>
            </w:r>
            <w:r w:rsidRPr="002029AF">
              <w:t>–</w:t>
            </w:r>
            <w:r w:rsidR="000A5329" w:rsidRPr="002029AF">
              <w:t xml:space="preserve"> </w:t>
            </w:r>
            <w:r w:rsidRPr="002029AF">
              <w:t>Primary</w:t>
            </w:r>
            <w:r w:rsidR="000A5329" w:rsidRPr="002029AF">
              <w:t xml:space="preserve"> </w:t>
            </w:r>
            <w:r w:rsidRPr="002029AF">
              <w:t>Health</w:t>
            </w:r>
          </w:p>
        </w:tc>
      </w:tr>
      <w:tr w:rsidR="00C15C65" w:rsidRPr="002029AF" w14:paraId="24CCDA5A" w14:textId="77777777" w:rsidTr="007666A5">
        <w:trPr>
          <w:cantSplit/>
        </w:trPr>
        <w:tc>
          <w:tcPr>
            <w:tcW w:w="9639" w:type="dxa"/>
            <w:gridSpan w:val="11"/>
            <w:tcBorders>
              <w:top w:val="single" w:sz="4" w:space="0" w:color="auto"/>
              <w:left w:val="nil"/>
              <w:bottom w:val="nil"/>
              <w:right w:val="nil"/>
            </w:tcBorders>
            <w:hideMark/>
          </w:tcPr>
          <w:p w14:paraId="6B187852" w14:textId="77777777" w:rsidR="00C15C65" w:rsidRPr="002029AF" w:rsidRDefault="00C15C65" w:rsidP="00D96AFD">
            <w:pPr>
              <w:pStyle w:val="ARtablegreybold"/>
            </w:pPr>
            <w:r w:rsidRPr="002029AF">
              <w:t>Quantity</w:t>
            </w:r>
          </w:p>
        </w:tc>
      </w:tr>
      <w:tr w:rsidR="00C15C65" w:rsidRPr="002029AF" w14:paraId="5851F33D" w14:textId="77777777" w:rsidTr="005B58F0">
        <w:trPr>
          <w:gridAfter w:val="1"/>
          <w:wAfter w:w="8" w:type="dxa"/>
          <w:cantSplit/>
        </w:trPr>
        <w:tc>
          <w:tcPr>
            <w:tcW w:w="4753" w:type="dxa"/>
            <w:gridSpan w:val="2"/>
            <w:shd w:val="clear" w:color="auto" w:fill="auto"/>
            <w:hideMark/>
          </w:tcPr>
          <w:p w14:paraId="61E16C36" w14:textId="6C74A8AE" w:rsidR="00C15C65" w:rsidRPr="002029AF" w:rsidRDefault="00C15C65" w:rsidP="00C40F5D">
            <w:pPr>
              <w:pStyle w:val="ARtabletext"/>
            </w:pPr>
            <w:r w:rsidRPr="002029AF">
              <w:t>Service</w:t>
            </w:r>
            <w:r w:rsidR="000A5329" w:rsidRPr="002029AF">
              <w:t xml:space="preserve"> </w:t>
            </w:r>
            <w:r w:rsidRPr="002029AF">
              <w:t>delivery</w:t>
            </w:r>
            <w:r w:rsidR="000A5329" w:rsidRPr="002029AF">
              <w:t xml:space="preserve"> </w:t>
            </w:r>
            <w:r w:rsidRPr="002029AF">
              <w:t>hours</w:t>
            </w:r>
            <w:r w:rsidR="000A5329" w:rsidRPr="002029AF">
              <w:t xml:space="preserve"> </w:t>
            </w:r>
            <w:r w:rsidRPr="002029AF">
              <w:t>in</w:t>
            </w:r>
            <w:r w:rsidR="000A5329" w:rsidRPr="002029AF">
              <w:t xml:space="preserve"> </w:t>
            </w:r>
            <w:r w:rsidRPr="002029AF">
              <w:t>community</w:t>
            </w:r>
            <w:r w:rsidR="000A5329" w:rsidRPr="002029AF">
              <w:t xml:space="preserve"> </w:t>
            </w:r>
            <w:r w:rsidRPr="002029AF">
              <w:t>health</w:t>
            </w:r>
            <w:r w:rsidR="000A5329" w:rsidRPr="002029AF">
              <w:t xml:space="preserve"> </w:t>
            </w:r>
            <w:r w:rsidRPr="002029AF">
              <w:t>care</w:t>
            </w:r>
          </w:p>
        </w:tc>
        <w:tc>
          <w:tcPr>
            <w:tcW w:w="1020" w:type="dxa"/>
            <w:gridSpan w:val="2"/>
            <w:shd w:val="clear" w:color="auto" w:fill="auto"/>
            <w:hideMark/>
          </w:tcPr>
          <w:p w14:paraId="20013254" w14:textId="77777777" w:rsidR="00C15C65" w:rsidRPr="002029AF" w:rsidRDefault="00C15C65" w:rsidP="00C40F5D">
            <w:pPr>
              <w:pStyle w:val="ARtabletext"/>
            </w:pPr>
            <w:r w:rsidRPr="002029AF">
              <w:t>number</w:t>
            </w:r>
          </w:p>
        </w:tc>
        <w:tc>
          <w:tcPr>
            <w:tcW w:w="1020" w:type="dxa"/>
            <w:gridSpan w:val="2"/>
            <w:shd w:val="clear" w:color="auto" w:fill="auto"/>
            <w:hideMark/>
          </w:tcPr>
          <w:p w14:paraId="68F48AC4" w14:textId="77777777" w:rsidR="00C15C65" w:rsidRPr="002029AF" w:rsidRDefault="00C15C65" w:rsidP="000024F3">
            <w:pPr>
              <w:pStyle w:val="ARtabletextright"/>
            </w:pPr>
            <w:r w:rsidRPr="002029AF">
              <w:t>91,500</w:t>
            </w:r>
          </w:p>
        </w:tc>
        <w:tc>
          <w:tcPr>
            <w:tcW w:w="1020" w:type="dxa"/>
            <w:gridSpan w:val="2"/>
            <w:shd w:val="clear" w:color="auto" w:fill="auto"/>
            <w:hideMark/>
          </w:tcPr>
          <w:p w14:paraId="087C81A2" w14:textId="77777777" w:rsidR="00C15C65" w:rsidRPr="002029AF" w:rsidRDefault="00C15C65" w:rsidP="000024F3">
            <w:pPr>
              <w:pStyle w:val="ARtabletextright"/>
            </w:pPr>
            <w:r w:rsidRPr="002029AF">
              <w:t>96,948</w:t>
            </w:r>
          </w:p>
        </w:tc>
        <w:tc>
          <w:tcPr>
            <w:tcW w:w="1022" w:type="dxa"/>
            <w:shd w:val="clear" w:color="auto" w:fill="auto"/>
          </w:tcPr>
          <w:p w14:paraId="2B85E411" w14:textId="77777777" w:rsidR="00C15C65" w:rsidRPr="002029AF" w:rsidRDefault="00C15C65" w:rsidP="000024F3">
            <w:pPr>
              <w:pStyle w:val="ARtabletextright"/>
            </w:pPr>
            <w:r w:rsidRPr="002029AF">
              <w:t>6.0</w:t>
            </w:r>
          </w:p>
        </w:tc>
        <w:tc>
          <w:tcPr>
            <w:tcW w:w="796" w:type="dxa"/>
            <w:shd w:val="clear" w:color="auto" w:fill="auto"/>
            <w:hideMark/>
          </w:tcPr>
          <w:p w14:paraId="4A8B2D34"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5D8AEB01" w14:textId="77777777" w:rsidTr="005B58F0">
        <w:trPr>
          <w:gridAfter w:val="1"/>
          <w:wAfter w:w="8" w:type="dxa"/>
          <w:cantSplit/>
        </w:trPr>
        <w:tc>
          <w:tcPr>
            <w:tcW w:w="9631" w:type="dxa"/>
            <w:gridSpan w:val="10"/>
            <w:tcBorders>
              <w:bottom w:val="single" w:sz="4" w:space="0" w:color="BFBFBF"/>
            </w:tcBorders>
            <w:shd w:val="clear" w:color="auto" w:fill="auto"/>
            <w:noWrap/>
            <w:hideMark/>
          </w:tcPr>
          <w:p w14:paraId="5AED52B6" w14:textId="087F8E29" w:rsidR="00C15C65" w:rsidRPr="002029AF" w:rsidRDefault="00C15C65" w:rsidP="00D96AFD">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by</w:t>
            </w:r>
            <w:r w:rsidR="000A5329" w:rsidRPr="002029AF">
              <w:t xml:space="preserve"> </w:t>
            </w:r>
            <w:r w:rsidRPr="002029AF">
              <w:t>late</w:t>
            </w:r>
            <w:r w:rsidR="000A5329" w:rsidRPr="002029AF">
              <w:t xml:space="preserve"> </w:t>
            </w:r>
            <w:r w:rsidRPr="002029AF">
              <w:t>2020.</w:t>
            </w:r>
            <w:r w:rsidR="000A5329" w:rsidRPr="002029AF">
              <w:t xml:space="preserve"> </w:t>
            </w:r>
            <w:r w:rsidRPr="002029AF">
              <w:t>The</w:t>
            </w:r>
            <w:r w:rsidR="000A5329" w:rsidRPr="002029AF">
              <w:t xml:space="preserve"> </w:t>
            </w:r>
            <w:r w:rsidRPr="002029AF">
              <w:t>result</w:t>
            </w:r>
            <w:r w:rsidR="000A5329" w:rsidRPr="002029AF">
              <w:t xml:space="preserve"> </w:t>
            </w:r>
            <w:r w:rsidRPr="002029AF">
              <w:t>is</w:t>
            </w:r>
            <w:r w:rsidR="000A5329" w:rsidRPr="002029AF">
              <w:t xml:space="preserve"> </w:t>
            </w:r>
            <w:r w:rsidRPr="002029AF">
              <w:t>expected</w:t>
            </w:r>
            <w:r w:rsidR="000A5329" w:rsidRPr="002029AF">
              <w:t xml:space="preserve"> </w:t>
            </w:r>
            <w:r w:rsidRPr="002029AF">
              <w:t>to</w:t>
            </w:r>
            <w:r w:rsidR="000A5329" w:rsidRPr="002029AF">
              <w:t xml:space="preserve"> </w:t>
            </w:r>
            <w:r w:rsidRPr="002029AF">
              <w:t>be</w:t>
            </w:r>
            <w:r w:rsidR="000A5329" w:rsidRPr="002029AF">
              <w:t xml:space="preserve"> </w:t>
            </w:r>
            <w:r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the</w:t>
            </w:r>
            <w:r w:rsidR="000A5329" w:rsidRPr="002029AF">
              <w:t xml:space="preserve"> </w:t>
            </w:r>
            <w:r w:rsidRPr="002029AF">
              <w:t>permissible</w:t>
            </w:r>
            <w:r w:rsidR="000A5329" w:rsidRPr="002029AF">
              <w:t xml:space="preserve"> </w:t>
            </w:r>
            <w:r w:rsidRPr="002029AF">
              <w:t>use</w:t>
            </w:r>
            <w:r w:rsidR="000A5329" w:rsidRPr="002029AF">
              <w:t xml:space="preserve"> </w:t>
            </w:r>
            <w:r w:rsidRPr="002029AF">
              <w:t>of</w:t>
            </w:r>
            <w:r w:rsidR="000A5329" w:rsidRPr="002029AF">
              <w:t xml:space="preserve"> </w:t>
            </w:r>
            <w:r w:rsidRPr="002029AF">
              <w:t>funding</w:t>
            </w:r>
            <w:r w:rsidR="000A5329" w:rsidRPr="002029AF">
              <w:t xml:space="preserve"> </w:t>
            </w:r>
            <w:r w:rsidRPr="002029AF">
              <w:t>from</w:t>
            </w:r>
            <w:r w:rsidR="000A5329" w:rsidRPr="002029AF">
              <w:t xml:space="preserve"> </w:t>
            </w:r>
            <w:r w:rsidRPr="002029AF">
              <w:t>other</w:t>
            </w:r>
            <w:r w:rsidR="000A5329" w:rsidRPr="002029AF">
              <w:t xml:space="preserve"> </w:t>
            </w:r>
            <w:r w:rsidRPr="002029AF">
              <w:t>Small</w:t>
            </w:r>
            <w:r w:rsidR="000A5329" w:rsidRPr="002029AF">
              <w:t xml:space="preserve"> </w:t>
            </w:r>
            <w:r w:rsidRPr="002029AF">
              <w:t>Rural</w:t>
            </w:r>
            <w:r w:rsidR="000A5329" w:rsidRPr="002029AF">
              <w:t xml:space="preserve"> </w:t>
            </w:r>
            <w:r w:rsidRPr="002029AF">
              <w:t>Services</w:t>
            </w:r>
            <w:r w:rsidR="000A5329" w:rsidRPr="002029AF">
              <w:t xml:space="preserve"> </w:t>
            </w:r>
            <w:r w:rsidRPr="002029AF">
              <w:t>outputs</w:t>
            </w:r>
            <w:r w:rsidR="000A5329" w:rsidRPr="002029AF">
              <w:t xml:space="preserve"> </w:t>
            </w:r>
            <w:r w:rsidRPr="002029AF">
              <w:t>to</w:t>
            </w:r>
            <w:r w:rsidR="000A5329" w:rsidRPr="002029AF">
              <w:t xml:space="preserve"> </w:t>
            </w:r>
            <w:r w:rsidRPr="002029AF">
              <w:t>provide</w:t>
            </w:r>
            <w:r w:rsidR="000A5329" w:rsidRPr="002029AF">
              <w:t xml:space="preserve"> </w:t>
            </w:r>
            <w:r w:rsidRPr="002029AF">
              <w:t>primary</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according</w:t>
            </w:r>
            <w:r w:rsidR="000A5329" w:rsidRPr="002029AF">
              <w:t xml:space="preserve"> </w:t>
            </w:r>
            <w:r w:rsidRPr="002029AF">
              <w:t>to</w:t>
            </w:r>
            <w:r w:rsidR="000A5329" w:rsidRPr="002029AF">
              <w:t xml:space="preserve"> </w:t>
            </w:r>
            <w:r w:rsidRPr="002029AF">
              <w:t>local</w:t>
            </w:r>
            <w:r w:rsidR="000A5329" w:rsidRPr="002029AF">
              <w:t xml:space="preserve"> </w:t>
            </w:r>
            <w:r w:rsidRPr="002029AF">
              <w:t>needs.</w:t>
            </w:r>
            <w:r w:rsidR="000A5329" w:rsidRPr="002029AF">
              <w:t xml:space="preserve"> </w:t>
            </w:r>
            <w:r w:rsidRPr="002029AF">
              <w:t>There</w:t>
            </w:r>
            <w:r w:rsidR="000A5329" w:rsidRPr="002029AF">
              <w:t xml:space="preserve"> </w:t>
            </w:r>
            <w:r w:rsidRPr="002029AF">
              <w:t>is</w:t>
            </w:r>
            <w:r w:rsidR="000A5329" w:rsidRPr="002029AF">
              <w:t xml:space="preserve"> </w:t>
            </w:r>
            <w:r w:rsidRPr="002029AF">
              <w:t>consistent</w:t>
            </w:r>
            <w:r w:rsidR="000A5329" w:rsidRPr="002029AF">
              <w:t xml:space="preserve"> </w:t>
            </w:r>
            <w:r w:rsidRPr="002029AF">
              <w:t>over</w:t>
            </w:r>
            <w:r w:rsidR="000A5329" w:rsidRPr="002029AF">
              <w:t xml:space="preserve"> </w:t>
            </w:r>
            <w:r w:rsidRPr="002029AF">
              <w:t>performance</w:t>
            </w:r>
            <w:r w:rsidR="000A5329" w:rsidRPr="002029AF">
              <w:t xml:space="preserve"> </w:t>
            </w:r>
            <w:r w:rsidRPr="002029AF">
              <w:t>on</w:t>
            </w:r>
            <w:r w:rsidR="000A5329" w:rsidRPr="002029AF">
              <w:t xml:space="preserve"> </w:t>
            </w:r>
            <w:r w:rsidRPr="002029AF">
              <w:t>this</w:t>
            </w:r>
            <w:r w:rsidR="000A5329" w:rsidRPr="002029AF">
              <w:t xml:space="preserve"> </w:t>
            </w:r>
            <w:r w:rsidRPr="002029AF">
              <w:t>measure,</w:t>
            </w:r>
            <w:r w:rsidR="000A5329" w:rsidRPr="002029AF">
              <w:t xml:space="preserve"> </w:t>
            </w:r>
            <w:r w:rsidRPr="002029AF">
              <w:t>which</w:t>
            </w:r>
            <w:r w:rsidR="000A5329" w:rsidRPr="002029AF">
              <w:t xml:space="preserve"> </w:t>
            </w:r>
            <w:r w:rsidRPr="002029AF">
              <w:t>is</w:t>
            </w:r>
            <w:r w:rsidR="000A5329" w:rsidRPr="002029AF">
              <w:t xml:space="preserve"> </w:t>
            </w:r>
            <w:r w:rsidRPr="002029AF">
              <w:t>a</w:t>
            </w:r>
            <w:r w:rsidR="000A5329" w:rsidRPr="002029AF">
              <w:t xml:space="preserve"> </w:t>
            </w:r>
            <w:r w:rsidRPr="002029AF">
              <w:t>positive</w:t>
            </w:r>
            <w:r w:rsidR="000A5329" w:rsidRPr="002029AF">
              <w:t xml:space="preserve"> </w:t>
            </w:r>
            <w:r w:rsidRPr="002029AF">
              <w:t>result.</w:t>
            </w:r>
          </w:p>
        </w:tc>
      </w:tr>
      <w:tr w:rsidR="00C15C65" w:rsidRPr="002029AF" w14:paraId="3544E9B5" w14:textId="77777777" w:rsidTr="007666A5">
        <w:trPr>
          <w:cantSplit/>
        </w:trPr>
        <w:tc>
          <w:tcPr>
            <w:tcW w:w="9639" w:type="dxa"/>
            <w:gridSpan w:val="11"/>
            <w:tcBorders>
              <w:top w:val="single" w:sz="4" w:space="0" w:color="auto"/>
              <w:left w:val="nil"/>
              <w:bottom w:val="nil"/>
              <w:right w:val="nil"/>
            </w:tcBorders>
            <w:hideMark/>
          </w:tcPr>
          <w:p w14:paraId="35666BDE" w14:textId="77777777" w:rsidR="00C15C65" w:rsidRPr="002029AF" w:rsidRDefault="00C15C65" w:rsidP="007666A5">
            <w:pPr>
              <w:pStyle w:val="ARtablegreybold"/>
            </w:pPr>
            <w:r w:rsidRPr="002029AF">
              <w:t>Cost</w:t>
            </w:r>
          </w:p>
        </w:tc>
      </w:tr>
      <w:tr w:rsidR="00C15C65" w:rsidRPr="002029AF" w14:paraId="5E2837F5" w14:textId="77777777" w:rsidTr="005B58F0">
        <w:trPr>
          <w:cantSplit/>
        </w:trPr>
        <w:tc>
          <w:tcPr>
            <w:tcW w:w="4741" w:type="dxa"/>
            <w:hideMark/>
          </w:tcPr>
          <w:p w14:paraId="2FC6983A" w14:textId="7304F48F" w:rsidR="00C15C65" w:rsidRPr="002029AF" w:rsidRDefault="00C15C65" w:rsidP="00C40F5D">
            <w:pPr>
              <w:pStyle w:val="ARtabletext"/>
              <w:rPr>
                <w:b/>
              </w:rPr>
            </w:pPr>
            <w:r w:rsidRPr="002029AF">
              <w:rPr>
                <w:b/>
              </w:rPr>
              <w:t>Total</w:t>
            </w:r>
            <w:r w:rsidR="000A5329" w:rsidRPr="002029AF">
              <w:rPr>
                <w:b/>
              </w:rPr>
              <w:t xml:space="preserve"> </w:t>
            </w:r>
            <w:r w:rsidRPr="002029AF">
              <w:rPr>
                <w:b/>
              </w:rPr>
              <w:t>output</w:t>
            </w:r>
            <w:r w:rsidR="000A5329" w:rsidRPr="002029AF">
              <w:rPr>
                <w:b/>
              </w:rPr>
              <w:t xml:space="preserve"> </w:t>
            </w:r>
            <w:r w:rsidRPr="002029AF">
              <w:rPr>
                <w:b/>
              </w:rPr>
              <w:t>cost</w:t>
            </w:r>
          </w:p>
        </w:tc>
        <w:tc>
          <w:tcPr>
            <w:tcW w:w="1019" w:type="dxa"/>
            <w:gridSpan w:val="2"/>
            <w:hideMark/>
          </w:tcPr>
          <w:p w14:paraId="70CAA9E1" w14:textId="14860FC0" w:rsidR="00C15C65" w:rsidRPr="002029AF" w:rsidRDefault="00C15C65" w:rsidP="00C40F5D">
            <w:pPr>
              <w:pStyle w:val="ARtabletext"/>
              <w:rPr>
                <w:b/>
              </w:rPr>
            </w:pPr>
            <w:r w:rsidRPr="002029AF">
              <w:rPr>
                <w:b/>
              </w:rPr>
              <w:t>$</w:t>
            </w:r>
            <w:r w:rsidR="000A5329" w:rsidRPr="002029AF">
              <w:rPr>
                <w:b/>
              </w:rPr>
              <w:t xml:space="preserve"> </w:t>
            </w:r>
            <w:r w:rsidRPr="002029AF">
              <w:rPr>
                <w:b/>
              </w:rPr>
              <w:t>million</w:t>
            </w:r>
          </w:p>
        </w:tc>
        <w:tc>
          <w:tcPr>
            <w:tcW w:w="1018" w:type="dxa"/>
            <w:gridSpan w:val="2"/>
          </w:tcPr>
          <w:p w14:paraId="29E42183" w14:textId="77777777" w:rsidR="00C15C65" w:rsidRPr="002029AF" w:rsidRDefault="00C15C65" w:rsidP="00C9755D">
            <w:pPr>
              <w:pStyle w:val="ARtabletextrightbold"/>
            </w:pPr>
            <w:r w:rsidRPr="002029AF">
              <w:t>20.8</w:t>
            </w:r>
          </w:p>
        </w:tc>
        <w:tc>
          <w:tcPr>
            <w:tcW w:w="1022" w:type="dxa"/>
            <w:gridSpan w:val="2"/>
          </w:tcPr>
          <w:p w14:paraId="2FE67356" w14:textId="77777777" w:rsidR="00C15C65" w:rsidRPr="002029AF" w:rsidRDefault="00C15C65" w:rsidP="00C9755D">
            <w:pPr>
              <w:pStyle w:val="ARtabletextrightbold"/>
            </w:pPr>
            <w:r w:rsidRPr="002029AF">
              <w:t>20.4</w:t>
            </w:r>
          </w:p>
        </w:tc>
        <w:tc>
          <w:tcPr>
            <w:tcW w:w="1035" w:type="dxa"/>
            <w:gridSpan w:val="2"/>
          </w:tcPr>
          <w:p w14:paraId="36E36E6E" w14:textId="77777777" w:rsidR="00C15C65" w:rsidRPr="002029AF" w:rsidRDefault="00C15C65" w:rsidP="00C9755D">
            <w:pPr>
              <w:pStyle w:val="ARtabletextrightbold"/>
            </w:pPr>
            <w:r w:rsidRPr="002029AF">
              <w:t>-2.1</w:t>
            </w:r>
          </w:p>
        </w:tc>
        <w:tc>
          <w:tcPr>
            <w:tcW w:w="804" w:type="dxa"/>
            <w:gridSpan w:val="2"/>
          </w:tcPr>
          <w:p w14:paraId="4E1030AD" w14:textId="77777777" w:rsidR="00C15C65" w:rsidRPr="002029AF" w:rsidRDefault="00C15C65" w:rsidP="00C40F5D">
            <w:pPr>
              <w:pStyle w:val="ARtabletext"/>
              <w:rPr>
                <w:b/>
              </w:rPr>
            </w:pPr>
          </w:p>
        </w:tc>
      </w:tr>
      <w:tr w:rsidR="00C15C65" w:rsidRPr="002029AF" w14:paraId="03C47535" w14:textId="77777777" w:rsidTr="007666A5">
        <w:trPr>
          <w:cantSplit/>
        </w:trPr>
        <w:tc>
          <w:tcPr>
            <w:tcW w:w="9639" w:type="dxa"/>
            <w:gridSpan w:val="11"/>
            <w:tcBorders>
              <w:top w:val="nil"/>
              <w:left w:val="nil"/>
              <w:bottom w:val="single" w:sz="4" w:space="0" w:color="auto"/>
              <w:right w:val="nil"/>
            </w:tcBorders>
            <w:noWrap/>
            <w:hideMark/>
          </w:tcPr>
          <w:p w14:paraId="47F7AD69" w14:textId="6F305ED6" w:rsidR="00C15C65" w:rsidRPr="002029AF" w:rsidRDefault="00C15C65" w:rsidP="00D96AFD">
            <w:pPr>
              <w:pStyle w:val="ARtablenoteindent"/>
            </w:pPr>
            <w:r w:rsidRPr="002029AF">
              <w:t>The</w:t>
            </w:r>
            <w:r w:rsidR="000A5329" w:rsidRPr="002029AF">
              <w:t xml:space="preserve"> </w:t>
            </w:r>
            <w:r w:rsidRPr="002029AF">
              <w:t>201</w:t>
            </w:r>
            <w:r w:rsidR="00DB53E6" w:rsidRPr="002029AF">
              <w:t>9–</w:t>
            </w:r>
            <w:r w:rsidRPr="002029AF">
              <w:t>20</w:t>
            </w:r>
            <w:r w:rsidR="000A5329" w:rsidRPr="002029AF">
              <w:t xml:space="preserve"> </w:t>
            </w:r>
            <w:r w:rsidRPr="002029AF">
              <w:t>actual</w:t>
            </w:r>
            <w:r w:rsidR="000A5329" w:rsidRPr="002029AF">
              <w:t xml:space="preserve"> </w:t>
            </w:r>
            <w:r w:rsidRPr="002029AF">
              <w:t>outcome</w:t>
            </w:r>
            <w:r w:rsidR="000A5329" w:rsidRPr="002029AF">
              <w:t xml:space="preserve"> </w:t>
            </w:r>
            <w:r w:rsidRPr="002029AF">
              <w:t>reflects</w:t>
            </w:r>
            <w:r w:rsidR="000A5329" w:rsidRPr="002029AF">
              <w:t xml:space="preserve"> </w:t>
            </w:r>
            <w:r w:rsidRPr="002029AF">
              <w:t>an</w:t>
            </w:r>
            <w:r w:rsidR="000A5329" w:rsidRPr="002029AF">
              <w:t xml:space="preserve"> </w:t>
            </w:r>
            <w:r w:rsidRPr="002029AF">
              <w:t>output</w:t>
            </w:r>
            <w:r w:rsidR="000A5329" w:rsidRPr="002029AF">
              <w:t xml:space="preserve"> </w:t>
            </w:r>
            <w:r w:rsidRPr="002029AF">
              <w:t>realignment</w:t>
            </w:r>
            <w:r w:rsidR="000A5329" w:rsidRPr="002029AF">
              <w:t xml:space="preserve"> </w:t>
            </w:r>
            <w:r w:rsidRPr="002029AF">
              <w:t>to</w:t>
            </w:r>
            <w:r w:rsidR="000A5329" w:rsidRPr="002029AF">
              <w:t xml:space="preserve"> </w:t>
            </w:r>
            <w:r w:rsidRPr="002029AF">
              <w:t>the</w:t>
            </w:r>
            <w:r w:rsidR="000A5329" w:rsidRPr="002029AF">
              <w:t xml:space="preserve"> </w:t>
            </w:r>
            <w:r w:rsidRPr="002029AF">
              <w:t>Primary</w:t>
            </w:r>
            <w:r w:rsidR="000A5329" w:rsidRPr="002029AF">
              <w:t xml:space="preserve"> </w:t>
            </w:r>
            <w:r w:rsidRPr="002029AF">
              <w:t>and</w:t>
            </w:r>
            <w:r w:rsidR="000A5329" w:rsidRPr="002029AF">
              <w:t xml:space="preserve"> </w:t>
            </w:r>
            <w:r w:rsidRPr="002029AF">
              <w:t>Dental</w:t>
            </w:r>
            <w:r w:rsidR="000A5329" w:rsidRPr="002029AF">
              <w:t xml:space="preserve"> </w:t>
            </w:r>
            <w:r w:rsidRPr="002029AF">
              <w:t>Health</w:t>
            </w:r>
            <w:r w:rsidR="000A5329" w:rsidRPr="002029AF">
              <w:t xml:space="preserve"> </w:t>
            </w:r>
            <w:r w:rsidRPr="002029AF">
              <w:t>Output</w:t>
            </w:r>
            <w:r w:rsidR="000A5329" w:rsidRPr="002029AF">
              <w:t xml:space="preserve"> </w:t>
            </w:r>
            <w:r w:rsidRPr="002029AF">
              <w:t>group</w:t>
            </w:r>
            <w:r w:rsidR="000A5329" w:rsidRPr="002029AF">
              <w:t xml:space="preserve"> </w:t>
            </w:r>
            <w:r w:rsidRPr="002029AF">
              <w:t>to</w:t>
            </w:r>
            <w:r w:rsidR="000A5329" w:rsidRPr="002029AF">
              <w:t xml:space="preserve"> </w:t>
            </w:r>
            <w:r w:rsidRPr="002029AF">
              <w:t>reflect</w:t>
            </w:r>
            <w:r w:rsidR="000A5329" w:rsidRPr="002029AF">
              <w:t xml:space="preserve"> </w:t>
            </w:r>
            <w:r w:rsidRPr="002029AF">
              <w:t>the</w:t>
            </w:r>
            <w:r w:rsidR="000A5329" w:rsidRPr="002029AF">
              <w:t xml:space="preserve"> </w:t>
            </w:r>
            <w:r w:rsidRPr="002029AF">
              <w:t>transfer</w:t>
            </w:r>
            <w:r w:rsidR="000A5329" w:rsidRPr="002029AF">
              <w:t xml:space="preserve"> </w:t>
            </w:r>
            <w:r w:rsidRPr="002029AF">
              <w:t>of</w:t>
            </w:r>
            <w:r w:rsidR="000A5329" w:rsidRPr="002029AF">
              <w:t xml:space="preserve"> </w:t>
            </w:r>
            <w:r w:rsidRPr="002029AF">
              <w:t>funding</w:t>
            </w:r>
            <w:r w:rsidR="000A5329" w:rsidRPr="002029AF">
              <w:t xml:space="preserve"> </w:t>
            </w:r>
            <w:r w:rsidRPr="002029AF">
              <w:t>from</w:t>
            </w:r>
            <w:r w:rsidR="000A5329" w:rsidRPr="002029AF">
              <w:t xml:space="preserve"> </w:t>
            </w:r>
            <w:r w:rsidRPr="002029AF">
              <w:t>Small</w:t>
            </w:r>
            <w:r w:rsidR="000A5329" w:rsidRPr="002029AF">
              <w:t xml:space="preserve"> </w:t>
            </w:r>
            <w:r w:rsidRPr="002029AF">
              <w:t>Rural</w:t>
            </w:r>
            <w:r w:rsidR="000A5329" w:rsidRPr="002029AF">
              <w:t xml:space="preserve"> </w:t>
            </w:r>
            <w:r w:rsidRPr="002029AF">
              <w:t>Services</w:t>
            </w:r>
            <w:r w:rsidR="000A5329" w:rsidRPr="002029AF">
              <w:t xml:space="preserve"> </w:t>
            </w:r>
            <w:r w:rsidRPr="002029AF">
              <w:t>to</w:t>
            </w:r>
            <w:r w:rsidR="000A5329" w:rsidRPr="002029AF">
              <w:t xml:space="preserve"> </w:t>
            </w:r>
            <w:r w:rsidRPr="002029AF">
              <w:t>Primary</w:t>
            </w:r>
            <w:r w:rsidR="000A5329" w:rsidRPr="002029AF">
              <w:t xml:space="preserve"> </w:t>
            </w:r>
            <w:r w:rsidRPr="002029AF">
              <w:t>Health</w:t>
            </w:r>
            <w:r w:rsidR="000A5329" w:rsidRPr="002029AF">
              <w:t xml:space="preserve"> </w:t>
            </w:r>
            <w:r w:rsidRPr="002029AF">
              <w:t>services.</w:t>
            </w:r>
          </w:p>
        </w:tc>
      </w:tr>
    </w:tbl>
    <w:p w14:paraId="22D1207D" w14:textId="14011CB7" w:rsidR="00C15C65" w:rsidRPr="002029AF" w:rsidRDefault="00C15C65" w:rsidP="00205D6E">
      <w:pPr>
        <w:pStyle w:val="Heading2"/>
      </w:pPr>
      <w:r w:rsidRPr="002029AF">
        <w:t>Child</w:t>
      </w:r>
      <w:r w:rsidR="000A5329" w:rsidRPr="002029AF">
        <w:t xml:space="preserve"> </w:t>
      </w:r>
      <w:r w:rsidRPr="002029AF">
        <w:t>Protection</w:t>
      </w:r>
      <w:r w:rsidR="000A5329" w:rsidRPr="002029AF">
        <w:t xml:space="preserve"> </w:t>
      </w:r>
      <w:r w:rsidRPr="002029AF">
        <w:t>and</w:t>
      </w:r>
      <w:r w:rsidR="000A5329" w:rsidRPr="002029AF">
        <w:t xml:space="preserve"> </w:t>
      </w:r>
      <w:r w:rsidRPr="002029AF">
        <w:t>Family</w:t>
      </w:r>
      <w:r w:rsidR="000A5329" w:rsidRPr="002029AF">
        <w:t xml:space="preserve"> </w:t>
      </w:r>
      <w:r w:rsidRPr="002029AF">
        <w:t>Services</w:t>
      </w:r>
    </w:p>
    <w:p w14:paraId="4BD811A8" w14:textId="6A5142FC" w:rsidR="00C15C65" w:rsidRPr="002029AF" w:rsidRDefault="00C15C65" w:rsidP="00C40F5D">
      <w:pPr>
        <w:pStyle w:val="ARbody"/>
      </w:pPr>
      <w:r w:rsidRPr="002029AF">
        <w:t>The</w:t>
      </w:r>
      <w:r w:rsidR="000A5329" w:rsidRPr="002029AF">
        <w:t xml:space="preserve"> </w:t>
      </w:r>
      <w:r w:rsidRPr="002029AF">
        <w:t>Child</w:t>
      </w:r>
      <w:r w:rsidR="000A5329" w:rsidRPr="002029AF">
        <w:t xml:space="preserve"> </w:t>
      </w:r>
      <w:r w:rsidRPr="002029AF">
        <w:t>Protection</w:t>
      </w:r>
      <w:r w:rsidR="000A5329" w:rsidRPr="002029AF">
        <w:t xml:space="preserve"> </w:t>
      </w:r>
      <w:r w:rsidRPr="002029AF">
        <w:t>and</w:t>
      </w:r>
      <w:r w:rsidR="000A5329" w:rsidRPr="002029AF">
        <w:t xml:space="preserve"> </w:t>
      </w:r>
      <w:r w:rsidRPr="002029AF">
        <w:t>Family</w:t>
      </w:r>
      <w:r w:rsidR="000A5329" w:rsidRPr="002029AF">
        <w:t xml:space="preserve"> </w:t>
      </w:r>
      <w:r w:rsidRPr="002029AF">
        <w:t>Services</w:t>
      </w:r>
      <w:r w:rsidR="000A5329" w:rsidRPr="002029AF">
        <w:t xml:space="preserve"> </w:t>
      </w:r>
      <w:r w:rsidRPr="002029AF">
        <w:t>output,</w:t>
      </w:r>
      <w:r w:rsidR="000A5329" w:rsidRPr="002029AF">
        <w:t xml:space="preserve"> </w:t>
      </w:r>
      <w:r w:rsidRPr="002029AF">
        <w:t>through</w:t>
      </w:r>
      <w:r w:rsidR="000A5329" w:rsidRPr="002029AF">
        <w:t xml:space="preserve"> </w:t>
      </w:r>
      <w:r w:rsidRPr="002029AF">
        <w:t>the</w:t>
      </w:r>
      <w:r w:rsidR="000A5329" w:rsidRPr="002029AF">
        <w:t xml:space="preserve"> </w:t>
      </w:r>
      <w:r w:rsidRPr="002029AF">
        <w:t>funding</w:t>
      </w:r>
      <w:r w:rsidR="000A5329" w:rsidRPr="002029AF">
        <w:t xml:space="preserve"> </w:t>
      </w:r>
      <w:r w:rsidRPr="002029AF">
        <w:t>of</w:t>
      </w:r>
      <w:r w:rsidR="000A5329" w:rsidRPr="002029AF">
        <w:t xml:space="preserve"> </w:t>
      </w:r>
      <w:r w:rsidRPr="002029AF">
        <w:t>statutory</w:t>
      </w:r>
      <w:r w:rsidR="000A5329" w:rsidRPr="002029AF">
        <w:t xml:space="preserve"> </w:t>
      </w:r>
      <w:r w:rsidRPr="002029AF">
        <w:t>child</w:t>
      </w:r>
      <w:r w:rsidR="000A5329" w:rsidRPr="002029AF">
        <w:t xml:space="preserve"> </w:t>
      </w:r>
      <w:r w:rsidRPr="002029AF">
        <w:t>protection</w:t>
      </w:r>
      <w:r w:rsidR="000A5329" w:rsidRPr="002029AF">
        <w:t xml:space="preserve"> </w:t>
      </w:r>
      <w:r w:rsidRPr="002029AF">
        <w:t>services,</w:t>
      </w:r>
      <w:r w:rsidR="000A5329" w:rsidRPr="002029AF">
        <w:t xml:space="preserve"> </w:t>
      </w:r>
      <w:r w:rsidRPr="002029AF">
        <w:t>family</w:t>
      </w:r>
      <w:r w:rsidR="000A5329" w:rsidRPr="002029AF">
        <w:t xml:space="preserve"> </w:t>
      </w:r>
      <w:r w:rsidRPr="002029AF">
        <w:t>support</w:t>
      </w:r>
      <w:r w:rsidR="000A5329" w:rsidRPr="002029AF">
        <w:t xml:space="preserve"> </w:t>
      </w:r>
      <w:r w:rsidRPr="002029AF">
        <w:t>and</w:t>
      </w:r>
      <w:r w:rsidR="000A5329" w:rsidRPr="002029AF">
        <w:t xml:space="preserve"> </w:t>
      </w:r>
      <w:r w:rsidRPr="002029AF">
        <w:t>parenting</w:t>
      </w:r>
      <w:r w:rsidR="000A5329" w:rsidRPr="002029AF">
        <w:t xml:space="preserve"> </w:t>
      </w:r>
      <w:r w:rsidRPr="002029AF">
        <w:t>services,</w:t>
      </w:r>
      <w:r w:rsidR="000A5329" w:rsidRPr="002029AF">
        <w:t xml:space="preserve"> </w:t>
      </w:r>
      <w:r w:rsidRPr="002029AF">
        <w:t>family</w:t>
      </w:r>
      <w:r w:rsidR="000A5329" w:rsidRPr="002029AF">
        <w:t xml:space="preserve"> </w:t>
      </w:r>
      <w:r w:rsidRPr="002029AF">
        <w:t>violence</w:t>
      </w:r>
      <w:r w:rsidR="000A5329" w:rsidRPr="002029AF">
        <w:t xml:space="preserve"> </w:t>
      </w:r>
      <w:r w:rsidRPr="002029AF">
        <w:t>and</w:t>
      </w:r>
      <w:r w:rsidR="000A5329" w:rsidRPr="002029AF">
        <w:t xml:space="preserve"> </w:t>
      </w:r>
      <w:r w:rsidRPr="002029AF">
        <w:t>sexual</w:t>
      </w:r>
      <w:r w:rsidR="000A5329" w:rsidRPr="002029AF">
        <w:t xml:space="preserve"> </w:t>
      </w:r>
      <w:r w:rsidRPr="002029AF">
        <w:t>assault</w:t>
      </w:r>
      <w:r w:rsidR="000A5329" w:rsidRPr="002029AF">
        <w:t xml:space="preserve"> </w:t>
      </w:r>
      <w:r w:rsidRPr="002029AF">
        <w:t>services,</w:t>
      </w:r>
      <w:r w:rsidR="000A5329" w:rsidRPr="002029AF">
        <w:t xml:space="preserve"> </w:t>
      </w:r>
      <w:r w:rsidRPr="002029AF">
        <w:t>adoption</w:t>
      </w:r>
      <w:r w:rsidR="000A5329" w:rsidRPr="002029AF">
        <w:t xml:space="preserve"> </w:t>
      </w:r>
      <w:r w:rsidRPr="002029AF">
        <w:t>and</w:t>
      </w:r>
      <w:r w:rsidR="000A5329" w:rsidRPr="002029AF">
        <w:t xml:space="preserve"> </w:t>
      </w:r>
      <w:r w:rsidRPr="002029AF">
        <w:t>placement</w:t>
      </w:r>
      <w:r w:rsidR="000A5329" w:rsidRPr="002029AF">
        <w:t xml:space="preserve"> </w:t>
      </w:r>
      <w:r w:rsidRPr="002029AF">
        <w:t>care</w:t>
      </w:r>
      <w:r w:rsidR="000A5329" w:rsidRPr="002029AF">
        <w:t xml:space="preserve"> </w:t>
      </w:r>
      <w:r w:rsidRPr="002029AF">
        <w:t>services</w:t>
      </w:r>
      <w:r w:rsidR="000A5329" w:rsidRPr="002029AF">
        <w:t xml:space="preserve"> </w:t>
      </w:r>
      <w:r w:rsidRPr="002029AF">
        <w:t>and</w:t>
      </w:r>
      <w:r w:rsidR="000A5329" w:rsidRPr="002029AF">
        <w:t xml:space="preserve"> </w:t>
      </w:r>
      <w:r w:rsidRPr="002029AF">
        <w:t>specialist</w:t>
      </w:r>
      <w:r w:rsidR="000A5329" w:rsidRPr="002029AF">
        <w:t xml:space="preserve"> </w:t>
      </w:r>
      <w:r w:rsidRPr="002029AF">
        <w:t>support</w:t>
      </w:r>
      <w:r w:rsidR="000A5329" w:rsidRPr="002029AF">
        <w:t xml:space="preserve"> </w:t>
      </w:r>
      <w:r w:rsidRPr="002029AF">
        <w:t>services,</w:t>
      </w:r>
      <w:r w:rsidR="000A5329" w:rsidRPr="002029AF">
        <w:t xml:space="preserve"> </w:t>
      </w:r>
      <w:r w:rsidRPr="002029AF">
        <w:t>aims</w:t>
      </w:r>
      <w:r w:rsidR="000A5329" w:rsidRPr="002029AF">
        <w:t xml:space="preserve"> </w:t>
      </w:r>
      <w:r w:rsidRPr="002029AF">
        <w:t>to</w:t>
      </w:r>
      <w:r w:rsidR="000A5329" w:rsidRPr="002029AF">
        <w:t xml:space="preserve"> </w:t>
      </w:r>
      <w:r w:rsidRPr="002029AF">
        <w:t>ensure</w:t>
      </w:r>
      <w:r w:rsidR="000A5329" w:rsidRPr="002029AF">
        <w:t xml:space="preserve"> </w:t>
      </w:r>
      <w:r w:rsidRPr="002029AF">
        <w:t>the</w:t>
      </w:r>
      <w:r w:rsidR="000A5329" w:rsidRPr="002029AF">
        <w:t xml:space="preserve"> </w:t>
      </w:r>
      <w:r w:rsidRPr="002029AF">
        <w:t>safety</w:t>
      </w:r>
      <w:r w:rsidR="000A5329" w:rsidRPr="002029AF">
        <w:t xml:space="preserve"> </w:t>
      </w:r>
      <w:r w:rsidRPr="002029AF">
        <w:t>and</w:t>
      </w:r>
      <w:r w:rsidR="000A5329" w:rsidRPr="002029AF">
        <w:t xml:space="preserve"> </w:t>
      </w:r>
      <w:r w:rsidRPr="002029AF">
        <w:t>wellbeing</w:t>
      </w:r>
      <w:r w:rsidR="000A5329" w:rsidRPr="002029AF">
        <w:t xml:space="preserve"> </w:t>
      </w:r>
      <w:r w:rsidRPr="002029AF">
        <w:t>of</w:t>
      </w:r>
      <w:r w:rsidR="000A5329" w:rsidRPr="002029AF">
        <w:t xml:space="preserve"> </w:t>
      </w:r>
      <w:r w:rsidRPr="002029AF">
        <w:t>adolescents</w:t>
      </w:r>
      <w:r w:rsidR="000A5329" w:rsidRPr="002029AF">
        <w:t xml:space="preserve"> </w:t>
      </w:r>
      <w:r w:rsidRPr="002029AF">
        <w:t>and</w:t>
      </w:r>
      <w:r w:rsidR="000A5329" w:rsidRPr="002029AF">
        <w:t xml:space="preserve"> </w:t>
      </w:r>
      <w:r w:rsidRPr="002029AF">
        <w:t>children</w:t>
      </w:r>
      <w:r w:rsidR="000A5329" w:rsidRPr="002029AF">
        <w:t xml:space="preserve"> </w:t>
      </w:r>
      <w:r w:rsidRPr="002029AF">
        <w:t>at</w:t>
      </w:r>
      <w:r w:rsidR="000A5329" w:rsidRPr="002029AF">
        <w:t xml:space="preserve"> </w:t>
      </w:r>
      <w:r w:rsidRPr="002029AF">
        <w:t>risk</w:t>
      </w:r>
      <w:r w:rsidR="000A5329" w:rsidRPr="002029AF">
        <w:t xml:space="preserve"> </w:t>
      </w:r>
      <w:r w:rsidRPr="002029AF">
        <w:t>of</w:t>
      </w:r>
      <w:r w:rsidR="000A5329" w:rsidRPr="002029AF">
        <w:t xml:space="preserve"> </w:t>
      </w:r>
      <w:r w:rsidRPr="002029AF">
        <w:t>harm,</w:t>
      </w:r>
      <w:r w:rsidR="000A5329" w:rsidRPr="002029AF">
        <w:t xml:space="preserve"> </w:t>
      </w:r>
      <w:r w:rsidRPr="002029AF">
        <w:t>abuse</w:t>
      </w:r>
      <w:r w:rsidR="000A5329" w:rsidRPr="002029AF">
        <w:t xml:space="preserve"> </w:t>
      </w:r>
      <w:r w:rsidRPr="002029AF">
        <w:t>and</w:t>
      </w:r>
      <w:r w:rsidR="000A5329" w:rsidRPr="002029AF">
        <w:t xml:space="preserve"> </w:t>
      </w:r>
      <w:r w:rsidRPr="002029AF">
        <w:t>neglect.</w:t>
      </w:r>
      <w:r w:rsidR="000A5329" w:rsidRPr="002029AF">
        <w:t xml:space="preserve"> </w:t>
      </w:r>
      <w:r w:rsidRPr="002029AF">
        <w:t>This</w:t>
      </w:r>
      <w:r w:rsidR="000A5329" w:rsidRPr="002029AF">
        <w:t xml:space="preserve"> </w:t>
      </w:r>
      <w:r w:rsidRPr="002029AF">
        <w:t>output</w:t>
      </w:r>
      <w:r w:rsidR="000A5329" w:rsidRPr="002029AF">
        <w:t xml:space="preserve"> </w:t>
      </w:r>
      <w:r w:rsidRPr="002029AF">
        <w:t>aims</w:t>
      </w:r>
      <w:r w:rsidR="000A5329" w:rsidRPr="002029AF">
        <w:t xml:space="preserve"> </w:t>
      </w:r>
      <w:r w:rsidRPr="002029AF">
        <w:t>to</w:t>
      </w:r>
      <w:r w:rsidR="000A5329" w:rsidRPr="002029AF">
        <w:t xml:space="preserve"> </w:t>
      </w:r>
      <w:r w:rsidRPr="002029AF">
        <w:t>make</w:t>
      </w:r>
      <w:r w:rsidR="000A5329" w:rsidRPr="002029AF">
        <w:t xml:space="preserve"> </w:t>
      </w:r>
      <w:r w:rsidRPr="002029AF">
        <w:t>a</w:t>
      </w:r>
      <w:r w:rsidR="000A5329" w:rsidRPr="002029AF">
        <w:t xml:space="preserve"> </w:t>
      </w:r>
      <w:r w:rsidRPr="002029AF">
        <w:t>positive</w:t>
      </w:r>
      <w:r w:rsidR="000A5329" w:rsidRPr="002029AF">
        <w:t xml:space="preserve"> </w:t>
      </w:r>
      <w:r w:rsidRPr="002029AF">
        <w:t>difference</w:t>
      </w:r>
      <w:r w:rsidR="000A5329" w:rsidRPr="002029AF">
        <w:t xml:space="preserve"> </w:t>
      </w:r>
      <w:r w:rsidRPr="002029AF">
        <w:t>to</w:t>
      </w:r>
      <w:r w:rsidR="000A5329" w:rsidRPr="002029AF">
        <w:t xml:space="preserve"> </w:t>
      </w:r>
      <w:r w:rsidRPr="002029AF">
        <w:t>Victorians</w:t>
      </w:r>
      <w:r w:rsidR="000A5329" w:rsidRPr="002029AF">
        <w:t xml:space="preserve"> </w:t>
      </w:r>
      <w:r w:rsidRPr="002029AF">
        <w:t>experiencing</w:t>
      </w:r>
      <w:r w:rsidR="000A5329" w:rsidRPr="002029AF">
        <w:t xml:space="preserve"> </w:t>
      </w:r>
      <w:r w:rsidRPr="002029AF">
        <w:t>disadvantage</w:t>
      </w:r>
      <w:r w:rsidR="000A5329" w:rsidRPr="002029AF">
        <w:t xml:space="preserve"> </w:t>
      </w:r>
      <w:r w:rsidRPr="002029AF">
        <w:t>by</w:t>
      </w:r>
      <w:r w:rsidR="000A5329" w:rsidRPr="002029AF">
        <w:t xml:space="preserve"> </w:t>
      </w:r>
      <w:r w:rsidRPr="002029AF">
        <w:t>providing</w:t>
      </w:r>
      <w:r w:rsidR="000A5329" w:rsidRPr="002029AF">
        <w:t xml:space="preserve"> </w:t>
      </w:r>
      <w:r w:rsidRPr="002029AF">
        <w:t>excellent</w:t>
      </w:r>
      <w:r w:rsidR="000A5329" w:rsidRPr="002029AF">
        <w:t xml:space="preserve"> </w:t>
      </w:r>
      <w:r w:rsidRPr="002029AF">
        <w:t>community</w:t>
      </w:r>
      <w:r w:rsidR="000A5329" w:rsidRPr="002029AF">
        <w:t xml:space="preserve"> </w:t>
      </w:r>
      <w:r w:rsidRPr="002029AF">
        <w:t>services</w:t>
      </w:r>
      <w:r w:rsidR="000A5329" w:rsidRPr="002029AF">
        <w:t xml:space="preserve"> </w:t>
      </w:r>
      <w:r w:rsidRPr="002029AF">
        <w:t>to</w:t>
      </w:r>
      <w:r w:rsidR="000A5329" w:rsidRPr="002029AF">
        <w:t xml:space="preserve"> </w:t>
      </w:r>
      <w:r w:rsidRPr="002029AF">
        <w:t>meet</w:t>
      </w:r>
      <w:r w:rsidR="000A5329" w:rsidRPr="002029AF">
        <w:t xml:space="preserve"> </w:t>
      </w:r>
      <w:r w:rsidRPr="002029AF">
        <w:t>clients’</w:t>
      </w:r>
      <w:r w:rsidR="000A5329" w:rsidRPr="002029AF">
        <w:t xml:space="preserve"> </w:t>
      </w:r>
      <w:r w:rsidRPr="002029AF">
        <w:t>needs.</w:t>
      </w:r>
    </w:p>
    <w:tbl>
      <w:tblPr>
        <w:tblW w:w="9639" w:type="dxa"/>
        <w:tblLayout w:type="fixed"/>
        <w:tblCellMar>
          <w:left w:w="0" w:type="dxa"/>
        </w:tblCellMar>
        <w:tblLook w:val="04A0" w:firstRow="1" w:lastRow="0" w:firstColumn="1" w:lastColumn="0" w:noHBand="0" w:noVBand="1"/>
      </w:tblPr>
      <w:tblGrid>
        <w:gridCol w:w="4751"/>
        <w:gridCol w:w="1020"/>
        <w:gridCol w:w="1019"/>
        <w:gridCol w:w="1021"/>
        <w:gridCol w:w="1024"/>
        <w:gridCol w:w="795"/>
        <w:gridCol w:w="9"/>
      </w:tblGrid>
      <w:tr w:rsidR="005B58F0" w:rsidRPr="002029AF" w14:paraId="43C94FD2" w14:textId="77777777" w:rsidTr="000024F3">
        <w:trPr>
          <w:cantSplit/>
          <w:tblHeader/>
        </w:trPr>
        <w:tc>
          <w:tcPr>
            <w:tcW w:w="4751" w:type="dxa"/>
            <w:tcBorders>
              <w:top w:val="nil"/>
              <w:left w:val="nil"/>
              <w:bottom w:val="single" w:sz="4" w:space="0" w:color="auto"/>
              <w:right w:val="nil"/>
            </w:tcBorders>
            <w:vAlign w:val="bottom"/>
            <w:hideMark/>
          </w:tcPr>
          <w:p w14:paraId="5CB5EBF4" w14:textId="3ABFE42C" w:rsidR="005B58F0" w:rsidRPr="002029AF" w:rsidRDefault="005B58F0" w:rsidP="0014376C">
            <w:pPr>
              <w:pStyle w:val="ARtablecolhead"/>
            </w:pPr>
            <w:r w:rsidRPr="002029AF">
              <w:t>Performance</w:t>
            </w:r>
            <w:r w:rsidR="000A5329" w:rsidRPr="002029AF">
              <w:t xml:space="preserve"> </w:t>
            </w:r>
            <w:r w:rsidRPr="002029AF">
              <w:t>measures</w:t>
            </w:r>
          </w:p>
        </w:tc>
        <w:tc>
          <w:tcPr>
            <w:tcW w:w="1020" w:type="dxa"/>
            <w:tcBorders>
              <w:top w:val="nil"/>
              <w:left w:val="nil"/>
              <w:bottom w:val="single" w:sz="4" w:space="0" w:color="auto"/>
              <w:right w:val="nil"/>
            </w:tcBorders>
            <w:vAlign w:val="bottom"/>
            <w:hideMark/>
          </w:tcPr>
          <w:p w14:paraId="4A29D82B" w14:textId="1D98EB57" w:rsidR="005B58F0" w:rsidRPr="002029AF" w:rsidRDefault="005B58F0" w:rsidP="0014376C">
            <w:pPr>
              <w:pStyle w:val="ARtablecolhead"/>
            </w:pPr>
            <w:r w:rsidRPr="002029AF">
              <w:t>Unit</w:t>
            </w:r>
            <w:r w:rsidR="000A5329" w:rsidRPr="002029AF">
              <w:t xml:space="preserve"> </w:t>
            </w:r>
            <w:r w:rsidRPr="002029AF">
              <w:t>of</w:t>
            </w:r>
            <w:r w:rsidR="000A5329" w:rsidRPr="002029AF">
              <w:t xml:space="preserve"> </w:t>
            </w:r>
            <w:r w:rsidRPr="002029AF">
              <w:t>measure</w:t>
            </w:r>
          </w:p>
        </w:tc>
        <w:tc>
          <w:tcPr>
            <w:tcW w:w="1019" w:type="dxa"/>
            <w:tcBorders>
              <w:top w:val="nil"/>
              <w:left w:val="nil"/>
              <w:bottom w:val="single" w:sz="4" w:space="0" w:color="auto"/>
              <w:right w:val="nil"/>
            </w:tcBorders>
            <w:vAlign w:val="bottom"/>
            <w:hideMark/>
          </w:tcPr>
          <w:p w14:paraId="4256C303" w14:textId="40D2B797" w:rsidR="005B58F0" w:rsidRPr="002029AF" w:rsidRDefault="005B58F0" w:rsidP="0014376C">
            <w:pPr>
              <w:pStyle w:val="ARtablecolheadright"/>
            </w:pPr>
            <w:r w:rsidRPr="002029AF">
              <w:t>2019–20</w:t>
            </w:r>
            <w:r w:rsidR="000A5329" w:rsidRPr="002029AF">
              <w:t xml:space="preserve"> </w:t>
            </w:r>
            <w:r w:rsidRPr="002029AF">
              <w:t>target</w:t>
            </w:r>
          </w:p>
        </w:tc>
        <w:tc>
          <w:tcPr>
            <w:tcW w:w="1021" w:type="dxa"/>
            <w:tcBorders>
              <w:top w:val="nil"/>
              <w:left w:val="nil"/>
              <w:bottom w:val="single" w:sz="4" w:space="0" w:color="auto"/>
              <w:right w:val="nil"/>
            </w:tcBorders>
            <w:vAlign w:val="bottom"/>
            <w:hideMark/>
          </w:tcPr>
          <w:p w14:paraId="15841851" w14:textId="38DC148C" w:rsidR="005B58F0" w:rsidRPr="002029AF" w:rsidRDefault="005B58F0" w:rsidP="0014376C">
            <w:pPr>
              <w:pStyle w:val="ARtablecolheadright"/>
            </w:pPr>
            <w:r w:rsidRPr="002029AF">
              <w:t>2019–20</w:t>
            </w:r>
            <w:r w:rsidR="000A5329" w:rsidRPr="002029AF">
              <w:t xml:space="preserve"> </w:t>
            </w:r>
            <w:r w:rsidRPr="002029AF">
              <w:t>actual</w:t>
            </w:r>
          </w:p>
        </w:tc>
        <w:tc>
          <w:tcPr>
            <w:tcW w:w="1024" w:type="dxa"/>
            <w:tcBorders>
              <w:top w:val="nil"/>
              <w:left w:val="nil"/>
              <w:bottom w:val="single" w:sz="4" w:space="0" w:color="auto"/>
              <w:right w:val="nil"/>
            </w:tcBorders>
            <w:vAlign w:val="bottom"/>
            <w:hideMark/>
          </w:tcPr>
          <w:p w14:paraId="07A5A72F" w14:textId="053A7691" w:rsidR="005B58F0" w:rsidRPr="002029AF" w:rsidRDefault="005B58F0" w:rsidP="0014376C">
            <w:pPr>
              <w:pStyle w:val="ARtablecolheadright"/>
            </w:pPr>
            <w:r w:rsidRPr="002029AF">
              <w:t>Variation</w:t>
            </w:r>
            <w:r w:rsidR="000A5329" w:rsidRPr="002029AF">
              <w:t xml:space="preserve"> </w:t>
            </w:r>
            <w:r w:rsidRPr="002029AF">
              <w:t>(%)</w:t>
            </w:r>
          </w:p>
        </w:tc>
        <w:tc>
          <w:tcPr>
            <w:tcW w:w="804" w:type="dxa"/>
            <w:gridSpan w:val="2"/>
            <w:tcBorders>
              <w:top w:val="nil"/>
              <w:left w:val="nil"/>
              <w:bottom w:val="single" w:sz="4" w:space="0" w:color="auto"/>
              <w:right w:val="nil"/>
            </w:tcBorders>
            <w:vAlign w:val="bottom"/>
            <w:hideMark/>
          </w:tcPr>
          <w:p w14:paraId="790B5BAF" w14:textId="77777777" w:rsidR="005B58F0" w:rsidRPr="002029AF" w:rsidRDefault="005B58F0" w:rsidP="000D3C3F">
            <w:pPr>
              <w:pStyle w:val="ARtablecolheadcentre"/>
            </w:pPr>
            <w:r w:rsidRPr="002029AF">
              <w:t>Result</w:t>
            </w:r>
          </w:p>
        </w:tc>
      </w:tr>
      <w:tr w:rsidR="00C15C65" w:rsidRPr="002029AF" w14:paraId="665CFF37" w14:textId="77777777" w:rsidTr="005B58F0">
        <w:trPr>
          <w:cantSplit/>
        </w:trPr>
        <w:tc>
          <w:tcPr>
            <w:tcW w:w="9639" w:type="dxa"/>
            <w:gridSpan w:val="7"/>
            <w:tcBorders>
              <w:top w:val="single" w:sz="4" w:space="0" w:color="auto"/>
              <w:left w:val="nil"/>
              <w:bottom w:val="single" w:sz="4" w:space="0" w:color="auto"/>
              <w:right w:val="nil"/>
            </w:tcBorders>
            <w:hideMark/>
          </w:tcPr>
          <w:p w14:paraId="3CFA38AC" w14:textId="348C0696" w:rsidR="00C15C65" w:rsidRPr="002029AF" w:rsidRDefault="00C15C65" w:rsidP="007666A5">
            <w:pPr>
              <w:pStyle w:val="ARtablesubhead"/>
            </w:pPr>
            <w:r w:rsidRPr="002029AF">
              <w:t>Child</w:t>
            </w:r>
            <w:r w:rsidR="000A5329" w:rsidRPr="002029AF">
              <w:t xml:space="preserve"> </w:t>
            </w:r>
            <w:r w:rsidRPr="002029AF">
              <w:t>Protection</w:t>
            </w:r>
            <w:r w:rsidR="000A5329" w:rsidRPr="002029AF">
              <w:t xml:space="preserve"> </w:t>
            </w:r>
            <w:r w:rsidRPr="002029AF">
              <w:t>and</w:t>
            </w:r>
            <w:r w:rsidR="000A5329" w:rsidRPr="002029AF">
              <w:t xml:space="preserve"> </w:t>
            </w:r>
            <w:r w:rsidRPr="002029AF">
              <w:t>Family</w:t>
            </w:r>
            <w:r w:rsidR="000A5329" w:rsidRPr="002029AF">
              <w:t xml:space="preserve"> </w:t>
            </w:r>
            <w:r w:rsidRPr="002029AF">
              <w:t>Services</w:t>
            </w:r>
          </w:p>
        </w:tc>
      </w:tr>
      <w:tr w:rsidR="00C15C65" w:rsidRPr="002029AF" w14:paraId="5E63DAFB" w14:textId="77777777" w:rsidTr="005B58F0">
        <w:trPr>
          <w:cantSplit/>
        </w:trPr>
        <w:tc>
          <w:tcPr>
            <w:tcW w:w="9639" w:type="dxa"/>
            <w:gridSpan w:val="7"/>
            <w:tcBorders>
              <w:top w:val="single" w:sz="4" w:space="0" w:color="auto"/>
              <w:left w:val="nil"/>
              <w:right w:val="nil"/>
            </w:tcBorders>
            <w:hideMark/>
          </w:tcPr>
          <w:p w14:paraId="18B7CDEE" w14:textId="77777777" w:rsidR="00C15C65" w:rsidRPr="002029AF" w:rsidRDefault="00C15C65" w:rsidP="00D96AFD">
            <w:pPr>
              <w:pStyle w:val="ARtablegreybold"/>
            </w:pPr>
            <w:r w:rsidRPr="002029AF">
              <w:t>Quantity</w:t>
            </w:r>
          </w:p>
        </w:tc>
      </w:tr>
      <w:tr w:rsidR="00C15C65" w:rsidRPr="002029AF" w14:paraId="2B5BF959" w14:textId="77777777" w:rsidTr="000024F3">
        <w:trPr>
          <w:gridAfter w:val="1"/>
          <w:wAfter w:w="9" w:type="dxa"/>
          <w:cantSplit/>
        </w:trPr>
        <w:tc>
          <w:tcPr>
            <w:tcW w:w="4751" w:type="dxa"/>
            <w:tcBorders>
              <w:bottom w:val="single" w:sz="4" w:space="0" w:color="BFBFBF"/>
            </w:tcBorders>
            <w:shd w:val="clear" w:color="auto" w:fill="auto"/>
            <w:hideMark/>
          </w:tcPr>
          <w:p w14:paraId="37D4BFE0" w14:textId="09F0C251" w:rsidR="00C15C65" w:rsidRPr="002029AF" w:rsidRDefault="00C15C65" w:rsidP="00C40F5D">
            <w:pPr>
              <w:pStyle w:val="ARtabletext"/>
            </w:pPr>
            <w:r w:rsidRPr="002029AF">
              <w:t>Daily</w:t>
            </w:r>
            <w:r w:rsidR="000A5329" w:rsidRPr="002029AF">
              <w:t xml:space="preserve"> </w:t>
            </w:r>
            <w:r w:rsidRPr="002029AF">
              <w:t>average</w:t>
            </w:r>
            <w:r w:rsidR="000A5329" w:rsidRPr="002029AF">
              <w:t xml:space="preserve"> </w:t>
            </w:r>
            <w:r w:rsidRPr="002029AF">
              <w:t>number</w:t>
            </w:r>
            <w:r w:rsidR="000A5329" w:rsidRPr="002029AF">
              <w:t xml:space="preserve"> </w:t>
            </w:r>
            <w:r w:rsidRPr="002029AF">
              <w:t>of</w:t>
            </w:r>
            <w:r w:rsidR="000A5329" w:rsidRPr="002029AF">
              <w:t xml:space="preserve"> </w:t>
            </w:r>
            <w:r w:rsidRPr="002029AF">
              <w:t>children</w:t>
            </w:r>
            <w:r w:rsidR="000A5329" w:rsidRPr="002029AF">
              <w:t xml:space="preserve"> </w:t>
            </w:r>
            <w:r w:rsidRPr="002029AF">
              <w:t>in</w:t>
            </w:r>
            <w:r w:rsidR="000A5329" w:rsidRPr="002029AF">
              <w:t xml:space="preserve"> </w:t>
            </w:r>
            <w:r w:rsidRPr="002029AF">
              <w:t>out-of-home</w:t>
            </w:r>
            <w:r w:rsidR="000A5329" w:rsidRPr="002029AF">
              <w:t xml:space="preserve"> </w:t>
            </w:r>
            <w:r w:rsidRPr="002029AF">
              <w:t>care</w:t>
            </w:r>
            <w:r w:rsidR="000A5329" w:rsidRPr="002029AF">
              <w:t xml:space="preserve"> </w:t>
            </w:r>
            <w:r w:rsidRPr="002029AF">
              <w:t>placements</w:t>
            </w:r>
          </w:p>
        </w:tc>
        <w:tc>
          <w:tcPr>
            <w:tcW w:w="1020" w:type="dxa"/>
            <w:tcBorders>
              <w:bottom w:val="single" w:sz="4" w:space="0" w:color="BFBFBF"/>
            </w:tcBorders>
            <w:shd w:val="clear" w:color="auto" w:fill="auto"/>
            <w:hideMark/>
          </w:tcPr>
          <w:p w14:paraId="77D1D567" w14:textId="77777777" w:rsidR="00C15C65" w:rsidRPr="002029AF" w:rsidRDefault="00C15C65" w:rsidP="00C40F5D">
            <w:pPr>
              <w:pStyle w:val="ARtabletext"/>
            </w:pPr>
            <w:r w:rsidRPr="002029AF">
              <w:t>number</w:t>
            </w:r>
          </w:p>
        </w:tc>
        <w:tc>
          <w:tcPr>
            <w:tcW w:w="1019" w:type="dxa"/>
            <w:tcBorders>
              <w:bottom w:val="single" w:sz="4" w:space="0" w:color="BFBFBF"/>
            </w:tcBorders>
            <w:shd w:val="clear" w:color="auto" w:fill="auto"/>
            <w:hideMark/>
          </w:tcPr>
          <w:p w14:paraId="47F4D93D" w14:textId="77777777" w:rsidR="00C15C65" w:rsidRPr="002029AF" w:rsidRDefault="00C15C65" w:rsidP="000024F3">
            <w:pPr>
              <w:pStyle w:val="ARtabletextright"/>
            </w:pPr>
            <w:r w:rsidRPr="002029AF">
              <w:t>11,868</w:t>
            </w:r>
          </w:p>
        </w:tc>
        <w:tc>
          <w:tcPr>
            <w:tcW w:w="1021" w:type="dxa"/>
            <w:tcBorders>
              <w:bottom w:val="single" w:sz="4" w:space="0" w:color="BFBFBF"/>
            </w:tcBorders>
            <w:shd w:val="clear" w:color="auto" w:fill="auto"/>
            <w:hideMark/>
          </w:tcPr>
          <w:p w14:paraId="173EC6B7" w14:textId="77777777" w:rsidR="00C15C65" w:rsidRPr="002029AF" w:rsidRDefault="00C15C65" w:rsidP="000024F3">
            <w:pPr>
              <w:pStyle w:val="ARtabletextright"/>
            </w:pPr>
            <w:r w:rsidRPr="002029AF">
              <w:t>12,188.1</w:t>
            </w:r>
          </w:p>
        </w:tc>
        <w:tc>
          <w:tcPr>
            <w:tcW w:w="1024" w:type="dxa"/>
            <w:tcBorders>
              <w:bottom w:val="single" w:sz="4" w:space="0" w:color="BFBFBF"/>
            </w:tcBorders>
            <w:shd w:val="clear" w:color="auto" w:fill="auto"/>
          </w:tcPr>
          <w:p w14:paraId="5E5A0DE1" w14:textId="77777777" w:rsidR="00C15C65" w:rsidRPr="002029AF" w:rsidRDefault="00C15C65" w:rsidP="000024F3">
            <w:pPr>
              <w:pStyle w:val="ARtabletextright"/>
            </w:pPr>
            <w:r w:rsidRPr="002029AF">
              <w:t>2.7</w:t>
            </w:r>
          </w:p>
        </w:tc>
        <w:tc>
          <w:tcPr>
            <w:tcW w:w="795" w:type="dxa"/>
            <w:tcBorders>
              <w:bottom w:val="single" w:sz="4" w:space="0" w:color="BFBFBF"/>
            </w:tcBorders>
            <w:shd w:val="clear" w:color="auto" w:fill="auto"/>
            <w:hideMark/>
          </w:tcPr>
          <w:p w14:paraId="3FD361CE"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274FFF15" w14:textId="77777777" w:rsidTr="000024F3">
        <w:trPr>
          <w:gridAfter w:val="1"/>
          <w:wAfter w:w="9" w:type="dxa"/>
          <w:cantSplit/>
        </w:trPr>
        <w:tc>
          <w:tcPr>
            <w:tcW w:w="4751" w:type="dxa"/>
            <w:tcBorders>
              <w:top w:val="single" w:sz="4" w:space="0" w:color="BFBFBF"/>
            </w:tcBorders>
            <w:shd w:val="clear" w:color="auto" w:fill="auto"/>
            <w:hideMark/>
          </w:tcPr>
          <w:p w14:paraId="02799930" w14:textId="2C565628" w:rsidR="00C15C65" w:rsidRPr="002029AF" w:rsidRDefault="00C15C65" w:rsidP="00C40F5D">
            <w:pPr>
              <w:pStyle w:val="ARtabletext"/>
            </w:pPr>
            <w:r w:rsidRPr="002029AF">
              <w:t>Number</w:t>
            </w:r>
            <w:r w:rsidR="000A5329" w:rsidRPr="002029AF">
              <w:t xml:space="preserve"> </w:t>
            </w:r>
            <w:r w:rsidRPr="002029AF">
              <w:t>of</w:t>
            </w:r>
            <w:r w:rsidR="000A5329" w:rsidRPr="002029AF">
              <w:t xml:space="preserve"> </w:t>
            </w:r>
            <w:r w:rsidRPr="002029AF">
              <w:t>Child</w:t>
            </w:r>
            <w:r w:rsidR="000A5329" w:rsidRPr="002029AF">
              <w:t xml:space="preserve"> </w:t>
            </w:r>
            <w:r w:rsidRPr="002029AF">
              <w:t>FIRST</w:t>
            </w:r>
            <w:r w:rsidR="000A5329" w:rsidRPr="002029AF">
              <w:t xml:space="preserve"> </w:t>
            </w:r>
            <w:r w:rsidRPr="002029AF">
              <w:t>assessments</w:t>
            </w:r>
            <w:r w:rsidR="000A5329" w:rsidRPr="002029AF">
              <w:t xml:space="preserve"> </w:t>
            </w:r>
            <w:r w:rsidRPr="002029AF">
              <w:t>and</w:t>
            </w:r>
            <w:r w:rsidR="000A5329" w:rsidRPr="002029AF">
              <w:t xml:space="preserve"> </w:t>
            </w:r>
            <w:r w:rsidRPr="002029AF">
              <w:t>interventions</w:t>
            </w:r>
          </w:p>
        </w:tc>
        <w:tc>
          <w:tcPr>
            <w:tcW w:w="1020" w:type="dxa"/>
            <w:tcBorders>
              <w:top w:val="single" w:sz="4" w:space="0" w:color="BFBFBF"/>
            </w:tcBorders>
            <w:shd w:val="clear" w:color="auto" w:fill="auto"/>
            <w:hideMark/>
          </w:tcPr>
          <w:p w14:paraId="0DF66F5A" w14:textId="77777777" w:rsidR="00C15C65" w:rsidRPr="002029AF" w:rsidRDefault="00C15C65" w:rsidP="00C40F5D">
            <w:pPr>
              <w:pStyle w:val="ARtabletext"/>
            </w:pPr>
            <w:r w:rsidRPr="002029AF">
              <w:t>number</w:t>
            </w:r>
          </w:p>
        </w:tc>
        <w:tc>
          <w:tcPr>
            <w:tcW w:w="1019" w:type="dxa"/>
            <w:tcBorders>
              <w:top w:val="single" w:sz="4" w:space="0" w:color="BFBFBF"/>
            </w:tcBorders>
            <w:shd w:val="clear" w:color="auto" w:fill="auto"/>
            <w:hideMark/>
          </w:tcPr>
          <w:p w14:paraId="421A89EB" w14:textId="77777777" w:rsidR="00C15C65" w:rsidRPr="002029AF" w:rsidRDefault="00C15C65" w:rsidP="000024F3">
            <w:pPr>
              <w:pStyle w:val="ARtabletextright"/>
            </w:pPr>
            <w:r w:rsidRPr="002029AF">
              <w:t>8,064</w:t>
            </w:r>
          </w:p>
        </w:tc>
        <w:tc>
          <w:tcPr>
            <w:tcW w:w="1021" w:type="dxa"/>
            <w:tcBorders>
              <w:top w:val="single" w:sz="4" w:space="0" w:color="BFBFBF"/>
            </w:tcBorders>
            <w:shd w:val="clear" w:color="auto" w:fill="auto"/>
            <w:hideMark/>
          </w:tcPr>
          <w:p w14:paraId="0F29CC06" w14:textId="77777777" w:rsidR="00C15C65" w:rsidRPr="002029AF" w:rsidRDefault="00C15C65" w:rsidP="000024F3">
            <w:pPr>
              <w:pStyle w:val="ARtabletextright"/>
            </w:pPr>
            <w:r w:rsidRPr="002029AF">
              <w:t>16,035</w:t>
            </w:r>
          </w:p>
        </w:tc>
        <w:tc>
          <w:tcPr>
            <w:tcW w:w="1024" w:type="dxa"/>
            <w:tcBorders>
              <w:top w:val="single" w:sz="4" w:space="0" w:color="BFBFBF"/>
            </w:tcBorders>
            <w:shd w:val="clear" w:color="auto" w:fill="auto"/>
          </w:tcPr>
          <w:p w14:paraId="5184B8E0" w14:textId="77777777" w:rsidR="00C15C65" w:rsidRPr="002029AF" w:rsidRDefault="00C15C65" w:rsidP="000024F3">
            <w:pPr>
              <w:pStyle w:val="ARtabletextright"/>
            </w:pPr>
            <w:r w:rsidRPr="002029AF">
              <w:t>98.8</w:t>
            </w:r>
          </w:p>
        </w:tc>
        <w:tc>
          <w:tcPr>
            <w:tcW w:w="795" w:type="dxa"/>
            <w:tcBorders>
              <w:top w:val="single" w:sz="4" w:space="0" w:color="BFBFBF"/>
            </w:tcBorders>
            <w:shd w:val="clear" w:color="auto" w:fill="auto"/>
            <w:hideMark/>
          </w:tcPr>
          <w:p w14:paraId="6BB55A24"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78C761B8" w14:textId="77777777" w:rsidTr="000024F3">
        <w:trPr>
          <w:gridAfter w:val="1"/>
          <w:wAfter w:w="9" w:type="dxa"/>
          <w:cantSplit/>
        </w:trPr>
        <w:tc>
          <w:tcPr>
            <w:tcW w:w="9630" w:type="dxa"/>
            <w:gridSpan w:val="6"/>
            <w:tcBorders>
              <w:bottom w:val="single" w:sz="4" w:space="0" w:color="BFBFBF"/>
            </w:tcBorders>
            <w:shd w:val="clear" w:color="auto" w:fill="auto"/>
            <w:noWrap/>
            <w:hideMark/>
          </w:tcPr>
          <w:p w14:paraId="42F9809A" w14:textId="3EB0DA43" w:rsidR="00C15C65" w:rsidRPr="002029AF" w:rsidRDefault="007C3CCB" w:rsidP="00397FEB">
            <w:pPr>
              <w:pStyle w:val="ARtablenoteindent"/>
            </w:pPr>
            <w:r w:rsidRPr="002029AF">
              <w:t xml:space="preserve">The result </w:t>
            </w:r>
            <w:r w:rsidR="00975E07">
              <w:t xml:space="preserve">deviates from </w:t>
            </w:r>
            <w:r w:rsidRPr="002029AF">
              <w:t xml:space="preserve">the target due to high demand and shows Child FIRST responsiveness to vulnerable families. </w:t>
            </w:r>
          </w:p>
        </w:tc>
      </w:tr>
      <w:tr w:rsidR="00C15C65" w:rsidRPr="002029AF" w14:paraId="7637B82E" w14:textId="77777777" w:rsidTr="000024F3">
        <w:trPr>
          <w:gridAfter w:val="1"/>
          <w:wAfter w:w="9" w:type="dxa"/>
          <w:cantSplit/>
        </w:trPr>
        <w:tc>
          <w:tcPr>
            <w:tcW w:w="4751" w:type="dxa"/>
            <w:shd w:val="clear" w:color="auto" w:fill="auto"/>
            <w:hideMark/>
          </w:tcPr>
          <w:p w14:paraId="13FCBE84" w14:textId="2A3E30B2" w:rsidR="00C15C65" w:rsidRPr="002029AF" w:rsidRDefault="00C15C65" w:rsidP="006D5287">
            <w:pPr>
              <w:pStyle w:val="ARtabletext"/>
              <w:keepNext/>
            </w:pPr>
            <w:r w:rsidRPr="002029AF">
              <w:lastRenderedPageBreak/>
              <w:t>Number</w:t>
            </w:r>
            <w:r w:rsidR="000A5329" w:rsidRPr="002029AF">
              <w:t xml:space="preserve"> </w:t>
            </w:r>
            <w:r w:rsidRPr="002029AF">
              <w:t>of</w:t>
            </w:r>
            <w:r w:rsidR="000A5329" w:rsidRPr="002029AF">
              <w:t xml:space="preserve"> </w:t>
            </w:r>
            <w:r w:rsidRPr="002029AF">
              <w:t>children</w:t>
            </w:r>
            <w:r w:rsidR="000A5329" w:rsidRPr="002029AF">
              <w:t xml:space="preserve"> </w:t>
            </w:r>
            <w:r w:rsidRPr="002029AF">
              <w:t>in</w:t>
            </w:r>
            <w:r w:rsidR="000A5329" w:rsidRPr="002029AF">
              <w:t xml:space="preserve"> </w:t>
            </w:r>
            <w:r w:rsidRPr="002029AF">
              <w:t>kinship</w:t>
            </w:r>
            <w:r w:rsidR="000A5329" w:rsidRPr="002029AF">
              <w:t xml:space="preserve"> </w:t>
            </w:r>
            <w:r w:rsidRPr="002029AF">
              <w:t>care</w:t>
            </w:r>
            <w:r w:rsidR="000A5329" w:rsidRPr="002029AF">
              <w:t xml:space="preserve"> </w:t>
            </w:r>
            <w:r w:rsidRPr="002029AF">
              <w:t>whose</w:t>
            </w:r>
            <w:r w:rsidR="000A5329" w:rsidRPr="002029AF">
              <w:t xml:space="preserve"> </w:t>
            </w:r>
            <w:r w:rsidRPr="002029AF">
              <w:t>placements</w:t>
            </w:r>
            <w:r w:rsidR="000A5329" w:rsidRPr="002029AF">
              <w:t xml:space="preserve"> </w:t>
            </w:r>
            <w:r w:rsidRPr="002029AF">
              <w:t>are</w:t>
            </w:r>
            <w:r w:rsidR="000A5329" w:rsidRPr="002029AF">
              <w:t xml:space="preserve"> </w:t>
            </w:r>
            <w:r w:rsidRPr="002029AF">
              <w:t>managed</w:t>
            </w:r>
            <w:r w:rsidR="000A5329" w:rsidRPr="002029AF">
              <w:t xml:space="preserve"> </w:t>
            </w:r>
            <w:r w:rsidRPr="002029AF">
              <w:t>by</w:t>
            </w:r>
            <w:r w:rsidR="000A5329" w:rsidRPr="002029AF">
              <w:t xml:space="preserve"> </w:t>
            </w:r>
            <w:r w:rsidRPr="002029AF">
              <w:t>community</w:t>
            </w:r>
            <w:r w:rsidR="000A5329" w:rsidRPr="002029AF">
              <w:t xml:space="preserve"> </w:t>
            </w:r>
            <w:r w:rsidRPr="002029AF">
              <w:t>service</w:t>
            </w:r>
            <w:r w:rsidR="000A5329" w:rsidRPr="002029AF">
              <w:t xml:space="preserve"> </w:t>
            </w:r>
            <w:r w:rsidRPr="002029AF">
              <w:t>organisations</w:t>
            </w:r>
          </w:p>
        </w:tc>
        <w:tc>
          <w:tcPr>
            <w:tcW w:w="1020" w:type="dxa"/>
            <w:shd w:val="clear" w:color="auto" w:fill="auto"/>
            <w:hideMark/>
          </w:tcPr>
          <w:p w14:paraId="62258C5E" w14:textId="77777777" w:rsidR="00C15C65" w:rsidRPr="002029AF" w:rsidRDefault="00C15C65" w:rsidP="00C40F5D">
            <w:pPr>
              <w:pStyle w:val="ARtabletext"/>
            </w:pPr>
            <w:r w:rsidRPr="002029AF">
              <w:t>number</w:t>
            </w:r>
          </w:p>
        </w:tc>
        <w:tc>
          <w:tcPr>
            <w:tcW w:w="1019" w:type="dxa"/>
            <w:shd w:val="clear" w:color="auto" w:fill="auto"/>
            <w:hideMark/>
          </w:tcPr>
          <w:p w14:paraId="5586D7C0" w14:textId="77777777" w:rsidR="00C15C65" w:rsidRPr="002029AF" w:rsidRDefault="00C15C65" w:rsidP="000024F3">
            <w:pPr>
              <w:pStyle w:val="ARtabletextright"/>
            </w:pPr>
            <w:r w:rsidRPr="002029AF">
              <w:t>1,434</w:t>
            </w:r>
          </w:p>
        </w:tc>
        <w:tc>
          <w:tcPr>
            <w:tcW w:w="1021" w:type="dxa"/>
            <w:shd w:val="clear" w:color="auto" w:fill="auto"/>
            <w:hideMark/>
          </w:tcPr>
          <w:p w14:paraId="310FC647" w14:textId="77777777" w:rsidR="00C15C65" w:rsidRPr="002029AF" w:rsidRDefault="00C15C65" w:rsidP="000024F3">
            <w:pPr>
              <w:pStyle w:val="ARtabletextright"/>
            </w:pPr>
            <w:r w:rsidRPr="002029AF">
              <w:t>1,707</w:t>
            </w:r>
          </w:p>
        </w:tc>
        <w:tc>
          <w:tcPr>
            <w:tcW w:w="1024" w:type="dxa"/>
            <w:shd w:val="clear" w:color="auto" w:fill="auto"/>
          </w:tcPr>
          <w:p w14:paraId="4536705A" w14:textId="77777777" w:rsidR="00C15C65" w:rsidRPr="002029AF" w:rsidRDefault="00C15C65" w:rsidP="000024F3">
            <w:pPr>
              <w:pStyle w:val="ARtabletextright"/>
            </w:pPr>
            <w:r w:rsidRPr="002029AF">
              <w:t>19.0</w:t>
            </w:r>
          </w:p>
        </w:tc>
        <w:tc>
          <w:tcPr>
            <w:tcW w:w="795" w:type="dxa"/>
            <w:shd w:val="clear" w:color="auto" w:fill="auto"/>
            <w:hideMark/>
          </w:tcPr>
          <w:p w14:paraId="54810F60"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1DE55C48" w14:textId="77777777" w:rsidTr="000024F3">
        <w:trPr>
          <w:gridAfter w:val="1"/>
          <w:wAfter w:w="9" w:type="dxa"/>
          <w:cantSplit/>
        </w:trPr>
        <w:tc>
          <w:tcPr>
            <w:tcW w:w="9630" w:type="dxa"/>
            <w:gridSpan w:val="6"/>
            <w:tcBorders>
              <w:bottom w:val="single" w:sz="4" w:space="0" w:color="BFBFBF"/>
            </w:tcBorders>
            <w:shd w:val="clear" w:color="auto" w:fill="auto"/>
            <w:noWrap/>
            <w:hideMark/>
          </w:tcPr>
          <w:p w14:paraId="52A1A28A" w14:textId="241572AF" w:rsidR="00C15C65" w:rsidRPr="002029AF" w:rsidRDefault="00C15C65" w:rsidP="00D96AFD">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and</w:t>
            </w:r>
            <w:r w:rsidR="000A5329" w:rsidRPr="002029AF">
              <w:t xml:space="preserve"> </w:t>
            </w:r>
            <w:r w:rsidRPr="002029AF">
              <w:t>reflects</w:t>
            </w:r>
            <w:r w:rsidR="000A5329" w:rsidRPr="002029AF">
              <w:t xml:space="preserve"> </w:t>
            </w:r>
            <w:r w:rsidRPr="002029AF">
              <w:t>the</w:t>
            </w:r>
            <w:r w:rsidR="000A5329" w:rsidRPr="002029AF">
              <w:t xml:space="preserve"> </w:t>
            </w:r>
            <w:r w:rsidRPr="002029AF">
              <w:t>implementation</w:t>
            </w:r>
            <w:r w:rsidR="000A5329" w:rsidRPr="002029AF">
              <w:t xml:space="preserve"> </w:t>
            </w:r>
            <w:r w:rsidRPr="002029AF">
              <w:t>of</w:t>
            </w:r>
            <w:r w:rsidR="000A5329" w:rsidRPr="002029AF">
              <w:t xml:space="preserve"> </w:t>
            </w:r>
            <w:r w:rsidRPr="002029AF">
              <w:t>a</w:t>
            </w:r>
            <w:r w:rsidR="000A5329" w:rsidRPr="002029AF">
              <w:t xml:space="preserve"> </w:t>
            </w:r>
            <w:r w:rsidRPr="002029AF">
              <w:t>new</w:t>
            </w:r>
            <w:r w:rsidR="000A5329" w:rsidRPr="002029AF">
              <w:t xml:space="preserve"> </w:t>
            </w:r>
            <w:r w:rsidRPr="002029AF">
              <w:t>model</w:t>
            </w:r>
            <w:r w:rsidR="000A5329" w:rsidRPr="002029AF">
              <w:t xml:space="preserve"> </w:t>
            </w:r>
            <w:r w:rsidRPr="002029AF">
              <w:t>of</w:t>
            </w:r>
            <w:r w:rsidR="000A5329" w:rsidRPr="002029AF">
              <w:t xml:space="preserve"> </w:t>
            </w:r>
            <w:r w:rsidRPr="002029AF">
              <w:t>kinship</w:t>
            </w:r>
            <w:r w:rsidR="000A5329" w:rsidRPr="002029AF">
              <w:t xml:space="preserve"> </w:t>
            </w:r>
            <w:r w:rsidRPr="002029AF">
              <w:t>care,</w:t>
            </w:r>
            <w:r w:rsidR="000A5329" w:rsidRPr="002029AF">
              <w:t xml:space="preserve"> </w:t>
            </w:r>
            <w:r w:rsidRPr="002029AF">
              <w:t>which</w:t>
            </w:r>
            <w:r w:rsidR="000A5329" w:rsidRPr="002029AF">
              <w:t xml:space="preserve"> </w:t>
            </w:r>
            <w:r w:rsidRPr="002029AF">
              <w:t>includes</w:t>
            </w:r>
            <w:r w:rsidR="000A5329" w:rsidRPr="002029AF">
              <w:t xml:space="preserve"> </w:t>
            </w:r>
            <w:r w:rsidRPr="002029AF">
              <w:t>additional</w:t>
            </w:r>
            <w:r w:rsidR="000A5329" w:rsidRPr="002029AF">
              <w:t xml:space="preserve"> </w:t>
            </w:r>
            <w:r w:rsidRPr="002029AF">
              <w:t>placements</w:t>
            </w:r>
            <w:r w:rsidR="000A5329" w:rsidRPr="002029AF">
              <w:t xml:space="preserve"> </w:t>
            </w:r>
            <w:r w:rsidRPr="002029AF">
              <w:t>managed</w:t>
            </w:r>
            <w:r w:rsidR="000A5329" w:rsidRPr="002029AF">
              <w:t xml:space="preserve"> </w:t>
            </w:r>
            <w:r w:rsidRPr="002029AF">
              <w:t>by</w:t>
            </w:r>
            <w:r w:rsidR="000A5329" w:rsidRPr="002029AF">
              <w:t xml:space="preserve"> </w:t>
            </w:r>
            <w:r w:rsidRPr="002029AF">
              <w:t>community</w:t>
            </w:r>
            <w:r w:rsidR="000A5329" w:rsidRPr="002029AF">
              <w:t xml:space="preserve"> </w:t>
            </w:r>
            <w:r w:rsidRPr="002029AF">
              <w:t>service</w:t>
            </w:r>
            <w:r w:rsidR="000A5329" w:rsidRPr="002029AF">
              <w:t xml:space="preserve"> </w:t>
            </w:r>
            <w:r w:rsidRPr="002029AF">
              <w:t>organisations.</w:t>
            </w:r>
            <w:r w:rsidR="000A5329" w:rsidRPr="002029AF">
              <w:t xml:space="preserve"> </w:t>
            </w:r>
            <w:r w:rsidRPr="002029AF">
              <w:t>This</w:t>
            </w:r>
            <w:r w:rsidR="000A5329" w:rsidRPr="002029AF">
              <w:t xml:space="preserve"> </w:t>
            </w:r>
            <w:r w:rsidRPr="002029AF">
              <w:t>is</w:t>
            </w:r>
            <w:r w:rsidR="000A5329" w:rsidRPr="002029AF">
              <w:t xml:space="preserve"> </w:t>
            </w:r>
            <w:r w:rsidRPr="002029AF">
              <w:t>a</w:t>
            </w:r>
            <w:r w:rsidR="000A5329" w:rsidRPr="002029AF">
              <w:t xml:space="preserve"> </w:t>
            </w:r>
            <w:r w:rsidRPr="002029AF">
              <w:t>positive</w:t>
            </w:r>
            <w:r w:rsidR="000A5329" w:rsidRPr="002029AF">
              <w:t xml:space="preserve"> </w:t>
            </w:r>
            <w:r w:rsidRPr="002029AF">
              <w:t>result.</w:t>
            </w:r>
          </w:p>
        </w:tc>
      </w:tr>
      <w:tr w:rsidR="00C15C65" w:rsidRPr="002029AF" w14:paraId="205CC5CC" w14:textId="77777777" w:rsidTr="000024F3">
        <w:trPr>
          <w:gridAfter w:val="1"/>
          <w:wAfter w:w="9" w:type="dxa"/>
          <w:cantSplit/>
        </w:trPr>
        <w:tc>
          <w:tcPr>
            <w:tcW w:w="4751" w:type="dxa"/>
            <w:shd w:val="clear" w:color="auto" w:fill="auto"/>
            <w:hideMark/>
          </w:tcPr>
          <w:p w14:paraId="0311E8F6" w14:textId="0DCF5879" w:rsidR="00C15C65" w:rsidRPr="002029AF" w:rsidRDefault="00C15C65" w:rsidP="00C40F5D">
            <w:pPr>
              <w:pStyle w:val="ARtabletext"/>
            </w:pPr>
            <w:r w:rsidRPr="002029AF">
              <w:t>Number</w:t>
            </w:r>
            <w:r w:rsidR="000A5329" w:rsidRPr="002029AF">
              <w:t xml:space="preserve"> </w:t>
            </w:r>
            <w:r w:rsidRPr="002029AF">
              <w:t>of</w:t>
            </w:r>
            <w:r w:rsidR="000A5329" w:rsidRPr="002029AF">
              <w:t xml:space="preserve"> </w:t>
            </w:r>
            <w:r w:rsidRPr="002029AF">
              <w:t>families</w:t>
            </w:r>
            <w:r w:rsidR="000A5329" w:rsidRPr="002029AF">
              <w:t xml:space="preserve"> </w:t>
            </w:r>
            <w:r w:rsidRPr="002029AF">
              <w:t>receiving</w:t>
            </w:r>
            <w:r w:rsidR="000A5329" w:rsidRPr="002029AF">
              <w:t xml:space="preserve"> </w:t>
            </w:r>
            <w:r w:rsidRPr="002029AF">
              <w:t>an</w:t>
            </w:r>
            <w:r w:rsidR="000A5329" w:rsidRPr="002029AF">
              <w:t xml:space="preserve"> </w:t>
            </w:r>
            <w:r w:rsidRPr="002029AF">
              <w:t>intensive</w:t>
            </w:r>
            <w:r w:rsidR="000A5329" w:rsidRPr="002029AF">
              <w:t xml:space="preserve"> </w:t>
            </w:r>
            <w:r w:rsidRPr="002029AF">
              <w:t>support</w:t>
            </w:r>
            <w:r w:rsidR="000A5329" w:rsidRPr="002029AF">
              <w:t xml:space="preserve"> </w:t>
            </w:r>
            <w:r w:rsidRPr="002029AF">
              <w:t>service</w:t>
            </w:r>
          </w:p>
        </w:tc>
        <w:tc>
          <w:tcPr>
            <w:tcW w:w="1020" w:type="dxa"/>
            <w:shd w:val="clear" w:color="auto" w:fill="auto"/>
            <w:hideMark/>
          </w:tcPr>
          <w:p w14:paraId="6122DEB0" w14:textId="77777777" w:rsidR="00C15C65" w:rsidRPr="002029AF" w:rsidRDefault="00C15C65" w:rsidP="00C40F5D">
            <w:pPr>
              <w:pStyle w:val="ARtabletext"/>
            </w:pPr>
            <w:r w:rsidRPr="002029AF">
              <w:t>number</w:t>
            </w:r>
          </w:p>
        </w:tc>
        <w:tc>
          <w:tcPr>
            <w:tcW w:w="1019" w:type="dxa"/>
            <w:shd w:val="clear" w:color="auto" w:fill="auto"/>
            <w:hideMark/>
          </w:tcPr>
          <w:p w14:paraId="11C5DE0F" w14:textId="77777777" w:rsidR="00C15C65" w:rsidRPr="002029AF" w:rsidRDefault="00C15C65" w:rsidP="000024F3">
            <w:pPr>
              <w:pStyle w:val="ARtabletextright"/>
            </w:pPr>
            <w:r w:rsidRPr="002029AF">
              <w:t>1,823</w:t>
            </w:r>
          </w:p>
        </w:tc>
        <w:tc>
          <w:tcPr>
            <w:tcW w:w="1021" w:type="dxa"/>
            <w:shd w:val="clear" w:color="auto" w:fill="auto"/>
            <w:hideMark/>
          </w:tcPr>
          <w:p w14:paraId="6EE4A0F1" w14:textId="77777777" w:rsidR="00C15C65" w:rsidRPr="002029AF" w:rsidRDefault="00C15C65" w:rsidP="000024F3">
            <w:pPr>
              <w:pStyle w:val="ARtabletextright"/>
            </w:pPr>
            <w:r w:rsidRPr="002029AF">
              <w:t>2,055</w:t>
            </w:r>
          </w:p>
        </w:tc>
        <w:tc>
          <w:tcPr>
            <w:tcW w:w="1024" w:type="dxa"/>
            <w:shd w:val="clear" w:color="auto" w:fill="auto"/>
          </w:tcPr>
          <w:p w14:paraId="53FF1FEE" w14:textId="77777777" w:rsidR="00C15C65" w:rsidRPr="002029AF" w:rsidRDefault="00C15C65" w:rsidP="000024F3">
            <w:pPr>
              <w:pStyle w:val="ARtabletextright"/>
            </w:pPr>
            <w:r w:rsidRPr="002029AF">
              <w:t>12.7</w:t>
            </w:r>
          </w:p>
        </w:tc>
        <w:tc>
          <w:tcPr>
            <w:tcW w:w="795" w:type="dxa"/>
            <w:shd w:val="clear" w:color="auto" w:fill="auto"/>
            <w:hideMark/>
          </w:tcPr>
          <w:p w14:paraId="7D78DA54"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4B6BDB9B" w14:textId="77777777" w:rsidTr="000024F3">
        <w:trPr>
          <w:gridAfter w:val="1"/>
          <w:wAfter w:w="9" w:type="dxa"/>
          <w:cantSplit/>
        </w:trPr>
        <w:tc>
          <w:tcPr>
            <w:tcW w:w="9630" w:type="dxa"/>
            <w:gridSpan w:val="6"/>
            <w:tcBorders>
              <w:bottom w:val="single" w:sz="4" w:space="0" w:color="BFBFBF"/>
            </w:tcBorders>
            <w:shd w:val="clear" w:color="auto" w:fill="auto"/>
            <w:noWrap/>
            <w:hideMark/>
          </w:tcPr>
          <w:p w14:paraId="221CF190" w14:textId="0A8D5556" w:rsidR="00C15C65" w:rsidRPr="002029AF" w:rsidRDefault="00C15C65" w:rsidP="00D96AFD">
            <w:pPr>
              <w:pStyle w:val="ARtablenoteindent"/>
            </w:pPr>
            <w:r w:rsidRPr="002029AF">
              <w:t>The</w:t>
            </w:r>
            <w:r w:rsidR="000A5329" w:rsidRPr="002029AF">
              <w:t xml:space="preserve"> </w:t>
            </w:r>
            <w:r w:rsidRPr="002029AF">
              <w:t>result</w:t>
            </w:r>
            <w:r w:rsidR="000A5329" w:rsidRPr="002029AF">
              <w:t xml:space="preserve"> </w:t>
            </w:r>
            <w:r w:rsidRPr="002029AF">
              <w:t>is</w:t>
            </w:r>
            <w:r w:rsidR="000A5329" w:rsidRPr="002029AF">
              <w:t xml:space="preserve"> </w:t>
            </w:r>
            <w:r w:rsidR="002029AF"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high</w:t>
            </w:r>
            <w:r w:rsidR="000A5329" w:rsidRPr="002029AF">
              <w:t xml:space="preserve"> </w:t>
            </w:r>
            <w:r w:rsidRPr="002029AF">
              <w:t>demand</w:t>
            </w:r>
            <w:r w:rsidR="000A5329" w:rsidRPr="002029AF">
              <w:t xml:space="preserve"> </w:t>
            </w:r>
            <w:r w:rsidRPr="002029AF">
              <w:t>and</w:t>
            </w:r>
            <w:r w:rsidR="000A5329" w:rsidRPr="002029AF">
              <w:t xml:space="preserve"> </w:t>
            </w:r>
            <w:r w:rsidRPr="002029AF">
              <w:t>shows</w:t>
            </w:r>
            <w:r w:rsidR="000A5329" w:rsidRPr="002029AF">
              <w:t xml:space="preserve"> </w:t>
            </w:r>
            <w:r w:rsidRPr="002029AF">
              <w:t>intensive</w:t>
            </w:r>
            <w:r w:rsidR="000A5329" w:rsidRPr="002029AF">
              <w:t xml:space="preserve"> </w:t>
            </w:r>
            <w:r w:rsidRPr="002029AF">
              <w:t>family</w:t>
            </w:r>
            <w:r w:rsidR="000A5329" w:rsidRPr="002029AF">
              <w:t xml:space="preserve"> </w:t>
            </w:r>
            <w:r w:rsidRPr="002029AF">
              <w:t>services</w:t>
            </w:r>
            <w:r w:rsidR="000A5329" w:rsidRPr="002029AF">
              <w:t xml:space="preserve"> </w:t>
            </w:r>
            <w:r w:rsidR="002029AF" w:rsidRPr="002029AF">
              <w:t>responsiveness</w:t>
            </w:r>
            <w:r w:rsidR="000A5329" w:rsidRPr="002029AF">
              <w:t xml:space="preserve"> </w:t>
            </w:r>
            <w:r w:rsidRPr="002029AF">
              <w:t>to</w:t>
            </w:r>
            <w:r w:rsidR="000A5329" w:rsidRPr="002029AF">
              <w:t xml:space="preserve"> </w:t>
            </w:r>
            <w:r w:rsidRPr="002029AF">
              <w:t>vulnerable</w:t>
            </w:r>
            <w:r w:rsidR="000A5329" w:rsidRPr="002029AF">
              <w:t xml:space="preserve"> </w:t>
            </w:r>
            <w:r w:rsidRPr="002029AF">
              <w:t>families.</w:t>
            </w:r>
            <w:r w:rsidR="000A5329" w:rsidRPr="002029AF">
              <w:t xml:space="preserve"> </w:t>
            </w:r>
            <w:r w:rsidRPr="002029AF">
              <w:t>This</w:t>
            </w:r>
            <w:r w:rsidR="000A5329" w:rsidRPr="002029AF">
              <w:t xml:space="preserve"> </w:t>
            </w:r>
            <w:r w:rsidRPr="002029AF">
              <w:t>is</w:t>
            </w:r>
            <w:r w:rsidR="000A5329" w:rsidRPr="002029AF">
              <w:t xml:space="preserve"> </w:t>
            </w:r>
            <w:r w:rsidRPr="002029AF">
              <w:t>a</w:t>
            </w:r>
            <w:r w:rsidR="000A5329" w:rsidRPr="002029AF">
              <w:t xml:space="preserve"> </w:t>
            </w:r>
            <w:r w:rsidRPr="002029AF">
              <w:t>positive</w:t>
            </w:r>
            <w:r w:rsidR="000A5329" w:rsidRPr="002029AF">
              <w:t xml:space="preserve"> </w:t>
            </w:r>
            <w:r w:rsidRPr="002029AF">
              <w:t>result.</w:t>
            </w:r>
          </w:p>
        </w:tc>
      </w:tr>
      <w:tr w:rsidR="00C15C65" w:rsidRPr="002029AF" w14:paraId="3E056FFB" w14:textId="77777777" w:rsidTr="000024F3">
        <w:trPr>
          <w:gridAfter w:val="1"/>
          <w:wAfter w:w="9" w:type="dxa"/>
          <w:cantSplit/>
        </w:trPr>
        <w:tc>
          <w:tcPr>
            <w:tcW w:w="4751" w:type="dxa"/>
            <w:tcBorders>
              <w:top w:val="single" w:sz="4" w:space="0" w:color="BFBFBF"/>
            </w:tcBorders>
            <w:shd w:val="clear" w:color="auto" w:fill="auto"/>
            <w:hideMark/>
          </w:tcPr>
          <w:p w14:paraId="03D4AF4A" w14:textId="6081B867" w:rsidR="00C15C65" w:rsidRPr="002029AF" w:rsidRDefault="00C15C65" w:rsidP="00C40F5D">
            <w:pPr>
              <w:pStyle w:val="ARtabletext"/>
            </w:pPr>
            <w:r w:rsidRPr="002029AF">
              <w:t>Number</w:t>
            </w:r>
            <w:r w:rsidR="000A5329" w:rsidRPr="002029AF">
              <w:t xml:space="preserve"> </w:t>
            </w:r>
            <w:r w:rsidRPr="002029AF">
              <w:t>of</w:t>
            </w:r>
            <w:r w:rsidR="000A5329" w:rsidRPr="002029AF">
              <w:t xml:space="preserve"> </w:t>
            </w:r>
            <w:r w:rsidRPr="002029AF">
              <w:t>investigations</w:t>
            </w:r>
            <w:r w:rsidR="000A5329" w:rsidRPr="002029AF">
              <w:t xml:space="preserve"> </w:t>
            </w:r>
            <w:r w:rsidRPr="002029AF">
              <w:t>from</w:t>
            </w:r>
            <w:r w:rsidR="000A5329" w:rsidRPr="002029AF">
              <w:t xml:space="preserve"> </w:t>
            </w:r>
            <w:r w:rsidRPr="002029AF">
              <w:t>reports</w:t>
            </w:r>
            <w:r w:rsidR="000A5329" w:rsidRPr="002029AF">
              <w:t xml:space="preserve"> </w:t>
            </w:r>
            <w:r w:rsidRPr="002029AF">
              <w:t>to</w:t>
            </w:r>
            <w:r w:rsidR="000A5329" w:rsidRPr="002029AF">
              <w:t xml:space="preserve"> </w:t>
            </w:r>
            <w:r w:rsidRPr="002029AF">
              <w:t>child</w:t>
            </w:r>
            <w:r w:rsidR="000A5329" w:rsidRPr="002029AF">
              <w:t xml:space="preserve"> </w:t>
            </w:r>
            <w:r w:rsidRPr="002029AF">
              <w:t>protection</w:t>
            </w:r>
            <w:r w:rsidR="000A5329" w:rsidRPr="002029AF">
              <w:t xml:space="preserve"> </w:t>
            </w:r>
            <w:r w:rsidRPr="002029AF">
              <w:t>services</w:t>
            </w:r>
            <w:r w:rsidR="000A5329" w:rsidRPr="002029AF">
              <w:t xml:space="preserve"> </w:t>
            </w:r>
            <w:r w:rsidRPr="002029AF">
              <w:t>about</w:t>
            </w:r>
            <w:r w:rsidR="000A5329" w:rsidRPr="002029AF">
              <w:t xml:space="preserve"> </w:t>
            </w:r>
            <w:r w:rsidRPr="002029AF">
              <w:t>the</w:t>
            </w:r>
            <w:r w:rsidR="000A5329" w:rsidRPr="002029AF">
              <w:t xml:space="preserve"> </w:t>
            </w:r>
            <w:r w:rsidRPr="002029AF">
              <w:t>wellbeing</w:t>
            </w:r>
            <w:r w:rsidR="000A5329" w:rsidRPr="002029AF">
              <w:t xml:space="preserve"> </w:t>
            </w:r>
            <w:r w:rsidRPr="002029AF">
              <w:t>and</w:t>
            </w:r>
            <w:r w:rsidR="000A5329" w:rsidRPr="002029AF">
              <w:t xml:space="preserve"> </w:t>
            </w:r>
            <w:r w:rsidRPr="002029AF">
              <w:t>safety</w:t>
            </w:r>
            <w:r w:rsidR="000A5329" w:rsidRPr="002029AF">
              <w:t xml:space="preserve"> </w:t>
            </w:r>
            <w:r w:rsidRPr="002029AF">
              <w:t>of</w:t>
            </w:r>
            <w:r w:rsidR="000A5329" w:rsidRPr="002029AF">
              <w:t xml:space="preserve"> </w:t>
            </w:r>
            <w:r w:rsidRPr="002029AF">
              <w:t>children</w:t>
            </w:r>
          </w:p>
        </w:tc>
        <w:tc>
          <w:tcPr>
            <w:tcW w:w="1020" w:type="dxa"/>
            <w:tcBorders>
              <w:top w:val="single" w:sz="4" w:space="0" w:color="BFBFBF"/>
            </w:tcBorders>
            <w:shd w:val="clear" w:color="auto" w:fill="auto"/>
            <w:hideMark/>
          </w:tcPr>
          <w:p w14:paraId="11556587" w14:textId="77777777" w:rsidR="00C15C65" w:rsidRPr="002029AF" w:rsidRDefault="00C15C65" w:rsidP="00C40F5D">
            <w:pPr>
              <w:pStyle w:val="ARtabletext"/>
            </w:pPr>
            <w:r w:rsidRPr="002029AF">
              <w:t>number</w:t>
            </w:r>
          </w:p>
        </w:tc>
        <w:tc>
          <w:tcPr>
            <w:tcW w:w="1019" w:type="dxa"/>
            <w:tcBorders>
              <w:top w:val="single" w:sz="4" w:space="0" w:color="BFBFBF"/>
            </w:tcBorders>
            <w:shd w:val="clear" w:color="auto" w:fill="auto"/>
            <w:hideMark/>
          </w:tcPr>
          <w:p w14:paraId="1424B600" w14:textId="77777777" w:rsidR="00C15C65" w:rsidRPr="002029AF" w:rsidRDefault="00C15C65" w:rsidP="000024F3">
            <w:pPr>
              <w:pStyle w:val="ARtabletextright"/>
            </w:pPr>
            <w:r w:rsidRPr="002029AF">
              <w:t>39,100</w:t>
            </w:r>
          </w:p>
        </w:tc>
        <w:tc>
          <w:tcPr>
            <w:tcW w:w="1021" w:type="dxa"/>
            <w:tcBorders>
              <w:top w:val="single" w:sz="4" w:space="0" w:color="BFBFBF"/>
            </w:tcBorders>
            <w:shd w:val="clear" w:color="auto" w:fill="auto"/>
            <w:hideMark/>
          </w:tcPr>
          <w:p w14:paraId="5F66DC30" w14:textId="77777777" w:rsidR="00C15C65" w:rsidRPr="002029AF" w:rsidRDefault="00C15C65" w:rsidP="000024F3">
            <w:pPr>
              <w:pStyle w:val="ARtabletextright"/>
            </w:pPr>
            <w:r w:rsidRPr="002029AF">
              <w:t>34,570</w:t>
            </w:r>
          </w:p>
        </w:tc>
        <w:tc>
          <w:tcPr>
            <w:tcW w:w="1024" w:type="dxa"/>
            <w:tcBorders>
              <w:top w:val="single" w:sz="4" w:space="0" w:color="BFBFBF"/>
            </w:tcBorders>
            <w:shd w:val="clear" w:color="auto" w:fill="auto"/>
          </w:tcPr>
          <w:p w14:paraId="081A1481" w14:textId="77777777" w:rsidR="00C15C65" w:rsidRPr="002029AF" w:rsidRDefault="00C15C65" w:rsidP="000024F3">
            <w:pPr>
              <w:pStyle w:val="ARtabletextright"/>
            </w:pPr>
            <w:r w:rsidRPr="002029AF">
              <w:t>-11.6</w:t>
            </w:r>
          </w:p>
        </w:tc>
        <w:tc>
          <w:tcPr>
            <w:tcW w:w="795" w:type="dxa"/>
            <w:tcBorders>
              <w:top w:val="single" w:sz="4" w:space="0" w:color="BFBFBF"/>
            </w:tcBorders>
            <w:shd w:val="clear" w:color="auto" w:fill="auto"/>
            <w:hideMark/>
          </w:tcPr>
          <w:p w14:paraId="6B913E06"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7D6FBA70" w14:textId="77777777" w:rsidTr="000024F3">
        <w:trPr>
          <w:gridAfter w:val="1"/>
          <w:wAfter w:w="9" w:type="dxa"/>
          <w:cantSplit/>
        </w:trPr>
        <w:tc>
          <w:tcPr>
            <w:tcW w:w="9630" w:type="dxa"/>
            <w:gridSpan w:val="6"/>
            <w:tcBorders>
              <w:bottom w:val="single" w:sz="4" w:space="0" w:color="BFBFBF"/>
            </w:tcBorders>
            <w:shd w:val="clear" w:color="auto" w:fill="auto"/>
          </w:tcPr>
          <w:p w14:paraId="71A5B723" w14:textId="267E51A6" w:rsidR="00C15C65" w:rsidRPr="002029AF" w:rsidRDefault="00C15C65" w:rsidP="00D96AFD">
            <w:pPr>
              <w:pStyle w:val="ARtablenoteindent"/>
            </w:pPr>
            <w:r w:rsidRPr="002029AF">
              <w:t>The</w:t>
            </w:r>
            <w:r w:rsidR="000A5329" w:rsidRPr="002029AF">
              <w:t xml:space="preserve"> </w:t>
            </w:r>
            <w:r w:rsidR="009D17CC">
              <w:t>result is</w:t>
            </w:r>
            <w:r w:rsidR="009D17CC" w:rsidRPr="009D17CC">
              <w:t xml:space="preserve"> due to strengthened early support and intervention services reaching vulnerable children. The result is also likely to have been impacted by coronavirus (COVID-19)</w:t>
            </w:r>
            <w:r w:rsidR="00CE727E">
              <w:t>,</w:t>
            </w:r>
            <w:r w:rsidR="009D17CC" w:rsidRPr="009D17CC">
              <w:t xml:space="preserve"> where fewer reports have been received in some months.</w:t>
            </w:r>
          </w:p>
        </w:tc>
      </w:tr>
      <w:tr w:rsidR="00C15C65" w:rsidRPr="002029AF" w14:paraId="02F7705D" w14:textId="77777777" w:rsidTr="000024F3">
        <w:trPr>
          <w:gridAfter w:val="1"/>
          <w:wAfter w:w="9" w:type="dxa"/>
          <w:cantSplit/>
        </w:trPr>
        <w:tc>
          <w:tcPr>
            <w:tcW w:w="4751" w:type="dxa"/>
            <w:tcBorders>
              <w:top w:val="single" w:sz="4" w:space="0" w:color="BFBFBF"/>
            </w:tcBorders>
            <w:shd w:val="clear" w:color="auto" w:fill="auto"/>
            <w:hideMark/>
          </w:tcPr>
          <w:p w14:paraId="42505D4A" w14:textId="2D6FC84E" w:rsidR="00C15C65" w:rsidRPr="002029AF" w:rsidRDefault="00C15C65" w:rsidP="00C40F5D">
            <w:pPr>
              <w:pStyle w:val="ARtabletext"/>
            </w:pPr>
            <w:r w:rsidRPr="002029AF">
              <w:t>Number</w:t>
            </w:r>
            <w:r w:rsidR="000A5329" w:rsidRPr="002029AF">
              <w:t xml:space="preserve"> </w:t>
            </w:r>
            <w:r w:rsidRPr="002029AF">
              <w:t>of</w:t>
            </w:r>
            <w:r w:rsidR="000A5329" w:rsidRPr="002029AF">
              <w:t xml:space="preserve"> </w:t>
            </w:r>
            <w:r w:rsidRPr="002029AF">
              <w:t>family</w:t>
            </w:r>
            <w:r w:rsidR="000A5329" w:rsidRPr="002029AF">
              <w:t xml:space="preserve"> </w:t>
            </w:r>
            <w:r w:rsidRPr="002029AF">
              <w:t>services</w:t>
            </w:r>
            <w:r w:rsidR="000A5329" w:rsidRPr="002029AF">
              <w:t xml:space="preserve"> </w:t>
            </w:r>
            <w:r w:rsidRPr="002029AF">
              <w:t>cases</w:t>
            </w:r>
            <w:r w:rsidR="000A5329" w:rsidRPr="002029AF">
              <w:t xml:space="preserve"> </w:t>
            </w:r>
            <w:r w:rsidRPr="002029AF">
              <w:t>provided</w:t>
            </w:r>
            <w:r w:rsidR="000A5329" w:rsidRPr="002029AF">
              <w:t xml:space="preserve"> </w:t>
            </w:r>
            <w:r w:rsidRPr="002029AF">
              <w:t>to</w:t>
            </w:r>
            <w:r w:rsidR="000A5329" w:rsidRPr="002029AF">
              <w:t xml:space="preserve"> </w:t>
            </w:r>
            <w:r w:rsidRPr="002029AF">
              <w:t>Aboriginal</w:t>
            </w:r>
            <w:r w:rsidR="000A5329" w:rsidRPr="002029AF">
              <w:t xml:space="preserve"> </w:t>
            </w:r>
            <w:r w:rsidRPr="002029AF">
              <w:t>families</w:t>
            </w:r>
          </w:p>
        </w:tc>
        <w:tc>
          <w:tcPr>
            <w:tcW w:w="1020" w:type="dxa"/>
            <w:tcBorders>
              <w:top w:val="single" w:sz="4" w:space="0" w:color="BFBFBF"/>
            </w:tcBorders>
            <w:shd w:val="clear" w:color="auto" w:fill="auto"/>
            <w:hideMark/>
          </w:tcPr>
          <w:p w14:paraId="2017AA70" w14:textId="77777777" w:rsidR="00C15C65" w:rsidRPr="002029AF" w:rsidRDefault="00C15C65" w:rsidP="00C40F5D">
            <w:pPr>
              <w:pStyle w:val="ARtabletext"/>
            </w:pPr>
            <w:r w:rsidRPr="002029AF">
              <w:t>number</w:t>
            </w:r>
          </w:p>
        </w:tc>
        <w:tc>
          <w:tcPr>
            <w:tcW w:w="1019" w:type="dxa"/>
            <w:tcBorders>
              <w:top w:val="single" w:sz="4" w:space="0" w:color="BFBFBF"/>
            </w:tcBorders>
            <w:shd w:val="clear" w:color="auto" w:fill="auto"/>
            <w:hideMark/>
          </w:tcPr>
          <w:p w14:paraId="46F25A43" w14:textId="77777777" w:rsidR="00C15C65" w:rsidRPr="002029AF" w:rsidRDefault="00C15C65" w:rsidP="000024F3">
            <w:pPr>
              <w:pStyle w:val="ARtabletextright"/>
            </w:pPr>
            <w:r w:rsidRPr="002029AF">
              <w:t>3,445</w:t>
            </w:r>
          </w:p>
        </w:tc>
        <w:tc>
          <w:tcPr>
            <w:tcW w:w="1021" w:type="dxa"/>
            <w:tcBorders>
              <w:top w:val="single" w:sz="4" w:space="0" w:color="BFBFBF"/>
            </w:tcBorders>
            <w:shd w:val="clear" w:color="auto" w:fill="auto"/>
            <w:hideMark/>
          </w:tcPr>
          <w:p w14:paraId="5A7D926E" w14:textId="77777777" w:rsidR="00C15C65" w:rsidRPr="002029AF" w:rsidRDefault="00C15C65" w:rsidP="000024F3">
            <w:pPr>
              <w:pStyle w:val="ARtabletextright"/>
            </w:pPr>
            <w:r w:rsidRPr="002029AF">
              <w:t>3,218</w:t>
            </w:r>
          </w:p>
        </w:tc>
        <w:tc>
          <w:tcPr>
            <w:tcW w:w="1024" w:type="dxa"/>
            <w:tcBorders>
              <w:top w:val="single" w:sz="4" w:space="0" w:color="BFBFBF"/>
            </w:tcBorders>
            <w:shd w:val="clear" w:color="auto" w:fill="auto"/>
          </w:tcPr>
          <w:p w14:paraId="1E677ADA" w14:textId="77777777" w:rsidR="00C15C65" w:rsidRPr="002029AF" w:rsidRDefault="00C15C65" w:rsidP="000024F3">
            <w:pPr>
              <w:pStyle w:val="ARtabletextright"/>
            </w:pPr>
            <w:r w:rsidRPr="002029AF">
              <w:t>-6.6</w:t>
            </w:r>
          </w:p>
        </w:tc>
        <w:tc>
          <w:tcPr>
            <w:tcW w:w="795" w:type="dxa"/>
            <w:tcBorders>
              <w:top w:val="single" w:sz="4" w:space="0" w:color="BFBFBF"/>
            </w:tcBorders>
            <w:shd w:val="clear" w:color="auto" w:fill="auto"/>
            <w:hideMark/>
          </w:tcPr>
          <w:p w14:paraId="02E0BE76"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7B34CB43" w14:textId="77777777" w:rsidTr="000024F3">
        <w:trPr>
          <w:gridAfter w:val="1"/>
          <w:wAfter w:w="9" w:type="dxa"/>
          <w:cantSplit/>
        </w:trPr>
        <w:tc>
          <w:tcPr>
            <w:tcW w:w="9630" w:type="dxa"/>
            <w:gridSpan w:val="6"/>
            <w:tcBorders>
              <w:bottom w:val="single" w:sz="4" w:space="0" w:color="BFBFBF"/>
            </w:tcBorders>
            <w:shd w:val="clear" w:color="auto" w:fill="auto"/>
            <w:noWrap/>
            <w:hideMark/>
          </w:tcPr>
          <w:p w14:paraId="699E5BCE" w14:textId="0B38D3DE" w:rsidR="00C15C65" w:rsidRPr="002029AF" w:rsidRDefault="00C15C65" w:rsidP="00D96AFD">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lower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is</w:t>
            </w:r>
            <w:r w:rsidR="000A5329" w:rsidRPr="002029AF">
              <w:t xml:space="preserve"> </w:t>
            </w:r>
            <w:r w:rsidRPr="002029AF">
              <w:t>working</w:t>
            </w:r>
            <w:r w:rsidR="000A5329" w:rsidRPr="002029AF">
              <w:t xml:space="preserve"> </w:t>
            </w:r>
            <w:r w:rsidRPr="002029AF">
              <w:t>with</w:t>
            </w:r>
            <w:r w:rsidR="000A5329" w:rsidRPr="002029AF">
              <w:t xml:space="preserve"> </w:t>
            </w:r>
            <w:r w:rsidRPr="002029AF">
              <w:t>Aboriginal</w:t>
            </w:r>
            <w:r w:rsidR="000A5329" w:rsidRPr="002029AF">
              <w:t xml:space="preserve"> </w:t>
            </w:r>
            <w:r w:rsidR="004220FF" w:rsidRPr="002029AF">
              <w:t>community-controlled</w:t>
            </w:r>
            <w:r w:rsidR="000A5329" w:rsidRPr="002029AF">
              <w:t xml:space="preserve"> </w:t>
            </w:r>
            <w:r w:rsidRPr="002029AF">
              <w:t>organisations</w:t>
            </w:r>
            <w:r w:rsidR="000A5329" w:rsidRPr="002029AF">
              <w:t xml:space="preserve"> </w:t>
            </w:r>
            <w:r w:rsidRPr="002029AF">
              <w:t>to</w:t>
            </w:r>
            <w:r w:rsidR="000A5329" w:rsidRPr="002029AF">
              <w:t xml:space="preserve"> </w:t>
            </w:r>
            <w:r w:rsidRPr="002029AF">
              <w:t>improve</w:t>
            </w:r>
            <w:r w:rsidR="000A5329" w:rsidRPr="002029AF">
              <w:t xml:space="preserve"> </w:t>
            </w:r>
            <w:r w:rsidRPr="002029AF">
              <w:t>data</w:t>
            </w:r>
            <w:r w:rsidR="000A5329" w:rsidRPr="002029AF">
              <w:t xml:space="preserve"> </w:t>
            </w:r>
            <w:r w:rsidRPr="002029AF">
              <w:t>systems</w:t>
            </w:r>
            <w:r w:rsidR="000A5329" w:rsidRPr="002029AF">
              <w:t xml:space="preserve"> </w:t>
            </w:r>
            <w:r w:rsidRPr="002029AF">
              <w:t>and</w:t>
            </w:r>
            <w:r w:rsidR="000A5329" w:rsidRPr="002029AF">
              <w:t xml:space="preserve"> </w:t>
            </w:r>
            <w:r w:rsidRPr="002029AF">
              <w:t>reporting.</w:t>
            </w:r>
          </w:p>
        </w:tc>
      </w:tr>
      <w:tr w:rsidR="00C15C65" w:rsidRPr="002029AF" w14:paraId="298E7F13" w14:textId="77777777" w:rsidTr="000024F3">
        <w:trPr>
          <w:gridAfter w:val="1"/>
          <w:wAfter w:w="9" w:type="dxa"/>
          <w:cantSplit/>
        </w:trPr>
        <w:tc>
          <w:tcPr>
            <w:tcW w:w="4751" w:type="dxa"/>
            <w:tcBorders>
              <w:top w:val="single" w:sz="4" w:space="0" w:color="BFBFBF"/>
            </w:tcBorders>
            <w:shd w:val="clear" w:color="auto" w:fill="auto"/>
            <w:hideMark/>
          </w:tcPr>
          <w:p w14:paraId="3366D54F" w14:textId="00D7A992" w:rsidR="00C15C65" w:rsidRPr="002029AF" w:rsidRDefault="00C15C65" w:rsidP="00C40F5D">
            <w:pPr>
              <w:pStyle w:val="ARtabletext"/>
            </w:pPr>
            <w:r w:rsidRPr="002029AF">
              <w:t>Reports</w:t>
            </w:r>
            <w:r w:rsidR="000A5329" w:rsidRPr="002029AF">
              <w:t xml:space="preserve"> </w:t>
            </w:r>
            <w:r w:rsidRPr="002029AF">
              <w:t>to</w:t>
            </w:r>
            <w:r w:rsidR="000A5329" w:rsidRPr="002029AF">
              <w:t xml:space="preserve"> </w:t>
            </w:r>
            <w:r w:rsidRPr="002029AF">
              <w:t>Child</w:t>
            </w:r>
            <w:r w:rsidR="000A5329" w:rsidRPr="002029AF">
              <w:t xml:space="preserve"> </w:t>
            </w:r>
            <w:r w:rsidRPr="002029AF">
              <w:t>Protection</w:t>
            </w:r>
            <w:r w:rsidR="000A5329" w:rsidRPr="002029AF">
              <w:t xml:space="preserve"> </w:t>
            </w:r>
            <w:r w:rsidRPr="002029AF">
              <w:t>Services</w:t>
            </w:r>
            <w:r w:rsidR="000A5329" w:rsidRPr="002029AF">
              <w:t xml:space="preserve"> </w:t>
            </w:r>
            <w:r w:rsidRPr="002029AF">
              <w:t>about</w:t>
            </w:r>
            <w:r w:rsidR="000A5329" w:rsidRPr="002029AF">
              <w:t xml:space="preserve"> </w:t>
            </w:r>
            <w:r w:rsidRPr="002029AF">
              <w:t>the</w:t>
            </w:r>
            <w:r w:rsidR="000A5329" w:rsidRPr="002029AF">
              <w:t xml:space="preserve"> </w:t>
            </w:r>
            <w:r w:rsidRPr="002029AF">
              <w:t>wellbeing</w:t>
            </w:r>
            <w:r w:rsidR="000A5329" w:rsidRPr="002029AF">
              <w:t xml:space="preserve"> </w:t>
            </w:r>
            <w:r w:rsidRPr="002029AF">
              <w:t>and</w:t>
            </w:r>
            <w:r w:rsidR="000A5329" w:rsidRPr="002029AF">
              <w:t xml:space="preserve"> </w:t>
            </w:r>
            <w:r w:rsidRPr="002029AF">
              <w:t>safety</w:t>
            </w:r>
            <w:r w:rsidR="000A5329" w:rsidRPr="002029AF">
              <w:t xml:space="preserve"> </w:t>
            </w:r>
            <w:r w:rsidRPr="002029AF">
              <w:t>of</w:t>
            </w:r>
            <w:r w:rsidR="000A5329" w:rsidRPr="002029AF">
              <w:t xml:space="preserve"> </w:t>
            </w:r>
            <w:r w:rsidRPr="002029AF">
              <w:t>children</w:t>
            </w:r>
          </w:p>
        </w:tc>
        <w:tc>
          <w:tcPr>
            <w:tcW w:w="1020" w:type="dxa"/>
            <w:tcBorders>
              <w:top w:val="single" w:sz="4" w:space="0" w:color="BFBFBF"/>
            </w:tcBorders>
            <w:shd w:val="clear" w:color="auto" w:fill="auto"/>
            <w:hideMark/>
          </w:tcPr>
          <w:p w14:paraId="0B11F6DE" w14:textId="77777777" w:rsidR="00C15C65" w:rsidRPr="002029AF" w:rsidRDefault="00C15C65" w:rsidP="00C40F5D">
            <w:pPr>
              <w:pStyle w:val="ARtabletext"/>
            </w:pPr>
            <w:r w:rsidRPr="002029AF">
              <w:t>number</w:t>
            </w:r>
          </w:p>
        </w:tc>
        <w:tc>
          <w:tcPr>
            <w:tcW w:w="1019" w:type="dxa"/>
            <w:tcBorders>
              <w:top w:val="single" w:sz="4" w:space="0" w:color="BFBFBF"/>
            </w:tcBorders>
            <w:shd w:val="clear" w:color="auto" w:fill="auto"/>
            <w:hideMark/>
          </w:tcPr>
          <w:p w14:paraId="4B385AD8" w14:textId="77777777" w:rsidR="00C15C65" w:rsidRPr="002029AF" w:rsidRDefault="00C15C65" w:rsidP="000024F3">
            <w:pPr>
              <w:pStyle w:val="ARtabletextright"/>
            </w:pPr>
            <w:r w:rsidRPr="002029AF">
              <w:t>136,677</w:t>
            </w:r>
          </w:p>
        </w:tc>
        <w:tc>
          <w:tcPr>
            <w:tcW w:w="1021" w:type="dxa"/>
            <w:tcBorders>
              <w:top w:val="single" w:sz="4" w:space="0" w:color="BFBFBF"/>
            </w:tcBorders>
            <w:shd w:val="clear" w:color="auto" w:fill="auto"/>
            <w:hideMark/>
          </w:tcPr>
          <w:p w14:paraId="4C01F326" w14:textId="77777777" w:rsidR="00C15C65" w:rsidRPr="002029AF" w:rsidRDefault="00C15C65" w:rsidP="000024F3">
            <w:pPr>
              <w:pStyle w:val="ARtabletextright"/>
            </w:pPr>
            <w:r w:rsidRPr="002029AF">
              <w:t>122,179</w:t>
            </w:r>
          </w:p>
        </w:tc>
        <w:tc>
          <w:tcPr>
            <w:tcW w:w="1024" w:type="dxa"/>
            <w:tcBorders>
              <w:top w:val="single" w:sz="4" w:space="0" w:color="BFBFBF"/>
            </w:tcBorders>
            <w:shd w:val="clear" w:color="auto" w:fill="auto"/>
          </w:tcPr>
          <w:p w14:paraId="01D9DB1D" w14:textId="77777777" w:rsidR="00C15C65" w:rsidRPr="002029AF" w:rsidRDefault="00C15C65" w:rsidP="000024F3">
            <w:pPr>
              <w:pStyle w:val="ARtabletextright"/>
            </w:pPr>
            <w:r w:rsidRPr="002029AF">
              <w:t>-10.6</w:t>
            </w:r>
          </w:p>
        </w:tc>
        <w:tc>
          <w:tcPr>
            <w:tcW w:w="795" w:type="dxa"/>
            <w:tcBorders>
              <w:top w:val="single" w:sz="4" w:space="0" w:color="BFBFBF"/>
            </w:tcBorders>
            <w:shd w:val="clear" w:color="auto" w:fill="auto"/>
            <w:hideMark/>
          </w:tcPr>
          <w:p w14:paraId="1DB7A700"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567B3366" w14:textId="77777777" w:rsidTr="000024F3">
        <w:trPr>
          <w:gridAfter w:val="1"/>
          <w:wAfter w:w="9" w:type="dxa"/>
          <w:cantSplit/>
        </w:trPr>
        <w:tc>
          <w:tcPr>
            <w:tcW w:w="9630" w:type="dxa"/>
            <w:gridSpan w:val="6"/>
            <w:tcBorders>
              <w:bottom w:val="single" w:sz="4" w:space="0" w:color="BFBFBF"/>
            </w:tcBorders>
            <w:shd w:val="clear" w:color="auto" w:fill="auto"/>
            <w:noWrap/>
            <w:hideMark/>
          </w:tcPr>
          <w:p w14:paraId="5AADBEBD" w14:textId="7E3137F5" w:rsidR="00C15C65" w:rsidRPr="002029AF" w:rsidRDefault="00DD7BAB" w:rsidP="00E77802">
            <w:pPr>
              <w:pStyle w:val="ARtablenoteindent"/>
            </w:pPr>
            <w:r w:rsidRPr="002029AF">
              <w:t xml:space="preserve">This result </w:t>
            </w:r>
            <w:r w:rsidR="009D17CC" w:rsidRPr="00B3042E">
              <w:t xml:space="preserve">is in part due to increased performance in Child FIRST/ Family Services and Orange Doors, which is providing referral pathways for vulnerable children and families to community based earlier intervention and supports, rather than </w:t>
            </w:r>
            <w:r w:rsidR="009D17CC" w:rsidRPr="005432DB">
              <w:t xml:space="preserve">being </w:t>
            </w:r>
            <w:r w:rsidR="009D17CC" w:rsidRPr="00FB1957">
              <w:t>reported to Child</w:t>
            </w:r>
            <w:r w:rsidR="009D17CC" w:rsidRPr="00B3042E">
              <w:t xml:space="preserve"> Protection. In part it likely also reflects the impact of coronavirus (COVID 19) and the visibility of children in the community.</w:t>
            </w:r>
          </w:p>
        </w:tc>
      </w:tr>
      <w:tr w:rsidR="00C15C65" w:rsidRPr="002029AF" w14:paraId="3B5CECFC" w14:textId="77777777" w:rsidTr="000024F3">
        <w:trPr>
          <w:gridAfter w:val="1"/>
          <w:wAfter w:w="9" w:type="dxa"/>
          <w:cantSplit/>
        </w:trPr>
        <w:tc>
          <w:tcPr>
            <w:tcW w:w="4751" w:type="dxa"/>
            <w:tcBorders>
              <w:top w:val="single" w:sz="4" w:space="0" w:color="BFBFBF"/>
            </w:tcBorders>
            <w:shd w:val="clear" w:color="auto" w:fill="auto"/>
            <w:hideMark/>
          </w:tcPr>
          <w:p w14:paraId="4F6FA89F" w14:textId="547EB25D" w:rsidR="00C15C65" w:rsidRPr="002029AF" w:rsidRDefault="00C15C65" w:rsidP="00C40F5D">
            <w:pPr>
              <w:pStyle w:val="ARtabletext"/>
            </w:pPr>
            <w:r w:rsidRPr="002029AF">
              <w:t>Total</w:t>
            </w:r>
            <w:r w:rsidR="000A5329" w:rsidRPr="002029AF">
              <w:t xml:space="preserve"> </w:t>
            </w:r>
            <w:r w:rsidRPr="002029AF">
              <w:t>number</w:t>
            </w:r>
            <w:r w:rsidR="000A5329" w:rsidRPr="002029AF">
              <w:t xml:space="preserve"> </w:t>
            </w:r>
            <w:r w:rsidRPr="002029AF">
              <w:t>of</w:t>
            </w:r>
            <w:r w:rsidR="000A5329" w:rsidRPr="002029AF">
              <w:t xml:space="preserve"> </w:t>
            </w:r>
            <w:r w:rsidRPr="002029AF">
              <w:t>family</w:t>
            </w:r>
            <w:r w:rsidR="000A5329" w:rsidRPr="002029AF">
              <w:t xml:space="preserve"> </w:t>
            </w:r>
            <w:r w:rsidRPr="002029AF">
              <w:t>services</w:t>
            </w:r>
            <w:r w:rsidR="000A5329" w:rsidRPr="002029AF">
              <w:t xml:space="preserve"> </w:t>
            </w:r>
            <w:r w:rsidRPr="002029AF">
              <w:t>cases</w:t>
            </w:r>
            <w:r w:rsidR="000A5329" w:rsidRPr="002029AF">
              <w:t xml:space="preserve"> </w:t>
            </w:r>
            <w:r w:rsidRPr="002029AF">
              <w:t>provided</w:t>
            </w:r>
          </w:p>
        </w:tc>
        <w:tc>
          <w:tcPr>
            <w:tcW w:w="1020" w:type="dxa"/>
            <w:tcBorders>
              <w:top w:val="single" w:sz="4" w:space="0" w:color="BFBFBF"/>
            </w:tcBorders>
            <w:shd w:val="clear" w:color="auto" w:fill="auto"/>
            <w:hideMark/>
          </w:tcPr>
          <w:p w14:paraId="09A4AA11" w14:textId="77777777" w:rsidR="00C15C65" w:rsidRPr="002029AF" w:rsidRDefault="00C15C65" w:rsidP="00C40F5D">
            <w:pPr>
              <w:pStyle w:val="ARtabletext"/>
            </w:pPr>
            <w:r w:rsidRPr="002029AF">
              <w:t>number</w:t>
            </w:r>
          </w:p>
        </w:tc>
        <w:tc>
          <w:tcPr>
            <w:tcW w:w="1019" w:type="dxa"/>
            <w:tcBorders>
              <w:top w:val="single" w:sz="4" w:space="0" w:color="BFBFBF"/>
            </w:tcBorders>
            <w:shd w:val="clear" w:color="auto" w:fill="auto"/>
            <w:hideMark/>
          </w:tcPr>
          <w:p w14:paraId="0D1CFA89" w14:textId="77777777" w:rsidR="00C15C65" w:rsidRPr="002029AF" w:rsidRDefault="00C15C65" w:rsidP="000024F3">
            <w:pPr>
              <w:pStyle w:val="ARtabletextright"/>
            </w:pPr>
            <w:r w:rsidRPr="002029AF">
              <w:t>33,235</w:t>
            </w:r>
          </w:p>
        </w:tc>
        <w:tc>
          <w:tcPr>
            <w:tcW w:w="1021" w:type="dxa"/>
            <w:tcBorders>
              <w:top w:val="single" w:sz="4" w:space="0" w:color="BFBFBF"/>
            </w:tcBorders>
            <w:shd w:val="clear" w:color="auto" w:fill="auto"/>
            <w:hideMark/>
          </w:tcPr>
          <w:p w14:paraId="2BC421A1" w14:textId="77777777" w:rsidR="00C15C65" w:rsidRPr="002029AF" w:rsidRDefault="00C15C65" w:rsidP="000024F3">
            <w:pPr>
              <w:pStyle w:val="ARtabletextright"/>
            </w:pPr>
            <w:r w:rsidRPr="002029AF">
              <w:t>40,451</w:t>
            </w:r>
          </w:p>
        </w:tc>
        <w:tc>
          <w:tcPr>
            <w:tcW w:w="1024" w:type="dxa"/>
            <w:tcBorders>
              <w:top w:val="single" w:sz="4" w:space="0" w:color="BFBFBF"/>
            </w:tcBorders>
            <w:shd w:val="clear" w:color="auto" w:fill="auto"/>
          </w:tcPr>
          <w:p w14:paraId="1E4AD862" w14:textId="77777777" w:rsidR="00C15C65" w:rsidRPr="002029AF" w:rsidRDefault="00C15C65" w:rsidP="000024F3">
            <w:pPr>
              <w:pStyle w:val="ARtabletextright"/>
            </w:pPr>
            <w:r w:rsidRPr="002029AF">
              <w:t>21.7</w:t>
            </w:r>
          </w:p>
        </w:tc>
        <w:tc>
          <w:tcPr>
            <w:tcW w:w="795" w:type="dxa"/>
            <w:tcBorders>
              <w:top w:val="single" w:sz="4" w:space="0" w:color="BFBFBF"/>
            </w:tcBorders>
            <w:shd w:val="clear" w:color="auto" w:fill="auto"/>
            <w:hideMark/>
          </w:tcPr>
          <w:p w14:paraId="385BF89A"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480F92E1" w14:textId="77777777" w:rsidTr="000024F3">
        <w:trPr>
          <w:gridAfter w:val="1"/>
          <w:wAfter w:w="9" w:type="dxa"/>
          <w:cantSplit/>
        </w:trPr>
        <w:tc>
          <w:tcPr>
            <w:tcW w:w="9630" w:type="dxa"/>
            <w:gridSpan w:val="6"/>
            <w:tcBorders>
              <w:bottom w:val="single" w:sz="4" w:space="0" w:color="BFBFBF"/>
            </w:tcBorders>
            <w:shd w:val="clear" w:color="auto" w:fill="auto"/>
            <w:noWrap/>
            <w:hideMark/>
          </w:tcPr>
          <w:p w14:paraId="76FC4C7F" w14:textId="182D5F24" w:rsidR="00C15C65" w:rsidRPr="002029AF" w:rsidRDefault="00C15C65" w:rsidP="00CE727E">
            <w:pPr>
              <w:pStyle w:val="ARtablenoteindent"/>
            </w:pPr>
            <w:r w:rsidRPr="002029AF">
              <w:t>The</w:t>
            </w:r>
            <w:r w:rsidR="000A5329" w:rsidRPr="002029AF">
              <w:t xml:space="preserve"> </w:t>
            </w:r>
            <w:r w:rsidRPr="002029AF">
              <w:t>result</w:t>
            </w:r>
            <w:r w:rsidR="000A5329" w:rsidRPr="002029AF">
              <w:t xml:space="preserve"> </w:t>
            </w:r>
            <w:r w:rsidRPr="002029AF">
              <w:t>is</w:t>
            </w:r>
            <w:r w:rsidR="000A5329" w:rsidRPr="002029AF">
              <w:t xml:space="preserve"> </w:t>
            </w:r>
            <w:r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high</w:t>
            </w:r>
            <w:r w:rsidR="000A5329" w:rsidRPr="002029AF">
              <w:t xml:space="preserve"> </w:t>
            </w:r>
            <w:r w:rsidRPr="002029AF">
              <w:t>demand</w:t>
            </w:r>
            <w:r w:rsidR="000A5329" w:rsidRPr="002029AF">
              <w:t xml:space="preserve"> </w:t>
            </w:r>
            <w:r w:rsidRPr="002029AF">
              <w:t>and</w:t>
            </w:r>
            <w:r w:rsidR="000A5329" w:rsidRPr="002029AF">
              <w:t xml:space="preserve"> </w:t>
            </w:r>
            <w:r w:rsidRPr="002029AF">
              <w:t>shows</w:t>
            </w:r>
            <w:r w:rsidR="000A5329" w:rsidRPr="002029AF">
              <w:t xml:space="preserve"> </w:t>
            </w:r>
            <w:r w:rsidRPr="002029AF">
              <w:t>Child</w:t>
            </w:r>
            <w:r w:rsidR="000A5329" w:rsidRPr="002029AF">
              <w:t xml:space="preserve"> </w:t>
            </w:r>
            <w:r w:rsidRPr="002029AF">
              <w:t>FIRST</w:t>
            </w:r>
            <w:r w:rsidR="000A5329" w:rsidRPr="002029AF">
              <w:t xml:space="preserve"> </w:t>
            </w:r>
            <w:r w:rsidRPr="002029AF">
              <w:t>and</w:t>
            </w:r>
            <w:r w:rsidR="000A5329" w:rsidRPr="002029AF">
              <w:t xml:space="preserve"> </w:t>
            </w:r>
            <w:r w:rsidRPr="002029AF">
              <w:t>family</w:t>
            </w:r>
            <w:r w:rsidR="000A5329" w:rsidRPr="002029AF">
              <w:t xml:space="preserve"> </w:t>
            </w:r>
            <w:r w:rsidRPr="002029AF">
              <w:t>services</w:t>
            </w:r>
            <w:r w:rsidR="000A5329" w:rsidRPr="002029AF">
              <w:t xml:space="preserve"> </w:t>
            </w:r>
            <w:r w:rsidRPr="002029AF">
              <w:t>responsiveness</w:t>
            </w:r>
            <w:r w:rsidR="000A5329" w:rsidRPr="002029AF">
              <w:t xml:space="preserve"> </w:t>
            </w:r>
            <w:r w:rsidRPr="002029AF">
              <w:t>to</w:t>
            </w:r>
            <w:r w:rsidR="000A5329" w:rsidRPr="002029AF">
              <w:t xml:space="preserve"> </w:t>
            </w:r>
            <w:r w:rsidRPr="002029AF">
              <w:t>vulnerable</w:t>
            </w:r>
            <w:r w:rsidR="000A5329" w:rsidRPr="002029AF">
              <w:t xml:space="preserve"> </w:t>
            </w:r>
            <w:r w:rsidRPr="002029AF">
              <w:t>families.</w:t>
            </w:r>
            <w:r w:rsidR="000A5329" w:rsidRPr="002029AF">
              <w:t xml:space="preserve"> </w:t>
            </w:r>
            <w:r w:rsidRPr="002029AF">
              <w:t>This</w:t>
            </w:r>
            <w:r w:rsidR="000A5329" w:rsidRPr="002029AF">
              <w:t xml:space="preserve"> </w:t>
            </w:r>
            <w:r w:rsidRPr="002029AF">
              <w:t>is</w:t>
            </w:r>
            <w:r w:rsidR="000A5329" w:rsidRPr="002029AF">
              <w:t xml:space="preserve"> </w:t>
            </w:r>
            <w:r w:rsidRPr="002029AF">
              <w:t>a</w:t>
            </w:r>
            <w:r w:rsidR="000A5329" w:rsidRPr="002029AF">
              <w:t xml:space="preserve"> </w:t>
            </w:r>
            <w:r w:rsidRPr="002029AF">
              <w:t>positive</w:t>
            </w:r>
            <w:r w:rsidR="000A5329" w:rsidRPr="002029AF">
              <w:t xml:space="preserve"> </w:t>
            </w:r>
            <w:r w:rsidRPr="002029AF">
              <w:t>result.</w:t>
            </w:r>
          </w:p>
        </w:tc>
      </w:tr>
      <w:tr w:rsidR="00C15C65" w:rsidRPr="002029AF" w14:paraId="68492F66" w14:textId="77777777" w:rsidTr="005B58F0">
        <w:trPr>
          <w:cantSplit/>
        </w:trPr>
        <w:tc>
          <w:tcPr>
            <w:tcW w:w="9639" w:type="dxa"/>
            <w:gridSpan w:val="7"/>
            <w:tcBorders>
              <w:top w:val="single" w:sz="4" w:space="0" w:color="auto"/>
              <w:left w:val="nil"/>
              <w:bottom w:val="nil"/>
              <w:right w:val="nil"/>
            </w:tcBorders>
            <w:hideMark/>
          </w:tcPr>
          <w:p w14:paraId="1882AD90" w14:textId="77777777" w:rsidR="00C15C65" w:rsidRPr="002029AF" w:rsidRDefault="00C15C65" w:rsidP="00D96AFD">
            <w:pPr>
              <w:pStyle w:val="ARtablegreybold"/>
            </w:pPr>
            <w:r w:rsidRPr="002029AF">
              <w:t>Quality</w:t>
            </w:r>
          </w:p>
        </w:tc>
      </w:tr>
      <w:tr w:rsidR="00C15C65" w:rsidRPr="002029AF" w14:paraId="68716447" w14:textId="77777777" w:rsidTr="000024F3">
        <w:trPr>
          <w:gridAfter w:val="1"/>
          <w:wAfter w:w="9" w:type="dxa"/>
          <w:cantSplit/>
        </w:trPr>
        <w:tc>
          <w:tcPr>
            <w:tcW w:w="4751" w:type="dxa"/>
            <w:tcBorders>
              <w:bottom w:val="single" w:sz="4" w:space="0" w:color="BFBFBF"/>
            </w:tcBorders>
            <w:shd w:val="clear" w:color="auto" w:fill="auto"/>
            <w:hideMark/>
          </w:tcPr>
          <w:p w14:paraId="5AAC3DD6" w14:textId="13FFD2DE" w:rsidR="00C15C65" w:rsidRPr="002029AF" w:rsidRDefault="00C15C65" w:rsidP="00C40F5D">
            <w:pPr>
              <w:pStyle w:val="ARtabletext"/>
            </w:pPr>
            <w:r w:rsidRPr="002029AF">
              <w:t>Children</w:t>
            </w:r>
            <w:r w:rsidR="000A5329" w:rsidRPr="002029AF">
              <w:t xml:space="preserve"> </w:t>
            </w:r>
            <w:r w:rsidRPr="002029AF">
              <w:t>and</w:t>
            </w:r>
            <w:r w:rsidR="000A5329" w:rsidRPr="002029AF">
              <w:t xml:space="preserve"> </w:t>
            </w:r>
            <w:r w:rsidRPr="002029AF">
              <w:t>young</w:t>
            </w:r>
            <w:r w:rsidR="000A5329" w:rsidRPr="002029AF">
              <w:t xml:space="preserve"> </w:t>
            </w:r>
            <w:r w:rsidRPr="002029AF">
              <w:t>people</w:t>
            </w:r>
            <w:r w:rsidR="000A5329" w:rsidRPr="002029AF">
              <w:t xml:space="preserve"> </w:t>
            </w:r>
            <w:r w:rsidRPr="002029AF">
              <w:t>in</w:t>
            </w:r>
            <w:r w:rsidR="000A5329" w:rsidRPr="002029AF">
              <w:t xml:space="preserve"> </w:t>
            </w:r>
            <w:r w:rsidRPr="002029AF">
              <w:t>out-of-home</w:t>
            </w:r>
            <w:r w:rsidR="000A5329" w:rsidRPr="002029AF">
              <w:t xml:space="preserve"> </w:t>
            </w:r>
            <w:r w:rsidRPr="002029AF">
              <w:t>care</w:t>
            </w:r>
            <w:r w:rsidR="000A5329" w:rsidRPr="002029AF">
              <w:t xml:space="preserve"> </w:t>
            </w:r>
            <w:r w:rsidRPr="002029AF">
              <w:t>who</w:t>
            </w:r>
            <w:r w:rsidR="000A5329" w:rsidRPr="002029AF">
              <w:t xml:space="preserve"> </w:t>
            </w:r>
            <w:r w:rsidRPr="002029AF">
              <w:t>have</w:t>
            </w:r>
            <w:r w:rsidR="000A5329" w:rsidRPr="002029AF">
              <w:t xml:space="preserve"> </w:t>
            </w:r>
            <w:r w:rsidRPr="002029AF">
              <w:t>had</w:t>
            </w:r>
            <w:r w:rsidR="000A5329" w:rsidRPr="002029AF">
              <w:t xml:space="preserve"> </w:t>
            </w:r>
            <w:r w:rsidRPr="002029AF">
              <w:t>two</w:t>
            </w:r>
            <w:r w:rsidR="000A5329" w:rsidRPr="002029AF">
              <w:t xml:space="preserve"> </w:t>
            </w:r>
            <w:r w:rsidRPr="002029AF">
              <w:t>or</w:t>
            </w:r>
            <w:r w:rsidR="000A5329" w:rsidRPr="002029AF">
              <w:t xml:space="preserve"> </w:t>
            </w:r>
            <w:r w:rsidRPr="002029AF">
              <w:t>less</w:t>
            </w:r>
            <w:r w:rsidR="000A5329" w:rsidRPr="002029AF">
              <w:t xml:space="preserve"> </w:t>
            </w:r>
            <w:r w:rsidRPr="002029AF">
              <w:t>placements</w:t>
            </w:r>
            <w:r w:rsidR="000A5329" w:rsidRPr="002029AF">
              <w:t xml:space="preserve"> </w:t>
            </w:r>
            <w:r w:rsidRPr="002029AF">
              <w:t>in</w:t>
            </w:r>
            <w:r w:rsidR="000A5329" w:rsidRPr="002029AF">
              <w:t xml:space="preserve"> </w:t>
            </w:r>
            <w:r w:rsidRPr="002029AF">
              <w:t>the</w:t>
            </w:r>
            <w:r w:rsidR="000A5329" w:rsidRPr="002029AF">
              <w:t xml:space="preserve"> </w:t>
            </w:r>
            <w:r w:rsidRPr="002029AF">
              <w:t>past</w:t>
            </w:r>
            <w:r w:rsidR="000A5329" w:rsidRPr="002029AF">
              <w:t xml:space="preserve"> </w:t>
            </w:r>
            <w:r w:rsidRPr="002029AF">
              <w:t>12</w:t>
            </w:r>
            <w:r w:rsidR="000A5329" w:rsidRPr="002029AF">
              <w:t xml:space="preserve"> </w:t>
            </w:r>
            <w:r w:rsidRPr="002029AF">
              <w:t>months</w:t>
            </w:r>
            <w:r w:rsidR="000A5329" w:rsidRPr="002029AF">
              <w:t xml:space="preserve"> </w:t>
            </w:r>
            <w:r w:rsidRPr="002029AF">
              <w:t>(not</w:t>
            </w:r>
            <w:r w:rsidR="000A5329" w:rsidRPr="002029AF">
              <w:t xml:space="preserve"> </w:t>
            </w:r>
            <w:r w:rsidRPr="002029AF">
              <w:t>including</w:t>
            </w:r>
            <w:r w:rsidR="000A5329" w:rsidRPr="002029AF">
              <w:t xml:space="preserve"> </w:t>
            </w:r>
            <w:r w:rsidRPr="002029AF">
              <w:t>placements</w:t>
            </w:r>
            <w:r w:rsidR="000A5329" w:rsidRPr="002029AF">
              <w:t xml:space="preserve"> </w:t>
            </w:r>
            <w:r w:rsidRPr="002029AF">
              <w:t>at</w:t>
            </w:r>
            <w:r w:rsidR="000A5329" w:rsidRPr="002029AF">
              <w:t xml:space="preserve"> </w:t>
            </w:r>
            <w:r w:rsidRPr="002029AF">
              <w:t>home)</w:t>
            </w:r>
          </w:p>
        </w:tc>
        <w:tc>
          <w:tcPr>
            <w:tcW w:w="1020" w:type="dxa"/>
            <w:tcBorders>
              <w:bottom w:val="single" w:sz="4" w:space="0" w:color="BFBFBF"/>
            </w:tcBorders>
            <w:shd w:val="clear" w:color="auto" w:fill="auto"/>
            <w:hideMark/>
          </w:tcPr>
          <w:p w14:paraId="1CCD1628" w14:textId="0D6C37F2" w:rsidR="00C15C65" w:rsidRPr="002029AF" w:rsidRDefault="00C15C65" w:rsidP="00C40F5D">
            <w:pPr>
              <w:pStyle w:val="ARtabletext"/>
            </w:pPr>
            <w:r w:rsidRPr="002029AF">
              <w:t>per</w:t>
            </w:r>
            <w:r w:rsidR="000A5329" w:rsidRPr="002029AF">
              <w:t xml:space="preserve"> </w:t>
            </w:r>
            <w:r w:rsidRPr="002029AF">
              <w:t>cent</w:t>
            </w:r>
          </w:p>
        </w:tc>
        <w:tc>
          <w:tcPr>
            <w:tcW w:w="1019" w:type="dxa"/>
            <w:tcBorders>
              <w:bottom w:val="single" w:sz="4" w:space="0" w:color="BFBFBF"/>
            </w:tcBorders>
            <w:shd w:val="clear" w:color="auto" w:fill="auto"/>
            <w:hideMark/>
          </w:tcPr>
          <w:p w14:paraId="02D7C717" w14:textId="77777777" w:rsidR="00C15C65" w:rsidRPr="002029AF" w:rsidRDefault="00C15C65" w:rsidP="000024F3">
            <w:pPr>
              <w:pStyle w:val="ARtabletextright"/>
            </w:pPr>
            <w:r w:rsidRPr="002029AF">
              <w:t>90</w:t>
            </w:r>
          </w:p>
        </w:tc>
        <w:tc>
          <w:tcPr>
            <w:tcW w:w="1021" w:type="dxa"/>
            <w:tcBorders>
              <w:bottom w:val="single" w:sz="4" w:space="0" w:color="BFBFBF"/>
            </w:tcBorders>
            <w:shd w:val="clear" w:color="auto" w:fill="auto"/>
            <w:hideMark/>
          </w:tcPr>
          <w:p w14:paraId="2AFD6691" w14:textId="77777777" w:rsidR="00C15C65" w:rsidRPr="002029AF" w:rsidRDefault="00C15C65" w:rsidP="000024F3">
            <w:pPr>
              <w:pStyle w:val="ARtabletextright"/>
            </w:pPr>
            <w:r w:rsidRPr="002029AF">
              <w:t>91.7</w:t>
            </w:r>
          </w:p>
        </w:tc>
        <w:tc>
          <w:tcPr>
            <w:tcW w:w="1024" w:type="dxa"/>
            <w:tcBorders>
              <w:bottom w:val="single" w:sz="4" w:space="0" w:color="BFBFBF"/>
            </w:tcBorders>
            <w:shd w:val="clear" w:color="auto" w:fill="auto"/>
          </w:tcPr>
          <w:p w14:paraId="56549EC5" w14:textId="77777777" w:rsidR="00C15C65" w:rsidRPr="002029AF" w:rsidRDefault="00C15C65" w:rsidP="000024F3">
            <w:pPr>
              <w:pStyle w:val="ARtabletextright"/>
            </w:pPr>
            <w:r w:rsidRPr="002029AF">
              <w:t>1.9</w:t>
            </w:r>
          </w:p>
        </w:tc>
        <w:tc>
          <w:tcPr>
            <w:tcW w:w="795" w:type="dxa"/>
            <w:tcBorders>
              <w:bottom w:val="single" w:sz="4" w:space="0" w:color="BFBFBF"/>
            </w:tcBorders>
            <w:shd w:val="clear" w:color="auto" w:fill="auto"/>
            <w:hideMark/>
          </w:tcPr>
          <w:p w14:paraId="075BD119"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0F15B34C" w14:textId="77777777" w:rsidTr="000024F3">
        <w:trPr>
          <w:gridAfter w:val="1"/>
          <w:wAfter w:w="9" w:type="dxa"/>
          <w:cantSplit/>
        </w:trPr>
        <w:tc>
          <w:tcPr>
            <w:tcW w:w="4751" w:type="dxa"/>
            <w:tcBorders>
              <w:top w:val="single" w:sz="4" w:space="0" w:color="BFBFBF"/>
            </w:tcBorders>
            <w:shd w:val="clear" w:color="auto" w:fill="auto"/>
            <w:hideMark/>
          </w:tcPr>
          <w:p w14:paraId="6120DA79" w14:textId="705B64DF" w:rsidR="00C15C65" w:rsidRPr="002029AF" w:rsidRDefault="00C15C65" w:rsidP="00C40F5D">
            <w:pPr>
              <w:pStyle w:val="ARtabletext"/>
            </w:pPr>
            <w:r w:rsidRPr="002029AF">
              <w:t>Children</w:t>
            </w:r>
            <w:r w:rsidR="000A5329" w:rsidRPr="002029AF">
              <w:t xml:space="preserve"> </w:t>
            </w:r>
            <w:r w:rsidRPr="002029AF">
              <w:t>and</w:t>
            </w:r>
            <w:r w:rsidR="000A5329" w:rsidRPr="002029AF">
              <w:t xml:space="preserve"> </w:t>
            </w:r>
            <w:r w:rsidRPr="002029AF">
              <w:t>young</w:t>
            </w:r>
            <w:r w:rsidR="000A5329" w:rsidRPr="002029AF">
              <w:t xml:space="preserve"> </w:t>
            </w:r>
            <w:r w:rsidRPr="002029AF">
              <w:t>people</w:t>
            </w:r>
            <w:r w:rsidR="000A5329" w:rsidRPr="002029AF">
              <w:t xml:space="preserve"> </w:t>
            </w:r>
            <w:r w:rsidRPr="002029AF">
              <w:t>who</w:t>
            </w:r>
            <w:r w:rsidR="000A5329" w:rsidRPr="002029AF">
              <w:t xml:space="preserve"> </w:t>
            </w:r>
            <w:r w:rsidRPr="002029AF">
              <w:t>were</w:t>
            </w:r>
            <w:r w:rsidR="000A5329" w:rsidRPr="002029AF">
              <w:t xml:space="preserve"> </w:t>
            </w:r>
            <w:r w:rsidRPr="002029AF">
              <w:t>the</w:t>
            </w:r>
            <w:r w:rsidR="000A5329" w:rsidRPr="002029AF">
              <w:t xml:space="preserve"> </w:t>
            </w:r>
            <w:r w:rsidRPr="002029AF">
              <w:t>subject</w:t>
            </w:r>
            <w:r w:rsidR="000A5329" w:rsidRPr="002029AF">
              <w:t xml:space="preserve"> </w:t>
            </w:r>
            <w:r w:rsidRPr="002029AF">
              <w:t>of</w:t>
            </w:r>
            <w:r w:rsidR="000A5329" w:rsidRPr="002029AF">
              <w:t xml:space="preserve"> </w:t>
            </w:r>
            <w:r w:rsidRPr="002029AF">
              <w:t>a</w:t>
            </w:r>
            <w:r w:rsidR="000A5329" w:rsidRPr="002029AF">
              <w:t xml:space="preserve"> </w:t>
            </w:r>
            <w:r w:rsidRPr="002029AF">
              <w:t>substantiated</w:t>
            </w:r>
            <w:r w:rsidR="000A5329" w:rsidRPr="002029AF">
              <w:t xml:space="preserve"> </w:t>
            </w:r>
            <w:r w:rsidRPr="002029AF">
              <w:t>report</w:t>
            </w:r>
            <w:r w:rsidR="000A5329" w:rsidRPr="002029AF">
              <w:t xml:space="preserve"> </w:t>
            </w:r>
            <w:r w:rsidRPr="002029AF">
              <w:t>within</w:t>
            </w:r>
            <w:r w:rsidR="000A5329" w:rsidRPr="002029AF">
              <w:t xml:space="preserve"> </w:t>
            </w:r>
            <w:r w:rsidRPr="002029AF">
              <w:t>12</w:t>
            </w:r>
            <w:r w:rsidR="000A5329" w:rsidRPr="002029AF">
              <w:t xml:space="preserve"> </w:t>
            </w:r>
            <w:r w:rsidRPr="002029AF">
              <w:t>months</w:t>
            </w:r>
            <w:r w:rsidR="000A5329" w:rsidRPr="002029AF">
              <w:t xml:space="preserve"> </w:t>
            </w:r>
            <w:r w:rsidRPr="002029AF">
              <w:t>of</w:t>
            </w:r>
            <w:r w:rsidR="000A5329" w:rsidRPr="002029AF">
              <w:t xml:space="preserve"> </w:t>
            </w:r>
            <w:r w:rsidRPr="002029AF">
              <w:t>the</w:t>
            </w:r>
            <w:r w:rsidR="000A5329" w:rsidRPr="002029AF">
              <w:t xml:space="preserve"> </w:t>
            </w:r>
            <w:r w:rsidRPr="002029AF">
              <w:t>closure</w:t>
            </w:r>
            <w:r w:rsidR="000A5329" w:rsidRPr="002029AF">
              <w:t xml:space="preserve"> </w:t>
            </w:r>
            <w:r w:rsidRPr="002029AF">
              <w:t>of</w:t>
            </w:r>
            <w:r w:rsidR="000A5329" w:rsidRPr="002029AF">
              <w:t xml:space="preserve"> </w:t>
            </w:r>
            <w:r w:rsidRPr="002029AF">
              <w:t>a</w:t>
            </w:r>
            <w:r w:rsidR="000A5329" w:rsidRPr="002029AF">
              <w:t xml:space="preserve"> </w:t>
            </w:r>
            <w:r w:rsidRPr="002029AF">
              <w:t>previous</w:t>
            </w:r>
            <w:r w:rsidR="000A5329" w:rsidRPr="002029AF">
              <w:t xml:space="preserve"> </w:t>
            </w:r>
            <w:r w:rsidRPr="002029AF">
              <w:t>substantiated</w:t>
            </w:r>
            <w:r w:rsidR="000A5329" w:rsidRPr="002029AF">
              <w:t xml:space="preserve"> </w:t>
            </w:r>
            <w:r w:rsidRPr="002029AF">
              <w:t>report</w:t>
            </w:r>
          </w:p>
        </w:tc>
        <w:tc>
          <w:tcPr>
            <w:tcW w:w="1020" w:type="dxa"/>
            <w:tcBorders>
              <w:top w:val="single" w:sz="4" w:space="0" w:color="BFBFBF"/>
            </w:tcBorders>
            <w:shd w:val="clear" w:color="auto" w:fill="auto"/>
            <w:hideMark/>
          </w:tcPr>
          <w:p w14:paraId="446A3643" w14:textId="2C01CBCD" w:rsidR="00C15C65" w:rsidRPr="002029AF" w:rsidRDefault="00C15C65" w:rsidP="00C40F5D">
            <w:pPr>
              <w:pStyle w:val="ARtabletext"/>
            </w:pPr>
            <w:r w:rsidRPr="002029AF">
              <w:t>per</w:t>
            </w:r>
            <w:r w:rsidR="000A5329" w:rsidRPr="002029AF">
              <w:t xml:space="preserve"> </w:t>
            </w:r>
            <w:r w:rsidRPr="002029AF">
              <w:t>cent</w:t>
            </w:r>
          </w:p>
        </w:tc>
        <w:tc>
          <w:tcPr>
            <w:tcW w:w="1019" w:type="dxa"/>
            <w:tcBorders>
              <w:top w:val="single" w:sz="4" w:space="0" w:color="BFBFBF"/>
            </w:tcBorders>
            <w:shd w:val="clear" w:color="auto" w:fill="auto"/>
            <w:hideMark/>
          </w:tcPr>
          <w:p w14:paraId="39B08E2B" w14:textId="77777777" w:rsidR="00C15C65" w:rsidRPr="002029AF" w:rsidRDefault="00C15C65" w:rsidP="000024F3">
            <w:pPr>
              <w:pStyle w:val="ARtabletextright"/>
            </w:pPr>
            <w:r w:rsidRPr="002029AF">
              <w:t>17.5</w:t>
            </w:r>
          </w:p>
        </w:tc>
        <w:tc>
          <w:tcPr>
            <w:tcW w:w="1021" w:type="dxa"/>
            <w:tcBorders>
              <w:top w:val="single" w:sz="4" w:space="0" w:color="BFBFBF"/>
            </w:tcBorders>
            <w:shd w:val="clear" w:color="auto" w:fill="auto"/>
            <w:hideMark/>
          </w:tcPr>
          <w:p w14:paraId="454ADBB1" w14:textId="77777777" w:rsidR="00C15C65" w:rsidRPr="002029AF" w:rsidRDefault="00C15C65" w:rsidP="000024F3">
            <w:pPr>
              <w:pStyle w:val="ARtabletextright"/>
            </w:pPr>
            <w:r w:rsidRPr="002029AF">
              <w:t>19.8</w:t>
            </w:r>
          </w:p>
        </w:tc>
        <w:tc>
          <w:tcPr>
            <w:tcW w:w="1024" w:type="dxa"/>
            <w:tcBorders>
              <w:top w:val="single" w:sz="4" w:space="0" w:color="BFBFBF"/>
            </w:tcBorders>
            <w:shd w:val="clear" w:color="auto" w:fill="auto"/>
          </w:tcPr>
          <w:p w14:paraId="63DAE77F" w14:textId="77777777" w:rsidR="00C15C65" w:rsidRPr="002029AF" w:rsidRDefault="00C15C65" w:rsidP="000024F3">
            <w:pPr>
              <w:pStyle w:val="ARtabletextright"/>
            </w:pPr>
            <w:r w:rsidRPr="002029AF">
              <w:t>13.1</w:t>
            </w:r>
          </w:p>
        </w:tc>
        <w:tc>
          <w:tcPr>
            <w:tcW w:w="795" w:type="dxa"/>
            <w:tcBorders>
              <w:top w:val="single" w:sz="4" w:space="0" w:color="BFBFBF"/>
            </w:tcBorders>
            <w:shd w:val="clear" w:color="auto" w:fill="auto"/>
            <w:hideMark/>
          </w:tcPr>
          <w:p w14:paraId="5FEFD6F1" w14:textId="58E60133" w:rsidR="00C15C65" w:rsidRPr="002029AF" w:rsidRDefault="00DD7BAB" w:rsidP="000F6867">
            <w:pPr>
              <w:pStyle w:val="ARtableperformancesymbol"/>
              <w:rPr>
                <w:rFonts w:hint="eastAsia"/>
                <w:lang w:val="en-AU"/>
              </w:rPr>
            </w:pPr>
            <w:r w:rsidRPr="002029AF">
              <w:rPr>
                <w:rFonts w:eastAsia="Wingdings" w:cs="Wingdings"/>
                <w:lang w:val="en-AU"/>
              </w:rPr>
              <w:t></w:t>
            </w:r>
          </w:p>
        </w:tc>
      </w:tr>
      <w:tr w:rsidR="00DD7BAB" w:rsidRPr="002029AF" w14:paraId="6EB33773" w14:textId="77777777" w:rsidTr="000024F3">
        <w:trPr>
          <w:gridAfter w:val="1"/>
          <w:wAfter w:w="9" w:type="dxa"/>
          <w:cantSplit/>
        </w:trPr>
        <w:tc>
          <w:tcPr>
            <w:tcW w:w="9630" w:type="dxa"/>
            <w:gridSpan w:val="6"/>
            <w:tcBorders>
              <w:bottom w:val="single" w:sz="4" w:space="0" w:color="BFBFBF"/>
            </w:tcBorders>
            <w:shd w:val="clear" w:color="auto" w:fill="auto"/>
            <w:noWrap/>
            <w:hideMark/>
          </w:tcPr>
          <w:p w14:paraId="4E8C129F" w14:textId="71468882" w:rsidR="00DD7BAB" w:rsidRPr="002029AF" w:rsidRDefault="007C3CCB" w:rsidP="00DD7BAB">
            <w:pPr>
              <w:pStyle w:val="ARtablenoteindent"/>
            </w:pPr>
            <w:r w:rsidRPr="002029AF">
              <w:t>The result was higher than the target as the measure was impacted by coronavirus (COVID-19).</w:t>
            </w:r>
            <w:r>
              <w:t xml:space="preserve"> It is likely to reflect the increased risk to already vulnerable children as a result of various factors such as elevated risk of family violence.</w:t>
            </w:r>
          </w:p>
        </w:tc>
      </w:tr>
      <w:tr w:rsidR="00C15C65" w:rsidRPr="002029AF" w14:paraId="244DC090" w14:textId="77777777" w:rsidTr="000024F3">
        <w:trPr>
          <w:gridAfter w:val="1"/>
          <w:wAfter w:w="9" w:type="dxa"/>
          <w:cantSplit/>
        </w:trPr>
        <w:tc>
          <w:tcPr>
            <w:tcW w:w="4751" w:type="dxa"/>
            <w:tcBorders>
              <w:top w:val="single" w:sz="4" w:space="0" w:color="BFBFBF"/>
            </w:tcBorders>
            <w:shd w:val="clear" w:color="auto" w:fill="auto"/>
            <w:hideMark/>
          </w:tcPr>
          <w:p w14:paraId="6C6320E0" w14:textId="1A6E3FA3" w:rsidR="00C15C65" w:rsidRPr="002029AF" w:rsidRDefault="00C15C65" w:rsidP="00C40F5D">
            <w:pPr>
              <w:pStyle w:val="ARtabletext"/>
            </w:pPr>
            <w:r w:rsidRPr="002029AF">
              <w:t>Children</w:t>
            </w:r>
            <w:r w:rsidR="000A5329" w:rsidRPr="002029AF">
              <w:t xml:space="preserve"> </w:t>
            </w:r>
            <w:r w:rsidRPr="002029AF">
              <w:t>and</w:t>
            </w:r>
            <w:r w:rsidR="000A5329" w:rsidRPr="002029AF">
              <w:t xml:space="preserve"> </w:t>
            </w:r>
            <w:r w:rsidRPr="002029AF">
              <w:t>young</w:t>
            </w:r>
            <w:r w:rsidR="000A5329" w:rsidRPr="002029AF">
              <w:t xml:space="preserve"> </w:t>
            </w:r>
            <w:r w:rsidRPr="002029AF">
              <w:t>people</w:t>
            </w:r>
            <w:r w:rsidR="000A5329" w:rsidRPr="002029AF">
              <w:t xml:space="preserve"> </w:t>
            </w:r>
            <w:r w:rsidRPr="002029AF">
              <w:t>who</w:t>
            </w:r>
            <w:r w:rsidR="000A5329" w:rsidRPr="002029AF">
              <w:t xml:space="preserve"> </w:t>
            </w:r>
            <w:r w:rsidRPr="002029AF">
              <w:t>were</w:t>
            </w:r>
            <w:r w:rsidR="000A5329" w:rsidRPr="002029AF">
              <w:t xml:space="preserve"> </w:t>
            </w:r>
            <w:r w:rsidRPr="002029AF">
              <w:t>the</w:t>
            </w:r>
            <w:r w:rsidR="000A5329" w:rsidRPr="002029AF">
              <w:t xml:space="preserve"> </w:t>
            </w:r>
            <w:r w:rsidRPr="002029AF">
              <w:t>subject</w:t>
            </w:r>
            <w:r w:rsidR="000A5329" w:rsidRPr="002029AF">
              <w:t xml:space="preserve"> </w:t>
            </w:r>
            <w:r w:rsidRPr="002029AF">
              <w:t>of</w:t>
            </w:r>
            <w:r w:rsidR="000A5329" w:rsidRPr="002029AF">
              <w:t xml:space="preserve"> </w:t>
            </w:r>
            <w:r w:rsidRPr="002029AF">
              <w:t>an</w:t>
            </w:r>
            <w:r w:rsidR="000A5329" w:rsidRPr="002029AF">
              <w:t xml:space="preserve"> </w:t>
            </w:r>
            <w:r w:rsidRPr="002029AF">
              <w:t>investigation</w:t>
            </w:r>
            <w:r w:rsidR="000A5329" w:rsidRPr="002029AF">
              <w:t xml:space="preserve"> </w:t>
            </w:r>
            <w:r w:rsidRPr="002029AF">
              <w:t>which</w:t>
            </w:r>
            <w:r w:rsidR="000A5329" w:rsidRPr="002029AF">
              <w:t xml:space="preserve"> </w:t>
            </w:r>
            <w:r w:rsidRPr="002029AF">
              <w:t>led</w:t>
            </w:r>
            <w:r w:rsidR="000A5329" w:rsidRPr="002029AF">
              <w:t xml:space="preserve"> </w:t>
            </w:r>
            <w:r w:rsidRPr="002029AF">
              <w:t>to</w:t>
            </w:r>
            <w:r w:rsidR="000A5329" w:rsidRPr="002029AF">
              <w:t xml:space="preserve"> </w:t>
            </w:r>
            <w:r w:rsidRPr="002029AF">
              <w:t>a</w:t>
            </w:r>
            <w:r w:rsidR="000A5329" w:rsidRPr="002029AF">
              <w:t xml:space="preserve"> </w:t>
            </w:r>
            <w:r w:rsidRPr="002029AF">
              <w:t>decision</w:t>
            </w:r>
            <w:r w:rsidR="000A5329" w:rsidRPr="002029AF">
              <w:t xml:space="preserve"> </w:t>
            </w:r>
            <w:r w:rsidRPr="002029AF">
              <w:t>not</w:t>
            </w:r>
            <w:r w:rsidR="000A5329" w:rsidRPr="002029AF">
              <w:t xml:space="preserve"> </w:t>
            </w:r>
            <w:r w:rsidRPr="002029AF">
              <w:t>to</w:t>
            </w:r>
            <w:r w:rsidR="000A5329" w:rsidRPr="002029AF">
              <w:t xml:space="preserve"> </w:t>
            </w:r>
            <w:r w:rsidRPr="002029AF">
              <w:t>substantiate,</w:t>
            </w:r>
            <w:r w:rsidR="000A5329" w:rsidRPr="002029AF">
              <w:t xml:space="preserve"> </w:t>
            </w:r>
            <w:r w:rsidRPr="002029AF">
              <w:t>who</w:t>
            </w:r>
            <w:r w:rsidR="000A5329" w:rsidRPr="002029AF">
              <w:t xml:space="preserve"> </w:t>
            </w:r>
            <w:r w:rsidRPr="002029AF">
              <w:t>were</w:t>
            </w:r>
            <w:r w:rsidR="000A5329" w:rsidRPr="002029AF">
              <w:t xml:space="preserve"> </w:t>
            </w:r>
            <w:r w:rsidRPr="002029AF">
              <w:t>subsequently</w:t>
            </w:r>
            <w:r w:rsidR="000A5329" w:rsidRPr="002029AF">
              <w:t xml:space="preserve"> </w:t>
            </w:r>
            <w:r w:rsidRPr="002029AF">
              <w:t>the</w:t>
            </w:r>
            <w:r w:rsidR="000A5329" w:rsidRPr="002029AF">
              <w:t xml:space="preserve"> </w:t>
            </w:r>
            <w:r w:rsidRPr="002029AF">
              <w:t>subject</w:t>
            </w:r>
            <w:r w:rsidR="000A5329" w:rsidRPr="002029AF">
              <w:t xml:space="preserve"> </w:t>
            </w:r>
            <w:r w:rsidRPr="002029AF">
              <w:t>of</w:t>
            </w:r>
            <w:r w:rsidR="000A5329" w:rsidRPr="002029AF">
              <w:t xml:space="preserve"> </w:t>
            </w:r>
            <w:r w:rsidRPr="002029AF">
              <w:t>a</w:t>
            </w:r>
            <w:r w:rsidR="000A5329" w:rsidRPr="002029AF">
              <w:t xml:space="preserve"> </w:t>
            </w:r>
            <w:r w:rsidRPr="002029AF">
              <w:t>substantiation</w:t>
            </w:r>
            <w:r w:rsidR="000A5329" w:rsidRPr="002029AF">
              <w:t xml:space="preserve"> </w:t>
            </w:r>
            <w:r w:rsidRPr="002029AF">
              <w:t>within</w:t>
            </w:r>
            <w:r w:rsidR="000A5329" w:rsidRPr="002029AF">
              <w:t xml:space="preserve"> </w:t>
            </w:r>
            <w:r w:rsidRPr="002029AF">
              <w:t>three</w:t>
            </w:r>
            <w:r w:rsidR="000A5329" w:rsidRPr="002029AF">
              <w:t xml:space="preserve"> </w:t>
            </w:r>
            <w:r w:rsidRPr="002029AF">
              <w:t>months</w:t>
            </w:r>
            <w:r w:rsidR="000A5329" w:rsidRPr="002029AF">
              <w:t xml:space="preserve"> </w:t>
            </w:r>
            <w:r w:rsidRPr="002029AF">
              <w:t>of</w:t>
            </w:r>
            <w:r w:rsidR="000A5329" w:rsidRPr="002029AF">
              <w:t xml:space="preserve"> </w:t>
            </w:r>
            <w:r w:rsidRPr="002029AF">
              <w:t>case</w:t>
            </w:r>
            <w:r w:rsidR="000A5329" w:rsidRPr="002029AF">
              <w:t xml:space="preserve"> </w:t>
            </w:r>
            <w:r w:rsidRPr="002029AF">
              <w:t>closure</w:t>
            </w:r>
          </w:p>
        </w:tc>
        <w:tc>
          <w:tcPr>
            <w:tcW w:w="1020" w:type="dxa"/>
            <w:tcBorders>
              <w:top w:val="single" w:sz="4" w:space="0" w:color="BFBFBF"/>
            </w:tcBorders>
            <w:shd w:val="clear" w:color="auto" w:fill="auto"/>
            <w:hideMark/>
          </w:tcPr>
          <w:p w14:paraId="31F11302" w14:textId="228D16EC" w:rsidR="00C15C65" w:rsidRPr="002029AF" w:rsidRDefault="00C15C65" w:rsidP="00C40F5D">
            <w:pPr>
              <w:pStyle w:val="ARtabletext"/>
            </w:pPr>
            <w:r w:rsidRPr="002029AF">
              <w:t>per</w:t>
            </w:r>
            <w:r w:rsidR="000A5329" w:rsidRPr="002029AF">
              <w:t xml:space="preserve"> </w:t>
            </w:r>
            <w:r w:rsidRPr="002029AF">
              <w:t>cent</w:t>
            </w:r>
          </w:p>
        </w:tc>
        <w:tc>
          <w:tcPr>
            <w:tcW w:w="1019" w:type="dxa"/>
            <w:tcBorders>
              <w:top w:val="single" w:sz="4" w:space="0" w:color="BFBFBF"/>
            </w:tcBorders>
            <w:shd w:val="clear" w:color="auto" w:fill="auto"/>
            <w:hideMark/>
          </w:tcPr>
          <w:p w14:paraId="08730148" w14:textId="77777777" w:rsidR="00C15C65" w:rsidRPr="002029AF" w:rsidRDefault="00C15C65" w:rsidP="000024F3">
            <w:pPr>
              <w:pStyle w:val="ARtabletextright"/>
            </w:pPr>
            <w:r w:rsidRPr="002029AF">
              <w:t>3</w:t>
            </w:r>
          </w:p>
        </w:tc>
        <w:tc>
          <w:tcPr>
            <w:tcW w:w="1021" w:type="dxa"/>
            <w:tcBorders>
              <w:top w:val="single" w:sz="4" w:space="0" w:color="BFBFBF"/>
            </w:tcBorders>
            <w:shd w:val="clear" w:color="auto" w:fill="auto"/>
            <w:hideMark/>
          </w:tcPr>
          <w:p w14:paraId="3F04DA8F" w14:textId="77777777" w:rsidR="00C15C65" w:rsidRPr="002029AF" w:rsidRDefault="00C15C65" w:rsidP="000024F3">
            <w:pPr>
              <w:pStyle w:val="ARtabletextright"/>
            </w:pPr>
            <w:r w:rsidRPr="002029AF">
              <w:t>4.3</w:t>
            </w:r>
          </w:p>
        </w:tc>
        <w:tc>
          <w:tcPr>
            <w:tcW w:w="1024" w:type="dxa"/>
            <w:tcBorders>
              <w:top w:val="single" w:sz="4" w:space="0" w:color="BFBFBF"/>
            </w:tcBorders>
            <w:shd w:val="clear" w:color="auto" w:fill="auto"/>
          </w:tcPr>
          <w:p w14:paraId="38416AA7" w14:textId="77777777" w:rsidR="00C15C65" w:rsidRPr="002029AF" w:rsidRDefault="00C15C65" w:rsidP="000024F3">
            <w:pPr>
              <w:pStyle w:val="ARtabletextright"/>
            </w:pPr>
            <w:r w:rsidRPr="002029AF">
              <w:t>43.3</w:t>
            </w:r>
          </w:p>
        </w:tc>
        <w:tc>
          <w:tcPr>
            <w:tcW w:w="795" w:type="dxa"/>
            <w:tcBorders>
              <w:top w:val="single" w:sz="4" w:space="0" w:color="BFBFBF"/>
            </w:tcBorders>
            <w:shd w:val="clear" w:color="auto" w:fill="auto"/>
            <w:hideMark/>
          </w:tcPr>
          <w:p w14:paraId="40A5662E"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391F1213" w14:textId="77777777" w:rsidTr="000024F3">
        <w:trPr>
          <w:gridAfter w:val="1"/>
          <w:wAfter w:w="9" w:type="dxa"/>
          <w:cantSplit/>
        </w:trPr>
        <w:tc>
          <w:tcPr>
            <w:tcW w:w="9630" w:type="dxa"/>
            <w:gridSpan w:val="6"/>
            <w:tcBorders>
              <w:bottom w:val="single" w:sz="4" w:space="0" w:color="BFBFBF"/>
            </w:tcBorders>
            <w:shd w:val="clear" w:color="auto" w:fill="auto"/>
            <w:noWrap/>
            <w:hideMark/>
          </w:tcPr>
          <w:p w14:paraId="55E12396" w14:textId="50E68911" w:rsidR="00C15C65" w:rsidRPr="002029AF" w:rsidRDefault="00DD7BAB" w:rsidP="00E77802">
            <w:pPr>
              <w:pStyle w:val="ARtablenoteindent"/>
            </w:pPr>
            <w:r w:rsidRPr="002029AF">
              <w:t xml:space="preserve">The result is higher than the target </w:t>
            </w:r>
            <w:r w:rsidR="009D17CC" w:rsidRPr="009D17CC">
              <w:t>due to a range of factors, including the impact of coronavirus</w:t>
            </w:r>
            <w:r w:rsidR="009D17CC">
              <w:t xml:space="preserve"> (COVID-19)</w:t>
            </w:r>
            <w:r w:rsidR="009D17CC" w:rsidRPr="009D17CC">
              <w:t>, that new or cumulative evidence has subsequently become available, or a deterioration in family circumstances in subsequent investigations.</w:t>
            </w:r>
          </w:p>
        </w:tc>
      </w:tr>
      <w:tr w:rsidR="00C15C65" w:rsidRPr="002029AF" w14:paraId="52EB4907" w14:textId="77777777" w:rsidTr="000024F3">
        <w:trPr>
          <w:gridAfter w:val="1"/>
          <w:wAfter w:w="9" w:type="dxa"/>
          <w:cantSplit/>
        </w:trPr>
        <w:tc>
          <w:tcPr>
            <w:tcW w:w="4751" w:type="dxa"/>
            <w:tcBorders>
              <w:top w:val="single" w:sz="4" w:space="0" w:color="BFBFBF"/>
            </w:tcBorders>
            <w:shd w:val="clear" w:color="auto" w:fill="auto"/>
            <w:hideMark/>
          </w:tcPr>
          <w:p w14:paraId="780541E9" w14:textId="57F84B41" w:rsidR="00C15C65" w:rsidRPr="002029AF" w:rsidRDefault="00C15C65" w:rsidP="00C40F5D">
            <w:pPr>
              <w:pStyle w:val="ARtabletext"/>
            </w:pPr>
            <w:r w:rsidRPr="002029AF">
              <w:t>Organisations</w:t>
            </w:r>
            <w:r w:rsidR="000A5329" w:rsidRPr="002029AF">
              <w:t xml:space="preserve"> </w:t>
            </w:r>
            <w:r w:rsidRPr="002029AF">
              <w:t>that</w:t>
            </w:r>
            <w:r w:rsidR="000A5329" w:rsidRPr="002029AF">
              <w:t xml:space="preserve"> </w:t>
            </w:r>
            <w:r w:rsidRPr="002029AF">
              <w:t>have</w:t>
            </w:r>
            <w:r w:rsidR="000A5329" w:rsidRPr="002029AF">
              <w:t xml:space="preserve"> </w:t>
            </w:r>
            <w:r w:rsidRPr="002029AF">
              <w:t>successfully</w:t>
            </w:r>
            <w:r w:rsidR="000A5329" w:rsidRPr="002029AF">
              <w:t xml:space="preserve"> </w:t>
            </w:r>
            <w:r w:rsidRPr="002029AF">
              <w:t>completed</w:t>
            </w:r>
            <w:r w:rsidR="000A5329" w:rsidRPr="002029AF">
              <w:t xml:space="preserve"> </w:t>
            </w:r>
            <w:r w:rsidRPr="002029AF">
              <w:t>a</w:t>
            </w:r>
            <w:r w:rsidR="000A5329" w:rsidRPr="002029AF">
              <w:t xml:space="preserve"> </w:t>
            </w:r>
            <w:r w:rsidRPr="002029AF">
              <w:t>certification</w:t>
            </w:r>
            <w:r w:rsidR="000A5329" w:rsidRPr="002029AF">
              <w:t xml:space="preserve"> </w:t>
            </w:r>
            <w:r w:rsidRPr="002029AF">
              <w:t>review</w:t>
            </w:r>
            <w:r w:rsidR="000A5329" w:rsidRPr="002029AF">
              <w:t xml:space="preserve"> </w:t>
            </w:r>
            <w:r w:rsidRPr="002029AF">
              <w:t>(family</w:t>
            </w:r>
            <w:r w:rsidR="000A5329" w:rsidRPr="002029AF">
              <w:t xml:space="preserve"> </w:t>
            </w:r>
            <w:r w:rsidRPr="002029AF">
              <w:t>and</w:t>
            </w:r>
            <w:r w:rsidR="000A5329" w:rsidRPr="002029AF">
              <w:t xml:space="preserve"> </w:t>
            </w:r>
            <w:r w:rsidRPr="002029AF">
              <w:t>community</w:t>
            </w:r>
            <w:r w:rsidR="000A5329" w:rsidRPr="002029AF">
              <w:t xml:space="preserve"> </w:t>
            </w:r>
            <w:r w:rsidRPr="002029AF">
              <w:t>services)</w:t>
            </w:r>
          </w:p>
        </w:tc>
        <w:tc>
          <w:tcPr>
            <w:tcW w:w="1020" w:type="dxa"/>
            <w:tcBorders>
              <w:top w:val="single" w:sz="4" w:space="0" w:color="BFBFBF"/>
            </w:tcBorders>
            <w:shd w:val="clear" w:color="auto" w:fill="auto"/>
            <w:hideMark/>
          </w:tcPr>
          <w:p w14:paraId="7CBE6DC5" w14:textId="24200587" w:rsidR="00C15C65" w:rsidRPr="002029AF" w:rsidRDefault="00C15C65" w:rsidP="00C40F5D">
            <w:pPr>
              <w:pStyle w:val="ARtabletext"/>
            </w:pPr>
            <w:r w:rsidRPr="002029AF">
              <w:t>per</w:t>
            </w:r>
            <w:r w:rsidR="000A5329" w:rsidRPr="002029AF">
              <w:t xml:space="preserve"> </w:t>
            </w:r>
            <w:r w:rsidRPr="002029AF">
              <w:t>cent</w:t>
            </w:r>
          </w:p>
        </w:tc>
        <w:tc>
          <w:tcPr>
            <w:tcW w:w="1019" w:type="dxa"/>
            <w:tcBorders>
              <w:top w:val="single" w:sz="4" w:space="0" w:color="BFBFBF"/>
            </w:tcBorders>
            <w:shd w:val="clear" w:color="auto" w:fill="auto"/>
            <w:hideMark/>
          </w:tcPr>
          <w:p w14:paraId="30860E96" w14:textId="77777777" w:rsidR="00C15C65" w:rsidRPr="002029AF" w:rsidRDefault="00C15C65" w:rsidP="000024F3">
            <w:pPr>
              <w:pStyle w:val="ARtabletextright"/>
            </w:pPr>
            <w:r w:rsidRPr="002029AF">
              <w:t>95</w:t>
            </w:r>
          </w:p>
        </w:tc>
        <w:tc>
          <w:tcPr>
            <w:tcW w:w="1021" w:type="dxa"/>
            <w:tcBorders>
              <w:top w:val="single" w:sz="4" w:space="0" w:color="BFBFBF"/>
            </w:tcBorders>
            <w:shd w:val="clear" w:color="auto" w:fill="auto"/>
            <w:hideMark/>
          </w:tcPr>
          <w:p w14:paraId="21EA5940" w14:textId="77777777" w:rsidR="00C15C65" w:rsidRPr="002029AF" w:rsidRDefault="00C15C65" w:rsidP="000024F3">
            <w:pPr>
              <w:pStyle w:val="ARtabletextright"/>
            </w:pPr>
            <w:r w:rsidRPr="002029AF">
              <w:t>100</w:t>
            </w:r>
          </w:p>
        </w:tc>
        <w:tc>
          <w:tcPr>
            <w:tcW w:w="1024" w:type="dxa"/>
            <w:tcBorders>
              <w:top w:val="single" w:sz="4" w:space="0" w:color="BFBFBF"/>
            </w:tcBorders>
            <w:shd w:val="clear" w:color="auto" w:fill="auto"/>
          </w:tcPr>
          <w:p w14:paraId="366EAE0A" w14:textId="77777777" w:rsidR="00C15C65" w:rsidRPr="002029AF" w:rsidRDefault="00C15C65" w:rsidP="000024F3">
            <w:pPr>
              <w:pStyle w:val="ARtabletextright"/>
            </w:pPr>
            <w:r w:rsidRPr="002029AF">
              <w:t>5.3</w:t>
            </w:r>
          </w:p>
        </w:tc>
        <w:tc>
          <w:tcPr>
            <w:tcW w:w="795" w:type="dxa"/>
            <w:tcBorders>
              <w:top w:val="single" w:sz="4" w:space="0" w:color="BFBFBF"/>
            </w:tcBorders>
            <w:shd w:val="clear" w:color="auto" w:fill="auto"/>
            <w:hideMark/>
          </w:tcPr>
          <w:p w14:paraId="4F177B8A"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49293B07" w14:textId="77777777" w:rsidTr="000024F3">
        <w:trPr>
          <w:gridAfter w:val="1"/>
          <w:wAfter w:w="9" w:type="dxa"/>
          <w:cantSplit/>
        </w:trPr>
        <w:tc>
          <w:tcPr>
            <w:tcW w:w="9630" w:type="dxa"/>
            <w:gridSpan w:val="6"/>
            <w:tcBorders>
              <w:bottom w:val="single" w:sz="4" w:space="0" w:color="BFBFBF"/>
            </w:tcBorders>
            <w:shd w:val="clear" w:color="auto" w:fill="auto"/>
            <w:noWrap/>
            <w:hideMark/>
          </w:tcPr>
          <w:p w14:paraId="275D80F7" w14:textId="78D51098" w:rsidR="00C15C65" w:rsidRPr="002029AF" w:rsidRDefault="00C15C65" w:rsidP="00D96AFD">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as</w:t>
            </w:r>
            <w:r w:rsidR="000A5329" w:rsidRPr="002029AF">
              <w:t xml:space="preserve"> </w:t>
            </w:r>
            <w:r w:rsidRPr="002029AF">
              <w:t>all</w:t>
            </w:r>
            <w:r w:rsidR="000A5329" w:rsidRPr="002029AF">
              <w:t xml:space="preserve"> </w:t>
            </w:r>
            <w:r w:rsidRPr="002029AF">
              <w:t>organisations</w:t>
            </w:r>
            <w:r w:rsidR="000A5329" w:rsidRPr="002029AF">
              <w:t xml:space="preserve"> </w:t>
            </w:r>
            <w:r w:rsidRPr="002029AF">
              <w:t>that</w:t>
            </w:r>
            <w:r w:rsidR="000A5329" w:rsidRPr="002029AF">
              <w:t xml:space="preserve"> </w:t>
            </w:r>
            <w:r w:rsidRPr="002029AF">
              <w:t>undertook</w:t>
            </w:r>
            <w:r w:rsidR="000A5329" w:rsidRPr="002029AF">
              <w:t xml:space="preserve"> </w:t>
            </w:r>
            <w:r w:rsidRPr="002029AF">
              <w:t>a</w:t>
            </w:r>
            <w:r w:rsidR="000A5329" w:rsidRPr="002029AF">
              <w:t xml:space="preserve"> </w:t>
            </w:r>
            <w:r w:rsidRPr="002029AF">
              <w:t>certification</w:t>
            </w:r>
            <w:r w:rsidR="000A5329" w:rsidRPr="002029AF">
              <w:t xml:space="preserve"> </w:t>
            </w:r>
            <w:r w:rsidRPr="002029AF">
              <w:t>review</w:t>
            </w:r>
            <w:r w:rsidR="000A5329" w:rsidRPr="002029AF">
              <w:t xml:space="preserve"> </w:t>
            </w:r>
            <w:r w:rsidRPr="002029AF">
              <w:t>achieved</w:t>
            </w:r>
            <w:r w:rsidR="000A5329" w:rsidRPr="002029AF">
              <w:t xml:space="preserve"> </w:t>
            </w:r>
            <w:r w:rsidRPr="002029AF">
              <w:t>certification.</w:t>
            </w:r>
            <w:r w:rsidR="000A5329" w:rsidRPr="002029AF">
              <w:t xml:space="preserve"> </w:t>
            </w:r>
          </w:p>
        </w:tc>
      </w:tr>
      <w:tr w:rsidR="00C15C65" w:rsidRPr="002029AF" w14:paraId="1DFA82D6" w14:textId="77777777" w:rsidTr="000024F3">
        <w:trPr>
          <w:gridAfter w:val="1"/>
          <w:wAfter w:w="9" w:type="dxa"/>
          <w:cantSplit/>
        </w:trPr>
        <w:tc>
          <w:tcPr>
            <w:tcW w:w="4751" w:type="dxa"/>
            <w:shd w:val="clear" w:color="auto" w:fill="auto"/>
            <w:hideMark/>
          </w:tcPr>
          <w:p w14:paraId="4DCA5754" w14:textId="1A4D22BD" w:rsidR="00C15C65" w:rsidRPr="002029AF" w:rsidRDefault="00C15C65" w:rsidP="006D5287">
            <w:pPr>
              <w:pStyle w:val="ARtabletext"/>
              <w:keepNext/>
            </w:pPr>
            <w:r w:rsidRPr="002029AF">
              <w:t>Organisations</w:t>
            </w:r>
            <w:r w:rsidR="000A5329" w:rsidRPr="002029AF">
              <w:t xml:space="preserve"> </w:t>
            </w:r>
            <w:r w:rsidRPr="002029AF">
              <w:t>that</w:t>
            </w:r>
            <w:r w:rsidR="000A5329" w:rsidRPr="002029AF">
              <w:t xml:space="preserve"> </w:t>
            </w:r>
            <w:r w:rsidRPr="002029AF">
              <w:t>have</w:t>
            </w:r>
            <w:r w:rsidR="000A5329" w:rsidRPr="002029AF">
              <w:t xml:space="preserve"> </w:t>
            </w:r>
            <w:r w:rsidRPr="002029AF">
              <w:t>successfully</w:t>
            </w:r>
            <w:r w:rsidR="000A5329" w:rsidRPr="002029AF">
              <w:t xml:space="preserve"> </w:t>
            </w:r>
            <w:r w:rsidRPr="002029AF">
              <w:t>completed</w:t>
            </w:r>
            <w:r w:rsidR="000A5329" w:rsidRPr="002029AF">
              <w:t xml:space="preserve"> </w:t>
            </w:r>
            <w:r w:rsidRPr="002029AF">
              <w:t>a</w:t>
            </w:r>
            <w:r w:rsidR="000A5329" w:rsidRPr="002029AF">
              <w:t xml:space="preserve"> </w:t>
            </w:r>
            <w:r w:rsidRPr="002029AF">
              <w:t>certification</w:t>
            </w:r>
            <w:r w:rsidR="000A5329" w:rsidRPr="002029AF">
              <w:t xml:space="preserve"> </w:t>
            </w:r>
            <w:r w:rsidRPr="002029AF">
              <w:t>review</w:t>
            </w:r>
            <w:r w:rsidR="000A5329" w:rsidRPr="002029AF">
              <w:t xml:space="preserve"> </w:t>
            </w:r>
            <w:r w:rsidRPr="002029AF">
              <w:t>(specialist</w:t>
            </w:r>
            <w:r w:rsidR="000A5329" w:rsidRPr="002029AF">
              <w:t xml:space="preserve"> </w:t>
            </w:r>
            <w:r w:rsidRPr="002029AF">
              <w:t>support</w:t>
            </w:r>
            <w:r w:rsidR="000A5329" w:rsidRPr="002029AF">
              <w:t xml:space="preserve"> </w:t>
            </w:r>
            <w:r w:rsidRPr="002029AF">
              <w:t>and</w:t>
            </w:r>
            <w:r w:rsidR="000A5329" w:rsidRPr="002029AF">
              <w:t xml:space="preserve"> </w:t>
            </w:r>
            <w:r w:rsidRPr="002029AF">
              <w:t>placement</w:t>
            </w:r>
            <w:r w:rsidR="000A5329" w:rsidRPr="002029AF">
              <w:t xml:space="preserve"> </w:t>
            </w:r>
            <w:r w:rsidRPr="002029AF">
              <w:t>services)</w:t>
            </w:r>
          </w:p>
        </w:tc>
        <w:tc>
          <w:tcPr>
            <w:tcW w:w="1020" w:type="dxa"/>
            <w:shd w:val="clear" w:color="auto" w:fill="auto"/>
            <w:hideMark/>
          </w:tcPr>
          <w:p w14:paraId="66851EE9" w14:textId="089218DA" w:rsidR="00C15C65" w:rsidRPr="002029AF" w:rsidRDefault="00C15C65" w:rsidP="00C40F5D">
            <w:pPr>
              <w:pStyle w:val="ARtabletext"/>
            </w:pPr>
            <w:r w:rsidRPr="002029AF">
              <w:t>per</w:t>
            </w:r>
            <w:r w:rsidR="000A5329" w:rsidRPr="002029AF">
              <w:t xml:space="preserve"> </w:t>
            </w:r>
            <w:r w:rsidRPr="002029AF">
              <w:t>cent</w:t>
            </w:r>
          </w:p>
        </w:tc>
        <w:tc>
          <w:tcPr>
            <w:tcW w:w="1019" w:type="dxa"/>
            <w:shd w:val="clear" w:color="auto" w:fill="auto"/>
            <w:hideMark/>
          </w:tcPr>
          <w:p w14:paraId="1BFFB1FB" w14:textId="77777777" w:rsidR="00C15C65" w:rsidRPr="002029AF" w:rsidRDefault="00C15C65" w:rsidP="000024F3">
            <w:pPr>
              <w:pStyle w:val="ARtabletextright"/>
            </w:pPr>
            <w:r w:rsidRPr="002029AF">
              <w:t>95</w:t>
            </w:r>
          </w:p>
        </w:tc>
        <w:tc>
          <w:tcPr>
            <w:tcW w:w="1021" w:type="dxa"/>
            <w:shd w:val="clear" w:color="auto" w:fill="auto"/>
            <w:hideMark/>
          </w:tcPr>
          <w:p w14:paraId="3B5B9BC9" w14:textId="77777777" w:rsidR="00C15C65" w:rsidRPr="002029AF" w:rsidRDefault="00C15C65" w:rsidP="000024F3">
            <w:pPr>
              <w:pStyle w:val="ARtabletextright"/>
            </w:pPr>
            <w:r w:rsidRPr="002029AF">
              <w:t>100</w:t>
            </w:r>
          </w:p>
        </w:tc>
        <w:tc>
          <w:tcPr>
            <w:tcW w:w="1024" w:type="dxa"/>
            <w:shd w:val="clear" w:color="auto" w:fill="auto"/>
          </w:tcPr>
          <w:p w14:paraId="4474514D" w14:textId="77777777" w:rsidR="00C15C65" w:rsidRPr="002029AF" w:rsidRDefault="00C15C65" w:rsidP="000024F3">
            <w:pPr>
              <w:pStyle w:val="ARtabletextright"/>
            </w:pPr>
            <w:r w:rsidRPr="002029AF">
              <w:t>5.3</w:t>
            </w:r>
          </w:p>
        </w:tc>
        <w:tc>
          <w:tcPr>
            <w:tcW w:w="795" w:type="dxa"/>
            <w:shd w:val="clear" w:color="auto" w:fill="auto"/>
            <w:hideMark/>
          </w:tcPr>
          <w:p w14:paraId="3D5FC44D"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18D67DCE" w14:textId="77777777" w:rsidTr="000024F3">
        <w:trPr>
          <w:gridAfter w:val="1"/>
          <w:wAfter w:w="9" w:type="dxa"/>
          <w:cantSplit/>
        </w:trPr>
        <w:tc>
          <w:tcPr>
            <w:tcW w:w="9630" w:type="dxa"/>
            <w:gridSpan w:val="6"/>
            <w:tcBorders>
              <w:bottom w:val="single" w:sz="4" w:space="0" w:color="BFBFBF"/>
            </w:tcBorders>
            <w:shd w:val="clear" w:color="auto" w:fill="auto"/>
            <w:noWrap/>
            <w:hideMark/>
          </w:tcPr>
          <w:p w14:paraId="2E79FC72" w14:textId="03218078" w:rsidR="00C15C65" w:rsidRPr="002029AF" w:rsidRDefault="00C15C65" w:rsidP="00D96AFD">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as</w:t>
            </w:r>
            <w:r w:rsidR="000A5329" w:rsidRPr="002029AF">
              <w:t xml:space="preserve"> </w:t>
            </w:r>
            <w:r w:rsidRPr="002029AF">
              <w:t>all</w:t>
            </w:r>
            <w:r w:rsidR="000A5329" w:rsidRPr="002029AF">
              <w:t xml:space="preserve"> </w:t>
            </w:r>
            <w:r w:rsidRPr="002029AF">
              <w:t>organisations</w:t>
            </w:r>
            <w:r w:rsidR="000A5329" w:rsidRPr="002029AF">
              <w:t xml:space="preserve"> </w:t>
            </w:r>
            <w:r w:rsidRPr="002029AF">
              <w:t>that</w:t>
            </w:r>
            <w:r w:rsidR="000A5329" w:rsidRPr="002029AF">
              <w:t xml:space="preserve"> </w:t>
            </w:r>
            <w:r w:rsidRPr="002029AF">
              <w:t>undertook</w:t>
            </w:r>
            <w:r w:rsidR="000A5329" w:rsidRPr="002029AF">
              <w:t xml:space="preserve"> </w:t>
            </w:r>
            <w:r w:rsidRPr="002029AF">
              <w:t>a</w:t>
            </w:r>
            <w:r w:rsidR="000A5329" w:rsidRPr="002029AF">
              <w:t xml:space="preserve"> </w:t>
            </w:r>
            <w:r w:rsidRPr="002029AF">
              <w:t>certification</w:t>
            </w:r>
            <w:r w:rsidR="000A5329" w:rsidRPr="002029AF">
              <w:t xml:space="preserve"> </w:t>
            </w:r>
            <w:r w:rsidRPr="002029AF">
              <w:t>review</w:t>
            </w:r>
            <w:r w:rsidR="000A5329" w:rsidRPr="002029AF">
              <w:t xml:space="preserve"> </w:t>
            </w:r>
            <w:r w:rsidRPr="002029AF">
              <w:t>achieved</w:t>
            </w:r>
            <w:r w:rsidR="000A5329" w:rsidRPr="002029AF">
              <w:t xml:space="preserve"> </w:t>
            </w:r>
            <w:r w:rsidRPr="002029AF">
              <w:t>certification.</w:t>
            </w:r>
          </w:p>
        </w:tc>
      </w:tr>
      <w:tr w:rsidR="00C15C65" w:rsidRPr="002029AF" w14:paraId="7853FB45" w14:textId="77777777" w:rsidTr="000024F3">
        <w:trPr>
          <w:gridAfter w:val="1"/>
          <w:wAfter w:w="9" w:type="dxa"/>
          <w:cantSplit/>
        </w:trPr>
        <w:tc>
          <w:tcPr>
            <w:tcW w:w="4751" w:type="dxa"/>
            <w:tcBorders>
              <w:top w:val="single" w:sz="4" w:space="0" w:color="BFBFBF"/>
              <w:bottom w:val="single" w:sz="4" w:space="0" w:color="BFBFBF"/>
            </w:tcBorders>
            <w:shd w:val="clear" w:color="auto" w:fill="auto"/>
            <w:hideMark/>
          </w:tcPr>
          <w:p w14:paraId="77A4F9E3" w14:textId="40C521ED" w:rsidR="00C15C65" w:rsidRPr="002029AF" w:rsidRDefault="00C15C65" w:rsidP="00C40F5D">
            <w:pPr>
              <w:pStyle w:val="ARtabletext"/>
            </w:pPr>
            <w:r w:rsidRPr="002029AF">
              <w:t>Proportion</w:t>
            </w:r>
            <w:r w:rsidR="000A5329" w:rsidRPr="002029AF">
              <w:t xml:space="preserve"> </w:t>
            </w:r>
            <w:r w:rsidRPr="002029AF">
              <w:t>of</w:t>
            </w:r>
            <w:r w:rsidR="000A5329" w:rsidRPr="002029AF">
              <w:t xml:space="preserve"> </w:t>
            </w:r>
            <w:r w:rsidRPr="002029AF">
              <w:t>Aboriginal</w:t>
            </w:r>
            <w:r w:rsidR="000A5329" w:rsidRPr="002029AF">
              <w:t xml:space="preserve"> </w:t>
            </w:r>
            <w:r w:rsidRPr="002029AF">
              <w:t>children</w:t>
            </w:r>
            <w:r w:rsidR="000A5329" w:rsidRPr="002029AF">
              <w:t xml:space="preserve"> </w:t>
            </w:r>
            <w:r w:rsidRPr="002029AF">
              <w:t>placed</w:t>
            </w:r>
            <w:r w:rsidR="000A5329" w:rsidRPr="002029AF">
              <w:t xml:space="preserve"> </w:t>
            </w:r>
            <w:r w:rsidRPr="002029AF">
              <w:t>with</w:t>
            </w:r>
            <w:r w:rsidR="000A5329" w:rsidRPr="002029AF">
              <w:t xml:space="preserve"> </w:t>
            </w:r>
            <w:r w:rsidRPr="002029AF">
              <w:t>relatives/kin,</w:t>
            </w:r>
            <w:r w:rsidR="000A5329" w:rsidRPr="002029AF">
              <w:t xml:space="preserve"> </w:t>
            </w:r>
            <w:r w:rsidRPr="002029AF">
              <w:t>other</w:t>
            </w:r>
            <w:r w:rsidR="000A5329" w:rsidRPr="002029AF">
              <w:t xml:space="preserve"> </w:t>
            </w:r>
            <w:r w:rsidRPr="002029AF">
              <w:t>Aboriginal</w:t>
            </w:r>
            <w:r w:rsidR="000A5329" w:rsidRPr="002029AF">
              <w:t xml:space="preserve"> </w:t>
            </w:r>
            <w:r w:rsidRPr="002029AF">
              <w:t>carers</w:t>
            </w:r>
            <w:r w:rsidR="000A5329" w:rsidRPr="002029AF">
              <w:t xml:space="preserve"> </w:t>
            </w:r>
            <w:r w:rsidRPr="002029AF">
              <w:t>or</w:t>
            </w:r>
            <w:r w:rsidR="000A5329" w:rsidRPr="002029AF">
              <w:t xml:space="preserve"> </w:t>
            </w:r>
            <w:r w:rsidRPr="002029AF">
              <w:t>in</w:t>
            </w:r>
            <w:r w:rsidR="000A5329" w:rsidRPr="002029AF">
              <w:t xml:space="preserve"> </w:t>
            </w:r>
            <w:r w:rsidRPr="002029AF">
              <w:t>Aboriginal</w:t>
            </w:r>
            <w:r w:rsidR="000A5329" w:rsidRPr="002029AF">
              <w:t xml:space="preserve"> </w:t>
            </w:r>
            <w:r w:rsidRPr="002029AF">
              <w:t>residential</w:t>
            </w:r>
            <w:r w:rsidR="000A5329" w:rsidRPr="002029AF">
              <w:t xml:space="preserve"> </w:t>
            </w:r>
            <w:r w:rsidRPr="002029AF">
              <w:t>care</w:t>
            </w:r>
          </w:p>
        </w:tc>
        <w:tc>
          <w:tcPr>
            <w:tcW w:w="1020" w:type="dxa"/>
            <w:tcBorders>
              <w:top w:val="single" w:sz="4" w:space="0" w:color="BFBFBF"/>
              <w:bottom w:val="single" w:sz="4" w:space="0" w:color="BFBFBF"/>
            </w:tcBorders>
            <w:shd w:val="clear" w:color="auto" w:fill="auto"/>
            <w:hideMark/>
          </w:tcPr>
          <w:p w14:paraId="0F136032" w14:textId="2D443465" w:rsidR="00C15C65" w:rsidRPr="002029AF" w:rsidRDefault="00C15C65" w:rsidP="00C40F5D">
            <w:pPr>
              <w:pStyle w:val="ARtabletext"/>
            </w:pPr>
            <w:r w:rsidRPr="002029AF">
              <w:t>per</w:t>
            </w:r>
            <w:r w:rsidR="000A5329" w:rsidRPr="002029AF">
              <w:t xml:space="preserve"> </w:t>
            </w:r>
            <w:r w:rsidRPr="002029AF">
              <w:t>cent</w:t>
            </w:r>
          </w:p>
        </w:tc>
        <w:tc>
          <w:tcPr>
            <w:tcW w:w="1019" w:type="dxa"/>
            <w:tcBorders>
              <w:top w:val="single" w:sz="4" w:space="0" w:color="BFBFBF"/>
              <w:bottom w:val="single" w:sz="4" w:space="0" w:color="BFBFBF"/>
            </w:tcBorders>
            <w:shd w:val="clear" w:color="auto" w:fill="auto"/>
            <w:hideMark/>
          </w:tcPr>
          <w:p w14:paraId="755E12D6" w14:textId="77777777" w:rsidR="00C15C65" w:rsidRPr="002029AF" w:rsidRDefault="00C15C65" w:rsidP="000024F3">
            <w:pPr>
              <w:pStyle w:val="ARtabletextright"/>
            </w:pPr>
            <w:r w:rsidRPr="002029AF">
              <w:t>75</w:t>
            </w:r>
          </w:p>
        </w:tc>
        <w:tc>
          <w:tcPr>
            <w:tcW w:w="1021" w:type="dxa"/>
            <w:tcBorders>
              <w:top w:val="single" w:sz="4" w:space="0" w:color="BFBFBF"/>
              <w:bottom w:val="single" w:sz="4" w:space="0" w:color="BFBFBF"/>
            </w:tcBorders>
            <w:shd w:val="clear" w:color="auto" w:fill="auto"/>
            <w:hideMark/>
          </w:tcPr>
          <w:p w14:paraId="3505902F" w14:textId="77777777" w:rsidR="00C15C65" w:rsidRPr="002029AF" w:rsidRDefault="00C15C65" w:rsidP="000024F3">
            <w:pPr>
              <w:pStyle w:val="ARtabletextright"/>
            </w:pPr>
            <w:r w:rsidRPr="002029AF">
              <w:t>75.6</w:t>
            </w:r>
          </w:p>
        </w:tc>
        <w:tc>
          <w:tcPr>
            <w:tcW w:w="1024" w:type="dxa"/>
            <w:tcBorders>
              <w:top w:val="single" w:sz="4" w:space="0" w:color="BFBFBF"/>
              <w:bottom w:val="single" w:sz="4" w:space="0" w:color="BFBFBF"/>
            </w:tcBorders>
            <w:shd w:val="clear" w:color="auto" w:fill="auto"/>
          </w:tcPr>
          <w:p w14:paraId="3179190B" w14:textId="77777777" w:rsidR="00C15C65" w:rsidRPr="002029AF" w:rsidRDefault="00C15C65" w:rsidP="000024F3">
            <w:pPr>
              <w:pStyle w:val="ARtabletextright"/>
            </w:pPr>
            <w:r w:rsidRPr="002029AF">
              <w:t>0.8</w:t>
            </w:r>
          </w:p>
        </w:tc>
        <w:tc>
          <w:tcPr>
            <w:tcW w:w="795" w:type="dxa"/>
            <w:tcBorders>
              <w:top w:val="single" w:sz="4" w:space="0" w:color="BFBFBF"/>
              <w:bottom w:val="single" w:sz="4" w:space="0" w:color="BFBFBF"/>
            </w:tcBorders>
            <w:shd w:val="clear" w:color="auto" w:fill="auto"/>
            <w:hideMark/>
          </w:tcPr>
          <w:p w14:paraId="0DC276CB"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41E0FA15" w14:textId="77777777" w:rsidTr="000024F3">
        <w:trPr>
          <w:gridAfter w:val="1"/>
          <w:wAfter w:w="9" w:type="dxa"/>
          <w:cantSplit/>
        </w:trPr>
        <w:tc>
          <w:tcPr>
            <w:tcW w:w="4751" w:type="dxa"/>
            <w:tcBorders>
              <w:top w:val="single" w:sz="4" w:space="0" w:color="BFBFBF"/>
            </w:tcBorders>
            <w:shd w:val="clear" w:color="auto" w:fill="auto"/>
            <w:hideMark/>
          </w:tcPr>
          <w:p w14:paraId="48DB88BE" w14:textId="776B9CD2" w:rsidR="00C15C65" w:rsidRPr="002029AF" w:rsidRDefault="00C15C65" w:rsidP="00C40F5D">
            <w:pPr>
              <w:pStyle w:val="ARtabletext"/>
            </w:pPr>
            <w:r w:rsidRPr="002029AF">
              <w:lastRenderedPageBreak/>
              <w:t>Proportion</w:t>
            </w:r>
            <w:r w:rsidR="000A5329" w:rsidRPr="002029AF">
              <w:t xml:space="preserve"> </w:t>
            </w:r>
            <w:r w:rsidRPr="002029AF">
              <w:t>of</w:t>
            </w:r>
            <w:r w:rsidR="000A5329" w:rsidRPr="002029AF">
              <w:t xml:space="preserve"> </w:t>
            </w:r>
            <w:r w:rsidRPr="002029AF">
              <w:t>placements</w:t>
            </w:r>
            <w:r w:rsidR="000A5329" w:rsidRPr="002029AF">
              <w:t xml:space="preserve"> </w:t>
            </w:r>
            <w:r w:rsidRPr="002029AF">
              <w:t>that</w:t>
            </w:r>
            <w:r w:rsidR="000A5329" w:rsidRPr="002029AF">
              <w:t xml:space="preserve"> </w:t>
            </w:r>
            <w:r w:rsidRPr="002029AF">
              <w:t>are</w:t>
            </w:r>
            <w:r w:rsidR="000A5329" w:rsidRPr="002029AF">
              <w:t xml:space="preserve"> </w:t>
            </w:r>
            <w:r w:rsidRPr="002029AF">
              <w:t>home-based</w:t>
            </w:r>
            <w:r w:rsidR="000A5329" w:rsidRPr="002029AF">
              <w:t xml:space="preserve"> </w:t>
            </w:r>
            <w:r w:rsidRPr="002029AF">
              <w:t>care</w:t>
            </w:r>
          </w:p>
        </w:tc>
        <w:tc>
          <w:tcPr>
            <w:tcW w:w="1020" w:type="dxa"/>
            <w:tcBorders>
              <w:top w:val="single" w:sz="4" w:space="0" w:color="BFBFBF"/>
            </w:tcBorders>
            <w:shd w:val="clear" w:color="auto" w:fill="auto"/>
            <w:hideMark/>
          </w:tcPr>
          <w:p w14:paraId="2919B279" w14:textId="2AF7E798" w:rsidR="00C15C65" w:rsidRPr="002029AF" w:rsidRDefault="00C15C65" w:rsidP="00C40F5D">
            <w:pPr>
              <w:pStyle w:val="ARtabletext"/>
            </w:pPr>
            <w:r w:rsidRPr="002029AF">
              <w:t>per</w:t>
            </w:r>
            <w:r w:rsidR="000A5329" w:rsidRPr="002029AF">
              <w:t xml:space="preserve"> </w:t>
            </w:r>
            <w:r w:rsidRPr="002029AF">
              <w:t>cent</w:t>
            </w:r>
          </w:p>
        </w:tc>
        <w:tc>
          <w:tcPr>
            <w:tcW w:w="1019" w:type="dxa"/>
            <w:tcBorders>
              <w:top w:val="single" w:sz="4" w:space="0" w:color="BFBFBF"/>
            </w:tcBorders>
            <w:shd w:val="clear" w:color="auto" w:fill="auto"/>
            <w:hideMark/>
          </w:tcPr>
          <w:p w14:paraId="59E09071" w14:textId="77777777" w:rsidR="00C15C65" w:rsidRPr="002029AF" w:rsidRDefault="00C15C65" w:rsidP="000024F3">
            <w:pPr>
              <w:pStyle w:val="ARtabletextright"/>
            </w:pPr>
            <w:r w:rsidRPr="002029AF">
              <w:t>92.5</w:t>
            </w:r>
          </w:p>
        </w:tc>
        <w:tc>
          <w:tcPr>
            <w:tcW w:w="1021" w:type="dxa"/>
            <w:tcBorders>
              <w:top w:val="single" w:sz="4" w:space="0" w:color="BFBFBF"/>
            </w:tcBorders>
            <w:shd w:val="clear" w:color="auto" w:fill="auto"/>
            <w:hideMark/>
          </w:tcPr>
          <w:p w14:paraId="171219A4" w14:textId="77777777" w:rsidR="00C15C65" w:rsidRPr="002029AF" w:rsidRDefault="00C15C65" w:rsidP="000024F3">
            <w:pPr>
              <w:pStyle w:val="ARtabletextright"/>
            </w:pPr>
            <w:r w:rsidRPr="002029AF">
              <w:t>96.4</w:t>
            </w:r>
          </w:p>
        </w:tc>
        <w:tc>
          <w:tcPr>
            <w:tcW w:w="1024" w:type="dxa"/>
            <w:tcBorders>
              <w:top w:val="single" w:sz="4" w:space="0" w:color="BFBFBF"/>
            </w:tcBorders>
            <w:shd w:val="clear" w:color="auto" w:fill="auto"/>
          </w:tcPr>
          <w:p w14:paraId="2C6E7335" w14:textId="77777777" w:rsidR="00C15C65" w:rsidRPr="002029AF" w:rsidRDefault="00C15C65" w:rsidP="000024F3">
            <w:pPr>
              <w:pStyle w:val="ARtabletextright"/>
            </w:pPr>
            <w:r w:rsidRPr="002029AF">
              <w:t>4.2</w:t>
            </w:r>
          </w:p>
        </w:tc>
        <w:tc>
          <w:tcPr>
            <w:tcW w:w="795" w:type="dxa"/>
            <w:tcBorders>
              <w:top w:val="single" w:sz="4" w:space="0" w:color="BFBFBF"/>
            </w:tcBorders>
            <w:shd w:val="clear" w:color="auto" w:fill="auto"/>
            <w:hideMark/>
          </w:tcPr>
          <w:p w14:paraId="24468ECC"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0024F3" w:rsidRPr="002029AF" w14:paraId="4C11666A" w14:textId="77777777" w:rsidTr="00A518E2">
        <w:trPr>
          <w:cantSplit/>
        </w:trPr>
        <w:tc>
          <w:tcPr>
            <w:tcW w:w="9639" w:type="dxa"/>
            <w:gridSpan w:val="7"/>
            <w:tcBorders>
              <w:top w:val="single" w:sz="4" w:space="0" w:color="auto"/>
              <w:left w:val="nil"/>
              <w:right w:val="nil"/>
            </w:tcBorders>
            <w:hideMark/>
          </w:tcPr>
          <w:p w14:paraId="181DD8C3" w14:textId="082C33E3" w:rsidR="000024F3" w:rsidRPr="002029AF" w:rsidRDefault="000024F3" w:rsidP="00CA3123">
            <w:pPr>
              <w:pStyle w:val="ARtablegreybold"/>
            </w:pPr>
            <w:r w:rsidRPr="002029AF">
              <w:t>Timeliness</w:t>
            </w:r>
          </w:p>
        </w:tc>
      </w:tr>
      <w:tr w:rsidR="00C15C65" w:rsidRPr="002029AF" w14:paraId="4C8950E6" w14:textId="77777777" w:rsidTr="000024F3">
        <w:trPr>
          <w:gridAfter w:val="1"/>
          <w:wAfter w:w="9" w:type="dxa"/>
          <w:cantSplit/>
        </w:trPr>
        <w:tc>
          <w:tcPr>
            <w:tcW w:w="4751" w:type="dxa"/>
            <w:shd w:val="clear" w:color="auto" w:fill="auto"/>
            <w:hideMark/>
          </w:tcPr>
          <w:p w14:paraId="5292C57A" w14:textId="7CF3B8AA" w:rsidR="00C15C65" w:rsidRPr="002029AF" w:rsidRDefault="00C15C65" w:rsidP="00C40F5D">
            <w:pPr>
              <w:pStyle w:val="ARtabletext"/>
            </w:pPr>
            <w:r w:rsidRPr="002029AF">
              <w:t>Percentage</w:t>
            </w:r>
            <w:r w:rsidR="000A5329" w:rsidRPr="002029AF">
              <w:t xml:space="preserve"> </w:t>
            </w:r>
            <w:r w:rsidRPr="002029AF">
              <w:t>of</w:t>
            </w:r>
            <w:r w:rsidR="000A5329" w:rsidRPr="002029AF">
              <w:t xml:space="preserve"> </w:t>
            </w:r>
            <w:r w:rsidRPr="002029AF">
              <w:t>child</w:t>
            </w:r>
            <w:r w:rsidR="000A5329" w:rsidRPr="002029AF">
              <w:t xml:space="preserve"> </w:t>
            </w:r>
            <w:r w:rsidRPr="002029AF">
              <w:t>protection</w:t>
            </w:r>
            <w:r w:rsidR="000A5329" w:rsidRPr="002029AF">
              <w:t xml:space="preserve"> </w:t>
            </w:r>
            <w:r w:rsidRPr="002029AF">
              <w:t>investigations</w:t>
            </w:r>
            <w:r w:rsidR="000A5329" w:rsidRPr="002029AF">
              <w:t xml:space="preserve"> </w:t>
            </w:r>
            <w:r w:rsidRPr="002029AF">
              <w:t>assessed</w:t>
            </w:r>
            <w:r w:rsidR="000A5329" w:rsidRPr="002029AF">
              <w:t xml:space="preserve"> </w:t>
            </w:r>
            <w:r w:rsidRPr="002029AF">
              <w:t>as</w:t>
            </w:r>
            <w:r w:rsidR="000A5329" w:rsidRPr="002029AF">
              <w:t xml:space="preserve"> </w:t>
            </w:r>
            <w:r w:rsidRPr="002029AF">
              <w:t>urgent,</w:t>
            </w:r>
            <w:r w:rsidR="000A5329" w:rsidRPr="002029AF">
              <w:t xml:space="preserve"> </w:t>
            </w:r>
            <w:r w:rsidRPr="002029AF">
              <w:t>that</w:t>
            </w:r>
            <w:r w:rsidR="000A5329" w:rsidRPr="002029AF">
              <w:t xml:space="preserve"> </w:t>
            </w:r>
            <w:r w:rsidRPr="002029AF">
              <w:t>were</w:t>
            </w:r>
            <w:r w:rsidR="000A5329" w:rsidRPr="002029AF">
              <w:t xml:space="preserve"> </w:t>
            </w:r>
            <w:r w:rsidRPr="002029AF">
              <w:t>visited,</w:t>
            </w:r>
            <w:r w:rsidR="000A5329" w:rsidRPr="002029AF">
              <w:t xml:space="preserve"> </w:t>
            </w:r>
            <w:r w:rsidRPr="002029AF">
              <w:t>or</w:t>
            </w:r>
            <w:r w:rsidR="000A5329" w:rsidRPr="002029AF">
              <w:t xml:space="preserve"> </w:t>
            </w:r>
            <w:r w:rsidRPr="002029AF">
              <w:t>where</w:t>
            </w:r>
            <w:r w:rsidR="000A5329" w:rsidRPr="002029AF">
              <w:t xml:space="preserve"> </w:t>
            </w:r>
            <w:r w:rsidRPr="002029AF">
              <w:t>attempts</w:t>
            </w:r>
            <w:r w:rsidR="000A5329" w:rsidRPr="002029AF">
              <w:t xml:space="preserve"> </w:t>
            </w:r>
            <w:r w:rsidRPr="002029AF">
              <w:t>were</w:t>
            </w:r>
            <w:r w:rsidR="000A5329" w:rsidRPr="002029AF">
              <w:t xml:space="preserve"> </w:t>
            </w:r>
            <w:r w:rsidRPr="002029AF">
              <w:t>made</w:t>
            </w:r>
            <w:r w:rsidR="000A5329" w:rsidRPr="002029AF">
              <w:t xml:space="preserve"> </w:t>
            </w:r>
            <w:r w:rsidRPr="002029AF">
              <w:t>to</w:t>
            </w:r>
            <w:r w:rsidR="000A5329" w:rsidRPr="002029AF">
              <w:t xml:space="preserve"> </w:t>
            </w:r>
            <w:r w:rsidRPr="002029AF">
              <w:t>visit,</w:t>
            </w:r>
            <w:r w:rsidR="000A5329" w:rsidRPr="002029AF">
              <w:t xml:space="preserve"> </w:t>
            </w:r>
            <w:r w:rsidRPr="002029AF">
              <w:t>within</w:t>
            </w:r>
            <w:r w:rsidR="000A5329" w:rsidRPr="002029AF">
              <w:t xml:space="preserve"> </w:t>
            </w:r>
            <w:r w:rsidRPr="002029AF">
              <w:t>two</w:t>
            </w:r>
            <w:r w:rsidR="000A5329" w:rsidRPr="002029AF">
              <w:t xml:space="preserve"> </w:t>
            </w:r>
            <w:r w:rsidRPr="002029AF">
              <w:t>days</w:t>
            </w:r>
            <w:r w:rsidR="000A5329" w:rsidRPr="002029AF">
              <w:t xml:space="preserve"> </w:t>
            </w:r>
            <w:r w:rsidRPr="002029AF">
              <w:t>of</w:t>
            </w:r>
            <w:r w:rsidR="000A5329" w:rsidRPr="002029AF">
              <w:t xml:space="preserve"> </w:t>
            </w:r>
            <w:r w:rsidRPr="002029AF">
              <w:t>receipt</w:t>
            </w:r>
            <w:r w:rsidR="000A5329" w:rsidRPr="002029AF">
              <w:t xml:space="preserve"> </w:t>
            </w:r>
            <w:r w:rsidRPr="002029AF">
              <w:t>of</w:t>
            </w:r>
            <w:r w:rsidR="000A5329" w:rsidRPr="002029AF">
              <w:t xml:space="preserve"> </w:t>
            </w:r>
            <w:r w:rsidRPr="002029AF">
              <w:t>the</w:t>
            </w:r>
            <w:r w:rsidR="000A5329" w:rsidRPr="002029AF">
              <w:t xml:space="preserve"> </w:t>
            </w:r>
            <w:r w:rsidRPr="002029AF">
              <w:t>report</w:t>
            </w:r>
          </w:p>
        </w:tc>
        <w:tc>
          <w:tcPr>
            <w:tcW w:w="1020" w:type="dxa"/>
            <w:shd w:val="clear" w:color="auto" w:fill="auto"/>
            <w:hideMark/>
          </w:tcPr>
          <w:p w14:paraId="63AEB268" w14:textId="007A7A5D" w:rsidR="00C15C65" w:rsidRPr="002029AF" w:rsidRDefault="00C15C65" w:rsidP="00C40F5D">
            <w:pPr>
              <w:pStyle w:val="ARtabletext"/>
            </w:pPr>
            <w:r w:rsidRPr="002029AF">
              <w:t>per</w:t>
            </w:r>
            <w:r w:rsidR="000A5329" w:rsidRPr="002029AF">
              <w:t xml:space="preserve"> </w:t>
            </w:r>
            <w:r w:rsidRPr="002029AF">
              <w:t>cent</w:t>
            </w:r>
          </w:p>
        </w:tc>
        <w:tc>
          <w:tcPr>
            <w:tcW w:w="1019" w:type="dxa"/>
            <w:shd w:val="clear" w:color="auto" w:fill="auto"/>
            <w:hideMark/>
          </w:tcPr>
          <w:p w14:paraId="3FFF3EDC" w14:textId="77777777" w:rsidR="00C15C65" w:rsidRPr="002029AF" w:rsidRDefault="00C15C65" w:rsidP="000024F3">
            <w:pPr>
              <w:pStyle w:val="ARtabletextright"/>
            </w:pPr>
            <w:r w:rsidRPr="002029AF">
              <w:t>97</w:t>
            </w:r>
          </w:p>
        </w:tc>
        <w:tc>
          <w:tcPr>
            <w:tcW w:w="1021" w:type="dxa"/>
            <w:shd w:val="clear" w:color="auto" w:fill="auto"/>
            <w:hideMark/>
          </w:tcPr>
          <w:p w14:paraId="3E1B5A29" w14:textId="77777777" w:rsidR="00C15C65" w:rsidRPr="002029AF" w:rsidRDefault="00C15C65" w:rsidP="000024F3">
            <w:pPr>
              <w:pStyle w:val="ARtabletextright"/>
            </w:pPr>
            <w:r w:rsidRPr="002029AF">
              <w:t>96</w:t>
            </w:r>
          </w:p>
        </w:tc>
        <w:tc>
          <w:tcPr>
            <w:tcW w:w="1024" w:type="dxa"/>
            <w:shd w:val="clear" w:color="auto" w:fill="auto"/>
          </w:tcPr>
          <w:p w14:paraId="3A5EA160" w14:textId="77777777" w:rsidR="00C15C65" w:rsidRPr="002029AF" w:rsidRDefault="00C15C65" w:rsidP="000024F3">
            <w:pPr>
              <w:pStyle w:val="ARtabletextright"/>
            </w:pPr>
            <w:r w:rsidRPr="002029AF">
              <w:t>-1.0</w:t>
            </w:r>
          </w:p>
        </w:tc>
        <w:tc>
          <w:tcPr>
            <w:tcW w:w="795" w:type="dxa"/>
            <w:shd w:val="clear" w:color="auto" w:fill="auto"/>
            <w:hideMark/>
          </w:tcPr>
          <w:p w14:paraId="5B61A87B" w14:textId="5EE6CE4F" w:rsidR="00C15C65" w:rsidRPr="002029AF" w:rsidRDefault="003A6C3B" w:rsidP="000F6867">
            <w:pPr>
              <w:pStyle w:val="ARtableperformancesymbol"/>
              <w:rPr>
                <w:rFonts w:hint="eastAsia"/>
                <w:lang w:val="en-AU"/>
              </w:rPr>
            </w:pPr>
            <w:r w:rsidRPr="002029AF">
              <w:rPr>
                <w:lang w:val="en-AU"/>
              </w:rPr>
              <w:t>□</w:t>
            </w:r>
          </w:p>
        </w:tc>
      </w:tr>
      <w:tr w:rsidR="00C15C65" w:rsidRPr="002029AF" w14:paraId="2771C58A" w14:textId="77777777" w:rsidTr="005B58F0">
        <w:trPr>
          <w:cantSplit/>
        </w:trPr>
        <w:tc>
          <w:tcPr>
            <w:tcW w:w="9639" w:type="dxa"/>
            <w:gridSpan w:val="7"/>
            <w:tcBorders>
              <w:top w:val="single" w:sz="4" w:space="0" w:color="auto"/>
              <w:left w:val="nil"/>
              <w:bottom w:val="nil"/>
              <w:right w:val="nil"/>
            </w:tcBorders>
            <w:hideMark/>
          </w:tcPr>
          <w:p w14:paraId="4AF155B4" w14:textId="77777777" w:rsidR="00C15C65" w:rsidRPr="002029AF" w:rsidRDefault="00C15C65" w:rsidP="007666A5">
            <w:pPr>
              <w:pStyle w:val="ARtablegreybold"/>
            </w:pPr>
            <w:r w:rsidRPr="002029AF">
              <w:t>Cost</w:t>
            </w:r>
          </w:p>
        </w:tc>
      </w:tr>
      <w:tr w:rsidR="00C15C65" w:rsidRPr="002029AF" w14:paraId="7887347B" w14:textId="77777777" w:rsidTr="000024F3">
        <w:trPr>
          <w:cantSplit/>
        </w:trPr>
        <w:tc>
          <w:tcPr>
            <w:tcW w:w="4751" w:type="dxa"/>
            <w:hideMark/>
          </w:tcPr>
          <w:p w14:paraId="52B40F3B" w14:textId="1CFB6F7D" w:rsidR="00C15C65" w:rsidRPr="002029AF" w:rsidRDefault="00C15C65" w:rsidP="00C40F5D">
            <w:pPr>
              <w:pStyle w:val="ARtabletext"/>
              <w:rPr>
                <w:b/>
              </w:rPr>
            </w:pPr>
            <w:r w:rsidRPr="002029AF">
              <w:rPr>
                <w:b/>
              </w:rPr>
              <w:t>Total</w:t>
            </w:r>
            <w:r w:rsidR="000A5329" w:rsidRPr="002029AF">
              <w:rPr>
                <w:b/>
              </w:rPr>
              <w:t xml:space="preserve"> </w:t>
            </w:r>
            <w:r w:rsidRPr="002029AF">
              <w:rPr>
                <w:b/>
              </w:rPr>
              <w:t>output</w:t>
            </w:r>
            <w:r w:rsidR="000A5329" w:rsidRPr="002029AF">
              <w:rPr>
                <w:b/>
              </w:rPr>
              <w:t xml:space="preserve"> </w:t>
            </w:r>
            <w:r w:rsidRPr="002029AF">
              <w:rPr>
                <w:b/>
              </w:rPr>
              <w:t>cost</w:t>
            </w:r>
          </w:p>
        </w:tc>
        <w:tc>
          <w:tcPr>
            <w:tcW w:w="1020" w:type="dxa"/>
            <w:hideMark/>
          </w:tcPr>
          <w:p w14:paraId="60B92AF1" w14:textId="54422804" w:rsidR="00C15C65" w:rsidRPr="002029AF" w:rsidRDefault="00C15C65" w:rsidP="00C40F5D">
            <w:pPr>
              <w:pStyle w:val="ARtabletext"/>
              <w:rPr>
                <w:b/>
              </w:rPr>
            </w:pPr>
            <w:r w:rsidRPr="002029AF">
              <w:rPr>
                <w:b/>
              </w:rPr>
              <w:t>$</w:t>
            </w:r>
            <w:r w:rsidR="000A5329" w:rsidRPr="002029AF">
              <w:rPr>
                <w:b/>
              </w:rPr>
              <w:t xml:space="preserve"> </w:t>
            </w:r>
            <w:r w:rsidRPr="002029AF">
              <w:rPr>
                <w:b/>
              </w:rPr>
              <w:t>million</w:t>
            </w:r>
          </w:p>
        </w:tc>
        <w:tc>
          <w:tcPr>
            <w:tcW w:w="1019" w:type="dxa"/>
          </w:tcPr>
          <w:p w14:paraId="3AB13798" w14:textId="77777777" w:rsidR="00C15C65" w:rsidRPr="002029AF" w:rsidRDefault="00C15C65" w:rsidP="00C9755D">
            <w:pPr>
              <w:pStyle w:val="ARtabletextrightbold"/>
            </w:pPr>
            <w:r w:rsidRPr="002029AF">
              <w:t>1,450.0</w:t>
            </w:r>
          </w:p>
        </w:tc>
        <w:tc>
          <w:tcPr>
            <w:tcW w:w="1021" w:type="dxa"/>
          </w:tcPr>
          <w:p w14:paraId="3BAE861B" w14:textId="77777777" w:rsidR="00C15C65" w:rsidRPr="002029AF" w:rsidRDefault="00C15C65" w:rsidP="00C9755D">
            <w:pPr>
              <w:pStyle w:val="ARtabletextrightbold"/>
            </w:pPr>
            <w:r w:rsidRPr="002029AF">
              <w:t>1,522.2</w:t>
            </w:r>
          </w:p>
        </w:tc>
        <w:tc>
          <w:tcPr>
            <w:tcW w:w="1024" w:type="dxa"/>
          </w:tcPr>
          <w:p w14:paraId="315B8304" w14:textId="77777777" w:rsidR="00C15C65" w:rsidRPr="002029AF" w:rsidRDefault="00C15C65" w:rsidP="00C9755D">
            <w:pPr>
              <w:pStyle w:val="ARtabletextrightbold"/>
            </w:pPr>
            <w:r w:rsidRPr="002029AF">
              <w:t>5.0</w:t>
            </w:r>
          </w:p>
        </w:tc>
        <w:tc>
          <w:tcPr>
            <w:tcW w:w="804" w:type="dxa"/>
            <w:gridSpan w:val="2"/>
          </w:tcPr>
          <w:p w14:paraId="1EBDF5B0" w14:textId="77777777" w:rsidR="00C15C65" w:rsidRPr="002029AF" w:rsidRDefault="00C15C65" w:rsidP="00C40F5D">
            <w:pPr>
              <w:pStyle w:val="ARtabletext"/>
              <w:rPr>
                <w:b/>
              </w:rPr>
            </w:pPr>
          </w:p>
        </w:tc>
      </w:tr>
      <w:tr w:rsidR="00C15C65" w:rsidRPr="002029AF" w14:paraId="5CC4DF74" w14:textId="77777777" w:rsidTr="005B58F0">
        <w:trPr>
          <w:cantSplit/>
        </w:trPr>
        <w:tc>
          <w:tcPr>
            <w:tcW w:w="9639" w:type="dxa"/>
            <w:gridSpan w:val="7"/>
            <w:tcBorders>
              <w:top w:val="nil"/>
              <w:left w:val="nil"/>
              <w:bottom w:val="single" w:sz="4" w:space="0" w:color="auto"/>
              <w:right w:val="nil"/>
            </w:tcBorders>
            <w:noWrap/>
            <w:hideMark/>
          </w:tcPr>
          <w:p w14:paraId="75F540D3" w14:textId="05132BE4" w:rsidR="00C15C65" w:rsidRPr="002029AF" w:rsidRDefault="00C15C65" w:rsidP="00D96AFD">
            <w:pPr>
              <w:pStyle w:val="ARtablenoteindent"/>
            </w:pPr>
            <w:r w:rsidRPr="002029AF">
              <w:t>The</w:t>
            </w:r>
            <w:r w:rsidR="000A5329" w:rsidRPr="002029AF">
              <w:t xml:space="preserve"> </w:t>
            </w:r>
            <w:r w:rsidRPr="002029AF">
              <w:t>201</w:t>
            </w:r>
            <w:r w:rsidR="00DB53E6" w:rsidRPr="002029AF">
              <w:t>9–</w:t>
            </w:r>
            <w:r w:rsidRPr="002029AF">
              <w:t>20</w:t>
            </w:r>
            <w:r w:rsidR="000A5329" w:rsidRPr="002029AF">
              <w:t xml:space="preserve"> </w:t>
            </w:r>
            <w:r w:rsidRPr="002029AF">
              <w:t>actual</w:t>
            </w:r>
            <w:r w:rsidR="000A5329" w:rsidRPr="002029AF">
              <w:t xml:space="preserve"> </w:t>
            </w:r>
            <w:r w:rsidRPr="002029AF">
              <w:t>outcome</w:t>
            </w:r>
            <w:r w:rsidR="000A5329" w:rsidRPr="002029AF">
              <w:t xml:space="preserve"> </w:t>
            </w:r>
            <w:r w:rsidRPr="002029AF">
              <w:t>is</w:t>
            </w:r>
            <w:r w:rsidR="000A5329" w:rsidRPr="002029AF">
              <w:t xml:space="preserve"> </w:t>
            </w:r>
            <w:r w:rsidRPr="002029AF">
              <w:t>primarily</w:t>
            </w:r>
            <w:r w:rsidR="000A5329" w:rsidRPr="002029AF">
              <w:t xml:space="preserve"> </w:t>
            </w:r>
            <w:r w:rsidRPr="002029AF">
              <w:t>due</w:t>
            </w:r>
            <w:r w:rsidR="000A5329" w:rsidRPr="002029AF">
              <w:t xml:space="preserve"> </w:t>
            </w:r>
            <w:r w:rsidRPr="002029AF">
              <w:t>to</w:t>
            </w:r>
            <w:r w:rsidR="000A5329" w:rsidRPr="002029AF">
              <w:t xml:space="preserve"> </w:t>
            </w:r>
            <w:r w:rsidRPr="002029AF">
              <w:t>increased</w:t>
            </w:r>
            <w:r w:rsidR="000A5329" w:rsidRPr="002029AF">
              <w:t xml:space="preserve"> </w:t>
            </w:r>
            <w:r w:rsidRPr="002029AF">
              <w:t>demand</w:t>
            </w:r>
            <w:r w:rsidR="000A5329" w:rsidRPr="002029AF">
              <w:t xml:space="preserve"> </w:t>
            </w:r>
            <w:r w:rsidRPr="002029AF">
              <w:t>for</w:t>
            </w:r>
            <w:r w:rsidR="000A5329" w:rsidRPr="002029AF">
              <w:t xml:space="preserve"> </w:t>
            </w:r>
            <w:r w:rsidRPr="002029AF">
              <w:t>statutory</w:t>
            </w:r>
            <w:r w:rsidR="000A5329" w:rsidRPr="002029AF">
              <w:t xml:space="preserve"> </w:t>
            </w:r>
            <w:r w:rsidRPr="002029AF">
              <w:t>child</w:t>
            </w:r>
            <w:r w:rsidR="000A5329" w:rsidRPr="002029AF">
              <w:t xml:space="preserve"> </w:t>
            </w:r>
            <w:r w:rsidRPr="002029AF">
              <w:t>protection</w:t>
            </w:r>
            <w:r w:rsidR="000A5329" w:rsidRPr="002029AF">
              <w:t xml:space="preserve"> </w:t>
            </w:r>
            <w:r w:rsidRPr="002029AF">
              <w:t>services</w:t>
            </w:r>
            <w:r w:rsidR="000A5329" w:rsidRPr="002029AF">
              <w:t xml:space="preserve"> </w:t>
            </w:r>
            <w:r w:rsidRPr="002029AF">
              <w:t>and</w:t>
            </w:r>
            <w:r w:rsidR="000A5329" w:rsidRPr="002029AF">
              <w:t xml:space="preserve"> </w:t>
            </w:r>
            <w:r w:rsidRPr="002029AF">
              <w:t>care</w:t>
            </w:r>
            <w:r w:rsidR="000A5329" w:rsidRPr="002029AF">
              <w:t xml:space="preserve"> </w:t>
            </w:r>
            <w:r w:rsidRPr="002029AF">
              <w:t>services,</w:t>
            </w:r>
            <w:r w:rsidR="000A5329" w:rsidRPr="002029AF">
              <w:t xml:space="preserve"> </w:t>
            </w:r>
            <w:r w:rsidRPr="002029AF">
              <w:t>and</w:t>
            </w:r>
            <w:r w:rsidR="000A5329" w:rsidRPr="002029AF">
              <w:t xml:space="preserve"> </w:t>
            </w:r>
            <w:r w:rsidRPr="002029AF">
              <w:t>additional</w:t>
            </w:r>
            <w:r w:rsidR="000A5329" w:rsidRPr="002029AF">
              <w:t xml:space="preserve"> </w:t>
            </w:r>
            <w:r w:rsidRPr="002029AF">
              <w:t>investment</w:t>
            </w:r>
            <w:r w:rsidR="000A5329" w:rsidRPr="002029AF">
              <w:t xml:space="preserve"> </w:t>
            </w:r>
            <w:r w:rsidRPr="002029AF">
              <w:t>by</w:t>
            </w:r>
            <w:r w:rsidR="000A5329" w:rsidRPr="002029AF">
              <w:t xml:space="preserve"> </w:t>
            </w:r>
            <w:r w:rsidRPr="002029AF">
              <w:t>government</w:t>
            </w:r>
            <w:r w:rsidR="000A5329" w:rsidRPr="002029AF">
              <w:t xml:space="preserve"> </w:t>
            </w:r>
            <w:r w:rsidRPr="002029AF">
              <w:t>in</w:t>
            </w:r>
            <w:r w:rsidR="000A5329" w:rsidRPr="002029AF">
              <w:t xml:space="preserve"> </w:t>
            </w:r>
            <w:r w:rsidRPr="002029AF">
              <w:t>response</w:t>
            </w:r>
            <w:r w:rsidR="000A5329" w:rsidRPr="002029AF">
              <w:t xml:space="preserve"> </w:t>
            </w:r>
            <w:r w:rsidRPr="002029AF">
              <w:t>to</w:t>
            </w:r>
            <w:r w:rsidR="000A5329" w:rsidRPr="002029AF">
              <w:t xml:space="preserve"> </w:t>
            </w:r>
            <w:r w:rsidRPr="002029AF">
              <w:t>coronavirus</w:t>
            </w:r>
            <w:r w:rsidR="000A5329" w:rsidRPr="002029AF">
              <w:t xml:space="preserve"> </w:t>
            </w:r>
            <w:r w:rsidRPr="002029AF">
              <w:t>(COVID-19).</w:t>
            </w:r>
          </w:p>
        </w:tc>
      </w:tr>
    </w:tbl>
    <w:p w14:paraId="07BD4846" w14:textId="287FE3C4" w:rsidR="00C15C65" w:rsidRPr="002029AF" w:rsidRDefault="00C15C65" w:rsidP="00205D6E">
      <w:pPr>
        <w:pStyle w:val="Heading2"/>
      </w:pPr>
      <w:r w:rsidRPr="002029AF">
        <w:t>Housing</w:t>
      </w:r>
      <w:r w:rsidR="000A5329" w:rsidRPr="002029AF">
        <w:t xml:space="preserve"> </w:t>
      </w:r>
      <w:r w:rsidRPr="002029AF">
        <w:t>Assistance</w:t>
      </w:r>
    </w:p>
    <w:p w14:paraId="038A64D3" w14:textId="3EF4CE59" w:rsidR="00C15C65" w:rsidRPr="002029AF" w:rsidRDefault="00C15C65" w:rsidP="00C40F5D">
      <w:pPr>
        <w:pStyle w:val="ARbody"/>
      </w:pPr>
      <w:r w:rsidRPr="002029AF">
        <w:t>This</w:t>
      </w:r>
      <w:r w:rsidR="000A5329" w:rsidRPr="002029AF">
        <w:t xml:space="preserve"> </w:t>
      </w:r>
      <w:r w:rsidRPr="002029AF">
        <w:t>output</w:t>
      </w:r>
      <w:r w:rsidR="000A5329" w:rsidRPr="002029AF">
        <w:t xml:space="preserve"> </w:t>
      </w:r>
      <w:r w:rsidRPr="002029AF">
        <w:t>aims</w:t>
      </w:r>
      <w:r w:rsidR="000A5329" w:rsidRPr="002029AF">
        <w:t xml:space="preserve"> </w:t>
      </w:r>
      <w:r w:rsidRPr="002029AF">
        <w:t>to</w:t>
      </w:r>
      <w:r w:rsidR="000A5329" w:rsidRPr="002029AF">
        <w:t xml:space="preserve"> </w:t>
      </w:r>
      <w:r w:rsidRPr="002029AF">
        <w:t>make</w:t>
      </w:r>
      <w:r w:rsidR="000A5329" w:rsidRPr="002029AF">
        <w:t xml:space="preserve"> </w:t>
      </w:r>
      <w:r w:rsidRPr="002029AF">
        <w:t>a</w:t>
      </w:r>
      <w:r w:rsidR="000A5329" w:rsidRPr="002029AF">
        <w:t xml:space="preserve"> </w:t>
      </w:r>
      <w:r w:rsidRPr="002029AF">
        <w:t>positive</w:t>
      </w:r>
      <w:r w:rsidR="000A5329" w:rsidRPr="002029AF">
        <w:t xml:space="preserve"> </w:t>
      </w:r>
      <w:r w:rsidRPr="002029AF">
        <w:t>difference</w:t>
      </w:r>
      <w:r w:rsidR="000A5329" w:rsidRPr="002029AF">
        <w:t xml:space="preserve"> </w:t>
      </w:r>
      <w:r w:rsidRPr="002029AF">
        <w:t>for</w:t>
      </w:r>
      <w:r w:rsidR="000A5329" w:rsidRPr="002029AF">
        <w:t xml:space="preserve"> </w:t>
      </w:r>
      <w:r w:rsidRPr="002029AF">
        <w:t>Victorians</w:t>
      </w:r>
      <w:r w:rsidR="000A5329" w:rsidRPr="002029AF">
        <w:t xml:space="preserve"> </w:t>
      </w:r>
      <w:r w:rsidRPr="002029AF">
        <w:t>experiencing</w:t>
      </w:r>
      <w:r w:rsidR="000A5329" w:rsidRPr="002029AF">
        <w:t xml:space="preserve"> </w:t>
      </w:r>
      <w:r w:rsidRPr="002029AF">
        <w:t>disadvantage</w:t>
      </w:r>
      <w:r w:rsidR="000A5329" w:rsidRPr="002029AF">
        <w:t xml:space="preserve"> </w:t>
      </w:r>
      <w:r w:rsidRPr="002029AF">
        <w:t>by</w:t>
      </w:r>
      <w:r w:rsidR="000A5329" w:rsidRPr="002029AF">
        <w:t xml:space="preserve"> </w:t>
      </w:r>
      <w:r w:rsidRPr="002029AF">
        <w:t>providing</w:t>
      </w:r>
      <w:r w:rsidR="000A5329" w:rsidRPr="002029AF">
        <w:t xml:space="preserve"> </w:t>
      </w:r>
      <w:r w:rsidRPr="002029AF">
        <w:t>excellent</w:t>
      </w:r>
      <w:r w:rsidR="000A5329" w:rsidRPr="002029AF">
        <w:t xml:space="preserve"> </w:t>
      </w:r>
      <w:r w:rsidRPr="002029AF">
        <w:t>housing</w:t>
      </w:r>
      <w:r w:rsidR="000A5329" w:rsidRPr="002029AF">
        <w:t xml:space="preserve"> </w:t>
      </w:r>
      <w:r w:rsidRPr="002029AF">
        <w:t>and</w:t>
      </w:r>
      <w:r w:rsidR="000A5329" w:rsidRPr="002029AF">
        <w:t xml:space="preserve"> </w:t>
      </w:r>
      <w:r w:rsidRPr="002029AF">
        <w:t>community</w:t>
      </w:r>
      <w:r w:rsidR="000A5329" w:rsidRPr="002029AF">
        <w:t xml:space="preserve"> </w:t>
      </w:r>
      <w:r w:rsidRPr="002029AF">
        <w:t>services</w:t>
      </w:r>
      <w:r w:rsidR="000A5329" w:rsidRPr="002029AF">
        <w:t xml:space="preserve"> </w:t>
      </w:r>
      <w:r w:rsidRPr="002029AF">
        <w:t>to</w:t>
      </w:r>
      <w:r w:rsidR="000A5329" w:rsidRPr="002029AF">
        <w:t xml:space="preserve"> </w:t>
      </w:r>
      <w:r w:rsidRPr="002029AF">
        <w:t>meet</w:t>
      </w:r>
      <w:r w:rsidR="000A5329" w:rsidRPr="002029AF">
        <w:t xml:space="preserve"> </w:t>
      </w:r>
      <w:r w:rsidRPr="002029AF">
        <w:t>clients’</w:t>
      </w:r>
      <w:r w:rsidR="000A5329" w:rsidRPr="002029AF">
        <w:t xml:space="preserve"> </w:t>
      </w:r>
      <w:r w:rsidRPr="002029AF">
        <w:t>needs.</w:t>
      </w:r>
      <w:r w:rsidR="000A5329" w:rsidRPr="002029AF">
        <w:t xml:space="preserve"> </w:t>
      </w:r>
      <w:r w:rsidRPr="002029AF">
        <w:t>It</w:t>
      </w:r>
      <w:r w:rsidR="000A5329" w:rsidRPr="002029AF">
        <w:t xml:space="preserve"> </w:t>
      </w:r>
      <w:r w:rsidRPr="002029AF">
        <w:t>does</w:t>
      </w:r>
      <w:r w:rsidR="000A5329" w:rsidRPr="002029AF">
        <w:t xml:space="preserve"> </w:t>
      </w:r>
      <w:r w:rsidRPr="002029AF">
        <w:t>this</w:t>
      </w:r>
      <w:r w:rsidR="000A5329" w:rsidRPr="002029AF">
        <w:t xml:space="preserve"> </w:t>
      </w:r>
      <w:r w:rsidRPr="002029AF">
        <w:t>through</w:t>
      </w:r>
      <w:r w:rsidR="000A5329" w:rsidRPr="002029AF">
        <w:t xml:space="preserve"> </w:t>
      </w:r>
      <w:r w:rsidRPr="002029AF">
        <w:t>the</w:t>
      </w:r>
      <w:r w:rsidR="000A5329" w:rsidRPr="002029AF">
        <w:t xml:space="preserve"> </w:t>
      </w:r>
      <w:r w:rsidRPr="002029AF">
        <w:t>provision</w:t>
      </w:r>
      <w:r w:rsidR="000A5329" w:rsidRPr="002029AF">
        <w:t xml:space="preserve"> </w:t>
      </w:r>
      <w:r w:rsidRPr="002029AF">
        <w:t>of</w:t>
      </w:r>
      <w:r w:rsidR="000A5329" w:rsidRPr="002029AF">
        <w:t xml:space="preserve"> </w:t>
      </w:r>
      <w:r w:rsidRPr="002029AF">
        <w:t>homelessness</w:t>
      </w:r>
      <w:r w:rsidR="000A5329" w:rsidRPr="002029AF">
        <w:t xml:space="preserve"> </w:t>
      </w:r>
      <w:r w:rsidRPr="002029AF">
        <w:t>services,</w:t>
      </w:r>
      <w:r w:rsidR="000A5329" w:rsidRPr="002029AF">
        <w:t xml:space="preserve"> </w:t>
      </w:r>
      <w:r w:rsidRPr="002029AF">
        <w:t>crisis</w:t>
      </w:r>
      <w:r w:rsidR="000A5329" w:rsidRPr="002029AF">
        <w:t xml:space="preserve"> </w:t>
      </w:r>
      <w:r w:rsidRPr="002029AF">
        <w:t>and</w:t>
      </w:r>
      <w:r w:rsidR="000A5329" w:rsidRPr="002029AF">
        <w:t xml:space="preserve"> </w:t>
      </w:r>
      <w:r w:rsidRPr="002029AF">
        <w:t>transitional</w:t>
      </w:r>
      <w:r w:rsidR="000A5329" w:rsidRPr="002029AF">
        <w:t xml:space="preserve"> </w:t>
      </w:r>
      <w:r w:rsidRPr="002029AF">
        <w:t>accommodation</w:t>
      </w:r>
      <w:r w:rsidR="000A5329" w:rsidRPr="002029AF">
        <w:t xml:space="preserve"> </w:t>
      </w:r>
      <w:r w:rsidRPr="002029AF">
        <w:t>and</w:t>
      </w:r>
      <w:r w:rsidR="000A5329" w:rsidRPr="002029AF">
        <w:t xml:space="preserve"> </w:t>
      </w:r>
      <w:r w:rsidRPr="002029AF">
        <w:t>long-term</w:t>
      </w:r>
      <w:r w:rsidR="000A5329" w:rsidRPr="002029AF">
        <w:t xml:space="preserve"> </w:t>
      </w:r>
      <w:r w:rsidRPr="002029AF">
        <w:t>adequate,</w:t>
      </w:r>
      <w:r w:rsidR="000A5329" w:rsidRPr="002029AF">
        <w:t xml:space="preserve"> </w:t>
      </w:r>
      <w:r w:rsidRPr="002029AF">
        <w:t>affordable</w:t>
      </w:r>
      <w:r w:rsidR="000A5329" w:rsidRPr="002029AF">
        <w:t xml:space="preserve"> </w:t>
      </w:r>
      <w:r w:rsidRPr="002029AF">
        <w:t>and</w:t>
      </w:r>
      <w:r w:rsidR="000A5329" w:rsidRPr="002029AF">
        <w:t xml:space="preserve"> </w:t>
      </w:r>
      <w:r w:rsidRPr="002029AF">
        <w:t>accessible</w:t>
      </w:r>
      <w:r w:rsidR="000A5329" w:rsidRPr="002029AF">
        <w:t xml:space="preserve"> </w:t>
      </w:r>
      <w:r w:rsidRPr="002029AF">
        <w:t>housing</w:t>
      </w:r>
      <w:r w:rsidR="000A5329" w:rsidRPr="002029AF">
        <w:t xml:space="preserve"> </w:t>
      </w:r>
      <w:r w:rsidRPr="002029AF">
        <w:t>assistance,</w:t>
      </w:r>
      <w:r w:rsidR="000A5329" w:rsidRPr="002029AF">
        <w:t xml:space="preserve"> </w:t>
      </w:r>
      <w:r w:rsidRPr="002029AF">
        <w:t>coordinated</w:t>
      </w:r>
      <w:r w:rsidR="000A5329" w:rsidRPr="002029AF">
        <w:t xml:space="preserve"> </w:t>
      </w:r>
      <w:r w:rsidRPr="002029AF">
        <w:t>with</w:t>
      </w:r>
      <w:r w:rsidR="000A5329" w:rsidRPr="002029AF">
        <w:t xml:space="preserve"> </w:t>
      </w:r>
      <w:r w:rsidRPr="002029AF">
        <w:t>support</w:t>
      </w:r>
      <w:r w:rsidR="000A5329" w:rsidRPr="002029AF">
        <w:t xml:space="preserve"> </w:t>
      </w:r>
      <w:r w:rsidRPr="002029AF">
        <w:t>services</w:t>
      </w:r>
      <w:r w:rsidR="000A5329" w:rsidRPr="002029AF">
        <w:t xml:space="preserve"> </w:t>
      </w:r>
      <w:r w:rsidRPr="002029AF">
        <w:t>where</w:t>
      </w:r>
      <w:r w:rsidR="000A5329" w:rsidRPr="002029AF">
        <w:t xml:space="preserve"> </w:t>
      </w:r>
      <w:r w:rsidRPr="002029AF">
        <w:t>required,</w:t>
      </w:r>
      <w:r w:rsidR="000A5329" w:rsidRPr="002029AF">
        <w:t xml:space="preserve"> </w:t>
      </w:r>
      <w:r w:rsidRPr="002029AF">
        <w:t>home</w:t>
      </w:r>
      <w:r w:rsidR="000A5329" w:rsidRPr="002029AF">
        <w:t xml:space="preserve"> </w:t>
      </w:r>
      <w:r w:rsidRPr="002029AF">
        <w:t>renovation</w:t>
      </w:r>
      <w:r w:rsidR="000A5329" w:rsidRPr="002029AF">
        <w:t xml:space="preserve"> </w:t>
      </w:r>
      <w:r w:rsidRPr="002029AF">
        <w:t>assistance</w:t>
      </w:r>
      <w:r w:rsidR="000A5329" w:rsidRPr="002029AF">
        <w:t xml:space="preserve"> </w:t>
      </w:r>
      <w:r w:rsidRPr="002029AF">
        <w:t>and</w:t>
      </w:r>
      <w:r w:rsidR="000A5329" w:rsidRPr="002029AF">
        <w:t xml:space="preserve"> </w:t>
      </w:r>
      <w:r w:rsidRPr="002029AF">
        <w:t>the</w:t>
      </w:r>
      <w:r w:rsidR="000A5329" w:rsidRPr="002029AF">
        <w:t xml:space="preserve"> </w:t>
      </w:r>
      <w:r w:rsidRPr="002029AF">
        <w:t>management</w:t>
      </w:r>
      <w:r w:rsidR="000A5329" w:rsidRPr="002029AF">
        <w:t xml:space="preserve"> </w:t>
      </w:r>
      <w:r w:rsidRPr="002029AF">
        <w:t>of</w:t>
      </w:r>
      <w:r w:rsidR="000A5329" w:rsidRPr="002029AF">
        <w:t xml:space="preserve"> </w:t>
      </w:r>
      <w:r w:rsidRPr="002029AF">
        <w:t>the</w:t>
      </w:r>
      <w:r w:rsidR="000A5329" w:rsidRPr="002029AF">
        <w:t xml:space="preserve"> </w:t>
      </w:r>
      <w:r w:rsidRPr="002029AF">
        <w:t>home</w:t>
      </w:r>
      <w:r w:rsidR="000A5329" w:rsidRPr="002029AF">
        <w:t xml:space="preserve"> </w:t>
      </w:r>
      <w:r w:rsidRPr="002029AF">
        <w:t>loan</w:t>
      </w:r>
      <w:r w:rsidR="000A5329" w:rsidRPr="002029AF">
        <w:t xml:space="preserve"> </w:t>
      </w:r>
      <w:r w:rsidRPr="002029AF">
        <w:t>portfolio.</w:t>
      </w:r>
    </w:p>
    <w:tbl>
      <w:tblPr>
        <w:tblW w:w="9639" w:type="dxa"/>
        <w:tblLayout w:type="fixed"/>
        <w:tblCellMar>
          <w:left w:w="0" w:type="dxa"/>
        </w:tblCellMar>
        <w:tblLook w:val="04A0" w:firstRow="1" w:lastRow="0" w:firstColumn="1" w:lastColumn="0" w:noHBand="0" w:noVBand="1"/>
      </w:tblPr>
      <w:tblGrid>
        <w:gridCol w:w="4750"/>
        <w:gridCol w:w="1020"/>
        <w:gridCol w:w="1020"/>
        <w:gridCol w:w="1020"/>
        <w:gridCol w:w="1025"/>
        <w:gridCol w:w="798"/>
        <w:gridCol w:w="6"/>
      </w:tblGrid>
      <w:tr w:rsidR="005B58F0" w:rsidRPr="002029AF" w14:paraId="543ECDA8" w14:textId="77777777" w:rsidTr="00CA3123">
        <w:trPr>
          <w:cantSplit/>
          <w:tblHeader/>
        </w:trPr>
        <w:tc>
          <w:tcPr>
            <w:tcW w:w="4750" w:type="dxa"/>
            <w:tcBorders>
              <w:top w:val="nil"/>
              <w:left w:val="nil"/>
              <w:bottom w:val="single" w:sz="4" w:space="0" w:color="auto"/>
              <w:right w:val="nil"/>
            </w:tcBorders>
            <w:vAlign w:val="bottom"/>
            <w:hideMark/>
          </w:tcPr>
          <w:p w14:paraId="1D07FFE3" w14:textId="350DC01F" w:rsidR="005B58F0" w:rsidRPr="002029AF" w:rsidRDefault="005B58F0" w:rsidP="0014376C">
            <w:pPr>
              <w:pStyle w:val="ARtablecolhead"/>
            </w:pPr>
            <w:r w:rsidRPr="002029AF">
              <w:t>Performance</w:t>
            </w:r>
            <w:r w:rsidR="000A5329" w:rsidRPr="002029AF">
              <w:t xml:space="preserve"> </w:t>
            </w:r>
            <w:r w:rsidRPr="002029AF">
              <w:t>measures</w:t>
            </w:r>
          </w:p>
        </w:tc>
        <w:tc>
          <w:tcPr>
            <w:tcW w:w="1020" w:type="dxa"/>
            <w:tcBorders>
              <w:top w:val="nil"/>
              <w:left w:val="nil"/>
              <w:bottom w:val="single" w:sz="4" w:space="0" w:color="auto"/>
              <w:right w:val="nil"/>
            </w:tcBorders>
            <w:vAlign w:val="bottom"/>
            <w:hideMark/>
          </w:tcPr>
          <w:p w14:paraId="56F05DB6" w14:textId="25E44C74" w:rsidR="005B58F0" w:rsidRPr="002029AF" w:rsidRDefault="005B58F0" w:rsidP="0014376C">
            <w:pPr>
              <w:pStyle w:val="ARtablecolhead"/>
            </w:pPr>
            <w:r w:rsidRPr="002029AF">
              <w:t>Unit</w:t>
            </w:r>
            <w:r w:rsidR="000A5329" w:rsidRPr="002029AF">
              <w:t xml:space="preserve"> </w:t>
            </w:r>
            <w:r w:rsidRPr="002029AF">
              <w:t>of</w:t>
            </w:r>
            <w:r w:rsidR="000A5329" w:rsidRPr="002029AF">
              <w:t xml:space="preserve"> </w:t>
            </w:r>
            <w:r w:rsidRPr="002029AF">
              <w:t>measure</w:t>
            </w:r>
          </w:p>
        </w:tc>
        <w:tc>
          <w:tcPr>
            <w:tcW w:w="1020" w:type="dxa"/>
            <w:tcBorders>
              <w:top w:val="nil"/>
              <w:left w:val="nil"/>
              <w:bottom w:val="single" w:sz="4" w:space="0" w:color="auto"/>
              <w:right w:val="nil"/>
            </w:tcBorders>
            <w:vAlign w:val="bottom"/>
            <w:hideMark/>
          </w:tcPr>
          <w:p w14:paraId="5E47FC70" w14:textId="7176D36C" w:rsidR="005B58F0" w:rsidRPr="002029AF" w:rsidRDefault="005B58F0" w:rsidP="0014376C">
            <w:pPr>
              <w:pStyle w:val="ARtablecolheadright"/>
            </w:pPr>
            <w:r w:rsidRPr="002029AF">
              <w:t>2019–20</w:t>
            </w:r>
            <w:r w:rsidR="000A5329" w:rsidRPr="002029AF">
              <w:t xml:space="preserve"> </w:t>
            </w:r>
            <w:r w:rsidRPr="002029AF">
              <w:t>target</w:t>
            </w:r>
          </w:p>
        </w:tc>
        <w:tc>
          <w:tcPr>
            <w:tcW w:w="1020" w:type="dxa"/>
            <w:tcBorders>
              <w:top w:val="nil"/>
              <w:left w:val="nil"/>
              <w:bottom w:val="single" w:sz="4" w:space="0" w:color="auto"/>
              <w:right w:val="nil"/>
            </w:tcBorders>
            <w:vAlign w:val="bottom"/>
            <w:hideMark/>
          </w:tcPr>
          <w:p w14:paraId="0AAC2F0E" w14:textId="06685C94" w:rsidR="005B58F0" w:rsidRPr="002029AF" w:rsidRDefault="005B58F0" w:rsidP="0014376C">
            <w:pPr>
              <w:pStyle w:val="ARtablecolheadright"/>
            </w:pPr>
            <w:r w:rsidRPr="002029AF">
              <w:t>2019–20</w:t>
            </w:r>
            <w:r w:rsidR="000A5329" w:rsidRPr="002029AF">
              <w:t xml:space="preserve"> </w:t>
            </w:r>
            <w:r w:rsidRPr="002029AF">
              <w:t>actual</w:t>
            </w:r>
          </w:p>
        </w:tc>
        <w:tc>
          <w:tcPr>
            <w:tcW w:w="1025" w:type="dxa"/>
            <w:tcBorders>
              <w:top w:val="nil"/>
              <w:left w:val="nil"/>
              <w:bottom w:val="single" w:sz="4" w:space="0" w:color="auto"/>
              <w:right w:val="nil"/>
            </w:tcBorders>
            <w:vAlign w:val="bottom"/>
            <w:hideMark/>
          </w:tcPr>
          <w:p w14:paraId="0A95E1D0" w14:textId="59C52F0F" w:rsidR="005B58F0" w:rsidRPr="002029AF" w:rsidRDefault="005B58F0" w:rsidP="0014376C">
            <w:pPr>
              <w:pStyle w:val="ARtablecolheadright"/>
            </w:pPr>
            <w:r w:rsidRPr="002029AF">
              <w:t>Variation</w:t>
            </w:r>
            <w:r w:rsidR="000A5329" w:rsidRPr="002029AF">
              <w:t xml:space="preserve"> </w:t>
            </w:r>
            <w:r w:rsidRPr="002029AF">
              <w:t>(%)</w:t>
            </w:r>
          </w:p>
        </w:tc>
        <w:tc>
          <w:tcPr>
            <w:tcW w:w="804" w:type="dxa"/>
            <w:gridSpan w:val="2"/>
            <w:tcBorders>
              <w:top w:val="nil"/>
              <w:left w:val="nil"/>
              <w:bottom w:val="single" w:sz="4" w:space="0" w:color="auto"/>
              <w:right w:val="nil"/>
            </w:tcBorders>
            <w:vAlign w:val="bottom"/>
            <w:hideMark/>
          </w:tcPr>
          <w:p w14:paraId="3304A51B" w14:textId="77777777" w:rsidR="005B58F0" w:rsidRPr="002029AF" w:rsidRDefault="005B58F0" w:rsidP="000D3C3F">
            <w:pPr>
              <w:pStyle w:val="ARtablecolheadcentre"/>
            </w:pPr>
            <w:r w:rsidRPr="002029AF">
              <w:t>Result</w:t>
            </w:r>
          </w:p>
        </w:tc>
      </w:tr>
      <w:tr w:rsidR="00C15C65" w:rsidRPr="002029AF" w14:paraId="7AF45D6A" w14:textId="77777777" w:rsidTr="005B58F0">
        <w:trPr>
          <w:cantSplit/>
        </w:trPr>
        <w:tc>
          <w:tcPr>
            <w:tcW w:w="9639" w:type="dxa"/>
            <w:gridSpan w:val="7"/>
            <w:tcBorders>
              <w:top w:val="single" w:sz="4" w:space="0" w:color="auto"/>
              <w:left w:val="nil"/>
              <w:bottom w:val="single" w:sz="4" w:space="0" w:color="auto"/>
              <w:right w:val="nil"/>
            </w:tcBorders>
            <w:hideMark/>
          </w:tcPr>
          <w:p w14:paraId="056B2844" w14:textId="508C4500" w:rsidR="00C15C65" w:rsidRPr="002029AF" w:rsidRDefault="00C15C65" w:rsidP="007666A5">
            <w:pPr>
              <w:pStyle w:val="ARtablesubhead"/>
            </w:pPr>
            <w:r w:rsidRPr="002029AF">
              <w:t>Housing</w:t>
            </w:r>
            <w:r w:rsidR="000A5329" w:rsidRPr="002029AF">
              <w:t xml:space="preserve"> </w:t>
            </w:r>
            <w:r w:rsidRPr="002029AF">
              <w:t>Assistance</w:t>
            </w:r>
          </w:p>
        </w:tc>
      </w:tr>
      <w:tr w:rsidR="00C15C65" w:rsidRPr="002029AF" w14:paraId="13BDF69C" w14:textId="77777777" w:rsidTr="005B58F0">
        <w:trPr>
          <w:cantSplit/>
        </w:trPr>
        <w:tc>
          <w:tcPr>
            <w:tcW w:w="9639" w:type="dxa"/>
            <w:gridSpan w:val="7"/>
            <w:tcBorders>
              <w:top w:val="single" w:sz="4" w:space="0" w:color="auto"/>
              <w:left w:val="nil"/>
              <w:bottom w:val="nil"/>
              <w:right w:val="nil"/>
            </w:tcBorders>
            <w:hideMark/>
          </w:tcPr>
          <w:p w14:paraId="0BB0ABDD" w14:textId="77777777" w:rsidR="00C15C65" w:rsidRPr="002029AF" w:rsidRDefault="00C15C65" w:rsidP="00D96AFD">
            <w:pPr>
              <w:pStyle w:val="ARtablegreybold"/>
            </w:pPr>
            <w:r w:rsidRPr="002029AF">
              <w:t>Quantity</w:t>
            </w:r>
          </w:p>
        </w:tc>
      </w:tr>
      <w:tr w:rsidR="00C15C65" w:rsidRPr="002029AF" w14:paraId="17BB81A5" w14:textId="77777777" w:rsidTr="00CA3123">
        <w:trPr>
          <w:gridAfter w:val="1"/>
          <w:wAfter w:w="6" w:type="dxa"/>
          <w:cantSplit/>
        </w:trPr>
        <w:tc>
          <w:tcPr>
            <w:tcW w:w="4750" w:type="dxa"/>
            <w:shd w:val="clear" w:color="auto" w:fill="auto"/>
            <w:hideMark/>
          </w:tcPr>
          <w:p w14:paraId="79AA706C" w14:textId="45B91AD9" w:rsidR="00C15C65" w:rsidRPr="002029AF" w:rsidRDefault="00C15C65" w:rsidP="00C40F5D">
            <w:pPr>
              <w:pStyle w:val="ARtabletext"/>
            </w:pPr>
            <w:r w:rsidRPr="002029AF">
              <w:t>Number</w:t>
            </w:r>
            <w:r w:rsidR="000A5329" w:rsidRPr="002029AF">
              <w:t xml:space="preserve"> </w:t>
            </w:r>
            <w:r w:rsidRPr="002029AF">
              <w:t>of</w:t>
            </w:r>
            <w:r w:rsidR="000A5329" w:rsidRPr="002029AF">
              <w:t xml:space="preserve"> </w:t>
            </w:r>
            <w:r w:rsidRPr="002029AF">
              <w:t>bonds</w:t>
            </w:r>
            <w:r w:rsidR="000A5329" w:rsidRPr="002029AF">
              <w:t xml:space="preserve"> </w:t>
            </w:r>
            <w:r w:rsidRPr="002029AF">
              <w:t>issued</w:t>
            </w:r>
            <w:r w:rsidR="000A5329" w:rsidRPr="002029AF">
              <w:t xml:space="preserve"> </w:t>
            </w:r>
            <w:r w:rsidRPr="002029AF">
              <w:t>to</w:t>
            </w:r>
            <w:r w:rsidR="000A5329" w:rsidRPr="002029AF">
              <w:t xml:space="preserve"> </w:t>
            </w:r>
            <w:r w:rsidRPr="002029AF">
              <w:t>low</w:t>
            </w:r>
            <w:r w:rsidR="000A5329" w:rsidRPr="002029AF">
              <w:t xml:space="preserve"> </w:t>
            </w:r>
            <w:r w:rsidRPr="002029AF">
              <w:t>income</w:t>
            </w:r>
            <w:r w:rsidR="000A5329" w:rsidRPr="002029AF">
              <w:t xml:space="preserve"> </w:t>
            </w:r>
            <w:r w:rsidRPr="002029AF">
              <w:t>Victorians</w:t>
            </w:r>
            <w:r w:rsidR="000A5329" w:rsidRPr="002029AF">
              <w:t xml:space="preserve"> </w:t>
            </w:r>
            <w:r w:rsidRPr="002029AF">
              <w:t>to</w:t>
            </w:r>
            <w:r w:rsidR="000A5329" w:rsidRPr="002029AF">
              <w:t xml:space="preserve"> </w:t>
            </w:r>
            <w:r w:rsidRPr="002029AF">
              <w:t>assist</w:t>
            </w:r>
            <w:r w:rsidR="000A5329" w:rsidRPr="002029AF">
              <w:t xml:space="preserve"> </w:t>
            </w:r>
            <w:r w:rsidRPr="002029AF">
              <w:t>access</w:t>
            </w:r>
            <w:r w:rsidR="000A5329" w:rsidRPr="002029AF">
              <w:t xml:space="preserve"> </w:t>
            </w:r>
            <w:r w:rsidRPr="002029AF">
              <w:t>to</w:t>
            </w:r>
            <w:r w:rsidR="000A5329" w:rsidRPr="002029AF">
              <w:t xml:space="preserve"> </w:t>
            </w:r>
            <w:r w:rsidRPr="002029AF">
              <w:t>the</w:t>
            </w:r>
            <w:r w:rsidR="000A5329" w:rsidRPr="002029AF">
              <w:t xml:space="preserve"> </w:t>
            </w:r>
            <w:r w:rsidRPr="002029AF">
              <w:t>private</w:t>
            </w:r>
            <w:r w:rsidR="000A5329" w:rsidRPr="002029AF">
              <w:t xml:space="preserve"> </w:t>
            </w:r>
            <w:r w:rsidRPr="002029AF">
              <w:t>rental</w:t>
            </w:r>
            <w:r w:rsidR="000A5329" w:rsidRPr="002029AF">
              <w:t xml:space="preserve"> </w:t>
            </w:r>
            <w:r w:rsidRPr="002029AF">
              <w:t>market</w:t>
            </w:r>
          </w:p>
        </w:tc>
        <w:tc>
          <w:tcPr>
            <w:tcW w:w="1020" w:type="dxa"/>
            <w:shd w:val="clear" w:color="auto" w:fill="auto"/>
            <w:hideMark/>
          </w:tcPr>
          <w:p w14:paraId="1AA7D074" w14:textId="77777777" w:rsidR="00C15C65" w:rsidRPr="002029AF" w:rsidRDefault="00C15C65" w:rsidP="00C40F5D">
            <w:pPr>
              <w:pStyle w:val="ARtabletext"/>
            </w:pPr>
            <w:r w:rsidRPr="002029AF">
              <w:t>number</w:t>
            </w:r>
          </w:p>
        </w:tc>
        <w:tc>
          <w:tcPr>
            <w:tcW w:w="1020" w:type="dxa"/>
            <w:shd w:val="clear" w:color="auto" w:fill="auto"/>
            <w:hideMark/>
          </w:tcPr>
          <w:p w14:paraId="32F4B74D" w14:textId="77777777" w:rsidR="00C15C65" w:rsidRPr="002029AF" w:rsidRDefault="00C15C65" w:rsidP="000024F3">
            <w:pPr>
              <w:pStyle w:val="ARtabletextright"/>
            </w:pPr>
            <w:r w:rsidRPr="002029AF">
              <w:t>10,000</w:t>
            </w:r>
          </w:p>
        </w:tc>
        <w:tc>
          <w:tcPr>
            <w:tcW w:w="1020" w:type="dxa"/>
            <w:shd w:val="clear" w:color="auto" w:fill="auto"/>
            <w:hideMark/>
          </w:tcPr>
          <w:p w14:paraId="7128D18C" w14:textId="77777777" w:rsidR="00C15C65" w:rsidRPr="002029AF" w:rsidRDefault="00C15C65" w:rsidP="000024F3">
            <w:pPr>
              <w:pStyle w:val="ARtabletextright"/>
            </w:pPr>
            <w:r w:rsidRPr="002029AF">
              <w:t>9,256</w:t>
            </w:r>
          </w:p>
        </w:tc>
        <w:tc>
          <w:tcPr>
            <w:tcW w:w="1025" w:type="dxa"/>
            <w:shd w:val="clear" w:color="auto" w:fill="auto"/>
          </w:tcPr>
          <w:p w14:paraId="45FBDA20" w14:textId="77777777" w:rsidR="00C15C65" w:rsidRPr="002029AF" w:rsidRDefault="00C15C65" w:rsidP="000024F3">
            <w:pPr>
              <w:pStyle w:val="ARtabletextright"/>
            </w:pPr>
            <w:r w:rsidRPr="002029AF">
              <w:t>-7.4</w:t>
            </w:r>
          </w:p>
        </w:tc>
        <w:tc>
          <w:tcPr>
            <w:tcW w:w="798" w:type="dxa"/>
            <w:shd w:val="clear" w:color="auto" w:fill="auto"/>
            <w:hideMark/>
          </w:tcPr>
          <w:p w14:paraId="69EBD79D"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59CB0954" w14:textId="77777777" w:rsidTr="005B58F0">
        <w:trPr>
          <w:gridAfter w:val="1"/>
          <w:wAfter w:w="6" w:type="dxa"/>
          <w:cantSplit/>
        </w:trPr>
        <w:tc>
          <w:tcPr>
            <w:tcW w:w="9633" w:type="dxa"/>
            <w:gridSpan w:val="6"/>
            <w:tcBorders>
              <w:bottom w:val="single" w:sz="4" w:space="0" w:color="BFBFBF"/>
            </w:tcBorders>
            <w:shd w:val="clear" w:color="auto" w:fill="auto"/>
            <w:noWrap/>
            <w:hideMark/>
          </w:tcPr>
          <w:p w14:paraId="0F696818" w14:textId="498DB53E" w:rsidR="00C15C65" w:rsidRPr="002029AF" w:rsidRDefault="00C15C65" w:rsidP="00D96AFD">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lower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a</w:t>
            </w:r>
            <w:r w:rsidR="000A5329" w:rsidRPr="002029AF">
              <w:t xml:space="preserve"> </w:t>
            </w:r>
            <w:r w:rsidRPr="002029AF">
              <w:t>noticeable</w:t>
            </w:r>
            <w:r w:rsidR="000A5329" w:rsidRPr="002029AF">
              <w:t xml:space="preserve"> </w:t>
            </w:r>
            <w:r w:rsidRPr="002029AF">
              <w:t>reduction</w:t>
            </w:r>
            <w:r w:rsidR="000A5329" w:rsidRPr="002029AF">
              <w:t xml:space="preserve"> </w:t>
            </w:r>
            <w:r w:rsidRPr="002029AF">
              <w:t>in</w:t>
            </w:r>
            <w:r w:rsidR="000A5329" w:rsidRPr="002029AF">
              <w:t xml:space="preserve"> </w:t>
            </w:r>
            <w:r w:rsidRPr="002029AF">
              <w:t>demand,</w:t>
            </w:r>
            <w:r w:rsidR="000A5329" w:rsidRPr="002029AF">
              <w:t xml:space="preserve"> </w:t>
            </w:r>
            <w:r w:rsidR="002029AF" w:rsidRPr="002029AF">
              <w:t>particularly</w:t>
            </w:r>
            <w:r w:rsidR="000A5329" w:rsidRPr="002029AF">
              <w:t xml:space="preserve"> </w:t>
            </w:r>
            <w:r w:rsidRPr="002029AF">
              <w:t>through</w:t>
            </w:r>
            <w:r w:rsidR="000A5329" w:rsidRPr="002029AF">
              <w:t xml:space="preserve"> </w:t>
            </w:r>
            <w:r w:rsidRPr="002029AF">
              <w:t>quarter</w:t>
            </w:r>
            <w:r w:rsidR="000A5329" w:rsidRPr="002029AF">
              <w:t xml:space="preserve"> </w:t>
            </w:r>
            <w:r w:rsidRPr="002029AF">
              <w:t>four</w:t>
            </w:r>
            <w:r w:rsidR="000A5329" w:rsidRPr="002029AF">
              <w:t xml:space="preserve"> </w:t>
            </w:r>
            <w:r w:rsidRPr="002029AF">
              <w:t>due</w:t>
            </w:r>
            <w:r w:rsidR="000A5329" w:rsidRPr="002029AF">
              <w:t xml:space="preserve"> </w:t>
            </w:r>
            <w:r w:rsidRPr="002029AF">
              <w:t>the</w:t>
            </w:r>
            <w:r w:rsidR="000A5329" w:rsidRPr="002029AF">
              <w:t xml:space="preserve"> </w:t>
            </w:r>
            <w:r w:rsidRPr="002029AF">
              <w:t>economic</w:t>
            </w:r>
            <w:r w:rsidR="000A5329" w:rsidRPr="002029AF">
              <w:t xml:space="preserve"> </w:t>
            </w:r>
            <w:r w:rsidRPr="002029AF">
              <w:t>impact</w:t>
            </w:r>
            <w:r w:rsidR="000A5329" w:rsidRPr="002029AF">
              <w:t xml:space="preserve"> </w:t>
            </w:r>
            <w:r w:rsidRPr="002029AF">
              <w:t>on</w:t>
            </w:r>
            <w:r w:rsidR="000A5329" w:rsidRPr="002029AF">
              <w:t xml:space="preserve"> </w:t>
            </w:r>
            <w:r w:rsidRPr="002029AF">
              <w:t>the</w:t>
            </w:r>
            <w:r w:rsidR="000A5329" w:rsidRPr="002029AF">
              <w:t xml:space="preserve"> </w:t>
            </w:r>
            <w:r w:rsidRPr="002029AF">
              <w:t>private</w:t>
            </w:r>
            <w:r w:rsidR="000A5329" w:rsidRPr="002029AF">
              <w:t xml:space="preserve"> </w:t>
            </w:r>
            <w:r w:rsidRPr="002029AF">
              <w:t>rental</w:t>
            </w:r>
            <w:r w:rsidR="000A5329" w:rsidRPr="002029AF">
              <w:t xml:space="preserve"> </w:t>
            </w:r>
            <w:r w:rsidRPr="002029AF">
              <w:t>market</w:t>
            </w:r>
            <w:r w:rsidR="000A5329" w:rsidRPr="002029AF">
              <w:t xml:space="preserve"> </w:t>
            </w:r>
            <w:r w:rsidRPr="002029AF">
              <w:t>of</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This</w:t>
            </w:r>
            <w:r w:rsidR="000A5329" w:rsidRPr="002029AF">
              <w:t xml:space="preserve"> </w:t>
            </w:r>
            <w:r w:rsidRPr="002029AF">
              <w:t>has</w:t>
            </w:r>
            <w:r w:rsidR="000A5329" w:rsidRPr="002029AF">
              <w:t xml:space="preserve"> </w:t>
            </w:r>
            <w:r w:rsidRPr="002029AF">
              <w:t>resulted</w:t>
            </w:r>
            <w:r w:rsidR="000A5329" w:rsidRPr="002029AF">
              <w:t xml:space="preserve"> </w:t>
            </w:r>
            <w:r w:rsidRPr="002029AF">
              <w:t>in</w:t>
            </w:r>
            <w:r w:rsidR="000A5329" w:rsidRPr="002029AF">
              <w:t xml:space="preserve"> </w:t>
            </w:r>
            <w:r w:rsidRPr="002029AF">
              <w:t>a</w:t>
            </w:r>
            <w:r w:rsidR="000A5329" w:rsidRPr="002029AF">
              <w:t xml:space="preserve"> </w:t>
            </w:r>
            <w:r w:rsidRPr="002029AF">
              <w:t>significant</w:t>
            </w:r>
            <w:r w:rsidR="000A5329" w:rsidRPr="002029AF">
              <w:t xml:space="preserve"> </w:t>
            </w:r>
            <w:r w:rsidRPr="002029AF">
              <w:t>reduction</w:t>
            </w:r>
            <w:r w:rsidR="000A5329" w:rsidRPr="002029AF">
              <w:t xml:space="preserve"> </w:t>
            </w:r>
            <w:r w:rsidRPr="002029AF">
              <w:t>in</w:t>
            </w:r>
            <w:r w:rsidR="000A5329" w:rsidRPr="002029AF">
              <w:t xml:space="preserve"> </w:t>
            </w:r>
            <w:r w:rsidRPr="002029AF">
              <w:t>demand</w:t>
            </w:r>
            <w:r w:rsidR="000A5329" w:rsidRPr="002029AF">
              <w:t xml:space="preserve"> </w:t>
            </w:r>
            <w:r w:rsidRPr="002029AF">
              <w:t>for</w:t>
            </w:r>
            <w:r w:rsidR="000A5329" w:rsidRPr="002029AF">
              <w:t xml:space="preserve"> </w:t>
            </w:r>
            <w:r w:rsidRPr="002029AF">
              <w:t>private</w:t>
            </w:r>
            <w:r w:rsidR="000A5329" w:rsidRPr="002029AF">
              <w:t xml:space="preserve"> </w:t>
            </w:r>
            <w:r w:rsidRPr="002029AF">
              <w:t>rental.</w:t>
            </w:r>
          </w:p>
        </w:tc>
      </w:tr>
      <w:tr w:rsidR="00C15C65" w:rsidRPr="002029AF" w14:paraId="79F351A7" w14:textId="77777777" w:rsidTr="009D17CC">
        <w:trPr>
          <w:gridAfter w:val="1"/>
          <w:wAfter w:w="6" w:type="dxa"/>
          <w:cantSplit/>
        </w:trPr>
        <w:tc>
          <w:tcPr>
            <w:tcW w:w="4750" w:type="dxa"/>
            <w:shd w:val="clear" w:color="auto" w:fill="auto"/>
            <w:hideMark/>
          </w:tcPr>
          <w:p w14:paraId="5D31C696" w14:textId="30C1C772" w:rsidR="00C15C65" w:rsidRPr="002029AF" w:rsidRDefault="00C15C65" w:rsidP="00860E95">
            <w:pPr>
              <w:pStyle w:val="ARtabletext"/>
              <w:keepNext/>
            </w:pPr>
            <w:r w:rsidRPr="002029AF">
              <w:t>Households</w:t>
            </w:r>
            <w:r w:rsidR="000A5329" w:rsidRPr="002029AF">
              <w:t xml:space="preserve"> </w:t>
            </w:r>
            <w:r w:rsidRPr="002029AF">
              <w:t>assisted</w:t>
            </w:r>
            <w:r w:rsidR="000A5329" w:rsidRPr="002029AF">
              <w:t xml:space="preserve"> </w:t>
            </w:r>
            <w:r w:rsidRPr="002029AF">
              <w:t>with</w:t>
            </w:r>
            <w:r w:rsidR="000A5329" w:rsidRPr="002029AF">
              <w:t xml:space="preserve"> </w:t>
            </w:r>
            <w:r w:rsidRPr="002029AF">
              <w:t>housing</w:t>
            </w:r>
            <w:r w:rsidR="000A5329" w:rsidRPr="002029AF">
              <w:t xml:space="preserve"> </w:t>
            </w:r>
            <w:r w:rsidRPr="002029AF">
              <w:t>establishment</w:t>
            </w:r>
            <w:r w:rsidR="000A5329" w:rsidRPr="002029AF">
              <w:t xml:space="preserve"> </w:t>
            </w:r>
            <w:r w:rsidRPr="002029AF">
              <w:t>assistance</w:t>
            </w:r>
            <w:r w:rsidR="000A5329" w:rsidRPr="002029AF">
              <w:t xml:space="preserve"> </w:t>
            </w:r>
            <w:r w:rsidRPr="002029AF">
              <w:t>during</w:t>
            </w:r>
            <w:r w:rsidR="000A5329" w:rsidRPr="002029AF">
              <w:t xml:space="preserve"> </w:t>
            </w:r>
            <w:r w:rsidRPr="002029AF">
              <w:t>year</w:t>
            </w:r>
          </w:p>
        </w:tc>
        <w:tc>
          <w:tcPr>
            <w:tcW w:w="1020" w:type="dxa"/>
            <w:shd w:val="clear" w:color="auto" w:fill="auto"/>
            <w:hideMark/>
          </w:tcPr>
          <w:p w14:paraId="599C57FC" w14:textId="77777777" w:rsidR="00C15C65" w:rsidRPr="002029AF" w:rsidRDefault="00C15C65" w:rsidP="00C40F5D">
            <w:pPr>
              <w:pStyle w:val="ARtabletext"/>
            </w:pPr>
            <w:r w:rsidRPr="002029AF">
              <w:t>number</w:t>
            </w:r>
          </w:p>
        </w:tc>
        <w:tc>
          <w:tcPr>
            <w:tcW w:w="1020" w:type="dxa"/>
            <w:shd w:val="clear" w:color="auto" w:fill="auto"/>
            <w:hideMark/>
          </w:tcPr>
          <w:p w14:paraId="5DE8432D" w14:textId="77777777" w:rsidR="00C15C65" w:rsidRPr="002029AF" w:rsidRDefault="00C15C65" w:rsidP="000024F3">
            <w:pPr>
              <w:pStyle w:val="ARtabletextright"/>
            </w:pPr>
            <w:r w:rsidRPr="002029AF">
              <w:t>36,000</w:t>
            </w:r>
          </w:p>
        </w:tc>
        <w:tc>
          <w:tcPr>
            <w:tcW w:w="1020" w:type="dxa"/>
            <w:shd w:val="clear" w:color="auto" w:fill="auto"/>
            <w:hideMark/>
          </w:tcPr>
          <w:p w14:paraId="3265ED04" w14:textId="77777777" w:rsidR="00C15C65" w:rsidRPr="002029AF" w:rsidRDefault="00C15C65" w:rsidP="000024F3">
            <w:pPr>
              <w:pStyle w:val="ARtabletextright"/>
            </w:pPr>
            <w:r w:rsidRPr="002029AF">
              <w:t>38,458</w:t>
            </w:r>
          </w:p>
        </w:tc>
        <w:tc>
          <w:tcPr>
            <w:tcW w:w="1025" w:type="dxa"/>
            <w:shd w:val="clear" w:color="auto" w:fill="auto"/>
          </w:tcPr>
          <w:p w14:paraId="0B4279DD" w14:textId="77777777" w:rsidR="00C15C65" w:rsidRPr="002029AF" w:rsidRDefault="00C15C65" w:rsidP="000024F3">
            <w:pPr>
              <w:pStyle w:val="ARtabletextright"/>
            </w:pPr>
            <w:r w:rsidRPr="002029AF">
              <w:t>6.8</w:t>
            </w:r>
          </w:p>
        </w:tc>
        <w:tc>
          <w:tcPr>
            <w:tcW w:w="798" w:type="dxa"/>
            <w:shd w:val="clear" w:color="auto" w:fill="auto"/>
            <w:hideMark/>
          </w:tcPr>
          <w:p w14:paraId="1049CABC"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706C104D" w14:textId="77777777" w:rsidTr="009D17CC">
        <w:trPr>
          <w:gridAfter w:val="1"/>
          <w:wAfter w:w="6" w:type="dxa"/>
          <w:cantSplit/>
        </w:trPr>
        <w:tc>
          <w:tcPr>
            <w:tcW w:w="9633" w:type="dxa"/>
            <w:gridSpan w:val="6"/>
            <w:tcBorders>
              <w:bottom w:val="single" w:sz="4" w:space="0" w:color="BFBFBF" w:themeColor="background1" w:themeShade="BF"/>
            </w:tcBorders>
            <w:shd w:val="clear" w:color="auto" w:fill="auto"/>
            <w:noWrap/>
            <w:hideMark/>
          </w:tcPr>
          <w:p w14:paraId="06907F30" w14:textId="15CBD5AF" w:rsidR="00C15C65" w:rsidRPr="002029AF" w:rsidRDefault="00C15C65" w:rsidP="00D96AFD">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the</w:t>
            </w:r>
            <w:r w:rsidR="000A5329" w:rsidRPr="002029AF">
              <w:t xml:space="preserve"> </w:t>
            </w:r>
            <w:r w:rsidRPr="002029AF">
              <w:t>unprecedented</w:t>
            </w:r>
            <w:r w:rsidR="000A5329" w:rsidRPr="002029AF">
              <w:t xml:space="preserve"> </w:t>
            </w:r>
            <w:r w:rsidRPr="002029AF">
              <w:t>demand</w:t>
            </w:r>
            <w:r w:rsidR="000A5329" w:rsidRPr="002029AF">
              <w:t xml:space="preserve"> </w:t>
            </w:r>
            <w:r w:rsidRPr="002029AF">
              <w:t>for</w:t>
            </w:r>
            <w:r w:rsidR="000A5329" w:rsidRPr="002029AF">
              <w:t xml:space="preserve"> </w:t>
            </w:r>
            <w:r w:rsidRPr="002029AF">
              <w:t>emergency</w:t>
            </w:r>
            <w:r w:rsidR="000A5329" w:rsidRPr="002029AF">
              <w:t xml:space="preserve"> </w:t>
            </w:r>
            <w:r w:rsidRPr="002029AF">
              <w:t>accommodation</w:t>
            </w:r>
            <w:r w:rsidR="000A5329" w:rsidRPr="002029AF">
              <w:t xml:space="preserve"> </w:t>
            </w:r>
            <w:r w:rsidRPr="002029AF">
              <w:t>during</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To</w:t>
            </w:r>
            <w:r w:rsidR="000A5329" w:rsidRPr="002029AF">
              <w:t xml:space="preserve"> </w:t>
            </w:r>
            <w:r w:rsidRPr="002029AF">
              <w:t>accommodate</w:t>
            </w:r>
            <w:r w:rsidR="000A5329" w:rsidRPr="002029AF">
              <w:t xml:space="preserve"> </w:t>
            </w:r>
            <w:r w:rsidRPr="002029AF">
              <w:t>this</w:t>
            </w:r>
            <w:r w:rsidR="000A5329" w:rsidRPr="002029AF">
              <w:t xml:space="preserve"> </w:t>
            </w:r>
            <w:r w:rsidRPr="002029AF">
              <w:t>demand</w:t>
            </w:r>
            <w:r w:rsidR="000A5329" w:rsidRPr="002029AF">
              <w:t xml:space="preserve"> </w:t>
            </w:r>
            <w:r w:rsidRPr="002029AF">
              <w:t>additional</w:t>
            </w:r>
            <w:r w:rsidR="000A5329" w:rsidRPr="002029AF">
              <w:t xml:space="preserve"> </w:t>
            </w:r>
            <w:r w:rsidRPr="002029AF">
              <w:t>Housing</w:t>
            </w:r>
            <w:r w:rsidR="000A5329" w:rsidRPr="002029AF">
              <w:t xml:space="preserve"> </w:t>
            </w:r>
            <w:r w:rsidRPr="002029AF">
              <w:t>Establishment</w:t>
            </w:r>
            <w:r w:rsidR="000A5329" w:rsidRPr="002029AF">
              <w:t xml:space="preserve"> </w:t>
            </w:r>
            <w:r w:rsidRPr="002029AF">
              <w:t>Funding</w:t>
            </w:r>
            <w:r w:rsidR="000A5329" w:rsidRPr="002029AF">
              <w:t xml:space="preserve"> </w:t>
            </w:r>
            <w:r w:rsidRPr="002029AF">
              <w:t>was</w:t>
            </w:r>
            <w:r w:rsidR="000A5329" w:rsidRPr="002029AF">
              <w:t xml:space="preserve"> </w:t>
            </w:r>
            <w:r w:rsidRPr="002029AF">
              <w:t>released</w:t>
            </w:r>
            <w:r w:rsidR="000A5329" w:rsidRPr="002029AF">
              <w:t xml:space="preserve"> </w:t>
            </w:r>
            <w:r w:rsidRPr="002029AF">
              <w:t>from</w:t>
            </w:r>
            <w:r w:rsidR="000A5329" w:rsidRPr="002029AF">
              <w:t xml:space="preserve"> </w:t>
            </w:r>
            <w:r w:rsidRPr="002029AF">
              <w:t>March</w:t>
            </w:r>
            <w:r w:rsidR="000A5329" w:rsidRPr="002029AF">
              <w:t xml:space="preserve"> </w:t>
            </w:r>
            <w:r w:rsidRPr="002029AF">
              <w:t>2020.</w:t>
            </w:r>
          </w:p>
        </w:tc>
      </w:tr>
      <w:tr w:rsidR="00C15C65" w:rsidRPr="002029AF" w14:paraId="46870E2C" w14:textId="77777777" w:rsidTr="009D17CC">
        <w:trPr>
          <w:gridAfter w:val="1"/>
          <w:wAfter w:w="6" w:type="dxa"/>
          <w:cantSplit/>
        </w:trPr>
        <w:tc>
          <w:tcPr>
            <w:tcW w:w="4750" w:type="dxa"/>
            <w:tcBorders>
              <w:top w:val="single" w:sz="4" w:space="0" w:color="BFBFBF" w:themeColor="background1" w:themeShade="BF"/>
              <w:bottom w:val="single" w:sz="4" w:space="0" w:color="BFBFBF"/>
            </w:tcBorders>
            <w:shd w:val="clear" w:color="auto" w:fill="auto"/>
            <w:hideMark/>
          </w:tcPr>
          <w:p w14:paraId="7CBA5F31" w14:textId="3ABB4F30" w:rsidR="00C15C65" w:rsidRPr="002029AF" w:rsidRDefault="00C15C65" w:rsidP="00C40F5D">
            <w:pPr>
              <w:pStyle w:val="ARtabletext"/>
            </w:pPr>
            <w:r w:rsidRPr="002029AF">
              <w:t>Number</w:t>
            </w:r>
            <w:r w:rsidR="000A5329" w:rsidRPr="002029AF">
              <w:t xml:space="preserve"> </w:t>
            </w:r>
            <w:r w:rsidRPr="002029AF">
              <w:t>of</w:t>
            </w:r>
            <w:r w:rsidR="000A5329" w:rsidRPr="002029AF">
              <w:t xml:space="preserve"> </w:t>
            </w:r>
            <w:r w:rsidRPr="002029AF">
              <w:t>clients</w:t>
            </w:r>
            <w:r w:rsidR="000A5329" w:rsidRPr="002029AF">
              <w:t xml:space="preserve"> </w:t>
            </w:r>
            <w:r w:rsidRPr="002029AF">
              <w:t>assisted</w:t>
            </w:r>
            <w:r w:rsidR="000A5329" w:rsidRPr="002029AF">
              <w:t xml:space="preserve"> </w:t>
            </w:r>
            <w:r w:rsidRPr="002029AF">
              <w:t>to</w:t>
            </w:r>
            <w:r w:rsidR="000A5329" w:rsidRPr="002029AF">
              <w:t xml:space="preserve"> </w:t>
            </w:r>
            <w:r w:rsidRPr="002029AF">
              <w:t>address</w:t>
            </w:r>
            <w:r w:rsidR="000A5329" w:rsidRPr="002029AF">
              <w:t xml:space="preserve"> </w:t>
            </w:r>
            <w:r w:rsidRPr="002029AF">
              <w:t>and</w:t>
            </w:r>
            <w:r w:rsidR="000A5329" w:rsidRPr="002029AF">
              <w:t xml:space="preserve"> </w:t>
            </w:r>
            <w:r w:rsidRPr="002029AF">
              <w:t>prevent</w:t>
            </w:r>
            <w:r w:rsidR="000A5329" w:rsidRPr="002029AF">
              <w:t xml:space="preserve"> </w:t>
            </w:r>
            <w:r w:rsidRPr="002029AF">
              <w:t>homelessness</w:t>
            </w:r>
          </w:p>
        </w:tc>
        <w:tc>
          <w:tcPr>
            <w:tcW w:w="1020" w:type="dxa"/>
            <w:tcBorders>
              <w:top w:val="single" w:sz="4" w:space="0" w:color="BFBFBF" w:themeColor="background1" w:themeShade="BF"/>
              <w:bottom w:val="single" w:sz="4" w:space="0" w:color="BFBFBF"/>
            </w:tcBorders>
            <w:shd w:val="clear" w:color="auto" w:fill="auto"/>
            <w:hideMark/>
          </w:tcPr>
          <w:p w14:paraId="14E2D982" w14:textId="77777777" w:rsidR="00C15C65" w:rsidRPr="002029AF" w:rsidRDefault="00C15C65" w:rsidP="00C40F5D">
            <w:pPr>
              <w:pStyle w:val="ARtabletext"/>
            </w:pPr>
            <w:r w:rsidRPr="002029AF">
              <w:t>number</w:t>
            </w:r>
          </w:p>
        </w:tc>
        <w:tc>
          <w:tcPr>
            <w:tcW w:w="1020" w:type="dxa"/>
            <w:tcBorders>
              <w:top w:val="single" w:sz="4" w:space="0" w:color="BFBFBF" w:themeColor="background1" w:themeShade="BF"/>
              <w:bottom w:val="single" w:sz="4" w:space="0" w:color="BFBFBF"/>
            </w:tcBorders>
            <w:shd w:val="clear" w:color="auto" w:fill="auto"/>
            <w:hideMark/>
          </w:tcPr>
          <w:p w14:paraId="5DBF09B2" w14:textId="77777777" w:rsidR="00C15C65" w:rsidRPr="002029AF" w:rsidRDefault="00C15C65" w:rsidP="000024F3">
            <w:pPr>
              <w:pStyle w:val="ARtabletextright"/>
            </w:pPr>
            <w:r w:rsidRPr="002029AF">
              <w:t>118,800</w:t>
            </w:r>
          </w:p>
        </w:tc>
        <w:tc>
          <w:tcPr>
            <w:tcW w:w="1020" w:type="dxa"/>
            <w:tcBorders>
              <w:top w:val="single" w:sz="4" w:space="0" w:color="BFBFBF" w:themeColor="background1" w:themeShade="BF"/>
              <w:bottom w:val="single" w:sz="4" w:space="0" w:color="BFBFBF"/>
            </w:tcBorders>
            <w:shd w:val="clear" w:color="auto" w:fill="auto"/>
            <w:hideMark/>
          </w:tcPr>
          <w:p w14:paraId="04E3D7B8" w14:textId="77777777" w:rsidR="00C15C65" w:rsidRPr="002029AF" w:rsidRDefault="00C15C65" w:rsidP="000024F3">
            <w:pPr>
              <w:pStyle w:val="ARtabletextright"/>
            </w:pPr>
            <w:r w:rsidRPr="002029AF">
              <w:t>115,168</w:t>
            </w:r>
          </w:p>
        </w:tc>
        <w:tc>
          <w:tcPr>
            <w:tcW w:w="1025" w:type="dxa"/>
            <w:tcBorders>
              <w:top w:val="single" w:sz="4" w:space="0" w:color="BFBFBF" w:themeColor="background1" w:themeShade="BF"/>
              <w:bottom w:val="single" w:sz="4" w:space="0" w:color="BFBFBF"/>
            </w:tcBorders>
            <w:shd w:val="clear" w:color="auto" w:fill="auto"/>
          </w:tcPr>
          <w:p w14:paraId="33D77075" w14:textId="77777777" w:rsidR="00C15C65" w:rsidRPr="002029AF" w:rsidRDefault="00C15C65" w:rsidP="000024F3">
            <w:pPr>
              <w:pStyle w:val="ARtabletextright"/>
            </w:pPr>
            <w:r w:rsidRPr="002029AF">
              <w:t>-3.1</w:t>
            </w:r>
          </w:p>
        </w:tc>
        <w:tc>
          <w:tcPr>
            <w:tcW w:w="798" w:type="dxa"/>
            <w:tcBorders>
              <w:top w:val="single" w:sz="4" w:space="0" w:color="BFBFBF" w:themeColor="background1" w:themeShade="BF"/>
              <w:bottom w:val="single" w:sz="4" w:space="0" w:color="BFBFBF"/>
            </w:tcBorders>
            <w:shd w:val="clear" w:color="auto" w:fill="auto"/>
            <w:hideMark/>
          </w:tcPr>
          <w:p w14:paraId="6B01FE56" w14:textId="3D5B3632" w:rsidR="00C15C65" w:rsidRPr="002029AF" w:rsidRDefault="003A6C3B" w:rsidP="000F6867">
            <w:pPr>
              <w:pStyle w:val="ARtableperformancesymbol"/>
              <w:rPr>
                <w:rFonts w:hint="eastAsia"/>
                <w:lang w:val="en-AU"/>
              </w:rPr>
            </w:pPr>
            <w:r w:rsidRPr="002029AF">
              <w:rPr>
                <w:lang w:val="en-AU"/>
              </w:rPr>
              <w:t>□</w:t>
            </w:r>
          </w:p>
        </w:tc>
      </w:tr>
      <w:tr w:rsidR="00C15C65" w:rsidRPr="002029AF" w14:paraId="39F56A17" w14:textId="77777777" w:rsidTr="00CA3123">
        <w:trPr>
          <w:gridAfter w:val="1"/>
          <w:wAfter w:w="6" w:type="dxa"/>
          <w:cantSplit/>
        </w:trPr>
        <w:tc>
          <w:tcPr>
            <w:tcW w:w="4750" w:type="dxa"/>
            <w:tcBorders>
              <w:top w:val="single" w:sz="4" w:space="0" w:color="BFBFBF"/>
            </w:tcBorders>
            <w:shd w:val="clear" w:color="auto" w:fill="auto"/>
            <w:hideMark/>
          </w:tcPr>
          <w:p w14:paraId="0DEC7AEA" w14:textId="5306E940" w:rsidR="00C15C65" w:rsidRPr="002029AF" w:rsidRDefault="00C15C65" w:rsidP="00C40F5D">
            <w:pPr>
              <w:pStyle w:val="ARtabletext"/>
            </w:pPr>
            <w:r w:rsidRPr="002029AF">
              <w:t>Number</w:t>
            </w:r>
            <w:r w:rsidR="000A5329" w:rsidRPr="002029AF">
              <w:t xml:space="preserve"> </w:t>
            </w:r>
            <w:r w:rsidRPr="002029AF">
              <w:t>of</w:t>
            </w:r>
            <w:r w:rsidR="000A5329" w:rsidRPr="002029AF">
              <w:t xml:space="preserve"> </w:t>
            </w:r>
            <w:r w:rsidRPr="002029AF">
              <w:t>clients</w:t>
            </w:r>
            <w:r w:rsidR="000A5329" w:rsidRPr="002029AF">
              <w:t xml:space="preserve"> </w:t>
            </w:r>
            <w:r w:rsidRPr="002029AF">
              <w:t>provided</w:t>
            </w:r>
            <w:r w:rsidR="000A5329" w:rsidRPr="002029AF">
              <w:t xml:space="preserve"> </w:t>
            </w:r>
            <w:r w:rsidRPr="002029AF">
              <w:t>with</w:t>
            </w:r>
            <w:r w:rsidR="000A5329" w:rsidRPr="002029AF">
              <w:t xml:space="preserve"> </w:t>
            </w:r>
            <w:r w:rsidRPr="002029AF">
              <w:t>accommodation</w:t>
            </w:r>
          </w:p>
        </w:tc>
        <w:tc>
          <w:tcPr>
            <w:tcW w:w="1020" w:type="dxa"/>
            <w:tcBorders>
              <w:top w:val="single" w:sz="4" w:space="0" w:color="BFBFBF"/>
            </w:tcBorders>
            <w:shd w:val="clear" w:color="auto" w:fill="auto"/>
            <w:hideMark/>
          </w:tcPr>
          <w:p w14:paraId="443418A8" w14:textId="77777777" w:rsidR="00C15C65" w:rsidRPr="002029AF" w:rsidRDefault="00C15C65" w:rsidP="00C40F5D">
            <w:pPr>
              <w:pStyle w:val="ARtabletext"/>
            </w:pPr>
            <w:r w:rsidRPr="002029AF">
              <w:t>number</w:t>
            </w:r>
          </w:p>
        </w:tc>
        <w:tc>
          <w:tcPr>
            <w:tcW w:w="1020" w:type="dxa"/>
            <w:tcBorders>
              <w:top w:val="single" w:sz="4" w:space="0" w:color="BFBFBF"/>
            </w:tcBorders>
            <w:shd w:val="clear" w:color="auto" w:fill="auto"/>
            <w:hideMark/>
          </w:tcPr>
          <w:p w14:paraId="1DA2C0F8" w14:textId="77777777" w:rsidR="00C15C65" w:rsidRPr="002029AF" w:rsidRDefault="00C15C65" w:rsidP="000024F3">
            <w:pPr>
              <w:pStyle w:val="ARtabletextright"/>
            </w:pPr>
            <w:r w:rsidRPr="002029AF">
              <w:t>27,000</w:t>
            </w:r>
          </w:p>
        </w:tc>
        <w:tc>
          <w:tcPr>
            <w:tcW w:w="1020" w:type="dxa"/>
            <w:tcBorders>
              <w:top w:val="single" w:sz="4" w:space="0" w:color="BFBFBF"/>
            </w:tcBorders>
            <w:shd w:val="clear" w:color="auto" w:fill="auto"/>
            <w:hideMark/>
          </w:tcPr>
          <w:p w14:paraId="07D1BF11" w14:textId="77777777" w:rsidR="00C15C65" w:rsidRPr="002029AF" w:rsidRDefault="00C15C65" w:rsidP="000024F3">
            <w:pPr>
              <w:pStyle w:val="ARtabletextright"/>
            </w:pPr>
            <w:r w:rsidRPr="002029AF">
              <w:t>29,293</w:t>
            </w:r>
          </w:p>
        </w:tc>
        <w:tc>
          <w:tcPr>
            <w:tcW w:w="1025" w:type="dxa"/>
            <w:tcBorders>
              <w:top w:val="single" w:sz="4" w:space="0" w:color="BFBFBF"/>
            </w:tcBorders>
            <w:shd w:val="clear" w:color="auto" w:fill="auto"/>
          </w:tcPr>
          <w:p w14:paraId="149BA1E8" w14:textId="77777777" w:rsidR="00C15C65" w:rsidRPr="002029AF" w:rsidRDefault="00C15C65" w:rsidP="000024F3">
            <w:pPr>
              <w:pStyle w:val="ARtabletextright"/>
            </w:pPr>
            <w:r w:rsidRPr="002029AF">
              <w:t>8.5</w:t>
            </w:r>
          </w:p>
        </w:tc>
        <w:tc>
          <w:tcPr>
            <w:tcW w:w="798" w:type="dxa"/>
            <w:tcBorders>
              <w:top w:val="single" w:sz="4" w:space="0" w:color="BFBFBF"/>
            </w:tcBorders>
            <w:shd w:val="clear" w:color="auto" w:fill="auto"/>
            <w:hideMark/>
          </w:tcPr>
          <w:p w14:paraId="319EF3A2"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1FECE05A" w14:textId="77777777" w:rsidTr="005B58F0">
        <w:trPr>
          <w:gridAfter w:val="1"/>
          <w:wAfter w:w="6" w:type="dxa"/>
          <w:cantSplit/>
        </w:trPr>
        <w:tc>
          <w:tcPr>
            <w:tcW w:w="9633" w:type="dxa"/>
            <w:gridSpan w:val="6"/>
            <w:tcBorders>
              <w:bottom w:val="single" w:sz="4" w:space="0" w:color="BFBFBF"/>
            </w:tcBorders>
            <w:shd w:val="clear" w:color="auto" w:fill="auto"/>
            <w:noWrap/>
            <w:hideMark/>
          </w:tcPr>
          <w:p w14:paraId="16F3BED6" w14:textId="564922B1" w:rsidR="00C15C65" w:rsidRPr="002029AF" w:rsidRDefault="00C15C65" w:rsidP="00D96AFD">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the</w:t>
            </w:r>
            <w:r w:rsidR="000A5329" w:rsidRPr="002029AF">
              <w:t xml:space="preserve"> </w:t>
            </w:r>
            <w:r w:rsidRPr="002029AF">
              <w:t>unprecedented</w:t>
            </w:r>
            <w:r w:rsidR="000A5329" w:rsidRPr="002029AF">
              <w:t xml:space="preserve"> </w:t>
            </w:r>
            <w:r w:rsidRPr="002029AF">
              <w:t>demand</w:t>
            </w:r>
            <w:r w:rsidR="000A5329" w:rsidRPr="002029AF">
              <w:t xml:space="preserve"> </w:t>
            </w:r>
            <w:r w:rsidRPr="002029AF">
              <w:t>for</w:t>
            </w:r>
            <w:r w:rsidR="000A5329" w:rsidRPr="002029AF">
              <w:t xml:space="preserve"> </w:t>
            </w:r>
            <w:r w:rsidRPr="002029AF">
              <w:t>emergency</w:t>
            </w:r>
            <w:r w:rsidR="000A5329" w:rsidRPr="002029AF">
              <w:t xml:space="preserve"> </w:t>
            </w:r>
            <w:r w:rsidRPr="002029AF">
              <w:t>accommodation</w:t>
            </w:r>
            <w:r w:rsidR="000A5329" w:rsidRPr="002029AF">
              <w:t xml:space="preserve"> </w:t>
            </w:r>
            <w:r w:rsidRPr="002029AF">
              <w:t>during</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To</w:t>
            </w:r>
            <w:r w:rsidR="000A5329" w:rsidRPr="002029AF">
              <w:t xml:space="preserve"> </w:t>
            </w:r>
            <w:r w:rsidRPr="002029AF">
              <w:t>accommodate</w:t>
            </w:r>
            <w:r w:rsidR="000A5329" w:rsidRPr="002029AF">
              <w:t xml:space="preserve"> </w:t>
            </w:r>
            <w:r w:rsidRPr="002029AF">
              <w:t>this</w:t>
            </w:r>
            <w:r w:rsidR="000A5329" w:rsidRPr="002029AF">
              <w:t xml:space="preserve"> </w:t>
            </w:r>
            <w:r w:rsidRPr="002029AF">
              <w:t>demand</w:t>
            </w:r>
            <w:r w:rsidR="000A5329" w:rsidRPr="002029AF">
              <w:t xml:space="preserve"> </w:t>
            </w:r>
            <w:r w:rsidRPr="002029AF">
              <w:t>additional</w:t>
            </w:r>
            <w:r w:rsidR="000A5329" w:rsidRPr="002029AF">
              <w:t xml:space="preserve"> </w:t>
            </w:r>
            <w:r w:rsidRPr="002029AF">
              <w:t>Housing</w:t>
            </w:r>
            <w:r w:rsidR="000A5329" w:rsidRPr="002029AF">
              <w:t xml:space="preserve"> </w:t>
            </w:r>
            <w:r w:rsidRPr="002029AF">
              <w:t>Establishment</w:t>
            </w:r>
            <w:r w:rsidR="000A5329" w:rsidRPr="002029AF">
              <w:t xml:space="preserve"> </w:t>
            </w:r>
            <w:r w:rsidRPr="002029AF">
              <w:t>Funding</w:t>
            </w:r>
            <w:r w:rsidR="000A5329" w:rsidRPr="002029AF">
              <w:t xml:space="preserve"> </w:t>
            </w:r>
            <w:r w:rsidRPr="002029AF">
              <w:t>was</w:t>
            </w:r>
            <w:r w:rsidR="000A5329" w:rsidRPr="002029AF">
              <w:t xml:space="preserve"> </w:t>
            </w:r>
            <w:r w:rsidRPr="002029AF">
              <w:t>released</w:t>
            </w:r>
            <w:r w:rsidR="000A5329" w:rsidRPr="002029AF">
              <w:t xml:space="preserve"> </w:t>
            </w:r>
            <w:r w:rsidRPr="002029AF">
              <w:t>from</w:t>
            </w:r>
            <w:r w:rsidR="000A5329" w:rsidRPr="002029AF">
              <w:t xml:space="preserve"> </w:t>
            </w:r>
            <w:r w:rsidRPr="002029AF">
              <w:t>March</w:t>
            </w:r>
            <w:r w:rsidR="000A5329" w:rsidRPr="002029AF">
              <w:t xml:space="preserve"> </w:t>
            </w:r>
            <w:r w:rsidRPr="002029AF">
              <w:t>2020.</w:t>
            </w:r>
          </w:p>
        </w:tc>
      </w:tr>
      <w:tr w:rsidR="00C15C65" w:rsidRPr="002029AF" w14:paraId="4E579D50" w14:textId="77777777" w:rsidTr="00CA3123">
        <w:trPr>
          <w:gridAfter w:val="1"/>
          <w:wAfter w:w="6" w:type="dxa"/>
          <w:cantSplit/>
        </w:trPr>
        <w:tc>
          <w:tcPr>
            <w:tcW w:w="4750" w:type="dxa"/>
            <w:shd w:val="clear" w:color="auto" w:fill="auto"/>
            <w:hideMark/>
          </w:tcPr>
          <w:p w14:paraId="5D67908B" w14:textId="233CBD86" w:rsidR="00C15C65" w:rsidRPr="002029AF" w:rsidRDefault="00C15C65" w:rsidP="00C40F5D">
            <w:pPr>
              <w:pStyle w:val="ARtabletext"/>
            </w:pPr>
            <w:r w:rsidRPr="002029AF">
              <w:t>Number</w:t>
            </w:r>
            <w:r w:rsidR="000A5329" w:rsidRPr="002029AF">
              <w:t xml:space="preserve"> </w:t>
            </w:r>
            <w:r w:rsidRPr="002029AF">
              <w:t>of</w:t>
            </w:r>
            <w:r w:rsidR="000A5329" w:rsidRPr="002029AF">
              <w:t xml:space="preserve"> </w:t>
            </w:r>
            <w:r w:rsidRPr="002029AF">
              <w:t>households</w:t>
            </w:r>
            <w:r w:rsidR="000A5329" w:rsidRPr="002029AF">
              <w:t xml:space="preserve"> </w:t>
            </w:r>
            <w:r w:rsidRPr="002029AF">
              <w:t>assisted</w:t>
            </w:r>
            <w:r w:rsidR="000A5329" w:rsidRPr="002029AF">
              <w:t xml:space="preserve"> </w:t>
            </w:r>
            <w:r w:rsidRPr="002029AF">
              <w:t>with</w:t>
            </w:r>
            <w:r w:rsidR="000A5329" w:rsidRPr="002029AF">
              <w:t xml:space="preserve"> </w:t>
            </w:r>
            <w:r w:rsidRPr="002029AF">
              <w:t>long</w:t>
            </w:r>
            <w:r w:rsidR="000A5329" w:rsidRPr="002029AF">
              <w:t xml:space="preserve"> </w:t>
            </w:r>
            <w:r w:rsidRPr="002029AF">
              <w:t>term</w:t>
            </w:r>
            <w:r w:rsidR="000A5329" w:rsidRPr="002029AF">
              <w:t xml:space="preserve"> </w:t>
            </w:r>
            <w:r w:rsidRPr="002029AF">
              <w:t>social</w:t>
            </w:r>
            <w:r w:rsidR="000A5329" w:rsidRPr="002029AF">
              <w:t xml:space="preserve"> </w:t>
            </w:r>
            <w:r w:rsidRPr="002029AF">
              <w:t>housing</w:t>
            </w:r>
            <w:r w:rsidR="000A5329" w:rsidRPr="002029AF">
              <w:t xml:space="preserve"> </w:t>
            </w:r>
            <w:r w:rsidRPr="002029AF">
              <w:t>(public,</w:t>
            </w:r>
            <w:r w:rsidR="000A5329" w:rsidRPr="002029AF">
              <w:t xml:space="preserve"> </w:t>
            </w:r>
            <w:r w:rsidRPr="002029AF">
              <w:t>Aboriginal</w:t>
            </w:r>
            <w:r w:rsidR="000A5329" w:rsidRPr="002029AF">
              <w:t xml:space="preserve"> </w:t>
            </w:r>
            <w:r w:rsidRPr="002029AF">
              <w:t>and</w:t>
            </w:r>
            <w:r w:rsidR="000A5329" w:rsidRPr="002029AF">
              <w:t xml:space="preserve"> </w:t>
            </w:r>
            <w:r w:rsidRPr="002029AF">
              <w:t>community</w:t>
            </w:r>
            <w:r w:rsidR="000A5329" w:rsidRPr="002029AF">
              <w:t xml:space="preserve"> </w:t>
            </w:r>
            <w:r w:rsidRPr="002029AF">
              <w:t>long-term</w:t>
            </w:r>
            <w:r w:rsidR="000A5329" w:rsidRPr="002029AF">
              <w:t xml:space="preserve"> </w:t>
            </w:r>
            <w:r w:rsidRPr="002029AF">
              <w:t>tenancies</w:t>
            </w:r>
            <w:r w:rsidR="000A5329" w:rsidRPr="002029AF">
              <w:t xml:space="preserve"> </w:t>
            </w:r>
            <w:r w:rsidRPr="002029AF">
              <w:t>at</w:t>
            </w:r>
            <w:r w:rsidR="000A5329" w:rsidRPr="002029AF">
              <w:t xml:space="preserve"> </w:t>
            </w:r>
            <w:r w:rsidRPr="002029AF">
              <w:t>end</w:t>
            </w:r>
            <w:r w:rsidR="000A5329" w:rsidRPr="002029AF">
              <w:t xml:space="preserve"> </w:t>
            </w:r>
            <w:r w:rsidRPr="002029AF">
              <w:t>of</w:t>
            </w:r>
            <w:r w:rsidR="000A5329" w:rsidRPr="002029AF">
              <w:t xml:space="preserve"> </w:t>
            </w:r>
            <w:r w:rsidRPr="002029AF">
              <w:t>year)</w:t>
            </w:r>
          </w:p>
        </w:tc>
        <w:tc>
          <w:tcPr>
            <w:tcW w:w="1020" w:type="dxa"/>
            <w:shd w:val="clear" w:color="auto" w:fill="auto"/>
            <w:hideMark/>
          </w:tcPr>
          <w:p w14:paraId="69211902" w14:textId="77777777" w:rsidR="00C15C65" w:rsidRPr="002029AF" w:rsidRDefault="00C15C65" w:rsidP="00C40F5D">
            <w:pPr>
              <w:pStyle w:val="ARtabletext"/>
            </w:pPr>
            <w:r w:rsidRPr="002029AF">
              <w:t>number</w:t>
            </w:r>
          </w:p>
        </w:tc>
        <w:tc>
          <w:tcPr>
            <w:tcW w:w="1020" w:type="dxa"/>
            <w:shd w:val="clear" w:color="auto" w:fill="auto"/>
            <w:hideMark/>
          </w:tcPr>
          <w:p w14:paraId="35C94CE0" w14:textId="77777777" w:rsidR="00C15C65" w:rsidRPr="002029AF" w:rsidRDefault="00C15C65" w:rsidP="000024F3">
            <w:pPr>
              <w:pStyle w:val="ARtabletextright"/>
            </w:pPr>
            <w:r w:rsidRPr="002029AF">
              <w:t>77,900</w:t>
            </w:r>
          </w:p>
        </w:tc>
        <w:tc>
          <w:tcPr>
            <w:tcW w:w="1020" w:type="dxa"/>
            <w:shd w:val="clear" w:color="auto" w:fill="auto"/>
            <w:hideMark/>
          </w:tcPr>
          <w:p w14:paraId="0696FD7A" w14:textId="77777777" w:rsidR="00C15C65" w:rsidRPr="002029AF" w:rsidRDefault="00C15C65" w:rsidP="000024F3">
            <w:pPr>
              <w:pStyle w:val="ARtabletextright"/>
            </w:pPr>
            <w:r w:rsidRPr="002029AF">
              <w:t>77,900</w:t>
            </w:r>
          </w:p>
        </w:tc>
        <w:tc>
          <w:tcPr>
            <w:tcW w:w="1025" w:type="dxa"/>
            <w:shd w:val="clear" w:color="auto" w:fill="auto"/>
          </w:tcPr>
          <w:p w14:paraId="6986EB76" w14:textId="77777777" w:rsidR="00C15C65" w:rsidRPr="002029AF" w:rsidRDefault="00C15C65" w:rsidP="000024F3">
            <w:pPr>
              <w:pStyle w:val="ARtabletextright"/>
            </w:pPr>
            <w:r w:rsidRPr="002029AF">
              <w:t>0.0</w:t>
            </w:r>
          </w:p>
        </w:tc>
        <w:tc>
          <w:tcPr>
            <w:tcW w:w="798" w:type="dxa"/>
            <w:shd w:val="clear" w:color="auto" w:fill="auto"/>
            <w:hideMark/>
          </w:tcPr>
          <w:p w14:paraId="78040C45"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7AF3CCD3" w14:textId="77777777" w:rsidTr="005B58F0">
        <w:trPr>
          <w:gridAfter w:val="1"/>
          <w:wAfter w:w="6" w:type="dxa"/>
          <w:cantSplit/>
        </w:trPr>
        <w:tc>
          <w:tcPr>
            <w:tcW w:w="9633" w:type="dxa"/>
            <w:gridSpan w:val="6"/>
            <w:tcBorders>
              <w:bottom w:val="single" w:sz="4" w:space="0" w:color="BFBFBF"/>
            </w:tcBorders>
            <w:shd w:val="clear" w:color="auto" w:fill="auto"/>
            <w:noWrap/>
            <w:hideMark/>
          </w:tcPr>
          <w:p w14:paraId="123AF5C9" w14:textId="0D55B09B" w:rsidR="00C15C65" w:rsidRPr="002029AF" w:rsidRDefault="00C15C65" w:rsidP="00D96AFD">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by</w:t>
            </w:r>
            <w:r w:rsidR="000A5329" w:rsidRPr="002029AF">
              <w:t xml:space="preserve"> </w:t>
            </w:r>
            <w:r w:rsidRPr="002029AF">
              <w:t>early</w:t>
            </w:r>
            <w:r w:rsidR="000A5329" w:rsidRPr="002029AF">
              <w:t xml:space="preserve"> </w:t>
            </w:r>
            <w:r w:rsidRPr="002029AF">
              <w:t>2021.</w:t>
            </w:r>
          </w:p>
        </w:tc>
      </w:tr>
      <w:tr w:rsidR="00C15C65" w:rsidRPr="002029AF" w14:paraId="7B48B3F1" w14:textId="77777777" w:rsidTr="00CA3123">
        <w:trPr>
          <w:gridAfter w:val="1"/>
          <w:wAfter w:w="6" w:type="dxa"/>
          <w:cantSplit/>
        </w:trPr>
        <w:tc>
          <w:tcPr>
            <w:tcW w:w="4750" w:type="dxa"/>
            <w:tcBorders>
              <w:top w:val="single" w:sz="4" w:space="0" w:color="BFBFBF"/>
              <w:bottom w:val="single" w:sz="4" w:space="0" w:color="BFBFBF"/>
            </w:tcBorders>
            <w:shd w:val="clear" w:color="auto" w:fill="auto"/>
            <w:hideMark/>
          </w:tcPr>
          <w:p w14:paraId="7605AC51" w14:textId="1D7DEE1D" w:rsidR="00C15C65" w:rsidRPr="002029AF" w:rsidRDefault="00C15C65" w:rsidP="00C40F5D">
            <w:pPr>
              <w:pStyle w:val="ARtabletext"/>
            </w:pPr>
            <w:r w:rsidRPr="002029AF">
              <w:t>Number</w:t>
            </w:r>
            <w:r w:rsidR="000A5329" w:rsidRPr="002029AF">
              <w:t xml:space="preserve"> </w:t>
            </w:r>
            <w:r w:rsidRPr="002029AF">
              <w:t>of</w:t>
            </w:r>
            <w:r w:rsidR="000A5329" w:rsidRPr="002029AF">
              <w:t xml:space="preserve"> </w:t>
            </w:r>
            <w:r w:rsidRPr="002029AF">
              <w:t>public</w:t>
            </w:r>
            <w:r w:rsidR="000A5329" w:rsidRPr="002029AF">
              <w:t xml:space="preserve"> </w:t>
            </w:r>
            <w:r w:rsidRPr="002029AF">
              <w:t>housing</w:t>
            </w:r>
            <w:r w:rsidR="000A5329" w:rsidRPr="002029AF">
              <w:t xml:space="preserve"> </w:t>
            </w:r>
            <w:r w:rsidRPr="002029AF">
              <w:t>dwellings</w:t>
            </w:r>
            <w:r w:rsidR="000A5329" w:rsidRPr="002029AF">
              <w:t xml:space="preserve"> </w:t>
            </w:r>
            <w:r w:rsidRPr="002029AF">
              <w:t>upgraded</w:t>
            </w:r>
            <w:r w:rsidR="000A5329" w:rsidRPr="002029AF">
              <w:t xml:space="preserve"> </w:t>
            </w:r>
            <w:r w:rsidRPr="002029AF">
              <w:t>during</w:t>
            </w:r>
            <w:r w:rsidR="000A5329" w:rsidRPr="002029AF">
              <w:t xml:space="preserve"> </w:t>
            </w:r>
            <w:r w:rsidRPr="002029AF">
              <w:t>year</w:t>
            </w:r>
          </w:p>
        </w:tc>
        <w:tc>
          <w:tcPr>
            <w:tcW w:w="1020" w:type="dxa"/>
            <w:tcBorders>
              <w:top w:val="single" w:sz="4" w:space="0" w:color="BFBFBF"/>
              <w:bottom w:val="single" w:sz="4" w:space="0" w:color="BFBFBF"/>
            </w:tcBorders>
            <w:shd w:val="clear" w:color="auto" w:fill="auto"/>
            <w:hideMark/>
          </w:tcPr>
          <w:p w14:paraId="52B08E65" w14:textId="77777777" w:rsidR="00C15C65" w:rsidRPr="002029AF" w:rsidRDefault="00C15C65" w:rsidP="00C40F5D">
            <w:pPr>
              <w:pStyle w:val="ARtabletext"/>
            </w:pPr>
            <w:r w:rsidRPr="002029AF">
              <w:t>number</w:t>
            </w:r>
          </w:p>
        </w:tc>
        <w:tc>
          <w:tcPr>
            <w:tcW w:w="1020" w:type="dxa"/>
            <w:tcBorders>
              <w:top w:val="single" w:sz="4" w:space="0" w:color="BFBFBF"/>
              <w:bottom w:val="single" w:sz="4" w:space="0" w:color="BFBFBF"/>
            </w:tcBorders>
            <w:shd w:val="clear" w:color="auto" w:fill="auto"/>
            <w:hideMark/>
          </w:tcPr>
          <w:p w14:paraId="5A5392FB" w14:textId="77777777" w:rsidR="00C15C65" w:rsidRPr="002029AF" w:rsidRDefault="00C15C65" w:rsidP="000024F3">
            <w:pPr>
              <w:pStyle w:val="ARtabletextright"/>
            </w:pPr>
            <w:r w:rsidRPr="002029AF">
              <w:t>1,653</w:t>
            </w:r>
          </w:p>
        </w:tc>
        <w:tc>
          <w:tcPr>
            <w:tcW w:w="1020" w:type="dxa"/>
            <w:tcBorders>
              <w:top w:val="single" w:sz="4" w:space="0" w:color="BFBFBF"/>
              <w:bottom w:val="single" w:sz="4" w:space="0" w:color="BFBFBF"/>
            </w:tcBorders>
            <w:shd w:val="clear" w:color="auto" w:fill="auto"/>
            <w:hideMark/>
          </w:tcPr>
          <w:p w14:paraId="533A7C4D" w14:textId="77777777" w:rsidR="00C15C65" w:rsidRPr="002029AF" w:rsidRDefault="00C15C65" w:rsidP="000024F3">
            <w:pPr>
              <w:pStyle w:val="ARtabletextright"/>
            </w:pPr>
            <w:r w:rsidRPr="002029AF">
              <w:t>1,661</w:t>
            </w:r>
          </w:p>
        </w:tc>
        <w:tc>
          <w:tcPr>
            <w:tcW w:w="1025" w:type="dxa"/>
            <w:tcBorders>
              <w:top w:val="single" w:sz="4" w:space="0" w:color="BFBFBF"/>
              <w:bottom w:val="single" w:sz="4" w:space="0" w:color="BFBFBF"/>
            </w:tcBorders>
            <w:shd w:val="clear" w:color="auto" w:fill="auto"/>
          </w:tcPr>
          <w:p w14:paraId="05BF7D01" w14:textId="77777777" w:rsidR="00C15C65" w:rsidRPr="002029AF" w:rsidRDefault="00C15C65" w:rsidP="000024F3">
            <w:pPr>
              <w:pStyle w:val="ARtabletextright"/>
            </w:pPr>
            <w:r w:rsidRPr="002029AF">
              <w:t>0.5</w:t>
            </w:r>
          </w:p>
        </w:tc>
        <w:tc>
          <w:tcPr>
            <w:tcW w:w="798" w:type="dxa"/>
            <w:tcBorders>
              <w:top w:val="single" w:sz="4" w:space="0" w:color="BFBFBF"/>
              <w:bottom w:val="single" w:sz="4" w:space="0" w:color="BFBFBF"/>
            </w:tcBorders>
            <w:shd w:val="clear" w:color="auto" w:fill="auto"/>
            <w:hideMark/>
          </w:tcPr>
          <w:p w14:paraId="1E2B397A"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480800E9" w14:textId="77777777" w:rsidTr="00CA3123">
        <w:trPr>
          <w:gridAfter w:val="1"/>
          <w:wAfter w:w="6" w:type="dxa"/>
          <w:cantSplit/>
        </w:trPr>
        <w:tc>
          <w:tcPr>
            <w:tcW w:w="4750" w:type="dxa"/>
            <w:tcBorders>
              <w:top w:val="single" w:sz="4" w:space="0" w:color="BFBFBF"/>
            </w:tcBorders>
            <w:shd w:val="clear" w:color="auto" w:fill="auto"/>
            <w:hideMark/>
          </w:tcPr>
          <w:p w14:paraId="2F2C0E5A" w14:textId="124AC027" w:rsidR="00C15C65" w:rsidRPr="002029AF" w:rsidRDefault="00C15C65" w:rsidP="00C40F5D">
            <w:pPr>
              <w:pStyle w:val="ARtabletext"/>
            </w:pPr>
            <w:r w:rsidRPr="002029AF">
              <w:t>Total</w:t>
            </w:r>
            <w:r w:rsidR="000A5329" w:rsidRPr="002029AF">
              <w:t xml:space="preserve"> </w:t>
            </w:r>
            <w:r w:rsidRPr="002029AF">
              <w:t>number</w:t>
            </w:r>
            <w:r w:rsidR="000A5329" w:rsidRPr="002029AF">
              <w:t xml:space="preserve"> </w:t>
            </w:r>
            <w:r w:rsidRPr="002029AF">
              <w:t>of</w:t>
            </w:r>
            <w:r w:rsidR="000A5329" w:rsidRPr="002029AF">
              <w:t xml:space="preserve"> </w:t>
            </w:r>
            <w:r w:rsidRPr="002029AF">
              <w:t>social</w:t>
            </w:r>
            <w:r w:rsidR="000A5329" w:rsidRPr="002029AF">
              <w:t xml:space="preserve"> </w:t>
            </w:r>
            <w:r w:rsidRPr="002029AF">
              <w:t>housing</w:t>
            </w:r>
            <w:r w:rsidR="000A5329" w:rsidRPr="002029AF">
              <w:t xml:space="preserve"> </w:t>
            </w:r>
            <w:r w:rsidRPr="002029AF">
              <w:t>dwellings</w:t>
            </w:r>
          </w:p>
        </w:tc>
        <w:tc>
          <w:tcPr>
            <w:tcW w:w="1020" w:type="dxa"/>
            <w:tcBorders>
              <w:top w:val="single" w:sz="4" w:space="0" w:color="BFBFBF"/>
            </w:tcBorders>
            <w:shd w:val="clear" w:color="auto" w:fill="auto"/>
            <w:hideMark/>
          </w:tcPr>
          <w:p w14:paraId="482F5874" w14:textId="77777777" w:rsidR="00C15C65" w:rsidRPr="002029AF" w:rsidRDefault="00C15C65" w:rsidP="00C40F5D">
            <w:pPr>
              <w:pStyle w:val="ARtabletext"/>
            </w:pPr>
            <w:r w:rsidRPr="002029AF">
              <w:t>number</w:t>
            </w:r>
          </w:p>
        </w:tc>
        <w:tc>
          <w:tcPr>
            <w:tcW w:w="1020" w:type="dxa"/>
            <w:tcBorders>
              <w:top w:val="single" w:sz="4" w:space="0" w:color="BFBFBF"/>
            </w:tcBorders>
            <w:shd w:val="clear" w:color="auto" w:fill="auto"/>
            <w:hideMark/>
          </w:tcPr>
          <w:p w14:paraId="5B613819" w14:textId="77777777" w:rsidR="00C15C65" w:rsidRPr="002029AF" w:rsidRDefault="00C15C65" w:rsidP="000024F3">
            <w:pPr>
              <w:pStyle w:val="ARtabletextright"/>
            </w:pPr>
            <w:r w:rsidRPr="002029AF">
              <w:t>87,749</w:t>
            </w:r>
          </w:p>
        </w:tc>
        <w:tc>
          <w:tcPr>
            <w:tcW w:w="1020" w:type="dxa"/>
            <w:tcBorders>
              <w:top w:val="single" w:sz="4" w:space="0" w:color="BFBFBF"/>
            </w:tcBorders>
            <w:shd w:val="clear" w:color="auto" w:fill="auto"/>
            <w:hideMark/>
          </w:tcPr>
          <w:p w14:paraId="3BB20EBE" w14:textId="77777777" w:rsidR="00C15C65" w:rsidRPr="002029AF" w:rsidRDefault="00C15C65" w:rsidP="000024F3">
            <w:pPr>
              <w:pStyle w:val="ARtabletextright"/>
            </w:pPr>
            <w:r w:rsidRPr="002029AF">
              <w:t>85,111</w:t>
            </w:r>
          </w:p>
        </w:tc>
        <w:tc>
          <w:tcPr>
            <w:tcW w:w="1025" w:type="dxa"/>
            <w:tcBorders>
              <w:top w:val="single" w:sz="4" w:space="0" w:color="BFBFBF"/>
            </w:tcBorders>
            <w:shd w:val="clear" w:color="auto" w:fill="auto"/>
          </w:tcPr>
          <w:p w14:paraId="38EC6BEF" w14:textId="77777777" w:rsidR="00C15C65" w:rsidRPr="002029AF" w:rsidRDefault="00C15C65" w:rsidP="000024F3">
            <w:pPr>
              <w:pStyle w:val="ARtabletextright"/>
            </w:pPr>
            <w:r w:rsidRPr="002029AF">
              <w:t>-3.0</w:t>
            </w:r>
          </w:p>
        </w:tc>
        <w:tc>
          <w:tcPr>
            <w:tcW w:w="798" w:type="dxa"/>
            <w:tcBorders>
              <w:top w:val="single" w:sz="4" w:space="0" w:color="BFBFBF"/>
            </w:tcBorders>
            <w:shd w:val="clear" w:color="auto" w:fill="auto"/>
            <w:hideMark/>
          </w:tcPr>
          <w:p w14:paraId="60F592A7" w14:textId="42D1637C" w:rsidR="00C15C65" w:rsidRPr="002029AF" w:rsidRDefault="003A6C3B" w:rsidP="000F6867">
            <w:pPr>
              <w:pStyle w:val="ARtableperformancesymbol"/>
              <w:rPr>
                <w:rFonts w:hint="eastAsia"/>
                <w:lang w:val="en-AU"/>
              </w:rPr>
            </w:pPr>
            <w:r w:rsidRPr="002029AF">
              <w:rPr>
                <w:lang w:val="en-AU"/>
              </w:rPr>
              <w:t>□</w:t>
            </w:r>
          </w:p>
        </w:tc>
      </w:tr>
      <w:tr w:rsidR="00C15C65" w:rsidRPr="002029AF" w14:paraId="09695442" w14:textId="77777777" w:rsidTr="005B58F0">
        <w:trPr>
          <w:gridAfter w:val="1"/>
          <w:wAfter w:w="6" w:type="dxa"/>
          <w:cantSplit/>
        </w:trPr>
        <w:tc>
          <w:tcPr>
            <w:tcW w:w="9633" w:type="dxa"/>
            <w:gridSpan w:val="6"/>
            <w:tcBorders>
              <w:bottom w:val="single" w:sz="4" w:space="0" w:color="BFBFBF"/>
            </w:tcBorders>
            <w:shd w:val="clear" w:color="auto" w:fill="auto"/>
            <w:noWrap/>
            <w:hideMark/>
          </w:tcPr>
          <w:p w14:paraId="7617C83A" w14:textId="727577C0" w:rsidR="00C15C65" w:rsidRPr="002029AF" w:rsidRDefault="00C15C65" w:rsidP="00D96AFD">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by</w:t>
            </w:r>
            <w:r w:rsidR="000A5329" w:rsidRPr="002029AF">
              <w:t xml:space="preserve"> </w:t>
            </w:r>
            <w:r w:rsidRPr="002029AF">
              <w:t>late</w:t>
            </w:r>
            <w:r w:rsidR="000A5329" w:rsidRPr="002029AF">
              <w:t xml:space="preserve"> </w:t>
            </w:r>
            <w:r w:rsidRPr="002029AF">
              <w:t>2020.</w:t>
            </w:r>
          </w:p>
        </w:tc>
      </w:tr>
      <w:tr w:rsidR="00C15C65" w:rsidRPr="002029AF" w14:paraId="5606D873" w14:textId="77777777" w:rsidTr="00CA3123">
        <w:trPr>
          <w:gridAfter w:val="1"/>
          <w:wAfter w:w="6" w:type="dxa"/>
          <w:cantSplit/>
        </w:trPr>
        <w:tc>
          <w:tcPr>
            <w:tcW w:w="4750" w:type="dxa"/>
            <w:shd w:val="clear" w:color="auto" w:fill="auto"/>
            <w:hideMark/>
          </w:tcPr>
          <w:p w14:paraId="28D20CC5" w14:textId="7B707645" w:rsidR="00C15C65" w:rsidRPr="002029AF" w:rsidRDefault="00C15C65" w:rsidP="00C40F5D">
            <w:pPr>
              <w:pStyle w:val="ARtabletext"/>
            </w:pPr>
            <w:r w:rsidRPr="002029AF">
              <w:t>Total</w:t>
            </w:r>
            <w:r w:rsidR="000A5329" w:rsidRPr="002029AF">
              <w:t xml:space="preserve"> </w:t>
            </w:r>
            <w:r w:rsidRPr="002029AF">
              <w:t>social</w:t>
            </w:r>
            <w:r w:rsidR="000A5329" w:rsidRPr="002029AF">
              <w:t xml:space="preserve"> </w:t>
            </w:r>
            <w:r w:rsidRPr="002029AF">
              <w:t>housing</w:t>
            </w:r>
            <w:r w:rsidR="000A5329" w:rsidRPr="002029AF">
              <w:t xml:space="preserve"> </w:t>
            </w:r>
            <w:r w:rsidRPr="002029AF">
              <w:t>dwellings</w:t>
            </w:r>
            <w:r w:rsidR="000A5329" w:rsidRPr="002029AF">
              <w:t xml:space="preserve"> </w:t>
            </w:r>
            <w:r w:rsidRPr="002029AF">
              <w:t>acquired</w:t>
            </w:r>
            <w:r w:rsidR="000A5329" w:rsidRPr="002029AF">
              <w:t xml:space="preserve"> </w:t>
            </w:r>
            <w:r w:rsidRPr="002029AF">
              <w:t>during</w:t>
            </w:r>
            <w:r w:rsidR="000A5329" w:rsidRPr="002029AF">
              <w:t xml:space="preserve"> </w:t>
            </w:r>
            <w:r w:rsidRPr="002029AF">
              <w:t>the</w:t>
            </w:r>
            <w:r w:rsidR="000A5329" w:rsidRPr="002029AF">
              <w:t xml:space="preserve"> </w:t>
            </w:r>
            <w:r w:rsidRPr="002029AF">
              <w:t>year</w:t>
            </w:r>
          </w:p>
        </w:tc>
        <w:tc>
          <w:tcPr>
            <w:tcW w:w="1020" w:type="dxa"/>
            <w:shd w:val="clear" w:color="auto" w:fill="auto"/>
            <w:hideMark/>
          </w:tcPr>
          <w:p w14:paraId="1D409C2A" w14:textId="77777777" w:rsidR="00C15C65" w:rsidRPr="002029AF" w:rsidRDefault="00C15C65" w:rsidP="00C40F5D">
            <w:pPr>
              <w:pStyle w:val="ARtabletext"/>
            </w:pPr>
            <w:r w:rsidRPr="002029AF">
              <w:t>number</w:t>
            </w:r>
          </w:p>
        </w:tc>
        <w:tc>
          <w:tcPr>
            <w:tcW w:w="1020" w:type="dxa"/>
            <w:shd w:val="clear" w:color="auto" w:fill="auto"/>
            <w:hideMark/>
          </w:tcPr>
          <w:p w14:paraId="52B3AC62" w14:textId="77777777" w:rsidR="00C15C65" w:rsidRPr="002029AF" w:rsidRDefault="00C15C65" w:rsidP="000024F3">
            <w:pPr>
              <w:pStyle w:val="ARtabletextright"/>
            </w:pPr>
            <w:r w:rsidRPr="002029AF">
              <w:t>1,133</w:t>
            </w:r>
          </w:p>
        </w:tc>
        <w:tc>
          <w:tcPr>
            <w:tcW w:w="1020" w:type="dxa"/>
            <w:shd w:val="clear" w:color="auto" w:fill="auto"/>
            <w:hideMark/>
          </w:tcPr>
          <w:p w14:paraId="51E8FD1F" w14:textId="77777777" w:rsidR="00C15C65" w:rsidRPr="002029AF" w:rsidRDefault="00C15C65" w:rsidP="000024F3">
            <w:pPr>
              <w:pStyle w:val="ARtabletextright"/>
            </w:pPr>
            <w:r w:rsidRPr="002029AF">
              <w:t>1,097</w:t>
            </w:r>
          </w:p>
        </w:tc>
        <w:tc>
          <w:tcPr>
            <w:tcW w:w="1025" w:type="dxa"/>
            <w:shd w:val="clear" w:color="auto" w:fill="auto"/>
          </w:tcPr>
          <w:p w14:paraId="72438013" w14:textId="77777777" w:rsidR="00C15C65" w:rsidRPr="002029AF" w:rsidRDefault="00C15C65" w:rsidP="000024F3">
            <w:pPr>
              <w:pStyle w:val="ARtabletextright"/>
            </w:pPr>
            <w:r w:rsidRPr="002029AF">
              <w:t>-3.2</w:t>
            </w:r>
          </w:p>
        </w:tc>
        <w:tc>
          <w:tcPr>
            <w:tcW w:w="798" w:type="dxa"/>
            <w:shd w:val="clear" w:color="auto" w:fill="auto"/>
            <w:hideMark/>
          </w:tcPr>
          <w:p w14:paraId="229555BC" w14:textId="0A5CFC47" w:rsidR="00C15C65" w:rsidRPr="002029AF" w:rsidRDefault="003A6C3B" w:rsidP="000F6867">
            <w:pPr>
              <w:pStyle w:val="ARtableperformancesymbol"/>
              <w:rPr>
                <w:rFonts w:hint="eastAsia"/>
                <w:lang w:val="en-AU"/>
              </w:rPr>
            </w:pPr>
            <w:r w:rsidRPr="002029AF">
              <w:rPr>
                <w:lang w:val="en-AU"/>
              </w:rPr>
              <w:t>□</w:t>
            </w:r>
          </w:p>
        </w:tc>
      </w:tr>
      <w:tr w:rsidR="00C15C65" w:rsidRPr="002029AF" w14:paraId="2E18CBC9" w14:textId="77777777" w:rsidTr="005B58F0">
        <w:trPr>
          <w:gridAfter w:val="1"/>
          <w:wAfter w:w="6" w:type="dxa"/>
          <w:cantSplit/>
        </w:trPr>
        <w:tc>
          <w:tcPr>
            <w:tcW w:w="9633" w:type="dxa"/>
            <w:gridSpan w:val="6"/>
            <w:tcBorders>
              <w:bottom w:val="single" w:sz="4" w:space="0" w:color="BFBFBF"/>
            </w:tcBorders>
            <w:shd w:val="clear" w:color="auto" w:fill="auto"/>
            <w:noWrap/>
            <w:hideMark/>
          </w:tcPr>
          <w:p w14:paraId="5FAA94BC" w14:textId="50B7E2D4" w:rsidR="00C15C65" w:rsidRPr="002029AF" w:rsidRDefault="00C15C65" w:rsidP="00D96AFD">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by</w:t>
            </w:r>
            <w:r w:rsidR="000A5329" w:rsidRPr="002029AF">
              <w:t xml:space="preserve"> </w:t>
            </w:r>
            <w:r w:rsidRPr="002029AF">
              <w:t>late</w:t>
            </w:r>
            <w:r w:rsidR="000A5329" w:rsidRPr="002029AF">
              <w:t xml:space="preserve"> </w:t>
            </w:r>
            <w:r w:rsidRPr="002029AF">
              <w:t>2020.</w:t>
            </w:r>
          </w:p>
        </w:tc>
      </w:tr>
      <w:tr w:rsidR="00C15C65" w:rsidRPr="002029AF" w14:paraId="68326B95" w14:textId="77777777" w:rsidTr="00CA3123">
        <w:trPr>
          <w:gridAfter w:val="1"/>
          <w:wAfter w:w="6" w:type="dxa"/>
          <w:cantSplit/>
        </w:trPr>
        <w:tc>
          <w:tcPr>
            <w:tcW w:w="4750" w:type="dxa"/>
            <w:shd w:val="clear" w:color="auto" w:fill="auto"/>
            <w:hideMark/>
          </w:tcPr>
          <w:p w14:paraId="084EAF8C" w14:textId="72645415" w:rsidR="00C15C65" w:rsidRPr="002029AF" w:rsidRDefault="00C15C65" w:rsidP="00C40F5D">
            <w:pPr>
              <w:pStyle w:val="ARtabletext"/>
            </w:pPr>
            <w:r w:rsidRPr="002029AF">
              <w:lastRenderedPageBreak/>
              <w:t>Number</w:t>
            </w:r>
            <w:r w:rsidR="000A5329" w:rsidRPr="002029AF">
              <w:t xml:space="preserve"> </w:t>
            </w:r>
            <w:r w:rsidRPr="002029AF">
              <w:t>of</w:t>
            </w:r>
            <w:r w:rsidR="000A5329" w:rsidRPr="002029AF">
              <w:t xml:space="preserve"> </w:t>
            </w:r>
            <w:r w:rsidRPr="002029AF">
              <w:t>family</w:t>
            </w:r>
            <w:r w:rsidR="000A5329" w:rsidRPr="002029AF">
              <w:t xml:space="preserve"> </w:t>
            </w:r>
            <w:r w:rsidRPr="002029AF">
              <w:t>violence</w:t>
            </w:r>
            <w:r w:rsidR="000A5329" w:rsidRPr="002029AF">
              <w:t xml:space="preserve"> </w:t>
            </w:r>
            <w:r w:rsidRPr="002029AF">
              <w:t>victims</w:t>
            </w:r>
            <w:r w:rsidR="000A5329" w:rsidRPr="002029AF">
              <w:t xml:space="preserve"> </w:t>
            </w:r>
            <w:r w:rsidRPr="002029AF">
              <w:t>who</w:t>
            </w:r>
            <w:r w:rsidR="000A5329" w:rsidRPr="002029AF">
              <w:t xml:space="preserve"> </w:t>
            </w:r>
            <w:r w:rsidRPr="002029AF">
              <w:t>receive</w:t>
            </w:r>
            <w:r w:rsidR="000A5329" w:rsidRPr="002029AF">
              <w:t xml:space="preserve"> </w:t>
            </w:r>
            <w:r w:rsidRPr="002029AF">
              <w:t>a</w:t>
            </w:r>
            <w:r w:rsidR="000A5329" w:rsidRPr="002029AF">
              <w:t xml:space="preserve"> </w:t>
            </w:r>
            <w:r w:rsidRPr="002029AF">
              <w:t>refuge</w:t>
            </w:r>
            <w:r w:rsidR="000A5329" w:rsidRPr="002029AF">
              <w:t xml:space="preserve"> </w:t>
            </w:r>
            <w:r w:rsidRPr="002029AF">
              <w:t>response</w:t>
            </w:r>
          </w:p>
        </w:tc>
        <w:tc>
          <w:tcPr>
            <w:tcW w:w="1020" w:type="dxa"/>
            <w:shd w:val="clear" w:color="auto" w:fill="auto"/>
            <w:hideMark/>
          </w:tcPr>
          <w:p w14:paraId="4DB132F3" w14:textId="77777777" w:rsidR="00C15C65" w:rsidRPr="002029AF" w:rsidRDefault="00C15C65" w:rsidP="00C40F5D">
            <w:pPr>
              <w:pStyle w:val="ARtabletext"/>
            </w:pPr>
            <w:r w:rsidRPr="002029AF">
              <w:t>number</w:t>
            </w:r>
          </w:p>
        </w:tc>
        <w:tc>
          <w:tcPr>
            <w:tcW w:w="1020" w:type="dxa"/>
            <w:shd w:val="clear" w:color="auto" w:fill="auto"/>
            <w:hideMark/>
          </w:tcPr>
          <w:p w14:paraId="21FC6ABF" w14:textId="77777777" w:rsidR="00C15C65" w:rsidRPr="002029AF" w:rsidRDefault="00C15C65" w:rsidP="000024F3">
            <w:pPr>
              <w:pStyle w:val="ARtabletextright"/>
            </w:pPr>
            <w:r w:rsidRPr="002029AF">
              <w:t>1,012</w:t>
            </w:r>
          </w:p>
        </w:tc>
        <w:tc>
          <w:tcPr>
            <w:tcW w:w="1020" w:type="dxa"/>
            <w:shd w:val="clear" w:color="auto" w:fill="auto"/>
            <w:hideMark/>
          </w:tcPr>
          <w:p w14:paraId="6B97EC63" w14:textId="77777777" w:rsidR="00C15C65" w:rsidRPr="002029AF" w:rsidRDefault="00C15C65" w:rsidP="000024F3">
            <w:pPr>
              <w:pStyle w:val="ARtabletextright"/>
            </w:pPr>
            <w:r w:rsidRPr="002029AF">
              <w:t>923</w:t>
            </w:r>
          </w:p>
        </w:tc>
        <w:tc>
          <w:tcPr>
            <w:tcW w:w="1025" w:type="dxa"/>
            <w:shd w:val="clear" w:color="auto" w:fill="auto"/>
          </w:tcPr>
          <w:p w14:paraId="3E548B59" w14:textId="77777777" w:rsidR="00C15C65" w:rsidRPr="002029AF" w:rsidRDefault="00C15C65" w:rsidP="000024F3">
            <w:pPr>
              <w:pStyle w:val="ARtabletextright"/>
            </w:pPr>
            <w:r w:rsidRPr="002029AF">
              <w:t>-8.8</w:t>
            </w:r>
          </w:p>
        </w:tc>
        <w:tc>
          <w:tcPr>
            <w:tcW w:w="798" w:type="dxa"/>
            <w:shd w:val="clear" w:color="auto" w:fill="auto"/>
            <w:hideMark/>
          </w:tcPr>
          <w:p w14:paraId="4C72B910"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11E2623A" w14:textId="77777777" w:rsidTr="005B58F0">
        <w:trPr>
          <w:gridAfter w:val="1"/>
          <w:wAfter w:w="6" w:type="dxa"/>
          <w:cantSplit/>
        </w:trPr>
        <w:tc>
          <w:tcPr>
            <w:tcW w:w="9633" w:type="dxa"/>
            <w:gridSpan w:val="6"/>
            <w:tcBorders>
              <w:bottom w:val="single" w:sz="4" w:space="0" w:color="BFBFBF"/>
            </w:tcBorders>
            <w:shd w:val="clear" w:color="auto" w:fill="auto"/>
            <w:noWrap/>
            <w:hideMark/>
          </w:tcPr>
          <w:p w14:paraId="71562BFC" w14:textId="0BD06A7A" w:rsidR="00C15C65" w:rsidRPr="002029AF" w:rsidRDefault="00C15C65" w:rsidP="00D96AFD">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lower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modified</w:t>
            </w:r>
            <w:r w:rsidR="000A5329" w:rsidRPr="002029AF">
              <w:t xml:space="preserve"> </w:t>
            </w:r>
            <w:r w:rsidRPr="002029AF">
              <w:t>work</w:t>
            </w:r>
            <w:r w:rsidR="000A5329" w:rsidRPr="002029AF">
              <w:t xml:space="preserve"> </w:t>
            </w:r>
            <w:r w:rsidRPr="002029AF">
              <w:t>practices</w:t>
            </w:r>
            <w:r w:rsidR="000A5329" w:rsidRPr="002029AF">
              <w:t xml:space="preserve"> </w:t>
            </w:r>
            <w:r w:rsidRPr="002029AF">
              <w:t>to</w:t>
            </w:r>
            <w:r w:rsidR="000A5329" w:rsidRPr="002029AF">
              <w:t xml:space="preserve"> </w:t>
            </w:r>
            <w:r w:rsidRPr="002029AF">
              <w:t>comply</w:t>
            </w:r>
            <w:r w:rsidR="000A5329" w:rsidRPr="002029AF">
              <w:t xml:space="preserve"> </w:t>
            </w:r>
            <w:r w:rsidRPr="002029AF">
              <w:t>with</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physical</w:t>
            </w:r>
            <w:r w:rsidR="000A5329" w:rsidRPr="002029AF">
              <w:t xml:space="preserve"> </w:t>
            </w:r>
            <w:r w:rsidRPr="002029AF">
              <w:t>distancing</w:t>
            </w:r>
            <w:r w:rsidR="000A5329" w:rsidRPr="002029AF">
              <w:t xml:space="preserve"> </w:t>
            </w:r>
            <w:r w:rsidRPr="002029AF">
              <w:t>requirements.</w:t>
            </w:r>
            <w:r w:rsidR="000A5329" w:rsidRPr="002029AF">
              <w:t xml:space="preserve"> </w:t>
            </w:r>
            <w:r w:rsidRPr="002029AF">
              <w:t>As</w:t>
            </w:r>
            <w:r w:rsidR="000A5329" w:rsidRPr="002029AF">
              <w:t xml:space="preserve"> </w:t>
            </w:r>
            <w:r w:rsidRPr="002029AF">
              <w:t>a</w:t>
            </w:r>
            <w:r w:rsidR="000A5329" w:rsidRPr="002029AF">
              <w:t xml:space="preserve"> </w:t>
            </w:r>
            <w:r w:rsidRPr="002029AF">
              <w:t>result</w:t>
            </w:r>
            <w:r w:rsidR="000A5329" w:rsidRPr="002029AF">
              <w:t xml:space="preserve"> </w:t>
            </w:r>
            <w:r w:rsidRPr="002029AF">
              <w:t>of</w:t>
            </w:r>
            <w:r w:rsidR="000A5329" w:rsidRPr="002029AF">
              <w:t xml:space="preserve"> </w:t>
            </w:r>
            <w:r w:rsidRPr="002029AF">
              <w:t>physical</w:t>
            </w:r>
            <w:r w:rsidR="000A5329" w:rsidRPr="002029AF">
              <w:t xml:space="preserve"> </w:t>
            </w:r>
            <w:r w:rsidRPr="002029AF">
              <w:t>distancing</w:t>
            </w:r>
            <w:r w:rsidR="000A5329" w:rsidRPr="002029AF">
              <w:t xml:space="preserve"> </w:t>
            </w:r>
            <w:r w:rsidRPr="002029AF">
              <w:t>measures,</w:t>
            </w:r>
            <w:r w:rsidR="000A5329" w:rsidRPr="002029AF">
              <w:t xml:space="preserve"> </w:t>
            </w:r>
            <w:r w:rsidRPr="002029AF">
              <w:t>some</w:t>
            </w:r>
            <w:r w:rsidR="000A5329" w:rsidRPr="002029AF">
              <w:t xml:space="preserve"> </w:t>
            </w:r>
            <w:r w:rsidRPr="002029AF">
              <w:t>refuges</w:t>
            </w:r>
            <w:r w:rsidR="000A5329" w:rsidRPr="002029AF">
              <w:t xml:space="preserve"> </w:t>
            </w:r>
            <w:r w:rsidRPr="002029AF">
              <w:t>are</w:t>
            </w:r>
            <w:r w:rsidR="000A5329" w:rsidRPr="002029AF">
              <w:t xml:space="preserve"> </w:t>
            </w:r>
            <w:r w:rsidRPr="002029AF">
              <w:t>only</w:t>
            </w:r>
            <w:r w:rsidR="000A5329" w:rsidRPr="002029AF">
              <w:t xml:space="preserve"> </w:t>
            </w:r>
            <w:r w:rsidRPr="002029AF">
              <w:t>able</w:t>
            </w:r>
            <w:r w:rsidR="000A5329" w:rsidRPr="002029AF">
              <w:t xml:space="preserve"> </w:t>
            </w:r>
            <w:r w:rsidRPr="002029AF">
              <w:t>to</w:t>
            </w:r>
            <w:r w:rsidR="000A5329" w:rsidRPr="002029AF">
              <w:t xml:space="preserve"> </w:t>
            </w:r>
            <w:r w:rsidRPr="002029AF">
              <w:t>accommodate</w:t>
            </w:r>
            <w:r w:rsidR="000A5329" w:rsidRPr="002029AF">
              <w:t xml:space="preserve"> </w:t>
            </w:r>
            <w:r w:rsidRPr="002029AF">
              <w:t>one</w:t>
            </w:r>
            <w:r w:rsidR="000A5329" w:rsidRPr="002029AF">
              <w:t xml:space="preserve"> </w:t>
            </w:r>
            <w:r w:rsidRPr="002029AF">
              <w:t>family</w:t>
            </w:r>
            <w:r w:rsidR="000A5329" w:rsidRPr="002029AF">
              <w:t xml:space="preserve"> </w:t>
            </w:r>
            <w:r w:rsidRPr="002029AF">
              <w:t>at</w:t>
            </w:r>
            <w:r w:rsidR="000A5329" w:rsidRPr="002029AF">
              <w:t xml:space="preserve"> </w:t>
            </w:r>
            <w:r w:rsidRPr="002029AF">
              <w:t>a</w:t>
            </w:r>
            <w:r w:rsidR="000A5329" w:rsidRPr="002029AF">
              <w:t xml:space="preserve"> </w:t>
            </w:r>
            <w:r w:rsidRPr="002029AF">
              <w:t>time,</w:t>
            </w:r>
            <w:r w:rsidR="000A5329" w:rsidRPr="002029AF">
              <w:t xml:space="preserve"> </w:t>
            </w:r>
            <w:r w:rsidRPr="002029AF">
              <w:t>rather</w:t>
            </w:r>
            <w:r w:rsidR="000A5329" w:rsidRPr="002029AF">
              <w:t xml:space="preserve"> </w:t>
            </w:r>
            <w:r w:rsidRPr="002029AF">
              <w:t>than</w:t>
            </w:r>
            <w:r w:rsidR="000A5329" w:rsidRPr="002029AF">
              <w:t xml:space="preserve"> </w:t>
            </w:r>
            <w:r w:rsidRPr="002029AF">
              <w:t>three</w:t>
            </w:r>
            <w:r w:rsidR="000A5329" w:rsidRPr="002029AF">
              <w:t xml:space="preserve"> </w:t>
            </w:r>
            <w:r w:rsidRPr="002029AF">
              <w:t>to</w:t>
            </w:r>
            <w:r w:rsidR="000A5329" w:rsidRPr="002029AF">
              <w:t xml:space="preserve"> </w:t>
            </w:r>
            <w:r w:rsidRPr="002029AF">
              <w:t>five</w:t>
            </w:r>
            <w:r w:rsidR="000A5329" w:rsidRPr="002029AF">
              <w:t xml:space="preserve"> </w:t>
            </w:r>
            <w:r w:rsidRPr="002029AF">
              <w:t>families</w:t>
            </w:r>
            <w:r w:rsidR="000A5329" w:rsidRPr="002029AF">
              <w:t xml:space="preserve"> </w:t>
            </w:r>
            <w:r w:rsidRPr="002029AF">
              <w:t>in</w:t>
            </w:r>
            <w:r w:rsidR="000A5329" w:rsidRPr="002029AF">
              <w:t xml:space="preserve"> </w:t>
            </w:r>
            <w:r w:rsidRPr="002029AF">
              <w:t>business</w:t>
            </w:r>
            <w:r w:rsidR="000A5329" w:rsidRPr="002029AF">
              <w:t xml:space="preserve"> </w:t>
            </w:r>
            <w:r w:rsidRPr="002029AF">
              <w:t>as</w:t>
            </w:r>
            <w:r w:rsidR="000A5329" w:rsidRPr="002029AF">
              <w:t xml:space="preserve"> </w:t>
            </w:r>
            <w:r w:rsidRPr="002029AF">
              <w:t>usual.</w:t>
            </w:r>
          </w:p>
        </w:tc>
      </w:tr>
      <w:tr w:rsidR="00C15C65" w:rsidRPr="002029AF" w14:paraId="43DA1CE6" w14:textId="77777777" w:rsidTr="00CA3123">
        <w:trPr>
          <w:gridAfter w:val="1"/>
          <w:wAfter w:w="6" w:type="dxa"/>
          <w:cantSplit/>
        </w:trPr>
        <w:tc>
          <w:tcPr>
            <w:tcW w:w="4750" w:type="dxa"/>
            <w:shd w:val="clear" w:color="auto" w:fill="auto"/>
            <w:hideMark/>
          </w:tcPr>
          <w:p w14:paraId="34DF1254" w14:textId="0ACFD5D9" w:rsidR="00C15C65" w:rsidRPr="002029AF" w:rsidRDefault="00C15C65" w:rsidP="00C40F5D">
            <w:pPr>
              <w:pStyle w:val="ARtabletext"/>
            </w:pPr>
            <w:r w:rsidRPr="002029AF">
              <w:t>Number</w:t>
            </w:r>
            <w:r w:rsidR="000A5329" w:rsidRPr="002029AF">
              <w:t xml:space="preserve"> </w:t>
            </w:r>
            <w:r w:rsidRPr="002029AF">
              <w:t>of</w:t>
            </w:r>
            <w:r w:rsidR="000A5329" w:rsidRPr="002029AF">
              <w:t xml:space="preserve"> </w:t>
            </w:r>
            <w:r w:rsidRPr="002029AF">
              <w:t>nights</w:t>
            </w:r>
            <w:r w:rsidR="000A5329" w:rsidRPr="002029AF">
              <w:t xml:space="preserve"> </w:t>
            </w:r>
            <w:r w:rsidRPr="002029AF">
              <w:t>of</w:t>
            </w:r>
            <w:r w:rsidR="000A5329" w:rsidRPr="002029AF">
              <w:t xml:space="preserve"> </w:t>
            </w:r>
            <w:r w:rsidRPr="002029AF">
              <w:t>refuge</w:t>
            </w:r>
            <w:r w:rsidR="000A5329" w:rsidRPr="002029AF">
              <w:t xml:space="preserve"> </w:t>
            </w:r>
            <w:r w:rsidRPr="002029AF">
              <w:t>accommodation</w:t>
            </w:r>
            <w:r w:rsidR="000A5329" w:rsidRPr="002029AF">
              <w:t xml:space="preserve"> </w:t>
            </w:r>
            <w:r w:rsidRPr="002029AF">
              <w:t>provided</w:t>
            </w:r>
            <w:r w:rsidR="000A5329" w:rsidRPr="002029AF">
              <w:t xml:space="preserve"> </w:t>
            </w:r>
            <w:r w:rsidRPr="002029AF">
              <w:t>to</w:t>
            </w:r>
            <w:r w:rsidR="000A5329" w:rsidRPr="002029AF">
              <w:t xml:space="preserve"> </w:t>
            </w:r>
            <w:r w:rsidRPr="002029AF">
              <w:t>victims</w:t>
            </w:r>
            <w:r w:rsidR="000A5329" w:rsidRPr="002029AF">
              <w:t xml:space="preserve"> </w:t>
            </w:r>
            <w:r w:rsidRPr="002029AF">
              <w:t>of</w:t>
            </w:r>
            <w:r w:rsidR="000A5329" w:rsidRPr="002029AF">
              <w:t xml:space="preserve"> </w:t>
            </w:r>
            <w:r w:rsidRPr="002029AF">
              <w:t>family</w:t>
            </w:r>
            <w:r w:rsidR="000A5329" w:rsidRPr="002029AF">
              <w:t xml:space="preserve"> </w:t>
            </w:r>
            <w:r w:rsidRPr="002029AF">
              <w:t>violence</w:t>
            </w:r>
          </w:p>
        </w:tc>
        <w:tc>
          <w:tcPr>
            <w:tcW w:w="1020" w:type="dxa"/>
            <w:shd w:val="clear" w:color="auto" w:fill="auto"/>
            <w:hideMark/>
          </w:tcPr>
          <w:p w14:paraId="6CCEF063" w14:textId="77777777" w:rsidR="00C15C65" w:rsidRPr="002029AF" w:rsidRDefault="00C15C65" w:rsidP="00C40F5D">
            <w:pPr>
              <w:pStyle w:val="ARtabletext"/>
            </w:pPr>
            <w:r w:rsidRPr="002029AF">
              <w:t>number</w:t>
            </w:r>
          </w:p>
        </w:tc>
        <w:tc>
          <w:tcPr>
            <w:tcW w:w="1020" w:type="dxa"/>
            <w:shd w:val="clear" w:color="auto" w:fill="auto"/>
            <w:hideMark/>
          </w:tcPr>
          <w:p w14:paraId="59E8F7EE" w14:textId="77777777" w:rsidR="00C15C65" w:rsidRPr="002029AF" w:rsidRDefault="00C15C65" w:rsidP="000024F3">
            <w:pPr>
              <w:pStyle w:val="ARtabletextright"/>
            </w:pPr>
            <w:r w:rsidRPr="002029AF">
              <w:t>52,088</w:t>
            </w:r>
          </w:p>
        </w:tc>
        <w:tc>
          <w:tcPr>
            <w:tcW w:w="1020" w:type="dxa"/>
            <w:shd w:val="clear" w:color="auto" w:fill="auto"/>
            <w:hideMark/>
          </w:tcPr>
          <w:p w14:paraId="597C49F0" w14:textId="77777777" w:rsidR="00C15C65" w:rsidRPr="002029AF" w:rsidRDefault="00C15C65" w:rsidP="000024F3">
            <w:pPr>
              <w:pStyle w:val="ARtabletextright"/>
            </w:pPr>
            <w:r w:rsidRPr="002029AF">
              <w:t>46,039</w:t>
            </w:r>
          </w:p>
        </w:tc>
        <w:tc>
          <w:tcPr>
            <w:tcW w:w="1025" w:type="dxa"/>
            <w:shd w:val="clear" w:color="auto" w:fill="auto"/>
          </w:tcPr>
          <w:p w14:paraId="102D6C49" w14:textId="77777777" w:rsidR="00C15C65" w:rsidRPr="002029AF" w:rsidRDefault="00C15C65" w:rsidP="000024F3">
            <w:pPr>
              <w:pStyle w:val="ARtabletextright"/>
            </w:pPr>
            <w:r w:rsidRPr="002029AF">
              <w:t>-11.6</w:t>
            </w:r>
          </w:p>
        </w:tc>
        <w:tc>
          <w:tcPr>
            <w:tcW w:w="798" w:type="dxa"/>
            <w:shd w:val="clear" w:color="auto" w:fill="auto"/>
            <w:hideMark/>
          </w:tcPr>
          <w:p w14:paraId="399FD5CE"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2FEE3801" w14:textId="77777777" w:rsidTr="005B58F0">
        <w:trPr>
          <w:gridAfter w:val="1"/>
          <w:wAfter w:w="6" w:type="dxa"/>
          <w:cantSplit/>
        </w:trPr>
        <w:tc>
          <w:tcPr>
            <w:tcW w:w="9633" w:type="dxa"/>
            <w:gridSpan w:val="6"/>
            <w:tcBorders>
              <w:bottom w:val="single" w:sz="4" w:space="0" w:color="BFBFBF"/>
            </w:tcBorders>
            <w:shd w:val="clear" w:color="auto" w:fill="auto"/>
            <w:noWrap/>
            <w:hideMark/>
          </w:tcPr>
          <w:p w14:paraId="21936DF6" w14:textId="46ED8627" w:rsidR="00C15C65" w:rsidRPr="002029AF" w:rsidRDefault="00C15C65" w:rsidP="00D96AFD">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lower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modified</w:t>
            </w:r>
            <w:r w:rsidR="000A5329" w:rsidRPr="002029AF">
              <w:t xml:space="preserve"> </w:t>
            </w:r>
            <w:r w:rsidRPr="002029AF">
              <w:t>work</w:t>
            </w:r>
            <w:r w:rsidR="000A5329" w:rsidRPr="002029AF">
              <w:t xml:space="preserve"> </w:t>
            </w:r>
            <w:r w:rsidRPr="002029AF">
              <w:t>practices</w:t>
            </w:r>
            <w:r w:rsidR="000A5329" w:rsidRPr="002029AF">
              <w:t xml:space="preserve"> </w:t>
            </w:r>
            <w:r w:rsidRPr="002029AF">
              <w:t>to</w:t>
            </w:r>
            <w:r w:rsidR="000A5329" w:rsidRPr="002029AF">
              <w:t xml:space="preserve"> </w:t>
            </w:r>
            <w:r w:rsidRPr="002029AF">
              <w:t>comply</w:t>
            </w:r>
            <w:r w:rsidR="000A5329" w:rsidRPr="002029AF">
              <w:t xml:space="preserve"> </w:t>
            </w:r>
            <w:r w:rsidRPr="002029AF">
              <w:t>with</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physical</w:t>
            </w:r>
            <w:r w:rsidR="000A5329" w:rsidRPr="002029AF">
              <w:t xml:space="preserve"> </w:t>
            </w:r>
            <w:r w:rsidRPr="002029AF">
              <w:t>distancing</w:t>
            </w:r>
            <w:r w:rsidR="000A5329" w:rsidRPr="002029AF">
              <w:t xml:space="preserve"> </w:t>
            </w:r>
            <w:r w:rsidRPr="002029AF">
              <w:t>requirements.</w:t>
            </w:r>
            <w:r w:rsidR="000A5329" w:rsidRPr="002029AF">
              <w:t xml:space="preserve"> </w:t>
            </w:r>
            <w:r w:rsidRPr="002029AF">
              <w:t>As</w:t>
            </w:r>
            <w:r w:rsidR="000A5329" w:rsidRPr="002029AF">
              <w:t xml:space="preserve"> </w:t>
            </w:r>
            <w:r w:rsidRPr="002029AF">
              <w:t>a</w:t>
            </w:r>
            <w:r w:rsidR="000A5329" w:rsidRPr="002029AF">
              <w:t xml:space="preserve"> </w:t>
            </w:r>
            <w:r w:rsidRPr="002029AF">
              <w:t>result</w:t>
            </w:r>
            <w:r w:rsidR="000A5329" w:rsidRPr="002029AF">
              <w:t xml:space="preserve"> </w:t>
            </w:r>
            <w:r w:rsidRPr="002029AF">
              <w:t>of</w:t>
            </w:r>
            <w:r w:rsidR="000A5329" w:rsidRPr="002029AF">
              <w:t xml:space="preserve"> </w:t>
            </w:r>
            <w:r w:rsidRPr="002029AF">
              <w:t>physical</w:t>
            </w:r>
            <w:r w:rsidR="000A5329" w:rsidRPr="002029AF">
              <w:t xml:space="preserve"> </w:t>
            </w:r>
            <w:r w:rsidRPr="002029AF">
              <w:t>distancing</w:t>
            </w:r>
            <w:r w:rsidR="000A5329" w:rsidRPr="002029AF">
              <w:t xml:space="preserve"> </w:t>
            </w:r>
            <w:r w:rsidRPr="002029AF">
              <w:t>measures,</w:t>
            </w:r>
            <w:r w:rsidR="000A5329" w:rsidRPr="002029AF">
              <w:t xml:space="preserve"> </w:t>
            </w:r>
            <w:r w:rsidRPr="002029AF">
              <w:t>some</w:t>
            </w:r>
            <w:r w:rsidR="000A5329" w:rsidRPr="002029AF">
              <w:t xml:space="preserve"> </w:t>
            </w:r>
            <w:r w:rsidRPr="002029AF">
              <w:t>refuges</w:t>
            </w:r>
            <w:r w:rsidR="000A5329" w:rsidRPr="002029AF">
              <w:t xml:space="preserve"> </w:t>
            </w:r>
            <w:r w:rsidRPr="002029AF">
              <w:t>are</w:t>
            </w:r>
            <w:r w:rsidR="000A5329" w:rsidRPr="002029AF">
              <w:t xml:space="preserve"> </w:t>
            </w:r>
            <w:r w:rsidRPr="002029AF">
              <w:t>only</w:t>
            </w:r>
            <w:r w:rsidR="000A5329" w:rsidRPr="002029AF">
              <w:t xml:space="preserve"> </w:t>
            </w:r>
            <w:r w:rsidRPr="002029AF">
              <w:t>able</w:t>
            </w:r>
            <w:r w:rsidR="000A5329" w:rsidRPr="002029AF">
              <w:t xml:space="preserve"> </w:t>
            </w:r>
            <w:r w:rsidRPr="002029AF">
              <w:t>to</w:t>
            </w:r>
            <w:r w:rsidR="000A5329" w:rsidRPr="002029AF">
              <w:t xml:space="preserve"> </w:t>
            </w:r>
            <w:r w:rsidRPr="002029AF">
              <w:t>accommodate</w:t>
            </w:r>
            <w:r w:rsidR="000A5329" w:rsidRPr="002029AF">
              <w:t xml:space="preserve"> </w:t>
            </w:r>
            <w:r w:rsidRPr="002029AF">
              <w:t>one</w:t>
            </w:r>
            <w:r w:rsidR="000A5329" w:rsidRPr="002029AF">
              <w:t xml:space="preserve"> </w:t>
            </w:r>
            <w:r w:rsidRPr="002029AF">
              <w:t>family</w:t>
            </w:r>
            <w:r w:rsidR="000A5329" w:rsidRPr="002029AF">
              <w:t xml:space="preserve"> </w:t>
            </w:r>
            <w:r w:rsidRPr="002029AF">
              <w:t>at</w:t>
            </w:r>
            <w:r w:rsidR="000A5329" w:rsidRPr="002029AF">
              <w:t xml:space="preserve"> </w:t>
            </w:r>
            <w:r w:rsidRPr="002029AF">
              <w:t>a</w:t>
            </w:r>
            <w:r w:rsidR="000A5329" w:rsidRPr="002029AF">
              <w:t xml:space="preserve"> </w:t>
            </w:r>
            <w:r w:rsidRPr="002029AF">
              <w:t>time,</w:t>
            </w:r>
            <w:r w:rsidR="000A5329" w:rsidRPr="002029AF">
              <w:t xml:space="preserve"> </w:t>
            </w:r>
            <w:r w:rsidRPr="002029AF">
              <w:t>rather</w:t>
            </w:r>
            <w:r w:rsidR="000A5329" w:rsidRPr="002029AF">
              <w:t xml:space="preserve"> </w:t>
            </w:r>
            <w:r w:rsidRPr="002029AF">
              <w:t>than</w:t>
            </w:r>
            <w:r w:rsidR="000A5329" w:rsidRPr="002029AF">
              <w:t xml:space="preserve"> </w:t>
            </w:r>
            <w:r w:rsidRPr="002029AF">
              <w:t>three</w:t>
            </w:r>
            <w:r w:rsidR="000A5329" w:rsidRPr="002029AF">
              <w:t xml:space="preserve"> </w:t>
            </w:r>
            <w:r w:rsidRPr="002029AF">
              <w:t>to</w:t>
            </w:r>
            <w:r w:rsidR="000A5329" w:rsidRPr="002029AF">
              <w:t xml:space="preserve"> </w:t>
            </w:r>
            <w:r w:rsidRPr="002029AF">
              <w:t>five</w:t>
            </w:r>
            <w:r w:rsidR="000A5329" w:rsidRPr="002029AF">
              <w:t xml:space="preserve"> </w:t>
            </w:r>
            <w:r w:rsidRPr="002029AF">
              <w:t>families</w:t>
            </w:r>
            <w:r w:rsidR="000A5329" w:rsidRPr="002029AF">
              <w:t xml:space="preserve"> </w:t>
            </w:r>
            <w:r w:rsidRPr="002029AF">
              <w:t>in</w:t>
            </w:r>
            <w:r w:rsidR="000A5329" w:rsidRPr="002029AF">
              <w:t xml:space="preserve"> </w:t>
            </w:r>
            <w:r w:rsidRPr="002029AF">
              <w:t>business</w:t>
            </w:r>
            <w:r w:rsidR="000A5329" w:rsidRPr="002029AF">
              <w:t xml:space="preserve"> </w:t>
            </w:r>
            <w:r w:rsidRPr="002029AF">
              <w:t>as</w:t>
            </w:r>
            <w:r w:rsidR="000A5329" w:rsidRPr="002029AF">
              <w:t xml:space="preserve"> </w:t>
            </w:r>
            <w:r w:rsidRPr="002029AF">
              <w:t>usual.</w:t>
            </w:r>
          </w:p>
        </w:tc>
      </w:tr>
      <w:tr w:rsidR="00C15C65" w:rsidRPr="002029AF" w14:paraId="35F5EE98" w14:textId="77777777" w:rsidTr="00CA3123">
        <w:trPr>
          <w:cantSplit/>
        </w:trPr>
        <w:tc>
          <w:tcPr>
            <w:tcW w:w="4750" w:type="dxa"/>
            <w:shd w:val="clear" w:color="auto" w:fill="auto"/>
            <w:hideMark/>
          </w:tcPr>
          <w:p w14:paraId="60E75CB2" w14:textId="132A03C9" w:rsidR="00C15C65" w:rsidRPr="002029AF" w:rsidRDefault="00C15C65" w:rsidP="00C40F5D">
            <w:pPr>
              <w:pStyle w:val="ARtabletext"/>
            </w:pPr>
            <w:r w:rsidRPr="002029AF">
              <w:t>Number</w:t>
            </w:r>
            <w:r w:rsidR="000A5329" w:rsidRPr="002029AF">
              <w:t xml:space="preserve"> </w:t>
            </w:r>
            <w:r w:rsidRPr="002029AF">
              <w:t>of</w:t>
            </w:r>
            <w:r w:rsidR="000A5329" w:rsidRPr="002029AF">
              <w:t xml:space="preserve"> </w:t>
            </w:r>
            <w:r w:rsidRPr="002029AF">
              <w:t>calls</w:t>
            </w:r>
            <w:r w:rsidR="000A5329" w:rsidRPr="002029AF">
              <w:t xml:space="preserve"> </w:t>
            </w:r>
            <w:r w:rsidRPr="002029AF">
              <w:t>made</w:t>
            </w:r>
            <w:r w:rsidR="000A5329" w:rsidRPr="002029AF">
              <w:t xml:space="preserve"> </w:t>
            </w:r>
            <w:r w:rsidRPr="002029AF">
              <w:t>to</w:t>
            </w:r>
            <w:r w:rsidR="000A5329" w:rsidRPr="002029AF">
              <w:t xml:space="preserve"> </w:t>
            </w:r>
            <w:r w:rsidRPr="002029AF">
              <w:t>the</w:t>
            </w:r>
            <w:r w:rsidR="000A5329" w:rsidRPr="002029AF">
              <w:t xml:space="preserve"> </w:t>
            </w:r>
            <w:r w:rsidRPr="002029AF">
              <w:t>statewide</w:t>
            </w:r>
            <w:r w:rsidR="000A5329" w:rsidRPr="002029AF">
              <w:t xml:space="preserve"> </w:t>
            </w:r>
            <w:r w:rsidRPr="002029AF">
              <w:t>24/7</w:t>
            </w:r>
            <w:r w:rsidR="000A5329" w:rsidRPr="002029AF">
              <w:t xml:space="preserve"> </w:t>
            </w:r>
            <w:r w:rsidRPr="002029AF">
              <w:t>family</w:t>
            </w:r>
            <w:r w:rsidR="000A5329" w:rsidRPr="002029AF">
              <w:t xml:space="preserve"> </w:t>
            </w:r>
            <w:r w:rsidRPr="002029AF">
              <w:t>violence</w:t>
            </w:r>
            <w:r w:rsidR="000A5329" w:rsidRPr="002029AF">
              <w:t xml:space="preserve"> </w:t>
            </w:r>
            <w:r w:rsidRPr="002029AF">
              <w:t>victim/survivor</w:t>
            </w:r>
            <w:r w:rsidR="000A5329" w:rsidRPr="002029AF">
              <w:t xml:space="preserve"> </w:t>
            </w:r>
            <w:r w:rsidRPr="002029AF">
              <w:t>crisis</w:t>
            </w:r>
            <w:r w:rsidR="000A5329" w:rsidRPr="002029AF">
              <w:t xml:space="preserve"> </w:t>
            </w:r>
            <w:r w:rsidRPr="002029AF">
              <w:t>service</w:t>
            </w:r>
          </w:p>
        </w:tc>
        <w:tc>
          <w:tcPr>
            <w:tcW w:w="1020" w:type="dxa"/>
            <w:shd w:val="clear" w:color="auto" w:fill="auto"/>
            <w:hideMark/>
          </w:tcPr>
          <w:p w14:paraId="26DC0CCE" w14:textId="77777777" w:rsidR="00C15C65" w:rsidRPr="002029AF" w:rsidRDefault="00C15C65" w:rsidP="00C40F5D">
            <w:pPr>
              <w:pStyle w:val="ARtabletext"/>
            </w:pPr>
            <w:r w:rsidRPr="002029AF">
              <w:t>number</w:t>
            </w:r>
          </w:p>
        </w:tc>
        <w:tc>
          <w:tcPr>
            <w:tcW w:w="1020" w:type="dxa"/>
            <w:shd w:val="clear" w:color="auto" w:fill="auto"/>
            <w:hideMark/>
          </w:tcPr>
          <w:p w14:paraId="62E40324" w14:textId="77777777" w:rsidR="00C15C65" w:rsidRPr="002029AF" w:rsidRDefault="00C15C65" w:rsidP="000024F3">
            <w:pPr>
              <w:pStyle w:val="ARtabletextright"/>
            </w:pPr>
            <w:r w:rsidRPr="002029AF">
              <w:t>90,000</w:t>
            </w:r>
          </w:p>
        </w:tc>
        <w:tc>
          <w:tcPr>
            <w:tcW w:w="1020" w:type="dxa"/>
            <w:shd w:val="clear" w:color="auto" w:fill="auto"/>
            <w:hideMark/>
          </w:tcPr>
          <w:p w14:paraId="605960C8" w14:textId="77777777" w:rsidR="00C15C65" w:rsidRPr="002029AF" w:rsidRDefault="00C15C65" w:rsidP="000024F3">
            <w:pPr>
              <w:pStyle w:val="ARtabletextright"/>
            </w:pPr>
            <w:r w:rsidRPr="002029AF">
              <w:t>68,341</w:t>
            </w:r>
          </w:p>
        </w:tc>
        <w:tc>
          <w:tcPr>
            <w:tcW w:w="1025" w:type="dxa"/>
            <w:shd w:val="clear" w:color="auto" w:fill="auto"/>
          </w:tcPr>
          <w:p w14:paraId="5FE2B74A" w14:textId="77777777" w:rsidR="00C15C65" w:rsidRPr="002029AF" w:rsidRDefault="00C15C65" w:rsidP="000024F3">
            <w:pPr>
              <w:pStyle w:val="ARtabletextright"/>
            </w:pPr>
            <w:r w:rsidRPr="002029AF">
              <w:t>-24.1</w:t>
            </w:r>
          </w:p>
        </w:tc>
        <w:tc>
          <w:tcPr>
            <w:tcW w:w="804" w:type="dxa"/>
            <w:gridSpan w:val="2"/>
            <w:shd w:val="clear" w:color="auto" w:fill="auto"/>
            <w:hideMark/>
          </w:tcPr>
          <w:p w14:paraId="179E7B89"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3DCEF8FF" w14:textId="77777777" w:rsidTr="005B58F0">
        <w:trPr>
          <w:cantSplit/>
        </w:trPr>
        <w:tc>
          <w:tcPr>
            <w:tcW w:w="9639" w:type="dxa"/>
            <w:gridSpan w:val="7"/>
            <w:tcBorders>
              <w:bottom w:val="single" w:sz="4" w:space="0" w:color="BFBFBF"/>
            </w:tcBorders>
            <w:shd w:val="clear" w:color="auto" w:fill="auto"/>
            <w:noWrap/>
            <w:hideMark/>
          </w:tcPr>
          <w:p w14:paraId="36CEFD0F" w14:textId="2FF9FD74" w:rsidR="00C15C65" w:rsidRPr="002029AF" w:rsidRDefault="00C15C65" w:rsidP="00D96AFD">
            <w:pPr>
              <w:pStyle w:val="ARtablenoteindent"/>
            </w:pPr>
            <w:r w:rsidRPr="002029AF">
              <w:t>This</w:t>
            </w:r>
            <w:r w:rsidR="000A5329" w:rsidRPr="002029AF">
              <w:t xml:space="preserve"> </w:t>
            </w:r>
            <w:r w:rsidRPr="002029AF">
              <w:t>result</w:t>
            </w:r>
            <w:r w:rsidR="000A5329" w:rsidRPr="002029AF">
              <w:t xml:space="preserve"> </w:t>
            </w:r>
            <w:r w:rsidRPr="002029AF">
              <w:t>is</w:t>
            </w:r>
            <w:r w:rsidR="000A5329" w:rsidRPr="002029AF">
              <w:t xml:space="preserve"> </w:t>
            </w:r>
            <w:r w:rsidRPr="002029AF">
              <w:t>lower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however</w:t>
            </w:r>
            <w:r w:rsidR="000A5329" w:rsidRPr="002029AF">
              <w:t xml:space="preserve"> </w:t>
            </w:r>
            <w:r w:rsidRPr="002029AF">
              <w:t>this</w:t>
            </w:r>
            <w:r w:rsidR="000A5329" w:rsidRPr="002029AF">
              <w:t xml:space="preserve"> </w:t>
            </w:r>
            <w:r w:rsidRPr="002029AF">
              <w:t>is</w:t>
            </w:r>
            <w:r w:rsidR="000A5329" w:rsidRPr="002029AF">
              <w:t xml:space="preserve"> </w:t>
            </w:r>
            <w:r w:rsidRPr="002029AF">
              <w:t>partially</w:t>
            </w:r>
            <w:r w:rsidR="000A5329" w:rsidRPr="002029AF">
              <w:t xml:space="preserve"> </w:t>
            </w:r>
            <w:r w:rsidRPr="002029AF">
              <w:t>due</w:t>
            </w:r>
            <w:r w:rsidR="000A5329" w:rsidRPr="002029AF">
              <w:t xml:space="preserve"> </w:t>
            </w:r>
            <w:r w:rsidRPr="002029AF">
              <w:t>to</w:t>
            </w:r>
            <w:r w:rsidR="000A5329" w:rsidRPr="002029AF">
              <w:t xml:space="preserve"> </w:t>
            </w:r>
            <w:r w:rsidRPr="002029AF">
              <w:t>increased</w:t>
            </w:r>
            <w:r w:rsidR="000A5329" w:rsidRPr="002029AF">
              <w:t xml:space="preserve"> </w:t>
            </w:r>
            <w:r w:rsidRPr="002029AF">
              <w:t>efficiencies</w:t>
            </w:r>
            <w:r w:rsidR="000A5329" w:rsidRPr="002029AF">
              <w:t xml:space="preserve"> </w:t>
            </w:r>
            <w:r w:rsidRPr="002029AF">
              <w:t>in</w:t>
            </w:r>
            <w:r w:rsidR="000A5329" w:rsidRPr="002029AF">
              <w:t xml:space="preserve"> </w:t>
            </w:r>
            <w:r w:rsidRPr="002029AF">
              <w:t>service</w:t>
            </w:r>
            <w:r w:rsidR="000A5329" w:rsidRPr="002029AF">
              <w:t xml:space="preserve"> </w:t>
            </w:r>
            <w:r w:rsidRPr="002029AF">
              <w:t>delivery.</w:t>
            </w:r>
            <w:r w:rsidR="000A5329" w:rsidRPr="002029AF">
              <w:t xml:space="preserve"> </w:t>
            </w:r>
            <w:r w:rsidRPr="002029AF">
              <w:t>A</w:t>
            </w:r>
            <w:r w:rsidR="000A5329" w:rsidRPr="002029AF">
              <w:t xml:space="preserve"> </w:t>
            </w:r>
            <w:r w:rsidRPr="002029AF">
              <w:t>reduction</w:t>
            </w:r>
            <w:r w:rsidR="000A5329" w:rsidRPr="002029AF">
              <w:t xml:space="preserve"> </w:t>
            </w:r>
            <w:r w:rsidRPr="002029AF">
              <w:t>in</w:t>
            </w:r>
            <w:r w:rsidR="000A5329" w:rsidRPr="002029AF">
              <w:t xml:space="preserve"> </w:t>
            </w:r>
            <w:r w:rsidRPr="002029AF">
              <w:t>overall</w:t>
            </w:r>
            <w:r w:rsidR="000A5329" w:rsidRPr="002029AF">
              <w:t xml:space="preserve"> </w:t>
            </w:r>
            <w:r w:rsidRPr="002029AF">
              <w:t>call</w:t>
            </w:r>
            <w:r w:rsidR="000A5329" w:rsidRPr="002029AF">
              <w:t xml:space="preserve"> </w:t>
            </w:r>
            <w:r w:rsidRPr="002029AF">
              <w:t>volume</w:t>
            </w:r>
            <w:r w:rsidR="000A5329" w:rsidRPr="002029AF">
              <w:t xml:space="preserve"> </w:t>
            </w:r>
            <w:r w:rsidRPr="002029AF">
              <w:t>is</w:t>
            </w:r>
            <w:r w:rsidR="000A5329" w:rsidRPr="002029AF">
              <w:t xml:space="preserve"> </w:t>
            </w:r>
            <w:r w:rsidRPr="002029AF">
              <w:t>partially</w:t>
            </w:r>
            <w:r w:rsidR="000A5329" w:rsidRPr="002029AF">
              <w:t xml:space="preserve"> </w:t>
            </w:r>
            <w:r w:rsidRPr="002029AF">
              <w:t>attributable</w:t>
            </w:r>
            <w:r w:rsidR="000A5329" w:rsidRPr="002029AF">
              <w:t xml:space="preserve"> </w:t>
            </w:r>
            <w:r w:rsidRPr="002029AF">
              <w:t>to</w:t>
            </w:r>
            <w:r w:rsidR="000A5329" w:rsidRPr="002029AF">
              <w:t xml:space="preserve"> </w:t>
            </w:r>
            <w:r w:rsidRPr="002029AF">
              <w:t>decreased</w:t>
            </w:r>
            <w:r w:rsidR="000A5329" w:rsidRPr="002029AF">
              <w:t xml:space="preserve"> </w:t>
            </w:r>
            <w:r w:rsidRPr="002029AF">
              <w:t>call</w:t>
            </w:r>
            <w:r w:rsidR="000A5329" w:rsidRPr="002029AF">
              <w:t xml:space="preserve"> </w:t>
            </w:r>
            <w:r w:rsidRPr="002029AF">
              <w:t>abandonment</w:t>
            </w:r>
            <w:r w:rsidR="000A5329" w:rsidRPr="002029AF">
              <w:t xml:space="preserve"> </w:t>
            </w:r>
            <w:r w:rsidRPr="002029AF">
              <w:t>rates,</w:t>
            </w:r>
            <w:r w:rsidR="000A5329" w:rsidRPr="002029AF">
              <w:t xml:space="preserve"> </w:t>
            </w:r>
            <w:r w:rsidRPr="002029AF">
              <w:t>preventing</w:t>
            </w:r>
            <w:r w:rsidR="000A5329" w:rsidRPr="002029AF">
              <w:t xml:space="preserve"> </w:t>
            </w:r>
            <w:r w:rsidRPr="002029AF">
              <w:t>the</w:t>
            </w:r>
            <w:r w:rsidR="000A5329" w:rsidRPr="002029AF">
              <w:t xml:space="preserve"> </w:t>
            </w:r>
            <w:r w:rsidRPr="002029AF">
              <w:t>need</w:t>
            </w:r>
            <w:r w:rsidR="000A5329" w:rsidRPr="002029AF">
              <w:t xml:space="preserve"> </w:t>
            </w:r>
            <w:r w:rsidRPr="002029AF">
              <w:t>for</w:t>
            </w:r>
            <w:r w:rsidR="000A5329" w:rsidRPr="002029AF">
              <w:t xml:space="preserve"> </w:t>
            </w:r>
            <w:r w:rsidRPr="002029AF">
              <w:t>individuals</w:t>
            </w:r>
            <w:r w:rsidR="000A5329" w:rsidRPr="002029AF">
              <w:t xml:space="preserve"> </w:t>
            </w:r>
            <w:r w:rsidRPr="002029AF">
              <w:t>to</w:t>
            </w:r>
            <w:r w:rsidR="000A5329" w:rsidRPr="002029AF">
              <w:t xml:space="preserve"> </w:t>
            </w:r>
            <w:r w:rsidRPr="002029AF">
              <w:t>make</w:t>
            </w:r>
            <w:r w:rsidR="000A5329" w:rsidRPr="002029AF">
              <w:t xml:space="preserve"> </w:t>
            </w:r>
            <w:r w:rsidRPr="002029AF">
              <w:t>multiple</w:t>
            </w:r>
            <w:r w:rsidR="000A5329" w:rsidRPr="002029AF">
              <w:t xml:space="preserve"> </w:t>
            </w:r>
            <w:r w:rsidRPr="002029AF">
              <w:t>return</w:t>
            </w:r>
            <w:r w:rsidR="000A5329" w:rsidRPr="002029AF">
              <w:t xml:space="preserve"> </w:t>
            </w:r>
            <w:r w:rsidRPr="002029AF">
              <w:t>calls</w:t>
            </w:r>
            <w:r w:rsidR="000A5329" w:rsidRPr="002029AF">
              <w:t xml:space="preserve"> </w:t>
            </w:r>
            <w:r w:rsidRPr="002029AF">
              <w:t>to</w:t>
            </w:r>
            <w:r w:rsidR="000A5329" w:rsidRPr="002029AF">
              <w:t xml:space="preserve"> </w:t>
            </w:r>
            <w:r w:rsidRPr="002029AF">
              <w:t>the</w:t>
            </w:r>
            <w:r w:rsidR="000A5329" w:rsidRPr="002029AF">
              <w:t xml:space="preserve"> </w:t>
            </w:r>
            <w:r w:rsidRPr="002029AF">
              <w:t>service.</w:t>
            </w:r>
            <w:r w:rsidR="000A5329" w:rsidRPr="002029AF">
              <w:t xml:space="preserve"> </w:t>
            </w:r>
            <w:r w:rsidRPr="002029AF">
              <w:t>It</w:t>
            </w:r>
            <w:r w:rsidR="000A5329" w:rsidRPr="002029AF">
              <w:t xml:space="preserve"> </w:t>
            </w:r>
            <w:r w:rsidRPr="002029AF">
              <w:t>is</w:t>
            </w:r>
            <w:r w:rsidR="000A5329" w:rsidRPr="002029AF">
              <w:t xml:space="preserve"> </w:t>
            </w:r>
            <w:r w:rsidRPr="002029AF">
              <w:t>also</w:t>
            </w:r>
            <w:r w:rsidR="000A5329" w:rsidRPr="002029AF">
              <w:t xml:space="preserve"> </w:t>
            </w:r>
            <w:r w:rsidRPr="002029AF">
              <w:t>noted</w:t>
            </w:r>
            <w:r w:rsidR="000A5329" w:rsidRPr="002029AF">
              <w:t xml:space="preserve"> </w:t>
            </w:r>
            <w:r w:rsidRPr="002029AF">
              <w:t>that</w:t>
            </w:r>
            <w:r w:rsidR="000A5329" w:rsidRPr="002029AF">
              <w:t xml:space="preserve"> </w:t>
            </w:r>
            <w:r w:rsidRPr="002029AF">
              <w:t>this</w:t>
            </w:r>
            <w:r w:rsidR="000A5329" w:rsidRPr="002029AF">
              <w:t xml:space="preserve"> </w:t>
            </w:r>
            <w:r w:rsidRPr="002029AF">
              <w:t>measure</w:t>
            </w:r>
            <w:r w:rsidR="000A5329" w:rsidRPr="002029AF">
              <w:t xml:space="preserve"> </w:t>
            </w:r>
            <w:r w:rsidRPr="002029AF">
              <w:t>only</w:t>
            </w:r>
            <w:r w:rsidR="000A5329" w:rsidRPr="002029AF">
              <w:t xml:space="preserve"> </w:t>
            </w:r>
            <w:r w:rsidRPr="002029AF">
              <w:t>reflects</w:t>
            </w:r>
            <w:r w:rsidR="000A5329" w:rsidRPr="002029AF">
              <w:t xml:space="preserve"> </w:t>
            </w:r>
            <w:r w:rsidRPr="002029AF">
              <w:t>one</w:t>
            </w:r>
            <w:r w:rsidR="000A5329" w:rsidRPr="002029AF">
              <w:t xml:space="preserve"> </w:t>
            </w:r>
            <w:r w:rsidRPr="002029AF">
              <w:t>way</w:t>
            </w:r>
            <w:r w:rsidR="000A5329" w:rsidRPr="002029AF">
              <w:t xml:space="preserve"> </w:t>
            </w:r>
            <w:r w:rsidRPr="002029AF">
              <w:t>that</w:t>
            </w:r>
            <w:r w:rsidR="000A5329" w:rsidRPr="002029AF">
              <w:t xml:space="preserve"> </w:t>
            </w:r>
            <w:r w:rsidRPr="002029AF">
              <w:t>service</w:t>
            </w:r>
            <w:r w:rsidR="000A5329" w:rsidRPr="002029AF">
              <w:t xml:space="preserve"> </w:t>
            </w:r>
            <w:r w:rsidRPr="002029AF">
              <w:t>delivery</w:t>
            </w:r>
            <w:r w:rsidR="000A5329" w:rsidRPr="002029AF">
              <w:t xml:space="preserve"> </w:t>
            </w:r>
            <w:r w:rsidRPr="002029AF">
              <w:t>is</w:t>
            </w:r>
            <w:r w:rsidR="000A5329" w:rsidRPr="002029AF">
              <w:t xml:space="preserve"> </w:t>
            </w:r>
            <w:r w:rsidRPr="002029AF">
              <w:t>provided</w:t>
            </w:r>
            <w:r w:rsidR="000A5329" w:rsidRPr="002029AF">
              <w:t xml:space="preserve"> </w:t>
            </w:r>
            <w:r w:rsidRPr="002029AF">
              <w:t>by</w:t>
            </w:r>
            <w:r w:rsidR="000A5329" w:rsidRPr="002029AF">
              <w:t xml:space="preserve"> </w:t>
            </w:r>
            <w:r w:rsidRPr="002029AF">
              <w:t>SafeSteps.</w:t>
            </w:r>
            <w:r w:rsidR="000A5329" w:rsidRPr="002029AF">
              <w:t xml:space="preserve"> </w:t>
            </w:r>
            <w:r w:rsidRPr="002029AF">
              <w:t>Responses</w:t>
            </w:r>
            <w:r w:rsidR="000A5329" w:rsidRPr="002029AF">
              <w:t xml:space="preserve"> </w:t>
            </w:r>
            <w:r w:rsidRPr="002029AF">
              <w:t>to</w:t>
            </w:r>
            <w:r w:rsidR="000A5329" w:rsidRPr="002029AF">
              <w:t xml:space="preserve"> </w:t>
            </w:r>
            <w:r w:rsidRPr="002029AF">
              <w:t>other</w:t>
            </w:r>
            <w:r w:rsidR="000A5329" w:rsidRPr="002029AF">
              <w:t xml:space="preserve"> </w:t>
            </w:r>
            <w:r w:rsidRPr="002029AF">
              <w:t>types</w:t>
            </w:r>
            <w:r w:rsidR="000A5329" w:rsidRPr="002029AF">
              <w:t xml:space="preserve"> </w:t>
            </w:r>
            <w:r w:rsidRPr="002029AF">
              <w:t>of</w:t>
            </w:r>
            <w:r w:rsidR="000A5329" w:rsidRPr="002029AF">
              <w:t xml:space="preserve"> </w:t>
            </w:r>
            <w:r w:rsidRPr="002029AF">
              <w:t>referrals</w:t>
            </w:r>
            <w:r w:rsidR="000A5329" w:rsidRPr="002029AF">
              <w:t xml:space="preserve"> </w:t>
            </w:r>
            <w:r w:rsidRPr="002029AF">
              <w:t>and</w:t>
            </w:r>
            <w:r w:rsidR="000A5329" w:rsidRPr="002029AF">
              <w:t xml:space="preserve"> </w:t>
            </w:r>
            <w:r w:rsidRPr="002029AF">
              <w:t>outbound</w:t>
            </w:r>
            <w:r w:rsidR="000A5329" w:rsidRPr="002029AF">
              <w:t xml:space="preserve"> </w:t>
            </w:r>
            <w:r w:rsidRPr="002029AF">
              <w:t>calls</w:t>
            </w:r>
            <w:r w:rsidR="000A5329" w:rsidRPr="002029AF">
              <w:t xml:space="preserve"> </w:t>
            </w:r>
            <w:r w:rsidRPr="002029AF">
              <w:t>are</w:t>
            </w:r>
            <w:r w:rsidR="000A5329" w:rsidRPr="002029AF">
              <w:t xml:space="preserve"> </w:t>
            </w:r>
            <w:r w:rsidRPr="002029AF">
              <w:t>not</w:t>
            </w:r>
            <w:r w:rsidR="000A5329" w:rsidRPr="002029AF">
              <w:t xml:space="preserve"> </w:t>
            </w:r>
            <w:r w:rsidRPr="002029AF">
              <w:t>captured</w:t>
            </w:r>
            <w:r w:rsidR="000A5329" w:rsidRPr="002029AF">
              <w:t xml:space="preserve"> </w:t>
            </w:r>
            <w:r w:rsidRPr="002029AF">
              <w:t>by</w:t>
            </w:r>
            <w:r w:rsidR="000A5329" w:rsidRPr="002029AF">
              <w:t xml:space="preserve"> </w:t>
            </w:r>
            <w:r w:rsidRPr="002029AF">
              <w:t>this</w:t>
            </w:r>
            <w:r w:rsidR="000A5329" w:rsidRPr="002029AF">
              <w:t xml:space="preserve"> </w:t>
            </w:r>
            <w:r w:rsidRPr="002029AF">
              <w:t>measure.</w:t>
            </w:r>
          </w:p>
        </w:tc>
      </w:tr>
      <w:tr w:rsidR="00C15C65" w:rsidRPr="002029AF" w14:paraId="71087102" w14:textId="77777777" w:rsidTr="00CA3123">
        <w:trPr>
          <w:gridAfter w:val="1"/>
          <w:wAfter w:w="6" w:type="dxa"/>
          <w:cantSplit/>
        </w:trPr>
        <w:tc>
          <w:tcPr>
            <w:tcW w:w="4750" w:type="dxa"/>
            <w:tcBorders>
              <w:bottom w:val="single" w:sz="4" w:space="0" w:color="BFBFBF"/>
            </w:tcBorders>
            <w:shd w:val="clear" w:color="auto" w:fill="auto"/>
            <w:hideMark/>
          </w:tcPr>
          <w:p w14:paraId="48333297" w14:textId="23302E83" w:rsidR="00C15C65" w:rsidRPr="002029AF" w:rsidRDefault="00C15C65" w:rsidP="00C40F5D">
            <w:pPr>
              <w:pStyle w:val="ARtabletext"/>
            </w:pPr>
            <w:r w:rsidRPr="002029AF">
              <w:t>Number</w:t>
            </w:r>
            <w:r w:rsidR="000A5329" w:rsidRPr="002029AF">
              <w:t xml:space="preserve"> </w:t>
            </w:r>
            <w:r w:rsidRPr="002029AF">
              <w:t>of</w:t>
            </w:r>
            <w:r w:rsidR="000A5329" w:rsidRPr="002029AF">
              <w:t xml:space="preserve"> </w:t>
            </w:r>
            <w:r w:rsidRPr="002029AF">
              <w:t>clients</w:t>
            </w:r>
            <w:r w:rsidR="000A5329" w:rsidRPr="002029AF">
              <w:t xml:space="preserve"> </w:t>
            </w:r>
            <w:r w:rsidRPr="002029AF">
              <w:t>assisted</w:t>
            </w:r>
            <w:r w:rsidR="000A5329" w:rsidRPr="002029AF">
              <w:t xml:space="preserve"> </w:t>
            </w:r>
            <w:r w:rsidRPr="002029AF">
              <w:t>to</w:t>
            </w:r>
            <w:r w:rsidR="000A5329" w:rsidRPr="002029AF">
              <w:t xml:space="preserve"> </w:t>
            </w:r>
            <w:r w:rsidRPr="002029AF">
              <w:t>address</w:t>
            </w:r>
            <w:r w:rsidR="000A5329" w:rsidRPr="002029AF">
              <w:t xml:space="preserve"> </w:t>
            </w:r>
            <w:r w:rsidRPr="002029AF">
              <w:t>and</w:t>
            </w:r>
            <w:r w:rsidR="000A5329" w:rsidRPr="002029AF">
              <w:t xml:space="preserve"> </w:t>
            </w:r>
            <w:r w:rsidRPr="002029AF">
              <w:t>prevent</w:t>
            </w:r>
            <w:r w:rsidR="000A5329" w:rsidRPr="002029AF">
              <w:t xml:space="preserve"> </w:t>
            </w:r>
            <w:r w:rsidRPr="002029AF">
              <w:t>homelessness</w:t>
            </w:r>
            <w:r w:rsidR="000A5329" w:rsidRPr="002029AF">
              <w:t xml:space="preserve"> </w:t>
            </w:r>
            <w:r w:rsidRPr="002029AF">
              <w:t>due</w:t>
            </w:r>
            <w:r w:rsidR="000A5329" w:rsidRPr="002029AF">
              <w:t xml:space="preserve"> </w:t>
            </w:r>
            <w:r w:rsidRPr="002029AF">
              <w:t>to</w:t>
            </w:r>
            <w:r w:rsidR="000A5329" w:rsidRPr="002029AF">
              <w:t xml:space="preserve"> </w:t>
            </w:r>
            <w:r w:rsidRPr="002029AF">
              <w:t>family</w:t>
            </w:r>
            <w:r w:rsidR="000A5329" w:rsidRPr="002029AF">
              <w:t xml:space="preserve"> </w:t>
            </w:r>
            <w:r w:rsidRPr="002029AF">
              <w:t>violence</w:t>
            </w:r>
          </w:p>
        </w:tc>
        <w:tc>
          <w:tcPr>
            <w:tcW w:w="1020" w:type="dxa"/>
            <w:tcBorders>
              <w:bottom w:val="single" w:sz="4" w:space="0" w:color="BFBFBF"/>
            </w:tcBorders>
            <w:shd w:val="clear" w:color="auto" w:fill="auto"/>
            <w:hideMark/>
          </w:tcPr>
          <w:p w14:paraId="6F28B088" w14:textId="77777777" w:rsidR="00C15C65" w:rsidRPr="002029AF" w:rsidRDefault="00C15C65" w:rsidP="00C40F5D">
            <w:pPr>
              <w:pStyle w:val="ARtabletext"/>
            </w:pPr>
            <w:r w:rsidRPr="002029AF">
              <w:t>number</w:t>
            </w:r>
          </w:p>
        </w:tc>
        <w:tc>
          <w:tcPr>
            <w:tcW w:w="1020" w:type="dxa"/>
            <w:tcBorders>
              <w:bottom w:val="single" w:sz="4" w:space="0" w:color="BFBFBF"/>
            </w:tcBorders>
            <w:shd w:val="clear" w:color="auto" w:fill="auto"/>
            <w:hideMark/>
          </w:tcPr>
          <w:p w14:paraId="07093DE8" w14:textId="77777777" w:rsidR="00C15C65" w:rsidRPr="002029AF" w:rsidRDefault="00C15C65" w:rsidP="000024F3">
            <w:pPr>
              <w:pStyle w:val="ARtabletextright"/>
            </w:pPr>
            <w:r w:rsidRPr="002029AF">
              <w:t>53,000</w:t>
            </w:r>
          </w:p>
        </w:tc>
        <w:tc>
          <w:tcPr>
            <w:tcW w:w="1020" w:type="dxa"/>
            <w:tcBorders>
              <w:bottom w:val="single" w:sz="4" w:space="0" w:color="BFBFBF"/>
            </w:tcBorders>
            <w:shd w:val="clear" w:color="auto" w:fill="auto"/>
            <w:hideMark/>
          </w:tcPr>
          <w:p w14:paraId="0898A15C" w14:textId="77777777" w:rsidR="00C15C65" w:rsidRPr="002029AF" w:rsidRDefault="00C15C65" w:rsidP="000024F3">
            <w:pPr>
              <w:pStyle w:val="ARtabletextright"/>
            </w:pPr>
            <w:r w:rsidRPr="002029AF">
              <w:t>53,136</w:t>
            </w:r>
          </w:p>
        </w:tc>
        <w:tc>
          <w:tcPr>
            <w:tcW w:w="1025" w:type="dxa"/>
            <w:tcBorders>
              <w:bottom w:val="single" w:sz="4" w:space="0" w:color="BFBFBF"/>
            </w:tcBorders>
            <w:shd w:val="clear" w:color="auto" w:fill="auto"/>
          </w:tcPr>
          <w:p w14:paraId="6273031D" w14:textId="77777777" w:rsidR="00C15C65" w:rsidRPr="002029AF" w:rsidRDefault="00C15C65" w:rsidP="000024F3">
            <w:pPr>
              <w:pStyle w:val="ARtabletextright"/>
            </w:pPr>
            <w:r w:rsidRPr="002029AF">
              <w:t>0.3</w:t>
            </w:r>
          </w:p>
        </w:tc>
        <w:tc>
          <w:tcPr>
            <w:tcW w:w="798" w:type="dxa"/>
            <w:tcBorders>
              <w:bottom w:val="single" w:sz="4" w:space="0" w:color="BFBFBF"/>
            </w:tcBorders>
            <w:shd w:val="clear" w:color="auto" w:fill="auto"/>
            <w:hideMark/>
          </w:tcPr>
          <w:p w14:paraId="714B4E51"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4A341683" w14:textId="77777777" w:rsidTr="00CA3123">
        <w:trPr>
          <w:gridAfter w:val="1"/>
          <w:wAfter w:w="6" w:type="dxa"/>
          <w:cantSplit/>
        </w:trPr>
        <w:tc>
          <w:tcPr>
            <w:tcW w:w="4750" w:type="dxa"/>
            <w:tcBorders>
              <w:top w:val="single" w:sz="4" w:space="0" w:color="BFBFBF"/>
            </w:tcBorders>
            <w:shd w:val="clear" w:color="auto" w:fill="auto"/>
            <w:hideMark/>
          </w:tcPr>
          <w:p w14:paraId="6BE45608" w14:textId="6CCBF3AB" w:rsidR="00C15C65" w:rsidRPr="002029AF" w:rsidRDefault="00C15C65" w:rsidP="00C40F5D">
            <w:pPr>
              <w:pStyle w:val="ARtabletext"/>
            </w:pPr>
            <w:r w:rsidRPr="002029AF">
              <w:t>Social</w:t>
            </w:r>
            <w:r w:rsidR="000A5329" w:rsidRPr="002029AF">
              <w:t xml:space="preserve"> </w:t>
            </w:r>
            <w:r w:rsidRPr="002029AF">
              <w:t>housing</w:t>
            </w:r>
            <w:r w:rsidR="000A5329" w:rsidRPr="002029AF">
              <w:t xml:space="preserve"> </w:t>
            </w:r>
            <w:r w:rsidRPr="002029AF">
              <w:t>tenants</w:t>
            </w:r>
            <w:r w:rsidR="000A5329" w:rsidRPr="002029AF">
              <w:t xml:space="preserve"> </w:t>
            </w:r>
            <w:r w:rsidRPr="002029AF">
              <w:t>satisfied</w:t>
            </w:r>
            <w:r w:rsidR="000A5329" w:rsidRPr="002029AF">
              <w:t xml:space="preserve"> </w:t>
            </w:r>
            <w:r w:rsidRPr="002029AF">
              <w:t>with</w:t>
            </w:r>
            <w:r w:rsidR="000A5329" w:rsidRPr="002029AF">
              <w:t xml:space="preserve"> </w:t>
            </w:r>
            <w:r w:rsidRPr="002029AF">
              <w:t>completed</w:t>
            </w:r>
            <w:r w:rsidR="000A5329" w:rsidRPr="002029AF">
              <w:t xml:space="preserve"> </w:t>
            </w:r>
            <w:r w:rsidRPr="002029AF">
              <w:t>urgent</w:t>
            </w:r>
            <w:r w:rsidR="000A5329" w:rsidRPr="002029AF">
              <w:t xml:space="preserve"> </w:t>
            </w:r>
            <w:r w:rsidRPr="002029AF">
              <w:t>maintenance</w:t>
            </w:r>
            <w:r w:rsidR="000A5329" w:rsidRPr="002029AF">
              <w:t xml:space="preserve"> </w:t>
            </w:r>
            <w:r w:rsidRPr="002029AF">
              <w:t>works</w:t>
            </w:r>
          </w:p>
        </w:tc>
        <w:tc>
          <w:tcPr>
            <w:tcW w:w="1020" w:type="dxa"/>
            <w:tcBorders>
              <w:top w:val="single" w:sz="4" w:space="0" w:color="BFBFBF"/>
            </w:tcBorders>
            <w:shd w:val="clear" w:color="auto" w:fill="auto"/>
            <w:hideMark/>
          </w:tcPr>
          <w:p w14:paraId="31C557EF" w14:textId="7F0E3109" w:rsidR="00C15C65" w:rsidRPr="002029AF" w:rsidRDefault="00C15C65" w:rsidP="00C40F5D">
            <w:pPr>
              <w:pStyle w:val="ARtabletext"/>
            </w:pPr>
            <w:r w:rsidRPr="002029AF">
              <w:t>per</w:t>
            </w:r>
            <w:r w:rsidR="000A5329" w:rsidRPr="002029AF">
              <w:t xml:space="preserve"> </w:t>
            </w:r>
            <w:r w:rsidRPr="002029AF">
              <w:t>cent</w:t>
            </w:r>
          </w:p>
        </w:tc>
        <w:tc>
          <w:tcPr>
            <w:tcW w:w="1020" w:type="dxa"/>
            <w:tcBorders>
              <w:top w:val="single" w:sz="4" w:space="0" w:color="BFBFBF"/>
            </w:tcBorders>
            <w:shd w:val="clear" w:color="auto" w:fill="auto"/>
            <w:hideMark/>
          </w:tcPr>
          <w:p w14:paraId="7ACB3C5E" w14:textId="77777777" w:rsidR="00C15C65" w:rsidRPr="002029AF" w:rsidRDefault="00C15C65" w:rsidP="000024F3">
            <w:pPr>
              <w:pStyle w:val="ARtabletextright"/>
            </w:pPr>
            <w:r w:rsidRPr="002029AF">
              <w:t>85</w:t>
            </w:r>
          </w:p>
        </w:tc>
        <w:tc>
          <w:tcPr>
            <w:tcW w:w="1020" w:type="dxa"/>
            <w:tcBorders>
              <w:top w:val="single" w:sz="4" w:space="0" w:color="BFBFBF"/>
            </w:tcBorders>
            <w:shd w:val="clear" w:color="auto" w:fill="auto"/>
            <w:hideMark/>
          </w:tcPr>
          <w:p w14:paraId="61D7EC77" w14:textId="77777777" w:rsidR="00C15C65" w:rsidRPr="002029AF" w:rsidRDefault="00C15C65" w:rsidP="000024F3">
            <w:pPr>
              <w:pStyle w:val="ARtabletextright"/>
            </w:pPr>
            <w:r w:rsidRPr="002029AF">
              <w:t>89.7</w:t>
            </w:r>
          </w:p>
        </w:tc>
        <w:tc>
          <w:tcPr>
            <w:tcW w:w="1025" w:type="dxa"/>
            <w:tcBorders>
              <w:top w:val="single" w:sz="4" w:space="0" w:color="BFBFBF"/>
            </w:tcBorders>
            <w:shd w:val="clear" w:color="auto" w:fill="auto"/>
          </w:tcPr>
          <w:p w14:paraId="3397770F" w14:textId="77777777" w:rsidR="00C15C65" w:rsidRPr="002029AF" w:rsidRDefault="00C15C65" w:rsidP="000024F3">
            <w:pPr>
              <w:pStyle w:val="ARtabletextright"/>
            </w:pPr>
            <w:r w:rsidRPr="002029AF">
              <w:t>5.5</w:t>
            </w:r>
          </w:p>
        </w:tc>
        <w:tc>
          <w:tcPr>
            <w:tcW w:w="798" w:type="dxa"/>
            <w:tcBorders>
              <w:top w:val="single" w:sz="4" w:space="0" w:color="BFBFBF"/>
            </w:tcBorders>
            <w:shd w:val="clear" w:color="auto" w:fill="auto"/>
            <w:hideMark/>
          </w:tcPr>
          <w:p w14:paraId="54BF4E85"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21ED35DE" w14:textId="77777777" w:rsidTr="005B58F0">
        <w:trPr>
          <w:cantSplit/>
        </w:trPr>
        <w:tc>
          <w:tcPr>
            <w:tcW w:w="9639" w:type="dxa"/>
            <w:gridSpan w:val="7"/>
            <w:tcBorders>
              <w:top w:val="single" w:sz="4" w:space="0" w:color="auto"/>
              <w:left w:val="nil"/>
              <w:right w:val="nil"/>
            </w:tcBorders>
            <w:hideMark/>
          </w:tcPr>
          <w:p w14:paraId="6B511DB2" w14:textId="77777777" w:rsidR="00C15C65" w:rsidRPr="002029AF" w:rsidRDefault="00C15C65" w:rsidP="00D96AFD">
            <w:pPr>
              <w:pStyle w:val="ARtablegreybold"/>
            </w:pPr>
            <w:r w:rsidRPr="002029AF">
              <w:t>Quality</w:t>
            </w:r>
          </w:p>
        </w:tc>
      </w:tr>
      <w:tr w:rsidR="00C15C65" w:rsidRPr="002029AF" w14:paraId="4E19DAEC" w14:textId="77777777" w:rsidTr="00CA3123">
        <w:trPr>
          <w:gridAfter w:val="1"/>
          <w:wAfter w:w="6" w:type="dxa"/>
          <w:cantSplit/>
        </w:trPr>
        <w:tc>
          <w:tcPr>
            <w:tcW w:w="4750" w:type="dxa"/>
            <w:shd w:val="clear" w:color="auto" w:fill="auto"/>
            <w:hideMark/>
          </w:tcPr>
          <w:p w14:paraId="24385766" w14:textId="68291E4E" w:rsidR="00C15C65" w:rsidRPr="002029AF" w:rsidRDefault="00C15C65" w:rsidP="00C40F5D">
            <w:pPr>
              <w:pStyle w:val="ARtabletext"/>
            </w:pPr>
            <w:r w:rsidRPr="002029AF">
              <w:t>Social</w:t>
            </w:r>
            <w:r w:rsidR="000A5329" w:rsidRPr="002029AF">
              <w:t xml:space="preserve"> </w:t>
            </w:r>
            <w:r w:rsidRPr="002029AF">
              <w:t>housing</w:t>
            </w:r>
            <w:r w:rsidR="000A5329" w:rsidRPr="002029AF">
              <w:t xml:space="preserve"> </w:t>
            </w:r>
            <w:r w:rsidRPr="002029AF">
              <w:t>tenants</w:t>
            </w:r>
            <w:r w:rsidR="000A5329" w:rsidRPr="002029AF">
              <w:t xml:space="preserve"> </w:t>
            </w:r>
            <w:r w:rsidRPr="002029AF">
              <w:t>satisfied</w:t>
            </w:r>
            <w:r w:rsidR="000A5329" w:rsidRPr="002029AF">
              <w:t xml:space="preserve"> </w:t>
            </w:r>
            <w:r w:rsidRPr="002029AF">
              <w:t>with</w:t>
            </w:r>
            <w:r w:rsidR="000A5329" w:rsidRPr="002029AF">
              <w:t xml:space="preserve"> </w:t>
            </w:r>
            <w:r w:rsidRPr="002029AF">
              <w:t>completed</w:t>
            </w:r>
            <w:r w:rsidR="000A5329" w:rsidRPr="002029AF">
              <w:t xml:space="preserve"> </w:t>
            </w:r>
            <w:r w:rsidRPr="002029AF">
              <w:t>non-urgent</w:t>
            </w:r>
            <w:r w:rsidR="000A5329" w:rsidRPr="002029AF">
              <w:t xml:space="preserve"> </w:t>
            </w:r>
            <w:r w:rsidRPr="002029AF">
              <w:t>maintenance</w:t>
            </w:r>
            <w:r w:rsidR="000A5329" w:rsidRPr="002029AF">
              <w:t xml:space="preserve"> </w:t>
            </w:r>
            <w:r w:rsidRPr="002029AF">
              <w:t>works</w:t>
            </w:r>
          </w:p>
        </w:tc>
        <w:tc>
          <w:tcPr>
            <w:tcW w:w="1020" w:type="dxa"/>
            <w:shd w:val="clear" w:color="auto" w:fill="auto"/>
            <w:hideMark/>
          </w:tcPr>
          <w:p w14:paraId="207D9E0D" w14:textId="77777777" w:rsidR="00C15C65" w:rsidRPr="002029AF" w:rsidRDefault="00C15C65" w:rsidP="00C40F5D">
            <w:pPr>
              <w:pStyle w:val="ARtabletext"/>
            </w:pPr>
            <w:r w:rsidRPr="002029AF">
              <w:t>number</w:t>
            </w:r>
          </w:p>
        </w:tc>
        <w:tc>
          <w:tcPr>
            <w:tcW w:w="1020" w:type="dxa"/>
            <w:shd w:val="clear" w:color="auto" w:fill="auto"/>
            <w:hideMark/>
          </w:tcPr>
          <w:p w14:paraId="0E2522D5" w14:textId="77777777" w:rsidR="00C15C65" w:rsidRPr="002029AF" w:rsidRDefault="00C15C65" w:rsidP="000024F3">
            <w:pPr>
              <w:pStyle w:val="ARtabletextright"/>
            </w:pPr>
            <w:r w:rsidRPr="002029AF">
              <w:t>80</w:t>
            </w:r>
          </w:p>
        </w:tc>
        <w:tc>
          <w:tcPr>
            <w:tcW w:w="1020" w:type="dxa"/>
            <w:shd w:val="clear" w:color="auto" w:fill="auto"/>
            <w:hideMark/>
          </w:tcPr>
          <w:p w14:paraId="41B5EB25" w14:textId="77777777" w:rsidR="00C15C65" w:rsidRPr="002029AF" w:rsidRDefault="00C15C65" w:rsidP="000024F3">
            <w:pPr>
              <w:pStyle w:val="ARtabletextright"/>
            </w:pPr>
            <w:r w:rsidRPr="002029AF">
              <w:t>73.6</w:t>
            </w:r>
          </w:p>
        </w:tc>
        <w:tc>
          <w:tcPr>
            <w:tcW w:w="1025" w:type="dxa"/>
            <w:shd w:val="clear" w:color="auto" w:fill="auto"/>
          </w:tcPr>
          <w:p w14:paraId="7B0AB2E5" w14:textId="77777777" w:rsidR="00C15C65" w:rsidRPr="002029AF" w:rsidRDefault="00C15C65" w:rsidP="000024F3">
            <w:pPr>
              <w:pStyle w:val="ARtabletextright"/>
            </w:pPr>
            <w:r w:rsidRPr="002029AF">
              <w:t>-8.0</w:t>
            </w:r>
          </w:p>
        </w:tc>
        <w:tc>
          <w:tcPr>
            <w:tcW w:w="798" w:type="dxa"/>
            <w:shd w:val="clear" w:color="auto" w:fill="auto"/>
            <w:hideMark/>
          </w:tcPr>
          <w:p w14:paraId="647DEDD4"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30E12BA8" w14:textId="77777777" w:rsidTr="005B58F0">
        <w:trPr>
          <w:gridAfter w:val="1"/>
          <w:wAfter w:w="6" w:type="dxa"/>
          <w:cantSplit/>
        </w:trPr>
        <w:tc>
          <w:tcPr>
            <w:tcW w:w="9633" w:type="dxa"/>
            <w:gridSpan w:val="6"/>
            <w:tcBorders>
              <w:bottom w:val="single" w:sz="4" w:space="0" w:color="BFBFBF"/>
            </w:tcBorders>
            <w:shd w:val="clear" w:color="auto" w:fill="auto"/>
            <w:noWrap/>
            <w:hideMark/>
          </w:tcPr>
          <w:p w14:paraId="50F061B5" w14:textId="1F43FF20" w:rsidR="00C15C65" w:rsidRPr="002029AF" w:rsidRDefault="00C15C65" w:rsidP="00D96AFD">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lower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the</w:t>
            </w:r>
            <w:r w:rsidR="000A5329" w:rsidRPr="002029AF">
              <w:t xml:space="preserve"> </w:t>
            </w:r>
            <w:r w:rsidRPr="002029AF">
              <w:t>prioritisation</w:t>
            </w:r>
            <w:r w:rsidR="000A5329" w:rsidRPr="002029AF">
              <w:t xml:space="preserve"> </w:t>
            </w:r>
            <w:r w:rsidRPr="002029AF">
              <w:t>of</w:t>
            </w:r>
            <w:r w:rsidR="000A5329" w:rsidRPr="002029AF">
              <w:t xml:space="preserve"> </w:t>
            </w:r>
            <w:r w:rsidRPr="002029AF">
              <w:t>urgent</w:t>
            </w:r>
            <w:r w:rsidR="000A5329" w:rsidRPr="002029AF">
              <w:t xml:space="preserve"> </w:t>
            </w:r>
            <w:r w:rsidRPr="002029AF">
              <w:t>and</w:t>
            </w:r>
            <w:r w:rsidR="000A5329" w:rsidRPr="002029AF">
              <w:t xml:space="preserve"> </w:t>
            </w:r>
            <w:r w:rsidRPr="002029AF">
              <w:t>essential</w:t>
            </w:r>
            <w:r w:rsidR="000A5329" w:rsidRPr="002029AF">
              <w:t xml:space="preserve"> </w:t>
            </w:r>
            <w:r w:rsidRPr="002029AF">
              <w:t>works</w:t>
            </w:r>
            <w:r w:rsidR="000A5329" w:rsidRPr="002029AF">
              <w:t xml:space="preserve"> </w:t>
            </w:r>
            <w:r w:rsidRPr="002029AF">
              <w:t>during</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Ensuring</w:t>
            </w:r>
            <w:r w:rsidR="000A5329" w:rsidRPr="002029AF">
              <w:t xml:space="preserve"> </w:t>
            </w:r>
            <w:r w:rsidRPr="002029AF">
              <w:t>safe</w:t>
            </w:r>
            <w:r w:rsidR="000A5329" w:rsidRPr="002029AF">
              <w:t xml:space="preserve"> </w:t>
            </w:r>
            <w:r w:rsidRPr="002029AF">
              <w:t>practices</w:t>
            </w:r>
            <w:r w:rsidR="000A5329" w:rsidRPr="002029AF">
              <w:t xml:space="preserve"> </w:t>
            </w:r>
            <w:r w:rsidRPr="002029AF">
              <w:t>during</w:t>
            </w:r>
            <w:r w:rsidR="000A5329" w:rsidRPr="002029AF">
              <w:t xml:space="preserve"> </w:t>
            </w:r>
            <w:r w:rsidRPr="002029AF">
              <w:t>this</w:t>
            </w:r>
            <w:r w:rsidR="000A5329" w:rsidRPr="002029AF">
              <w:t xml:space="preserve"> </w:t>
            </w:r>
            <w:r w:rsidRPr="002029AF">
              <w:t>period</w:t>
            </w:r>
            <w:r w:rsidR="000A5329" w:rsidRPr="002029AF">
              <w:t xml:space="preserve"> </w:t>
            </w:r>
            <w:r w:rsidRPr="002029AF">
              <w:t>has</w:t>
            </w:r>
            <w:r w:rsidR="000A5329" w:rsidRPr="002029AF">
              <w:t xml:space="preserve"> </w:t>
            </w:r>
            <w:r w:rsidRPr="002029AF">
              <w:t>also</w:t>
            </w:r>
            <w:r w:rsidR="000A5329" w:rsidRPr="002029AF">
              <w:t xml:space="preserve"> </w:t>
            </w:r>
            <w:r w:rsidRPr="002029AF">
              <w:t>contributed</w:t>
            </w:r>
            <w:r w:rsidR="000A5329" w:rsidRPr="002029AF">
              <w:t xml:space="preserve"> </w:t>
            </w:r>
            <w:r w:rsidRPr="002029AF">
              <w:t>to</w:t>
            </w:r>
            <w:r w:rsidR="000A5329" w:rsidRPr="002029AF">
              <w:t xml:space="preserve"> </w:t>
            </w:r>
            <w:r w:rsidRPr="002029AF">
              <w:t>this</w:t>
            </w:r>
            <w:r w:rsidR="000A5329" w:rsidRPr="002029AF">
              <w:t xml:space="preserve"> </w:t>
            </w:r>
            <w:r w:rsidRPr="002029AF">
              <w:t>result.</w:t>
            </w:r>
          </w:p>
        </w:tc>
      </w:tr>
      <w:tr w:rsidR="00C15C65" w:rsidRPr="002029AF" w14:paraId="1F985AFF" w14:textId="77777777" w:rsidTr="00CA3123">
        <w:trPr>
          <w:gridAfter w:val="1"/>
          <w:wAfter w:w="6" w:type="dxa"/>
          <w:cantSplit/>
        </w:trPr>
        <w:tc>
          <w:tcPr>
            <w:tcW w:w="4750" w:type="dxa"/>
            <w:shd w:val="clear" w:color="auto" w:fill="auto"/>
            <w:hideMark/>
          </w:tcPr>
          <w:p w14:paraId="495489C6" w14:textId="7E6C59EF" w:rsidR="00C15C65" w:rsidRPr="002029AF" w:rsidRDefault="00C15C65" w:rsidP="00860E95">
            <w:pPr>
              <w:pStyle w:val="ARtabletext"/>
              <w:keepNext/>
            </w:pPr>
            <w:r w:rsidRPr="002029AF">
              <w:t>Average</w:t>
            </w:r>
            <w:r w:rsidR="000A5329" w:rsidRPr="002029AF">
              <w:t xml:space="preserve"> </w:t>
            </w:r>
            <w:r w:rsidRPr="002029AF">
              <w:t>waiting</w:t>
            </w:r>
            <w:r w:rsidR="000A5329" w:rsidRPr="002029AF">
              <w:t xml:space="preserve"> </w:t>
            </w:r>
            <w:r w:rsidRPr="002029AF">
              <w:t>time</w:t>
            </w:r>
            <w:r w:rsidR="000A5329" w:rsidRPr="002029AF">
              <w:t xml:space="preserve"> </w:t>
            </w:r>
            <w:r w:rsidRPr="002029AF">
              <w:t>for</w:t>
            </w:r>
            <w:r w:rsidR="000A5329" w:rsidRPr="002029AF">
              <w:t xml:space="preserve"> </w:t>
            </w:r>
            <w:r w:rsidRPr="002029AF">
              <w:t>public</w:t>
            </w:r>
            <w:r w:rsidR="000A5329" w:rsidRPr="002029AF">
              <w:t xml:space="preserve"> </w:t>
            </w:r>
            <w:r w:rsidRPr="002029AF">
              <w:t>rental</w:t>
            </w:r>
            <w:r w:rsidR="000A5329" w:rsidRPr="002029AF">
              <w:t xml:space="preserve"> </w:t>
            </w:r>
            <w:r w:rsidRPr="002029AF">
              <w:t>housing</w:t>
            </w:r>
            <w:r w:rsidR="000A5329" w:rsidRPr="002029AF">
              <w:t xml:space="preserve"> </w:t>
            </w:r>
            <w:r w:rsidRPr="002029AF">
              <w:t>for</w:t>
            </w:r>
            <w:r w:rsidR="000A5329" w:rsidRPr="002029AF">
              <w:t xml:space="preserve"> </w:t>
            </w:r>
            <w:r w:rsidRPr="002029AF">
              <w:t>those</w:t>
            </w:r>
            <w:r w:rsidR="000A5329" w:rsidRPr="002029AF">
              <w:t xml:space="preserve"> </w:t>
            </w:r>
            <w:r w:rsidRPr="002029AF">
              <w:t>clients</w:t>
            </w:r>
            <w:r w:rsidR="000A5329" w:rsidRPr="002029AF">
              <w:t xml:space="preserve"> </w:t>
            </w:r>
            <w:r w:rsidRPr="002029AF">
              <w:t>who</w:t>
            </w:r>
            <w:r w:rsidR="000A5329" w:rsidRPr="002029AF">
              <w:t xml:space="preserve"> </w:t>
            </w:r>
            <w:r w:rsidRPr="002029AF">
              <w:t>have</w:t>
            </w:r>
            <w:r w:rsidR="000A5329" w:rsidRPr="002029AF">
              <w:t xml:space="preserve"> </w:t>
            </w:r>
            <w:r w:rsidRPr="002029AF">
              <w:t>received</w:t>
            </w:r>
            <w:r w:rsidR="000A5329" w:rsidRPr="002029AF">
              <w:t xml:space="preserve"> </w:t>
            </w:r>
            <w:r w:rsidRPr="002029AF">
              <w:t>priority</w:t>
            </w:r>
            <w:r w:rsidR="000A5329" w:rsidRPr="002029AF">
              <w:t xml:space="preserve"> </w:t>
            </w:r>
            <w:r w:rsidRPr="002029AF">
              <w:t>access</w:t>
            </w:r>
            <w:r w:rsidR="000A5329" w:rsidRPr="002029AF">
              <w:t xml:space="preserve"> </w:t>
            </w:r>
            <w:r w:rsidRPr="002029AF">
              <w:t>housing</w:t>
            </w:r>
            <w:r w:rsidR="000A5329" w:rsidRPr="002029AF">
              <w:t xml:space="preserve"> </w:t>
            </w:r>
            <w:r w:rsidRPr="002029AF">
              <w:t>allocation</w:t>
            </w:r>
            <w:r w:rsidR="000A5329" w:rsidRPr="002029AF">
              <w:t xml:space="preserve"> </w:t>
            </w:r>
            <w:r w:rsidRPr="002029AF">
              <w:t>or</w:t>
            </w:r>
            <w:r w:rsidR="000A5329" w:rsidRPr="002029AF">
              <w:t xml:space="preserve"> </w:t>
            </w:r>
            <w:r w:rsidRPr="002029AF">
              <w:t>a</w:t>
            </w:r>
            <w:r w:rsidR="000A5329" w:rsidRPr="002029AF">
              <w:t xml:space="preserve"> </w:t>
            </w:r>
            <w:r w:rsidRPr="002029AF">
              <w:t>priority</w:t>
            </w:r>
            <w:r w:rsidR="000A5329" w:rsidRPr="002029AF">
              <w:t xml:space="preserve"> </w:t>
            </w:r>
            <w:r w:rsidRPr="002029AF">
              <w:t>transfer</w:t>
            </w:r>
          </w:p>
        </w:tc>
        <w:tc>
          <w:tcPr>
            <w:tcW w:w="1020" w:type="dxa"/>
            <w:shd w:val="clear" w:color="auto" w:fill="auto"/>
            <w:hideMark/>
          </w:tcPr>
          <w:p w14:paraId="4B363E2E" w14:textId="77777777" w:rsidR="00C15C65" w:rsidRPr="002029AF" w:rsidRDefault="00C15C65" w:rsidP="00C40F5D">
            <w:pPr>
              <w:pStyle w:val="ARtabletext"/>
            </w:pPr>
            <w:r w:rsidRPr="002029AF">
              <w:t>months</w:t>
            </w:r>
          </w:p>
        </w:tc>
        <w:tc>
          <w:tcPr>
            <w:tcW w:w="1020" w:type="dxa"/>
            <w:shd w:val="clear" w:color="auto" w:fill="auto"/>
            <w:hideMark/>
          </w:tcPr>
          <w:p w14:paraId="7AFC4EF6" w14:textId="77777777" w:rsidR="00C15C65" w:rsidRPr="002029AF" w:rsidRDefault="00C15C65" w:rsidP="000024F3">
            <w:pPr>
              <w:pStyle w:val="ARtabletextright"/>
            </w:pPr>
            <w:r w:rsidRPr="002029AF">
              <w:t>10.5</w:t>
            </w:r>
          </w:p>
        </w:tc>
        <w:tc>
          <w:tcPr>
            <w:tcW w:w="1020" w:type="dxa"/>
            <w:shd w:val="clear" w:color="auto" w:fill="auto"/>
            <w:hideMark/>
          </w:tcPr>
          <w:p w14:paraId="3C6E34EB" w14:textId="77777777" w:rsidR="00C15C65" w:rsidRPr="002029AF" w:rsidRDefault="00C15C65" w:rsidP="000024F3">
            <w:pPr>
              <w:pStyle w:val="ARtabletextright"/>
            </w:pPr>
            <w:r w:rsidRPr="002029AF">
              <w:t>12</w:t>
            </w:r>
          </w:p>
        </w:tc>
        <w:tc>
          <w:tcPr>
            <w:tcW w:w="1025" w:type="dxa"/>
            <w:shd w:val="clear" w:color="auto" w:fill="auto"/>
          </w:tcPr>
          <w:p w14:paraId="6AF0F775" w14:textId="77777777" w:rsidR="00C15C65" w:rsidRPr="002029AF" w:rsidRDefault="00C15C65" w:rsidP="000024F3">
            <w:pPr>
              <w:pStyle w:val="ARtabletextright"/>
            </w:pPr>
            <w:r w:rsidRPr="002029AF">
              <w:t>14.3</w:t>
            </w:r>
          </w:p>
        </w:tc>
        <w:tc>
          <w:tcPr>
            <w:tcW w:w="798" w:type="dxa"/>
            <w:shd w:val="clear" w:color="auto" w:fill="auto"/>
            <w:hideMark/>
          </w:tcPr>
          <w:p w14:paraId="39522669"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7A4E76DA" w14:textId="77777777" w:rsidTr="005B58F0">
        <w:trPr>
          <w:gridAfter w:val="1"/>
          <w:wAfter w:w="6" w:type="dxa"/>
          <w:cantSplit/>
        </w:trPr>
        <w:tc>
          <w:tcPr>
            <w:tcW w:w="9633" w:type="dxa"/>
            <w:gridSpan w:val="6"/>
            <w:tcBorders>
              <w:bottom w:val="single" w:sz="4" w:space="0" w:color="BFBFBF"/>
            </w:tcBorders>
            <w:shd w:val="clear" w:color="auto" w:fill="auto"/>
            <w:noWrap/>
            <w:hideMark/>
          </w:tcPr>
          <w:p w14:paraId="32E79BBD" w14:textId="37252BD7" w:rsidR="00C15C65" w:rsidRPr="002029AF" w:rsidRDefault="00C15C65" w:rsidP="00D96AFD">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a</w:t>
            </w:r>
            <w:r w:rsidR="000A5329" w:rsidRPr="002029AF">
              <w:t xml:space="preserve"> </w:t>
            </w:r>
            <w:r w:rsidRPr="002029AF">
              <w:t>decrease</w:t>
            </w:r>
            <w:r w:rsidR="000A5329" w:rsidRPr="002029AF">
              <w:t xml:space="preserve"> </w:t>
            </w:r>
            <w:r w:rsidRPr="002029AF">
              <w:t>in</w:t>
            </w:r>
            <w:r w:rsidR="000A5329" w:rsidRPr="002029AF">
              <w:t xml:space="preserve"> </w:t>
            </w:r>
            <w:r w:rsidRPr="002029AF">
              <w:t>tenants</w:t>
            </w:r>
            <w:r w:rsidR="000A5329" w:rsidRPr="002029AF">
              <w:t xml:space="preserve"> </w:t>
            </w:r>
            <w:r w:rsidRPr="002029AF">
              <w:t>moving</w:t>
            </w:r>
            <w:r w:rsidR="000A5329" w:rsidRPr="002029AF">
              <w:t xml:space="preserve"> </w:t>
            </w:r>
            <w:r w:rsidRPr="002029AF">
              <w:t>out</w:t>
            </w:r>
            <w:r w:rsidR="000A5329" w:rsidRPr="002029AF">
              <w:t xml:space="preserve"> </w:t>
            </w:r>
            <w:r w:rsidRPr="002029AF">
              <w:t>of</w:t>
            </w:r>
            <w:r w:rsidR="000A5329" w:rsidRPr="002029AF">
              <w:t xml:space="preserve"> </w:t>
            </w:r>
            <w:r w:rsidRPr="002029AF">
              <w:t>public</w:t>
            </w:r>
            <w:r w:rsidR="000A5329" w:rsidRPr="002029AF">
              <w:t xml:space="preserve"> </w:t>
            </w:r>
            <w:r w:rsidRPr="002029AF">
              <w:t>housing</w:t>
            </w:r>
            <w:r w:rsidR="000A5329" w:rsidRPr="002029AF">
              <w:t xml:space="preserve"> </w:t>
            </w:r>
            <w:r w:rsidRPr="002029AF">
              <w:t>which</w:t>
            </w:r>
            <w:r w:rsidR="000A5329" w:rsidRPr="002029AF">
              <w:t xml:space="preserve"> </w:t>
            </w:r>
            <w:r w:rsidRPr="002029AF">
              <w:t>has</w:t>
            </w:r>
            <w:r w:rsidR="000A5329" w:rsidRPr="002029AF">
              <w:t xml:space="preserve"> </w:t>
            </w:r>
            <w:r w:rsidRPr="002029AF">
              <w:t>provided</w:t>
            </w:r>
            <w:r w:rsidR="000A5329" w:rsidRPr="002029AF">
              <w:t xml:space="preserve"> </w:t>
            </w:r>
            <w:r w:rsidRPr="002029AF">
              <w:t>fewer</w:t>
            </w:r>
            <w:r w:rsidR="000A5329" w:rsidRPr="002029AF">
              <w:t xml:space="preserve"> </w:t>
            </w:r>
            <w:r w:rsidRPr="002029AF">
              <w:t>opportunities</w:t>
            </w:r>
            <w:r w:rsidR="000A5329" w:rsidRPr="002029AF">
              <w:t xml:space="preserve"> </w:t>
            </w:r>
            <w:r w:rsidRPr="002029AF">
              <w:t>for</w:t>
            </w:r>
            <w:r w:rsidR="000A5329" w:rsidRPr="002029AF">
              <w:t xml:space="preserve"> </w:t>
            </w:r>
            <w:r w:rsidRPr="002029AF">
              <w:t>allocations</w:t>
            </w:r>
            <w:r w:rsidR="000A5329" w:rsidRPr="002029AF">
              <w:t xml:space="preserve"> </w:t>
            </w:r>
            <w:r w:rsidRPr="002029AF">
              <w:t>of</w:t>
            </w:r>
            <w:r w:rsidR="000A5329" w:rsidRPr="002029AF">
              <w:t xml:space="preserve"> </w:t>
            </w:r>
            <w:r w:rsidRPr="002029AF">
              <w:t>properties</w:t>
            </w:r>
            <w:r w:rsidR="000A5329" w:rsidRPr="002029AF">
              <w:t xml:space="preserve"> </w:t>
            </w:r>
            <w:r w:rsidRPr="002029AF">
              <w:t>to</w:t>
            </w:r>
            <w:r w:rsidR="000A5329" w:rsidRPr="002029AF">
              <w:t xml:space="preserve"> </w:t>
            </w:r>
            <w:r w:rsidRPr="002029AF">
              <w:t>people</w:t>
            </w:r>
            <w:r w:rsidR="000A5329" w:rsidRPr="002029AF">
              <w:t xml:space="preserve"> </w:t>
            </w:r>
            <w:r w:rsidRPr="002029AF">
              <w:t>on</w:t>
            </w:r>
            <w:r w:rsidR="000A5329" w:rsidRPr="002029AF">
              <w:t xml:space="preserve"> </w:t>
            </w:r>
            <w:r w:rsidRPr="002029AF">
              <w:t>the</w:t>
            </w:r>
            <w:r w:rsidR="000A5329" w:rsidRPr="002029AF">
              <w:t xml:space="preserve"> </w:t>
            </w:r>
            <w:r w:rsidRPr="002029AF">
              <w:t>register.</w:t>
            </w:r>
          </w:p>
        </w:tc>
      </w:tr>
      <w:tr w:rsidR="00C15C65" w:rsidRPr="002029AF" w14:paraId="3E135F27" w14:textId="77777777" w:rsidTr="005B58F0">
        <w:trPr>
          <w:cantSplit/>
        </w:trPr>
        <w:tc>
          <w:tcPr>
            <w:tcW w:w="9639" w:type="dxa"/>
            <w:gridSpan w:val="7"/>
            <w:tcBorders>
              <w:top w:val="single" w:sz="4" w:space="0" w:color="auto"/>
              <w:left w:val="nil"/>
              <w:right w:val="nil"/>
            </w:tcBorders>
            <w:hideMark/>
          </w:tcPr>
          <w:p w14:paraId="2F327731" w14:textId="77777777" w:rsidR="00C15C65" w:rsidRPr="002029AF" w:rsidRDefault="00C15C65" w:rsidP="007666A5">
            <w:pPr>
              <w:pStyle w:val="ARtablegreybold"/>
            </w:pPr>
            <w:r w:rsidRPr="002029AF">
              <w:t>Timeliness</w:t>
            </w:r>
          </w:p>
        </w:tc>
      </w:tr>
      <w:tr w:rsidR="00C15C65" w:rsidRPr="002029AF" w14:paraId="3F091CB3" w14:textId="77777777" w:rsidTr="00CA3123">
        <w:trPr>
          <w:gridAfter w:val="1"/>
          <w:wAfter w:w="6" w:type="dxa"/>
          <w:cantSplit/>
        </w:trPr>
        <w:tc>
          <w:tcPr>
            <w:tcW w:w="4750" w:type="dxa"/>
            <w:shd w:val="clear" w:color="auto" w:fill="auto"/>
            <w:hideMark/>
          </w:tcPr>
          <w:p w14:paraId="08363888" w14:textId="12F28C4B" w:rsidR="00C15C65" w:rsidRPr="002029AF" w:rsidRDefault="00C15C65" w:rsidP="00C40F5D">
            <w:pPr>
              <w:pStyle w:val="ARtabletext"/>
            </w:pPr>
            <w:r w:rsidRPr="002029AF">
              <w:t>Average</w:t>
            </w:r>
            <w:r w:rsidR="000A5329" w:rsidRPr="002029AF">
              <w:t xml:space="preserve"> </w:t>
            </w:r>
            <w:r w:rsidRPr="002029AF">
              <w:t>waiting</w:t>
            </w:r>
            <w:r w:rsidR="000A5329" w:rsidRPr="002029AF">
              <w:t xml:space="preserve"> </w:t>
            </w:r>
            <w:r w:rsidRPr="002029AF">
              <w:t>time</w:t>
            </w:r>
            <w:r w:rsidR="000A5329" w:rsidRPr="002029AF">
              <w:t xml:space="preserve"> </w:t>
            </w:r>
            <w:r w:rsidRPr="002029AF">
              <w:t>for</w:t>
            </w:r>
            <w:r w:rsidR="000A5329" w:rsidRPr="002029AF">
              <w:t xml:space="preserve"> </w:t>
            </w:r>
            <w:r w:rsidRPr="002029AF">
              <w:t>public</w:t>
            </w:r>
            <w:r w:rsidR="000A5329" w:rsidRPr="002029AF">
              <w:t xml:space="preserve"> </w:t>
            </w:r>
            <w:r w:rsidRPr="002029AF">
              <w:t>rental</w:t>
            </w:r>
            <w:r w:rsidR="000A5329" w:rsidRPr="002029AF">
              <w:t xml:space="preserve"> </w:t>
            </w:r>
            <w:r w:rsidRPr="002029AF">
              <w:t>housing</w:t>
            </w:r>
            <w:r w:rsidR="000A5329" w:rsidRPr="002029AF">
              <w:t xml:space="preserve"> </w:t>
            </w:r>
            <w:r w:rsidRPr="002029AF">
              <w:t>for</w:t>
            </w:r>
            <w:r w:rsidR="000A5329" w:rsidRPr="002029AF">
              <w:t xml:space="preserve"> </w:t>
            </w:r>
            <w:r w:rsidRPr="002029AF">
              <w:t>clients</w:t>
            </w:r>
            <w:r w:rsidR="000A5329" w:rsidRPr="002029AF">
              <w:t xml:space="preserve"> </w:t>
            </w:r>
            <w:r w:rsidRPr="002029AF">
              <w:t>who</w:t>
            </w:r>
            <w:r w:rsidR="000A5329" w:rsidRPr="002029AF">
              <w:t xml:space="preserve"> </w:t>
            </w:r>
            <w:r w:rsidRPr="002029AF">
              <w:t>have</w:t>
            </w:r>
            <w:r w:rsidR="000A5329" w:rsidRPr="002029AF">
              <w:t xml:space="preserve"> </w:t>
            </w:r>
            <w:r w:rsidRPr="002029AF">
              <w:t>received</w:t>
            </w:r>
            <w:r w:rsidR="000A5329" w:rsidRPr="002029AF">
              <w:t xml:space="preserve"> </w:t>
            </w:r>
            <w:r w:rsidRPr="002029AF">
              <w:t>a</w:t>
            </w:r>
            <w:r w:rsidR="000A5329" w:rsidRPr="002029AF">
              <w:t xml:space="preserve"> </w:t>
            </w:r>
            <w:r w:rsidRPr="002029AF">
              <w:t>priority</w:t>
            </w:r>
            <w:r w:rsidR="000A5329" w:rsidRPr="002029AF">
              <w:t xml:space="preserve"> </w:t>
            </w:r>
            <w:r w:rsidRPr="002029AF">
              <w:t>access</w:t>
            </w:r>
            <w:r w:rsidR="000A5329" w:rsidRPr="002029AF">
              <w:t xml:space="preserve"> </w:t>
            </w:r>
            <w:r w:rsidRPr="002029AF">
              <w:t>housing</w:t>
            </w:r>
            <w:r w:rsidR="000A5329" w:rsidRPr="002029AF">
              <w:t xml:space="preserve"> </w:t>
            </w:r>
            <w:r w:rsidRPr="002029AF">
              <w:t>or</w:t>
            </w:r>
            <w:r w:rsidR="000A5329" w:rsidRPr="002029AF">
              <w:t xml:space="preserve"> </w:t>
            </w:r>
            <w:r w:rsidRPr="002029AF">
              <w:t>priority</w:t>
            </w:r>
            <w:r w:rsidR="000A5329" w:rsidRPr="002029AF">
              <w:t xml:space="preserve"> </w:t>
            </w:r>
            <w:r w:rsidRPr="002029AF">
              <w:t>transfer</w:t>
            </w:r>
            <w:r w:rsidR="000A5329" w:rsidRPr="002029AF">
              <w:t xml:space="preserve"> </w:t>
            </w:r>
            <w:r w:rsidRPr="002029AF">
              <w:t>allocation</w:t>
            </w:r>
            <w:r w:rsidR="000A5329" w:rsidRPr="002029AF">
              <w:t xml:space="preserve"> </w:t>
            </w:r>
            <w:r w:rsidRPr="002029AF">
              <w:t>due</w:t>
            </w:r>
            <w:r w:rsidR="000A5329" w:rsidRPr="002029AF">
              <w:t xml:space="preserve"> </w:t>
            </w:r>
            <w:r w:rsidRPr="002029AF">
              <w:t>to</w:t>
            </w:r>
            <w:r w:rsidR="000A5329" w:rsidRPr="002029AF">
              <w:t xml:space="preserve"> </w:t>
            </w:r>
            <w:r w:rsidRPr="002029AF">
              <w:t>family</w:t>
            </w:r>
            <w:r w:rsidR="000A5329" w:rsidRPr="002029AF">
              <w:t xml:space="preserve"> </w:t>
            </w:r>
            <w:r w:rsidRPr="002029AF">
              <w:t>violence</w:t>
            </w:r>
          </w:p>
        </w:tc>
        <w:tc>
          <w:tcPr>
            <w:tcW w:w="1020" w:type="dxa"/>
            <w:shd w:val="clear" w:color="auto" w:fill="auto"/>
            <w:hideMark/>
          </w:tcPr>
          <w:p w14:paraId="23237952" w14:textId="77777777" w:rsidR="00C15C65" w:rsidRPr="002029AF" w:rsidRDefault="00C15C65" w:rsidP="00C40F5D">
            <w:pPr>
              <w:pStyle w:val="ARtabletext"/>
            </w:pPr>
            <w:r w:rsidRPr="002029AF">
              <w:t>months</w:t>
            </w:r>
          </w:p>
        </w:tc>
        <w:tc>
          <w:tcPr>
            <w:tcW w:w="1020" w:type="dxa"/>
            <w:shd w:val="clear" w:color="auto" w:fill="auto"/>
            <w:hideMark/>
          </w:tcPr>
          <w:p w14:paraId="22F2164F" w14:textId="77777777" w:rsidR="00C15C65" w:rsidRPr="002029AF" w:rsidRDefault="00C15C65" w:rsidP="000024F3">
            <w:pPr>
              <w:pStyle w:val="ARtabletextright"/>
            </w:pPr>
            <w:r w:rsidRPr="002029AF">
              <w:t>10.5</w:t>
            </w:r>
          </w:p>
        </w:tc>
        <w:tc>
          <w:tcPr>
            <w:tcW w:w="1020" w:type="dxa"/>
            <w:shd w:val="clear" w:color="auto" w:fill="auto"/>
            <w:hideMark/>
          </w:tcPr>
          <w:p w14:paraId="3C4E8E2B" w14:textId="77777777" w:rsidR="00C15C65" w:rsidRPr="002029AF" w:rsidRDefault="00C15C65" w:rsidP="000024F3">
            <w:pPr>
              <w:pStyle w:val="ARtabletextright"/>
            </w:pPr>
            <w:r w:rsidRPr="002029AF">
              <w:t>9.9</w:t>
            </w:r>
          </w:p>
        </w:tc>
        <w:tc>
          <w:tcPr>
            <w:tcW w:w="1025" w:type="dxa"/>
            <w:shd w:val="clear" w:color="auto" w:fill="auto"/>
          </w:tcPr>
          <w:p w14:paraId="2CB0EDAD" w14:textId="77777777" w:rsidR="00C15C65" w:rsidRPr="002029AF" w:rsidRDefault="00C15C65" w:rsidP="000024F3">
            <w:pPr>
              <w:pStyle w:val="ARtabletextright"/>
            </w:pPr>
            <w:r w:rsidRPr="002029AF">
              <w:t>-5.7</w:t>
            </w:r>
          </w:p>
        </w:tc>
        <w:tc>
          <w:tcPr>
            <w:tcW w:w="798" w:type="dxa"/>
            <w:shd w:val="clear" w:color="auto" w:fill="auto"/>
            <w:hideMark/>
          </w:tcPr>
          <w:p w14:paraId="1A9AC876"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799BFB2D" w14:textId="77777777" w:rsidTr="001174A1">
        <w:trPr>
          <w:gridAfter w:val="1"/>
          <w:wAfter w:w="6" w:type="dxa"/>
          <w:cantSplit/>
        </w:trPr>
        <w:tc>
          <w:tcPr>
            <w:tcW w:w="9633" w:type="dxa"/>
            <w:gridSpan w:val="6"/>
            <w:tcBorders>
              <w:bottom w:val="single" w:sz="4" w:space="0" w:color="BFBFBF"/>
            </w:tcBorders>
            <w:shd w:val="clear" w:color="auto" w:fill="auto"/>
            <w:noWrap/>
            <w:hideMark/>
          </w:tcPr>
          <w:p w14:paraId="5B9EE3F4" w14:textId="437B9F7C" w:rsidR="00C15C65" w:rsidRPr="002029AF" w:rsidRDefault="00C15C65" w:rsidP="00D96AFD">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lower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family</w:t>
            </w:r>
            <w:r w:rsidR="000A5329" w:rsidRPr="002029AF">
              <w:t xml:space="preserve"> </w:t>
            </w:r>
            <w:r w:rsidRPr="002029AF">
              <w:t>violence</w:t>
            </w:r>
            <w:r w:rsidR="000A5329" w:rsidRPr="002029AF">
              <w:t xml:space="preserve"> </w:t>
            </w:r>
            <w:r w:rsidRPr="002029AF">
              <w:t>service</w:t>
            </w:r>
            <w:r w:rsidR="000A5329" w:rsidRPr="002029AF">
              <w:t xml:space="preserve"> </w:t>
            </w:r>
            <w:r w:rsidRPr="002029AF">
              <w:t>users</w:t>
            </w:r>
            <w:r w:rsidR="000A5329" w:rsidRPr="002029AF">
              <w:t xml:space="preserve"> </w:t>
            </w:r>
            <w:r w:rsidRPr="002029AF">
              <w:t>being</w:t>
            </w:r>
            <w:r w:rsidR="000A5329" w:rsidRPr="002029AF">
              <w:t xml:space="preserve"> </w:t>
            </w:r>
            <w:r w:rsidRPr="002029AF">
              <w:t>housed</w:t>
            </w:r>
            <w:r w:rsidR="000A5329" w:rsidRPr="002029AF">
              <w:t xml:space="preserve"> </w:t>
            </w:r>
            <w:r w:rsidRPr="002029AF">
              <w:t>in</w:t>
            </w:r>
            <w:r w:rsidR="000A5329" w:rsidRPr="002029AF">
              <w:t xml:space="preserve"> </w:t>
            </w:r>
            <w:r w:rsidRPr="002029AF">
              <w:t>social</w:t>
            </w:r>
            <w:r w:rsidR="000A5329" w:rsidRPr="002029AF">
              <w:t xml:space="preserve"> </w:t>
            </w:r>
            <w:r w:rsidRPr="002029AF">
              <w:t>housing</w:t>
            </w:r>
            <w:r w:rsidR="000A5329" w:rsidRPr="002029AF">
              <w:t xml:space="preserve"> </w:t>
            </w:r>
            <w:r w:rsidRPr="002029AF">
              <w:t>earlier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reflecting</w:t>
            </w:r>
            <w:r w:rsidR="000A5329" w:rsidRPr="002029AF">
              <w:t xml:space="preserve"> </w:t>
            </w:r>
            <w:r w:rsidRPr="002029AF">
              <w:t>the</w:t>
            </w:r>
            <w:r w:rsidR="000A5329" w:rsidRPr="002029AF">
              <w:t xml:space="preserve"> </w:t>
            </w:r>
            <w:r w:rsidRPr="002029AF">
              <w:t>focus</w:t>
            </w:r>
            <w:r w:rsidR="000A5329" w:rsidRPr="002029AF">
              <w:t xml:space="preserve"> </w:t>
            </w:r>
            <w:r w:rsidRPr="002029AF">
              <w:t>on</w:t>
            </w:r>
            <w:r w:rsidR="000A5329" w:rsidRPr="002029AF">
              <w:t xml:space="preserve"> </w:t>
            </w:r>
            <w:r w:rsidRPr="002029AF">
              <w:t>assisting</w:t>
            </w:r>
            <w:r w:rsidR="000A5329" w:rsidRPr="002029AF">
              <w:t xml:space="preserve"> </w:t>
            </w:r>
            <w:r w:rsidRPr="002029AF">
              <w:t>family</w:t>
            </w:r>
            <w:r w:rsidR="000A5329" w:rsidRPr="002029AF">
              <w:t xml:space="preserve"> </w:t>
            </w:r>
            <w:r w:rsidRPr="002029AF">
              <w:t>violence</w:t>
            </w:r>
            <w:r w:rsidR="000A5329" w:rsidRPr="002029AF">
              <w:t xml:space="preserve"> </w:t>
            </w:r>
            <w:r w:rsidRPr="002029AF">
              <w:t>service</w:t>
            </w:r>
            <w:r w:rsidR="000A5329" w:rsidRPr="002029AF">
              <w:t xml:space="preserve"> </w:t>
            </w:r>
            <w:r w:rsidRPr="002029AF">
              <w:t>users</w:t>
            </w:r>
            <w:r w:rsidR="000A5329" w:rsidRPr="002029AF">
              <w:t xml:space="preserve"> </w:t>
            </w:r>
            <w:r w:rsidRPr="002029AF">
              <w:t>to</w:t>
            </w:r>
            <w:r w:rsidR="000A5329" w:rsidRPr="002029AF">
              <w:t xml:space="preserve"> </w:t>
            </w:r>
            <w:r w:rsidRPr="002029AF">
              <w:t>access</w:t>
            </w:r>
            <w:r w:rsidR="000A5329" w:rsidRPr="002029AF">
              <w:t xml:space="preserve"> </w:t>
            </w:r>
            <w:r w:rsidRPr="002029AF">
              <w:t>safe</w:t>
            </w:r>
            <w:r w:rsidR="000A5329" w:rsidRPr="002029AF">
              <w:t xml:space="preserve"> </w:t>
            </w:r>
            <w:r w:rsidRPr="002029AF">
              <w:t>and</w:t>
            </w:r>
            <w:r w:rsidR="000A5329" w:rsidRPr="002029AF">
              <w:t xml:space="preserve"> </w:t>
            </w:r>
            <w:r w:rsidRPr="002029AF">
              <w:t>secure</w:t>
            </w:r>
            <w:r w:rsidR="000A5329" w:rsidRPr="002029AF">
              <w:t xml:space="preserve"> </w:t>
            </w:r>
            <w:r w:rsidRPr="002029AF">
              <w:t>housing</w:t>
            </w:r>
            <w:r w:rsidR="000A5329" w:rsidRPr="002029AF">
              <w:t xml:space="preserve"> </w:t>
            </w:r>
            <w:r w:rsidRPr="002029AF">
              <w:t>options.</w:t>
            </w:r>
            <w:r w:rsidR="000A5329" w:rsidRPr="002029AF">
              <w:t xml:space="preserve"> </w:t>
            </w:r>
            <w:r w:rsidRPr="002029AF">
              <w:t>This</w:t>
            </w:r>
            <w:r w:rsidR="000A5329" w:rsidRPr="002029AF">
              <w:t xml:space="preserve"> </w:t>
            </w:r>
            <w:r w:rsidRPr="002029AF">
              <w:t>is</w:t>
            </w:r>
            <w:r w:rsidR="000A5329" w:rsidRPr="002029AF">
              <w:t xml:space="preserve"> </w:t>
            </w:r>
            <w:r w:rsidRPr="002029AF">
              <w:t>a</w:t>
            </w:r>
            <w:r w:rsidR="000A5329" w:rsidRPr="002029AF">
              <w:t xml:space="preserve"> </w:t>
            </w:r>
            <w:r w:rsidRPr="002029AF">
              <w:t>positive</w:t>
            </w:r>
            <w:r w:rsidR="000A5329" w:rsidRPr="002029AF">
              <w:t xml:space="preserve"> </w:t>
            </w:r>
            <w:r w:rsidRPr="002029AF">
              <w:t>result.</w:t>
            </w:r>
          </w:p>
        </w:tc>
      </w:tr>
      <w:tr w:rsidR="00C15C65" w:rsidRPr="002029AF" w14:paraId="3FD66C65" w14:textId="77777777" w:rsidTr="001174A1">
        <w:trPr>
          <w:gridAfter w:val="1"/>
          <w:wAfter w:w="6" w:type="dxa"/>
          <w:cantSplit/>
        </w:trPr>
        <w:tc>
          <w:tcPr>
            <w:tcW w:w="4750" w:type="dxa"/>
            <w:tcBorders>
              <w:top w:val="single" w:sz="4" w:space="0" w:color="BFBFBF"/>
              <w:bottom w:val="single" w:sz="4" w:space="0" w:color="auto"/>
            </w:tcBorders>
            <w:shd w:val="clear" w:color="auto" w:fill="auto"/>
            <w:hideMark/>
          </w:tcPr>
          <w:p w14:paraId="6FFFF0FE" w14:textId="7AF1DA63" w:rsidR="00C15C65" w:rsidRPr="002029AF" w:rsidRDefault="00C15C65" w:rsidP="00C40F5D">
            <w:pPr>
              <w:pStyle w:val="ARtabletext"/>
            </w:pPr>
            <w:r w:rsidRPr="002029AF">
              <w:t>Proportion</w:t>
            </w:r>
            <w:r w:rsidR="000A5329" w:rsidRPr="002029AF">
              <w:t xml:space="preserve"> </w:t>
            </w:r>
            <w:r w:rsidRPr="002029AF">
              <w:t>of</w:t>
            </w:r>
            <w:r w:rsidR="000A5329" w:rsidRPr="002029AF">
              <w:t xml:space="preserve"> </w:t>
            </w:r>
            <w:r w:rsidRPr="002029AF">
              <w:t>clients</w:t>
            </w:r>
            <w:r w:rsidR="000A5329" w:rsidRPr="002029AF">
              <w:t xml:space="preserve"> </w:t>
            </w:r>
            <w:r w:rsidRPr="002029AF">
              <w:t>where</w:t>
            </w:r>
            <w:r w:rsidR="000A5329" w:rsidRPr="002029AF">
              <w:t xml:space="preserve"> </w:t>
            </w:r>
            <w:r w:rsidRPr="002029AF">
              <w:t>support</w:t>
            </w:r>
            <w:r w:rsidR="000A5329" w:rsidRPr="002029AF">
              <w:t xml:space="preserve"> </w:t>
            </w:r>
            <w:r w:rsidRPr="002029AF">
              <w:t>to</w:t>
            </w:r>
            <w:r w:rsidR="000A5329" w:rsidRPr="002029AF">
              <w:t xml:space="preserve"> </w:t>
            </w:r>
            <w:r w:rsidRPr="002029AF">
              <w:t>sustain</w:t>
            </w:r>
            <w:r w:rsidR="000A5329" w:rsidRPr="002029AF">
              <w:t xml:space="preserve"> </w:t>
            </w:r>
            <w:r w:rsidRPr="002029AF">
              <w:t>housing</w:t>
            </w:r>
            <w:r w:rsidR="000A5329" w:rsidRPr="002029AF">
              <w:t xml:space="preserve"> </w:t>
            </w:r>
            <w:r w:rsidRPr="002029AF">
              <w:t>tenure</w:t>
            </w:r>
            <w:r w:rsidR="000A5329" w:rsidRPr="002029AF">
              <w:t xml:space="preserve"> </w:t>
            </w:r>
            <w:r w:rsidRPr="002029AF">
              <w:t>was</w:t>
            </w:r>
            <w:r w:rsidR="000A5329" w:rsidRPr="002029AF">
              <w:t xml:space="preserve"> </w:t>
            </w:r>
            <w:r w:rsidRPr="002029AF">
              <w:t>provided</w:t>
            </w:r>
            <w:r w:rsidR="000A5329" w:rsidRPr="002029AF">
              <w:t xml:space="preserve"> </w:t>
            </w:r>
            <w:r w:rsidRPr="002029AF">
              <w:t>or</w:t>
            </w:r>
            <w:r w:rsidR="000A5329" w:rsidRPr="002029AF">
              <w:t xml:space="preserve"> </w:t>
            </w:r>
            <w:r w:rsidRPr="002029AF">
              <w:t>referred</w:t>
            </w:r>
          </w:p>
        </w:tc>
        <w:tc>
          <w:tcPr>
            <w:tcW w:w="1020" w:type="dxa"/>
            <w:tcBorders>
              <w:top w:val="single" w:sz="4" w:space="0" w:color="BFBFBF"/>
              <w:bottom w:val="single" w:sz="4" w:space="0" w:color="auto"/>
            </w:tcBorders>
            <w:shd w:val="clear" w:color="auto" w:fill="auto"/>
            <w:hideMark/>
          </w:tcPr>
          <w:p w14:paraId="48CD4605" w14:textId="4DFE9714" w:rsidR="00C15C65" w:rsidRPr="002029AF" w:rsidRDefault="00C15C65" w:rsidP="00C40F5D">
            <w:pPr>
              <w:pStyle w:val="ARtabletext"/>
            </w:pPr>
            <w:r w:rsidRPr="002029AF">
              <w:t>per</w:t>
            </w:r>
            <w:r w:rsidR="000A5329" w:rsidRPr="002029AF">
              <w:t xml:space="preserve"> </w:t>
            </w:r>
            <w:r w:rsidRPr="002029AF">
              <w:t>cent</w:t>
            </w:r>
          </w:p>
        </w:tc>
        <w:tc>
          <w:tcPr>
            <w:tcW w:w="1020" w:type="dxa"/>
            <w:tcBorders>
              <w:top w:val="single" w:sz="4" w:space="0" w:color="BFBFBF"/>
              <w:bottom w:val="single" w:sz="4" w:space="0" w:color="auto"/>
            </w:tcBorders>
            <w:shd w:val="clear" w:color="auto" w:fill="auto"/>
            <w:hideMark/>
          </w:tcPr>
          <w:p w14:paraId="06041080" w14:textId="77777777" w:rsidR="00C15C65" w:rsidRPr="002029AF" w:rsidRDefault="00C15C65" w:rsidP="000024F3">
            <w:pPr>
              <w:pStyle w:val="ARtabletextright"/>
            </w:pPr>
            <w:r w:rsidRPr="002029AF">
              <w:t>85</w:t>
            </w:r>
          </w:p>
        </w:tc>
        <w:tc>
          <w:tcPr>
            <w:tcW w:w="1020" w:type="dxa"/>
            <w:tcBorders>
              <w:top w:val="single" w:sz="4" w:space="0" w:color="BFBFBF"/>
              <w:bottom w:val="single" w:sz="4" w:space="0" w:color="auto"/>
            </w:tcBorders>
            <w:shd w:val="clear" w:color="auto" w:fill="auto"/>
            <w:hideMark/>
          </w:tcPr>
          <w:p w14:paraId="64F9BA71" w14:textId="77777777" w:rsidR="00C15C65" w:rsidRPr="002029AF" w:rsidRDefault="00C15C65" w:rsidP="000024F3">
            <w:pPr>
              <w:pStyle w:val="ARtabletextright"/>
            </w:pPr>
            <w:r w:rsidRPr="002029AF">
              <w:t>86.6</w:t>
            </w:r>
          </w:p>
        </w:tc>
        <w:tc>
          <w:tcPr>
            <w:tcW w:w="1025" w:type="dxa"/>
            <w:tcBorders>
              <w:top w:val="single" w:sz="4" w:space="0" w:color="BFBFBF"/>
              <w:bottom w:val="single" w:sz="4" w:space="0" w:color="auto"/>
            </w:tcBorders>
            <w:shd w:val="clear" w:color="auto" w:fill="auto"/>
          </w:tcPr>
          <w:p w14:paraId="5B7266E1" w14:textId="77777777" w:rsidR="00C15C65" w:rsidRPr="002029AF" w:rsidRDefault="00C15C65" w:rsidP="000024F3">
            <w:pPr>
              <w:pStyle w:val="ARtabletextright"/>
            </w:pPr>
            <w:r w:rsidRPr="002029AF">
              <w:t>1.9</w:t>
            </w:r>
          </w:p>
        </w:tc>
        <w:tc>
          <w:tcPr>
            <w:tcW w:w="798" w:type="dxa"/>
            <w:tcBorders>
              <w:top w:val="single" w:sz="4" w:space="0" w:color="BFBFBF"/>
              <w:bottom w:val="single" w:sz="4" w:space="0" w:color="auto"/>
            </w:tcBorders>
            <w:shd w:val="clear" w:color="auto" w:fill="auto"/>
            <w:hideMark/>
          </w:tcPr>
          <w:p w14:paraId="4EE199CF"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1E48D9E1" w14:textId="77777777" w:rsidTr="005B58F0">
        <w:trPr>
          <w:cantSplit/>
        </w:trPr>
        <w:tc>
          <w:tcPr>
            <w:tcW w:w="9639" w:type="dxa"/>
            <w:gridSpan w:val="7"/>
            <w:tcBorders>
              <w:top w:val="single" w:sz="4" w:space="0" w:color="auto"/>
              <w:left w:val="nil"/>
              <w:bottom w:val="nil"/>
              <w:right w:val="nil"/>
            </w:tcBorders>
            <w:hideMark/>
          </w:tcPr>
          <w:p w14:paraId="20094280" w14:textId="77777777" w:rsidR="00C15C65" w:rsidRPr="002029AF" w:rsidRDefault="00C15C65" w:rsidP="006D5287">
            <w:pPr>
              <w:pStyle w:val="ARtablegreybold"/>
              <w:keepNext/>
            </w:pPr>
            <w:r w:rsidRPr="002029AF">
              <w:t>Cost</w:t>
            </w:r>
          </w:p>
        </w:tc>
      </w:tr>
      <w:tr w:rsidR="00C15C65" w:rsidRPr="002029AF" w14:paraId="29B64C70" w14:textId="77777777" w:rsidTr="001174A1">
        <w:trPr>
          <w:cantSplit/>
        </w:trPr>
        <w:tc>
          <w:tcPr>
            <w:tcW w:w="4750" w:type="dxa"/>
            <w:hideMark/>
          </w:tcPr>
          <w:p w14:paraId="6BDB5B1C" w14:textId="17FD99CF" w:rsidR="00C15C65" w:rsidRPr="002029AF" w:rsidRDefault="00C15C65" w:rsidP="00C40F5D">
            <w:pPr>
              <w:pStyle w:val="ARtabletext"/>
              <w:rPr>
                <w:b/>
              </w:rPr>
            </w:pPr>
            <w:r w:rsidRPr="002029AF">
              <w:rPr>
                <w:b/>
              </w:rPr>
              <w:t>Total</w:t>
            </w:r>
            <w:r w:rsidR="000A5329" w:rsidRPr="002029AF">
              <w:rPr>
                <w:b/>
              </w:rPr>
              <w:t xml:space="preserve"> </w:t>
            </w:r>
            <w:r w:rsidRPr="002029AF">
              <w:rPr>
                <w:b/>
              </w:rPr>
              <w:t>output</w:t>
            </w:r>
            <w:r w:rsidR="000A5329" w:rsidRPr="002029AF">
              <w:rPr>
                <w:b/>
              </w:rPr>
              <w:t xml:space="preserve"> </w:t>
            </w:r>
            <w:r w:rsidRPr="002029AF">
              <w:rPr>
                <w:b/>
              </w:rPr>
              <w:t>cost</w:t>
            </w:r>
          </w:p>
        </w:tc>
        <w:tc>
          <w:tcPr>
            <w:tcW w:w="1020" w:type="dxa"/>
            <w:hideMark/>
          </w:tcPr>
          <w:p w14:paraId="59434139" w14:textId="2F3C8E14" w:rsidR="00C15C65" w:rsidRPr="002029AF" w:rsidRDefault="00C15C65" w:rsidP="00C40F5D">
            <w:pPr>
              <w:pStyle w:val="ARtabletext"/>
              <w:rPr>
                <w:b/>
              </w:rPr>
            </w:pPr>
            <w:r w:rsidRPr="002029AF">
              <w:rPr>
                <w:b/>
              </w:rPr>
              <w:t>$</w:t>
            </w:r>
            <w:r w:rsidR="000A5329" w:rsidRPr="002029AF">
              <w:rPr>
                <w:b/>
              </w:rPr>
              <w:t xml:space="preserve"> </w:t>
            </w:r>
            <w:r w:rsidRPr="002029AF">
              <w:rPr>
                <w:b/>
              </w:rPr>
              <w:t>million</w:t>
            </w:r>
          </w:p>
        </w:tc>
        <w:tc>
          <w:tcPr>
            <w:tcW w:w="1020" w:type="dxa"/>
          </w:tcPr>
          <w:p w14:paraId="042A11E2" w14:textId="77777777" w:rsidR="00C15C65" w:rsidRPr="002029AF" w:rsidRDefault="00C15C65" w:rsidP="00C9755D">
            <w:pPr>
              <w:pStyle w:val="ARtabletextrightbold"/>
            </w:pPr>
            <w:r w:rsidRPr="002029AF">
              <w:t>648.3</w:t>
            </w:r>
          </w:p>
        </w:tc>
        <w:tc>
          <w:tcPr>
            <w:tcW w:w="1020" w:type="dxa"/>
          </w:tcPr>
          <w:p w14:paraId="5CFCCD56" w14:textId="77777777" w:rsidR="00C15C65" w:rsidRPr="002029AF" w:rsidRDefault="00C15C65" w:rsidP="00C9755D">
            <w:pPr>
              <w:pStyle w:val="ARtabletextrightbold"/>
            </w:pPr>
            <w:r w:rsidRPr="002029AF">
              <w:t>672.2</w:t>
            </w:r>
          </w:p>
        </w:tc>
        <w:tc>
          <w:tcPr>
            <w:tcW w:w="1025" w:type="dxa"/>
          </w:tcPr>
          <w:p w14:paraId="695E4BF5" w14:textId="77777777" w:rsidR="00C15C65" w:rsidRPr="002029AF" w:rsidRDefault="00C15C65" w:rsidP="00C9755D">
            <w:pPr>
              <w:pStyle w:val="ARtabletextrightbold"/>
            </w:pPr>
            <w:r w:rsidRPr="002029AF">
              <w:t>3.7</w:t>
            </w:r>
          </w:p>
        </w:tc>
        <w:tc>
          <w:tcPr>
            <w:tcW w:w="804" w:type="dxa"/>
            <w:gridSpan w:val="2"/>
          </w:tcPr>
          <w:p w14:paraId="6194EF89" w14:textId="77777777" w:rsidR="00C15C65" w:rsidRPr="002029AF" w:rsidRDefault="00C15C65" w:rsidP="00C40F5D">
            <w:pPr>
              <w:pStyle w:val="ARtabletext"/>
              <w:rPr>
                <w:b/>
              </w:rPr>
            </w:pPr>
          </w:p>
        </w:tc>
      </w:tr>
      <w:tr w:rsidR="00C15C65" w:rsidRPr="002029AF" w14:paraId="62969096" w14:textId="77777777" w:rsidTr="001174A1">
        <w:trPr>
          <w:cantSplit/>
        </w:trPr>
        <w:tc>
          <w:tcPr>
            <w:tcW w:w="9639" w:type="dxa"/>
            <w:gridSpan w:val="7"/>
            <w:tcBorders>
              <w:top w:val="nil"/>
              <w:left w:val="nil"/>
              <w:bottom w:val="single" w:sz="4" w:space="0" w:color="auto"/>
              <w:right w:val="nil"/>
            </w:tcBorders>
            <w:noWrap/>
            <w:hideMark/>
          </w:tcPr>
          <w:p w14:paraId="519F2D38" w14:textId="75B298C9" w:rsidR="00C15C65" w:rsidRPr="002029AF" w:rsidRDefault="000323C2" w:rsidP="004C1AF6">
            <w:pPr>
              <w:pStyle w:val="ARtablenoteindent"/>
            </w:pPr>
            <w:r>
              <w:rPr>
                <w:rFonts w:cs="Arial"/>
                <w:color w:val="201F1E"/>
                <w:szCs w:val="16"/>
                <w:bdr w:val="none" w:sz="0" w:space="0" w:color="auto" w:frame="1"/>
                <w:shd w:val="clear" w:color="auto" w:fill="FFFFFF"/>
              </w:rPr>
              <w:t>The 2019–20 actual outcome is primarily due to additional investment by government in response to coronavirus (COVID-19) and for the Haven Foundation</w:t>
            </w:r>
            <w:r w:rsidR="004C1AF6">
              <w:rPr>
                <w:rFonts w:cs="Arial"/>
                <w:color w:val="201F1E"/>
                <w:szCs w:val="16"/>
                <w:bdr w:val="none" w:sz="0" w:space="0" w:color="auto" w:frame="1"/>
                <w:shd w:val="clear" w:color="auto" w:fill="FFFFFF"/>
              </w:rPr>
              <w:t>,</w:t>
            </w:r>
            <w:r>
              <w:rPr>
                <w:rFonts w:cs="Arial"/>
                <w:color w:val="201F1E"/>
                <w:szCs w:val="16"/>
                <w:bdr w:val="none" w:sz="0" w:space="0" w:color="auto" w:frame="1"/>
                <w:shd w:val="clear" w:color="auto" w:fill="FFFFFF"/>
              </w:rPr>
              <w:t xml:space="preserve"> which is an</w:t>
            </w:r>
            <w:r>
              <w:rPr>
                <w:rFonts w:ascii="Calibri" w:hAnsi="Calibri"/>
                <w:color w:val="201F1E"/>
                <w:szCs w:val="16"/>
                <w:bdr w:val="none" w:sz="0" w:space="0" w:color="auto" w:frame="1"/>
                <w:shd w:val="clear" w:color="auto" w:fill="FFFFFF"/>
              </w:rPr>
              <w:t> </w:t>
            </w:r>
            <w:r>
              <w:rPr>
                <w:rFonts w:cs="Arial"/>
                <w:color w:val="201F1E"/>
                <w:szCs w:val="16"/>
                <w:bdr w:val="none" w:sz="0" w:space="0" w:color="auto" w:frame="1"/>
                <w:shd w:val="clear" w:color="auto" w:fill="FFFFFF"/>
              </w:rPr>
              <w:t>initiative developing homes to support financially disadvantaged Victorians living with mental illness.</w:t>
            </w:r>
          </w:p>
        </w:tc>
      </w:tr>
    </w:tbl>
    <w:p w14:paraId="62E72B7E" w14:textId="77777777" w:rsidR="00A952A7" w:rsidRPr="00A952A7" w:rsidRDefault="00A952A7" w:rsidP="00A952A7">
      <w:pPr>
        <w:pStyle w:val="ARbody"/>
      </w:pPr>
      <w:r w:rsidRPr="00A952A7">
        <w:br w:type="page"/>
      </w:r>
    </w:p>
    <w:p w14:paraId="4535C320" w14:textId="5CE1F0FE" w:rsidR="00C15C65" w:rsidRPr="002029AF" w:rsidRDefault="00C15C65" w:rsidP="00205D6E">
      <w:pPr>
        <w:pStyle w:val="Heading2"/>
      </w:pPr>
      <w:r w:rsidRPr="002029AF">
        <w:lastRenderedPageBreak/>
        <w:t>Family</w:t>
      </w:r>
      <w:r w:rsidR="000A5329" w:rsidRPr="002029AF">
        <w:t xml:space="preserve"> </w:t>
      </w:r>
      <w:r w:rsidRPr="002029AF">
        <w:t>Violence</w:t>
      </w:r>
      <w:r w:rsidR="000A5329" w:rsidRPr="002029AF">
        <w:t xml:space="preserve"> </w:t>
      </w:r>
      <w:r w:rsidRPr="002029AF">
        <w:t>Service</w:t>
      </w:r>
      <w:r w:rsidR="000A5329" w:rsidRPr="002029AF">
        <w:t xml:space="preserve"> </w:t>
      </w:r>
      <w:r w:rsidRPr="002029AF">
        <w:t>Delivery</w:t>
      </w:r>
    </w:p>
    <w:p w14:paraId="3A8B8D66" w14:textId="4BA9FE51" w:rsidR="00C15C65" w:rsidRPr="002029AF" w:rsidRDefault="00C15C65" w:rsidP="00C40F5D">
      <w:pPr>
        <w:pStyle w:val="ARbodyaftertable"/>
      </w:pPr>
      <w:r w:rsidRPr="002029AF">
        <w:t>This</w:t>
      </w:r>
      <w:r w:rsidR="000A5329" w:rsidRPr="002029AF">
        <w:t xml:space="preserve"> </w:t>
      </w:r>
      <w:r w:rsidRPr="002029AF">
        <w:t>output</w:t>
      </w:r>
      <w:r w:rsidR="000A5329" w:rsidRPr="002029AF">
        <w:t xml:space="preserve"> </w:t>
      </w:r>
      <w:r w:rsidRPr="002029AF">
        <w:t>leads</w:t>
      </w:r>
      <w:r w:rsidR="000A5329" w:rsidRPr="002029AF">
        <w:t xml:space="preserve"> </w:t>
      </w:r>
      <w:r w:rsidRPr="002029AF">
        <w:t>and</w:t>
      </w:r>
      <w:r w:rsidR="000A5329" w:rsidRPr="002029AF">
        <w:t xml:space="preserve"> </w:t>
      </w:r>
      <w:r w:rsidRPr="002029AF">
        <w:t>coordinates</w:t>
      </w:r>
      <w:r w:rsidR="000A5329" w:rsidRPr="002029AF">
        <w:t xml:space="preserve"> </w:t>
      </w:r>
      <w:r w:rsidRPr="002029AF">
        <w:t>whole-of-government</w:t>
      </w:r>
      <w:r w:rsidR="000A5329" w:rsidRPr="002029AF">
        <w:t xml:space="preserve"> </w:t>
      </w:r>
      <w:r w:rsidRPr="002029AF">
        <w:t>family</w:t>
      </w:r>
      <w:r w:rsidR="000A5329" w:rsidRPr="002029AF">
        <w:t xml:space="preserve"> </w:t>
      </w:r>
      <w:r w:rsidRPr="002029AF">
        <w:t>violence</w:t>
      </w:r>
      <w:r w:rsidR="000A5329" w:rsidRPr="002029AF">
        <w:t xml:space="preserve"> </w:t>
      </w:r>
      <w:r w:rsidRPr="002029AF">
        <w:t>policy</w:t>
      </w:r>
      <w:r w:rsidR="000A5329" w:rsidRPr="002029AF">
        <w:t xml:space="preserve"> </w:t>
      </w:r>
      <w:r w:rsidRPr="002029AF">
        <w:t>and</w:t>
      </w:r>
      <w:r w:rsidR="000A5329" w:rsidRPr="002029AF">
        <w:t xml:space="preserve"> </w:t>
      </w:r>
      <w:r w:rsidRPr="002029AF">
        <w:t>implements</w:t>
      </w:r>
      <w:r w:rsidR="000A5329" w:rsidRPr="002029AF">
        <w:t xml:space="preserve"> </w:t>
      </w:r>
      <w:r w:rsidRPr="002029AF">
        <w:t>and</w:t>
      </w:r>
      <w:r w:rsidR="000A5329" w:rsidRPr="002029AF">
        <w:t xml:space="preserve"> </w:t>
      </w:r>
      <w:r w:rsidRPr="002029AF">
        <w:t>delivers</w:t>
      </w:r>
      <w:r w:rsidR="000A5329" w:rsidRPr="002029AF">
        <w:t xml:space="preserve"> </w:t>
      </w:r>
      <w:r w:rsidRPr="002029AF">
        <w:t>the</w:t>
      </w:r>
      <w:r w:rsidR="000A5329" w:rsidRPr="002029AF">
        <w:t xml:space="preserve"> </w:t>
      </w:r>
      <w:r w:rsidRPr="002029AF">
        <w:t>government’s</w:t>
      </w:r>
      <w:r w:rsidR="000A5329" w:rsidRPr="002029AF">
        <w:t xml:space="preserve"> </w:t>
      </w:r>
      <w:r w:rsidRPr="002029AF">
        <w:t>family</w:t>
      </w:r>
      <w:r w:rsidR="000A5329" w:rsidRPr="002029AF">
        <w:t xml:space="preserve"> </w:t>
      </w:r>
      <w:r w:rsidRPr="002029AF">
        <w:t>violence</w:t>
      </w:r>
      <w:r w:rsidR="000A5329" w:rsidRPr="002029AF">
        <w:t xml:space="preserve"> </w:t>
      </w:r>
      <w:r w:rsidRPr="002029AF">
        <w:t>reform</w:t>
      </w:r>
      <w:r w:rsidR="000A5329" w:rsidRPr="002029AF">
        <w:t xml:space="preserve"> </w:t>
      </w:r>
      <w:r w:rsidRPr="002029AF">
        <w:t>agenda.</w:t>
      </w:r>
      <w:r w:rsidR="000A5329" w:rsidRPr="002029AF">
        <w:t xml:space="preserve"> </w:t>
      </w:r>
      <w:r w:rsidRPr="002029AF">
        <w:t>This</w:t>
      </w:r>
      <w:r w:rsidR="000A5329" w:rsidRPr="002029AF">
        <w:t xml:space="preserve"> </w:t>
      </w:r>
      <w:r w:rsidRPr="002029AF">
        <w:t>includes</w:t>
      </w:r>
      <w:r w:rsidR="000A5329" w:rsidRPr="002029AF">
        <w:t xml:space="preserve"> </w:t>
      </w:r>
      <w:r w:rsidRPr="002029AF">
        <w:t>establishing</w:t>
      </w:r>
      <w:r w:rsidR="000A5329" w:rsidRPr="002029AF">
        <w:t xml:space="preserve"> </w:t>
      </w:r>
      <w:r w:rsidRPr="002029AF">
        <w:t>and</w:t>
      </w:r>
      <w:r w:rsidR="000A5329" w:rsidRPr="002029AF">
        <w:t xml:space="preserve"> </w:t>
      </w:r>
      <w:r w:rsidRPr="002029AF">
        <w:t>operating</w:t>
      </w:r>
      <w:r w:rsidR="000A5329" w:rsidRPr="002029AF">
        <w:t xml:space="preserve"> </w:t>
      </w:r>
      <w:r w:rsidRPr="002029AF">
        <w:t>Support</w:t>
      </w:r>
      <w:r w:rsidR="000A5329" w:rsidRPr="002029AF">
        <w:t xml:space="preserve"> </w:t>
      </w:r>
      <w:r w:rsidRPr="002029AF">
        <w:t>and</w:t>
      </w:r>
      <w:r w:rsidR="000A5329" w:rsidRPr="002029AF">
        <w:t xml:space="preserve"> </w:t>
      </w:r>
      <w:r w:rsidRPr="002029AF">
        <w:t>Safety</w:t>
      </w:r>
      <w:r w:rsidR="000A5329" w:rsidRPr="002029AF">
        <w:t xml:space="preserve"> </w:t>
      </w:r>
      <w:r w:rsidRPr="002029AF">
        <w:t>Hubs,</w:t>
      </w:r>
      <w:r w:rsidR="000A5329" w:rsidRPr="002029AF">
        <w:t xml:space="preserve"> </w:t>
      </w:r>
      <w:r w:rsidRPr="002029AF">
        <w:t>implementing</w:t>
      </w:r>
      <w:r w:rsidR="000A5329" w:rsidRPr="002029AF">
        <w:t xml:space="preserve"> </w:t>
      </w:r>
      <w:r w:rsidRPr="002029AF">
        <w:t>information</w:t>
      </w:r>
      <w:r w:rsidR="000A5329" w:rsidRPr="002029AF">
        <w:t xml:space="preserve"> </w:t>
      </w:r>
      <w:r w:rsidRPr="002029AF">
        <w:t>sharing</w:t>
      </w:r>
      <w:r w:rsidR="000A5329" w:rsidRPr="002029AF">
        <w:t xml:space="preserve"> </w:t>
      </w:r>
      <w:r w:rsidRPr="002029AF">
        <w:t>legislation,</w:t>
      </w:r>
      <w:r w:rsidR="000A5329" w:rsidRPr="002029AF">
        <w:t xml:space="preserve"> </w:t>
      </w:r>
      <w:r w:rsidRPr="002029AF">
        <w:t>and</w:t>
      </w:r>
      <w:r w:rsidR="000A5329" w:rsidRPr="002029AF">
        <w:t xml:space="preserve"> </w:t>
      </w:r>
      <w:r w:rsidRPr="002029AF">
        <w:t>delivery</w:t>
      </w:r>
      <w:r w:rsidR="000A5329" w:rsidRPr="002029AF">
        <w:t xml:space="preserve"> </w:t>
      </w:r>
      <w:r w:rsidRPr="002029AF">
        <w:t>of</w:t>
      </w:r>
      <w:r w:rsidR="000A5329" w:rsidRPr="002029AF">
        <w:t xml:space="preserve"> </w:t>
      </w:r>
      <w:r w:rsidRPr="002029AF">
        <w:t>risk</w:t>
      </w:r>
      <w:r w:rsidR="000A5329" w:rsidRPr="002029AF">
        <w:t xml:space="preserve"> </w:t>
      </w:r>
      <w:r w:rsidRPr="002029AF">
        <w:t>assessment</w:t>
      </w:r>
      <w:r w:rsidR="000A5329" w:rsidRPr="002029AF">
        <w:t xml:space="preserve"> </w:t>
      </w:r>
      <w:r w:rsidRPr="002029AF">
        <w:t>and</w:t>
      </w:r>
      <w:r w:rsidR="000A5329" w:rsidRPr="002029AF">
        <w:t xml:space="preserve"> </w:t>
      </w:r>
      <w:r w:rsidRPr="002029AF">
        <w:t>management</w:t>
      </w:r>
      <w:r w:rsidR="000A5329" w:rsidRPr="002029AF">
        <w:t xml:space="preserve"> </w:t>
      </w:r>
      <w:r w:rsidRPr="002029AF">
        <w:t>programs.</w:t>
      </w:r>
    </w:p>
    <w:tbl>
      <w:tblPr>
        <w:tblW w:w="9639" w:type="dxa"/>
        <w:tblLayout w:type="fixed"/>
        <w:tblCellMar>
          <w:left w:w="0" w:type="dxa"/>
        </w:tblCellMar>
        <w:tblLook w:val="04A0" w:firstRow="1" w:lastRow="0" w:firstColumn="1" w:lastColumn="0" w:noHBand="0" w:noVBand="1"/>
      </w:tblPr>
      <w:tblGrid>
        <w:gridCol w:w="4742"/>
        <w:gridCol w:w="9"/>
        <w:gridCol w:w="1008"/>
        <w:gridCol w:w="12"/>
        <w:gridCol w:w="1005"/>
        <w:gridCol w:w="15"/>
        <w:gridCol w:w="1006"/>
        <w:gridCol w:w="14"/>
        <w:gridCol w:w="1024"/>
        <w:gridCol w:w="796"/>
        <w:gridCol w:w="8"/>
      </w:tblGrid>
      <w:tr w:rsidR="005B58F0" w:rsidRPr="002029AF" w14:paraId="60FBF440" w14:textId="77777777" w:rsidTr="005B58F0">
        <w:trPr>
          <w:cantSplit/>
          <w:tblHeader/>
        </w:trPr>
        <w:tc>
          <w:tcPr>
            <w:tcW w:w="4751" w:type="dxa"/>
            <w:gridSpan w:val="2"/>
            <w:tcBorders>
              <w:top w:val="nil"/>
              <w:left w:val="nil"/>
              <w:bottom w:val="single" w:sz="4" w:space="0" w:color="auto"/>
              <w:right w:val="nil"/>
            </w:tcBorders>
            <w:vAlign w:val="bottom"/>
            <w:hideMark/>
          </w:tcPr>
          <w:p w14:paraId="08647F80" w14:textId="1712D2B6" w:rsidR="005B58F0" w:rsidRPr="002029AF" w:rsidRDefault="005B58F0" w:rsidP="0014376C">
            <w:pPr>
              <w:pStyle w:val="ARtablecolhead"/>
            </w:pPr>
            <w:r w:rsidRPr="002029AF">
              <w:t>Performance</w:t>
            </w:r>
            <w:r w:rsidR="000A5329" w:rsidRPr="002029AF">
              <w:t xml:space="preserve"> </w:t>
            </w:r>
            <w:r w:rsidRPr="002029AF">
              <w:t>measures</w:t>
            </w:r>
          </w:p>
        </w:tc>
        <w:tc>
          <w:tcPr>
            <w:tcW w:w="1020" w:type="dxa"/>
            <w:gridSpan w:val="2"/>
            <w:tcBorders>
              <w:top w:val="nil"/>
              <w:left w:val="nil"/>
              <w:bottom w:val="single" w:sz="4" w:space="0" w:color="auto"/>
              <w:right w:val="nil"/>
            </w:tcBorders>
            <w:vAlign w:val="bottom"/>
            <w:hideMark/>
          </w:tcPr>
          <w:p w14:paraId="127C0055" w14:textId="3D1E4FFC" w:rsidR="005B58F0" w:rsidRPr="002029AF" w:rsidRDefault="005B58F0" w:rsidP="0014376C">
            <w:pPr>
              <w:pStyle w:val="ARtablecolhead"/>
            </w:pPr>
            <w:r w:rsidRPr="002029AF">
              <w:t>Unit</w:t>
            </w:r>
            <w:r w:rsidR="000A5329" w:rsidRPr="002029AF">
              <w:t xml:space="preserve"> </w:t>
            </w:r>
            <w:r w:rsidRPr="002029AF">
              <w:t>of</w:t>
            </w:r>
            <w:r w:rsidR="000A5329" w:rsidRPr="002029AF">
              <w:t xml:space="preserve"> </w:t>
            </w:r>
            <w:r w:rsidRPr="002029AF">
              <w:t>measure</w:t>
            </w:r>
          </w:p>
        </w:tc>
        <w:tc>
          <w:tcPr>
            <w:tcW w:w="1020" w:type="dxa"/>
            <w:gridSpan w:val="2"/>
            <w:tcBorders>
              <w:top w:val="nil"/>
              <w:left w:val="nil"/>
              <w:bottom w:val="single" w:sz="4" w:space="0" w:color="auto"/>
              <w:right w:val="nil"/>
            </w:tcBorders>
            <w:vAlign w:val="bottom"/>
            <w:hideMark/>
          </w:tcPr>
          <w:p w14:paraId="3A258483" w14:textId="4CACA5FE" w:rsidR="005B58F0" w:rsidRPr="002029AF" w:rsidRDefault="005B58F0" w:rsidP="0014376C">
            <w:pPr>
              <w:pStyle w:val="ARtablecolheadright"/>
            </w:pPr>
            <w:r w:rsidRPr="002029AF">
              <w:t>2019–20</w:t>
            </w:r>
            <w:r w:rsidR="000A5329" w:rsidRPr="002029AF">
              <w:t xml:space="preserve"> </w:t>
            </w:r>
            <w:r w:rsidRPr="002029AF">
              <w:t>target</w:t>
            </w:r>
          </w:p>
        </w:tc>
        <w:tc>
          <w:tcPr>
            <w:tcW w:w="1020" w:type="dxa"/>
            <w:gridSpan w:val="2"/>
            <w:tcBorders>
              <w:top w:val="nil"/>
              <w:left w:val="nil"/>
              <w:bottom w:val="single" w:sz="4" w:space="0" w:color="auto"/>
              <w:right w:val="nil"/>
            </w:tcBorders>
            <w:vAlign w:val="bottom"/>
            <w:hideMark/>
          </w:tcPr>
          <w:p w14:paraId="4C5961F1" w14:textId="4F295F07" w:rsidR="005B58F0" w:rsidRPr="002029AF" w:rsidRDefault="005B58F0" w:rsidP="0014376C">
            <w:pPr>
              <w:pStyle w:val="ARtablecolheadright"/>
            </w:pPr>
            <w:r w:rsidRPr="002029AF">
              <w:t>2019–20</w:t>
            </w:r>
            <w:r w:rsidR="000A5329" w:rsidRPr="002029AF">
              <w:t xml:space="preserve"> </w:t>
            </w:r>
            <w:r w:rsidRPr="002029AF">
              <w:t>actual</w:t>
            </w:r>
          </w:p>
        </w:tc>
        <w:tc>
          <w:tcPr>
            <w:tcW w:w="1024" w:type="dxa"/>
            <w:tcBorders>
              <w:top w:val="nil"/>
              <w:left w:val="nil"/>
              <w:bottom w:val="single" w:sz="4" w:space="0" w:color="auto"/>
              <w:right w:val="nil"/>
            </w:tcBorders>
            <w:vAlign w:val="bottom"/>
            <w:hideMark/>
          </w:tcPr>
          <w:p w14:paraId="1C0F37EA" w14:textId="11E5120C" w:rsidR="005B58F0" w:rsidRPr="002029AF" w:rsidRDefault="005B58F0" w:rsidP="0014376C">
            <w:pPr>
              <w:pStyle w:val="ARtablecolheadright"/>
            </w:pPr>
            <w:r w:rsidRPr="002029AF">
              <w:t>Variation</w:t>
            </w:r>
            <w:r w:rsidR="000A5329" w:rsidRPr="002029AF">
              <w:t xml:space="preserve"> </w:t>
            </w:r>
            <w:r w:rsidRPr="002029AF">
              <w:t>(%)</w:t>
            </w:r>
          </w:p>
        </w:tc>
        <w:tc>
          <w:tcPr>
            <w:tcW w:w="804" w:type="dxa"/>
            <w:gridSpan w:val="2"/>
            <w:tcBorders>
              <w:top w:val="nil"/>
              <w:left w:val="nil"/>
              <w:bottom w:val="single" w:sz="4" w:space="0" w:color="auto"/>
              <w:right w:val="nil"/>
            </w:tcBorders>
            <w:vAlign w:val="bottom"/>
            <w:hideMark/>
          </w:tcPr>
          <w:p w14:paraId="0EE0CBED" w14:textId="77777777" w:rsidR="005B58F0" w:rsidRPr="002029AF" w:rsidRDefault="005B58F0" w:rsidP="000D3C3F">
            <w:pPr>
              <w:pStyle w:val="ARtablecolheadcentre"/>
            </w:pPr>
            <w:r w:rsidRPr="002029AF">
              <w:t>Result</w:t>
            </w:r>
          </w:p>
        </w:tc>
      </w:tr>
      <w:tr w:rsidR="00C15C65" w:rsidRPr="002029AF" w14:paraId="6F884639" w14:textId="77777777" w:rsidTr="005B58F0">
        <w:trPr>
          <w:cantSplit/>
        </w:trPr>
        <w:tc>
          <w:tcPr>
            <w:tcW w:w="9639" w:type="dxa"/>
            <w:gridSpan w:val="11"/>
            <w:tcBorders>
              <w:top w:val="single" w:sz="4" w:space="0" w:color="auto"/>
              <w:left w:val="nil"/>
              <w:bottom w:val="single" w:sz="4" w:space="0" w:color="auto"/>
              <w:right w:val="nil"/>
            </w:tcBorders>
            <w:hideMark/>
          </w:tcPr>
          <w:p w14:paraId="212A5193" w14:textId="42392B85" w:rsidR="00C15C65" w:rsidRPr="002029AF" w:rsidRDefault="00C15C65" w:rsidP="007666A5">
            <w:pPr>
              <w:pStyle w:val="ARtablesubhead"/>
            </w:pPr>
            <w:r w:rsidRPr="002029AF">
              <w:t>Family</w:t>
            </w:r>
            <w:r w:rsidR="000A5329" w:rsidRPr="002029AF">
              <w:t xml:space="preserve"> </w:t>
            </w:r>
            <w:r w:rsidRPr="002029AF">
              <w:t>Violence</w:t>
            </w:r>
            <w:r w:rsidR="000A5329" w:rsidRPr="002029AF">
              <w:t xml:space="preserve"> </w:t>
            </w:r>
            <w:r w:rsidRPr="002029AF">
              <w:t>Service</w:t>
            </w:r>
            <w:r w:rsidR="000A5329" w:rsidRPr="002029AF">
              <w:t xml:space="preserve"> </w:t>
            </w:r>
            <w:r w:rsidRPr="002029AF">
              <w:t>Delivery</w:t>
            </w:r>
          </w:p>
        </w:tc>
      </w:tr>
      <w:tr w:rsidR="00C15C65" w:rsidRPr="002029AF" w14:paraId="08717F55" w14:textId="77777777" w:rsidTr="005B58F0">
        <w:trPr>
          <w:cantSplit/>
        </w:trPr>
        <w:tc>
          <w:tcPr>
            <w:tcW w:w="9639" w:type="dxa"/>
            <w:gridSpan w:val="11"/>
            <w:tcBorders>
              <w:top w:val="single" w:sz="4" w:space="0" w:color="auto"/>
              <w:left w:val="nil"/>
              <w:bottom w:val="nil"/>
              <w:right w:val="nil"/>
            </w:tcBorders>
            <w:hideMark/>
          </w:tcPr>
          <w:p w14:paraId="59FAE008" w14:textId="77777777" w:rsidR="00C15C65" w:rsidRPr="002029AF" w:rsidRDefault="00C15C65" w:rsidP="00D96AFD">
            <w:pPr>
              <w:pStyle w:val="ARtablegreybold"/>
            </w:pPr>
            <w:r w:rsidRPr="002029AF">
              <w:t>Quantity</w:t>
            </w:r>
          </w:p>
        </w:tc>
      </w:tr>
      <w:tr w:rsidR="00C15C65" w:rsidRPr="002029AF" w14:paraId="39824EBF" w14:textId="77777777" w:rsidTr="005B58F0">
        <w:trPr>
          <w:cantSplit/>
        </w:trPr>
        <w:tc>
          <w:tcPr>
            <w:tcW w:w="4751" w:type="dxa"/>
            <w:gridSpan w:val="2"/>
            <w:shd w:val="clear" w:color="auto" w:fill="auto"/>
            <w:hideMark/>
          </w:tcPr>
          <w:p w14:paraId="052E8CFD" w14:textId="3407791F" w:rsidR="00C15C65" w:rsidRPr="002029AF" w:rsidRDefault="00C15C65" w:rsidP="00C40F5D">
            <w:pPr>
              <w:pStyle w:val="ARtabletext"/>
            </w:pPr>
            <w:r w:rsidRPr="002029AF">
              <w:t>Workers</w:t>
            </w:r>
            <w:r w:rsidR="000A5329" w:rsidRPr="002029AF">
              <w:t xml:space="preserve"> </w:t>
            </w:r>
            <w:r w:rsidRPr="002029AF">
              <w:t>trained</w:t>
            </w:r>
            <w:r w:rsidR="000A5329" w:rsidRPr="002029AF">
              <w:t xml:space="preserve"> </w:t>
            </w:r>
            <w:r w:rsidRPr="002029AF">
              <w:t>in</w:t>
            </w:r>
            <w:r w:rsidR="000A5329" w:rsidRPr="002029AF">
              <w:t xml:space="preserve"> </w:t>
            </w:r>
            <w:r w:rsidRPr="002029AF">
              <w:t>the</w:t>
            </w:r>
            <w:r w:rsidR="000A5329" w:rsidRPr="002029AF">
              <w:t xml:space="preserve"> </w:t>
            </w:r>
            <w:r w:rsidRPr="002029AF">
              <w:t>Family</w:t>
            </w:r>
            <w:r w:rsidR="000A5329" w:rsidRPr="002029AF">
              <w:t xml:space="preserve"> </w:t>
            </w:r>
            <w:r w:rsidRPr="002029AF">
              <w:t>Violence</w:t>
            </w:r>
            <w:r w:rsidR="000A5329" w:rsidRPr="002029AF">
              <w:t xml:space="preserve"> </w:t>
            </w:r>
            <w:r w:rsidRPr="002029AF">
              <w:t>Risk</w:t>
            </w:r>
            <w:r w:rsidR="000A5329" w:rsidRPr="002029AF">
              <w:t xml:space="preserve"> </w:t>
            </w:r>
            <w:r w:rsidRPr="002029AF">
              <w:t>Assessment</w:t>
            </w:r>
            <w:r w:rsidR="000A5329" w:rsidRPr="002029AF">
              <w:t xml:space="preserve"> </w:t>
            </w:r>
            <w:r w:rsidRPr="002029AF">
              <w:t>and</w:t>
            </w:r>
            <w:r w:rsidR="000A5329" w:rsidRPr="002029AF">
              <w:t xml:space="preserve"> </w:t>
            </w:r>
            <w:r w:rsidRPr="002029AF">
              <w:t>Risk</w:t>
            </w:r>
            <w:r w:rsidR="000A5329" w:rsidRPr="002029AF">
              <w:t xml:space="preserve"> </w:t>
            </w:r>
            <w:r w:rsidRPr="002029AF">
              <w:t>Management</w:t>
            </w:r>
            <w:r w:rsidR="000A5329" w:rsidRPr="002029AF">
              <w:t xml:space="preserve"> </w:t>
            </w:r>
            <w:r w:rsidRPr="002029AF">
              <w:t>Framework</w:t>
            </w:r>
          </w:p>
        </w:tc>
        <w:tc>
          <w:tcPr>
            <w:tcW w:w="1020" w:type="dxa"/>
            <w:gridSpan w:val="2"/>
            <w:shd w:val="clear" w:color="auto" w:fill="auto"/>
            <w:hideMark/>
          </w:tcPr>
          <w:p w14:paraId="65E386B9" w14:textId="77777777" w:rsidR="00C15C65" w:rsidRPr="002029AF" w:rsidRDefault="00C15C65" w:rsidP="00C40F5D">
            <w:pPr>
              <w:pStyle w:val="ARtabletext"/>
            </w:pPr>
            <w:r w:rsidRPr="002029AF">
              <w:t>number</w:t>
            </w:r>
          </w:p>
        </w:tc>
        <w:tc>
          <w:tcPr>
            <w:tcW w:w="1020" w:type="dxa"/>
            <w:gridSpan w:val="2"/>
            <w:shd w:val="clear" w:color="auto" w:fill="auto"/>
            <w:hideMark/>
          </w:tcPr>
          <w:p w14:paraId="64B4459D" w14:textId="77777777" w:rsidR="00C15C65" w:rsidRPr="002029AF" w:rsidRDefault="00C15C65" w:rsidP="000024F3">
            <w:pPr>
              <w:pStyle w:val="ARtabletextright"/>
            </w:pPr>
            <w:r w:rsidRPr="002029AF">
              <w:t>10,000</w:t>
            </w:r>
          </w:p>
        </w:tc>
        <w:tc>
          <w:tcPr>
            <w:tcW w:w="1020" w:type="dxa"/>
            <w:gridSpan w:val="2"/>
            <w:shd w:val="clear" w:color="auto" w:fill="auto"/>
            <w:hideMark/>
          </w:tcPr>
          <w:p w14:paraId="72DF9324" w14:textId="77777777" w:rsidR="00C15C65" w:rsidRPr="002029AF" w:rsidRDefault="00C15C65" w:rsidP="000024F3">
            <w:pPr>
              <w:pStyle w:val="ARtabletextright"/>
            </w:pPr>
            <w:r w:rsidRPr="002029AF">
              <w:t>10,553</w:t>
            </w:r>
          </w:p>
        </w:tc>
        <w:tc>
          <w:tcPr>
            <w:tcW w:w="1024" w:type="dxa"/>
            <w:shd w:val="clear" w:color="auto" w:fill="auto"/>
          </w:tcPr>
          <w:p w14:paraId="061CB6A1" w14:textId="77777777" w:rsidR="00C15C65" w:rsidRPr="002029AF" w:rsidRDefault="00C15C65" w:rsidP="000024F3">
            <w:pPr>
              <w:pStyle w:val="ARtabletextright"/>
            </w:pPr>
            <w:r w:rsidRPr="002029AF">
              <w:t>5.5</w:t>
            </w:r>
          </w:p>
        </w:tc>
        <w:tc>
          <w:tcPr>
            <w:tcW w:w="804" w:type="dxa"/>
            <w:gridSpan w:val="2"/>
            <w:shd w:val="clear" w:color="auto" w:fill="auto"/>
            <w:hideMark/>
          </w:tcPr>
          <w:p w14:paraId="1696FD5B"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2C0D8C3F" w14:textId="77777777" w:rsidTr="005B58F0">
        <w:trPr>
          <w:cantSplit/>
        </w:trPr>
        <w:tc>
          <w:tcPr>
            <w:tcW w:w="9639" w:type="dxa"/>
            <w:gridSpan w:val="11"/>
            <w:tcBorders>
              <w:bottom w:val="single" w:sz="4" w:space="0" w:color="BFBFBF"/>
            </w:tcBorders>
            <w:shd w:val="clear" w:color="auto" w:fill="auto"/>
            <w:noWrap/>
            <w:hideMark/>
          </w:tcPr>
          <w:p w14:paraId="5713C230" w14:textId="4BD6CE01" w:rsidR="00C15C65" w:rsidRPr="002029AF" w:rsidRDefault="00C15C65" w:rsidP="00D96AFD">
            <w:pPr>
              <w:pStyle w:val="ARtablenoteindent"/>
            </w:pPr>
            <w:r w:rsidRPr="002029AF">
              <w:t>The</w:t>
            </w:r>
            <w:r w:rsidR="000A5329" w:rsidRPr="002029AF">
              <w:t xml:space="preserve"> </w:t>
            </w:r>
            <w:r w:rsidRPr="002029AF">
              <w:t>number</w:t>
            </w:r>
            <w:r w:rsidR="000A5329" w:rsidRPr="002029AF">
              <w:t xml:space="preserve"> </w:t>
            </w:r>
            <w:r w:rsidRPr="002029AF">
              <w:t>of</w:t>
            </w:r>
            <w:r w:rsidR="000A5329" w:rsidRPr="002029AF">
              <w:t xml:space="preserve"> </w:t>
            </w:r>
            <w:r w:rsidRPr="002029AF">
              <w:t>workers</w:t>
            </w:r>
            <w:r w:rsidR="000A5329" w:rsidRPr="002029AF">
              <w:t xml:space="preserve"> </w:t>
            </w:r>
            <w:r w:rsidRPr="002029AF">
              <w:t>trained</w:t>
            </w:r>
            <w:r w:rsidR="000A5329" w:rsidRPr="002029AF">
              <w:t xml:space="preserve"> </w:t>
            </w:r>
            <w:r w:rsidRPr="002029AF">
              <w:t>in</w:t>
            </w:r>
            <w:r w:rsidR="000A5329" w:rsidRPr="002029AF">
              <w:t xml:space="preserve"> </w:t>
            </w:r>
            <w:r w:rsidRPr="002029AF">
              <w:t>the</w:t>
            </w:r>
            <w:r w:rsidR="000A5329" w:rsidRPr="002029AF">
              <w:t xml:space="preserve"> </w:t>
            </w:r>
            <w:r w:rsidRPr="002029AF">
              <w:t>Family</w:t>
            </w:r>
            <w:r w:rsidR="000A5329" w:rsidRPr="002029AF">
              <w:t xml:space="preserve"> </w:t>
            </w:r>
            <w:r w:rsidRPr="002029AF">
              <w:t>Violence</w:t>
            </w:r>
            <w:r w:rsidR="000A5329" w:rsidRPr="002029AF">
              <w:t xml:space="preserve"> </w:t>
            </w:r>
            <w:r w:rsidRPr="002029AF">
              <w:t>Multi-Agency</w:t>
            </w:r>
            <w:r w:rsidR="000A5329" w:rsidRPr="002029AF">
              <w:t xml:space="preserve"> </w:t>
            </w:r>
            <w:r w:rsidRPr="002029AF">
              <w:t>Risk</w:t>
            </w:r>
            <w:r w:rsidR="000A5329" w:rsidRPr="002029AF">
              <w:t xml:space="preserve"> </w:t>
            </w:r>
            <w:r w:rsidRPr="002029AF">
              <w:t>Assessment</w:t>
            </w:r>
            <w:r w:rsidR="000A5329" w:rsidRPr="002029AF">
              <w:t xml:space="preserve"> </w:t>
            </w:r>
            <w:r w:rsidRPr="002029AF">
              <w:t>and</w:t>
            </w:r>
            <w:r w:rsidR="000A5329" w:rsidRPr="002029AF">
              <w:t xml:space="preserve"> </w:t>
            </w:r>
            <w:r w:rsidRPr="002029AF">
              <w:t>Management</w:t>
            </w:r>
            <w:r w:rsidR="000A5329" w:rsidRPr="002029AF">
              <w:t xml:space="preserve"> </w:t>
            </w:r>
            <w:r w:rsidRPr="002029AF">
              <w:t>Framework</w:t>
            </w:r>
            <w:r w:rsidR="000A5329" w:rsidRPr="002029AF">
              <w:t xml:space="preserve"> </w:t>
            </w:r>
            <w:r w:rsidRPr="002029AF">
              <w:t>in</w:t>
            </w:r>
            <w:r w:rsidR="000A5329" w:rsidRPr="002029AF">
              <w:t xml:space="preserve"> </w:t>
            </w:r>
            <w:r w:rsidRPr="002029AF">
              <w:t>201</w:t>
            </w:r>
            <w:r w:rsidR="00DB53E6" w:rsidRPr="002029AF">
              <w:t>9–</w:t>
            </w:r>
            <w:r w:rsidRPr="002029AF">
              <w:t>20</w:t>
            </w:r>
            <w:r w:rsidR="000A5329" w:rsidRPr="002029AF">
              <w:t xml:space="preserve"> </w:t>
            </w:r>
            <w:r w:rsidRPr="002029AF">
              <w:t>is</w:t>
            </w:r>
            <w:r w:rsidR="000A5329" w:rsidRPr="002029AF">
              <w:t xml:space="preserve"> </w:t>
            </w:r>
            <w:r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despite</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restrictions</w:t>
            </w:r>
            <w:r w:rsidR="000A5329" w:rsidRPr="002029AF">
              <w:t xml:space="preserve"> </w:t>
            </w:r>
            <w:r w:rsidRPr="002029AF">
              <w:t>impacting</w:t>
            </w:r>
            <w:r w:rsidR="000A5329" w:rsidRPr="002029AF">
              <w:t xml:space="preserve"> </w:t>
            </w:r>
            <w:r w:rsidRPr="002029AF">
              <w:t>on</w:t>
            </w:r>
            <w:r w:rsidR="000A5329" w:rsidRPr="002029AF">
              <w:t xml:space="preserve"> </w:t>
            </w:r>
            <w:r w:rsidRPr="002029AF">
              <w:t>access</w:t>
            </w:r>
            <w:r w:rsidR="000A5329" w:rsidRPr="002029AF">
              <w:t xml:space="preserve"> </w:t>
            </w:r>
            <w:r w:rsidRPr="002029AF">
              <w:t>to</w:t>
            </w:r>
            <w:r w:rsidR="000A5329" w:rsidRPr="002029AF">
              <w:t xml:space="preserve"> </w:t>
            </w:r>
            <w:r w:rsidRPr="002029AF">
              <w:t>face-to-face</w:t>
            </w:r>
            <w:r w:rsidR="000A5329" w:rsidRPr="002029AF">
              <w:t xml:space="preserve"> </w:t>
            </w:r>
            <w:r w:rsidRPr="002029AF">
              <w:t>training</w:t>
            </w:r>
            <w:r w:rsidR="000A5329" w:rsidRPr="002029AF">
              <w:t xml:space="preserve"> </w:t>
            </w:r>
            <w:r w:rsidRPr="002029AF">
              <w:t>delivery</w:t>
            </w:r>
            <w:r w:rsidR="000A5329" w:rsidRPr="002029AF">
              <w:t xml:space="preserve"> </w:t>
            </w:r>
            <w:r w:rsidRPr="002029AF">
              <w:t>in</w:t>
            </w:r>
            <w:r w:rsidR="000A5329" w:rsidRPr="002029AF">
              <w:t xml:space="preserve"> </w:t>
            </w:r>
            <w:r w:rsidRPr="002029AF">
              <w:t>the</w:t>
            </w:r>
            <w:r w:rsidR="000A5329" w:rsidRPr="002029AF">
              <w:t xml:space="preserve"> </w:t>
            </w:r>
            <w:r w:rsidRPr="002029AF">
              <w:t>fourth</w:t>
            </w:r>
            <w:r w:rsidR="000A5329" w:rsidRPr="002029AF">
              <w:t xml:space="preserve"> </w:t>
            </w:r>
            <w:r w:rsidR="002029AF" w:rsidRPr="002029AF">
              <w:t>quarter. This</w:t>
            </w:r>
            <w:r w:rsidR="000A5329" w:rsidRPr="002029AF">
              <w:t xml:space="preserve"> </w:t>
            </w:r>
            <w:r w:rsidRPr="002029AF">
              <w:t>is</w:t>
            </w:r>
            <w:r w:rsidR="000A5329" w:rsidRPr="002029AF">
              <w:t xml:space="preserve"> </w:t>
            </w:r>
            <w:r w:rsidRPr="002029AF">
              <w:t>a</w:t>
            </w:r>
            <w:r w:rsidR="000A5329" w:rsidRPr="002029AF">
              <w:t xml:space="preserve"> </w:t>
            </w:r>
            <w:r w:rsidRPr="002029AF">
              <w:t>positive</w:t>
            </w:r>
            <w:r w:rsidR="000A5329" w:rsidRPr="002029AF">
              <w:t xml:space="preserve"> </w:t>
            </w:r>
            <w:r w:rsidRPr="002029AF">
              <w:t>result.</w:t>
            </w:r>
          </w:p>
        </w:tc>
      </w:tr>
      <w:tr w:rsidR="00C15C65" w:rsidRPr="002029AF" w14:paraId="6A5ED73A" w14:textId="77777777" w:rsidTr="005B58F0">
        <w:trPr>
          <w:cantSplit/>
        </w:trPr>
        <w:tc>
          <w:tcPr>
            <w:tcW w:w="4751" w:type="dxa"/>
            <w:gridSpan w:val="2"/>
            <w:shd w:val="clear" w:color="auto" w:fill="auto"/>
            <w:hideMark/>
          </w:tcPr>
          <w:p w14:paraId="1ECA1A71" w14:textId="2C66E690" w:rsidR="00C15C65" w:rsidRPr="002029AF" w:rsidRDefault="00C15C65" w:rsidP="00C40F5D">
            <w:pPr>
              <w:pStyle w:val="ARtabletext"/>
            </w:pPr>
            <w:r w:rsidRPr="002029AF">
              <w:t>Support</w:t>
            </w:r>
            <w:r w:rsidR="000A5329" w:rsidRPr="002029AF">
              <w:t xml:space="preserve"> </w:t>
            </w:r>
            <w:r w:rsidRPr="002029AF">
              <w:t>and</w:t>
            </w:r>
            <w:r w:rsidR="000A5329" w:rsidRPr="002029AF">
              <w:t xml:space="preserve"> </w:t>
            </w:r>
            <w:r w:rsidRPr="002029AF">
              <w:t>Safety</w:t>
            </w:r>
            <w:r w:rsidR="000A5329" w:rsidRPr="002029AF">
              <w:t xml:space="preserve"> </w:t>
            </w:r>
            <w:r w:rsidRPr="002029AF">
              <w:t>Hubs</w:t>
            </w:r>
            <w:r w:rsidR="000A5329" w:rsidRPr="002029AF">
              <w:t xml:space="preserve"> </w:t>
            </w:r>
            <w:r w:rsidRPr="002029AF">
              <w:t>established</w:t>
            </w:r>
          </w:p>
        </w:tc>
        <w:tc>
          <w:tcPr>
            <w:tcW w:w="1020" w:type="dxa"/>
            <w:gridSpan w:val="2"/>
            <w:shd w:val="clear" w:color="auto" w:fill="auto"/>
            <w:hideMark/>
          </w:tcPr>
          <w:p w14:paraId="4A651474" w14:textId="77777777" w:rsidR="00C15C65" w:rsidRPr="002029AF" w:rsidRDefault="00C15C65" w:rsidP="00C40F5D">
            <w:pPr>
              <w:pStyle w:val="ARtabletext"/>
            </w:pPr>
            <w:r w:rsidRPr="002029AF">
              <w:t>number</w:t>
            </w:r>
          </w:p>
        </w:tc>
        <w:tc>
          <w:tcPr>
            <w:tcW w:w="1020" w:type="dxa"/>
            <w:gridSpan w:val="2"/>
            <w:shd w:val="clear" w:color="auto" w:fill="auto"/>
            <w:hideMark/>
          </w:tcPr>
          <w:p w14:paraId="22CE70D9" w14:textId="77777777" w:rsidR="00C15C65" w:rsidRPr="002029AF" w:rsidRDefault="00C15C65" w:rsidP="000024F3">
            <w:pPr>
              <w:pStyle w:val="ARtabletextright"/>
            </w:pPr>
            <w:r w:rsidRPr="002029AF">
              <w:t>8</w:t>
            </w:r>
          </w:p>
        </w:tc>
        <w:tc>
          <w:tcPr>
            <w:tcW w:w="1020" w:type="dxa"/>
            <w:gridSpan w:val="2"/>
            <w:shd w:val="clear" w:color="auto" w:fill="auto"/>
            <w:hideMark/>
          </w:tcPr>
          <w:p w14:paraId="64CBEBFA" w14:textId="77777777" w:rsidR="00C15C65" w:rsidRPr="002029AF" w:rsidRDefault="00C15C65" w:rsidP="000024F3">
            <w:pPr>
              <w:pStyle w:val="ARtabletextright"/>
            </w:pPr>
            <w:r w:rsidRPr="002029AF">
              <w:t>5</w:t>
            </w:r>
          </w:p>
        </w:tc>
        <w:tc>
          <w:tcPr>
            <w:tcW w:w="1024" w:type="dxa"/>
            <w:shd w:val="clear" w:color="auto" w:fill="auto"/>
          </w:tcPr>
          <w:p w14:paraId="7E28CA08" w14:textId="77777777" w:rsidR="00C15C65" w:rsidRPr="002029AF" w:rsidRDefault="00C15C65" w:rsidP="000024F3">
            <w:pPr>
              <w:pStyle w:val="ARtabletextright"/>
            </w:pPr>
            <w:r w:rsidRPr="002029AF">
              <w:t>-37.5</w:t>
            </w:r>
          </w:p>
        </w:tc>
        <w:tc>
          <w:tcPr>
            <w:tcW w:w="804" w:type="dxa"/>
            <w:gridSpan w:val="2"/>
            <w:shd w:val="clear" w:color="auto" w:fill="auto"/>
            <w:hideMark/>
          </w:tcPr>
          <w:p w14:paraId="7DDB8A8A"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19908C36" w14:textId="77777777" w:rsidTr="005B58F0">
        <w:trPr>
          <w:cantSplit/>
        </w:trPr>
        <w:tc>
          <w:tcPr>
            <w:tcW w:w="9639" w:type="dxa"/>
            <w:gridSpan w:val="11"/>
            <w:tcBorders>
              <w:bottom w:val="single" w:sz="4" w:space="0" w:color="BFBFBF"/>
            </w:tcBorders>
            <w:shd w:val="clear" w:color="auto" w:fill="auto"/>
            <w:noWrap/>
            <w:hideMark/>
          </w:tcPr>
          <w:p w14:paraId="5373B917" w14:textId="466E2468" w:rsidR="00C15C65" w:rsidRPr="002029AF" w:rsidRDefault="00C15C65" w:rsidP="00D96AFD">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lower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the</w:t>
            </w:r>
            <w:r w:rsidR="000A5329" w:rsidRPr="002029AF">
              <w:t xml:space="preserve"> </w:t>
            </w:r>
            <w:r w:rsidRPr="002029AF">
              <w:t>delay</w:t>
            </w:r>
            <w:r w:rsidR="000A5329" w:rsidRPr="002029AF">
              <w:t xml:space="preserve"> </w:t>
            </w:r>
            <w:r w:rsidRPr="002029AF">
              <w:t>in</w:t>
            </w:r>
            <w:r w:rsidR="000A5329" w:rsidRPr="002029AF">
              <w:t xml:space="preserve"> </w:t>
            </w:r>
            <w:r w:rsidRPr="002029AF">
              <w:t>service</w:t>
            </w:r>
            <w:r w:rsidR="000A5329" w:rsidRPr="002029AF">
              <w:t xml:space="preserve"> </w:t>
            </w:r>
            <w:r w:rsidRPr="002029AF">
              <w:t>commencement</w:t>
            </w:r>
            <w:r w:rsidR="000A5329" w:rsidRPr="002029AF">
              <w:t xml:space="preserve"> </w:t>
            </w:r>
            <w:r w:rsidRPr="002029AF">
              <w:t>in</w:t>
            </w:r>
            <w:r w:rsidR="000A5329" w:rsidRPr="002029AF">
              <w:t xml:space="preserve"> </w:t>
            </w:r>
            <w:r w:rsidRPr="002029AF">
              <w:t>Central</w:t>
            </w:r>
            <w:r w:rsidR="000A5329" w:rsidRPr="002029AF">
              <w:t xml:space="preserve"> </w:t>
            </w:r>
            <w:r w:rsidRPr="002029AF">
              <w:t>Highlands,</w:t>
            </w:r>
            <w:r w:rsidR="000A5329" w:rsidRPr="002029AF">
              <w:t xml:space="preserve"> </w:t>
            </w:r>
            <w:r w:rsidRPr="002029AF">
              <w:t>Loddon</w:t>
            </w:r>
            <w:r w:rsidR="000A5329" w:rsidRPr="002029AF">
              <w:t xml:space="preserve"> </w:t>
            </w:r>
            <w:r w:rsidRPr="002029AF">
              <w:t>and</w:t>
            </w:r>
            <w:r w:rsidR="000A5329" w:rsidRPr="002029AF">
              <w:t xml:space="preserve"> </w:t>
            </w:r>
            <w:r w:rsidRPr="002029AF">
              <w:t>Goulburn.</w:t>
            </w:r>
            <w:r w:rsidR="000A5329" w:rsidRPr="002029AF">
              <w:t xml:space="preserve"> </w:t>
            </w:r>
            <w:r w:rsidR="00E67640" w:rsidRPr="00E67640">
              <w:t xml:space="preserve">The delays in infrastructure and services due to </w:t>
            </w:r>
            <w:r w:rsidR="008C420D">
              <w:t>coronavirus (</w:t>
            </w:r>
            <w:r w:rsidR="00E67640" w:rsidRPr="00E67640">
              <w:t>COVID</w:t>
            </w:r>
            <w:r w:rsidR="008C420D">
              <w:t>-19)</w:t>
            </w:r>
            <w:r w:rsidR="00E67640" w:rsidRPr="00E67640">
              <w:t xml:space="preserve"> have had a modest impact on opening dates for </w:t>
            </w:r>
            <w:r w:rsidRPr="002029AF">
              <w:t>Loddon</w:t>
            </w:r>
            <w:r w:rsidR="000A5329" w:rsidRPr="002029AF">
              <w:t xml:space="preserve"> </w:t>
            </w:r>
            <w:r w:rsidRPr="002029AF">
              <w:t>and</w:t>
            </w:r>
            <w:r w:rsidR="000A5329" w:rsidRPr="002029AF">
              <w:t xml:space="preserve"> </w:t>
            </w:r>
            <w:r w:rsidRPr="002029AF">
              <w:t>Goulburn,</w:t>
            </w:r>
            <w:r w:rsidR="000A5329" w:rsidRPr="002029AF">
              <w:t xml:space="preserve"> </w:t>
            </w:r>
            <w:r w:rsidRPr="002029AF">
              <w:t>with</w:t>
            </w:r>
            <w:r w:rsidR="000A5329" w:rsidRPr="002029AF">
              <w:t xml:space="preserve"> </w:t>
            </w:r>
            <w:r w:rsidRPr="002029AF">
              <w:t>services</w:t>
            </w:r>
            <w:r w:rsidR="000A5329" w:rsidRPr="002029AF">
              <w:t xml:space="preserve"> </w:t>
            </w:r>
            <w:r w:rsidRPr="002029AF">
              <w:t>now</w:t>
            </w:r>
            <w:r w:rsidR="000A5329" w:rsidRPr="002029AF">
              <w:t xml:space="preserve"> </w:t>
            </w:r>
            <w:r w:rsidRPr="002029AF">
              <w:t>expected</w:t>
            </w:r>
            <w:r w:rsidR="000A5329" w:rsidRPr="002029AF">
              <w:t xml:space="preserve"> </w:t>
            </w:r>
            <w:r w:rsidRPr="002029AF">
              <w:t>to</w:t>
            </w:r>
            <w:r w:rsidR="000A5329" w:rsidRPr="002029AF">
              <w:t xml:space="preserve"> </w:t>
            </w:r>
            <w:r w:rsidRPr="002029AF">
              <w:t>commence</w:t>
            </w:r>
            <w:r w:rsidR="000A5329" w:rsidRPr="002029AF">
              <w:t xml:space="preserve"> </w:t>
            </w:r>
            <w:r w:rsidRPr="002029AF">
              <w:t>in</w:t>
            </w:r>
            <w:r w:rsidR="000A5329" w:rsidRPr="002029AF">
              <w:t xml:space="preserve"> </w:t>
            </w:r>
            <w:r w:rsidRPr="002029AF">
              <w:t>202</w:t>
            </w:r>
            <w:r w:rsidR="00DB53E6" w:rsidRPr="002029AF">
              <w:t>0–</w:t>
            </w:r>
            <w:r w:rsidRPr="002029AF">
              <w:t>21.</w:t>
            </w:r>
            <w:r w:rsidR="000A5329" w:rsidRPr="002029AF">
              <w:t xml:space="preserve"> </w:t>
            </w:r>
            <w:r w:rsidRPr="002029AF">
              <w:t>Central</w:t>
            </w:r>
            <w:r w:rsidR="000A5329" w:rsidRPr="002029AF">
              <w:t xml:space="preserve"> </w:t>
            </w:r>
            <w:r w:rsidRPr="002029AF">
              <w:t>Highlands</w:t>
            </w:r>
            <w:r w:rsidR="000A5329" w:rsidRPr="002029AF">
              <w:t xml:space="preserve"> </w:t>
            </w:r>
            <w:r w:rsidRPr="002029AF">
              <w:t>was</w:t>
            </w:r>
            <w:r w:rsidR="000A5329" w:rsidRPr="002029AF">
              <w:t xml:space="preserve"> </w:t>
            </w:r>
            <w:r w:rsidRPr="002029AF">
              <w:t>impacted</w:t>
            </w:r>
            <w:r w:rsidR="000A5329" w:rsidRPr="002029AF">
              <w:t xml:space="preserve"> </w:t>
            </w:r>
            <w:r w:rsidRPr="002029AF">
              <w:t>by</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restrictions</w:t>
            </w:r>
            <w:r w:rsidR="000A5329" w:rsidRPr="002029AF">
              <w:t xml:space="preserve"> </w:t>
            </w:r>
            <w:r w:rsidRPr="002029AF">
              <w:t>and</w:t>
            </w:r>
            <w:r w:rsidR="000A5329" w:rsidRPr="002029AF">
              <w:t xml:space="preserve"> </w:t>
            </w:r>
            <w:r w:rsidRPr="002029AF">
              <w:t>current</w:t>
            </w:r>
            <w:r w:rsidR="000A5329" w:rsidRPr="002029AF">
              <w:t xml:space="preserve"> </w:t>
            </w:r>
            <w:r w:rsidRPr="002029AF">
              <w:t>physical</w:t>
            </w:r>
            <w:r w:rsidR="000A5329" w:rsidRPr="002029AF">
              <w:t xml:space="preserve"> </w:t>
            </w:r>
            <w:r w:rsidRPr="002029AF">
              <w:t>distancing</w:t>
            </w:r>
            <w:r w:rsidR="000A5329" w:rsidRPr="002029AF">
              <w:t xml:space="preserve"> </w:t>
            </w:r>
            <w:r w:rsidRPr="002029AF">
              <w:t>measures.</w:t>
            </w:r>
            <w:r w:rsidR="000A5329" w:rsidRPr="002029AF">
              <w:t xml:space="preserve"> </w:t>
            </w:r>
            <w:r w:rsidRPr="002029AF">
              <w:t>The</w:t>
            </w:r>
            <w:r w:rsidR="000A5329" w:rsidRPr="002029AF">
              <w:t xml:space="preserve"> </w:t>
            </w:r>
            <w:r w:rsidRPr="002029AF">
              <w:t>infrastructure</w:t>
            </w:r>
            <w:r w:rsidR="000A5329" w:rsidRPr="002029AF">
              <w:t xml:space="preserve"> </w:t>
            </w:r>
            <w:r w:rsidRPr="002029AF">
              <w:t>is</w:t>
            </w:r>
            <w:r w:rsidR="000A5329" w:rsidRPr="002029AF">
              <w:t xml:space="preserve"> </w:t>
            </w:r>
            <w:r w:rsidRPr="002029AF">
              <w:t>complete</w:t>
            </w:r>
            <w:r w:rsidR="000A5329" w:rsidRPr="002029AF">
              <w:t xml:space="preserve"> </w:t>
            </w:r>
            <w:r w:rsidRPr="002029AF">
              <w:t>and</w:t>
            </w:r>
            <w:r w:rsidR="000A5329" w:rsidRPr="002029AF">
              <w:t xml:space="preserve"> </w:t>
            </w:r>
            <w:r w:rsidRPr="002029AF">
              <w:t>all</w:t>
            </w:r>
            <w:r w:rsidR="000A5329" w:rsidRPr="002029AF">
              <w:t xml:space="preserve"> </w:t>
            </w:r>
            <w:r w:rsidRPr="002029AF">
              <w:t>service</w:t>
            </w:r>
            <w:r w:rsidR="000A5329" w:rsidRPr="002029AF">
              <w:t xml:space="preserve"> </w:t>
            </w:r>
            <w:r w:rsidRPr="002029AF">
              <w:t>prerequisites</w:t>
            </w:r>
            <w:r w:rsidR="000A5329" w:rsidRPr="002029AF">
              <w:t xml:space="preserve"> </w:t>
            </w:r>
            <w:r w:rsidRPr="002029AF">
              <w:t>have</w:t>
            </w:r>
            <w:r w:rsidR="000A5329" w:rsidRPr="002029AF">
              <w:t xml:space="preserve"> </w:t>
            </w:r>
            <w:r w:rsidRPr="002029AF">
              <w:t>been</w:t>
            </w:r>
            <w:r w:rsidR="000A5329" w:rsidRPr="002029AF">
              <w:t xml:space="preserve"> </w:t>
            </w:r>
            <w:r w:rsidRPr="002029AF">
              <w:t>met.</w:t>
            </w:r>
            <w:r w:rsidR="000A5329" w:rsidRPr="002029AF">
              <w:t xml:space="preserve"> </w:t>
            </w:r>
            <w:r w:rsidRPr="002029AF">
              <w:t>The</w:t>
            </w:r>
            <w:r w:rsidR="000A5329" w:rsidRPr="002029AF">
              <w:t xml:space="preserve"> </w:t>
            </w:r>
            <w:r w:rsidRPr="002029AF">
              <w:t>service</w:t>
            </w:r>
            <w:r w:rsidR="000A5329" w:rsidRPr="002029AF">
              <w:t xml:space="preserve"> </w:t>
            </w:r>
            <w:r w:rsidRPr="002029AF">
              <w:t>is</w:t>
            </w:r>
            <w:r w:rsidR="000A5329" w:rsidRPr="002029AF">
              <w:t xml:space="preserve"> </w:t>
            </w:r>
            <w:r w:rsidRPr="002029AF">
              <w:t>therefore</w:t>
            </w:r>
            <w:r w:rsidR="000A5329" w:rsidRPr="002029AF">
              <w:t xml:space="preserve"> </w:t>
            </w:r>
            <w:r w:rsidRPr="002029AF">
              <w:t>ready</w:t>
            </w:r>
            <w:r w:rsidR="000A5329" w:rsidRPr="002029AF">
              <w:t xml:space="preserve"> </w:t>
            </w:r>
            <w:r w:rsidRPr="002029AF">
              <w:t>to</w:t>
            </w:r>
            <w:r w:rsidR="000A5329" w:rsidRPr="002029AF">
              <w:t xml:space="preserve"> </w:t>
            </w:r>
            <w:r w:rsidRPr="002029AF">
              <w:t>commence</w:t>
            </w:r>
            <w:r w:rsidR="000A5329" w:rsidRPr="002029AF">
              <w:t xml:space="preserve"> </w:t>
            </w:r>
            <w:r w:rsidRPr="002029AF">
              <w:t>as</w:t>
            </w:r>
            <w:r w:rsidR="000A5329" w:rsidRPr="002029AF">
              <w:t xml:space="preserve"> </w:t>
            </w:r>
            <w:r w:rsidRPr="002029AF">
              <w:t>soon</w:t>
            </w:r>
            <w:r w:rsidR="000A5329" w:rsidRPr="002029AF">
              <w:t xml:space="preserve"> </w:t>
            </w:r>
            <w:r w:rsidRPr="002029AF">
              <w:t>as</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restrictions</w:t>
            </w:r>
            <w:r w:rsidR="000A5329" w:rsidRPr="002029AF">
              <w:t xml:space="preserve"> </w:t>
            </w:r>
            <w:r w:rsidRPr="002029AF">
              <w:t>are</w:t>
            </w:r>
            <w:r w:rsidR="000A5329" w:rsidRPr="002029AF">
              <w:t xml:space="preserve"> </w:t>
            </w:r>
            <w:r w:rsidRPr="002029AF">
              <w:t>sufficiently</w:t>
            </w:r>
            <w:r w:rsidR="000A5329" w:rsidRPr="002029AF">
              <w:t xml:space="preserve"> </w:t>
            </w:r>
            <w:r w:rsidRPr="002029AF">
              <w:t>eased.</w:t>
            </w:r>
          </w:p>
        </w:tc>
      </w:tr>
      <w:tr w:rsidR="00C15C65" w:rsidRPr="002029AF" w14:paraId="1C3653FD" w14:textId="77777777" w:rsidTr="005B58F0">
        <w:trPr>
          <w:cantSplit/>
        </w:trPr>
        <w:tc>
          <w:tcPr>
            <w:tcW w:w="4751" w:type="dxa"/>
            <w:gridSpan w:val="2"/>
            <w:shd w:val="clear" w:color="auto" w:fill="auto"/>
            <w:hideMark/>
          </w:tcPr>
          <w:p w14:paraId="595FB9D3" w14:textId="35ECEC86" w:rsidR="00C15C65" w:rsidRPr="002029AF" w:rsidRDefault="00C15C65" w:rsidP="00C40F5D">
            <w:pPr>
              <w:pStyle w:val="ARtabletext"/>
            </w:pPr>
            <w:r w:rsidRPr="002029AF">
              <w:t>Total</w:t>
            </w:r>
            <w:r w:rsidR="000A5329" w:rsidRPr="002029AF">
              <w:t xml:space="preserve"> </w:t>
            </w:r>
            <w:r w:rsidRPr="002029AF">
              <w:t>assessments</w:t>
            </w:r>
            <w:r w:rsidR="000A5329" w:rsidRPr="002029AF">
              <w:t xml:space="preserve"> </w:t>
            </w:r>
            <w:r w:rsidRPr="002029AF">
              <w:t>undertaken</w:t>
            </w:r>
            <w:r w:rsidR="000A5329" w:rsidRPr="002029AF">
              <w:t xml:space="preserve"> </w:t>
            </w:r>
            <w:r w:rsidRPr="002029AF">
              <w:t>at</w:t>
            </w:r>
            <w:r w:rsidR="000A5329" w:rsidRPr="002029AF">
              <w:t xml:space="preserve"> </w:t>
            </w:r>
            <w:r w:rsidRPr="002029AF">
              <w:t>the</w:t>
            </w:r>
            <w:r w:rsidR="000A5329" w:rsidRPr="002029AF">
              <w:t xml:space="preserve"> </w:t>
            </w:r>
            <w:r w:rsidRPr="002029AF">
              <w:t>Support</w:t>
            </w:r>
            <w:r w:rsidR="000A5329" w:rsidRPr="002029AF">
              <w:t xml:space="preserve"> </w:t>
            </w:r>
            <w:r w:rsidRPr="002029AF">
              <w:t>and</w:t>
            </w:r>
            <w:r w:rsidR="000A5329" w:rsidRPr="002029AF">
              <w:t xml:space="preserve"> </w:t>
            </w:r>
            <w:r w:rsidRPr="002029AF">
              <w:t>Safety</w:t>
            </w:r>
            <w:r w:rsidR="000A5329" w:rsidRPr="002029AF">
              <w:t xml:space="preserve"> </w:t>
            </w:r>
            <w:r w:rsidRPr="002029AF">
              <w:t>Hubs</w:t>
            </w:r>
          </w:p>
        </w:tc>
        <w:tc>
          <w:tcPr>
            <w:tcW w:w="1020" w:type="dxa"/>
            <w:gridSpan w:val="2"/>
            <w:shd w:val="clear" w:color="auto" w:fill="auto"/>
            <w:hideMark/>
          </w:tcPr>
          <w:p w14:paraId="4868B50F" w14:textId="77777777" w:rsidR="00C15C65" w:rsidRPr="002029AF" w:rsidRDefault="00C15C65" w:rsidP="00C40F5D">
            <w:pPr>
              <w:pStyle w:val="ARtabletext"/>
            </w:pPr>
            <w:r w:rsidRPr="002029AF">
              <w:t>number</w:t>
            </w:r>
          </w:p>
        </w:tc>
        <w:tc>
          <w:tcPr>
            <w:tcW w:w="1020" w:type="dxa"/>
            <w:gridSpan w:val="2"/>
            <w:shd w:val="clear" w:color="auto" w:fill="auto"/>
            <w:hideMark/>
          </w:tcPr>
          <w:p w14:paraId="73F6DF61" w14:textId="77777777" w:rsidR="00C15C65" w:rsidRPr="002029AF" w:rsidRDefault="00C15C65" w:rsidP="000024F3">
            <w:pPr>
              <w:pStyle w:val="ARtabletextright"/>
            </w:pPr>
            <w:r w:rsidRPr="002029AF">
              <w:t>8,750</w:t>
            </w:r>
          </w:p>
        </w:tc>
        <w:tc>
          <w:tcPr>
            <w:tcW w:w="1020" w:type="dxa"/>
            <w:gridSpan w:val="2"/>
            <w:shd w:val="clear" w:color="auto" w:fill="auto"/>
            <w:hideMark/>
          </w:tcPr>
          <w:p w14:paraId="60E491C2" w14:textId="77777777" w:rsidR="00C15C65" w:rsidRPr="002029AF" w:rsidRDefault="00C15C65" w:rsidP="000024F3">
            <w:pPr>
              <w:pStyle w:val="ARtabletextright"/>
            </w:pPr>
            <w:r w:rsidRPr="002029AF">
              <w:t>22,527</w:t>
            </w:r>
          </w:p>
        </w:tc>
        <w:tc>
          <w:tcPr>
            <w:tcW w:w="1024" w:type="dxa"/>
            <w:shd w:val="clear" w:color="auto" w:fill="auto"/>
          </w:tcPr>
          <w:p w14:paraId="3BB8B3B1" w14:textId="77777777" w:rsidR="00C15C65" w:rsidRPr="002029AF" w:rsidRDefault="00C15C65" w:rsidP="000024F3">
            <w:pPr>
              <w:pStyle w:val="ARtabletextright"/>
            </w:pPr>
            <w:r w:rsidRPr="002029AF">
              <w:t>157.5</w:t>
            </w:r>
          </w:p>
        </w:tc>
        <w:tc>
          <w:tcPr>
            <w:tcW w:w="804" w:type="dxa"/>
            <w:gridSpan w:val="2"/>
            <w:shd w:val="clear" w:color="auto" w:fill="auto"/>
            <w:hideMark/>
          </w:tcPr>
          <w:p w14:paraId="37D25C93"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2F8132B7" w14:textId="77777777" w:rsidTr="005B58F0">
        <w:trPr>
          <w:cantSplit/>
        </w:trPr>
        <w:tc>
          <w:tcPr>
            <w:tcW w:w="9639" w:type="dxa"/>
            <w:gridSpan w:val="11"/>
            <w:tcBorders>
              <w:bottom w:val="single" w:sz="4" w:space="0" w:color="BFBFBF"/>
            </w:tcBorders>
            <w:shd w:val="clear" w:color="auto" w:fill="auto"/>
            <w:noWrap/>
            <w:hideMark/>
          </w:tcPr>
          <w:p w14:paraId="6B40C98E" w14:textId="326FA2A2" w:rsidR="00C15C65" w:rsidRPr="002029AF" w:rsidRDefault="00C15C65" w:rsidP="00D96AFD">
            <w:pPr>
              <w:pStyle w:val="ARtablenoteindent"/>
            </w:pPr>
            <w:r w:rsidRPr="002029AF">
              <w:t>This</w:t>
            </w:r>
            <w:r w:rsidR="000A5329" w:rsidRPr="002029AF">
              <w:t xml:space="preserve"> </w:t>
            </w:r>
            <w:r w:rsidRPr="002029AF">
              <w:t>measure</w:t>
            </w:r>
            <w:r w:rsidR="000A5329" w:rsidRPr="002029AF">
              <w:t xml:space="preserve"> </w:t>
            </w:r>
            <w:r w:rsidRPr="002029AF">
              <w:t>was</w:t>
            </w:r>
            <w:r w:rsidR="000A5329" w:rsidRPr="002029AF">
              <w:t xml:space="preserve"> </w:t>
            </w:r>
            <w:r w:rsidRPr="002029AF">
              <w:t>updated</w:t>
            </w:r>
            <w:r w:rsidR="000A5329" w:rsidRPr="002029AF">
              <w:t xml:space="preserve"> </w:t>
            </w:r>
            <w:r w:rsidRPr="002029AF">
              <w:t>in</w:t>
            </w:r>
            <w:r w:rsidR="000A5329" w:rsidRPr="002029AF">
              <w:t xml:space="preserve"> </w:t>
            </w:r>
            <w:r w:rsidRPr="002029AF">
              <w:t>201</w:t>
            </w:r>
            <w:r w:rsidR="00DB53E6" w:rsidRPr="002029AF">
              <w:t>9–</w:t>
            </w:r>
            <w:r w:rsidRPr="002029AF">
              <w:t>20</w:t>
            </w:r>
            <w:r w:rsidR="000A5329" w:rsidRPr="002029AF">
              <w:t xml:space="preserve"> </w:t>
            </w:r>
            <w:r w:rsidRPr="002029AF">
              <w:t>to</w:t>
            </w:r>
            <w:r w:rsidR="000A5329" w:rsidRPr="002029AF">
              <w:t xml:space="preserve"> </w:t>
            </w:r>
            <w:r w:rsidRPr="002029AF">
              <w:t>count</w:t>
            </w:r>
            <w:r w:rsidR="000A5329" w:rsidRPr="002029AF">
              <w:t xml:space="preserve"> </w:t>
            </w:r>
            <w:r w:rsidRPr="002029AF">
              <w:t>the</w:t>
            </w:r>
            <w:r w:rsidR="000A5329" w:rsidRPr="002029AF">
              <w:t xml:space="preserve"> </w:t>
            </w:r>
            <w:r w:rsidRPr="002029AF">
              <w:t>total</w:t>
            </w:r>
            <w:r w:rsidR="000A5329" w:rsidRPr="002029AF">
              <w:t xml:space="preserve"> </w:t>
            </w:r>
            <w:r w:rsidRPr="002029AF">
              <w:t>number</w:t>
            </w:r>
            <w:r w:rsidR="000A5329" w:rsidRPr="002029AF">
              <w:t xml:space="preserve"> </w:t>
            </w:r>
            <w:r w:rsidRPr="002029AF">
              <w:t>of</w:t>
            </w:r>
            <w:r w:rsidR="000A5329" w:rsidRPr="002029AF">
              <w:t xml:space="preserve"> </w:t>
            </w:r>
            <w:r w:rsidRPr="002029AF">
              <w:t>assessments</w:t>
            </w:r>
            <w:r w:rsidR="000A5329" w:rsidRPr="002029AF">
              <w:t xml:space="preserve"> </w:t>
            </w:r>
            <w:r w:rsidRPr="002029AF">
              <w:t>undertaken,</w:t>
            </w:r>
            <w:r w:rsidR="000A5329" w:rsidRPr="002029AF">
              <w:t xml:space="preserve"> </w:t>
            </w:r>
            <w:r w:rsidRPr="002029AF">
              <w:t>rather</w:t>
            </w:r>
            <w:r w:rsidR="000A5329" w:rsidRPr="002029AF">
              <w:t xml:space="preserve"> </w:t>
            </w:r>
            <w:r w:rsidRPr="002029AF">
              <w:t>than</w:t>
            </w:r>
            <w:r w:rsidR="000A5329" w:rsidRPr="002029AF">
              <w:t xml:space="preserve"> </w:t>
            </w:r>
            <w:r w:rsidRPr="002029AF">
              <w:t>the</w:t>
            </w:r>
            <w:r w:rsidR="000A5329" w:rsidRPr="002029AF">
              <w:t xml:space="preserve"> </w:t>
            </w:r>
            <w:r w:rsidRPr="002029AF">
              <w:t>total</w:t>
            </w:r>
            <w:r w:rsidR="000A5329" w:rsidRPr="002029AF">
              <w:t xml:space="preserve"> </w:t>
            </w:r>
            <w:r w:rsidRPr="002029AF">
              <w:t>number</w:t>
            </w:r>
            <w:r w:rsidR="000A5329" w:rsidRPr="002029AF">
              <w:t xml:space="preserve"> </w:t>
            </w:r>
            <w:r w:rsidRPr="002029AF">
              <w:t>completed.</w:t>
            </w:r>
            <w:r w:rsidR="000A5329" w:rsidRPr="002029AF">
              <w:t xml:space="preserve"> </w:t>
            </w:r>
            <w:r w:rsidRPr="002029AF">
              <w:t>The</w:t>
            </w:r>
            <w:r w:rsidR="000A5329" w:rsidRPr="002029AF">
              <w:t xml:space="preserve"> </w:t>
            </w:r>
            <w:r w:rsidRPr="002029AF">
              <w:t>targets</w:t>
            </w:r>
            <w:r w:rsidR="000A5329" w:rsidRPr="002029AF">
              <w:t xml:space="preserve"> </w:t>
            </w:r>
            <w:r w:rsidRPr="002029AF">
              <w:t>were</w:t>
            </w:r>
            <w:r w:rsidR="000A5329" w:rsidRPr="002029AF">
              <w:t xml:space="preserve"> </w:t>
            </w:r>
            <w:r w:rsidRPr="002029AF">
              <w:t>based</w:t>
            </w:r>
            <w:r w:rsidR="000A5329" w:rsidRPr="002029AF">
              <w:t xml:space="preserve"> </w:t>
            </w:r>
            <w:r w:rsidRPr="002029AF">
              <w:t>on</w:t>
            </w:r>
            <w:r w:rsidR="000A5329" w:rsidRPr="002029AF">
              <w:t xml:space="preserve"> </w:t>
            </w:r>
            <w:r w:rsidRPr="002029AF">
              <w:t>prior</w:t>
            </w:r>
            <w:r w:rsidR="000A5329" w:rsidRPr="002029AF">
              <w:t xml:space="preserve"> </w:t>
            </w:r>
            <w:r w:rsidRPr="002029AF">
              <w:t>years</w:t>
            </w:r>
            <w:r w:rsidR="005F298C">
              <w:t>’</w:t>
            </w:r>
            <w:r w:rsidR="000A5329" w:rsidRPr="002029AF">
              <w:t xml:space="preserve"> </w:t>
            </w:r>
            <w:r w:rsidRPr="002029AF">
              <w:t>performance,</w:t>
            </w:r>
            <w:r w:rsidR="000A5329" w:rsidRPr="002029AF">
              <w:t xml:space="preserve"> </w:t>
            </w:r>
            <w:r w:rsidRPr="002029AF">
              <w:t>and</w:t>
            </w:r>
            <w:r w:rsidR="000A5329" w:rsidRPr="002029AF">
              <w:t xml:space="preserve"> </w:t>
            </w:r>
            <w:r w:rsidRPr="002029AF">
              <w:t>reflect</w:t>
            </w:r>
            <w:r w:rsidR="000A5329" w:rsidRPr="002029AF">
              <w:t xml:space="preserve"> </w:t>
            </w:r>
            <w:r w:rsidRPr="002029AF">
              <w:t>the</w:t>
            </w:r>
            <w:r w:rsidR="000A5329" w:rsidRPr="002029AF">
              <w:t xml:space="preserve"> </w:t>
            </w:r>
            <w:r w:rsidRPr="002029AF">
              <w:t>operational</w:t>
            </w:r>
            <w:r w:rsidR="000A5329" w:rsidRPr="002029AF">
              <w:t xml:space="preserve"> </w:t>
            </w:r>
            <w:r w:rsidRPr="002029AF">
              <w:t>experience</w:t>
            </w:r>
            <w:r w:rsidR="000A5329" w:rsidRPr="002029AF">
              <w:t xml:space="preserve"> </w:t>
            </w:r>
            <w:r w:rsidRPr="002029AF">
              <w:t>of</w:t>
            </w:r>
            <w:r w:rsidR="000A5329" w:rsidRPr="002029AF">
              <w:t xml:space="preserve"> </w:t>
            </w:r>
            <w:r w:rsidRPr="002029AF">
              <w:t>The</w:t>
            </w:r>
            <w:r w:rsidR="000A5329" w:rsidRPr="002029AF">
              <w:t xml:space="preserve"> </w:t>
            </w:r>
            <w:r w:rsidRPr="002029AF">
              <w:t>Orange</w:t>
            </w:r>
            <w:r w:rsidR="000A5329" w:rsidRPr="002029AF">
              <w:t xml:space="preserve"> </w:t>
            </w:r>
            <w:r w:rsidRPr="002029AF">
              <w:t>Door</w:t>
            </w:r>
            <w:r w:rsidR="000A5329" w:rsidRPr="002029AF">
              <w:t xml:space="preserve"> </w:t>
            </w:r>
            <w:r w:rsidRPr="002029AF">
              <w:t>in</w:t>
            </w:r>
            <w:r w:rsidR="000A5329" w:rsidRPr="002029AF">
              <w:t xml:space="preserve"> </w:t>
            </w:r>
            <w:r w:rsidRPr="002029AF">
              <w:t>its</w:t>
            </w:r>
            <w:r w:rsidR="000A5329" w:rsidRPr="002029AF">
              <w:t xml:space="preserve"> </w:t>
            </w:r>
            <w:r w:rsidRPr="002029AF">
              <w:t>earliest</w:t>
            </w:r>
            <w:r w:rsidR="000A5329" w:rsidRPr="002029AF">
              <w:t xml:space="preserve"> </w:t>
            </w:r>
            <w:r w:rsidRPr="002029AF">
              <w:t>phase</w:t>
            </w:r>
            <w:r w:rsidR="000A5329" w:rsidRPr="002029AF">
              <w:t xml:space="preserve"> </w:t>
            </w:r>
            <w:r w:rsidRPr="002029AF">
              <w:t>of</w:t>
            </w:r>
            <w:r w:rsidR="000A5329" w:rsidRPr="002029AF">
              <w:t xml:space="preserve"> </w:t>
            </w:r>
            <w:r w:rsidRPr="002029AF">
              <w:t>operation.</w:t>
            </w:r>
            <w:r w:rsidR="000A5329" w:rsidRPr="002029AF">
              <w:t xml:space="preserve"> </w:t>
            </w:r>
            <w:r w:rsidRPr="002029AF">
              <w:t>It</w:t>
            </w:r>
            <w:r w:rsidR="000A5329" w:rsidRPr="002029AF">
              <w:t xml:space="preserve"> </w:t>
            </w:r>
            <w:r w:rsidRPr="002029AF">
              <w:t>is</w:t>
            </w:r>
            <w:r w:rsidR="000A5329" w:rsidRPr="002029AF">
              <w:t xml:space="preserve"> </w:t>
            </w:r>
            <w:r w:rsidRPr="002029AF">
              <w:t>important</w:t>
            </w:r>
            <w:r w:rsidR="000A5329" w:rsidRPr="002029AF">
              <w:t xml:space="preserve"> </w:t>
            </w:r>
            <w:r w:rsidRPr="002029AF">
              <w:t>for</w:t>
            </w:r>
            <w:r w:rsidR="000A5329" w:rsidRPr="002029AF">
              <w:t xml:space="preserve"> </w:t>
            </w:r>
            <w:r w:rsidRPr="002029AF">
              <w:t>context</w:t>
            </w:r>
            <w:r w:rsidR="000A5329" w:rsidRPr="002029AF">
              <w:t xml:space="preserve"> </w:t>
            </w:r>
            <w:r w:rsidRPr="002029AF">
              <w:t>to</w:t>
            </w:r>
            <w:r w:rsidR="000A5329" w:rsidRPr="002029AF">
              <w:t xml:space="preserve"> </w:t>
            </w:r>
            <w:r w:rsidRPr="002029AF">
              <w:t>note</w:t>
            </w:r>
            <w:r w:rsidR="000A5329" w:rsidRPr="002029AF">
              <w:t xml:space="preserve"> </w:t>
            </w:r>
            <w:r w:rsidRPr="002029AF">
              <w:t>that</w:t>
            </w:r>
            <w:r w:rsidR="000A5329" w:rsidRPr="002029AF">
              <w:t xml:space="preserve"> </w:t>
            </w:r>
            <w:r w:rsidRPr="002029AF">
              <w:t>in</w:t>
            </w:r>
            <w:r w:rsidR="000A5329" w:rsidRPr="002029AF">
              <w:t xml:space="preserve"> </w:t>
            </w:r>
            <w:r w:rsidRPr="002029AF">
              <w:t>a</w:t>
            </w:r>
            <w:r w:rsidR="000A5329" w:rsidRPr="002029AF">
              <w:t xml:space="preserve"> </w:t>
            </w:r>
            <w:r w:rsidRPr="002029AF">
              <w:t>small</w:t>
            </w:r>
            <w:r w:rsidR="000A5329" w:rsidRPr="002029AF">
              <w:t xml:space="preserve"> </w:t>
            </w:r>
            <w:r w:rsidRPr="002029AF">
              <w:t>number</w:t>
            </w:r>
            <w:r w:rsidR="000A5329" w:rsidRPr="002029AF">
              <w:t xml:space="preserve"> </w:t>
            </w:r>
            <w:r w:rsidRPr="002029AF">
              <w:t>of</w:t>
            </w:r>
            <w:r w:rsidR="000A5329" w:rsidRPr="002029AF">
              <w:t xml:space="preserve"> </w:t>
            </w:r>
            <w:r w:rsidRPr="002029AF">
              <w:t>instances</w:t>
            </w:r>
            <w:r w:rsidR="000A5329" w:rsidRPr="002029AF">
              <w:t xml:space="preserve"> </w:t>
            </w:r>
            <w:r w:rsidRPr="002029AF">
              <w:t>multiple</w:t>
            </w:r>
            <w:r w:rsidR="000A5329" w:rsidRPr="002029AF">
              <w:t xml:space="preserve"> </w:t>
            </w:r>
            <w:r w:rsidRPr="002029AF">
              <w:t>assessments</w:t>
            </w:r>
            <w:r w:rsidR="000A5329" w:rsidRPr="002029AF">
              <w:t xml:space="preserve"> </w:t>
            </w:r>
            <w:r w:rsidRPr="002029AF">
              <w:t>may</w:t>
            </w:r>
            <w:r w:rsidR="000A5329" w:rsidRPr="002029AF">
              <w:t xml:space="preserve"> </w:t>
            </w:r>
            <w:r w:rsidRPr="002029AF">
              <w:t>be</w:t>
            </w:r>
            <w:r w:rsidR="000A5329" w:rsidRPr="002029AF">
              <w:t xml:space="preserve"> </w:t>
            </w:r>
            <w:r w:rsidRPr="002029AF">
              <w:t>undertaken</w:t>
            </w:r>
            <w:r w:rsidR="000A5329" w:rsidRPr="002029AF">
              <w:t xml:space="preserve"> </w:t>
            </w:r>
            <w:r w:rsidRPr="002029AF">
              <w:t>for</w:t>
            </w:r>
            <w:r w:rsidR="000A5329" w:rsidRPr="002029AF">
              <w:t xml:space="preserve"> </w:t>
            </w:r>
            <w:r w:rsidRPr="002029AF">
              <w:t>a</w:t>
            </w:r>
            <w:r w:rsidR="000A5329" w:rsidRPr="002029AF">
              <w:t xml:space="preserve"> </w:t>
            </w:r>
            <w:r w:rsidRPr="002029AF">
              <w:t>single</w:t>
            </w:r>
            <w:r w:rsidR="000A5329" w:rsidRPr="002029AF">
              <w:t xml:space="preserve"> </w:t>
            </w:r>
            <w:r w:rsidRPr="002029AF">
              <w:t>client</w:t>
            </w:r>
            <w:r w:rsidR="000A5329" w:rsidRPr="002029AF">
              <w:t xml:space="preserve"> </w:t>
            </w:r>
            <w:r w:rsidRPr="002029AF">
              <w:t>case,</w:t>
            </w:r>
            <w:r w:rsidR="000A5329" w:rsidRPr="002029AF">
              <w:t xml:space="preserve"> </w:t>
            </w:r>
            <w:r w:rsidRPr="002029AF">
              <w:t>and</w:t>
            </w:r>
            <w:r w:rsidR="000A5329" w:rsidRPr="002029AF">
              <w:t xml:space="preserve"> </w:t>
            </w:r>
            <w:r w:rsidRPr="002029AF">
              <w:t>these</w:t>
            </w:r>
            <w:r w:rsidR="000A5329" w:rsidRPr="002029AF">
              <w:t xml:space="preserve"> </w:t>
            </w:r>
            <w:r w:rsidRPr="002029AF">
              <w:t>assessments</w:t>
            </w:r>
            <w:r w:rsidR="000A5329" w:rsidRPr="002029AF">
              <w:t xml:space="preserve"> </w:t>
            </w:r>
            <w:r w:rsidRPr="002029AF">
              <w:t>are</w:t>
            </w:r>
            <w:r w:rsidR="000A5329" w:rsidRPr="002029AF">
              <w:t xml:space="preserve"> </w:t>
            </w:r>
            <w:r w:rsidRPr="002029AF">
              <w:t>included</w:t>
            </w:r>
            <w:r w:rsidR="000A5329" w:rsidRPr="002029AF">
              <w:t xml:space="preserve"> </w:t>
            </w:r>
            <w:r w:rsidRPr="002029AF">
              <w:t>in</w:t>
            </w:r>
            <w:r w:rsidR="000A5329" w:rsidRPr="002029AF">
              <w:t xml:space="preserve"> </w:t>
            </w:r>
            <w:r w:rsidRPr="002029AF">
              <w:t>this</w:t>
            </w:r>
            <w:r w:rsidR="000A5329" w:rsidRPr="002029AF">
              <w:t xml:space="preserve"> </w:t>
            </w:r>
            <w:r w:rsidRPr="002029AF">
              <w:t>count.</w:t>
            </w:r>
          </w:p>
        </w:tc>
      </w:tr>
      <w:tr w:rsidR="00C15C65" w:rsidRPr="002029AF" w14:paraId="489638FC" w14:textId="77777777" w:rsidTr="005B58F0">
        <w:trPr>
          <w:cantSplit/>
        </w:trPr>
        <w:tc>
          <w:tcPr>
            <w:tcW w:w="4751" w:type="dxa"/>
            <w:gridSpan w:val="2"/>
            <w:shd w:val="clear" w:color="auto" w:fill="auto"/>
            <w:hideMark/>
          </w:tcPr>
          <w:p w14:paraId="0A836023" w14:textId="3A38D265" w:rsidR="00C15C65" w:rsidRPr="002029AF" w:rsidRDefault="00C15C65" w:rsidP="00860E95">
            <w:pPr>
              <w:pStyle w:val="ARtabletext"/>
              <w:keepNext/>
            </w:pPr>
            <w:r w:rsidRPr="002029AF">
              <w:t>Number</w:t>
            </w:r>
            <w:r w:rsidR="000A5329" w:rsidRPr="002029AF">
              <w:t xml:space="preserve"> </w:t>
            </w:r>
            <w:r w:rsidRPr="002029AF">
              <w:t>of</w:t>
            </w:r>
            <w:r w:rsidR="000A5329" w:rsidRPr="002029AF">
              <w:t xml:space="preserve"> </w:t>
            </w:r>
            <w:r w:rsidRPr="002029AF">
              <w:t>clients</w:t>
            </w:r>
            <w:r w:rsidR="000A5329" w:rsidRPr="002029AF">
              <w:t xml:space="preserve"> </w:t>
            </w:r>
            <w:r w:rsidRPr="002029AF">
              <w:t>assisted</w:t>
            </w:r>
            <w:r w:rsidR="000A5329" w:rsidRPr="002029AF">
              <w:t xml:space="preserve"> </w:t>
            </w:r>
            <w:r w:rsidRPr="002029AF">
              <w:t>by</w:t>
            </w:r>
            <w:r w:rsidR="000A5329" w:rsidRPr="002029AF">
              <w:t xml:space="preserve"> </w:t>
            </w:r>
            <w:r w:rsidRPr="002029AF">
              <w:t>a</w:t>
            </w:r>
            <w:r w:rsidR="000A5329" w:rsidRPr="002029AF">
              <w:t xml:space="preserve"> </w:t>
            </w:r>
            <w:r w:rsidRPr="002029AF">
              <w:t>Risk</w:t>
            </w:r>
            <w:r w:rsidR="000A5329" w:rsidRPr="002029AF">
              <w:t xml:space="preserve"> </w:t>
            </w:r>
            <w:r w:rsidRPr="002029AF">
              <w:t>Assessment</w:t>
            </w:r>
            <w:r w:rsidR="000A5329" w:rsidRPr="002029AF">
              <w:t xml:space="preserve"> </w:t>
            </w:r>
            <w:r w:rsidRPr="002029AF">
              <w:t>and</w:t>
            </w:r>
            <w:r w:rsidR="000A5329" w:rsidRPr="002029AF">
              <w:t xml:space="preserve"> </w:t>
            </w:r>
            <w:r w:rsidRPr="002029AF">
              <w:t>Management</w:t>
            </w:r>
            <w:r w:rsidR="000A5329" w:rsidRPr="002029AF">
              <w:t xml:space="preserve"> </w:t>
            </w:r>
            <w:r w:rsidRPr="002029AF">
              <w:t>Panel</w:t>
            </w:r>
          </w:p>
        </w:tc>
        <w:tc>
          <w:tcPr>
            <w:tcW w:w="1020" w:type="dxa"/>
            <w:gridSpan w:val="2"/>
            <w:shd w:val="clear" w:color="auto" w:fill="auto"/>
            <w:hideMark/>
          </w:tcPr>
          <w:p w14:paraId="6D0BE765" w14:textId="77777777" w:rsidR="00C15C65" w:rsidRPr="002029AF" w:rsidRDefault="00C15C65" w:rsidP="00C40F5D">
            <w:pPr>
              <w:pStyle w:val="ARtabletext"/>
            </w:pPr>
            <w:r w:rsidRPr="002029AF">
              <w:t>number</w:t>
            </w:r>
          </w:p>
        </w:tc>
        <w:tc>
          <w:tcPr>
            <w:tcW w:w="1020" w:type="dxa"/>
            <w:gridSpan w:val="2"/>
            <w:shd w:val="clear" w:color="auto" w:fill="auto"/>
            <w:hideMark/>
          </w:tcPr>
          <w:p w14:paraId="7CB8EEDF" w14:textId="77777777" w:rsidR="00C15C65" w:rsidRPr="002029AF" w:rsidRDefault="00C15C65" w:rsidP="000024F3">
            <w:pPr>
              <w:pStyle w:val="ARtabletextright"/>
            </w:pPr>
            <w:r w:rsidRPr="002029AF">
              <w:t>650</w:t>
            </w:r>
          </w:p>
        </w:tc>
        <w:tc>
          <w:tcPr>
            <w:tcW w:w="1020" w:type="dxa"/>
            <w:gridSpan w:val="2"/>
            <w:shd w:val="clear" w:color="auto" w:fill="auto"/>
            <w:hideMark/>
          </w:tcPr>
          <w:p w14:paraId="5DB0D17A" w14:textId="77777777" w:rsidR="00C15C65" w:rsidRPr="002029AF" w:rsidRDefault="00C15C65" w:rsidP="000024F3">
            <w:pPr>
              <w:pStyle w:val="ARtabletextright"/>
            </w:pPr>
            <w:r w:rsidRPr="002029AF">
              <w:t>506</w:t>
            </w:r>
          </w:p>
        </w:tc>
        <w:tc>
          <w:tcPr>
            <w:tcW w:w="1024" w:type="dxa"/>
            <w:shd w:val="clear" w:color="auto" w:fill="auto"/>
          </w:tcPr>
          <w:p w14:paraId="636127E2" w14:textId="77777777" w:rsidR="00C15C65" w:rsidRPr="002029AF" w:rsidRDefault="00C15C65" w:rsidP="000024F3">
            <w:pPr>
              <w:pStyle w:val="ARtabletextright"/>
            </w:pPr>
            <w:r w:rsidRPr="002029AF">
              <w:t>-22.2</w:t>
            </w:r>
          </w:p>
        </w:tc>
        <w:tc>
          <w:tcPr>
            <w:tcW w:w="804" w:type="dxa"/>
            <w:gridSpan w:val="2"/>
            <w:shd w:val="clear" w:color="auto" w:fill="auto"/>
            <w:hideMark/>
          </w:tcPr>
          <w:p w14:paraId="2143FEE4"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2CA0CDF1" w14:textId="77777777" w:rsidTr="005B58F0">
        <w:trPr>
          <w:cantSplit/>
        </w:trPr>
        <w:tc>
          <w:tcPr>
            <w:tcW w:w="9639" w:type="dxa"/>
            <w:gridSpan w:val="11"/>
            <w:tcBorders>
              <w:bottom w:val="single" w:sz="4" w:space="0" w:color="BFBFBF"/>
            </w:tcBorders>
            <w:shd w:val="clear" w:color="auto" w:fill="auto"/>
            <w:noWrap/>
            <w:hideMark/>
          </w:tcPr>
          <w:p w14:paraId="4614F250" w14:textId="4E9152BC" w:rsidR="00C15C65" w:rsidRPr="002029AF" w:rsidRDefault="00947962" w:rsidP="00D96AFD">
            <w:pPr>
              <w:pStyle w:val="ARtablenoteindent"/>
            </w:pPr>
            <w:r w:rsidRPr="002029AF">
              <w:t>Preliminary result. Actual end-of-year result will be available late 2020.This result is lower than the target</w:t>
            </w:r>
            <w:r w:rsidR="004C1AF6">
              <w:t>,</w:t>
            </w:r>
            <w:r w:rsidRPr="002029AF">
              <w:t xml:space="preserve"> </w:t>
            </w:r>
            <w:r>
              <w:t xml:space="preserve">which is positive </w:t>
            </w:r>
            <w:r w:rsidRPr="002029AF">
              <w:t xml:space="preserve">as it reflects effective service delivery </w:t>
            </w:r>
            <w:r>
              <w:t>by Risk Assessment and Management coordinators</w:t>
            </w:r>
            <w:r w:rsidR="004C1AF6">
              <w:t>,</w:t>
            </w:r>
            <w:r>
              <w:t xml:space="preserve"> who facilitate well-coordinated system responses, therefore effectively </w:t>
            </w:r>
            <w:r w:rsidRPr="002029AF">
              <w:t>divert</w:t>
            </w:r>
            <w:r>
              <w:t>ing</w:t>
            </w:r>
            <w:r w:rsidRPr="002029AF">
              <w:t xml:space="preserve"> clients from a </w:t>
            </w:r>
            <w:r>
              <w:t xml:space="preserve">critical </w:t>
            </w:r>
            <w:r w:rsidRPr="002029AF">
              <w:t>Risk Assessment and Management response.</w:t>
            </w:r>
          </w:p>
        </w:tc>
      </w:tr>
      <w:tr w:rsidR="00C15C65" w:rsidRPr="002029AF" w14:paraId="1C6D3220" w14:textId="77777777" w:rsidTr="005B58F0">
        <w:trPr>
          <w:cantSplit/>
        </w:trPr>
        <w:tc>
          <w:tcPr>
            <w:tcW w:w="4751" w:type="dxa"/>
            <w:gridSpan w:val="2"/>
            <w:shd w:val="clear" w:color="auto" w:fill="auto"/>
            <w:hideMark/>
          </w:tcPr>
          <w:p w14:paraId="30095917" w14:textId="4432D36B" w:rsidR="00C15C65" w:rsidRPr="002029AF" w:rsidRDefault="00C15C65" w:rsidP="00CA3123">
            <w:pPr>
              <w:pStyle w:val="ARtabletext"/>
              <w:keepNext/>
            </w:pPr>
            <w:r w:rsidRPr="002029AF">
              <w:t>Number</w:t>
            </w:r>
            <w:r w:rsidR="000A5329" w:rsidRPr="002029AF">
              <w:t xml:space="preserve"> </w:t>
            </w:r>
            <w:r w:rsidRPr="002029AF">
              <w:t>of</w:t>
            </w:r>
            <w:r w:rsidR="000A5329" w:rsidRPr="002029AF">
              <w:t xml:space="preserve"> </w:t>
            </w:r>
            <w:r w:rsidRPr="002029AF">
              <w:t>children</w:t>
            </w:r>
            <w:r w:rsidR="000A5329" w:rsidRPr="002029AF">
              <w:t xml:space="preserve"> </w:t>
            </w:r>
            <w:r w:rsidRPr="002029AF">
              <w:t>who</w:t>
            </w:r>
            <w:r w:rsidR="000A5329" w:rsidRPr="002029AF">
              <w:t xml:space="preserve"> </w:t>
            </w:r>
            <w:r w:rsidRPr="002029AF">
              <w:t>receive</w:t>
            </w:r>
            <w:r w:rsidR="000A5329" w:rsidRPr="002029AF">
              <w:t xml:space="preserve"> </w:t>
            </w:r>
            <w:r w:rsidRPr="002029AF">
              <w:t>a</w:t>
            </w:r>
            <w:r w:rsidR="000A5329" w:rsidRPr="002029AF">
              <w:t xml:space="preserve"> </w:t>
            </w:r>
            <w:r w:rsidRPr="002029AF">
              <w:t>Sexually</w:t>
            </w:r>
            <w:r w:rsidR="000A5329" w:rsidRPr="002029AF">
              <w:t xml:space="preserve"> </w:t>
            </w:r>
            <w:r w:rsidRPr="002029AF">
              <w:t>Abusive</w:t>
            </w:r>
            <w:r w:rsidR="000A5329" w:rsidRPr="002029AF">
              <w:t xml:space="preserve"> </w:t>
            </w:r>
            <w:r w:rsidRPr="002029AF">
              <w:t>Behaviours</w:t>
            </w:r>
            <w:r w:rsidR="000A5329" w:rsidRPr="002029AF">
              <w:t xml:space="preserve"> </w:t>
            </w:r>
            <w:r w:rsidRPr="002029AF">
              <w:t>Treatment</w:t>
            </w:r>
            <w:r w:rsidR="000A5329" w:rsidRPr="002029AF">
              <w:t xml:space="preserve"> </w:t>
            </w:r>
            <w:r w:rsidRPr="002029AF">
              <w:t>Service</w:t>
            </w:r>
            <w:r w:rsidR="000A5329" w:rsidRPr="002029AF">
              <w:t xml:space="preserve"> </w:t>
            </w:r>
            <w:r w:rsidRPr="002029AF">
              <w:t>response</w:t>
            </w:r>
          </w:p>
        </w:tc>
        <w:tc>
          <w:tcPr>
            <w:tcW w:w="1020" w:type="dxa"/>
            <w:gridSpan w:val="2"/>
            <w:shd w:val="clear" w:color="auto" w:fill="auto"/>
            <w:hideMark/>
          </w:tcPr>
          <w:p w14:paraId="71AB8638" w14:textId="77777777" w:rsidR="00C15C65" w:rsidRPr="002029AF" w:rsidRDefault="00C15C65" w:rsidP="00C40F5D">
            <w:pPr>
              <w:pStyle w:val="ARtabletext"/>
            </w:pPr>
            <w:r w:rsidRPr="002029AF">
              <w:t>number</w:t>
            </w:r>
          </w:p>
        </w:tc>
        <w:tc>
          <w:tcPr>
            <w:tcW w:w="1020" w:type="dxa"/>
            <w:gridSpan w:val="2"/>
            <w:shd w:val="clear" w:color="auto" w:fill="auto"/>
            <w:hideMark/>
          </w:tcPr>
          <w:p w14:paraId="5C48FB64" w14:textId="77777777" w:rsidR="00C15C65" w:rsidRPr="002029AF" w:rsidRDefault="00C15C65" w:rsidP="000024F3">
            <w:pPr>
              <w:pStyle w:val="ARtabletextright"/>
            </w:pPr>
            <w:r w:rsidRPr="002029AF">
              <w:t>1,150</w:t>
            </w:r>
          </w:p>
        </w:tc>
        <w:tc>
          <w:tcPr>
            <w:tcW w:w="1020" w:type="dxa"/>
            <w:gridSpan w:val="2"/>
            <w:shd w:val="clear" w:color="auto" w:fill="auto"/>
            <w:hideMark/>
          </w:tcPr>
          <w:p w14:paraId="76E11EA4" w14:textId="77777777" w:rsidR="00C15C65" w:rsidRPr="002029AF" w:rsidRDefault="00C15C65" w:rsidP="000024F3">
            <w:pPr>
              <w:pStyle w:val="ARtabletextright"/>
            </w:pPr>
            <w:r w:rsidRPr="002029AF">
              <w:t>1,022</w:t>
            </w:r>
          </w:p>
        </w:tc>
        <w:tc>
          <w:tcPr>
            <w:tcW w:w="1024" w:type="dxa"/>
            <w:shd w:val="clear" w:color="auto" w:fill="auto"/>
          </w:tcPr>
          <w:p w14:paraId="35616853" w14:textId="77777777" w:rsidR="00C15C65" w:rsidRPr="002029AF" w:rsidRDefault="00C15C65" w:rsidP="000024F3">
            <w:pPr>
              <w:pStyle w:val="ARtabletextright"/>
            </w:pPr>
            <w:r w:rsidRPr="002029AF">
              <w:t>-11.1</w:t>
            </w:r>
          </w:p>
        </w:tc>
        <w:tc>
          <w:tcPr>
            <w:tcW w:w="804" w:type="dxa"/>
            <w:gridSpan w:val="2"/>
            <w:shd w:val="clear" w:color="auto" w:fill="auto"/>
            <w:hideMark/>
          </w:tcPr>
          <w:p w14:paraId="74EBFD9C"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48228E26" w14:textId="77777777" w:rsidTr="005B58F0">
        <w:trPr>
          <w:cantSplit/>
        </w:trPr>
        <w:tc>
          <w:tcPr>
            <w:tcW w:w="9639" w:type="dxa"/>
            <w:gridSpan w:val="11"/>
            <w:tcBorders>
              <w:bottom w:val="single" w:sz="4" w:space="0" w:color="BFBFBF"/>
            </w:tcBorders>
            <w:shd w:val="clear" w:color="auto" w:fill="auto"/>
            <w:noWrap/>
            <w:hideMark/>
          </w:tcPr>
          <w:p w14:paraId="2428B132" w14:textId="7BC7D3CF" w:rsidR="00C15C65" w:rsidRPr="002029AF" w:rsidRDefault="00C15C65" w:rsidP="00B67818">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lower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the</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pandemic,</w:t>
            </w:r>
            <w:r w:rsidR="000A5329" w:rsidRPr="002029AF">
              <w:t xml:space="preserve"> </w:t>
            </w:r>
            <w:r w:rsidRPr="002029AF">
              <w:t>which</w:t>
            </w:r>
            <w:r w:rsidR="000A5329" w:rsidRPr="002029AF">
              <w:t xml:space="preserve"> </w:t>
            </w:r>
            <w:r w:rsidRPr="002029AF">
              <w:t>limited</w:t>
            </w:r>
            <w:r w:rsidR="000A5329" w:rsidRPr="002029AF">
              <w:t xml:space="preserve"> </w:t>
            </w:r>
            <w:r w:rsidRPr="002029AF">
              <w:t>capacity</w:t>
            </w:r>
            <w:r w:rsidR="000A5329" w:rsidRPr="002029AF">
              <w:t xml:space="preserve"> </w:t>
            </w:r>
            <w:r w:rsidRPr="002029AF">
              <w:t>of</w:t>
            </w:r>
            <w:r w:rsidR="000A5329" w:rsidRPr="002029AF">
              <w:t xml:space="preserve"> </w:t>
            </w:r>
            <w:r w:rsidRPr="002029AF">
              <w:t>Sexually</w:t>
            </w:r>
            <w:r w:rsidR="000A5329" w:rsidRPr="002029AF">
              <w:t xml:space="preserve"> </w:t>
            </w:r>
            <w:r w:rsidRPr="002029AF">
              <w:t>Abusive</w:t>
            </w:r>
            <w:r w:rsidR="000A5329" w:rsidRPr="002029AF">
              <w:t xml:space="preserve"> </w:t>
            </w:r>
            <w:r w:rsidRPr="002029AF">
              <w:t>Behaviours</w:t>
            </w:r>
            <w:r w:rsidR="000A5329" w:rsidRPr="002029AF">
              <w:t xml:space="preserve"> </w:t>
            </w:r>
            <w:r w:rsidRPr="002029AF">
              <w:t>Treatment</w:t>
            </w:r>
            <w:r w:rsidR="000A5329" w:rsidRPr="002029AF">
              <w:t xml:space="preserve"> </w:t>
            </w:r>
            <w:r w:rsidR="00B67818">
              <w:t>s</w:t>
            </w:r>
            <w:r w:rsidRPr="002029AF">
              <w:t>ervice</w:t>
            </w:r>
            <w:r w:rsidR="000A5329" w:rsidRPr="002029AF">
              <w:t xml:space="preserve"> </w:t>
            </w:r>
            <w:r w:rsidRPr="002029AF">
              <w:t>delivery.</w:t>
            </w:r>
            <w:r w:rsidR="000A5329" w:rsidRPr="002029AF">
              <w:t xml:space="preserve"> </w:t>
            </w:r>
            <w:r w:rsidRPr="002029AF">
              <w:t>Providers</w:t>
            </w:r>
            <w:r w:rsidR="000A5329" w:rsidRPr="002029AF">
              <w:t xml:space="preserve"> </w:t>
            </w:r>
            <w:r w:rsidRPr="002029AF">
              <w:t>transitioned</w:t>
            </w:r>
            <w:r w:rsidR="000A5329" w:rsidRPr="002029AF">
              <w:t xml:space="preserve"> </w:t>
            </w:r>
            <w:r w:rsidRPr="002029AF">
              <w:t>to</w:t>
            </w:r>
            <w:r w:rsidR="000A5329" w:rsidRPr="002029AF">
              <w:t xml:space="preserve"> </w:t>
            </w:r>
            <w:r w:rsidRPr="002029AF">
              <w:t>delivery</w:t>
            </w:r>
            <w:r w:rsidR="000A5329" w:rsidRPr="002029AF">
              <w:t xml:space="preserve"> </w:t>
            </w:r>
            <w:r w:rsidRPr="002029AF">
              <w:t>of</w:t>
            </w:r>
            <w:r w:rsidR="000A5329" w:rsidRPr="002029AF">
              <w:t xml:space="preserve"> </w:t>
            </w:r>
            <w:r w:rsidRPr="002029AF">
              <w:t>services</w:t>
            </w:r>
            <w:r w:rsidR="000A5329" w:rsidRPr="002029AF">
              <w:t xml:space="preserve"> </w:t>
            </w:r>
            <w:r w:rsidRPr="002029AF">
              <w:t>online</w:t>
            </w:r>
            <w:r w:rsidR="000A5329" w:rsidRPr="002029AF">
              <w:t xml:space="preserve"> </w:t>
            </w:r>
            <w:r w:rsidRPr="002029AF">
              <w:t>or</w:t>
            </w:r>
            <w:r w:rsidR="000A5329" w:rsidRPr="002029AF">
              <w:t xml:space="preserve"> </w:t>
            </w:r>
            <w:r w:rsidRPr="002029AF">
              <w:t>over</w:t>
            </w:r>
            <w:r w:rsidR="000A5329" w:rsidRPr="002029AF">
              <w:t xml:space="preserve"> </w:t>
            </w:r>
            <w:r w:rsidRPr="002029AF">
              <w:t>the</w:t>
            </w:r>
            <w:r w:rsidR="000A5329" w:rsidRPr="002029AF">
              <w:t xml:space="preserve"> </w:t>
            </w:r>
            <w:r w:rsidRPr="002029AF">
              <w:t>phone,</w:t>
            </w:r>
            <w:r w:rsidR="000A5329" w:rsidRPr="002029AF">
              <w:t xml:space="preserve"> </w:t>
            </w:r>
            <w:r w:rsidRPr="002029AF">
              <w:t>with</w:t>
            </w:r>
            <w:r w:rsidR="000A5329" w:rsidRPr="002029AF">
              <w:t xml:space="preserve"> </w:t>
            </w:r>
            <w:r w:rsidRPr="002029AF">
              <w:t>in-person</w:t>
            </w:r>
            <w:r w:rsidR="000A5329" w:rsidRPr="002029AF">
              <w:t xml:space="preserve"> </w:t>
            </w:r>
            <w:r w:rsidRPr="002029AF">
              <w:t>services</w:t>
            </w:r>
            <w:r w:rsidR="000A5329" w:rsidRPr="002029AF">
              <w:t xml:space="preserve"> </w:t>
            </w:r>
            <w:r w:rsidRPr="002029AF">
              <w:t>continuing</w:t>
            </w:r>
            <w:r w:rsidR="000A5329" w:rsidRPr="002029AF">
              <w:t xml:space="preserve"> </w:t>
            </w:r>
            <w:r w:rsidRPr="002029AF">
              <w:t>only</w:t>
            </w:r>
            <w:r w:rsidR="000A5329" w:rsidRPr="002029AF">
              <w:t xml:space="preserve"> </w:t>
            </w:r>
            <w:r w:rsidRPr="002029AF">
              <w:t>where</w:t>
            </w:r>
            <w:r w:rsidR="000A5329" w:rsidRPr="002029AF">
              <w:t xml:space="preserve"> </w:t>
            </w:r>
            <w:r w:rsidRPr="002029AF">
              <w:t>the</w:t>
            </w:r>
            <w:r w:rsidR="000A5329" w:rsidRPr="002029AF">
              <w:t xml:space="preserve"> </w:t>
            </w:r>
            <w:r w:rsidRPr="002029AF">
              <w:t>need</w:t>
            </w:r>
            <w:r w:rsidR="000A5329" w:rsidRPr="002029AF">
              <w:t xml:space="preserve"> </w:t>
            </w:r>
            <w:r w:rsidRPr="002029AF">
              <w:t>is</w:t>
            </w:r>
            <w:r w:rsidR="000A5329" w:rsidRPr="002029AF">
              <w:t xml:space="preserve"> </w:t>
            </w:r>
            <w:r w:rsidRPr="002029AF">
              <w:t>clinically</w:t>
            </w:r>
            <w:r w:rsidR="000A5329" w:rsidRPr="002029AF">
              <w:t xml:space="preserve"> </w:t>
            </w:r>
            <w:r w:rsidRPr="002029AF">
              <w:t>indicated.</w:t>
            </w:r>
          </w:p>
        </w:tc>
      </w:tr>
      <w:tr w:rsidR="00C15C65" w:rsidRPr="002029AF" w14:paraId="0E12D3BA" w14:textId="77777777" w:rsidTr="005B58F0">
        <w:trPr>
          <w:gridAfter w:val="1"/>
          <w:wAfter w:w="8" w:type="dxa"/>
          <w:cantSplit/>
        </w:trPr>
        <w:tc>
          <w:tcPr>
            <w:tcW w:w="4742" w:type="dxa"/>
            <w:shd w:val="clear" w:color="auto" w:fill="auto"/>
            <w:hideMark/>
          </w:tcPr>
          <w:p w14:paraId="70B4307A" w14:textId="4F82EFAB" w:rsidR="00C15C65" w:rsidRPr="002029AF" w:rsidRDefault="00C15C65" w:rsidP="00C40F5D">
            <w:pPr>
              <w:pStyle w:val="ARtabletext"/>
            </w:pPr>
            <w:r w:rsidRPr="002029AF">
              <w:t>Number</w:t>
            </w:r>
            <w:r w:rsidR="000A5329" w:rsidRPr="002029AF">
              <w:t xml:space="preserve"> </w:t>
            </w:r>
            <w:r w:rsidRPr="002029AF">
              <w:t>of</w:t>
            </w:r>
            <w:r w:rsidR="000A5329" w:rsidRPr="002029AF">
              <w:t xml:space="preserve"> </w:t>
            </w:r>
            <w:r w:rsidRPr="002029AF">
              <w:t>calls</w:t>
            </w:r>
            <w:r w:rsidR="000A5329" w:rsidRPr="002029AF">
              <w:t xml:space="preserve"> </w:t>
            </w:r>
            <w:r w:rsidRPr="002029AF">
              <w:t>made</w:t>
            </w:r>
            <w:r w:rsidR="000A5329" w:rsidRPr="002029AF">
              <w:t xml:space="preserve"> </w:t>
            </w:r>
            <w:r w:rsidRPr="002029AF">
              <w:t>to</w:t>
            </w:r>
            <w:r w:rsidR="000A5329" w:rsidRPr="002029AF">
              <w:t xml:space="preserve"> </w:t>
            </w:r>
            <w:r w:rsidRPr="002029AF">
              <w:t>the</w:t>
            </w:r>
            <w:r w:rsidR="000A5329" w:rsidRPr="002029AF">
              <w:t xml:space="preserve"> </w:t>
            </w:r>
            <w:r w:rsidRPr="002029AF">
              <w:t>statewide</w:t>
            </w:r>
            <w:r w:rsidR="000A5329" w:rsidRPr="002029AF">
              <w:t xml:space="preserve"> </w:t>
            </w:r>
            <w:r w:rsidRPr="002029AF">
              <w:t>telephone</w:t>
            </w:r>
            <w:r w:rsidR="000A5329" w:rsidRPr="002029AF">
              <w:t xml:space="preserve"> </w:t>
            </w:r>
            <w:r w:rsidRPr="002029AF">
              <w:t>help</w:t>
            </w:r>
            <w:r w:rsidR="000A5329" w:rsidRPr="002029AF">
              <w:t xml:space="preserve"> </w:t>
            </w:r>
            <w:r w:rsidRPr="002029AF">
              <w:t>line</w:t>
            </w:r>
            <w:r w:rsidR="000A5329" w:rsidRPr="002029AF">
              <w:t xml:space="preserve"> </w:t>
            </w:r>
            <w:r w:rsidRPr="002029AF">
              <w:t>for</w:t>
            </w:r>
            <w:r w:rsidR="000A5329" w:rsidRPr="002029AF">
              <w:t xml:space="preserve"> </w:t>
            </w:r>
            <w:r w:rsidRPr="002029AF">
              <w:t>men</w:t>
            </w:r>
            <w:r w:rsidR="000A5329" w:rsidRPr="002029AF">
              <w:t xml:space="preserve"> </w:t>
            </w:r>
            <w:r w:rsidRPr="002029AF">
              <w:t>regarding</w:t>
            </w:r>
            <w:r w:rsidR="000A5329" w:rsidRPr="002029AF">
              <w:t xml:space="preserve"> </w:t>
            </w:r>
            <w:r w:rsidRPr="002029AF">
              <w:t>family</w:t>
            </w:r>
            <w:r w:rsidR="000A5329" w:rsidRPr="002029AF">
              <w:t xml:space="preserve"> </w:t>
            </w:r>
            <w:r w:rsidRPr="002029AF">
              <w:t>violence</w:t>
            </w:r>
          </w:p>
        </w:tc>
        <w:tc>
          <w:tcPr>
            <w:tcW w:w="1017" w:type="dxa"/>
            <w:gridSpan w:val="2"/>
            <w:shd w:val="clear" w:color="auto" w:fill="auto"/>
            <w:hideMark/>
          </w:tcPr>
          <w:p w14:paraId="4BB4AF02" w14:textId="77777777" w:rsidR="00C15C65" w:rsidRPr="002029AF" w:rsidRDefault="00C15C65" w:rsidP="00C40F5D">
            <w:pPr>
              <w:pStyle w:val="ARtabletext"/>
            </w:pPr>
            <w:r w:rsidRPr="002029AF">
              <w:t>number</w:t>
            </w:r>
          </w:p>
        </w:tc>
        <w:tc>
          <w:tcPr>
            <w:tcW w:w="1017" w:type="dxa"/>
            <w:gridSpan w:val="2"/>
            <w:shd w:val="clear" w:color="auto" w:fill="auto"/>
            <w:hideMark/>
          </w:tcPr>
          <w:p w14:paraId="6DAAAEC6" w14:textId="77777777" w:rsidR="00C15C65" w:rsidRPr="002029AF" w:rsidRDefault="00C15C65" w:rsidP="000024F3">
            <w:pPr>
              <w:pStyle w:val="ARtabletextright"/>
            </w:pPr>
            <w:r w:rsidRPr="002029AF">
              <w:t>9,000</w:t>
            </w:r>
          </w:p>
        </w:tc>
        <w:tc>
          <w:tcPr>
            <w:tcW w:w="1021" w:type="dxa"/>
            <w:gridSpan w:val="2"/>
            <w:shd w:val="clear" w:color="auto" w:fill="auto"/>
            <w:hideMark/>
          </w:tcPr>
          <w:p w14:paraId="47FFD3F8" w14:textId="77777777" w:rsidR="00C15C65" w:rsidRPr="002029AF" w:rsidRDefault="00C15C65" w:rsidP="000024F3">
            <w:pPr>
              <w:pStyle w:val="ARtabletextright"/>
            </w:pPr>
            <w:r w:rsidRPr="002029AF">
              <w:t>5,885</w:t>
            </w:r>
          </w:p>
        </w:tc>
        <w:tc>
          <w:tcPr>
            <w:tcW w:w="1038" w:type="dxa"/>
            <w:gridSpan w:val="2"/>
            <w:shd w:val="clear" w:color="auto" w:fill="auto"/>
          </w:tcPr>
          <w:p w14:paraId="3C73BC9E" w14:textId="77777777" w:rsidR="00C15C65" w:rsidRPr="002029AF" w:rsidRDefault="00C15C65" w:rsidP="000024F3">
            <w:pPr>
              <w:pStyle w:val="ARtabletextright"/>
            </w:pPr>
            <w:r w:rsidRPr="002029AF">
              <w:t>-34.6</w:t>
            </w:r>
          </w:p>
        </w:tc>
        <w:tc>
          <w:tcPr>
            <w:tcW w:w="796" w:type="dxa"/>
            <w:shd w:val="clear" w:color="auto" w:fill="auto"/>
            <w:hideMark/>
          </w:tcPr>
          <w:p w14:paraId="3F17C5FA"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5E2F8FE6" w14:textId="77777777" w:rsidTr="005B58F0">
        <w:trPr>
          <w:gridAfter w:val="1"/>
          <w:wAfter w:w="8" w:type="dxa"/>
          <w:cantSplit/>
        </w:trPr>
        <w:tc>
          <w:tcPr>
            <w:tcW w:w="9631" w:type="dxa"/>
            <w:gridSpan w:val="10"/>
            <w:tcBorders>
              <w:bottom w:val="single" w:sz="4" w:space="0" w:color="BFBFBF"/>
            </w:tcBorders>
            <w:shd w:val="clear" w:color="auto" w:fill="auto"/>
            <w:noWrap/>
            <w:hideMark/>
          </w:tcPr>
          <w:p w14:paraId="03513A20" w14:textId="7221FBDE" w:rsidR="00C15C65" w:rsidRPr="002029AF" w:rsidRDefault="00947962" w:rsidP="00D96AFD">
            <w:pPr>
              <w:pStyle w:val="ARtablenoteindent"/>
            </w:pPr>
            <w:r w:rsidRPr="002029AF">
              <w:t xml:space="preserve">This result is lower than the target </w:t>
            </w:r>
            <w:r>
              <w:t>which is positive. Changes in practice have resulted in</w:t>
            </w:r>
            <w:r w:rsidRPr="002029AF">
              <w:t xml:space="preserve"> decreased call abandonment rates, preventing the need for individuals to make multiple return calls to the service.</w:t>
            </w:r>
          </w:p>
        </w:tc>
      </w:tr>
      <w:tr w:rsidR="00C15C65" w:rsidRPr="002029AF" w14:paraId="76D25BD3" w14:textId="77777777" w:rsidTr="005B58F0">
        <w:trPr>
          <w:gridAfter w:val="1"/>
          <w:wAfter w:w="8" w:type="dxa"/>
          <w:cantSplit/>
        </w:trPr>
        <w:tc>
          <w:tcPr>
            <w:tcW w:w="4742" w:type="dxa"/>
            <w:shd w:val="clear" w:color="auto" w:fill="auto"/>
            <w:hideMark/>
          </w:tcPr>
          <w:p w14:paraId="61B06630" w14:textId="13590A0B" w:rsidR="00C15C65" w:rsidRPr="002029AF" w:rsidRDefault="00C15C65" w:rsidP="00C40F5D">
            <w:pPr>
              <w:pStyle w:val="ARtabletext"/>
            </w:pPr>
            <w:r w:rsidRPr="002029AF">
              <w:t>Number</w:t>
            </w:r>
            <w:r w:rsidR="000A5329" w:rsidRPr="002029AF">
              <w:t xml:space="preserve"> </w:t>
            </w:r>
            <w:r w:rsidRPr="002029AF">
              <w:t>of</w:t>
            </w:r>
            <w:r w:rsidR="000A5329" w:rsidRPr="002029AF">
              <w:t xml:space="preserve"> </w:t>
            </w:r>
            <w:r w:rsidRPr="002029AF">
              <w:t>men</w:t>
            </w:r>
            <w:r w:rsidR="000A5329" w:rsidRPr="002029AF">
              <w:t xml:space="preserve"> </w:t>
            </w:r>
            <w:r w:rsidRPr="002029AF">
              <w:t>participating</w:t>
            </w:r>
            <w:r w:rsidR="000A5329" w:rsidRPr="002029AF">
              <w:t xml:space="preserve"> </w:t>
            </w:r>
            <w:r w:rsidRPr="002029AF">
              <w:t>in</w:t>
            </w:r>
            <w:r w:rsidR="000A5329" w:rsidRPr="002029AF">
              <w:t xml:space="preserve"> </w:t>
            </w:r>
            <w:r w:rsidRPr="002029AF">
              <w:t>the</w:t>
            </w:r>
            <w:r w:rsidR="000A5329" w:rsidRPr="002029AF">
              <w:t xml:space="preserve"> </w:t>
            </w:r>
            <w:r w:rsidRPr="002029AF">
              <w:t>men’s</w:t>
            </w:r>
            <w:r w:rsidR="000A5329" w:rsidRPr="002029AF">
              <w:t xml:space="preserve"> </w:t>
            </w:r>
            <w:r w:rsidRPr="002029AF">
              <w:t>behaviour</w:t>
            </w:r>
            <w:r w:rsidR="000A5329" w:rsidRPr="002029AF">
              <w:t xml:space="preserve"> </w:t>
            </w:r>
            <w:r w:rsidRPr="002029AF">
              <w:t>change</w:t>
            </w:r>
            <w:r w:rsidR="000A5329" w:rsidRPr="002029AF">
              <w:t xml:space="preserve"> </w:t>
            </w:r>
            <w:r w:rsidRPr="002029AF">
              <w:t>program</w:t>
            </w:r>
          </w:p>
        </w:tc>
        <w:tc>
          <w:tcPr>
            <w:tcW w:w="1017" w:type="dxa"/>
            <w:gridSpan w:val="2"/>
            <w:shd w:val="clear" w:color="auto" w:fill="auto"/>
            <w:hideMark/>
          </w:tcPr>
          <w:p w14:paraId="474D250A" w14:textId="77777777" w:rsidR="00C15C65" w:rsidRPr="002029AF" w:rsidRDefault="00C15C65" w:rsidP="00C40F5D">
            <w:pPr>
              <w:pStyle w:val="ARtabletext"/>
            </w:pPr>
            <w:r w:rsidRPr="002029AF">
              <w:t>number</w:t>
            </w:r>
          </w:p>
        </w:tc>
        <w:tc>
          <w:tcPr>
            <w:tcW w:w="1017" w:type="dxa"/>
            <w:gridSpan w:val="2"/>
            <w:shd w:val="clear" w:color="auto" w:fill="auto"/>
            <w:hideMark/>
          </w:tcPr>
          <w:p w14:paraId="7592D628" w14:textId="77777777" w:rsidR="00C15C65" w:rsidRPr="002029AF" w:rsidRDefault="00C15C65" w:rsidP="000024F3">
            <w:pPr>
              <w:pStyle w:val="ARtabletextright"/>
            </w:pPr>
            <w:r w:rsidRPr="002029AF">
              <w:t>4,000</w:t>
            </w:r>
          </w:p>
        </w:tc>
        <w:tc>
          <w:tcPr>
            <w:tcW w:w="1021" w:type="dxa"/>
            <w:gridSpan w:val="2"/>
            <w:shd w:val="clear" w:color="auto" w:fill="auto"/>
            <w:hideMark/>
          </w:tcPr>
          <w:p w14:paraId="1D2EC175" w14:textId="77777777" w:rsidR="00C15C65" w:rsidRPr="002029AF" w:rsidRDefault="00C15C65" w:rsidP="000024F3">
            <w:pPr>
              <w:pStyle w:val="ARtabletextright"/>
            </w:pPr>
            <w:r w:rsidRPr="002029AF">
              <w:t>4,486</w:t>
            </w:r>
          </w:p>
        </w:tc>
        <w:tc>
          <w:tcPr>
            <w:tcW w:w="1038" w:type="dxa"/>
            <w:gridSpan w:val="2"/>
            <w:shd w:val="clear" w:color="auto" w:fill="auto"/>
          </w:tcPr>
          <w:p w14:paraId="25C061F9" w14:textId="77777777" w:rsidR="00C15C65" w:rsidRPr="002029AF" w:rsidRDefault="00C15C65" w:rsidP="000024F3">
            <w:pPr>
              <w:pStyle w:val="ARtabletextright"/>
            </w:pPr>
            <w:r w:rsidRPr="002029AF">
              <w:t>12.2</w:t>
            </w:r>
          </w:p>
        </w:tc>
        <w:tc>
          <w:tcPr>
            <w:tcW w:w="796" w:type="dxa"/>
            <w:shd w:val="clear" w:color="auto" w:fill="auto"/>
            <w:hideMark/>
          </w:tcPr>
          <w:p w14:paraId="607B5756"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166EE4E6" w14:textId="77777777" w:rsidTr="005B58F0">
        <w:trPr>
          <w:gridAfter w:val="1"/>
          <w:wAfter w:w="8" w:type="dxa"/>
          <w:cantSplit/>
        </w:trPr>
        <w:tc>
          <w:tcPr>
            <w:tcW w:w="9631" w:type="dxa"/>
            <w:gridSpan w:val="10"/>
            <w:tcBorders>
              <w:bottom w:val="single" w:sz="4" w:space="0" w:color="BFBFBF"/>
            </w:tcBorders>
            <w:shd w:val="clear" w:color="auto" w:fill="auto"/>
            <w:noWrap/>
            <w:hideMark/>
          </w:tcPr>
          <w:p w14:paraId="7F19A8D5" w14:textId="1643A2DE" w:rsidR="00C15C65" w:rsidRPr="002029AF" w:rsidRDefault="00C15C65" w:rsidP="00D96AFD">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demand</w:t>
            </w:r>
            <w:r w:rsidR="000A5329" w:rsidRPr="002029AF">
              <w:t xml:space="preserve"> </w:t>
            </w:r>
            <w:r w:rsidRPr="002029AF">
              <w:t>for</w:t>
            </w:r>
            <w:r w:rsidR="000A5329" w:rsidRPr="002029AF">
              <w:t xml:space="preserve"> </w:t>
            </w:r>
            <w:r w:rsidRPr="002029AF">
              <w:t>participation</w:t>
            </w:r>
            <w:r w:rsidR="000A5329" w:rsidRPr="002029AF">
              <w:t xml:space="preserve"> </w:t>
            </w:r>
            <w:r w:rsidRPr="002029AF">
              <w:t>in</w:t>
            </w:r>
            <w:r w:rsidR="000A5329" w:rsidRPr="002029AF">
              <w:t xml:space="preserve"> </w:t>
            </w:r>
            <w:r w:rsidRPr="002029AF">
              <w:t>men</w:t>
            </w:r>
            <w:r w:rsidR="005F298C">
              <w:t>’</w:t>
            </w:r>
            <w:r w:rsidRPr="002029AF">
              <w:t>s</w:t>
            </w:r>
            <w:r w:rsidR="000A5329" w:rsidRPr="002029AF">
              <w:t xml:space="preserve"> </w:t>
            </w:r>
            <w:r w:rsidRPr="002029AF">
              <w:t>behaviour</w:t>
            </w:r>
            <w:r w:rsidR="000A5329" w:rsidRPr="002029AF">
              <w:t xml:space="preserve"> </w:t>
            </w:r>
            <w:r w:rsidRPr="002029AF">
              <w:t>change</w:t>
            </w:r>
            <w:r w:rsidR="000A5329" w:rsidRPr="002029AF">
              <w:t xml:space="preserve"> </w:t>
            </w:r>
            <w:r w:rsidRPr="002029AF">
              <w:t>programs.</w:t>
            </w:r>
            <w:r w:rsidR="000A5329" w:rsidRPr="002029AF">
              <w:t xml:space="preserve"> </w:t>
            </w:r>
            <w:r w:rsidRPr="002029AF">
              <w:t>These</w:t>
            </w:r>
            <w:r w:rsidR="000A5329" w:rsidRPr="002029AF">
              <w:t xml:space="preserve"> </w:t>
            </w:r>
            <w:r w:rsidRPr="002029AF">
              <w:t>results</w:t>
            </w:r>
            <w:r w:rsidR="000A5329" w:rsidRPr="002029AF">
              <w:t xml:space="preserve"> </w:t>
            </w:r>
            <w:r w:rsidRPr="002029AF">
              <w:t>demonstrate</w:t>
            </w:r>
            <w:r w:rsidR="000A5329" w:rsidRPr="002029AF">
              <w:t xml:space="preserve"> </w:t>
            </w:r>
            <w:r w:rsidRPr="002029AF">
              <w:t>the</w:t>
            </w:r>
            <w:r w:rsidR="000A5329" w:rsidRPr="002029AF">
              <w:t xml:space="preserve"> </w:t>
            </w:r>
            <w:r w:rsidRPr="002029AF">
              <w:t>sector</w:t>
            </w:r>
            <w:r w:rsidR="005F298C">
              <w:t>’</w:t>
            </w:r>
            <w:r w:rsidRPr="002029AF">
              <w:t>s</w:t>
            </w:r>
            <w:r w:rsidR="000A5329" w:rsidRPr="002029AF">
              <w:t xml:space="preserve"> </w:t>
            </w:r>
            <w:r w:rsidRPr="002029AF">
              <w:t>ability</w:t>
            </w:r>
            <w:r w:rsidR="000A5329" w:rsidRPr="002029AF">
              <w:t xml:space="preserve"> </w:t>
            </w:r>
            <w:r w:rsidRPr="002029AF">
              <w:t>to</w:t>
            </w:r>
            <w:r w:rsidR="000A5329" w:rsidRPr="002029AF">
              <w:t xml:space="preserve"> </w:t>
            </w:r>
            <w:r w:rsidRPr="002029AF">
              <w:t>respond</w:t>
            </w:r>
            <w:r w:rsidR="000A5329" w:rsidRPr="002029AF">
              <w:t xml:space="preserve"> </w:t>
            </w:r>
            <w:r w:rsidRPr="002029AF">
              <w:t>to</w:t>
            </w:r>
            <w:r w:rsidR="000A5329" w:rsidRPr="002029AF">
              <w:t xml:space="preserve"> </w:t>
            </w:r>
            <w:r w:rsidRPr="002029AF">
              <w:t>high</w:t>
            </w:r>
            <w:r w:rsidR="000A5329" w:rsidRPr="002029AF">
              <w:t xml:space="preserve"> </w:t>
            </w:r>
            <w:r w:rsidRPr="002029AF">
              <w:t>levels</w:t>
            </w:r>
            <w:r w:rsidR="000A5329" w:rsidRPr="002029AF">
              <w:t xml:space="preserve"> </w:t>
            </w:r>
            <w:r w:rsidRPr="002029AF">
              <w:t>of</w:t>
            </w:r>
            <w:r w:rsidR="000A5329" w:rsidRPr="002029AF">
              <w:t xml:space="preserve"> </w:t>
            </w:r>
            <w:r w:rsidRPr="002029AF">
              <w:t>demand</w:t>
            </w:r>
            <w:r w:rsidR="000A5329" w:rsidRPr="002029AF">
              <w:t xml:space="preserve"> </w:t>
            </w:r>
            <w:r w:rsidRPr="002029AF">
              <w:t>for</w:t>
            </w:r>
            <w:r w:rsidR="000A5329" w:rsidRPr="002029AF">
              <w:t xml:space="preserve"> </w:t>
            </w:r>
            <w:r w:rsidRPr="002029AF">
              <w:t>perpetrator</w:t>
            </w:r>
            <w:r w:rsidR="000A5329" w:rsidRPr="002029AF">
              <w:t xml:space="preserve"> </w:t>
            </w:r>
            <w:r w:rsidRPr="002029AF">
              <w:t>programs,</w:t>
            </w:r>
            <w:r w:rsidR="000A5329" w:rsidRPr="002029AF">
              <w:t xml:space="preserve"> </w:t>
            </w:r>
            <w:r w:rsidRPr="002029AF">
              <w:t>despite</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restrictions</w:t>
            </w:r>
            <w:r w:rsidR="000A5329" w:rsidRPr="002029AF">
              <w:t xml:space="preserve"> </w:t>
            </w:r>
            <w:r w:rsidRPr="002029AF">
              <w:t>limiting</w:t>
            </w:r>
            <w:r w:rsidR="000A5329" w:rsidRPr="002029AF">
              <w:t xml:space="preserve"> </w:t>
            </w:r>
            <w:r w:rsidRPr="002029AF">
              <w:t>some</w:t>
            </w:r>
            <w:r w:rsidR="000A5329" w:rsidRPr="002029AF">
              <w:t xml:space="preserve"> </w:t>
            </w:r>
            <w:r w:rsidRPr="002029AF">
              <w:t>service</w:t>
            </w:r>
            <w:r w:rsidR="000A5329" w:rsidRPr="002029AF">
              <w:t xml:space="preserve"> </w:t>
            </w:r>
            <w:r w:rsidRPr="002029AF">
              <w:t>delivery.</w:t>
            </w:r>
            <w:r w:rsidR="000A5329" w:rsidRPr="002029AF">
              <w:t xml:space="preserve"> </w:t>
            </w:r>
            <w:r w:rsidRPr="002029AF">
              <w:t>This</w:t>
            </w:r>
            <w:r w:rsidR="000A5329" w:rsidRPr="002029AF">
              <w:t xml:space="preserve"> </w:t>
            </w:r>
            <w:r w:rsidRPr="002029AF">
              <w:t>is</w:t>
            </w:r>
            <w:r w:rsidR="000A5329" w:rsidRPr="002029AF">
              <w:t xml:space="preserve"> </w:t>
            </w:r>
            <w:r w:rsidRPr="002029AF">
              <w:t>a</w:t>
            </w:r>
            <w:r w:rsidR="000A5329" w:rsidRPr="002029AF">
              <w:t xml:space="preserve"> </w:t>
            </w:r>
            <w:r w:rsidRPr="002029AF">
              <w:t>positive</w:t>
            </w:r>
            <w:r w:rsidR="000A5329" w:rsidRPr="002029AF">
              <w:t xml:space="preserve"> </w:t>
            </w:r>
            <w:r w:rsidRPr="002029AF">
              <w:t>result.</w:t>
            </w:r>
          </w:p>
        </w:tc>
      </w:tr>
      <w:tr w:rsidR="00C15C65" w:rsidRPr="002029AF" w14:paraId="18C97EDB" w14:textId="77777777" w:rsidTr="00DC3661">
        <w:trPr>
          <w:gridAfter w:val="1"/>
          <w:wAfter w:w="8" w:type="dxa"/>
          <w:cantSplit/>
        </w:trPr>
        <w:tc>
          <w:tcPr>
            <w:tcW w:w="4742" w:type="dxa"/>
            <w:shd w:val="clear" w:color="auto" w:fill="auto"/>
            <w:hideMark/>
          </w:tcPr>
          <w:p w14:paraId="37500639" w14:textId="18C9585E" w:rsidR="00C15C65" w:rsidRPr="002029AF" w:rsidRDefault="00C15C65" w:rsidP="00C40F5D">
            <w:pPr>
              <w:pStyle w:val="ARtabletext"/>
            </w:pPr>
            <w:r w:rsidRPr="002029AF">
              <w:t>Number</w:t>
            </w:r>
            <w:r w:rsidR="000A5329" w:rsidRPr="002029AF">
              <w:t xml:space="preserve"> </w:t>
            </w:r>
            <w:r w:rsidRPr="002029AF">
              <w:t>of</w:t>
            </w:r>
            <w:r w:rsidR="000A5329" w:rsidRPr="002029AF">
              <w:t xml:space="preserve"> </w:t>
            </w:r>
            <w:r w:rsidRPr="002029AF">
              <w:t>case</w:t>
            </w:r>
            <w:r w:rsidR="000A5329" w:rsidRPr="002029AF">
              <w:t xml:space="preserve"> </w:t>
            </w:r>
            <w:r w:rsidRPr="002029AF">
              <w:t>management</w:t>
            </w:r>
            <w:r w:rsidR="000A5329" w:rsidRPr="002029AF">
              <w:t xml:space="preserve"> </w:t>
            </w:r>
            <w:r w:rsidRPr="002029AF">
              <w:t>responses</w:t>
            </w:r>
            <w:r w:rsidR="000A5329" w:rsidRPr="002029AF">
              <w:t xml:space="preserve"> </w:t>
            </w:r>
            <w:r w:rsidRPr="002029AF">
              <w:t>provided</w:t>
            </w:r>
            <w:r w:rsidR="000A5329" w:rsidRPr="002029AF">
              <w:t xml:space="preserve"> </w:t>
            </w:r>
            <w:r w:rsidRPr="002029AF">
              <w:t>to</w:t>
            </w:r>
            <w:r w:rsidR="000A5329" w:rsidRPr="002029AF">
              <w:t xml:space="preserve"> </w:t>
            </w:r>
            <w:r w:rsidRPr="002029AF">
              <w:t>perpetrators</w:t>
            </w:r>
            <w:r w:rsidR="000A5329" w:rsidRPr="002029AF">
              <w:t xml:space="preserve"> </w:t>
            </w:r>
            <w:r w:rsidRPr="002029AF">
              <w:t>of</w:t>
            </w:r>
            <w:r w:rsidR="000A5329" w:rsidRPr="002029AF">
              <w:t xml:space="preserve"> </w:t>
            </w:r>
            <w:r w:rsidRPr="002029AF">
              <w:t>family</w:t>
            </w:r>
            <w:r w:rsidR="000A5329" w:rsidRPr="002029AF">
              <w:t xml:space="preserve"> </w:t>
            </w:r>
            <w:r w:rsidRPr="002029AF">
              <w:t>violence</w:t>
            </w:r>
            <w:r w:rsidR="000A5329" w:rsidRPr="002029AF">
              <w:t xml:space="preserve"> </w:t>
            </w:r>
            <w:r w:rsidRPr="002029AF">
              <w:t>including</w:t>
            </w:r>
            <w:r w:rsidR="000A5329" w:rsidRPr="002029AF">
              <w:t xml:space="preserve"> </w:t>
            </w:r>
            <w:r w:rsidRPr="002029AF">
              <w:t>those</w:t>
            </w:r>
            <w:r w:rsidR="000A5329" w:rsidRPr="002029AF">
              <w:t xml:space="preserve"> </w:t>
            </w:r>
            <w:r w:rsidRPr="002029AF">
              <w:t>that</w:t>
            </w:r>
            <w:r w:rsidR="000A5329" w:rsidRPr="002029AF">
              <w:t xml:space="preserve"> </w:t>
            </w:r>
            <w:r w:rsidRPr="002029AF">
              <w:t>require</w:t>
            </w:r>
            <w:r w:rsidR="000A5329" w:rsidRPr="002029AF">
              <w:t xml:space="preserve"> </w:t>
            </w:r>
            <w:r w:rsidRPr="002029AF">
              <w:t>individualised</w:t>
            </w:r>
            <w:r w:rsidR="000A5329" w:rsidRPr="002029AF">
              <w:t xml:space="preserve"> </w:t>
            </w:r>
            <w:r w:rsidRPr="002029AF">
              <w:t>support</w:t>
            </w:r>
          </w:p>
        </w:tc>
        <w:tc>
          <w:tcPr>
            <w:tcW w:w="1017" w:type="dxa"/>
            <w:gridSpan w:val="2"/>
            <w:shd w:val="clear" w:color="auto" w:fill="auto"/>
            <w:hideMark/>
          </w:tcPr>
          <w:p w14:paraId="140B9B2A" w14:textId="77777777" w:rsidR="00C15C65" w:rsidRPr="002029AF" w:rsidRDefault="00C15C65" w:rsidP="00C40F5D">
            <w:pPr>
              <w:pStyle w:val="ARtabletext"/>
            </w:pPr>
            <w:r w:rsidRPr="002029AF">
              <w:t>number</w:t>
            </w:r>
          </w:p>
        </w:tc>
        <w:tc>
          <w:tcPr>
            <w:tcW w:w="1017" w:type="dxa"/>
            <w:gridSpan w:val="2"/>
            <w:shd w:val="clear" w:color="auto" w:fill="auto"/>
            <w:hideMark/>
          </w:tcPr>
          <w:p w14:paraId="1C4C67A9" w14:textId="77777777" w:rsidR="00C15C65" w:rsidRPr="002029AF" w:rsidRDefault="00C15C65" w:rsidP="000024F3">
            <w:pPr>
              <w:pStyle w:val="ARtabletextright"/>
            </w:pPr>
            <w:r w:rsidRPr="002029AF">
              <w:t>1,300</w:t>
            </w:r>
          </w:p>
        </w:tc>
        <w:tc>
          <w:tcPr>
            <w:tcW w:w="1021" w:type="dxa"/>
            <w:gridSpan w:val="2"/>
            <w:shd w:val="clear" w:color="auto" w:fill="auto"/>
            <w:hideMark/>
          </w:tcPr>
          <w:p w14:paraId="3A318A39" w14:textId="77777777" w:rsidR="00C15C65" w:rsidRPr="002029AF" w:rsidRDefault="00C15C65" w:rsidP="000024F3">
            <w:pPr>
              <w:pStyle w:val="ARtabletextright"/>
            </w:pPr>
            <w:r w:rsidRPr="002029AF">
              <w:t>1,371</w:t>
            </w:r>
          </w:p>
        </w:tc>
        <w:tc>
          <w:tcPr>
            <w:tcW w:w="1038" w:type="dxa"/>
            <w:gridSpan w:val="2"/>
            <w:shd w:val="clear" w:color="auto" w:fill="auto"/>
          </w:tcPr>
          <w:p w14:paraId="19907FA8" w14:textId="77777777" w:rsidR="00C15C65" w:rsidRPr="002029AF" w:rsidRDefault="00C15C65" w:rsidP="000024F3">
            <w:pPr>
              <w:pStyle w:val="ARtabletextright"/>
            </w:pPr>
            <w:r w:rsidRPr="002029AF">
              <w:t>5.5</w:t>
            </w:r>
          </w:p>
        </w:tc>
        <w:tc>
          <w:tcPr>
            <w:tcW w:w="796" w:type="dxa"/>
            <w:shd w:val="clear" w:color="auto" w:fill="auto"/>
            <w:hideMark/>
          </w:tcPr>
          <w:p w14:paraId="577E066E"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7B27150B" w14:textId="77777777" w:rsidTr="00DC3661">
        <w:trPr>
          <w:gridAfter w:val="1"/>
          <w:wAfter w:w="8" w:type="dxa"/>
          <w:cantSplit/>
        </w:trPr>
        <w:tc>
          <w:tcPr>
            <w:tcW w:w="9631" w:type="dxa"/>
            <w:gridSpan w:val="10"/>
            <w:tcBorders>
              <w:bottom w:val="single" w:sz="4" w:space="0" w:color="auto"/>
            </w:tcBorders>
            <w:shd w:val="clear" w:color="auto" w:fill="auto"/>
            <w:noWrap/>
            <w:hideMark/>
          </w:tcPr>
          <w:p w14:paraId="051469AF" w14:textId="1571257D" w:rsidR="00C15C65" w:rsidRPr="002029AF" w:rsidRDefault="00C15C65" w:rsidP="00D96AFD">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demand</w:t>
            </w:r>
            <w:r w:rsidR="000A5329" w:rsidRPr="002029AF">
              <w:t xml:space="preserve"> </w:t>
            </w:r>
            <w:r w:rsidRPr="002029AF">
              <w:t>for</w:t>
            </w:r>
            <w:r w:rsidR="000A5329" w:rsidRPr="002029AF">
              <w:t xml:space="preserve"> </w:t>
            </w:r>
            <w:r w:rsidRPr="002029AF">
              <w:t>perpetrator</w:t>
            </w:r>
            <w:r w:rsidR="000A5329" w:rsidRPr="002029AF">
              <w:t xml:space="preserve"> </w:t>
            </w:r>
            <w:r w:rsidRPr="002029AF">
              <w:t>case</w:t>
            </w:r>
            <w:r w:rsidR="000A5329" w:rsidRPr="002029AF">
              <w:t xml:space="preserve"> </w:t>
            </w:r>
            <w:r w:rsidRPr="002029AF">
              <w:t>management</w:t>
            </w:r>
            <w:r w:rsidR="000A5329" w:rsidRPr="002029AF">
              <w:t xml:space="preserve"> </w:t>
            </w:r>
            <w:r w:rsidRPr="002029AF">
              <w:t>services.</w:t>
            </w:r>
            <w:r w:rsidR="000A5329" w:rsidRPr="002029AF">
              <w:t xml:space="preserve"> </w:t>
            </w:r>
            <w:r w:rsidRPr="002029AF">
              <w:t>These</w:t>
            </w:r>
            <w:r w:rsidR="000A5329" w:rsidRPr="002029AF">
              <w:t xml:space="preserve"> </w:t>
            </w:r>
            <w:r w:rsidRPr="002029AF">
              <w:t>results</w:t>
            </w:r>
            <w:r w:rsidR="000A5329" w:rsidRPr="002029AF">
              <w:t xml:space="preserve"> </w:t>
            </w:r>
            <w:r w:rsidRPr="002029AF">
              <w:t>demonstrate</w:t>
            </w:r>
            <w:r w:rsidR="000A5329" w:rsidRPr="002029AF">
              <w:t xml:space="preserve"> </w:t>
            </w:r>
            <w:r w:rsidRPr="002029AF">
              <w:t>the</w:t>
            </w:r>
            <w:r w:rsidR="000A5329" w:rsidRPr="002029AF">
              <w:t xml:space="preserve"> </w:t>
            </w:r>
            <w:r w:rsidRPr="002029AF">
              <w:t>sector</w:t>
            </w:r>
            <w:r w:rsidR="005F298C">
              <w:t>’</w:t>
            </w:r>
            <w:r w:rsidRPr="002029AF">
              <w:t>s</w:t>
            </w:r>
            <w:r w:rsidR="000A5329" w:rsidRPr="002029AF">
              <w:t xml:space="preserve"> </w:t>
            </w:r>
            <w:r w:rsidRPr="002029AF">
              <w:t>ability</w:t>
            </w:r>
            <w:r w:rsidR="000A5329" w:rsidRPr="002029AF">
              <w:t xml:space="preserve"> </w:t>
            </w:r>
            <w:r w:rsidRPr="002029AF">
              <w:t>to</w:t>
            </w:r>
            <w:r w:rsidR="000A5329" w:rsidRPr="002029AF">
              <w:t xml:space="preserve"> </w:t>
            </w:r>
            <w:r w:rsidRPr="002029AF">
              <w:t>respond</w:t>
            </w:r>
            <w:r w:rsidR="000A5329" w:rsidRPr="002029AF">
              <w:t xml:space="preserve"> </w:t>
            </w:r>
            <w:r w:rsidRPr="002029AF">
              <w:t>to</w:t>
            </w:r>
            <w:r w:rsidR="000A5329" w:rsidRPr="002029AF">
              <w:t xml:space="preserve"> </w:t>
            </w:r>
            <w:r w:rsidRPr="002029AF">
              <w:t>high</w:t>
            </w:r>
            <w:r w:rsidR="000A5329" w:rsidRPr="002029AF">
              <w:t xml:space="preserve"> </w:t>
            </w:r>
            <w:r w:rsidRPr="002029AF">
              <w:t>levels</w:t>
            </w:r>
            <w:r w:rsidR="000A5329" w:rsidRPr="002029AF">
              <w:t xml:space="preserve"> </w:t>
            </w:r>
            <w:r w:rsidRPr="002029AF">
              <w:t>of</w:t>
            </w:r>
            <w:r w:rsidR="000A5329" w:rsidRPr="002029AF">
              <w:t xml:space="preserve"> </w:t>
            </w:r>
            <w:r w:rsidRPr="002029AF">
              <w:t>demand</w:t>
            </w:r>
            <w:r w:rsidR="000A5329" w:rsidRPr="002029AF">
              <w:t xml:space="preserve"> </w:t>
            </w:r>
            <w:r w:rsidRPr="002029AF">
              <w:t>for</w:t>
            </w:r>
            <w:r w:rsidR="000A5329" w:rsidRPr="002029AF">
              <w:t xml:space="preserve"> </w:t>
            </w:r>
            <w:r w:rsidRPr="002029AF">
              <w:t>perpetrator</w:t>
            </w:r>
            <w:r w:rsidR="000A5329" w:rsidRPr="002029AF">
              <w:t xml:space="preserve"> </w:t>
            </w:r>
            <w:r w:rsidRPr="002029AF">
              <w:t>programs.</w:t>
            </w:r>
            <w:r w:rsidR="000A5329" w:rsidRPr="002029AF">
              <w:t xml:space="preserve"> </w:t>
            </w:r>
            <w:r w:rsidRPr="002029AF">
              <w:t>This</w:t>
            </w:r>
            <w:r w:rsidR="000A5329" w:rsidRPr="002029AF">
              <w:t xml:space="preserve"> </w:t>
            </w:r>
            <w:r w:rsidRPr="002029AF">
              <w:t>is</w:t>
            </w:r>
            <w:r w:rsidR="000A5329" w:rsidRPr="002029AF">
              <w:t xml:space="preserve"> </w:t>
            </w:r>
            <w:r w:rsidRPr="002029AF">
              <w:t>a</w:t>
            </w:r>
            <w:r w:rsidR="000A5329" w:rsidRPr="002029AF">
              <w:t xml:space="preserve"> </w:t>
            </w:r>
            <w:r w:rsidRPr="002029AF">
              <w:t>positive</w:t>
            </w:r>
            <w:r w:rsidR="000A5329" w:rsidRPr="002029AF">
              <w:t xml:space="preserve"> </w:t>
            </w:r>
            <w:r w:rsidRPr="002029AF">
              <w:t>result.</w:t>
            </w:r>
          </w:p>
        </w:tc>
      </w:tr>
      <w:tr w:rsidR="00C15C65" w:rsidRPr="002029AF" w14:paraId="5388DDDB" w14:textId="77777777" w:rsidTr="005B58F0">
        <w:trPr>
          <w:cantSplit/>
        </w:trPr>
        <w:tc>
          <w:tcPr>
            <w:tcW w:w="9639" w:type="dxa"/>
            <w:gridSpan w:val="11"/>
            <w:tcBorders>
              <w:top w:val="single" w:sz="4" w:space="0" w:color="auto"/>
              <w:left w:val="nil"/>
              <w:bottom w:val="nil"/>
              <w:right w:val="nil"/>
            </w:tcBorders>
            <w:hideMark/>
          </w:tcPr>
          <w:p w14:paraId="255F4939" w14:textId="77777777" w:rsidR="00C15C65" w:rsidRPr="002029AF" w:rsidRDefault="00C15C65" w:rsidP="00D96AFD">
            <w:pPr>
              <w:pStyle w:val="ARtablegreybold"/>
            </w:pPr>
            <w:r w:rsidRPr="002029AF">
              <w:lastRenderedPageBreak/>
              <w:t>Quality</w:t>
            </w:r>
          </w:p>
        </w:tc>
      </w:tr>
      <w:tr w:rsidR="00C15C65" w:rsidRPr="002029AF" w14:paraId="56F973A5" w14:textId="77777777" w:rsidTr="005B58F0">
        <w:trPr>
          <w:gridAfter w:val="1"/>
          <w:wAfter w:w="8" w:type="dxa"/>
          <w:cantSplit/>
        </w:trPr>
        <w:tc>
          <w:tcPr>
            <w:tcW w:w="4742" w:type="dxa"/>
            <w:shd w:val="clear" w:color="auto" w:fill="auto"/>
            <w:hideMark/>
          </w:tcPr>
          <w:p w14:paraId="44B405B5" w14:textId="034B6B8B" w:rsidR="00C15C65" w:rsidRPr="002029AF" w:rsidRDefault="00C15C65" w:rsidP="00C40F5D">
            <w:pPr>
              <w:pStyle w:val="ARtabletext"/>
            </w:pPr>
            <w:r w:rsidRPr="002029AF">
              <w:t>Satisfaction</w:t>
            </w:r>
            <w:r w:rsidR="000A5329" w:rsidRPr="002029AF">
              <w:t xml:space="preserve"> </w:t>
            </w:r>
            <w:r w:rsidRPr="002029AF">
              <w:t>of</w:t>
            </w:r>
            <w:r w:rsidR="000A5329" w:rsidRPr="002029AF">
              <w:t xml:space="preserve"> </w:t>
            </w:r>
            <w:r w:rsidRPr="002029AF">
              <w:t>workers</w:t>
            </w:r>
            <w:r w:rsidR="000A5329" w:rsidRPr="002029AF">
              <w:t xml:space="preserve"> </w:t>
            </w:r>
            <w:r w:rsidRPr="002029AF">
              <w:t>with</w:t>
            </w:r>
            <w:r w:rsidR="000A5329" w:rsidRPr="002029AF">
              <w:t xml:space="preserve"> </w:t>
            </w:r>
            <w:r w:rsidRPr="002029AF">
              <w:t>family</w:t>
            </w:r>
            <w:r w:rsidR="000A5329" w:rsidRPr="002029AF">
              <w:t xml:space="preserve"> </w:t>
            </w:r>
            <w:r w:rsidRPr="002029AF">
              <w:t>violence</w:t>
            </w:r>
            <w:r w:rsidR="000A5329" w:rsidRPr="002029AF">
              <w:t xml:space="preserve"> </w:t>
            </w:r>
            <w:r w:rsidRPr="002029AF">
              <w:t>training</w:t>
            </w:r>
          </w:p>
        </w:tc>
        <w:tc>
          <w:tcPr>
            <w:tcW w:w="1017" w:type="dxa"/>
            <w:gridSpan w:val="2"/>
            <w:shd w:val="clear" w:color="auto" w:fill="auto"/>
            <w:hideMark/>
          </w:tcPr>
          <w:p w14:paraId="494BC0DA" w14:textId="0BB3F836" w:rsidR="00C15C65" w:rsidRPr="002029AF" w:rsidRDefault="00C15C65" w:rsidP="00C40F5D">
            <w:pPr>
              <w:pStyle w:val="ARtabletext"/>
            </w:pPr>
            <w:r w:rsidRPr="002029AF">
              <w:t>per</w:t>
            </w:r>
            <w:r w:rsidR="000A5329" w:rsidRPr="002029AF">
              <w:t xml:space="preserve"> </w:t>
            </w:r>
            <w:r w:rsidRPr="002029AF">
              <w:t>cent</w:t>
            </w:r>
          </w:p>
        </w:tc>
        <w:tc>
          <w:tcPr>
            <w:tcW w:w="1017" w:type="dxa"/>
            <w:gridSpan w:val="2"/>
            <w:shd w:val="clear" w:color="auto" w:fill="auto"/>
            <w:hideMark/>
          </w:tcPr>
          <w:p w14:paraId="7A324BB3" w14:textId="77777777" w:rsidR="00C15C65" w:rsidRPr="002029AF" w:rsidRDefault="00C15C65" w:rsidP="000024F3">
            <w:pPr>
              <w:pStyle w:val="ARtabletextright"/>
            </w:pPr>
            <w:r w:rsidRPr="002029AF">
              <w:t>80</w:t>
            </w:r>
          </w:p>
        </w:tc>
        <w:tc>
          <w:tcPr>
            <w:tcW w:w="1021" w:type="dxa"/>
            <w:gridSpan w:val="2"/>
            <w:shd w:val="clear" w:color="auto" w:fill="auto"/>
            <w:hideMark/>
          </w:tcPr>
          <w:p w14:paraId="768F106E" w14:textId="77777777" w:rsidR="00C15C65" w:rsidRPr="002029AF" w:rsidRDefault="00C15C65" w:rsidP="000024F3">
            <w:pPr>
              <w:pStyle w:val="ARtabletextright"/>
            </w:pPr>
            <w:r w:rsidRPr="002029AF">
              <w:t>97.2</w:t>
            </w:r>
          </w:p>
        </w:tc>
        <w:tc>
          <w:tcPr>
            <w:tcW w:w="1038" w:type="dxa"/>
            <w:gridSpan w:val="2"/>
            <w:shd w:val="clear" w:color="auto" w:fill="auto"/>
          </w:tcPr>
          <w:p w14:paraId="69763648" w14:textId="77777777" w:rsidR="00C15C65" w:rsidRPr="002029AF" w:rsidRDefault="00C15C65" w:rsidP="000024F3">
            <w:pPr>
              <w:pStyle w:val="ARtabletextright"/>
            </w:pPr>
            <w:r w:rsidRPr="002029AF">
              <w:t>21.5</w:t>
            </w:r>
          </w:p>
        </w:tc>
        <w:tc>
          <w:tcPr>
            <w:tcW w:w="796" w:type="dxa"/>
            <w:shd w:val="clear" w:color="auto" w:fill="auto"/>
            <w:hideMark/>
          </w:tcPr>
          <w:p w14:paraId="770D5EC4"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50A9CB2F" w14:textId="77777777" w:rsidTr="005B58F0">
        <w:trPr>
          <w:gridAfter w:val="1"/>
          <w:wAfter w:w="8" w:type="dxa"/>
          <w:cantSplit/>
        </w:trPr>
        <w:tc>
          <w:tcPr>
            <w:tcW w:w="9631" w:type="dxa"/>
            <w:gridSpan w:val="10"/>
            <w:tcBorders>
              <w:bottom w:val="single" w:sz="4" w:space="0" w:color="BFBFBF"/>
            </w:tcBorders>
            <w:shd w:val="clear" w:color="auto" w:fill="auto"/>
            <w:noWrap/>
            <w:hideMark/>
          </w:tcPr>
          <w:p w14:paraId="3AD67741" w14:textId="65D6315D" w:rsidR="00C15C65" w:rsidRPr="002029AF" w:rsidRDefault="00C15C65" w:rsidP="00D96AFD">
            <w:pPr>
              <w:pStyle w:val="ARtablenoteindent"/>
            </w:pPr>
            <w:r w:rsidRPr="002029AF">
              <w:t>This</w:t>
            </w:r>
            <w:r w:rsidR="000A5329" w:rsidRPr="002029AF">
              <w:t xml:space="preserve"> </w:t>
            </w:r>
            <w:r w:rsidRPr="002029AF">
              <w:t>is</w:t>
            </w:r>
            <w:r w:rsidR="000A5329" w:rsidRPr="002029AF">
              <w:t xml:space="preserve"> </w:t>
            </w:r>
            <w:r w:rsidRPr="002029AF">
              <w:t>a</w:t>
            </w:r>
            <w:r w:rsidR="000A5329" w:rsidRPr="002029AF">
              <w:t xml:space="preserve"> </w:t>
            </w:r>
            <w:r w:rsidRPr="002029AF">
              <w:t>positive</w:t>
            </w:r>
            <w:r w:rsidR="000A5329" w:rsidRPr="002029AF">
              <w:t xml:space="preserve"> </w:t>
            </w:r>
            <w:r w:rsidRPr="002029AF">
              <w:t>result</w:t>
            </w:r>
            <w:r w:rsidR="000A5329" w:rsidRPr="002029AF">
              <w:t xml:space="preserve"> </w:t>
            </w:r>
            <w:r w:rsidRPr="002029AF">
              <w:t>and</w:t>
            </w:r>
            <w:r w:rsidR="000A5329" w:rsidRPr="002029AF">
              <w:t xml:space="preserve"> </w:t>
            </w:r>
            <w:r w:rsidRPr="002029AF">
              <w:t>reflects</w:t>
            </w:r>
            <w:r w:rsidR="000A5329" w:rsidRPr="002029AF">
              <w:t xml:space="preserve"> </w:t>
            </w:r>
            <w:r w:rsidRPr="002029AF">
              <w:t>the</w:t>
            </w:r>
            <w:r w:rsidR="000A5329" w:rsidRPr="002029AF">
              <w:t xml:space="preserve"> </w:t>
            </w:r>
            <w:r w:rsidRPr="002029AF">
              <w:t>high</w:t>
            </w:r>
            <w:r w:rsidR="000A5329" w:rsidRPr="002029AF">
              <w:t xml:space="preserve"> </w:t>
            </w:r>
            <w:r w:rsidRPr="002029AF">
              <w:t>quality</w:t>
            </w:r>
            <w:r w:rsidR="000A5329" w:rsidRPr="002029AF">
              <w:t xml:space="preserve"> </w:t>
            </w:r>
            <w:r w:rsidRPr="002029AF">
              <w:t>of</w:t>
            </w:r>
            <w:r w:rsidR="000A5329" w:rsidRPr="002029AF">
              <w:t xml:space="preserve"> </w:t>
            </w:r>
            <w:r w:rsidRPr="002029AF">
              <w:t>family</w:t>
            </w:r>
            <w:r w:rsidR="000A5329" w:rsidRPr="002029AF">
              <w:t xml:space="preserve"> </w:t>
            </w:r>
            <w:r w:rsidRPr="002029AF">
              <w:t>violence</w:t>
            </w:r>
            <w:r w:rsidR="000A5329" w:rsidRPr="002029AF">
              <w:t xml:space="preserve"> </w:t>
            </w:r>
            <w:r w:rsidRPr="002029AF">
              <w:t>training</w:t>
            </w:r>
            <w:r w:rsidR="000A5329" w:rsidRPr="002029AF">
              <w:t xml:space="preserve"> </w:t>
            </w:r>
            <w:r w:rsidRPr="002029AF">
              <w:t>provided</w:t>
            </w:r>
            <w:r w:rsidR="000A5329" w:rsidRPr="002029AF">
              <w:t xml:space="preserve"> </w:t>
            </w:r>
            <w:r w:rsidRPr="002029AF">
              <w:t>to</w:t>
            </w:r>
            <w:r w:rsidR="000A5329" w:rsidRPr="002029AF">
              <w:t xml:space="preserve"> </w:t>
            </w:r>
            <w:r w:rsidRPr="002029AF">
              <w:t>workers.</w:t>
            </w:r>
          </w:p>
        </w:tc>
      </w:tr>
      <w:tr w:rsidR="00C15C65" w:rsidRPr="002029AF" w14:paraId="3CDFB762" w14:textId="77777777" w:rsidTr="005B58F0">
        <w:trPr>
          <w:gridAfter w:val="1"/>
          <w:wAfter w:w="8" w:type="dxa"/>
          <w:cantSplit/>
        </w:trPr>
        <w:tc>
          <w:tcPr>
            <w:tcW w:w="4742" w:type="dxa"/>
            <w:shd w:val="clear" w:color="auto" w:fill="auto"/>
            <w:hideMark/>
          </w:tcPr>
          <w:p w14:paraId="1CE4AA5C" w14:textId="72FBA93A" w:rsidR="00C15C65" w:rsidRPr="002029AF" w:rsidRDefault="00C15C65" w:rsidP="00C40F5D">
            <w:pPr>
              <w:pStyle w:val="ARtabletext"/>
            </w:pPr>
            <w:r w:rsidRPr="002029AF">
              <w:t>Satisfaction</w:t>
            </w:r>
            <w:r w:rsidR="000A5329" w:rsidRPr="002029AF">
              <w:t xml:space="preserve"> </w:t>
            </w:r>
            <w:r w:rsidRPr="002029AF">
              <w:t>of</w:t>
            </w:r>
            <w:r w:rsidR="000A5329" w:rsidRPr="002029AF">
              <w:t xml:space="preserve"> </w:t>
            </w:r>
            <w:r w:rsidRPr="002029AF">
              <w:t>clients</w:t>
            </w:r>
            <w:r w:rsidR="000A5329" w:rsidRPr="002029AF">
              <w:t xml:space="preserve"> </w:t>
            </w:r>
            <w:r w:rsidRPr="002029AF">
              <w:t>with</w:t>
            </w:r>
            <w:r w:rsidR="000A5329" w:rsidRPr="002029AF">
              <w:t xml:space="preserve"> </w:t>
            </w:r>
            <w:r w:rsidRPr="002029AF">
              <w:t>Support</w:t>
            </w:r>
            <w:r w:rsidR="000A5329" w:rsidRPr="002029AF">
              <w:t xml:space="preserve"> </w:t>
            </w:r>
            <w:r w:rsidRPr="002029AF">
              <w:t>and</w:t>
            </w:r>
            <w:r w:rsidR="000A5329" w:rsidRPr="002029AF">
              <w:t xml:space="preserve"> </w:t>
            </w:r>
            <w:r w:rsidRPr="002029AF">
              <w:t>Safety</w:t>
            </w:r>
            <w:r w:rsidR="000A5329" w:rsidRPr="002029AF">
              <w:t xml:space="preserve"> </w:t>
            </w:r>
            <w:r w:rsidRPr="002029AF">
              <w:t>Hubs</w:t>
            </w:r>
            <w:r w:rsidR="000A5329" w:rsidRPr="002029AF">
              <w:t xml:space="preserve"> </w:t>
            </w:r>
            <w:r w:rsidRPr="002029AF">
              <w:t>services</w:t>
            </w:r>
          </w:p>
        </w:tc>
        <w:tc>
          <w:tcPr>
            <w:tcW w:w="1017" w:type="dxa"/>
            <w:gridSpan w:val="2"/>
            <w:shd w:val="clear" w:color="auto" w:fill="auto"/>
            <w:hideMark/>
          </w:tcPr>
          <w:p w14:paraId="0B684E90" w14:textId="559B2197" w:rsidR="00C15C65" w:rsidRPr="002029AF" w:rsidRDefault="00C15C65" w:rsidP="00C40F5D">
            <w:pPr>
              <w:pStyle w:val="ARtabletext"/>
            </w:pPr>
            <w:r w:rsidRPr="002029AF">
              <w:t>per</w:t>
            </w:r>
            <w:r w:rsidR="000A5329" w:rsidRPr="002029AF">
              <w:t xml:space="preserve"> </w:t>
            </w:r>
            <w:r w:rsidRPr="002029AF">
              <w:t>cent</w:t>
            </w:r>
          </w:p>
        </w:tc>
        <w:tc>
          <w:tcPr>
            <w:tcW w:w="1017" w:type="dxa"/>
            <w:gridSpan w:val="2"/>
            <w:shd w:val="clear" w:color="auto" w:fill="auto"/>
            <w:hideMark/>
          </w:tcPr>
          <w:p w14:paraId="3B9A9433" w14:textId="77777777" w:rsidR="00C15C65" w:rsidRPr="002029AF" w:rsidRDefault="00C15C65" w:rsidP="000024F3">
            <w:pPr>
              <w:pStyle w:val="ARtabletextright"/>
            </w:pPr>
            <w:r w:rsidRPr="002029AF">
              <w:t>80</w:t>
            </w:r>
          </w:p>
        </w:tc>
        <w:tc>
          <w:tcPr>
            <w:tcW w:w="1021" w:type="dxa"/>
            <w:gridSpan w:val="2"/>
            <w:shd w:val="clear" w:color="auto" w:fill="auto"/>
            <w:hideMark/>
          </w:tcPr>
          <w:p w14:paraId="3434309C" w14:textId="77777777" w:rsidR="00C15C65" w:rsidRPr="002029AF" w:rsidRDefault="00C15C65" w:rsidP="000024F3">
            <w:pPr>
              <w:pStyle w:val="ARtabletextright"/>
            </w:pPr>
            <w:r w:rsidRPr="002029AF">
              <w:t>97</w:t>
            </w:r>
          </w:p>
        </w:tc>
        <w:tc>
          <w:tcPr>
            <w:tcW w:w="1038" w:type="dxa"/>
            <w:gridSpan w:val="2"/>
            <w:shd w:val="clear" w:color="auto" w:fill="auto"/>
          </w:tcPr>
          <w:p w14:paraId="5139A078" w14:textId="77777777" w:rsidR="00C15C65" w:rsidRPr="002029AF" w:rsidRDefault="00C15C65" w:rsidP="000024F3">
            <w:pPr>
              <w:pStyle w:val="ARtabletextright"/>
            </w:pPr>
            <w:r w:rsidRPr="002029AF">
              <w:t>21.3</w:t>
            </w:r>
          </w:p>
        </w:tc>
        <w:tc>
          <w:tcPr>
            <w:tcW w:w="796" w:type="dxa"/>
            <w:shd w:val="clear" w:color="auto" w:fill="auto"/>
            <w:hideMark/>
          </w:tcPr>
          <w:p w14:paraId="2ACE0698"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05B27D35" w14:textId="77777777" w:rsidTr="005B58F0">
        <w:trPr>
          <w:gridAfter w:val="1"/>
          <w:wAfter w:w="8" w:type="dxa"/>
          <w:cantSplit/>
        </w:trPr>
        <w:tc>
          <w:tcPr>
            <w:tcW w:w="9631" w:type="dxa"/>
            <w:gridSpan w:val="10"/>
            <w:tcBorders>
              <w:bottom w:val="single" w:sz="4" w:space="0" w:color="BFBFBF"/>
            </w:tcBorders>
            <w:shd w:val="clear" w:color="auto" w:fill="auto"/>
            <w:noWrap/>
            <w:hideMark/>
          </w:tcPr>
          <w:p w14:paraId="6D8AECFC" w14:textId="084A7F74" w:rsidR="00C15C65" w:rsidRPr="002029AF" w:rsidRDefault="00C15C65" w:rsidP="00D96AFD">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although</w:t>
            </w:r>
            <w:r w:rsidR="000A5329" w:rsidRPr="002029AF">
              <w:t xml:space="preserve"> </w:t>
            </w:r>
            <w:r w:rsidRPr="002029AF">
              <w:t>fourth</w:t>
            </w:r>
            <w:r w:rsidR="000A5329" w:rsidRPr="002029AF">
              <w:t xml:space="preserve"> </w:t>
            </w:r>
            <w:r w:rsidRPr="002029AF">
              <w:t>quarter</w:t>
            </w:r>
            <w:r w:rsidR="000A5329" w:rsidRPr="002029AF">
              <w:t xml:space="preserve"> </w:t>
            </w:r>
            <w:r w:rsidRPr="002029AF">
              <w:t>data</w:t>
            </w:r>
            <w:r w:rsidR="000A5329" w:rsidRPr="002029AF">
              <w:t xml:space="preserve"> </w:t>
            </w:r>
            <w:r w:rsidRPr="002029AF">
              <w:t>could</w:t>
            </w:r>
            <w:r w:rsidR="000A5329" w:rsidRPr="002029AF">
              <w:t xml:space="preserve"> </w:t>
            </w:r>
            <w:r w:rsidRPr="002029AF">
              <w:t>not</w:t>
            </w:r>
            <w:r w:rsidR="000A5329" w:rsidRPr="002029AF">
              <w:t xml:space="preserve"> </w:t>
            </w:r>
            <w:r w:rsidRPr="002029AF">
              <w:t>be</w:t>
            </w:r>
            <w:r w:rsidR="000A5329" w:rsidRPr="002029AF">
              <w:t xml:space="preserve"> </w:t>
            </w:r>
            <w:r w:rsidRPr="002029AF">
              <w:t>collected</w:t>
            </w:r>
            <w:r w:rsidR="000A5329" w:rsidRPr="002029AF">
              <w:t xml:space="preserve"> </w:t>
            </w:r>
            <w:r w:rsidRPr="002029AF">
              <w:t>due</w:t>
            </w:r>
            <w:r w:rsidR="000A5329" w:rsidRPr="002029AF">
              <w:t xml:space="preserve"> </w:t>
            </w:r>
            <w:r w:rsidRPr="002029AF">
              <w:t>to</w:t>
            </w:r>
            <w:r w:rsidR="000A5329" w:rsidRPr="002029AF">
              <w:t xml:space="preserve"> </w:t>
            </w:r>
            <w:r w:rsidRPr="002029AF">
              <w:t>the</w:t>
            </w:r>
            <w:r w:rsidR="000A5329" w:rsidRPr="002029AF">
              <w:t xml:space="preserve"> </w:t>
            </w:r>
            <w:r w:rsidRPr="002029AF">
              <w:t>changes</w:t>
            </w:r>
            <w:r w:rsidR="000A5329" w:rsidRPr="002029AF">
              <w:t xml:space="preserve"> </w:t>
            </w:r>
            <w:r w:rsidRPr="002029AF">
              <w:t>in</w:t>
            </w:r>
            <w:r w:rsidR="000A5329" w:rsidRPr="002029AF">
              <w:t xml:space="preserve"> </w:t>
            </w:r>
            <w:r w:rsidRPr="002029AF">
              <w:t>operations</w:t>
            </w:r>
            <w:r w:rsidR="000A5329" w:rsidRPr="002029AF">
              <w:t xml:space="preserve"> </w:t>
            </w:r>
            <w:r w:rsidRPr="002029AF">
              <w:t>required</w:t>
            </w:r>
            <w:r w:rsidR="000A5329" w:rsidRPr="002029AF">
              <w:t xml:space="preserve"> </w:t>
            </w:r>
            <w:r w:rsidRPr="002029AF">
              <w:t>during</w:t>
            </w:r>
            <w:r w:rsidR="000A5329" w:rsidRPr="002029AF">
              <w:t xml:space="preserve"> </w:t>
            </w:r>
            <w:r w:rsidRPr="002029AF">
              <w:t>the</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health</w:t>
            </w:r>
            <w:r w:rsidR="000A5329" w:rsidRPr="002029AF">
              <w:t xml:space="preserve"> </w:t>
            </w:r>
            <w:r w:rsidRPr="002029AF">
              <w:t>emergency.</w:t>
            </w:r>
            <w:r w:rsidR="000A5329" w:rsidRPr="002029AF">
              <w:t xml:space="preserve"> </w:t>
            </w:r>
            <w:r w:rsidRPr="002029AF">
              <w:t>Phone-based</w:t>
            </w:r>
            <w:r w:rsidR="000A5329" w:rsidRPr="002029AF">
              <w:t xml:space="preserve"> </w:t>
            </w:r>
            <w:r w:rsidRPr="002029AF">
              <w:t>surveys</w:t>
            </w:r>
            <w:r w:rsidR="000A5329" w:rsidRPr="002029AF">
              <w:t xml:space="preserve"> </w:t>
            </w:r>
            <w:r w:rsidRPr="002029AF">
              <w:t>were</w:t>
            </w:r>
            <w:r w:rsidR="000A5329" w:rsidRPr="002029AF">
              <w:t xml:space="preserve"> </w:t>
            </w:r>
            <w:r w:rsidRPr="002029AF">
              <w:t>unable</w:t>
            </w:r>
            <w:r w:rsidR="000A5329" w:rsidRPr="002029AF">
              <w:t xml:space="preserve"> </w:t>
            </w:r>
            <w:r w:rsidRPr="002029AF">
              <w:t>to</w:t>
            </w:r>
            <w:r w:rsidR="000A5329" w:rsidRPr="002029AF">
              <w:t xml:space="preserve"> </w:t>
            </w:r>
            <w:r w:rsidRPr="002029AF">
              <w:t>be</w:t>
            </w:r>
            <w:r w:rsidR="000A5329" w:rsidRPr="002029AF">
              <w:t xml:space="preserve"> </w:t>
            </w:r>
            <w:r w:rsidRPr="002029AF">
              <w:t>run</w:t>
            </w:r>
            <w:r w:rsidR="000A5329" w:rsidRPr="002029AF">
              <w:t xml:space="preserve"> </w:t>
            </w:r>
            <w:r w:rsidRPr="002029AF">
              <w:t>whilst</w:t>
            </w:r>
            <w:r w:rsidR="000A5329" w:rsidRPr="002029AF">
              <w:t xml:space="preserve"> </w:t>
            </w:r>
            <w:r w:rsidRPr="002029AF">
              <w:t>staff</w:t>
            </w:r>
            <w:r w:rsidR="000A5329" w:rsidRPr="002029AF">
              <w:t xml:space="preserve"> </w:t>
            </w:r>
            <w:r w:rsidRPr="002029AF">
              <w:t>were</w:t>
            </w:r>
            <w:r w:rsidR="000A5329" w:rsidRPr="002029AF">
              <w:t xml:space="preserve"> </w:t>
            </w:r>
            <w:r w:rsidRPr="002029AF">
              <w:t>working</w:t>
            </w:r>
            <w:r w:rsidR="000A5329" w:rsidRPr="002029AF">
              <w:t xml:space="preserve"> </w:t>
            </w:r>
            <w:r w:rsidRPr="002029AF">
              <w:t>remotely</w:t>
            </w:r>
            <w:r w:rsidR="000A5329" w:rsidRPr="002029AF">
              <w:t xml:space="preserve"> </w:t>
            </w:r>
            <w:r w:rsidRPr="002029AF">
              <w:t>and</w:t>
            </w:r>
            <w:r w:rsidR="000A5329" w:rsidRPr="002029AF">
              <w:t xml:space="preserve"> </w:t>
            </w:r>
            <w:r w:rsidR="00FB1389" w:rsidRPr="002029AF">
              <w:t>paper-based</w:t>
            </w:r>
            <w:r w:rsidR="000A5329" w:rsidRPr="002029AF">
              <w:t xml:space="preserve"> </w:t>
            </w:r>
            <w:r w:rsidRPr="002029AF">
              <w:t>surveys</w:t>
            </w:r>
            <w:r w:rsidR="000A5329" w:rsidRPr="002029AF">
              <w:t xml:space="preserve"> </w:t>
            </w:r>
            <w:r w:rsidRPr="002029AF">
              <w:t>could</w:t>
            </w:r>
            <w:r w:rsidR="000A5329" w:rsidRPr="002029AF">
              <w:t xml:space="preserve"> </w:t>
            </w:r>
            <w:r w:rsidRPr="002029AF">
              <w:t>not</w:t>
            </w:r>
            <w:r w:rsidR="000A5329" w:rsidRPr="002029AF">
              <w:t xml:space="preserve"> </w:t>
            </w:r>
            <w:r w:rsidRPr="002029AF">
              <w:t>be</w:t>
            </w:r>
            <w:r w:rsidR="000A5329" w:rsidRPr="002029AF">
              <w:t xml:space="preserve"> </w:t>
            </w:r>
            <w:r w:rsidRPr="002029AF">
              <w:t>distributed</w:t>
            </w:r>
            <w:r w:rsidR="000A5329" w:rsidRPr="002029AF">
              <w:t xml:space="preserve"> </w:t>
            </w:r>
            <w:r w:rsidRPr="002029AF">
              <w:t>to</w:t>
            </w:r>
            <w:r w:rsidR="000A5329" w:rsidRPr="002029AF">
              <w:t xml:space="preserve"> </w:t>
            </w:r>
            <w:r w:rsidRPr="002029AF">
              <w:t>clients.</w:t>
            </w:r>
            <w:r w:rsidR="000A5329" w:rsidRPr="002029AF">
              <w:t xml:space="preserve"> </w:t>
            </w:r>
            <w:r w:rsidRPr="002029AF">
              <w:t>This</w:t>
            </w:r>
            <w:r w:rsidR="000A5329" w:rsidRPr="002029AF">
              <w:t xml:space="preserve"> </w:t>
            </w:r>
            <w:r w:rsidRPr="002029AF">
              <w:t>is</w:t>
            </w:r>
            <w:r w:rsidR="000A5329" w:rsidRPr="002029AF">
              <w:t xml:space="preserve"> </w:t>
            </w:r>
            <w:r w:rsidRPr="002029AF">
              <w:t>a</w:t>
            </w:r>
            <w:r w:rsidR="000A5329" w:rsidRPr="002029AF">
              <w:t xml:space="preserve"> </w:t>
            </w:r>
            <w:r w:rsidRPr="002029AF">
              <w:t>positive</w:t>
            </w:r>
            <w:r w:rsidR="000A5329" w:rsidRPr="002029AF">
              <w:t xml:space="preserve"> </w:t>
            </w:r>
            <w:r w:rsidRPr="002029AF">
              <w:t>result.</w:t>
            </w:r>
          </w:p>
        </w:tc>
      </w:tr>
      <w:tr w:rsidR="00C15C65" w:rsidRPr="002029AF" w14:paraId="02346A37" w14:textId="77777777" w:rsidTr="005B58F0">
        <w:trPr>
          <w:cantSplit/>
        </w:trPr>
        <w:tc>
          <w:tcPr>
            <w:tcW w:w="9639" w:type="dxa"/>
            <w:gridSpan w:val="11"/>
            <w:tcBorders>
              <w:top w:val="single" w:sz="4" w:space="0" w:color="auto"/>
              <w:left w:val="nil"/>
              <w:bottom w:val="nil"/>
              <w:right w:val="nil"/>
            </w:tcBorders>
            <w:hideMark/>
          </w:tcPr>
          <w:p w14:paraId="2B79FEE5" w14:textId="77777777" w:rsidR="00C15C65" w:rsidRPr="002029AF" w:rsidRDefault="00C15C65" w:rsidP="007666A5">
            <w:pPr>
              <w:pStyle w:val="ARtablegreybold"/>
            </w:pPr>
            <w:r w:rsidRPr="002029AF">
              <w:t>Timeliness</w:t>
            </w:r>
          </w:p>
        </w:tc>
      </w:tr>
      <w:tr w:rsidR="00C15C65" w:rsidRPr="002029AF" w14:paraId="476EB957" w14:textId="77777777" w:rsidTr="005B58F0">
        <w:trPr>
          <w:cantSplit/>
        </w:trPr>
        <w:tc>
          <w:tcPr>
            <w:tcW w:w="4751" w:type="dxa"/>
            <w:gridSpan w:val="2"/>
            <w:shd w:val="clear" w:color="auto" w:fill="auto"/>
            <w:hideMark/>
          </w:tcPr>
          <w:p w14:paraId="2FDB7D59" w14:textId="65BE3483" w:rsidR="00C15C65" w:rsidRPr="002029AF" w:rsidRDefault="00C15C65" w:rsidP="00C40F5D">
            <w:pPr>
              <w:pStyle w:val="ARtabletext"/>
            </w:pPr>
            <w:r w:rsidRPr="002029AF">
              <w:t>Assessments</w:t>
            </w:r>
            <w:r w:rsidR="000A5329" w:rsidRPr="002029AF">
              <w:t xml:space="preserve"> </w:t>
            </w:r>
            <w:r w:rsidRPr="002029AF">
              <w:t>completed</w:t>
            </w:r>
            <w:r w:rsidR="000A5329" w:rsidRPr="002029AF">
              <w:t xml:space="preserve"> </w:t>
            </w:r>
            <w:r w:rsidRPr="002029AF">
              <w:t>within</w:t>
            </w:r>
            <w:r w:rsidR="000A5329" w:rsidRPr="002029AF">
              <w:t xml:space="preserve"> </w:t>
            </w:r>
            <w:r w:rsidRPr="002029AF">
              <w:t>agreed</w:t>
            </w:r>
            <w:r w:rsidR="000A5329" w:rsidRPr="002029AF">
              <w:t xml:space="preserve"> </w:t>
            </w:r>
            <w:r w:rsidRPr="002029AF">
              <w:t>timeframes</w:t>
            </w:r>
          </w:p>
        </w:tc>
        <w:tc>
          <w:tcPr>
            <w:tcW w:w="1020" w:type="dxa"/>
            <w:gridSpan w:val="2"/>
            <w:shd w:val="clear" w:color="auto" w:fill="auto"/>
            <w:hideMark/>
          </w:tcPr>
          <w:p w14:paraId="1264901C" w14:textId="6802B5CA" w:rsidR="00C15C65" w:rsidRPr="002029AF" w:rsidRDefault="00C15C65" w:rsidP="00C40F5D">
            <w:pPr>
              <w:pStyle w:val="ARtabletext"/>
            </w:pPr>
            <w:r w:rsidRPr="002029AF">
              <w:t>per</w:t>
            </w:r>
            <w:r w:rsidR="000A5329" w:rsidRPr="002029AF">
              <w:t xml:space="preserve"> </w:t>
            </w:r>
            <w:r w:rsidRPr="002029AF">
              <w:t>cent</w:t>
            </w:r>
          </w:p>
        </w:tc>
        <w:tc>
          <w:tcPr>
            <w:tcW w:w="1020" w:type="dxa"/>
            <w:gridSpan w:val="2"/>
            <w:shd w:val="clear" w:color="auto" w:fill="auto"/>
            <w:hideMark/>
          </w:tcPr>
          <w:p w14:paraId="36F9454F" w14:textId="77777777" w:rsidR="00C15C65" w:rsidRPr="002029AF" w:rsidRDefault="00C15C65" w:rsidP="000024F3">
            <w:pPr>
              <w:pStyle w:val="ARtabletextright"/>
            </w:pPr>
            <w:r w:rsidRPr="002029AF">
              <w:t>80</w:t>
            </w:r>
          </w:p>
        </w:tc>
        <w:tc>
          <w:tcPr>
            <w:tcW w:w="1020" w:type="dxa"/>
            <w:gridSpan w:val="2"/>
            <w:shd w:val="clear" w:color="auto" w:fill="auto"/>
            <w:hideMark/>
          </w:tcPr>
          <w:p w14:paraId="13E4B7F3" w14:textId="77777777" w:rsidR="00C15C65" w:rsidRPr="002029AF" w:rsidRDefault="00C15C65" w:rsidP="000024F3">
            <w:pPr>
              <w:pStyle w:val="ARtabletextright"/>
            </w:pPr>
            <w:r w:rsidRPr="002029AF">
              <w:t>66</w:t>
            </w:r>
          </w:p>
        </w:tc>
        <w:tc>
          <w:tcPr>
            <w:tcW w:w="1024" w:type="dxa"/>
            <w:shd w:val="clear" w:color="auto" w:fill="auto"/>
          </w:tcPr>
          <w:p w14:paraId="4871AD5C" w14:textId="77777777" w:rsidR="00C15C65" w:rsidRPr="002029AF" w:rsidRDefault="00C15C65" w:rsidP="000024F3">
            <w:pPr>
              <w:pStyle w:val="ARtabletextright"/>
            </w:pPr>
            <w:r w:rsidRPr="002029AF">
              <w:t>-17.5</w:t>
            </w:r>
          </w:p>
        </w:tc>
        <w:tc>
          <w:tcPr>
            <w:tcW w:w="804" w:type="dxa"/>
            <w:gridSpan w:val="2"/>
            <w:shd w:val="clear" w:color="auto" w:fill="auto"/>
            <w:hideMark/>
          </w:tcPr>
          <w:p w14:paraId="4C147238"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28EF05BD" w14:textId="77777777" w:rsidTr="005B58F0">
        <w:trPr>
          <w:cantSplit/>
        </w:trPr>
        <w:tc>
          <w:tcPr>
            <w:tcW w:w="9639" w:type="dxa"/>
            <w:gridSpan w:val="11"/>
            <w:tcBorders>
              <w:bottom w:val="single" w:sz="4" w:space="0" w:color="BFBFBF"/>
            </w:tcBorders>
            <w:shd w:val="clear" w:color="auto" w:fill="auto"/>
            <w:noWrap/>
            <w:hideMark/>
          </w:tcPr>
          <w:p w14:paraId="7DC92721" w14:textId="5D5825BA" w:rsidR="00C15C65" w:rsidRPr="002029AF" w:rsidRDefault="00947962" w:rsidP="00D96AFD">
            <w:pPr>
              <w:pStyle w:val="ARtablenoteindent"/>
            </w:pPr>
            <w:r w:rsidRPr="002029AF">
              <w:t xml:space="preserve">The result was lower than the target. It is expected that the percentage of family violence risk assessments completed within agreed timeframes will continue to improve due to </w:t>
            </w:r>
            <w:r>
              <w:t>better</w:t>
            </w:r>
            <w:r w:rsidRPr="002029AF">
              <w:t xml:space="preserve"> system controls in the Client Relationship Management system and an increased focus on practice guidance.</w:t>
            </w:r>
            <w:r w:rsidR="00E67640">
              <w:t xml:space="preserve"> </w:t>
            </w:r>
            <w:r w:rsidR="00E67640" w:rsidRPr="00E67640">
              <w:t>Any referrals that indicate a higher risk receive an immediate response.</w:t>
            </w:r>
            <w:r w:rsidR="00020FE5">
              <w:rPr>
                <w:rFonts w:ascii="Calibri" w:eastAsia="Garamond" w:hAnsi="Calibri" w:cs="Calibri"/>
                <w:i/>
                <w:spacing w:val="-2"/>
                <w:sz w:val="15"/>
              </w:rPr>
              <w:t xml:space="preserve"> </w:t>
            </w:r>
          </w:p>
        </w:tc>
      </w:tr>
      <w:tr w:rsidR="00C15C65" w:rsidRPr="002029AF" w14:paraId="2E508A89" w14:textId="77777777" w:rsidTr="005B58F0">
        <w:trPr>
          <w:gridAfter w:val="1"/>
          <w:wAfter w:w="8" w:type="dxa"/>
          <w:cantSplit/>
        </w:trPr>
        <w:tc>
          <w:tcPr>
            <w:tcW w:w="4751" w:type="dxa"/>
            <w:gridSpan w:val="2"/>
            <w:shd w:val="clear" w:color="auto" w:fill="auto"/>
            <w:hideMark/>
          </w:tcPr>
          <w:p w14:paraId="74BBFB19" w14:textId="249CE510" w:rsidR="00C15C65" w:rsidRPr="002029AF" w:rsidRDefault="00C15C65" w:rsidP="00C40F5D">
            <w:pPr>
              <w:pStyle w:val="ARtabletext"/>
            </w:pPr>
            <w:r w:rsidRPr="002029AF">
              <w:t>Sexual</w:t>
            </w:r>
            <w:r w:rsidR="000A5329" w:rsidRPr="002029AF">
              <w:t xml:space="preserve"> </w:t>
            </w:r>
            <w:r w:rsidRPr="002029AF">
              <w:t>assault</w:t>
            </w:r>
            <w:r w:rsidR="000A5329" w:rsidRPr="002029AF">
              <w:t xml:space="preserve"> </w:t>
            </w:r>
            <w:r w:rsidRPr="002029AF">
              <w:t>support</w:t>
            </w:r>
            <w:r w:rsidR="000A5329" w:rsidRPr="002029AF">
              <w:t xml:space="preserve"> </w:t>
            </w:r>
            <w:r w:rsidRPr="002029AF">
              <w:t>services</w:t>
            </w:r>
            <w:r w:rsidR="000A5329" w:rsidRPr="002029AF">
              <w:t xml:space="preserve"> </w:t>
            </w:r>
            <w:r w:rsidRPr="002029AF">
              <w:t>clients</w:t>
            </w:r>
            <w:r w:rsidR="000A5329" w:rsidRPr="002029AF">
              <w:t xml:space="preserve"> </w:t>
            </w:r>
            <w:r w:rsidRPr="002029AF">
              <w:t>receiving</w:t>
            </w:r>
            <w:r w:rsidR="000A5329" w:rsidRPr="002029AF">
              <w:t xml:space="preserve"> </w:t>
            </w:r>
            <w:r w:rsidRPr="002029AF">
              <w:t>an</w:t>
            </w:r>
            <w:r w:rsidR="000A5329" w:rsidRPr="002029AF">
              <w:t xml:space="preserve"> </w:t>
            </w:r>
            <w:r w:rsidRPr="002029AF">
              <w:t>initial</w:t>
            </w:r>
            <w:r w:rsidR="000A5329" w:rsidRPr="002029AF">
              <w:t xml:space="preserve"> </w:t>
            </w:r>
            <w:r w:rsidRPr="002029AF">
              <w:t>response</w:t>
            </w:r>
            <w:r w:rsidR="000A5329" w:rsidRPr="002029AF">
              <w:t xml:space="preserve"> </w:t>
            </w:r>
            <w:r w:rsidRPr="002029AF">
              <w:t>within</w:t>
            </w:r>
            <w:r w:rsidR="000A5329" w:rsidRPr="002029AF">
              <w:t xml:space="preserve"> </w:t>
            </w:r>
            <w:r w:rsidRPr="002029AF">
              <w:t>five</w:t>
            </w:r>
            <w:r w:rsidR="000A5329" w:rsidRPr="002029AF">
              <w:t xml:space="preserve"> </w:t>
            </w:r>
            <w:r w:rsidRPr="002029AF">
              <w:t>working</w:t>
            </w:r>
            <w:r w:rsidR="000A5329" w:rsidRPr="002029AF">
              <w:t xml:space="preserve"> </w:t>
            </w:r>
            <w:r w:rsidRPr="002029AF">
              <w:t>days</w:t>
            </w:r>
            <w:r w:rsidR="000A5329" w:rsidRPr="002029AF">
              <w:t xml:space="preserve"> </w:t>
            </w:r>
            <w:r w:rsidRPr="002029AF">
              <w:t>of</w:t>
            </w:r>
            <w:r w:rsidR="000A5329" w:rsidRPr="002029AF">
              <w:t xml:space="preserve"> </w:t>
            </w:r>
            <w:r w:rsidRPr="002029AF">
              <w:t>referral</w:t>
            </w:r>
          </w:p>
        </w:tc>
        <w:tc>
          <w:tcPr>
            <w:tcW w:w="1020" w:type="dxa"/>
            <w:gridSpan w:val="2"/>
            <w:shd w:val="clear" w:color="auto" w:fill="auto"/>
            <w:hideMark/>
          </w:tcPr>
          <w:p w14:paraId="6A9CED4F" w14:textId="1ED5472D" w:rsidR="00C15C65" w:rsidRPr="002029AF" w:rsidRDefault="00C15C65" w:rsidP="00C40F5D">
            <w:pPr>
              <w:pStyle w:val="ARtabletext"/>
            </w:pPr>
            <w:r w:rsidRPr="002029AF">
              <w:t>per</w:t>
            </w:r>
            <w:r w:rsidR="000A5329" w:rsidRPr="002029AF">
              <w:t xml:space="preserve"> </w:t>
            </w:r>
            <w:r w:rsidRPr="002029AF">
              <w:t>cent</w:t>
            </w:r>
          </w:p>
        </w:tc>
        <w:tc>
          <w:tcPr>
            <w:tcW w:w="1020" w:type="dxa"/>
            <w:gridSpan w:val="2"/>
            <w:shd w:val="clear" w:color="auto" w:fill="auto"/>
            <w:hideMark/>
          </w:tcPr>
          <w:p w14:paraId="2148DA06" w14:textId="77777777" w:rsidR="00C15C65" w:rsidRPr="002029AF" w:rsidRDefault="00C15C65" w:rsidP="000024F3">
            <w:pPr>
              <w:pStyle w:val="ARtabletextright"/>
            </w:pPr>
            <w:r w:rsidRPr="002029AF">
              <w:t>98</w:t>
            </w:r>
          </w:p>
        </w:tc>
        <w:tc>
          <w:tcPr>
            <w:tcW w:w="1020" w:type="dxa"/>
            <w:gridSpan w:val="2"/>
            <w:shd w:val="clear" w:color="auto" w:fill="auto"/>
            <w:hideMark/>
          </w:tcPr>
          <w:p w14:paraId="02E0E85B" w14:textId="77777777" w:rsidR="00C15C65" w:rsidRPr="002029AF" w:rsidRDefault="00C15C65" w:rsidP="000024F3">
            <w:pPr>
              <w:pStyle w:val="ARtabletextright"/>
            </w:pPr>
            <w:r w:rsidRPr="002029AF">
              <w:t>98</w:t>
            </w:r>
          </w:p>
        </w:tc>
        <w:tc>
          <w:tcPr>
            <w:tcW w:w="1024" w:type="dxa"/>
            <w:shd w:val="clear" w:color="auto" w:fill="auto"/>
          </w:tcPr>
          <w:p w14:paraId="093EAC2D" w14:textId="77777777" w:rsidR="00C15C65" w:rsidRPr="002029AF" w:rsidRDefault="00C15C65" w:rsidP="000024F3">
            <w:pPr>
              <w:pStyle w:val="ARtabletextright"/>
            </w:pPr>
            <w:r w:rsidRPr="002029AF">
              <w:t>0.0</w:t>
            </w:r>
          </w:p>
        </w:tc>
        <w:tc>
          <w:tcPr>
            <w:tcW w:w="796" w:type="dxa"/>
            <w:shd w:val="clear" w:color="auto" w:fill="auto"/>
            <w:hideMark/>
          </w:tcPr>
          <w:p w14:paraId="445FE7E8"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32DD13F3" w14:textId="77777777" w:rsidTr="005B58F0">
        <w:trPr>
          <w:cantSplit/>
        </w:trPr>
        <w:tc>
          <w:tcPr>
            <w:tcW w:w="9639" w:type="dxa"/>
            <w:gridSpan w:val="11"/>
            <w:tcBorders>
              <w:top w:val="single" w:sz="4" w:space="0" w:color="auto"/>
              <w:left w:val="nil"/>
              <w:bottom w:val="nil"/>
              <w:right w:val="nil"/>
            </w:tcBorders>
            <w:hideMark/>
          </w:tcPr>
          <w:p w14:paraId="62DF7D76" w14:textId="77777777" w:rsidR="00C15C65" w:rsidRPr="002029AF" w:rsidRDefault="00C15C65" w:rsidP="007666A5">
            <w:pPr>
              <w:pStyle w:val="ARtablegreybold"/>
            </w:pPr>
            <w:r w:rsidRPr="002029AF">
              <w:t>Cost</w:t>
            </w:r>
          </w:p>
        </w:tc>
      </w:tr>
      <w:tr w:rsidR="00C15C65" w:rsidRPr="002029AF" w14:paraId="0B228E1E" w14:textId="77777777" w:rsidTr="005B58F0">
        <w:trPr>
          <w:cantSplit/>
        </w:trPr>
        <w:tc>
          <w:tcPr>
            <w:tcW w:w="4742" w:type="dxa"/>
            <w:hideMark/>
          </w:tcPr>
          <w:p w14:paraId="66532352" w14:textId="25F98AA8" w:rsidR="00C15C65" w:rsidRPr="002029AF" w:rsidRDefault="00C15C65" w:rsidP="00C40F5D">
            <w:pPr>
              <w:pStyle w:val="ARtabletext"/>
              <w:rPr>
                <w:b/>
              </w:rPr>
            </w:pPr>
            <w:r w:rsidRPr="002029AF">
              <w:rPr>
                <w:b/>
              </w:rPr>
              <w:t>Total</w:t>
            </w:r>
            <w:r w:rsidR="000A5329" w:rsidRPr="002029AF">
              <w:rPr>
                <w:b/>
              </w:rPr>
              <w:t xml:space="preserve"> </w:t>
            </w:r>
            <w:r w:rsidRPr="002029AF">
              <w:rPr>
                <w:b/>
              </w:rPr>
              <w:t>output</w:t>
            </w:r>
            <w:r w:rsidR="000A5329" w:rsidRPr="002029AF">
              <w:rPr>
                <w:b/>
              </w:rPr>
              <w:t xml:space="preserve"> </w:t>
            </w:r>
            <w:r w:rsidRPr="002029AF">
              <w:rPr>
                <w:b/>
              </w:rPr>
              <w:t>cost</w:t>
            </w:r>
          </w:p>
        </w:tc>
        <w:tc>
          <w:tcPr>
            <w:tcW w:w="1017" w:type="dxa"/>
            <w:gridSpan w:val="2"/>
            <w:hideMark/>
          </w:tcPr>
          <w:p w14:paraId="1E7EFD06" w14:textId="1AD2114E" w:rsidR="00C15C65" w:rsidRPr="002029AF" w:rsidRDefault="00C15C65" w:rsidP="00C40F5D">
            <w:pPr>
              <w:pStyle w:val="ARtabletext"/>
              <w:rPr>
                <w:b/>
              </w:rPr>
            </w:pPr>
            <w:r w:rsidRPr="002029AF">
              <w:rPr>
                <w:b/>
              </w:rPr>
              <w:t>$</w:t>
            </w:r>
            <w:r w:rsidR="000A5329" w:rsidRPr="002029AF">
              <w:rPr>
                <w:b/>
              </w:rPr>
              <w:t xml:space="preserve"> </w:t>
            </w:r>
            <w:r w:rsidRPr="002029AF">
              <w:rPr>
                <w:b/>
              </w:rPr>
              <w:t>million</w:t>
            </w:r>
          </w:p>
        </w:tc>
        <w:tc>
          <w:tcPr>
            <w:tcW w:w="1017" w:type="dxa"/>
            <w:gridSpan w:val="2"/>
          </w:tcPr>
          <w:p w14:paraId="08BD88CE" w14:textId="77777777" w:rsidR="00C15C65" w:rsidRPr="002029AF" w:rsidRDefault="00C15C65" w:rsidP="00C9755D">
            <w:pPr>
              <w:pStyle w:val="ARtabletextrightbold"/>
            </w:pPr>
            <w:r w:rsidRPr="002029AF">
              <w:t>268.3</w:t>
            </w:r>
          </w:p>
        </w:tc>
        <w:tc>
          <w:tcPr>
            <w:tcW w:w="1021" w:type="dxa"/>
            <w:gridSpan w:val="2"/>
          </w:tcPr>
          <w:p w14:paraId="6A35EE19" w14:textId="77777777" w:rsidR="00C15C65" w:rsidRPr="002029AF" w:rsidRDefault="00C15C65" w:rsidP="00C9755D">
            <w:pPr>
              <w:pStyle w:val="ARtabletextrightbold"/>
            </w:pPr>
            <w:r w:rsidRPr="002029AF">
              <w:t>287.5</w:t>
            </w:r>
          </w:p>
        </w:tc>
        <w:tc>
          <w:tcPr>
            <w:tcW w:w="1038" w:type="dxa"/>
            <w:gridSpan w:val="2"/>
          </w:tcPr>
          <w:p w14:paraId="31FC15D1" w14:textId="77777777" w:rsidR="00C15C65" w:rsidRPr="002029AF" w:rsidRDefault="00C15C65" w:rsidP="00C9755D">
            <w:pPr>
              <w:pStyle w:val="ARtabletextrightbold"/>
            </w:pPr>
            <w:r w:rsidRPr="002029AF">
              <w:t>7.2</w:t>
            </w:r>
          </w:p>
        </w:tc>
        <w:tc>
          <w:tcPr>
            <w:tcW w:w="804" w:type="dxa"/>
            <w:gridSpan w:val="2"/>
          </w:tcPr>
          <w:p w14:paraId="2EDDB982" w14:textId="77777777" w:rsidR="00C15C65" w:rsidRPr="002029AF" w:rsidRDefault="00C15C65" w:rsidP="00C40F5D">
            <w:pPr>
              <w:pStyle w:val="ARtabletext"/>
              <w:rPr>
                <w:b/>
              </w:rPr>
            </w:pPr>
          </w:p>
        </w:tc>
      </w:tr>
      <w:tr w:rsidR="00C15C65" w:rsidRPr="002029AF" w14:paraId="2E6AD752" w14:textId="77777777" w:rsidTr="005B58F0">
        <w:trPr>
          <w:cantSplit/>
        </w:trPr>
        <w:tc>
          <w:tcPr>
            <w:tcW w:w="9639" w:type="dxa"/>
            <w:gridSpan w:val="11"/>
            <w:tcBorders>
              <w:top w:val="nil"/>
              <w:left w:val="nil"/>
              <w:bottom w:val="single" w:sz="4" w:space="0" w:color="BFBFBF"/>
              <w:right w:val="nil"/>
            </w:tcBorders>
            <w:noWrap/>
            <w:hideMark/>
          </w:tcPr>
          <w:p w14:paraId="47B2B8DD" w14:textId="05594C73" w:rsidR="00C15C65" w:rsidRPr="002029AF" w:rsidRDefault="00C15C65" w:rsidP="00D96AFD">
            <w:pPr>
              <w:pStyle w:val="ARtablenoteindent"/>
            </w:pPr>
            <w:r w:rsidRPr="002029AF">
              <w:t>The</w:t>
            </w:r>
            <w:r w:rsidR="000A5329" w:rsidRPr="002029AF">
              <w:t xml:space="preserve"> </w:t>
            </w:r>
            <w:r w:rsidRPr="002029AF">
              <w:t>201</w:t>
            </w:r>
            <w:r w:rsidR="00DB53E6" w:rsidRPr="002029AF">
              <w:t>9–</w:t>
            </w:r>
            <w:r w:rsidRPr="002029AF">
              <w:t>20</w:t>
            </w:r>
            <w:r w:rsidR="000A5329" w:rsidRPr="002029AF">
              <w:t xml:space="preserve"> </w:t>
            </w:r>
            <w:r w:rsidRPr="002029AF">
              <w:t>actual</w:t>
            </w:r>
            <w:r w:rsidR="000A5329" w:rsidRPr="002029AF">
              <w:t xml:space="preserve"> </w:t>
            </w:r>
            <w:r w:rsidRPr="002029AF">
              <w:t>outcome</w:t>
            </w:r>
            <w:r w:rsidR="000A5329" w:rsidRPr="002029AF">
              <w:t xml:space="preserve"> </w:t>
            </w:r>
            <w:r w:rsidRPr="002029AF">
              <w:t>primarily</w:t>
            </w:r>
            <w:r w:rsidR="000A5329" w:rsidRPr="002029AF">
              <w:t xml:space="preserve"> </w:t>
            </w:r>
            <w:r w:rsidRPr="002029AF">
              <w:t>reflects</w:t>
            </w:r>
            <w:r w:rsidR="000A5329" w:rsidRPr="002029AF">
              <w:t xml:space="preserve"> </w:t>
            </w:r>
            <w:r w:rsidRPr="002029AF">
              <w:t>additional</w:t>
            </w:r>
            <w:r w:rsidR="000A5329" w:rsidRPr="002029AF">
              <w:t xml:space="preserve"> </w:t>
            </w:r>
            <w:r w:rsidRPr="002029AF">
              <w:t>expenditure</w:t>
            </w:r>
            <w:r w:rsidR="000A5329" w:rsidRPr="002029AF">
              <w:t xml:space="preserve"> </w:t>
            </w:r>
            <w:r w:rsidRPr="002029AF">
              <w:t>on</w:t>
            </w:r>
            <w:r w:rsidR="000A5329" w:rsidRPr="002029AF">
              <w:t xml:space="preserve"> </w:t>
            </w:r>
            <w:r w:rsidRPr="002029AF">
              <w:t>key</w:t>
            </w:r>
            <w:r w:rsidR="000A5329" w:rsidRPr="002029AF">
              <w:t xml:space="preserve"> </w:t>
            </w:r>
            <w:r w:rsidRPr="002029AF">
              <w:t>government</w:t>
            </w:r>
            <w:r w:rsidR="000A5329" w:rsidRPr="002029AF">
              <w:t xml:space="preserve"> </w:t>
            </w:r>
            <w:r w:rsidRPr="002029AF">
              <w:t>initiatives</w:t>
            </w:r>
            <w:r w:rsidR="000A5329" w:rsidRPr="002029AF">
              <w:t xml:space="preserve"> </w:t>
            </w:r>
            <w:r w:rsidRPr="002029AF">
              <w:t>such</w:t>
            </w:r>
            <w:r w:rsidR="000A5329" w:rsidRPr="002029AF">
              <w:t xml:space="preserve"> </w:t>
            </w:r>
            <w:r w:rsidRPr="002029AF">
              <w:t>as</w:t>
            </w:r>
            <w:r w:rsidR="000A5329" w:rsidRPr="002029AF">
              <w:t xml:space="preserve"> </w:t>
            </w:r>
            <w:r w:rsidRPr="002029AF">
              <w:t>the</w:t>
            </w:r>
            <w:r w:rsidR="000A5329" w:rsidRPr="002029AF">
              <w:t xml:space="preserve"> </w:t>
            </w:r>
            <w:r w:rsidRPr="002029AF">
              <w:t>Central</w:t>
            </w:r>
            <w:r w:rsidR="000A5329" w:rsidRPr="002029AF">
              <w:t xml:space="preserve"> </w:t>
            </w:r>
            <w:r w:rsidRPr="002029AF">
              <w:t>Information</w:t>
            </w:r>
            <w:r w:rsidR="000A5329" w:rsidRPr="002029AF">
              <w:t xml:space="preserve"> </w:t>
            </w:r>
            <w:r w:rsidRPr="002029AF">
              <w:t>Point,</w:t>
            </w:r>
            <w:r w:rsidR="000A5329" w:rsidRPr="002029AF">
              <w:t xml:space="preserve"> </w:t>
            </w:r>
            <w:r w:rsidRPr="002029AF">
              <w:t>and</w:t>
            </w:r>
            <w:r w:rsidR="000A5329" w:rsidRPr="002029AF">
              <w:t xml:space="preserve"> </w:t>
            </w:r>
            <w:r w:rsidRPr="002029AF">
              <w:t>the</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response.</w:t>
            </w:r>
          </w:p>
        </w:tc>
      </w:tr>
    </w:tbl>
    <w:p w14:paraId="53D320E1" w14:textId="61B4615A" w:rsidR="00C15C65" w:rsidRPr="002029AF" w:rsidRDefault="00C15C65" w:rsidP="00C40F5D">
      <w:pPr>
        <w:pStyle w:val="Heading2"/>
      </w:pPr>
      <w:r w:rsidRPr="002029AF">
        <w:t>Concessions</w:t>
      </w:r>
      <w:r w:rsidR="000A5329" w:rsidRPr="002029AF">
        <w:t xml:space="preserve"> </w:t>
      </w:r>
      <w:r w:rsidRPr="002029AF">
        <w:t>to</w:t>
      </w:r>
      <w:r w:rsidR="000A5329" w:rsidRPr="002029AF">
        <w:t xml:space="preserve"> </w:t>
      </w:r>
      <w:r w:rsidRPr="002029AF">
        <w:t>Pensioners</w:t>
      </w:r>
      <w:r w:rsidR="000A5329" w:rsidRPr="002029AF">
        <w:t xml:space="preserve"> </w:t>
      </w:r>
      <w:r w:rsidRPr="002029AF">
        <w:t>and</w:t>
      </w:r>
      <w:r w:rsidR="000A5329" w:rsidRPr="002029AF">
        <w:t xml:space="preserve"> </w:t>
      </w:r>
      <w:r w:rsidRPr="002029AF">
        <w:t>Beneficiaries</w:t>
      </w:r>
    </w:p>
    <w:p w14:paraId="65A14B80" w14:textId="7921F28D" w:rsidR="00C15C65" w:rsidRPr="002029AF" w:rsidRDefault="00C15C65" w:rsidP="00C40F5D">
      <w:pPr>
        <w:pStyle w:val="ARbody"/>
      </w:pPr>
      <w:r w:rsidRPr="002029AF">
        <w:t>This</w:t>
      </w:r>
      <w:r w:rsidR="000A5329" w:rsidRPr="002029AF">
        <w:t xml:space="preserve"> </w:t>
      </w:r>
      <w:r w:rsidRPr="002029AF">
        <w:t>output,</w:t>
      </w:r>
      <w:r w:rsidR="000A5329" w:rsidRPr="002029AF">
        <w:t xml:space="preserve"> </w:t>
      </w:r>
      <w:r w:rsidRPr="002029AF">
        <w:t>through</w:t>
      </w:r>
      <w:r w:rsidR="000A5329" w:rsidRPr="002029AF">
        <w:t xml:space="preserve"> </w:t>
      </w:r>
      <w:r w:rsidRPr="002029AF">
        <w:t>the</w:t>
      </w:r>
      <w:r w:rsidR="000A5329" w:rsidRPr="002029AF">
        <w:t xml:space="preserve"> </w:t>
      </w:r>
      <w:r w:rsidRPr="002029AF">
        <w:t>development</w:t>
      </w:r>
      <w:r w:rsidR="000A5329" w:rsidRPr="002029AF">
        <w:t xml:space="preserve"> </w:t>
      </w:r>
      <w:r w:rsidRPr="002029AF">
        <w:t>and</w:t>
      </w:r>
      <w:r w:rsidR="000A5329" w:rsidRPr="002029AF">
        <w:t xml:space="preserve"> </w:t>
      </w:r>
      <w:r w:rsidRPr="002029AF">
        <w:t>coordination</w:t>
      </w:r>
      <w:r w:rsidR="000A5329" w:rsidRPr="002029AF">
        <w:t xml:space="preserve"> </w:t>
      </w:r>
      <w:r w:rsidRPr="002029AF">
        <w:t>of</w:t>
      </w:r>
      <w:r w:rsidR="000A5329" w:rsidRPr="002029AF">
        <w:t xml:space="preserve"> </w:t>
      </w:r>
      <w:r w:rsidRPr="002029AF">
        <w:t>the</w:t>
      </w:r>
      <w:r w:rsidR="000A5329" w:rsidRPr="002029AF">
        <w:t xml:space="preserve"> </w:t>
      </w:r>
      <w:r w:rsidRPr="002029AF">
        <w:t>delivery</w:t>
      </w:r>
      <w:r w:rsidR="000A5329" w:rsidRPr="002029AF">
        <w:t xml:space="preserve"> </w:t>
      </w:r>
      <w:r w:rsidRPr="002029AF">
        <w:t>of</w:t>
      </w:r>
      <w:r w:rsidR="000A5329" w:rsidRPr="002029AF">
        <w:t xml:space="preserve"> </w:t>
      </w:r>
      <w:r w:rsidRPr="002029AF">
        <w:t>concessions</w:t>
      </w:r>
      <w:r w:rsidR="000A5329" w:rsidRPr="002029AF">
        <w:t xml:space="preserve"> </w:t>
      </w:r>
      <w:r w:rsidRPr="002029AF">
        <w:t>and</w:t>
      </w:r>
      <w:r w:rsidR="000A5329" w:rsidRPr="002029AF">
        <w:t xml:space="preserve"> </w:t>
      </w:r>
      <w:r w:rsidRPr="002029AF">
        <w:t>relief</w:t>
      </w:r>
      <w:r w:rsidR="000A5329" w:rsidRPr="002029AF">
        <w:t xml:space="preserve"> </w:t>
      </w:r>
      <w:r w:rsidRPr="002029AF">
        <w:t>grants</w:t>
      </w:r>
      <w:r w:rsidR="000A5329" w:rsidRPr="002029AF">
        <w:t xml:space="preserve"> </w:t>
      </w:r>
      <w:r w:rsidRPr="002029AF">
        <w:t>to</w:t>
      </w:r>
      <w:r w:rsidR="000A5329" w:rsidRPr="002029AF">
        <w:t xml:space="preserve"> </w:t>
      </w:r>
      <w:r w:rsidRPr="002029AF">
        <w:t>eligible</w:t>
      </w:r>
      <w:r w:rsidR="000A5329" w:rsidRPr="002029AF">
        <w:t xml:space="preserve"> </w:t>
      </w:r>
      <w:r w:rsidRPr="002029AF">
        <w:t>consumers</w:t>
      </w:r>
      <w:r w:rsidR="000A5329" w:rsidRPr="002029AF">
        <w:t xml:space="preserve"> </w:t>
      </w:r>
      <w:r w:rsidRPr="002029AF">
        <w:t>and</w:t>
      </w:r>
      <w:r w:rsidR="000A5329" w:rsidRPr="002029AF">
        <w:t xml:space="preserve"> </w:t>
      </w:r>
      <w:r w:rsidRPr="002029AF">
        <w:t>concession</w:t>
      </w:r>
      <w:r w:rsidR="000A5329" w:rsidRPr="002029AF">
        <w:t xml:space="preserve"> </w:t>
      </w:r>
      <w:r w:rsidRPr="002029AF">
        <w:t>card</w:t>
      </w:r>
      <w:r w:rsidR="000A5329" w:rsidRPr="002029AF">
        <w:t xml:space="preserve"> </w:t>
      </w:r>
      <w:r w:rsidRPr="002029AF">
        <w:t>holders,</w:t>
      </w:r>
      <w:r w:rsidR="000A5329" w:rsidRPr="002029AF">
        <w:t xml:space="preserve"> </w:t>
      </w:r>
      <w:r w:rsidRPr="002029AF">
        <w:t>aims</w:t>
      </w:r>
      <w:r w:rsidR="000A5329" w:rsidRPr="002029AF">
        <w:t xml:space="preserve"> </w:t>
      </w:r>
      <w:r w:rsidRPr="002029AF">
        <w:t>to</w:t>
      </w:r>
      <w:r w:rsidR="000A5329" w:rsidRPr="002029AF">
        <w:t xml:space="preserve"> </w:t>
      </w:r>
      <w:r w:rsidRPr="002029AF">
        <w:t>make</w:t>
      </w:r>
      <w:r w:rsidR="000A5329" w:rsidRPr="002029AF">
        <w:t xml:space="preserve"> </w:t>
      </w:r>
      <w:r w:rsidRPr="002029AF">
        <w:t>a</w:t>
      </w:r>
      <w:r w:rsidR="000A5329" w:rsidRPr="002029AF">
        <w:t xml:space="preserve"> </w:t>
      </w:r>
      <w:r w:rsidRPr="002029AF">
        <w:t>positive</w:t>
      </w:r>
      <w:r w:rsidR="000A5329" w:rsidRPr="002029AF">
        <w:t xml:space="preserve"> </w:t>
      </w:r>
      <w:r w:rsidRPr="002029AF">
        <w:t>difference</w:t>
      </w:r>
      <w:r w:rsidR="000A5329" w:rsidRPr="002029AF">
        <w:t xml:space="preserve"> </w:t>
      </w:r>
      <w:r w:rsidRPr="002029AF">
        <w:t>for</w:t>
      </w:r>
      <w:r w:rsidR="000A5329" w:rsidRPr="002029AF">
        <w:t xml:space="preserve"> </w:t>
      </w:r>
      <w:r w:rsidRPr="002029AF">
        <w:t>Victorians</w:t>
      </w:r>
      <w:r w:rsidR="000A5329" w:rsidRPr="002029AF">
        <w:t xml:space="preserve"> </w:t>
      </w:r>
      <w:r w:rsidRPr="002029AF">
        <w:t>experiencing</w:t>
      </w:r>
      <w:r w:rsidR="000A5329" w:rsidRPr="002029AF">
        <w:t xml:space="preserve"> </w:t>
      </w:r>
      <w:r w:rsidRPr="002029AF">
        <w:t>disadvantage</w:t>
      </w:r>
      <w:r w:rsidR="000A5329" w:rsidRPr="002029AF">
        <w:t xml:space="preserve"> </w:t>
      </w:r>
      <w:r w:rsidRPr="002029AF">
        <w:t>by</w:t>
      </w:r>
      <w:r w:rsidR="000A5329" w:rsidRPr="002029AF">
        <w:t xml:space="preserve"> </w:t>
      </w:r>
      <w:r w:rsidRPr="002029AF">
        <w:t>providing</w:t>
      </w:r>
      <w:r w:rsidR="000A5329" w:rsidRPr="002029AF">
        <w:t xml:space="preserve"> </w:t>
      </w:r>
      <w:r w:rsidRPr="002029AF">
        <w:t>excellent</w:t>
      </w:r>
      <w:r w:rsidR="000A5329" w:rsidRPr="002029AF">
        <w:t xml:space="preserve"> </w:t>
      </w:r>
      <w:r w:rsidRPr="002029AF">
        <w:t>community</w:t>
      </w:r>
      <w:r w:rsidR="000A5329" w:rsidRPr="002029AF">
        <w:t xml:space="preserve"> </w:t>
      </w:r>
      <w:r w:rsidRPr="002029AF">
        <w:t>services</w:t>
      </w:r>
      <w:r w:rsidR="000A5329" w:rsidRPr="002029AF">
        <w:t xml:space="preserve"> </w:t>
      </w:r>
      <w:r w:rsidRPr="002029AF">
        <w:t>to</w:t>
      </w:r>
      <w:r w:rsidR="000A5329" w:rsidRPr="002029AF">
        <w:t xml:space="preserve"> </w:t>
      </w:r>
      <w:r w:rsidRPr="002029AF">
        <w:t>meet</w:t>
      </w:r>
      <w:r w:rsidR="000A5329" w:rsidRPr="002029AF">
        <w:t xml:space="preserve"> </w:t>
      </w:r>
      <w:r w:rsidRPr="002029AF">
        <w:t>clients’</w:t>
      </w:r>
      <w:r w:rsidR="000A5329" w:rsidRPr="002029AF">
        <w:t xml:space="preserve"> </w:t>
      </w:r>
      <w:r w:rsidRPr="002029AF">
        <w:t>needs.</w:t>
      </w:r>
    </w:p>
    <w:tbl>
      <w:tblPr>
        <w:tblW w:w="9639" w:type="dxa"/>
        <w:tblLayout w:type="fixed"/>
        <w:tblCellMar>
          <w:left w:w="0" w:type="dxa"/>
        </w:tblCellMar>
        <w:tblLook w:val="04A0" w:firstRow="1" w:lastRow="0" w:firstColumn="1" w:lastColumn="0" w:noHBand="0" w:noVBand="1"/>
      </w:tblPr>
      <w:tblGrid>
        <w:gridCol w:w="4752"/>
        <w:gridCol w:w="1020"/>
        <w:gridCol w:w="1020"/>
        <w:gridCol w:w="1020"/>
        <w:gridCol w:w="1023"/>
        <w:gridCol w:w="796"/>
        <w:gridCol w:w="8"/>
      </w:tblGrid>
      <w:tr w:rsidR="005B58F0" w:rsidRPr="002029AF" w14:paraId="5099240D" w14:textId="77777777" w:rsidTr="0014376C">
        <w:trPr>
          <w:cantSplit/>
          <w:tblHeader/>
        </w:trPr>
        <w:tc>
          <w:tcPr>
            <w:tcW w:w="4752" w:type="dxa"/>
            <w:tcBorders>
              <w:top w:val="nil"/>
              <w:left w:val="nil"/>
              <w:bottom w:val="single" w:sz="4" w:space="0" w:color="auto"/>
              <w:right w:val="nil"/>
            </w:tcBorders>
            <w:vAlign w:val="bottom"/>
            <w:hideMark/>
          </w:tcPr>
          <w:p w14:paraId="3CD61B15" w14:textId="409A87B1" w:rsidR="005B58F0" w:rsidRPr="002029AF" w:rsidRDefault="005B58F0" w:rsidP="0014376C">
            <w:pPr>
              <w:pStyle w:val="ARtablecolhead"/>
            </w:pPr>
            <w:r w:rsidRPr="002029AF">
              <w:t>Performance</w:t>
            </w:r>
            <w:r w:rsidR="000A5329" w:rsidRPr="002029AF">
              <w:t xml:space="preserve"> </w:t>
            </w:r>
            <w:r w:rsidRPr="002029AF">
              <w:t>measures</w:t>
            </w:r>
          </w:p>
        </w:tc>
        <w:tc>
          <w:tcPr>
            <w:tcW w:w="1020" w:type="dxa"/>
            <w:tcBorders>
              <w:top w:val="nil"/>
              <w:left w:val="nil"/>
              <w:bottom w:val="single" w:sz="4" w:space="0" w:color="auto"/>
              <w:right w:val="nil"/>
            </w:tcBorders>
            <w:vAlign w:val="bottom"/>
            <w:hideMark/>
          </w:tcPr>
          <w:p w14:paraId="7CD9DAAE" w14:textId="7822CBF2" w:rsidR="005B58F0" w:rsidRPr="002029AF" w:rsidRDefault="005B58F0" w:rsidP="0014376C">
            <w:pPr>
              <w:pStyle w:val="ARtablecolhead"/>
            </w:pPr>
            <w:r w:rsidRPr="002029AF">
              <w:t>Unit</w:t>
            </w:r>
            <w:r w:rsidR="000A5329" w:rsidRPr="002029AF">
              <w:t xml:space="preserve"> </w:t>
            </w:r>
            <w:r w:rsidRPr="002029AF">
              <w:t>of</w:t>
            </w:r>
            <w:r w:rsidR="000A5329" w:rsidRPr="002029AF">
              <w:t xml:space="preserve"> </w:t>
            </w:r>
            <w:r w:rsidRPr="002029AF">
              <w:t>measure</w:t>
            </w:r>
          </w:p>
        </w:tc>
        <w:tc>
          <w:tcPr>
            <w:tcW w:w="1020" w:type="dxa"/>
            <w:tcBorders>
              <w:top w:val="nil"/>
              <w:left w:val="nil"/>
              <w:bottom w:val="single" w:sz="4" w:space="0" w:color="auto"/>
              <w:right w:val="nil"/>
            </w:tcBorders>
            <w:vAlign w:val="bottom"/>
            <w:hideMark/>
          </w:tcPr>
          <w:p w14:paraId="4CA72E2F" w14:textId="40DB4EB4" w:rsidR="005B58F0" w:rsidRPr="002029AF" w:rsidRDefault="005B58F0" w:rsidP="0014376C">
            <w:pPr>
              <w:pStyle w:val="ARtablecolheadright"/>
            </w:pPr>
            <w:r w:rsidRPr="002029AF">
              <w:t>2019–20</w:t>
            </w:r>
            <w:r w:rsidR="000A5329" w:rsidRPr="002029AF">
              <w:t xml:space="preserve"> </w:t>
            </w:r>
            <w:r w:rsidRPr="002029AF">
              <w:t>target</w:t>
            </w:r>
          </w:p>
        </w:tc>
        <w:tc>
          <w:tcPr>
            <w:tcW w:w="1020" w:type="dxa"/>
            <w:tcBorders>
              <w:top w:val="nil"/>
              <w:left w:val="nil"/>
              <w:bottom w:val="single" w:sz="4" w:space="0" w:color="auto"/>
              <w:right w:val="nil"/>
            </w:tcBorders>
            <w:vAlign w:val="bottom"/>
            <w:hideMark/>
          </w:tcPr>
          <w:p w14:paraId="44A3AD58" w14:textId="666987D7" w:rsidR="005B58F0" w:rsidRPr="002029AF" w:rsidRDefault="005B58F0" w:rsidP="0014376C">
            <w:pPr>
              <w:pStyle w:val="ARtablecolheadright"/>
            </w:pPr>
            <w:r w:rsidRPr="002029AF">
              <w:t>2019–20</w:t>
            </w:r>
            <w:r w:rsidR="000A5329" w:rsidRPr="002029AF">
              <w:t xml:space="preserve"> </w:t>
            </w:r>
            <w:r w:rsidRPr="002029AF">
              <w:t>actual</w:t>
            </w:r>
          </w:p>
        </w:tc>
        <w:tc>
          <w:tcPr>
            <w:tcW w:w="1023" w:type="dxa"/>
            <w:tcBorders>
              <w:top w:val="nil"/>
              <w:left w:val="nil"/>
              <w:bottom w:val="single" w:sz="4" w:space="0" w:color="auto"/>
              <w:right w:val="nil"/>
            </w:tcBorders>
            <w:vAlign w:val="bottom"/>
            <w:hideMark/>
          </w:tcPr>
          <w:p w14:paraId="563DF4DD" w14:textId="37B5C967" w:rsidR="005B58F0" w:rsidRPr="002029AF" w:rsidRDefault="005B58F0" w:rsidP="0014376C">
            <w:pPr>
              <w:pStyle w:val="ARtablecolheadright"/>
            </w:pPr>
            <w:r w:rsidRPr="002029AF">
              <w:t>Variation</w:t>
            </w:r>
            <w:r w:rsidR="000A5329" w:rsidRPr="002029AF">
              <w:t xml:space="preserve"> </w:t>
            </w:r>
            <w:r w:rsidRPr="002029AF">
              <w:t>(%)</w:t>
            </w:r>
          </w:p>
        </w:tc>
        <w:tc>
          <w:tcPr>
            <w:tcW w:w="804" w:type="dxa"/>
            <w:gridSpan w:val="2"/>
            <w:tcBorders>
              <w:top w:val="nil"/>
              <w:left w:val="nil"/>
              <w:bottom w:val="single" w:sz="4" w:space="0" w:color="auto"/>
              <w:right w:val="nil"/>
            </w:tcBorders>
            <w:vAlign w:val="bottom"/>
            <w:hideMark/>
          </w:tcPr>
          <w:p w14:paraId="21E7B1B5" w14:textId="77777777" w:rsidR="005B58F0" w:rsidRPr="002029AF" w:rsidRDefault="005B58F0" w:rsidP="000D3C3F">
            <w:pPr>
              <w:pStyle w:val="ARtablecolheadcentre"/>
            </w:pPr>
            <w:r w:rsidRPr="002029AF">
              <w:t>Result</w:t>
            </w:r>
          </w:p>
        </w:tc>
      </w:tr>
      <w:tr w:rsidR="00C15C65" w:rsidRPr="002029AF" w14:paraId="2E4AB4D7" w14:textId="77777777" w:rsidTr="005B58F0">
        <w:trPr>
          <w:cantSplit/>
        </w:trPr>
        <w:tc>
          <w:tcPr>
            <w:tcW w:w="9639" w:type="dxa"/>
            <w:gridSpan w:val="7"/>
            <w:tcBorders>
              <w:top w:val="single" w:sz="4" w:space="0" w:color="auto"/>
              <w:left w:val="nil"/>
              <w:bottom w:val="single" w:sz="4" w:space="0" w:color="auto"/>
              <w:right w:val="nil"/>
            </w:tcBorders>
            <w:hideMark/>
          </w:tcPr>
          <w:p w14:paraId="7719A7E3" w14:textId="23B947AB" w:rsidR="00C15C65" w:rsidRPr="002029AF" w:rsidRDefault="00C15C65" w:rsidP="007666A5">
            <w:pPr>
              <w:pStyle w:val="ARtablesubhead"/>
            </w:pPr>
            <w:r w:rsidRPr="002029AF">
              <w:t>Concessions</w:t>
            </w:r>
            <w:r w:rsidR="000A5329" w:rsidRPr="002029AF">
              <w:t xml:space="preserve"> </w:t>
            </w:r>
            <w:r w:rsidRPr="002029AF">
              <w:t>to</w:t>
            </w:r>
            <w:r w:rsidR="000A5329" w:rsidRPr="002029AF">
              <w:t xml:space="preserve"> </w:t>
            </w:r>
            <w:r w:rsidRPr="002029AF">
              <w:t>Pensioners</w:t>
            </w:r>
            <w:r w:rsidR="000A5329" w:rsidRPr="002029AF">
              <w:t xml:space="preserve"> </w:t>
            </w:r>
            <w:r w:rsidRPr="002029AF">
              <w:t>and</w:t>
            </w:r>
            <w:r w:rsidR="000A5329" w:rsidRPr="002029AF">
              <w:t xml:space="preserve"> </w:t>
            </w:r>
            <w:r w:rsidRPr="002029AF">
              <w:t>Beneficiaries</w:t>
            </w:r>
          </w:p>
        </w:tc>
      </w:tr>
      <w:tr w:rsidR="00C15C65" w:rsidRPr="002029AF" w14:paraId="72B94397" w14:textId="77777777" w:rsidTr="005B58F0">
        <w:trPr>
          <w:cantSplit/>
        </w:trPr>
        <w:tc>
          <w:tcPr>
            <w:tcW w:w="9639" w:type="dxa"/>
            <w:gridSpan w:val="7"/>
            <w:tcBorders>
              <w:top w:val="single" w:sz="4" w:space="0" w:color="auto"/>
              <w:left w:val="nil"/>
              <w:bottom w:val="nil"/>
              <w:right w:val="nil"/>
            </w:tcBorders>
            <w:hideMark/>
          </w:tcPr>
          <w:p w14:paraId="03085BE0" w14:textId="77777777" w:rsidR="00C15C65" w:rsidRPr="002029AF" w:rsidRDefault="00C15C65" w:rsidP="00D96AFD">
            <w:pPr>
              <w:pStyle w:val="ARtablegreybold"/>
            </w:pPr>
            <w:r w:rsidRPr="002029AF">
              <w:t>Quantity</w:t>
            </w:r>
          </w:p>
        </w:tc>
      </w:tr>
      <w:tr w:rsidR="00C15C65" w:rsidRPr="002029AF" w14:paraId="7D5CFC40" w14:textId="77777777" w:rsidTr="005B58F0">
        <w:trPr>
          <w:gridAfter w:val="1"/>
          <w:wAfter w:w="8" w:type="dxa"/>
          <w:cantSplit/>
        </w:trPr>
        <w:tc>
          <w:tcPr>
            <w:tcW w:w="4752" w:type="dxa"/>
            <w:shd w:val="clear" w:color="auto" w:fill="auto"/>
            <w:hideMark/>
          </w:tcPr>
          <w:p w14:paraId="4862DFEF" w14:textId="1945CA05" w:rsidR="00C15C65" w:rsidRPr="002029AF" w:rsidRDefault="00C15C65" w:rsidP="00C40F5D">
            <w:pPr>
              <w:pStyle w:val="ARtabletext"/>
            </w:pPr>
            <w:r w:rsidRPr="002029AF">
              <w:t>Households</w:t>
            </w:r>
            <w:r w:rsidR="000A5329" w:rsidRPr="002029AF">
              <w:t xml:space="preserve"> </w:t>
            </w:r>
            <w:r w:rsidRPr="002029AF">
              <w:t>receiving</w:t>
            </w:r>
            <w:r w:rsidR="000A5329" w:rsidRPr="002029AF">
              <w:t xml:space="preserve"> </w:t>
            </w:r>
            <w:r w:rsidRPr="002029AF">
              <w:t>mains</w:t>
            </w:r>
            <w:r w:rsidR="000A5329" w:rsidRPr="002029AF">
              <w:t xml:space="preserve"> </w:t>
            </w:r>
            <w:r w:rsidRPr="002029AF">
              <w:t>electricity</w:t>
            </w:r>
            <w:r w:rsidR="000A5329" w:rsidRPr="002029AF">
              <w:t xml:space="preserve"> </w:t>
            </w:r>
            <w:r w:rsidRPr="002029AF">
              <w:t>concessions</w:t>
            </w:r>
          </w:p>
        </w:tc>
        <w:tc>
          <w:tcPr>
            <w:tcW w:w="1020" w:type="dxa"/>
            <w:shd w:val="clear" w:color="auto" w:fill="auto"/>
            <w:hideMark/>
          </w:tcPr>
          <w:p w14:paraId="1435A9C5" w14:textId="77777777" w:rsidR="00C15C65" w:rsidRPr="002029AF" w:rsidRDefault="00C15C65" w:rsidP="00C40F5D">
            <w:pPr>
              <w:pStyle w:val="ARtabletext"/>
            </w:pPr>
            <w:r w:rsidRPr="002029AF">
              <w:t>number</w:t>
            </w:r>
          </w:p>
        </w:tc>
        <w:tc>
          <w:tcPr>
            <w:tcW w:w="1020" w:type="dxa"/>
            <w:shd w:val="clear" w:color="auto" w:fill="auto"/>
            <w:hideMark/>
          </w:tcPr>
          <w:p w14:paraId="69BEAB27" w14:textId="77777777" w:rsidR="00C15C65" w:rsidRPr="002029AF" w:rsidRDefault="00C15C65" w:rsidP="000024F3">
            <w:pPr>
              <w:pStyle w:val="ARtabletextright"/>
            </w:pPr>
            <w:r w:rsidRPr="002029AF">
              <w:t>922,177</w:t>
            </w:r>
          </w:p>
        </w:tc>
        <w:tc>
          <w:tcPr>
            <w:tcW w:w="1020" w:type="dxa"/>
            <w:shd w:val="clear" w:color="auto" w:fill="auto"/>
            <w:hideMark/>
          </w:tcPr>
          <w:p w14:paraId="52B8E709" w14:textId="77777777" w:rsidR="00C15C65" w:rsidRPr="002029AF" w:rsidRDefault="00C15C65" w:rsidP="000024F3">
            <w:pPr>
              <w:pStyle w:val="ARtabletextright"/>
            </w:pPr>
            <w:r w:rsidRPr="002029AF">
              <w:t>922,580</w:t>
            </w:r>
          </w:p>
        </w:tc>
        <w:tc>
          <w:tcPr>
            <w:tcW w:w="1023" w:type="dxa"/>
            <w:shd w:val="clear" w:color="auto" w:fill="auto"/>
          </w:tcPr>
          <w:p w14:paraId="1A842561" w14:textId="77777777" w:rsidR="00C15C65" w:rsidRPr="002029AF" w:rsidRDefault="00C15C65" w:rsidP="000024F3">
            <w:pPr>
              <w:pStyle w:val="ARtabletextright"/>
            </w:pPr>
            <w:r w:rsidRPr="002029AF">
              <w:t>0.0</w:t>
            </w:r>
          </w:p>
        </w:tc>
        <w:tc>
          <w:tcPr>
            <w:tcW w:w="796" w:type="dxa"/>
            <w:shd w:val="clear" w:color="auto" w:fill="auto"/>
            <w:hideMark/>
          </w:tcPr>
          <w:p w14:paraId="5A9ABD4C"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62BFC26C" w14:textId="77777777" w:rsidTr="005B58F0">
        <w:trPr>
          <w:gridAfter w:val="1"/>
          <w:wAfter w:w="8" w:type="dxa"/>
          <w:cantSplit/>
        </w:trPr>
        <w:tc>
          <w:tcPr>
            <w:tcW w:w="9631" w:type="dxa"/>
            <w:gridSpan w:val="6"/>
            <w:tcBorders>
              <w:bottom w:val="single" w:sz="4" w:space="0" w:color="BFBFBF"/>
            </w:tcBorders>
            <w:shd w:val="clear" w:color="auto" w:fill="auto"/>
            <w:noWrap/>
            <w:hideMark/>
          </w:tcPr>
          <w:p w14:paraId="734615D0" w14:textId="21D2DFD6" w:rsidR="00C15C65" w:rsidRPr="002029AF" w:rsidRDefault="00C15C65" w:rsidP="00D96AFD">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by</w:t>
            </w:r>
            <w:r w:rsidR="000A5329" w:rsidRPr="002029AF">
              <w:t xml:space="preserve"> </w:t>
            </w:r>
            <w:r w:rsidRPr="002029AF">
              <w:t>late</w:t>
            </w:r>
            <w:r w:rsidR="000A5329" w:rsidRPr="002029AF">
              <w:t xml:space="preserve"> </w:t>
            </w:r>
            <w:r w:rsidRPr="002029AF">
              <w:t>2020.</w:t>
            </w:r>
          </w:p>
        </w:tc>
      </w:tr>
      <w:tr w:rsidR="00C15C65" w:rsidRPr="002029AF" w14:paraId="6E7DFE3F" w14:textId="77777777" w:rsidTr="005B58F0">
        <w:trPr>
          <w:gridAfter w:val="1"/>
          <w:wAfter w:w="8" w:type="dxa"/>
          <w:cantSplit/>
        </w:trPr>
        <w:tc>
          <w:tcPr>
            <w:tcW w:w="4752" w:type="dxa"/>
            <w:shd w:val="clear" w:color="auto" w:fill="auto"/>
            <w:hideMark/>
          </w:tcPr>
          <w:p w14:paraId="71929ECB" w14:textId="723498C5" w:rsidR="00C15C65" w:rsidRPr="002029AF" w:rsidRDefault="00C15C65" w:rsidP="00C40F5D">
            <w:pPr>
              <w:pStyle w:val="ARtabletext"/>
            </w:pPr>
            <w:r w:rsidRPr="002029AF">
              <w:t>Households</w:t>
            </w:r>
            <w:r w:rsidR="000A5329" w:rsidRPr="002029AF">
              <w:t xml:space="preserve"> </w:t>
            </w:r>
            <w:r w:rsidRPr="002029AF">
              <w:t>receiving</w:t>
            </w:r>
            <w:r w:rsidR="000A5329" w:rsidRPr="002029AF">
              <w:t xml:space="preserve"> </w:t>
            </w:r>
            <w:r w:rsidRPr="002029AF">
              <w:t>mains</w:t>
            </w:r>
            <w:r w:rsidR="000A5329" w:rsidRPr="002029AF">
              <w:t xml:space="preserve"> </w:t>
            </w:r>
            <w:r w:rsidRPr="002029AF">
              <w:t>gas</w:t>
            </w:r>
            <w:r w:rsidR="000A5329" w:rsidRPr="002029AF">
              <w:t xml:space="preserve"> </w:t>
            </w:r>
            <w:r w:rsidRPr="002029AF">
              <w:t>concessions</w:t>
            </w:r>
          </w:p>
        </w:tc>
        <w:tc>
          <w:tcPr>
            <w:tcW w:w="1020" w:type="dxa"/>
            <w:shd w:val="clear" w:color="auto" w:fill="auto"/>
            <w:hideMark/>
          </w:tcPr>
          <w:p w14:paraId="20E2D1BA" w14:textId="77777777" w:rsidR="00C15C65" w:rsidRPr="002029AF" w:rsidRDefault="00C15C65" w:rsidP="00C40F5D">
            <w:pPr>
              <w:pStyle w:val="ARtabletext"/>
            </w:pPr>
            <w:r w:rsidRPr="002029AF">
              <w:t>number</w:t>
            </w:r>
          </w:p>
        </w:tc>
        <w:tc>
          <w:tcPr>
            <w:tcW w:w="1020" w:type="dxa"/>
            <w:shd w:val="clear" w:color="auto" w:fill="auto"/>
            <w:hideMark/>
          </w:tcPr>
          <w:p w14:paraId="38948957" w14:textId="77777777" w:rsidR="00C15C65" w:rsidRPr="002029AF" w:rsidRDefault="00C15C65" w:rsidP="000024F3">
            <w:pPr>
              <w:pStyle w:val="ARtabletextright"/>
            </w:pPr>
            <w:r w:rsidRPr="002029AF">
              <w:t>687,813</w:t>
            </w:r>
          </w:p>
        </w:tc>
        <w:tc>
          <w:tcPr>
            <w:tcW w:w="1020" w:type="dxa"/>
            <w:shd w:val="clear" w:color="auto" w:fill="auto"/>
            <w:hideMark/>
          </w:tcPr>
          <w:p w14:paraId="35658DFF" w14:textId="77777777" w:rsidR="00C15C65" w:rsidRPr="002029AF" w:rsidRDefault="00C15C65" w:rsidP="000024F3">
            <w:pPr>
              <w:pStyle w:val="ARtabletextright"/>
            </w:pPr>
            <w:r w:rsidRPr="002029AF">
              <w:t>686,675</w:t>
            </w:r>
          </w:p>
        </w:tc>
        <w:tc>
          <w:tcPr>
            <w:tcW w:w="1023" w:type="dxa"/>
            <w:shd w:val="clear" w:color="auto" w:fill="auto"/>
          </w:tcPr>
          <w:p w14:paraId="14053CBE" w14:textId="77777777" w:rsidR="00C15C65" w:rsidRPr="002029AF" w:rsidRDefault="00C15C65" w:rsidP="000024F3">
            <w:pPr>
              <w:pStyle w:val="ARtabletextright"/>
            </w:pPr>
            <w:r w:rsidRPr="002029AF">
              <w:t>-0.2</w:t>
            </w:r>
          </w:p>
        </w:tc>
        <w:tc>
          <w:tcPr>
            <w:tcW w:w="796" w:type="dxa"/>
            <w:shd w:val="clear" w:color="auto" w:fill="auto"/>
            <w:hideMark/>
          </w:tcPr>
          <w:p w14:paraId="27F7F4FB" w14:textId="4CE53E13" w:rsidR="00C15C65" w:rsidRPr="002029AF" w:rsidRDefault="00F768BF" w:rsidP="000F6867">
            <w:pPr>
              <w:pStyle w:val="ARtableperformancesymbol"/>
              <w:rPr>
                <w:rFonts w:hint="eastAsia"/>
                <w:lang w:val="en-AU"/>
              </w:rPr>
            </w:pPr>
            <w:r w:rsidRPr="002029AF">
              <w:rPr>
                <w:lang w:val="en-AU"/>
              </w:rPr>
              <w:t>□</w:t>
            </w:r>
          </w:p>
        </w:tc>
      </w:tr>
      <w:tr w:rsidR="00C15C65" w:rsidRPr="002029AF" w14:paraId="0EA65CB9" w14:textId="77777777" w:rsidTr="005B58F0">
        <w:trPr>
          <w:gridAfter w:val="1"/>
          <w:wAfter w:w="8" w:type="dxa"/>
          <w:cantSplit/>
        </w:trPr>
        <w:tc>
          <w:tcPr>
            <w:tcW w:w="9631" w:type="dxa"/>
            <w:gridSpan w:val="6"/>
            <w:tcBorders>
              <w:bottom w:val="single" w:sz="4" w:space="0" w:color="BFBFBF"/>
            </w:tcBorders>
            <w:shd w:val="clear" w:color="auto" w:fill="auto"/>
            <w:noWrap/>
            <w:hideMark/>
          </w:tcPr>
          <w:p w14:paraId="728FB883" w14:textId="19F674A2" w:rsidR="00C15C65" w:rsidRPr="002029AF" w:rsidRDefault="00C15C65" w:rsidP="00D96AFD">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by</w:t>
            </w:r>
            <w:r w:rsidR="000A5329" w:rsidRPr="002029AF">
              <w:t xml:space="preserve"> </w:t>
            </w:r>
            <w:r w:rsidRPr="002029AF">
              <w:t>late</w:t>
            </w:r>
            <w:r w:rsidR="000A5329" w:rsidRPr="002029AF">
              <w:t xml:space="preserve"> </w:t>
            </w:r>
            <w:r w:rsidRPr="002029AF">
              <w:t>2020.</w:t>
            </w:r>
          </w:p>
        </w:tc>
      </w:tr>
      <w:tr w:rsidR="00C15C65" w:rsidRPr="002029AF" w14:paraId="104CCA41" w14:textId="77777777" w:rsidTr="005B58F0">
        <w:trPr>
          <w:gridAfter w:val="1"/>
          <w:wAfter w:w="8" w:type="dxa"/>
          <w:cantSplit/>
        </w:trPr>
        <w:tc>
          <w:tcPr>
            <w:tcW w:w="4752" w:type="dxa"/>
            <w:shd w:val="clear" w:color="auto" w:fill="auto"/>
            <w:hideMark/>
          </w:tcPr>
          <w:p w14:paraId="1F3FE4AC" w14:textId="25418512" w:rsidR="00C15C65" w:rsidRPr="002029AF" w:rsidRDefault="00C15C65" w:rsidP="006D5287">
            <w:pPr>
              <w:pStyle w:val="ARtabletext"/>
              <w:keepNext/>
            </w:pPr>
            <w:r w:rsidRPr="002029AF">
              <w:t>Households</w:t>
            </w:r>
            <w:r w:rsidR="000A5329" w:rsidRPr="002029AF">
              <w:t xml:space="preserve"> </w:t>
            </w:r>
            <w:r w:rsidRPr="002029AF">
              <w:t>receiving</w:t>
            </w:r>
            <w:r w:rsidR="000A5329" w:rsidRPr="002029AF">
              <w:t xml:space="preserve"> </w:t>
            </w:r>
            <w:r w:rsidRPr="002029AF">
              <w:t>non-mains</w:t>
            </w:r>
            <w:r w:rsidR="000A5329" w:rsidRPr="002029AF">
              <w:t xml:space="preserve"> </w:t>
            </w:r>
            <w:r w:rsidRPr="002029AF">
              <w:t>energy</w:t>
            </w:r>
            <w:r w:rsidR="000A5329" w:rsidRPr="002029AF">
              <w:t xml:space="preserve"> </w:t>
            </w:r>
            <w:r w:rsidRPr="002029AF">
              <w:t>concessions</w:t>
            </w:r>
          </w:p>
        </w:tc>
        <w:tc>
          <w:tcPr>
            <w:tcW w:w="1020" w:type="dxa"/>
            <w:shd w:val="clear" w:color="auto" w:fill="auto"/>
            <w:hideMark/>
          </w:tcPr>
          <w:p w14:paraId="71346E8D" w14:textId="77777777" w:rsidR="00C15C65" w:rsidRPr="002029AF" w:rsidRDefault="00C15C65" w:rsidP="00C40F5D">
            <w:pPr>
              <w:pStyle w:val="ARtabletext"/>
            </w:pPr>
            <w:r w:rsidRPr="002029AF">
              <w:t>number</w:t>
            </w:r>
          </w:p>
        </w:tc>
        <w:tc>
          <w:tcPr>
            <w:tcW w:w="1020" w:type="dxa"/>
            <w:shd w:val="clear" w:color="auto" w:fill="auto"/>
            <w:hideMark/>
          </w:tcPr>
          <w:p w14:paraId="03820FC9" w14:textId="77777777" w:rsidR="00C15C65" w:rsidRPr="002029AF" w:rsidRDefault="00C15C65" w:rsidP="000024F3">
            <w:pPr>
              <w:pStyle w:val="ARtabletextright"/>
            </w:pPr>
            <w:r w:rsidRPr="002029AF">
              <w:t>24,811</w:t>
            </w:r>
          </w:p>
        </w:tc>
        <w:tc>
          <w:tcPr>
            <w:tcW w:w="1020" w:type="dxa"/>
            <w:shd w:val="clear" w:color="auto" w:fill="auto"/>
            <w:hideMark/>
          </w:tcPr>
          <w:p w14:paraId="2FA44F89" w14:textId="77777777" w:rsidR="00C15C65" w:rsidRPr="002029AF" w:rsidRDefault="00C15C65" w:rsidP="000024F3">
            <w:pPr>
              <w:pStyle w:val="ARtabletextright"/>
            </w:pPr>
            <w:r w:rsidRPr="002029AF">
              <w:t>23,238</w:t>
            </w:r>
          </w:p>
        </w:tc>
        <w:tc>
          <w:tcPr>
            <w:tcW w:w="1023" w:type="dxa"/>
            <w:shd w:val="clear" w:color="auto" w:fill="auto"/>
          </w:tcPr>
          <w:p w14:paraId="4D8C197A" w14:textId="77777777" w:rsidR="00C15C65" w:rsidRPr="002029AF" w:rsidRDefault="00C15C65" w:rsidP="000024F3">
            <w:pPr>
              <w:pStyle w:val="ARtabletextright"/>
            </w:pPr>
            <w:r w:rsidRPr="002029AF">
              <w:t>-6.3</w:t>
            </w:r>
          </w:p>
        </w:tc>
        <w:tc>
          <w:tcPr>
            <w:tcW w:w="796" w:type="dxa"/>
            <w:shd w:val="clear" w:color="auto" w:fill="auto"/>
            <w:hideMark/>
          </w:tcPr>
          <w:p w14:paraId="12BA4DF1"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7C52950A" w14:textId="77777777" w:rsidTr="005B58F0">
        <w:trPr>
          <w:gridAfter w:val="1"/>
          <w:wAfter w:w="8" w:type="dxa"/>
          <w:cantSplit/>
        </w:trPr>
        <w:tc>
          <w:tcPr>
            <w:tcW w:w="9631" w:type="dxa"/>
            <w:gridSpan w:val="6"/>
            <w:tcBorders>
              <w:bottom w:val="single" w:sz="4" w:space="0" w:color="BFBFBF"/>
            </w:tcBorders>
            <w:shd w:val="clear" w:color="auto" w:fill="auto"/>
            <w:noWrap/>
            <w:hideMark/>
          </w:tcPr>
          <w:p w14:paraId="6CF7DFD3" w14:textId="6A7B847F" w:rsidR="00C15C65" w:rsidRPr="002029AF" w:rsidRDefault="00D26B39" w:rsidP="00D96AFD">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by</w:t>
            </w:r>
            <w:r w:rsidR="000A5329" w:rsidRPr="002029AF">
              <w:t xml:space="preserve"> </w:t>
            </w:r>
            <w:r w:rsidRPr="002029AF">
              <w:t>late</w:t>
            </w:r>
            <w:r w:rsidR="000A5329" w:rsidRPr="002029AF">
              <w:t xml:space="preserve"> </w:t>
            </w:r>
            <w:r w:rsidRPr="002029AF">
              <w:t>2020.</w:t>
            </w:r>
            <w:r w:rsidR="000A5329" w:rsidRPr="002029AF">
              <w:t xml:space="preserve"> </w:t>
            </w:r>
          </w:p>
        </w:tc>
      </w:tr>
      <w:tr w:rsidR="00C15C65" w:rsidRPr="002029AF" w14:paraId="3217CA6D" w14:textId="77777777" w:rsidTr="005B58F0">
        <w:trPr>
          <w:gridAfter w:val="1"/>
          <w:wAfter w:w="8" w:type="dxa"/>
          <w:cantSplit/>
        </w:trPr>
        <w:tc>
          <w:tcPr>
            <w:tcW w:w="4752" w:type="dxa"/>
            <w:shd w:val="clear" w:color="auto" w:fill="auto"/>
            <w:hideMark/>
          </w:tcPr>
          <w:p w14:paraId="072C9659" w14:textId="18F40B5E" w:rsidR="00C15C65" w:rsidRPr="002029AF" w:rsidRDefault="00C15C65" w:rsidP="00C40F5D">
            <w:pPr>
              <w:pStyle w:val="ARtabletext"/>
            </w:pPr>
            <w:r w:rsidRPr="002029AF">
              <w:t>Households</w:t>
            </w:r>
            <w:r w:rsidR="000A5329" w:rsidRPr="002029AF">
              <w:t xml:space="preserve"> </w:t>
            </w:r>
            <w:r w:rsidRPr="002029AF">
              <w:t>receiving</w:t>
            </w:r>
            <w:r w:rsidR="000A5329" w:rsidRPr="002029AF">
              <w:t xml:space="preserve"> </w:t>
            </w:r>
            <w:r w:rsidRPr="002029AF">
              <w:t>pensioner</w:t>
            </w:r>
            <w:r w:rsidR="000A5329" w:rsidRPr="002029AF">
              <w:t xml:space="preserve"> </w:t>
            </w:r>
            <w:r w:rsidRPr="002029AF">
              <w:t>concessions</w:t>
            </w:r>
            <w:r w:rsidR="000A5329" w:rsidRPr="002029AF">
              <w:t xml:space="preserve"> </w:t>
            </w:r>
            <w:r w:rsidRPr="002029AF">
              <w:t>for</w:t>
            </w:r>
            <w:r w:rsidR="000A5329" w:rsidRPr="002029AF">
              <w:t xml:space="preserve"> </w:t>
            </w:r>
            <w:r w:rsidRPr="002029AF">
              <w:t>municipal</w:t>
            </w:r>
            <w:r w:rsidR="000A5329" w:rsidRPr="002029AF">
              <w:t xml:space="preserve"> </w:t>
            </w:r>
            <w:r w:rsidRPr="002029AF">
              <w:t>rates</w:t>
            </w:r>
            <w:r w:rsidR="000A5329" w:rsidRPr="002029AF">
              <w:t xml:space="preserve"> </w:t>
            </w:r>
            <w:r w:rsidRPr="002029AF">
              <w:t>and</w:t>
            </w:r>
            <w:r w:rsidR="000A5329" w:rsidRPr="002029AF">
              <w:t xml:space="preserve"> </w:t>
            </w:r>
            <w:r w:rsidRPr="002029AF">
              <w:t>charges</w:t>
            </w:r>
          </w:p>
        </w:tc>
        <w:tc>
          <w:tcPr>
            <w:tcW w:w="1020" w:type="dxa"/>
            <w:shd w:val="clear" w:color="auto" w:fill="auto"/>
            <w:hideMark/>
          </w:tcPr>
          <w:p w14:paraId="54909598" w14:textId="77777777" w:rsidR="00C15C65" w:rsidRPr="002029AF" w:rsidRDefault="00C15C65" w:rsidP="00C40F5D">
            <w:pPr>
              <w:pStyle w:val="ARtabletext"/>
            </w:pPr>
            <w:r w:rsidRPr="002029AF">
              <w:t>number</w:t>
            </w:r>
          </w:p>
        </w:tc>
        <w:tc>
          <w:tcPr>
            <w:tcW w:w="1020" w:type="dxa"/>
            <w:shd w:val="clear" w:color="auto" w:fill="auto"/>
            <w:hideMark/>
          </w:tcPr>
          <w:p w14:paraId="49C7CA13" w14:textId="77777777" w:rsidR="00C15C65" w:rsidRPr="002029AF" w:rsidRDefault="00C15C65" w:rsidP="000024F3">
            <w:pPr>
              <w:pStyle w:val="ARtabletextright"/>
            </w:pPr>
            <w:r w:rsidRPr="002029AF">
              <w:t>436,613</w:t>
            </w:r>
          </w:p>
        </w:tc>
        <w:tc>
          <w:tcPr>
            <w:tcW w:w="1020" w:type="dxa"/>
            <w:shd w:val="clear" w:color="auto" w:fill="auto"/>
            <w:hideMark/>
          </w:tcPr>
          <w:p w14:paraId="10A01D49" w14:textId="77777777" w:rsidR="00C15C65" w:rsidRPr="002029AF" w:rsidRDefault="00C15C65" w:rsidP="000024F3">
            <w:pPr>
              <w:pStyle w:val="ARtabletextright"/>
            </w:pPr>
            <w:r w:rsidRPr="002029AF">
              <w:t>436,048</w:t>
            </w:r>
          </w:p>
        </w:tc>
        <w:tc>
          <w:tcPr>
            <w:tcW w:w="1023" w:type="dxa"/>
            <w:shd w:val="clear" w:color="auto" w:fill="auto"/>
          </w:tcPr>
          <w:p w14:paraId="69903FF3" w14:textId="77777777" w:rsidR="00C15C65" w:rsidRPr="002029AF" w:rsidRDefault="00C15C65" w:rsidP="000024F3">
            <w:pPr>
              <w:pStyle w:val="ARtabletextright"/>
            </w:pPr>
            <w:r w:rsidRPr="002029AF">
              <w:t>-0.1</w:t>
            </w:r>
          </w:p>
        </w:tc>
        <w:tc>
          <w:tcPr>
            <w:tcW w:w="796" w:type="dxa"/>
            <w:shd w:val="clear" w:color="auto" w:fill="auto"/>
            <w:hideMark/>
          </w:tcPr>
          <w:p w14:paraId="5DF24396" w14:textId="365BA1CF" w:rsidR="00C15C65" w:rsidRPr="002029AF" w:rsidRDefault="003A6C3B" w:rsidP="000F6867">
            <w:pPr>
              <w:pStyle w:val="ARtableperformancesymbol"/>
              <w:rPr>
                <w:rFonts w:hint="eastAsia"/>
                <w:lang w:val="en-AU"/>
              </w:rPr>
            </w:pPr>
            <w:r w:rsidRPr="002029AF">
              <w:rPr>
                <w:lang w:val="en-AU"/>
              </w:rPr>
              <w:t>□</w:t>
            </w:r>
          </w:p>
        </w:tc>
      </w:tr>
      <w:tr w:rsidR="00C15C65" w:rsidRPr="002029AF" w14:paraId="65787C3C" w14:textId="77777777" w:rsidTr="005B58F0">
        <w:trPr>
          <w:gridAfter w:val="1"/>
          <w:wAfter w:w="8" w:type="dxa"/>
          <w:cantSplit/>
        </w:trPr>
        <w:tc>
          <w:tcPr>
            <w:tcW w:w="9631" w:type="dxa"/>
            <w:gridSpan w:val="6"/>
            <w:tcBorders>
              <w:bottom w:val="single" w:sz="4" w:space="0" w:color="BFBFBF"/>
            </w:tcBorders>
            <w:shd w:val="clear" w:color="auto" w:fill="auto"/>
            <w:noWrap/>
            <w:hideMark/>
          </w:tcPr>
          <w:p w14:paraId="55BD97E1" w14:textId="4E2A3E7D" w:rsidR="00C15C65" w:rsidRPr="002029AF" w:rsidRDefault="00C15C65" w:rsidP="00D96AFD">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by</w:t>
            </w:r>
            <w:r w:rsidR="000A5329" w:rsidRPr="002029AF">
              <w:t xml:space="preserve"> </w:t>
            </w:r>
            <w:r w:rsidRPr="002029AF">
              <w:t>late</w:t>
            </w:r>
            <w:r w:rsidR="000A5329" w:rsidRPr="002029AF">
              <w:t xml:space="preserve"> </w:t>
            </w:r>
            <w:r w:rsidRPr="002029AF">
              <w:t>2020.</w:t>
            </w:r>
          </w:p>
        </w:tc>
      </w:tr>
      <w:tr w:rsidR="00C15C65" w:rsidRPr="002029AF" w14:paraId="1C1EEE7A" w14:textId="77777777" w:rsidTr="005B58F0">
        <w:trPr>
          <w:gridAfter w:val="1"/>
          <w:wAfter w:w="8" w:type="dxa"/>
          <w:cantSplit/>
        </w:trPr>
        <w:tc>
          <w:tcPr>
            <w:tcW w:w="4752" w:type="dxa"/>
            <w:shd w:val="clear" w:color="auto" w:fill="auto"/>
            <w:hideMark/>
          </w:tcPr>
          <w:p w14:paraId="5A430068" w14:textId="7CFE6FDC" w:rsidR="00C15C65" w:rsidRPr="002029AF" w:rsidRDefault="00C15C65" w:rsidP="00C40F5D">
            <w:pPr>
              <w:pStyle w:val="ARtabletext"/>
            </w:pPr>
            <w:r w:rsidRPr="002029AF">
              <w:t>Households</w:t>
            </w:r>
            <w:r w:rsidR="000A5329" w:rsidRPr="002029AF">
              <w:t xml:space="preserve"> </w:t>
            </w:r>
            <w:r w:rsidRPr="002029AF">
              <w:t>receiving</w:t>
            </w:r>
            <w:r w:rsidR="000A5329" w:rsidRPr="002029AF">
              <w:t xml:space="preserve"> </w:t>
            </w:r>
            <w:r w:rsidRPr="002029AF">
              <w:t>water</w:t>
            </w:r>
            <w:r w:rsidR="000A5329" w:rsidRPr="002029AF">
              <w:t xml:space="preserve"> </w:t>
            </w:r>
            <w:r w:rsidRPr="002029AF">
              <w:t>and</w:t>
            </w:r>
            <w:r w:rsidR="000A5329" w:rsidRPr="002029AF">
              <w:t xml:space="preserve"> </w:t>
            </w:r>
            <w:r w:rsidRPr="002029AF">
              <w:t>sewerage</w:t>
            </w:r>
            <w:r w:rsidR="000A5329" w:rsidRPr="002029AF">
              <w:t xml:space="preserve"> </w:t>
            </w:r>
            <w:r w:rsidRPr="002029AF">
              <w:t>concessions</w:t>
            </w:r>
          </w:p>
        </w:tc>
        <w:tc>
          <w:tcPr>
            <w:tcW w:w="1020" w:type="dxa"/>
            <w:shd w:val="clear" w:color="auto" w:fill="auto"/>
            <w:hideMark/>
          </w:tcPr>
          <w:p w14:paraId="57738439" w14:textId="77777777" w:rsidR="00C15C65" w:rsidRPr="002029AF" w:rsidRDefault="00C15C65" w:rsidP="00C40F5D">
            <w:pPr>
              <w:pStyle w:val="ARtabletext"/>
            </w:pPr>
            <w:r w:rsidRPr="002029AF">
              <w:t>number</w:t>
            </w:r>
          </w:p>
        </w:tc>
        <w:tc>
          <w:tcPr>
            <w:tcW w:w="1020" w:type="dxa"/>
            <w:shd w:val="clear" w:color="auto" w:fill="auto"/>
            <w:hideMark/>
          </w:tcPr>
          <w:p w14:paraId="05A474DF" w14:textId="77777777" w:rsidR="00C15C65" w:rsidRPr="002029AF" w:rsidRDefault="00C15C65" w:rsidP="000024F3">
            <w:pPr>
              <w:pStyle w:val="ARtabletextright"/>
            </w:pPr>
            <w:r w:rsidRPr="002029AF">
              <w:t>691,416</w:t>
            </w:r>
          </w:p>
        </w:tc>
        <w:tc>
          <w:tcPr>
            <w:tcW w:w="1020" w:type="dxa"/>
            <w:shd w:val="clear" w:color="auto" w:fill="auto"/>
            <w:hideMark/>
          </w:tcPr>
          <w:p w14:paraId="112453A6" w14:textId="77777777" w:rsidR="00C15C65" w:rsidRPr="002029AF" w:rsidRDefault="00C15C65" w:rsidP="000024F3">
            <w:pPr>
              <w:pStyle w:val="ARtabletextright"/>
            </w:pPr>
            <w:r w:rsidRPr="002029AF">
              <w:t>686,822</w:t>
            </w:r>
          </w:p>
        </w:tc>
        <w:tc>
          <w:tcPr>
            <w:tcW w:w="1023" w:type="dxa"/>
            <w:shd w:val="clear" w:color="auto" w:fill="auto"/>
          </w:tcPr>
          <w:p w14:paraId="39A9C978" w14:textId="77777777" w:rsidR="00C15C65" w:rsidRPr="002029AF" w:rsidRDefault="00C15C65" w:rsidP="000024F3">
            <w:pPr>
              <w:pStyle w:val="ARtabletextright"/>
            </w:pPr>
            <w:r w:rsidRPr="002029AF">
              <w:t>-0.7</w:t>
            </w:r>
          </w:p>
        </w:tc>
        <w:tc>
          <w:tcPr>
            <w:tcW w:w="796" w:type="dxa"/>
            <w:shd w:val="clear" w:color="auto" w:fill="auto"/>
            <w:hideMark/>
          </w:tcPr>
          <w:p w14:paraId="41A2C2FB" w14:textId="6E3790B3" w:rsidR="00C15C65" w:rsidRPr="002029AF" w:rsidRDefault="003A6C3B" w:rsidP="000F6867">
            <w:pPr>
              <w:pStyle w:val="ARtableperformancesymbol"/>
              <w:rPr>
                <w:rFonts w:hint="eastAsia"/>
                <w:lang w:val="en-AU"/>
              </w:rPr>
            </w:pPr>
            <w:r w:rsidRPr="002029AF">
              <w:rPr>
                <w:lang w:val="en-AU"/>
              </w:rPr>
              <w:t>□</w:t>
            </w:r>
          </w:p>
        </w:tc>
      </w:tr>
      <w:tr w:rsidR="00C15C65" w:rsidRPr="002029AF" w14:paraId="0E31284E" w14:textId="77777777" w:rsidTr="005B58F0">
        <w:trPr>
          <w:gridAfter w:val="1"/>
          <w:wAfter w:w="8" w:type="dxa"/>
          <w:cantSplit/>
        </w:trPr>
        <w:tc>
          <w:tcPr>
            <w:tcW w:w="9631" w:type="dxa"/>
            <w:gridSpan w:val="6"/>
            <w:tcBorders>
              <w:bottom w:val="single" w:sz="4" w:space="0" w:color="BFBFBF"/>
            </w:tcBorders>
            <w:shd w:val="clear" w:color="auto" w:fill="auto"/>
            <w:noWrap/>
            <w:hideMark/>
          </w:tcPr>
          <w:p w14:paraId="69AF893F" w14:textId="565AA9FA" w:rsidR="00C15C65" w:rsidRPr="002029AF" w:rsidRDefault="00C15C65" w:rsidP="00D96AFD">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by</w:t>
            </w:r>
            <w:r w:rsidR="000A5329" w:rsidRPr="002029AF">
              <w:t xml:space="preserve"> </w:t>
            </w:r>
            <w:r w:rsidRPr="002029AF">
              <w:t>late</w:t>
            </w:r>
            <w:r w:rsidR="000A5329" w:rsidRPr="002029AF">
              <w:t xml:space="preserve"> </w:t>
            </w:r>
            <w:r w:rsidRPr="002029AF">
              <w:t>2020.</w:t>
            </w:r>
          </w:p>
        </w:tc>
      </w:tr>
      <w:tr w:rsidR="00C15C65" w:rsidRPr="002029AF" w14:paraId="7AE66C70" w14:textId="77777777" w:rsidTr="005B58F0">
        <w:trPr>
          <w:cantSplit/>
        </w:trPr>
        <w:tc>
          <w:tcPr>
            <w:tcW w:w="4752" w:type="dxa"/>
            <w:shd w:val="clear" w:color="auto" w:fill="auto"/>
            <w:hideMark/>
          </w:tcPr>
          <w:p w14:paraId="0EE3F9D4" w14:textId="5AEE6F61" w:rsidR="00C15C65" w:rsidRPr="002029AF" w:rsidRDefault="00C15C65" w:rsidP="00C40F5D">
            <w:pPr>
              <w:pStyle w:val="ARtabletext"/>
            </w:pPr>
            <w:r w:rsidRPr="002029AF">
              <w:t>Number</w:t>
            </w:r>
            <w:r w:rsidR="000A5329" w:rsidRPr="002029AF">
              <w:t xml:space="preserve"> </w:t>
            </w:r>
            <w:r w:rsidRPr="002029AF">
              <w:t>of</w:t>
            </w:r>
            <w:r w:rsidR="000A5329" w:rsidRPr="002029AF">
              <w:t xml:space="preserve"> </w:t>
            </w:r>
            <w:r w:rsidRPr="002029AF">
              <w:t>Utility</w:t>
            </w:r>
            <w:r w:rsidR="000A5329" w:rsidRPr="002029AF">
              <w:t xml:space="preserve"> </w:t>
            </w:r>
            <w:r w:rsidRPr="002029AF">
              <w:t>Relief</w:t>
            </w:r>
            <w:r w:rsidR="000A5329" w:rsidRPr="002029AF">
              <w:t xml:space="preserve"> </w:t>
            </w:r>
            <w:r w:rsidRPr="002029AF">
              <w:t>Grants</w:t>
            </w:r>
            <w:r w:rsidR="000A5329" w:rsidRPr="002029AF">
              <w:t xml:space="preserve"> </w:t>
            </w:r>
            <w:r w:rsidRPr="002029AF">
              <w:t>granted</w:t>
            </w:r>
            <w:r w:rsidR="000A5329" w:rsidRPr="002029AF">
              <w:t xml:space="preserve"> </w:t>
            </w:r>
            <w:r w:rsidRPr="002029AF">
              <w:t>to</w:t>
            </w:r>
            <w:r w:rsidR="000A5329" w:rsidRPr="002029AF">
              <w:t xml:space="preserve"> </w:t>
            </w:r>
            <w:r w:rsidRPr="002029AF">
              <w:t>households</w:t>
            </w:r>
          </w:p>
        </w:tc>
        <w:tc>
          <w:tcPr>
            <w:tcW w:w="1020" w:type="dxa"/>
            <w:shd w:val="clear" w:color="auto" w:fill="auto"/>
            <w:hideMark/>
          </w:tcPr>
          <w:p w14:paraId="5AF3E40D" w14:textId="77777777" w:rsidR="00C15C65" w:rsidRPr="002029AF" w:rsidRDefault="00C15C65" w:rsidP="00C40F5D">
            <w:pPr>
              <w:pStyle w:val="ARtabletext"/>
            </w:pPr>
            <w:r w:rsidRPr="002029AF">
              <w:t>number</w:t>
            </w:r>
          </w:p>
        </w:tc>
        <w:tc>
          <w:tcPr>
            <w:tcW w:w="1020" w:type="dxa"/>
            <w:shd w:val="clear" w:color="auto" w:fill="auto"/>
            <w:hideMark/>
          </w:tcPr>
          <w:p w14:paraId="59809CBD" w14:textId="77777777" w:rsidR="00C15C65" w:rsidRPr="002029AF" w:rsidRDefault="00C15C65" w:rsidP="000024F3">
            <w:pPr>
              <w:pStyle w:val="ARtabletextright"/>
            </w:pPr>
            <w:r w:rsidRPr="002029AF">
              <w:t>42,884</w:t>
            </w:r>
          </w:p>
        </w:tc>
        <w:tc>
          <w:tcPr>
            <w:tcW w:w="1020" w:type="dxa"/>
            <w:shd w:val="clear" w:color="auto" w:fill="auto"/>
            <w:hideMark/>
          </w:tcPr>
          <w:p w14:paraId="3609EC95" w14:textId="77777777" w:rsidR="00C15C65" w:rsidRPr="002029AF" w:rsidRDefault="00C15C65" w:rsidP="000024F3">
            <w:pPr>
              <w:pStyle w:val="ARtabletextright"/>
            </w:pPr>
            <w:r w:rsidRPr="002029AF">
              <w:t>49,575</w:t>
            </w:r>
          </w:p>
        </w:tc>
        <w:tc>
          <w:tcPr>
            <w:tcW w:w="1023" w:type="dxa"/>
            <w:shd w:val="clear" w:color="auto" w:fill="auto"/>
          </w:tcPr>
          <w:p w14:paraId="35C5D583" w14:textId="77777777" w:rsidR="00C15C65" w:rsidRPr="002029AF" w:rsidRDefault="00C15C65" w:rsidP="000024F3">
            <w:pPr>
              <w:pStyle w:val="ARtabletextright"/>
            </w:pPr>
            <w:r w:rsidRPr="002029AF">
              <w:t>15.6</w:t>
            </w:r>
          </w:p>
        </w:tc>
        <w:tc>
          <w:tcPr>
            <w:tcW w:w="804" w:type="dxa"/>
            <w:gridSpan w:val="2"/>
            <w:shd w:val="clear" w:color="auto" w:fill="auto"/>
            <w:hideMark/>
          </w:tcPr>
          <w:p w14:paraId="019CE413"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11857A0C" w14:textId="77777777" w:rsidTr="005B58F0">
        <w:trPr>
          <w:cantSplit/>
        </w:trPr>
        <w:tc>
          <w:tcPr>
            <w:tcW w:w="9639" w:type="dxa"/>
            <w:gridSpan w:val="7"/>
            <w:tcBorders>
              <w:bottom w:val="single" w:sz="4" w:space="0" w:color="BFBFBF"/>
            </w:tcBorders>
            <w:shd w:val="clear" w:color="auto" w:fill="auto"/>
            <w:noWrap/>
            <w:hideMark/>
          </w:tcPr>
          <w:p w14:paraId="74DB0616" w14:textId="5B3A6797" w:rsidR="00C15C65" w:rsidRPr="002029AF" w:rsidRDefault="00C15C65" w:rsidP="00D96AFD">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by</w:t>
            </w:r>
            <w:r w:rsidR="000A5329" w:rsidRPr="002029AF">
              <w:t xml:space="preserve"> </w:t>
            </w:r>
            <w:r w:rsidRPr="002029AF">
              <w:t>late</w:t>
            </w:r>
            <w:r w:rsidR="000A5329" w:rsidRPr="002029AF">
              <w:t xml:space="preserve"> </w:t>
            </w:r>
            <w:r w:rsidRPr="002029AF">
              <w:t>2020.</w:t>
            </w:r>
            <w:r w:rsidR="000A5329" w:rsidRPr="002029AF">
              <w:t xml:space="preserve"> </w:t>
            </w:r>
            <w:r w:rsidRPr="002029AF">
              <w:t>The</w:t>
            </w:r>
            <w:r w:rsidR="000A5329" w:rsidRPr="002029AF">
              <w:t xml:space="preserve"> </w:t>
            </w:r>
            <w:r w:rsidRPr="002029AF">
              <w:t>increase</w:t>
            </w:r>
            <w:r w:rsidR="000A5329" w:rsidRPr="002029AF">
              <w:t xml:space="preserve"> </w:t>
            </w:r>
            <w:r w:rsidRPr="002029AF">
              <w:t>in</w:t>
            </w:r>
            <w:r w:rsidR="000A5329" w:rsidRPr="002029AF">
              <w:t xml:space="preserve"> </w:t>
            </w:r>
            <w:r w:rsidRPr="002029AF">
              <w:t>the</w:t>
            </w:r>
            <w:r w:rsidR="000A5329" w:rsidRPr="002029AF">
              <w:t xml:space="preserve"> </w:t>
            </w:r>
            <w:r w:rsidRPr="002029AF">
              <w:t>Utility</w:t>
            </w:r>
            <w:r w:rsidR="000A5329" w:rsidRPr="002029AF">
              <w:t xml:space="preserve"> </w:t>
            </w:r>
            <w:r w:rsidRPr="002029AF">
              <w:t>Relief</w:t>
            </w:r>
            <w:r w:rsidR="000A5329" w:rsidRPr="002029AF">
              <w:t xml:space="preserve"> </w:t>
            </w:r>
            <w:r w:rsidRPr="002029AF">
              <w:t>Grants</w:t>
            </w:r>
            <w:r w:rsidR="000A5329" w:rsidRPr="002029AF">
              <w:t xml:space="preserve"> </w:t>
            </w:r>
            <w:r w:rsidRPr="002029AF">
              <w:t>is</w:t>
            </w:r>
            <w:r w:rsidR="000A5329" w:rsidRPr="002029AF">
              <w:t xml:space="preserve"> </w:t>
            </w:r>
            <w:r w:rsidRPr="002029AF">
              <w:t>partially</w:t>
            </w:r>
            <w:r w:rsidR="000A5329" w:rsidRPr="002029AF">
              <w:t xml:space="preserve"> </w:t>
            </w:r>
            <w:r w:rsidRPr="002029AF">
              <w:t>due</w:t>
            </w:r>
            <w:r w:rsidR="000A5329" w:rsidRPr="002029AF">
              <w:t xml:space="preserve"> </w:t>
            </w:r>
            <w:r w:rsidRPr="002029AF">
              <w:t>to</w:t>
            </w:r>
            <w:r w:rsidR="000A5329" w:rsidRPr="002029AF">
              <w:t xml:space="preserve"> </w:t>
            </w:r>
            <w:r w:rsidRPr="002029AF">
              <w:t>a</w:t>
            </w:r>
            <w:r w:rsidR="000A5329" w:rsidRPr="002029AF">
              <w:t xml:space="preserve"> </w:t>
            </w:r>
            <w:r w:rsidRPr="002029AF">
              <w:t>new</w:t>
            </w:r>
            <w:r w:rsidR="000A5329" w:rsidRPr="002029AF">
              <w:t xml:space="preserve"> </w:t>
            </w:r>
            <w:r w:rsidRPr="002029AF">
              <w:t>online</w:t>
            </w:r>
            <w:r w:rsidR="000A5329" w:rsidRPr="002029AF">
              <w:t xml:space="preserve"> </w:t>
            </w:r>
            <w:r w:rsidRPr="002029AF">
              <w:t>application</w:t>
            </w:r>
            <w:r w:rsidR="000A5329" w:rsidRPr="002029AF">
              <w:t xml:space="preserve"> </w:t>
            </w:r>
            <w:r w:rsidRPr="002029AF">
              <w:t>process</w:t>
            </w:r>
            <w:r w:rsidR="000A5329" w:rsidRPr="002029AF">
              <w:t xml:space="preserve"> </w:t>
            </w:r>
            <w:r w:rsidRPr="002029AF">
              <w:t>that</w:t>
            </w:r>
            <w:r w:rsidR="000A5329" w:rsidRPr="002029AF">
              <w:t xml:space="preserve"> </w:t>
            </w:r>
            <w:r w:rsidRPr="002029AF">
              <w:t>was</w:t>
            </w:r>
            <w:r w:rsidR="000A5329" w:rsidRPr="002029AF">
              <w:t xml:space="preserve"> </w:t>
            </w:r>
            <w:r w:rsidRPr="002029AF">
              <w:t>implemented</w:t>
            </w:r>
            <w:r w:rsidR="000A5329" w:rsidRPr="002029AF">
              <w:t xml:space="preserve"> </w:t>
            </w:r>
            <w:r w:rsidRPr="002029AF">
              <w:t>for</w:t>
            </w:r>
            <w:r w:rsidR="000A5329" w:rsidRPr="002029AF">
              <w:t xml:space="preserve"> </w:t>
            </w:r>
            <w:r w:rsidRPr="002029AF">
              <w:t>the</w:t>
            </w:r>
            <w:r w:rsidR="000A5329" w:rsidRPr="002029AF">
              <w:t xml:space="preserve"> </w:t>
            </w:r>
            <w:r w:rsidRPr="002029AF">
              <w:t>full</w:t>
            </w:r>
            <w:r w:rsidR="000A5329" w:rsidRPr="002029AF">
              <w:t xml:space="preserve"> </w:t>
            </w:r>
            <w:r w:rsidRPr="002029AF">
              <w:t>financial</w:t>
            </w:r>
            <w:r w:rsidR="000A5329" w:rsidRPr="002029AF">
              <w:t xml:space="preserve"> </w:t>
            </w:r>
            <w:r w:rsidRPr="002029AF">
              <w:t>year,</w:t>
            </w:r>
            <w:r w:rsidR="000A5329" w:rsidRPr="002029AF">
              <w:t xml:space="preserve"> </w:t>
            </w:r>
            <w:r w:rsidRPr="002029AF">
              <w:t>while</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may</w:t>
            </w:r>
            <w:r w:rsidR="000A5329" w:rsidRPr="002029AF">
              <w:t xml:space="preserve"> </w:t>
            </w:r>
            <w:r w:rsidRPr="002029AF">
              <w:t>have</w:t>
            </w:r>
            <w:r w:rsidR="000A5329" w:rsidRPr="002029AF">
              <w:t xml:space="preserve"> </w:t>
            </w:r>
            <w:r w:rsidRPr="002029AF">
              <w:t>also</w:t>
            </w:r>
            <w:r w:rsidR="000A5329" w:rsidRPr="002029AF">
              <w:t xml:space="preserve"> </w:t>
            </w:r>
            <w:r w:rsidRPr="002029AF">
              <w:t>contributed</w:t>
            </w:r>
            <w:r w:rsidR="000A5329" w:rsidRPr="002029AF">
              <w:t xml:space="preserve"> </w:t>
            </w:r>
            <w:r w:rsidRPr="002029AF">
              <w:t>to</w:t>
            </w:r>
            <w:r w:rsidR="000A5329" w:rsidRPr="002029AF">
              <w:t xml:space="preserve"> </w:t>
            </w:r>
            <w:r w:rsidRPr="002029AF">
              <w:t>an</w:t>
            </w:r>
            <w:r w:rsidR="000A5329" w:rsidRPr="002029AF">
              <w:t xml:space="preserve"> </w:t>
            </w:r>
            <w:r w:rsidRPr="002029AF">
              <w:t>increase</w:t>
            </w:r>
            <w:r w:rsidR="000A5329" w:rsidRPr="002029AF">
              <w:t xml:space="preserve"> </w:t>
            </w:r>
            <w:r w:rsidRPr="002029AF">
              <w:t>in</w:t>
            </w:r>
            <w:r w:rsidR="000A5329" w:rsidRPr="002029AF">
              <w:t xml:space="preserve"> </w:t>
            </w:r>
            <w:r w:rsidRPr="002029AF">
              <w:t>applications.</w:t>
            </w:r>
          </w:p>
        </w:tc>
      </w:tr>
      <w:tr w:rsidR="00C15C65" w:rsidRPr="002029AF" w14:paraId="6C20C1E8" w14:textId="77777777" w:rsidTr="005B58F0">
        <w:trPr>
          <w:gridAfter w:val="1"/>
          <w:wAfter w:w="8" w:type="dxa"/>
          <w:cantSplit/>
        </w:trPr>
        <w:tc>
          <w:tcPr>
            <w:tcW w:w="4752" w:type="dxa"/>
            <w:shd w:val="clear" w:color="auto" w:fill="auto"/>
            <w:hideMark/>
          </w:tcPr>
          <w:p w14:paraId="48A7E22B" w14:textId="02343CDD" w:rsidR="00C15C65" w:rsidRPr="002029AF" w:rsidRDefault="00C15C65" w:rsidP="00C40F5D">
            <w:pPr>
              <w:pStyle w:val="ARtabletext"/>
            </w:pPr>
            <w:r w:rsidRPr="002029AF">
              <w:lastRenderedPageBreak/>
              <w:t>Number</w:t>
            </w:r>
            <w:r w:rsidR="000A5329" w:rsidRPr="002029AF">
              <w:t xml:space="preserve"> </w:t>
            </w:r>
            <w:r w:rsidRPr="002029AF">
              <w:t>of</w:t>
            </w:r>
            <w:r w:rsidR="000A5329" w:rsidRPr="002029AF">
              <w:t xml:space="preserve"> </w:t>
            </w:r>
            <w:r w:rsidRPr="002029AF">
              <w:t>clients</w:t>
            </w:r>
            <w:r w:rsidR="000A5329" w:rsidRPr="002029AF">
              <w:t xml:space="preserve"> </w:t>
            </w:r>
            <w:r w:rsidRPr="002029AF">
              <w:t>receiving</w:t>
            </w:r>
            <w:r w:rsidR="000A5329" w:rsidRPr="002029AF">
              <w:t xml:space="preserve"> </w:t>
            </w:r>
            <w:r w:rsidRPr="002029AF">
              <w:t>trustee</w:t>
            </w:r>
            <w:r w:rsidR="000A5329" w:rsidRPr="002029AF">
              <w:t xml:space="preserve"> </w:t>
            </w:r>
            <w:r w:rsidRPr="002029AF">
              <w:t>services</w:t>
            </w:r>
          </w:p>
        </w:tc>
        <w:tc>
          <w:tcPr>
            <w:tcW w:w="1020" w:type="dxa"/>
            <w:shd w:val="clear" w:color="auto" w:fill="auto"/>
            <w:hideMark/>
          </w:tcPr>
          <w:p w14:paraId="6B9C7438" w14:textId="77777777" w:rsidR="00C15C65" w:rsidRPr="002029AF" w:rsidRDefault="00C15C65" w:rsidP="00C40F5D">
            <w:pPr>
              <w:pStyle w:val="ARtabletext"/>
            </w:pPr>
            <w:r w:rsidRPr="002029AF">
              <w:t>number</w:t>
            </w:r>
          </w:p>
        </w:tc>
        <w:tc>
          <w:tcPr>
            <w:tcW w:w="1020" w:type="dxa"/>
            <w:shd w:val="clear" w:color="auto" w:fill="auto"/>
            <w:hideMark/>
          </w:tcPr>
          <w:p w14:paraId="6C23780F" w14:textId="77777777" w:rsidR="00C15C65" w:rsidRPr="002029AF" w:rsidRDefault="00C15C65" w:rsidP="000024F3">
            <w:pPr>
              <w:pStyle w:val="ARtabletextright"/>
            </w:pPr>
            <w:r w:rsidRPr="002029AF">
              <w:t>14,600</w:t>
            </w:r>
          </w:p>
        </w:tc>
        <w:tc>
          <w:tcPr>
            <w:tcW w:w="1020" w:type="dxa"/>
            <w:shd w:val="clear" w:color="auto" w:fill="auto"/>
            <w:hideMark/>
          </w:tcPr>
          <w:p w14:paraId="27C1D10F" w14:textId="77777777" w:rsidR="00C15C65" w:rsidRPr="002029AF" w:rsidRDefault="00C15C65" w:rsidP="000024F3">
            <w:pPr>
              <w:pStyle w:val="ARtabletextright"/>
            </w:pPr>
            <w:r w:rsidRPr="002029AF">
              <w:t>15,026</w:t>
            </w:r>
          </w:p>
        </w:tc>
        <w:tc>
          <w:tcPr>
            <w:tcW w:w="1023" w:type="dxa"/>
            <w:shd w:val="clear" w:color="auto" w:fill="auto"/>
          </w:tcPr>
          <w:p w14:paraId="517DFECB" w14:textId="77777777" w:rsidR="00C15C65" w:rsidRPr="002029AF" w:rsidRDefault="00C15C65" w:rsidP="000024F3">
            <w:pPr>
              <w:pStyle w:val="ARtabletextright"/>
            </w:pPr>
            <w:r w:rsidRPr="002029AF">
              <w:t>2.9</w:t>
            </w:r>
          </w:p>
        </w:tc>
        <w:tc>
          <w:tcPr>
            <w:tcW w:w="796" w:type="dxa"/>
            <w:shd w:val="clear" w:color="auto" w:fill="auto"/>
            <w:hideMark/>
          </w:tcPr>
          <w:p w14:paraId="69A4A37C"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242B1637" w14:textId="77777777" w:rsidTr="005B58F0">
        <w:trPr>
          <w:gridAfter w:val="1"/>
          <w:wAfter w:w="8" w:type="dxa"/>
          <w:cantSplit/>
        </w:trPr>
        <w:tc>
          <w:tcPr>
            <w:tcW w:w="9631" w:type="dxa"/>
            <w:gridSpan w:val="6"/>
            <w:tcBorders>
              <w:bottom w:val="single" w:sz="4" w:space="0" w:color="BFBFBF"/>
            </w:tcBorders>
            <w:shd w:val="clear" w:color="auto" w:fill="auto"/>
            <w:noWrap/>
            <w:hideMark/>
          </w:tcPr>
          <w:p w14:paraId="3FBBD6C5" w14:textId="3574FC9A" w:rsidR="00C15C65" w:rsidRPr="002029AF" w:rsidRDefault="00C15C65" w:rsidP="00D96AFD">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by</w:t>
            </w:r>
            <w:r w:rsidR="000A5329" w:rsidRPr="002029AF">
              <w:t xml:space="preserve"> </w:t>
            </w:r>
            <w:r w:rsidRPr="002029AF">
              <w:t>late</w:t>
            </w:r>
            <w:r w:rsidR="000A5329" w:rsidRPr="002029AF">
              <w:t xml:space="preserve"> </w:t>
            </w:r>
            <w:r w:rsidRPr="002029AF">
              <w:t>2020.</w:t>
            </w:r>
          </w:p>
        </w:tc>
      </w:tr>
      <w:tr w:rsidR="00C15C65" w:rsidRPr="002029AF" w14:paraId="2E94B607" w14:textId="77777777" w:rsidTr="005B58F0">
        <w:trPr>
          <w:cantSplit/>
        </w:trPr>
        <w:tc>
          <w:tcPr>
            <w:tcW w:w="9639" w:type="dxa"/>
            <w:gridSpan w:val="7"/>
            <w:tcBorders>
              <w:top w:val="single" w:sz="4" w:space="0" w:color="auto"/>
              <w:left w:val="nil"/>
              <w:bottom w:val="nil"/>
              <w:right w:val="nil"/>
            </w:tcBorders>
            <w:hideMark/>
          </w:tcPr>
          <w:p w14:paraId="23FFFCDF" w14:textId="77777777" w:rsidR="00C15C65" w:rsidRPr="002029AF" w:rsidRDefault="00C15C65" w:rsidP="00D96AFD">
            <w:pPr>
              <w:pStyle w:val="ARtablegreybold"/>
            </w:pPr>
            <w:r w:rsidRPr="002029AF">
              <w:t>Quality</w:t>
            </w:r>
          </w:p>
        </w:tc>
      </w:tr>
      <w:tr w:rsidR="00C15C65" w:rsidRPr="002029AF" w14:paraId="77ACC2D1" w14:textId="77777777" w:rsidTr="005B58F0">
        <w:trPr>
          <w:gridAfter w:val="1"/>
          <w:wAfter w:w="8" w:type="dxa"/>
          <w:cantSplit/>
        </w:trPr>
        <w:tc>
          <w:tcPr>
            <w:tcW w:w="4752" w:type="dxa"/>
            <w:shd w:val="clear" w:color="auto" w:fill="auto"/>
            <w:hideMark/>
          </w:tcPr>
          <w:p w14:paraId="1A17FB2B" w14:textId="412D210F" w:rsidR="00C15C65" w:rsidRPr="002029AF" w:rsidRDefault="00C15C65" w:rsidP="00C40F5D">
            <w:pPr>
              <w:pStyle w:val="ARtabletext"/>
            </w:pPr>
            <w:r w:rsidRPr="002029AF">
              <w:t>Percentage</w:t>
            </w:r>
            <w:r w:rsidR="000A5329" w:rsidRPr="002029AF">
              <w:t xml:space="preserve"> </w:t>
            </w:r>
            <w:r w:rsidRPr="002029AF">
              <w:t>of</w:t>
            </w:r>
            <w:r w:rsidR="000A5329" w:rsidRPr="002029AF">
              <w:t xml:space="preserve"> </w:t>
            </w:r>
            <w:r w:rsidRPr="002029AF">
              <w:t>customers</w:t>
            </w:r>
            <w:r w:rsidR="000A5329" w:rsidRPr="002029AF">
              <w:t xml:space="preserve"> </w:t>
            </w:r>
            <w:r w:rsidRPr="002029AF">
              <w:t>satisfied</w:t>
            </w:r>
            <w:r w:rsidR="000A5329" w:rsidRPr="002029AF">
              <w:t xml:space="preserve"> </w:t>
            </w:r>
            <w:r w:rsidRPr="002029AF">
              <w:t>with</w:t>
            </w:r>
            <w:r w:rsidR="000A5329" w:rsidRPr="002029AF">
              <w:t xml:space="preserve"> </w:t>
            </w:r>
            <w:r w:rsidRPr="002029AF">
              <w:t>State</w:t>
            </w:r>
            <w:r w:rsidR="000A5329" w:rsidRPr="002029AF">
              <w:t xml:space="preserve"> </w:t>
            </w:r>
            <w:r w:rsidRPr="002029AF">
              <w:t>Trustees</w:t>
            </w:r>
            <w:r w:rsidR="000A5329" w:rsidRPr="002029AF">
              <w:t xml:space="preserve"> </w:t>
            </w:r>
            <w:r w:rsidRPr="002029AF">
              <w:t>Limited</w:t>
            </w:r>
            <w:r w:rsidR="000A5329" w:rsidRPr="002029AF">
              <w:t xml:space="preserve"> </w:t>
            </w:r>
            <w:r w:rsidRPr="002029AF">
              <w:t>services</w:t>
            </w:r>
          </w:p>
        </w:tc>
        <w:tc>
          <w:tcPr>
            <w:tcW w:w="1020" w:type="dxa"/>
            <w:shd w:val="clear" w:color="auto" w:fill="auto"/>
            <w:hideMark/>
          </w:tcPr>
          <w:p w14:paraId="250B652F" w14:textId="4B019BF3" w:rsidR="00C15C65" w:rsidRPr="002029AF" w:rsidRDefault="00C15C65" w:rsidP="00C40F5D">
            <w:pPr>
              <w:pStyle w:val="ARtabletext"/>
            </w:pPr>
            <w:r w:rsidRPr="002029AF">
              <w:t>per</w:t>
            </w:r>
            <w:r w:rsidR="000A5329" w:rsidRPr="002029AF">
              <w:t xml:space="preserve"> </w:t>
            </w:r>
            <w:r w:rsidRPr="002029AF">
              <w:t>cent</w:t>
            </w:r>
          </w:p>
        </w:tc>
        <w:tc>
          <w:tcPr>
            <w:tcW w:w="1020" w:type="dxa"/>
            <w:shd w:val="clear" w:color="auto" w:fill="auto"/>
            <w:hideMark/>
          </w:tcPr>
          <w:p w14:paraId="41357745" w14:textId="77777777" w:rsidR="00C15C65" w:rsidRPr="002029AF" w:rsidRDefault="00C15C65" w:rsidP="000024F3">
            <w:pPr>
              <w:pStyle w:val="ARtabletextright"/>
            </w:pPr>
            <w:r w:rsidRPr="002029AF">
              <w:t>75</w:t>
            </w:r>
          </w:p>
        </w:tc>
        <w:tc>
          <w:tcPr>
            <w:tcW w:w="1020" w:type="dxa"/>
            <w:shd w:val="clear" w:color="auto" w:fill="auto"/>
            <w:hideMark/>
          </w:tcPr>
          <w:p w14:paraId="3B2D5893" w14:textId="77777777" w:rsidR="00C15C65" w:rsidRPr="002029AF" w:rsidRDefault="00C15C65" w:rsidP="000024F3">
            <w:pPr>
              <w:pStyle w:val="ARtabletextright"/>
            </w:pPr>
            <w:r w:rsidRPr="002029AF">
              <w:t>75</w:t>
            </w:r>
          </w:p>
        </w:tc>
        <w:tc>
          <w:tcPr>
            <w:tcW w:w="1023" w:type="dxa"/>
            <w:shd w:val="clear" w:color="auto" w:fill="auto"/>
          </w:tcPr>
          <w:p w14:paraId="55ABD651" w14:textId="77777777" w:rsidR="00C15C65" w:rsidRPr="002029AF" w:rsidRDefault="00C15C65" w:rsidP="000024F3">
            <w:pPr>
              <w:pStyle w:val="ARtabletextright"/>
            </w:pPr>
            <w:r w:rsidRPr="002029AF">
              <w:t>0.0</w:t>
            </w:r>
          </w:p>
        </w:tc>
        <w:tc>
          <w:tcPr>
            <w:tcW w:w="796" w:type="dxa"/>
            <w:shd w:val="clear" w:color="auto" w:fill="auto"/>
            <w:hideMark/>
          </w:tcPr>
          <w:p w14:paraId="3C49D63D"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4A47CD00" w14:textId="77777777" w:rsidTr="005B58F0">
        <w:trPr>
          <w:gridAfter w:val="1"/>
          <w:wAfter w:w="8" w:type="dxa"/>
          <w:cantSplit/>
        </w:trPr>
        <w:tc>
          <w:tcPr>
            <w:tcW w:w="9631" w:type="dxa"/>
            <w:gridSpan w:val="6"/>
            <w:tcBorders>
              <w:bottom w:val="single" w:sz="4" w:space="0" w:color="BFBFBF"/>
            </w:tcBorders>
            <w:shd w:val="clear" w:color="auto" w:fill="auto"/>
            <w:noWrap/>
            <w:hideMark/>
          </w:tcPr>
          <w:p w14:paraId="39BAB1E7" w14:textId="08973FD8" w:rsidR="00C15C65" w:rsidRPr="002029AF" w:rsidRDefault="00C15C65" w:rsidP="00D96AFD">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by</w:t>
            </w:r>
            <w:r w:rsidR="000A5329" w:rsidRPr="002029AF">
              <w:t xml:space="preserve"> </w:t>
            </w:r>
            <w:r w:rsidRPr="002029AF">
              <w:t>late</w:t>
            </w:r>
            <w:r w:rsidR="000A5329" w:rsidRPr="002029AF">
              <w:t xml:space="preserve"> </w:t>
            </w:r>
            <w:r w:rsidRPr="002029AF">
              <w:t>2020.</w:t>
            </w:r>
          </w:p>
        </w:tc>
      </w:tr>
      <w:tr w:rsidR="00C15C65" w:rsidRPr="002029AF" w14:paraId="4B477CF0" w14:textId="77777777" w:rsidTr="005B58F0">
        <w:trPr>
          <w:gridAfter w:val="1"/>
          <w:wAfter w:w="8" w:type="dxa"/>
          <w:cantSplit/>
        </w:trPr>
        <w:tc>
          <w:tcPr>
            <w:tcW w:w="4752" w:type="dxa"/>
            <w:shd w:val="clear" w:color="auto" w:fill="auto"/>
            <w:hideMark/>
          </w:tcPr>
          <w:p w14:paraId="3F9049EC" w14:textId="16748637" w:rsidR="00C15C65" w:rsidRPr="002029AF" w:rsidRDefault="00C15C65" w:rsidP="00C40F5D">
            <w:pPr>
              <w:pStyle w:val="ARtabletext"/>
            </w:pPr>
            <w:r w:rsidRPr="002029AF">
              <w:t>Percentage</w:t>
            </w:r>
            <w:r w:rsidR="000A5329" w:rsidRPr="002029AF">
              <w:t xml:space="preserve"> </w:t>
            </w:r>
            <w:r w:rsidRPr="002029AF">
              <w:t>of</w:t>
            </w:r>
            <w:r w:rsidR="000A5329" w:rsidRPr="002029AF">
              <w:t xml:space="preserve"> </w:t>
            </w:r>
            <w:r w:rsidRPr="002029AF">
              <w:t>Community</w:t>
            </w:r>
            <w:r w:rsidR="000A5329" w:rsidRPr="002029AF">
              <w:t xml:space="preserve"> </w:t>
            </w:r>
            <w:r w:rsidRPr="002029AF">
              <w:t>Service</w:t>
            </w:r>
            <w:r w:rsidR="000A5329" w:rsidRPr="002029AF">
              <w:t xml:space="preserve"> </w:t>
            </w:r>
            <w:r w:rsidRPr="002029AF">
              <w:t>Agreement</w:t>
            </w:r>
            <w:r w:rsidR="000A5329" w:rsidRPr="002029AF">
              <w:t xml:space="preserve"> </w:t>
            </w:r>
            <w:r w:rsidRPr="002029AF">
              <w:t>performance</w:t>
            </w:r>
            <w:r w:rsidR="000A5329" w:rsidRPr="002029AF">
              <w:t xml:space="preserve"> </w:t>
            </w:r>
            <w:r w:rsidRPr="002029AF">
              <w:t>targets</w:t>
            </w:r>
            <w:r w:rsidR="000A5329" w:rsidRPr="002029AF">
              <w:t xml:space="preserve"> </w:t>
            </w:r>
            <w:r w:rsidRPr="002029AF">
              <w:t>that</w:t>
            </w:r>
            <w:r w:rsidR="000A5329" w:rsidRPr="002029AF">
              <w:t xml:space="preserve"> </w:t>
            </w:r>
            <w:r w:rsidRPr="002029AF">
              <w:t>have</w:t>
            </w:r>
            <w:r w:rsidR="000A5329" w:rsidRPr="002029AF">
              <w:t xml:space="preserve"> </w:t>
            </w:r>
            <w:r w:rsidRPr="002029AF">
              <w:t>been</w:t>
            </w:r>
            <w:r w:rsidR="000A5329" w:rsidRPr="002029AF">
              <w:t xml:space="preserve"> </w:t>
            </w:r>
            <w:r w:rsidRPr="002029AF">
              <w:t>achieved</w:t>
            </w:r>
            <w:r w:rsidR="000A5329" w:rsidRPr="002029AF">
              <w:t xml:space="preserve"> </w:t>
            </w:r>
            <w:r w:rsidRPr="002029AF">
              <w:t>by</w:t>
            </w:r>
            <w:r w:rsidR="000A5329" w:rsidRPr="002029AF">
              <w:t xml:space="preserve"> </w:t>
            </w:r>
            <w:r w:rsidRPr="002029AF">
              <w:t>State</w:t>
            </w:r>
            <w:r w:rsidR="000A5329" w:rsidRPr="002029AF">
              <w:t xml:space="preserve"> </w:t>
            </w:r>
            <w:r w:rsidRPr="002029AF">
              <w:t>Trustees</w:t>
            </w:r>
          </w:p>
        </w:tc>
        <w:tc>
          <w:tcPr>
            <w:tcW w:w="1020" w:type="dxa"/>
            <w:shd w:val="clear" w:color="auto" w:fill="auto"/>
            <w:hideMark/>
          </w:tcPr>
          <w:p w14:paraId="1D70C32B" w14:textId="31246F15" w:rsidR="00C15C65" w:rsidRPr="002029AF" w:rsidRDefault="00C15C65" w:rsidP="00C40F5D">
            <w:pPr>
              <w:pStyle w:val="ARtabletext"/>
            </w:pPr>
            <w:r w:rsidRPr="002029AF">
              <w:t>per</w:t>
            </w:r>
            <w:r w:rsidR="000A5329" w:rsidRPr="002029AF">
              <w:t xml:space="preserve"> </w:t>
            </w:r>
            <w:r w:rsidRPr="002029AF">
              <w:t>cent</w:t>
            </w:r>
          </w:p>
        </w:tc>
        <w:tc>
          <w:tcPr>
            <w:tcW w:w="1020" w:type="dxa"/>
            <w:shd w:val="clear" w:color="auto" w:fill="auto"/>
            <w:hideMark/>
          </w:tcPr>
          <w:p w14:paraId="09FC19B2" w14:textId="77777777" w:rsidR="00C15C65" w:rsidRPr="002029AF" w:rsidRDefault="00C15C65" w:rsidP="000024F3">
            <w:pPr>
              <w:pStyle w:val="ARtabletextright"/>
            </w:pPr>
            <w:r w:rsidRPr="002029AF">
              <w:t>90</w:t>
            </w:r>
          </w:p>
        </w:tc>
        <w:tc>
          <w:tcPr>
            <w:tcW w:w="1020" w:type="dxa"/>
            <w:shd w:val="clear" w:color="auto" w:fill="auto"/>
            <w:hideMark/>
          </w:tcPr>
          <w:p w14:paraId="277289AC" w14:textId="77777777" w:rsidR="00C15C65" w:rsidRPr="002029AF" w:rsidRDefault="00C15C65" w:rsidP="000024F3">
            <w:pPr>
              <w:pStyle w:val="ARtabletextright"/>
            </w:pPr>
            <w:r w:rsidRPr="002029AF">
              <w:t>86</w:t>
            </w:r>
          </w:p>
        </w:tc>
        <w:tc>
          <w:tcPr>
            <w:tcW w:w="1023" w:type="dxa"/>
            <w:shd w:val="clear" w:color="auto" w:fill="auto"/>
          </w:tcPr>
          <w:p w14:paraId="70185450" w14:textId="77777777" w:rsidR="00C15C65" w:rsidRPr="002029AF" w:rsidRDefault="00C15C65" w:rsidP="000024F3">
            <w:pPr>
              <w:pStyle w:val="ARtabletextright"/>
            </w:pPr>
            <w:r w:rsidRPr="002029AF">
              <w:t>-4.4</w:t>
            </w:r>
          </w:p>
        </w:tc>
        <w:tc>
          <w:tcPr>
            <w:tcW w:w="796" w:type="dxa"/>
            <w:shd w:val="clear" w:color="auto" w:fill="auto"/>
            <w:hideMark/>
          </w:tcPr>
          <w:p w14:paraId="7067702E" w14:textId="697FFB6E" w:rsidR="00C15C65" w:rsidRPr="002029AF" w:rsidRDefault="00F768BF" w:rsidP="000F6867">
            <w:pPr>
              <w:pStyle w:val="ARtableperformancesymbol"/>
              <w:rPr>
                <w:rFonts w:hint="eastAsia"/>
                <w:lang w:val="en-AU"/>
              </w:rPr>
            </w:pPr>
            <w:r w:rsidRPr="002029AF">
              <w:rPr>
                <w:lang w:val="en-AU"/>
              </w:rPr>
              <w:t>□</w:t>
            </w:r>
          </w:p>
        </w:tc>
      </w:tr>
      <w:tr w:rsidR="00C15C65" w:rsidRPr="002029AF" w14:paraId="1E8DBD76" w14:textId="77777777" w:rsidTr="005B58F0">
        <w:trPr>
          <w:gridAfter w:val="1"/>
          <w:wAfter w:w="8" w:type="dxa"/>
          <w:cantSplit/>
        </w:trPr>
        <w:tc>
          <w:tcPr>
            <w:tcW w:w="9631" w:type="dxa"/>
            <w:gridSpan w:val="6"/>
            <w:tcBorders>
              <w:bottom w:val="single" w:sz="4" w:space="0" w:color="BFBFBF"/>
            </w:tcBorders>
            <w:shd w:val="clear" w:color="auto" w:fill="auto"/>
            <w:noWrap/>
            <w:hideMark/>
          </w:tcPr>
          <w:p w14:paraId="1090D024" w14:textId="734E40C7" w:rsidR="00C15C65" w:rsidRPr="002029AF" w:rsidRDefault="00C15C65" w:rsidP="00D96AFD">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by</w:t>
            </w:r>
            <w:r w:rsidR="000A5329" w:rsidRPr="002029AF">
              <w:t xml:space="preserve"> </w:t>
            </w:r>
            <w:r w:rsidRPr="002029AF">
              <w:t>late</w:t>
            </w:r>
            <w:r w:rsidR="000A5329" w:rsidRPr="002029AF">
              <w:t xml:space="preserve"> </w:t>
            </w:r>
            <w:r w:rsidRPr="002029AF">
              <w:t>2020.</w:t>
            </w:r>
          </w:p>
        </w:tc>
      </w:tr>
      <w:tr w:rsidR="00C15C65" w:rsidRPr="002029AF" w14:paraId="1F2E21DD" w14:textId="77777777" w:rsidTr="005B58F0">
        <w:trPr>
          <w:cantSplit/>
        </w:trPr>
        <w:tc>
          <w:tcPr>
            <w:tcW w:w="9639" w:type="dxa"/>
            <w:gridSpan w:val="7"/>
            <w:tcBorders>
              <w:top w:val="single" w:sz="4" w:space="0" w:color="auto"/>
              <w:left w:val="nil"/>
              <w:bottom w:val="nil"/>
              <w:right w:val="nil"/>
            </w:tcBorders>
            <w:hideMark/>
          </w:tcPr>
          <w:p w14:paraId="3EAA1D2D" w14:textId="77777777" w:rsidR="00C15C65" w:rsidRPr="002029AF" w:rsidRDefault="00C15C65" w:rsidP="007666A5">
            <w:pPr>
              <w:pStyle w:val="ARtablegreybold"/>
            </w:pPr>
            <w:r w:rsidRPr="002029AF">
              <w:t>Timeliness</w:t>
            </w:r>
          </w:p>
        </w:tc>
      </w:tr>
      <w:tr w:rsidR="00C15C65" w:rsidRPr="002029AF" w14:paraId="13D01ADB" w14:textId="77777777" w:rsidTr="005B58F0">
        <w:trPr>
          <w:cantSplit/>
        </w:trPr>
        <w:tc>
          <w:tcPr>
            <w:tcW w:w="4752" w:type="dxa"/>
            <w:hideMark/>
          </w:tcPr>
          <w:p w14:paraId="47D5DEF2" w14:textId="2EFACB7E" w:rsidR="00C15C65" w:rsidRPr="002029AF" w:rsidRDefault="00C15C65" w:rsidP="00D96AFD">
            <w:pPr>
              <w:pStyle w:val="ARtabletext"/>
            </w:pPr>
            <w:r w:rsidRPr="002029AF">
              <w:t>Percentage</w:t>
            </w:r>
            <w:r w:rsidR="000A5329" w:rsidRPr="002029AF">
              <w:t xml:space="preserve"> </w:t>
            </w:r>
            <w:r w:rsidRPr="002029AF">
              <w:t>of</w:t>
            </w:r>
            <w:r w:rsidR="000A5329" w:rsidRPr="002029AF">
              <w:t xml:space="preserve"> </w:t>
            </w:r>
            <w:r w:rsidRPr="002029AF">
              <w:t>customer</w:t>
            </w:r>
            <w:r w:rsidR="000A5329" w:rsidRPr="002029AF">
              <w:t xml:space="preserve"> </w:t>
            </w:r>
            <w:r w:rsidRPr="002029AF">
              <w:t>requests</w:t>
            </w:r>
            <w:r w:rsidR="000A5329" w:rsidRPr="002029AF">
              <w:t xml:space="preserve"> </w:t>
            </w:r>
            <w:r w:rsidRPr="002029AF">
              <w:t>answered</w:t>
            </w:r>
            <w:r w:rsidR="000A5329" w:rsidRPr="002029AF">
              <w:t xml:space="preserve"> </w:t>
            </w:r>
            <w:r w:rsidRPr="002029AF">
              <w:t>by</w:t>
            </w:r>
            <w:r w:rsidR="000A5329" w:rsidRPr="002029AF">
              <w:t xml:space="preserve"> </w:t>
            </w:r>
            <w:r w:rsidRPr="002029AF">
              <w:t>State</w:t>
            </w:r>
            <w:r w:rsidR="000A5329" w:rsidRPr="002029AF">
              <w:t xml:space="preserve"> </w:t>
            </w:r>
            <w:r w:rsidRPr="002029AF">
              <w:t>Trustees</w:t>
            </w:r>
            <w:r w:rsidR="000A5329" w:rsidRPr="002029AF">
              <w:t xml:space="preserve"> </w:t>
            </w:r>
            <w:r w:rsidRPr="002029AF">
              <w:t>within</w:t>
            </w:r>
            <w:r w:rsidR="000A5329" w:rsidRPr="002029AF">
              <w:t xml:space="preserve"> </w:t>
            </w:r>
            <w:r w:rsidRPr="002029AF">
              <w:t>the</w:t>
            </w:r>
            <w:r w:rsidR="000A5329" w:rsidRPr="002029AF">
              <w:t xml:space="preserve"> </w:t>
            </w:r>
            <w:r w:rsidRPr="002029AF">
              <w:t>timelines</w:t>
            </w:r>
            <w:r w:rsidR="000A5329" w:rsidRPr="002029AF">
              <w:t xml:space="preserve"> </w:t>
            </w:r>
            <w:r w:rsidRPr="002029AF">
              <w:t>set</w:t>
            </w:r>
            <w:r w:rsidR="000A5329" w:rsidRPr="002029AF">
              <w:t xml:space="preserve"> </w:t>
            </w:r>
            <w:r w:rsidRPr="002029AF">
              <w:t>in</w:t>
            </w:r>
            <w:r w:rsidR="000A5329" w:rsidRPr="002029AF">
              <w:t xml:space="preserve"> </w:t>
            </w:r>
            <w:r w:rsidRPr="002029AF">
              <w:t>the</w:t>
            </w:r>
            <w:r w:rsidR="000A5329" w:rsidRPr="002029AF">
              <w:t xml:space="preserve"> </w:t>
            </w:r>
            <w:r w:rsidRPr="002029AF">
              <w:t>Community</w:t>
            </w:r>
            <w:r w:rsidR="000A5329" w:rsidRPr="002029AF">
              <w:t xml:space="preserve"> </w:t>
            </w:r>
            <w:r w:rsidRPr="002029AF">
              <w:t>Service</w:t>
            </w:r>
            <w:r w:rsidR="000A5329" w:rsidRPr="002029AF">
              <w:t xml:space="preserve"> </w:t>
            </w:r>
            <w:r w:rsidRPr="002029AF">
              <w:t>Agreement</w:t>
            </w:r>
          </w:p>
        </w:tc>
        <w:tc>
          <w:tcPr>
            <w:tcW w:w="1020" w:type="dxa"/>
            <w:hideMark/>
          </w:tcPr>
          <w:p w14:paraId="72D6C493" w14:textId="283BECFB" w:rsidR="00C15C65" w:rsidRPr="002029AF" w:rsidRDefault="00C15C65" w:rsidP="00C40F5D">
            <w:pPr>
              <w:pStyle w:val="ARtabletext"/>
              <w:rPr>
                <w:b/>
              </w:rPr>
            </w:pPr>
            <w:r w:rsidRPr="002029AF">
              <w:t>per</w:t>
            </w:r>
            <w:r w:rsidR="000A5329" w:rsidRPr="002029AF">
              <w:t xml:space="preserve"> </w:t>
            </w:r>
            <w:r w:rsidRPr="002029AF">
              <w:t>cent</w:t>
            </w:r>
          </w:p>
        </w:tc>
        <w:tc>
          <w:tcPr>
            <w:tcW w:w="1020" w:type="dxa"/>
            <w:hideMark/>
          </w:tcPr>
          <w:p w14:paraId="3440335D" w14:textId="77777777" w:rsidR="00C15C65" w:rsidRPr="002029AF" w:rsidRDefault="00C15C65" w:rsidP="000024F3">
            <w:pPr>
              <w:pStyle w:val="ARtabletextright"/>
              <w:rPr>
                <w:b/>
              </w:rPr>
            </w:pPr>
            <w:r w:rsidRPr="002029AF">
              <w:t>90</w:t>
            </w:r>
          </w:p>
        </w:tc>
        <w:tc>
          <w:tcPr>
            <w:tcW w:w="1020" w:type="dxa"/>
            <w:hideMark/>
          </w:tcPr>
          <w:p w14:paraId="1DFF4949" w14:textId="77777777" w:rsidR="00C15C65" w:rsidRPr="002029AF" w:rsidRDefault="00C15C65" w:rsidP="000024F3">
            <w:pPr>
              <w:pStyle w:val="ARtabletextright"/>
              <w:rPr>
                <w:b/>
              </w:rPr>
            </w:pPr>
            <w:r w:rsidRPr="002029AF">
              <w:t>90</w:t>
            </w:r>
          </w:p>
        </w:tc>
        <w:tc>
          <w:tcPr>
            <w:tcW w:w="1023" w:type="dxa"/>
            <w:hideMark/>
          </w:tcPr>
          <w:p w14:paraId="65AB2878" w14:textId="77777777" w:rsidR="00C15C65" w:rsidRPr="002029AF" w:rsidRDefault="00C15C65" w:rsidP="000024F3">
            <w:pPr>
              <w:pStyle w:val="ARtabletextright"/>
              <w:rPr>
                <w:b/>
              </w:rPr>
            </w:pPr>
            <w:r w:rsidRPr="002029AF">
              <w:t>0.0</w:t>
            </w:r>
          </w:p>
        </w:tc>
        <w:tc>
          <w:tcPr>
            <w:tcW w:w="804" w:type="dxa"/>
            <w:gridSpan w:val="2"/>
            <w:hideMark/>
          </w:tcPr>
          <w:p w14:paraId="723C7136"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578F3C0A" w14:textId="77777777" w:rsidTr="005B58F0">
        <w:trPr>
          <w:cantSplit/>
        </w:trPr>
        <w:tc>
          <w:tcPr>
            <w:tcW w:w="9639" w:type="dxa"/>
            <w:gridSpan w:val="7"/>
            <w:tcBorders>
              <w:top w:val="nil"/>
              <w:left w:val="nil"/>
              <w:bottom w:val="single" w:sz="4" w:space="0" w:color="auto"/>
              <w:right w:val="nil"/>
            </w:tcBorders>
            <w:noWrap/>
          </w:tcPr>
          <w:p w14:paraId="31A30F50" w14:textId="48C50AE0" w:rsidR="00C15C65" w:rsidRPr="002029AF" w:rsidRDefault="00C15C65" w:rsidP="00D96AFD">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by</w:t>
            </w:r>
            <w:r w:rsidR="000A5329" w:rsidRPr="002029AF">
              <w:t xml:space="preserve"> </w:t>
            </w:r>
            <w:r w:rsidRPr="002029AF">
              <w:t>late</w:t>
            </w:r>
            <w:r w:rsidR="000A5329" w:rsidRPr="002029AF">
              <w:t xml:space="preserve"> </w:t>
            </w:r>
            <w:r w:rsidRPr="002029AF">
              <w:t>2020.</w:t>
            </w:r>
          </w:p>
        </w:tc>
      </w:tr>
      <w:tr w:rsidR="00C15C65" w:rsidRPr="002029AF" w14:paraId="545B9879" w14:textId="77777777" w:rsidTr="005B58F0">
        <w:trPr>
          <w:cantSplit/>
        </w:trPr>
        <w:tc>
          <w:tcPr>
            <w:tcW w:w="9639" w:type="dxa"/>
            <w:gridSpan w:val="7"/>
            <w:tcBorders>
              <w:top w:val="single" w:sz="4" w:space="0" w:color="auto"/>
              <w:left w:val="nil"/>
              <w:bottom w:val="nil"/>
              <w:right w:val="nil"/>
            </w:tcBorders>
            <w:hideMark/>
          </w:tcPr>
          <w:p w14:paraId="2CFF2C84" w14:textId="77777777" w:rsidR="00C15C65" w:rsidRPr="002029AF" w:rsidRDefault="00C15C65" w:rsidP="007666A5">
            <w:pPr>
              <w:pStyle w:val="ARtablegreybold"/>
            </w:pPr>
            <w:r w:rsidRPr="002029AF">
              <w:t>Cost</w:t>
            </w:r>
          </w:p>
        </w:tc>
      </w:tr>
      <w:tr w:rsidR="00C15C65" w:rsidRPr="002029AF" w14:paraId="224CCEAB" w14:textId="77777777" w:rsidTr="00597CAF">
        <w:trPr>
          <w:cantSplit/>
        </w:trPr>
        <w:tc>
          <w:tcPr>
            <w:tcW w:w="4752" w:type="dxa"/>
            <w:hideMark/>
          </w:tcPr>
          <w:p w14:paraId="58F52F99" w14:textId="51EE75FC" w:rsidR="00C15C65" w:rsidRPr="002029AF" w:rsidRDefault="00C15C65" w:rsidP="00C40F5D">
            <w:pPr>
              <w:pStyle w:val="ARtabletext"/>
              <w:rPr>
                <w:b/>
              </w:rPr>
            </w:pPr>
            <w:r w:rsidRPr="002029AF">
              <w:rPr>
                <w:b/>
              </w:rPr>
              <w:t>Total</w:t>
            </w:r>
            <w:r w:rsidR="000A5329" w:rsidRPr="002029AF">
              <w:rPr>
                <w:b/>
              </w:rPr>
              <w:t xml:space="preserve"> </w:t>
            </w:r>
            <w:r w:rsidRPr="002029AF">
              <w:rPr>
                <w:b/>
              </w:rPr>
              <w:t>output</w:t>
            </w:r>
            <w:r w:rsidR="000A5329" w:rsidRPr="002029AF">
              <w:rPr>
                <w:b/>
              </w:rPr>
              <w:t xml:space="preserve"> </w:t>
            </w:r>
            <w:r w:rsidRPr="002029AF">
              <w:rPr>
                <w:b/>
              </w:rPr>
              <w:t>cost</w:t>
            </w:r>
          </w:p>
        </w:tc>
        <w:tc>
          <w:tcPr>
            <w:tcW w:w="1020" w:type="dxa"/>
            <w:hideMark/>
          </w:tcPr>
          <w:p w14:paraId="512FF206" w14:textId="2F418147" w:rsidR="00C15C65" w:rsidRPr="002029AF" w:rsidRDefault="00C15C65" w:rsidP="00C40F5D">
            <w:pPr>
              <w:pStyle w:val="ARtabletext"/>
              <w:rPr>
                <w:b/>
              </w:rPr>
            </w:pPr>
            <w:r w:rsidRPr="002029AF">
              <w:rPr>
                <w:b/>
              </w:rPr>
              <w:t>$</w:t>
            </w:r>
            <w:r w:rsidR="000A5329" w:rsidRPr="002029AF">
              <w:rPr>
                <w:b/>
              </w:rPr>
              <w:t xml:space="preserve"> </w:t>
            </w:r>
            <w:r w:rsidRPr="002029AF">
              <w:rPr>
                <w:b/>
              </w:rPr>
              <w:t>million</w:t>
            </w:r>
          </w:p>
        </w:tc>
        <w:tc>
          <w:tcPr>
            <w:tcW w:w="1020" w:type="dxa"/>
          </w:tcPr>
          <w:p w14:paraId="3764AA2B" w14:textId="77777777" w:rsidR="00C15C65" w:rsidRPr="002029AF" w:rsidRDefault="00C15C65" w:rsidP="00C9755D">
            <w:pPr>
              <w:pStyle w:val="ARtabletextrightbold"/>
            </w:pPr>
            <w:r w:rsidRPr="002029AF">
              <w:t>591.8</w:t>
            </w:r>
          </w:p>
        </w:tc>
        <w:tc>
          <w:tcPr>
            <w:tcW w:w="1020" w:type="dxa"/>
          </w:tcPr>
          <w:p w14:paraId="2BE1133B" w14:textId="77777777" w:rsidR="00C15C65" w:rsidRPr="002029AF" w:rsidRDefault="00C15C65" w:rsidP="00C9755D">
            <w:pPr>
              <w:pStyle w:val="ARtabletextrightbold"/>
            </w:pPr>
            <w:r w:rsidRPr="002029AF">
              <w:t>577.2</w:t>
            </w:r>
          </w:p>
        </w:tc>
        <w:tc>
          <w:tcPr>
            <w:tcW w:w="1023" w:type="dxa"/>
          </w:tcPr>
          <w:p w14:paraId="74AB8F94" w14:textId="77777777" w:rsidR="00C15C65" w:rsidRPr="002029AF" w:rsidRDefault="00C15C65" w:rsidP="00C9755D">
            <w:pPr>
              <w:pStyle w:val="ARtabletextrightbold"/>
            </w:pPr>
            <w:r w:rsidRPr="002029AF">
              <w:t>-2.5</w:t>
            </w:r>
          </w:p>
        </w:tc>
        <w:tc>
          <w:tcPr>
            <w:tcW w:w="804" w:type="dxa"/>
            <w:gridSpan w:val="2"/>
          </w:tcPr>
          <w:p w14:paraId="74B0161A" w14:textId="77777777" w:rsidR="00C15C65" w:rsidRPr="002029AF" w:rsidRDefault="00C15C65" w:rsidP="00C40F5D">
            <w:pPr>
              <w:pStyle w:val="ARtabletext"/>
              <w:rPr>
                <w:b/>
              </w:rPr>
            </w:pPr>
          </w:p>
        </w:tc>
      </w:tr>
      <w:tr w:rsidR="00C15C65" w:rsidRPr="002029AF" w14:paraId="021DE6B3" w14:textId="77777777" w:rsidTr="00597CAF">
        <w:trPr>
          <w:cantSplit/>
        </w:trPr>
        <w:tc>
          <w:tcPr>
            <w:tcW w:w="9639" w:type="dxa"/>
            <w:gridSpan w:val="7"/>
            <w:tcBorders>
              <w:top w:val="nil"/>
              <w:left w:val="nil"/>
              <w:bottom w:val="single" w:sz="4" w:space="0" w:color="auto"/>
              <w:right w:val="nil"/>
            </w:tcBorders>
            <w:noWrap/>
            <w:hideMark/>
          </w:tcPr>
          <w:p w14:paraId="77A14D42" w14:textId="2A0FBCFB" w:rsidR="00C15C65" w:rsidRPr="002029AF" w:rsidRDefault="00C15C65" w:rsidP="00D96AFD">
            <w:pPr>
              <w:pStyle w:val="ARtablenoteindent"/>
            </w:pPr>
            <w:r w:rsidRPr="002029AF">
              <w:t>The</w:t>
            </w:r>
            <w:r w:rsidR="000A5329" w:rsidRPr="002029AF">
              <w:t xml:space="preserve"> </w:t>
            </w:r>
            <w:r w:rsidRPr="002029AF">
              <w:t>201</w:t>
            </w:r>
            <w:r w:rsidR="00DB53E6" w:rsidRPr="002029AF">
              <w:t>9–</w:t>
            </w:r>
            <w:r w:rsidRPr="002029AF">
              <w:t>20</w:t>
            </w:r>
            <w:r w:rsidR="000A5329" w:rsidRPr="002029AF">
              <w:t xml:space="preserve"> </w:t>
            </w:r>
            <w:r w:rsidRPr="002029AF">
              <w:t>actual</w:t>
            </w:r>
            <w:r w:rsidR="000A5329" w:rsidRPr="002029AF">
              <w:t xml:space="preserve"> </w:t>
            </w:r>
            <w:r w:rsidRPr="002029AF">
              <w:t>outcome</w:t>
            </w:r>
            <w:r w:rsidR="000A5329" w:rsidRPr="002029AF">
              <w:t xml:space="preserve"> </w:t>
            </w:r>
            <w:r w:rsidRPr="002029AF">
              <w:t>is</w:t>
            </w:r>
            <w:r w:rsidR="000A5329" w:rsidRPr="002029AF">
              <w:t xml:space="preserve"> </w:t>
            </w:r>
            <w:r w:rsidRPr="002029AF">
              <w:t>primarily</w:t>
            </w:r>
            <w:r w:rsidR="000A5329" w:rsidRPr="002029AF">
              <w:t xml:space="preserve"> </w:t>
            </w:r>
            <w:r w:rsidRPr="002029AF">
              <w:t>due</w:t>
            </w:r>
            <w:r w:rsidR="000A5329" w:rsidRPr="002029AF">
              <w:t xml:space="preserve"> </w:t>
            </w:r>
            <w:r w:rsidRPr="002029AF">
              <w:t>to</w:t>
            </w:r>
            <w:r w:rsidR="000A5329" w:rsidRPr="002029AF">
              <w:t xml:space="preserve"> </w:t>
            </w:r>
            <w:r w:rsidRPr="002029AF">
              <w:t>reductions</w:t>
            </w:r>
            <w:r w:rsidR="000A5329" w:rsidRPr="002029AF">
              <w:t xml:space="preserve"> </w:t>
            </w:r>
            <w:r w:rsidRPr="002029AF">
              <w:t>in</w:t>
            </w:r>
            <w:r w:rsidR="000A5329" w:rsidRPr="002029AF">
              <w:t xml:space="preserve"> </w:t>
            </w:r>
            <w:r w:rsidRPr="002029AF">
              <w:t>household</w:t>
            </w:r>
            <w:r w:rsidR="000A5329" w:rsidRPr="002029AF">
              <w:t xml:space="preserve"> </w:t>
            </w:r>
            <w:r w:rsidRPr="002029AF">
              <w:t>numbers</w:t>
            </w:r>
            <w:r w:rsidR="000A5329" w:rsidRPr="002029AF">
              <w:t xml:space="preserve"> </w:t>
            </w:r>
            <w:r w:rsidRPr="002029AF">
              <w:t>brought</w:t>
            </w:r>
            <w:r w:rsidR="000A5329" w:rsidRPr="002029AF">
              <w:t xml:space="preserve"> </w:t>
            </w:r>
            <w:r w:rsidRPr="002029AF">
              <w:t>about</w:t>
            </w:r>
            <w:r w:rsidR="000A5329" w:rsidRPr="002029AF">
              <w:t xml:space="preserve"> </w:t>
            </w:r>
            <w:r w:rsidRPr="002029AF">
              <w:t>by</w:t>
            </w:r>
            <w:r w:rsidR="000A5329" w:rsidRPr="002029AF">
              <w:t xml:space="preserve"> </w:t>
            </w:r>
            <w:r w:rsidRPr="002029AF">
              <w:t>improved</w:t>
            </w:r>
            <w:r w:rsidR="000A5329" w:rsidRPr="002029AF">
              <w:t xml:space="preserve"> </w:t>
            </w:r>
            <w:r w:rsidRPr="002029AF">
              <w:t>retailer</w:t>
            </w:r>
            <w:r w:rsidR="000A5329" w:rsidRPr="002029AF">
              <w:t xml:space="preserve"> </w:t>
            </w:r>
            <w:r w:rsidRPr="002029AF">
              <w:t>eligibility</w:t>
            </w:r>
            <w:r w:rsidR="000A5329" w:rsidRPr="002029AF">
              <w:t xml:space="preserve"> </w:t>
            </w:r>
            <w:r w:rsidRPr="002029AF">
              <w:t>checks</w:t>
            </w:r>
            <w:r w:rsidR="000A5329" w:rsidRPr="002029AF">
              <w:t xml:space="preserve"> </w:t>
            </w:r>
            <w:r w:rsidRPr="002029AF">
              <w:t>within</w:t>
            </w:r>
            <w:r w:rsidR="000A5329" w:rsidRPr="002029AF">
              <w:t xml:space="preserve"> </w:t>
            </w:r>
            <w:r w:rsidRPr="002029AF">
              <w:t>mainly</w:t>
            </w:r>
            <w:r w:rsidR="000A5329" w:rsidRPr="002029AF">
              <w:t xml:space="preserve"> </w:t>
            </w:r>
            <w:r w:rsidRPr="002029AF">
              <w:t>the</w:t>
            </w:r>
            <w:r w:rsidR="000A5329" w:rsidRPr="002029AF">
              <w:t xml:space="preserve"> </w:t>
            </w:r>
            <w:r w:rsidRPr="002029AF">
              <w:t>annual</w:t>
            </w:r>
            <w:r w:rsidR="000A5329" w:rsidRPr="002029AF">
              <w:t xml:space="preserve"> </w:t>
            </w:r>
            <w:r w:rsidRPr="002029AF">
              <w:t>electricity</w:t>
            </w:r>
            <w:r w:rsidR="000A5329" w:rsidRPr="002029AF">
              <w:t xml:space="preserve"> </w:t>
            </w:r>
            <w:r w:rsidRPr="002029AF">
              <w:t>and</w:t>
            </w:r>
            <w:r w:rsidR="000A5329" w:rsidRPr="002029AF">
              <w:t xml:space="preserve"> </w:t>
            </w:r>
            <w:r w:rsidRPr="002029AF">
              <w:t>gas</w:t>
            </w:r>
            <w:r w:rsidR="000A5329" w:rsidRPr="002029AF">
              <w:t xml:space="preserve"> </w:t>
            </w:r>
            <w:r w:rsidRPr="002029AF">
              <w:t>concessions.</w:t>
            </w:r>
          </w:p>
        </w:tc>
      </w:tr>
    </w:tbl>
    <w:p w14:paraId="50280F1C" w14:textId="624D6DB0" w:rsidR="00C15C65" w:rsidRPr="002029AF" w:rsidRDefault="00C15C65" w:rsidP="00205D6E">
      <w:pPr>
        <w:pStyle w:val="Heading2"/>
      </w:pPr>
      <w:r w:rsidRPr="002029AF">
        <w:t>Disability</w:t>
      </w:r>
      <w:r w:rsidR="000A5329" w:rsidRPr="002029AF">
        <w:t xml:space="preserve"> </w:t>
      </w:r>
      <w:r w:rsidRPr="002029AF">
        <w:t>Services</w:t>
      </w:r>
    </w:p>
    <w:p w14:paraId="2BD873DA" w14:textId="2BDC19C9" w:rsidR="00C15C65" w:rsidRPr="002029AF" w:rsidRDefault="00C15C65" w:rsidP="008A5BD1">
      <w:pPr>
        <w:pStyle w:val="ARbody"/>
      </w:pPr>
      <w:r w:rsidRPr="002029AF">
        <w:t>This</w:t>
      </w:r>
      <w:r w:rsidR="000A5329" w:rsidRPr="002029AF">
        <w:t xml:space="preserve"> </w:t>
      </w:r>
      <w:r w:rsidRPr="002029AF">
        <w:t>output,</w:t>
      </w:r>
      <w:r w:rsidR="000A5329" w:rsidRPr="002029AF">
        <w:t xml:space="preserve"> </w:t>
      </w:r>
      <w:r w:rsidRPr="002029AF">
        <w:t>through</w:t>
      </w:r>
      <w:r w:rsidR="000A5329" w:rsidRPr="002029AF">
        <w:t xml:space="preserve"> </w:t>
      </w:r>
      <w:r w:rsidRPr="002029AF">
        <w:t>the</w:t>
      </w:r>
      <w:r w:rsidR="000A5329" w:rsidRPr="002029AF">
        <w:t xml:space="preserve"> </w:t>
      </w:r>
      <w:r w:rsidRPr="002029AF">
        <w:t>provision</w:t>
      </w:r>
      <w:r w:rsidR="000A5329" w:rsidRPr="002029AF">
        <w:t xml:space="preserve"> </w:t>
      </w:r>
      <w:r w:rsidRPr="002029AF">
        <w:t>of</w:t>
      </w:r>
      <w:r w:rsidR="000A5329" w:rsidRPr="002029AF">
        <w:t xml:space="preserve"> </w:t>
      </w:r>
      <w:r w:rsidRPr="002029AF">
        <w:t>continuing</w:t>
      </w:r>
      <w:r w:rsidR="000A5329" w:rsidRPr="002029AF">
        <w:t xml:space="preserve"> </w:t>
      </w:r>
      <w:r w:rsidRPr="002029AF">
        <w:t>care</w:t>
      </w:r>
      <w:r w:rsidR="000A5329" w:rsidRPr="002029AF">
        <w:t xml:space="preserve"> </w:t>
      </w:r>
      <w:r w:rsidRPr="002029AF">
        <w:t>and</w:t>
      </w:r>
      <w:r w:rsidR="000A5329" w:rsidRPr="002029AF">
        <w:t xml:space="preserve"> </w:t>
      </w:r>
      <w:r w:rsidRPr="002029AF">
        <w:t>support</w:t>
      </w:r>
      <w:r w:rsidR="000A5329" w:rsidRPr="002029AF">
        <w:t xml:space="preserve"> </w:t>
      </w:r>
      <w:r w:rsidRPr="002029AF">
        <w:t>services</w:t>
      </w:r>
      <w:r w:rsidR="000A5329" w:rsidRPr="002029AF">
        <w:t xml:space="preserve"> </w:t>
      </w:r>
      <w:r w:rsidRPr="002029AF">
        <w:t>for</w:t>
      </w:r>
      <w:r w:rsidR="000A5329" w:rsidRPr="002029AF">
        <w:t xml:space="preserve"> </w:t>
      </w:r>
      <w:r w:rsidRPr="002029AF">
        <w:t>people</w:t>
      </w:r>
      <w:r w:rsidR="000A5329" w:rsidRPr="002029AF">
        <w:t xml:space="preserve"> </w:t>
      </w:r>
      <w:r w:rsidRPr="002029AF">
        <w:t>with</w:t>
      </w:r>
      <w:r w:rsidR="000A5329" w:rsidRPr="002029AF">
        <w:t xml:space="preserve"> </w:t>
      </w:r>
      <w:r w:rsidRPr="002029AF">
        <w:t>disabilities,</w:t>
      </w:r>
      <w:r w:rsidR="000A5329" w:rsidRPr="002029AF">
        <w:t xml:space="preserve"> </w:t>
      </w:r>
      <w:r w:rsidRPr="002029AF">
        <w:t>their</w:t>
      </w:r>
      <w:r w:rsidR="000A5329" w:rsidRPr="002029AF">
        <w:t xml:space="preserve"> </w:t>
      </w:r>
      <w:r w:rsidRPr="002029AF">
        <w:t>carers</w:t>
      </w:r>
      <w:r w:rsidR="000A5329" w:rsidRPr="002029AF">
        <w:t xml:space="preserve"> </w:t>
      </w:r>
      <w:r w:rsidRPr="002029AF">
        <w:t>and</w:t>
      </w:r>
      <w:r w:rsidR="000A5329" w:rsidRPr="002029AF">
        <w:t xml:space="preserve"> </w:t>
      </w:r>
      <w:r w:rsidRPr="002029AF">
        <w:t>their</w:t>
      </w:r>
      <w:r w:rsidR="000A5329" w:rsidRPr="002029AF">
        <w:t xml:space="preserve"> </w:t>
      </w:r>
      <w:r w:rsidRPr="002029AF">
        <w:t>families,</w:t>
      </w:r>
      <w:r w:rsidR="000A5329" w:rsidRPr="002029AF">
        <w:t xml:space="preserve"> </w:t>
      </w:r>
      <w:r w:rsidRPr="002029AF">
        <w:t>aims</w:t>
      </w:r>
      <w:r w:rsidR="000A5329" w:rsidRPr="002029AF">
        <w:t xml:space="preserve"> </w:t>
      </w:r>
      <w:r w:rsidRPr="002029AF">
        <w:t>to</w:t>
      </w:r>
      <w:r w:rsidR="000A5329" w:rsidRPr="002029AF">
        <w:t xml:space="preserve"> </w:t>
      </w:r>
      <w:r w:rsidRPr="002029AF">
        <w:t>make</w:t>
      </w:r>
      <w:r w:rsidR="000A5329" w:rsidRPr="002029AF">
        <w:t xml:space="preserve"> </w:t>
      </w:r>
      <w:r w:rsidRPr="002029AF">
        <w:t>a</w:t>
      </w:r>
      <w:r w:rsidR="000A5329" w:rsidRPr="002029AF">
        <w:t xml:space="preserve"> </w:t>
      </w:r>
      <w:r w:rsidRPr="002029AF">
        <w:t>positive</w:t>
      </w:r>
      <w:r w:rsidR="000A5329" w:rsidRPr="002029AF">
        <w:t xml:space="preserve"> </w:t>
      </w:r>
      <w:r w:rsidRPr="002029AF">
        <w:t>difference</w:t>
      </w:r>
      <w:r w:rsidR="000A5329" w:rsidRPr="002029AF">
        <w:t xml:space="preserve"> </w:t>
      </w:r>
      <w:r w:rsidRPr="002029AF">
        <w:t>for</w:t>
      </w:r>
      <w:r w:rsidR="000A5329" w:rsidRPr="002029AF">
        <w:t xml:space="preserve"> </w:t>
      </w:r>
      <w:r w:rsidRPr="002029AF">
        <w:t>Victorians</w:t>
      </w:r>
      <w:r w:rsidR="000A5329" w:rsidRPr="002029AF">
        <w:t xml:space="preserve"> </w:t>
      </w:r>
      <w:r w:rsidRPr="002029AF">
        <w:t>experiencing</w:t>
      </w:r>
      <w:r w:rsidR="000A5329" w:rsidRPr="002029AF">
        <w:t xml:space="preserve"> </w:t>
      </w:r>
      <w:r w:rsidRPr="002029AF">
        <w:t>disadvantage</w:t>
      </w:r>
      <w:r w:rsidR="000A5329" w:rsidRPr="002029AF">
        <w:t xml:space="preserve"> </w:t>
      </w:r>
      <w:r w:rsidRPr="002029AF">
        <w:t>and</w:t>
      </w:r>
      <w:r w:rsidR="000A5329" w:rsidRPr="002029AF">
        <w:t xml:space="preserve"> </w:t>
      </w:r>
      <w:r w:rsidRPr="002029AF">
        <w:t>provide</w:t>
      </w:r>
      <w:r w:rsidR="000A5329" w:rsidRPr="002029AF">
        <w:t xml:space="preserve"> </w:t>
      </w:r>
      <w:r w:rsidRPr="002029AF">
        <w:t>excellent</w:t>
      </w:r>
      <w:r w:rsidR="000A5329" w:rsidRPr="002029AF">
        <w:t xml:space="preserve"> </w:t>
      </w:r>
      <w:r w:rsidRPr="002029AF">
        <w:t>community</w:t>
      </w:r>
      <w:r w:rsidR="000A5329" w:rsidRPr="002029AF">
        <w:t xml:space="preserve"> </w:t>
      </w:r>
      <w:r w:rsidRPr="002029AF">
        <w:t>services</w:t>
      </w:r>
      <w:r w:rsidR="000A5329" w:rsidRPr="002029AF">
        <w:t xml:space="preserve"> </w:t>
      </w:r>
      <w:r w:rsidRPr="002029AF">
        <w:t>to</w:t>
      </w:r>
      <w:r w:rsidR="000A5329" w:rsidRPr="002029AF">
        <w:t xml:space="preserve"> </w:t>
      </w:r>
      <w:r w:rsidRPr="002029AF">
        <w:t>meet</w:t>
      </w:r>
      <w:r w:rsidR="000A5329" w:rsidRPr="002029AF">
        <w:t xml:space="preserve"> </w:t>
      </w:r>
      <w:r w:rsidRPr="002029AF">
        <w:t>clients’</w:t>
      </w:r>
      <w:r w:rsidR="000A5329" w:rsidRPr="002029AF">
        <w:t xml:space="preserve"> </w:t>
      </w:r>
      <w:r w:rsidRPr="002029AF">
        <w:t>needs.</w:t>
      </w:r>
    </w:p>
    <w:tbl>
      <w:tblPr>
        <w:tblW w:w="9639" w:type="dxa"/>
        <w:tblLayout w:type="fixed"/>
        <w:tblCellMar>
          <w:left w:w="0" w:type="dxa"/>
        </w:tblCellMar>
        <w:tblLook w:val="04A0" w:firstRow="1" w:lastRow="0" w:firstColumn="1" w:lastColumn="0" w:noHBand="0" w:noVBand="1"/>
      </w:tblPr>
      <w:tblGrid>
        <w:gridCol w:w="4747"/>
        <w:gridCol w:w="1018"/>
        <w:gridCol w:w="1021"/>
        <w:gridCol w:w="1023"/>
        <w:gridCol w:w="1027"/>
        <w:gridCol w:w="795"/>
        <w:gridCol w:w="8"/>
      </w:tblGrid>
      <w:tr w:rsidR="005B58F0" w:rsidRPr="002029AF" w14:paraId="3C117A53" w14:textId="77777777" w:rsidTr="005B58F0">
        <w:trPr>
          <w:cantSplit/>
          <w:tblHeader/>
        </w:trPr>
        <w:tc>
          <w:tcPr>
            <w:tcW w:w="4749" w:type="dxa"/>
            <w:tcBorders>
              <w:top w:val="nil"/>
              <w:left w:val="nil"/>
              <w:bottom w:val="single" w:sz="4" w:space="0" w:color="auto"/>
              <w:right w:val="nil"/>
            </w:tcBorders>
            <w:vAlign w:val="bottom"/>
            <w:hideMark/>
          </w:tcPr>
          <w:p w14:paraId="1E08E283" w14:textId="6AF93AFA" w:rsidR="005B58F0" w:rsidRPr="002029AF" w:rsidRDefault="005B58F0" w:rsidP="0014376C">
            <w:pPr>
              <w:pStyle w:val="ARtablecolhead"/>
            </w:pPr>
            <w:r w:rsidRPr="002029AF">
              <w:t>Performance</w:t>
            </w:r>
            <w:r w:rsidR="000A5329" w:rsidRPr="002029AF">
              <w:t xml:space="preserve"> </w:t>
            </w:r>
            <w:r w:rsidRPr="002029AF">
              <w:t>measures</w:t>
            </w:r>
          </w:p>
        </w:tc>
        <w:tc>
          <w:tcPr>
            <w:tcW w:w="1018" w:type="dxa"/>
            <w:tcBorders>
              <w:top w:val="nil"/>
              <w:left w:val="nil"/>
              <w:bottom w:val="single" w:sz="4" w:space="0" w:color="auto"/>
              <w:right w:val="nil"/>
            </w:tcBorders>
            <w:vAlign w:val="bottom"/>
            <w:hideMark/>
          </w:tcPr>
          <w:p w14:paraId="55E6829F" w14:textId="4E5BB03B" w:rsidR="005B58F0" w:rsidRPr="002029AF" w:rsidRDefault="005B58F0" w:rsidP="0014376C">
            <w:pPr>
              <w:pStyle w:val="ARtablecolhead"/>
            </w:pPr>
            <w:r w:rsidRPr="002029AF">
              <w:t>Unit</w:t>
            </w:r>
            <w:r w:rsidR="000A5329" w:rsidRPr="002029AF">
              <w:t xml:space="preserve"> </w:t>
            </w:r>
            <w:r w:rsidRPr="002029AF">
              <w:t>of</w:t>
            </w:r>
            <w:r w:rsidR="000A5329" w:rsidRPr="002029AF">
              <w:t xml:space="preserve"> </w:t>
            </w:r>
            <w:r w:rsidRPr="002029AF">
              <w:t>measure</w:t>
            </w:r>
          </w:p>
        </w:tc>
        <w:tc>
          <w:tcPr>
            <w:tcW w:w="1022" w:type="dxa"/>
            <w:tcBorders>
              <w:top w:val="nil"/>
              <w:left w:val="nil"/>
              <w:bottom w:val="single" w:sz="4" w:space="0" w:color="auto"/>
              <w:right w:val="nil"/>
            </w:tcBorders>
            <w:vAlign w:val="bottom"/>
            <w:hideMark/>
          </w:tcPr>
          <w:p w14:paraId="072DEF19" w14:textId="3000D98D" w:rsidR="005B58F0" w:rsidRPr="002029AF" w:rsidRDefault="005B58F0" w:rsidP="0014376C">
            <w:pPr>
              <w:pStyle w:val="ARtablecolheadright"/>
            </w:pPr>
            <w:r w:rsidRPr="002029AF">
              <w:t>2019–20</w:t>
            </w:r>
            <w:r w:rsidR="000A5329" w:rsidRPr="002029AF">
              <w:t xml:space="preserve"> </w:t>
            </w:r>
            <w:r w:rsidRPr="002029AF">
              <w:t>target</w:t>
            </w:r>
          </w:p>
        </w:tc>
        <w:tc>
          <w:tcPr>
            <w:tcW w:w="1019" w:type="dxa"/>
            <w:tcBorders>
              <w:top w:val="nil"/>
              <w:left w:val="nil"/>
              <w:bottom w:val="single" w:sz="4" w:space="0" w:color="auto"/>
              <w:right w:val="nil"/>
            </w:tcBorders>
            <w:vAlign w:val="bottom"/>
            <w:hideMark/>
          </w:tcPr>
          <w:p w14:paraId="083A43B0" w14:textId="3A747CE1" w:rsidR="005B58F0" w:rsidRPr="002029AF" w:rsidRDefault="005B58F0" w:rsidP="0014376C">
            <w:pPr>
              <w:pStyle w:val="ARtablecolheadright"/>
            </w:pPr>
            <w:r w:rsidRPr="002029AF">
              <w:t>2019–20</w:t>
            </w:r>
            <w:r w:rsidR="000A5329" w:rsidRPr="002029AF">
              <w:t xml:space="preserve"> </w:t>
            </w:r>
            <w:r w:rsidRPr="002029AF">
              <w:t>actual</w:t>
            </w:r>
          </w:p>
        </w:tc>
        <w:tc>
          <w:tcPr>
            <w:tcW w:w="1028" w:type="dxa"/>
            <w:tcBorders>
              <w:top w:val="nil"/>
              <w:left w:val="nil"/>
              <w:bottom w:val="single" w:sz="4" w:space="0" w:color="auto"/>
              <w:right w:val="nil"/>
            </w:tcBorders>
            <w:vAlign w:val="bottom"/>
            <w:hideMark/>
          </w:tcPr>
          <w:p w14:paraId="3E4373DB" w14:textId="4E9D7C8A" w:rsidR="005B58F0" w:rsidRPr="002029AF" w:rsidRDefault="005B58F0" w:rsidP="0014376C">
            <w:pPr>
              <w:pStyle w:val="ARtablecolheadright"/>
            </w:pPr>
            <w:r w:rsidRPr="002029AF">
              <w:t>Variation</w:t>
            </w:r>
            <w:r w:rsidR="000A5329" w:rsidRPr="002029AF">
              <w:t xml:space="preserve"> </w:t>
            </w:r>
            <w:r w:rsidRPr="002029AF">
              <w:t>(%)</w:t>
            </w:r>
          </w:p>
        </w:tc>
        <w:tc>
          <w:tcPr>
            <w:tcW w:w="803" w:type="dxa"/>
            <w:gridSpan w:val="2"/>
            <w:tcBorders>
              <w:top w:val="nil"/>
              <w:left w:val="nil"/>
              <w:bottom w:val="single" w:sz="4" w:space="0" w:color="auto"/>
              <w:right w:val="nil"/>
            </w:tcBorders>
            <w:vAlign w:val="bottom"/>
            <w:hideMark/>
          </w:tcPr>
          <w:p w14:paraId="3CC065E3" w14:textId="77777777" w:rsidR="005B58F0" w:rsidRPr="002029AF" w:rsidRDefault="005B58F0" w:rsidP="000D3C3F">
            <w:pPr>
              <w:pStyle w:val="ARtablecolheadcentre"/>
            </w:pPr>
            <w:r w:rsidRPr="002029AF">
              <w:t>Result</w:t>
            </w:r>
          </w:p>
        </w:tc>
      </w:tr>
      <w:tr w:rsidR="00C15C65" w:rsidRPr="002029AF" w14:paraId="63BC697A" w14:textId="77777777" w:rsidTr="005B58F0">
        <w:trPr>
          <w:cantSplit/>
        </w:trPr>
        <w:tc>
          <w:tcPr>
            <w:tcW w:w="9639" w:type="dxa"/>
            <w:gridSpan w:val="7"/>
            <w:tcBorders>
              <w:top w:val="single" w:sz="4" w:space="0" w:color="auto"/>
              <w:left w:val="nil"/>
              <w:bottom w:val="single" w:sz="4" w:space="0" w:color="auto"/>
              <w:right w:val="nil"/>
            </w:tcBorders>
            <w:hideMark/>
          </w:tcPr>
          <w:p w14:paraId="0A6F1D1C" w14:textId="7337C224" w:rsidR="00C15C65" w:rsidRPr="002029AF" w:rsidRDefault="00C15C65" w:rsidP="007666A5">
            <w:pPr>
              <w:pStyle w:val="ARtablesubhead"/>
            </w:pPr>
            <w:r w:rsidRPr="002029AF">
              <w:t>Disability</w:t>
            </w:r>
            <w:r w:rsidR="000A5329" w:rsidRPr="002029AF">
              <w:t xml:space="preserve"> </w:t>
            </w:r>
            <w:r w:rsidRPr="002029AF">
              <w:t>Services</w:t>
            </w:r>
          </w:p>
        </w:tc>
      </w:tr>
      <w:tr w:rsidR="00C15C65" w:rsidRPr="002029AF" w14:paraId="555770C1" w14:textId="77777777" w:rsidTr="005B58F0">
        <w:trPr>
          <w:cantSplit/>
        </w:trPr>
        <w:tc>
          <w:tcPr>
            <w:tcW w:w="9639" w:type="dxa"/>
            <w:gridSpan w:val="7"/>
            <w:tcBorders>
              <w:top w:val="single" w:sz="4" w:space="0" w:color="auto"/>
              <w:left w:val="nil"/>
              <w:bottom w:val="nil"/>
              <w:right w:val="nil"/>
            </w:tcBorders>
            <w:hideMark/>
          </w:tcPr>
          <w:p w14:paraId="4E2750E6" w14:textId="77777777" w:rsidR="00C15C65" w:rsidRPr="002029AF" w:rsidRDefault="00C15C65" w:rsidP="00D96AFD">
            <w:pPr>
              <w:pStyle w:val="ARtablegreybold"/>
            </w:pPr>
            <w:r w:rsidRPr="002029AF">
              <w:t>Quantity</w:t>
            </w:r>
          </w:p>
        </w:tc>
      </w:tr>
      <w:tr w:rsidR="00C15C65" w:rsidRPr="002029AF" w14:paraId="4C36CEED" w14:textId="77777777" w:rsidTr="005B58F0">
        <w:trPr>
          <w:gridAfter w:val="1"/>
          <w:wAfter w:w="8" w:type="dxa"/>
          <w:cantSplit/>
        </w:trPr>
        <w:tc>
          <w:tcPr>
            <w:tcW w:w="4749" w:type="dxa"/>
            <w:shd w:val="clear" w:color="auto" w:fill="auto"/>
            <w:hideMark/>
          </w:tcPr>
          <w:p w14:paraId="168D76DB" w14:textId="13C0790D" w:rsidR="00C15C65" w:rsidRPr="002029AF" w:rsidRDefault="00C15C65" w:rsidP="00C40F5D">
            <w:pPr>
              <w:pStyle w:val="ARtabletext"/>
            </w:pPr>
            <w:r w:rsidRPr="002029AF">
              <w:t>Clients</w:t>
            </w:r>
            <w:r w:rsidR="000A5329" w:rsidRPr="002029AF">
              <w:t xml:space="preserve"> </w:t>
            </w:r>
            <w:r w:rsidRPr="002029AF">
              <w:t>in</w:t>
            </w:r>
            <w:r w:rsidR="000A5329" w:rsidRPr="002029AF">
              <w:t xml:space="preserve"> </w:t>
            </w:r>
            <w:r w:rsidRPr="002029AF">
              <w:t>residential</w:t>
            </w:r>
            <w:r w:rsidR="000A5329" w:rsidRPr="002029AF">
              <w:t xml:space="preserve"> </w:t>
            </w:r>
            <w:r w:rsidRPr="002029AF">
              <w:t>institutions</w:t>
            </w:r>
          </w:p>
        </w:tc>
        <w:tc>
          <w:tcPr>
            <w:tcW w:w="1018" w:type="dxa"/>
            <w:shd w:val="clear" w:color="auto" w:fill="auto"/>
            <w:hideMark/>
          </w:tcPr>
          <w:p w14:paraId="4C1561C3" w14:textId="77777777" w:rsidR="00C15C65" w:rsidRPr="002029AF" w:rsidRDefault="00C15C65" w:rsidP="00C40F5D">
            <w:pPr>
              <w:pStyle w:val="ARtabletext"/>
            </w:pPr>
            <w:r w:rsidRPr="002029AF">
              <w:t>number</w:t>
            </w:r>
          </w:p>
        </w:tc>
        <w:tc>
          <w:tcPr>
            <w:tcW w:w="1017" w:type="dxa"/>
            <w:shd w:val="clear" w:color="auto" w:fill="auto"/>
            <w:hideMark/>
          </w:tcPr>
          <w:p w14:paraId="6B544423" w14:textId="77777777" w:rsidR="00C15C65" w:rsidRPr="002029AF" w:rsidRDefault="00C15C65" w:rsidP="000024F3">
            <w:pPr>
              <w:pStyle w:val="ARtabletextright"/>
            </w:pPr>
            <w:r w:rsidRPr="002029AF">
              <w:t>0</w:t>
            </w:r>
          </w:p>
        </w:tc>
        <w:tc>
          <w:tcPr>
            <w:tcW w:w="1024" w:type="dxa"/>
            <w:shd w:val="clear" w:color="auto" w:fill="auto"/>
            <w:hideMark/>
          </w:tcPr>
          <w:p w14:paraId="1AC6EBCD" w14:textId="77777777" w:rsidR="00C15C65" w:rsidRPr="002029AF" w:rsidRDefault="00C15C65" w:rsidP="000024F3">
            <w:pPr>
              <w:pStyle w:val="ARtabletextright"/>
            </w:pPr>
            <w:r w:rsidRPr="002029AF">
              <w:t>0</w:t>
            </w:r>
          </w:p>
        </w:tc>
        <w:tc>
          <w:tcPr>
            <w:tcW w:w="1028" w:type="dxa"/>
            <w:shd w:val="clear" w:color="auto" w:fill="auto"/>
          </w:tcPr>
          <w:p w14:paraId="5C50DF54" w14:textId="77777777" w:rsidR="00C15C65" w:rsidRPr="002029AF" w:rsidRDefault="00C15C65" w:rsidP="000024F3">
            <w:pPr>
              <w:pStyle w:val="ARtabletextright"/>
            </w:pPr>
            <w:r w:rsidRPr="002029AF">
              <w:t>N/A</w:t>
            </w:r>
          </w:p>
        </w:tc>
        <w:tc>
          <w:tcPr>
            <w:tcW w:w="795" w:type="dxa"/>
            <w:shd w:val="clear" w:color="auto" w:fill="auto"/>
            <w:hideMark/>
          </w:tcPr>
          <w:p w14:paraId="25947AC6"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2AB69874" w14:textId="77777777" w:rsidTr="005B58F0">
        <w:trPr>
          <w:gridAfter w:val="1"/>
          <w:wAfter w:w="8" w:type="dxa"/>
          <w:cantSplit/>
        </w:trPr>
        <w:tc>
          <w:tcPr>
            <w:tcW w:w="9631" w:type="dxa"/>
            <w:gridSpan w:val="6"/>
            <w:tcBorders>
              <w:bottom w:val="single" w:sz="4" w:space="0" w:color="BFBFBF"/>
            </w:tcBorders>
            <w:shd w:val="clear" w:color="auto" w:fill="auto"/>
            <w:noWrap/>
            <w:hideMark/>
          </w:tcPr>
          <w:p w14:paraId="6DAD417F" w14:textId="25644A19" w:rsidR="00C15C65" w:rsidRPr="002029AF" w:rsidRDefault="00C15C65" w:rsidP="00E81CAE">
            <w:pPr>
              <w:pStyle w:val="ARtablenoteindent"/>
            </w:pPr>
            <w:r w:rsidRPr="002029AF">
              <w:t>This</w:t>
            </w:r>
            <w:r w:rsidR="000A5329" w:rsidRPr="002029AF">
              <w:t xml:space="preserve"> </w:t>
            </w:r>
            <w:r w:rsidRPr="002029AF">
              <w:t>result</w:t>
            </w:r>
            <w:r w:rsidR="000A5329" w:rsidRPr="002029AF">
              <w:t xml:space="preserve"> </w:t>
            </w:r>
            <w:r w:rsidRPr="002029AF">
              <w:t>was</w:t>
            </w:r>
            <w:r w:rsidR="000A5329" w:rsidRPr="002029AF">
              <w:t xml:space="preserve"> </w:t>
            </w:r>
            <w:r w:rsidRPr="002029AF">
              <w:t>due</w:t>
            </w:r>
            <w:r w:rsidR="000A5329" w:rsidRPr="002029AF">
              <w:t xml:space="preserve"> </w:t>
            </w:r>
            <w:r w:rsidRPr="002029AF">
              <w:t>to</w:t>
            </w:r>
            <w:r w:rsidR="000A5329" w:rsidRPr="002029AF">
              <w:t xml:space="preserve"> </w:t>
            </w:r>
            <w:r w:rsidRPr="002029AF">
              <w:t>the</w:t>
            </w:r>
            <w:r w:rsidR="000A5329" w:rsidRPr="002029AF">
              <w:t xml:space="preserve"> </w:t>
            </w:r>
            <w:r w:rsidRPr="002029AF">
              <w:t>closure</w:t>
            </w:r>
            <w:r w:rsidR="000A5329" w:rsidRPr="002029AF">
              <w:t xml:space="preserve"> </w:t>
            </w:r>
            <w:r w:rsidRPr="002029AF">
              <w:t>of</w:t>
            </w:r>
            <w:r w:rsidR="000A5329" w:rsidRPr="002029AF">
              <w:t xml:space="preserve"> </w:t>
            </w:r>
            <w:r w:rsidRPr="002029AF">
              <w:t>Colanda</w:t>
            </w:r>
            <w:r w:rsidR="000A5329" w:rsidRPr="002029AF">
              <w:t xml:space="preserve"> </w:t>
            </w:r>
            <w:r w:rsidRPr="002029AF">
              <w:t>Residential</w:t>
            </w:r>
            <w:r w:rsidR="000A5329" w:rsidRPr="002029AF">
              <w:t xml:space="preserve"> </w:t>
            </w:r>
            <w:r w:rsidRPr="002029AF">
              <w:t>Services</w:t>
            </w:r>
            <w:r w:rsidR="000A5329" w:rsidRPr="002029AF">
              <w:t xml:space="preserve"> </w:t>
            </w:r>
            <w:r w:rsidRPr="002029AF">
              <w:t>in</w:t>
            </w:r>
            <w:r w:rsidR="000A5329" w:rsidRPr="002029AF">
              <w:t xml:space="preserve"> </w:t>
            </w:r>
            <w:r w:rsidRPr="002029AF">
              <w:t>Colac,</w:t>
            </w:r>
            <w:r w:rsidR="000A5329" w:rsidRPr="002029AF">
              <w:t xml:space="preserve"> </w:t>
            </w:r>
            <w:r w:rsidRPr="002029AF">
              <w:t>the</w:t>
            </w:r>
            <w:r w:rsidR="000A5329" w:rsidRPr="002029AF">
              <w:t xml:space="preserve"> </w:t>
            </w:r>
            <w:r w:rsidRPr="002029AF">
              <w:t>state’s</w:t>
            </w:r>
            <w:r w:rsidR="000A5329" w:rsidRPr="002029AF">
              <w:t xml:space="preserve"> </w:t>
            </w:r>
            <w:r w:rsidRPr="002029AF">
              <w:t>last</w:t>
            </w:r>
            <w:r w:rsidR="000A5329" w:rsidRPr="002029AF">
              <w:t xml:space="preserve"> </w:t>
            </w:r>
            <w:r w:rsidRPr="002029AF">
              <w:t>institution</w:t>
            </w:r>
            <w:r w:rsidR="000A5329" w:rsidRPr="002029AF">
              <w:t xml:space="preserve"> </w:t>
            </w:r>
            <w:r w:rsidRPr="002029AF">
              <w:t>for</w:t>
            </w:r>
            <w:r w:rsidR="000A5329" w:rsidRPr="002029AF">
              <w:t xml:space="preserve"> </w:t>
            </w:r>
            <w:r w:rsidRPr="002029AF">
              <w:t>people</w:t>
            </w:r>
            <w:r w:rsidR="000A5329" w:rsidRPr="002029AF">
              <w:t xml:space="preserve"> </w:t>
            </w:r>
            <w:r w:rsidRPr="002029AF">
              <w:t>with</w:t>
            </w:r>
            <w:r w:rsidR="000A5329" w:rsidRPr="002029AF">
              <w:t xml:space="preserve"> </w:t>
            </w:r>
            <w:r w:rsidRPr="002029AF">
              <w:t>disability.</w:t>
            </w:r>
            <w:r w:rsidR="000A5329" w:rsidRPr="002029AF">
              <w:t xml:space="preserve"> </w:t>
            </w:r>
            <w:r w:rsidRPr="002029AF">
              <w:t>All</w:t>
            </w:r>
            <w:r w:rsidR="000A5329" w:rsidRPr="002029AF">
              <w:t xml:space="preserve"> </w:t>
            </w:r>
            <w:r w:rsidRPr="002029AF">
              <w:t>residents</w:t>
            </w:r>
            <w:r w:rsidR="000A5329" w:rsidRPr="002029AF">
              <w:t xml:space="preserve"> </w:t>
            </w:r>
            <w:r w:rsidRPr="002029AF">
              <w:t>have</w:t>
            </w:r>
            <w:r w:rsidR="000A5329" w:rsidRPr="002029AF">
              <w:t xml:space="preserve"> </w:t>
            </w:r>
            <w:r w:rsidRPr="002029AF">
              <w:t>been</w:t>
            </w:r>
            <w:r w:rsidR="000A5329" w:rsidRPr="002029AF">
              <w:t xml:space="preserve"> </w:t>
            </w:r>
            <w:r w:rsidRPr="002029AF">
              <w:t>moved</w:t>
            </w:r>
            <w:r w:rsidR="000A5329" w:rsidRPr="002029AF">
              <w:t xml:space="preserve"> </w:t>
            </w:r>
            <w:r w:rsidR="00E81CAE">
              <w:t>to</w:t>
            </w:r>
            <w:r w:rsidR="00E81CAE" w:rsidRPr="002029AF">
              <w:t xml:space="preserve"> </w:t>
            </w:r>
            <w:r w:rsidRPr="002029AF">
              <w:t>new</w:t>
            </w:r>
            <w:r w:rsidR="000A5329" w:rsidRPr="002029AF">
              <w:t xml:space="preserve"> </w:t>
            </w:r>
            <w:r w:rsidRPr="002029AF">
              <w:t>purpose-built</w:t>
            </w:r>
            <w:r w:rsidR="000A5329" w:rsidRPr="002029AF">
              <w:t xml:space="preserve"> </w:t>
            </w:r>
            <w:r w:rsidRPr="002029AF">
              <w:t>community-based</w:t>
            </w:r>
            <w:r w:rsidR="000A5329" w:rsidRPr="002029AF">
              <w:t xml:space="preserve"> </w:t>
            </w:r>
            <w:r w:rsidRPr="002029AF">
              <w:t>accommodation.</w:t>
            </w:r>
          </w:p>
        </w:tc>
      </w:tr>
      <w:tr w:rsidR="00C15C65" w:rsidRPr="002029AF" w14:paraId="5EFE27EC" w14:textId="77777777" w:rsidTr="005B58F0">
        <w:trPr>
          <w:gridAfter w:val="1"/>
          <w:wAfter w:w="8" w:type="dxa"/>
          <w:cantSplit/>
        </w:trPr>
        <w:tc>
          <w:tcPr>
            <w:tcW w:w="4749" w:type="dxa"/>
            <w:tcBorders>
              <w:top w:val="single" w:sz="4" w:space="0" w:color="BFBFBF"/>
              <w:bottom w:val="single" w:sz="4" w:space="0" w:color="BFBFBF"/>
            </w:tcBorders>
            <w:shd w:val="clear" w:color="auto" w:fill="auto"/>
            <w:hideMark/>
          </w:tcPr>
          <w:p w14:paraId="3A036299" w14:textId="3E17E3A3" w:rsidR="00C15C65" w:rsidRPr="002029AF" w:rsidRDefault="00C15C65" w:rsidP="00C40F5D">
            <w:pPr>
              <w:pStyle w:val="ARtabletext"/>
            </w:pPr>
            <w:r w:rsidRPr="002029AF">
              <w:t>Clients</w:t>
            </w:r>
            <w:r w:rsidR="000A5329" w:rsidRPr="002029AF">
              <w:t xml:space="preserve"> </w:t>
            </w:r>
            <w:r w:rsidRPr="002029AF">
              <w:t>receiving</w:t>
            </w:r>
            <w:r w:rsidR="000A5329" w:rsidRPr="002029AF">
              <w:t xml:space="preserve"> </w:t>
            </w:r>
            <w:r w:rsidRPr="002029AF">
              <w:t>case</w:t>
            </w:r>
            <w:r w:rsidR="000A5329" w:rsidRPr="002029AF">
              <w:t xml:space="preserve"> </w:t>
            </w:r>
            <w:r w:rsidRPr="002029AF">
              <w:t>management</w:t>
            </w:r>
            <w:r w:rsidR="000A5329" w:rsidRPr="002029AF">
              <w:t xml:space="preserve"> </w:t>
            </w:r>
            <w:r w:rsidRPr="002029AF">
              <w:t>services</w:t>
            </w:r>
          </w:p>
        </w:tc>
        <w:tc>
          <w:tcPr>
            <w:tcW w:w="1018" w:type="dxa"/>
            <w:tcBorders>
              <w:top w:val="single" w:sz="4" w:space="0" w:color="BFBFBF"/>
              <w:bottom w:val="single" w:sz="4" w:space="0" w:color="BFBFBF"/>
            </w:tcBorders>
            <w:shd w:val="clear" w:color="auto" w:fill="auto"/>
            <w:hideMark/>
          </w:tcPr>
          <w:p w14:paraId="2EEA53DC" w14:textId="77777777" w:rsidR="00C15C65" w:rsidRPr="002029AF" w:rsidRDefault="00C15C65" w:rsidP="00C40F5D">
            <w:pPr>
              <w:pStyle w:val="ARtabletext"/>
            </w:pPr>
            <w:r w:rsidRPr="002029AF">
              <w:t>number</w:t>
            </w:r>
          </w:p>
        </w:tc>
        <w:tc>
          <w:tcPr>
            <w:tcW w:w="1017" w:type="dxa"/>
            <w:tcBorders>
              <w:top w:val="single" w:sz="4" w:space="0" w:color="BFBFBF"/>
              <w:bottom w:val="single" w:sz="4" w:space="0" w:color="BFBFBF"/>
            </w:tcBorders>
            <w:shd w:val="clear" w:color="auto" w:fill="auto"/>
            <w:hideMark/>
          </w:tcPr>
          <w:p w14:paraId="6E9FF550" w14:textId="77777777" w:rsidR="00C15C65" w:rsidRPr="002029AF" w:rsidRDefault="00C15C65" w:rsidP="000024F3">
            <w:pPr>
              <w:pStyle w:val="ARtabletextright"/>
            </w:pPr>
            <w:r w:rsidRPr="002029AF">
              <w:t>215</w:t>
            </w:r>
          </w:p>
        </w:tc>
        <w:tc>
          <w:tcPr>
            <w:tcW w:w="1024" w:type="dxa"/>
            <w:tcBorders>
              <w:top w:val="single" w:sz="4" w:space="0" w:color="BFBFBF"/>
              <w:bottom w:val="single" w:sz="4" w:space="0" w:color="BFBFBF"/>
            </w:tcBorders>
            <w:shd w:val="clear" w:color="auto" w:fill="auto"/>
            <w:hideMark/>
          </w:tcPr>
          <w:p w14:paraId="0992E877" w14:textId="77777777" w:rsidR="00C15C65" w:rsidRPr="002029AF" w:rsidRDefault="00C15C65" w:rsidP="000024F3">
            <w:pPr>
              <w:pStyle w:val="ARtabletextright"/>
            </w:pPr>
            <w:r w:rsidRPr="002029AF">
              <w:t>222</w:t>
            </w:r>
          </w:p>
        </w:tc>
        <w:tc>
          <w:tcPr>
            <w:tcW w:w="1028" w:type="dxa"/>
            <w:tcBorders>
              <w:top w:val="single" w:sz="4" w:space="0" w:color="BFBFBF"/>
              <w:bottom w:val="single" w:sz="4" w:space="0" w:color="BFBFBF"/>
            </w:tcBorders>
            <w:shd w:val="clear" w:color="auto" w:fill="auto"/>
          </w:tcPr>
          <w:p w14:paraId="63ECCE02" w14:textId="77777777" w:rsidR="00C15C65" w:rsidRPr="002029AF" w:rsidRDefault="00C15C65" w:rsidP="000024F3">
            <w:pPr>
              <w:pStyle w:val="ARtabletextright"/>
            </w:pPr>
            <w:r w:rsidRPr="002029AF">
              <w:t>3.3</w:t>
            </w:r>
          </w:p>
        </w:tc>
        <w:tc>
          <w:tcPr>
            <w:tcW w:w="795" w:type="dxa"/>
            <w:tcBorders>
              <w:top w:val="single" w:sz="4" w:space="0" w:color="BFBFBF"/>
              <w:bottom w:val="single" w:sz="4" w:space="0" w:color="BFBFBF"/>
            </w:tcBorders>
            <w:shd w:val="clear" w:color="auto" w:fill="auto"/>
            <w:hideMark/>
          </w:tcPr>
          <w:p w14:paraId="0EA80616"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5CE29458" w14:textId="77777777" w:rsidTr="005B58F0">
        <w:trPr>
          <w:gridAfter w:val="1"/>
          <w:wAfter w:w="8" w:type="dxa"/>
          <w:cantSplit/>
        </w:trPr>
        <w:tc>
          <w:tcPr>
            <w:tcW w:w="4749" w:type="dxa"/>
            <w:tcBorders>
              <w:top w:val="single" w:sz="4" w:space="0" w:color="BFBFBF"/>
            </w:tcBorders>
            <w:shd w:val="clear" w:color="auto" w:fill="auto"/>
            <w:hideMark/>
          </w:tcPr>
          <w:p w14:paraId="574E6FD6" w14:textId="09999BEA" w:rsidR="00C15C65" w:rsidRPr="002029AF" w:rsidRDefault="00C15C65" w:rsidP="00C40F5D">
            <w:pPr>
              <w:pStyle w:val="ARtabletext"/>
            </w:pPr>
            <w:r w:rsidRPr="002029AF">
              <w:t>Clients</w:t>
            </w:r>
            <w:r w:rsidR="000A5329" w:rsidRPr="002029AF">
              <w:t xml:space="preserve"> </w:t>
            </w:r>
            <w:r w:rsidRPr="002029AF">
              <w:t>receiving</w:t>
            </w:r>
            <w:r w:rsidR="000A5329" w:rsidRPr="002029AF">
              <w:t xml:space="preserve"> </w:t>
            </w:r>
            <w:r w:rsidRPr="002029AF">
              <w:t>individualised</w:t>
            </w:r>
            <w:r w:rsidR="000A5329" w:rsidRPr="002029AF">
              <w:t xml:space="preserve"> </w:t>
            </w:r>
            <w:r w:rsidRPr="002029AF">
              <w:t>support</w:t>
            </w:r>
          </w:p>
        </w:tc>
        <w:tc>
          <w:tcPr>
            <w:tcW w:w="1018" w:type="dxa"/>
            <w:tcBorders>
              <w:top w:val="single" w:sz="4" w:space="0" w:color="BFBFBF"/>
            </w:tcBorders>
            <w:shd w:val="clear" w:color="auto" w:fill="auto"/>
            <w:hideMark/>
          </w:tcPr>
          <w:p w14:paraId="77253C2E" w14:textId="77777777" w:rsidR="00C15C65" w:rsidRPr="002029AF" w:rsidRDefault="00C15C65" w:rsidP="00C40F5D">
            <w:pPr>
              <w:pStyle w:val="ARtabletext"/>
            </w:pPr>
            <w:r w:rsidRPr="002029AF">
              <w:t>number</w:t>
            </w:r>
          </w:p>
        </w:tc>
        <w:tc>
          <w:tcPr>
            <w:tcW w:w="1017" w:type="dxa"/>
            <w:tcBorders>
              <w:top w:val="single" w:sz="4" w:space="0" w:color="BFBFBF"/>
            </w:tcBorders>
            <w:shd w:val="clear" w:color="auto" w:fill="auto"/>
            <w:hideMark/>
          </w:tcPr>
          <w:p w14:paraId="6A82AFF0" w14:textId="77777777" w:rsidR="00C15C65" w:rsidRPr="002029AF" w:rsidRDefault="00C15C65" w:rsidP="000024F3">
            <w:pPr>
              <w:pStyle w:val="ARtabletextright"/>
            </w:pPr>
            <w:r w:rsidRPr="002029AF">
              <w:t>0</w:t>
            </w:r>
          </w:p>
        </w:tc>
        <w:tc>
          <w:tcPr>
            <w:tcW w:w="1024" w:type="dxa"/>
            <w:tcBorders>
              <w:top w:val="single" w:sz="4" w:space="0" w:color="BFBFBF"/>
            </w:tcBorders>
            <w:shd w:val="clear" w:color="auto" w:fill="auto"/>
            <w:hideMark/>
          </w:tcPr>
          <w:p w14:paraId="32A47483" w14:textId="77777777" w:rsidR="00C15C65" w:rsidRPr="002029AF" w:rsidRDefault="00C15C65" w:rsidP="000024F3">
            <w:pPr>
              <w:pStyle w:val="ARtabletextright"/>
            </w:pPr>
            <w:r w:rsidRPr="002029AF">
              <w:t>5</w:t>
            </w:r>
          </w:p>
        </w:tc>
        <w:tc>
          <w:tcPr>
            <w:tcW w:w="1028" w:type="dxa"/>
            <w:tcBorders>
              <w:top w:val="single" w:sz="4" w:space="0" w:color="BFBFBF"/>
            </w:tcBorders>
            <w:shd w:val="clear" w:color="auto" w:fill="auto"/>
          </w:tcPr>
          <w:p w14:paraId="6A1695C3" w14:textId="77777777" w:rsidR="00C15C65" w:rsidRPr="002029AF" w:rsidRDefault="00C15C65" w:rsidP="000024F3">
            <w:pPr>
              <w:pStyle w:val="ARtabletextright"/>
            </w:pPr>
            <w:r w:rsidRPr="002029AF">
              <w:t>N/A</w:t>
            </w:r>
          </w:p>
        </w:tc>
        <w:tc>
          <w:tcPr>
            <w:tcW w:w="795" w:type="dxa"/>
            <w:tcBorders>
              <w:top w:val="single" w:sz="4" w:space="0" w:color="BFBFBF"/>
            </w:tcBorders>
            <w:shd w:val="clear" w:color="auto" w:fill="auto"/>
            <w:hideMark/>
          </w:tcPr>
          <w:p w14:paraId="7F7C4150"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74A532E6" w14:textId="77777777" w:rsidTr="005B58F0">
        <w:trPr>
          <w:gridAfter w:val="1"/>
          <w:wAfter w:w="8" w:type="dxa"/>
          <w:cantSplit/>
        </w:trPr>
        <w:tc>
          <w:tcPr>
            <w:tcW w:w="9631" w:type="dxa"/>
            <w:gridSpan w:val="6"/>
            <w:tcBorders>
              <w:bottom w:val="single" w:sz="4" w:space="0" w:color="BFBFBF"/>
            </w:tcBorders>
            <w:shd w:val="clear" w:color="auto" w:fill="auto"/>
            <w:noWrap/>
            <w:hideMark/>
          </w:tcPr>
          <w:p w14:paraId="7B61DE97" w14:textId="2886014E" w:rsidR="00C15C65" w:rsidRPr="002029AF" w:rsidRDefault="00C15C65" w:rsidP="00D96AFD">
            <w:pPr>
              <w:pStyle w:val="ARtablenoteindent"/>
            </w:pPr>
            <w:r w:rsidRPr="002029AF">
              <w:t>The</w:t>
            </w:r>
            <w:r w:rsidR="000A5329" w:rsidRPr="002029AF">
              <w:t xml:space="preserve"> </w:t>
            </w:r>
            <w:r w:rsidRPr="002029AF">
              <w:t>result</w:t>
            </w:r>
            <w:r w:rsidR="000A5329" w:rsidRPr="002029AF">
              <w:t xml:space="preserve"> </w:t>
            </w:r>
            <w:r w:rsidRPr="002029AF">
              <w:t>is</w:t>
            </w:r>
            <w:r w:rsidR="000A5329" w:rsidRPr="002029AF">
              <w:t xml:space="preserve"> </w:t>
            </w:r>
            <w:r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clients</w:t>
            </w:r>
            <w:r w:rsidR="000A5329" w:rsidRPr="002029AF">
              <w:t xml:space="preserve"> </w:t>
            </w:r>
            <w:r w:rsidRPr="002029AF">
              <w:t>requesting</w:t>
            </w:r>
            <w:r w:rsidR="000A5329" w:rsidRPr="002029AF">
              <w:t xml:space="preserve"> </w:t>
            </w:r>
            <w:r w:rsidRPr="002029AF">
              <w:t>a</w:t>
            </w:r>
            <w:r w:rsidR="000A5329" w:rsidRPr="002029AF">
              <w:t xml:space="preserve"> </w:t>
            </w:r>
            <w:r w:rsidRPr="002029AF">
              <w:t>temporary</w:t>
            </w:r>
            <w:r w:rsidR="000A5329" w:rsidRPr="002029AF">
              <w:t xml:space="preserve"> </w:t>
            </w:r>
            <w:r w:rsidRPr="002029AF">
              <w:t>delay</w:t>
            </w:r>
            <w:r w:rsidR="000A5329" w:rsidRPr="002029AF">
              <w:t xml:space="preserve"> </w:t>
            </w:r>
            <w:r w:rsidRPr="002029AF">
              <w:t>of</w:t>
            </w:r>
            <w:r w:rsidR="000A5329" w:rsidRPr="002029AF">
              <w:t xml:space="preserve"> </w:t>
            </w:r>
            <w:r w:rsidRPr="002029AF">
              <w:t>their</w:t>
            </w:r>
            <w:r w:rsidR="000A5329" w:rsidRPr="002029AF">
              <w:t xml:space="preserve"> </w:t>
            </w:r>
            <w:r w:rsidRPr="002029AF">
              <w:t>NDIS</w:t>
            </w:r>
            <w:r w:rsidR="000A5329" w:rsidRPr="002029AF">
              <w:t xml:space="preserve"> </w:t>
            </w:r>
            <w:r w:rsidRPr="002029AF">
              <w:t>planning</w:t>
            </w:r>
            <w:r w:rsidR="000A5329" w:rsidRPr="002029AF">
              <w:t xml:space="preserve"> </w:t>
            </w:r>
            <w:r w:rsidRPr="002029AF">
              <w:t>meeting</w:t>
            </w:r>
            <w:r w:rsidR="000A5329" w:rsidRPr="002029AF">
              <w:t xml:space="preserve"> </w:t>
            </w:r>
            <w:r w:rsidRPr="002029AF">
              <w:t>due</w:t>
            </w:r>
            <w:r w:rsidR="000A5329" w:rsidRPr="002029AF">
              <w:t xml:space="preserve"> </w:t>
            </w:r>
            <w:r w:rsidRPr="002029AF">
              <w:t>to</w:t>
            </w:r>
            <w:r w:rsidR="000A5329" w:rsidRPr="002029AF">
              <w:t xml:space="preserve"> </w:t>
            </w:r>
            <w:r w:rsidRPr="002029AF">
              <w:t>coronavirus</w:t>
            </w:r>
            <w:r w:rsidR="000A5329" w:rsidRPr="002029AF">
              <w:t xml:space="preserve"> </w:t>
            </w:r>
            <w:r w:rsidRPr="002029AF">
              <w:t>(COVID-19).</w:t>
            </w:r>
          </w:p>
        </w:tc>
      </w:tr>
      <w:tr w:rsidR="00C15C65" w:rsidRPr="002029AF" w14:paraId="329FA090" w14:textId="77777777" w:rsidTr="005B58F0">
        <w:trPr>
          <w:gridAfter w:val="1"/>
          <w:wAfter w:w="8" w:type="dxa"/>
          <w:cantSplit/>
        </w:trPr>
        <w:tc>
          <w:tcPr>
            <w:tcW w:w="4749" w:type="dxa"/>
            <w:shd w:val="clear" w:color="auto" w:fill="auto"/>
            <w:hideMark/>
          </w:tcPr>
          <w:p w14:paraId="009E9F10" w14:textId="7053604A" w:rsidR="00C15C65" w:rsidRPr="002029AF" w:rsidRDefault="00C15C65" w:rsidP="00C40F5D">
            <w:pPr>
              <w:pStyle w:val="ARtabletext"/>
            </w:pPr>
            <w:r w:rsidRPr="002029AF">
              <w:t>Hours</w:t>
            </w:r>
            <w:r w:rsidR="000A5329" w:rsidRPr="002029AF">
              <w:t xml:space="preserve"> </w:t>
            </w:r>
            <w:r w:rsidRPr="002029AF">
              <w:t>of</w:t>
            </w:r>
            <w:r w:rsidR="000A5329" w:rsidRPr="002029AF">
              <w:t xml:space="preserve"> </w:t>
            </w:r>
            <w:r w:rsidRPr="002029AF">
              <w:t>community-based</w:t>
            </w:r>
            <w:r w:rsidR="000A5329" w:rsidRPr="002029AF">
              <w:t xml:space="preserve"> </w:t>
            </w:r>
            <w:r w:rsidRPr="002029AF">
              <w:t>respite</w:t>
            </w:r>
          </w:p>
        </w:tc>
        <w:tc>
          <w:tcPr>
            <w:tcW w:w="1018" w:type="dxa"/>
            <w:shd w:val="clear" w:color="auto" w:fill="auto"/>
            <w:hideMark/>
          </w:tcPr>
          <w:p w14:paraId="6048E5E1" w14:textId="77777777" w:rsidR="00C15C65" w:rsidRPr="002029AF" w:rsidRDefault="00C15C65" w:rsidP="00C40F5D">
            <w:pPr>
              <w:pStyle w:val="ARtabletext"/>
            </w:pPr>
            <w:r w:rsidRPr="002029AF">
              <w:t>number</w:t>
            </w:r>
          </w:p>
        </w:tc>
        <w:tc>
          <w:tcPr>
            <w:tcW w:w="1017" w:type="dxa"/>
            <w:shd w:val="clear" w:color="auto" w:fill="auto"/>
            <w:hideMark/>
          </w:tcPr>
          <w:p w14:paraId="67A7C400" w14:textId="77777777" w:rsidR="00C15C65" w:rsidRPr="002029AF" w:rsidRDefault="00C15C65" w:rsidP="000024F3">
            <w:pPr>
              <w:pStyle w:val="ARtabletextright"/>
            </w:pPr>
            <w:r w:rsidRPr="002029AF">
              <w:t>236,000</w:t>
            </w:r>
          </w:p>
        </w:tc>
        <w:tc>
          <w:tcPr>
            <w:tcW w:w="1024" w:type="dxa"/>
            <w:shd w:val="clear" w:color="auto" w:fill="auto"/>
            <w:hideMark/>
          </w:tcPr>
          <w:p w14:paraId="2A172272" w14:textId="77777777" w:rsidR="00C15C65" w:rsidRPr="002029AF" w:rsidRDefault="00C15C65" w:rsidP="000024F3">
            <w:pPr>
              <w:pStyle w:val="ARtabletextright"/>
            </w:pPr>
            <w:r w:rsidRPr="002029AF">
              <w:t>49,136.9</w:t>
            </w:r>
          </w:p>
        </w:tc>
        <w:tc>
          <w:tcPr>
            <w:tcW w:w="1028" w:type="dxa"/>
            <w:shd w:val="clear" w:color="auto" w:fill="auto"/>
          </w:tcPr>
          <w:p w14:paraId="54913F36" w14:textId="77777777" w:rsidR="00C15C65" w:rsidRPr="002029AF" w:rsidRDefault="00C15C65" w:rsidP="000024F3">
            <w:pPr>
              <w:pStyle w:val="ARtabletextright"/>
            </w:pPr>
            <w:r w:rsidRPr="002029AF">
              <w:t>-79.2</w:t>
            </w:r>
          </w:p>
        </w:tc>
        <w:tc>
          <w:tcPr>
            <w:tcW w:w="795" w:type="dxa"/>
            <w:shd w:val="clear" w:color="auto" w:fill="auto"/>
            <w:hideMark/>
          </w:tcPr>
          <w:p w14:paraId="6332E59D"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3F4F7CB8" w14:textId="77777777" w:rsidTr="005B58F0">
        <w:trPr>
          <w:gridAfter w:val="1"/>
          <w:wAfter w:w="8" w:type="dxa"/>
          <w:cantSplit/>
        </w:trPr>
        <w:tc>
          <w:tcPr>
            <w:tcW w:w="9631" w:type="dxa"/>
            <w:gridSpan w:val="6"/>
            <w:tcBorders>
              <w:bottom w:val="single" w:sz="4" w:space="0" w:color="BFBFBF"/>
            </w:tcBorders>
            <w:shd w:val="clear" w:color="auto" w:fill="auto"/>
            <w:noWrap/>
            <w:hideMark/>
          </w:tcPr>
          <w:p w14:paraId="07D98853" w14:textId="0DEEAE0A" w:rsidR="00C15C65" w:rsidRPr="002029AF" w:rsidRDefault="00756414" w:rsidP="00D96AFD">
            <w:pPr>
              <w:pStyle w:val="ARtablenoteindent"/>
            </w:pPr>
            <w:r w:rsidRPr="00F00BDC">
              <w:t xml:space="preserve">The result is lower than the target due to the department’s efforts to expedite </w:t>
            </w:r>
            <w:r>
              <w:t xml:space="preserve">the transition of </w:t>
            </w:r>
            <w:r w:rsidRPr="00F00BDC">
              <w:t>people</w:t>
            </w:r>
            <w:r>
              <w:t xml:space="preserve"> with disability to</w:t>
            </w:r>
            <w:r w:rsidRPr="00F00BDC">
              <w:t xml:space="preserve"> the NDIS, </w:t>
            </w:r>
            <w:r>
              <w:t xml:space="preserve">and consequently </w:t>
            </w:r>
            <w:r w:rsidRPr="00F00BDC">
              <w:t>reducing the demand</w:t>
            </w:r>
            <w:r>
              <w:t xml:space="preserve"> for</w:t>
            </w:r>
            <w:r w:rsidRPr="00F00BDC">
              <w:t xml:space="preserve"> state</w:t>
            </w:r>
            <w:r>
              <w:t>-funded respite</w:t>
            </w:r>
            <w:r w:rsidRPr="00F00BDC">
              <w:t xml:space="preserve"> services</w:t>
            </w:r>
          </w:p>
        </w:tc>
      </w:tr>
      <w:tr w:rsidR="00C15C65" w:rsidRPr="002029AF" w14:paraId="57DDE4EA" w14:textId="77777777" w:rsidTr="005B58F0">
        <w:trPr>
          <w:gridAfter w:val="1"/>
          <w:wAfter w:w="8" w:type="dxa"/>
          <w:cantSplit/>
        </w:trPr>
        <w:tc>
          <w:tcPr>
            <w:tcW w:w="4749" w:type="dxa"/>
            <w:shd w:val="clear" w:color="auto" w:fill="auto"/>
            <w:hideMark/>
          </w:tcPr>
          <w:p w14:paraId="67706AE5" w14:textId="0DD68E6A" w:rsidR="00C15C65" w:rsidRPr="002029AF" w:rsidRDefault="00C15C65" w:rsidP="00C40F5D">
            <w:pPr>
              <w:pStyle w:val="ARtabletext"/>
            </w:pPr>
            <w:r w:rsidRPr="002029AF">
              <w:t>Number</w:t>
            </w:r>
            <w:r w:rsidR="000A5329" w:rsidRPr="002029AF">
              <w:t xml:space="preserve"> </w:t>
            </w:r>
            <w:r w:rsidRPr="002029AF">
              <w:t>of</w:t>
            </w:r>
            <w:r w:rsidR="000A5329" w:rsidRPr="002029AF">
              <w:t xml:space="preserve"> </w:t>
            </w:r>
            <w:r w:rsidRPr="002029AF">
              <w:t>respite</w:t>
            </w:r>
            <w:r w:rsidR="000A5329" w:rsidRPr="002029AF">
              <w:t xml:space="preserve"> </w:t>
            </w:r>
            <w:r w:rsidRPr="002029AF">
              <w:t>days</w:t>
            </w:r>
          </w:p>
        </w:tc>
        <w:tc>
          <w:tcPr>
            <w:tcW w:w="1018" w:type="dxa"/>
            <w:shd w:val="clear" w:color="auto" w:fill="auto"/>
            <w:hideMark/>
          </w:tcPr>
          <w:p w14:paraId="5EC1BB0A" w14:textId="77777777" w:rsidR="00C15C65" w:rsidRPr="002029AF" w:rsidRDefault="00C15C65" w:rsidP="00C40F5D">
            <w:pPr>
              <w:pStyle w:val="ARtabletext"/>
            </w:pPr>
            <w:r w:rsidRPr="002029AF">
              <w:t>number</w:t>
            </w:r>
          </w:p>
        </w:tc>
        <w:tc>
          <w:tcPr>
            <w:tcW w:w="1017" w:type="dxa"/>
            <w:shd w:val="clear" w:color="auto" w:fill="auto"/>
            <w:hideMark/>
          </w:tcPr>
          <w:p w14:paraId="49316565" w14:textId="77777777" w:rsidR="00C15C65" w:rsidRPr="002029AF" w:rsidRDefault="00C15C65" w:rsidP="000024F3">
            <w:pPr>
              <w:pStyle w:val="ARtabletextright"/>
            </w:pPr>
            <w:r w:rsidRPr="002029AF">
              <w:t>20,125</w:t>
            </w:r>
          </w:p>
        </w:tc>
        <w:tc>
          <w:tcPr>
            <w:tcW w:w="1024" w:type="dxa"/>
            <w:shd w:val="clear" w:color="auto" w:fill="auto"/>
            <w:hideMark/>
          </w:tcPr>
          <w:p w14:paraId="070BA9B6" w14:textId="77777777" w:rsidR="00C15C65" w:rsidRPr="002029AF" w:rsidRDefault="00C15C65" w:rsidP="000024F3">
            <w:pPr>
              <w:pStyle w:val="ARtabletextright"/>
            </w:pPr>
            <w:r w:rsidRPr="002029AF">
              <w:t>8,317</w:t>
            </w:r>
          </w:p>
        </w:tc>
        <w:tc>
          <w:tcPr>
            <w:tcW w:w="1028" w:type="dxa"/>
            <w:shd w:val="clear" w:color="auto" w:fill="auto"/>
          </w:tcPr>
          <w:p w14:paraId="657A72AC" w14:textId="77777777" w:rsidR="00C15C65" w:rsidRPr="002029AF" w:rsidRDefault="00C15C65" w:rsidP="000024F3">
            <w:pPr>
              <w:pStyle w:val="ARtabletextright"/>
            </w:pPr>
            <w:r w:rsidRPr="002029AF">
              <w:t>-58.7</w:t>
            </w:r>
          </w:p>
        </w:tc>
        <w:tc>
          <w:tcPr>
            <w:tcW w:w="795" w:type="dxa"/>
            <w:shd w:val="clear" w:color="auto" w:fill="auto"/>
            <w:hideMark/>
          </w:tcPr>
          <w:p w14:paraId="258E1C3C"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5B7B32B9" w14:textId="77777777" w:rsidTr="005B58F0">
        <w:trPr>
          <w:gridAfter w:val="1"/>
          <w:wAfter w:w="8" w:type="dxa"/>
          <w:cantSplit/>
        </w:trPr>
        <w:tc>
          <w:tcPr>
            <w:tcW w:w="9631" w:type="dxa"/>
            <w:gridSpan w:val="6"/>
            <w:tcBorders>
              <w:bottom w:val="single" w:sz="4" w:space="0" w:color="BFBFBF"/>
            </w:tcBorders>
            <w:shd w:val="clear" w:color="auto" w:fill="auto"/>
            <w:noWrap/>
            <w:hideMark/>
          </w:tcPr>
          <w:p w14:paraId="04AC27B0" w14:textId="35FD22BC" w:rsidR="00C15C65" w:rsidRPr="002029AF" w:rsidRDefault="00756414" w:rsidP="00D96AFD">
            <w:pPr>
              <w:pStyle w:val="ARtablenoteindent"/>
            </w:pPr>
            <w:r w:rsidRPr="00F00BDC">
              <w:t xml:space="preserve">The result is lower than the target due to the department’s efforts to expedite </w:t>
            </w:r>
            <w:r>
              <w:t xml:space="preserve">the transition of </w:t>
            </w:r>
            <w:r w:rsidRPr="00F00BDC">
              <w:t>people</w:t>
            </w:r>
            <w:r>
              <w:t xml:space="preserve"> with disability to</w:t>
            </w:r>
            <w:r w:rsidRPr="00F00BDC">
              <w:t xml:space="preserve"> the NDIS, </w:t>
            </w:r>
            <w:r>
              <w:t xml:space="preserve">and consequently </w:t>
            </w:r>
            <w:r w:rsidRPr="00F00BDC">
              <w:t>reducing the demand</w:t>
            </w:r>
            <w:r>
              <w:t xml:space="preserve"> for</w:t>
            </w:r>
            <w:r w:rsidRPr="00F00BDC">
              <w:t xml:space="preserve"> state</w:t>
            </w:r>
            <w:r>
              <w:t>-funded respite</w:t>
            </w:r>
            <w:r w:rsidRPr="00F00BDC">
              <w:t xml:space="preserve"> services</w:t>
            </w:r>
          </w:p>
        </w:tc>
      </w:tr>
      <w:tr w:rsidR="00C15C65" w:rsidRPr="002029AF" w14:paraId="54C1A219" w14:textId="77777777" w:rsidTr="00DC3661">
        <w:trPr>
          <w:gridAfter w:val="1"/>
          <w:wAfter w:w="8" w:type="dxa"/>
          <w:cantSplit/>
        </w:trPr>
        <w:tc>
          <w:tcPr>
            <w:tcW w:w="4749" w:type="dxa"/>
            <w:shd w:val="clear" w:color="auto" w:fill="auto"/>
            <w:hideMark/>
          </w:tcPr>
          <w:p w14:paraId="2055CE5B" w14:textId="3F57FF9D" w:rsidR="00C15C65" w:rsidRPr="002029AF" w:rsidRDefault="00C15C65" w:rsidP="00C40F5D">
            <w:pPr>
              <w:pStyle w:val="ARtabletext"/>
            </w:pPr>
            <w:r w:rsidRPr="002029AF">
              <w:t>Clients</w:t>
            </w:r>
            <w:r w:rsidR="000A5329" w:rsidRPr="002029AF">
              <w:t xml:space="preserve"> </w:t>
            </w:r>
            <w:r w:rsidRPr="002029AF">
              <w:t>receiving</w:t>
            </w:r>
            <w:r w:rsidR="000A5329" w:rsidRPr="002029AF">
              <w:t xml:space="preserve"> </w:t>
            </w:r>
            <w:r w:rsidRPr="002029AF">
              <w:t>forensic</w:t>
            </w:r>
            <w:r w:rsidR="000A5329" w:rsidRPr="002029AF">
              <w:t xml:space="preserve"> </w:t>
            </w:r>
            <w:r w:rsidRPr="002029AF">
              <w:t>disability</w:t>
            </w:r>
            <w:r w:rsidR="000A5329" w:rsidRPr="002029AF">
              <w:t xml:space="preserve"> </w:t>
            </w:r>
            <w:r w:rsidRPr="002029AF">
              <w:t>service</w:t>
            </w:r>
          </w:p>
        </w:tc>
        <w:tc>
          <w:tcPr>
            <w:tcW w:w="1018" w:type="dxa"/>
            <w:shd w:val="clear" w:color="auto" w:fill="auto"/>
            <w:hideMark/>
          </w:tcPr>
          <w:p w14:paraId="16DA4929" w14:textId="77777777" w:rsidR="00C15C65" w:rsidRPr="002029AF" w:rsidRDefault="00C15C65" w:rsidP="00C40F5D">
            <w:pPr>
              <w:pStyle w:val="ARtabletext"/>
            </w:pPr>
            <w:r w:rsidRPr="002029AF">
              <w:t>number</w:t>
            </w:r>
          </w:p>
        </w:tc>
        <w:tc>
          <w:tcPr>
            <w:tcW w:w="1017" w:type="dxa"/>
            <w:shd w:val="clear" w:color="auto" w:fill="auto"/>
            <w:hideMark/>
          </w:tcPr>
          <w:p w14:paraId="4F35640A" w14:textId="77777777" w:rsidR="00C15C65" w:rsidRPr="002029AF" w:rsidRDefault="00C15C65" w:rsidP="000024F3">
            <w:pPr>
              <w:pStyle w:val="ARtabletextright"/>
            </w:pPr>
            <w:r w:rsidRPr="002029AF">
              <w:t>750</w:t>
            </w:r>
          </w:p>
        </w:tc>
        <w:tc>
          <w:tcPr>
            <w:tcW w:w="1024" w:type="dxa"/>
            <w:shd w:val="clear" w:color="auto" w:fill="auto"/>
            <w:hideMark/>
          </w:tcPr>
          <w:p w14:paraId="4E4BABAC" w14:textId="77777777" w:rsidR="00C15C65" w:rsidRPr="002029AF" w:rsidRDefault="00C15C65" w:rsidP="000024F3">
            <w:pPr>
              <w:pStyle w:val="ARtabletextright"/>
            </w:pPr>
            <w:r w:rsidRPr="002029AF">
              <w:t>638</w:t>
            </w:r>
          </w:p>
        </w:tc>
        <w:tc>
          <w:tcPr>
            <w:tcW w:w="1028" w:type="dxa"/>
            <w:shd w:val="clear" w:color="auto" w:fill="auto"/>
          </w:tcPr>
          <w:p w14:paraId="4805CFBC" w14:textId="77777777" w:rsidR="00C15C65" w:rsidRPr="002029AF" w:rsidRDefault="00C15C65" w:rsidP="000024F3">
            <w:pPr>
              <w:pStyle w:val="ARtabletextright"/>
            </w:pPr>
            <w:r w:rsidRPr="002029AF">
              <w:t>-14.9</w:t>
            </w:r>
          </w:p>
        </w:tc>
        <w:tc>
          <w:tcPr>
            <w:tcW w:w="795" w:type="dxa"/>
            <w:shd w:val="clear" w:color="auto" w:fill="auto"/>
            <w:hideMark/>
          </w:tcPr>
          <w:p w14:paraId="21FF2881"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44782445" w14:textId="77777777" w:rsidTr="00DC3661">
        <w:trPr>
          <w:gridAfter w:val="1"/>
          <w:wAfter w:w="8" w:type="dxa"/>
          <w:cantSplit/>
        </w:trPr>
        <w:tc>
          <w:tcPr>
            <w:tcW w:w="9631" w:type="dxa"/>
            <w:gridSpan w:val="6"/>
            <w:tcBorders>
              <w:bottom w:val="single" w:sz="4" w:space="0" w:color="auto"/>
            </w:tcBorders>
            <w:shd w:val="clear" w:color="auto" w:fill="auto"/>
            <w:noWrap/>
            <w:hideMark/>
          </w:tcPr>
          <w:p w14:paraId="23746CA1" w14:textId="5C6E9758" w:rsidR="00C15C65" w:rsidRPr="002029AF" w:rsidRDefault="00C15C65" w:rsidP="00D96AFD">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lower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the</w:t>
            </w:r>
            <w:r w:rsidR="000A5329" w:rsidRPr="002029AF">
              <w:t xml:space="preserve"> </w:t>
            </w:r>
            <w:r w:rsidRPr="002029AF">
              <w:t>impact</w:t>
            </w:r>
            <w:r w:rsidR="000A5329" w:rsidRPr="002029AF">
              <w:t xml:space="preserve"> </w:t>
            </w:r>
            <w:r w:rsidRPr="002029AF">
              <w:t>of</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on</w:t>
            </w:r>
            <w:r w:rsidR="000A5329" w:rsidRPr="002029AF">
              <w:t xml:space="preserve"> </w:t>
            </w:r>
            <w:r w:rsidRPr="002029AF">
              <w:t>court</w:t>
            </w:r>
            <w:r w:rsidR="000A5329" w:rsidRPr="002029AF">
              <w:t xml:space="preserve"> </w:t>
            </w:r>
            <w:r w:rsidRPr="002029AF">
              <w:t>processes</w:t>
            </w:r>
            <w:r w:rsidR="000A5329" w:rsidRPr="002029AF">
              <w:t xml:space="preserve"> </w:t>
            </w:r>
            <w:r w:rsidRPr="002029AF">
              <w:t>and</w:t>
            </w:r>
            <w:r w:rsidR="000A5329" w:rsidRPr="002029AF">
              <w:t xml:space="preserve"> </w:t>
            </w:r>
            <w:r w:rsidRPr="002029AF">
              <w:t>referrals.</w:t>
            </w:r>
            <w:r w:rsidR="000A5329" w:rsidRPr="002029AF">
              <w:t xml:space="preserve"> </w:t>
            </w:r>
          </w:p>
        </w:tc>
      </w:tr>
      <w:tr w:rsidR="00C15C65" w:rsidRPr="002029AF" w14:paraId="34B5892E" w14:textId="77777777" w:rsidTr="005B58F0">
        <w:trPr>
          <w:cantSplit/>
        </w:trPr>
        <w:tc>
          <w:tcPr>
            <w:tcW w:w="9639" w:type="dxa"/>
            <w:gridSpan w:val="7"/>
            <w:tcBorders>
              <w:top w:val="single" w:sz="4" w:space="0" w:color="auto"/>
              <w:left w:val="nil"/>
              <w:bottom w:val="nil"/>
              <w:right w:val="nil"/>
            </w:tcBorders>
            <w:hideMark/>
          </w:tcPr>
          <w:p w14:paraId="5014455B" w14:textId="77777777" w:rsidR="00C15C65" w:rsidRPr="002029AF" w:rsidRDefault="00C15C65" w:rsidP="00D96AFD">
            <w:pPr>
              <w:pStyle w:val="ARtablegreybold"/>
            </w:pPr>
            <w:r w:rsidRPr="002029AF">
              <w:lastRenderedPageBreak/>
              <w:t>Quality</w:t>
            </w:r>
          </w:p>
        </w:tc>
      </w:tr>
      <w:tr w:rsidR="00C15C65" w:rsidRPr="002029AF" w14:paraId="070F8D53" w14:textId="77777777" w:rsidTr="005B58F0">
        <w:trPr>
          <w:gridAfter w:val="1"/>
          <w:wAfter w:w="8" w:type="dxa"/>
          <w:cantSplit/>
        </w:trPr>
        <w:tc>
          <w:tcPr>
            <w:tcW w:w="4749" w:type="dxa"/>
            <w:shd w:val="clear" w:color="auto" w:fill="auto"/>
            <w:hideMark/>
          </w:tcPr>
          <w:p w14:paraId="335C6A60" w14:textId="3660EBF1" w:rsidR="00C15C65" w:rsidRPr="002029AF" w:rsidRDefault="00C15C65" w:rsidP="00C40F5D">
            <w:pPr>
              <w:pStyle w:val="ARtabletext"/>
            </w:pPr>
            <w:r w:rsidRPr="002029AF">
              <w:t>Organisations</w:t>
            </w:r>
            <w:r w:rsidR="000A5329" w:rsidRPr="002029AF">
              <w:t xml:space="preserve"> </w:t>
            </w:r>
            <w:r w:rsidRPr="002029AF">
              <w:t>that</w:t>
            </w:r>
            <w:r w:rsidR="000A5329" w:rsidRPr="002029AF">
              <w:t xml:space="preserve"> </w:t>
            </w:r>
            <w:r w:rsidRPr="002029AF">
              <w:t>have</w:t>
            </w:r>
            <w:r w:rsidR="000A5329" w:rsidRPr="002029AF">
              <w:t xml:space="preserve"> </w:t>
            </w:r>
            <w:r w:rsidRPr="002029AF">
              <w:t>successfully</w:t>
            </w:r>
            <w:r w:rsidR="000A5329" w:rsidRPr="002029AF">
              <w:t xml:space="preserve"> </w:t>
            </w:r>
            <w:r w:rsidRPr="002029AF">
              <w:t>completed</w:t>
            </w:r>
            <w:r w:rsidR="000A5329" w:rsidRPr="002029AF">
              <w:t xml:space="preserve"> </w:t>
            </w:r>
            <w:r w:rsidRPr="002029AF">
              <w:t>a</w:t>
            </w:r>
            <w:r w:rsidR="000A5329" w:rsidRPr="002029AF">
              <w:t xml:space="preserve"> </w:t>
            </w:r>
            <w:r w:rsidRPr="002029AF">
              <w:t>certification</w:t>
            </w:r>
            <w:r w:rsidR="000A5329" w:rsidRPr="002029AF">
              <w:t xml:space="preserve"> </w:t>
            </w:r>
            <w:r w:rsidRPr="002029AF">
              <w:t>review</w:t>
            </w:r>
            <w:r w:rsidR="000A5329" w:rsidRPr="002029AF">
              <w:t xml:space="preserve"> </w:t>
            </w:r>
            <w:r w:rsidRPr="002029AF">
              <w:t>(accommodation</w:t>
            </w:r>
            <w:r w:rsidR="000A5329" w:rsidRPr="002029AF">
              <w:t xml:space="preserve"> </w:t>
            </w:r>
            <w:r w:rsidRPr="002029AF">
              <w:t>supports)</w:t>
            </w:r>
          </w:p>
        </w:tc>
        <w:tc>
          <w:tcPr>
            <w:tcW w:w="1018" w:type="dxa"/>
            <w:shd w:val="clear" w:color="auto" w:fill="auto"/>
            <w:hideMark/>
          </w:tcPr>
          <w:p w14:paraId="7B69B558" w14:textId="549D1235" w:rsidR="00C15C65" w:rsidRPr="002029AF" w:rsidRDefault="00C15C65" w:rsidP="00C40F5D">
            <w:pPr>
              <w:pStyle w:val="ARtabletext"/>
            </w:pPr>
            <w:r w:rsidRPr="002029AF">
              <w:t>per</w:t>
            </w:r>
            <w:r w:rsidR="000A5329" w:rsidRPr="002029AF">
              <w:t xml:space="preserve"> </w:t>
            </w:r>
            <w:r w:rsidRPr="002029AF">
              <w:t>cent</w:t>
            </w:r>
          </w:p>
        </w:tc>
        <w:tc>
          <w:tcPr>
            <w:tcW w:w="1017" w:type="dxa"/>
            <w:shd w:val="clear" w:color="auto" w:fill="auto"/>
            <w:hideMark/>
          </w:tcPr>
          <w:p w14:paraId="215EF452" w14:textId="77777777" w:rsidR="00C15C65" w:rsidRPr="002029AF" w:rsidRDefault="00C15C65" w:rsidP="000024F3">
            <w:pPr>
              <w:pStyle w:val="ARtabletextright"/>
            </w:pPr>
            <w:r w:rsidRPr="002029AF">
              <w:t>95</w:t>
            </w:r>
          </w:p>
        </w:tc>
        <w:tc>
          <w:tcPr>
            <w:tcW w:w="1024" w:type="dxa"/>
            <w:shd w:val="clear" w:color="auto" w:fill="auto"/>
            <w:hideMark/>
          </w:tcPr>
          <w:p w14:paraId="52CFB14C" w14:textId="77777777" w:rsidR="00C15C65" w:rsidRPr="002029AF" w:rsidRDefault="00C15C65" w:rsidP="000024F3">
            <w:pPr>
              <w:pStyle w:val="ARtabletextright"/>
            </w:pPr>
            <w:r w:rsidRPr="002029AF">
              <w:t>0</w:t>
            </w:r>
          </w:p>
        </w:tc>
        <w:tc>
          <w:tcPr>
            <w:tcW w:w="1028" w:type="dxa"/>
            <w:shd w:val="clear" w:color="auto" w:fill="auto"/>
          </w:tcPr>
          <w:p w14:paraId="04D1A3B4" w14:textId="77777777" w:rsidR="00C15C65" w:rsidRPr="002029AF" w:rsidRDefault="00C15C65" w:rsidP="000024F3">
            <w:pPr>
              <w:pStyle w:val="ARtabletextright"/>
            </w:pPr>
            <w:r w:rsidRPr="002029AF">
              <w:t>-100.0</w:t>
            </w:r>
          </w:p>
        </w:tc>
        <w:tc>
          <w:tcPr>
            <w:tcW w:w="795" w:type="dxa"/>
            <w:shd w:val="clear" w:color="auto" w:fill="auto"/>
            <w:hideMark/>
          </w:tcPr>
          <w:p w14:paraId="7981E3DD"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67BBDEAD" w14:textId="77777777" w:rsidTr="005B58F0">
        <w:trPr>
          <w:gridAfter w:val="1"/>
          <w:wAfter w:w="8" w:type="dxa"/>
          <w:cantSplit/>
        </w:trPr>
        <w:tc>
          <w:tcPr>
            <w:tcW w:w="9631" w:type="dxa"/>
            <w:gridSpan w:val="6"/>
            <w:tcBorders>
              <w:bottom w:val="single" w:sz="4" w:space="0" w:color="BFBFBF"/>
            </w:tcBorders>
            <w:shd w:val="clear" w:color="auto" w:fill="auto"/>
            <w:noWrap/>
            <w:hideMark/>
          </w:tcPr>
          <w:p w14:paraId="7AAD5C53" w14:textId="5D85B920" w:rsidR="00C15C65" w:rsidRPr="002029AF" w:rsidRDefault="00C15C65" w:rsidP="00E81CAE">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lower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certification</w:t>
            </w:r>
            <w:r w:rsidR="000A5329" w:rsidRPr="002029AF">
              <w:t xml:space="preserve"> </w:t>
            </w:r>
            <w:r w:rsidRPr="002029AF">
              <w:t>reviews</w:t>
            </w:r>
            <w:r w:rsidR="000A5329" w:rsidRPr="002029AF">
              <w:t xml:space="preserve"> </w:t>
            </w:r>
            <w:r w:rsidRPr="002029AF">
              <w:t>being</w:t>
            </w:r>
            <w:r w:rsidR="000A5329" w:rsidRPr="002029AF">
              <w:t xml:space="preserve"> </w:t>
            </w:r>
            <w:r w:rsidRPr="002029AF">
              <w:t>deferred</w:t>
            </w:r>
            <w:r w:rsidR="000A5329" w:rsidRPr="002029AF">
              <w:t xml:space="preserve"> </w:t>
            </w:r>
            <w:r w:rsidRPr="002029AF">
              <w:t>as</w:t>
            </w:r>
            <w:r w:rsidR="000A5329" w:rsidRPr="002029AF">
              <w:t xml:space="preserve"> </w:t>
            </w:r>
            <w:r w:rsidRPr="002029AF">
              <w:t>a</w:t>
            </w:r>
            <w:r w:rsidR="000A5329" w:rsidRPr="002029AF">
              <w:t xml:space="preserve"> </w:t>
            </w:r>
            <w:r w:rsidRPr="002029AF">
              <w:t>result</w:t>
            </w:r>
            <w:r w:rsidR="000A5329" w:rsidRPr="002029AF">
              <w:t xml:space="preserve"> </w:t>
            </w:r>
            <w:r w:rsidRPr="002029AF">
              <w:t>of</w:t>
            </w:r>
            <w:r w:rsidR="000A5329" w:rsidRPr="002029AF">
              <w:t xml:space="preserve"> </w:t>
            </w:r>
            <w:r w:rsidRPr="002029AF">
              <w:t>transition</w:t>
            </w:r>
            <w:r w:rsidR="000A5329" w:rsidRPr="002029AF">
              <w:t xml:space="preserve"> </w:t>
            </w:r>
            <w:r w:rsidRPr="002029AF">
              <w:t>of</w:t>
            </w:r>
            <w:r w:rsidR="000A5329" w:rsidRPr="002029AF">
              <w:t xml:space="preserve"> </w:t>
            </w:r>
            <w:r w:rsidRPr="002029AF">
              <w:t>disability</w:t>
            </w:r>
            <w:r w:rsidR="000A5329" w:rsidRPr="002029AF">
              <w:t xml:space="preserve"> </w:t>
            </w:r>
            <w:r w:rsidRPr="002029AF">
              <w:t>services</w:t>
            </w:r>
            <w:r w:rsidR="000A5329" w:rsidRPr="002029AF">
              <w:t xml:space="preserve"> </w:t>
            </w:r>
            <w:r w:rsidRPr="002029AF">
              <w:t>to</w:t>
            </w:r>
            <w:r w:rsidR="000A5329" w:rsidRPr="002029AF">
              <w:t xml:space="preserve"> </w:t>
            </w:r>
            <w:r w:rsidRPr="002029AF">
              <w:t>NDIS</w:t>
            </w:r>
            <w:r w:rsidR="000A5329" w:rsidRPr="002029AF">
              <w:t xml:space="preserve"> </w:t>
            </w:r>
            <w:r w:rsidRPr="002029AF">
              <w:t>and</w:t>
            </w:r>
            <w:r w:rsidR="000A5329" w:rsidRPr="002029AF">
              <w:t xml:space="preserve"> </w:t>
            </w:r>
            <w:r w:rsidRPr="002029AF">
              <w:t>coronavirus</w:t>
            </w:r>
            <w:r w:rsidR="000A5329" w:rsidRPr="002029AF">
              <w:t xml:space="preserve"> </w:t>
            </w:r>
            <w:r w:rsidRPr="002029AF">
              <w:t>(COVID-19).</w:t>
            </w:r>
          </w:p>
        </w:tc>
      </w:tr>
      <w:tr w:rsidR="00C15C65" w:rsidRPr="002029AF" w14:paraId="22EBA6AB" w14:textId="77777777" w:rsidTr="005B58F0">
        <w:trPr>
          <w:gridAfter w:val="1"/>
          <w:wAfter w:w="8" w:type="dxa"/>
          <w:cantSplit/>
        </w:trPr>
        <w:tc>
          <w:tcPr>
            <w:tcW w:w="4749" w:type="dxa"/>
            <w:shd w:val="clear" w:color="auto" w:fill="auto"/>
            <w:hideMark/>
          </w:tcPr>
          <w:p w14:paraId="2D5A7CDF" w14:textId="3FE2132F" w:rsidR="00C15C65" w:rsidRPr="002029AF" w:rsidRDefault="00C15C65" w:rsidP="00C40F5D">
            <w:pPr>
              <w:pStyle w:val="ARtabletext"/>
            </w:pPr>
            <w:r w:rsidRPr="002029AF">
              <w:t>Organisations</w:t>
            </w:r>
            <w:r w:rsidR="000A5329" w:rsidRPr="002029AF">
              <w:t xml:space="preserve"> </w:t>
            </w:r>
            <w:r w:rsidRPr="002029AF">
              <w:t>that</w:t>
            </w:r>
            <w:r w:rsidR="000A5329" w:rsidRPr="002029AF">
              <w:t xml:space="preserve"> </w:t>
            </w:r>
            <w:r w:rsidRPr="002029AF">
              <w:t>have</w:t>
            </w:r>
            <w:r w:rsidR="000A5329" w:rsidRPr="002029AF">
              <w:t xml:space="preserve"> </w:t>
            </w:r>
            <w:r w:rsidRPr="002029AF">
              <w:t>successfully</w:t>
            </w:r>
            <w:r w:rsidR="000A5329" w:rsidRPr="002029AF">
              <w:t xml:space="preserve"> </w:t>
            </w:r>
            <w:r w:rsidRPr="002029AF">
              <w:t>completed</w:t>
            </w:r>
            <w:r w:rsidR="000A5329" w:rsidRPr="002029AF">
              <w:t xml:space="preserve"> </w:t>
            </w:r>
            <w:r w:rsidRPr="002029AF">
              <w:t>a</w:t>
            </w:r>
            <w:r w:rsidR="000A5329" w:rsidRPr="002029AF">
              <w:t xml:space="preserve"> </w:t>
            </w:r>
            <w:r w:rsidRPr="002029AF">
              <w:t>certification</w:t>
            </w:r>
            <w:r w:rsidR="000A5329" w:rsidRPr="002029AF">
              <w:t xml:space="preserve"> </w:t>
            </w:r>
            <w:r w:rsidRPr="002029AF">
              <w:t>review</w:t>
            </w:r>
            <w:r w:rsidR="000A5329" w:rsidRPr="002029AF">
              <w:t xml:space="preserve"> </w:t>
            </w:r>
            <w:r w:rsidRPr="002029AF">
              <w:t>(client</w:t>
            </w:r>
            <w:r w:rsidR="000A5329" w:rsidRPr="002029AF">
              <w:t xml:space="preserve"> </w:t>
            </w:r>
            <w:r w:rsidRPr="002029AF">
              <w:t>services</w:t>
            </w:r>
            <w:r w:rsidR="000A5329" w:rsidRPr="002029AF">
              <w:t xml:space="preserve"> </w:t>
            </w:r>
            <w:r w:rsidRPr="002029AF">
              <w:t>and</w:t>
            </w:r>
            <w:r w:rsidR="000A5329" w:rsidRPr="002029AF">
              <w:t xml:space="preserve"> </w:t>
            </w:r>
            <w:r w:rsidRPr="002029AF">
              <w:t>capacity)</w:t>
            </w:r>
          </w:p>
        </w:tc>
        <w:tc>
          <w:tcPr>
            <w:tcW w:w="1018" w:type="dxa"/>
            <w:shd w:val="clear" w:color="auto" w:fill="auto"/>
            <w:hideMark/>
          </w:tcPr>
          <w:p w14:paraId="037551AE" w14:textId="23031F18" w:rsidR="00C15C65" w:rsidRPr="002029AF" w:rsidRDefault="00C15C65" w:rsidP="00C40F5D">
            <w:pPr>
              <w:pStyle w:val="ARtabletext"/>
            </w:pPr>
            <w:r w:rsidRPr="002029AF">
              <w:t>per</w:t>
            </w:r>
            <w:r w:rsidR="000A5329" w:rsidRPr="002029AF">
              <w:t xml:space="preserve"> </w:t>
            </w:r>
            <w:r w:rsidRPr="002029AF">
              <w:t>cent</w:t>
            </w:r>
          </w:p>
        </w:tc>
        <w:tc>
          <w:tcPr>
            <w:tcW w:w="1017" w:type="dxa"/>
            <w:shd w:val="clear" w:color="auto" w:fill="auto"/>
            <w:hideMark/>
          </w:tcPr>
          <w:p w14:paraId="46CB2B72" w14:textId="77777777" w:rsidR="00C15C65" w:rsidRPr="002029AF" w:rsidRDefault="00C15C65" w:rsidP="000024F3">
            <w:pPr>
              <w:pStyle w:val="ARtabletextright"/>
            </w:pPr>
            <w:r w:rsidRPr="002029AF">
              <w:t>95</w:t>
            </w:r>
          </w:p>
        </w:tc>
        <w:tc>
          <w:tcPr>
            <w:tcW w:w="1024" w:type="dxa"/>
            <w:shd w:val="clear" w:color="auto" w:fill="auto"/>
            <w:hideMark/>
          </w:tcPr>
          <w:p w14:paraId="7B4E86D5" w14:textId="77777777" w:rsidR="00C15C65" w:rsidRPr="002029AF" w:rsidRDefault="00C15C65" w:rsidP="000024F3">
            <w:pPr>
              <w:pStyle w:val="ARtabletextright"/>
            </w:pPr>
            <w:r w:rsidRPr="002029AF">
              <w:t>100</w:t>
            </w:r>
          </w:p>
        </w:tc>
        <w:tc>
          <w:tcPr>
            <w:tcW w:w="1028" w:type="dxa"/>
            <w:shd w:val="clear" w:color="auto" w:fill="auto"/>
          </w:tcPr>
          <w:p w14:paraId="0E979217" w14:textId="77777777" w:rsidR="00C15C65" w:rsidRPr="002029AF" w:rsidRDefault="00C15C65" w:rsidP="000024F3">
            <w:pPr>
              <w:pStyle w:val="ARtabletextright"/>
            </w:pPr>
            <w:r w:rsidRPr="002029AF">
              <w:t>5.3</w:t>
            </w:r>
          </w:p>
        </w:tc>
        <w:tc>
          <w:tcPr>
            <w:tcW w:w="795" w:type="dxa"/>
            <w:shd w:val="clear" w:color="auto" w:fill="auto"/>
            <w:hideMark/>
          </w:tcPr>
          <w:p w14:paraId="67CC47CE"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6A7BD3A5" w14:textId="77777777" w:rsidTr="005B58F0">
        <w:trPr>
          <w:gridAfter w:val="1"/>
          <w:wAfter w:w="8" w:type="dxa"/>
          <w:cantSplit/>
        </w:trPr>
        <w:tc>
          <w:tcPr>
            <w:tcW w:w="9631" w:type="dxa"/>
            <w:gridSpan w:val="6"/>
            <w:tcBorders>
              <w:bottom w:val="single" w:sz="4" w:space="0" w:color="BFBFBF"/>
            </w:tcBorders>
            <w:shd w:val="clear" w:color="auto" w:fill="auto"/>
            <w:noWrap/>
            <w:hideMark/>
          </w:tcPr>
          <w:p w14:paraId="4565B920" w14:textId="40DC0331" w:rsidR="00C15C65" w:rsidRPr="002029AF" w:rsidRDefault="00C15C65" w:rsidP="00D96AFD">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as</w:t>
            </w:r>
            <w:r w:rsidR="000A5329" w:rsidRPr="002029AF">
              <w:t xml:space="preserve"> </w:t>
            </w:r>
            <w:r w:rsidRPr="002029AF">
              <w:t>all</w:t>
            </w:r>
            <w:r w:rsidR="000A5329" w:rsidRPr="002029AF">
              <w:t xml:space="preserve"> </w:t>
            </w:r>
            <w:r w:rsidRPr="002029AF">
              <w:t>organisations</w:t>
            </w:r>
            <w:r w:rsidR="000A5329" w:rsidRPr="002029AF">
              <w:t xml:space="preserve"> </w:t>
            </w:r>
            <w:r w:rsidRPr="002029AF">
              <w:t>that</w:t>
            </w:r>
            <w:r w:rsidR="000A5329" w:rsidRPr="002029AF">
              <w:t xml:space="preserve"> </w:t>
            </w:r>
            <w:r w:rsidRPr="002029AF">
              <w:t>undertook</w:t>
            </w:r>
            <w:r w:rsidR="000A5329" w:rsidRPr="002029AF">
              <w:t xml:space="preserve"> </w:t>
            </w:r>
            <w:r w:rsidRPr="002029AF">
              <w:t>a</w:t>
            </w:r>
            <w:r w:rsidR="000A5329" w:rsidRPr="002029AF">
              <w:t xml:space="preserve"> </w:t>
            </w:r>
            <w:r w:rsidRPr="002029AF">
              <w:t>certification</w:t>
            </w:r>
            <w:r w:rsidR="000A5329" w:rsidRPr="002029AF">
              <w:t xml:space="preserve"> </w:t>
            </w:r>
            <w:r w:rsidRPr="002029AF">
              <w:t>review</w:t>
            </w:r>
            <w:r w:rsidR="000A5329" w:rsidRPr="002029AF">
              <w:t xml:space="preserve"> </w:t>
            </w:r>
            <w:r w:rsidRPr="002029AF">
              <w:t>achieved</w:t>
            </w:r>
            <w:r w:rsidR="000A5329" w:rsidRPr="002029AF">
              <w:t xml:space="preserve"> </w:t>
            </w:r>
            <w:r w:rsidRPr="002029AF">
              <w:t>certification.</w:t>
            </w:r>
            <w:r w:rsidR="000A5329" w:rsidRPr="002029AF">
              <w:t xml:space="preserve"> </w:t>
            </w:r>
          </w:p>
        </w:tc>
      </w:tr>
      <w:tr w:rsidR="00C15C65" w:rsidRPr="002029AF" w14:paraId="1F40C52D" w14:textId="77777777" w:rsidTr="005B58F0">
        <w:trPr>
          <w:gridAfter w:val="1"/>
          <w:wAfter w:w="8" w:type="dxa"/>
          <w:cantSplit/>
        </w:trPr>
        <w:tc>
          <w:tcPr>
            <w:tcW w:w="4749" w:type="dxa"/>
            <w:shd w:val="clear" w:color="auto" w:fill="auto"/>
            <w:hideMark/>
          </w:tcPr>
          <w:p w14:paraId="2B7344AC" w14:textId="7C010967" w:rsidR="00C15C65" w:rsidRPr="002029AF" w:rsidRDefault="00C15C65" w:rsidP="00C40F5D">
            <w:pPr>
              <w:pStyle w:val="ARtabletext"/>
            </w:pPr>
            <w:r w:rsidRPr="002029AF">
              <w:t>Organisations</w:t>
            </w:r>
            <w:r w:rsidR="000A5329" w:rsidRPr="002029AF">
              <w:t xml:space="preserve"> </w:t>
            </w:r>
            <w:r w:rsidRPr="002029AF">
              <w:t>that</w:t>
            </w:r>
            <w:r w:rsidR="000A5329" w:rsidRPr="002029AF">
              <w:t xml:space="preserve"> </w:t>
            </w:r>
            <w:r w:rsidRPr="002029AF">
              <w:t>have</w:t>
            </w:r>
            <w:r w:rsidR="000A5329" w:rsidRPr="002029AF">
              <w:t xml:space="preserve"> </w:t>
            </w:r>
            <w:r w:rsidRPr="002029AF">
              <w:t>successfully</w:t>
            </w:r>
            <w:r w:rsidR="000A5329" w:rsidRPr="002029AF">
              <w:t xml:space="preserve"> </w:t>
            </w:r>
            <w:r w:rsidRPr="002029AF">
              <w:t>completed</w:t>
            </w:r>
            <w:r w:rsidR="000A5329" w:rsidRPr="002029AF">
              <w:t xml:space="preserve"> </w:t>
            </w:r>
            <w:r w:rsidRPr="002029AF">
              <w:t>a</w:t>
            </w:r>
            <w:r w:rsidR="000A5329" w:rsidRPr="002029AF">
              <w:t xml:space="preserve"> </w:t>
            </w:r>
            <w:r w:rsidRPr="002029AF">
              <w:t>certification</w:t>
            </w:r>
            <w:r w:rsidR="000A5329" w:rsidRPr="002029AF">
              <w:t xml:space="preserve"> </w:t>
            </w:r>
            <w:r w:rsidRPr="002029AF">
              <w:t>review</w:t>
            </w:r>
            <w:r w:rsidR="000A5329" w:rsidRPr="002029AF">
              <w:t xml:space="preserve"> </w:t>
            </w:r>
            <w:r w:rsidRPr="002029AF">
              <w:t>(individualised</w:t>
            </w:r>
            <w:r w:rsidR="000A5329" w:rsidRPr="002029AF">
              <w:t xml:space="preserve"> </w:t>
            </w:r>
            <w:r w:rsidRPr="002029AF">
              <w:t>supports)</w:t>
            </w:r>
          </w:p>
        </w:tc>
        <w:tc>
          <w:tcPr>
            <w:tcW w:w="1018" w:type="dxa"/>
            <w:shd w:val="clear" w:color="auto" w:fill="auto"/>
            <w:hideMark/>
          </w:tcPr>
          <w:p w14:paraId="001E4B43" w14:textId="0137AE3E" w:rsidR="00C15C65" w:rsidRPr="002029AF" w:rsidRDefault="00C15C65" w:rsidP="00C40F5D">
            <w:pPr>
              <w:pStyle w:val="ARtabletext"/>
            </w:pPr>
            <w:r w:rsidRPr="002029AF">
              <w:t>per</w:t>
            </w:r>
            <w:r w:rsidR="000A5329" w:rsidRPr="002029AF">
              <w:t xml:space="preserve"> </w:t>
            </w:r>
            <w:r w:rsidRPr="002029AF">
              <w:t>cent</w:t>
            </w:r>
          </w:p>
        </w:tc>
        <w:tc>
          <w:tcPr>
            <w:tcW w:w="1017" w:type="dxa"/>
            <w:shd w:val="clear" w:color="auto" w:fill="auto"/>
            <w:hideMark/>
          </w:tcPr>
          <w:p w14:paraId="2539F579" w14:textId="77777777" w:rsidR="00C15C65" w:rsidRPr="002029AF" w:rsidRDefault="00C15C65" w:rsidP="000024F3">
            <w:pPr>
              <w:pStyle w:val="ARtabletextright"/>
            </w:pPr>
            <w:r w:rsidRPr="002029AF">
              <w:t>95</w:t>
            </w:r>
          </w:p>
        </w:tc>
        <w:tc>
          <w:tcPr>
            <w:tcW w:w="1024" w:type="dxa"/>
            <w:shd w:val="clear" w:color="auto" w:fill="auto"/>
            <w:hideMark/>
          </w:tcPr>
          <w:p w14:paraId="3B8AFC46" w14:textId="77777777" w:rsidR="00C15C65" w:rsidRPr="002029AF" w:rsidRDefault="00C15C65" w:rsidP="000024F3">
            <w:pPr>
              <w:pStyle w:val="ARtabletextright"/>
            </w:pPr>
            <w:r w:rsidRPr="002029AF">
              <w:t>100</w:t>
            </w:r>
          </w:p>
        </w:tc>
        <w:tc>
          <w:tcPr>
            <w:tcW w:w="1028" w:type="dxa"/>
            <w:shd w:val="clear" w:color="auto" w:fill="auto"/>
          </w:tcPr>
          <w:p w14:paraId="5DFCDF12" w14:textId="77777777" w:rsidR="00C15C65" w:rsidRPr="002029AF" w:rsidRDefault="00C15C65" w:rsidP="000024F3">
            <w:pPr>
              <w:pStyle w:val="ARtabletextright"/>
            </w:pPr>
            <w:r w:rsidRPr="002029AF">
              <w:t>5.3</w:t>
            </w:r>
          </w:p>
        </w:tc>
        <w:tc>
          <w:tcPr>
            <w:tcW w:w="795" w:type="dxa"/>
            <w:shd w:val="clear" w:color="auto" w:fill="auto"/>
            <w:hideMark/>
          </w:tcPr>
          <w:p w14:paraId="4906A6FB"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2B2B805E" w14:textId="77777777" w:rsidTr="005B58F0">
        <w:trPr>
          <w:gridAfter w:val="1"/>
          <w:wAfter w:w="8" w:type="dxa"/>
          <w:cantSplit/>
        </w:trPr>
        <w:tc>
          <w:tcPr>
            <w:tcW w:w="9631" w:type="dxa"/>
            <w:gridSpan w:val="6"/>
            <w:tcBorders>
              <w:bottom w:val="single" w:sz="4" w:space="0" w:color="BFBFBF"/>
            </w:tcBorders>
            <w:shd w:val="clear" w:color="auto" w:fill="auto"/>
            <w:noWrap/>
            <w:hideMark/>
          </w:tcPr>
          <w:p w14:paraId="12D90899" w14:textId="7A6CB425" w:rsidR="00C15C65" w:rsidRPr="002029AF" w:rsidRDefault="00C15C65" w:rsidP="00D96AFD">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as</w:t>
            </w:r>
            <w:r w:rsidR="000A5329" w:rsidRPr="002029AF">
              <w:t xml:space="preserve"> </w:t>
            </w:r>
            <w:r w:rsidRPr="002029AF">
              <w:t>all</w:t>
            </w:r>
            <w:r w:rsidR="000A5329" w:rsidRPr="002029AF">
              <w:t xml:space="preserve"> </w:t>
            </w:r>
            <w:r w:rsidRPr="002029AF">
              <w:t>organisations</w:t>
            </w:r>
            <w:r w:rsidR="000A5329" w:rsidRPr="002029AF">
              <w:t xml:space="preserve"> </w:t>
            </w:r>
            <w:r w:rsidRPr="002029AF">
              <w:t>that</w:t>
            </w:r>
            <w:r w:rsidR="000A5329" w:rsidRPr="002029AF">
              <w:t xml:space="preserve"> </w:t>
            </w:r>
            <w:r w:rsidRPr="002029AF">
              <w:t>undertook</w:t>
            </w:r>
            <w:r w:rsidR="000A5329" w:rsidRPr="002029AF">
              <w:t xml:space="preserve"> </w:t>
            </w:r>
            <w:r w:rsidRPr="002029AF">
              <w:t>a</w:t>
            </w:r>
            <w:r w:rsidR="000A5329" w:rsidRPr="002029AF">
              <w:t xml:space="preserve"> </w:t>
            </w:r>
            <w:r w:rsidRPr="002029AF">
              <w:t>certification</w:t>
            </w:r>
            <w:r w:rsidR="000A5329" w:rsidRPr="002029AF">
              <w:t xml:space="preserve"> </w:t>
            </w:r>
            <w:r w:rsidRPr="002029AF">
              <w:t>review</w:t>
            </w:r>
            <w:r w:rsidR="000A5329" w:rsidRPr="002029AF">
              <w:t xml:space="preserve"> </w:t>
            </w:r>
            <w:r w:rsidRPr="002029AF">
              <w:t>achieved</w:t>
            </w:r>
            <w:r w:rsidR="000A5329" w:rsidRPr="002029AF">
              <w:t xml:space="preserve"> </w:t>
            </w:r>
            <w:r w:rsidRPr="002029AF">
              <w:t>certification.</w:t>
            </w:r>
          </w:p>
        </w:tc>
      </w:tr>
      <w:tr w:rsidR="00C15C65" w:rsidRPr="002029AF" w14:paraId="747C4155" w14:textId="77777777" w:rsidTr="005B58F0">
        <w:trPr>
          <w:cantSplit/>
        </w:trPr>
        <w:tc>
          <w:tcPr>
            <w:tcW w:w="9639" w:type="dxa"/>
            <w:gridSpan w:val="7"/>
            <w:tcBorders>
              <w:top w:val="single" w:sz="4" w:space="0" w:color="auto"/>
              <w:left w:val="nil"/>
              <w:bottom w:val="nil"/>
              <w:right w:val="nil"/>
            </w:tcBorders>
            <w:hideMark/>
          </w:tcPr>
          <w:p w14:paraId="3EE86520" w14:textId="77777777" w:rsidR="00C15C65" w:rsidRPr="002029AF" w:rsidRDefault="00C15C65" w:rsidP="007666A5">
            <w:pPr>
              <w:pStyle w:val="ARtablegreybold"/>
            </w:pPr>
            <w:r w:rsidRPr="002029AF">
              <w:t>Timeliness</w:t>
            </w:r>
          </w:p>
        </w:tc>
      </w:tr>
      <w:tr w:rsidR="00C15C65" w:rsidRPr="002029AF" w14:paraId="56EC8C26" w14:textId="77777777" w:rsidTr="005B58F0">
        <w:trPr>
          <w:gridAfter w:val="1"/>
          <w:wAfter w:w="8" w:type="dxa"/>
          <w:cantSplit/>
        </w:trPr>
        <w:tc>
          <w:tcPr>
            <w:tcW w:w="4749" w:type="dxa"/>
            <w:shd w:val="clear" w:color="auto" w:fill="auto"/>
            <w:hideMark/>
          </w:tcPr>
          <w:p w14:paraId="5DE3495F" w14:textId="719105DB" w:rsidR="00C15C65" w:rsidRPr="002029AF" w:rsidRDefault="00C15C65" w:rsidP="00C40F5D">
            <w:pPr>
              <w:pStyle w:val="ARtabletext"/>
            </w:pPr>
            <w:r w:rsidRPr="002029AF">
              <w:t>Percentage</w:t>
            </w:r>
            <w:r w:rsidR="000A5329" w:rsidRPr="002029AF">
              <w:t xml:space="preserve"> </w:t>
            </w:r>
            <w:r w:rsidRPr="002029AF">
              <w:t>of</w:t>
            </w:r>
            <w:r w:rsidR="000A5329" w:rsidRPr="002029AF">
              <w:t xml:space="preserve"> </w:t>
            </w:r>
            <w:r w:rsidRPr="002029AF">
              <w:t>Specialist</w:t>
            </w:r>
            <w:r w:rsidR="000A5329" w:rsidRPr="002029AF">
              <w:t xml:space="preserve"> </w:t>
            </w:r>
            <w:r w:rsidRPr="002029AF">
              <w:t>Disability</w:t>
            </w:r>
            <w:r w:rsidR="000A5329" w:rsidRPr="002029AF">
              <w:t xml:space="preserve"> </w:t>
            </w:r>
            <w:r w:rsidRPr="002029AF">
              <w:t>Accommodation</w:t>
            </w:r>
            <w:r w:rsidR="000A5329" w:rsidRPr="002029AF">
              <w:t xml:space="preserve"> </w:t>
            </w:r>
            <w:r w:rsidRPr="002029AF">
              <w:t>(SDA)</w:t>
            </w:r>
            <w:r w:rsidR="000A5329" w:rsidRPr="002029AF">
              <w:t xml:space="preserve"> </w:t>
            </w:r>
            <w:r w:rsidRPr="002029AF">
              <w:t>services</w:t>
            </w:r>
            <w:r w:rsidR="000A5329" w:rsidRPr="002029AF">
              <w:t xml:space="preserve"> </w:t>
            </w:r>
            <w:r w:rsidRPr="002029AF">
              <w:t>vacancies</w:t>
            </w:r>
            <w:r w:rsidR="000A5329" w:rsidRPr="002029AF">
              <w:t xml:space="preserve"> </w:t>
            </w:r>
            <w:r w:rsidRPr="002029AF">
              <w:t>filled</w:t>
            </w:r>
            <w:r w:rsidR="000A5329" w:rsidRPr="002029AF">
              <w:t xml:space="preserve"> </w:t>
            </w:r>
            <w:r w:rsidRPr="002029AF">
              <w:t>within</w:t>
            </w:r>
            <w:r w:rsidR="000A5329" w:rsidRPr="002029AF">
              <w:t xml:space="preserve"> </w:t>
            </w:r>
            <w:r w:rsidRPr="002029AF">
              <w:t>60</w:t>
            </w:r>
            <w:r w:rsidR="000A5329" w:rsidRPr="002029AF">
              <w:t xml:space="preserve"> </w:t>
            </w:r>
            <w:r w:rsidRPr="002029AF">
              <w:t>business</w:t>
            </w:r>
            <w:r w:rsidR="000A5329" w:rsidRPr="002029AF">
              <w:t xml:space="preserve"> </w:t>
            </w:r>
            <w:r w:rsidRPr="002029AF">
              <w:t>days</w:t>
            </w:r>
          </w:p>
        </w:tc>
        <w:tc>
          <w:tcPr>
            <w:tcW w:w="1018" w:type="dxa"/>
            <w:shd w:val="clear" w:color="auto" w:fill="auto"/>
            <w:hideMark/>
          </w:tcPr>
          <w:p w14:paraId="7382A623" w14:textId="3D7FCEBB" w:rsidR="00C15C65" w:rsidRPr="002029AF" w:rsidRDefault="00C15C65" w:rsidP="00C40F5D">
            <w:pPr>
              <w:pStyle w:val="ARtabletext"/>
            </w:pPr>
            <w:r w:rsidRPr="002029AF">
              <w:t>per</w:t>
            </w:r>
            <w:r w:rsidR="000A5329" w:rsidRPr="002029AF">
              <w:t xml:space="preserve"> </w:t>
            </w:r>
            <w:r w:rsidRPr="002029AF">
              <w:t>cent</w:t>
            </w:r>
          </w:p>
        </w:tc>
        <w:tc>
          <w:tcPr>
            <w:tcW w:w="1022" w:type="dxa"/>
            <w:shd w:val="clear" w:color="auto" w:fill="auto"/>
            <w:hideMark/>
          </w:tcPr>
          <w:p w14:paraId="762C8ABE" w14:textId="77777777" w:rsidR="00C15C65" w:rsidRPr="002029AF" w:rsidRDefault="00C15C65" w:rsidP="000024F3">
            <w:pPr>
              <w:pStyle w:val="ARtabletextright"/>
            </w:pPr>
            <w:r w:rsidRPr="002029AF">
              <w:t>100</w:t>
            </w:r>
          </w:p>
        </w:tc>
        <w:tc>
          <w:tcPr>
            <w:tcW w:w="1019" w:type="dxa"/>
            <w:shd w:val="clear" w:color="auto" w:fill="auto"/>
            <w:hideMark/>
          </w:tcPr>
          <w:p w14:paraId="25D388F2" w14:textId="77777777" w:rsidR="00C15C65" w:rsidRPr="002029AF" w:rsidRDefault="00C15C65" w:rsidP="000024F3">
            <w:pPr>
              <w:pStyle w:val="ARtabletextright"/>
            </w:pPr>
            <w:r w:rsidRPr="002029AF">
              <w:t>0</w:t>
            </w:r>
          </w:p>
        </w:tc>
        <w:tc>
          <w:tcPr>
            <w:tcW w:w="1028" w:type="dxa"/>
            <w:shd w:val="clear" w:color="auto" w:fill="auto"/>
          </w:tcPr>
          <w:p w14:paraId="3F39715F" w14:textId="77777777" w:rsidR="00C15C65" w:rsidRPr="002029AF" w:rsidRDefault="00C15C65" w:rsidP="000024F3">
            <w:pPr>
              <w:pStyle w:val="ARtabletextright"/>
            </w:pPr>
            <w:r w:rsidRPr="002029AF">
              <w:t>-100.0</w:t>
            </w:r>
          </w:p>
        </w:tc>
        <w:tc>
          <w:tcPr>
            <w:tcW w:w="795" w:type="dxa"/>
            <w:shd w:val="clear" w:color="auto" w:fill="auto"/>
            <w:hideMark/>
          </w:tcPr>
          <w:p w14:paraId="19BF31F7"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08D653E7" w14:textId="77777777" w:rsidTr="005B58F0">
        <w:trPr>
          <w:gridAfter w:val="1"/>
          <w:wAfter w:w="8" w:type="dxa"/>
          <w:cantSplit/>
        </w:trPr>
        <w:tc>
          <w:tcPr>
            <w:tcW w:w="9631" w:type="dxa"/>
            <w:gridSpan w:val="6"/>
            <w:tcBorders>
              <w:bottom w:val="single" w:sz="4" w:space="0" w:color="BFBFBF"/>
            </w:tcBorders>
            <w:shd w:val="clear" w:color="auto" w:fill="auto"/>
            <w:noWrap/>
            <w:hideMark/>
          </w:tcPr>
          <w:p w14:paraId="4BC96938" w14:textId="3A2E276A" w:rsidR="00C15C65" w:rsidRPr="002029AF" w:rsidRDefault="00C15C65" w:rsidP="00B54B88">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lower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all</w:t>
            </w:r>
            <w:r w:rsidR="000A5329" w:rsidRPr="002029AF">
              <w:t xml:space="preserve"> </w:t>
            </w:r>
            <w:r w:rsidRPr="002029AF">
              <w:t>Specialist</w:t>
            </w:r>
            <w:r w:rsidR="000A5329" w:rsidRPr="002029AF">
              <w:t xml:space="preserve"> </w:t>
            </w:r>
            <w:r w:rsidRPr="002029AF">
              <w:t>Disability</w:t>
            </w:r>
            <w:r w:rsidR="000A5329" w:rsidRPr="002029AF">
              <w:t xml:space="preserve"> </w:t>
            </w:r>
            <w:r w:rsidRPr="002029AF">
              <w:t>Accommodation</w:t>
            </w:r>
            <w:r w:rsidR="000A5329" w:rsidRPr="002029AF">
              <w:t xml:space="preserve"> </w:t>
            </w:r>
            <w:r w:rsidRPr="002029AF">
              <w:t>(SDA)</w:t>
            </w:r>
            <w:r w:rsidR="000A5329" w:rsidRPr="002029AF">
              <w:t xml:space="preserve"> </w:t>
            </w:r>
            <w:r w:rsidRPr="002029AF">
              <w:t>properties</w:t>
            </w:r>
            <w:r w:rsidR="000A5329" w:rsidRPr="002029AF">
              <w:t xml:space="preserve"> </w:t>
            </w:r>
            <w:r w:rsidRPr="002029AF">
              <w:t>and</w:t>
            </w:r>
            <w:r w:rsidR="000A5329" w:rsidRPr="002029AF">
              <w:t xml:space="preserve"> </w:t>
            </w:r>
            <w:r w:rsidRPr="002029AF">
              <w:t>residents</w:t>
            </w:r>
            <w:r w:rsidR="000A5329" w:rsidRPr="002029AF">
              <w:t xml:space="preserve"> </w:t>
            </w:r>
            <w:r w:rsidRPr="002029AF">
              <w:t>in</w:t>
            </w:r>
            <w:r w:rsidR="000A5329" w:rsidRPr="002029AF">
              <w:t xml:space="preserve"> </w:t>
            </w:r>
            <w:r w:rsidRPr="002029AF">
              <w:t>all</w:t>
            </w:r>
            <w:r w:rsidR="000A5329" w:rsidRPr="002029AF">
              <w:t xml:space="preserve"> </w:t>
            </w:r>
            <w:r w:rsidRPr="002029AF">
              <w:t>areas</w:t>
            </w:r>
            <w:r w:rsidR="000A5329" w:rsidRPr="002029AF">
              <w:t xml:space="preserve"> </w:t>
            </w:r>
            <w:r w:rsidRPr="002029AF">
              <w:t>in</w:t>
            </w:r>
            <w:r w:rsidR="000A5329" w:rsidRPr="002029AF">
              <w:t xml:space="preserve"> </w:t>
            </w:r>
            <w:r w:rsidRPr="002029AF">
              <w:t>Victoria</w:t>
            </w:r>
            <w:r w:rsidR="000A5329" w:rsidRPr="002029AF">
              <w:t xml:space="preserve"> </w:t>
            </w:r>
            <w:r w:rsidRPr="002029AF">
              <w:t>having</w:t>
            </w:r>
            <w:r w:rsidR="000A5329" w:rsidRPr="002029AF">
              <w:t xml:space="preserve"> </w:t>
            </w:r>
            <w:r w:rsidRPr="002029AF">
              <w:t>transitioned</w:t>
            </w:r>
            <w:r w:rsidR="000A5329" w:rsidRPr="002029AF">
              <w:t xml:space="preserve"> </w:t>
            </w:r>
            <w:r w:rsidRPr="002029AF">
              <w:t>to</w:t>
            </w:r>
            <w:r w:rsidR="000A5329" w:rsidRPr="002029AF">
              <w:t xml:space="preserve"> </w:t>
            </w:r>
            <w:r w:rsidRPr="002029AF">
              <w:t>the</w:t>
            </w:r>
            <w:r w:rsidR="000A5329" w:rsidRPr="002029AF">
              <w:t xml:space="preserve"> </w:t>
            </w:r>
            <w:r w:rsidRPr="002029AF">
              <w:t>NDIS.</w:t>
            </w:r>
            <w:r w:rsidR="000A5329" w:rsidRPr="002029AF">
              <w:t xml:space="preserve"> </w:t>
            </w:r>
            <w:r w:rsidR="00B54B88" w:rsidRPr="00B54B88">
              <w:t>Filling of SDA vacancies relies on participants having SDA funding in their NDIS plan and securing SDA funding in a plan from the NDIS is taking up to 6 months for some participants. This is impacting on the department’s ability to fill vacancies within the designated timeframe.</w:t>
            </w:r>
            <w:r w:rsidR="000A5329" w:rsidRPr="002029AF">
              <w:t xml:space="preserve"> </w:t>
            </w:r>
            <w:r w:rsidRPr="002029AF">
              <w:t>Since</w:t>
            </w:r>
            <w:r w:rsidR="000A5329" w:rsidRPr="002029AF">
              <w:t xml:space="preserve"> </w:t>
            </w:r>
            <w:r w:rsidRPr="002029AF">
              <w:t>March</w:t>
            </w:r>
            <w:r w:rsidR="000A5329" w:rsidRPr="002029AF">
              <w:t xml:space="preserve"> </w:t>
            </w:r>
            <w:r w:rsidRPr="002029AF">
              <w:t>2020,</w:t>
            </w:r>
            <w:r w:rsidR="000A5329" w:rsidRPr="002029AF">
              <w:t xml:space="preserve"> </w:t>
            </w:r>
            <w:r w:rsidRPr="002029AF">
              <w:t>there</w:t>
            </w:r>
            <w:r w:rsidR="000A5329" w:rsidRPr="002029AF">
              <w:t xml:space="preserve"> </w:t>
            </w:r>
            <w:r w:rsidRPr="002029AF">
              <w:t>has</w:t>
            </w:r>
            <w:r w:rsidR="000A5329" w:rsidRPr="002029AF">
              <w:t xml:space="preserve"> </w:t>
            </w:r>
            <w:r w:rsidRPr="002029AF">
              <w:t>been</w:t>
            </w:r>
            <w:r w:rsidR="000A5329" w:rsidRPr="002029AF">
              <w:t xml:space="preserve"> </w:t>
            </w:r>
            <w:r w:rsidRPr="002029AF">
              <w:t>a</w:t>
            </w:r>
            <w:r w:rsidR="000A5329" w:rsidRPr="002029AF">
              <w:t xml:space="preserve"> </w:t>
            </w:r>
            <w:r w:rsidRPr="002029AF">
              <w:t>significant</w:t>
            </w:r>
            <w:r w:rsidR="000A5329" w:rsidRPr="002029AF">
              <w:t xml:space="preserve"> </w:t>
            </w:r>
            <w:r w:rsidRPr="002029AF">
              <w:t>decrease</w:t>
            </w:r>
            <w:r w:rsidR="000A5329" w:rsidRPr="002029AF">
              <w:t xml:space="preserve"> </w:t>
            </w:r>
            <w:r w:rsidRPr="002029AF">
              <w:t>in</w:t>
            </w:r>
            <w:r w:rsidR="000A5329" w:rsidRPr="002029AF">
              <w:t xml:space="preserve"> </w:t>
            </w:r>
            <w:r w:rsidRPr="002029AF">
              <w:t>applications</w:t>
            </w:r>
            <w:r w:rsidR="000A5329" w:rsidRPr="002029AF">
              <w:t xml:space="preserve"> </w:t>
            </w:r>
            <w:r w:rsidRPr="002029AF">
              <w:t>for</w:t>
            </w:r>
            <w:r w:rsidR="000A5329" w:rsidRPr="002029AF">
              <w:t xml:space="preserve"> </w:t>
            </w:r>
            <w:r w:rsidRPr="002029AF">
              <w:t>SDA</w:t>
            </w:r>
            <w:r w:rsidR="000A5329" w:rsidRPr="002029AF">
              <w:t xml:space="preserve"> </w:t>
            </w:r>
            <w:r w:rsidRPr="002029AF">
              <w:t>accommodation</w:t>
            </w:r>
            <w:r w:rsidR="000A5329" w:rsidRPr="002029AF">
              <w:t xml:space="preserve"> </w:t>
            </w:r>
            <w:r w:rsidRPr="002029AF">
              <w:t>due</w:t>
            </w:r>
            <w:r w:rsidR="000A5329" w:rsidRPr="002029AF">
              <w:t xml:space="preserve"> </w:t>
            </w:r>
            <w:r w:rsidRPr="002029AF">
              <w:t>to</w:t>
            </w:r>
            <w:r w:rsidR="000A5329" w:rsidRPr="002029AF">
              <w:t xml:space="preserve"> </w:t>
            </w:r>
            <w:r w:rsidRPr="002029AF">
              <w:t>the</w:t>
            </w:r>
            <w:r w:rsidR="000A5329" w:rsidRPr="002029AF">
              <w:t xml:space="preserve"> </w:t>
            </w:r>
            <w:r w:rsidRPr="002029AF">
              <w:t>impacts</w:t>
            </w:r>
            <w:r w:rsidR="000A5329" w:rsidRPr="002029AF">
              <w:t xml:space="preserve"> </w:t>
            </w:r>
            <w:r w:rsidRPr="002029AF">
              <w:t>of</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Open</w:t>
            </w:r>
            <w:r w:rsidR="000A5329" w:rsidRPr="002029AF">
              <w:t xml:space="preserve"> </w:t>
            </w:r>
            <w:r w:rsidRPr="002029AF">
              <w:t>for</w:t>
            </w:r>
            <w:r w:rsidR="000A5329" w:rsidRPr="002029AF">
              <w:t xml:space="preserve"> </w:t>
            </w:r>
            <w:r w:rsidRPr="002029AF">
              <w:t>inspections</w:t>
            </w:r>
            <w:r w:rsidR="000A5329" w:rsidRPr="002029AF">
              <w:t xml:space="preserve"> </w:t>
            </w:r>
            <w:r w:rsidRPr="002029AF">
              <w:t>have</w:t>
            </w:r>
            <w:r w:rsidR="000A5329" w:rsidRPr="002029AF">
              <w:t xml:space="preserve"> </w:t>
            </w:r>
            <w:r w:rsidRPr="002029AF">
              <w:t>ceased</w:t>
            </w:r>
            <w:r w:rsidR="000A5329" w:rsidRPr="002029AF">
              <w:t xml:space="preserve"> </w:t>
            </w:r>
            <w:r w:rsidRPr="002029AF">
              <w:t>as</w:t>
            </w:r>
            <w:r w:rsidR="000A5329" w:rsidRPr="002029AF">
              <w:t xml:space="preserve"> </w:t>
            </w:r>
            <w:r w:rsidRPr="002029AF">
              <w:t>required</w:t>
            </w:r>
            <w:r w:rsidR="000A5329" w:rsidRPr="002029AF">
              <w:t xml:space="preserve"> </w:t>
            </w:r>
            <w:r w:rsidRPr="002029AF">
              <w:t>by</w:t>
            </w:r>
            <w:r w:rsidR="000A5329" w:rsidRPr="002029AF">
              <w:t xml:space="preserve"> </w:t>
            </w:r>
            <w:r w:rsidRPr="002029AF">
              <w:t>the</w:t>
            </w:r>
            <w:r w:rsidR="000A5329" w:rsidRPr="002029AF">
              <w:t xml:space="preserve"> </w:t>
            </w:r>
            <w:r w:rsidRPr="002029AF">
              <w:t>care</w:t>
            </w:r>
            <w:r w:rsidR="000A5329" w:rsidRPr="002029AF">
              <w:t xml:space="preserve"> </w:t>
            </w:r>
            <w:r w:rsidRPr="002029AF">
              <w:t>facilities</w:t>
            </w:r>
            <w:r w:rsidR="000A5329" w:rsidRPr="002029AF">
              <w:t xml:space="preserve"> </w:t>
            </w:r>
            <w:r w:rsidRPr="002029AF">
              <w:t>directions</w:t>
            </w:r>
            <w:r w:rsidR="000A5329" w:rsidRPr="002029AF">
              <w:t xml:space="preserve"> </w:t>
            </w:r>
            <w:r w:rsidRPr="002029AF">
              <w:t>and</w:t>
            </w:r>
            <w:r w:rsidR="000A5329" w:rsidRPr="002029AF">
              <w:t xml:space="preserve"> </w:t>
            </w:r>
            <w:r w:rsidRPr="002029AF">
              <w:t>there</w:t>
            </w:r>
            <w:r w:rsidR="000A5329" w:rsidRPr="002029AF">
              <w:t xml:space="preserve"> </w:t>
            </w:r>
            <w:r w:rsidRPr="002029AF">
              <w:t>has</w:t>
            </w:r>
            <w:r w:rsidR="000A5329" w:rsidRPr="002029AF">
              <w:t xml:space="preserve"> </w:t>
            </w:r>
            <w:r w:rsidRPr="002029AF">
              <w:t>been</w:t>
            </w:r>
            <w:r w:rsidR="000A5329" w:rsidRPr="002029AF">
              <w:t xml:space="preserve"> </w:t>
            </w:r>
            <w:r w:rsidRPr="002029AF">
              <w:t>a</w:t>
            </w:r>
            <w:r w:rsidR="000A5329" w:rsidRPr="002029AF">
              <w:t xml:space="preserve"> </w:t>
            </w:r>
            <w:r w:rsidRPr="002029AF">
              <w:t>substantial</w:t>
            </w:r>
            <w:r w:rsidR="000A5329" w:rsidRPr="002029AF">
              <w:t xml:space="preserve"> </w:t>
            </w:r>
            <w:r w:rsidRPr="002029AF">
              <w:t>reduction</w:t>
            </w:r>
            <w:r w:rsidR="000A5329" w:rsidRPr="002029AF">
              <w:t xml:space="preserve"> </w:t>
            </w:r>
            <w:r w:rsidRPr="002029AF">
              <w:t>in</w:t>
            </w:r>
            <w:r w:rsidR="000A5329" w:rsidRPr="002029AF">
              <w:t xml:space="preserve"> </w:t>
            </w:r>
            <w:r w:rsidRPr="002029AF">
              <w:t>enquiries</w:t>
            </w:r>
            <w:r w:rsidR="000A5329" w:rsidRPr="002029AF">
              <w:t xml:space="preserve"> </w:t>
            </w:r>
            <w:r w:rsidRPr="002029AF">
              <w:t>about</w:t>
            </w:r>
            <w:r w:rsidR="000A5329" w:rsidRPr="002029AF">
              <w:t xml:space="preserve"> </w:t>
            </w:r>
            <w:r w:rsidRPr="002029AF">
              <w:t>vacancies</w:t>
            </w:r>
            <w:r w:rsidR="000A5329" w:rsidRPr="002029AF">
              <w:t xml:space="preserve"> </w:t>
            </w:r>
            <w:r w:rsidRPr="002029AF">
              <w:t>via</w:t>
            </w:r>
            <w:r w:rsidR="000A5329" w:rsidRPr="002029AF">
              <w:t xml:space="preserve"> </w:t>
            </w:r>
            <w:r w:rsidRPr="002029AF">
              <w:t>SDA</w:t>
            </w:r>
            <w:r w:rsidR="000A5329" w:rsidRPr="002029AF">
              <w:t xml:space="preserve"> </w:t>
            </w:r>
            <w:r w:rsidRPr="002029AF">
              <w:t>The</w:t>
            </w:r>
            <w:r w:rsidR="000A5329" w:rsidRPr="002029AF">
              <w:t xml:space="preserve"> </w:t>
            </w:r>
            <w:r w:rsidRPr="002029AF">
              <w:t>Housing</w:t>
            </w:r>
            <w:r w:rsidR="000A5329" w:rsidRPr="002029AF">
              <w:t xml:space="preserve"> </w:t>
            </w:r>
            <w:r w:rsidRPr="002029AF">
              <w:t>Hub.</w:t>
            </w:r>
          </w:p>
        </w:tc>
      </w:tr>
      <w:tr w:rsidR="00C15C65" w:rsidRPr="002029AF" w14:paraId="1856BE15" w14:textId="77777777" w:rsidTr="005B58F0">
        <w:trPr>
          <w:cantSplit/>
        </w:trPr>
        <w:tc>
          <w:tcPr>
            <w:tcW w:w="9639" w:type="dxa"/>
            <w:gridSpan w:val="7"/>
            <w:tcBorders>
              <w:top w:val="single" w:sz="4" w:space="0" w:color="auto"/>
              <w:left w:val="nil"/>
              <w:bottom w:val="nil"/>
              <w:right w:val="nil"/>
            </w:tcBorders>
            <w:hideMark/>
          </w:tcPr>
          <w:p w14:paraId="215D6E21" w14:textId="77777777" w:rsidR="00C15C65" w:rsidRPr="002029AF" w:rsidRDefault="00C15C65" w:rsidP="00CA3123">
            <w:pPr>
              <w:pStyle w:val="ARtablegreybold"/>
              <w:keepNext/>
            </w:pPr>
            <w:r w:rsidRPr="002029AF">
              <w:t>Cost</w:t>
            </w:r>
          </w:p>
        </w:tc>
      </w:tr>
      <w:tr w:rsidR="00C15C65" w:rsidRPr="002029AF" w14:paraId="53CEB9A4" w14:textId="77777777" w:rsidTr="005B58F0">
        <w:trPr>
          <w:cantSplit/>
        </w:trPr>
        <w:tc>
          <w:tcPr>
            <w:tcW w:w="4749" w:type="dxa"/>
            <w:hideMark/>
          </w:tcPr>
          <w:p w14:paraId="52C6FA27" w14:textId="36365131" w:rsidR="00C15C65" w:rsidRPr="002029AF" w:rsidRDefault="00C15C65" w:rsidP="00C40F5D">
            <w:pPr>
              <w:pStyle w:val="ARtabletext"/>
              <w:rPr>
                <w:b/>
              </w:rPr>
            </w:pPr>
            <w:r w:rsidRPr="002029AF">
              <w:rPr>
                <w:b/>
              </w:rPr>
              <w:t>Total</w:t>
            </w:r>
            <w:r w:rsidR="000A5329" w:rsidRPr="002029AF">
              <w:rPr>
                <w:b/>
              </w:rPr>
              <w:t xml:space="preserve"> </w:t>
            </w:r>
            <w:r w:rsidRPr="002029AF">
              <w:rPr>
                <w:b/>
              </w:rPr>
              <w:t>output</w:t>
            </w:r>
            <w:r w:rsidR="000A5329" w:rsidRPr="002029AF">
              <w:rPr>
                <w:b/>
              </w:rPr>
              <w:t xml:space="preserve"> </w:t>
            </w:r>
            <w:r w:rsidRPr="002029AF">
              <w:rPr>
                <w:b/>
              </w:rPr>
              <w:t>cost</w:t>
            </w:r>
          </w:p>
        </w:tc>
        <w:tc>
          <w:tcPr>
            <w:tcW w:w="1018" w:type="dxa"/>
            <w:hideMark/>
          </w:tcPr>
          <w:p w14:paraId="367791CB" w14:textId="0A422A9B" w:rsidR="00C15C65" w:rsidRPr="002029AF" w:rsidRDefault="00C15C65" w:rsidP="00C40F5D">
            <w:pPr>
              <w:pStyle w:val="ARtabletext"/>
              <w:rPr>
                <w:b/>
              </w:rPr>
            </w:pPr>
            <w:r w:rsidRPr="002029AF">
              <w:rPr>
                <w:b/>
              </w:rPr>
              <w:t>$</w:t>
            </w:r>
            <w:r w:rsidR="000A5329" w:rsidRPr="002029AF">
              <w:rPr>
                <w:b/>
              </w:rPr>
              <w:t xml:space="preserve"> </w:t>
            </w:r>
            <w:r w:rsidRPr="002029AF">
              <w:rPr>
                <w:b/>
              </w:rPr>
              <w:t>million</w:t>
            </w:r>
          </w:p>
        </w:tc>
        <w:tc>
          <w:tcPr>
            <w:tcW w:w="1017" w:type="dxa"/>
          </w:tcPr>
          <w:p w14:paraId="2420FA9B" w14:textId="77777777" w:rsidR="00C15C65" w:rsidRPr="002029AF" w:rsidRDefault="00C15C65" w:rsidP="00C9755D">
            <w:pPr>
              <w:pStyle w:val="ARtabletextrightbold"/>
            </w:pPr>
            <w:r w:rsidRPr="002029AF">
              <w:t>632.2</w:t>
            </w:r>
          </w:p>
        </w:tc>
        <w:tc>
          <w:tcPr>
            <w:tcW w:w="1024" w:type="dxa"/>
          </w:tcPr>
          <w:p w14:paraId="203AC854" w14:textId="77777777" w:rsidR="00C15C65" w:rsidRPr="002029AF" w:rsidRDefault="00C15C65" w:rsidP="00C9755D">
            <w:pPr>
              <w:pStyle w:val="ARtabletextrightbold"/>
            </w:pPr>
            <w:r w:rsidRPr="002029AF">
              <w:t>563.4</w:t>
            </w:r>
          </w:p>
        </w:tc>
        <w:tc>
          <w:tcPr>
            <w:tcW w:w="1028" w:type="dxa"/>
          </w:tcPr>
          <w:p w14:paraId="0A2404F4" w14:textId="77777777" w:rsidR="00C15C65" w:rsidRPr="002029AF" w:rsidRDefault="00C15C65" w:rsidP="00C9755D">
            <w:pPr>
              <w:pStyle w:val="ARtabletextrightbold"/>
            </w:pPr>
            <w:r w:rsidRPr="002029AF">
              <w:t>-10.9</w:t>
            </w:r>
          </w:p>
        </w:tc>
        <w:tc>
          <w:tcPr>
            <w:tcW w:w="803" w:type="dxa"/>
            <w:gridSpan w:val="2"/>
          </w:tcPr>
          <w:p w14:paraId="22DEAE3A" w14:textId="77777777" w:rsidR="00C15C65" w:rsidRPr="002029AF" w:rsidRDefault="00C15C65" w:rsidP="00C40F5D">
            <w:pPr>
              <w:pStyle w:val="ARtabletext"/>
              <w:rPr>
                <w:b/>
              </w:rPr>
            </w:pPr>
          </w:p>
        </w:tc>
      </w:tr>
      <w:tr w:rsidR="00C15C65" w:rsidRPr="002029AF" w14:paraId="79BEE96B" w14:textId="77777777" w:rsidTr="005B58F0">
        <w:trPr>
          <w:cantSplit/>
        </w:trPr>
        <w:tc>
          <w:tcPr>
            <w:tcW w:w="9639" w:type="dxa"/>
            <w:gridSpan w:val="7"/>
            <w:tcBorders>
              <w:top w:val="nil"/>
              <w:left w:val="nil"/>
              <w:bottom w:val="single" w:sz="4" w:space="0" w:color="auto"/>
              <w:right w:val="nil"/>
            </w:tcBorders>
            <w:noWrap/>
            <w:hideMark/>
          </w:tcPr>
          <w:p w14:paraId="3CB4A8DD" w14:textId="50E70D13" w:rsidR="00C15C65" w:rsidRPr="002029AF" w:rsidRDefault="00C15C65" w:rsidP="00C40F5D">
            <w:pPr>
              <w:pStyle w:val="ARtabletext"/>
            </w:pPr>
            <w:r w:rsidRPr="002029AF">
              <w:t>The</w:t>
            </w:r>
            <w:r w:rsidR="000A5329" w:rsidRPr="002029AF">
              <w:t xml:space="preserve"> </w:t>
            </w:r>
            <w:r w:rsidRPr="002029AF">
              <w:t>201</w:t>
            </w:r>
            <w:r w:rsidR="00DB53E6" w:rsidRPr="002029AF">
              <w:t>9–</w:t>
            </w:r>
            <w:r w:rsidRPr="002029AF">
              <w:t>20</w:t>
            </w:r>
            <w:r w:rsidR="000A5329" w:rsidRPr="002029AF">
              <w:t xml:space="preserve"> </w:t>
            </w:r>
            <w:r w:rsidRPr="002029AF">
              <w:t>actual</w:t>
            </w:r>
            <w:r w:rsidR="000A5329" w:rsidRPr="002029AF">
              <w:t xml:space="preserve"> </w:t>
            </w:r>
            <w:r w:rsidRPr="002029AF">
              <w:t>outcome</w:t>
            </w:r>
            <w:r w:rsidR="000A5329" w:rsidRPr="002029AF">
              <w:t xml:space="preserve"> </w:t>
            </w:r>
            <w:r w:rsidRPr="002029AF">
              <w:t>primarily</w:t>
            </w:r>
            <w:r w:rsidR="000A5329" w:rsidRPr="002029AF">
              <w:t xml:space="preserve"> </w:t>
            </w:r>
            <w:r w:rsidRPr="002029AF">
              <w:t>reflects</w:t>
            </w:r>
            <w:r w:rsidR="000A5329" w:rsidRPr="002029AF">
              <w:t xml:space="preserve"> </w:t>
            </w:r>
            <w:r w:rsidRPr="002029AF">
              <w:t>higher</w:t>
            </w:r>
            <w:r w:rsidR="000A5329" w:rsidRPr="002029AF">
              <w:t xml:space="preserve"> </w:t>
            </w:r>
            <w:r w:rsidRPr="002029AF">
              <w:t>than</w:t>
            </w:r>
            <w:r w:rsidR="000A5329" w:rsidRPr="002029AF">
              <w:t xml:space="preserve"> </w:t>
            </w:r>
            <w:r w:rsidRPr="002029AF">
              <w:t>forecasted</w:t>
            </w:r>
            <w:r w:rsidR="000A5329" w:rsidRPr="002029AF">
              <w:t xml:space="preserve"> </w:t>
            </w:r>
            <w:r w:rsidRPr="002029AF">
              <w:t>in-kind</w:t>
            </w:r>
            <w:r w:rsidR="000A5329" w:rsidRPr="002029AF">
              <w:t xml:space="preserve"> </w:t>
            </w:r>
            <w:r w:rsidRPr="002029AF">
              <w:t>contributions</w:t>
            </w:r>
            <w:r w:rsidR="000A5329" w:rsidRPr="002029AF">
              <w:t xml:space="preserve"> </w:t>
            </w:r>
            <w:r w:rsidRPr="002029AF">
              <w:t>to</w:t>
            </w:r>
            <w:r w:rsidR="000A5329" w:rsidRPr="002029AF">
              <w:t xml:space="preserve"> </w:t>
            </w:r>
            <w:r w:rsidRPr="002029AF">
              <w:t>the</w:t>
            </w:r>
            <w:r w:rsidR="000A5329" w:rsidRPr="002029AF">
              <w:t xml:space="preserve"> </w:t>
            </w:r>
            <w:r w:rsidRPr="002029AF">
              <w:t>National</w:t>
            </w:r>
            <w:r w:rsidR="000A5329" w:rsidRPr="002029AF">
              <w:t xml:space="preserve"> </w:t>
            </w:r>
            <w:r w:rsidRPr="002029AF">
              <w:t>Disability</w:t>
            </w:r>
            <w:r w:rsidR="000A5329" w:rsidRPr="002029AF">
              <w:t xml:space="preserve"> </w:t>
            </w:r>
            <w:r w:rsidRPr="002029AF">
              <w:t>Insurance</w:t>
            </w:r>
            <w:r w:rsidR="000A5329" w:rsidRPr="002029AF">
              <w:t xml:space="preserve"> </w:t>
            </w:r>
            <w:r w:rsidRPr="002029AF">
              <w:t>Scheme</w:t>
            </w:r>
            <w:r w:rsidR="000A5329" w:rsidRPr="002029AF">
              <w:t xml:space="preserve"> </w:t>
            </w:r>
            <w:r w:rsidRPr="002029AF">
              <w:t>from</w:t>
            </w:r>
            <w:r w:rsidR="000A5329" w:rsidRPr="002029AF">
              <w:t xml:space="preserve"> </w:t>
            </w:r>
            <w:r w:rsidRPr="002029AF">
              <w:t>the</w:t>
            </w:r>
            <w:r w:rsidR="000A5329" w:rsidRPr="002029AF">
              <w:t xml:space="preserve"> </w:t>
            </w:r>
            <w:r w:rsidRPr="002029AF">
              <w:t>Disability</w:t>
            </w:r>
            <w:r w:rsidR="000A5329" w:rsidRPr="002029AF">
              <w:t xml:space="preserve"> </w:t>
            </w:r>
            <w:r w:rsidRPr="002029AF">
              <w:t>Services</w:t>
            </w:r>
            <w:r w:rsidR="000A5329" w:rsidRPr="002029AF">
              <w:t xml:space="preserve"> </w:t>
            </w:r>
            <w:r w:rsidRPr="002029AF">
              <w:t>output</w:t>
            </w:r>
            <w:r w:rsidR="000A5329" w:rsidRPr="002029AF">
              <w:t xml:space="preserve"> </w:t>
            </w:r>
            <w:r w:rsidRPr="002029AF">
              <w:t>and</w:t>
            </w:r>
            <w:r w:rsidR="000A5329" w:rsidRPr="002029AF">
              <w:t xml:space="preserve"> </w:t>
            </w:r>
            <w:r w:rsidRPr="002029AF">
              <w:t>release</w:t>
            </w:r>
            <w:r w:rsidR="000A5329" w:rsidRPr="002029AF">
              <w:t xml:space="preserve"> </w:t>
            </w:r>
            <w:r w:rsidRPr="002029AF">
              <w:t>of</w:t>
            </w:r>
            <w:r w:rsidR="000A5329" w:rsidRPr="002029AF">
              <w:t xml:space="preserve"> </w:t>
            </w:r>
            <w:r w:rsidRPr="002029AF">
              <w:t>additional</w:t>
            </w:r>
            <w:r w:rsidR="000A5329" w:rsidRPr="002029AF">
              <w:t xml:space="preserve"> </w:t>
            </w:r>
            <w:r w:rsidRPr="002029AF">
              <w:t>funding</w:t>
            </w:r>
            <w:r w:rsidR="000A5329" w:rsidRPr="002029AF">
              <w:t xml:space="preserve"> </w:t>
            </w:r>
            <w:r w:rsidRPr="002029AF">
              <w:t>by</w:t>
            </w:r>
            <w:r w:rsidR="000A5329" w:rsidRPr="002029AF">
              <w:t xml:space="preserve"> </w:t>
            </w:r>
            <w:r w:rsidRPr="002029AF">
              <w:t>government</w:t>
            </w:r>
            <w:r w:rsidR="000A5329" w:rsidRPr="002029AF">
              <w:t xml:space="preserve"> </w:t>
            </w:r>
            <w:r w:rsidRPr="002029AF">
              <w:t>to</w:t>
            </w:r>
            <w:r w:rsidR="000A5329" w:rsidRPr="002029AF">
              <w:t xml:space="preserve"> </w:t>
            </w:r>
            <w:r w:rsidRPr="002029AF">
              <w:t>support</w:t>
            </w:r>
            <w:r w:rsidR="000A5329" w:rsidRPr="002029AF">
              <w:t xml:space="preserve"> </w:t>
            </w:r>
            <w:r w:rsidRPr="002029AF">
              <w:t>the</w:t>
            </w:r>
            <w:r w:rsidR="000A5329" w:rsidRPr="002029AF">
              <w:t xml:space="preserve"> </w:t>
            </w:r>
            <w:r w:rsidRPr="002029AF">
              <w:t>transfer</w:t>
            </w:r>
            <w:r w:rsidR="000A5329" w:rsidRPr="002029AF">
              <w:t xml:space="preserve"> </w:t>
            </w:r>
            <w:r w:rsidRPr="002029AF">
              <w:t>of</w:t>
            </w:r>
            <w:r w:rsidR="000A5329" w:rsidRPr="002029AF">
              <w:t xml:space="preserve"> </w:t>
            </w:r>
            <w:r w:rsidRPr="002029AF">
              <w:t>departmental</w:t>
            </w:r>
            <w:r w:rsidR="000A5329" w:rsidRPr="002029AF">
              <w:t xml:space="preserve"> </w:t>
            </w:r>
            <w:r w:rsidRPr="002029AF">
              <w:t>services</w:t>
            </w:r>
            <w:r w:rsidR="000A5329" w:rsidRPr="002029AF">
              <w:t xml:space="preserve"> </w:t>
            </w:r>
            <w:r w:rsidRPr="002029AF">
              <w:t>to</w:t>
            </w:r>
            <w:r w:rsidR="000A5329" w:rsidRPr="002029AF">
              <w:t xml:space="preserve"> </w:t>
            </w:r>
            <w:r w:rsidRPr="002029AF">
              <w:t>non-government</w:t>
            </w:r>
            <w:r w:rsidR="000A5329" w:rsidRPr="002029AF">
              <w:t xml:space="preserve"> </w:t>
            </w:r>
            <w:r w:rsidRPr="002029AF">
              <w:t>organisations.</w:t>
            </w:r>
          </w:p>
        </w:tc>
      </w:tr>
      <w:tr w:rsidR="00C15C65" w:rsidRPr="002029AF" w14:paraId="226BF134" w14:textId="77777777" w:rsidTr="005B58F0">
        <w:trPr>
          <w:cantSplit/>
        </w:trPr>
        <w:tc>
          <w:tcPr>
            <w:tcW w:w="9639" w:type="dxa"/>
            <w:gridSpan w:val="7"/>
            <w:tcBorders>
              <w:top w:val="single" w:sz="4" w:space="0" w:color="auto"/>
              <w:left w:val="nil"/>
              <w:bottom w:val="single" w:sz="4" w:space="0" w:color="auto"/>
              <w:right w:val="nil"/>
            </w:tcBorders>
            <w:hideMark/>
          </w:tcPr>
          <w:p w14:paraId="2C0DA47C" w14:textId="39EE6CF3" w:rsidR="00C15C65" w:rsidRPr="002029AF" w:rsidRDefault="00C15C65" w:rsidP="007666A5">
            <w:pPr>
              <w:pStyle w:val="ARtablesubhead"/>
            </w:pPr>
            <w:r w:rsidRPr="002029AF">
              <w:t>Victorian</w:t>
            </w:r>
            <w:r w:rsidR="000A5329" w:rsidRPr="002029AF">
              <w:t xml:space="preserve"> </w:t>
            </w:r>
            <w:r w:rsidRPr="002029AF">
              <w:t>Contribution</w:t>
            </w:r>
            <w:r w:rsidR="000A5329" w:rsidRPr="002029AF">
              <w:t xml:space="preserve"> </w:t>
            </w:r>
            <w:r w:rsidRPr="002029AF">
              <w:t>to</w:t>
            </w:r>
            <w:r w:rsidR="000A5329" w:rsidRPr="002029AF">
              <w:t xml:space="preserve"> </w:t>
            </w:r>
            <w:r w:rsidRPr="002029AF">
              <w:t>National</w:t>
            </w:r>
            <w:r w:rsidR="000A5329" w:rsidRPr="002029AF">
              <w:t xml:space="preserve"> </w:t>
            </w:r>
            <w:r w:rsidRPr="002029AF">
              <w:t>Disability</w:t>
            </w:r>
            <w:r w:rsidR="000A5329" w:rsidRPr="002029AF">
              <w:t xml:space="preserve"> </w:t>
            </w:r>
            <w:r w:rsidRPr="002029AF">
              <w:t>Insurance</w:t>
            </w:r>
            <w:r w:rsidR="000A5329" w:rsidRPr="002029AF">
              <w:t xml:space="preserve"> </w:t>
            </w:r>
            <w:r w:rsidRPr="002029AF">
              <w:t>Scheme</w:t>
            </w:r>
          </w:p>
        </w:tc>
      </w:tr>
      <w:tr w:rsidR="00C15C65" w:rsidRPr="002029AF" w14:paraId="0837C9E9" w14:textId="77777777" w:rsidTr="005B58F0">
        <w:trPr>
          <w:cantSplit/>
        </w:trPr>
        <w:tc>
          <w:tcPr>
            <w:tcW w:w="9639" w:type="dxa"/>
            <w:gridSpan w:val="7"/>
            <w:tcBorders>
              <w:top w:val="single" w:sz="4" w:space="0" w:color="auto"/>
              <w:left w:val="nil"/>
              <w:bottom w:val="nil"/>
              <w:right w:val="nil"/>
            </w:tcBorders>
            <w:hideMark/>
          </w:tcPr>
          <w:p w14:paraId="22112EA9" w14:textId="77777777" w:rsidR="00C15C65" w:rsidRPr="002029AF" w:rsidRDefault="00C15C65" w:rsidP="00D96AFD">
            <w:pPr>
              <w:pStyle w:val="ARtablegreybold"/>
            </w:pPr>
            <w:r w:rsidRPr="002029AF">
              <w:t>Quantity</w:t>
            </w:r>
          </w:p>
        </w:tc>
      </w:tr>
      <w:tr w:rsidR="00C15C65" w:rsidRPr="002029AF" w14:paraId="64F30551" w14:textId="77777777" w:rsidTr="00AB0C69">
        <w:trPr>
          <w:gridAfter w:val="1"/>
          <w:wAfter w:w="8" w:type="dxa"/>
          <w:cantSplit/>
        </w:trPr>
        <w:tc>
          <w:tcPr>
            <w:tcW w:w="4749" w:type="dxa"/>
            <w:tcBorders>
              <w:bottom w:val="single" w:sz="4" w:space="0" w:color="auto"/>
            </w:tcBorders>
            <w:shd w:val="clear" w:color="auto" w:fill="auto"/>
            <w:hideMark/>
          </w:tcPr>
          <w:p w14:paraId="5F49B22E" w14:textId="3DDDA0B6" w:rsidR="00C15C65" w:rsidRPr="002029AF" w:rsidRDefault="00C15C65" w:rsidP="00C40F5D">
            <w:pPr>
              <w:pStyle w:val="ARtabletext"/>
            </w:pPr>
            <w:r w:rsidRPr="002029AF">
              <w:t>National</w:t>
            </w:r>
            <w:r w:rsidR="000A5329" w:rsidRPr="002029AF">
              <w:t xml:space="preserve"> </w:t>
            </w:r>
            <w:r w:rsidRPr="002029AF">
              <w:t>Disability</w:t>
            </w:r>
            <w:r w:rsidR="000A5329" w:rsidRPr="002029AF">
              <w:t xml:space="preserve"> </w:t>
            </w:r>
            <w:r w:rsidRPr="002029AF">
              <w:t>Insurance</w:t>
            </w:r>
            <w:r w:rsidR="000A5329" w:rsidRPr="002029AF">
              <w:t xml:space="preserve"> </w:t>
            </w:r>
            <w:r w:rsidRPr="002029AF">
              <w:t>Scheme</w:t>
            </w:r>
            <w:r w:rsidR="000A5329" w:rsidRPr="002029AF">
              <w:t xml:space="preserve"> </w:t>
            </w:r>
            <w:r w:rsidRPr="002029AF">
              <w:t>participants</w:t>
            </w:r>
          </w:p>
        </w:tc>
        <w:tc>
          <w:tcPr>
            <w:tcW w:w="1018" w:type="dxa"/>
            <w:tcBorders>
              <w:bottom w:val="single" w:sz="4" w:space="0" w:color="auto"/>
            </w:tcBorders>
            <w:shd w:val="clear" w:color="auto" w:fill="auto"/>
            <w:hideMark/>
          </w:tcPr>
          <w:p w14:paraId="294573F1" w14:textId="77777777" w:rsidR="00C15C65" w:rsidRPr="002029AF" w:rsidRDefault="00C15C65" w:rsidP="00C40F5D">
            <w:pPr>
              <w:pStyle w:val="ARtabletext"/>
            </w:pPr>
            <w:r w:rsidRPr="002029AF">
              <w:t>number</w:t>
            </w:r>
          </w:p>
        </w:tc>
        <w:tc>
          <w:tcPr>
            <w:tcW w:w="1022" w:type="dxa"/>
            <w:tcBorders>
              <w:bottom w:val="single" w:sz="4" w:space="0" w:color="auto"/>
            </w:tcBorders>
            <w:shd w:val="clear" w:color="auto" w:fill="auto"/>
            <w:hideMark/>
          </w:tcPr>
          <w:p w14:paraId="687DA73C" w14:textId="77777777" w:rsidR="00C15C65" w:rsidRPr="002029AF" w:rsidRDefault="00C15C65" w:rsidP="000024F3">
            <w:pPr>
              <w:pStyle w:val="ARtabletextright"/>
            </w:pPr>
            <w:r w:rsidRPr="002029AF">
              <w:t>105,324</w:t>
            </w:r>
          </w:p>
        </w:tc>
        <w:tc>
          <w:tcPr>
            <w:tcW w:w="1019" w:type="dxa"/>
            <w:tcBorders>
              <w:bottom w:val="single" w:sz="4" w:space="0" w:color="auto"/>
            </w:tcBorders>
            <w:shd w:val="clear" w:color="auto" w:fill="auto"/>
            <w:hideMark/>
          </w:tcPr>
          <w:p w14:paraId="37859BF6" w14:textId="77777777" w:rsidR="00C15C65" w:rsidRPr="002029AF" w:rsidRDefault="00C15C65" w:rsidP="000024F3">
            <w:pPr>
              <w:pStyle w:val="ARtabletextright"/>
            </w:pPr>
            <w:r w:rsidRPr="002029AF">
              <w:t>108,786</w:t>
            </w:r>
          </w:p>
        </w:tc>
        <w:tc>
          <w:tcPr>
            <w:tcW w:w="1028" w:type="dxa"/>
            <w:tcBorders>
              <w:bottom w:val="single" w:sz="4" w:space="0" w:color="auto"/>
            </w:tcBorders>
            <w:shd w:val="clear" w:color="auto" w:fill="auto"/>
          </w:tcPr>
          <w:p w14:paraId="1BBD0D2D" w14:textId="77777777" w:rsidR="00C15C65" w:rsidRPr="002029AF" w:rsidRDefault="00C15C65" w:rsidP="000024F3">
            <w:pPr>
              <w:pStyle w:val="ARtabletextright"/>
            </w:pPr>
            <w:r w:rsidRPr="002029AF">
              <w:t>3.3</w:t>
            </w:r>
          </w:p>
        </w:tc>
        <w:tc>
          <w:tcPr>
            <w:tcW w:w="795" w:type="dxa"/>
            <w:tcBorders>
              <w:bottom w:val="single" w:sz="4" w:space="0" w:color="auto"/>
            </w:tcBorders>
            <w:shd w:val="clear" w:color="auto" w:fill="auto"/>
            <w:hideMark/>
          </w:tcPr>
          <w:p w14:paraId="3EAF44E6"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14B3F049" w14:textId="77777777" w:rsidTr="005B58F0">
        <w:trPr>
          <w:cantSplit/>
        </w:trPr>
        <w:tc>
          <w:tcPr>
            <w:tcW w:w="9639" w:type="dxa"/>
            <w:gridSpan w:val="7"/>
            <w:tcBorders>
              <w:top w:val="single" w:sz="4" w:space="0" w:color="auto"/>
              <w:left w:val="nil"/>
              <w:right w:val="nil"/>
            </w:tcBorders>
            <w:hideMark/>
          </w:tcPr>
          <w:p w14:paraId="5A1FE57E" w14:textId="77777777" w:rsidR="00C15C65" w:rsidRPr="002029AF" w:rsidRDefault="00C15C65" w:rsidP="006D5287">
            <w:pPr>
              <w:pStyle w:val="ARtablegreybold"/>
              <w:keepNext/>
            </w:pPr>
            <w:r w:rsidRPr="002029AF">
              <w:t>Cost</w:t>
            </w:r>
          </w:p>
        </w:tc>
      </w:tr>
      <w:tr w:rsidR="00C15C65" w:rsidRPr="002029AF" w14:paraId="64372284" w14:textId="77777777" w:rsidTr="005B58F0">
        <w:trPr>
          <w:cantSplit/>
        </w:trPr>
        <w:tc>
          <w:tcPr>
            <w:tcW w:w="4749" w:type="dxa"/>
            <w:hideMark/>
          </w:tcPr>
          <w:p w14:paraId="5615EE5E" w14:textId="1452F995" w:rsidR="00C15C65" w:rsidRPr="002029AF" w:rsidRDefault="00C15C65" w:rsidP="006D5287">
            <w:pPr>
              <w:pStyle w:val="ARtabletext"/>
              <w:keepNext/>
              <w:rPr>
                <w:b/>
              </w:rPr>
            </w:pPr>
            <w:r w:rsidRPr="002029AF">
              <w:rPr>
                <w:b/>
              </w:rPr>
              <w:t>Total</w:t>
            </w:r>
            <w:r w:rsidR="000A5329" w:rsidRPr="002029AF">
              <w:rPr>
                <w:b/>
              </w:rPr>
              <w:t xml:space="preserve"> </w:t>
            </w:r>
            <w:r w:rsidRPr="002029AF">
              <w:rPr>
                <w:b/>
              </w:rPr>
              <w:t>output</w:t>
            </w:r>
            <w:r w:rsidR="000A5329" w:rsidRPr="002029AF">
              <w:rPr>
                <w:b/>
              </w:rPr>
              <w:t xml:space="preserve"> </w:t>
            </w:r>
            <w:r w:rsidRPr="002029AF">
              <w:rPr>
                <w:b/>
              </w:rPr>
              <w:t>cost</w:t>
            </w:r>
          </w:p>
        </w:tc>
        <w:tc>
          <w:tcPr>
            <w:tcW w:w="1018" w:type="dxa"/>
            <w:hideMark/>
          </w:tcPr>
          <w:p w14:paraId="226681CA" w14:textId="29FE7FAB" w:rsidR="00C15C65" w:rsidRPr="002029AF" w:rsidRDefault="00C15C65" w:rsidP="00C40F5D">
            <w:pPr>
              <w:pStyle w:val="ARtabletext"/>
              <w:rPr>
                <w:b/>
              </w:rPr>
            </w:pPr>
            <w:r w:rsidRPr="002029AF">
              <w:rPr>
                <w:b/>
              </w:rPr>
              <w:t>$</w:t>
            </w:r>
            <w:r w:rsidR="000A5329" w:rsidRPr="002029AF">
              <w:rPr>
                <w:b/>
              </w:rPr>
              <w:t xml:space="preserve"> </w:t>
            </w:r>
            <w:r w:rsidRPr="002029AF">
              <w:rPr>
                <w:b/>
              </w:rPr>
              <w:t>million</w:t>
            </w:r>
          </w:p>
        </w:tc>
        <w:tc>
          <w:tcPr>
            <w:tcW w:w="1017" w:type="dxa"/>
          </w:tcPr>
          <w:p w14:paraId="518DDC9A" w14:textId="77777777" w:rsidR="00C15C65" w:rsidRPr="002029AF" w:rsidRDefault="00C15C65" w:rsidP="00C9755D">
            <w:pPr>
              <w:pStyle w:val="ARtabletextrightbold"/>
            </w:pPr>
            <w:r w:rsidRPr="002029AF">
              <w:t>1,448.9</w:t>
            </w:r>
          </w:p>
        </w:tc>
        <w:tc>
          <w:tcPr>
            <w:tcW w:w="1024" w:type="dxa"/>
          </w:tcPr>
          <w:p w14:paraId="4A54DEF4" w14:textId="77777777" w:rsidR="00C15C65" w:rsidRPr="002029AF" w:rsidRDefault="00C15C65" w:rsidP="00C9755D">
            <w:pPr>
              <w:pStyle w:val="ARtabletextrightbold"/>
            </w:pPr>
            <w:r w:rsidRPr="002029AF">
              <w:t>1,579.3</w:t>
            </w:r>
          </w:p>
        </w:tc>
        <w:tc>
          <w:tcPr>
            <w:tcW w:w="1028" w:type="dxa"/>
          </w:tcPr>
          <w:p w14:paraId="34FA1CC5" w14:textId="77777777" w:rsidR="00C15C65" w:rsidRPr="002029AF" w:rsidRDefault="00C15C65" w:rsidP="00C9755D">
            <w:pPr>
              <w:pStyle w:val="ARtabletextrightbold"/>
            </w:pPr>
            <w:r w:rsidRPr="002029AF">
              <w:t>9.0</w:t>
            </w:r>
          </w:p>
        </w:tc>
        <w:tc>
          <w:tcPr>
            <w:tcW w:w="803" w:type="dxa"/>
            <w:gridSpan w:val="2"/>
          </w:tcPr>
          <w:p w14:paraId="7A2E7B25" w14:textId="77777777" w:rsidR="00C15C65" w:rsidRPr="002029AF" w:rsidRDefault="00C15C65" w:rsidP="00C40F5D">
            <w:pPr>
              <w:pStyle w:val="ARtabletext"/>
              <w:rPr>
                <w:b/>
              </w:rPr>
            </w:pPr>
          </w:p>
        </w:tc>
      </w:tr>
      <w:tr w:rsidR="00C15C65" w:rsidRPr="002029AF" w14:paraId="110A1881" w14:textId="77777777" w:rsidTr="00306E71">
        <w:trPr>
          <w:gridAfter w:val="1"/>
          <w:wAfter w:w="8" w:type="dxa"/>
          <w:cantSplit/>
        </w:trPr>
        <w:tc>
          <w:tcPr>
            <w:tcW w:w="9631" w:type="dxa"/>
            <w:gridSpan w:val="6"/>
            <w:tcBorders>
              <w:bottom w:val="single" w:sz="4" w:space="0" w:color="auto"/>
            </w:tcBorders>
            <w:shd w:val="clear" w:color="auto" w:fill="auto"/>
            <w:noWrap/>
            <w:hideMark/>
          </w:tcPr>
          <w:p w14:paraId="32340755" w14:textId="3949ED64" w:rsidR="00C15C65" w:rsidRPr="002029AF" w:rsidRDefault="00C15C65" w:rsidP="00D96AFD">
            <w:pPr>
              <w:pStyle w:val="ARtablenoteindent"/>
            </w:pPr>
            <w:r w:rsidRPr="002029AF">
              <w:t>The</w:t>
            </w:r>
            <w:r w:rsidR="000A5329" w:rsidRPr="002029AF">
              <w:t xml:space="preserve"> </w:t>
            </w:r>
            <w:r w:rsidRPr="002029AF">
              <w:t>201</w:t>
            </w:r>
            <w:r w:rsidR="00DB53E6" w:rsidRPr="002029AF">
              <w:t>9–</w:t>
            </w:r>
            <w:r w:rsidRPr="002029AF">
              <w:t>20</w:t>
            </w:r>
            <w:r w:rsidR="000A5329" w:rsidRPr="002029AF">
              <w:t xml:space="preserve"> </w:t>
            </w:r>
            <w:r w:rsidRPr="002029AF">
              <w:t>actual</w:t>
            </w:r>
            <w:r w:rsidR="000A5329" w:rsidRPr="002029AF">
              <w:t xml:space="preserve"> </w:t>
            </w:r>
            <w:r w:rsidRPr="002029AF">
              <w:t>outcome</w:t>
            </w:r>
            <w:r w:rsidR="000A5329" w:rsidRPr="002029AF">
              <w:t xml:space="preserve"> </w:t>
            </w:r>
            <w:r w:rsidRPr="002029AF">
              <w:t>primarily</w:t>
            </w:r>
            <w:r w:rsidR="000A5329" w:rsidRPr="002029AF">
              <w:t xml:space="preserve"> </w:t>
            </w:r>
            <w:r w:rsidRPr="002029AF">
              <w:t>reflects</w:t>
            </w:r>
            <w:r w:rsidR="000A5329" w:rsidRPr="002029AF">
              <w:t xml:space="preserve"> </w:t>
            </w:r>
            <w:r w:rsidRPr="002029AF">
              <w:t>higher</w:t>
            </w:r>
            <w:r w:rsidR="000A5329" w:rsidRPr="002029AF">
              <w:t xml:space="preserve"> </w:t>
            </w:r>
            <w:r w:rsidRPr="002029AF">
              <w:t>than</w:t>
            </w:r>
            <w:r w:rsidR="000A5329" w:rsidRPr="002029AF">
              <w:t xml:space="preserve"> </w:t>
            </w:r>
            <w:r w:rsidRPr="002029AF">
              <w:t>forecasted</w:t>
            </w:r>
            <w:r w:rsidR="000A5329" w:rsidRPr="002029AF">
              <w:t xml:space="preserve"> </w:t>
            </w:r>
            <w:r w:rsidRPr="002029AF">
              <w:t>contributions</w:t>
            </w:r>
            <w:r w:rsidR="000A5329" w:rsidRPr="002029AF">
              <w:t xml:space="preserve"> </w:t>
            </w:r>
            <w:r w:rsidRPr="002029AF">
              <w:t>to</w:t>
            </w:r>
            <w:r w:rsidR="000A5329" w:rsidRPr="002029AF">
              <w:t xml:space="preserve"> </w:t>
            </w:r>
            <w:r w:rsidRPr="002029AF">
              <w:t>the</w:t>
            </w:r>
            <w:r w:rsidR="000A5329" w:rsidRPr="002029AF">
              <w:t xml:space="preserve"> </w:t>
            </w:r>
            <w:r w:rsidRPr="002029AF">
              <w:t>National</w:t>
            </w:r>
            <w:r w:rsidR="000A5329" w:rsidRPr="002029AF">
              <w:t xml:space="preserve"> </w:t>
            </w:r>
            <w:r w:rsidRPr="002029AF">
              <w:t>Disability</w:t>
            </w:r>
            <w:r w:rsidR="000A5329" w:rsidRPr="002029AF">
              <w:t xml:space="preserve"> </w:t>
            </w:r>
            <w:r w:rsidRPr="002029AF">
              <w:t>Insurance</w:t>
            </w:r>
            <w:r w:rsidR="000A5329" w:rsidRPr="002029AF">
              <w:t xml:space="preserve"> </w:t>
            </w:r>
            <w:r w:rsidRPr="002029AF">
              <w:t>Scheme</w:t>
            </w:r>
            <w:r w:rsidR="000A5329" w:rsidRPr="002029AF">
              <w:t xml:space="preserve"> </w:t>
            </w:r>
            <w:r w:rsidRPr="002029AF">
              <w:t>from</w:t>
            </w:r>
            <w:r w:rsidR="000A5329" w:rsidRPr="002029AF">
              <w:t xml:space="preserve"> </w:t>
            </w:r>
            <w:r w:rsidRPr="002029AF">
              <w:t>extension</w:t>
            </w:r>
            <w:r w:rsidR="000A5329" w:rsidRPr="002029AF">
              <w:t xml:space="preserve"> </w:t>
            </w:r>
            <w:r w:rsidRPr="002029AF">
              <w:t>of</w:t>
            </w:r>
            <w:r w:rsidR="000A5329" w:rsidRPr="002029AF">
              <w:t xml:space="preserve"> </w:t>
            </w:r>
            <w:r w:rsidRPr="002029AF">
              <w:t>in-kind</w:t>
            </w:r>
            <w:r w:rsidR="000A5329" w:rsidRPr="002029AF">
              <w:t xml:space="preserve"> </w:t>
            </w:r>
            <w:r w:rsidRPr="002029AF">
              <w:t>service</w:t>
            </w:r>
            <w:r w:rsidR="000A5329" w:rsidRPr="002029AF">
              <w:t xml:space="preserve"> </w:t>
            </w:r>
            <w:r w:rsidRPr="002029AF">
              <w:t>arrangements</w:t>
            </w:r>
            <w:r w:rsidR="000A5329" w:rsidRPr="002029AF">
              <w:t xml:space="preserve"> </w:t>
            </w:r>
            <w:r w:rsidRPr="002029AF">
              <w:t>of</w:t>
            </w:r>
            <w:r w:rsidR="000A5329" w:rsidRPr="002029AF">
              <w:t xml:space="preserve"> </w:t>
            </w:r>
            <w:r w:rsidRPr="002029AF">
              <w:t>Disability</w:t>
            </w:r>
            <w:r w:rsidR="000A5329" w:rsidRPr="002029AF">
              <w:t xml:space="preserve"> </w:t>
            </w:r>
            <w:r w:rsidRPr="002029AF">
              <w:t>Services</w:t>
            </w:r>
            <w:r w:rsidR="000A5329" w:rsidRPr="002029AF">
              <w:t xml:space="preserve"> </w:t>
            </w:r>
            <w:r w:rsidRPr="002029AF">
              <w:t>provided</w:t>
            </w:r>
            <w:r w:rsidR="000A5329" w:rsidRPr="002029AF">
              <w:t xml:space="preserve"> </w:t>
            </w:r>
            <w:r w:rsidRPr="002029AF">
              <w:t>to</w:t>
            </w:r>
            <w:r w:rsidR="000A5329" w:rsidRPr="002029AF">
              <w:t xml:space="preserve"> </w:t>
            </w:r>
            <w:r w:rsidRPr="002029AF">
              <w:t>National</w:t>
            </w:r>
            <w:r w:rsidR="000A5329" w:rsidRPr="002029AF">
              <w:t xml:space="preserve"> </w:t>
            </w:r>
            <w:r w:rsidRPr="002029AF">
              <w:t>Disability</w:t>
            </w:r>
            <w:r w:rsidR="000A5329" w:rsidRPr="002029AF">
              <w:t xml:space="preserve"> </w:t>
            </w:r>
            <w:r w:rsidRPr="002029AF">
              <w:t>Insurance</w:t>
            </w:r>
            <w:r w:rsidR="000A5329" w:rsidRPr="002029AF">
              <w:t xml:space="preserve"> </w:t>
            </w:r>
            <w:r w:rsidRPr="002029AF">
              <w:t>Scheme</w:t>
            </w:r>
            <w:r w:rsidR="000A5329" w:rsidRPr="002029AF">
              <w:t xml:space="preserve"> </w:t>
            </w:r>
            <w:r w:rsidRPr="002029AF">
              <w:t>and</w:t>
            </w:r>
            <w:r w:rsidR="000A5329" w:rsidRPr="002029AF">
              <w:t xml:space="preserve"> </w:t>
            </w:r>
            <w:r w:rsidRPr="002029AF">
              <w:t>participants.</w:t>
            </w:r>
          </w:p>
        </w:tc>
      </w:tr>
    </w:tbl>
    <w:p w14:paraId="4B5AD16C" w14:textId="126B4A7B" w:rsidR="00C15C65" w:rsidRPr="002029AF" w:rsidRDefault="00C15C65" w:rsidP="00860E95">
      <w:pPr>
        <w:pStyle w:val="Heading2"/>
        <w:spacing w:before="160" w:after="40"/>
      </w:pPr>
      <w:bookmarkStart w:id="55" w:name="_Ref52200011"/>
      <w:r w:rsidRPr="002029AF">
        <w:t>Empowering</w:t>
      </w:r>
      <w:r w:rsidR="000A5329" w:rsidRPr="002029AF">
        <w:t xml:space="preserve"> </w:t>
      </w:r>
      <w:r w:rsidRPr="002029AF">
        <w:t>Individuals</w:t>
      </w:r>
      <w:r w:rsidR="000A5329" w:rsidRPr="002029AF">
        <w:t xml:space="preserve"> </w:t>
      </w:r>
      <w:r w:rsidRPr="002029AF">
        <w:t>and</w:t>
      </w:r>
      <w:r w:rsidR="000A5329" w:rsidRPr="002029AF">
        <w:t xml:space="preserve"> </w:t>
      </w:r>
      <w:r w:rsidRPr="002029AF">
        <w:t>Communities</w:t>
      </w:r>
      <w:bookmarkEnd w:id="55"/>
    </w:p>
    <w:p w14:paraId="7620FDCA" w14:textId="3FC0C012" w:rsidR="00C15C65" w:rsidRPr="002029AF" w:rsidRDefault="00C15C65" w:rsidP="00C40F5D">
      <w:pPr>
        <w:pStyle w:val="ARbody"/>
      </w:pPr>
      <w:r w:rsidRPr="002029AF">
        <w:t>This</w:t>
      </w:r>
      <w:r w:rsidR="000A5329" w:rsidRPr="002029AF">
        <w:t xml:space="preserve"> </w:t>
      </w:r>
      <w:r w:rsidRPr="002029AF">
        <w:t>output</w:t>
      </w:r>
      <w:r w:rsidR="000A5329" w:rsidRPr="002029AF">
        <w:t xml:space="preserve"> </w:t>
      </w:r>
      <w:r w:rsidRPr="002029AF">
        <w:t>is</w:t>
      </w:r>
      <w:r w:rsidR="000A5329" w:rsidRPr="002029AF">
        <w:t xml:space="preserve"> </w:t>
      </w:r>
      <w:r w:rsidRPr="002029AF">
        <w:t>delivered</w:t>
      </w:r>
      <w:r w:rsidR="000A5329" w:rsidRPr="002029AF">
        <w:t xml:space="preserve"> </w:t>
      </w:r>
      <w:r w:rsidRPr="002029AF">
        <w:t>through</w:t>
      </w:r>
      <w:r w:rsidR="000A5329" w:rsidRPr="002029AF">
        <w:t xml:space="preserve"> </w:t>
      </w:r>
      <w:r w:rsidRPr="002029AF">
        <w:t>funded</w:t>
      </w:r>
      <w:r w:rsidR="000A5329" w:rsidRPr="002029AF">
        <w:t xml:space="preserve"> </w:t>
      </w:r>
      <w:r w:rsidRPr="002029AF">
        <w:t>programs</w:t>
      </w:r>
      <w:r w:rsidR="000A5329" w:rsidRPr="002029AF">
        <w:t xml:space="preserve"> </w:t>
      </w:r>
      <w:r w:rsidRPr="002029AF">
        <w:t>that</w:t>
      </w:r>
      <w:r w:rsidR="000A5329" w:rsidRPr="002029AF">
        <w:t xml:space="preserve"> </w:t>
      </w:r>
      <w:r w:rsidRPr="002029AF">
        <w:t>support</w:t>
      </w:r>
      <w:r w:rsidR="000A5329" w:rsidRPr="002029AF">
        <w:t xml:space="preserve"> </w:t>
      </w:r>
      <w:r w:rsidRPr="002029AF">
        <w:t>community</w:t>
      </w:r>
      <w:r w:rsidR="000A5329" w:rsidRPr="002029AF">
        <w:t xml:space="preserve"> </w:t>
      </w:r>
      <w:r w:rsidRPr="002029AF">
        <w:t>participation,</w:t>
      </w:r>
      <w:r w:rsidR="000A5329" w:rsidRPr="002029AF">
        <w:t xml:space="preserve"> </w:t>
      </w:r>
      <w:r w:rsidRPr="002029AF">
        <w:t>including</w:t>
      </w:r>
      <w:r w:rsidR="000A5329" w:rsidRPr="002029AF">
        <w:t xml:space="preserve"> </w:t>
      </w:r>
      <w:r w:rsidRPr="002029AF">
        <w:t>neighbourhood</w:t>
      </w:r>
      <w:r w:rsidR="000A5329" w:rsidRPr="002029AF">
        <w:t xml:space="preserve"> </w:t>
      </w:r>
      <w:r w:rsidRPr="002029AF">
        <w:t>houses,</w:t>
      </w:r>
      <w:r w:rsidR="000A5329" w:rsidRPr="002029AF">
        <w:t xml:space="preserve"> </w:t>
      </w:r>
      <w:r w:rsidR="003D6A3E">
        <w:t>M</w:t>
      </w:r>
      <w:r w:rsidRPr="002029AF">
        <w:t>en’s</w:t>
      </w:r>
      <w:r w:rsidR="000A5329" w:rsidRPr="002029AF">
        <w:t xml:space="preserve"> </w:t>
      </w:r>
      <w:r w:rsidR="003D6A3E">
        <w:t>S</w:t>
      </w:r>
      <w:r w:rsidRPr="002029AF">
        <w:t>heds,</w:t>
      </w:r>
      <w:r w:rsidR="000A5329" w:rsidRPr="002029AF">
        <w:t xml:space="preserve"> </w:t>
      </w:r>
      <w:r w:rsidRPr="002029AF">
        <w:t>community</w:t>
      </w:r>
      <w:r w:rsidR="000A5329" w:rsidRPr="002029AF">
        <w:t xml:space="preserve"> </w:t>
      </w:r>
      <w:r w:rsidRPr="002029AF">
        <w:t>support</w:t>
      </w:r>
      <w:r w:rsidR="000A5329" w:rsidRPr="002029AF">
        <w:t xml:space="preserve"> </w:t>
      </w:r>
      <w:r w:rsidRPr="002029AF">
        <w:t>projects</w:t>
      </w:r>
      <w:r w:rsidR="000A5329" w:rsidRPr="002029AF">
        <w:t xml:space="preserve"> </w:t>
      </w:r>
      <w:r w:rsidRPr="002029AF">
        <w:t>and</w:t>
      </w:r>
      <w:r w:rsidR="000A5329" w:rsidRPr="002029AF">
        <w:t xml:space="preserve"> </w:t>
      </w:r>
      <w:r w:rsidRPr="002029AF">
        <w:t>programs</w:t>
      </w:r>
      <w:r w:rsidR="000A5329" w:rsidRPr="002029AF">
        <w:t xml:space="preserve"> </w:t>
      </w:r>
      <w:r w:rsidRPr="002029AF">
        <w:t>for</w:t>
      </w:r>
      <w:r w:rsidR="000A5329" w:rsidRPr="002029AF">
        <w:t xml:space="preserve"> </w:t>
      </w:r>
      <w:r w:rsidRPr="002029AF">
        <w:t>people</w:t>
      </w:r>
      <w:r w:rsidR="000A5329" w:rsidRPr="002029AF">
        <w:t xml:space="preserve"> </w:t>
      </w:r>
      <w:r w:rsidRPr="002029AF">
        <w:t>with</w:t>
      </w:r>
      <w:r w:rsidR="000A5329" w:rsidRPr="002029AF">
        <w:t xml:space="preserve"> </w:t>
      </w:r>
      <w:r w:rsidRPr="002029AF">
        <w:t>a</w:t>
      </w:r>
      <w:r w:rsidR="000A5329" w:rsidRPr="002029AF">
        <w:t xml:space="preserve"> </w:t>
      </w:r>
      <w:r w:rsidRPr="002029AF">
        <w:t>disability.</w:t>
      </w:r>
      <w:r w:rsidR="000A5329" w:rsidRPr="002029AF">
        <w:t xml:space="preserve"> </w:t>
      </w:r>
      <w:r w:rsidRPr="002029AF">
        <w:t>Leadership</w:t>
      </w:r>
      <w:r w:rsidR="000A5329" w:rsidRPr="002029AF">
        <w:t xml:space="preserve"> </w:t>
      </w:r>
      <w:r w:rsidRPr="002029AF">
        <w:t>is</w:t>
      </w:r>
      <w:r w:rsidR="000A5329" w:rsidRPr="002029AF">
        <w:t xml:space="preserve"> </w:t>
      </w:r>
      <w:r w:rsidRPr="002029AF">
        <w:t>delivered</w:t>
      </w:r>
      <w:r w:rsidR="000A5329" w:rsidRPr="002029AF">
        <w:t xml:space="preserve"> </w:t>
      </w:r>
      <w:r w:rsidRPr="002029AF">
        <w:t>for</w:t>
      </w:r>
      <w:r w:rsidR="000A5329" w:rsidRPr="002029AF">
        <w:t xml:space="preserve"> </w:t>
      </w:r>
      <w:r w:rsidRPr="002029AF">
        <w:t>whole-of-government</w:t>
      </w:r>
      <w:r w:rsidR="000A5329" w:rsidRPr="002029AF">
        <w:t xml:space="preserve"> </w:t>
      </w:r>
      <w:r w:rsidRPr="002029AF">
        <w:t>policy</w:t>
      </w:r>
      <w:r w:rsidR="000A5329" w:rsidRPr="002029AF">
        <w:t xml:space="preserve"> </w:t>
      </w:r>
      <w:r w:rsidRPr="002029AF">
        <w:t>that</w:t>
      </w:r>
      <w:r w:rsidR="000A5329" w:rsidRPr="002029AF">
        <w:t xml:space="preserve"> </w:t>
      </w:r>
      <w:r w:rsidRPr="002029AF">
        <w:t>will</w:t>
      </w:r>
      <w:r w:rsidR="000A5329" w:rsidRPr="002029AF">
        <w:t xml:space="preserve"> </w:t>
      </w:r>
      <w:r w:rsidRPr="002029AF">
        <w:t>create</w:t>
      </w:r>
      <w:r w:rsidR="000A5329" w:rsidRPr="002029AF">
        <w:t xml:space="preserve"> </w:t>
      </w:r>
      <w:r w:rsidRPr="002029AF">
        <w:t>an</w:t>
      </w:r>
      <w:r w:rsidR="000A5329" w:rsidRPr="002029AF">
        <w:t xml:space="preserve"> </w:t>
      </w:r>
      <w:r w:rsidRPr="002029AF">
        <w:t>environment</w:t>
      </w:r>
      <w:r w:rsidR="000A5329" w:rsidRPr="002029AF">
        <w:t xml:space="preserve"> </w:t>
      </w:r>
      <w:r w:rsidRPr="002029AF">
        <w:t>that</w:t>
      </w:r>
      <w:r w:rsidR="000A5329" w:rsidRPr="002029AF">
        <w:t xml:space="preserve"> </w:t>
      </w:r>
      <w:r w:rsidRPr="002029AF">
        <w:t>encourages</w:t>
      </w:r>
      <w:r w:rsidR="000A5329" w:rsidRPr="002029AF">
        <w:t xml:space="preserve"> </w:t>
      </w:r>
      <w:r w:rsidRPr="002029AF">
        <w:t>equity</w:t>
      </w:r>
      <w:r w:rsidR="000A5329" w:rsidRPr="002029AF">
        <w:t xml:space="preserve"> </w:t>
      </w:r>
      <w:r w:rsidRPr="002029AF">
        <w:t>and</w:t>
      </w:r>
      <w:r w:rsidR="000A5329" w:rsidRPr="002029AF">
        <w:t xml:space="preserve"> </w:t>
      </w:r>
      <w:r w:rsidRPr="002029AF">
        <w:t>improves</w:t>
      </w:r>
      <w:r w:rsidR="000A5329" w:rsidRPr="002029AF">
        <w:t xml:space="preserve"> </w:t>
      </w:r>
      <w:r w:rsidRPr="002029AF">
        <w:t>all</w:t>
      </w:r>
      <w:r w:rsidR="000A5329" w:rsidRPr="002029AF">
        <w:t xml:space="preserve"> </w:t>
      </w:r>
      <w:r w:rsidRPr="002029AF">
        <w:t>aspects</w:t>
      </w:r>
      <w:r w:rsidR="000A5329" w:rsidRPr="002029AF">
        <w:t xml:space="preserve"> </w:t>
      </w:r>
      <w:r w:rsidRPr="002029AF">
        <w:t>of</w:t>
      </w:r>
      <w:r w:rsidR="000A5329" w:rsidRPr="002029AF">
        <w:t xml:space="preserve"> </w:t>
      </w:r>
      <w:r w:rsidRPr="002029AF">
        <w:t>life.</w:t>
      </w:r>
    </w:p>
    <w:tbl>
      <w:tblPr>
        <w:tblW w:w="9639" w:type="dxa"/>
        <w:tblLayout w:type="fixed"/>
        <w:tblCellMar>
          <w:left w:w="0" w:type="dxa"/>
        </w:tblCellMar>
        <w:tblLook w:val="04A0" w:firstRow="1" w:lastRow="0" w:firstColumn="1" w:lastColumn="0" w:noHBand="0" w:noVBand="1"/>
      </w:tblPr>
      <w:tblGrid>
        <w:gridCol w:w="4747"/>
        <w:gridCol w:w="1018"/>
        <w:gridCol w:w="1021"/>
        <w:gridCol w:w="1023"/>
        <w:gridCol w:w="1027"/>
        <w:gridCol w:w="795"/>
        <w:gridCol w:w="8"/>
      </w:tblGrid>
      <w:tr w:rsidR="005B58F0" w:rsidRPr="002029AF" w14:paraId="3E74DE56" w14:textId="77777777" w:rsidTr="005B58F0">
        <w:trPr>
          <w:cantSplit/>
          <w:tblHeader/>
        </w:trPr>
        <w:tc>
          <w:tcPr>
            <w:tcW w:w="4749" w:type="dxa"/>
            <w:tcBorders>
              <w:top w:val="nil"/>
              <w:left w:val="nil"/>
              <w:bottom w:val="single" w:sz="4" w:space="0" w:color="auto"/>
              <w:right w:val="nil"/>
            </w:tcBorders>
            <w:vAlign w:val="bottom"/>
            <w:hideMark/>
          </w:tcPr>
          <w:p w14:paraId="058E9939" w14:textId="6E35D180" w:rsidR="005B58F0" w:rsidRPr="002029AF" w:rsidRDefault="005B58F0" w:rsidP="0014376C">
            <w:pPr>
              <w:pStyle w:val="ARtablecolhead"/>
            </w:pPr>
            <w:r w:rsidRPr="002029AF">
              <w:t>Performance</w:t>
            </w:r>
            <w:r w:rsidR="000A5329" w:rsidRPr="002029AF">
              <w:t xml:space="preserve"> </w:t>
            </w:r>
            <w:r w:rsidRPr="002029AF">
              <w:t>measures</w:t>
            </w:r>
          </w:p>
        </w:tc>
        <w:tc>
          <w:tcPr>
            <w:tcW w:w="1018" w:type="dxa"/>
            <w:tcBorders>
              <w:top w:val="nil"/>
              <w:left w:val="nil"/>
              <w:bottom w:val="single" w:sz="4" w:space="0" w:color="auto"/>
              <w:right w:val="nil"/>
            </w:tcBorders>
            <w:vAlign w:val="bottom"/>
            <w:hideMark/>
          </w:tcPr>
          <w:p w14:paraId="4A98D5BB" w14:textId="29341E23" w:rsidR="005B58F0" w:rsidRPr="002029AF" w:rsidRDefault="005B58F0" w:rsidP="0014376C">
            <w:pPr>
              <w:pStyle w:val="ARtablecolhead"/>
            </w:pPr>
            <w:r w:rsidRPr="002029AF">
              <w:t>Unit</w:t>
            </w:r>
            <w:r w:rsidR="000A5329" w:rsidRPr="002029AF">
              <w:t xml:space="preserve"> </w:t>
            </w:r>
            <w:r w:rsidRPr="002029AF">
              <w:t>of</w:t>
            </w:r>
            <w:r w:rsidR="000A5329" w:rsidRPr="002029AF">
              <w:t xml:space="preserve"> </w:t>
            </w:r>
            <w:r w:rsidRPr="002029AF">
              <w:t>measure</w:t>
            </w:r>
          </w:p>
        </w:tc>
        <w:tc>
          <w:tcPr>
            <w:tcW w:w="1022" w:type="dxa"/>
            <w:tcBorders>
              <w:top w:val="nil"/>
              <w:left w:val="nil"/>
              <w:bottom w:val="single" w:sz="4" w:space="0" w:color="auto"/>
              <w:right w:val="nil"/>
            </w:tcBorders>
            <w:vAlign w:val="bottom"/>
            <w:hideMark/>
          </w:tcPr>
          <w:p w14:paraId="644C3F59" w14:textId="55E3646E" w:rsidR="005B58F0" w:rsidRPr="002029AF" w:rsidRDefault="005B58F0" w:rsidP="0014376C">
            <w:pPr>
              <w:pStyle w:val="ARtablecolheadright"/>
            </w:pPr>
            <w:r w:rsidRPr="002029AF">
              <w:t>2019–20</w:t>
            </w:r>
            <w:r w:rsidR="000A5329" w:rsidRPr="002029AF">
              <w:t xml:space="preserve"> </w:t>
            </w:r>
            <w:r w:rsidRPr="002029AF">
              <w:t>target</w:t>
            </w:r>
          </w:p>
        </w:tc>
        <w:tc>
          <w:tcPr>
            <w:tcW w:w="1019" w:type="dxa"/>
            <w:tcBorders>
              <w:top w:val="nil"/>
              <w:left w:val="nil"/>
              <w:bottom w:val="single" w:sz="4" w:space="0" w:color="auto"/>
              <w:right w:val="nil"/>
            </w:tcBorders>
            <w:vAlign w:val="bottom"/>
            <w:hideMark/>
          </w:tcPr>
          <w:p w14:paraId="5C27200F" w14:textId="3D729C43" w:rsidR="005B58F0" w:rsidRPr="002029AF" w:rsidRDefault="005B58F0" w:rsidP="0014376C">
            <w:pPr>
              <w:pStyle w:val="ARtablecolheadright"/>
            </w:pPr>
            <w:r w:rsidRPr="002029AF">
              <w:t>2019–20</w:t>
            </w:r>
            <w:r w:rsidR="000A5329" w:rsidRPr="002029AF">
              <w:t xml:space="preserve"> </w:t>
            </w:r>
            <w:r w:rsidRPr="002029AF">
              <w:t>actual</w:t>
            </w:r>
          </w:p>
        </w:tc>
        <w:tc>
          <w:tcPr>
            <w:tcW w:w="1028" w:type="dxa"/>
            <w:tcBorders>
              <w:top w:val="nil"/>
              <w:left w:val="nil"/>
              <w:bottom w:val="single" w:sz="4" w:space="0" w:color="auto"/>
              <w:right w:val="nil"/>
            </w:tcBorders>
            <w:vAlign w:val="bottom"/>
            <w:hideMark/>
          </w:tcPr>
          <w:p w14:paraId="6405BA69" w14:textId="1A257236" w:rsidR="005B58F0" w:rsidRPr="002029AF" w:rsidRDefault="005B58F0" w:rsidP="0014376C">
            <w:pPr>
              <w:pStyle w:val="ARtablecolheadright"/>
            </w:pPr>
            <w:r w:rsidRPr="002029AF">
              <w:t>Variation</w:t>
            </w:r>
            <w:r w:rsidR="000A5329" w:rsidRPr="002029AF">
              <w:t xml:space="preserve"> </w:t>
            </w:r>
            <w:r w:rsidRPr="002029AF">
              <w:t>(%)</w:t>
            </w:r>
          </w:p>
        </w:tc>
        <w:tc>
          <w:tcPr>
            <w:tcW w:w="803" w:type="dxa"/>
            <w:gridSpan w:val="2"/>
            <w:tcBorders>
              <w:top w:val="nil"/>
              <w:left w:val="nil"/>
              <w:bottom w:val="single" w:sz="4" w:space="0" w:color="auto"/>
              <w:right w:val="nil"/>
            </w:tcBorders>
            <w:vAlign w:val="bottom"/>
            <w:hideMark/>
          </w:tcPr>
          <w:p w14:paraId="4ACD3B9D" w14:textId="77777777" w:rsidR="005B58F0" w:rsidRPr="002029AF" w:rsidRDefault="005B58F0" w:rsidP="000D3C3F">
            <w:pPr>
              <w:pStyle w:val="ARtablecolheadcentre"/>
            </w:pPr>
            <w:r w:rsidRPr="002029AF">
              <w:t>Result</w:t>
            </w:r>
          </w:p>
        </w:tc>
      </w:tr>
      <w:tr w:rsidR="00C15C65" w:rsidRPr="002029AF" w14:paraId="28BB0B6E" w14:textId="77777777" w:rsidTr="005B58F0">
        <w:trPr>
          <w:cantSplit/>
        </w:trPr>
        <w:tc>
          <w:tcPr>
            <w:tcW w:w="9639" w:type="dxa"/>
            <w:gridSpan w:val="7"/>
            <w:tcBorders>
              <w:top w:val="single" w:sz="4" w:space="0" w:color="auto"/>
              <w:left w:val="nil"/>
              <w:bottom w:val="single" w:sz="4" w:space="0" w:color="auto"/>
              <w:right w:val="nil"/>
            </w:tcBorders>
            <w:hideMark/>
          </w:tcPr>
          <w:p w14:paraId="2F7B500F" w14:textId="43A99BDF" w:rsidR="00C15C65" w:rsidRPr="002029AF" w:rsidRDefault="00C15C65" w:rsidP="007666A5">
            <w:pPr>
              <w:pStyle w:val="ARtablesubhead"/>
            </w:pPr>
            <w:r w:rsidRPr="002029AF">
              <w:t>Community</w:t>
            </w:r>
            <w:r w:rsidR="000A5329" w:rsidRPr="002029AF">
              <w:t xml:space="preserve"> </w:t>
            </w:r>
            <w:r w:rsidRPr="002029AF">
              <w:t>Participation</w:t>
            </w:r>
          </w:p>
        </w:tc>
      </w:tr>
      <w:tr w:rsidR="00C15C65" w:rsidRPr="002029AF" w14:paraId="15DDC48D" w14:textId="77777777" w:rsidTr="005B58F0">
        <w:trPr>
          <w:cantSplit/>
        </w:trPr>
        <w:tc>
          <w:tcPr>
            <w:tcW w:w="9639" w:type="dxa"/>
            <w:gridSpan w:val="7"/>
            <w:tcBorders>
              <w:top w:val="single" w:sz="4" w:space="0" w:color="auto"/>
              <w:left w:val="nil"/>
              <w:bottom w:val="nil"/>
              <w:right w:val="nil"/>
            </w:tcBorders>
            <w:hideMark/>
          </w:tcPr>
          <w:p w14:paraId="2AB25118" w14:textId="77777777" w:rsidR="00C15C65" w:rsidRPr="002029AF" w:rsidRDefault="00C15C65" w:rsidP="00860E95">
            <w:pPr>
              <w:pStyle w:val="ARtablegreybold"/>
              <w:spacing w:before="40" w:after="20"/>
            </w:pPr>
            <w:r w:rsidRPr="002029AF">
              <w:t>Quantity</w:t>
            </w:r>
          </w:p>
        </w:tc>
      </w:tr>
      <w:tr w:rsidR="00C15C65" w:rsidRPr="002029AF" w14:paraId="61FEE569" w14:textId="77777777" w:rsidTr="00A952A7">
        <w:trPr>
          <w:gridAfter w:val="1"/>
          <w:wAfter w:w="8" w:type="dxa"/>
          <w:cantSplit/>
        </w:trPr>
        <w:tc>
          <w:tcPr>
            <w:tcW w:w="4749" w:type="dxa"/>
            <w:tcBorders>
              <w:bottom w:val="single" w:sz="4" w:space="0" w:color="auto"/>
            </w:tcBorders>
            <w:shd w:val="clear" w:color="auto" w:fill="auto"/>
            <w:hideMark/>
          </w:tcPr>
          <w:p w14:paraId="77CA013D" w14:textId="62972080" w:rsidR="00C15C65" w:rsidRPr="002029AF" w:rsidRDefault="00C15C65" w:rsidP="00C40F5D">
            <w:pPr>
              <w:pStyle w:val="ARtabletext"/>
            </w:pPr>
            <w:r w:rsidRPr="002029AF">
              <w:t>Hours</w:t>
            </w:r>
            <w:r w:rsidR="000A5329" w:rsidRPr="002029AF">
              <w:t xml:space="preserve"> </w:t>
            </w:r>
            <w:r w:rsidRPr="002029AF">
              <w:t>of</w:t>
            </w:r>
            <w:r w:rsidR="000A5329" w:rsidRPr="002029AF">
              <w:t xml:space="preserve"> </w:t>
            </w:r>
            <w:r w:rsidRPr="002029AF">
              <w:t>coordination</w:t>
            </w:r>
            <w:r w:rsidR="000A5329" w:rsidRPr="002029AF">
              <w:t xml:space="preserve"> </w:t>
            </w:r>
            <w:r w:rsidRPr="002029AF">
              <w:t>funding</w:t>
            </w:r>
            <w:r w:rsidR="000A5329" w:rsidRPr="002029AF">
              <w:t xml:space="preserve"> </w:t>
            </w:r>
            <w:r w:rsidRPr="002029AF">
              <w:t>provided</w:t>
            </w:r>
            <w:r w:rsidR="000A5329" w:rsidRPr="002029AF">
              <w:t xml:space="preserve"> </w:t>
            </w:r>
            <w:r w:rsidRPr="002029AF">
              <w:t>to</w:t>
            </w:r>
            <w:r w:rsidR="000A5329" w:rsidRPr="002029AF">
              <w:t xml:space="preserve"> </w:t>
            </w:r>
            <w:r w:rsidRPr="002029AF">
              <w:t>Neighbourhood</w:t>
            </w:r>
            <w:r w:rsidR="000A5329" w:rsidRPr="002029AF">
              <w:t xml:space="preserve"> </w:t>
            </w:r>
            <w:r w:rsidRPr="002029AF">
              <w:t>Houses</w:t>
            </w:r>
          </w:p>
        </w:tc>
        <w:tc>
          <w:tcPr>
            <w:tcW w:w="1018" w:type="dxa"/>
            <w:tcBorders>
              <w:bottom w:val="single" w:sz="4" w:space="0" w:color="auto"/>
            </w:tcBorders>
            <w:shd w:val="clear" w:color="auto" w:fill="auto"/>
            <w:hideMark/>
          </w:tcPr>
          <w:p w14:paraId="1B9E8992" w14:textId="65AE5104" w:rsidR="00C15C65" w:rsidRPr="002029AF" w:rsidRDefault="00C15C65" w:rsidP="00C40F5D">
            <w:pPr>
              <w:pStyle w:val="ARtabletext"/>
            </w:pPr>
            <w:r w:rsidRPr="002029AF">
              <w:t>hours</w:t>
            </w:r>
            <w:r w:rsidR="000A5329" w:rsidRPr="002029AF">
              <w:t xml:space="preserve"> </w:t>
            </w:r>
            <w:r w:rsidR="005F298C">
              <w:t>(’000</w:t>
            </w:r>
            <w:r w:rsidRPr="002029AF">
              <w:t>)</w:t>
            </w:r>
          </w:p>
        </w:tc>
        <w:tc>
          <w:tcPr>
            <w:tcW w:w="1017" w:type="dxa"/>
            <w:tcBorders>
              <w:bottom w:val="single" w:sz="4" w:space="0" w:color="auto"/>
            </w:tcBorders>
            <w:shd w:val="clear" w:color="auto" w:fill="auto"/>
            <w:hideMark/>
          </w:tcPr>
          <w:p w14:paraId="2C106069" w14:textId="77777777" w:rsidR="00C15C65" w:rsidRPr="002029AF" w:rsidRDefault="00C15C65" w:rsidP="000024F3">
            <w:pPr>
              <w:pStyle w:val="ARtabletextright"/>
            </w:pPr>
            <w:r w:rsidRPr="002029AF">
              <w:t>561,896</w:t>
            </w:r>
          </w:p>
        </w:tc>
        <w:tc>
          <w:tcPr>
            <w:tcW w:w="1024" w:type="dxa"/>
            <w:tcBorders>
              <w:bottom w:val="single" w:sz="4" w:space="0" w:color="auto"/>
            </w:tcBorders>
            <w:shd w:val="clear" w:color="auto" w:fill="auto"/>
            <w:hideMark/>
          </w:tcPr>
          <w:p w14:paraId="0B4F62BB" w14:textId="77777777" w:rsidR="00C15C65" w:rsidRPr="002029AF" w:rsidRDefault="00C15C65" w:rsidP="000024F3">
            <w:pPr>
              <w:pStyle w:val="ARtabletextright"/>
            </w:pPr>
            <w:r w:rsidRPr="002029AF">
              <w:t>560,125</w:t>
            </w:r>
          </w:p>
        </w:tc>
        <w:tc>
          <w:tcPr>
            <w:tcW w:w="1028" w:type="dxa"/>
            <w:tcBorders>
              <w:bottom w:val="single" w:sz="4" w:space="0" w:color="auto"/>
            </w:tcBorders>
            <w:shd w:val="clear" w:color="auto" w:fill="auto"/>
          </w:tcPr>
          <w:p w14:paraId="7F8B5774" w14:textId="77777777" w:rsidR="00C15C65" w:rsidRPr="002029AF" w:rsidRDefault="00C15C65" w:rsidP="000024F3">
            <w:pPr>
              <w:pStyle w:val="ARtabletextright"/>
            </w:pPr>
            <w:r w:rsidRPr="002029AF">
              <w:t>-0.3</w:t>
            </w:r>
          </w:p>
        </w:tc>
        <w:tc>
          <w:tcPr>
            <w:tcW w:w="795" w:type="dxa"/>
            <w:tcBorders>
              <w:bottom w:val="single" w:sz="4" w:space="0" w:color="auto"/>
            </w:tcBorders>
            <w:shd w:val="clear" w:color="auto" w:fill="auto"/>
            <w:hideMark/>
          </w:tcPr>
          <w:p w14:paraId="1FA6EDD6" w14:textId="68252828" w:rsidR="00C15C65" w:rsidRPr="002029AF" w:rsidRDefault="00F768BF" w:rsidP="000F6867">
            <w:pPr>
              <w:pStyle w:val="ARtableperformancesymbol"/>
              <w:rPr>
                <w:rFonts w:hint="eastAsia"/>
                <w:lang w:val="en-AU"/>
              </w:rPr>
            </w:pPr>
            <w:r w:rsidRPr="002029AF">
              <w:rPr>
                <w:lang w:val="en-AU"/>
              </w:rPr>
              <w:t>□</w:t>
            </w:r>
          </w:p>
        </w:tc>
      </w:tr>
      <w:tr w:rsidR="00C15C65" w:rsidRPr="002029AF" w14:paraId="2F301459" w14:textId="77777777" w:rsidTr="005B58F0">
        <w:trPr>
          <w:cantSplit/>
        </w:trPr>
        <w:tc>
          <w:tcPr>
            <w:tcW w:w="9639" w:type="dxa"/>
            <w:gridSpan w:val="7"/>
            <w:tcBorders>
              <w:top w:val="single" w:sz="4" w:space="0" w:color="auto"/>
              <w:left w:val="nil"/>
              <w:bottom w:val="nil"/>
              <w:right w:val="nil"/>
            </w:tcBorders>
            <w:hideMark/>
          </w:tcPr>
          <w:p w14:paraId="0AB3CF9B" w14:textId="77777777" w:rsidR="00C15C65" w:rsidRPr="002029AF" w:rsidRDefault="00C15C65" w:rsidP="00860E95">
            <w:pPr>
              <w:pStyle w:val="ARtablegreybold"/>
              <w:spacing w:before="40" w:after="20"/>
            </w:pPr>
            <w:r w:rsidRPr="002029AF">
              <w:lastRenderedPageBreak/>
              <w:t>Timeliness</w:t>
            </w:r>
          </w:p>
        </w:tc>
      </w:tr>
      <w:tr w:rsidR="00C15C65" w:rsidRPr="002029AF" w14:paraId="7C56C3A8" w14:textId="77777777" w:rsidTr="005B58F0">
        <w:trPr>
          <w:gridAfter w:val="1"/>
          <w:wAfter w:w="8" w:type="dxa"/>
          <w:cantSplit/>
        </w:trPr>
        <w:tc>
          <w:tcPr>
            <w:tcW w:w="4749" w:type="dxa"/>
            <w:shd w:val="clear" w:color="auto" w:fill="auto"/>
            <w:hideMark/>
          </w:tcPr>
          <w:p w14:paraId="62896628" w14:textId="116D8F1B" w:rsidR="00C15C65" w:rsidRPr="002029AF" w:rsidRDefault="00C15C65" w:rsidP="00C40F5D">
            <w:pPr>
              <w:pStyle w:val="ARtabletext"/>
            </w:pPr>
            <w:r w:rsidRPr="002029AF">
              <w:t>Grants</w:t>
            </w:r>
            <w:r w:rsidR="000A5329" w:rsidRPr="002029AF">
              <w:t xml:space="preserve"> </w:t>
            </w:r>
            <w:r w:rsidRPr="002029AF">
              <w:t>acquitted</w:t>
            </w:r>
            <w:r w:rsidR="000A5329" w:rsidRPr="002029AF">
              <w:t xml:space="preserve"> </w:t>
            </w:r>
            <w:r w:rsidRPr="002029AF">
              <w:t>within</w:t>
            </w:r>
            <w:r w:rsidR="000A5329" w:rsidRPr="002029AF">
              <w:t xml:space="preserve"> </w:t>
            </w:r>
            <w:r w:rsidRPr="002029AF">
              <w:t>the</w:t>
            </w:r>
            <w:r w:rsidR="000A5329" w:rsidRPr="002029AF">
              <w:t xml:space="preserve"> </w:t>
            </w:r>
            <w:r w:rsidRPr="002029AF">
              <w:t>timeframe</w:t>
            </w:r>
            <w:r w:rsidR="000A5329" w:rsidRPr="002029AF">
              <w:t xml:space="preserve"> </w:t>
            </w:r>
            <w:r w:rsidRPr="002029AF">
              <w:t>specified</w:t>
            </w:r>
            <w:r w:rsidR="000A5329" w:rsidRPr="002029AF">
              <w:t xml:space="preserve"> </w:t>
            </w:r>
            <w:r w:rsidRPr="002029AF">
              <w:t>in</w:t>
            </w:r>
            <w:r w:rsidR="000A5329" w:rsidRPr="002029AF">
              <w:t xml:space="preserve"> </w:t>
            </w:r>
            <w:r w:rsidRPr="002029AF">
              <w:t>the</w:t>
            </w:r>
            <w:r w:rsidR="000A5329" w:rsidRPr="002029AF">
              <w:t xml:space="preserve"> </w:t>
            </w:r>
            <w:r w:rsidRPr="002029AF">
              <w:t>terms</w:t>
            </w:r>
            <w:r w:rsidR="000A5329" w:rsidRPr="002029AF">
              <w:t xml:space="preserve"> </w:t>
            </w:r>
            <w:r w:rsidRPr="002029AF">
              <w:t>and</w:t>
            </w:r>
            <w:r w:rsidR="000A5329" w:rsidRPr="002029AF">
              <w:t xml:space="preserve"> </w:t>
            </w:r>
            <w:r w:rsidRPr="002029AF">
              <w:t>conditions</w:t>
            </w:r>
            <w:r w:rsidR="000A5329" w:rsidRPr="002029AF">
              <w:t xml:space="preserve"> </w:t>
            </w:r>
            <w:r w:rsidRPr="002029AF">
              <w:t>of</w:t>
            </w:r>
            <w:r w:rsidR="000A5329" w:rsidRPr="002029AF">
              <w:t xml:space="preserve"> </w:t>
            </w:r>
            <w:r w:rsidRPr="002029AF">
              <w:t>the</w:t>
            </w:r>
            <w:r w:rsidR="000A5329" w:rsidRPr="002029AF">
              <w:t xml:space="preserve"> </w:t>
            </w:r>
            <w:r w:rsidRPr="002029AF">
              <w:t>funding</w:t>
            </w:r>
            <w:r w:rsidR="000A5329" w:rsidRPr="002029AF">
              <w:t xml:space="preserve"> </w:t>
            </w:r>
            <w:r w:rsidRPr="002029AF">
              <w:t>agreement</w:t>
            </w:r>
          </w:p>
        </w:tc>
        <w:tc>
          <w:tcPr>
            <w:tcW w:w="1018" w:type="dxa"/>
            <w:shd w:val="clear" w:color="auto" w:fill="auto"/>
            <w:hideMark/>
          </w:tcPr>
          <w:p w14:paraId="4C2105D7" w14:textId="2DA3FD44" w:rsidR="00C15C65" w:rsidRPr="002029AF" w:rsidRDefault="00C15C65" w:rsidP="00C40F5D">
            <w:pPr>
              <w:pStyle w:val="ARtabletext"/>
            </w:pPr>
            <w:r w:rsidRPr="002029AF">
              <w:t>per</w:t>
            </w:r>
            <w:r w:rsidR="000A5329" w:rsidRPr="002029AF">
              <w:t xml:space="preserve"> </w:t>
            </w:r>
            <w:r w:rsidRPr="002029AF">
              <w:t>cent</w:t>
            </w:r>
          </w:p>
        </w:tc>
        <w:tc>
          <w:tcPr>
            <w:tcW w:w="1017" w:type="dxa"/>
            <w:shd w:val="clear" w:color="auto" w:fill="auto"/>
            <w:hideMark/>
          </w:tcPr>
          <w:p w14:paraId="29E9E5DE" w14:textId="77777777" w:rsidR="00C15C65" w:rsidRPr="002029AF" w:rsidRDefault="00C15C65" w:rsidP="000024F3">
            <w:pPr>
              <w:pStyle w:val="ARtabletextright"/>
            </w:pPr>
            <w:r w:rsidRPr="002029AF">
              <w:t>92</w:t>
            </w:r>
          </w:p>
        </w:tc>
        <w:tc>
          <w:tcPr>
            <w:tcW w:w="1024" w:type="dxa"/>
            <w:shd w:val="clear" w:color="auto" w:fill="auto"/>
            <w:hideMark/>
          </w:tcPr>
          <w:p w14:paraId="0D244A8C" w14:textId="77777777" w:rsidR="00C15C65" w:rsidRPr="002029AF" w:rsidRDefault="00C15C65" w:rsidP="000024F3">
            <w:pPr>
              <w:pStyle w:val="ARtabletextright"/>
            </w:pPr>
            <w:r w:rsidRPr="002029AF">
              <w:t>92</w:t>
            </w:r>
          </w:p>
        </w:tc>
        <w:tc>
          <w:tcPr>
            <w:tcW w:w="1028" w:type="dxa"/>
            <w:shd w:val="clear" w:color="auto" w:fill="auto"/>
          </w:tcPr>
          <w:p w14:paraId="444C889E" w14:textId="77777777" w:rsidR="00C15C65" w:rsidRPr="002029AF" w:rsidRDefault="00C15C65" w:rsidP="000024F3">
            <w:pPr>
              <w:pStyle w:val="ARtabletextright"/>
            </w:pPr>
            <w:r w:rsidRPr="002029AF">
              <w:t>0.0</w:t>
            </w:r>
          </w:p>
        </w:tc>
        <w:tc>
          <w:tcPr>
            <w:tcW w:w="795" w:type="dxa"/>
            <w:shd w:val="clear" w:color="auto" w:fill="auto"/>
            <w:hideMark/>
          </w:tcPr>
          <w:p w14:paraId="4721F23C"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4BF217FA" w14:textId="77777777" w:rsidTr="005B58F0">
        <w:trPr>
          <w:cantSplit/>
        </w:trPr>
        <w:tc>
          <w:tcPr>
            <w:tcW w:w="9639" w:type="dxa"/>
            <w:gridSpan w:val="7"/>
            <w:tcBorders>
              <w:top w:val="single" w:sz="4" w:space="0" w:color="auto"/>
              <w:left w:val="nil"/>
              <w:bottom w:val="nil"/>
              <w:right w:val="nil"/>
            </w:tcBorders>
            <w:hideMark/>
          </w:tcPr>
          <w:p w14:paraId="279CF866" w14:textId="77777777" w:rsidR="00C15C65" w:rsidRPr="002029AF" w:rsidRDefault="00C15C65" w:rsidP="007666A5">
            <w:pPr>
              <w:pStyle w:val="ARtablegreybold"/>
            </w:pPr>
            <w:r w:rsidRPr="002029AF">
              <w:t>Cost</w:t>
            </w:r>
          </w:p>
        </w:tc>
      </w:tr>
      <w:tr w:rsidR="00C15C65" w:rsidRPr="002029AF" w14:paraId="588B8781" w14:textId="77777777" w:rsidTr="005B58F0">
        <w:trPr>
          <w:cantSplit/>
        </w:trPr>
        <w:tc>
          <w:tcPr>
            <w:tcW w:w="4749" w:type="dxa"/>
            <w:hideMark/>
          </w:tcPr>
          <w:p w14:paraId="218EB122" w14:textId="731D1EEF" w:rsidR="00C15C65" w:rsidRPr="002029AF" w:rsidRDefault="00C15C65" w:rsidP="00C40F5D">
            <w:pPr>
              <w:pStyle w:val="ARtabletext"/>
              <w:rPr>
                <w:b/>
              </w:rPr>
            </w:pPr>
            <w:r w:rsidRPr="002029AF">
              <w:rPr>
                <w:b/>
              </w:rPr>
              <w:t>Total</w:t>
            </w:r>
            <w:r w:rsidR="000A5329" w:rsidRPr="002029AF">
              <w:rPr>
                <w:b/>
              </w:rPr>
              <w:t xml:space="preserve"> </w:t>
            </w:r>
            <w:r w:rsidRPr="002029AF">
              <w:rPr>
                <w:b/>
              </w:rPr>
              <w:t>Output</w:t>
            </w:r>
            <w:r w:rsidR="000A5329" w:rsidRPr="002029AF">
              <w:rPr>
                <w:b/>
              </w:rPr>
              <w:t xml:space="preserve"> </w:t>
            </w:r>
            <w:r w:rsidRPr="002029AF">
              <w:rPr>
                <w:b/>
              </w:rPr>
              <w:t>Cost</w:t>
            </w:r>
          </w:p>
        </w:tc>
        <w:tc>
          <w:tcPr>
            <w:tcW w:w="1018" w:type="dxa"/>
            <w:hideMark/>
          </w:tcPr>
          <w:p w14:paraId="7A2E1A9F" w14:textId="7C512A9E" w:rsidR="00C15C65" w:rsidRPr="002029AF" w:rsidRDefault="00C15C65" w:rsidP="00C40F5D">
            <w:pPr>
              <w:pStyle w:val="ARtabletext"/>
              <w:rPr>
                <w:b/>
              </w:rPr>
            </w:pPr>
            <w:r w:rsidRPr="002029AF">
              <w:rPr>
                <w:b/>
              </w:rPr>
              <w:t>$</w:t>
            </w:r>
            <w:r w:rsidR="000A5329" w:rsidRPr="002029AF">
              <w:rPr>
                <w:b/>
              </w:rPr>
              <w:t xml:space="preserve"> </w:t>
            </w:r>
            <w:r w:rsidRPr="002029AF">
              <w:rPr>
                <w:b/>
              </w:rPr>
              <w:t>million</w:t>
            </w:r>
          </w:p>
        </w:tc>
        <w:tc>
          <w:tcPr>
            <w:tcW w:w="1017" w:type="dxa"/>
          </w:tcPr>
          <w:p w14:paraId="55C04B95" w14:textId="77777777" w:rsidR="00C15C65" w:rsidRPr="002029AF" w:rsidRDefault="00C15C65" w:rsidP="00C9755D">
            <w:pPr>
              <w:pStyle w:val="ARtabletextrightbold"/>
            </w:pPr>
            <w:r w:rsidRPr="002029AF">
              <w:t>49.3</w:t>
            </w:r>
          </w:p>
        </w:tc>
        <w:tc>
          <w:tcPr>
            <w:tcW w:w="1024" w:type="dxa"/>
          </w:tcPr>
          <w:p w14:paraId="4D207CDA" w14:textId="77777777" w:rsidR="00C15C65" w:rsidRPr="002029AF" w:rsidRDefault="00C15C65" w:rsidP="00C9755D">
            <w:pPr>
              <w:pStyle w:val="ARtabletextrightbold"/>
            </w:pPr>
            <w:r w:rsidRPr="002029AF">
              <w:t>51.2</w:t>
            </w:r>
          </w:p>
        </w:tc>
        <w:tc>
          <w:tcPr>
            <w:tcW w:w="1028" w:type="dxa"/>
          </w:tcPr>
          <w:p w14:paraId="72629C59" w14:textId="77777777" w:rsidR="00C15C65" w:rsidRPr="002029AF" w:rsidRDefault="00C15C65" w:rsidP="00C9755D">
            <w:pPr>
              <w:pStyle w:val="ARtabletextrightbold"/>
            </w:pPr>
            <w:r w:rsidRPr="002029AF">
              <w:t>3.9</w:t>
            </w:r>
          </w:p>
        </w:tc>
        <w:tc>
          <w:tcPr>
            <w:tcW w:w="803" w:type="dxa"/>
            <w:gridSpan w:val="2"/>
          </w:tcPr>
          <w:p w14:paraId="4C14E46A" w14:textId="77777777" w:rsidR="00C15C65" w:rsidRPr="002029AF" w:rsidRDefault="00C15C65" w:rsidP="00C40F5D">
            <w:pPr>
              <w:pStyle w:val="ARtabletext"/>
              <w:rPr>
                <w:b/>
              </w:rPr>
            </w:pPr>
          </w:p>
        </w:tc>
      </w:tr>
      <w:tr w:rsidR="00C15C65" w:rsidRPr="002029AF" w14:paraId="7FECC8A7" w14:textId="77777777" w:rsidTr="005B58F0">
        <w:trPr>
          <w:gridAfter w:val="1"/>
          <w:wAfter w:w="8" w:type="dxa"/>
          <w:cantSplit/>
        </w:trPr>
        <w:tc>
          <w:tcPr>
            <w:tcW w:w="9631" w:type="dxa"/>
            <w:gridSpan w:val="6"/>
            <w:tcBorders>
              <w:bottom w:val="single" w:sz="4" w:space="0" w:color="BFBFBF"/>
            </w:tcBorders>
            <w:shd w:val="clear" w:color="auto" w:fill="auto"/>
            <w:noWrap/>
            <w:hideMark/>
          </w:tcPr>
          <w:p w14:paraId="7BDA4743" w14:textId="1BBE16D7" w:rsidR="00C15C65" w:rsidRPr="002029AF" w:rsidRDefault="00C15C65" w:rsidP="00D96AFD">
            <w:pPr>
              <w:pStyle w:val="ARtablenoteindent"/>
            </w:pPr>
            <w:r w:rsidRPr="002029AF">
              <w:t>The</w:t>
            </w:r>
            <w:r w:rsidR="000A5329" w:rsidRPr="002029AF">
              <w:t xml:space="preserve"> </w:t>
            </w:r>
            <w:r w:rsidRPr="002029AF">
              <w:t>201</w:t>
            </w:r>
            <w:r w:rsidR="00DB53E6" w:rsidRPr="002029AF">
              <w:t>9–</w:t>
            </w:r>
            <w:r w:rsidRPr="002029AF">
              <w:t>20</w:t>
            </w:r>
            <w:r w:rsidR="000A5329" w:rsidRPr="002029AF">
              <w:t xml:space="preserve"> </w:t>
            </w:r>
            <w:r w:rsidRPr="002029AF">
              <w:t>actual</w:t>
            </w:r>
            <w:r w:rsidR="000A5329" w:rsidRPr="002029AF">
              <w:t xml:space="preserve"> </w:t>
            </w:r>
            <w:r w:rsidRPr="002029AF">
              <w:t>outcome</w:t>
            </w:r>
            <w:r w:rsidR="000A5329" w:rsidRPr="002029AF">
              <w:t xml:space="preserve"> </w:t>
            </w:r>
            <w:r w:rsidRPr="002029AF">
              <w:t>primarily</w:t>
            </w:r>
            <w:r w:rsidR="000A5329" w:rsidRPr="002029AF">
              <w:t xml:space="preserve"> </w:t>
            </w:r>
            <w:r w:rsidRPr="002029AF">
              <w:t>reflects</w:t>
            </w:r>
            <w:r w:rsidR="000A5329" w:rsidRPr="002029AF">
              <w:t xml:space="preserve"> </w:t>
            </w:r>
            <w:r w:rsidRPr="002029AF">
              <w:t>increases</w:t>
            </w:r>
            <w:r w:rsidR="000A5329" w:rsidRPr="002029AF">
              <w:t xml:space="preserve"> </w:t>
            </w:r>
            <w:r w:rsidRPr="002029AF">
              <w:t>in</w:t>
            </w:r>
            <w:r w:rsidR="000A5329" w:rsidRPr="002029AF">
              <w:t xml:space="preserve"> </w:t>
            </w:r>
            <w:r w:rsidRPr="002029AF">
              <w:t>government</w:t>
            </w:r>
            <w:r w:rsidR="000A5329" w:rsidRPr="002029AF">
              <w:t xml:space="preserve"> </w:t>
            </w:r>
            <w:r w:rsidRPr="002029AF">
              <w:t>policy</w:t>
            </w:r>
            <w:r w:rsidR="000A5329" w:rsidRPr="002029AF">
              <w:t xml:space="preserve"> </w:t>
            </w:r>
            <w:r w:rsidRPr="002029AF">
              <w:t>initiatives</w:t>
            </w:r>
            <w:r w:rsidR="000A5329" w:rsidRPr="002029AF">
              <w:t xml:space="preserve"> </w:t>
            </w:r>
            <w:r w:rsidRPr="002029AF">
              <w:t>related</w:t>
            </w:r>
            <w:r w:rsidR="000A5329" w:rsidRPr="002029AF">
              <w:t xml:space="preserve"> </w:t>
            </w:r>
            <w:r w:rsidRPr="002029AF">
              <w:t>to</w:t>
            </w:r>
            <w:r w:rsidR="000A5329" w:rsidRPr="002029AF">
              <w:t xml:space="preserve"> </w:t>
            </w:r>
            <w:r w:rsidRPr="002029AF">
              <w:t>the</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response.</w:t>
            </w:r>
          </w:p>
        </w:tc>
      </w:tr>
      <w:tr w:rsidR="00C15C65" w:rsidRPr="002029AF" w14:paraId="12D890C4" w14:textId="77777777" w:rsidTr="005B58F0">
        <w:trPr>
          <w:cantSplit/>
        </w:trPr>
        <w:tc>
          <w:tcPr>
            <w:tcW w:w="9639" w:type="dxa"/>
            <w:gridSpan w:val="7"/>
            <w:tcBorders>
              <w:top w:val="single" w:sz="4" w:space="0" w:color="auto"/>
              <w:left w:val="nil"/>
              <w:bottom w:val="single" w:sz="4" w:space="0" w:color="auto"/>
              <w:right w:val="nil"/>
            </w:tcBorders>
            <w:hideMark/>
          </w:tcPr>
          <w:p w14:paraId="39DA9D7D" w14:textId="6490B1E3" w:rsidR="00C15C65" w:rsidRPr="002029AF" w:rsidRDefault="00C15C65" w:rsidP="007666A5">
            <w:pPr>
              <w:pStyle w:val="ARtablesubhead"/>
            </w:pPr>
            <w:r w:rsidRPr="002029AF">
              <w:t>Office</w:t>
            </w:r>
            <w:r w:rsidR="000A5329" w:rsidRPr="002029AF">
              <w:t xml:space="preserve"> </w:t>
            </w:r>
            <w:r w:rsidRPr="002029AF">
              <w:t>for</w:t>
            </w:r>
            <w:r w:rsidR="000A5329" w:rsidRPr="002029AF">
              <w:t xml:space="preserve"> </w:t>
            </w:r>
            <w:r w:rsidRPr="002029AF">
              <w:t>Disability</w:t>
            </w:r>
          </w:p>
        </w:tc>
      </w:tr>
      <w:tr w:rsidR="00C15C65" w:rsidRPr="002029AF" w14:paraId="56FB98CE" w14:textId="77777777" w:rsidTr="005B58F0">
        <w:trPr>
          <w:cantSplit/>
        </w:trPr>
        <w:tc>
          <w:tcPr>
            <w:tcW w:w="9639" w:type="dxa"/>
            <w:gridSpan w:val="7"/>
            <w:tcBorders>
              <w:top w:val="single" w:sz="4" w:space="0" w:color="auto"/>
              <w:left w:val="nil"/>
              <w:bottom w:val="nil"/>
              <w:right w:val="nil"/>
            </w:tcBorders>
            <w:hideMark/>
          </w:tcPr>
          <w:p w14:paraId="19366634" w14:textId="77777777" w:rsidR="00C15C65" w:rsidRPr="002029AF" w:rsidRDefault="00C15C65" w:rsidP="00860E95">
            <w:pPr>
              <w:pStyle w:val="ARtablegreybold"/>
              <w:spacing w:before="40" w:after="20"/>
            </w:pPr>
            <w:r w:rsidRPr="002029AF">
              <w:t>Quantity</w:t>
            </w:r>
          </w:p>
        </w:tc>
      </w:tr>
      <w:tr w:rsidR="00C15C65" w:rsidRPr="002029AF" w14:paraId="060DD45B" w14:textId="77777777" w:rsidTr="005B58F0">
        <w:trPr>
          <w:gridAfter w:val="1"/>
          <w:wAfter w:w="8" w:type="dxa"/>
          <w:cantSplit/>
        </w:trPr>
        <w:tc>
          <w:tcPr>
            <w:tcW w:w="4749" w:type="dxa"/>
            <w:shd w:val="clear" w:color="auto" w:fill="auto"/>
            <w:hideMark/>
          </w:tcPr>
          <w:p w14:paraId="0D21EE5B" w14:textId="2D428A17" w:rsidR="00C15C65" w:rsidRPr="002029AF" w:rsidRDefault="00C15C65" w:rsidP="00C40F5D">
            <w:pPr>
              <w:pStyle w:val="ARtabletext"/>
            </w:pPr>
            <w:r w:rsidRPr="002029AF">
              <w:t>Number</w:t>
            </w:r>
            <w:r w:rsidR="000A5329" w:rsidRPr="002029AF">
              <w:t xml:space="preserve"> </w:t>
            </w:r>
            <w:r w:rsidRPr="002029AF">
              <w:t>of</w:t>
            </w:r>
            <w:r w:rsidR="000A5329" w:rsidRPr="002029AF">
              <w:t xml:space="preserve"> </w:t>
            </w:r>
            <w:r w:rsidRPr="002029AF">
              <w:t>Disability</w:t>
            </w:r>
            <w:r w:rsidR="000A5329" w:rsidRPr="002029AF">
              <w:t xml:space="preserve"> </w:t>
            </w:r>
            <w:r w:rsidRPr="002029AF">
              <w:t>Advocacy</w:t>
            </w:r>
            <w:r w:rsidR="000A5329" w:rsidRPr="002029AF">
              <w:t xml:space="preserve"> </w:t>
            </w:r>
            <w:r w:rsidRPr="002029AF">
              <w:t>clients</w:t>
            </w:r>
          </w:p>
        </w:tc>
        <w:tc>
          <w:tcPr>
            <w:tcW w:w="1018" w:type="dxa"/>
            <w:shd w:val="clear" w:color="auto" w:fill="auto"/>
            <w:hideMark/>
          </w:tcPr>
          <w:p w14:paraId="69C1D287" w14:textId="77777777" w:rsidR="00C15C65" w:rsidRPr="002029AF" w:rsidRDefault="00C15C65" w:rsidP="00C40F5D">
            <w:pPr>
              <w:pStyle w:val="ARtabletext"/>
            </w:pPr>
            <w:r w:rsidRPr="002029AF">
              <w:t>number</w:t>
            </w:r>
          </w:p>
        </w:tc>
        <w:tc>
          <w:tcPr>
            <w:tcW w:w="1022" w:type="dxa"/>
            <w:shd w:val="clear" w:color="auto" w:fill="auto"/>
            <w:hideMark/>
          </w:tcPr>
          <w:p w14:paraId="4BB66B18" w14:textId="77777777" w:rsidR="00C15C65" w:rsidRPr="002029AF" w:rsidRDefault="00C15C65" w:rsidP="000024F3">
            <w:pPr>
              <w:pStyle w:val="ARtabletextright"/>
            </w:pPr>
            <w:r w:rsidRPr="002029AF">
              <w:t>2,000</w:t>
            </w:r>
          </w:p>
        </w:tc>
        <w:tc>
          <w:tcPr>
            <w:tcW w:w="1019" w:type="dxa"/>
            <w:shd w:val="clear" w:color="auto" w:fill="auto"/>
            <w:hideMark/>
          </w:tcPr>
          <w:p w14:paraId="303760B2" w14:textId="77777777" w:rsidR="00C15C65" w:rsidRPr="002029AF" w:rsidRDefault="00C15C65" w:rsidP="000024F3">
            <w:pPr>
              <w:pStyle w:val="ARtabletextright"/>
            </w:pPr>
            <w:r w:rsidRPr="002029AF">
              <w:t>2,195</w:t>
            </w:r>
          </w:p>
        </w:tc>
        <w:tc>
          <w:tcPr>
            <w:tcW w:w="1028" w:type="dxa"/>
            <w:shd w:val="clear" w:color="auto" w:fill="auto"/>
          </w:tcPr>
          <w:p w14:paraId="5785527F" w14:textId="77777777" w:rsidR="00C15C65" w:rsidRPr="002029AF" w:rsidRDefault="00C15C65" w:rsidP="000024F3">
            <w:pPr>
              <w:pStyle w:val="ARtabletextright"/>
            </w:pPr>
            <w:r w:rsidRPr="002029AF">
              <w:t>9.8</w:t>
            </w:r>
          </w:p>
        </w:tc>
        <w:tc>
          <w:tcPr>
            <w:tcW w:w="795" w:type="dxa"/>
            <w:shd w:val="clear" w:color="auto" w:fill="auto"/>
            <w:hideMark/>
          </w:tcPr>
          <w:p w14:paraId="30BAB711"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7F5A457D" w14:textId="77777777" w:rsidTr="005B58F0">
        <w:trPr>
          <w:gridAfter w:val="1"/>
          <w:wAfter w:w="8" w:type="dxa"/>
          <w:cantSplit/>
        </w:trPr>
        <w:tc>
          <w:tcPr>
            <w:tcW w:w="9631" w:type="dxa"/>
            <w:gridSpan w:val="6"/>
            <w:tcBorders>
              <w:bottom w:val="single" w:sz="4" w:space="0" w:color="BFBFBF"/>
            </w:tcBorders>
            <w:shd w:val="clear" w:color="auto" w:fill="auto"/>
            <w:noWrap/>
            <w:hideMark/>
          </w:tcPr>
          <w:p w14:paraId="5B985DFB" w14:textId="1BDDB911" w:rsidR="00C15C65" w:rsidRPr="002029AF" w:rsidRDefault="00C15C65" w:rsidP="00D96AFD">
            <w:pPr>
              <w:pStyle w:val="ARtablenoteindent"/>
            </w:pPr>
            <w:r w:rsidRPr="002029AF">
              <w:t>The</w:t>
            </w:r>
            <w:r w:rsidR="000A5329" w:rsidRPr="002029AF">
              <w:t xml:space="preserve"> </w:t>
            </w:r>
            <w:r w:rsidRPr="002029AF">
              <w:t>result</w:t>
            </w:r>
            <w:r w:rsidR="000A5329" w:rsidRPr="002029AF">
              <w:t xml:space="preserve"> </w:t>
            </w:r>
            <w:r w:rsidRPr="002029AF">
              <w:t>was</w:t>
            </w:r>
            <w:r w:rsidR="000A5329" w:rsidRPr="002029AF">
              <w:t xml:space="preserve"> </w:t>
            </w:r>
            <w:r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target</w:t>
            </w:r>
            <w:r w:rsidR="000A5329" w:rsidRPr="002029AF">
              <w:t xml:space="preserve"> </w:t>
            </w:r>
            <w:r w:rsidRPr="002029AF">
              <w:t>due</w:t>
            </w:r>
            <w:r w:rsidR="000A5329" w:rsidRPr="002029AF">
              <w:t xml:space="preserve"> </w:t>
            </w:r>
            <w:r w:rsidRPr="002029AF">
              <w:t>to</w:t>
            </w:r>
            <w:r w:rsidR="000A5329" w:rsidRPr="002029AF">
              <w:t xml:space="preserve"> </w:t>
            </w:r>
            <w:r w:rsidRPr="002029AF">
              <w:t>the</w:t>
            </w:r>
            <w:r w:rsidR="000A5329" w:rsidRPr="002029AF">
              <w:t xml:space="preserve"> </w:t>
            </w:r>
            <w:r w:rsidRPr="002029AF">
              <w:t>increased</w:t>
            </w:r>
            <w:r w:rsidR="000A5329" w:rsidRPr="002029AF">
              <w:t xml:space="preserve"> </w:t>
            </w:r>
            <w:r w:rsidRPr="002029AF">
              <w:t>demand</w:t>
            </w:r>
            <w:r w:rsidR="000A5329" w:rsidRPr="002029AF">
              <w:t xml:space="preserve"> </w:t>
            </w:r>
            <w:r w:rsidRPr="002029AF">
              <w:t>for</w:t>
            </w:r>
            <w:r w:rsidR="000A5329" w:rsidRPr="002029AF">
              <w:t xml:space="preserve"> </w:t>
            </w:r>
            <w:r w:rsidRPr="002029AF">
              <w:t>advocacy</w:t>
            </w:r>
            <w:r w:rsidR="000A5329" w:rsidRPr="002029AF">
              <w:t xml:space="preserve"> </w:t>
            </w:r>
            <w:r w:rsidRPr="002029AF">
              <w:t>resulting</w:t>
            </w:r>
            <w:r w:rsidR="000A5329" w:rsidRPr="002029AF">
              <w:t xml:space="preserve"> </w:t>
            </w:r>
            <w:r w:rsidRPr="002029AF">
              <w:t>from</w:t>
            </w:r>
            <w:r w:rsidR="000A5329" w:rsidRPr="002029AF">
              <w:t xml:space="preserve"> </w:t>
            </w:r>
            <w:r w:rsidRPr="002029AF">
              <w:t>Victoria</w:t>
            </w:r>
            <w:r w:rsidR="005F298C">
              <w:t>’</w:t>
            </w:r>
            <w:r w:rsidRPr="002029AF">
              <w:t>s</w:t>
            </w:r>
            <w:r w:rsidR="000A5329" w:rsidRPr="002029AF">
              <w:t xml:space="preserve"> </w:t>
            </w:r>
            <w:r w:rsidRPr="002029AF">
              <w:t>transition</w:t>
            </w:r>
            <w:r w:rsidR="000A5329" w:rsidRPr="002029AF">
              <w:t xml:space="preserve"> </w:t>
            </w:r>
            <w:r w:rsidRPr="002029AF">
              <w:t>to</w:t>
            </w:r>
            <w:r w:rsidR="000A5329" w:rsidRPr="002029AF">
              <w:t xml:space="preserve"> </w:t>
            </w:r>
            <w:r w:rsidRPr="002029AF">
              <w:t>the</w:t>
            </w:r>
            <w:r w:rsidR="000A5329" w:rsidRPr="002029AF">
              <w:t xml:space="preserve"> </w:t>
            </w:r>
            <w:r w:rsidRPr="002029AF">
              <w:t>National</w:t>
            </w:r>
            <w:r w:rsidR="000A5329" w:rsidRPr="002029AF">
              <w:t xml:space="preserve"> </w:t>
            </w:r>
            <w:r w:rsidRPr="002029AF">
              <w:t>Disability</w:t>
            </w:r>
            <w:r w:rsidR="000A5329" w:rsidRPr="002029AF">
              <w:t xml:space="preserve"> </w:t>
            </w:r>
            <w:r w:rsidRPr="002029AF">
              <w:t>Insurance</w:t>
            </w:r>
            <w:r w:rsidR="000A5329" w:rsidRPr="002029AF">
              <w:t xml:space="preserve"> </w:t>
            </w:r>
            <w:r w:rsidRPr="002029AF">
              <w:t>Scheme</w:t>
            </w:r>
            <w:r w:rsidR="000A5329" w:rsidRPr="002029AF">
              <w:t xml:space="preserve"> </w:t>
            </w:r>
            <w:r w:rsidRPr="002029AF">
              <w:t>and</w:t>
            </w:r>
            <w:r w:rsidR="000A5329" w:rsidRPr="002029AF">
              <w:t xml:space="preserve"> </w:t>
            </w:r>
            <w:r w:rsidRPr="002029AF">
              <w:t>the</w:t>
            </w:r>
            <w:r w:rsidR="000A5329" w:rsidRPr="002029AF">
              <w:t xml:space="preserve"> </w:t>
            </w:r>
            <w:r w:rsidRPr="002029AF">
              <w:t>impacts</w:t>
            </w:r>
            <w:r w:rsidR="000A5329" w:rsidRPr="002029AF">
              <w:t xml:space="preserve"> </w:t>
            </w:r>
            <w:r w:rsidRPr="002029AF">
              <w:t>of</w:t>
            </w:r>
            <w:r w:rsidR="000A5329" w:rsidRPr="002029AF">
              <w:t xml:space="preserve"> </w:t>
            </w:r>
            <w:r w:rsidRPr="002029AF">
              <w:t>the</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public</w:t>
            </w:r>
            <w:r w:rsidR="000A5329" w:rsidRPr="002029AF">
              <w:t xml:space="preserve"> </w:t>
            </w:r>
            <w:r w:rsidRPr="002029AF">
              <w:t>health</w:t>
            </w:r>
            <w:r w:rsidR="000A5329" w:rsidRPr="002029AF">
              <w:t xml:space="preserve"> </w:t>
            </w:r>
            <w:r w:rsidRPr="002029AF">
              <w:t>emergency.</w:t>
            </w:r>
          </w:p>
        </w:tc>
      </w:tr>
      <w:tr w:rsidR="00C15C65" w:rsidRPr="002029AF" w14:paraId="498371AE" w14:textId="77777777" w:rsidTr="005B58F0">
        <w:trPr>
          <w:cantSplit/>
        </w:trPr>
        <w:tc>
          <w:tcPr>
            <w:tcW w:w="9639" w:type="dxa"/>
            <w:gridSpan w:val="7"/>
            <w:tcBorders>
              <w:top w:val="single" w:sz="4" w:space="0" w:color="auto"/>
              <w:left w:val="nil"/>
              <w:bottom w:val="nil"/>
              <w:right w:val="nil"/>
            </w:tcBorders>
            <w:hideMark/>
          </w:tcPr>
          <w:p w14:paraId="4528CE69" w14:textId="77777777" w:rsidR="00C15C65" w:rsidRPr="002029AF" w:rsidRDefault="00C15C65" w:rsidP="00860E95">
            <w:pPr>
              <w:pStyle w:val="ARtablegreybold"/>
              <w:spacing w:before="40" w:after="20"/>
            </w:pPr>
            <w:r w:rsidRPr="002029AF">
              <w:t>Timeliness</w:t>
            </w:r>
          </w:p>
        </w:tc>
      </w:tr>
      <w:tr w:rsidR="00C15C65" w:rsidRPr="002029AF" w14:paraId="12B2233D" w14:textId="77777777" w:rsidTr="005B58F0">
        <w:trPr>
          <w:gridAfter w:val="1"/>
          <w:wAfter w:w="8" w:type="dxa"/>
          <w:cantSplit/>
        </w:trPr>
        <w:tc>
          <w:tcPr>
            <w:tcW w:w="4749" w:type="dxa"/>
            <w:shd w:val="clear" w:color="auto" w:fill="auto"/>
            <w:hideMark/>
          </w:tcPr>
          <w:p w14:paraId="52ACEA64" w14:textId="39CB4D7F" w:rsidR="00C15C65" w:rsidRPr="002029AF" w:rsidRDefault="00C15C65" w:rsidP="00C40F5D">
            <w:pPr>
              <w:pStyle w:val="ARtabletext"/>
            </w:pPr>
            <w:r w:rsidRPr="002029AF">
              <w:t>Annual</w:t>
            </w:r>
            <w:r w:rsidR="000A5329" w:rsidRPr="002029AF">
              <w:t xml:space="preserve"> </w:t>
            </w:r>
            <w:r w:rsidRPr="002029AF">
              <w:t>reporting</w:t>
            </w:r>
            <w:r w:rsidR="000A5329" w:rsidRPr="002029AF">
              <w:t xml:space="preserve"> </w:t>
            </w:r>
            <w:r w:rsidRPr="002029AF">
              <w:t>against</w:t>
            </w:r>
            <w:r w:rsidR="000A5329" w:rsidRPr="002029AF">
              <w:t xml:space="preserve"> </w:t>
            </w:r>
            <w:r w:rsidRPr="002029AF">
              <w:t>the</w:t>
            </w:r>
            <w:r w:rsidR="000A5329" w:rsidRPr="002029AF">
              <w:t xml:space="preserve"> </w:t>
            </w:r>
            <w:r w:rsidRPr="002029AF">
              <w:t>State</w:t>
            </w:r>
            <w:r w:rsidR="000A5329" w:rsidRPr="002029AF">
              <w:t xml:space="preserve"> </w:t>
            </w:r>
            <w:r w:rsidRPr="002029AF">
              <w:t>disability</w:t>
            </w:r>
            <w:r w:rsidR="000A5329" w:rsidRPr="002029AF">
              <w:t xml:space="preserve"> </w:t>
            </w:r>
            <w:r w:rsidRPr="002029AF">
              <w:t>plan</w:t>
            </w:r>
            <w:r w:rsidR="000A5329" w:rsidRPr="002029AF">
              <w:t xml:space="preserve"> </w:t>
            </w:r>
            <w:r w:rsidRPr="002029AF">
              <w:t>within</w:t>
            </w:r>
            <w:r w:rsidR="000A5329" w:rsidRPr="002029AF">
              <w:t xml:space="preserve"> </w:t>
            </w:r>
            <w:r w:rsidRPr="002029AF">
              <w:t>agreed</w:t>
            </w:r>
            <w:r w:rsidR="000A5329" w:rsidRPr="002029AF">
              <w:t xml:space="preserve"> </w:t>
            </w:r>
            <w:r w:rsidRPr="002029AF">
              <w:t>timeframes</w:t>
            </w:r>
          </w:p>
        </w:tc>
        <w:tc>
          <w:tcPr>
            <w:tcW w:w="1018" w:type="dxa"/>
            <w:shd w:val="clear" w:color="auto" w:fill="auto"/>
            <w:hideMark/>
          </w:tcPr>
          <w:p w14:paraId="4EA8D16C" w14:textId="77777777" w:rsidR="00C15C65" w:rsidRPr="002029AF" w:rsidRDefault="00C15C65" w:rsidP="00C40F5D">
            <w:pPr>
              <w:pStyle w:val="ARtabletext"/>
            </w:pPr>
            <w:r w:rsidRPr="002029AF">
              <w:t>number</w:t>
            </w:r>
          </w:p>
        </w:tc>
        <w:tc>
          <w:tcPr>
            <w:tcW w:w="1022" w:type="dxa"/>
            <w:shd w:val="clear" w:color="auto" w:fill="auto"/>
            <w:hideMark/>
          </w:tcPr>
          <w:p w14:paraId="3D7706EF" w14:textId="77777777" w:rsidR="00C15C65" w:rsidRPr="002029AF" w:rsidRDefault="00C15C65" w:rsidP="000024F3">
            <w:pPr>
              <w:pStyle w:val="ARtabletextright"/>
            </w:pPr>
            <w:r w:rsidRPr="002029AF">
              <w:t>100</w:t>
            </w:r>
          </w:p>
        </w:tc>
        <w:tc>
          <w:tcPr>
            <w:tcW w:w="1019" w:type="dxa"/>
            <w:shd w:val="clear" w:color="auto" w:fill="auto"/>
            <w:hideMark/>
          </w:tcPr>
          <w:p w14:paraId="1A51CB7A" w14:textId="77777777" w:rsidR="00C15C65" w:rsidRPr="002029AF" w:rsidRDefault="00C15C65" w:rsidP="000024F3">
            <w:pPr>
              <w:pStyle w:val="ARtabletextright"/>
            </w:pPr>
            <w:r w:rsidRPr="002029AF">
              <w:t>100</w:t>
            </w:r>
          </w:p>
        </w:tc>
        <w:tc>
          <w:tcPr>
            <w:tcW w:w="1028" w:type="dxa"/>
            <w:shd w:val="clear" w:color="auto" w:fill="auto"/>
          </w:tcPr>
          <w:p w14:paraId="4EF7DA31" w14:textId="77777777" w:rsidR="00C15C65" w:rsidRPr="002029AF" w:rsidRDefault="00C15C65" w:rsidP="000024F3">
            <w:pPr>
              <w:pStyle w:val="ARtabletextright"/>
            </w:pPr>
            <w:r w:rsidRPr="002029AF">
              <w:t>0.0</w:t>
            </w:r>
          </w:p>
        </w:tc>
        <w:tc>
          <w:tcPr>
            <w:tcW w:w="795" w:type="dxa"/>
            <w:shd w:val="clear" w:color="auto" w:fill="auto"/>
            <w:hideMark/>
          </w:tcPr>
          <w:p w14:paraId="157A5F99" w14:textId="77777777" w:rsidR="00C15C65" w:rsidRPr="002029AF" w:rsidRDefault="00C15C65" w:rsidP="000F6867">
            <w:pPr>
              <w:pStyle w:val="ARtableperformancesymbol"/>
              <w:rPr>
                <w:rFonts w:hint="eastAsia"/>
                <w:lang w:val="en-AU"/>
              </w:rPr>
            </w:pPr>
            <w:r w:rsidRPr="002029AF">
              <w:rPr>
                <w:rFonts w:eastAsia="Wingdings" w:cs="Wingdings"/>
                <w:lang w:val="en-AU"/>
              </w:rPr>
              <w:t></w:t>
            </w:r>
          </w:p>
        </w:tc>
      </w:tr>
      <w:tr w:rsidR="00C15C65" w:rsidRPr="002029AF" w14:paraId="7D7C62DA" w14:textId="77777777" w:rsidTr="005B58F0">
        <w:trPr>
          <w:gridAfter w:val="1"/>
          <w:wAfter w:w="8" w:type="dxa"/>
          <w:cantSplit/>
        </w:trPr>
        <w:tc>
          <w:tcPr>
            <w:tcW w:w="9631" w:type="dxa"/>
            <w:gridSpan w:val="6"/>
            <w:tcBorders>
              <w:bottom w:val="single" w:sz="4" w:space="0" w:color="BFBFBF"/>
            </w:tcBorders>
            <w:shd w:val="clear" w:color="auto" w:fill="auto"/>
            <w:noWrap/>
            <w:hideMark/>
          </w:tcPr>
          <w:p w14:paraId="56FE868B" w14:textId="544341C4" w:rsidR="00C15C65" w:rsidRPr="002029AF" w:rsidRDefault="00C15C65" w:rsidP="00D96AFD">
            <w:pPr>
              <w:pStyle w:val="ARtablenoteindent"/>
            </w:pPr>
            <w:r w:rsidRPr="002029AF">
              <w:t>Preliminary</w:t>
            </w:r>
            <w:r w:rsidR="000A5329" w:rsidRPr="002029AF">
              <w:t xml:space="preserve"> </w:t>
            </w:r>
            <w:r w:rsidRPr="002029AF">
              <w:t>result.</w:t>
            </w:r>
            <w:r w:rsidR="000A5329" w:rsidRPr="002029AF">
              <w:t xml:space="preserve"> </w:t>
            </w:r>
            <w:r w:rsidRPr="002029AF">
              <w:t>Actual</w:t>
            </w:r>
            <w:r w:rsidR="000A5329" w:rsidRPr="002029AF">
              <w:t xml:space="preserve"> </w:t>
            </w:r>
            <w:r w:rsidRPr="002029AF">
              <w:t>end-of-year</w:t>
            </w:r>
            <w:r w:rsidR="000A5329" w:rsidRPr="002029AF">
              <w:t xml:space="preserve"> </w:t>
            </w:r>
            <w:r w:rsidRPr="002029AF">
              <w:t>result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before</w:t>
            </w:r>
            <w:r w:rsidR="000A5329" w:rsidRPr="002029AF">
              <w:t xml:space="preserve"> </w:t>
            </w:r>
            <w:r w:rsidRPr="002029AF">
              <w:t>mid-2021.</w:t>
            </w:r>
          </w:p>
        </w:tc>
      </w:tr>
      <w:tr w:rsidR="00C15C65" w:rsidRPr="002029AF" w14:paraId="38BC86F6" w14:textId="77777777" w:rsidTr="005B58F0">
        <w:trPr>
          <w:cantSplit/>
        </w:trPr>
        <w:tc>
          <w:tcPr>
            <w:tcW w:w="9639" w:type="dxa"/>
            <w:gridSpan w:val="7"/>
            <w:tcBorders>
              <w:top w:val="single" w:sz="4" w:space="0" w:color="auto"/>
              <w:left w:val="nil"/>
              <w:right w:val="nil"/>
            </w:tcBorders>
            <w:hideMark/>
          </w:tcPr>
          <w:p w14:paraId="27E935AA" w14:textId="77777777" w:rsidR="00C15C65" w:rsidRPr="002029AF" w:rsidRDefault="00C15C65" w:rsidP="00860E95">
            <w:pPr>
              <w:pStyle w:val="ARtablegreybold"/>
              <w:spacing w:before="40" w:after="20"/>
            </w:pPr>
            <w:r w:rsidRPr="002029AF">
              <w:t>Cost</w:t>
            </w:r>
          </w:p>
        </w:tc>
      </w:tr>
      <w:tr w:rsidR="00C15C65" w:rsidRPr="002029AF" w14:paraId="239EA4F4" w14:textId="77777777" w:rsidTr="005B58F0">
        <w:trPr>
          <w:cantSplit/>
        </w:trPr>
        <w:tc>
          <w:tcPr>
            <w:tcW w:w="4749" w:type="dxa"/>
            <w:tcBorders>
              <w:bottom w:val="single" w:sz="4" w:space="0" w:color="auto"/>
            </w:tcBorders>
            <w:hideMark/>
          </w:tcPr>
          <w:p w14:paraId="33925ACB" w14:textId="6D035A2A" w:rsidR="00C15C65" w:rsidRPr="002029AF" w:rsidRDefault="00C15C65" w:rsidP="00C40F5D">
            <w:pPr>
              <w:pStyle w:val="ARtabletext"/>
              <w:rPr>
                <w:b/>
              </w:rPr>
            </w:pPr>
            <w:r w:rsidRPr="002029AF">
              <w:rPr>
                <w:b/>
              </w:rPr>
              <w:t>Total</w:t>
            </w:r>
            <w:r w:rsidR="000A5329" w:rsidRPr="002029AF">
              <w:rPr>
                <w:b/>
              </w:rPr>
              <w:t xml:space="preserve"> </w:t>
            </w:r>
            <w:r w:rsidRPr="002029AF">
              <w:rPr>
                <w:b/>
              </w:rPr>
              <w:t>output</w:t>
            </w:r>
            <w:r w:rsidR="000A5329" w:rsidRPr="002029AF">
              <w:rPr>
                <w:b/>
              </w:rPr>
              <w:t xml:space="preserve"> </w:t>
            </w:r>
            <w:r w:rsidRPr="002029AF">
              <w:rPr>
                <w:b/>
              </w:rPr>
              <w:t>cost</w:t>
            </w:r>
          </w:p>
        </w:tc>
        <w:tc>
          <w:tcPr>
            <w:tcW w:w="1018" w:type="dxa"/>
            <w:tcBorders>
              <w:bottom w:val="single" w:sz="4" w:space="0" w:color="auto"/>
            </w:tcBorders>
            <w:hideMark/>
          </w:tcPr>
          <w:p w14:paraId="10B1E5E8" w14:textId="01B033B9" w:rsidR="00C15C65" w:rsidRPr="002029AF" w:rsidRDefault="00C15C65" w:rsidP="00C40F5D">
            <w:pPr>
              <w:pStyle w:val="ARtabletext"/>
              <w:rPr>
                <w:b/>
              </w:rPr>
            </w:pPr>
            <w:r w:rsidRPr="002029AF">
              <w:rPr>
                <w:b/>
              </w:rPr>
              <w:t>$</w:t>
            </w:r>
            <w:r w:rsidR="000A5329" w:rsidRPr="002029AF">
              <w:rPr>
                <w:b/>
              </w:rPr>
              <w:t xml:space="preserve"> </w:t>
            </w:r>
            <w:r w:rsidRPr="002029AF">
              <w:rPr>
                <w:b/>
              </w:rPr>
              <w:t>million</w:t>
            </w:r>
          </w:p>
        </w:tc>
        <w:tc>
          <w:tcPr>
            <w:tcW w:w="1017" w:type="dxa"/>
            <w:tcBorders>
              <w:bottom w:val="single" w:sz="4" w:space="0" w:color="auto"/>
            </w:tcBorders>
          </w:tcPr>
          <w:p w14:paraId="13CDA5B0" w14:textId="77777777" w:rsidR="00C15C65" w:rsidRPr="002029AF" w:rsidRDefault="00C15C65" w:rsidP="00C9755D">
            <w:pPr>
              <w:pStyle w:val="ARtabletextrightbold"/>
            </w:pPr>
            <w:r w:rsidRPr="002029AF">
              <w:t>10.9</w:t>
            </w:r>
          </w:p>
        </w:tc>
        <w:tc>
          <w:tcPr>
            <w:tcW w:w="1024" w:type="dxa"/>
            <w:tcBorders>
              <w:bottom w:val="single" w:sz="4" w:space="0" w:color="auto"/>
            </w:tcBorders>
          </w:tcPr>
          <w:p w14:paraId="535A1173" w14:textId="77777777" w:rsidR="00C15C65" w:rsidRPr="002029AF" w:rsidRDefault="00C15C65" w:rsidP="00C9755D">
            <w:pPr>
              <w:pStyle w:val="ARtabletextrightbold"/>
            </w:pPr>
            <w:r w:rsidRPr="002029AF">
              <w:t>11.1</w:t>
            </w:r>
          </w:p>
        </w:tc>
        <w:tc>
          <w:tcPr>
            <w:tcW w:w="1028" w:type="dxa"/>
            <w:tcBorders>
              <w:bottom w:val="single" w:sz="4" w:space="0" w:color="auto"/>
            </w:tcBorders>
          </w:tcPr>
          <w:p w14:paraId="415C51AD" w14:textId="77777777" w:rsidR="00C15C65" w:rsidRPr="002029AF" w:rsidRDefault="00C15C65" w:rsidP="00C9755D">
            <w:pPr>
              <w:pStyle w:val="ARtabletextrightbold"/>
            </w:pPr>
            <w:r w:rsidRPr="002029AF">
              <w:t>1.7</w:t>
            </w:r>
          </w:p>
        </w:tc>
        <w:tc>
          <w:tcPr>
            <w:tcW w:w="803" w:type="dxa"/>
            <w:gridSpan w:val="2"/>
            <w:tcBorders>
              <w:bottom w:val="single" w:sz="4" w:space="0" w:color="auto"/>
            </w:tcBorders>
          </w:tcPr>
          <w:p w14:paraId="0DB63F14" w14:textId="77777777" w:rsidR="00C15C65" w:rsidRPr="002029AF" w:rsidRDefault="00C15C65" w:rsidP="00C40F5D">
            <w:pPr>
              <w:pStyle w:val="ARtabletext"/>
              <w:rPr>
                <w:b/>
              </w:rPr>
            </w:pPr>
          </w:p>
        </w:tc>
      </w:tr>
    </w:tbl>
    <w:p w14:paraId="31E16AEC" w14:textId="7FF7774A" w:rsidR="00E25B23" w:rsidRPr="002029AF" w:rsidRDefault="00E25B23" w:rsidP="00E25B23">
      <w:pPr>
        <w:pStyle w:val="ARbody"/>
      </w:pPr>
    </w:p>
    <w:p w14:paraId="5E230158" w14:textId="77777777" w:rsidR="00650DAB" w:rsidRPr="002029AF" w:rsidRDefault="00650DAB" w:rsidP="00C22356">
      <w:pPr>
        <w:pStyle w:val="Heading1"/>
        <w:rPr>
          <w:lang w:eastAsia="en-AU"/>
        </w:rPr>
        <w:sectPr w:rsidR="00650DAB" w:rsidRPr="002029AF" w:rsidSect="009F6CFE">
          <w:headerReference w:type="even" r:id="rId99"/>
          <w:headerReference w:type="default" r:id="rId100"/>
          <w:headerReference w:type="first" r:id="rId101"/>
          <w:footerReference w:type="first" r:id="rId102"/>
          <w:pgSz w:w="11906" w:h="16838" w:code="9"/>
          <w:pgMar w:top="1985" w:right="851" w:bottom="851" w:left="1418" w:header="510" w:footer="340" w:gutter="0"/>
          <w:cols w:space="454"/>
          <w:docGrid w:linePitch="360"/>
          <w15:footnoteColumns w:val="1"/>
        </w:sectPr>
      </w:pPr>
    </w:p>
    <w:p w14:paraId="15F36272" w14:textId="62E7F286" w:rsidR="00014F39" w:rsidRPr="002029AF" w:rsidRDefault="00014F39" w:rsidP="00C22356">
      <w:pPr>
        <w:pStyle w:val="Heading1"/>
      </w:pPr>
      <w:bookmarkStart w:id="56" w:name="_Ref52453812"/>
      <w:bookmarkStart w:id="57" w:name="_Toc54690767"/>
      <w:r w:rsidRPr="002029AF">
        <w:lastRenderedPageBreak/>
        <w:t>Finance</w:t>
      </w:r>
      <w:r w:rsidR="000A5329" w:rsidRPr="002029AF">
        <w:t xml:space="preserve"> </w:t>
      </w:r>
      <w:r w:rsidRPr="002029AF">
        <w:t>and</w:t>
      </w:r>
      <w:r w:rsidR="000A5329" w:rsidRPr="002029AF">
        <w:t xml:space="preserve"> </w:t>
      </w:r>
      <w:r w:rsidRPr="002029AF">
        <w:t>budgetary</w:t>
      </w:r>
      <w:r w:rsidR="000A5329" w:rsidRPr="002029AF">
        <w:t xml:space="preserve"> </w:t>
      </w:r>
      <w:r w:rsidRPr="002029AF">
        <w:t>performance</w:t>
      </w:r>
      <w:bookmarkEnd w:id="56"/>
      <w:bookmarkEnd w:id="57"/>
    </w:p>
    <w:p w14:paraId="35147180" w14:textId="6DC42648" w:rsidR="00014F39" w:rsidRPr="002029AF" w:rsidRDefault="00014F39" w:rsidP="00C22356">
      <w:pPr>
        <w:pStyle w:val="Heading2"/>
        <w:spacing w:after="200"/>
        <w:rPr>
          <w:lang w:eastAsia="en-AU"/>
        </w:rPr>
      </w:pPr>
      <w:r w:rsidRPr="002029AF">
        <w:rPr>
          <w:lang w:eastAsia="en-AU"/>
        </w:rPr>
        <w:t>Departmental</w:t>
      </w:r>
      <w:r w:rsidR="000A5329" w:rsidRPr="002029AF">
        <w:rPr>
          <w:lang w:eastAsia="en-AU"/>
        </w:rPr>
        <w:t xml:space="preserve"> </w:t>
      </w:r>
      <w:r w:rsidRPr="002029AF">
        <w:rPr>
          <w:lang w:eastAsia="en-AU"/>
        </w:rPr>
        <w:t>five-year</w:t>
      </w:r>
      <w:r w:rsidR="000A5329" w:rsidRPr="002029AF">
        <w:rPr>
          <w:lang w:eastAsia="en-AU"/>
        </w:rPr>
        <w:t xml:space="preserve"> </w:t>
      </w:r>
      <w:r w:rsidRPr="002029AF">
        <w:rPr>
          <w:lang w:eastAsia="en-AU"/>
        </w:rPr>
        <w:t>financial</w:t>
      </w:r>
      <w:r w:rsidR="000A5329" w:rsidRPr="002029AF">
        <w:rPr>
          <w:lang w:eastAsia="en-AU"/>
        </w:rPr>
        <w:t xml:space="preserve"> </w:t>
      </w:r>
      <w:r w:rsidRPr="002029AF">
        <w:rPr>
          <w:lang w:eastAsia="en-AU"/>
        </w:rPr>
        <w:t>summary</w:t>
      </w:r>
    </w:p>
    <w:tbl>
      <w:tblPr>
        <w:tblW w:w="9639" w:type="dxa"/>
        <w:tblInd w:w="4" w:type="dxa"/>
        <w:tblLayout w:type="fixed"/>
        <w:tblCellMar>
          <w:left w:w="0" w:type="dxa"/>
          <w:right w:w="0" w:type="dxa"/>
        </w:tblCellMar>
        <w:tblLook w:val="00A0" w:firstRow="1" w:lastRow="0" w:firstColumn="1" w:lastColumn="0" w:noHBand="0" w:noVBand="0"/>
      </w:tblPr>
      <w:tblGrid>
        <w:gridCol w:w="4880"/>
        <w:gridCol w:w="951"/>
        <w:gridCol w:w="952"/>
        <w:gridCol w:w="952"/>
        <w:gridCol w:w="952"/>
        <w:gridCol w:w="952"/>
      </w:tblGrid>
      <w:tr w:rsidR="00014F39" w:rsidRPr="002029AF" w14:paraId="2583D66A" w14:textId="77777777" w:rsidTr="00192EEE">
        <w:trPr>
          <w:trHeight w:val="1"/>
          <w:tblHeader/>
        </w:trPr>
        <w:tc>
          <w:tcPr>
            <w:tcW w:w="4883" w:type="dxa"/>
            <w:tcBorders>
              <w:top w:val="nil"/>
              <w:left w:val="single" w:sz="4" w:space="0" w:color="FFFFFF"/>
              <w:bottom w:val="single" w:sz="4" w:space="0" w:color="auto"/>
            </w:tcBorders>
            <w:vAlign w:val="bottom"/>
          </w:tcPr>
          <w:p w14:paraId="6C531D47" w14:textId="01328D4A" w:rsidR="00014F39" w:rsidRPr="002029AF" w:rsidRDefault="00014F39" w:rsidP="00CA3123">
            <w:pPr>
              <w:pStyle w:val="ARtablecolhead"/>
              <w:rPr>
                <w:rFonts w:ascii="Calibri" w:hAnsi="Calibri" w:cs="Calibri"/>
              </w:rPr>
            </w:pPr>
            <w:r w:rsidRPr="002029AF">
              <w:t>Five-year</w:t>
            </w:r>
            <w:r w:rsidR="000A5329" w:rsidRPr="002029AF">
              <w:t xml:space="preserve"> </w:t>
            </w:r>
            <w:r w:rsidRPr="002029AF">
              <w:t>financial</w:t>
            </w:r>
            <w:r w:rsidR="000A5329" w:rsidRPr="002029AF">
              <w:t xml:space="preserve"> </w:t>
            </w:r>
            <w:r w:rsidRPr="002029AF">
              <w:t>summary</w:t>
            </w:r>
            <w:r w:rsidR="000A5329" w:rsidRPr="002029AF">
              <w:t xml:space="preserve"> </w:t>
            </w:r>
            <w:r w:rsidRPr="002029AF">
              <w:t>($</w:t>
            </w:r>
            <w:r w:rsidR="000A5329" w:rsidRPr="002029AF">
              <w:t xml:space="preserve"> </w:t>
            </w:r>
            <w:r w:rsidRPr="002029AF">
              <w:t>millions)</w:t>
            </w:r>
          </w:p>
        </w:tc>
        <w:tc>
          <w:tcPr>
            <w:tcW w:w="952" w:type="dxa"/>
            <w:tcBorders>
              <w:top w:val="nil"/>
              <w:bottom w:val="single" w:sz="4" w:space="0" w:color="auto"/>
            </w:tcBorders>
            <w:vAlign w:val="bottom"/>
          </w:tcPr>
          <w:p w14:paraId="4B972E92" w14:textId="77777777" w:rsidR="00014F39" w:rsidRPr="002029AF" w:rsidRDefault="00014F39" w:rsidP="00FD03DD">
            <w:pPr>
              <w:pStyle w:val="ARtablecolheadright"/>
            </w:pPr>
            <w:r w:rsidRPr="002029AF">
              <w:t>2020</w:t>
            </w:r>
          </w:p>
        </w:tc>
        <w:tc>
          <w:tcPr>
            <w:tcW w:w="952" w:type="dxa"/>
            <w:tcBorders>
              <w:top w:val="nil"/>
              <w:bottom w:val="single" w:sz="4" w:space="0" w:color="auto"/>
            </w:tcBorders>
            <w:vAlign w:val="bottom"/>
          </w:tcPr>
          <w:p w14:paraId="01E26199" w14:textId="77777777" w:rsidR="00014F39" w:rsidRPr="002029AF" w:rsidRDefault="00014F39" w:rsidP="00FD03DD">
            <w:pPr>
              <w:pStyle w:val="ARtablecolheadright"/>
            </w:pPr>
            <w:r w:rsidRPr="002029AF">
              <w:t>2019</w:t>
            </w:r>
          </w:p>
        </w:tc>
        <w:tc>
          <w:tcPr>
            <w:tcW w:w="952" w:type="dxa"/>
            <w:tcBorders>
              <w:top w:val="nil"/>
              <w:bottom w:val="single" w:sz="4" w:space="0" w:color="auto"/>
            </w:tcBorders>
            <w:shd w:val="clear" w:color="000000" w:fill="FFFFFF"/>
            <w:vAlign w:val="bottom"/>
          </w:tcPr>
          <w:p w14:paraId="64C6D3CA" w14:textId="77777777" w:rsidR="00014F39" w:rsidRPr="002029AF" w:rsidRDefault="00014F39" w:rsidP="00FD03DD">
            <w:pPr>
              <w:pStyle w:val="ARtablecolheadright"/>
              <w:rPr>
                <w:rFonts w:ascii="Calibri" w:hAnsi="Calibri" w:cs="Calibri"/>
              </w:rPr>
            </w:pPr>
            <w:r w:rsidRPr="002029AF">
              <w:t>2018</w:t>
            </w:r>
          </w:p>
        </w:tc>
        <w:tc>
          <w:tcPr>
            <w:tcW w:w="952" w:type="dxa"/>
            <w:tcBorders>
              <w:top w:val="nil"/>
              <w:bottom w:val="single" w:sz="4" w:space="0" w:color="auto"/>
            </w:tcBorders>
            <w:shd w:val="clear" w:color="000000" w:fill="FFFFFF"/>
            <w:vAlign w:val="bottom"/>
          </w:tcPr>
          <w:p w14:paraId="3AB7E8D7" w14:textId="77777777" w:rsidR="00014F39" w:rsidRPr="002029AF" w:rsidRDefault="00014F39" w:rsidP="00FD03DD">
            <w:pPr>
              <w:pStyle w:val="ARtablecolheadright"/>
              <w:rPr>
                <w:rFonts w:ascii="Calibri" w:hAnsi="Calibri" w:cs="Calibri"/>
              </w:rPr>
            </w:pPr>
            <w:r w:rsidRPr="002029AF">
              <w:t>2017</w:t>
            </w:r>
          </w:p>
        </w:tc>
        <w:tc>
          <w:tcPr>
            <w:tcW w:w="952" w:type="dxa"/>
            <w:tcBorders>
              <w:top w:val="nil"/>
              <w:bottom w:val="single" w:sz="4" w:space="0" w:color="auto"/>
            </w:tcBorders>
            <w:shd w:val="clear" w:color="000000" w:fill="FFFFFF"/>
            <w:vAlign w:val="bottom"/>
          </w:tcPr>
          <w:p w14:paraId="3C6C65A2" w14:textId="77777777" w:rsidR="00014F39" w:rsidRPr="002029AF" w:rsidRDefault="00014F39" w:rsidP="00FD03DD">
            <w:pPr>
              <w:pStyle w:val="ARtablecolheadright"/>
              <w:rPr>
                <w:rFonts w:ascii="Calibri" w:hAnsi="Calibri" w:cs="Calibri"/>
              </w:rPr>
            </w:pPr>
            <w:r w:rsidRPr="002029AF">
              <w:t>2016</w:t>
            </w:r>
          </w:p>
        </w:tc>
      </w:tr>
      <w:tr w:rsidR="00014F39" w:rsidRPr="002029AF" w14:paraId="225E61DD" w14:textId="77777777" w:rsidTr="00192EEE">
        <w:trPr>
          <w:trHeight w:val="1"/>
        </w:trPr>
        <w:tc>
          <w:tcPr>
            <w:tcW w:w="4883" w:type="dxa"/>
            <w:tcBorders>
              <w:top w:val="single" w:sz="4" w:space="0" w:color="auto"/>
              <w:left w:val="single" w:sz="4" w:space="0" w:color="FFFFFF"/>
              <w:bottom w:val="single" w:sz="4" w:space="0" w:color="auto"/>
            </w:tcBorders>
          </w:tcPr>
          <w:p w14:paraId="4DC55CD3" w14:textId="194041CE" w:rsidR="00014F39" w:rsidRPr="002029AF" w:rsidRDefault="00014F39" w:rsidP="00E25B23">
            <w:pPr>
              <w:pStyle w:val="ARtabletext"/>
              <w:rPr>
                <w:rFonts w:ascii="Calibri" w:hAnsi="Calibri" w:cs="Calibri"/>
              </w:rPr>
            </w:pPr>
            <w:r w:rsidRPr="002029AF">
              <w:t>Income</w:t>
            </w:r>
            <w:r w:rsidR="000A5329" w:rsidRPr="002029AF">
              <w:t xml:space="preserve"> </w:t>
            </w:r>
            <w:r w:rsidRPr="002029AF">
              <w:t>from</w:t>
            </w:r>
            <w:r w:rsidR="000A5329" w:rsidRPr="002029AF">
              <w:t xml:space="preserve"> </w:t>
            </w:r>
            <w:r w:rsidRPr="002029AF">
              <w:t>government</w:t>
            </w:r>
          </w:p>
        </w:tc>
        <w:tc>
          <w:tcPr>
            <w:tcW w:w="952" w:type="dxa"/>
            <w:tcBorders>
              <w:top w:val="single" w:sz="4" w:space="0" w:color="auto"/>
              <w:bottom w:val="single" w:sz="4" w:space="0" w:color="auto"/>
            </w:tcBorders>
          </w:tcPr>
          <w:p w14:paraId="2786ECF6" w14:textId="77777777" w:rsidR="00014F39" w:rsidRPr="002029AF" w:rsidRDefault="00014F39" w:rsidP="00FD03DD">
            <w:pPr>
              <w:pStyle w:val="ARtabletextright"/>
            </w:pPr>
            <w:r w:rsidRPr="002029AF">
              <w:t>18,971.9</w:t>
            </w:r>
          </w:p>
        </w:tc>
        <w:tc>
          <w:tcPr>
            <w:tcW w:w="952" w:type="dxa"/>
            <w:tcBorders>
              <w:top w:val="single" w:sz="4" w:space="0" w:color="auto"/>
              <w:bottom w:val="single" w:sz="4" w:space="0" w:color="auto"/>
            </w:tcBorders>
          </w:tcPr>
          <w:p w14:paraId="7E3D58D4" w14:textId="77777777" w:rsidR="00014F39" w:rsidRPr="002029AF" w:rsidRDefault="00014F39" w:rsidP="00FD03DD">
            <w:pPr>
              <w:pStyle w:val="ARtabletextright"/>
            </w:pPr>
            <w:r w:rsidRPr="002029AF">
              <w:t>17,696.3</w:t>
            </w:r>
          </w:p>
        </w:tc>
        <w:tc>
          <w:tcPr>
            <w:tcW w:w="952" w:type="dxa"/>
            <w:tcBorders>
              <w:top w:val="single" w:sz="4" w:space="0" w:color="auto"/>
              <w:bottom w:val="single" w:sz="4" w:space="0" w:color="auto"/>
            </w:tcBorders>
            <w:shd w:val="clear" w:color="000000" w:fill="FFFFFF"/>
          </w:tcPr>
          <w:p w14:paraId="1285B774" w14:textId="77777777" w:rsidR="00014F39" w:rsidRPr="002029AF" w:rsidRDefault="00014F39" w:rsidP="00FD03DD">
            <w:pPr>
              <w:pStyle w:val="ARtabletextright"/>
              <w:rPr>
                <w:rFonts w:ascii="Calibri" w:hAnsi="Calibri" w:cs="Calibri"/>
              </w:rPr>
            </w:pPr>
            <w:r w:rsidRPr="002029AF">
              <w:t>16,373.1</w:t>
            </w:r>
          </w:p>
        </w:tc>
        <w:tc>
          <w:tcPr>
            <w:tcW w:w="952" w:type="dxa"/>
            <w:tcBorders>
              <w:top w:val="single" w:sz="4" w:space="0" w:color="auto"/>
              <w:bottom w:val="single" w:sz="4" w:space="0" w:color="auto"/>
            </w:tcBorders>
            <w:shd w:val="clear" w:color="000000" w:fill="FFFFFF"/>
          </w:tcPr>
          <w:p w14:paraId="2EDB8920" w14:textId="77777777" w:rsidR="00014F39" w:rsidRPr="002029AF" w:rsidRDefault="00014F39" w:rsidP="00FD03DD">
            <w:pPr>
              <w:pStyle w:val="ARtabletextright"/>
              <w:rPr>
                <w:rFonts w:ascii="Calibri" w:hAnsi="Calibri" w:cs="Calibri"/>
              </w:rPr>
            </w:pPr>
            <w:r w:rsidRPr="002029AF">
              <w:t>15,089.9</w:t>
            </w:r>
          </w:p>
        </w:tc>
        <w:tc>
          <w:tcPr>
            <w:tcW w:w="952" w:type="dxa"/>
            <w:tcBorders>
              <w:top w:val="single" w:sz="4" w:space="0" w:color="auto"/>
              <w:bottom w:val="single" w:sz="4" w:space="0" w:color="auto"/>
            </w:tcBorders>
            <w:shd w:val="clear" w:color="000000" w:fill="FFFFFF"/>
          </w:tcPr>
          <w:p w14:paraId="37285C01" w14:textId="77777777" w:rsidR="00014F39" w:rsidRPr="002029AF" w:rsidRDefault="00014F39" w:rsidP="00FD03DD">
            <w:pPr>
              <w:pStyle w:val="ARtabletextright"/>
              <w:rPr>
                <w:rFonts w:ascii="Calibri" w:hAnsi="Calibri" w:cs="Calibri"/>
              </w:rPr>
            </w:pPr>
            <w:r w:rsidRPr="002029AF">
              <w:t>14,242.9</w:t>
            </w:r>
          </w:p>
        </w:tc>
      </w:tr>
      <w:tr w:rsidR="00014F39" w:rsidRPr="002029AF" w14:paraId="469FE248" w14:textId="77777777" w:rsidTr="00192EEE">
        <w:trPr>
          <w:trHeight w:val="1"/>
        </w:trPr>
        <w:tc>
          <w:tcPr>
            <w:tcW w:w="4883" w:type="dxa"/>
            <w:tcBorders>
              <w:top w:val="single" w:sz="4" w:space="0" w:color="auto"/>
              <w:left w:val="single" w:sz="4" w:space="0" w:color="FFFFFF"/>
              <w:bottom w:val="single" w:sz="4" w:space="0" w:color="auto"/>
            </w:tcBorders>
          </w:tcPr>
          <w:p w14:paraId="19DD2A69" w14:textId="7CA6D305" w:rsidR="00014F39" w:rsidRPr="002029AF" w:rsidRDefault="00014F39" w:rsidP="00E25B23">
            <w:pPr>
              <w:pStyle w:val="ARtabletext"/>
              <w:rPr>
                <w:rFonts w:ascii="Calibri" w:hAnsi="Calibri" w:cs="Calibri"/>
              </w:rPr>
            </w:pPr>
            <w:r w:rsidRPr="002029AF">
              <w:t>Total</w:t>
            </w:r>
            <w:r w:rsidR="000A5329" w:rsidRPr="002029AF">
              <w:t xml:space="preserve"> </w:t>
            </w:r>
            <w:r w:rsidRPr="002029AF">
              <w:t>revenue</w:t>
            </w:r>
            <w:r w:rsidR="000A5329" w:rsidRPr="002029AF">
              <w:t xml:space="preserve"> </w:t>
            </w:r>
            <w:r w:rsidRPr="002029AF">
              <w:t>and</w:t>
            </w:r>
            <w:r w:rsidR="000A5329" w:rsidRPr="002029AF">
              <w:t xml:space="preserve"> </w:t>
            </w:r>
            <w:r w:rsidRPr="002029AF">
              <w:t>income</w:t>
            </w:r>
            <w:r w:rsidR="000A5329" w:rsidRPr="002029AF">
              <w:t xml:space="preserve"> </w:t>
            </w:r>
            <w:r w:rsidRPr="002029AF">
              <w:t>from</w:t>
            </w:r>
            <w:r w:rsidR="000A5329" w:rsidRPr="002029AF">
              <w:t xml:space="preserve"> </w:t>
            </w:r>
            <w:r w:rsidRPr="002029AF">
              <w:t>transactions</w:t>
            </w:r>
          </w:p>
        </w:tc>
        <w:tc>
          <w:tcPr>
            <w:tcW w:w="952" w:type="dxa"/>
            <w:tcBorders>
              <w:top w:val="single" w:sz="4" w:space="0" w:color="auto"/>
              <w:bottom w:val="single" w:sz="4" w:space="0" w:color="auto"/>
            </w:tcBorders>
          </w:tcPr>
          <w:p w14:paraId="54B0D0CA" w14:textId="77777777" w:rsidR="00014F39" w:rsidRPr="002029AF" w:rsidRDefault="00014F39" w:rsidP="00FD03DD">
            <w:pPr>
              <w:pStyle w:val="ARtabletextright"/>
            </w:pPr>
            <w:r w:rsidRPr="002029AF">
              <w:t>22,028.4</w:t>
            </w:r>
          </w:p>
        </w:tc>
        <w:tc>
          <w:tcPr>
            <w:tcW w:w="952" w:type="dxa"/>
            <w:tcBorders>
              <w:top w:val="single" w:sz="4" w:space="0" w:color="auto"/>
              <w:bottom w:val="single" w:sz="4" w:space="0" w:color="auto"/>
            </w:tcBorders>
          </w:tcPr>
          <w:p w14:paraId="1E46BCA3" w14:textId="77777777" w:rsidR="00014F39" w:rsidRPr="002029AF" w:rsidRDefault="00014F39" w:rsidP="00FD03DD">
            <w:pPr>
              <w:pStyle w:val="ARtabletextright"/>
            </w:pPr>
            <w:r w:rsidRPr="002029AF">
              <w:t>19,417.0</w:t>
            </w:r>
          </w:p>
        </w:tc>
        <w:tc>
          <w:tcPr>
            <w:tcW w:w="952" w:type="dxa"/>
            <w:tcBorders>
              <w:top w:val="single" w:sz="4" w:space="0" w:color="auto"/>
              <w:bottom w:val="single" w:sz="4" w:space="0" w:color="auto"/>
            </w:tcBorders>
            <w:shd w:val="clear" w:color="000000" w:fill="FFFFFF"/>
          </w:tcPr>
          <w:p w14:paraId="1ABF783B" w14:textId="77777777" w:rsidR="00014F39" w:rsidRPr="002029AF" w:rsidRDefault="00014F39" w:rsidP="00FD03DD">
            <w:pPr>
              <w:pStyle w:val="ARtabletextright"/>
              <w:rPr>
                <w:rFonts w:ascii="Calibri" w:hAnsi="Calibri" w:cs="Calibri"/>
              </w:rPr>
            </w:pPr>
            <w:r w:rsidRPr="002029AF">
              <w:t>17,921.1</w:t>
            </w:r>
          </w:p>
        </w:tc>
        <w:tc>
          <w:tcPr>
            <w:tcW w:w="952" w:type="dxa"/>
            <w:tcBorders>
              <w:top w:val="single" w:sz="4" w:space="0" w:color="auto"/>
              <w:bottom w:val="single" w:sz="4" w:space="0" w:color="auto"/>
            </w:tcBorders>
            <w:shd w:val="clear" w:color="000000" w:fill="FFFFFF"/>
          </w:tcPr>
          <w:p w14:paraId="3E74400F" w14:textId="77777777" w:rsidR="00014F39" w:rsidRPr="002029AF" w:rsidRDefault="00014F39" w:rsidP="00FD03DD">
            <w:pPr>
              <w:pStyle w:val="ARtabletextright"/>
              <w:rPr>
                <w:rFonts w:ascii="Calibri" w:hAnsi="Calibri" w:cs="Calibri"/>
              </w:rPr>
            </w:pPr>
            <w:r w:rsidRPr="002029AF">
              <w:t>16,678.6</w:t>
            </w:r>
          </w:p>
        </w:tc>
        <w:tc>
          <w:tcPr>
            <w:tcW w:w="952" w:type="dxa"/>
            <w:tcBorders>
              <w:top w:val="single" w:sz="4" w:space="0" w:color="auto"/>
              <w:bottom w:val="single" w:sz="4" w:space="0" w:color="auto"/>
            </w:tcBorders>
            <w:shd w:val="clear" w:color="000000" w:fill="FFFFFF"/>
          </w:tcPr>
          <w:p w14:paraId="0CCA4403" w14:textId="77777777" w:rsidR="00014F39" w:rsidRPr="002029AF" w:rsidRDefault="00014F39" w:rsidP="00FD03DD">
            <w:pPr>
              <w:pStyle w:val="ARtabletextright"/>
              <w:rPr>
                <w:rFonts w:ascii="Calibri" w:hAnsi="Calibri" w:cs="Calibri"/>
              </w:rPr>
            </w:pPr>
            <w:r w:rsidRPr="002029AF">
              <w:t>15,939.8</w:t>
            </w:r>
          </w:p>
        </w:tc>
      </w:tr>
      <w:tr w:rsidR="00014F39" w:rsidRPr="002029AF" w14:paraId="2E514D41" w14:textId="77777777" w:rsidTr="00192EEE">
        <w:trPr>
          <w:trHeight w:val="1"/>
        </w:trPr>
        <w:tc>
          <w:tcPr>
            <w:tcW w:w="4883" w:type="dxa"/>
            <w:tcBorders>
              <w:top w:val="single" w:sz="4" w:space="0" w:color="auto"/>
              <w:left w:val="single" w:sz="4" w:space="0" w:color="FFFFFF"/>
              <w:bottom w:val="single" w:sz="4" w:space="0" w:color="auto"/>
            </w:tcBorders>
          </w:tcPr>
          <w:p w14:paraId="7EB8D106" w14:textId="4FA314A6" w:rsidR="00014F39" w:rsidRPr="002029AF" w:rsidRDefault="00014F39" w:rsidP="00E25B23">
            <w:pPr>
              <w:pStyle w:val="ARtabletext"/>
              <w:rPr>
                <w:rFonts w:ascii="Calibri" w:hAnsi="Calibri" w:cs="Calibri"/>
              </w:rPr>
            </w:pPr>
            <w:r w:rsidRPr="002029AF">
              <w:t>Total</w:t>
            </w:r>
            <w:r w:rsidR="000A5329" w:rsidRPr="002029AF">
              <w:t xml:space="preserve"> </w:t>
            </w:r>
            <w:r w:rsidRPr="002029AF">
              <w:t>expenses</w:t>
            </w:r>
            <w:r w:rsidR="000A5329" w:rsidRPr="002029AF">
              <w:t xml:space="preserve"> </w:t>
            </w:r>
            <w:r w:rsidRPr="002029AF">
              <w:t>from</w:t>
            </w:r>
            <w:r w:rsidR="000A5329" w:rsidRPr="002029AF">
              <w:t xml:space="preserve"> </w:t>
            </w:r>
            <w:r w:rsidRPr="002029AF">
              <w:t>transactions</w:t>
            </w:r>
          </w:p>
        </w:tc>
        <w:tc>
          <w:tcPr>
            <w:tcW w:w="952" w:type="dxa"/>
            <w:tcBorders>
              <w:top w:val="single" w:sz="4" w:space="0" w:color="auto"/>
              <w:bottom w:val="single" w:sz="4" w:space="0" w:color="auto"/>
            </w:tcBorders>
          </w:tcPr>
          <w:p w14:paraId="1337D076" w14:textId="77777777" w:rsidR="00014F39" w:rsidRPr="002029AF" w:rsidRDefault="00014F39" w:rsidP="00FD03DD">
            <w:pPr>
              <w:pStyle w:val="ARtabletextright"/>
            </w:pPr>
            <w:r w:rsidRPr="002029AF">
              <w:t>(21,420.3)</w:t>
            </w:r>
          </w:p>
        </w:tc>
        <w:tc>
          <w:tcPr>
            <w:tcW w:w="952" w:type="dxa"/>
            <w:tcBorders>
              <w:top w:val="single" w:sz="4" w:space="0" w:color="auto"/>
              <w:bottom w:val="single" w:sz="4" w:space="0" w:color="auto"/>
            </w:tcBorders>
          </w:tcPr>
          <w:p w14:paraId="5F450D51" w14:textId="77777777" w:rsidR="00014F39" w:rsidRPr="002029AF" w:rsidRDefault="00014F39" w:rsidP="00FD03DD">
            <w:pPr>
              <w:pStyle w:val="ARtabletextright"/>
            </w:pPr>
            <w:r w:rsidRPr="002029AF">
              <w:t>(19,391.5)</w:t>
            </w:r>
          </w:p>
        </w:tc>
        <w:tc>
          <w:tcPr>
            <w:tcW w:w="952" w:type="dxa"/>
            <w:tcBorders>
              <w:top w:val="single" w:sz="4" w:space="0" w:color="auto"/>
              <w:bottom w:val="single" w:sz="4" w:space="0" w:color="auto"/>
            </w:tcBorders>
            <w:shd w:val="clear" w:color="000000" w:fill="FFFFFF"/>
          </w:tcPr>
          <w:p w14:paraId="771CBD15" w14:textId="77777777" w:rsidR="00014F39" w:rsidRPr="002029AF" w:rsidRDefault="00014F39" w:rsidP="00FD03DD">
            <w:pPr>
              <w:pStyle w:val="ARtabletextright"/>
              <w:rPr>
                <w:rFonts w:ascii="Calibri" w:hAnsi="Calibri" w:cs="Calibri"/>
              </w:rPr>
            </w:pPr>
            <w:r w:rsidRPr="002029AF">
              <w:t>(17,742.8)</w:t>
            </w:r>
          </w:p>
        </w:tc>
        <w:tc>
          <w:tcPr>
            <w:tcW w:w="952" w:type="dxa"/>
            <w:tcBorders>
              <w:top w:val="single" w:sz="4" w:space="0" w:color="auto"/>
              <w:bottom w:val="single" w:sz="4" w:space="0" w:color="auto"/>
            </w:tcBorders>
            <w:shd w:val="clear" w:color="000000" w:fill="FFFFFF"/>
          </w:tcPr>
          <w:p w14:paraId="248EB49C" w14:textId="77777777" w:rsidR="00014F39" w:rsidRPr="002029AF" w:rsidRDefault="00014F39" w:rsidP="00FD03DD">
            <w:pPr>
              <w:pStyle w:val="ARtabletextright"/>
              <w:rPr>
                <w:rFonts w:ascii="Calibri" w:hAnsi="Calibri" w:cs="Calibri"/>
              </w:rPr>
            </w:pPr>
            <w:r w:rsidRPr="002029AF">
              <w:t>(16,939.7)</w:t>
            </w:r>
          </w:p>
        </w:tc>
        <w:tc>
          <w:tcPr>
            <w:tcW w:w="952" w:type="dxa"/>
            <w:tcBorders>
              <w:top w:val="single" w:sz="4" w:space="0" w:color="auto"/>
              <w:bottom w:val="single" w:sz="4" w:space="0" w:color="auto"/>
            </w:tcBorders>
            <w:shd w:val="clear" w:color="000000" w:fill="FFFFFF"/>
          </w:tcPr>
          <w:p w14:paraId="11B38065" w14:textId="77777777" w:rsidR="00014F39" w:rsidRPr="002029AF" w:rsidRDefault="00014F39" w:rsidP="00FD03DD">
            <w:pPr>
              <w:pStyle w:val="ARtabletextright"/>
              <w:rPr>
                <w:rFonts w:ascii="Calibri" w:hAnsi="Calibri" w:cs="Calibri"/>
              </w:rPr>
            </w:pPr>
            <w:r w:rsidRPr="002029AF">
              <w:t>(15,317.8)</w:t>
            </w:r>
          </w:p>
        </w:tc>
      </w:tr>
      <w:tr w:rsidR="00014F39" w:rsidRPr="002029AF" w14:paraId="2CAE06DC" w14:textId="77777777" w:rsidTr="00192EEE">
        <w:trPr>
          <w:trHeight w:val="1"/>
        </w:trPr>
        <w:tc>
          <w:tcPr>
            <w:tcW w:w="4883" w:type="dxa"/>
            <w:tcBorders>
              <w:top w:val="single" w:sz="4" w:space="0" w:color="auto"/>
              <w:left w:val="single" w:sz="4" w:space="0" w:color="FFFFFF"/>
              <w:bottom w:val="single" w:sz="4" w:space="0" w:color="auto"/>
            </w:tcBorders>
            <w:shd w:val="clear" w:color="auto" w:fill="E7E6E6"/>
          </w:tcPr>
          <w:p w14:paraId="000D70B0" w14:textId="07D33A1D" w:rsidR="00014F39" w:rsidRPr="002029AF" w:rsidRDefault="00014F39" w:rsidP="00E25B23">
            <w:pPr>
              <w:pStyle w:val="ARtabletext"/>
              <w:rPr>
                <w:rFonts w:ascii="Calibri" w:hAnsi="Calibri" w:cs="Calibri"/>
              </w:rPr>
            </w:pPr>
            <w:r w:rsidRPr="002029AF">
              <w:t>Net</w:t>
            </w:r>
            <w:r w:rsidR="000A5329" w:rsidRPr="002029AF">
              <w:t xml:space="preserve"> </w:t>
            </w:r>
            <w:r w:rsidRPr="002029AF">
              <w:t>result</w:t>
            </w:r>
            <w:r w:rsidR="000A5329" w:rsidRPr="002029AF">
              <w:t xml:space="preserve"> </w:t>
            </w:r>
            <w:r w:rsidRPr="002029AF">
              <w:t>from</w:t>
            </w:r>
            <w:r w:rsidR="000A5329" w:rsidRPr="002029AF">
              <w:t xml:space="preserve"> </w:t>
            </w:r>
            <w:r w:rsidRPr="002029AF">
              <w:t>transactions</w:t>
            </w:r>
          </w:p>
        </w:tc>
        <w:tc>
          <w:tcPr>
            <w:tcW w:w="952" w:type="dxa"/>
            <w:tcBorders>
              <w:top w:val="single" w:sz="4" w:space="0" w:color="auto"/>
              <w:bottom w:val="single" w:sz="4" w:space="0" w:color="auto"/>
            </w:tcBorders>
            <w:shd w:val="clear" w:color="auto" w:fill="E7E6E6"/>
          </w:tcPr>
          <w:p w14:paraId="1EA8BAA6" w14:textId="77777777" w:rsidR="00014F39" w:rsidRPr="002029AF" w:rsidRDefault="00014F39" w:rsidP="00FD03DD">
            <w:pPr>
              <w:pStyle w:val="ARtabletextright"/>
            </w:pPr>
            <w:r w:rsidRPr="002029AF">
              <w:t>608.1</w:t>
            </w:r>
          </w:p>
        </w:tc>
        <w:tc>
          <w:tcPr>
            <w:tcW w:w="952" w:type="dxa"/>
            <w:tcBorders>
              <w:top w:val="single" w:sz="4" w:space="0" w:color="auto"/>
              <w:bottom w:val="single" w:sz="4" w:space="0" w:color="auto"/>
            </w:tcBorders>
            <w:shd w:val="clear" w:color="auto" w:fill="E7E6E6"/>
          </w:tcPr>
          <w:p w14:paraId="4A0D3A50" w14:textId="77777777" w:rsidR="00014F39" w:rsidRPr="002029AF" w:rsidRDefault="00014F39" w:rsidP="00FD03DD">
            <w:pPr>
              <w:pStyle w:val="ARtabletextright"/>
            </w:pPr>
            <w:r w:rsidRPr="002029AF">
              <w:t>25.5</w:t>
            </w:r>
          </w:p>
        </w:tc>
        <w:tc>
          <w:tcPr>
            <w:tcW w:w="952" w:type="dxa"/>
            <w:tcBorders>
              <w:top w:val="single" w:sz="4" w:space="0" w:color="auto"/>
              <w:bottom w:val="single" w:sz="4" w:space="0" w:color="auto"/>
            </w:tcBorders>
            <w:shd w:val="clear" w:color="auto" w:fill="E7E6E6"/>
          </w:tcPr>
          <w:p w14:paraId="7882E587" w14:textId="77777777" w:rsidR="00014F39" w:rsidRPr="002029AF" w:rsidRDefault="00014F39" w:rsidP="00FD03DD">
            <w:pPr>
              <w:pStyle w:val="ARtabletextright"/>
              <w:rPr>
                <w:rFonts w:ascii="Calibri" w:hAnsi="Calibri" w:cs="Calibri"/>
              </w:rPr>
            </w:pPr>
            <w:r w:rsidRPr="002029AF">
              <w:t>178.3</w:t>
            </w:r>
          </w:p>
        </w:tc>
        <w:tc>
          <w:tcPr>
            <w:tcW w:w="952" w:type="dxa"/>
            <w:tcBorders>
              <w:top w:val="single" w:sz="4" w:space="0" w:color="auto"/>
              <w:bottom w:val="single" w:sz="4" w:space="0" w:color="auto"/>
            </w:tcBorders>
            <w:shd w:val="clear" w:color="auto" w:fill="E7E6E6"/>
          </w:tcPr>
          <w:p w14:paraId="50AC5D69" w14:textId="77777777" w:rsidR="00014F39" w:rsidRPr="002029AF" w:rsidRDefault="00014F39" w:rsidP="00FD03DD">
            <w:pPr>
              <w:pStyle w:val="ARtabletextright"/>
              <w:rPr>
                <w:rFonts w:ascii="Calibri" w:hAnsi="Calibri" w:cs="Calibri"/>
              </w:rPr>
            </w:pPr>
            <w:r w:rsidRPr="002029AF">
              <w:t>(261.2)</w:t>
            </w:r>
          </w:p>
        </w:tc>
        <w:tc>
          <w:tcPr>
            <w:tcW w:w="952" w:type="dxa"/>
            <w:tcBorders>
              <w:top w:val="single" w:sz="4" w:space="0" w:color="auto"/>
              <w:bottom w:val="single" w:sz="4" w:space="0" w:color="auto"/>
            </w:tcBorders>
            <w:shd w:val="clear" w:color="auto" w:fill="E7E6E6"/>
          </w:tcPr>
          <w:p w14:paraId="7F88583D" w14:textId="77777777" w:rsidR="00014F39" w:rsidRPr="002029AF" w:rsidRDefault="00014F39" w:rsidP="00FD03DD">
            <w:pPr>
              <w:pStyle w:val="ARtabletextright"/>
              <w:rPr>
                <w:rFonts w:ascii="Calibri" w:hAnsi="Calibri" w:cs="Calibri"/>
              </w:rPr>
            </w:pPr>
            <w:r w:rsidRPr="002029AF">
              <w:t>622.1</w:t>
            </w:r>
          </w:p>
        </w:tc>
      </w:tr>
      <w:tr w:rsidR="00014F39" w:rsidRPr="002029AF" w14:paraId="2BE6571B" w14:textId="77777777" w:rsidTr="00192EEE">
        <w:trPr>
          <w:trHeight w:val="1"/>
        </w:trPr>
        <w:tc>
          <w:tcPr>
            <w:tcW w:w="4883" w:type="dxa"/>
            <w:tcBorders>
              <w:top w:val="single" w:sz="4" w:space="0" w:color="auto"/>
              <w:left w:val="single" w:sz="4" w:space="0" w:color="FFFFFF"/>
              <w:bottom w:val="single" w:sz="4" w:space="0" w:color="auto"/>
            </w:tcBorders>
          </w:tcPr>
          <w:p w14:paraId="2B49F293" w14:textId="212DB9E2" w:rsidR="00014F39" w:rsidRPr="002029AF" w:rsidRDefault="00014F39" w:rsidP="00E25B23">
            <w:pPr>
              <w:pStyle w:val="ARtabletext"/>
              <w:rPr>
                <w:rFonts w:ascii="Calibri" w:hAnsi="Calibri" w:cs="Calibri"/>
              </w:rPr>
            </w:pPr>
            <w:r w:rsidRPr="002029AF">
              <w:t>Net</w:t>
            </w:r>
            <w:r w:rsidR="000A5329" w:rsidRPr="002029AF">
              <w:t xml:space="preserve"> </w:t>
            </w:r>
            <w:r w:rsidRPr="002029AF">
              <w:t>result</w:t>
            </w:r>
            <w:r w:rsidR="000A5329" w:rsidRPr="002029AF">
              <w:t xml:space="preserve"> </w:t>
            </w:r>
            <w:r w:rsidRPr="002029AF">
              <w:t>for</w:t>
            </w:r>
            <w:r w:rsidR="000A5329" w:rsidRPr="002029AF">
              <w:t xml:space="preserve"> </w:t>
            </w:r>
            <w:r w:rsidRPr="002029AF">
              <w:t>the</w:t>
            </w:r>
            <w:r w:rsidR="000A5329" w:rsidRPr="002029AF">
              <w:t xml:space="preserve"> </w:t>
            </w:r>
            <w:r w:rsidRPr="002029AF">
              <w:t>period</w:t>
            </w:r>
          </w:p>
        </w:tc>
        <w:tc>
          <w:tcPr>
            <w:tcW w:w="952" w:type="dxa"/>
            <w:tcBorders>
              <w:top w:val="single" w:sz="4" w:space="0" w:color="auto"/>
              <w:bottom w:val="single" w:sz="4" w:space="0" w:color="auto"/>
            </w:tcBorders>
          </w:tcPr>
          <w:p w14:paraId="4EEBC446" w14:textId="77777777" w:rsidR="00014F39" w:rsidRPr="002029AF" w:rsidRDefault="00014F39" w:rsidP="00FD03DD">
            <w:pPr>
              <w:pStyle w:val="ARtabletextright"/>
            </w:pPr>
            <w:r w:rsidRPr="002029AF">
              <w:t>545.4</w:t>
            </w:r>
          </w:p>
        </w:tc>
        <w:tc>
          <w:tcPr>
            <w:tcW w:w="952" w:type="dxa"/>
            <w:tcBorders>
              <w:top w:val="single" w:sz="4" w:space="0" w:color="auto"/>
              <w:bottom w:val="single" w:sz="4" w:space="0" w:color="auto"/>
            </w:tcBorders>
          </w:tcPr>
          <w:p w14:paraId="45D58739" w14:textId="77777777" w:rsidR="00014F39" w:rsidRPr="002029AF" w:rsidRDefault="00014F39" w:rsidP="00FD03DD">
            <w:pPr>
              <w:pStyle w:val="ARtabletextright"/>
            </w:pPr>
            <w:r w:rsidRPr="002029AF">
              <w:t>(9.0)</w:t>
            </w:r>
          </w:p>
        </w:tc>
        <w:tc>
          <w:tcPr>
            <w:tcW w:w="952" w:type="dxa"/>
            <w:tcBorders>
              <w:top w:val="single" w:sz="4" w:space="0" w:color="auto"/>
              <w:bottom w:val="single" w:sz="4" w:space="0" w:color="auto"/>
            </w:tcBorders>
            <w:shd w:val="clear" w:color="000000" w:fill="FFFFFF"/>
          </w:tcPr>
          <w:p w14:paraId="2BB16EB9" w14:textId="77777777" w:rsidR="00014F39" w:rsidRPr="002029AF" w:rsidRDefault="00014F39" w:rsidP="00FD03DD">
            <w:pPr>
              <w:pStyle w:val="ARtabletextright"/>
              <w:rPr>
                <w:rFonts w:ascii="Calibri" w:hAnsi="Calibri" w:cs="Calibri"/>
              </w:rPr>
            </w:pPr>
            <w:r w:rsidRPr="002029AF">
              <w:t>181.7</w:t>
            </w:r>
          </w:p>
        </w:tc>
        <w:tc>
          <w:tcPr>
            <w:tcW w:w="952" w:type="dxa"/>
            <w:tcBorders>
              <w:top w:val="single" w:sz="4" w:space="0" w:color="auto"/>
              <w:bottom w:val="single" w:sz="4" w:space="0" w:color="auto"/>
            </w:tcBorders>
            <w:shd w:val="clear" w:color="000000" w:fill="FFFFFF"/>
          </w:tcPr>
          <w:p w14:paraId="50F180F4" w14:textId="77777777" w:rsidR="00014F39" w:rsidRPr="002029AF" w:rsidRDefault="00014F39" w:rsidP="00FD03DD">
            <w:pPr>
              <w:pStyle w:val="ARtabletextright"/>
              <w:rPr>
                <w:rFonts w:ascii="Calibri" w:hAnsi="Calibri" w:cs="Calibri"/>
              </w:rPr>
            </w:pPr>
            <w:r w:rsidRPr="002029AF">
              <w:t>(266.3)</w:t>
            </w:r>
          </w:p>
        </w:tc>
        <w:tc>
          <w:tcPr>
            <w:tcW w:w="952" w:type="dxa"/>
            <w:tcBorders>
              <w:top w:val="single" w:sz="4" w:space="0" w:color="auto"/>
              <w:bottom w:val="single" w:sz="4" w:space="0" w:color="auto"/>
            </w:tcBorders>
            <w:shd w:val="clear" w:color="000000" w:fill="FFFFFF"/>
          </w:tcPr>
          <w:p w14:paraId="5BECF0FF" w14:textId="77777777" w:rsidR="00014F39" w:rsidRPr="002029AF" w:rsidRDefault="00014F39" w:rsidP="00FD03DD">
            <w:pPr>
              <w:pStyle w:val="ARtabletextright"/>
              <w:rPr>
                <w:rFonts w:ascii="Calibri" w:hAnsi="Calibri" w:cs="Calibri"/>
              </w:rPr>
            </w:pPr>
            <w:r w:rsidRPr="002029AF">
              <w:t>601.5</w:t>
            </w:r>
          </w:p>
        </w:tc>
      </w:tr>
      <w:tr w:rsidR="00014F39" w:rsidRPr="002029AF" w14:paraId="55371C31" w14:textId="77777777" w:rsidTr="00192EEE">
        <w:trPr>
          <w:trHeight w:val="1"/>
        </w:trPr>
        <w:tc>
          <w:tcPr>
            <w:tcW w:w="4883" w:type="dxa"/>
            <w:tcBorders>
              <w:top w:val="single" w:sz="4" w:space="0" w:color="auto"/>
              <w:left w:val="single" w:sz="4" w:space="0" w:color="FFFFFF"/>
              <w:bottom w:val="single" w:sz="4" w:space="0" w:color="auto"/>
            </w:tcBorders>
          </w:tcPr>
          <w:p w14:paraId="3EA872F0" w14:textId="0B1FCC82" w:rsidR="00014F39" w:rsidRPr="002029AF" w:rsidRDefault="00014F39" w:rsidP="00E25B23">
            <w:pPr>
              <w:pStyle w:val="ARtabletext"/>
              <w:rPr>
                <w:rFonts w:ascii="Calibri" w:hAnsi="Calibri" w:cs="Calibri"/>
              </w:rPr>
            </w:pPr>
            <w:r w:rsidRPr="002029AF">
              <w:t>Net</w:t>
            </w:r>
            <w:r w:rsidR="000A5329" w:rsidRPr="002029AF">
              <w:t xml:space="preserve"> </w:t>
            </w:r>
            <w:r w:rsidRPr="002029AF">
              <w:t>cash</w:t>
            </w:r>
            <w:r w:rsidR="000A5329" w:rsidRPr="002029AF">
              <w:t xml:space="preserve"> </w:t>
            </w:r>
            <w:r w:rsidRPr="002029AF">
              <w:t>flow</w:t>
            </w:r>
            <w:r w:rsidR="000A5329" w:rsidRPr="002029AF">
              <w:t xml:space="preserve"> </w:t>
            </w:r>
            <w:r w:rsidRPr="002029AF">
              <w:t>from</w:t>
            </w:r>
            <w:r w:rsidR="000A5329" w:rsidRPr="002029AF">
              <w:t xml:space="preserve"> </w:t>
            </w:r>
            <w:r w:rsidRPr="002029AF">
              <w:t>operating</w:t>
            </w:r>
            <w:r w:rsidR="000A5329" w:rsidRPr="002029AF">
              <w:t xml:space="preserve"> </w:t>
            </w:r>
            <w:r w:rsidRPr="002029AF">
              <w:t>activities</w:t>
            </w:r>
          </w:p>
        </w:tc>
        <w:tc>
          <w:tcPr>
            <w:tcW w:w="952" w:type="dxa"/>
            <w:tcBorders>
              <w:top w:val="single" w:sz="4" w:space="0" w:color="auto"/>
              <w:bottom w:val="single" w:sz="4" w:space="0" w:color="auto"/>
            </w:tcBorders>
          </w:tcPr>
          <w:p w14:paraId="5F4E29A4" w14:textId="77777777" w:rsidR="00014F39" w:rsidRPr="002029AF" w:rsidRDefault="00014F39" w:rsidP="00FD03DD">
            <w:pPr>
              <w:pStyle w:val="ARtabletextright"/>
            </w:pPr>
            <w:r w:rsidRPr="002029AF">
              <w:t>(96.9)</w:t>
            </w:r>
          </w:p>
        </w:tc>
        <w:tc>
          <w:tcPr>
            <w:tcW w:w="952" w:type="dxa"/>
            <w:tcBorders>
              <w:top w:val="single" w:sz="4" w:space="0" w:color="auto"/>
              <w:bottom w:val="single" w:sz="4" w:space="0" w:color="auto"/>
            </w:tcBorders>
          </w:tcPr>
          <w:p w14:paraId="54A06B38" w14:textId="77777777" w:rsidR="00014F39" w:rsidRPr="002029AF" w:rsidRDefault="00014F39" w:rsidP="00FD03DD">
            <w:pPr>
              <w:pStyle w:val="ARtabletextright"/>
            </w:pPr>
            <w:r w:rsidRPr="002029AF">
              <w:t>325.9</w:t>
            </w:r>
          </w:p>
        </w:tc>
        <w:tc>
          <w:tcPr>
            <w:tcW w:w="952" w:type="dxa"/>
            <w:tcBorders>
              <w:top w:val="single" w:sz="4" w:space="0" w:color="auto"/>
              <w:bottom w:val="single" w:sz="4" w:space="0" w:color="auto"/>
            </w:tcBorders>
            <w:shd w:val="clear" w:color="000000" w:fill="FFFFFF"/>
          </w:tcPr>
          <w:p w14:paraId="293E19BD" w14:textId="77777777" w:rsidR="00014F39" w:rsidRPr="002029AF" w:rsidRDefault="00014F39" w:rsidP="00FD03DD">
            <w:pPr>
              <w:pStyle w:val="ARtabletextright"/>
              <w:rPr>
                <w:rFonts w:ascii="Calibri" w:hAnsi="Calibri" w:cs="Calibri"/>
              </w:rPr>
            </w:pPr>
            <w:r w:rsidRPr="002029AF">
              <w:t>361.9</w:t>
            </w:r>
          </w:p>
        </w:tc>
        <w:tc>
          <w:tcPr>
            <w:tcW w:w="952" w:type="dxa"/>
            <w:tcBorders>
              <w:top w:val="single" w:sz="4" w:space="0" w:color="auto"/>
              <w:bottom w:val="single" w:sz="4" w:space="0" w:color="auto"/>
            </w:tcBorders>
            <w:shd w:val="clear" w:color="000000" w:fill="FFFFFF"/>
          </w:tcPr>
          <w:p w14:paraId="4E6E2BB2" w14:textId="77777777" w:rsidR="00014F39" w:rsidRPr="002029AF" w:rsidRDefault="00014F39" w:rsidP="00FD03DD">
            <w:pPr>
              <w:pStyle w:val="ARtabletextright"/>
              <w:rPr>
                <w:rFonts w:ascii="Calibri" w:hAnsi="Calibri" w:cs="Calibri"/>
              </w:rPr>
            </w:pPr>
            <w:r w:rsidRPr="002029AF">
              <w:t>315.1</w:t>
            </w:r>
          </w:p>
        </w:tc>
        <w:tc>
          <w:tcPr>
            <w:tcW w:w="952" w:type="dxa"/>
            <w:tcBorders>
              <w:top w:val="single" w:sz="4" w:space="0" w:color="auto"/>
              <w:bottom w:val="single" w:sz="4" w:space="0" w:color="auto"/>
            </w:tcBorders>
            <w:shd w:val="clear" w:color="000000" w:fill="FFFFFF"/>
          </w:tcPr>
          <w:p w14:paraId="738F22CE" w14:textId="77777777" w:rsidR="00014F39" w:rsidRPr="002029AF" w:rsidRDefault="00014F39" w:rsidP="00FD03DD">
            <w:pPr>
              <w:pStyle w:val="ARtabletextright"/>
              <w:rPr>
                <w:rFonts w:ascii="Calibri" w:hAnsi="Calibri" w:cs="Calibri"/>
              </w:rPr>
            </w:pPr>
            <w:r w:rsidRPr="002029AF">
              <w:t>255.3</w:t>
            </w:r>
          </w:p>
        </w:tc>
      </w:tr>
      <w:tr w:rsidR="00014F39" w:rsidRPr="002029AF" w14:paraId="17F4B259" w14:textId="77777777" w:rsidTr="00192EEE">
        <w:trPr>
          <w:trHeight w:val="1"/>
        </w:trPr>
        <w:tc>
          <w:tcPr>
            <w:tcW w:w="4883" w:type="dxa"/>
            <w:tcBorders>
              <w:top w:val="single" w:sz="4" w:space="0" w:color="auto"/>
              <w:left w:val="single" w:sz="4" w:space="0" w:color="FFFFFF"/>
              <w:bottom w:val="single" w:sz="4" w:space="0" w:color="auto"/>
            </w:tcBorders>
          </w:tcPr>
          <w:p w14:paraId="3E41583F" w14:textId="2639ED53" w:rsidR="00014F39" w:rsidRPr="002029AF" w:rsidRDefault="00014F39" w:rsidP="00E25B23">
            <w:pPr>
              <w:pStyle w:val="ARtabletext"/>
              <w:rPr>
                <w:rFonts w:ascii="Calibri" w:hAnsi="Calibri" w:cs="Calibri"/>
              </w:rPr>
            </w:pPr>
            <w:r w:rsidRPr="002029AF">
              <w:t>Total</w:t>
            </w:r>
            <w:r w:rsidR="000A5329" w:rsidRPr="002029AF">
              <w:t xml:space="preserve"> </w:t>
            </w:r>
            <w:r w:rsidRPr="002029AF">
              <w:t>assets</w:t>
            </w:r>
          </w:p>
        </w:tc>
        <w:tc>
          <w:tcPr>
            <w:tcW w:w="952" w:type="dxa"/>
            <w:tcBorders>
              <w:top w:val="single" w:sz="4" w:space="0" w:color="auto"/>
              <w:bottom w:val="single" w:sz="4" w:space="0" w:color="auto"/>
            </w:tcBorders>
          </w:tcPr>
          <w:p w14:paraId="6BE3378F" w14:textId="77777777" w:rsidR="00014F39" w:rsidRPr="002029AF" w:rsidRDefault="00014F39" w:rsidP="00FD03DD">
            <w:pPr>
              <w:pStyle w:val="ARtabletextright"/>
            </w:pPr>
            <w:r w:rsidRPr="002029AF">
              <w:t>34,865.9</w:t>
            </w:r>
          </w:p>
        </w:tc>
        <w:tc>
          <w:tcPr>
            <w:tcW w:w="952" w:type="dxa"/>
            <w:tcBorders>
              <w:top w:val="single" w:sz="4" w:space="0" w:color="auto"/>
              <w:bottom w:val="single" w:sz="4" w:space="0" w:color="auto"/>
            </w:tcBorders>
          </w:tcPr>
          <w:p w14:paraId="06D75E84" w14:textId="77777777" w:rsidR="00014F39" w:rsidRPr="002029AF" w:rsidRDefault="00014F39" w:rsidP="00FD03DD">
            <w:pPr>
              <w:pStyle w:val="ARtabletextright"/>
            </w:pPr>
            <w:r w:rsidRPr="002029AF">
              <w:t>33,372.5</w:t>
            </w:r>
          </w:p>
        </w:tc>
        <w:tc>
          <w:tcPr>
            <w:tcW w:w="952" w:type="dxa"/>
            <w:tcBorders>
              <w:top w:val="single" w:sz="4" w:space="0" w:color="auto"/>
              <w:bottom w:val="single" w:sz="4" w:space="0" w:color="auto"/>
            </w:tcBorders>
            <w:shd w:val="clear" w:color="000000" w:fill="FFFFFF"/>
          </w:tcPr>
          <w:p w14:paraId="0F51A148" w14:textId="77777777" w:rsidR="00014F39" w:rsidRPr="002029AF" w:rsidRDefault="00014F39" w:rsidP="00FD03DD">
            <w:pPr>
              <w:pStyle w:val="ARtabletextright"/>
              <w:rPr>
                <w:rFonts w:ascii="Calibri" w:hAnsi="Calibri" w:cs="Calibri"/>
              </w:rPr>
            </w:pPr>
            <w:r w:rsidRPr="002029AF">
              <w:t>34,380.8</w:t>
            </w:r>
          </w:p>
        </w:tc>
        <w:tc>
          <w:tcPr>
            <w:tcW w:w="952" w:type="dxa"/>
            <w:tcBorders>
              <w:top w:val="single" w:sz="4" w:space="0" w:color="auto"/>
              <w:bottom w:val="single" w:sz="4" w:space="0" w:color="auto"/>
            </w:tcBorders>
            <w:shd w:val="clear" w:color="000000" w:fill="FFFFFF"/>
          </w:tcPr>
          <w:p w14:paraId="49A50AE4" w14:textId="77777777" w:rsidR="00014F39" w:rsidRPr="002029AF" w:rsidRDefault="00014F39" w:rsidP="00FD03DD">
            <w:pPr>
              <w:pStyle w:val="ARtabletextright"/>
              <w:rPr>
                <w:rFonts w:ascii="Calibri" w:hAnsi="Calibri" w:cs="Calibri"/>
              </w:rPr>
            </w:pPr>
            <w:r w:rsidRPr="002029AF">
              <w:t>29,831.5</w:t>
            </w:r>
          </w:p>
        </w:tc>
        <w:tc>
          <w:tcPr>
            <w:tcW w:w="952" w:type="dxa"/>
            <w:tcBorders>
              <w:top w:val="single" w:sz="4" w:space="0" w:color="auto"/>
              <w:bottom w:val="single" w:sz="4" w:space="0" w:color="auto"/>
            </w:tcBorders>
            <w:shd w:val="clear" w:color="000000" w:fill="FFFFFF"/>
          </w:tcPr>
          <w:p w14:paraId="5B9FAE75" w14:textId="77777777" w:rsidR="00014F39" w:rsidRPr="002029AF" w:rsidRDefault="00014F39" w:rsidP="00FD03DD">
            <w:pPr>
              <w:pStyle w:val="ARtabletextright"/>
              <w:rPr>
                <w:rFonts w:ascii="Calibri" w:hAnsi="Calibri" w:cs="Calibri"/>
              </w:rPr>
            </w:pPr>
            <w:r w:rsidRPr="002029AF">
              <w:t>28,163.2</w:t>
            </w:r>
          </w:p>
        </w:tc>
      </w:tr>
      <w:tr w:rsidR="00014F39" w:rsidRPr="002029AF" w14:paraId="4E4338F1" w14:textId="77777777" w:rsidTr="00192EEE">
        <w:trPr>
          <w:trHeight w:val="1"/>
        </w:trPr>
        <w:tc>
          <w:tcPr>
            <w:tcW w:w="4883" w:type="dxa"/>
            <w:tcBorders>
              <w:top w:val="single" w:sz="4" w:space="0" w:color="auto"/>
              <w:left w:val="single" w:sz="4" w:space="0" w:color="FFFFFF"/>
              <w:bottom w:val="single" w:sz="4" w:space="0" w:color="auto"/>
            </w:tcBorders>
          </w:tcPr>
          <w:p w14:paraId="216AACC4" w14:textId="4A17B0B6" w:rsidR="00014F39" w:rsidRPr="002029AF" w:rsidRDefault="00014F39" w:rsidP="00E25B23">
            <w:pPr>
              <w:pStyle w:val="ARtabletext"/>
              <w:rPr>
                <w:rFonts w:ascii="Calibri" w:hAnsi="Calibri" w:cs="Calibri"/>
              </w:rPr>
            </w:pPr>
            <w:r w:rsidRPr="002029AF">
              <w:t>Total</w:t>
            </w:r>
            <w:r w:rsidR="000A5329" w:rsidRPr="002029AF">
              <w:t xml:space="preserve"> </w:t>
            </w:r>
            <w:r w:rsidRPr="002029AF">
              <w:t>liabilities</w:t>
            </w:r>
          </w:p>
        </w:tc>
        <w:tc>
          <w:tcPr>
            <w:tcW w:w="952" w:type="dxa"/>
            <w:tcBorders>
              <w:top w:val="single" w:sz="4" w:space="0" w:color="auto"/>
              <w:bottom w:val="single" w:sz="4" w:space="0" w:color="auto"/>
            </w:tcBorders>
          </w:tcPr>
          <w:p w14:paraId="1472AA08" w14:textId="77777777" w:rsidR="00014F39" w:rsidRPr="002029AF" w:rsidRDefault="00014F39" w:rsidP="00FD03DD">
            <w:pPr>
              <w:pStyle w:val="ARtabletextright"/>
            </w:pPr>
            <w:r w:rsidRPr="002029AF">
              <w:t>2,928.7</w:t>
            </w:r>
          </w:p>
        </w:tc>
        <w:tc>
          <w:tcPr>
            <w:tcW w:w="952" w:type="dxa"/>
            <w:tcBorders>
              <w:top w:val="single" w:sz="4" w:space="0" w:color="auto"/>
              <w:bottom w:val="single" w:sz="4" w:space="0" w:color="auto"/>
            </w:tcBorders>
          </w:tcPr>
          <w:p w14:paraId="0DF1ABAF" w14:textId="77777777" w:rsidR="00014F39" w:rsidRPr="002029AF" w:rsidRDefault="00014F39" w:rsidP="00FD03DD">
            <w:pPr>
              <w:pStyle w:val="ARtabletextright"/>
            </w:pPr>
            <w:r w:rsidRPr="002029AF">
              <w:t>2,177.4</w:t>
            </w:r>
          </w:p>
        </w:tc>
        <w:tc>
          <w:tcPr>
            <w:tcW w:w="952" w:type="dxa"/>
            <w:tcBorders>
              <w:top w:val="single" w:sz="4" w:space="0" w:color="auto"/>
              <w:bottom w:val="single" w:sz="4" w:space="0" w:color="auto"/>
            </w:tcBorders>
            <w:shd w:val="clear" w:color="000000" w:fill="FFFFFF"/>
          </w:tcPr>
          <w:p w14:paraId="0B540396" w14:textId="77777777" w:rsidR="00014F39" w:rsidRPr="002029AF" w:rsidRDefault="00014F39" w:rsidP="00FD03DD">
            <w:pPr>
              <w:pStyle w:val="ARtabletextright"/>
              <w:rPr>
                <w:rFonts w:ascii="Calibri" w:hAnsi="Calibri" w:cs="Calibri"/>
              </w:rPr>
            </w:pPr>
            <w:r w:rsidRPr="002029AF">
              <w:t>1,968.3</w:t>
            </w:r>
          </w:p>
        </w:tc>
        <w:tc>
          <w:tcPr>
            <w:tcW w:w="952" w:type="dxa"/>
            <w:tcBorders>
              <w:top w:val="single" w:sz="4" w:space="0" w:color="auto"/>
              <w:bottom w:val="single" w:sz="4" w:space="0" w:color="auto"/>
            </w:tcBorders>
            <w:shd w:val="clear" w:color="000000" w:fill="FFFFFF"/>
          </w:tcPr>
          <w:p w14:paraId="311A4F02" w14:textId="77777777" w:rsidR="00014F39" w:rsidRPr="002029AF" w:rsidRDefault="00014F39" w:rsidP="00FD03DD">
            <w:pPr>
              <w:pStyle w:val="ARtabletextright"/>
              <w:rPr>
                <w:rFonts w:ascii="Calibri" w:hAnsi="Calibri" w:cs="Calibri"/>
              </w:rPr>
            </w:pPr>
            <w:r w:rsidRPr="002029AF">
              <w:t>1,795.5</w:t>
            </w:r>
          </w:p>
        </w:tc>
        <w:tc>
          <w:tcPr>
            <w:tcW w:w="952" w:type="dxa"/>
            <w:tcBorders>
              <w:top w:val="single" w:sz="4" w:space="0" w:color="auto"/>
              <w:bottom w:val="single" w:sz="4" w:space="0" w:color="auto"/>
            </w:tcBorders>
            <w:shd w:val="clear" w:color="000000" w:fill="FFFFFF"/>
          </w:tcPr>
          <w:p w14:paraId="5955DE6F" w14:textId="77777777" w:rsidR="00014F39" w:rsidRPr="002029AF" w:rsidRDefault="00014F39" w:rsidP="00FD03DD">
            <w:pPr>
              <w:pStyle w:val="ARtabletextright"/>
              <w:rPr>
                <w:rFonts w:ascii="Calibri" w:hAnsi="Calibri" w:cs="Calibri"/>
              </w:rPr>
            </w:pPr>
            <w:r w:rsidRPr="002029AF">
              <w:t>1,542.3</w:t>
            </w:r>
          </w:p>
        </w:tc>
      </w:tr>
    </w:tbl>
    <w:p w14:paraId="403BB2BE" w14:textId="77777777" w:rsidR="0006497B" w:rsidRDefault="0006497B" w:rsidP="005E1789">
      <w:pPr>
        <w:pStyle w:val="ARbody"/>
        <w:spacing w:after="400"/>
      </w:pPr>
    </w:p>
    <w:p w14:paraId="4A2BBB23" w14:textId="26CA76C9" w:rsidR="005E1789" w:rsidRPr="002029AF" w:rsidRDefault="005E1789" w:rsidP="005E1789">
      <w:pPr>
        <w:pStyle w:val="ARbody"/>
        <w:spacing w:after="400"/>
        <w:sectPr w:rsidR="005E1789" w:rsidRPr="002029AF" w:rsidSect="003566F1">
          <w:headerReference w:type="even" r:id="rId103"/>
          <w:headerReference w:type="default" r:id="rId104"/>
          <w:headerReference w:type="first" r:id="rId105"/>
          <w:footerReference w:type="first" r:id="rId106"/>
          <w:pgSz w:w="11906" w:h="16838" w:code="9"/>
          <w:pgMar w:top="1985" w:right="851" w:bottom="851" w:left="1418" w:header="510" w:footer="340" w:gutter="0"/>
          <w:cols w:space="454"/>
          <w:docGrid w:linePitch="360"/>
          <w15:footnoteColumns w:val="1"/>
        </w:sectPr>
      </w:pPr>
    </w:p>
    <w:p w14:paraId="6EFB5A8C" w14:textId="13B3013B" w:rsidR="0006497B" w:rsidRPr="002029AF" w:rsidRDefault="0006497B" w:rsidP="0006497B">
      <w:pPr>
        <w:pStyle w:val="ARbody"/>
        <w:rPr>
          <w:lang w:eastAsia="en-AU"/>
        </w:rPr>
      </w:pPr>
      <w:r w:rsidRPr="002029AF">
        <w:rPr>
          <w:lang w:eastAsia="en-AU"/>
        </w:rPr>
        <w:t>The</w:t>
      </w:r>
      <w:r w:rsidR="000A5329" w:rsidRPr="002029AF">
        <w:rPr>
          <w:lang w:eastAsia="en-AU"/>
        </w:rPr>
        <w:t xml:space="preserve"> </w:t>
      </w:r>
      <w:r w:rsidRPr="002029AF">
        <w:rPr>
          <w:lang w:eastAsia="en-AU"/>
        </w:rPr>
        <w:t>Victorian</w:t>
      </w:r>
      <w:r w:rsidR="000A5329" w:rsidRPr="002029AF">
        <w:rPr>
          <w:lang w:eastAsia="en-AU"/>
        </w:rPr>
        <w:t xml:space="preserve"> </w:t>
      </w:r>
      <w:r w:rsidRPr="002029AF">
        <w:rPr>
          <w:lang w:eastAsia="en-AU"/>
        </w:rPr>
        <w:t>Government</w:t>
      </w:r>
      <w:r w:rsidR="000A5329" w:rsidRPr="002029AF">
        <w:rPr>
          <w:lang w:eastAsia="en-AU"/>
        </w:rPr>
        <w:t xml:space="preserve"> </w:t>
      </w:r>
      <w:r w:rsidRPr="002029AF">
        <w:rPr>
          <w:lang w:eastAsia="en-AU"/>
        </w:rPr>
        <w:t>considers</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net</w:t>
      </w:r>
      <w:r w:rsidR="000A5329" w:rsidRPr="002029AF">
        <w:rPr>
          <w:lang w:eastAsia="en-AU"/>
        </w:rPr>
        <w:t xml:space="preserve"> </w:t>
      </w:r>
      <w:r w:rsidRPr="002029AF">
        <w:rPr>
          <w:lang w:eastAsia="en-AU"/>
        </w:rPr>
        <w:t>result</w:t>
      </w:r>
      <w:r w:rsidR="000A5329" w:rsidRPr="002029AF">
        <w:rPr>
          <w:lang w:eastAsia="en-AU"/>
        </w:rPr>
        <w:t xml:space="preserve"> </w:t>
      </w:r>
      <w:r w:rsidRPr="002029AF">
        <w:rPr>
          <w:lang w:eastAsia="en-AU"/>
        </w:rPr>
        <w:t>from</w:t>
      </w:r>
      <w:r w:rsidR="000A5329" w:rsidRPr="002029AF">
        <w:rPr>
          <w:lang w:eastAsia="en-AU"/>
        </w:rPr>
        <w:t xml:space="preserve"> </w:t>
      </w:r>
      <w:r w:rsidRPr="002029AF">
        <w:rPr>
          <w:lang w:eastAsia="en-AU"/>
        </w:rPr>
        <w:t>transactions</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be</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appropriate</w:t>
      </w:r>
      <w:r w:rsidR="000A5329" w:rsidRPr="002029AF">
        <w:rPr>
          <w:lang w:eastAsia="en-AU"/>
        </w:rPr>
        <w:t xml:space="preserve"> </w:t>
      </w:r>
      <w:r w:rsidRPr="002029AF">
        <w:rPr>
          <w:lang w:eastAsia="en-AU"/>
        </w:rPr>
        <w:t>measure</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financial</w:t>
      </w:r>
      <w:r w:rsidR="000A5329" w:rsidRPr="002029AF">
        <w:rPr>
          <w:lang w:eastAsia="en-AU"/>
        </w:rPr>
        <w:t xml:space="preserve"> </w:t>
      </w:r>
      <w:r w:rsidRPr="002029AF">
        <w:rPr>
          <w:lang w:eastAsia="en-AU"/>
        </w:rPr>
        <w:t>management</w:t>
      </w:r>
      <w:r w:rsidR="000A5329" w:rsidRPr="002029AF">
        <w:rPr>
          <w:lang w:eastAsia="en-AU"/>
        </w:rPr>
        <w:t xml:space="preserve"> </w:t>
      </w:r>
      <w:r w:rsidRPr="002029AF">
        <w:rPr>
          <w:lang w:eastAsia="en-AU"/>
        </w:rPr>
        <w:t>that</w:t>
      </w:r>
      <w:r w:rsidR="000A5329" w:rsidRPr="002029AF">
        <w:rPr>
          <w:lang w:eastAsia="en-AU"/>
        </w:rPr>
        <w:t xml:space="preserve"> </w:t>
      </w:r>
      <w:r w:rsidRPr="002029AF">
        <w:rPr>
          <w:lang w:eastAsia="en-AU"/>
        </w:rPr>
        <w:t>can</w:t>
      </w:r>
      <w:r w:rsidR="000A5329" w:rsidRPr="002029AF">
        <w:rPr>
          <w:lang w:eastAsia="en-AU"/>
        </w:rPr>
        <w:t xml:space="preserve"> </w:t>
      </w:r>
      <w:r w:rsidRPr="002029AF">
        <w:rPr>
          <w:lang w:eastAsia="en-AU"/>
        </w:rPr>
        <w:t>be</w:t>
      </w:r>
      <w:r w:rsidR="000A5329" w:rsidRPr="002029AF">
        <w:rPr>
          <w:lang w:eastAsia="en-AU"/>
        </w:rPr>
        <w:t xml:space="preserve"> </w:t>
      </w:r>
      <w:r w:rsidRPr="002029AF">
        <w:rPr>
          <w:lang w:eastAsia="en-AU"/>
        </w:rPr>
        <w:t>directly</w:t>
      </w:r>
      <w:r w:rsidR="000A5329" w:rsidRPr="002029AF">
        <w:rPr>
          <w:lang w:eastAsia="en-AU"/>
        </w:rPr>
        <w:t xml:space="preserve"> </w:t>
      </w:r>
      <w:r w:rsidRPr="002029AF">
        <w:rPr>
          <w:lang w:eastAsia="en-AU"/>
        </w:rPr>
        <w:t>attributed</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government</w:t>
      </w:r>
      <w:r w:rsidR="000A5329" w:rsidRPr="002029AF">
        <w:rPr>
          <w:lang w:eastAsia="en-AU"/>
        </w:rPr>
        <w:t xml:space="preserve"> </w:t>
      </w:r>
      <w:r w:rsidRPr="002029AF">
        <w:rPr>
          <w:lang w:eastAsia="en-AU"/>
        </w:rPr>
        <w:t>policy.</w:t>
      </w:r>
    </w:p>
    <w:p w14:paraId="3BCD9CE1" w14:textId="6C480491" w:rsidR="0006497B" w:rsidRPr="002029AF" w:rsidRDefault="0006497B" w:rsidP="0006497B">
      <w:pPr>
        <w:pStyle w:val="ARbody"/>
        <w:rPr>
          <w:color w:val="000000"/>
          <w:lang w:eastAsia="en-AU"/>
        </w:rPr>
      </w:pPr>
      <w:r w:rsidRPr="002029AF">
        <w:rPr>
          <w:lang w:eastAsia="en-AU"/>
        </w:rPr>
        <w:t>This</w:t>
      </w:r>
      <w:r w:rsidR="000A5329" w:rsidRPr="002029AF">
        <w:rPr>
          <w:lang w:eastAsia="en-AU"/>
        </w:rPr>
        <w:t xml:space="preserve"> </w:t>
      </w:r>
      <w:r w:rsidRPr="002029AF">
        <w:rPr>
          <w:lang w:eastAsia="en-AU"/>
        </w:rPr>
        <w:t>measure</w:t>
      </w:r>
      <w:r w:rsidR="000A5329" w:rsidRPr="002029AF">
        <w:rPr>
          <w:lang w:eastAsia="en-AU"/>
        </w:rPr>
        <w:t xml:space="preserve"> </w:t>
      </w:r>
      <w:r w:rsidRPr="002029AF">
        <w:rPr>
          <w:lang w:eastAsia="en-AU"/>
        </w:rPr>
        <w:t>excludes</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effects</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revaluations</w:t>
      </w:r>
      <w:r w:rsidR="000A5329" w:rsidRPr="002029AF">
        <w:rPr>
          <w:lang w:eastAsia="en-AU"/>
        </w:rPr>
        <w:t xml:space="preserve"> </w:t>
      </w:r>
      <w:r w:rsidRPr="002029AF">
        <w:rPr>
          <w:lang w:eastAsia="en-AU"/>
        </w:rPr>
        <w:t>(holding</w:t>
      </w:r>
      <w:r w:rsidR="000A5329" w:rsidRPr="002029AF">
        <w:rPr>
          <w:lang w:eastAsia="en-AU"/>
        </w:rPr>
        <w:t xml:space="preserve"> </w:t>
      </w:r>
      <w:r w:rsidRPr="002029AF">
        <w:rPr>
          <w:lang w:eastAsia="en-AU"/>
        </w:rPr>
        <w:t>gains</w:t>
      </w:r>
      <w:r w:rsidR="000A5329" w:rsidRPr="002029AF">
        <w:rPr>
          <w:lang w:eastAsia="en-AU"/>
        </w:rPr>
        <w:t xml:space="preserve"> </w:t>
      </w:r>
      <w:r w:rsidRPr="002029AF">
        <w:rPr>
          <w:lang w:eastAsia="en-AU"/>
        </w:rPr>
        <w:t>or</w:t>
      </w:r>
      <w:r w:rsidR="000A5329" w:rsidRPr="002029AF">
        <w:rPr>
          <w:lang w:eastAsia="en-AU"/>
        </w:rPr>
        <w:t xml:space="preserve"> </w:t>
      </w:r>
      <w:r w:rsidRPr="002029AF">
        <w:rPr>
          <w:lang w:eastAsia="en-AU"/>
        </w:rPr>
        <w:t>losses)</w:t>
      </w:r>
      <w:r w:rsidR="000A5329" w:rsidRPr="002029AF">
        <w:rPr>
          <w:lang w:eastAsia="en-AU"/>
        </w:rPr>
        <w:t xml:space="preserve"> </w:t>
      </w:r>
      <w:r w:rsidRPr="002029AF">
        <w:rPr>
          <w:lang w:eastAsia="en-AU"/>
        </w:rPr>
        <w:t>arising</w:t>
      </w:r>
      <w:r w:rsidR="000A5329" w:rsidRPr="002029AF">
        <w:rPr>
          <w:lang w:eastAsia="en-AU"/>
        </w:rPr>
        <w:t xml:space="preserve"> </w:t>
      </w:r>
      <w:r w:rsidRPr="002029AF">
        <w:rPr>
          <w:lang w:eastAsia="en-AU"/>
        </w:rPr>
        <w:t>from</w:t>
      </w:r>
      <w:r w:rsidR="000A5329" w:rsidRPr="002029AF">
        <w:rPr>
          <w:lang w:eastAsia="en-AU"/>
        </w:rPr>
        <w:t xml:space="preserve"> </w:t>
      </w:r>
      <w:r w:rsidRPr="002029AF">
        <w:rPr>
          <w:lang w:eastAsia="en-AU"/>
        </w:rPr>
        <w:t>changes</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market</w:t>
      </w:r>
      <w:r w:rsidR="000A5329" w:rsidRPr="002029AF">
        <w:rPr>
          <w:lang w:eastAsia="en-AU"/>
        </w:rPr>
        <w:t xml:space="preserve"> </w:t>
      </w:r>
      <w:r w:rsidRPr="002029AF">
        <w:rPr>
          <w:lang w:eastAsia="en-AU"/>
        </w:rPr>
        <w:t>prices</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other</w:t>
      </w:r>
      <w:r w:rsidR="000A5329" w:rsidRPr="002029AF">
        <w:rPr>
          <w:lang w:eastAsia="en-AU"/>
        </w:rPr>
        <w:t xml:space="preserve"> </w:t>
      </w:r>
      <w:r w:rsidRPr="002029AF">
        <w:rPr>
          <w:lang w:eastAsia="en-AU"/>
        </w:rPr>
        <w:t>changes</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volume</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assets</w:t>
      </w:r>
      <w:r w:rsidR="000A5329" w:rsidRPr="002029AF">
        <w:rPr>
          <w:lang w:eastAsia="en-AU"/>
        </w:rPr>
        <w:t xml:space="preserve"> </w:t>
      </w:r>
      <w:r w:rsidRPr="002029AF">
        <w:rPr>
          <w:lang w:eastAsia="en-AU"/>
        </w:rPr>
        <w:t>shown</w:t>
      </w:r>
      <w:r w:rsidR="000A5329" w:rsidRPr="002029AF">
        <w:rPr>
          <w:lang w:eastAsia="en-AU"/>
        </w:rPr>
        <w:t xml:space="preserve"> </w:t>
      </w:r>
      <w:r w:rsidRPr="002029AF">
        <w:rPr>
          <w:lang w:eastAsia="en-AU"/>
        </w:rPr>
        <w:t>under</w:t>
      </w:r>
      <w:r w:rsidR="000A5329" w:rsidRPr="002029AF">
        <w:rPr>
          <w:lang w:eastAsia="en-AU"/>
        </w:rPr>
        <w:t xml:space="preserve"> </w:t>
      </w:r>
      <w:r w:rsidRPr="002029AF">
        <w:rPr>
          <w:lang w:eastAsia="en-AU"/>
        </w:rPr>
        <w:t>‘other</w:t>
      </w:r>
      <w:r w:rsidR="000A5329" w:rsidRPr="002029AF">
        <w:rPr>
          <w:lang w:eastAsia="en-AU"/>
        </w:rPr>
        <w:t xml:space="preserve"> </w:t>
      </w:r>
      <w:r w:rsidRPr="002029AF">
        <w:rPr>
          <w:lang w:eastAsia="en-AU"/>
        </w:rPr>
        <w:t>economic</w:t>
      </w:r>
      <w:r w:rsidR="000A5329" w:rsidRPr="002029AF">
        <w:rPr>
          <w:lang w:eastAsia="en-AU"/>
        </w:rPr>
        <w:t xml:space="preserve"> </w:t>
      </w:r>
      <w:r w:rsidRPr="002029AF">
        <w:rPr>
          <w:lang w:eastAsia="en-AU"/>
        </w:rPr>
        <w:t>flows’</w:t>
      </w:r>
      <w:r w:rsidR="000A5329" w:rsidRPr="002029AF">
        <w:rPr>
          <w:lang w:eastAsia="en-AU"/>
        </w:rPr>
        <w:t xml:space="preserve"> </w:t>
      </w:r>
      <w:r w:rsidRPr="002029AF">
        <w:rPr>
          <w:lang w:eastAsia="en-AU"/>
        </w:rPr>
        <w:t>on</w:t>
      </w:r>
      <w:r w:rsidR="000A5329" w:rsidRPr="002029AF">
        <w:rPr>
          <w:lang w:eastAsia="en-AU"/>
        </w:rPr>
        <w:t xml:space="preserve"> </w:t>
      </w:r>
      <w:r w:rsidRPr="002029AF">
        <w:rPr>
          <w:lang w:eastAsia="en-AU"/>
        </w:rPr>
        <w:t>the</w:t>
      </w:r>
      <w:r w:rsidR="000A5329" w:rsidRPr="002029AF">
        <w:rPr>
          <w:lang w:eastAsia="en-AU"/>
        </w:rPr>
        <w:t xml:space="preserve"> </w:t>
      </w:r>
      <w:r w:rsidRPr="002029AF">
        <w:rPr>
          <w:color w:val="000000"/>
          <w:lang w:eastAsia="en-AU"/>
        </w:rPr>
        <w:t>comprehensive</w:t>
      </w:r>
      <w:r w:rsidR="000A5329" w:rsidRPr="002029AF">
        <w:rPr>
          <w:color w:val="000000"/>
          <w:lang w:eastAsia="en-AU"/>
        </w:rPr>
        <w:t xml:space="preserve"> </w:t>
      </w:r>
      <w:r w:rsidRPr="002029AF">
        <w:rPr>
          <w:color w:val="000000"/>
          <w:lang w:eastAsia="en-AU"/>
        </w:rPr>
        <w:t>operating</w:t>
      </w:r>
      <w:r w:rsidR="000A5329" w:rsidRPr="002029AF">
        <w:rPr>
          <w:color w:val="000000"/>
          <w:lang w:eastAsia="en-AU"/>
        </w:rPr>
        <w:t xml:space="preserve"> </w:t>
      </w:r>
      <w:r w:rsidRPr="002029AF">
        <w:rPr>
          <w:color w:val="000000"/>
          <w:lang w:eastAsia="en-AU"/>
        </w:rPr>
        <w:t>statement,</w:t>
      </w:r>
      <w:r w:rsidR="000A5329" w:rsidRPr="002029AF">
        <w:rPr>
          <w:color w:val="000000"/>
          <w:lang w:eastAsia="en-AU"/>
        </w:rPr>
        <w:t xml:space="preserve"> </w:t>
      </w:r>
      <w:r w:rsidRPr="002029AF">
        <w:rPr>
          <w:color w:val="000000"/>
          <w:lang w:eastAsia="en-AU"/>
        </w:rPr>
        <w:t>which</w:t>
      </w:r>
      <w:r w:rsidR="000A5329" w:rsidRPr="002029AF">
        <w:rPr>
          <w:color w:val="000000"/>
          <w:lang w:eastAsia="en-AU"/>
        </w:rPr>
        <w:t xml:space="preserve"> </w:t>
      </w:r>
      <w:r w:rsidRPr="002029AF">
        <w:rPr>
          <w:color w:val="000000"/>
          <w:lang w:eastAsia="en-AU"/>
        </w:rPr>
        <w:t>are</w:t>
      </w:r>
      <w:r w:rsidR="000A5329" w:rsidRPr="002029AF">
        <w:rPr>
          <w:color w:val="000000"/>
          <w:lang w:eastAsia="en-AU"/>
        </w:rPr>
        <w:t xml:space="preserve"> </w:t>
      </w:r>
      <w:r w:rsidRPr="002029AF">
        <w:rPr>
          <w:color w:val="000000"/>
          <w:lang w:eastAsia="en-AU"/>
        </w:rPr>
        <w:t>outside</w:t>
      </w:r>
      <w:r w:rsidR="000A5329" w:rsidRPr="002029AF">
        <w:rPr>
          <w:color w:val="000000"/>
          <w:lang w:eastAsia="en-AU"/>
        </w:rPr>
        <w:t xml:space="preserve"> </w:t>
      </w:r>
      <w:r w:rsidRPr="002029AF">
        <w:rPr>
          <w:color w:val="000000"/>
          <w:lang w:eastAsia="en-AU"/>
        </w:rPr>
        <w:t>the</w:t>
      </w:r>
      <w:r w:rsidR="000A5329" w:rsidRPr="002029AF">
        <w:rPr>
          <w:color w:val="000000"/>
          <w:lang w:eastAsia="en-AU"/>
        </w:rPr>
        <w:t xml:space="preserve"> </w:t>
      </w:r>
      <w:r w:rsidRPr="002029AF">
        <w:rPr>
          <w:color w:val="000000"/>
          <w:lang w:eastAsia="en-AU"/>
        </w:rPr>
        <w:t>control</w:t>
      </w:r>
      <w:r w:rsidR="000A5329" w:rsidRPr="002029AF">
        <w:rPr>
          <w:color w:val="000000"/>
          <w:lang w:eastAsia="en-AU"/>
        </w:rPr>
        <w:t xml:space="preserve"> </w:t>
      </w:r>
      <w:r w:rsidRPr="002029AF">
        <w:rPr>
          <w:color w:val="000000"/>
          <w:lang w:eastAsia="en-AU"/>
        </w:rPr>
        <w:t>of</w:t>
      </w:r>
      <w:r w:rsidR="000A5329" w:rsidRPr="002029AF">
        <w:rPr>
          <w:color w:val="000000"/>
          <w:lang w:eastAsia="en-AU"/>
        </w:rPr>
        <w:t xml:space="preserve"> </w:t>
      </w:r>
      <w:r w:rsidRPr="002029AF">
        <w:rPr>
          <w:color w:val="000000"/>
          <w:lang w:eastAsia="en-AU"/>
        </w:rPr>
        <w:t>the</w:t>
      </w:r>
      <w:r w:rsidR="000A5329" w:rsidRPr="002029AF">
        <w:rPr>
          <w:color w:val="000000"/>
          <w:lang w:eastAsia="en-AU"/>
        </w:rPr>
        <w:t xml:space="preserve"> </w:t>
      </w:r>
      <w:r w:rsidRPr="002029AF">
        <w:rPr>
          <w:color w:val="000000"/>
          <w:lang w:eastAsia="en-AU"/>
        </w:rPr>
        <w:t>department.</w:t>
      </w:r>
    </w:p>
    <w:p w14:paraId="5A082C7E" w14:textId="1163BFD3" w:rsidR="0006497B" w:rsidRPr="002029AF" w:rsidRDefault="0006497B" w:rsidP="0006497B">
      <w:pPr>
        <w:pStyle w:val="Heading3"/>
      </w:pPr>
      <w:bookmarkStart w:id="58" w:name="_Ref52274666"/>
      <w:r w:rsidRPr="002029AF">
        <w:t>Departmental</w:t>
      </w:r>
      <w:r w:rsidR="000A5329" w:rsidRPr="002029AF">
        <w:t xml:space="preserve"> </w:t>
      </w:r>
      <w:r w:rsidRPr="002029AF">
        <w:t>financial</w:t>
      </w:r>
      <w:r w:rsidR="000A5329" w:rsidRPr="002029AF">
        <w:t xml:space="preserve"> </w:t>
      </w:r>
      <w:r w:rsidRPr="002029AF">
        <w:t>arrangements</w:t>
      </w:r>
      <w:bookmarkEnd w:id="58"/>
    </w:p>
    <w:p w14:paraId="069FC5ED" w14:textId="723A958B" w:rsidR="0006497B" w:rsidRPr="002029AF" w:rsidRDefault="0006497B" w:rsidP="0006497B">
      <w:pPr>
        <w:pStyle w:val="ARbody"/>
        <w:rPr>
          <w:lang w:eastAsia="en-AU"/>
        </w:rPr>
      </w:pPr>
      <w:r w:rsidRPr="002029AF">
        <w:rPr>
          <w:lang w:eastAsia="en-AU"/>
        </w:rPr>
        <w:t>The</w:t>
      </w:r>
      <w:r w:rsidR="000A5329" w:rsidRPr="002029AF">
        <w:rPr>
          <w:lang w:eastAsia="en-AU"/>
        </w:rPr>
        <w:t xml:space="preserve"> </w:t>
      </w:r>
      <w:r w:rsidRPr="002029AF">
        <w:rPr>
          <w:lang w:eastAsia="en-AU"/>
        </w:rPr>
        <w:t>department’s</w:t>
      </w:r>
      <w:r w:rsidR="000A5329" w:rsidRPr="002029AF">
        <w:rPr>
          <w:lang w:eastAsia="en-AU"/>
        </w:rPr>
        <w:t xml:space="preserve"> </w:t>
      </w:r>
      <w:r w:rsidRPr="002029AF">
        <w:rPr>
          <w:lang w:eastAsia="en-AU"/>
        </w:rPr>
        <w:t>audited</w:t>
      </w:r>
      <w:r w:rsidR="000A5329" w:rsidRPr="002029AF">
        <w:rPr>
          <w:lang w:eastAsia="en-AU"/>
        </w:rPr>
        <w:t xml:space="preserve"> </w:t>
      </w:r>
      <w:r w:rsidRPr="002029AF">
        <w:rPr>
          <w:lang w:eastAsia="en-AU"/>
        </w:rPr>
        <w:t>financial</w:t>
      </w:r>
      <w:r w:rsidR="000A5329" w:rsidRPr="002029AF">
        <w:rPr>
          <w:lang w:eastAsia="en-AU"/>
        </w:rPr>
        <w:t xml:space="preserve"> </w:t>
      </w:r>
      <w:r w:rsidRPr="002029AF">
        <w:rPr>
          <w:lang w:eastAsia="en-AU"/>
        </w:rPr>
        <w:t>statements</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five-year</w:t>
      </w:r>
      <w:r w:rsidR="000A5329" w:rsidRPr="002029AF">
        <w:rPr>
          <w:lang w:eastAsia="en-AU"/>
        </w:rPr>
        <w:t xml:space="preserve"> </w:t>
      </w:r>
      <w:r w:rsidRPr="002029AF">
        <w:rPr>
          <w:lang w:eastAsia="en-AU"/>
        </w:rPr>
        <w:t>summary</w:t>
      </w:r>
      <w:r w:rsidR="000A5329" w:rsidRPr="002029AF">
        <w:rPr>
          <w:lang w:eastAsia="en-AU"/>
        </w:rPr>
        <w:t xml:space="preserve"> </w:t>
      </w:r>
      <w:r w:rsidRPr="002029AF">
        <w:rPr>
          <w:lang w:eastAsia="en-AU"/>
        </w:rPr>
        <w:t>exclude</w:t>
      </w:r>
      <w:r w:rsidR="000A5329" w:rsidRPr="002029AF">
        <w:rPr>
          <w:lang w:eastAsia="en-AU"/>
        </w:rPr>
        <w:t xml:space="preserve"> </w:t>
      </w:r>
      <w:r w:rsidRPr="002029AF">
        <w:rPr>
          <w:lang w:eastAsia="en-AU"/>
        </w:rPr>
        <w:t>bodies</w:t>
      </w:r>
      <w:r w:rsidR="000A5329" w:rsidRPr="002029AF">
        <w:rPr>
          <w:lang w:eastAsia="en-AU"/>
        </w:rPr>
        <w:t xml:space="preserve"> </w:t>
      </w:r>
      <w:r w:rsidRPr="002029AF">
        <w:rPr>
          <w:lang w:eastAsia="en-AU"/>
        </w:rPr>
        <w:t>within</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department’s</w:t>
      </w:r>
      <w:r w:rsidR="000A5329" w:rsidRPr="002029AF">
        <w:rPr>
          <w:lang w:eastAsia="en-AU"/>
        </w:rPr>
        <w:t xml:space="preserve"> </w:t>
      </w:r>
      <w:r w:rsidRPr="002029AF">
        <w:rPr>
          <w:lang w:eastAsia="en-AU"/>
        </w:rPr>
        <w:t>portfolio</w:t>
      </w:r>
      <w:r w:rsidR="000A5329" w:rsidRPr="002029AF">
        <w:rPr>
          <w:lang w:eastAsia="en-AU"/>
        </w:rPr>
        <w:t xml:space="preserve"> </w:t>
      </w:r>
      <w:r w:rsidRPr="002029AF">
        <w:rPr>
          <w:lang w:eastAsia="en-AU"/>
        </w:rPr>
        <w:t>that</w:t>
      </w:r>
      <w:r w:rsidR="000A5329" w:rsidRPr="002029AF">
        <w:rPr>
          <w:lang w:eastAsia="en-AU"/>
        </w:rPr>
        <w:t xml:space="preserve"> </w:t>
      </w:r>
      <w:r w:rsidRPr="002029AF">
        <w:rPr>
          <w:lang w:eastAsia="en-AU"/>
        </w:rPr>
        <w:t>are</w:t>
      </w:r>
      <w:r w:rsidR="000A5329" w:rsidRPr="002029AF">
        <w:rPr>
          <w:lang w:eastAsia="en-AU"/>
        </w:rPr>
        <w:t xml:space="preserve"> </w:t>
      </w:r>
      <w:r w:rsidRPr="002029AF">
        <w:rPr>
          <w:lang w:eastAsia="en-AU"/>
        </w:rPr>
        <w:t>not</w:t>
      </w:r>
      <w:r w:rsidR="000A5329" w:rsidRPr="002029AF">
        <w:rPr>
          <w:lang w:eastAsia="en-AU"/>
        </w:rPr>
        <w:t xml:space="preserve"> </w:t>
      </w:r>
      <w:r w:rsidRPr="002029AF">
        <w:rPr>
          <w:lang w:eastAsia="en-AU"/>
        </w:rPr>
        <w:t>controlled</w:t>
      </w:r>
      <w:r w:rsidR="000A5329" w:rsidRPr="002029AF">
        <w:rPr>
          <w:lang w:eastAsia="en-AU"/>
        </w:rPr>
        <w:t xml:space="preserve"> </w:t>
      </w:r>
      <w:r w:rsidRPr="002029AF">
        <w:rPr>
          <w:lang w:eastAsia="en-AU"/>
        </w:rPr>
        <w:t>by</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department</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are</w:t>
      </w:r>
      <w:r w:rsidR="000A5329" w:rsidRPr="002029AF">
        <w:rPr>
          <w:lang w:eastAsia="en-AU"/>
        </w:rPr>
        <w:t xml:space="preserve"> </w:t>
      </w:r>
      <w:r w:rsidRPr="002029AF">
        <w:rPr>
          <w:lang w:eastAsia="en-AU"/>
        </w:rPr>
        <w:t>therefore</w:t>
      </w:r>
      <w:r w:rsidR="000A5329" w:rsidRPr="002029AF">
        <w:rPr>
          <w:lang w:eastAsia="en-AU"/>
        </w:rPr>
        <w:t xml:space="preserve"> </w:t>
      </w:r>
      <w:r w:rsidRPr="002029AF">
        <w:rPr>
          <w:lang w:eastAsia="en-AU"/>
        </w:rPr>
        <w:t>not</w:t>
      </w:r>
      <w:r w:rsidR="000A5329" w:rsidRPr="002029AF">
        <w:rPr>
          <w:lang w:eastAsia="en-AU"/>
        </w:rPr>
        <w:t xml:space="preserve"> </w:t>
      </w:r>
      <w:r w:rsidRPr="002029AF">
        <w:rPr>
          <w:lang w:eastAsia="en-AU"/>
        </w:rPr>
        <w:t>consolidated</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department’s</w:t>
      </w:r>
      <w:r w:rsidR="000A5329" w:rsidRPr="002029AF">
        <w:rPr>
          <w:lang w:eastAsia="en-AU"/>
        </w:rPr>
        <w:t xml:space="preserve"> </w:t>
      </w:r>
      <w:r w:rsidRPr="002029AF">
        <w:rPr>
          <w:lang w:eastAsia="en-AU"/>
        </w:rPr>
        <w:t>accounts.</w:t>
      </w:r>
    </w:p>
    <w:p w14:paraId="3A78DB02" w14:textId="4F0B4FC6" w:rsidR="0006497B" w:rsidRPr="002029AF" w:rsidRDefault="0006497B" w:rsidP="0006497B">
      <w:pPr>
        <w:pStyle w:val="ARbody"/>
        <w:rPr>
          <w:lang w:eastAsia="en-AU"/>
        </w:rPr>
      </w:pPr>
      <w:r w:rsidRPr="002029AF">
        <w:rPr>
          <w:lang w:eastAsia="en-AU"/>
        </w:rPr>
        <w:t>To</w:t>
      </w:r>
      <w:r w:rsidR="000A5329" w:rsidRPr="002029AF">
        <w:rPr>
          <w:lang w:eastAsia="en-AU"/>
        </w:rPr>
        <w:t xml:space="preserve"> </w:t>
      </w:r>
      <w:r w:rsidRPr="002029AF">
        <w:rPr>
          <w:lang w:eastAsia="en-AU"/>
        </w:rPr>
        <w:t>enable</w:t>
      </w:r>
      <w:r w:rsidR="000A5329" w:rsidRPr="002029AF">
        <w:rPr>
          <w:lang w:eastAsia="en-AU"/>
        </w:rPr>
        <w:t xml:space="preserve"> </w:t>
      </w:r>
      <w:r w:rsidRPr="002029AF">
        <w:rPr>
          <w:lang w:eastAsia="en-AU"/>
        </w:rPr>
        <w:t>efficient</w:t>
      </w:r>
      <w:r w:rsidR="000A5329" w:rsidRPr="002029AF">
        <w:rPr>
          <w:lang w:eastAsia="en-AU"/>
        </w:rPr>
        <w:t xml:space="preserve"> </w:t>
      </w:r>
      <w:r w:rsidRPr="002029AF">
        <w:rPr>
          <w:lang w:eastAsia="en-AU"/>
        </w:rPr>
        <w:t>production</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financial</w:t>
      </w:r>
      <w:r w:rsidR="000A5329" w:rsidRPr="002029AF">
        <w:rPr>
          <w:lang w:eastAsia="en-AU"/>
        </w:rPr>
        <w:t xml:space="preserve"> </w:t>
      </w:r>
      <w:r w:rsidRPr="002029AF">
        <w:rPr>
          <w:lang w:eastAsia="en-AU"/>
        </w:rPr>
        <w:t>information</w:t>
      </w:r>
      <w:r w:rsidR="000A5329" w:rsidRPr="002029AF">
        <w:rPr>
          <w:lang w:eastAsia="en-AU"/>
        </w:rPr>
        <w:t xml:space="preserve"> </w:t>
      </w:r>
      <w:r w:rsidRPr="002029AF">
        <w:rPr>
          <w:lang w:eastAsia="en-AU"/>
        </w:rPr>
        <w:t>for</w:t>
      </w:r>
      <w:r w:rsidR="000A5329" w:rsidRPr="002029AF">
        <w:rPr>
          <w:lang w:eastAsia="en-AU"/>
        </w:rPr>
        <w:t xml:space="preserve"> </w:t>
      </w:r>
      <w:r w:rsidRPr="002029AF">
        <w:rPr>
          <w:lang w:eastAsia="en-AU"/>
        </w:rPr>
        <w:t>smaller</w:t>
      </w:r>
      <w:r w:rsidR="000A5329" w:rsidRPr="002029AF">
        <w:rPr>
          <w:lang w:eastAsia="en-AU"/>
        </w:rPr>
        <w:t xml:space="preserve"> </w:t>
      </w:r>
      <w:r w:rsidRPr="002029AF">
        <w:rPr>
          <w:lang w:eastAsia="en-AU"/>
        </w:rPr>
        <w:t>entities</w:t>
      </w:r>
      <w:r w:rsidR="000A5329" w:rsidRPr="002029AF">
        <w:rPr>
          <w:lang w:eastAsia="en-AU"/>
        </w:rPr>
        <w:t xml:space="preserve"> </w:t>
      </w:r>
      <w:r w:rsidRPr="002029AF">
        <w:rPr>
          <w:lang w:eastAsia="en-AU"/>
        </w:rPr>
        <w:t>related</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department</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recognise</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Director</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Housing</w:t>
      </w:r>
      <w:r w:rsidR="000A5329" w:rsidRPr="002029AF">
        <w:rPr>
          <w:lang w:eastAsia="en-AU"/>
        </w:rPr>
        <w:t xml:space="preserve"> </w:t>
      </w:r>
      <w:r w:rsidRPr="002029AF">
        <w:rPr>
          <w:lang w:eastAsia="en-AU"/>
        </w:rPr>
        <w:t>entity</w:t>
      </w:r>
      <w:r w:rsidR="000A5329" w:rsidRPr="002029AF">
        <w:rPr>
          <w:lang w:eastAsia="en-AU"/>
        </w:rPr>
        <w:t xml:space="preserve"> </w:t>
      </w:r>
      <w:r w:rsidRPr="002029AF">
        <w:rPr>
          <w:lang w:eastAsia="en-AU"/>
        </w:rPr>
        <w:t>operating</w:t>
      </w:r>
      <w:r w:rsidR="000A5329" w:rsidRPr="002029AF">
        <w:rPr>
          <w:lang w:eastAsia="en-AU"/>
        </w:rPr>
        <w:t xml:space="preserve"> </w:t>
      </w:r>
      <w:r w:rsidRPr="002029AF">
        <w:rPr>
          <w:lang w:eastAsia="en-AU"/>
        </w:rPr>
        <w:t>within</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department’s</w:t>
      </w:r>
      <w:r w:rsidR="000A5329" w:rsidRPr="002029AF">
        <w:rPr>
          <w:lang w:eastAsia="en-AU"/>
        </w:rPr>
        <w:t xml:space="preserve"> </w:t>
      </w:r>
      <w:r w:rsidRPr="002029AF">
        <w:rPr>
          <w:lang w:eastAsia="en-AU"/>
        </w:rPr>
        <w:t>business</w:t>
      </w:r>
      <w:r w:rsidR="000A5329" w:rsidRPr="002029AF">
        <w:rPr>
          <w:lang w:eastAsia="en-AU"/>
        </w:rPr>
        <w:t xml:space="preserve"> </w:t>
      </w:r>
      <w:r w:rsidRPr="002029AF">
        <w:rPr>
          <w:lang w:eastAsia="en-AU"/>
        </w:rPr>
        <w:t>structure,</w:t>
      </w:r>
      <w:r w:rsidR="000A5329" w:rsidRPr="002029AF">
        <w:rPr>
          <w:lang w:eastAsia="en-AU"/>
        </w:rPr>
        <w:t xml:space="preserve"> </w:t>
      </w:r>
      <w:r w:rsidRPr="002029AF">
        <w:rPr>
          <w:lang w:eastAsia="en-AU"/>
        </w:rPr>
        <w:t>pursuant</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s.</w:t>
      </w:r>
      <w:r w:rsidR="000A5329" w:rsidRPr="002029AF">
        <w:rPr>
          <w:lang w:eastAsia="en-AU"/>
        </w:rPr>
        <w:t xml:space="preserve"> </w:t>
      </w:r>
      <w:r w:rsidRPr="002029AF">
        <w:rPr>
          <w:lang w:eastAsia="en-AU"/>
        </w:rPr>
        <w:t>53(1)</w:t>
      </w:r>
      <w:r w:rsidR="000A5329" w:rsidRPr="002029AF">
        <w:rPr>
          <w:lang w:eastAsia="en-AU"/>
        </w:rPr>
        <w:t xml:space="preserve"> </w:t>
      </w:r>
      <w:r w:rsidRPr="002029AF">
        <w:rPr>
          <w:lang w:eastAsia="en-AU"/>
        </w:rPr>
        <w:t>(b)</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the</w:t>
      </w:r>
      <w:r w:rsidR="000A5329" w:rsidRPr="002029AF">
        <w:rPr>
          <w:lang w:eastAsia="en-AU"/>
        </w:rPr>
        <w:t xml:space="preserve"> </w:t>
      </w:r>
      <w:r w:rsidRPr="002029AF">
        <w:rPr>
          <w:i/>
          <w:iCs/>
          <w:lang w:eastAsia="en-AU"/>
        </w:rPr>
        <w:t>Financial</w:t>
      </w:r>
      <w:r w:rsidR="000A5329" w:rsidRPr="002029AF">
        <w:rPr>
          <w:i/>
          <w:iCs/>
          <w:lang w:eastAsia="en-AU"/>
        </w:rPr>
        <w:t xml:space="preserve"> </w:t>
      </w:r>
      <w:r w:rsidRPr="002029AF">
        <w:rPr>
          <w:i/>
          <w:iCs/>
          <w:lang w:eastAsia="en-AU"/>
        </w:rPr>
        <w:t>Management</w:t>
      </w:r>
      <w:r w:rsidR="000A5329" w:rsidRPr="002029AF">
        <w:rPr>
          <w:i/>
          <w:iCs/>
          <w:lang w:eastAsia="en-AU"/>
        </w:rPr>
        <w:t xml:space="preserve"> </w:t>
      </w:r>
      <w:r w:rsidRPr="002029AF">
        <w:rPr>
          <w:i/>
          <w:iCs/>
          <w:lang w:eastAsia="en-AU"/>
        </w:rPr>
        <w:t>Act</w:t>
      </w:r>
      <w:r w:rsidR="000A5329" w:rsidRPr="002029AF">
        <w:rPr>
          <w:i/>
          <w:iCs/>
          <w:lang w:eastAsia="en-AU"/>
        </w:rPr>
        <w:t xml:space="preserve"> </w:t>
      </w:r>
      <w:r w:rsidRPr="002029AF">
        <w:rPr>
          <w:i/>
          <w:iCs/>
          <w:lang w:eastAsia="en-AU"/>
        </w:rPr>
        <w:t>1994</w:t>
      </w:r>
      <w:r w:rsidRPr="002029AF">
        <w:rPr>
          <w:lang w:eastAsia="en-AU"/>
        </w:rPr>
        <w:t>,</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Assistant</w:t>
      </w:r>
      <w:r w:rsidR="000A5329" w:rsidRPr="002029AF">
        <w:rPr>
          <w:lang w:eastAsia="en-AU"/>
        </w:rPr>
        <w:t xml:space="preserve"> </w:t>
      </w:r>
      <w:r w:rsidRPr="002029AF">
        <w:rPr>
          <w:lang w:eastAsia="en-AU"/>
        </w:rPr>
        <w:t>Treasurer</w:t>
      </w:r>
      <w:r w:rsidR="000A5329" w:rsidRPr="002029AF">
        <w:rPr>
          <w:lang w:eastAsia="en-AU"/>
        </w:rPr>
        <w:t xml:space="preserve"> </w:t>
      </w:r>
      <w:r w:rsidRPr="002029AF">
        <w:rPr>
          <w:lang w:eastAsia="en-AU"/>
        </w:rPr>
        <w:t>has</w:t>
      </w:r>
      <w:r w:rsidR="000A5329" w:rsidRPr="002029AF">
        <w:rPr>
          <w:lang w:eastAsia="en-AU"/>
        </w:rPr>
        <w:t xml:space="preserve"> </w:t>
      </w:r>
      <w:r w:rsidRPr="002029AF">
        <w:rPr>
          <w:lang w:eastAsia="en-AU"/>
        </w:rPr>
        <w:t>granted</w:t>
      </w:r>
      <w:r w:rsidR="000A5329" w:rsidRPr="002029AF">
        <w:rPr>
          <w:lang w:eastAsia="en-AU"/>
        </w:rPr>
        <w:t xml:space="preserve"> </w:t>
      </w:r>
      <w:r w:rsidRPr="002029AF">
        <w:rPr>
          <w:lang w:eastAsia="en-AU"/>
        </w:rPr>
        <w:t>approval</w:t>
      </w:r>
      <w:r w:rsidR="000A5329" w:rsidRPr="002029AF">
        <w:rPr>
          <w:lang w:eastAsia="en-AU"/>
        </w:rPr>
        <w:t xml:space="preserve"> </w:t>
      </w:r>
      <w:r w:rsidRPr="002029AF">
        <w:rPr>
          <w:lang w:eastAsia="en-AU"/>
        </w:rPr>
        <w:t>for</w:t>
      </w:r>
      <w:r w:rsidR="000A5329" w:rsidRPr="002029AF">
        <w:rPr>
          <w:lang w:eastAsia="en-AU"/>
        </w:rPr>
        <w:t xml:space="preserve"> </w:t>
      </w:r>
      <w:r w:rsidRPr="002029AF">
        <w:rPr>
          <w:lang w:eastAsia="en-AU"/>
        </w:rPr>
        <w:t>the</w:t>
      </w:r>
      <w:r w:rsidR="000A5329" w:rsidRPr="002029AF">
        <w:rPr>
          <w:lang w:eastAsia="en-AU"/>
        </w:rPr>
        <w:t xml:space="preserve"> </w:t>
      </w:r>
      <w:r w:rsidR="000343EC" w:rsidRPr="002029AF">
        <w:rPr>
          <w:lang w:eastAsia="en-AU"/>
        </w:rPr>
        <w:t>department</w:t>
      </w:r>
      <w:r w:rsidR="000A5329" w:rsidRPr="002029AF">
        <w:rPr>
          <w:lang w:eastAsia="en-AU"/>
        </w:rPr>
        <w:t xml:space="preserve"> </w:t>
      </w:r>
      <w:r w:rsidR="000343EC" w:rsidRPr="002029AF">
        <w:rPr>
          <w:lang w:eastAsia="en-AU"/>
        </w:rPr>
        <w:t>to</w:t>
      </w:r>
      <w:r w:rsidR="000A5329" w:rsidRPr="002029AF">
        <w:rPr>
          <w:lang w:eastAsia="en-AU"/>
        </w:rPr>
        <w:t xml:space="preserve"> </w:t>
      </w:r>
      <w:r w:rsidRPr="002029AF">
        <w:rPr>
          <w:lang w:eastAsia="en-AU"/>
        </w:rPr>
        <w:t>prepare</w:t>
      </w:r>
      <w:r w:rsidR="000A5329" w:rsidRPr="002029AF">
        <w:rPr>
          <w:lang w:eastAsia="en-AU"/>
        </w:rPr>
        <w:t xml:space="preserve"> </w:t>
      </w:r>
      <w:r w:rsidRPr="002029AF">
        <w:rPr>
          <w:lang w:eastAsia="en-AU"/>
        </w:rPr>
        <w:t>financial</w:t>
      </w:r>
      <w:r w:rsidR="000A5329" w:rsidRPr="002029AF">
        <w:rPr>
          <w:lang w:eastAsia="en-AU"/>
        </w:rPr>
        <w:t xml:space="preserve"> </w:t>
      </w:r>
      <w:r w:rsidRPr="002029AF">
        <w:rPr>
          <w:lang w:eastAsia="en-AU"/>
        </w:rPr>
        <w:t>statements</w:t>
      </w:r>
      <w:r w:rsidR="000A5329" w:rsidRPr="002029AF">
        <w:rPr>
          <w:lang w:eastAsia="en-AU"/>
        </w:rPr>
        <w:t xml:space="preserve"> </w:t>
      </w:r>
      <w:r w:rsidRPr="002029AF">
        <w:rPr>
          <w:lang w:eastAsia="en-AU"/>
        </w:rPr>
        <w:t>incorporating</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following</w:t>
      </w:r>
      <w:r w:rsidR="000A5329" w:rsidRPr="002029AF">
        <w:rPr>
          <w:lang w:eastAsia="en-AU"/>
        </w:rPr>
        <w:t xml:space="preserve"> </w:t>
      </w:r>
      <w:r w:rsidRPr="002029AF">
        <w:rPr>
          <w:lang w:eastAsia="en-AU"/>
        </w:rPr>
        <w:t>entities</w:t>
      </w:r>
      <w:r w:rsidR="000A5329" w:rsidRPr="002029AF">
        <w:rPr>
          <w:lang w:eastAsia="en-AU"/>
        </w:rPr>
        <w:t xml:space="preserve"> </w:t>
      </w:r>
      <w:r w:rsidRPr="002029AF">
        <w:rPr>
          <w:lang w:eastAsia="en-AU"/>
        </w:rPr>
        <w:t>which</w:t>
      </w:r>
      <w:r w:rsidR="000A5329" w:rsidRPr="002029AF">
        <w:rPr>
          <w:lang w:eastAsia="en-AU"/>
        </w:rPr>
        <w:t xml:space="preserve"> </w:t>
      </w:r>
      <w:r w:rsidRPr="002029AF">
        <w:rPr>
          <w:lang w:eastAsia="en-AU"/>
        </w:rPr>
        <w:t>form</w:t>
      </w:r>
      <w:r w:rsidR="000A5329" w:rsidRPr="002029AF">
        <w:rPr>
          <w:lang w:eastAsia="en-AU"/>
        </w:rPr>
        <w:t xml:space="preserve"> </w:t>
      </w:r>
      <w:r w:rsidRPr="002029AF">
        <w:rPr>
          <w:lang w:eastAsia="en-AU"/>
        </w:rPr>
        <w:t>part</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Department</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Health</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Human</w:t>
      </w:r>
      <w:r w:rsidR="000A5329" w:rsidRPr="002029AF">
        <w:rPr>
          <w:lang w:eastAsia="en-AU"/>
        </w:rPr>
        <w:t xml:space="preserve"> </w:t>
      </w:r>
      <w:r w:rsidRPr="002029AF">
        <w:rPr>
          <w:lang w:eastAsia="en-AU"/>
        </w:rPr>
        <w:t>Services</w:t>
      </w:r>
      <w:r w:rsidR="000A5329" w:rsidRPr="002029AF">
        <w:rPr>
          <w:lang w:eastAsia="en-AU"/>
        </w:rPr>
        <w:t xml:space="preserve"> </w:t>
      </w:r>
      <w:r w:rsidRPr="002029AF">
        <w:rPr>
          <w:lang w:eastAsia="en-AU"/>
        </w:rPr>
        <w:t>reporting</w:t>
      </w:r>
      <w:r w:rsidR="000A5329" w:rsidRPr="002029AF">
        <w:rPr>
          <w:lang w:eastAsia="en-AU"/>
        </w:rPr>
        <w:t xml:space="preserve"> </w:t>
      </w:r>
      <w:r w:rsidRPr="002029AF">
        <w:rPr>
          <w:lang w:eastAsia="en-AU"/>
        </w:rPr>
        <w:t>entity:</w:t>
      </w:r>
    </w:p>
    <w:p w14:paraId="4976A143" w14:textId="2D0386CE" w:rsidR="0006497B" w:rsidRPr="002029AF" w:rsidRDefault="0006497B" w:rsidP="0006497B">
      <w:pPr>
        <w:pStyle w:val="ARbullet1"/>
        <w:rPr>
          <w:lang w:eastAsia="en-AU"/>
        </w:rPr>
      </w:pPr>
      <w:r w:rsidRPr="002029AF">
        <w:rPr>
          <w:lang w:eastAsia="en-AU"/>
        </w:rPr>
        <w:t>Mental</w:t>
      </w:r>
      <w:r w:rsidR="000A5329" w:rsidRPr="002029AF">
        <w:rPr>
          <w:lang w:eastAsia="en-AU"/>
        </w:rPr>
        <w:t xml:space="preserve"> </w:t>
      </w:r>
      <w:r w:rsidRPr="002029AF">
        <w:rPr>
          <w:lang w:eastAsia="en-AU"/>
        </w:rPr>
        <w:t>Health</w:t>
      </w:r>
      <w:r w:rsidR="000A5329" w:rsidRPr="002029AF">
        <w:rPr>
          <w:lang w:eastAsia="en-AU"/>
        </w:rPr>
        <w:t xml:space="preserve"> </w:t>
      </w:r>
      <w:r w:rsidRPr="002029AF">
        <w:rPr>
          <w:lang w:eastAsia="en-AU"/>
        </w:rPr>
        <w:t>Tribunal</w:t>
      </w:r>
    </w:p>
    <w:p w14:paraId="67155065" w14:textId="4C63A690" w:rsidR="0006497B" w:rsidRPr="002029AF" w:rsidRDefault="0006497B" w:rsidP="0006497B">
      <w:pPr>
        <w:pStyle w:val="ARbullet1"/>
        <w:rPr>
          <w:lang w:eastAsia="en-AU"/>
        </w:rPr>
      </w:pPr>
      <w:r w:rsidRPr="002029AF">
        <w:rPr>
          <w:lang w:eastAsia="en-AU"/>
        </w:rPr>
        <w:t>Commission</w:t>
      </w:r>
      <w:r w:rsidR="000A5329" w:rsidRPr="002029AF">
        <w:rPr>
          <w:lang w:eastAsia="en-AU"/>
        </w:rPr>
        <w:t xml:space="preserve"> </w:t>
      </w:r>
      <w:r w:rsidRPr="002029AF">
        <w:rPr>
          <w:lang w:eastAsia="en-AU"/>
        </w:rPr>
        <w:t>for</w:t>
      </w:r>
      <w:r w:rsidR="000A5329" w:rsidRPr="002029AF">
        <w:rPr>
          <w:lang w:eastAsia="en-AU"/>
        </w:rPr>
        <w:t xml:space="preserve"> </w:t>
      </w:r>
      <w:r w:rsidRPr="002029AF">
        <w:rPr>
          <w:lang w:eastAsia="en-AU"/>
        </w:rPr>
        <w:t>Children</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Young</w:t>
      </w:r>
      <w:r w:rsidR="000A5329" w:rsidRPr="002029AF">
        <w:rPr>
          <w:lang w:eastAsia="en-AU"/>
        </w:rPr>
        <w:t xml:space="preserve"> </w:t>
      </w:r>
      <w:r w:rsidRPr="002029AF">
        <w:rPr>
          <w:lang w:eastAsia="en-AU"/>
        </w:rPr>
        <w:t>People</w:t>
      </w:r>
    </w:p>
    <w:p w14:paraId="37BA105A" w14:textId="462933C6" w:rsidR="0006497B" w:rsidRPr="002029AF" w:rsidRDefault="0006497B" w:rsidP="0006497B">
      <w:pPr>
        <w:pStyle w:val="ARbullet1"/>
        <w:rPr>
          <w:lang w:eastAsia="en-AU"/>
        </w:rPr>
      </w:pPr>
      <w:r w:rsidRPr="002029AF">
        <w:rPr>
          <w:lang w:eastAsia="en-AU"/>
        </w:rPr>
        <w:t>Director</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Housing.</w:t>
      </w:r>
    </w:p>
    <w:p w14:paraId="7812287B" w14:textId="60C220F9" w:rsidR="0006497B" w:rsidRPr="002029AF" w:rsidRDefault="0006497B" w:rsidP="0006497B">
      <w:pPr>
        <w:pStyle w:val="ARbodyafterbullets"/>
        <w:rPr>
          <w:lang w:eastAsia="en-AU"/>
        </w:rPr>
      </w:pPr>
      <w:r w:rsidRPr="002029AF">
        <w:rPr>
          <w:lang w:eastAsia="en-AU"/>
        </w:rPr>
        <w:t>As</w:t>
      </w:r>
      <w:r w:rsidR="000A5329" w:rsidRPr="002029AF">
        <w:rPr>
          <w:lang w:eastAsia="en-AU"/>
        </w:rPr>
        <w:t xml:space="preserve"> </w:t>
      </w:r>
      <w:r w:rsidRPr="002029AF">
        <w:rPr>
          <w:lang w:eastAsia="en-AU"/>
        </w:rPr>
        <w:t>a</w:t>
      </w:r>
      <w:r w:rsidR="000A5329" w:rsidRPr="002029AF">
        <w:rPr>
          <w:lang w:eastAsia="en-AU"/>
        </w:rPr>
        <w:t xml:space="preserve"> </w:t>
      </w:r>
      <w:r w:rsidRPr="002029AF">
        <w:rPr>
          <w:lang w:eastAsia="en-AU"/>
        </w:rPr>
        <w:t>public</w:t>
      </w:r>
      <w:r w:rsidR="000A5329" w:rsidRPr="002029AF">
        <w:rPr>
          <w:lang w:eastAsia="en-AU"/>
        </w:rPr>
        <w:t xml:space="preserve"> </w:t>
      </w:r>
      <w:r w:rsidRPr="002029AF">
        <w:rPr>
          <w:lang w:eastAsia="en-AU"/>
        </w:rPr>
        <w:t>non-financial</w:t>
      </w:r>
      <w:r w:rsidR="000A5329" w:rsidRPr="002029AF">
        <w:rPr>
          <w:lang w:eastAsia="en-AU"/>
        </w:rPr>
        <w:t xml:space="preserve"> </w:t>
      </w:r>
      <w:r w:rsidRPr="002029AF">
        <w:rPr>
          <w:lang w:eastAsia="en-AU"/>
        </w:rPr>
        <w:t>corporation,</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majority</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income</w:t>
      </w:r>
      <w:r w:rsidR="000A5329" w:rsidRPr="002029AF">
        <w:rPr>
          <w:lang w:eastAsia="en-AU"/>
        </w:rPr>
        <w:t xml:space="preserve"> </w:t>
      </w:r>
      <w:r w:rsidRPr="002029AF">
        <w:rPr>
          <w:lang w:eastAsia="en-AU"/>
        </w:rPr>
        <w:t>for</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Director</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Housing</w:t>
      </w:r>
      <w:r w:rsidR="000A5329" w:rsidRPr="002029AF">
        <w:rPr>
          <w:lang w:eastAsia="en-AU"/>
        </w:rPr>
        <w:t xml:space="preserve"> </w:t>
      </w:r>
      <w:r w:rsidRPr="002029AF">
        <w:rPr>
          <w:lang w:eastAsia="en-AU"/>
        </w:rPr>
        <w:t>entity</w:t>
      </w:r>
      <w:r w:rsidR="000A5329" w:rsidRPr="002029AF">
        <w:rPr>
          <w:lang w:eastAsia="en-AU"/>
        </w:rPr>
        <w:t xml:space="preserve"> </w:t>
      </w:r>
      <w:r w:rsidRPr="002029AF">
        <w:rPr>
          <w:lang w:eastAsia="en-AU"/>
        </w:rPr>
        <w:t>is</w:t>
      </w:r>
      <w:r w:rsidR="000A5329" w:rsidRPr="002029AF">
        <w:rPr>
          <w:lang w:eastAsia="en-AU"/>
        </w:rPr>
        <w:t xml:space="preserve"> </w:t>
      </w:r>
      <w:r w:rsidRPr="002029AF">
        <w:rPr>
          <w:lang w:eastAsia="en-AU"/>
        </w:rPr>
        <w:t>derived</w:t>
      </w:r>
      <w:r w:rsidR="000A5329" w:rsidRPr="002029AF">
        <w:rPr>
          <w:lang w:eastAsia="en-AU"/>
        </w:rPr>
        <w:t xml:space="preserve"> </w:t>
      </w:r>
      <w:r w:rsidRPr="002029AF">
        <w:rPr>
          <w:lang w:eastAsia="en-AU"/>
        </w:rPr>
        <w:t>from</w:t>
      </w:r>
      <w:r w:rsidR="000A5329" w:rsidRPr="002029AF">
        <w:rPr>
          <w:lang w:eastAsia="en-AU"/>
        </w:rPr>
        <w:t xml:space="preserve"> </w:t>
      </w:r>
      <w:r w:rsidRPr="002029AF">
        <w:rPr>
          <w:lang w:eastAsia="en-AU"/>
        </w:rPr>
        <w:t>business</w:t>
      </w:r>
      <w:r w:rsidR="000A5329" w:rsidRPr="002029AF">
        <w:rPr>
          <w:lang w:eastAsia="en-AU"/>
        </w:rPr>
        <w:t xml:space="preserve"> </w:t>
      </w:r>
      <w:r w:rsidRPr="002029AF">
        <w:rPr>
          <w:lang w:eastAsia="en-AU"/>
        </w:rPr>
        <w:t>operations</w:t>
      </w:r>
      <w:r w:rsidR="000A5329" w:rsidRPr="002029AF">
        <w:rPr>
          <w:lang w:eastAsia="en-AU"/>
        </w:rPr>
        <w:t xml:space="preserve"> </w:t>
      </w:r>
      <w:r w:rsidRPr="002029AF">
        <w:rPr>
          <w:lang w:eastAsia="en-AU"/>
        </w:rPr>
        <w:t>primarily</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form</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public</w:t>
      </w:r>
      <w:r w:rsidR="000A5329" w:rsidRPr="002029AF">
        <w:rPr>
          <w:lang w:eastAsia="en-AU"/>
        </w:rPr>
        <w:t xml:space="preserve"> </w:t>
      </w:r>
      <w:r w:rsidRPr="002029AF">
        <w:rPr>
          <w:lang w:eastAsia="en-AU"/>
        </w:rPr>
        <w:t>housing</w:t>
      </w:r>
      <w:r w:rsidR="000A5329" w:rsidRPr="002029AF">
        <w:rPr>
          <w:lang w:eastAsia="en-AU"/>
        </w:rPr>
        <w:t xml:space="preserve"> </w:t>
      </w:r>
      <w:r w:rsidRPr="002029AF">
        <w:rPr>
          <w:lang w:eastAsia="en-AU"/>
        </w:rPr>
        <w:t>rental,</w:t>
      </w:r>
      <w:r w:rsidR="000A5329" w:rsidRPr="002029AF">
        <w:rPr>
          <w:lang w:eastAsia="en-AU"/>
        </w:rPr>
        <w:t xml:space="preserve"> </w:t>
      </w:r>
      <w:r w:rsidRPr="002029AF">
        <w:rPr>
          <w:lang w:eastAsia="en-AU"/>
        </w:rPr>
        <w:t>along</w:t>
      </w:r>
      <w:r w:rsidR="000A5329" w:rsidRPr="002029AF">
        <w:rPr>
          <w:lang w:eastAsia="en-AU"/>
        </w:rPr>
        <w:t xml:space="preserve"> </w:t>
      </w:r>
      <w:r w:rsidRPr="002029AF">
        <w:rPr>
          <w:lang w:eastAsia="en-AU"/>
        </w:rPr>
        <w:t>with</w:t>
      </w:r>
      <w:r w:rsidR="000A5329" w:rsidRPr="002029AF">
        <w:rPr>
          <w:lang w:eastAsia="en-AU"/>
        </w:rPr>
        <w:t xml:space="preserve"> </w:t>
      </w:r>
      <w:r w:rsidRPr="002029AF">
        <w:rPr>
          <w:lang w:eastAsia="en-AU"/>
        </w:rPr>
        <w:t>revenue</w:t>
      </w:r>
      <w:r w:rsidR="000A5329" w:rsidRPr="002029AF">
        <w:rPr>
          <w:lang w:eastAsia="en-AU"/>
        </w:rPr>
        <w:t xml:space="preserve"> </w:t>
      </w:r>
      <w:r w:rsidRPr="002029AF">
        <w:rPr>
          <w:lang w:eastAsia="en-AU"/>
        </w:rPr>
        <w:t>provided</w:t>
      </w:r>
      <w:r w:rsidR="000A5329" w:rsidRPr="002029AF">
        <w:rPr>
          <w:lang w:eastAsia="en-AU"/>
        </w:rPr>
        <w:t xml:space="preserve"> </w:t>
      </w:r>
      <w:r w:rsidRPr="002029AF">
        <w:rPr>
          <w:lang w:eastAsia="en-AU"/>
        </w:rPr>
        <w:t>by</w:t>
      </w:r>
      <w:r w:rsidR="000A5329" w:rsidRPr="002029AF">
        <w:rPr>
          <w:lang w:eastAsia="en-AU"/>
        </w:rPr>
        <w:t xml:space="preserve"> </w:t>
      </w:r>
      <w:r w:rsidRPr="002029AF">
        <w:rPr>
          <w:lang w:eastAsia="en-AU"/>
        </w:rPr>
        <w:t>government</w:t>
      </w:r>
      <w:r w:rsidR="000A5329" w:rsidRPr="002029AF">
        <w:rPr>
          <w:lang w:eastAsia="en-AU"/>
        </w:rPr>
        <w:t xml:space="preserve"> </w:t>
      </w:r>
      <w:r w:rsidRPr="002029AF">
        <w:rPr>
          <w:lang w:eastAsia="en-AU"/>
        </w:rPr>
        <w:t>through</w:t>
      </w:r>
      <w:r w:rsidR="000A5329" w:rsidRPr="002029AF">
        <w:rPr>
          <w:lang w:eastAsia="en-AU"/>
        </w:rPr>
        <w:t xml:space="preserve"> </w:t>
      </w:r>
      <w:r w:rsidRPr="002029AF">
        <w:rPr>
          <w:lang w:eastAsia="en-AU"/>
        </w:rPr>
        <w:t>annual</w:t>
      </w:r>
      <w:r w:rsidR="000A5329" w:rsidRPr="002029AF">
        <w:rPr>
          <w:lang w:eastAsia="en-AU"/>
        </w:rPr>
        <w:t xml:space="preserve"> </w:t>
      </w:r>
      <w:r w:rsidRPr="002029AF">
        <w:rPr>
          <w:lang w:eastAsia="en-AU"/>
        </w:rPr>
        <w:t>appropriation</w:t>
      </w:r>
      <w:r w:rsidR="000A5329" w:rsidRPr="002029AF">
        <w:rPr>
          <w:lang w:eastAsia="en-AU"/>
        </w:rPr>
        <w:t xml:space="preserve"> </w:t>
      </w:r>
      <w:r w:rsidRPr="002029AF">
        <w:rPr>
          <w:lang w:eastAsia="en-AU"/>
        </w:rPr>
        <w:t>processes.</w:t>
      </w:r>
    </w:p>
    <w:p w14:paraId="6BA7E414" w14:textId="0659862B" w:rsidR="0006497B" w:rsidRPr="002029AF" w:rsidRDefault="0006497B" w:rsidP="0006497B">
      <w:pPr>
        <w:pStyle w:val="ARbody"/>
        <w:rPr>
          <w:lang w:eastAsia="en-AU"/>
        </w:rPr>
      </w:pPr>
      <w:r w:rsidRPr="002029AF">
        <w:rPr>
          <w:lang w:eastAsia="en-AU"/>
        </w:rPr>
        <w:t>Detailed</w:t>
      </w:r>
      <w:r w:rsidR="000A5329" w:rsidRPr="002029AF">
        <w:rPr>
          <w:lang w:eastAsia="en-AU"/>
        </w:rPr>
        <w:t xml:space="preserve"> </w:t>
      </w:r>
      <w:r w:rsidRPr="002029AF">
        <w:rPr>
          <w:lang w:eastAsia="en-AU"/>
        </w:rPr>
        <w:t>financial</w:t>
      </w:r>
      <w:r w:rsidR="000A5329" w:rsidRPr="002029AF">
        <w:rPr>
          <w:lang w:eastAsia="en-AU"/>
        </w:rPr>
        <w:t xml:space="preserve"> </w:t>
      </w:r>
      <w:r w:rsidRPr="002029AF">
        <w:rPr>
          <w:lang w:eastAsia="en-AU"/>
        </w:rPr>
        <w:t>results</w:t>
      </w:r>
      <w:r w:rsidR="000A5329" w:rsidRPr="002029AF">
        <w:rPr>
          <w:lang w:eastAsia="en-AU"/>
        </w:rPr>
        <w:t xml:space="preserve"> </w:t>
      </w:r>
      <w:r w:rsidRPr="002029AF">
        <w:rPr>
          <w:lang w:eastAsia="en-AU"/>
        </w:rPr>
        <w:t>for</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Director</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Housing</w:t>
      </w:r>
      <w:r w:rsidR="000A5329" w:rsidRPr="002029AF">
        <w:rPr>
          <w:lang w:eastAsia="en-AU"/>
        </w:rPr>
        <w:t xml:space="preserve"> </w:t>
      </w:r>
      <w:r w:rsidRPr="002029AF">
        <w:rPr>
          <w:lang w:eastAsia="en-AU"/>
        </w:rPr>
        <w:t>are</w:t>
      </w:r>
      <w:r w:rsidR="000A5329" w:rsidRPr="002029AF">
        <w:rPr>
          <w:lang w:eastAsia="en-AU"/>
        </w:rPr>
        <w:t xml:space="preserve"> </w:t>
      </w:r>
      <w:r w:rsidRPr="002029AF">
        <w:rPr>
          <w:lang w:eastAsia="en-AU"/>
        </w:rPr>
        <w:t>included</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appendices</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annual</w:t>
      </w:r>
      <w:r w:rsidR="000A5329" w:rsidRPr="002029AF">
        <w:rPr>
          <w:lang w:eastAsia="en-AU"/>
        </w:rPr>
        <w:t xml:space="preserve"> </w:t>
      </w:r>
      <w:r w:rsidRPr="002029AF">
        <w:rPr>
          <w:lang w:eastAsia="en-AU"/>
        </w:rPr>
        <w:t>report,</w:t>
      </w:r>
      <w:r w:rsidR="000A5329" w:rsidRPr="002029AF">
        <w:rPr>
          <w:lang w:eastAsia="en-AU"/>
        </w:rPr>
        <w:t xml:space="preserve"> </w:t>
      </w:r>
      <w:r w:rsidRPr="002029AF">
        <w:rPr>
          <w:lang w:eastAsia="en-AU"/>
        </w:rPr>
        <w:t>following</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department</w:t>
      </w:r>
      <w:r w:rsidR="00EE3554" w:rsidRPr="002029AF">
        <w:rPr>
          <w:lang w:eastAsia="en-AU"/>
        </w:rPr>
        <w:t>’</w:t>
      </w:r>
      <w:r w:rsidRPr="002029AF">
        <w:rPr>
          <w:lang w:eastAsia="en-AU"/>
        </w:rPr>
        <w:t>s</w:t>
      </w:r>
      <w:r w:rsidR="000A5329" w:rsidRPr="002029AF">
        <w:rPr>
          <w:lang w:eastAsia="en-AU"/>
        </w:rPr>
        <w:t xml:space="preserve"> </w:t>
      </w:r>
      <w:r w:rsidRPr="002029AF">
        <w:rPr>
          <w:lang w:eastAsia="en-AU"/>
        </w:rPr>
        <w:t>audited</w:t>
      </w:r>
      <w:r w:rsidR="000A5329" w:rsidRPr="002029AF">
        <w:rPr>
          <w:lang w:eastAsia="en-AU"/>
        </w:rPr>
        <w:t xml:space="preserve"> </w:t>
      </w:r>
      <w:r w:rsidRPr="002029AF">
        <w:rPr>
          <w:lang w:eastAsia="en-AU"/>
        </w:rPr>
        <w:t>financial</w:t>
      </w:r>
      <w:r w:rsidR="000A5329" w:rsidRPr="002029AF">
        <w:rPr>
          <w:lang w:eastAsia="en-AU"/>
        </w:rPr>
        <w:t xml:space="preserve"> </w:t>
      </w:r>
      <w:r w:rsidRPr="002029AF">
        <w:rPr>
          <w:lang w:eastAsia="en-AU"/>
        </w:rPr>
        <w:t>statements.</w:t>
      </w:r>
    </w:p>
    <w:p w14:paraId="1785CBA9" w14:textId="00400A4B" w:rsidR="000A5329" w:rsidRPr="002029AF" w:rsidRDefault="0006497B" w:rsidP="0006497B">
      <w:pPr>
        <w:pStyle w:val="Heading3"/>
      </w:pPr>
      <w:r w:rsidRPr="002029AF">
        <w:t>Financial</w:t>
      </w:r>
      <w:r w:rsidR="000A5329" w:rsidRPr="002029AF">
        <w:t xml:space="preserve"> </w:t>
      </w:r>
      <w:r w:rsidRPr="002029AF">
        <w:t>performance</w:t>
      </w:r>
      <w:r w:rsidR="000A5329" w:rsidRPr="002029AF">
        <w:t xml:space="preserve"> </w:t>
      </w:r>
      <w:r w:rsidRPr="002029AF">
        <w:t>and</w:t>
      </w:r>
      <w:r w:rsidR="005E1789">
        <w:t> </w:t>
      </w:r>
      <w:r w:rsidRPr="002029AF">
        <w:t>business</w:t>
      </w:r>
      <w:r w:rsidR="00AB0C69" w:rsidRPr="002029AF">
        <w:t> </w:t>
      </w:r>
      <w:r w:rsidRPr="002029AF">
        <w:t>review</w:t>
      </w:r>
    </w:p>
    <w:p w14:paraId="614E299F" w14:textId="3B6BD7A8" w:rsidR="0006497B" w:rsidRPr="002029AF" w:rsidRDefault="0006497B" w:rsidP="0006497B">
      <w:pPr>
        <w:pStyle w:val="ARbody"/>
        <w:rPr>
          <w:lang w:eastAsia="en-AU"/>
        </w:rPr>
      </w:pPr>
      <w:r w:rsidRPr="002029AF">
        <w:rPr>
          <w:lang w:eastAsia="en-AU"/>
        </w:rPr>
        <w:t>The</w:t>
      </w:r>
      <w:r w:rsidR="000A5329" w:rsidRPr="002029AF">
        <w:rPr>
          <w:lang w:eastAsia="en-AU"/>
        </w:rPr>
        <w:t xml:space="preserve"> </w:t>
      </w:r>
      <w:r w:rsidRPr="002029AF">
        <w:rPr>
          <w:lang w:eastAsia="en-AU"/>
        </w:rPr>
        <w:t>details</w:t>
      </w:r>
      <w:r w:rsidR="000A5329" w:rsidRPr="002029AF">
        <w:rPr>
          <w:lang w:eastAsia="en-AU"/>
        </w:rPr>
        <w:t xml:space="preserve"> </w:t>
      </w:r>
      <w:r w:rsidRPr="002029AF">
        <w:rPr>
          <w:lang w:eastAsia="en-AU"/>
        </w:rPr>
        <w:t>below</w:t>
      </w:r>
      <w:r w:rsidR="000A5329" w:rsidRPr="002029AF">
        <w:rPr>
          <w:lang w:eastAsia="en-AU"/>
        </w:rPr>
        <w:t xml:space="preserve"> </w:t>
      </w:r>
      <w:r w:rsidRPr="002029AF">
        <w:rPr>
          <w:lang w:eastAsia="en-AU"/>
        </w:rPr>
        <w:t>relate</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department’s</w:t>
      </w:r>
      <w:r w:rsidR="000A5329" w:rsidRPr="002029AF">
        <w:rPr>
          <w:lang w:eastAsia="en-AU"/>
        </w:rPr>
        <w:t xml:space="preserve"> </w:t>
      </w:r>
      <w:r w:rsidRPr="002029AF">
        <w:rPr>
          <w:lang w:eastAsia="en-AU"/>
        </w:rPr>
        <w:t>consolidated</w:t>
      </w:r>
      <w:r w:rsidR="000A5329" w:rsidRPr="002029AF">
        <w:rPr>
          <w:lang w:eastAsia="en-AU"/>
        </w:rPr>
        <w:t xml:space="preserve"> </w:t>
      </w:r>
      <w:r w:rsidRPr="002029AF">
        <w:rPr>
          <w:lang w:eastAsia="en-AU"/>
        </w:rPr>
        <w:t>financial</w:t>
      </w:r>
      <w:r w:rsidR="000A5329" w:rsidRPr="002029AF">
        <w:rPr>
          <w:lang w:eastAsia="en-AU"/>
        </w:rPr>
        <w:t xml:space="preserve"> </w:t>
      </w:r>
      <w:r w:rsidRPr="002029AF">
        <w:rPr>
          <w:lang w:eastAsia="en-AU"/>
        </w:rPr>
        <w:t>statements</w:t>
      </w:r>
      <w:r w:rsidR="000A5329" w:rsidRPr="002029AF">
        <w:rPr>
          <w:lang w:eastAsia="en-AU"/>
        </w:rPr>
        <w:t xml:space="preserve"> </w:t>
      </w:r>
      <w:r w:rsidRPr="002029AF">
        <w:rPr>
          <w:lang w:eastAsia="en-AU"/>
        </w:rPr>
        <w:t>including</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entities</w:t>
      </w:r>
      <w:r w:rsidR="000A5329" w:rsidRPr="002029AF">
        <w:rPr>
          <w:lang w:eastAsia="en-AU"/>
        </w:rPr>
        <w:t xml:space="preserve"> </w:t>
      </w:r>
      <w:r w:rsidRPr="002029AF">
        <w:rPr>
          <w:lang w:eastAsia="en-AU"/>
        </w:rPr>
        <w:t>outlined</w:t>
      </w:r>
      <w:r w:rsidR="000A5329" w:rsidRPr="002029AF">
        <w:rPr>
          <w:lang w:eastAsia="en-AU"/>
        </w:rPr>
        <w:t xml:space="preserve"> </w:t>
      </w:r>
      <w:r w:rsidRPr="002029AF">
        <w:rPr>
          <w:lang w:eastAsia="en-AU"/>
        </w:rPr>
        <w:t>above.</w:t>
      </w:r>
    </w:p>
    <w:p w14:paraId="0E9FA303" w14:textId="23FA7D28" w:rsidR="0006497B" w:rsidRPr="002029AF" w:rsidRDefault="0006497B" w:rsidP="0006497B">
      <w:pPr>
        <w:pStyle w:val="ARbody"/>
        <w:rPr>
          <w:lang w:eastAsia="en-AU"/>
        </w:rPr>
      </w:pPr>
      <w:r w:rsidRPr="002029AF">
        <w:rPr>
          <w:lang w:eastAsia="en-AU"/>
        </w:rPr>
        <w:t>In</w:t>
      </w:r>
      <w:r w:rsidR="000A5329" w:rsidRPr="002029AF">
        <w:rPr>
          <w:lang w:eastAsia="en-AU"/>
        </w:rPr>
        <w:t xml:space="preserve"> </w:t>
      </w:r>
      <w:r w:rsidRPr="002029AF">
        <w:rPr>
          <w:lang w:eastAsia="en-AU"/>
        </w:rPr>
        <w:t>201</w:t>
      </w:r>
      <w:r w:rsidR="00DB53E6" w:rsidRPr="002029AF">
        <w:rPr>
          <w:lang w:eastAsia="en-AU"/>
        </w:rPr>
        <w:t>9–</w:t>
      </w:r>
      <w:r w:rsidRPr="002029AF">
        <w:rPr>
          <w:lang w:eastAsia="en-AU"/>
        </w:rPr>
        <w:t>20,</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department</w:t>
      </w:r>
      <w:r w:rsidR="000A5329" w:rsidRPr="002029AF">
        <w:rPr>
          <w:lang w:eastAsia="en-AU"/>
        </w:rPr>
        <w:t xml:space="preserve"> </w:t>
      </w:r>
      <w:r w:rsidRPr="002029AF">
        <w:rPr>
          <w:lang w:eastAsia="en-AU"/>
        </w:rPr>
        <w:t>recorded</w:t>
      </w:r>
      <w:r w:rsidR="000A5329" w:rsidRPr="002029AF">
        <w:rPr>
          <w:lang w:eastAsia="en-AU"/>
        </w:rPr>
        <w:t xml:space="preserve"> </w:t>
      </w:r>
      <w:r w:rsidRPr="002029AF">
        <w:rPr>
          <w:lang w:eastAsia="en-AU"/>
        </w:rPr>
        <w:t>a</w:t>
      </w:r>
      <w:r w:rsidR="000A5329" w:rsidRPr="002029AF">
        <w:rPr>
          <w:lang w:eastAsia="en-AU"/>
        </w:rPr>
        <w:t xml:space="preserve"> </w:t>
      </w:r>
      <w:r w:rsidRPr="002029AF">
        <w:rPr>
          <w:lang w:eastAsia="en-AU"/>
        </w:rPr>
        <w:t>net</w:t>
      </w:r>
      <w:r w:rsidR="000A5329" w:rsidRPr="002029AF">
        <w:rPr>
          <w:lang w:eastAsia="en-AU"/>
        </w:rPr>
        <w:t xml:space="preserve"> </w:t>
      </w:r>
      <w:r w:rsidRPr="002029AF">
        <w:rPr>
          <w:lang w:eastAsia="en-AU"/>
        </w:rPr>
        <w:t>gain</w:t>
      </w:r>
      <w:r w:rsidR="000A5329" w:rsidRPr="002029AF">
        <w:rPr>
          <w:lang w:eastAsia="en-AU"/>
        </w:rPr>
        <w:t xml:space="preserve"> </w:t>
      </w:r>
      <w:r w:rsidRPr="002029AF">
        <w:rPr>
          <w:lang w:eastAsia="en-AU"/>
        </w:rPr>
        <w:t>from</w:t>
      </w:r>
      <w:r w:rsidR="000A5329" w:rsidRPr="002029AF">
        <w:rPr>
          <w:lang w:eastAsia="en-AU"/>
        </w:rPr>
        <w:t xml:space="preserve"> </w:t>
      </w:r>
      <w:r w:rsidRPr="002029AF">
        <w:rPr>
          <w:lang w:eastAsia="en-AU"/>
        </w:rPr>
        <w:t>transactions</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$60</w:t>
      </w:r>
      <w:r w:rsidR="00EE3554" w:rsidRPr="002029AF">
        <w:rPr>
          <w:lang w:eastAsia="en-AU"/>
        </w:rPr>
        <w:t>8.1</w:t>
      </w:r>
      <w:r w:rsidR="000A5329" w:rsidRPr="002029AF">
        <w:rPr>
          <w:lang w:eastAsia="en-AU"/>
        </w:rPr>
        <w:t xml:space="preserve"> </w:t>
      </w:r>
      <w:r w:rsidRPr="002029AF">
        <w:rPr>
          <w:lang w:eastAsia="en-AU"/>
        </w:rPr>
        <w:t>million.</w:t>
      </w:r>
      <w:r w:rsidR="000A5329" w:rsidRPr="002029AF">
        <w:rPr>
          <w:lang w:eastAsia="en-AU"/>
        </w:rPr>
        <w:t xml:space="preserve"> </w:t>
      </w:r>
      <w:r w:rsidRPr="002029AF">
        <w:rPr>
          <w:lang w:eastAsia="en-AU"/>
        </w:rPr>
        <w:t>This</w:t>
      </w:r>
      <w:r w:rsidR="000A5329" w:rsidRPr="002029AF">
        <w:rPr>
          <w:lang w:eastAsia="en-AU"/>
        </w:rPr>
        <w:t xml:space="preserve"> </w:t>
      </w:r>
      <w:r w:rsidRPr="002029AF">
        <w:rPr>
          <w:lang w:eastAsia="en-AU"/>
        </w:rPr>
        <w:t>gain</w:t>
      </w:r>
      <w:r w:rsidR="000A5329" w:rsidRPr="002029AF">
        <w:rPr>
          <w:lang w:eastAsia="en-AU"/>
        </w:rPr>
        <w:t xml:space="preserve"> </w:t>
      </w:r>
      <w:r w:rsidRPr="002029AF">
        <w:rPr>
          <w:lang w:eastAsia="en-AU"/>
        </w:rPr>
        <w:t>primarily</w:t>
      </w:r>
      <w:r w:rsidR="000A5329" w:rsidRPr="002029AF">
        <w:rPr>
          <w:lang w:eastAsia="en-AU"/>
        </w:rPr>
        <w:t xml:space="preserve"> </w:t>
      </w:r>
      <w:r w:rsidRPr="002029AF">
        <w:rPr>
          <w:lang w:eastAsia="en-AU"/>
        </w:rPr>
        <w:t>relates</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$797.</w:t>
      </w:r>
      <w:r w:rsidR="5FE2D1FD" w:rsidRPr="002029AF">
        <w:rPr>
          <w:lang w:eastAsia="en-AU"/>
        </w:rPr>
        <w:t>3</w:t>
      </w:r>
      <w:r w:rsidR="000A5329" w:rsidRPr="002029AF">
        <w:rPr>
          <w:lang w:eastAsia="en-AU"/>
        </w:rPr>
        <w:t xml:space="preserve"> </w:t>
      </w:r>
      <w:r w:rsidRPr="002029AF">
        <w:rPr>
          <w:lang w:eastAsia="en-AU"/>
        </w:rPr>
        <w:t>million</w:t>
      </w:r>
      <w:r w:rsidR="000A5329" w:rsidRPr="002029AF">
        <w:rPr>
          <w:lang w:eastAsia="en-AU"/>
        </w:rPr>
        <w:t xml:space="preserve"> </w:t>
      </w:r>
      <w:r w:rsidRPr="002029AF">
        <w:rPr>
          <w:lang w:eastAsia="en-AU"/>
        </w:rPr>
        <w:t>surplus</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department,</w:t>
      </w:r>
      <w:r w:rsidR="000A5329" w:rsidRPr="002029AF">
        <w:rPr>
          <w:lang w:eastAsia="en-AU"/>
        </w:rPr>
        <w:t xml:space="preserve"> </w:t>
      </w:r>
      <w:r w:rsidRPr="002029AF">
        <w:rPr>
          <w:lang w:eastAsia="en-AU"/>
        </w:rPr>
        <w:t>partly</w:t>
      </w:r>
      <w:r w:rsidR="000A5329" w:rsidRPr="002029AF">
        <w:rPr>
          <w:lang w:eastAsia="en-AU"/>
        </w:rPr>
        <w:t xml:space="preserve"> </w:t>
      </w:r>
      <w:r w:rsidRPr="002029AF">
        <w:rPr>
          <w:lang w:eastAsia="en-AU"/>
        </w:rPr>
        <w:t>offset</w:t>
      </w:r>
      <w:r w:rsidR="000A5329" w:rsidRPr="002029AF">
        <w:rPr>
          <w:lang w:eastAsia="en-AU"/>
        </w:rPr>
        <w:t xml:space="preserve"> </w:t>
      </w:r>
      <w:r w:rsidRPr="002029AF">
        <w:rPr>
          <w:lang w:eastAsia="en-AU"/>
        </w:rPr>
        <w:t>by</w:t>
      </w:r>
      <w:r w:rsidR="000A5329" w:rsidRPr="002029AF">
        <w:rPr>
          <w:lang w:eastAsia="en-AU"/>
        </w:rPr>
        <w:t xml:space="preserve"> </w:t>
      </w:r>
      <w:r w:rsidRPr="002029AF">
        <w:rPr>
          <w:lang w:eastAsia="en-AU"/>
        </w:rPr>
        <w:t>a</w:t>
      </w:r>
      <w:r w:rsidR="000A5329" w:rsidRPr="002029AF">
        <w:rPr>
          <w:lang w:eastAsia="en-AU"/>
        </w:rPr>
        <w:t xml:space="preserve"> </w:t>
      </w:r>
      <w:r w:rsidRPr="002029AF">
        <w:rPr>
          <w:lang w:eastAsia="en-AU"/>
        </w:rPr>
        <w:t>$189.2</w:t>
      </w:r>
      <w:r w:rsidR="000A5329" w:rsidRPr="002029AF">
        <w:rPr>
          <w:lang w:eastAsia="en-AU"/>
        </w:rPr>
        <w:t xml:space="preserve"> </w:t>
      </w:r>
      <w:r w:rsidRPr="002029AF">
        <w:rPr>
          <w:lang w:eastAsia="en-AU"/>
        </w:rPr>
        <w:t>million</w:t>
      </w:r>
      <w:r w:rsidR="000A5329" w:rsidRPr="002029AF">
        <w:rPr>
          <w:lang w:eastAsia="en-AU"/>
        </w:rPr>
        <w:t xml:space="preserve"> </w:t>
      </w:r>
      <w:r w:rsidRPr="002029AF">
        <w:rPr>
          <w:lang w:eastAsia="en-AU"/>
        </w:rPr>
        <w:t>deficit</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Director</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Housing</w:t>
      </w:r>
      <w:r w:rsidR="000A5329" w:rsidRPr="002029AF">
        <w:rPr>
          <w:lang w:eastAsia="en-AU"/>
        </w:rPr>
        <w:t xml:space="preserve"> </w:t>
      </w:r>
      <w:r w:rsidRPr="002029AF">
        <w:rPr>
          <w:lang w:eastAsia="en-AU"/>
        </w:rPr>
        <w:t>entity.</w:t>
      </w:r>
    </w:p>
    <w:p w14:paraId="1D3D734C" w14:textId="3811F3E9" w:rsidR="0006497B" w:rsidRPr="002029AF" w:rsidRDefault="0006497B" w:rsidP="0006497B">
      <w:pPr>
        <w:pStyle w:val="ARbody"/>
        <w:rPr>
          <w:lang w:eastAsia="en-AU"/>
        </w:rPr>
      </w:pPr>
      <w:r w:rsidRPr="002029AF">
        <w:rPr>
          <w:lang w:eastAsia="en-AU"/>
        </w:rPr>
        <w:t>The</w:t>
      </w:r>
      <w:r w:rsidR="000A5329" w:rsidRPr="002029AF">
        <w:rPr>
          <w:lang w:eastAsia="en-AU"/>
        </w:rPr>
        <w:t xml:space="preserve"> </w:t>
      </w:r>
      <w:r w:rsidRPr="002029AF">
        <w:rPr>
          <w:lang w:eastAsia="en-AU"/>
        </w:rPr>
        <w:t>$797.</w:t>
      </w:r>
      <w:r w:rsidR="5A3EB600" w:rsidRPr="002029AF">
        <w:rPr>
          <w:lang w:eastAsia="en-AU"/>
        </w:rPr>
        <w:t>3</w:t>
      </w:r>
      <w:r w:rsidR="000A5329" w:rsidRPr="002029AF">
        <w:rPr>
          <w:lang w:eastAsia="en-AU"/>
        </w:rPr>
        <w:t xml:space="preserve"> </w:t>
      </w:r>
      <w:r w:rsidRPr="002029AF">
        <w:rPr>
          <w:lang w:eastAsia="en-AU"/>
        </w:rPr>
        <w:t>million</w:t>
      </w:r>
      <w:r w:rsidR="000A5329" w:rsidRPr="002029AF">
        <w:rPr>
          <w:lang w:eastAsia="en-AU"/>
        </w:rPr>
        <w:t xml:space="preserve"> </w:t>
      </w:r>
      <w:r w:rsidRPr="002029AF">
        <w:rPr>
          <w:lang w:eastAsia="en-AU"/>
        </w:rPr>
        <w:t>surplus</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department</w:t>
      </w:r>
      <w:r w:rsidR="000A5329" w:rsidRPr="002029AF">
        <w:rPr>
          <w:lang w:eastAsia="en-AU"/>
        </w:rPr>
        <w:t xml:space="preserve"> </w:t>
      </w:r>
      <w:r w:rsidRPr="002029AF">
        <w:rPr>
          <w:lang w:eastAsia="en-AU"/>
        </w:rPr>
        <w:t>is</w:t>
      </w:r>
      <w:r w:rsidR="000A5329" w:rsidRPr="002029AF">
        <w:rPr>
          <w:lang w:eastAsia="en-AU"/>
        </w:rPr>
        <w:t xml:space="preserve"> </w:t>
      </w:r>
      <w:r w:rsidRPr="002029AF">
        <w:rPr>
          <w:lang w:eastAsia="en-AU"/>
        </w:rPr>
        <w:t>mainly</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result</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funding</w:t>
      </w:r>
      <w:r w:rsidR="000A5329" w:rsidRPr="002029AF">
        <w:rPr>
          <w:lang w:eastAsia="en-AU"/>
        </w:rPr>
        <w:t xml:space="preserve"> </w:t>
      </w:r>
      <w:r w:rsidRPr="002029AF">
        <w:rPr>
          <w:lang w:eastAsia="en-AU"/>
        </w:rPr>
        <w:t>mechanism</w:t>
      </w:r>
      <w:r w:rsidR="000A5329" w:rsidRPr="002029AF">
        <w:rPr>
          <w:lang w:eastAsia="en-AU"/>
        </w:rPr>
        <w:t xml:space="preserve"> </w:t>
      </w:r>
      <w:r w:rsidRPr="002029AF">
        <w:rPr>
          <w:lang w:eastAsia="en-AU"/>
        </w:rPr>
        <w:t>for</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capital</w:t>
      </w:r>
      <w:r w:rsidR="000A5329" w:rsidRPr="002029AF">
        <w:rPr>
          <w:lang w:eastAsia="en-AU"/>
        </w:rPr>
        <w:t xml:space="preserve"> </w:t>
      </w:r>
      <w:r w:rsidRPr="002029AF">
        <w:rPr>
          <w:lang w:eastAsia="en-AU"/>
        </w:rPr>
        <w:t>program</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health</w:t>
      </w:r>
      <w:r w:rsidR="000A5329" w:rsidRPr="002029AF">
        <w:rPr>
          <w:lang w:eastAsia="en-AU"/>
        </w:rPr>
        <w:t xml:space="preserve"> </w:t>
      </w:r>
      <w:r w:rsidRPr="002029AF">
        <w:rPr>
          <w:lang w:eastAsia="en-AU"/>
        </w:rPr>
        <w:t>services.</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department</w:t>
      </w:r>
      <w:r w:rsidR="000A5329" w:rsidRPr="002029AF">
        <w:rPr>
          <w:lang w:eastAsia="en-AU"/>
        </w:rPr>
        <w:t xml:space="preserve"> </w:t>
      </w:r>
      <w:r w:rsidRPr="002029AF">
        <w:rPr>
          <w:lang w:eastAsia="en-AU"/>
        </w:rPr>
        <w:t>is</w:t>
      </w:r>
      <w:r w:rsidR="000A5329" w:rsidRPr="002029AF">
        <w:rPr>
          <w:lang w:eastAsia="en-AU"/>
        </w:rPr>
        <w:t xml:space="preserve"> </w:t>
      </w:r>
      <w:r w:rsidRPr="002029AF">
        <w:rPr>
          <w:lang w:eastAsia="en-AU"/>
        </w:rPr>
        <w:t>required</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book</w:t>
      </w:r>
      <w:r w:rsidR="000A5329" w:rsidRPr="002029AF">
        <w:rPr>
          <w:lang w:eastAsia="en-AU"/>
        </w:rPr>
        <w:t xml:space="preserve"> </w:t>
      </w:r>
      <w:r w:rsidRPr="002029AF">
        <w:rPr>
          <w:lang w:eastAsia="en-AU"/>
        </w:rPr>
        <w:t>revenue</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fully</w:t>
      </w:r>
      <w:r w:rsidR="000A5329" w:rsidRPr="002029AF">
        <w:rPr>
          <w:lang w:eastAsia="en-AU"/>
        </w:rPr>
        <w:t xml:space="preserve"> </w:t>
      </w:r>
      <w:r w:rsidRPr="002029AF">
        <w:rPr>
          <w:lang w:eastAsia="en-AU"/>
        </w:rPr>
        <w:t>cover</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lastRenderedPageBreak/>
        <w:t>depreciation</w:t>
      </w:r>
      <w:r w:rsidR="000A5329" w:rsidRPr="002029AF">
        <w:rPr>
          <w:lang w:eastAsia="en-AU"/>
        </w:rPr>
        <w:t xml:space="preserve"> </w:t>
      </w:r>
      <w:r w:rsidRPr="002029AF">
        <w:rPr>
          <w:lang w:eastAsia="en-AU"/>
        </w:rPr>
        <w:t>expense</w:t>
      </w:r>
      <w:r w:rsidR="000A5329" w:rsidRPr="002029AF">
        <w:rPr>
          <w:lang w:eastAsia="en-AU"/>
        </w:rPr>
        <w:t xml:space="preserve"> </w:t>
      </w:r>
      <w:r w:rsidRPr="002029AF">
        <w:rPr>
          <w:lang w:eastAsia="en-AU"/>
        </w:rPr>
        <w:t>related</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assets</w:t>
      </w:r>
      <w:r w:rsidR="000A5329" w:rsidRPr="002029AF">
        <w:rPr>
          <w:lang w:eastAsia="en-AU"/>
        </w:rPr>
        <w:t xml:space="preserve"> </w:t>
      </w:r>
      <w:r w:rsidRPr="002029AF">
        <w:rPr>
          <w:lang w:eastAsia="en-AU"/>
        </w:rPr>
        <w:t>that</w:t>
      </w:r>
      <w:r w:rsidR="000A5329" w:rsidRPr="002029AF">
        <w:rPr>
          <w:lang w:eastAsia="en-AU"/>
        </w:rPr>
        <w:t xml:space="preserve"> </w:t>
      </w:r>
      <w:r w:rsidRPr="002029AF">
        <w:rPr>
          <w:lang w:eastAsia="en-AU"/>
        </w:rPr>
        <w:t>reside</w:t>
      </w:r>
      <w:r w:rsidR="003A3C59">
        <w:rPr>
          <w:lang w:eastAsia="en-AU"/>
        </w:rPr>
        <w:t> </w:t>
      </w:r>
      <w:r w:rsidRPr="002029AF">
        <w:rPr>
          <w:lang w:eastAsia="en-AU"/>
        </w:rPr>
        <w:t>with</w:t>
      </w:r>
      <w:r w:rsidR="000A5329" w:rsidRPr="002029AF">
        <w:rPr>
          <w:lang w:eastAsia="en-AU"/>
        </w:rPr>
        <w:t xml:space="preserve"> </w:t>
      </w:r>
      <w:r w:rsidRPr="002029AF">
        <w:rPr>
          <w:lang w:eastAsia="en-AU"/>
        </w:rPr>
        <w:t>health</w:t>
      </w:r>
      <w:r w:rsidR="000A5329" w:rsidRPr="002029AF">
        <w:rPr>
          <w:lang w:eastAsia="en-AU"/>
        </w:rPr>
        <w:t xml:space="preserve"> </w:t>
      </w:r>
      <w:r w:rsidRPr="002029AF">
        <w:rPr>
          <w:lang w:eastAsia="en-AU"/>
        </w:rPr>
        <w:t>services.</w:t>
      </w:r>
      <w:r w:rsidR="000A5329" w:rsidRPr="002029AF">
        <w:rPr>
          <w:lang w:eastAsia="en-AU"/>
        </w:rPr>
        <w:t xml:space="preserve"> </w:t>
      </w:r>
      <w:r w:rsidRPr="002029AF">
        <w:rPr>
          <w:lang w:eastAsia="en-AU"/>
        </w:rPr>
        <w:t>During</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year,</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department</w:t>
      </w:r>
      <w:r w:rsidR="000A5329" w:rsidRPr="002029AF">
        <w:rPr>
          <w:lang w:eastAsia="en-AU"/>
        </w:rPr>
        <w:t xml:space="preserve"> </w:t>
      </w:r>
      <w:r w:rsidRPr="002029AF">
        <w:rPr>
          <w:lang w:eastAsia="en-AU"/>
        </w:rPr>
        <w:t>is</w:t>
      </w:r>
      <w:r w:rsidR="000A5329" w:rsidRPr="002029AF">
        <w:rPr>
          <w:lang w:eastAsia="en-AU"/>
        </w:rPr>
        <w:t xml:space="preserve"> </w:t>
      </w:r>
      <w:r w:rsidRPr="002029AF">
        <w:rPr>
          <w:lang w:eastAsia="en-AU"/>
        </w:rPr>
        <w:t>only</w:t>
      </w:r>
      <w:r w:rsidR="000A5329" w:rsidRPr="002029AF">
        <w:rPr>
          <w:lang w:eastAsia="en-AU"/>
        </w:rPr>
        <w:t xml:space="preserve"> </w:t>
      </w:r>
      <w:r w:rsidRPr="002029AF">
        <w:rPr>
          <w:lang w:eastAsia="en-AU"/>
        </w:rPr>
        <w:t>able</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access</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allocate</w:t>
      </w:r>
      <w:r w:rsidR="000A5329" w:rsidRPr="002029AF">
        <w:rPr>
          <w:lang w:eastAsia="en-AU"/>
        </w:rPr>
        <w:t xml:space="preserve"> </w:t>
      </w:r>
      <w:r w:rsidRPr="002029AF">
        <w:rPr>
          <w:lang w:eastAsia="en-AU"/>
        </w:rPr>
        <w:t>depreciation</w:t>
      </w:r>
      <w:r w:rsidR="000A5329" w:rsidRPr="002029AF">
        <w:rPr>
          <w:lang w:eastAsia="en-AU"/>
        </w:rPr>
        <w:t xml:space="preserve"> </w:t>
      </w:r>
      <w:r w:rsidRPr="002029AF">
        <w:rPr>
          <w:lang w:eastAsia="en-AU"/>
        </w:rPr>
        <w:t>equivalent</w:t>
      </w:r>
      <w:r w:rsidR="000A5329" w:rsidRPr="002029AF">
        <w:rPr>
          <w:lang w:eastAsia="en-AU"/>
        </w:rPr>
        <w:t xml:space="preserve"> </w:t>
      </w:r>
      <w:r w:rsidRPr="002029AF">
        <w:rPr>
          <w:lang w:eastAsia="en-AU"/>
        </w:rPr>
        <w:t>funding</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on-pass</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health</w:t>
      </w:r>
      <w:r w:rsidR="000A5329" w:rsidRPr="002029AF">
        <w:rPr>
          <w:lang w:eastAsia="en-AU"/>
        </w:rPr>
        <w:t xml:space="preserve"> </w:t>
      </w:r>
      <w:r w:rsidRPr="002029AF">
        <w:rPr>
          <w:lang w:eastAsia="en-AU"/>
        </w:rPr>
        <w:t>services</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deliver</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government’s</w:t>
      </w:r>
      <w:r w:rsidR="000A5329" w:rsidRPr="002029AF">
        <w:rPr>
          <w:lang w:eastAsia="en-AU"/>
        </w:rPr>
        <w:t xml:space="preserve"> </w:t>
      </w:r>
      <w:r w:rsidRPr="002029AF">
        <w:rPr>
          <w:lang w:eastAsia="en-AU"/>
        </w:rPr>
        <w:t>approved</w:t>
      </w:r>
      <w:r w:rsidR="000A5329" w:rsidRPr="002029AF">
        <w:rPr>
          <w:lang w:eastAsia="en-AU"/>
        </w:rPr>
        <w:t xml:space="preserve"> </w:t>
      </w:r>
      <w:r w:rsidRPr="002029AF">
        <w:rPr>
          <w:lang w:eastAsia="en-AU"/>
        </w:rPr>
        <w:t>capital</w:t>
      </w:r>
      <w:r w:rsidR="000A5329" w:rsidRPr="002029AF">
        <w:rPr>
          <w:lang w:eastAsia="en-AU"/>
        </w:rPr>
        <w:t xml:space="preserve"> </w:t>
      </w:r>
      <w:r w:rsidRPr="002029AF">
        <w:rPr>
          <w:lang w:eastAsia="en-AU"/>
        </w:rPr>
        <w:t>program.</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depreciation-equivalent</w:t>
      </w:r>
      <w:r w:rsidR="000A5329" w:rsidRPr="002029AF">
        <w:rPr>
          <w:lang w:eastAsia="en-AU"/>
        </w:rPr>
        <w:t xml:space="preserve"> </w:t>
      </w:r>
      <w:r w:rsidRPr="002029AF">
        <w:rPr>
          <w:lang w:eastAsia="en-AU"/>
        </w:rPr>
        <w:t>revenue</w:t>
      </w:r>
      <w:r w:rsidR="000A5329" w:rsidRPr="002029AF">
        <w:rPr>
          <w:lang w:eastAsia="en-AU"/>
        </w:rPr>
        <w:t xml:space="preserve"> </w:t>
      </w:r>
      <w:r w:rsidRPr="002029AF">
        <w:rPr>
          <w:lang w:eastAsia="en-AU"/>
        </w:rPr>
        <w:t>that</w:t>
      </w:r>
      <w:r w:rsidR="000A5329" w:rsidRPr="002029AF">
        <w:rPr>
          <w:lang w:eastAsia="en-AU"/>
        </w:rPr>
        <w:t xml:space="preserve"> </w:t>
      </w:r>
      <w:r w:rsidRPr="002029AF">
        <w:rPr>
          <w:lang w:eastAsia="en-AU"/>
        </w:rPr>
        <w:t>is</w:t>
      </w:r>
      <w:r w:rsidR="000A5329" w:rsidRPr="002029AF">
        <w:rPr>
          <w:lang w:eastAsia="en-AU"/>
        </w:rPr>
        <w:t xml:space="preserve"> </w:t>
      </w:r>
      <w:r w:rsidRPr="002029AF">
        <w:rPr>
          <w:lang w:eastAsia="en-AU"/>
        </w:rPr>
        <w:t>not</w:t>
      </w:r>
      <w:r w:rsidR="000A5329" w:rsidRPr="002029AF">
        <w:rPr>
          <w:lang w:eastAsia="en-AU"/>
        </w:rPr>
        <w:t xml:space="preserve"> </w:t>
      </w:r>
      <w:r w:rsidRPr="002029AF">
        <w:rPr>
          <w:lang w:eastAsia="en-AU"/>
        </w:rPr>
        <w:t>able</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be</w:t>
      </w:r>
      <w:r w:rsidR="000A5329" w:rsidRPr="002029AF">
        <w:rPr>
          <w:lang w:eastAsia="en-AU"/>
        </w:rPr>
        <w:t xml:space="preserve"> </w:t>
      </w:r>
      <w:r w:rsidRPr="002029AF">
        <w:rPr>
          <w:lang w:eastAsia="en-AU"/>
        </w:rPr>
        <w:t>allocated</w:t>
      </w:r>
      <w:r w:rsidR="000A5329" w:rsidRPr="002029AF">
        <w:rPr>
          <w:lang w:eastAsia="en-AU"/>
        </w:rPr>
        <w:t xml:space="preserve"> </w:t>
      </w:r>
      <w:r w:rsidRPr="002029AF">
        <w:rPr>
          <w:lang w:eastAsia="en-AU"/>
        </w:rPr>
        <w:t>is</w:t>
      </w:r>
      <w:r w:rsidR="000A5329" w:rsidRPr="002029AF">
        <w:rPr>
          <w:lang w:eastAsia="en-AU"/>
        </w:rPr>
        <w:t xml:space="preserve"> </w:t>
      </w:r>
      <w:r w:rsidRPr="002029AF">
        <w:rPr>
          <w:lang w:eastAsia="en-AU"/>
        </w:rPr>
        <w:t>booked</w:t>
      </w:r>
      <w:r w:rsidR="000A5329" w:rsidRPr="002029AF">
        <w:rPr>
          <w:lang w:eastAsia="en-AU"/>
        </w:rPr>
        <w:t xml:space="preserve"> </w:t>
      </w:r>
      <w:r w:rsidRPr="002029AF">
        <w:rPr>
          <w:lang w:eastAsia="en-AU"/>
        </w:rPr>
        <w:t>as</w:t>
      </w:r>
      <w:r w:rsidR="000A5329" w:rsidRPr="002029AF">
        <w:rPr>
          <w:lang w:eastAsia="en-AU"/>
        </w:rPr>
        <w:t xml:space="preserve"> </w:t>
      </w:r>
      <w:r w:rsidRPr="002029AF">
        <w:rPr>
          <w:lang w:eastAsia="en-AU"/>
        </w:rPr>
        <w:t>a</w:t>
      </w:r>
      <w:r w:rsidR="000A5329" w:rsidRPr="002029AF">
        <w:rPr>
          <w:lang w:eastAsia="en-AU"/>
        </w:rPr>
        <w:t xml:space="preserve"> </w:t>
      </w:r>
      <w:r w:rsidRPr="002029AF">
        <w:rPr>
          <w:lang w:eastAsia="en-AU"/>
        </w:rPr>
        <w:t>receivable</w:t>
      </w:r>
      <w:r w:rsidR="000A5329" w:rsidRPr="002029AF">
        <w:rPr>
          <w:lang w:eastAsia="en-AU"/>
        </w:rPr>
        <w:t xml:space="preserve"> </w:t>
      </w:r>
      <w:r w:rsidRPr="002029AF">
        <w:rPr>
          <w:lang w:eastAsia="en-AU"/>
        </w:rPr>
        <w:t>from</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Victorian</w:t>
      </w:r>
      <w:r w:rsidR="000A5329" w:rsidRPr="002029AF">
        <w:rPr>
          <w:lang w:eastAsia="en-AU"/>
        </w:rPr>
        <w:t xml:space="preserve"> </w:t>
      </w:r>
      <w:r w:rsidRPr="002029AF">
        <w:rPr>
          <w:lang w:eastAsia="en-AU"/>
        </w:rPr>
        <w:t>Government</w:t>
      </w:r>
      <w:r w:rsidR="000A5329" w:rsidRPr="002029AF">
        <w:rPr>
          <w:lang w:eastAsia="en-AU"/>
        </w:rPr>
        <w:t xml:space="preserve"> </w:t>
      </w:r>
      <w:r w:rsidRPr="002029AF">
        <w:rPr>
          <w:lang w:eastAsia="en-AU"/>
        </w:rPr>
        <w:t>for</w:t>
      </w:r>
      <w:r w:rsidR="00AB0C69" w:rsidRPr="002029AF">
        <w:rPr>
          <w:lang w:eastAsia="en-AU"/>
        </w:rPr>
        <w:t> </w:t>
      </w:r>
      <w:r w:rsidRPr="002029AF">
        <w:rPr>
          <w:lang w:eastAsia="en-AU"/>
        </w:rPr>
        <w:t>application</w:t>
      </w:r>
      <w:r w:rsidR="000A5329" w:rsidRPr="002029AF">
        <w:rPr>
          <w:lang w:eastAsia="en-AU"/>
        </w:rPr>
        <w:t xml:space="preserve"> </w:t>
      </w:r>
      <w:r w:rsidRPr="002029AF">
        <w:rPr>
          <w:lang w:eastAsia="en-AU"/>
        </w:rPr>
        <w:t>towards</w:t>
      </w:r>
      <w:r w:rsidR="000A5329" w:rsidRPr="002029AF">
        <w:rPr>
          <w:lang w:eastAsia="en-AU"/>
        </w:rPr>
        <w:t xml:space="preserve"> </w:t>
      </w:r>
      <w:r w:rsidRPr="002029AF">
        <w:rPr>
          <w:lang w:eastAsia="en-AU"/>
        </w:rPr>
        <w:t>future</w:t>
      </w:r>
      <w:r w:rsidR="000A5329" w:rsidRPr="002029AF">
        <w:rPr>
          <w:lang w:eastAsia="en-AU"/>
        </w:rPr>
        <w:t xml:space="preserve"> </w:t>
      </w:r>
      <w:r w:rsidRPr="002029AF">
        <w:rPr>
          <w:lang w:eastAsia="en-AU"/>
        </w:rPr>
        <w:t>capital</w:t>
      </w:r>
      <w:r w:rsidR="000A5329" w:rsidRPr="002029AF">
        <w:rPr>
          <w:lang w:eastAsia="en-AU"/>
        </w:rPr>
        <w:t xml:space="preserve"> </w:t>
      </w:r>
      <w:r w:rsidRPr="002029AF">
        <w:rPr>
          <w:lang w:eastAsia="en-AU"/>
        </w:rPr>
        <w:t>program</w:t>
      </w:r>
      <w:r w:rsidR="000A5329" w:rsidRPr="002029AF">
        <w:rPr>
          <w:lang w:eastAsia="en-AU"/>
        </w:rPr>
        <w:t xml:space="preserve"> </w:t>
      </w:r>
      <w:r w:rsidRPr="002029AF">
        <w:rPr>
          <w:lang w:eastAsia="en-AU"/>
        </w:rPr>
        <w:t>expenditure.</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addition,</w:t>
      </w:r>
      <w:r w:rsidR="000A5329" w:rsidRPr="002029AF">
        <w:rPr>
          <w:lang w:eastAsia="en-AU"/>
        </w:rPr>
        <w:t xml:space="preserve"> </w:t>
      </w:r>
      <w:r w:rsidRPr="002029AF">
        <w:rPr>
          <w:lang w:eastAsia="en-AU"/>
        </w:rPr>
        <w:t>there</w:t>
      </w:r>
      <w:r w:rsidR="000A5329" w:rsidRPr="002029AF">
        <w:rPr>
          <w:lang w:eastAsia="en-AU"/>
        </w:rPr>
        <w:t xml:space="preserve"> </w:t>
      </w:r>
      <w:r w:rsidRPr="002029AF">
        <w:rPr>
          <w:lang w:eastAsia="en-AU"/>
        </w:rPr>
        <w:t>was</w:t>
      </w:r>
      <w:r w:rsidR="000A5329" w:rsidRPr="002029AF">
        <w:rPr>
          <w:lang w:eastAsia="en-AU"/>
        </w:rPr>
        <w:t xml:space="preserve"> </w:t>
      </w:r>
      <w:r w:rsidRPr="002029AF">
        <w:rPr>
          <w:lang w:eastAsia="en-AU"/>
        </w:rPr>
        <w:t>an</w:t>
      </w:r>
      <w:r w:rsidR="000A5329" w:rsidRPr="002029AF">
        <w:rPr>
          <w:lang w:eastAsia="en-AU"/>
        </w:rPr>
        <w:t xml:space="preserve"> </w:t>
      </w:r>
      <w:r w:rsidRPr="002029AF">
        <w:rPr>
          <w:lang w:eastAsia="en-AU"/>
        </w:rPr>
        <w:t>increase</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funding</w:t>
      </w:r>
      <w:r w:rsidR="000A5329" w:rsidRPr="002029AF">
        <w:rPr>
          <w:lang w:eastAsia="en-AU"/>
        </w:rPr>
        <w:t xml:space="preserve"> </w:t>
      </w:r>
      <w:r w:rsidRPr="002029AF">
        <w:rPr>
          <w:lang w:eastAsia="en-AU"/>
        </w:rPr>
        <w:t>for</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implementation</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policy</w:t>
      </w:r>
      <w:r w:rsidR="000A5329" w:rsidRPr="002029AF">
        <w:rPr>
          <w:lang w:eastAsia="en-AU"/>
        </w:rPr>
        <w:t xml:space="preserve"> </w:t>
      </w:r>
      <w:r w:rsidRPr="002029AF">
        <w:rPr>
          <w:lang w:eastAsia="en-AU"/>
        </w:rPr>
        <w:t>initiatives</w:t>
      </w:r>
      <w:r w:rsidR="000A5329" w:rsidRPr="002029AF">
        <w:rPr>
          <w:lang w:eastAsia="en-AU"/>
        </w:rPr>
        <w:t xml:space="preserve"> </w:t>
      </w:r>
      <w:r w:rsidRPr="002029AF">
        <w:rPr>
          <w:lang w:eastAsia="en-AU"/>
        </w:rPr>
        <w:t>announced</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201</w:t>
      </w:r>
      <w:r w:rsidR="00DB53E6" w:rsidRPr="002029AF">
        <w:rPr>
          <w:lang w:eastAsia="en-AU"/>
        </w:rPr>
        <w:t>9–</w:t>
      </w:r>
      <w:r w:rsidRPr="002029AF">
        <w:rPr>
          <w:lang w:eastAsia="en-AU"/>
        </w:rPr>
        <w:t>20</w:t>
      </w:r>
      <w:r w:rsidR="000A5329" w:rsidRPr="002029AF">
        <w:rPr>
          <w:lang w:eastAsia="en-AU"/>
        </w:rPr>
        <w:t xml:space="preserve"> </w:t>
      </w:r>
      <w:r w:rsidRPr="002029AF">
        <w:rPr>
          <w:lang w:eastAsia="en-AU"/>
        </w:rPr>
        <w:t>Budget,</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additional</w:t>
      </w:r>
      <w:r w:rsidR="000A5329" w:rsidRPr="002029AF">
        <w:rPr>
          <w:lang w:eastAsia="en-AU"/>
        </w:rPr>
        <w:t xml:space="preserve"> </w:t>
      </w:r>
      <w:r w:rsidRPr="002029AF">
        <w:rPr>
          <w:lang w:eastAsia="en-AU"/>
        </w:rPr>
        <w:t>Treasurer’s</w:t>
      </w:r>
      <w:r w:rsidR="000A5329" w:rsidRPr="002029AF">
        <w:rPr>
          <w:lang w:eastAsia="en-AU"/>
        </w:rPr>
        <w:t xml:space="preserve"> </w:t>
      </w:r>
      <w:r w:rsidRPr="002029AF">
        <w:rPr>
          <w:lang w:eastAsia="en-AU"/>
        </w:rPr>
        <w:t>advances</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Commonwealth</w:t>
      </w:r>
      <w:r w:rsidR="000A5329" w:rsidRPr="002029AF">
        <w:rPr>
          <w:lang w:eastAsia="en-AU"/>
        </w:rPr>
        <w:t xml:space="preserve"> </w:t>
      </w:r>
      <w:r w:rsidRPr="002029AF">
        <w:rPr>
          <w:lang w:eastAsia="en-AU"/>
        </w:rPr>
        <w:t>funding</w:t>
      </w:r>
      <w:r w:rsidR="000A5329" w:rsidRPr="002029AF">
        <w:rPr>
          <w:lang w:eastAsia="en-AU"/>
        </w:rPr>
        <w:t xml:space="preserve"> </w:t>
      </w:r>
      <w:r w:rsidRPr="002029AF">
        <w:rPr>
          <w:lang w:eastAsia="en-AU"/>
        </w:rPr>
        <w:t>due</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coronavirus</w:t>
      </w:r>
      <w:r w:rsidR="000A5329" w:rsidRPr="002029AF">
        <w:rPr>
          <w:lang w:eastAsia="en-AU"/>
        </w:rPr>
        <w:t xml:space="preserve"> </w:t>
      </w:r>
      <w:r w:rsidRPr="002029AF">
        <w:rPr>
          <w:lang w:eastAsia="en-AU"/>
        </w:rPr>
        <w:t>(COVID-19)</w:t>
      </w:r>
      <w:r w:rsidR="000A5329" w:rsidRPr="002029AF">
        <w:rPr>
          <w:lang w:eastAsia="en-AU"/>
        </w:rPr>
        <w:t xml:space="preserve"> </w:t>
      </w:r>
      <w:r w:rsidRPr="002029AF">
        <w:rPr>
          <w:lang w:eastAsia="en-AU"/>
        </w:rPr>
        <w:t>pandemic.</w:t>
      </w:r>
    </w:p>
    <w:p w14:paraId="597CEFD8" w14:textId="47750CA9" w:rsidR="0006497B" w:rsidRPr="002029AF" w:rsidRDefault="0006497B" w:rsidP="0006497B">
      <w:pPr>
        <w:pStyle w:val="ARbody"/>
      </w:pPr>
      <w:r w:rsidRPr="002029AF">
        <w:rPr>
          <w:lang w:eastAsia="en-AU"/>
        </w:rPr>
        <w:t>The</w:t>
      </w:r>
      <w:r w:rsidR="000A5329" w:rsidRPr="002029AF">
        <w:rPr>
          <w:lang w:eastAsia="en-AU"/>
        </w:rPr>
        <w:t xml:space="preserve"> </w:t>
      </w:r>
      <w:r w:rsidRPr="002029AF">
        <w:rPr>
          <w:lang w:eastAsia="en-AU"/>
        </w:rPr>
        <w:t>Director</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Housing</w:t>
      </w:r>
      <w:r w:rsidR="000A5329" w:rsidRPr="002029AF">
        <w:rPr>
          <w:lang w:eastAsia="en-AU"/>
        </w:rPr>
        <w:t xml:space="preserve"> </w:t>
      </w:r>
      <w:r w:rsidRPr="002029AF">
        <w:rPr>
          <w:lang w:eastAsia="en-AU"/>
        </w:rPr>
        <w:t>entity</w:t>
      </w:r>
      <w:r w:rsidR="000A5329" w:rsidRPr="002029AF">
        <w:rPr>
          <w:lang w:eastAsia="en-AU"/>
        </w:rPr>
        <w:t xml:space="preserve"> </w:t>
      </w:r>
      <w:r w:rsidRPr="002029AF">
        <w:rPr>
          <w:lang w:eastAsia="en-AU"/>
        </w:rPr>
        <w:t>recorded</w:t>
      </w:r>
      <w:r w:rsidR="000A5329" w:rsidRPr="002029AF">
        <w:rPr>
          <w:lang w:eastAsia="en-AU"/>
        </w:rPr>
        <w:t xml:space="preserve"> </w:t>
      </w:r>
      <w:r w:rsidRPr="002029AF">
        <w:rPr>
          <w:lang w:eastAsia="en-AU"/>
        </w:rPr>
        <w:t>a</w:t>
      </w:r>
      <w:r w:rsidR="000A5329" w:rsidRPr="002029AF">
        <w:rPr>
          <w:lang w:eastAsia="en-AU"/>
        </w:rPr>
        <w:t xml:space="preserve"> </w:t>
      </w:r>
      <w:r w:rsidRPr="002029AF">
        <w:rPr>
          <w:lang w:eastAsia="en-AU"/>
        </w:rPr>
        <w:t>$189.2</w:t>
      </w:r>
      <w:r w:rsidR="000A5329" w:rsidRPr="002029AF">
        <w:rPr>
          <w:lang w:eastAsia="en-AU"/>
        </w:rPr>
        <w:t xml:space="preserve"> </w:t>
      </w:r>
      <w:r w:rsidRPr="002029AF">
        <w:rPr>
          <w:lang w:eastAsia="en-AU"/>
        </w:rPr>
        <w:t>million</w:t>
      </w:r>
      <w:r w:rsidR="000A5329" w:rsidRPr="002029AF">
        <w:rPr>
          <w:lang w:eastAsia="en-AU"/>
        </w:rPr>
        <w:t xml:space="preserve"> </w:t>
      </w:r>
      <w:r w:rsidRPr="002029AF">
        <w:rPr>
          <w:lang w:eastAsia="en-AU"/>
        </w:rPr>
        <w:t>deficit,</w:t>
      </w:r>
      <w:r w:rsidR="000A5329" w:rsidRPr="002029AF">
        <w:rPr>
          <w:lang w:eastAsia="en-AU"/>
        </w:rPr>
        <w:t xml:space="preserve"> </w:t>
      </w:r>
      <w:r w:rsidRPr="002029AF">
        <w:rPr>
          <w:lang w:eastAsia="en-AU"/>
        </w:rPr>
        <w:t>which</w:t>
      </w:r>
      <w:r w:rsidR="000A5329" w:rsidRPr="002029AF">
        <w:rPr>
          <w:lang w:eastAsia="en-AU"/>
        </w:rPr>
        <w:t xml:space="preserve"> </w:t>
      </w:r>
      <w:r w:rsidRPr="002029AF">
        <w:rPr>
          <w:lang w:eastAsia="en-AU"/>
        </w:rPr>
        <w:t>is</w:t>
      </w:r>
      <w:r w:rsidR="000A5329" w:rsidRPr="002029AF">
        <w:rPr>
          <w:lang w:eastAsia="en-AU"/>
        </w:rPr>
        <w:t xml:space="preserve"> </w:t>
      </w:r>
      <w:r w:rsidRPr="002029AF">
        <w:rPr>
          <w:lang w:eastAsia="en-AU"/>
        </w:rPr>
        <w:t>a</w:t>
      </w:r>
      <w:r w:rsidR="000A5329" w:rsidRPr="002029AF">
        <w:rPr>
          <w:lang w:eastAsia="en-AU"/>
        </w:rPr>
        <w:t xml:space="preserve"> </w:t>
      </w:r>
      <w:r w:rsidRPr="002029AF">
        <w:rPr>
          <w:lang w:eastAsia="en-AU"/>
        </w:rPr>
        <w:t>decrease</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$70.3</w:t>
      </w:r>
      <w:r w:rsidR="000A5329" w:rsidRPr="002029AF">
        <w:rPr>
          <w:lang w:eastAsia="en-AU"/>
        </w:rPr>
        <w:t xml:space="preserve"> </w:t>
      </w:r>
      <w:r w:rsidRPr="002029AF">
        <w:rPr>
          <w:lang w:eastAsia="en-AU"/>
        </w:rPr>
        <w:t>million</w:t>
      </w:r>
      <w:r w:rsidR="000A5329" w:rsidRPr="002029AF">
        <w:rPr>
          <w:lang w:eastAsia="en-AU"/>
        </w:rPr>
        <w:t xml:space="preserve"> </w:t>
      </w:r>
      <w:r w:rsidRPr="002029AF">
        <w:rPr>
          <w:lang w:eastAsia="en-AU"/>
        </w:rPr>
        <w:t>compared</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last</w:t>
      </w:r>
      <w:r w:rsidR="000A5329" w:rsidRPr="002029AF">
        <w:rPr>
          <w:lang w:eastAsia="en-AU"/>
        </w:rPr>
        <w:t xml:space="preserve"> </w:t>
      </w:r>
      <w:r w:rsidRPr="002029AF">
        <w:rPr>
          <w:lang w:eastAsia="en-AU"/>
        </w:rPr>
        <w:t>year.</w:t>
      </w:r>
      <w:r w:rsidR="000A5329" w:rsidRPr="002029AF">
        <w:rPr>
          <w:lang w:eastAsia="en-AU"/>
        </w:rPr>
        <w:t xml:space="preserve"> </w:t>
      </w:r>
      <w:r w:rsidRPr="002029AF">
        <w:rPr>
          <w:lang w:eastAsia="en-AU"/>
        </w:rPr>
        <w:t>This</w:t>
      </w:r>
      <w:r w:rsidR="000A5329" w:rsidRPr="002029AF">
        <w:rPr>
          <w:lang w:eastAsia="en-AU"/>
        </w:rPr>
        <w:t xml:space="preserve"> </w:t>
      </w:r>
      <w:r w:rsidRPr="002029AF">
        <w:rPr>
          <w:lang w:eastAsia="en-AU"/>
        </w:rPr>
        <w:t>deficit</w:t>
      </w:r>
      <w:r w:rsidR="000A5329" w:rsidRPr="002029AF">
        <w:rPr>
          <w:lang w:eastAsia="en-AU"/>
        </w:rPr>
        <w:t xml:space="preserve"> </w:t>
      </w:r>
      <w:r w:rsidRPr="002029AF">
        <w:rPr>
          <w:lang w:eastAsia="en-AU"/>
        </w:rPr>
        <w:t>is</w:t>
      </w:r>
      <w:r w:rsidR="000A5329" w:rsidRPr="002029AF">
        <w:rPr>
          <w:lang w:eastAsia="en-AU"/>
        </w:rPr>
        <w:t xml:space="preserve"> </w:t>
      </w:r>
      <w:r w:rsidRPr="002029AF">
        <w:rPr>
          <w:lang w:eastAsia="en-AU"/>
        </w:rPr>
        <w:t>mainly</w:t>
      </w:r>
      <w:r w:rsidR="000A5329" w:rsidRPr="002029AF">
        <w:rPr>
          <w:lang w:eastAsia="en-AU"/>
        </w:rPr>
        <w:t xml:space="preserve"> </w:t>
      </w:r>
      <w:r w:rsidRPr="002029AF">
        <w:rPr>
          <w:lang w:eastAsia="en-AU"/>
        </w:rPr>
        <w:t>due</w:t>
      </w:r>
      <w:r w:rsidR="000A5329" w:rsidRPr="002029AF">
        <w:rPr>
          <w:lang w:eastAsia="en-AU"/>
        </w:rPr>
        <w:t xml:space="preserve"> </w:t>
      </w:r>
      <w:r w:rsidRPr="002029AF">
        <w:rPr>
          <w:lang w:eastAsia="en-AU"/>
        </w:rPr>
        <w:t>to</w:t>
      </w:r>
      <w:r w:rsidR="00AB0C69" w:rsidRPr="002029AF">
        <w:rPr>
          <w:lang w:eastAsia="en-AU"/>
        </w:rPr>
        <w:t> </w:t>
      </w:r>
      <w:r w:rsidRPr="002029AF">
        <w:rPr>
          <w:lang w:eastAsia="en-AU"/>
        </w:rPr>
        <w:t>a</w:t>
      </w:r>
      <w:r w:rsidRPr="002029AF">
        <w:t>n</w:t>
      </w:r>
      <w:r w:rsidR="000A5329" w:rsidRPr="002029AF">
        <w:t xml:space="preserve"> </w:t>
      </w:r>
      <w:r w:rsidRPr="002029AF">
        <w:t>increase</w:t>
      </w:r>
      <w:r w:rsidR="000A5329" w:rsidRPr="002029AF">
        <w:t xml:space="preserve"> </w:t>
      </w:r>
      <w:r w:rsidRPr="002029AF">
        <w:t>in</w:t>
      </w:r>
      <w:r w:rsidR="000A5329" w:rsidRPr="002029AF">
        <w:t xml:space="preserve"> </w:t>
      </w:r>
      <w:r w:rsidRPr="002029AF">
        <w:t>depreciation</w:t>
      </w:r>
      <w:r w:rsidR="000A5329" w:rsidRPr="002029AF">
        <w:t xml:space="preserve"> </w:t>
      </w:r>
      <w:r w:rsidRPr="002029AF">
        <w:t>of</w:t>
      </w:r>
      <w:r w:rsidR="000A5329" w:rsidRPr="002029AF">
        <w:t xml:space="preserve"> </w:t>
      </w:r>
      <w:r w:rsidRPr="002029AF">
        <w:t>$53.8</w:t>
      </w:r>
      <w:r w:rsidR="000A5329" w:rsidRPr="002029AF">
        <w:t xml:space="preserve"> </w:t>
      </w:r>
      <w:r w:rsidRPr="002029AF">
        <w:t>million</w:t>
      </w:r>
      <w:r w:rsidR="000A5329" w:rsidRPr="002029AF">
        <w:t xml:space="preserve"> </w:t>
      </w:r>
      <w:r w:rsidRPr="002029AF">
        <w:t>compared</w:t>
      </w:r>
      <w:r w:rsidR="000A5329" w:rsidRPr="002029AF">
        <w:t xml:space="preserve"> </w:t>
      </w:r>
      <w:r w:rsidRPr="002029AF">
        <w:t>to</w:t>
      </w:r>
      <w:r w:rsidR="000A5329" w:rsidRPr="002029AF">
        <w:t xml:space="preserve"> </w:t>
      </w:r>
      <w:r w:rsidRPr="002029AF">
        <w:t>last</w:t>
      </w:r>
      <w:r w:rsidR="000A5329" w:rsidRPr="002029AF">
        <w:t xml:space="preserve"> </w:t>
      </w:r>
      <w:r w:rsidRPr="002029AF">
        <w:t>year</w:t>
      </w:r>
      <w:r w:rsidR="000A5329" w:rsidRPr="002029AF">
        <w:t xml:space="preserve"> </w:t>
      </w:r>
      <w:r w:rsidRPr="002029AF">
        <w:t>mainly</w:t>
      </w:r>
      <w:r w:rsidR="000A5329" w:rsidRPr="002029AF">
        <w:t xml:space="preserve"> </w:t>
      </w:r>
      <w:r w:rsidRPr="002029AF">
        <w:t>caused</w:t>
      </w:r>
      <w:r w:rsidR="000A5329" w:rsidRPr="002029AF">
        <w:t xml:space="preserve"> </w:t>
      </w:r>
      <w:r w:rsidRPr="002029AF">
        <w:t>by</w:t>
      </w:r>
      <w:r w:rsidR="000A5329" w:rsidRPr="002029AF">
        <w:t xml:space="preserve"> </w:t>
      </w:r>
      <w:r w:rsidRPr="002029AF">
        <w:t>the</w:t>
      </w:r>
      <w:r w:rsidR="000A5329" w:rsidRPr="002029AF">
        <w:t xml:space="preserve"> </w:t>
      </w:r>
      <w:r w:rsidRPr="002029AF">
        <w:t>accelerated</w:t>
      </w:r>
      <w:r w:rsidR="000A5329" w:rsidRPr="002029AF">
        <w:t xml:space="preserve"> </w:t>
      </w:r>
      <w:r w:rsidRPr="002029AF">
        <w:t>depreciation</w:t>
      </w:r>
      <w:r w:rsidR="000A5329" w:rsidRPr="002029AF">
        <w:t xml:space="preserve"> </w:t>
      </w:r>
      <w:r w:rsidRPr="002029AF">
        <w:t>resulting</w:t>
      </w:r>
      <w:r w:rsidR="000A5329" w:rsidRPr="002029AF">
        <w:t xml:space="preserve"> </w:t>
      </w:r>
      <w:r w:rsidRPr="002029AF">
        <w:t>from</w:t>
      </w:r>
      <w:r w:rsidR="000A5329" w:rsidRPr="002029AF">
        <w:t xml:space="preserve"> </w:t>
      </w:r>
      <w:r w:rsidRPr="002029AF">
        <w:t>the</w:t>
      </w:r>
      <w:r w:rsidR="000A5329" w:rsidRPr="002029AF">
        <w:t xml:space="preserve"> </w:t>
      </w:r>
      <w:r w:rsidRPr="002029AF">
        <w:t>Public</w:t>
      </w:r>
      <w:r w:rsidR="000A5329" w:rsidRPr="002029AF">
        <w:t xml:space="preserve"> </w:t>
      </w:r>
      <w:r w:rsidRPr="002029AF">
        <w:t>Housing</w:t>
      </w:r>
      <w:r w:rsidR="000A5329" w:rsidRPr="002029AF">
        <w:t xml:space="preserve"> </w:t>
      </w:r>
      <w:r w:rsidRPr="002029AF">
        <w:t>Renewal</w:t>
      </w:r>
      <w:r w:rsidR="000A5329" w:rsidRPr="002029AF">
        <w:t xml:space="preserve"> </w:t>
      </w:r>
      <w:r w:rsidRPr="002029AF">
        <w:t>Program</w:t>
      </w:r>
      <w:r w:rsidR="000A5329" w:rsidRPr="002029AF">
        <w:t xml:space="preserve"> </w:t>
      </w:r>
      <w:r w:rsidRPr="002029AF">
        <w:t>demolitions,</w:t>
      </w:r>
      <w:r w:rsidR="000A5329" w:rsidRPr="002029AF">
        <w:t xml:space="preserve"> </w:t>
      </w:r>
      <w:r w:rsidRPr="002029AF">
        <w:t>and</w:t>
      </w:r>
      <w:r w:rsidR="000A5329" w:rsidRPr="002029AF">
        <w:t xml:space="preserve"> </w:t>
      </w:r>
      <w:r w:rsidRPr="002029AF">
        <w:t>a</w:t>
      </w:r>
      <w:r w:rsidR="000A5329" w:rsidRPr="002029AF">
        <w:t xml:space="preserve"> </w:t>
      </w:r>
      <w:r w:rsidRPr="002029AF">
        <w:t>$5.5</w:t>
      </w:r>
      <w:r w:rsidR="00AB0C69" w:rsidRPr="002029AF">
        <w:t> </w:t>
      </w:r>
      <w:r w:rsidRPr="002029AF">
        <w:t>million</w:t>
      </w:r>
      <w:r w:rsidR="000A5329" w:rsidRPr="002029AF">
        <w:t xml:space="preserve"> </w:t>
      </w:r>
      <w:r w:rsidRPr="002029AF">
        <w:t>increase</w:t>
      </w:r>
      <w:r w:rsidR="000A5329" w:rsidRPr="002029AF">
        <w:t xml:space="preserve"> </w:t>
      </w:r>
      <w:r w:rsidRPr="002029AF">
        <w:t>in</w:t>
      </w:r>
      <w:r w:rsidR="000A5329" w:rsidRPr="002029AF">
        <w:t xml:space="preserve"> </w:t>
      </w:r>
      <w:r w:rsidRPr="002029AF">
        <w:t>maintenance</w:t>
      </w:r>
      <w:r w:rsidR="000A5329" w:rsidRPr="002029AF">
        <w:t xml:space="preserve"> </w:t>
      </w:r>
      <w:r w:rsidRPr="002029AF">
        <w:t>expenditure,</w:t>
      </w:r>
      <w:r w:rsidR="000A5329" w:rsidRPr="002029AF">
        <w:t xml:space="preserve"> </w:t>
      </w:r>
      <w:r w:rsidRPr="002029AF">
        <w:t>largely</w:t>
      </w:r>
      <w:r w:rsidR="000A5329" w:rsidRPr="002029AF">
        <w:t xml:space="preserve"> </w:t>
      </w:r>
      <w:r w:rsidRPr="002029AF">
        <w:t>caused</w:t>
      </w:r>
      <w:r w:rsidR="000A5329" w:rsidRPr="002029AF">
        <w:t xml:space="preserve"> </w:t>
      </w:r>
      <w:r w:rsidRPr="002029AF">
        <w:t>by</w:t>
      </w:r>
      <w:r w:rsidR="000A5329" w:rsidRPr="002029AF">
        <w:t xml:space="preserve"> </w:t>
      </w:r>
      <w:r w:rsidRPr="002029AF">
        <w:t>the</w:t>
      </w:r>
      <w:r w:rsidR="000A5329" w:rsidRPr="002029AF">
        <w:t xml:space="preserve"> </w:t>
      </w:r>
      <w:r w:rsidRPr="002029AF">
        <w:t>gas</w:t>
      </w:r>
      <w:r w:rsidR="000A5329" w:rsidRPr="002029AF">
        <w:t xml:space="preserve"> </w:t>
      </w:r>
      <w:r w:rsidRPr="002029AF">
        <w:t>heater</w:t>
      </w:r>
      <w:r w:rsidR="000A5329" w:rsidRPr="002029AF">
        <w:t xml:space="preserve"> </w:t>
      </w:r>
      <w:r w:rsidRPr="002029AF">
        <w:t>replacement</w:t>
      </w:r>
      <w:r w:rsidR="000A5329" w:rsidRPr="002029AF">
        <w:t xml:space="preserve"> </w:t>
      </w:r>
      <w:r w:rsidRPr="002029AF">
        <w:t>regime</w:t>
      </w:r>
      <w:r w:rsidR="000A5329" w:rsidRPr="002029AF">
        <w:t xml:space="preserve"> </w:t>
      </w:r>
      <w:r w:rsidRPr="002029AF">
        <w:t>in</w:t>
      </w:r>
      <w:r w:rsidR="000A5329" w:rsidRPr="002029AF">
        <w:t xml:space="preserve"> </w:t>
      </w:r>
      <w:r w:rsidRPr="002029AF">
        <w:t>properties</w:t>
      </w:r>
      <w:r w:rsidR="000A5329" w:rsidRPr="002029AF">
        <w:t xml:space="preserve"> </w:t>
      </w:r>
      <w:r w:rsidRPr="002029AF">
        <w:t>owned</w:t>
      </w:r>
      <w:r w:rsidR="000A5329" w:rsidRPr="002029AF">
        <w:t xml:space="preserve"> </w:t>
      </w:r>
      <w:r w:rsidRPr="002029AF">
        <w:t>by</w:t>
      </w:r>
      <w:r w:rsidR="000A5329" w:rsidRPr="002029AF">
        <w:t xml:space="preserve"> </w:t>
      </w:r>
      <w:r w:rsidRPr="002029AF">
        <w:t>the</w:t>
      </w:r>
      <w:r w:rsidR="000A5329" w:rsidRPr="002029AF">
        <w:t xml:space="preserve"> </w:t>
      </w:r>
      <w:r w:rsidRPr="002029AF">
        <w:t>Director</w:t>
      </w:r>
      <w:r w:rsidR="000A5329" w:rsidRPr="002029AF">
        <w:t xml:space="preserve"> </w:t>
      </w:r>
      <w:r w:rsidRPr="002029AF">
        <w:t>of</w:t>
      </w:r>
      <w:r w:rsidR="000A5329" w:rsidRPr="002029AF">
        <w:t xml:space="preserve"> </w:t>
      </w:r>
      <w:r w:rsidRPr="002029AF">
        <w:t>Housing.</w:t>
      </w:r>
    </w:p>
    <w:p w14:paraId="290A0504" w14:textId="3D45098C" w:rsidR="0006497B" w:rsidRPr="002029AF" w:rsidRDefault="00866845" w:rsidP="00860E95">
      <w:pPr>
        <w:pStyle w:val="Heading3"/>
        <w:spacing w:before="0"/>
      </w:pPr>
      <w:r w:rsidRPr="002029AF">
        <w:br w:type="column"/>
      </w:r>
      <w:r w:rsidR="0006497B" w:rsidRPr="002029AF">
        <w:t>Financial</w:t>
      </w:r>
      <w:r w:rsidR="000A5329" w:rsidRPr="002029AF">
        <w:t xml:space="preserve"> </w:t>
      </w:r>
      <w:r w:rsidR="0006497B" w:rsidRPr="002029AF">
        <w:t>position</w:t>
      </w:r>
      <w:r w:rsidR="000A5329" w:rsidRPr="002029AF">
        <w:t xml:space="preserve"> </w:t>
      </w:r>
      <w:r w:rsidR="0006497B" w:rsidRPr="002029AF">
        <w:t>–</w:t>
      </w:r>
      <w:r w:rsidR="000A5329" w:rsidRPr="002029AF">
        <w:t xml:space="preserve"> </w:t>
      </w:r>
      <w:r w:rsidR="0006497B" w:rsidRPr="002029AF">
        <w:t>balance</w:t>
      </w:r>
      <w:r w:rsidR="000A5329" w:rsidRPr="002029AF">
        <w:t xml:space="preserve"> </w:t>
      </w:r>
      <w:r w:rsidR="0006497B" w:rsidRPr="002029AF">
        <w:t>sheet</w:t>
      </w:r>
    </w:p>
    <w:p w14:paraId="006F323D" w14:textId="1A679FDA" w:rsidR="0006497B" w:rsidRPr="002029AF" w:rsidRDefault="0006497B" w:rsidP="0006497B">
      <w:pPr>
        <w:pStyle w:val="ARbody"/>
        <w:rPr>
          <w:lang w:eastAsia="en-AU"/>
        </w:rPr>
      </w:pPr>
      <w:r w:rsidRPr="002029AF">
        <w:rPr>
          <w:lang w:eastAsia="en-AU"/>
        </w:rPr>
        <w:t>Total</w:t>
      </w:r>
      <w:r w:rsidR="000A5329" w:rsidRPr="002029AF">
        <w:rPr>
          <w:lang w:eastAsia="en-AU"/>
        </w:rPr>
        <w:t xml:space="preserve"> </w:t>
      </w:r>
      <w:r w:rsidRPr="002029AF">
        <w:rPr>
          <w:lang w:eastAsia="en-AU"/>
        </w:rPr>
        <w:t>assets</w:t>
      </w:r>
      <w:r w:rsidR="000A5329" w:rsidRPr="002029AF">
        <w:rPr>
          <w:lang w:eastAsia="en-AU"/>
        </w:rPr>
        <w:t xml:space="preserve"> </w:t>
      </w:r>
      <w:r w:rsidRPr="002029AF">
        <w:rPr>
          <w:lang w:eastAsia="en-AU"/>
        </w:rPr>
        <w:t>have</w:t>
      </w:r>
      <w:r w:rsidR="000A5329" w:rsidRPr="002029AF">
        <w:rPr>
          <w:lang w:eastAsia="en-AU"/>
        </w:rPr>
        <w:t xml:space="preserve"> </w:t>
      </w:r>
      <w:r w:rsidRPr="002029AF">
        <w:rPr>
          <w:lang w:eastAsia="en-AU"/>
        </w:rPr>
        <w:t>increased</w:t>
      </w:r>
      <w:r w:rsidR="000A5329" w:rsidRPr="002029AF">
        <w:rPr>
          <w:lang w:eastAsia="en-AU"/>
        </w:rPr>
        <w:t xml:space="preserve"> </w:t>
      </w:r>
      <w:r w:rsidRPr="002029AF">
        <w:rPr>
          <w:lang w:eastAsia="en-AU"/>
        </w:rPr>
        <w:t>by</w:t>
      </w:r>
      <w:r w:rsidR="000A5329" w:rsidRPr="002029AF">
        <w:rPr>
          <w:lang w:eastAsia="en-AU"/>
        </w:rPr>
        <w:t xml:space="preserve"> </w:t>
      </w:r>
      <w:r w:rsidRPr="002029AF">
        <w:rPr>
          <w:lang w:eastAsia="en-AU"/>
        </w:rPr>
        <w:t>$1.5</w:t>
      </w:r>
      <w:r w:rsidR="000A5329" w:rsidRPr="002029AF">
        <w:rPr>
          <w:lang w:eastAsia="en-AU"/>
        </w:rPr>
        <w:t xml:space="preserve"> </w:t>
      </w:r>
      <w:r w:rsidRPr="002029AF">
        <w:rPr>
          <w:lang w:eastAsia="en-AU"/>
        </w:rPr>
        <w:t>billion</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201</w:t>
      </w:r>
      <w:r w:rsidR="00DB53E6" w:rsidRPr="002029AF">
        <w:rPr>
          <w:lang w:eastAsia="en-AU"/>
        </w:rPr>
        <w:t>9–</w:t>
      </w:r>
      <w:r w:rsidRPr="002029AF">
        <w:rPr>
          <w:lang w:eastAsia="en-AU"/>
        </w:rPr>
        <w:t>20</w:t>
      </w:r>
      <w:r w:rsidR="000A5329" w:rsidRPr="002029AF">
        <w:rPr>
          <w:lang w:eastAsia="en-AU"/>
        </w:rPr>
        <w:t xml:space="preserve"> </w:t>
      </w:r>
      <w:r w:rsidRPr="002029AF">
        <w:rPr>
          <w:lang w:eastAsia="en-AU"/>
        </w:rPr>
        <w:t>compared</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last</w:t>
      </w:r>
      <w:r w:rsidR="000A5329" w:rsidRPr="002029AF">
        <w:rPr>
          <w:lang w:eastAsia="en-AU"/>
        </w:rPr>
        <w:t xml:space="preserve"> </w:t>
      </w:r>
      <w:r w:rsidRPr="002029AF">
        <w:rPr>
          <w:lang w:eastAsia="en-AU"/>
        </w:rPr>
        <w:t>year,</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are</w:t>
      </w:r>
      <w:r w:rsidR="000A5329" w:rsidRPr="002029AF">
        <w:rPr>
          <w:lang w:eastAsia="en-AU"/>
        </w:rPr>
        <w:t xml:space="preserve"> </w:t>
      </w:r>
      <w:r w:rsidRPr="002029AF">
        <w:rPr>
          <w:lang w:eastAsia="en-AU"/>
        </w:rPr>
        <w:t>mostly</w:t>
      </w:r>
      <w:r w:rsidR="000A5329" w:rsidRPr="002029AF">
        <w:rPr>
          <w:lang w:eastAsia="en-AU"/>
        </w:rPr>
        <w:t xml:space="preserve"> </w:t>
      </w:r>
      <w:r w:rsidRPr="002029AF">
        <w:rPr>
          <w:lang w:eastAsia="en-AU"/>
        </w:rPr>
        <w:t>attributed</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increase</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receivables,</w:t>
      </w:r>
      <w:r w:rsidR="000A5329" w:rsidRPr="002029AF">
        <w:rPr>
          <w:lang w:eastAsia="en-AU"/>
        </w:rPr>
        <w:t xml:space="preserve"> </w:t>
      </w:r>
      <w:r w:rsidRPr="002029AF">
        <w:rPr>
          <w:lang w:eastAsia="en-AU"/>
        </w:rPr>
        <w:t>inventory</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prepayments</w:t>
      </w:r>
      <w:r w:rsidR="000A5329" w:rsidRPr="002029AF">
        <w:rPr>
          <w:lang w:eastAsia="en-AU"/>
        </w:rPr>
        <w:t xml:space="preserve"> </w:t>
      </w:r>
      <w:r w:rsidRPr="002029AF">
        <w:rPr>
          <w:lang w:eastAsia="en-AU"/>
        </w:rPr>
        <w:t>which</w:t>
      </w:r>
      <w:r w:rsidR="000A5329" w:rsidRPr="002029AF">
        <w:rPr>
          <w:lang w:eastAsia="en-AU"/>
        </w:rPr>
        <w:t xml:space="preserve"> </w:t>
      </w:r>
      <w:r w:rsidRPr="002029AF">
        <w:rPr>
          <w:lang w:eastAsia="en-AU"/>
        </w:rPr>
        <w:t>are</w:t>
      </w:r>
      <w:r w:rsidR="000A5329" w:rsidRPr="002029AF">
        <w:rPr>
          <w:lang w:eastAsia="en-AU"/>
        </w:rPr>
        <w:t xml:space="preserve"> </w:t>
      </w:r>
      <w:r w:rsidRPr="002029AF">
        <w:rPr>
          <w:lang w:eastAsia="en-AU"/>
        </w:rPr>
        <w:t>related</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coronavirus</w:t>
      </w:r>
      <w:r w:rsidR="000A5329" w:rsidRPr="002029AF">
        <w:rPr>
          <w:lang w:eastAsia="en-AU"/>
        </w:rPr>
        <w:t xml:space="preserve"> </w:t>
      </w:r>
      <w:r w:rsidRPr="002029AF">
        <w:rPr>
          <w:lang w:eastAsia="en-AU"/>
        </w:rPr>
        <w:t>(COVID-19)</w:t>
      </w:r>
      <w:r w:rsidR="000A5329" w:rsidRPr="002029AF">
        <w:rPr>
          <w:lang w:eastAsia="en-AU"/>
        </w:rPr>
        <w:t xml:space="preserve"> </w:t>
      </w:r>
      <w:r w:rsidRPr="002029AF">
        <w:rPr>
          <w:lang w:eastAsia="en-AU"/>
        </w:rPr>
        <w:t>state</w:t>
      </w:r>
      <w:r w:rsidR="000A5329" w:rsidRPr="002029AF">
        <w:rPr>
          <w:lang w:eastAsia="en-AU"/>
        </w:rPr>
        <w:t xml:space="preserve"> </w:t>
      </w:r>
      <w:r w:rsidRPr="002029AF">
        <w:rPr>
          <w:lang w:eastAsia="en-AU"/>
        </w:rPr>
        <w:t>supply</w:t>
      </w:r>
      <w:r w:rsidR="000A5329" w:rsidRPr="002029AF">
        <w:rPr>
          <w:lang w:eastAsia="en-AU"/>
        </w:rPr>
        <w:t xml:space="preserve"> </w:t>
      </w:r>
      <w:r w:rsidRPr="002029AF">
        <w:rPr>
          <w:lang w:eastAsia="en-AU"/>
        </w:rPr>
        <w:t>arrangement</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an</w:t>
      </w:r>
      <w:r w:rsidR="000A5329" w:rsidRPr="002029AF">
        <w:rPr>
          <w:lang w:eastAsia="en-AU"/>
        </w:rPr>
        <w:t xml:space="preserve"> </w:t>
      </w:r>
      <w:r w:rsidRPr="002029AF">
        <w:rPr>
          <w:lang w:eastAsia="en-AU"/>
        </w:rPr>
        <w:t>increase</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appropriated</w:t>
      </w:r>
      <w:r w:rsidR="000A5329" w:rsidRPr="002029AF">
        <w:rPr>
          <w:lang w:eastAsia="en-AU"/>
        </w:rPr>
        <w:t xml:space="preserve"> </w:t>
      </w:r>
      <w:r w:rsidRPr="002029AF">
        <w:rPr>
          <w:lang w:eastAsia="en-AU"/>
        </w:rPr>
        <w:t>surplus</w:t>
      </w:r>
      <w:r w:rsidR="000A5329" w:rsidRPr="002029AF">
        <w:rPr>
          <w:lang w:eastAsia="en-AU"/>
        </w:rPr>
        <w:t xml:space="preserve"> </w:t>
      </w:r>
      <w:r w:rsidRPr="002029AF">
        <w:rPr>
          <w:lang w:eastAsia="en-AU"/>
        </w:rPr>
        <w:t>earned</w:t>
      </w:r>
      <w:r w:rsidR="000A5329" w:rsidRPr="002029AF">
        <w:rPr>
          <w:lang w:eastAsia="en-AU"/>
        </w:rPr>
        <w:t xml:space="preserve"> </w:t>
      </w:r>
      <w:r w:rsidRPr="002029AF">
        <w:rPr>
          <w:lang w:eastAsia="en-AU"/>
        </w:rPr>
        <w:t>on</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provision</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outputs</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201</w:t>
      </w:r>
      <w:r w:rsidR="00DB53E6" w:rsidRPr="002029AF">
        <w:rPr>
          <w:lang w:eastAsia="en-AU"/>
        </w:rPr>
        <w:t>9–</w:t>
      </w:r>
      <w:r w:rsidRPr="002029AF">
        <w:rPr>
          <w:lang w:eastAsia="en-AU"/>
        </w:rPr>
        <w:t>20.</w:t>
      </w:r>
      <w:r w:rsidR="000A5329" w:rsidRPr="002029AF">
        <w:rPr>
          <w:lang w:eastAsia="en-AU"/>
        </w:rPr>
        <w:t xml:space="preserve"> </w:t>
      </w:r>
      <w:r w:rsidRPr="002029AF">
        <w:rPr>
          <w:lang w:eastAsia="en-AU"/>
        </w:rPr>
        <w:t>These</w:t>
      </w:r>
      <w:r w:rsidR="000A5329" w:rsidRPr="002029AF">
        <w:rPr>
          <w:lang w:eastAsia="en-AU"/>
        </w:rPr>
        <w:t xml:space="preserve"> </w:t>
      </w:r>
      <w:r w:rsidRPr="002029AF">
        <w:rPr>
          <w:lang w:eastAsia="en-AU"/>
        </w:rPr>
        <w:t>asset</w:t>
      </w:r>
      <w:r w:rsidR="000A5329" w:rsidRPr="002029AF">
        <w:rPr>
          <w:lang w:eastAsia="en-AU"/>
        </w:rPr>
        <w:t xml:space="preserve"> </w:t>
      </w:r>
      <w:r w:rsidRPr="002029AF">
        <w:rPr>
          <w:lang w:eastAsia="en-AU"/>
        </w:rPr>
        <w:t>increases</w:t>
      </w:r>
      <w:r w:rsidR="000A5329" w:rsidRPr="002029AF">
        <w:rPr>
          <w:lang w:eastAsia="en-AU"/>
        </w:rPr>
        <w:t xml:space="preserve"> </w:t>
      </w:r>
      <w:r w:rsidRPr="002029AF">
        <w:rPr>
          <w:lang w:eastAsia="en-AU"/>
        </w:rPr>
        <w:t>are</w:t>
      </w:r>
      <w:r w:rsidR="000A5329" w:rsidRPr="002029AF">
        <w:rPr>
          <w:lang w:eastAsia="en-AU"/>
        </w:rPr>
        <w:t xml:space="preserve"> </w:t>
      </w:r>
      <w:r w:rsidRPr="002029AF">
        <w:rPr>
          <w:lang w:eastAsia="en-AU"/>
        </w:rPr>
        <w:t>partially</w:t>
      </w:r>
      <w:r w:rsidR="000A5329" w:rsidRPr="002029AF">
        <w:rPr>
          <w:lang w:eastAsia="en-AU"/>
        </w:rPr>
        <w:t xml:space="preserve"> </w:t>
      </w:r>
      <w:r w:rsidRPr="002029AF">
        <w:rPr>
          <w:lang w:eastAsia="en-AU"/>
        </w:rPr>
        <w:t>offset</w:t>
      </w:r>
      <w:r w:rsidR="000A5329" w:rsidRPr="002029AF">
        <w:rPr>
          <w:lang w:eastAsia="en-AU"/>
        </w:rPr>
        <w:t xml:space="preserve"> </w:t>
      </w:r>
      <w:r w:rsidRPr="002029AF">
        <w:rPr>
          <w:lang w:eastAsia="en-AU"/>
        </w:rPr>
        <w:t>by</w:t>
      </w:r>
      <w:r w:rsidR="000A5329" w:rsidRPr="002029AF">
        <w:rPr>
          <w:lang w:eastAsia="en-AU"/>
        </w:rPr>
        <w:t xml:space="preserve"> </w:t>
      </w:r>
      <w:r w:rsidRPr="002029AF">
        <w:rPr>
          <w:lang w:eastAsia="en-AU"/>
        </w:rPr>
        <w:t>decreases</w:t>
      </w:r>
      <w:r w:rsidR="000A5329" w:rsidRPr="002029AF">
        <w:rPr>
          <w:lang w:eastAsia="en-AU"/>
        </w:rPr>
        <w:t xml:space="preserve"> </w:t>
      </w:r>
      <w:r w:rsidRPr="002029AF">
        <w:rPr>
          <w:lang w:eastAsia="en-AU"/>
        </w:rPr>
        <w:t>in</w:t>
      </w:r>
      <w:r w:rsidR="00AB0C69" w:rsidRPr="002029AF">
        <w:rPr>
          <w:lang w:eastAsia="en-AU"/>
        </w:rPr>
        <w:t> </w:t>
      </w:r>
      <w:r w:rsidRPr="002029AF">
        <w:rPr>
          <w:lang w:eastAsia="en-AU"/>
        </w:rPr>
        <w:t>cash</w:t>
      </w:r>
      <w:r w:rsidR="000A5329" w:rsidRPr="002029AF">
        <w:rPr>
          <w:lang w:eastAsia="en-AU"/>
        </w:rPr>
        <w:t xml:space="preserve"> </w:t>
      </w:r>
      <w:r w:rsidRPr="002029AF">
        <w:rPr>
          <w:lang w:eastAsia="en-AU"/>
        </w:rPr>
        <w:t>at</w:t>
      </w:r>
      <w:r w:rsidR="000A5329" w:rsidRPr="002029AF">
        <w:rPr>
          <w:lang w:eastAsia="en-AU"/>
        </w:rPr>
        <w:t xml:space="preserve"> </w:t>
      </w:r>
      <w:r w:rsidRPr="002029AF">
        <w:rPr>
          <w:lang w:eastAsia="en-AU"/>
        </w:rPr>
        <w:t>bank</w:t>
      </w:r>
      <w:r w:rsidR="000A5329" w:rsidRPr="002029AF">
        <w:rPr>
          <w:lang w:eastAsia="en-AU"/>
        </w:rPr>
        <w:t xml:space="preserve"> </w:t>
      </w:r>
      <w:r w:rsidRPr="002029AF">
        <w:rPr>
          <w:lang w:eastAsia="en-AU"/>
        </w:rPr>
        <w:t>-please</w:t>
      </w:r>
      <w:r w:rsidR="000A5329" w:rsidRPr="002029AF">
        <w:rPr>
          <w:lang w:eastAsia="en-AU"/>
        </w:rPr>
        <w:t xml:space="preserve"> </w:t>
      </w:r>
      <w:r w:rsidRPr="002029AF">
        <w:rPr>
          <w:lang w:eastAsia="en-AU"/>
        </w:rPr>
        <w:t>see</w:t>
      </w:r>
      <w:r w:rsidR="000A5329" w:rsidRPr="002029AF">
        <w:rPr>
          <w:lang w:eastAsia="en-AU"/>
        </w:rPr>
        <w:t xml:space="preserve"> </w:t>
      </w:r>
      <w:r w:rsidRPr="002029AF">
        <w:rPr>
          <w:lang w:eastAsia="en-AU"/>
        </w:rPr>
        <w:t>explanation</w:t>
      </w:r>
      <w:r w:rsidR="000A5329" w:rsidRPr="002029AF">
        <w:rPr>
          <w:lang w:eastAsia="en-AU"/>
        </w:rPr>
        <w:t xml:space="preserve"> </w:t>
      </w:r>
      <w:r w:rsidRPr="002029AF">
        <w:rPr>
          <w:lang w:eastAsia="en-AU"/>
        </w:rPr>
        <w:t>under</w:t>
      </w:r>
      <w:r w:rsidR="000A5329" w:rsidRPr="002029AF">
        <w:rPr>
          <w:lang w:eastAsia="en-AU"/>
        </w:rPr>
        <w:t xml:space="preserve"> </w:t>
      </w:r>
      <w:r w:rsidRPr="002029AF">
        <w:rPr>
          <w:lang w:eastAsia="en-AU"/>
        </w:rPr>
        <w:t>Cash</w:t>
      </w:r>
      <w:r w:rsidR="000A5329" w:rsidRPr="002029AF">
        <w:rPr>
          <w:lang w:eastAsia="en-AU"/>
        </w:rPr>
        <w:t xml:space="preserve"> </w:t>
      </w:r>
      <w:r w:rsidRPr="002029AF">
        <w:rPr>
          <w:lang w:eastAsia="en-AU"/>
        </w:rPr>
        <w:t>flows</w:t>
      </w:r>
      <w:r w:rsidR="000A5329" w:rsidRPr="002029AF">
        <w:rPr>
          <w:lang w:eastAsia="en-AU"/>
        </w:rPr>
        <w:t xml:space="preserve"> </w:t>
      </w:r>
      <w:r w:rsidRPr="002029AF">
        <w:rPr>
          <w:lang w:eastAsia="en-AU"/>
        </w:rPr>
        <w:t>directly</w:t>
      </w:r>
      <w:r w:rsidR="000A5329" w:rsidRPr="002029AF">
        <w:rPr>
          <w:lang w:eastAsia="en-AU"/>
        </w:rPr>
        <w:t xml:space="preserve"> </w:t>
      </w:r>
      <w:r w:rsidRPr="002029AF">
        <w:rPr>
          <w:lang w:eastAsia="en-AU"/>
        </w:rPr>
        <w:t>below.</w:t>
      </w:r>
    </w:p>
    <w:p w14:paraId="44E70216" w14:textId="32003641" w:rsidR="0006497B" w:rsidRPr="002029AF" w:rsidRDefault="0006497B" w:rsidP="0006497B">
      <w:pPr>
        <w:pStyle w:val="Heading3"/>
      </w:pPr>
      <w:bookmarkStart w:id="59" w:name="_Ref52263715"/>
      <w:r w:rsidRPr="002029AF">
        <w:t>Cash</w:t>
      </w:r>
      <w:r w:rsidR="000A5329" w:rsidRPr="002029AF">
        <w:t xml:space="preserve"> </w:t>
      </w:r>
      <w:r w:rsidRPr="002029AF">
        <w:t>flows</w:t>
      </w:r>
      <w:bookmarkEnd w:id="59"/>
    </w:p>
    <w:p w14:paraId="13F981D2" w14:textId="233086D4" w:rsidR="008A5BD1" w:rsidRPr="002029AF" w:rsidRDefault="0006497B" w:rsidP="0006497B">
      <w:pPr>
        <w:pStyle w:val="ARbody"/>
      </w:pPr>
      <w:r w:rsidRPr="002029AF">
        <w:rPr>
          <w:lang w:eastAsia="en-AU"/>
        </w:rPr>
        <w:t>The</w:t>
      </w:r>
      <w:r w:rsidR="000A5329" w:rsidRPr="002029AF">
        <w:rPr>
          <w:lang w:eastAsia="en-AU"/>
        </w:rPr>
        <w:t xml:space="preserve"> </w:t>
      </w:r>
      <w:r w:rsidRPr="002029AF">
        <w:rPr>
          <w:lang w:eastAsia="en-AU"/>
        </w:rPr>
        <w:t>overall</w:t>
      </w:r>
      <w:r w:rsidR="000A5329" w:rsidRPr="002029AF">
        <w:rPr>
          <w:lang w:eastAsia="en-AU"/>
        </w:rPr>
        <w:t xml:space="preserve"> </w:t>
      </w:r>
      <w:r w:rsidRPr="002029AF">
        <w:rPr>
          <w:lang w:eastAsia="en-AU"/>
        </w:rPr>
        <w:t>cash</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term</w:t>
      </w:r>
      <w:r w:rsidR="000A5329" w:rsidRPr="002029AF">
        <w:rPr>
          <w:lang w:eastAsia="en-AU"/>
        </w:rPr>
        <w:t xml:space="preserve"> </w:t>
      </w:r>
      <w:r w:rsidRPr="002029AF">
        <w:rPr>
          <w:lang w:eastAsia="en-AU"/>
        </w:rPr>
        <w:t>deposits</w:t>
      </w:r>
      <w:r w:rsidR="000A5329" w:rsidRPr="002029AF">
        <w:rPr>
          <w:lang w:eastAsia="en-AU"/>
        </w:rPr>
        <w:t xml:space="preserve"> </w:t>
      </w:r>
      <w:r w:rsidRPr="002029AF">
        <w:rPr>
          <w:lang w:eastAsia="en-AU"/>
        </w:rPr>
        <w:t>position</w:t>
      </w:r>
      <w:r w:rsidR="000A5329" w:rsidRPr="002029AF">
        <w:rPr>
          <w:lang w:eastAsia="en-AU"/>
        </w:rPr>
        <w:t xml:space="preserve"> </w:t>
      </w:r>
      <w:r w:rsidRPr="002029AF">
        <w:rPr>
          <w:lang w:eastAsia="en-AU"/>
        </w:rPr>
        <w:t>at</w:t>
      </w:r>
      <w:r w:rsidR="00AB0C69" w:rsidRPr="002029AF">
        <w:rPr>
          <w:lang w:eastAsia="en-AU"/>
        </w:rPr>
        <w:t> </w:t>
      </w:r>
      <w:r w:rsidRPr="002029AF">
        <w:rPr>
          <w:lang w:eastAsia="en-AU"/>
        </w:rPr>
        <w:t>the</w:t>
      </w:r>
      <w:r w:rsidR="00AB0C69" w:rsidRPr="002029AF">
        <w:rPr>
          <w:lang w:eastAsia="en-AU"/>
        </w:rPr>
        <w:t> </w:t>
      </w:r>
      <w:r w:rsidRPr="002029AF">
        <w:rPr>
          <w:lang w:eastAsia="en-AU"/>
        </w:rPr>
        <w:t>end</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201</w:t>
      </w:r>
      <w:r w:rsidR="00DB53E6" w:rsidRPr="002029AF">
        <w:rPr>
          <w:lang w:eastAsia="en-AU"/>
        </w:rPr>
        <w:t>9–</w:t>
      </w:r>
      <w:r w:rsidRPr="002029AF">
        <w:rPr>
          <w:lang w:eastAsia="en-AU"/>
        </w:rPr>
        <w:t>20</w:t>
      </w:r>
      <w:r w:rsidR="000A5329" w:rsidRPr="002029AF">
        <w:rPr>
          <w:lang w:eastAsia="en-AU"/>
        </w:rPr>
        <w:t xml:space="preserve"> </w:t>
      </w:r>
      <w:r w:rsidRPr="002029AF">
        <w:rPr>
          <w:lang w:eastAsia="en-AU"/>
        </w:rPr>
        <w:t>financial</w:t>
      </w:r>
      <w:r w:rsidR="000A5329" w:rsidRPr="002029AF">
        <w:rPr>
          <w:lang w:eastAsia="en-AU"/>
        </w:rPr>
        <w:t xml:space="preserve"> </w:t>
      </w:r>
      <w:r w:rsidRPr="002029AF">
        <w:rPr>
          <w:lang w:eastAsia="en-AU"/>
        </w:rPr>
        <w:t>year</w:t>
      </w:r>
      <w:r w:rsidR="000A5329" w:rsidRPr="002029AF">
        <w:rPr>
          <w:lang w:eastAsia="en-AU"/>
        </w:rPr>
        <w:t xml:space="preserve"> </w:t>
      </w:r>
      <w:r w:rsidRPr="002029AF">
        <w:rPr>
          <w:lang w:eastAsia="en-AU"/>
        </w:rPr>
        <w:t>is</w:t>
      </w:r>
      <w:r w:rsidR="000A5329" w:rsidRPr="002029AF">
        <w:rPr>
          <w:lang w:eastAsia="en-AU"/>
        </w:rPr>
        <w:t xml:space="preserve"> </w:t>
      </w:r>
      <w:r w:rsidRPr="002029AF">
        <w:rPr>
          <w:lang w:eastAsia="en-AU"/>
        </w:rPr>
        <w:t>a</w:t>
      </w:r>
      <w:r w:rsidR="000A5329" w:rsidRPr="002029AF">
        <w:rPr>
          <w:lang w:eastAsia="en-AU"/>
        </w:rPr>
        <w:t xml:space="preserve"> </w:t>
      </w:r>
      <w:r w:rsidRPr="002029AF">
        <w:rPr>
          <w:lang w:eastAsia="en-AU"/>
        </w:rPr>
        <w:t>$597.7</w:t>
      </w:r>
      <w:r w:rsidR="00AB0C69" w:rsidRPr="002029AF">
        <w:rPr>
          <w:lang w:eastAsia="en-AU"/>
        </w:rPr>
        <w:t> </w:t>
      </w:r>
      <w:r w:rsidRPr="002029AF">
        <w:rPr>
          <w:lang w:eastAsia="en-AU"/>
        </w:rPr>
        <w:t>million</w:t>
      </w:r>
      <w:r w:rsidR="000A5329" w:rsidRPr="002029AF">
        <w:rPr>
          <w:lang w:eastAsia="en-AU"/>
        </w:rPr>
        <w:t xml:space="preserve"> </w:t>
      </w:r>
      <w:r w:rsidRPr="002029AF">
        <w:rPr>
          <w:lang w:eastAsia="en-AU"/>
        </w:rPr>
        <w:t>surplus,</w:t>
      </w:r>
      <w:r w:rsidR="000A5329" w:rsidRPr="002029AF">
        <w:rPr>
          <w:lang w:eastAsia="en-AU"/>
        </w:rPr>
        <w:t xml:space="preserve"> </w:t>
      </w:r>
      <w:r w:rsidRPr="002029AF">
        <w:rPr>
          <w:lang w:eastAsia="en-AU"/>
        </w:rPr>
        <w:t>which</w:t>
      </w:r>
      <w:r w:rsidR="000A5329" w:rsidRPr="002029AF">
        <w:rPr>
          <w:lang w:eastAsia="en-AU"/>
        </w:rPr>
        <w:t xml:space="preserve"> </w:t>
      </w:r>
      <w:r w:rsidRPr="002029AF">
        <w:rPr>
          <w:lang w:eastAsia="en-AU"/>
        </w:rPr>
        <w:t>is</w:t>
      </w:r>
      <w:r w:rsidR="000A5329" w:rsidRPr="002029AF">
        <w:rPr>
          <w:lang w:eastAsia="en-AU"/>
        </w:rPr>
        <w:t xml:space="preserve"> </w:t>
      </w:r>
      <w:r w:rsidRPr="002029AF">
        <w:rPr>
          <w:lang w:eastAsia="en-AU"/>
        </w:rPr>
        <w:t>a</w:t>
      </w:r>
      <w:r w:rsidR="000A5329" w:rsidRPr="002029AF">
        <w:rPr>
          <w:lang w:eastAsia="en-AU"/>
        </w:rPr>
        <w:t xml:space="preserve"> </w:t>
      </w:r>
      <w:r w:rsidRPr="002029AF">
        <w:rPr>
          <w:lang w:eastAsia="en-AU"/>
        </w:rPr>
        <w:t>decrease</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$302.2</w:t>
      </w:r>
      <w:r w:rsidR="000A5329" w:rsidRPr="002029AF">
        <w:rPr>
          <w:lang w:eastAsia="en-AU"/>
        </w:rPr>
        <w:t xml:space="preserve"> </w:t>
      </w:r>
      <w:r w:rsidRPr="002029AF">
        <w:rPr>
          <w:lang w:eastAsia="en-AU"/>
        </w:rPr>
        <w:t>million</w:t>
      </w:r>
      <w:r w:rsidR="000A5329" w:rsidRPr="002029AF">
        <w:rPr>
          <w:lang w:eastAsia="en-AU"/>
        </w:rPr>
        <w:t xml:space="preserve"> </w:t>
      </w:r>
      <w:r w:rsidRPr="002029AF">
        <w:rPr>
          <w:lang w:eastAsia="en-AU"/>
        </w:rPr>
        <w:t>compared</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beginning</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year.</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overall</w:t>
      </w:r>
      <w:r w:rsidR="000A5329" w:rsidRPr="002029AF">
        <w:rPr>
          <w:lang w:eastAsia="en-AU"/>
        </w:rPr>
        <w:t xml:space="preserve"> </w:t>
      </w:r>
      <w:r w:rsidRPr="002029AF">
        <w:rPr>
          <w:lang w:eastAsia="en-AU"/>
        </w:rPr>
        <w:t>decrease</w:t>
      </w:r>
      <w:r w:rsidR="000A5329" w:rsidRPr="002029AF">
        <w:rPr>
          <w:lang w:eastAsia="en-AU"/>
        </w:rPr>
        <w:t xml:space="preserve"> </w:t>
      </w:r>
      <w:r w:rsidRPr="002029AF">
        <w:rPr>
          <w:lang w:eastAsia="en-AU"/>
        </w:rPr>
        <w:t>is</w:t>
      </w:r>
      <w:r w:rsidR="000A5329" w:rsidRPr="002029AF">
        <w:rPr>
          <w:lang w:eastAsia="en-AU"/>
        </w:rPr>
        <w:t xml:space="preserve"> </w:t>
      </w:r>
      <w:r w:rsidRPr="002029AF">
        <w:rPr>
          <w:lang w:eastAsia="en-AU"/>
        </w:rPr>
        <w:t>mainly</w:t>
      </w:r>
      <w:r w:rsidR="000A5329" w:rsidRPr="002029AF">
        <w:rPr>
          <w:lang w:eastAsia="en-AU"/>
        </w:rPr>
        <w:t xml:space="preserve"> </w:t>
      </w:r>
      <w:r w:rsidRPr="002029AF">
        <w:rPr>
          <w:lang w:eastAsia="en-AU"/>
        </w:rPr>
        <w:t>due</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payments</w:t>
      </w:r>
      <w:r w:rsidR="000A5329" w:rsidRPr="002029AF">
        <w:rPr>
          <w:lang w:eastAsia="en-AU"/>
        </w:rPr>
        <w:t xml:space="preserve"> </w:t>
      </w:r>
      <w:r w:rsidRPr="002029AF">
        <w:rPr>
          <w:lang w:eastAsia="en-AU"/>
        </w:rPr>
        <w:t>for</w:t>
      </w:r>
      <w:r w:rsidR="000A5329" w:rsidRPr="002029AF">
        <w:rPr>
          <w:lang w:eastAsia="en-AU"/>
        </w:rPr>
        <w:t xml:space="preserve"> </w:t>
      </w:r>
      <w:r w:rsidRPr="002029AF">
        <w:rPr>
          <w:lang w:eastAsia="en-AU"/>
        </w:rPr>
        <w:t>grants</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hospitals,</w:t>
      </w:r>
      <w:r w:rsidR="000A5329" w:rsidRPr="002029AF">
        <w:rPr>
          <w:lang w:eastAsia="en-AU"/>
        </w:rPr>
        <w:t xml:space="preserve"> </w:t>
      </w:r>
      <w:r w:rsidRPr="002029AF">
        <w:rPr>
          <w:lang w:eastAsia="en-AU"/>
        </w:rPr>
        <w:t>including</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coronavirus</w:t>
      </w:r>
      <w:r w:rsidR="000A5329" w:rsidRPr="002029AF">
        <w:rPr>
          <w:lang w:eastAsia="en-AU"/>
        </w:rPr>
        <w:t xml:space="preserve"> </w:t>
      </w:r>
      <w:r w:rsidRPr="002029AF">
        <w:rPr>
          <w:lang w:eastAsia="en-AU"/>
        </w:rPr>
        <w:t>(COVID-19)</w:t>
      </w:r>
      <w:r w:rsidR="000A5329" w:rsidRPr="002029AF">
        <w:rPr>
          <w:lang w:eastAsia="en-AU"/>
        </w:rPr>
        <w:t xml:space="preserve"> </w:t>
      </w:r>
      <w:r w:rsidRPr="002029AF">
        <w:rPr>
          <w:lang w:eastAsia="en-AU"/>
        </w:rPr>
        <w:t>Response,</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for</w:t>
      </w:r>
      <w:r w:rsidR="000A5329" w:rsidRPr="002029AF">
        <w:rPr>
          <w:lang w:eastAsia="en-AU"/>
        </w:rPr>
        <w:t xml:space="preserve"> </w:t>
      </w:r>
      <w:r w:rsidRPr="002029AF">
        <w:rPr>
          <w:lang w:eastAsia="en-AU"/>
        </w:rPr>
        <w:t>Director</w:t>
      </w:r>
      <w:r w:rsidR="003A3C59">
        <w:rPr>
          <w:lang w:eastAsia="en-AU"/>
        </w:rPr>
        <w:t> </w:t>
      </w:r>
      <w:r w:rsidRPr="002029AF">
        <w:rPr>
          <w:lang w:eastAsia="en-AU"/>
        </w:rPr>
        <w:t>of</w:t>
      </w:r>
      <w:r w:rsidR="000A5329" w:rsidRPr="002029AF">
        <w:rPr>
          <w:lang w:eastAsia="en-AU"/>
        </w:rPr>
        <w:t xml:space="preserve"> </w:t>
      </w:r>
      <w:r w:rsidRPr="002029AF">
        <w:rPr>
          <w:lang w:eastAsia="en-AU"/>
        </w:rPr>
        <w:t>Housing</w:t>
      </w:r>
      <w:r w:rsidR="000A5329" w:rsidRPr="002029AF">
        <w:rPr>
          <w:lang w:eastAsia="en-AU"/>
        </w:rPr>
        <w:t xml:space="preserve"> </w:t>
      </w:r>
      <w:r w:rsidRPr="002029AF">
        <w:rPr>
          <w:lang w:eastAsia="en-AU"/>
        </w:rPr>
        <w:t>projects</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support</w:t>
      </w:r>
      <w:r w:rsidR="000A5329" w:rsidRPr="002029AF">
        <w:rPr>
          <w:lang w:eastAsia="en-AU"/>
        </w:rPr>
        <w:t xml:space="preserve"> </w:t>
      </w:r>
      <w:r w:rsidRPr="002029AF">
        <w:rPr>
          <w:lang w:eastAsia="en-AU"/>
        </w:rPr>
        <w:t>on-going</w:t>
      </w:r>
      <w:r w:rsidR="000A5329" w:rsidRPr="002029AF">
        <w:rPr>
          <w:lang w:eastAsia="en-AU"/>
        </w:rPr>
        <w:t xml:space="preserve"> </w:t>
      </w:r>
      <w:r w:rsidRPr="002029AF">
        <w:rPr>
          <w:lang w:eastAsia="en-AU"/>
        </w:rPr>
        <w:t>initiatives</w:t>
      </w:r>
      <w:r w:rsidR="000A5329" w:rsidRPr="002029AF">
        <w:rPr>
          <w:lang w:eastAsia="en-AU"/>
        </w:rPr>
        <w:t xml:space="preserve"> </w:t>
      </w:r>
      <w:r w:rsidRPr="002029AF">
        <w:rPr>
          <w:lang w:eastAsia="en-AU"/>
        </w:rPr>
        <w:t>approved</w:t>
      </w:r>
      <w:r w:rsidR="000A5329" w:rsidRPr="002029AF">
        <w:rPr>
          <w:lang w:eastAsia="en-AU"/>
        </w:rPr>
        <w:t xml:space="preserve"> </w:t>
      </w:r>
      <w:r w:rsidRPr="002029AF">
        <w:rPr>
          <w:lang w:eastAsia="en-AU"/>
        </w:rPr>
        <w:t>by</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Expenditure</w:t>
      </w:r>
      <w:r w:rsidR="000A5329" w:rsidRPr="002029AF">
        <w:rPr>
          <w:lang w:eastAsia="en-AU"/>
        </w:rPr>
        <w:t xml:space="preserve"> </w:t>
      </w:r>
      <w:r w:rsidRPr="002029AF">
        <w:rPr>
          <w:lang w:eastAsia="en-AU"/>
        </w:rPr>
        <w:t>Review</w:t>
      </w:r>
      <w:r w:rsidR="000A5329" w:rsidRPr="002029AF">
        <w:rPr>
          <w:lang w:eastAsia="en-AU"/>
        </w:rPr>
        <w:t xml:space="preserve"> </w:t>
      </w:r>
      <w:r w:rsidRPr="002029AF">
        <w:rPr>
          <w:lang w:eastAsia="en-AU"/>
        </w:rPr>
        <w:t>Sub-committee</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Cabinet,</w:t>
      </w:r>
      <w:r w:rsidR="000A5329" w:rsidRPr="002029AF">
        <w:rPr>
          <w:lang w:eastAsia="en-AU"/>
        </w:rPr>
        <w:t xml:space="preserve"> </w:t>
      </w:r>
      <w:r w:rsidRPr="002029AF">
        <w:rPr>
          <w:lang w:eastAsia="en-AU"/>
        </w:rPr>
        <w:t>including</w:t>
      </w:r>
      <w:r w:rsidR="000A5329" w:rsidRPr="002029AF">
        <w:rPr>
          <w:lang w:eastAsia="en-AU"/>
        </w:rPr>
        <w:t xml:space="preserve"> </w:t>
      </w:r>
      <w:r w:rsidRPr="002029AF">
        <w:rPr>
          <w:lang w:eastAsia="en-AU"/>
        </w:rPr>
        <w:t>homelessness</w:t>
      </w:r>
      <w:r w:rsidR="000A5329" w:rsidRPr="002029AF">
        <w:rPr>
          <w:lang w:eastAsia="en-AU"/>
        </w:rPr>
        <w:t xml:space="preserve"> </w:t>
      </w:r>
      <w:r w:rsidRPr="002029AF">
        <w:rPr>
          <w:lang w:eastAsia="en-AU"/>
        </w:rPr>
        <w:t>and</w:t>
      </w:r>
      <w:r w:rsidR="00AB0C69" w:rsidRPr="002029AF">
        <w:rPr>
          <w:lang w:eastAsia="en-AU"/>
        </w:rPr>
        <w:t> </w:t>
      </w:r>
      <w:r w:rsidRPr="002029AF">
        <w:rPr>
          <w:lang w:eastAsia="en-AU"/>
        </w:rPr>
        <w:t>family</w:t>
      </w:r>
      <w:r w:rsidR="000A5329" w:rsidRPr="002029AF">
        <w:rPr>
          <w:lang w:eastAsia="en-AU"/>
        </w:rPr>
        <w:t xml:space="preserve"> </w:t>
      </w:r>
      <w:r w:rsidRPr="002029AF">
        <w:rPr>
          <w:lang w:eastAsia="en-AU"/>
        </w:rPr>
        <w:t>violence</w:t>
      </w:r>
      <w:r w:rsidR="000A5329" w:rsidRPr="002029AF">
        <w:rPr>
          <w:lang w:eastAsia="en-AU"/>
        </w:rPr>
        <w:t xml:space="preserve"> </w:t>
      </w:r>
      <w:r w:rsidRPr="002029AF">
        <w:rPr>
          <w:lang w:eastAsia="en-AU"/>
        </w:rPr>
        <w:t>initiati</w:t>
      </w:r>
      <w:r w:rsidRPr="002029AF">
        <w:t>ves.</w:t>
      </w:r>
    </w:p>
    <w:p w14:paraId="316CD5AB" w14:textId="77777777" w:rsidR="0006497B" w:rsidRPr="002029AF" w:rsidRDefault="0006497B" w:rsidP="008A5BD1">
      <w:pPr>
        <w:pStyle w:val="ARbody"/>
      </w:pPr>
    </w:p>
    <w:p w14:paraId="1C93C01D" w14:textId="3286E9E9" w:rsidR="0029774F" w:rsidRPr="002029AF" w:rsidRDefault="0029774F" w:rsidP="008A5BD1">
      <w:pPr>
        <w:pStyle w:val="ARbody"/>
        <w:sectPr w:rsidR="0029774F" w:rsidRPr="002029AF" w:rsidSect="001E768A">
          <w:type w:val="continuous"/>
          <w:pgSz w:w="11906" w:h="16838" w:code="9"/>
          <w:pgMar w:top="1985" w:right="851" w:bottom="851" w:left="1418" w:header="510" w:footer="340" w:gutter="0"/>
          <w:cols w:num="2" w:space="454"/>
          <w:docGrid w:linePitch="360"/>
          <w15:footnoteColumns w:val="1"/>
        </w:sectPr>
      </w:pPr>
    </w:p>
    <w:p w14:paraId="3F480053" w14:textId="3879D6A3" w:rsidR="00CF72D5" w:rsidRPr="002029AF" w:rsidRDefault="00CF72D5" w:rsidP="00897193">
      <w:pPr>
        <w:pStyle w:val="Heading1"/>
      </w:pPr>
      <w:bookmarkStart w:id="60" w:name="_Toc463776200"/>
      <w:bookmarkStart w:id="61" w:name="_Ref492894012"/>
      <w:bookmarkStart w:id="62" w:name="_Ref525046967"/>
      <w:bookmarkStart w:id="63" w:name="_Ref525046970"/>
      <w:bookmarkStart w:id="64" w:name="_Toc21682721"/>
      <w:bookmarkStart w:id="65" w:name="_Ref21861531"/>
      <w:bookmarkStart w:id="66" w:name="_Toc54690768"/>
      <w:r w:rsidRPr="002029AF">
        <w:lastRenderedPageBreak/>
        <w:t>Governance</w:t>
      </w:r>
      <w:bookmarkEnd w:id="60"/>
      <w:bookmarkEnd w:id="61"/>
      <w:bookmarkEnd w:id="62"/>
      <w:bookmarkEnd w:id="63"/>
      <w:bookmarkEnd w:id="64"/>
      <w:bookmarkEnd w:id="65"/>
      <w:bookmarkEnd w:id="66"/>
    </w:p>
    <w:p w14:paraId="48415827" w14:textId="5EF9318F" w:rsidR="00CF72D5" w:rsidRPr="002029AF" w:rsidRDefault="00CF72D5" w:rsidP="00897193">
      <w:pPr>
        <w:pStyle w:val="Heading2"/>
        <w:spacing w:before="800" w:after="320"/>
      </w:pPr>
      <w:r w:rsidRPr="002029AF">
        <w:t>The</w:t>
      </w:r>
      <w:r w:rsidR="000A5329" w:rsidRPr="002029AF">
        <w:t xml:space="preserve"> </w:t>
      </w:r>
      <w:r w:rsidRPr="002029AF">
        <w:t>department’s</w:t>
      </w:r>
      <w:r w:rsidR="000A5329" w:rsidRPr="002029AF">
        <w:t xml:space="preserve"> </w:t>
      </w:r>
      <w:r w:rsidRPr="002029AF">
        <w:t>senior</w:t>
      </w:r>
      <w:r w:rsidR="000A5329" w:rsidRPr="002029AF">
        <w:t xml:space="preserve"> </w:t>
      </w:r>
      <w:r w:rsidRPr="002029AF">
        <w:t>executives</w:t>
      </w:r>
      <w:r w:rsidR="000A5329" w:rsidRPr="002029AF">
        <w:t xml:space="preserve"> </w:t>
      </w:r>
      <w:r w:rsidRPr="002029AF">
        <w:t>at</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p>
    <w:p w14:paraId="3FD6D947" w14:textId="77777777" w:rsidR="008A5BD1" w:rsidRPr="002029AF" w:rsidRDefault="008A5BD1" w:rsidP="00897193">
      <w:pPr>
        <w:pStyle w:val="Heading3"/>
        <w:spacing w:before="0"/>
        <w:sectPr w:rsidR="008A5BD1" w:rsidRPr="002029AF" w:rsidSect="003566F1">
          <w:headerReference w:type="even" r:id="rId107"/>
          <w:headerReference w:type="default" r:id="rId108"/>
          <w:headerReference w:type="first" r:id="rId109"/>
          <w:footerReference w:type="first" r:id="rId110"/>
          <w:pgSz w:w="11906" w:h="16838" w:code="9"/>
          <w:pgMar w:top="1985" w:right="851" w:bottom="851" w:left="1418" w:header="510" w:footer="340" w:gutter="0"/>
          <w:cols w:space="454"/>
          <w:docGrid w:linePitch="360"/>
          <w15:footnoteColumns w:val="1"/>
        </w:sectPr>
      </w:pPr>
    </w:p>
    <w:p w14:paraId="0DDFAE82" w14:textId="27C0D243" w:rsidR="00CF72D5" w:rsidRPr="002029AF" w:rsidDel="00DC30D8" w:rsidRDefault="00CF72D5" w:rsidP="00897193">
      <w:pPr>
        <w:pStyle w:val="Heading3"/>
        <w:spacing w:before="0"/>
      </w:pPr>
      <w:r w:rsidRPr="002029AF">
        <w:t>Kym</w:t>
      </w:r>
      <w:r w:rsidR="000A5329" w:rsidRPr="002029AF">
        <w:t xml:space="preserve"> </w:t>
      </w:r>
      <w:r w:rsidRPr="002029AF">
        <w:t>Peake</w:t>
      </w:r>
    </w:p>
    <w:p w14:paraId="593658A3" w14:textId="2C318E1D" w:rsidR="00CF72D5" w:rsidRPr="002029AF" w:rsidDel="00DC30D8" w:rsidRDefault="00CF72D5" w:rsidP="00897193">
      <w:pPr>
        <w:pStyle w:val="Heading4"/>
        <w:rPr>
          <w:lang w:eastAsia="en-AU"/>
        </w:rPr>
      </w:pPr>
      <w:r w:rsidRPr="002029AF" w:rsidDel="00DC30D8">
        <w:rPr>
          <w:lang w:eastAsia="en-AU"/>
        </w:rPr>
        <w:t>Secretary</w:t>
      </w:r>
    </w:p>
    <w:p w14:paraId="55E5E9CE" w14:textId="0785638A" w:rsidR="00CF72D5" w:rsidRPr="002029AF" w:rsidDel="00DC30D8" w:rsidRDefault="00CF72D5" w:rsidP="00897193">
      <w:pPr>
        <w:pStyle w:val="ARbody"/>
      </w:pPr>
      <w:r w:rsidRPr="002029AF" w:rsidDel="00DC30D8">
        <w:t>Kym</w:t>
      </w:r>
      <w:r w:rsidR="000A5329" w:rsidRPr="002029AF">
        <w:t xml:space="preserve"> </w:t>
      </w:r>
      <w:r w:rsidRPr="002029AF" w:rsidDel="00DC30D8">
        <w:t>Peake</w:t>
      </w:r>
      <w:r w:rsidR="000A5329" w:rsidRPr="002029AF">
        <w:t xml:space="preserve"> </w:t>
      </w:r>
      <w:r w:rsidRPr="002029AF">
        <w:t>was</w:t>
      </w:r>
      <w:r w:rsidR="000A5329" w:rsidRPr="002029AF">
        <w:t xml:space="preserve"> </w:t>
      </w:r>
      <w:r w:rsidRPr="002029AF">
        <w:t>appointed</w:t>
      </w:r>
      <w:r w:rsidR="000A5329" w:rsidRPr="002029AF">
        <w:t xml:space="preserve"> </w:t>
      </w:r>
      <w:r w:rsidRPr="002029AF" w:rsidDel="00DC30D8">
        <w:t>as</w:t>
      </w:r>
      <w:r w:rsidR="000A5329" w:rsidRPr="002029AF">
        <w:t xml:space="preserve"> </w:t>
      </w:r>
      <w:r w:rsidRPr="002029AF" w:rsidDel="00DC30D8">
        <w:t>Secretary</w:t>
      </w:r>
      <w:r w:rsidR="000A5329" w:rsidRPr="002029AF">
        <w:t xml:space="preserve"> </w:t>
      </w:r>
      <w:r w:rsidRPr="002029AF" w:rsidDel="00DC30D8">
        <w:t>of</w:t>
      </w:r>
      <w:r w:rsidR="000A5329" w:rsidRPr="002029AF">
        <w:t xml:space="preserve"> </w:t>
      </w:r>
      <w:r w:rsidRPr="002029AF" w:rsidDel="00DC30D8">
        <w:t>the</w:t>
      </w:r>
      <w:r w:rsidR="000A5329" w:rsidRPr="002029AF">
        <w:t xml:space="preserve"> </w:t>
      </w:r>
      <w:r w:rsidRPr="002029AF" w:rsidDel="00DC30D8">
        <w:t>Victorian</w:t>
      </w:r>
      <w:r w:rsidR="000A5329" w:rsidRPr="002029AF">
        <w:t xml:space="preserve"> </w:t>
      </w:r>
      <w:r w:rsidRPr="002029AF" w:rsidDel="00DC30D8">
        <w:t>Department</w:t>
      </w:r>
      <w:r w:rsidR="000A5329" w:rsidRPr="002029AF">
        <w:t xml:space="preserve"> </w:t>
      </w:r>
      <w:r w:rsidRPr="002029AF" w:rsidDel="00DC30D8">
        <w:t>of</w:t>
      </w:r>
      <w:r w:rsidR="000A5329" w:rsidRPr="002029AF">
        <w:t xml:space="preserve"> </w:t>
      </w:r>
      <w:r w:rsidRPr="002029AF" w:rsidDel="00DC30D8">
        <w:t>Health</w:t>
      </w:r>
      <w:r w:rsidR="000A5329" w:rsidRPr="002029AF">
        <w:t xml:space="preserve"> </w:t>
      </w:r>
      <w:r w:rsidRPr="002029AF" w:rsidDel="00DC30D8">
        <w:t>and</w:t>
      </w:r>
      <w:r w:rsidR="000A5329" w:rsidRPr="002029AF">
        <w:t xml:space="preserve"> </w:t>
      </w:r>
      <w:r w:rsidRPr="002029AF" w:rsidDel="00DC30D8">
        <w:t>Human</w:t>
      </w:r>
      <w:r w:rsidR="000A5329" w:rsidRPr="002029AF">
        <w:t xml:space="preserve"> </w:t>
      </w:r>
      <w:r w:rsidRPr="002029AF" w:rsidDel="00DC30D8">
        <w:t>Services</w:t>
      </w:r>
      <w:r w:rsidR="000A5329" w:rsidRPr="002029AF">
        <w:t xml:space="preserve"> </w:t>
      </w:r>
      <w:r w:rsidRPr="002029AF" w:rsidDel="00DC30D8">
        <w:t>in</w:t>
      </w:r>
      <w:r w:rsidR="000A5329" w:rsidRPr="002029AF">
        <w:t xml:space="preserve"> </w:t>
      </w:r>
      <w:r w:rsidRPr="002029AF" w:rsidDel="00DC30D8">
        <w:t>November</w:t>
      </w:r>
      <w:r w:rsidR="000A5329" w:rsidRPr="002029AF">
        <w:t xml:space="preserve"> </w:t>
      </w:r>
      <w:r w:rsidRPr="002029AF" w:rsidDel="00DC30D8">
        <w:t>2015.</w:t>
      </w:r>
      <w:r w:rsidR="000A5329" w:rsidRPr="002029AF">
        <w:t xml:space="preserve"> </w:t>
      </w:r>
      <w:r w:rsidRPr="002029AF">
        <w:t>The</w:t>
      </w:r>
      <w:r w:rsidR="000A5329" w:rsidRPr="002029AF">
        <w:t xml:space="preserve"> </w:t>
      </w:r>
      <w:r w:rsidRPr="002029AF">
        <w:t>Secretary</w:t>
      </w:r>
      <w:r w:rsidR="000A5329" w:rsidRPr="002029AF">
        <w:t xml:space="preserve"> </w:t>
      </w:r>
      <w:r w:rsidRPr="002029AF">
        <w:t>is</w:t>
      </w:r>
      <w:r w:rsidR="000A5329" w:rsidRPr="002029AF">
        <w:t xml:space="preserve"> </w:t>
      </w:r>
      <w:r w:rsidRPr="002029AF">
        <w:t>responsible</w:t>
      </w:r>
      <w:r w:rsidR="000A5329" w:rsidRPr="002029AF">
        <w:t xml:space="preserve"> </w:t>
      </w:r>
      <w:r w:rsidRPr="002029AF">
        <w:t>for</w:t>
      </w:r>
      <w:r w:rsidR="000A5329" w:rsidRPr="002029AF">
        <w:t xml:space="preserve"> </w:t>
      </w:r>
      <w:r w:rsidRPr="002029AF">
        <w:t>ensuring</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priority</w:t>
      </w:r>
      <w:r w:rsidR="000A5329" w:rsidRPr="002029AF">
        <w:t xml:space="preserve"> </w:t>
      </w:r>
      <w:r w:rsidRPr="002029AF">
        <w:t>that</w:t>
      </w:r>
      <w:r w:rsidR="000A5329" w:rsidRPr="002029AF">
        <w:t xml:space="preserve"> </w:t>
      </w:r>
      <w:r w:rsidRPr="002029AF">
        <w:t>all</w:t>
      </w:r>
      <w:r w:rsidR="000A5329" w:rsidRPr="002029AF">
        <w:t xml:space="preserve"> </w:t>
      </w:r>
      <w:r w:rsidRPr="002029AF">
        <w:t>Victorians</w:t>
      </w:r>
      <w:r w:rsidR="000A5329" w:rsidRPr="002029AF">
        <w:t xml:space="preserve"> </w:t>
      </w:r>
      <w:r w:rsidRPr="002029AF">
        <w:t>be</w:t>
      </w:r>
      <w:r w:rsidR="000A5329" w:rsidRPr="002029AF">
        <w:t xml:space="preserve"> </w:t>
      </w:r>
      <w:r w:rsidRPr="002029AF">
        <w:t>safe,</w:t>
      </w:r>
      <w:r w:rsidR="000A5329" w:rsidRPr="002029AF">
        <w:t xml:space="preserve"> </w:t>
      </w:r>
      <w:r w:rsidRPr="002029AF">
        <w:t>healthy</w:t>
      </w:r>
      <w:r w:rsidR="000A5329" w:rsidRPr="002029AF">
        <w:t xml:space="preserve"> </w:t>
      </w:r>
      <w:r w:rsidRPr="002029AF">
        <w:t>and</w:t>
      </w:r>
      <w:r w:rsidR="000A5329" w:rsidRPr="002029AF">
        <w:t xml:space="preserve"> </w:t>
      </w:r>
      <w:r w:rsidRPr="002029AF">
        <w:t>living</w:t>
      </w:r>
      <w:r w:rsidR="000A5329" w:rsidRPr="002029AF">
        <w:t xml:space="preserve"> </w:t>
      </w:r>
      <w:r w:rsidRPr="002029AF">
        <w:t>a</w:t>
      </w:r>
      <w:r w:rsidR="000A5329" w:rsidRPr="002029AF">
        <w:t xml:space="preserve"> </w:t>
      </w:r>
      <w:r w:rsidRPr="002029AF">
        <w:t>life</w:t>
      </w:r>
      <w:r w:rsidR="000A5329" w:rsidRPr="002029AF">
        <w:t xml:space="preserve"> </w:t>
      </w:r>
      <w:r w:rsidRPr="002029AF">
        <w:t>they</w:t>
      </w:r>
      <w:r w:rsidR="000A5329" w:rsidRPr="002029AF">
        <w:t xml:space="preserve"> </w:t>
      </w:r>
      <w:r w:rsidRPr="002029AF">
        <w:t>value.</w:t>
      </w:r>
    </w:p>
    <w:p w14:paraId="70476278" w14:textId="27CA1DE0" w:rsidR="00CF72D5" w:rsidRPr="002029AF" w:rsidDel="00DC30D8" w:rsidRDefault="00CF72D5" w:rsidP="00897193">
      <w:pPr>
        <w:pStyle w:val="Heading3"/>
      </w:pPr>
      <w:r w:rsidRPr="002029AF" w:rsidDel="00DC30D8">
        <w:t>Argiri</w:t>
      </w:r>
      <w:r w:rsidR="000A5329" w:rsidRPr="002029AF">
        <w:t xml:space="preserve"> </w:t>
      </w:r>
      <w:r w:rsidRPr="002029AF" w:rsidDel="00DC30D8">
        <w:t>Alisandratos</w:t>
      </w:r>
    </w:p>
    <w:p w14:paraId="7D997F3D" w14:textId="61412A1F" w:rsidR="00CF72D5" w:rsidRPr="002029AF" w:rsidDel="00DC30D8" w:rsidRDefault="00CF72D5" w:rsidP="00897193">
      <w:pPr>
        <w:pStyle w:val="Heading4"/>
      </w:pPr>
      <w:r w:rsidRPr="002029AF" w:rsidDel="00DC30D8">
        <w:t>Deputy</w:t>
      </w:r>
      <w:r w:rsidR="000A5329" w:rsidRPr="002029AF">
        <w:t xml:space="preserve"> </w:t>
      </w:r>
      <w:r w:rsidRPr="002029AF" w:rsidDel="00DC30D8">
        <w:t>Secretary</w:t>
      </w:r>
      <w:r w:rsidR="000A5329" w:rsidRPr="002029AF">
        <w:t xml:space="preserve"> </w:t>
      </w:r>
      <w:r w:rsidRPr="002029AF" w:rsidDel="00DC30D8">
        <w:t>–</w:t>
      </w:r>
      <w:r w:rsidR="000A5329" w:rsidRPr="002029AF">
        <w:t xml:space="preserve"> </w:t>
      </w:r>
      <w:r w:rsidRPr="002029AF" w:rsidDel="00DC30D8">
        <w:t>Children</w:t>
      </w:r>
      <w:r w:rsidR="000A5329" w:rsidRPr="002029AF">
        <w:t xml:space="preserve"> </w:t>
      </w:r>
      <w:r w:rsidRPr="002029AF" w:rsidDel="00DC30D8">
        <w:t>Families</w:t>
      </w:r>
      <w:r w:rsidR="000A5329" w:rsidRPr="002029AF">
        <w:t xml:space="preserve"> </w:t>
      </w:r>
      <w:r w:rsidRPr="002029AF">
        <w:t>Communities</w:t>
      </w:r>
      <w:r w:rsidR="000A5329" w:rsidRPr="002029AF">
        <w:t xml:space="preserve"> </w:t>
      </w:r>
      <w:r w:rsidRPr="002029AF">
        <w:t>and</w:t>
      </w:r>
      <w:r w:rsidR="000A5329" w:rsidRPr="002029AF">
        <w:t xml:space="preserve"> </w:t>
      </w:r>
      <w:r w:rsidRPr="002029AF">
        <w:t>Disability</w:t>
      </w:r>
    </w:p>
    <w:p w14:paraId="04B34BDD" w14:textId="7501E11A" w:rsidR="00CF72D5" w:rsidRPr="002029AF" w:rsidDel="00DC30D8" w:rsidRDefault="00CF72D5" w:rsidP="00897193">
      <w:pPr>
        <w:pStyle w:val="ARbody"/>
      </w:pPr>
      <w:r w:rsidRPr="002029AF" w:rsidDel="00DC30D8">
        <w:t>Argiri</w:t>
      </w:r>
      <w:r w:rsidR="000A5329" w:rsidRPr="002029AF">
        <w:t xml:space="preserve"> </w:t>
      </w:r>
      <w:r w:rsidRPr="002029AF" w:rsidDel="00DC30D8">
        <w:t>Alisandratos</w:t>
      </w:r>
      <w:r w:rsidR="000A5329" w:rsidRPr="002029AF">
        <w:t xml:space="preserve"> </w:t>
      </w:r>
      <w:r w:rsidRPr="002029AF">
        <w:t>was</w:t>
      </w:r>
      <w:r w:rsidR="000A5329" w:rsidRPr="002029AF">
        <w:t xml:space="preserve"> </w:t>
      </w:r>
      <w:r w:rsidRPr="002029AF">
        <w:t>appointed</w:t>
      </w:r>
      <w:r w:rsidR="000A5329" w:rsidRPr="002029AF">
        <w:t xml:space="preserve"> </w:t>
      </w:r>
      <w:r w:rsidRPr="002029AF">
        <w:t>as</w:t>
      </w:r>
      <w:r w:rsidR="000A5329" w:rsidRPr="002029AF">
        <w:t xml:space="preserve"> </w:t>
      </w:r>
      <w:r w:rsidRPr="002029AF">
        <w:t>Deputy</w:t>
      </w:r>
      <w:r w:rsidR="000A5329" w:rsidRPr="002029AF">
        <w:t xml:space="preserve"> </w:t>
      </w:r>
      <w:r w:rsidRPr="002029AF">
        <w:t>Secretary</w:t>
      </w:r>
      <w:r w:rsidR="000A5329" w:rsidRPr="002029AF">
        <w:t xml:space="preserve"> </w:t>
      </w:r>
      <w:r w:rsidRPr="002029AF">
        <w:t>–</w:t>
      </w:r>
      <w:r w:rsidR="000A5329" w:rsidRPr="002029AF">
        <w:t xml:space="preserve"> </w:t>
      </w:r>
      <w:r w:rsidRPr="002029AF">
        <w:t>Children</w:t>
      </w:r>
      <w:r w:rsidR="000A5329" w:rsidRPr="002029AF">
        <w:t xml:space="preserve"> </w:t>
      </w:r>
      <w:r w:rsidRPr="002029AF">
        <w:t>Families</w:t>
      </w:r>
      <w:r w:rsidR="000A5329" w:rsidRPr="002029AF">
        <w:t xml:space="preserve"> </w:t>
      </w:r>
      <w:r w:rsidRPr="002029AF">
        <w:t>Communities</w:t>
      </w:r>
      <w:r w:rsidR="000A5329" w:rsidRPr="002029AF">
        <w:t xml:space="preserve"> </w:t>
      </w:r>
      <w:r w:rsidRPr="002029AF">
        <w:t>and</w:t>
      </w:r>
      <w:r w:rsidR="000A5329" w:rsidRPr="002029AF">
        <w:t xml:space="preserve"> </w:t>
      </w:r>
      <w:r w:rsidRPr="002029AF">
        <w:t>Disability</w:t>
      </w:r>
      <w:r w:rsidR="000A5329" w:rsidRPr="002029AF">
        <w:t xml:space="preserve"> </w:t>
      </w:r>
      <w:r w:rsidRPr="002029AF">
        <w:t>in</w:t>
      </w:r>
      <w:r w:rsidR="000A5329" w:rsidRPr="002029AF">
        <w:t xml:space="preserve"> </w:t>
      </w:r>
      <w:r w:rsidRPr="002029AF">
        <w:t>July</w:t>
      </w:r>
      <w:r w:rsidR="000A5329" w:rsidRPr="002029AF">
        <w:t xml:space="preserve"> </w:t>
      </w:r>
      <w:r w:rsidRPr="002029AF">
        <w:t>2017.</w:t>
      </w:r>
      <w:r w:rsidR="000A5329" w:rsidRPr="002029AF">
        <w:t xml:space="preserve"> </w:t>
      </w:r>
      <w:r w:rsidRPr="002029AF">
        <w:t>Argiri</w:t>
      </w:r>
      <w:r w:rsidR="000A5329" w:rsidRPr="002029AF">
        <w:t xml:space="preserve"> </w:t>
      </w:r>
      <w:r w:rsidRPr="002029AF">
        <w:t>leads</w:t>
      </w:r>
      <w:r w:rsidR="000A5329" w:rsidRPr="002029AF">
        <w:t xml:space="preserve"> </w:t>
      </w:r>
      <w:r w:rsidRPr="002029AF" w:rsidDel="00DC30D8">
        <w:t>the</w:t>
      </w:r>
      <w:r w:rsidR="000A5329" w:rsidRPr="002029AF">
        <w:t xml:space="preserve"> </w:t>
      </w:r>
      <w:r w:rsidRPr="002029AF" w:rsidDel="00DC30D8">
        <w:t>design</w:t>
      </w:r>
      <w:r w:rsidR="000A5329" w:rsidRPr="002029AF">
        <w:t xml:space="preserve"> </w:t>
      </w:r>
      <w:r w:rsidRPr="002029AF" w:rsidDel="00DC30D8">
        <w:t>of</w:t>
      </w:r>
      <w:r w:rsidR="000A5329" w:rsidRPr="002029AF">
        <w:t xml:space="preserve"> </w:t>
      </w:r>
      <w:r w:rsidRPr="002029AF" w:rsidDel="00DC30D8">
        <w:t>legislation,</w:t>
      </w:r>
      <w:r w:rsidR="000A5329" w:rsidRPr="002029AF">
        <w:t xml:space="preserve"> </w:t>
      </w:r>
      <w:r w:rsidRPr="002029AF" w:rsidDel="00DC30D8">
        <w:t>policies,</w:t>
      </w:r>
      <w:r w:rsidR="000A5329" w:rsidRPr="002029AF">
        <w:t xml:space="preserve"> </w:t>
      </w:r>
      <w:r w:rsidRPr="002029AF" w:rsidDel="00DC30D8">
        <w:t>programs</w:t>
      </w:r>
      <w:r w:rsidR="000A5329" w:rsidRPr="002029AF">
        <w:t xml:space="preserve"> </w:t>
      </w:r>
      <w:r w:rsidRPr="002029AF" w:rsidDel="00DC30D8">
        <w:t>and</w:t>
      </w:r>
      <w:r w:rsidR="000A5329" w:rsidRPr="002029AF">
        <w:t xml:space="preserve"> </w:t>
      </w:r>
      <w:r w:rsidRPr="002029AF" w:rsidDel="00DC30D8">
        <w:t>practice</w:t>
      </w:r>
      <w:r w:rsidR="000A5329" w:rsidRPr="002029AF">
        <w:t xml:space="preserve"> </w:t>
      </w:r>
      <w:r w:rsidRPr="002029AF" w:rsidDel="00DC30D8">
        <w:t>advice</w:t>
      </w:r>
      <w:r w:rsidR="000A5329" w:rsidRPr="002029AF">
        <w:t xml:space="preserve"> </w:t>
      </w:r>
      <w:r w:rsidRPr="002029AF" w:rsidDel="00DC30D8">
        <w:t>that</w:t>
      </w:r>
      <w:r w:rsidR="000A5329" w:rsidRPr="002029AF">
        <w:t xml:space="preserve"> </w:t>
      </w:r>
      <w:r w:rsidRPr="002029AF" w:rsidDel="00DC30D8">
        <w:t>support</w:t>
      </w:r>
      <w:r w:rsidR="000A5329" w:rsidRPr="002029AF">
        <w:t xml:space="preserve"> </w:t>
      </w:r>
      <w:r w:rsidRPr="002029AF" w:rsidDel="00DC30D8">
        <w:t>the</w:t>
      </w:r>
      <w:r w:rsidR="000A5329" w:rsidRPr="002029AF">
        <w:t xml:space="preserve"> </w:t>
      </w:r>
      <w:r w:rsidRPr="002029AF" w:rsidDel="00DC30D8">
        <w:t>operations</w:t>
      </w:r>
      <w:r w:rsidR="000A5329" w:rsidRPr="002029AF">
        <w:t xml:space="preserve"> </w:t>
      </w:r>
      <w:r w:rsidRPr="002029AF" w:rsidDel="00DC30D8">
        <w:t>of</w:t>
      </w:r>
      <w:r w:rsidR="000A5329" w:rsidRPr="002029AF">
        <w:t xml:space="preserve"> </w:t>
      </w:r>
      <w:r w:rsidRPr="002029AF" w:rsidDel="00DC30D8">
        <w:t>the</w:t>
      </w:r>
      <w:r w:rsidR="000A5329" w:rsidRPr="002029AF">
        <w:t xml:space="preserve"> </w:t>
      </w:r>
      <w:r w:rsidRPr="002029AF" w:rsidDel="00DC30D8">
        <w:t>child</w:t>
      </w:r>
      <w:r w:rsidR="000A5329" w:rsidRPr="002029AF">
        <w:t xml:space="preserve"> </w:t>
      </w:r>
      <w:r w:rsidRPr="002029AF" w:rsidDel="00DC30D8">
        <w:t>protection</w:t>
      </w:r>
      <w:r w:rsidR="000A5329" w:rsidRPr="002029AF">
        <w:t xml:space="preserve"> </w:t>
      </w:r>
      <w:r w:rsidRPr="002029AF" w:rsidDel="00DC30D8">
        <w:t>program,</w:t>
      </w:r>
      <w:r w:rsidR="000A5329" w:rsidRPr="002029AF">
        <w:t xml:space="preserve"> </w:t>
      </w:r>
      <w:r w:rsidRPr="002029AF" w:rsidDel="00DC30D8">
        <w:t>family</w:t>
      </w:r>
      <w:r w:rsidR="000A5329" w:rsidRPr="002029AF">
        <w:t xml:space="preserve"> </w:t>
      </w:r>
      <w:r w:rsidRPr="002029AF" w:rsidDel="00DC30D8">
        <w:t>services</w:t>
      </w:r>
      <w:r w:rsidR="000A5329" w:rsidRPr="002029AF">
        <w:t xml:space="preserve"> </w:t>
      </w:r>
      <w:r w:rsidRPr="002029AF" w:rsidDel="00DC30D8">
        <w:t>and</w:t>
      </w:r>
      <w:r w:rsidR="000A5329" w:rsidRPr="002029AF">
        <w:t xml:space="preserve"> </w:t>
      </w:r>
      <w:r w:rsidRPr="002029AF" w:rsidDel="00DC30D8">
        <w:t>care</w:t>
      </w:r>
      <w:r w:rsidR="000A5329" w:rsidRPr="002029AF">
        <w:t xml:space="preserve"> </w:t>
      </w:r>
      <w:r w:rsidRPr="002029AF" w:rsidDel="00DC30D8">
        <w:t>services</w:t>
      </w:r>
      <w:r w:rsidR="000A5329" w:rsidRPr="002029AF">
        <w:t xml:space="preserve"> </w:t>
      </w:r>
      <w:r w:rsidRPr="002029AF" w:rsidDel="00DC30D8">
        <w:t>system</w:t>
      </w:r>
      <w:r w:rsidR="000A5329" w:rsidRPr="002029AF">
        <w:t xml:space="preserve"> </w:t>
      </w:r>
      <w:r w:rsidRPr="002029AF">
        <w:t>which</w:t>
      </w:r>
      <w:r w:rsidR="000A5329" w:rsidRPr="002029AF">
        <w:t xml:space="preserve"> </w:t>
      </w:r>
      <w:r w:rsidRPr="002029AF" w:rsidDel="00DC30D8">
        <w:t>includes</w:t>
      </w:r>
      <w:r w:rsidR="000A5329" w:rsidRPr="002029AF">
        <w:t xml:space="preserve"> </w:t>
      </w:r>
      <w:r w:rsidRPr="002029AF" w:rsidDel="00DC30D8">
        <w:t>support</w:t>
      </w:r>
      <w:r w:rsidR="000A5329" w:rsidRPr="002029AF">
        <w:t xml:space="preserve"> </w:t>
      </w:r>
      <w:r w:rsidRPr="002029AF" w:rsidDel="00DC30D8">
        <w:t>for</w:t>
      </w:r>
      <w:r w:rsidR="000A5329" w:rsidRPr="002029AF">
        <w:t xml:space="preserve"> </w:t>
      </w:r>
      <w:r w:rsidRPr="002029AF" w:rsidDel="00DC30D8">
        <w:t>foster,</w:t>
      </w:r>
      <w:r w:rsidR="000A5329" w:rsidRPr="002029AF">
        <w:t xml:space="preserve"> </w:t>
      </w:r>
      <w:r w:rsidRPr="002029AF" w:rsidDel="00DC30D8">
        <w:t>kinship</w:t>
      </w:r>
      <w:r w:rsidR="000A5329" w:rsidRPr="002029AF">
        <w:t xml:space="preserve"> </w:t>
      </w:r>
      <w:r w:rsidRPr="002029AF" w:rsidDel="00DC30D8">
        <w:t>and</w:t>
      </w:r>
      <w:r w:rsidR="000A5329" w:rsidRPr="002029AF">
        <w:t xml:space="preserve"> </w:t>
      </w:r>
      <w:r w:rsidRPr="002029AF" w:rsidDel="00DC30D8">
        <w:t>permanent</w:t>
      </w:r>
      <w:r w:rsidR="000A5329" w:rsidRPr="002029AF">
        <w:t xml:space="preserve"> </w:t>
      </w:r>
      <w:r w:rsidRPr="002029AF" w:rsidDel="00DC30D8">
        <w:t>carers</w:t>
      </w:r>
      <w:r w:rsidR="000A5329" w:rsidRPr="002029AF">
        <w:t xml:space="preserve"> </w:t>
      </w:r>
      <w:r w:rsidRPr="002029AF" w:rsidDel="00DC30D8">
        <w:t>to</w:t>
      </w:r>
      <w:r w:rsidR="000A5329" w:rsidRPr="002029AF">
        <w:t xml:space="preserve"> </w:t>
      </w:r>
      <w:r w:rsidRPr="002029AF" w:rsidDel="00DC30D8">
        <w:t>better</w:t>
      </w:r>
      <w:r w:rsidR="000A5329" w:rsidRPr="002029AF">
        <w:t xml:space="preserve"> </w:t>
      </w:r>
      <w:r w:rsidRPr="002029AF" w:rsidDel="00DC30D8">
        <w:t>enable</w:t>
      </w:r>
      <w:r w:rsidR="000A5329" w:rsidRPr="002029AF">
        <w:t xml:space="preserve"> </w:t>
      </w:r>
      <w:r w:rsidRPr="002029AF" w:rsidDel="00DC30D8">
        <w:t>them</w:t>
      </w:r>
      <w:r w:rsidR="000A5329" w:rsidRPr="002029AF">
        <w:t xml:space="preserve"> </w:t>
      </w:r>
      <w:r w:rsidRPr="002029AF" w:rsidDel="00DC30D8">
        <w:t>to</w:t>
      </w:r>
      <w:r w:rsidR="000A5329" w:rsidRPr="002029AF">
        <w:t xml:space="preserve"> </w:t>
      </w:r>
      <w:r w:rsidRPr="002029AF" w:rsidDel="00DC30D8">
        <w:t>respond</w:t>
      </w:r>
      <w:r w:rsidR="000A5329" w:rsidRPr="002029AF">
        <w:t xml:space="preserve"> </w:t>
      </w:r>
      <w:r w:rsidRPr="002029AF" w:rsidDel="00DC30D8">
        <w:t>to</w:t>
      </w:r>
      <w:r w:rsidR="000A5329" w:rsidRPr="002029AF">
        <w:t xml:space="preserve"> </w:t>
      </w:r>
      <w:r w:rsidRPr="002029AF" w:rsidDel="00DC30D8">
        <w:t>the</w:t>
      </w:r>
      <w:r w:rsidR="000A5329" w:rsidRPr="002029AF">
        <w:t xml:space="preserve"> </w:t>
      </w:r>
      <w:r w:rsidRPr="002029AF" w:rsidDel="00DC30D8">
        <w:t>needs</w:t>
      </w:r>
      <w:r w:rsidR="000A5329" w:rsidRPr="002029AF">
        <w:t xml:space="preserve"> </w:t>
      </w:r>
      <w:r w:rsidRPr="002029AF" w:rsidDel="00DC30D8">
        <w:t>of</w:t>
      </w:r>
      <w:r w:rsidR="000A5329" w:rsidRPr="002029AF">
        <w:t xml:space="preserve"> </w:t>
      </w:r>
      <w:r w:rsidRPr="002029AF" w:rsidDel="00DC30D8">
        <w:t>vulnerable</w:t>
      </w:r>
      <w:r w:rsidR="000A5329" w:rsidRPr="002029AF">
        <w:t xml:space="preserve"> </w:t>
      </w:r>
      <w:r w:rsidRPr="002029AF" w:rsidDel="00DC30D8">
        <w:t>families.</w:t>
      </w:r>
    </w:p>
    <w:p w14:paraId="6D7204C5" w14:textId="137E84D0" w:rsidR="00CF72D5" w:rsidRPr="002029AF" w:rsidDel="00DC30D8" w:rsidRDefault="00CF72D5" w:rsidP="00897193">
      <w:pPr>
        <w:pStyle w:val="Heading3"/>
      </w:pPr>
      <w:r w:rsidRPr="002029AF" w:rsidDel="00DC30D8">
        <w:t>Christina</w:t>
      </w:r>
      <w:r w:rsidR="000A5329" w:rsidRPr="002029AF">
        <w:t xml:space="preserve"> </w:t>
      </w:r>
      <w:r w:rsidRPr="002029AF" w:rsidDel="00DC30D8">
        <w:t>Asquini</w:t>
      </w:r>
    </w:p>
    <w:p w14:paraId="4A2DEF34" w14:textId="704D6387" w:rsidR="00CF72D5" w:rsidRPr="002029AF" w:rsidDel="00DC30D8" w:rsidRDefault="00CF72D5" w:rsidP="00897193">
      <w:pPr>
        <w:pStyle w:val="Heading4"/>
      </w:pPr>
      <w:r w:rsidRPr="002029AF" w:rsidDel="00DC30D8">
        <w:t>Deputy</w:t>
      </w:r>
      <w:r w:rsidR="000A5329" w:rsidRPr="002029AF">
        <w:t xml:space="preserve"> </w:t>
      </w:r>
      <w:r w:rsidRPr="002029AF" w:rsidDel="00DC30D8">
        <w:t>Secretary</w:t>
      </w:r>
      <w:r w:rsidR="000A5329" w:rsidRPr="002029AF">
        <w:t xml:space="preserve"> </w:t>
      </w:r>
      <w:r w:rsidRPr="002029AF" w:rsidDel="00DC30D8">
        <w:t>–</w:t>
      </w:r>
      <w:r w:rsidR="000A5329" w:rsidRPr="002029AF">
        <w:t xml:space="preserve"> </w:t>
      </w:r>
      <w:r w:rsidRPr="002029AF" w:rsidDel="00DC30D8">
        <w:t>Community</w:t>
      </w:r>
      <w:r w:rsidR="000A5329" w:rsidRPr="002029AF">
        <w:t xml:space="preserve"> </w:t>
      </w:r>
      <w:r w:rsidRPr="002029AF" w:rsidDel="00DC30D8">
        <w:t>Services</w:t>
      </w:r>
      <w:r w:rsidR="000A5329" w:rsidRPr="002029AF">
        <w:t xml:space="preserve"> </w:t>
      </w:r>
      <w:r w:rsidRPr="002029AF" w:rsidDel="00DC30D8">
        <w:t>Operations</w:t>
      </w:r>
    </w:p>
    <w:p w14:paraId="5F3E7E9F" w14:textId="15E3F7AC" w:rsidR="004D641D" w:rsidRPr="002029AF" w:rsidRDefault="00CF72D5" w:rsidP="004D641D">
      <w:pPr>
        <w:pStyle w:val="ARbody"/>
      </w:pPr>
      <w:r w:rsidRPr="002029AF">
        <w:t>Chris</w:t>
      </w:r>
      <w:r w:rsidR="000A5329" w:rsidRPr="002029AF">
        <w:t xml:space="preserve"> </w:t>
      </w:r>
      <w:r w:rsidRPr="002029AF">
        <w:t>Asquini</w:t>
      </w:r>
      <w:r w:rsidR="000A5329" w:rsidRPr="002029AF">
        <w:t xml:space="preserve"> </w:t>
      </w:r>
      <w:r w:rsidRPr="002029AF">
        <w:t>was</w:t>
      </w:r>
      <w:r w:rsidR="000A5329" w:rsidRPr="002029AF">
        <w:t xml:space="preserve"> </w:t>
      </w:r>
      <w:r w:rsidRPr="002029AF">
        <w:t>appointed</w:t>
      </w:r>
      <w:r w:rsidR="000A5329" w:rsidRPr="002029AF">
        <w:t xml:space="preserve"> </w:t>
      </w:r>
      <w:r w:rsidRPr="002029AF">
        <w:t>as</w:t>
      </w:r>
      <w:r w:rsidR="000A5329" w:rsidRPr="002029AF">
        <w:t xml:space="preserve"> </w:t>
      </w:r>
      <w:r w:rsidRPr="002029AF">
        <w:t>Deputy</w:t>
      </w:r>
      <w:r w:rsidR="000A5329" w:rsidRPr="002029AF">
        <w:t xml:space="preserve"> </w:t>
      </w:r>
      <w:r w:rsidRPr="002029AF">
        <w:t>Secretary</w:t>
      </w:r>
      <w:r w:rsidR="000A5329" w:rsidRPr="002029AF">
        <w:t xml:space="preserve"> </w:t>
      </w:r>
      <w:r w:rsidRPr="002029AF">
        <w:t>–</w:t>
      </w:r>
      <w:r w:rsidR="000A5329" w:rsidRPr="002029AF">
        <w:t xml:space="preserve"> </w:t>
      </w:r>
      <w:r w:rsidRPr="002029AF">
        <w:t>Community</w:t>
      </w:r>
      <w:r w:rsidR="000A5329" w:rsidRPr="002029AF">
        <w:t xml:space="preserve"> </w:t>
      </w:r>
      <w:r w:rsidRPr="002029AF">
        <w:t>Services</w:t>
      </w:r>
      <w:r w:rsidR="000A5329" w:rsidRPr="002029AF">
        <w:t xml:space="preserve"> </w:t>
      </w:r>
      <w:r w:rsidRPr="002029AF">
        <w:t>Operations</w:t>
      </w:r>
      <w:r w:rsidR="000A5329" w:rsidRPr="002029AF">
        <w:t xml:space="preserve"> </w:t>
      </w:r>
      <w:r w:rsidRPr="002029AF">
        <w:t>in</w:t>
      </w:r>
      <w:r w:rsidR="000A5329" w:rsidRPr="002029AF">
        <w:t xml:space="preserve"> </w:t>
      </w:r>
      <w:r w:rsidRPr="002029AF">
        <w:t>September</w:t>
      </w:r>
      <w:r w:rsidR="000A5329" w:rsidRPr="002029AF">
        <w:t xml:space="preserve"> </w:t>
      </w:r>
      <w:r w:rsidRPr="002029AF">
        <w:t>2015.</w:t>
      </w:r>
      <w:r w:rsidR="000A5329" w:rsidRPr="002029AF">
        <w:t xml:space="preserve"> </w:t>
      </w:r>
      <w:r w:rsidRPr="002029AF">
        <w:t>Chris</w:t>
      </w:r>
      <w:r w:rsidR="000A5329" w:rsidRPr="002029AF">
        <w:t xml:space="preserve"> </w:t>
      </w:r>
      <w:r w:rsidRPr="002029AF">
        <w:t>leads</w:t>
      </w:r>
      <w:r w:rsidR="000A5329" w:rsidRPr="002029AF">
        <w:t xml:space="preserve"> </w:t>
      </w:r>
      <w:r w:rsidR="005F18C0" w:rsidRPr="002029AF">
        <w:t>the</w:t>
      </w:r>
      <w:r w:rsidR="000A5329" w:rsidRPr="002029AF">
        <w:t xml:space="preserve"> </w:t>
      </w:r>
      <w:r w:rsidR="005F18C0" w:rsidRPr="002029AF">
        <w:t>delivery</w:t>
      </w:r>
      <w:r w:rsidR="000A5329" w:rsidRPr="002029AF">
        <w:t xml:space="preserve"> </w:t>
      </w:r>
      <w:r w:rsidR="005B3A6D" w:rsidRPr="002029AF">
        <w:t>of</w:t>
      </w:r>
      <w:r w:rsidR="000A5329" w:rsidRPr="002029AF">
        <w:t xml:space="preserve"> </w:t>
      </w:r>
      <w:r w:rsidR="005B3A6D" w:rsidRPr="002029AF">
        <w:t>children</w:t>
      </w:r>
      <w:r w:rsidR="000A5329" w:rsidRPr="002029AF">
        <w:t xml:space="preserve"> </w:t>
      </w:r>
      <w:r w:rsidR="005B3A6D" w:rsidRPr="002029AF">
        <w:t>and</w:t>
      </w:r>
      <w:r w:rsidR="000A5329" w:rsidRPr="002029AF">
        <w:t xml:space="preserve"> </w:t>
      </w:r>
      <w:r w:rsidR="005B3A6D" w:rsidRPr="002029AF">
        <w:t>family</w:t>
      </w:r>
      <w:r w:rsidR="00AB0C69" w:rsidRPr="002029AF">
        <w:t> </w:t>
      </w:r>
      <w:r w:rsidRPr="002029AF">
        <w:t>services</w:t>
      </w:r>
      <w:r w:rsidR="000A5329" w:rsidRPr="002029AF">
        <w:t xml:space="preserve"> </w:t>
      </w:r>
      <w:r w:rsidRPr="002029AF">
        <w:t>to</w:t>
      </w:r>
      <w:r w:rsidR="000A5329" w:rsidRPr="002029AF">
        <w:t xml:space="preserve"> </w:t>
      </w:r>
      <w:r w:rsidRPr="002029AF">
        <w:t>Victorians,</w:t>
      </w:r>
      <w:r w:rsidR="000A5329" w:rsidRPr="002029AF">
        <w:t xml:space="preserve"> </w:t>
      </w:r>
      <w:r w:rsidR="7143A55F" w:rsidRPr="002029AF">
        <w:t>and</w:t>
      </w:r>
      <w:r w:rsidR="000A5329" w:rsidRPr="002029AF">
        <w:t xml:space="preserve"> </w:t>
      </w:r>
      <w:r w:rsidRPr="002029AF">
        <w:t>for</w:t>
      </w:r>
      <w:r w:rsidR="000A5329" w:rsidRPr="002029AF">
        <w:t xml:space="preserve"> </w:t>
      </w:r>
      <w:r w:rsidRPr="002029AF">
        <w:t>implementing</w:t>
      </w:r>
      <w:r w:rsidR="000A5329" w:rsidRPr="002029AF">
        <w:t xml:space="preserve"> </w:t>
      </w:r>
      <w:r w:rsidRPr="002029AF">
        <w:t>operational</w:t>
      </w:r>
      <w:r w:rsidR="000A5329" w:rsidRPr="002029AF">
        <w:t xml:space="preserve"> </w:t>
      </w:r>
      <w:r w:rsidRPr="002029AF">
        <w:t>policy</w:t>
      </w:r>
      <w:r w:rsidR="000A5329" w:rsidRPr="002029AF">
        <w:t xml:space="preserve"> </w:t>
      </w:r>
      <w:r w:rsidRPr="002029AF">
        <w:t>and</w:t>
      </w:r>
      <w:r w:rsidR="000A5329" w:rsidRPr="002029AF">
        <w:t xml:space="preserve"> </w:t>
      </w:r>
      <w:r w:rsidRPr="002029AF">
        <w:t>funding</w:t>
      </w:r>
      <w:r w:rsidR="000A5329" w:rsidRPr="002029AF">
        <w:t xml:space="preserve"> </w:t>
      </w:r>
      <w:r w:rsidRPr="002029AF">
        <w:t>frameworks</w:t>
      </w:r>
      <w:r w:rsidR="000A5329" w:rsidRPr="002029AF">
        <w:t xml:space="preserve"> </w:t>
      </w:r>
      <w:r w:rsidRPr="002029AF">
        <w:t>with</w:t>
      </w:r>
      <w:r w:rsidR="000A5329" w:rsidRPr="002029AF">
        <w:t xml:space="preserve"> </w:t>
      </w:r>
      <w:r w:rsidRPr="002029AF">
        <w:t>a</w:t>
      </w:r>
      <w:r w:rsidR="000A5329" w:rsidRPr="002029AF">
        <w:t xml:space="preserve"> </w:t>
      </w:r>
      <w:r w:rsidRPr="002029AF">
        <w:t>focus</w:t>
      </w:r>
      <w:r w:rsidR="000A5329" w:rsidRPr="002029AF">
        <w:t xml:space="preserve"> </w:t>
      </w:r>
      <w:r w:rsidRPr="002029AF">
        <w:t>on</w:t>
      </w:r>
      <w:r w:rsidR="000A5329" w:rsidRPr="002029AF">
        <w:t xml:space="preserve"> </w:t>
      </w:r>
      <w:r w:rsidRPr="002029AF">
        <w:t>children</w:t>
      </w:r>
      <w:r w:rsidR="000A5329" w:rsidRPr="002029AF">
        <w:t xml:space="preserve"> </w:t>
      </w:r>
      <w:r w:rsidRPr="002029AF">
        <w:t>and</w:t>
      </w:r>
      <w:r w:rsidR="000A5329" w:rsidRPr="002029AF">
        <w:t xml:space="preserve"> </w:t>
      </w:r>
      <w:r w:rsidRPr="002029AF">
        <w:t>families,</w:t>
      </w:r>
      <w:r w:rsidR="000A5329" w:rsidRPr="002029AF">
        <w:t xml:space="preserve"> </w:t>
      </w:r>
      <w:r w:rsidRPr="002029AF">
        <w:t>housing</w:t>
      </w:r>
      <w:r w:rsidR="000A5329" w:rsidRPr="002029AF">
        <w:t xml:space="preserve"> </w:t>
      </w:r>
      <w:r w:rsidRPr="002029AF">
        <w:t>and</w:t>
      </w:r>
      <w:r w:rsidR="000A5329" w:rsidRPr="002029AF">
        <w:t xml:space="preserve"> </w:t>
      </w:r>
      <w:r w:rsidRPr="002029AF">
        <w:t>disability.</w:t>
      </w:r>
      <w:r w:rsidR="000A5329" w:rsidRPr="002029AF">
        <w:t xml:space="preserve"> </w:t>
      </w:r>
      <w:r w:rsidRPr="002029AF">
        <w:t>Chris</w:t>
      </w:r>
      <w:r w:rsidR="000A5329" w:rsidRPr="002029AF">
        <w:t xml:space="preserve"> </w:t>
      </w:r>
      <w:r w:rsidRPr="002029AF">
        <w:t>also</w:t>
      </w:r>
      <w:r w:rsidR="000A5329" w:rsidRPr="002029AF">
        <w:t xml:space="preserve"> </w:t>
      </w:r>
      <w:r w:rsidRPr="002029AF">
        <w:t>oversees</w:t>
      </w:r>
      <w:r w:rsidR="000A5329" w:rsidRPr="002029AF">
        <w:t xml:space="preserve"> </w:t>
      </w:r>
      <w:r w:rsidRPr="002029AF">
        <w:t>the</w:t>
      </w:r>
      <w:r w:rsidR="000A5329" w:rsidRPr="002029AF">
        <w:t xml:space="preserve"> </w:t>
      </w:r>
      <w:r w:rsidRPr="002029AF">
        <w:t>provision</w:t>
      </w:r>
      <w:r w:rsidR="000A5329" w:rsidRPr="002029AF">
        <w:t xml:space="preserve"> </w:t>
      </w:r>
      <w:r w:rsidRPr="002029AF">
        <w:t>of</w:t>
      </w:r>
      <w:r w:rsidR="000A5329" w:rsidRPr="002029AF">
        <w:t xml:space="preserve"> </w:t>
      </w:r>
      <w:r w:rsidRPr="002029AF">
        <w:t>practice</w:t>
      </w:r>
      <w:r w:rsidR="000A5329" w:rsidRPr="002029AF">
        <w:t xml:space="preserve"> </w:t>
      </w:r>
      <w:r w:rsidRPr="002029AF">
        <w:t>leadership,</w:t>
      </w:r>
      <w:r w:rsidR="000A5329" w:rsidRPr="002029AF">
        <w:t xml:space="preserve"> </w:t>
      </w:r>
      <w:r w:rsidRPr="002029AF">
        <w:t>the</w:t>
      </w:r>
      <w:r w:rsidR="000A5329" w:rsidRPr="002029AF">
        <w:t xml:space="preserve"> </w:t>
      </w:r>
      <w:r w:rsidRPr="002029AF">
        <w:t>management</w:t>
      </w:r>
      <w:r w:rsidR="000A5329" w:rsidRPr="002029AF">
        <w:t xml:space="preserve"> </w:t>
      </w:r>
      <w:r w:rsidRPr="002029AF">
        <w:t>of</w:t>
      </w:r>
      <w:r w:rsidR="000A5329" w:rsidRPr="002029AF">
        <w:t xml:space="preserve"> </w:t>
      </w:r>
      <w:r w:rsidRPr="002029AF">
        <w:t>critical</w:t>
      </w:r>
      <w:r w:rsidR="000A5329" w:rsidRPr="002029AF">
        <w:t xml:space="preserve"> </w:t>
      </w:r>
      <w:r w:rsidRPr="002029AF">
        <w:t>incidents</w:t>
      </w:r>
      <w:r w:rsidR="000A5329" w:rsidRPr="002029AF">
        <w:t xml:space="preserve"> </w:t>
      </w:r>
      <w:r w:rsidRPr="002029AF">
        <w:t>and</w:t>
      </w:r>
      <w:r w:rsidR="000A5329" w:rsidRPr="002029AF">
        <w:t xml:space="preserve"> </w:t>
      </w:r>
      <w:r w:rsidRPr="002029AF">
        <w:t>child</w:t>
      </w:r>
      <w:r w:rsidR="000A5329" w:rsidRPr="002029AF">
        <w:t xml:space="preserve"> </w:t>
      </w:r>
      <w:r w:rsidRPr="002029AF">
        <w:t>safety,</w:t>
      </w:r>
      <w:r w:rsidR="000A5329" w:rsidRPr="002029AF">
        <w:t xml:space="preserve"> </w:t>
      </w:r>
      <w:r w:rsidRPr="002029AF">
        <w:t>and</w:t>
      </w:r>
      <w:r w:rsidR="000A5329" w:rsidRPr="002029AF">
        <w:t xml:space="preserve"> </w:t>
      </w:r>
      <w:r w:rsidRPr="002029AF">
        <w:t>the</w:t>
      </w:r>
      <w:r w:rsidR="000A5329" w:rsidRPr="002029AF">
        <w:t xml:space="preserve"> </w:t>
      </w:r>
      <w:r w:rsidRPr="002029AF">
        <w:t>monitoring</w:t>
      </w:r>
      <w:r w:rsidR="000A5329" w:rsidRPr="002029AF">
        <w:t xml:space="preserve"> </w:t>
      </w:r>
      <w:r w:rsidRPr="002029AF">
        <w:t>and</w:t>
      </w:r>
      <w:r w:rsidR="000A5329" w:rsidRPr="002029AF">
        <w:t xml:space="preserve"> </w:t>
      </w:r>
      <w:r w:rsidR="0029774F" w:rsidRPr="002029AF">
        <w:t>analysis</w:t>
      </w:r>
      <w:r w:rsidR="000A5329" w:rsidRPr="002029AF">
        <w:t xml:space="preserve"> </w:t>
      </w:r>
      <w:r w:rsidRPr="002029AF">
        <w:t>of</w:t>
      </w:r>
      <w:r w:rsidR="000A5329" w:rsidRPr="002029AF">
        <w:t xml:space="preserve"> </w:t>
      </w:r>
      <w:r w:rsidRPr="002029AF">
        <w:t>statewide</w:t>
      </w:r>
      <w:r w:rsidR="000A5329" w:rsidRPr="002029AF">
        <w:t xml:space="preserve"> </w:t>
      </w:r>
      <w:r w:rsidRPr="002029AF">
        <w:t>service</w:t>
      </w:r>
      <w:r w:rsidR="000A5329" w:rsidRPr="002029AF">
        <w:t xml:space="preserve"> </w:t>
      </w:r>
      <w:r w:rsidRPr="002029AF">
        <w:t>delivery</w:t>
      </w:r>
      <w:r w:rsidR="000A5329" w:rsidRPr="002029AF">
        <w:t xml:space="preserve"> </w:t>
      </w:r>
      <w:r w:rsidRPr="002029AF">
        <w:t>standards</w:t>
      </w:r>
      <w:r w:rsidR="000A5329" w:rsidRPr="002029AF">
        <w:t xml:space="preserve"> </w:t>
      </w:r>
      <w:r w:rsidRPr="002029AF">
        <w:t>and</w:t>
      </w:r>
      <w:r w:rsidR="000A5329" w:rsidRPr="002029AF">
        <w:t xml:space="preserve"> </w:t>
      </w:r>
      <w:r w:rsidRPr="002029AF">
        <w:t>performance.</w:t>
      </w:r>
    </w:p>
    <w:p w14:paraId="0E5F0492" w14:textId="69B89D1B" w:rsidR="00116893" w:rsidRPr="002029AF" w:rsidDel="00DC30D8" w:rsidRDefault="00116893" w:rsidP="006D5287">
      <w:pPr>
        <w:pStyle w:val="Heading3"/>
        <w:spacing w:before="0"/>
      </w:pPr>
      <w:r w:rsidRPr="002029AF" w:rsidDel="00DC30D8">
        <w:t>Greg</w:t>
      </w:r>
      <w:r w:rsidR="000A5329" w:rsidRPr="002029AF">
        <w:t xml:space="preserve"> </w:t>
      </w:r>
      <w:r w:rsidRPr="002029AF" w:rsidDel="00DC30D8">
        <w:t>Stenton</w:t>
      </w:r>
    </w:p>
    <w:p w14:paraId="6E3EFF73" w14:textId="58D9BD68" w:rsidR="00116893" w:rsidRPr="002029AF" w:rsidDel="00DC30D8" w:rsidRDefault="00116893" w:rsidP="00116893">
      <w:pPr>
        <w:pStyle w:val="Heading4"/>
        <w:rPr>
          <w:lang w:eastAsia="en-AU"/>
        </w:rPr>
      </w:pPr>
      <w:r w:rsidRPr="002029AF" w:rsidDel="00DC30D8">
        <w:rPr>
          <w:lang w:eastAsia="en-AU"/>
        </w:rPr>
        <w:t>Deputy</w:t>
      </w:r>
      <w:r w:rsidR="000A5329" w:rsidRPr="002029AF">
        <w:rPr>
          <w:lang w:eastAsia="en-AU"/>
        </w:rPr>
        <w:t xml:space="preserve"> </w:t>
      </w:r>
      <w:r w:rsidRPr="002029AF" w:rsidDel="00DC30D8">
        <w:t>Secretary</w:t>
      </w:r>
      <w:r w:rsidR="000A5329" w:rsidRPr="002029AF">
        <w:rPr>
          <w:lang w:eastAsia="en-AU"/>
        </w:rPr>
        <w:t xml:space="preserve"> </w:t>
      </w:r>
      <w:r w:rsidRPr="002029AF" w:rsidDel="00DC30D8">
        <w:rPr>
          <w:lang w:eastAsia="en-AU"/>
        </w:rPr>
        <w:t>–</w:t>
      </w:r>
      <w:r w:rsidR="000A5329" w:rsidRPr="002029AF">
        <w:rPr>
          <w:lang w:eastAsia="en-AU"/>
        </w:rPr>
        <w:t xml:space="preserve"> </w:t>
      </w:r>
      <w:r w:rsidRPr="002029AF" w:rsidDel="00DC30D8">
        <w:rPr>
          <w:lang w:eastAsia="en-AU"/>
        </w:rPr>
        <w:t>Corporate</w:t>
      </w:r>
      <w:r w:rsidR="000A5329" w:rsidRPr="002029AF">
        <w:rPr>
          <w:lang w:eastAsia="en-AU"/>
        </w:rPr>
        <w:t xml:space="preserve"> </w:t>
      </w:r>
      <w:r w:rsidRPr="002029AF" w:rsidDel="00DC30D8">
        <w:rPr>
          <w:lang w:eastAsia="en-AU"/>
        </w:rPr>
        <w:t>Services</w:t>
      </w:r>
    </w:p>
    <w:p w14:paraId="01DAC848" w14:textId="021912D5" w:rsidR="00116893" w:rsidRPr="002029AF" w:rsidDel="00DC30D8" w:rsidRDefault="00116893" w:rsidP="00116893">
      <w:pPr>
        <w:pStyle w:val="ARbody"/>
      </w:pPr>
      <w:r w:rsidRPr="002029AF">
        <w:t>Greg</w:t>
      </w:r>
      <w:r w:rsidR="000A5329" w:rsidRPr="002029AF">
        <w:t xml:space="preserve"> </w:t>
      </w:r>
      <w:r w:rsidRPr="002029AF">
        <w:t>Stenton</w:t>
      </w:r>
      <w:r w:rsidR="000A5329" w:rsidRPr="002029AF">
        <w:t xml:space="preserve"> </w:t>
      </w:r>
      <w:r w:rsidRPr="002029AF">
        <w:t>was</w:t>
      </w:r>
      <w:r w:rsidR="000A5329" w:rsidRPr="002029AF">
        <w:t xml:space="preserve"> </w:t>
      </w:r>
      <w:r w:rsidRPr="002029AF">
        <w:t>appointed</w:t>
      </w:r>
      <w:r w:rsidR="000A5329" w:rsidRPr="002029AF">
        <w:t xml:space="preserve"> </w:t>
      </w:r>
      <w:r w:rsidRPr="002029AF">
        <w:t>as</w:t>
      </w:r>
      <w:r w:rsidR="000A5329" w:rsidRPr="002029AF">
        <w:t xml:space="preserve"> </w:t>
      </w:r>
      <w:r w:rsidRPr="002029AF">
        <w:t>Deputy</w:t>
      </w:r>
      <w:r w:rsidR="000A5329" w:rsidRPr="002029AF">
        <w:t xml:space="preserve"> </w:t>
      </w:r>
      <w:r w:rsidRPr="002029AF">
        <w:t>Secretary</w:t>
      </w:r>
      <w:r w:rsidR="000A5329" w:rsidRPr="002029AF">
        <w:t xml:space="preserve"> </w:t>
      </w:r>
      <w:r w:rsidRPr="002029AF">
        <w:t>–</w:t>
      </w:r>
      <w:r w:rsidR="000A5329" w:rsidRPr="002029AF">
        <w:t xml:space="preserve"> </w:t>
      </w:r>
      <w:r w:rsidRPr="002029AF">
        <w:t>Corporate</w:t>
      </w:r>
      <w:r w:rsidR="000A5329" w:rsidRPr="002029AF">
        <w:t xml:space="preserve"> </w:t>
      </w:r>
      <w:r w:rsidRPr="002029AF">
        <w:t>Services</w:t>
      </w:r>
      <w:r w:rsidR="000A5329" w:rsidRPr="002029AF">
        <w:t xml:space="preserve"> </w:t>
      </w:r>
      <w:r w:rsidRPr="002029AF">
        <w:t>in</w:t>
      </w:r>
      <w:r w:rsidR="000A5329" w:rsidRPr="002029AF">
        <w:t xml:space="preserve"> </w:t>
      </w:r>
      <w:r w:rsidRPr="002029AF">
        <w:t>January</w:t>
      </w:r>
      <w:r w:rsidR="000A5329" w:rsidRPr="002029AF">
        <w:t xml:space="preserve"> </w:t>
      </w:r>
      <w:r w:rsidRPr="002029AF">
        <w:t>2019.</w:t>
      </w:r>
      <w:r w:rsidR="000A5329" w:rsidRPr="002029AF">
        <w:t xml:space="preserve"> </w:t>
      </w:r>
      <w:r w:rsidRPr="002029AF">
        <w:t>Greg</w:t>
      </w:r>
      <w:r w:rsidR="000A5329" w:rsidRPr="002029AF">
        <w:t xml:space="preserve"> </w:t>
      </w:r>
      <w:r w:rsidRPr="002029AF">
        <w:t>oversees</w:t>
      </w:r>
      <w:r w:rsidR="000A5329" w:rsidRPr="002029AF">
        <w:t xml:space="preserve"> </w:t>
      </w:r>
      <w:r w:rsidRPr="002029AF">
        <w:t>the</w:t>
      </w:r>
      <w:r w:rsidR="000A5329" w:rsidRPr="002029AF">
        <w:t xml:space="preserve"> </w:t>
      </w:r>
      <w:r w:rsidRPr="002029AF">
        <w:t>provision</w:t>
      </w:r>
      <w:r w:rsidR="000A5329" w:rsidRPr="002029AF">
        <w:t xml:space="preserve"> </w:t>
      </w:r>
      <w:r w:rsidRPr="002029AF">
        <w:t>of</w:t>
      </w:r>
      <w:r w:rsidR="000A5329" w:rsidRPr="002029AF">
        <w:t xml:space="preserve"> </w:t>
      </w:r>
      <w:r w:rsidRPr="002029AF" w:rsidDel="00DC30D8">
        <w:t>a</w:t>
      </w:r>
      <w:r w:rsidR="000A5329" w:rsidRPr="002029AF">
        <w:t xml:space="preserve"> </w:t>
      </w:r>
      <w:r w:rsidRPr="002029AF" w:rsidDel="00DC30D8">
        <w:t>range</w:t>
      </w:r>
      <w:r w:rsidR="000A5329" w:rsidRPr="002029AF">
        <w:t xml:space="preserve"> </w:t>
      </w:r>
      <w:r w:rsidRPr="002029AF" w:rsidDel="00DC30D8">
        <w:t>of</w:t>
      </w:r>
      <w:r w:rsidR="000A5329" w:rsidRPr="002029AF">
        <w:t xml:space="preserve"> </w:t>
      </w:r>
      <w:r w:rsidRPr="002029AF" w:rsidDel="00DC30D8">
        <w:t>internally</w:t>
      </w:r>
      <w:r w:rsidR="000A5329" w:rsidRPr="002029AF">
        <w:t xml:space="preserve"> </w:t>
      </w:r>
      <w:r w:rsidRPr="002029AF" w:rsidDel="00DC30D8">
        <w:t>focused</w:t>
      </w:r>
      <w:r w:rsidR="000A5329" w:rsidRPr="002029AF">
        <w:t xml:space="preserve"> </w:t>
      </w:r>
      <w:r w:rsidRPr="002029AF" w:rsidDel="00DC30D8">
        <w:t>functions</w:t>
      </w:r>
      <w:r w:rsidR="000A5329" w:rsidRPr="002029AF">
        <w:t xml:space="preserve"> </w:t>
      </w:r>
      <w:r w:rsidRPr="002029AF" w:rsidDel="00DC30D8">
        <w:t>including</w:t>
      </w:r>
      <w:r w:rsidR="000A5329" w:rsidRPr="002029AF">
        <w:t xml:space="preserve"> </w:t>
      </w:r>
      <w:r w:rsidRPr="002029AF" w:rsidDel="00DC30D8">
        <w:t>finance,</w:t>
      </w:r>
      <w:r w:rsidR="000A5329" w:rsidRPr="002029AF">
        <w:t xml:space="preserve"> </w:t>
      </w:r>
      <w:r w:rsidRPr="002029AF" w:rsidDel="00DC30D8">
        <w:t>people</w:t>
      </w:r>
      <w:r w:rsidR="000A5329" w:rsidRPr="002029AF">
        <w:t xml:space="preserve"> </w:t>
      </w:r>
      <w:r w:rsidRPr="002029AF" w:rsidDel="00DC30D8">
        <w:t>and</w:t>
      </w:r>
      <w:r w:rsidR="000A5329" w:rsidRPr="002029AF">
        <w:t xml:space="preserve"> </w:t>
      </w:r>
      <w:r w:rsidRPr="002029AF" w:rsidDel="00DC30D8">
        <w:t>culture,</w:t>
      </w:r>
      <w:r w:rsidR="000A5329" w:rsidRPr="002029AF">
        <w:t xml:space="preserve"> </w:t>
      </w:r>
      <w:r w:rsidRPr="002029AF" w:rsidDel="00DC30D8">
        <w:t>information</w:t>
      </w:r>
      <w:r w:rsidR="000A5329" w:rsidRPr="002029AF">
        <w:t xml:space="preserve"> </w:t>
      </w:r>
      <w:r w:rsidRPr="002029AF" w:rsidDel="00DC30D8">
        <w:t>technology,</w:t>
      </w:r>
      <w:r w:rsidR="000A5329" w:rsidRPr="002029AF">
        <w:t xml:space="preserve"> </w:t>
      </w:r>
      <w:r w:rsidRPr="002029AF" w:rsidDel="00DC30D8">
        <w:t>procurement,</w:t>
      </w:r>
      <w:r w:rsidR="000A5329" w:rsidRPr="002029AF">
        <w:t xml:space="preserve"> </w:t>
      </w:r>
      <w:r w:rsidRPr="002029AF" w:rsidDel="00DC30D8">
        <w:t>records</w:t>
      </w:r>
      <w:r w:rsidR="000A5329" w:rsidRPr="002029AF">
        <w:t xml:space="preserve"> </w:t>
      </w:r>
      <w:r w:rsidRPr="002029AF" w:rsidDel="00DC30D8">
        <w:t>management,</w:t>
      </w:r>
      <w:r w:rsidR="000A5329" w:rsidRPr="002029AF">
        <w:t xml:space="preserve"> </w:t>
      </w:r>
      <w:r w:rsidRPr="002029AF" w:rsidDel="00DC30D8">
        <w:t>customer</w:t>
      </w:r>
      <w:r w:rsidR="000A5329" w:rsidRPr="002029AF">
        <w:t xml:space="preserve"> </w:t>
      </w:r>
      <w:r w:rsidRPr="002029AF" w:rsidDel="00DC30D8">
        <w:t>support</w:t>
      </w:r>
      <w:r w:rsidR="000A5329" w:rsidRPr="002029AF">
        <w:t xml:space="preserve"> </w:t>
      </w:r>
      <w:r w:rsidRPr="002029AF" w:rsidDel="00DC30D8">
        <w:t>and</w:t>
      </w:r>
      <w:r w:rsidR="000A5329" w:rsidRPr="002029AF">
        <w:t xml:space="preserve"> </w:t>
      </w:r>
      <w:r w:rsidRPr="002029AF" w:rsidDel="00DC30D8">
        <w:t>payroll</w:t>
      </w:r>
      <w:r w:rsidR="000A5329" w:rsidRPr="002029AF">
        <w:t xml:space="preserve"> </w:t>
      </w:r>
      <w:r w:rsidRPr="002029AF" w:rsidDel="00DC30D8">
        <w:t>along</w:t>
      </w:r>
      <w:r w:rsidR="000A5329" w:rsidRPr="002029AF">
        <w:t xml:space="preserve"> </w:t>
      </w:r>
      <w:r w:rsidRPr="002029AF" w:rsidDel="00DC30D8">
        <w:t>with</w:t>
      </w:r>
      <w:r w:rsidR="000A5329" w:rsidRPr="002029AF">
        <w:t xml:space="preserve"> </w:t>
      </w:r>
      <w:r w:rsidRPr="002029AF" w:rsidDel="00DC30D8">
        <w:t>the</w:t>
      </w:r>
      <w:r w:rsidR="000A5329" w:rsidRPr="002029AF">
        <w:t xml:space="preserve"> </w:t>
      </w:r>
      <w:r w:rsidRPr="002029AF" w:rsidDel="00DC30D8">
        <w:t>delivery</w:t>
      </w:r>
      <w:r w:rsidR="000A5329" w:rsidRPr="002029AF">
        <w:t xml:space="preserve"> </w:t>
      </w:r>
      <w:r w:rsidRPr="002029AF" w:rsidDel="00DC30D8">
        <w:t>of</w:t>
      </w:r>
      <w:r w:rsidR="000A5329" w:rsidRPr="002029AF">
        <w:t xml:space="preserve"> </w:t>
      </w:r>
      <w:r w:rsidRPr="002029AF" w:rsidDel="00DC30D8">
        <w:t>health</w:t>
      </w:r>
      <w:r w:rsidR="000A5329" w:rsidRPr="002029AF">
        <w:t xml:space="preserve"> </w:t>
      </w:r>
      <w:r w:rsidRPr="002029AF" w:rsidDel="00DC30D8">
        <w:t>technology</w:t>
      </w:r>
      <w:r w:rsidR="000A5329" w:rsidRPr="002029AF">
        <w:t xml:space="preserve"> </w:t>
      </w:r>
      <w:r w:rsidRPr="002029AF" w:rsidDel="00DC30D8">
        <w:t>services</w:t>
      </w:r>
      <w:r w:rsidR="000A5329" w:rsidRPr="002029AF">
        <w:t xml:space="preserve"> </w:t>
      </w:r>
      <w:r w:rsidRPr="002029AF" w:rsidDel="00DC30D8">
        <w:t>to</w:t>
      </w:r>
      <w:r w:rsidR="000A5329" w:rsidRPr="002029AF">
        <w:t xml:space="preserve"> </w:t>
      </w:r>
      <w:r w:rsidRPr="002029AF" w:rsidDel="00DC30D8">
        <w:t>hospitals.</w:t>
      </w:r>
    </w:p>
    <w:p w14:paraId="7B8C86B4" w14:textId="316E189C" w:rsidR="00CF72D5" w:rsidRPr="002029AF" w:rsidDel="00DC30D8" w:rsidRDefault="00CF72D5" w:rsidP="00897193">
      <w:pPr>
        <w:pStyle w:val="Heading3"/>
      </w:pPr>
      <w:r w:rsidRPr="002029AF" w:rsidDel="00DC30D8">
        <w:t>Terry</w:t>
      </w:r>
      <w:r w:rsidR="000A5329" w:rsidRPr="002029AF">
        <w:t xml:space="preserve"> </w:t>
      </w:r>
      <w:r w:rsidRPr="002029AF" w:rsidDel="00DC30D8">
        <w:t>Symonds</w:t>
      </w:r>
    </w:p>
    <w:p w14:paraId="5918ABA3" w14:textId="14BD3FA5" w:rsidR="00CF72D5" w:rsidRPr="002029AF" w:rsidDel="00DC30D8" w:rsidRDefault="00CF72D5" w:rsidP="00897193">
      <w:pPr>
        <w:pStyle w:val="Heading4"/>
        <w:rPr>
          <w:lang w:eastAsia="en-AU"/>
        </w:rPr>
      </w:pPr>
      <w:r w:rsidRPr="002029AF" w:rsidDel="00DC30D8">
        <w:rPr>
          <w:lang w:eastAsia="en-AU"/>
        </w:rPr>
        <w:t>Deputy</w:t>
      </w:r>
      <w:r w:rsidR="000A5329" w:rsidRPr="002029AF">
        <w:rPr>
          <w:lang w:eastAsia="en-AU"/>
        </w:rPr>
        <w:t xml:space="preserve"> </w:t>
      </w:r>
      <w:r w:rsidRPr="002029AF" w:rsidDel="00DC30D8">
        <w:rPr>
          <w:lang w:eastAsia="en-AU"/>
        </w:rPr>
        <w:t>Secretary</w:t>
      </w:r>
      <w:r w:rsidR="000A5329" w:rsidRPr="002029AF">
        <w:rPr>
          <w:lang w:eastAsia="en-AU"/>
        </w:rPr>
        <w:t xml:space="preserve"> </w:t>
      </w:r>
      <w:r w:rsidRPr="002029AF" w:rsidDel="00DC30D8">
        <w:rPr>
          <w:lang w:eastAsia="en-AU"/>
        </w:rPr>
        <w:t>–</w:t>
      </w:r>
      <w:r w:rsidR="000A5329" w:rsidRPr="002029AF">
        <w:rPr>
          <w:lang w:eastAsia="en-AU"/>
        </w:rPr>
        <w:t xml:space="preserve"> </w:t>
      </w:r>
      <w:r w:rsidRPr="002029AF" w:rsidDel="00DC30D8">
        <w:rPr>
          <w:lang w:eastAsia="en-AU"/>
        </w:rPr>
        <w:t>Health</w:t>
      </w:r>
      <w:r w:rsidR="000A5329" w:rsidRPr="002029AF">
        <w:rPr>
          <w:lang w:eastAsia="en-AU"/>
        </w:rPr>
        <w:t xml:space="preserve"> </w:t>
      </w:r>
      <w:r w:rsidRPr="002029AF" w:rsidDel="00DC30D8">
        <w:rPr>
          <w:lang w:eastAsia="en-AU"/>
        </w:rPr>
        <w:t>and</w:t>
      </w:r>
      <w:r w:rsidR="000A5329" w:rsidRPr="002029AF">
        <w:rPr>
          <w:lang w:eastAsia="en-AU"/>
        </w:rPr>
        <w:t xml:space="preserve"> </w:t>
      </w:r>
      <w:r w:rsidRPr="002029AF" w:rsidDel="00DC30D8">
        <w:rPr>
          <w:lang w:eastAsia="en-AU"/>
        </w:rPr>
        <w:t>Wellbeing</w:t>
      </w:r>
    </w:p>
    <w:p w14:paraId="54826301" w14:textId="7753B230" w:rsidR="000A5329" w:rsidRPr="002029AF" w:rsidRDefault="00CF72D5" w:rsidP="00897193">
      <w:pPr>
        <w:pStyle w:val="ARbody"/>
        <w:rPr>
          <w:lang w:eastAsia="en-AU"/>
        </w:rPr>
      </w:pPr>
      <w:r w:rsidRPr="002029AF">
        <w:rPr>
          <w:lang w:eastAsia="en-AU"/>
        </w:rPr>
        <w:t>Terry</w:t>
      </w:r>
      <w:r w:rsidR="000A5329" w:rsidRPr="002029AF">
        <w:rPr>
          <w:lang w:eastAsia="en-AU"/>
        </w:rPr>
        <w:t xml:space="preserve"> </w:t>
      </w:r>
      <w:r w:rsidRPr="002029AF">
        <w:rPr>
          <w:lang w:eastAsia="en-AU"/>
        </w:rPr>
        <w:t>Symonds</w:t>
      </w:r>
      <w:r w:rsidR="000A5329" w:rsidRPr="002029AF">
        <w:rPr>
          <w:lang w:eastAsia="en-AU"/>
        </w:rPr>
        <w:t xml:space="preserve"> </w:t>
      </w:r>
      <w:r w:rsidRPr="002029AF">
        <w:t>was</w:t>
      </w:r>
      <w:r w:rsidR="000A5329" w:rsidRPr="002029AF">
        <w:t xml:space="preserve"> </w:t>
      </w:r>
      <w:r w:rsidRPr="002029AF">
        <w:t>appointed</w:t>
      </w:r>
      <w:r w:rsidR="000A5329" w:rsidRPr="002029AF">
        <w:t xml:space="preserve"> </w:t>
      </w:r>
      <w:r w:rsidRPr="002029AF">
        <w:t>as</w:t>
      </w:r>
      <w:r w:rsidR="000A5329" w:rsidRPr="002029AF">
        <w:t xml:space="preserve"> </w:t>
      </w:r>
      <w:r w:rsidRPr="002029AF">
        <w:t>Deputy</w:t>
      </w:r>
      <w:r w:rsidR="000A5329" w:rsidRPr="002029AF">
        <w:t xml:space="preserve"> </w:t>
      </w:r>
      <w:r w:rsidRPr="002029AF">
        <w:t>Secretary</w:t>
      </w:r>
      <w:r w:rsidR="00AB0C69" w:rsidRPr="002029AF">
        <w:t> </w:t>
      </w:r>
      <w:r w:rsidRPr="002029AF">
        <w:t>–</w:t>
      </w:r>
      <w:r w:rsidR="000A5329" w:rsidRPr="002029AF">
        <w:t xml:space="preserve"> </w:t>
      </w:r>
      <w:r w:rsidRPr="002029AF">
        <w:t>Health</w:t>
      </w:r>
      <w:r w:rsidR="000A5329" w:rsidRPr="002029AF">
        <w:t xml:space="preserve"> </w:t>
      </w:r>
      <w:r w:rsidRPr="002029AF">
        <w:t>and</w:t>
      </w:r>
      <w:r w:rsidR="000A5329" w:rsidRPr="002029AF">
        <w:t xml:space="preserve"> </w:t>
      </w:r>
      <w:r w:rsidRPr="002029AF">
        <w:t>Wellbeing</w:t>
      </w:r>
      <w:r w:rsidR="000A5329" w:rsidRPr="002029AF">
        <w:t xml:space="preserve"> </w:t>
      </w:r>
      <w:r w:rsidRPr="002029AF">
        <w:t>in</w:t>
      </w:r>
      <w:r w:rsidR="000A5329" w:rsidRPr="002029AF">
        <w:t xml:space="preserve"> </w:t>
      </w:r>
      <w:r w:rsidRPr="002029AF">
        <w:t>July</w:t>
      </w:r>
      <w:r w:rsidR="000A5329" w:rsidRPr="002029AF">
        <w:t xml:space="preserve"> </w:t>
      </w:r>
      <w:r w:rsidRPr="002029AF">
        <w:t>2015.</w:t>
      </w:r>
      <w:r w:rsidR="000A5329" w:rsidRPr="002029AF">
        <w:t xml:space="preserve"> </w:t>
      </w:r>
      <w:r w:rsidRPr="002029AF">
        <w:t>Terry</w:t>
      </w:r>
      <w:r w:rsidR="000A5329" w:rsidRPr="002029AF">
        <w:t xml:space="preserve"> </w:t>
      </w:r>
      <w:r w:rsidR="00645515" w:rsidRPr="002029AF">
        <w:rPr>
          <w:lang w:eastAsia="en-AU"/>
        </w:rPr>
        <w:t>oversees</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policies,</w:t>
      </w:r>
      <w:r w:rsidR="000A5329" w:rsidRPr="002029AF">
        <w:rPr>
          <w:lang w:eastAsia="en-AU"/>
        </w:rPr>
        <w:t xml:space="preserve"> </w:t>
      </w:r>
      <w:r w:rsidRPr="002029AF">
        <w:rPr>
          <w:lang w:eastAsia="en-AU"/>
        </w:rPr>
        <w:t>strategies</w:t>
      </w:r>
      <w:r w:rsidR="00FA479F" w:rsidRPr="002029AF">
        <w:rPr>
          <w:lang w:eastAsia="en-AU"/>
        </w:rPr>
        <w:t>,</w:t>
      </w:r>
      <w:r w:rsidR="000A5329" w:rsidRPr="002029AF">
        <w:rPr>
          <w:lang w:eastAsia="en-AU"/>
        </w:rPr>
        <w:t xml:space="preserve"> </w:t>
      </w:r>
      <w:r w:rsidRPr="002029AF" w:rsidDel="00DC30D8">
        <w:rPr>
          <w:lang w:eastAsia="en-AU"/>
        </w:rPr>
        <w:t>funding</w:t>
      </w:r>
      <w:r w:rsidR="000A5329" w:rsidRPr="002029AF">
        <w:rPr>
          <w:lang w:eastAsia="en-AU"/>
        </w:rPr>
        <w:t xml:space="preserve"> </w:t>
      </w:r>
      <w:r w:rsidRPr="002029AF" w:rsidDel="00DC30D8">
        <w:rPr>
          <w:lang w:eastAsia="en-AU"/>
        </w:rPr>
        <w:t>and</w:t>
      </w:r>
      <w:r w:rsidR="000A5329" w:rsidRPr="002029AF">
        <w:rPr>
          <w:lang w:eastAsia="en-AU"/>
        </w:rPr>
        <w:t xml:space="preserve"> </w:t>
      </w:r>
      <w:r w:rsidRPr="002029AF" w:rsidDel="00DC30D8">
        <w:rPr>
          <w:lang w:eastAsia="en-AU"/>
        </w:rPr>
        <w:t>performance</w:t>
      </w:r>
      <w:r w:rsidR="000A5329" w:rsidRPr="002029AF">
        <w:rPr>
          <w:lang w:eastAsia="en-AU"/>
        </w:rPr>
        <w:t xml:space="preserve"> </w:t>
      </w:r>
      <w:r w:rsidRPr="002029AF" w:rsidDel="00DC30D8">
        <w:rPr>
          <w:lang w:eastAsia="en-AU"/>
        </w:rPr>
        <w:t>of</w:t>
      </w:r>
      <w:r w:rsidR="000A5329" w:rsidRPr="002029AF">
        <w:rPr>
          <w:lang w:eastAsia="en-AU"/>
        </w:rPr>
        <w:t xml:space="preserve"> </w:t>
      </w:r>
      <w:r w:rsidRPr="002029AF" w:rsidDel="00DC30D8">
        <w:rPr>
          <w:lang w:eastAsia="en-AU"/>
        </w:rPr>
        <w:t>Victoria’s</w:t>
      </w:r>
      <w:r w:rsidR="000A5329" w:rsidRPr="002029AF">
        <w:rPr>
          <w:lang w:eastAsia="en-AU"/>
        </w:rPr>
        <w:t xml:space="preserve"> </w:t>
      </w:r>
      <w:r w:rsidRPr="002029AF" w:rsidDel="00DC30D8">
        <w:rPr>
          <w:lang w:eastAsia="en-AU"/>
        </w:rPr>
        <w:t>hospital</w:t>
      </w:r>
      <w:r w:rsidR="000A5329" w:rsidRPr="002029AF">
        <w:rPr>
          <w:lang w:eastAsia="en-AU"/>
        </w:rPr>
        <w:t xml:space="preserve"> </w:t>
      </w:r>
      <w:r w:rsidRPr="002029AF" w:rsidDel="00DC30D8">
        <w:rPr>
          <w:lang w:eastAsia="en-AU"/>
        </w:rPr>
        <w:t>and</w:t>
      </w:r>
      <w:r w:rsidR="000A5329" w:rsidRPr="002029AF">
        <w:rPr>
          <w:lang w:eastAsia="en-AU"/>
        </w:rPr>
        <w:t xml:space="preserve"> </w:t>
      </w:r>
      <w:r w:rsidRPr="002029AF" w:rsidDel="00DC30D8">
        <w:rPr>
          <w:lang w:eastAsia="en-AU"/>
        </w:rPr>
        <w:t>healthcare</w:t>
      </w:r>
      <w:r w:rsidR="000A5329" w:rsidRPr="002029AF">
        <w:rPr>
          <w:lang w:eastAsia="en-AU"/>
        </w:rPr>
        <w:t xml:space="preserve"> </w:t>
      </w:r>
      <w:r w:rsidRPr="002029AF" w:rsidDel="00DC30D8">
        <w:rPr>
          <w:lang w:eastAsia="en-AU"/>
        </w:rPr>
        <w:t>system,</w:t>
      </w:r>
      <w:r w:rsidR="000A5329" w:rsidRPr="002029AF">
        <w:rPr>
          <w:lang w:eastAsia="en-AU"/>
        </w:rPr>
        <w:t xml:space="preserve"> </w:t>
      </w:r>
      <w:r w:rsidRPr="002029AF" w:rsidDel="00DC30D8">
        <w:rPr>
          <w:lang w:eastAsia="en-AU"/>
        </w:rPr>
        <w:t>including</w:t>
      </w:r>
      <w:r w:rsidR="000A5329" w:rsidRPr="002029AF">
        <w:rPr>
          <w:lang w:eastAsia="en-AU"/>
        </w:rPr>
        <w:t xml:space="preserve"> </w:t>
      </w:r>
      <w:r w:rsidRPr="002029AF" w:rsidDel="00DC30D8">
        <w:rPr>
          <w:lang w:eastAsia="en-AU"/>
        </w:rPr>
        <w:t>maternal</w:t>
      </w:r>
      <w:r w:rsidR="000A5329" w:rsidRPr="002029AF">
        <w:rPr>
          <w:lang w:eastAsia="en-AU"/>
        </w:rPr>
        <w:t xml:space="preserve"> </w:t>
      </w:r>
      <w:r w:rsidRPr="002029AF" w:rsidDel="00DC30D8">
        <w:rPr>
          <w:lang w:eastAsia="en-AU"/>
        </w:rPr>
        <w:t>and</w:t>
      </w:r>
      <w:r w:rsidR="000A5329" w:rsidRPr="002029AF">
        <w:rPr>
          <w:lang w:eastAsia="en-AU"/>
        </w:rPr>
        <w:t xml:space="preserve"> </w:t>
      </w:r>
      <w:r w:rsidRPr="002029AF" w:rsidDel="00DC30D8">
        <w:rPr>
          <w:lang w:eastAsia="en-AU"/>
        </w:rPr>
        <w:t>child</w:t>
      </w:r>
      <w:r w:rsidR="000A5329" w:rsidRPr="002029AF">
        <w:rPr>
          <w:lang w:eastAsia="en-AU"/>
        </w:rPr>
        <w:t xml:space="preserve"> </w:t>
      </w:r>
      <w:r w:rsidRPr="002029AF" w:rsidDel="00DC30D8">
        <w:rPr>
          <w:lang w:eastAsia="en-AU"/>
        </w:rPr>
        <w:t>health,</w:t>
      </w:r>
      <w:r w:rsidR="000A5329" w:rsidRPr="002029AF">
        <w:rPr>
          <w:lang w:eastAsia="en-AU"/>
        </w:rPr>
        <w:t xml:space="preserve"> </w:t>
      </w:r>
      <w:r w:rsidRPr="002029AF" w:rsidDel="00DC30D8">
        <w:rPr>
          <w:lang w:eastAsia="en-AU"/>
        </w:rPr>
        <w:t>early</w:t>
      </w:r>
      <w:r w:rsidR="000A5329" w:rsidRPr="002029AF">
        <w:rPr>
          <w:lang w:eastAsia="en-AU"/>
        </w:rPr>
        <w:t xml:space="preserve"> </w:t>
      </w:r>
      <w:r w:rsidRPr="002029AF" w:rsidDel="00DC30D8">
        <w:rPr>
          <w:lang w:eastAsia="en-AU"/>
        </w:rPr>
        <w:t>parenting</w:t>
      </w:r>
      <w:r w:rsidR="000A5329" w:rsidRPr="002029AF">
        <w:rPr>
          <w:lang w:eastAsia="en-AU"/>
        </w:rPr>
        <w:t xml:space="preserve"> </w:t>
      </w:r>
      <w:r w:rsidRPr="002029AF" w:rsidDel="00DC30D8">
        <w:rPr>
          <w:lang w:eastAsia="en-AU"/>
        </w:rPr>
        <w:t>centres,</w:t>
      </w:r>
      <w:r w:rsidR="000A5329" w:rsidRPr="002029AF">
        <w:rPr>
          <w:lang w:eastAsia="en-AU"/>
        </w:rPr>
        <w:t xml:space="preserve"> </w:t>
      </w:r>
      <w:r w:rsidRPr="002029AF" w:rsidDel="00DC30D8">
        <w:rPr>
          <w:lang w:eastAsia="en-AU"/>
        </w:rPr>
        <w:t>mental</w:t>
      </w:r>
      <w:r w:rsidR="000A5329" w:rsidRPr="002029AF">
        <w:rPr>
          <w:lang w:eastAsia="en-AU"/>
        </w:rPr>
        <w:t xml:space="preserve"> </w:t>
      </w:r>
      <w:r w:rsidRPr="002029AF" w:rsidDel="00DC30D8">
        <w:rPr>
          <w:lang w:eastAsia="en-AU"/>
        </w:rPr>
        <w:t>health</w:t>
      </w:r>
      <w:r w:rsidR="00FA479F" w:rsidRPr="002029AF">
        <w:rPr>
          <w:lang w:eastAsia="en-AU"/>
        </w:rPr>
        <w:t>,</w:t>
      </w:r>
      <w:r w:rsidR="000A5329" w:rsidRPr="002029AF">
        <w:rPr>
          <w:lang w:eastAsia="en-AU"/>
        </w:rPr>
        <w:t xml:space="preserve"> </w:t>
      </w:r>
      <w:r w:rsidRPr="002029AF" w:rsidDel="00DC30D8">
        <w:rPr>
          <w:lang w:eastAsia="en-AU"/>
        </w:rPr>
        <w:t>and</w:t>
      </w:r>
      <w:r w:rsidR="000A5329" w:rsidRPr="002029AF">
        <w:rPr>
          <w:lang w:eastAsia="en-AU"/>
        </w:rPr>
        <w:t xml:space="preserve"> </w:t>
      </w:r>
      <w:r w:rsidRPr="002029AF" w:rsidDel="00DC30D8">
        <w:rPr>
          <w:lang w:eastAsia="en-AU"/>
        </w:rPr>
        <w:t>alcohol</w:t>
      </w:r>
      <w:r w:rsidR="000A5329" w:rsidRPr="002029AF">
        <w:rPr>
          <w:lang w:eastAsia="en-AU"/>
        </w:rPr>
        <w:t xml:space="preserve"> </w:t>
      </w:r>
      <w:r w:rsidRPr="002029AF" w:rsidDel="00DC30D8">
        <w:rPr>
          <w:lang w:eastAsia="en-AU"/>
        </w:rPr>
        <w:t>and</w:t>
      </w:r>
      <w:r w:rsidR="000A5329" w:rsidRPr="002029AF">
        <w:rPr>
          <w:lang w:eastAsia="en-AU"/>
        </w:rPr>
        <w:t xml:space="preserve"> </w:t>
      </w:r>
      <w:r w:rsidRPr="002029AF" w:rsidDel="00DC30D8">
        <w:rPr>
          <w:lang w:eastAsia="en-AU"/>
        </w:rPr>
        <w:t>drug</w:t>
      </w:r>
      <w:r w:rsidR="000A5329" w:rsidRPr="002029AF">
        <w:rPr>
          <w:lang w:eastAsia="en-AU"/>
        </w:rPr>
        <w:t xml:space="preserve"> </w:t>
      </w:r>
      <w:r w:rsidRPr="002029AF" w:rsidDel="00DC30D8">
        <w:rPr>
          <w:lang w:eastAsia="en-AU"/>
        </w:rPr>
        <w:t>services.</w:t>
      </w:r>
    </w:p>
    <w:p w14:paraId="4330912F" w14:textId="6BF27F90" w:rsidR="00CF72D5" w:rsidRPr="002029AF" w:rsidDel="00DC30D8" w:rsidRDefault="00CF72D5" w:rsidP="00897193">
      <w:pPr>
        <w:pStyle w:val="Heading3"/>
      </w:pPr>
      <w:r w:rsidRPr="002029AF">
        <w:t>Ben</w:t>
      </w:r>
      <w:r w:rsidR="000A5329" w:rsidRPr="002029AF">
        <w:t xml:space="preserve"> </w:t>
      </w:r>
      <w:r w:rsidRPr="002029AF">
        <w:t>Rimmer</w:t>
      </w:r>
    </w:p>
    <w:p w14:paraId="5A5DCADF" w14:textId="5C677F66" w:rsidR="000A5329" w:rsidRPr="002029AF" w:rsidRDefault="00CF72D5" w:rsidP="00897193">
      <w:pPr>
        <w:pStyle w:val="Heading4"/>
        <w:rPr>
          <w:lang w:eastAsia="en-AU"/>
        </w:rPr>
      </w:pPr>
      <w:r w:rsidRPr="002029AF" w:rsidDel="00DC30D8">
        <w:rPr>
          <w:lang w:eastAsia="en-AU"/>
        </w:rPr>
        <w:t>Deputy</w:t>
      </w:r>
      <w:r w:rsidR="000A5329" w:rsidRPr="002029AF">
        <w:rPr>
          <w:lang w:eastAsia="en-AU"/>
        </w:rPr>
        <w:t xml:space="preserve"> </w:t>
      </w:r>
      <w:r w:rsidRPr="002029AF" w:rsidDel="00DC30D8">
        <w:rPr>
          <w:lang w:eastAsia="en-AU"/>
        </w:rPr>
        <w:t>Secretary</w:t>
      </w:r>
      <w:r w:rsidR="000A5329" w:rsidRPr="002029AF">
        <w:rPr>
          <w:lang w:eastAsia="en-AU"/>
        </w:rPr>
        <w:t xml:space="preserve"> </w:t>
      </w:r>
      <w:r w:rsidRPr="002029AF" w:rsidDel="00DC30D8">
        <w:rPr>
          <w:lang w:eastAsia="en-AU"/>
        </w:rPr>
        <w:t>–</w:t>
      </w:r>
      <w:r w:rsidR="000A5329" w:rsidRPr="002029AF">
        <w:rPr>
          <w:lang w:eastAsia="en-AU"/>
        </w:rPr>
        <w:t xml:space="preserve"> </w:t>
      </w:r>
      <w:r w:rsidRPr="002029AF" w:rsidDel="00DC30D8">
        <w:rPr>
          <w:lang w:eastAsia="en-AU"/>
        </w:rPr>
        <w:t>Housing</w:t>
      </w:r>
    </w:p>
    <w:p w14:paraId="41722403" w14:textId="64F68C96" w:rsidR="000A5329" w:rsidRPr="002029AF" w:rsidRDefault="00CF72D5" w:rsidP="008A5BD1">
      <w:pPr>
        <w:pStyle w:val="ARbody"/>
      </w:pPr>
      <w:r w:rsidRPr="002029AF">
        <w:t>Ben</w:t>
      </w:r>
      <w:r w:rsidR="000A5329" w:rsidRPr="002029AF">
        <w:t xml:space="preserve"> </w:t>
      </w:r>
      <w:r w:rsidRPr="002029AF">
        <w:t>Rimmer</w:t>
      </w:r>
      <w:r w:rsidR="000A5329" w:rsidRPr="002029AF">
        <w:t xml:space="preserve"> </w:t>
      </w:r>
      <w:r w:rsidR="00617633" w:rsidRPr="002029AF">
        <w:t>was</w:t>
      </w:r>
      <w:r w:rsidR="000A5329" w:rsidRPr="002029AF">
        <w:t xml:space="preserve"> </w:t>
      </w:r>
      <w:r w:rsidR="00617633" w:rsidRPr="002029AF">
        <w:t>appointed</w:t>
      </w:r>
      <w:r w:rsidR="000A5329" w:rsidRPr="002029AF">
        <w:t xml:space="preserve"> </w:t>
      </w:r>
      <w:r w:rsidR="00617633" w:rsidRPr="002029AF">
        <w:t>as</w:t>
      </w:r>
      <w:r w:rsidR="000A5329" w:rsidRPr="002029AF">
        <w:t xml:space="preserve"> </w:t>
      </w:r>
      <w:r w:rsidR="00617633" w:rsidRPr="002029AF">
        <w:t>Deputy</w:t>
      </w:r>
      <w:r w:rsidR="000A5329" w:rsidRPr="002029AF">
        <w:t xml:space="preserve"> </w:t>
      </w:r>
      <w:r w:rsidR="00617633" w:rsidRPr="002029AF">
        <w:t>Secretary</w:t>
      </w:r>
      <w:r w:rsidR="000A5329" w:rsidRPr="002029AF">
        <w:t xml:space="preserve"> </w:t>
      </w:r>
      <w:r w:rsidR="00617633" w:rsidRPr="002029AF">
        <w:t>–</w:t>
      </w:r>
      <w:r w:rsidR="000A5329" w:rsidRPr="002029AF">
        <w:t xml:space="preserve"> </w:t>
      </w:r>
      <w:r w:rsidR="00617633" w:rsidRPr="002029AF">
        <w:t>Housing</w:t>
      </w:r>
      <w:r w:rsidR="000A5329" w:rsidRPr="002029AF">
        <w:t xml:space="preserve"> </w:t>
      </w:r>
      <w:r w:rsidR="00617633" w:rsidRPr="002029AF">
        <w:t>in</w:t>
      </w:r>
      <w:r w:rsidR="000A5329" w:rsidRPr="002029AF">
        <w:t xml:space="preserve"> </w:t>
      </w:r>
      <w:r w:rsidRPr="002029AF">
        <w:t>December</w:t>
      </w:r>
      <w:r w:rsidR="000A5329" w:rsidRPr="002029AF">
        <w:t xml:space="preserve"> </w:t>
      </w:r>
      <w:r w:rsidRPr="002029AF">
        <w:t>2019</w:t>
      </w:r>
      <w:r w:rsidR="00990009" w:rsidRPr="002029AF">
        <w:t>.</w:t>
      </w:r>
      <w:r w:rsidR="000A5329" w:rsidRPr="002029AF">
        <w:t xml:space="preserve"> </w:t>
      </w:r>
      <w:r w:rsidR="00990009" w:rsidRPr="002029AF">
        <w:t>Ben</w:t>
      </w:r>
      <w:r w:rsidR="000A5329" w:rsidRPr="002029AF">
        <w:t xml:space="preserve"> </w:t>
      </w:r>
      <w:r w:rsidR="00990009" w:rsidRPr="002029AF">
        <w:t>leads</w:t>
      </w:r>
      <w:r w:rsidR="000A5329" w:rsidRPr="002029AF">
        <w:t xml:space="preserve"> </w:t>
      </w:r>
      <w:r w:rsidR="00990009" w:rsidRPr="002029AF">
        <w:t>the</w:t>
      </w:r>
      <w:r w:rsidR="000A5329" w:rsidRPr="002029AF">
        <w:t xml:space="preserve"> </w:t>
      </w:r>
      <w:r w:rsidR="00990009" w:rsidRPr="002029AF">
        <w:t>delivery</w:t>
      </w:r>
      <w:r w:rsidR="000A5329" w:rsidRPr="002029AF">
        <w:t xml:space="preserve"> </w:t>
      </w:r>
      <w:r w:rsidR="00990009" w:rsidRPr="002029AF">
        <w:t>of</w:t>
      </w:r>
      <w:r w:rsidR="000A5329" w:rsidRPr="002029AF">
        <w:t xml:space="preserve"> </w:t>
      </w:r>
      <w:r w:rsidR="00990009" w:rsidRPr="002029AF">
        <w:t>public</w:t>
      </w:r>
      <w:r w:rsidR="000A5329" w:rsidRPr="002029AF">
        <w:t xml:space="preserve"> </w:t>
      </w:r>
      <w:r w:rsidR="00990009" w:rsidRPr="002029AF">
        <w:t>housing</w:t>
      </w:r>
      <w:r w:rsidR="000A5329" w:rsidRPr="002029AF">
        <w:t xml:space="preserve"> </w:t>
      </w:r>
      <w:r w:rsidR="00990009" w:rsidRPr="002029AF">
        <w:t>and</w:t>
      </w:r>
      <w:r w:rsidR="000A5329" w:rsidRPr="002029AF">
        <w:t xml:space="preserve"> </w:t>
      </w:r>
      <w:r w:rsidR="00990009" w:rsidRPr="002029AF">
        <w:t>the</w:t>
      </w:r>
      <w:r w:rsidR="000A5329" w:rsidRPr="002029AF">
        <w:t xml:space="preserve"> </w:t>
      </w:r>
      <w:r w:rsidR="00990009" w:rsidRPr="002029AF">
        <w:t>funding</w:t>
      </w:r>
      <w:r w:rsidR="000A5329" w:rsidRPr="002029AF">
        <w:t xml:space="preserve"> </w:t>
      </w:r>
      <w:r w:rsidR="00990009" w:rsidRPr="002029AF">
        <w:t>of</w:t>
      </w:r>
      <w:r w:rsidR="000A5329" w:rsidRPr="002029AF">
        <w:t xml:space="preserve"> </w:t>
      </w:r>
      <w:r w:rsidR="00990009" w:rsidRPr="002029AF">
        <w:t>housing</w:t>
      </w:r>
      <w:r w:rsidR="000A5329" w:rsidRPr="002029AF">
        <w:t xml:space="preserve"> </w:t>
      </w:r>
      <w:r w:rsidR="00990009" w:rsidRPr="002029AF">
        <w:t>and</w:t>
      </w:r>
      <w:r w:rsidR="000A5329" w:rsidRPr="002029AF">
        <w:t xml:space="preserve"> </w:t>
      </w:r>
      <w:r w:rsidR="00990009" w:rsidRPr="002029AF">
        <w:t>homelessness</w:t>
      </w:r>
      <w:r w:rsidR="000A5329" w:rsidRPr="002029AF">
        <w:t xml:space="preserve"> </w:t>
      </w:r>
      <w:r w:rsidR="00990009" w:rsidRPr="002029AF">
        <w:t>assistance</w:t>
      </w:r>
      <w:r w:rsidR="000A5329" w:rsidRPr="002029AF">
        <w:t xml:space="preserve"> </w:t>
      </w:r>
      <w:r w:rsidR="00990009" w:rsidRPr="002029AF">
        <w:t>throughout</w:t>
      </w:r>
      <w:r w:rsidR="000A5329" w:rsidRPr="002029AF">
        <w:t xml:space="preserve"> </w:t>
      </w:r>
      <w:r w:rsidR="00990009" w:rsidRPr="002029AF">
        <w:t>the</w:t>
      </w:r>
      <w:r w:rsidR="000A5329" w:rsidRPr="002029AF">
        <w:t xml:space="preserve"> </w:t>
      </w:r>
      <w:r w:rsidR="00990009" w:rsidRPr="002029AF">
        <w:t>state.</w:t>
      </w:r>
      <w:r w:rsidR="000A5329" w:rsidRPr="002029AF">
        <w:t xml:space="preserve"> </w:t>
      </w:r>
      <w:r w:rsidR="00990009" w:rsidRPr="002029AF">
        <w:t>He</w:t>
      </w:r>
      <w:r w:rsidR="000A5329" w:rsidRPr="002029AF">
        <w:t xml:space="preserve"> </w:t>
      </w:r>
      <w:r w:rsidR="00990009" w:rsidRPr="002029AF">
        <w:t>is</w:t>
      </w:r>
      <w:r w:rsidR="000A5329" w:rsidRPr="002029AF">
        <w:t xml:space="preserve"> </w:t>
      </w:r>
      <w:r w:rsidR="00990009" w:rsidRPr="002029AF">
        <w:t>also</w:t>
      </w:r>
      <w:r w:rsidR="000A5329" w:rsidRPr="002029AF">
        <w:t xml:space="preserve"> </w:t>
      </w:r>
      <w:r w:rsidR="00990009" w:rsidRPr="002029AF">
        <w:t>overseeing</w:t>
      </w:r>
      <w:r w:rsidR="000A5329" w:rsidRPr="002029AF">
        <w:t xml:space="preserve"> </w:t>
      </w:r>
      <w:r w:rsidR="00990009" w:rsidRPr="002029AF">
        <w:t>a</w:t>
      </w:r>
      <w:r w:rsidR="000A5329" w:rsidRPr="002029AF">
        <w:t xml:space="preserve"> </w:t>
      </w:r>
      <w:r w:rsidR="00990009" w:rsidRPr="002029AF">
        <w:t>transformation</w:t>
      </w:r>
      <w:r w:rsidR="000A5329" w:rsidRPr="002029AF">
        <w:t xml:space="preserve"> </w:t>
      </w:r>
      <w:r w:rsidR="00990009" w:rsidRPr="002029AF">
        <w:t>of</w:t>
      </w:r>
      <w:r w:rsidR="000A5329" w:rsidRPr="002029AF">
        <w:t xml:space="preserve"> </w:t>
      </w:r>
      <w:r w:rsidR="00990009" w:rsidRPr="002029AF">
        <w:t>the</w:t>
      </w:r>
      <w:r w:rsidR="000A5329" w:rsidRPr="002029AF">
        <w:t xml:space="preserve"> </w:t>
      </w:r>
      <w:r w:rsidR="00990009" w:rsidRPr="002029AF">
        <w:t>Housing</w:t>
      </w:r>
      <w:r w:rsidR="000A5329" w:rsidRPr="002029AF">
        <w:t xml:space="preserve"> </w:t>
      </w:r>
      <w:r w:rsidR="00990009" w:rsidRPr="002029AF">
        <w:t>division</w:t>
      </w:r>
      <w:r w:rsidR="000A5329" w:rsidRPr="002029AF">
        <w:t xml:space="preserve"> </w:t>
      </w:r>
      <w:r w:rsidR="00990009" w:rsidRPr="002029AF">
        <w:t>and</w:t>
      </w:r>
      <w:r w:rsidR="000A5329" w:rsidRPr="002029AF">
        <w:t xml:space="preserve"> </w:t>
      </w:r>
      <w:r w:rsidR="00990009" w:rsidRPr="002029AF">
        <w:t>has</w:t>
      </w:r>
      <w:r w:rsidR="000A5329" w:rsidRPr="002029AF">
        <w:t xml:space="preserve"> </w:t>
      </w:r>
      <w:r w:rsidR="00990009" w:rsidRPr="002029AF">
        <w:t>various</w:t>
      </w:r>
      <w:r w:rsidR="000A5329" w:rsidRPr="002029AF">
        <w:t xml:space="preserve"> </w:t>
      </w:r>
      <w:r w:rsidR="00990009" w:rsidRPr="002029AF">
        <w:t>responsibilities</w:t>
      </w:r>
      <w:r w:rsidR="000A5329" w:rsidRPr="002029AF">
        <w:t xml:space="preserve"> </w:t>
      </w:r>
      <w:r w:rsidR="00990009" w:rsidRPr="002029AF">
        <w:t>as</w:t>
      </w:r>
      <w:r w:rsidR="000A5329" w:rsidRPr="002029AF">
        <w:t xml:space="preserve"> </w:t>
      </w:r>
      <w:r w:rsidR="00990009" w:rsidRPr="002029AF">
        <w:t>the</w:t>
      </w:r>
      <w:r w:rsidR="000A5329" w:rsidRPr="002029AF">
        <w:t xml:space="preserve"> </w:t>
      </w:r>
      <w:r w:rsidR="00990009" w:rsidRPr="002029AF">
        <w:t>Director</w:t>
      </w:r>
      <w:r w:rsidR="000A5329" w:rsidRPr="002029AF">
        <w:t xml:space="preserve"> </w:t>
      </w:r>
      <w:r w:rsidR="00990009" w:rsidRPr="002029AF">
        <w:t>of</w:t>
      </w:r>
      <w:r w:rsidR="000A5329" w:rsidRPr="002029AF">
        <w:t xml:space="preserve"> </w:t>
      </w:r>
      <w:r w:rsidR="00990009" w:rsidRPr="002029AF">
        <w:t>Housing.</w:t>
      </w:r>
    </w:p>
    <w:p w14:paraId="311D07EC" w14:textId="254AD070" w:rsidR="00CF72D5" w:rsidRPr="002029AF" w:rsidDel="00DC30D8" w:rsidRDefault="00CF72D5" w:rsidP="008A5BD1">
      <w:pPr>
        <w:pStyle w:val="ARbody"/>
      </w:pPr>
      <w:r w:rsidRPr="002029AF" w:rsidDel="00990009">
        <w:t>In</w:t>
      </w:r>
      <w:r w:rsidR="000A5329" w:rsidRPr="002029AF">
        <w:t xml:space="preserve"> </w:t>
      </w:r>
      <w:r w:rsidRPr="002029AF" w:rsidDel="00167D0D">
        <w:t>April</w:t>
      </w:r>
      <w:r w:rsidR="000A5329" w:rsidRPr="002029AF">
        <w:t xml:space="preserve"> </w:t>
      </w:r>
      <w:r w:rsidRPr="002029AF" w:rsidDel="00167D0D">
        <w:t>2020</w:t>
      </w:r>
      <w:r w:rsidR="000A5329" w:rsidRPr="002029AF">
        <w:t xml:space="preserve"> </w:t>
      </w:r>
      <w:r w:rsidRPr="002029AF">
        <w:t>he</w:t>
      </w:r>
      <w:r w:rsidR="000A5329" w:rsidRPr="002029AF">
        <w:t xml:space="preserve"> </w:t>
      </w:r>
      <w:r w:rsidRPr="002029AF">
        <w:t>was</w:t>
      </w:r>
      <w:r w:rsidR="000A5329" w:rsidRPr="002029AF">
        <w:t xml:space="preserve"> </w:t>
      </w:r>
      <w:r w:rsidR="00645515" w:rsidRPr="002029AF">
        <w:t>also</w:t>
      </w:r>
      <w:r w:rsidR="000A5329" w:rsidRPr="002029AF">
        <w:t xml:space="preserve"> </w:t>
      </w:r>
      <w:r w:rsidRPr="002029AF">
        <w:t>appointed</w:t>
      </w:r>
      <w:r w:rsidR="000A5329" w:rsidRPr="002029AF">
        <w:t xml:space="preserve"> </w:t>
      </w:r>
      <w:r w:rsidR="002E5C32" w:rsidRPr="002029AF">
        <w:t>as</w:t>
      </w:r>
      <w:r w:rsidR="000A5329" w:rsidRPr="002029AF">
        <w:t xml:space="preserve"> </w:t>
      </w:r>
      <w:r w:rsidR="002E5C32" w:rsidRPr="002029AF">
        <w:t>an</w:t>
      </w:r>
      <w:r w:rsidR="000A5329" w:rsidRPr="002029AF">
        <w:t xml:space="preserve"> </w:t>
      </w:r>
      <w:r w:rsidRPr="002029AF">
        <w:t>Associate</w:t>
      </w:r>
      <w:r w:rsidR="000A5329" w:rsidRPr="002029AF">
        <w:t xml:space="preserve"> </w:t>
      </w:r>
      <w:r w:rsidRPr="002029AF">
        <w:t>Secretary</w:t>
      </w:r>
      <w:r w:rsidR="000A5329" w:rsidRPr="002029AF">
        <w:t xml:space="preserve"> </w:t>
      </w:r>
      <w:r w:rsidRPr="002029AF" w:rsidDel="00167D0D">
        <w:t>of</w:t>
      </w:r>
      <w:r w:rsidR="000A5329" w:rsidRPr="002029AF">
        <w:t xml:space="preserve"> </w:t>
      </w:r>
      <w:r w:rsidRPr="002029AF" w:rsidDel="00167D0D">
        <w:t>the</w:t>
      </w:r>
      <w:r w:rsidR="000A5329" w:rsidRPr="002029AF">
        <w:t xml:space="preserve"> </w:t>
      </w:r>
      <w:r w:rsidRPr="002029AF">
        <w:t>Department</w:t>
      </w:r>
      <w:r w:rsidR="000A5329" w:rsidRPr="002029AF">
        <w:t xml:space="preserve"> </w:t>
      </w:r>
      <w:r w:rsidRPr="002029AF" w:rsidDel="00645515">
        <w:t>and</w:t>
      </w:r>
      <w:r w:rsidR="000A5329" w:rsidRPr="002029AF">
        <w:t xml:space="preserve"> </w:t>
      </w:r>
      <w:r w:rsidRPr="002029AF" w:rsidDel="007C42C2">
        <w:t>oversees</w:t>
      </w:r>
      <w:r w:rsidR="000A5329" w:rsidRPr="002029AF">
        <w:t xml:space="preserve"> </w:t>
      </w:r>
      <w:r w:rsidRPr="002029AF">
        <w:t>Infrastructure,</w:t>
      </w:r>
      <w:r w:rsidR="000A5329" w:rsidRPr="002029AF">
        <w:t xml:space="preserve"> </w:t>
      </w:r>
      <w:r w:rsidRPr="002029AF">
        <w:t>Children</w:t>
      </w:r>
      <w:r w:rsidR="000A5329" w:rsidRPr="002029AF">
        <w:t xml:space="preserve"> </w:t>
      </w:r>
      <w:r w:rsidRPr="002029AF">
        <w:t>and</w:t>
      </w:r>
      <w:r w:rsidR="000A5329" w:rsidRPr="002029AF">
        <w:t xml:space="preserve"> </w:t>
      </w:r>
      <w:r w:rsidRPr="002029AF">
        <w:t>Families,</w:t>
      </w:r>
      <w:r w:rsidR="000A5329" w:rsidRPr="002029AF">
        <w:t xml:space="preserve"> </w:t>
      </w:r>
      <w:r w:rsidR="007C42C2" w:rsidRPr="002029AF">
        <w:t>Community</w:t>
      </w:r>
      <w:r w:rsidR="000A5329" w:rsidRPr="002029AF">
        <w:t xml:space="preserve"> </w:t>
      </w:r>
      <w:r w:rsidRPr="002029AF">
        <w:t>Services</w:t>
      </w:r>
      <w:r w:rsidR="000A5329" w:rsidRPr="002029AF">
        <w:t xml:space="preserve"> </w:t>
      </w:r>
      <w:r w:rsidRPr="002029AF">
        <w:t>Operations,</w:t>
      </w:r>
      <w:r w:rsidR="000A5329" w:rsidRPr="002029AF">
        <w:t xml:space="preserve"> </w:t>
      </w:r>
      <w:r w:rsidRPr="002029AF">
        <w:t>Strategy</w:t>
      </w:r>
      <w:r w:rsidR="000A5329" w:rsidRPr="002029AF">
        <w:t xml:space="preserve"> </w:t>
      </w:r>
      <w:r w:rsidRPr="002029AF">
        <w:t>and</w:t>
      </w:r>
      <w:r w:rsidR="000A5329" w:rsidRPr="002029AF">
        <w:t xml:space="preserve"> </w:t>
      </w:r>
      <w:r w:rsidRPr="002029AF">
        <w:t>Planning,</w:t>
      </w:r>
      <w:r w:rsidR="000A5329" w:rsidRPr="002029AF">
        <w:t xml:space="preserve"> </w:t>
      </w:r>
      <w:r w:rsidRPr="002029AF">
        <w:t>and</w:t>
      </w:r>
      <w:r w:rsidR="000A5329" w:rsidRPr="002029AF">
        <w:t xml:space="preserve"> </w:t>
      </w:r>
      <w:r w:rsidRPr="002029AF">
        <w:t>Organisational</w:t>
      </w:r>
      <w:r w:rsidR="000A5329" w:rsidRPr="002029AF">
        <w:t xml:space="preserve"> </w:t>
      </w:r>
      <w:r w:rsidRPr="002029AF">
        <w:t>Transformation.</w:t>
      </w:r>
    </w:p>
    <w:p w14:paraId="5E749106" w14:textId="09674E75" w:rsidR="00CF72D5" w:rsidRPr="002029AF" w:rsidRDefault="00CF72D5" w:rsidP="00897193">
      <w:pPr>
        <w:pStyle w:val="Heading3"/>
      </w:pPr>
      <w:r w:rsidRPr="002029AF">
        <w:lastRenderedPageBreak/>
        <w:t>Chris</w:t>
      </w:r>
      <w:r w:rsidR="000A5329" w:rsidRPr="002029AF">
        <w:t xml:space="preserve"> </w:t>
      </w:r>
      <w:r w:rsidRPr="002029AF">
        <w:t>Hotham</w:t>
      </w:r>
    </w:p>
    <w:p w14:paraId="38EC715E" w14:textId="1F2ED9A0" w:rsidR="00CF72D5" w:rsidRPr="002029AF" w:rsidRDefault="00CF72D5" w:rsidP="008A5BD1">
      <w:pPr>
        <w:pStyle w:val="Heading4"/>
      </w:pPr>
      <w:r w:rsidRPr="002029AF">
        <w:t>Deputy</w:t>
      </w:r>
      <w:r w:rsidR="000A5329" w:rsidRPr="002029AF">
        <w:t xml:space="preserve"> </w:t>
      </w:r>
      <w:r w:rsidRPr="002029AF">
        <w:t>Secretary</w:t>
      </w:r>
      <w:r w:rsidR="000A5329" w:rsidRPr="002029AF">
        <w:t xml:space="preserve"> </w:t>
      </w:r>
      <w:r w:rsidRPr="002029AF">
        <w:t>–</w:t>
      </w:r>
      <w:r w:rsidR="000A5329" w:rsidRPr="002029AF">
        <w:t xml:space="preserve"> </w:t>
      </w:r>
      <w:r w:rsidRPr="002029AF">
        <w:t>Infrastructure</w:t>
      </w:r>
    </w:p>
    <w:p w14:paraId="61C5E2FC" w14:textId="50AFD96C" w:rsidR="004D641D" w:rsidRPr="002029AF" w:rsidRDefault="00CF72D5" w:rsidP="004D641D">
      <w:pPr>
        <w:pStyle w:val="ARbody"/>
      </w:pPr>
      <w:r w:rsidRPr="002029AF">
        <w:t>Chris</w:t>
      </w:r>
      <w:r w:rsidR="000A5329" w:rsidRPr="002029AF">
        <w:t xml:space="preserve"> </w:t>
      </w:r>
      <w:r w:rsidRPr="002029AF">
        <w:t>Hotham</w:t>
      </w:r>
      <w:r w:rsidR="000A5329" w:rsidRPr="002029AF">
        <w:t xml:space="preserve"> </w:t>
      </w:r>
      <w:r w:rsidRPr="002029AF">
        <w:t>was</w:t>
      </w:r>
      <w:r w:rsidR="000A5329" w:rsidRPr="002029AF">
        <w:t xml:space="preserve"> </w:t>
      </w:r>
      <w:r w:rsidRPr="002029AF">
        <w:t>appointed</w:t>
      </w:r>
      <w:r w:rsidR="000A5329" w:rsidRPr="002029AF">
        <w:t xml:space="preserve"> </w:t>
      </w:r>
      <w:r w:rsidRPr="002029AF">
        <w:t>as</w:t>
      </w:r>
      <w:r w:rsidR="000A5329" w:rsidRPr="002029AF">
        <w:t xml:space="preserve"> </w:t>
      </w:r>
      <w:r w:rsidRPr="002029AF">
        <w:t>Deputy</w:t>
      </w:r>
      <w:r w:rsidR="000A5329" w:rsidRPr="002029AF">
        <w:t xml:space="preserve"> </w:t>
      </w:r>
      <w:r w:rsidRPr="002029AF">
        <w:t>Secretary</w:t>
      </w:r>
      <w:r w:rsidR="000A5329" w:rsidRPr="002029AF">
        <w:t xml:space="preserve"> </w:t>
      </w:r>
      <w:r w:rsidRPr="002029AF">
        <w:t>–</w:t>
      </w:r>
      <w:r w:rsidR="000A5329" w:rsidRPr="002029AF">
        <w:t xml:space="preserve"> </w:t>
      </w:r>
      <w:r w:rsidRPr="002029AF">
        <w:t>Infrastructure</w:t>
      </w:r>
      <w:r w:rsidR="000A5329" w:rsidRPr="002029AF">
        <w:t xml:space="preserve"> </w:t>
      </w:r>
      <w:r w:rsidRPr="002029AF">
        <w:t>in</w:t>
      </w:r>
      <w:r w:rsidR="000A5329" w:rsidRPr="002029AF">
        <w:t xml:space="preserve"> </w:t>
      </w:r>
      <w:r w:rsidRPr="002029AF">
        <w:t>December</w:t>
      </w:r>
      <w:r w:rsidR="000A5329" w:rsidRPr="002029AF">
        <w:t xml:space="preserve"> </w:t>
      </w:r>
      <w:r w:rsidRPr="002029AF">
        <w:t>2019.</w:t>
      </w:r>
      <w:r w:rsidR="000A5329" w:rsidRPr="002029AF">
        <w:t xml:space="preserve"> </w:t>
      </w:r>
      <w:r w:rsidRPr="002029AF">
        <w:t>Chris</w:t>
      </w:r>
      <w:r w:rsidR="000A5329" w:rsidRPr="002029AF">
        <w:t xml:space="preserve"> </w:t>
      </w:r>
      <w:r w:rsidRPr="002029AF">
        <w:t>leads</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infrastructure</w:t>
      </w:r>
      <w:r w:rsidR="000A5329" w:rsidRPr="002029AF">
        <w:t xml:space="preserve"> </w:t>
      </w:r>
      <w:r w:rsidR="6D3B63E7" w:rsidRPr="002029AF">
        <w:t>program</w:t>
      </w:r>
      <w:r w:rsidR="000A5329" w:rsidRPr="002029AF">
        <w:t xml:space="preserve"> </w:t>
      </w:r>
      <w:r w:rsidRPr="002029AF">
        <w:t>through</w:t>
      </w:r>
      <w:r w:rsidR="000A5329" w:rsidRPr="002029AF">
        <w:t xml:space="preserve"> </w:t>
      </w:r>
      <w:r w:rsidR="6D3B63E7" w:rsidRPr="002029AF">
        <w:t>the</w:t>
      </w:r>
      <w:r w:rsidR="000A5329" w:rsidRPr="002029AF">
        <w:t xml:space="preserve"> </w:t>
      </w:r>
      <w:r w:rsidR="6D3B63E7" w:rsidRPr="002029AF">
        <w:t>Victorian</w:t>
      </w:r>
      <w:r w:rsidR="000A5329" w:rsidRPr="002029AF">
        <w:t xml:space="preserve"> </w:t>
      </w:r>
      <w:r w:rsidR="6D3B63E7" w:rsidRPr="002029AF">
        <w:t>Health</w:t>
      </w:r>
      <w:r w:rsidR="000A5329" w:rsidRPr="002029AF">
        <w:t xml:space="preserve"> </w:t>
      </w:r>
      <w:r w:rsidR="6D3B63E7" w:rsidRPr="002029AF">
        <w:t>and</w:t>
      </w:r>
      <w:r w:rsidR="000A5329" w:rsidRPr="002029AF">
        <w:t xml:space="preserve"> </w:t>
      </w:r>
      <w:r w:rsidR="6D3B63E7" w:rsidRPr="002029AF">
        <w:t>Human</w:t>
      </w:r>
      <w:r w:rsidR="000A5329" w:rsidRPr="002029AF">
        <w:t xml:space="preserve"> </w:t>
      </w:r>
      <w:r w:rsidR="6D3B63E7" w:rsidRPr="002029AF">
        <w:t>Services</w:t>
      </w:r>
      <w:r w:rsidR="000A5329" w:rsidRPr="002029AF">
        <w:t xml:space="preserve"> </w:t>
      </w:r>
      <w:r w:rsidR="6D3B63E7" w:rsidRPr="002029AF">
        <w:t>Building</w:t>
      </w:r>
      <w:r w:rsidR="000A5329" w:rsidRPr="002029AF">
        <w:t xml:space="preserve"> </w:t>
      </w:r>
      <w:r w:rsidR="6D3B63E7" w:rsidRPr="002029AF">
        <w:t>Authority</w:t>
      </w:r>
      <w:r w:rsidR="000A5329" w:rsidRPr="002029AF">
        <w:t xml:space="preserve"> </w:t>
      </w:r>
      <w:r w:rsidR="129F9A2C" w:rsidRPr="002029AF">
        <w:t>(VHHSBA)</w:t>
      </w:r>
      <w:r w:rsidR="02832C17" w:rsidRPr="002029AF">
        <w:t>,</w:t>
      </w:r>
      <w:r w:rsidR="000A5329" w:rsidRPr="002029AF">
        <w:t xml:space="preserve"> </w:t>
      </w:r>
      <w:r w:rsidR="02832C17" w:rsidRPr="002029AF">
        <w:t>whi</w:t>
      </w:r>
      <w:r w:rsidR="129F9A2C" w:rsidRPr="002029AF">
        <w:t>ch</w:t>
      </w:r>
      <w:r w:rsidR="000A5329" w:rsidRPr="002029AF">
        <w:t xml:space="preserve"> </w:t>
      </w:r>
      <w:r w:rsidR="129F9A2C" w:rsidRPr="002029AF">
        <w:t>is</w:t>
      </w:r>
      <w:r w:rsidR="000A5329" w:rsidRPr="002029AF">
        <w:t xml:space="preserve"> </w:t>
      </w:r>
      <w:r w:rsidR="129F9A2C" w:rsidRPr="002029AF">
        <w:t>responsible</w:t>
      </w:r>
      <w:r w:rsidR="000A5329" w:rsidRPr="002029AF">
        <w:t xml:space="preserve"> </w:t>
      </w:r>
      <w:r w:rsidR="129F9A2C" w:rsidRPr="002029AF">
        <w:t>for</w:t>
      </w:r>
      <w:r w:rsidR="000A5329" w:rsidRPr="002029AF">
        <w:t xml:space="preserve"> </w:t>
      </w:r>
      <w:r w:rsidR="129F9A2C" w:rsidRPr="002029AF">
        <w:t>the</w:t>
      </w:r>
      <w:r w:rsidR="000A5329" w:rsidRPr="002029AF">
        <w:t xml:space="preserve"> </w:t>
      </w:r>
      <w:r w:rsidRPr="002029AF">
        <w:t>planning,</w:t>
      </w:r>
      <w:r w:rsidR="000A5329" w:rsidRPr="002029AF">
        <w:t xml:space="preserve"> </w:t>
      </w:r>
      <w:r w:rsidRPr="002029AF">
        <w:t>delivery</w:t>
      </w:r>
      <w:r w:rsidR="000A5329" w:rsidRPr="002029AF">
        <w:t xml:space="preserve"> </w:t>
      </w:r>
      <w:r w:rsidRPr="002029AF">
        <w:t>and</w:t>
      </w:r>
      <w:r w:rsidR="000A5329" w:rsidRPr="002029AF">
        <w:t xml:space="preserve"> </w:t>
      </w:r>
      <w:r w:rsidRPr="002029AF">
        <w:t>oversight</w:t>
      </w:r>
      <w:r w:rsidR="000A5329" w:rsidRPr="002029AF">
        <w:t xml:space="preserve"> </w:t>
      </w:r>
      <w:r w:rsidRPr="002029AF">
        <w:t>of</w:t>
      </w:r>
      <w:r w:rsidR="000A5329" w:rsidRPr="002029AF">
        <w:t xml:space="preserve"> </w:t>
      </w:r>
      <w:r w:rsidRPr="002029AF">
        <w:t>infrastructure</w:t>
      </w:r>
      <w:r w:rsidR="000A5329" w:rsidRPr="002029AF">
        <w:t xml:space="preserve"> </w:t>
      </w:r>
      <w:r w:rsidR="129F9A2C" w:rsidRPr="002029AF">
        <w:t>projects</w:t>
      </w:r>
      <w:r w:rsidRPr="002029AF">
        <w:t>.</w:t>
      </w:r>
      <w:r w:rsidR="000A5329" w:rsidRPr="002029AF">
        <w:t xml:space="preserve"> </w:t>
      </w:r>
      <w:r w:rsidRPr="002029AF">
        <w:t>In</w:t>
      </w:r>
      <w:r w:rsidR="000A5329" w:rsidRPr="002029AF">
        <w:t xml:space="preserve"> </w:t>
      </w:r>
      <w:r w:rsidRPr="002029AF">
        <w:t>addition,</w:t>
      </w:r>
      <w:r w:rsidR="000A5329" w:rsidRPr="002029AF">
        <w:t xml:space="preserve"> </w:t>
      </w:r>
      <w:r w:rsidRPr="002029AF">
        <w:t>the</w:t>
      </w:r>
      <w:r w:rsidR="000A5329" w:rsidRPr="002029AF">
        <w:t xml:space="preserve"> </w:t>
      </w:r>
      <w:r w:rsidRPr="002029AF">
        <w:t>division</w:t>
      </w:r>
      <w:r w:rsidR="000A5329" w:rsidRPr="002029AF">
        <w:t xml:space="preserve"> </w:t>
      </w:r>
      <w:r w:rsidRPr="002029AF">
        <w:t>leads</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strategic</w:t>
      </w:r>
      <w:r w:rsidR="000A5329" w:rsidRPr="002029AF">
        <w:t xml:space="preserve"> </w:t>
      </w:r>
      <w:r w:rsidRPr="002029AF">
        <w:t>thinking</w:t>
      </w:r>
      <w:r w:rsidR="000A5329" w:rsidRPr="002029AF">
        <w:t xml:space="preserve"> </w:t>
      </w:r>
      <w:r w:rsidRPr="002029AF">
        <w:t>and</w:t>
      </w:r>
      <w:r w:rsidR="000A5329" w:rsidRPr="002029AF">
        <w:t xml:space="preserve"> </w:t>
      </w:r>
      <w:r w:rsidRPr="002029AF">
        <w:t>planning</w:t>
      </w:r>
      <w:r w:rsidR="000A5329" w:rsidRPr="002029AF">
        <w:t xml:space="preserve"> </w:t>
      </w:r>
      <w:r w:rsidRPr="002029AF">
        <w:t>on</w:t>
      </w:r>
      <w:r w:rsidR="00AB0C69" w:rsidRPr="002029AF">
        <w:t> </w:t>
      </w:r>
      <w:r w:rsidRPr="002029AF">
        <w:t>the</w:t>
      </w:r>
      <w:r w:rsidR="00AB0C69" w:rsidRPr="002029AF">
        <w:t> </w:t>
      </w:r>
      <w:r w:rsidR="7A6D0A6F" w:rsidRPr="002029AF">
        <w:t>government’s</w:t>
      </w:r>
      <w:r w:rsidR="000A5329" w:rsidRPr="002029AF">
        <w:t xml:space="preserve"> </w:t>
      </w:r>
      <w:r w:rsidR="10CBEE67" w:rsidRPr="002029AF">
        <w:t>Priority</w:t>
      </w:r>
      <w:r w:rsidR="000A5329" w:rsidRPr="002029AF">
        <w:t xml:space="preserve"> </w:t>
      </w:r>
      <w:r w:rsidR="10CBEE67" w:rsidRPr="002029AF">
        <w:t>P</w:t>
      </w:r>
      <w:r w:rsidRPr="002029AF">
        <w:t>recincts</w:t>
      </w:r>
      <w:r w:rsidR="000A5329" w:rsidRPr="002029AF">
        <w:t xml:space="preserve"> </w:t>
      </w:r>
      <w:r w:rsidRPr="002029AF">
        <w:t>agenda</w:t>
      </w:r>
      <w:r w:rsidR="39C1B466" w:rsidRPr="002029AF">
        <w:t>.</w:t>
      </w:r>
    </w:p>
    <w:p w14:paraId="5600BA34" w14:textId="7E2EAD72" w:rsidR="00116893" w:rsidRPr="002029AF" w:rsidDel="00DC30D8" w:rsidRDefault="00116893" w:rsidP="00116893">
      <w:pPr>
        <w:pStyle w:val="Heading3"/>
      </w:pPr>
      <w:r w:rsidRPr="002029AF" w:rsidDel="00DC30D8">
        <w:t>Jacinda</w:t>
      </w:r>
      <w:r w:rsidR="000A5329" w:rsidRPr="002029AF">
        <w:t xml:space="preserve"> </w:t>
      </w:r>
      <w:r w:rsidRPr="002029AF" w:rsidDel="00DC30D8">
        <w:t>de</w:t>
      </w:r>
      <w:r w:rsidR="000A5329" w:rsidRPr="002029AF">
        <w:t xml:space="preserve"> </w:t>
      </w:r>
      <w:r w:rsidRPr="002029AF" w:rsidDel="00DC30D8">
        <w:t>Witts</w:t>
      </w:r>
    </w:p>
    <w:p w14:paraId="74F443C4" w14:textId="17F78545" w:rsidR="00116893" w:rsidRPr="002029AF" w:rsidDel="00DC30D8" w:rsidRDefault="00116893" w:rsidP="00116893">
      <w:pPr>
        <w:pStyle w:val="Heading4"/>
        <w:rPr>
          <w:lang w:eastAsia="en-AU"/>
        </w:rPr>
      </w:pPr>
      <w:r w:rsidRPr="002029AF" w:rsidDel="00DC30D8">
        <w:rPr>
          <w:lang w:eastAsia="en-AU"/>
        </w:rPr>
        <w:t>Deputy</w:t>
      </w:r>
      <w:r w:rsidR="000A5329" w:rsidRPr="002029AF">
        <w:rPr>
          <w:lang w:eastAsia="en-AU"/>
        </w:rPr>
        <w:t xml:space="preserve"> </w:t>
      </w:r>
      <w:r w:rsidRPr="002029AF" w:rsidDel="00DC30D8">
        <w:rPr>
          <w:lang w:eastAsia="en-AU"/>
        </w:rPr>
        <w:t>Secretary</w:t>
      </w:r>
      <w:r w:rsidR="000A5329" w:rsidRPr="002029AF">
        <w:rPr>
          <w:lang w:eastAsia="en-AU"/>
        </w:rPr>
        <w:t xml:space="preserve"> </w:t>
      </w:r>
      <w:r w:rsidRPr="002029AF" w:rsidDel="00DC30D8">
        <w:rPr>
          <w:lang w:eastAsia="en-AU"/>
        </w:rPr>
        <w:t>–</w:t>
      </w:r>
      <w:r w:rsidR="000A5329" w:rsidRPr="002029AF">
        <w:rPr>
          <w:lang w:eastAsia="en-AU"/>
        </w:rPr>
        <w:t xml:space="preserve"> </w:t>
      </w:r>
      <w:r w:rsidRPr="002029AF" w:rsidDel="00DC30D8">
        <w:rPr>
          <w:lang w:eastAsia="en-AU"/>
        </w:rPr>
        <w:t>Legal</w:t>
      </w:r>
      <w:r w:rsidR="000A5329" w:rsidRPr="002029AF">
        <w:rPr>
          <w:lang w:eastAsia="en-AU"/>
        </w:rPr>
        <w:t xml:space="preserve"> </w:t>
      </w:r>
      <w:r w:rsidRPr="002029AF" w:rsidDel="00DC30D8">
        <w:rPr>
          <w:lang w:eastAsia="en-AU"/>
        </w:rPr>
        <w:t>and</w:t>
      </w:r>
      <w:r w:rsidR="005E1789">
        <w:rPr>
          <w:lang w:eastAsia="en-AU"/>
        </w:rPr>
        <w:t> </w:t>
      </w:r>
      <w:r w:rsidRPr="002029AF" w:rsidDel="00DC30D8">
        <w:rPr>
          <w:lang w:eastAsia="en-AU"/>
        </w:rPr>
        <w:t>Executive</w:t>
      </w:r>
      <w:r w:rsidR="00AB0C69" w:rsidRPr="002029AF">
        <w:rPr>
          <w:lang w:eastAsia="en-AU"/>
        </w:rPr>
        <w:t> </w:t>
      </w:r>
      <w:r w:rsidRPr="002029AF" w:rsidDel="00DC30D8">
        <w:rPr>
          <w:lang w:eastAsia="en-AU"/>
        </w:rPr>
        <w:t>Services</w:t>
      </w:r>
    </w:p>
    <w:p w14:paraId="59D89F1A" w14:textId="0A2C9D50" w:rsidR="00116893" w:rsidRPr="002029AF" w:rsidRDefault="00116893" w:rsidP="00116893">
      <w:pPr>
        <w:pStyle w:val="ARbody"/>
      </w:pPr>
      <w:r w:rsidRPr="002029AF" w:rsidDel="00DC30D8">
        <w:t>Jacinda</w:t>
      </w:r>
      <w:r w:rsidR="000A5329" w:rsidRPr="002029AF">
        <w:t xml:space="preserve"> </w:t>
      </w:r>
      <w:r w:rsidRPr="002029AF" w:rsidDel="00DC30D8">
        <w:t>de</w:t>
      </w:r>
      <w:r w:rsidR="000A5329" w:rsidRPr="002029AF">
        <w:t xml:space="preserve"> </w:t>
      </w:r>
      <w:r w:rsidRPr="002029AF" w:rsidDel="00DC30D8">
        <w:t>Witts</w:t>
      </w:r>
      <w:r w:rsidR="000A5329" w:rsidRPr="002029AF">
        <w:t xml:space="preserve"> </w:t>
      </w:r>
      <w:r w:rsidRPr="002029AF">
        <w:t>was</w:t>
      </w:r>
      <w:r w:rsidR="000A5329" w:rsidRPr="002029AF">
        <w:t xml:space="preserve"> </w:t>
      </w:r>
      <w:r w:rsidRPr="002029AF">
        <w:t>appointed</w:t>
      </w:r>
      <w:r w:rsidR="000A5329" w:rsidRPr="002029AF">
        <w:t xml:space="preserve"> </w:t>
      </w:r>
      <w:r w:rsidRPr="002029AF">
        <w:t>as</w:t>
      </w:r>
      <w:r w:rsidR="000A5329" w:rsidRPr="002029AF">
        <w:t xml:space="preserve"> </w:t>
      </w:r>
      <w:r w:rsidRPr="002029AF">
        <w:t>Deputy</w:t>
      </w:r>
      <w:r w:rsidR="000A5329" w:rsidRPr="002029AF">
        <w:t xml:space="preserve"> </w:t>
      </w:r>
      <w:r w:rsidRPr="002029AF">
        <w:t>Secretary</w:t>
      </w:r>
      <w:r w:rsidR="000A5329" w:rsidRPr="002029AF">
        <w:t xml:space="preserve"> </w:t>
      </w:r>
      <w:r w:rsidRPr="002029AF">
        <w:t>–</w:t>
      </w:r>
      <w:r w:rsidR="000A5329" w:rsidRPr="002029AF">
        <w:t xml:space="preserve"> </w:t>
      </w:r>
      <w:r w:rsidRPr="002029AF">
        <w:t>Legal</w:t>
      </w:r>
      <w:r w:rsidR="000A5329" w:rsidRPr="002029AF">
        <w:t xml:space="preserve"> </w:t>
      </w:r>
      <w:r w:rsidRPr="002029AF">
        <w:t>and</w:t>
      </w:r>
      <w:r w:rsidR="000A5329" w:rsidRPr="002029AF">
        <w:t xml:space="preserve"> </w:t>
      </w:r>
      <w:r w:rsidRPr="002029AF">
        <w:t>Executive</w:t>
      </w:r>
      <w:r w:rsidR="000A5329" w:rsidRPr="002029AF">
        <w:t xml:space="preserve"> </w:t>
      </w:r>
      <w:r w:rsidRPr="002029AF">
        <w:t>Services</w:t>
      </w:r>
      <w:r w:rsidR="000A5329" w:rsidRPr="002029AF">
        <w:t xml:space="preserve"> </w:t>
      </w:r>
      <w:r w:rsidRPr="002029AF">
        <w:t>in</w:t>
      </w:r>
      <w:r w:rsidR="000A5329" w:rsidRPr="002029AF">
        <w:t xml:space="preserve"> </w:t>
      </w:r>
      <w:r w:rsidRPr="002029AF">
        <w:t>January</w:t>
      </w:r>
      <w:r w:rsidR="000A5329" w:rsidRPr="002029AF">
        <w:t xml:space="preserve"> </w:t>
      </w:r>
      <w:r w:rsidRPr="002029AF">
        <w:t>2019.</w:t>
      </w:r>
      <w:r w:rsidR="000A5329" w:rsidRPr="002029AF">
        <w:t xml:space="preserve"> </w:t>
      </w:r>
      <w:r w:rsidRPr="002029AF">
        <w:t>The</w:t>
      </w:r>
      <w:r w:rsidR="000A5329" w:rsidRPr="002029AF">
        <w:t xml:space="preserve"> </w:t>
      </w:r>
      <w:r w:rsidRPr="002029AF">
        <w:t>division</w:t>
      </w:r>
      <w:r w:rsidR="000A5329" w:rsidRPr="002029AF">
        <w:t xml:space="preserve"> </w:t>
      </w:r>
      <w:r w:rsidRPr="002029AF">
        <w:t>is</w:t>
      </w:r>
      <w:r w:rsidR="000A5329" w:rsidRPr="002029AF">
        <w:t xml:space="preserve"> </w:t>
      </w:r>
      <w:r w:rsidRPr="002029AF">
        <w:t>responsible</w:t>
      </w:r>
      <w:r w:rsidR="000A5329" w:rsidRPr="002029AF">
        <w:t xml:space="preserve"> </w:t>
      </w:r>
      <w:r w:rsidRPr="002029AF">
        <w:t>for</w:t>
      </w:r>
      <w:r w:rsidR="000A5329" w:rsidRPr="002029AF">
        <w:t xml:space="preserve"> </w:t>
      </w:r>
      <w:r w:rsidRPr="002029AF">
        <w:t>providing</w:t>
      </w:r>
      <w:r w:rsidR="000A5329" w:rsidRPr="002029AF">
        <w:t xml:space="preserve"> </w:t>
      </w:r>
      <w:r w:rsidRPr="002029AF">
        <w:t>legal,</w:t>
      </w:r>
      <w:r w:rsidR="000A5329" w:rsidRPr="002029AF">
        <w:t xml:space="preserve"> </w:t>
      </w:r>
      <w:r w:rsidRPr="002029AF">
        <w:t>privacy,</w:t>
      </w:r>
      <w:r w:rsidR="000A5329" w:rsidRPr="002029AF">
        <w:t xml:space="preserve"> </w:t>
      </w:r>
      <w:r w:rsidRPr="002029AF">
        <w:t>conduct</w:t>
      </w:r>
      <w:r w:rsidR="000A5329" w:rsidRPr="002029AF">
        <w:t xml:space="preserve"> </w:t>
      </w:r>
      <w:r w:rsidRPr="002029AF">
        <w:t>and</w:t>
      </w:r>
      <w:r w:rsidR="000A5329" w:rsidRPr="002029AF">
        <w:t xml:space="preserve"> </w:t>
      </w:r>
      <w:r w:rsidRPr="002029AF">
        <w:t>complaints</w:t>
      </w:r>
      <w:r w:rsidR="000A5329" w:rsidRPr="002029AF">
        <w:t xml:space="preserve"> </w:t>
      </w:r>
      <w:r w:rsidRPr="002029AF">
        <w:t>services</w:t>
      </w:r>
      <w:r w:rsidR="000A5329" w:rsidRPr="002029AF">
        <w:t xml:space="preserve"> </w:t>
      </w:r>
      <w:r w:rsidRPr="002029AF">
        <w:t>and</w:t>
      </w:r>
      <w:r w:rsidR="000A5329" w:rsidRPr="002029AF">
        <w:t xml:space="preserve"> </w:t>
      </w:r>
      <w:r w:rsidRPr="002029AF">
        <w:t>advice,</w:t>
      </w:r>
      <w:r w:rsidR="000A5329" w:rsidRPr="002029AF">
        <w:t xml:space="preserve"> </w:t>
      </w:r>
      <w:r w:rsidRPr="002029AF">
        <w:t>and</w:t>
      </w:r>
      <w:r w:rsidR="000A5329" w:rsidRPr="002029AF">
        <w:t xml:space="preserve"> </w:t>
      </w:r>
      <w:r w:rsidRPr="002029AF">
        <w:t>for</w:t>
      </w:r>
      <w:r w:rsidR="000A5329" w:rsidRPr="002029AF">
        <w:t xml:space="preserve"> </w:t>
      </w:r>
      <w:r w:rsidRPr="002029AF">
        <w:t>supporting</w:t>
      </w:r>
      <w:r w:rsidR="000A5329" w:rsidRPr="002029AF">
        <w:t xml:space="preserve"> </w:t>
      </w:r>
      <w:r w:rsidRPr="002029AF">
        <w:t>ministers</w:t>
      </w:r>
      <w:r w:rsidR="000A5329" w:rsidRPr="002029AF">
        <w:t xml:space="preserve"> </w:t>
      </w:r>
      <w:r w:rsidRPr="002029AF">
        <w:t>and</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in</w:t>
      </w:r>
      <w:r w:rsidR="000A5329" w:rsidRPr="002029AF">
        <w:t xml:space="preserve"> </w:t>
      </w:r>
      <w:r w:rsidRPr="002029AF">
        <w:t>meeting</w:t>
      </w:r>
      <w:r w:rsidR="000A5329" w:rsidRPr="002029AF">
        <w:t xml:space="preserve"> </w:t>
      </w:r>
      <w:r w:rsidRPr="002029AF">
        <w:t>their</w:t>
      </w:r>
      <w:r w:rsidR="000A5329" w:rsidRPr="002029AF">
        <w:t xml:space="preserve"> </w:t>
      </w:r>
      <w:r w:rsidRPr="002029AF">
        <w:t>statutory</w:t>
      </w:r>
      <w:r w:rsidR="000A5329" w:rsidRPr="002029AF">
        <w:t xml:space="preserve"> </w:t>
      </w:r>
      <w:r w:rsidRPr="002029AF">
        <w:t>and</w:t>
      </w:r>
      <w:r w:rsidR="000A5329" w:rsidRPr="002029AF">
        <w:t xml:space="preserve"> </w:t>
      </w:r>
      <w:r w:rsidRPr="002029AF">
        <w:t>integrity</w:t>
      </w:r>
      <w:r w:rsidR="000A5329" w:rsidRPr="002029AF">
        <w:t xml:space="preserve"> </w:t>
      </w:r>
      <w:r w:rsidRPr="002029AF">
        <w:t>obligations.</w:t>
      </w:r>
      <w:r w:rsidR="000A5329" w:rsidRPr="002029AF">
        <w:t xml:space="preserve"> </w:t>
      </w:r>
      <w:r w:rsidRPr="002029AF">
        <w:t>Jacinda</w:t>
      </w:r>
      <w:r w:rsidR="000A5329" w:rsidRPr="002029AF">
        <w:t xml:space="preserve"> </w:t>
      </w:r>
      <w:r w:rsidRPr="002029AF">
        <w:t>is</w:t>
      </w:r>
      <w:r w:rsidR="000A5329" w:rsidRPr="002029AF">
        <w:t xml:space="preserve"> </w:t>
      </w:r>
      <w:r w:rsidRPr="002029AF">
        <w:t>also</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General</w:t>
      </w:r>
      <w:r w:rsidR="000A5329" w:rsidRPr="002029AF">
        <w:t xml:space="preserve"> </w:t>
      </w:r>
      <w:r w:rsidRPr="002029AF">
        <w:t>Counsel.</w:t>
      </w:r>
    </w:p>
    <w:p w14:paraId="7539C5E3" w14:textId="2E0FAA76" w:rsidR="00116893" w:rsidRPr="002029AF" w:rsidDel="00DC30D8" w:rsidRDefault="00116893" w:rsidP="00116893">
      <w:pPr>
        <w:pStyle w:val="Heading3"/>
      </w:pPr>
      <w:r w:rsidRPr="002029AF" w:rsidDel="00DC30D8">
        <w:t>Nick</w:t>
      </w:r>
      <w:r w:rsidR="000A5329" w:rsidRPr="002029AF">
        <w:t xml:space="preserve"> </w:t>
      </w:r>
      <w:r w:rsidRPr="002029AF" w:rsidDel="00DC30D8">
        <w:t>Chiam</w:t>
      </w:r>
    </w:p>
    <w:p w14:paraId="4469906C" w14:textId="3EEF9C45" w:rsidR="00116893" w:rsidRPr="002029AF" w:rsidDel="00DC30D8" w:rsidRDefault="00116893" w:rsidP="00116893">
      <w:pPr>
        <w:pStyle w:val="Heading4"/>
        <w:rPr>
          <w:lang w:eastAsia="en-AU"/>
        </w:rPr>
      </w:pPr>
      <w:r w:rsidRPr="002029AF" w:rsidDel="00DC30D8">
        <w:rPr>
          <w:lang w:eastAsia="en-AU"/>
        </w:rPr>
        <w:t>Deputy</w:t>
      </w:r>
      <w:r w:rsidR="000A5329" w:rsidRPr="002029AF">
        <w:rPr>
          <w:lang w:eastAsia="en-AU"/>
        </w:rPr>
        <w:t xml:space="preserve"> </w:t>
      </w:r>
      <w:r w:rsidRPr="002029AF" w:rsidDel="00DC30D8">
        <w:rPr>
          <w:lang w:eastAsia="en-AU"/>
        </w:rPr>
        <w:t>Secretary</w:t>
      </w:r>
      <w:r w:rsidR="000A5329" w:rsidRPr="002029AF">
        <w:rPr>
          <w:lang w:eastAsia="en-AU"/>
        </w:rPr>
        <w:t xml:space="preserve"> </w:t>
      </w:r>
      <w:r w:rsidRPr="002029AF" w:rsidDel="00DC30D8">
        <w:rPr>
          <w:lang w:eastAsia="en-AU"/>
        </w:rPr>
        <w:t>–</w:t>
      </w:r>
      <w:r w:rsidR="000A5329" w:rsidRPr="002029AF">
        <w:rPr>
          <w:lang w:eastAsia="en-AU"/>
        </w:rPr>
        <w:t xml:space="preserve"> </w:t>
      </w:r>
      <w:r w:rsidRPr="002029AF" w:rsidDel="00DC30D8">
        <w:rPr>
          <w:lang w:eastAsia="en-AU"/>
        </w:rPr>
        <w:t>Organisational</w:t>
      </w:r>
      <w:r w:rsidR="005E1789">
        <w:rPr>
          <w:lang w:eastAsia="en-AU"/>
        </w:rPr>
        <w:t> </w:t>
      </w:r>
      <w:r w:rsidRPr="002029AF" w:rsidDel="00DC30D8">
        <w:rPr>
          <w:lang w:eastAsia="en-AU"/>
        </w:rPr>
        <w:t>Transformation</w:t>
      </w:r>
    </w:p>
    <w:p w14:paraId="6D31689A" w14:textId="4EB4A552" w:rsidR="000A5329" w:rsidRPr="002029AF" w:rsidRDefault="00116893" w:rsidP="00116893">
      <w:pPr>
        <w:pStyle w:val="ARbody"/>
      </w:pPr>
      <w:r w:rsidRPr="002029AF" w:rsidDel="00DC30D8">
        <w:t>Nick</w:t>
      </w:r>
      <w:r w:rsidR="000A5329" w:rsidRPr="002029AF">
        <w:t xml:space="preserve"> </w:t>
      </w:r>
      <w:r w:rsidRPr="002029AF" w:rsidDel="00DC30D8">
        <w:t>Chiam</w:t>
      </w:r>
      <w:r w:rsidR="000A5329" w:rsidRPr="002029AF">
        <w:t xml:space="preserve"> </w:t>
      </w:r>
      <w:r w:rsidRPr="002029AF">
        <w:t>was</w:t>
      </w:r>
      <w:r w:rsidR="000A5329" w:rsidRPr="002029AF">
        <w:t xml:space="preserve"> </w:t>
      </w:r>
      <w:r w:rsidRPr="002029AF">
        <w:t>appointed</w:t>
      </w:r>
      <w:r w:rsidR="000A5329" w:rsidRPr="002029AF">
        <w:t xml:space="preserve"> </w:t>
      </w:r>
      <w:r w:rsidRPr="002029AF">
        <w:t>as</w:t>
      </w:r>
      <w:r w:rsidR="000A5329" w:rsidRPr="002029AF">
        <w:t xml:space="preserve"> </w:t>
      </w:r>
      <w:r w:rsidRPr="002029AF">
        <w:t>Deputy</w:t>
      </w:r>
      <w:r w:rsidR="000A5329" w:rsidRPr="002029AF">
        <w:t xml:space="preserve"> </w:t>
      </w:r>
      <w:r w:rsidRPr="002029AF">
        <w:t>Secretary</w:t>
      </w:r>
      <w:r w:rsidR="000A5329" w:rsidRPr="002029AF">
        <w:t xml:space="preserve"> </w:t>
      </w:r>
      <w:r w:rsidRPr="002029AF">
        <w:t>–</w:t>
      </w:r>
      <w:r w:rsidR="000A5329" w:rsidRPr="002029AF">
        <w:t xml:space="preserve"> </w:t>
      </w:r>
      <w:r w:rsidRPr="002029AF">
        <w:t>Organisational</w:t>
      </w:r>
      <w:r w:rsidR="000A5329" w:rsidRPr="002029AF">
        <w:t xml:space="preserve"> </w:t>
      </w:r>
      <w:r w:rsidRPr="002029AF">
        <w:t>Transformation</w:t>
      </w:r>
      <w:r w:rsidR="000A5329" w:rsidRPr="002029AF">
        <w:t xml:space="preserve"> </w:t>
      </w:r>
      <w:r w:rsidRPr="002029AF">
        <w:t>in</w:t>
      </w:r>
      <w:r w:rsidR="000A5329" w:rsidRPr="002029AF">
        <w:t xml:space="preserve"> </w:t>
      </w:r>
      <w:r w:rsidRPr="002029AF">
        <w:t>January</w:t>
      </w:r>
      <w:r w:rsidR="000A5329" w:rsidRPr="002029AF">
        <w:t xml:space="preserve"> </w:t>
      </w:r>
      <w:r w:rsidRPr="002029AF">
        <w:t>2019.</w:t>
      </w:r>
      <w:r w:rsidR="000A5329" w:rsidRPr="002029AF">
        <w:t xml:space="preserve"> </w:t>
      </w:r>
      <w:r w:rsidRPr="002029AF">
        <w:t>Nick</w:t>
      </w:r>
      <w:r w:rsidR="000A5329" w:rsidRPr="002029AF">
        <w:t xml:space="preserve"> </w:t>
      </w:r>
      <w:r w:rsidRPr="002029AF">
        <w:t>leads</w:t>
      </w:r>
      <w:r w:rsidR="000A5329" w:rsidRPr="002029AF">
        <w:t xml:space="preserve"> </w:t>
      </w:r>
      <w:r w:rsidRPr="002029AF" w:rsidDel="00DC30D8">
        <w:t>the</w:t>
      </w:r>
      <w:r w:rsidR="000A5329" w:rsidRPr="002029AF">
        <w:t xml:space="preserve"> </w:t>
      </w:r>
      <w:r w:rsidRPr="002029AF" w:rsidDel="00DC30D8">
        <w:t>department’s</w:t>
      </w:r>
      <w:r w:rsidR="000A5329" w:rsidRPr="002029AF">
        <w:t xml:space="preserve"> </w:t>
      </w:r>
      <w:r w:rsidRPr="002029AF" w:rsidDel="00DC30D8">
        <w:t>broad</w:t>
      </w:r>
      <w:r w:rsidR="000A5329" w:rsidRPr="002029AF">
        <w:t xml:space="preserve"> </w:t>
      </w:r>
      <w:r w:rsidRPr="002029AF" w:rsidDel="00DC30D8">
        <w:t>program</w:t>
      </w:r>
      <w:r w:rsidR="000A5329" w:rsidRPr="002029AF">
        <w:t xml:space="preserve"> </w:t>
      </w:r>
      <w:r w:rsidRPr="002029AF" w:rsidDel="00DC30D8">
        <w:t>of</w:t>
      </w:r>
      <w:r w:rsidR="000A5329" w:rsidRPr="002029AF">
        <w:t xml:space="preserve"> </w:t>
      </w:r>
      <w:r w:rsidRPr="002029AF" w:rsidDel="00DC30D8">
        <w:t>organisational</w:t>
      </w:r>
      <w:r w:rsidR="000A5329" w:rsidRPr="002029AF">
        <w:t xml:space="preserve"> </w:t>
      </w:r>
      <w:r w:rsidRPr="002029AF" w:rsidDel="00DC30D8">
        <w:t>change</w:t>
      </w:r>
      <w:r w:rsidRPr="002029AF">
        <w:t>.</w:t>
      </w:r>
      <w:r w:rsidR="000A5329" w:rsidRPr="002029AF">
        <w:t xml:space="preserve"> </w:t>
      </w:r>
      <w:r w:rsidRPr="002029AF" w:rsidDel="00DC30D8">
        <w:t>The</w:t>
      </w:r>
      <w:r w:rsidR="000A5329" w:rsidRPr="002029AF">
        <w:t xml:space="preserve"> </w:t>
      </w:r>
      <w:r w:rsidRPr="002029AF" w:rsidDel="00DC30D8">
        <w:t>division</w:t>
      </w:r>
      <w:r w:rsidR="000A5329" w:rsidRPr="002029AF">
        <w:t xml:space="preserve"> </w:t>
      </w:r>
      <w:r w:rsidRPr="002029AF" w:rsidDel="00DC30D8">
        <w:t>works</w:t>
      </w:r>
      <w:r w:rsidR="000A5329" w:rsidRPr="002029AF">
        <w:t xml:space="preserve"> </w:t>
      </w:r>
      <w:r w:rsidRPr="002029AF" w:rsidDel="00DC30D8">
        <w:t>in</w:t>
      </w:r>
      <w:r w:rsidR="000A5329" w:rsidRPr="002029AF">
        <w:t xml:space="preserve"> </w:t>
      </w:r>
      <w:r w:rsidRPr="002029AF" w:rsidDel="00DC30D8">
        <w:t>collaboration</w:t>
      </w:r>
      <w:r w:rsidR="000A5329" w:rsidRPr="002029AF">
        <w:t xml:space="preserve"> </w:t>
      </w:r>
      <w:r w:rsidRPr="002029AF" w:rsidDel="00DC30D8">
        <w:t>with</w:t>
      </w:r>
      <w:r w:rsidR="000A5329" w:rsidRPr="002029AF">
        <w:t xml:space="preserve"> </w:t>
      </w:r>
      <w:r w:rsidRPr="002029AF" w:rsidDel="00DC30D8">
        <w:t>leadership</w:t>
      </w:r>
      <w:r w:rsidR="000A5329" w:rsidRPr="002029AF">
        <w:t xml:space="preserve"> </w:t>
      </w:r>
      <w:r w:rsidRPr="002029AF" w:rsidDel="00DC30D8">
        <w:t>and</w:t>
      </w:r>
      <w:r w:rsidR="000A5329" w:rsidRPr="002029AF">
        <w:t xml:space="preserve"> </w:t>
      </w:r>
      <w:r w:rsidRPr="002029AF" w:rsidDel="00DC30D8">
        <w:t>staff</w:t>
      </w:r>
      <w:r w:rsidR="000A5329" w:rsidRPr="002029AF">
        <w:t xml:space="preserve"> </w:t>
      </w:r>
      <w:r w:rsidRPr="002029AF" w:rsidDel="00DC30D8">
        <w:t>to</w:t>
      </w:r>
      <w:r w:rsidR="000A5329" w:rsidRPr="002029AF">
        <w:t xml:space="preserve"> </w:t>
      </w:r>
      <w:r w:rsidRPr="002029AF" w:rsidDel="00DC30D8">
        <w:t>build</w:t>
      </w:r>
      <w:r w:rsidR="000A5329" w:rsidRPr="002029AF">
        <w:t xml:space="preserve"> </w:t>
      </w:r>
      <w:r w:rsidRPr="002029AF" w:rsidDel="00DC30D8">
        <w:t>the</w:t>
      </w:r>
      <w:r w:rsidR="000A5329" w:rsidRPr="002029AF">
        <w:t xml:space="preserve"> </w:t>
      </w:r>
      <w:r w:rsidRPr="002029AF" w:rsidDel="00DC30D8">
        <w:t>organisation</w:t>
      </w:r>
      <w:r w:rsidR="005F298C">
        <w:t>’</w:t>
      </w:r>
      <w:r w:rsidRPr="002029AF" w:rsidDel="00DC30D8">
        <w:t>s</w:t>
      </w:r>
      <w:r w:rsidR="000A5329" w:rsidRPr="002029AF">
        <w:t xml:space="preserve"> </w:t>
      </w:r>
      <w:r w:rsidRPr="002029AF" w:rsidDel="00DC30D8">
        <w:t>collective</w:t>
      </w:r>
      <w:r w:rsidR="000A5329" w:rsidRPr="002029AF">
        <w:t xml:space="preserve"> </w:t>
      </w:r>
      <w:r w:rsidRPr="002029AF" w:rsidDel="00DC30D8">
        <w:t>skills,</w:t>
      </w:r>
      <w:r w:rsidR="000A5329" w:rsidRPr="002029AF">
        <w:t xml:space="preserve"> </w:t>
      </w:r>
      <w:r w:rsidRPr="002029AF" w:rsidDel="00DC30D8">
        <w:t>experience</w:t>
      </w:r>
      <w:r w:rsidR="000A5329" w:rsidRPr="002029AF">
        <w:t xml:space="preserve"> </w:t>
      </w:r>
      <w:r w:rsidRPr="002029AF" w:rsidDel="00DC30D8">
        <w:t>and</w:t>
      </w:r>
      <w:r w:rsidR="000A5329" w:rsidRPr="002029AF">
        <w:t xml:space="preserve"> </w:t>
      </w:r>
      <w:r w:rsidRPr="002029AF" w:rsidDel="00DC30D8">
        <w:t>creativity</w:t>
      </w:r>
      <w:r w:rsidRPr="002029AF">
        <w:t>.</w:t>
      </w:r>
    </w:p>
    <w:p w14:paraId="5A913AA9" w14:textId="3052F237" w:rsidR="00116893" w:rsidRPr="002029AF" w:rsidDel="00DC30D8" w:rsidRDefault="00116893" w:rsidP="00116893">
      <w:pPr>
        <w:pStyle w:val="ARbody"/>
      </w:pPr>
      <w:r w:rsidRPr="002029AF">
        <w:t>During</w:t>
      </w:r>
      <w:r w:rsidR="000A5329" w:rsidRPr="002029AF">
        <w:t xml:space="preserve"> </w:t>
      </w:r>
      <w:r w:rsidRPr="002029AF">
        <w:t>the</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response,</w:t>
      </w:r>
      <w:r w:rsidR="000A5329" w:rsidRPr="002029AF">
        <w:t xml:space="preserve"> </w:t>
      </w:r>
      <w:r w:rsidRPr="002029AF">
        <w:t>the</w:t>
      </w:r>
      <w:r w:rsidR="000A5329" w:rsidRPr="002029AF">
        <w:t xml:space="preserve"> </w:t>
      </w:r>
      <w:r w:rsidRPr="002029AF">
        <w:t>division</w:t>
      </w:r>
      <w:r w:rsidR="000A5329" w:rsidRPr="002029AF">
        <w:t xml:space="preserve"> </w:t>
      </w:r>
      <w:r w:rsidRPr="002029AF">
        <w:t>has</w:t>
      </w:r>
      <w:r w:rsidR="000A5329" w:rsidRPr="002029AF">
        <w:t xml:space="preserve"> </w:t>
      </w:r>
      <w:r w:rsidRPr="002029AF">
        <w:t>been</w:t>
      </w:r>
      <w:r w:rsidR="000A5329" w:rsidRPr="002029AF">
        <w:t xml:space="preserve"> </w:t>
      </w:r>
      <w:r w:rsidRPr="002029AF">
        <w:t>focused</w:t>
      </w:r>
      <w:r w:rsidR="000A5329" w:rsidRPr="002029AF">
        <w:t xml:space="preserve"> </w:t>
      </w:r>
      <w:r w:rsidRPr="002029AF">
        <w:t>on</w:t>
      </w:r>
      <w:r w:rsidR="000A5329" w:rsidRPr="002029AF">
        <w:t xml:space="preserve"> </w:t>
      </w:r>
      <w:r w:rsidRPr="002029AF">
        <w:t>supporting</w:t>
      </w:r>
      <w:r w:rsidR="000A5329" w:rsidRPr="002029AF">
        <w:t xml:space="preserve"> </w:t>
      </w:r>
      <w:r w:rsidRPr="002029AF">
        <w:t>staff</w:t>
      </w:r>
      <w:r w:rsidR="000A5329" w:rsidRPr="002029AF">
        <w:t xml:space="preserve"> </w:t>
      </w:r>
      <w:r w:rsidRPr="002029AF">
        <w:t>to</w:t>
      </w:r>
      <w:r w:rsidR="000A5329" w:rsidRPr="002029AF">
        <w:t xml:space="preserve"> </w:t>
      </w:r>
      <w:r w:rsidRPr="002029AF">
        <w:t>adapt</w:t>
      </w:r>
      <w:r w:rsidR="000A5329" w:rsidRPr="002029AF">
        <w:t xml:space="preserve"> </w:t>
      </w:r>
      <w:r w:rsidRPr="002029AF">
        <w:t>to</w:t>
      </w:r>
      <w:r w:rsidR="000A5329" w:rsidRPr="002029AF">
        <w:t xml:space="preserve"> </w:t>
      </w:r>
      <w:r w:rsidRPr="002029AF">
        <w:t>remote</w:t>
      </w:r>
      <w:r w:rsidR="000A5329" w:rsidRPr="002029AF">
        <w:t xml:space="preserve"> </w:t>
      </w:r>
      <w:r w:rsidRPr="002029AF">
        <w:t>working</w:t>
      </w:r>
      <w:r w:rsidR="000A5329" w:rsidRPr="002029AF">
        <w:t xml:space="preserve"> </w:t>
      </w:r>
      <w:r w:rsidRPr="002029AF">
        <w:t>and</w:t>
      </w:r>
      <w:r w:rsidR="000A5329" w:rsidRPr="002029AF">
        <w:t xml:space="preserve"> </w:t>
      </w:r>
      <w:r w:rsidRPr="002029AF">
        <w:t>establishing</w:t>
      </w:r>
      <w:r w:rsidR="000A5329" w:rsidRPr="002029AF">
        <w:t xml:space="preserve"> </w:t>
      </w:r>
      <w:r w:rsidRPr="002029AF">
        <w:t>and</w:t>
      </w:r>
      <w:r w:rsidR="000A5329" w:rsidRPr="002029AF">
        <w:t xml:space="preserve"> </w:t>
      </w:r>
      <w:r w:rsidRPr="002029AF">
        <w:t>sustaining</w:t>
      </w:r>
      <w:r w:rsidR="000A5329" w:rsidRPr="002029AF">
        <w:t xml:space="preserve"> </w:t>
      </w:r>
      <w:r w:rsidRPr="002029AF">
        <w:t>new</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response</w:t>
      </w:r>
      <w:r w:rsidR="000A5329" w:rsidRPr="002029AF">
        <w:t xml:space="preserve"> </w:t>
      </w:r>
      <w:r w:rsidRPr="002029AF">
        <w:t>operations</w:t>
      </w:r>
      <w:r w:rsidRPr="002029AF" w:rsidDel="00DC30D8">
        <w:t>.</w:t>
      </w:r>
    </w:p>
    <w:p w14:paraId="632550F0" w14:textId="4A5DDCC3" w:rsidR="00116893" w:rsidRPr="002029AF" w:rsidDel="00DC30D8" w:rsidRDefault="00116893" w:rsidP="00116893">
      <w:pPr>
        <w:pStyle w:val="Heading3"/>
      </w:pPr>
      <w:r w:rsidRPr="002029AF" w:rsidDel="00DC30D8">
        <w:t>Melissa</w:t>
      </w:r>
      <w:r w:rsidR="000A5329" w:rsidRPr="002029AF">
        <w:t xml:space="preserve"> </w:t>
      </w:r>
      <w:r w:rsidRPr="002029AF" w:rsidDel="00DC30D8">
        <w:t>Skilbeck</w:t>
      </w:r>
    </w:p>
    <w:p w14:paraId="299EF5A2" w14:textId="4F68CCDC" w:rsidR="00116893" w:rsidRPr="002029AF" w:rsidDel="00DC30D8" w:rsidRDefault="00116893" w:rsidP="00116893">
      <w:pPr>
        <w:pStyle w:val="Heading4"/>
        <w:rPr>
          <w:lang w:eastAsia="en-AU"/>
        </w:rPr>
      </w:pPr>
      <w:r w:rsidRPr="002029AF" w:rsidDel="00DC30D8">
        <w:rPr>
          <w:lang w:eastAsia="en-AU"/>
        </w:rPr>
        <w:t>Deputy</w:t>
      </w:r>
      <w:r w:rsidR="000A5329" w:rsidRPr="002029AF">
        <w:rPr>
          <w:lang w:eastAsia="en-AU"/>
        </w:rPr>
        <w:t xml:space="preserve"> </w:t>
      </w:r>
      <w:r w:rsidRPr="002029AF" w:rsidDel="00DC30D8">
        <w:t>Secretary</w:t>
      </w:r>
      <w:r w:rsidR="000A5329" w:rsidRPr="002029AF">
        <w:t xml:space="preserve"> </w:t>
      </w:r>
      <w:r w:rsidRPr="002029AF" w:rsidDel="00DC30D8">
        <w:t>–</w:t>
      </w:r>
      <w:r w:rsidR="000A5329" w:rsidRPr="002029AF">
        <w:rPr>
          <w:lang w:eastAsia="en-AU"/>
        </w:rPr>
        <w:t xml:space="preserve"> </w:t>
      </w:r>
      <w:r w:rsidRPr="002029AF" w:rsidDel="00DC30D8">
        <w:rPr>
          <w:lang w:eastAsia="en-AU"/>
        </w:rPr>
        <w:t>Regulation,</w:t>
      </w:r>
      <w:r w:rsidR="000A5329" w:rsidRPr="002029AF">
        <w:rPr>
          <w:lang w:eastAsia="en-AU"/>
        </w:rPr>
        <w:t xml:space="preserve"> </w:t>
      </w:r>
      <w:r w:rsidRPr="002029AF" w:rsidDel="00DC30D8">
        <w:rPr>
          <w:lang w:eastAsia="en-AU"/>
        </w:rPr>
        <w:t>Health</w:t>
      </w:r>
      <w:r w:rsidR="000A5329" w:rsidRPr="002029AF">
        <w:rPr>
          <w:lang w:eastAsia="en-AU"/>
        </w:rPr>
        <w:t xml:space="preserve"> </w:t>
      </w:r>
      <w:r w:rsidRPr="002029AF" w:rsidDel="00DC30D8">
        <w:rPr>
          <w:lang w:eastAsia="en-AU"/>
        </w:rPr>
        <w:t>Protection</w:t>
      </w:r>
      <w:r w:rsidR="000A5329" w:rsidRPr="002029AF">
        <w:rPr>
          <w:lang w:eastAsia="en-AU"/>
        </w:rPr>
        <w:t xml:space="preserve"> </w:t>
      </w:r>
      <w:r w:rsidRPr="002029AF" w:rsidDel="00DC30D8">
        <w:rPr>
          <w:lang w:eastAsia="en-AU"/>
        </w:rPr>
        <w:t>and</w:t>
      </w:r>
      <w:r w:rsidR="000A5329" w:rsidRPr="002029AF">
        <w:rPr>
          <w:lang w:eastAsia="en-AU"/>
        </w:rPr>
        <w:t xml:space="preserve"> </w:t>
      </w:r>
      <w:r w:rsidRPr="002029AF" w:rsidDel="00DC30D8">
        <w:rPr>
          <w:lang w:eastAsia="en-AU"/>
        </w:rPr>
        <w:t>Emergency</w:t>
      </w:r>
      <w:r w:rsidR="000A5329" w:rsidRPr="002029AF">
        <w:rPr>
          <w:lang w:eastAsia="en-AU"/>
        </w:rPr>
        <w:t xml:space="preserve"> </w:t>
      </w:r>
      <w:r w:rsidRPr="002029AF" w:rsidDel="00DC30D8">
        <w:rPr>
          <w:lang w:eastAsia="en-AU"/>
        </w:rPr>
        <w:t>Management</w:t>
      </w:r>
    </w:p>
    <w:p w14:paraId="4C92264D" w14:textId="5982E1B3" w:rsidR="00116893" w:rsidRPr="002029AF" w:rsidRDefault="00116893" w:rsidP="00116893">
      <w:pPr>
        <w:pStyle w:val="ARbody"/>
      </w:pPr>
      <w:r w:rsidRPr="002029AF">
        <w:t>Melissa</w:t>
      </w:r>
      <w:r w:rsidR="000A5329" w:rsidRPr="002029AF">
        <w:t xml:space="preserve"> </w:t>
      </w:r>
      <w:r w:rsidRPr="002029AF">
        <w:t>Skilbeck</w:t>
      </w:r>
      <w:r w:rsidR="000A5329" w:rsidRPr="002029AF">
        <w:t xml:space="preserve"> </w:t>
      </w:r>
      <w:r w:rsidRPr="002029AF">
        <w:t>was</w:t>
      </w:r>
      <w:r w:rsidR="000A5329" w:rsidRPr="002029AF">
        <w:t xml:space="preserve"> </w:t>
      </w:r>
      <w:r w:rsidRPr="002029AF">
        <w:t>appointed</w:t>
      </w:r>
      <w:r w:rsidR="000A5329" w:rsidRPr="002029AF">
        <w:t xml:space="preserve"> </w:t>
      </w:r>
      <w:r w:rsidRPr="002029AF">
        <w:t>as</w:t>
      </w:r>
      <w:r w:rsidR="000A5329" w:rsidRPr="002029AF">
        <w:t xml:space="preserve"> </w:t>
      </w:r>
      <w:r w:rsidRPr="002029AF">
        <w:t>Deputy</w:t>
      </w:r>
      <w:r w:rsidR="000A5329" w:rsidRPr="002029AF">
        <w:t xml:space="preserve"> </w:t>
      </w:r>
      <w:r w:rsidRPr="002029AF">
        <w:t>Secretary</w:t>
      </w:r>
      <w:r w:rsidR="000A5329" w:rsidRPr="002029AF">
        <w:t xml:space="preserve"> </w:t>
      </w:r>
      <w:r w:rsidRPr="002029AF">
        <w:t>–</w:t>
      </w:r>
      <w:r w:rsidR="000A5329" w:rsidRPr="002029AF">
        <w:t xml:space="preserve"> </w:t>
      </w:r>
      <w:r w:rsidRPr="002029AF">
        <w:t>Regulation,</w:t>
      </w:r>
      <w:r w:rsidR="000A5329" w:rsidRPr="002029AF">
        <w:t xml:space="preserve"> </w:t>
      </w:r>
      <w:r w:rsidRPr="002029AF">
        <w:t>Health</w:t>
      </w:r>
      <w:r w:rsidR="000A5329" w:rsidRPr="002029AF">
        <w:t xml:space="preserve"> </w:t>
      </w:r>
      <w:r w:rsidRPr="002029AF">
        <w:t>Protection</w:t>
      </w:r>
      <w:r w:rsidR="000A5329" w:rsidRPr="002029AF">
        <w:t xml:space="preserve"> </w:t>
      </w:r>
      <w:r w:rsidRPr="002029AF">
        <w:t>and</w:t>
      </w:r>
      <w:r w:rsidR="000A5329" w:rsidRPr="002029AF">
        <w:t xml:space="preserve"> </w:t>
      </w:r>
      <w:r w:rsidRPr="002029AF">
        <w:t>Emergency</w:t>
      </w:r>
      <w:r w:rsidR="000A5329" w:rsidRPr="002029AF">
        <w:t xml:space="preserve"> </w:t>
      </w:r>
      <w:r w:rsidRPr="002029AF">
        <w:t>Management</w:t>
      </w:r>
      <w:r w:rsidR="000A5329" w:rsidRPr="002029AF">
        <w:t xml:space="preserve"> </w:t>
      </w:r>
      <w:r w:rsidRPr="002029AF">
        <w:t>in</w:t>
      </w:r>
      <w:r w:rsidR="000A5329" w:rsidRPr="002029AF">
        <w:t xml:space="preserve"> </w:t>
      </w:r>
      <w:r w:rsidRPr="002029AF">
        <w:t>June</w:t>
      </w:r>
      <w:r w:rsidR="000A5329" w:rsidRPr="002029AF">
        <w:t xml:space="preserve"> </w:t>
      </w:r>
      <w:r w:rsidRPr="002029AF">
        <w:t>2016.</w:t>
      </w:r>
      <w:r w:rsidR="000A5329" w:rsidRPr="002029AF">
        <w:t xml:space="preserve"> </w:t>
      </w:r>
      <w:r w:rsidRPr="002029AF">
        <w:t>Melissa</w:t>
      </w:r>
      <w:r w:rsidR="000A5329" w:rsidRPr="002029AF">
        <w:t xml:space="preserve"> </w:t>
      </w:r>
      <w:r w:rsidRPr="002029AF">
        <w:t>leads</w:t>
      </w:r>
      <w:r w:rsidR="000A5329" w:rsidRPr="002029AF">
        <w:t xml:space="preserve"> </w:t>
      </w:r>
      <w:r w:rsidRPr="002029AF">
        <w:t>a</w:t>
      </w:r>
      <w:r w:rsidR="000A5329" w:rsidRPr="002029AF">
        <w:t xml:space="preserve"> </w:t>
      </w:r>
      <w:r w:rsidRPr="002029AF">
        <w:t>division</w:t>
      </w:r>
      <w:r w:rsidR="000A5329" w:rsidRPr="002029AF">
        <w:t xml:space="preserve"> </w:t>
      </w:r>
      <w:r w:rsidRPr="002029AF">
        <w:t>whose</w:t>
      </w:r>
      <w:r w:rsidR="000A5329" w:rsidRPr="002029AF">
        <w:t xml:space="preserve"> </w:t>
      </w:r>
      <w:r w:rsidRPr="002029AF">
        <w:t>combined</w:t>
      </w:r>
      <w:r w:rsidR="000A5329" w:rsidRPr="002029AF">
        <w:t xml:space="preserve"> </w:t>
      </w:r>
      <w:r w:rsidRPr="002029AF">
        <w:t>professional,</w:t>
      </w:r>
      <w:r w:rsidR="000A5329" w:rsidRPr="002029AF">
        <w:t xml:space="preserve"> </w:t>
      </w:r>
      <w:r w:rsidRPr="002029AF">
        <w:t>technological</w:t>
      </w:r>
      <w:r w:rsidR="000A5329" w:rsidRPr="002029AF">
        <w:t xml:space="preserve"> </w:t>
      </w:r>
      <w:r w:rsidRPr="002029AF">
        <w:t>and</w:t>
      </w:r>
      <w:r w:rsidR="000A5329" w:rsidRPr="002029AF">
        <w:t xml:space="preserve"> </w:t>
      </w:r>
      <w:r w:rsidRPr="002029AF">
        <w:t>epidemiological</w:t>
      </w:r>
      <w:r w:rsidR="000A5329" w:rsidRPr="002029AF">
        <w:t xml:space="preserve"> </w:t>
      </w:r>
      <w:r w:rsidRPr="002029AF">
        <w:t>expertise</w:t>
      </w:r>
      <w:r w:rsidR="000A5329" w:rsidRPr="002029AF">
        <w:t xml:space="preserve"> </w:t>
      </w:r>
      <w:r w:rsidRPr="002029AF">
        <w:t>protects</w:t>
      </w:r>
      <w:r w:rsidR="000A5329" w:rsidRPr="002029AF">
        <w:t xml:space="preserve"> </w:t>
      </w:r>
      <w:r w:rsidRPr="002029AF">
        <w:t>the</w:t>
      </w:r>
      <w:r w:rsidR="000A5329" w:rsidRPr="002029AF">
        <w:t xml:space="preserve"> </w:t>
      </w:r>
      <w:r w:rsidRPr="002029AF">
        <w:t>Victorian</w:t>
      </w:r>
      <w:r w:rsidR="000A5329" w:rsidRPr="002029AF">
        <w:t xml:space="preserve"> </w:t>
      </w:r>
      <w:r w:rsidRPr="002029AF">
        <w:t>public</w:t>
      </w:r>
      <w:r w:rsidR="000A5329" w:rsidRPr="002029AF">
        <w:t xml:space="preserve"> </w:t>
      </w:r>
      <w:r w:rsidRPr="002029AF">
        <w:t>from</w:t>
      </w:r>
      <w:r w:rsidR="000A5329" w:rsidRPr="002029AF">
        <w:t xml:space="preserve"> </w:t>
      </w:r>
      <w:r w:rsidRPr="002029AF">
        <w:t>avoidable</w:t>
      </w:r>
      <w:r w:rsidR="000A5329" w:rsidRPr="002029AF">
        <w:t xml:space="preserve"> </w:t>
      </w:r>
      <w:r w:rsidRPr="002029AF">
        <w:t>harm.</w:t>
      </w:r>
      <w:r w:rsidR="000A5329" w:rsidRPr="002029AF">
        <w:t xml:space="preserve"> </w:t>
      </w:r>
      <w:r w:rsidRPr="002029AF">
        <w:t>It</w:t>
      </w:r>
      <w:r w:rsidR="00AB0C69" w:rsidRPr="002029AF">
        <w:t> </w:t>
      </w:r>
      <w:r w:rsidRPr="002029AF">
        <w:t>is</w:t>
      </w:r>
      <w:r w:rsidR="000A5329" w:rsidRPr="002029AF">
        <w:t xml:space="preserve"> </w:t>
      </w:r>
      <w:r w:rsidRPr="002029AF">
        <w:t>also</w:t>
      </w:r>
      <w:r w:rsidR="000A5329" w:rsidRPr="002029AF">
        <w:t xml:space="preserve"> </w:t>
      </w:r>
      <w:r w:rsidRPr="002029AF">
        <w:t>responsible</w:t>
      </w:r>
      <w:r w:rsidR="000A5329" w:rsidRPr="002029AF">
        <w:t xml:space="preserve"> </w:t>
      </w:r>
      <w:r w:rsidRPr="002029AF">
        <w:t>for</w:t>
      </w:r>
      <w:r w:rsidR="000A5329" w:rsidRPr="002029AF">
        <w:t xml:space="preserve"> </w:t>
      </w:r>
      <w:r w:rsidRPr="002029AF">
        <w:t>advancing</w:t>
      </w:r>
      <w:r w:rsidR="000A5329" w:rsidRPr="002029AF">
        <w:t xml:space="preserve"> </w:t>
      </w:r>
      <w:r w:rsidRPr="002029AF">
        <w:t>public</w:t>
      </w:r>
      <w:r w:rsidR="000A5329" w:rsidRPr="002029AF">
        <w:t xml:space="preserve"> </w:t>
      </w:r>
      <w:r w:rsidRPr="002029AF">
        <w:t>health,</w:t>
      </w:r>
      <w:r w:rsidR="000A5329" w:rsidRPr="002029AF">
        <w:t xml:space="preserve"> </w:t>
      </w:r>
      <w:r w:rsidRPr="002029AF">
        <w:t>improving</w:t>
      </w:r>
      <w:r w:rsidR="000A5329" w:rsidRPr="002029AF">
        <w:t xml:space="preserve"> </w:t>
      </w:r>
      <w:r w:rsidRPr="002029AF">
        <w:t>population</w:t>
      </w:r>
      <w:r w:rsidR="000A5329" w:rsidRPr="002029AF">
        <w:t xml:space="preserve"> </w:t>
      </w:r>
      <w:r w:rsidRPr="002029AF">
        <w:t>health</w:t>
      </w:r>
      <w:r w:rsidR="000A5329" w:rsidRPr="002029AF">
        <w:t xml:space="preserve"> </w:t>
      </w:r>
      <w:r w:rsidRPr="002029AF">
        <w:t>and</w:t>
      </w:r>
      <w:r w:rsidR="000A5329" w:rsidRPr="002029AF">
        <w:t xml:space="preserve"> </w:t>
      </w:r>
      <w:r w:rsidRPr="002029AF">
        <w:t>wellbeing</w:t>
      </w:r>
      <w:r w:rsidR="000A5329" w:rsidRPr="002029AF">
        <w:t xml:space="preserve"> </w:t>
      </w:r>
      <w:r w:rsidRPr="002029AF">
        <w:t>outcomes,</w:t>
      </w:r>
      <w:r w:rsidR="000A5329" w:rsidRPr="002029AF">
        <w:t xml:space="preserve"> </w:t>
      </w:r>
      <w:r w:rsidRPr="002029AF">
        <w:t>supporting</w:t>
      </w:r>
      <w:r w:rsidR="000A5329" w:rsidRPr="002029AF">
        <w:t xml:space="preserve"> </w:t>
      </w:r>
      <w:r w:rsidRPr="002029AF">
        <w:t>health</w:t>
      </w:r>
      <w:r w:rsidR="000A5329" w:rsidRPr="002029AF">
        <w:t xml:space="preserve"> </w:t>
      </w:r>
      <w:r w:rsidRPr="002029AF">
        <w:t>and</w:t>
      </w:r>
      <w:r w:rsidR="000A5329" w:rsidRPr="002029AF">
        <w:t xml:space="preserve"> </w:t>
      </w:r>
      <w:r w:rsidRPr="002029AF">
        <w:t>human</w:t>
      </w:r>
      <w:r w:rsidR="000A5329" w:rsidRPr="002029AF">
        <w:t xml:space="preserve"> </w:t>
      </w:r>
      <w:r w:rsidRPr="002029AF">
        <w:t>services</w:t>
      </w:r>
      <w:r w:rsidR="000A5329" w:rsidRPr="002029AF">
        <w:t xml:space="preserve"> </w:t>
      </w:r>
      <w:r w:rsidRPr="002029AF">
        <w:t>regulation,</w:t>
      </w:r>
      <w:r w:rsidR="000A5329" w:rsidRPr="002029AF">
        <w:t xml:space="preserve"> </w:t>
      </w:r>
      <w:r w:rsidRPr="002029AF">
        <w:t>and</w:t>
      </w:r>
      <w:r w:rsidR="000A5329" w:rsidRPr="002029AF">
        <w:t xml:space="preserve"> </w:t>
      </w:r>
      <w:r w:rsidRPr="002029AF">
        <w:t>ensuring</w:t>
      </w:r>
      <w:r w:rsidR="000A5329" w:rsidRPr="002029AF">
        <w:t xml:space="preserve"> </w:t>
      </w:r>
      <w:r w:rsidRPr="002029AF">
        <w:t>emergency</w:t>
      </w:r>
      <w:r w:rsidR="000A5329" w:rsidRPr="002029AF">
        <w:t xml:space="preserve"> </w:t>
      </w:r>
      <w:r w:rsidRPr="002029AF">
        <w:t>management,</w:t>
      </w:r>
      <w:r w:rsidR="000A5329" w:rsidRPr="002029AF">
        <w:t xml:space="preserve"> </w:t>
      </w:r>
      <w:r w:rsidRPr="002029AF">
        <w:t>including</w:t>
      </w:r>
      <w:r w:rsidR="000A5329" w:rsidRPr="002029AF">
        <w:t xml:space="preserve"> </w:t>
      </w:r>
      <w:r w:rsidRPr="002029AF">
        <w:t>contributing</w:t>
      </w:r>
      <w:r w:rsidR="000A5329" w:rsidRPr="002029AF">
        <w:t xml:space="preserve"> </w:t>
      </w:r>
      <w:r w:rsidRPr="002029AF">
        <w:t>to</w:t>
      </w:r>
      <w:r w:rsidR="000A5329" w:rsidRPr="002029AF">
        <w:t xml:space="preserve"> </w:t>
      </w:r>
      <w:r w:rsidRPr="002029AF">
        <w:t>whole-of-government</w:t>
      </w:r>
      <w:r w:rsidR="000A5329" w:rsidRPr="002029AF">
        <w:t xml:space="preserve"> </w:t>
      </w:r>
      <w:r w:rsidRPr="002029AF">
        <w:t>actions</w:t>
      </w:r>
      <w:r w:rsidR="000A5329" w:rsidRPr="002029AF">
        <w:t xml:space="preserve"> </w:t>
      </w:r>
      <w:r w:rsidRPr="002029AF">
        <w:t>to</w:t>
      </w:r>
      <w:r w:rsidR="000A5329" w:rsidRPr="002029AF">
        <w:t xml:space="preserve"> </w:t>
      </w:r>
      <w:r w:rsidRPr="002029AF">
        <w:t>build</w:t>
      </w:r>
      <w:r w:rsidR="000A5329" w:rsidRPr="002029AF">
        <w:t xml:space="preserve"> </w:t>
      </w:r>
      <w:r w:rsidRPr="002029AF">
        <w:t>community</w:t>
      </w:r>
      <w:r w:rsidR="000A5329" w:rsidRPr="002029AF">
        <w:t xml:space="preserve"> </w:t>
      </w:r>
      <w:r w:rsidRPr="002029AF">
        <w:t>resilience</w:t>
      </w:r>
      <w:r w:rsidR="000A5329" w:rsidRPr="002029AF">
        <w:t xml:space="preserve"> </w:t>
      </w:r>
      <w:r w:rsidRPr="002029AF">
        <w:t>and</w:t>
      </w:r>
      <w:r w:rsidR="000A5329" w:rsidRPr="002029AF">
        <w:t xml:space="preserve"> </w:t>
      </w:r>
      <w:r w:rsidRPr="002029AF">
        <w:t>support</w:t>
      </w:r>
      <w:r w:rsidR="000A5329" w:rsidRPr="002029AF">
        <w:t xml:space="preserve"> </w:t>
      </w:r>
      <w:r w:rsidRPr="002029AF">
        <w:t>social</w:t>
      </w:r>
      <w:r w:rsidR="000A5329" w:rsidRPr="002029AF">
        <w:t xml:space="preserve"> </w:t>
      </w:r>
      <w:r w:rsidRPr="002029AF">
        <w:t>recovery</w:t>
      </w:r>
      <w:r w:rsidR="000A5329" w:rsidRPr="002029AF">
        <w:t xml:space="preserve"> </w:t>
      </w:r>
      <w:r w:rsidRPr="002029AF">
        <w:t>in</w:t>
      </w:r>
      <w:r w:rsidR="000A5329" w:rsidRPr="002029AF">
        <w:t xml:space="preserve"> </w:t>
      </w:r>
      <w:r w:rsidRPr="002029AF">
        <w:t>disaster-impacted</w:t>
      </w:r>
      <w:r w:rsidR="000A5329" w:rsidRPr="002029AF">
        <w:t xml:space="preserve"> </w:t>
      </w:r>
      <w:r w:rsidRPr="002029AF">
        <w:t>communities.</w:t>
      </w:r>
    </w:p>
    <w:p w14:paraId="7FA1D474" w14:textId="4E6A7A51" w:rsidR="00CF72D5" w:rsidRPr="002029AF" w:rsidRDefault="00CF72D5" w:rsidP="00897193">
      <w:pPr>
        <w:pStyle w:val="Heading3"/>
      </w:pPr>
      <w:r w:rsidRPr="002029AF">
        <w:t>Amity</w:t>
      </w:r>
      <w:r w:rsidR="000A5329" w:rsidRPr="002029AF">
        <w:t xml:space="preserve"> </w:t>
      </w:r>
      <w:r w:rsidRPr="002029AF">
        <w:t>Durham</w:t>
      </w:r>
    </w:p>
    <w:p w14:paraId="7E607074" w14:textId="2E5960F1" w:rsidR="00CF72D5" w:rsidRPr="002029AF" w:rsidDel="00DC30D8" w:rsidRDefault="00CF72D5" w:rsidP="00897193">
      <w:pPr>
        <w:pStyle w:val="Heading4"/>
        <w:rPr>
          <w:lang w:eastAsia="en-AU"/>
        </w:rPr>
      </w:pPr>
      <w:r w:rsidRPr="002029AF" w:rsidDel="00DC30D8">
        <w:rPr>
          <w:lang w:eastAsia="en-AU"/>
        </w:rPr>
        <w:t>Deputy</w:t>
      </w:r>
      <w:r w:rsidR="000A5329" w:rsidRPr="002029AF">
        <w:rPr>
          <w:lang w:eastAsia="en-AU"/>
        </w:rPr>
        <w:t xml:space="preserve"> </w:t>
      </w:r>
      <w:r w:rsidRPr="002029AF" w:rsidDel="00DC30D8">
        <w:rPr>
          <w:lang w:eastAsia="en-AU"/>
        </w:rPr>
        <w:t>Secretary</w:t>
      </w:r>
      <w:r w:rsidR="000A5329" w:rsidRPr="002029AF">
        <w:rPr>
          <w:lang w:eastAsia="en-AU"/>
        </w:rPr>
        <w:t xml:space="preserve"> </w:t>
      </w:r>
      <w:r w:rsidRPr="002029AF" w:rsidDel="00DC30D8">
        <w:rPr>
          <w:lang w:eastAsia="en-AU"/>
        </w:rPr>
        <w:t>–</w:t>
      </w:r>
      <w:r w:rsidR="000A5329" w:rsidRPr="002029AF">
        <w:rPr>
          <w:lang w:eastAsia="en-AU"/>
        </w:rPr>
        <w:t xml:space="preserve"> </w:t>
      </w:r>
      <w:r w:rsidRPr="002029AF" w:rsidDel="00DC30D8">
        <w:rPr>
          <w:lang w:eastAsia="en-AU"/>
        </w:rPr>
        <w:t>Strategy</w:t>
      </w:r>
      <w:r w:rsidR="005E1789">
        <w:rPr>
          <w:lang w:eastAsia="en-AU"/>
        </w:rPr>
        <w:t> </w:t>
      </w:r>
      <w:r w:rsidRPr="002029AF" w:rsidDel="00DC30D8">
        <w:rPr>
          <w:lang w:eastAsia="en-AU"/>
        </w:rPr>
        <w:t>and</w:t>
      </w:r>
      <w:r w:rsidR="005E1789">
        <w:rPr>
          <w:lang w:eastAsia="en-AU"/>
        </w:rPr>
        <w:t> </w:t>
      </w:r>
      <w:r w:rsidRPr="002029AF" w:rsidDel="00DC30D8">
        <w:rPr>
          <w:lang w:eastAsia="en-AU"/>
        </w:rPr>
        <w:t>Planning</w:t>
      </w:r>
    </w:p>
    <w:p w14:paraId="1E625EDE" w14:textId="6BF0461B" w:rsidR="000A5329" w:rsidRPr="002029AF" w:rsidRDefault="00CF72D5" w:rsidP="00B17216">
      <w:pPr>
        <w:pStyle w:val="ARbody"/>
      </w:pPr>
      <w:r w:rsidRPr="002029AF">
        <w:t>Amity</w:t>
      </w:r>
      <w:r w:rsidR="000A5329" w:rsidRPr="002029AF">
        <w:t xml:space="preserve"> </w:t>
      </w:r>
      <w:r w:rsidRPr="002029AF">
        <w:t>Durham</w:t>
      </w:r>
      <w:r w:rsidR="000A5329" w:rsidRPr="002029AF">
        <w:t xml:space="preserve"> </w:t>
      </w:r>
      <w:r w:rsidRPr="002029AF">
        <w:t>was</w:t>
      </w:r>
      <w:r w:rsidR="000A5329" w:rsidRPr="002029AF">
        <w:t xml:space="preserve"> </w:t>
      </w:r>
      <w:r w:rsidRPr="002029AF">
        <w:t>appointed</w:t>
      </w:r>
      <w:r w:rsidR="000A5329" w:rsidRPr="002029AF">
        <w:t xml:space="preserve"> </w:t>
      </w:r>
      <w:r w:rsidRPr="002029AF">
        <w:t>as</w:t>
      </w:r>
      <w:r w:rsidR="000A5329" w:rsidRPr="002029AF">
        <w:t xml:space="preserve"> </w:t>
      </w:r>
      <w:r w:rsidRPr="002029AF">
        <w:t>Deputy</w:t>
      </w:r>
      <w:r w:rsidR="000A5329" w:rsidRPr="002029AF">
        <w:t xml:space="preserve"> </w:t>
      </w:r>
      <w:r w:rsidRPr="002029AF">
        <w:t>Secretary</w:t>
      </w:r>
      <w:r w:rsidR="000A5329" w:rsidRPr="002029AF">
        <w:t xml:space="preserve"> </w:t>
      </w:r>
      <w:r w:rsidRPr="002029AF">
        <w:t>–</w:t>
      </w:r>
      <w:r w:rsidR="000A5329" w:rsidRPr="002029AF">
        <w:t xml:space="preserve"> </w:t>
      </w:r>
      <w:r w:rsidRPr="002029AF">
        <w:t>Strategy</w:t>
      </w:r>
      <w:r w:rsidR="000A5329" w:rsidRPr="002029AF">
        <w:t xml:space="preserve"> </w:t>
      </w:r>
      <w:r w:rsidRPr="002029AF">
        <w:t>and</w:t>
      </w:r>
      <w:r w:rsidR="000A5329" w:rsidRPr="002029AF">
        <w:t xml:space="preserve"> </w:t>
      </w:r>
      <w:r w:rsidRPr="002029AF">
        <w:t>Planning</w:t>
      </w:r>
      <w:r w:rsidR="000A5329" w:rsidRPr="002029AF">
        <w:t xml:space="preserve"> </w:t>
      </w:r>
      <w:r w:rsidRPr="002029AF">
        <w:t>in</w:t>
      </w:r>
      <w:r w:rsidR="000A5329" w:rsidRPr="002029AF">
        <w:t xml:space="preserve"> </w:t>
      </w:r>
      <w:r w:rsidRPr="002029AF">
        <w:t>October</w:t>
      </w:r>
      <w:r w:rsidR="000A5329" w:rsidRPr="002029AF">
        <w:t xml:space="preserve"> </w:t>
      </w:r>
      <w:r w:rsidRPr="002029AF">
        <w:t>2016.</w:t>
      </w:r>
      <w:r w:rsidR="000A5329" w:rsidRPr="002029AF">
        <w:t xml:space="preserve"> </w:t>
      </w:r>
      <w:r w:rsidRPr="002029AF">
        <w:t>Amity</w:t>
      </w:r>
      <w:r w:rsidR="000A5329" w:rsidRPr="002029AF">
        <w:t xml:space="preserve"> </w:t>
      </w:r>
      <w:r w:rsidRPr="002029AF">
        <w:t>leads</w:t>
      </w:r>
      <w:r w:rsidR="000A5329" w:rsidRPr="002029AF">
        <w:t xml:space="preserve"> </w:t>
      </w:r>
      <w:r w:rsidRPr="002029AF">
        <w:t>cross-portfolio</w:t>
      </w:r>
      <w:r w:rsidR="06B2DF3D" w:rsidRPr="002029AF">
        <w:t>,</w:t>
      </w:r>
      <w:r w:rsidR="000A5329" w:rsidRPr="002029AF">
        <w:t xml:space="preserve"> </w:t>
      </w:r>
      <w:r w:rsidR="06B2DF3D" w:rsidRPr="002029AF">
        <w:t>evidence-based</w:t>
      </w:r>
      <w:r w:rsidR="000A5329" w:rsidRPr="002029AF">
        <w:t xml:space="preserve"> </w:t>
      </w:r>
      <w:r w:rsidR="06B2DF3D" w:rsidRPr="002029AF">
        <w:t>st</w:t>
      </w:r>
      <w:r w:rsidRPr="002029AF">
        <w:t>rategies</w:t>
      </w:r>
      <w:r w:rsidR="000A5329" w:rsidRPr="002029AF">
        <w:t xml:space="preserve"> </w:t>
      </w:r>
      <w:r w:rsidRPr="002029AF">
        <w:t>and</w:t>
      </w:r>
      <w:r w:rsidR="000A5329" w:rsidRPr="002029AF">
        <w:t xml:space="preserve"> </w:t>
      </w:r>
      <w:r w:rsidRPr="002029AF">
        <w:t>reforms</w:t>
      </w:r>
      <w:r w:rsidR="000A5329" w:rsidRPr="002029AF">
        <w:t xml:space="preserve"> </w:t>
      </w:r>
      <w:r w:rsidRPr="002029AF">
        <w:t>that</w:t>
      </w:r>
      <w:r w:rsidR="000A5329" w:rsidRPr="002029AF">
        <w:t xml:space="preserve"> </w:t>
      </w:r>
      <w:r w:rsidRPr="002029AF">
        <w:t>integrate</w:t>
      </w:r>
      <w:r w:rsidR="000A5329" w:rsidRPr="002029AF">
        <w:t xml:space="preserve"> </w:t>
      </w:r>
      <w:r w:rsidR="06B2DF3D" w:rsidRPr="002029AF">
        <w:t>a</w:t>
      </w:r>
      <w:r w:rsidR="000A5329" w:rsidRPr="002029AF">
        <w:t xml:space="preserve"> </w:t>
      </w:r>
      <w:r w:rsidR="06B2DF3D" w:rsidRPr="002029AF">
        <w:t>number</w:t>
      </w:r>
      <w:r w:rsidR="000A5329" w:rsidRPr="002029AF">
        <w:t xml:space="preserve"> </w:t>
      </w:r>
      <w:r w:rsidR="06B2DF3D" w:rsidRPr="002029AF">
        <w:t>of</w:t>
      </w:r>
      <w:r w:rsidR="000A5329" w:rsidRPr="002029AF">
        <w:t xml:space="preserve"> </w:t>
      </w:r>
      <w:r w:rsidRPr="002029AF">
        <w:t>approaches</w:t>
      </w:r>
      <w:r w:rsidR="000A5329" w:rsidRPr="002029AF">
        <w:t xml:space="preserve"> </w:t>
      </w:r>
      <w:r w:rsidRPr="002029AF">
        <w:t>to</w:t>
      </w:r>
      <w:r w:rsidR="000A5329" w:rsidRPr="002029AF">
        <w:t xml:space="preserve"> </w:t>
      </w:r>
      <w:r w:rsidRPr="002029AF">
        <w:t>health</w:t>
      </w:r>
      <w:r w:rsidR="000A5329" w:rsidRPr="002029AF">
        <w:t xml:space="preserve"> </w:t>
      </w:r>
      <w:r w:rsidRPr="002029AF">
        <w:t>and</w:t>
      </w:r>
      <w:r w:rsidR="000A5329" w:rsidRPr="002029AF">
        <w:t xml:space="preserve"> </w:t>
      </w:r>
      <w:r w:rsidRPr="002029AF">
        <w:t>human</w:t>
      </w:r>
      <w:r w:rsidR="000A5329" w:rsidRPr="002029AF">
        <w:t xml:space="preserve"> </w:t>
      </w:r>
      <w:r w:rsidRPr="002029AF">
        <w:t>services,</w:t>
      </w:r>
      <w:r w:rsidR="000A5329" w:rsidRPr="002029AF">
        <w:t xml:space="preserve"> </w:t>
      </w:r>
      <w:r w:rsidRPr="002029AF">
        <w:t>advance</w:t>
      </w:r>
      <w:r w:rsidR="000A5329" w:rsidRPr="002029AF">
        <w:t xml:space="preserve"> </w:t>
      </w:r>
      <w:r w:rsidRPr="002029AF">
        <w:t>government</w:t>
      </w:r>
      <w:r w:rsidR="000A5329" w:rsidRPr="002029AF">
        <w:t xml:space="preserve"> </w:t>
      </w:r>
      <w:r w:rsidRPr="002029AF">
        <w:t>priorities</w:t>
      </w:r>
      <w:r w:rsidR="000A5329" w:rsidRPr="002029AF">
        <w:t xml:space="preserve"> </w:t>
      </w:r>
      <w:r w:rsidRPr="002029AF">
        <w:t>and</w:t>
      </w:r>
      <w:r w:rsidR="000A5329" w:rsidRPr="002029AF">
        <w:t xml:space="preserve"> </w:t>
      </w:r>
      <w:r w:rsidRPr="002029AF">
        <w:t>outcomes.</w:t>
      </w:r>
      <w:r w:rsidR="000A5329" w:rsidRPr="002029AF">
        <w:t xml:space="preserve"> </w:t>
      </w:r>
      <w:r w:rsidRPr="002029AF">
        <w:t>The</w:t>
      </w:r>
      <w:r w:rsidR="000A5329" w:rsidRPr="002029AF">
        <w:t xml:space="preserve"> </w:t>
      </w:r>
      <w:r w:rsidRPr="002029AF">
        <w:t>division</w:t>
      </w:r>
      <w:r w:rsidR="00AB0C69" w:rsidRPr="002029AF">
        <w:t> </w:t>
      </w:r>
      <w:r w:rsidRPr="002029AF">
        <w:t>is</w:t>
      </w:r>
      <w:r w:rsidR="00AB0C69" w:rsidRPr="002029AF">
        <w:t> </w:t>
      </w:r>
      <w:r w:rsidRPr="002029AF">
        <w:t>also</w:t>
      </w:r>
      <w:r w:rsidR="000A5329" w:rsidRPr="002029AF">
        <w:t xml:space="preserve"> </w:t>
      </w:r>
      <w:r w:rsidRPr="002029AF">
        <w:t>responsible</w:t>
      </w:r>
      <w:r w:rsidR="000A5329" w:rsidRPr="002029AF">
        <w:t xml:space="preserve"> </w:t>
      </w:r>
      <w:r w:rsidRPr="002029AF">
        <w:t>for</w:t>
      </w:r>
      <w:r w:rsidR="000A5329" w:rsidRPr="002029AF">
        <w:t xml:space="preserve"> </w:t>
      </w:r>
      <w:r w:rsidRPr="002029AF">
        <w:t>data</w:t>
      </w:r>
      <w:r w:rsidR="000A5329" w:rsidRPr="002029AF">
        <w:t xml:space="preserve"> </w:t>
      </w:r>
      <w:r w:rsidRPr="002029AF">
        <w:t>analysis</w:t>
      </w:r>
      <w:r w:rsidR="000A5329" w:rsidRPr="002029AF">
        <w:t xml:space="preserve"> </w:t>
      </w:r>
      <w:r w:rsidRPr="002029AF">
        <w:t>and</w:t>
      </w:r>
      <w:r w:rsidR="000A5329" w:rsidRPr="002029AF">
        <w:t xml:space="preserve"> </w:t>
      </w:r>
      <w:r w:rsidRPr="002029AF">
        <w:t>forecasting,</w:t>
      </w:r>
      <w:r w:rsidR="000A5329" w:rsidRPr="002029AF">
        <w:t xml:space="preserve"> </w:t>
      </w:r>
      <w:r w:rsidRPr="002029AF">
        <w:t>evaluation,</w:t>
      </w:r>
      <w:r w:rsidR="000A5329" w:rsidRPr="002029AF">
        <w:t xml:space="preserve"> </w:t>
      </w:r>
      <w:r w:rsidRPr="002029AF">
        <w:t>corporate</w:t>
      </w:r>
      <w:r w:rsidR="000A5329" w:rsidRPr="002029AF">
        <w:t xml:space="preserve"> </w:t>
      </w:r>
      <w:r w:rsidRPr="002029AF">
        <w:t>planning</w:t>
      </w:r>
      <w:r w:rsidR="000A5329" w:rsidRPr="002029AF">
        <w:t xml:space="preserve"> </w:t>
      </w:r>
      <w:r w:rsidRPr="002029AF">
        <w:t>and</w:t>
      </w:r>
      <w:r w:rsidR="000A5329" w:rsidRPr="002029AF">
        <w:t xml:space="preserve"> </w:t>
      </w:r>
      <w:r w:rsidRPr="002029AF">
        <w:t>budget,</w:t>
      </w:r>
      <w:r w:rsidR="000A5329" w:rsidRPr="002029AF">
        <w:t xml:space="preserve"> </w:t>
      </w:r>
      <w:r w:rsidRPr="002029AF">
        <w:t>corporate</w:t>
      </w:r>
      <w:r w:rsidR="000A5329" w:rsidRPr="002029AF">
        <w:t xml:space="preserve"> </w:t>
      </w:r>
      <w:r w:rsidRPr="002029AF">
        <w:t>reporting,</w:t>
      </w:r>
      <w:r w:rsidR="000A5329" w:rsidRPr="002029AF">
        <w:t xml:space="preserve"> </w:t>
      </w:r>
      <w:r w:rsidRPr="002029AF">
        <w:t>audit</w:t>
      </w:r>
      <w:r w:rsidR="000A5329" w:rsidRPr="002029AF">
        <w:t xml:space="preserve"> </w:t>
      </w:r>
      <w:r w:rsidRPr="002029AF">
        <w:t>and</w:t>
      </w:r>
      <w:r w:rsidR="000A5329" w:rsidRPr="002029AF">
        <w:t xml:space="preserve"> </w:t>
      </w:r>
      <w:r w:rsidRPr="002029AF">
        <w:t>risk,</w:t>
      </w:r>
      <w:r w:rsidR="000A5329" w:rsidRPr="002029AF">
        <w:t xml:space="preserve"> </w:t>
      </w:r>
      <w:r w:rsidRPr="002029AF">
        <w:t>intergovernmental</w:t>
      </w:r>
      <w:r w:rsidR="000A5329" w:rsidRPr="002029AF">
        <w:t xml:space="preserve"> </w:t>
      </w:r>
      <w:r w:rsidRPr="002029AF">
        <w:t>relations</w:t>
      </w:r>
      <w:r w:rsidR="00F75D83" w:rsidRPr="002029AF">
        <w:t>,</w:t>
      </w:r>
      <w:r w:rsidR="000A5329" w:rsidRPr="002029AF">
        <w:t xml:space="preserve"> </w:t>
      </w:r>
      <w:r w:rsidRPr="002029AF">
        <w:t>and</w:t>
      </w:r>
      <w:r w:rsidR="000A5329" w:rsidRPr="002029AF">
        <w:t xml:space="preserve"> </w:t>
      </w:r>
      <w:r w:rsidRPr="002029AF">
        <w:t>communications</w:t>
      </w:r>
      <w:r w:rsidR="000A5329" w:rsidRPr="002029AF">
        <w:t xml:space="preserve"> </w:t>
      </w:r>
      <w:r w:rsidRPr="002029AF">
        <w:t>and</w:t>
      </w:r>
      <w:r w:rsidR="000A5329" w:rsidRPr="002029AF">
        <w:t xml:space="preserve"> </w:t>
      </w:r>
      <w:r w:rsidRPr="002029AF">
        <w:t>media.</w:t>
      </w:r>
    </w:p>
    <w:p w14:paraId="5E525458" w14:textId="7B17739B" w:rsidR="00CF72D5" w:rsidRPr="002029AF" w:rsidDel="00DC30D8" w:rsidRDefault="00CF72D5" w:rsidP="00897193">
      <w:pPr>
        <w:pStyle w:val="Heading3"/>
      </w:pPr>
      <w:r w:rsidRPr="002029AF">
        <w:t>Eleri</w:t>
      </w:r>
      <w:r w:rsidR="000A5329" w:rsidRPr="002029AF">
        <w:t xml:space="preserve"> </w:t>
      </w:r>
      <w:r w:rsidRPr="002029AF">
        <w:t>Butler</w:t>
      </w:r>
    </w:p>
    <w:p w14:paraId="177A906F" w14:textId="51D51BC4" w:rsidR="00CF72D5" w:rsidRPr="002029AF" w:rsidDel="00DC30D8" w:rsidRDefault="00CF72D5" w:rsidP="00897193">
      <w:pPr>
        <w:pStyle w:val="Heading4"/>
      </w:pPr>
      <w:r w:rsidRPr="002029AF" w:rsidDel="00DC30D8">
        <w:t>Chief</w:t>
      </w:r>
      <w:r w:rsidR="000A5329" w:rsidRPr="002029AF">
        <w:t xml:space="preserve"> </w:t>
      </w:r>
      <w:r w:rsidRPr="002029AF" w:rsidDel="00DC30D8">
        <w:rPr>
          <w:lang w:eastAsia="en-AU"/>
        </w:rPr>
        <w:t>Executive</w:t>
      </w:r>
      <w:r w:rsidR="000A5329" w:rsidRPr="002029AF">
        <w:t xml:space="preserve"> </w:t>
      </w:r>
      <w:r w:rsidRPr="002029AF" w:rsidDel="00DC30D8">
        <w:t>Officer</w:t>
      </w:r>
      <w:r w:rsidR="000A5329" w:rsidRPr="002029AF">
        <w:t xml:space="preserve"> </w:t>
      </w:r>
      <w:r w:rsidRPr="002029AF" w:rsidDel="00DC30D8">
        <w:t>–</w:t>
      </w:r>
      <w:r w:rsidR="000A5329" w:rsidRPr="002029AF">
        <w:t xml:space="preserve"> </w:t>
      </w:r>
      <w:r w:rsidRPr="002029AF" w:rsidDel="00DC30D8">
        <w:t>Family</w:t>
      </w:r>
      <w:r w:rsidR="005E1789">
        <w:t> </w:t>
      </w:r>
      <w:r w:rsidRPr="002029AF" w:rsidDel="00DC30D8">
        <w:t>Safety</w:t>
      </w:r>
      <w:r w:rsidR="00AB0C69" w:rsidRPr="002029AF">
        <w:t> </w:t>
      </w:r>
      <w:r w:rsidRPr="002029AF" w:rsidDel="00DC30D8">
        <w:t>Victoria</w:t>
      </w:r>
    </w:p>
    <w:p w14:paraId="6EA5F036" w14:textId="46C420A3" w:rsidR="000A5329" w:rsidRPr="002029AF" w:rsidRDefault="00CF72D5" w:rsidP="00897193">
      <w:pPr>
        <w:pStyle w:val="ARbody"/>
      </w:pPr>
      <w:r w:rsidRPr="002029AF">
        <w:t>Eleri</w:t>
      </w:r>
      <w:r w:rsidR="000A5329" w:rsidRPr="002029AF">
        <w:t xml:space="preserve"> </w:t>
      </w:r>
      <w:r w:rsidRPr="002029AF">
        <w:t>Butler</w:t>
      </w:r>
      <w:r w:rsidR="000A5329" w:rsidRPr="002029AF">
        <w:t xml:space="preserve"> </w:t>
      </w:r>
      <w:r w:rsidRPr="002029AF">
        <w:t>was</w:t>
      </w:r>
      <w:r w:rsidR="000A5329" w:rsidRPr="002029AF">
        <w:t xml:space="preserve"> </w:t>
      </w:r>
      <w:r w:rsidRPr="002029AF">
        <w:t>appointed</w:t>
      </w:r>
      <w:r w:rsidR="000A5329" w:rsidRPr="002029AF">
        <w:t xml:space="preserve"> </w:t>
      </w:r>
      <w:r w:rsidRPr="002029AF">
        <w:t>as</w:t>
      </w:r>
      <w:r w:rsidR="000A5329" w:rsidRPr="002029AF">
        <w:t xml:space="preserve"> </w:t>
      </w:r>
      <w:r w:rsidRPr="002029AF">
        <w:t>Chief</w:t>
      </w:r>
      <w:r w:rsidR="000A5329" w:rsidRPr="002029AF">
        <w:t xml:space="preserve"> </w:t>
      </w:r>
      <w:r w:rsidRPr="002029AF">
        <w:t>Executive</w:t>
      </w:r>
      <w:r w:rsidR="000A5329" w:rsidRPr="002029AF">
        <w:t xml:space="preserve"> </w:t>
      </w:r>
      <w:r w:rsidRPr="002029AF">
        <w:t>Officer</w:t>
      </w:r>
      <w:r w:rsidR="000A5329" w:rsidRPr="002029AF">
        <w:t xml:space="preserve"> </w:t>
      </w:r>
      <w:r w:rsidRPr="002029AF">
        <w:t>of</w:t>
      </w:r>
      <w:r w:rsidR="000A5329" w:rsidRPr="002029AF">
        <w:t xml:space="preserve"> </w:t>
      </w:r>
      <w:r w:rsidRPr="002029AF">
        <w:t>Family</w:t>
      </w:r>
      <w:r w:rsidR="000A5329" w:rsidRPr="002029AF">
        <w:t xml:space="preserve"> </w:t>
      </w:r>
      <w:r w:rsidRPr="002029AF">
        <w:t>Safety</w:t>
      </w:r>
      <w:r w:rsidR="000A5329" w:rsidRPr="002029AF">
        <w:t xml:space="preserve"> </w:t>
      </w:r>
      <w:r w:rsidRPr="002029AF">
        <w:t>Victoria</w:t>
      </w:r>
      <w:r w:rsidR="000A5329" w:rsidRPr="002029AF">
        <w:t xml:space="preserve"> </w:t>
      </w:r>
      <w:r w:rsidRPr="002029AF">
        <w:t>in</w:t>
      </w:r>
      <w:r w:rsidR="000A5329" w:rsidRPr="002029AF">
        <w:t xml:space="preserve"> </w:t>
      </w:r>
      <w:r w:rsidRPr="002029AF">
        <w:t>March</w:t>
      </w:r>
      <w:r w:rsidR="000A5329" w:rsidRPr="002029AF">
        <w:t xml:space="preserve"> </w:t>
      </w:r>
      <w:r w:rsidRPr="002029AF">
        <w:t>2020</w:t>
      </w:r>
      <w:r w:rsidR="00544F39" w:rsidRPr="002029AF">
        <w:t>.</w:t>
      </w:r>
      <w:r w:rsidR="000A5329" w:rsidRPr="002029AF">
        <w:t xml:space="preserve"> </w:t>
      </w:r>
      <w:r w:rsidR="00544F39" w:rsidRPr="002029AF">
        <w:t>She</w:t>
      </w:r>
      <w:r w:rsidR="00AB0C69" w:rsidRPr="002029AF">
        <w:t> </w:t>
      </w:r>
      <w:r w:rsidR="00466E9E" w:rsidRPr="002029AF">
        <w:t>oversees</w:t>
      </w:r>
      <w:r w:rsidR="000A5329" w:rsidRPr="002029AF">
        <w:t xml:space="preserve"> </w:t>
      </w:r>
      <w:r w:rsidR="00466E9E" w:rsidRPr="002029AF">
        <w:t>the</w:t>
      </w:r>
      <w:r w:rsidR="000A5329" w:rsidRPr="002029AF">
        <w:t xml:space="preserve"> </w:t>
      </w:r>
      <w:r w:rsidRPr="002029AF">
        <w:t>delive</w:t>
      </w:r>
      <w:r w:rsidR="00466E9E" w:rsidRPr="002029AF">
        <w:t>ry</w:t>
      </w:r>
      <w:r w:rsidR="000A5329" w:rsidRPr="002029AF">
        <w:t xml:space="preserve"> </w:t>
      </w:r>
      <w:r w:rsidR="00466E9E" w:rsidRPr="002029AF">
        <w:t>of</w:t>
      </w:r>
      <w:r w:rsidR="000A5329" w:rsidRPr="002029AF">
        <w:t xml:space="preserve"> </w:t>
      </w:r>
      <w:r w:rsidRPr="002029AF">
        <w:t>key</w:t>
      </w:r>
      <w:r w:rsidR="000A5329" w:rsidRPr="002029AF">
        <w:t xml:space="preserve"> </w:t>
      </w:r>
      <w:r w:rsidRPr="002029AF">
        <w:t>initiatives</w:t>
      </w:r>
      <w:r w:rsidR="000A5329" w:rsidRPr="002029AF">
        <w:t xml:space="preserve"> </w:t>
      </w:r>
      <w:r w:rsidRPr="002029AF">
        <w:t>to</w:t>
      </w:r>
      <w:r w:rsidR="000A5329" w:rsidRPr="002029AF">
        <w:t xml:space="preserve"> </w:t>
      </w:r>
      <w:r w:rsidRPr="002029AF">
        <w:t>help</w:t>
      </w:r>
      <w:r w:rsidR="000A5329" w:rsidRPr="002029AF">
        <w:t xml:space="preserve"> </w:t>
      </w:r>
      <w:r w:rsidRPr="002029AF">
        <w:t>protect,</w:t>
      </w:r>
      <w:r w:rsidR="000A5329" w:rsidRPr="002029AF">
        <w:t xml:space="preserve"> </w:t>
      </w:r>
      <w:r w:rsidRPr="002029AF">
        <w:t>support</w:t>
      </w:r>
      <w:r w:rsidR="000A5329" w:rsidRPr="002029AF">
        <w:t xml:space="preserve"> </w:t>
      </w:r>
      <w:r w:rsidRPr="002029AF">
        <w:t>and</w:t>
      </w:r>
      <w:r w:rsidR="000A5329" w:rsidRPr="002029AF">
        <w:t xml:space="preserve"> </w:t>
      </w:r>
      <w:r w:rsidRPr="002029AF">
        <w:t>identify</w:t>
      </w:r>
      <w:r w:rsidR="000A5329" w:rsidRPr="002029AF">
        <w:t xml:space="preserve"> </w:t>
      </w:r>
      <w:r w:rsidRPr="002029AF">
        <w:t>risk</w:t>
      </w:r>
      <w:r w:rsidR="000A5329" w:rsidRPr="002029AF">
        <w:t xml:space="preserve"> </w:t>
      </w:r>
      <w:r w:rsidRPr="002029AF">
        <w:t>for</w:t>
      </w:r>
      <w:r w:rsidR="000A5329" w:rsidRPr="002029AF">
        <w:t xml:space="preserve"> </w:t>
      </w:r>
      <w:r w:rsidRPr="002029AF">
        <w:t>those</w:t>
      </w:r>
      <w:r w:rsidR="000A5329" w:rsidRPr="002029AF">
        <w:t xml:space="preserve"> </w:t>
      </w:r>
      <w:r w:rsidRPr="002029AF">
        <w:t>impacted</w:t>
      </w:r>
      <w:r w:rsidR="000A5329" w:rsidRPr="002029AF">
        <w:t xml:space="preserve"> </w:t>
      </w:r>
      <w:r w:rsidRPr="002029AF">
        <w:t>by</w:t>
      </w:r>
      <w:r w:rsidR="000A5329" w:rsidRPr="002029AF">
        <w:t xml:space="preserve"> </w:t>
      </w:r>
      <w:r w:rsidRPr="002029AF">
        <w:t>family</w:t>
      </w:r>
      <w:r w:rsidR="000A5329" w:rsidRPr="002029AF">
        <w:t xml:space="preserve"> </w:t>
      </w:r>
      <w:r w:rsidRPr="002029AF">
        <w:t>violence,</w:t>
      </w:r>
      <w:r w:rsidR="000A5329" w:rsidRPr="002029AF">
        <w:t xml:space="preserve"> </w:t>
      </w:r>
      <w:r w:rsidRPr="002029AF">
        <w:t>to</w:t>
      </w:r>
      <w:r w:rsidR="000A5329" w:rsidRPr="002029AF">
        <w:t xml:space="preserve"> </w:t>
      </w:r>
      <w:r w:rsidRPr="002029AF">
        <w:t>hold</w:t>
      </w:r>
      <w:r w:rsidR="000A5329" w:rsidRPr="002029AF">
        <w:t xml:space="preserve"> </w:t>
      </w:r>
      <w:r w:rsidRPr="002029AF">
        <w:t>perpetrators</w:t>
      </w:r>
      <w:r w:rsidR="000A5329" w:rsidRPr="002029AF">
        <w:t xml:space="preserve"> </w:t>
      </w:r>
      <w:r w:rsidRPr="002029AF">
        <w:t>to</w:t>
      </w:r>
      <w:r w:rsidR="000A5329" w:rsidRPr="002029AF">
        <w:t xml:space="preserve"> </w:t>
      </w:r>
      <w:r w:rsidRPr="002029AF">
        <w:t>account</w:t>
      </w:r>
      <w:r w:rsidR="00040C33" w:rsidRPr="002029AF">
        <w:t>,</w:t>
      </w:r>
      <w:r w:rsidR="000A5329" w:rsidRPr="002029AF">
        <w:t xml:space="preserve"> </w:t>
      </w:r>
      <w:r w:rsidRPr="002029AF">
        <w:t>and</w:t>
      </w:r>
      <w:r w:rsidR="000A5329" w:rsidRPr="002029AF">
        <w:t xml:space="preserve"> </w:t>
      </w:r>
      <w:r w:rsidRPr="002029AF">
        <w:t>to</w:t>
      </w:r>
      <w:r w:rsidR="000A5329" w:rsidRPr="002029AF">
        <w:t xml:space="preserve"> </w:t>
      </w:r>
      <w:r w:rsidRPr="002029AF">
        <w:t>coordinate</w:t>
      </w:r>
      <w:r w:rsidR="000A5329" w:rsidRPr="002029AF">
        <w:t xml:space="preserve"> </w:t>
      </w:r>
      <w:r w:rsidRPr="002029AF">
        <w:t>access</w:t>
      </w:r>
      <w:r w:rsidR="000A5329" w:rsidRPr="002029AF">
        <w:t xml:space="preserve"> </w:t>
      </w:r>
      <w:r w:rsidRPr="002029AF">
        <w:t>to</w:t>
      </w:r>
      <w:r w:rsidR="000A5329" w:rsidRPr="002029AF">
        <w:t xml:space="preserve"> </w:t>
      </w:r>
      <w:r w:rsidRPr="002029AF">
        <w:t>services</w:t>
      </w:r>
      <w:r w:rsidR="000A5329" w:rsidRPr="002029AF">
        <w:t xml:space="preserve"> </w:t>
      </w:r>
      <w:r w:rsidRPr="002029AF">
        <w:t>that</w:t>
      </w:r>
      <w:r w:rsidR="000A5329" w:rsidRPr="002029AF">
        <w:t xml:space="preserve"> </w:t>
      </w:r>
      <w:r w:rsidRPr="002029AF">
        <w:t>support</w:t>
      </w:r>
      <w:r w:rsidR="000A5329" w:rsidRPr="002029AF">
        <w:t xml:space="preserve"> </w:t>
      </w:r>
      <w:r w:rsidRPr="002029AF">
        <w:t>vulnerable</w:t>
      </w:r>
      <w:r w:rsidR="000A5329" w:rsidRPr="002029AF">
        <w:t xml:space="preserve"> </w:t>
      </w:r>
      <w:r w:rsidRPr="002029AF">
        <w:t>children</w:t>
      </w:r>
      <w:r w:rsidR="000A5329" w:rsidRPr="002029AF">
        <w:t xml:space="preserve"> </w:t>
      </w:r>
      <w:r w:rsidRPr="002029AF">
        <w:t>and</w:t>
      </w:r>
      <w:r w:rsidR="000A5329" w:rsidRPr="002029AF">
        <w:t xml:space="preserve"> </w:t>
      </w:r>
      <w:r w:rsidRPr="002029AF">
        <w:t>families</w:t>
      </w:r>
      <w:r w:rsidR="000A5329" w:rsidRPr="002029AF">
        <w:t xml:space="preserve"> </w:t>
      </w:r>
      <w:r w:rsidRPr="002029AF">
        <w:t>and</w:t>
      </w:r>
      <w:r w:rsidR="000A5329" w:rsidRPr="002029AF">
        <w:t xml:space="preserve"> </w:t>
      </w:r>
      <w:r w:rsidRPr="002029AF">
        <w:t>victims</w:t>
      </w:r>
      <w:r w:rsidR="000A5329" w:rsidRPr="002029AF">
        <w:t xml:space="preserve"> </w:t>
      </w:r>
      <w:r w:rsidRPr="002029AF">
        <w:t>of</w:t>
      </w:r>
      <w:r w:rsidR="000A5329" w:rsidRPr="002029AF">
        <w:t xml:space="preserve"> </w:t>
      </w:r>
      <w:r w:rsidRPr="002029AF">
        <w:t>sexual</w:t>
      </w:r>
      <w:r w:rsidR="000A5329" w:rsidRPr="002029AF">
        <w:t xml:space="preserve"> </w:t>
      </w:r>
      <w:r w:rsidRPr="002029AF">
        <w:t>assault.</w:t>
      </w:r>
    </w:p>
    <w:p w14:paraId="0F3CB25D" w14:textId="7A9FFEA2" w:rsidR="00116893" w:rsidRPr="002029AF" w:rsidRDefault="00116893" w:rsidP="001E768A">
      <w:pPr>
        <w:pStyle w:val="Heading3"/>
      </w:pPr>
      <w:r w:rsidRPr="002029AF">
        <w:t>Pamela</w:t>
      </w:r>
      <w:r w:rsidR="000A5329" w:rsidRPr="002029AF">
        <w:t xml:space="preserve"> </w:t>
      </w:r>
      <w:r w:rsidRPr="002029AF">
        <w:t>Anders</w:t>
      </w:r>
    </w:p>
    <w:p w14:paraId="26934432" w14:textId="7A2D47DE" w:rsidR="00116893" w:rsidRPr="002029AF" w:rsidRDefault="00116893" w:rsidP="00116893">
      <w:pPr>
        <w:pStyle w:val="Heading4"/>
      </w:pPr>
      <w:r w:rsidRPr="002029AF">
        <w:t>Chief</w:t>
      </w:r>
      <w:r w:rsidR="000A5329" w:rsidRPr="002029AF">
        <w:t xml:space="preserve"> </w:t>
      </w:r>
      <w:r w:rsidRPr="002029AF">
        <w:t>Executive</w:t>
      </w:r>
      <w:r w:rsidR="000A5329" w:rsidRPr="002029AF">
        <w:t xml:space="preserve"> </w:t>
      </w:r>
      <w:r w:rsidRPr="002029AF">
        <w:t>Officer</w:t>
      </w:r>
      <w:r w:rsidR="000A5329" w:rsidRPr="002029AF">
        <w:t xml:space="preserve"> </w:t>
      </w:r>
      <w:r w:rsidRPr="002029AF">
        <w:t>–</w:t>
      </w:r>
      <w:r w:rsidR="000A5329" w:rsidRPr="002029AF">
        <w:t xml:space="preserve"> </w:t>
      </w:r>
      <w:r w:rsidRPr="002029AF">
        <w:t>Mental</w:t>
      </w:r>
      <w:r w:rsidR="005E1789">
        <w:t> </w:t>
      </w:r>
      <w:r w:rsidRPr="002029AF">
        <w:t>Health</w:t>
      </w:r>
      <w:r w:rsidR="00AB0C69" w:rsidRPr="002029AF">
        <w:t> </w:t>
      </w:r>
      <w:r w:rsidRPr="002029AF">
        <w:t>Reform</w:t>
      </w:r>
    </w:p>
    <w:p w14:paraId="7AAC04A8" w14:textId="45A22C9E" w:rsidR="00116893" w:rsidRPr="002029AF" w:rsidRDefault="00116893" w:rsidP="00116893">
      <w:pPr>
        <w:pStyle w:val="ARbody"/>
        <w:rPr>
          <w:szCs w:val="20"/>
        </w:rPr>
      </w:pPr>
      <w:r w:rsidRPr="002029AF">
        <w:rPr>
          <w:szCs w:val="20"/>
        </w:rPr>
        <w:t>Pamela</w:t>
      </w:r>
      <w:r w:rsidR="000A5329" w:rsidRPr="002029AF">
        <w:rPr>
          <w:szCs w:val="20"/>
        </w:rPr>
        <w:t xml:space="preserve"> </w:t>
      </w:r>
      <w:r w:rsidRPr="002029AF">
        <w:rPr>
          <w:szCs w:val="20"/>
        </w:rPr>
        <w:t>Anders</w:t>
      </w:r>
      <w:r w:rsidR="000A5329" w:rsidRPr="002029AF">
        <w:rPr>
          <w:szCs w:val="20"/>
        </w:rPr>
        <w:t xml:space="preserve"> </w:t>
      </w:r>
      <w:r w:rsidRPr="002029AF">
        <w:rPr>
          <w:szCs w:val="20"/>
        </w:rPr>
        <w:t>was</w:t>
      </w:r>
      <w:r w:rsidR="000A5329" w:rsidRPr="002029AF">
        <w:rPr>
          <w:szCs w:val="20"/>
        </w:rPr>
        <w:t xml:space="preserve"> </w:t>
      </w:r>
      <w:r w:rsidRPr="002029AF">
        <w:rPr>
          <w:szCs w:val="20"/>
        </w:rPr>
        <w:t>appointed</w:t>
      </w:r>
      <w:r w:rsidR="000A5329" w:rsidRPr="002029AF">
        <w:rPr>
          <w:szCs w:val="20"/>
        </w:rPr>
        <w:t xml:space="preserve"> </w:t>
      </w:r>
      <w:r w:rsidRPr="002029AF">
        <w:rPr>
          <w:szCs w:val="20"/>
        </w:rPr>
        <w:t>as</w:t>
      </w:r>
      <w:r w:rsidR="000A5329" w:rsidRPr="002029AF">
        <w:rPr>
          <w:szCs w:val="20"/>
        </w:rPr>
        <w:t xml:space="preserve"> </w:t>
      </w:r>
      <w:r w:rsidRPr="002029AF">
        <w:rPr>
          <w:szCs w:val="20"/>
        </w:rPr>
        <w:t>Chief</w:t>
      </w:r>
      <w:r w:rsidR="000A5329" w:rsidRPr="002029AF">
        <w:rPr>
          <w:szCs w:val="20"/>
        </w:rPr>
        <w:t xml:space="preserve"> </w:t>
      </w:r>
      <w:r w:rsidRPr="002029AF">
        <w:rPr>
          <w:szCs w:val="20"/>
        </w:rPr>
        <w:t>Executive</w:t>
      </w:r>
      <w:r w:rsidR="000A5329" w:rsidRPr="002029AF">
        <w:rPr>
          <w:szCs w:val="20"/>
        </w:rPr>
        <w:t xml:space="preserve"> </w:t>
      </w:r>
      <w:r w:rsidRPr="002029AF">
        <w:rPr>
          <w:szCs w:val="20"/>
        </w:rPr>
        <w:t>Officer</w:t>
      </w:r>
      <w:r w:rsidR="000A5329" w:rsidRPr="002029AF">
        <w:rPr>
          <w:szCs w:val="20"/>
        </w:rPr>
        <w:t xml:space="preserve"> </w:t>
      </w:r>
      <w:r w:rsidRPr="002029AF">
        <w:rPr>
          <w:szCs w:val="20"/>
        </w:rPr>
        <w:t>–</w:t>
      </w:r>
      <w:r w:rsidR="000A5329" w:rsidRPr="002029AF">
        <w:rPr>
          <w:szCs w:val="20"/>
        </w:rPr>
        <w:t xml:space="preserve"> </w:t>
      </w:r>
      <w:r w:rsidRPr="002029AF">
        <w:rPr>
          <w:szCs w:val="20"/>
        </w:rPr>
        <w:t>Mental</w:t>
      </w:r>
      <w:r w:rsidR="000A5329" w:rsidRPr="002029AF">
        <w:rPr>
          <w:szCs w:val="20"/>
        </w:rPr>
        <w:t xml:space="preserve"> </w:t>
      </w:r>
      <w:r w:rsidRPr="002029AF">
        <w:rPr>
          <w:szCs w:val="20"/>
        </w:rPr>
        <w:t>Health</w:t>
      </w:r>
      <w:r w:rsidR="000A5329" w:rsidRPr="002029AF">
        <w:rPr>
          <w:szCs w:val="20"/>
        </w:rPr>
        <w:t xml:space="preserve"> </w:t>
      </w:r>
      <w:r w:rsidRPr="002029AF">
        <w:rPr>
          <w:szCs w:val="20"/>
        </w:rPr>
        <w:t>Reform</w:t>
      </w:r>
      <w:r w:rsidR="000A5329" w:rsidRPr="002029AF">
        <w:rPr>
          <w:szCs w:val="20"/>
        </w:rPr>
        <w:t xml:space="preserve"> </w:t>
      </w:r>
      <w:r w:rsidRPr="002029AF">
        <w:rPr>
          <w:szCs w:val="20"/>
        </w:rPr>
        <w:t>Victoria</w:t>
      </w:r>
      <w:r w:rsidR="000A5329" w:rsidRPr="002029AF">
        <w:rPr>
          <w:szCs w:val="20"/>
        </w:rPr>
        <w:t xml:space="preserve"> </w:t>
      </w:r>
      <w:r w:rsidRPr="002029AF">
        <w:rPr>
          <w:szCs w:val="20"/>
        </w:rPr>
        <w:t>in</w:t>
      </w:r>
      <w:r w:rsidR="000A5329" w:rsidRPr="002029AF">
        <w:rPr>
          <w:szCs w:val="20"/>
        </w:rPr>
        <w:t xml:space="preserve"> </w:t>
      </w:r>
      <w:r w:rsidRPr="002029AF">
        <w:rPr>
          <w:szCs w:val="20"/>
        </w:rPr>
        <w:t>February</w:t>
      </w:r>
      <w:r w:rsidR="000A5329" w:rsidRPr="002029AF">
        <w:rPr>
          <w:szCs w:val="20"/>
        </w:rPr>
        <w:t xml:space="preserve"> </w:t>
      </w:r>
      <w:r w:rsidRPr="002029AF">
        <w:rPr>
          <w:szCs w:val="20"/>
        </w:rPr>
        <w:t>202</w:t>
      </w:r>
      <w:r w:rsidRPr="002029AF">
        <w:rPr>
          <w:rFonts w:eastAsia="MS Gothic"/>
          <w:szCs w:val="20"/>
        </w:rPr>
        <w:t>0.</w:t>
      </w:r>
      <w:r w:rsidR="000A5329" w:rsidRPr="002029AF">
        <w:rPr>
          <w:rFonts w:eastAsia="MS Gothic"/>
          <w:szCs w:val="20"/>
        </w:rPr>
        <w:t xml:space="preserve"> </w:t>
      </w:r>
      <w:r w:rsidRPr="002029AF">
        <w:rPr>
          <w:rFonts w:eastAsia="MS Gothic"/>
          <w:szCs w:val="20"/>
        </w:rPr>
        <w:t>Pam</w:t>
      </w:r>
      <w:r w:rsidR="000A5329" w:rsidRPr="002029AF">
        <w:rPr>
          <w:rFonts w:eastAsia="MS Gothic"/>
          <w:szCs w:val="20"/>
        </w:rPr>
        <w:t xml:space="preserve"> </w:t>
      </w:r>
      <w:r w:rsidRPr="002029AF">
        <w:rPr>
          <w:rFonts w:eastAsia="MS Gothic"/>
          <w:szCs w:val="20"/>
        </w:rPr>
        <w:t>is</w:t>
      </w:r>
      <w:r w:rsidR="000A5329" w:rsidRPr="002029AF">
        <w:rPr>
          <w:rFonts w:eastAsia="MS Gothic"/>
          <w:szCs w:val="20"/>
        </w:rPr>
        <w:t xml:space="preserve"> </w:t>
      </w:r>
      <w:r w:rsidRPr="002029AF">
        <w:rPr>
          <w:rFonts w:eastAsia="MS Gothic"/>
          <w:szCs w:val="20"/>
        </w:rPr>
        <w:t>leading</w:t>
      </w:r>
      <w:r w:rsidR="000A5329" w:rsidRPr="002029AF">
        <w:rPr>
          <w:rFonts w:eastAsia="MS Gothic"/>
          <w:szCs w:val="20"/>
        </w:rPr>
        <w:t xml:space="preserve"> </w:t>
      </w:r>
      <w:r w:rsidRPr="002029AF">
        <w:rPr>
          <w:szCs w:val="20"/>
        </w:rPr>
        <w:t>the</w:t>
      </w:r>
      <w:r w:rsidR="000A5329" w:rsidRPr="002029AF">
        <w:rPr>
          <w:szCs w:val="20"/>
        </w:rPr>
        <w:t xml:space="preserve"> </w:t>
      </w:r>
      <w:r w:rsidRPr="002029AF">
        <w:rPr>
          <w:szCs w:val="20"/>
        </w:rPr>
        <w:t>work</w:t>
      </w:r>
      <w:r w:rsidR="000A5329" w:rsidRPr="002029AF">
        <w:rPr>
          <w:szCs w:val="20"/>
        </w:rPr>
        <w:t xml:space="preserve"> </w:t>
      </w:r>
      <w:r w:rsidRPr="002029AF">
        <w:rPr>
          <w:szCs w:val="20"/>
        </w:rPr>
        <w:t>to</w:t>
      </w:r>
      <w:r w:rsidR="000A5329" w:rsidRPr="002029AF">
        <w:rPr>
          <w:szCs w:val="20"/>
        </w:rPr>
        <w:t xml:space="preserve"> </w:t>
      </w:r>
      <w:r w:rsidRPr="002029AF">
        <w:rPr>
          <w:szCs w:val="20"/>
        </w:rPr>
        <w:t>reform</w:t>
      </w:r>
      <w:r w:rsidR="000A5329" w:rsidRPr="002029AF">
        <w:rPr>
          <w:szCs w:val="20"/>
        </w:rPr>
        <w:t xml:space="preserve"> </w:t>
      </w:r>
      <w:r w:rsidRPr="002029AF">
        <w:rPr>
          <w:szCs w:val="20"/>
        </w:rPr>
        <w:t>our</w:t>
      </w:r>
      <w:r w:rsidR="000A5329" w:rsidRPr="002029AF">
        <w:rPr>
          <w:szCs w:val="20"/>
        </w:rPr>
        <w:t xml:space="preserve"> </w:t>
      </w:r>
      <w:r w:rsidRPr="002029AF">
        <w:rPr>
          <w:szCs w:val="20"/>
        </w:rPr>
        <w:t>mental</w:t>
      </w:r>
      <w:r w:rsidR="000A5329" w:rsidRPr="002029AF">
        <w:rPr>
          <w:szCs w:val="20"/>
        </w:rPr>
        <w:t xml:space="preserve"> </w:t>
      </w:r>
      <w:r w:rsidRPr="002029AF">
        <w:rPr>
          <w:szCs w:val="20"/>
        </w:rPr>
        <w:t>health</w:t>
      </w:r>
      <w:r w:rsidR="000A5329" w:rsidRPr="002029AF">
        <w:rPr>
          <w:szCs w:val="20"/>
        </w:rPr>
        <w:t xml:space="preserve"> </w:t>
      </w:r>
      <w:r w:rsidRPr="002029AF">
        <w:rPr>
          <w:szCs w:val="20"/>
        </w:rPr>
        <w:t>system</w:t>
      </w:r>
      <w:r w:rsidR="000A5329" w:rsidRPr="002029AF">
        <w:rPr>
          <w:szCs w:val="20"/>
        </w:rPr>
        <w:t xml:space="preserve"> </w:t>
      </w:r>
      <w:r w:rsidRPr="002029AF">
        <w:rPr>
          <w:szCs w:val="20"/>
        </w:rPr>
        <w:t>by</w:t>
      </w:r>
      <w:r w:rsidR="000A5329" w:rsidRPr="002029AF">
        <w:rPr>
          <w:szCs w:val="20"/>
        </w:rPr>
        <w:t xml:space="preserve"> </w:t>
      </w:r>
      <w:r w:rsidRPr="002029AF">
        <w:rPr>
          <w:szCs w:val="20"/>
        </w:rPr>
        <w:t>overseeing</w:t>
      </w:r>
      <w:r w:rsidR="000A5329" w:rsidRPr="002029AF">
        <w:rPr>
          <w:szCs w:val="20"/>
        </w:rPr>
        <w:t xml:space="preserve"> </w:t>
      </w:r>
      <w:r w:rsidRPr="002029AF">
        <w:rPr>
          <w:szCs w:val="20"/>
        </w:rPr>
        <w:t>and</w:t>
      </w:r>
      <w:r w:rsidR="000A5329" w:rsidRPr="002029AF">
        <w:rPr>
          <w:szCs w:val="20"/>
        </w:rPr>
        <w:t xml:space="preserve"> </w:t>
      </w:r>
      <w:r w:rsidRPr="002029AF">
        <w:rPr>
          <w:szCs w:val="20"/>
        </w:rPr>
        <w:t>implementing</w:t>
      </w:r>
      <w:r w:rsidR="000A5329" w:rsidRPr="002029AF">
        <w:rPr>
          <w:szCs w:val="20"/>
        </w:rPr>
        <w:t xml:space="preserve"> </w:t>
      </w:r>
      <w:r w:rsidRPr="002029AF">
        <w:rPr>
          <w:szCs w:val="20"/>
        </w:rPr>
        <w:t>the</w:t>
      </w:r>
      <w:r w:rsidR="000A5329" w:rsidRPr="002029AF">
        <w:rPr>
          <w:szCs w:val="20"/>
        </w:rPr>
        <w:t xml:space="preserve"> </w:t>
      </w:r>
      <w:r w:rsidRPr="002029AF">
        <w:rPr>
          <w:szCs w:val="20"/>
        </w:rPr>
        <w:t>recommendations</w:t>
      </w:r>
      <w:r w:rsidR="000A5329" w:rsidRPr="002029AF">
        <w:rPr>
          <w:szCs w:val="20"/>
        </w:rPr>
        <w:t xml:space="preserve"> </w:t>
      </w:r>
      <w:r w:rsidRPr="002029AF">
        <w:rPr>
          <w:szCs w:val="20"/>
        </w:rPr>
        <w:t>made</w:t>
      </w:r>
      <w:r w:rsidR="000A5329" w:rsidRPr="002029AF">
        <w:rPr>
          <w:szCs w:val="20"/>
        </w:rPr>
        <w:t xml:space="preserve"> </w:t>
      </w:r>
      <w:r w:rsidRPr="002029AF">
        <w:rPr>
          <w:szCs w:val="20"/>
        </w:rPr>
        <w:t>by</w:t>
      </w:r>
      <w:r w:rsidR="000A5329" w:rsidRPr="002029AF">
        <w:rPr>
          <w:szCs w:val="20"/>
        </w:rPr>
        <w:t xml:space="preserve"> </w:t>
      </w:r>
      <w:r w:rsidRPr="002029AF">
        <w:rPr>
          <w:szCs w:val="20"/>
        </w:rPr>
        <w:t>the</w:t>
      </w:r>
      <w:r w:rsidR="000A5329" w:rsidRPr="002029AF">
        <w:rPr>
          <w:szCs w:val="20"/>
        </w:rPr>
        <w:t xml:space="preserve"> </w:t>
      </w:r>
      <w:r w:rsidRPr="002029AF">
        <w:rPr>
          <w:szCs w:val="20"/>
        </w:rPr>
        <w:t>Royal</w:t>
      </w:r>
      <w:r w:rsidR="000A5329" w:rsidRPr="002029AF">
        <w:rPr>
          <w:szCs w:val="20"/>
        </w:rPr>
        <w:t xml:space="preserve"> </w:t>
      </w:r>
      <w:r w:rsidRPr="002029AF">
        <w:rPr>
          <w:szCs w:val="20"/>
        </w:rPr>
        <w:t>Commission</w:t>
      </w:r>
      <w:r w:rsidR="000A5329" w:rsidRPr="002029AF">
        <w:rPr>
          <w:szCs w:val="20"/>
        </w:rPr>
        <w:t xml:space="preserve"> </w:t>
      </w:r>
      <w:r w:rsidRPr="002029AF">
        <w:rPr>
          <w:szCs w:val="20"/>
        </w:rPr>
        <w:t>into</w:t>
      </w:r>
      <w:r w:rsidR="000A5329" w:rsidRPr="002029AF">
        <w:rPr>
          <w:szCs w:val="20"/>
        </w:rPr>
        <w:t xml:space="preserve"> </w:t>
      </w:r>
      <w:r w:rsidRPr="002029AF">
        <w:rPr>
          <w:szCs w:val="20"/>
        </w:rPr>
        <w:t>Victoria’s</w:t>
      </w:r>
      <w:r w:rsidR="000A5329" w:rsidRPr="002029AF">
        <w:rPr>
          <w:szCs w:val="20"/>
        </w:rPr>
        <w:t xml:space="preserve"> </w:t>
      </w:r>
      <w:r w:rsidRPr="002029AF">
        <w:rPr>
          <w:szCs w:val="20"/>
        </w:rPr>
        <w:t>Mental</w:t>
      </w:r>
      <w:r w:rsidR="000A5329" w:rsidRPr="002029AF">
        <w:rPr>
          <w:szCs w:val="20"/>
        </w:rPr>
        <w:t xml:space="preserve"> </w:t>
      </w:r>
      <w:r w:rsidRPr="002029AF">
        <w:rPr>
          <w:szCs w:val="20"/>
        </w:rPr>
        <w:t>Health</w:t>
      </w:r>
      <w:r w:rsidR="000A5329" w:rsidRPr="002029AF">
        <w:rPr>
          <w:szCs w:val="20"/>
        </w:rPr>
        <w:t xml:space="preserve"> </w:t>
      </w:r>
      <w:r w:rsidRPr="002029AF">
        <w:rPr>
          <w:szCs w:val="20"/>
        </w:rPr>
        <w:t>System.</w:t>
      </w:r>
    </w:p>
    <w:p w14:paraId="1CA769E5" w14:textId="5456CC62" w:rsidR="00116893" w:rsidRPr="002029AF" w:rsidDel="00DC30D8" w:rsidRDefault="008A5BD1" w:rsidP="00116893">
      <w:pPr>
        <w:pStyle w:val="Heading3"/>
      </w:pPr>
      <w:r w:rsidRPr="002029AF">
        <w:br w:type="column"/>
      </w:r>
      <w:r w:rsidR="00116893" w:rsidRPr="002029AF" w:rsidDel="00DC30D8">
        <w:lastRenderedPageBreak/>
        <w:t>Professor</w:t>
      </w:r>
      <w:r w:rsidR="000A5329" w:rsidRPr="002029AF">
        <w:t xml:space="preserve"> </w:t>
      </w:r>
      <w:r w:rsidR="00116893" w:rsidRPr="002029AF" w:rsidDel="00DC30D8">
        <w:t>Euan</w:t>
      </w:r>
      <w:r w:rsidR="000A5329" w:rsidRPr="002029AF">
        <w:t xml:space="preserve"> </w:t>
      </w:r>
      <w:r w:rsidR="00116893" w:rsidRPr="002029AF" w:rsidDel="00DC30D8">
        <w:t>M</w:t>
      </w:r>
      <w:r w:rsidR="000A5329" w:rsidRPr="002029AF">
        <w:t xml:space="preserve"> </w:t>
      </w:r>
      <w:r w:rsidR="00116893" w:rsidRPr="002029AF" w:rsidDel="00DC30D8">
        <w:t>Wallace</w:t>
      </w:r>
      <w:r w:rsidR="000A5329" w:rsidRPr="002029AF">
        <w:t xml:space="preserve"> </w:t>
      </w:r>
      <w:r w:rsidR="00116893" w:rsidRPr="002029AF" w:rsidDel="00DC30D8">
        <w:t>AM</w:t>
      </w:r>
      <w:r w:rsidR="000A5329" w:rsidRPr="002029AF">
        <w:t xml:space="preserve"> </w:t>
      </w:r>
      <w:r w:rsidR="00116893" w:rsidRPr="002029AF" w:rsidDel="00DC30D8">
        <w:t>MBChB</w:t>
      </w:r>
      <w:r w:rsidR="000A5329" w:rsidRPr="002029AF">
        <w:t xml:space="preserve"> </w:t>
      </w:r>
      <w:r w:rsidR="00116893" w:rsidRPr="002029AF" w:rsidDel="00DC30D8">
        <w:t>MD</w:t>
      </w:r>
      <w:r w:rsidR="000A5329" w:rsidRPr="002029AF">
        <w:t xml:space="preserve"> </w:t>
      </w:r>
      <w:r w:rsidR="00116893" w:rsidRPr="002029AF" w:rsidDel="00DC30D8">
        <w:t>FRCOG</w:t>
      </w:r>
      <w:r w:rsidR="000A5329" w:rsidRPr="002029AF">
        <w:t xml:space="preserve"> </w:t>
      </w:r>
      <w:r w:rsidR="00116893" w:rsidRPr="002029AF" w:rsidDel="00DC30D8">
        <w:t>FRANZCOG</w:t>
      </w:r>
      <w:r w:rsidR="000A5329" w:rsidRPr="002029AF">
        <w:t xml:space="preserve"> </w:t>
      </w:r>
      <w:r w:rsidR="00116893" w:rsidRPr="002029AF" w:rsidDel="00DC30D8">
        <w:t>FAHMS</w:t>
      </w:r>
    </w:p>
    <w:p w14:paraId="1367AFBE" w14:textId="3178283F" w:rsidR="00CF72D5" w:rsidRPr="002029AF" w:rsidDel="00DC30D8" w:rsidRDefault="00CF72D5" w:rsidP="00897193">
      <w:pPr>
        <w:pStyle w:val="Heading4"/>
      </w:pPr>
      <w:r w:rsidRPr="002029AF" w:rsidDel="00DC30D8">
        <w:t>Chief</w:t>
      </w:r>
      <w:r w:rsidR="000A5329" w:rsidRPr="002029AF">
        <w:t xml:space="preserve"> </w:t>
      </w:r>
      <w:r w:rsidRPr="002029AF" w:rsidDel="00DC30D8">
        <w:t>Executive</w:t>
      </w:r>
      <w:r w:rsidR="000A5329" w:rsidRPr="002029AF">
        <w:t xml:space="preserve"> </w:t>
      </w:r>
      <w:r w:rsidRPr="002029AF" w:rsidDel="00DC30D8">
        <w:t>Officer</w:t>
      </w:r>
      <w:r w:rsidR="000A5329" w:rsidRPr="002029AF">
        <w:t xml:space="preserve"> </w:t>
      </w:r>
      <w:r w:rsidRPr="002029AF" w:rsidDel="00DC30D8">
        <w:t>–</w:t>
      </w:r>
      <w:r w:rsidR="000A5329" w:rsidRPr="002029AF">
        <w:t xml:space="preserve"> </w:t>
      </w:r>
      <w:r w:rsidRPr="002029AF" w:rsidDel="00DC30D8">
        <w:t>Safer</w:t>
      </w:r>
      <w:r w:rsidR="00233C48" w:rsidRPr="002029AF">
        <w:t> </w:t>
      </w:r>
      <w:r w:rsidRPr="002029AF" w:rsidDel="00DC30D8">
        <w:t>Care</w:t>
      </w:r>
      <w:r w:rsidR="00233C48" w:rsidRPr="002029AF">
        <w:t> </w:t>
      </w:r>
      <w:r w:rsidRPr="002029AF" w:rsidDel="00DC30D8">
        <w:t>Victoria</w:t>
      </w:r>
    </w:p>
    <w:p w14:paraId="0BCDCF9D" w14:textId="2DD48E71" w:rsidR="00CF72D5" w:rsidRPr="002029AF" w:rsidRDefault="00CF72D5" w:rsidP="00897193">
      <w:pPr>
        <w:pStyle w:val="ARbody"/>
      </w:pPr>
      <w:bookmarkStart w:id="67" w:name="_Ref525048930"/>
      <w:r w:rsidRPr="002029AF" w:rsidDel="00DC30D8">
        <w:t>Professor</w:t>
      </w:r>
      <w:r w:rsidR="000A5329" w:rsidRPr="002029AF">
        <w:t xml:space="preserve"> </w:t>
      </w:r>
      <w:r w:rsidR="00AF396D" w:rsidRPr="002029AF">
        <w:t>Euan</w:t>
      </w:r>
      <w:r w:rsidR="000A5329" w:rsidRPr="002029AF">
        <w:t xml:space="preserve"> </w:t>
      </w:r>
      <w:r w:rsidRPr="002029AF" w:rsidDel="00DC30D8">
        <w:t>Wallace</w:t>
      </w:r>
      <w:r w:rsidR="000A5329" w:rsidRPr="002029AF">
        <w:t xml:space="preserve"> </w:t>
      </w:r>
      <w:r w:rsidRPr="002029AF" w:rsidDel="00DC30D8">
        <w:t>AM</w:t>
      </w:r>
      <w:r w:rsidR="000A5329" w:rsidRPr="002029AF">
        <w:t xml:space="preserve"> </w:t>
      </w:r>
      <w:r w:rsidRPr="002029AF">
        <w:t>was</w:t>
      </w:r>
      <w:r w:rsidR="000A5329" w:rsidRPr="002029AF">
        <w:t xml:space="preserve"> </w:t>
      </w:r>
      <w:r w:rsidRPr="002029AF">
        <w:t>appointed</w:t>
      </w:r>
      <w:r w:rsidR="000A5329" w:rsidRPr="002029AF">
        <w:t xml:space="preserve"> </w:t>
      </w:r>
      <w:r w:rsidRPr="002029AF">
        <w:t>as</w:t>
      </w:r>
      <w:r w:rsidR="000A5329" w:rsidRPr="002029AF">
        <w:t xml:space="preserve"> </w:t>
      </w:r>
      <w:r w:rsidRPr="002029AF">
        <w:t>Chief</w:t>
      </w:r>
      <w:r w:rsidR="000A5329" w:rsidRPr="002029AF">
        <w:t xml:space="preserve"> </w:t>
      </w:r>
      <w:r w:rsidRPr="002029AF">
        <w:t>Executive</w:t>
      </w:r>
      <w:r w:rsidR="000A5329" w:rsidRPr="002029AF">
        <w:t xml:space="preserve"> </w:t>
      </w:r>
      <w:r w:rsidRPr="002029AF">
        <w:t>Officer</w:t>
      </w:r>
      <w:r w:rsidR="000A5329" w:rsidRPr="002029AF">
        <w:t xml:space="preserve"> </w:t>
      </w:r>
      <w:r w:rsidRPr="002029AF">
        <w:t>–</w:t>
      </w:r>
      <w:r w:rsidR="000A5329" w:rsidRPr="002029AF">
        <w:t xml:space="preserve"> </w:t>
      </w:r>
      <w:r w:rsidRPr="002029AF">
        <w:t>Safer</w:t>
      </w:r>
      <w:r w:rsidR="000A5329" w:rsidRPr="002029AF">
        <w:t xml:space="preserve"> </w:t>
      </w:r>
      <w:r w:rsidRPr="002029AF">
        <w:t>Care</w:t>
      </w:r>
      <w:r w:rsidR="000A5329" w:rsidRPr="002029AF">
        <w:t xml:space="preserve"> </w:t>
      </w:r>
      <w:r w:rsidRPr="002029AF">
        <w:t>Victoria</w:t>
      </w:r>
      <w:r w:rsidR="000A5329" w:rsidRPr="002029AF">
        <w:t xml:space="preserve"> </w:t>
      </w:r>
      <w:r w:rsidRPr="002029AF">
        <w:t>in</w:t>
      </w:r>
      <w:r w:rsidR="000A5329" w:rsidRPr="002029AF">
        <w:t xml:space="preserve"> </w:t>
      </w:r>
      <w:r w:rsidRPr="002029AF">
        <w:t>November</w:t>
      </w:r>
      <w:r w:rsidR="000A5329" w:rsidRPr="002029AF">
        <w:t xml:space="preserve"> </w:t>
      </w:r>
      <w:r w:rsidRPr="002029AF">
        <w:t>2016.</w:t>
      </w:r>
      <w:r w:rsidR="000A5329" w:rsidRPr="002029AF">
        <w:t xml:space="preserve"> </w:t>
      </w:r>
      <w:r w:rsidRPr="002029AF">
        <w:t>Euan</w:t>
      </w:r>
      <w:r w:rsidR="000A5329" w:rsidRPr="002029AF">
        <w:t xml:space="preserve"> </w:t>
      </w:r>
      <w:r w:rsidRPr="002029AF">
        <w:t>leads</w:t>
      </w:r>
      <w:r w:rsidR="000A5329" w:rsidRPr="002029AF">
        <w:t xml:space="preserve"> </w:t>
      </w:r>
      <w:r w:rsidR="00AF396D" w:rsidRPr="002029AF">
        <w:t>the</w:t>
      </w:r>
      <w:r w:rsidR="000A5329" w:rsidRPr="002029AF">
        <w:t xml:space="preserve"> </w:t>
      </w:r>
      <w:r w:rsidRPr="002029AF">
        <w:t>state</w:t>
      </w:r>
      <w:r w:rsidR="000A5329" w:rsidRPr="002029AF">
        <w:t xml:space="preserve"> </w:t>
      </w:r>
      <w:r w:rsidRPr="002029AF">
        <w:t>authority</w:t>
      </w:r>
      <w:r w:rsidR="000A5329" w:rsidRPr="002029AF">
        <w:t xml:space="preserve"> </w:t>
      </w:r>
      <w:r w:rsidRPr="002029AF">
        <w:t>for</w:t>
      </w:r>
      <w:r w:rsidR="00233C48" w:rsidRPr="002029AF">
        <w:t> </w:t>
      </w:r>
      <w:r w:rsidR="00A92102" w:rsidRPr="002029AF">
        <w:t>overseeing</w:t>
      </w:r>
      <w:r w:rsidR="000A5329" w:rsidRPr="002029AF">
        <w:t xml:space="preserve"> </w:t>
      </w:r>
      <w:r w:rsidR="00A92102" w:rsidRPr="002029AF">
        <w:t>and</w:t>
      </w:r>
      <w:r w:rsidR="000A5329" w:rsidRPr="002029AF">
        <w:t xml:space="preserve"> </w:t>
      </w:r>
      <w:r w:rsidR="00A92102" w:rsidRPr="002029AF">
        <w:t>ensuring</w:t>
      </w:r>
      <w:r w:rsidR="000A5329" w:rsidRPr="002029AF">
        <w:t xml:space="preserve"> </w:t>
      </w:r>
      <w:r w:rsidRPr="002029AF">
        <w:t>quality</w:t>
      </w:r>
      <w:r w:rsidR="000A5329" w:rsidRPr="002029AF">
        <w:t xml:space="preserve"> </w:t>
      </w:r>
      <w:r w:rsidRPr="002029AF">
        <w:t>and</w:t>
      </w:r>
      <w:r w:rsidR="000A5329" w:rsidRPr="002029AF">
        <w:t xml:space="preserve"> </w:t>
      </w:r>
      <w:r w:rsidRPr="002029AF">
        <w:t>safety</w:t>
      </w:r>
      <w:r w:rsidR="000A5329" w:rsidRPr="002029AF">
        <w:t xml:space="preserve"> </w:t>
      </w:r>
      <w:r w:rsidRPr="002029AF">
        <w:t>improvement</w:t>
      </w:r>
      <w:r w:rsidR="000A5329" w:rsidRPr="002029AF">
        <w:t xml:space="preserve"> </w:t>
      </w:r>
      <w:r w:rsidRPr="002029AF">
        <w:t>in</w:t>
      </w:r>
      <w:r w:rsidR="000A5329" w:rsidRPr="002029AF">
        <w:t xml:space="preserve"> </w:t>
      </w:r>
      <w:r w:rsidRPr="002029AF">
        <w:t>health</w:t>
      </w:r>
      <w:r w:rsidR="000A5329" w:rsidRPr="002029AF">
        <w:t xml:space="preserve"> </w:t>
      </w:r>
      <w:r w:rsidRPr="002029AF">
        <w:t>care.</w:t>
      </w:r>
      <w:r w:rsidR="000A5329" w:rsidRPr="002029AF">
        <w:t xml:space="preserve"> </w:t>
      </w:r>
      <w:r w:rsidRPr="002029AF">
        <w:t>As</w:t>
      </w:r>
      <w:r w:rsidR="000A5329" w:rsidRPr="002029AF">
        <w:t xml:space="preserve"> </w:t>
      </w:r>
      <w:r w:rsidRPr="002029AF">
        <w:t>well</w:t>
      </w:r>
      <w:r w:rsidR="000A5329" w:rsidRPr="002029AF">
        <w:t xml:space="preserve"> </w:t>
      </w:r>
      <w:r w:rsidRPr="002029AF">
        <w:t>as</w:t>
      </w:r>
      <w:r w:rsidR="000A5329" w:rsidRPr="002029AF">
        <w:t xml:space="preserve"> </w:t>
      </w:r>
      <w:r w:rsidRPr="002029AF">
        <w:t>monitoring</w:t>
      </w:r>
      <w:r w:rsidR="000A5329" w:rsidRPr="002029AF">
        <w:t xml:space="preserve"> </w:t>
      </w:r>
      <w:r w:rsidRPr="002029AF">
        <w:t>and</w:t>
      </w:r>
      <w:r w:rsidR="000A5329" w:rsidRPr="002029AF">
        <w:t xml:space="preserve"> </w:t>
      </w:r>
      <w:r w:rsidRPr="002029AF">
        <w:t>reviewing</w:t>
      </w:r>
      <w:r w:rsidR="000A5329" w:rsidRPr="002029AF">
        <w:t xml:space="preserve"> </w:t>
      </w:r>
      <w:r w:rsidRPr="002029AF">
        <w:t>standards</w:t>
      </w:r>
      <w:r w:rsidR="000A5329" w:rsidRPr="002029AF">
        <w:t xml:space="preserve"> </w:t>
      </w:r>
      <w:r w:rsidRPr="002029AF">
        <w:t>of</w:t>
      </w:r>
      <w:r w:rsidR="000A5329" w:rsidRPr="002029AF">
        <w:t xml:space="preserve"> </w:t>
      </w:r>
      <w:r w:rsidRPr="002029AF">
        <w:t>care,</w:t>
      </w:r>
      <w:r w:rsidR="000A5329" w:rsidRPr="002029AF">
        <w:t xml:space="preserve"> </w:t>
      </w:r>
      <w:r w:rsidRPr="002029AF">
        <w:t>Safer</w:t>
      </w:r>
      <w:r w:rsidR="000A5329" w:rsidRPr="002029AF">
        <w:t xml:space="preserve"> </w:t>
      </w:r>
      <w:r w:rsidRPr="002029AF">
        <w:t>Care</w:t>
      </w:r>
      <w:r w:rsidR="000A5329" w:rsidRPr="002029AF">
        <w:t xml:space="preserve"> </w:t>
      </w:r>
      <w:r w:rsidRPr="002029AF">
        <w:t>Victoria</w:t>
      </w:r>
      <w:r w:rsidR="000A5329" w:rsidRPr="002029AF">
        <w:t xml:space="preserve"> </w:t>
      </w:r>
      <w:r w:rsidR="00A92102" w:rsidRPr="002029AF">
        <w:t>also</w:t>
      </w:r>
      <w:r w:rsidR="000A5329" w:rsidRPr="002029AF">
        <w:t xml:space="preserve"> </w:t>
      </w:r>
      <w:r w:rsidR="00A92102" w:rsidRPr="002029AF">
        <w:t>works</w:t>
      </w:r>
      <w:r w:rsidR="000A5329" w:rsidRPr="002029AF">
        <w:t xml:space="preserve"> </w:t>
      </w:r>
      <w:r w:rsidR="00A92102" w:rsidRPr="002029AF">
        <w:t>in</w:t>
      </w:r>
      <w:r w:rsidR="000A5329" w:rsidRPr="002029AF">
        <w:t xml:space="preserve"> </w:t>
      </w:r>
      <w:r w:rsidRPr="002029AF">
        <w:t>partners</w:t>
      </w:r>
      <w:r w:rsidR="00A92102" w:rsidRPr="002029AF">
        <w:t>hip</w:t>
      </w:r>
      <w:r w:rsidR="000A5329" w:rsidRPr="002029AF">
        <w:t xml:space="preserve"> </w:t>
      </w:r>
      <w:r w:rsidRPr="002029AF">
        <w:t>with</w:t>
      </w:r>
      <w:r w:rsidR="000A5329" w:rsidRPr="002029AF">
        <w:t xml:space="preserve"> </w:t>
      </w:r>
      <w:r w:rsidRPr="002029AF">
        <w:t>consumers</w:t>
      </w:r>
      <w:r w:rsidR="000A5329" w:rsidRPr="002029AF">
        <w:t xml:space="preserve"> </w:t>
      </w:r>
      <w:r w:rsidRPr="002029AF">
        <w:t>and</w:t>
      </w:r>
      <w:r w:rsidR="000A5329" w:rsidRPr="002029AF">
        <w:t xml:space="preserve"> </w:t>
      </w:r>
      <w:r w:rsidRPr="002029AF">
        <w:t>their</w:t>
      </w:r>
      <w:r w:rsidR="000A5329" w:rsidRPr="002029AF">
        <w:t xml:space="preserve"> </w:t>
      </w:r>
      <w:r w:rsidRPr="002029AF">
        <w:t>families,</w:t>
      </w:r>
      <w:r w:rsidR="000A5329" w:rsidRPr="002029AF">
        <w:t xml:space="preserve"> </w:t>
      </w:r>
      <w:r w:rsidRPr="002029AF">
        <w:t>clinicians</w:t>
      </w:r>
      <w:r w:rsidR="000A5329" w:rsidRPr="002029AF">
        <w:t xml:space="preserve"> </w:t>
      </w:r>
      <w:r w:rsidRPr="002029AF">
        <w:t>and</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to</w:t>
      </w:r>
      <w:r w:rsidR="000A5329" w:rsidRPr="002029AF">
        <w:t xml:space="preserve"> </w:t>
      </w:r>
      <w:r w:rsidRPr="002029AF">
        <w:t>support</w:t>
      </w:r>
      <w:r w:rsidR="000A5329" w:rsidRPr="002029AF">
        <w:t xml:space="preserve"> </w:t>
      </w:r>
      <w:r w:rsidRPr="002029AF">
        <w:t>the</w:t>
      </w:r>
      <w:r w:rsidR="000A5329" w:rsidRPr="002029AF">
        <w:t xml:space="preserve"> </w:t>
      </w:r>
      <w:r w:rsidRPr="002029AF">
        <w:t>continuous</w:t>
      </w:r>
      <w:r w:rsidR="000A5329" w:rsidRPr="002029AF">
        <w:t xml:space="preserve"> </w:t>
      </w:r>
      <w:r w:rsidRPr="002029AF">
        <w:t>improvement</w:t>
      </w:r>
      <w:r w:rsidR="000A5329" w:rsidRPr="002029AF">
        <w:t xml:space="preserve"> </w:t>
      </w:r>
      <w:r w:rsidRPr="002029AF">
        <w:t>of</w:t>
      </w:r>
      <w:r w:rsidR="000A5329" w:rsidRPr="002029AF">
        <w:t xml:space="preserve"> </w:t>
      </w:r>
      <w:r w:rsidRPr="002029AF">
        <w:t>healthcare.</w:t>
      </w:r>
    </w:p>
    <w:p w14:paraId="7E6456DD" w14:textId="46D7DFE0" w:rsidR="00CF72D5" w:rsidRPr="002029AF" w:rsidDel="00DC30D8" w:rsidRDefault="00E07815" w:rsidP="001E768A">
      <w:pPr>
        <w:pStyle w:val="Heading3"/>
      </w:pPr>
      <w:r w:rsidRPr="002029AF">
        <w:br w:type="column"/>
      </w:r>
      <w:bookmarkStart w:id="68" w:name="_Ref21861577"/>
      <w:r w:rsidR="00CF72D5" w:rsidRPr="002029AF" w:rsidDel="00DC30D8">
        <w:t>Dr</w:t>
      </w:r>
      <w:r w:rsidR="000A5329" w:rsidRPr="002029AF">
        <w:t xml:space="preserve"> </w:t>
      </w:r>
      <w:r w:rsidR="00CF72D5" w:rsidRPr="002029AF" w:rsidDel="00DC30D8">
        <w:t>Lance</w:t>
      </w:r>
      <w:r w:rsidR="000A5329" w:rsidRPr="002029AF">
        <w:t xml:space="preserve"> </w:t>
      </w:r>
      <w:r w:rsidR="00CF72D5" w:rsidRPr="002029AF" w:rsidDel="00DC30D8">
        <w:t>Emerson</w:t>
      </w:r>
      <w:bookmarkEnd w:id="67"/>
      <w:bookmarkEnd w:id="68"/>
    </w:p>
    <w:p w14:paraId="6A6554B1" w14:textId="16563755" w:rsidR="00CF72D5" w:rsidRPr="002029AF" w:rsidDel="00DC30D8" w:rsidRDefault="00CF72D5" w:rsidP="00897193">
      <w:pPr>
        <w:pStyle w:val="Heading4"/>
      </w:pPr>
      <w:r w:rsidRPr="002029AF" w:rsidDel="00DC30D8">
        <w:t>Chief</w:t>
      </w:r>
      <w:r w:rsidR="000A5329" w:rsidRPr="002029AF">
        <w:t xml:space="preserve"> </w:t>
      </w:r>
      <w:r w:rsidRPr="002029AF" w:rsidDel="00DC30D8">
        <w:t>Executive</w:t>
      </w:r>
      <w:r w:rsidR="000A5329" w:rsidRPr="002029AF">
        <w:t xml:space="preserve"> </w:t>
      </w:r>
      <w:r w:rsidRPr="002029AF" w:rsidDel="00DC30D8">
        <w:t>Officer</w:t>
      </w:r>
      <w:r w:rsidR="000A5329" w:rsidRPr="002029AF">
        <w:t xml:space="preserve"> </w:t>
      </w:r>
      <w:r w:rsidRPr="002029AF" w:rsidDel="00DC30D8">
        <w:t>–</w:t>
      </w:r>
      <w:r w:rsidR="000A5329" w:rsidRPr="002029AF">
        <w:t xml:space="preserve"> </w:t>
      </w:r>
      <w:r w:rsidRPr="002029AF" w:rsidDel="00DC30D8">
        <w:t>Victorian</w:t>
      </w:r>
      <w:r w:rsidR="000A5329" w:rsidRPr="002029AF">
        <w:t xml:space="preserve"> </w:t>
      </w:r>
      <w:r w:rsidRPr="002029AF" w:rsidDel="00DC30D8">
        <w:t>Agency</w:t>
      </w:r>
      <w:r w:rsidR="000A5329" w:rsidRPr="002029AF">
        <w:t xml:space="preserve"> </w:t>
      </w:r>
      <w:r w:rsidRPr="002029AF" w:rsidDel="00DC30D8">
        <w:t>for</w:t>
      </w:r>
      <w:r w:rsidR="000A5329" w:rsidRPr="002029AF">
        <w:t xml:space="preserve"> </w:t>
      </w:r>
      <w:r w:rsidRPr="002029AF" w:rsidDel="00DC30D8">
        <w:t>Health</w:t>
      </w:r>
      <w:r w:rsidR="000A5329" w:rsidRPr="002029AF">
        <w:t xml:space="preserve"> </w:t>
      </w:r>
      <w:r w:rsidRPr="002029AF" w:rsidDel="00DC30D8">
        <w:t>Information</w:t>
      </w:r>
    </w:p>
    <w:p w14:paraId="4C6F069B" w14:textId="77164D72" w:rsidR="00CF72D5" w:rsidRPr="002029AF" w:rsidRDefault="00CF72D5" w:rsidP="00897193">
      <w:pPr>
        <w:pStyle w:val="ARbody"/>
      </w:pPr>
      <w:r w:rsidRPr="002029AF" w:rsidDel="00DC30D8">
        <w:t>Dr</w:t>
      </w:r>
      <w:r w:rsidR="000A5329" w:rsidRPr="002029AF">
        <w:t xml:space="preserve"> </w:t>
      </w:r>
      <w:r w:rsidR="00CF6F5A" w:rsidRPr="002029AF">
        <w:t>Lance</w:t>
      </w:r>
      <w:r w:rsidR="000A5329" w:rsidRPr="002029AF">
        <w:t xml:space="preserve"> </w:t>
      </w:r>
      <w:r w:rsidRPr="002029AF" w:rsidDel="00DC30D8">
        <w:t>Emerson</w:t>
      </w:r>
      <w:r w:rsidR="000A5329" w:rsidRPr="002029AF">
        <w:t xml:space="preserve"> </w:t>
      </w:r>
      <w:r w:rsidRPr="002029AF">
        <w:t>was</w:t>
      </w:r>
      <w:r w:rsidR="000A5329" w:rsidRPr="002029AF">
        <w:t xml:space="preserve"> </w:t>
      </w:r>
      <w:r w:rsidRPr="002029AF">
        <w:t>appointed</w:t>
      </w:r>
      <w:r w:rsidR="000A5329" w:rsidRPr="002029AF">
        <w:t xml:space="preserve"> </w:t>
      </w:r>
      <w:r w:rsidRPr="002029AF">
        <w:t>as</w:t>
      </w:r>
      <w:r w:rsidR="000A5329" w:rsidRPr="002029AF">
        <w:t xml:space="preserve"> </w:t>
      </w:r>
      <w:r w:rsidRPr="002029AF">
        <w:t>Chief</w:t>
      </w:r>
      <w:r w:rsidR="000A5329" w:rsidRPr="002029AF">
        <w:t xml:space="preserve"> </w:t>
      </w:r>
      <w:r w:rsidRPr="002029AF">
        <w:t>Executive</w:t>
      </w:r>
      <w:r w:rsidR="000A5329" w:rsidRPr="002029AF">
        <w:t xml:space="preserve"> </w:t>
      </w:r>
      <w:r w:rsidRPr="002029AF">
        <w:t>Officer</w:t>
      </w:r>
      <w:r w:rsidR="000A5329" w:rsidRPr="002029AF">
        <w:t xml:space="preserve"> </w:t>
      </w:r>
      <w:r w:rsidRPr="002029AF">
        <w:t>–</w:t>
      </w:r>
      <w:r w:rsidR="000A5329" w:rsidRPr="002029AF">
        <w:t xml:space="preserve"> </w:t>
      </w:r>
      <w:r w:rsidRPr="002029AF">
        <w:t>Victorian</w:t>
      </w:r>
      <w:r w:rsidR="000A5329" w:rsidRPr="002029AF">
        <w:t xml:space="preserve"> </w:t>
      </w:r>
      <w:r w:rsidRPr="002029AF">
        <w:t>Agency</w:t>
      </w:r>
      <w:r w:rsidR="000A5329" w:rsidRPr="002029AF">
        <w:t xml:space="preserve"> </w:t>
      </w:r>
      <w:r w:rsidRPr="002029AF">
        <w:t>for</w:t>
      </w:r>
      <w:r w:rsidR="000A5329" w:rsidRPr="002029AF">
        <w:t xml:space="preserve"> </w:t>
      </w:r>
      <w:r w:rsidRPr="002029AF">
        <w:t>Health</w:t>
      </w:r>
      <w:r w:rsidR="000A5329" w:rsidRPr="002029AF">
        <w:t xml:space="preserve"> </w:t>
      </w:r>
      <w:r w:rsidRPr="002029AF">
        <w:t>Information</w:t>
      </w:r>
      <w:r w:rsidR="000A5329" w:rsidRPr="002029AF">
        <w:t xml:space="preserve"> </w:t>
      </w:r>
      <w:r w:rsidRPr="002029AF">
        <w:t>in</w:t>
      </w:r>
      <w:r w:rsidR="000A5329" w:rsidRPr="002029AF">
        <w:t xml:space="preserve"> </w:t>
      </w:r>
      <w:r w:rsidRPr="002029AF">
        <w:t>January</w:t>
      </w:r>
      <w:r w:rsidR="000A5329" w:rsidRPr="002029AF">
        <w:t xml:space="preserve"> </w:t>
      </w:r>
      <w:r w:rsidRPr="002029AF">
        <w:t>2018.</w:t>
      </w:r>
      <w:r w:rsidR="000A5329" w:rsidRPr="002029AF">
        <w:t xml:space="preserve"> </w:t>
      </w:r>
      <w:r w:rsidRPr="002029AF">
        <w:t>Lance</w:t>
      </w:r>
      <w:r w:rsidR="000A5329" w:rsidRPr="002029AF">
        <w:t xml:space="preserve"> </w:t>
      </w:r>
      <w:r w:rsidRPr="002029AF">
        <w:t>leads</w:t>
      </w:r>
      <w:r w:rsidR="000A5329" w:rsidRPr="002029AF">
        <w:t xml:space="preserve"> </w:t>
      </w:r>
      <w:r w:rsidRPr="002029AF">
        <w:t>the</w:t>
      </w:r>
      <w:r w:rsidR="000A5329" w:rsidRPr="002029AF">
        <w:t xml:space="preserve"> </w:t>
      </w:r>
      <w:r w:rsidRPr="002029AF">
        <w:t>agency</w:t>
      </w:r>
      <w:r w:rsidR="000A5329" w:rsidRPr="002029AF">
        <w:t xml:space="preserve"> </w:t>
      </w:r>
      <w:r w:rsidR="00CF6F5A" w:rsidRPr="002029AF">
        <w:t>in</w:t>
      </w:r>
      <w:r w:rsidR="000A5329" w:rsidRPr="002029AF">
        <w:t xml:space="preserve"> </w:t>
      </w:r>
      <w:r w:rsidR="00CF6F5A" w:rsidRPr="002029AF">
        <w:t>its</w:t>
      </w:r>
      <w:r w:rsidR="000A5329" w:rsidRPr="002029AF">
        <w:t xml:space="preserve"> </w:t>
      </w:r>
      <w:r w:rsidR="00CF6F5A" w:rsidRPr="002029AF">
        <w:t>role</w:t>
      </w:r>
      <w:r w:rsidR="000A5329" w:rsidRPr="002029AF">
        <w:t xml:space="preserve"> </w:t>
      </w:r>
      <w:r w:rsidR="00CF6F5A" w:rsidRPr="002029AF">
        <w:t>of</w:t>
      </w:r>
      <w:r w:rsidR="000A5329" w:rsidRPr="002029AF">
        <w:t xml:space="preserve"> </w:t>
      </w:r>
      <w:r w:rsidRPr="002029AF" w:rsidDel="00DC30D8">
        <w:t>provi</w:t>
      </w:r>
      <w:r w:rsidR="00BD74E4" w:rsidRPr="002029AF">
        <w:t>ding</w:t>
      </w:r>
      <w:r w:rsidR="000A5329" w:rsidRPr="002029AF">
        <w:t xml:space="preserve"> </w:t>
      </w:r>
      <w:r w:rsidRPr="002029AF">
        <w:t>accurate</w:t>
      </w:r>
      <w:r w:rsidR="000A5329" w:rsidRPr="002029AF">
        <w:t xml:space="preserve"> </w:t>
      </w:r>
      <w:r w:rsidRPr="002029AF">
        <w:t>and</w:t>
      </w:r>
      <w:r w:rsidR="000A5329" w:rsidRPr="002029AF">
        <w:t xml:space="preserve"> </w:t>
      </w:r>
      <w:r w:rsidRPr="002029AF">
        <w:t>meaningful</w:t>
      </w:r>
      <w:r w:rsidR="000A5329" w:rsidRPr="002029AF">
        <w:t xml:space="preserve"> </w:t>
      </w:r>
      <w:r w:rsidRPr="002029AF">
        <w:t>safety</w:t>
      </w:r>
      <w:r w:rsidR="000A5329" w:rsidRPr="002029AF">
        <w:t xml:space="preserve"> </w:t>
      </w:r>
      <w:r w:rsidRPr="002029AF">
        <w:t>and</w:t>
      </w:r>
      <w:r w:rsidR="000A5329" w:rsidRPr="002029AF">
        <w:t xml:space="preserve"> </w:t>
      </w:r>
      <w:r w:rsidRPr="002029AF">
        <w:t>quality</w:t>
      </w:r>
      <w:r w:rsidR="000A5329" w:rsidRPr="002029AF">
        <w:t xml:space="preserve"> </w:t>
      </w:r>
      <w:r w:rsidRPr="002029AF" w:rsidDel="00DC30D8">
        <w:t>performance</w:t>
      </w:r>
      <w:r w:rsidR="000A5329" w:rsidRPr="002029AF">
        <w:t xml:space="preserve"> </w:t>
      </w:r>
      <w:r w:rsidRPr="002029AF" w:rsidDel="00DC30D8">
        <w:t>information</w:t>
      </w:r>
      <w:r w:rsidR="000A5329" w:rsidRPr="002029AF">
        <w:t xml:space="preserve"> </w:t>
      </w:r>
      <w:r w:rsidR="00BD74E4" w:rsidRPr="002029AF">
        <w:t>on</w:t>
      </w:r>
      <w:r w:rsidR="000A5329" w:rsidRPr="002029AF">
        <w:t xml:space="preserve"> </w:t>
      </w:r>
      <w:r w:rsidR="00BD74E4" w:rsidRPr="002029AF">
        <w:t>Victorian</w:t>
      </w:r>
      <w:r w:rsidR="000A5329" w:rsidRPr="002029AF">
        <w:t xml:space="preserve"> </w:t>
      </w:r>
      <w:r w:rsidR="00BD74E4" w:rsidRPr="002029AF">
        <w:t>health</w:t>
      </w:r>
      <w:r w:rsidR="000A5329" w:rsidRPr="002029AF">
        <w:t xml:space="preserve"> </w:t>
      </w:r>
      <w:r w:rsidR="00BD74E4" w:rsidRPr="002029AF">
        <w:t>services</w:t>
      </w:r>
      <w:r w:rsidR="00EC0E3A">
        <w:t>.</w:t>
      </w:r>
    </w:p>
    <w:p w14:paraId="0CDE1B09" w14:textId="0D107DCE" w:rsidR="00462DC8" w:rsidRPr="001B01CC" w:rsidRDefault="00033F28" w:rsidP="001B01CC">
      <w:pPr>
        <w:rPr>
          <w:rFonts w:ascii="Arial" w:eastAsia="Times" w:hAnsi="Arial" w:cs="Arial"/>
          <w:sz w:val="20"/>
          <w:szCs w:val="24"/>
        </w:rPr>
      </w:pPr>
      <w:r>
        <w:br w:type="page"/>
      </w:r>
    </w:p>
    <w:p w14:paraId="5BC7D34B" w14:textId="77777777" w:rsidR="00CF72D5" w:rsidRPr="002029AF" w:rsidRDefault="00CF72D5" w:rsidP="00B442E2">
      <w:pPr>
        <w:pStyle w:val="ARbody"/>
        <w:sectPr w:rsidR="00CF72D5" w:rsidRPr="002029AF" w:rsidSect="00474A93">
          <w:type w:val="continuous"/>
          <w:pgSz w:w="11906" w:h="16838" w:code="9"/>
          <w:pgMar w:top="1985" w:right="851" w:bottom="851" w:left="1418" w:header="510" w:footer="340" w:gutter="0"/>
          <w:cols w:num="2" w:space="454"/>
          <w:docGrid w:linePitch="360"/>
          <w15:footnoteColumns w:val="1"/>
        </w:sectPr>
      </w:pPr>
    </w:p>
    <w:p w14:paraId="08447B0A" w14:textId="0EBB8861" w:rsidR="00344FD9" w:rsidRPr="002029AF" w:rsidRDefault="00344FD9" w:rsidP="00462DC8">
      <w:pPr>
        <w:spacing w:after="0"/>
        <w:ind w:right="-1418"/>
        <w:jc w:val="right"/>
      </w:pPr>
      <w:bookmarkStart w:id="69" w:name="_Ref21960252"/>
      <w:bookmarkStart w:id="70" w:name="_Toc463776201"/>
      <w:bookmarkStart w:id="71" w:name="_Ref492915457"/>
    </w:p>
    <w:p w14:paraId="41F651FA" w14:textId="03A52726" w:rsidR="00344FD9" w:rsidRPr="002029AF" w:rsidRDefault="00344FD9" w:rsidP="00344FD9">
      <w:pPr>
        <w:pStyle w:val="Heading2"/>
        <w:spacing w:before="0"/>
      </w:pPr>
      <w:bookmarkStart w:id="72" w:name="_Ref52199172"/>
      <w:r w:rsidRPr="002029AF">
        <w:t>Organisation</w:t>
      </w:r>
      <w:r w:rsidR="000A5329" w:rsidRPr="002029AF">
        <w:t xml:space="preserve"> </w:t>
      </w:r>
      <w:r w:rsidRPr="002029AF">
        <w:t>structure</w:t>
      </w:r>
      <w:bookmarkEnd w:id="72"/>
    </w:p>
    <w:p w14:paraId="6FBC6EC4" w14:textId="2746260E" w:rsidR="00344FD9" w:rsidRPr="002029AF" w:rsidRDefault="00344FD9" w:rsidP="00344FD9">
      <w:pPr>
        <w:pStyle w:val="ARbody"/>
      </w:pPr>
      <w:r w:rsidRPr="002029AF">
        <w:t>As</w:t>
      </w:r>
      <w:r w:rsidR="000A5329" w:rsidRPr="002029AF">
        <w:t xml:space="preserve"> </w:t>
      </w:r>
      <w:r w:rsidRPr="002029AF">
        <w:t>at</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p>
    <w:p w14:paraId="71516BE7" w14:textId="1EFCD7B4" w:rsidR="00462DC8" w:rsidRPr="002029AF" w:rsidRDefault="00462DC8" w:rsidP="00344FD9">
      <w:pPr>
        <w:pStyle w:val="ARbody"/>
      </w:pPr>
      <w:r>
        <w:rPr>
          <w:noProof/>
          <w:lang w:eastAsia="en-AU" w:bidi="as-IN"/>
        </w:rPr>
        <w:drawing>
          <wp:inline distT="0" distB="0" distL="0" distR="0" wp14:anchorId="4E4D1A96" wp14:editId="380010FA">
            <wp:extent cx="6652800" cy="6701761"/>
            <wp:effectExtent l="0" t="0" r="0" b="4445"/>
            <wp:docPr id="23" name="Graphic 23" descr="Organisation structure, part 1 of 2. To receive organisation structure as as at 30 June 2020 in accessible format please email corporate reporting &lt;corporate.reporting@dhhs.vic.gov.au&gt;. To see the  department’s current structure visit Our organisation &lt;https://www.dhhs.vic.gov.au/our-organisation&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3"/>
                    <pic:cNvPicPr/>
                  </pic:nvPicPr>
                  <pic:blipFill>
                    <a:blip r:embed="rId111" cstate="print">
                      <a:extLst>
                        <a:ext uri="{28A0092B-C50C-407E-A947-70E740481C1C}">
                          <a14:useLocalDpi xmlns:a14="http://schemas.microsoft.com/office/drawing/2010/main" val="0"/>
                        </a:ext>
                        <a:ext uri="{96DAC541-7B7A-43D3-8B79-37D633B846F1}">
                          <asvg:svgBlip xmlns:asvg="http://schemas.microsoft.com/office/drawing/2016/SVG/main" r:embed="rId112"/>
                        </a:ext>
                      </a:extLst>
                    </a:blip>
                    <a:stretch>
                      <a:fillRect/>
                    </a:stretch>
                  </pic:blipFill>
                  <pic:spPr>
                    <a:xfrm>
                      <a:off x="0" y="0"/>
                      <a:ext cx="6652800" cy="6701761"/>
                    </a:xfrm>
                    <a:prstGeom prst="rect">
                      <a:avLst/>
                    </a:prstGeom>
                  </pic:spPr>
                </pic:pic>
              </a:graphicData>
            </a:graphic>
          </wp:inline>
        </w:drawing>
      </w:r>
    </w:p>
    <w:p w14:paraId="29DBB687" w14:textId="77777777" w:rsidR="00AF0526" w:rsidRDefault="00462DC8" w:rsidP="00462DC8">
      <w:pPr>
        <w:spacing w:after="0"/>
        <w:sectPr w:rsidR="00AF0526" w:rsidSect="00462DC8">
          <w:headerReference w:type="even" r:id="rId113"/>
          <w:headerReference w:type="default" r:id="rId114"/>
          <w:headerReference w:type="first" r:id="rId115"/>
          <w:footerReference w:type="first" r:id="rId116"/>
          <w:pgSz w:w="11906" w:h="16838" w:code="9"/>
          <w:pgMar w:top="1985" w:right="1418" w:bottom="851" w:left="1418" w:header="510" w:footer="340" w:gutter="0"/>
          <w:cols w:space="454"/>
          <w:docGrid w:linePitch="360"/>
          <w15:footnoteColumns w:val="1"/>
        </w:sectPr>
      </w:pPr>
      <w:r w:rsidRPr="002029AF">
        <w:br w:type="page"/>
      </w:r>
    </w:p>
    <w:p w14:paraId="08C2E8B6" w14:textId="56C021F7" w:rsidR="00462DC8" w:rsidRPr="002029AF" w:rsidRDefault="00462DC8" w:rsidP="00033F28">
      <w:pPr>
        <w:spacing w:before="1120" w:after="0"/>
        <w:ind w:left="-1418"/>
      </w:pPr>
      <w:r>
        <w:rPr>
          <w:noProof/>
          <w:lang w:eastAsia="en-AU" w:bidi="as-IN"/>
        </w:rPr>
        <w:lastRenderedPageBreak/>
        <w:drawing>
          <wp:inline distT="0" distB="0" distL="0" distR="0" wp14:anchorId="5EBE1C38" wp14:editId="769B6BAE">
            <wp:extent cx="6652800" cy="6701038"/>
            <wp:effectExtent l="0" t="0" r="0" b="5080"/>
            <wp:docPr id="24" name="Graphic 24" descr="Organisation structure, part 2 of 2. To receive organisation structure as as at 30 June 2020 in accessible format please email corporate reporting &lt;corporate.reporting@dhhs.vic.gov.au&gt;. To see the  department’s current structure visit Our organisation &lt;https://www.dhhs.vic.gov.au/our-organisation&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4"/>
                    <pic:cNvPicPr/>
                  </pic:nvPicPr>
                  <pic:blipFill>
                    <a:blip r:embed="rId117" cstate="print">
                      <a:extLst>
                        <a:ext uri="{28A0092B-C50C-407E-A947-70E740481C1C}">
                          <a14:useLocalDpi xmlns:a14="http://schemas.microsoft.com/office/drawing/2010/main" val="0"/>
                        </a:ext>
                        <a:ext uri="{96DAC541-7B7A-43D3-8B79-37D633B846F1}">
                          <asvg:svgBlip xmlns:asvg="http://schemas.microsoft.com/office/drawing/2016/SVG/main" r:embed="rId118"/>
                        </a:ext>
                      </a:extLst>
                    </a:blip>
                    <a:stretch>
                      <a:fillRect/>
                    </a:stretch>
                  </pic:blipFill>
                  <pic:spPr>
                    <a:xfrm>
                      <a:off x="0" y="0"/>
                      <a:ext cx="6652800" cy="6701038"/>
                    </a:xfrm>
                    <a:prstGeom prst="rect">
                      <a:avLst/>
                    </a:prstGeom>
                  </pic:spPr>
                </pic:pic>
              </a:graphicData>
            </a:graphic>
          </wp:inline>
        </w:drawing>
      </w:r>
    </w:p>
    <w:p w14:paraId="10CF3B62" w14:textId="77777777" w:rsidR="00462DC8" w:rsidRPr="002029AF" w:rsidRDefault="00462DC8" w:rsidP="00462DC8">
      <w:pPr>
        <w:spacing w:after="0"/>
      </w:pPr>
    </w:p>
    <w:p w14:paraId="131FFE7C" w14:textId="592F2645" w:rsidR="00462DC8" w:rsidRPr="002029AF" w:rsidRDefault="00462DC8" w:rsidP="00462DC8">
      <w:pPr>
        <w:spacing w:after="0"/>
        <w:sectPr w:rsidR="00462DC8" w:rsidRPr="002029AF" w:rsidSect="00462DC8">
          <w:pgSz w:w="11906" w:h="16838" w:code="9"/>
          <w:pgMar w:top="1985" w:right="1418" w:bottom="851" w:left="1418" w:header="510" w:footer="340" w:gutter="0"/>
          <w:cols w:space="454"/>
          <w:docGrid w:linePitch="360"/>
          <w15:footnoteColumns w:val="1"/>
        </w:sectPr>
      </w:pPr>
    </w:p>
    <w:p w14:paraId="03B78A12" w14:textId="1F7E6EDC" w:rsidR="00CF72D5" w:rsidRPr="002029AF" w:rsidRDefault="00CF72D5" w:rsidP="00462DC8">
      <w:pPr>
        <w:pStyle w:val="Heading2"/>
        <w:spacing w:before="0"/>
      </w:pPr>
      <w:r w:rsidRPr="002029AF">
        <w:lastRenderedPageBreak/>
        <w:t>Committee</w:t>
      </w:r>
      <w:r w:rsidR="000A5329" w:rsidRPr="002029AF">
        <w:t xml:space="preserve"> </w:t>
      </w:r>
      <w:r w:rsidRPr="002029AF">
        <w:t>Structure</w:t>
      </w:r>
    </w:p>
    <w:p w14:paraId="333884F2" w14:textId="6A5260E4" w:rsidR="00CF72D5" w:rsidRPr="002029AF" w:rsidRDefault="00CF72D5" w:rsidP="00897193">
      <w:pPr>
        <w:pStyle w:val="Heading3"/>
      </w:pPr>
      <w:r w:rsidRPr="002029AF">
        <w:t>Executive</w:t>
      </w:r>
      <w:r w:rsidR="000A5329" w:rsidRPr="002029AF">
        <w:t xml:space="preserve"> </w:t>
      </w:r>
      <w:r w:rsidRPr="002029AF">
        <w:t>Board</w:t>
      </w:r>
    </w:p>
    <w:p w14:paraId="1A50F86E" w14:textId="247AB633" w:rsidR="00CF72D5" w:rsidRPr="002029AF" w:rsidRDefault="00CF72D5" w:rsidP="00897193">
      <w:pPr>
        <w:pStyle w:val="ARbody"/>
      </w:pPr>
      <w:r w:rsidRPr="002029AF">
        <w:t>The</w:t>
      </w:r>
      <w:r w:rsidR="000A5329" w:rsidRPr="002029AF">
        <w:t xml:space="preserve"> </w:t>
      </w:r>
      <w:r w:rsidRPr="002029AF">
        <w:t>Executive</w:t>
      </w:r>
      <w:r w:rsidR="000A5329" w:rsidRPr="002029AF">
        <w:t xml:space="preserve"> </w:t>
      </w:r>
      <w:r w:rsidRPr="002029AF">
        <w:t>Board</w:t>
      </w:r>
      <w:r w:rsidR="000A5329" w:rsidRPr="002029AF">
        <w:t xml:space="preserve"> </w:t>
      </w:r>
      <w:r w:rsidRPr="002029AF">
        <w:t>assists</w:t>
      </w:r>
      <w:r w:rsidR="000A5329" w:rsidRPr="002029AF">
        <w:t xml:space="preserve"> </w:t>
      </w:r>
      <w:r w:rsidRPr="002029AF">
        <w:t>the</w:t>
      </w:r>
      <w:r w:rsidR="000A5329" w:rsidRPr="002029AF">
        <w:t xml:space="preserve"> </w:t>
      </w:r>
      <w:r w:rsidRPr="002029AF">
        <w:t>Secretary</w:t>
      </w:r>
      <w:r w:rsidR="000A5329" w:rsidRPr="002029AF">
        <w:t xml:space="preserve"> </w:t>
      </w:r>
      <w:r w:rsidRPr="002029AF">
        <w:t>with</w:t>
      </w:r>
      <w:r w:rsidR="000A5329" w:rsidRPr="002029AF">
        <w:t xml:space="preserve"> </w:t>
      </w:r>
      <w:r w:rsidRPr="002029AF">
        <w:t>strategic</w:t>
      </w:r>
      <w:r w:rsidR="000A5329" w:rsidRPr="002029AF">
        <w:t xml:space="preserve"> </w:t>
      </w:r>
      <w:r w:rsidRPr="002029AF">
        <w:t>leadership</w:t>
      </w:r>
      <w:r w:rsidR="000A5329" w:rsidRPr="002029AF">
        <w:t xml:space="preserve"> </w:t>
      </w:r>
      <w:r w:rsidRPr="002029AF">
        <w:t>to</w:t>
      </w:r>
      <w:r w:rsidR="000A5329" w:rsidRPr="002029AF">
        <w:t xml:space="preserve"> </w:t>
      </w:r>
      <w:r w:rsidRPr="002029AF">
        <w:t>meet</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objectives</w:t>
      </w:r>
      <w:r w:rsidR="000A5329" w:rsidRPr="002029AF">
        <w:t xml:space="preserve"> </w:t>
      </w:r>
      <w:r w:rsidRPr="002029AF">
        <w:t>(including</w:t>
      </w:r>
      <w:r w:rsidR="000A5329" w:rsidRPr="002029AF">
        <w:t xml:space="preserve"> </w:t>
      </w:r>
      <w:r w:rsidRPr="002029AF">
        <w:t>vision,</w:t>
      </w:r>
      <w:r w:rsidR="000A5329" w:rsidRPr="002029AF">
        <w:t xml:space="preserve"> </w:t>
      </w:r>
      <w:r w:rsidRPr="002029AF">
        <w:t>purpose</w:t>
      </w:r>
      <w:r w:rsidR="000A5329" w:rsidRPr="002029AF">
        <w:t xml:space="preserve"> </w:t>
      </w:r>
      <w:r w:rsidRPr="002029AF">
        <w:t>and</w:t>
      </w:r>
      <w:r w:rsidR="000A5329" w:rsidRPr="002029AF">
        <w:t xml:space="preserve"> </w:t>
      </w:r>
      <w:r w:rsidRPr="002029AF">
        <w:t>direction</w:t>
      </w:r>
      <w:r w:rsidR="000A5329" w:rsidRPr="002029AF">
        <w:t xml:space="preserve"> </w:t>
      </w:r>
      <w:r w:rsidRPr="002029AF">
        <w:t>setting);</w:t>
      </w:r>
      <w:r w:rsidR="000A5329" w:rsidRPr="002029AF">
        <w:t xml:space="preserve"> </w:t>
      </w:r>
      <w:r w:rsidRPr="002029AF">
        <w:t>improve</w:t>
      </w:r>
      <w:r w:rsidR="000A5329" w:rsidRPr="002029AF">
        <w:t xml:space="preserve"> </w:t>
      </w:r>
      <w:r w:rsidRPr="002029AF">
        <w:t>performance</w:t>
      </w:r>
      <w:r w:rsidR="000A5329" w:rsidRPr="002029AF">
        <w:t xml:space="preserve"> </w:t>
      </w:r>
      <w:r w:rsidRPr="002029AF">
        <w:t>and</w:t>
      </w:r>
      <w:r w:rsidR="000A5329" w:rsidRPr="002029AF">
        <w:t xml:space="preserve"> </w:t>
      </w:r>
      <w:r w:rsidRPr="002029AF">
        <w:t>outcomes;</w:t>
      </w:r>
      <w:r w:rsidR="000A5329" w:rsidRPr="002029AF">
        <w:t xml:space="preserve"> </w:t>
      </w:r>
      <w:r w:rsidRPr="002029AF">
        <w:t>and</w:t>
      </w:r>
      <w:r w:rsidR="000A5329" w:rsidRPr="002029AF">
        <w:t xml:space="preserve"> </w:t>
      </w:r>
      <w:r w:rsidRPr="002029AF">
        <w:t>implement</w:t>
      </w:r>
      <w:r w:rsidR="000A5329" w:rsidRPr="002029AF">
        <w:t xml:space="preserve"> </w:t>
      </w:r>
      <w:r w:rsidRPr="002029AF">
        <w:t>complex</w:t>
      </w:r>
      <w:r w:rsidR="000A5329" w:rsidRPr="002029AF">
        <w:t xml:space="preserve"> </w:t>
      </w:r>
      <w:r w:rsidRPr="002029AF">
        <w:t>reform</w:t>
      </w:r>
      <w:r w:rsidR="000A5329" w:rsidRPr="002029AF">
        <w:t xml:space="preserve"> </w:t>
      </w:r>
      <w:r w:rsidRPr="002029AF">
        <w:t>priorities.</w:t>
      </w:r>
    </w:p>
    <w:p w14:paraId="2F575680" w14:textId="2EDFABF5" w:rsidR="00CF72D5" w:rsidRPr="002029AF" w:rsidRDefault="00CF72D5" w:rsidP="00897193">
      <w:pPr>
        <w:pStyle w:val="ARbody"/>
      </w:pPr>
      <w:r w:rsidRPr="002029AF">
        <w:t>The</w:t>
      </w:r>
      <w:r w:rsidR="000A5329" w:rsidRPr="002029AF">
        <w:t xml:space="preserve"> </w:t>
      </w:r>
      <w:r w:rsidRPr="002029AF">
        <w:t>Executive</w:t>
      </w:r>
      <w:r w:rsidR="000A5329" w:rsidRPr="002029AF">
        <w:t xml:space="preserve"> </w:t>
      </w:r>
      <w:r w:rsidRPr="002029AF">
        <w:t>Board</w:t>
      </w:r>
      <w:r w:rsidR="000A5329" w:rsidRPr="002029AF">
        <w:t xml:space="preserve"> </w:t>
      </w:r>
      <w:r w:rsidRPr="002029AF">
        <w:t>operates</w:t>
      </w:r>
      <w:r w:rsidR="000A5329" w:rsidRPr="002029AF">
        <w:t xml:space="preserve"> </w:t>
      </w:r>
      <w:r w:rsidRPr="002029AF">
        <w:t>under</w:t>
      </w:r>
      <w:r w:rsidR="000A5329" w:rsidRPr="002029AF">
        <w:t xml:space="preserve"> </w:t>
      </w:r>
      <w:r w:rsidRPr="002029AF">
        <w:t>an</w:t>
      </w:r>
      <w:r w:rsidR="000A5329" w:rsidRPr="002029AF">
        <w:t xml:space="preserve"> </w:t>
      </w:r>
      <w:r w:rsidRPr="002029AF">
        <w:t>approved</w:t>
      </w:r>
      <w:r w:rsidR="00EF3FCC">
        <w:t> </w:t>
      </w:r>
      <w:r w:rsidRPr="002029AF">
        <w:t>charter</w:t>
      </w:r>
      <w:r w:rsidR="000A5329" w:rsidRPr="002029AF">
        <w:t xml:space="preserve"> </w:t>
      </w:r>
      <w:r w:rsidRPr="002029AF">
        <w:t>and</w:t>
      </w:r>
      <w:r w:rsidR="000A5329" w:rsidRPr="002029AF">
        <w:t xml:space="preserve"> </w:t>
      </w:r>
      <w:r w:rsidR="00DE759E" w:rsidRPr="002029AF">
        <w:t>its</w:t>
      </w:r>
      <w:r w:rsidR="000A5329" w:rsidRPr="002029AF">
        <w:t xml:space="preserve"> </w:t>
      </w:r>
      <w:r w:rsidRPr="002029AF">
        <w:t>members</w:t>
      </w:r>
      <w:r w:rsidR="000A5329" w:rsidRPr="002029AF">
        <w:t xml:space="preserve"> </w:t>
      </w:r>
      <w:r w:rsidR="00687845" w:rsidRPr="002029AF">
        <w:t>are</w:t>
      </w:r>
      <w:r w:rsidR="000A5329" w:rsidRPr="002029AF">
        <w:t xml:space="preserve"> </w:t>
      </w:r>
      <w:r w:rsidR="00687845" w:rsidRPr="002029AF">
        <w:t>the</w:t>
      </w:r>
      <w:r w:rsidR="000A5329" w:rsidRPr="002029AF">
        <w:t xml:space="preserve"> </w:t>
      </w:r>
      <w:r w:rsidR="00687845" w:rsidRPr="002029AF">
        <w:t>Secretary</w:t>
      </w:r>
      <w:r w:rsidR="000A5329" w:rsidRPr="002029AF">
        <w:t xml:space="preserve"> </w:t>
      </w:r>
      <w:r w:rsidR="00687845" w:rsidRPr="002029AF">
        <w:t>(as</w:t>
      </w:r>
      <w:r w:rsidR="000A5329" w:rsidRPr="002029AF">
        <w:t xml:space="preserve"> </w:t>
      </w:r>
      <w:r w:rsidR="00687845" w:rsidRPr="002029AF">
        <w:t>chair)</w:t>
      </w:r>
      <w:r w:rsidR="000A5329" w:rsidRPr="002029AF">
        <w:t xml:space="preserve"> </w:t>
      </w:r>
      <w:r w:rsidR="00687845" w:rsidRPr="002029AF">
        <w:t>and</w:t>
      </w:r>
      <w:r w:rsidR="000A5329" w:rsidRPr="002029AF">
        <w:t xml:space="preserve"> </w:t>
      </w:r>
      <w:r w:rsidR="00687845" w:rsidRPr="002029AF">
        <w:t>the</w:t>
      </w:r>
      <w:r w:rsidR="000A5329" w:rsidRPr="002029AF">
        <w:t xml:space="preserve"> </w:t>
      </w:r>
      <w:r w:rsidR="00687845" w:rsidRPr="002029AF">
        <w:t>deputy</w:t>
      </w:r>
      <w:r w:rsidR="000A5329" w:rsidRPr="002029AF">
        <w:t xml:space="preserve"> </w:t>
      </w:r>
      <w:r w:rsidR="00687845" w:rsidRPr="002029AF">
        <w:t>secretaries</w:t>
      </w:r>
      <w:r w:rsidR="009A13D5" w:rsidRPr="002029AF">
        <w:t>.</w:t>
      </w:r>
    </w:p>
    <w:p w14:paraId="2BF95160" w14:textId="441E566A" w:rsidR="00CF72D5" w:rsidRPr="002029AF" w:rsidRDefault="00CF72D5" w:rsidP="00897193">
      <w:pPr>
        <w:pStyle w:val="ARbodyafterbullets"/>
      </w:pPr>
      <w:r w:rsidRPr="002029AF">
        <w:t>Seven</w:t>
      </w:r>
      <w:r w:rsidR="000A5329" w:rsidRPr="002029AF">
        <w:t xml:space="preserve"> </w:t>
      </w:r>
      <w:r w:rsidR="005147DC" w:rsidRPr="002029AF">
        <w:t>ongoing</w:t>
      </w:r>
      <w:r w:rsidR="000A5329" w:rsidRPr="002029AF">
        <w:t xml:space="preserve"> </w:t>
      </w:r>
      <w:r w:rsidRPr="002029AF">
        <w:t>subcommittees</w:t>
      </w:r>
      <w:r w:rsidR="000A5329" w:rsidRPr="002029AF">
        <w:t xml:space="preserve"> </w:t>
      </w:r>
      <w:r w:rsidRPr="002029AF">
        <w:t>report</w:t>
      </w:r>
      <w:r w:rsidR="000A5329" w:rsidRPr="002029AF">
        <w:t xml:space="preserve"> </w:t>
      </w:r>
      <w:r w:rsidRPr="002029AF">
        <w:t>to</w:t>
      </w:r>
      <w:r w:rsidR="000A5329" w:rsidRPr="002029AF">
        <w:t xml:space="preserve"> </w:t>
      </w:r>
      <w:r w:rsidRPr="002029AF">
        <w:t>the</w:t>
      </w:r>
      <w:r w:rsidR="000A5329" w:rsidRPr="002029AF">
        <w:t xml:space="preserve"> </w:t>
      </w:r>
      <w:r w:rsidRPr="002029AF">
        <w:t>Executive</w:t>
      </w:r>
      <w:r w:rsidR="000A5329" w:rsidRPr="002029AF">
        <w:t xml:space="preserve"> </w:t>
      </w:r>
      <w:r w:rsidRPr="002029AF">
        <w:t>Board:</w:t>
      </w:r>
    </w:p>
    <w:p w14:paraId="16B390D7" w14:textId="21A81D0B" w:rsidR="00D17DF4" w:rsidRPr="002029AF" w:rsidRDefault="00CF72D5" w:rsidP="00D17DF4">
      <w:pPr>
        <w:pStyle w:val="ARbullet1"/>
      </w:pPr>
      <w:r w:rsidRPr="002029AF">
        <w:t>Aboriginal</w:t>
      </w:r>
      <w:r w:rsidR="000A5329" w:rsidRPr="002029AF">
        <w:t xml:space="preserve"> </w:t>
      </w:r>
      <w:r w:rsidRPr="002029AF">
        <w:t>Health</w:t>
      </w:r>
      <w:r w:rsidR="000A5329" w:rsidRPr="002029AF">
        <w:t xml:space="preserve"> </w:t>
      </w:r>
      <w:r w:rsidRPr="002029AF">
        <w:t>Wellbeing</w:t>
      </w:r>
      <w:r w:rsidR="000A5329" w:rsidRPr="002029AF">
        <w:t xml:space="preserve"> </w:t>
      </w:r>
      <w:r w:rsidRPr="002029AF">
        <w:t>and</w:t>
      </w:r>
      <w:r w:rsidR="000A5329" w:rsidRPr="002029AF">
        <w:t xml:space="preserve"> </w:t>
      </w:r>
      <w:r w:rsidRPr="002029AF">
        <w:t>Safety</w:t>
      </w:r>
      <w:r w:rsidR="000A5329" w:rsidRPr="002029AF">
        <w:t xml:space="preserve"> </w:t>
      </w:r>
      <w:r w:rsidRPr="002029AF">
        <w:t>Subcommittee</w:t>
      </w:r>
    </w:p>
    <w:p w14:paraId="5E50AE4B" w14:textId="4076F0A9" w:rsidR="005147DC" w:rsidRPr="002029AF" w:rsidRDefault="005147DC" w:rsidP="00897193">
      <w:pPr>
        <w:pStyle w:val="ARbullet1"/>
      </w:pPr>
      <w:r w:rsidRPr="002029AF">
        <w:t>Capital</w:t>
      </w:r>
      <w:r w:rsidR="000A5329" w:rsidRPr="002029AF">
        <w:t xml:space="preserve"> </w:t>
      </w:r>
      <w:r w:rsidRPr="002029AF">
        <w:t>Subcommittee</w:t>
      </w:r>
    </w:p>
    <w:p w14:paraId="01C84E18" w14:textId="5A53EFAF" w:rsidR="00CF72D5" w:rsidRPr="002029AF" w:rsidRDefault="00CF72D5" w:rsidP="00897193">
      <w:pPr>
        <w:pStyle w:val="ARbullet1"/>
      </w:pPr>
      <w:r w:rsidRPr="002029AF">
        <w:t>Data</w:t>
      </w:r>
      <w:r w:rsidR="000A5329" w:rsidRPr="002029AF">
        <w:t xml:space="preserve"> </w:t>
      </w:r>
      <w:r w:rsidRPr="002029AF">
        <w:t>Governance</w:t>
      </w:r>
      <w:r w:rsidR="000A5329" w:rsidRPr="002029AF">
        <w:t xml:space="preserve"> </w:t>
      </w:r>
      <w:r w:rsidRPr="002029AF">
        <w:t>and</w:t>
      </w:r>
      <w:r w:rsidR="000A5329" w:rsidRPr="002029AF">
        <w:t xml:space="preserve"> </w:t>
      </w:r>
      <w:r w:rsidRPr="002029AF">
        <w:t>Information</w:t>
      </w:r>
      <w:r w:rsidR="000A5329" w:rsidRPr="002029AF">
        <w:t xml:space="preserve"> </w:t>
      </w:r>
      <w:r w:rsidRPr="002029AF">
        <w:t>Technology</w:t>
      </w:r>
      <w:r w:rsidR="00EF3FCC">
        <w:t> </w:t>
      </w:r>
      <w:r w:rsidRPr="002029AF">
        <w:t>Subcommittee</w:t>
      </w:r>
    </w:p>
    <w:p w14:paraId="532380DB" w14:textId="72E375AC" w:rsidR="00CF72D5" w:rsidRPr="002029AF" w:rsidRDefault="00CF72D5" w:rsidP="00897193">
      <w:pPr>
        <w:pStyle w:val="ARbullet1"/>
      </w:pPr>
      <w:r w:rsidRPr="002029AF">
        <w:t>Finance</w:t>
      </w:r>
      <w:r w:rsidR="000A5329" w:rsidRPr="002029AF">
        <w:t xml:space="preserve"> </w:t>
      </w:r>
      <w:r w:rsidRPr="002029AF">
        <w:t>and</w:t>
      </w:r>
      <w:r w:rsidR="000A5329" w:rsidRPr="002029AF">
        <w:t xml:space="preserve"> </w:t>
      </w:r>
      <w:r w:rsidRPr="002029AF">
        <w:t>Budget</w:t>
      </w:r>
      <w:r w:rsidR="000A5329" w:rsidRPr="002029AF">
        <w:t xml:space="preserve"> </w:t>
      </w:r>
      <w:r w:rsidRPr="002029AF">
        <w:t>Subcommittee</w:t>
      </w:r>
    </w:p>
    <w:p w14:paraId="428B0AA7" w14:textId="0982EE42" w:rsidR="00D17DF4" w:rsidRPr="002029AF" w:rsidRDefault="00CF72D5" w:rsidP="00D17DF4">
      <w:pPr>
        <w:pStyle w:val="ARbullet1"/>
      </w:pPr>
      <w:r w:rsidRPr="002029AF">
        <w:t>Investment</w:t>
      </w:r>
      <w:r w:rsidR="000A5329" w:rsidRPr="002029AF">
        <w:t xml:space="preserve"> </w:t>
      </w:r>
      <w:r w:rsidRPr="002029AF">
        <w:t>Subcommittee</w:t>
      </w:r>
      <w:r w:rsidR="000A5329" w:rsidRPr="002029AF">
        <w:t xml:space="preserve"> </w:t>
      </w:r>
      <w:r w:rsidRPr="002029AF">
        <w:t>(IS)</w:t>
      </w:r>
      <w:r w:rsidR="000A5329" w:rsidRPr="002029AF">
        <w:t xml:space="preserve"> </w:t>
      </w:r>
      <w:r w:rsidRPr="002029AF">
        <w:t>–</w:t>
      </w:r>
      <w:r w:rsidR="000A5329" w:rsidRPr="002029AF">
        <w:t xml:space="preserve"> </w:t>
      </w:r>
      <w:r w:rsidRPr="002029AF">
        <w:t>new</w:t>
      </w:r>
      <w:r w:rsidR="000A5329" w:rsidRPr="002029AF">
        <w:t xml:space="preserve"> </w:t>
      </w:r>
      <w:r w:rsidRPr="002029AF">
        <w:t>in</w:t>
      </w:r>
      <w:r w:rsidR="000A5329" w:rsidRPr="002029AF">
        <w:t xml:space="preserve"> </w:t>
      </w:r>
      <w:r w:rsidRPr="002029AF">
        <w:t>2020.</w:t>
      </w:r>
    </w:p>
    <w:p w14:paraId="09221DB4" w14:textId="3D85C16F" w:rsidR="00E85F51" w:rsidRPr="002029AF" w:rsidRDefault="00E85F51" w:rsidP="00897193">
      <w:pPr>
        <w:pStyle w:val="ARbullet1"/>
      </w:pPr>
      <w:r w:rsidRPr="002029AF">
        <w:t>People</w:t>
      </w:r>
      <w:r w:rsidR="000A5329" w:rsidRPr="002029AF">
        <w:t xml:space="preserve"> </w:t>
      </w:r>
      <w:r w:rsidRPr="002029AF">
        <w:t>and</w:t>
      </w:r>
      <w:r w:rsidR="000A5329" w:rsidRPr="002029AF">
        <w:t xml:space="preserve"> </w:t>
      </w:r>
      <w:r w:rsidRPr="002029AF">
        <w:t>Culture</w:t>
      </w:r>
      <w:r w:rsidR="000A5329" w:rsidRPr="002029AF">
        <w:t xml:space="preserve"> </w:t>
      </w:r>
      <w:r w:rsidRPr="002029AF">
        <w:t>Subcommittee</w:t>
      </w:r>
    </w:p>
    <w:p w14:paraId="6B247E29" w14:textId="2B926CF3" w:rsidR="00CF72D5" w:rsidRPr="002029AF" w:rsidRDefault="00CF72D5" w:rsidP="00897193">
      <w:pPr>
        <w:pStyle w:val="ARbullet1"/>
      </w:pPr>
      <w:r w:rsidRPr="002029AF">
        <w:t>Performance</w:t>
      </w:r>
      <w:r w:rsidR="000A5329" w:rsidRPr="002029AF">
        <w:t xml:space="preserve"> </w:t>
      </w:r>
      <w:r w:rsidRPr="002029AF">
        <w:t>and</w:t>
      </w:r>
      <w:r w:rsidR="000A5329" w:rsidRPr="002029AF">
        <w:t xml:space="preserve"> </w:t>
      </w:r>
      <w:r w:rsidRPr="002029AF">
        <w:t>Reform</w:t>
      </w:r>
      <w:r w:rsidR="000A5329" w:rsidRPr="002029AF">
        <w:t xml:space="preserve"> </w:t>
      </w:r>
      <w:r w:rsidRPr="002029AF">
        <w:t>Oversight</w:t>
      </w:r>
      <w:r w:rsidR="000A5329" w:rsidRPr="002029AF">
        <w:t xml:space="preserve"> </w:t>
      </w:r>
      <w:r w:rsidRPr="002029AF">
        <w:t>Subcommittee</w:t>
      </w:r>
      <w:r w:rsidR="000A5329" w:rsidRPr="002029AF">
        <w:t xml:space="preserve"> </w:t>
      </w:r>
      <w:r w:rsidRPr="002029AF">
        <w:t>(PROS)</w:t>
      </w:r>
      <w:r w:rsidR="000A5329" w:rsidRPr="002029AF">
        <w:t xml:space="preserve"> </w:t>
      </w:r>
      <w:r w:rsidR="00CF73C5" w:rsidRPr="002029AF">
        <w:t>–</w:t>
      </w:r>
      <w:r w:rsidR="000A5329" w:rsidRPr="002029AF">
        <w:t xml:space="preserve"> </w:t>
      </w:r>
      <w:r w:rsidR="00CF73C5" w:rsidRPr="002029AF">
        <w:t>new</w:t>
      </w:r>
      <w:r w:rsidR="000A5329" w:rsidRPr="002029AF">
        <w:t xml:space="preserve"> </w:t>
      </w:r>
      <w:r w:rsidR="00CF73C5" w:rsidRPr="002029AF">
        <w:t>in</w:t>
      </w:r>
      <w:r w:rsidR="000A5329" w:rsidRPr="002029AF">
        <w:t xml:space="preserve"> </w:t>
      </w:r>
      <w:r w:rsidR="00CF73C5" w:rsidRPr="002029AF">
        <w:t>2020.</w:t>
      </w:r>
    </w:p>
    <w:p w14:paraId="06BBD46D" w14:textId="52DD3C6A" w:rsidR="00CF73C5" w:rsidRPr="002029AF" w:rsidRDefault="00CF73C5" w:rsidP="00897193">
      <w:pPr>
        <w:pStyle w:val="ARbullet1"/>
      </w:pPr>
      <w:r w:rsidRPr="002029AF">
        <w:t>Quality,</w:t>
      </w:r>
      <w:r w:rsidR="000A5329" w:rsidRPr="002029AF">
        <w:t xml:space="preserve"> </w:t>
      </w:r>
      <w:r w:rsidRPr="002029AF">
        <w:t>Safety</w:t>
      </w:r>
      <w:r w:rsidR="000A5329" w:rsidRPr="002029AF">
        <w:t xml:space="preserve"> </w:t>
      </w:r>
      <w:r w:rsidRPr="002029AF">
        <w:t>and</w:t>
      </w:r>
      <w:r w:rsidR="000A5329" w:rsidRPr="002029AF">
        <w:t xml:space="preserve"> </w:t>
      </w:r>
      <w:r w:rsidRPr="002029AF">
        <w:t>Experience</w:t>
      </w:r>
      <w:r w:rsidR="000A5329" w:rsidRPr="002029AF">
        <w:t xml:space="preserve"> </w:t>
      </w:r>
      <w:r w:rsidRPr="002029AF">
        <w:t>Subcommittee</w:t>
      </w:r>
      <w:r w:rsidR="0038133A">
        <w:t>.</w:t>
      </w:r>
    </w:p>
    <w:p w14:paraId="7208CE66" w14:textId="2FC68535" w:rsidR="00CF72D5" w:rsidRPr="002029AF" w:rsidRDefault="00745229" w:rsidP="008A5BD1">
      <w:pPr>
        <w:pStyle w:val="ARbodyafterbullets"/>
      </w:pPr>
      <w:r w:rsidRPr="002029AF">
        <w:t>In</w:t>
      </w:r>
      <w:r w:rsidR="000A5329" w:rsidRPr="002029AF">
        <w:t xml:space="preserve"> </w:t>
      </w:r>
      <w:r w:rsidRPr="002029AF">
        <w:t>addition</w:t>
      </w:r>
      <w:r w:rsidR="00211AA0" w:rsidRPr="002029AF">
        <w:t>,</w:t>
      </w:r>
      <w:r w:rsidR="000A5329" w:rsidRPr="002029AF">
        <w:t xml:space="preserve"> </w:t>
      </w:r>
      <w:r w:rsidR="00CF72D5" w:rsidRPr="002029AF">
        <w:t>three</w:t>
      </w:r>
      <w:r w:rsidR="000A5329" w:rsidRPr="002029AF">
        <w:t xml:space="preserve"> </w:t>
      </w:r>
      <w:r w:rsidR="00CF72D5" w:rsidRPr="002029AF">
        <w:t>time-limited</w:t>
      </w:r>
      <w:r w:rsidR="000A5329" w:rsidRPr="002029AF">
        <w:t xml:space="preserve"> </w:t>
      </w:r>
      <w:r w:rsidR="00CF72D5" w:rsidRPr="002029AF">
        <w:t>reform</w:t>
      </w:r>
      <w:r w:rsidR="000A5329" w:rsidRPr="002029AF">
        <w:t xml:space="preserve"> </w:t>
      </w:r>
      <w:r w:rsidRPr="002029AF">
        <w:t>sub</w:t>
      </w:r>
      <w:r w:rsidR="00CF72D5" w:rsidRPr="002029AF">
        <w:t>committees</w:t>
      </w:r>
      <w:r w:rsidR="000A5329" w:rsidRPr="002029AF">
        <w:t xml:space="preserve"> </w:t>
      </w:r>
      <w:r w:rsidRPr="002029AF">
        <w:t>also</w:t>
      </w:r>
      <w:r w:rsidR="000A5329" w:rsidRPr="002029AF">
        <w:t xml:space="preserve"> </w:t>
      </w:r>
      <w:r w:rsidR="00CF72D5" w:rsidRPr="002029AF">
        <w:t>report</w:t>
      </w:r>
      <w:r w:rsidR="000A5329" w:rsidRPr="002029AF">
        <w:t xml:space="preserve"> </w:t>
      </w:r>
      <w:r w:rsidR="00CF72D5" w:rsidRPr="002029AF">
        <w:t>to</w:t>
      </w:r>
      <w:r w:rsidR="000A5329" w:rsidRPr="002029AF">
        <w:t xml:space="preserve"> </w:t>
      </w:r>
      <w:r w:rsidR="00CF72D5" w:rsidRPr="002029AF">
        <w:t>the</w:t>
      </w:r>
      <w:r w:rsidR="000A5329" w:rsidRPr="002029AF">
        <w:t xml:space="preserve"> </w:t>
      </w:r>
      <w:r w:rsidR="00CF72D5" w:rsidRPr="002029AF">
        <w:t>Executive</w:t>
      </w:r>
      <w:r w:rsidR="000A5329" w:rsidRPr="002029AF">
        <w:t xml:space="preserve"> </w:t>
      </w:r>
      <w:r w:rsidR="00CF72D5" w:rsidRPr="002029AF">
        <w:t>Board</w:t>
      </w:r>
      <w:r w:rsidRPr="002029AF">
        <w:t>.</w:t>
      </w:r>
      <w:r w:rsidR="000A5329" w:rsidRPr="002029AF">
        <w:t xml:space="preserve"> </w:t>
      </w:r>
      <w:r w:rsidRPr="002029AF">
        <w:t>Their</w:t>
      </w:r>
      <w:r w:rsidR="000A5329" w:rsidRPr="002029AF">
        <w:t xml:space="preserve"> </w:t>
      </w:r>
      <w:r w:rsidR="00CF72D5" w:rsidRPr="002029AF">
        <w:t>focus</w:t>
      </w:r>
      <w:r w:rsidR="000A5329" w:rsidRPr="002029AF">
        <w:t xml:space="preserve"> </w:t>
      </w:r>
      <w:r w:rsidRPr="002029AF">
        <w:t>is</w:t>
      </w:r>
      <w:r w:rsidR="000A5329" w:rsidRPr="002029AF">
        <w:t xml:space="preserve"> </w:t>
      </w:r>
      <w:r w:rsidR="00CF72D5" w:rsidRPr="002029AF">
        <w:t>on</w:t>
      </w:r>
      <w:r w:rsidR="000A5329" w:rsidRPr="002029AF">
        <w:t xml:space="preserve"> </w:t>
      </w:r>
      <w:r w:rsidR="00CF72D5" w:rsidRPr="002029AF">
        <w:t>implementing</w:t>
      </w:r>
      <w:r w:rsidR="000A5329" w:rsidRPr="002029AF">
        <w:t xml:space="preserve"> </w:t>
      </w:r>
      <w:r w:rsidR="00CF72D5" w:rsidRPr="002029AF">
        <w:t>the</w:t>
      </w:r>
      <w:r w:rsidR="000A5329" w:rsidRPr="002029AF">
        <w:t xml:space="preserve"> </w:t>
      </w:r>
      <w:r w:rsidRPr="002029AF">
        <w:t>g</w:t>
      </w:r>
      <w:r w:rsidR="00CF72D5" w:rsidRPr="002029AF">
        <w:t>overnment’s</w:t>
      </w:r>
      <w:r w:rsidR="000A5329" w:rsidRPr="002029AF">
        <w:t xml:space="preserve"> </w:t>
      </w:r>
      <w:r w:rsidR="00CF72D5" w:rsidRPr="002029AF">
        <w:t>reform</w:t>
      </w:r>
      <w:r w:rsidR="000A5329" w:rsidRPr="002029AF">
        <w:t xml:space="preserve"> </w:t>
      </w:r>
      <w:r w:rsidR="00CF72D5" w:rsidRPr="002029AF">
        <w:t>agenda</w:t>
      </w:r>
      <w:r w:rsidR="000A5329" w:rsidRPr="002029AF">
        <w:t xml:space="preserve"> </w:t>
      </w:r>
      <w:r w:rsidR="00CF72D5" w:rsidRPr="002029AF">
        <w:t>and</w:t>
      </w:r>
      <w:r w:rsidR="000A5329" w:rsidRPr="002029AF">
        <w:t xml:space="preserve"> </w:t>
      </w:r>
      <w:r w:rsidR="00CF72D5" w:rsidRPr="002029AF">
        <w:t>complex</w:t>
      </w:r>
      <w:r w:rsidR="000A5329" w:rsidRPr="002029AF">
        <w:t xml:space="preserve"> </w:t>
      </w:r>
      <w:r w:rsidR="00CF72D5" w:rsidRPr="002029AF">
        <w:t>departmental</w:t>
      </w:r>
      <w:r w:rsidR="000A5329" w:rsidRPr="002029AF">
        <w:t xml:space="preserve"> </w:t>
      </w:r>
      <w:r w:rsidR="00CF72D5" w:rsidRPr="002029AF">
        <w:t>initiatives:</w:t>
      </w:r>
    </w:p>
    <w:p w14:paraId="6F8EC953" w14:textId="54AFFC1F" w:rsidR="00E0545C" w:rsidRPr="002029AF" w:rsidRDefault="00E0545C" w:rsidP="00E0545C">
      <w:pPr>
        <w:pStyle w:val="ARbullet1"/>
      </w:pPr>
      <w:r w:rsidRPr="002029AF">
        <w:t>Health</w:t>
      </w:r>
      <w:r w:rsidR="000A5329" w:rsidRPr="002029AF">
        <w:t xml:space="preserve"> </w:t>
      </w:r>
      <w:r w:rsidRPr="002029AF">
        <w:t>Reform</w:t>
      </w:r>
      <w:r w:rsidR="000A5329" w:rsidRPr="002029AF">
        <w:t xml:space="preserve"> </w:t>
      </w:r>
      <w:r w:rsidRPr="002029AF">
        <w:t>Subcommittee</w:t>
      </w:r>
    </w:p>
    <w:p w14:paraId="68B76752" w14:textId="0B9CC31E" w:rsidR="00CB27AD" w:rsidRPr="002029AF" w:rsidRDefault="00CB27AD" w:rsidP="00E0545C">
      <w:pPr>
        <w:pStyle w:val="ARbullet1"/>
      </w:pPr>
      <w:r w:rsidRPr="002029AF">
        <w:t>Integrated</w:t>
      </w:r>
      <w:r w:rsidR="000A5329" w:rsidRPr="002029AF">
        <w:t xml:space="preserve"> </w:t>
      </w:r>
      <w:r w:rsidRPr="002029AF">
        <w:t>Community</w:t>
      </w:r>
      <w:r w:rsidR="000A5329" w:rsidRPr="002029AF">
        <w:t xml:space="preserve"> </w:t>
      </w:r>
      <w:r w:rsidRPr="002029AF">
        <w:t>Services</w:t>
      </w:r>
      <w:r w:rsidR="000A5329" w:rsidRPr="002029AF">
        <w:t xml:space="preserve"> </w:t>
      </w:r>
      <w:r w:rsidRPr="002029AF">
        <w:t>Subcommittee</w:t>
      </w:r>
    </w:p>
    <w:p w14:paraId="56E30149" w14:textId="39A13AA4" w:rsidR="00CF72D5" w:rsidRPr="002029AF" w:rsidRDefault="00CF72D5" w:rsidP="00897193">
      <w:pPr>
        <w:pStyle w:val="ARbullet1"/>
      </w:pPr>
      <w:r w:rsidRPr="002029AF">
        <w:t>NDIS</w:t>
      </w:r>
      <w:r w:rsidR="000A5329" w:rsidRPr="002029AF">
        <w:t xml:space="preserve"> </w:t>
      </w:r>
      <w:r w:rsidRPr="002029AF">
        <w:t>Readiness</w:t>
      </w:r>
      <w:r w:rsidR="000A5329" w:rsidRPr="002029AF">
        <w:t xml:space="preserve"> </w:t>
      </w:r>
      <w:r w:rsidRPr="002029AF">
        <w:t>Subcommittee</w:t>
      </w:r>
    </w:p>
    <w:p w14:paraId="5DB52C74" w14:textId="45696539" w:rsidR="00CF72D5" w:rsidRPr="002029AF" w:rsidRDefault="00CF72D5" w:rsidP="00897193">
      <w:pPr>
        <w:pStyle w:val="ARbullet1"/>
      </w:pPr>
      <w:r w:rsidRPr="002029AF">
        <w:t>Organisational</w:t>
      </w:r>
      <w:r w:rsidR="000A5329" w:rsidRPr="002029AF">
        <w:t xml:space="preserve"> </w:t>
      </w:r>
      <w:r w:rsidRPr="002029AF">
        <w:t>Transformation</w:t>
      </w:r>
      <w:r w:rsidR="000A5329" w:rsidRPr="002029AF">
        <w:t xml:space="preserve"> </w:t>
      </w:r>
      <w:r w:rsidRPr="002029AF">
        <w:t>Subcommittee</w:t>
      </w:r>
    </w:p>
    <w:p w14:paraId="1B7780AD" w14:textId="7170320F" w:rsidR="00CF72D5" w:rsidRPr="002029AF" w:rsidRDefault="00CF72D5" w:rsidP="001E768A">
      <w:pPr>
        <w:pStyle w:val="ARbullet1"/>
      </w:pPr>
      <w:r w:rsidRPr="002029AF">
        <w:t>Priority</w:t>
      </w:r>
      <w:r w:rsidR="000A5329" w:rsidRPr="002029AF">
        <w:t xml:space="preserve"> </w:t>
      </w:r>
      <w:r w:rsidRPr="002029AF">
        <w:t>Reform</w:t>
      </w:r>
      <w:r w:rsidR="000A5329" w:rsidRPr="002029AF">
        <w:t xml:space="preserve"> </w:t>
      </w:r>
      <w:r w:rsidRPr="002029AF">
        <w:t>Subcommittee.</w:t>
      </w:r>
    </w:p>
    <w:p w14:paraId="52902E2F" w14:textId="6E23B418" w:rsidR="00CF72D5" w:rsidRPr="002029AF" w:rsidRDefault="00CF72D5" w:rsidP="00897193">
      <w:pPr>
        <w:pStyle w:val="Heading4"/>
      </w:pPr>
      <w:r w:rsidRPr="002029AF">
        <w:t>Aboriginal</w:t>
      </w:r>
      <w:r w:rsidR="000A5329" w:rsidRPr="002029AF">
        <w:t xml:space="preserve"> </w:t>
      </w:r>
      <w:r w:rsidRPr="002029AF">
        <w:t>Health</w:t>
      </w:r>
      <w:r w:rsidR="000A5329" w:rsidRPr="002029AF">
        <w:t xml:space="preserve"> </w:t>
      </w:r>
      <w:r w:rsidRPr="002029AF">
        <w:t>Wellbeing</w:t>
      </w:r>
      <w:r w:rsidR="000A5329" w:rsidRPr="002029AF">
        <w:t xml:space="preserve"> </w:t>
      </w:r>
      <w:r w:rsidRPr="002029AF">
        <w:t>and</w:t>
      </w:r>
      <w:r w:rsidR="000A5329" w:rsidRPr="002029AF">
        <w:t xml:space="preserve"> </w:t>
      </w:r>
      <w:r w:rsidRPr="002029AF">
        <w:t>Safety</w:t>
      </w:r>
      <w:r w:rsidR="00EF3FCC">
        <w:t> </w:t>
      </w:r>
      <w:r w:rsidRPr="002029AF">
        <w:t>Subcommittee</w:t>
      </w:r>
    </w:p>
    <w:p w14:paraId="0048A9E7" w14:textId="6CC6E047" w:rsidR="00CF72D5" w:rsidRPr="002029AF" w:rsidRDefault="00804908" w:rsidP="00897193">
      <w:pPr>
        <w:pStyle w:val="ARbody"/>
      </w:pPr>
      <w:r w:rsidRPr="002029AF">
        <w:t>T</w:t>
      </w:r>
      <w:r w:rsidR="00D614A4" w:rsidRPr="002029AF">
        <w:t>he</w:t>
      </w:r>
      <w:r w:rsidR="000A5329" w:rsidRPr="002029AF">
        <w:t xml:space="preserve"> </w:t>
      </w:r>
      <w:r w:rsidR="00D614A4" w:rsidRPr="002029AF">
        <w:t>Aboriginal</w:t>
      </w:r>
      <w:r w:rsidR="000A5329" w:rsidRPr="002029AF">
        <w:t xml:space="preserve"> </w:t>
      </w:r>
      <w:r w:rsidR="00D614A4" w:rsidRPr="002029AF">
        <w:t>Health</w:t>
      </w:r>
      <w:r w:rsidR="000A5329" w:rsidRPr="002029AF">
        <w:t xml:space="preserve"> </w:t>
      </w:r>
      <w:r w:rsidR="00D614A4" w:rsidRPr="002029AF">
        <w:t>Wellbeing</w:t>
      </w:r>
      <w:r w:rsidR="000A5329" w:rsidRPr="002029AF">
        <w:t xml:space="preserve"> </w:t>
      </w:r>
      <w:r w:rsidR="00D614A4" w:rsidRPr="002029AF">
        <w:t>and</w:t>
      </w:r>
      <w:r w:rsidR="000A5329" w:rsidRPr="002029AF">
        <w:t xml:space="preserve"> </w:t>
      </w:r>
      <w:r w:rsidR="00D614A4" w:rsidRPr="002029AF">
        <w:t>Safety</w:t>
      </w:r>
      <w:r w:rsidR="000A5329" w:rsidRPr="002029AF">
        <w:t xml:space="preserve"> </w:t>
      </w:r>
      <w:r w:rsidR="00D614A4" w:rsidRPr="002029AF">
        <w:t>Sub</w:t>
      </w:r>
      <w:r w:rsidR="00CF72D5" w:rsidRPr="002029AF">
        <w:t>committee</w:t>
      </w:r>
      <w:r w:rsidR="000A5329" w:rsidRPr="002029AF">
        <w:t xml:space="preserve"> </w:t>
      </w:r>
      <w:r w:rsidR="00CF72D5" w:rsidRPr="002029AF">
        <w:t>consider</w:t>
      </w:r>
      <w:r w:rsidRPr="002029AF">
        <w:t>s</w:t>
      </w:r>
      <w:r w:rsidR="000A5329" w:rsidRPr="002029AF">
        <w:t xml:space="preserve"> </w:t>
      </w:r>
      <w:r w:rsidR="00CF72D5" w:rsidRPr="002029AF">
        <w:t>and</w:t>
      </w:r>
      <w:r w:rsidR="000A5329" w:rsidRPr="002029AF">
        <w:t xml:space="preserve"> </w:t>
      </w:r>
      <w:r w:rsidRPr="002029AF">
        <w:t>advises</w:t>
      </w:r>
      <w:r w:rsidR="000A5329" w:rsidRPr="002029AF">
        <w:t xml:space="preserve"> </w:t>
      </w:r>
      <w:r w:rsidR="00FA352A" w:rsidRPr="002029AF">
        <w:t>on</w:t>
      </w:r>
      <w:r w:rsidR="000A5329" w:rsidRPr="002029AF">
        <w:t xml:space="preserve"> </w:t>
      </w:r>
      <w:r w:rsidR="00CF72D5" w:rsidRPr="002029AF">
        <w:t>Aboriginal</w:t>
      </w:r>
      <w:r w:rsidR="000A5329" w:rsidRPr="002029AF">
        <w:t xml:space="preserve"> </w:t>
      </w:r>
      <w:r w:rsidR="00CF72D5" w:rsidRPr="002029AF">
        <w:t>health,</w:t>
      </w:r>
      <w:r w:rsidR="000A5329" w:rsidRPr="002029AF">
        <w:t xml:space="preserve"> </w:t>
      </w:r>
      <w:r w:rsidR="00CF72D5" w:rsidRPr="002029AF">
        <w:t>wellbeing</w:t>
      </w:r>
      <w:r w:rsidR="000A5329" w:rsidRPr="002029AF">
        <w:t xml:space="preserve"> </w:t>
      </w:r>
      <w:r w:rsidR="00CF72D5" w:rsidRPr="002029AF">
        <w:t>and</w:t>
      </w:r>
      <w:r w:rsidR="000A5329" w:rsidRPr="002029AF">
        <w:t xml:space="preserve"> </w:t>
      </w:r>
      <w:r w:rsidR="00CF72D5" w:rsidRPr="002029AF">
        <w:t>safety</w:t>
      </w:r>
      <w:r w:rsidR="000A5329" w:rsidRPr="002029AF">
        <w:t xml:space="preserve"> </w:t>
      </w:r>
      <w:r w:rsidR="00CF72D5" w:rsidRPr="002029AF">
        <w:t>priorities.</w:t>
      </w:r>
      <w:r w:rsidR="000A5329" w:rsidRPr="002029AF">
        <w:t xml:space="preserve"> </w:t>
      </w:r>
      <w:r w:rsidR="00D614A4" w:rsidRPr="002029AF">
        <w:t>It</w:t>
      </w:r>
      <w:r w:rsidR="000A5329" w:rsidRPr="002029AF">
        <w:t xml:space="preserve"> </w:t>
      </w:r>
      <w:r w:rsidR="00CF72D5" w:rsidRPr="002029AF">
        <w:t>ensures</w:t>
      </w:r>
      <w:r w:rsidR="000A5329" w:rsidRPr="002029AF">
        <w:t xml:space="preserve"> </w:t>
      </w:r>
      <w:r w:rsidR="00D614A4" w:rsidRPr="002029AF">
        <w:t>that</w:t>
      </w:r>
      <w:r w:rsidR="000A5329" w:rsidRPr="002029AF">
        <w:t xml:space="preserve"> </w:t>
      </w:r>
      <w:r w:rsidR="00D614A4" w:rsidRPr="002029AF">
        <w:t>any</w:t>
      </w:r>
      <w:r w:rsidR="000A5329" w:rsidRPr="002029AF">
        <w:t xml:space="preserve"> </w:t>
      </w:r>
      <w:r w:rsidR="00D614A4" w:rsidRPr="002029AF">
        <w:t>of</w:t>
      </w:r>
      <w:r w:rsidR="000A5329" w:rsidRPr="002029AF">
        <w:t xml:space="preserve"> </w:t>
      </w:r>
      <w:r w:rsidR="00CF72D5" w:rsidRPr="002029AF">
        <w:t>the</w:t>
      </w:r>
      <w:r w:rsidR="000A5329" w:rsidRPr="002029AF">
        <w:t xml:space="preserve"> </w:t>
      </w:r>
      <w:r w:rsidR="00CF72D5" w:rsidRPr="002029AF">
        <w:t>department’s</w:t>
      </w:r>
      <w:r w:rsidR="000A5329" w:rsidRPr="002029AF">
        <w:t xml:space="preserve"> </w:t>
      </w:r>
      <w:r w:rsidR="00CF72D5" w:rsidRPr="002029AF">
        <w:t>strategic</w:t>
      </w:r>
      <w:r w:rsidR="000A5329" w:rsidRPr="002029AF">
        <w:t xml:space="preserve"> </w:t>
      </w:r>
      <w:r w:rsidR="00CF72D5" w:rsidRPr="002029AF">
        <w:t>plans,</w:t>
      </w:r>
      <w:r w:rsidR="000A5329" w:rsidRPr="002029AF">
        <w:t xml:space="preserve"> </w:t>
      </w:r>
      <w:r w:rsidR="00CF72D5" w:rsidRPr="002029AF">
        <w:t>frameworks</w:t>
      </w:r>
      <w:r w:rsidR="000A5329" w:rsidRPr="002029AF">
        <w:t xml:space="preserve"> </w:t>
      </w:r>
      <w:r w:rsidR="00CF72D5" w:rsidRPr="002029AF">
        <w:t>and</w:t>
      </w:r>
      <w:r w:rsidR="000A5329" w:rsidRPr="002029AF">
        <w:t xml:space="preserve"> </w:t>
      </w:r>
      <w:r w:rsidR="00CF72D5" w:rsidRPr="002029AF">
        <w:t>policies</w:t>
      </w:r>
      <w:r w:rsidR="000A5329" w:rsidRPr="002029AF">
        <w:t xml:space="preserve"> </w:t>
      </w:r>
      <w:r w:rsidR="00A213F1" w:rsidRPr="002029AF">
        <w:t>that</w:t>
      </w:r>
      <w:r w:rsidR="000A5329" w:rsidRPr="002029AF">
        <w:t xml:space="preserve"> </w:t>
      </w:r>
      <w:r w:rsidR="00A213F1" w:rsidRPr="002029AF">
        <w:t>have</w:t>
      </w:r>
      <w:r w:rsidR="000A5329" w:rsidRPr="002029AF">
        <w:t xml:space="preserve"> </w:t>
      </w:r>
      <w:r w:rsidR="00CF72D5" w:rsidRPr="002029AF">
        <w:t>an</w:t>
      </w:r>
      <w:r w:rsidR="000A5329" w:rsidRPr="002029AF">
        <w:t xml:space="preserve"> </w:t>
      </w:r>
      <w:r w:rsidR="00CF72D5" w:rsidRPr="002029AF">
        <w:t>Aboriginal</w:t>
      </w:r>
      <w:r w:rsidR="000A5329" w:rsidRPr="002029AF">
        <w:t xml:space="preserve"> </w:t>
      </w:r>
      <w:r w:rsidR="00CF72D5" w:rsidRPr="002029AF">
        <w:t>focus</w:t>
      </w:r>
      <w:r w:rsidR="000A5329" w:rsidRPr="002029AF">
        <w:t xml:space="preserve"> </w:t>
      </w:r>
      <w:r w:rsidR="00A213F1" w:rsidRPr="002029AF">
        <w:t>work</w:t>
      </w:r>
      <w:r w:rsidR="000A5329" w:rsidRPr="002029AF">
        <w:t xml:space="preserve"> </w:t>
      </w:r>
      <w:r w:rsidR="00A213F1" w:rsidRPr="002029AF">
        <w:t>to</w:t>
      </w:r>
      <w:r w:rsidR="000A5329" w:rsidRPr="002029AF">
        <w:t xml:space="preserve"> </w:t>
      </w:r>
      <w:r w:rsidR="00CF72D5" w:rsidRPr="002029AF">
        <w:t>improv</w:t>
      </w:r>
      <w:r w:rsidR="00A213F1" w:rsidRPr="002029AF">
        <w:t>e</w:t>
      </w:r>
      <w:r w:rsidR="000A5329" w:rsidRPr="002029AF">
        <w:t xml:space="preserve"> </w:t>
      </w:r>
      <w:r w:rsidR="00CF72D5" w:rsidRPr="002029AF">
        <w:t>outcomes</w:t>
      </w:r>
      <w:r w:rsidR="000A5329" w:rsidRPr="002029AF">
        <w:t xml:space="preserve"> </w:t>
      </w:r>
      <w:r w:rsidR="00CF72D5" w:rsidRPr="002029AF">
        <w:t>for</w:t>
      </w:r>
      <w:r w:rsidR="000A5329" w:rsidRPr="002029AF">
        <w:t xml:space="preserve"> </w:t>
      </w:r>
      <w:r w:rsidR="00CF72D5" w:rsidRPr="002029AF">
        <w:t>Aboriginal</w:t>
      </w:r>
      <w:r w:rsidR="000A5329" w:rsidRPr="002029AF">
        <w:t xml:space="preserve"> </w:t>
      </w:r>
      <w:r w:rsidR="00CF72D5" w:rsidRPr="002029AF">
        <w:t>people</w:t>
      </w:r>
      <w:r w:rsidR="000A5329" w:rsidRPr="002029AF">
        <w:t xml:space="preserve"> </w:t>
      </w:r>
      <w:r w:rsidR="00CF72D5" w:rsidRPr="002029AF">
        <w:t>through</w:t>
      </w:r>
      <w:r w:rsidR="000A5329" w:rsidRPr="002029AF">
        <w:t xml:space="preserve"> </w:t>
      </w:r>
      <w:r w:rsidR="00CF72D5" w:rsidRPr="002029AF">
        <w:t>self-determination.</w:t>
      </w:r>
    </w:p>
    <w:p w14:paraId="640F3FCA" w14:textId="4D64E348" w:rsidR="00A213F1" w:rsidRPr="002029AF" w:rsidRDefault="00B442E2" w:rsidP="00A213F1">
      <w:pPr>
        <w:pStyle w:val="Heading4"/>
      </w:pPr>
      <w:r w:rsidRPr="002029AF">
        <w:br w:type="column"/>
      </w:r>
      <w:r w:rsidR="00A213F1" w:rsidRPr="002029AF">
        <w:t>Capital</w:t>
      </w:r>
      <w:r w:rsidR="000A5329" w:rsidRPr="002029AF">
        <w:t xml:space="preserve"> </w:t>
      </w:r>
      <w:r w:rsidR="00A213F1" w:rsidRPr="002029AF">
        <w:t>Subcommittee</w:t>
      </w:r>
    </w:p>
    <w:p w14:paraId="5F421E27" w14:textId="589919B6" w:rsidR="000A5329" w:rsidRPr="002029AF" w:rsidRDefault="00A213F1" w:rsidP="00A213F1">
      <w:pPr>
        <w:pStyle w:val="ARbody"/>
      </w:pPr>
      <w:r w:rsidRPr="002029AF">
        <w:t>Capital</w:t>
      </w:r>
      <w:r w:rsidR="000A5329" w:rsidRPr="002029AF">
        <w:t xml:space="preserve"> </w:t>
      </w:r>
      <w:r w:rsidRPr="002029AF">
        <w:t>Subcommittee</w:t>
      </w:r>
      <w:r w:rsidR="000A5329" w:rsidRPr="002029AF">
        <w:t xml:space="preserve"> </w:t>
      </w:r>
      <w:r w:rsidRPr="002029AF">
        <w:t>is</w:t>
      </w:r>
      <w:r w:rsidR="000A5329" w:rsidRPr="002029AF">
        <w:t xml:space="preserve"> </w:t>
      </w:r>
      <w:r w:rsidRPr="002029AF">
        <w:t>responsible</w:t>
      </w:r>
      <w:r w:rsidR="000A5329" w:rsidRPr="002029AF">
        <w:t xml:space="preserve"> </w:t>
      </w:r>
      <w:r w:rsidRPr="002029AF">
        <w:t>for</w:t>
      </w:r>
      <w:r w:rsidR="000A5329" w:rsidRPr="002029AF">
        <w:t xml:space="preserve"> </w:t>
      </w:r>
      <w:r w:rsidRPr="002029AF">
        <w:t>ensuring</w:t>
      </w:r>
      <w:r w:rsidR="000A5329" w:rsidRPr="002029AF">
        <w:t xml:space="preserve"> </w:t>
      </w:r>
      <w:r w:rsidR="00B207A9" w:rsidRPr="002029AF">
        <w:t>the</w:t>
      </w:r>
      <w:r w:rsidR="000A5329" w:rsidRPr="002029AF">
        <w:t xml:space="preserve"> </w:t>
      </w:r>
      <w:r w:rsidR="00B207A9" w:rsidRPr="002029AF">
        <w:t>department’s</w:t>
      </w:r>
      <w:r w:rsidR="000A5329" w:rsidRPr="002029AF">
        <w:t xml:space="preserve"> </w:t>
      </w:r>
      <w:r w:rsidRPr="002029AF">
        <w:t>capital</w:t>
      </w:r>
      <w:r w:rsidR="000A5329" w:rsidRPr="002029AF">
        <w:t xml:space="preserve"> </w:t>
      </w:r>
      <w:r w:rsidRPr="002029AF">
        <w:t>priorities</w:t>
      </w:r>
      <w:r w:rsidR="000A5329" w:rsidRPr="002029AF">
        <w:t xml:space="preserve"> </w:t>
      </w:r>
      <w:r w:rsidRPr="002029AF">
        <w:t>and</w:t>
      </w:r>
      <w:r w:rsidR="000A5329" w:rsidRPr="002029AF">
        <w:t xml:space="preserve"> </w:t>
      </w:r>
      <w:r w:rsidRPr="002029AF">
        <w:t>proposals</w:t>
      </w:r>
      <w:r w:rsidR="000A5329" w:rsidRPr="002029AF">
        <w:t xml:space="preserve"> </w:t>
      </w:r>
      <w:r w:rsidRPr="002029AF">
        <w:t>of</w:t>
      </w:r>
      <w:r w:rsidR="00EF3FCC">
        <w:t> </w:t>
      </w:r>
      <w:r w:rsidRPr="002029AF">
        <w:t>the</w:t>
      </w:r>
      <w:r w:rsidR="000A5329" w:rsidRPr="002029AF">
        <w:t xml:space="preserve"> </w:t>
      </w:r>
      <w:r w:rsidRPr="002029AF">
        <w:t>department</w:t>
      </w:r>
      <w:r w:rsidR="000A5329" w:rsidRPr="002029AF">
        <w:t xml:space="preserve"> </w:t>
      </w:r>
      <w:r w:rsidRPr="002029AF">
        <w:t>align</w:t>
      </w:r>
      <w:r w:rsidR="000A5329" w:rsidRPr="002029AF">
        <w:t xml:space="preserve"> </w:t>
      </w:r>
      <w:r w:rsidRPr="002029AF">
        <w:t>with</w:t>
      </w:r>
      <w:r w:rsidR="000A5329" w:rsidRPr="002029AF">
        <w:t xml:space="preserve"> </w:t>
      </w:r>
      <w:r w:rsidRPr="002029AF">
        <w:t>service</w:t>
      </w:r>
      <w:r w:rsidR="000A5329" w:rsidRPr="002029AF">
        <w:t xml:space="preserve"> </w:t>
      </w:r>
      <w:r w:rsidRPr="002029AF">
        <w:t>demand</w:t>
      </w:r>
      <w:r w:rsidR="000A5329" w:rsidRPr="002029AF">
        <w:t xml:space="preserve"> </w:t>
      </w:r>
      <w:r w:rsidRPr="002029AF">
        <w:t>pressures</w:t>
      </w:r>
      <w:r w:rsidR="000A5329" w:rsidRPr="002029AF">
        <w:t xml:space="preserve"> </w:t>
      </w:r>
      <w:r w:rsidRPr="002029AF">
        <w:t>and</w:t>
      </w:r>
      <w:r w:rsidR="000A5329" w:rsidRPr="002029AF">
        <w:t xml:space="preserve"> </w:t>
      </w:r>
      <w:r w:rsidRPr="002029AF">
        <w:t>models</w:t>
      </w:r>
      <w:r w:rsidR="000A5329" w:rsidRPr="002029AF">
        <w:t xml:space="preserve"> </w:t>
      </w:r>
      <w:r w:rsidRPr="002029AF">
        <w:t>of</w:t>
      </w:r>
      <w:r w:rsidR="000A5329" w:rsidRPr="002029AF">
        <w:t xml:space="preserve"> </w:t>
      </w:r>
      <w:r w:rsidRPr="002029AF">
        <w:t>care,</w:t>
      </w:r>
      <w:r w:rsidR="000A5329" w:rsidRPr="002029AF">
        <w:t xml:space="preserve"> </w:t>
      </w:r>
      <w:r w:rsidRPr="002029AF">
        <w:t>overseeing</w:t>
      </w:r>
      <w:r w:rsidR="000A5329" w:rsidRPr="002029AF">
        <w:t xml:space="preserve"> </w:t>
      </w:r>
      <w:r w:rsidRPr="002029AF">
        <w:t>key</w:t>
      </w:r>
      <w:r w:rsidR="000A5329" w:rsidRPr="002029AF">
        <w:t xml:space="preserve"> </w:t>
      </w:r>
      <w:r w:rsidRPr="002029AF">
        <w:t>program</w:t>
      </w:r>
      <w:r w:rsidR="00B207A9" w:rsidRPr="002029AF">
        <w:t>-</w:t>
      </w:r>
      <w:r w:rsidRPr="002029AF">
        <w:t>wide</w:t>
      </w:r>
      <w:r w:rsidR="000A5329" w:rsidRPr="002029AF">
        <w:t xml:space="preserve"> </w:t>
      </w:r>
      <w:r w:rsidRPr="002029AF">
        <w:t>risks</w:t>
      </w:r>
      <w:r w:rsidR="000A5329" w:rsidRPr="002029AF">
        <w:t xml:space="preserve"> </w:t>
      </w:r>
      <w:r w:rsidRPr="002029AF">
        <w:t>and</w:t>
      </w:r>
      <w:r w:rsidR="000A5329" w:rsidRPr="002029AF">
        <w:t xml:space="preserve"> </w:t>
      </w:r>
      <w:r w:rsidRPr="002029AF">
        <w:t>opportunities</w:t>
      </w:r>
      <w:r w:rsidR="00B207A9" w:rsidRPr="002029AF">
        <w:t>;</w:t>
      </w:r>
      <w:r w:rsidR="000A5329" w:rsidRPr="002029AF">
        <w:t xml:space="preserve"> </w:t>
      </w:r>
      <w:r w:rsidRPr="002029AF">
        <w:t>and</w:t>
      </w:r>
      <w:r w:rsidR="000A5329" w:rsidRPr="002029AF">
        <w:t xml:space="preserve"> </w:t>
      </w:r>
      <w:r w:rsidRPr="002029AF">
        <w:t>ensuring</w:t>
      </w:r>
      <w:r w:rsidR="000A5329" w:rsidRPr="002029AF">
        <w:t xml:space="preserve"> </w:t>
      </w:r>
      <w:r w:rsidRPr="002029AF">
        <w:t>a</w:t>
      </w:r>
      <w:r w:rsidR="000A5329" w:rsidRPr="002029AF">
        <w:t xml:space="preserve"> </w:t>
      </w:r>
      <w:r w:rsidRPr="002029AF">
        <w:t>strategic</w:t>
      </w:r>
      <w:r w:rsidR="000A5329" w:rsidRPr="002029AF">
        <w:t xml:space="preserve"> </w:t>
      </w:r>
      <w:r w:rsidRPr="002029AF">
        <w:t>approach</w:t>
      </w:r>
      <w:r w:rsidR="000A5329" w:rsidRPr="002029AF">
        <w:t xml:space="preserve"> </w:t>
      </w:r>
      <w:r w:rsidRPr="002029AF">
        <w:t>to</w:t>
      </w:r>
      <w:r w:rsidR="000A5329" w:rsidRPr="002029AF">
        <w:t xml:space="preserve"> </w:t>
      </w:r>
      <w:r w:rsidRPr="002029AF">
        <w:t>use</w:t>
      </w:r>
      <w:r w:rsidR="00B207A9" w:rsidRPr="002029AF">
        <w:t>s</w:t>
      </w:r>
      <w:r w:rsidR="000A5329" w:rsidRPr="002029AF">
        <w:t xml:space="preserve"> </w:t>
      </w:r>
      <w:r w:rsidRPr="002029AF">
        <w:t>of</w:t>
      </w:r>
      <w:r w:rsidR="000A5329" w:rsidRPr="002029AF">
        <w:t xml:space="preserve"> </w:t>
      </w:r>
      <w:r w:rsidRPr="002029AF">
        <w:t>the</w:t>
      </w:r>
      <w:r w:rsidR="000A5329" w:rsidRPr="002029AF">
        <w:t xml:space="preserve"> </w:t>
      </w:r>
      <w:r w:rsidRPr="002029AF">
        <w:t>department</w:t>
      </w:r>
      <w:r w:rsidR="00B207A9" w:rsidRPr="002029AF">
        <w:t>’</w:t>
      </w:r>
      <w:r w:rsidRPr="002029AF">
        <w:t>s</w:t>
      </w:r>
      <w:r w:rsidR="000A5329" w:rsidRPr="002029AF">
        <w:t xml:space="preserve"> </w:t>
      </w:r>
      <w:r w:rsidRPr="002029AF">
        <w:t>land</w:t>
      </w:r>
      <w:r w:rsidR="000A5329" w:rsidRPr="002029AF">
        <w:t xml:space="preserve"> </w:t>
      </w:r>
      <w:r w:rsidRPr="002029AF">
        <w:t>base.</w:t>
      </w:r>
    </w:p>
    <w:p w14:paraId="76CDAABB" w14:textId="4488805F" w:rsidR="00CF72D5" w:rsidRPr="002029AF" w:rsidRDefault="00CF72D5" w:rsidP="00897193">
      <w:pPr>
        <w:pStyle w:val="Heading4"/>
      </w:pPr>
      <w:r w:rsidRPr="002029AF">
        <w:t>Data</w:t>
      </w:r>
      <w:r w:rsidR="000A5329" w:rsidRPr="002029AF">
        <w:t xml:space="preserve"> </w:t>
      </w:r>
      <w:r w:rsidRPr="002029AF">
        <w:t>Governance</w:t>
      </w:r>
      <w:r w:rsidR="000A5329" w:rsidRPr="002029AF">
        <w:t xml:space="preserve"> </w:t>
      </w:r>
      <w:r w:rsidRPr="002029AF">
        <w:t>and</w:t>
      </w:r>
      <w:r w:rsidR="000A5329" w:rsidRPr="002029AF">
        <w:t xml:space="preserve"> </w:t>
      </w:r>
      <w:r w:rsidRPr="002029AF">
        <w:t>Information</w:t>
      </w:r>
      <w:r w:rsidR="000A5329" w:rsidRPr="002029AF">
        <w:t xml:space="preserve"> </w:t>
      </w:r>
      <w:r w:rsidRPr="002029AF">
        <w:t>Technology</w:t>
      </w:r>
      <w:r w:rsidR="000A5329" w:rsidRPr="002029AF">
        <w:t xml:space="preserve"> </w:t>
      </w:r>
      <w:r w:rsidRPr="002029AF">
        <w:t>Subcommittee</w:t>
      </w:r>
    </w:p>
    <w:p w14:paraId="0401F6A8" w14:textId="72760632" w:rsidR="00CF72D5" w:rsidRPr="002029AF" w:rsidRDefault="00CF72D5" w:rsidP="00897193">
      <w:pPr>
        <w:pStyle w:val="ARbody"/>
      </w:pPr>
      <w:r w:rsidRPr="002029AF">
        <w:t>The</w:t>
      </w:r>
      <w:r w:rsidR="000A5329" w:rsidRPr="002029AF">
        <w:t xml:space="preserve"> </w:t>
      </w:r>
      <w:r w:rsidRPr="002029AF">
        <w:t>Data</w:t>
      </w:r>
      <w:r w:rsidR="000A5329" w:rsidRPr="002029AF">
        <w:t xml:space="preserve"> </w:t>
      </w:r>
      <w:r w:rsidRPr="002029AF">
        <w:t>Governance</w:t>
      </w:r>
      <w:r w:rsidR="000A5329" w:rsidRPr="002029AF">
        <w:t xml:space="preserve"> </w:t>
      </w:r>
      <w:r w:rsidRPr="002029AF">
        <w:t>and</w:t>
      </w:r>
      <w:r w:rsidR="000A5329" w:rsidRPr="002029AF">
        <w:t xml:space="preserve"> </w:t>
      </w:r>
      <w:r w:rsidRPr="002029AF">
        <w:t>Information</w:t>
      </w:r>
      <w:r w:rsidR="000A5329" w:rsidRPr="002029AF">
        <w:t xml:space="preserve"> </w:t>
      </w:r>
      <w:r w:rsidRPr="002029AF">
        <w:t>Technology</w:t>
      </w:r>
      <w:r w:rsidR="00EF3FCC">
        <w:t> </w:t>
      </w:r>
      <w:r w:rsidR="00ED3BCA" w:rsidRPr="002029AF">
        <w:t>S</w:t>
      </w:r>
      <w:r w:rsidRPr="002029AF">
        <w:t>ubcommittee</w:t>
      </w:r>
      <w:r w:rsidR="000A5329" w:rsidRPr="002029AF">
        <w:t xml:space="preserve"> </w:t>
      </w:r>
      <w:r w:rsidRPr="002029AF">
        <w:t>provides</w:t>
      </w:r>
      <w:r w:rsidR="000A5329" w:rsidRPr="002029AF">
        <w:t xml:space="preserve"> </w:t>
      </w:r>
      <w:r w:rsidRPr="002029AF">
        <w:t>governance</w:t>
      </w:r>
      <w:r w:rsidR="000A5329" w:rsidRPr="002029AF">
        <w:t xml:space="preserve"> </w:t>
      </w:r>
      <w:r w:rsidRPr="002029AF">
        <w:t>and</w:t>
      </w:r>
      <w:r w:rsidR="000A5329" w:rsidRPr="002029AF">
        <w:t xml:space="preserve"> </w:t>
      </w:r>
      <w:r w:rsidRPr="002029AF">
        <w:t>stewardship</w:t>
      </w:r>
      <w:r w:rsidR="000A5329" w:rsidRPr="002029AF">
        <w:t xml:space="preserve"> </w:t>
      </w:r>
      <w:r w:rsidRPr="002029AF">
        <w:t>of</w:t>
      </w:r>
      <w:r w:rsidR="000A5329" w:rsidRPr="002029AF">
        <w:t xml:space="preserve"> </w:t>
      </w:r>
      <w:r w:rsidRPr="002029AF">
        <w:t>business</w:t>
      </w:r>
      <w:r w:rsidR="000A5329" w:rsidRPr="002029AF">
        <w:t xml:space="preserve"> </w:t>
      </w:r>
      <w:r w:rsidRPr="002029AF">
        <w:t>technology</w:t>
      </w:r>
      <w:r w:rsidR="000A5329" w:rsidRPr="002029AF">
        <w:t xml:space="preserve"> </w:t>
      </w:r>
      <w:r w:rsidRPr="002029AF">
        <w:t>and</w:t>
      </w:r>
      <w:r w:rsidR="000A5329" w:rsidRPr="002029AF">
        <w:t xml:space="preserve"> </w:t>
      </w:r>
      <w:r w:rsidRPr="002029AF">
        <w:t>information</w:t>
      </w:r>
      <w:r w:rsidR="000A5329" w:rsidRPr="002029AF">
        <w:t xml:space="preserve"> </w:t>
      </w:r>
      <w:r w:rsidR="000343EC" w:rsidRPr="002029AF">
        <w:t>management</w:t>
      </w:r>
      <w:r w:rsidR="000A5329" w:rsidRPr="002029AF">
        <w:t xml:space="preserve"> </w:t>
      </w:r>
      <w:r w:rsidR="000343EC" w:rsidRPr="002029AF">
        <w:t>members</w:t>
      </w:r>
      <w:r w:rsidR="000A5329" w:rsidRPr="002029AF">
        <w:rPr>
          <w:rFonts w:eastAsia="Arial"/>
        </w:rPr>
        <w:t xml:space="preserve"> </w:t>
      </w:r>
      <w:r w:rsidRPr="002029AF">
        <w:rPr>
          <w:rFonts w:eastAsia="Arial"/>
        </w:rPr>
        <w:t>from</w:t>
      </w:r>
      <w:r w:rsidR="000A5329" w:rsidRPr="002029AF">
        <w:rPr>
          <w:rFonts w:eastAsia="Arial"/>
        </w:rPr>
        <w:t xml:space="preserve"> </w:t>
      </w:r>
      <w:r w:rsidRPr="002029AF">
        <w:rPr>
          <w:rFonts w:eastAsia="Arial"/>
        </w:rPr>
        <w:t>across</w:t>
      </w:r>
      <w:r w:rsidR="000A5329" w:rsidRPr="002029AF">
        <w:rPr>
          <w:rFonts w:eastAsia="Arial"/>
        </w:rPr>
        <w:t xml:space="preserve"> </w:t>
      </w:r>
      <w:r w:rsidRPr="002029AF">
        <w:rPr>
          <w:rFonts w:eastAsia="Arial"/>
        </w:rPr>
        <w:t>the</w:t>
      </w:r>
      <w:r w:rsidR="00EF3FCC">
        <w:rPr>
          <w:rFonts w:eastAsia="Arial"/>
        </w:rPr>
        <w:t> </w:t>
      </w:r>
      <w:r w:rsidRPr="002029AF">
        <w:rPr>
          <w:rFonts w:eastAsia="Arial"/>
        </w:rPr>
        <w:t>divisions</w:t>
      </w:r>
      <w:r w:rsidR="000A5329" w:rsidRPr="002029AF">
        <w:rPr>
          <w:rFonts w:eastAsia="Arial"/>
        </w:rPr>
        <w:t xml:space="preserve"> </w:t>
      </w:r>
      <w:r w:rsidRPr="002029AF">
        <w:rPr>
          <w:rFonts w:eastAsia="Arial"/>
        </w:rPr>
        <w:t>and</w:t>
      </w:r>
      <w:r w:rsidR="000A5329" w:rsidRPr="002029AF">
        <w:rPr>
          <w:rFonts w:eastAsia="Arial"/>
        </w:rPr>
        <w:t xml:space="preserve"> </w:t>
      </w:r>
      <w:r w:rsidRPr="002029AF">
        <w:rPr>
          <w:rFonts w:eastAsia="Arial"/>
        </w:rPr>
        <w:t>an</w:t>
      </w:r>
      <w:r w:rsidR="000A5329" w:rsidRPr="002029AF">
        <w:rPr>
          <w:rFonts w:eastAsia="Arial"/>
        </w:rPr>
        <w:t xml:space="preserve"> </w:t>
      </w:r>
      <w:r w:rsidRPr="002029AF">
        <w:rPr>
          <w:rFonts w:eastAsia="Arial"/>
        </w:rPr>
        <w:t>observer.</w:t>
      </w:r>
    </w:p>
    <w:p w14:paraId="2BF6B77A" w14:textId="46B139BB" w:rsidR="00CF72D5" w:rsidRPr="002029AF" w:rsidRDefault="00CF72D5" w:rsidP="00233C48">
      <w:pPr>
        <w:pStyle w:val="Heading4"/>
      </w:pPr>
      <w:r w:rsidRPr="002029AF">
        <w:t>Finance</w:t>
      </w:r>
      <w:r w:rsidR="000A5329" w:rsidRPr="002029AF">
        <w:t xml:space="preserve"> </w:t>
      </w:r>
      <w:r w:rsidRPr="002029AF">
        <w:t>and</w:t>
      </w:r>
      <w:r w:rsidR="000A5329" w:rsidRPr="002029AF">
        <w:t xml:space="preserve"> </w:t>
      </w:r>
      <w:r w:rsidRPr="002029AF">
        <w:t>Budget</w:t>
      </w:r>
      <w:r w:rsidR="000A5329" w:rsidRPr="002029AF">
        <w:t xml:space="preserve"> </w:t>
      </w:r>
      <w:r w:rsidRPr="002029AF">
        <w:t>Subcommittee</w:t>
      </w:r>
    </w:p>
    <w:p w14:paraId="045FF320" w14:textId="76429083" w:rsidR="00CF72D5" w:rsidRPr="002029AF" w:rsidRDefault="00EC3823" w:rsidP="00897193">
      <w:pPr>
        <w:pStyle w:val="ARbody"/>
      </w:pPr>
      <w:r w:rsidRPr="002029AF">
        <w:t>P</w:t>
      </w:r>
      <w:r w:rsidR="00CF72D5" w:rsidRPr="002029AF">
        <w:t>rovide</w:t>
      </w:r>
      <w:r w:rsidR="0070490B" w:rsidRPr="002029AF">
        <w:t>s</w:t>
      </w:r>
      <w:r w:rsidR="000A5329" w:rsidRPr="002029AF">
        <w:t xml:space="preserve"> </w:t>
      </w:r>
      <w:r w:rsidR="00CF72D5" w:rsidRPr="002029AF">
        <w:t>stewardship</w:t>
      </w:r>
      <w:r w:rsidR="000A5329" w:rsidRPr="002029AF">
        <w:t xml:space="preserve"> </w:t>
      </w:r>
      <w:r w:rsidR="00CF72D5" w:rsidRPr="002029AF">
        <w:t>of</w:t>
      </w:r>
      <w:r w:rsidR="000A5329" w:rsidRPr="002029AF">
        <w:t xml:space="preserve"> </w:t>
      </w:r>
      <w:r w:rsidR="00CF72D5" w:rsidRPr="002029AF">
        <w:t>the</w:t>
      </w:r>
      <w:r w:rsidR="000A5329" w:rsidRPr="002029AF">
        <w:t xml:space="preserve"> </w:t>
      </w:r>
      <w:r w:rsidR="00CF72D5" w:rsidRPr="002029AF">
        <w:t>department’s</w:t>
      </w:r>
      <w:r w:rsidR="000A5329" w:rsidRPr="002029AF">
        <w:t xml:space="preserve"> </w:t>
      </w:r>
      <w:r w:rsidR="00CF72D5" w:rsidRPr="002029AF">
        <w:t>finance</w:t>
      </w:r>
      <w:r w:rsidR="000A5329" w:rsidRPr="002029AF">
        <w:t xml:space="preserve"> </w:t>
      </w:r>
      <w:r w:rsidR="00CF72D5" w:rsidRPr="002029AF">
        <w:t>and</w:t>
      </w:r>
      <w:r w:rsidR="000A5329" w:rsidRPr="002029AF">
        <w:t xml:space="preserve"> </w:t>
      </w:r>
      <w:r w:rsidR="00CF72D5" w:rsidRPr="002029AF">
        <w:t>budget</w:t>
      </w:r>
      <w:r w:rsidR="00D95DFA" w:rsidRPr="002029AF">
        <w:t>-</w:t>
      </w:r>
      <w:r w:rsidR="00CF72D5" w:rsidRPr="002029AF">
        <w:t>related</w:t>
      </w:r>
      <w:r w:rsidR="000A5329" w:rsidRPr="002029AF">
        <w:t xml:space="preserve"> </w:t>
      </w:r>
      <w:r w:rsidR="00CF72D5" w:rsidRPr="002029AF">
        <w:t>matters,</w:t>
      </w:r>
      <w:r w:rsidR="000A5329" w:rsidRPr="002029AF">
        <w:t xml:space="preserve"> </w:t>
      </w:r>
      <w:r w:rsidR="00CF72D5" w:rsidRPr="002029AF">
        <w:t>including</w:t>
      </w:r>
      <w:r w:rsidR="000A5329" w:rsidRPr="002029AF">
        <w:t xml:space="preserve"> </w:t>
      </w:r>
      <w:r w:rsidR="00CF72D5" w:rsidRPr="002029AF">
        <w:t>oversight</w:t>
      </w:r>
      <w:r w:rsidR="000A5329" w:rsidRPr="002029AF">
        <w:t xml:space="preserve"> </w:t>
      </w:r>
      <w:r w:rsidR="00CF72D5" w:rsidRPr="002029AF">
        <w:t>and</w:t>
      </w:r>
      <w:r w:rsidR="00EF3FCC">
        <w:t> </w:t>
      </w:r>
      <w:r w:rsidR="00CF72D5" w:rsidRPr="002029AF">
        <w:t>advice</w:t>
      </w:r>
      <w:r w:rsidR="000A5329" w:rsidRPr="002029AF">
        <w:t xml:space="preserve"> </w:t>
      </w:r>
      <w:r w:rsidR="00CF72D5" w:rsidRPr="002029AF">
        <w:t>on</w:t>
      </w:r>
      <w:r w:rsidR="000A5329" w:rsidRPr="002029AF">
        <w:t xml:space="preserve"> </w:t>
      </w:r>
      <w:r w:rsidR="00CF72D5" w:rsidRPr="002029AF">
        <w:t>the</w:t>
      </w:r>
      <w:r w:rsidR="000A5329" w:rsidRPr="002029AF">
        <w:t xml:space="preserve"> </w:t>
      </w:r>
      <w:r w:rsidR="00CF72D5" w:rsidRPr="002029AF">
        <w:t>strategic</w:t>
      </w:r>
      <w:r w:rsidR="000A5329" w:rsidRPr="002029AF">
        <w:t xml:space="preserve"> </w:t>
      </w:r>
      <w:r w:rsidR="00CF72D5" w:rsidRPr="002029AF">
        <w:t>development</w:t>
      </w:r>
      <w:r w:rsidR="000A5329" w:rsidRPr="002029AF">
        <w:t xml:space="preserve"> </w:t>
      </w:r>
      <w:r w:rsidR="00CF72D5" w:rsidRPr="002029AF">
        <w:t>and</w:t>
      </w:r>
      <w:r w:rsidR="000A5329" w:rsidRPr="002029AF">
        <w:t xml:space="preserve"> </w:t>
      </w:r>
      <w:r w:rsidR="00CF72D5" w:rsidRPr="002029AF">
        <w:t>coordination</w:t>
      </w:r>
      <w:r w:rsidR="000A5329" w:rsidRPr="002029AF">
        <w:t xml:space="preserve"> </w:t>
      </w:r>
      <w:r w:rsidR="00CF72D5" w:rsidRPr="002029AF">
        <w:t>of</w:t>
      </w:r>
      <w:r w:rsidR="000A5329" w:rsidRPr="002029AF">
        <w:t xml:space="preserve"> </w:t>
      </w:r>
      <w:r w:rsidR="00CF72D5" w:rsidRPr="002029AF">
        <w:t>departmental</w:t>
      </w:r>
      <w:r w:rsidR="000A5329" w:rsidRPr="002029AF">
        <w:t xml:space="preserve"> </w:t>
      </w:r>
      <w:r w:rsidR="00CF72D5" w:rsidRPr="002029AF">
        <w:t>finance</w:t>
      </w:r>
      <w:r w:rsidR="000A5329" w:rsidRPr="002029AF">
        <w:t xml:space="preserve"> </w:t>
      </w:r>
      <w:r w:rsidR="00CF72D5" w:rsidRPr="002029AF">
        <w:t>and</w:t>
      </w:r>
      <w:r w:rsidR="000A5329" w:rsidRPr="002029AF">
        <w:t xml:space="preserve"> </w:t>
      </w:r>
      <w:r w:rsidR="00CF72D5" w:rsidRPr="002029AF">
        <w:t>budget</w:t>
      </w:r>
      <w:r w:rsidR="000A5329" w:rsidRPr="002029AF">
        <w:t xml:space="preserve"> </w:t>
      </w:r>
      <w:r w:rsidR="00CF72D5" w:rsidRPr="002029AF">
        <w:t>policy.</w:t>
      </w:r>
    </w:p>
    <w:p w14:paraId="2ADC1099" w14:textId="54A4A080" w:rsidR="0070490B" w:rsidRPr="002029AF" w:rsidRDefault="0070490B" w:rsidP="00233C48">
      <w:pPr>
        <w:pStyle w:val="Heading4"/>
        <w:rPr>
          <w:rStyle w:val="Heading4Char"/>
          <w:b/>
          <w:bCs/>
        </w:rPr>
      </w:pPr>
      <w:r w:rsidRPr="002029AF">
        <w:rPr>
          <w:rStyle w:val="Heading4Char"/>
          <w:b/>
          <w:bCs/>
        </w:rPr>
        <w:t>Health</w:t>
      </w:r>
      <w:r w:rsidR="000A5329" w:rsidRPr="002029AF">
        <w:rPr>
          <w:rStyle w:val="Heading4Char"/>
          <w:b/>
          <w:bCs/>
        </w:rPr>
        <w:t xml:space="preserve"> </w:t>
      </w:r>
      <w:r w:rsidRPr="002029AF">
        <w:rPr>
          <w:rStyle w:val="Heading4Char"/>
          <w:b/>
          <w:bCs/>
        </w:rPr>
        <w:t>Reform</w:t>
      </w:r>
      <w:r w:rsidR="000A5329" w:rsidRPr="002029AF">
        <w:rPr>
          <w:rStyle w:val="Heading4Char"/>
          <w:b/>
          <w:bCs/>
        </w:rPr>
        <w:t xml:space="preserve"> </w:t>
      </w:r>
      <w:r w:rsidRPr="002029AF">
        <w:rPr>
          <w:rStyle w:val="Heading4Char"/>
          <w:b/>
          <w:bCs/>
        </w:rPr>
        <w:t>Subcommittee</w:t>
      </w:r>
    </w:p>
    <w:p w14:paraId="35504B05" w14:textId="7BD30726" w:rsidR="000A5329" w:rsidRPr="002029AF" w:rsidRDefault="00EC3823" w:rsidP="00897193">
      <w:pPr>
        <w:pStyle w:val="ARbody"/>
      </w:pPr>
      <w:r w:rsidRPr="002029AF">
        <w:t>P</w:t>
      </w:r>
      <w:r w:rsidR="0070490B" w:rsidRPr="002029AF">
        <w:t>rovides</w:t>
      </w:r>
      <w:r w:rsidR="000A5329" w:rsidRPr="002029AF">
        <w:t xml:space="preserve"> </w:t>
      </w:r>
      <w:r w:rsidR="0070490B" w:rsidRPr="002029AF">
        <w:t>oversight</w:t>
      </w:r>
      <w:r w:rsidR="000A5329" w:rsidRPr="002029AF">
        <w:t xml:space="preserve"> </w:t>
      </w:r>
      <w:r w:rsidR="0070490B" w:rsidRPr="002029AF">
        <w:t>and</w:t>
      </w:r>
      <w:r w:rsidR="000A5329" w:rsidRPr="002029AF">
        <w:t xml:space="preserve"> </w:t>
      </w:r>
      <w:r w:rsidR="0070490B" w:rsidRPr="002029AF">
        <w:t>strategic</w:t>
      </w:r>
      <w:r w:rsidR="000A5329" w:rsidRPr="002029AF">
        <w:t xml:space="preserve"> </w:t>
      </w:r>
      <w:r w:rsidR="0070490B" w:rsidRPr="002029AF">
        <w:t>direction</w:t>
      </w:r>
      <w:r w:rsidR="000A5329" w:rsidRPr="002029AF">
        <w:t xml:space="preserve"> </w:t>
      </w:r>
      <w:r w:rsidR="0070490B" w:rsidRPr="002029AF">
        <w:t>regarding</w:t>
      </w:r>
      <w:r w:rsidR="00EF3FCC">
        <w:t> </w:t>
      </w:r>
      <w:r w:rsidR="0070490B" w:rsidRPr="002029AF">
        <w:t>reform</w:t>
      </w:r>
      <w:r w:rsidR="000A5329" w:rsidRPr="002029AF">
        <w:t xml:space="preserve"> </w:t>
      </w:r>
      <w:r w:rsidR="0070490B" w:rsidRPr="002029AF">
        <w:t>of</w:t>
      </w:r>
      <w:r w:rsidR="000A5329" w:rsidRPr="002029AF">
        <w:t xml:space="preserve"> </w:t>
      </w:r>
      <w:r w:rsidR="0070490B" w:rsidRPr="002029AF">
        <w:t>the</w:t>
      </w:r>
      <w:r w:rsidR="000A5329" w:rsidRPr="002029AF">
        <w:t xml:space="preserve"> </w:t>
      </w:r>
      <w:r w:rsidR="0070490B" w:rsidRPr="002029AF">
        <w:t>health</w:t>
      </w:r>
      <w:r w:rsidR="000A5329" w:rsidRPr="002029AF">
        <w:t xml:space="preserve"> </w:t>
      </w:r>
      <w:r w:rsidR="0070490B" w:rsidRPr="002029AF">
        <w:t>system.</w:t>
      </w:r>
    </w:p>
    <w:p w14:paraId="0D0D48AD" w14:textId="6C216F4F" w:rsidR="00CB27AD" w:rsidRPr="002029AF" w:rsidRDefault="00CB27AD" w:rsidP="00233C48">
      <w:pPr>
        <w:pStyle w:val="Heading4"/>
      </w:pPr>
      <w:r w:rsidRPr="002029AF">
        <w:t>Integrated</w:t>
      </w:r>
      <w:r w:rsidR="000A5329" w:rsidRPr="002029AF">
        <w:t xml:space="preserve"> </w:t>
      </w:r>
      <w:r w:rsidRPr="002029AF">
        <w:t>Community</w:t>
      </w:r>
      <w:r w:rsidR="000A5329" w:rsidRPr="002029AF">
        <w:t xml:space="preserve"> </w:t>
      </w:r>
      <w:r w:rsidRPr="002029AF">
        <w:t>Services</w:t>
      </w:r>
      <w:r w:rsidR="000A5329" w:rsidRPr="002029AF">
        <w:t xml:space="preserve"> </w:t>
      </w:r>
      <w:r w:rsidRPr="002029AF">
        <w:t>Subcommittee</w:t>
      </w:r>
    </w:p>
    <w:p w14:paraId="5F74C489" w14:textId="4DEB006A" w:rsidR="00CB27AD" w:rsidRPr="002029AF" w:rsidRDefault="00EC3823" w:rsidP="00AF6EAD">
      <w:pPr>
        <w:pStyle w:val="ARbody"/>
      </w:pPr>
      <w:r w:rsidRPr="002029AF">
        <w:t>O</w:t>
      </w:r>
      <w:r w:rsidR="00CB27AD" w:rsidRPr="002029AF">
        <w:t>versee</w:t>
      </w:r>
      <w:r w:rsidR="000A5329" w:rsidRPr="002029AF">
        <w:t xml:space="preserve"> </w:t>
      </w:r>
      <w:r w:rsidR="00CB27AD" w:rsidRPr="002029AF">
        <w:t>and</w:t>
      </w:r>
      <w:r w:rsidR="000A5329" w:rsidRPr="002029AF">
        <w:t xml:space="preserve"> </w:t>
      </w:r>
      <w:r w:rsidR="00CB27AD" w:rsidRPr="002029AF">
        <w:t>provide</w:t>
      </w:r>
      <w:r w:rsidR="000A5329" w:rsidRPr="002029AF">
        <w:t xml:space="preserve"> </w:t>
      </w:r>
      <w:r w:rsidR="00CB27AD" w:rsidRPr="002029AF">
        <w:t>strategic</w:t>
      </w:r>
      <w:r w:rsidR="000A5329" w:rsidRPr="002029AF">
        <w:t xml:space="preserve"> </w:t>
      </w:r>
      <w:r w:rsidR="00CB27AD" w:rsidRPr="002029AF">
        <w:t>direction</w:t>
      </w:r>
      <w:r w:rsidR="000A5329" w:rsidRPr="002029AF">
        <w:t xml:space="preserve"> </w:t>
      </w:r>
      <w:r w:rsidR="00CB27AD" w:rsidRPr="002029AF">
        <w:t>regarding</w:t>
      </w:r>
      <w:r w:rsidR="000A5329" w:rsidRPr="002029AF">
        <w:t xml:space="preserve"> </w:t>
      </w:r>
      <w:r w:rsidR="00CB27AD" w:rsidRPr="002029AF">
        <w:t>integration</w:t>
      </w:r>
      <w:r w:rsidR="000A5329" w:rsidRPr="002029AF">
        <w:t xml:space="preserve"> </w:t>
      </w:r>
      <w:r w:rsidR="00CB27AD" w:rsidRPr="002029AF">
        <w:t>and</w:t>
      </w:r>
      <w:r w:rsidR="000A5329" w:rsidRPr="002029AF">
        <w:t xml:space="preserve"> </w:t>
      </w:r>
      <w:r w:rsidR="00CB27AD" w:rsidRPr="002029AF">
        <w:t>reform</w:t>
      </w:r>
      <w:r w:rsidR="000A5329" w:rsidRPr="002029AF">
        <w:t xml:space="preserve"> </w:t>
      </w:r>
      <w:r w:rsidR="00CB27AD" w:rsidRPr="002029AF">
        <w:t>of</w:t>
      </w:r>
      <w:r w:rsidR="000A5329" w:rsidRPr="002029AF">
        <w:t xml:space="preserve"> </w:t>
      </w:r>
      <w:r w:rsidR="00CB27AD" w:rsidRPr="002029AF">
        <w:t>the</w:t>
      </w:r>
      <w:r w:rsidR="000A5329" w:rsidRPr="002029AF">
        <w:t xml:space="preserve"> </w:t>
      </w:r>
      <w:r w:rsidR="00CB27AD" w:rsidRPr="002029AF">
        <w:t>Victorian</w:t>
      </w:r>
      <w:r w:rsidR="000A5329" w:rsidRPr="002029AF">
        <w:t xml:space="preserve"> </w:t>
      </w:r>
      <w:r w:rsidR="00CB27AD" w:rsidRPr="002029AF">
        <w:t>community</w:t>
      </w:r>
      <w:r w:rsidR="000A5329" w:rsidRPr="002029AF">
        <w:t xml:space="preserve"> </w:t>
      </w:r>
      <w:r w:rsidR="00CB27AD" w:rsidRPr="002029AF">
        <w:t>services</w:t>
      </w:r>
      <w:r w:rsidR="000A5329" w:rsidRPr="002029AF">
        <w:t xml:space="preserve"> </w:t>
      </w:r>
      <w:r w:rsidR="00CB27AD" w:rsidRPr="002029AF">
        <w:t>system.</w:t>
      </w:r>
    </w:p>
    <w:p w14:paraId="6FFEC486" w14:textId="49610682" w:rsidR="00CF72D5" w:rsidRPr="002029AF" w:rsidRDefault="00CF72D5" w:rsidP="00233C48">
      <w:pPr>
        <w:pStyle w:val="Heading4"/>
      </w:pPr>
      <w:r w:rsidRPr="002029AF">
        <w:t>Investment</w:t>
      </w:r>
      <w:r w:rsidR="000A5329" w:rsidRPr="002029AF">
        <w:t xml:space="preserve"> </w:t>
      </w:r>
      <w:r w:rsidRPr="002029AF">
        <w:t>Subcommittee</w:t>
      </w:r>
      <w:r w:rsidR="000A5329" w:rsidRPr="002029AF">
        <w:rPr>
          <w:b w:val="0"/>
          <w:bCs w:val="0"/>
          <w:color w:val="auto"/>
          <w:sz w:val="20"/>
          <w:szCs w:val="20"/>
        </w:rPr>
        <w:t xml:space="preserve"> </w:t>
      </w:r>
      <w:r w:rsidRPr="002029AF">
        <w:rPr>
          <w:b w:val="0"/>
          <w:bCs w:val="0"/>
          <w:color w:val="auto"/>
          <w:sz w:val="20"/>
          <w:szCs w:val="20"/>
        </w:rPr>
        <w:t>–</w:t>
      </w:r>
      <w:r w:rsidR="000A5329" w:rsidRPr="002029AF">
        <w:rPr>
          <w:b w:val="0"/>
          <w:bCs w:val="0"/>
          <w:color w:val="auto"/>
          <w:sz w:val="20"/>
          <w:szCs w:val="20"/>
        </w:rPr>
        <w:t xml:space="preserve"> </w:t>
      </w:r>
      <w:r w:rsidRPr="002029AF">
        <w:rPr>
          <w:b w:val="0"/>
          <w:bCs w:val="0"/>
          <w:color w:val="auto"/>
          <w:sz w:val="20"/>
          <w:szCs w:val="20"/>
        </w:rPr>
        <w:t>new</w:t>
      </w:r>
      <w:r w:rsidR="000A5329" w:rsidRPr="002029AF">
        <w:rPr>
          <w:b w:val="0"/>
          <w:bCs w:val="0"/>
          <w:color w:val="auto"/>
          <w:sz w:val="20"/>
          <w:szCs w:val="20"/>
        </w:rPr>
        <w:t xml:space="preserve"> </w:t>
      </w:r>
      <w:r w:rsidRPr="002029AF">
        <w:rPr>
          <w:b w:val="0"/>
          <w:bCs w:val="0"/>
          <w:color w:val="auto"/>
          <w:sz w:val="20"/>
          <w:szCs w:val="20"/>
        </w:rPr>
        <w:t>in</w:t>
      </w:r>
      <w:r w:rsidR="000A5329" w:rsidRPr="002029AF">
        <w:rPr>
          <w:b w:val="0"/>
          <w:bCs w:val="0"/>
          <w:color w:val="auto"/>
          <w:sz w:val="20"/>
          <w:szCs w:val="20"/>
        </w:rPr>
        <w:t xml:space="preserve"> </w:t>
      </w:r>
      <w:r w:rsidRPr="002029AF">
        <w:rPr>
          <w:b w:val="0"/>
          <w:bCs w:val="0"/>
          <w:color w:val="auto"/>
          <w:sz w:val="20"/>
          <w:szCs w:val="20"/>
        </w:rPr>
        <w:t>2020</w:t>
      </w:r>
    </w:p>
    <w:p w14:paraId="098A557C" w14:textId="636EE4D5" w:rsidR="000A5329" w:rsidRPr="002029AF" w:rsidRDefault="00EC3823" w:rsidP="00897193">
      <w:pPr>
        <w:pStyle w:val="ARbody"/>
      </w:pPr>
      <w:r w:rsidRPr="002029AF">
        <w:t>E</w:t>
      </w:r>
      <w:r w:rsidR="009D7CD8" w:rsidRPr="002029AF">
        <w:t>stablished</w:t>
      </w:r>
      <w:r w:rsidR="000A5329" w:rsidRPr="002029AF">
        <w:t xml:space="preserve"> </w:t>
      </w:r>
      <w:r w:rsidR="009D7CD8" w:rsidRPr="002029AF">
        <w:t>in</w:t>
      </w:r>
      <w:r w:rsidR="000A5329" w:rsidRPr="002029AF">
        <w:t xml:space="preserve"> </w:t>
      </w:r>
      <w:r w:rsidR="009D7CD8" w:rsidRPr="002029AF">
        <w:t>2020</w:t>
      </w:r>
      <w:r w:rsidR="000A5329" w:rsidRPr="002029AF">
        <w:t xml:space="preserve"> </w:t>
      </w:r>
      <w:r w:rsidRPr="002029AF">
        <w:t>it</w:t>
      </w:r>
      <w:r w:rsidR="000A5329" w:rsidRPr="002029AF">
        <w:t xml:space="preserve"> </w:t>
      </w:r>
      <w:r w:rsidR="00CF72D5" w:rsidRPr="002029AF">
        <w:t>oversees</w:t>
      </w:r>
      <w:r w:rsidR="000A5329" w:rsidRPr="002029AF">
        <w:t xml:space="preserve"> </w:t>
      </w:r>
      <w:r w:rsidR="00CF72D5" w:rsidRPr="002029AF">
        <w:t>the</w:t>
      </w:r>
      <w:r w:rsidR="000A5329" w:rsidRPr="002029AF">
        <w:t xml:space="preserve"> </w:t>
      </w:r>
      <w:r w:rsidR="00CF72D5" w:rsidRPr="002029AF">
        <w:t>investment</w:t>
      </w:r>
      <w:r w:rsidR="000A5329" w:rsidRPr="002029AF">
        <w:t xml:space="preserve"> </w:t>
      </w:r>
      <w:r w:rsidR="00CF72D5" w:rsidRPr="002029AF">
        <w:t>case</w:t>
      </w:r>
      <w:r w:rsidR="000A5329" w:rsidRPr="002029AF">
        <w:t xml:space="preserve"> </w:t>
      </w:r>
      <w:r w:rsidR="00CF72D5" w:rsidRPr="002029AF">
        <w:t>development</w:t>
      </w:r>
      <w:r w:rsidR="000A5329" w:rsidRPr="002029AF">
        <w:t xml:space="preserve"> </w:t>
      </w:r>
      <w:r w:rsidR="00CF72D5" w:rsidRPr="002029AF">
        <w:t>phase</w:t>
      </w:r>
      <w:r w:rsidR="000A5329" w:rsidRPr="002029AF">
        <w:t xml:space="preserve"> </w:t>
      </w:r>
      <w:r w:rsidR="00CF72D5" w:rsidRPr="002029AF">
        <w:t>of</w:t>
      </w:r>
      <w:r w:rsidR="000A5329" w:rsidRPr="002029AF">
        <w:t xml:space="preserve"> </w:t>
      </w:r>
      <w:r w:rsidR="00CF72D5" w:rsidRPr="002029AF">
        <w:t>the</w:t>
      </w:r>
      <w:r w:rsidR="000A5329" w:rsidRPr="002029AF">
        <w:t xml:space="preserve"> </w:t>
      </w:r>
      <w:r w:rsidR="00CF72D5" w:rsidRPr="002029AF">
        <w:t>department’s</w:t>
      </w:r>
      <w:r w:rsidR="000A5329" w:rsidRPr="002029AF">
        <w:t xml:space="preserve"> </w:t>
      </w:r>
      <w:r w:rsidR="00CF72D5" w:rsidRPr="002029AF">
        <w:t>Planning,</w:t>
      </w:r>
      <w:r w:rsidR="000A5329" w:rsidRPr="002029AF">
        <w:t xml:space="preserve"> </w:t>
      </w:r>
      <w:r w:rsidR="00CF72D5" w:rsidRPr="002029AF">
        <w:t>Investment</w:t>
      </w:r>
      <w:r w:rsidR="000A5329" w:rsidRPr="002029AF">
        <w:t xml:space="preserve"> </w:t>
      </w:r>
      <w:r w:rsidR="00CF72D5" w:rsidRPr="002029AF">
        <w:t>and</w:t>
      </w:r>
      <w:r w:rsidR="000A5329" w:rsidRPr="002029AF">
        <w:t xml:space="preserve"> </w:t>
      </w:r>
      <w:r w:rsidR="00CF72D5" w:rsidRPr="002029AF">
        <w:t>Implementation</w:t>
      </w:r>
      <w:r w:rsidR="000A5329" w:rsidRPr="002029AF">
        <w:t xml:space="preserve"> </w:t>
      </w:r>
      <w:r w:rsidR="00CF72D5" w:rsidRPr="002029AF">
        <w:t>Cycle</w:t>
      </w:r>
      <w:r w:rsidR="000A5329" w:rsidRPr="002029AF">
        <w:t xml:space="preserve"> </w:t>
      </w:r>
      <w:r w:rsidR="009D7CD8" w:rsidRPr="002029AF">
        <w:t>it</w:t>
      </w:r>
      <w:r w:rsidR="000A5329" w:rsidRPr="002029AF">
        <w:t xml:space="preserve"> </w:t>
      </w:r>
      <w:r w:rsidR="00CF72D5" w:rsidRPr="002029AF">
        <w:t>provides</w:t>
      </w:r>
      <w:r w:rsidR="000A5329" w:rsidRPr="002029AF">
        <w:t xml:space="preserve"> </w:t>
      </w:r>
      <w:r w:rsidR="00CF72D5" w:rsidRPr="002029AF">
        <w:t>assurance</w:t>
      </w:r>
      <w:r w:rsidR="000A5329" w:rsidRPr="002029AF">
        <w:t xml:space="preserve"> </w:t>
      </w:r>
      <w:r w:rsidR="00CF72D5" w:rsidRPr="002029AF">
        <w:t>to</w:t>
      </w:r>
      <w:r w:rsidR="000A5329" w:rsidRPr="002029AF">
        <w:t xml:space="preserve"> </w:t>
      </w:r>
      <w:r w:rsidR="00CF72D5" w:rsidRPr="002029AF">
        <w:t>the</w:t>
      </w:r>
      <w:r w:rsidR="000A5329" w:rsidRPr="002029AF">
        <w:t xml:space="preserve"> </w:t>
      </w:r>
      <w:r w:rsidR="00CF72D5" w:rsidRPr="002029AF">
        <w:t>Executive</w:t>
      </w:r>
      <w:r w:rsidR="000A5329" w:rsidRPr="002029AF">
        <w:t xml:space="preserve"> </w:t>
      </w:r>
      <w:r w:rsidR="00CF72D5" w:rsidRPr="002029AF">
        <w:t>Board</w:t>
      </w:r>
      <w:r w:rsidR="000A5329" w:rsidRPr="002029AF">
        <w:t xml:space="preserve"> </w:t>
      </w:r>
      <w:r w:rsidR="00CF72D5" w:rsidRPr="002029AF">
        <w:t>that</w:t>
      </w:r>
      <w:r w:rsidR="000A5329" w:rsidRPr="002029AF">
        <w:t xml:space="preserve"> </w:t>
      </w:r>
      <w:r w:rsidR="00CF72D5" w:rsidRPr="002029AF">
        <w:t>investment</w:t>
      </w:r>
      <w:r w:rsidR="000A5329" w:rsidRPr="002029AF">
        <w:t xml:space="preserve"> </w:t>
      </w:r>
      <w:r w:rsidR="00CF72D5" w:rsidRPr="002029AF">
        <w:t>case</w:t>
      </w:r>
      <w:r w:rsidR="000A5329" w:rsidRPr="002029AF">
        <w:t xml:space="preserve"> </w:t>
      </w:r>
      <w:r w:rsidR="00CF72D5" w:rsidRPr="002029AF">
        <w:t>proposals</w:t>
      </w:r>
      <w:r w:rsidR="000A5329" w:rsidRPr="002029AF">
        <w:t xml:space="preserve"> </w:t>
      </w:r>
      <w:r w:rsidR="00CF72D5" w:rsidRPr="002029AF">
        <w:t>to</w:t>
      </w:r>
      <w:r w:rsidR="000A5329" w:rsidRPr="002029AF">
        <w:t xml:space="preserve"> </w:t>
      </w:r>
      <w:r w:rsidR="00CF72D5" w:rsidRPr="002029AF">
        <w:t>be</w:t>
      </w:r>
      <w:r w:rsidR="000A5329" w:rsidRPr="002029AF">
        <w:t xml:space="preserve"> </w:t>
      </w:r>
      <w:r w:rsidR="00CF72D5" w:rsidRPr="002029AF">
        <w:t>submitted</w:t>
      </w:r>
      <w:r w:rsidR="000A5329" w:rsidRPr="002029AF">
        <w:t xml:space="preserve"> </w:t>
      </w:r>
      <w:r w:rsidR="00CF72D5" w:rsidRPr="002029AF">
        <w:t>for</w:t>
      </w:r>
      <w:r w:rsidR="000A5329" w:rsidRPr="002029AF">
        <w:t xml:space="preserve"> </w:t>
      </w:r>
      <w:r w:rsidR="00CF72D5" w:rsidRPr="002029AF">
        <w:t>state</w:t>
      </w:r>
      <w:r w:rsidR="000A5329" w:rsidRPr="002029AF">
        <w:t xml:space="preserve"> </w:t>
      </w:r>
      <w:r w:rsidR="009D7CD8" w:rsidRPr="002029AF">
        <w:t>B</w:t>
      </w:r>
      <w:r w:rsidR="00CF72D5" w:rsidRPr="002029AF">
        <w:t>udget</w:t>
      </w:r>
      <w:r w:rsidR="000A5329" w:rsidRPr="002029AF">
        <w:t xml:space="preserve"> </w:t>
      </w:r>
      <w:r w:rsidR="00CF72D5" w:rsidRPr="002029AF">
        <w:t>funding</w:t>
      </w:r>
      <w:r w:rsidR="000A5329" w:rsidRPr="002029AF">
        <w:t xml:space="preserve"> </w:t>
      </w:r>
      <w:r w:rsidR="00CF72D5" w:rsidRPr="002029AF">
        <w:t>meet</w:t>
      </w:r>
      <w:r w:rsidR="000A5329" w:rsidRPr="002029AF">
        <w:t xml:space="preserve"> </w:t>
      </w:r>
      <w:r w:rsidR="00CF72D5" w:rsidRPr="002029AF">
        <w:t>the</w:t>
      </w:r>
      <w:r w:rsidR="000A5329" w:rsidRPr="002029AF">
        <w:t xml:space="preserve"> </w:t>
      </w:r>
      <w:r w:rsidR="00CF72D5" w:rsidRPr="002029AF">
        <w:t>department</w:t>
      </w:r>
      <w:r w:rsidR="008F26EB" w:rsidRPr="002029AF">
        <w:t>’s</w:t>
      </w:r>
      <w:r w:rsidR="000A5329" w:rsidRPr="002029AF">
        <w:t xml:space="preserve"> </w:t>
      </w:r>
      <w:r w:rsidR="008F26EB" w:rsidRPr="002029AF">
        <w:t>needs</w:t>
      </w:r>
      <w:r w:rsidR="000A5329" w:rsidRPr="002029AF">
        <w:t xml:space="preserve"> </w:t>
      </w:r>
      <w:r w:rsidR="00CF72D5" w:rsidRPr="002029AF">
        <w:t>and</w:t>
      </w:r>
      <w:r w:rsidR="000A5329" w:rsidRPr="002029AF">
        <w:t xml:space="preserve"> </w:t>
      </w:r>
      <w:r w:rsidR="00CF72D5" w:rsidRPr="002029AF">
        <w:t>the</w:t>
      </w:r>
      <w:r w:rsidR="000A5329" w:rsidRPr="002029AF">
        <w:t xml:space="preserve"> </w:t>
      </w:r>
      <w:r w:rsidR="008F26EB" w:rsidRPr="002029AF">
        <w:t>ministers’</w:t>
      </w:r>
      <w:r w:rsidR="000A5329" w:rsidRPr="002029AF">
        <w:t xml:space="preserve"> </w:t>
      </w:r>
      <w:r w:rsidR="00CF72D5" w:rsidRPr="002029AF">
        <w:t>expectations</w:t>
      </w:r>
      <w:r w:rsidR="008F26EB" w:rsidRPr="002029AF">
        <w:t>.</w:t>
      </w:r>
    </w:p>
    <w:p w14:paraId="411F06FD" w14:textId="6A5349B0" w:rsidR="006C0388" w:rsidRPr="002029AF" w:rsidRDefault="006442D5" w:rsidP="008A5BD1">
      <w:pPr>
        <w:pStyle w:val="Heading4"/>
      </w:pPr>
      <w:r w:rsidRPr="002029AF">
        <w:t>People</w:t>
      </w:r>
      <w:r w:rsidR="000A5329" w:rsidRPr="002029AF">
        <w:t xml:space="preserve"> </w:t>
      </w:r>
      <w:r w:rsidRPr="002029AF">
        <w:t>and</w:t>
      </w:r>
      <w:r w:rsidR="000A5329" w:rsidRPr="002029AF">
        <w:t xml:space="preserve"> </w:t>
      </w:r>
      <w:r w:rsidRPr="002029AF">
        <w:t>Culture</w:t>
      </w:r>
      <w:r w:rsidR="000A5329" w:rsidRPr="002029AF">
        <w:t xml:space="preserve"> </w:t>
      </w:r>
      <w:r w:rsidRPr="002029AF">
        <w:t>Subcommittee</w:t>
      </w:r>
    </w:p>
    <w:p w14:paraId="34AC763C" w14:textId="3B2E79B3" w:rsidR="006C0388" w:rsidRPr="002029AF" w:rsidRDefault="00EC3823" w:rsidP="008A5BD1">
      <w:pPr>
        <w:pStyle w:val="ARbody"/>
      </w:pPr>
      <w:r w:rsidRPr="002029AF">
        <w:t>P</w:t>
      </w:r>
      <w:r w:rsidR="0029232E" w:rsidRPr="002029AF">
        <w:t>rovides</w:t>
      </w:r>
      <w:r w:rsidR="000A5329" w:rsidRPr="002029AF">
        <w:t xml:space="preserve"> </w:t>
      </w:r>
      <w:r w:rsidR="0029232E" w:rsidRPr="002029AF">
        <w:t>advice,</w:t>
      </w:r>
      <w:r w:rsidR="000A5329" w:rsidRPr="002029AF">
        <w:t xml:space="preserve"> </w:t>
      </w:r>
      <w:r w:rsidR="0029232E" w:rsidRPr="002029AF">
        <w:t>options</w:t>
      </w:r>
      <w:r w:rsidR="000A5329" w:rsidRPr="002029AF">
        <w:t xml:space="preserve"> </w:t>
      </w:r>
      <w:r w:rsidR="0029232E" w:rsidRPr="002029AF">
        <w:t>and</w:t>
      </w:r>
      <w:r w:rsidR="000A5329" w:rsidRPr="002029AF">
        <w:t xml:space="preserve"> </w:t>
      </w:r>
      <w:r w:rsidR="0029232E" w:rsidRPr="002029AF">
        <w:t>recommendations</w:t>
      </w:r>
      <w:r w:rsidR="000A5329" w:rsidRPr="002029AF">
        <w:t xml:space="preserve"> </w:t>
      </w:r>
      <w:r w:rsidR="0029232E" w:rsidRPr="002029AF">
        <w:t>on</w:t>
      </w:r>
      <w:r w:rsidR="00EF3FCC">
        <w:t> </w:t>
      </w:r>
      <w:r w:rsidR="0029232E" w:rsidRPr="002029AF">
        <w:t>matters</w:t>
      </w:r>
      <w:r w:rsidR="000A5329" w:rsidRPr="002029AF">
        <w:t xml:space="preserve"> </w:t>
      </w:r>
      <w:r w:rsidR="0029232E" w:rsidRPr="002029AF">
        <w:t>related</w:t>
      </w:r>
      <w:r w:rsidR="000A5329" w:rsidRPr="002029AF">
        <w:t xml:space="preserve"> </w:t>
      </w:r>
      <w:r w:rsidR="0029232E" w:rsidRPr="002029AF">
        <w:t>to</w:t>
      </w:r>
      <w:r w:rsidR="000A5329" w:rsidRPr="002029AF">
        <w:t xml:space="preserve"> </w:t>
      </w:r>
      <w:r w:rsidR="0029232E" w:rsidRPr="002029AF">
        <w:t>people</w:t>
      </w:r>
      <w:r w:rsidR="000A5329" w:rsidRPr="002029AF">
        <w:t xml:space="preserve"> </w:t>
      </w:r>
      <w:r w:rsidR="0029232E" w:rsidRPr="002029AF">
        <w:t>and</w:t>
      </w:r>
      <w:r w:rsidR="000A5329" w:rsidRPr="002029AF">
        <w:t xml:space="preserve"> </w:t>
      </w:r>
      <w:r w:rsidR="0029232E" w:rsidRPr="002029AF">
        <w:t>culture.</w:t>
      </w:r>
    </w:p>
    <w:p w14:paraId="74F8095B" w14:textId="77777777" w:rsidR="005E1789" w:rsidRPr="005E1789" w:rsidRDefault="005E1789" w:rsidP="005E1789">
      <w:pPr>
        <w:pStyle w:val="ARbody"/>
      </w:pPr>
      <w:r w:rsidRPr="005E1789">
        <w:br w:type="page"/>
      </w:r>
    </w:p>
    <w:p w14:paraId="20BE99A9" w14:textId="1800E258" w:rsidR="00CF72D5" w:rsidRPr="002029AF" w:rsidRDefault="00CF72D5" w:rsidP="00233C48">
      <w:pPr>
        <w:pStyle w:val="Heading4"/>
      </w:pPr>
      <w:r w:rsidRPr="002029AF">
        <w:lastRenderedPageBreak/>
        <w:t>Performance</w:t>
      </w:r>
      <w:r w:rsidR="000A5329" w:rsidRPr="002029AF">
        <w:t xml:space="preserve"> </w:t>
      </w:r>
      <w:r w:rsidRPr="002029AF">
        <w:t>and</w:t>
      </w:r>
      <w:r w:rsidR="000A5329" w:rsidRPr="002029AF">
        <w:t xml:space="preserve"> </w:t>
      </w:r>
      <w:r w:rsidRPr="002029AF">
        <w:t>Reform</w:t>
      </w:r>
      <w:r w:rsidR="000A5329" w:rsidRPr="002029AF">
        <w:t xml:space="preserve"> </w:t>
      </w:r>
      <w:r w:rsidRPr="002029AF">
        <w:t>Oversight</w:t>
      </w:r>
      <w:r w:rsidR="000A5329" w:rsidRPr="002029AF">
        <w:t xml:space="preserve"> </w:t>
      </w:r>
      <w:r w:rsidRPr="002029AF">
        <w:t>Subcommittee</w:t>
      </w:r>
      <w:r w:rsidR="000A5329" w:rsidRPr="002029AF">
        <w:t xml:space="preserve"> </w:t>
      </w:r>
      <w:r w:rsidR="00285A6C" w:rsidRPr="002029AF">
        <w:rPr>
          <w:rFonts w:eastAsia="Times"/>
          <w:b w:val="0"/>
          <w:bCs w:val="0"/>
          <w:color w:val="auto"/>
          <w:sz w:val="20"/>
        </w:rPr>
        <w:t>–</w:t>
      </w:r>
      <w:r w:rsidR="000A5329" w:rsidRPr="002029AF">
        <w:rPr>
          <w:rFonts w:eastAsia="Times"/>
          <w:b w:val="0"/>
          <w:bCs w:val="0"/>
          <w:color w:val="auto"/>
          <w:sz w:val="20"/>
        </w:rPr>
        <w:t xml:space="preserve"> </w:t>
      </w:r>
      <w:r w:rsidR="00285A6C" w:rsidRPr="002029AF">
        <w:rPr>
          <w:rFonts w:eastAsia="Times"/>
          <w:b w:val="0"/>
          <w:bCs w:val="0"/>
          <w:color w:val="auto"/>
          <w:sz w:val="20"/>
        </w:rPr>
        <w:t>new</w:t>
      </w:r>
      <w:r w:rsidR="000A5329" w:rsidRPr="002029AF">
        <w:rPr>
          <w:rFonts w:eastAsia="Times"/>
          <w:b w:val="0"/>
          <w:bCs w:val="0"/>
          <w:color w:val="auto"/>
          <w:sz w:val="20"/>
        </w:rPr>
        <w:t xml:space="preserve"> </w:t>
      </w:r>
      <w:r w:rsidR="00285A6C" w:rsidRPr="002029AF">
        <w:rPr>
          <w:rFonts w:eastAsia="Times"/>
          <w:b w:val="0"/>
          <w:bCs w:val="0"/>
          <w:color w:val="auto"/>
          <w:sz w:val="20"/>
        </w:rPr>
        <w:t>in</w:t>
      </w:r>
      <w:r w:rsidR="000A5329" w:rsidRPr="002029AF">
        <w:rPr>
          <w:rFonts w:eastAsia="Times"/>
          <w:b w:val="0"/>
          <w:bCs w:val="0"/>
          <w:color w:val="auto"/>
          <w:sz w:val="20"/>
        </w:rPr>
        <w:t xml:space="preserve"> </w:t>
      </w:r>
      <w:r w:rsidR="00285A6C" w:rsidRPr="002029AF">
        <w:rPr>
          <w:rFonts w:eastAsia="Times"/>
          <w:b w:val="0"/>
          <w:bCs w:val="0"/>
          <w:color w:val="auto"/>
          <w:sz w:val="20"/>
        </w:rPr>
        <w:t>2020</w:t>
      </w:r>
    </w:p>
    <w:p w14:paraId="4B19B5B8" w14:textId="556ED4FB" w:rsidR="004D641D" w:rsidRPr="002029AF" w:rsidRDefault="00EC3823" w:rsidP="004D641D">
      <w:pPr>
        <w:pStyle w:val="ARbody"/>
      </w:pPr>
      <w:r w:rsidRPr="002029AF">
        <w:t>E</w:t>
      </w:r>
      <w:r w:rsidR="00C42454" w:rsidRPr="002029AF">
        <w:t>stablished</w:t>
      </w:r>
      <w:r w:rsidR="000A5329" w:rsidRPr="002029AF">
        <w:t xml:space="preserve"> </w:t>
      </w:r>
      <w:r w:rsidR="00C42454" w:rsidRPr="002029AF">
        <w:t>in</w:t>
      </w:r>
      <w:r w:rsidR="000A5329" w:rsidRPr="002029AF">
        <w:t xml:space="preserve"> </w:t>
      </w:r>
      <w:r w:rsidR="00C42454" w:rsidRPr="002029AF">
        <w:t>2020</w:t>
      </w:r>
      <w:r w:rsidR="000A5329" w:rsidRPr="002029AF">
        <w:t xml:space="preserve"> </w:t>
      </w:r>
      <w:r w:rsidRPr="002029AF">
        <w:t>it</w:t>
      </w:r>
      <w:r w:rsidR="000A5329" w:rsidRPr="002029AF">
        <w:t xml:space="preserve"> </w:t>
      </w:r>
      <w:r w:rsidR="00CF72D5" w:rsidRPr="002029AF">
        <w:t>oversees</w:t>
      </w:r>
      <w:r w:rsidR="000A5329" w:rsidRPr="002029AF">
        <w:t xml:space="preserve"> </w:t>
      </w:r>
      <w:r w:rsidR="00CF72D5" w:rsidRPr="002029AF">
        <w:t>the</w:t>
      </w:r>
      <w:r w:rsidR="000A5329" w:rsidRPr="002029AF">
        <w:t xml:space="preserve"> </w:t>
      </w:r>
      <w:r w:rsidR="00CF72D5" w:rsidRPr="002029AF">
        <w:t>implementation</w:t>
      </w:r>
      <w:r w:rsidR="000A5329" w:rsidRPr="002029AF">
        <w:t xml:space="preserve"> </w:t>
      </w:r>
      <w:r w:rsidR="00CF72D5" w:rsidRPr="002029AF">
        <w:t>of</w:t>
      </w:r>
      <w:r w:rsidR="000A5329" w:rsidRPr="002029AF">
        <w:t xml:space="preserve"> </w:t>
      </w:r>
      <w:r w:rsidR="00CF72D5" w:rsidRPr="002029AF">
        <w:t>major</w:t>
      </w:r>
      <w:r w:rsidR="000A5329" w:rsidRPr="002029AF">
        <w:t xml:space="preserve"> </w:t>
      </w:r>
      <w:r w:rsidR="00CF72D5" w:rsidRPr="002029AF">
        <w:t>reform</w:t>
      </w:r>
      <w:r w:rsidR="000A5329" w:rsidRPr="002029AF">
        <w:t xml:space="preserve"> </w:t>
      </w:r>
      <w:r w:rsidR="00CF72D5" w:rsidRPr="002029AF">
        <w:t>programs</w:t>
      </w:r>
      <w:r w:rsidR="000A5329" w:rsidRPr="002029AF">
        <w:t xml:space="preserve"> </w:t>
      </w:r>
      <w:r w:rsidR="00CF72D5" w:rsidRPr="002029AF">
        <w:t>and</w:t>
      </w:r>
      <w:r w:rsidR="000A5329" w:rsidRPr="002029AF">
        <w:t xml:space="preserve"> </w:t>
      </w:r>
      <w:r w:rsidR="00CF72D5" w:rsidRPr="002029AF">
        <w:t>the</w:t>
      </w:r>
      <w:r w:rsidR="000A5329" w:rsidRPr="002029AF">
        <w:t xml:space="preserve"> </w:t>
      </w:r>
      <w:r w:rsidR="00CF72D5" w:rsidRPr="002029AF">
        <w:t>performance</w:t>
      </w:r>
      <w:r w:rsidR="000A5329" w:rsidRPr="002029AF">
        <w:t xml:space="preserve"> </w:t>
      </w:r>
      <w:r w:rsidR="00CF72D5" w:rsidRPr="002029AF">
        <w:t>of</w:t>
      </w:r>
      <w:r w:rsidR="000A5329" w:rsidRPr="002029AF">
        <w:t xml:space="preserve"> </w:t>
      </w:r>
      <w:r w:rsidR="00CF72D5" w:rsidRPr="002029AF">
        <w:t>strategic</w:t>
      </w:r>
      <w:r w:rsidR="000A5329" w:rsidRPr="002029AF">
        <w:t xml:space="preserve"> </w:t>
      </w:r>
      <w:r w:rsidR="00CF72D5" w:rsidRPr="002029AF">
        <w:t>initiatives</w:t>
      </w:r>
      <w:r w:rsidR="000A5329" w:rsidRPr="002029AF">
        <w:t xml:space="preserve"> </w:t>
      </w:r>
      <w:r w:rsidR="00CF72D5" w:rsidRPr="002029AF">
        <w:t>that</w:t>
      </w:r>
      <w:r w:rsidR="000A5329" w:rsidRPr="002029AF">
        <w:t xml:space="preserve"> </w:t>
      </w:r>
      <w:r w:rsidR="00CF72D5" w:rsidRPr="002029AF">
        <w:t>contribute</w:t>
      </w:r>
      <w:r w:rsidR="000A5329" w:rsidRPr="002029AF">
        <w:t xml:space="preserve"> </w:t>
      </w:r>
      <w:r w:rsidR="00CF72D5" w:rsidRPr="002029AF">
        <w:t>directly</w:t>
      </w:r>
      <w:r w:rsidR="000A5329" w:rsidRPr="002029AF">
        <w:t xml:space="preserve"> </w:t>
      </w:r>
      <w:r w:rsidR="00CF72D5" w:rsidRPr="002029AF">
        <w:t>to</w:t>
      </w:r>
      <w:r w:rsidR="000A5329" w:rsidRPr="002029AF">
        <w:t xml:space="preserve"> </w:t>
      </w:r>
      <w:r w:rsidR="00CF72D5" w:rsidRPr="002029AF">
        <w:t>the</w:t>
      </w:r>
      <w:r w:rsidR="000A5329" w:rsidRPr="002029AF">
        <w:t xml:space="preserve"> </w:t>
      </w:r>
      <w:r w:rsidR="00CF72D5" w:rsidRPr="002029AF">
        <w:t>implementation</w:t>
      </w:r>
      <w:r w:rsidR="000A5329" w:rsidRPr="002029AF">
        <w:t xml:space="preserve"> </w:t>
      </w:r>
      <w:r w:rsidR="00CF72D5" w:rsidRPr="002029AF">
        <w:t>of</w:t>
      </w:r>
      <w:r w:rsidR="000A5329" w:rsidRPr="002029AF">
        <w:t xml:space="preserve"> </w:t>
      </w:r>
      <w:r w:rsidR="00CF72D5" w:rsidRPr="002029AF">
        <w:t>the</w:t>
      </w:r>
      <w:r w:rsidR="00233C48" w:rsidRPr="002029AF">
        <w:t> </w:t>
      </w:r>
      <w:r w:rsidR="00CF72D5" w:rsidRPr="002029AF">
        <w:t>department’s</w:t>
      </w:r>
      <w:r w:rsidR="000A5329" w:rsidRPr="002029AF">
        <w:t xml:space="preserve"> </w:t>
      </w:r>
      <w:r w:rsidR="00CF72D5" w:rsidRPr="002029AF">
        <w:t>Strategic</w:t>
      </w:r>
      <w:r w:rsidR="000A5329" w:rsidRPr="002029AF">
        <w:t xml:space="preserve"> </w:t>
      </w:r>
      <w:r w:rsidR="00CF72D5" w:rsidRPr="002029AF">
        <w:t>Plan.</w:t>
      </w:r>
      <w:r w:rsidR="000A5329" w:rsidRPr="002029AF">
        <w:t xml:space="preserve"> </w:t>
      </w:r>
      <w:r w:rsidR="00CF72D5" w:rsidRPr="002029AF">
        <w:t>It</w:t>
      </w:r>
      <w:r w:rsidR="000A5329" w:rsidRPr="002029AF">
        <w:t xml:space="preserve"> </w:t>
      </w:r>
      <w:r w:rsidR="00CF72D5" w:rsidRPr="002029AF">
        <w:t>is</w:t>
      </w:r>
      <w:r w:rsidR="000A5329" w:rsidRPr="002029AF">
        <w:t xml:space="preserve"> </w:t>
      </w:r>
      <w:r w:rsidR="00127E70" w:rsidRPr="002029AF">
        <w:t>also</w:t>
      </w:r>
      <w:r w:rsidR="000A5329" w:rsidRPr="002029AF">
        <w:t xml:space="preserve"> </w:t>
      </w:r>
      <w:r w:rsidR="00CF72D5" w:rsidRPr="002029AF">
        <w:t>responsible</w:t>
      </w:r>
      <w:r w:rsidR="000A5329" w:rsidRPr="002029AF">
        <w:t xml:space="preserve"> </w:t>
      </w:r>
      <w:r w:rsidR="00CF72D5" w:rsidRPr="002029AF">
        <w:t>for</w:t>
      </w:r>
      <w:r w:rsidR="000A5329" w:rsidRPr="002029AF">
        <w:t xml:space="preserve"> </w:t>
      </w:r>
      <w:r w:rsidR="0035314A" w:rsidRPr="002029AF">
        <w:t>improving</w:t>
      </w:r>
      <w:r w:rsidR="000A5329" w:rsidRPr="002029AF">
        <w:t xml:space="preserve"> </w:t>
      </w:r>
      <w:r w:rsidR="0035314A" w:rsidRPr="002029AF">
        <w:t>practice</w:t>
      </w:r>
      <w:r w:rsidR="000A5329" w:rsidRPr="002029AF">
        <w:t xml:space="preserve"> </w:t>
      </w:r>
      <w:r w:rsidR="0035314A" w:rsidRPr="002029AF">
        <w:t>in</w:t>
      </w:r>
      <w:r w:rsidR="000A5329" w:rsidRPr="002029AF">
        <w:t xml:space="preserve"> </w:t>
      </w:r>
      <w:r w:rsidR="0035314A" w:rsidRPr="002029AF">
        <w:t>project</w:t>
      </w:r>
      <w:r w:rsidR="000A5329" w:rsidRPr="002029AF">
        <w:t xml:space="preserve"> </w:t>
      </w:r>
      <w:r w:rsidR="0035314A" w:rsidRPr="002029AF">
        <w:t>and</w:t>
      </w:r>
      <w:r w:rsidR="000A5329" w:rsidRPr="002029AF">
        <w:t xml:space="preserve"> </w:t>
      </w:r>
      <w:r w:rsidR="0035314A" w:rsidRPr="002029AF">
        <w:t>program</w:t>
      </w:r>
      <w:r w:rsidR="000A5329" w:rsidRPr="002029AF">
        <w:t xml:space="preserve"> </w:t>
      </w:r>
      <w:r w:rsidR="0035314A" w:rsidRPr="002029AF">
        <w:t>management</w:t>
      </w:r>
      <w:r w:rsidR="000A5329" w:rsidRPr="002029AF">
        <w:t xml:space="preserve"> </w:t>
      </w:r>
      <w:r w:rsidR="0035314A" w:rsidRPr="002029AF">
        <w:t>across</w:t>
      </w:r>
      <w:r w:rsidR="000A5329" w:rsidRPr="002029AF">
        <w:t xml:space="preserve"> </w:t>
      </w:r>
      <w:r w:rsidR="0035314A" w:rsidRPr="002029AF">
        <w:t>the</w:t>
      </w:r>
      <w:r w:rsidR="000A5329" w:rsidRPr="002029AF">
        <w:t xml:space="preserve"> </w:t>
      </w:r>
      <w:r w:rsidR="0035314A" w:rsidRPr="002029AF">
        <w:t>department.</w:t>
      </w:r>
    </w:p>
    <w:p w14:paraId="67E96963" w14:textId="6440A61B" w:rsidR="00C17F5C" w:rsidRPr="002029AF" w:rsidRDefault="00C17F5C" w:rsidP="00C17F5C">
      <w:pPr>
        <w:pStyle w:val="Heading4"/>
      </w:pPr>
      <w:r w:rsidRPr="002029AF">
        <w:t>Priority</w:t>
      </w:r>
      <w:r w:rsidR="000A5329" w:rsidRPr="002029AF">
        <w:t xml:space="preserve"> </w:t>
      </w:r>
      <w:r w:rsidRPr="002029AF">
        <w:t>Reform</w:t>
      </w:r>
      <w:r w:rsidR="000A5329" w:rsidRPr="002029AF">
        <w:t xml:space="preserve"> </w:t>
      </w:r>
      <w:r w:rsidRPr="002029AF">
        <w:t>Subcommittee</w:t>
      </w:r>
    </w:p>
    <w:p w14:paraId="007CD914" w14:textId="017BBAC2" w:rsidR="00C17F5C" w:rsidRPr="002029AF" w:rsidRDefault="00EC3823" w:rsidP="00C17F5C">
      <w:pPr>
        <w:pStyle w:val="ARbody"/>
      </w:pPr>
      <w:r w:rsidRPr="002029AF">
        <w:t>O</w:t>
      </w:r>
      <w:r w:rsidR="00C17F5C" w:rsidRPr="002029AF">
        <w:t>versee</w:t>
      </w:r>
      <w:r w:rsidR="00C42454" w:rsidRPr="002029AF">
        <w:t>s</w:t>
      </w:r>
      <w:r w:rsidR="000A5329" w:rsidRPr="002029AF">
        <w:t xml:space="preserve"> </w:t>
      </w:r>
      <w:r w:rsidR="00C17F5C" w:rsidRPr="002029AF">
        <w:t>and</w:t>
      </w:r>
      <w:r w:rsidR="000A5329" w:rsidRPr="002029AF">
        <w:t xml:space="preserve"> </w:t>
      </w:r>
      <w:r w:rsidR="00C17F5C" w:rsidRPr="002029AF">
        <w:t>provide</w:t>
      </w:r>
      <w:r w:rsidR="00C42454" w:rsidRPr="002029AF">
        <w:t>s</w:t>
      </w:r>
      <w:r w:rsidR="000A5329" w:rsidRPr="002029AF">
        <w:t xml:space="preserve"> </w:t>
      </w:r>
      <w:r w:rsidR="00C17F5C" w:rsidRPr="002029AF">
        <w:t>strategic</w:t>
      </w:r>
      <w:r w:rsidR="000A5329" w:rsidRPr="002029AF">
        <w:t xml:space="preserve"> </w:t>
      </w:r>
      <w:r w:rsidR="00C17F5C" w:rsidRPr="002029AF">
        <w:t>direction</w:t>
      </w:r>
      <w:r w:rsidR="000A5329" w:rsidRPr="002029AF">
        <w:t xml:space="preserve"> </w:t>
      </w:r>
      <w:r w:rsidR="00C17F5C" w:rsidRPr="002029AF">
        <w:t>regarding</w:t>
      </w:r>
      <w:r w:rsidR="00EF3FCC">
        <w:t> </w:t>
      </w:r>
      <w:r w:rsidR="00C17F5C" w:rsidRPr="002029AF">
        <w:t>whole-of-system,</w:t>
      </w:r>
      <w:r w:rsidR="000A5329" w:rsidRPr="002029AF">
        <w:t xml:space="preserve"> </w:t>
      </w:r>
      <w:r w:rsidR="00C17F5C" w:rsidRPr="002029AF">
        <w:t>cross-portfolio</w:t>
      </w:r>
      <w:r w:rsidR="000A5329" w:rsidRPr="002029AF">
        <w:t xml:space="preserve"> </w:t>
      </w:r>
      <w:r w:rsidR="00C17F5C" w:rsidRPr="002029AF">
        <w:t>health</w:t>
      </w:r>
      <w:r w:rsidR="00EF3FCC">
        <w:t> </w:t>
      </w:r>
      <w:r w:rsidR="00C17F5C" w:rsidRPr="002029AF">
        <w:t>and</w:t>
      </w:r>
      <w:r w:rsidR="000A5329" w:rsidRPr="002029AF">
        <w:t xml:space="preserve"> </w:t>
      </w:r>
      <w:r w:rsidR="00C17F5C" w:rsidRPr="002029AF">
        <w:t>community</w:t>
      </w:r>
      <w:r w:rsidR="000A5329" w:rsidRPr="002029AF">
        <w:t xml:space="preserve"> </w:t>
      </w:r>
      <w:r w:rsidR="00C17F5C" w:rsidRPr="002029AF">
        <w:t>service</w:t>
      </w:r>
      <w:r w:rsidR="000A5329" w:rsidRPr="002029AF">
        <w:t xml:space="preserve"> </w:t>
      </w:r>
      <w:r w:rsidR="00C17F5C" w:rsidRPr="002029AF">
        <w:t>delivery</w:t>
      </w:r>
      <w:r w:rsidR="000A5329" w:rsidRPr="002029AF">
        <w:t xml:space="preserve"> </w:t>
      </w:r>
      <w:r w:rsidR="00C17F5C" w:rsidRPr="002029AF">
        <w:t>reforms.</w:t>
      </w:r>
    </w:p>
    <w:p w14:paraId="00158724" w14:textId="15FEDE97" w:rsidR="00CF72D5" w:rsidRPr="002029AF" w:rsidRDefault="00CF72D5" w:rsidP="00897193">
      <w:pPr>
        <w:pStyle w:val="Heading4"/>
      </w:pPr>
      <w:r w:rsidRPr="002029AF">
        <w:t>NDIS</w:t>
      </w:r>
      <w:r w:rsidR="000A5329" w:rsidRPr="002029AF">
        <w:t xml:space="preserve"> </w:t>
      </w:r>
      <w:r w:rsidRPr="002029AF">
        <w:t>Readiness</w:t>
      </w:r>
      <w:r w:rsidR="000A5329" w:rsidRPr="002029AF">
        <w:t xml:space="preserve"> </w:t>
      </w:r>
      <w:r w:rsidRPr="002029AF">
        <w:t>Subcommittee</w:t>
      </w:r>
    </w:p>
    <w:p w14:paraId="54EE110C" w14:textId="6DCF84E7" w:rsidR="00CF72D5" w:rsidRPr="002029AF" w:rsidRDefault="00EC3823" w:rsidP="00897193">
      <w:pPr>
        <w:pStyle w:val="ARbody"/>
      </w:pPr>
      <w:r w:rsidRPr="002029AF">
        <w:t>O</w:t>
      </w:r>
      <w:r w:rsidR="00CF72D5" w:rsidRPr="002029AF">
        <w:t>versee</w:t>
      </w:r>
      <w:r w:rsidR="00C42454" w:rsidRPr="002029AF">
        <w:t>s</w:t>
      </w:r>
      <w:r w:rsidR="000A5329" w:rsidRPr="002029AF">
        <w:t xml:space="preserve"> </w:t>
      </w:r>
      <w:r w:rsidR="00CF72D5" w:rsidRPr="002029AF">
        <w:t>the</w:t>
      </w:r>
      <w:r w:rsidR="000A5329" w:rsidRPr="002029AF">
        <w:t xml:space="preserve"> </w:t>
      </w:r>
      <w:r w:rsidR="00CF72D5" w:rsidRPr="002029AF">
        <w:t>successful</w:t>
      </w:r>
      <w:r w:rsidR="000A5329" w:rsidRPr="002029AF">
        <w:t xml:space="preserve"> </w:t>
      </w:r>
      <w:r w:rsidR="00DC5AE1" w:rsidRPr="002029AF">
        <w:t>transfer</w:t>
      </w:r>
      <w:r w:rsidR="000A5329" w:rsidRPr="002029AF">
        <w:t xml:space="preserve"> </w:t>
      </w:r>
      <w:r w:rsidR="00DC5AE1" w:rsidRPr="002029AF">
        <w:t>of:</w:t>
      </w:r>
    </w:p>
    <w:p w14:paraId="26BC26A0" w14:textId="0C33AB41" w:rsidR="000A5329" w:rsidRPr="002029AF" w:rsidRDefault="00CF72D5" w:rsidP="00897193">
      <w:pPr>
        <w:pStyle w:val="ARbullet1"/>
      </w:pPr>
      <w:r w:rsidRPr="002029AF">
        <w:t>in-scope</w:t>
      </w:r>
      <w:r w:rsidR="000A5329" w:rsidRPr="002029AF">
        <w:t xml:space="preserve"> </w:t>
      </w:r>
      <w:r w:rsidR="00055C05" w:rsidRPr="002029AF">
        <w:t>d</w:t>
      </w:r>
      <w:r w:rsidRPr="002029AF">
        <w:t>isability</w:t>
      </w:r>
      <w:r w:rsidR="000A5329" w:rsidRPr="002029AF">
        <w:t xml:space="preserve"> </w:t>
      </w:r>
      <w:r w:rsidR="00055C05" w:rsidRPr="002029AF">
        <w:t>s</w:t>
      </w:r>
      <w:r w:rsidRPr="002029AF">
        <w:t>ervices,</w:t>
      </w:r>
      <w:r w:rsidR="000A5329" w:rsidRPr="002029AF">
        <w:t xml:space="preserve"> </w:t>
      </w:r>
      <w:r w:rsidR="00E01B06" w:rsidRPr="002029AF">
        <w:t>ho</w:t>
      </w:r>
      <w:r w:rsidRPr="002029AF">
        <w:t>me</w:t>
      </w:r>
      <w:r w:rsidR="000A5329" w:rsidRPr="002029AF">
        <w:t xml:space="preserve"> </w:t>
      </w:r>
      <w:r w:rsidRPr="002029AF">
        <w:t>and</w:t>
      </w:r>
      <w:r w:rsidR="000A5329" w:rsidRPr="002029AF">
        <w:t xml:space="preserve"> </w:t>
      </w:r>
      <w:r w:rsidR="00E01B06" w:rsidRPr="002029AF">
        <w:t>c</w:t>
      </w:r>
      <w:r w:rsidRPr="002029AF">
        <w:t>ommunity</w:t>
      </w:r>
      <w:r w:rsidR="000A5329" w:rsidRPr="002029AF">
        <w:t xml:space="preserve"> </w:t>
      </w:r>
      <w:r w:rsidR="00E01B06" w:rsidRPr="002029AF">
        <w:t>c</w:t>
      </w:r>
      <w:r w:rsidRPr="002029AF">
        <w:t>are</w:t>
      </w:r>
      <w:r w:rsidR="000A5329" w:rsidRPr="002029AF">
        <w:t xml:space="preserve"> </w:t>
      </w:r>
      <w:r w:rsidRPr="002029AF">
        <w:t>and</w:t>
      </w:r>
      <w:r w:rsidR="000A5329" w:rsidRPr="002029AF">
        <w:t xml:space="preserve"> </w:t>
      </w:r>
      <w:r w:rsidR="009E23D6" w:rsidRPr="002029AF">
        <w:t>m</w:t>
      </w:r>
      <w:r w:rsidRPr="002029AF">
        <w:t>ental</w:t>
      </w:r>
      <w:r w:rsidR="000A5329" w:rsidRPr="002029AF">
        <w:t xml:space="preserve"> </w:t>
      </w:r>
      <w:r w:rsidR="009E23D6" w:rsidRPr="002029AF">
        <w:t>h</w:t>
      </w:r>
      <w:r w:rsidRPr="002029AF">
        <w:t>ealth</w:t>
      </w:r>
      <w:r w:rsidR="000A5329" w:rsidRPr="002029AF">
        <w:t xml:space="preserve"> </w:t>
      </w:r>
      <w:r w:rsidR="009E23D6" w:rsidRPr="002029AF">
        <w:t>c</w:t>
      </w:r>
      <w:r w:rsidRPr="002029AF">
        <w:t>ommunity</w:t>
      </w:r>
      <w:r w:rsidR="000A5329" w:rsidRPr="002029AF">
        <w:t xml:space="preserve"> </w:t>
      </w:r>
      <w:r w:rsidR="009E23D6" w:rsidRPr="002029AF">
        <w:t>s</w:t>
      </w:r>
      <w:r w:rsidRPr="002029AF">
        <w:t>upport</w:t>
      </w:r>
      <w:r w:rsidR="000A5329" w:rsidRPr="002029AF">
        <w:t xml:space="preserve"> </w:t>
      </w:r>
      <w:r w:rsidR="009E23D6" w:rsidRPr="002029AF">
        <w:t>s</w:t>
      </w:r>
      <w:r w:rsidRPr="002029AF">
        <w:t>ervices</w:t>
      </w:r>
      <w:r w:rsidR="000A5329" w:rsidRPr="002029AF">
        <w:t xml:space="preserve"> </w:t>
      </w:r>
      <w:r w:rsidRPr="002029AF">
        <w:t>to</w:t>
      </w:r>
      <w:r w:rsidR="000A5329" w:rsidRPr="002029AF">
        <w:t xml:space="preserve"> </w:t>
      </w:r>
      <w:r w:rsidRPr="002029AF">
        <w:t>the</w:t>
      </w:r>
      <w:r w:rsidR="000A5329" w:rsidRPr="002029AF">
        <w:t xml:space="preserve"> </w:t>
      </w:r>
      <w:r w:rsidRPr="002029AF">
        <w:t>National</w:t>
      </w:r>
      <w:r w:rsidR="00233C48" w:rsidRPr="002029AF">
        <w:t> </w:t>
      </w:r>
      <w:r w:rsidRPr="002029AF">
        <w:t>Disability</w:t>
      </w:r>
      <w:r w:rsidR="000A5329" w:rsidRPr="002029AF">
        <w:t xml:space="preserve"> </w:t>
      </w:r>
      <w:r w:rsidRPr="002029AF">
        <w:t>Insurance</w:t>
      </w:r>
      <w:r w:rsidR="000A5329" w:rsidRPr="002029AF">
        <w:t xml:space="preserve"> </w:t>
      </w:r>
      <w:r w:rsidRPr="002029AF">
        <w:t>Scheme</w:t>
      </w:r>
    </w:p>
    <w:p w14:paraId="3C103002" w14:textId="710E5EBD" w:rsidR="00CF72D5" w:rsidRPr="002029AF" w:rsidRDefault="00CF72D5" w:rsidP="00897193">
      <w:pPr>
        <w:pStyle w:val="ARbullet1"/>
      </w:pPr>
      <w:r w:rsidRPr="002029AF">
        <w:t>department</w:t>
      </w:r>
      <w:r w:rsidR="004B78F4" w:rsidRPr="002029AF">
        <w:t>-</w:t>
      </w:r>
      <w:r w:rsidRPr="002029AF">
        <w:t>operated</w:t>
      </w:r>
      <w:r w:rsidR="000A5329" w:rsidRPr="002029AF">
        <w:t xml:space="preserve"> </w:t>
      </w:r>
      <w:r w:rsidRPr="002029AF">
        <w:t>disability</w:t>
      </w:r>
      <w:r w:rsidR="000A5329" w:rsidRPr="002029AF">
        <w:t xml:space="preserve"> </w:t>
      </w:r>
      <w:r w:rsidRPr="002029AF">
        <w:t>accommodation</w:t>
      </w:r>
      <w:r w:rsidR="000A5329" w:rsidRPr="002029AF">
        <w:t xml:space="preserve"> </w:t>
      </w:r>
      <w:r w:rsidRPr="002029AF">
        <w:t>and</w:t>
      </w:r>
      <w:r w:rsidR="000A5329" w:rsidRPr="002029AF">
        <w:t xml:space="preserve"> </w:t>
      </w:r>
      <w:r w:rsidRPr="002029AF">
        <w:t>respite</w:t>
      </w:r>
      <w:r w:rsidR="000A5329" w:rsidRPr="002029AF">
        <w:t xml:space="preserve"> </w:t>
      </w:r>
      <w:r w:rsidRPr="002029AF">
        <w:t>services</w:t>
      </w:r>
      <w:r w:rsidR="000A5329" w:rsidRPr="002029AF">
        <w:t xml:space="preserve"> </w:t>
      </w:r>
      <w:r w:rsidRPr="002029AF">
        <w:t>to</w:t>
      </w:r>
      <w:r w:rsidR="00233C48" w:rsidRPr="002029AF">
        <w:t> </w:t>
      </w:r>
      <w:r w:rsidRPr="002029AF">
        <w:t>the</w:t>
      </w:r>
      <w:r w:rsidR="00233C48" w:rsidRPr="002029AF">
        <w:t> </w:t>
      </w:r>
      <w:r w:rsidRPr="002029AF">
        <w:t>non-government</w:t>
      </w:r>
      <w:r w:rsidR="000A5329" w:rsidRPr="002029AF">
        <w:t xml:space="preserve"> </w:t>
      </w:r>
      <w:r w:rsidRPr="002029AF">
        <w:t>sector.</w:t>
      </w:r>
    </w:p>
    <w:p w14:paraId="16099E7B" w14:textId="1EA219E9" w:rsidR="00CF72D5" w:rsidRPr="002029AF" w:rsidRDefault="00CF72D5" w:rsidP="00897193">
      <w:pPr>
        <w:pStyle w:val="Heading4"/>
      </w:pPr>
      <w:r w:rsidRPr="002029AF">
        <w:t>Organisational</w:t>
      </w:r>
      <w:r w:rsidR="000A5329" w:rsidRPr="002029AF">
        <w:t xml:space="preserve"> </w:t>
      </w:r>
      <w:r w:rsidRPr="002029AF">
        <w:t>Transformation</w:t>
      </w:r>
      <w:r w:rsidR="000A5329" w:rsidRPr="002029AF">
        <w:t xml:space="preserve"> </w:t>
      </w:r>
      <w:r w:rsidRPr="002029AF">
        <w:t>Subcommittee</w:t>
      </w:r>
    </w:p>
    <w:p w14:paraId="0A11981F" w14:textId="4457E9E5" w:rsidR="004D641D" w:rsidRPr="002029AF" w:rsidRDefault="00DC08A0" w:rsidP="004D641D">
      <w:pPr>
        <w:pStyle w:val="ARbody"/>
      </w:pPr>
      <w:r w:rsidRPr="002029AF">
        <w:t>C</w:t>
      </w:r>
      <w:r w:rsidR="00FA352A" w:rsidRPr="002029AF">
        <w:t>onsiders</w:t>
      </w:r>
      <w:r w:rsidR="000A5329" w:rsidRPr="002029AF">
        <w:t xml:space="preserve"> </w:t>
      </w:r>
      <w:r w:rsidR="00CF72D5" w:rsidRPr="002029AF">
        <w:t>and</w:t>
      </w:r>
      <w:r w:rsidR="000A5329" w:rsidRPr="002029AF">
        <w:t xml:space="preserve"> </w:t>
      </w:r>
      <w:r w:rsidR="00FA352A" w:rsidRPr="002029AF">
        <w:t>advises</w:t>
      </w:r>
      <w:r w:rsidR="000A5329" w:rsidRPr="002029AF">
        <w:t xml:space="preserve"> </w:t>
      </w:r>
      <w:r w:rsidR="00875799" w:rsidRPr="002029AF">
        <w:t>regarding</w:t>
      </w:r>
      <w:r w:rsidR="000A5329" w:rsidRPr="002029AF">
        <w:t xml:space="preserve"> </w:t>
      </w:r>
      <w:r w:rsidR="00CF72D5" w:rsidRPr="002029AF">
        <w:t>ongoing</w:t>
      </w:r>
      <w:r w:rsidR="000A5329" w:rsidRPr="002029AF">
        <w:t xml:space="preserve"> </w:t>
      </w:r>
      <w:r w:rsidR="00CF72D5" w:rsidRPr="002029AF">
        <w:t>organisational</w:t>
      </w:r>
      <w:r w:rsidR="000A5329" w:rsidRPr="002029AF">
        <w:t xml:space="preserve"> </w:t>
      </w:r>
      <w:r w:rsidR="00CF72D5" w:rsidRPr="002029AF">
        <w:t>change,</w:t>
      </w:r>
      <w:r w:rsidR="000A5329" w:rsidRPr="002029AF">
        <w:t xml:space="preserve"> </w:t>
      </w:r>
      <w:r w:rsidR="00CF72D5" w:rsidRPr="002029AF">
        <w:t>and</w:t>
      </w:r>
      <w:r w:rsidR="000A5329" w:rsidRPr="002029AF">
        <w:t xml:space="preserve"> </w:t>
      </w:r>
      <w:r w:rsidR="00CF72D5" w:rsidRPr="002029AF">
        <w:t>how</w:t>
      </w:r>
      <w:r w:rsidR="000A5329" w:rsidRPr="002029AF">
        <w:t xml:space="preserve"> </w:t>
      </w:r>
      <w:r w:rsidR="00CF72D5" w:rsidRPr="002029AF">
        <w:t>the</w:t>
      </w:r>
      <w:r w:rsidR="000A5329" w:rsidRPr="002029AF">
        <w:t xml:space="preserve"> </w:t>
      </w:r>
      <w:r w:rsidR="00CF72D5" w:rsidRPr="002029AF">
        <w:t>alignment</w:t>
      </w:r>
      <w:r w:rsidR="000A5329" w:rsidRPr="002029AF">
        <w:t xml:space="preserve"> </w:t>
      </w:r>
      <w:r w:rsidR="00CF72D5" w:rsidRPr="002029AF">
        <w:t>of</w:t>
      </w:r>
      <w:r w:rsidR="000A5329" w:rsidRPr="002029AF">
        <w:t xml:space="preserve"> </w:t>
      </w:r>
      <w:r w:rsidR="00CF72D5" w:rsidRPr="002029AF">
        <w:t>transformation</w:t>
      </w:r>
      <w:r w:rsidR="000A5329" w:rsidRPr="002029AF">
        <w:t xml:space="preserve"> </w:t>
      </w:r>
      <w:r w:rsidR="00CF72D5" w:rsidRPr="002029AF">
        <w:t>programs</w:t>
      </w:r>
      <w:r w:rsidR="000A5329" w:rsidRPr="002029AF">
        <w:t xml:space="preserve"> </w:t>
      </w:r>
      <w:r w:rsidR="00CF72D5" w:rsidRPr="002029AF">
        <w:t>and</w:t>
      </w:r>
      <w:r w:rsidR="000A5329" w:rsidRPr="002029AF">
        <w:t xml:space="preserve"> </w:t>
      </w:r>
      <w:r w:rsidR="00CF72D5" w:rsidRPr="002029AF">
        <w:t>initiatives</w:t>
      </w:r>
      <w:r w:rsidR="000A5329" w:rsidRPr="002029AF">
        <w:t xml:space="preserve"> </w:t>
      </w:r>
      <w:r w:rsidR="00CF72D5" w:rsidRPr="002029AF">
        <w:t>enabl</w:t>
      </w:r>
      <w:r w:rsidR="004D126D" w:rsidRPr="002029AF">
        <w:t>e</w:t>
      </w:r>
      <w:r w:rsidR="000A5329" w:rsidRPr="002029AF">
        <w:t xml:space="preserve"> </w:t>
      </w:r>
      <w:r w:rsidR="00CF72D5" w:rsidRPr="002029AF">
        <w:t>the</w:t>
      </w:r>
      <w:r w:rsidR="000A5329" w:rsidRPr="002029AF">
        <w:t xml:space="preserve"> </w:t>
      </w:r>
      <w:r w:rsidR="00CF72D5" w:rsidRPr="002029AF">
        <w:t>department</w:t>
      </w:r>
      <w:r w:rsidR="000A5329" w:rsidRPr="002029AF">
        <w:t xml:space="preserve"> </w:t>
      </w:r>
      <w:r w:rsidR="00CF72D5" w:rsidRPr="002029AF">
        <w:t>to</w:t>
      </w:r>
      <w:r w:rsidR="000A5329" w:rsidRPr="002029AF">
        <w:t xml:space="preserve"> </w:t>
      </w:r>
      <w:r w:rsidR="00CF72D5" w:rsidRPr="002029AF">
        <w:t>achieve</w:t>
      </w:r>
      <w:r w:rsidR="000A5329" w:rsidRPr="002029AF">
        <w:t xml:space="preserve"> </w:t>
      </w:r>
      <w:r w:rsidR="00CF72D5" w:rsidRPr="002029AF">
        <w:t>its</w:t>
      </w:r>
      <w:r w:rsidR="000A5329" w:rsidRPr="002029AF">
        <w:t xml:space="preserve"> </w:t>
      </w:r>
      <w:r w:rsidR="00CF72D5" w:rsidRPr="002029AF">
        <w:t>strategic</w:t>
      </w:r>
      <w:r w:rsidR="000A5329" w:rsidRPr="002029AF">
        <w:t xml:space="preserve"> </w:t>
      </w:r>
      <w:r w:rsidR="00CF72D5" w:rsidRPr="002029AF">
        <w:t>objectives.</w:t>
      </w:r>
    </w:p>
    <w:p w14:paraId="7B776C73" w14:textId="7E620D82" w:rsidR="00C17F5C" w:rsidRPr="002029AF" w:rsidRDefault="00C17F5C" w:rsidP="00C17F5C">
      <w:pPr>
        <w:pStyle w:val="Heading4"/>
      </w:pPr>
      <w:r w:rsidRPr="002029AF">
        <w:t>Quality,</w:t>
      </w:r>
      <w:r w:rsidR="000A5329" w:rsidRPr="002029AF">
        <w:t xml:space="preserve"> </w:t>
      </w:r>
      <w:r w:rsidRPr="002029AF">
        <w:t>Safety</w:t>
      </w:r>
      <w:r w:rsidR="000A5329" w:rsidRPr="002029AF">
        <w:t xml:space="preserve"> </w:t>
      </w:r>
      <w:r w:rsidRPr="002029AF">
        <w:t>and</w:t>
      </w:r>
      <w:r w:rsidR="000A5329" w:rsidRPr="002029AF">
        <w:t xml:space="preserve"> </w:t>
      </w:r>
      <w:r w:rsidRPr="002029AF">
        <w:t>Experience</w:t>
      </w:r>
      <w:r w:rsidR="000A5329" w:rsidRPr="002029AF">
        <w:t xml:space="preserve"> </w:t>
      </w:r>
      <w:r w:rsidRPr="002029AF">
        <w:t>Subcommittee</w:t>
      </w:r>
    </w:p>
    <w:p w14:paraId="17AFB4CE" w14:textId="5FAE584A" w:rsidR="000A5329" w:rsidRPr="002029AF" w:rsidRDefault="00DC08A0" w:rsidP="00897193">
      <w:pPr>
        <w:pStyle w:val="ARbody"/>
      </w:pPr>
      <w:r w:rsidRPr="002029AF">
        <w:t>P</w:t>
      </w:r>
      <w:r w:rsidR="00FA352A" w:rsidRPr="002029AF">
        <w:t>rovides</w:t>
      </w:r>
      <w:r w:rsidR="000A5329" w:rsidRPr="002029AF">
        <w:t xml:space="preserve"> </w:t>
      </w:r>
      <w:r w:rsidR="00C17F5C" w:rsidRPr="002029AF">
        <w:t>a</w:t>
      </w:r>
      <w:r w:rsidR="000A5329" w:rsidRPr="002029AF">
        <w:t xml:space="preserve"> </w:t>
      </w:r>
      <w:r w:rsidR="00C17F5C" w:rsidRPr="002029AF">
        <w:t>dual</w:t>
      </w:r>
      <w:r w:rsidR="000A5329" w:rsidRPr="002029AF">
        <w:t xml:space="preserve"> </w:t>
      </w:r>
      <w:r w:rsidR="00C17F5C" w:rsidRPr="002029AF">
        <w:t>role</w:t>
      </w:r>
      <w:r w:rsidR="000A5329" w:rsidRPr="002029AF">
        <w:t xml:space="preserve"> </w:t>
      </w:r>
      <w:r w:rsidR="00C17F5C" w:rsidRPr="002029AF">
        <w:t>of</w:t>
      </w:r>
      <w:r w:rsidR="000A5329" w:rsidRPr="002029AF">
        <w:t xml:space="preserve"> </w:t>
      </w:r>
      <w:r w:rsidR="00C17F5C" w:rsidRPr="002029AF">
        <w:t>stewardship</w:t>
      </w:r>
      <w:r w:rsidR="000A5329" w:rsidRPr="002029AF">
        <w:t xml:space="preserve"> </w:t>
      </w:r>
      <w:r w:rsidR="00C17F5C" w:rsidRPr="002029AF">
        <w:t>and</w:t>
      </w:r>
      <w:r w:rsidR="000A5329" w:rsidRPr="002029AF">
        <w:t xml:space="preserve"> </w:t>
      </w:r>
      <w:r w:rsidR="00C17F5C" w:rsidRPr="002029AF">
        <w:t>strategic</w:t>
      </w:r>
      <w:r w:rsidR="000A5329" w:rsidRPr="002029AF">
        <w:t xml:space="preserve"> </w:t>
      </w:r>
      <w:r w:rsidR="00C17F5C" w:rsidRPr="002029AF">
        <w:t>reform</w:t>
      </w:r>
      <w:r w:rsidR="000A5329" w:rsidRPr="002029AF">
        <w:t xml:space="preserve"> </w:t>
      </w:r>
      <w:r w:rsidR="00C17F5C" w:rsidRPr="002029AF">
        <w:t>regarding</w:t>
      </w:r>
      <w:r w:rsidR="000A5329" w:rsidRPr="002029AF">
        <w:t xml:space="preserve"> </w:t>
      </w:r>
      <w:r w:rsidR="00C17F5C" w:rsidRPr="002029AF">
        <w:t>the</w:t>
      </w:r>
      <w:r w:rsidR="000A5329" w:rsidRPr="002029AF">
        <w:t xml:space="preserve"> </w:t>
      </w:r>
      <w:r w:rsidR="00C17F5C" w:rsidRPr="002029AF">
        <w:t>quality</w:t>
      </w:r>
      <w:r w:rsidR="000A5329" w:rsidRPr="002029AF">
        <w:t xml:space="preserve"> </w:t>
      </w:r>
      <w:r w:rsidR="00C17F5C" w:rsidRPr="002029AF">
        <w:t>and</w:t>
      </w:r>
      <w:r w:rsidR="000A5329" w:rsidRPr="002029AF">
        <w:t xml:space="preserve"> </w:t>
      </w:r>
      <w:r w:rsidR="00C17F5C" w:rsidRPr="002029AF">
        <w:t>safety</w:t>
      </w:r>
      <w:r w:rsidR="000A5329" w:rsidRPr="002029AF">
        <w:t xml:space="preserve"> </w:t>
      </w:r>
      <w:r w:rsidR="00C17F5C" w:rsidRPr="002029AF">
        <w:t>of</w:t>
      </w:r>
      <w:r w:rsidR="000A5329" w:rsidRPr="002029AF">
        <w:t xml:space="preserve"> </w:t>
      </w:r>
      <w:r w:rsidR="00C17F5C" w:rsidRPr="002029AF">
        <w:t>the</w:t>
      </w:r>
      <w:r w:rsidR="000A5329" w:rsidRPr="002029AF">
        <w:t xml:space="preserve"> </w:t>
      </w:r>
      <w:r w:rsidR="00C17F5C" w:rsidRPr="002029AF">
        <w:t>health</w:t>
      </w:r>
      <w:r w:rsidR="00EF3FCC">
        <w:t> </w:t>
      </w:r>
      <w:r w:rsidR="00C17F5C" w:rsidRPr="002029AF">
        <w:t>and</w:t>
      </w:r>
      <w:r w:rsidR="000A5329" w:rsidRPr="002029AF">
        <w:t xml:space="preserve"> </w:t>
      </w:r>
      <w:r w:rsidR="00C17F5C" w:rsidRPr="002029AF">
        <w:t>community</w:t>
      </w:r>
      <w:r w:rsidR="000A5329" w:rsidRPr="002029AF">
        <w:t xml:space="preserve"> </w:t>
      </w:r>
      <w:r w:rsidR="00C17F5C" w:rsidRPr="002029AF">
        <w:t>services</w:t>
      </w:r>
      <w:r w:rsidR="000A5329" w:rsidRPr="002029AF">
        <w:t xml:space="preserve"> </w:t>
      </w:r>
      <w:r w:rsidR="00C17F5C" w:rsidRPr="002029AF">
        <w:t>system,</w:t>
      </w:r>
      <w:r w:rsidR="000A5329" w:rsidRPr="002029AF">
        <w:t xml:space="preserve"> </w:t>
      </w:r>
      <w:r w:rsidR="00C17F5C" w:rsidRPr="002029AF">
        <w:t>and</w:t>
      </w:r>
      <w:r w:rsidR="000A5329" w:rsidRPr="002029AF">
        <w:t xml:space="preserve"> </w:t>
      </w:r>
      <w:r w:rsidR="00C17F5C" w:rsidRPr="002029AF">
        <w:t>the</w:t>
      </w:r>
      <w:r w:rsidR="000A5329" w:rsidRPr="002029AF">
        <w:t xml:space="preserve"> </w:t>
      </w:r>
      <w:r w:rsidR="00C17F5C" w:rsidRPr="002029AF">
        <w:t>experience</w:t>
      </w:r>
      <w:r w:rsidR="000A5329" w:rsidRPr="002029AF">
        <w:t xml:space="preserve"> </w:t>
      </w:r>
      <w:r w:rsidR="00C17F5C" w:rsidRPr="002029AF">
        <w:t>of</w:t>
      </w:r>
      <w:r w:rsidR="000A5329" w:rsidRPr="002029AF">
        <w:t xml:space="preserve"> </w:t>
      </w:r>
      <w:r w:rsidR="00C17F5C" w:rsidRPr="002029AF">
        <w:t>those</w:t>
      </w:r>
      <w:r w:rsidR="000A5329" w:rsidRPr="002029AF">
        <w:t xml:space="preserve"> </w:t>
      </w:r>
      <w:r w:rsidR="00C17F5C" w:rsidRPr="002029AF">
        <w:t>who</w:t>
      </w:r>
      <w:r w:rsidR="000A5329" w:rsidRPr="002029AF">
        <w:t xml:space="preserve"> </w:t>
      </w:r>
      <w:r w:rsidR="00C17F5C" w:rsidRPr="002029AF">
        <w:t>use</w:t>
      </w:r>
      <w:r w:rsidR="000A5329" w:rsidRPr="002029AF">
        <w:t xml:space="preserve"> </w:t>
      </w:r>
      <w:r w:rsidR="00C17F5C" w:rsidRPr="002029AF">
        <w:t>it</w:t>
      </w:r>
      <w:r w:rsidR="000A5329" w:rsidRPr="002029AF">
        <w:t xml:space="preserve"> </w:t>
      </w:r>
      <w:r w:rsidR="0059101A" w:rsidRPr="002029AF">
        <w:t>–</w:t>
      </w:r>
      <w:r w:rsidR="000A5329" w:rsidRPr="002029AF">
        <w:t xml:space="preserve"> </w:t>
      </w:r>
      <w:r w:rsidR="00C17F5C" w:rsidRPr="002029AF">
        <w:t>clients,</w:t>
      </w:r>
      <w:r w:rsidR="000A5329" w:rsidRPr="002029AF">
        <w:t xml:space="preserve"> </w:t>
      </w:r>
      <w:r w:rsidR="00C17F5C" w:rsidRPr="002029AF">
        <w:t>patients,</w:t>
      </w:r>
      <w:r w:rsidR="000A5329" w:rsidRPr="002029AF">
        <w:t xml:space="preserve"> </w:t>
      </w:r>
      <w:r w:rsidR="00C17F5C" w:rsidRPr="002029AF">
        <w:t>consumers,</w:t>
      </w:r>
      <w:r w:rsidR="000A5329" w:rsidRPr="002029AF">
        <w:t xml:space="preserve"> </w:t>
      </w:r>
      <w:r w:rsidR="00C17F5C" w:rsidRPr="002029AF">
        <w:t>workforce</w:t>
      </w:r>
      <w:r w:rsidR="000A5329" w:rsidRPr="002029AF">
        <w:t xml:space="preserve"> </w:t>
      </w:r>
      <w:r w:rsidR="00C17F5C" w:rsidRPr="002029AF">
        <w:t>and</w:t>
      </w:r>
      <w:r w:rsidR="000A5329" w:rsidRPr="002029AF">
        <w:t xml:space="preserve"> </w:t>
      </w:r>
      <w:r w:rsidR="00C17F5C" w:rsidRPr="002029AF">
        <w:t>volunteers.</w:t>
      </w:r>
    </w:p>
    <w:p w14:paraId="5BE028C4" w14:textId="35847F34" w:rsidR="00CF72D5" w:rsidRPr="002029AF" w:rsidRDefault="00CF72D5" w:rsidP="00897193">
      <w:pPr>
        <w:pStyle w:val="Heading3"/>
      </w:pPr>
      <w:bookmarkStart w:id="73" w:name="_Ref52274716"/>
      <w:r w:rsidRPr="002029AF">
        <w:t>Stand-Alone</w:t>
      </w:r>
      <w:r w:rsidR="000A5329" w:rsidRPr="002029AF">
        <w:t xml:space="preserve"> </w:t>
      </w:r>
      <w:r w:rsidRPr="002029AF">
        <w:t>Legislative</w:t>
      </w:r>
      <w:r w:rsidR="000A5329" w:rsidRPr="002029AF">
        <w:t xml:space="preserve"> </w:t>
      </w:r>
      <w:r w:rsidRPr="002029AF">
        <w:t>Committees</w:t>
      </w:r>
      <w:bookmarkEnd w:id="73"/>
    </w:p>
    <w:p w14:paraId="4188CA09" w14:textId="57F131D5" w:rsidR="00CF72D5" w:rsidRPr="002029AF" w:rsidRDefault="00CF72D5" w:rsidP="00897193">
      <w:pPr>
        <w:pStyle w:val="ARbody"/>
        <w:rPr>
          <w:lang w:eastAsia="en-AU"/>
        </w:rPr>
      </w:pPr>
      <w:r w:rsidRPr="002029AF">
        <w:rPr>
          <w:lang w:eastAsia="en-AU"/>
        </w:rPr>
        <w:t>Three</w:t>
      </w:r>
      <w:r w:rsidR="000A5329" w:rsidRPr="002029AF">
        <w:rPr>
          <w:lang w:eastAsia="en-AU"/>
        </w:rPr>
        <w:t xml:space="preserve"> </w:t>
      </w:r>
      <w:r w:rsidRPr="002029AF">
        <w:rPr>
          <w:lang w:eastAsia="en-AU"/>
        </w:rPr>
        <w:t>stand-alone</w:t>
      </w:r>
      <w:r w:rsidR="000A5329" w:rsidRPr="002029AF">
        <w:rPr>
          <w:lang w:eastAsia="en-AU"/>
        </w:rPr>
        <w:t xml:space="preserve"> </w:t>
      </w:r>
      <w:r w:rsidRPr="002029AF">
        <w:rPr>
          <w:lang w:eastAsia="en-AU"/>
        </w:rPr>
        <w:t>committees</w:t>
      </w:r>
      <w:r w:rsidR="000A5329" w:rsidRPr="002029AF">
        <w:rPr>
          <w:lang w:eastAsia="en-AU"/>
        </w:rPr>
        <w:t xml:space="preserve"> </w:t>
      </w:r>
      <w:r w:rsidRPr="002029AF">
        <w:rPr>
          <w:lang w:eastAsia="en-AU"/>
        </w:rPr>
        <w:t>support</w:t>
      </w:r>
      <w:r w:rsidR="000A5329" w:rsidRPr="002029AF">
        <w:rPr>
          <w:lang w:eastAsia="en-AU"/>
        </w:rPr>
        <w:t xml:space="preserve"> </w:t>
      </w:r>
      <w:r w:rsidRPr="002029AF">
        <w:rPr>
          <w:lang w:eastAsia="en-AU"/>
        </w:rPr>
        <w:t>statutory</w:t>
      </w:r>
      <w:r w:rsidR="000A5329" w:rsidRPr="002029AF">
        <w:rPr>
          <w:lang w:eastAsia="en-AU"/>
        </w:rPr>
        <w:t xml:space="preserve"> </w:t>
      </w:r>
      <w:r w:rsidRPr="002029AF">
        <w:rPr>
          <w:lang w:eastAsia="en-AU"/>
        </w:rPr>
        <w:t>assurance</w:t>
      </w:r>
      <w:r w:rsidR="000A5329" w:rsidRPr="002029AF">
        <w:rPr>
          <w:lang w:eastAsia="en-AU"/>
        </w:rPr>
        <w:t xml:space="preserve"> </w:t>
      </w:r>
      <w:r w:rsidRPr="002029AF">
        <w:rPr>
          <w:lang w:eastAsia="en-AU"/>
        </w:rPr>
        <w:t>responsibilities</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may</w:t>
      </w:r>
      <w:r w:rsidR="000A5329" w:rsidRPr="002029AF">
        <w:rPr>
          <w:lang w:eastAsia="en-AU"/>
        </w:rPr>
        <w:t xml:space="preserve"> </w:t>
      </w:r>
      <w:r w:rsidRPr="002029AF">
        <w:rPr>
          <w:lang w:eastAsia="en-AU"/>
        </w:rPr>
        <w:t>include</w:t>
      </w:r>
      <w:r w:rsidR="000A5329" w:rsidRPr="002029AF">
        <w:rPr>
          <w:lang w:eastAsia="en-AU"/>
        </w:rPr>
        <w:t xml:space="preserve"> </w:t>
      </w:r>
      <w:r w:rsidRPr="002029AF">
        <w:rPr>
          <w:lang w:eastAsia="en-AU"/>
        </w:rPr>
        <w:t>independent</w:t>
      </w:r>
      <w:r w:rsidR="000A5329" w:rsidRPr="002029AF">
        <w:rPr>
          <w:lang w:eastAsia="en-AU"/>
        </w:rPr>
        <w:t xml:space="preserve"> </w:t>
      </w:r>
      <w:r w:rsidRPr="002029AF">
        <w:rPr>
          <w:lang w:eastAsia="en-AU"/>
        </w:rPr>
        <w:t>or</w:t>
      </w:r>
      <w:r w:rsidR="000A5329" w:rsidRPr="002029AF">
        <w:rPr>
          <w:lang w:eastAsia="en-AU"/>
        </w:rPr>
        <w:t xml:space="preserve"> </w:t>
      </w:r>
      <w:r w:rsidRPr="002029AF">
        <w:rPr>
          <w:lang w:eastAsia="en-AU"/>
        </w:rPr>
        <w:t>non-executive</w:t>
      </w:r>
      <w:r w:rsidR="000A5329" w:rsidRPr="002029AF">
        <w:rPr>
          <w:lang w:eastAsia="en-AU"/>
        </w:rPr>
        <w:t xml:space="preserve"> </w:t>
      </w:r>
      <w:r w:rsidRPr="002029AF">
        <w:rPr>
          <w:lang w:eastAsia="en-AU"/>
        </w:rPr>
        <w:t>members</w:t>
      </w:r>
      <w:r w:rsidR="000A5329" w:rsidRPr="002029AF">
        <w:rPr>
          <w:lang w:eastAsia="en-AU"/>
        </w:rPr>
        <w:t xml:space="preserve"> </w:t>
      </w:r>
      <w:r w:rsidR="00E0796B" w:rsidRPr="002029AF">
        <w:rPr>
          <w:lang w:eastAsia="en-AU"/>
        </w:rPr>
        <w:t>who</w:t>
      </w:r>
      <w:r w:rsidR="000A5329" w:rsidRPr="002029AF">
        <w:rPr>
          <w:lang w:eastAsia="en-AU"/>
        </w:rPr>
        <w:t xml:space="preserve"> </w:t>
      </w:r>
      <w:r w:rsidRPr="002029AF">
        <w:rPr>
          <w:lang w:eastAsia="en-AU"/>
        </w:rPr>
        <w:t>provide</w:t>
      </w:r>
      <w:r w:rsidR="000A5329" w:rsidRPr="002029AF">
        <w:rPr>
          <w:lang w:eastAsia="en-AU"/>
        </w:rPr>
        <w:t xml:space="preserve"> </w:t>
      </w:r>
      <w:r w:rsidRPr="002029AF">
        <w:rPr>
          <w:lang w:eastAsia="en-AU"/>
        </w:rPr>
        <w:t>expertise</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advice:</w:t>
      </w:r>
    </w:p>
    <w:p w14:paraId="2FEFE064" w14:textId="6712A04E" w:rsidR="009D06FE" w:rsidRPr="002029AF" w:rsidRDefault="00CF72D5" w:rsidP="009D06FE">
      <w:pPr>
        <w:pStyle w:val="ARbullet1"/>
      </w:pPr>
      <w:r w:rsidRPr="002029AF">
        <w:t>Audit</w:t>
      </w:r>
      <w:r w:rsidR="000A5329" w:rsidRPr="002029AF">
        <w:t xml:space="preserve"> </w:t>
      </w:r>
      <w:r w:rsidRPr="002029AF">
        <w:t>and</w:t>
      </w:r>
      <w:r w:rsidR="000A5329" w:rsidRPr="002029AF">
        <w:t xml:space="preserve"> </w:t>
      </w:r>
      <w:r w:rsidRPr="002029AF">
        <w:t>Risk</w:t>
      </w:r>
      <w:r w:rsidR="000A5329" w:rsidRPr="002029AF">
        <w:t xml:space="preserve"> </w:t>
      </w:r>
      <w:r w:rsidRPr="002029AF">
        <w:t>Management</w:t>
      </w:r>
      <w:r w:rsidR="000A5329" w:rsidRPr="002029AF">
        <w:t xml:space="preserve"> </w:t>
      </w:r>
      <w:r w:rsidRPr="002029AF">
        <w:t>Committee</w:t>
      </w:r>
    </w:p>
    <w:p w14:paraId="7ADB31B4" w14:textId="46A4D01C" w:rsidR="004A2C50" w:rsidRPr="002029AF" w:rsidRDefault="004A2C50" w:rsidP="00897193">
      <w:pPr>
        <w:pStyle w:val="ARbullet1"/>
      </w:pPr>
      <w:r w:rsidRPr="002029AF">
        <w:t>Executive</w:t>
      </w:r>
      <w:r w:rsidR="000A5329" w:rsidRPr="002029AF">
        <w:t xml:space="preserve"> </w:t>
      </w:r>
      <w:r w:rsidRPr="002029AF">
        <w:t>Remuneration</w:t>
      </w:r>
      <w:r w:rsidR="000A5329" w:rsidRPr="002029AF">
        <w:t xml:space="preserve"> </w:t>
      </w:r>
      <w:r w:rsidRPr="002029AF">
        <w:t>Committee</w:t>
      </w:r>
    </w:p>
    <w:p w14:paraId="20803126" w14:textId="592A4135" w:rsidR="00CF72D5" w:rsidRPr="002029AF" w:rsidRDefault="00CF72D5" w:rsidP="00897193">
      <w:pPr>
        <w:pStyle w:val="ARbullet1"/>
      </w:pPr>
      <w:r w:rsidRPr="002029AF">
        <w:t>Health</w:t>
      </w:r>
      <w:r w:rsidR="000A5329" w:rsidRPr="002029AF">
        <w:t xml:space="preserve"> </w:t>
      </w:r>
      <w:r w:rsidRPr="002029AF">
        <w:t>and</w:t>
      </w:r>
      <w:r w:rsidR="000A5329" w:rsidRPr="002029AF">
        <w:t xml:space="preserve"> </w:t>
      </w:r>
      <w:r w:rsidRPr="002029AF">
        <w:t>Safety</w:t>
      </w:r>
      <w:r w:rsidR="000A5329" w:rsidRPr="002029AF">
        <w:t xml:space="preserve"> </w:t>
      </w:r>
      <w:r w:rsidRPr="002029AF">
        <w:t>Consultation</w:t>
      </w:r>
      <w:r w:rsidR="000A5329" w:rsidRPr="002029AF">
        <w:t xml:space="preserve"> </w:t>
      </w:r>
      <w:r w:rsidRPr="002029AF">
        <w:t>Committee.</w:t>
      </w:r>
    </w:p>
    <w:p w14:paraId="11AD077E" w14:textId="3E7DEC65" w:rsidR="000A5329" w:rsidRPr="002029AF" w:rsidRDefault="00EF3FCC" w:rsidP="00EF3FCC">
      <w:pPr>
        <w:pStyle w:val="Heading4"/>
        <w:spacing w:before="0"/>
      </w:pPr>
      <w:r>
        <w:rPr>
          <w:rStyle w:val="Heading4Char"/>
          <w:b/>
          <w:bCs/>
        </w:rPr>
        <w:br w:type="column"/>
      </w:r>
      <w:r w:rsidR="00CF72D5" w:rsidRPr="002029AF">
        <w:rPr>
          <w:rStyle w:val="Heading4Char"/>
          <w:b/>
          <w:bCs/>
        </w:rPr>
        <w:t>Audit</w:t>
      </w:r>
      <w:r w:rsidR="000A5329" w:rsidRPr="002029AF">
        <w:rPr>
          <w:rStyle w:val="Heading4Char"/>
          <w:b/>
          <w:bCs/>
        </w:rPr>
        <w:t xml:space="preserve"> </w:t>
      </w:r>
      <w:r w:rsidR="00CF72D5" w:rsidRPr="002029AF">
        <w:rPr>
          <w:rStyle w:val="Heading4Char"/>
          <w:b/>
          <w:bCs/>
        </w:rPr>
        <w:t>and</w:t>
      </w:r>
      <w:r w:rsidR="000A5329" w:rsidRPr="002029AF">
        <w:rPr>
          <w:rStyle w:val="Heading4Char"/>
          <w:b/>
          <w:bCs/>
        </w:rPr>
        <w:t xml:space="preserve"> </w:t>
      </w:r>
      <w:r w:rsidR="00CF72D5" w:rsidRPr="002029AF">
        <w:rPr>
          <w:rStyle w:val="Heading4Char"/>
          <w:b/>
          <w:bCs/>
        </w:rPr>
        <w:t>Risk</w:t>
      </w:r>
      <w:r w:rsidR="000A5329" w:rsidRPr="002029AF">
        <w:rPr>
          <w:rStyle w:val="Heading4Char"/>
          <w:b/>
          <w:bCs/>
        </w:rPr>
        <w:t xml:space="preserve"> </w:t>
      </w:r>
      <w:r w:rsidR="00CF72D5" w:rsidRPr="002029AF">
        <w:rPr>
          <w:rStyle w:val="Heading4Char"/>
          <w:b/>
          <w:bCs/>
        </w:rPr>
        <w:t>Management</w:t>
      </w:r>
      <w:r w:rsidR="000A5329" w:rsidRPr="002029AF">
        <w:rPr>
          <w:rStyle w:val="Heading4Char"/>
          <w:b/>
          <w:bCs/>
        </w:rPr>
        <w:t xml:space="preserve"> </w:t>
      </w:r>
      <w:r w:rsidR="00CF72D5" w:rsidRPr="002029AF">
        <w:rPr>
          <w:rStyle w:val="Heading4Char"/>
          <w:b/>
          <w:bCs/>
        </w:rPr>
        <w:t>Committee</w:t>
      </w:r>
    </w:p>
    <w:p w14:paraId="6F77E500" w14:textId="3CCF830C" w:rsidR="00CF72D5" w:rsidRPr="002029AF" w:rsidRDefault="00CF72D5" w:rsidP="00897193">
      <w:pPr>
        <w:pStyle w:val="ARbody"/>
      </w:pPr>
      <w:r w:rsidRPr="002029AF">
        <w:t>The</w:t>
      </w:r>
      <w:r w:rsidR="000A5329" w:rsidRPr="002029AF">
        <w:t xml:space="preserve"> </w:t>
      </w:r>
      <w:r w:rsidRPr="002029AF">
        <w:t>Audit</w:t>
      </w:r>
      <w:r w:rsidR="000A5329" w:rsidRPr="002029AF">
        <w:t xml:space="preserve"> </w:t>
      </w:r>
      <w:r w:rsidRPr="002029AF">
        <w:t>and</w:t>
      </w:r>
      <w:r w:rsidR="000A5329" w:rsidRPr="002029AF">
        <w:t xml:space="preserve"> </w:t>
      </w:r>
      <w:r w:rsidRPr="002029AF">
        <w:t>Risk</w:t>
      </w:r>
      <w:r w:rsidR="000A5329" w:rsidRPr="002029AF">
        <w:t xml:space="preserve"> </w:t>
      </w:r>
      <w:r w:rsidRPr="002029AF">
        <w:t>Management</w:t>
      </w:r>
      <w:r w:rsidR="000A5329" w:rsidRPr="002029AF">
        <w:t xml:space="preserve"> </w:t>
      </w:r>
      <w:r w:rsidRPr="002029AF">
        <w:t>Committee</w:t>
      </w:r>
      <w:r w:rsidR="000A5329" w:rsidRPr="002029AF">
        <w:t xml:space="preserve"> </w:t>
      </w:r>
      <w:r w:rsidRPr="002029AF">
        <w:t>is</w:t>
      </w:r>
      <w:r w:rsidR="00233C48" w:rsidRPr="002029AF">
        <w:t> </w:t>
      </w:r>
      <w:r w:rsidRPr="002029AF">
        <w:t>an</w:t>
      </w:r>
      <w:r w:rsidR="000A5329" w:rsidRPr="002029AF">
        <w:t xml:space="preserve"> </w:t>
      </w:r>
      <w:r w:rsidRPr="002029AF">
        <w:t>independent</w:t>
      </w:r>
      <w:r w:rsidR="000A5329" w:rsidRPr="002029AF">
        <w:t xml:space="preserve"> </w:t>
      </w:r>
      <w:r w:rsidRPr="002029AF">
        <w:t>committee</w:t>
      </w:r>
      <w:r w:rsidR="000A5329" w:rsidRPr="002029AF">
        <w:t xml:space="preserve"> </w:t>
      </w:r>
      <w:r w:rsidRPr="002029AF">
        <w:t>established</w:t>
      </w:r>
      <w:r w:rsidR="000A5329" w:rsidRPr="002029AF">
        <w:t xml:space="preserve"> </w:t>
      </w:r>
      <w:r w:rsidRPr="002029AF">
        <w:t>in</w:t>
      </w:r>
      <w:r w:rsidR="000A5329" w:rsidRPr="002029AF">
        <w:t xml:space="preserve"> </w:t>
      </w:r>
      <w:r w:rsidRPr="002029AF">
        <w:t>accordance</w:t>
      </w:r>
      <w:r w:rsidR="000A5329" w:rsidRPr="002029AF">
        <w:t xml:space="preserve"> </w:t>
      </w:r>
      <w:r w:rsidRPr="002029AF">
        <w:t>with</w:t>
      </w:r>
      <w:r w:rsidR="000A5329" w:rsidRPr="002029AF">
        <w:t xml:space="preserve"> </w:t>
      </w:r>
      <w:r w:rsidRPr="002029AF">
        <w:t>the</w:t>
      </w:r>
      <w:r w:rsidR="000A5329" w:rsidRPr="002029AF">
        <w:t xml:space="preserve"> </w:t>
      </w:r>
      <w:r w:rsidRPr="002029AF">
        <w:rPr>
          <w:i/>
        </w:rPr>
        <w:t>Financial</w:t>
      </w:r>
      <w:r w:rsidR="000A5329" w:rsidRPr="002029AF">
        <w:rPr>
          <w:i/>
        </w:rPr>
        <w:t xml:space="preserve"> </w:t>
      </w:r>
      <w:r w:rsidRPr="002029AF">
        <w:rPr>
          <w:i/>
        </w:rPr>
        <w:t>Management</w:t>
      </w:r>
      <w:r w:rsidR="000A5329" w:rsidRPr="002029AF">
        <w:rPr>
          <w:i/>
        </w:rPr>
        <w:t xml:space="preserve"> </w:t>
      </w:r>
      <w:r w:rsidRPr="002029AF">
        <w:rPr>
          <w:i/>
        </w:rPr>
        <w:t>Act</w:t>
      </w:r>
      <w:r w:rsidR="000A5329" w:rsidRPr="002029AF">
        <w:rPr>
          <w:i/>
        </w:rPr>
        <w:t xml:space="preserve"> </w:t>
      </w:r>
      <w:r w:rsidRPr="002029AF">
        <w:rPr>
          <w:i/>
        </w:rPr>
        <w:t>1994</w:t>
      </w:r>
      <w:r w:rsidR="000A5329" w:rsidRPr="002029AF">
        <w:t xml:space="preserve"> </w:t>
      </w:r>
      <w:r w:rsidRPr="002029AF">
        <w:t>and</w:t>
      </w:r>
      <w:r w:rsidR="000A5329" w:rsidRPr="002029AF">
        <w:t xml:space="preserve"> </w:t>
      </w:r>
      <w:r w:rsidRPr="002029AF">
        <w:t>the</w:t>
      </w:r>
      <w:r w:rsidR="000A5329" w:rsidRPr="002029AF">
        <w:t xml:space="preserve"> </w:t>
      </w:r>
      <w:r w:rsidRPr="002029AF">
        <w:t>Standing</w:t>
      </w:r>
      <w:r w:rsidR="000A5329" w:rsidRPr="002029AF">
        <w:t xml:space="preserve"> </w:t>
      </w:r>
      <w:r w:rsidRPr="002029AF">
        <w:t>Directions</w:t>
      </w:r>
      <w:r w:rsidR="000A5329" w:rsidRPr="002029AF">
        <w:t xml:space="preserve"> </w:t>
      </w:r>
      <w:r w:rsidRPr="002029AF">
        <w:t>of</w:t>
      </w:r>
      <w:r w:rsidR="000A5329" w:rsidRPr="002029AF">
        <w:t xml:space="preserve"> </w:t>
      </w:r>
      <w:r w:rsidRPr="002029AF">
        <w:t>the</w:t>
      </w:r>
      <w:r w:rsidR="000A5329" w:rsidRPr="002029AF">
        <w:t xml:space="preserve"> </w:t>
      </w:r>
      <w:r w:rsidRPr="002029AF">
        <w:t>Minister</w:t>
      </w:r>
      <w:r w:rsidR="000A5329" w:rsidRPr="002029AF">
        <w:t xml:space="preserve"> </w:t>
      </w:r>
      <w:r w:rsidRPr="002029AF">
        <w:t>for</w:t>
      </w:r>
      <w:r w:rsidR="000A5329" w:rsidRPr="002029AF">
        <w:t xml:space="preserve"> </w:t>
      </w:r>
      <w:r w:rsidRPr="002029AF">
        <w:t>Finance</w:t>
      </w:r>
      <w:r w:rsidR="000A5329" w:rsidRPr="002029AF">
        <w:t xml:space="preserve"> </w:t>
      </w:r>
      <w:r w:rsidRPr="002029AF">
        <w:t>(2016).</w:t>
      </w:r>
    </w:p>
    <w:p w14:paraId="659936D2" w14:textId="22AF77F6" w:rsidR="00CF72D5" w:rsidRPr="002029AF" w:rsidRDefault="00CF72D5" w:rsidP="00897193">
      <w:pPr>
        <w:pStyle w:val="ARbody"/>
      </w:pPr>
      <w:r w:rsidRPr="002029AF">
        <w:t>The</w:t>
      </w:r>
      <w:r w:rsidR="000A5329" w:rsidRPr="002029AF">
        <w:t xml:space="preserve"> </w:t>
      </w:r>
      <w:r w:rsidRPr="002029AF">
        <w:t>committee</w:t>
      </w:r>
      <w:r w:rsidR="000A5329" w:rsidRPr="002029AF">
        <w:t xml:space="preserve"> </w:t>
      </w:r>
      <w:r w:rsidRPr="002029AF">
        <w:t>operates</w:t>
      </w:r>
      <w:r w:rsidR="000A5329" w:rsidRPr="002029AF">
        <w:t xml:space="preserve"> </w:t>
      </w:r>
      <w:r w:rsidRPr="002029AF">
        <w:t>under</w:t>
      </w:r>
      <w:r w:rsidR="000A5329" w:rsidRPr="002029AF">
        <w:t xml:space="preserve"> </w:t>
      </w:r>
      <w:r w:rsidRPr="002029AF">
        <w:t>an</w:t>
      </w:r>
      <w:r w:rsidR="000A5329" w:rsidRPr="002029AF">
        <w:t xml:space="preserve"> </w:t>
      </w:r>
      <w:r w:rsidRPr="002029AF">
        <w:t>approved</w:t>
      </w:r>
      <w:r w:rsidR="000A5329" w:rsidRPr="002029AF">
        <w:t xml:space="preserve"> </w:t>
      </w:r>
      <w:r w:rsidRPr="002029AF">
        <w:t>charter</w:t>
      </w:r>
      <w:r w:rsidR="000A5329" w:rsidRPr="002029AF">
        <w:t xml:space="preserve"> </w:t>
      </w:r>
      <w:r w:rsidRPr="002029AF">
        <w:t>and</w:t>
      </w:r>
      <w:r w:rsidR="000A5329" w:rsidRPr="002029AF">
        <w:t xml:space="preserve"> </w:t>
      </w:r>
      <w:r w:rsidR="00712543" w:rsidRPr="002029AF">
        <w:t>requires</w:t>
      </w:r>
      <w:r w:rsidR="000A5329" w:rsidRPr="002029AF">
        <w:t xml:space="preserve"> </w:t>
      </w:r>
      <w:r w:rsidR="004066E8" w:rsidRPr="002029AF">
        <w:t>there</w:t>
      </w:r>
      <w:r w:rsidR="000A5329" w:rsidRPr="002029AF">
        <w:t xml:space="preserve"> </w:t>
      </w:r>
      <w:r w:rsidR="004066E8" w:rsidRPr="002029AF">
        <w:t>are</w:t>
      </w:r>
      <w:r w:rsidR="000A5329" w:rsidRPr="002029AF">
        <w:t xml:space="preserve"> </w:t>
      </w:r>
      <w:r w:rsidRPr="002029AF">
        <w:t>independent</w:t>
      </w:r>
      <w:r w:rsidR="000A5329" w:rsidRPr="002029AF">
        <w:t xml:space="preserve"> </w:t>
      </w:r>
      <w:r w:rsidRPr="002029AF">
        <w:t>members</w:t>
      </w:r>
      <w:r w:rsidR="000A5329" w:rsidRPr="002029AF">
        <w:t xml:space="preserve"> </w:t>
      </w:r>
      <w:r w:rsidRPr="002029AF">
        <w:t>with</w:t>
      </w:r>
      <w:r w:rsidR="000A5329" w:rsidRPr="002029AF">
        <w:t xml:space="preserve"> </w:t>
      </w:r>
      <w:r w:rsidRPr="002029AF">
        <w:t>no</w:t>
      </w:r>
      <w:r w:rsidR="000A5329" w:rsidRPr="002029AF">
        <w:t xml:space="preserve"> </w:t>
      </w:r>
      <w:r w:rsidRPr="002029AF">
        <w:t>departmental</w:t>
      </w:r>
      <w:r w:rsidR="000A5329" w:rsidRPr="002029AF">
        <w:t xml:space="preserve"> </w:t>
      </w:r>
      <w:r w:rsidRPr="002029AF">
        <w:t>responsibility:</w:t>
      </w:r>
    </w:p>
    <w:p w14:paraId="41D90003" w14:textId="7817CC47" w:rsidR="00CF72D5" w:rsidRPr="002029AF" w:rsidRDefault="00CF72D5" w:rsidP="00897193">
      <w:pPr>
        <w:pStyle w:val="ARbullet1"/>
      </w:pPr>
      <w:r w:rsidRPr="002029AF">
        <w:t>Helen</w:t>
      </w:r>
      <w:r w:rsidR="000A5329" w:rsidRPr="002029AF">
        <w:t xml:space="preserve"> </w:t>
      </w:r>
      <w:r w:rsidRPr="002029AF">
        <w:t>Thornton,</w:t>
      </w:r>
      <w:r w:rsidR="000A5329" w:rsidRPr="002029AF">
        <w:t xml:space="preserve"> </w:t>
      </w:r>
      <w:r w:rsidRPr="002029AF">
        <w:t>Chair</w:t>
      </w:r>
      <w:r w:rsidR="000A5329" w:rsidRPr="002029AF">
        <w:t xml:space="preserve"> </w:t>
      </w:r>
      <w:r w:rsidRPr="002029AF">
        <w:t>(independent</w:t>
      </w:r>
      <w:r w:rsidR="000A5329" w:rsidRPr="002029AF">
        <w:t xml:space="preserve"> </w:t>
      </w:r>
      <w:r w:rsidRPr="002029AF">
        <w:t>appointee)</w:t>
      </w:r>
    </w:p>
    <w:p w14:paraId="3CE2583E" w14:textId="27CF8C22" w:rsidR="00CF72D5" w:rsidRPr="002029AF" w:rsidRDefault="00CF72D5" w:rsidP="00897193">
      <w:pPr>
        <w:pStyle w:val="ARbullet1"/>
      </w:pPr>
      <w:r w:rsidRPr="002029AF">
        <w:t>Laurinda</w:t>
      </w:r>
      <w:r w:rsidR="000A5329" w:rsidRPr="002029AF">
        <w:t xml:space="preserve"> </w:t>
      </w:r>
      <w:r w:rsidRPr="002029AF">
        <w:t>Gardner</w:t>
      </w:r>
      <w:r w:rsidR="000A5329" w:rsidRPr="002029AF">
        <w:t xml:space="preserve"> </w:t>
      </w:r>
      <w:r w:rsidRPr="002029AF">
        <w:t>(independent</w:t>
      </w:r>
      <w:r w:rsidR="000A5329" w:rsidRPr="002029AF">
        <w:t xml:space="preserve"> </w:t>
      </w:r>
      <w:r w:rsidRPr="002029AF">
        <w:t>appointee)</w:t>
      </w:r>
    </w:p>
    <w:p w14:paraId="5260249B" w14:textId="4FEE825E" w:rsidR="00CF72D5" w:rsidRPr="002029AF" w:rsidRDefault="00CF72D5" w:rsidP="00897193">
      <w:pPr>
        <w:pStyle w:val="ARbullet1"/>
      </w:pPr>
      <w:r w:rsidRPr="002029AF">
        <w:t>Peter</w:t>
      </w:r>
      <w:r w:rsidR="000A5329" w:rsidRPr="002029AF">
        <w:t xml:space="preserve"> </w:t>
      </w:r>
      <w:r w:rsidRPr="002029AF">
        <w:t>Matthey</w:t>
      </w:r>
      <w:r w:rsidR="000A5329" w:rsidRPr="002029AF">
        <w:t xml:space="preserve"> </w:t>
      </w:r>
      <w:r w:rsidRPr="002029AF">
        <w:t>(independent</w:t>
      </w:r>
      <w:r w:rsidR="000A5329" w:rsidRPr="002029AF">
        <w:t xml:space="preserve"> </w:t>
      </w:r>
      <w:r w:rsidRPr="002029AF">
        <w:t>appointee)</w:t>
      </w:r>
      <w:r w:rsidR="008A34B2" w:rsidRPr="002029AF">
        <w:t>.</w:t>
      </w:r>
    </w:p>
    <w:p w14:paraId="54DFFADE" w14:textId="39C071E5" w:rsidR="00CF72D5" w:rsidRPr="002029AF" w:rsidRDefault="00CF72D5" w:rsidP="00FC001B">
      <w:pPr>
        <w:pStyle w:val="ARbodyafterbullets"/>
      </w:pPr>
      <w:r w:rsidRPr="002029AF">
        <w:t>The</w:t>
      </w:r>
      <w:r w:rsidR="000A5329" w:rsidRPr="002029AF">
        <w:t xml:space="preserve"> </w:t>
      </w:r>
      <w:r w:rsidRPr="002029AF">
        <w:t>committee</w:t>
      </w:r>
      <w:r w:rsidR="000A5329" w:rsidRPr="002029AF">
        <w:t xml:space="preserve"> </w:t>
      </w:r>
      <w:r w:rsidRPr="002029AF">
        <w:t>is</w:t>
      </w:r>
      <w:r w:rsidR="000A5329" w:rsidRPr="002029AF">
        <w:t xml:space="preserve"> </w:t>
      </w:r>
      <w:r w:rsidRPr="002029AF">
        <w:t>integral</w:t>
      </w:r>
      <w:r w:rsidR="000A5329" w:rsidRPr="002029AF">
        <w:t xml:space="preserve"> </w:t>
      </w:r>
      <w:r w:rsidRPr="002029AF">
        <w:t>to</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approach</w:t>
      </w:r>
      <w:r w:rsidR="000A5329" w:rsidRPr="002029AF">
        <w:t xml:space="preserve"> </w:t>
      </w:r>
      <w:r w:rsidRPr="002029AF">
        <w:t>to</w:t>
      </w:r>
      <w:r w:rsidR="000A5329" w:rsidRPr="002029AF">
        <w:t xml:space="preserve"> </w:t>
      </w:r>
      <w:r w:rsidRPr="002029AF">
        <w:t>governance,</w:t>
      </w:r>
      <w:r w:rsidR="000A5329" w:rsidRPr="002029AF">
        <w:t xml:space="preserve"> </w:t>
      </w:r>
      <w:r w:rsidRPr="002029AF">
        <w:t>ensuring</w:t>
      </w:r>
      <w:r w:rsidR="000A5329" w:rsidRPr="002029AF">
        <w:t xml:space="preserve"> </w:t>
      </w:r>
      <w:r w:rsidRPr="002029AF">
        <w:t>that</w:t>
      </w:r>
      <w:r w:rsidR="000A5329" w:rsidRPr="002029AF">
        <w:t xml:space="preserve"> </w:t>
      </w:r>
      <w:r w:rsidRPr="002029AF">
        <w:t>systems</w:t>
      </w:r>
      <w:r w:rsidR="000A5329" w:rsidRPr="002029AF">
        <w:t xml:space="preserve"> </w:t>
      </w:r>
      <w:r w:rsidRPr="002029AF">
        <w:t>and</w:t>
      </w:r>
      <w:r w:rsidR="000A5329" w:rsidRPr="002029AF">
        <w:t xml:space="preserve"> </w:t>
      </w:r>
      <w:r w:rsidRPr="002029AF">
        <w:t>processes</w:t>
      </w:r>
      <w:r w:rsidR="000A5329" w:rsidRPr="002029AF">
        <w:t xml:space="preserve"> </w:t>
      </w:r>
      <w:r w:rsidRPr="002029AF">
        <w:t>for</w:t>
      </w:r>
      <w:r w:rsidR="000A5329" w:rsidRPr="002029AF">
        <w:t xml:space="preserve"> </w:t>
      </w:r>
      <w:r w:rsidRPr="002029AF">
        <w:t>identifying</w:t>
      </w:r>
      <w:r w:rsidR="000A5329" w:rsidRPr="002029AF">
        <w:t xml:space="preserve"> </w:t>
      </w:r>
      <w:r w:rsidRPr="002029AF">
        <w:t>and</w:t>
      </w:r>
      <w:r w:rsidR="000A5329" w:rsidRPr="002029AF">
        <w:t xml:space="preserve"> </w:t>
      </w:r>
      <w:r w:rsidRPr="002029AF">
        <w:t>monitoring</w:t>
      </w:r>
      <w:r w:rsidR="000A5329" w:rsidRPr="002029AF">
        <w:t xml:space="preserve"> </w:t>
      </w:r>
      <w:r w:rsidRPr="002029AF">
        <w:t>risks</w:t>
      </w:r>
      <w:r w:rsidR="000A5329" w:rsidRPr="002029AF">
        <w:t xml:space="preserve"> </w:t>
      </w:r>
      <w:r w:rsidRPr="002029AF">
        <w:t>are</w:t>
      </w:r>
      <w:r w:rsidR="000A5329" w:rsidRPr="002029AF">
        <w:t xml:space="preserve"> </w:t>
      </w:r>
      <w:r w:rsidRPr="002029AF">
        <w:t>operating</w:t>
      </w:r>
      <w:r w:rsidR="000A5329" w:rsidRPr="002029AF">
        <w:t xml:space="preserve"> </w:t>
      </w:r>
      <w:r w:rsidRPr="002029AF">
        <w:t>as</w:t>
      </w:r>
      <w:r w:rsidR="000A5329" w:rsidRPr="002029AF">
        <w:t xml:space="preserve"> </w:t>
      </w:r>
      <w:r w:rsidRPr="002029AF">
        <w:t>intended.</w:t>
      </w:r>
    </w:p>
    <w:p w14:paraId="2FA7E7B9" w14:textId="7CE37A48" w:rsidR="00CF72D5" w:rsidRPr="002029AF" w:rsidRDefault="00CF72D5" w:rsidP="00897193">
      <w:pPr>
        <w:pStyle w:val="ARbody"/>
      </w:pPr>
      <w:r w:rsidRPr="002029AF">
        <w:t>The</w:t>
      </w:r>
      <w:r w:rsidR="000A5329" w:rsidRPr="002029AF">
        <w:t xml:space="preserve"> </w:t>
      </w:r>
      <w:r w:rsidRPr="002029AF">
        <w:t>committee’s</w:t>
      </w:r>
      <w:r w:rsidR="000A5329" w:rsidRPr="002029AF">
        <w:t xml:space="preserve"> </w:t>
      </w:r>
      <w:r w:rsidRPr="002029AF">
        <w:t>responsibilities</w:t>
      </w:r>
      <w:r w:rsidR="000A5329" w:rsidRPr="002029AF">
        <w:t xml:space="preserve"> </w:t>
      </w:r>
      <w:r w:rsidRPr="002029AF">
        <w:t>cover</w:t>
      </w:r>
      <w:r w:rsidR="000A5329" w:rsidRPr="002029AF">
        <w:t xml:space="preserve"> </w:t>
      </w:r>
      <w:r w:rsidRPr="002029AF">
        <w:t>the</w:t>
      </w:r>
      <w:r w:rsidR="000A5329" w:rsidRPr="002029AF">
        <w:t xml:space="preserve"> </w:t>
      </w:r>
      <w:r w:rsidRPr="002029AF">
        <w:t>following</w:t>
      </w:r>
      <w:r w:rsidR="00EF3FCC">
        <w:t> </w:t>
      </w:r>
      <w:r w:rsidRPr="002029AF">
        <w:t>areas:</w:t>
      </w:r>
    </w:p>
    <w:p w14:paraId="57716C36" w14:textId="5D5E8A4F" w:rsidR="00CF72D5" w:rsidRPr="002029AF" w:rsidRDefault="00CF72D5" w:rsidP="00897193">
      <w:pPr>
        <w:pStyle w:val="ARbullet1"/>
      </w:pPr>
      <w:r w:rsidRPr="002029AF">
        <w:t>annual</w:t>
      </w:r>
      <w:r w:rsidR="000A5329" w:rsidRPr="002029AF">
        <w:t xml:space="preserve"> </w:t>
      </w:r>
      <w:r w:rsidRPr="002029AF">
        <w:t>financial</w:t>
      </w:r>
      <w:r w:rsidR="000A5329" w:rsidRPr="002029AF">
        <w:t xml:space="preserve"> </w:t>
      </w:r>
      <w:r w:rsidRPr="002029AF">
        <w:t>statements</w:t>
      </w:r>
    </w:p>
    <w:p w14:paraId="355142D0" w14:textId="324F5C06" w:rsidR="00CF72D5" w:rsidRPr="002029AF" w:rsidRDefault="00CF72D5" w:rsidP="00897193">
      <w:pPr>
        <w:pStyle w:val="ARbullet1"/>
      </w:pPr>
      <w:r w:rsidRPr="002029AF">
        <w:t>risk</w:t>
      </w:r>
      <w:r w:rsidR="000A5329" w:rsidRPr="002029AF">
        <w:t xml:space="preserve"> </w:t>
      </w:r>
      <w:r w:rsidRPr="002029AF">
        <w:t>attestation</w:t>
      </w:r>
    </w:p>
    <w:p w14:paraId="097CEE52" w14:textId="5821D25A" w:rsidR="00CF72D5" w:rsidRPr="002029AF" w:rsidRDefault="00CF72D5" w:rsidP="00897193">
      <w:pPr>
        <w:pStyle w:val="ARbullet1"/>
      </w:pPr>
      <w:r w:rsidRPr="002029AF">
        <w:t>risk</w:t>
      </w:r>
      <w:r w:rsidR="000A5329" w:rsidRPr="002029AF">
        <w:t xml:space="preserve"> </w:t>
      </w:r>
      <w:r w:rsidRPr="002029AF">
        <w:t>management</w:t>
      </w:r>
      <w:r w:rsidR="000A5329" w:rsidRPr="002029AF">
        <w:t xml:space="preserve"> </w:t>
      </w:r>
      <w:r w:rsidRPr="002029AF">
        <w:t>and</w:t>
      </w:r>
      <w:r w:rsidR="000A5329" w:rsidRPr="002029AF">
        <w:t xml:space="preserve"> </w:t>
      </w:r>
      <w:r w:rsidRPr="002029AF">
        <w:t>internal</w:t>
      </w:r>
      <w:r w:rsidR="000A5329" w:rsidRPr="002029AF">
        <w:t xml:space="preserve"> </w:t>
      </w:r>
      <w:r w:rsidRPr="002029AF">
        <w:t>controls</w:t>
      </w:r>
    </w:p>
    <w:p w14:paraId="18CF8194" w14:textId="315EAF19" w:rsidR="00CF72D5" w:rsidRPr="002029AF" w:rsidRDefault="00CF72D5" w:rsidP="00897193">
      <w:pPr>
        <w:pStyle w:val="ARbullet1"/>
      </w:pPr>
      <w:r w:rsidRPr="002029AF">
        <w:t>fraud</w:t>
      </w:r>
      <w:r w:rsidR="000A5329" w:rsidRPr="002029AF">
        <w:t xml:space="preserve"> </w:t>
      </w:r>
      <w:r w:rsidRPr="002029AF">
        <w:t>and</w:t>
      </w:r>
      <w:r w:rsidR="000A5329" w:rsidRPr="002029AF">
        <w:t xml:space="preserve"> </w:t>
      </w:r>
      <w:r w:rsidRPr="002029AF">
        <w:t>corruption</w:t>
      </w:r>
      <w:r w:rsidR="000A5329" w:rsidRPr="002029AF">
        <w:t xml:space="preserve"> </w:t>
      </w:r>
      <w:r w:rsidRPr="002029AF">
        <w:t>control</w:t>
      </w:r>
    </w:p>
    <w:p w14:paraId="6BAAD0AC" w14:textId="62083806" w:rsidR="00CF72D5" w:rsidRPr="002029AF" w:rsidRDefault="00CF72D5" w:rsidP="00897193">
      <w:pPr>
        <w:pStyle w:val="ARbullet1"/>
      </w:pPr>
      <w:r w:rsidRPr="002029AF">
        <w:t>legislative</w:t>
      </w:r>
      <w:r w:rsidR="000A5329" w:rsidRPr="002029AF">
        <w:t xml:space="preserve"> </w:t>
      </w:r>
      <w:r w:rsidRPr="002029AF">
        <w:t>and</w:t>
      </w:r>
      <w:r w:rsidR="000A5329" w:rsidRPr="002029AF">
        <w:t xml:space="preserve"> </w:t>
      </w:r>
      <w:r w:rsidRPr="002029AF">
        <w:t>policy</w:t>
      </w:r>
      <w:r w:rsidR="000A5329" w:rsidRPr="002029AF">
        <w:t xml:space="preserve"> </w:t>
      </w:r>
      <w:r w:rsidRPr="002029AF">
        <w:t>compliance</w:t>
      </w:r>
    </w:p>
    <w:p w14:paraId="13144262" w14:textId="4D049638" w:rsidR="00CF72D5" w:rsidRPr="002029AF" w:rsidRDefault="00CF72D5" w:rsidP="00897193">
      <w:pPr>
        <w:pStyle w:val="ARbullet1"/>
      </w:pPr>
      <w:r w:rsidRPr="002029AF">
        <w:t>internal</w:t>
      </w:r>
      <w:r w:rsidR="000A5329" w:rsidRPr="002029AF">
        <w:t xml:space="preserve"> </w:t>
      </w:r>
      <w:r w:rsidRPr="002029AF">
        <w:t>audit</w:t>
      </w:r>
    </w:p>
    <w:p w14:paraId="0B4372A9" w14:textId="5E4029C7" w:rsidR="00CF72D5" w:rsidRPr="002029AF" w:rsidRDefault="00CF72D5" w:rsidP="00897193">
      <w:pPr>
        <w:pStyle w:val="ARbullet1"/>
      </w:pPr>
      <w:r w:rsidRPr="002029AF">
        <w:t>external</w:t>
      </w:r>
      <w:r w:rsidR="000A5329" w:rsidRPr="002029AF">
        <w:t xml:space="preserve"> </w:t>
      </w:r>
      <w:r w:rsidRPr="002029AF">
        <w:t>audit.</w:t>
      </w:r>
    </w:p>
    <w:p w14:paraId="50ABAFE5" w14:textId="26C39944" w:rsidR="009D58AC" w:rsidRPr="002029AF" w:rsidRDefault="009D58AC" w:rsidP="00233C48">
      <w:pPr>
        <w:pStyle w:val="Heading4"/>
      </w:pPr>
      <w:r w:rsidRPr="002029AF">
        <w:t>Executive</w:t>
      </w:r>
      <w:r w:rsidR="000A5329" w:rsidRPr="002029AF">
        <w:t xml:space="preserve"> </w:t>
      </w:r>
      <w:r w:rsidRPr="002029AF">
        <w:t>Re</w:t>
      </w:r>
      <w:r w:rsidR="00DC08A0" w:rsidRPr="002029AF">
        <w:t>muneration</w:t>
      </w:r>
      <w:r w:rsidR="000A5329" w:rsidRPr="002029AF">
        <w:t xml:space="preserve"> </w:t>
      </w:r>
      <w:r w:rsidR="00DC08A0" w:rsidRPr="002029AF">
        <w:t>Committee</w:t>
      </w:r>
    </w:p>
    <w:p w14:paraId="5893DC6B" w14:textId="744126C0" w:rsidR="00DC58F8" w:rsidRPr="002029AF" w:rsidRDefault="00DC58F8" w:rsidP="00233C48">
      <w:pPr>
        <w:pStyle w:val="ARbody"/>
      </w:pPr>
      <w:r w:rsidRPr="002029AF">
        <w:t>Ensures</w:t>
      </w:r>
      <w:r w:rsidR="000A5329" w:rsidRPr="002029AF">
        <w:t xml:space="preserve"> </w:t>
      </w:r>
      <w:r w:rsidRPr="002029AF">
        <w:t>a</w:t>
      </w:r>
      <w:r w:rsidR="000A5329" w:rsidRPr="002029AF">
        <w:t xml:space="preserve"> </w:t>
      </w:r>
      <w:r w:rsidRPr="002029AF">
        <w:t>consistent</w:t>
      </w:r>
      <w:r w:rsidR="000A5329" w:rsidRPr="002029AF">
        <w:t xml:space="preserve"> </w:t>
      </w:r>
      <w:r w:rsidRPr="002029AF">
        <w:t>and</w:t>
      </w:r>
      <w:r w:rsidR="000A5329" w:rsidRPr="002029AF">
        <w:t xml:space="preserve"> </w:t>
      </w:r>
      <w:r w:rsidRPr="002029AF">
        <w:t>rigorous</w:t>
      </w:r>
      <w:r w:rsidR="000A5329" w:rsidRPr="002029AF">
        <w:t xml:space="preserve"> </w:t>
      </w:r>
      <w:r w:rsidRPr="002029AF">
        <w:t>approach</w:t>
      </w:r>
      <w:r w:rsidR="000A5329" w:rsidRPr="002029AF">
        <w:t xml:space="preserve"> </w:t>
      </w:r>
      <w:r w:rsidRPr="002029AF">
        <w:t>is</w:t>
      </w:r>
      <w:r w:rsidR="00EF3FCC">
        <w:t> </w:t>
      </w:r>
      <w:r w:rsidRPr="002029AF">
        <w:t>taken</w:t>
      </w:r>
      <w:r w:rsidR="000A5329" w:rsidRPr="002029AF">
        <w:t xml:space="preserve"> </w:t>
      </w:r>
      <w:r w:rsidRPr="002029AF">
        <w:t>to</w:t>
      </w:r>
      <w:r w:rsidR="000A5329" w:rsidRPr="002029AF">
        <w:t xml:space="preserve"> </w:t>
      </w:r>
      <w:r w:rsidRPr="002029AF">
        <w:t>setting</w:t>
      </w:r>
      <w:r w:rsidR="000A5329" w:rsidRPr="002029AF">
        <w:t xml:space="preserve"> </w:t>
      </w:r>
      <w:r w:rsidRPr="002029AF">
        <w:t>and</w:t>
      </w:r>
      <w:r w:rsidR="000A5329" w:rsidRPr="002029AF">
        <w:t xml:space="preserve"> </w:t>
      </w:r>
      <w:r w:rsidRPr="002029AF">
        <w:t>adjusting</w:t>
      </w:r>
      <w:r w:rsidR="000A5329" w:rsidRPr="002029AF">
        <w:t xml:space="preserve"> </w:t>
      </w:r>
      <w:r w:rsidRPr="002029AF">
        <w:t>executive</w:t>
      </w:r>
      <w:r w:rsidR="000A5329" w:rsidRPr="002029AF">
        <w:t xml:space="preserve"> </w:t>
      </w:r>
      <w:r w:rsidRPr="002029AF">
        <w:t>remuneration.</w:t>
      </w:r>
    </w:p>
    <w:p w14:paraId="17BC834B" w14:textId="0652C202" w:rsidR="00DC08A0" w:rsidRPr="002029AF" w:rsidRDefault="00DC08A0" w:rsidP="00DC08A0">
      <w:pPr>
        <w:pStyle w:val="Heading4"/>
      </w:pPr>
      <w:r w:rsidRPr="002029AF">
        <w:t>Health</w:t>
      </w:r>
      <w:r w:rsidR="000A5329" w:rsidRPr="002029AF">
        <w:t xml:space="preserve"> </w:t>
      </w:r>
      <w:r w:rsidRPr="002029AF">
        <w:t>and</w:t>
      </w:r>
      <w:r w:rsidR="000A5329" w:rsidRPr="002029AF">
        <w:t xml:space="preserve"> </w:t>
      </w:r>
      <w:r w:rsidRPr="002029AF">
        <w:t>Safety</w:t>
      </w:r>
      <w:r w:rsidR="000A5329" w:rsidRPr="002029AF">
        <w:t xml:space="preserve"> </w:t>
      </w:r>
      <w:r w:rsidRPr="002029AF">
        <w:t>Consultation</w:t>
      </w:r>
      <w:r w:rsidR="000A5329" w:rsidRPr="002029AF">
        <w:t xml:space="preserve"> </w:t>
      </w:r>
      <w:r w:rsidRPr="002029AF">
        <w:t>Committee</w:t>
      </w:r>
    </w:p>
    <w:p w14:paraId="0616C725" w14:textId="26F125D1" w:rsidR="00DC08A0" w:rsidRPr="002029AF" w:rsidRDefault="00DC08A0" w:rsidP="00AF6EAD">
      <w:pPr>
        <w:pStyle w:val="ARbody"/>
      </w:pPr>
      <w:r w:rsidRPr="002029AF">
        <w:t>To</w:t>
      </w:r>
      <w:r w:rsidR="000A5329" w:rsidRPr="002029AF">
        <w:t xml:space="preserve"> </w:t>
      </w:r>
      <w:r w:rsidRPr="002029AF">
        <w:t>oversee</w:t>
      </w:r>
      <w:r w:rsidR="000A5329" w:rsidRPr="002029AF">
        <w:t xml:space="preserve"> </w:t>
      </w:r>
      <w:r w:rsidRPr="002029AF">
        <w:t>and</w:t>
      </w:r>
      <w:r w:rsidR="000A5329" w:rsidRPr="002029AF">
        <w:t xml:space="preserve"> </w:t>
      </w:r>
      <w:r w:rsidRPr="002029AF">
        <w:t>provide</w:t>
      </w:r>
      <w:r w:rsidR="000A5329" w:rsidRPr="002029AF">
        <w:t xml:space="preserve"> </w:t>
      </w:r>
      <w:r w:rsidRPr="002029AF">
        <w:t>strategic</w:t>
      </w:r>
      <w:r w:rsidR="000A5329" w:rsidRPr="002029AF">
        <w:t xml:space="preserve"> </w:t>
      </w:r>
      <w:r w:rsidRPr="002029AF">
        <w:t>direction</w:t>
      </w:r>
      <w:r w:rsidR="000A5329" w:rsidRPr="002029AF">
        <w:t xml:space="preserve"> </w:t>
      </w:r>
      <w:r w:rsidRPr="002029AF">
        <w:t>regarding</w:t>
      </w:r>
      <w:r w:rsidR="000A5329" w:rsidRPr="002029AF">
        <w:t xml:space="preserve"> </w:t>
      </w:r>
      <w:r w:rsidRPr="002029AF">
        <w:t>integration</w:t>
      </w:r>
      <w:r w:rsidR="000A5329" w:rsidRPr="002029AF">
        <w:t xml:space="preserve"> </w:t>
      </w:r>
      <w:r w:rsidRPr="002029AF">
        <w:t>and</w:t>
      </w:r>
      <w:r w:rsidR="000A5329" w:rsidRPr="002029AF">
        <w:t xml:space="preserve"> </w:t>
      </w:r>
      <w:r w:rsidRPr="002029AF">
        <w:t>reform</w:t>
      </w:r>
      <w:r w:rsidR="000A5329" w:rsidRPr="002029AF">
        <w:t xml:space="preserve"> </w:t>
      </w:r>
      <w:r w:rsidRPr="002029AF">
        <w:t>of</w:t>
      </w:r>
      <w:r w:rsidR="000A5329" w:rsidRPr="002029AF">
        <w:t xml:space="preserve"> </w:t>
      </w:r>
      <w:r w:rsidRPr="002029AF">
        <w:t>the</w:t>
      </w:r>
      <w:r w:rsidR="000A5329" w:rsidRPr="002029AF">
        <w:t xml:space="preserve"> </w:t>
      </w:r>
      <w:r w:rsidRPr="002029AF">
        <w:t>Victorian</w:t>
      </w:r>
      <w:r w:rsidR="000A5329" w:rsidRPr="002029AF">
        <w:t xml:space="preserve"> </w:t>
      </w:r>
      <w:r w:rsidRPr="002029AF">
        <w:t>community</w:t>
      </w:r>
      <w:r w:rsidR="000A5329" w:rsidRPr="002029AF">
        <w:t xml:space="preserve"> </w:t>
      </w:r>
      <w:r w:rsidRPr="002029AF">
        <w:t>services</w:t>
      </w:r>
      <w:r w:rsidR="000A5329" w:rsidRPr="002029AF">
        <w:t xml:space="preserve"> </w:t>
      </w:r>
      <w:r w:rsidRPr="002029AF">
        <w:t>system.</w:t>
      </w:r>
    </w:p>
    <w:p w14:paraId="4E938616" w14:textId="45F8C7B4" w:rsidR="005D0E84" w:rsidRPr="002029AF" w:rsidRDefault="00CF72D5" w:rsidP="005D0E84">
      <w:pPr>
        <w:pStyle w:val="Heading3"/>
      </w:pPr>
      <w:r w:rsidRPr="002029AF">
        <w:t>Other</w:t>
      </w:r>
      <w:r w:rsidR="000A5329" w:rsidRPr="002029AF">
        <w:t xml:space="preserve"> </w:t>
      </w:r>
      <w:r w:rsidRPr="002029AF">
        <w:t>Internal</w:t>
      </w:r>
      <w:r w:rsidR="000A5329" w:rsidRPr="002029AF">
        <w:t xml:space="preserve"> </w:t>
      </w:r>
      <w:r w:rsidRPr="002029AF">
        <w:t>Committees</w:t>
      </w:r>
    </w:p>
    <w:p w14:paraId="59860486" w14:textId="20AC56A1" w:rsidR="00D44FA5" w:rsidRPr="002029AF" w:rsidRDefault="00D44FA5" w:rsidP="001E768A">
      <w:pPr>
        <w:pStyle w:val="ARbody"/>
      </w:pPr>
      <w:r w:rsidRPr="002029AF">
        <w:rPr>
          <w:lang w:eastAsia="en-AU"/>
        </w:rPr>
        <w:t>The</w:t>
      </w:r>
      <w:r w:rsidR="000A5329" w:rsidRPr="002029AF">
        <w:rPr>
          <w:lang w:eastAsia="en-AU"/>
        </w:rPr>
        <w:t xml:space="preserve"> </w:t>
      </w:r>
      <w:r w:rsidRPr="002029AF">
        <w:rPr>
          <w:lang w:eastAsia="en-AU"/>
        </w:rPr>
        <w:t>department</w:t>
      </w:r>
      <w:r w:rsidR="000A5329" w:rsidRPr="002029AF">
        <w:rPr>
          <w:lang w:eastAsia="en-AU"/>
        </w:rPr>
        <w:t xml:space="preserve"> </w:t>
      </w:r>
      <w:r w:rsidRPr="002029AF">
        <w:rPr>
          <w:lang w:eastAsia="en-AU"/>
        </w:rPr>
        <w:t>also</w:t>
      </w:r>
      <w:r w:rsidR="000A5329" w:rsidRPr="002029AF">
        <w:rPr>
          <w:lang w:eastAsia="en-AU"/>
        </w:rPr>
        <w:t xml:space="preserve"> </w:t>
      </w:r>
      <w:r w:rsidRPr="002029AF">
        <w:rPr>
          <w:lang w:eastAsia="en-AU"/>
        </w:rPr>
        <w:t>has</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following</w:t>
      </w:r>
      <w:r w:rsidR="000A5329" w:rsidRPr="002029AF">
        <w:rPr>
          <w:lang w:eastAsia="en-AU"/>
        </w:rPr>
        <w:t xml:space="preserve"> </w:t>
      </w:r>
      <w:r w:rsidRPr="002029AF">
        <w:rPr>
          <w:lang w:eastAsia="en-AU"/>
        </w:rPr>
        <w:t>other</w:t>
      </w:r>
      <w:r w:rsidR="000A5329" w:rsidRPr="002029AF">
        <w:rPr>
          <w:lang w:eastAsia="en-AU"/>
        </w:rPr>
        <w:t xml:space="preserve"> </w:t>
      </w:r>
      <w:r w:rsidRPr="002029AF">
        <w:rPr>
          <w:lang w:eastAsia="en-AU"/>
        </w:rPr>
        <w:t>ongoing</w:t>
      </w:r>
      <w:r w:rsidR="000A5329" w:rsidRPr="002029AF">
        <w:rPr>
          <w:lang w:eastAsia="en-AU"/>
        </w:rPr>
        <w:t xml:space="preserve"> </w:t>
      </w:r>
      <w:r w:rsidRPr="002029AF">
        <w:rPr>
          <w:lang w:eastAsia="en-AU"/>
        </w:rPr>
        <w:t>internal</w:t>
      </w:r>
      <w:r w:rsidR="000A5329" w:rsidRPr="002029AF">
        <w:rPr>
          <w:lang w:eastAsia="en-AU"/>
        </w:rPr>
        <w:t xml:space="preserve"> </w:t>
      </w:r>
      <w:r w:rsidRPr="002029AF">
        <w:rPr>
          <w:lang w:eastAsia="en-AU"/>
        </w:rPr>
        <w:t>committees</w:t>
      </w:r>
      <w:r w:rsidR="009E5A31" w:rsidRPr="002029AF">
        <w:rPr>
          <w:lang w:eastAsia="en-AU"/>
        </w:rPr>
        <w:t>:</w:t>
      </w:r>
    </w:p>
    <w:p w14:paraId="0DB71594" w14:textId="5A7D0925" w:rsidR="005D0E84" w:rsidRPr="002029AF" w:rsidRDefault="00CC3DC9" w:rsidP="005D0E84">
      <w:pPr>
        <w:pStyle w:val="ARbullet1"/>
      </w:pPr>
      <w:r w:rsidRPr="002029AF">
        <w:t>DHHS</w:t>
      </w:r>
      <w:r w:rsidR="000A5329" w:rsidRPr="002029AF">
        <w:t xml:space="preserve"> </w:t>
      </w:r>
      <w:r w:rsidRPr="002029AF">
        <w:t>Pride</w:t>
      </w:r>
      <w:r w:rsidR="000A5329" w:rsidRPr="002029AF">
        <w:t xml:space="preserve"> </w:t>
      </w:r>
      <w:r w:rsidRPr="002029AF">
        <w:t>Network</w:t>
      </w:r>
      <w:r w:rsidR="000A5329" w:rsidRPr="002029AF">
        <w:t xml:space="preserve"> </w:t>
      </w:r>
      <w:r w:rsidRPr="002029AF">
        <w:t>Committee</w:t>
      </w:r>
    </w:p>
    <w:p w14:paraId="78F91624" w14:textId="3551531E" w:rsidR="009E5A31" w:rsidRPr="002029AF" w:rsidRDefault="00CC3DC9" w:rsidP="00897193">
      <w:pPr>
        <w:pStyle w:val="ARbullet1"/>
      </w:pPr>
      <w:r w:rsidRPr="002029AF">
        <w:t>Divisional</w:t>
      </w:r>
      <w:r w:rsidR="000A5329" w:rsidRPr="002029AF">
        <w:t xml:space="preserve"> </w:t>
      </w:r>
      <w:r w:rsidRPr="002029AF">
        <w:t>OHS</w:t>
      </w:r>
      <w:r w:rsidR="000A5329" w:rsidRPr="002029AF">
        <w:t xml:space="preserve"> </w:t>
      </w:r>
      <w:r w:rsidRPr="002029AF">
        <w:t>Committees</w:t>
      </w:r>
    </w:p>
    <w:p w14:paraId="7DFDC58E" w14:textId="0A6FAF51" w:rsidR="000A5329" w:rsidRPr="002029AF" w:rsidRDefault="00CF72D5" w:rsidP="00897193">
      <w:pPr>
        <w:pStyle w:val="ARbullet1"/>
      </w:pPr>
      <w:r w:rsidRPr="002029AF">
        <w:t>Human</w:t>
      </w:r>
      <w:r w:rsidR="000A5329" w:rsidRPr="002029AF">
        <w:t xml:space="preserve"> </w:t>
      </w:r>
      <w:r w:rsidRPr="002029AF">
        <w:t>Services</w:t>
      </w:r>
      <w:r w:rsidR="000A5329" w:rsidRPr="002029AF">
        <w:t xml:space="preserve"> </w:t>
      </w:r>
      <w:r w:rsidRPr="002029AF">
        <w:t>and</w:t>
      </w:r>
      <w:r w:rsidR="000A5329" w:rsidRPr="002029AF">
        <w:t xml:space="preserve"> </w:t>
      </w:r>
      <w:r w:rsidRPr="002029AF">
        <w:t>Health</w:t>
      </w:r>
      <w:r w:rsidR="000A5329" w:rsidRPr="002029AF">
        <w:t xml:space="preserve"> </w:t>
      </w:r>
      <w:r w:rsidRPr="002029AF">
        <w:t>Partnership</w:t>
      </w:r>
      <w:r w:rsidR="000A5329" w:rsidRPr="002029AF">
        <w:t xml:space="preserve"> </w:t>
      </w:r>
      <w:r w:rsidRPr="002029AF">
        <w:t>Implementation</w:t>
      </w:r>
      <w:r w:rsidR="000A5329" w:rsidRPr="002029AF">
        <w:t xml:space="preserve"> </w:t>
      </w:r>
      <w:r w:rsidRPr="002029AF">
        <w:t>Committee</w:t>
      </w:r>
    </w:p>
    <w:p w14:paraId="3FD845A4" w14:textId="2C66AF79" w:rsidR="00CF72D5" w:rsidRPr="002029AF" w:rsidRDefault="00CF72D5" w:rsidP="00897193">
      <w:pPr>
        <w:pStyle w:val="ARbullet1"/>
      </w:pPr>
      <w:r w:rsidRPr="002029AF">
        <w:t>Future</w:t>
      </w:r>
      <w:r w:rsidR="000A5329" w:rsidRPr="002029AF">
        <w:t xml:space="preserve"> </w:t>
      </w:r>
      <w:r w:rsidRPr="002029AF">
        <w:t>Sustainability</w:t>
      </w:r>
      <w:r w:rsidR="000A5329" w:rsidRPr="002029AF">
        <w:t xml:space="preserve"> </w:t>
      </w:r>
      <w:r w:rsidRPr="002029AF">
        <w:t>Committee</w:t>
      </w:r>
    </w:p>
    <w:p w14:paraId="66F4878E" w14:textId="48AC9A5F" w:rsidR="00CF72D5" w:rsidRPr="002029AF" w:rsidRDefault="00CF72D5" w:rsidP="001E768A">
      <w:pPr>
        <w:pStyle w:val="ARbullet1"/>
      </w:pPr>
      <w:r w:rsidRPr="002029AF">
        <w:t>Procurement</w:t>
      </w:r>
      <w:r w:rsidR="000A5329" w:rsidRPr="002029AF">
        <w:t xml:space="preserve"> </w:t>
      </w:r>
      <w:r w:rsidRPr="002029AF">
        <w:t>Committee.</w:t>
      </w:r>
      <w:bookmarkEnd w:id="69"/>
      <w:bookmarkEnd w:id="70"/>
      <w:bookmarkEnd w:id="71"/>
    </w:p>
    <w:p w14:paraId="129F2662" w14:textId="77777777" w:rsidR="00DA5BCF" w:rsidRPr="002029AF" w:rsidRDefault="00DA5BCF" w:rsidP="00897193">
      <w:pPr>
        <w:pStyle w:val="Heading1"/>
        <w:sectPr w:rsidR="00DA5BCF" w:rsidRPr="002029AF" w:rsidSect="00EF3FCC">
          <w:pgSz w:w="11906" w:h="16838" w:code="9"/>
          <w:pgMar w:top="1985" w:right="851" w:bottom="851" w:left="1418" w:header="510" w:footer="340" w:gutter="0"/>
          <w:cols w:num="2" w:space="454"/>
          <w:docGrid w:linePitch="360"/>
          <w15:footnoteColumns w:val="1"/>
        </w:sectPr>
      </w:pPr>
      <w:bookmarkStart w:id="74" w:name="_Toc21682722"/>
      <w:bookmarkStart w:id="75" w:name="_Ref21862448"/>
    </w:p>
    <w:p w14:paraId="2CB4F471" w14:textId="131A6F6F" w:rsidR="00FC661E" w:rsidRPr="002029AF" w:rsidRDefault="00CF72D5" w:rsidP="00A952A7">
      <w:pPr>
        <w:pStyle w:val="Heading1"/>
      </w:pPr>
      <w:bookmarkStart w:id="76" w:name="_Toc54690769"/>
      <w:r w:rsidRPr="002029AF">
        <w:lastRenderedPageBreak/>
        <w:t>People</w:t>
      </w:r>
      <w:bookmarkEnd w:id="74"/>
      <w:bookmarkEnd w:id="75"/>
      <w:bookmarkEnd w:id="76"/>
    </w:p>
    <w:p w14:paraId="7A129EAC" w14:textId="1D53A385" w:rsidR="003566F1" w:rsidRPr="002029AF" w:rsidRDefault="003566F1" w:rsidP="003566F1">
      <w:pPr>
        <w:pStyle w:val="ARbody"/>
        <w:sectPr w:rsidR="003566F1" w:rsidRPr="002029AF" w:rsidSect="00A952A7">
          <w:pgSz w:w="11906" w:h="16838" w:code="9"/>
          <w:pgMar w:top="1985" w:right="851" w:bottom="851" w:left="1418" w:header="510" w:footer="340" w:gutter="0"/>
          <w:cols w:space="454"/>
          <w:docGrid w:linePitch="360"/>
          <w15:footnoteColumns w:val="1"/>
        </w:sectPr>
      </w:pPr>
    </w:p>
    <w:p w14:paraId="5916AC3C" w14:textId="6A56816F" w:rsidR="00D6546D" w:rsidRPr="002029AF" w:rsidRDefault="00D6546D" w:rsidP="00233C48">
      <w:pPr>
        <w:pStyle w:val="Heading2"/>
        <w:spacing w:before="0"/>
      </w:pPr>
      <w:r w:rsidRPr="002029AF">
        <w:t>Employment</w:t>
      </w:r>
      <w:r w:rsidR="000A5329" w:rsidRPr="002029AF">
        <w:t xml:space="preserve"> </w:t>
      </w:r>
      <w:r w:rsidRPr="002029AF">
        <w:t>and</w:t>
      </w:r>
      <w:r w:rsidR="000A5329" w:rsidRPr="002029AF">
        <w:t xml:space="preserve"> </w:t>
      </w:r>
      <w:r w:rsidRPr="002029AF">
        <w:t>conduct</w:t>
      </w:r>
      <w:r w:rsidR="000A5329" w:rsidRPr="002029AF">
        <w:t xml:space="preserve"> </w:t>
      </w:r>
      <w:r w:rsidRPr="002029AF">
        <w:t>principles</w:t>
      </w:r>
    </w:p>
    <w:p w14:paraId="55DA62B2" w14:textId="678FD9D2" w:rsidR="00D6546D" w:rsidRPr="002029AF" w:rsidRDefault="00D6546D" w:rsidP="00D6546D">
      <w:pPr>
        <w:pStyle w:val="ARbody"/>
      </w:pPr>
      <w:r w:rsidRPr="002029AF">
        <w:t>The</w:t>
      </w:r>
      <w:r w:rsidR="000A5329" w:rsidRPr="002029AF">
        <w:t xml:space="preserve"> </w:t>
      </w:r>
      <w:r w:rsidRPr="002029AF">
        <w:t>values</w:t>
      </w:r>
      <w:r w:rsidR="000A5329" w:rsidRPr="002029AF">
        <w:t xml:space="preserve"> </w:t>
      </w:r>
      <w:r w:rsidRPr="002029AF">
        <w:t>and</w:t>
      </w:r>
      <w:r w:rsidR="000A5329" w:rsidRPr="002029AF">
        <w:t xml:space="preserve"> </w:t>
      </w:r>
      <w:r w:rsidRPr="002029AF">
        <w:t>employment</w:t>
      </w:r>
      <w:r w:rsidR="000A5329" w:rsidRPr="002029AF">
        <w:t xml:space="preserve"> </w:t>
      </w:r>
      <w:r w:rsidRPr="002029AF">
        <w:t>principles</w:t>
      </w:r>
      <w:r w:rsidR="000A5329" w:rsidRPr="002029AF">
        <w:t xml:space="preserve"> </w:t>
      </w:r>
      <w:r w:rsidRPr="002029AF">
        <w:t>that</w:t>
      </w:r>
      <w:r w:rsidR="000A5329" w:rsidRPr="002029AF">
        <w:t xml:space="preserve"> </w:t>
      </w:r>
      <w:r w:rsidRPr="002029AF">
        <w:t>apply</w:t>
      </w:r>
      <w:r w:rsidR="000A5329" w:rsidRPr="002029AF">
        <w:t xml:space="preserve"> </w:t>
      </w:r>
      <w:r w:rsidRPr="002029AF">
        <w:t>to</w:t>
      </w:r>
      <w:r w:rsidR="00EF3FCC">
        <w:t> </w:t>
      </w:r>
      <w:r w:rsidRPr="002029AF">
        <w:t>the</w:t>
      </w:r>
      <w:r w:rsidR="000A5329" w:rsidRPr="002029AF">
        <w:t xml:space="preserve"> </w:t>
      </w:r>
      <w:r w:rsidRPr="002029AF">
        <w:t>broader</w:t>
      </w:r>
      <w:r w:rsidR="000A5329" w:rsidRPr="002029AF">
        <w:t xml:space="preserve"> </w:t>
      </w:r>
      <w:r w:rsidRPr="002029AF">
        <w:t>public</w:t>
      </w:r>
      <w:r w:rsidR="000A5329" w:rsidRPr="002029AF">
        <w:t xml:space="preserve"> </w:t>
      </w:r>
      <w:r w:rsidRPr="002029AF">
        <w:t>sector</w:t>
      </w:r>
      <w:r w:rsidR="000A5329" w:rsidRPr="002029AF">
        <w:t xml:space="preserve"> </w:t>
      </w:r>
      <w:r w:rsidRPr="002029AF">
        <w:t>are</w:t>
      </w:r>
      <w:r w:rsidR="000A5329" w:rsidRPr="002029AF">
        <w:t xml:space="preserve"> </w:t>
      </w:r>
      <w:r w:rsidRPr="002029AF">
        <w:t>detailed</w:t>
      </w:r>
      <w:r w:rsidR="000A5329" w:rsidRPr="002029AF">
        <w:t xml:space="preserve"> </w:t>
      </w:r>
      <w:r w:rsidRPr="002029AF">
        <w:t>in</w:t>
      </w:r>
      <w:r w:rsidR="00233C48" w:rsidRPr="002029AF">
        <w:t> </w:t>
      </w:r>
      <w:r w:rsidRPr="002029AF">
        <w:t>the</w:t>
      </w:r>
      <w:r w:rsidR="000A5329" w:rsidRPr="002029AF">
        <w:rPr>
          <w:i/>
          <w:iCs/>
        </w:rPr>
        <w:t xml:space="preserve"> </w:t>
      </w:r>
      <w:r w:rsidRPr="002029AF">
        <w:rPr>
          <w:i/>
          <w:iCs/>
        </w:rPr>
        <w:t>Public</w:t>
      </w:r>
      <w:r w:rsidR="000A5329" w:rsidRPr="002029AF">
        <w:rPr>
          <w:i/>
          <w:iCs/>
        </w:rPr>
        <w:t xml:space="preserve"> </w:t>
      </w:r>
      <w:r w:rsidRPr="002029AF">
        <w:rPr>
          <w:i/>
          <w:iCs/>
        </w:rPr>
        <w:t>Administration</w:t>
      </w:r>
      <w:r w:rsidR="000A5329" w:rsidRPr="002029AF">
        <w:rPr>
          <w:i/>
          <w:iCs/>
        </w:rPr>
        <w:t xml:space="preserve"> </w:t>
      </w:r>
      <w:r w:rsidRPr="002029AF">
        <w:rPr>
          <w:i/>
          <w:iCs/>
        </w:rPr>
        <w:t>Act</w:t>
      </w:r>
      <w:r w:rsidR="000A5329" w:rsidRPr="002029AF">
        <w:rPr>
          <w:i/>
          <w:iCs/>
        </w:rPr>
        <w:t xml:space="preserve"> </w:t>
      </w:r>
      <w:r w:rsidRPr="002029AF">
        <w:rPr>
          <w:i/>
          <w:iCs/>
        </w:rPr>
        <w:t>2004.</w:t>
      </w:r>
    </w:p>
    <w:p w14:paraId="36092BE5" w14:textId="6A1E67AD" w:rsidR="00D6546D" w:rsidRPr="002029AF" w:rsidRDefault="00D6546D" w:rsidP="00D6546D">
      <w:pPr>
        <w:pStyle w:val="ARbody"/>
      </w:pPr>
      <w:r w:rsidRPr="002029AF">
        <w:t>The</w:t>
      </w:r>
      <w:r w:rsidR="000A5329" w:rsidRPr="002029AF">
        <w:t xml:space="preserve"> </w:t>
      </w:r>
      <w:r w:rsidRPr="002029AF">
        <w:t>department</w:t>
      </w:r>
      <w:r w:rsidR="000A5329" w:rsidRPr="002029AF">
        <w:t xml:space="preserve"> </w:t>
      </w:r>
      <w:r w:rsidRPr="002029AF">
        <w:t>complies</w:t>
      </w:r>
      <w:r w:rsidR="000A5329" w:rsidRPr="002029AF">
        <w:t xml:space="preserve"> </w:t>
      </w:r>
      <w:r w:rsidRPr="002029AF">
        <w:t>with</w:t>
      </w:r>
      <w:r w:rsidR="000A5329" w:rsidRPr="002029AF">
        <w:t xml:space="preserve"> </w:t>
      </w:r>
      <w:r w:rsidRPr="002029AF">
        <w:t>these</w:t>
      </w:r>
      <w:r w:rsidR="000A5329" w:rsidRPr="002029AF">
        <w:t xml:space="preserve"> </w:t>
      </w:r>
      <w:r w:rsidRPr="002029AF">
        <w:t>employment</w:t>
      </w:r>
      <w:r w:rsidR="000A5329" w:rsidRPr="002029AF">
        <w:t xml:space="preserve"> </w:t>
      </w:r>
      <w:r w:rsidRPr="002029AF">
        <w:t>principles</w:t>
      </w:r>
      <w:r w:rsidR="000A5329" w:rsidRPr="002029AF">
        <w:t xml:space="preserve"> </w:t>
      </w:r>
      <w:r w:rsidRPr="002029AF">
        <w:t>and</w:t>
      </w:r>
      <w:r w:rsidR="000A5329" w:rsidRPr="002029AF">
        <w:t xml:space="preserve"> </w:t>
      </w:r>
      <w:r w:rsidRPr="002029AF">
        <w:t>continually</w:t>
      </w:r>
      <w:r w:rsidR="000A5329" w:rsidRPr="002029AF">
        <w:t xml:space="preserve"> </w:t>
      </w:r>
      <w:r w:rsidRPr="002029AF">
        <w:t>updates</w:t>
      </w:r>
      <w:r w:rsidR="000A5329" w:rsidRPr="002029AF">
        <w:t xml:space="preserve"> </w:t>
      </w:r>
      <w:r w:rsidRPr="002029AF">
        <w:t>its</w:t>
      </w:r>
      <w:r w:rsidR="000A5329" w:rsidRPr="002029AF">
        <w:t xml:space="preserve"> </w:t>
      </w:r>
      <w:r w:rsidRPr="002029AF">
        <w:t>policies</w:t>
      </w:r>
      <w:r w:rsidR="000A5329" w:rsidRPr="002029AF">
        <w:t xml:space="preserve"> </w:t>
      </w:r>
      <w:r w:rsidRPr="002029AF">
        <w:t>and</w:t>
      </w:r>
      <w:r w:rsidR="000A5329" w:rsidRPr="002029AF">
        <w:t xml:space="preserve"> </w:t>
      </w:r>
      <w:r w:rsidRPr="002029AF">
        <w:t>procedures</w:t>
      </w:r>
      <w:r w:rsidR="000A5329" w:rsidRPr="002029AF">
        <w:t xml:space="preserve"> </w:t>
      </w:r>
      <w:r w:rsidRPr="002029AF">
        <w:t>to</w:t>
      </w:r>
      <w:r w:rsidR="000A5329" w:rsidRPr="002029AF">
        <w:t xml:space="preserve"> </w:t>
      </w:r>
      <w:r w:rsidRPr="002029AF">
        <w:t>advance</w:t>
      </w:r>
      <w:r w:rsidR="000A5329" w:rsidRPr="002029AF">
        <w:t xml:space="preserve"> </w:t>
      </w:r>
      <w:r w:rsidRPr="002029AF">
        <w:t>them.</w:t>
      </w:r>
    </w:p>
    <w:p w14:paraId="18964D0D" w14:textId="43C34452" w:rsidR="00D6546D" w:rsidRPr="002029AF" w:rsidRDefault="00D6546D" w:rsidP="00D6546D">
      <w:pPr>
        <w:pStyle w:val="ARbody"/>
      </w:pPr>
      <w:r w:rsidRPr="002029AF">
        <w:t>The</w:t>
      </w:r>
      <w:r w:rsidR="000A5329" w:rsidRPr="002029AF">
        <w:t xml:space="preserve"> </w:t>
      </w:r>
      <w:r w:rsidRPr="002029AF">
        <w:t>department’s</w:t>
      </w:r>
      <w:r w:rsidR="000A5329" w:rsidRPr="002029AF">
        <w:t xml:space="preserve"> </w:t>
      </w:r>
      <w:r w:rsidRPr="002029AF">
        <w:t>values</w:t>
      </w:r>
      <w:r w:rsidR="000A5329" w:rsidRPr="002029AF">
        <w:t xml:space="preserve"> </w:t>
      </w:r>
      <w:r w:rsidRPr="002029AF">
        <w:t>are</w:t>
      </w:r>
      <w:r w:rsidR="000A5329" w:rsidRPr="002029AF">
        <w:t xml:space="preserve"> </w:t>
      </w:r>
      <w:r w:rsidRPr="002029AF">
        <w:t>also</w:t>
      </w:r>
      <w:r w:rsidR="000A5329" w:rsidRPr="002029AF">
        <w:t xml:space="preserve"> </w:t>
      </w:r>
      <w:r w:rsidRPr="002029AF">
        <w:t>aligned</w:t>
      </w:r>
      <w:r w:rsidR="000A5329" w:rsidRPr="002029AF">
        <w:t xml:space="preserve"> </w:t>
      </w:r>
      <w:r w:rsidRPr="002029AF">
        <w:t>to</w:t>
      </w:r>
      <w:r w:rsidR="000A5329" w:rsidRPr="002029AF">
        <w:t xml:space="preserve"> </w:t>
      </w:r>
      <w:r w:rsidRPr="002029AF">
        <w:t>those</w:t>
      </w:r>
      <w:r w:rsidR="000A5329" w:rsidRPr="002029AF">
        <w:t xml:space="preserve"> </w:t>
      </w:r>
      <w:r w:rsidRPr="002029AF">
        <w:t>set</w:t>
      </w:r>
      <w:r w:rsidR="000A5329" w:rsidRPr="002029AF">
        <w:t xml:space="preserve"> </w:t>
      </w:r>
      <w:r w:rsidRPr="002029AF">
        <w:t>out</w:t>
      </w:r>
      <w:r w:rsidR="000A5329" w:rsidRPr="002029AF">
        <w:t xml:space="preserve"> </w:t>
      </w:r>
      <w:r w:rsidRPr="002029AF">
        <w:t>in</w:t>
      </w:r>
      <w:r w:rsidR="000A5329" w:rsidRPr="002029AF">
        <w:t xml:space="preserve"> </w:t>
      </w:r>
      <w:r w:rsidRPr="002029AF">
        <w:t>the</w:t>
      </w:r>
      <w:r w:rsidR="000A5329" w:rsidRPr="002029AF">
        <w:t xml:space="preserve"> </w:t>
      </w:r>
      <w:r w:rsidRPr="002029AF">
        <w:t>Act.</w:t>
      </w:r>
      <w:r w:rsidR="000A5329" w:rsidRPr="002029AF">
        <w:t xml:space="preserve"> </w:t>
      </w:r>
      <w:r w:rsidRPr="002029AF">
        <w:t>It</w:t>
      </w:r>
      <w:r w:rsidR="000A5329" w:rsidRPr="002029AF">
        <w:t xml:space="preserve"> </w:t>
      </w:r>
      <w:r w:rsidRPr="002029AF">
        <w:t>is</w:t>
      </w:r>
      <w:r w:rsidR="000A5329" w:rsidRPr="002029AF">
        <w:t xml:space="preserve"> </w:t>
      </w:r>
      <w:r w:rsidRPr="002029AF">
        <w:t>committed</w:t>
      </w:r>
      <w:r w:rsidR="000A5329" w:rsidRPr="002029AF">
        <w:t xml:space="preserve"> </w:t>
      </w:r>
      <w:r w:rsidRPr="002029AF">
        <w:t>to</w:t>
      </w:r>
      <w:r w:rsidR="000A5329" w:rsidRPr="002029AF">
        <w:t xml:space="preserve"> </w:t>
      </w:r>
      <w:r w:rsidRPr="002029AF">
        <w:t>applying</w:t>
      </w:r>
      <w:r w:rsidR="000A5329" w:rsidRPr="002029AF">
        <w:t xml:space="preserve"> </w:t>
      </w:r>
      <w:r w:rsidRPr="002029AF">
        <w:t>merit</w:t>
      </w:r>
      <w:r w:rsidR="000A5329" w:rsidRPr="002029AF">
        <w:t xml:space="preserve"> </w:t>
      </w:r>
      <w:r w:rsidRPr="002029AF">
        <w:t>and</w:t>
      </w:r>
      <w:r w:rsidR="000A5329" w:rsidRPr="002029AF">
        <w:t xml:space="preserve"> </w:t>
      </w:r>
      <w:r w:rsidRPr="002029AF">
        <w:t>equity</w:t>
      </w:r>
      <w:r w:rsidR="000A5329" w:rsidRPr="002029AF">
        <w:t xml:space="preserve"> </w:t>
      </w:r>
      <w:r w:rsidRPr="002029AF">
        <w:t>principles</w:t>
      </w:r>
      <w:r w:rsidR="000A5329" w:rsidRPr="002029AF">
        <w:t xml:space="preserve"> </w:t>
      </w:r>
      <w:r w:rsidRPr="002029AF">
        <w:t>to</w:t>
      </w:r>
      <w:r w:rsidR="000A5329" w:rsidRPr="002029AF">
        <w:t xml:space="preserve"> </w:t>
      </w:r>
      <w:r w:rsidRPr="002029AF">
        <w:t>all</w:t>
      </w:r>
      <w:r w:rsidR="000A5329" w:rsidRPr="002029AF">
        <w:t xml:space="preserve"> </w:t>
      </w:r>
      <w:r w:rsidRPr="002029AF">
        <w:t>employment</w:t>
      </w:r>
      <w:r w:rsidR="000A5329" w:rsidRPr="002029AF">
        <w:t xml:space="preserve"> </w:t>
      </w:r>
      <w:r w:rsidRPr="002029AF">
        <w:t>policies,</w:t>
      </w:r>
      <w:r w:rsidR="000A5329" w:rsidRPr="002029AF">
        <w:t xml:space="preserve"> </w:t>
      </w:r>
      <w:r w:rsidRPr="002029AF">
        <w:t>programs</w:t>
      </w:r>
      <w:r w:rsidR="000A5329" w:rsidRPr="002029AF">
        <w:t xml:space="preserve"> </w:t>
      </w:r>
      <w:r w:rsidRPr="002029AF">
        <w:t>and</w:t>
      </w:r>
      <w:r w:rsidR="000A5329" w:rsidRPr="002029AF">
        <w:t xml:space="preserve"> </w:t>
      </w:r>
      <w:r w:rsidRPr="002029AF">
        <w:t>resources</w:t>
      </w:r>
      <w:r w:rsidR="000A5329" w:rsidRPr="002029AF">
        <w:t xml:space="preserve"> </w:t>
      </w:r>
      <w:r w:rsidRPr="002029AF">
        <w:t>and</w:t>
      </w:r>
      <w:r w:rsidR="000A5329" w:rsidRPr="002029AF">
        <w:t xml:space="preserve"> </w:t>
      </w:r>
      <w:r w:rsidRPr="002029AF">
        <w:t>ensures</w:t>
      </w:r>
      <w:r w:rsidR="000A5329" w:rsidRPr="002029AF">
        <w:t xml:space="preserve"> </w:t>
      </w:r>
      <w:r w:rsidRPr="002029AF">
        <w:t>its</w:t>
      </w:r>
      <w:r w:rsidR="000A5329" w:rsidRPr="002029AF">
        <w:t xml:space="preserve"> </w:t>
      </w:r>
      <w:r w:rsidRPr="002029AF">
        <w:t>values</w:t>
      </w:r>
      <w:r w:rsidR="000A5329" w:rsidRPr="002029AF">
        <w:t xml:space="preserve"> </w:t>
      </w:r>
      <w:r w:rsidRPr="002029AF">
        <w:t>are</w:t>
      </w:r>
      <w:r w:rsidR="000A5329" w:rsidRPr="002029AF">
        <w:t xml:space="preserve"> </w:t>
      </w:r>
      <w:r w:rsidRPr="002029AF">
        <w:t>implemented</w:t>
      </w:r>
      <w:r w:rsidR="000A5329" w:rsidRPr="002029AF">
        <w:t xml:space="preserve"> </w:t>
      </w:r>
      <w:r w:rsidRPr="002029AF">
        <w:t>throughout</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including</w:t>
      </w:r>
      <w:r w:rsidR="000A5329" w:rsidRPr="002029AF">
        <w:t xml:space="preserve"> </w:t>
      </w:r>
      <w:r w:rsidRPr="002029AF">
        <w:t>through</w:t>
      </w:r>
      <w:r w:rsidR="000A5329" w:rsidRPr="002029AF">
        <w:t xml:space="preserve"> </w:t>
      </w:r>
      <w:r w:rsidRPr="002029AF">
        <w:t>performance</w:t>
      </w:r>
      <w:r w:rsidR="000A5329" w:rsidRPr="002029AF">
        <w:t xml:space="preserve"> </w:t>
      </w:r>
      <w:r w:rsidRPr="002029AF">
        <w:t>planning</w:t>
      </w:r>
      <w:r w:rsidR="000A5329" w:rsidRPr="002029AF">
        <w:t xml:space="preserve"> </w:t>
      </w:r>
      <w:r w:rsidRPr="002029AF">
        <w:t>and</w:t>
      </w:r>
      <w:r w:rsidR="000A5329" w:rsidRPr="002029AF">
        <w:t xml:space="preserve"> </w:t>
      </w:r>
      <w:r w:rsidRPr="002029AF">
        <w:t>employee</w:t>
      </w:r>
      <w:r w:rsidR="000A5329" w:rsidRPr="002029AF">
        <w:t xml:space="preserve"> </w:t>
      </w:r>
      <w:r w:rsidRPr="002029AF">
        <w:t>recognition</w:t>
      </w:r>
      <w:r w:rsidR="000A5329" w:rsidRPr="002029AF">
        <w:t xml:space="preserve"> </w:t>
      </w:r>
      <w:r w:rsidRPr="002029AF">
        <w:t>processes.</w:t>
      </w:r>
    </w:p>
    <w:p w14:paraId="6C676B20" w14:textId="49A39A26" w:rsidR="00570456" w:rsidRPr="002029AF" w:rsidRDefault="00570456" w:rsidP="00570456">
      <w:pPr>
        <w:pStyle w:val="Heading2"/>
      </w:pPr>
      <w:r w:rsidRPr="002029AF">
        <w:t>Our</w:t>
      </w:r>
      <w:r w:rsidR="000A5329" w:rsidRPr="002029AF">
        <w:t xml:space="preserve"> </w:t>
      </w:r>
      <w:r w:rsidRPr="002029AF">
        <w:t>People</w:t>
      </w:r>
    </w:p>
    <w:p w14:paraId="5685A894" w14:textId="167B36DD" w:rsidR="00570456" w:rsidRPr="002029AF" w:rsidRDefault="00570456" w:rsidP="00570456">
      <w:pPr>
        <w:pStyle w:val="ARbody"/>
      </w:pPr>
      <w:r w:rsidRPr="002029AF">
        <w:t>The</w:t>
      </w:r>
      <w:r w:rsidR="000A5329" w:rsidRPr="002029AF">
        <w:t xml:space="preserve"> </w:t>
      </w:r>
      <w:r w:rsidRPr="002029AF">
        <w:t>department’s</w:t>
      </w:r>
      <w:r w:rsidR="000A5329" w:rsidRPr="002029AF">
        <w:t xml:space="preserve"> </w:t>
      </w:r>
      <w:r w:rsidRPr="002029AF">
        <w:t>people</w:t>
      </w:r>
      <w:r w:rsidR="000A5329" w:rsidRPr="002029AF">
        <w:t xml:space="preserve"> </w:t>
      </w:r>
      <w:r w:rsidRPr="002029AF">
        <w:t>work</w:t>
      </w:r>
      <w:r w:rsidR="000A5329" w:rsidRPr="002029AF">
        <w:t xml:space="preserve"> </w:t>
      </w:r>
      <w:r w:rsidRPr="002029AF">
        <w:t>across</w:t>
      </w:r>
      <w:r w:rsidR="000A5329" w:rsidRPr="002029AF">
        <w:t xml:space="preserve"> </w:t>
      </w:r>
      <w:r w:rsidRPr="002029AF">
        <w:t>a</w:t>
      </w:r>
      <w:r w:rsidR="000A5329" w:rsidRPr="002029AF">
        <w:t xml:space="preserve"> </w:t>
      </w:r>
      <w:r w:rsidRPr="002029AF">
        <w:t>range</w:t>
      </w:r>
      <w:r w:rsidR="000A5329" w:rsidRPr="002029AF">
        <w:t xml:space="preserve"> </w:t>
      </w:r>
      <w:r w:rsidRPr="002029AF">
        <w:t>of</w:t>
      </w:r>
      <w:r w:rsidR="000A5329" w:rsidRPr="002029AF">
        <w:t xml:space="preserve"> </w:t>
      </w:r>
      <w:r w:rsidRPr="002029AF">
        <w:t>fields</w:t>
      </w:r>
      <w:r w:rsidR="000A5329" w:rsidRPr="002029AF">
        <w:t xml:space="preserve"> </w:t>
      </w:r>
      <w:r w:rsidRPr="002029AF">
        <w:t>including</w:t>
      </w:r>
      <w:r w:rsidR="000A5329" w:rsidRPr="002029AF">
        <w:t xml:space="preserve"> </w:t>
      </w:r>
      <w:r w:rsidRPr="002029AF">
        <w:t>aged</w:t>
      </w:r>
      <w:r w:rsidR="000A5329" w:rsidRPr="002029AF">
        <w:t xml:space="preserve"> </w:t>
      </w:r>
      <w:r w:rsidRPr="002029AF">
        <w:t>care,</w:t>
      </w:r>
      <w:r w:rsidR="000A5329" w:rsidRPr="002029AF">
        <w:t xml:space="preserve"> </w:t>
      </w:r>
      <w:r w:rsidRPr="002029AF">
        <w:t>mental</w:t>
      </w:r>
      <w:r w:rsidR="000A5329" w:rsidRPr="002029AF">
        <w:t xml:space="preserve"> </w:t>
      </w:r>
      <w:r w:rsidRPr="002029AF">
        <w:t>health,</w:t>
      </w:r>
      <w:r w:rsidR="000A5329" w:rsidRPr="002029AF">
        <w:t xml:space="preserve"> </w:t>
      </w:r>
      <w:r w:rsidRPr="002029AF">
        <w:t>public</w:t>
      </w:r>
      <w:r w:rsidR="000A5329" w:rsidRPr="002029AF">
        <w:t xml:space="preserve"> </w:t>
      </w:r>
      <w:r w:rsidRPr="002029AF">
        <w:t>health</w:t>
      </w:r>
      <w:r w:rsidR="000A5329" w:rsidRPr="002029AF">
        <w:t xml:space="preserve"> </w:t>
      </w:r>
      <w:r w:rsidRPr="002029AF">
        <w:t>and</w:t>
      </w:r>
      <w:r w:rsidR="000A5329" w:rsidRPr="002029AF">
        <w:t xml:space="preserve"> </w:t>
      </w:r>
      <w:r w:rsidRPr="002029AF">
        <w:t>prevention,</w:t>
      </w:r>
      <w:r w:rsidR="000A5329" w:rsidRPr="002029AF">
        <w:t xml:space="preserve"> </w:t>
      </w:r>
      <w:r w:rsidRPr="002029AF">
        <w:t>child</w:t>
      </w:r>
      <w:r w:rsidR="000A5329" w:rsidRPr="002029AF">
        <w:t xml:space="preserve"> </w:t>
      </w:r>
      <w:r w:rsidRPr="002029AF">
        <w:t>protection,</w:t>
      </w:r>
      <w:r w:rsidR="000A5329" w:rsidRPr="002029AF">
        <w:t xml:space="preserve"> </w:t>
      </w:r>
      <w:r w:rsidRPr="002029AF">
        <w:t>disability</w:t>
      </w:r>
      <w:r w:rsidR="000A5329" w:rsidRPr="002029AF">
        <w:t xml:space="preserve"> </w:t>
      </w:r>
      <w:r w:rsidRPr="002029AF">
        <w:t>and</w:t>
      </w:r>
      <w:r w:rsidR="000A5329" w:rsidRPr="002029AF">
        <w:t xml:space="preserve"> </w:t>
      </w:r>
      <w:r w:rsidRPr="002029AF">
        <w:t>housing</w:t>
      </w:r>
      <w:r w:rsidR="000A5329" w:rsidRPr="002029AF">
        <w:t xml:space="preserve"> </w:t>
      </w:r>
      <w:r w:rsidRPr="002029AF">
        <w:t>support.</w:t>
      </w:r>
      <w:r w:rsidR="000A5329" w:rsidRPr="002029AF">
        <w:t xml:space="preserve"> </w:t>
      </w:r>
      <w:r w:rsidRPr="002029AF">
        <w:t>The</w:t>
      </w:r>
      <w:r w:rsidR="000A5329" w:rsidRPr="002029AF">
        <w:t xml:space="preserve"> </w:t>
      </w:r>
      <w:r w:rsidRPr="002029AF">
        <w:t>corporate</w:t>
      </w:r>
      <w:r w:rsidR="000A5329" w:rsidRPr="002029AF">
        <w:t xml:space="preserve"> </w:t>
      </w:r>
      <w:r w:rsidRPr="002029AF">
        <w:t>and</w:t>
      </w:r>
      <w:r w:rsidR="000A5329" w:rsidRPr="002029AF">
        <w:t xml:space="preserve"> </w:t>
      </w:r>
      <w:r w:rsidRPr="002029AF">
        <w:t>executive</w:t>
      </w:r>
      <w:r w:rsidR="000A5329" w:rsidRPr="002029AF">
        <w:t xml:space="preserve"> </w:t>
      </w:r>
      <w:r w:rsidRPr="002029AF">
        <w:t>support</w:t>
      </w:r>
      <w:r w:rsidR="000A5329" w:rsidRPr="002029AF">
        <w:t xml:space="preserve"> </w:t>
      </w:r>
      <w:r w:rsidRPr="002029AF">
        <w:t>functions</w:t>
      </w:r>
      <w:r w:rsidR="000A5329" w:rsidRPr="002029AF">
        <w:t xml:space="preserve"> </w:t>
      </w:r>
      <w:r w:rsidRPr="002029AF">
        <w:t>play</w:t>
      </w:r>
      <w:r w:rsidR="000A5329" w:rsidRPr="002029AF">
        <w:t xml:space="preserve"> </w:t>
      </w:r>
      <w:r w:rsidRPr="002029AF">
        <w:t>an</w:t>
      </w:r>
      <w:r w:rsidR="000A5329" w:rsidRPr="002029AF">
        <w:t xml:space="preserve"> </w:t>
      </w:r>
      <w:r w:rsidRPr="002029AF">
        <w:t>essential</w:t>
      </w:r>
      <w:r w:rsidR="000A5329" w:rsidRPr="002029AF">
        <w:t xml:space="preserve"> </w:t>
      </w:r>
      <w:r w:rsidRPr="002029AF">
        <w:t>enabling</w:t>
      </w:r>
      <w:r w:rsidR="000A5329" w:rsidRPr="002029AF">
        <w:t xml:space="preserve"> </w:t>
      </w:r>
      <w:r w:rsidRPr="002029AF">
        <w:t>role</w:t>
      </w:r>
      <w:r w:rsidR="000A5329" w:rsidRPr="002029AF">
        <w:t xml:space="preserve"> </w:t>
      </w:r>
      <w:r w:rsidRPr="002029AF">
        <w:t>across</w:t>
      </w:r>
      <w:r w:rsidR="000A5329" w:rsidRPr="002029AF">
        <w:t xml:space="preserve"> </w:t>
      </w:r>
      <w:r w:rsidRPr="002029AF">
        <w:t>human</w:t>
      </w:r>
      <w:r w:rsidR="000A5329" w:rsidRPr="002029AF">
        <w:t xml:space="preserve"> </w:t>
      </w:r>
      <w:r w:rsidRPr="002029AF">
        <w:t>resources,</w:t>
      </w:r>
      <w:r w:rsidR="000A5329" w:rsidRPr="002029AF">
        <w:t xml:space="preserve"> </w:t>
      </w:r>
      <w:r w:rsidRPr="002029AF">
        <w:t>communications,</w:t>
      </w:r>
      <w:r w:rsidR="000A5329" w:rsidRPr="002029AF">
        <w:t xml:space="preserve"> </w:t>
      </w:r>
      <w:r w:rsidRPr="002029AF">
        <w:t>information</w:t>
      </w:r>
      <w:r w:rsidR="000A5329" w:rsidRPr="002029AF">
        <w:t xml:space="preserve"> </w:t>
      </w:r>
      <w:r w:rsidRPr="002029AF">
        <w:t>technology,</w:t>
      </w:r>
      <w:r w:rsidR="000A5329" w:rsidRPr="002029AF">
        <w:t xml:space="preserve"> </w:t>
      </w:r>
      <w:r w:rsidRPr="002029AF">
        <w:t>finance</w:t>
      </w:r>
      <w:r w:rsidR="000A5329" w:rsidRPr="002029AF">
        <w:t xml:space="preserve"> </w:t>
      </w:r>
      <w:r w:rsidRPr="002029AF">
        <w:t>and</w:t>
      </w:r>
      <w:r w:rsidR="000A5329" w:rsidRPr="002029AF">
        <w:t xml:space="preserve"> </w:t>
      </w:r>
      <w:r w:rsidRPr="002029AF">
        <w:t>business</w:t>
      </w:r>
      <w:r w:rsidR="000A5329" w:rsidRPr="002029AF">
        <w:t xml:space="preserve"> </w:t>
      </w:r>
      <w:r w:rsidRPr="002029AF">
        <w:t>services.</w:t>
      </w:r>
    </w:p>
    <w:p w14:paraId="60A11CA4" w14:textId="4801F0F8" w:rsidR="00570456" w:rsidRPr="002029AF" w:rsidRDefault="00570456" w:rsidP="00570456">
      <w:pPr>
        <w:pStyle w:val="ARbody"/>
      </w:pPr>
      <w:r w:rsidRPr="002029AF">
        <w:t>The</w:t>
      </w:r>
      <w:r w:rsidR="000A5329" w:rsidRPr="002029AF">
        <w:t xml:space="preserve"> </w:t>
      </w:r>
      <w:r w:rsidRPr="002029AF">
        <w:t>department’s</w:t>
      </w:r>
      <w:r w:rsidR="000A5329" w:rsidRPr="002029AF">
        <w:t xml:space="preserve"> </w:t>
      </w:r>
      <w:r w:rsidRPr="002029AF">
        <w:t>strategic</w:t>
      </w:r>
      <w:r w:rsidR="000A5329" w:rsidRPr="002029AF">
        <w:t xml:space="preserve"> </w:t>
      </w:r>
      <w:r w:rsidRPr="002029AF">
        <w:t>plan</w:t>
      </w:r>
      <w:r w:rsidR="000A5329" w:rsidRPr="002029AF">
        <w:t xml:space="preserve"> </w:t>
      </w:r>
      <w:r w:rsidRPr="002029AF">
        <w:t>sets</w:t>
      </w:r>
      <w:r w:rsidR="000A5329" w:rsidRPr="002029AF">
        <w:t xml:space="preserve"> </w:t>
      </w:r>
      <w:r w:rsidRPr="002029AF">
        <w:t>out</w:t>
      </w:r>
      <w:r w:rsidR="000A5329" w:rsidRPr="002029AF">
        <w:t xml:space="preserve"> </w:t>
      </w:r>
      <w:r w:rsidRPr="002029AF">
        <w:t>the</w:t>
      </w:r>
      <w:r w:rsidR="000A5329" w:rsidRPr="002029AF">
        <w:t xml:space="preserve"> </w:t>
      </w:r>
      <w:r w:rsidRPr="002029AF">
        <w:t>directions</w:t>
      </w:r>
      <w:r w:rsidR="000A5329" w:rsidRPr="002029AF">
        <w:t xml:space="preserve"> </w:t>
      </w:r>
      <w:r w:rsidRPr="002029AF">
        <w:t>and</w:t>
      </w:r>
      <w:r w:rsidR="000A5329" w:rsidRPr="002029AF">
        <w:t xml:space="preserve"> </w:t>
      </w:r>
      <w:r w:rsidRPr="002029AF">
        <w:t>priorities</w:t>
      </w:r>
      <w:r w:rsidR="000A5329" w:rsidRPr="002029AF">
        <w:t xml:space="preserve"> </w:t>
      </w:r>
      <w:r w:rsidRPr="002029AF">
        <w:t>for</w:t>
      </w:r>
      <w:r w:rsidR="000A5329" w:rsidRPr="002029AF">
        <w:t xml:space="preserve"> </w:t>
      </w:r>
      <w:r w:rsidRPr="002029AF">
        <w:t>service</w:t>
      </w:r>
      <w:r w:rsidR="000A5329" w:rsidRPr="002029AF">
        <w:t xml:space="preserve"> </w:t>
      </w:r>
      <w:r w:rsidRPr="002029AF">
        <w:t>delivery.</w:t>
      </w:r>
    </w:p>
    <w:p w14:paraId="46CB156E" w14:textId="41029C94" w:rsidR="00570456" w:rsidRPr="002029AF" w:rsidRDefault="00570456" w:rsidP="00FC001B">
      <w:pPr>
        <w:pStyle w:val="Heading3"/>
      </w:pPr>
      <w:r w:rsidRPr="002029AF">
        <w:t>People</w:t>
      </w:r>
      <w:r w:rsidR="000A5329" w:rsidRPr="002029AF">
        <w:t xml:space="preserve"> </w:t>
      </w:r>
      <w:r w:rsidRPr="002029AF">
        <w:t>strategy</w:t>
      </w:r>
      <w:r w:rsidR="000A5329" w:rsidRPr="002029AF">
        <w:t xml:space="preserve"> </w:t>
      </w:r>
      <w:r w:rsidRPr="002029AF">
        <w:t>2020+</w:t>
      </w:r>
    </w:p>
    <w:p w14:paraId="78020449" w14:textId="5B8C7874" w:rsidR="00570456" w:rsidRPr="002029AF" w:rsidRDefault="00570456" w:rsidP="00570456">
      <w:pPr>
        <w:pStyle w:val="ARbody"/>
      </w:pPr>
      <w:r w:rsidRPr="002029AF">
        <w:t>The</w:t>
      </w:r>
      <w:r w:rsidR="000A5329" w:rsidRPr="002029AF">
        <w:t xml:space="preserve"> </w:t>
      </w:r>
      <w:r w:rsidRPr="002029AF">
        <w:t>departments</w:t>
      </w:r>
      <w:r w:rsidR="000A5329" w:rsidRPr="002029AF">
        <w:t xml:space="preserve"> </w:t>
      </w:r>
      <w:r w:rsidRPr="002029AF">
        <w:t>People</w:t>
      </w:r>
      <w:r w:rsidR="000A5329" w:rsidRPr="002029AF">
        <w:t xml:space="preserve"> </w:t>
      </w:r>
      <w:r w:rsidRPr="002029AF">
        <w:t>Strategy</w:t>
      </w:r>
      <w:r w:rsidR="000A5329" w:rsidRPr="002029AF">
        <w:t xml:space="preserve"> </w:t>
      </w:r>
      <w:r w:rsidRPr="002029AF">
        <w:t>continues</w:t>
      </w:r>
      <w:r w:rsidR="000A5329" w:rsidRPr="002029AF">
        <w:t xml:space="preserve"> </w:t>
      </w:r>
      <w:r w:rsidRPr="002029AF">
        <w:t>to</w:t>
      </w:r>
      <w:r w:rsidR="00EF3FCC">
        <w:t xml:space="preserve"> </w:t>
      </w:r>
      <w:r w:rsidRPr="002029AF">
        <w:t>be</w:t>
      </w:r>
      <w:r w:rsidR="000A5329" w:rsidRPr="002029AF">
        <w:t xml:space="preserve"> </w:t>
      </w:r>
      <w:r w:rsidRPr="002029AF">
        <w:t>a</w:t>
      </w:r>
      <w:r w:rsidR="00EF3FCC">
        <w:t> </w:t>
      </w:r>
      <w:r w:rsidRPr="002029AF">
        <w:t>key</w:t>
      </w:r>
      <w:r w:rsidR="000A5329" w:rsidRPr="002029AF">
        <w:t xml:space="preserve"> </w:t>
      </w:r>
      <w:r w:rsidRPr="002029AF">
        <w:t>driver</w:t>
      </w:r>
      <w:r w:rsidR="000A5329" w:rsidRPr="002029AF">
        <w:t xml:space="preserve"> </w:t>
      </w:r>
      <w:r w:rsidRPr="002029AF">
        <w:t>in</w:t>
      </w:r>
      <w:r w:rsidR="000A5329" w:rsidRPr="002029AF">
        <w:t xml:space="preserve"> </w:t>
      </w:r>
      <w:r w:rsidRPr="002029AF">
        <w:t>enabling</w:t>
      </w:r>
      <w:r w:rsidR="000A5329" w:rsidRPr="002029AF">
        <w:t xml:space="preserve"> </w:t>
      </w:r>
      <w:r w:rsidRPr="002029AF">
        <w:t>the</w:t>
      </w:r>
      <w:r w:rsidR="000A5329" w:rsidRPr="002029AF">
        <w:t xml:space="preserve"> </w:t>
      </w:r>
      <w:r w:rsidRPr="002029AF">
        <w:t>delivery</w:t>
      </w:r>
      <w:r w:rsidR="000A5329" w:rsidRPr="002029AF">
        <w:t xml:space="preserve"> </w:t>
      </w:r>
      <w:r w:rsidRPr="002029AF">
        <w:t>of</w:t>
      </w:r>
      <w:r w:rsidR="000A5329" w:rsidRPr="002029AF">
        <w:t xml:space="preserve"> </w:t>
      </w:r>
      <w:r w:rsidRPr="002029AF">
        <w:t>services</w:t>
      </w:r>
      <w:r w:rsidR="000A5329" w:rsidRPr="002029AF">
        <w:t xml:space="preserve"> </w:t>
      </w:r>
      <w:r w:rsidRPr="002029AF">
        <w:t>we</w:t>
      </w:r>
      <w:r w:rsidR="000A5329" w:rsidRPr="002029AF">
        <w:t xml:space="preserve"> </w:t>
      </w:r>
      <w:r w:rsidRPr="002029AF">
        <w:t>provide</w:t>
      </w:r>
      <w:r w:rsidR="000A5329" w:rsidRPr="002029AF">
        <w:t xml:space="preserve"> </w:t>
      </w:r>
      <w:r w:rsidRPr="002029AF">
        <w:t>to</w:t>
      </w:r>
      <w:r w:rsidR="000A5329" w:rsidRPr="002029AF">
        <w:t xml:space="preserve"> </w:t>
      </w:r>
      <w:r w:rsidRPr="002029AF">
        <w:t>the</w:t>
      </w:r>
      <w:r w:rsidR="000A5329" w:rsidRPr="002029AF">
        <w:t xml:space="preserve"> </w:t>
      </w:r>
      <w:r w:rsidRPr="002029AF">
        <w:t>community.</w:t>
      </w:r>
      <w:r w:rsidR="000A5329" w:rsidRPr="002029AF">
        <w:t xml:space="preserve"> </w:t>
      </w:r>
      <w:r w:rsidRPr="002029AF">
        <w:t>To</w:t>
      </w:r>
      <w:r w:rsidR="000A5329" w:rsidRPr="002029AF">
        <w:t xml:space="preserve"> </w:t>
      </w:r>
      <w:r w:rsidRPr="002029AF">
        <w:t>meet</w:t>
      </w:r>
      <w:r w:rsidR="000A5329" w:rsidRPr="002029AF">
        <w:t xml:space="preserve"> </w:t>
      </w:r>
      <w:r w:rsidRPr="002029AF">
        <w:t>the</w:t>
      </w:r>
      <w:r w:rsidR="000A5329" w:rsidRPr="002029AF">
        <w:t xml:space="preserve"> </w:t>
      </w:r>
      <w:r w:rsidRPr="002029AF">
        <w:t>changing</w:t>
      </w:r>
      <w:r w:rsidR="000A5329" w:rsidRPr="002029AF">
        <w:t xml:space="preserve"> </w:t>
      </w:r>
      <w:r w:rsidRPr="002029AF">
        <w:t>needs</w:t>
      </w:r>
      <w:r w:rsidR="000A5329" w:rsidRPr="002029AF">
        <w:t xml:space="preserve"> </w:t>
      </w:r>
      <w:r w:rsidRPr="002029AF">
        <w:t>of</w:t>
      </w:r>
      <w:r w:rsidR="000A5329" w:rsidRPr="002029AF">
        <w:t xml:space="preserve"> </w:t>
      </w:r>
      <w:r w:rsidRPr="002029AF">
        <w:t>those</w:t>
      </w:r>
      <w:r w:rsidR="000A5329" w:rsidRPr="002029AF">
        <w:t xml:space="preserve"> </w:t>
      </w:r>
      <w:r w:rsidRPr="002029AF">
        <w:t>we</w:t>
      </w:r>
      <w:r w:rsidR="000A5329" w:rsidRPr="002029AF">
        <w:t xml:space="preserve"> </w:t>
      </w:r>
      <w:r w:rsidRPr="002029AF">
        <w:t>serve</w:t>
      </w:r>
      <w:r w:rsidR="000A5329" w:rsidRPr="002029AF">
        <w:t xml:space="preserve"> </w:t>
      </w:r>
      <w:r w:rsidRPr="002029AF">
        <w:t>the</w:t>
      </w:r>
      <w:r w:rsidR="000A5329" w:rsidRPr="002029AF">
        <w:t xml:space="preserve"> </w:t>
      </w:r>
      <w:r w:rsidRPr="002029AF">
        <w:t>People</w:t>
      </w:r>
      <w:r w:rsidR="000A5329" w:rsidRPr="002029AF">
        <w:t xml:space="preserve"> </w:t>
      </w:r>
      <w:r w:rsidRPr="002029AF">
        <w:t>Strategy</w:t>
      </w:r>
      <w:r w:rsidR="000A5329" w:rsidRPr="002029AF">
        <w:t xml:space="preserve"> </w:t>
      </w:r>
      <w:r w:rsidRPr="002029AF">
        <w:t>has</w:t>
      </w:r>
      <w:r w:rsidR="000A5329" w:rsidRPr="002029AF">
        <w:t xml:space="preserve"> </w:t>
      </w:r>
      <w:r w:rsidRPr="002029AF">
        <w:t>been</w:t>
      </w:r>
      <w:r w:rsidR="000A5329" w:rsidRPr="002029AF">
        <w:t xml:space="preserve"> </w:t>
      </w:r>
      <w:r w:rsidRPr="002029AF">
        <w:t>refreshed</w:t>
      </w:r>
      <w:r w:rsidR="000A5329" w:rsidRPr="002029AF">
        <w:t xml:space="preserve"> </w:t>
      </w:r>
      <w:r w:rsidRPr="002029AF">
        <w:t>to</w:t>
      </w:r>
      <w:r w:rsidR="000A5329" w:rsidRPr="002029AF">
        <w:t xml:space="preserve"> </w:t>
      </w:r>
      <w:r w:rsidRPr="002029AF">
        <w:t>ensure</w:t>
      </w:r>
      <w:r w:rsidR="000A5329" w:rsidRPr="002029AF">
        <w:t xml:space="preserve"> </w:t>
      </w:r>
      <w:r w:rsidRPr="002029AF">
        <w:t>we</w:t>
      </w:r>
      <w:r w:rsidR="000A5329" w:rsidRPr="002029AF">
        <w:t xml:space="preserve"> </w:t>
      </w:r>
      <w:r w:rsidRPr="002029AF">
        <w:t>continue</w:t>
      </w:r>
      <w:r w:rsidR="000A5329" w:rsidRPr="002029AF">
        <w:t xml:space="preserve"> </w:t>
      </w:r>
      <w:r w:rsidRPr="002029AF">
        <w:t>to</w:t>
      </w:r>
      <w:r w:rsidR="000A5329" w:rsidRPr="002029AF">
        <w:t xml:space="preserve"> </w:t>
      </w:r>
      <w:r w:rsidRPr="002029AF">
        <w:t>provide</w:t>
      </w:r>
      <w:r w:rsidR="000A5329" w:rsidRPr="002029AF">
        <w:t xml:space="preserve"> </w:t>
      </w:r>
      <w:r w:rsidRPr="002029AF">
        <w:t>a</w:t>
      </w:r>
      <w:r w:rsidR="000A5329" w:rsidRPr="002029AF">
        <w:t xml:space="preserve"> </w:t>
      </w:r>
      <w:r w:rsidRPr="002029AF">
        <w:t>working</w:t>
      </w:r>
      <w:r w:rsidR="000A5329" w:rsidRPr="002029AF">
        <w:t xml:space="preserve"> </w:t>
      </w:r>
      <w:r w:rsidRPr="002029AF">
        <w:t>environment</w:t>
      </w:r>
      <w:r w:rsidR="000A5329" w:rsidRPr="002029AF">
        <w:t xml:space="preserve"> </w:t>
      </w:r>
      <w:r w:rsidRPr="002029AF">
        <w:t>that</w:t>
      </w:r>
      <w:r w:rsidR="000A5329" w:rsidRPr="002029AF">
        <w:t xml:space="preserve"> </w:t>
      </w:r>
      <w:r w:rsidRPr="002029AF">
        <w:t>support</w:t>
      </w:r>
      <w:r w:rsidR="000A5329" w:rsidRPr="002029AF">
        <w:t xml:space="preserve"> </w:t>
      </w:r>
      <w:r w:rsidRPr="002029AF">
        <w:t>the</w:t>
      </w:r>
      <w:r w:rsidR="000A5329" w:rsidRPr="002029AF">
        <w:t xml:space="preserve"> </w:t>
      </w:r>
      <w:r w:rsidRPr="002029AF">
        <w:t>need</w:t>
      </w:r>
      <w:r w:rsidR="000A5329" w:rsidRPr="002029AF">
        <w:t xml:space="preserve"> </w:t>
      </w:r>
      <w:r w:rsidRPr="002029AF">
        <w:t>of</w:t>
      </w:r>
      <w:r w:rsidR="000A5329" w:rsidRPr="002029AF">
        <w:t xml:space="preserve"> </w:t>
      </w:r>
      <w:r w:rsidRPr="002029AF">
        <w:t>our</w:t>
      </w:r>
      <w:r w:rsidR="000A5329" w:rsidRPr="002029AF">
        <w:t xml:space="preserve"> </w:t>
      </w:r>
      <w:r w:rsidRPr="002029AF">
        <w:t>clients,</w:t>
      </w:r>
      <w:r w:rsidR="000A5329" w:rsidRPr="002029AF">
        <w:t xml:space="preserve"> </w:t>
      </w:r>
      <w:r w:rsidRPr="002029AF">
        <w:t>patients,</w:t>
      </w:r>
      <w:r w:rsidR="000A5329" w:rsidRPr="002029AF">
        <w:t xml:space="preserve"> </w:t>
      </w:r>
      <w:r w:rsidRPr="002029AF">
        <w:t>victim</w:t>
      </w:r>
      <w:r w:rsidR="000A5329" w:rsidRPr="002029AF">
        <w:t xml:space="preserve"> </w:t>
      </w:r>
      <w:r w:rsidRPr="002029AF">
        <w:t>survivors,</w:t>
      </w:r>
      <w:r w:rsidR="000A5329" w:rsidRPr="002029AF">
        <w:t xml:space="preserve"> </w:t>
      </w:r>
      <w:r w:rsidRPr="002029AF">
        <w:t>customers</w:t>
      </w:r>
      <w:r w:rsidR="000A5329" w:rsidRPr="002029AF">
        <w:t xml:space="preserve"> </w:t>
      </w:r>
      <w:r w:rsidRPr="002029AF">
        <w:t>and</w:t>
      </w:r>
      <w:r w:rsidR="000A5329" w:rsidRPr="002029AF">
        <w:t xml:space="preserve"> </w:t>
      </w:r>
      <w:r w:rsidRPr="002029AF">
        <w:t>stakeholders.</w:t>
      </w:r>
    </w:p>
    <w:p w14:paraId="62CB74F9" w14:textId="06343F3C" w:rsidR="000A5329" w:rsidRPr="002029AF" w:rsidRDefault="00570456" w:rsidP="00570456">
      <w:pPr>
        <w:pStyle w:val="ARbody"/>
      </w:pPr>
      <w:r w:rsidRPr="002029AF">
        <w:t>The</w:t>
      </w:r>
      <w:r w:rsidR="000A5329" w:rsidRPr="002029AF">
        <w:t xml:space="preserve"> </w:t>
      </w:r>
      <w:r w:rsidRPr="002029AF">
        <w:t>People</w:t>
      </w:r>
      <w:r w:rsidR="000A5329" w:rsidRPr="002029AF">
        <w:t xml:space="preserve"> </w:t>
      </w:r>
      <w:r w:rsidRPr="002029AF">
        <w:t>Strategy</w:t>
      </w:r>
      <w:r w:rsidR="000A5329" w:rsidRPr="002029AF">
        <w:t xml:space="preserve"> </w:t>
      </w:r>
      <w:r w:rsidRPr="002029AF">
        <w:t>2020+</w:t>
      </w:r>
      <w:r w:rsidR="000A5329" w:rsidRPr="002029AF">
        <w:t xml:space="preserve"> </w:t>
      </w:r>
      <w:r w:rsidRPr="002029AF">
        <w:t>is</w:t>
      </w:r>
      <w:r w:rsidR="000A5329" w:rsidRPr="002029AF">
        <w:t xml:space="preserve"> </w:t>
      </w:r>
      <w:r w:rsidRPr="002029AF">
        <w:t>a</w:t>
      </w:r>
      <w:r w:rsidR="000A5329" w:rsidRPr="002029AF">
        <w:t xml:space="preserve"> </w:t>
      </w:r>
      <w:r w:rsidRPr="002029AF">
        <w:t>road</w:t>
      </w:r>
      <w:r w:rsidR="000A5329" w:rsidRPr="002029AF">
        <w:t xml:space="preserve"> </w:t>
      </w:r>
      <w:r w:rsidRPr="002029AF">
        <w:t>map</w:t>
      </w:r>
      <w:r w:rsidR="000A5329" w:rsidRPr="002029AF">
        <w:t xml:space="preserve"> </w:t>
      </w:r>
      <w:r w:rsidRPr="002029AF">
        <w:t>for</w:t>
      </w:r>
      <w:r w:rsidR="00EF3FCC">
        <w:t xml:space="preserve"> </w:t>
      </w:r>
      <w:r w:rsidRPr="002029AF">
        <w:t>how</w:t>
      </w:r>
      <w:r w:rsidR="00EF3FCC">
        <w:t> </w:t>
      </w:r>
      <w:r w:rsidRPr="002029AF">
        <w:t>we</w:t>
      </w:r>
      <w:r w:rsidR="000A5329" w:rsidRPr="002029AF">
        <w:t xml:space="preserve"> </w:t>
      </w:r>
      <w:r w:rsidRPr="002029AF">
        <w:t>move</w:t>
      </w:r>
      <w:r w:rsidR="000A5329" w:rsidRPr="002029AF">
        <w:t xml:space="preserve"> </w:t>
      </w:r>
      <w:r w:rsidRPr="002029AF">
        <w:t>into</w:t>
      </w:r>
      <w:r w:rsidR="000A5329" w:rsidRPr="002029AF">
        <w:t xml:space="preserve"> </w:t>
      </w:r>
      <w:r w:rsidRPr="002029AF">
        <w:t>the</w:t>
      </w:r>
      <w:r w:rsidR="000A5329" w:rsidRPr="002029AF">
        <w:t xml:space="preserve"> </w:t>
      </w:r>
      <w:r w:rsidRPr="002029AF">
        <w:t>future</w:t>
      </w:r>
      <w:r w:rsidR="000A5329" w:rsidRPr="002029AF">
        <w:t xml:space="preserve"> </w:t>
      </w:r>
      <w:r w:rsidRPr="002029AF">
        <w:t>to</w:t>
      </w:r>
      <w:r w:rsidR="000A5329" w:rsidRPr="002029AF">
        <w:t xml:space="preserve"> </w:t>
      </w:r>
      <w:r w:rsidRPr="002029AF">
        <w:t>achieve</w:t>
      </w:r>
      <w:r w:rsidR="000A5329" w:rsidRPr="002029AF">
        <w:t xml:space="preserve"> </w:t>
      </w:r>
      <w:r w:rsidRPr="002029AF">
        <w:t>the</w:t>
      </w:r>
      <w:r w:rsidR="00EF3FCC">
        <w:t xml:space="preserve"> </w:t>
      </w:r>
      <w:r w:rsidRPr="002029AF">
        <w:t>department’s</w:t>
      </w:r>
      <w:r w:rsidR="000A5329" w:rsidRPr="002029AF">
        <w:t xml:space="preserve"> </w:t>
      </w:r>
      <w:r w:rsidRPr="002029AF">
        <w:t>vision.</w:t>
      </w:r>
      <w:r w:rsidR="000A5329" w:rsidRPr="002029AF">
        <w:t xml:space="preserve"> </w:t>
      </w:r>
      <w:r w:rsidRPr="002029AF">
        <w:t>It</w:t>
      </w:r>
      <w:r w:rsidR="000A5329" w:rsidRPr="002029AF">
        <w:t xml:space="preserve"> </w:t>
      </w:r>
      <w:r w:rsidRPr="002029AF">
        <w:t>is</w:t>
      </w:r>
      <w:r w:rsidR="000A5329" w:rsidRPr="002029AF">
        <w:t xml:space="preserve"> </w:t>
      </w:r>
      <w:r w:rsidRPr="002029AF">
        <w:t>an</w:t>
      </w:r>
      <w:r w:rsidR="000A5329" w:rsidRPr="002029AF">
        <w:t xml:space="preserve"> </w:t>
      </w:r>
      <w:r w:rsidRPr="002029AF">
        <w:t>ongoing</w:t>
      </w:r>
      <w:r w:rsidR="000A5329" w:rsidRPr="002029AF">
        <w:t xml:space="preserve"> </w:t>
      </w:r>
      <w:r w:rsidRPr="002029AF">
        <w:t>commitment</w:t>
      </w:r>
      <w:r w:rsidR="000A5329" w:rsidRPr="002029AF">
        <w:t xml:space="preserve"> </w:t>
      </w:r>
      <w:r w:rsidRPr="002029AF">
        <w:t>to</w:t>
      </w:r>
      <w:r w:rsidR="00EF3FCC">
        <w:t> </w:t>
      </w:r>
      <w:r w:rsidRPr="002029AF">
        <w:t>invest</w:t>
      </w:r>
      <w:r w:rsidR="000A5329" w:rsidRPr="002029AF">
        <w:t xml:space="preserve"> </w:t>
      </w:r>
      <w:r w:rsidRPr="002029AF">
        <w:t>in</w:t>
      </w:r>
      <w:r w:rsidR="000A5329" w:rsidRPr="002029AF">
        <w:t xml:space="preserve"> </w:t>
      </w:r>
      <w:r w:rsidRPr="002029AF">
        <w:t>developing</w:t>
      </w:r>
      <w:r w:rsidR="000A5329" w:rsidRPr="002029AF">
        <w:t xml:space="preserve"> </w:t>
      </w:r>
      <w:r w:rsidRPr="002029AF">
        <w:t>and</w:t>
      </w:r>
      <w:r w:rsidR="000A5329" w:rsidRPr="002029AF">
        <w:t xml:space="preserve"> </w:t>
      </w:r>
      <w:r w:rsidRPr="002029AF">
        <w:t>supporting</w:t>
      </w:r>
      <w:r w:rsidR="000A5329" w:rsidRPr="002029AF">
        <w:t xml:space="preserve"> </w:t>
      </w:r>
      <w:r w:rsidRPr="002029AF">
        <w:t>our</w:t>
      </w:r>
      <w:r w:rsidR="000A5329" w:rsidRPr="002029AF">
        <w:t xml:space="preserve"> </w:t>
      </w:r>
      <w:r w:rsidRPr="002029AF">
        <w:t>people</w:t>
      </w:r>
      <w:r w:rsidR="000A5329" w:rsidRPr="002029AF">
        <w:t xml:space="preserve"> </w:t>
      </w:r>
      <w:r w:rsidRPr="002029AF">
        <w:t>that</w:t>
      </w:r>
      <w:r w:rsidR="000A5329" w:rsidRPr="002029AF">
        <w:t xml:space="preserve"> </w:t>
      </w:r>
      <w:r w:rsidRPr="002029AF">
        <w:t>continues</w:t>
      </w:r>
      <w:r w:rsidR="000A5329" w:rsidRPr="002029AF">
        <w:t xml:space="preserve"> </w:t>
      </w:r>
      <w:r w:rsidRPr="002029AF">
        <w:t>to</w:t>
      </w:r>
      <w:r w:rsidR="000A5329" w:rsidRPr="002029AF">
        <w:t xml:space="preserve"> </w:t>
      </w:r>
      <w:r w:rsidRPr="002029AF">
        <w:t>focus</w:t>
      </w:r>
      <w:r w:rsidR="000A5329" w:rsidRPr="002029AF">
        <w:t xml:space="preserve"> </w:t>
      </w:r>
      <w:r w:rsidRPr="002029AF">
        <w:t>on</w:t>
      </w:r>
      <w:r w:rsidR="00233C48" w:rsidRPr="002029AF">
        <w:t> </w:t>
      </w:r>
      <w:r w:rsidRPr="002029AF">
        <w:t>five</w:t>
      </w:r>
      <w:r w:rsidR="000A5329" w:rsidRPr="002029AF">
        <w:t xml:space="preserve"> </w:t>
      </w:r>
      <w:r w:rsidRPr="002029AF">
        <w:t>core</w:t>
      </w:r>
      <w:r w:rsidR="000A5329" w:rsidRPr="002029AF">
        <w:t xml:space="preserve"> </w:t>
      </w:r>
      <w:r w:rsidRPr="002029AF">
        <w:t>themes:</w:t>
      </w:r>
    </w:p>
    <w:p w14:paraId="42065EBD" w14:textId="2B6D808A" w:rsidR="000A5329" w:rsidRPr="002029AF" w:rsidRDefault="00570456" w:rsidP="00EF3FCC">
      <w:pPr>
        <w:pStyle w:val="ARbullet1"/>
        <w:keepNext/>
      </w:pPr>
      <w:r w:rsidRPr="002029AF">
        <w:t>Build</w:t>
      </w:r>
      <w:r w:rsidR="000A5329" w:rsidRPr="002029AF">
        <w:t xml:space="preserve"> </w:t>
      </w:r>
      <w:r w:rsidRPr="002029AF">
        <w:t>a</w:t>
      </w:r>
      <w:r w:rsidR="000A5329" w:rsidRPr="002029AF">
        <w:t xml:space="preserve"> </w:t>
      </w:r>
      <w:r w:rsidRPr="002029AF">
        <w:t>diverse</w:t>
      </w:r>
      <w:r w:rsidR="000A5329" w:rsidRPr="002029AF">
        <w:t xml:space="preserve"> </w:t>
      </w:r>
      <w:r w:rsidRPr="002029AF">
        <w:t>and</w:t>
      </w:r>
      <w:r w:rsidR="000A5329" w:rsidRPr="002029AF">
        <w:t xml:space="preserve"> </w:t>
      </w:r>
      <w:r w:rsidRPr="002029AF">
        <w:t>high-performing</w:t>
      </w:r>
      <w:r w:rsidR="000A5329" w:rsidRPr="002029AF">
        <w:t xml:space="preserve"> </w:t>
      </w:r>
      <w:r w:rsidRPr="002029AF">
        <w:t>workforce</w:t>
      </w:r>
    </w:p>
    <w:p w14:paraId="3F8786C1" w14:textId="446BD023" w:rsidR="000A5329" w:rsidRPr="002029AF" w:rsidRDefault="00570456" w:rsidP="00570456">
      <w:pPr>
        <w:pStyle w:val="ARbullet1"/>
      </w:pPr>
      <w:r w:rsidRPr="002029AF">
        <w:t>Inspire</w:t>
      </w:r>
      <w:r w:rsidR="000A5329" w:rsidRPr="002029AF">
        <w:t xml:space="preserve"> </w:t>
      </w:r>
      <w:r w:rsidRPr="002029AF">
        <w:t>and</w:t>
      </w:r>
      <w:r w:rsidR="000A5329" w:rsidRPr="002029AF">
        <w:t xml:space="preserve"> </w:t>
      </w:r>
      <w:r w:rsidRPr="002029AF">
        <w:t>grow</w:t>
      </w:r>
      <w:r w:rsidR="000A5329" w:rsidRPr="002029AF">
        <w:t xml:space="preserve"> </w:t>
      </w:r>
      <w:r w:rsidRPr="002029AF">
        <w:t>our</w:t>
      </w:r>
      <w:r w:rsidR="000A5329" w:rsidRPr="002029AF">
        <w:t xml:space="preserve"> </w:t>
      </w:r>
      <w:r w:rsidRPr="002029AF">
        <w:t>people</w:t>
      </w:r>
    </w:p>
    <w:p w14:paraId="14629B4B" w14:textId="3DB8C908" w:rsidR="000A5329" w:rsidRPr="002029AF" w:rsidRDefault="00570456" w:rsidP="00570456">
      <w:pPr>
        <w:pStyle w:val="ARbullet1"/>
      </w:pPr>
      <w:r w:rsidRPr="002029AF">
        <w:t>Engage</w:t>
      </w:r>
      <w:r w:rsidR="000A5329" w:rsidRPr="002029AF">
        <w:t xml:space="preserve"> </w:t>
      </w:r>
      <w:r w:rsidRPr="002029AF">
        <w:t>and</w:t>
      </w:r>
      <w:r w:rsidR="000A5329" w:rsidRPr="002029AF">
        <w:t xml:space="preserve"> </w:t>
      </w:r>
      <w:r w:rsidRPr="002029AF">
        <w:t>advance</w:t>
      </w:r>
      <w:r w:rsidR="000A5329" w:rsidRPr="002029AF">
        <w:t xml:space="preserve"> </w:t>
      </w:r>
      <w:r w:rsidRPr="002029AF">
        <w:t>our</w:t>
      </w:r>
      <w:r w:rsidR="000A5329" w:rsidRPr="002029AF">
        <w:t xml:space="preserve"> </w:t>
      </w:r>
      <w:r w:rsidRPr="002029AF">
        <w:t>people</w:t>
      </w:r>
    </w:p>
    <w:p w14:paraId="72DF932E" w14:textId="428D6537" w:rsidR="000A5329" w:rsidRPr="002029AF" w:rsidRDefault="00570456" w:rsidP="00570456">
      <w:pPr>
        <w:pStyle w:val="ARbullet1"/>
      </w:pPr>
      <w:r w:rsidRPr="002029AF">
        <w:t>Provide</w:t>
      </w:r>
      <w:r w:rsidR="000A5329" w:rsidRPr="002029AF">
        <w:t xml:space="preserve"> </w:t>
      </w:r>
      <w:r w:rsidRPr="002029AF">
        <w:t>purposeful</w:t>
      </w:r>
      <w:r w:rsidR="000A5329" w:rsidRPr="002029AF">
        <w:t xml:space="preserve"> </w:t>
      </w:r>
      <w:r w:rsidRPr="002029AF">
        <w:t>leadership</w:t>
      </w:r>
    </w:p>
    <w:p w14:paraId="4FD529E6" w14:textId="2C439D40" w:rsidR="000A5329" w:rsidRPr="002029AF" w:rsidRDefault="00570456" w:rsidP="00570456">
      <w:pPr>
        <w:pStyle w:val="ARbullet1"/>
      </w:pPr>
      <w:r w:rsidRPr="002029AF">
        <w:t>Create</w:t>
      </w:r>
      <w:r w:rsidR="000A5329" w:rsidRPr="002029AF">
        <w:t xml:space="preserve"> </w:t>
      </w:r>
      <w:r w:rsidRPr="002029AF">
        <w:t>a</w:t>
      </w:r>
      <w:r w:rsidR="000A5329" w:rsidRPr="002029AF">
        <w:t xml:space="preserve"> </w:t>
      </w:r>
      <w:r w:rsidRPr="002029AF">
        <w:t>great</w:t>
      </w:r>
      <w:r w:rsidR="000A5329" w:rsidRPr="002029AF">
        <w:t xml:space="preserve"> </w:t>
      </w:r>
      <w:r w:rsidRPr="002029AF">
        <w:t>people</w:t>
      </w:r>
      <w:r w:rsidR="000A5329" w:rsidRPr="002029AF">
        <w:t xml:space="preserve"> </w:t>
      </w:r>
      <w:r w:rsidRPr="002029AF">
        <w:t>experience</w:t>
      </w:r>
      <w:r w:rsidR="00FA479F" w:rsidRPr="002029AF">
        <w:t>.</w:t>
      </w:r>
    </w:p>
    <w:p w14:paraId="283C181D" w14:textId="13BCFE69" w:rsidR="000A5329" w:rsidRPr="002029AF" w:rsidRDefault="00570456" w:rsidP="00FC001B">
      <w:pPr>
        <w:pStyle w:val="ARbodyafterbullets"/>
      </w:pPr>
      <w:r w:rsidRPr="002029AF">
        <w:t>Key</w:t>
      </w:r>
      <w:r w:rsidR="000A5329" w:rsidRPr="002029AF">
        <w:t xml:space="preserve"> </w:t>
      </w:r>
      <w:r w:rsidRPr="002029AF">
        <w:t>highlights</w:t>
      </w:r>
      <w:r w:rsidR="000A5329" w:rsidRPr="002029AF">
        <w:t xml:space="preserve"> </w:t>
      </w:r>
      <w:r w:rsidRPr="002029AF">
        <w:t>for</w:t>
      </w:r>
      <w:r w:rsidR="000A5329" w:rsidRPr="002029AF">
        <w:t xml:space="preserve"> </w:t>
      </w:r>
      <w:r w:rsidRPr="002029AF">
        <w:t>the</w:t>
      </w:r>
      <w:r w:rsidR="000A5329" w:rsidRPr="002029AF">
        <w:t xml:space="preserve"> </w:t>
      </w:r>
      <w:r w:rsidRPr="002029AF">
        <w:t>year</w:t>
      </w:r>
      <w:r w:rsidR="000A5329" w:rsidRPr="002029AF">
        <w:t xml:space="preserve"> </w:t>
      </w:r>
      <w:r w:rsidRPr="002029AF">
        <w:t>include:</w:t>
      </w:r>
    </w:p>
    <w:p w14:paraId="55F8CCBC" w14:textId="4CDDD4E5" w:rsidR="000A5329" w:rsidRPr="002029AF" w:rsidRDefault="00570456" w:rsidP="00570456">
      <w:pPr>
        <w:pStyle w:val="ARbullet1"/>
      </w:pPr>
      <w:r w:rsidRPr="002029AF">
        <w:t>continued</w:t>
      </w:r>
      <w:r w:rsidR="000A5329" w:rsidRPr="002029AF">
        <w:t xml:space="preserve"> </w:t>
      </w:r>
      <w:r w:rsidRPr="002029AF">
        <w:t>delivery</w:t>
      </w:r>
      <w:r w:rsidR="000A5329" w:rsidRPr="002029AF">
        <w:t xml:space="preserve"> </w:t>
      </w:r>
      <w:r w:rsidRPr="002029AF">
        <w:t>of</w:t>
      </w:r>
      <w:r w:rsidR="000A5329" w:rsidRPr="002029AF">
        <w:t xml:space="preserve"> </w:t>
      </w:r>
      <w:r w:rsidRPr="002029AF">
        <w:t>the</w:t>
      </w:r>
      <w:r w:rsidR="000A5329" w:rsidRPr="002029AF">
        <w:t xml:space="preserve"> </w:t>
      </w:r>
      <w:r w:rsidRPr="002029AF">
        <w:t>disability</w:t>
      </w:r>
      <w:r w:rsidR="000A5329" w:rsidRPr="002029AF">
        <w:t xml:space="preserve"> </w:t>
      </w:r>
      <w:r w:rsidRPr="002029AF">
        <w:t>employment</w:t>
      </w:r>
      <w:r w:rsidR="000A5329" w:rsidRPr="002029AF">
        <w:t xml:space="preserve"> </w:t>
      </w:r>
      <w:r w:rsidRPr="002029AF">
        <w:t>strategy,</w:t>
      </w:r>
      <w:r w:rsidR="000A5329" w:rsidRPr="002029AF">
        <w:t xml:space="preserve"> </w:t>
      </w:r>
      <w:r w:rsidRPr="002029AF">
        <w:t>including</w:t>
      </w:r>
      <w:r w:rsidR="000A5329" w:rsidRPr="002029AF">
        <w:t xml:space="preserve"> </w:t>
      </w:r>
      <w:r w:rsidRPr="002029AF">
        <w:t>implementation</w:t>
      </w:r>
      <w:r w:rsidR="000A5329" w:rsidRPr="002029AF">
        <w:t xml:space="preserve"> </w:t>
      </w:r>
      <w:r w:rsidRPr="002029AF">
        <w:t>of</w:t>
      </w:r>
      <w:r w:rsidR="000A5329" w:rsidRPr="002029AF">
        <w:t xml:space="preserve"> </w:t>
      </w:r>
      <w:r w:rsidRPr="002029AF">
        <w:t>the</w:t>
      </w:r>
      <w:r w:rsidR="000A5329" w:rsidRPr="002029AF">
        <w:t xml:space="preserve"> </w:t>
      </w:r>
      <w:r w:rsidRPr="002029AF">
        <w:t>RISE@DHHS</w:t>
      </w:r>
      <w:r w:rsidR="000A5329" w:rsidRPr="002029AF">
        <w:t xml:space="preserve"> </w:t>
      </w:r>
      <w:r w:rsidRPr="002029AF">
        <w:t>program</w:t>
      </w:r>
      <w:r w:rsidR="000A5329" w:rsidRPr="002029AF">
        <w:t xml:space="preserve"> </w:t>
      </w:r>
      <w:r w:rsidRPr="002029AF">
        <w:t>to</w:t>
      </w:r>
      <w:r w:rsidR="000A5329" w:rsidRPr="002029AF">
        <w:t xml:space="preserve"> </w:t>
      </w:r>
      <w:r w:rsidRPr="002029AF">
        <w:t>provide meaningful</w:t>
      </w:r>
      <w:r w:rsidR="000A5329" w:rsidRPr="002029AF">
        <w:t xml:space="preserve"> </w:t>
      </w:r>
      <w:r w:rsidRPr="002029AF">
        <w:t>employment</w:t>
      </w:r>
      <w:r w:rsidR="000A5329" w:rsidRPr="002029AF">
        <w:t xml:space="preserve"> </w:t>
      </w:r>
      <w:r w:rsidRPr="002029AF">
        <w:t>for</w:t>
      </w:r>
      <w:r w:rsidR="000A5329" w:rsidRPr="002029AF">
        <w:t xml:space="preserve"> </w:t>
      </w:r>
      <w:r w:rsidRPr="002029AF">
        <w:t>people</w:t>
      </w:r>
      <w:r w:rsidR="000A5329" w:rsidRPr="002029AF">
        <w:t xml:space="preserve"> </w:t>
      </w:r>
      <w:r w:rsidRPr="002029AF">
        <w:t>on the</w:t>
      </w:r>
      <w:r w:rsidR="000A5329" w:rsidRPr="002029AF">
        <w:t xml:space="preserve"> </w:t>
      </w:r>
      <w:r w:rsidRPr="002029AF">
        <w:t>autism</w:t>
      </w:r>
      <w:r w:rsidR="000A5329" w:rsidRPr="002029AF">
        <w:t xml:space="preserve"> </w:t>
      </w:r>
      <w:r w:rsidRPr="002029AF">
        <w:t>spectrum</w:t>
      </w:r>
    </w:p>
    <w:p w14:paraId="72CE8A83" w14:textId="2226FDA8" w:rsidR="000A5329" w:rsidRPr="002029AF" w:rsidRDefault="00570456" w:rsidP="00570456">
      <w:pPr>
        <w:pStyle w:val="ARbullet1"/>
      </w:pPr>
      <w:r w:rsidRPr="002029AF">
        <w:t>achieving</w:t>
      </w:r>
      <w:r w:rsidR="000A5329" w:rsidRPr="002029AF">
        <w:t xml:space="preserve"> </w:t>
      </w:r>
      <w:r w:rsidRPr="002029AF">
        <w:t>a</w:t>
      </w:r>
      <w:r w:rsidR="000A5329" w:rsidRPr="002029AF">
        <w:t xml:space="preserve"> </w:t>
      </w:r>
      <w:r w:rsidRPr="002029AF">
        <w:t>bronze</w:t>
      </w:r>
      <w:r w:rsidR="000A5329" w:rsidRPr="002029AF">
        <w:t xml:space="preserve"> </w:t>
      </w:r>
      <w:r w:rsidRPr="002029AF">
        <w:t>award</w:t>
      </w:r>
      <w:r w:rsidR="000A5329" w:rsidRPr="002029AF">
        <w:t xml:space="preserve"> </w:t>
      </w:r>
      <w:r w:rsidRPr="002029AF">
        <w:t>in</w:t>
      </w:r>
      <w:r w:rsidR="000A5329" w:rsidRPr="002029AF">
        <w:t xml:space="preserve"> </w:t>
      </w:r>
      <w:r w:rsidRPr="002029AF">
        <w:t>the</w:t>
      </w:r>
      <w:r w:rsidR="000A5329" w:rsidRPr="002029AF">
        <w:t xml:space="preserve"> </w:t>
      </w:r>
      <w:r w:rsidRPr="002029AF">
        <w:t>Australian</w:t>
      </w:r>
      <w:r w:rsidR="000A5329" w:rsidRPr="002029AF">
        <w:t xml:space="preserve"> </w:t>
      </w:r>
      <w:r w:rsidRPr="002029AF">
        <w:t>Workplace</w:t>
      </w:r>
      <w:r w:rsidR="000A5329" w:rsidRPr="002029AF">
        <w:t xml:space="preserve"> </w:t>
      </w:r>
      <w:r w:rsidRPr="002029AF">
        <w:t>Equality</w:t>
      </w:r>
      <w:r w:rsidR="000A5329" w:rsidRPr="002029AF">
        <w:t xml:space="preserve"> </w:t>
      </w:r>
      <w:r w:rsidRPr="002029AF">
        <w:t>Index</w:t>
      </w:r>
      <w:r w:rsidR="000A5329" w:rsidRPr="002029AF">
        <w:t xml:space="preserve"> </w:t>
      </w:r>
      <w:r w:rsidRPr="002029AF">
        <w:t>(AWEI)</w:t>
      </w:r>
      <w:r w:rsidR="000A5329" w:rsidRPr="002029AF">
        <w:t xml:space="preserve"> </w:t>
      </w:r>
      <w:r w:rsidRPr="002029AF">
        <w:t>–</w:t>
      </w:r>
      <w:r w:rsidR="000A5329" w:rsidRPr="002029AF">
        <w:t xml:space="preserve"> </w:t>
      </w:r>
      <w:r w:rsidRPr="002029AF">
        <w:t>the</w:t>
      </w:r>
      <w:r w:rsidR="000A5329" w:rsidRPr="002029AF">
        <w:t xml:space="preserve"> </w:t>
      </w:r>
      <w:r w:rsidRPr="002029AF">
        <w:t>national</w:t>
      </w:r>
      <w:r w:rsidR="000A5329" w:rsidRPr="002029AF">
        <w:t xml:space="preserve"> </w:t>
      </w:r>
      <w:r w:rsidRPr="002029AF">
        <w:t>benchmark</w:t>
      </w:r>
      <w:r w:rsidR="000A5329" w:rsidRPr="002029AF">
        <w:t xml:space="preserve"> </w:t>
      </w:r>
      <w:r w:rsidRPr="002029AF">
        <w:t>on</w:t>
      </w:r>
      <w:r w:rsidR="000A5329" w:rsidRPr="002029AF">
        <w:t xml:space="preserve"> </w:t>
      </w:r>
      <w:r w:rsidRPr="002029AF">
        <w:t>LGBTQ</w:t>
      </w:r>
      <w:r w:rsidR="000A5329" w:rsidRPr="002029AF">
        <w:t xml:space="preserve"> </w:t>
      </w:r>
      <w:r w:rsidRPr="002029AF">
        <w:t>workplace</w:t>
      </w:r>
      <w:r w:rsidR="000A5329" w:rsidRPr="002029AF">
        <w:t xml:space="preserve"> </w:t>
      </w:r>
      <w:r w:rsidRPr="002029AF">
        <w:t>inclusion</w:t>
      </w:r>
    </w:p>
    <w:p w14:paraId="6484EE14" w14:textId="48340718" w:rsidR="000A5329" w:rsidRPr="002029AF" w:rsidRDefault="00570456" w:rsidP="00570456">
      <w:pPr>
        <w:pStyle w:val="ARbullet1"/>
      </w:pPr>
      <w:r w:rsidRPr="002029AF">
        <w:t>continued</w:t>
      </w:r>
      <w:r w:rsidR="000A5329" w:rsidRPr="002029AF">
        <w:t xml:space="preserve"> </w:t>
      </w:r>
      <w:r w:rsidRPr="002029AF">
        <w:t>implementation</w:t>
      </w:r>
      <w:r w:rsidR="000A5329" w:rsidRPr="002029AF">
        <w:t xml:space="preserve"> </w:t>
      </w:r>
      <w:r w:rsidRPr="002029AF">
        <w:t>of</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Aboriginal</w:t>
      </w:r>
      <w:r w:rsidR="000A5329" w:rsidRPr="002029AF">
        <w:t xml:space="preserve"> </w:t>
      </w:r>
      <w:r w:rsidRPr="002029AF">
        <w:t>employment</w:t>
      </w:r>
      <w:r w:rsidR="000A5329" w:rsidRPr="002029AF">
        <w:t xml:space="preserve"> </w:t>
      </w:r>
      <w:r w:rsidRPr="002029AF">
        <w:t>strategy</w:t>
      </w:r>
      <w:r w:rsidR="00233C48" w:rsidRPr="002029AF">
        <w:t> </w:t>
      </w:r>
      <w:r w:rsidRPr="002029AF">
        <w:t>including</w:t>
      </w:r>
      <w:r w:rsidR="000A5329" w:rsidRPr="002029AF">
        <w:t xml:space="preserve"> </w:t>
      </w:r>
      <w:r w:rsidRPr="002029AF">
        <w:t>early</w:t>
      </w:r>
      <w:r w:rsidR="000A5329" w:rsidRPr="002029AF">
        <w:t xml:space="preserve"> </w:t>
      </w:r>
      <w:r w:rsidRPr="002029AF">
        <w:t>achievement</w:t>
      </w:r>
      <w:r w:rsidR="000A5329" w:rsidRPr="002029AF">
        <w:t xml:space="preserve"> </w:t>
      </w:r>
      <w:r w:rsidRPr="002029AF">
        <w:t>of</w:t>
      </w:r>
      <w:r w:rsidR="000A5329" w:rsidRPr="002029AF">
        <w:t xml:space="preserve"> </w:t>
      </w:r>
      <w:r w:rsidRPr="002029AF">
        <w:t>the</w:t>
      </w:r>
      <w:r w:rsidR="00233C48" w:rsidRPr="002029AF">
        <w:t> </w:t>
      </w:r>
      <w:r w:rsidRPr="002029AF">
        <w:t>department’s</w:t>
      </w:r>
      <w:r w:rsidR="000A5329" w:rsidRPr="002029AF">
        <w:t xml:space="preserve"> </w:t>
      </w:r>
      <w:r w:rsidRPr="002029AF">
        <w:t>two</w:t>
      </w:r>
      <w:r w:rsidR="000A5329" w:rsidRPr="002029AF">
        <w:t xml:space="preserve"> </w:t>
      </w:r>
      <w:r w:rsidRPr="002029AF">
        <w:t>per</w:t>
      </w:r>
      <w:r w:rsidR="000A5329" w:rsidRPr="002029AF">
        <w:t xml:space="preserve"> </w:t>
      </w:r>
      <w:r w:rsidRPr="002029AF">
        <w:t>cent</w:t>
      </w:r>
      <w:r w:rsidR="000A5329" w:rsidRPr="002029AF">
        <w:t xml:space="preserve"> </w:t>
      </w:r>
      <w:r w:rsidRPr="002029AF">
        <w:t>Aboriginal</w:t>
      </w:r>
      <w:r w:rsidR="000A5329" w:rsidRPr="002029AF">
        <w:t xml:space="preserve"> </w:t>
      </w:r>
      <w:r w:rsidRPr="002029AF">
        <w:t>workforce</w:t>
      </w:r>
      <w:r w:rsidR="000A5329" w:rsidRPr="002029AF">
        <w:t xml:space="preserve"> </w:t>
      </w:r>
      <w:r w:rsidRPr="002029AF">
        <w:t>target</w:t>
      </w:r>
    </w:p>
    <w:p w14:paraId="704AE05E" w14:textId="230AABDF" w:rsidR="000A5329" w:rsidRPr="002029AF" w:rsidRDefault="00570456" w:rsidP="00570456">
      <w:pPr>
        <w:pStyle w:val="ARbullet1"/>
      </w:pPr>
      <w:r w:rsidRPr="002029AF">
        <w:t>development</w:t>
      </w:r>
      <w:r w:rsidR="000A5329" w:rsidRPr="002029AF">
        <w:t xml:space="preserve"> </w:t>
      </w:r>
      <w:r w:rsidRPr="002029AF">
        <w:t>and</w:t>
      </w:r>
      <w:r w:rsidR="000A5329" w:rsidRPr="002029AF">
        <w:t xml:space="preserve"> </w:t>
      </w:r>
      <w:r w:rsidR="00FA479F" w:rsidRPr="002029AF">
        <w:t>implementation</w:t>
      </w:r>
      <w:r w:rsidR="000A5329" w:rsidRPr="002029AF">
        <w:t xml:space="preserve"> </w:t>
      </w:r>
      <w:r w:rsidRPr="002029AF">
        <w:t>of</w:t>
      </w:r>
      <w:r w:rsidR="000A5329" w:rsidRPr="002029AF">
        <w:t xml:space="preserve"> </w:t>
      </w:r>
      <w:r w:rsidRPr="002029AF">
        <w:t>a</w:t>
      </w:r>
      <w:r w:rsidR="000A5329" w:rsidRPr="002029AF">
        <w:t xml:space="preserve"> </w:t>
      </w:r>
      <w:r w:rsidRPr="002029AF">
        <w:t>department-wide</w:t>
      </w:r>
      <w:r w:rsidR="000A5329" w:rsidRPr="002029AF">
        <w:t xml:space="preserve"> </w:t>
      </w:r>
      <w:r w:rsidRPr="002029AF">
        <w:t>capability</w:t>
      </w:r>
      <w:r w:rsidR="000A5329" w:rsidRPr="002029AF">
        <w:t xml:space="preserve"> </w:t>
      </w:r>
      <w:r w:rsidRPr="002029AF">
        <w:t>framework</w:t>
      </w:r>
    </w:p>
    <w:p w14:paraId="1B053BEB" w14:textId="3D4CE219" w:rsidR="00570456" w:rsidRPr="002029AF" w:rsidRDefault="00570456" w:rsidP="00570456">
      <w:pPr>
        <w:pStyle w:val="ARbullet1"/>
      </w:pPr>
      <w:r w:rsidRPr="002029AF">
        <w:t>delivery</w:t>
      </w:r>
      <w:r w:rsidR="000A5329" w:rsidRPr="002029AF">
        <w:t xml:space="preserve"> </w:t>
      </w:r>
      <w:r w:rsidRPr="002029AF">
        <w:t>of</w:t>
      </w:r>
      <w:r w:rsidR="000A5329" w:rsidRPr="002029AF">
        <w:t xml:space="preserve"> </w:t>
      </w:r>
      <w:r w:rsidRPr="002029AF">
        <w:t>the</w:t>
      </w:r>
      <w:r w:rsidR="000A5329" w:rsidRPr="002029AF">
        <w:t xml:space="preserve"> </w:t>
      </w:r>
      <w:r w:rsidRPr="002029AF">
        <w:t>Leading</w:t>
      </w:r>
      <w:r w:rsidR="000A5329" w:rsidRPr="002029AF">
        <w:t xml:space="preserve"> </w:t>
      </w:r>
      <w:r w:rsidRPr="002029AF">
        <w:t>with</w:t>
      </w:r>
      <w:r w:rsidR="000A5329" w:rsidRPr="002029AF">
        <w:t xml:space="preserve"> </w:t>
      </w:r>
      <w:r w:rsidRPr="002029AF">
        <w:t>Respect</w:t>
      </w:r>
      <w:r w:rsidR="000A5329" w:rsidRPr="002029AF">
        <w:t xml:space="preserve"> </w:t>
      </w:r>
      <w:r w:rsidRPr="002029AF">
        <w:t>program</w:t>
      </w:r>
      <w:r w:rsidR="000A5329" w:rsidRPr="002029AF">
        <w:t xml:space="preserve"> </w:t>
      </w:r>
      <w:r w:rsidRPr="002029AF">
        <w:t>to</w:t>
      </w:r>
      <w:r w:rsidR="000A5329" w:rsidRPr="002029AF">
        <w:t xml:space="preserve"> </w:t>
      </w:r>
      <w:r w:rsidRPr="002029AF">
        <w:t>enhance</w:t>
      </w:r>
      <w:r w:rsidR="000A5329" w:rsidRPr="002029AF">
        <w:t xml:space="preserve"> </w:t>
      </w:r>
      <w:r w:rsidRPr="002029AF">
        <w:t>leadership</w:t>
      </w:r>
      <w:r w:rsidR="000A5329" w:rsidRPr="002029AF">
        <w:t xml:space="preserve"> </w:t>
      </w:r>
      <w:r w:rsidRPr="002029AF">
        <w:t>capability</w:t>
      </w:r>
      <w:r w:rsidR="000A5329" w:rsidRPr="002029AF">
        <w:t xml:space="preserve"> </w:t>
      </w:r>
      <w:r w:rsidRPr="002029AF">
        <w:t>to</w:t>
      </w:r>
      <w:r w:rsidR="000A5329" w:rsidRPr="002029AF">
        <w:t xml:space="preserve"> </w:t>
      </w:r>
      <w:r w:rsidRPr="002029AF">
        <w:t>build</w:t>
      </w:r>
      <w:r w:rsidR="000A5329" w:rsidRPr="002029AF">
        <w:t xml:space="preserve"> </w:t>
      </w:r>
      <w:r w:rsidRPr="002029AF">
        <w:t>a</w:t>
      </w:r>
      <w:r w:rsidR="000A5329" w:rsidRPr="002029AF">
        <w:t xml:space="preserve"> </w:t>
      </w:r>
      <w:r w:rsidRPr="002029AF">
        <w:t>positive</w:t>
      </w:r>
      <w:r w:rsidR="000A5329" w:rsidRPr="002029AF">
        <w:t xml:space="preserve"> </w:t>
      </w:r>
      <w:r w:rsidRPr="002029AF">
        <w:t>workplace</w:t>
      </w:r>
      <w:r w:rsidR="000A5329" w:rsidRPr="002029AF">
        <w:t xml:space="preserve"> </w:t>
      </w:r>
      <w:r w:rsidRPr="002029AF">
        <w:t>culture</w:t>
      </w:r>
    </w:p>
    <w:p w14:paraId="0B876AA3" w14:textId="3EEA4F3C" w:rsidR="000A5329" w:rsidRPr="002029AF" w:rsidRDefault="00570456" w:rsidP="00570456">
      <w:pPr>
        <w:pStyle w:val="ARbullet1"/>
      </w:pPr>
      <w:r w:rsidRPr="002029AF">
        <w:t>implementing</w:t>
      </w:r>
      <w:r w:rsidR="000A5329" w:rsidRPr="002029AF">
        <w:t xml:space="preserve"> </w:t>
      </w:r>
      <w:r w:rsidRPr="002029AF">
        <w:t>the</w:t>
      </w:r>
      <w:r w:rsidR="000A5329" w:rsidRPr="002029AF">
        <w:t xml:space="preserve"> </w:t>
      </w:r>
      <w:r w:rsidRPr="002029AF">
        <w:t>Performance</w:t>
      </w:r>
      <w:r w:rsidR="000A5329" w:rsidRPr="002029AF">
        <w:t xml:space="preserve"> </w:t>
      </w:r>
      <w:r w:rsidRPr="002029AF">
        <w:t>and</w:t>
      </w:r>
      <w:r w:rsidR="000A5329" w:rsidRPr="002029AF">
        <w:t xml:space="preserve"> </w:t>
      </w:r>
      <w:r w:rsidRPr="002029AF">
        <w:t>Goals</w:t>
      </w:r>
      <w:r w:rsidR="000A5329" w:rsidRPr="002029AF">
        <w:t xml:space="preserve"> </w:t>
      </w:r>
      <w:r w:rsidRPr="002029AF">
        <w:t>module</w:t>
      </w:r>
      <w:r w:rsidR="000A5329" w:rsidRPr="002029AF">
        <w:t xml:space="preserve"> </w:t>
      </w:r>
      <w:r w:rsidRPr="002029AF">
        <w:t>of</w:t>
      </w:r>
      <w:r w:rsidR="000A5329" w:rsidRPr="002029AF">
        <w:t xml:space="preserve"> </w:t>
      </w:r>
      <w:r w:rsidRPr="002029AF">
        <w:t>the</w:t>
      </w:r>
      <w:r w:rsidR="000A5329" w:rsidRPr="002029AF">
        <w:t xml:space="preserve"> </w:t>
      </w:r>
      <w:r w:rsidRPr="002029AF">
        <w:t>new</w:t>
      </w:r>
      <w:r w:rsidR="000A5329" w:rsidRPr="002029AF">
        <w:t xml:space="preserve"> </w:t>
      </w:r>
      <w:r w:rsidRPr="002029AF">
        <w:t>OurPeople</w:t>
      </w:r>
      <w:r w:rsidR="000A5329" w:rsidRPr="002029AF">
        <w:t xml:space="preserve"> </w:t>
      </w:r>
      <w:r w:rsidRPr="002029AF">
        <w:t>system</w:t>
      </w:r>
      <w:r w:rsidR="00FA479F" w:rsidRPr="002029AF">
        <w:t>.</w:t>
      </w:r>
    </w:p>
    <w:p w14:paraId="62C5B6CF" w14:textId="45CDE79B" w:rsidR="00570456" w:rsidRPr="002029AF" w:rsidRDefault="00570456" w:rsidP="00570456">
      <w:pPr>
        <w:pStyle w:val="Heading3"/>
      </w:pPr>
      <w:r w:rsidRPr="002029AF">
        <w:t>Recognising</w:t>
      </w:r>
      <w:r w:rsidR="000A5329" w:rsidRPr="002029AF">
        <w:t xml:space="preserve"> </w:t>
      </w:r>
      <w:r w:rsidRPr="002029AF">
        <w:t>our</w:t>
      </w:r>
      <w:r w:rsidR="000A5329" w:rsidRPr="002029AF">
        <w:t xml:space="preserve"> </w:t>
      </w:r>
      <w:r w:rsidRPr="002029AF">
        <w:t>employees</w:t>
      </w:r>
    </w:p>
    <w:p w14:paraId="150CA817" w14:textId="4879B680" w:rsidR="000A5329" w:rsidRPr="002029AF" w:rsidRDefault="00570456" w:rsidP="00570456">
      <w:pPr>
        <w:pStyle w:val="ARbody"/>
      </w:pPr>
      <w:r w:rsidRPr="002029AF">
        <w:t>The</w:t>
      </w:r>
      <w:r w:rsidR="000A5329" w:rsidRPr="002029AF">
        <w:t xml:space="preserve"> </w:t>
      </w:r>
      <w:r w:rsidRPr="002029AF">
        <w:t>department</w:t>
      </w:r>
      <w:r w:rsidR="000A5329" w:rsidRPr="002029AF">
        <w:t xml:space="preserve"> </w:t>
      </w:r>
      <w:r w:rsidRPr="002029AF">
        <w:t>recognised</w:t>
      </w:r>
      <w:r w:rsidR="000A5329" w:rsidRPr="002029AF">
        <w:t xml:space="preserve"> </w:t>
      </w:r>
      <w:r w:rsidRPr="002029AF">
        <w:t>its</w:t>
      </w:r>
      <w:r w:rsidR="000A5329" w:rsidRPr="002029AF">
        <w:t xml:space="preserve"> </w:t>
      </w:r>
      <w:r w:rsidRPr="002029AF">
        <w:t>employees</w:t>
      </w:r>
      <w:r w:rsidR="000A5329" w:rsidRPr="002029AF">
        <w:t xml:space="preserve"> </w:t>
      </w:r>
      <w:r w:rsidRPr="002029AF">
        <w:t>through</w:t>
      </w:r>
      <w:r w:rsidR="000A5329" w:rsidRPr="002029AF">
        <w:t xml:space="preserve"> </w:t>
      </w:r>
      <w:r w:rsidRPr="002029AF">
        <w:t>its</w:t>
      </w:r>
      <w:r w:rsidR="000A5329" w:rsidRPr="002029AF">
        <w:t xml:space="preserve"> </w:t>
      </w:r>
      <w:r w:rsidRPr="002029AF">
        <w:t>annual</w:t>
      </w:r>
      <w:r w:rsidR="000A5329" w:rsidRPr="002029AF">
        <w:t xml:space="preserve"> </w:t>
      </w:r>
      <w:r w:rsidRPr="002029AF">
        <w:t>staff</w:t>
      </w:r>
      <w:r w:rsidR="000A5329" w:rsidRPr="002029AF">
        <w:t xml:space="preserve"> </w:t>
      </w:r>
      <w:r w:rsidRPr="002029AF">
        <w:t>excellence</w:t>
      </w:r>
      <w:r w:rsidR="000A5329" w:rsidRPr="002029AF">
        <w:t xml:space="preserve"> </w:t>
      </w:r>
      <w:r w:rsidRPr="002029AF">
        <w:t>awards,</w:t>
      </w:r>
      <w:r w:rsidR="000A5329" w:rsidRPr="002029AF">
        <w:t xml:space="preserve"> </w:t>
      </w:r>
      <w:r w:rsidRPr="002029AF">
        <w:t>which</w:t>
      </w:r>
      <w:r w:rsidR="000A5329" w:rsidRPr="002029AF">
        <w:t xml:space="preserve"> </w:t>
      </w:r>
      <w:r w:rsidRPr="002029AF">
        <w:t>acknowledge</w:t>
      </w:r>
      <w:r w:rsidR="000A5329" w:rsidRPr="002029AF">
        <w:t xml:space="preserve"> </w:t>
      </w:r>
      <w:r w:rsidRPr="002029AF">
        <w:t>the</w:t>
      </w:r>
      <w:r w:rsidR="000A5329" w:rsidRPr="002029AF">
        <w:t xml:space="preserve"> </w:t>
      </w:r>
      <w:r w:rsidRPr="002029AF">
        <w:t>achievements</w:t>
      </w:r>
      <w:r w:rsidR="000A5329" w:rsidRPr="002029AF">
        <w:t xml:space="preserve"> </w:t>
      </w:r>
      <w:r w:rsidRPr="002029AF">
        <w:t>and</w:t>
      </w:r>
      <w:r w:rsidR="000A5329" w:rsidRPr="002029AF">
        <w:t xml:space="preserve"> </w:t>
      </w:r>
      <w:r w:rsidRPr="002029AF">
        <w:t>significant</w:t>
      </w:r>
      <w:r w:rsidR="000A5329" w:rsidRPr="002029AF">
        <w:t xml:space="preserve"> </w:t>
      </w:r>
      <w:r w:rsidRPr="002029AF">
        <w:t>work</w:t>
      </w:r>
      <w:r w:rsidR="000A5329" w:rsidRPr="002029AF">
        <w:t xml:space="preserve"> </w:t>
      </w:r>
      <w:r w:rsidRPr="002029AF">
        <w:t>undertaken</w:t>
      </w:r>
      <w:r w:rsidR="000A5329" w:rsidRPr="002029AF">
        <w:t xml:space="preserve"> </w:t>
      </w:r>
      <w:r w:rsidRPr="002029AF">
        <w:t>across</w:t>
      </w:r>
      <w:r w:rsidR="000A5329" w:rsidRPr="002029AF">
        <w:t xml:space="preserve"> </w:t>
      </w:r>
      <w:r w:rsidRPr="002029AF">
        <w:t>the</w:t>
      </w:r>
      <w:r w:rsidR="000A5329" w:rsidRPr="002029AF">
        <w:t xml:space="preserve"> </w:t>
      </w:r>
      <w:r w:rsidRPr="002029AF">
        <w:t>department.</w:t>
      </w:r>
    </w:p>
    <w:p w14:paraId="0E8E1E63" w14:textId="3EF05B7F" w:rsidR="000A5329" w:rsidRPr="002029AF" w:rsidRDefault="00570456" w:rsidP="00570456">
      <w:pPr>
        <w:pStyle w:val="ARbody"/>
      </w:pPr>
      <w:r w:rsidRPr="002029AF">
        <w:t>In</w:t>
      </w:r>
      <w:r w:rsidR="000A5329" w:rsidRPr="002029AF">
        <w:t xml:space="preserve"> </w:t>
      </w:r>
      <w:r w:rsidRPr="002029AF">
        <w:t>201</w:t>
      </w:r>
      <w:r w:rsidR="00DB53E6" w:rsidRPr="002029AF">
        <w:t>9–</w:t>
      </w:r>
      <w:r w:rsidRPr="002029AF">
        <w:t>20</w:t>
      </w:r>
      <w:r w:rsidR="000A5329" w:rsidRPr="002029AF">
        <w:t xml:space="preserve"> </w:t>
      </w:r>
      <w:r w:rsidRPr="002029AF">
        <w:t>there</w:t>
      </w:r>
      <w:r w:rsidR="000A5329" w:rsidRPr="002029AF">
        <w:t xml:space="preserve"> </w:t>
      </w:r>
      <w:r w:rsidRPr="002029AF">
        <w:t>were</w:t>
      </w:r>
      <w:r w:rsidR="000A5329" w:rsidRPr="002029AF">
        <w:t xml:space="preserve"> </w:t>
      </w:r>
      <w:r w:rsidRPr="002029AF">
        <w:t>235</w:t>
      </w:r>
      <w:r w:rsidR="000A5329" w:rsidRPr="002029AF">
        <w:t xml:space="preserve"> </w:t>
      </w:r>
      <w:r w:rsidRPr="002029AF">
        <w:t>nominations</w:t>
      </w:r>
      <w:r w:rsidR="000A5329" w:rsidRPr="002029AF">
        <w:t xml:space="preserve"> </w:t>
      </w:r>
      <w:r w:rsidRPr="002029AF">
        <w:t>received</w:t>
      </w:r>
      <w:r w:rsidR="000A5329" w:rsidRPr="002029AF">
        <w:t xml:space="preserve"> </w:t>
      </w:r>
      <w:r w:rsidRPr="002029AF">
        <w:t>across</w:t>
      </w:r>
      <w:r w:rsidR="000A5329" w:rsidRPr="002029AF">
        <w:t xml:space="preserve"> </w:t>
      </w:r>
      <w:r w:rsidRPr="002029AF">
        <w:t>seven</w:t>
      </w:r>
      <w:r w:rsidR="000A5329" w:rsidRPr="002029AF">
        <w:t xml:space="preserve"> </w:t>
      </w:r>
      <w:r w:rsidRPr="002029AF">
        <w:t>categories:</w:t>
      </w:r>
    </w:p>
    <w:p w14:paraId="4815DDDE" w14:textId="762180D3" w:rsidR="000A5329" w:rsidRPr="002029AF" w:rsidRDefault="00570456" w:rsidP="00570456">
      <w:pPr>
        <w:pStyle w:val="ARbullet1"/>
      </w:pPr>
      <w:r w:rsidRPr="002029AF">
        <w:t>Collaboration</w:t>
      </w:r>
      <w:r w:rsidR="000A5329" w:rsidRPr="002029AF">
        <w:t xml:space="preserve"> </w:t>
      </w:r>
      <w:r w:rsidRPr="002029AF">
        <w:t>Award</w:t>
      </w:r>
    </w:p>
    <w:p w14:paraId="72B682F1" w14:textId="21BC051F" w:rsidR="000A5329" w:rsidRPr="002029AF" w:rsidRDefault="00570456" w:rsidP="00570456">
      <w:pPr>
        <w:pStyle w:val="ARbullet1"/>
      </w:pPr>
      <w:r w:rsidRPr="002029AF">
        <w:t>Diversity</w:t>
      </w:r>
      <w:r w:rsidR="000A5329" w:rsidRPr="002029AF">
        <w:t xml:space="preserve"> </w:t>
      </w:r>
      <w:r w:rsidRPr="002029AF">
        <w:t>and</w:t>
      </w:r>
      <w:r w:rsidR="000A5329" w:rsidRPr="002029AF">
        <w:t xml:space="preserve"> </w:t>
      </w:r>
      <w:r w:rsidRPr="002029AF">
        <w:t>Inclusion</w:t>
      </w:r>
      <w:r w:rsidR="000A5329" w:rsidRPr="002029AF">
        <w:t xml:space="preserve"> </w:t>
      </w:r>
      <w:r w:rsidRPr="002029AF">
        <w:t>Award</w:t>
      </w:r>
    </w:p>
    <w:p w14:paraId="13A69816" w14:textId="0DDC468C" w:rsidR="000A5329" w:rsidRPr="002029AF" w:rsidRDefault="00570456" w:rsidP="00570456">
      <w:pPr>
        <w:pStyle w:val="ARbullet1"/>
      </w:pPr>
      <w:r w:rsidRPr="002029AF">
        <w:t>Innovation</w:t>
      </w:r>
      <w:r w:rsidR="000A5329" w:rsidRPr="002029AF">
        <w:t xml:space="preserve"> </w:t>
      </w:r>
      <w:r w:rsidRPr="002029AF">
        <w:t>Award</w:t>
      </w:r>
    </w:p>
    <w:p w14:paraId="26D3057B" w14:textId="32ECB2D0" w:rsidR="000A5329" w:rsidRPr="002029AF" w:rsidRDefault="00570456" w:rsidP="00570456">
      <w:pPr>
        <w:pStyle w:val="ARbullet1"/>
      </w:pPr>
      <w:r w:rsidRPr="002029AF">
        <w:t>People</w:t>
      </w:r>
      <w:r w:rsidR="000A5329" w:rsidRPr="002029AF">
        <w:t xml:space="preserve"> </w:t>
      </w:r>
      <w:r w:rsidRPr="002029AF">
        <w:t>Management</w:t>
      </w:r>
      <w:r w:rsidR="000A5329" w:rsidRPr="002029AF">
        <w:t xml:space="preserve"> </w:t>
      </w:r>
      <w:r w:rsidRPr="002029AF">
        <w:t>Award</w:t>
      </w:r>
    </w:p>
    <w:p w14:paraId="5048DB22" w14:textId="3C6DA4E2" w:rsidR="00570456" w:rsidRPr="002029AF" w:rsidRDefault="00570456" w:rsidP="00570456">
      <w:pPr>
        <w:pStyle w:val="ARbullet1"/>
      </w:pPr>
      <w:r w:rsidRPr="002029AF">
        <w:t>Service</w:t>
      </w:r>
      <w:r w:rsidR="000A5329" w:rsidRPr="002029AF">
        <w:t xml:space="preserve"> </w:t>
      </w:r>
      <w:r w:rsidRPr="002029AF">
        <w:t>Excellence</w:t>
      </w:r>
      <w:r w:rsidR="000A5329" w:rsidRPr="002029AF">
        <w:t xml:space="preserve"> </w:t>
      </w:r>
      <w:r w:rsidRPr="002029AF">
        <w:t>Award</w:t>
      </w:r>
      <w:r w:rsidR="000A5329" w:rsidRPr="002029AF">
        <w:t xml:space="preserve"> </w:t>
      </w:r>
      <w:r w:rsidRPr="002029AF">
        <w:t>(individual)</w:t>
      </w:r>
    </w:p>
    <w:p w14:paraId="601E2AE9" w14:textId="5D0A90D6" w:rsidR="00570456" w:rsidRPr="002029AF" w:rsidRDefault="00570456" w:rsidP="00EF3FCC">
      <w:pPr>
        <w:pStyle w:val="ARbullet1"/>
      </w:pPr>
      <w:r w:rsidRPr="002029AF">
        <w:t>Service</w:t>
      </w:r>
      <w:r w:rsidR="000A5329" w:rsidRPr="002029AF">
        <w:t xml:space="preserve"> </w:t>
      </w:r>
      <w:r w:rsidRPr="002029AF">
        <w:t>Excellence</w:t>
      </w:r>
      <w:r w:rsidR="000A5329" w:rsidRPr="002029AF">
        <w:t xml:space="preserve"> </w:t>
      </w:r>
      <w:r w:rsidRPr="002029AF">
        <w:t>Award</w:t>
      </w:r>
      <w:r w:rsidR="000A5329" w:rsidRPr="002029AF">
        <w:t xml:space="preserve"> </w:t>
      </w:r>
      <w:r w:rsidRPr="002029AF">
        <w:t>(team)</w:t>
      </w:r>
      <w:r w:rsidR="00FA479F" w:rsidRPr="002029AF">
        <w:t>.</w:t>
      </w:r>
      <w:r w:rsidR="00EF3FCC">
        <w:br w:type="page"/>
      </w:r>
    </w:p>
    <w:p w14:paraId="5622553D" w14:textId="77777777" w:rsidR="00EF3FCC" w:rsidRDefault="00EF3FCC" w:rsidP="00897193">
      <w:pPr>
        <w:pStyle w:val="Heading3"/>
        <w:sectPr w:rsidR="00EF3FCC" w:rsidSect="00EF3FCC">
          <w:type w:val="continuous"/>
          <w:pgSz w:w="11906" w:h="16838" w:code="9"/>
          <w:pgMar w:top="1985" w:right="851" w:bottom="851" w:left="1418" w:header="510" w:footer="340" w:gutter="0"/>
          <w:cols w:num="2" w:space="454"/>
          <w:docGrid w:linePitch="360"/>
          <w15:footnoteColumns w:val="1"/>
        </w:sectPr>
      </w:pPr>
    </w:p>
    <w:p w14:paraId="5030CF38" w14:textId="3C319B5F" w:rsidR="00CF72D5" w:rsidRPr="002029AF" w:rsidRDefault="00CF72D5" w:rsidP="00EF3FCC">
      <w:pPr>
        <w:pStyle w:val="Heading3"/>
        <w:spacing w:before="0"/>
      </w:pPr>
      <w:r w:rsidRPr="002029AF">
        <w:lastRenderedPageBreak/>
        <w:t>Building</w:t>
      </w:r>
      <w:r w:rsidR="000A5329" w:rsidRPr="002029AF">
        <w:t xml:space="preserve"> </w:t>
      </w:r>
      <w:r w:rsidRPr="002029AF">
        <w:t>a</w:t>
      </w:r>
      <w:r w:rsidR="000A5329" w:rsidRPr="002029AF">
        <w:t xml:space="preserve"> </w:t>
      </w:r>
      <w:r w:rsidRPr="002029AF">
        <w:t>stronger</w:t>
      </w:r>
      <w:r w:rsidR="000A5329" w:rsidRPr="002029AF">
        <w:t xml:space="preserve"> </w:t>
      </w:r>
      <w:r w:rsidRPr="002029AF">
        <w:t>leadership</w:t>
      </w:r>
      <w:r w:rsidR="00EF3FCC">
        <w:t> </w:t>
      </w:r>
      <w:r w:rsidRPr="002029AF">
        <w:t>culture</w:t>
      </w:r>
    </w:p>
    <w:p w14:paraId="1658375D" w14:textId="16D8E45F" w:rsidR="000A5329" w:rsidRPr="002029AF" w:rsidRDefault="00CF72D5" w:rsidP="00897193">
      <w:pPr>
        <w:pStyle w:val="ARbody"/>
      </w:pPr>
      <w:r w:rsidRPr="002029AF">
        <w:t>The</w:t>
      </w:r>
      <w:r w:rsidR="000A5329" w:rsidRPr="002029AF">
        <w:t xml:space="preserve"> </w:t>
      </w:r>
      <w:r w:rsidRPr="002029AF">
        <w:t>department</w:t>
      </w:r>
      <w:r w:rsidR="000A5329" w:rsidRPr="002029AF">
        <w:t xml:space="preserve"> </w:t>
      </w:r>
      <w:r w:rsidRPr="002029AF">
        <w:t>continued</w:t>
      </w:r>
      <w:r w:rsidR="000A5329" w:rsidRPr="002029AF">
        <w:t xml:space="preserve"> </w:t>
      </w:r>
      <w:r w:rsidRPr="002029AF">
        <w:t>to</w:t>
      </w:r>
      <w:r w:rsidR="000A5329" w:rsidRPr="002029AF">
        <w:t xml:space="preserve"> </w:t>
      </w:r>
      <w:r w:rsidRPr="002029AF">
        <w:t>strengthen</w:t>
      </w:r>
      <w:r w:rsidR="000A5329" w:rsidRPr="002029AF">
        <w:t xml:space="preserve"> </w:t>
      </w:r>
      <w:r w:rsidRPr="002029AF">
        <w:t>its leadership</w:t>
      </w:r>
      <w:r w:rsidR="000A5329" w:rsidRPr="002029AF">
        <w:t xml:space="preserve"> </w:t>
      </w:r>
      <w:r w:rsidRPr="002029AF">
        <w:t>pipeline</w:t>
      </w:r>
      <w:r w:rsidR="000A5329" w:rsidRPr="002029AF">
        <w:t xml:space="preserve"> </w:t>
      </w:r>
      <w:r w:rsidRPr="002029AF">
        <w:t>by:</w:t>
      </w:r>
    </w:p>
    <w:p w14:paraId="1BDD0D23" w14:textId="0C638487" w:rsidR="000A5329" w:rsidRPr="002029AF" w:rsidRDefault="00CF72D5" w:rsidP="001E768A">
      <w:pPr>
        <w:pStyle w:val="ARbullet1"/>
      </w:pPr>
      <w:r w:rsidRPr="002029AF">
        <w:t>supporting</w:t>
      </w:r>
      <w:r w:rsidR="000A5329" w:rsidRPr="002029AF">
        <w:t xml:space="preserve"> </w:t>
      </w:r>
      <w:r w:rsidRPr="002029AF">
        <w:t>165</w:t>
      </w:r>
      <w:r w:rsidR="000A5329" w:rsidRPr="002029AF">
        <w:t xml:space="preserve"> </w:t>
      </w:r>
      <w:r w:rsidRPr="002029AF">
        <w:t>employees</w:t>
      </w:r>
      <w:r w:rsidR="000A5329" w:rsidRPr="002029AF">
        <w:t xml:space="preserve"> </w:t>
      </w:r>
      <w:r w:rsidRPr="002029AF">
        <w:t>across</w:t>
      </w:r>
      <w:r w:rsidR="000A5329" w:rsidRPr="002029AF">
        <w:t xml:space="preserve"> </w:t>
      </w:r>
      <w:r w:rsidRPr="002029AF">
        <w:t>all</w:t>
      </w:r>
      <w:r w:rsidR="000A5329" w:rsidRPr="002029AF">
        <w:t xml:space="preserve"> </w:t>
      </w:r>
      <w:r w:rsidRPr="002029AF">
        <w:t>leadership</w:t>
      </w:r>
      <w:r w:rsidR="000A5329" w:rsidRPr="002029AF">
        <w:t xml:space="preserve"> </w:t>
      </w:r>
      <w:r w:rsidRPr="002029AF">
        <w:t>levels</w:t>
      </w:r>
      <w:r w:rsidR="000A5329" w:rsidRPr="002029AF">
        <w:t xml:space="preserve"> </w:t>
      </w:r>
      <w:r w:rsidRPr="002029AF">
        <w:t>to</w:t>
      </w:r>
      <w:r w:rsidR="000A5329" w:rsidRPr="002029AF">
        <w:t xml:space="preserve"> </w:t>
      </w:r>
      <w:r w:rsidRPr="002029AF">
        <w:t>attend</w:t>
      </w:r>
      <w:r w:rsidR="000A5329" w:rsidRPr="002029AF">
        <w:t xml:space="preserve"> </w:t>
      </w:r>
      <w:r w:rsidRPr="002029AF">
        <w:t>a</w:t>
      </w:r>
      <w:r w:rsidR="000A5329" w:rsidRPr="002029AF">
        <w:t xml:space="preserve"> </w:t>
      </w:r>
      <w:r w:rsidRPr="002029AF">
        <w:t>broad</w:t>
      </w:r>
      <w:r w:rsidR="000A5329" w:rsidRPr="002029AF">
        <w:t xml:space="preserve"> </w:t>
      </w:r>
      <w:r w:rsidRPr="002029AF">
        <w:t>range</w:t>
      </w:r>
      <w:r w:rsidR="000A5329" w:rsidRPr="002029AF">
        <w:t xml:space="preserve"> </w:t>
      </w:r>
      <w:r w:rsidRPr="002029AF">
        <w:t>of</w:t>
      </w:r>
      <w:r w:rsidR="000A5329" w:rsidRPr="002029AF">
        <w:t xml:space="preserve"> </w:t>
      </w:r>
      <w:r w:rsidRPr="002029AF">
        <w:t>intensive</w:t>
      </w:r>
      <w:r w:rsidR="000A5329" w:rsidRPr="002029AF">
        <w:t xml:space="preserve"> </w:t>
      </w:r>
      <w:r w:rsidRPr="002029AF">
        <w:t>advanced</w:t>
      </w:r>
      <w:r w:rsidR="000A5329" w:rsidRPr="002029AF">
        <w:t xml:space="preserve"> </w:t>
      </w:r>
      <w:r w:rsidRPr="002029AF">
        <w:t>leadership</w:t>
      </w:r>
      <w:r w:rsidR="000A5329" w:rsidRPr="002029AF">
        <w:t xml:space="preserve"> </w:t>
      </w:r>
      <w:r w:rsidRPr="002029AF">
        <w:t>programs.</w:t>
      </w:r>
      <w:r w:rsidR="000A5329" w:rsidRPr="002029AF">
        <w:t xml:space="preserve"> </w:t>
      </w:r>
      <w:r w:rsidRPr="002029AF">
        <w:t>These</w:t>
      </w:r>
      <w:r w:rsidR="000A5329" w:rsidRPr="002029AF">
        <w:t xml:space="preserve"> </w:t>
      </w:r>
      <w:r w:rsidRPr="002029AF">
        <w:t>programs</w:t>
      </w:r>
      <w:r w:rsidR="000A5329" w:rsidRPr="002029AF">
        <w:t xml:space="preserve"> </w:t>
      </w:r>
      <w:r w:rsidRPr="002029AF">
        <w:t>aim</w:t>
      </w:r>
      <w:r w:rsidR="000A5329" w:rsidRPr="002029AF">
        <w:t xml:space="preserve"> </w:t>
      </w:r>
      <w:r w:rsidRPr="002029AF">
        <w:t>to</w:t>
      </w:r>
      <w:r w:rsidR="000A5329" w:rsidRPr="002029AF">
        <w:t xml:space="preserve"> </w:t>
      </w:r>
      <w:r w:rsidRPr="002029AF">
        <w:t>broaden</w:t>
      </w:r>
      <w:r w:rsidR="000A5329" w:rsidRPr="002029AF">
        <w:t xml:space="preserve"> </w:t>
      </w:r>
      <w:r w:rsidRPr="002029AF">
        <w:t>leadership</w:t>
      </w:r>
      <w:r w:rsidR="000A5329" w:rsidRPr="002029AF">
        <w:t xml:space="preserve"> </w:t>
      </w:r>
      <w:r w:rsidRPr="002029AF">
        <w:t>skills,</w:t>
      </w:r>
      <w:r w:rsidR="000A5329" w:rsidRPr="002029AF">
        <w:t xml:space="preserve"> </w:t>
      </w:r>
      <w:r w:rsidRPr="002029AF">
        <w:t>as</w:t>
      </w:r>
      <w:r w:rsidR="000A5329" w:rsidRPr="002029AF">
        <w:t xml:space="preserve"> </w:t>
      </w:r>
      <w:r w:rsidRPr="002029AF">
        <w:t>well</w:t>
      </w:r>
      <w:r w:rsidR="000A5329" w:rsidRPr="002029AF">
        <w:t xml:space="preserve"> </w:t>
      </w:r>
      <w:r w:rsidRPr="002029AF">
        <w:t>as</w:t>
      </w:r>
      <w:r w:rsidR="000A5329" w:rsidRPr="002029AF">
        <w:t xml:space="preserve"> </w:t>
      </w:r>
      <w:r w:rsidRPr="002029AF">
        <w:t>give</w:t>
      </w:r>
      <w:r w:rsidR="000A5329" w:rsidRPr="002029AF">
        <w:t xml:space="preserve"> </w:t>
      </w:r>
      <w:r w:rsidRPr="002029AF">
        <w:t>employees</w:t>
      </w:r>
      <w:r w:rsidR="000A5329" w:rsidRPr="002029AF">
        <w:t xml:space="preserve"> </w:t>
      </w:r>
      <w:r w:rsidRPr="002029AF">
        <w:t>exposure</w:t>
      </w:r>
      <w:r w:rsidR="000A5329" w:rsidRPr="002029AF">
        <w:t xml:space="preserve"> </w:t>
      </w:r>
      <w:r w:rsidRPr="002029AF">
        <w:t>to</w:t>
      </w:r>
      <w:r w:rsidR="00233C48" w:rsidRPr="002029AF">
        <w:t> </w:t>
      </w:r>
      <w:r w:rsidRPr="002029AF">
        <w:t>peers</w:t>
      </w:r>
      <w:r w:rsidR="000A5329" w:rsidRPr="002029AF">
        <w:t xml:space="preserve"> </w:t>
      </w:r>
      <w:r w:rsidRPr="002029AF">
        <w:t>from</w:t>
      </w:r>
      <w:r w:rsidR="000A5329" w:rsidRPr="002029AF">
        <w:t xml:space="preserve"> </w:t>
      </w:r>
      <w:r w:rsidRPr="002029AF">
        <w:t>other</w:t>
      </w:r>
      <w:r w:rsidR="000A5329" w:rsidRPr="002029AF">
        <w:t xml:space="preserve"> </w:t>
      </w:r>
      <w:r w:rsidRPr="002029AF">
        <w:t>organisations,</w:t>
      </w:r>
      <w:r w:rsidR="000A5329" w:rsidRPr="002029AF">
        <w:t xml:space="preserve"> </w:t>
      </w:r>
      <w:r w:rsidRPr="002029AF">
        <w:t>which</w:t>
      </w:r>
      <w:r w:rsidR="000A5329" w:rsidRPr="002029AF">
        <w:t xml:space="preserve"> </w:t>
      </w:r>
      <w:r w:rsidRPr="002029AF">
        <w:t>strengthens</w:t>
      </w:r>
      <w:r w:rsidR="000A5329" w:rsidRPr="002029AF">
        <w:t xml:space="preserve"> </w:t>
      </w:r>
      <w:r w:rsidRPr="002029AF">
        <w:t>networks</w:t>
      </w:r>
      <w:r w:rsidR="000A5329" w:rsidRPr="002029AF">
        <w:t xml:space="preserve"> </w:t>
      </w:r>
      <w:r w:rsidRPr="002029AF">
        <w:t>and</w:t>
      </w:r>
      <w:r w:rsidR="000A5329" w:rsidRPr="002029AF">
        <w:t xml:space="preserve"> </w:t>
      </w:r>
      <w:r w:rsidRPr="002029AF">
        <w:t>career</w:t>
      </w:r>
      <w:r w:rsidR="000A5329" w:rsidRPr="002029AF">
        <w:t xml:space="preserve"> </w:t>
      </w:r>
      <w:r w:rsidRPr="002029AF">
        <w:t>mobility</w:t>
      </w:r>
      <w:r w:rsidR="000A5329" w:rsidRPr="002029AF">
        <w:t xml:space="preserve"> </w:t>
      </w:r>
      <w:r w:rsidRPr="002029AF">
        <w:t>opportunities</w:t>
      </w:r>
    </w:p>
    <w:p w14:paraId="61FAB978" w14:textId="6CE03A8F" w:rsidR="000A5329" w:rsidRPr="002029AF" w:rsidRDefault="00CF72D5" w:rsidP="001E768A">
      <w:pPr>
        <w:pStyle w:val="ARbullet1"/>
      </w:pPr>
      <w:r w:rsidRPr="002029AF">
        <w:t>continuing</w:t>
      </w:r>
      <w:r w:rsidR="000A5329" w:rsidRPr="002029AF">
        <w:t xml:space="preserve"> </w:t>
      </w:r>
      <w:r w:rsidRPr="002029AF">
        <w:t>to</w:t>
      </w:r>
      <w:r w:rsidR="000A5329" w:rsidRPr="002029AF">
        <w:t xml:space="preserve"> </w:t>
      </w:r>
      <w:r w:rsidRPr="002029AF">
        <w:t>strengthen</w:t>
      </w:r>
      <w:r w:rsidR="000A5329" w:rsidRPr="002029AF">
        <w:t xml:space="preserve"> </w:t>
      </w:r>
      <w:r w:rsidRPr="002029AF">
        <w:t>peer</w:t>
      </w:r>
      <w:r w:rsidR="000A5329" w:rsidRPr="002029AF">
        <w:t xml:space="preserve"> </w:t>
      </w:r>
      <w:r w:rsidRPr="002029AF">
        <w:t>and</w:t>
      </w:r>
      <w:r w:rsidR="000A5329" w:rsidRPr="002029AF">
        <w:t xml:space="preserve"> </w:t>
      </w:r>
      <w:r w:rsidRPr="002029AF">
        <w:t>experiential</w:t>
      </w:r>
      <w:r w:rsidR="000A5329" w:rsidRPr="002029AF">
        <w:t xml:space="preserve"> </w:t>
      </w:r>
      <w:r w:rsidRPr="002029AF">
        <w:t>learning</w:t>
      </w:r>
      <w:r w:rsidR="000A5329" w:rsidRPr="002029AF">
        <w:t xml:space="preserve"> </w:t>
      </w:r>
      <w:r w:rsidRPr="002029AF">
        <w:t>opportunities</w:t>
      </w:r>
      <w:r w:rsidR="000A5329" w:rsidRPr="002029AF">
        <w:t xml:space="preserve"> </w:t>
      </w:r>
      <w:r w:rsidRPr="002029AF">
        <w:t>through</w:t>
      </w:r>
      <w:r w:rsidR="000A5329" w:rsidRPr="002029AF">
        <w:t xml:space="preserve"> </w:t>
      </w:r>
      <w:r w:rsidRPr="002029AF">
        <w:t>structured</w:t>
      </w:r>
      <w:r w:rsidR="000A5329" w:rsidRPr="002029AF">
        <w:t xml:space="preserve"> </w:t>
      </w:r>
      <w:r w:rsidRPr="002029AF">
        <w:t>mentoring</w:t>
      </w:r>
      <w:r w:rsidR="000A5329" w:rsidRPr="002029AF">
        <w:t xml:space="preserve"> </w:t>
      </w:r>
      <w:r w:rsidRPr="002029AF">
        <w:t>opportunities</w:t>
      </w:r>
      <w:r w:rsidR="000A5329" w:rsidRPr="002029AF">
        <w:t xml:space="preserve"> </w:t>
      </w:r>
      <w:r w:rsidRPr="002029AF">
        <w:t>across</w:t>
      </w:r>
      <w:r w:rsidR="000A5329" w:rsidRPr="002029AF">
        <w:t xml:space="preserve"> </w:t>
      </w:r>
      <w:r w:rsidRPr="002029AF">
        <w:t>all</w:t>
      </w:r>
      <w:r w:rsidR="000A5329" w:rsidRPr="002029AF">
        <w:t xml:space="preserve"> </w:t>
      </w:r>
      <w:r w:rsidRPr="002029AF">
        <w:t>levels</w:t>
      </w:r>
      <w:r w:rsidR="000A5329" w:rsidRPr="002029AF">
        <w:t xml:space="preserve"> </w:t>
      </w:r>
      <w:r w:rsidRPr="002029AF">
        <w:t>of</w:t>
      </w:r>
      <w:r w:rsidR="000A5329" w:rsidRPr="002029AF">
        <w:t xml:space="preserve"> </w:t>
      </w:r>
      <w:r w:rsidRPr="002029AF">
        <w:t>the</w:t>
      </w:r>
      <w:r w:rsidR="00EF3FCC">
        <w:t> </w:t>
      </w:r>
      <w:r w:rsidRPr="002029AF">
        <w:t>department</w:t>
      </w:r>
      <w:r w:rsidR="000A5329" w:rsidRPr="002029AF">
        <w:t xml:space="preserve"> </w:t>
      </w:r>
      <w:r w:rsidRPr="002029AF">
        <w:t>and</w:t>
      </w:r>
      <w:r w:rsidR="000A5329" w:rsidRPr="002029AF">
        <w:t xml:space="preserve"> </w:t>
      </w:r>
      <w:r w:rsidRPr="002029AF">
        <w:t>provision</w:t>
      </w:r>
      <w:r w:rsidR="000A5329" w:rsidRPr="002029AF">
        <w:t xml:space="preserve"> </w:t>
      </w:r>
      <w:r w:rsidRPr="002029AF">
        <w:t>of</w:t>
      </w:r>
      <w:r w:rsidR="000A5329" w:rsidRPr="002029AF">
        <w:t xml:space="preserve"> </w:t>
      </w:r>
      <w:r w:rsidRPr="002029AF">
        <w:t>networking</w:t>
      </w:r>
      <w:r w:rsidR="000A5329" w:rsidRPr="002029AF">
        <w:t xml:space="preserve"> </w:t>
      </w:r>
      <w:r w:rsidRPr="002029AF">
        <w:t>opportunities</w:t>
      </w:r>
      <w:r w:rsidR="000A5329" w:rsidRPr="002029AF">
        <w:t xml:space="preserve"> </w:t>
      </w:r>
      <w:r w:rsidRPr="002029AF">
        <w:t>for</w:t>
      </w:r>
      <w:r w:rsidR="000A5329" w:rsidRPr="002029AF">
        <w:t xml:space="preserve"> </w:t>
      </w:r>
      <w:r w:rsidRPr="002029AF">
        <w:t>VPS</w:t>
      </w:r>
      <w:r w:rsidR="000A5329" w:rsidRPr="002029AF">
        <w:t xml:space="preserve"> </w:t>
      </w:r>
      <w:r w:rsidR="00DB53E6" w:rsidRPr="002029AF">
        <w:t>2–</w:t>
      </w:r>
      <w:r w:rsidRPr="002029AF">
        <w:t>6</w:t>
      </w:r>
      <w:r w:rsidR="000A5329" w:rsidRPr="002029AF">
        <w:t xml:space="preserve"> </w:t>
      </w:r>
      <w:r w:rsidRPr="002029AF">
        <w:t>employees</w:t>
      </w:r>
      <w:r w:rsidR="000A5329" w:rsidRPr="002029AF">
        <w:t xml:space="preserve"> </w:t>
      </w:r>
      <w:r w:rsidRPr="002029AF">
        <w:t>through</w:t>
      </w:r>
      <w:r w:rsidR="000A5329" w:rsidRPr="002029AF">
        <w:t xml:space="preserve"> </w:t>
      </w:r>
      <w:r w:rsidRPr="002029AF">
        <w:t>structured</w:t>
      </w:r>
      <w:r w:rsidR="000A5329" w:rsidRPr="002029AF">
        <w:t xml:space="preserve"> </w:t>
      </w:r>
      <w:r w:rsidRPr="002029AF">
        <w:t>meetups</w:t>
      </w:r>
    </w:p>
    <w:p w14:paraId="1B673315" w14:textId="71337D14" w:rsidR="000A5329" w:rsidRPr="002029AF" w:rsidRDefault="00CF72D5" w:rsidP="001E768A">
      <w:pPr>
        <w:pStyle w:val="ARbullet1"/>
      </w:pPr>
      <w:r w:rsidRPr="002029AF">
        <w:t>supporting</w:t>
      </w:r>
      <w:r w:rsidR="000A5329" w:rsidRPr="002029AF">
        <w:t xml:space="preserve"> </w:t>
      </w:r>
      <w:r w:rsidRPr="002029AF">
        <w:t>VPS</w:t>
      </w:r>
      <w:r w:rsidR="000A5329" w:rsidRPr="002029AF">
        <w:t xml:space="preserve"> </w:t>
      </w:r>
      <w:r w:rsidRPr="002029AF">
        <w:t>5,</w:t>
      </w:r>
      <w:r w:rsidR="000A5329" w:rsidRPr="002029AF">
        <w:t xml:space="preserve"> </w:t>
      </w:r>
      <w:r w:rsidRPr="002029AF">
        <w:t>VPS</w:t>
      </w:r>
      <w:r w:rsidR="000A5329" w:rsidRPr="002029AF">
        <w:t xml:space="preserve"> </w:t>
      </w:r>
      <w:r w:rsidRPr="002029AF">
        <w:t>6</w:t>
      </w:r>
      <w:r w:rsidR="000A5329" w:rsidRPr="002029AF">
        <w:t xml:space="preserve"> </w:t>
      </w:r>
      <w:r w:rsidRPr="002029AF">
        <w:t>and</w:t>
      </w:r>
      <w:r w:rsidR="000A5329" w:rsidRPr="002029AF">
        <w:t xml:space="preserve"> </w:t>
      </w:r>
      <w:r w:rsidRPr="002029AF">
        <w:t>executive</w:t>
      </w:r>
      <w:r w:rsidR="000A5329" w:rsidRPr="002029AF">
        <w:t xml:space="preserve"> </w:t>
      </w:r>
      <w:r w:rsidRPr="002029AF">
        <w:t>employees</w:t>
      </w:r>
      <w:r w:rsidR="000A5329" w:rsidRPr="002029AF">
        <w:t xml:space="preserve"> </w:t>
      </w:r>
      <w:r w:rsidRPr="002029AF">
        <w:t>to</w:t>
      </w:r>
      <w:r w:rsidR="000A5329" w:rsidRPr="002029AF">
        <w:t xml:space="preserve"> </w:t>
      </w:r>
      <w:r w:rsidRPr="002029AF">
        <w:t>identify</w:t>
      </w:r>
      <w:r w:rsidR="000A5329" w:rsidRPr="002029AF">
        <w:t xml:space="preserve"> </w:t>
      </w:r>
      <w:r w:rsidRPr="002029AF">
        <w:t>their</w:t>
      </w:r>
      <w:r w:rsidR="000A5329" w:rsidRPr="002029AF">
        <w:t xml:space="preserve"> </w:t>
      </w:r>
      <w:r w:rsidRPr="002029AF">
        <w:t>career</w:t>
      </w:r>
      <w:r w:rsidR="000A5329" w:rsidRPr="002029AF">
        <w:t xml:space="preserve"> </w:t>
      </w:r>
      <w:r w:rsidRPr="002029AF">
        <w:t>aspirations</w:t>
      </w:r>
      <w:r w:rsidR="000A5329" w:rsidRPr="002029AF">
        <w:t xml:space="preserve"> </w:t>
      </w:r>
      <w:r w:rsidRPr="002029AF">
        <w:t>and</w:t>
      </w:r>
      <w:r w:rsidR="000A5329" w:rsidRPr="002029AF">
        <w:t xml:space="preserve"> </w:t>
      </w:r>
      <w:r w:rsidRPr="002029AF">
        <w:t>opportunities</w:t>
      </w:r>
      <w:r w:rsidR="000A5329" w:rsidRPr="002029AF">
        <w:t xml:space="preserve"> </w:t>
      </w:r>
      <w:r w:rsidRPr="002029AF">
        <w:t>for</w:t>
      </w:r>
      <w:r w:rsidR="000A5329" w:rsidRPr="002029AF">
        <w:t xml:space="preserve"> </w:t>
      </w:r>
      <w:r w:rsidRPr="002029AF">
        <w:t>development</w:t>
      </w:r>
      <w:r w:rsidR="000A5329" w:rsidRPr="002029AF">
        <w:t xml:space="preserve"> </w:t>
      </w:r>
      <w:r w:rsidRPr="002029AF">
        <w:t>through</w:t>
      </w:r>
      <w:r w:rsidR="000A5329" w:rsidRPr="002029AF">
        <w:t xml:space="preserve"> </w:t>
      </w:r>
      <w:r w:rsidR="00EF3FCC">
        <w:br/>
      </w:r>
      <w:r w:rsidRPr="002029AF">
        <w:t>self-assessment</w:t>
      </w:r>
      <w:r w:rsidR="000A5329" w:rsidRPr="002029AF">
        <w:t xml:space="preserve"> </w:t>
      </w:r>
      <w:r w:rsidRPr="002029AF">
        <w:t>and</w:t>
      </w:r>
      <w:r w:rsidR="000A5329" w:rsidRPr="002029AF">
        <w:t xml:space="preserve"> </w:t>
      </w:r>
      <w:r w:rsidRPr="002029AF">
        <w:t>diagnostic</w:t>
      </w:r>
      <w:r w:rsidR="000A5329" w:rsidRPr="002029AF">
        <w:t xml:space="preserve"> </w:t>
      </w:r>
      <w:r w:rsidRPr="002029AF">
        <w:t>feedback</w:t>
      </w:r>
    </w:p>
    <w:p w14:paraId="0B9FBE85" w14:textId="73B8C0CB" w:rsidR="000A5329" w:rsidRPr="002029AF" w:rsidRDefault="00CF72D5" w:rsidP="001E768A">
      <w:pPr>
        <w:pStyle w:val="ARbullet1"/>
      </w:pPr>
      <w:r w:rsidRPr="002029AF">
        <w:t>supporting</w:t>
      </w:r>
      <w:r w:rsidR="000A5329" w:rsidRPr="002029AF">
        <w:t xml:space="preserve"> </w:t>
      </w:r>
      <w:r w:rsidRPr="002029AF">
        <w:t>executives</w:t>
      </w:r>
      <w:r w:rsidR="000A5329" w:rsidRPr="002029AF">
        <w:t xml:space="preserve"> </w:t>
      </w:r>
      <w:r w:rsidRPr="002029AF">
        <w:t>participating</w:t>
      </w:r>
      <w:r w:rsidR="000A5329" w:rsidRPr="002029AF">
        <w:t xml:space="preserve"> </w:t>
      </w:r>
      <w:r w:rsidRPr="002029AF">
        <w:t>in</w:t>
      </w:r>
      <w:r w:rsidR="000A5329" w:rsidRPr="002029AF">
        <w:t xml:space="preserve"> </w:t>
      </w:r>
      <w:r w:rsidRPr="002029AF">
        <w:t>cross-department</w:t>
      </w:r>
      <w:r w:rsidR="000A5329" w:rsidRPr="002029AF">
        <w:t xml:space="preserve"> </w:t>
      </w:r>
      <w:r w:rsidRPr="002029AF">
        <w:t>leadership</w:t>
      </w:r>
      <w:r w:rsidR="000A5329" w:rsidRPr="002029AF">
        <w:t xml:space="preserve"> </w:t>
      </w:r>
      <w:r w:rsidRPr="002029AF">
        <w:t>and</w:t>
      </w:r>
      <w:r w:rsidR="000A5329" w:rsidRPr="002029AF">
        <w:t xml:space="preserve"> </w:t>
      </w:r>
      <w:r w:rsidRPr="002029AF">
        <w:t>new-to-role</w:t>
      </w:r>
      <w:r w:rsidR="000A5329" w:rsidRPr="002029AF">
        <w:t xml:space="preserve"> </w:t>
      </w:r>
      <w:r w:rsidRPr="002029AF">
        <w:t>programs</w:t>
      </w:r>
      <w:r w:rsidR="000A5329" w:rsidRPr="002029AF">
        <w:t xml:space="preserve"> </w:t>
      </w:r>
      <w:r w:rsidRPr="002029AF">
        <w:t>provided</w:t>
      </w:r>
      <w:r w:rsidR="000A5329" w:rsidRPr="002029AF">
        <w:t xml:space="preserve"> </w:t>
      </w:r>
      <w:r w:rsidRPr="002029AF">
        <w:t>by</w:t>
      </w:r>
      <w:r w:rsidR="000A5329" w:rsidRPr="002029AF">
        <w:t xml:space="preserve"> </w:t>
      </w:r>
      <w:r w:rsidRPr="002029AF">
        <w:t>the</w:t>
      </w:r>
      <w:r w:rsidR="000A5329" w:rsidRPr="002029AF">
        <w:t xml:space="preserve"> </w:t>
      </w:r>
      <w:r w:rsidRPr="002029AF">
        <w:t>Victorian</w:t>
      </w:r>
      <w:r w:rsidR="000A5329" w:rsidRPr="002029AF">
        <w:t xml:space="preserve"> </w:t>
      </w:r>
      <w:r w:rsidRPr="002029AF">
        <w:t>Leadership</w:t>
      </w:r>
      <w:r w:rsidR="000A5329" w:rsidRPr="002029AF">
        <w:t xml:space="preserve"> </w:t>
      </w:r>
      <w:r w:rsidRPr="002029AF">
        <w:t>Academy.</w:t>
      </w:r>
      <w:r w:rsidR="000A5329" w:rsidRPr="002029AF">
        <w:t xml:space="preserve"> </w:t>
      </w:r>
      <w:r w:rsidRPr="002029AF">
        <w:t>These</w:t>
      </w:r>
      <w:r w:rsidR="000A5329" w:rsidRPr="002029AF">
        <w:t xml:space="preserve"> </w:t>
      </w:r>
      <w:r w:rsidRPr="002029AF">
        <w:t>programs</w:t>
      </w:r>
      <w:r w:rsidR="000A5329" w:rsidRPr="002029AF">
        <w:t xml:space="preserve"> </w:t>
      </w:r>
      <w:r w:rsidRPr="002029AF">
        <w:t>are</w:t>
      </w:r>
      <w:r w:rsidR="000A5329" w:rsidRPr="002029AF">
        <w:t xml:space="preserve"> </w:t>
      </w:r>
      <w:r w:rsidRPr="002029AF">
        <w:t>designed</w:t>
      </w:r>
      <w:r w:rsidR="000A5329" w:rsidRPr="002029AF">
        <w:t xml:space="preserve"> </w:t>
      </w:r>
      <w:r w:rsidRPr="002029AF">
        <w:t>to</w:t>
      </w:r>
      <w:r w:rsidR="000A5329" w:rsidRPr="002029AF">
        <w:t xml:space="preserve"> </w:t>
      </w:r>
      <w:r w:rsidRPr="002029AF">
        <w:t>build</w:t>
      </w:r>
      <w:r w:rsidR="000A5329" w:rsidRPr="002029AF">
        <w:t xml:space="preserve"> </w:t>
      </w:r>
      <w:r w:rsidRPr="002029AF">
        <w:t>consistent</w:t>
      </w:r>
      <w:r w:rsidR="000A5329" w:rsidRPr="002029AF">
        <w:t xml:space="preserve"> </w:t>
      </w:r>
      <w:r w:rsidRPr="002029AF">
        <w:t>leadership</w:t>
      </w:r>
      <w:r w:rsidR="000A5329" w:rsidRPr="002029AF">
        <w:t xml:space="preserve"> </w:t>
      </w:r>
      <w:r w:rsidRPr="002029AF">
        <w:t>capability</w:t>
      </w:r>
      <w:r w:rsidR="000A5329" w:rsidRPr="002029AF">
        <w:t xml:space="preserve"> </w:t>
      </w:r>
      <w:r w:rsidRPr="002029AF">
        <w:t>across</w:t>
      </w:r>
      <w:r w:rsidR="000A5329" w:rsidRPr="002029AF">
        <w:t xml:space="preserve"> </w:t>
      </w:r>
      <w:r w:rsidRPr="002029AF">
        <w:t>the</w:t>
      </w:r>
      <w:r w:rsidR="00EF3FCC">
        <w:t> </w:t>
      </w:r>
      <w:r w:rsidRPr="002029AF">
        <w:t>executive</w:t>
      </w:r>
      <w:r w:rsidR="000A5329" w:rsidRPr="002029AF">
        <w:t xml:space="preserve"> </w:t>
      </w:r>
      <w:r w:rsidRPr="002029AF">
        <w:t>cohort</w:t>
      </w:r>
    </w:p>
    <w:p w14:paraId="1EBDB282" w14:textId="47F33733" w:rsidR="000A5329" w:rsidRPr="002029AF" w:rsidRDefault="00CF72D5" w:rsidP="001E768A">
      <w:pPr>
        <w:pStyle w:val="ARbullet1"/>
      </w:pPr>
      <w:r w:rsidRPr="002029AF">
        <w:t>working</w:t>
      </w:r>
      <w:r w:rsidR="000A5329" w:rsidRPr="002029AF">
        <w:t xml:space="preserve"> </w:t>
      </w:r>
      <w:r w:rsidRPr="002029AF">
        <w:t>with</w:t>
      </w:r>
      <w:r w:rsidR="000A5329" w:rsidRPr="002029AF">
        <w:t xml:space="preserve"> </w:t>
      </w:r>
      <w:r w:rsidRPr="002029AF">
        <w:t>external</w:t>
      </w:r>
      <w:r w:rsidR="000A5329" w:rsidRPr="002029AF">
        <w:t xml:space="preserve"> </w:t>
      </w:r>
      <w:r w:rsidRPr="002029AF">
        <w:t>providers</w:t>
      </w:r>
      <w:r w:rsidR="000A5329" w:rsidRPr="002029AF">
        <w:t xml:space="preserve"> </w:t>
      </w:r>
      <w:r w:rsidRPr="002029AF">
        <w:t>to</w:t>
      </w:r>
      <w:r w:rsidR="000A5329" w:rsidRPr="002029AF">
        <w:t xml:space="preserve"> </w:t>
      </w:r>
      <w:r w:rsidRPr="002029AF">
        <w:t>deliver</w:t>
      </w:r>
      <w:r w:rsidR="000A5329" w:rsidRPr="002029AF">
        <w:t xml:space="preserve"> </w:t>
      </w:r>
      <w:r w:rsidRPr="002029AF">
        <w:t>five</w:t>
      </w:r>
      <w:r w:rsidR="000A5329" w:rsidRPr="002029AF">
        <w:t xml:space="preserve"> </w:t>
      </w:r>
      <w:r w:rsidRPr="002029AF">
        <w:t>leadership</w:t>
      </w:r>
      <w:r w:rsidR="000A5329" w:rsidRPr="002029AF">
        <w:t xml:space="preserve"> </w:t>
      </w:r>
      <w:r w:rsidRPr="002029AF">
        <w:t>programs</w:t>
      </w:r>
      <w:r w:rsidR="000A5329" w:rsidRPr="002029AF">
        <w:t xml:space="preserve"> </w:t>
      </w:r>
      <w:r w:rsidRPr="002029AF">
        <w:t>virtually</w:t>
      </w:r>
      <w:r w:rsidR="000A5329" w:rsidRPr="002029AF">
        <w:t xml:space="preserve"> </w:t>
      </w:r>
      <w:r w:rsidRPr="002029AF">
        <w:t>from</w:t>
      </w:r>
      <w:r w:rsidR="000A5329" w:rsidRPr="002029AF">
        <w:t xml:space="preserve"> </w:t>
      </w:r>
      <w:r w:rsidRPr="002029AF">
        <w:t>April</w:t>
      </w:r>
      <w:r w:rsidR="000A5329" w:rsidRPr="002029AF">
        <w:t xml:space="preserve"> </w:t>
      </w:r>
      <w:r w:rsidRPr="002029AF">
        <w:t>2020.</w:t>
      </w:r>
      <w:r w:rsidR="000A5329" w:rsidRPr="002029AF">
        <w:t xml:space="preserve"> </w:t>
      </w:r>
      <w:r w:rsidRPr="002029AF">
        <w:t>These</w:t>
      </w:r>
      <w:r w:rsidR="000A5329" w:rsidRPr="002029AF">
        <w:t xml:space="preserve"> </w:t>
      </w:r>
      <w:r w:rsidRPr="002029AF">
        <w:t>programs</w:t>
      </w:r>
      <w:r w:rsidR="000A5329" w:rsidRPr="002029AF">
        <w:t xml:space="preserve"> </w:t>
      </w:r>
      <w:r w:rsidRPr="002029AF">
        <w:t>are</w:t>
      </w:r>
      <w:r w:rsidR="000A5329" w:rsidRPr="002029AF">
        <w:t xml:space="preserve"> </w:t>
      </w:r>
      <w:r w:rsidRPr="002029AF">
        <w:t>designed</w:t>
      </w:r>
      <w:r w:rsidR="000A5329" w:rsidRPr="002029AF">
        <w:t xml:space="preserve"> </w:t>
      </w:r>
      <w:r w:rsidRPr="002029AF">
        <w:t>to</w:t>
      </w:r>
      <w:r w:rsidR="000A5329" w:rsidRPr="002029AF">
        <w:t xml:space="preserve"> </w:t>
      </w:r>
      <w:r w:rsidRPr="002029AF">
        <w:t>build</w:t>
      </w:r>
      <w:r w:rsidR="000A5329" w:rsidRPr="002029AF">
        <w:t xml:space="preserve"> </w:t>
      </w:r>
      <w:r w:rsidRPr="002029AF">
        <w:t>leadership</w:t>
      </w:r>
      <w:r w:rsidR="000A5329" w:rsidRPr="002029AF">
        <w:t xml:space="preserve"> </w:t>
      </w:r>
      <w:r w:rsidRPr="002029AF">
        <w:t>capability</w:t>
      </w:r>
      <w:r w:rsidR="000A5329" w:rsidRPr="002029AF">
        <w:t xml:space="preserve"> </w:t>
      </w:r>
      <w:r w:rsidRPr="002029AF">
        <w:t>for</w:t>
      </w:r>
      <w:r w:rsidR="000A5329" w:rsidRPr="002029AF">
        <w:t xml:space="preserve"> </w:t>
      </w:r>
      <w:r w:rsidRPr="002029AF">
        <w:t>aspiring</w:t>
      </w:r>
      <w:r w:rsidR="000A5329" w:rsidRPr="002029AF">
        <w:t xml:space="preserve"> </w:t>
      </w:r>
      <w:r w:rsidRPr="002029AF">
        <w:t>and</w:t>
      </w:r>
      <w:r w:rsidR="000A5329" w:rsidRPr="002029AF">
        <w:t xml:space="preserve"> </w:t>
      </w:r>
      <w:r w:rsidRPr="002029AF">
        <w:t>current</w:t>
      </w:r>
      <w:r w:rsidR="000A5329" w:rsidRPr="002029AF">
        <w:t xml:space="preserve"> </w:t>
      </w:r>
      <w:r w:rsidRPr="002029AF">
        <w:t>people</w:t>
      </w:r>
      <w:r w:rsidR="000A5329" w:rsidRPr="002029AF">
        <w:t xml:space="preserve"> </w:t>
      </w:r>
      <w:r w:rsidRPr="002029AF">
        <w:t>leaders</w:t>
      </w:r>
    </w:p>
    <w:p w14:paraId="68BC6210" w14:textId="11B61FEE" w:rsidR="00CF72D5" w:rsidRPr="002029AF" w:rsidRDefault="00CF72D5" w:rsidP="001E768A">
      <w:pPr>
        <w:pStyle w:val="ARbullet1"/>
      </w:pPr>
      <w:r w:rsidRPr="002029AF">
        <w:t>introducing</w:t>
      </w:r>
      <w:r w:rsidR="000A5329" w:rsidRPr="002029AF">
        <w:t xml:space="preserve"> </w:t>
      </w:r>
      <w:r w:rsidRPr="002029AF">
        <w:t>Short</w:t>
      </w:r>
      <w:r w:rsidR="000A5329" w:rsidRPr="002029AF">
        <w:t xml:space="preserve"> </w:t>
      </w:r>
      <w:r w:rsidRPr="002029AF">
        <w:t>Hits</w:t>
      </w:r>
      <w:r w:rsidR="000A5329" w:rsidRPr="002029AF">
        <w:t xml:space="preserve"> </w:t>
      </w:r>
      <w:r w:rsidRPr="002029AF">
        <w:t>of</w:t>
      </w:r>
      <w:r w:rsidR="000A5329" w:rsidRPr="002029AF">
        <w:t xml:space="preserve"> </w:t>
      </w:r>
      <w:r w:rsidRPr="002029AF">
        <w:t>Thinking</w:t>
      </w:r>
      <w:r w:rsidR="000A5329" w:rsidRPr="002029AF">
        <w:t xml:space="preserve"> </w:t>
      </w:r>
      <w:r w:rsidRPr="002029AF">
        <w:t>(SHOTs)</w:t>
      </w:r>
      <w:r w:rsidR="000A5329" w:rsidRPr="002029AF">
        <w:t xml:space="preserve"> </w:t>
      </w:r>
      <w:r w:rsidRPr="002029AF">
        <w:t>to</w:t>
      </w:r>
      <w:r w:rsidR="00EF3FCC">
        <w:t xml:space="preserve"> </w:t>
      </w:r>
      <w:r w:rsidRPr="002029AF">
        <w:t>all</w:t>
      </w:r>
      <w:r w:rsidR="00EF3FCC">
        <w:t> </w:t>
      </w:r>
      <w:r w:rsidRPr="002029AF">
        <w:t>leaders</w:t>
      </w:r>
      <w:r w:rsidR="000A5329" w:rsidRPr="002029AF">
        <w:t xml:space="preserve"> </w:t>
      </w:r>
      <w:r w:rsidRPr="002029AF">
        <w:t>with</w:t>
      </w:r>
      <w:r w:rsidR="000A5329" w:rsidRPr="002029AF">
        <w:t xml:space="preserve"> </w:t>
      </w:r>
      <w:r w:rsidRPr="002029AF">
        <w:t>links</w:t>
      </w:r>
      <w:r w:rsidR="000A5329" w:rsidRPr="002029AF">
        <w:t xml:space="preserve"> </w:t>
      </w:r>
      <w:r w:rsidRPr="002029AF">
        <w:t>to</w:t>
      </w:r>
      <w:r w:rsidR="000A5329" w:rsidRPr="002029AF">
        <w:t xml:space="preserve"> </w:t>
      </w:r>
      <w:r w:rsidRPr="002029AF">
        <w:t>online</w:t>
      </w:r>
      <w:r w:rsidR="000A5329" w:rsidRPr="002029AF">
        <w:t xml:space="preserve"> </w:t>
      </w:r>
      <w:r w:rsidRPr="002029AF">
        <w:t>learning</w:t>
      </w:r>
      <w:r w:rsidR="000A5329" w:rsidRPr="002029AF">
        <w:t xml:space="preserve"> </w:t>
      </w:r>
      <w:r w:rsidRPr="002029AF">
        <w:t>tailored</w:t>
      </w:r>
      <w:r w:rsidR="000A5329" w:rsidRPr="002029AF">
        <w:t xml:space="preserve"> </w:t>
      </w:r>
      <w:r w:rsidRPr="002029AF">
        <w:t>to</w:t>
      </w:r>
      <w:r w:rsidR="00EF3FCC">
        <w:t> </w:t>
      </w:r>
      <w:r w:rsidRPr="002029AF">
        <w:t>leading</w:t>
      </w:r>
      <w:r w:rsidR="000A5329" w:rsidRPr="002029AF">
        <w:t xml:space="preserve"> </w:t>
      </w:r>
      <w:r w:rsidRPr="002029AF">
        <w:t>during</w:t>
      </w:r>
      <w:r w:rsidR="000A5329" w:rsidRPr="002029AF">
        <w:t xml:space="preserve"> </w:t>
      </w:r>
      <w:r w:rsidRPr="002029AF">
        <w:t>coronavirus</w:t>
      </w:r>
      <w:r w:rsidR="000A5329" w:rsidRPr="002029AF">
        <w:t xml:space="preserve"> </w:t>
      </w:r>
      <w:r w:rsidRPr="002029AF">
        <w:t>(COVID-19)</w:t>
      </w:r>
    </w:p>
    <w:p w14:paraId="1E0AF48E" w14:textId="7532D8F7" w:rsidR="00CF72D5" w:rsidRPr="002029AF" w:rsidRDefault="00CF72D5" w:rsidP="001E768A">
      <w:pPr>
        <w:pStyle w:val="ARbullet1"/>
      </w:pPr>
      <w:r w:rsidRPr="002029AF">
        <w:t>continuing</w:t>
      </w:r>
      <w:r w:rsidR="000A5329" w:rsidRPr="002029AF">
        <w:t xml:space="preserve"> </w:t>
      </w:r>
      <w:r w:rsidRPr="002029AF">
        <w:t>to</w:t>
      </w:r>
      <w:r w:rsidR="000A5329" w:rsidRPr="002029AF">
        <w:t xml:space="preserve"> </w:t>
      </w:r>
      <w:r w:rsidRPr="002029AF">
        <w:t>deliver</w:t>
      </w:r>
      <w:r w:rsidR="000A5329" w:rsidRPr="002029AF">
        <w:t xml:space="preserve"> </w:t>
      </w:r>
      <w:r w:rsidRPr="002029AF">
        <w:t>the</w:t>
      </w:r>
      <w:r w:rsidR="000A5329" w:rsidRPr="002029AF">
        <w:t xml:space="preserve"> </w:t>
      </w:r>
      <w:r w:rsidRPr="002029AF">
        <w:t>suite</w:t>
      </w:r>
      <w:r w:rsidR="000A5329" w:rsidRPr="002029AF">
        <w:t xml:space="preserve"> </w:t>
      </w:r>
      <w:r w:rsidRPr="002029AF">
        <w:t>of</w:t>
      </w:r>
      <w:r w:rsidR="000A5329" w:rsidRPr="002029AF">
        <w:t xml:space="preserve"> </w:t>
      </w:r>
      <w:r w:rsidRPr="002029AF">
        <w:t>five</w:t>
      </w:r>
      <w:r w:rsidR="000A5329" w:rsidRPr="002029AF">
        <w:t xml:space="preserve"> </w:t>
      </w:r>
      <w:r w:rsidRPr="002029AF">
        <w:t>Leading</w:t>
      </w:r>
      <w:r w:rsidR="000A5329" w:rsidRPr="002029AF">
        <w:t xml:space="preserve"> </w:t>
      </w:r>
      <w:r w:rsidRPr="002029AF">
        <w:t>with</w:t>
      </w:r>
      <w:r w:rsidR="000A5329" w:rsidRPr="002029AF">
        <w:t xml:space="preserve"> </w:t>
      </w:r>
      <w:r w:rsidRPr="002029AF">
        <w:t>Respect</w:t>
      </w:r>
      <w:r w:rsidR="000A5329" w:rsidRPr="002029AF">
        <w:t xml:space="preserve"> </w:t>
      </w:r>
      <w:r w:rsidRPr="002029AF">
        <w:t>programs.</w:t>
      </w:r>
      <w:r w:rsidR="000A5329" w:rsidRPr="002029AF">
        <w:t xml:space="preserve"> </w:t>
      </w:r>
      <w:r w:rsidRPr="002029AF">
        <w:t>During</w:t>
      </w:r>
      <w:r w:rsidR="000A5329" w:rsidRPr="002029AF">
        <w:t xml:space="preserve"> </w:t>
      </w:r>
      <w:r w:rsidRPr="002029AF">
        <w:t>201</w:t>
      </w:r>
      <w:r w:rsidR="00DB53E6" w:rsidRPr="002029AF">
        <w:t>9–</w:t>
      </w:r>
      <w:r w:rsidRPr="002029AF">
        <w:t>20</w:t>
      </w:r>
      <w:r w:rsidR="00F04F8A" w:rsidRPr="002029AF">
        <w:t>,</w:t>
      </w:r>
      <w:r w:rsidR="000A5329" w:rsidRPr="002029AF">
        <w:t xml:space="preserve"> </w:t>
      </w:r>
      <w:r w:rsidRPr="002029AF">
        <w:t>127</w:t>
      </w:r>
      <w:r w:rsidR="00233C48" w:rsidRPr="002029AF">
        <w:t> </w:t>
      </w:r>
      <w:r w:rsidRPr="002029AF">
        <w:t>sessions</w:t>
      </w:r>
      <w:r w:rsidR="000A5329" w:rsidRPr="002029AF">
        <w:t xml:space="preserve"> </w:t>
      </w:r>
      <w:r w:rsidRPr="002029AF">
        <w:t>were</w:t>
      </w:r>
      <w:r w:rsidR="000A5329" w:rsidRPr="002029AF">
        <w:t xml:space="preserve"> </w:t>
      </w:r>
      <w:r w:rsidRPr="002029AF">
        <w:t>conducted</w:t>
      </w:r>
      <w:r w:rsidR="000A5329" w:rsidRPr="002029AF">
        <w:t xml:space="preserve"> </w:t>
      </w:r>
      <w:r w:rsidRPr="002029AF">
        <w:t>(including</w:t>
      </w:r>
      <w:r w:rsidR="000A5329" w:rsidRPr="002029AF">
        <w:t xml:space="preserve"> </w:t>
      </w:r>
      <w:r w:rsidRPr="002029AF">
        <w:t>10</w:t>
      </w:r>
      <w:r w:rsidR="00233C48" w:rsidRPr="002029AF">
        <w:t> </w:t>
      </w:r>
      <w:r w:rsidR="00764629" w:rsidRPr="002029AF">
        <w:t>e</w:t>
      </w:r>
      <w:r w:rsidRPr="002029AF">
        <w:t>xecutive</w:t>
      </w:r>
      <w:r w:rsidR="000A5329" w:rsidRPr="002029AF">
        <w:t xml:space="preserve"> </w:t>
      </w:r>
      <w:r w:rsidRPr="002029AF">
        <w:t>masterclasses)</w:t>
      </w:r>
      <w:r w:rsidR="000A5329" w:rsidRPr="002029AF">
        <w:t xml:space="preserve"> </w:t>
      </w:r>
      <w:r w:rsidRPr="002029AF">
        <w:t>with</w:t>
      </w:r>
      <w:r w:rsidR="000A5329" w:rsidRPr="002029AF">
        <w:t xml:space="preserve"> </w:t>
      </w:r>
      <w:r w:rsidRPr="002029AF">
        <w:t>1,440</w:t>
      </w:r>
      <w:r w:rsidR="000A5329" w:rsidRPr="002029AF">
        <w:t xml:space="preserve"> </w:t>
      </w:r>
      <w:r w:rsidRPr="002029AF">
        <w:t>employees</w:t>
      </w:r>
      <w:r w:rsidR="000A5329" w:rsidRPr="002029AF">
        <w:t xml:space="preserve"> </w:t>
      </w:r>
      <w:r w:rsidRPr="002029AF">
        <w:t>attending.</w:t>
      </w:r>
      <w:r w:rsidR="000A5329" w:rsidRPr="002029AF">
        <w:t xml:space="preserve"> </w:t>
      </w:r>
      <w:r w:rsidRPr="002029AF">
        <w:t>Since</w:t>
      </w:r>
      <w:r w:rsidR="000A5329" w:rsidRPr="002029AF">
        <w:t xml:space="preserve"> </w:t>
      </w:r>
      <w:r w:rsidRPr="002029AF">
        <w:t>the</w:t>
      </w:r>
      <w:r w:rsidR="000A5329" w:rsidRPr="002029AF">
        <w:t xml:space="preserve"> </w:t>
      </w:r>
      <w:r w:rsidRPr="002029AF">
        <w:t>program</w:t>
      </w:r>
      <w:r w:rsidR="000A5329" w:rsidRPr="002029AF">
        <w:t xml:space="preserve"> </w:t>
      </w:r>
      <w:r w:rsidRPr="002029AF">
        <w:t>began</w:t>
      </w:r>
      <w:r w:rsidR="00EF3FCC">
        <w:t> </w:t>
      </w:r>
      <w:r w:rsidRPr="002029AF">
        <w:t>624</w:t>
      </w:r>
      <w:r w:rsidR="000A5329" w:rsidRPr="002029AF">
        <w:t xml:space="preserve"> </w:t>
      </w:r>
      <w:r w:rsidRPr="002029AF">
        <w:t>people</w:t>
      </w:r>
      <w:r w:rsidR="000A5329" w:rsidRPr="002029AF">
        <w:t xml:space="preserve"> </w:t>
      </w:r>
      <w:r w:rsidRPr="002029AF">
        <w:t>leaders</w:t>
      </w:r>
      <w:r w:rsidR="000A5329" w:rsidRPr="002029AF">
        <w:t xml:space="preserve"> </w:t>
      </w:r>
      <w:r w:rsidRPr="002029AF">
        <w:t>have</w:t>
      </w:r>
      <w:r w:rsidR="000A5329" w:rsidRPr="002029AF">
        <w:t xml:space="preserve"> </w:t>
      </w:r>
      <w:r w:rsidRPr="002029AF">
        <w:t>completed</w:t>
      </w:r>
      <w:r w:rsidR="000A5329" w:rsidRPr="002029AF">
        <w:t xml:space="preserve"> </w:t>
      </w:r>
      <w:r w:rsidRPr="002029AF">
        <w:t>all</w:t>
      </w:r>
      <w:r w:rsidR="00EF3FCC">
        <w:t> </w:t>
      </w:r>
      <w:r w:rsidRPr="002029AF">
        <w:t>five</w:t>
      </w:r>
      <w:r w:rsidR="000A5329" w:rsidRPr="002029AF">
        <w:t xml:space="preserve"> </w:t>
      </w:r>
      <w:r w:rsidRPr="002029AF">
        <w:t>programs</w:t>
      </w:r>
      <w:r w:rsidR="000A5329" w:rsidRPr="002029AF">
        <w:t xml:space="preserve"> </w:t>
      </w:r>
      <w:r w:rsidRPr="002029AF">
        <w:t>in</w:t>
      </w:r>
      <w:r w:rsidR="000A5329" w:rsidRPr="002029AF">
        <w:t xml:space="preserve"> </w:t>
      </w:r>
      <w:r w:rsidRPr="002029AF">
        <w:t>the</w:t>
      </w:r>
      <w:r w:rsidR="000A5329" w:rsidRPr="002029AF">
        <w:t xml:space="preserve"> </w:t>
      </w:r>
      <w:r w:rsidRPr="002029AF">
        <w:t>suite</w:t>
      </w:r>
      <w:r w:rsidR="00FC001B" w:rsidRPr="002029AF">
        <w:t>.</w:t>
      </w:r>
    </w:p>
    <w:p w14:paraId="25549EEA" w14:textId="59A482FB" w:rsidR="00CF72D5" w:rsidRPr="002029AF" w:rsidRDefault="00CF72D5" w:rsidP="00897193">
      <w:pPr>
        <w:pStyle w:val="Heading3"/>
      </w:pPr>
      <w:r w:rsidRPr="002029AF">
        <w:t>Capability</w:t>
      </w:r>
      <w:r w:rsidR="000A5329" w:rsidRPr="002029AF">
        <w:t xml:space="preserve"> </w:t>
      </w:r>
      <w:r w:rsidRPr="002029AF">
        <w:t>development</w:t>
      </w:r>
    </w:p>
    <w:p w14:paraId="3A613ABE" w14:textId="468BC2F0" w:rsidR="00CF72D5" w:rsidRPr="002029AF" w:rsidRDefault="00CF72D5" w:rsidP="00897193">
      <w:pPr>
        <w:pStyle w:val="ARbody"/>
      </w:pPr>
      <w:r w:rsidRPr="002029AF">
        <w:t>Technology</w:t>
      </w:r>
      <w:r w:rsidR="000A5329" w:rsidRPr="002029AF">
        <w:t xml:space="preserve"> </w:t>
      </w:r>
      <w:r w:rsidRPr="002029AF">
        <w:t>continues</w:t>
      </w:r>
      <w:r w:rsidR="000A5329" w:rsidRPr="002029AF">
        <w:t xml:space="preserve"> </w:t>
      </w:r>
      <w:r w:rsidRPr="002029AF">
        <w:t>to</w:t>
      </w:r>
      <w:r w:rsidR="000A5329" w:rsidRPr="002029AF">
        <w:t xml:space="preserve"> </w:t>
      </w:r>
      <w:r w:rsidRPr="002029AF">
        <w:t>shape</w:t>
      </w:r>
      <w:r w:rsidR="000A5329" w:rsidRPr="002029AF">
        <w:t xml:space="preserve"> </w:t>
      </w:r>
      <w:r w:rsidRPr="002029AF">
        <w:t>the</w:t>
      </w:r>
      <w:r w:rsidR="000A5329" w:rsidRPr="002029AF">
        <w:t xml:space="preserve"> </w:t>
      </w:r>
      <w:r w:rsidRPr="002029AF">
        <w:t>departments</w:t>
      </w:r>
      <w:r w:rsidR="00233C48" w:rsidRPr="002029AF">
        <w:t> </w:t>
      </w:r>
      <w:r w:rsidRPr="002029AF">
        <w:t>learning</w:t>
      </w:r>
      <w:r w:rsidR="000A5329" w:rsidRPr="002029AF">
        <w:t xml:space="preserve"> </w:t>
      </w:r>
      <w:r w:rsidRPr="002029AF">
        <w:t>and</w:t>
      </w:r>
      <w:r w:rsidR="000A5329" w:rsidRPr="002029AF">
        <w:t xml:space="preserve"> </w:t>
      </w:r>
      <w:r w:rsidRPr="002029AF">
        <w:t>development</w:t>
      </w:r>
      <w:r w:rsidR="000A5329" w:rsidRPr="002029AF">
        <w:t xml:space="preserve"> </w:t>
      </w:r>
      <w:r w:rsidRPr="002029AF">
        <w:t>approaches</w:t>
      </w:r>
      <w:r w:rsidR="000A5329" w:rsidRPr="002029AF">
        <w:t xml:space="preserve"> </w:t>
      </w:r>
      <w:r w:rsidRPr="002029AF">
        <w:t>with</w:t>
      </w:r>
      <w:r w:rsidR="000A5329" w:rsidRPr="002029AF">
        <w:t xml:space="preserve"> </w:t>
      </w:r>
      <w:r w:rsidRPr="002029AF">
        <w:t>28</w:t>
      </w:r>
      <w:r w:rsidR="000A5329" w:rsidRPr="002029AF">
        <w:t xml:space="preserve"> </w:t>
      </w:r>
      <w:r w:rsidRPr="002029AF">
        <w:t>new</w:t>
      </w:r>
      <w:r w:rsidR="000A5329" w:rsidRPr="002029AF">
        <w:t xml:space="preserve"> </w:t>
      </w:r>
      <w:r w:rsidRPr="002029AF">
        <w:t>online</w:t>
      </w:r>
      <w:r w:rsidR="000A5329" w:rsidRPr="002029AF">
        <w:t xml:space="preserve"> </w:t>
      </w:r>
      <w:r w:rsidRPr="002029AF">
        <w:t>courses</w:t>
      </w:r>
      <w:r w:rsidR="000A5329" w:rsidRPr="002029AF">
        <w:t xml:space="preserve"> </w:t>
      </w:r>
      <w:r w:rsidRPr="002029AF">
        <w:t>being</w:t>
      </w:r>
      <w:r w:rsidR="000A5329" w:rsidRPr="002029AF">
        <w:t xml:space="preserve"> </w:t>
      </w:r>
      <w:r w:rsidRPr="002029AF">
        <w:t>added</w:t>
      </w:r>
      <w:r w:rsidR="000A5329" w:rsidRPr="002029AF">
        <w:t xml:space="preserve"> </w:t>
      </w:r>
      <w:r w:rsidRPr="002029AF">
        <w:t>to</w:t>
      </w:r>
      <w:r w:rsidR="000A5329" w:rsidRPr="002029AF">
        <w:t xml:space="preserve"> </w:t>
      </w:r>
      <w:r w:rsidRPr="002029AF">
        <w:t>the</w:t>
      </w:r>
      <w:r w:rsidR="000A5329" w:rsidRPr="002029AF">
        <w:t xml:space="preserve"> </w:t>
      </w:r>
      <w:r w:rsidRPr="002029AF">
        <w:t>eLearning</w:t>
      </w:r>
      <w:r w:rsidR="000A5329" w:rsidRPr="002029AF">
        <w:t xml:space="preserve"> </w:t>
      </w:r>
      <w:r w:rsidRPr="002029AF">
        <w:t>portal.</w:t>
      </w:r>
      <w:r w:rsidR="000A5329" w:rsidRPr="002029AF">
        <w:t xml:space="preserve"> </w:t>
      </w:r>
      <w:r w:rsidRPr="002029AF">
        <w:t>The</w:t>
      </w:r>
      <w:r w:rsidR="000A5329" w:rsidRPr="002029AF">
        <w:t xml:space="preserve"> </w:t>
      </w:r>
      <w:r w:rsidRPr="002029AF">
        <w:t>courses</w:t>
      </w:r>
      <w:r w:rsidR="000A5329" w:rsidRPr="002029AF">
        <w:t xml:space="preserve"> </w:t>
      </w:r>
      <w:r w:rsidRPr="002029AF">
        <w:t>offered</w:t>
      </w:r>
      <w:r w:rsidR="000A5329" w:rsidRPr="002029AF">
        <w:t xml:space="preserve"> </w:t>
      </w:r>
      <w:r w:rsidRPr="002029AF">
        <w:t>are</w:t>
      </w:r>
      <w:r w:rsidR="000A5329" w:rsidRPr="002029AF">
        <w:t xml:space="preserve"> </w:t>
      </w:r>
      <w:r w:rsidRPr="002029AF">
        <w:t>designed</w:t>
      </w:r>
      <w:r w:rsidR="000A5329" w:rsidRPr="002029AF">
        <w:t xml:space="preserve"> </w:t>
      </w:r>
      <w:r w:rsidRPr="002029AF">
        <w:t>to</w:t>
      </w:r>
      <w:r w:rsidR="000A5329" w:rsidRPr="002029AF">
        <w:t xml:space="preserve"> </w:t>
      </w:r>
      <w:r w:rsidRPr="002029AF">
        <w:t>support</w:t>
      </w:r>
      <w:r w:rsidR="000A5329" w:rsidRPr="002029AF">
        <w:t xml:space="preserve"> </w:t>
      </w:r>
      <w:r w:rsidRPr="002029AF">
        <w:t>compliance</w:t>
      </w:r>
      <w:r w:rsidR="000A5329" w:rsidRPr="002029AF">
        <w:t xml:space="preserve"> </w:t>
      </w:r>
      <w:r w:rsidRPr="002029AF">
        <w:t>and</w:t>
      </w:r>
      <w:r w:rsidR="00685A2C" w:rsidRPr="002029AF">
        <w:t>/</w:t>
      </w:r>
      <w:r w:rsidRPr="002029AF">
        <w:t>or</w:t>
      </w:r>
      <w:r w:rsidR="000A5329" w:rsidRPr="002029AF">
        <w:t xml:space="preserve"> </w:t>
      </w:r>
      <w:r w:rsidRPr="002029AF">
        <w:t>client</w:t>
      </w:r>
      <w:r w:rsidR="000A5329" w:rsidRPr="002029AF">
        <w:t xml:space="preserve"> </w:t>
      </w:r>
      <w:r w:rsidRPr="002029AF">
        <w:t>service</w:t>
      </w:r>
      <w:r w:rsidR="000A5329" w:rsidRPr="002029AF">
        <w:t xml:space="preserve"> </w:t>
      </w:r>
      <w:r w:rsidRPr="002029AF">
        <w:t>capability</w:t>
      </w:r>
      <w:r w:rsidR="000A5329" w:rsidRPr="002029AF">
        <w:t xml:space="preserve"> </w:t>
      </w:r>
      <w:r w:rsidRPr="002029AF">
        <w:t>across</w:t>
      </w:r>
      <w:r w:rsidR="000A5329" w:rsidRPr="002029AF">
        <w:t xml:space="preserve"> </w:t>
      </w:r>
      <w:r w:rsidRPr="002029AF">
        <w:t>the</w:t>
      </w:r>
      <w:r w:rsidR="000A5329" w:rsidRPr="002029AF">
        <w:t xml:space="preserve"> </w:t>
      </w:r>
      <w:r w:rsidRPr="002029AF">
        <w:t>department</w:t>
      </w:r>
      <w:r w:rsidR="006250F0" w:rsidRPr="002029AF">
        <w:t>’</w:t>
      </w:r>
      <w:r w:rsidRPr="002029AF">
        <w:t>s</w:t>
      </w:r>
      <w:r w:rsidR="000A5329" w:rsidRPr="002029AF">
        <w:t xml:space="preserve"> </w:t>
      </w:r>
      <w:r w:rsidRPr="002029AF">
        <w:t>workforces</w:t>
      </w:r>
      <w:r w:rsidR="000A5329" w:rsidRPr="002029AF">
        <w:t xml:space="preserve"> </w:t>
      </w:r>
      <w:r w:rsidRPr="002029AF">
        <w:t>and</w:t>
      </w:r>
      <w:r w:rsidR="00EF3FCC">
        <w:t> </w:t>
      </w:r>
      <w:r w:rsidRPr="002029AF">
        <w:t>have</w:t>
      </w:r>
      <w:r w:rsidR="000A5329" w:rsidRPr="002029AF">
        <w:t xml:space="preserve"> </w:t>
      </w:r>
      <w:r w:rsidRPr="002029AF">
        <w:t>been</w:t>
      </w:r>
      <w:r w:rsidR="000A5329" w:rsidRPr="002029AF">
        <w:t xml:space="preserve"> </w:t>
      </w:r>
      <w:r w:rsidRPr="002029AF">
        <w:t>underpinned</w:t>
      </w:r>
      <w:r w:rsidR="000A5329" w:rsidRPr="002029AF">
        <w:t xml:space="preserve"> </w:t>
      </w:r>
      <w:r w:rsidRPr="002029AF">
        <w:t>by</w:t>
      </w:r>
      <w:r w:rsidR="000A5329" w:rsidRPr="002029AF">
        <w:t xml:space="preserve"> </w:t>
      </w:r>
      <w:r w:rsidRPr="002029AF">
        <w:t>the</w:t>
      </w:r>
      <w:r w:rsidR="000A5329" w:rsidRPr="002029AF">
        <w:t xml:space="preserve"> </w:t>
      </w:r>
      <w:r w:rsidRPr="002029AF">
        <w:t>department</w:t>
      </w:r>
      <w:r w:rsidR="006250F0" w:rsidRPr="002029AF">
        <w:t>’</w:t>
      </w:r>
      <w:r w:rsidRPr="002029AF">
        <w:t>s</w:t>
      </w:r>
      <w:r w:rsidR="000A5329" w:rsidRPr="002029AF">
        <w:t xml:space="preserve"> </w:t>
      </w:r>
      <w:r w:rsidRPr="002029AF">
        <w:t>compliance</w:t>
      </w:r>
      <w:r w:rsidR="000A5329" w:rsidRPr="002029AF">
        <w:t xml:space="preserve"> </w:t>
      </w:r>
      <w:r w:rsidRPr="002029AF">
        <w:t>training</w:t>
      </w:r>
      <w:r w:rsidR="000A5329" w:rsidRPr="002029AF">
        <w:t xml:space="preserve"> </w:t>
      </w:r>
      <w:r w:rsidRPr="002029AF">
        <w:t>framework</w:t>
      </w:r>
      <w:r w:rsidR="000343EC" w:rsidRPr="002029AF">
        <w:t>.</w:t>
      </w:r>
      <w:r w:rsidR="000A5329" w:rsidRPr="002029AF">
        <w:t xml:space="preserve"> </w:t>
      </w:r>
      <w:r w:rsidRPr="002029AF">
        <w:t>The</w:t>
      </w:r>
      <w:r w:rsidR="000A5329" w:rsidRPr="002029AF">
        <w:t xml:space="preserve"> </w:t>
      </w:r>
      <w:r w:rsidRPr="002029AF">
        <w:t>introduction</w:t>
      </w:r>
      <w:r w:rsidR="000A5329" w:rsidRPr="002029AF">
        <w:t xml:space="preserve"> </w:t>
      </w:r>
      <w:r w:rsidRPr="002029AF">
        <w:t>of</w:t>
      </w:r>
      <w:r w:rsidR="00EF3FCC">
        <w:t> </w:t>
      </w:r>
      <w:r w:rsidRPr="002029AF">
        <w:t>facilitated</w:t>
      </w:r>
      <w:r w:rsidR="000A5329" w:rsidRPr="002029AF">
        <w:t xml:space="preserve"> </w:t>
      </w:r>
      <w:r w:rsidRPr="002029AF">
        <w:t>virtual</w:t>
      </w:r>
      <w:r w:rsidR="000A5329" w:rsidRPr="002029AF">
        <w:t xml:space="preserve"> </w:t>
      </w:r>
      <w:r w:rsidR="009000E0" w:rsidRPr="002029AF">
        <w:t>t</w:t>
      </w:r>
      <w:r w:rsidRPr="002029AF">
        <w:t>raining</w:t>
      </w:r>
      <w:r w:rsidR="000A5329" w:rsidRPr="002029AF">
        <w:t xml:space="preserve"> </w:t>
      </w:r>
      <w:r w:rsidRPr="002029AF">
        <w:t>using</w:t>
      </w:r>
      <w:r w:rsidR="000A5329" w:rsidRPr="002029AF">
        <w:t xml:space="preserve"> </w:t>
      </w:r>
      <w:r w:rsidRPr="002029AF">
        <w:t>technology</w:t>
      </w:r>
      <w:r w:rsidR="000A5329" w:rsidRPr="002029AF">
        <w:t xml:space="preserve"> </w:t>
      </w:r>
      <w:r w:rsidRPr="002029AF">
        <w:t>to</w:t>
      </w:r>
      <w:r w:rsidR="000A5329" w:rsidRPr="002029AF">
        <w:t xml:space="preserve"> </w:t>
      </w:r>
      <w:r w:rsidRPr="002029AF">
        <w:t>meet</w:t>
      </w:r>
      <w:r w:rsidR="000A5329" w:rsidRPr="002029AF">
        <w:t xml:space="preserve"> </w:t>
      </w:r>
      <w:r w:rsidRPr="002029AF">
        <w:t>the</w:t>
      </w:r>
      <w:r w:rsidR="000A5329" w:rsidRPr="002029AF">
        <w:t xml:space="preserve"> </w:t>
      </w:r>
      <w:r w:rsidRPr="002029AF">
        <w:t>restriction</w:t>
      </w:r>
      <w:r w:rsidR="000A5329" w:rsidRPr="002029AF">
        <w:t xml:space="preserve"> </w:t>
      </w:r>
      <w:r w:rsidRPr="002029AF">
        <w:t>requirements</w:t>
      </w:r>
      <w:r w:rsidR="000A5329" w:rsidRPr="002029AF">
        <w:t xml:space="preserve"> </w:t>
      </w:r>
      <w:r w:rsidRPr="002029AF">
        <w:t>of</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has</w:t>
      </w:r>
      <w:r w:rsidR="000A5329" w:rsidRPr="002029AF">
        <w:t xml:space="preserve"> </w:t>
      </w:r>
      <w:r w:rsidRPr="002029AF">
        <w:t>ensured</w:t>
      </w:r>
      <w:r w:rsidR="000A5329" w:rsidRPr="002029AF">
        <w:t xml:space="preserve"> </w:t>
      </w:r>
      <w:r w:rsidRPr="002029AF">
        <w:t>that</w:t>
      </w:r>
      <w:r w:rsidR="000A5329" w:rsidRPr="002029AF">
        <w:t xml:space="preserve"> </w:t>
      </w:r>
      <w:r w:rsidRPr="002029AF">
        <w:t>training</w:t>
      </w:r>
      <w:r w:rsidR="000A5329" w:rsidRPr="002029AF">
        <w:t xml:space="preserve"> </w:t>
      </w:r>
      <w:r w:rsidRPr="002029AF">
        <w:t>continued</w:t>
      </w:r>
      <w:r w:rsidR="000A5329" w:rsidRPr="002029AF">
        <w:t xml:space="preserve"> </w:t>
      </w:r>
      <w:r w:rsidRPr="002029AF">
        <w:t>during</w:t>
      </w:r>
      <w:r w:rsidR="000A5329" w:rsidRPr="002029AF">
        <w:t xml:space="preserve"> </w:t>
      </w:r>
      <w:r w:rsidRPr="002029AF">
        <w:t>this</w:t>
      </w:r>
      <w:r w:rsidR="000A5329" w:rsidRPr="002029AF">
        <w:t xml:space="preserve"> </w:t>
      </w:r>
      <w:r w:rsidRPr="002029AF">
        <w:t>time.</w:t>
      </w:r>
      <w:r w:rsidR="000A5329" w:rsidRPr="002029AF">
        <w:t xml:space="preserve"> </w:t>
      </w:r>
      <w:r w:rsidRPr="002029AF">
        <w:t>More</w:t>
      </w:r>
      <w:r w:rsidR="000A5329" w:rsidRPr="002029AF">
        <w:t xml:space="preserve"> </w:t>
      </w:r>
      <w:r w:rsidRPr="002029AF">
        <w:t>than</w:t>
      </w:r>
      <w:r w:rsidR="000A5329" w:rsidRPr="002029AF">
        <w:t xml:space="preserve"> </w:t>
      </w:r>
      <w:r w:rsidRPr="002029AF">
        <w:t>3,000</w:t>
      </w:r>
      <w:r w:rsidR="000A5329" w:rsidRPr="002029AF">
        <w:t xml:space="preserve"> </w:t>
      </w:r>
      <w:r w:rsidRPr="002029AF">
        <w:t>participants</w:t>
      </w:r>
      <w:r w:rsidR="000A5329" w:rsidRPr="002029AF">
        <w:t xml:space="preserve"> </w:t>
      </w:r>
      <w:r w:rsidR="00A14396" w:rsidRPr="002029AF">
        <w:t>have</w:t>
      </w:r>
      <w:r w:rsidR="000A5329" w:rsidRPr="002029AF">
        <w:t xml:space="preserve"> </w:t>
      </w:r>
      <w:r w:rsidRPr="002029AF">
        <w:t>attended</w:t>
      </w:r>
      <w:r w:rsidR="000A5329" w:rsidRPr="002029AF">
        <w:t xml:space="preserve"> </w:t>
      </w:r>
      <w:r w:rsidR="00A14396" w:rsidRPr="002029AF">
        <w:t>the</w:t>
      </w:r>
      <w:r w:rsidR="000A5329" w:rsidRPr="002029AF">
        <w:t xml:space="preserve"> </w:t>
      </w:r>
      <w:r w:rsidR="00A14396" w:rsidRPr="002029AF">
        <w:t>available</w:t>
      </w:r>
      <w:r w:rsidR="000A5329" w:rsidRPr="002029AF">
        <w:t xml:space="preserve"> </w:t>
      </w:r>
      <w:r w:rsidRPr="002029AF">
        <w:t>training.</w:t>
      </w:r>
      <w:r w:rsidR="000A5329" w:rsidRPr="002029AF">
        <w:t xml:space="preserve"> </w:t>
      </w:r>
      <w:r w:rsidR="009B1F74" w:rsidRPr="002029AF">
        <w:t>C</w:t>
      </w:r>
      <w:r w:rsidRPr="002029AF">
        <w:t>orporate</w:t>
      </w:r>
      <w:r w:rsidR="000A5329" w:rsidRPr="002029AF">
        <w:t xml:space="preserve"> </w:t>
      </w:r>
      <w:r w:rsidRPr="002029AF">
        <w:t>training</w:t>
      </w:r>
      <w:r w:rsidR="000A5329" w:rsidRPr="002029AF">
        <w:t xml:space="preserve"> </w:t>
      </w:r>
      <w:r w:rsidRPr="002029AF">
        <w:t>has</w:t>
      </w:r>
      <w:r w:rsidR="000A5329" w:rsidRPr="002029AF">
        <w:t xml:space="preserve"> </w:t>
      </w:r>
      <w:r w:rsidRPr="002029AF">
        <w:t>also</w:t>
      </w:r>
      <w:r w:rsidR="000A5329" w:rsidRPr="002029AF">
        <w:t xml:space="preserve"> </w:t>
      </w:r>
      <w:r w:rsidRPr="002029AF">
        <w:t>supported</w:t>
      </w:r>
      <w:r w:rsidR="000A5329" w:rsidRPr="002029AF">
        <w:t xml:space="preserve"> </w:t>
      </w:r>
      <w:r w:rsidRPr="002029AF">
        <w:t>the</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surge</w:t>
      </w:r>
      <w:r w:rsidR="000A5329" w:rsidRPr="002029AF">
        <w:t xml:space="preserve"> </w:t>
      </w:r>
      <w:r w:rsidRPr="002029AF">
        <w:t>workforce</w:t>
      </w:r>
      <w:r w:rsidR="000A5329" w:rsidRPr="002029AF">
        <w:t xml:space="preserve"> </w:t>
      </w:r>
      <w:r w:rsidRPr="002029AF">
        <w:t>and</w:t>
      </w:r>
      <w:r w:rsidR="000A5329" w:rsidRPr="002029AF">
        <w:t xml:space="preserve"> </w:t>
      </w:r>
      <w:r w:rsidRPr="002029AF">
        <w:t>have</w:t>
      </w:r>
      <w:r w:rsidR="000A5329" w:rsidRPr="002029AF">
        <w:t xml:space="preserve"> </w:t>
      </w:r>
      <w:r w:rsidRPr="002029AF">
        <w:t>been</w:t>
      </w:r>
      <w:r w:rsidR="000A5329" w:rsidRPr="002029AF">
        <w:t xml:space="preserve"> </w:t>
      </w:r>
      <w:r w:rsidRPr="002029AF">
        <w:t>instrumental</w:t>
      </w:r>
      <w:r w:rsidR="000A5329" w:rsidRPr="002029AF">
        <w:t xml:space="preserve"> </w:t>
      </w:r>
      <w:r w:rsidRPr="002029AF">
        <w:t>in</w:t>
      </w:r>
      <w:r w:rsidR="000A5329" w:rsidRPr="002029AF">
        <w:t xml:space="preserve"> </w:t>
      </w:r>
      <w:r w:rsidRPr="002029AF">
        <w:t>the</w:t>
      </w:r>
      <w:r w:rsidR="000A5329" w:rsidRPr="002029AF">
        <w:t xml:space="preserve"> </w:t>
      </w:r>
      <w:r w:rsidRPr="002029AF">
        <w:t>provision</w:t>
      </w:r>
      <w:r w:rsidR="000A5329" w:rsidRPr="002029AF">
        <w:t xml:space="preserve"> </w:t>
      </w:r>
      <w:r w:rsidRPr="002029AF">
        <w:t>of</w:t>
      </w:r>
      <w:r w:rsidR="000A5329" w:rsidRPr="002029AF">
        <w:t xml:space="preserve"> </w:t>
      </w:r>
      <w:r w:rsidRPr="002029AF">
        <w:t>online</w:t>
      </w:r>
      <w:r w:rsidR="000A5329" w:rsidRPr="002029AF">
        <w:t xml:space="preserve"> </w:t>
      </w:r>
      <w:r w:rsidRPr="002029AF">
        <w:t>general</w:t>
      </w:r>
      <w:r w:rsidR="000A5329" w:rsidRPr="002029AF">
        <w:t xml:space="preserve"> </w:t>
      </w:r>
      <w:r w:rsidRPr="002029AF">
        <w:t>induction</w:t>
      </w:r>
      <w:r w:rsidR="000A5329" w:rsidRPr="002029AF">
        <w:t xml:space="preserve"> </w:t>
      </w:r>
      <w:r w:rsidRPr="002029AF">
        <w:t>of</w:t>
      </w:r>
      <w:r w:rsidR="000A5329" w:rsidRPr="002029AF">
        <w:t xml:space="preserve"> </w:t>
      </w:r>
      <w:r w:rsidRPr="002029AF">
        <w:t>more</w:t>
      </w:r>
      <w:r w:rsidR="000A5329" w:rsidRPr="002029AF">
        <w:t xml:space="preserve"> </w:t>
      </w:r>
      <w:r w:rsidRPr="002029AF">
        <w:t>than</w:t>
      </w:r>
      <w:r w:rsidR="000A5329" w:rsidRPr="002029AF">
        <w:t xml:space="preserve"> </w:t>
      </w:r>
      <w:r w:rsidRPr="002029AF">
        <w:t>1,500</w:t>
      </w:r>
      <w:r w:rsidR="000A5329" w:rsidRPr="002029AF">
        <w:t xml:space="preserve"> </w:t>
      </w:r>
      <w:r w:rsidRPr="002029AF">
        <w:t>employees.</w:t>
      </w:r>
    </w:p>
    <w:p w14:paraId="00B03683" w14:textId="52EE892B" w:rsidR="00CF72D5" w:rsidRPr="002029AF" w:rsidRDefault="00CF72D5" w:rsidP="001E768A">
      <w:pPr>
        <w:pStyle w:val="ARbody"/>
      </w:pPr>
      <w:r w:rsidRPr="002029AF">
        <w:t>The</w:t>
      </w:r>
      <w:r w:rsidR="000A5329" w:rsidRPr="002029AF">
        <w:t xml:space="preserve"> </w:t>
      </w:r>
      <w:r w:rsidRPr="002029AF">
        <w:t>departments</w:t>
      </w:r>
      <w:r w:rsidR="000A5329" w:rsidRPr="002029AF">
        <w:t xml:space="preserve"> </w:t>
      </w:r>
      <w:r w:rsidRPr="002029AF">
        <w:t>activities</w:t>
      </w:r>
      <w:r w:rsidR="000A5329" w:rsidRPr="002029AF">
        <w:t xml:space="preserve"> </w:t>
      </w:r>
      <w:r w:rsidRPr="002029AF">
        <w:t>to</w:t>
      </w:r>
      <w:r w:rsidR="000A5329" w:rsidRPr="002029AF">
        <w:t xml:space="preserve"> </w:t>
      </w:r>
      <w:r w:rsidRPr="002029AF">
        <w:t>develop</w:t>
      </w:r>
      <w:r w:rsidR="000A5329" w:rsidRPr="002029AF">
        <w:t xml:space="preserve"> </w:t>
      </w:r>
      <w:r w:rsidRPr="002029AF">
        <w:t>and</w:t>
      </w:r>
      <w:r w:rsidR="000A5329" w:rsidRPr="002029AF">
        <w:t xml:space="preserve"> </w:t>
      </w:r>
      <w:r w:rsidRPr="002029AF">
        <w:t>grow</w:t>
      </w:r>
      <w:r w:rsidR="000A5329" w:rsidRPr="002029AF">
        <w:t xml:space="preserve"> </w:t>
      </w:r>
      <w:r w:rsidRPr="002029AF">
        <w:t>capability</w:t>
      </w:r>
      <w:r w:rsidR="000A5329" w:rsidRPr="002029AF">
        <w:t xml:space="preserve"> </w:t>
      </w:r>
      <w:r w:rsidRPr="002029AF">
        <w:t>were</w:t>
      </w:r>
      <w:r w:rsidR="000A5329" w:rsidRPr="002029AF">
        <w:t xml:space="preserve"> </w:t>
      </w:r>
      <w:r w:rsidRPr="002029AF">
        <w:t>focused</w:t>
      </w:r>
      <w:r w:rsidR="000A5329" w:rsidRPr="002029AF">
        <w:t xml:space="preserve"> </w:t>
      </w:r>
      <w:r w:rsidRPr="002029AF">
        <w:t>on</w:t>
      </w:r>
      <w:r w:rsidR="00FC001B" w:rsidRPr="002029AF">
        <w:t>:</w:t>
      </w:r>
    </w:p>
    <w:p w14:paraId="0327EC07" w14:textId="40A26EA8" w:rsidR="00CF72D5" w:rsidRPr="002029AF" w:rsidRDefault="00341902" w:rsidP="00EF3FCC">
      <w:pPr>
        <w:pStyle w:val="ARbullet1"/>
        <w:spacing w:after="30"/>
      </w:pPr>
      <w:r w:rsidRPr="002029AF">
        <w:t>c</w:t>
      </w:r>
      <w:r w:rsidR="00CF72D5" w:rsidRPr="002029AF">
        <w:t>lient</w:t>
      </w:r>
      <w:r w:rsidR="000A5329" w:rsidRPr="002029AF">
        <w:t xml:space="preserve"> </w:t>
      </w:r>
      <w:r w:rsidR="00CF72D5" w:rsidRPr="002029AF">
        <w:t>work</w:t>
      </w:r>
    </w:p>
    <w:p w14:paraId="2D967102" w14:textId="081B53BD" w:rsidR="00CF72D5" w:rsidRPr="002029AF" w:rsidRDefault="00341902" w:rsidP="00EF3FCC">
      <w:pPr>
        <w:pStyle w:val="ARbullet1"/>
        <w:spacing w:after="30"/>
      </w:pPr>
      <w:r w:rsidRPr="002029AF">
        <w:t>c</w:t>
      </w:r>
      <w:r w:rsidR="00CF72D5" w:rsidRPr="002029AF">
        <w:t>ulture</w:t>
      </w:r>
      <w:r w:rsidR="000A5329" w:rsidRPr="002029AF">
        <w:t xml:space="preserve"> </w:t>
      </w:r>
      <w:r w:rsidR="00CF72D5" w:rsidRPr="002029AF">
        <w:t>and</w:t>
      </w:r>
      <w:r w:rsidR="000A5329" w:rsidRPr="002029AF">
        <w:t xml:space="preserve"> </w:t>
      </w:r>
      <w:r w:rsidR="00CF72D5" w:rsidRPr="002029AF">
        <w:t>values</w:t>
      </w:r>
    </w:p>
    <w:p w14:paraId="7F7A1BFF" w14:textId="69F24F9A" w:rsidR="00CF72D5" w:rsidRPr="002029AF" w:rsidRDefault="00341902" w:rsidP="00EF3FCC">
      <w:pPr>
        <w:pStyle w:val="ARbullet1"/>
        <w:spacing w:after="30"/>
      </w:pPr>
      <w:r w:rsidRPr="002029AF">
        <w:t>h</w:t>
      </w:r>
      <w:r w:rsidR="00CF72D5" w:rsidRPr="002029AF">
        <w:t>ealth,</w:t>
      </w:r>
      <w:r w:rsidR="000A5329" w:rsidRPr="002029AF">
        <w:t xml:space="preserve"> </w:t>
      </w:r>
      <w:r w:rsidR="00134500" w:rsidRPr="002029AF">
        <w:t>s</w:t>
      </w:r>
      <w:r w:rsidR="00CF72D5" w:rsidRPr="002029AF">
        <w:t>afety</w:t>
      </w:r>
      <w:r w:rsidR="000A5329" w:rsidRPr="002029AF">
        <w:t xml:space="preserve"> </w:t>
      </w:r>
      <w:r w:rsidR="00CF72D5" w:rsidRPr="002029AF">
        <w:t>and</w:t>
      </w:r>
      <w:r w:rsidR="000A5329" w:rsidRPr="002029AF">
        <w:t xml:space="preserve"> </w:t>
      </w:r>
      <w:r w:rsidR="00134500" w:rsidRPr="002029AF">
        <w:t>w</w:t>
      </w:r>
      <w:r w:rsidR="00CF72D5" w:rsidRPr="002029AF">
        <w:t>ellbeing</w:t>
      </w:r>
    </w:p>
    <w:p w14:paraId="0A90F505" w14:textId="5573FD17" w:rsidR="00CF72D5" w:rsidRPr="002029AF" w:rsidRDefault="00341902" w:rsidP="00EF3FCC">
      <w:pPr>
        <w:pStyle w:val="ARbullet1"/>
        <w:spacing w:after="30"/>
      </w:pPr>
      <w:r w:rsidRPr="002029AF">
        <w:t>p</w:t>
      </w:r>
      <w:r w:rsidR="00CF72D5" w:rsidRPr="002029AF">
        <w:t>ractice</w:t>
      </w:r>
      <w:r w:rsidR="000A5329" w:rsidRPr="002029AF">
        <w:t xml:space="preserve"> </w:t>
      </w:r>
      <w:r w:rsidR="00CF72D5" w:rsidRPr="002029AF">
        <w:t>development</w:t>
      </w:r>
    </w:p>
    <w:p w14:paraId="761487EC" w14:textId="2318B2C2" w:rsidR="00CF72D5" w:rsidRPr="002029AF" w:rsidRDefault="00341902" w:rsidP="00EF3FCC">
      <w:pPr>
        <w:pStyle w:val="ARbullet1"/>
        <w:spacing w:after="30"/>
      </w:pPr>
      <w:r w:rsidRPr="002029AF">
        <w:t>f</w:t>
      </w:r>
      <w:r w:rsidR="00CF72D5" w:rsidRPr="002029AF">
        <w:t>inance</w:t>
      </w:r>
      <w:r w:rsidR="000A5329" w:rsidRPr="002029AF">
        <w:t xml:space="preserve"> </w:t>
      </w:r>
      <w:r w:rsidR="00CF72D5" w:rsidRPr="002029AF">
        <w:t>and</w:t>
      </w:r>
      <w:r w:rsidR="000A5329" w:rsidRPr="002029AF">
        <w:t xml:space="preserve"> </w:t>
      </w:r>
      <w:r w:rsidR="00CF72D5" w:rsidRPr="002029AF">
        <w:t>procurement</w:t>
      </w:r>
    </w:p>
    <w:p w14:paraId="0CAF510A" w14:textId="0F34860F" w:rsidR="00CF72D5" w:rsidRPr="002029AF" w:rsidRDefault="00341902" w:rsidP="00EF3FCC">
      <w:pPr>
        <w:pStyle w:val="ARbullet1"/>
        <w:spacing w:after="30"/>
      </w:pPr>
      <w:r w:rsidRPr="002029AF">
        <w:t>m</w:t>
      </w:r>
      <w:r w:rsidR="00CF72D5" w:rsidRPr="002029AF">
        <w:t>anagement</w:t>
      </w:r>
    </w:p>
    <w:p w14:paraId="3CC49A1D" w14:textId="6D07AC3D" w:rsidR="00CF72D5" w:rsidRPr="002029AF" w:rsidRDefault="00341902" w:rsidP="00EF3FCC">
      <w:pPr>
        <w:pStyle w:val="ARbullet1"/>
        <w:spacing w:after="30"/>
      </w:pPr>
      <w:r w:rsidRPr="002029AF">
        <w:t>l</w:t>
      </w:r>
      <w:r w:rsidR="00CF72D5" w:rsidRPr="002029AF">
        <w:t>eadership</w:t>
      </w:r>
    </w:p>
    <w:p w14:paraId="5D592E30" w14:textId="542EE082" w:rsidR="00CF72D5" w:rsidRPr="002029AF" w:rsidRDefault="00341902" w:rsidP="00EF3FCC">
      <w:pPr>
        <w:pStyle w:val="ARbullet1"/>
        <w:spacing w:after="30"/>
      </w:pPr>
      <w:r w:rsidRPr="002029AF">
        <w:t>w</w:t>
      </w:r>
      <w:r w:rsidR="00CF72D5" w:rsidRPr="002029AF">
        <w:t>riting</w:t>
      </w:r>
      <w:r w:rsidR="000A5329" w:rsidRPr="002029AF">
        <w:t xml:space="preserve"> </w:t>
      </w:r>
      <w:r w:rsidR="00CF72D5" w:rsidRPr="002029AF">
        <w:t>and</w:t>
      </w:r>
      <w:r w:rsidR="000A5329" w:rsidRPr="002029AF">
        <w:t xml:space="preserve"> </w:t>
      </w:r>
      <w:r w:rsidR="00CF72D5" w:rsidRPr="002029AF">
        <w:t>communication</w:t>
      </w:r>
    </w:p>
    <w:p w14:paraId="414DD79B" w14:textId="4D0CFF33" w:rsidR="00CF72D5" w:rsidRPr="002029AF" w:rsidRDefault="00341902" w:rsidP="00EF3FCC">
      <w:pPr>
        <w:pStyle w:val="ARbullet1"/>
        <w:spacing w:after="30"/>
      </w:pPr>
      <w:r w:rsidRPr="002029AF">
        <w:t>s</w:t>
      </w:r>
      <w:r w:rsidR="00CF72D5" w:rsidRPr="002029AF">
        <w:t>oftware</w:t>
      </w:r>
      <w:r w:rsidR="000A5329" w:rsidRPr="002029AF">
        <w:t xml:space="preserve"> </w:t>
      </w:r>
      <w:r w:rsidR="00CF72D5" w:rsidRPr="002029AF">
        <w:t>and</w:t>
      </w:r>
      <w:r w:rsidR="000A5329" w:rsidRPr="002029AF">
        <w:t xml:space="preserve"> </w:t>
      </w:r>
      <w:r w:rsidR="00CF72D5" w:rsidRPr="002029AF">
        <w:t>systems</w:t>
      </w:r>
    </w:p>
    <w:p w14:paraId="7882FC09" w14:textId="556A1CCD" w:rsidR="00CF72D5" w:rsidRPr="002029AF" w:rsidRDefault="00341902" w:rsidP="001E768A">
      <w:pPr>
        <w:pStyle w:val="ARbullet1"/>
      </w:pPr>
      <w:r w:rsidRPr="002029AF">
        <w:t>c</w:t>
      </w:r>
      <w:r w:rsidR="00CF72D5" w:rsidRPr="002029AF">
        <w:t>areer</w:t>
      </w:r>
      <w:r w:rsidR="000A5329" w:rsidRPr="002029AF">
        <w:t xml:space="preserve"> </w:t>
      </w:r>
      <w:r w:rsidR="00CF72D5" w:rsidRPr="002029AF">
        <w:t>development</w:t>
      </w:r>
      <w:r w:rsidR="00FC001B" w:rsidRPr="002029AF">
        <w:t>.</w:t>
      </w:r>
    </w:p>
    <w:p w14:paraId="3C23AAC0" w14:textId="09358F32" w:rsidR="000A5329" w:rsidRPr="002029AF" w:rsidRDefault="00CF72D5" w:rsidP="00FC001B">
      <w:pPr>
        <w:pStyle w:val="ARbodyafterbullets"/>
      </w:pPr>
      <w:r w:rsidRPr="002029AF">
        <w:t>The</w:t>
      </w:r>
      <w:r w:rsidR="000A5329" w:rsidRPr="002029AF">
        <w:t xml:space="preserve"> </w:t>
      </w:r>
      <w:r w:rsidRPr="002029AF">
        <w:t>department</w:t>
      </w:r>
      <w:r w:rsidR="000A5329" w:rsidRPr="002029AF">
        <w:t xml:space="preserve"> </w:t>
      </w:r>
      <w:r w:rsidRPr="002029AF">
        <w:t>strengthened</w:t>
      </w:r>
      <w:r w:rsidR="000A5329" w:rsidRPr="002029AF">
        <w:t xml:space="preserve"> </w:t>
      </w:r>
      <w:r w:rsidRPr="002029AF">
        <w:t>support</w:t>
      </w:r>
      <w:r w:rsidR="000A5329" w:rsidRPr="002029AF">
        <w:t xml:space="preserve"> </w:t>
      </w:r>
      <w:r w:rsidRPr="002029AF">
        <w:t>for</w:t>
      </w:r>
      <w:r w:rsidR="000A5329" w:rsidRPr="002029AF">
        <w:t xml:space="preserve"> </w:t>
      </w:r>
      <w:r w:rsidRPr="002029AF">
        <w:t>the</w:t>
      </w:r>
      <w:r w:rsidR="00233C48" w:rsidRPr="002029AF">
        <w:t> </w:t>
      </w:r>
      <w:r w:rsidRPr="002029AF">
        <w:t>learning</w:t>
      </w:r>
      <w:r w:rsidR="000A5329" w:rsidRPr="002029AF">
        <w:t xml:space="preserve"> </w:t>
      </w:r>
      <w:r w:rsidRPr="002029AF">
        <w:t>and</w:t>
      </w:r>
      <w:r w:rsidR="000A5329" w:rsidRPr="002029AF">
        <w:t xml:space="preserve"> </w:t>
      </w:r>
      <w:r w:rsidRPr="002029AF">
        <w:t>development</w:t>
      </w:r>
      <w:r w:rsidR="000A5329" w:rsidRPr="002029AF">
        <w:t xml:space="preserve"> </w:t>
      </w:r>
      <w:r w:rsidRPr="002029AF">
        <w:t>of</w:t>
      </w:r>
      <w:r w:rsidR="000A5329" w:rsidRPr="002029AF">
        <w:t xml:space="preserve"> </w:t>
      </w:r>
      <w:r w:rsidRPr="002029AF">
        <w:t>its</w:t>
      </w:r>
      <w:r w:rsidR="000A5329" w:rsidRPr="002029AF">
        <w:t xml:space="preserve"> </w:t>
      </w:r>
      <w:r w:rsidRPr="002029AF">
        <w:t>frontline</w:t>
      </w:r>
      <w:r w:rsidR="000A5329" w:rsidRPr="002029AF">
        <w:t xml:space="preserve"> </w:t>
      </w:r>
      <w:r w:rsidRPr="002029AF">
        <w:t>workforce</w:t>
      </w:r>
      <w:r w:rsidR="000A5329" w:rsidRPr="002029AF">
        <w:t xml:space="preserve"> </w:t>
      </w:r>
      <w:r w:rsidRPr="002029AF">
        <w:t>through</w:t>
      </w:r>
      <w:r w:rsidR="000A5329" w:rsidRPr="002029AF">
        <w:t xml:space="preserve"> </w:t>
      </w:r>
      <w:r w:rsidRPr="002029AF">
        <w:t>a</w:t>
      </w:r>
      <w:r w:rsidR="000A5329" w:rsidRPr="002029AF">
        <w:t xml:space="preserve"> </w:t>
      </w:r>
      <w:r w:rsidRPr="002029AF">
        <w:t>range</w:t>
      </w:r>
      <w:r w:rsidR="000A5329" w:rsidRPr="002029AF">
        <w:t xml:space="preserve"> </w:t>
      </w:r>
      <w:r w:rsidRPr="002029AF">
        <w:t>of</w:t>
      </w:r>
      <w:r w:rsidR="000A5329" w:rsidRPr="002029AF">
        <w:t xml:space="preserve"> </w:t>
      </w:r>
      <w:r w:rsidRPr="002029AF">
        <w:t>initiatives,</w:t>
      </w:r>
      <w:r w:rsidR="000A5329" w:rsidRPr="002029AF">
        <w:t xml:space="preserve"> </w:t>
      </w:r>
      <w:r w:rsidRPr="002029AF">
        <w:t>including</w:t>
      </w:r>
      <w:r w:rsidR="00EF3FCC">
        <w:t> </w:t>
      </w:r>
      <w:r w:rsidR="00C93A5B" w:rsidRPr="002029AF">
        <w:t>by</w:t>
      </w:r>
      <w:r w:rsidRPr="002029AF">
        <w:t>:</w:t>
      </w:r>
    </w:p>
    <w:p w14:paraId="652D5EC5" w14:textId="20615AA7" w:rsidR="00CF72D5" w:rsidRPr="002029AF" w:rsidRDefault="00CF72D5" w:rsidP="00EF3FCC">
      <w:pPr>
        <w:pStyle w:val="ARbullet1"/>
        <w:spacing w:after="30"/>
      </w:pPr>
      <w:r w:rsidRPr="002029AF">
        <w:t>completing</w:t>
      </w:r>
      <w:r w:rsidR="000A5329" w:rsidRPr="002029AF">
        <w:t xml:space="preserve"> </w:t>
      </w:r>
      <w:r w:rsidRPr="002029AF">
        <w:t>key</w:t>
      </w:r>
      <w:r w:rsidR="000A5329" w:rsidRPr="002029AF">
        <w:t xml:space="preserve"> </w:t>
      </w:r>
      <w:r w:rsidRPr="002029AF">
        <w:t>actions</w:t>
      </w:r>
      <w:r w:rsidR="000A5329" w:rsidRPr="002029AF">
        <w:t xml:space="preserve"> </w:t>
      </w:r>
      <w:r w:rsidRPr="002029AF">
        <w:t>under</w:t>
      </w:r>
      <w:r w:rsidR="000A5329" w:rsidRPr="002029AF">
        <w:t xml:space="preserve"> </w:t>
      </w:r>
      <w:r w:rsidRPr="002029AF">
        <w:t>the</w:t>
      </w:r>
      <w:r w:rsidR="000A5329" w:rsidRPr="002029AF">
        <w:t xml:space="preserve"> </w:t>
      </w:r>
      <w:r w:rsidR="00B3057B" w:rsidRPr="002029AF">
        <w:t>c</w:t>
      </w:r>
      <w:r w:rsidRPr="002029AF">
        <w:t>hild</w:t>
      </w:r>
      <w:r w:rsidR="000A5329" w:rsidRPr="002029AF">
        <w:t xml:space="preserve"> </w:t>
      </w:r>
      <w:r w:rsidR="00B3057B" w:rsidRPr="002029AF">
        <w:t>p</w:t>
      </w:r>
      <w:r w:rsidRPr="002029AF">
        <w:t>rotection</w:t>
      </w:r>
      <w:r w:rsidR="000A5329" w:rsidRPr="002029AF">
        <w:t xml:space="preserve"> </w:t>
      </w:r>
      <w:r w:rsidRPr="002029AF">
        <w:t>workforce</w:t>
      </w:r>
      <w:r w:rsidR="000A5329" w:rsidRPr="002029AF">
        <w:t xml:space="preserve"> </w:t>
      </w:r>
      <w:r w:rsidRPr="002029AF">
        <w:t>strategy</w:t>
      </w:r>
      <w:r w:rsidR="000A5329" w:rsidRPr="002029AF">
        <w:t xml:space="preserve"> </w:t>
      </w:r>
      <w:r w:rsidRPr="002029AF">
        <w:t>201</w:t>
      </w:r>
      <w:r w:rsidR="00DB53E6" w:rsidRPr="002029AF">
        <w:t>7–</w:t>
      </w:r>
      <w:r w:rsidRPr="002029AF">
        <w:t>2020</w:t>
      </w:r>
    </w:p>
    <w:p w14:paraId="1899A999" w14:textId="78A8D3CB" w:rsidR="00CF72D5" w:rsidRPr="002029AF" w:rsidRDefault="00CF72D5" w:rsidP="00EF3FCC">
      <w:pPr>
        <w:pStyle w:val="ARbullet1"/>
        <w:spacing w:after="30"/>
      </w:pPr>
      <w:r w:rsidRPr="002029AF">
        <w:t>establishing</w:t>
      </w:r>
      <w:r w:rsidR="000A5329" w:rsidRPr="002029AF">
        <w:t xml:space="preserve"> </w:t>
      </w:r>
      <w:r w:rsidRPr="002029AF">
        <w:t>stronger</w:t>
      </w:r>
      <w:r w:rsidR="000A5329" w:rsidRPr="002029AF">
        <w:t xml:space="preserve"> </w:t>
      </w:r>
      <w:r w:rsidRPr="002029AF">
        <w:t>governance</w:t>
      </w:r>
      <w:r w:rsidR="000A5329" w:rsidRPr="002029AF">
        <w:t xml:space="preserve"> </w:t>
      </w:r>
      <w:r w:rsidRPr="002029AF">
        <w:t>arrangements</w:t>
      </w:r>
      <w:r w:rsidR="000A5329" w:rsidRPr="002029AF">
        <w:t xml:space="preserve"> </w:t>
      </w:r>
      <w:r w:rsidRPr="002029AF">
        <w:t>for</w:t>
      </w:r>
      <w:r w:rsidR="000A5329" w:rsidRPr="002029AF">
        <w:t xml:space="preserve"> </w:t>
      </w:r>
      <w:r w:rsidRPr="002029AF">
        <w:t>the</w:t>
      </w:r>
      <w:r w:rsidR="000A5329" w:rsidRPr="002029AF">
        <w:t xml:space="preserve"> </w:t>
      </w:r>
      <w:r w:rsidRPr="002029AF">
        <w:t>development</w:t>
      </w:r>
      <w:r w:rsidR="000A5329" w:rsidRPr="002029AF">
        <w:t xml:space="preserve"> </w:t>
      </w:r>
      <w:r w:rsidRPr="002029AF">
        <w:t>and</w:t>
      </w:r>
      <w:r w:rsidR="000A5329" w:rsidRPr="002029AF">
        <w:t xml:space="preserve"> </w:t>
      </w:r>
      <w:r w:rsidRPr="002029AF">
        <w:t>delivery</w:t>
      </w:r>
      <w:r w:rsidR="000A5329" w:rsidRPr="002029AF">
        <w:t xml:space="preserve"> </w:t>
      </w:r>
      <w:r w:rsidRPr="002029AF">
        <w:t>of</w:t>
      </w:r>
      <w:r w:rsidR="000A5329" w:rsidRPr="002029AF">
        <w:t xml:space="preserve"> </w:t>
      </w:r>
      <w:r w:rsidRPr="002029AF">
        <w:t>learning</w:t>
      </w:r>
      <w:r w:rsidR="000A5329" w:rsidRPr="002029AF">
        <w:t xml:space="preserve"> </w:t>
      </w:r>
      <w:r w:rsidRPr="002029AF">
        <w:t>and</w:t>
      </w:r>
      <w:r w:rsidR="000A5329" w:rsidRPr="002029AF">
        <w:t xml:space="preserve"> </w:t>
      </w:r>
      <w:r w:rsidRPr="002029AF">
        <w:t>development</w:t>
      </w:r>
    </w:p>
    <w:p w14:paraId="5A0C19FD" w14:textId="4685ED2A" w:rsidR="00CF72D5" w:rsidRPr="002029AF" w:rsidRDefault="00CF72D5" w:rsidP="00EF3FCC">
      <w:pPr>
        <w:pStyle w:val="ARbullet1"/>
        <w:spacing w:after="30"/>
      </w:pPr>
      <w:r w:rsidRPr="002029AF">
        <w:t>developing</w:t>
      </w:r>
      <w:r w:rsidR="000A5329" w:rsidRPr="002029AF">
        <w:t xml:space="preserve"> </w:t>
      </w:r>
      <w:r w:rsidRPr="002029AF">
        <w:t>a</w:t>
      </w:r>
      <w:r w:rsidR="000A5329" w:rsidRPr="002029AF">
        <w:t xml:space="preserve"> </w:t>
      </w:r>
      <w:r w:rsidRPr="002029AF">
        <w:t>capability</w:t>
      </w:r>
      <w:r w:rsidR="000A5329" w:rsidRPr="002029AF">
        <w:t xml:space="preserve"> </w:t>
      </w:r>
      <w:r w:rsidRPr="002029AF">
        <w:t>framework</w:t>
      </w:r>
      <w:r w:rsidR="000A5329" w:rsidRPr="002029AF">
        <w:t xml:space="preserve"> </w:t>
      </w:r>
      <w:r w:rsidRPr="002029AF">
        <w:t>for</w:t>
      </w:r>
      <w:r w:rsidR="000A5329" w:rsidRPr="002029AF">
        <w:t xml:space="preserve"> </w:t>
      </w:r>
      <w:r w:rsidRPr="002029AF">
        <w:t>child</w:t>
      </w:r>
      <w:r w:rsidR="000A5329" w:rsidRPr="002029AF">
        <w:t xml:space="preserve"> </w:t>
      </w:r>
      <w:r w:rsidRPr="002029AF">
        <w:t>protection</w:t>
      </w:r>
      <w:r w:rsidR="000A5329" w:rsidRPr="002029AF">
        <w:t xml:space="preserve"> </w:t>
      </w:r>
      <w:r w:rsidRPr="002029AF">
        <w:t>to</w:t>
      </w:r>
      <w:r w:rsidR="000A5329" w:rsidRPr="002029AF">
        <w:t xml:space="preserve"> </w:t>
      </w:r>
      <w:r w:rsidRPr="002029AF">
        <w:t>provide</w:t>
      </w:r>
      <w:r w:rsidR="000A5329" w:rsidRPr="002029AF">
        <w:t xml:space="preserve"> </w:t>
      </w:r>
      <w:r w:rsidRPr="002029AF">
        <w:t>practice</w:t>
      </w:r>
      <w:r w:rsidR="000A5329" w:rsidRPr="002029AF">
        <w:t xml:space="preserve"> </w:t>
      </w:r>
      <w:r w:rsidRPr="002029AF">
        <w:t>consistency</w:t>
      </w:r>
    </w:p>
    <w:p w14:paraId="1D4DDCB9" w14:textId="1D900AB5" w:rsidR="00CF72D5" w:rsidRPr="002029AF" w:rsidRDefault="00CF72D5" w:rsidP="00EF3FCC">
      <w:pPr>
        <w:pStyle w:val="ARbullet1"/>
        <w:spacing w:after="30"/>
      </w:pPr>
      <w:r w:rsidRPr="002029AF">
        <w:t>implementing</w:t>
      </w:r>
      <w:r w:rsidR="000A5329" w:rsidRPr="002029AF">
        <w:t xml:space="preserve"> </w:t>
      </w:r>
      <w:r w:rsidRPr="002029AF">
        <w:t>a</w:t>
      </w:r>
      <w:r w:rsidR="000A5329" w:rsidRPr="002029AF">
        <w:t xml:space="preserve"> </w:t>
      </w:r>
      <w:r w:rsidRPr="002029AF">
        <w:t>12-month</w:t>
      </w:r>
      <w:r w:rsidR="000A5329" w:rsidRPr="002029AF">
        <w:t xml:space="preserve"> </w:t>
      </w:r>
      <w:r w:rsidRPr="002029AF">
        <w:t>induction</w:t>
      </w:r>
      <w:r w:rsidR="000A5329" w:rsidRPr="002029AF">
        <w:t xml:space="preserve"> </w:t>
      </w:r>
      <w:r w:rsidRPr="002029AF">
        <w:t>program</w:t>
      </w:r>
      <w:r w:rsidR="000A5329" w:rsidRPr="002029AF">
        <w:t xml:space="preserve"> </w:t>
      </w:r>
      <w:r w:rsidRPr="002029AF">
        <w:t>for</w:t>
      </w:r>
      <w:r w:rsidR="000A5329" w:rsidRPr="002029AF">
        <w:t xml:space="preserve"> </w:t>
      </w:r>
      <w:r w:rsidRPr="002029AF">
        <w:t>all</w:t>
      </w:r>
      <w:r w:rsidR="000A5329" w:rsidRPr="002029AF">
        <w:t xml:space="preserve"> </w:t>
      </w:r>
      <w:r w:rsidRPr="002029AF">
        <w:t>newly</w:t>
      </w:r>
      <w:r w:rsidR="000A5329" w:rsidRPr="002029AF">
        <w:t xml:space="preserve"> </w:t>
      </w:r>
      <w:r w:rsidRPr="002029AF">
        <w:t>recruited</w:t>
      </w:r>
      <w:r w:rsidR="000A5329" w:rsidRPr="002029AF">
        <w:t xml:space="preserve"> </w:t>
      </w:r>
      <w:r w:rsidRPr="002029AF">
        <w:t>child</w:t>
      </w:r>
      <w:r w:rsidR="000A5329" w:rsidRPr="002029AF">
        <w:t xml:space="preserve"> </w:t>
      </w:r>
      <w:r w:rsidRPr="002029AF">
        <w:t>protection</w:t>
      </w:r>
      <w:r w:rsidR="000A5329" w:rsidRPr="002029AF">
        <w:t xml:space="preserve"> </w:t>
      </w:r>
      <w:r w:rsidRPr="002029AF">
        <w:t>practitioners</w:t>
      </w:r>
    </w:p>
    <w:p w14:paraId="0833BCFB" w14:textId="368E2217" w:rsidR="000A5329" w:rsidRPr="002029AF" w:rsidRDefault="00CF72D5" w:rsidP="00EF3FCC">
      <w:pPr>
        <w:pStyle w:val="ARbullet1"/>
        <w:spacing w:after="30"/>
      </w:pPr>
      <w:r w:rsidRPr="002029AF">
        <w:t>delivering</w:t>
      </w:r>
      <w:r w:rsidR="000A5329" w:rsidRPr="002029AF">
        <w:t xml:space="preserve"> </w:t>
      </w:r>
      <w:r w:rsidRPr="002029AF">
        <w:t>learning</w:t>
      </w:r>
      <w:r w:rsidR="000A5329" w:rsidRPr="002029AF">
        <w:t xml:space="preserve"> </w:t>
      </w:r>
      <w:r w:rsidRPr="002029AF">
        <w:t>strategies</w:t>
      </w:r>
      <w:r w:rsidR="000A5329" w:rsidRPr="002029AF">
        <w:t xml:space="preserve"> </w:t>
      </w:r>
      <w:r w:rsidRPr="002029AF">
        <w:t>to</w:t>
      </w:r>
      <w:r w:rsidR="000A5329" w:rsidRPr="002029AF">
        <w:t xml:space="preserve"> </w:t>
      </w:r>
      <w:r w:rsidRPr="002029AF">
        <w:t>support</w:t>
      </w:r>
      <w:r w:rsidR="000A5329" w:rsidRPr="002029AF">
        <w:t xml:space="preserve"> </w:t>
      </w:r>
      <w:r w:rsidRPr="002029AF">
        <w:t>the</w:t>
      </w:r>
      <w:r w:rsidR="00233C48" w:rsidRPr="002029AF">
        <w:t> </w:t>
      </w:r>
      <w:r w:rsidRPr="002029AF">
        <w:t>final</w:t>
      </w:r>
      <w:r w:rsidR="000A5329" w:rsidRPr="002029AF">
        <w:t xml:space="preserve"> </w:t>
      </w:r>
      <w:r w:rsidRPr="002029AF">
        <w:t>stages</w:t>
      </w:r>
      <w:r w:rsidR="000A5329" w:rsidRPr="002029AF">
        <w:t xml:space="preserve"> </w:t>
      </w:r>
      <w:r w:rsidRPr="002029AF">
        <w:t>of</w:t>
      </w:r>
      <w:r w:rsidR="000A5329" w:rsidRPr="002029AF">
        <w:t xml:space="preserve"> </w:t>
      </w:r>
      <w:r w:rsidRPr="002029AF">
        <w:t>the</w:t>
      </w:r>
      <w:r w:rsidR="000A5329" w:rsidRPr="002029AF">
        <w:t xml:space="preserve"> </w:t>
      </w:r>
      <w:r w:rsidRPr="002029AF">
        <w:t>transfer</w:t>
      </w:r>
      <w:r w:rsidR="000A5329" w:rsidRPr="002029AF">
        <w:t xml:space="preserve"> </w:t>
      </w:r>
      <w:r w:rsidRPr="002029AF">
        <w:t>of</w:t>
      </w:r>
      <w:r w:rsidR="000A5329" w:rsidRPr="002029AF">
        <w:t xml:space="preserve"> </w:t>
      </w:r>
      <w:r w:rsidRPr="002029AF">
        <w:t>disability</w:t>
      </w:r>
      <w:r w:rsidR="000A5329" w:rsidRPr="002029AF">
        <w:t xml:space="preserve"> </w:t>
      </w:r>
      <w:r w:rsidRPr="002029AF">
        <w:t>accommodation</w:t>
      </w:r>
      <w:r w:rsidR="000A5329" w:rsidRPr="002029AF">
        <w:t xml:space="preserve"> </w:t>
      </w:r>
      <w:r w:rsidRPr="002029AF">
        <w:t>and</w:t>
      </w:r>
      <w:r w:rsidR="000A5329" w:rsidRPr="002029AF">
        <w:t xml:space="preserve"> </w:t>
      </w:r>
      <w:r w:rsidRPr="002029AF">
        <w:t>transition</w:t>
      </w:r>
      <w:r w:rsidR="000A5329" w:rsidRPr="002029AF">
        <w:t xml:space="preserve"> </w:t>
      </w:r>
      <w:r w:rsidRPr="002029AF">
        <w:t>to</w:t>
      </w:r>
      <w:r w:rsidR="000A5329" w:rsidRPr="002029AF">
        <w:t xml:space="preserve"> </w:t>
      </w:r>
      <w:r w:rsidRPr="002029AF">
        <w:t>the</w:t>
      </w:r>
      <w:r w:rsidR="000A5329" w:rsidRPr="002029AF">
        <w:t xml:space="preserve"> </w:t>
      </w:r>
      <w:r w:rsidRPr="002029AF">
        <w:t>National</w:t>
      </w:r>
      <w:r w:rsidR="000A5329" w:rsidRPr="002029AF">
        <w:t xml:space="preserve"> </w:t>
      </w:r>
      <w:r w:rsidRPr="002029AF">
        <w:t>Disability</w:t>
      </w:r>
      <w:r w:rsidR="000A5329" w:rsidRPr="002029AF">
        <w:t xml:space="preserve"> </w:t>
      </w:r>
      <w:r w:rsidRPr="002029AF">
        <w:t>Insurance</w:t>
      </w:r>
      <w:r w:rsidR="000A5329" w:rsidRPr="002029AF">
        <w:t xml:space="preserve"> </w:t>
      </w:r>
      <w:r w:rsidRPr="002029AF">
        <w:t>Scheme</w:t>
      </w:r>
    </w:p>
    <w:p w14:paraId="1CCD67D5" w14:textId="52B89792" w:rsidR="00CF72D5" w:rsidRPr="002029AF" w:rsidRDefault="00CF72D5" w:rsidP="00EF3FCC">
      <w:pPr>
        <w:pStyle w:val="ARbullet1"/>
        <w:spacing w:after="30"/>
      </w:pPr>
      <w:r w:rsidRPr="002029AF">
        <w:t>implementing</w:t>
      </w:r>
      <w:r w:rsidR="000A5329" w:rsidRPr="002029AF">
        <w:t xml:space="preserve"> </w:t>
      </w:r>
      <w:r w:rsidRPr="002029AF">
        <w:t>learning</w:t>
      </w:r>
      <w:r w:rsidR="000A5329" w:rsidRPr="002029AF">
        <w:t xml:space="preserve"> </w:t>
      </w:r>
      <w:r w:rsidRPr="002029AF">
        <w:t>programs</w:t>
      </w:r>
      <w:r w:rsidR="000A5329" w:rsidRPr="002029AF">
        <w:t xml:space="preserve"> </w:t>
      </w:r>
      <w:r w:rsidRPr="002029AF">
        <w:t>identified</w:t>
      </w:r>
      <w:r w:rsidR="000A5329" w:rsidRPr="002029AF">
        <w:t xml:space="preserve"> </w:t>
      </w:r>
      <w:r w:rsidRPr="002029AF">
        <w:t>through</w:t>
      </w:r>
      <w:r w:rsidR="000A5329" w:rsidRPr="002029AF">
        <w:t xml:space="preserve"> </w:t>
      </w:r>
      <w:r w:rsidRPr="002029AF">
        <w:t>the</w:t>
      </w:r>
      <w:r w:rsidR="000A5329" w:rsidRPr="002029AF">
        <w:t xml:space="preserve"> </w:t>
      </w:r>
      <w:r w:rsidRPr="002029AF">
        <w:t>Housing</w:t>
      </w:r>
      <w:r w:rsidR="000A5329" w:rsidRPr="002029AF">
        <w:t xml:space="preserve"> </w:t>
      </w:r>
      <w:r w:rsidRPr="002029AF">
        <w:t>practice</w:t>
      </w:r>
      <w:r w:rsidR="000A5329" w:rsidRPr="002029AF">
        <w:t xml:space="preserve"> </w:t>
      </w:r>
      <w:r w:rsidRPr="002029AF">
        <w:t>capability</w:t>
      </w:r>
      <w:r w:rsidR="000A5329" w:rsidRPr="002029AF">
        <w:t xml:space="preserve"> </w:t>
      </w:r>
      <w:r w:rsidRPr="002029AF">
        <w:t>framework,</w:t>
      </w:r>
      <w:r w:rsidR="000A5329" w:rsidRPr="002029AF">
        <w:t xml:space="preserve"> </w:t>
      </w:r>
      <w:r w:rsidRPr="002029AF">
        <w:t>and</w:t>
      </w:r>
      <w:r w:rsidR="000A5329" w:rsidRPr="002029AF">
        <w:t xml:space="preserve"> </w:t>
      </w:r>
      <w:r w:rsidRPr="002029AF">
        <w:t>learning</w:t>
      </w:r>
      <w:r w:rsidR="000A5329" w:rsidRPr="002029AF">
        <w:t xml:space="preserve"> </w:t>
      </w:r>
      <w:r w:rsidRPr="002029AF">
        <w:t>map</w:t>
      </w:r>
      <w:r w:rsidR="000A5329" w:rsidRPr="002029AF">
        <w:t xml:space="preserve"> </w:t>
      </w:r>
      <w:r w:rsidRPr="002029AF">
        <w:t>project.</w:t>
      </w:r>
    </w:p>
    <w:p w14:paraId="0F15121A" w14:textId="4B26A352" w:rsidR="00CF72D5" w:rsidRPr="002029AF" w:rsidRDefault="00CF72D5" w:rsidP="00EF3FCC">
      <w:pPr>
        <w:pStyle w:val="ARbullet1"/>
        <w:spacing w:after="30"/>
      </w:pPr>
      <w:r w:rsidRPr="002029AF">
        <w:t>developing</w:t>
      </w:r>
      <w:r w:rsidR="000A5329" w:rsidRPr="002029AF">
        <w:t xml:space="preserve"> </w:t>
      </w:r>
      <w:r w:rsidRPr="002029AF">
        <w:t>the</w:t>
      </w:r>
      <w:r w:rsidR="000A5329" w:rsidRPr="002029AF">
        <w:t xml:space="preserve"> </w:t>
      </w:r>
      <w:r w:rsidRPr="002029AF">
        <w:t>Disability</w:t>
      </w:r>
      <w:r w:rsidR="000A5329" w:rsidRPr="002029AF">
        <w:t xml:space="preserve"> </w:t>
      </w:r>
      <w:r w:rsidRPr="002029AF">
        <w:t>practice</w:t>
      </w:r>
      <w:r w:rsidR="000A5329" w:rsidRPr="002029AF">
        <w:t xml:space="preserve"> </w:t>
      </w:r>
      <w:r w:rsidRPr="002029AF">
        <w:t>capability</w:t>
      </w:r>
      <w:r w:rsidR="000A5329" w:rsidRPr="002029AF">
        <w:t xml:space="preserve"> </w:t>
      </w:r>
      <w:r w:rsidRPr="002029AF">
        <w:t>framework</w:t>
      </w:r>
    </w:p>
    <w:p w14:paraId="48EE5E6C" w14:textId="0D3997DA" w:rsidR="00C17B23" w:rsidRPr="002029AF" w:rsidRDefault="00CF72D5" w:rsidP="00EF3FCC">
      <w:pPr>
        <w:pStyle w:val="ARbullet1"/>
        <w:spacing w:after="30"/>
      </w:pPr>
      <w:r w:rsidRPr="002029AF">
        <w:t>providing</w:t>
      </w:r>
      <w:r w:rsidR="000A5329" w:rsidRPr="002029AF">
        <w:t xml:space="preserve"> </w:t>
      </w:r>
      <w:r w:rsidRPr="002029AF">
        <w:t>strengthened</w:t>
      </w:r>
      <w:r w:rsidR="000A5329" w:rsidRPr="002029AF">
        <w:t xml:space="preserve"> </w:t>
      </w:r>
      <w:r w:rsidRPr="002029AF">
        <w:t>opportunities</w:t>
      </w:r>
      <w:r w:rsidR="000A5329" w:rsidRPr="002029AF">
        <w:t xml:space="preserve"> </w:t>
      </w:r>
      <w:r w:rsidRPr="002029AF">
        <w:t>to</w:t>
      </w:r>
      <w:r w:rsidR="000A5329" w:rsidRPr="002029AF">
        <w:t xml:space="preserve"> </w:t>
      </w:r>
      <w:r w:rsidRPr="002029AF">
        <w:t>celebrate</w:t>
      </w:r>
      <w:r w:rsidR="000A5329" w:rsidRPr="002029AF">
        <w:t xml:space="preserve"> </w:t>
      </w:r>
      <w:r w:rsidRPr="002029AF">
        <w:t>and</w:t>
      </w:r>
      <w:r w:rsidR="000A5329" w:rsidRPr="002029AF">
        <w:t xml:space="preserve"> </w:t>
      </w:r>
      <w:r w:rsidRPr="002029AF">
        <w:t>promote</w:t>
      </w:r>
      <w:r w:rsidR="000A5329" w:rsidRPr="002029AF">
        <w:t xml:space="preserve"> </w:t>
      </w:r>
      <w:r w:rsidRPr="002029AF">
        <w:t>excellent</w:t>
      </w:r>
      <w:r w:rsidR="000A5329" w:rsidRPr="002029AF">
        <w:t xml:space="preserve"> </w:t>
      </w:r>
      <w:r w:rsidRPr="002029AF">
        <w:t>practice</w:t>
      </w:r>
      <w:r w:rsidR="000A5329" w:rsidRPr="002029AF">
        <w:t xml:space="preserve"> </w:t>
      </w:r>
      <w:r w:rsidRPr="002029AF">
        <w:t>through</w:t>
      </w:r>
      <w:r w:rsidR="000A5329" w:rsidRPr="002029AF">
        <w:t xml:space="preserve"> </w:t>
      </w:r>
      <w:r w:rsidRPr="002029AF">
        <w:t>improved</w:t>
      </w:r>
      <w:r w:rsidR="000A5329" w:rsidRPr="002029AF">
        <w:t xml:space="preserve"> </w:t>
      </w:r>
      <w:r w:rsidRPr="002029AF">
        <w:t>communication</w:t>
      </w:r>
      <w:r w:rsidR="000A5329" w:rsidRPr="002029AF">
        <w:t xml:space="preserve"> </w:t>
      </w:r>
      <w:r w:rsidRPr="002029AF">
        <w:t>activities,</w:t>
      </w:r>
      <w:r w:rsidR="000A5329" w:rsidRPr="002029AF">
        <w:t xml:space="preserve"> </w:t>
      </w:r>
      <w:r w:rsidRPr="002029AF">
        <w:t>such</w:t>
      </w:r>
      <w:r w:rsidR="000A5329" w:rsidRPr="002029AF">
        <w:t xml:space="preserve"> </w:t>
      </w:r>
      <w:r w:rsidRPr="002029AF">
        <w:t>as</w:t>
      </w:r>
      <w:r w:rsidR="000A5329" w:rsidRPr="002029AF">
        <w:t xml:space="preserve"> </w:t>
      </w:r>
      <w:r w:rsidRPr="002029AF">
        <w:t>CP</w:t>
      </w:r>
      <w:r w:rsidR="000A5329" w:rsidRPr="002029AF">
        <w:t xml:space="preserve"> </w:t>
      </w:r>
      <w:r w:rsidRPr="002029AF">
        <w:t>Symposium,</w:t>
      </w:r>
      <w:r w:rsidR="000A5329" w:rsidRPr="002029AF">
        <w:t xml:space="preserve"> </w:t>
      </w:r>
      <w:r w:rsidRPr="002029AF">
        <w:t>CP</w:t>
      </w:r>
      <w:r w:rsidR="000A5329" w:rsidRPr="002029AF">
        <w:t xml:space="preserve"> </w:t>
      </w:r>
      <w:r w:rsidRPr="002029AF">
        <w:t>Week,</w:t>
      </w:r>
      <w:r w:rsidR="000A5329" w:rsidRPr="002029AF">
        <w:t xml:space="preserve"> </w:t>
      </w:r>
      <w:r w:rsidRPr="002029AF">
        <w:t>Housing</w:t>
      </w:r>
      <w:r w:rsidR="000A5329" w:rsidRPr="002029AF">
        <w:t xml:space="preserve"> </w:t>
      </w:r>
      <w:r w:rsidRPr="002029AF">
        <w:t>Week,</w:t>
      </w:r>
      <w:r w:rsidR="000A5329" w:rsidRPr="002029AF">
        <w:t xml:space="preserve"> </w:t>
      </w:r>
      <w:r w:rsidRPr="002029AF">
        <w:t>operational</w:t>
      </w:r>
      <w:r w:rsidR="000A5329" w:rsidRPr="002029AF">
        <w:t xml:space="preserve"> </w:t>
      </w:r>
      <w:r w:rsidRPr="002029AF">
        <w:t>briefings</w:t>
      </w:r>
      <w:r w:rsidR="000A5329" w:rsidRPr="002029AF">
        <w:t xml:space="preserve"> </w:t>
      </w:r>
      <w:r w:rsidRPr="002029AF">
        <w:t>and</w:t>
      </w:r>
      <w:r w:rsidR="000A5329" w:rsidRPr="002029AF">
        <w:t xml:space="preserve"> </w:t>
      </w:r>
      <w:r w:rsidRPr="002029AF">
        <w:t>divisional</w:t>
      </w:r>
      <w:r w:rsidR="000A5329" w:rsidRPr="002029AF">
        <w:t xml:space="preserve"> </w:t>
      </w:r>
      <w:r w:rsidRPr="002029AF">
        <w:t>newsletters</w:t>
      </w:r>
      <w:r w:rsidR="00FA479F" w:rsidRPr="002029AF">
        <w:t>.</w:t>
      </w:r>
      <w:bookmarkStart w:id="77" w:name="_Ref525208139"/>
    </w:p>
    <w:bookmarkEnd w:id="77"/>
    <w:p w14:paraId="5BA38676" w14:textId="344202BE" w:rsidR="000A5329" w:rsidRPr="002029AF" w:rsidRDefault="00CF72D5" w:rsidP="001E768A">
      <w:pPr>
        <w:pStyle w:val="Heading3"/>
      </w:pPr>
      <w:r w:rsidRPr="002029AF">
        <w:lastRenderedPageBreak/>
        <w:t>Child</w:t>
      </w:r>
      <w:r w:rsidR="000A5329" w:rsidRPr="002029AF">
        <w:t xml:space="preserve"> </w:t>
      </w:r>
      <w:r w:rsidRPr="002029AF">
        <w:t>protection</w:t>
      </w:r>
      <w:r w:rsidR="000A5329" w:rsidRPr="002029AF">
        <w:t xml:space="preserve"> </w:t>
      </w:r>
      <w:r w:rsidRPr="002029AF">
        <w:t>workforce strategy</w:t>
      </w:r>
    </w:p>
    <w:p w14:paraId="30DDA876" w14:textId="45127921" w:rsidR="00CF72D5" w:rsidRPr="002029AF" w:rsidRDefault="00CF72D5" w:rsidP="00897193">
      <w:pPr>
        <w:pStyle w:val="ARbody"/>
      </w:pPr>
      <w:r w:rsidRPr="002029AF">
        <w:t>The</w:t>
      </w:r>
      <w:r w:rsidR="000A5329" w:rsidRPr="002029AF">
        <w:t xml:space="preserve"> </w:t>
      </w:r>
      <w:r w:rsidRPr="002029AF">
        <w:rPr>
          <w:i/>
          <w:iCs/>
        </w:rPr>
        <w:t>Child</w:t>
      </w:r>
      <w:r w:rsidR="000A5329" w:rsidRPr="002029AF">
        <w:rPr>
          <w:i/>
          <w:iCs/>
        </w:rPr>
        <w:t xml:space="preserve"> </w:t>
      </w:r>
      <w:r w:rsidR="00B06662" w:rsidRPr="002029AF">
        <w:rPr>
          <w:i/>
          <w:iCs/>
        </w:rPr>
        <w:t>P</w:t>
      </w:r>
      <w:r w:rsidRPr="002029AF">
        <w:rPr>
          <w:i/>
          <w:iCs/>
        </w:rPr>
        <w:t>rotection</w:t>
      </w:r>
      <w:r w:rsidR="000A5329" w:rsidRPr="002029AF">
        <w:rPr>
          <w:i/>
          <w:iCs/>
        </w:rPr>
        <w:t xml:space="preserve"> </w:t>
      </w:r>
      <w:r w:rsidR="00B06662" w:rsidRPr="002029AF">
        <w:rPr>
          <w:i/>
          <w:iCs/>
        </w:rPr>
        <w:t>W</w:t>
      </w:r>
      <w:r w:rsidRPr="002029AF">
        <w:rPr>
          <w:i/>
          <w:iCs/>
        </w:rPr>
        <w:t>orkforce</w:t>
      </w:r>
      <w:r w:rsidR="000A5329" w:rsidRPr="002029AF">
        <w:rPr>
          <w:i/>
          <w:iCs/>
        </w:rPr>
        <w:t xml:space="preserve"> </w:t>
      </w:r>
      <w:r w:rsidR="00B06662" w:rsidRPr="002029AF">
        <w:rPr>
          <w:i/>
          <w:iCs/>
        </w:rPr>
        <w:t>S</w:t>
      </w:r>
      <w:r w:rsidRPr="002029AF">
        <w:rPr>
          <w:i/>
          <w:iCs/>
        </w:rPr>
        <w:t>trategy</w:t>
      </w:r>
      <w:r w:rsidR="000A5329" w:rsidRPr="002029AF">
        <w:rPr>
          <w:i/>
          <w:iCs/>
        </w:rPr>
        <w:t xml:space="preserve"> </w:t>
      </w:r>
      <w:r w:rsidR="00DB53E6" w:rsidRPr="002029AF">
        <w:rPr>
          <w:i/>
          <w:iCs/>
        </w:rPr>
        <w:br/>
      </w:r>
      <w:r w:rsidRPr="002029AF">
        <w:rPr>
          <w:i/>
          <w:iCs/>
        </w:rPr>
        <w:t>2017–2020</w:t>
      </w:r>
      <w:r w:rsidRPr="002029AF">
        <w:t>,</w:t>
      </w:r>
      <w:r w:rsidR="000A5329" w:rsidRPr="002029AF">
        <w:t xml:space="preserve"> </w:t>
      </w:r>
      <w:r w:rsidRPr="002029AF">
        <w:t>launched</w:t>
      </w:r>
      <w:r w:rsidR="000A5329" w:rsidRPr="002029AF">
        <w:t xml:space="preserve"> </w:t>
      </w:r>
      <w:r w:rsidRPr="002029AF">
        <w:t>in</w:t>
      </w:r>
      <w:r w:rsidR="000A5329" w:rsidRPr="002029AF">
        <w:t xml:space="preserve"> </w:t>
      </w:r>
      <w:r w:rsidRPr="002029AF">
        <w:t>December</w:t>
      </w:r>
      <w:r w:rsidR="000A5329" w:rsidRPr="002029AF">
        <w:t xml:space="preserve"> </w:t>
      </w:r>
      <w:r w:rsidRPr="002029AF">
        <w:t>2017,</w:t>
      </w:r>
      <w:r w:rsidR="000A5329" w:rsidRPr="002029AF">
        <w:t xml:space="preserve"> </w:t>
      </w:r>
      <w:r w:rsidRPr="002029AF">
        <w:t>was</w:t>
      </w:r>
      <w:r w:rsidR="000A5329" w:rsidRPr="002029AF">
        <w:t xml:space="preserve"> </w:t>
      </w:r>
      <w:r w:rsidRPr="002029AF">
        <w:t>developed</w:t>
      </w:r>
      <w:r w:rsidR="000A5329" w:rsidRPr="002029AF">
        <w:t xml:space="preserve"> </w:t>
      </w:r>
      <w:r w:rsidRPr="002029AF">
        <w:t>to</w:t>
      </w:r>
      <w:r w:rsidR="000A5329" w:rsidRPr="002029AF">
        <w:t xml:space="preserve"> </w:t>
      </w:r>
      <w:r w:rsidRPr="002029AF">
        <w:t>build</w:t>
      </w:r>
      <w:r w:rsidR="000A5329" w:rsidRPr="002029AF">
        <w:t xml:space="preserve"> </w:t>
      </w:r>
      <w:r w:rsidRPr="002029AF">
        <w:t>and</w:t>
      </w:r>
      <w:r w:rsidR="000A5329" w:rsidRPr="002029AF">
        <w:t xml:space="preserve"> </w:t>
      </w:r>
      <w:r w:rsidRPr="002029AF">
        <w:t>sustain</w:t>
      </w:r>
      <w:r w:rsidR="000A5329" w:rsidRPr="002029AF">
        <w:t xml:space="preserve"> </w:t>
      </w:r>
      <w:r w:rsidRPr="002029AF">
        <w:t>the</w:t>
      </w:r>
      <w:r w:rsidR="000A5329" w:rsidRPr="002029AF">
        <w:t xml:space="preserve"> </w:t>
      </w:r>
      <w:r w:rsidRPr="002029AF">
        <w:t>expertise,</w:t>
      </w:r>
      <w:r w:rsidR="000A5329" w:rsidRPr="002029AF">
        <w:t xml:space="preserve"> </w:t>
      </w:r>
      <w:r w:rsidRPr="002029AF">
        <w:t>wellbeing</w:t>
      </w:r>
      <w:r w:rsidR="000A5329" w:rsidRPr="002029AF">
        <w:t xml:space="preserve"> </w:t>
      </w:r>
      <w:r w:rsidRPr="002029AF">
        <w:t>and</w:t>
      </w:r>
      <w:r w:rsidR="000A5329" w:rsidRPr="002029AF">
        <w:t xml:space="preserve"> </w:t>
      </w:r>
      <w:r w:rsidRPr="002029AF">
        <w:t>professional</w:t>
      </w:r>
      <w:r w:rsidR="000A5329" w:rsidRPr="002029AF">
        <w:t xml:space="preserve"> </w:t>
      </w:r>
      <w:r w:rsidRPr="002029AF">
        <w:t>identity</w:t>
      </w:r>
      <w:r w:rsidR="000A5329" w:rsidRPr="002029AF">
        <w:t xml:space="preserve"> </w:t>
      </w:r>
      <w:r w:rsidRPr="002029AF">
        <w:t>of</w:t>
      </w:r>
      <w:r w:rsidR="000A5329" w:rsidRPr="002029AF">
        <w:t xml:space="preserve"> </w:t>
      </w:r>
      <w:r w:rsidRPr="002029AF">
        <w:t>the</w:t>
      </w:r>
      <w:r w:rsidR="000A5329" w:rsidRPr="002029AF">
        <w:t xml:space="preserve"> </w:t>
      </w:r>
      <w:r w:rsidRPr="002029AF">
        <w:t>child</w:t>
      </w:r>
      <w:r w:rsidR="000A5329" w:rsidRPr="002029AF">
        <w:t xml:space="preserve"> </w:t>
      </w:r>
      <w:r w:rsidRPr="002029AF">
        <w:t>protection</w:t>
      </w:r>
      <w:r w:rsidR="000A5329" w:rsidRPr="002029AF">
        <w:t xml:space="preserve"> </w:t>
      </w:r>
      <w:r w:rsidRPr="002029AF">
        <w:t>workforce</w:t>
      </w:r>
      <w:r w:rsidR="000A5329" w:rsidRPr="002029AF">
        <w:t xml:space="preserve"> </w:t>
      </w:r>
      <w:r w:rsidRPr="002029AF">
        <w:t>to</w:t>
      </w:r>
      <w:r w:rsidR="000A5329" w:rsidRPr="002029AF">
        <w:t xml:space="preserve"> </w:t>
      </w:r>
      <w:r w:rsidRPr="002029AF">
        <w:t>meet</w:t>
      </w:r>
      <w:r w:rsidR="000A5329" w:rsidRPr="002029AF">
        <w:t xml:space="preserve"> </w:t>
      </w:r>
      <w:r w:rsidRPr="002029AF">
        <w:t>the</w:t>
      </w:r>
      <w:r w:rsidR="000A5329" w:rsidRPr="002029AF">
        <w:t xml:space="preserve"> </w:t>
      </w:r>
      <w:r w:rsidRPr="002029AF">
        <w:t>future</w:t>
      </w:r>
      <w:r w:rsidR="000A5329" w:rsidRPr="002029AF">
        <w:t xml:space="preserve"> </w:t>
      </w:r>
      <w:r w:rsidRPr="002029AF">
        <w:t>needs</w:t>
      </w:r>
      <w:r w:rsidR="000A5329" w:rsidRPr="002029AF">
        <w:t xml:space="preserve"> </w:t>
      </w:r>
      <w:r w:rsidRPr="002029AF">
        <w:t>of the</w:t>
      </w:r>
      <w:r w:rsidR="000A5329" w:rsidRPr="002029AF">
        <w:t xml:space="preserve"> </w:t>
      </w:r>
      <w:r w:rsidRPr="002029AF">
        <w:t>community.</w:t>
      </w:r>
      <w:r w:rsidR="000A5329" w:rsidRPr="002029AF">
        <w:t xml:space="preserve"> </w:t>
      </w:r>
      <w:r w:rsidRPr="002029AF">
        <w:t>The</w:t>
      </w:r>
      <w:r w:rsidR="000A5329" w:rsidRPr="002029AF">
        <w:t xml:space="preserve"> </w:t>
      </w:r>
      <w:r w:rsidRPr="002029AF">
        <w:t>strategy</w:t>
      </w:r>
      <w:r w:rsidR="000A5329" w:rsidRPr="002029AF">
        <w:t xml:space="preserve"> </w:t>
      </w:r>
      <w:r w:rsidRPr="002029AF">
        <w:t>is</w:t>
      </w:r>
      <w:r w:rsidR="000A5329" w:rsidRPr="002029AF">
        <w:t xml:space="preserve"> </w:t>
      </w:r>
      <w:r w:rsidRPr="002029AF">
        <w:t>dynamic</w:t>
      </w:r>
      <w:r w:rsidR="000A5329" w:rsidRPr="002029AF">
        <w:t xml:space="preserve"> </w:t>
      </w:r>
      <w:r w:rsidRPr="002029AF">
        <w:t>and</w:t>
      </w:r>
      <w:r w:rsidR="000A5329" w:rsidRPr="002029AF">
        <w:t xml:space="preserve"> </w:t>
      </w:r>
      <w:r w:rsidRPr="002029AF">
        <w:t>reviewed</w:t>
      </w:r>
      <w:r w:rsidR="000A5329" w:rsidRPr="002029AF">
        <w:t xml:space="preserve"> </w:t>
      </w:r>
      <w:r w:rsidRPr="002029AF">
        <w:t>on</w:t>
      </w:r>
      <w:r w:rsidR="000A5329" w:rsidRPr="002029AF">
        <w:t xml:space="preserve"> </w:t>
      </w:r>
      <w:r w:rsidRPr="002029AF">
        <w:t>an</w:t>
      </w:r>
      <w:r w:rsidR="000A5329" w:rsidRPr="002029AF">
        <w:t xml:space="preserve"> </w:t>
      </w:r>
      <w:r w:rsidRPr="002029AF">
        <w:t>ongoing</w:t>
      </w:r>
      <w:r w:rsidR="000A5329" w:rsidRPr="002029AF">
        <w:t xml:space="preserve"> </w:t>
      </w:r>
      <w:r w:rsidRPr="002029AF">
        <w:t>basis</w:t>
      </w:r>
      <w:r w:rsidR="000A5329" w:rsidRPr="002029AF">
        <w:t xml:space="preserve"> </w:t>
      </w:r>
      <w:r w:rsidRPr="002029AF">
        <w:t>to</w:t>
      </w:r>
      <w:r w:rsidR="000A5329" w:rsidRPr="002029AF">
        <w:t xml:space="preserve"> </w:t>
      </w:r>
      <w:r w:rsidRPr="002029AF">
        <w:t>support</w:t>
      </w:r>
      <w:r w:rsidR="000A5329" w:rsidRPr="002029AF">
        <w:t xml:space="preserve"> </w:t>
      </w:r>
      <w:r w:rsidRPr="002029AF">
        <w:t>the</w:t>
      </w:r>
      <w:r w:rsidR="000A5329" w:rsidRPr="002029AF">
        <w:t xml:space="preserve"> </w:t>
      </w:r>
      <w:r w:rsidRPr="002029AF">
        <w:t>current</w:t>
      </w:r>
      <w:r w:rsidR="000A5329" w:rsidRPr="002029AF">
        <w:t xml:space="preserve"> </w:t>
      </w:r>
      <w:r w:rsidRPr="002029AF">
        <w:t>and</w:t>
      </w:r>
      <w:r w:rsidR="000A5329" w:rsidRPr="002029AF">
        <w:t xml:space="preserve"> </w:t>
      </w:r>
      <w:r w:rsidRPr="002029AF">
        <w:t>future</w:t>
      </w:r>
      <w:r w:rsidR="000A5329" w:rsidRPr="002029AF">
        <w:t xml:space="preserve"> </w:t>
      </w:r>
      <w:r w:rsidRPr="002029AF">
        <w:t>workforce</w:t>
      </w:r>
      <w:r w:rsidR="000A5329" w:rsidRPr="002029AF">
        <w:t xml:space="preserve"> </w:t>
      </w:r>
      <w:r w:rsidRPr="002029AF">
        <w:t>and</w:t>
      </w:r>
      <w:r w:rsidR="000A5329" w:rsidRPr="002029AF">
        <w:t xml:space="preserve"> </w:t>
      </w:r>
      <w:r w:rsidRPr="002029AF">
        <w:t>child</w:t>
      </w:r>
      <w:r w:rsidR="000A5329" w:rsidRPr="002029AF">
        <w:t xml:space="preserve"> </w:t>
      </w:r>
      <w:r w:rsidRPr="002029AF">
        <w:t>protection</w:t>
      </w:r>
      <w:r w:rsidR="000A5329" w:rsidRPr="002029AF">
        <w:t xml:space="preserve"> </w:t>
      </w:r>
      <w:r w:rsidRPr="002029AF">
        <w:t>operating</w:t>
      </w:r>
      <w:r w:rsidR="000A5329" w:rsidRPr="002029AF">
        <w:t xml:space="preserve"> </w:t>
      </w:r>
      <w:r w:rsidRPr="002029AF">
        <w:t>model.</w:t>
      </w:r>
    </w:p>
    <w:p w14:paraId="42947F9F" w14:textId="4876DCFD" w:rsidR="00CF72D5" w:rsidRPr="002029AF" w:rsidRDefault="00CF72D5" w:rsidP="00897193">
      <w:pPr>
        <w:pStyle w:val="ARbody"/>
      </w:pPr>
      <w:r w:rsidRPr="002029AF">
        <w:t>The</w:t>
      </w:r>
      <w:r w:rsidR="000A5329" w:rsidRPr="002029AF">
        <w:t xml:space="preserve"> </w:t>
      </w:r>
      <w:r w:rsidRPr="002029AF">
        <w:t>strategy</w:t>
      </w:r>
      <w:r w:rsidR="000A5329" w:rsidRPr="002029AF">
        <w:t xml:space="preserve"> </w:t>
      </w:r>
      <w:r w:rsidRPr="002029AF">
        <w:t>has</w:t>
      </w:r>
      <w:r w:rsidR="000A5329" w:rsidRPr="002029AF">
        <w:t xml:space="preserve"> </w:t>
      </w:r>
      <w:r w:rsidRPr="002029AF">
        <w:t>five</w:t>
      </w:r>
      <w:r w:rsidR="000A5329" w:rsidRPr="002029AF">
        <w:t xml:space="preserve"> </w:t>
      </w:r>
      <w:r w:rsidRPr="002029AF">
        <w:t>major</w:t>
      </w:r>
      <w:r w:rsidR="000A5329" w:rsidRPr="002029AF">
        <w:t xml:space="preserve"> </w:t>
      </w:r>
      <w:r w:rsidRPr="002029AF">
        <w:t>priorities:</w:t>
      </w:r>
    </w:p>
    <w:p w14:paraId="55F0DEE9" w14:textId="426C7DEF" w:rsidR="00CF72D5" w:rsidRPr="002029AF" w:rsidRDefault="00CF72D5" w:rsidP="00897193">
      <w:pPr>
        <w:pStyle w:val="ARbullet1"/>
      </w:pPr>
      <w:r w:rsidRPr="002029AF">
        <w:t>attracting</w:t>
      </w:r>
      <w:r w:rsidR="000A5329" w:rsidRPr="002029AF">
        <w:t xml:space="preserve"> </w:t>
      </w:r>
      <w:r w:rsidRPr="002029AF">
        <w:t>and</w:t>
      </w:r>
      <w:r w:rsidR="000A5329" w:rsidRPr="002029AF">
        <w:t xml:space="preserve"> </w:t>
      </w:r>
      <w:r w:rsidRPr="002029AF">
        <w:t>recruiting</w:t>
      </w:r>
      <w:r w:rsidR="000A5329" w:rsidRPr="002029AF">
        <w:t xml:space="preserve"> </w:t>
      </w:r>
      <w:r w:rsidRPr="002029AF">
        <w:t>the</w:t>
      </w:r>
      <w:r w:rsidR="000A5329" w:rsidRPr="002029AF">
        <w:t xml:space="preserve"> </w:t>
      </w:r>
      <w:r w:rsidRPr="002029AF">
        <w:t>best</w:t>
      </w:r>
      <w:r w:rsidR="000A5329" w:rsidRPr="002029AF">
        <w:t xml:space="preserve"> </w:t>
      </w:r>
      <w:r w:rsidRPr="002029AF">
        <w:t>people</w:t>
      </w:r>
    </w:p>
    <w:p w14:paraId="14A47CEB" w14:textId="2553CF57" w:rsidR="00CF72D5" w:rsidRPr="002029AF" w:rsidRDefault="00CF72D5" w:rsidP="00897193">
      <w:pPr>
        <w:pStyle w:val="ARbullet1"/>
      </w:pPr>
      <w:r w:rsidRPr="002029AF">
        <w:t>building</w:t>
      </w:r>
      <w:r w:rsidR="000A5329" w:rsidRPr="002029AF">
        <w:t xml:space="preserve"> </w:t>
      </w:r>
      <w:r w:rsidRPr="002029AF">
        <w:t>a</w:t>
      </w:r>
      <w:r w:rsidR="000A5329" w:rsidRPr="002029AF">
        <w:t xml:space="preserve"> </w:t>
      </w:r>
      <w:r w:rsidRPr="002029AF">
        <w:t>professional</w:t>
      </w:r>
      <w:r w:rsidR="000A5329" w:rsidRPr="002029AF">
        <w:t xml:space="preserve"> </w:t>
      </w:r>
      <w:r w:rsidRPr="002029AF">
        <w:t>identity</w:t>
      </w:r>
    </w:p>
    <w:p w14:paraId="055908E9" w14:textId="625E9793" w:rsidR="00CF72D5" w:rsidRPr="002029AF" w:rsidRDefault="00CF72D5" w:rsidP="00897193">
      <w:pPr>
        <w:pStyle w:val="ARbullet1"/>
      </w:pPr>
      <w:r w:rsidRPr="002029AF">
        <w:t>growing</w:t>
      </w:r>
      <w:r w:rsidR="000A5329" w:rsidRPr="002029AF">
        <w:t xml:space="preserve"> </w:t>
      </w:r>
      <w:r w:rsidRPr="002029AF">
        <w:t>and</w:t>
      </w:r>
      <w:r w:rsidR="000A5329" w:rsidRPr="002029AF">
        <w:t xml:space="preserve"> </w:t>
      </w:r>
      <w:r w:rsidRPr="002029AF">
        <w:t>develop</w:t>
      </w:r>
      <w:r w:rsidR="006B152E" w:rsidRPr="002029AF">
        <w:t>ing</w:t>
      </w:r>
      <w:r w:rsidR="000A5329" w:rsidRPr="002029AF">
        <w:t xml:space="preserve"> </w:t>
      </w:r>
      <w:r w:rsidRPr="002029AF">
        <w:t>our</w:t>
      </w:r>
      <w:r w:rsidR="000A5329" w:rsidRPr="002029AF">
        <w:t xml:space="preserve"> </w:t>
      </w:r>
      <w:r w:rsidRPr="002029AF">
        <w:t>people</w:t>
      </w:r>
    </w:p>
    <w:p w14:paraId="43B77556" w14:textId="6A3E556A" w:rsidR="00CF72D5" w:rsidRPr="002029AF" w:rsidRDefault="00CF72D5" w:rsidP="00897193">
      <w:pPr>
        <w:pStyle w:val="ARbullet1"/>
      </w:pPr>
      <w:r w:rsidRPr="002029AF">
        <w:t>engaging</w:t>
      </w:r>
      <w:r w:rsidR="000A5329" w:rsidRPr="002029AF">
        <w:t xml:space="preserve"> </w:t>
      </w:r>
      <w:r w:rsidRPr="002029AF">
        <w:t>and</w:t>
      </w:r>
      <w:r w:rsidR="000A5329" w:rsidRPr="002029AF">
        <w:t xml:space="preserve"> </w:t>
      </w:r>
      <w:r w:rsidRPr="002029AF">
        <w:t>retaining</w:t>
      </w:r>
      <w:r w:rsidR="000A5329" w:rsidRPr="002029AF">
        <w:t xml:space="preserve"> </w:t>
      </w:r>
      <w:r w:rsidRPr="002029AF">
        <w:t>our</w:t>
      </w:r>
      <w:r w:rsidR="000A5329" w:rsidRPr="002029AF">
        <w:t xml:space="preserve"> </w:t>
      </w:r>
      <w:r w:rsidRPr="002029AF">
        <w:t>people</w:t>
      </w:r>
    </w:p>
    <w:p w14:paraId="701D41E6" w14:textId="5BCDC5EF" w:rsidR="00CF72D5" w:rsidRPr="002029AF" w:rsidRDefault="00B8592B" w:rsidP="00897193">
      <w:pPr>
        <w:pStyle w:val="ARbullet1"/>
      </w:pPr>
      <w:r w:rsidRPr="002029AF">
        <w:t>ensuring</w:t>
      </w:r>
      <w:r w:rsidR="000A5329" w:rsidRPr="002029AF">
        <w:t xml:space="preserve"> </w:t>
      </w:r>
      <w:r w:rsidRPr="002029AF">
        <w:t>the</w:t>
      </w:r>
      <w:r w:rsidR="000A5329" w:rsidRPr="002029AF">
        <w:t xml:space="preserve"> </w:t>
      </w:r>
      <w:r w:rsidR="00CF72D5" w:rsidRPr="002029AF">
        <w:t>health,</w:t>
      </w:r>
      <w:r w:rsidR="000A5329" w:rsidRPr="002029AF">
        <w:t xml:space="preserve"> </w:t>
      </w:r>
      <w:r w:rsidR="00CF72D5" w:rsidRPr="002029AF">
        <w:t>safety</w:t>
      </w:r>
      <w:r w:rsidR="000A5329" w:rsidRPr="002029AF">
        <w:t xml:space="preserve"> </w:t>
      </w:r>
      <w:r w:rsidR="00CF72D5" w:rsidRPr="002029AF">
        <w:t>and</w:t>
      </w:r>
      <w:r w:rsidR="000A5329" w:rsidRPr="002029AF">
        <w:t xml:space="preserve"> </w:t>
      </w:r>
      <w:r w:rsidR="00CF72D5" w:rsidRPr="002029AF">
        <w:t>wellbeing</w:t>
      </w:r>
      <w:r w:rsidR="000A5329" w:rsidRPr="002029AF">
        <w:t xml:space="preserve"> </w:t>
      </w:r>
      <w:r w:rsidRPr="002029AF">
        <w:t>of</w:t>
      </w:r>
      <w:r w:rsidR="00EF3FCC">
        <w:t> </w:t>
      </w:r>
      <w:r w:rsidRPr="002029AF">
        <w:t>our</w:t>
      </w:r>
      <w:r w:rsidR="00EF3FCC">
        <w:t> </w:t>
      </w:r>
      <w:r w:rsidRPr="002029AF">
        <w:t>people</w:t>
      </w:r>
      <w:r w:rsidR="00FA479F" w:rsidRPr="002029AF">
        <w:t>.</w:t>
      </w:r>
    </w:p>
    <w:p w14:paraId="2651E4DD" w14:textId="2FFE8DB4" w:rsidR="00CF72D5" w:rsidRPr="002029AF" w:rsidRDefault="00CF72D5" w:rsidP="001E768A">
      <w:pPr>
        <w:pStyle w:val="ARbodyafterbullets"/>
      </w:pPr>
      <w:r w:rsidRPr="002029AF">
        <w:t>The</w:t>
      </w:r>
      <w:r w:rsidR="000A5329" w:rsidRPr="002029AF">
        <w:t xml:space="preserve"> </w:t>
      </w:r>
      <w:r w:rsidRPr="002029AF">
        <w:t>strategy</w:t>
      </w:r>
      <w:r w:rsidR="000A5329" w:rsidRPr="002029AF">
        <w:t xml:space="preserve"> </w:t>
      </w:r>
      <w:r w:rsidRPr="002029AF">
        <w:t>provides</w:t>
      </w:r>
      <w:r w:rsidR="000A5329" w:rsidRPr="002029AF">
        <w:t xml:space="preserve"> </w:t>
      </w:r>
      <w:r w:rsidRPr="002029AF">
        <w:t>a</w:t>
      </w:r>
      <w:r w:rsidR="000A5329" w:rsidRPr="002029AF">
        <w:t xml:space="preserve"> </w:t>
      </w:r>
      <w:r w:rsidRPr="002029AF">
        <w:t>consistent</w:t>
      </w:r>
      <w:r w:rsidR="000A5329" w:rsidRPr="002029AF">
        <w:t xml:space="preserve"> </w:t>
      </w:r>
      <w:r w:rsidRPr="002029AF">
        <w:t>vision</w:t>
      </w:r>
      <w:r w:rsidR="000A5329" w:rsidRPr="002029AF">
        <w:t xml:space="preserve"> </w:t>
      </w:r>
      <w:r w:rsidRPr="002029AF">
        <w:t>for</w:t>
      </w:r>
      <w:r w:rsidR="000A5329" w:rsidRPr="002029AF">
        <w:t xml:space="preserve"> </w:t>
      </w:r>
      <w:r w:rsidRPr="002029AF">
        <w:t>the</w:t>
      </w:r>
      <w:r w:rsidR="000A5329" w:rsidRPr="002029AF">
        <w:t xml:space="preserve"> </w:t>
      </w:r>
      <w:r w:rsidRPr="002029AF">
        <w:t>growth</w:t>
      </w:r>
      <w:r w:rsidR="000A5329" w:rsidRPr="002029AF">
        <w:t xml:space="preserve"> </w:t>
      </w:r>
      <w:r w:rsidRPr="002029AF">
        <w:t>and</w:t>
      </w:r>
      <w:r w:rsidR="000A5329" w:rsidRPr="002029AF">
        <w:t xml:space="preserve"> </w:t>
      </w:r>
      <w:r w:rsidRPr="002029AF">
        <w:t>development</w:t>
      </w:r>
      <w:r w:rsidR="000A5329" w:rsidRPr="002029AF">
        <w:t xml:space="preserve"> </w:t>
      </w:r>
      <w:r w:rsidRPr="002029AF">
        <w:t>of</w:t>
      </w:r>
      <w:r w:rsidR="000A5329" w:rsidRPr="002029AF">
        <w:t xml:space="preserve"> </w:t>
      </w:r>
      <w:r w:rsidRPr="002029AF">
        <w:t>the</w:t>
      </w:r>
      <w:r w:rsidR="000A5329" w:rsidRPr="002029AF">
        <w:t xml:space="preserve"> </w:t>
      </w:r>
      <w:r w:rsidRPr="002029AF">
        <w:t>child</w:t>
      </w:r>
      <w:r w:rsidR="000A5329" w:rsidRPr="002029AF">
        <w:t xml:space="preserve"> </w:t>
      </w:r>
      <w:r w:rsidRPr="002029AF">
        <w:t>protection</w:t>
      </w:r>
      <w:r w:rsidR="000A5329" w:rsidRPr="002029AF">
        <w:t xml:space="preserve"> </w:t>
      </w:r>
      <w:r w:rsidRPr="002029AF">
        <w:t>workforce.</w:t>
      </w:r>
    </w:p>
    <w:p w14:paraId="25CA0388" w14:textId="45042642" w:rsidR="000A5329" w:rsidRPr="002029AF" w:rsidRDefault="00CF72D5" w:rsidP="001E768A">
      <w:pPr>
        <w:pStyle w:val="Heading3"/>
      </w:pPr>
      <w:r w:rsidRPr="002029AF">
        <w:t>Child</w:t>
      </w:r>
      <w:r w:rsidR="000A5329" w:rsidRPr="002029AF">
        <w:t xml:space="preserve"> </w:t>
      </w:r>
      <w:r w:rsidRPr="002029AF">
        <w:t>protection’s</w:t>
      </w:r>
      <w:r w:rsidR="000A5329" w:rsidRPr="002029AF">
        <w:t xml:space="preserve"> </w:t>
      </w:r>
      <w:r w:rsidRPr="002029AF">
        <w:t>attraction</w:t>
      </w:r>
      <w:r w:rsidR="000A5329" w:rsidRPr="002029AF">
        <w:t xml:space="preserve"> </w:t>
      </w:r>
      <w:r w:rsidRPr="002029AF">
        <w:t>and recruitment</w:t>
      </w:r>
      <w:r w:rsidR="000A5329" w:rsidRPr="002029AF">
        <w:t xml:space="preserve"> </w:t>
      </w:r>
      <w:r w:rsidRPr="002029AF">
        <w:t>campaign</w:t>
      </w:r>
    </w:p>
    <w:p w14:paraId="18F77EE1" w14:textId="3B1B2094" w:rsidR="00CF72D5" w:rsidRPr="002029AF" w:rsidRDefault="00CF72D5" w:rsidP="00897193">
      <w:pPr>
        <w:pStyle w:val="ARbody"/>
      </w:pPr>
      <w:r w:rsidRPr="002029AF">
        <w:t>A</w:t>
      </w:r>
      <w:r w:rsidR="000A5329" w:rsidRPr="002029AF">
        <w:t xml:space="preserve"> </w:t>
      </w:r>
      <w:r w:rsidRPr="002029AF">
        <w:t>key</w:t>
      </w:r>
      <w:r w:rsidR="000A5329" w:rsidRPr="002029AF">
        <w:t xml:space="preserve"> </w:t>
      </w:r>
      <w:r w:rsidRPr="002029AF">
        <w:t>priority</w:t>
      </w:r>
      <w:r w:rsidR="000A5329" w:rsidRPr="002029AF">
        <w:t xml:space="preserve"> </w:t>
      </w:r>
      <w:r w:rsidRPr="002029AF">
        <w:t>of</w:t>
      </w:r>
      <w:r w:rsidR="000A5329" w:rsidRPr="002029AF">
        <w:t xml:space="preserve"> </w:t>
      </w:r>
      <w:r w:rsidRPr="002029AF">
        <w:t>the</w:t>
      </w:r>
      <w:r w:rsidR="000A5329" w:rsidRPr="002029AF">
        <w:t xml:space="preserve"> </w:t>
      </w:r>
      <w:r w:rsidR="00FB4B7A" w:rsidRPr="002029AF">
        <w:t>s</w:t>
      </w:r>
      <w:r w:rsidRPr="002029AF">
        <w:t>trategy</w:t>
      </w:r>
      <w:r w:rsidR="000A5329" w:rsidRPr="002029AF">
        <w:t xml:space="preserve"> </w:t>
      </w:r>
      <w:r w:rsidRPr="002029AF">
        <w:t>was</w:t>
      </w:r>
      <w:r w:rsidR="000A5329" w:rsidRPr="002029AF">
        <w:t xml:space="preserve"> </w:t>
      </w:r>
      <w:r w:rsidRPr="002029AF">
        <w:t>to</w:t>
      </w:r>
      <w:r w:rsidR="000A5329" w:rsidRPr="002029AF">
        <w:t xml:space="preserve"> </w:t>
      </w:r>
      <w:r w:rsidRPr="002029AF">
        <w:t>attract</w:t>
      </w:r>
      <w:r w:rsidR="000A5329" w:rsidRPr="002029AF">
        <w:t xml:space="preserve"> </w:t>
      </w:r>
      <w:r w:rsidRPr="002029AF">
        <w:t>and</w:t>
      </w:r>
      <w:r w:rsidR="000A5329" w:rsidRPr="002029AF">
        <w:t xml:space="preserve"> </w:t>
      </w:r>
      <w:r w:rsidRPr="002029AF">
        <w:t>recruit</w:t>
      </w:r>
      <w:r w:rsidR="000A5329" w:rsidRPr="002029AF">
        <w:t xml:space="preserve"> </w:t>
      </w:r>
      <w:r w:rsidRPr="002029AF">
        <w:t>the</w:t>
      </w:r>
      <w:r w:rsidR="000A5329" w:rsidRPr="002029AF">
        <w:t xml:space="preserve"> </w:t>
      </w:r>
      <w:r w:rsidRPr="002029AF">
        <w:t>best</w:t>
      </w:r>
      <w:r w:rsidR="000A5329" w:rsidRPr="002029AF">
        <w:t xml:space="preserve"> </w:t>
      </w:r>
      <w:r w:rsidRPr="002029AF">
        <w:t>people</w:t>
      </w:r>
      <w:r w:rsidR="000A5329" w:rsidRPr="002029AF">
        <w:t xml:space="preserve"> </w:t>
      </w:r>
      <w:r w:rsidRPr="002029AF">
        <w:t>into</w:t>
      </w:r>
      <w:r w:rsidR="000A5329" w:rsidRPr="002029AF">
        <w:t xml:space="preserve"> </w:t>
      </w:r>
      <w:r w:rsidRPr="002029AF">
        <w:t>the</w:t>
      </w:r>
      <w:r w:rsidR="000A5329" w:rsidRPr="002029AF">
        <w:t xml:space="preserve"> </w:t>
      </w:r>
      <w:r w:rsidRPr="002029AF">
        <w:t>workforce</w:t>
      </w:r>
      <w:r w:rsidR="000A5329" w:rsidRPr="002029AF">
        <w:t xml:space="preserve"> </w:t>
      </w:r>
      <w:r w:rsidRPr="002029AF">
        <w:t>by</w:t>
      </w:r>
      <w:r w:rsidR="000A5329" w:rsidRPr="002029AF">
        <w:t xml:space="preserve"> </w:t>
      </w:r>
      <w:r w:rsidRPr="002029AF">
        <w:t>creating</w:t>
      </w:r>
      <w:r w:rsidR="000A5329" w:rsidRPr="002029AF">
        <w:t xml:space="preserve"> </w:t>
      </w:r>
      <w:r w:rsidRPr="002029AF">
        <w:t>new,</w:t>
      </w:r>
      <w:r w:rsidR="000A5329" w:rsidRPr="002029AF">
        <w:t xml:space="preserve"> </w:t>
      </w:r>
      <w:r w:rsidRPr="002029AF">
        <w:t>innovative</w:t>
      </w:r>
      <w:r w:rsidR="000A5329" w:rsidRPr="002029AF">
        <w:t xml:space="preserve"> </w:t>
      </w:r>
      <w:r w:rsidRPr="002029AF">
        <w:t>entry</w:t>
      </w:r>
      <w:r w:rsidR="000A5329" w:rsidRPr="002029AF">
        <w:t xml:space="preserve"> </w:t>
      </w:r>
      <w:r w:rsidRPr="002029AF">
        <w:t>pathways</w:t>
      </w:r>
      <w:r w:rsidR="000A5329" w:rsidRPr="002029AF">
        <w:t xml:space="preserve"> </w:t>
      </w:r>
      <w:r w:rsidRPr="002029AF">
        <w:t>to</w:t>
      </w:r>
      <w:r w:rsidR="000A5329" w:rsidRPr="002029AF">
        <w:t xml:space="preserve"> </w:t>
      </w:r>
      <w:r w:rsidRPr="002029AF">
        <w:t>the</w:t>
      </w:r>
      <w:r w:rsidR="000A5329" w:rsidRPr="002029AF">
        <w:t xml:space="preserve"> </w:t>
      </w:r>
      <w:r w:rsidRPr="002029AF">
        <w:t>profession.</w:t>
      </w:r>
      <w:r w:rsidR="000A5329" w:rsidRPr="002029AF">
        <w:t xml:space="preserve"> </w:t>
      </w:r>
      <w:r w:rsidRPr="002029AF">
        <w:t>One</w:t>
      </w:r>
      <w:r w:rsidR="000A5329" w:rsidRPr="002029AF">
        <w:t xml:space="preserve"> </w:t>
      </w:r>
      <w:r w:rsidRPr="002029AF">
        <w:t>of</w:t>
      </w:r>
      <w:r w:rsidR="000A5329" w:rsidRPr="002029AF">
        <w:t xml:space="preserve"> </w:t>
      </w:r>
      <w:r w:rsidRPr="002029AF">
        <w:t>these</w:t>
      </w:r>
      <w:r w:rsidR="000A5329" w:rsidRPr="002029AF">
        <w:t xml:space="preserve"> </w:t>
      </w:r>
      <w:r w:rsidRPr="002029AF">
        <w:t>structured</w:t>
      </w:r>
      <w:r w:rsidR="00F3317C" w:rsidRPr="002029AF">
        <w:t>,</w:t>
      </w:r>
      <w:r w:rsidR="000A5329" w:rsidRPr="002029AF">
        <w:t xml:space="preserve"> </w:t>
      </w:r>
      <w:r w:rsidRPr="002029AF">
        <w:t>targeted</w:t>
      </w:r>
      <w:r w:rsidR="000A5329" w:rsidRPr="002029AF">
        <w:t xml:space="preserve"> </w:t>
      </w:r>
      <w:r w:rsidRPr="002029AF">
        <w:t>attraction</w:t>
      </w:r>
      <w:r w:rsidR="000A5329" w:rsidRPr="002029AF">
        <w:t xml:space="preserve"> </w:t>
      </w:r>
      <w:r w:rsidRPr="002029AF">
        <w:t>initiatives</w:t>
      </w:r>
      <w:r w:rsidR="000A5329" w:rsidRPr="002029AF">
        <w:t xml:space="preserve"> </w:t>
      </w:r>
      <w:r w:rsidRPr="002029AF">
        <w:t>introduced</w:t>
      </w:r>
      <w:r w:rsidR="000A5329" w:rsidRPr="002029AF">
        <w:t xml:space="preserve"> </w:t>
      </w:r>
      <w:r w:rsidRPr="002029AF">
        <w:t>in</w:t>
      </w:r>
      <w:r w:rsidR="000A5329" w:rsidRPr="002029AF">
        <w:t xml:space="preserve"> </w:t>
      </w:r>
      <w:r w:rsidRPr="002029AF">
        <w:t>201</w:t>
      </w:r>
      <w:r w:rsidR="00DB53E6" w:rsidRPr="002029AF">
        <w:t>9–</w:t>
      </w:r>
      <w:r w:rsidRPr="002029AF">
        <w:t>20</w:t>
      </w:r>
      <w:r w:rsidR="000A5329" w:rsidRPr="002029AF">
        <w:t xml:space="preserve"> </w:t>
      </w:r>
      <w:r w:rsidRPr="002029AF">
        <w:t>was</w:t>
      </w:r>
      <w:r w:rsidR="000A5329" w:rsidRPr="002029AF">
        <w:t xml:space="preserve"> </w:t>
      </w:r>
      <w:r w:rsidRPr="002029AF">
        <w:t>the</w:t>
      </w:r>
      <w:r w:rsidR="00EF3FCC">
        <w:t> </w:t>
      </w:r>
      <w:r w:rsidRPr="002029AF">
        <w:t>pilot</w:t>
      </w:r>
      <w:r w:rsidR="000A5329" w:rsidRPr="002029AF">
        <w:t xml:space="preserve"> </w:t>
      </w:r>
      <w:r w:rsidRPr="002029AF">
        <w:t>collaboration</w:t>
      </w:r>
      <w:r w:rsidR="000A5329" w:rsidRPr="002029AF">
        <w:t xml:space="preserve"> </w:t>
      </w:r>
      <w:r w:rsidRPr="002029AF">
        <w:t>between</w:t>
      </w:r>
      <w:r w:rsidR="000A5329" w:rsidRPr="002029AF">
        <w:t xml:space="preserve"> </w:t>
      </w:r>
      <w:r w:rsidR="00817C75" w:rsidRPr="002029AF">
        <w:t>the</w:t>
      </w:r>
      <w:r w:rsidR="000A5329" w:rsidRPr="002029AF">
        <w:t xml:space="preserve"> </w:t>
      </w:r>
      <w:r w:rsidR="00817C75" w:rsidRPr="002029AF">
        <w:t>department</w:t>
      </w:r>
      <w:r w:rsidRPr="002029AF">
        <w:t>,</w:t>
      </w:r>
      <w:r w:rsidR="000A5329" w:rsidRPr="002029AF">
        <w:t xml:space="preserve"> </w:t>
      </w:r>
      <w:r w:rsidRPr="002029AF">
        <w:t>McArthur</w:t>
      </w:r>
      <w:r w:rsidR="000A5329" w:rsidRPr="002029AF">
        <w:t xml:space="preserve"> </w:t>
      </w:r>
      <w:r w:rsidRPr="002029AF">
        <w:t>and</w:t>
      </w:r>
      <w:r w:rsidR="000A5329" w:rsidRPr="002029AF">
        <w:t xml:space="preserve"> </w:t>
      </w:r>
      <w:r w:rsidRPr="002029AF">
        <w:t>the</w:t>
      </w:r>
      <w:r w:rsidR="000A5329" w:rsidRPr="002029AF">
        <w:t xml:space="preserve"> </w:t>
      </w:r>
      <w:r w:rsidRPr="002029AF">
        <w:t>University</w:t>
      </w:r>
      <w:r w:rsidR="000A5329" w:rsidRPr="002029AF">
        <w:t xml:space="preserve"> </w:t>
      </w:r>
      <w:r w:rsidRPr="002029AF">
        <w:t>of</w:t>
      </w:r>
      <w:r w:rsidR="000A5329" w:rsidRPr="002029AF">
        <w:t xml:space="preserve"> </w:t>
      </w:r>
      <w:r w:rsidRPr="002029AF">
        <w:t>Southern</w:t>
      </w:r>
      <w:r w:rsidR="000A5329" w:rsidRPr="002029AF">
        <w:t xml:space="preserve"> </w:t>
      </w:r>
      <w:r w:rsidRPr="002029AF">
        <w:t>California</w:t>
      </w:r>
      <w:r w:rsidR="000A5329" w:rsidRPr="002029AF">
        <w:t xml:space="preserve"> </w:t>
      </w:r>
      <w:r w:rsidRPr="002029AF">
        <w:t>to</w:t>
      </w:r>
      <w:r w:rsidR="000A5329" w:rsidRPr="002029AF">
        <w:t xml:space="preserve"> </w:t>
      </w:r>
      <w:r w:rsidRPr="002029AF">
        <w:t>specifically</w:t>
      </w:r>
      <w:r w:rsidR="000A5329" w:rsidRPr="002029AF">
        <w:t xml:space="preserve"> </w:t>
      </w:r>
      <w:r w:rsidRPr="002029AF">
        <w:t>recruit</w:t>
      </w:r>
      <w:r w:rsidR="000A5329" w:rsidRPr="002029AF">
        <w:t xml:space="preserve"> </w:t>
      </w:r>
      <w:r w:rsidRPr="002029AF">
        <w:t>advanced</w:t>
      </w:r>
      <w:r w:rsidR="000A5329" w:rsidRPr="002029AF">
        <w:t xml:space="preserve"> </w:t>
      </w:r>
      <w:r w:rsidRPr="002029AF">
        <w:t>and</w:t>
      </w:r>
      <w:r w:rsidR="000A5329" w:rsidRPr="002029AF">
        <w:t xml:space="preserve"> </w:t>
      </w:r>
      <w:r w:rsidRPr="002029AF">
        <w:t>senior</w:t>
      </w:r>
      <w:r w:rsidR="000A5329" w:rsidRPr="002029AF">
        <w:t xml:space="preserve"> </w:t>
      </w:r>
      <w:r w:rsidRPr="002029AF">
        <w:t>child</w:t>
      </w:r>
      <w:r w:rsidR="000A5329" w:rsidRPr="002029AF">
        <w:t xml:space="preserve"> </w:t>
      </w:r>
      <w:r w:rsidRPr="002029AF">
        <w:t>protection</w:t>
      </w:r>
      <w:r w:rsidR="000A5329" w:rsidRPr="002029AF">
        <w:t xml:space="preserve"> </w:t>
      </w:r>
      <w:r w:rsidRPr="002029AF">
        <w:t>practitioners</w:t>
      </w:r>
      <w:r w:rsidR="000A5329" w:rsidRPr="002029AF">
        <w:t xml:space="preserve"> </w:t>
      </w:r>
      <w:r w:rsidRPr="002029AF">
        <w:t>into</w:t>
      </w:r>
      <w:r w:rsidR="000A5329" w:rsidRPr="002029AF">
        <w:t xml:space="preserve"> </w:t>
      </w:r>
      <w:r w:rsidRPr="002029AF">
        <w:t>regional</w:t>
      </w:r>
      <w:r w:rsidR="000A5329" w:rsidRPr="002029AF">
        <w:t xml:space="preserve"> </w:t>
      </w:r>
      <w:r w:rsidRPr="002029AF">
        <w:t>and</w:t>
      </w:r>
      <w:r w:rsidR="000A5329" w:rsidRPr="002029AF">
        <w:t xml:space="preserve"> </w:t>
      </w:r>
      <w:r w:rsidRPr="002029AF">
        <w:t>rural</w:t>
      </w:r>
      <w:r w:rsidR="000A5329" w:rsidRPr="002029AF">
        <w:t xml:space="preserve"> </w:t>
      </w:r>
      <w:r w:rsidRPr="002029AF">
        <w:t>offices.</w:t>
      </w:r>
      <w:r w:rsidR="000A5329" w:rsidRPr="002029AF">
        <w:t xml:space="preserve"> </w:t>
      </w:r>
      <w:r w:rsidRPr="002029AF">
        <w:t>Through</w:t>
      </w:r>
      <w:r w:rsidR="000A5329" w:rsidRPr="002029AF">
        <w:t xml:space="preserve"> </w:t>
      </w:r>
      <w:r w:rsidRPr="002029AF">
        <w:t>this</w:t>
      </w:r>
      <w:r w:rsidR="000A5329" w:rsidRPr="002029AF">
        <w:t xml:space="preserve"> </w:t>
      </w:r>
      <w:r w:rsidRPr="002029AF">
        <w:t>pilot,</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acquired</w:t>
      </w:r>
      <w:r w:rsidR="000A5329" w:rsidRPr="002029AF">
        <w:t xml:space="preserve"> </w:t>
      </w:r>
      <w:r w:rsidR="004D3DB4" w:rsidRPr="002029AF">
        <w:t>four</w:t>
      </w:r>
      <w:r w:rsidR="000A5329" w:rsidRPr="002029AF">
        <w:t xml:space="preserve"> </w:t>
      </w:r>
      <w:r w:rsidRPr="002029AF">
        <w:t>highly</w:t>
      </w:r>
      <w:r w:rsidR="000A5329" w:rsidRPr="002029AF">
        <w:t xml:space="preserve"> </w:t>
      </w:r>
      <w:r w:rsidRPr="002029AF">
        <w:t>skilled</w:t>
      </w:r>
      <w:r w:rsidR="000A5329" w:rsidRPr="002029AF">
        <w:t xml:space="preserve"> </w:t>
      </w:r>
      <w:r w:rsidRPr="002029AF">
        <w:t>and</w:t>
      </w:r>
      <w:r w:rsidR="000A5329" w:rsidRPr="002029AF">
        <w:t xml:space="preserve"> </w:t>
      </w:r>
      <w:r w:rsidRPr="002029AF">
        <w:t>experienced</w:t>
      </w:r>
      <w:r w:rsidR="000A5329" w:rsidRPr="002029AF">
        <w:t xml:space="preserve"> </w:t>
      </w:r>
      <w:r w:rsidRPr="002029AF">
        <w:t>social</w:t>
      </w:r>
      <w:r w:rsidR="000A5329" w:rsidRPr="002029AF">
        <w:t xml:space="preserve"> </w:t>
      </w:r>
      <w:r w:rsidRPr="002029AF">
        <w:t>workers</w:t>
      </w:r>
      <w:r w:rsidR="000A5329" w:rsidRPr="002029AF">
        <w:t xml:space="preserve"> </w:t>
      </w:r>
      <w:r w:rsidRPr="002029AF">
        <w:t>with</w:t>
      </w:r>
      <w:r w:rsidR="000A5329" w:rsidRPr="002029AF">
        <w:t xml:space="preserve"> </w:t>
      </w:r>
      <w:r w:rsidRPr="002029AF">
        <w:t>strong</w:t>
      </w:r>
      <w:r w:rsidR="000A5329" w:rsidRPr="002029AF">
        <w:t xml:space="preserve"> </w:t>
      </w:r>
      <w:r w:rsidRPr="002029AF">
        <w:t>backgrounds</w:t>
      </w:r>
      <w:r w:rsidR="000A5329" w:rsidRPr="002029AF">
        <w:t xml:space="preserve"> </w:t>
      </w:r>
      <w:r w:rsidRPr="002029AF">
        <w:t>in</w:t>
      </w:r>
      <w:r w:rsidR="000A5329" w:rsidRPr="002029AF">
        <w:t xml:space="preserve"> </w:t>
      </w:r>
      <w:r w:rsidRPr="002029AF">
        <w:t>child</w:t>
      </w:r>
      <w:r w:rsidR="000A5329" w:rsidRPr="002029AF">
        <w:t xml:space="preserve"> </w:t>
      </w:r>
      <w:r w:rsidRPr="002029AF">
        <w:t>welfare</w:t>
      </w:r>
      <w:r w:rsidR="000A5329" w:rsidRPr="002029AF">
        <w:t xml:space="preserve"> </w:t>
      </w:r>
      <w:r w:rsidRPr="002029AF">
        <w:t>and</w:t>
      </w:r>
      <w:r w:rsidR="000A5329" w:rsidRPr="002029AF">
        <w:t xml:space="preserve"> </w:t>
      </w:r>
      <w:r w:rsidRPr="002029AF">
        <w:t>mental</w:t>
      </w:r>
      <w:r w:rsidR="000A5329" w:rsidRPr="002029AF">
        <w:t xml:space="preserve"> </w:t>
      </w:r>
      <w:r w:rsidRPr="002029AF">
        <w:t>health</w:t>
      </w:r>
      <w:r w:rsidR="00233C48" w:rsidRPr="002029AF">
        <w:t> </w:t>
      </w:r>
      <w:r w:rsidRPr="002029AF">
        <w:t>who</w:t>
      </w:r>
      <w:r w:rsidR="000A5329" w:rsidRPr="002029AF">
        <w:t xml:space="preserve"> </w:t>
      </w:r>
      <w:r w:rsidRPr="002029AF">
        <w:t>have</w:t>
      </w:r>
      <w:r w:rsidR="000A5329" w:rsidRPr="002029AF">
        <w:t xml:space="preserve"> </w:t>
      </w:r>
      <w:r w:rsidRPr="002029AF">
        <w:t>been</w:t>
      </w:r>
      <w:r w:rsidR="000A5329" w:rsidRPr="002029AF">
        <w:t xml:space="preserve"> </w:t>
      </w:r>
      <w:r w:rsidRPr="002029AF">
        <w:t>placed</w:t>
      </w:r>
      <w:r w:rsidR="000A5329" w:rsidRPr="002029AF">
        <w:t xml:space="preserve"> </w:t>
      </w:r>
      <w:r w:rsidRPr="002029AF">
        <w:t>into</w:t>
      </w:r>
      <w:r w:rsidR="000A5329" w:rsidRPr="002029AF">
        <w:t xml:space="preserve"> </w:t>
      </w:r>
      <w:r w:rsidRPr="002029AF">
        <w:t>various</w:t>
      </w:r>
      <w:r w:rsidR="000A5329" w:rsidRPr="002029AF">
        <w:t xml:space="preserve"> </w:t>
      </w:r>
      <w:r w:rsidRPr="002029AF">
        <w:t>regional</w:t>
      </w:r>
      <w:r w:rsidR="000A5329" w:rsidRPr="002029AF">
        <w:t xml:space="preserve"> </w:t>
      </w:r>
      <w:r w:rsidRPr="002029AF">
        <w:t>and</w:t>
      </w:r>
      <w:r w:rsidR="000A5329" w:rsidRPr="002029AF">
        <w:t xml:space="preserve"> </w:t>
      </w:r>
      <w:r w:rsidRPr="002029AF">
        <w:t>rural</w:t>
      </w:r>
      <w:r w:rsidR="000A5329" w:rsidRPr="002029AF">
        <w:t xml:space="preserve"> </w:t>
      </w:r>
      <w:r w:rsidRPr="002029AF">
        <w:t>offices</w:t>
      </w:r>
      <w:r w:rsidR="000A5329" w:rsidRPr="002029AF">
        <w:t xml:space="preserve"> </w:t>
      </w:r>
      <w:r w:rsidRPr="002029AF">
        <w:t>throughout</w:t>
      </w:r>
      <w:r w:rsidR="000A5329" w:rsidRPr="002029AF">
        <w:t xml:space="preserve"> </w:t>
      </w:r>
      <w:r w:rsidRPr="002029AF">
        <w:t>Victoria.</w:t>
      </w:r>
    </w:p>
    <w:p w14:paraId="368A35DB" w14:textId="432319AC" w:rsidR="00CF72D5" w:rsidRPr="002029AF" w:rsidRDefault="004D3DB4" w:rsidP="001E768A">
      <w:pPr>
        <w:pStyle w:val="ARbody"/>
      </w:pPr>
      <w:r w:rsidRPr="002029AF">
        <w:rPr>
          <w:szCs w:val="20"/>
        </w:rPr>
        <w:t>The</w:t>
      </w:r>
      <w:r w:rsidR="000A5329" w:rsidRPr="002029AF">
        <w:rPr>
          <w:szCs w:val="20"/>
        </w:rPr>
        <w:t xml:space="preserve"> </w:t>
      </w:r>
      <w:r w:rsidRPr="002029AF">
        <w:rPr>
          <w:szCs w:val="20"/>
        </w:rPr>
        <w:t>pilot</w:t>
      </w:r>
      <w:r w:rsidR="000A5329" w:rsidRPr="002029AF">
        <w:rPr>
          <w:szCs w:val="20"/>
        </w:rPr>
        <w:t xml:space="preserve"> </w:t>
      </w:r>
      <w:r w:rsidR="006D38CE" w:rsidRPr="002029AF">
        <w:rPr>
          <w:szCs w:val="20"/>
        </w:rPr>
        <w:t>also</w:t>
      </w:r>
      <w:r w:rsidR="000A5329" w:rsidRPr="002029AF">
        <w:rPr>
          <w:szCs w:val="20"/>
        </w:rPr>
        <w:t xml:space="preserve"> </w:t>
      </w:r>
      <w:r w:rsidR="00CF72D5" w:rsidRPr="002029AF">
        <w:rPr>
          <w:szCs w:val="20"/>
        </w:rPr>
        <w:t>allowed</w:t>
      </w:r>
      <w:r w:rsidR="000A5329" w:rsidRPr="002029AF">
        <w:rPr>
          <w:szCs w:val="20"/>
        </w:rPr>
        <w:t xml:space="preserve"> </w:t>
      </w:r>
      <w:r w:rsidR="00CF72D5" w:rsidRPr="002029AF">
        <w:rPr>
          <w:szCs w:val="20"/>
        </w:rPr>
        <w:t>the</w:t>
      </w:r>
      <w:r w:rsidR="000A5329" w:rsidRPr="002029AF">
        <w:rPr>
          <w:szCs w:val="20"/>
        </w:rPr>
        <w:t xml:space="preserve"> </w:t>
      </w:r>
      <w:r w:rsidR="00CF72D5" w:rsidRPr="002029AF">
        <w:rPr>
          <w:szCs w:val="20"/>
        </w:rPr>
        <w:t>department</w:t>
      </w:r>
      <w:r w:rsidR="000A5329" w:rsidRPr="002029AF">
        <w:rPr>
          <w:szCs w:val="20"/>
        </w:rPr>
        <w:t xml:space="preserve"> </w:t>
      </w:r>
      <w:r w:rsidR="00CF72D5" w:rsidRPr="002029AF">
        <w:rPr>
          <w:szCs w:val="20"/>
        </w:rPr>
        <w:t>to</w:t>
      </w:r>
      <w:r w:rsidR="000A5329" w:rsidRPr="002029AF">
        <w:rPr>
          <w:szCs w:val="20"/>
        </w:rPr>
        <w:t xml:space="preserve"> </w:t>
      </w:r>
      <w:r w:rsidR="00CF72D5" w:rsidRPr="002029AF">
        <w:rPr>
          <w:szCs w:val="20"/>
        </w:rPr>
        <w:t>strengthen</w:t>
      </w:r>
      <w:r w:rsidR="000A5329" w:rsidRPr="002029AF">
        <w:rPr>
          <w:szCs w:val="20"/>
        </w:rPr>
        <w:t xml:space="preserve"> </w:t>
      </w:r>
      <w:r w:rsidR="00CF72D5" w:rsidRPr="002029AF">
        <w:rPr>
          <w:szCs w:val="20"/>
        </w:rPr>
        <w:t>its</w:t>
      </w:r>
      <w:r w:rsidR="000A5329" w:rsidRPr="002029AF">
        <w:rPr>
          <w:szCs w:val="20"/>
        </w:rPr>
        <w:t xml:space="preserve"> </w:t>
      </w:r>
      <w:r w:rsidR="00CF72D5" w:rsidRPr="002029AF">
        <w:rPr>
          <w:szCs w:val="20"/>
        </w:rPr>
        <w:t>ability</w:t>
      </w:r>
      <w:r w:rsidR="000A5329" w:rsidRPr="002029AF">
        <w:rPr>
          <w:szCs w:val="20"/>
        </w:rPr>
        <w:t xml:space="preserve"> </w:t>
      </w:r>
      <w:r w:rsidR="00CF72D5" w:rsidRPr="002029AF">
        <w:rPr>
          <w:szCs w:val="20"/>
        </w:rPr>
        <w:t>to</w:t>
      </w:r>
      <w:r w:rsidR="000A5329" w:rsidRPr="002029AF">
        <w:rPr>
          <w:szCs w:val="20"/>
        </w:rPr>
        <w:t xml:space="preserve"> </w:t>
      </w:r>
      <w:r w:rsidR="00CF72D5" w:rsidRPr="002029AF">
        <w:rPr>
          <w:szCs w:val="20"/>
        </w:rPr>
        <w:t>attract</w:t>
      </w:r>
      <w:r w:rsidR="000A5329" w:rsidRPr="002029AF">
        <w:rPr>
          <w:szCs w:val="20"/>
        </w:rPr>
        <w:t xml:space="preserve"> </w:t>
      </w:r>
      <w:r w:rsidR="00CF72D5" w:rsidRPr="002029AF">
        <w:rPr>
          <w:szCs w:val="20"/>
        </w:rPr>
        <w:t>and</w:t>
      </w:r>
      <w:r w:rsidR="000A5329" w:rsidRPr="002029AF">
        <w:rPr>
          <w:szCs w:val="20"/>
        </w:rPr>
        <w:t xml:space="preserve"> </w:t>
      </w:r>
      <w:r w:rsidR="00CF72D5" w:rsidRPr="002029AF">
        <w:rPr>
          <w:szCs w:val="20"/>
        </w:rPr>
        <w:t>recruit</w:t>
      </w:r>
      <w:r w:rsidR="000A5329" w:rsidRPr="002029AF">
        <w:rPr>
          <w:szCs w:val="20"/>
        </w:rPr>
        <w:t xml:space="preserve"> </w:t>
      </w:r>
      <w:r w:rsidR="00CF72D5" w:rsidRPr="002029AF">
        <w:rPr>
          <w:szCs w:val="20"/>
        </w:rPr>
        <w:t>a</w:t>
      </w:r>
      <w:r w:rsidR="000A5329" w:rsidRPr="002029AF">
        <w:rPr>
          <w:szCs w:val="20"/>
        </w:rPr>
        <w:t xml:space="preserve"> </w:t>
      </w:r>
      <w:r w:rsidR="00CF72D5" w:rsidRPr="002029AF">
        <w:rPr>
          <w:szCs w:val="20"/>
        </w:rPr>
        <w:t>workforce</w:t>
      </w:r>
      <w:r w:rsidR="000A5329" w:rsidRPr="002029AF">
        <w:rPr>
          <w:szCs w:val="20"/>
        </w:rPr>
        <w:t xml:space="preserve"> </w:t>
      </w:r>
      <w:r w:rsidR="00CF72D5" w:rsidRPr="002029AF">
        <w:rPr>
          <w:szCs w:val="20"/>
        </w:rPr>
        <w:t>that</w:t>
      </w:r>
      <w:r w:rsidR="000A5329" w:rsidRPr="002029AF">
        <w:rPr>
          <w:szCs w:val="20"/>
        </w:rPr>
        <w:t xml:space="preserve"> </w:t>
      </w:r>
      <w:r w:rsidR="00CF72D5" w:rsidRPr="002029AF">
        <w:rPr>
          <w:szCs w:val="20"/>
        </w:rPr>
        <w:t>can</w:t>
      </w:r>
      <w:r w:rsidR="000A5329" w:rsidRPr="002029AF">
        <w:rPr>
          <w:szCs w:val="20"/>
        </w:rPr>
        <w:t xml:space="preserve"> </w:t>
      </w:r>
      <w:r w:rsidR="00CF72D5" w:rsidRPr="002029AF">
        <w:rPr>
          <w:szCs w:val="20"/>
        </w:rPr>
        <w:t>meet</w:t>
      </w:r>
      <w:r w:rsidR="000A5329" w:rsidRPr="002029AF">
        <w:rPr>
          <w:szCs w:val="20"/>
        </w:rPr>
        <w:t xml:space="preserve"> </w:t>
      </w:r>
      <w:r w:rsidR="00CF72D5" w:rsidRPr="002029AF">
        <w:rPr>
          <w:szCs w:val="20"/>
        </w:rPr>
        <w:t>statewide</w:t>
      </w:r>
      <w:r w:rsidR="000A5329" w:rsidRPr="002029AF">
        <w:rPr>
          <w:szCs w:val="20"/>
        </w:rPr>
        <w:t xml:space="preserve"> </w:t>
      </w:r>
      <w:r w:rsidR="00CF72D5" w:rsidRPr="002029AF">
        <w:rPr>
          <w:szCs w:val="20"/>
        </w:rPr>
        <w:t>and</w:t>
      </w:r>
      <w:r w:rsidR="000A5329" w:rsidRPr="002029AF">
        <w:rPr>
          <w:szCs w:val="20"/>
        </w:rPr>
        <w:t xml:space="preserve"> </w:t>
      </w:r>
      <w:r w:rsidR="00CF72D5" w:rsidRPr="002029AF">
        <w:rPr>
          <w:szCs w:val="20"/>
        </w:rPr>
        <w:t>local</w:t>
      </w:r>
      <w:r w:rsidR="000A5329" w:rsidRPr="002029AF">
        <w:rPr>
          <w:szCs w:val="20"/>
        </w:rPr>
        <w:t xml:space="preserve"> </w:t>
      </w:r>
      <w:r w:rsidR="00CF72D5" w:rsidRPr="002029AF">
        <w:rPr>
          <w:szCs w:val="20"/>
        </w:rPr>
        <w:t>requirements</w:t>
      </w:r>
      <w:r w:rsidR="000A5329" w:rsidRPr="002029AF">
        <w:rPr>
          <w:szCs w:val="20"/>
        </w:rPr>
        <w:t xml:space="preserve"> </w:t>
      </w:r>
      <w:r w:rsidR="00CF72D5" w:rsidRPr="002029AF">
        <w:rPr>
          <w:szCs w:val="20"/>
        </w:rPr>
        <w:t>across</w:t>
      </w:r>
      <w:r w:rsidR="000A5329" w:rsidRPr="002029AF">
        <w:rPr>
          <w:szCs w:val="20"/>
        </w:rPr>
        <w:t xml:space="preserve"> </w:t>
      </w:r>
      <w:r w:rsidR="00CF72D5" w:rsidRPr="002029AF">
        <w:rPr>
          <w:szCs w:val="20"/>
        </w:rPr>
        <w:t>all</w:t>
      </w:r>
      <w:r w:rsidR="000A5329" w:rsidRPr="002029AF">
        <w:rPr>
          <w:szCs w:val="20"/>
        </w:rPr>
        <w:t xml:space="preserve"> </w:t>
      </w:r>
      <w:r w:rsidR="00CF72D5" w:rsidRPr="002029AF">
        <w:rPr>
          <w:szCs w:val="20"/>
        </w:rPr>
        <w:t>practitioner</w:t>
      </w:r>
      <w:r w:rsidR="000A5329" w:rsidRPr="002029AF">
        <w:rPr>
          <w:szCs w:val="20"/>
        </w:rPr>
        <w:t xml:space="preserve"> </w:t>
      </w:r>
      <w:r w:rsidR="00CF72D5" w:rsidRPr="002029AF">
        <w:rPr>
          <w:szCs w:val="20"/>
        </w:rPr>
        <w:t>levels,</w:t>
      </w:r>
      <w:r w:rsidR="000A5329" w:rsidRPr="002029AF">
        <w:rPr>
          <w:szCs w:val="20"/>
        </w:rPr>
        <w:t xml:space="preserve"> </w:t>
      </w:r>
      <w:r w:rsidR="00CF72D5" w:rsidRPr="002029AF">
        <w:rPr>
          <w:szCs w:val="20"/>
        </w:rPr>
        <w:t>supported</w:t>
      </w:r>
      <w:r w:rsidR="000A5329" w:rsidRPr="002029AF">
        <w:rPr>
          <w:szCs w:val="20"/>
        </w:rPr>
        <w:t xml:space="preserve"> </w:t>
      </w:r>
      <w:r w:rsidR="00CF72D5" w:rsidRPr="002029AF">
        <w:rPr>
          <w:szCs w:val="20"/>
        </w:rPr>
        <w:t>by</w:t>
      </w:r>
      <w:r w:rsidR="000A5329" w:rsidRPr="002029AF">
        <w:rPr>
          <w:szCs w:val="20"/>
        </w:rPr>
        <w:t xml:space="preserve"> </w:t>
      </w:r>
      <w:r w:rsidR="00CF72D5" w:rsidRPr="002029AF">
        <w:rPr>
          <w:szCs w:val="20"/>
        </w:rPr>
        <w:t>tailored</w:t>
      </w:r>
      <w:r w:rsidR="000A5329" w:rsidRPr="002029AF">
        <w:rPr>
          <w:szCs w:val="20"/>
        </w:rPr>
        <w:t xml:space="preserve"> </w:t>
      </w:r>
      <w:r w:rsidR="00CF72D5" w:rsidRPr="002029AF">
        <w:rPr>
          <w:rFonts w:cs="Times New Roman"/>
          <w:szCs w:val="20"/>
        </w:rPr>
        <w:t>attraction</w:t>
      </w:r>
      <w:r w:rsidR="000A5329" w:rsidRPr="002029AF">
        <w:rPr>
          <w:rFonts w:cs="Times New Roman"/>
          <w:szCs w:val="20"/>
        </w:rPr>
        <w:t xml:space="preserve"> </w:t>
      </w:r>
      <w:r w:rsidR="00CF72D5" w:rsidRPr="002029AF">
        <w:rPr>
          <w:rFonts w:cs="Times New Roman"/>
          <w:szCs w:val="20"/>
        </w:rPr>
        <w:t>strategies</w:t>
      </w:r>
      <w:r w:rsidR="000A5329" w:rsidRPr="002029AF">
        <w:rPr>
          <w:rFonts w:cs="Times New Roman"/>
          <w:szCs w:val="20"/>
        </w:rPr>
        <w:t xml:space="preserve"> </w:t>
      </w:r>
      <w:r w:rsidR="00CF72D5" w:rsidRPr="002029AF">
        <w:rPr>
          <w:rFonts w:cs="Times New Roman"/>
          <w:szCs w:val="20"/>
        </w:rPr>
        <w:t>and</w:t>
      </w:r>
      <w:r w:rsidR="00233C48" w:rsidRPr="002029AF">
        <w:rPr>
          <w:rFonts w:cs="Times New Roman"/>
          <w:szCs w:val="20"/>
        </w:rPr>
        <w:t> </w:t>
      </w:r>
      <w:r w:rsidR="00CF72D5" w:rsidRPr="002029AF">
        <w:rPr>
          <w:rFonts w:cs="Times New Roman"/>
          <w:szCs w:val="20"/>
        </w:rPr>
        <w:t>candidate</w:t>
      </w:r>
      <w:r w:rsidR="000A5329" w:rsidRPr="002029AF">
        <w:rPr>
          <w:rFonts w:cs="Times New Roman"/>
          <w:szCs w:val="20"/>
        </w:rPr>
        <w:t xml:space="preserve"> </w:t>
      </w:r>
      <w:r w:rsidR="00CF72D5" w:rsidRPr="002029AF">
        <w:rPr>
          <w:rFonts w:cs="Times New Roman"/>
          <w:szCs w:val="20"/>
        </w:rPr>
        <w:t>care.</w:t>
      </w:r>
    </w:p>
    <w:p w14:paraId="6F40E341" w14:textId="45F63748" w:rsidR="00CF72D5" w:rsidRPr="002029AF" w:rsidRDefault="00CF72D5" w:rsidP="00897193">
      <w:pPr>
        <w:pStyle w:val="Heading3"/>
      </w:pPr>
      <w:r w:rsidRPr="002029AF">
        <w:t>Workforce</w:t>
      </w:r>
      <w:r w:rsidR="000A5329" w:rsidRPr="002029AF">
        <w:t xml:space="preserve"> </w:t>
      </w:r>
      <w:r w:rsidRPr="002029AF">
        <w:t>inclusion</w:t>
      </w:r>
      <w:r w:rsidR="000A5329" w:rsidRPr="002029AF">
        <w:t xml:space="preserve"> </w:t>
      </w:r>
      <w:r w:rsidRPr="002029AF">
        <w:t>policy</w:t>
      </w:r>
    </w:p>
    <w:p w14:paraId="6C9987CA" w14:textId="79AB4D47" w:rsidR="000A5329" w:rsidRPr="002029AF" w:rsidRDefault="00CF72D5" w:rsidP="00897193">
      <w:pPr>
        <w:pStyle w:val="ARbody"/>
      </w:pPr>
      <w:r w:rsidRPr="002029AF">
        <w:t>The</w:t>
      </w:r>
      <w:r w:rsidR="000A5329" w:rsidRPr="002029AF">
        <w:t xml:space="preserve"> </w:t>
      </w:r>
      <w:r w:rsidRPr="002029AF">
        <w:t>department</w:t>
      </w:r>
      <w:r w:rsidR="000A5329" w:rsidRPr="002029AF">
        <w:t xml:space="preserve"> </w:t>
      </w:r>
      <w:r w:rsidRPr="002029AF">
        <w:t>continues</w:t>
      </w:r>
      <w:r w:rsidR="000A5329" w:rsidRPr="002029AF">
        <w:t xml:space="preserve"> </w:t>
      </w:r>
      <w:r w:rsidRPr="002029AF">
        <w:t>to</w:t>
      </w:r>
      <w:r w:rsidR="000A5329" w:rsidRPr="002029AF">
        <w:t xml:space="preserve"> </w:t>
      </w:r>
      <w:r w:rsidRPr="002029AF">
        <w:t>attract</w:t>
      </w:r>
      <w:r w:rsidR="000A5329" w:rsidRPr="002029AF">
        <w:t xml:space="preserve"> </w:t>
      </w:r>
      <w:r w:rsidRPr="002029AF">
        <w:t>the</w:t>
      </w:r>
      <w:r w:rsidR="000A5329" w:rsidRPr="002029AF">
        <w:t xml:space="preserve"> </w:t>
      </w:r>
      <w:r w:rsidRPr="002029AF">
        <w:t>most</w:t>
      </w:r>
      <w:r w:rsidR="000A5329" w:rsidRPr="002029AF">
        <w:t xml:space="preserve"> </w:t>
      </w:r>
      <w:r w:rsidRPr="002029AF">
        <w:t>capable</w:t>
      </w:r>
      <w:r w:rsidR="000A5329" w:rsidRPr="002029AF">
        <w:t xml:space="preserve"> </w:t>
      </w:r>
      <w:r w:rsidRPr="002029AF">
        <w:t>people</w:t>
      </w:r>
      <w:r w:rsidR="000A5329" w:rsidRPr="002029AF">
        <w:t xml:space="preserve"> </w:t>
      </w:r>
      <w:r w:rsidRPr="002029AF">
        <w:t>to</w:t>
      </w:r>
      <w:r w:rsidR="000A5329" w:rsidRPr="002029AF">
        <w:t xml:space="preserve"> </w:t>
      </w:r>
      <w:r w:rsidRPr="002029AF">
        <w:t>build</w:t>
      </w:r>
      <w:r w:rsidR="000A5329" w:rsidRPr="002029AF">
        <w:t xml:space="preserve"> </w:t>
      </w:r>
      <w:r w:rsidRPr="002029AF">
        <w:t>an</w:t>
      </w:r>
      <w:r w:rsidR="000A5329" w:rsidRPr="002029AF">
        <w:t xml:space="preserve"> </w:t>
      </w:r>
      <w:r w:rsidRPr="002029AF">
        <w:t>exceptional,</w:t>
      </w:r>
      <w:r w:rsidR="000A5329" w:rsidRPr="002029AF">
        <w:t xml:space="preserve"> </w:t>
      </w:r>
      <w:r w:rsidRPr="002029AF">
        <w:t>diverse</w:t>
      </w:r>
      <w:r w:rsidR="000A5329" w:rsidRPr="002029AF">
        <w:t xml:space="preserve"> </w:t>
      </w:r>
      <w:r w:rsidRPr="002029AF">
        <w:t>and</w:t>
      </w:r>
      <w:r w:rsidR="00EF3FCC">
        <w:t> </w:t>
      </w:r>
      <w:r w:rsidRPr="002029AF">
        <w:t>culturally</w:t>
      </w:r>
      <w:r w:rsidR="000A5329" w:rsidRPr="002029AF">
        <w:t xml:space="preserve"> </w:t>
      </w:r>
      <w:r w:rsidRPr="002029AF">
        <w:t>safe</w:t>
      </w:r>
      <w:r w:rsidR="000A5329" w:rsidRPr="002029AF">
        <w:t xml:space="preserve"> </w:t>
      </w:r>
      <w:r w:rsidRPr="002029AF">
        <w:t>workplace.</w:t>
      </w:r>
    </w:p>
    <w:p w14:paraId="44E37796" w14:textId="656F9AA5" w:rsidR="00380DF7" w:rsidRDefault="00CF72D5" w:rsidP="00897193">
      <w:pPr>
        <w:pStyle w:val="ARbody"/>
        <w:rPr>
          <w:rFonts w:cs="Times New Roman"/>
          <w:szCs w:val="20"/>
        </w:rPr>
      </w:pPr>
      <w:r w:rsidRPr="002029AF">
        <w:t>We</w:t>
      </w:r>
      <w:r w:rsidR="000A5329" w:rsidRPr="002029AF">
        <w:t xml:space="preserve"> </w:t>
      </w:r>
      <w:r w:rsidRPr="002029AF">
        <w:t>are</w:t>
      </w:r>
      <w:r w:rsidR="000A5329" w:rsidRPr="002029AF">
        <w:t xml:space="preserve"> </w:t>
      </w:r>
      <w:r w:rsidRPr="002029AF">
        <w:t>developing</w:t>
      </w:r>
      <w:r w:rsidR="000A5329" w:rsidRPr="002029AF">
        <w:t xml:space="preserve"> </w:t>
      </w:r>
      <w:r w:rsidRPr="002029AF">
        <w:t>a</w:t>
      </w:r>
      <w:r w:rsidR="000A5329" w:rsidRPr="002029AF">
        <w:t xml:space="preserve"> </w:t>
      </w:r>
      <w:r w:rsidRPr="002029AF">
        <w:t>workforce</w:t>
      </w:r>
      <w:r w:rsidR="000A5329" w:rsidRPr="002029AF">
        <w:t xml:space="preserve"> </w:t>
      </w:r>
      <w:r w:rsidRPr="002029AF">
        <w:t>that</w:t>
      </w:r>
      <w:r w:rsidR="000A5329" w:rsidRPr="002029AF">
        <w:t xml:space="preserve"> </w:t>
      </w:r>
      <w:r w:rsidRPr="002029AF">
        <w:t>reflects</w:t>
      </w:r>
      <w:r w:rsidR="000A5329" w:rsidRPr="002029AF">
        <w:t xml:space="preserve"> </w:t>
      </w:r>
      <w:r w:rsidRPr="002029AF">
        <w:t>the</w:t>
      </w:r>
      <w:r w:rsidR="000A5329" w:rsidRPr="002029AF">
        <w:t xml:space="preserve"> </w:t>
      </w:r>
      <w:r w:rsidRPr="002029AF">
        <w:t>communities</w:t>
      </w:r>
      <w:r w:rsidR="000A5329" w:rsidRPr="002029AF">
        <w:t xml:space="preserve"> </w:t>
      </w:r>
      <w:r w:rsidRPr="002029AF">
        <w:t>we</w:t>
      </w:r>
      <w:r w:rsidR="000A5329" w:rsidRPr="002029AF">
        <w:t xml:space="preserve"> </w:t>
      </w:r>
      <w:r w:rsidRPr="002029AF">
        <w:t>serve.</w:t>
      </w:r>
      <w:r w:rsidR="000A5329" w:rsidRPr="002029AF">
        <w:t xml:space="preserve"> </w:t>
      </w:r>
      <w:r w:rsidRPr="002029AF">
        <w:t>We</w:t>
      </w:r>
      <w:r w:rsidR="000A5329" w:rsidRPr="002029AF">
        <w:t xml:space="preserve"> </w:t>
      </w:r>
      <w:r w:rsidRPr="002029AF">
        <w:t>recognise</w:t>
      </w:r>
      <w:r w:rsidR="000A5329" w:rsidRPr="002029AF">
        <w:t xml:space="preserve"> </w:t>
      </w:r>
      <w:r w:rsidRPr="002029AF">
        <w:t>and</w:t>
      </w:r>
      <w:r w:rsidR="000A5329" w:rsidRPr="002029AF">
        <w:t xml:space="preserve"> </w:t>
      </w:r>
      <w:r w:rsidRPr="002029AF">
        <w:t>value</w:t>
      </w:r>
      <w:r w:rsidR="000A5329" w:rsidRPr="002029AF">
        <w:t xml:space="preserve"> </w:t>
      </w:r>
      <w:r w:rsidRPr="002029AF">
        <w:t>the</w:t>
      </w:r>
      <w:r w:rsidR="00EF3FCC">
        <w:t> </w:t>
      </w:r>
      <w:r w:rsidRPr="002029AF">
        <w:t>diverse</w:t>
      </w:r>
      <w:r w:rsidR="000A5329" w:rsidRPr="002029AF">
        <w:t xml:space="preserve"> </w:t>
      </w:r>
      <w:r w:rsidRPr="002029AF">
        <w:t>skills</w:t>
      </w:r>
      <w:r w:rsidR="000A5329" w:rsidRPr="002029AF">
        <w:t xml:space="preserve"> </w:t>
      </w:r>
      <w:r w:rsidRPr="002029AF">
        <w:t>and</w:t>
      </w:r>
      <w:r w:rsidR="000A5329" w:rsidRPr="002029AF">
        <w:t xml:space="preserve"> </w:t>
      </w:r>
      <w:r w:rsidRPr="002029AF">
        <w:t>persp</w:t>
      </w:r>
      <w:r w:rsidRPr="002029AF">
        <w:rPr>
          <w:rFonts w:cs="Times New Roman"/>
          <w:szCs w:val="20"/>
        </w:rPr>
        <w:t>ectives</w:t>
      </w:r>
      <w:r w:rsidR="000A5329" w:rsidRPr="002029AF">
        <w:rPr>
          <w:rFonts w:cs="Times New Roman"/>
          <w:szCs w:val="20"/>
        </w:rPr>
        <w:t xml:space="preserve"> </w:t>
      </w:r>
      <w:r w:rsidRPr="002029AF">
        <w:rPr>
          <w:rFonts w:cs="Times New Roman"/>
          <w:szCs w:val="20"/>
        </w:rPr>
        <w:t>that</w:t>
      </w:r>
      <w:r w:rsidR="000A5329" w:rsidRPr="002029AF">
        <w:rPr>
          <w:rFonts w:cs="Times New Roman"/>
          <w:szCs w:val="20"/>
        </w:rPr>
        <w:t xml:space="preserve"> </w:t>
      </w:r>
      <w:r w:rsidRPr="002029AF">
        <w:rPr>
          <w:rFonts w:cs="Times New Roman"/>
          <w:szCs w:val="20"/>
        </w:rPr>
        <w:t>people</w:t>
      </w:r>
      <w:r w:rsidR="000A5329" w:rsidRPr="002029AF">
        <w:rPr>
          <w:rFonts w:cs="Times New Roman"/>
          <w:szCs w:val="20"/>
        </w:rPr>
        <w:t xml:space="preserve"> </w:t>
      </w:r>
      <w:r w:rsidRPr="002029AF">
        <w:rPr>
          <w:rFonts w:cs="Times New Roman"/>
          <w:szCs w:val="20"/>
        </w:rPr>
        <w:t>bring</w:t>
      </w:r>
      <w:r w:rsidR="00EF3FCC">
        <w:rPr>
          <w:rFonts w:cs="Times New Roman"/>
          <w:szCs w:val="20"/>
        </w:rPr>
        <w:t> </w:t>
      </w:r>
      <w:r w:rsidRPr="002029AF">
        <w:rPr>
          <w:rFonts w:cs="Times New Roman"/>
          <w:szCs w:val="20"/>
        </w:rPr>
        <w:t>to</w:t>
      </w:r>
      <w:r w:rsidR="000A5329" w:rsidRPr="002029AF">
        <w:rPr>
          <w:rFonts w:cs="Times New Roman"/>
          <w:szCs w:val="20"/>
        </w:rPr>
        <w:t xml:space="preserve"> </w:t>
      </w:r>
      <w:r w:rsidRPr="002029AF">
        <w:rPr>
          <w:rFonts w:cs="Times New Roman"/>
          <w:szCs w:val="20"/>
        </w:rPr>
        <w:t>the</w:t>
      </w:r>
      <w:r w:rsidR="000A5329" w:rsidRPr="002029AF">
        <w:rPr>
          <w:rFonts w:cs="Times New Roman"/>
          <w:szCs w:val="20"/>
        </w:rPr>
        <w:t xml:space="preserve"> </w:t>
      </w:r>
      <w:r w:rsidRPr="002029AF">
        <w:rPr>
          <w:rFonts w:cs="Times New Roman"/>
          <w:szCs w:val="20"/>
        </w:rPr>
        <w:t>workplace</w:t>
      </w:r>
      <w:r w:rsidR="000A5329" w:rsidRPr="002029AF">
        <w:rPr>
          <w:rFonts w:cs="Times New Roman"/>
          <w:szCs w:val="20"/>
        </w:rPr>
        <w:t xml:space="preserve"> </w:t>
      </w:r>
      <w:r w:rsidRPr="002029AF">
        <w:rPr>
          <w:rFonts w:cs="Times New Roman"/>
          <w:szCs w:val="20"/>
        </w:rPr>
        <w:t>because</w:t>
      </w:r>
      <w:r w:rsidR="000A5329" w:rsidRPr="002029AF">
        <w:rPr>
          <w:rFonts w:cs="Times New Roman"/>
          <w:szCs w:val="20"/>
        </w:rPr>
        <w:t xml:space="preserve"> </w:t>
      </w:r>
      <w:r w:rsidRPr="002029AF">
        <w:rPr>
          <w:rFonts w:cs="Times New Roman"/>
          <w:szCs w:val="20"/>
        </w:rPr>
        <w:t>of</w:t>
      </w:r>
      <w:r w:rsidR="000A5329" w:rsidRPr="002029AF">
        <w:rPr>
          <w:rFonts w:cs="Times New Roman"/>
          <w:szCs w:val="20"/>
        </w:rPr>
        <w:t xml:space="preserve"> </w:t>
      </w:r>
      <w:r w:rsidRPr="002029AF">
        <w:rPr>
          <w:rFonts w:cs="Times New Roman"/>
          <w:szCs w:val="20"/>
        </w:rPr>
        <w:t>their</w:t>
      </w:r>
      <w:r w:rsidR="000A5329" w:rsidRPr="002029AF">
        <w:rPr>
          <w:rFonts w:cs="Times New Roman"/>
          <w:szCs w:val="20"/>
        </w:rPr>
        <w:t xml:space="preserve"> </w:t>
      </w:r>
      <w:r w:rsidRPr="002029AF">
        <w:rPr>
          <w:rFonts w:cs="Times New Roman"/>
          <w:szCs w:val="20"/>
        </w:rPr>
        <w:t>gender,</w:t>
      </w:r>
      <w:r w:rsidR="000A5329" w:rsidRPr="002029AF">
        <w:rPr>
          <w:rFonts w:cs="Times New Roman"/>
          <w:szCs w:val="20"/>
        </w:rPr>
        <w:t xml:space="preserve"> </w:t>
      </w:r>
      <w:r w:rsidRPr="002029AF">
        <w:rPr>
          <w:rFonts w:cs="Times New Roman"/>
          <w:szCs w:val="20"/>
        </w:rPr>
        <w:t>age,</w:t>
      </w:r>
      <w:r w:rsidR="000A5329" w:rsidRPr="002029AF">
        <w:rPr>
          <w:rFonts w:cs="Times New Roman"/>
          <w:szCs w:val="20"/>
        </w:rPr>
        <w:t xml:space="preserve"> </w:t>
      </w:r>
      <w:r w:rsidRPr="002029AF">
        <w:rPr>
          <w:rFonts w:cs="Times New Roman"/>
          <w:szCs w:val="20"/>
        </w:rPr>
        <w:t>language,</w:t>
      </w:r>
      <w:r w:rsidR="000A5329" w:rsidRPr="002029AF">
        <w:rPr>
          <w:rFonts w:cs="Times New Roman"/>
          <w:szCs w:val="20"/>
        </w:rPr>
        <w:t xml:space="preserve"> </w:t>
      </w:r>
      <w:r w:rsidRPr="002029AF">
        <w:rPr>
          <w:rFonts w:cs="Times New Roman"/>
          <w:szCs w:val="20"/>
        </w:rPr>
        <w:t>cultural</w:t>
      </w:r>
      <w:r w:rsidR="000A5329" w:rsidRPr="002029AF">
        <w:rPr>
          <w:rFonts w:cs="Times New Roman"/>
          <w:szCs w:val="20"/>
        </w:rPr>
        <w:t xml:space="preserve"> </w:t>
      </w:r>
      <w:r w:rsidRPr="002029AF">
        <w:rPr>
          <w:rFonts w:cs="Times New Roman"/>
          <w:szCs w:val="20"/>
        </w:rPr>
        <w:t>background,</w:t>
      </w:r>
      <w:r w:rsidR="000A5329" w:rsidRPr="002029AF">
        <w:rPr>
          <w:rFonts w:cs="Times New Roman"/>
          <w:szCs w:val="20"/>
        </w:rPr>
        <w:t xml:space="preserve"> </w:t>
      </w:r>
      <w:r w:rsidRPr="002029AF">
        <w:rPr>
          <w:rFonts w:cs="Times New Roman"/>
          <w:szCs w:val="20"/>
        </w:rPr>
        <w:t>ethnicity,</w:t>
      </w:r>
      <w:r w:rsidR="000A5329" w:rsidRPr="002029AF">
        <w:rPr>
          <w:rFonts w:cs="Times New Roman"/>
          <w:szCs w:val="20"/>
        </w:rPr>
        <w:t xml:space="preserve"> </w:t>
      </w:r>
      <w:r w:rsidRPr="002029AF">
        <w:rPr>
          <w:rFonts w:cs="Times New Roman"/>
          <w:szCs w:val="20"/>
        </w:rPr>
        <w:t>disability,</w:t>
      </w:r>
      <w:r w:rsidR="000A5329" w:rsidRPr="002029AF">
        <w:rPr>
          <w:rFonts w:cs="Times New Roman"/>
          <w:szCs w:val="20"/>
        </w:rPr>
        <w:t xml:space="preserve"> </w:t>
      </w:r>
      <w:r w:rsidRPr="002029AF">
        <w:rPr>
          <w:rFonts w:cs="Times New Roman"/>
          <w:szCs w:val="20"/>
        </w:rPr>
        <w:t>religious</w:t>
      </w:r>
      <w:r w:rsidR="000A5329" w:rsidRPr="002029AF">
        <w:rPr>
          <w:rFonts w:cs="Times New Roman"/>
          <w:szCs w:val="20"/>
        </w:rPr>
        <w:t xml:space="preserve"> </w:t>
      </w:r>
      <w:r w:rsidRPr="002029AF">
        <w:rPr>
          <w:rFonts w:cs="Times New Roman"/>
          <w:szCs w:val="20"/>
        </w:rPr>
        <w:t>belief,</w:t>
      </w:r>
      <w:r w:rsidR="000A5329" w:rsidRPr="002029AF">
        <w:rPr>
          <w:rFonts w:cs="Times New Roman"/>
          <w:szCs w:val="20"/>
        </w:rPr>
        <w:t xml:space="preserve"> </w:t>
      </w:r>
      <w:r w:rsidRPr="002029AF">
        <w:rPr>
          <w:rFonts w:cs="Times New Roman"/>
          <w:szCs w:val="20"/>
        </w:rPr>
        <w:t>sexual</w:t>
      </w:r>
      <w:r w:rsidR="000A5329" w:rsidRPr="002029AF">
        <w:rPr>
          <w:rFonts w:cs="Times New Roman"/>
          <w:szCs w:val="20"/>
        </w:rPr>
        <w:t xml:space="preserve"> </w:t>
      </w:r>
      <w:r w:rsidRPr="002029AF">
        <w:rPr>
          <w:rFonts w:cs="Times New Roman"/>
          <w:szCs w:val="20"/>
        </w:rPr>
        <w:t>orientation,</w:t>
      </w:r>
      <w:r w:rsidR="000A5329" w:rsidRPr="002029AF">
        <w:rPr>
          <w:rFonts w:cs="Times New Roman"/>
          <w:szCs w:val="20"/>
        </w:rPr>
        <w:t xml:space="preserve"> </w:t>
      </w:r>
      <w:r w:rsidRPr="002029AF">
        <w:rPr>
          <w:rFonts w:cs="Times New Roman"/>
          <w:szCs w:val="20"/>
        </w:rPr>
        <w:t>educational</w:t>
      </w:r>
      <w:r w:rsidR="000A5329" w:rsidRPr="002029AF">
        <w:rPr>
          <w:rFonts w:cs="Times New Roman"/>
          <w:szCs w:val="20"/>
        </w:rPr>
        <w:t xml:space="preserve"> </w:t>
      </w:r>
      <w:r w:rsidRPr="002029AF">
        <w:rPr>
          <w:rFonts w:cs="Times New Roman"/>
          <w:szCs w:val="20"/>
        </w:rPr>
        <w:t>level,</w:t>
      </w:r>
      <w:r w:rsidR="000A5329" w:rsidRPr="002029AF">
        <w:rPr>
          <w:rFonts w:cs="Times New Roman"/>
          <w:szCs w:val="20"/>
        </w:rPr>
        <w:t xml:space="preserve"> </w:t>
      </w:r>
      <w:r w:rsidRPr="002029AF">
        <w:rPr>
          <w:rFonts w:cs="Times New Roman"/>
          <w:szCs w:val="20"/>
        </w:rPr>
        <w:t>socioeconomic</w:t>
      </w:r>
      <w:r w:rsidR="000A5329" w:rsidRPr="002029AF">
        <w:rPr>
          <w:rFonts w:cs="Times New Roman"/>
          <w:szCs w:val="20"/>
        </w:rPr>
        <w:t xml:space="preserve"> </w:t>
      </w:r>
      <w:r w:rsidR="00380DF7" w:rsidRPr="002029AF">
        <w:rPr>
          <w:rFonts w:cs="Times New Roman"/>
          <w:szCs w:val="20"/>
        </w:rPr>
        <w:t>background</w:t>
      </w:r>
      <w:r w:rsidR="00380DF7">
        <w:rPr>
          <w:rFonts w:cs="Times New Roman"/>
          <w:szCs w:val="20"/>
        </w:rPr>
        <w:t>,</w:t>
      </w:r>
      <w:r w:rsidR="00380DF7" w:rsidRPr="002029AF">
        <w:rPr>
          <w:rFonts w:cs="Times New Roman"/>
          <w:szCs w:val="20"/>
        </w:rPr>
        <w:t xml:space="preserve"> </w:t>
      </w:r>
      <w:r w:rsidR="00380DF7">
        <w:rPr>
          <w:rFonts w:cs="Times New Roman"/>
          <w:szCs w:val="20"/>
        </w:rPr>
        <w:t xml:space="preserve">caring and </w:t>
      </w:r>
      <w:r w:rsidR="00380DF7" w:rsidRPr="002029AF">
        <w:rPr>
          <w:rFonts w:cs="Times New Roman"/>
          <w:szCs w:val="20"/>
        </w:rPr>
        <w:t>family responsibilities.</w:t>
      </w:r>
    </w:p>
    <w:p w14:paraId="48D550DB" w14:textId="190A8D82" w:rsidR="00CF72D5" w:rsidRPr="002029AF" w:rsidRDefault="00CF72D5" w:rsidP="00897193">
      <w:pPr>
        <w:pStyle w:val="ARbody"/>
        <w:rPr>
          <w:rFonts w:cs="Times New Roman"/>
          <w:szCs w:val="20"/>
        </w:rPr>
      </w:pPr>
      <w:r w:rsidRPr="002029AF">
        <w:t>The</w:t>
      </w:r>
      <w:r w:rsidR="000A5329" w:rsidRPr="002029AF">
        <w:t xml:space="preserve"> </w:t>
      </w:r>
      <w:r w:rsidRPr="002029AF">
        <w:t>department</w:t>
      </w:r>
      <w:r w:rsidR="000A5329" w:rsidRPr="002029AF">
        <w:t xml:space="preserve"> </w:t>
      </w:r>
      <w:r w:rsidRPr="002029AF">
        <w:t>c</w:t>
      </w:r>
      <w:r w:rsidRPr="002029AF">
        <w:rPr>
          <w:rFonts w:cs="Times New Roman"/>
          <w:szCs w:val="20"/>
        </w:rPr>
        <w:t>ontinued</w:t>
      </w:r>
      <w:r w:rsidR="000A5329" w:rsidRPr="002029AF">
        <w:rPr>
          <w:rFonts w:cs="Times New Roman"/>
          <w:szCs w:val="20"/>
        </w:rPr>
        <w:t xml:space="preserve"> </w:t>
      </w:r>
      <w:r w:rsidRPr="002029AF">
        <w:rPr>
          <w:rFonts w:cs="Times New Roman"/>
          <w:szCs w:val="20"/>
        </w:rPr>
        <w:t>the</w:t>
      </w:r>
      <w:r w:rsidR="000A5329" w:rsidRPr="002029AF">
        <w:rPr>
          <w:rFonts w:cs="Times New Roman"/>
          <w:szCs w:val="20"/>
        </w:rPr>
        <w:t xml:space="preserve"> </w:t>
      </w:r>
      <w:r w:rsidRPr="002029AF">
        <w:rPr>
          <w:rFonts w:cs="Times New Roman"/>
          <w:szCs w:val="20"/>
        </w:rPr>
        <w:t>CareerTrackers</w:t>
      </w:r>
      <w:r w:rsidR="000A5329" w:rsidRPr="002029AF">
        <w:rPr>
          <w:rFonts w:cs="Times New Roman"/>
          <w:szCs w:val="20"/>
        </w:rPr>
        <w:t xml:space="preserve"> </w:t>
      </w:r>
      <w:r w:rsidRPr="002029AF">
        <w:rPr>
          <w:rFonts w:cs="Times New Roman"/>
          <w:szCs w:val="20"/>
        </w:rPr>
        <w:t>internship</w:t>
      </w:r>
      <w:r w:rsidR="000A5329" w:rsidRPr="002029AF">
        <w:rPr>
          <w:rFonts w:cs="Times New Roman"/>
          <w:szCs w:val="20"/>
        </w:rPr>
        <w:t xml:space="preserve"> </w:t>
      </w:r>
      <w:r w:rsidRPr="002029AF">
        <w:rPr>
          <w:rFonts w:cs="Times New Roman"/>
          <w:szCs w:val="20"/>
        </w:rPr>
        <w:t>for</w:t>
      </w:r>
      <w:r w:rsidR="000A5329" w:rsidRPr="002029AF">
        <w:rPr>
          <w:rFonts w:cs="Times New Roman"/>
          <w:szCs w:val="20"/>
        </w:rPr>
        <w:t xml:space="preserve"> </w:t>
      </w:r>
      <w:r w:rsidRPr="002029AF">
        <w:rPr>
          <w:rFonts w:cs="Times New Roman"/>
          <w:szCs w:val="20"/>
        </w:rPr>
        <w:t>Aboriginal</w:t>
      </w:r>
      <w:r w:rsidR="000A5329" w:rsidRPr="002029AF">
        <w:rPr>
          <w:rFonts w:cs="Times New Roman"/>
          <w:szCs w:val="20"/>
        </w:rPr>
        <w:t xml:space="preserve"> </w:t>
      </w:r>
      <w:r w:rsidRPr="002029AF">
        <w:rPr>
          <w:rFonts w:cs="Times New Roman"/>
          <w:szCs w:val="20"/>
        </w:rPr>
        <w:t>university</w:t>
      </w:r>
      <w:r w:rsidR="000A5329" w:rsidRPr="002029AF">
        <w:rPr>
          <w:rFonts w:cs="Times New Roman"/>
          <w:szCs w:val="20"/>
        </w:rPr>
        <w:t xml:space="preserve"> </w:t>
      </w:r>
      <w:r w:rsidRPr="002029AF">
        <w:rPr>
          <w:rFonts w:cs="Times New Roman"/>
          <w:szCs w:val="20"/>
        </w:rPr>
        <w:t>students</w:t>
      </w:r>
      <w:r w:rsidR="000A5329" w:rsidRPr="002029AF">
        <w:rPr>
          <w:rFonts w:cs="Times New Roman"/>
          <w:szCs w:val="20"/>
        </w:rPr>
        <w:t xml:space="preserve"> </w:t>
      </w:r>
      <w:r w:rsidRPr="002029AF">
        <w:rPr>
          <w:rFonts w:cs="Times New Roman"/>
          <w:szCs w:val="20"/>
        </w:rPr>
        <w:t>and</w:t>
      </w:r>
      <w:r w:rsidR="000A5329" w:rsidRPr="002029AF">
        <w:rPr>
          <w:rFonts w:cs="Times New Roman"/>
          <w:szCs w:val="20"/>
        </w:rPr>
        <w:t xml:space="preserve"> </w:t>
      </w:r>
      <w:r w:rsidRPr="002029AF">
        <w:rPr>
          <w:rFonts w:cs="Times New Roman"/>
          <w:szCs w:val="20"/>
        </w:rPr>
        <w:t>CareerSeekers</w:t>
      </w:r>
      <w:r w:rsidR="000A5329" w:rsidRPr="002029AF">
        <w:rPr>
          <w:rFonts w:cs="Times New Roman"/>
          <w:szCs w:val="20"/>
        </w:rPr>
        <w:t xml:space="preserve"> </w:t>
      </w:r>
      <w:r w:rsidRPr="002029AF">
        <w:rPr>
          <w:rFonts w:cs="Times New Roman"/>
          <w:szCs w:val="20"/>
        </w:rPr>
        <w:t>for</w:t>
      </w:r>
      <w:r w:rsidR="000A5329" w:rsidRPr="002029AF">
        <w:rPr>
          <w:rFonts w:cs="Times New Roman"/>
          <w:szCs w:val="20"/>
        </w:rPr>
        <w:t xml:space="preserve"> </w:t>
      </w:r>
      <w:r w:rsidRPr="002029AF">
        <w:rPr>
          <w:rFonts w:cs="Times New Roman"/>
          <w:szCs w:val="20"/>
        </w:rPr>
        <w:t>asylum</w:t>
      </w:r>
      <w:r w:rsidR="000A5329" w:rsidRPr="002029AF">
        <w:rPr>
          <w:rFonts w:cs="Times New Roman"/>
          <w:szCs w:val="20"/>
        </w:rPr>
        <w:t xml:space="preserve"> </w:t>
      </w:r>
      <w:r w:rsidRPr="002029AF">
        <w:rPr>
          <w:rFonts w:cs="Times New Roman"/>
          <w:szCs w:val="20"/>
        </w:rPr>
        <w:t>seekers</w:t>
      </w:r>
      <w:r w:rsidR="000A5329" w:rsidRPr="002029AF">
        <w:rPr>
          <w:rFonts w:cs="Times New Roman"/>
          <w:szCs w:val="20"/>
        </w:rPr>
        <w:t xml:space="preserve"> </w:t>
      </w:r>
      <w:r w:rsidRPr="002029AF">
        <w:rPr>
          <w:rFonts w:cs="Times New Roman"/>
          <w:szCs w:val="20"/>
        </w:rPr>
        <w:t>and</w:t>
      </w:r>
      <w:r w:rsidR="000A5329" w:rsidRPr="002029AF">
        <w:rPr>
          <w:rFonts w:cs="Times New Roman"/>
          <w:szCs w:val="20"/>
        </w:rPr>
        <w:t xml:space="preserve"> </w:t>
      </w:r>
      <w:r w:rsidRPr="002029AF">
        <w:rPr>
          <w:rFonts w:cs="Times New Roman"/>
          <w:szCs w:val="20"/>
        </w:rPr>
        <w:t>refugees</w:t>
      </w:r>
      <w:r w:rsidR="000A5329" w:rsidRPr="002029AF">
        <w:rPr>
          <w:rFonts w:cs="Times New Roman"/>
          <w:szCs w:val="20"/>
        </w:rPr>
        <w:t xml:space="preserve"> </w:t>
      </w:r>
      <w:r w:rsidR="005E4B66" w:rsidRPr="002029AF">
        <w:rPr>
          <w:rFonts w:cs="Times New Roman"/>
          <w:szCs w:val="20"/>
        </w:rPr>
        <w:t>to</w:t>
      </w:r>
      <w:r w:rsidR="00EF3FCC">
        <w:rPr>
          <w:rFonts w:cs="Times New Roman"/>
          <w:szCs w:val="20"/>
        </w:rPr>
        <w:t> </w:t>
      </w:r>
      <w:r w:rsidR="005E4B66" w:rsidRPr="002029AF">
        <w:rPr>
          <w:rFonts w:cs="Times New Roman"/>
          <w:szCs w:val="20"/>
        </w:rPr>
        <w:t>allow</w:t>
      </w:r>
      <w:r w:rsidR="000A5329" w:rsidRPr="002029AF">
        <w:rPr>
          <w:rFonts w:cs="Times New Roman"/>
          <w:szCs w:val="20"/>
        </w:rPr>
        <w:t xml:space="preserve"> </w:t>
      </w:r>
      <w:r w:rsidR="005E4B66" w:rsidRPr="002029AF">
        <w:rPr>
          <w:rFonts w:cs="Times New Roman"/>
          <w:szCs w:val="20"/>
        </w:rPr>
        <w:t>them</w:t>
      </w:r>
      <w:r w:rsidR="000A5329" w:rsidRPr="002029AF">
        <w:rPr>
          <w:rFonts w:cs="Times New Roman"/>
          <w:szCs w:val="20"/>
        </w:rPr>
        <w:t xml:space="preserve"> </w:t>
      </w:r>
      <w:r w:rsidRPr="002029AF">
        <w:rPr>
          <w:rFonts w:cs="Times New Roman"/>
          <w:szCs w:val="20"/>
        </w:rPr>
        <w:t>to</w:t>
      </w:r>
      <w:r w:rsidR="000A5329" w:rsidRPr="002029AF">
        <w:rPr>
          <w:rFonts w:cs="Times New Roman"/>
          <w:szCs w:val="20"/>
        </w:rPr>
        <w:t xml:space="preserve"> </w:t>
      </w:r>
      <w:r w:rsidRPr="002029AF">
        <w:rPr>
          <w:rFonts w:cs="Times New Roman"/>
          <w:szCs w:val="20"/>
        </w:rPr>
        <w:t>gain</w:t>
      </w:r>
      <w:r w:rsidR="000A5329" w:rsidRPr="002029AF">
        <w:rPr>
          <w:rFonts w:cs="Times New Roman"/>
          <w:szCs w:val="20"/>
        </w:rPr>
        <w:t xml:space="preserve"> </w:t>
      </w:r>
      <w:r w:rsidRPr="002029AF">
        <w:rPr>
          <w:rFonts w:cs="Times New Roman"/>
          <w:szCs w:val="20"/>
        </w:rPr>
        <w:t>valuable</w:t>
      </w:r>
      <w:r w:rsidR="000A5329" w:rsidRPr="002029AF">
        <w:rPr>
          <w:rFonts w:cs="Times New Roman"/>
          <w:szCs w:val="20"/>
        </w:rPr>
        <w:t xml:space="preserve"> </w:t>
      </w:r>
      <w:r w:rsidRPr="002029AF">
        <w:rPr>
          <w:rFonts w:cs="Times New Roman"/>
          <w:szCs w:val="20"/>
        </w:rPr>
        <w:t>work</w:t>
      </w:r>
      <w:r w:rsidR="000A5329" w:rsidRPr="002029AF">
        <w:rPr>
          <w:rFonts w:cs="Times New Roman"/>
          <w:szCs w:val="20"/>
        </w:rPr>
        <w:t xml:space="preserve"> </w:t>
      </w:r>
      <w:r w:rsidRPr="002029AF">
        <w:rPr>
          <w:rFonts w:cs="Times New Roman"/>
          <w:szCs w:val="20"/>
        </w:rPr>
        <w:t>experience</w:t>
      </w:r>
      <w:r w:rsidR="000A5329" w:rsidRPr="002029AF">
        <w:rPr>
          <w:rFonts w:cs="Times New Roman"/>
          <w:szCs w:val="20"/>
        </w:rPr>
        <w:t xml:space="preserve"> </w:t>
      </w:r>
      <w:r w:rsidRPr="002029AF">
        <w:rPr>
          <w:rFonts w:cs="Times New Roman"/>
          <w:szCs w:val="20"/>
        </w:rPr>
        <w:t>from</w:t>
      </w:r>
      <w:r w:rsidR="000A5329" w:rsidRPr="002029AF">
        <w:rPr>
          <w:rFonts w:cs="Times New Roman"/>
          <w:szCs w:val="20"/>
        </w:rPr>
        <w:t xml:space="preserve"> </w:t>
      </w:r>
      <w:r w:rsidRPr="002029AF">
        <w:rPr>
          <w:rFonts w:cs="Times New Roman"/>
          <w:szCs w:val="20"/>
        </w:rPr>
        <w:t>a</w:t>
      </w:r>
      <w:r w:rsidR="000A5329" w:rsidRPr="002029AF">
        <w:rPr>
          <w:rFonts w:cs="Times New Roman"/>
          <w:szCs w:val="20"/>
        </w:rPr>
        <w:t xml:space="preserve"> </w:t>
      </w:r>
      <w:r w:rsidRPr="002029AF">
        <w:rPr>
          <w:rFonts w:cs="Times New Roman"/>
          <w:szCs w:val="20"/>
        </w:rPr>
        <w:t>paid</w:t>
      </w:r>
      <w:r w:rsidR="000A5329" w:rsidRPr="002029AF">
        <w:rPr>
          <w:rFonts w:cs="Times New Roman"/>
          <w:szCs w:val="20"/>
        </w:rPr>
        <w:t xml:space="preserve"> </w:t>
      </w:r>
      <w:r w:rsidRPr="002029AF">
        <w:rPr>
          <w:rFonts w:cs="Times New Roman"/>
          <w:szCs w:val="20"/>
        </w:rPr>
        <w:t>twelve-week</w:t>
      </w:r>
      <w:r w:rsidR="000A5329" w:rsidRPr="002029AF">
        <w:rPr>
          <w:rFonts w:cs="Times New Roman"/>
          <w:szCs w:val="20"/>
        </w:rPr>
        <w:t xml:space="preserve"> </w:t>
      </w:r>
      <w:r w:rsidRPr="002029AF">
        <w:rPr>
          <w:rFonts w:cs="Times New Roman"/>
          <w:szCs w:val="20"/>
        </w:rPr>
        <w:t>internship.</w:t>
      </w:r>
    </w:p>
    <w:p w14:paraId="3A8BB51B" w14:textId="6DDC33D2" w:rsidR="00CF72D5" w:rsidRPr="002029AF" w:rsidRDefault="00CF72D5" w:rsidP="00897193">
      <w:pPr>
        <w:pStyle w:val="ARbody"/>
        <w:rPr>
          <w:rFonts w:cs="Times New Roman"/>
          <w:szCs w:val="20"/>
        </w:rPr>
      </w:pPr>
      <w:r w:rsidRPr="002029AF">
        <w:t>The</w:t>
      </w:r>
      <w:r w:rsidR="000A5329" w:rsidRPr="002029AF">
        <w:t xml:space="preserve"> </w:t>
      </w:r>
      <w:r w:rsidRPr="002029AF">
        <w:t>rapid</w:t>
      </w:r>
      <w:r w:rsidR="000A5329" w:rsidRPr="002029AF">
        <w:t xml:space="preserve"> </w:t>
      </w:r>
      <w:r w:rsidRPr="002029AF">
        <w:t>move</w:t>
      </w:r>
      <w:r w:rsidR="000A5329" w:rsidRPr="002029AF">
        <w:t xml:space="preserve"> </w:t>
      </w:r>
      <w:r w:rsidRPr="002029AF">
        <w:t>to</w:t>
      </w:r>
      <w:r w:rsidR="000A5329" w:rsidRPr="002029AF">
        <w:t xml:space="preserve"> </w:t>
      </w:r>
      <w:r w:rsidRPr="002029AF">
        <w:t>a</w:t>
      </w:r>
      <w:r w:rsidR="000A5329" w:rsidRPr="002029AF">
        <w:t xml:space="preserve"> </w:t>
      </w:r>
      <w:r w:rsidRPr="002029AF">
        <w:t>remote</w:t>
      </w:r>
      <w:r w:rsidR="000A5329" w:rsidRPr="002029AF">
        <w:t xml:space="preserve"> </w:t>
      </w:r>
      <w:r w:rsidRPr="002029AF">
        <w:t>workforce</w:t>
      </w:r>
      <w:r w:rsidR="000A5329" w:rsidRPr="002029AF">
        <w:t xml:space="preserve"> </w:t>
      </w:r>
      <w:r w:rsidRPr="002029AF">
        <w:t>led</w:t>
      </w:r>
      <w:r w:rsidR="000A5329" w:rsidRPr="002029AF">
        <w:t xml:space="preserve"> </w:t>
      </w:r>
      <w:r w:rsidRPr="002029AF">
        <w:t>to</w:t>
      </w:r>
      <w:r w:rsidR="000A5329" w:rsidRPr="002029AF">
        <w:t xml:space="preserve"> </w:t>
      </w:r>
      <w:r w:rsidRPr="002029AF">
        <w:t>many</w:t>
      </w:r>
      <w:r w:rsidR="00EF3FCC">
        <w:t> </w:t>
      </w:r>
      <w:r w:rsidRPr="002029AF">
        <w:t>of</w:t>
      </w:r>
      <w:r w:rsidR="000A5329" w:rsidRPr="002029AF">
        <w:t xml:space="preserve"> </w:t>
      </w:r>
      <w:r w:rsidRPr="002029AF">
        <w:t>our</w:t>
      </w:r>
      <w:r w:rsidR="000A5329" w:rsidRPr="002029AF">
        <w:t xml:space="preserve"> </w:t>
      </w:r>
      <w:r w:rsidRPr="002029AF">
        <w:t>dive</w:t>
      </w:r>
      <w:r w:rsidRPr="002029AF">
        <w:rPr>
          <w:rFonts w:cs="Times New Roman"/>
          <w:szCs w:val="20"/>
        </w:rPr>
        <w:t>rsity</w:t>
      </w:r>
      <w:r w:rsidR="00312252">
        <w:rPr>
          <w:rFonts w:cs="Times New Roman"/>
          <w:szCs w:val="20"/>
        </w:rPr>
        <w:t>-</w:t>
      </w:r>
      <w:r w:rsidRPr="002029AF">
        <w:rPr>
          <w:rFonts w:cs="Times New Roman"/>
          <w:szCs w:val="20"/>
        </w:rPr>
        <w:t>related</w:t>
      </w:r>
      <w:r w:rsidR="000A5329" w:rsidRPr="002029AF">
        <w:rPr>
          <w:rFonts w:cs="Times New Roman"/>
          <w:szCs w:val="20"/>
        </w:rPr>
        <w:t xml:space="preserve"> </w:t>
      </w:r>
      <w:r w:rsidRPr="002029AF">
        <w:rPr>
          <w:rFonts w:cs="Times New Roman"/>
          <w:szCs w:val="20"/>
        </w:rPr>
        <w:t>face</w:t>
      </w:r>
      <w:r w:rsidR="00312252">
        <w:rPr>
          <w:rFonts w:cs="Times New Roman"/>
          <w:szCs w:val="20"/>
        </w:rPr>
        <w:t>-</w:t>
      </w:r>
      <w:r w:rsidRPr="002029AF">
        <w:rPr>
          <w:rFonts w:cs="Times New Roman"/>
          <w:szCs w:val="20"/>
        </w:rPr>
        <w:t>to</w:t>
      </w:r>
      <w:r w:rsidR="00312252">
        <w:rPr>
          <w:rFonts w:cs="Times New Roman"/>
          <w:szCs w:val="20"/>
        </w:rPr>
        <w:t>-</w:t>
      </w:r>
      <w:r w:rsidRPr="002029AF">
        <w:rPr>
          <w:rFonts w:cs="Times New Roman"/>
          <w:szCs w:val="20"/>
        </w:rPr>
        <w:t>face</w:t>
      </w:r>
      <w:r w:rsidR="000A5329" w:rsidRPr="002029AF">
        <w:rPr>
          <w:rFonts w:cs="Times New Roman"/>
          <w:szCs w:val="20"/>
        </w:rPr>
        <w:t xml:space="preserve"> </w:t>
      </w:r>
      <w:r w:rsidRPr="002029AF">
        <w:rPr>
          <w:rFonts w:cs="Times New Roman"/>
          <w:szCs w:val="20"/>
        </w:rPr>
        <w:t>training</w:t>
      </w:r>
      <w:r w:rsidR="000A5329" w:rsidRPr="002029AF">
        <w:rPr>
          <w:rFonts w:cs="Times New Roman"/>
          <w:szCs w:val="20"/>
        </w:rPr>
        <w:t xml:space="preserve"> </w:t>
      </w:r>
      <w:r w:rsidR="00814696" w:rsidRPr="002029AF">
        <w:rPr>
          <w:rFonts w:cs="Times New Roman"/>
          <w:szCs w:val="20"/>
        </w:rPr>
        <w:t>programs</w:t>
      </w:r>
      <w:r w:rsidR="000A5329" w:rsidRPr="002029AF">
        <w:rPr>
          <w:rFonts w:cs="Times New Roman"/>
          <w:szCs w:val="20"/>
        </w:rPr>
        <w:t xml:space="preserve"> </w:t>
      </w:r>
      <w:r w:rsidRPr="002029AF">
        <w:rPr>
          <w:rFonts w:cs="Times New Roman"/>
          <w:szCs w:val="20"/>
        </w:rPr>
        <w:t>moving</w:t>
      </w:r>
      <w:r w:rsidR="000A5329" w:rsidRPr="002029AF">
        <w:rPr>
          <w:rFonts w:cs="Times New Roman"/>
          <w:szCs w:val="20"/>
        </w:rPr>
        <w:t xml:space="preserve"> </w:t>
      </w:r>
      <w:r w:rsidRPr="002029AF">
        <w:rPr>
          <w:rFonts w:cs="Times New Roman"/>
          <w:szCs w:val="20"/>
        </w:rPr>
        <w:t>online,</w:t>
      </w:r>
      <w:r w:rsidR="000A5329" w:rsidRPr="002029AF">
        <w:rPr>
          <w:rFonts w:cs="Times New Roman"/>
          <w:szCs w:val="20"/>
        </w:rPr>
        <w:t xml:space="preserve"> </w:t>
      </w:r>
      <w:r w:rsidRPr="002029AF">
        <w:rPr>
          <w:rFonts w:cs="Times New Roman"/>
          <w:szCs w:val="20"/>
        </w:rPr>
        <w:t>including</w:t>
      </w:r>
      <w:r w:rsidR="000A5329" w:rsidRPr="002029AF">
        <w:rPr>
          <w:rFonts w:cs="Times New Roman"/>
          <w:szCs w:val="20"/>
        </w:rPr>
        <w:t xml:space="preserve"> </w:t>
      </w:r>
      <w:r w:rsidRPr="002029AF">
        <w:rPr>
          <w:rFonts w:cs="Times New Roman"/>
          <w:szCs w:val="20"/>
        </w:rPr>
        <w:t>Disability</w:t>
      </w:r>
      <w:r w:rsidR="000A5329" w:rsidRPr="002029AF">
        <w:rPr>
          <w:rFonts w:cs="Times New Roman"/>
          <w:szCs w:val="20"/>
        </w:rPr>
        <w:t xml:space="preserve"> </w:t>
      </w:r>
      <w:r w:rsidRPr="002029AF">
        <w:rPr>
          <w:rFonts w:cs="Times New Roman"/>
          <w:szCs w:val="20"/>
        </w:rPr>
        <w:t>Confidence,</w:t>
      </w:r>
      <w:r w:rsidR="000A5329" w:rsidRPr="002029AF">
        <w:rPr>
          <w:rFonts w:cs="Times New Roman"/>
          <w:szCs w:val="20"/>
        </w:rPr>
        <w:t xml:space="preserve"> </w:t>
      </w:r>
      <w:r w:rsidRPr="002029AF">
        <w:rPr>
          <w:rFonts w:cs="Times New Roman"/>
          <w:szCs w:val="20"/>
        </w:rPr>
        <w:t>Autism</w:t>
      </w:r>
      <w:r w:rsidR="000A5329" w:rsidRPr="002029AF">
        <w:rPr>
          <w:rFonts w:cs="Times New Roman"/>
          <w:szCs w:val="20"/>
        </w:rPr>
        <w:t xml:space="preserve"> </w:t>
      </w:r>
      <w:r w:rsidRPr="002029AF">
        <w:rPr>
          <w:rFonts w:cs="Times New Roman"/>
          <w:szCs w:val="20"/>
        </w:rPr>
        <w:t>Awareness</w:t>
      </w:r>
      <w:r w:rsidR="000A5329" w:rsidRPr="002029AF">
        <w:rPr>
          <w:rFonts w:cs="Times New Roman"/>
          <w:szCs w:val="20"/>
        </w:rPr>
        <w:t xml:space="preserve"> </w:t>
      </w:r>
      <w:r w:rsidRPr="002029AF">
        <w:rPr>
          <w:rFonts w:cs="Times New Roman"/>
          <w:szCs w:val="20"/>
        </w:rPr>
        <w:t>for</w:t>
      </w:r>
      <w:r w:rsidR="000A5329" w:rsidRPr="002029AF">
        <w:rPr>
          <w:rFonts w:cs="Times New Roman"/>
          <w:szCs w:val="20"/>
        </w:rPr>
        <w:t xml:space="preserve"> </w:t>
      </w:r>
      <w:r w:rsidRPr="002029AF">
        <w:rPr>
          <w:rFonts w:cs="Times New Roman"/>
          <w:szCs w:val="20"/>
        </w:rPr>
        <w:t>Managers,</w:t>
      </w:r>
      <w:r w:rsidR="000A5329" w:rsidRPr="002029AF">
        <w:rPr>
          <w:rFonts w:cs="Times New Roman"/>
          <w:szCs w:val="20"/>
        </w:rPr>
        <w:t xml:space="preserve"> </w:t>
      </w:r>
      <w:r w:rsidRPr="002029AF">
        <w:rPr>
          <w:rFonts w:cs="Times New Roman"/>
          <w:szCs w:val="20"/>
        </w:rPr>
        <w:t>Unconscious</w:t>
      </w:r>
      <w:r w:rsidR="000A5329" w:rsidRPr="002029AF">
        <w:rPr>
          <w:rFonts w:cs="Times New Roman"/>
          <w:szCs w:val="20"/>
        </w:rPr>
        <w:t xml:space="preserve"> </w:t>
      </w:r>
      <w:r w:rsidRPr="002029AF">
        <w:rPr>
          <w:rFonts w:cs="Times New Roman"/>
          <w:szCs w:val="20"/>
        </w:rPr>
        <w:t>Bias</w:t>
      </w:r>
      <w:r w:rsidR="000A5329" w:rsidRPr="002029AF">
        <w:rPr>
          <w:rFonts w:cs="Times New Roman"/>
          <w:szCs w:val="20"/>
        </w:rPr>
        <w:t xml:space="preserve"> </w:t>
      </w:r>
      <w:r w:rsidRPr="002029AF">
        <w:rPr>
          <w:rFonts w:cs="Times New Roman"/>
          <w:szCs w:val="20"/>
        </w:rPr>
        <w:t>and</w:t>
      </w:r>
      <w:r w:rsidR="000A5329" w:rsidRPr="002029AF">
        <w:rPr>
          <w:rFonts w:cs="Times New Roman"/>
          <w:szCs w:val="20"/>
        </w:rPr>
        <w:t xml:space="preserve"> </w:t>
      </w:r>
      <w:r w:rsidRPr="002029AF">
        <w:rPr>
          <w:rFonts w:cs="Times New Roman"/>
          <w:szCs w:val="20"/>
        </w:rPr>
        <w:t>Cultural</w:t>
      </w:r>
      <w:r w:rsidR="000A5329" w:rsidRPr="002029AF">
        <w:rPr>
          <w:rFonts w:cs="Times New Roman"/>
          <w:szCs w:val="20"/>
        </w:rPr>
        <w:t xml:space="preserve"> </w:t>
      </w:r>
      <w:r w:rsidRPr="002029AF">
        <w:rPr>
          <w:rFonts w:cs="Times New Roman"/>
          <w:szCs w:val="20"/>
        </w:rPr>
        <w:t>Safety.</w:t>
      </w:r>
    </w:p>
    <w:p w14:paraId="16E43F26" w14:textId="3E35B55E" w:rsidR="00CF72D5" w:rsidRPr="002029AF" w:rsidRDefault="00CF72D5" w:rsidP="00897193">
      <w:pPr>
        <w:pStyle w:val="Heading3"/>
      </w:pPr>
      <w:r w:rsidRPr="002029AF">
        <w:t>Disability</w:t>
      </w:r>
      <w:r w:rsidR="000A5329" w:rsidRPr="002029AF">
        <w:t xml:space="preserve"> </w:t>
      </w:r>
      <w:r w:rsidRPr="002029AF">
        <w:t>employment</w:t>
      </w:r>
      <w:r w:rsidR="000A5329" w:rsidRPr="002029AF">
        <w:t xml:space="preserve"> </w:t>
      </w:r>
      <w:r w:rsidRPr="002029AF">
        <w:t>strategy</w:t>
      </w:r>
    </w:p>
    <w:p w14:paraId="4D57438F" w14:textId="6C7EBD49" w:rsidR="00CF72D5" w:rsidRPr="002029AF" w:rsidRDefault="00CF72D5" w:rsidP="00897193">
      <w:pPr>
        <w:pStyle w:val="ARbody"/>
      </w:pPr>
      <w:r w:rsidRPr="002029AF">
        <w:t>The</w:t>
      </w:r>
      <w:r w:rsidR="000A5329" w:rsidRPr="002029AF">
        <w:t xml:space="preserve"> </w:t>
      </w:r>
      <w:r w:rsidRPr="002029AF">
        <w:t>department</w:t>
      </w:r>
      <w:r w:rsidR="000A5329" w:rsidRPr="002029AF">
        <w:t xml:space="preserve"> </w:t>
      </w:r>
      <w:r w:rsidRPr="002029AF">
        <w:t>continued</w:t>
      </w:r>
      <w:r w:rsidR="000A5329" w:rsidRPr="002029AF">
        <w:t xml:space="preserve"> </w:t>
      </w:r>
      <w:r w:rsidRPr="002029AF">
        <w:t>to</w:t>
      </w:r>
      <w:r w:rsidR="000A5329" w:rsidRPr="002029AF">
        <w:t xml:space="preserve"> </w:t>
      </w:r>
      <w:r w:rsidRPr="002029AF">
        <w:t>deliver</w:t>
      </w:r>
      <w:r w:rsidR="000A5329" w:rsidRPr="002029AF">
        <w:t xml:space="preserve"> </w:t>
      </w:r>
      <w:r w:rsidRPr="002029AF">
        <w:t>the</w:t>
      </w:r>
      <w:r w:rsidR="000A5329" w:rsidRPr="002029AF">
        <w:t xml:space="preserve"> </w:t>
      </w:r>
      <w:r w:rsidRPr="002029AF">
        <w:rPr>
          <w:i/>
          <w:iCs/>
        </w:rPr>
        <w:t>Disability</w:t>
      </w:r>
      <w:r w:rsidR="000A5329" w:rsidRPr="002029AF">
        <w:rPr>
          <w:i/>
          <w:iCs/>
        </w:rPr>
        <w:t xml:space="preserve"> </w:t>
      </w:r>
      <w:r w:rsidRPr="002029AF">
        <w:rPr>
          <w:i/>
          <w:iCs/>
        </w:rPr>
        <w:t>employment</w:t>
      </w:r>
      <w:r w:rsidR="000A5329" w:rsidRPr="002029AF">
        <w:rPr>
          <w:i/>
          <w:iCs/>
        </w:rPr>
        <w:t xml:space="preserve"> </w:t>
      </w:r>
      <w:r w:rsidRPr="002029AF">
        <w:rPr>
          <w:i/>
          <w:iCs/>
        </w:rPr>
        <w:t>strategy</w:t>
      </w:r>
      <w:r w:rsidR="000A5329" w:rsidRPr="002029AF">
        <w:rPr>
          <w:i/>
          <w:iCs/>
        </w:rPr>
        <w:t xml:space="preserve"> </w:t>
      </w:r>
      <w:r w:rsidRPr="002029AF">
        <w:rPr>
          <w:i/>
          <w:iCs/>
        </w:rPr>
        <w:t>2018–2020</w:t>
      </w:r>
      <w:r w:rsidRPr="002029AF">
        <w:t>.</w:t>
      </w:r>
      <w:r w:rsidR="000A5329" w:rsidRPr="002029AF">
        <w:t xml:space="preserve"> </w:t>
      </w:r>
      <w:r w:rsidRPr="002029AF">
        <w:t>The strategy</w:t>
      </w:r>
      <w:r w:rsidR="000A5329" w:rsidRPr="002029AF">
        <w:t xml:space="preserve"> </w:t>
      </w:r>
      <w:r w:rsidRPr="002029AF">
        <w:t>supports</w:t>
      </w:r>
      <w:r w:rsidR="000A5329" w:rsidRPr="002029AF">
        <w:t xml:space="preserve"> </w:t>
      </w:r>
      <w:r w:rsidRPr="002029AF">
        <w:t>increased</w:t>
      </w:r>
      <w:r w:rsidR="000A5329" w:rsidRPr="002029AF">
        <w:t xml:space="preserve"> </w:t>
      </w:r>
      <w:r w:rsidRPr="002029AF">
        <w:t>opportunities</w:t>
      </w:r>
      <w:r w:rsidR="000A5329" w:rsidRPr="002029AF">
        <w:t xml:space="preserve"> </w:t>
      </w:r>
      <w:r w:rsidRPr="002029AF">
        <w:t>for</w:t>
      </w:r>
      <w:r w:rsidR="000A5329" w:rsidRPr="002029AF">
        <w:t xml:space="preserve"> </w:t>
      </w:r>
      <w:r w:rsidRPr="002029AF">
        <w:t>people</w:t>
      </w:r>
      <w:r w:rsidR="000A5329" w:rsidRPr="002029AF">
        <w:t xml:space="preserve"> </w:t>
      </w:r>
      <w:r w:rsidRPr="002029AF">
        <w:t>with</w:t>
      </w:r>
      <w:r w:rsidR="000A5329" w:rsidRPr="002029AF">
        <w:t xml:space="preserve"> </w:t>
      </w:r>
      <w:r w:rsidRPr="002029AF">
        <w:t>a</w:t>
      </w:r>
      <w:r w:rsidR="000A5329" w:rsidRPr="002029AF">
        <w:t xml:space="preserve"> </w:t>
      </w:r>
      <w:r w:rsidRPr="002029AF">
        <w:t>disability</w:t>
      </w:r>
      <w:r w:rsidR="000A5329" w:rsidRPr="002029AF">
        <w:t xml:space="preserve"> </w:t>
      </w:r>
      <w:r w:rsidRPr="002029AF">
        <w:t>to</w:t>
      </w:r>
      <w:r w:rsidR="000A5329" w:rsidRPr="002029AF">
        <w:t xml:space="preserve"> </w:t>
      </w:r>
      <w:r w:rsidRPr="002029AF">
        <w:t>work</w:t>
      </w:r>
      <w:r w:rsidR="000A5329" w:rsidRPr="002029AF">
        <w:t xml:space="preserve"> </w:t>
      </w:r>
      <w:r w:rsidRPr="002029AF">
        <w:t>in</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with</w:t>
      </w:r>
      <w:r w:rsidR="000A5329" w:rsidRPr="002029AF">
        <w:t xml:space="preserve"> </w:t>
      </w:r>
      <w:r w:rsidRPr="002029AF">
        <w:t>targets</w:t>
      </w:r>
      <w:r w:rsidR="000A5329" w:rsidRPr="002029AF">
        <w:t xml:space="preserve"> </w:t>
      </w:r>
      <w:r w:rsidRPr="002029AF">
        <w:t>of</w:t>
      </w:r>
      <w:r w:rsidR="000A5329" w:rsidRPr="002029AF">
        <w:t xml:space="preserve"> </w:t>
      </w:r>
      <w:r w:rsidR="00684291" w:rsidRPr="002029AF">
        <w:t>six</w:t>
      </w:r>
      <w:r w:rsidR="000A5329" w:rsidRPr="002029AF">
        <w:t xml:space="preserve"> </w:t>
      </w:r>
      <w:r w:rsidRPr="002029AF">
        <w:t>per</w:t>
      </w:r>
      <w:r w:rsidR="00D527E4" w:rsidRPr="002029AF">
        <w:t xml:space="preserve"> </w:t>
      </w:r>
      <w:r w:rsidRPr="002029AF">
        <w:t>cent</w:t>
      </w:r>
      <w:r w:rsidR="000A5329" w:rsidRPr="002029AF">
        <w:t xml:space="preserve"> </w:t>
      </w:r>
      <w:r w:rsidRPr="002029AF">
        <w:t>employment</w:t>
      </w:r>
      <w:r w:rsidR="000A5329" w:rsidRPr="002029AF">
        <w:t xml:space="preserve"> </w:t>
      </w:r>
      <w:r w:rsidRPr="002029AF">
        <w:t>by</w:t>
      </w:r>
      <w:r w:rsidR="000A5329" w:rsidRPr="002029AF">
        <w:t xml:space="preserve"> </w:t>
      </w:r>
      <w:r w:rsidRPr="002029AF">
        <w:t>2020</w:t>
      </w:r>
      <w:r w:rsidR="000A5329" w:rsidRPr="002029AF">
        <w:t xml:space="preserve"> </w:t>
      </w:r>
      <w:r w:rsidRPr="002029AF">
        <w:t>and</w:t>
      </w:r>
      <w:r w:rsidR="000A5329" w:rsidRPr="002029AF">
        <w:t xml:space="preserve"> </w:t>
      </w:r>
      <w:r w:rsidR="00063410" w:rsidRPr="002029AF">
        <w:t>twelve</w:t>
      </w:r>
      <w:r w:rsidR="000A5329" w:rsidRPr="002029AF">
        <w:t xml:space="preserve"> </w:t>
      </w:r>
      <w:r w:rsidRPr="002029AF">
        <w:t>per</w:t>
      </w:r>
      <w:r w:rsidR="00D527E4" w:rsidRPr="002029AF">
        <w:t xml:space="preserve"> </w:t>
      </w:r>
      <w:r w:rsidRPr="002029AF">
        <w:t>cent</w:t>
      </w:r>
      <w:r w:rsidR="000A5329" w:rsidRPr="002029AF">
        <w:t xml:space="preserve"> </w:t>
      </w:r>
      <w:r w:rsidRPr="002029AF">
        <w:t>employment</w:t>
      </w:r>
      <w:r w:rsidR="000A5329" w:rsidRPr="002029AF">
        <w:t xml:space="preserve"> </w:t>
      </w:r>
      <w:r w:rsidRPr="002029AF">
        <w:t>by</w:t>
      </w:r>
      <w:r w:rsidR="000A5329" w:rsidRPr="002029AF">
        <w:t xml:space="preserve"> </w:t>
      </w:r>
      <w:r w:rsidRPr="002029AF">
        <w:t>2025.</w:t>
      </w:r>
    </w:p>
    <w:p w14:paraId="27C7ABFA" w14:textId="403B5006" w:rsidR="00CF72D5" w:rsidRPr="002029AF" w:rsidRDefault="00CF72D5" w:rsidP="00897193">
      <w:pPr>
        <w:pStyle w:val="ARbody"/>
      </w:pPr>
      <w:r w:rsidRPr="002029AF">
        <w:t>In</w:t>
      </w:r>
      <w:r w:rsidR="000A5329" w:rsidRPr="002029AF">
        <w:t xml:space="preserve"> </w:t>
      </w:r>
      <w:r w:rsidRPr="002029AF">
        <w:t>addition,</w:t>
      </w:r>
      <w:r w:rsidR="000A5329" w:rsidRPr="002029AF">
        <w:t xml:space="preserve"> </w:t>
      </w:r>
      <w:r w:rsidRPr="002029AF">
        <w:t>the</w:t>
      </w:r>
      <w:r w:rsidR="000A5329" w:rsidRPr="002029AF">
        <w:t xml:space="preserve"> </w:t>
      </w:r>
      <w:r w:rsidRPr="002029AF">
        <w:t>strategy</w:t>
      </w:r>
      <w:r w:rsidR="000A5329" w:rsidRPr="002029AF">
        <w:t xml:space="preserve"> </w:t>
      </w:r>
      <w:r w:rsidRPr="002029AF">
        <w:t>provides</w:t>
      </w:r>
      <w:r w:rsidR="000A5329" w:rsidRPr="002029AF">
        <w:t xml:space="preserve"> </w:t>
      </w:r>
      <w:r w:rsidRPr="002029AF">
        <w:t>a</w:t>
      </w:r>
      <w:r w:rsidR="000A5329" w:rsidRPr="002029AF">
        <w:t xml:space="preserve"> </w:t>
      </w:r>
      <w:r w:rsidRPr="002029AF">
        <w:t>focus</w:t>
      </w:r>
      <w:r w:rsidR="000A5329" w:rsidRPr="002029AF">
        <w:t xml:space="preserve"> </w:t>
      </w:r>
      <w:r w:rsidRPr="002029AF">
        <w:t>for</w:t>
      </w:r>
      <w:r w:rsidR="000A5329" w:rsidRPr="002029AF">
        <w:t xml:space="preserve"> </w:t>
      </w:r>
      <w:r w:rsidRPr="002029AF">
        <w:t>the department</w:t>
      </w:r>
      <w:r w:rsidR="000A5329" w:rsidRPr="002029AF">
        <w:t xml:space="preserve"> </w:t>
      </w:r>
      <w:r w:rsidRPr="002029AF">
        <w:t>to</w:t>
      </w:r>
      <w:r w:rsidR="000A5329" w:rsidRPr="002029AF">
        <w:t xml:space="preserve"> </w:t>
      </w:r>
      <w:r w:rsidRPr="002029AF">
        <w:t>ensure</w:t>
      </w:r>
      <w:r w:rsidR="000A5329" w:rsidRPr="002029AF">
        <w:t xml:space="preserve"> </w:t>
      </w:r>
      <w:r w:rsidRPr="002029AF">
        <w:t>staff</w:t>
      </w:r>
      <w:r w:rsidR="000A5329" w:rsidRPr="002029AF">
        <w:t xml:space="preserve"> </w:t>
      </w:r>
      <w:r w:rsidRPr="002029AF">
        <w:t>who</w:t>
      </w:r>
      <w:r w:rsidR="000A5329" w:rsidRPr="002029AF">
        <w:t xml:space="preserve"> </w:t>
      </w:r>
      <w:r w:rsidRPr="002029AF">
        <w:t>identify</w:t>
      </w:r>
      <w:r w:rsidR="000A5329" w:rsidRPr="002029AF">
        <w:t xml:space="preserve"> </w:t>
      </w:r>
      <w:r w:rsidRPr="002029AF">
        <w:t>as</w:t>
      </w:r>
      <w:r w:rsidR="000A5329" w:rsidRPr="002029AF">
        <w:t xml:space="preserve"> </w:t>
      </w:r>
      <w:r w:rsidRPr="002029AF">
        <w:t>having</w:t>
      </w:r>
      <w:r w:rsidR="000A5329" w:rsidRPr="002029AF">
        <w:t xml:space="preserve"> </w:t>
      </w:r>
      <w:r w:rsidRPr="002029AF">
        <w:t>a</w:t>
      </w:r>
      <w:r w:rsidR="000A5329" w:rsidRPr="002029AF">
        <w:t xml:space="preserve"> </w:t>
      </w:r>
      <w:r w:rsidRPr="002029AF">
        <w:t>disability</w:t>
      </w:r>
      <w:r w:rsidR="000A5329" w:rsidRPr="002029AF">
        <w:t xml:space="preserve"> </w:t>
      </w:r>
      <w:r w:rsidRPr="002029AF">
        <w:t>are</w:t>
      </w:r>
      <w:r w:rsidR="000A5329" w:rsidRPr="002029AF">
        <w:t xml:space="preserve"> </w:t>
      </w:r>
      <w:r w:rsidRPr="002029AF">
        <w:t>supported</w:t>
      </w:r>
      <w:r w:rsidR="000A5329" w:rsidRPr="002029AF">
        <w:t xml:space="preserve"> </w:t>
      </w:r>
      <w:r w:rsidRPr="002029AF">
        <w:t>appropriately</w:t>
      </w:r>
      <w:r w:rsidR="000A5329" w:rsidRPr="002029AF">
        <w:t xml:space="preserve"> </w:t>
      </w:r>
      <w:r w:rsidRPr="002029AF">
        <w:t>through</w:t>
      </w:r>
      <w:r w:rsidR="000A5329" w:rsidRPr="002029AF">
        <w:t xml:space="preserve"> </w:t>
      </w:r>
      <w:r w:rsidRPr="002029AF">
        <w:t>adjustments</w:t>
      </w:r>
      <w:r w:rsidR="000A5329" w:rsidRPr="002029AF">
        <w:t xml:space="preserve"> </w:t>
      </w:r>
      <w:r w:rsidRPr="002029AF">
        <w:t>in</w:t>
      </w:r>
      <w:r w:rsidR="000A5329" w:rsidRPr="002029AF">
        <w:t xml:space="preserve"> </w:t>
      </w:r>
      <w:r w:rsidRPr="002029AF">
        <w:t>the</w:t>
      </w:r>
      <w:r w:rsidR="000A5329" w:rsidRPr="002029AF">
        <w:t xml:space="preserve"> </w:t>
      </w:r>
      <w:r w:rsidRPr="002029AF">
        <w:t>recruitment</w:t>
      </w:r>
      <w:r w:rsidR="000A5329" w:rsidRPr="002029AF">
        <w:t xml:space="preserve"> </w:t>
      </w:r>
      <w:r w:rsidRPr="002029AF">
        <w:t>process</w:t>
      </w:r>
      <w:r w:rsidR="000A5329" w:rsidRPr="002029AF">
        <w:t xml:space="preserve"> </w:t>
      </w:r>
      <w:r w:rsidRPr="002029AF">
        <w:t>and</w:t>
      </w:r>
      <w:r w:rsidR="00EF3FCC">
        <w:t> </w:t>
      </w:r>
      <w:r w:rsidRPr="002029AF">
        <w:t>in</w:t>
      </w:r>
      <w:r w:rsidR="000A5329" w:rsidRPr="002029AF">
        <w:t xml:space="preserve"> </w:t>
      </w:r>
      <w:r w:rsidRPr="002029AF">
        <w:t>the</w:t>
      </w:r>
      <w:r w:rsidR="000A5329" w:rsidRPr="002029AF">
        <w:t xml:space="preserve"> </w:t>
      </w:r>
      <w:r w:rsidRPr="002029AF">
        <w:t>workplace.</w:t>
      </w:r>
    </w:p>
    <w:p w14:paraId="37A3920A" w14:textId="6444C96F" w:rsidR="000A5329" w:rsidRPr="002029AF" w:rsidRDefault="00CF72D5" w:rsidP="00897193">
      <w:pPr>
        <w:pStyle w:val="ARbody"/>
      </w:pPr>
      <w:r w:rsidRPr="002029AF">
        <w:t>The</w:t>
      </w:r>
      <w:r w:rsidR="000A5329" w:rsidRPr="002029AF">
        <w:t xml:space="preserve"> </w:t>
      </w:r>
      <w:r w:rsidRPr="002029AF">
        <w:t>RISE@DHHS</w:t>
      </w:r>
      <w:r w:rsidR="000A5329" w:rsidRPr="002029AF">
        <w:t xml:space="preserve"> </w:t>
      </w:r>
      <w:r w:rsidRPr="002029AF">
        <w:t>program</w:t>
      </w:r>
      <w:r w:rsidR="000A5329" w:rsidRPr="002029AF">
        <w:t xml:space="preserve"> </w:t>
      </w:r>
      <w:r w:rsidRPr="002029AF">
        <w:t>continued</w:t>
      </w:r>
      <w:r w:rsidR="000A5329" w:rsidRPr="002029AF">
        <w:t xml:space="preserve"> </w:t>
      </w:r>
      <w:r w:rsidRPr="002029AF">
        <w:t>to</w:t>
      </w:r>
      <w:r w:rsidR="000A5329" w:rsidRPr="002029AF">
        <w:t xml:space="preserve"> </w:t>
      </w:r>
      <w:r w:rsidRPr="002029AF">
        <w:t>provide meaningful</w:t>
      </w:r>
      <w:r w:rsidR="000A5329" w:rsidRPr="002029AF">
        <w:t xml:space="preserve"> </w:t>
      </w:r>
      <w:r w:rsidRPr="002029AF">
        <w:t>employment</w:t>
      </w:r>
      <w:r w:rsidR="000A5329" w:rsidRPr="002029AF">
        <w:t xml:space="preserve"> </w:t>
      </w:r>
      <w:r w:rsidRPr="002029AF">
        <w:t>for</w:t>
      </w:r>
      <w:r w:rsidR="000A5329" w:rsidRPr="002029AF">
        <w:t xml:space="preserve"> </w:t>
      </w:r>
      <w:r w:rsidRPr="002029AF">
        <w:t>people</w:t>
      </w:r>
      <w:r w:rsidR="000A5329" w:rsidRPr="002029AF">
        <w:rPr>
          <w:rFonts w:ascii="Calibri" w:eastAsia="MS Mincho" w:hAnsi="Calibri" w:cs="Segoe UI"/>
          <w:color w:val="0078D4"/>
          <w:sz w:val="22"/>
          <w:szCs w:val="22"/>
          <w:u w:val="single"/>
        </w:rPr>
        <w:t xml:space="preserve"> </w:t>
      </w:r>
      <w:r w:rsidRPr="002029AF">
        <w:t>on the</w:t>
      </w:r>
      <w:r w:rsidR="000A5329" w:rsidRPr="002029AF">
        <w:t xml:space="preserve"> </w:t>
      </w:r>
      <w:r w:rsidRPr="002029AF">
        <w:t>autism</w:t>
      </w:r>
      <w:r w:rsidR="000A5329" w:rsidRPr="002029AF">
        <w:t xml:space="preserve"> </w:t>
      </w:r>
      <w:r w:rsidRPr="002029AF">
        <w:t>spectrum.</w:t>
      </w:r>
      <w:r w:rsidR="000A5329" w:rsidRPr="002029AF">
        <w:t xml:space="preserve"> </w:t>
      </w:r>
      <w:r w:rsidRPr="002029AF">
        <w:t>The</w:t>
      </w:r>
      <w:r w:rsidR="000A5329" w:rsidRPr="002029AF">
        <w:t xml:space="preserve"> </w:t>
      </w:r>
      <w:r w:rsidRPr="002029AF">
        <w:t>program</w:t>
      </w:r>
      <w:r w:rsidR="000A5329" w:rsidRPr="002029AF">
        <w:t xml:space="preserve"> </w:t>
      </w:r>
      <w:r w:rsidRPr="002029AF">
        <w:t>established</w:t>
      </w:r>
      <w:r w:rsidR="000A5329" w:rsidRPr="002029AF">
        <w:t xml:space="preserve"> </w:t>
      </w:r>
      <w:r w:rsidRPr="002029AF">
        <w:t>a</w:t>
      </w:r>
      <w:r w:rsidR="000A5329" w:rsidRPr="002029AF">
        <w:t xml:space="preserve"> </w:t>
      </w:r>
      <w:r w:rsidRPr="002029AF">
        <w:t>set</w:t>
      </w:r>
      <w:r w:rsidR="000A5329" w:rsidRPr="002029AF">
        <w:t xml:space="preserve"> </w:t>
      </w:r>
      <w:r w:rsidRPr="002029AF">
        <w:t>of</w:t>
      </w:r>
      <w:r w:rsidR="00EF3FCC">
        <w:t> </w:t>
      </w:r>
      <w:r w:rsidRPr="002029AF">
        <w:t>services</w:t>
      </w:r>
      <w:r w:rsidR="000A5329" w:rsidRPr="002029AF">
        <w:t xml:space="preserve"> </w:t>
      </w:r>
      <w:r w:rsidRPr="002029AF">
        <w:t>from</w:t>
      </w:r>
      <w:r w:rsidR="000A5329" w:rsidRPr="002029AF">
        <w:t xml:space="preserve"> </w:t>
      </w:r>
      <w:r w:rsidR="00BE68A0" w:rsidRPr="002029AF">
        <w:t>d</w:t>
      </w:r>
      <w:r w:rsidRPr="002029AF">
        <w:t>ata</w:t>
      </w:r>
      <w:r w:rsidR="000A5329" w:rsidRPr="002029AF">
        <w:t xml:space="preserve"> </w:t>
      </w:r>
      <w:r w:rsidR="00BE68A0" w:rsidRPr="002029AF">
        <w:t>e</w:t>
      </w:r>
      <w:r w:rsidRPr="002029AF">
        <w:t>ntry</w:t>
      </w:r>
      <w:r w:rsidR="000A5329" w:rsidRPr="002029AF">
        <w:t xml:space="preserve"> </w:t>
      </w:r>
      <w:r w:rsidRPr="002029AF">
        <w:t>to</w:t>
      </w:r>
      <w:r w:rsidR="00233C48" w:rsidRPr="002029AF">
        <w:t> </w:t>
      </w:r>
      <w:r w:rsidRPr="002029AF">
        <w:t>document</w:t>
      </w:r>
      <w:r w:rsidR="000A5329" w:rsidRPr="002029AF">
        <w:t xml:space="preserve"> </w:t>
      </w:r>
      <w:r w:rsidRPr="002029AF">
        <w:t>and</w:t>
      </w:r>
      <w:r w:rsidR="000A5329" w:rsidRPr="002029AF">
        <w:t xml:space="preserve"> </w:t>
      </w:r>
      <w:r w:rsidRPr="002029AF">
        <w:t>mail</w:t>
      </w:r>
      <w:r w:rsidR="000A5329" w:rsidRPr="002029AF">
        <w:t xml:space="preserve"> </w:t>
      </w:r>
      <w:r w:rsidRPr="002029AF">
        <w:t>digitisation</w:t>
      </w:r>
      <w:r w:rsidR="000A5329" w:rsidRPr="002029AF">
        <w:t xml:space="preserve"> </w:t>
      </w:r>
      <w:r w:rsidRPr="002029AF">
        <w:t>that</w:t>
      </w:r>
      <w:r w:rsidR="000A5329" w:rsidRPr="002029AF">
        <w:t xml:space="preserve"> </w:t>
      </w:r>
      <w:r w:rsidRPr="002029AF">
        <w:t>can</w:t>
      </w:r>
      <w:r w:rsidR="000A5329" w:rsidRPr="002029AF">
        <w:t xml:space="preserve"> </w:t>
      </w:r>
      <w:r w:rsidRPr="002029AF">
        <w:t>be</w:t>
      </w:r>
      <w:r w:rsidR="000A5329" w:rsidRPr="002029AF">
        <w:t xml:space="preserve"> </w:t>
      </w:r>
      <w:r w:rsidRPr="002029AF">
        <w:t>provided</w:t>
      </w:r>
      <w:r w:rsidR="000A5329" w:rsidRPr="002029AF">
        <w:t xml:space="preserve"> </w:t>
      </w:r>
      <w:r w:rsidRPr="002029AF">
        <w:t>to</w:t>
      </w:r>
      <w:r w:rsidR="000A5329" w:rsidRPr="002029AF">
        <w:t xml:space="preserve"> </w:t>
      </w:r>
      <w:r w:rsidRPr="002029AF">
        <w:t>customers</w:t>
      </w:r>
      <w:r w:rsidR="000A5329" w:rsidRPr="002029AF">
        <w:t xml:space="preserve"> </w:t>
      </w:r>
      <w:r w:rsidRPr="002029AF">
        <w:t>across</w:t>
      </w:r>
      <w:r w:rsidR="000A5329" w:rsidRPr="002029AF">
        <w:t xml:space="preserve"> </w:t>
      </w:r>
      <w:r w:rsidRPr="002029AF">
        <w:t>government.</w:t>
      </w:r>
    </w:p>
    <w:p w14:paraId="6FF11411" w14:textId="4EA37969" w:rsidR="000A5329" w:rsidRPr="002029AF" w:rsidRDefault="00CF72D5" w:rsidP="00897193">
      <w:pPr>
        <w:pStyle w:val="ARbody"/>
      </w:pPr>
      <w:r w:rsidRPr="002029AF">
        <w:t>The</w:t>
      </w:r>
      <w:r w:rsidR="000A5329" w:rsidRPr="002029AF">
        <w:t xml:space="preserve"> </w:t>
      </w:r>
      <w:r w:rsidRPr="002029AF">
        <w:t>department</w:t>
      </w:r>
      <w:r w:rsidR="000A5329" w:rsidRPr="002029AF">
        <w:t xml:space="preserve"> </w:t>
      </w:r>
      <w:r w:rsidRPr="002029AF">
        <w:t>continued</w:t>
      </w:r>
      <w:r w:rsidR="000A5329" w:rsidRPr="002029AF">
        <w:t xml:space="preserve"> </w:t>
      </w:r>
      <w:r w:rsidRPr="002029AF">
        <w:t>the</w:t>
      </w:r>
      <w:r w:rsidR="000A5329" w:rsidRPr="002029AF">
        <w:t xml:space="preserve"> </w:t>
      </w:r>
      <w:r w:rsidRPr="002029AF">
        <w:t>Stepping</w:t>
      </w:r>
      <w:r w:rsidR="000A5329" w:rsidRPr="002029AF">
        <w:t xml:space="preserve"> </w:t>
      </w:r>
      <w:r w:rsidRPr="002029AF">
        <w:t>into</w:t>
      </w:r>
      <w:r w:rsidR="000A5329" w:rsidRPr="002029AF">
        <w:t xml:space="preserve"> </w:t>
      </w:r>
      <w:r w:rsidRPr="002029AF">
        <w:t>Internship</w:t>
      </w:r>
      <w:r w:rsidR="000A5329" w:rsidRPr="002029AF">
        <w:t xml:space="preserve"> </w:t>
      </w:r>
      <w:r w:rsidRPr="002029AF">
        <w:t>program</w:t>
      </w:r>
      <w:r w:rsidR="000A5329" w:rsidRPr="002029AF">
        <w:t xml:space="preserve"> </w:t>
      </w:r>
      <w:r w:rsidRPr="002029AF">
        <w:t>for</w:t>
      </w:r>
      <w:r w:rsidR="000A5329" w:rsidRPr="002029AF">
        <w:t xml:space="preserve"> </w:t>
      </w:r>
      <w:r w:rsidRPr="002029AF">
        <w:t>people</w:t>
      </w:r>
      <w:r w:rsidR="000A5329" w:rsidRPr="002029AF">
        <w:t xml:space="preserve"> </w:t>
      </w:r>
      <w:r w:rsidRPr="002029AF">
        <w:t>living</w:t>
      </w:r>
      <w:r w:rsidR="000A5329" w:rsidRPr="002029AF">
        <w:t xml:space="preserve"> </w:t>
      </w:r>
      <w:r w:rsidRPr="002029AF">
        <w:t>with</w:t>
      </w:r>
      <w:r w:rsidR="000A5329" w:rsidRPr="002029AF">
        <w:t xml:space="preserve"> </w:t>
      </w:r>
      <w:r w:rsidRPr="002029AF">
        <w:t>disability.</w:t>
      </w:r>
      <w:r w:rsidR="000A5329" w:rsidRPr="002029AF">
        <w:t xml:space="preserve"> </w:t>
      </w:r>
      <w:r w:rsidRPr="002029AF">
        <w:t>This</w:t>
      </w:r>
      <w:r w:rsidR="000A5329" w:rsidRPr="002029AF">
        <w:t xml:space="preserve"> </w:t>
      </w:r>
      <w:r w:rsidRPr="002029AF">
        <w:t>program</w:t>
      </w:r>
      <w:r w:rsidR="000A5329" w:rsidRPr="002029AF">
        <w:t xml:space="preserve"> </w:t>
      </w:r>
      <w:r w:rsidRPr="002029AF">
        <w:t>provides</w:t>
      </w:r>
      <w:r w:rsidR="000A5329" w:rsidRPr="002029AF">
        <w:t xml:space="preserve"> </w:t>
      </w:r>
      <w:r w:rsidRPr="002029AF">
        <w:t>university</w:t>
      </w:r>
      <w:r w:rsidR="000A5329" w:rsidRPr="002029AF">
        <w:t xml:space="preserve"> </w:t>
      </w:r>
      <w:r w:rsidRPr="002029AF">
        <w:t>students</w:t>
      </w:r>
      <w:r w:rsidR="000A5329" w:rsidRPr="002029AF">
        <w:t xml:space="preserve"> </w:t>
      </w:r>
      <w:r w:rsidRPr="002029AF">
        <w:t>with</w:t>
      </w:r>
      <w:r w:rsidR="000A5329" w:rsidRPr="002029AF">
        <w:t xml:space="preserve"> </w:t>
      </w:r>
      <w:r w:rsidRPr="002029AF">
        <w:t>valuable</w:t>
      </w:r>
      <w:r w:rsidR="000A5329" w:rsidRPr="002029AF">
        <w:t xml:space="preserve"> </w:t>
      </w:r>
      <w:r w:rsidRPr="002029AF">
        <w:t>work</w:t>
      </w:r>
      <w:r w:rsidR="000A5329" w:rsidRPr="002029AF">
        <w:t xml:space="preserve"> </w:t>
      </w:r>
      <w:r w:rsidRPr="002029AF">
        <w:t>experience,</w:t>
      </w:r>
      <w:r w:rsidR="000A5329" w:rsidRPr="002029AF">
        <w:t xml:space="preserve"> </w:t>
      </w:r>
      <w:r w:rsidR="000343EC" w:rsidRPr="002029AF">
        <w:t>confidence</w:t>
      </w:r>
      <w:r w:rsidR="000A5329" w:rsidRPr="002029AF">
        <w:t xml:space="preserve"> </w:t>
      </w:r>
      <w:r w:rsidR="000343EC" w:rsidRPr="002029AF">
        <w:t>and</w:t>
      </w:r>
      <w:r w:rsidR="000A5329" w:rsidRPr="002029AF">
        <w:t xml:space="preserve"> </w:t>
      </w:r>
      <w:r w:rsidRPr="002029AF">
        <w:t>a</w:t>
      </w:r>
      <w:r w:rsidR="000A5329" w:rsidRPr="002029AF">
        <w:t xml:space="preserve"> </w:t>
      </w:r>
      <w:r w:rsidRPr="002029AF">
        <w:t>chance</w:t>
      </w:r>
      <w:r w:rsidR="000A5329" w:rsidRPr="002029AF">
        <w:t xml:space="preserve"> </w:t>
      </w:r>
      <w:r w:rsidRPr="002029AF">
        <w:t>to</w:t>
      </w:r>
      <w:r w:rsidR="000A5329" w:rsidRPr="002029AF">
        <w:t xml:space="preserve"> </w:t>
      </w:r>
      <w:r w:rsidRPr="002029AF">
        <w:t>bridge</w:t>
      </w:r>
      <w:r w:rsidR="000A5329" w:rsidRPr="002029AF">
        <w:t xml:space="preserve"> </w:t>
      </w:r>
      <w:r w:rsidRPr="002029AF">
        <w:t>the</w:t>
      </w:r>
      <w:r w:rsidR="000A5329" w:rsidRPr="002029AF">
        <w:t xml:space="preserve"> </w:t>
      </w:r>
      <w:r w:rsidRPr="002029AF">
        <w:t>gap</w:t>
      </w:r>
      <w:r w:rsidR="000A5329" w:rsidRPr="002029AF">
        <w:t xml:space="preserve"> </w:t>
      </w:r>
      <w:r w:rsidRPr="002029AF">
        <w:t>between</w:t>
      </w:r>
      <w:r w:rsidR="000A5329" w:rsidRPr="002029AF">
        <w:t xml:space="preserve"> </w:t>
      </w:r>
      <w:r w:rsidRPr="002029AF">
        <w:t>university</w:t>
      </w:r>
      <w:r w:rsidR="000A5329" w:rsidRPr="002029AF">
        <w:t xml:space="preserve"> </w:t>
      </w:r>
      <w:r w:rsidRPr="002029AF">
        <w:t>and</w:t>
      </w:r>
      <w:r w:rsidR="00EF3FCC">
        <w:t> </w:t>
      </w:r>
      <w:r w:rsidRPr="002029AF">
        <w:t>graduate</w:t>
      </w:r>
      <w:r w:rsidR="000A5329" w:rsidRPr="002029AF">
        <w:t xml:space="preserve"> </w:t>
      </w:r>
      <w:r w:rsidRPr="002029AF">
        <w:t>opportunities.</w:t>
      </w:r>
    </w:p>
    <w:p w14:paraId="099BD62A" w14:textId="6B97D23B" w:rsidR="000A5329" w:rsidRPr="002029AF" w:rsidRDefault="00CF72D5" w:rsidP="00897193">
      <w:pPr>
        <w:pStyle w:val="ARbody"/>
      </w:pPr>
      <w:r w:rsidRPr="002029AF">
        <w:t>The</w:t>
      </w:r>
      <w:r w:rsidR="000A5329" w:rsidRPr="002029AF">
        <w:t xml:space="preserve"> </w:t>
      </w:r>
      <w:r w:rsidRPr="002029AF">
        <w:t>All</w:t>
      </w:r>
      <w:r w:rsidR="000A5329" w:rsidRPr="002029AF">
        <w:t xml:space="preserve"> </w:t>
      </w:r>
      <w:r w:rsidRPr="002029AF">
        <w:t>Ability</w:t>
      </w:r>
      <w:r w:rsidR="000A5329" w:rsidRPr="002029AF">
        <w:t xml:space="preserve"> </w:t>
      </w:r>
      <w:r w:rsidRPr="002029AF">
        <w:t>Graduate</w:t>
      </w:r>
      <w:r w:rsidR="000A5329" w:rsidRPr="002029AF">
        <w:t xml:space="preserve"> </w:t>
      </w:r>
      <w:r w:rsidRPr="002029AF">
        <w:t>Program</w:t>
      </w:r>
      <w:r w:rsidR="000A5329" w:rsidRPr="002029AF">
        <w:t xml:space="preserve"> </w:t>
      </w:r>
      <w:r w:rsidRPr="002029AF">
        <w:t>continued</w:t>
      </w:r>
      <w:r w:rsidR="000A5329" w:rsidRPr="002029AF">
        <w:t xml:space="preserve"> </w:t>
      </w:r>
      <w:r w:rsidRPr="002029AF">
        <w:t>to</w:t>
      </w:r>
      <w:r w:rsidR="000A5329" w:rsidRPr="002029AF">
        <w:t xml:space="preserve"> </w:t>
      </w:r>
      <w:r w:rsidRPr="002029AF">
        <w:t>support</w:t>
      </w:r>
      <w:r w:rsidR="000A5329" w:rsidRPr="002029AF">
        <w:t xml:space="preserve"> </w:t>
      </w:r>
      <w:r w:rsidRPr="002029AF">
        <w:t>skills</w:t>
      </w:r>
      <w:r w:rsidR="000A5329" w:rsidRPr="002029AF">
        <w:t xml:space="preserve"> </w:t>
      </w:r>
      <w:r w:rsidRPr="002029AF">
        <w:t>and</w:t>
      </w:r>
      <w:r w:rsidR="000A5329" w:rsidRPr="002029AF">
        <w:t xml:space="preserve"> </w:t>
      </w:r>
      <w:r w:rsidRPr="002029AF">
        <w:t>development</w:t>
      </w:r>
      <w:r w:rsidR="000A5329" w:rsidRPr="002029AF">
        <w:t xml:space="preserve"> </w:t>
      </w:r>
      <w:r w:rsidRPr="002029AF">
        <w:t>of</w:t>
      </w:r>
      <w:r w:rsidR="000A5329" w:rsidRPr="002029AF">
        <w:t xml:space="preserve"> </w:t>
      </w:r>
      <w:r w:rsidRPr="002029AF">
        <w:t>graduates</w:t>
      </w:r>
      <w:r w:rsidR="000A5329" w:rsidRPr="002029AF">
        <w:t xml:space="preserve"> </w:t>
      </w:r>
      <w:r w:rsidRPr="002029AF">
        <w:t>with</w:t>
      </w:r>
      <w:r w:rsidR="000A5329" w:rsidRPr="002029AF">
        <w:t xml:space="preserve"> </w:t>
      </w:r>
      <w:r w:rsidR="00482F03" w:rsidRPr="002029AF">
        <w:t>a</w:t>
      </w:r>
      <w:r w:rsidR="00EF3FCC">
        <w:t> </w:t>
      </w:r>
      <w:r w:rsidRPr="002029AF">
        <w:t>disability</w:t>
      </w:r>
      <w:r w:rsidR="000A5329" w:rsidRPr="002029AF">
        <w:t xml:space="preserve"> </w:t>
      </w:r>
      <w:r w:rsidRPr="002029AF">
        <w:t>alongside</w:t>
      </w:r>
      <w:r w:rsidR="000A5329" w:rsidRPr="002029AF">
        <w:t xml:space="preserve"> </w:t>
      </w:r>
      <w:r w:rsidRPr="002029AF">
        <w:t>the</w:t>
      </w:r>
      <w:r w:rsidR="000A5329" w:rsidRPr="002029AF">
        <w:t xml:space="preserve"> </w:t>
      </w:r>
      <w:r w:rsidRPr="002029AF">
        <w:t>wider</w:t>
      </w:r>
      <w:r w:rsidR="000A5329" w:rsidRPr="002029AF">
        <w:t xml:space="preserve"> </w:t>
      </w:r>
      <w:r w:rsidRPr="002029AF">
        <w:t>VPS</w:t>
      </w:r>
      <w:r w:rsidR="000A5329" w:rsidRPr="002029AF">
        <w:t xml:space="preserve"> </w:t>
      </w:r>
      <w:r w:rsidRPr="002029AF">
        <w:t>Graduate</w:t>
      </w:r>
      <w:r w:rsidR="000A5329" w:rsidRPr="002029AF">
        <w:t xml:space="preserve"> </w:t>
      </w:r>
      <w:r w:rsidRPr="002029AF">
        <w:t>Recruitment</w:t>
      </w:r>
      <w:r w:rsidR="000A5329" w:rsidRPr="002029AF">
        <w:t xml:space="preserve"> </w:t>
      </w:r>
      <w:r w:rsidRPr="002029AF">
        <w:t>Development</w:t>
      </w:r>
      <w:r w:rsidR="000A5329" w:rsidRPr="002029AF">
        <w:t xml:space="preserve"> </w:t>
      </w:r>
      <w:r w:rsidRPr="002029AF">
        <w:t>program.</w:t>
      </w:r>
    </w:p>
    <w:p w14:paraId="0707D3DC" w14:textId="100BD970" w:rsidR="000A5329" w:rsidRPr="002029AF" w:rsidRDefault="00CF72D5" w:rsidP="00EF3FCC">
      <w:pPr>
        <w:pStyle w:val="ARbody"/>
        <w:keepNext/>
      </w:pPr>
      <w:r w:rsidRPr="002029AF">
        <w:lastRenderedPageBreak/>
        <w:t>The</w:t>
      </w:r>
      <w:r w:rsidR="000A5329" w:rsidRPr="002029AF">
        <w:t xml:space="preserve"> </w:t>
      </w:r>
      <w:r w:rsidRPr="002029AF">
        <w:t>department</w:t>
      </w:r>
      <w:r w:rsidR="000A5329" w:rsidRPr="002029AF">
        <w:t xml:space="preserve"> </w:t>
      </w:r>
      <w:r w:rsidRPr="002029AF">
        <w:t>continued</w:t>
      </w:r>
      <w:r w:rsidR="000A5329" w:rsidRPr="002029AF">
        <w:t xml:space="preserve"> </w:t>
      </w:r>
      <w:r w:rsidRPr="002029AF">
        <w:t>implementing</w:t>
      </w:r>
      <w:r w:rsidR="000A5329" w:rsidRPr="002029AF">
        <w:t xml:space="preserve"> </w:t>
      </w:r>
      <w:r w:rsidRPr="002029AF">
        <w:t>disability</w:t>
      </w:r>
      <w:r w:rsidR="00EF3FCC">
        <w:t> </w:t>
      </w:r>
      <w:r w:rsidRPr="002029AF">
        <w:t>employment</w:t>
      </w:r>
      <w:r w:rsidR="000A5329" w:rsidRPr="002029AF">
        <w:t xml:space="preserve"> </w:t>
      </w:r>
      <w:r w:rsidRPr="002029AF">
        <w:t>initiatives</w:t>
      </w:r>
      <w:r w:rsidR="00DF0FC6" w:rsidRPr="002029AF">
        <w:t>,</w:t>
      </w:r>
      <w:r w:rsidR="000A5329" w:rsidRPr="002029AF">
        <w:t xml:space="preserve"> </w:t>
      </w:r>
      <w:r w:rsidR="00DF0FC6" w:rsidRPr="002029AF">
        <w:t>including:</w:t>
      </w:r>
    </w:p>
    <w:p w14:paraId="78D05DF1" w14:textId="68D54F65" w:rsidR="000A5329" w:rsidRPr="002029AF" w:rsidRDefault="00CF72D5" w:rsidP="001E768A">
      <w:pPr>
        <w:pStyle w:val="ARbullet1"/>
      </w:pPr>
      <w:r w:rsidRPr="002029AF">
        <w:t>Positive</w:t>
      </w:r>
      <w:r w:rsidR="000A5329" w:rsidRPr="002029AF">
        <w:t xml:space="preserve"> </w:t>
      </w:r>
      <w:r w:rsidRPr="002029AF">
        <w:t>Action</w:t>
      </w:r>
      <w:r w:rsidR="000A5329" w:rsidRPr="002029AF">
        <w:t xml:space="preserve"> </w:t>
      </w:r>
      <w:r w:rsidRPr="002029AF">
        <w:t>towards</w:t>
      </w:r>
      <w:r w:rsidR="000A5329" w:rsidRPr="002029AF">
        <w:t xml:space="preserve"> </w:t>
      </w:r>
      <w:r w:rsidRPr="002029AF">
        <w:t>Career</w:t>
      </w:r>
      <w:r w:rsidR="000A5329" w:rsidRPr="002029AF">
        <w:t xml:space="preserve"> </w:t>
      </w:r>
      <w:r w:rsidRPr="002029AF">
        <w:t>Engagement</w:t>
      </w:r>
      <w:r w:rsidR="000A5329" w:rsidRPr="002029AF">
        <w:t xml:space="preserve"> </w:t>
      </w:r>
      <w:r w:rsidRPr="002029AF">
        <w:t>(PACE)</w:t>
      </w:r>
      <w:r w:rsidR="000A5329" w:rsidRPr="002029AF">
        <w:t xml:space="preserve"> </w:t>
      </w:r>
      <w:r w:rsidRPr="002029AF">
        <w:t>mentoring</w:t>
      </w:r>
      <w:r w:rsidR="000A5329" w:rsidRPr="002029AF">
        <w:t xml:space="preserve"> </w:t>
      </w:r>
      <w:r w:rsidRPr="002029AF">
        <w:t>program</w:t>
      </w:r>
      <w:r w:rsidR="000A5329" w:rsidRPr="002029AF">
        <w:t xml:space="preserve"> </w:t>
      </w:r>
      <w:r w:rsidRPr="002029AF">
        <w:t>connecting</w:t>
      </w:r>
      <w:r w:rsidR="000A5329" w:rsidRPr="002029AF">
        <w:t xml:space="preserve"> </w:t>
      </w:r>
      <w:r w:rsidRPr="002029AF">
        <w:t>jobseekers</w:t>
      </w:r>
      <w:r w:rsidR="000A5329" w:rsidRPr="002029AF">
        <w:t xml:space="preserve"> </w:t>
      </w:r>
      <w:r w:rsidRPr="002029AF">
        <w:t>with</w:t>
      </w:r>
      <w:r w:rsidR="000A5329" w:rsidRPr="002029AF">
        <w:t xml:space="preserve"> </w:t>
      </w:r>
      <w:r w:rsidRPr="002029AF">
        <w:t>a</w:t>
      </w:r>
      <w:r w:rsidR="000A5329" w:rsidRPr="002029AF">
        <w:t xml:space="preserve"> </w:t>
      </w:r>
      <w:r w:rsidRPr="002029AF">
        <w:t>disability</w:t>
      </w:r>
      <w:r w:rsidR="000A5329" w:rsidRPr="002029AF">
        <w:t xml:space="preserve"> </w:t>
      </w:r>
      <w:r w:rsidRPr="002029AF">
        <w:t>to</w:t>
      </w:r>
      <w:r w:rsidR="000A5329" w:rsidRPr="002029AF">
        <w:t xml:space="preserve"> </w:t>
      </w:r>
      <w:r w:rsidRPr="002029AF">
        <w:t>mentors</w:t>
      </w:r>
      <w:r w:rsidR="000A5329" w:rsidRPr="002029AF">
        <w:t xml:space="preserve"> </w:t>
      </w:r>
      <w:r w:rsidRPr="002029AF">
        <w:t>in</w:t>
      </w:r>
      <w:r w:rsidR="000A5329" w:rsidRPr="002029AF">
        <w:t xml:space="preserve"> </w:t>
      </w:r>
      <w:r w:rsidRPr="002029AF">
        <w:t>the business</w:t>
      </w:r>
    </w:p>
    <w:p w14:paraId="59327034" w14:textId="7B240656" w:rsidR="000A5329" w:rsidRPr="002029AF" w:rsidRDefault="00CF72D5" w:rsidP="001E768A">
      <w:pPr>
        <w:pStyle w:val="ARbullet1"/>
      </w:pPr>
      <w:r w:rsidRPr="002029AF">
        <w:t>Accessibility</w:t>
      </w:r>
      <w:r w:rsidR="000A5329" w:rsidRPr="002029AF">
        <w:t xml:space="preserve"> </w:t>
      </w:r>
      <w:r w:rsidRPr="002029AF">
        <w:t>Day</w:t>
      </w:r>
      <w:r w:rsidR="000A5329" w:rsidRPr="002029AF">
        <w:t xml:space="preserve"> </w:t>
      </w:r>
      <w:r w:rsidRPr="002029AF">
        <w:t>to</w:t>
      </w:r>
      <w:r w:rsidR="000A5329" w:rsidRPr="002029AF">
        <w:t xml:space="preserve"> </w:t>
      </w:r>
      <w:r w:rsidRPr="002029AF">
        <w:t>host</w:t>
      </w:r>
      <w:r w:rsidR="000A5329" w:rsidRPr="002029AF">
        <w:t xml:space="preserve"> </w:t>
      </w:r>
      <w:r w:rsidRPr="002029AF">
        <w:t>jobseekers</w:t>
      </w:r>
      <w:r w:rsidR="000A5329" w:rsidRPr="002029AF">
        <w:t xml:space="preserve"> </w:t>
      </w:r>
      <w:r w:rsidRPr="002029AF">
        <w:t>with</w:t>
      </w:r>
      <w:r w:rsidR="000A5329" w:rsidRPr="002029AF">
        <w:t xml:space="preserve"> </w:t>
      </w:r>
      <w:r w:rsidRPr="002029AF">
        <w:t>disability</w:t>
      </w:r>
      <w:r w:rsidR="000A5329" w:rsidRPr="002029AF">
        <w:t xml:space="preserve"> </w:t>
      </w:r>
      <w:r w:rsidRPr="002029AF">
        <w:t>for</w:t>
      </w:r>
      <w:r w:rsidR="000A5329" w:rsidRPr="002029AF">
        <w:t xml:space="preserve"> </w:t>
      </w:r>
      <w:r w:rsidRPr="002029AF">
        <w:t>work</w:t>
      </w:r>
      <w:r w:rsidR="000A5329" w:rsidRPr="002029AF">
        <w:t xml:space="preserve"> </w:t>
      </w:r>
      <w:r w:rsidRPr="002029AF">
        <w:t>experience</w:t>
      </w:r>
      <w:r w:rsidR="000A5329" w:rsidRPr="002029AF">
        <w:t xml:space="preserve"> </w:t>
      </w:r>
      <w:r w:rsidRPr="002029AF">
        <w:t>toward</w:t>
      </w:r>
      <w:r w:rsidR="000A5329" w:rsidRPr="002029AF">
        <w:t xml:space="preserve"> </w:t>
      </w:r>
      <w:r w:rsidRPr="002029AF">
        <w:t>employment</w:t>
      </w:r>
      <w:r w:rsidR="000A5329" w:rsidRPr="002029AF">
        <w:t xml:space="preserve"> </w:t>
      </w:r>
      <w:r w:rsidRPr="002029AF">
        <w:t>outcomes.</w:t>
      </w:r>
    </w:p>
    <w:p w14:paraId="11176C72" w14:textId="159C5F75" w:rsidR="00CF72D5" w:rsidRPr="002029AF" w:rsidRDefault="00CF72D5" w:rsidP="00FC001B">
      <w:pPr>
        <w:pStyle w:val="ARbodyafterbullets"/>
      </w:pPr>
      <w:r w:rsidRPr="002029AF">
        <w:t>The</w:t>
      </w:r>
      <w:r w:rsidR="000A5329" w:rsidRPr="002029AF">
        <w:t xml:space="preserve"> </w:t>
      </w:r>
      <w:r w:rsidRPr="002029AF">
        <w:t>department</w:t>
      </w:r>
      <w:r w:rsidR="000A5329" w:rsidRPr="002029AF">
        <w:t xml:space="preserve"> </w:t>
      </w:r>
      <w:r w:rsidRPr="002029AF">
        <w:t>also</w:t>
      </w:r>
      <w:r w:rsidR="000A5329" w:rsidRPr="002029AF">
        <w:t xml:space="preserve"> </w:t>
      </w:r>
      <w:r w:rsidRPr="002029AF">
        <w:t>continued</w:t>
      </w:r>
      <w:r w:rsidR="000A5329" w:rsidRPr="002029AF">
        <w:t xml:space="preserve"> </w:t>
      </w:r>
      <w:r w:rsidRPr="002029AF">
        <w:t>to</w:t>
      </w:r>
      <w:r w:rsidR="000A5329" w:rsidRPr="002029AF">
        <w:t xml:space="preserve"> </w:t>
      </w:r>
      <w:r w:rsidRPr="002029AF">
        <w:t>work</w:t>
      </w:r>
      <w:r w:rsidR="000A5329" w:rsidRPr="002029AF">
        <w:t xml:space="preserve"> </w:t>
      </w:r>
      <w:r w:rsidRPr="002029AF">
        <w:t>with</w:t>
      </w:r>
      <w:r w:rsidR="000A5329" w:rsidRPr="002029AF">
        <w:t xml:space="preserve"> </w:t>
      </w:r>
      <w:r w:rsidRPr="002029AF">
        <w:t>the</w:t>
      </w:r>
      <w:r w:rsidR="000A5329" w:rsidRPr="002029AF">
        <w:t xml:space="preserve"> </w:t>
      </w:r>
      <w:r w:rsidRPr="002029AF">
        <w:t>Australian</w:t>
      </w:r>
      <w:r w:rsidR="000A5329" w:rsidRPr="002029AF">
        <w:t xml:space="preserve"> </w:t>
      </w:r>
      <w:r w:rsidRPr="002029AF">
        <w:t>Network</w:t>
      </w:r>
      <w:r w:rsidR="000A5329" w:rsidRPr="002029AF">
        <w:t xml:space="preserve"> </w:t>
      </w:r>
      <w:r w:rsidRPr="002029AF">
        <w:t>on</w:t>
      </w:r>
      <w:r w:rsidR="000A5329" w:rsidRPr="002029AF">
        <w:t xml:space="preserve"> </w:t>
      </w:r>
      <w:r w:rsidRPr="002029AF">
        <w:t>Disability</w:t>
      </w:r>
      <w:r w:rsidR="000A5329" w:rsidRPr="002029AF">
        <w:t xml:space="preserve"> </w:t>
      </w:r>
      <w:r w:rsidRPr="002029AF">
        <w:t>at</w:t>
      </w:r>
      <w:r w:rsidR="000A5329" w:rsidRPr="002029AF">
        <w:t xml:space="preserve"> </w:t>
      </w:r>
      <w:r w:rsidRPr="002029AF">
        <w:t>roundtable</w:t>
      </w:r>
      <w:r w:rsidR="000A5329" w:rsidRPr="002029AF">
        <w:t xml:space="preserve"> </w:t>
      </w:r>
      <w:r w:rsidRPr="002029AF">
        <w:t>opportunities</w:t>
      </w:r>
      <w:r w:rsidR="000A5329" w:rsidRPr="002029AF">
        <w:t xml:space="preserve"> </w:t>
      </w:r>
      <w:r w:rsidRPr="002029AF">
        <w:t>and</w:t>
      </w:r>
      <w:r w:rsidR="000A5329" w:rsidRPr="002029AF">
        <w:t xml:space="preserve"> </w:t>
      </w:r>
      <w:r w:rsidRPr="002029AF">
        <w:t>to</w:t>
      </w:r>
      <w:r w:rsidR="000A5329" w:rsidRPr="002029AF">
        <w:t xml:space="preserve"> </w:t>
      </w:r>
      <w:r w:rsidRPr="002029AF">
        <w:t>provide</w:t>
      </w:r>
      <w:r w:rsidR="000A5329" w:rsidRPr="002029AF">
        <w:t xml:space="preserve"> </w:t>
      </w:r>
      <w:r w:rsidR="00DC644B" w:rsidRPr="002029AF">
        <w:t>confidence</w:t>
      </w:r>
      <w:r w:rsidR="000A5329" w:rsidRPr="002029AF">
        <w:t xml:space="preserve"> </w:t>
      </w:r>
      <w:r w:rsidR="00DC644B" w:rsidRPr="002029AF">
        <w:t>training</w:t>
      </w:r>
      <w:r w:rsidR="000A5329" w:rsidRPr="002029AF">
        <w:t xml:space="preserve"> </w:t>
      </w:r>
      <w:r w:rsidR="00DC644B" w:rsidRPr="002029AF">
        <w:t>for</w:t>
      </w:r>
      <w:r w:rsidR="00EF3FCC">
        <w:t> </w:t>
      </w:r>
      <w:r w:rsidRPr="002029AF">
        <w:t>employees</w:t>
      </w:r>
      <w:r w:rsidR="000A5329" w:rsidRPr="002029AF">
        <w:t xml:space="preserve"> </w:t>
      </w:r>
      <w:r w:rsidRPr="002029AF">
        <w:t>with</w:t>
      </w:r>
      <w:r w:rsidR="000A5329" w:rsidRPr="002029AF">
        <w:t xml:space="preserve"> </w:t>
      </w:r>
      <w:r w:rsidRPr="002029AF">
        <w:t>disability</w:t>
      </w:r>
      <w:r w:rsidR="00DC644B" w:rsidRPr="002029AF">
        <w:t>.</w:t>
      </w:r>
    </w:p>
    <w:p w14:paraId="4AA80DE2" w14:textId="4B22D08B" w:rsidR="00CF72D5" w:rsidRPr="002029AF" w:rsidRDefault="00CF72D5" w:rsidP="00897193">
      <w:pPr>
        <w:pStyle w:val="ARbody"/>
      </w:pPr>
      <w:r w:rsidRPr="002029AF">
        <w:t>The</w:t>
      </w:r>
      <w:r w:rsidR="000A5329" w:rsidRPr="002029AF">
        <w:t xml:space="preserve"> </w:t>
      </w:r>
      <w:r w:rsidRPr="002029AF">
        <w:t>department</w:t>
      </w:r>
      <w:r w:rsidR="000A5329" w:rsidRPr="002029AF">
        <w:t xml:space="preserve"> </w:t>
      </w:r>
      <w:r w:rsidRPr="002029AF">
        <w:t>continued</w:t>
      </w:r>
      <w:r w:rsidR="000A5329" w:rsidRPr="002029AF">
        <w:t xml:space="preserve"> </w:t>
      </w:r>
      <w:r w:rsidRPr="002029AF">
        <w:t>to</w:t>
      </w:r>
      <w:r w:rsidR="000A5329" w:rsidRPr="002029AF">
        <w:t xml:space="preserve"> </w:t>
      </w:r>
      <w:r w:rsidRPr="002029AF">
        <w:t>provide</w:t>
      </w:r>
      <w:r w:rsidR="000A5329" w:rsidRPr="002029AF">
        <w:t xml:space="preserve"> </w:t>
      </w:r>
      <w:r w:rsidRPr="002029AF">
        <w:t>regular</w:t>
      </w:r>
      <w:r w:rsidR="000A5329" w:rsidRPr="002029AF">
        <w:t xml:space="preserve"> </w:t>
      </w:r>
      <w:r w:rsidRPr="002029AF">
        <w:t>six-week</w:t>
      </w:r>
      <w:r w:rsidR="000A5329" w:rsidRPr="002029AF">
        <w:t xml:space="preserve"> </w:t>
      </w:r>
      <w:r w:rsidRPr="002029AF">
        <w:t>AUSLAN</w:t>
      </w:r>
      <w:r w:rsidR="000A5329" w:rsidRPr="002029AF">
        <w:t xml:space="preserve"> </w:t>
      </w:r>
      <w:r w:rsidRPr="002029AF">
        <w:t>sign</w:t>
      </w:r>
      <w:r w:rsidR="000A5329" w:rsidRPr="002029AF">
        <w:t xml:space="preserve"> </w:t>
      </w:r>
      <w:r w:rsidRPr="002029AF">
        <w:t>language</w:t>
      </w:r>
      <w:r w:rsidR="000A5329" w:rsidRPr="002029AF">
        <w:t xml:space="preserve"> </w:t>
      </w:r>
      <w:r w:rsidRPr="002029AF">
        <w:t>workshops</w:t>
      </w:r>
      <w:r w:rsidR="000A5329" w:rsidRPr="002029AF">
        <w:t xml:space="preserve"> </w:t>
      </w:r>
      <w:r w:rsidRPr="002029AF">
        <w:t>for</w:t>
      </w:r>
      <w:r w:rsidR="00233C48" w:rsidRPr="002029AF">
        <w:t> </w:t>
      </w:r>
      <w:r w:rsidRPr="002029AF">
        <w:t>work</w:t>
      </w:r>
      <w:r w:rsidR="000A5329" w:rsidRPr="002029AF">
        <w:t xml:space="preserve"> </w:t>
      </w:r>
      <w:r w:rsidRPr="002029AF">
        <w:t>groups</w:t>
      </w:r>
      <w:r w:rsidR="000A5329" w:rsidRPr="002029AF">
        <w:t xml:space="preserve"> </w:t>
      </w:r>
      <w:r w:rsidRPr="002029AF">
        <w:t>and</w:t>
      </w:r>
      <w:r w:rsidR="000A5329" w:rsidRPr="002029AF">
        <w:t xml:space="preserve"> </w:t>
      </w:r>
      <w:r w:rsidRPr="002029AF">
        <w:t>weekly</w:t>
      </w:r>
      <w:r w:rsidR="000A5329" w:rsidRPr="002029AF">
        <w:t xml:space="preserve"> </w:t>
      </w:r>
      <w:r w:rsidRPr="002029AF">
        <w:t>practice</w:t>
      </w:r>
      <w:r w:rsidR="000A5329" w:rsidRPr="002029AF">
        <w:t xml:space="preserve"> </w:t>
      </w:r>
      <w:r w:rsidRPr="002029AF">
        <w:t>activities.</w:t>
      </w:r>
    </w:p>
    <w:p w14:paraId="2C2960FB" w14:textId="65554437" w:rsidR="00CF72D5" w:rsidRPr="002029AF" w:rsidRDefault="00CF72D5" w:rsidP="00897193">
      <w:pPr>
        <w:pStyle w:val="ARbody"/>
      </w:pPr>
      <w:r w:rsidRPr="002029AF">
        <w:t>The</w:t>
      </w:r>
      <w:r w:rsidR="000A5329" w:rsidRPr="002029AF">
        <w:t xml:space="preserve"> </w:t>
      </w:r>
      <w:r w:rsidRPr="002029AF">
        <w:t>Enablers</w:t>
      </w:r>
      <w:r w:rsidR="000A5329" w:rsidRPr="002029AF">
        <w:t xml:space="preserve"> </w:t>
      </w:r>
      <w:r w:rsidRPr="002029AF">
        <w:t>Network</w:t>
      </w:r>
      <w:r w:rsidR="000A5329" w:rsidRPr="002029AF">
        <w:t xml:space="preserve"> </w:t>
      </w:r>
      <w:r w:rsidRPr="002029AF">
        <w:t>for</w:t>
      </w:r>
      <w:r w:rsidR="000A5329" w:rsidRPr="002029AF">
        <w:t xml:space="preserve"> </w:t>
      </w:r>
      <w:r w:rsidRPr="002029AF">
        <w:t>people</w:t>
      </w:r>
      <w:r w:rsidR="000A5329" w:rsidRPr="002029AF">
        <w:t xml:space="preserve"> </w:t>
      </w:r>
      <w:r w:rsidRPr="002029AF">
        <w:t>with</w:t>
      </w:r>
      <w:r w:rsidR="000A5329" w:rsidRPr="002029AF">
        <w:t xml:space="preserve"> </w:t>
      </w:r>
      <w:r w:rsidRPr="002029AF">
        <w:t>a</w:t>
      </w:r>
      <w:r w:rsidR="000A5329" w:rsidRPr="002029AF">
        <w:t xml:space="preserve"> </w:t>
      </w:r>
      <w:r w:rsidRPr="002029AF">
        <w:t>disability</w:t>
      </w:r>
      <w:r w:rsidR="000A5329" w:rsidRPr="002029AF">
        <w:t xml:space="preserve"> </w:t>
      </w:r>
      <w:r w:rsidRPr="002029AF">
        <w:t>at</w:t>
      </w:r>
      <w:r w:rsidR="000A5329" w:rsidRPr="002029AF">
        <w:t xml:space="preserve"> </w:t>
      </w:r>
      <w:r w:rsidRPr="002029AF">
        <w:t>work</w:t>
      </w:r>
      <w:r w:rsidR="000A5329" w:rsidRPr="002029AF">
        <w:t xml:space="preserve"> </w:t>
      </w:r>
      <w:r w:rsidRPr="002029AF">
        <w:t>continued</w:t>
      </w:r>
      <w:r w:rsidR="000A5329" w:rsidRPr="002029AF">
        <w:t xml:space="preserve"> </w:t>
      </w:r>
      <w:r w:rsidRPr="002029AF">
        <w:t>supporting</w:t>
      </w:r>
      <w:r w:rsidR="000A5329" w:rsidRPr="002029AF">
        <w:t xml:space="preserve"> </w:t>
      </w:r>
      <w:r w:rsidRPr="002029AF">
        <w:t>the</w:t>
      </w:r>
      <w:r w:rsidR="000A5329" w:rsidRPr="002029AF">
        <w:t xml:space="preserve"> </w:t>
      </w:r>
      <w:r w:rsidRPr="002029AF">
        <w:t>needs,</w:t>
      </w:r>
      <w:r w:rsidR="000A5329" w:rsidRPr="002029AF">
        <w:t xml:space="preserve"> </w:t>
      </w:r>
      <w:r w:rsidRPr="002029AF">
        <w:t>interests</w:t>
      </w:r>
      <w:r w:rsidR="000A5329" w:rsidRPr="002029AF">
        <w:t xml:space="preserve"> </w:t>
      </w:r>
      <w:r w:rsidRPr="002029AF">
        <w:t>and</w:t>
      </w:r>
      <w:r w:rsidR="000A5329" w:rsidRPr="002029AF">
        <w:t xml:space="preserve"> </w:t>
      </w:r>
      <w:r w:rsidRPr="002029AF">
        <w:t>concerns</w:t>
      </w:r>
      <w:r w:rsidR="000A5329" w:rsidRPr="002029AF">
        <w:t xml:space="preserve"> </w:t>
      </w:r>
      <w:r w:rsidRPr="002029AF">
        <w:t>of</w:t>
      </w:r>
      <w:r w:rsidR="000A5329" w:rsidRPr="002029AF">
        <w:t xml:space="preserve"> </w:t>
      </w:r>
      <w:r w:rsidRPr="002029AF">
        <w:t>employees</w:t>
      </w:r>
      <w:r w:rsidR="000A5329" w:rsidRPr="002029AF">
        <w:t xml:space="preserve"> </w:t>
      </w:r>
      <w:r w:rsidRPr="002029AF">
        <w:t>with</w:t>
      </w:r>
      <w:r w:rsidR="000A5329" w:rsidRPr="002029AF">
        <w:t xml:space="preserve"> </w:t>
      </w:r>
      <w:r w:rsidRPr="002029AF">
        <w:t>a</w:t>
      </w:r>
      <w:r w:rsidR="000A5329" w:rsidRPr="002029AF">
        <w:t xml:space="preserve"> </w:t>
      </w:r>
      <w:r w:rsidRPr="002029AF">
        <w:t>disability</w:t>
      </w:r>
      <w:r w:rsidR="000A5329" w:rsidRPr="002029AF">
        <w:t xml:space="preserve"> </w:t>
      </w:r>
      <w:r w:rsidRPr="002029AF">
        <w:t>to</w:t>
      </w:r>
      <w:r w:rsidR="000A5329" w:rsidRPr="002029AF">
        <w:t xml:space="preserve"> </w:t>
      </w:r>
      <w:r w:rsidRPr="002029AF">
        <w:t>ensure</w:t>
      </w:r>
      <w:r w:rsidR="000A5329" w:rsidRPr="002029AF">
        <w:t xml:space="preserve"> </w:t>
      </w:r>
      <w:r w:rsidRPr="002029AF">
        <w:t>a</w:t>
      </w:r>
      <w:r w:rsidR="000A5329" w:rsidRPr="002029AF">
        <w:t xml:space="preserve"> </w:t>
      </w:r>
      <w:r w:rsidRPr="002029AF">
        <w:t>voice</w:t>
      </w:r>
      <w:r w:rsidR="000A5329" w:rsidRPr="002029AF">
        <w:t xml:space="preserve"> </w:t>
      </w:r>
      <w:r w:rsidRPr="002029AF">
        <w:t>and</w:t>
      </w:r>
      <w:r w:rsidR="000A5329" w:rsidRPr="002029AF">
        <w:t xml:space="preserve"> </w:t>
      </w:r>
      <w:r w:rsidRPr="002029AF">
        <w:t>fair</w:t>
      </w:r>
      <w:r w:rsidR="000A5329" w:rsidRPr="002029AF">
        <w:t xml:space="preserve"> </w:t>
      </w:r>
      <w:r w:rsidRPr="002029AF">
        <w:t>and</w:t>
      </w:r>
      <w:r w:rsidR="000A5329" w:rsidRPr="002029AF">
        <w:t xml:space="preserve"> </w:t>
      </w:r>
      <w:r w:rsidRPr="002029AF">
        <w:t>equitable</w:t>
      </w:r>
      <w:r w:rsidR="000A5329" w:rsidRPr="002029AF">
        <w:t xml:space="preserve"> </w:t>
      </w:r>
      <w:r w:rsidRPr="002029AF">
        <w:t>outcomes.</w:t>
      </w:r>
    </w:p>
    <w:p w14:paraId="4A7A5AC5" w14:textId="2B06C9FF" w:rsidR="00CF72D5" w:rsidRPr="002029AF" w:rsidRDefault="00CF72D5" w:rsidP="00897193">
      <w:pPr>
        <w:pStyle w:val="Heading3"/>
      </w:pPr>
      <w:r w:rsidRPr="002029AF">
        <w:t>Aboriginal</w:t>
      </w:r>
      <w:r w:rsidR="000A5329" w:rsidRPr="002029AF">
        <w:t xml:space="preserve"> </w:t>
      </w:r>
      <w:r w:rsidRPr="002029AF">
        <w:t>employment</w:t>
      </w:r>
      <w:r w:rsidR="000A5329" w:rsidRPr="002029AF">
        <w:t xml:space="preserve"> </w:t>
      </w:r>
      <w:r w:rsidRPr="002029AF">
        <w:t>strategy</w:t>
      </w:r>
    </w:p>
    <w:p w14:paraId="52F90C62" w14:textId="54546D8F" w:rsidR="00CF72D5" w:rsidRPr="002029AF" w:rsidRDefault="00CF72D5" w:rsidP="00897193">
      <w:pPr>
        <w:pStyle w:val="ARbody"/>
      </w:pPr>
      <w:r w:rsidRPr="002029AF">
        <w:t>The</w:t>
      </w:r>
      <w:r w:rsidR="000A5329" w:rsidRPr="002029AF">
        <w:t xml:space="preserve"> </w:t>
      </w:r>
      <w:r w:rsidRPr="002029AF">
        <w:t>department</w:t>
      </w:r>
      <w:r w:rsidR="000A5329" w:rsidRPr="002029AF">
        <w:t xml:space="preserve"> </w:t>
      </w:r>
      <w:r w:rsidRPr="002029AF">
        <w:t>continued</w:t>
      </w:r>
      <w:r w:rsidR="000A5329" w:rsidRPr="002029AF">
        <w:t xml:space="preserve"> </w:t>
      </w:r>
      <w:r w:rsidRPr="002029AF">
        <w:t>implementing</w:t>
      </w:r>
      <w:r w:rsidR="000A5329" w:rsidRPr="002029AF">
        <w:t xml:space="preserve"> </w:t>
      </w:r>
      <w:r w:rsidRPr="002029AF">
        <w:t>the</w:t>
      </w:r>
      <w:r w:rsidR="000A5329" w:rsidRPr="002029AF">
        <w:t xml:space="preserve"> </w:t>
      </w:r>
      <w:r w:rsidRPr="002029AF">
        <w:rPr>
          <w:i/>
          <w:iCs/>
        </w:rPr>
        <w:t>Aboriginal</w:t>
      </w:r>
      <w:r w:rsidR="000A5329" w:rsidRPr="002029AF">
        <w:rPr>
          <w:i/>
          <w:iCs/>
        </w:rPr>
        <w:t xml:space="preserve"> </w:t>
      </w:r>
      <w:r w:rsidRPr="002029AF">
        <w:rPr>
          <w:i/>
          <w:iCs/>
        </w:rPr>
        <w:t>employment</w:t>
      </w:r>
      <w:r w:rsidR="000A5329" w:rsidRPr="002029AF">
        <w:rPr>
          <w:i/>
          <w:iCs/>
        </w:rPr>
        <w:t xml:space="preserve"> </w:t>
      </w:r>
      <w:r w:rsidRPr="002029AF">
        <w:rPr>
          <w:i/>
          <w:iCs/>
        </w:rPr>
        <w:t>strategy</w:t>
      </w:r>
      <w:r w:rsidR="000A5329" w:rsidRPr="002029AF">
        <w:rPr>
          <w:i/>
          <w:iCs/>
        </w:rPr>
        <w:t xml:space="preserve"> </w:t>
      </w:r>
      <w:r w:rsidRPr="002029AF">
        <w:rPr>
          <w:i/>
          <w:iCs/>
        </w:rPr>
        <w:t>2016–21</w:t>
      </w:r>
      <w:r w:rsidR="00A77946" w:rsidRPr="002029AF">
        <w:t>,</w:t>
      </w:r>
      <w:r w:rsidR="000A5329" w:rsidRPr="002029AF">
        <w:t xml:space="preserve"> </w:t>
      </w:r>
      <w:r w:rsidR="00A77946" w:rsidRPr="002029AF">
        <w:t>aiming</w:t>
      </w:r>
      <w:r w:rsidR="000A5329" w:rsidRPr="002029AF">
        <w:t xml:space="preserve"> </w:t>
      </w:r>
      <w:r w:rsidR="00A77946" w:rsidRPr="002029AF">
        <w:t>for</w:t>
      </w:r>
      <w:r w:rsidR="000A5329" w:rsidRPr="002029AF">
        <w:t xml:space="preserve"> </w:t>
      </w:r>
      <w:r w:rsidR="00A77946" w:rsidRPr="002029AF">
        <w:t>the</w:t>
      </w:r>
      <w:r w:rsidR="000A5329" w:rsidRPr="002029AF">
        <w:t xml:space="preserve"> </w:t>
      </w:r>
      <w:r w:rsidR="00A77946" w:rsidRPr="002029AF">
        <w:t>following</w:t>
      </w:r>
      <w:r w:rsidR="000A5329" w:rsidRPr="002029AF">
        <w:t xml:space="preserve"> </w:t>
      </w:r>
      <w:r w:rsidR="00A77946" w:rsidRPr="002029AF">
        <w:t>t</w:t>
      </w:r>
      <w:r w:rsidRPr="002029AF">
        <w:t>hree</w:t>
      </w:r>
      <w:r w:rsidR="000A5329" w:rsidRPr="002029AF">
        <w:t xml:space="preserve"> </w:t>
      </w:r>
      <w:r w:rsidRPr="002029AF">
        <w:t>outcomes</w:t>
      </w:r>
      <w:r w:rsidR="000A5329" w:rsidRPr="002029AF">
        <w:t xml:space="preserve"> </w:t>
      </w:r>
      <w:r w:rsidRPr="002029AF">
        <w:t>by</w:t>
      </w:r>
      <w:r w:rsidR="000A5329" w:rsidRPr="002029AF">
        <w:t xml:space="preserve"> </w:t>
      </w:r>
      <w:r w:rsidRPr="002029AF">
        <w:t>2021:</w:t>
      </w:r>
    </w:p>
    <w:p w14:paraId="375CFD1E" w14:textId="07CB81FB" w:rsidR="00CF72D5" w:rsidRPr="002029AF" w:rsidRDefault="00CF72D5" w:rsidP="001E768A">
      <w:pPr>
        <w:pStyle w:val="ARbullet1"/>
      </w:pPr>
      <w:r w:rsidRPr="002029AF">
        <w:t>a</w:t>
      </w:r>
      <w:r w:rsidR="000A5329" w:rsidRPr="002029AF">
        <w:t xml:space="preserve"> </w:t>
      </w:r>
      <w:r w:rsidR="00C06198" w:rsidRPr="002029AF">
        <w:t>two</w:t>
      </w:r>
      <w:r w:rsidR="000A5329" w:rsidRPr="002029AF">
        <w:t xml:space="preserve"> </w:t>
      </w:r>
      <w:r w:rsidRPr="002029AF">
        <w:t>per</w:t>
      </w:r>
      <w:r w:rsidR="003409EA" w:rsidRPr="002029AF">
        <w:t xml:space="preserve"> </w:t>
      </w:r>
      <w:r w:rsidRPr="002029AF">
        <w:t>cent</w:t>
      </w:r>
      <w:r w:rsidR="000A5329" w:rsidRPr="002029AF">
        <w:t xml:space="preserve"> </w:t>
      </w:r>
      <w:r w:rsidRPr="002029AF">
        <w:t>workforce</w:t>
      </w:r>
      <w:r w:rsidR="000A5329" w:rsidRPr="002029AF">
        <w:t xml:space="preserve"> </w:t>
      </w:r>
      <w:r w:rsidRPr="002029AF">
        <w:t>target</w:t>
      </w:r>
    </w:p>
    <w:p w14:paraId="56B4E254" w14:textId="57F045D3" w:rsidR="000A5329" w:rsidRPr="002029AF" w:rsidRDefault="00CF72D5" w:rsidP="001E768A">
      <w:pPr>
        <w:pStyle w:val="ARbullet1"/>
      </w:pPr>
      <w:r w:rsidRPr="002029AF">
        <w:t>Aboriginal</w:t>
      </w:r>
      <w:r w:rsidR="000A5329" w:rsidRPr="002029AF">
        <w:t xml:space="preserve"> </w:t>
      </w:r>
      <w:r w:rsidRPr="002029AF">
        <w:t>employees</w:t>
      </w:r>
      <w:r w:rsidR="000A5329" w:rsidRPr="002029AF">
        <w:t xml:space="preserve"> </w:t>
      </w:r>
      <w:r w:rsidRPr="002029AF">
        <w:t>across</w:t>
      </w:r>
      <w:r w:rsidR="000A5329" w:rsidRPr="002029AF">
        <w:t xml:space="preserve"> </w:t>
      </w:r>
      <w:r w:rsidRPr="002029AF">
        <w:t>all</w:t>
      </w:r>
      <w:r w:rsidR="000A5329" w:rsidRPr="002029AF">
        <w:t xml:space="preserve"> </w:t>
      </w:r>
      <w:r w:rsidRPr="002029AF">
        <w:t>classifications,</w:t>
      </w:r>
      <w:r w:rsidR="000A5329" w:rsidRPr="002029AF">
        <w:t xml:space="preserve"> </w:t>
      </w:r>
      <w:r w:rsidRPr="002029AF">
        <w:t>with</w:t>
      </w:r>
      <w:r w:rsidR="000A5329" w:rsidRPr="002029AF">
        <w:t xml:space="preserve"> </w:t>
      </w:r>
      <w:r w:rsidRPr="002029AF">
        <w:t>a</w:t>
      </w:r>
      <w:r w:rsidR="000A5329" w:rsidRPr="002029AF">
        <w:t xml:space="preserve"> </w:t>
      </w:r>
      <w:r w:rsidRPr="002029AF">
        <w:t>corresponding</w:t>
      </w:r>
      <w:r w:rsidR="000A5329" w:rsidRPr="002029AF">
        <w:t xml:space="preserve"> </w:t>
      </w:r>
      <w:r w:rsidRPr="002029AF">
        <w:t>increase</w:t>
      </w:r>
      <w:r w:rsidR="000A5329" w:rsidRPr="002029AF">
        <w:t xml:space="preserve"> </w:t>
      </w:r>
      <w:r w:rsidRPr="002029AF">
        <w:t>in</w:t>
      </w:r>
      <w:r w:rsidR="000A5329" w:rsidRPr="002029AF">
        <w:t xml:space="preserve"> </w:t>
      </w:r>
      <w:r w:rsidRPr="002029AF">
        <w:t>the</w:t>
      </w:r>
      <w:r w:rsidR="000A5329" w:rsidRPr="002029AF">
        <w:t xml:space="preserve"> </w:t>
      </w:r>
      <w:r w:rsidRPr="002029AF">
        <w:t>Aboriginal</w:t>
      </w:r>
      <w:r w:rsidR="000A5329" w:rsidRPr="002029AF">
        <w:t xml:space="preserve"> </w:t>
      </w:r>
      <w:r w:rsidRPr="002029AF">
        <w:t>workforce</w:t>
      </w:r>
      <w:r w:rsidR="000A5329" w:rsidRPr="002029AF">
        <w:t xml:space="preserve"> </w:t>
      </w:r>
      <w:r w:rsidRPr="002029AF">
        <w:t>at</w:t>
      </w:r>
      <w:r w:rsidR="000A5329" w:rsidRPr="002029AF">
        <w:t xml:space="preserve"> </w:t>
      </w:r>
      <w:r w:rsidRPr="002029AF">
        <w:t>the</w:t>
      </w:r>
      <w:r w:rsidR="000A5329" w:rsidRPr="002029AF">
        <w:t xml:space="preserve"> </w:t>
      </w:r>
      <w:r w:rsidRPr="002029AF">
        <w:t>senior</w:t>
      </w:r>
      <w:r w:rsidR="000A5329" w:rsidRPr="002029AF">
        <w:t xml:space="preserve"> </w:t>
      </w:r>
      <w:r w:rsidRPr="002029AF">
        <w:t>and</w:t>
      </w:r>
      <w:r w:rsidR="000A5329" w:rsidRPr="002029AF">
        <w:t xml:space="preserve"> </w:t>
      </w:r>
      <w:r w:rsidRPr="002029AF">
        <w:t>executive</w:t>
      </w:r>
      <w:r w:rsidR="000A5329" w:rsidRPr="002029AF">
        <w:t xml:space="preserve"> </w:t>
      </w:r>
      <w:r w:rsidRPr="002029AF">
        <w:t>level</w:t>
      </w:r>
    </w:p>
    <w:p w14:paraId="6662D50B" w14:textId="05656B16" w:rsidR="00CF72D5" w:rsidRPr="002029AF" w:rsidRDefault="00CF72D5" w:rsidP="001E768A">
      <w:pPr>
        <w:pStyle w:val="ARbullet1"/>
      </w:pPr>
      <w:r w:rsidRPr="002029AF">
        <w:t>progressing</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commitment</w:t>
      </w:r>
      <w:r w:rsidR="000A5329" w:rsidRPr="002029AF">
        <w:t xml:space="preserve"> </w:t>
      </w:r>
      <w:r w:rsidRPr="002029AF">
        <w:t>to be</w:t>
      </w:r>
      <w:r w:rsidR="000A5329" w:rsidRPr="002029AF">
        <w:t xml:space="preserve"> </w:t>
      </w:r>
      <w:r w:rsidRPr="002029AF">
        <w:t>a</w:t>
      </w:r>
      <w:r w:rsidR="000A5329" w:rsidRPr="002029AF">
        <w:t xml:space="preserve"> </w:t>
      </w:r>
      <w:r w:rsidRPr="002029AF">
        <w:t>diverse,</w:t>
      </w:r>
      <w:r w:rsidR="000A5329" w:rsidRPr="002029AF">
        <w:t xml:space="preserve"> </w:t>
      </w:r>
      <w:r w:rsidRPr="002029AF">
        <w:t>inclusive</w:t>
      </w:r>
      <w:r w:rsidR="000A5329" w:rsidRPr="002029AF">
        <w:t xml:space="preserve"> </w:t>
      </w:r>
      <w:r w:rsidRPr="002029AF">
        <w:t>and</w:t>
      </w:r>
      <w:r w:rsidR="000A5329" w:rsidRPr="002029AF">
        <w:t xml:space="preserve"> </w:t>
      </w:r>
      <w:r w:rsidRPr="002029AF">
        <w:t>culturally</w:t>
      </w:r>
      <w:r w:rsidR="000A5329" w:rsidRPr="002029AF">
        <w:t xml:space="preserve"> </w:t>
      </w:r>
      <w:r w:rsidRPr="002029AF">
        <w:t>safe</w:t>
      </w:r>
      <w:r w:rsidR="000A5329" w:rsidRPr="002029AF">
        <w:t xml:space="preserve"> </w:t>
      </w:r>
      <w:r w:rsidRPr="002029AF">
        <w:t>employer</w:t>
      </w:r>
      <w:r w:rsidR="000A5329" w:rsidRPr="002029AF">
        <w:t xml:space="preserve"> </w:t>
      </w:r>
      <w:r w:rsidRPr="002029AF">
        <w:t>of</w:t>
      </w:r>
      <w:r w:rsidR="000A5329" w:rsidRPr="002029AF">
        <w:t xml:space="preserve"> </w:t>
      </w:r>
      <w:r w:rsidRPr="002029AF">
        <w:t>choice for</w:t>
      </w:r>
      <w:r w:rsidR="000A5329" w:rsidRPr="002029AF">
        <w:t xml:space="preserve"> </w:t>
      </w:r>
      <w:r w:rsidRPr="002029AF">
        <w:t>Aboriginal</w:t>
      </w:r>
      <w:r w:rsidR="000A5329" w:rsidRPr="002029AF">
        <w:t xml:space="preserve"> </w:t>
      </w:r>
      <w:r w:rsidRPr="002029AF">
        <w:t>people.</w:t>
      </w:r>
    </w:p>
    <w:p w14:paraId="7893FEE1" w14:textId="5D739FD5" w:rsidR="00CF72D5" w:rsidRPr="002029AF" w:rsidRDefault="00CF72D5" w:rsidP="00FC001B">
      <w:pPr>
        <w:pStyle w:val="ARbodyafterbullets"/>
      </w:pPr>
      <w:r w:rsidRPr="002029AF">
        <w:t>Increasing</w:t>
      </w:r>
      <w:r w:rsidR="000A5329" w:rsidRPr="002029AF">
        <w:t xml:space="preserve"> </w:t>
      </w:r>
      <w:r w:rsidRPr="002029AF">
        <w:t>Aboriginal</w:t>
      </w:r>
      <w:r w:rsidR="000A5329" w:rsidRPr="002029AF">
        <w:t xml:space="preserve"> </w:t>
      </w:r>
      <w:r w:rsidRPr="002029AF">
        <w:t>employment</w:t>
      </w:r>
      <w:r w:rsidR="000A5329" w:rsidRPr="002029AF">
        <w:t xml:space="preserve"> </w:t>
      </w:r>
      <w:r w:rsidRPr="002029AF">
        <w:t>not</w:t>
      </w:r>
      <w:r w:rsidR="000A5329" w:rsidRPr="002029AF">
        <w:t xml:space="preserve"> </w:t>
      </w:r>
      <w:r w:rsidRPr="002029AF">
        <w:t>only</w:t>
      </w:r>
      <w:r w:rsidR="000A5329" w:rsidRPr="002029AF">
        <w:t xml:space="preserve"> </w:t>
      </w:r>
      <w:r w:rsidRPr="002029AF">
        <w:t>improves</w:t>
      </w:r>
      <w:r w:rsidR="000A5329" w:rsidRPr="002029AF">
        <w:t xml:space="preserve"> </w:t>
      </w:r>
      <w:r w:rsidRPr="002029AF">
        <w:t>health</w:t>
      </w:r>
      <w:r w:rsidR="000A5329" w:rsidRPr="002029AF">
        <w:t xml:space="preserve"> </w:t>
      </w:r>
      <w:r w:rsidRPr="002029AF">
        <w:t>and</w:t>
      </w:r>
      <w:r w:rsidR="000A5329" w:rsidRPr="002029AF">
        <w:t xml:space="preserve"> </w:t>
      </w:r>
      <w:r w:rsidRPr="002029AF">
        <w:t>wellbeing,</w:t>
      </w:r>
      <w:r w:rsidR="000A5329" w:rsidRPr="002029AF">
        <w:t xml:space="preserve"> </w:t>
      </w:r>
      <w:r w:rsidRPr="002029AF">
        <w:t>it</w:t>
      </w:r>
      <w:r w:rsidR="000A5329" w:rsidRPr="002029AF">
        <w:t xml:space="preserve"> </w:t>
      </w:r>
      <w:r w:rsidRPr="002029AF">
        <w:t>is</w:t>
      </w:r>
      <w:r w:rsidR="000A5329" w:rsidRPr="002029AF">
        <w:t xml:space="preserve"> </w:t>
      </w:r>
      <w:r w:rsidRPr="002029AF">
        <w:t>also</w:t>
      </w:r>
      <w:r w:rsidR="000A5329" w:rsidRPr="002029AF">
        <w:t xml:space="preserve"> </w:t>
      </w:r>
      <w:r w:rsidRPr="002029AF">
        <w:t>a</w:t>
      </w:r>
      <w:r w:rsidR="000A5329" w:rsidRPr="002029AF">
        <w:t xml:space="preserve"> </w:t>
      </w:r>
      <w:r w:rsidRPr="002029AF">
        <w:t>key driver</w:t>
      </w:r>
      <w:r w:rsidR="000A5329" w:rsidRPr="002029AF">
        <w:t xml:space="preserve"> </w:t>
      </w:r>
      <w:r w:rsidRPr="002029AF">
        <w:t>for</w:t>
      </w:r>
      <w:r w:rsidR="000A5329" w:rsidRPr="002029AF">
        <w:t xml:space="preserve"> </w:t>
      </w:r>
      <w:r w:rsidRPr="002029AF">
        <w:t>improving</w:t>
      </w:r>
      <w:r w:rsidR="000A5329" w:rsidRPr="002029AF">
        <w:t xml:space="preserve"> </w:t>
      </w:r>
      <w:r w:rsidRPr="002029AF">
        <w:t>access</w:t>
      </w:r>
      <w:r w:rsidR="000A5329" w:rsidRPr="002029AF">
        <w:t xml:space="preserve"> </w:t>
      </w:r>
      <w:r w:rsidRPr="002029AF">
        <w:t>to</w:t>
      </w:r>
      <w:r w:rsidR="000A5329" w:rsidRPr="002029AF">
        <w:t xml:space="preserve"> </w:t>
      </w:r>
      <w:r w:rsidRPr="002029AF">
        <w:t>quality</w:t>
      </w:r>
      <w:r w:rsidR="000A5329" w:rsidRPr="002029AF">
        <w:t xml:space="preserve"> </w:t>
      </w:r>
      <w:r w:rsidRPr="002029AF">
        <w:t>and culturally</w:t>
      </w:r>
      <w:r w:rsidR="000A5329" w:rsidRPr="002029AF">
        <w:t xml:space="preserve"> </w:t>
      </w:r>
      <w:r w:rsidRPr="002029AF">
        <w:t>appropriate</w:t>
      </w:r>
      <w:r w:rsidR="000A5329" w:rsidRPr="002029AF">
        <w:t xml:space="preserve"> </w:t>
      </w:r>
      <w:r w:rsidRPr="002029AF">
        <w:t>health</w:t>
      </w:r>
      <w:r w:rsidR="000A5329" w:rsidRPr="002029AF">
        <w:t xml:space="preserve"> </w:t>
      </w:r>
      <w:r w:rsidRPr="002029AF">
        <w:t>and</w:t>
      </w:r>
      <w:r w:rsidR="000A5329" w:rsidRPr="002029AF">
        <w:t xml:space="preserve"> </w:t>
      </w:r>
      <w:r w:rsidRPr="002029AF">
        <w:t>human</w:t>
      </w:r>
      <w:r w:rsidR="000A5329" w:rsidRPr="002029AF">
        <w:t xml:space="preserve"> </w:t>
      </w:r>
      <w:r w:rsidRPr="002029AF">
        <w:t>services for</w:t>
      </w:r>
      <w:r w:rsidR="000A5329" w:rsidRPr="002029AF">
        <w:t xml:space="preserve"> </w:t>
      </w:r>
      <w:r w:rsidRPr="002029AF">
        <w:t>Victoria’s</w:t>
      </w:r>
      <w:r w:rsidR="000A5329" w:rsidRPr="002029AF">
        <w:t xml:space="preserve"> </w:t>
      </w:r>
      <w:r w:rsidRPr="002029AF">
        <w:t>Aboriginal</w:t>
      </w:r>
      <w:r w:rsidR="000A5329" w:rsidRPr="002029AF">
        <w:t xml:space="preserve"> </w:t>
      </w:r>
      <w:r w:rsidRPr="002029AF">
        <w:t>community.</w:t>
      </w:r>
    </w:p>
    <w:p w14:paraId="60A5EF8D" w14:textId="2CF2F3D7" w:rsidR="00CF72D5" w:rsidRPr="002029AF" w:rsidRDefault="00CF72D5" w:rsidP="00897193">
      <w:pPr>
        <w:pStyle w:val="ARbody"/>
      </w:pPr>
      <w:r w:rsidRPr="002029AF">
        <w:t>Implementation</w:t>
      </w:r>
      <w:r w:rsidR="000A5329" w:rsidRPr="002029AF">
        <w:t xml:space="preserve"> </w:t>
      </w:r>
      <w:r w:rsidRPr="002029AF">
        <w:t>of</w:t>
      </w:r>
      <w:r w:rsidR="000A5329" w:rsidRPr="002029AF">
        <w:t xml:space="preserve"> </w:t>
      </w:r>
      <w:r w:rsidRPr="002029AF">
        <w:t>the</w:t>
      </w:r>
      <w:r w:rsidR="000A5329" w:rsidRPr="002029AF">
        <w:t xml:space="preserve"> </w:t>
      </w:r>
      <w:r w:rsidRPr="002029AF">
        <w:t>strategy</w:t>
      </w:r>
      <w:r w:rsidR="000A5329" w:rsidRPr="002029AF">
        <w:t xml:space="preserve"> </w:t>
      </w:r>
      <w:r w:rsidRPr="002029AF">
        <w:t>continues</w:t>
      </w:r>
      <w:r w:rsidR="000A5329" w:rsidRPr="002029AF">
        <w:t xml:space="preserve"> </w:t>
      </w:r>
      <w:r w:rsidRPr="002029AF">
        <w:t>to</w:t>
      </w:r>
      <w:r w:rsidR="000A5329" w:rsidRPr="002029AF">
        <w:t xml:space="preserve"> </w:t>
      </w:r>
      <w:r w:rsidRPr="002029AF">
        <w:t>track</w:t>
      </w:r>
      <w:r w:rsidR="000A5329" w:rsidRPr="002029AF">
        <w:t xml:space="preserve"> </w:t>
      </w:r>
      <w:r w:rsidRPr="002029AF">
        <w:t>well</w:t>
      </w:r>
      <w:r w:rsidR="000A5329" w:rsidRPr="002029AF">
        <w:t xml:space="preserve"> </w:t>
      </w:r>
      <w:r w:rsidRPr="002029AF">
        <w:t>in</w:t>
      </w:r>
      <w:r w:rsidR="000A5329" w:rsidRPr="002029AF">
        <w:t xml:space="preserve"> </w:t>
      </w:r>
      <w:r w:rsidRPr="002029AF">
        <w:t>its</w:t>
      </w:r>
      <w:r w:rsidR="000A5329" w:rsidRPr="002029AF">
        <w:t xml:space="preserve"> </w:t>
      </w:r>
      <w:r w:rsidRPr="002029AF">
        <w:t>third</w:t>
      </w:r>
      <w:r w:rsidR="000A5329" w:rsidRPr="002029AF">
        <w:t xml:space="preserve"> </w:t>
      </w:r>
      <w:r w:rsidRPr="002029AF">
        <w:t>year,</w:t>
      </w:r>
      <w:r w:rsidR="000A5329" w:rsidRPr="002029AF">
        <w:t xml:space="preserve"> </w:t>
      </w:r>
      <w:r w:rsidRPr="002029AF">
        <w:t>with</w:t>
      </w:r>
      <w:r w:rsidR="000A5329" w:rsidRPr="002029AF">
        <w:t xml:space="preserve"> </w:t>
      </w:r>
      <w:r w:rsidRPr="002029AF">
        <w:t>current</w:t>
      </w:r>
      <w:r w:rsidR="000A5329" w:rsidRPr="002029AF">
        <w:t xml:space="preserve"> </w:t>
      </w:r>
      <w:r w:rsidRPr="002029AF">
        <w:t>figures</w:t>
      </w:r>
      <w:r w:rsidR="000A5329" w:rsidRPr="002029AF">
        <w:t xml:space="preserve"> </w:t>
      </w:r>
      <w:r w:rsidRPr="002029AF">
        <w:t>showing</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achieved</w:t>
      </w:r>
      <w:r w:rsidR="000A5329" w:rsidRPr="002029AF">
        <w:t xml:space="preserve"> </w:t>
      </w:r>
      <w:r w:rsidRPr="002029AF">
        <w:t>the</w:t>
      </w:r>
      <w:r w:rsidR="000A5329" w:rsidRPr="002029AF">
        <w:t xml:space="preserve"> </w:t>
      </w:r>
      <w:r w:rsidR="00EE5D46" w:rsidRPr="002029AF">
        <w:t>two</w:t>
      </w:r>
      <w:r w:rsidR="000A5329" w:rsidRPr="002029AF">
        <w:t xml:space="preserve"> </w:t>
      </w:r>
      <w:r w:rsidRPr="002029AF">
        <w:t>per</w:t>
      </w:r>
      <w:r w:rsidR="000A5329" w:rsidRPr="002029AF">
        <w:t xml:space="preserve"> </w:t>
      </w:r>
      <w:r w:rsidRPr="002029AF">
        <w:t>cent</w:t>
      </w:r>
      <w:r w:rsidR="000A5329" w:rsidRPr="002029AF">
        <w:t xml:space="preserve"> </w:t>
      </w:r>
      <w:r w:rsidRPr="002029AF">
        <w:t>June</w:t>
      </w:r>
      <w:r w:rsidR="000A5329" w:rsidRPr="002029AF">
        <w:t xml:space="preserve"> </w:t>
      </w:r>
      <w:r w:rsidRPr="002029AF">
        <w:t>2021</w:t>
      </w:r>
      <w:r w:rsidR="000A5329" w:rsidRPr="002029AF">
        <w:t xml:space="preserve"> </w:t>
      </w:r>
      <w:r w:rsidRPr="002029AF">
        <w:t>workforce</w:t>
      </w:r>
      <w:r w:rsidR="000A5329" w:rsidRPr="002029AF">
        <w:t xml:space="preserve"> </w:t>
      </w:r>
      <w:r w:rsidRPr="002029AF">
        <w:t>target.</w:t>
      </w:r>
      <w:r w:rsidR="000A5329" w:rsidRPr="002029AF">
        <w:t xml:space="preserve"> </w:t>
      </w:r>
      <w:r w:rsidR="00A207C8" w:rsidRPr="002029AF">
        <w:t>T</w:t>
      </w:r>
      <w:r w:rsidRPr="002029AF">
        <w:t>he</w:t>
      </w:r>
      <w:r w:rsidR="000A5329" w:rsidRPr="002029AF">
        <w:t xml:space="preserve"> </w:t>
      </w:r>
      <w:r w:rsidRPr="002029AF">
        <w:t>Aboriginal</w:t>
      </w:r>
      <w:r w:rsidR="000A5329" w:rsidRPr="002029AF">
        <w:t xml:space="preserve"> </w:t>
      </w:r>
      <w:r w:rsidRPr="002029AF">
        <w:t>workforce</w:t>
      </w:r>
      <w:r w:rsidR="000A5329" w:rsidRPr="002029AF">
        <w:t xml:space="preserve"> </w:t>
      </w:r>
      <w:r w:rsidR="00F05898" w:rsidRPr="002029AF">
        <w:t>is</w:t>
      </w:r>
      <w:r w:rsidR="000A5329" w:rsidRPr="002029AF">
        <w:t xml:space="preserve"> </w:t>
      </w:r>
      <w:r w:rsidR="00F05898" w:rsidRPr="002029AF">
        <w:t>now</w:t>
      </w:r>
      <w:r w:rsidR="000A5329" w:rsidRPr="002029AF">
        <w:t xml:space="preserve"> </w:t>
      </w:r>
      <w:r w:rsidR="00F05898" w:rsidRPr="002029AF">
        <w:t>represented</w:t>
      </w:r>
      <w:r w:rsidR="000A5329" w:rsidRPr="002029AF">
        <w:t xml:space="preserve"> </w:t>
      </w:r>
      <w:r w:rsidRPr="002029AF">
        <w:t>across</w:t>
      </w:r>
      <w:r w:rsidR="000A5329" w:rsidRPr="002029AF">
        <w:t xml:space="preserve"> </w:t>
      </w:r>
      <w:r w:rsidR="00F05898" w:rsidRPr="002029AF">
        <w:t>all</w:t>
      </w:r>
      <w:r w:rsidR="000A5329" w:rsidRPr="002029AF">
        <w:t xml:space="preserve"> </w:t>
      </w:r>
      <w:r w:rsidRPr="002029AF">
        <w:t>classifications</w:t>
      </w:r>
      <w:r w:rsidR="00F05898" w:rsidRPr="002029AF">
        <w:t>,</w:t>
      </w:r>
      <w:r w:rsidR="000A5329" w:rsidRPr="002029AF">
        <w:t xml:space="preserve"> </w:t>
      </w:r>
      <w:r w:rsidRPr="002029AF">
        <w:t>including</w:t>
      </w:r>
      <w:r w:rsidR="000A5329" w:rsidRPr="002029AF">
        <w:t xml:space="preserve"> </w:t>
      </w:r>
      <w:r w:rsidR="00F05898" w:rsidRPr="002029AF">
        <w:t>with</w:t>
      </w:r>
      <w:r w:rsidR="000A5329" w:rsidRPr="002029AF">
        <w:t xml:space="preserve"> </w:t>
      </w:r>
      <w:r w:rsidRPr="002029AF">
        <w:t>an</w:t>
      </w:r>
      <w:r w:rsidR="000A5329" w:rsidRPr="002029AF">
        <w:t xml:space="preserve"> </w:t>
      </w:r>
      <w:r w:rsidRPr="002029AF">
        <w:t>increase</w:t>
      </w:r>
      <w:r w:rsidR="000A5329" w:rsidRPr="002029AF">
        <w:t xml:space="preserve"> </w:t>
      </w:r>
      <w:r w:rsidRPr="002029AF">
        <w:t>in</w:t>
      </w:r>
      <w:r w:rsidR="000A5329" w:rsidRPr="002029AF">
        <w:t xml:space="preserve"> </w:t>
      </w:r>
      <w:r w:rsidRPr="002029AF">
        <w:t>senior</w:t>
      </w:r>
      <w:r w:rsidR="000A5329" w:rsidRPr="002029AF">
        <w:t xml:space="preserve"> </w:t>
      </w:r>
      <w:r w:rsidRPr="002029AF">
        <w:t>and</w:t>
      </w:r>
      <w:r w:rsidR="000A5329" w:rsidRPr="002029AF">
        <w:t xml:space="preserve"> </w:t>
      </w:r>
      <w:r w:rsidRPr="002029AF">
        <w:t>executive</w:t>
      </w:r>
      <w:r w:rsidR="000A5329" w:rsidRPr="002029AF">
        <w:t xml:space="preserve"> </w:t>
      </w:r>
      <w:r w:rsidRPr="002029AF">
        <w:t>roles.</w:t>
      </w:r>
      <w:r w:rsidR="000A5329" w:rsidRPr="002029AF">
        <w:t xml:space="preserve"> </w:t>
      </w:r>
      <w:r w:rsidRPr="002029AF">
        <w:t>A</w:t>
      </w:r>
      <w:r w:rsidR="000A5329" w:rsidRPr="002029AF">
        <w:t xml:space="preserve"> </w:t>
      </w:r>
      <w:r w:rsidRPr="002029AF">
        <w:t>range</w:t>
      </w:r>
      <w:r w:rsidR="000A5329" w:rsidRPr="002029AF">
        <w:t xml:space="preserve"> </w:t>
      </w:r>
      <w:r w:rsidRPr="002029AF">
        <w:t>of</w:t>
      </w:r>
      <w:r w:rsidR="000A5329" w:rsidRPr="002029AF">
        <w:t xml:space="preserve"> </w:t>
      </w:r>
      <w:r w:rsidRPr="002029AF">
        <w:t>initiatives</w:t>
      </w:r>
      <w:r w:rsidR="000A5329" w:rsidRPr="002029AF">
        <w:t xml:space="preserve"> </w:t>
      </w:r>
      <w:r w:rsidRPr="002029AF">
        <w:t>were</w:t>
      </w:r>
      <w:r w:rsidR="000A5329" w:rsidRPr="002029AF">
        <w:t xml:space="preserve"> </w:t>
      </w:r>
      <w:r w:rsidRPr="002029AF">
        <w:t>implemented</w:t>
      </w:r>
      <w:r w:rsidR="000A5329" w:rsidRPr="002029AF">
        <w:t xml:space="preserve"> </w:t>
      </w:r>
      <w:r w:rsidRPr="002029AF">
        <w:t>to</w:t>
      </w:r>
      <w:r w:rsidR="000A5329" w:rsidRPr="002029AF">
        <w:t xml:space="preserve"> </w:t>
      </w:r>
      <w:r w:rsidRPr="002029AF">
        <w:t>support</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as</w:t>
      </w:r>
      <w:r w:rsidR="000A5329" w:rsidRPr="002029AF">
        <w:t xml:space="preserve"> </w:t>
      </w:r>
      <w:r w:rsidRPr="002029AF">
        <w:t>a culturally</w:t>
      </w:r>
      <w:r w:rsidR="000A5329" w:rsidRPr="002029AF">
        <w:t xml:space="preserve"> </w:t>
      </w:r>
      <w:r w:rsidRPr="002029AF">
        <w:t>safe</w:t>
      </w:r>
      <w:r w:rsidR="000A5329" w:rsidRPr="002029AF">
        <w:t xml:space="preserve"> </w:t>
      </w:r>
      <w:r w:rsidRPr="002029AF">
        <w:t>employer</w:t>
      </w:r>
      <w:r w:rsidR="000A5329" w:rsidRPr="002029AF">
        <w:t xml:space="preserve"> </w:t>
      </w:r>
      <w:r w:rsidRPr="002029AF">
        <w:t>of</w:t>
      </w:r>
      <w:r w:rsidR="000A5329" w:rsidRPr="002029AF">
        <w:t xml:space="preserve"> </w:t>
      </w:r>
      <w:r w:rsidRPr="002029AF">
        <w:t>choice</w:t>
      </w:r>
      <w:r w:rsidR="000A5329" w:rsidRPr="002029AF">
        <w:t xml:space="preserve"> </w:t>
      </w:r>
      <w:r w:rsidRPr="002029AF">
        <w:t>for</w:t>
      </w:r>
      <w:r w:rsidR="000A5329" w:rsidRPr="002029AF">
        <w:t xml:space="preserve"> </w:t>
      </w:r>
      <w:r w:rsidRPr="002029AF">
        <w:t>Aboriginal</w:t>
      </w:r>
      <w:r w:rsidR="000A5329" w:rsidRPr="002029AF">
        <w:t xml:space="preserve"> </w:t>
      </w:r>
      <w:r w:rsidRPr="002029AF">
        <w:t>people.</w:t>
      </w:r>
      <w:r w:rsidR="000A5329" w:rsidRPr="002029AF">
        <w:t xml:space="preserve"> </w:t>
      </w:r>
      <w:r w:rsidRPr="002029AF">
        <w:t>These</w:t>
      </w:r>
      <w:r w:rsidR="000A5329" w:rsidRPr="002029AF">
        <w:t xml:space="preserve"> </w:t>
      </w:r>
      <w:r w:rsidRPr="002029AF">
        <w:t>included</w:t>
      </w:r>
      <w:r w:rsidR="000A5329" w:rsidRPr="002029AF">
        <w:t xml:space="preserve"> </w:t>
      </w:r>
      <w:r w:rsidRPr="002029AF">
        <w:t>allocating</w:t>
      </w:r>
      <w:r w:rsidR="000A5329" w:rsidRPr="002029AF">
        <w:t xml:space="preserve"> </w:t>
      </w:r>
      <w:r w:rsidRPr="002029AF">
        <w:t>scholarships</w:t>
      </w:r>
      <w:r w:rsidR="000A5329" w:rsidRPr="002029AF">
        <w:t xml:space="preserve"> </w:t>
      </w:r>
      <w:r w:rsidRPr="002029AF">
        <w:t>for</w:t>
      </w:r>
      <w:r w:rsidR="000A5329" w:rsidRPr="002029AF">
        <w:t xml:space="preserve"> </w:t>
      </w:r>
      <w:r w:rsidRPr="002029AF">
        <w:t>secondary</w:t>
      </w:r>
      <w:r w:rsidR="000A5329" w:rsidRPr="002029AF">
        <w:t xml:space="preserve"> </w:t>
      </w:r>
      <w:r w:rsidRPr="002029AF">
        <w:t>and</w:t>
      </w:r>
      <w:r w:rsidR="000A5329" w:rsidRPr="002029AF">
        <w:t xml:space="preserve"> </w:t>
      </w:r>
      <w:r w:rsidRPr="002029AF">
        <w:t>tertiary</w:t>
      </w:r>
      <w:r w:rsidR="000A5329" w:rsidRPr="002029AF">
        <w:t xml:space="preserve"> </w:t>
      </w:r>
      <w:r w:rsidRPr="002029AF">
        <w:t>students,</w:t>
      </w:r>
      <w:r w:rsidR="000A5329" w:rsidRPr="002029AF">
        <w:t xml:space="preserve"> </w:t>
      </w:r>
      <w:r w:rsidR="00A30375" w:rsidRPr="002029AF">
        <w:t>the</w:t>
      </w:r>
      <w:r w:rsidR="000A5329" w:rsidRPr="002029AF">
        <w:t xml:space="preserve"> </w:t>
      </w:r>
      <w:r w:rsidRPr="002029AF">
        <w:t>CareerTrackers’</w:t>
      </w:r>
      <w:r w:rsidR="000A5329" w:rsidRPr="002029AF">
        <w:t xml:space="preserve"> </w:t>
      </w:r>
      <w:r w:rsidRPr="002029AF">
        <w:t>12-week</w:t>
      </w:r>
      <w:r w:rsidR="000A5329" w:rsidRPr="002029AF">
        <w:t xml:space="preserve"> </w:t>
      </w:r>
      <w:r w:rsidRPr="002029AF">
        <w:t>internships</w:t>
      </w:r>
      <w:r w:rsidR="000A5329" w:rsidRPr="002029AF">
        <w:t xml:space="preserve"> </w:t>
      </w:r>
      <w:r w:rsidRPr="002029AF">
        <w:t>in</w:t>
      </w:r>
      <w:r w:rsidR="000A5329" w:rsidRPr="002029AF">
        <w:t xml:space="preserve"> </w:t>
      </w:r>
      <w:r w:rsidRPr="002029AF">
        <w:t>generalist</w:t>
      </w:r>
      <w:r w:rsidR="000A5329" w:rsidRPr="002029AF">
        <w:t xml:space="preserve"> </w:t>
      </w:r>
      <w:r w:rsidRPr="002029AF">
        <w:t>and</w:t>
      </w:r>
      <w:r w:rsidR="000A5329" w:rsidRPr="002029AF">
        <w:t xml:space="preserve"> </w:t>
      </w:r>
      <w:r w:rsidRPr="002029AF">
        <w:t>child</w:t>
      </w:r>
      <w:r w:rsidR="000A5329" w:rsidRPr="002029AF">
        <w:t xml:space="preserve"> </w:t>
      </w:r>
      <w:r w:rsidRPr="002029AF">
        <w:t>protection</w:t>
      </w:r>
      <w:r w:rsidR="000A5329" w:rsidRPr="002029AF">
        <w:t xml:space="preserve"> </w:t>
      </w:r>
      <w:r w:rsidRPr="002029AF">
        <w:t>program</w:t>
      </w:r>
      <w:r w:rsidR="000A5329" w:rsidRPr="002029AF">
        <w:t xml:space="preserve"> </w:t>
      </w:r>
      <w:r w:rsidRPr="002029AF">
        <w:t>streams,</w:t>
      </w:r>
      <w:r w:rsidR="000A5329" w:rsidRPr="002029AF">
        <w:t xml:space="preserve"> </w:t>
      </w:r>
      <w:r w:rsidR="00FE526F" w:rsidRPr="002029AF">
        <w:t>the</w:t>
      </w:r>
      <w:r w:rsidR="000A5329" w:rsidRPr="002029AF">
        <w:t xml:space="preserve"> </w:t>
      </w:r>
      <w:r w:rsidRPr="002029AF">
        <w:t>Aboriginal</w:t>
      </w:r>
      <w:r w:rsidR="000A5329" w:rsidRPr="002029AF">
        <w:t xml:space="preserve"> </w:t>
      </w:r>
      <w:r w:rsidRPr="002029AF">
        <w:t>graduate</w:t>
      </w:r>
      <w:r w:rsidR="000A5329" w:rsidRPr="002029AF">
        <w:t xml:space="preserve"> </w:t>
      </w:r>
      <w:r w:rsidRPr="002029AF">
        <w:t>program,</w:t>
      </w:r>
      <w:r w:rsidR="000A5329" w:rsidRPr="002029AF">
        <w:t xml:space="preserve"> </w:t>
      </w:r>
      <w:r w:rsidRPr="002029AF">
        <w:t>leadership</w:t>
      </w:r>
      <w:r w:rsidR="000A5329" w:rsidRPr="002029AF">
        <w:t xml:space="preserve"> </w:t>
      </w:r>
      <w:r w:rsidRPr="002029AF">
        <w:t>programs,</w:t>
      </w:r>
      <w:r w:rsidR="000A5329" w:rsidRPr="002029AF">
        <w:t xml:space="preserve"> </w:t>
      </w:r>
      <w:r w:rsidRPr="002029AF">
        <w:t>mentoring</w:t>
      </w:r>
      <w:r w:rsidR="000A5329" w:rsidRPr="002029AF">
        <w:t xml:space="preserve"> </w:t>
      </w:r>
      <w:r w:rsidRPr="002029AF">
        <w:t>and</w:t>
      </w:r>
      <w:r w:rsidR="000A5329" w:rsidRPr="002029AF">
        <w:t xml:space="preserve"> </w:t>
      </w:r>
      <w:r w:rsidRPr="002029AF">
        <w:t>coaching</w:t>
      </w:r>
      <w:r w:rsidR="000A5329" w:rsidRPr="002029AF">
        <w:t xml:space="preserve"> </w:t>
      </w:r>
      <w:r w:rsidRPr="002029AF">
        <w:t>for</w:t>
      </w:r>
      <w:r w:rsidR="000A5329" w:rsidRPr="002029AF">
        <w:t xml:space="preserve"> </w:t>
      </w:r>
      <w:r w:rsidRPr="002029AF">
        <w:t>employees,</w:t>
      </w:r>
      <w:r w:rsidR="000A5329" w:rsidRPr="002029AF">
        <w:t xml:space="preserve"> </w:t>
      </w:r>
      <w:r w:rsidRPr="002029AF">
        <w:t>and</w:t>
      </w:r>
      <w:r w:rsidR="000A5329" w:rsidRPr="002029AF">
        <w:t xml:space="preserve"> </w:t>
      </w:r>
      <w:r w:rsidRPr="002029AF">
        <w:t>strengthening</w:t>
      </w:r>
      <w:r w:rsidR="000A5329" w:rsidRPr="002029AF">
        <w:t xml:space="preserve"> </w:t>
      </w:r>
      <w:r w:rsidRPr="002029AF">
        <w:t>the</w:t>
      </w:r>
      <w:r w:rsidR="000A5329" w:rsidRPr="002029AF">
        <w:t xml:space="preserve"> </w:t>
      </w:r>
      <w:r w:rsidRPr="002029AF">
        <w:t>Aboriginal</w:t>
      </w:r>
      <w:r w:rsidR="000A5329" w:rsidRPr="002029AF">
        <w:t xml:space="preserve"> </w:t>
      </w:r>
      <w:r w:rsidRPr="002029AF">
        <w:t>Staff</w:t>
      </w:r>
      <w:r w:rsidR="000A5329" w:rsidRPr="002029AF">
        <w:t xml:space="preserve"> </w:t>
      </w:r>
      <w:r w:rsidRPr="002029AF">
        <w:t>Network</w:t>
      </w:r>
      <w:r w:rsidR="00127C64" w:rsidRPr="002029AF">
        <w:t>.</w:t>
      </w:r>
    </w:p>
    <w:p w14:paraId="58E3F120" w14:textId="4043F0B5" w:rsidR="00CF72D5" w:rsidRPr="002029AF" w:rsidRDefault="00CF72D5" w:rsidP="00897193">
      <w:pPr>
        <w:pStyle w:val="ARbody"/>
      </w:pPr>
      <w:r w:rsidRPr="002029AF">
        <w:t>Work</w:t>
      </w:r>
      <w:r w:rsidR="000A5329" w:rsidRPr="002029AF">
        <w:t xml:space="preserve"> </w:t>
      </w:r>
      <w:r w:rsidRPr="002029AF">
        <w:t>continued</w:t>
      </w:r>
      <w:r w:rsidR="000A5329" w:rsidRPr="002029AF">
        <w:t xml:space="preserve"> </w:t>
      </w:r>
      <w:r w:rsidRPr="002029AF">
        <w:t>to</w:t>
      </w:r>
      <w:r w:rsidR="000A5329" w:rsidRPr="002029AF">
        <w:t xml:space="preserve"> </w:t>
      </w:r>
      <w:r w:rsidRPr="002029AF">
        <w:t>boost</w:t>
      </w:r>
      <w:r w:rsidR="000A5329" w:rsidRPr="002029AF">
        <w:t xml:space="preserve"> </w:t>
      </w:r>
      <w:r w:rsidRPr="002029AF">
        <w:t>the</w:t>
      </w:r>
      <w:r w:rsidR="000A5329" w:rsidRPr="002029AF">
        <w:t xml:space="preserve"> </w:t>
      </w:r>
      <w:r w:rsidRPr="002029AF">
        <w:t>recruitment</w:t>
      </w:r>
      <w:r w:rsidR="000A5329" w:rsidRPr="002029AF">
        <w:t xml:space="preserve"> </w:t>
      </w:r>
      <w:r w:rsidRPr="002029AF">
        <w:t>and retention</w:t>
      </w:r>
      <w:r w:rsidR="000A5329" w:rsidRPr="002029AF">
        <w:t xml:space="preserve"> </w:t>
      </w:r>
      <w:r w:rsidRPr="002029AF">
        <w:t>of</w:t>
      </w:r>
      <w:r w:rsidR="000A5329" w:rsidRPr="002029AF">
        <w:t xml:space="preserve"> </w:t>
      </w:r>
      <w:r w:rsidRPr="002029AF">
        <w:t>Aboriginal</w:t>
      </w:r>
      <w:r w:rsidR="000A5329" w:rsidRPr="002029AF">
        <w:t xml:space="preserve"> </w:t>
      </w:r>
      <w:r w:rsidRPr="002029AF">
        <w:t>child</w:t>
      </w:r>
      <w:r w:rsidR="000A5329" w:rsidRPr="002029AF">
        <w:t xml:space="preserve"> </w:t>
      </w:r>
      <w:r w:rsidRPr="002029AF">
        <w:t>protection</w:t>
      </w:r>
      <w:r w:rsidR="000A5329" w:rsidRPr="002029AF">
        <w:t xml:space="preserve"> </w:t>
      </w:r>
      <w:r w:rsidRPr="002029AF">
        <w:t>practitioners.</w:t>
      </w:r>
      <w:r w:rsidR="000A5329" w:rsidRPr="002029AF">
        <w:t xml:space="preserve"> </w:t>
      </w:r>
      <w:r w:rsidRPr="002029AF">
        <w:t>This</w:t>
      </w:r>
      <w:r w:rsidR="000A5329" w:rsidRPr="002029AF">
        <w:t xml:space="preserve"> </w:t>
      </w:r>
      <w:r w:rsidRPr="002029AF">
        <w:t>included</w:t>
      </w:r>
      <w:r w:rsidR="000A5329" w:rsidRPr="002029AF">
        <w:t xml:space="preserve"> </w:t>
      </w:r>
      <w:r w:rsidRPr="002029AF">
        <w:t>a</w:t>
      </w:r>
      <w:r w:rsidR="000A5329" w:rsidRPr="002029AF">
        <w:t xml:space="preserve"> </w:t>
      </w:r>
      <w:r w:rsidRPr="002029AF">
        <w:t>focus</w:t>
      </w:r>
      <w:r w:rsidR="000A5329" w:rsidRPr="002029AF">
        <w:t xml:space="preserve"> </w:t>
      </w:r>
      <w:r w:rsidRPr="002029AF">
        <w:t>on</w:t>
      </w:r>
      <w:r w:rsidR="000A5329" w:rsidRPr="002029AF">
        <w:t xml:space="preserve"> </w:t>
      </w:r>
      <w:r w:rsidRPr="002029AF">
        <w:t>practitioner</w:t>
      </w:r>
      <w:r w:rsidR="000A5329" w:rsidRPr="002029AF">
        <w:t xml:space="preserve"> </w:t>
      </w:r>
      <w:r w:rsidR="008B7182" w:rsidRPr="002029AF">
        <w:t>care and</w:t>
      </w:r>
      <w:r w:rsidR="000A5329" w:rsidRPr="002029AF">
        <w:t xml:space="preserve"> </w:t>
      </w:r>
      <w:r w:rsidRPr="002029AF">
        <w:t>resulted</w:t>
      </w:r>
      <w:r w:rsidR="000A5329" w:rsidRPr="002029AF">
        <w:t xml:space="preserve"> </w:t>
      </w:r>
      <w:r w:rsidRPr="002029AF">
        <w:t>in</w:t>
      </w:r>
      <w:r w:rsidR="000A5329" w:rsidRPr="002029AF">
        <w:t xml:space="preserve"> </w:t>
      </w:r>
      <w:r w:rsidRPr="002029AF">
        <w:t>more</w:t>
      </w:r>
      <w:r w:rsidR="000A5329" w:rsidRPr="002029AF">
        <w:t xml:space="preserve"> </w:t>
      </w:r>
      <w:r w:rsidRPr="002029AF">
        <w:t>than</w:t>
      </w:r>
      <w:r w:rsidR="000A5329" w:rsidRPr="002029AF">
        <w:t xml:space="preserve"> </w:t>
      </w:r>
      <w:r w:rsidR="00127C64" w:rsidRPr="002029AF">
        <w:t>two</w:t>
      </w:r>
      <w:r w:rsidRPr="002029AF">
        <w:t> per</w:t>
      </w:r>
      <w:r w:rsidR="000A5329" w:rsidRPr="002029AF">
        <w:t xml:space="preserve"> </w:t>
      </w:r>
      <w:r w:rsidRPr="002029AF">
        <w:t>cent</w:t>
      </w:r>
      <w:r w:rsidR="000A5329" w:rsidRPr="002029AF">
        <w:t xml:space="preserve"> </w:t>
      </w:r>
      <w:r w:rsidRPr="002029AF">
        <w:t>of</w:t>
      </w:r>
      <w:r w:rsidR="000A5329" w:rsidRPr="002029AF">
        <w:t xml:space="preserve"> </w:t>
      </w:r>
      <w:r w:rsidRPr="002029AF">
        <w:t>the</w:t>
      </w:r>
      <w:r w:rsidR="000A5329" w:rsidRPr="002029AF">
        <w:t xml:space="preserve"> </w:t>
      </w:r>
      <w:r w:rsidRPr="002029AF">
        <w:t>child</w:t>
      </w:r>
      <w:r w:rsidR="000A5329" w:rsidRPr="002029AF">
        <w:t xml:space="preserve"> </w:t>
      </w:r>
      <w:r w:rsidRPr="002029AF">
        <w:t>protection</w:t>
      </w:r>
      <w:r w:rsidR="000A5329" w:rsidRPr="002029AF">
        <w:t xml:space="preserve"> </w:t>
      </w:r>
      <w:r w:rsidRPr="002029AF">
        <w:t>workforce</w:t>
      </w:r>
      <w:r w:rsidR="000A5329" w:rsidRPr="002029AF">
        <w:t xml:space="preserve"> </w:t>
      </w:r>
      <w:r w:rsidRPr="002029AF">
        <w:t>identifying</w:t>
      </w:r>
      <w:r w:rsidR="000A5329" w:rsidRPr="002029AF">
        <w:t xml:space="preserve"> </w:t>
      </w:r>
      <w:r w:rsidRPr="002029AF">
        <w:t>as</w:t>
      </w:r>
      <w:r w:rsidR="000A5329" w:rsidRPr="002029AF">
        <w:t xml:space="preserve"> </w:t>
      </w:r>
      <w:r w:rsidRPr="002029AF">
        <w:t>Aboriginal.</w:t>
      </w:r>
    </w:p>
    <w:p w14:paraId="3BA650F6" w14:textId="4D302C2A" w:rsidR="00CF72D5" w:rsidRPr="002029AF" w:rsidRDefault="00CF72D5" w:rsidP="00897193">
      <w:pPr>
        <w:pStyle w:val="ARbody"/>
      </w:pPr>
      <w:r w:rsidRPr="002029AF">
        <w:t>Aboriginal</w:t>
      </w:r>
      <w:r w:rsidR="000A5329" w:rsidRPr="002029AF">
        <w:t xml:space="preserve"> </w:t>
      </w:r>
      <w:r w:rsidRPr="002029AF">
        <w:t>Yarning</w:t>
      </w:r>
      <w:r w:rsidR="000A5329" w:rsidRPr="002029AF">
        <w:t xml:space="preserve"> </w:t>
      </w:r>
      <w:r w:rsidRPr="002029AF">
        <w:t>Circles</w:t>
      </w:r>
      <w:r w:rsidR="000A5329" w:rsidRPr="002029AF">
        <w:t xml:space="preserve"> </w:t>
      </w:r>
      <w:r w:rsidRPr="002029AF">
        <w:t>also</w:t>
      </w:r>
      <w:r w:rsidR="000A5329" w:rsidRPr="002029AF">
        <w:t xml:space="preserve"> </w:t>
      </w:r>
      <w:r w:rsidRPr="002029AF">
        <w:t>continued</w:t>
      </w:r>
      <w:r w:rsidR="000A5329" w:rsidRPr="002029AF">
        <w:t xml:space="preserve"> </w:t>
      </w:r>
      <w:r w:rsidRPr="002029AF">
        <w:t>to provide</w:t>
      </w:r>
      <w:r w:rsidR="000A5329" w:rsidRPr="002029AF">
        <w:t xml:space="preserve"> </w:t>
      </w:r>
      <w:r w:rsidRPr="002029AF">
        <w:t>culturally</w:t>
      </w:r>
      <w:r w:rsidR="000A5329" w:rsidRPr="002029AF">
        <w:t xml:space="preserve"> </w:t>
      </w:r>
      <w:r w:rsidRPr="002029AF">
        <w:t>appropriate</w:t>
      </w:r>
      <w:r w:rsidR="000A5329" w:rsidRPr="002029AF">
        <w:t xml:space="preserve"> </w:t>
      </w:r>
      <w:r w:rsidRPr="002029AF">
        <w:t>and</w:t>
      </w:r>
      <w:r w:rsidR="000A5329" w:rsidRPr="002029AF">
        <w:t xml:space="preserve"> </w:t>
      </w:r>
      <w:r w:rsidRPr="002029AF">
        <w:t>safe</w:t>
      </w:r>
      <w:r w:rsidR="000A5329" w:rsidRPr="002029AF">
        <w:t xml:space="preserve"> </w:t>
      </w:r>
      <w:r w:rsidRPr="002029AF">
        <w:t>employee</w:t>
      </w:r>
      <w:r w:rsidR="000A5329" w:rsidRPr="002029AF">
        <w:t xml:space="preserve"> </w:t>
      </w:r>
      <w:r w:rsidRPr="002029AF">
        <w:t>supports</w:t>
      </w:r>
      <w:r w:rsidR="000A5329" w:rsidRPr="002029AF">
        <w:t xml:space="preserve"> </w:t>
      </w:r>
      <w:r w:rsidRPr="002029AF">
        <w:t>for</w:t>
      </w:r>
      <w:r w:rsidR="000A5329" w:rsidRPr="002029AF">
        <w:t xml:space="preserve"> </w:t>
      </w:r>
      <w:r w:rsidRPr="002029AF">
        <w:t>our</w:t>
      </w:r>
      <w:r w:rsidR="000A5329" w:rsidRPr="002029AF">
        <w:t xml:space="preserve"> </w:t>
      </w:r>
      <w:r w:rsidRPr="002029AF">
        <w:t>Aboriginal</w:t>
      </w:r>
      <w:r w:rsidR="000A5329" w:rsidRPr="002029AF">
        <w:t xml:space="preserve"> </w:t>
      </w:r>
      <w:r w:rsidRPr="002029AF">
        <w:t>and</w:t>
      </w:r>
      <w:r w:rsidR="000A5329" w:rsidRPr="002029AF">
        <w:t xml:space="preserve"> </w:t>
      </w:r>
      <w:r w:rsidRPr="002029AF">
        <w:t>Torres Strait</w:t>
      </w:r>
      <w:r w:rsidR="000A5329" w:rsidRPr="002029AF">
        <w:t xml:space="preserve"> </w:t>
      </w:r>
      <w:r w:rsidRPr="002029AF">
        <w:t>Islander</w:t>
      </w:r>
      <w:r w:rsidR="000A5329" w:rsidRPr="002029AF">
        <w:t xml:space="preserve"> </w:t>
      </w:r>
      <w:r w:rsidRPr="002029AF">
        <w:t>child</w:t>
      </w:r>
      <w:r w:rsidR="000A5329" w:rsidRPr="002029AF">
        <w:t xml:space="preserve"> </w:t>
      </w:r>
      <w:r w:rsidRPr="002029AF">
        <w:t>protection</w:t>
      </w:r>
      <w:r w:rsidR="000A5329" w:rsidRPr="002029AF">
        <w:t xml:space="preserve"> </w:t>
      </w:r>
      <w:r w:rsidRPr="002029AF">
        <w:t>workforce.</w:t>
      </w:r>
    </w:p>
    <w:p w14:paraId="767CBC44" w14:textId="7C0FB37B" w:rsidR="00CF72D5" w:rsidRPr="002029AF" w:rsidRDefault="00CF72D5" w:rsidP="00897193">
      <w:pPr>
        <w:pStyle w:val="ARbody"/>
      </w:pPr>
      <w:r w:rsidRPr="002029AF">
        <w:t>The</w:t>
      </w:r>
      <w:r w:rsidR="000A5329" w:rsidRPr="002029AF">
        <w:t xml:space="preserve"> </w:t>
      </w:r>
      <w:r w:rsidRPr="002029AF">
        <w:t>department’s</w:t>
      </w:r>
      <w:r w:rsidR="000A5329" w:rsidRPr="002029AF">
        <w:t xml:space="preserve"> </w:t>
      </w:r>
      <w:r w:rsidRPr="002029AF">
        <w:t>Wirrigirri</w:t>
      </w:r>
      <w:r w:rsidR="000A5329" w:rsidRPr="002029AF">
        <w:t xml:space="preserve"> </w:t>
      </w:r>
      <w:r w:rsidRPr="002029AF">
        <w:t>reconciliation</w:t>
      </w:r>
      <w:r w:rsidR="000A5329" w:rsidRPr="002029AF">
        <w:t xml:space="preserve"> </w:t>
      </w:r>
      <w:r w:rsidRPr="002029AF">
        <w:t>program</w:t>
      </w:r>
      <w:r w:rsidR="000A5329" w:rsidRPr="002029AF">
        <w:t xml:space="preserve"> </w:t>
      </w:r>
      <w:r w:rsidRPr="002029AF">
        <w:t>continues</w:t>
      </w:r>
      <w:r w:rsidR="000A5329" w:rsidRPr="002029AF">
        <w:t xml:space="preserve"> </w:t>
      </w:r>
      <w:r w:rsidRPr="002029AF">
        <w:t>to</w:t>
      </w:r>
      <w:r w:rsidR="000A5329" w:rsidRPr="002029AF">
        <w:t xml:space="preserve"> </w:t>
      </w:r>
      <w:r w:rsidRPr="002029AF">
        <w:t>increase</w:t>
      </w:r>
      <w:r w:rsidR="000A5329" w:rsidRPr="002029AF">
        <w:t xml:space="preserve"> </w:t>
      </w:r>
      <w:r w:rsidRPr="002029AF">
        <w:t>the</w:t>
      </w:r>
      <w:r w:rsidR="000A5329" w:rsidRPr="002029AF">
        <w:t xml:space="preserve"> </w:t>
      </w:r>
      <w:r w:rsidRPr="002029AF">
        <w:t>numbers</w:t>
      </w:r>
      <w:r w:rsidR="000A5329" w:rsidRPr="002029AF">
        <w:t xml:space="preserve"> </w:t>
      </w:r>
      <w:r w:rsidRPr="002029AF">
        <w:t>of allies</w:t>
      </w:r>
      <w:r w:rsidR="000A5329" w:rsidRPr="002029AF">
        <w:t xml:space="preserve"> </w:t>
      </w:r>
      <w:r w:rsidRPr="002029AF">
        <w:t>for</w:t>
      </w:r>
      <w:r w:rsidR="000A5329" w:rsidRPr="002029AF">
        <w:t xml:space="preserve"> </w:t>
      </w:r>
      <w:r w:rsidRPr="002029AF">
        <w:t>Aboriginal</w:t>
      </w:r>
      <w:r w:rsidR="000A5329" w:rsidRPr="002029AF">
        <w:t xml:space="preserve"> </w:t>
      </w:r>
      <w:r w:rsidRPr="002029AF">
        <w:t>inclusion,</w:t>
      </w:r>
      <w:r w:rsidR="000A5329" w:rsidRPr="002029AF">
        <w:t xml:space="preserve"> </w:t>
      </w:r>
      <w:r w:rsidRPr="002029AF">
        <w:t>awareness</w:t>
      </w:r>
      <w:r w:rsidR="000A5329" w:rsidRPr="002029AF">
        <w:t xml:space="preserve"> </w:t>
      </w:r>
      <w:r w:rsidRPr="002029AF">
        <w:t>of Aboriginal</w:t>
      </w:r>
      <w:r w:rsidR="000A5329" w:rsidRPr="002029AF">
        <w:t xml:space="preserve"> </w:t>
      </w:r>
      <w:r w:rsidRPr="002029AF">
        <w:t>significant</w:t>
      </w:r>
      <w:r w:rsidR="000A5329" w:rsidRPr="002029AF">
        <w:t xml:space="preserve"> </w:t>
      </w:r>
      <w:r w:rsidRPr="002029AF">
        <w:t>dates</w:t>
      </w:r>
      <w:r w:rsidR="000A5329" w:rsidRPr="002029AF">
        <w:t xml:space="preserve"> </w:t>
      </w:r>
      <w:r w:rsidRPr="002029AF">
        <w:t>and</w:t>
      </w:r>
      <w:r w:rsidR="000A5329" w:rsidRPr="002029AF">
        <w:t xml:space="preserve"> </w:t>
      </w:r>
      <w:r w:rsidRPr="002029AF">
        <w:t>events</w:t>
      </w:r>
      <w:r w:rsidR="000A5329" w:rsidRPr="002029AF">
        <w:t xml:space="preserve"> </w:t>
      </w:r>
      <w:r w:rsidRPr="002029AF">
        <w:t>and</w:t>
      </w:r>
      <w:r w:rsidR="000A5329" w:rsidRPr="002029AF">
        <w:t xml:space="preserve"> </w:t>
      </w:r>
      <w:r w:rsidRPr="002029AF">
        <w:t>culturally</w:t>
      </w:r>
      <w:r w:rsidR="000A5329" w:rsidRPr="002029AF">
        <w:t xml:space="preserve"> </w:t>
      </w:r>
      <w:r w:rsidRPr="002029AF">
        <w:t>safe</w:t>
      </w:r>
      <w:r w:rsidR="000A5329" w:rsidRPr="002029AF">
        <w:t xml:space="preserve"> </w:t>
      </w:r>
      <w:r w:rsidRPr="002029AF">
        <w:t>workplaces.</w:t>
      </w:r>
    </w:p>
    <w:p w14:paraId="2A4F60CF" w14:textId="4FD39CE0" w:rsidR="00CF72D5" w:rsidRPr="002029AF" w:rsidRDefault="00CF72D5" w:rsidP="00897193">
      <w:pPr>
        <w:pStyle w:val="Heading3"/>
      </w:pPr>
      <w:r w:rsidRPr="002029AF">
        <w:t>Aboriginal</w:t>
      </w:r>
      <w:r w:rsidR="000A5329" w:rsidRPr="002029AF">
        <w:t xml:space="preserve"> </w:t>
      </w:r>
      <w:r w:rsidRPr="002029AF">
        <w:t>and</w:t>
      </w:r>
      <w:r w:rsidR="000A5329" w:rsidRPr="002029AF">
        <w:t xml:space="preserve"> </w:t>
      </w:r>
      <w:r w:rsidRPr="002029AF">
        <w:t>Torres</w:t>
      </w:r>
      <w:r w:rsidR="000A5329" w:rsidRPr="002029AF">
        <w:t xml:space="preserve"> </w:t>
      </w:r>
      <w:r w:rsidRPr="002029AF">
        <w:t>Strait</w:t>
      </w:r>
      <w:r w:rsidR="000A5329" w:rsidRPr="002029AF">
        <w:t xml:space="preserve"> </w:t>
      </w:r>
      <w:r w:rsidRPr="002029AF">
        <w:t>Islander</w:t>
      </w:r>
      <w:r w:rsidR="00EF3FCC">
        <w:t> </w:t>
      </w:r>
      <w:r w:rsidR="00C800C6" w:rsidRPr="002029AF">
        <w:t>c</w:t>
      </w:r>
      <w:r w:rsidRPr="002029AF">
        <w:t>ultural</w:t>
      </w:r>
      <w:r w:rsidR="000A5329" w:rsidRPr="002029AF">
        <w:t xml:space="preserve"> </w:t>
      </w:r>
      <w:r w:rsidR="00975FC5" w:rsidRPr="002029AF">
        <w:t>s</w:t>
      </w:r>
      <w:r w:rsidRPr="002029AF">
        <w:t>afety</w:t>
      </w:r>
    </w:p>
    <w:p w14:paraId="4241B273" w14:textId="2AE8E1DC" w:rsidR="00CF72D5" w:rsidRPr="002029AF" w:rsidRDefault="00CF72D5" w:rsidP="00897193">
      <w:pPr>
        <w:pStyle w:val="ARbody"/>
      </w:pPr>
      <w:r w:rsidRPr="002029AF">
        <w:t>The</w:t>
      </w:r>
      <w:r w:rsidR="000A5329" w:rsidRPr="002029AF">
        <w:t xml:space="preserve"> </w:t>
      </w:r>
      <w:r w:rsidRPr="002029AF">
        <w:t>department</w:t>
      </w:r>
      <w:r w:rsidR="000A5329" w:rsidRPr="002029AF">
        <w:t xml:space="preserve"> </w:t>
      </w:r>
      <w:r w:rsidRPr="002029AF">
        <w:t>launched</w:t>
      </w:r>
      <w:r w:rsidR="000A5329" w:rsidRPr="002029AF">
        <w:t xml:space="preserve"> </w:t>
      </w:r>
      <w:r w:rsidRPr="002029AF">
        <w:t>the</w:t>
      </w:r>
      <w:r w:rsidR="000A5329" w:rsidRPr="002029AF">
        <w:t xml:space="preserve"> </w:t>
      </w:r>
      <w:r w:rsidRPr="002029AF">
        <w:t>Aboriginal</w:t>
      </w:r>
      <w:r w:rsidR="000A5329" w:rsidRPr="002029AF">
        <w:t xml:space="preserve"> </w:t>
      </w:r>
      <w:r w:rsidRPr="002029AF">
        <w:t>and</w:t>
      </w:r>
      <w:r w:rsidR="000A5329" w:rsidRPr="002029AF">
        <w:t xml:space="preserve"> </w:t>
      </w:r>
      <w:r w:rsidRPr="002029AF">
        <w:t>Torres</w:t>
      </w:r>
      <w:r w:rsidR="00EF3FCC">
        <w:t> </w:t>
      </w:r>
      <w:r w:rsidRPr="002029AF">
        <w:t>Strait</w:t>
      </w:r>
      <w:r w:rsidR="000A5329" w:rsidRPr="002029AF">
        <w:t xml:space="preserve"> </w:t>
      </w:r>
      <w:r w:rsidRPr="002029AF">
        <w:t>Islander</w:t>
      </w:r>
      <w:r w:rsidR="000A5329" w:rsidRPr="002029AF">
        <w:t xml:space="preserve"> </w:t>
      </w:r>
      <w:r w:rsidR="00BA5AC7" w:rsidRPr="002029AF">
        <w:t>c</w:t>
      </w:r>
      <w:r w:rsidRPr="002029AF">
        <w:t>ultural</w:t>
      </w:r>
      <w:r w:rsidR="000A5329" w:rsidRPr="002029AF">
        <w:t xml:space="preserve"> </w:t>
      </w:r>
      <w:r w:rsidR="00BA5AC7" w:rsidRPr="002029AF">
        <w:t>s</w:t>
      </w:r>
      <w:r w:rsidRPr="002029AF">
        <w:t>afety</w:t>
      </w:r>
      <w:r w:rsidR="000A5329" w:rsidRPr="002029AF">
        <w:t xml:space="preserve"> </w:t>
      </w:r>
      <w:r w:rsidR="00F15CCB" w:rsidRPr="002029AF">
        <w:t>f</w:t>
      </w:r>
      <w:r w:rsidRPr="002029AF">
        <w:t>ramework</w:t>
      </w:r>
      <w:r w:rsidR="000A5329" w:rsidRPr="002029AF">
        <w:t xml:space="preserve"> </w:t>
      </w:r>
      <w:r w:rsidRPr="002029AF">
        <w:t>in</w:t>
      </w:r>
      <w:r w:rsidR="000A5329" w:rsidRPr="002029AF">
        <w:t xml:space="preserve"> </w:t>
      </w:r>
      <w:r w:rsidRPr="002029AF">
        <w:t>June</w:t>
      </w:r>
      <w:r w:rsidR="000A5329" w:rsidRPr="002029AF">
        <w:t xml:space="preserve"> </w:t>
      </w:r>
      <w:r w:rsidRPr="002029AF">
        <w:t>2019.</w:t>
      </w:r>
      <w:r w:rsidR="000A5329" w:rsidRPr="002029AF">
        <w:t xml:space="preserve"> </w:t>
      </w:r>
      <w:r w:rsidRPr="002029AF">
        <w:t>The</w:t>
      </w:r>
      <w:r w:rsidR="000A5329" w:rsidRPr="002029AF">
        <w:t xml:space="preserve"> </w:t>
      </w:r>
      <w:r w:rsidRPr="002029AF">
        <w:t>framework’s</w:t>
      </w:r>
      <w:r w:rsidR="000A5329" w:rsidRPr="002029AF">
        <w:t xml:space="preserve"> </w:t>
      </w:r>
      <w:r w:rsidRPr="002029AF">
        <w:t>vision</w:t>
      </w:r>
      <w:r w:rsidR="000A5329" w:rsidRPr="002029AF">
        <w:t xml:space="preserve"> </w:t>
      </w:r>
      <w:r w:rsidRPr="002029AF">
        <w:t>to</w:t>
      </w:r>
      <w:r w:rsidR="000A5329" w:rsidRPr="002029AF">
        <w:t xml:space="preserve"> </w:t>
      </w:r>
      <w:r w:rsidRPr="002029AF">
        <w:t>ensure</w:t>
      </w:r>
      <w:r w:rsidR="000A5329" w:rsidRPr="002029AF">
        <w:t xml:space="preserve"> </w:t>
      </w:r>
      <w:r w:rsidRPr="002029AF">
        <w:t>the</w:t>
      </w:r>
      <w:r w:rsidR="000A5329" w:rsidRPr="002029AF">
        <w:t xml:space="preserve"> </w:t>
      </w:r>
      <w:r w:rsidRPr="002029AF">
        <w:t>Victorian</w:t>
      </w:r>
      <w:r w:rsidR="000A5329" w:rsidRPr="002029AF">
        <w:t xml:space="preserve"> </w:t>
      </w:r>
      <w:r w:rsidRPr="002029AF">
        <w:t>health,</w:t>
      </w:r>
      <w:r w:rsidR="000A5329" w:rsidRPr="002029AF">
        <w:t xml:space="preserve"> </w:t>
      </w:r>
      <w:r w:rsidRPr="002029AF">
        <w:t>human</w:t>
      </w:r>
      <w:r w:rsidR="000A5329" w:rsidRPr="002029AF">
        <w:t xml:space="preserve"> </w:t>
      </w:r>
      <w:r w:rsidRPr="002029AF">
        <w:t>and</w:t>
      </w:r>
      <w:r w:rsidR="000A5329" w:rsidRPr="002029AF">
        <w:t xml:space="preserve"> </w:t>
      </w:r>
      <w:r w:rsidRPr="002029AF">
        <w:t>community</w:t>
      </w:r>
      <w:r w:rsidR="000A5329" w:rsidRPr="002029AF">
        <w:t xml:space="preserve"> </w:t>
      </w:r>
      <w:r w:rsidRPr="002029AF">
        <w:t>service</w:t>
      </w:r>
      <w:r w:rsidR="000A5329" w:rsidRPr="002029AF">
        <w:t xml:space="preserve"> </w:t>
      </w:r>
      <w:r w:rsidRPr="002029AF">
        <w:t>sector</w:t>
      </w:r>
      <w:r w:rsidR="000A5329" w:rsidRPr="002029AF">
        <w:t xml:space="preserve"> </w:t>
      </w:r>
      <w:r w:rsidRPr="002029AF">
        <w:t>provides</w:t>
      </w:r>
      <w:r w:rsidR="000A5329" w:rsidRPr="002029AF">
        <w:t xml:space="preserve"> </w:t>
      </w:r>
      <w:r w:rsidRPr="002029AF">
        <w:t>culturally</w:t>
      </w:r>
      <w:r w:rsidR="000A5329" w:rsidRPr="002029AF">
        <w:t xml:space="preserve"> </w:t>
      </w:r>
      <w:r w:rsidRPr="002029AF">
        <w:t>safe</w:t>
      </w:r>
      <w:r w:rsidR="000A5329" w:rsidRPr="002029AF">
        <w:t xml:space="preserve"> </w:t>
      </w:r>
      <w:r w:rsidRPr="002029AF">
        <w:t>practice</w:t>
      </w:r>
      <w:r w:rsidR="000A5329" w:rsidRPr="002029AF">
        <w:t xml:space="preserve"> </w:t>
      </w:r>
      <w:r w:rsidRPr="002029AF">
        <w:t>and</w:t>
      </w:r>
      <w:r w:rsidR="000A5329" w:rsidRPr="002029AF">
        <w:t xml:space="preserve"> </w:t>
      </w:r>
      <w:r w:rsidRPr="002029AF">
        <w:t>service</w:t>
      </w:r>
      <w:r w:rsidR="000A5329" w:rsidRPr="002029AF">
        <w:t xml:space="preserve"> </w:t>
      </w:r>
      <w:r w:rsidRPr="002029AF">
        <w:t>provision</w:t>
      </w:r>
      <w:r w:rsidR="000A5329" w:rsidRPr="002029AF">
        <w:t xml:space="preserve"> </w:t>
      </w:r>
      <w:r w:rsidRPr="002029AF">
        <w:t>that</w:t>
      </w:r>
      <w:r w:rsidR="000A5329" w:rsidRPr="002029AF">
        <w:t xml:space="preserve"> </w:t>
      </w:r>
      <w:r w:rsidRPr="002029AF">
        <w:t>enables</w:t>
      </w:r>
      <w:r w:rsidR="000A5329" w:rsidRPr="002029AF">
        <w:t xml:space="preserve"> </w:t>
      </w:r>
      <w:r w:rsidRPr="002029AF">
        <w:t>optimal</w:t>
      </w:r>
      <w:r w:rsidR="000A5329" w:rsidRPr="002029AF">
        <w:t xml:space="preserve"> </w:t>
      </w:r>
      <w:r w:rsidRPr="002029AF">
        <w:t>health,</w:t>
      </w:r>
      <w:r w:rsidR="000A5329" w:rsidRPr="002029AF">
        <w:t xml:space="preserve"> </w:t>
      </w:r>
      <w:r w:rsidRPr="002029AF">
        <w:t>wellbeing</w:t>
      </w:r>
      <w:r w:rsidR="000A5329" w:rsidRPr="002029AF">
        <w:t xml:space="preserve"> </w:t>
      </w:r>
      <w:r w:rsidRPr="002029AF">
        <w:t>and</w:t>
      </w:r>
      <w:r w:rsidR="000A5329" w:rsidRPr="002029AF">
        <w:t xml:space="preserve"> </w:t>
      </w:r>
      <w:r w:rsidRPr="002029AF">
        <w:t>safety</w:t>
      </w:r>
      <w:r w:rsidR="000A5329" w:rsidRPr="002029AF">
        <w:t xml:space="preserve"> </w:t>
      </w:r>
      <w:r w:rsidRPr="002029AF">
        <w:t>outcomes</w:t>
      </w:r>
      <w:r w:rsidR="000A5329" w:rsidRPr="002029AF">
        <w:t xml:space="preserve"> </w:t>
      </w:r>
      <w:r w:rsidRPr="002029AF">
        <w:t>for</w:t>
      </w:r>
      <w:r w:rsidR="000A5329" w:rsidRPr="002029AF">
        <w:t xml:space="preserve"> </w:t>
      </w:r>
      <w:r w:rsidRPr="002029AF">
        <w:t>Aboriginal</w:t>
      </w:r>
      <w:r w:rsidR="000A5329" w:rsidRPr="002029AF">
        <w:t xml:space="preserve"> </w:t>
      </w:r>
      <w:r w:rsidRPr="002029AF">
        <w:t>people.</w:t>
      </w:r>
      <w:r w:rsidR="000A5329" w:rsidRPr="002029AF">
        <w:t xml:space="preserve"> </w:t>
      </w:r>
      <w:r w:rsidRPr="002029AF">
        <w:t>To</w:t>
      </w:r>
      <w:r w:rsidR="000A5329" w:rsidRPr="002029AF">
        <w:t xml:space="preserve"> </w:t>
      </w:r>
      <w:r w:rsidRPr="002029AF">
        <w:t>achieve</w:t>
      </w:r>
      <w:r w:rsidR="000A5329" w:rsidRPr="002029AF">
        <w:t xml:space="preserve"> </w:t>
      </w:r>
      <w:r w:rsidRPr="002029AF">
        <w:t>this</w:t>
      </w:r>
      <w:r w:rsidR="000A5329" w:rsidRPr="002029AF">
        <w:t xml:space="preserve"> </w:t>
      </w:r>
      <w:r w:rsidRPr="002029AF">
        <w:t>vision</w:t>
      </w:r>
      <w:r w:rsidR="000A5329" w:rsidRPr="002029AF">
        <w:t xml:space="preserve"> </w:t>
      </w:r>
      <w:r w:rsidRPr="002029AF">
        <w:t>the</w:t>
      </w:r>
      <w:r w:rsidR="000A5329" w:rsidRPr="002029AF">
        <w:t xml:space="preserve"> </w:t>
      </w:r>
      <w:r w:rsidRPr="002029AF">
        <w:t>framework</w:t>
      </w:r>
      <w:r w:rsidR="000A5329" w:rsidRPr="002029AF">
        <w:t xml:space="preserve"> </w:t>
      </w:r>
      <w:r w:rsidRPr="002029AF">
        <w:t>has</w:t>
      </w:r>
      <w:r w:rsidR="000A5329" w:rsidRPr="002029AF">
        <w:t xml:space="preserve"> </w:t>
      </w:r>
      <w:r w:rsidRPr="002029AF">
        <w:t>three</w:t>
      </w:r>
      <w:r w:rsidR="000A5329" w:rsidRPr="002029AF">
        <w:t xml:space="preserve"> </w:t>
      </w:r>
      <w:r w:rsidRPr="002029AF">
        <w:t>key</w:t>
      </w:r>
      <w:r w:rsidR="000A5329" w:rsidRPr="002029AF">
        <w:t xml:space="preserve"> </w:t>
      </w:r>
      <w:r w:rsidRPr="002029AF">
        <w:t>domains:</w:t>
      </w:r>
    </w:p>
    <w:p w14:paraId="7A2A7072" w14:textId="1467EE86" w:rsidR="000A5329" w:rsidRPr="002029AF" w:rsidRDefault="00DE78BA" w:rsidP="001E768A">
      <w:pPr>
        <w:pStyle w:val="ARbullet1"/>
      </w:pPr>
      <w:r w:rsidRPr="002029AF">
        <w:t>c</w:t>
      </w:r>
      <w:r w:rsidR="00CF72D5" w:rsidRPr="002029AF">
        <w:t>ulturally</w:t>
      </w:r>
      <w:r w:rsidR="000A5329" w:rsidRPr="002029AF">
        <w:t xml:space="preserve"> </w:t>
      </w:r>
      <w:r w:rsidR="00CF72D5" w:rsidRPr="002029AF">
        <w:t>safe</w:t>
      </w:r>
      <w:r w:rsidR="000A5329" w:rsidRPr="002029AF">
        <w:t xml:space="preserve"> </w:t>
      </w:r>
      <w:r w:rsidR="00CF72D5" w:rsidRPr="002029AF">
        <w:t>workplaces</w:t>
      </w:r>
      <w:r w:rsidR="000A5329" w:rsidRPr="002029AF">
        <w:t xml:space="preserve"> </w:t>
      </w:r>
      <w:r w:rsidR="00CF72D5" w:rsidRPr="002029AF">
        <w:t>and</w:t>
      </w:r>
      <w:r w:rsidR="000A5329" w:rsidRPr="002029AF">
        <w:t xml:space="preserve"> </w:t>
      </w:r>
      <w:r w:rsidR="00CF72D5" w:rsidRPr="002029AF">
        <w:t>organisations</w:t>
      </w:r>
    </w:p>
    <w:p w14:paraId="41BE7018" w14:textId="268B0FBD" w:rsidR="00CF72D5" w:rsidRPr="002029AF" w:rsidRDefault="00CF72D5" w:rsidP="001E768A">
      <w:pPr>
        <w:pStyle w:val="ARbullet1"/>
      </w:pPr>
      <w:r w:rsidRPr="002029AF">
        <w:t>Aboriginal</w:t>
      </w:r>
      <w:r w:rsidR="000A5329" w:rsidRPr="002029AF">
        <w:t xml:space="preserve"> </w:t>
      </w:r>
      <w:r w:rsidRPr="002029AF">
        <w:t>self-determination</w:t>
      </w:r>
    </w:p>
    <w:p w14:paraId="41DF24CE" w14:textId="7A61F15B" w:rsidR="00CF72D5" w:rsidRPr="002029AF" w:rsidRDefault="00CF72D5" w:rsidP="001E768A">
      <w:pPr>
        <w:pStyle w:val="ARbullet1"/>
      </w:pPr>
      <w:r w:rsidRPr="002029AF">
        <w:t>Leadership</w:t>
      </w:r>
      <w:r w:rsidR="000A5329" w:rsidRPr="002029AF">
        <w:t xml:space="preserve"> </w:t>
      </w:r>
      <w:r w:rsidRPr="002029AF">
        <w:t>and</w:t>
      </w:r>
      <w:r w:rsidR="000A5329" w:rsidRPr="002029AF">
        <w:t xml:space="preserve"> </w:t>
      </w:r>
      <w:r w:rsidRPr="002029AF">
        <w:t>Accountability</w:t>
      </w:r>
      <w:r w:rsidR="00FA479F" w:rsidRPr="002029AF">
        <w:t>.</w:t>
      </w:r>
    </w:p>
    <w:p w14:paraId="6CC3DE94" w14:textId="77777777" w:rsidR="003048F1" w:rsidRDefault="00CF72D5" w:rsidP="003048F1">
      <w:pPr>
        <w:pStyle w:val="ARbodyafterbullets"/>
        <w:sectPr w:rsidR="003048F1" w:rsidSect="00EF3FCC">
          <w:type w:val="continuous"/>
          <w:pgSz w:w="11906" w:h="16838" w:code="9"/>
          <w:pgMar w:top="1985" w:right="851" w:bottom="851" w:left="1418" w:header="510" w:footer="340" w:gutter="0"/>
          <w:cols w:num="2" w:space="454"/>
          <w:docGrid w:linePitch="360"/>
          <w15:footnoteColumns w:val="1"/>
        </w:sectPr>
      </w:pPr>
      <w:r w:rsidRPr="002029AF">
        <w:t>The</w:t>
      </w:r>
      <w:r w:rsidR="000A5329" w:rsidRPr="002029AF">
        <w:t xml:space="preserve"> </w:t>
      </w:r>
      <w:r w:rsidRPr="002029AF">
        <w:t>department</w:t>
      </w:r>
      <w:r w:rsidR="000A5329" w:rsidRPr="002029AF">
        <w:t xml:space="preserve"> </w:t>
      </w:r>
      <w:r w:rsidRPr="002029AF">
        <w:t>is</w:t>
      </w:r>
      <w:r w:rsidR="000A5329" w:rsidRPr="002029AF">
        <w:t xml:space="preserve"> </w:t>
      </w:r>
      <w:r w:rsidRPr="002029AF">
        <w:t>developing</w:t>
      </w:r>
      <w:r w:rsidR="000A5329" w:rsidRPr="002029AF">
        <w:t xml:space="preserve"> </w:t>
      </w:r>
      <w:r w:rsidRPr="002029AF">
        <w:t>executive</w:t>
      </w:r>
      <w:r w:rsidR="000A5329" w:rsidRPr="002029AF">
        <w:t xml:space="preserve"> </w:t>
      </w:r>
      <w:r w:rsidRPr="002029AF">
        <w:t>leaders</w:t>
      </w:r>
      <w:r w:rsidR="000A5329" w:rsidRPr="002029AF">
        <w:t xml:space="preserve"> </w:t>
      </w:r>
      <w:r w:rsidRPr="002029AF">
        <w:t>and</w:t>
      </w:r>
      <w:r w:rsidR="000A5329" w:rsidRPr="002029AF">
        <w:t xml:space="preserve"> </w:t>
      </w:r>
      <w:r w:rsidRPr="002029AF">
        <w:t>workforce</w:t>
      </w:r>
      <w:r w:rsidR="000A5329" w:rsidRPr="002029AF">
        <w:t xml:space="preserve"> </w:t>
      </w:r>
      <w:r w:rsidRPr="002029AF">
        <w:t>to</w:t>
      </w:r>
      <w:r w:rsidR="000A5329" w:rsidRPr="002029AF">
        <w:t xml:space="preserve"> </w:t>
      </w:r>
      <w:r w:rsidRPr="002029AF">
        <w:t>take</w:t>
      </w:r>
      <w:r w:rsidR="000A5329" w:rsidRPr="002029AF">
        <w:t xml:space="preserve"> </w:t>
      </w:r>
      <w:r w:rsidRPr="002029AF">
        <w:t>ownership</w:t>
      </w:r>
      <w:r w:rsidR="000A5329" w:rsidRPr="002029AF">
        <w:t xml:space="preserve"> </w:t>
      </w:r>
      <w:r w:rsidRPr="002029AF">
        <w:t>of</w:t>
      </w:r>
      <w:r w:rsidR="000A5329" w:rsidRPr="002029AF">
        <w:t xml:space="preserve"> </w:t>
      </w:r>
      <w:r w:rsidRPr="002029AF">
        <w:t>cultural</w:t>
      </w:r>
      <w:r w:rsidR="000A5329" w:rsidRPr="002029AF">
        <w:t xml:space="preserve"> </w:t>
      </w:r>
      <w:r w:rsidRPr="002029AF">
        <w:t>safety</w:t>
      </w:r>
      <w:r w:rsidR="000A5329" w:rsidRPr="002029AF">
        <w:t xml:space="preserve"> </w:t>
      </w:r>
      <w:r w:rsidRPr="002029AF">
        <w:t>as</w:t>
      </w:r>
      <w:r w:rsidR="000A5329" w:rsidRPr="002029AF">
        <w:t xml:space="preserve"> </w:t>
      </w:r>
      <w:r w:rsidRPr="002029AF">
        <w:t>part</w:t>
      </w:r>
      <w:r w:rsidR="000A5329" w:rsidRPr="002029AF">
        <w:t xml:space="preserve"> </w:t>
      </w:r>
      <w:r w:rsidRPr="002029AF">
        <w:t>of</w:t>
      </w:r>
      <w:r w:rsidR="000A5329" w:rsidRPr="002029AF">
        <w:t xml:space="preserve"> </w:t>
      </w:r>
      <w:r w:rsidRPr="002029AF">
        <w:t>their</w:t>
      </w:r>
      <w:r w:rsidR="000A5329" w:rsidRPr="002029AF">
        <w:t xml:space="preserve"> </w:t>
      </w:r>
      <w:r w:rsidRPr="002029AF">
        <w:t>responsibility</w:t>
      </w:r>
      <w:r w:rsidR="000A5329" w:rsidRPr="002029AF">
        <w:t xml:space="preserve"> </w:t>
      </w:r>
      <w:r w:rsidRPr="002029AF">
        <w:t>to</w:t>
      </w:r>
      <w:r w:rsidR="000A5329" w:rsidRPr="002029AF">
        <w:t xml:space="preserve"> </w:t>
      </w:r>
      <w:r w:rsidRPr="002029AF">
        <w:t>ensure</w:t>
      </w:r>
      <w:r w:rsidR="000A5329" w:rsidRPr="002029AF">
        <w:t xml:space="preserve"> </w:t>
      </w:r>
      <w:r w:rsidRPr="002029AF">
        <w:t>a</w:t>
      </w:r>
      <w:r w:rsidR="000A5329" w:rsidRPr="002029AF">
        <w:t xml:space="preserve"> </w:t>
      </w:r>
      <w:r w:rsidRPr="002029AF">
        <w:t>culturally</w:t>
      </w:r>
      <w:r w:rsidR="000A5329" w:rsidRPr="002029AF">
        <w:t xml:space="preserve"> </w:t>
      </w:r>
      <w:r w:rsidRPr="002029AF">
        <w:t>safe</w:t>
      </w:r>
      <w:r w:rsidR="000A5329" w:rsidRPr="002029AF">
        <w:t xml:space="preserve"> </w:t>
      </w:r>
      <w:r w:rsidRPr="002029AF">
        <w:t>environment</w:t>
      </w:r>
      <w:r w:rsidR="000A5329" w:rsidRPr="002029AF">
        <w:t xml:space="preserve"> </w:t>
      </w:r>
      <w:r w:rsidRPr="002029AF">
        <w:t>for</w:t>
      </w:r>
      <w:r w:rsidR="000A5329" w:rsidRPr="002029AF">
        <w:t xml:space="preserve"> </w:t>
      </w:r>
      <w:r w:rsidRPr="002029AF">
        <w:t>Aboriginal</w:t>
      </w:r>
      <w:r w:rsidR="000A5329" w:rsidRPr="002029AF">
        <w:t xml:space="preserve"> </w:t>
      </w:r>
      <w:r w:rsidRPr="002029AF">
        <w:t>workforce</w:t>
      </w:r>
      <w:r w:rsidR="000A5329" w:rsidRPr="002029AF">
        <w:t xml:space="preserve"> </w:t>
      </w:r>
      <w:r w:rsidRPr="002029AF">
        <w:t>and</w:t>
      </w:r>
      <w:r w:rsidR="000A5329" w:rsidRPr="002029AF">
        <w:t xml:space="preserve"> </w:t>
      </w:r>
      <w:r w:rsidRPr="002029AF">
        <w:t>that</w:t>
      </w:r>
      <w:r w:rsidR="000A5329" w:rsidRPr="002029AF">
        <w:t xml:space="preserve"> </w:t>
      </w:r>
      <w:r w:rsidRPr="002029AF">
        <w:t>self-determination</w:t>
      </w:r>
      <w:r w:rsidR="000A5329" w:rsidRPr="002029AF">
        <w:t xml:space="preserve"> </w:t>
      </w:r>
      <w:r w:rsidRPr="002029AF">
        <w:t>is</w:t>
      </w:r>
      <w:r w:rsidR="000A5329" w:rsidRPr="002029AF">
        <w:t xml:space="preserve"> </w:t>
      </w:r>
      <w:r w:rsidRPr="002029AF">
        <w:t>embedded</w:t>
      </w:r>
      <w:r w:rsidR="000A5329" w:rsidRPr="002029AF">
        <w:t xml:space="preserve"> </w:t>
      </w:r>
      <w:r w:rsidRPr="002029AF">
        <w:t>in</w:t>
      </w:r>
      <w:r w:rsidR="000A5329" w:rsidRPr="002029AF">
        <w:t xml:space="preserve"> </w:t>
      </w:r>
      <w:r w:rsidRPr="002029AF">
        <w:t>policy,</w:t>
      </w:r>
      <w:r w:rsidR="000A5329" w:rsidRPr="002029AF">
        <w:t xml:space="preserve"> </w:t>
      </w:r>
      <w:r w:rsidRPr="002029AF">
        <w:t>program</w:t>
      </w:r>
      <w:r w:rsidR="000A5329" w:rsidRPr="002029AF">
        <w:t xml:space="preserve"> </w:t>
      </w:r>
      <w:r w:rsidRPr="002029AF">
        <w:t>and</w:t>
      </w:r>
      <w:r w:rsidR="000A5329" w:rsidRPr="002029AF">
        <w:t xml:space="preserve"> </w:t>
      </w:r>
      <w:r w:rsidRPr="002029AF">
        <w:t>service</w:t>
      </w:r>
      <w:r w:rsidR="000A5329" w:rsidRPr="002029AF">
        <w:t xml:space="preserve"> </w:t>
      </w:r>
      <w:r w:rsidRPr="002029AF">
        <w:t>provision.</w:t>
      </w:r>
      <w:r w:rsidR="000A5329" w:rsidRPr="002029AF">
        <w:t xml:space="preserve"> </w:t>
      </w:r>
      <w:r w:rsidRPr="002029AF">
        <w:t>Dedicated</w:t>
      </w:r>
      <w:r w:rsidR="000A5329" w:rsidRPr="002029AF">
        <w:t xml:space="preserve"> </w:t>
      </w:r>
      <w:r w:rsidRPr="002029AF">
        <w:t>learning</w:t>
      </w:r>
      <w:r w:rsidR="000A5329" w:rsidRPr="002029AF">
        <w:t xml:space="preserve"> </w:t>
      </w:r>
      <w:r w:rsidRPr="002029AF">
        <w:t>and</w:t>
      </w:r>
      <w:r w:rsidR="000A5329" w:rsidRPr="002029AF">
        <w:t xml:space="preserve"> </w:t>
      </w:r>
      <w:r w:rsidRPr="002029AF">
        <w:t>development</w:t>
      </w:r>
      <w:r w:rsidR="000A5329" w:rsidRPr="002029AF">
        <w:t xml:space="preserve"> </w:t>
      </w:r>
      <w:r w:rsidRPr="002029AF">
        <w:t>and</w:t>
      </w:r>
      <w:r w:rsidR="000A5329" w:rsidRPr="002029AF">
        <w:t xml:space="preserve"> </w:t>
      </w:r>
      <w:r w:rsidRPr="002029AF">
        <w:t>online</w:t>
      </w:r>
      <w:r w:rsidR="000A5329" w:rsidRPr="002029AF">
        <w:t xml:space="preserve"> </w:t>
      </w:r>
      <w:r w:rsidRPr="002029AF">
        <w:t>resources</w:t>
      </w:r>
      <w:r w:rsidR="000A5329" w:rsidRPr="002029AF">
        <w:t xml:space="preserve"> </w:t>
      </w:r>
      <w:r w:rsidRPr="002029AF">
        <w:t>have</w:t>
      </w:r>
      <w:r w:rsidR="000A5329" w:rsidRPr="002029AF">
        <w:t xml:space="preserve"> </w:t>
      </w:r>
      <w:r w:rsidRPr="002029AF">
        <w:t>been</w:t>
      </w:r>
      <w:r w:rsidR="000A5329" w:rsidRPr="002029AF">
        <w:t xml:space="preserve"> </w:t>
      </w:r>
      <w:r w:rsidRPr="002029AF">
        <w:t>implemented</w:t>
      </w:r>
      <w:r w:rsidR="000A5329" w:rsidRPr="002029AF">
        <w:t xml:space="preserve"> </w:t>
      </w:r>
      <w:r w:rsidRPr="002029AF">
        <w:t>for</w:t>
      </w:r>
      <w:r w:rsidR="000A5329" w:rsidRPr="002029AF">
        <w:t xml:space="preserve"> </w:t>
      </w:r>
      <w:r w:rsidRPr="002029AF">
        <w:t>all</w:t>
      </w:r>
      <w:r w:rsidR="000A5329" w:rsidRPr="002029AF">
        <w:t xml:space="preserve"> </w:t>
      </w:r>
      <w:r w:rsidRPr="002029AF">
        <w:t>staff,</w:t>
      </w:r>
      <w:r w:rsidR="000A5329" w:rsidRPr="002029AF">
        <w:t xml:space="preserve"> </w:t>
      </w:r>
      <w:r w:rsidRPr="002029AF">
        <w:t>managers</w:t>
      </w:r>
      <w:r w:rsidR="000A5329" w:rsidRPr="002029AF">
        <w:t xml:space="preserve"> </w:t>
      </w:r>
      <w:r w:rsidRPr="002029AF">
        <w:t>and</w:t>
      </w:r>
      <w:r w:rsidR="000A5329" w:rsidRPr="002029AF">
        <w:t xml:space="preserve"> </w:t>
      </w:r>
      <w:r w:rsidRPr="002029AF">
        <w:t>executive</w:t>
      </w:r>
      <w:r w:rsidR="000A5329" w:rsidRPr="002029AF">
        <w:t xml:space="preserve"> </w:t>
      </w:r>
      <w:r w:rsidRPr="002029AF">
        <w:t>to</w:t>
      </w:r>
      <w:r w:rsidR="000A5329" w:rsidRPr="002029AF">
        <w:t xml:space="preserve"> </w:t>
      </w:r>
      <w:r w:rsidRPr="002029AF">
        <w:t>ensure</w:t>
      </w:r>
      <w:r w:rsidR="000A5329" w:rsidRPr="002029AF">
        <w:t xml:space="preserve"> </w:t>
      </w:r>
      <w:r w:rsidRPr="002029AF">
        <w:t>all</w:t>
      </w:r>
      <w:r w:rsidR="000A5329" w:rsidRPr="002029AF">
        <w:t xml:space="preserve"> </w:t>
      </w:r>
      <w:r w:rsidRPr="002029AF">
        <w:t>employees</w:t>
      </w:r>
      <w:r w:rsidR="000A5329" w:rsidRPr="002029AF">
        <w:t xml:space="preserve"> </w:t>
      </w:r>
      <w:r w:rsidRPr="002029AF">
        <w:t>are</w:t>
      </w:r>
      <w:r w:rsidR="000A5329" w:rsidRPr="002029AF">
        <w:t xml:space="preserve"> </w:t>
      </w:r>
      <w:r w:rsidRPr="002029AF">
        <w:t>responsible</w:t>
      </w:r>
      <w:r w:rsidR="000A5329" w:rsidRPr="002029AF">
        <w:t xml:space="preserve"> </w:t>
      </w:r>
      <w:r w:rsidRPr="002029AF">
        <w:t>for</w:t>
      </w:r>
      <w:r w:rsidR="000A5329" w:rsidRPr="002029AF">
        <w:t xml:space="preserve"> </w:t>
      </w:r>
      <w:r w:rsidRPr="002029AF">
        <w:t>how</w:t>
      </w:r>
      <w:r w:rsidR="000A5329" w:rsidRPr="002029AF">
        <w:t xml:space="preserve"> </w:t>
      </w:r>
      <w:r w:rsidRPr="002029AF">
        <w:t>they</w:t>
      </w:r>
      <w:r w:rsidR="000A5329" w:rsidRPr="002029AF">
        <w:t xml:space="preserve"> </w:t>
      </w:r>
      <w:r w:rsidRPr="002029AF">
        <w:t>work</w:t>
      </w:r>
      <w:r w:rsidR="000A5329" w:rsidRPr="002029AF">
        <w:t xml:space="preserve"> </w:t>
      </w:r>
      <w:r w:rsidRPr="002029AF">
        <w:t>with</w:t>
      </w:r>
      <w:r w:rsidR="000A5329" w:rsidRPr="002029AF">
        <w:t xml:space="preserve"> </w:t>
      </w:r>
      <w:r w:rsidRPr="002029AF">
        <w:t>Aboriginal</w:t>
      </w:r>
      <w:r w:rsidR="000A5329" w:rsidRPr="002029AF">
        <w:t xml:space="preserve"> </w:t>
      </w:r>
      <w:r w:rsidRPr="002029AF">
        <w:t>staff,</w:t>
      </w:r>
      <w:r w:rsidR="000A5329" w:rsidRPr="002029AF">
        <w:t xml:space="preserve"> </w:t>
      </w:r>
      <w:r w:rsidRPr="002029AF">
        <w:t>health</w:t>
      </w:r>
      <w:r w:rsidR="000A5329" w:rsidRPr="002029AF">
        <w:t xml:space="preserve"> </w:t>
      </w:r>
      <w:r w:rsidRPr="002029AF">
        <w:t>consumers</w:t>
      </w:r>
      <w:r w:rsidR="000A5329" w:rsidRPr="002029AF">
        <w:t xml:space="preserve"> </w:t>
      </w:r>
      <w:r w:rsidRPr="002029AF">
        <w:t>and</w:t>
      </w:r>
      <w:r w:rsidR="000A5329" w:rsidRPr="002029AF">
        <w:t xml:space="preserve"> </w:t>
      </w:r>
      <w:r w:rsidRPr="002029AF">
        <w:t>clients</w:t>
      </w:r>
      <w:r w:rsidR="000A5329" w:rsidRPr="002029AF">
        <w:t xml:space="preserve"> </w:t>
      </w:r>
      <w:r w:rsidRPr="002029AF">
        <w:t>of</w:t>
      </w:r>
      <w:r w:rsidR="000A5329" w:rsidRPr="002029AF">
        <w:t xml:space="preserve"> </w:t>
      </w:r>
      <w:r w:rsidRPr="002029AF">
        <w:t>community</w:t>
      </w:r>
      <w:r w:rsidR="000A5329" w:rsidRPr="002029AF">
        <w:t xml:space="preserve"> </w:t>
      </w:r>
      <w:r w:rsidRPr="002029AF">
        <w:t>services.</w:t>
      </w:r>
      <w:r w:rsidR="000A5329" w:rsidRPr="002029AF">
        <w:t xml:space="preserve"> </w:t>
      </w:r>
      <w:r w:rsidRPr="002029AF">
        <w:t>A</w:t>
      </w:r>
      <w:r w:rsidR="000A5329" w:rsidRPr="002029AF">
        <w:t xml:space="preserve"> </w:t>
      </w:r>
      <w:r w:rsidR="000E52E8" w:rsidRPr="002029AF">
        <w:t>c</w:t>
      </w:r>
      <w:r w:rsidRPr="002029AF">
        <w:t>ultural</w:t>
      </w:r>
      <w:r w:rsidR="000A5329" w:rsidRPr="002029AF">
        <w:t xml:space="preserve"> </w:t>
      </w:r>
      <w:r w:rsidRPr="002029AF">
        <w:t>safety</w:t>
      </w:r>
      <w:r w:rsidR="000A5329" w:rsidRPr="002029AF">
        <w:t xml:space="preserve"> </w:t>
      </w:r>
      <w:r w:rsidRPr="002029AF">
        <w:t>working</w:t>
      </w:r>
      <w:r w:rsidR="000A5329" w:rsidRPr="002029AF">
        <w:t xml:space="preserve"> </w:t>
      </w:r>
      <w:r w:rsidRPr="002029AF">
        <w:t>group</w:t>
      </w:r>
      <w:r w:rsidR="000A5329" w:rsidRPr="002029AF">
        <w:t xml:space="preserve"> </w:t>
      </w:r>
      <w:r w:rsidRPr="002029AF">
        <w:t>has</w:t>
      </w:r>
      <w:r w:rsidR="000A5329" w:rsidRPr="002029AF">
        <w:t xml:space="preserve"> </w:t>
      </w:r>
      <w:r w:rsidRPr="002029AF">
        <w:t>been</w:t>
      </w:r>
      <w:r w:rsidR="000A5329" w:rsidRPr="002029AF">
        <w:t xml:space="preserve"> </w:t>
      </w:r>
      <w:r w:rsidRPr="002029AF">
        <w:t>operating</w:t>
      </w:r>
      <w:r w:rsidR="000A5329" w:rsidRPr="002029AF">
        <w:t xml:space="preserve"> </w:t>
      </w:r>
      <w:r w:rsidRPr="002029AF">
        <w:t>to</w:t>
      </w:r>
      <w:r w:rsidR="000A5329" w:rsidRPr="002029AF">
        <w:t xml:space="preserve"> </w:t>
      </w:r>
      <w:r w:rsidRPr="002029AF">
        <w:t>support</w:t>
      </w:r>
      <w:r w:rsidR="000A5329" w:rsidRPr="002029AF">
        <w:t xml:space="preserve"> </w:t>
      </w:r>
      <w:r w:rsidRPr="002029AF">
        <w:t>the</w:t>
      </w:r>
      <w:r w:rsidR="000A5329" w:rsidRPr="002029AF">
        <w:t xml:space="preserve"> </w:t>
      </w:r>
      <w:r w:rsidRPr="002029AF">
        <w:t>implementation</w:t>
      </w:r>
      <w:r w:rsidR="000A5329" w:rsidRPr="002029AF">
        <w:t xml:space="preserve"> </w:t>
      </w:r>
      <w:r w:rsidRPr="002029AF">
        <w:t>of</w:t>
      </w:r>
      <w:r w:rsidR="000A5329" w:rsidRPr="002029AF">
        <w:t xml:space="preserve"> </w:t>
      </w:r>
      <w:r w:rsidRPr="002029AF">
        <w:t>the</w:t>
      </w:r>
      <w:r w:rsidR="000A5329" w:rsidRPr="002029AF">
        <w:t xml:space="preserve"> </w:t>
      </w:r>
      <w:r w:rsidRPr="002029AF">
        <w:t>framework</w:t>
      </w:r>
      <w:r w:rsidR="000A5329" w:rsidRPr="002029AF">
        <w:t xml:space="preserve"> </w:t>
      </w:r>
      <w:r w:rsidRPr="002029AF">
        <w:t>throughout</w:t>
      </w:r>
      <w:r w:rsidR="000A5329" w:rsidRPr="002029AF">
        <w:t xml:space="preserve"> </w:t>
      </w:r>
      <w:r w:rsidRPr="002029AF">
        <w:t>the</w:t>
      </w:r>
      <w:r w:rsidR="000A5329" w:rsidRPr="002029AF">
        <w:t xml:space="preserve"> </w:t>
      </w:r>
      <w:r w:rsidRPr="002029AF">
        <w:t>organisation.</w:t>
      </w:r>
      <w:r w:rsidR="000A5329" w:rsidRPr="002029AF">
        <w:t xml:space="preserve"> </w:t>
      </w:r>
      <w:r w:rsidRPr="002029AF">
        <w:t>A</w:t>
      </w:r>
      <w:r w:rsidR="000A5329" w:rsidRPr="002029AF">
        <w:t xml:space="preserve"> </w:t>
      </w:r>
      <w:r w:rsidRPr="002029AF">
        <w:t>dedicated</w:t>
      </w:r>
      <w:r w:rsidR="000A5329" w:rsidRPr="002029AF">
        <w:t xml:space="preserve"> </w:t>
      </w:r>
      <w:r w:rsidRPr="002029AF">
        <w:t>Aboriginal</w:t>
      </w:r>
      <w:r w:rsidR="000A5329" w:rsidRPr="002029AF">
        <w:t xml:space="preserve"> </w:t>
      </w:r>
      <w:r w:rsidR="000E52E8" w:rsidRPr="002029AF">
        <w:t>p</w:t>
      </w:r>
      <w:r w:rsidRPr="002029AF">
        <w:t>eer</w:t>
      </w:r>
      <w:r w:rsidR="000A5329" w:rsidRPr="002029AF">
        <w:t xml:space="preserve"> </w:t>
      </w:r>
      <w:r w:rsidR="000E52E8" w:rsidRPr="002029AF">
        <w:t>s</w:t>
      </w:r>
      <w:r w:rsidRPr="002029AF">
        <w:t>upport</w:t>
      </w:r>
      <w:r w:rsidR="000A5329" w:rsidRPr="002029AF">
        <w:t xml:space="preserve"> </w:t>
      </w:r>
      <w:r w:rsidR="000E52E8" w:rsidRPr="002029AF">
        <w:t>n</w:t>
      </w:r>
      <w:r w:rsidRPr="002029AF">
        <w:t>etwork</w:t>
      </w:r>
      <w:r w:rsidR="000A5329" w:rsidRPr="002029AF">
        <w:t xml:space="preserve"> </w:t>
      </w:r>
      <w:r w:rsidRPr="002029AF">
        <w:t>has</w:t>
      </w:r>
      <w:r w:rsidR="000A5329" w:rsidRPr="002029AF">
        <w:t xml:space="preserve"> </w:t>
      </w:r>
      <w:r w:rsidRPr="002029AF">
        <w:t>been</w:t>
      </w:r>
      <w:r w:rsidR="000A5329" w:rsidRPr="002029AF">
        <w:t xml:space="preserve"> </w:t>
      </w:r>
      <w:r w:rsidRPr="002029AF">
        <w:t>developed</w:t>
      </w:r>
      <w:r w:rsidR="000A5329" w:rsidRPr="002029AF">
        <w:t xml:space="preserve"> </w:t>
      </w:r>
      <w:r w:rsidRPr="002029AF">
        <w:t>using</w:t>
      </w:r>
      <w:r w:rsidR="000A5329" w:rsidRPr="002029AF">
        <w:t xml:space="preserve"> </w:t>
      </w:r>
      <w:r w:rsidRPr="002029AF">
        <w:t>the</w:t>
      </w:r>
      <w:r w:rsidR="000A5329" w:rsidRPr="002029AF">
        <w:t xml:space="preserve"> </w:t>
      </w:r>
      <w:r w:rsidRPr="002029AF">
        <w:t>principles</w:t>
      </w:r>
      <w:r w:rsidR="000A5329" w:rsidRPr="002029AF">
        <w:t xml:space="preserve"> </w:t>
      </w:r>
      <w:r w:rsidRPr="002029AF">
        <w:t>of</w:t>
      </w:r>
      <w:r w:rsidR="000A5329" w:rsidRPr="002029AF">
        <w:t xml:space="preserve"> </w:t>
      </w:r>
      <w:r w:rsidRPr="002029AF">
        <w:t>self-determination</w:t>
      </w:r>
      <w:r w:rsidR="000A5329" w:rsidRPr="002029AF">
        <w:t xml:space="preserve"> </w:t>
      </w:r>
      <w:r w:rsidRPr="002029AF">
        <w:t>to</w:t>
      </w:r>
      <w:r w:rsidR="000A5329" w:rsidRPr="002029AF">
        <w:t xml:space="preserve"> </w:t>
      </w:r>
      <w:r w:rsidRPr="002029AF">
        <w:t>support</w:t>
      </w:r>
      <w:r w:rsidR="000A5329" w:rsidRPr="002029AF">
        <w:t xml:space="preserve"> </w:t>
      </w:r>
      <w:r w:rsidRPr="002029AF">
        <w:t>the</w:t>
      </w:r>
      <w:r w:rsidR="000A5329" w:rsidRPr="002029AF">
        <w:t xml:space="preserve"> </w:t>
      </w:r>
      <w:r w:rsidRPr="002029AF">
        <w:t>health,</w:t>
      </w:r>
      <w:r w:rsidR="000A5329" w:rsidRPr="002029AF">
        <w:t xml:space="preserve"> </w:t>
      </w:r>
      <w:r w:rsidRPr="002029AF">
        <w:t>wellbeing</w:t>
      </w:r>
      <w:r w:rsidR="000A5329" w:rsidRPr="002029AF">
        <w:t xml:space="preserve"> </w:t>
      </w:r>
      <w:r w:rsidRPr="002029AF">
        <w:t>and</w:t>
      </w:r>
      <w:r w:rsidR="000A5329" w:rsidRPr="002029AF">
        <w:t xml:space="preserve"> </w:t>
      </w:r>
      <w:r w:rsidRPr="002029AF">
        <w:t>safety</w:t>
      </w:r>
      <w:r w:rsidR="000A5329" w:rsidRPr="002029AF">
        <w:t xml:space="preserve"> </w:t>
      </w:r>
      <w:r w:rsidRPr="002029AF">
        <w:t>of</w:t>
      </w:r>
      <w:r w:rsidR="000A5329" w:rsidRPr="002029AF">
        <w:t xml:space="preserve"> </w:t>
      </w:r>
      <w:r w:rsidRPr="002029AF">
        <w:t>our</w:t>
      </w:r>
      <w:r w:rsidR="000A5329" w:rsidRPr="002029AF">
        <w:t xml:space="preserve"> </w:t>
      </w:r>
      <w:r w:rsidRPr="002029AF">
        <w:t>Aboriginal</w:t>
      </w:r>
      <w:r w:rsidR="000A5329" w:rsidRPr="002029AF">
        <w:t xml:space="preserve"> </w:t>
      </w:r>
      <w:r w:rsidRPr="002029AF">
        <w:t>workforce.</w:t>
      </w:r>
      <w:r w:rsidR="003048F1">
        <w:br w:type="page"/>
      </w:r>
    </w:p>
    <w:p w14:paraId="4A7BAADF" w14:textId="4EEE64E4" w:rsidR="00CF72D5" w:rsidRPr="002029AF" w:rsidRDefault="00CF72D5" w:rsidP="00897193">
      <w:pPr>
        <w:pStyle w:val="ARbody"/>
      </w:pPr>
      <w:r w:rsidRPr="002029AF">
        <w:lastRenderedPageBreak/>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been</w:t>
      </w:r>
      <w:r w:rsidR="000A5329" w:rsidRPr="002029AF">
        <w:t xml:space="preserve"> </w:t>
      </w:r>
      <w:r w:rsidRPr="002029AF">
        <w:t>agile</w:t>
      </w:r>
      <w:r w:rsidR="000A5329" w:rsidRPr="002029AF">
        <w:t xml:space="preserve"> </w:t>
      </w:r>
      <w:r w:rsidRPr="002029AF">
        <w:t>during</w:t>
      </w:r>
      <w:r w:rsidR="000A5329" w:rsidRPr="002029AF">
        <w:t xml:space="preserve"> </w:t>
      </w:r>
      <w:r w:rsidRPr="002029AF">
        <w:t>the</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pandemic</w:t>
      </w:r>
      <w:r w:rsidR="000A5329" w:rsidRPr="002029AF">
        <w:t xml:space="preserve"> </w:t>
      </w:r>
      <w:r w:rsidRPr="002029AF">
        <w:t>and</w:t>
      </w:r>
      <w:r w:rsidR="000A5329" w:rsidRPr="002029AF">
        <w:t xml:space="preserve"> </w:t>
      </w:r>
      <w:r w:rsidRPr="002029AF">
        <w:t>continued</w:t>
      </w:r>
      <w:r w:rsidR="000A5329" w:rsidRPr="002029AF">
        <w:t xml:space="preserve"> </w:t>
      </w:r>
      <w:r w:rsidRPr="002029AF">
        <w:t>to</w:t>
      </w:r>
      <w:r w:rsidR="000A5329" w:rsidRPr="002029AF">
        <w:t xml:space="preserve"> </w:t>
      </w:r>
      <w:r w:rsidRPr="002029AF">
        <w:t>build</w:t>
      </w:r>
      <w:r w:rsidR="000A5329" w:rsidRPr="002029AF">
        <w:t xml:space="preserve"> </w:t>
      </w:r>
      <w:r w:rsidRPr="002029AF">
        <w:t>capability</w:t>
      </w:r>
      <w:r w:rsidR="000A5329" w:rsidRPr="002029AF">
        <w:t xml:space="preserve"> </w:t>
      </w:r>
      <w:r w:rsidRPr="002029AF">
        <w:t>by</w:t>
      </w:r>
      <w:r w:rsidR="000A5329" w:rsidRPr="002029AF">
        <w:t xml:space="preserve"> </w:t>
      </w:r>
      <w:r w:rsidRPr="002029AF">
        <w:t>creating</w:t>
      </w:r>
      <w:r w:rsidR="000A5329" w:rsidRPr="002029AF">
        <w:t xml:space="preserve"> </w:t>
      </w:r>
      <w:r w:rsidRPr="002029AF">
        <w:t>rapid</w:t>
      </w:r>
      <w:r w:rsidR="000A5329" w:rsidRPr="002029AF">
        <w:t xml:space="preserve"> </w:t>
      </w:r>
      <w:r w:rsidRPr="002029AF">
        <w:t>e-learns</w:t>
      </w:r>
      <w:r w:rsidR="000A5329" w:rsidRPr="002029AF">
        <w:t xml:space="preserve"> </w:t>
      </w:r>
      <w:r w:rsidRPr="002029AF">
        <w:t>for</w:t>
      </w:r>
      <w:r w:rsidR="000A5329" w:rsidRPr="002029AF">
        <w:t xml:space="preserve"> </w:t>
      </w:r>
      <w:r w:rsidRPr="002029AF">
        <w:t>front</w:t>
      </w:r>
      <w:r w:rsidR="00DE782B" w:rsidRPr="002029AF">
        <w:t>-</w:t>
      </w:r>
      <w:r w:rsidRPr="002029AF">
        <w:t>line</w:t>
      </w:r>
      <w:r w:rsidR="000A5329" w:rsidRPr="002029AF">
        <w:t xml:space="preserve"> </w:t>
      </w:r>
      <w:r w:rsidRPr="002029AF">
        <w:t>health</w:t>
      </w:r>
      <w:r w:rsidR="000A5329" w:rsidRPr="002029AF">
        <w:t xml:space="preserve"> </w:t>
      </w:r>
      <w:r w:rsidRPr="002029AF">
        <w:t>staff,</w:t>
      </w:r>
      <w:r w:rsidR="000A5329" w:rsidRPr="002029AF">
        <w:t xml:space="preserve"> </w:t>
      </w:r>
      <w:r w:rsidRPr="002029AF">
        <w:t>virtual</w:t>
      </w:r>
      <w:r w:rsidR="000A5329" w:rsidRPr="002029AF">
        <w:t xml:space="preserve"> </w:t>
      </w:r>
      <w:r w:rsidRPr="002029AF">
        <w:t>development</w:t>
      </w:r>
      <w:r w:rsidR="000A5329" w:rsidRPr="002029AF">
        <w:t xml:space="preserve"> </w:t>
      </w:r>
      <w:r w:rsidRPr="002029AF">
        <w:t>sessions</w:t>
      </w:r>
      <w:r w:rsidR="000A5329" w:rsidRPr="002029AF">
        <w:t xml:space="preserve"> </w:t>
      </w:r>
      <w:r w:rsidRPr="002029AF">
        <w:t>as</w:t>
      </w:r>
      <w:r w:rsidR="000A5329" w:rsidRPr="002029AF">
        <w:t xml:space="preserve"> </w:t>
      </w:r>
      <w:r w:rsidRPr="002029AF">
        <w:t>well</w:t>
      </w:r>
      <w:r w:rsidR="000A5329" w:rsidRPr="002029AF">
        <w:t xml:space="preserve"> </w:t>
      </w:r>
      <w:r w:rsidRPr="002029AF">
        <w:t>as</w:t>
      </w:r>
      <w:r w:rsidR="000A5329" w:rsidRPr="002029AF">
        <w:t xml:space="preserve"> </w:t>
      </w:r>
      <w:r w:rsidRPr="002029AF">
        <w:t>building</w:t>
      </w:r>
      <w:r w:rsidR="000A5329" w:rsidRPr="002029AF">
        <w:t xml:space="preserve"> </w:t>
      </w:r>
      <w:r w:rsidRPr="002029AF">
        <w:t>cultural</w:t>
      </w:r>
      <w:r w:rsidR="000A5329" w:rsidRPr="002029AF">
        <w:t xml:space="preserve"> </w:t>
      </w:r>
      <w:r w:rsidRPr="002029AF">
        <w:t>safety</w:t>
      </w:r>
      <w:r w:rsidR="000A5329" w:rsidRPr="002029AF">
        <w:t xml:space="preserve"> </w:t>
      </w:r>
      <w:r w:rsidRPr="002029AF">
        <w:t>into</w:t>
      </w:r>
      <w:r w:rsidR="000A5329" w:rsidRPr="002029AF">
        <w:t xml:space="preserve"> </w:t>
      </w:r>
      <w:r w:rsidRPr="002029AF">
        <w:t>induction.</w:t>
      </w:r>
      <w:r w:rsidR="000A5329" w:rsidRPr="002029AF">
        <w:t xml:space="preserve"> </w:t>
      </w:r>
      <w:r w:rsidRPr="002029AF">
        <w:t>Dedicated</w:t>
      </w:r>
      <w:r w:rsidR="000A5329" w:rsidRPr="002029AF">
        <w:t xml:space="preserve"> </w:t>
      </w:r>
      <w:r w:rsidRPr="002029AF">
        <w:t>cultural</w:t>
      </w:r>
      <w:r w:rsidR="000A5329" w:rsidRPr="002029AF">
        <w:t xml:space="preserve"> </w:t>
      </w:r>
      <w:r w:rsidRPr="002029AF">
        <w:t>safety</w:t>
      </w:r>
      <w:r w:rsidR="000A5329" w:rsidRPr="002029AF">
        <w:t xml:space="preserve"> </w:t>
      </w:r>
      <w:r w:rsidRPr="002029AF">
        <w:t>advisors</w:t>
      </w:r>
      <w:r w:rsidR="000A5329" w:rsidRPr="002029AF">
        <w:t xml:space="preserve"> </w:t>
      </w:r>
      <w:r w:rsidRPr="002029AF">
        <w:t>have</w:t>
      </w:r>
      <w:r w:rsidR="000A5329" w:rsidRPr="002029AF">
        <w:t xml:space="preserve"> </w:t>
      </w:r>
      <w:r w:rsidRPr="002029AF">
        <w:t>been</w:t>
      </w:r>
      <w:r w:rsidR="000A5329" w:rsidRPr="002029AF">
        <w:t xml:space="preserve"> </w:t>
      </w:r>
      <w:r w:rsidRPr="002029AF">
        <w:t>appointed</w:t>
      </w:r>
      <w:r w:rsidR="000A5329" w:rsidRPr="002029AF">
        <w:t xml:space="preserve"> </w:t>
      </w:r>
      <w:r w:rsidRPr="002029AF">
        <w:t>to</w:t>
      </w:r>
      <w:r w:rsidR="000A5329" w:rsidRPr="002029AF">
        <w:t xml:space="preserve"> </w:t>
      </w:r>
      <w:r w:rsidRPr="002029AF">
        <w:t>our</w:t>
      </w:r>
      <w:r w:rsidR="000A5329" w:rsidRPr="002029AF">
        <w:t xml:space="preserve"> </w:t>
      </w:r>
      <w:r w:rsidRPr="002029AF">
        <w:t>contact</w:t>
      </w:r>
      <w:r w:rsidR="000A5329" w:rsidRPr="002029AF">
        <w:t xml:space="preserve"> </w:t>
      </w:r>
      <w:r w:rsidRPr="002029AF">
        <w:t>tracing</w:t>
      </w:r>
      <w:r w:rsidR="000A5329" w:rsidRPr="002029AF">
        <w:t xml:space="preserve"> </w:t>
      </w:r>
      <w:r w:rsidRPr="002029AF">
        <w:t>team.</w:t>
      </w:r>
      <w:r w:rsidR="000A5329" w:rsidRPr="002029AF">
        <w:t xml:space="preserve"> </w:t>
      </w:r>
      <w:r w:rsidR="00410D8E" w:rsidRPr="002029AF">
        <w:t>In</w:t>
      </w:r>
      <w:r w:rsidR="000A5329" w:rsidRPr="002029AF">
        <w:t xml:space="preserve"> </w:t>
      </w:r>
      <w:r w:rsidR="00410D8E" w:rsidRPr="002029AF">
        <w:t>a</w:t>
      </w:r>
      <w:r w:rsidRPr="002029AF">
        <w:t>ddition</w:t>
      </w:r>
      <w:r w:rsidR="00410D8E" w:rsidRPr="002029AF">
        <w:t>,</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worked</w:t>
      </w:r>
      <w:r w:rsidR="000A5329" w:rsidRPr="002029AF">
        <w:t xml:space="preserve"> </w:t>
      </w:r>
      <w:r w:rsidRPr="002029AF">
        <w:t>collaboratively</w:t>
      </w:r>
      <w:r w:rsidR="000A5329" w:rsidRPr="002029AF">
        <w:t xml:space="preserve"> </w:t>
      </w:r>
      <w:r w:rsidRPr="002029AF">
        <w:t>with</w:t>
      </w:r>
      <w:r w:rsidR="000A5329" w:rsidRPr="002029AF">
        <w:t xml:space="preserve"> </w:t>
      </w:r>
      <w:r w:rsidRPr="002029AF">
        <w:t>Department</w:t>
      </w:r>
      <w:r w:rsidR="000A5329" w:rsidRPr="002029AF">
        <w:t xml:space="preserve"> </w:t>
      </w:r>
      <w:r w:rsidRPr="002029AF">
        <w:t>of</w:t>
      </w:r>
      <w:r w:rsidR="000A5329" w:rsidRPr="002029AF">
        <w:t xml:space="preserve"> </w:t>
      </w:r>
      <w:r w:rsidRPr="002029AF">
        <w:t>Education,</w:t>
      </w:r>
      <w:r w:rsidR="000A5329" w:rsidRPr="002029AF">
        <w:t xml:space="preserve"> </w:t>
      </w:r>
      <w:r w:rsidR="005C4A4E" w:rsidRPr="002029AF">
        <w:t>Adult</w:t>
      </w:r>
      <w:r w:rsidR="000A5329" w:rsidRPr="002029AF">
        <w:t xml:space="preserve"> </w:t>
      </w:r>
      <w:r w:rsidR="005C4A4E" w:rsidRPr="002029AF">
        <w:t>Multicultural</w:t>
      </w:r>
      <w:r w:rsidR="000A5329" w:rsidRPr="002029AF">
        <w:t xml:space="preserve"> </w:t>
      </w:r>
      <w:r w:rsidR="00096890" w:rsidRPr="002029AF">
        <w:t>Education</w:t>
      </w:r>
      <w:r w:rsidR="000A5329" w:rsidRPr="002029AF">
        <w:t xml:space="preserve"> </w:t>
      </w:r>
      <w:r w:rsidR="00096890" w:rsidRPr="002029AF">
        <w:t>Services</w:t>
      </w:r>
      <w:r w:rsidR="000A5329" w:rsidRPr="002029AF">
        <w:t xml:space="preserve"> </w:t>
      </w:r>
      <w:r w:rsidR="00096890" w:rsidRPr="002029AF">
        <w:t>and</w:t>
      </w:r>
      <w:r w:rsidR="000A5329" w:rsidRPr="002029AF">
        <w:t xml:space="preserve"> </w:t>
      </w:r>
      <w:r w:rsidRPr="002029AF">
        <w:t>Koorie</w:t>
      </w:r>
      <w:r w:rsidR="000A5329" w:rsidRPr="002029AF">
        <w:t xml:space="preserve"> </w:t>
      </w:r>
      <w:r w:rsidRPr="002029AF">
        <w:t>Heritage</w:t>
      </w:r>
      <w:r w:rsidR="000A5329" w:rsidRPr="002029AF">
        <w:t xml:space="preserve"> </w:t>
      </w:r>
      <w:r w:rsidRPr="002029AF">
        <w:t>Trust</w:t>
      </w:r>
      <w:r w:rsidR="000A5329" w:rsidRPr="002029AF">
        <w:t xml:space="preserve"> </w:t>
      </w:r>
      <w:r w:rsidRPr="002029AF">
        <w:t>to</w:t>
      </w:r>
      <w:r w:rsidR="000A5329" w:rsidRPr="002029AF">
        <w:t xml:space="preserve"> </w:t>
      </w:r>
      <w:r w:rsidRPr="002029AF">
        <w:t>develop</w:t>
      </w:r>
      <w:r w:rsidR="000A5329" w:rsidRPr="002029AF">
        <w:t xml:space="preserve"> </w:t>
      </w:r>
      <w:r w:rsidRPr="002029AF">
        <w:t>online</w:t>
      </w:r>
      <w:r w:rsidR="000A5329" w:rsidRPr="002029AF">
        <w:t xml:space="preserve"> </w:t>
      </w:r>
      <w:r w:rsidRPr="002029AF">
        <w:t>community</w:t>
      </w:r>
      <w:r w:rsidR="000A5329" w:rsidRPr="002029AF">
        <w:t xml:space="preserve"> </w:t>
      </w:r>
      <w:r w:rsidRPr="002029AF">
        <w:t>services</w:t>
      </w:r>
      <w:r w:rsidR="000A5329" w:rsidRPr="002029AF">
        <w:t xml:space="preserve"> </w:t>
      </w:r>
      <w:r w:rsidRPr="002029AF">
        <w:t>cultural</w:t>
      </w:r>
      <w:r w:rsidR="000A5329" w:rsidRPr="002029AF">
        <w:t xml:space="preserve"> </w:t>
      </w:r>
      <w:r w:rsidRPr="002029AF">
        <w:t>safety</w:t>
      </w:r>
      <w:r w:rsidR="000A5329" w:rsidRPr="002029AF">
        <w:t xml:space="preserve"> </w:t>
      </w:r>
      <w:r w:rsidRPr="002029AF">
        <w:t>learning</w:t>
      </w:r>
      <w:r w:rsidR="000A5329" w:rsidRPr="002029AF">
        <w:t xml:space="preserve"> </w:t>
      </w:r>
      <w:r w:rsidRPr="002029AF">
        <w:t>modules</w:t>
      </w:r>
      <w:r w:rsidR="000A5329" w:rsidRPr="002029AF">
        <w:t xml:space="preserve"> </w:t>
      </w:r>
      <w:r w:rsidRPr="002029AF">
        <w:t>for</w:t>
      </w:r>
      <w:r w:rsidR="000A5329" w:rsidRPr="002029AF">
        <w:t xml:space="preserve"> </w:t>
      </w:r>
      <w:r w:rsidR="00165263" w:rsidRPr="002029AF">
        <w:t>j</w:t>
      </w:r>
      <w:r w:rsidRPr="002029AF">
        <w:t>ob</w:t>
      </w:r>
      <w:r w:rsidR="000A5329" w:rsidRPr="002029AF">
        <w:t xml:space="preserve"> </w:t>
      </w:r>
      <w:r w:rsidR="00165263" w:rsidRPr="002029AF">
        <w:t>s</w:t>
      </w:r>
      <w:r w:rsidRPr="002029AF">
        <w:t>eekers</w:t>
      </w:r>
      <w:r w:rsidR="000A5329" w:rsidRPr="002029AF">
        <w:t xml:space="preserve"> </w:t>
      </w:r>
      <w:r w:rsidRPr="002029AF">
        <w:t>under</w:t>
      </w:r>
      <w:r w:rsidR="000A5329" w:rsidRPr="002029AF">
        <w:t xml:space="preserve"> </w:t>
      </w:r>
      <w:r w:rsidRPr="002029AF">
        <w:t>the</w:t>
      </w:r>
      <w:r w:rsidR="000A5329" w:rsidRPr="002029AF">
        <w:t xml:space="preserve"> </w:t>
      </w:r>
      <w:r w:rsidRPr="002029AF">
        <w:t>Working</w:t>
      </w:r>
      <w:r w:rsidR="000A5329" w:rsidRPr="002029AF">
        <w:t xml:space="preserve"> </w:t>
      </w:r>
      <w:r w:rsidRPr="002029AF">
        <w:t>for</w:t>
      </w:r>
      <w:r w:rsidR="000A5329" w:rsidRPr="002029AF">
        <w:t xml:space="preserve"> </w:t>
      </w:r>
      <w:r w:rsidRPr="002029AF">
        <w:t>Victoria</w:t>
      </w:r>
      <w:r w:rsidR="000A5329" w:rsidRPr="002029AF">
        <w:t xml:space="preserve"> </w:t>
      </w:r>
      <w:r w:rsidRPr="002029AF">
        <w:t>initiative</w:t>
      </w:r>
      <w:r w:rsidR="00FC001B" w:rsidRPr="002029AF">
        <w:rPr>
          <w:color w:val="0078D4"/>
          <w:szCs w:val="20"/>
        </w:rPr>
        <w:t>.</w:t>
      </w:r>
    </w:p>
    <w:p w14:paraId="0557067B" w14:textId="5D24EE9B" w:rsidR="00CF72D5" w:rsidRPr="002029AF" w:rsidRDefault="00CF72D5" w:rsidP="00897193">
      <w:pPr>
        <w:pStyle w:val="Heading3"/>
      </w:pPr>
      <w:r w:rsidRPr="002029AF">
        <w:t>Aboriginal</w:t>
      </w:r>
      <w:r w:rsidR="000A5329" w:rsidRPr="002029AF">
        <w:t xml:space="preserve"> </w:t>
      </w:r>
      <w:r w:rsidRPr="002029AF">
        <w:t>Staff</w:t>
      </w:r>
      <w:r w:rsidR="000A5329" w:rsidRPr="002029AF">
        <w:t xml:space="preserve"> </w:t>
      </w:r>
      <w:r w:rsidRPr="002029AF">
        <w:t>Network</w:t>
      </w:r>
    </w:p>
    <w:p w14:paraId="7E7DCE95" w14:textId="725BBEF4" w:rsidR="00CF72D5" w:rsidRPr="002029AF" w:rsidRDefault="00CF72D5" w:rsidP="00897193">
      <w:pPr>
        <w:pStyle w:val="ARbody"/>
      </w:pPr>
      <w:r w:rsidRPr="002029AF">
        <w:t>The</w:t>
      </w:r>
      <w:r w:rsidR="000A5329" w:rsidRPr="002029AF">
        <w:t xml:space="preserve"> </w:t>
      </w:r>
      <w:r w:rsidRPr="002029AF">
        <w:t>Aboriginal</w:t>
      </w:r>
      <w:r w:rsidR="000A5329" w:rsidRPr="002029AF">
        <w:t xml:space="preserve"> </w:t>
      </w:r>
      <w:r w:rsidRPr="002029AF">
        <w:t>Staff</w:t>
      </w:r>
      <w:r w:rsidR="000A5329" w:rsidRPr="002029AF">
        <w:t xml:space="preserve"> </w:t>
      </w:r>
      <w:r w:rsidRPr="002029AF">
        <w:t>Network</w:t>
      </w:r>
      <w:r w:rsidR="000A5329" w:rsidRPr="002029AF">
        <w:t xml:space="preserve"> </w:t>
      </w:r>
      <w:r w:rsidR="00214C48" w:rsidRPr="002029AF">
        <w:t>(ASN)</w:t>
      </w:r>
      <w:r w:rsidR="000A5329" w:rsidRPr="002029AF">
        <w:t xml:space="preserve"> </w:t>
      </w:r>
      <w:r w:rsidRPr="002029AF">
        <w:t>offers</w:t>
      </w:r>
      <w:r w:rsidR="000A5329" w:rsidRPr="002029AF">
        <w:t xml:space="preserve"> </w:t>
      </w:r>
      <w:r w:rsidRPr="002029AF">
        <w:t>access</w:t>
      </w:r>
      <w:r w:rsidR="000A5329" w:rsidRPr="002029AF">
        <w:t xml:space="preserve"> </w:t>
      </w:r>
      <w:r w:rsidRPr="002029AF">
        <w:t>to</w:t>
      </w:r>
      <w:r w:rsidR="000A5329" w:rsidRPr="002029AF">
        <w:t xml:space="preserve"> </w:t>
      </w:r>
      <w:r w:rsidRPr="002029AF">
        <w:t>a</w:t>
      </w:r>
      <w:r w:rsidR="000A5329" w:rsidRPr="002029AF">
        <w:t xml:space="preserve"> </w:t>
      </w:r>
      <w:r w:rsidRPr="002029AF">
        <w:t>supportive</w:t>
      </w:r>
      <w:r w:rsidR="000A5329" w:rsidRPr="002029AF">
        <w:t xml:space="preserve"> </w:t>
      </w:r>
      <w:r w:rsidRPr="002029AF">
        <w:t>culturally</w:t>
      </w:r>
      <w:r w:rsidR="000A5329" w:rsidRPr="002029AF">
        <w:t xml:space="preserve"> </w:t>
      </w:r>
      <w:r w:rsidRPr="002029AF">
        <w:t>safe</w:t>
      </w:r>
      <w:r w:rsidR="000A5329" w:rsidRPr="002029AF">
        <w:t xml:space="preserve"> </w:t>
      </w:r>
      <w:r w:rsidRPr="002029AF">
        <w:t>community</w:t>
      </w:r>
      <w:r w:rsidR="000A5329" w:rsidRPr="002029AF">
        <w:t xml:space="preserve"> </w:t>
      </w:r>
      <w:r w:rsidRPr="002029AF">
        <w:t>of</w:t>
      </w:r>
      <w:r w:rsidR="000A5329" w:rsidRPr="002029AF">
        <w:t xml:space="preserve"> </w:t>
      </w:r>
      <w:r w:rsidRPr="002029AF">
        <w:t>practice.</w:t>
      </w:r>
      <w:r w:rsidR="000A5329" w:rsidRPr="002029AF">
        <w:t xml:space="preserve"> </w:t>
      </w:r>
      <w:r w:rsidRPr="002029AF">
        <w:t>It</w:t>
      </w:r>
      <w:r w:rsidR="000A5329" w:rsidRPr="002029AF">
        <w:t xml:space="preserve"> </w:t>
      </w:r>
      <w:r w:rsidRPr="002029AF">
        <w:t>is</w:t>
      </w:r>
      <w:r w:rsidR="000A5329" w:rsidRPr="002029AF">
        <w:t xml:space="preserve"> </w:t>
      </w:r>
      <w:r w:rsidRPr="002029AF">
        <w:t>a</w:t>
      </w:r>
      <w:r w:rsidR="000A5329" w:rsidRPr="002029AF">
        <w:t xml:space="preserve"> </w:t>
      </w:r>
      <w:r w:rsidRPr="002029AF">
        <w:t>place</w:t>
      </w:r>
      <w:r w:rsidR="000A5329" w:rsidRPr="002029AF">
        <w:t xml:space="preserve"> </w:t>
      </w:r>
      <w:r w:rsidRPr="002029AF">
        <w:t>to</w:t>
      </w:r>
      <w:r w:rsidR="000A5329" w:rsidRPr="002029AF">
        <w:t xml:space="preserve"> </w:t>
      </w:r>
      <w:r w:rsidRPr="002029AF">
        <w:t>share</w:t>
      </w:r>
      <w:r w:rsidR="000A5329" w:rsidRPr="002029AF">
        <w:t xml:space="preserve"> </w:t>
      </w:r>
      <w:r w:rsidRPr="002029AF">
        <w:t>good</w:t>
      </w:r>
      <w:r w:rsidR="000A5329" w:rsidRPr="002029AF">
        <w:t xml:space="preserve"> </w:t>
      </w:r>
      <w:r w:rsidRPr="002029AF">
        <w:t>practice</w:t>
      </w:r>
      <w:r w:rsidR="000A5329" w:rsidRPr="002029AF">
        <w:t xml:space="preserve"> </w:t>
      </w:r>
      <w:r w:rsidRPr="002029AF">
        <w:t>and</w:t>
      </w:r>
      <w:r w:rsidR="000A5329" w:rsidRPr="002029AF">
        <w:t xml:space="preserve"> </w:t>
      </w:r>
      <w:r w:rsidRPr="002029AF">
        <w:t>creative</w:t>
      </w:r>
      <w:r w:rsidR="000A5329" w:rsidRPr="002029AF">
        <w:t xml:space="preserve"> </w:t>
      </w:r>
      <w:r w:rsidRPr="002029AF">
        <w:t>ideas,</w:t>
      </w:r>
      <w:r w:rsidR="000A5329" w:rsidRPr="002029AF">
        <w:t xml:space="preserve"> </w:t>
      </w:r>
      <w:r w:rsidRPr="002029AF">
        <w:t>support</w:t>
      </w:r>
      <w:r w:rsidR="000A5329" w:rsidRPr="002029AF">
        <w:t xml:space="preserve"> </w:t>
      </w:r>
      <w:r w:rsidRPr="002029AF">
        <w:t>each</w:t>
      </w:r>
      <w:r w:rsidR="000A5329" w:rsidRPr="002029AF">
        <w:t xml:space="preserve"> </w:t>
      </w:r>
      <w:r w:rsidRPr="002029AF">
        <w:t>other</w:t>
      </w:r>
      <w:r w:rsidR="000A5329" w:rsidRPr="002029AF">
        <w:t xml:space="preserve"> </w:t>
      </w:r>
      <w:r w:rsidRPr="002029AF">
        <w:t>through</w:t>
      </w:r>
      <w:r w:rsidR="000A5329" w:rsidRPr="002029AF">
        <w:t xml:space="preserve"> </w:t>
      </w:r>
      <w:r w:rsidRPr="002029AF">
        <w:t>issues</w:t>
      </w:r>
      <w:r w:rsidR="000A5329" w:rsidRPr="002029AF">
        <w:t xml:space="preserve"> </w:t>
      </w:r>
      <w:r w:rsidRPr="002029AF">
        <w:t>of</w:t>
      </w:r>
      <w:r w:rsidR="000A5329" w:rsidRPr="002029AF">
        <w:t xml:space="preserve"> </w:t>
      </w:r>
      <w:r w:rsidRPr="002029AF">
        <w:t>concern,</w:t>
      </w:r>
      <w:r w:rsidR="000A5329" w:rsidRPr="002029AF">
        <w:t xml:space="preserve"> </w:t>
      </w:r>
      <w:r w:rsidRPr="002029AF">
        <w:t>access</w:t>
      </w:r>
      <w:r w:rsidR="000A5329" w:rsidRPr="002029AF">
        <w:t xml:space="preserve"> </w:t>
      </w:r>
      <w:r w:rsidRPr="002029AF">
        <w:t>opportunities</w:t>
      </w:r>
      <w:r w:rsidR="000A5329" w:rsidRPr="002029AF">
        <w:t xml:space="preserve"> </w:t>
      </w:r>
      <w:r w:rsidRPr="002029AF">
        <w:t>for</w:t>
      </w:r>
      <w:r w:rsidR="000A5329" w:rsidRPr="002029AF">
        <w:t xml:space="preserve"> </w:t>
      </w:r>
      <w:r w:rsidRPr="002029AF">
        <w:t>personal</w:t>
      </w:r>
      <w:r w:rsidR="000A5329" w:rsidRPr="002029AF">
        <w:t xml:space="preserve"> </w:t>
      </w:r>
      <w:r w:rsidRPr="002029AF">
        <w:t>and</w:t>
      </w:r>
      <w:r w:rsidR="000A5329" w:rsidRPr="002029AF">
        <w:t xml:space="preserve"> </w:t>
      </w:r>
      <w:r w:rsidRPr="002029AF">
        <w:t>professional</w:t>
      </w:r>
      <w:r w:rsidR="000A5329" w:rsidRPr="002029AF">
        <w:t xml:space="preserve"> </w:t>
      </w:r>
      <w:r w:rsidRPr="002029AF">
        <w:t>development</w:t>
      </w:r>
      <w:r w:rsidR="000A5329" w:rsidRPr="002029AF">
        <w:t xml:space="preserve"> </w:t>
      </w:r>
      <w:r w:rsidRPr="002029AF">
        <w:t>and</w:t>
      </w:r>
      <w:r w:rsidR="000A5329" w:rsidRPr="002029AF">
        <w:t xml:space="preserve"> </w:t>
      </w:r>
      <w:r w:rsidRPr="002029AF">
        <w:t>provide</w:t>
      </w:r>
      <w:r w:rsidR="000A5329" w:rsidRPr="002029AF">
        <w:t xml:space="preserve"> </w:t>
      </w:r>
      <w:r w:rsidRPr="002029AF">
        <w:t>input</w:t>
      </w:r>
      <w:r w:rsidR="000A5329" w:rsidRPr="002029AF">
        <w:t xml:space="preserve"> </w:t>
      </w:r>
      <w:r w:rsidRPr="002029AF">
        <w:t>into</w:t>
      </w:r>
      <w:r w:rsidR="000A5329" w:rsidRPr="002029AF">
        <w:t xml:space="preserve"> </w:t>
      </w:r>
      <w:r w:rsidRPr="002029AF">
        <w:t>the</w:t>
      </w:r>
      <w:r w:rsidR="00B95D52">
        <w:t> </w:t>
      </w:r>
      <w:r w:rsidRPr="002029AF">
        <w:t>department</w:t>
      </w:r>
      <w:r w:rsidR="005F298C">
        <w:t>’</w:t>
      </w:r>
      <w:r w:rsidRPr="002029AF">
        <w:t>s</w:t>
      </w:r>
      <w:r w:rsidR="000A5329" w:rsidRPr="002029AF">
        <w:t xml:space="preserve"> </w:t>
      </w:r>
      <w:r w:rsidRPr="002029AF">
        <w:t>work,</w:t>
      </w:r>
      <w:r w:rsidR="000A5329" w:rsidRPr="002029AF">
        <w:t xml:space="preserve"> </w:t>
      </w:r>
      <w:r w:rsidRPr="002029AF">
        <w:t>policies</w:t>
      </w:r>
      <w:r w:rsidR="000A5329" w:rsidRPr="002029AF">
        <w:t xml:space="preserve"> </w:t>
      </w:r>
      <w:r w:rsidRPr="002029AF">
        <w:t>and</w:t>
      </w:r>
      <w:r w:rsidR="000A5329" w:rsidRPr="002029AF">
        <w:t xml:space="preserve"> </w:t>
      </w:r>
      <w:r w:rsidRPr="002029AF">
        <w:t>processes</w:t>
      </w:r>
      <w:r w:rsidR="000A5329" w:rsidRPr="002029AF">
        <w:t xml:space="preserve"> </w:t>
      </w:r>
      <w:r w:rsidRPr="002029AF">
        <w:t>to</w:t>
      </w:r>
      <w:r w:rsidR="000A5329" w:rsidRPr="002029AF">
        <w:t xml:space="preserve"> </w:t>
      </w:r>
      <w:r w:rsidRPr="002029AF">
        <w:t>ensure</w:t>
      </w:r>
      <w:r w:rsidR="000A5329" w:rsidRPr="002029AF">
        <w:t xml:space="preserve"> </w:t>
      </w:r>
      <w:r w:rsidRPr="002029AF">
        <w:t>they</w:t>
      </w:r>
      <w:r w:rsidR="000A5329" w:rsidRPr="002029AF">
        <w:t xml:space="preserve"> </w:t>
      </w:r>
      <w:r w:rsidRPr="002029AF">
        <w:t>are</w:t>
      </w:r>
      <w:r w:rsidR="000A5329" w:rsidRPr="002029AF">
        <w:t xml:space="preserve"> </w:t>
      </w:r>
      <w:r w:rsidRPr="002029AF">
        <w:t>inclusive</w:t>
      </w:r>
      <w:r w:rsidR="000A5329" w:rsidRPr="002029AF">
        <w:t xml:space="preserve"> </w:t>
      </w:r>
      <w:r w:rsidRPr="002029AF">
        <w:t>of</w:t>
      </w:r>
      <w:r w:rsidR="000A5329" w:rsidRPr="002029AF">
        <w:t xml:space="preserve"> </w:t>
      </w:r>
      <w:r w:rsidRPr="002029AF">
        <w:t>Aboriginal</w:t>
      </w:r>
      <w:r w:rsidR="000A5329" w:rsidRPr="002029AF">
        <w:t xml:space="preserve"> </w:t>
      </w:r>
      <w:r w:rsidRPr="002029AF">
        <w:t>people.</w:t>
      </w:r>
    </w:p>
    <w:p w14:paraId="3B6B1CD8" w14:textId="022C841C" w:rsidR="00CF72D5" w:rsidRPr="002029AF" w:rsidRDefault="00CF72D5" w:rsidP="00897193">
      <w:pPr>
        <w:pStyle w:val="ARbody"/>
        <w:rPr>
          <w:szCs w:val="20"/>
          <w:lang w:eastAsia="en-AU"/>
        </w:rPr>
      </w:pPr>
      <w:r w:rsidRPr="002029AF">
        <w:rPr>
          <w:szCs w:val="20"/>
          <w:lang w:eastAsia="en-AU"/>
        </w:rPr>
        <w:t>The</w:t>
      </w:r>
      <w:r w:rsidR="000A5329" w:rsidRPr="002029AF">
        <w:rPr>
          <w:szCs w:val="20"/>
          <w:lang w:eastAsia="en-AU"/>
        </w:rPr>
        <w:t xml:space="preserve"> </w:t>
      </w:r>
      <w:r w:rsidRPr="002029AF">
        <w:rPr>
          <w:szCs w:val="20"/>
          <w:lang w:eastAsia="en-AU"/>
        </w:rPr>
        <w:t>ASN</w:t>
      </w:r>
      <w:r w:rsidR="000A5329" w:rsidRPr="002029AF">
        <w:rPr>
          <w:szCs w:val="20"/>
          <w:lang w:eastAsia="en-AU"/>
        </w:rPr>
        <w:t xml:space="preserve"> </w:t>
      </w:r>
      <w:r w:rsidRPr="002029AF">
        <w:rPr>
          <w:szCs w:val="20"/>
          <w:lang w:eastAsia="en-AU"/>
        </w:rPr>
        <w:t>annual</w:t>
      </w:r>
      <w:r w:rsidR="000A5329" w:rsidRPr="002029AF">
        <w:rPr>
          <w:szCs w:val="20"/>
          <w:lang w:eastAsia="en-AU"/>
        </w:rPr>
        <w:t xml:space="preserve"> </w:t>
      </w:r>
      <w:r w:rsidRPr="002029AF">
        <w:rPr>
          <w:szCs w:val="20"/>
          <w:lang w:eastAsia="en-AU"/>
        </w:rPr>
        <w:t>conference</w:t>
      </w:r>
      <w:r w:rsidR="000A5329" w:rsidRPr="002029AF">
        <w:rPr>
          <w:szCs w:val="20"/>
          <w:lang w:eastAsia="en-AU"/>
        </w:rPr>
        <w:t xml:space="preserve"> </w:t>
      </w:r>
      <w:r w:rsidRPr="002029AF">
        <w:rPr>
          <w:szCs w:val="20"/>
          <w:lang w:eastAsia="en-AU"/>
        </w:rPr>
        <w:t>was</w:t>
      </w:r>
      <w:r w:rsidR="000A5329" w:rsidRPr="002029AF">
        <w:rPr>
          <w:szCs w:val="20"/>
          <w:lang w:eastAsia="en-AU"/>
        </w:rPr>
        <w:t xml:space="preserve"> </w:t>
      </w:r>
      <w:r w:rsidRPr="002029AF">
        <w:rPr>
          <w:szCs w:val="20"/>
          <w:lang w:eastAsia="en-AU"/>
        </w:rPr>
        <w:t>held</w:t>
      </w:r>
      <w:r w:rsidR="000A5329" w:rsidRPr="002029AF">
        <w:rPr>
          <w:szCs w:val="20"/>
          <w:lang w:eastAsia="en-AU"/>
        </w:rPr>
        <w:t xml:space="preserve"> </w:t>
      </w:r>
      <w:r w:rsidRPr="002029AF">
        <w:rPr>
          <w:szCs w:val="20"/>
          <w:lang w:eastAsia="en-AU"/>
        </w:rPr>
        <w:t>in</w:t>
      </w:r>
      <w:r w:rsidR="000A5329" w:rsidRPr="002029AF">
        <w:rPr>
          <w:szCs w:val="20"/>
          <w:lang w:eastAsia="en-AU"/>
        </w:rPr>
        <w:t xml:space="preserve"> </w:t>
      </w:r>
      <w:r w:rsidRPr="002029AF">
        <w:rPr>
          <w:szCs w:val="20"/>
          <w:lang w:eastAsia="en-AU"/>
        </w:rPr>
        <w:t>Creswick</w:t>
      </w:r>
      <w:r w:rsidR="00B95D52">
        <w:rPr>
          <w:szCs w:val="20"/>
          <w:lang w:eastAsia="en-AU"/>
        </w:rPr>
        <w:t> </w:t>
      </w:r>
      <w:r w:rsidRPr="002029AF">
        <w:rPr>
          <w:szCs w:val="20"/>
          <w:lang w:eastAsia="en-AU"/>
        </w:rPr>
        <w:t>on</w:t>
      </w:r>
      <w:r w:rsidR="000A5329" w:rsidRPr="002029AF">
        <w:rPr>
          <w:szCs w:val="20"/>
          <w:lang w:eastAsia="en-AU"/>
        </w:rPr>
        <w:t xml:space="preserve"> </w:t>
      </w:r>
      <w:r w:rsidRPr="002029AF">
        <w:rPr>
          <w:i/>
          <w:szCs w:val="20"/>
          <w:lang w:eastAsia="en-AU"/>
        </w:rPr>
        <w:t>Dja</w:t>
      </w:r>
      <w:r w:rsidR="000A5329" w:rsidRPr="002029AF">
        <w:rPr>
          <w:i/>
          <w:szCs w:val="20"/>
          <w:lang w:eastAsia="en-AU"/>
        </w:rPr>
        <w:t xml:space="preserve"> </w:t>
      </w:r>
      <w:r w:rsidRPr="002029AF">
        <w:rPr>
          <w:i/>
          <w:szCs w:val="20"/>
          <w:lang w:eastAsia="en-AU"/>
        </w:rPr>
        <w:t>Wurrung</w:t>
      </w:r>
      <w:r w:rsidR="000A5329" w:rsidRPr="002029AF">
        <w:rPr>
          <w:szCs w:val="20"/>
          <w:lang w:eastAsia="en-AU"/>
        </w:rPr>
        <w:t xml:space="preserve"> </w:t>
      </w:r>
      <w:r w:rsidRPr="002029AF">
        <w:rPr>
          <w:szCs w:val="20"/>
          <w:lang w:eastAsia="en-AU"/>
        </w:rPr>
        <w:t>Country.</w:t>
      </w:r>
      <w:r w:rsidR="000A5329" w:rsidRPr="002029AF">
        <w:rPr>
          <w:szCs w:val="20"/>
          <w:lang w:eastAsia="en-AU"/>
        </w:rPr>
        <w:t xml:space="preserve"> </w:t>
      </w:r>
      <w:r w:rsidRPr="002029AF">
        <w:rPr>
          <w:szCs w:val="20"/>
          <w:lang w:eastAsia="en-AU"/>
        </w:rPr>
        <w:t>It</w:t>
      </w:r>
      <w:r w:rsidR="000A5329" w:rsidRPr="002029AF">
        <w:rPr>
          <w:szCs w:val="20"/>
          <w:lang w:eastAsia="en-AU"/>
        </w:rPr>
        <w:t xml:space="preserve"> </w:t>
      </w:r>
      <w:r w:rsidRPr="002029AF">
        <w:rPr>
          <w:szCs w:val="20"/>
          <w:lang w:eastAsia="en-AU"/>
        </w:rPr>
        <w:t>brings</w:t>
      </w:r>
      <w:r w:rsidR="000A5329" w:rsidRPr="002029AF">
        <w:rPr>
          <w:szCs w:val="20"/>
          <w:lang w:eastAsia="en-AU"/>
        </w:rPr>
        <w:t xml:space="preserve"> </w:t>
      </w:r>
      <w:r w:rsidRPr="002029AF">
        <w:rPr>
          <w:szCs w:val="20"/>
          <w:lang w:eastAsia="en-AU"/>
        </w:rPr>
        <w:t>together</w:t>
      </w:r>
      <w:r w:rsidR="000A5329" w:rsidRPr="002029AF">
        <w:rPr>
          <w:szCs w:val="20"/>
          <w:lang w:eastAsia="en-AU"/>
        </w:rPr>
        <w:t xml:space="preserve"> </w:t>
      </w:r>
      <w:r w:rsidRPr="002029AF">
        <w:rPr>
          <w:szCs w:val="20"/>
          <w:lang w:eastAsia="en-AU"/>
        </w:rPr>
        <w:t>Aboriginal</w:t>
      </w:r>
      <w:r w:rsidR="000A5329" w:rsidRPr="002029AF">
        <w:rPr>
          <w:szCs w:val="20"/>
          <w:lang w:eastAsia="en-AU"/>
        </w:rPr>
        <w:t xml:space="preserve"> </w:t>
      </w:r>
      <w:r w:rsidRPr="002029AF">
        <w:rPr>
          <w:szCs w:val="20"/>
          <w:lang w:eastAsia="en-AU"/>
        </w:rPr>
        <w:t>staff</w:t>
      </w:r>
      <w:r w:rsidR="000A5329" w:rsidRPr="002029AF">
        <w:rPr>
          <w:szCs w:val="20"/>
          <w:lang w:eastAsia="en-AU"/>
        </w:rPr>
        <w:t xml:space="preserve"> </w:t>
      </w:r>
      <w:r w:rsidRPr="002029AF">
        <w:rPr>
          <w:szCs w:val="20"/>
          <w:lang w:eastAsia="en-AU"/>
        </w:rPr>
        <w:t>from</w:t>
      </w:r>
      <w:r w:rsidR="000A5329" w:rsidRPr="002029AF">
        <w:rPr>
          <w:szCs w:val="20"/>
          <w:lang w:eastAsia="en-AU"/>
        </w:rPr>
        <w:t xml:space="preserve"> </w:t>
      </w:r>
      <w:r w:rsidRPr="002029AF">
        <w:rPr>
          <w:szCs w:val="20"/>
          <w:lang w:eastAsia="en-AU"/>
        </w:rPr>
        <w:t>across</w:t>
      </w:r>
      <w:r w:rsidR="000A5329" w:rsidRPr="002029AF">
        <w:rPr>
          <w:szCs w:val="20"/>
          <w:lang w:eastAsia="en-AU"/>
        </w:rPr>
        <w:t xml:space="preserve"> </w:t>
      </w:r>
      <w:r w:rsidRPr="002029AF">
        <w:rPr>
          <w:szCs w:val="20"/>
          <w:lang w:eastAsia="en-AU"/>
        </w:rPr>
        <w:t>the</w:t>
      </w:r>
      <w:r w:rsidR="000A5329" w:rsidRPr="002029AF">
        <w:rPr>
          <w:szCs w:val="20"/>
          <w:lang w:eastAsia="en-AU"/>
        </w:rPr>
        <w:t xml:space="preserve"> </w:t>
      </w:r>
      <w:r w:rsidR="008B7182" w:rsidRPr="002029AF">
        <w:rPr>
          <w:szCs w:val="20"/>
          <w:lang w:eastAsia="en-AU"/>
        </w:rPr>
        <w:t>state and</w:t>
      </w:r>
      <w:r w:rsidR="00B95D52">
        <w:rPr>
          <w:szCs w:val="20"/>
          <w:lang w:eastAsia="en-AU"/>
        </w:rPr>
        <w:t> </w:t>
      </w:r>
      <w:r w:rsidRPr="002029AF">
        <w:rPr>
          <w:szCs w:val="20"/>
          <w:lang w:eastAsia="en-AU"/>
        </w:rPr>
        <w:t>is</w:t>
      </w:r>
      <w:r w:rsidR="000A5329" w:rsidRPr="002029AF">
        <w:rPr>
          <w:szCs w:val="20"/>
          <w:lang w:eastAsia="en-AU"/>
        </w:rPr>
        <w:t xml:space="preserve"> </w:t>
      </w:r>
      <w:r w:rsidRPr="002029AF">
        <w:rPr>
          <w:szCs w:val="20"/>
          <w:lang w:eastAsia="en-AU"/>
        </w:rPr>
        <w:t>a</w:t>
      </w:r>
      <w:r w:rsidR="000A5329" w:rsidRPr="002029AF">
        <w:rPr>
          <w:szCs w:val="20"/>
          <w:lang w:eastAsia="en-AU"/>
        </w:rPr>
        <w:t xml:space="preserve"> </w:t>
      </w:r>
      <w:r w:rsidRPr="002029AF">
        <w:rPr>
          <w:szCs w:val="20"/>
          <w:lang w:eastAsia="en-AU"/>
        </w:rPr>
        <w:t>key</w:t>
      </w:r>
      <w:r w:rsidR="000A5329" w:rsidRPr="002029AF">
        <w:rPr>
          <w:szCs w:val="20"/>
          <w:lang w:eastAsia="en-AU"/>
        </w:rPr>
        <w:t xml:space="preserve"> </w:t>
      </w:r>
      <w:r w:rsidRPr="002029AF">
        <w:rPr>
          <w:szCs w:val="20"/>
          <w:lang w:eastAsia="en-AU"/>
        </w:rPr>
        <w:t>retention</w:t>
      </w:r>
      <w:r w:rsidR="000A5329" w:rsidRPr="002029AF">
        <w:rPr>
          <w:szCs w:val="20"/>
          <w:lang w:eastAsia="en-AU"/>
        </w:rPr>
        <w:t xml:space="preserve"> </w:t>
      </w:r>
      <w:r w:rsidRPr="002029AF">
        <w:rPr>
          <w:szCs w:val="20"/>
          <w:lang w:eastAsia="en-AU"/>
        </w:rPr>
        <w:t>commitment</w:t>
      </w:r>
      <w:r w:rsidR="000A5329" w:rsidRPr="002029AF">
        <w:rPr>
          <w:szCs w:val="20"/>
          <w:lang w:eastAsia="en-AU"/>
        </w:rPr>
        <w:t xml:space="preserve"> </w:t>
      </w:r>
      <w:r w:rsidRPr="002029AF">
        <w:rPr>
          <w:szCs w:val="20"/>
          <w:lang w:eastAsia="en-AU"/>
        </w:rPr>
        <w:t>of</w:t>
      </w:r>
      <w:r w:rsidR="000A5329" w:rsidRPr="002029AF">
        <w:rPr>
          <w:szCs w:val="20"/>
          <w:lang w:eastAsia="en-AU"/>
        </w:rPr>
        <w:t xml:space="preserve"> </w:t>
      </w:r>
      <w:r w:rsidRPr="002029AF">
        <w:rPr>
          <w:szCs w:val="20"/>
          <w:lang w:eastAsia="en-AU"/>
        </w:rPr>
        <w:t>our</w:t>
      </w:r>
      <w:r w:rsidR="000A5329" w:rsidRPr="002029AF">
        <w:rPr>
          <w:szCs w:val="20"/>
          <w:lang w:eastAsia="en-AU"/>
        </w:rPr>
        <w:t xml:space="preserve"> </w:t>
      </w:r>
      <w:r w:rsidRPr="002029AF">
        <w:rPr>
          <w:i/>
          <w:szCs w:val="20"/>
          <w:lang w:eastAsia="en-AU"/>
        </w:rPr>
        <w:t>Aboriginal</w:t>
      </w:r>
      <w:r w:rsidR="00B95D52">
        <w:rPr>
          <w:i/>
          <w:szCs w:val="20"/>
          <w:lang w:eastAsia="en-AU"/>
        </w:rPr>
        <w:t> </w:t>
      </w:r>
      <w:r w:rsidR="00214C48" w:rsidRPr="002029AF">
        <w:rPr>
          <w:i/>
          <w:szCs w:val="20"/>
          <w:lang w:eastAsia="en-AU"/>
        </w:rPr>
        <w:t>E</w:t>
      </w:r>
      <w:r w:rsidRPr="002029AF">
        <w:rPr>
          <w:i/>
          <w:szCs w:val="20"/>
          <w:lang w:eastAsia="en-AU"/>
        </w:rPr>
        <w:t>mployment</w:t>
      </w:r>
      <w:r w:rsidR="000A5329" w:rsidRPr="002029AF">
        <w:rPr>
          <w:i/>
          <w:szCs w:val="20"/>
          <w:lang w:eastAsia="en-AU"/>
        </w:rPr>
        <w:t xml:space="preserve"> </w:t>
      </w:r>
      <w:r w:rsidR="00214C48" w:rsidRPr="002029AF">
        <w:rPr>
          <w:i/>
          <w:szCs w:val="20"/>
          <w:lang w:eastAsia="en-AU"/>
        </w:rPr>
        <w:t>S</w:t>
      </w:r>
      <w:r w:rsidRPr="002029AF">
        <w:rPr>
          <w:i/>
          <w:szCs w:val="20"/>
          <w:lang w:eastAsia="en-AU"/>
        </w:rPr>
        <w:t>trategy</w:t>
      </w:r>
      <w:r w:rsidR="000A5329" w:rsidRPr="002029AF">
        <w:rPr>
          <w:i/>
          <w:szCs w:val="20"/>
          <w:lang w:eastAsia="en-AU"/>
        </w:rPr>
        <w:t xml:space="preserve"> </w:t>
      </w:r>
      <w:r w:rsidRPr="002029AF">
        <w:rPr>
          <w:i/>
          <w:szCs w:val="20"/>
          <w:lang w:eastAsia="en-AU"/>
        </w:rPr>
        <w:t>2016–2021</w:t>
      </w:r>
      <w:r w:rsidRPr="002029AF">
        <w:rPr>
          <w:szCs w:val="20"/>
          <w:lang w:eastAsia="en-AU"/>
        </w:rPr>
        <w:t>.</w:t>
      </w:r>
    </w:p>
    <w:p w14:paraId="173E67E8" w14:textId="2BB9125D" w:rsidR="00CF72D5" w:rsidRPr="002029AF" w:rsidRDefault="00CF72D5" w:rsidP="00897193">
      <w:pPr>
        <w:pStyle w:val="ARbody"/>
        <w:rPr>
          <w:szCs w:val="20"/>
          <w:lang w:eastAsia="en-AU"/>
        </w:rPr>
      </w:pPr>
      <w:r w:rsidRPr="002029AF">
        <w:rPr>
          <w:szCs w:val="20"/>
          <w:lang w:eastAsia="en-AU"/>
        </w:rPr>
        <w:t>The</w:t>
      </w:r>
      <w:r w:rsidR="000A5329" w:rsidRPr="002029AF">
        <w:rPr>
          <w:szCs w:val="20"/>
          <w:lang w:eastAsia="en-AU"/>
        </w:rPr>
        <w:t xml:space="preserve"> </w:t>
      </w:r>
      <w:r w:rsidRPr="002029AF">
        <w:rPr>
          <w:szCs w:val="20"/>
          <w:lang w:eastAsia="en-AU"/>
        </w:rPr>
        <w:t>department</w:t>
      </w:r>
      <w:r w:rsidR="000A5329" w:rsidRPr="002029AF">
        <w:rPr>
          <w:szCs w:val="20"/>
          <w:lang w:eastAsia="en-AU"/>
        </w:rPr>
        <w:t xml:space="preserve"> </w:t>
      </w:r>
      <w:r w:rsidRPr="002029AF">
        <w:rPr>
          <w:szCs w:val="20"/>
          <w:lang w:eastAsia="en-AU"/>
        </w:rPr>
        <w:t>remains</w:t>
      </w:r>
      <w:r w:rsidR="000A5329" w:rsidRPr="002029AF">
        <w:rPr>
          <w:szCs w:val="20"/>
          <w:lang w:eastAsia="en-AU"/>
        </w:rPr>
        <w:t xml:space="preserve"> </w:t>
      </w:r>
      <w:r w:rsidRPr="002029AF">
        <w:rPr>
          <w:szCs w:val="20"/>
          <w:lang w:eastAsia="en-AU"/>
        </w:rPr>
        <w:t>committed</w:t>
      </w:r>
      <w:r w:rsidR="000A5329" w:rsidRPr="002029AF">
        <w:rPr>
          <w:szCs w:val="20"/>
          <w:lang w:eastAsia="en-AU"/>
        </w:rPr>
        <w:t xml:space="preserve"> </w:t>
      </w:r>
      <w:r w:rsidRPr="002029AF">
        <w:rPr>
          <w:szCs w:val="20"/>
          <w:lang w:eastAsia="en-AU"/>
        </w:rPr>
        <w:t>to</w:t>
      </w:r>
      <w:r w:rsidR="000A5329" w:rsidRPr="002029AF">
        <w:rPr>
          <w:szCs w:val="20"/>
          <w:lang w:eastAsia="en-AU"/>
        </w:rPr>
        <w:t xml:space="preserve"> </w:t>
      </w:r>
      <w:r w:rsidRPr="002029AF">
        <w:rPr>
          <w:szCs w:val="20"/>
          <w:lang w:eastAsia="en-AU"/>
        </w:rPr>
        <w:t>self-determination,</w:t>
      </w:r>
      <w:r w:rsidR="000A5329" w:rsidRPr="002029AF">
        <w:rPr>
          <w:szCs w:val="20"/>
          <w:lang w:eastAsia="en-AU"/>
        </w:rPr>
        <w:t xml:space="preserve"> </w:t>
      </w:r>
      <w:r w:rsidRPr="002029AF">
        <w:rPr>
          <w:szCs w:val="20"/>
          <w:lang w:eastAsia="en-AU"/>
        </w:rPr>
        <w:t>and</w:t>
      </w:r>
      <w:r w:rsidR="000A5329" w:rsidRPr="002029AF">
        <w:rPr>
          <w:szCs w:val="20"/>
          <w:lang w:eastAsia="en-AU"/>
        </w:rPr>
        <w:t xml:space="preserve"> </w:t>
      </w:r>
      <w:r w:rsidRPr="002029AF">
        <w:rPr>
          <w:szCs w:val="20"/>
          <w:lang w:eastAsia="en-AU"/>
        </w:rPr>
        <w:t>the</w:t>
      </w:r>
      <w:r w:rsidR="000A5329" w:rsidRPr="002029AF">
        <w:rPr>
          <w:szCs w:val="20"/>
          <w:lang w:eastAsia="en-AU"/>
        </w:rPr>
        <w:t xml:space="preserve"> </w:t>
      </w:r>
      <w:r w:rsidRPr="002029AF">
        <w:rPr>
          <w:szCs w:val="20"/>
          <w:lang w:eastAsia="en-AU"/>
        </w:rPr>
        <w:t>ASN</w:t>
      </w:r>
      <w:r w:rsidR="000A5329" w:rsidRPr="002029AF">
        <w:rPr>
          <w:szCs w:val="20"/>
          <w:lang w:eastAsia="en-AU"/>
        </w:rPr>
        <w:t xml:space="preserve"> </w:t>
      </w:r>
      <w:r w:rsidRPr="002029AF">
        <w:rPr>
          <w:szCs w:val="20"/>
          <w:lang w:eastAsia="en-AU"/>
        </w:rPr>
        <w:t>is</w:t>
      </w:r>
      <w:r w:rsidR="000A5329" w:rsidRPr="002029AF">
        <w:rPr>
          <w:szCs w:val="20"/>
          <w:lang w:eastAsia="en-AU"/>
        </w:rPr>
        <w:t xml:space="preserve"> </w:t>
      </w:r>
      <w:r w:rsidRPr="002029AF">
        <w:rPr>
          <w:szCs w:val="20"/>
          <w:lang w:eastAsia="en-AU"/>
        </w:rPr>
        <w:t>an</w:t>
      </w:r>
      <w:r w:rsidR="000A5329" w:rsidRPr="002029AF">
        <w:rPr>
          <w:szCs w:val="20"/>
          <w:lang w:eastAsia="en-AU"/>
        </w:rPr>
        <w:t xml:space="preserve"> </w:t>
      </w:r>
      <w:r w:rsidRPr="002029AF">
        <w:rPr>
          <w:szCs w:val="20"/>
          <w:lang w:eastAsia="en-AU"/>
        </w:rPr>
        <w:t>important</w:t>
      </w:r>
      <w:r w:rsidR="000A5329" w:rsidRPr="002029AF">
        <w:rPr>
          <w:szCs w:val="20"/>
          <w:lang w:eastAsia="en-AU"/>
        </w:rPr>
        <w:t xml:space="preserve"> </w:t>
      </w:r>
      <w:r w:rsidRPr="002029AF">
        <w:rPr>
          <w:szCs w:val="20"/>
          <w:lang w:eastAsia="en-AU"/>
        </w:rPr>
        <w:t>channel</w:t>
      </w:r>
      <w:r w:rsidR="000A5329" w:rsidRPr="002029AF">
        <w:rPr>
          <w:szCs w:val="20"/>
          <w:lang w:eastAsia="en-AU"/>
        </w:rPr>
        <w:t xml:space="preserve"> </w:t>
      </w:r>
      <w:r w:rsidRPr="002029AF">
        <w:rPr>
          <w:szCs w:val="20"/>
          <w:lang w:eastAsia="en-AU"/>
        </w:rPr>
        <w:t>for</w:t>
      </w:r>
      <w:r w:rsidR="000A5329" w:rsidRPr="002029AF">
        <w:rPr>
          <w:szCs w:val="20"/>
          <w:lang w:eastAsia="en-AU"/>
        </w:rPr>
        <w:t xml:space="preserve"> </w:t>
      </w:r>
      <w:r w:rsidRPr="002029AF">
        <w:rPr>
          <w:szCs w:val="20"/>
          <w:lang w:eastAsia="en-AU"/>
        </w:rPr>
        <w:t>amplifying</w:t>
      </w:r>
      <w:r w:rsidR="000A5329" w:rsidRPr="002029AF">
        <w:rPr>
          <w:szCs w:val="20"/>
          <w:lang w:eastAsia="en-AU"/>
        </w:rPr>
        <w:t xml:space="preserve"> </w:t>
      </w:r>
      <w:r w:rsidRPr="002029AF">
        <w:rPr>
          <w:szCs w:val="20"/>
          <w:lang w:eastAsia="en-AU"/>
        </w:rPr>
        <w:t>the</w:t>
      </w:r>
      <w:r w:rsidR="000A5329" w:rsidRPr="002029AF">
        <w:rPr>
          <w:szCs w:val="20"/>
          <w:lang w:eastAsia="en-AU"/>
        </w:rPr>
        <w:t xml:space="preserve"> </w:t>
      </w:r>
      <w:r w:rsidRPr="002029AF">
        <w:rPr>
          <w:szCs w:val="20"/>
          <w:lang w:eastAsia="en-AU"/>
        </w:rPr>
        <w:t>Aboriginal</w:t>
      </w:r>
      <w:r w:rsidR="000A5329" w:rsidRPr="002029AF">
        <w:rPr>
          <w:szCs w:val="20"/>
          <w:lang w:eastAsia="en-AU"/>
        </w:rPr>
        <w:t xml:space="preserve"> </w:t>
      </w:r>
      <w:r w:rsidRPr="002029AF">
        <w:rPr>
          <w:szCs w:val="20"/>
          <w:lang w:eastAsia="en-AU"/>
        </w:rPr>
        <w:t>and</w:t>
      </w:r>
      <w:r w:rsidR="000A5329" w:rsidRPr="002029AF">
        <w:rPr>
          <w:szCs w:val="20"/>
          <w:lang w:eastAsia="en-AU"/>
        </w:rPr>
        <w:t xml:space="preserve"> </w:t>
      </w:r>
      <w:r w:rsidRPr="002029AF">
        <w:rPr>
          <w:szCs w:val="20"/>
          <w:lang w:eastAsia="en-AU"/>
        </w:rPr>
        <w:t>Torres</w:t>
      </w:r>
      <w:r w:rsidR="000A5329" w:rsidRPr="002029AF">
        <w:rPr>
          <w:szCs w:val="20"/>
          <w:lang w:eastAsia="en-AU"/>
        </w:rPr>
        <w:t xml:space="preserve"> </w:t>
      </w:r>
      <w:r w:rsidRPr="002029AF">
        <w:rPr>
          <w:szCs w:val="20"/>
          <w:lang w:eastAsia="en-AU"/>
        </w:rPr>
        <w:t>Strait</w:t>
      </w:r>
      <w:r w:rsidR="000A5329" w:rsidRPr="002029AF">
        <w:rPr>
          <w:szCs w:val="20"/>
          <w:lang w:eastAsia="en-AU"/>
        </w:rPr>
        <w:t xml:space="preserve"> </w:t>
      </w:r>
      <w:r w:rsidRPr="002029AF">
        <w:rPr>
          <w:szCs w:val="20"/>
          <w:lang w:eastAsia="en-AU"/>
        </w:rPr>
        <w:t>Islander</w:t>
      </w:r>
      <w:r w:rsidR="000A5329" w:rsidRPr="002029AF">
        <w:rPr>
          <w:szCs w:val="20"/>
          <w:lang w:eastAsia="en-AU"/>
        </w:rPr>
        <w:t xml:space="preserve"> </w:t>
      </w:r>
      <w:r w:rsidRPr="002029AF">
        <w:rPr>
          <w:szCs w:val="20"/>
          <w:lang w:eastAsia="en-AU"/>
        </w:rPr>
        <w:t>voice.</w:t>
      </w:r>
    </w:p>
    <w:p w14:paraId="5024F62A" w14:textId="5112C106" w:rsidR="00CF72D5" w:rsidRPr="002029AF" w:rsidRDefault="00CF72D5" w:rsidP="00897193">
      <w:pPr>
        <w:pStyle w:val="Heading3"/>
      </w:pPr>
      <w:r w:rsidRPr="002029AF">
        <w:t>LGBTIQ</w:t>
      </w:r>
      <w:r w:rsidR="000A5329" w:rsidRPr="002029AF">
        <w:t xml:space="preserve"> </w:t>
      </w:r>
      <w:r w:rsidRPr="002029AF">
        <w:t>inclusion</w:t>
      </w:r>
    </w:p>
    <w:p w14:paraId="35047CA7" w14:textId="11A7538B" w:rsidR="00CF72D5" w:rsidRPr="002029AF" w:rsidRDefault="00CF72D5" w:rsidP="00897193">
      <w:pPr>
        <w:pStyle w:val="ARbody"/>
      </w:pPr>
      <w:r w:rsidRPr="002029AF">
        <w:t>The</w:t>
      </w:r>
      <w:r w:rsidR="000A5329" w:rsidRPr="002029AF">
        <w:t xml:space="preserve"> </w:t>
      </w:r>
      <w:r w:rsidRPr="002029AF">
        <w:t>department’s</w:t>
      </w:r>
      <w:r w:rsidR="000A5329" w:rsidRPr="002029AF">
        <w:t xml:space="preserve"> </w:t>
      </w:r>
      <w:r w:rsidRPr="002029AF">
        <w:t>LGBTIQ</w:t>
      </w:r>
      <w:r w:rsidR="000A5329" w:rsidRPr="002029AF">
        <w:t xml:space="preserve"> </w:t>
      </w:r>
      <w:r w:rsidR="00EA0D82" w:rsidRPr="002029AF">
        <w:t>I</w:t>
      </w:r>
      <w:r w:rsidRPr="002029AF">
        <w:t>nclusion</w:t>
      </w:r>
      <w:r w:rsidR="000A5329" w:rsidRPr="002029AF">
        <w:t xml:space="preserve"> </w:t>
      </w:r>
      <w:r w:rsidR="00EA0D82" w:rsidRPr="002029AF">
        <w:t>P</w:t>
      </w:r>
      <w:r w:rsidRPr="002029AF">
        <w:t>lan</w:t>
      </w:r>
      <w:r w:rsidR="000A5329" w:rsidRPr="002029AF">
        <w:t xml:space="preserve"> </w:t>
      </w:r>
      <w:r w:rsidR="00233C48" w:rsidRPr="002029AF">
        <w:br/>
      </w:r>
      <w:r w:rsidRPr="002029AF">
        <w:t>201</w:t>
      </w:r>
      <w:r w:rsidR="00DB53E6" w:rsidRPr="002029AF">
        <w:t>9–</w:t>
      </w:r>
      <w:r w:rsidRPr="002029AF">
        <w:t>2020</w:t>
      </w:r>
      <w:r w:rsidR="000A5329" w:rsidRPr="002029AF">
        <w:t xml:space="preserve"> </w:t>
      </w:r>
      <w:r w:rsidRPr="002029AF">
        <w:t>continued</w:t>
      </w:r>
      <w:r w:rsidR="000A5329" w:rsidRPr="002029AF">
        <w:t xml:space="preserve"> </w:t>
      </w:r>
      <w:r w:rsidRPr="002029AF">
        <w:t>initiatives</w:t>
      </w:r>
      <w:r w:rsidR="000A5329" w:rsidRPr="002029AF">
        <w:t xml:space="preserve"> </w:t>
      </w:r>
      <w:r w:rsidRPr="002029AF">
        <w:t>and</w:t>
      </w:r>
      <w:r w:rsidR="000A5329" w:rsidRPr="002029AF">
        <w:t xml:space="preserve"> </w:t>
      </w:r>
      <w:r w:rsidRPr="002029AF">
        <w:t>actions</w:t>
      </w:r>
      <w:r w:rsidR="000A5329" w:rsidRPr="002029AF">
        <w:t xml:space="preserve"> </w:t>
      </w:r>
      <w:r w:rsidRPr="002029AF">
        <w:t>under</w:t>
      </w:r>
      <w:r w:rsidR="000A5329" w:rsidRPr="002029AF">
        <w:t xml:space="preserve"> </w:t>
      </w:r>
      <w:r w:rsidR="00EA0D82" w:rsidRPr="002029AF">
        <w:t>six</w:t>
      </w:r>
      <w:r w:rsidR="000A5329" w:rsidRPr="002029AF">
        <w:t xml:space="preserve"> </w:t>
      </w:r>
      <w:r w:rsidRPr="002029AF">
        <w:t>key</w:t>
      </w:r>
      <w:r w:rsidR="000A5329" w:rsidRPr="002029AF">
        <w:t xml:space="preserve"> </w:t>
      </w:r>
      <w:r w:rsidRPr="002029AF">
        <w:t>result</w:t>
      </w:r>
      <w:r w:rsidR="000A5329" w:rsidRPr="002029AF">
        <w:t xml:space="preserve"> </w:t>
      </w:r>
      <w:r w:rsidRPr="002029AF">
        <w:t>areas</w:t>
      </w:r>
      <w:r w:rsidR="000A5329" w:rsidRPr="002029AF">
        <w:t xml:space="preserve"> </w:t>
      </w:r>
      <w:r w:rsidRPr="002029AF">
        <w:t>measured</w:t>
      </w:r>
      <w:r w:rsidR="000A5329" w:rsidRPr="002029AF">
        <w:t xml:space="preserve"> </w:t>
      </w:r>
      <w:r w:rsidRPr="002029AF">
        <w:t>in</w:t>
      </w:r>
      <w:r w:rsidR="000A5329" w:rsidRPr="002029AF">
        <w:t xml:space="preserve"> </w:t>
      </w:r>
      <w:r w:rsidRPr="002029AF">
        <w:t>the</w:t>
      </w:r>
      <w:r w:rsidR="000A5329" w:rsidRPr="002029AF">
        <w:t xml:space="preserve"> </w:t>
      </w:r>
      <w:r w:rsidRPr="002029AF">
        <w:t>Australian</w:t>
      </w:r>
      <w:r w:rsidR="000A5329" w:rsidRPr="002029AF">
        <w:t xml:space="preserve"> </w:t>
      </w:r>
      <w:r w:rsidRPr="002029AF">
        <w:t>Workplace</w:t>
      </w:r>
      <w:r w:rsidR="000A5329" w:rsidRPr="002029AF">
        <w:t xml:space="preserve"> </w:t>
      </w:r>
      <w:r w:rsidRPr="002029AF">
        <w:t>Equality</w:t>
      </w:r>
      <w:r w:rsidR="000A5329" w:rsidRPr="002029AF">
        <w:t xml:space="preserve"> </w:t>
      </w:r>
      <w:r w:rsidRPr="002029AF">
        <w:t>Index</w:t>
      </w:r>
      <w:r w:rsidR="00EA0D82" w:rsidRPr="002029AF">
        <w:t>:</w:t>
      </w:r>
    </w:p>
    <w:p w14:paraId="3D518337" w14:textId="6CC8BDBD" w:rsidR="000A5329" w:rsidRPr="002029AF" w:rsidRDefault="00CF72D5" w:rsidP="001E768A">
      <w:pPr>
        <w:pStyle w:val="ARbullet1"/>
      </w:pPr>
      <w:r w:rsidRPr="002029AF">
        <w:t>Inclusive</w:t>
      </w:r>
      <w:r w:rsidR="000A5329" w:rsidRPr="002029AF">
        <w:t xml:space="preserve"> </w:t>
      </w:r>
      <w:r w:rsidRPr="002029AF">
        <w:t>policy</w:t>
      </w:r>
      <w:r w:rsidR="000A5329" w:rsidRPr="002029AF">
        <w:t xml:space="preserve"> </w:t>
      </w:r>
      <w:r w:rsidRPr="002029AF">
        <w:t>and</w:t>
      </w:r>
      <w:r w:rsidR="000A5329" w:rsidRPr="002029AF">
        <w:t xml:space="preserve"> </w:t>
      </w:r>
      <w:r w:rsidRPr="002029AF">
        <w:t>practice</w:t>
      </w:r>
    </w:p>
    <w:p w14:paraId="1FAC45DB" w14:textId="308FE7D3" w:rsidR="000A5329" w:rsidRPr="002029AF" w:rsidRDefault="00CF72D5" w:rsidP="001E768A">
      <w:pPr>
        <w:pStyle w:val="ARbullet1"/>
      </w:pPr>
      <w:r w:rsidRPr="002029AF">
        <w:t>Strategy</w:t>
      </w:r>
      <w:r w:rsidR="000A5329" w:rsidRPr="002029AF">
        <w:t xml:space="preserve"> </w:t>
      </w:r>
      <w:r w:rsidRPr="002029AF">
        <w:t>and</w:t>
      </w:r>
      <w:r w:rsidR="000A5329" w:rsidRPr="002029AF">
        <w:t xml:space="preserve"> </w:t>
      </w:r>
      <w:r w:rsidRPr="002029AF">
        <w:t>accountability</w:t>
      </w:r>
    </w:p>
    <w:p w14:paraId="4734CA29" w14:textId="55C2AAE8" w:rsidR="000A5329" w:rsidRPr="002029AF" w:rsidRDefault="00CF72D5" w:rsidP="001E768A">
      <w:pPr>
        <w:pStyle w:val="ARbullet1"/>
      </w:pPr>
      <w:r w:rsidRPr="002029AF">
        <w:t>LGBTI</w:t>
      </w:r>
      <w:r w:rsidR="000A5329" w:rsidRPr="002029AF">
        <w:t xml:space="preserve"> </w:t>
      </w:r>
      <w:r w:rsidRPr="002029AF">
        <w:t>training</w:t>
      </w:r>
      <w:r w:rsidR="000A5329" w:rsidRPr="002029AF">
        <w:t xml:space="preserve"> </w:t>
      </w:r>
      <w:r w:rsidRPr="002029AF">
        <w:t>and</w:t>
      </w:r>
      <w:r w:rsidR="000A5329" w:rsidRPr="002029AF">
        <w:t xml:space="preserve"> </w:t>
      </w:r>
      <w:r w:rsidRPr="002029AF">
        <w:t>education</w:t>
      </w:r>
    </w:p>
    <w:p w14:paraId="5CC4C208" w14:textId="524981B3" w:rsidR="000A5329" w:rsidRPr="002029AF" w:rsidRDefault="00CF72D5" w:rsidP="001E768A">
      <w:pPr>
        <w:pStyle w:val="ARbullet1"/>
      </w:pPr>
      <w:r w:rsidRPr="002029AF">
        <w:t>LGBTI</w:t>
      </w:r>
      <w:r w:rsidR="000A5329" w:rsidRPr="002029AF">
        <w:t xml:space="preserve"> </w:t>
      </w:r>
      <w:r w:rsidRPr="002029AF">
        <w:t>employee</w:t>
      </w:r>
      <w:r w:rsidR="000A5329" w:rsidRPr="002029AF">
        <w:t xml:space="preserve"> </w:t>
      </w:r>
      <w:r w:rsidRPr="002029AF">
        <w:t>network</w:t>
      </w:r>
    </w:p>
    <w:p w14:paraId="6145AB11" w14:textId="4A58C73E" w:rsidR="000A5329" w:rsidRPr="002029AF" w:rsidRDefault="00CF72D5" w:rsidP="001E768A">
      <w:pPr>
        <w:pStyle w:val="ARbullet1"/>
      </w:pPr>
      <w:r w:rsidRPr="002029AF">
        <w:t>Visibility</w:t>
      </w:r>
      <w:r w:rsidR="000A5329" w:rsidRPr="002029AF">
        <w:t xml:space="preserve"> </w:t>
      </w:r>
      <w:r w:rsidRPr="002029AF">
        <w:t>and</w:t>
      </w:r>
      <w:r w:rsidR="000A5329" w:rsidRPr="002029AF">
        <w:t xml:space="preserve"> </w:t>
      </w:r>
      <w:r w:rsidRPr="002029AF">
        <w:t>inclusion</w:t>
      </w:r>
    </w:p>
    <w:p w14:paraId="215C1DD9" w14:textId="20002A3E" w:rsidR="000A5329" w:rsidRPr="002029AF" w:rsidRDefault="00CF72D5" w:rsidP="001E768A">
      <w:pPr>
        <w:pStyle w:val="ARbullet1"/>
      </w:pPr>
      <w:r w:rsidRPr="002029AF">
        <w:t>Community</w:t>
      </w:r>
      <w:r w:rsidR="000A5329" w:rsidRPr="002029AF">
        <w:t xml:space="preserve"> </w:t>
      </w:r>
      <w:r w:rsidRPr="002029AF">
        <w:t>engagement.</w:t>
      </w:r>
    </w:p>
    <w:p w14:paraId="39257F13" w14:textId="012461AE" w:rsidR="00CF72D5" w:rsidRPr="002029AF" w:rsidRDefault="00CF72D5" w:rsidP="00FC001B">
      <w:pPr>
        <w:pStyle w:val="ARbodyafterbullets"/>
      </w:pPr>
      <w:r w:rsidRPr="002029AF">
        <w:t>The</w:t>
      </w:r>
      <w:r w:rsidR="000A5329" w:rsidRPr="002029AF">
        <w:t xml:space="preserve"> </w:t>
      </w:r>
      <w:r w:rsidRPr="002029AF">
        <w:t>department</w:t>
      </w:r>
      <w:r w:rsidR="000A5329" w:rsidRPr="002029AF">
        <w:t xml:space="preserve"> </w:t>
      </w:r>
      <w:r w:rsidRPr="002029AF">
        <w:t>implemented</w:t>
      </w:r>
      <w:r w:rsidR="000A5329" w:rsidRPr="002029AF">
        <w:t xml:space="preserve"> </w:t>
      </w:r>
      <w:r w:rsidRPr="002029AF">
        <w:t>supportive</w:t>
      </w:r>
      <w:r w:rsidR="000A5329" w:rsidRPr="002029AF">
        <w:t xml:space="preserve"> </w:t>
      </w:r>
      <w:r w:rsidRPr="002029AF">
        <w:t>processes</w:t>
      </w:r>
      <w:r w:rsidR="000A5329" w:rsidRPr="002029AF">
        <w:t xml:space="preserve"> </w:t>
      </w:r>
      <w:r w:rsidRPr="002029AF">
        <w:t>for</w:t>
      </w:r>
      <w:r w:rsidR="000A5329" w:rsidRPr="002029AF">
        <w:t xml:space="preserve"> </w:t>
      </w:r>
      <w:r w:rsidR="00E33F25" w:rsidRPr="002029AF">
        <w:t>t</w:t>
      </w:r>
      <w:r w:rsidRPr="002029AF">
        <w:t>rans</w:t>
      </w:r>
      <w:r w:rsidR="000A5329" w:rsidRPr="002029AF">
        <w:t xml:space="preserve"> </w:t>
      </w:r>
      <w:r w:rsidRPr="002029AF">
        <w:t>and</w:t>
      </w:r>
      <w:r w:rsidR="000A5329" w:rsidRPr="002029AF">
        <w:t xml:space="preserve"> </w:t>
      </w:r>
      <w:r w:rsidRPr="002029AF">
        <w:t>gender</w:t>
      </w:r>
      <w:r w:rsidR="000A5329" w:rsidRPr="002029AF">
        <w:t xml:space="preserve"> </w:t>
      </w:r>
      <w:r w:rsidRPr="002029AF">
        <w:t>diverse</w:t>
      </w:r>
      <w:r w:rsidR="000A5329" w:rsidRPr="002029AF">
        <w:t xml:space="preserve"> </w:t>
      </w:r>
      <w:r w:rsidRPr="002029AF">
        <w:t>employees</w:t>
      </w:r>
      <w:r w:rsidR="000A5329" w:rsidRPr="002029AF">
        <w:t xml:space="preserve"> </w:t>
      </w:r>
      <w:r w:rsidRPr="002029AF">
        <w:t>to</w:t>
      </w:r>
      <w:r w:rsidR="000A5329" w:rsidRPr="002029AF">
        <w:t xml:space="preserve"> </w:t>
      </w:r>
      <w:r w:rsidRPr="002029AF">
        <w:t>affirm</w:t>
      </w:r>
      <w:r w:rsidR="000A5329" w:rsidRPr="002029AF">
        <w:t xml:space="preserve"> </w:t>
      </w:r>
      <w:r w:rsidRPr="002029AF">
        <w:t>their</w:t>
      </w:r>
      <w:r w:rsidR="000A5329" w:rsidRPr="002029AF">
        <w:t xml:space="preserve"> </w:t>
      </w:r>
      <w:r w:rsidRPr="002029AF">
        <w:t>gender</w:t>
      </w:r>
      <w:r w:rsidR="000A5329" w:rsidRPr="002029AF">
        <w:t xml:space="preserve"> </w:t>
      </w:r>
      <w:r w:rsidRPr="002029AF">
        <w:t>identity</w:t>
      </w:r>
      <w:r w:rsidR="000A5329" w:rsidRPr="002029AF">
        <w:t xml:space="preserve"> </w:t>
      </w:r>
      <w:r w:rsidRPr="002029AF">
        <w:t>in</w:t>
      </w:r>
      <w:r w:rsidR="000A5329" w:rsidRPr="002029AF">
        <w:t xml:space="preserve"> </w:t>
      </w:r>
      <w:r w:rsidRPr="002029AF">
        <w:t>the</w:t>
      </w:r>
      <w:r w:rsidR="00233C48" w:rsidRPr="002029AF">
        <w:t> </w:t>
      </w:r>
      <w:r w:rsidRPr="002029AF">
        <w:t>workplace</w:t>
      </w:r>
      <w:r w:rsidR="000A5329" w:rsidRPr="002029AF">
        <w:t xml:space="preserve"> </w:t>
      </w:r>
      <w:r w:rsidRPr="002029AF">
        <w:t>and</w:t>
      </w:r>
      <w:r w:rsidR="000A5329" w:rsidRPr="002029AF">
        <w:t xml:space="preserve"> </w:t>
      </w:r>
      <w:r w:rsidRPr="002029AF">
        <w:t>to</w:t>
      </w:r>
      <w:r w:rsidR="000A5329" w:rsidRPr="002029AF">
        <w:t xml:space="preserve"> </w:t>
      </w:r>
      <w:r w:rsidRPr="002029AF">
        <w:t>ensure</w:t>
      </w:r>
      <w:r w:rsidR="000A5329" w:rsidRPr="002029AF">
        <w:t xml:space="preserve"> </w:t>
      </w:r>
      <w:r w:rsidRPr="002029AF">
        <w:t>their</w:t>
      </w:r>
      <w:r w:rsidR="000A5329" w:rsidRPr="002029AF">
        <w:t xml:space="preserve"> </w:t>
      </w:r>
      <w:r w:rsidRPr="002029AF">
        <w:t>safety</w:t>
      </w:r>
      <w:r w:rsidR="000A5329" w:rsidRPr="002029AF">
        <w:t xml:space="preserve"> </w:t>
      </w:r>
      <w:r w:rsidRPr="002029AF">
        <w:t>and</w:t>
      </w:r>
      <w:r w:rsidR="000A5329" w:rsidRPr="002029AF">
        <w:t xml:space="preserve"> </w:t>
      </w:r>
      <w:r w:rsidRPr="002029AF">
        <w:t>inclusion</w:t>
      </w:r>
      <w:r w:rsidR="000A5329" w:rsidRPr="002029AF">
        <w:t xml:space="preserve"> </w:t>
      </w:r>
      <w:r w:rsidR="00E33F25" w:rsidRPr="002029AF">
        <w:t>and</w:t>
      </w:r>
      <w:r w:rsidR="000A5329" w:rsidRPr="002029AF">
        <w:t xml:space="preserve"> </w:t>
      </w:r>
      <w:r w:rsidR="00BA105D" w:rsidRPr="002029AF">
        <w:t>achieve</w:t>
      </w:r>
      <w:r w:rsidR="00F36BDA" w:rsidRPr="002029AF">
        <w:t>d</w:t>
      </w:r>
      <w:r w:rsidR="000A5329" w:rsidRPr="002029AF">
        <w:t xml:space="preserve"> </w:t>
      </w:r>
      <w:r w:rsidR="00F36BDA" w:rsidRPr="002029AF">
        <w:t>bronze</w:t>
      </w:r>
      <w:r w:rsidR="000A5329" w:rsidRPr="002029AF">
        <w:t xml:space="preserve"> </w:t>
      </w:r>
      <w:r w:rsidR="00F36BDA" w:rsidRPr="002029AF">
        <w:t>in</w:t>
      </w:r>
      <w:r w:rsidR="000A5329" w:rsidRPr="002029AF">
        <w:t xml:space="preserve"> </w:t>
      </w:r>
      <w:r w:rsidR="00F36BDA" w:rsidRPr="002029AF">
        <w:t>the</w:t>
      </w:r>
      <w:r w:rsidR="000A5329" w:rsidRPr="002029AF">
        <w:t xml:space="preserve"> </w:t>
      </w:r>
      <w:r w:rsidR="00F36BDA" w:rsidRPr="002029AF">
        <w:t>Australian</w:t>
      </w:r>
      <w:r w:rsidR="000A5329" w:rsidRPr="002029AF">
        <w:t xml:space="preserve"> </w:t>
      </w:r>
      <w:r w:rsidR="00F36BDA" w:rsidRPr="002029AF">
        <w:t>Workplace</w:t>
      </w:r>
      <w:r w:rsidR="000A5329" w:rsidRPr="002029AF">
        <w:t xml:space="preserve"> </w:t>
      </w:r>
      <w:r w:rsidR="00F36BDA" w:rsidRPr="002029AF">
        <w:t>Equality</w:t>
      </w:r>
      <w:r w:rsidR="000A5329" w:rsidRPr="002029AF">
        <w:t xml:space="preserve"> </w:t>
      </w:r>
      <w:r w:rsidR="00F36BDA" w:rsidRPr="002029AF">
        <w:t>Index</w:t>
      </w:r>
      <w:r w:rsidR="00802140" w:rsidRPr="002029AF">
        <w:t>.</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continued</w:t>
      </w:r>
      <w:r w:rsidR="000A5329" w:rsidRPr="002029AF">
        <w:t xml:space="preserve"> </w:t>
      </w:r>
      <w:r w:rsidRPr="002029AF">
        <w:t>to</w:t>
      </w:r>
      <w:r w:rsidR="000A5329" w:rsidRPr="002029AF">
        <w:t xml:space="preserve"> </w:t>
      </w:r>
      <w:r w:rsidRPr="002029AF">
        <w:t>provide</w:t>
      </w:r>
      <w:r w:rsidR="000A5329" w:rsidRPr="002029AF">
        <w:t xml:space="preserve"> </w:t>
      </w:r>
      <w:r w:rsidRPr="002029AF">
        <w:t>unconscious</w:t>
      </w:r>
      <w:r w:rsidR="000A5329" w:rsidRPr="002029AF">
        <w:t xml:space="preserve"> </w:t>
      </w:r>
      <w:r w:rsidRPr="002029AF">
        <w:t>bias</w:t>
      </w:r>
      <w:r w:rsidR="00B95D52">
        <w:t> </w:t>
      </w:r>
      <w:r w:rsidRPr="002029AF">
        <w:t>training</w:t>
      </w:r>
      <w:r w:rsidR="000A5329" w:rsidRPr="002029AF">
        <w:t xml:space="preserve"> </w:t>
      </w:r>
      <w:r w:rsidRPr="002029AF">
        <w:t>and</w:t>
      </w:r>
      <w:r w:rsidR="000A5329" w:rsidRPr="002029AF">
        <w:t xml:space="preserve"> </w:t>
      </w:r>
      <w:r w:rsidRPr="002029AF">
        <w:t>to</w:t>
      </w:r>
      <w:r w:rsidR="000A5329" w:rsidRPr="002029AF">
        <w:t xml:space="preserve"> </w:t>
      </w:r>
      <w:r w:rsidRPr="002029AF">
        <w:t>work</w:t>
      </w:r>
      <w:r w:rsidR="000A5329" w:rsidRPr="002029AF">
        <w:t xml:space="preserve"> </w:t>
      </w:r>
      <w:r w:rsidRPr="002029AF">
        <w:t>with</w:t>
      </w:r>
      <w:r w:rsidR="000A5329" w:rsidRPr="002029AF">
        <w:t xml:space="preserve"> </w:t>
      </w:r>
      <w:r w:rsidRPr="002029AF">
        <w:t>Pride</w:t>
      </w:r>
      <w:r w:rsidR="000A5329" w:rsidRPr="002029AF">
        <w:t xml:space="preserve"> </w:t>
      </w:r>
      <w:r w:rsidRPr="002029AF">
        <w:t>in</w:t>
      </w:r>
      <w:r w:rsidR="000A5329" w:rsidRPr="002029AF">
        <w:t xml:space="preserve"> </w:t>
      </w:r>
      <w:r w:rsidRPr="002029AF">
        <w:t>Diversity</w:t>
      </w:r>
      <w:r w:rsidR="000A5329" w:rsidRPr="002029AF">
        <w:t xml:space="preserve"> </w:t>
      </w:r>
      <w:r w:rsidRPr="002029AF">
        <w:t>to</w:t>
      </w:r>
      <w:r w:rsidR="000A5329" w:rsidRPr="002029AF">
        <w:t xml:space="preserve"> </w:t>
      </w:r>
      <w:r w:rsidRPr="002029AF">
        <w:t>provide</w:t>
      </w:r>
      <w:r w:rsidR="000A5329" w:rsidRPr="002029AF">
        <w:t xml:space="preserve"> </w:t>
      </w:r>
      <w:r w:rsidRPr="002029AF">
        <w:t>employees</w:t>
      </w:r>
      <w:r w:rsidR="000A5329" w:rsidRPr="002029AF">
        <w:t xml:space="preserve"> </w:t>
      </w:r>
      <w:r w:rsidRPr="002029AF">
        <w:t>with</w:t>
      </w:r>
      <w:r w:rsidR="000A5329" w:rsidRPr="002029AF">
        <w:t xml:space="preserve"> </w:t>
      </w:r>
      <w:r w:rsidRPr="002029AF">
        <w:t>training</w:t>
      </w:r>
      <w:r w:rsidR="000A5329" w:rsidRPr="002029AF">
        <w:t xml:space="preserve"> </w:t>
      </w:r>
      <w:r w:rsidRPr="002029AF">
        <w:t>and</w:t>
      </w:r>
      <w:r w:rsidR="000A5329" w:rsidRPr="002029AF">
        <w:t xml:space="preserve"> </w:t>
      </w:r>
      <w:r w:rsidRPr="002029AF">
        <w:t>awareness.</w:t>
      </w:r>
    </w:p>
    <w:p w14:paraId="6E88C481" w14:textId="0CE065AC" w:rsidR="00CF72D5" w:rsidRPr="002029AF" w:rsidRDefault="00CF72D5" w:rsidP="00897193">
      <w:pPr>
        <w:pStyle w:val="ARbody"/>
      </w:pPr>
      <w:r w:rsidRPr="002029AF">
        <w:t>The</w:t>
      </w:r>
      <w:r w:rsidR="000A5329" w:rsidRPr="002029AF">
        <w:t xml:space="preserve"> </w:t>
      </w:r>
      <w:r w:rsidRPr="002029AF">
        <w:t>department’s</w:t>
      </w:r>
      <w:r w:rsidR="000A5329" w:rsidRPr="002029AF">
        <w:t xml:space="preserve"> </w:t>
      </w:r>
      <w:r w:rsidRPr="002029AF">
        <w:t>Pride</w:t>
      </w:r>
      <w:r w:rsidR="000A5329" w:rsidRPr="002029AF">
        <w:t xml:space="preserve"> </w:t>
      </w:r>
      <w:r w:rsidRPr="002029AF">
        <w:t>Network</w:t>
      </w:r>
      <w:r w:rsidR="000A5329" w:rsidRPr="002029AF">
        <w:t xml:space="preserve"> </w:t>
      </w:r>
      <w:r w:rsidRPr="002029AF">
        <w:t>provides</w:t>
      </w:r>
      <w:r w:rsidR="000A5329" w:rsidRPr="002029AF">
        <w:t xml:space="preserve"> </w:t>
      </w:r>
      <w:r w:rsidRPr="002029AF">
        <w:t>a</w:t>
      </w:r>
      <w:r w:rsidR="000A5329" w:rsidRPr="002029AF">
        <w:t xml:space="preserve"> </w:t>
      </w:r>
      <w:r w:rsidRPr="002029AF">
        <w:t>forum</w:t>
      </w:r>
      <w:r w:rsidR="000A5329" w:rsidRPr="002029AF">
        <w:t xml:space="preserve"> </w:t>
      </w:r>
      <w:r w:rsidRPr="002029AF">
        <w:t>for</w:t>
      </w:r>
      <w:r w:rsidR="000A5329" w:rsidRPr="002029AF">
        <w:t xml:space="preserve"> </w:t>
      </w:r>
      <w:r w:rsidRPr="002029AF">
        <w:t>all</w:t>
      </w:r>
      <w:r w:rsidR="000A5329" w:rsidRPr="002029AF">
        <w:t xml:space="preserve"> </w:t>
      </w:r>
      <w:r w:rsidRPr="002029AF">
        <w:t>staff</w:t>
      </w:r>
      <w:r w:rsidR="000A5329" w:rsidRPr="002029AF">
        <w:t xml:space="preserve"> </w:t>
      </w:r>
      <w:r w:rsidRPr="002029AF">
        <w:t>interested</w:t>
      </w:r>
      <w:r w:rsidR="000A5329" w:rsidRPr="002029AF">
        <w:t xml:space="preserve"> </w:t>
      </w:r>
      <w:r w:rsidRPr="002029AF">
        <w:t>in,</w:t>
      </w:r>
      <w:r w:rsidR="000A5329" w:rsidRPr="002029AF">
        <w:t xml:space="preserve"> </w:t>
      </w:r>
      <w:r w:rsidRPr="002029AF">
        <w:t>and</w:t>
      </w:r>
      <w:r w:rsidR="000A5329" w:rsidRPr="002029AF">
        <w:t xml:space="preserve"> </w:t>
      </w:r>
      <w:r w:rsidRPr="002029AF">
        <w:t>supportive</w:t>
      </w:r>
      <w:r w:rsidR="000A5329" w:rsidRPr="002029AF">
        <w:t xml:space="preserve"> </w:t>
      </w:r>
      <w:r w:rsidRPr="002029AF">
        <w:t>of, creating</w:t>
      </w:r>
      <w:r w:rsidR="000A5329" w:rsidRPr="002029AF">
        <w:t xml:space="preserve"> </w:t>
      </w:r>
      <w:r w:rsidRPr="002029AF">
        <w:t>safe</w:t>
      </w:r>
      <w:r w:rsidR="000A5329" w:rsidRPr="002029AF">
        <w:t xml:space="preserve"> </w:t>
      </w:r>
      <w:r w:rsidRPr="002029AF">
        <w:t>and</w:t>
      </w:r>
      <w:r w:rsidR="000A5329" w:rsidRPr="002029AF">
        <w:t xml:space="preserve"> </w:t>
      </w:r>
      <w:r w:rsidRPr="002029AF">
        <w:t>inclusive</w:t>
      </w:r>
      <w:r w:rsidR="000A5329" w:rsidRPr="002029AF">
        <w:t xml:space="preserve"> </w:t>
      </w:r>
      <w:r w:rsidRPr="002029AF">
        <w:t>workplaces</w:t>
      </w:r>
      <w:r w:rsidR="000A5329" w:rsidRPr="002029AF">
        <w:t xml:space="preserve"> </w:t>
      </w:r>
      <w:r w:rsidRPr="002029AF">
        <w:t>for</w:t>
      </w:r>
      <w:r w:rsidR="000A5329" w:rsidRPr="002029AF">
        <w:t xml:space="preserve"> </w:t>
      </w:r>
      <w:r w:rsidRPr="002029AF">
        <w:t>LGBTIQ</w:t>
      </w:r>
      <w:r w:rsidR="000A5329" w:rsidRPr="002029AF">
        <w:t xml:space="preserve"> </w:t>
      </w:r>
      <w:r w:rsidRPr="002029AF">
        <w:t>employees.</w:t>
      </w:r>
      <w:r w:rsidR="000A5329" w:rsidRPr="002029AF">
        <w:t xml:space="preserve"> </w:t>
      </w:r>
      <w:r w:rsidRPr="002029AF">
        <w:t>Part</w:t>
      </w:r>
      <w:r w:rsidR="000A5329" w:rsidRPr="002029AF">
        <w:t xml:space="preserve"> </w:t>
      </w:r>
      <w:r w:rsidRPr="002029AF">
        <w:t>of</w:t>
      </w:r>
      <w:r w:rsidR="000A5329" w:rsidRPr="002029AF">
        <w:t xml:space="preserve"> </w:t>
      </w:r>
      <w:r w:rsidRPr="002029AF">
        <w:t>a</w:t>
      </w:r>
      <w:r w:rsidR="000A5329" w:rsidRPr="002029AF">
        <w:t xml:space="preserve"> </w:t>
      </w:r>
      <w:r w:rsidRPr="002029AF">
        <w:t>broader</w:t>
      </w:r>
      <w:r w:rsidR="000A5329" w:rsidRPr="002029AF">
        <w:t xml:space="preserve"> </w:t>
      </w:r>
      <w:r w:rsidRPr="002029AF">
        <w:t>whole-of-Victorian-Government</w:t>
      </w:r>
      <w:r w:rsidR="000A5329" w:rsidRPr="002029AF">
        <w:t xml:space="preserve"> </w:t>
      </w:r>
      <w:r w:rsidRPr="002029AF">
        <w:t>Pride</w:t>
      </w:r>
      <w:r w:rsidR="000A5329" w:rsidRPr="002029AF">
        <w:t xml:space="preserve"> </w:t>
      </w:r>
      <w:r w:rsidRPr="002029AF">
        <w:t>Network,</w:t>
      </w:r>
      <w:r w:rsidR="000A5329" w:rsidRPr="002029AF">
        <w:t xml:space="preserve"> </w:t>
      </w:r>
      <w:r w:rsidRPr="002029AF">
        <w:t>it</w:t>
      </w:r>
      <w:r w:rsidR="000A5329" w:rsidRPr="002029AF">
        <w:t xml:space="preserve"> </w:t>
      </w:r>
      <w:r w:rsidRPr="002029AF">
        <w:t>offers</w:t>
      </w:r>
      <w:r w:rsidR="000A5329" w:rsidRPr="002029AF">
        <w:t xml:space="preserve"> </w:t>
      </w:r>
      <w:r w:rsidRPr="002029AF">
        <w:t>a space</w:t>
      </w:r>
      <w:r w:rsidR="000A5329" w:rsidRPr="002029AF">
        <w:t xml:space="preserve"> </w:t>
      </w:r>
      <w:r w:rsidRPr="002029AF">
        <w:t>for</w:t>
      </w:r>
      <w:r w:rsidR="000A5329" w:rsidRPr="002029AF">
        <w:t xml:space="preserve"> </w:t>
      </w:r>
      <w:r w:rsidRPr="002029AF">
        <w:t>staff</w:t>
      </w:r>
      <w:r w:rsidR="000A5329" w:rsidRPr="002029AF">
        <w:t xml:space="preserve"> </w:t>
      </w:r>
      <w:r w:rsidRPr="002029AF">
        <w:t>to</w:t>
      </w:r>
      <w:r w:rsidR="000A5329" w:rsidRPr="002029AF">
        <w:t xml:space="preserve"> </w:t>
      </w:r>
      <w:r w:rsidRPr="002029AF">
        <w:t>promote</w:t>
      </w:r>
      <w:r w:rsidR="000A5329" w:rsidRPr="002029AF">
        <w:t xml:space="preserve"> </w:t>
      </w:r>
      <w:r w:rsidRPr="002029AF">
        <w:t>positive</w:t>
      </w:r>
      <w:r w:rsidR="000A5329" w:rsidRPr="002029AF">
        <w:t xml:space="preserve"> </w:t>
      </w:r>
      <w:r w:rsidRPr="002029AF">
        <w:t>LGBTIQ</w:t>
      </w:r>
      <w:r w:rsidR="000A5329" w:rsidRPr="002029AF">
        <w:t xml:space="preserve"> </w:t>
      </w:r>
      <w:r w:rsidRPr="002029AF">
        <w:t>cultural</w:t>
      </w:r>
      <w:r w:rsidR="000A5329" w:rsidRPr="002029AF">
        <w:t xml:space="preserve"> </w:t>
      </w:r>
      <w:r w:rsidRPr="002029AF">
        <w:t>awareness,</w:t>
      </w:r>
      <w:r w:rsidR="000A5329" w:rsidRPr="002029AF">
        <w:t xml:space="preserve"> </w:t>
      </w:r>
      <w:r w:rsidRPr="002029AF">
        <w:t>sector-wide</w:t>
      </w:r>
      <w:r w:rsidR="000A5329" w:rsidRPr="002029AF">
        <w:t xml:space="preserve"> </w:t>
      </w:r>
      <w:r w:rsidRPr="002029AF">
        <w:t>events,</w:t>
      </w:r>
      <w:r w:rsidR="000A5329" w:rsidRPr="002029AF">
        <w:t xml:space="preserve"> </w:t>
      </w:r>
      <w:r w:rsidRPr="002029AF">
        <w:t>participate</w:t>
      </w:r>
      <w:r w:rsidR="000A5329" w:rsidRPr="002029AF">
        <w:t xml:space="preserve"> </w:t>
      </w:r>
      <w:r w:rsidRPr="002029AF">
        <w:t>in</w:t>
      </w:r>
      <w:r w:rsidR="000A5329" w:rsidRPr="002029AF">
        <w:t xml:space="preserve"> </w:t>
      </w:r>
      <w:r w:rsidRPr="002029AF">
        <w:t>professional</w:t>
      </w:r>
      <w:r w:rsidR="000A5329" w:rsidRPr="002029AF">
        <w:t xml:space="preserve"> </w:t>
      </w:r>
      <w:r w:rsidRPr="002029AF">
        <w:t>development</w:t>
      </w:r>
      <w:r w:rsidR="000A5329" w:rsidRPr="002029AF">
        <w:t xml:space="preserve"> </w:t>
      </w:r>
      <w:r w:rsidRPr="002029AF">
        <w:t>opportunities</w:t>
      </w:r>
      <w:r w:rsidR="000A5329" w:rsidRPr="002029AF">
        <w:t xml:space="preserve"> </w:t>
      </w:r>
      <w:r w:rsidRPr="002029AF">
        <w:t>and</w:t>
      </w:r>
      <w:r w:rsidR="000A5329" w:rsidRPr="002029AF">
        <w:t xml:space="preserve"> </w:t>
      </w:r>
      <w:r w:rsidRPr="002029AF">
        <w:t>contribute</w:t>
      </w:r>
      <w:r w:rsidR="000A5329" w:rsidRPr="002029AF">
        <w:t xml:space="preserve"> </w:t>
      </w:r>
      <w:r w:rsidRPr="002029AF">
        <w:t>to</w:t>
      </w:r>
      <w:r w:rsidR="000A5329" w:rsidRPr="002029AF">
        <w:t xml:space="preserve"> </w:t>
      </w:r>
      <w:r w:rsidRPr="002029AF">
        <w:t>the</w:t>
      </w:r>
      <w:r w:rsidR="000A5329" w:rsidRPr="002029AF">
        <w:t xml:space="preserve"> </w:t>
      </w:r>
      <w:r w:rsidRPr="002029AF">
        <w:t>department’s LGBTIQ</w:t>
      </w:r>
      <w:r w:rsidR="000A5329" w:rsidRPr="002029AF">
        <w:t xml:space="preserve"> </w:t>
      </w:r>
      <w:r w:rsidRPr="002029AF">
        <w:t>diversity</w:t>
      </w:r>
      <w:r w:rsidR="000A5329" w:rsidRPr="002029AF">
        <w:t xml:space="preserve"> </w:t>
      </w:r>
      <w:r w:rsidRPr="002029AF">
        <w:t>work.</w:t>
      </w:r>
    </w:p>
    <w:p w14:paraId="096904A8" w14:textId="22561EB8" w:rsidR="000A5329" w:rsidRPr="002029AF" w:rsidRDefault="00CF72D5" w:rsidP="00897193">
      <w:pPr>
        <w:pStyle w:val="Heading3"/>
      </w:pPr>
      <w:r w:rsidRPr="002029AF">
        <w:t>Youth</w:t>
      </w:r>
      <w:r w:rsidR="000A5329" w:rsidRPr="002029AF">
        <w:t xml:space="preserve"> </w:t>
      </w:r>
      <w:r w:rsidRPr="002029AF">
        <w:t>Employment</w:t>
      </w:r>
      <w:r w:rsidR="000A5329" w:rsidRPr="002029AF">
        <w:t xml:space="preserve"> </w:t>
      </w:r>
      <w:r w:rsidRPr="002029AF">
        <w:t>Scheme</w:t>
      </w:r>
    </w:p>
    <w:p w14:paraId="40908234" w14:textId="24A1E927" w:rsidR="00CF72D5" w:rsidRPr="002029AF" w:rsidRDefault="00CF72D5" w:rsidP="00897193">
      <w:pPr>
        <w:pStyle w:val="ARbody"/>
      </w:pPr>
      <w:r w:rsidRPr="002029AF">
        <w:t>The</w:t>
      </w:r>
      <w:r w:rsidR="000A5329" w:rsidRPr="002029AF">
        <w:t xml:space="preserve"> </w:t>
      </w:r>
      <w:r w:rsidR="00930EF8" w:rsidRPr="002029AF">
        <w:t>department</w:t>
      </w:r>
      <w:r w:rsidR="000A5329" w:rsidRPr="002029AF">
        <w:t xml:space="preserve"> </w:t>
      </w:r>
      <w:r w:rsidR="00930EF8" w:rsidRPr="002029AF">
        <w:t>is</w:t>
      </w:r>
      <w:r w:rsidRPr="002029AF">
        <w:t> active</w:t>
      </w:r>
      <w:r w:rsidR="000A5329" w:rsidRPr="002029AF">
        <w:t xml:space="preserve"> </w:t>
      </w:r>
      <w:r w:rsidRPr="002029AF">
        <w:t>in</w:t>
      </w:r>
      <w:r w:rsidR="000A5329" w:rsidRPr="002029AF">
        <w:t xml:space="preserve"> </w:t>
      </w:r>
      <w:r w:rsidRPr="002029AF">
        <w:t>providing</w:t>
      </w:r>
      <w:r w:rsidR="000A5329" w:rsidRPr="002029AF">
        <w:t xml:space="preserve"> </w:t>
      </w:r>
      <w:r w:rsidRPr="002029AF">
        <w:t>job</w:t>
      </w:r>
      <w:r w:rsidR="000A5329" w:rsidRPr="002029AF">
        <w:t xml:space="preserve"> </w:t>
      </w:r>
      <w:r w:rsidRPr="002029AF">
        <w:t>opportunities</w:t>
      </w:r>
      <w:r w:rsidR="000A5329" w:rsidRPr="002029AF">
        <w:t xml:space="preserve"> </w:t>
      </w:r>
      <w:r w:rsidRPr="002029AF">
        <w:t>for disadvantaged</w:t>
      </w:r>
      <w:r w:rsidR="000A5329" w:rsidRPr="002029AF">
        <w:t xml:space="preserve"> </w:t>
      </w:r>
      <w:r w:rsidRPr="002029AF">
        <w:t>job</w:t>
      </w:r>
      <w:r w:rsidR="000A5329" w:rsidRPr="002029AF">
        <w:t xml:space="preserve"> </w:t>
      </w:r>
      <w:r w:rsidRPr="002029AF">
        <w:t>seekers</w:t>
      </w:r>
      <w:r w:rsidR="000A5329" w:rsidRPr="002029AF">
        <w:t xml:space="preserve"> </w:t>
      </w:r>
      <w:r w:rsidRPr="002029AF">
        <w:t>through</w:t>
      </w:r>
      <w:r w:rsidR="00B95D52">
        <w:t> </w:t>
      </w:r>
      <w:r w:rsidRPr="002029AF">
        <w:t>the</w:t>
      </w:r>
      <w:r w:rsidR="000A5329" w:rsidRPr="002029AF">
        <w:t xml:space="preserve"> </w:t>
      </w:r>
      <w:r w:rsidRPr="002029AF">
        <w:t>Youth</w:t>
      </w:r>
      <w:r w:rsidR="000A5329" w:rsidRPr="002029AF">
        <w:t xml:space="preserve"> </w:t>
      </w:r>
      <w:r w:rsidRPr="002029AF">
        <w:t>Employment</w:t>
      </w:r>
      <w:r w:rsidR="000A5329" w:rsidRPr="002029AF">
        <w:t xml:space="preserve"> </w:t>
      </w:r>
      <w:r w:rsidRPr="002029AF">
        <w:t>Scheme</w:t>
      </w:r>
      <w:r w:rsidR="000A5329" w:rsidRPr="002029AF">
        <w:t xml:space="preserve"> </w:t>
      </w:r>
      <w:r w:rsidRPr="002029AF">
        <w:t>(YES)</w:t>
      </w:r>
      <w:r w:rsidR="00B95D52">
        <w:t> </w:t>
      </w:r>
      <w:r w:rsidRPr="002029AF">
        <w:t>which</w:t>
      </w:r>
      <w:r w:rsidR="000A5329" w:rsidRPr="002029AF">
        <w:t xml:space="preserve"> </w:t>
      </w:r>
      <w:r w:rsidRPr="002029AF">
        <w:t>strongly</w:t>
      </w:r>
      <w:r w:rsidR="000A5329" w:rsidRPr="002029AF">
        <w:t xml:space="preserve"> </w:t>
      </w:r>
      <w:r w:rsidRPr="002029AF">
        <w:t>promotes</w:t>
      </w:r>
      <w:r w:rsidR="000A5329" w:rsidRPr="002029AF">
        <w:t xml:space="preserve"> </w:t>
      </w:r>
      <w:r w:rsidRPr="002029AF">
        <w:t>opportunities</w:t>
      </w:r>
      <w:r w:rsidR="000A5329" w:rsidRPr="002029AF">
        <w:t xml:space="preserve"> </w:t>
      </w:r>
      <w:r w:rsidRPr="002029AF">
        <w:t>for</w:t>
      </w:r>
      <w:r w:rsidR="00B95D52">
        <w:t> </w:t>
      </w:r>
      <w:r w:rsidRPr="002029AF">
        <w:t>disadvantaged</w:t>
      </w:r>
      <w:r w:rsidR="000A5329" w:rsidRPr="002029AF">
        <w:t xml:space="preserve"> </w:t>
      </w:r>
      <w:r w:rsidRPr="002029AF">
        <w:t>groups</w:t>
      </w:r>
      <w:r w:rsidR="000A5329" w:rsidRPr="002029AF">
        <w:t xml:space="preserve"> </w:t>
      </w:r>
      <w:r w:rsidRPr="002029AF">
        <w:t>targeting</w:t>
      </w:r>
      <w:r w:rsidR="000A5329" w:rsidRPr="002029AF">
        <w:t xml:space="preserve"> </w:t>
      </w:r>
      <w:r w:rsidRPr="002029AF">
        <w:t>long-term</w:t>
      </w:r>
      <w:r w:rsidR="000A5329" w:rsidRPr="002029AF">
        <w:t xml:space="preserve"> </w:t>
      </w:r>
      <w:r w:rsidRPr="002029AF">
        <w:t>unemployed</w:t>
      </w:r>
      <w:r w:rsidR="000A5329" w:rsidRPr="002029AF">
        <w:t xml:space="preserve"> </w:t>
      </w:r>
      <w:r w:rsidRPr="002029AF">
        <w:t>people,</w:t>
      </w:r>
      <w:r w:rsidR="000A5329" w:rsidRPr="002029AF">
        <w:t xml:space="preserve"> </w:t>
      </w:r>
      <w:r w:rsidRPr="002029AF">
        <w:t>Aboriginal</w:t>
      </w:r>
      <w:r w:rsidR="000A5329" w:rsidRPr="002029AF">
        <w:t xml:space="preserve"> </w:t>
      </w:r>
      <w:r w:rsidRPr="002029AF">
        <w:t>young</w:t>
      </w:r>
      <w:r w:rsidR="000A5329" w:rsidRPr="002029AF">
        <w:t xml:space="preserve"> </w:t>
      </w:r>
      <w:r w:rsidRPr="002029AF">
        <w:t>people</w:t>
      </w:r>
      <w:r w:rsidR="000A5329" w:rsidRPr="002029AF">
        <w:t xml:space="preserve"> </w:t>
      </w:r>
      <w:r w:rsidRPr="002029AF">
        <w:t>and</w:t>
      </w:r>
      <w:r w:rsidR="00B95D52">
        <w:t> </w:t>
      </w:r>
      <w:r w:rsidRPr="002029AF">
        <w:t>people</w:t>
      </w:r>
      <w:r w:rsidR="000A5329" w:rsidRPr="002029AF">
        <w:t xml:space="preserve"> </w:t>
      </w:r>
      <w:r w:rsidRPr="002029AF">
        <w:t>with</w:t>
      </w:r>
      <w:r w:rsidR="000A5329" w:rsidRPr="002029AF">
        <w:t xml:space="preserve"> </w:t>
      </w:r>
      <w:r w:rsidRPr="002029AF">
        <w:t>a</w:t>
      </w:r>
      <w:r w:rsidR="000A5329" w:rsidRPr="002029AF">
        <w:t xml:space="preserve"> </w:t>
      </w:r>
      <w:r w:rsidRPr="002029AF">
        <w:t>disability,</w:t>
      </w:r>
      <w:r w:rsidR="000A5329" w:rsidRPr="002029AF">
        <w:t xml:space="preserve"> </w:t>
      </w:r>
      <w:r w:rsidRPr="002029AF">
        <w:t>particularly</w:t>
      </w:r>
      <w:r w:rsidR="000A5329" w:rsidRPr="002029AF">
        <w:t xml:space="preserve"> </w:t>
      </w:r>
      <w:r w:rsidRPr="002029AF">
        <w:t>in</w:t>
      </w:r>
      <w:r w:rsidR="000A5329" w:rsidRPr="002029AF">
        <w:t xml:space="preserve"> </w:t>
      </w:r>
      <w:r w:rsidRPr="002029AF">
        <w:t>rural</w:t>
      </w:r>
      <w:r w:rsidR="000A5329" w:rsidRPr="002029AF">
        <w:t xml:space="preserve"> </w:t>
      </w:r>
      <w:r w:rsidRPr="002029AF">
        <w:t>and</w:t>
      </w:r>
      <w:r w:rsidR="00B95D52">
        <w:t> </w:t>
      </w:r>
      <w:r w:rsidRPr="002029AF">
        <w:t>regional</w:t>
      </w:r>
      <w:r w:rsidR="000A5329" w:rsidRPr="002029AF">
        <w:t xml:space="preserve"> </w:t>
      </w:r>
      <w:r w:rsidRPr="002029AF">
        <w:t>Victoria.</w:t>
      </w:r>
    </w:p>
    <w:p w14:paraId="02DFC9AE" w14:textId="2D80E256" w:rsidR="00CF72D5" w:rsidRPr="002029AF" w:rsidRDefault="00CF72D5" w:rsidP="00897193">
      <w:pPr>
        <w:pStyle w:val="ARbody"/>
      </w:pPr>
      <w:r w:rsidRPr="002029AF">
        <w:t>The</w:t>
      </w:r>
      <w:r w:rsidR="000A5329" w:rsidRPr="002029AF">
        <w:t xml:space="preserve"> </w:t>
      </w:r>
      <w:r w:rsidRPr="002029AF">
        <w:t>YES</w:t>
      </w:r>
      <w:r w:rsidR="000A5329" w:rsidRPr="002029AF">
        <w:t xml:space="preserve"> </w:t>
      </w:r>
      <w:r w:rsidRPr="002029AF">
        <w:t>is</w:t>
      </w:r>
      <w:r w:rsidR="000A5329" w:rsidRPr="002029AF">
        <w:t xml:space="preserve"> </w:t>
      </w:r>
      <w:r w:rsidRPr="002029AF">
        <w:t>a</w:t>
      </w:r>
      <w:r w:rsidR="000A5329" w:rsidRPr="002029AF">
        <w:t xml:space="preserve"> </w:t>
      </w:r>
      <w:r w:rsidRPr="002029AF">
        <w:t>Victorian</w:t>
      </w:r>
      <w:r w:rsidR="000A5329" w:rsidRPr="002029AF">
        <w:t xml:space="preserve"> </w:t>
      </w:r>
      <w:r w:rsidRPr="002029AF">
        <w:t>Government</w:t>
      </w:r>
      <w:r w:rsidR="000A5329" w:rsidRPr="002029AF">
        <w:t xml:space="preserve"> </w:t>
      </w:r>
      <w:r w:rsidRPr="002029AF">
        <w:t>initiative</w:t>
      </w:r>
      <w:r w:rsidR="000A5329" w:rsidRPr="002029AF">
        <w:t xml:space="preserve"> </w:t>
      </w:r>
      <w:r w:rsidRPr="002029AF">
        <w:t>that</w:t>
      </w:r>
      <w:r w:rsidR="000A5329" w:rsidRPr="002029AF">
        <w:t xml:space="preserve"> </w:t>
      </w:r>
      <w:r w:rsidRPr="002029AF">
        <w:t>enables</w:t>
      </w:r>
      <w:r w:rsidR="000A5329" w:rsidRPr="002029AF">
        <w:t xml:space="preserve"> </w:t>
      </w:r>
      <w:r w:rsidRPr="002029AF">
        <w:t>unemployed</w:t>
      </w:r>
      <w:r w:rsidR="000A5329" w:rsidRPr="002029AF">
        <w:t xml:space="preserve"> </w:t>
      </w:r>
      <w:r w:rsidRPr="002029AF">
        <w:t>or</w:t>
      </w:r>
      <w:r w:rsidR="000A5329" w:rsidRPr="002029AF">
        <w:t xml:space="preserve"> </w:t>
      </w:r>
      <w:r w:rsidRPr="002029AF">
        <w:t>otherwise</w:t>
      </w:r>
      <w:r w:rsidR="000A5329" w:rsidRPr="002029AF">
        <w:t xml:space="preserve"> </w:t>
      </w:r>
      <w:r w:rsidRPr="002029AF">
        <w:t>disadvantaged</w:t>
      </w:r>
      <w:r w:rsidR="000A5329" w:rsidRPr="002029AF">
        <w:t xml:space="preserve"> </w:t>
      </w:r>
      <w:r w:rsidRPr="002029AF">
        <w:t>young</w:t>
      </w:r>
      <w:r w:rsidR="000A5329" w:rsidRPr="002029AF">
        <w:t xml:space="preserve"> </w:t>
      </w:r>
      <w:r w:rsidRPr="002029AF">
        <w:t>people</w:t>
      </w:r>
      <w:r w:rsidR="000A5329" w:rsidRPr="002029AF">
        <w:t xml:space="preserve"> </w:t>
      </w:r>
      <w:r w:rsidRPr="002029AF">
        <w:t>aged</w:t>
      </w:r>
      <w:r w:rsidR="000A5329" w:rsidRPr="002029AF">
        <w:t xml:space="preserve"> </w:t>
      </w:r>
      <w:r w:rsidRPr="002029AF">
        <w:t>15</w:t>
      </w:r>
      <w:r w:rsidR="000A5329" w:rsidRPr="002029AF">
        <w:t xml:space="preserve"> </w:t>
      </w:r>
      <w:r w:rsidRPr="002029AF">
        <w:t>to</w:t>
      </w:r>
      <w:r w:rsidR="000A5329" w:rsidRPr="002029AF">
        <w:t xml:space="preserve"> </w:t>
      </w:r>
      <w:r w:rsidRPr="002029AF">
        <w:t>24</w:t>
      </w:r>
      <w:r w:rsidR="00233C48" w:rsidRPr="002029AF">
        <w:t> </w:t>
      </w:r>
      <w:r w:rsidRPr="002029AF">
        <w:t>years</w:t>
      </w:r>
      <w:r w:rsidR="000A5329" w:rsidRPr="002029AF">
        <w:t xml:space="preserve"> </w:t>
      </w:r>
      <w:r w:rsidRPr="002029AF">
        <w:t>to</w:t>
      </w:r>
      <w:r w:rsidR="000A5329" w:rsidRPr="002029AF">
        <w:t xml:space="preserve"> </w:t>
      </w:r>
      <w:r w:rsidRPr="002029AF">
        <w:t>enter</w:t>
      </w:r>
      <w:r w:rsidR="000A5329" w:rsidRPr="002029AF">
        <w:t xml:space="preserve"> </w:t>
      </w:r>
      <w:r w:rsidRPr="002029AF">
        <w:t>the</w:t>
      </w:r>
      <w:r w:rsidR="000A5329" w:rsidRPr="002029AF">
        <w:t xml:space="preserve"> </w:t>
      </w:r>
      <w:r w:rsidRPr="002029AF">
        <w:t>workforce</w:t>
      </w:r>
      <w:r w:rsidR="000A5329" w:rsidRPr="002029AF">
        <w:t xml:space="preserve"> </w:t>
      </w:r>
      <w:r w:rsidRPr="002029AF">
        <w:t>and</w:t>
      </w:r>
      <w:r w:rsidR="000A5329" w:rsidRPr="002029AF">
        <w:t xml:space="preserve"> </w:t>
      </w:r>
      <w:r w:rsidRPr="002029AF">
        <w:t>build</w:t>
      </w:r>
      <w:r w:rsidR="000A5329" w:rsidRPr="002029AF">
        <w:t xml:space="preserve"> </w:t>
      </w:r>
      <w:r w:rsidRPr="002029AF">
        <w:t>sustainable</w:t>
      </w:r>
      <w:r w:rsidR="000A5329" w:rsidRPr="002029AF">
        <w:t xml:space="preserve"> </w:t>
      </w:r>
      <w:r w:rsidRPr="002029AF">
        <w:t>careers</w:t>
      </w:r>
      <w:r w:rsidR="000A5329" w:rsidRPr="002029AF">
        <w:t xml:space="preserve"> </w:t>
      </w:r>
      <w:r w:rsidRPr="002029AF">
        <w:t>through</w:t>
      </w:r>
      <w:r w:rsidR="000A5329" w:rsidRPr="002029AF">
        <w:t xml:space="preserve"> </w:t>
      </w:r>
      <w:r w:rsidRPr="002029AF">
        <w:t>traineeships</w:t>
      </w:r>
      <w:r w:rsidR="000A5329" w:rsidRPr="002029AF">
        <w:t xml:space="preserve"> </w:t>
      </w:r>
      <w:r w:rsidRPr="002029AF">
        <w:t>while</w:t>
      </w:r>
      <w:r w:rsidR="000A5329" w:rsidRPr="002029AF">
        <w:t xml:space="preserve"> </w:t>
      </w:r>
      <w:r w:rsidRPr="002029AF">
        <w:t>attaining</w:t>
      </w:r>
      <w:r w:rsidR="000A5329" w:rsidRPr="002029AF">
        <w:t xml:space="preserve"> </w:t>
      </w:r>
      <w:r w:rsidRPr="002029AF">
        <w:t>a</w:t>
      </w:r>
      <w:r w:rsidR="000A5329" w:rsidRPr="002029AF">
        <w:t xml:space="preserve"> </w:t>
      </w:r>
      <w:r w:rsidRPr="002029AF">
        <w:t>qualification.</w:t>
      </w:r>
    </w:p>
    <w:p w14:paraId="2845416D" w14:textId="426C6A5B" w:rsidR="00CF72D5" w:rsidRPr="002029AF" w:rsidRDefault="00CF72D5" w:rsidP="00FC001B">
      <w:pPr>
        <w:pStyle w:val="ARbody"/>
        <w:rPr>
          <w:szCs w:val="20"/>
        </w:rPr>
      </w:pPr>
      <w:r w:rsidRPr="002029AF">
        <w:rPr>
          <w:szCs w:val="20"/>
        </w:rPr>
        <w:t>During</w:t>
      </w:r>
      <w:r w:rsidR="000A5329" w:rsidRPr="002029AF">
        <w:rPr>
          <w:szCs w:val="20"/>
        </w:rPr>
        <w:t xml:space="preserve"> </w:t>
      </w:r>
      <w:r w:rsidRPr="002029AF">
        <w:rPr>
          <w:szCs w:val="20"/>
        </w:rPr>
        <w:t>201</w:t>
      </w:r>
      <w:r w:rsidR="00DB53E6" w:rsidRPr="002029AF">
        <w:rPr>
          <w:szCs w:val="20"/>
        </w:rPr>
        <w:t>9–</w:t>
      </w:r>
      <w:r w:rsidRPr="002029AF">
        <w:rPr>
          <w:szCs w:val="20"/>
        </w:rPr>
        <w:t>2020</w:t>
      </w:r>
      <w:r w:rsidR="000A5329" w:rsidRPr="002029AF">
        <w:rPr>
          <w:szCs w:val="20"/>
        </w:rPr>
        <w:t xml:space="preserve"> </w:t>
      </w:r>
      <w:r w:rsidRPr="002029AF">
        <w:rPr>
          <w:szCs w:val="20"/>
        </w:rPr>
        <w:t>the</w:t>
      </w:r>
      <w:r w:rsidR="000A5329" w:rsidRPr="002029AF">
        <w:rPr>
          <w:szCs w:val="20"/>
        </w:rPr>
        <w:t xml:space="preserve"> </w:t>
      </w:r>
      <w:r w:rsidRPr="002029AF">
        <w:rPr>
          <w:szCs w:val="20"/>
        </w:rPr>
        <w:t>department</w:t>
      </w:r>
      <w:r w:rsidR="000A5329" w:rsidRPr="002029AF">
        <w:rPr>
          <w:szCs w:val="20"/>
        </w:rPr>
        <w:t xml:space="preserve"> </w:t>
      </w:r>
      <w:r w:rsidRPr="002029AF">
        <w:rPr>
          <w:szCs w:val="20"/>
        </w:rPr>
        <w:t>engaged</w:t>
      </w:r>
      <w:r w:rsidR="000A5329" w:rsidRPr="002029AF">
        <w:rPr>
          <w:szCs w:val="20"/>
        </w:rPr>
        <w:t xml:space="preserve"> </w:t>
      </w:r>
      <w:r w:rsidRPr="002029AF">
        <w:rPr>
          <w:szCs w:val="20"/>
        </w:rPr>
        <w:t>53</w:t>
      </w:r>
      <w:r w:rsidR="00233C48" w:rsidRPr="002029AF">
        <w:rPr>
          <w:szCs w:val="20"/>
        </w:rPr>
        <w:t> </w:t>
      </w:r>
      <w:r w:rsidRPr="002029AF">
        <w:rPr>
          <w:szCs w:val="20"/>
        </w:rPr>
        <w:t>YES</w:t>
      </w:r>
      <w:r w:rsidR="000A5329" w:rsidRPr="002029AF">
        <w:rPr>
          <w:szCs w:val="20"/>
        </w:rPr>
        <w:t xml:space="preserve"> </w:t>
      </w:r>
      <w:r w:rsidRPr="002029AF">
        <w:rPr>
          <w:szCs w:val="20"/>
        </w:rPr>
        <w:t>trainees</w:t>
      </w:r>
      <w:r w:rsidR="000A5329" w:rsidRPr="002029AF">
        <w:rPr>
          <w:szCs w:val="20"/>
        </w:rPr>
        <w:t xml:space="preserve"> </w:t>
      </w:r>
      <w:r w:rsidRPr="002029AF">
        <w:rPr>
          <w:szCs w:val="20"/>
        </w:rPr>
        <w:t>including</w:t>
      </w:r>
      <w:r w:rsidR="000A5329" w:rsidRPr="002029AF">
        <w:rPr>
          <w:szCs w:val="20"/>
        </w:rPr>
        <w:t xml:space="preserve"> </w:t>
      </w:r>
      <w:r w:rsidRPr="002029AF">
        <w:rPr>
          <w:szCs w:val="20"/>
        </w:rPr>
        <w:t>30</w:t>
      </w:r>
      <w:r w:rsidR="000A5329" w:rsidRPr="002029AF">
        <w:rPr>
          <w:szCs w:val="20"/>
        </w:rPr>
        <w:t xml:space="preserve"> </w:t>
      </w:r>
      <w:r w:rsidR="006B019F" w:rsidRPr="002029AF">
        <w:rPr>
          <w:szCs w:val="20"/>
        </w:rPr>
        <w:t>with</w:t>
      </w:r>
      <w:r w:rsidR="000A5329" w:rsidRPr="002029AF">
        <w:rPr>
          <w:szCs w:val="20"/>
        </w:rPr>
        <w:t xml:space="preserve"> </w:t>
      </w:r>
      <w:r w:rsidRPr="002029AF">
        <w:rPr>
          <w:szCs w:val="20"/>
        </w:rPr>
        <w:t>placements</w:t>
      </w:r>
      <w:r w:rsidR="000A5329" w:rsidRPr="002029AF">
        <w:rPr>
          <w:szCs w:val="20"/>
        </w:rPr>
        <w:t xml:space="preserve"> </w:t>
      </w:r>
      <w:r w:rsidRPr="002029AF">
        <w:rPr>
          <w:szCs w:val="20"/>
        </w:rPr>
        <w:t>in</w:t>
      </w:r>
      <w:r w:rsidR="000A5329" w:rsidRPr="002029AF">
        <w:rPr>
          <w:szCs w:val="20"/>
        </w:rPr>
        <w:t xml:space="preserve"> </w:t>
      </w:r>
      <w:r w:rsidRPr="002029AF">
        <w:rPr>
          <w:szCs w:val="20"/>
        </w:rPr>
        <w:t>public</w:t>
      </w:r>
      <w:r w:rsidR="000A5329" w:rsidRPr="002029AF">
        <w:rPr>
          <w:szCs w:val="20"/>
        </w:rPr>
        <w:t xml:space="preserve"> </w:t>
      </w:r>
      <w:r w:rsidRPr="002029AF">
        <w:rPr>
          <w:szCs w:val="20"/>
        </w:rPr>
        <w:t>hospital</w:t>
      </w:r>
      <w:r w:rsidR="000A5329" w:rsidRPr="002029AF">
        <w:rPr>
          <w:szCs w:val="20"/>
        </w:rPr>
        <w:t xml:space="preserve"> </w:t>
      </w:r>
      <w:r w:rsidRPr="002029AF">
        <w:rPr>
          <w:szCs w:val="20"/>
        </w:rPr>
        <w:t>and</w:t>
      </w:r>
      <w:r w:rsidR="000A5329" w:rsidRPr="002029AF">
        <w:rPr>
          <w:szCs w:val="20"/>
        </w:rPr>
        <w:t xml:space="preserve"> </w:t>
      </w:r>
      <w:r w:rsidRPr="002029AF">
        <w:rPr>
          <w:szCs w:val="20"/>
        </w:rPr>
        <w:t>18</w:t>
      </w:r>
      <w:r w:rsidR="000A5329" w:rsidRPr="002029AF">
        <w:rPr>
          <w:szCs w:val="20"/>
        </w:rPr>
        <w:t xml:space="preserve"> </w:t>
      </w:r>
      <w:r w:rsidRPr="002029AF">
        <w:rPr>
          <w:szCs w:val="20"/>
        </w:rPr>
        <w:t>Aboriginal</w:t>
      </w:r>
      <w:r w:rsidR="000A5329" w:rsidRPr="002029AF">
        <w:rPr>
          <w:szCs w:val="20"/>
        </w:rPr>
        <w:t xml:space="preserve"> </w:t>
      </w:r>
      <w:r w:rsidRPr="002029AF">
        <w:rPr>
          <w:szCs w:val="20"/>
        </w:rPr>
        <w:t>YES</w:t>
      </w:r>
      <w:r w:rsidR="000A5329" w:rsidRPr="002029AF">
        <w:rPr>
          <w:szCs w:val="20"/>
        </w:rPr>
        <w:t xml:space="preserve"> </w:t>
      </w:r>
      <w:r w:rsidRPr="002029AF">
        <w:rPr>
          <w:szCs w:val="20"/>
        </w:rPr>
        <w:t>trainees</w:t>
      </w:r>
      <w:r w:rsidR="006B019F" w:rsidRPr="002029AF">
        <w:rPr>
          <w:szCs w:val="20"/>
        </w:rPr>
        <w:t>.</w:t>
      </w:r>
    </w:p>
    <w:p w14:paraId="7D73FD71" w14:textId="28B92365" w:rsidR="000A5329" w:rsidRPr="002029AF" w:rsidRDefault="00CF72D5" w:rsidP="00897193">
      <w:pPr>
        <w:pStyle w:val="Heading3"/>
      </w:pPr>
      <w:r w:rsidRPr="002029AF">
        <w:t>Graduate</w:t>
      </w:r>
      <w:r w:rsidR="000A5329" w:rsidRPr="002029AF">
        <w:t xml:space="preserve"> </w:t>
      </w:r>
      <w:r w:rsidRPr="002029AF">
        <w:t>recruitment</w:t>
      </w:r>
    </w:p>
    <w:p w14:paraId="47E40E78" w14:textId="54E838C4" w:rsidR="000A5329" w:rsidRPr="002029AF" w:rsidRDefault="00CF72D5" w:rsidP="00897193">
      <w:pPr>
        <w:pStyle w:val="ARbody"/>
      </w:pPr>
      <w:r w:rsidRPr="002029AF">
        <w:t>In</w:t>
      </w:r>
      <w:r w:rsidR="000A5329" w:rsidRPr="002029AF">
        <w:t xml:space="preserve"> </w:t>
      </w:r>
      <w:r w:rsidRPr="002029AF">
        <w:t>2019–20</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engaged</w:t>
      </w:r>
      <w:r w:rsidR="000A5329" w:rsidRPr="002029AF">
        <w:t xml:space="preserve"> </w:t>
      </w:r>
      <w:r w:rsidRPr="002029AF">
        <w:t>a</w:t>
      </w:r>
      <w:r w:rsidR="000A5329" w:rsidRPr="002029AF">
        <w:t xml:space="preserve"> </w:t>
      </w:r>
      <w:r w:rsidRPr="002029AF">
        <w:t>total</w:t>
      </w:r>
      <w:r w:rsidR="000A5329" w:rsidRPr="002029AF">
        <w:t xml:space="preserve"> </w:t>
      </w:r>
      <w:r w:rsidRPr="002029AF">
        <w:t>of </w:t>
      </w:r>
      <w:r w:rsidR="007A7D4F" w:rsidRPr="002029AF">
        <w:t>six</w:t>
      </w:r>
      <w:r w:rsidRPr="002029AF">
        <w:t> graduates</w:t>
      </w:r>
      <w:r w:rsidR="000A5329" w:rsidRPr="002029AF">
        <w:t xml:space="preserve"> </w:t>
      </w:r>
      <w:r w:rsidRPr="002029AF">
        <w:t>from</w:t>
      </w:r>
      <w:r w:rsidR="000A5329" w:rsidRPr="002029AF">
        <w:t xml:space="preserve"> </w:t>
      </w:r>
      <w:r w:rsidRPr="002029AF">
        <w:t>diverse</w:t>
      </w:r>
      <w:r w:rsidR="000A5329" w:rsidRPr="002029AF">
        <w:t xml:space="preserve"> </w:t>
      </w:r>
      <w:r w:rsidRPr="002029AF">
        <w:t>academic</w:t>
      </w:r>
      <w:r w:rsidR="000A5329" w:rsidRPr="002029AF">
        <w:t xml:space="preserve"> </w:t>
      </w:r>
      <w:r w:rsidRPr="002029AF">
        <w:t>backgrounds</w:t>
      </w:r>
      <w:r w:rsidR="000A5329" w:rsidRPr="002029AF">
        <w:t xml:space="preserve"> </w:t>
      </w:r>
      <w:r w:rsidRPr="002029AF">
        <w:t>through</w:t>
      </w:r>
      <w:r w:rsidR="000A5329" w:rsidRPr="002029AF">
        <w:t xml:space="preserve"> </w:t>
      </w:r>
      <w:r w:rsidRPr="002029AF">
        <w:t>the</w:t>
      </w:r>
      <w:r w:rsidR="000A5329" w:rsidRPr="002029AF">
        <w:t xml:space="preserve"> </w:t>
      </w:r>
      <w:r w:rsidRPr="002029AF">
        <w:t>Victorian</w:t>
      </w:r>
      <w:r w:rsidR="000A5329" w:rsidRPr="002029AF">
        <w:t xml:space="preserve"> </w:t>
      </w:r>
      <w:r w:rsidRPr="002029AF">
        <w:t>Public</w:t>
      </w:r>
      <w:r w:rsidR="000A5329" w:rsidRPr="002029AF">
        <w:t xml:space="preserve"> </w:t>
      </w:r>
      <w:r w:rsidRPr="002029AF">
        <w:t>Service</w:t>
      </w:r>
      <w:r w:rsidR="00B95D52">
        <w:t> </w:t>
      </w:r>
      <w:r w:rsidRPr="002029AF">
        <w:t>Graduate</w:t>
      </w:r>
      <w:r w:rsidR="000A5329" w:rsidRPr="002029AF">
        <w:t xml:space="preserve"> </w:t>
      </w:r>
      <w:r w:rsidRPr="002029AF">
        <w:t>Recruitment</w:t>
      </w:r>
      <w:r w:rsidR="000A5329" w:rsidRPr="002029AF">
        <w:t xml:space="preserve"> </w:t>
      </w:r>
      <w:r w:rsidRPr="002029AF">
        <w:t>and</w:t>
      </w:r>
      <w:r w:rsidR="000A5329" w:rsidRPr="002029AF">
        <w:t xml:space="preserve"> </w:t>
      </w:r>
      <w:r w:rsidRPr="002029AF">
        <w:t>Development</w:t>
      </w:r>
      <w:r w:rsidR="000A5329" w:rsidRPr="002029AF">
        <w:t xml:space="preserve"> </w:t>
      </w:r>
      <w:r w:rsidRPr="002029AF">
        <w:t>Scheme</w:t>
      </w:r>
      <w:r w:rsidR="000A5329" w:rsidRPr="002029AF">
        <w:t xml:space="preserve"> </w:t>
      </w:r>
      <w:r w:rsidRPr="002029AF">
        <w:t>(GRADS).</w:t>
      </w:r>
    </w:p>
    <w:p w14:paraId="127A07DA" w14:textId="6BD6A904" w:rsidR="00CF72D5" w:rsidRPr="002029AF" w:rsidRDefault="00CF72D5" w:rsidP="00897193">
      <w:pPr>
        <w:pStyle w:val="ARbody"/>
      </w:pPr>
      <w:r w:rsidRPr="002029AF">
        <w:t>Two</w:t>
      </w:r>
      <w:r w:rsidR="000A5329" w:rsidRPr="002029AF">
        <w:t xml:space="preserve"> </w:t>
      </w:r>
      <w:r w:rsidRPr="002029AF">
        <w:t>Aboriginal</w:t>
      </w:r>
      <w:r w:rsidR="000A5329" w:rsidRPr="002029AF">
        <w:t xml:space="preserve"> </w:t>
      </w:r>
      <w:r w:rsidRPr="002029AF">
        <w:t>graduates</w:t>
      </w:r>
      <w:r w:rsidR="000A5329" w:rsidRPr="002029AF">
        <w:t xml:space="preserve"> </w:t>
      </w:r>
      <w:r w:rsidRPr="002029AF">
        <w:t>were</w:t>
      </w:r>
      <w:r w:rsidR="000A5329" w:rsidRPr="002029AF">
        <w:t xml:space="preserve"> </w:t>
      </w:r>
      <w:r w:rsidRPr="002029AF">
        <w:t>recruited</w:t>
      </w:r>
      <w:r w:rsidR="000A5329" w:rsidRPr="002029AF">
        <w:t xml:space="preserve"> </w:t>
      </w:r>
      <w:r w:rsidRPr="002029AF">
        <w:t>in</w:t>
      </w:r>
      <w:r w:rsidR="000A5329" w:rsidRPr="002029AF">
        <w:t xml:space="preserve"> </w:t>
      </w:r>
      <w:r w:rsidR="00B95D52">
        <w:br/>
      </w:r>
      <w:r w:rsidRPr="002029AF">
        <w:t>2019–20</w:t>
      </w:r>
      <w:r w:rsidR="000A5329" w:rsidRPr="002029AF">
        <w:t xml:space="preserve"> </w:t>
      </w:r>
      <w:r w:rsidRPr="002029AF">
        <w:t>through</w:t>
      </w:r>
      <w:r w:rsidR="000A5329" w:rsidRPr="002029AF">
        <w:t xml:space="preserve"> </w:t>
      </w:r>
      <w:r w:rsidR="007A7D4F" w:rsidRPr="002029AF">
        <w:t>the</w:t>
      </w:r>
      <w:r w:rsidR="000A5329" w:rsidRPr="002029AF">
        <w:t xml:space="preserve"> </w:t>
      </w:r>
      <w:r w:rsidRPr="002029AF">
        <w:t>department’s</w:t>
      </w:r>
      <w:r w:rsidR="000A5329" w:rsidRPr="002029AF">
        <w:t xml:space="preserve"> </w:t>
      </w:r>
      <w:r w:rsidRPr="002029AF">
        <w:t>Aboriginal</w:t>
      </w:r>
      <w:r w:rsidR="000A5329" w:rsidRPr="002029AF">
        <w:t xml:space="preserve"> </w:t>
      </w:r>
      <w:r w:rsidRPr="002029AF">
        <w:t>Graduate</w:t>
      </w:r>
      <w:r w:rsidR="000A5329" w:rsidRPr="002029AF">
        <w:t xml:space="preserve"> </w:t>
      </w:r>
      <w:r w:rsidRPr="002029AF">
        <w:t>program.</w:t>
      </w:r>
    </w:p>
    <w:p w14:paraId="4E6A4F6E" w14:textId="53562F8A" w:rsidR="000A5329" w:rsidRPr="002029AF" w:rsidRDefault="00CF72D5" w:rsidP="00897193">
      <w:pPr>
        <w:pStyle w:val="ARbody"/>
      </w:pPr>
      <w:r w:rsidRPr="002029AF">
        <w:t>Graduates</w:t>
      </w:r>
      <w:r w:rsidR="000A5329" w:rsidRPr="002029AF">
        <w:t xml:space="preserve"> </w:t>
      </w:r>
      <w:r w:rsidRPr="002029AF">
        <w:t>participating</w:t>
      </w:r>
      <w:r w:rsidR="000A5329" w:rsidRPr="002029AF">
        <w:t xml:space="preserve"> </w:t>
      </w:r>
      <w:r w:rsidRPr="002029AF">
        <w:t>in</w:t>
      </w:r>
      <w:r w:rsidR="000A5329" w:rsidRPr="002029AF">
        <w:t xml:space="preserve"> </w:t>
      </w:r>
      <w:r w:rsidRPr="002029AF">
        <w:t>the</w:t>
      </w:r>
      <w:r w:rsidR="000A5329" w:rsidRPr="002029AF">
        <w:t xml:space="preserve"> </w:t>
      </w:r>
      <w:r w:rsidRPr="002029AF">
        <w:t>12-month</w:t>
      </w:r>
      <w:r w:rsidR="000A5329" w:rsidRPr="002029AF">
        <w:t xml:space="preserve"> </w:t>
      </w:r>
      <w:r w:rsidRPr="002029AF">
        <w:t>GRADS scheme</w:t>
      </w:r>
      <w:r w:rsidR="000A5329" w:rsidRPr="002029AF">
        <w:t xml:space="preserve"> </w:t>
      </w:r>
      <w:r w:rsidRPr="002029AF">
        <w:t>completed</w:t>
      </w:r>
      <w:r w:rsidR="000A5329" w:rsidRPr="002029AF">
        <w:t xml:space="preserve"> </w:t>
      </w:r>
      <w:r w:rsidRPr="002029AF">
        <w:t>three</w:t>
      </w:r>
      <w:r w:rsidR="000A5329" w:rsidRPr="002029AF">
        <w:t xml:space="preserve"> </w:t>
      </w:r>
      <w:r w:rsidRPr="002029AF">
        <w:t>placements</w:t>
      </w:r>
      <w:r w:rsidR="000A5329" w:rsidRPr="002029AF">
        <w:t xml:space="preserve"> </w:t>
      </w:r>
      <w:r w:rsidRPr="002029AF">
        <w:t>in</w:t>
      </w:r>
      <w:r w:rsidR="00233C48" w:rsidRPr="002029AF">
        <w:t> </w:t>
      </w:r>
      <w:r w:rsidRPr="002029AF">
        <w:t>the</w:t>
      </w:r>
      <w:r w:rsidR="00B95D52">
        <w:t> </w:t>
      </w:r>
      <w:r w:rsidRPr="002029AF">
        <w:t>V</w:t>
      </w:r>
      <w:r w:rsidR="007A7D4F" w:rsidRPr="002029AF">
        <w:t>ictorian</w:t>
      </w:r>
      <w:r w:rsidR="000A5329" w:rsidRPr="002029AF">
        <w:t xml:space="preserve"> </w:t>
      </w:r>
      <w:r w:rsidRPr="002029AF">
        <w:t>P</w:t>
      </w:r>
      <w:r w:rsidR="007A7D4F" w:rsidRPr="002029AF">
        <w:t>ublic</w:t>
      </w:r>
      <w:r w:rsidR="000A5329" w:rsidRPr="002029AF">
        <w:t xml:space="preserve"> </w:t>
      </w:r>
      <w:r w:rsidRPr="002029AF">
        <w:t>S</w:t>
      </w:r>
      <w:r w:rsidR="007A7D4F" w:rsidRPr="002029AF">
        <w:t>ervice</w:t>
      </w:r>
      <w:r w:rsidR="000A5329" w:rsidRPr="002029AF">
        <w:t xml:space="preserve"> </w:t>
      </w:r>
      <w:r w:rsidRPr="002029AF">
        <w:t>to</w:t>
      </w:r>
      <w:r w:rsidR="000A5329" w:rsidRPr="002029AF">
        <w:t xml:space="preserve"> </w:t>
      </w:r>
      <w:r w:rsidRPr="002029AF">
        <w:t>develop</w:t>
      </w:r>
      <w:r w:rsidR="000A5329" w:rsidRPr="002029AF">
        <w:t xml:space="preserve"> </w:t>
      </w:r>
      <w:r w:rsidRPr="002029AF">
        <w:t>core</w:t>
      </w:r>
      <w:r w:rsidR="000A5329" w:rsidRPr="002029AF">
        <w:t xml:space="preserve"> </w:t>
      </w:r>
      <w:r w:rsidRPr="002029AF">
        <w:t>skills</w:t>
      </w:r>
      <w:r w:rsidR="00B95D52">
        <w:t> </w:t>
      </w:r>
      <w:r w:rsidRPr="002029AF">
        <w:t>and</w:t>
      </w:r>
      <w:r w:rsidR="000A5329" w:rsidRPr="002029AF">
        <w:t xml:space="preserve"> </w:t>
      </w:r>
      <w:r w:rsidRPr="002029AF">
        <w:t>gain</w:t>
      </w:r>
      <w:r w:rsidR="000A5329" w:rsidRPr="002029AF">
        <w:t xml:space="preserve"> </w:t>
      </w:r>
      <w:r w:rsidRPr="002029AF">
        <w:t>a</w:t>
      </w:r>
      <w:r w:rsidR="000A5329" w:rsidRPr="002029AF">
        <w:t xml:space="preserve"> </w:t>
      </w:r>
      <w:r w:rsidRPr="002029AF">
        <w:t>broad</w:t>
      </w:r>
      <w:r w:rsidR="000A5329" w:rsidRPr="002029AF">
        <w:t xml:space="preserve"> </w:t>
      </w:r>
      <w:r w:rsidRPr="002029AF">
        <w:t>experience</w:t>
      </w:r>
      <w:r w:rsidR="000A5329" w:rsidRPr="002029AF">
        <w:t xml:space="preserve"> </w:t>
      </w:r>
      <w:r w:rsidRPr="002029AF">
        <w:t>of</w:t>
      </w:r>
      <w:r w:rsidR="000A5329" w:rsidRPr="002029AF">
        <w:t xml:space="preserve"> </w:t>
      </w:r>
      <w:r w:rsidRPr="002029AF">
        <w:t>working</w:t>
      </w:r>
      <w:r w:rsidR="000A5329" w:rsidRPr="002029AF">
        <w:t xml:space="preserve"> </w:t>
      </w:r>
      <w:r w:rsidRPr="002029AF">
        <w:t>in</w:t>
      </w:r>
      <w:r w:rsidR="000A5329" w:rsidRPr="002029AF">
        <w:t xml:space="preserve"> </w:t>
      </w:r>
      <w:r w:rsidRPr="002029AF">
        <w:t>the</w:t>
      </w:r>
      <w:r w:rsidR="000A5329" w:rsidRPr="002029AF">
        <w:t xml:space="preserve"> </w:t>
      </w:r>
      <w:r w:rsidRPr="002029AF">
        <w:t>government</w:t>
      </w:r>
      <w:r w:rsidR="000A5329" w:rsidRPr="002029AF">
        <w:t xml:space="preserve"> </w:t>
      </w:r>
      <w:r w:rsidRPr="002029AF">
        <w:t>sector.</w:t>
      </w:r>
      <w:r w:rsidR="000A5329" w:rsidRPr="002029AF">
        <w:t xml:space="preserve"> </w:t>
      </w:r>
      <w:r w:rsidRPr="002029AF">
        <w:t>They</w:t>
      </w:r>
      <w:r w:rsidR="000A5329" w:rsidRPr="002029AF">
        <w:t xml:space="preserve"> </w:t>
      </w:r>
      <w:r w:rsidRPr="002029AF">
        <w:t>commence</w:t>
      </w:r>
      <w:r w:rsidR="007A7D4F" w:rsidRPr="002029AF">
        <w:t>d</w:t>
      </w:r>
      <w:r w:rsidR="000A5329" w:rsidRPr="002029AF">
        <w:t xml:space="preserve"> </w:t>
      </w:r>
      <w:r w:rsidRPr="002029AF">
        <w:t>their</w:t>
      </w:r>
      <w:r w:rsidR="000A5329" w:rsidRPr="002029AF">
        <w:t xml:space="preserve"> </w:t>
      </w:r>
      <w:r w:rsidRPr="002029AF">
        <w:t>ongoing</w:t>
      </w:r>
      <w:r w:rsidR="000A5329" w:rsidRPr="002029AF">
        <w:t xml:space="preserve"> </w:t>
      </w:r>
      <w:r w:rsidRPr="002029AF">
        <w:t>roles</w:t>
      </w:r>
      <w:r w:rsidR="000A5329" w:rsidRPr="002029AF">
        <w:t xml:space="preserve"> </w:t>
      </w:r>
      <w:r w:rsidRPr="002029AF">
        <w:t>within</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at</w:t>
      </w:r>
      <w:r w:rsidR="000A5329" w:rsidRPr="002029AF">
        <w:t xml:space="preserve"> </w:t>
      </w:r>
      <w:r w:rsidRPr="002029AF">
        <w:t>the</w:t>
      </w:r>
      <w:r w:rsidR="000A5329" w:rsidRPr="002029AF">
        <w:t xml:space="preserve"> </w:t>
      </w:r>
      <w:r w:rsidRPr="002029AF">
        <w:t>conclusion</w:t>
      </w:r>
      <w:r w:rsidR="000A5329" w:rsidRPr="002029AF">
        <w:t xml:space="preserve"> </w:t>
      </w:r>
      <w:r w:rsidRPr="002029AF">
        <w:t>of</w:t>
      </w:r>
      <w:r w:rsidR="000A5329" w:rsidRPr="002029AF">
        <w:t xml:space="preserve"> </w:t>
      </w:r>
      <w:r w:rsidRPr="002029AF">
        <w:t>the</w:t>
      </w:r>
      <w:r w:rsidR="000A5329" w:rsidRPr="002029AF">
        <w:t xml:space="preserve"> </w:t>
      </w:r>
      <w:r w:rsidRPr="002029AF">
        <w:t>program.</w:t>
      </w:r>
    </w:p>
    <w:p w14:paraId="50CEB487" w14:textId="5ECAAFB3" w:rsidR="000A5329" w:rsidRPr="002029AF" w:rsidRDefault="001A6190" w:rsidP="00897193">
      <w:pPr>
        <w:pStyle w:val="Heading3"/>
      </w:pPr>
      <w:r w:rsidRPr="002029AF">
        <w:br w:type="column"/>
      </w:r>
      <w:r w:rsidR="00CF72D5" w:rsidRPr="002029AF">
        <w:lastRenderedPageBreak/>
        <w:t>Student</w:t>
      </w:r>
      <w:r w:rsidR="000A5329" w:rsidRPr="002029AF">
        <w:t xml:space="preserve"> </w:t>
      </w:r>
      <w:r w:rsidR="00CF72D5" w:rsidRPr="002029AF">
        <w:t>placement</w:t>
      </w:r>
      <w:r w:rsidR="000A5329" w:rsidRPr="002029AF">
        <w:t xml:space="preserve"> </w:t>
      </w:r>
      <w:r w:rsidR="00CF72D5" w:rsidRPr="002029AF">
        <w:t>program</w:t>
      </w:r>
    </w:p>
    <w:p w14:paraId="49709F44" w14:textId="1F9C82E9" w:rsidR="00CF72D5" w:rsidRPr="002029AF" w:rsidRDefault="00CF72D5" w:rsidP="00897193">
      <w:pPr>
        <w:pStyle w:val="ARbody"/>
      </w:pPr>
      <w:r w:rsidRPr="002029AF">
        <w:t>The</w:t>
      </w:r>
      <w:r w:rsidR="000A5329" w:rsidRPr="002029AF">
        <w:t xml:space="preserve"> </w:t>
      </w:r>
      <w:r w:rsidRPr="002029AF">
        <w:t>department</w:t>
      </w:r>
      <w:r w:rsidR="000A5329" w:rsidRPr="002029AF">
        <w:t xml:space="preserve"> </w:t>
      </w:r>
      <w:r w:rsidRPr="002029AF">
        <w:t>offers</w:t>
      </w:r>
      <w:r w:rsidR="000A5329" w:rsidRPr="002029AF">
        <w:t xml:space="preserve"> </w:t>
      </w:r>
      <w:r w:rsidRPr="002029AF">
        <w:t>students</w:t>
      </w:r>
      <w:r w:rsidR="000A5329" w:rsidRPr="002029AF">
        <w:t xml:space="preserve"> </w:t>
      </w:r>
      <w:r w:rsidRPr="002029AF">
        <w:t>undertaking</w:t>
      </w:r>
      <w:r w:rsidR="000A5329" w:rsidRPr="002029AF">
        <w:t xml:space="preserve"> </w:t>
      </w:r>
      <w:r w:rsidRPr="002029AF">
        <w:t>a</w:t>
      </w:r>
      <w:r w:rsidR="000A5329" w:rsidRPr="002029AF">
        <w:t xml:space="preserve"> </w:t>
      </w:r>
      <w:r w:rsidRPr="002029AF">
        <w:t>tertiary</w:t>
      </w:r>
      <w:r w:rsidR="000A5329" w:rsidRPr="002029AF">
        <w:t xml:space="preserve"> </w:t>
      </w:r>
      <w:r w:rsidRPr="002029AF">
        <w:t>qualification</w:t>
      </w:r>
      <w:r w:rsidR="000A5329" w:rsidRPr="002029AF">
        <w:t xml:space="preserve"> </w:t>
      </w:r>
      <w:r w:rsidRPr="002029AF">
        <w:t>the</w:t>
      </w:r>
      <w:r w:rsidR="000A5329" w:rsidRPr="002029AF">
        <w:t xml:space="preserve"> </w:t>
      </w:r>
      <w:r w:rsidRPr="002029AF">
        <w:t>opportunity</w:t>
      </w:r>
      <w:r w:rsidR="000A5329" w:rsidRPr="002029AF">
        <w:t xml:space="preserve"> </w:t>
      </w:r>
      <w:r w:rsidRPr="002029AF">
        <w:t>to</w:t>
      </w:r>
      <w:r w:rsidR="000A5329" w:rsidRPr="002029AF">
        <w:t xml:space="preserve"> </w:t>
      </w:r>
      <w:r w:rsidRPr="002029AF">
        <w:t>complete</w:t>
      </w:r>
      <w:r w:rsidR="000A5329" w:rsidRPr="002029AF">
        <w:t xml:space="preserve"> </w:t>
      </w:r>
      <w:r w:rsidRPr="002029AF">
        <w:t>their</w:t>
      </w:r>
      <w:r w:rsidR="000A5329" w:rsidRPr="002029AF">
        <w:t xml:space="preserve"> </w:t>
      </w:r>
      <w:r w:rsidRPr="002029AF">
        <w:t>fieldwork</w:t>
      </w:r>
      <w:r w:rsidR="000A5329" w:rsidRPr="002029AF">
        <w:t xml:space="preserve"> </w:t>
      </w:r>
      <w:r w:rsidRPr="002029AF">
        <w:t>placement</w:t>
      </w:r>
      <w:r w:rsidR="000A5329" w:rsidRPr="002029AF">
        <w:t xml:space="preserve"> </w:t>
      </w:r>
      <w:r w:rsidRPr="002029AF">
        <w:t>in</w:t>
      </w:r>
      <w:r w:rsidR="000A5329" w:rsidRPr="002029AF">
        <w:t xml:space="preserve"> </w:t>
      </w:r>
      <w:r w:rsidRPr="002029AF">
        <w:t>health</w:t>
      </w:r>
      <w:r w:rsidR="000A5329" w:rsidRPr="002029AF">
        <w:t xml:space="preserve"> </w:t>
      </w:r>
      <w:r w:rsidRPr="002029AF">
        <w:t>and</w:t>
      </w:r>
      <w:r w:rsidR="000A5329" w:rsidRPr="002029AF">
        <w:t xml:space="preserve"> </w:t>
      </w:r>
      <w:r w:rsidRPr="002029AF">
        <w:t>human</w:t>
      </w:r>
      <w:r w:rsidR="000A5329" w:rsidRPr="002029AF">
        <w:t xml:space="preserve"> </w:t>
      </w:r>
      <w:r w:rsidRPr="002029AF">
        <w:t>services</w:t>
      </w:r>
      <w:r w:rsidR="000A5329" w:rsidRPr="002029AF">
        <w:t xml:space="preserve"> </w:t>
      </w:r>
      <w:r w:rsidRPr="002029AF">
        <w:t>as</w:t>
      </w:r>
      <w:r w:rsidR="000A5329" w:rsidRPr="002029AF">
        <w:t xml:space="preserve"> </w:t>
      </w:r>
      <w:r w:rsidRPr="002029AF">
        <w:t>part</w:t>
      </w:r>
      <w:r w:rsidR="000A5329" w:rsidRPr="002029AF">
        <w:t xml:space="preserve"> </w:t>
      </w:r>
      <w:r w:rsidRPr="002029AF">
        <w:t>of</w:t>
      </w:r>
      <w:r w:rsidR="000A5329" w:rsidRPr="002029AF">
        <w:t xml:space="preserve"> </w:t>
      </w:r>
      <w:r w:rsidRPr="002029AF">
        <w:t>their</w:t>
      </w:r>
      <w:r w:rsidR="000A5329" w:rsidRPr="002029AF">
        <w:t xml:space="preserve"> </w:t>
      </w:r>
      <w:r w:rsidRPr="002029AF">
        <w:t>course.</w:t>
      </w:r>
    </w:p>
    <w:p w14:paraId="009ADB8F" w14:textId="0F89027D" w:rsidR="00CF72D5" w:rsidRPr="002029AF" w:rsidRDefault="00CF72D5" w:rsidP="00897193">
      <w:pPr>
        <w:pStyle w:val="ARbody"/>
      </w:pPr>
      <w:r w:rsidRPr="002029AF">
        <w:t>In</w:t>
      </w:r>
      <w:r w:rsidR="000A5329" w:rsidRPr="002029AF">
        <w:t xml:space="preserve"> </w:t>
      </w:r>
      <w:r w:rsidRPr="002029AF">
        <w:t>201</w:t>
      </w:r>
      <w:r w:rsidR="00DB53E6" w:rsidRPr="002029AF">
        <w:t>9–</w:t>
      </w:r>
      <w:r w:rsidRPr="002029AF">
        <w:t>20,</w:t>
      </w:r>
      <w:r w:rsidR="000A5329" w:rsidRPr="002029AF">
        <w:t xml:space="preserve"> </w:t>
      </w:r>
      <w:r w:rsidRPr="002029AF">
        <w:t>240</w:t>
      </w:r>
      <w:r w:rsidR="000A5329" w:rsidRPr="002029AF">
        <w:t xml:space="preserve"> </w:t>
      </w:r>
      <w:r w:rsidRPr="002029AF">
        <w:t>tertiary</w:t>
      </w:r>
      <w:r w:rsidR="000A5329" w:rsidRPr="002029AF">
        <w:t xml:space="preserve"> </w:t>
      </w:r>
      <w:r w:rsidRPr="002029AF">
        <w:t>student</w:t>
      </w:r>
      <w:r w:rsidR="000A5329" w:rsidRPr="002029AF">
        <w:t xml:space="preserve"> </w:t>
      </w:r>
      <w:r w:rsidRPr="002029AF">
        <w:t>placements</w:t>
      </w:r>
      <w:r w:rsidR="000A5329" w:rsidRPr="002029AF">
        <w:t xml:space="preserve"> </w:t>
      </w:r>
      <w:r w:rsidRPr="002029AF">
        <w:t>were</w:t>
      </w:r>
      <w:r w:rsidR="00B95D52">
        <w:t> </w:t>
      </w:r>
      <w:r w:rsidRPr="002029AF">
        <w:t>completed</w:t>
      </w:r>
      <w:r w:rsidR="000A5329" w:rsidRPr="002029AF">
        <w:t xml:space="preserve"> </w:t>
      </w:r>
      <w:r w:rsidRPr="002029AF">
        <w:t>across</w:t>
      </w:r>
      <w:r w:rsidR="000A5329" w:rsidRPr="002029AF">
        <w:t xml:space="preserve"> </w:t>
      </w:r>
      <w:r w:rsidRPr="002029AF">
        <w:t>child</w:t>
      </w:r>
      <w:r w:rsidR="000A5329" w:rsidRPr="002029AF">
        <w:t xml:space="preserve"> </w:t>
      </w:r>
      <w:r w:rsidRPr="002029AF">
        <w:t>protection,</w:t>
      </w:r>
      <w:r w:rsidR="000A5329" w:rsidRPr="002029AF">
        <w:t xml:space="preserve"> </w:t>
      </w:r>
      <w:r w:rsidRPr="002029AF">
        <w:t>disability</w:t>
      </w:r>
      <w:r w:rsidR="000A5329" w:rsidRPr="002029AF">
        <w:t xml:space="preserve"> </w:t>
      </w:r>
      <w:r w:rsidRPr="002029AF">
        <w:t>services,</w:t>
      </w:r>
      <w:r w:rsidR="000A5329" w:rsidRPr="002029AF">
        <w:t xml:space="preserve"> </w:t>
      </w:r>
      <w:r w:rsidRPr="002029AF">
        <w:t>housing,</w:t>
      </w:r>
      <w:r w:rsidR="000A5329" w:rsidRPr="002029AF">
        <w:t xml:space="preserve"> </w:t>
      </w:r>
      <w:r w:rsidRPr="002029AF">
        <w:t>corporate</w:t>
      </w:r>
      <w:r w:rsidR="000A5329" w:rsidRPr="002029AF">
        <w:t xml:space="preserve"> </w:t>
      </w:r>
      <w:r w:rsidRPr="002029AF">
        <w:t>services,</w:t>
      </w:r>
      <w:r w:rsidR="000A5329" w:rsidRPr="002029AF">
        <w:t xml:space="preserve"> </w:t>
      </w:r>
      <w:r w:rsidRPr="002029AF">
        <w:t>health</w:t>
      </w:r>
      <w:r w:rsidR="000A5329" w:rsidRPr="002029AF">
        <w:t xml:space="preserve"> </w:t>
      </w:r>
      <w:r w:rsidRPr="002029AF">
        <w:t>and</w:t>
      </w:r>
      <w:r w:rsidR="000A5329" w:rsidRPr="002029AF">
        <w:t xml:space="preserve"> </w:t>
      </w:r>
      <w:r w:rsidRPr="002029AF">
        <w:t>secure</w:t>
      </w:r>
      <w:r w:rsidR="000A5329" w:rsidRPr="002029AF">
        <w:t xml:space="preserve"> </w:t>
      </w:r>
      <w:r w:rsidRPr="002029AF">
        <w:t>welfare</w:t>
      </w:r>
      <w:r w:rsidR="000A5329" w:rsidRPr="002029AF">
        <w:t xml:space="preserve"> </w:t>
      </w:r>
      <w:r w:rsidRPr="002029AF">
        <w:t>services.</w:t>
      </w:r>
      <w:r w:rsidR="000A5329" w:rsidRPr="002029AF">
        <w:t xml:space="preserve"> </w:t>
      </w:r>
      <w:r w:rsidRPr="002029AF">
        <w:t>Most</w:t>
      </w:r>
      <w:r w:rsidR="000A5329" w:rsidRPr="002029AF">
        <w:t xml:space="preserve"> </w:t>
      </w:r>
      <w:r w:rsidRPr="002029AF">
        <w:t>of</w:t>
      </w:r>
      <w:r w:rsidR="000A5329" w:rsidRPr="002029AF">
        <w:t xml:space="preserve"> </w:t>
      </w:r>
      <w:r w:rsidRPr="002029AF">
        <w:t>the</w:t>
      </w:r>
      <w:r w:rsidR="000A5329" w:rsidRPr="002029AF">
        <w:t xml:space="preserve"> </w:t>
      </w:r>
      <w:r w:rsidRPr="002029AF">
        <w:t>placements</w:t>
      </w:r>
      <w:r w:rsidR="000A5329" w:rsidRPr="002029AF">
        <w:t xml:space="preserve"> </w:t>
      </w:r>
      <w:r w:rsidR="009530D9" w:rsidRPr="002029AF">
        <w:t>(190)</w:t>
      </w:r>
      <w:r w:rsidR="000A5329" w:rsidRPr="002029AF">
        <w:t xml:space="preserve"> </w:t>
      </w:r>
      <w:r w:rsidRPr="002029AF">
        <w:t>were</w:t>
      </w:r>
      <w:r w:rsidR="000A5329" w:rsidRPr="002029AF">
        <w:t xml:space="preserve"> </w:t>
      </w:r>
      <w:r w:rsidRPr="002029AF">
        <w:t>completed</w:t>
      </w:r>
      <w:r w:rsidR="000A5329" w:rsidRPr="002029AF">
        <w:t xml:space="preserve"> </w:t>
      </w:r>
      <w:r w:rsidRPr="002029AF">
        <w:t>in</w:t>
      </w:r>
      <w:r w:rsidR="000A5329" w:rsidRPr="002029AF">
        <w:t xml:space="preserve"> </w:t>
      </w:r>
      <w:r w:rsidRPr="002029AF">
        <w:t>child protection</w:t>
      </w:r>
      <w:r w:rsidR="009530D9" w:rsidRPr="002029AF">
        <w:t>.</w:t>
      </w:r>
    </w:p>
    <w:p w14:paraId="3A964E0A" w14:textId="013EBB5C" w:rsidR="000A5329" w:rsidRPr="002029AF" w:rsidRDefault="00CF72D5" w:rsidP="00897193">
      <w:pPr>
        <w:pStyle w:val="Heading3"/>
      </w:pPr>
      <w:r w:rsidRPr="002029AF">
        <w:t>Child</w:t>
      </w:r>
      <w:r w:rsidR="000A5329" w:rsidRPr="002029AF">
        <w:t xml:space="preserve"> </w:t>
      </w:r>
      <w:r w:rsidRPr="002029AF">
        <w:t>Protection</w:t>
      </w:r>
      <w:r w:rsidR="000A5329" w:rsidRPr="002029AF">
        <w:t xml:space="preserve"> </w:t>
      </w:r>
      <w:r w:rsidRPr="002029AF">
        <w:t>Vacation</w:t>
      </w:r>
      <w:r w:rsidR="000A5329" w:rsidRPr="002029AF">
        <w:t xml:space="preserve"> </w:t>
      </w:r>
      <w:r w:rsidRPr="002029AF">
        <w:t>Employment</w:t>
      </w:r>
      <w:r w:rsidR="000A5329" w:rsidRPr="002029AF">
        <w:t xml:space="preserve"> </w:t>
      </w:r>
      <w:r w:rsidRPr="002029AF">
        <w:t>Program</w:t>
      </w:r>
    </w:p>
    <w:p w14:paraId="3843E791" w14:textId="5FECE7CE" w:rsidR="00CF72D5" w:rsidRPr="002029AF" w:rsidRDefault="00CF72D5" w:rsidP="00897193">
      <w:pPr>
        <w:pStyle w:val="ARbody"/>
      </w:pPr>
      <w:r w:rsidRPr="002029AF">
        <w:t>The</w:t>
      </w:r>
      <w:r w:rsidR="000A5329" w:rsidRPr="002029AF">
        <w:t xml:space="preserve"> </w:t>
      </w:r>
      <w:r w:rsidRPr="002029AF">
        <w:t>Child</w:t>
      </w:r>
      <w:r w:rsidR="000A5329" w:rsidRPr="002029AF">
        <w:t xml:space="preserve"> </w:t>
      </w:r>
      <w:r w:rsidRPr="002029AF">
        <w:t>Protection</w:t>
      </w:r>
      <w:r w:rsidR="000A5329" w:rsidRPr="002029AF">
        <w:t xml:space="preserve"> </w:t>
      </w:r>
      <w:r w:rsidRPr="002029AF">
        <w:t>Vacation</w:t>
      </w:r>
      <w:r w:rsidR="000A5329" w:rsidRPr="002029AF">
        <w:t xml:space="preserve"> </w:t>
      </w:r>
      <w:r w:rsidRPr="002029AF">
        <w:t>Employment</w:t>
      </w:r>
      <w:r w:rsidR="000A5329" w:rsidRPr="002029AF">
        <w:t xml:space="preserve"> </w:t>
      </w:r>
      <w:r w:rsidRPr="002029AF">
        <w:t>Program</w:t>
      </w:r>
      <w:r w:rsidR="000A5329" w:rsidRPr="002029AF">
        <w:t xml:space="preserve"> </w:t>
      </w:r>
      <w:r w:rsidRPr="002029AF">
        <w:t>(VAC)</w:t>
      </w:r>
      <w:r w:rsidR="000A5329" w:rsidRPr="002029AF">
        <w:t xml:space="preserve"> </w:t>
      </w:r>
      <w:r w:rsidRPr="002029AF">
        <w:t>offers</w:t>
      </w:r>
      <w:r w:rsidR="000A5329" w:rsidRPr="002029AF">
        <w:t xml:space="preserve"> </w:t>
      </w:r>
      <w:r w:rsidRPr="002029AF">
        <w:t>fixed-term</w:t>
      </w:r>
      <w:r w:rsidR="000A5329" w:rsidRPr="002029AF">
        <w:t xml:space="preserve"> </w:t>
      </w:r>
      <w:r w:rsidRPr="002029AF">
        <w:t>paid</w:t>
      </w:r>
      <w:r w:rsidR="000A5329" w:rsidRPr="002029AF">
        <w:t xml:space="preserve"> </w:t>
      </w:r>
      <w:r w:rsidRPr="002029AF">
        <w:t>employment</w:t>
      </w:r>
      <w:r w:rsidR="000A5329" w:rsidRPr="002029AF">
        <w:t xml:space="preserve"> </w:t>
      </w:r>
      <w:r w:rsidRPr="002029AF">
        <w:t>of</w:t>
      </w:r>
      <w:r w:rsidR="000A5329" w:rsidRPr="002029AF">
        <w:t xml:space="preserve"> </w:t>
      </w:r>
      <w:r w:rsidRPr="002029AF">
        <w:t>12</w:t>
      </w:r>
      <w:r w:rsidR="000A5329" w:rsidRPr="002029AF">
        <w:t xml:space="preserve"> </w:t>
      </w:r>
      <w:r w:rsidRPr="002029AF">
        <w:t>weeks</w:t>
      </w:r>
      <w:r w:rsidR="000A5329" w:rsidRPr="002029AF">
        <w:t xml:space="preserve"> </w:t>
      </w:r>
      <w:r w:rsidRPr="002029AF">
        <w:t>or</w:t>
      </w:r>
      <w:r w:rsidR="000A5329" w:rsidRPr="002029AF">
        <w:t xml:space="preserve"> </w:t>
      </w:r>
      <w:r w:rsidRPr="002029AF">
        <w:t>450 hours</w:t>
      </w:r>
      <w:r w:rsidR="000A5329" w:rsidRPr="002029AF">
        <w:t xml:space="preserve"> </w:t>
      </w:r>
      <w:r w:rsidRPr="002029AF">
        <w:t>to</w:t>
      </w:r>
      <w:r w:rsidR="000A5329" w:rsidRPr="002029AF">
        <w:t xml:space="preserve"> </w:t>
      </w:r>
      <w:r w:rsidRPr="002029AF">
        <w:t>eligible students</w:t>
      </w:r>
      <w:r w:rsidR="000A5329" w:rsidRPr="002029AF">
        <w:t xml:space="preserve"> </w:t>
      </w:r>
      <w:r w:rsidRPr="002029AF">
        <w:t>studying</w:t>
      </w:r>
      <w:r w:rsidR="000A5329" w:rsidRPr="002029AF">
        <w:t xml:space="preserve"> </w:t>
      </w:r>
      <w:r w:rsidR="00A26360" w:rsidRPr="002029AF">
        <w:t>for</w:t>
      </w:r>
      <w:r w:rsidR="000A5329" w:rsidRPr="002029AF">
        <w:t xml:space="preserve"> </w:t>
      </w:r>
      <w:r w:rsidRPr="002029AF">
        <w:t>a</w:t>
      </w:r>
      <w:r w:rsidR="000A5329" w:rsidRPr="002029AF">
        <w:t xml:space="preserve"> </w:t>
      </w:r>
      <w:r w:rsidRPr="002029AF">
        <w:t>recognised</w:t>
      </w:r>
      <w:r w:rsidR="000A5329" w:rsidRPr="002029AF">
        <w:t xml:space="preserve"> </w:t>
      </w:r>
      <w:r w:rsidRPr="002029AF">
        <w:t>degree.</w:t>
      </w:r>
      <w:r w:rsidR="000A5329" w:rsidRPr="002029AF">
        <w:t xml:space="preserve"> </w:t>
      </w:r>
      <w:r w:rsidRPr="002029AF">
        <w:t>The</w:t>
      </w:r>
      <w:r w:rsidR="000A5329" w:rsidRPr="002029AF">
        <w:t xml:space="preserve"> </w:t>
      </w:r>
      <w:r w:rsidRPr="002029AF">
        <w:t>12-week</w:t>
      </w:r>
      <w:r w:rsidR="000A5329" w:rsidRPr="002029AF">
        <w:t xml:space="preserve"> </w:t>
      </w:r>
      <w:r w:rsidRPr="002029AF">
        <w:t>rotation-based</w:t>
      </w:r>
      <w:r w:rsidR="000A5329" w:rsidRPr="002029AF">
        <w:t xml:space="preserve"> </w:t>
      </w:r>
      <w:r w:rsidRPr="002029AF">
        <w:t>program</w:t>
      </w:r>
      <w:r w:rsidR="000A5329" w:rsidRPr="002029AF">
        <w:t xml:space="preserve"> </w:t>
      </w:r>
      <w:r w:rsidRPr="002029AF">
        <w:t>enables</w:t>
      </w:r>
      <w:r w:rsidR="000A5329" w:rsidRPr="002029AF">
        <w:t xml:space="preserve"> </w:t>
      </w:r>
      <w:r w:rsidRPr="002029AF">
        <w:t>VAC</w:t>
      </w:r>
      <w:r w:rsidR="000A5329" w:rsidRPr="002029AF">
        <w:t xml:space="preserve"> </w:t>
      </w:r>
      <w:r w:rsidRPr="002029AF">
        <w:t>participants</w:t>
      </w:r>
      <w:r w:rsidR="000A5329" w:rsidRPr="002029AF">
        <w:t xml:space="preserve"> </w:t>
      </w:r>
      <w:r w:rsidRPr="002029AF">
        <w:t>to</w:t>
      </w:r>
      <w:r w:rsidR="000A5329" w:rsidRPr="002029AF">
        <w:t xml:space="preserve"> </w:t>
      </w:r>
      <w:r w:rsidRPr="002029AF">
        <w:t>receive</w:t>
      </w:r>
      <w:r w:rsidR="000A5329" w:rsidRPr="002029AF">
        <w:t xml:space="preserve"> </w:t>
      </w:r>
      <w:r w:rsidRPr="002029AF">
        <w:t>a</w:t>
      </w:r>
      <w:r w:rsidR="000A5329" w:rsidRPr="002029AF">
        <w:t xml:space="preserve"> </w:t>
      </w:r>
      <w:r w:rsidRPr="002029AF">
        <w:t>structured,</w:t>
      </w:r>
      <w:r w:rsidR="000A5329" w:rsidRPr="002029AF">
        <w:t xml:space="preserve"> </w:t>
      </w:r>
      <w:r w:rsidRPr="002029AF">
        <w:t>quality</w:t>
      </w:r>
      <w:r w:rsidR="000A5329" w:rsidRPr="002029AF">
        <w:t xml:space="preserve"> </w:t>
      </w:r>
      <w:r w:rsidRPr="002029AF">
        <w:t>learning</w:t>
      </w:r>
      <w:r w:rsidR="000A5329" w:rsidRPr="002029AF">
        <w:t xml:space="preserve"> </w:t>
      </w:r>
      <w:r w:rsidRPr="002029AF">
        <w:t>experience</w:t>
      </w:r>
      <w:r w:rsidR="000A5329" w:rsidRPr="002029AF">
        <w:t xml:space="preserve"> </w:t>
      </w:r>
      <w:r w:rsidRPr="002029AF">
        <w:t>while</w:t>
      </w:r>
      <w:r w:rsidR="000A5329" w:rsidRPr="002029AF">
        <w:t xml:space="preserve"> </w:t>
      </w:r>
      <w:r w:rsidRPr="002029AF">
        <w:t>gaining</w:t>
      </w:r>
      <w:r w:rsidR="000A5329" w:rsidRPr="002029AF">
        <w:t xml:space="preserve"> </w:t>
      </w:r>
      <w:r w:rsidRPr="002029AF">
        <w:t>hands-on</w:t>
      </w:r>
      <w:r w:rsidR="000A5329" w:rsidRPr="002029AF">
        <w:t xml:space="preserve"> </w:t>
      </w:r>
      <w:r w:rsidRPr="002029AF">
        <w:t>work</w:t>
      </w:r>
      <w:r w:rsidR="000A5329" w:rsidRPr="002029AF">
        <w:t xml:space="preserve"> </w:t>
      </w:r>
      <w:r w:rsidRPr="002029AF">
        <w:t>experience</w:t>
      </w:r>
      <w:r w:rsidR="000A5329" w:rsidRPr="002029AF">
        <w:t xml:space="preserve"> </w:t>
      </w:r>
      <w:r w:rsidRPr="002029AF">
        <w:t>in</w:t>
      </w:r>
      <w:r w:rsidR="000A5329" w:rsidRPr="002029AF">
        <w:t xml:space="preserve"> </w:t>
      </w:r>
      <w:r w:rsidRPr="002029AF">
        <w:t>child</w:t>
      </w:r>
      <w:r w:rsidR="000A5329" w:rsidRPr="002029AF">
        <w:t xml:space="preserve"> </w:t>
      </w:r>
      <w:r w:rsidRPr="002029AF">
        <w:t>protection.</w:t>
      </w:r>
    </w:p>
    <w:p w14:paraId="201778B3" w14:textId="7860E371" w:rsidR="00CF72D5" w:rsidRPr="002029AF" w:rsidRDefault="00CF72D5" w:rsidP="00897193">
      <w:pPr>
        <w:pStyle w:val="ARbody"/>
      </w:pPr>
      <w:r w:rsidRPr="002029AF">
        <w:t>Participants</w:t>
      </w:r>
      <w:r w:rsidR="000A5329" w:rsidRPr="002029AF">
        <w:t xml:space="preserve"> </w:t>
      </w:r>
      <w:r w:rsidRPr="002029AF">
        <w:t>who</w:t>
      </w:r>
      <w:r w:rsidR="000A5329" w:rsidRPr="002029AF">
        <w:t xml:space="preserve"> </w:t>
      </w:r>
      <w:r w:rsidRPr="002029AF">
        <w:t>demonstrate</w:t>
      </w:r>
      <w:r w:rsidR="000A5329" w:rsidRPr="002029AF">
        <w:t xml:space="preserve"> </w:t>
      </w:r>
      <w:r w:rsidRPr="002029AF">
        <w:t>the</w:t>
      </w:r>
      <w:r w:rsidR="000A5329" w:rsidRPr="002029AF">
        <w:t xml:space="preserve"> </w:t>
      </w:r>
      <w:r w:rsidRPr="002029AF">
        <w:t>essential</w:t>
      </w:r>
      <w:r w:rsidR="000A5329" w:rsidRPr="002029AF">
        <w:t xml:space="preserve"> </w:t>
      </w:r>
      <w:r w:rsidRPr="002029AF">
        <w:t>skills</w:t>
      </w:r>
      <w:r w:rsidR="000A5329" w:rsidRPr="002029AF">
        <w:t xml:space="preserve"> </w:t>
      </w:r>
      <w:r w:rsidRPr="002029AF">
        <w:t>and</w:t>
      </w:r>
      <w:r w:rsidR="000A5329" w:rsidRPr="002029AF">
        <w:t xml:space="preserve"> </w:t>
      </w:r>
      <w:r w:rsidRPr="002029AF">
        <w:t>attributes</w:t>
      </w:r>
      <w:r w:rsidR="000A5329" w:rsidRPr="002029AF">
        <w:t xml:space="preserve"> </w:t>
      </w:r>
      <w:r w:rsidRPr="002029AF">
        <w:t>necessary</w:t>
      </w:r>
      <w:r w:rsidR="000A5329" w:rsidRPr="002029AF">
        <w:t xml:space="preserve"> </w:t>
      </w:r>
      <w:r w:rsidRPr="002029AF">
        <w:t>for</w:t>
      </w:r>
      <w:r w:rsidR="000A5329" w:rsidRPr="002029AF">
        <w:t xml:space="preserve"> </w:t>
      </w:r>
      <w:r w:rsidRPr="002029AF">
        <w:t>entry</w:t>
      </w:r>
      <w:r w:rsidR="000A5329" w:rsidRPr="002029AF">
        <w:t xml:space="preserve"> </w:t>
      </w:r>
      <w:r w:rsidRPr="002029AF">
        <w:t>into</w:t>
      </w:r>
      <w:r w:rsidR="000A5329" w:rsidRPr="002029AF">
        <w:t xml:space="preserve"> </w:t>
      </w:r>
      <w:r w:rsidRPr="002029AF">
        <w:t>a</w:t>
      </w:r>
      <w:r w:rsidR="000A5329" w:rsidRPr="002029AF">
        <w:t xml:space="preserve"> </w:t>
      </w:r>
      <w:r w:rsidRPr="002029AF">
        <w:t>child</w:t>
      </w:r>
      <w:r w:rsidR="000A5329" w:rsidRPr="002029AF">
        <w:t xml:space="preserve"> </w:t>
      </w:r>
      <w:r w:rsidRPr="002029AF">
        <w:t>protection</w:t>
      </w:r>
      <w:r w:rsidR="000A5329" w:rsidRPr="002029AF">
        <w:t xml:space="preserve"> </w:t>
      </w:r>
      <w:r w:rsidRPr="002029AF">
        <w:t>practitioner</w:t>
      </w:r>
      <w:r w:rsidR="000A5329" w:rsidRPr="002029AF">
        <w:t xml:space="preserve"> </w:t>
      </w:r>
      <w:r w:rsidRPr="002029AF">
        <w:t>role</w:t>
      </w:r>
      <w:r w:rsidR="000A5329" w:rsidRPr="002029AF">
        <w:t xml:space="preserve"> </w:t>
      </w:r>
      <w:r w:rsidRPr="002029AF">
        <w:t>(CPP)</w:t>
      </w:r>
      <w:r w:rsidR="000A5329" w:rsidRPr="002029AF">
        <w:t xml:space="preserve"> </w:t>
      </w:r>
      <w:r w:rsidRPr="002029AF">
        <w:t>may</w:t>
      </w:r>
      <w:r w:rsidR="000A5329" w:rsidRPr="002029AF">
        <w:t xml:space="preserve"> </w:t>
      </w:r>
      <w:r w:rsidRPr="002029AF">
        <w:t>receive</w:t>
      </w:r>
      <w:r w:rsidR="000A5329" w:rsidRPr="002029AF">
        <w:t xml:space="preserve"> </w:t>
      </w:r>
      <w:r w:rsidRPr="002029AF">
        <w:t>a conditional</w:t>
      </w:r>
      <w:r w:rsidR="000A5329" w:rsidRPr="002029AF">
        <w:t xml:space="preserve"> </w:t>
      </w:r>
      <w:r w:rsidRPr="002029AF">
        <w:t>offer</w:t>
      </w:r>
      <w:r w:rsidR="000A5329" w:rsidRPr="002029AF">
        <w:t xml:space="preserve"> </w:t>
      </w:r>
      <w:r w:rsidRPr="002029AF">
        <w:t>of</w:t>
      </w:r>
      <w:r w:rsidR="000A5329" w:rsidRPr="002029AF">
        <w:t xml:space="preserve"> </w:t>
      </w:r>
      <w:r w:rsidRPr="002029AF">
        <w:t>employment</w:t>
      </w:r>
      <w:r w:rsidR="000A5329" w:rsidRPr="002029AF">
        <w:t xml:space="preserve"> </w:t>
      </w:r>
      <w:r w:rsidRPr="002029AF">
        <w:t>for</w:t>
      </w:r>
      <w:r w:rsidR="000A5329" w:rsidRPr="002029AF">
        <w:t xml:space="preserve"> </w:t>
      </w:r>
      <w:r w:rsidRPr="002029AF">
        <w:t>a</w:t>
      </w:r>
      <w:r w:rsidR="000A5329" w:rsidRPr="002029AF">
        <w:t xml:space="preserve"> </w:t>
      </w:r>
      <w:r w:rsidRPr="002029AF">
        <w:t>CPP 3</w:t>
      </w:r>
      <w:r w:rsidR="000A5329" w:rsidRPr="002029AF">
        <w:t xml:space="preserve"> </w:t>
      </w:r>
      <w:r w:rsidRPr="002029AF">
        <w:t>position</w:t>
      </w:r>
      <w:r w:rsidR="00A26360" w:rsidRPr="002029AF">
        <w:t>,</w:t>
      </w:r>
      <w:r w:rsidR="000A5329" w:rsidRPr="002029AF">
        <w:t xml:space="preserve"> </w:t>
      </w:r>
      <w:r w:rsidRPr="002029AF">
        <w:t>subject</w:t>
      </w:r>
      <w:r w:rsidR="000A5329" w:rsidRPr="002029AF">
        <w:t xml:space="preserve"> </w:t>
      </w:r>
      <w:r w:rsidRPr="002029AF">
        <w:t>to</w:t>
      </w:r>
      <w:r w:rsidR="000A5329" w:rsidRPr="002029AF">
        <w:t xml:space="preserve"> </w:t>
      </w:r>
      <w:r w:rsidRPr="002029AF">
        <w:t>the</w:t>
      </w:r>
      <w:r w:rsidR="000A5329" w:rsidRPr="002029AF">
        <w:t xml:space="preserve"> </w:t>
      </w:r>
      <w:r w:rsidRPr="002029AF">
        <w:t>successful</w:t>
      </w:r>
      <w:r w:rsidR="000A5329" w:rsidRPr="002029AF">
        <w:t xml:space="preserve"> </w:t>
      </w:r>
      <w:r w:rsidRPr="002029AF">
        <w:t>completion</w:t>
      </w:r>
      <w:r w:rsidR="000A5329" w:rsidRPr="002029AF">
        <w:t xml:space="preserve"> </w:t>
      </w:r>
      <w:r w:rsidRPr="002029AF">
        <w:t>of their</w:t>
      </w:r>
      <w:r w:rsidR="000A5329" w:rsidRPr="002029AF">
        <w:t xml:space="preserve"> </w:t>
      </w:r>
      <w:r w:rsidRPr="002029AF">
        <w:t>recognised</w:t>
      </w:r>
      <w:r w:rsidR="000A5329" w:rsidRPr="002029AF">
        <w:t xml:space="preserve"> </w:t>
      </w:r>
      <w:r w:rsidRPr="002029AF">
        <w:t>degree.</w:t>
      </w:r>
    </w:p>
    <w:p w14:paraId="3F7E2865" w14:textId="3635C085" w:rsidR="00CF72D5" w:rsidRPr="002029AF" w:rsidRDefault="00CF72D5" w:rsidP="00897193">
      <w:pPr>
        <w:pStyle w:val="ARbody"/>
      </w:pPr>
      <w:r w:rsidRPr="002029AF">
        <w:t>Based</w:t>
      </w:r>
      <w:r w:rsidR="000A5329" w:rsidRPr="002029AF">
        <w:t xml:space="preserve"> </w:t>
      </w:r>
      <w:r w:rsidRPr="002029AF">
        <w:t>on</w:t>
      </w:r>
      <w:r w:rsidR="000A5329" w:rsidRPr="002029AF">
        <w:t xml:space="preserve"> </w:t>
      </w:r>
      <w:r w:rsidRPr="002029AF">
        <w:t>the</w:t>
      </w:r>
      <w:r w:rsidR="000A5329" w:rsidRPr="002029AF">
        <w:t xml:space="preserve"> </w:t>
      </w:r>
      <w:r w:rsidRPr="002029AF">
        <w:t>success</w:t>
      </w:r>
      <w:r w:rsidR="000A5329" w:rsidRPr="002029AF">
        <w:t xml:space="preserve"> </w:t>
      </w:r>
      <w:r w:rsidRPr="002029AF">
        <w:t>of</w:t>
      </w:r>
      <w:r w:rsidR="000A5329" w:rsidRPr="002029AF">
        <w:t xml:space="preserve"> </w:t>
      </w:r>
      <w:r w:rsidRPr="002029AF">
        <w:t>the</w:t>
      </w:r>
      <w:r w:rsidR="000A5329" w:rsidRPr="002029AF">
        <w:t xml:space="preserve"> </w:t>
      </w:r>
      <w:r w:rsidRPr="002029AF">
        <w:t>2016–17</w:t>
      </w:r>
      <w:r w:rsidR="000A5329" w:rsidRPr="002029AF">
        <w:t xml:space="preserve"> </w:t>
      </w:r>
      <w:r w:rsidRPr="002029AF">
        <w:t>VAC program</w:t>
      </w:r>
      <w:r w:rsidR="000A5329" w:rsidRPr="002029AF">
        <w:t xml:space="preserve"> </w:t>
      </w:r>
      <w:r w:rsidRPr="002029AF">
        <w:t>in</w:t>
      </w:r>
      <w:r w:rsidR="000A5329" w:rsidRPr="002029AF">
        <w:t xml:space="preserve"> </w:t>
      </w:r>
      <w:r w:rsidRPr="002029AF">
        <w:t>boosting</w:t>
      </w:r>
      <w:r w:rsidR="000A5329" w:rsidRPr="002029AF">
        <w:t xml:space="preserve"> </w:t>
      </w:r>
      <w:r w:rsidRPr="002029AF">
        <w:t>the</w:t>
      </w:r>
      <w:r w:rsidR="000A5329" w:rsidRPr="002029AF">
        <w:t xml:space="preserve"> </w:t>
      </w:r>
      <w:r w:rsidRPr="002029AF">
        <w:t>child</w:t>
      </w:r>
      <w:r w:rsidR="000A5329" w:rsidRPr="002029AF">
        <w:t xml:space="preserve"> </w:t>
      </w:r>
      <w:r w:rsidRPr="002029AF">
        <w:t>protection</w:t>
      </w:r>
      <w:r w:rsidR="000A5329" w:rsidRPr="002029AF">
        <w:t xml:space="preserve"> </w:t>
      </w:r>
      <w:r w:rsidRPr="002029AF">
        <w:t>workforce,</w:t>
      </w:r>
      <w:r w:rsidR="000A5329" w:rsidRPr="002029AF">
        <w:t xml:space="preserve"> </w:t>
      </w:r>
      <w:r w:rsidRPr="002029AF">
        <w:t>the</w:t>
      </w:r>
      <w:r w:rsidR="000A5329" w:rsidRPr="002029AF">
        <w:t xml:space="preserve"> </w:t>
      </w:r>
      <w:r w:rsidRPr="002029AF">
        <w:t>program</w:t>
      </w:r>
      <w:r w:rsidR="000A5329" w:rsidRPr="002029AF">
        <w:t xml:space="preserve"> </w:t>
      </w:r>
      <w:r w:rsidRPr="002029AF">
        <w:t>was</w:t>
      </w:r>
      <w:r w:rsidR="000A5329" w:rsidRPr="002029AF">
        <w:t xml:space="preserve"> </w:t>
      </w:r>
      <w:r w:rsidRPr="002029AF">
        <w:t>doubled</w:t>
      </w:r>
      <w:r w:rsidR="000A5329" w:rsidRPr="002029AF">
        <w:t xml:space="preserve"> </w:t>
      </w:r>
      <w:r w:rsidRPr="002029AF">
        <w:t>for</w:t>
      </w:r>
      <w:r w:rsidR="000A5329" w:rsidRPr="002029AF">
        <w:t xml:space="preserve"> </w:t>
      </w:r>
      <w:r w:rsidRPr="002029AF">
        <w:t>2018</w:t>
      </w:r>
      <w:r w:rsidR="000A5329" w:rsidRPr="002029AF">
        <w:t xml:space="preserve"> </w:t>
      </w:r>
      <w:r w:rsidRPr="002029AF">
        <w:t>and</w:t>
      </w:r>
      <w:r w:rsidR="00B95D52">
        <w:t> </w:t>
      </w:r>
      <w:r w:rsidRPr="002029AF">
        <w:t>2019.</w:t>
      </w:r>
      <w:r w:rsidR="000A5329" w:rsidRPr="002029AF">
        <w:t xml:space="preserve"> </w:t>
      </w:r>
      <w:r w:rsidRPr="002029AF">
        <w:t>Over</w:t>
      </w:r>
      <w:r w:rsidR="000A5329" w:rsidRPr="002029AF">
        <w:t xml:space="preserve"> </w:t>
      </w:r>
      <w:r w:rsidRPr="002029AF">
        <w:t>the</w:t>
      </w:r>
      <w:r w:rsidR="000A5329" w:rsidRPr="002029AF">
        <w:t xml:space="preserve"> </w:t>
      </w:r>
      <w:r w:rsidRPr="002029AF">
        <w:t>past</w:t>
      </w:r>
      <w:r w:rsidR="000A5329" w:rsidRPr="002029AF">
        <w:t xml:space="preserve"> </w:t>
      </w:r>
      <w:r w:rsidRPr="002029AF">
        <w:t>four</w:t>
      </w:r>
      <w:r w:rsidR="000A5329" w:rsidRPr="002029AF">
        <w:t xml:space="preserve"> </w:t>
      </w:r>
      <w:r w:rsidRPr="002029AF">
        <w:t>years,</w:t>
      </w:r>
      <w:r w:rsidR="000A5329" w:rsidRPr="002029AF">
        <w:t xml:space="preserve"> </w:t>
      </w:r>
      <w:r w:rsidRPr="002029AF">
        <w:t>126</w:t>
      </w:r>
      <w:r w:rsidR="000A5329" w:rsidRPr="002029AF">
        <w:t xml:space="preserve"> </w:t>
      </w:r>
      <w:r w:rsidRPr="002029AF">
        <w:t>of</w:t>
      </w:r>
      <w:r w:rsidR="000A5329" w:rsidRPr="002029AF">
        <w:t xml:space="preserve"> </w:t>
      </w:r>
      <w:r w:rsidRPr="002029AF">
        <w:t>the</w:t>
      </w:r>
      <w:r w:rsidR="000A5329" w:rsidRPr="002029AF">
        <w:t xml:space="preserve"> </w:t>
      </w:r>
      <w:r w:rsidRPr="002029AF">
        <w:t>224</w:t>
      </w:r>
      <w:r w:rsidR="00B95D52">
        <w:t> </w:t>
      </w:r>
      <w:r w:rsidRPr="002029AF">
        <w:t>students</w:t>
      </w:r>
      <w:r w:rsidR="000A5329" w:rsidRPr="002029AF">
        <w:t xml:space="preserve"> </w:t>
      </w:r>
      <w:r w:rsidRPr="002029AF">
        <w:t>who</w:t>
      </w:r>
      <w:r w:rsidR="000A5329" w:rsidRPr="002029AF">
        <w:t xml:space="preserve"> </w:t>
      </w:r>
      <w:r w:rsidRPr="002029AF">
        <w:t>have</w:t>
      </w:r>
      <w:r w:rsidR="000A5329" w:rsidRPr="002029AF">
        <w:t xml:space="preserve"> </w:t>
      </w:r>
      <w:r w:rsidRPr="002029AF">
        <w:t>completed</w:t>
      </w:r>
      <w:r w:rsidR="000A5329" w:rsidRPr="002029AF">
        <w:t xml:space="preserve"> </w:t>
      </w:r>
      <w:r w:rsidRPr="002029AF">
        <w:t>the</w:t>
      </w:r>
      <w:r w:rsidR="000A5329" w:rsidRPr="002029AF">
        <w:t xml:space="preserve"> </w:t>
      </w:r>
      <w:r w:rsidRPr="002029AF">
        <w:t>VAC</w:t>
      </w:r>
      <w:r w:rsidR="000A5329" w:rsidRPr="002029AF">
        <w:t xml:space="preserve"> </w:t>
      </w:r>
      <w:r w:rsidRPr="002029AF">
        <w:t>program</w:t>
      </w:r>
      <w:r w:rsidR="000A5329" w:rsidRPr="002029AF">
        <w:t xml:space="preserve"> </w:t>
      </w:r>
      <w:r w:rsidRPr="002029AF">
        <w:t>have</w:t>
      </w:r>
      <w:r w:rsidR="000A5329" w:rsidRPr="002029AF">
        <w:t xml:space="preserve"> </w:t>
      </w:r>
      <w:r w:rsidRPr="002029AF">
        <w:t>subsequently</w:t>
      </w:r>
      <w:r w:rsidR="000A5329" w:rsidRPr="002029AF">
        <w:t xml:space="preserve"> </w:t>
      </w:r>
      <w:r w:rsidRPr="002029AF">
        <w:t>been</w:t>
      </w:r>
      <w:r w:rsidR="000A5329" w:rsidRPr="002029AF">
        <w:t xml:space="preserve"> </w:t>
      </w:r>
      <w:r w:rsidRPr="002029AF">
        <w:t>appointed</w:t>
      </w:r>
      <w:r w:rsidR="000A5329" w:rsidRPr="002029AF">
        <w:t xml:space="preserve"> </w:t>
      </w:r>
      <w:r w:rsidRPr="002029AF">
        <w:t>to CPP</w:t>
      </w:r>
      <w:r w:rsidR="00B95D52">
        <w:t> </w:t>
      </w:r>
      <w:r w:rsidRPr="002029AF">
        <w:t>positions.</w:t>
      </w:r>
    </w:p>
    <w:p w14:paraId="65E07B76" w14:textId="01E5663E" w:rsidR="00CF72D5" w:rsidRPr="002029AF" w:rsidRDefault="00CF72D5" w:rsidP="00897193">
      <w:pPr>
        <w:pStyle w:val="Heading3"/>
      </w:pPr>
      <w:r w:rsidRPr="002029AF">
        <w:t>Health,</w:t>
      </w:r>
      <w:r w:rsidR="000A5329" w:rsidRPr="002029AF">
        <w:t xml:space="preserve"> </w:t>
      </w:r>
      <w:r w:rsidRPr="002029AF">
        <w:t>safety</w:t>
      </w:r>
      <w:r w:rsidR="000A5329" w:rsidRPr="002029AF">
        <w:t xml:space="preserve"> </w:t>
      </w:r>
      <w:r w:rsidRPr="002029AF">
        <w:t>and</w:t>
      </w:r>
      <w:r w:rsidR="000A5329" w:rsidRPr="002029AF">
        <w:t xml:space="preserve"> </w:t>
      </w:r>
      <w:r w:rsidRPr="002029AF">
        <w:t>wellbeing</w:t>
      </w:r>
    </w:p>
    <w:p w14:paraId="6FED56B9" w14:textId="4B1D5A57" w:rsidR="00CF72D5" w:rsidRPr="002029AF" w:rsidRDefault="00CF72D5" w:rsidP="00897193">
      <w:pPr>
        <w:pStyle w:val="ARbody"/>
      </w:pPr>
      <w:r w:rsidRPr="002029AF">
        <w:t>The</w:t>
      </w:r>
      <w:r w:rsidR="000A5329" w:rsidRPr="002029AF">
        <w:t xml:space="preserve"> </w:t>
      </w:r>
      <w:r w:rsidRPr="002029AF">
        <w:t>department</w:t>
      </w:r>
      <w:r w:rsidR="000A5329" w:rsidRPr="002029AF">
        <w:t xml:space="preserve"> </w:t>
      </w:r>
      <w:r w:rsidRPr="002029AF">
        <w:t>makes</w:t>
      </w:r>
      <w:r w:rsidR="000A5329" w:rsidRPr="002029AF">
        <w:t xml:space="preserve"> </w:t>
      </w:r>
      <w:r w:rsidRPr="002029AF">
        <w:t>the</w:t>
      </w:r>
      <w:r w:rsidR="000A5329" w:rsidRPr="002029AF">
        <w:t xml:space="preserve"> </w:t>
      </w:r>
      <w:r w:rsidRPr="002029AF">
        <w:t>health,</w:t>
      </w:r>
      <w:r w:rsidR="000A5329" w:rsidRPr="002029AF">
        <w:t xml:space="preserve"> </w:t>
      </w:r>
      <w:r w:rsidRPr="002029AF">
        <w:t>safety</w:t>
      </w:r>
      <w:r w:rsidR="000A5329" w:rsidRPr="002029AF">
        <w:t xml:space="preserve"> </w:t>
      </w:r>
      <w:r w:rsidRPr="002029AF">
        <w:t>and</w:t>
      </w:r>
      <w:r w:rsidR="000A5329" w:rsidRPr="002029AF">
        <w:t xml:space="preserve"> </w:t>
      </w:r>
      <w:r w:rsidRPr="002029AF">
        <w:t>wellbeing</w:t>
      </w:r>
      <w:r w:rsidR="000A5329" w:rsidRPr="002029AF">
        <w:t xml:space="preserve"> </w:t>
      </w:r>
      <w:r w:rsidRPr="002029AF">
        <w:t>of</w:t>
      </w:r>
      <w:r w:rsidR="000A5329" w:rsidRPr="002029AF">
        <w:t xml:space="preserve"> </w:t>
      </w:r>
      <w:r w:rsidRPr="002029AF">
        <w:t>its</w:t>
      </w:r>
      <w:r w:rsidR="000A5329" w:rsidRPr="002029AF">
        <w:t xml:space="preserve"> </w:t>
      </w:r>
      <w:r w:rsidRPr="002029AF">
        <w:t>staff</w:t>
      </w:r>
      <w:r w:rsidR="000A5329" w:rsidRPr="002029AF">
        <w:t xml:space="preserve"> </w:t>
      </w:r>
      <w:r w:rsidRPr="002029AF">
        <w:t>a</w:t>
      </w:r>
      <w:r w:rsidR="000A5329" w:rsidRPr="002029AF">
        <w:t xml:space="preserve"> </w:t>
      </w:r>
      <w:r w:rsidRPr="002029AF">
        <w:t>priority.</w:t>
      </w:r>
      <w:r w:rsidR="000A5329" w:rsidRPr="002029AF">
        <w:t xml:space="preserve"> </w:t>
      </w:r>
      <w:r w:rsidRPr="002029AF">
        <w:t>This</w:t>
      </w:r>
      <w:r w:rsidR="000A5329" w:rsidRPr="002029AF">
        <w:t xml:space="preserve"> </w:t>
      </w:r>
      <w:r w:rsidRPr="002029AF">
        <w:t>commitment</w:t>
      </w:r>
      <w:r w:rsidR="000A5329" w:rsidRPr="002029AF">
        <w:t xml:space="preserve"> </w:t>
      </w:r>
      <w:r w:rsidRPr="002029AF">
        <w:t>is</w:t>
      </w:r>
      <w:r w:rsidR="00B95D52">
        <w:t> </w:t>
      </w:r>
      <w:r w:rsidRPr="002029AF">
        <w:t>embedded</w:t>
      </w:r>
      <w:r w:rsidR="000A5329" w:rsidRPr="002029AF">
        <w:t xml:space="preserve"> </w:t>
      </w:r>
      <w:r w:rsidRPr="002029AF">
        <w:t>in</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HSW</w:t>
      </w:r>
      <w:r w:rsidR="000A5329" w:rsidRPr="002029AF">
        <w:t xml:space="preserve"> </w:t>
      </w:r>
      <w:r w:rsidRPr="002029AF">
        <w:t>policy</w:t>
      </w:r>
      <w:r w:rsidR="000A5329" w:rsidRPr="002029AF">
        <w:t xml:space="preserve"> </w:t>
      </w:r>
      <w:r w:rsidRPr="002029AF">
        <w:t>and</w:t>
      </w:r>
      <w:r w:rsidR="00B95D52">
        <w:t> </w:t>
      </w:r>
      <w:r w:rsidRPr="002029AF">
        <w:t>accountabilities,</w:t>
      </w:r>
      <w:r w:rsidR="000A5329" w:rsidRPr="002029AF">
        <w:t xml:space="preserve"> </w:t>
      </w:r>
      <w:r w:rsidRPr="002029AF">
        <w:t>which</w:t>
      </w:r>
      <w:r w:rsidR="000A5329" w:rsidRPr="002029AF">
        <w:t xml:space="preserve"> </w:t>
      </w:r>
      <w:r w:rsidRPr="002029AF">
        <w:t>are</w:t>
      </w:r>
      <w:r w:rsidR="000A5329" w:rsidRPr="002029AF">
        <w:t xml:space="preserve"> </w:t>
      </w:r>
      <w:r w:rsidRPr="002029AF">
        <w:t>reflected</w:t>
      </w:r>
      <w:r w:rsidR="000A5329" w:rsidRPr="002029AF">
        <w:t xml:space="preserve"> </w:t>
      </w:r>
      <w:r w:rsidRPr="002029AF">
        <w:t>in</w:t>
      </w:r>
      <w:r w:rsidR="000A5329" w:rsidRPr="002029AF">
        <w:t xml:space="preserve"> </w:t>
      </w:r>
      <w:r w:rsidRPr="002029AF">
        <w:t>the</w:t>
      </w:r>
      <w:r w:rsidR="000A5329" w:rsidRPr="002029AF">
        <w:t xml:space="preserve"> </w:t>
      </w:r>
      <w:r w:rsidRPr="002029AF">
        <w:t>performance</w:t>
      </w:r>
      <w:r w:rsidR="000A5329" w:rsidRPr="002029AF">
        <w:t xml:space="preserve"> </w:t>
      </w:r>
      <w:r w:rsidRPr="002029AF">
        <w:t>and</w:t>
      </w:r>
      <w:r w:rsidR="000A5329" w:rsidRPr="002029AF">
        <w:t xml:space="preserve"> </w:t>
      </w:r>
      <w:r w:rsidRPr="002029AF">
        <w:t>development</w:t>
      </w:r>
      <w:r w:rsidR="000A5329" w:rsidRPr="002029AF">
        <w:t xml:space="preserve"> </w:t>
      </w:r>
      <w:r w:rsidRPr="002029AF">
        <w:t>plans</w:t>
      </w:r>
      <w:r w:rsidR="000A5329" w:rsidRPr="002029AF">
        <w:t xml:space="preserve"> </w:t>
      </w:r>
      <w:r w:rsidRPr="002029AF">
        <w:t>of</w:t>
      </w:r>
      <w:r w:rsidR="000A5329" w:rsidRPr="002029AF">
        <w:t xml:space="preserve"> </w:t>
      </w:r>
      <w:r w:rsidRPr="002029AF">
        <w:t>all</w:t>
      </w:r>
      <w:r w:rsidR="000A5329" w:rsidRPr="002029AF">
        <w:t xml:space="preserve"> </w:t>
      </w:r>
      <w:r w:rsidRPr="002029AF">
        <w:t>staff</w:t>
      </w:r>
      <w:r w:rsidR="000A5329" w:rsidRPr="002029AF">
        <w:t xml:space="preserve"> </w:t>
      </w:r>
      <w:r w:rsidRPr="002029AF">
        <w:t>and</w:t>
      </w:r>
      <w:r w:rsidR="000A5329" w:rsidRPr="002029AF">
        <w:t xml:space="preserve"> </w:t>
      </w:r>
      <w:r w:rsidRPr="002029AF">
        <w:t>executive</w:t>
      </w:r>
      <w:r w:rsidR="000A5329" w:rsidRPr="002029AF">
        <w:t xml:space="preserve"> </w:t>
      </w:r>
      <w:r w:rsidRPr="002029AF">
        <w:t>officers.</w:t>
      </w:r>
      <w:r w:rsidR="000A5329" w:rsidRPr="002029AF">
        <w:t xml:space="preserve"> </w:t>
      </w:r>
      <w:r w:rsidRPr="002029AF">
        <w:t>We</w:t>
      </w:r>
      <w:r w:rsidR="000A5329" w:rsidRPr="002029AF">
        <w:t xml:space="preserve"> </w:t>
      </w:r>
      <w:r w:rsidRPr="002029AF">
        <w:t>have</w:t>
      </w:r>
      <w:r w:rsidR="000A5329" w:rsidRPr="002029AF">
        <w:t xml:space="preserve"> </w:t>
      </w:r>
      <w:r w:rsidRPr="002029AF">
        <w:t>also</w:t>
      </w:r>
      <w:r w:rsidR="000A5329" w:rsidRPr="002029AF">
        <w:t xml:space="preserve"> </w:t>
      </w:r>
      <w:r w:rsidRPr="002029AF">
        <w:t>implemented</w:t>
      </w:r>
      <w:r w:rsidR="000A5329" w:rsidRPr="002029AF">
        <w:t xml:space="preserve"> </w:t>
      </w:r>
      <w:r w:rsidRPr="002029AF">
        <w:t>HSW</w:t>
      </w:r>
      <w:r w:rsidR="000A5329" w:rsidRPr="002029AF">
        <w:t xml:space="preserve"> </w:t>
      </w:r>
      <w:r w:rsidRPr="002029AF">
        <w:t>training</w:t>
      </w:r>
      <w:r w:rsidR="000A5329" w:rsidRPr="002029AF">
        <w:t xml:space="preserve"> </w:t>
      </w:r>
      <w:r w:rsidRPr="002029AF">
        <w:t>for</w:t>
      </w:r>
      <w:r w:rsidR="000A5329" w:rsidRPr="002029AF">
        <w:t xml:space="preserve"> </w:t>
      </w:r>
      <w:r w:rsidRPr="002029AF">
        <w:t>people</w:t>
      </w:r>
      <w:r w:rsidR="000A5329" w:rsidRPr="002029AF">
        <w:t xml:space="preserve"> </w:t>
      </w:r>
      <w:r w:rsidRPr="002029AF">
        <w:t>managers</w:t>
      </w:r>
      <w:r w:rsidR="000A5329" w:rsidRPr="002029AF">
        <w:t xml:space="preserve"> </w:t>
      </w:r>
      <w:r w:rsidRPr="002029AF">
        <w:t>called</w:t>
      </w:r>
      <w:r w:rsidR="000A5329" w:rsidRPr="002029AF">
        <w:t xml:space="preserve"> </w:t>
      </w:r>
      <w:r w:rsidRPr="002029AF">
        <w:t>Home</w:t>
      </w:r>
      <w:r w:rsidR="000A5329" w:rsidRPr="002029AF">
        <w:t xml:space="preserve"> </w:t>
      </w:r>
      <w:r w:rsidRPr="002029AF">
        <w:t>Safely</w:t>
      </w:r>
      <w:r w:rsidR="000A5329" w:rsidRPr="002029AF">
        <w:t xml:space="preserve"> </w:t>
      </w:r>
      <w:r w:rsidRPr="002029AF">
        <w:t>Every</w:t>
      </w:r>
      <w:r w:rsidR="000A5329" w:rsidRPr="002029AF">
        <w:t xml:space="preserve"> </w:t>
      </w:r>
      <w:r w:rsidRPr="002029AF">
        <w:t>Day</w:t>
      </w:r>
      <w:r w:rsidR="000A5329" w:rsidRPr="002029AF">
        <w:t xml:space="preserve"> </w:t>
      </w:r>
      <w:r w:rsidRPr="002029AF">
        <w:t>–</w:t>
      </w:r>
      <w:r w:rsidR="000A5329" w:rsidRPr="002029AF">
        <w:t xml:space="preserve"> </w:t>
      </w:r>
      <w:r w:rsidRPr="002029AF">
        <w:t>Leading</w:t>
      </w:r>
      <w:r w:rsidR="000A5329" w:rsidRPr="002029AF">
        <w:t xml:space="preserve"> </w:t>
      </w:r>
      <w:r w:rsidRPr="002029AF">
        <w:t>with</w:t>
      </w:r>
      <w:r w:rsidR="000A5329" w:rsidRPr="002029AF">
        <w:t xml:space="preserve"> </w:t>
      </w:r>
      <w:r w:rsidR="00770DF1" w:rsidRPr="002029AF">
        <w:t>O</w:t>
      </w:r>
      <w:r w:rsidRPr="002029AF">
        <w:t>ur</w:t>
      </w:r>
      <w:r w:rsidR="000A5329" w:rsidRPr="002029AF">
        <w:t xml:space="preserve"> </w:t>
      </w:r>
      <w:r w:rsidR="00770DF1" w:rsidRPr="002029AF">
        <w:t>V</w:t>
      </w:r>
      <w:r w:rsidRPr="002029AF">
        <w:t>alues.</w:t>
      </w:r>
      <w:r w:rsidR="000A5329" w:rsidRPr="002029AF">
        <w:t xml:space="preserve"> </w:t>
      </w:r>
      <w:r w:rsidRPr="002029AF">
        <w:t>This</w:t>
      </w:r>
      <w:r w:rsidR="000A5329" w:rsidRPr="002029AF">
        <w:t xml:space="preserve"> </w:t>
      </w:r>
      <w:r w:rsidRPr="002029AF">
        <w:t>training</w:t>
      </w:r>
      <w:r w:rsidR="000A5329" w:rsidRPr="002029AF">
        <w:t xml:space="preserve"> </w:t>
      </w:r>
      <w:r w:rsidRPr="002029AF">
        <w:t>helps</w:t>
      </w:r>
      <w:r w:rsidR="000A5329" w:rsidRPr="002029AF">
        <w:t xml:space="preserve"> </w:t>
      </w:r>
      <w:r w:rsidRPr="002029AF">
        <w:t>managers</w:t>
      </w:r>
      <w:r w:rsidR="000A5329" w:rsidRPr="002029AF">
        <w:t xml:space="preserve"> </w:t>
      </w:r>
      <w:r w:rsidRPr="002029AF">
        <w:t>understand</w:t>
      </w:r>
      <w:r w:rsidR="000A5329" w:rsidRPr="002029AF">
        <w:t xml:space="preserve"> </w:t>
      </w:r>
      <w:r w:rsidRPr="002029AF">
        <w:t>their</w:t>
      </w:r>
      <w:r w:rsidR="000A5329" w:rsidRPr="002029AF">
        <w:t xml:space="preserve"> </w:t>
      </w:r>
      <w:r w:rsidRPr="002029AF">
        <w:t>HSW</w:t>
      </w:r>
      <w:r w:rsidR="000A5329" w:rsidRPr="002029AF">
        <w:t xml:space="preserve"> </w:t>
      </w:r>
      <w:r w:rsidRPr="002029AF">
        <w:t>accountabilities</w:t>
      </w:r>
      <w:r w:rsidR="000A5329" w:rsidRPr="002029AF">
        <w:t xml:space="preserve"> </w:t>
      </w:r>
      <w:r w:rsidRPr="002029AF">
        <w:t>and</w:t>
      </w:r>
      <w:r w:rsidR="000A5329" w:rsidRPr="002029AF">
        <w:t xml:space="preserve"> </w:t>
      </w:r>
      <w:r w:rsidRPr="002029AF">
        <w:t>provides</w:t>
      </w:r>
      <w:r w:rsidR="000A5329" w:rsidRPr="002029AF">
        <w:t xml:space="preserve"> </w:t>
      </w:r>
      <w:r w:rsidRPr="002029AF">
        <w:t>practical</w:t>
      </w:r>
      <w:r w:rsidR="000A5329" w:rsidRPr="002029AF">
        <w:t xml:space="preserve"> </w:t>
      </w:r>
      <w:r w:rsidRPr="002029AF">
        <w:t>guidance</w:t>
      </w:r>
      <w:r w:rsidR="000A5329" w:rsidRPr="002029AF">
        <w:t xml:space="preserve"> </w:t>
      </w:r>
      <w:r w:rsidRPr="002029AF">
        <w:t>and</w:t>
      </w:r>
      <w:r w:rsidR="000A5329" w:rsidRPr="002029AF">
        <w:t xml:space="preserve"> </w:t>
      </w:r>
      <w:r w:rsidRPr="002029AF">
        <w:t>tools</w:t>
      </w:r>
      <w:r w:rsidR="000A5329" w:rsidRPr="002029AF">
        <w:t xml:space="preserve"> </w:t>
      </w:r>
      <w:r w:rsidRPr="002029AF">
        <w:t>for</w:t>
      </w:r>
      <w:r w:rsidR="000A5329" w:rsidRPr="002029AF">
        <w:t xml:space="preserve"> </w:t>
      </w:r>
      <w:r w:rsidRPr="002029AF">
        <w:t>managers</w:t>
      </w:r>
      <w:r w:rsidR="000A5329" w:rsidRPr="002029AF">
        <w:t xml:space="preserve"> </w:t>
      </w:r>
      <w:r w:rsidRPr="002029AF">
        <w:t>to</w:t>
      </w:r>
      <w:r w:rsidR="000A5329" w:rsidRPr="002029AF">
        <w:t xml:space="preserve"> </w:t>
      </w:r>
      <w:r w:rsidRPr="002029AF">
        <w:t>proactively</w:t>
      </w:r>
      <w:r w:rsidR="000A5329" w:rsidRPr="002029AF">
        <w:t xml:space="preserve"> </w:t>
      </w:r>
      <w:r w:rsidRPr="002029AF">
        <w:t>support</w:t>
      </w:r>
      <w:r w:rsidR="000A5329" w:rsidRPr="002029AF">
        <w:t xml:space="preserve"> </w:t>
      </w:r>
      <w:r w:rsidRPr="002029AF">
        <w:t>themselves</w:t>
      </w:r>
      <w:r w:rsidR="000A5329" w:rsidRPr="002029AF">
        <w:t xml:space="preserve"> </w:t>
      </w:r>
      <w:r w:rsidRPr="002029AF">
        <w:t>and</w:t>
      </w:r>
      <w:r w:rsidR="00233C48" w:rsidRPr="002029AF">
        <w:t> </w:t>
      </w:r>
      <w:r w:rsidRPr="002029AF">
        <w:t>their</w:t>
      </w:r>
      <w:r w:rsidR="000A5329" w:rsidRPr="002029AF">
        <w:t xml:space="preserve"> </w:t>
      </w:r>
      <w:r w:rsidRPr="002029AF">
        <w:t>staff</w:t>
      </w:r>
      <w:r w:rsidR="000A5329" w:rsidRPr="002029AF">
        <w:t xml:space="preserve"> </w:t>
      </w:r>
      <w:r w:rsidRPr="002029AF">
        <w:t>to</w:t>
      </w:r>
      <w:r w:rsidR="000A5329" w:rsidRPr="002029AF">
        <w:t xml:space="preserve"> </w:t>
      </w:r>
      <w:r w:rsidRPr="002029AF">
        <w:t>go</w:t>
      </w:r>
      <w:r w:rsidR="000A5329" w:rsidRPr="002029AF">
        <w:t xml:space="preserve"> </w:t>
      </w:r>
      <w:r w:rsidRPr="002029AF">
        <w:t>home</w:t>
      </w:r>
      <w:r w:rsidR="000A5329" w:rsidRPr="002029AF">
        <w:t xml:space="preserve"> </w:t>
      </w:r>
      <w:r w:rsidRPr="002029AF">
        <w:t>safely</w:t>
      </w:r>
      <w:r w:rsidR="000A5329" w:rsidRPr="002029AF">
        <w:t xml:space="preserve"> </w:t>
      </w:r>
      <w:r w:rsidRPr="002029AF">
        <w:t>every</w:t>
      </w:r>
      <w:r w:rsidR="00B95D52">
        <w:t> </w:t>
      </w:r>
      <w:r w:rsidRPr="002029AF">
        <w:t>day,</w:t>
      </w:r>
      <w:r w:rsidR="000A5329" w:rsidRPr="002029AF">
        <w:t xml:space="preserve"> </w:t>
      </w:r>
      <w:r w:rsidRPr="002029AF">
        <w:t>both</w:t>
      </w:r>
      <w:r w:rsidR="00233C48" w:rsidRPr="002029AF">
        <w:t> </w:t>
      </w:r>
      <w:r w:rsidRPr="002029AF">
        <w:t>physically</w:t>
      </w:r>
      <w:r w:rsidR="000A5329" w:rsidRPr="002029AF">
        <w:t xml:space="preserve"> </w:t>
      </w:r>
      <w:r w:rsidRPr="002029AF">
        <w:t>and</w:t>
      </w:r>
      <w:r w:rsidR="000A5329" w:rsidRPr="002029AF">
        <w:t xml:space="preserve"> </w:t>
      </w:r>
      <w:r w:rsidRPr="002029AF">
        <w:t>psychologically.</w:t>
      </w:r>
    </w:p>
    <w:p w14:paraId="7F24F6E2" w14:textId="0C72DB50" w:rsidR="00CF72D5" w:rsidRPr="002029AF" w:rsidRDefault="00CF72D5" w:rsidP="00897193">
      <w:pPr>
        <w:pStyle w:val="ARbody"/>
      </w:pPr>
      <w:r w:rsidRPr="002029AF">
        <w:t>The</w:t>
      </w:r>
      <w:r w:rsidR="000A5329" w:rsidRPr="002029AF">
        <w:t xml:space="preserve"> </w:t>
      </w:r>
      <w:r w:rsidRPr="002029AF">
        <w:t>department</w:t>
      </w:r>
      <w:r w:rsidR="000A5329" w:rsidRPr="002029AF">
        <w:t xml:space="preserve"> </w:t>
      </w:r>
      <w:r w:rsidRPr="002029AF">
        <w:t>offers</w:t>
      </w:r>
      <w:r w:rsidR="000A5329" w:rsidRPr="002029AF">
        <w:t xml:space="preserve"> </w:t>
      </w:r>
      <w:r w:rsidRPr="002029AF">
        <w:t>a</w:t>
      </w:r>
      <w:r w:rsidR="000A5329" w:rsidRPr="002029AF">
        <w:t xml:space="preserve"> </w:t>
      </w:r>
      <w:r w:rsidRPr="002029AF">
        <w:t>range</w:t>
      </w:r>
      <w:r w:rsidR="000A5329" w:rsidRPr="002029AF">
        <w:t xml:space="preserve"> </w:t>
      </w:r>
      <w:r w:rsidRPr="002029AF">
        <w:t>of</w:t>
      </w:r>
      <w:r w:rsidR="000A5329" w:rsidRPr="002029AF">
        <w:t xml:space="preserve"> </w:t>
      </w:r>
      <w:r w:rsidRPr="002029AF">
        <w:t>employee</w:t>
      </w:r>
      <w:r w:rsidR="000A5329" w:rsidRPr="002029AF">
        <w:t xml:space="preserve"> </w:t>
      </w:r>
      <w:r w:rsidRPr="002029AF">
        <w:t>wellbeing</w:t>
      </w:r>
      <w:r w:rsidR="000A5329" w:rsidRPr="002029AF">
        <w:t xml:space="preserve"> </w:t>
      </w:r>
      <w:r w:rsidRPr="002029AF">
        <w:t>supports</w:t>
      </w:r>
      <w:r w:rsidR="000A5329" w:rsidRPr="002029AF">
        <w:t xml:space="preserve"> </w:t>
      </w:r>
      <w:r w:rsidRPr="002029AF">
        <w:t>to</w:t>
      </w:r>
      <w:r w:rsidR="000A5329" w:rsidRPr="002029AF">
        <w:t xml:space="preserve"> </w:t>
      </w:r>
      <w:r w:rsidRPr="002029AF">
        <w:t>ensure</w:t>
      </w:r>
      <w:r w:rsidR="000A5329" w:rsidRPr="002029AF">
        <w:t xml:space="preserve"> </w:t>
      </w:r>
      <w:r w:rsidRPr="002029AF">
        <w:t>the</w:t>
      </w:r>
      <w:r w:rsidR="000A5329" w:rsidRPr="002029AF">
        <w:t xml:space="preserve"> </w:t>
      </w:r>
      <w:r w:rsidRPr="002029AF">
        <w:t>needs</w:t>
      </w:r>
      <w:r w:rsidR="000A5329" w:rsidRPr="002029AF">
        <w:t xml:space="preserve"> </w:t>
      </w:r>
      <w:r w:rsidRPr="002029AF">
        <w:t>of</w:t>
      </w:r>
      <w:r w:rsidR="000A5329" w:rsidRPr="002029AF">
        <w:t xml:space="preserve"> </w:t>
      </w:r>
      <w:r w:rsidRPr="002029AF">
        <w:t>our</w:t>
      </w:r>
      <w:r w:rsidR="000A5329" w:rsidRPr="002029AF">
        <w:t xml:space="preserve"> </w:t>
      </w:r>
      <w:r w:rsidRPr="002029AF">
        <w:t>diverse</w:t>
      </w:r>
      <w:r w:rsidR="000A5329" w:rsidRPr="002029AF">
        <w:t xml:space="preserve"> </w:t>
      </w:r>
      <w:r w:rsidRPr="002029AF">
        <w:t>workforce</w:t>
      </w:r>
      <w:r w:rsidR="000A5329" w:rsidRPr="002029AF">
        <w:t xml:space="preserve"> </w:t>
      </w:r>
      <w:r w:rsidRPr="002029AF">
        <w:t>are</w:t>
      </w:r>
      <w:r w:rsidR="000A5329" w:rsidRPr="002029AF">
        <w:t xml:space="preserve"> </w:t>
      </w:r>
      <w:r w:rsidRPr="002029AF">
        <w:t>met.</w:t>
      </w:r>
      <w:r w:rsidR="000A5329" w:rsidRPr="002029AF">
        <w:t xml:space="preserve"> </w:t>
      </w:r>
      <w:r w:rsidRPr="002029AF">
        <w:t>Our</w:t>
      </w:r>
      <w:r w:rsidR="000A5329" w:rsidRPr="002029AF">
        <w:t xml:space="preserve"> </w:t>
      </w:r>
      <w:r w:rsidRPr="002029AF">
        <w:t>Employee</w:t>
      </w:r>
      <w:r w:rsidR="000A5329" w:rsidRPr="002029AF">
        <w:t xml:space="preserve"> </w:t>
      </w:r>
      <w:r w:rsidRPr="002029AF">
        <w:t>Wellbeing</w:t>
      </w:r>
      <w:r w:rsidR="000A5329" w:rsidRPr="002029AF">
        <w:t xml:space="preserve"> </w:t>
      </w:r>
      <w:r w:rsidRPr="002029AF">
        <w:t>and</w:t>
      </w:r>
      <w:r w:rsidR="000A5329" w:rsidRPr="002029AF">
        <w:t xml:space="preserve"> </w:t>
      </w:r>
      <w:r w:rsidRPr="002029AF">
        <w:t>Support</w:t>
      </w:r>
      <w:r w:rsidR="000A5329" w:rsidRPr="002029AF">
        <w:t xml:space="preserve"> </w:t>
      </w:r>
      <w:r w:rsidRPr="002029AF">
        <w:t>Program</w:t>
      </w:r>
      <w:r w:rsidR="000A5329" w:rsidRPr="002029AF">
        <w:t xml:space="preserve"> </w:t>
      </w:r>
      <w:r w:rsidRPr="002029AF">
        <w:t>offers</w:t>
      </w:r>
      <w:r w:rsidR="000A5329" w:rsidRPr="002029AF">
        <w:t xml:space="preserve"> </w:t>
      </w:r>
      <w:r w:rsidRPr="002029AF">
        <w:t>a</w:t>
      </w:r>
      <w:r w:rsidR="000A5329" w:rsidRPr="002029AF">
        <w:t xml:space="preserve"> </w:t>
      </w:r>
      <w:r w:rsidRPr="002029AF">
        <w:t>range</w:t>
      </w:r>
      <w:r w:rsidR="000A5329" w:rsidRPr="002029AF">
        <w:t xml:space="preserve"> </w:t>
      </w:r>
      <w:r w:rsidRPr="002029AF">
        <w:t>of</w:t>
      </w:r>
      <w:r w:rsidR="000A5329" w:rsidRPr="002029AF">
        <w:t xml:space="preserve"> </w:t>
      </w:r>
      <w:r w:rsidRPr="002029AF">
        <w:t>specialised</w:t>
      </w:r>
      <w:r w:rsidR="000A5329" w:rsidRPr="002029AF">
        <w:t xml:space="preserve"> </w:t>
      </w:r>
      <w:r w:rsidRPr="002029AF">
        <w:t>employee</w:t>
      </w:r>
      <w:r w:rsidR="000A5329" w:rsidRPr="002029AF">
        <w:t xml:space="preserve"> </w:t>
      </w:r>
      <w:r w:rsidRPr="002029AF">
        <w:t>support</w:t>
      </w:r>
      <w:r w:rsidR="000A5329" w:rsidRPr="002029AF">
        <w:t xml:space="preserve"> </w:t>
      </w:r>
      <w:r w:rsidRPr="002029AF">
        <w:t>services</w:t>
      </w:r>
      <w:r w:rsidR="000A5329" w:rsidRPr="002029AF">
        <w:t xml:space="preserve"> </w:t>
      </w:r>
      <w:r w:rsidRPr="002029AF">
        <w:t>that</w:t>
      </w:r>
      <w:r w:rsidR="000A5329" w:rsidRPr="002029AF">
        <w:t xml:space="preserve"> </w:t>
      </w:r>
      <w:r w:rsidRPr="002029AF">
        <w:t>are</w:t>
      </w:r>
      <w:r w:rsidR="000A5329" w:rsidRPr="002029AF">
        <w:t xml:space="preserve"> </w:t>
      </w:r>
      <w:r w:rsidRPr="002029AF">
        <w:t>proactive,</w:t>
      </w:r>
      <w:r w:rsidR="000A5329" w:rsidRPr="002029AF">
        <w:t xml:space="preserve"> </w:t>
      </w:r>
      <w:r w:rsidRPr="002029AF">
        <w:t>holistic</w:t>
      </w:r>
      <w:r w:rsidR="000A5329" w:rsidRPr="002029AF">
        <w:t xml:space="preserve"> </w:t>
      </w:r>
      <w:r w:rsidRPr="002029AF">
        <w:t>and</w:t>
      </w:r>
      <w:r w:rsidR="000A5329" w:rsidRPr="002029AF">
        <w:t xml:space="preserve"> </w:t>
      </w:r>
      <w:r w:rsidRPr="002029AF">
        <w:t>preventative.</w:t>
      </w:r>
      <w:r w:rsidR="000A5329" w:rsidRPr="002029AF">
        <w:t xml:space="preserve"> </w:t>
      </w:r>
      <w:r w:rsidRPr="002029AF">
        <w:t>Available</w:t>
      </w:r>
      <w:r w:rsidR="000A5329" w:rsidRPr="002029AF">
        <w:t xml:space="preserve"> </w:t>
      </w:r>
      <w:r w:rsidRPr="002029AF">
        <w:t>to</w:t>
      </w:r>
      <w:r w:rsidR="000A5329" w:rsidRPr="002029AF">
        <w:t xml:space="preserve"> </w:t>
      </w:r>
      <w:r w:rsidRPr="002029AF">
        <w:t>all</w:t>
      </w:r>
      <w:r w:rsidR="000A5329" w:rsidRPr="002029AF">
        <w:t xml:space="preserve"> </w:t>
      </w:r>
      <w:r w:rsidRPr="002029AF">
        <w:t>employees</w:t>
      </w:r>
      <w:r w:rsidR="000A5329" w:rsidRPr="002029AF">
        <w:t xml:space="preserve"> </w:t>
      </w:r>
      <w:r w:rsidRPr="002029AF">
        <w:t>and</w:t>
      </w:r>
      <w:r w:rsidR="000A5329" w:rsidRPr="002029AF">
        <w:t xml:space="preserve"> </w:t>
      </w:r>
      <w:r w:rsidRPr="002029AF">
        <w:t>their</w:t>
      </w:r>
      <w:r w:rsidR="000A5329" w:rsidRPr="002029AF">
        <w:t xml:space="preserve"> </w:t>
      </w:r>
      <w:r w:rsidRPr="002029AF">
        <w:t>immediate</w:t>
      </w:r>
      <w:r w:rsidR="000A5329" w:rsidRPr="002029AF">
        <w:t xml:space="preserve"> </w:t>
      </w:r>
      <w:r w:rsidRPr="002029AF">
        <w:t>family</w:t>
      </w:r>
      <w:r w:rsidR="000A5329" w:rsidRPr="002029AF">
        <w:t xml:space="preserve"> </w:t>
      </w:r>
      <w:r w:rsidRPr="002029AF">
        <w:t>members,</w:t>
      </w:r>
      <w:r w:rsidR="000A5329" w:rsidRPr="002029AF">
        <w:t xml:space="preserve"> </w:t>
      </w:r>
      <w:r w:rsidRPr="002029AF">
        <w:t>the</w:t>
      </w:r>
      <w:r w:rsidR="000A5329" w:rsidRPr="002029AF">
        <w:t xml:space="preserve"> </w:t>
      </w:r>
      <w:r w:rsidRPr="002029AF">
        <w:t>program</w:t>
      </w:r>
      <w:r w:rsidR="000A5329" w:rsidRPr="002029AF">
        <w:t xml:space="preserve"> </w:t>
      </w:r>
      <w:r w:rsidRPr="002029AF">
        <w:t>is</w:t>
      </w:r>
      <w:r w:rsidR="000A5329" w:rsidRPr="002029AF">
        <w:t xml:space="preserve"> </w:t>
      </w:r>
      <w:r w:rsidRPr="002029AF">
        <w:t>confidential</w:t>
      </w:r>
      <w:r w:rsidR="000A5329" w:rsidRPr="002029AF">
        <w:t xml:space="preserve"> </w:t>
      </w:r>
      <w:r w:rsidRPr="002029AF">
        <w:t>and</w:t>
      </w:r>
      <w:r w:rsidR="000A5329" w:rsidRPr="002029AF">
        <w:t xml:space="preserve"> </w:t>
      </w:r>
      <w:r w:rsidRPr="002029AF">
        <w:t>available</w:t>
      </w:r>
      <w:r w:rsidR="000A5329" w:rsidRPr="002029AF">
        <w:t xml:space="preserve"> </w:t>
      </w:r>
      <w:r w:rsidRPr="002029AF">
        <w:t>at</w:t>
      </w:r>
      <w:r w:rsidR="000A5329" w:rsidRPr="002029AF">
        <w:t xml:space="preserve"> </w:t>
      </w:r>
      <w:r w:rsidRPr="002029AF">
        <w:t>no</w:t>
      </w:r>
      <w:r w:rsidR="000A5329" w:rsidRPr="002029AF">
        <w:t xml:space="preserve"> </w:t>
      </w:r>
      <w:r w:rsidRPr="002029AF">
        <w:t>cost.</w:t>
      </w:r>
      <w:r w:rsidR="000A5329" w:rsidRPr="002029AF">
        <w:t xml:space="preserve"> </w:t>
      </w:r>
      <w:r w:rsidRPr="002029AF">
        <w:t>The</w:t>
      </w:r>
      <w:r w:rsidR="000A5329" w:rsidRPr="002029AF">
        <w:t xml:space="preserve"> </w:t>
      </w:r>
      <w:r w:rsidRPr="002029AF">
        <w:t>program</w:t>
      </w:r>
      <w:r w:rsidR="000A5329" w:rsidRPr="002029AF">
        <w:t xml:space="preserve"> </w:t>
      </w:r>
      <w:r w:rsidRPr="002029AF">
        <w:t>includes</w:t>
      </w:r>
      <w:r w:rsidR="000A5329" w:rsidRPr="002029AF">
        <w:t xml:space="preserve"> </w:t>
      </w:r>
      <w:r w:rsidRPr="002029AF">
        <w:t>a</w:t>
      </w:r>
      <w:r w:rsidR="000A5329" w:rsidRPr="002029AF">
        <w:t xml:space="preserve"> </w:t>
      </w:r>
      <w:r w:rsidRPr="002029AF">
        <w:t>Peer</w:t>
      </w:r>
      <w:r w:rsidR="000A5329" w:rsidRPr="002029AF">
        <w:t xml:space="preserve"> </w:t>
      </w:r>
      <w:r w:rsidRPr="002029AF">
        <w:t>Support</w:t>
      </w:r>
      <w:r w:rsidR="000A5329" w:rsidRPr="002029AF">
        <w:t xml:space="preserve"> </w:t>
      </w:r>
      <w:r w:rsidRPr="002029AF">
        <w:t>Network</w:t>
      </w:r>
      <w:r w:rsidR="000A5329" w:rsidRPr="002029AF">
        <w:t xml:space="preserve"> </w:t>
      </w:r>
      <w:r w:rsidRPr="002029AF">
        <w:t>which</w:t>
      </w:r>
      <w:r w:rsidR="000A5329" w:rsidRPr="002029AF">
        <w:t xml:space="preserve"> </w:t>
      </w:r>
      <w:r w:rsidRPr="002029AF">
        <w:t>provides</w:t>
      </w:r>
      <w:r w:rsidR="000A5329" w:rsidRPr="002029AF">
        <w:t xml:space="preserve"> </w:t>
      </w:r>
      <w:r w:rsidRPr="002029AF">
        <w:t>informal,</w:t>
      </w:r>
      <w:r w:rsidR="000A5329" w:rsidRPr="002029AF">
        <w:t xml:space="preserve"> </w:t>
      </w:r>
      <w:r w:rsidRPr="002029AF">
        <w:t>confidential</w:t>
      </w:r>
      <w:r w:rsidR="000A5329" w:rsidRPr="002029AF">
        <w:t xml:space="preserve"> </w:t>
      </w:r>
      <w:r w:rsidRPr="002029AF">
        <w:t>support</w:t>
      </w:r>
      <w:r w:rsidR="000A5329" w:rsidRPr="002029AF">
        <w:t xml:space="preserve"> </w:t>
      </w:r>
      <w:r w:rsidRPr="002029AF">
        <w:t>to</w:t>
      </w:r>
      <w:r w:rsidR="000A5329" w:rsidRPr="002029AF">
        <w:t xml:space="preserve"> </w:t>
      </w:r>
      <w:r w:rsidRPr="002029AF">
        <w:t>employees</w:t>
      </w:r>
      <w:r w:rsidR="000A5329" w:rsidRPr="002029AF">
        <w:t xml:space="preserve"> </w:t>
      </w:r>
      <w:r w:rsidRPr="002029AF">
        <w:t>using</w:t>
      </w:r>
      <w:r w:rsidR="000A5329" w:rsidRPr="002029AF">
        <w:t xml:space="preserve"> </w:t>
      </w:r>
      <w:r w:rsidRPr="002029AF">
        <w:t>an</w:t>
      </w:r>
      <w:r w:rsidR="000A5329" w:rsidRPr="002029AF">
        <w:t xml:space="preserve"> </w:t>
      </w:r>
      <w:r w:rsidRPr="002029AF">
        <w:t>active</w:t>
      </w:r>
      <w:r w:rsidR="000A5329" w:rsidRPr="002029AF">
        <w:t xml:space="preserve"> </w:t>
      </w:r>
      <w:r w:rsidRPr="002029AF">
        <w:t>listening,</w:t>
      </w:r>
      <w:r w:rsidR="000A5329" w:rsidRPr="002029AF">
        <w:t xml:space="preserve"> </w:t>
      </w:r>
      <w:r w:rsidRPr="002029AF">
        <w:t>clarification</w:t>
      </w:r>
      <w:r w:rsidR="000A5329" w:rsidRPr="002029AF">
        <w:t xml:space="preserve"> </w:t>
      </w:r>
      <w:r w:rsidRPr="002029AF">
        <w:t>and</w:t>
      </w:r>
      <w:r w:rsidR="000A5329" w:rsidRPr="002029AF">
        <w:t xml:space="preserve"> </w:t>
      </w:r>
      <w:r w:rsidRPr="002029AF">
        <w:t>referral</w:t>
      </w:r>
      <w:r w:rsidR="000A5329" w:rsidRPr="002029AF">
        <w:t xml:space="preserve"> </w:t>
      </w:r>
      <w:r w:rsidRPr="002029AF">
        <w:t>model.</w:t>
      </w:r>
      <w:r w:rsidR="000A5329" w:rsidRPr="002029AF">
        <w:t xml:space="preserve"> </w:t>
      </w:r>
      <w:r w:rsidRPr="002029AF">
        <w:t>Assistance</w:t>
      </w:r>
      <w:r w:rsidR="000A5329" w:rsidRPr="002029AF">
        <w:t xml:space="preserve"> </w:t>
      </w:r>
      <w:r w:rsidRPr="002029AF">
        <w:t>is</w:t>
      </w:r>
      <w:r w:rsidR="000A5329" w:rsidRPr="002029AF">
        <w:t xml:space="preserve"> </w:t>
      </w:r>
      <w:r w:rsidRPr="002029AF">
        <w:t>provided</w:t>
      </w:r>
      <w:r w:rsidR="000A5329" w:rsidRPr="002029AF">
        <w:t xml:space="preserve"> </w:t>
      </w:r>
      <w:r w:rsidRPr="002029AF">
        <w:t>by</w:t>
      </w:r>
      <w:r w:rsidR="000A5329" w:rsidRPr="002029AF">
        <w:t xml:space="preserve"> </w:t>
      </w:r>
      <w:r w:rsidR="00546143" w:rsidRPr="002029AF">
        <w:t>p</w:t>
      </w:r>
      <w:r w:rsidRPr="002029AF">
        <w:t>eer</w:t>
      </w:r>
      <w:r w:rsidR="000A5329" w:rsidRPr="002029AF">
        <w:t xml:space="preserve"> </w:t>
      </w:r>
      <w:r w:rsidR="00546143" w:rsidRPr="002029AF">
        <w:t>s</w:t>
      </w:r>
      <w:r w:rsidRPr="002029AF">
        <w:t>upporters</w:t>
      </w:r>
      <w:r w:rsidR="00FD335F" w:rsidRPr="002029AF">
        <w:t>,</w:t>
      </w:r>
      <w:r w:rsidR="000A5329" w:rsidRPr="002029AF">
        <w:t xml:space="preserve"> </w:t>
      </w:r>
      <w:r w:rsidRPr="002029AF">
        <w:t>department</w:t>
      </w:r>
      <w:r w:rsidR="000A5329" w:rsidRPr="002029AF">
        <w:t xml:space="preserve"> </w:t>
      </w:r>
      <w:r w:rsidRPr="002029AF">
        <w:t>employees</w:t>
      </w:r>
      <w:r w:rsidR="000A5329" w:rsidRPr="002029AF">
        <w:t xml:space="preserve"> </w:t>
      </w:r>
      <w:r w:rsidRPr="002029AF">
        <w:t>volunteer</w:t>
      </w:r>
      <w:r w:rsidR="000A5329" w:rsidRPr="002029AF">
        <w:t xml:space="preserve"> </w:t>
      </w:r>
      <w:r w:rsidRPr="002029AF">
        <w:t>to</w:t>
      </w:r>
      <w:r w:rsidR="000A5329" w:rsidRPr="002029AF">
        <w:t xml:space="preserve"> </w:t>
      </w:r>
      <w:r w:rsidRPr="002029AF">
        <w:t>support</w:t>
      </w:r>
      <w:r w:rsidR="000A5329" w:rsidRPr="002029AF">
        <w:t xml:space="preserve"> </w:t>
      </w:r>
      <w:r w:rsidRPr="002029AF">
        <w:t>their</w:t>
      </w:r>
      <w:r w:rsidR="000A5329" w:rsidRPr="002029AF">
        <w:t xml:space="preserve"> </w:t>
      </w:r>
      <w:r w:rsidRPr="002029AF">
        <w:t>colleagues.</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also</w:t>
      </w:r>
      <w:r w:rsidR="000A5329" w:rsidRPr="002029AF">
        <w:t xml:space="preserve"> </w:t>
      </w:r>
      <w:r w:rsidRPr="002029AF">
        <w:t>has</w:t>
      </w:r>
      <w:r w:rsidR="000A5329" w:rsidRPr="002029AF">
        <w:t xml:space="preserve"> </w:t>
      </w:r>
      <w:r w:rsidRPr="002029AF">
        <w:t>a</w:t>
      </w:r>
      <w:r w:rsidR="000A5329" w:rsidRPr="002029AF">
        <w:t xml:space="preserve"> </w:t>
      </w:r>
      <w:r w:rsidR="00FD335F" w:rsidRPr="002029AF">
        <w:t>w</w:t>
      </w:r>
      <w:r w:rsidRPr="002029AF">
        <w:t>orkplace</w:t>
      </w:r>
      <w:r w:rsidR="000A5329" w:rsidRPr="002029AF">
        <w:t xml:space="preserve"> </w:t>
      </w:r>
      <w:r w:rsidR="00FD335F" w:rsidRPr="002029AF">
        <w:t>f</w:t>
      </w:r>
      <w:r w:rsidRPr="002029AF">
        <w:t>acilitator</w:t>
      </w:r>
      <w:r w:rsidR="000A5329" w:rsidRPr="002029AF">
        <w:t xml:space="preserve"> </w:t>
      </w:r>
      <w:r w:rsidRPr="002029AF">
        <w:t>a</w:t>
      </w:r>
      <w:r w:rsidR="000A5329" w:rsidRPr="002029AF">
        <w:t xml:space="preserve"> </w:t>
      </w:r>
      <w:r w:rsidRPr="002029AF">
        <w:t>designated</w:t>
      </w:r>
      <w:r w:rsidR="000A5329" w:rsidRPr="002029AF">
        <w:t xml:space="preserve"> </w:t>
      </w:r>
      <w:r w:rsidRPr="002029AF">
        <w:t>independent,</w:t>
      </w:r>
      <w:r w:rsidR="000A5329" w:rsidRPr="002029AF">
        <w:t xml:space="preserve"> </w:t>
      </w:r>
      <w:r w:rsidRPr="002029AF">
        <w:t>neutral</w:t>
      </w:r>
      <w:r w:rsidR="000A5329" w:rsidRPr="002029AF">
        <w:t xml:space="preserve"> </w:t>
      </w:r>
      <w:r w:rsidRPr="002029AF">
        <w:t>person</w:t>
      </w:r>
      <w:r w:rsidR="000A5329" w:rsidRPr="002029AF">
        <w:t xml:space="preserve"> </w:t>
      </w:r>
      <w:r w:rsidRPr="002029AF">
        <w:t>who</w:t>
      </w:r>
      <w:r w:rsidR="000A5329" w:rsidRPr="002029AF">
        <w:t xml:space="preserve"> </w:t>
      </w:r>
      <w:r w:rsidRPr="002029AF">
        <w:t>provides</w:t>
      </w:r>
      <w:r w:rsidR="000A5329" w:rsidRPr="002029AF">
        <w:t xml:space="preserve"> </w:t>
      </w:r>
      <w:r w:rsidRPr="002029AF">
        <w:t>impartial,</w:t>
      </w:r>
      <w:r w:rsidR="000A5329" w:rsidRPr="002029AF">
        <w:t xml:space="preserve"> </w:t>
      </w:r>
      <w:r w:rsidRPr="002029AF">
        <w:t>off-the-record</w:t>
      </w:r>
      <w:r w:rsidR="000A5329" w:rsidRPr="002029AF">
        <w:t xml:space="preserve"> </w:t>
      </w:r>
      <w:r w:rsidRPr="002029AF">
        <w:t>assistance</w:t>
      </w:r>
      <w:r w:rsidR="000A5329" w:rsidRPr="002029AF">
        <w:t xml:space="preserve"> </w:t>
      </w:r>
      <w:r w:rsidRPr="002029AF">
        <w:t>to</w:t>
      </w:r>
      <w:r w:rsidR="000A5329" w:rsidRPr="002029AF">
        <w:t xml:space="preserve"> </w:t>
      </w:r>
      <w:r w:rsidRPr="002029AF">
        <w:t>employees</w:t>
      </w:r>
      <w:r w:rsidR="000A5329" w:rsidRPr="002029AF">
        <w:t xml:space="preserve"> </w:t>
      </w:r>
      <w:r w:rsidRPr="002029AF">
        <w:t>for</w:t>
      </w:r>
      <w:r w:rsidR="000A5329" w:rsidRPr="002029AF">
        <w:t xml:space="preserve"> </w:t>
      </w:r>
      <w:r w:rsidRPr="002029AF">
        <w:t>the</w:t>
      </w:r>
      <w:r w:rsidR="000A5329" w:rsidRPr="002029AF">
        <w:t xml:space="preserve"> </w:t>
      </w:r>
      <w:r w:rsidRPr="002029AF">
        <w:t>informal</w:t>
      </w:r>
      <w:r w:rsidR="000A5329" w:rsidRPr="002029AF">
        <w:t xml:space="preserve"> </w:t>
      </w:r>
      <w:r w:rsidRPr="002029AF">
        <w:t>resolution</w:t>
      </w:r>
      <w:r w:rsidR="000A5329" w:rsidRPr="002029AF">
        <w:t xml:space="preserve"> </w:t>
      </w:r>
      <w:r w:rsidRPr="002029AF">
        <w:t>of</w:t>
      </w:r>
      <w:r w:rsidR="000A5329" w:rsidRPr="002029AF">
        <w:t xml:space="preserve"> </w:t>
      </w:r>
      <w:r w:rsidRPr="002029AF">
        <w:t>concerns</w:t>
      </w:r>
      <w:r w:rsidR="000A5329" w:rsidRPr="002029AF">
        <w:t xml:space="preserve"> </w:t>
      </w:r>
      <w:r w:rsidRPr="002029AF">
        <w:t>and</w:t>
      </w:r>
      <w:r w:rsidR="000A5329" w:rsidRPr="002029AF">
        <w:t xml:space="preserve"> </w:t>
      </w:r>
      <w:r w:rsidRPr="002029AF">
        <w:t>conflicts</w:t>
      </w:r>
      <w:r w:rsidR="000A5329" w:rsidRPr="002029AF">
        <w:t xml:space="preserve"> </w:t>
      </w:r>
      <w:r w:rsidRPr="002029AF">
        <w:t>related</w:t>
      </w:r>
      <w:r w:rsidR="000A5329" w:rsidRPr="002029AF">
        <w:t xml:space="preserve"> </w:t>
      </w:r>
      <w:r w:rsidRPr="002029AF">
        <w:t>to</w:t>
      </w:r>
      <w:r w:rsidR="000A5329" w:rsidRPr="002029AF">
        <w:t xml:space="preserve"> </w:t>
      </w:r>
      <w:r w:rsidRPr="002029AF">
        <w:t>their</w:t>
      </w:r>
      <w:r w:rsidR="00B95D52">
        <w:t> </w:t>
      </w:r>
      <w:r w:rsidRPr="002029AF">
        <w:t>job</w:t>
      </w:r>
      <w:r w:rsidR="00D114AD" w:rsidRPr="002029AF">
        <w:t>.</w:t>
      </w:r>
    </w:p>
    <w:p w14:paraId="482029B9" w14:textId="401FA076" w:rsidR="00CF72D5" w:rsidRPr="002029AF" w:rsidRDefault="00CF72D5" w:rsidP="00897193">
      <w:pPr>
        <w:pStyle w:val="Heading3"/>
      </w:pPr>
      <w:bookmarkStart w:id="78" w:name="_Hlk50386957"/>
      <w:r w:rsidRPr="002029AF">
        <w:t>Gender</w:t>
      </w:r>
      <w:r w:rsidR="000A5329" w:rsidRPr="002029AF">
        <w:t xml:space="preserve"> </w:t>
      </w:r>
      <w:r w:rsidRPr="002029AF">
        <w:t>equality</w:t>
      </w:r>
    </w:p>
    <w:bookmarkEnd w:id="78"/>
    <w:p w14:paraId="14ED6E29" w14:textId="14D9DA03" w:rsidR="00CF72D5" w:rsidRPr="002029AF" w:rsidRDefault="00CF72D5" w:rsidP="00897193">
      <w:pPr>
        <w:pStyle w:val="ARbody"/>
      </w:pPr>
      <w:r w:rsidRPr="002029AF">
        <w:t>The</w:t>
      </w:r>
      <w:r w:rsidR="000A5329" w:rsidRPr="002029AF">
        <w:t xml:space="preserve"> </w:t>
      </w:r>
      <w:r w:rsidRPr="002029AF">
        <w:t>department</w:t>
      </w:r>
      <w:r w:rsidR="000A5329" w:rsidRPr="002029AF">
        <w:t xml:space="preserve"> </w:t>
      </w:r>
      <w:r w:rsidRPr="002029AF">
        <w:t>launched</w:t>
      </w:r>
      <w:r w:rsidR="000A5329" w:rsidRPr="002029AF">
        <w:t xml:space="preserve"> </w:t>
      </w:r>
      <w:r w:rsidRPr="002029AF">
        <w:t>the</w:t>
      </w:r>
      <w:r w:rsidR="000A5329" w:rsidRPr="002029AF">
        <w:t xml:space="preserve"> </w:t>
      </w:r>
      <w:r w:rsidRPr="002029AF">
        <w:t>Gender</w:t>
      </w:r>
      <w:r w:rsidR="000A5329" w:rsidRPr="002029AF">
        <w:t xml:space="preserve"> </w:t>
      </w:r>
      <w:r w:rsidR="00FD335F" w:rsidRPr="002029AF">
        <w:t>e</w:t>
      </w:r>
      <w:r w:rsidRPr="002029AF">
        <w:t>quality</w:t>
      </w:r>
      <w:r w:rsidR="000A5329" w:rsidRPr="002029AF">
        <w:t xml:space="preserve"> </w:t>
      </w:r>
      <w:r w:rsidR="00FD335F" w:rsidRPr="002029AF">
        <w:t>a</w:t>
      </w:r>
      <w:r w:rsidRPr="002029AF">
        <w:t>ction</w:t>
      </w:r>
      <w:r w:rsidR="000A5329" w:rsidRPr="002029AF">
        <w:t xml:space="preserve"> </w:t>
      </w:r>
      <w:r w:rsidR="00FD335F" w:rsidRPr="002029AF">
        <w:t>p</w:t>
      </w:r>
      <w:r w:rsidRPr="002029AF">
        <w:t>lan</w:t>
      </w:r>
      <w:r w:rsidR="000A5329" w:rsidRPr="002029AF">
        <w:t xml:space="preserve"> </w:t>
      </w:r>
      <w:r w:rsidRPr="002029AF">
        <w:t>in</w:t>
      </w:r>
      <w:r w:rsidR="000A5329" w:rsidRPr="002029AF">
        <w:t xml:space="preserve"> </w:t>
      </w:r>
      <w:r w:rsidRPr="002029AF">
        <w:t>July</w:t>
      </w:r>
      <w:r w:rsidR="000A5329" w:rsidRPr="002029AF">
        <w:t xml:space="preserve"> </w:t>
      </w:r>
      <w:r w:rsidRPr="002029AF">
        <w:t>2019</w:t>
      </w:r>
      <w:r w:rsidR="000A5329" w:rsidRPr="002029AF">
        <w:t xml:space="preserve"> </w:t>
      </w:r>
      <w:r w:rsidRPr="002029AF">
        <w:t>to</w:t>
      </w:r>
      <w:r w:rsidR="000A5329" w:rsidRPr="002029AF">
        <w:t xml:space="preserve"> </w:t>
      </w:r>
      <w:r w:rsidRPr="002029AF">
        <w:t>further</w:t>
      </w:r>
      <w:r w:rsidR="000A5329" w:rsidRPr="002029AF">
        <w:t xml:space="preserve"> </w:t>
      </w:r>
      <w:r w:rsidRPr="002029AF">
        <w:t>work</w:t>
      </w:r>
      <w:r w:rsidR="000A5329" w:rsidRPr="002029AF">
        <w:t xml:space="preserve"> </w:t>
      </w:r>
      <w:r w:rsidRPr="002029AF">
        <w:t>already</w:t>
      </w:r>
      <w:r w:rsidR="000A5329" w:rsidRPr="002029AF">
        <w:t xml:space="preserve"> </w:t>
      </w:r>
      <w:r w:rsidRPr="002029AF">
        <w:t>underway</w:t>
      </w:r>
      <w:r w:rsidR="000A5329" w:rsidRPr="002029AF">
        <w:t xml:space="preserve"> </w:t>
      </w:r>
      <w:r w:rsidRPr="002029AF">
        <w:t>to</w:t>
      </w:r>
      <w:r w:rsidR="000A5329" w:rsidRPr="002029AF">
        <w:t xml:space="preserve"> </w:t>
      </w:r>
      <w:r w:rsidRPr="002029AF">
        <w:t>support</w:t>
      </w:r>
      <w:r w:rsidR="000A5329" w:rsidRPr="002029AF">
        <w:t xml:space="preserve"> </w:t>
      </w:r>
      <w:r w:rsidRPr="002029AF">
        <w:t>our</w:t>
      </w:r>
      <w:r w:rsidR="000A5329" w:rsidRPr="002029AF">
        <w:t xml:space="preserve"> </w:t>
      </w:r>
      <w:r w:rsidRPr="002029AF">
        <w:t>commitment</w:t>
      </w:r>
      <w:r w:rsidR="000A5329" w:rsidRPr="002029AF">
        <w:t xml:space="preserve"> </w:t>
      </w:r>
      <w:r w:rsidRPr="002029AF">
        <w:t>to</w:t>
      </w:r>
      <w:r w:rsidR="000A5329" w:rsidRPr="002029AF">
        <w:t xml:space="preserve"> </w:t>
      </w:r>
      <w:r w:rsidRPr="002029AF">
        <w:t>gender</w:t>
      </w:r>
      <w:r w:rsidR="000A5329" w:rsidRPr="002029AF">
        <w:t xml:space="preserve"> </w:t>
      </w:r>
      <w:r w:rsidRPr="002029AF">
        <w:t>equality.</w:t>
      </w:r>
      <w:r w:rsidR="000A5329" w:rsidRPr="002029AF">
        <w:t xml:space="preserve"> </w:t>
      </w:r>
      <w:r w:rsidRPr="002029AF">
        <w:t>The</w:t>
      </w:r>
      <w:r w:rsidR="000A5329" w:rsidRPr="002029AF">
        <w:t xml:space="preserve"> </w:t>
      </w:r>
      <w:r w:rsidR="00FD335F" w:rsidRPr="002029AF">
        <w:t>p</w:t>
      </w:r>
      <w:r w:rsidRPr="002029AF">
        <w:t>lan</w:t>
      </w:r>
      <w:r w:rsidR="000A5329" w:rsidRPr="002029AF">
        <w:t xml:space="preserve"> </w:t>
      </w:r>
      <w:r w:rsidRPr="002029AF">
        <w:t>is</w:t>
      </w:r>
      <w:r w:rsidR="000A5329" w:rsidRPr="002029AF">
        <w:t xml:space="preserve"> </w:t>
      </w:r>
      <w:r w:rsidRPr="002029AF">
        <w:t>not</w:t>
      </w:r>
      <w:r w:rsidR="000A5329" w:rsidRPr="002029AF">
        <w:t xml:space="preserve"> </w:t>
      </w:r>
      <w:r w:rsidRPr="002029AF">
        <w:t>about</w:t>
      </w:r>
      <w:r w:rsidR="000A5329" w:rsidRPr="002029AF">
        <w:t xml:space="preserve"> </w:t>
      </w:r>
      <w:r w:rsidRPr="002029AF">
        <w:t>how</w:t>
      </w:r>
      <w:r w:rsidR="000A5329" w:rsidRPr="002029AF">
        <w:t xml:space="preserve"> </w:t>
      </w:r>
      <w:r w:rsidRPr="002029AF">
        <w:t>many</w:t>
      </w:r>
      <w:r w:rsidR="000A5329" w:rsidRPr="002029AF">
        <w:t xml:space="preserve"> </w:t>
      </w:r>
      <w:r w:rsidRPr="002029AF">
        <w:t>women</w:t>
      </w:r>
      <w:r w:rsidR="000A5329" w:rsidRPr="002029AF">
        <w:t xml:space="preserve"> </w:t>
      </w:r>
      <w:r w:rsidRPr="002029AF">
        <w:t>or</w:t>
      </w:r>
      <w:r w:rsidR="00B95D52">
        <w:t> </w:t>
      </w:r>
      <w:r w:rsidRPr="002029AF">
        <w:t>men</w:t>
      </w:r>
      <w:r w:rsidR="000A5329" w:rsidRPr="002029AF">
        <w:t xml:space="preserve"> </w:t>
      </w:r>
      <w:r w:rsidRPr="002029AF">
        <w:t>are</w:t>
      </w:r>
      <w:r w:rsidR="000A5329" w:rsidRPr="002029AF">
        <w:t xml:space="preserve"> </w:t>
      </w:r>
      <w:r w:rsidRPr="002029AF">
        <w:t>employed</w:t>
      </w:r>
      <w:r w:rsidR="000A5329" w:rsidRPr="002029AF">
        <w:t xml:space="preserve"> </w:t>
      </w:r>
      <w:r w:rsidRPr="002029AF">
        <w:t>at</w:t>
      </w:r>
      <w:r w:rsidR="000A5329" w:rsidRPr="002029AF">
        <w:t xml:space="preserve"> </w:t>
      </w:r>
      <w:r w:rsidRPr="002029AF">
        <w:t>any</w:t>
      </w:r>
      <w:r w:rsidR="000A5329" w:rsidRPr="002029AF">
        <w:t xml:space="preserve"> </w:t>
      </w:r>
      <w:r w:rsidRPr="002029AF">
        <w:t>particular</w:t>
      </w:r>
      <w:r w:rsidR="000A5329" w:rsidRPr="002029AF">
        <w:t xml:space="preserve"> </w:t>
      </w:r>
      <w:r w:rsidRPr="002029AF">
        <w:t>level</w:t>
      </w:r>
      <w:r w:rsidR="000A5329" w:rsidRPr="002029AF">
        <w:t xml:space="preserve"> </w:t>
      </w:r>
      <w:r w:rsidRPr="002029AF">
        <w:t>of</w:t>
      </w:r>
      <w:r w:rsidR="000A5329" w:rsidRPr="002029AF">
        <w:t xml:space="preserve"> </w:t>
      </w:r>
      <w:r w:rsidRPr="002029AF">
        <w:t>the</w:t>
      </w:r>
      <w:r w:rsidR="000A5329" w:rsidRPr="002029AF">
        <w:t xml:space="preserve"> </w:t>
      </w:r>
      <w:r w:rsidRPr="002029AF">
        <w:t>department</w:t>
      </w:r>
      <w:r w:rsidR="003A0BB3" w:rsidRPr="002029AF">
        <w:t>.</w:t>
      </w:r>
      <w:r w:rsidR="000A5329" w:rsidRPr="002029AF">
        <w:t xml:space="preserve"> </w:t>
      </w:r>
      <w:r w:rsidR="003A0BB3" w:rsidRPr="002029AF">
        <w:t>R</w:t>
      </w:r>
      <w:r w:rsidRPr="002029AF">
        <w:t>ather</w:t>
      </w:r>
      <w:r w:rsidR="000A5329" w:rsidRPr="002029AF">
        <w:t xml:space="preserve"> </w:t>
      </w:r>
      <w:r w:rsidR="003A0BB3" w:rsidRPr="002029AF">
        <w:t>it</w:t>
      </w:r>
      <w:r w:rsidR="000A5329" w:rsidRPr="002029AF">
        <w:t xml:space="preserve"> </w:t>
      </w:r>
      <w:r w:rsidR="003A0BB3" w:rsidRPr="002029AF">
        <w:t>is</w:t>
      </w:r>
      <w:r w:rsidR="000A5329" w:rsidRPr="002029AF">
        <w:t xml:space="preserve"> </w:t>
      </w:r>
      <w:r w:rsidRPr="002029AF">
        <w:t>about</w:t>
      </w:r>
      <w:r w:rsidR="000A5329" w:rsidRPr="002029AF">
        <w:t xml:space="preserve"> </w:t>
      </w:r>
      <w:r w:rsidRPr="002029AF">
        <w:t>‘normalising’</w:t>
      </w:r>
      <w:r w:rsidR="000A5329" w:rsidRPr="002029AF">
        <w:t xml:space="preserve"> </w:t>
      </w:r>
      <w:r w:rsidRPr="002029AF">
        <w:t>and</w:t>
      </w:r>
      <w:r w:rsidR="000A5329" w:rsidRPr="002029AF">
        <w:t xml:space="preserve"> </w:t>
      </w:r>
      <w:r w:rsidRPr="002029AF">
        <w:t>embedding</w:t>
      </w:r>
      <w:r w:rsidR="000A5329" w:rsidRPr="002029AF">
        <w:t xml:space="preserve"> </w:t>
      </w:r>
      <w:r w:rsidRPr="002029AF">
        <w:t>gender</w:t>
      </w:r>
      <w:r w:rsidR="000A5329" w:rsidRPr="002029AF">
        <w:t xml:space="preserve"> </w:t>
      </w:r>
      <w:r w:rsidRPr="002029AF">
        <w:t>equality</w:t>
      </w:r>
      <w:r w:rsidR="000A5329" w:rsidRPr="002029AF">
        <w:t xml:space="preserve"> </w:t>
      </w:r>
      <w:r w:rsidRPr="002029AF">
        <w:t>into</w:t>
      </w:r>
      <w:r w:rsidR="000A5329" w:rsidRPr="002029AF">
        <w:t xml:space="preserve"> </w:t>
      </w:r>
      <w:r w:rsidR="0040498E" w:rsidRPr="002029AF">
        <w:t>all</w:t>
      </w:r>
      <w:r w:rsidR="000A5329" w:rsidRPr="002029AF">
        <w:t xml:space="preserve"> </w:t>
      </w:r>
      <w:r w:rsidRPr="002029AF">
        <w:t>our</w:t>
      </w:r>
      <w:r w:rsidR="000A5329" w:rsidRPr="002029AF">
        <w:t xml:space="preserve"> </w:t>
      </w:r>
      <w:r w:rsidRPr="002029AF">
        <w:t>practices</w:t>
      </w:r>
      <w:r w:rsidR="000A5329" w:rsidRPr="002029AF">
        <w:t xml:space="preserve"> </w:t>
      </w:r>
      <w:r w:rsidRPr="002029AF">
        <w:t>and</w:t>
      </w:r>
      <w:r w:rsidR="000A5329" w:rsidRPr="002029AF">
        <w:t xml:space="preserve"> </w:t>
      </w:r>
      <w:r w:rsidRPr="002029AF">
        <w:t>behaviours.</w:t>
      </w:r>
      <w:r w:rsidR="000A5329" w:rsidRPr="002029AF">
        <w:t xml:space="preserve"> </w:t>
      </w:r>
      <w:r w:rsidRPr="002029AF">
        <w:t>In</w:t>
      </w:r>
      <w:r w:rsidR="000A5329" w:rsidRPr="002029AF">
        <w:t xml:space="preserve"> </w:t>
      </w:r>
      <w:r w:rsidRPr="002029AF">
        <w:t>doing</w:t>
      </w:r>
      <w:r w:rsidR="000A5329" w:rsidRPr="002029AF">
        <w:t xml:space="preserve"> </w:t>
      </w:r>
      <w:r w:rsidRPr="002029AF">
        <w:t>so,</w:t>
      </w:r>
      <w:r w:rsidR="000A5329" w:rsidRPr="002029AF">
        <w:t xml:space="preserve"> </w:t>
      </w:r>
      <w:r w:rsidRPr="002029AF">
        <w:t>we</w:t>
      </w:r>
      <w:r w:rsidR="000A5329" w:rsidRPr="002029AF">
        <w:t xml:space="preserve"> </w:t>
      </w:r>
      <w:r w:rsidRPr="002029AF">
        <w:t>further</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vision:</w:t>
      </w:r>
      <w:r w:rsidR="000A5329" w:rsidRPr="002029AF">
        <w:t xml:space="preserve"> </w:t>
      </w:r>
      <w:r w:rsidRPr="002029AF">
        <w:t>to</w:t>
      </w:r>
      <w:r w:rsidR="000A5329" w:rsidRPr="002029AF">
        <w:t xml:space="preserve"> </w:t>
      </w:r>
      <w:r w:rsidRPr="002029AF">
        <w:t>achieve</w:t>
      </w:r>
      <w:r w:rsidR="000A5329" w:rsidRPr="002029AF">
        <w:t xml:space="preserve"> </w:t>
      </w:r>
      <w:r w:rsidRPr="002029AF">
        <w:t>the</w:t>
      </w:r>
      <w:r w:rsidR="000A5329" w:rsidRPr="002029AF">
        <w:t xml:space="preserve"> </w:t>
      </w:r>
      <w:r w:rsidRPr="002029AF">
        <w:t>best</w:t>
      </w:r>
      <w:r w:rsidR="000A5329" w:rsidRPr="002029AF">
        <w:t xml:space="preserve"> </w:t>
      </w:r>
      <w:r w:rsidRPr="002029AF">
        <w:t>health,</w:t>
      </w:r>
      <w:r w:rsidR="000A5329" w:rsidRPr="002029AF">
        <w:t xml:space="preserve"> </w:t>
      </w:r>
      <w:r w:rsidRPr="002029AF">
        <w:t>wellbeing</w:t>
      </w:r>
      <w:r w:rsidR="000A5329" w:rsidRPr="002029AF">
        <w:t xml:space="preserve"> </w:t>
      </w:r>
      <w:r w:rsidRPr="002029AF">
        <w:t>and</w:t>
      </w:r>
      <w:r w:rsidR="000A5329" w:rsidRPr="002029AF">
        <w:t xml:space="preserve"> </w:t>
      </w:r>
      <w:r w:rsidRPr="002029AF">
        <w:t>safety</w:t>
      </w:r>
      <w:r w:rsidR="000A5329" w:rsidRPr="002029AF">
        <w:t xml:space="preserve"> </w:t>
      </w:r>
      <w:r w:rsidRPr="002029AF">
        <w:t>of</w:t>
      </w:r>
      <w:r w:rsidR="00233C48" w:rsidRPr="002029AF">
        <w:t> </w:t>
      </w:r>
      <w:r w:rsidRPr="002029AF">
        <w:t>all</w:t>
      </w:r>
      <w:r w:rsidR="000A5329" w:rsidRPr="002029AF">
        <w:t xml:space="preserve"> </w:t>
      </w:r>
      <w:r w:rsidRPr="002029AF">
        <w:t>Victorians</w:t>
      </w:r>
      <w:r w:rsidR="000A5329" w:rsidRPr="002029AF">
        <w:t xml:space="preserve"> </w:t>
      </w:r>
      <w:r w:rsidRPr="002029AF">
        <w:t>so</w:t>
      </w:r>
      <w:r w:rsidR="000A5329" w:rsidRPr="002029AF">
        <w:t xml:space="preserve"> </w:t>
      </w:r>
      <w:r w:rsidRPr="002029AF">
        <w:t>that</w:t>
      </w:r>
      <w:r w:rsidR="000A5329" w:rsidRPr="002029AF">
        <w:t xml:space="preserve"> </w:t>
      </w:r>
      <w:r w:rsidRPr="002029AF">
        <w:t>they</w:t>
      </w:r>
      <w:r w:rsidR="000A5329" w:rsidRPr="002029AF">
        <w:t xml:space="preserve"> </w:t>
      </w:r>
      <w:r w:rsidRPr="002029AF">
        <w:t>can</w:t>
      </w:r>
      <w:r w:rsidR="000A5329" w:rsidRPr="002029AF">
        <w:t xml:space="preserve"> </w:t>
      </w:r>
      <w:r w:rsidRPr="002029AF">
        <w:t>live</w:t>
      </w:r>
      <w:r w:rsidR="000A5329" w:rsidRPr="002029AF">
        <w:t xml:space="preserve"> </w:t>
      </w:r>
      <w:r w:rsidRPr="002029AF">
        <w:t>a</w:t>
      </w:r>
      <w:r w:rsidR="000A5329" w:rsidRPr="002029AF">
        <w:t xml:space="preserve"> </w:t>
      </w:r>
      <w:r w:rsidRPr="002029AF">
        <w:t>life</w:t>
      </w:r>
      <w:r w:rsidR="000A5329" w:rsidRPr="002029AF">
        <w:t xml:space="preserve"> </w:t>
      </w:r>
      <w:r w:rsidRPr="002029AF">
        <w:t>they</w:t>
      </w:r>
      <w:r w:rsidR="000A5329" w:rsidRPr="002029AF">
        <w:t xml:space="preserve"> </w:t>
      </w:r>
      <w:r w:rsidRPr="002029AF">
        <w:t>value.</w:t>
      </w:r>
    </w:p>
    <w:p w14:paraId="73A7C719" w14:textId="260F9A5B" w:rsidR="00CF72D5" w:rsidRPr="002029AF" w:rsidRDefault="00CF72D5" w:rsidP="00897193">
      <w:pPr>
        <w:pStyle w:val="ARbody"/>
      </w:pPr>
      <w:r w:rsidRPr="002029AF">
        <w:t>The</w:t>
      </w:r>
      <w:r w:rsidR="000A5329" w:rsidRPr="002029AF">
        <w:t xml:space="preserve"> </w:t>
      </w:r>
      <w:r w:rsidR="00B37927" w:rsidRPr="002029AF">
        <w:t>p</w:t>
      </w:r>
      <w:r w:rsidRPr="002029AF">
        <w:t>lan</w:t>
      </w:r>
      <w:r w:rsidR="000A5329" w:rsidRPr="002029AF">
        <w:t xml:space="preserve"> </w:t>
      </w:r>
      <w:r w:rsidRPr="002029AF">
        <w:t>has</w:t>
      </w:r>
      <w:r w:rsidR="000A5329" w:rsidRPr="002029AF">
        <w:t xml:space="preserve"> </w:t>
      </w:r>
      <w:r w:rsidRPr="002029AF">
        <w:t>five</w:t>
      </w:r>
      <w:r w:rsidR="000A5329" w:rsidRPr="002029AF">
        <w:t xml:space="preserve"> </w:t>
      </w:r>
      <w:r w:rsidRPr="002029AF">
        <w:t>focus</w:t>
      </w:r>
      <w:r w:rsidR="000A5329" w:rsidRPr="002029AF">
        <w:t xml:space="preserve"> </w:t>
      </w:r>
      <w:r w:rsidRPr="002029AF">
        <w:t>areas:</w:t>
      </w:r>
    </w:p>
    <w:p w14:paraId="37E8805E" w14:textId="4403130A" w:rsidR="000A5329" w:rsidRPr="002029AF" w:rsidRDefault="00CF72D5" w:rsidP="001E768A">
      <w:pPr>
        <w:pStyle w:val="ARbullet1"/>
      </w:pPr>
      <w:r w:rsidRPr="002029AF">
        <w:t>Attract</w:t>
      </w:r>
      <w:r w:rsidR="000A5329" w:rsidRPr="002029AF">
        <w:t xml:space="preserve"> </w:t>
      </w:r>
      <w:r w:rsidRPr="002029AF">
        <w:t>a</w:t>
      </w:r>
      <w:r w:rsidR="000A5329" w:rsidRPr="002029AF">
        <w:t xml:space="preserve"> </w:t>
      </w:r>
      <w:r w:rsidRPr="002029AF">
        <w:t>diverse</w:t>
      </w:r>
      <w:r w:rsidR="000A5329" w:rsidRPr="002029AF">
        <w:t xml:space="preserve"> </w:t>
      </w:r>
      <w:r w:rsidRPr="002029AF">
        <w:t>and</w:t>
      </w:r>
      <w:r w:rsidR="000A5329" w:rsidRPr="002029AF">
        <w:t xml:space="preserve"> </w:t>
      </w:r>
      <w:r w:rsidRPr="002029AF">
        <w:t>high-performing</w:t>
      </w:r>
      <w:r w:rsidR="000A5329" w:rsidRPr="002029AF">
        <w:t xml:space="preserve"> </w:t>
      </w:r>
      <w:r w:rsidRPr="002029AF">
        <w:t>workforce</w:t>
      </w:r>
    </w:p>
    <w:p w14:paraId="7BDBD89C" w14:textId="4FF4AED0" w:rsidR="000A5329" w:rsidRPr="002029AF" w:rsidRDefault="00CF72D5" w:rsidP="001E768A">
      <w:pPr>
        <w:pStyle w:val="ARbullet1"/>
      </w:pPr>
      <w:r w:rsidRPr="002029AF">
        <w:t>Inspire</w:t>
      </w:r>
      <w:r w:rsidR="000A5329" w:rsidRPr="002029AF">
        <w:t xml:space="preserve"> </w:t>
      </w:r>
      <w:r w:rsidRPr="002029AF">
        <w:t>and</w:t>
      </w:r>
      <w:r w:rsidR="000A5329" w:rsidRPr="002029AF">
        <w:t xml:space="preserve"> </w:t>
      </w:r>
      <w:r w:rsidRPr="002029AF">
        <w:t>grow</w:t>
      </w:r>
      <w:r w:rsidR="000A5329" w:rsidRPr="002029AF">
        <w:t xml:space="preserve"> </w:t>
      </w:r>
      <w:r w:rsidRPr="002029AF">
        <w:t>our</w:t>
      </w:r>
      <w:r w:rsidR="000A5329" w:rsidRPr="002029AF">
        <w:t xml:space="preserve"> </w:t>
      </w:r>
      <w:r w:rsidRPr="002029AF">
        <w:t>people</w:t>
      </w:r>
    </w:p>
    <w:p w14:paraId="132A2197" w14:textId="2C1D45E8" w:rsidR="000A5329" w:rsidRPr="002029AF" w:rsidRDefault="00CF72D5" w:rsidP="001E768A">
      <w:pPr>
        <w:pStyle w:val="ARbullet1"/>
      </w:pPr>
      <w:r w:rsidRPr="002029AF">
        <w:t>Engage</w:t>
      </w:r>
      <w:r w:rsidR="000A5329" w:rsidRPr="002029AF">
        <w:t xml:space="preserve"> </w:t>
      </w:r>
      <w:r w:rsidRPr="002029AF">
        <w:t>and</w:t>
      </w:r>
      <w:r w:rsidR="000A5329" w:rsidRPr="002029AF">
        <w:t xml:space="preserve"> </w:t>
      </w:r>
      <w:r w:rsidRPr="002029AF">
        <w:t>retain</w:t>
      </w:r>
      <w:r w:rsidR="000A5329" w:rsidRPr="002029AF">
        <w:t xml:space="preserve"> </w:t>
      </w:r>
      <w:r w:rsidRPr="002029AF">
        <w:t>our</w:t>
      </w:r>
      <w:r w:rsidR="000A5329" w:rsidRPr="002029AF">
        <w:t xml:space="preserve"> </w:t>
      </w:r>
      <w:r w:rsidRPr="002029AF">
        <w:t>people</w:t>
      </w:r>
    </w:p>
    <w:p w14:paraId="5F10D25A" w14:textId="42DE568D" w:rsidR="00CF72D5" w:rsidRPr="002029AF" w:rsidRDefault="00CF72D5" w:rsidP="001E768A">
      <w:pPr>
        <w:pStyle w:val="ARbullet1"/>
        <w:rPr>
          <w:szCs w:val="20"/>
        </w:rPr>
      </w:pPr>
      <w:r w:rsidRPr="002029AF">
        <w:t>Purposeful</w:t>
      </w:r>
      <w:r w:rsidR="000A5329" w:rsidRPr="002029AF">
        <w:t xml:space="preserve"> </w:t>
      </w:r>
      <w:r w:rsidRPr="002029AF">
        <w:t>leadership</w:t>
      </w:r>
    </w:p>
    <w:p w14:paraId="7DF437B9" w14:textId="5ABED552" w:rsidR="000A5329" w:rsidRPr="002029AF" w:rsidRDefault="00CF72D5" w:rsidP="001E768A">
      <w:pPr>
        <w:pStyle w:val="ARbullet1"/>
      </w:pPr>
      <w:r w:rsidRPr="002029AF">
        <w:t>Create</w:t>
      </w:r>
      <w:r w:rsidR="000A5329" w:rsidRPr="002029AF">
        <w:t xml:space="preserve"> </w:t>
      </w:r>
      <w:r w:rsidRPr="002029AF">
        <w:t>a</w:t>
      </w:r>
      <w:r w:rsidR="000A5329" w:rsidRPr="002029AF">
        <w:t xml:space="preserve"> </w:t>
      </w:r>
      <w:r w:rsidRPr="002029AF">
        <w:t>great</w:t>
      </w:r>
      <w:r w:rsidR="000A5329" w:rsidRPr="002029AF">
        <w:t xml:space="preserve"> </w:t>
      </w:r>
      <w:r w:rsidRPr="002029AF">
        <w:t>people</w:t>
      </w:r>
      <w:r w:rsidR="000A5329" w:rsidRPr="002029AF">
        <w:t xml:space="preserve"> </w:t>
      </w:r>
      <w:r w:rsidRPr="002029AF">
        <w:t>experience</w:t>
      </w:r>
      <w:r w:rsidR="00DF0076" w:rsidRPr="002029AF">
        <w:t>.</w:t>
      </w:r>
    </w:p>
    <w:p w14:paraId="5B60D534" w14:textId="3ECD73DD" w:rsidR="00462DC8" w:rsidRPr="002029AF" w:rsidRDefault="00CF72D5" w:rsidP="00FC001B">
      <w:pPr>
        <w:pStyle w:val="ARbodyafterbullets"/>
      </w:pPr>
      <w:r w:rsidRPr="002029AF">
        <w:t>These</w:t>
      </w:r>
      <w:r w:rsidR="000A5329" w:rsidRPr="002029AF">
        <w:t xml:space="preserve"> </w:t>
      </w:r>
      <w:r w:rsidRPr="002029AF">
        <w:t>five</w:t>
      </w:r>
      <w:r w:rsidR="000A5329" w:rsidRPr="002029AF">
        <w:t xml:space="preserve"> </w:t>
      </w:r>
      <w:r w:rsidRPr="002029AF">
        <w:t>focus</w:t>
      </w:r>
      <w:r w:rsidR="000A5329" w:rsidRPr="002029AF">
        <w:t xml:space="preserve"> </w:t>
      </w:r>
      <w:r w:rsidRPr="002029AF">
        <w:t>areas</w:t>
      </w:r>
      <w:r w:rsidR="000A5329" w:rsidRPr="002029AF">
        <w:t xml:space="preserve"> </w:t>
      </w:r>
      <w:r w:rsidRPr="002029AF">
        <w:t>are</w:t>
      </w:r>
      <w:r w:rsidR="000A5329" w:rsidRPr="002029AF">
        <w:t xml:space="preserve"> </w:t>
      </w:r>
      <w:r w:rsidRPr="002029AF">
        <w:t>headlined</w:t>
      </w:r>
      <w:r w:rsidR="000A5329" w:rsidRPr="002029AF">
        <w:t xml:space="preserve"> </w:t>
      </w:r>
      <w:r w:rsidRPr="002029AF">
        <w:t>by</w:t>
      </w:r>
      <w:r w:rsidR="000A5329" w:rsidRPr="002029AF">
        <w:t xml:space="preserve"> </w:t>
      </w:r>
      <w:r w:rsidRPr="002029AF">
        <w:t>a</w:t>
      </w:r>
      <w:r w:rsidR="000A5329" w:rsidRPr="002029AF">
        <w:t xml:space="preserve"> </w:t>
      </w:r>
      <w:r w:rsidRPr="002029AF">
        <w:t>genuine</w:t>
      </w:r>
      <w:r w:rsidR="00B95D52">
        <w:t> </w:t>
      </w:r>
      <w:r w:rsidRPr="002029AF">
        <w:t>commitment</w:t>
      </w:r>
      <w:r w:rsidR="000A5329" w:rsidRPr="002029AF">
        <w:t xml:space="preserve"> </w:t>
      </w:r>
      <w:r w:rsidRPr="002029AF">
        <w:t>to</w:t>
      </w:r>
      <w:r w:rsidR="000A5329" w:rsidRPr="002029AF">
        <w:t xml:space="preserve"> </w:t>
      </w:r>
      <w:r w:rsidRPr="002029AF">
        <w:t>gender</w:t>
      </w:r>
      <w:r w:rsidR="000A5329" w:rsidRPr="002029AF">
        <w:t xml:space="preserve"> </w:t>
      </w:r>
      <w:r w:rsidRPr="002029AF">
        <w:t>equality</w:t>
      </w:r>
      <w:r w:rsidR="000A5329" w:rsidRPr="002029AF">
        <w:t xml:space="preserve"> </w:t>
      </w:r>
      <w:r w:rsidRPr="002029AF">
        <w:t>from</w:t>
      </w:r>
      <w:r w:rsidR="000A5329" w:rsidRPr="002029AF">
        <w:t xml:space="preserve"> </w:t>
      </w:r>
      <w:r w:rsidRPr="002029AF">
        <w:t>senior</w:t>
      </w:r>
      <w:r w:rsidR="00B95D52">
        <w:t> </w:t>
      </w:r>
      <w:r w:rsidRPr="002029AF">
        <w:t>leadership</w:t>
      </w:r>
      <w:r w:rsidR="000A5329" w:rsidRPr="002029AF">
        <w:t xml:space="preserve"> </w:t>
      </w:r>
      <w:r w:rsidRPr="002029AF">
        <w:t>and</w:t>
      </w:r>
      <w:r w:rsidR="000A5329" w:rsidRPr="002029AF">
        <w:t xml:space="preserve"> </w:t>
      </w:r>
      <w:r w:rsidRPr="002029AF">
        <w:t>underpinned</w:t>
      </w:r>
      <w:r w:rsidR="000A5329" w:rsidRPr="002029AF">
        <w:t xml:space="preserve"> </w:t>
      </w:r>
      <w:r w:rsidRPr="002029AF">
        <w:t>by</w:t>
      </w:r>
      <w:r w:rsidR="000A5329" w:rsidRPr="002029AF">
        <w:t xml:space="preserve"> </w:t>
      </w:r>
      <w:r w:rsidRPr="002029AF">
        <w:t>metrics</w:t>
      </w:r>
      <w:r w:rsidR="000A5329" w:rsidRPr="002029AF">
        <w:t xml:space="preserve"> </w:t>
      </w:r>
      <w:r w:rsidRPr="002029AF">
        <w:t>and</w:t>
      </w:r>
      <w:r w:rsidR="00B95D52">
        <w:t> </w:t>
      </w:r>
      <w:r w:rsidRPr="002029AF">
        <w:t>reporting</w:t>
      </w:r>
      <w:r w:rsidR="000A5329" w:rsidRPr="002029AF">
        <w:t xml:space="preserve"> </w:t>
      </w:r>
      <w:r w:rsidRPr="002029AF">
        <w:t>on</w:t>
      </w:r>
      <w:r w:rsidR="000A5329" w:rsidRPr="002029AF">
        <w:t xml:space="preserve"> </w:t>
      </w:r>
      <w:r w:rsidRPr="002029AF">
        <w:t>gender</w:t>
      </w:r>
      <w:r w:rsidR="000A5329" w:rsidRPr="002029AF">
        <w:t xml:space="preserve"> </w:t>
      </w:r>
      <w:r w:rsidRPr="002029AF">
        <w:t>equality</w:t>
      </w:r>
      <w:r w:rsidR="000A5329" w:rsidRPr="002029AF">
        <w:t xml:space="preserve"> </w:t>
      </w:r>
      <w:r w:rsidRPr="002029AF">
        <w:t>measures.</w:t>
      </w:r>
    </w:p>
    <w:p w14:paraId="4B9F9374" w14:textId="77777777" w:rsidR="00CF72D5" w:rsidRPr="002029AF" w:rsidRDefault="00CF72D5" w:rsidP="00897193">
      <w:pPr>
        <w:pStyle w:val="ARbody"/>
        <w:sectPr w:rsidR="00CF72D5" w:rsidRPr="002029AF" w:rsidSect="00EF3FCC">
          <w:type w:val="continuous"/>
          <w:pgSz w:w="11906" w:h="16838" w:code="9"/>
          <w:pgMar w:top="1985" w:right="851" w:bottom="851" w:left="1418" w:header="510" w:footer="340" w:gutter="0"/>
          <w:cols w:num="2" w:space="454"/>
          <w:docGrid w:linePitch="360"/>
          <w15:footnoteColumns w:val="1"/>
        </w:sectPr>
      </w:pPr>
    </w:p>
    <w:p w14:paraId="43E8B423" w14:textId="53E833E7" w:rsidR="00CF72D5" w:rsidRPr="002029AF" w:rsidRDefault="00CF72D5" w:rsidP="00897193">
      <w:pPr>
        <w:pStyle w:val="Heading2"/>
        <w:spacing w:before="0"/>
      </w:pPr>
      <w:bookmarkStart w:id="79" w:name="_Ref492905526"/>
      <w:bookmarkStart w:id="80" w:name="_Toc477967497"/>
      <w:r w:rsidRPr="002029AF">
        <w:lastRenderedPageBreak/>
        <w:t>Comparative</w:t>
      </w:r>
      <w:r w:rsidR="000A5329" w:rsidRPr="002029AF">
        <w:t xml:space="preserve"> </w:t>
      </w:r>
      <w:r w:rsidRPr="002029AF">
        <w:t>workforce</w:t>
      </w:r>
      <w:r w:rsidR="000A5329" w:rsidRPr="002029AF">
        <w:t xml:space="preserve"> </w:t>
      </w:r>
      <w:r w:rsidRPr="002029AF">
        <w:t>data</w:t>
      </w:r>
      <w:bookmarkEnd w:id="79"/>
    </w:p>
    <w:p w14:paraId="51538B3D" w14:textId="177BC2CB" w:rsidR="00CF72D5" w:rsidRPr="002029AF" w:rsidRDefault="00CF72D5" w:rsidP="00897193">
      <w:pPr>
        <w:pStyle w:val="Heading3"/>
      </w:pPr>
      <w:r w:rsidRPr="002029AF">
        <w:t>Public</w:t>
      </w:r>
      <w:r w:rsidR="000A5329" w:rsidRPr="002029AF">
        <w:t xml:space="preserve"> </w:t>
      </w:r>
      <w:r w:rsidRPr="002029AF">
        <w:t>sector</w:t>
      </w:r>
      <w:r w:rsidR="000A5329" w:rsidRPr="002029AF">
        <w:t xml:space="preserve"> </w:t>
      </w:r>
      <w:r w:rsidRPr="002029AF">
        <w:t>values</w:t>
      </w:r>
      <w:r w:rsidR="000A5329" w:rsidRPr="002029AF">
        <w:t xml:space="preserve"> </w:t>
      </w:r>
      <w:r w:rsidRPr="002029AF">
        <w:t>and</w:t>
      </w:r>
      <w:r w:rsidR="000A5329" w:rsidRPr="002029AF">
        <w:t xml:space="preserve"> </w:t>
      </w:r>
      <w:r w:rsidRPr="002029AF">
        <w:t>employment</w:t>
      </w:r>
      <w:r w:rsidR="000A5329" w:rsidRPr="002029AF">
        <w:t xml:space="preserve"> </w:t>
      </w:r>
      <w:r w:rsidRPr="002029AF">
        <w:t>principles</w:t>
      </w:r>
    </w:p>
    <w:p w14:paraId="0D118BEA" w14:textId="4E60FF49" w:rsidR="00CF72D5" w:rsidRPr="002029AF" w:rsidRDefault="00CF72D5" w:rsidP="00897193">
      <w:pPr>
        <w:pStyle w:val="ARbody"/>
      </w:pPr>
      <w:r w:rsidRPr="002029AF">
        <w:t>The</w:t>
      </w:r>
      <w:r w:rsidR="000A5329" w:rsidRPr="002029AF">
        <w:t xml:space="preserve"> </w:t>
      </w:r>
      <w:r w:rsidRPr="002029AF">
        <w:rPr>
          <w:i/>
        </w:rPr>
        <w:t>Public</w:t>
      </w:r>
      <w:r w:rsidR="000A5329" w:rsidRPr="002029AF">
        <w:rPr>
          <w:i/>
        </w:rPr>
        <w:t xml:space="preserve"> </w:t>
      </w:r>
      <w:r w:rsidRPr="002029AF">
        <w:rPr>
          <w:i/>
        </w:rPr>
        <w:t>Administration</w:t>
      </w:r>
      <w:r w:rsidR="000A5329" w:rsidRPr="002029AF">
        <w:rPr>
          <w:i/>
        </w:rPr>
        <w:t xml:space="preserve"> </w:t>
      </w:r>
      <w:r w:rsidRPr="002029AF">
        <w:rPr>
          <w:i/>
        </w:rPr>
        <w:t>Act</w:t>
      </w:r>
      <w:r w:rsidR="000A5329" w:rsidRPr="002029AF">
        <w:rPr>
          <w:i/>
        </w:rPr>
        <w:t xml:space="preserve"> </w:t>
      </w:r>
      <w:r w:rsidRPr="002029AF">
        <w:rPr>
          <w:i/>
        </w:rPr>
        <w:t>2004</w:t>
      </w:r>
      <w:r w:rsidR="000A5329" w:rsidRPr="002029AF">
        <w:t xml:space="preserve"> </w:t>
      </w:r>
      <w:r w:rsidRPr="002029AF">
        <w:t>established</w:t>
      </w:r>
      <w:r w:rsidR="000A5329" w:rsidRPr="002029AF">
        <w:t xml:space="preserve"> </w:t>
      </w:r>
      <w:r w:rsidRPr="002029AF">
        <w:t>the</w:t>
      </w:r>
      <w:r w:rsidR="000A5329" w:rsidRPr="002029AF">
        <w:t xml:space="preserve"> </w:t>
      </w:r>
      <w:r w:rsidRPr="002029AF">
        <w:t>Victorian</w:t>
      </w:r>
      <w:r w:rsidR="000A5329" w:rsidRPr="002029AF">
        <w:t xml:space="preserve"> </w:t>
      </w:r>
      <w:r w:rsidRPr="002029AF">
        <w:t>Public</w:t>
      </w:r>
      <w:r w:rsidR="000A5329" w:rsidRPr="002029AF">
        <w:t xml:space="preserve"> </w:t>
      </w:r>
      <w:r w:rsidRPr="002029AF">
        <w:t>Sector</w:t>
      </w:r>
      <w:r w:rsidR="000A5329" w:rsidRPr="002029AF">
        <w:t xml:space="preserve"> </w:t>
      </w:r>
      <w:r w:rsidRPr="002029AF">
        <w:t>Commission</w:t>
      </w:r>
      <w:r w:rsidR="000A5329" w:rsidRPr="002029AF">
        <w:t xml:space="preserve"> </w:t>
      </w:r>
      <w:r w:rsidRPr="002029AF">
        <w:t>(VPSC).</w:t>
      </w:r>
      <w:r w:rsidR="000A5329" w:rsidRPr="002029AF">
        <w:t xml:space="preserve"> </w:t>
      </w:r>
      <w:r w:rsidRPr="002029AF">
        <w:t>The</w:t>
      </w:r>
      <w:r w:rsidR="000A5329" w:rsidRPr="002029AF">
        <w:t xml:space="preserve"> </w:t>
      </w:r>
      <w:r w:rsidRPr="002029AF">
        <w:t>VPSC’s</w:t>
      </w:r>
      <w:r w:rsidR="000A5329" w:rsidRPr="002029AF">
        <w:t xml:space="preserve"> </w:t>
      </w:r>
      <w:r w:rsidRPr="002029AF">
        <w:t>role</w:t>
      </w:r>
      <w:r w:rsidR="000A5329" w:rsidRPr="002029AF">
        <w:t xml:space="preserve"> </w:t>
      </w:r>
      <w:r w:rsidRPr="002029AF">
        <w:t>is</w:t>
      </w:r>
      <w:r w:rsidR="000A5329" w:rsidRPr="002029AF">
        <w:t xml:space="preserve"> </w:t>
      </w:r>
      <w:r w:rsidRPr="002029AF">
        <w:t>to</w:t>
      </w:r>
      <w:r w:rsidR="000A5329" w:rsidRPr="002029AF">
        <w:t xml:space="preserve"> </w:t>
      </w:r>
      <w:r w:rsidRPr="002029AF">
        <w:t>strengthen</w:t>
      </w:r>
      <w:r w:rsidR="000A5329" w:rsidRPr="002029AF">
        <w:t xml:space="preserve"> </w:t>
      </w:r>
      <w:r w:rsidRPr="002029AF">
        <w:t>public</w:t>
      </w:r>
      <w:r w:rsidR="000A5329" w:rsidRPr="002029AF">
        <w:t xml:space="preserve"> </w:t>
      </w:r>
      <w:r w:rsidRPr="002029AF">
        <w:t>sector</w:t>
      </w:r>
      <w:r w:rsidR="000A5329" w:rsidRPr="002029AF">
        <w:t xml:space="preserve"> </w:t>
      </w:r>
      <w:r w:rsidRPr="002029AF">
        <w:t>efficiency,</w:t>
      </w:r>
      <w:r w:rsidR="000A5329" w:rsidRPr="002029AF">
        <w:t xml:space="preserve"> </w:t>
      </w:r>
      <w:r w:rsidRPr="002029AF">
        <w:t>effectiveness</w:t>
      </w:r>
      <w:r w:rsidR="000A5329" w:rsidRPr="002029AF">
        <w:t xml:space="preserve"> </w:t>
      </w:r>
      <w:r w:rsidRPr="002029AF">
        <w:t>and</w:t>
      </w:r>
      <w:r w:rsidR="000A5329" w:rsidRPr="002029AF">
        <w:t xml:space="preserve"> </w:t>
      </w:r>
      <w:r w:rsidRPr="002029AF">
        <w:t>capability,</w:t>
      </w:r>
      <w:r w:rsidR="000A5329" w:rsidRPr="002029AF">
        <w:t xml:space="preserve"> </w:t>
      </w:r>
      <w:r w:rsidRPr="002029AF">
        <w:t>and</w:t>
      </w:r>
      <w:r w:rsidR="000A5329" w:rsidRPr="002029AF">
        <w:t xml:space="preserve"> </w:t>
      </w:r>
      <w:r w:rsidRPr="002029AF">
        <w:t>advocate</w:t>
      </w:r>
      <w:r w:rsidR="000A5329" w:rsidRPr="002029AF">
        <w:t xml:space="preserve"> </w:t>
      </w:r>
      <w:r w:rsidRPr="002029AF">
        <w:t>for</w:t>
      </w:r>
      <w:r w:rsidR="000A5329" w:rsidRPr="002029AF">
        <w:t xml:space="preserve"> </w:t>
      </w:r>
      <w:r w:rsidRPr="002029AF">
        <w:t>public</w:t>
      </w:r>
      <w:r w:rsidR="000A5329" w:rsidRPr="002029AF">
        <w:t xml:space="preserve"> </w:t>
      </w:r>
      <w:r w:rsidRPr="002029AF">
        <w:t>sector</w:t>
      </w:r>
      <w:r w:rsidR="000A5329" w:rsidRPr="002029AF">
        <w:t xml:space="preserve"> </w:t>
      </w:r>
      <w:r w:rsidRPr="002029AF">
        <w:t>professionalism</w:t>
      </w:r>
      <w:r w:rsidR="000A5329" w:rsidRPr="002029AF">
        <w:t xml:space="preserve"> </w:t>
      </w:r>
      <w:r w:rsidRPr="002029AF">
        <w:t>and</w:t>
      </w:r>
      <w:r w:rsidR="000A5329" w:rsidRPr="002029AF">
        <w:t xml:space="preserve"> </w:t>
      </w:r>
      <w:r w:rsidRPr="002029AF">
        <w:t>integrity.</w:t>
      </w:r>
    </w:p>
    <w:p w14:paraId="753140EF" w14:textId="7F643BCA" w:rsidR="00CF72D5" w:rsidRPr="002029AF" w:rsidRDefault="00CF72D5" w:rsidP="00897193">
      <w:pPr>
        <w:pStyle w:val="ARbody"/>
      </w:pPr>
      <w:r w:rsidRPr="002029AF">
        <w:t>The</w:t>
      </w:r>
      <w:r w:rsidR="000A5329" w:rsidRPr="002029AF">
        <w:t xml:space="preserve"> </w:t>
      </w:r>
      <w:r w:rsidRPr="002029AF">
        <w:t>department</w:t>
      </w:r>
      <w:r w:rsidR="000A5329" w:rsidRPr="002029AF">
        <w:t xml:space="preserve"> </w:t>
      </w:r>
      <w:r w:rsidRPr="002029AF">
        <w:t>introduced</w:t>
      </w:r>
      <w:r w:rsidR="000A5329" w:rsidRPr="002029AF">
        <w:t xml:space="preserve"> </w:t>
      </w:r>
      <w:r w:rsidRPr="002029AF">
        <w:t>policies</w:t>
      </w:r>
      <w:r w:rsidR="000A5329" w:rsidRPr="002029AF">
        <w:t xml:space="preserve"> </w:t>
      </w:r>
      <w:r w:rsidRPr="002029AF">
        <w:t>and</w:t>
      </w:r>
      <w:r w:rsidR="000A5329" w:rsidRPr="002029AF">
        <w:t xml:space="preserve"> </w:t>
      </w:r>
      <w:r w:rsidRPr="002029AF">
        <w:t>practices</w:t>
      </w:r>
      <w:r w:rsidR="000A5329" w:rsidRPr="002029AF">
        <w:t xml:space="preserve"> </w:t>
      </w:r>
      <w:r w:rsidRPr="002029AF">
        <w:t>that</w:t>
      </w:r>
      <w:r w:rsidR="000A5329" w:rsidRPr="002029AF">
        <w:t xml:space="preserve"> </w:t>
      </w:r>
      <w:r w:rsidRPr="002029AF">
        <w:t>are</w:t>
      </w:r>
      <w:r w:rsidR="000A5329" w:rsidRPr="002029AF">
        <w:t xml:space="preserve"> </w:t>
      </w:r>
      <w:r w:rsidRPr="002029AF">
        <w:t>consistent</w:t>
      </w:r>
      <w:r w:rsidR="000A5329" w:rsidRPr="002029AF">
        <w:t xml:space="preserve"> </w:t>
      </w:r>
      <w:r w:rsidRPr="002029AF">
        <w:t>with</w:t>
      </w:r>
      <w:r w:rsidR="000A5329" w:rsidRPr="002029AF">
        <w:t xml:space="preserve"> </w:t>
      </w:r>
      <w:r w:rsidRPr="002029AF">
        <w:t>the</w:t>
      </w:r>
      <w:r w:rsidR="000A5329" w:rsidRPr="002029AF">
        <w:t xml:space="preserve"> </w:t>
      </w:r>
      <w:r w:rsidRPr="002029AF">
        <w:t>VPSC’s</w:t>
      </w:r>
      <w:r w:rsidR="000A5329" w:rsidRPr="002029AF">
        <w:t xml:space="preserve"> </w:t>
      </w:r>
      <w:r w:rsidRPr="002029AF">
        <w:t>employment</w:t>
      </w:r>
      <w:r w:rsidR="000A5329" w:rsidRPr="002029AF">
        <w:t xml:space="preserve"> </w:t>
      </w:r>
      <w:r w:rsidRPr="002029AF">
        <w:t>standards</w:t>
      </w:r>
      <w:r w:rsidR="00B95D52">
        <w:t> </w:t>
      </w:r>
      <w:r w:rsidRPr="002029AF">
        <w:t>and</w:t>
      </w:r>
      <w:r w:rsidR="000A5329" w:rsidRPr="002029AF">
        <w:t xml:space="preserve"> </w:t>
      </w:r>
      <w:r w:rsidRPr="002029AF">
        <w:t>provide</w:t>
      </w:r>
      <w:r w:rsidR="000A5329" w:rsidRPr="002029AF">
        <w:t xml:space="preserve"> </w:t>
      </w:r>
      <w:r w:rsidRPr="002029AF">
        <w:t>for</w:t>
      </w:r>
      <w:r w:rsidR="000A5329" w:rsidRPr="002029AF">
        <w:t xml:space="preserve"> </w:t>
      </w:r>
      <w:r w:rsidRPr="002029AF">
        <w:t>fair</w:t>
      </w:r>
      <w:r w:rsidR="000A5329" w:rsidRPr="002029AF">
        <w:t xml:space="preserve"> </w:t>
      </w:r>
      <w:r w:rsidRPr="002029AF">
        <w:t>treatment,</w:t>
      </w:r>
      <w:r w:rsidR="000A5329" w:rsidRPr="002029AF">
        <w:t xml:space="preserve"> </w:t>
      </w:r>
      <w:r w:rsidRPr="002029AF">
        <w:t>career</w:t>
      </w:r>
      <w:r w:rsidR="000A5329" w:rsidRPr="002029AF">
        <w:t xml:space="preserve"> </w:t>
      </w:r>
      <w:r w:rsidRPr="002029AF">
        <w:t>opportunities</w:t>
      </w:r>
      <w:r w:rsidR="000A5329" w:rsidRPr="002029AF">
        <w:t xml:space="preserve"> </w:t>
      </w:r>
      <w:r w:rsidRPr="002029AF">
        <w:t>and</w:t>
      </w:r>
      <w:r w:rsidR="000A5329" w:rsidRPr="002029AF">
        <w:t xml:space="preserve"> </w:t>
      </w:r>
      <w:r w:rsidRPr="002029AF">
        <w:t>the</w:t>
      </w:r>
      <w:r w:rsidR="000A5329" w:rsidRPr="002029AF">
        <w:t xml:space="preserve"> </w:t>
      </w:r>
      <w:r w:rsidRPr="002029AF">
        <w:t>early</w:t>
      </w:r>
      <w:r w:rsidR="000A5329" w:rsidRPr="002029AF">
        <w:t xml:space="preserve"> </w:t>
      </w:r>
      <w:r w:rsidRPr="002029AF">
        <w:t>resolution</w:t>
      </w:r>
      <w:r w:rsidR="000A5329" w:rsidRPr="002029AF">
        <w:t xml:space="preserve"> </w:t>
      </w:r>
      <w:r w:rsidRPr="002029AF">
        <w:t>of</w:t>
      </w:r>
      <w:r w:rsidR="000A5329" w:rsidRPr="002029AF">
        <w:t xml:space="preserve"> </w:t>
      </w:r>
      <w:r w:rsidRPr="002029AF">
        <w:t>workplace</w:t>
      </w:r>
      <w:r w:rsidR="000A5329" w:rsidRPr="002029AF">
        <w:t xml:space="preserve"> </w:t>
      </w:r>
      <w:r w:rsidRPr="002029AF">
        <w:t>issues.</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advised</w:t>
      </w:r>
      <w:r w:rsidR="000A5329" w:rsidRPr="002029AF">
        <w:t xml:space="preserve"> </w:t>
      </w:r>
      <w:r w:rsidRPr="002029AF">
        <w:t>its</w:t>
      </w:r>
      <w:r w:rsidR="000A5329" w:rsidRPr="002029AF">
        <w:t xml:space="preserve"> </w:t>
      </w:r>
      <w:r w:rsidRPr="002029AF">
        <w:t>employees</w:t>
      </w:r>
      <w:r w:rsidR="000A5329" w:rsidRPr="002029AF">
        <w:t xml:space="preserve"> </w:t>
      </w:r>
      <w:r w:rsidRPr="002029AF">
        <w:t>on</w:t>
      </w:r>
      <w:r w:rsidR="000A5329" w:rsidRPr="002029AF">
        <w:t xml:space="preserve"> </w:t>
      </w:r>
      <w:r w:rsidRPr="002029AF">
        <w:t>how</w:t>
      </w:r>
      <w:r w:rsidR="000A5329" w:rsidRPr="002029AF">
        <w:t xml:space="preserve"> </w:t>
      </w:r>
      <w:r w:rsidRPr="002029AF">
        <w:t>to</w:t>
      </w:r>
      <w:r w:rsidR="000A5329" w:rsidRPr="002029AF">
        <w:t xml:space="preserve"> </w:t>
      </w:r>
      <w:r w:rsidRPr="002029AF">
        <w:t>avoid</w:t>
      </w:r>
      <w:r w:rsidR="000A5329" w:rsidRPr="002029AF">
        <w:t xml:space="preserve"> </w:t>
      </w:r>
      <w:r w:rsidRPr="002029AF">
        <w:t>conflicts</w:t>
      </w:r>
      <w:r w:rsidR="000A5329" w:rsidRPr="002029AF">
        <w:t xml:space="preserve"> </w:t>
      </w:r>
      <w:r w:rsidRPr="002029AF">
        <w:t>of</w:t>
      </w:r>
      <w:r w:rsidR="000A5329" w:rsidRPr="002029AF">
        <w:t xml:space="preserve"> </w:t>
      </w:r>
      <w:r w:rsidRPr="002029AF">
        <w:t>interest,</w:t>
      </w:r>
      <w:r w:rsidR="000A5329" w:rsidRPr="002029AF">
        <w:t xml:space="preserve"> </w:t>
      </w:r>
      <w:r w:rsidRPr="002029AF">
        <w:t>how</w:t>
      </w:r>
      <w:r w:rsidR="000A5329" w:rsidRPr="002029AF">
        <w:t xml:space="preserve"> </w:t>
      </w:r>
      <w:r w:rsidRPr="002029AF">
        <w:t>to</w:t>
      </w:r>
      <w:r w:rsidR="000A5329" w:rsidRPr="002029AF">
        <w:t xml:space="preserve"> </w:t>
      </w:r>
      <w:r w:rsidRPr="002029AF">
        <w:t>respond</w:t>
      </w:r>
      <w:r w:rsidR="000A5329" w:rsidRPr="002029AF">
        <w:t xml:space="preserve"> </w:t>
      </w:r>
      <w:r w:rsidRPr="002029AF">
        <w:t>to</w:t>
      </w:r>
      <w:r w:rsidR="000A5329" w:rsidRPr="002029AF">
        <w:t xml:space="preserve"> </w:t>
      </w:r>
      <w:r w:rsidRPr="002029AF">
        <w:t>offers</w:t>
      </w:r>
      <w:r w:rsidR="000A5329" w:rsidRPr="002029AF">
        <w:t xml:space="preserve"> </w:t>
      </w:r>
      <w:r w:rsidRPr="002029AF">
        <w:t>of</w:t>
      </w:r>
      <w:r w:rsidR="000A5329" w:rsidRPr="002029AF">
        <w:t xml:space="preserve"> </w:t>
      </w:r>
      <w:r w:rsidRPr="002029AF">
        <w:t>gifts</w:t>
      </w:r>
      <w:r w:rsidR="000A5329" w:rsidRPr="002029AF">
        <w:t xml:space="preserve"> </w:t>
      </w:r>
      <w:r w:rsidRPr="002029AF">
        <w:t>and</w:t>
      </w:r>
      <w:r w:rsidR="00233C48" w:rsidRPr="002029AF">
        <w:t> </w:t>
      </w:r>
      <w:r w:rsidRPr="002029AF">
        <w:t>how</w:t>
      </w:r>
      <w:r w:rsidR="000A5329" w:rsidRPr="002029AF">
        <w:t xml:space="preserve"> </w:t>
      </w:r>
      <w:r w:rsidRPr="002029AF">
        <w:t>it</w:t>
      </w:r>
      <w:r w:rsidR="000A5329" w:rsidRPr="002029AF">
        <w:t xml:space="preserve"> </w:t>
      </w:r>
      <w:r w:rsidRPr="002029AF">
        <w:t>deals</w:t>
      </w:r>
      <w:r w:rsidR="000A5329" w:rsidRPr="002029AF">
        <w:t xml:space="preserve"> </w:t>
      </w:r>
      <w:r w:rsidRPr="002029AF">
        <w:t>with</w:t>
      </w:r>
      <w:r w:rsidR="000A5329" w:rsidRPr="002029AF">
        <w:t xml:space="preserve"> </w:t>
      </w:r>
      <w:r w:rsidRPr="002029AF">
        <w:t>misconduct.</w:t>
      </w:r>
    </w:p>
    <w:p w14:paraId="7D95021D" w14:textId="312651A4" w:rsidR="00CF72D5" w:rsidRPr="002029AF" w:rsidRDefault="00CF72D5" w:rsidP="00897193">
      <w:pPr>
        <w:pStyle w:val="Heading3"/>
      </w:pPr>
      <w:r w:rsidRPr="002029AF">
        <w:t>Full-time</w:t>
      </w:r>
      <w:r w:rsidR="000A5329" w:rsidRPr="002029AF">
        <w:t xml:space="preserve"> </w:t>
      </w:r>
      <w:r w:rsidRPr="002029AF">
        <w:t>equivalent</w:t>
      </w:r>
      <w:r w:rsidR="000A5329" w:rsidRPr="002029AF">
        <w:t xml:space="preserve"> </w:t>
      </w:r>
      <w:r w:rsidRPr="002029AF">
        <w:t>(FTE)</w:t>
      </w:r>
      <w:r w:rsidR="000A5329" w:rsidRPr="002029AF">
        <w:t xml:space="preserve"> </w:t>
      </w:r>
      <w:r w:rsidRPr="002029AF">
        <w:t>staffing</w:t>
      </w:r>
      <w:r w:rsidR="000A5329" w:rsidRPr="002029AF">
        <w:t xml:space="preserve"> </w:t>
      </w:r>
      <w:r w:rsidRPr="002029AF">
        <w:t>trends</w:t>
      </w:r>
      <w:r w:rsidR="000A5329" w:rsidRPr="002029AF">
        <w:t xml:space="preserve"> </w:t>
      </w:r>
      <w:r w:rsidRPr="002029AF">
        <w:t>from</w:t>
      </w:r>
      <w:r w:rsidR="000A5329" w:rsidRPr="002029AF">
        <w:t xml:space="preserve"> </w:t>
      </w:r>
      <w:r w:rsidRPr="002029AF">
        <w:t>2016</w:t>
      </w:r>
      <w:r w:rsidR="000A5329" w:rsidRPr="002029AF">
        <w:t xml:space="preserve"> </w:t>
      </w:r>
      <w:r w:rsidRPr="002029AF">
        <w:t>to</w:t>
      </w:r>
      <w:r w:rsidR="000A5329" w:rsidRPr="002029AF">
        <w:t xml:space="preserve"> </w:t>
      </w:r>
      <w:r w:rsidRPr="002029AF">
        <w:t>2020</w:t>
      </w:r>
    </w:p>
    <w:tbl>
      <w:tblPr>
        <w:tblW w:w="9635"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4A0" w:firstRow="1" w:lastRow="0" w:firstColumn="1" w:lastColumn="0" w:noHBand="0" w:noVBand="1"/>
      </w:tblPr>
      <w:tblGrid>
        <w:gridCol w:w="1927"/>
        <w:gridCol w:w="1927"/>
        <w:gridCol w:w="1927"/>
        <w:gridCol w:w="1927"/>
        <w:gridCol w:w="1927"/>
      </w:tblGrid>
      <w:tr w:rsidR="00CF72D5" w:rsidRPr="002029AF" w14:paraId="5359DA8F" w14:textId="77777777" w:rsidTr="00192EEE">
        <w:trPr>
          <w:cantSplit/>
          <w:tblHeader/>
        </w:trPr>
        <w:tc>
          <w:tcPr>
            <w:tcW w:w="1927" w:type="dxa"/>
            <w:vAlign w:val="bottom"/>
          </w:tcPr>
          <w:p w14:paraId="587F04F3" w14:textId="38050C23" w:rsidR="00CF72D5" w:rsidRPr="002029AF" w:rsidRDefault="00CF72D5" w:rsidP="00897193">
            <w:pPr>
              <w:pStyle w:val="ARtablecolheadright"/>
            </w:pPr>
            <w:r w:rsidRPr="002029AF">
              <w:t>June</w:t>
            </w:r>
            <w:r w:rsidR="000A5329" w:rsidRPr="002029AF">
              <w:t xml:space="preserve"> </w:t>
            </w:r>
            <w:r w:rsidRPr="002029AF">
              <w:t>2020</w:t>
            </w:r>
          </w:p>
        </w:tc>
        <w:tc>
          <w:tcPr>
            <w:tcW w:w="1927" w:type="dxa"/>
            <w:vAlign w:val="bottom"/>
          </w:tcPr>
          <w:p w14:paraId="1BEDC635" w14:textId="48F7CA31" w:rsidR="00CF72D5" w:rsidRPr="002029AF" w:rsidRDefault="00CF72D5" w:rsidP="00897193">
            <w:pPr>
              <w:pStyle w:val="ARtablecolheadright"/>
            </w:pPr>
            <w:r w:rsidRPr="002029AF">
              <w:t>June</w:t>
            </w:r>
            <w:r w:rsidR="000A5329" w:rsidRPr="002029AF">
              <w:t xml:space="preserve"> </w:t>
            </w:r>
            <w:r w:rsidRPr="002029AF">
              <w:t>2019</w:t>
            </w:r>
          </w:p>
        </w:tc>
        <w:tc>
          <w:tcPr>
            <w:tcW w:w="1927" w:type="dxa"/>
            <w:vAlign w:val="bottom"/>
          </w:tcPr>
          <w:p w14:paraId="0BD99043" w14:textId="5FE41E18" w:rsidR="00CF72D5" w:rsidRPr="002029AF" w:rsidRDefault="00CF72D5" w:rsidP="00897193">
            <w:pPr>
              <w:pStyle w:val="ARtablecolheadright"/>
            </w:pPr>
            <w:r w:rsidRPr="002029AF">
              <w:t>June</w:t>
            </w:r>
            <w:r w:rsidR="000A5329" w:rsidRPr="002029AF">
              <w:t xml:space="preserve"> </w:t>
            </w:r>
            <w:r w:rsidRPr="002029AF">
              <w:t>2018</w:t>
            </w:r>
          </w:p>
        </w:tc>
        <w:tc>
          <w:tcPr>
            <w:tcW w:w="1927" w:type="dxa"/>
            <w:vAlign w:val="bottom"/>
          </w:tcPr>
          <w:p w14:paraId="348005E0" w14:textId="7BF501D1" w:rsidR="00CF72D5" w:rsidRPr="002029AF" w:rsidRDefault="00CF72D5" w:rsidP="00897193">
            <w:pPr>
              <w:pStyle w:val="ARtablecolheadright"/>
            </w:pPr>
            <w:r w:rsidRPr="002029AF">
              <w:t>June</w:t>
            </w:r>
            <w:r w:rsidR="000A5329" w:rsidRPr="002029AF">
              <w:t xml:space="preserve"> </w:t>
            </w:r>
            <w:r w:rsidRPr="002029AF">
              <w:t>2017</w:t>
            </w:r>
          </w:p>
        </w:tc>
        <w:tc>
          <w:tcPr>
            <w:tcW w:w="1927" w:type="dxa"/>
            <w:vAlign w:val="bottom"/>
          </w:tcPr>
          <w:p w14:paraId="2E6E2A4F" w14:textId="042D02D3" w:rsidR="00CF72D5" w:rsidRPr="002029AF" w:rsidRDefault="00CF72D5" w:rsidP="00897193">
            <w:pPr>
              <w:pStyle w:val="ARtablecolheadright"/>
            </w:pPr>
            <w:r w:rsidRPr="002029AF">
              <w:t>June</w:t>
            </w:r>
            <w:r w:rsidR="000A5329" w:rsidRPr="002029AF">
              <w:t xml:space="preserve"> </w:t>
            </w:r>
            <w:r w:rsidRPr="002029AF">
              <w:t>2016</w:t>
            </w:r>
          </w:p>
        </w:tc>
      </w:tr>
      <w:tr w:rsidR="00CF72D5" w:rsidRPr="002029AF" w14:paraId="0470862C" w14:textId="77777777" w:rsidTr="00897193">
        <w:trPr>
          <w:cantSplit/>
        </w:trPr>
        <w:tc>
          <w:tcPr>
            <w:tcW w:w="1927" w:type="dxa"/>
          </w:tcPr>
          <w:p w14:paraId="39229331" w14:textId="77777777" w:rsidR="00CF72D5" w:rsidRPr="002029AF" w:rsidRDefault="00CF72D5" w:rsidP="00897193">
            <w:pPr>
              <w:pStyle w:val="ARtabletextright"/>
            </w:pPr>
            <w:r w:rsidRPr="002029AF">
              <w:t>8,109</w:t>
            </w:r>
          </w:p>
        </w:tc>
        <w:tc>
          <w:tcPr>
            <w:tcW w:w="1927" w:type="dxa"/>
          </w:tcPr>
          <w:p w14:paraId="7E758036" w14:textId="77777777" w:rsidR="00CF72D5" w:rsidRPr="002029AF" w:rsidRDefault="00CF72D5" w:rsidP="00897193">
            <w:pPr>
              <w:pStyle w:val="ARtabletextright"/>
            </w:pPr>
            <w:r w:rsidRPr="002029AF">
              <w:t>10,082</w:t>
            </w:r>
          </w:p>
        </w:tc>
        <w:tc>
          <w:tcPr>
            <w:tcW w:w="1927" w:type="dxa"/>
          </w:tcPr>
          <w:p w14:paraId="7CC48768" w14:textId="77777777" w:rsidR="00CF72D5" w:rsidRPr="002029AF" w:rsidRDefault="00CF72D5" w:rsidP="00897193">
            <w:pPr>
              <w:pStyle w:val="ARtabletextright"/>
            </w:pPr>
            <w:r w:rsidRPr="002029AF">
              <w:t>12,101</w:t>
            </w:r>
          </w:p>
        </w:tc>
        <w:tc>
          <w:tcPr>
            <w:tcW w:w="1927" w:type="dxa"/>
          </w:tcPr>
          <w:p w14:paraId="1A8BA149" w14:textId="77777777" w:rsidR="00CF72D5" w:rsidRPr="002029AF" w:rsidRDefault="00CF72D5" w:rsidP="00897193">
            <w:pPr>
              <w:pStyle w:val="ARtabletextright"/>
            </w:pPr>
            <w:r w:rsidRPr="002029AF">
              <w:t>11,249</w:t>
            </w:r>
          </w:p>
        </w:tc>
        <w:tc>
          <w:tcPr>
            <w:tcW w:w="1927" w:type="dxa"/>
          </w:tcPr>
          <w:p w14:paraId="79B734C6" w14:textId="77777777" w:rsidR="00CF72D5" w:rsidRPr="002029AF" w:rsidRDefault="00CF72D5" w:rsidP="00897193">
            <w:pPr>
              <w:pStyle w:val="ARtabletextright"/>
            </w:pPr>
            <w:r w:rsidRPr="002029AF">
              <w:t>11,448</w:t>
            </w:r>
          </w:p>
        </w:tc>
      </w:tr>
    </w:tbl>
    <w:p w14:paraId="6BD7EB5F" w14:textId="4A890CBF" w:rsidR="00CF72D5" w:rsidRPr="002029AF" w:rsidRDefault="00CF72D5" w:rsidP="00897193">
      <w:pPr>
        <w:pStyle w:val="Heading3"/>
      </w:pPr>
      <w:r w:rsidRPr="002029AF">
        <w:t>Summary</w:t>
      </w:r>
      <w:r w:rsidR="000A5329" w:rsidRPr="002029AF">
        <w:t xml:space="preserve"> </w:t>
      </w:r>
      <w:r w:rsidRPr="002029AF">
        <w:t>of</w:t>
      </w:r>
      <w:r w:rsidR="000A5329" w:rsidRPr="002029AF">
        <w:t xml:space="preserve"> </w:t>
      </w:r>
      <w:r w:rsidRPr="002029AF">
        <w:t>employment</w:t>
      </w:r>
      <w:r w:rsidR="000A5329" w:rsidRPr="002029AF">
        <w:t xml:space="preserve"> </w:t>
      </w:r>
      <w:r w:rsidRPr="002029AF">
        <w:t>levels</w:t>
      </w:r>
      <w:r w:rsidR="000A5329" w:rsidRPr="002029AF">
        <w:t xml:space="preserve"> </w:t>
      </w:r>
      <w:r w:rsidRPr="002029AF">
        <w:t>in</w:t>
      </w:r>
      <w:r w:rsidR="000A5329" w:rsidRPr="002029AF">
        <w:t xml:space="preserve"> </w:t>
      </w:r>
      <w:r w:rsidRPr="002029AF">
        <w:t>June</w:t>
      </w:r>
      <w:r w:rsidR="000A5329" w:rsidRPr="002029AF">
        <w:t xml:space="preserve"> </w:t>
      </w:r>
      <w:r w:rsidRPr="002029AF">
        <w:t>of</w:t>
      </w:r>
      <w:r w:rsidR="000A5329" w:rsidRPr="002029AF">
        <w:t xml:space="preserve"> </w:t>
      </w:r>
      <w:r w:rsidRPr="002029AF">
        <w:t>2019</w:t>
      </w:r>
      <w:r w:rsidR="000A5329" w:rsidRPr="002029AF">
        <w:t xml:space="preserve"> </w:t>
      </w:r>
      <w:r w:rsidRPr="002029AF">
        <w:t>and</w:t>
      </w:r>
      <w:r w:rsidR="000A5329" w:rsidRPr="002029AF">
        <w:t xml:space="preserve"> </w:t>
      </w:r>
      <w:r w:rsidRPr="002029AF">
        <w:t>2020</w:t>
      </w:r>
    </w:p>
    <w:tbl>
      <w:tblPr>
        <w:tblW w:w="9634" w:type="dxa"/>
        <w:tblInd w:w="5" w:type="dxa"/>
        <w:tblBorders>
          <w:left w:val="single" w:sz="4" w:space="0" w:color="FFFFFF"/>
          <w:bottom w:val="single" w:sz="4" w:space="0" w:color="auto"/>
          <w:right w:val="single" w:sz="4" w:space="0" w:color="FFFFFF"/>
          <w:insideH w:val="single" w:sz="4" w:space="0" w:color="auto"/>
          <w:insideV w:val="single" w:sz="4" w:space="0" w:color="FFFFFF"/>
        </w:tblBorders>
        <w:tblLayout w:type="fixed"/>
        <w:tblCellMar>
          <w:left w:w="0" w:type="dxa"/>
        </w:tblCellMar>
        <w:tblLook w:val="01E0" w:firstRow="1" w:lastRow="1" w:firstColumn="1" w:lastColumn="1" w:noHBand="0" w:noVBand="0"/>
      </w:tblPr>
      <w:tblGrid>
        <w:gridCol w:w="1606"/>
        <w:gridCol w:w="1609"/>
        <w:gridCol w:w="1610"/>
        <w:gridCol w:w="1610"/>
        <w:gridCol w:w="1610"/>
        <w:gridCol w:w="1589"/>
      </w:tblGrid>
      <w:tr w:rsidR="00CF72D5" w:rsidRPr="002029AF" w14:paraId="09341C73" w14:textId="77777777" w:rsidTr="00192EEE">
        <w:trPr>
          <w:cantSplit/>
          <w:tblHeader/>
        </w:trPr>
        <w:tc>
          <w:tcPr>
            <w:tcW w:w="1606" w:type="dxa"/>
            <w:vMerge w:val="restart"/>
            <w:vAlign w:val="bottom"/>
          </w:tcPr>
          <w:p w14:paraId="556D8DDA" w14:textId="77777777" w:rsidR="00CF72D5" w:rsidRPr="002029AF" w:rsidRDefault="00CF72D5" w:rsidP="00897193">
            <w:pPr>
              <w:jc w:val="right"/>
              <w:rPr>
                <w:rFonts w:cs="Arial"/>
              </w:rPr>
            </w:pPr>
          </w:p>
        </w:tc>
        <w:tc>
          <w:tcPr>
            <w:tcW w:w="6439" w:type="dxa"/>
            <w:gridSpan w:val="4"/>
            <w:vAlign w:val="bottom"/>
          </w:tcPr>
          <w:p w14:paraId="66E7C53A" w14:textId="4B51B416" w:rsidR="00CF72D5" w:rsidRPr="002029AF" w:rsidRDefault="00CF72D5" w:rsidP="00233C48">
            <w:pPr>
              <w:pStyle w:val="ARtablecolheadcentre"/>
              <w:ind w:left="284"/>
            </w:pPr>
            <w:r w:rsidRPr="002029AF">
              <w:t>Ongoing</w:t>
            </w:r>
            <w:r w:rsidR="000A5329" w:rsidRPr="002029AF">
              <w:t xml:space="preserve"> </w:t>
            </w:r>
            <w:r w:rsidRPr="002029AF">
              <w:t>employees</w:t>
            </w:r>
          </w:p>
        </w:tc>
        <w:tc>
          <w:tcPr>
            <w:tcW w:w="1589" w:type="dxa"/>
            <w:vAlign w:val="bottom"/>
          </w:tcPr>
          <w:p w14:paraId="64862486" w14:textId="6F01BFC1" w:rsidR="00CF72D5" w:rsidRPr="002029AF" w:rsidRDefault="00CF72D5" w:rsidP="00233C48">
            <w:pPr>
              <w:pStyle w:val="ARtablecolheadright"/>
            </w:pPr>
            <w:r w:rsidRPr="002029AF">
              <w:t>Fixed-term</w:t>
            </w:r>
            <w:r w:rsidR="00B95D52">
              <w:t xml:space="preserve"> </w:t>
            </w:r>
            <w:r w:rsidRPr="002029AF">
              <w:br/>
              <w:t>and</w:t>
            </w:r>
            <w:r w:rsidR="000A5329" w:rsidRPr="002029AF">
              <w:t xml:space="preserve"> </w:t>
            </w:r>
            <w:r w:rsidRPr="002029AF">
              <w:t>casual</w:t>
            </w:r>
            <w:r w:rsidR="000A5329" w:rsidRPr="002029AF">
              <w:t xml:space="preserve"> </w:t>
            </w:r>
            <w:r w:rsidRPr="002029AF">
              <w:t>employees</w:t>
            </w:r>
          </w:p>
        </w:tc>
      </w:tr>
      <w:tr w:rsidR="00CF72D5" w:rsidRPr="002029AF" w14:paraId="1F8A2F02" w14:textId="77777777" w:rsidTr="00192EEE">
        <w:trPr>
          <w:cantSplit/>
          <w:tblHeader/>
        </w:trPr>
        <w:tc>
          <w:tcPr>
            <w:tcW w:w="1606" w:type="dxa"/>
            <w:vMerge/>
          </w:tcPr>
          <w:p w14:paraId="2F340D3E" w14:textId="77777777" w:rsidR="00CF72D5" w:rsidRPr="002029AF" w:rsidRDefault="00CF72D5" w:rsidP="00897193">
            <w:pPr>
              <w:jc w:val="right"/>
              <w:rPr>
                <w:rFonts w:cs="Arial"/>
              </w:rPr>
            </w:pPr>
          </w:p>
        </w:tc>
        <w:tc>
          <w:tcPr>
            <w:tcW w:w="1609" w:type="dxa"/>
            <w:vAlign w:val="bottom"/>
          </w:tcPr>
          <w:p w14:paraId="7AECD677" w14:textId="6552F04D" w:rsidR="00CF72D5" w:rsidRPr="002029AF" w:rsidRDefault="00CF72D5" w:rsidP="00897193">
            <w:pPr>
              <w:pStyle w:val="ARtablecolheadright"/>
            </w:pPr>
            <w:r w:rsidRPr="002029AF">
              <w:t>Employees</w:t>
            </w:r>
            <w:r w:rsidR="000A5329" w:rsidRPr="002029AF">
              <w:t xml:space="preserve"> </w:t>
            </w:r>
            <w:r w:rsidRPr="002029AF">
              <w:t>(head</w:t>
            </w:r>
            <w:r w:rsidR="000A5329" w:rsidRPr="002029AF">
              <w:t xml:space="preserve"> </w:t>
            </w:r>
            <w:r w:rsidRPr="002029AF">
              <w:t>count)</w:t>
            </w:r>
          </w:p>
        </w:tc>
        <w:tc>
          <w:tcPr>
            <w:tcW w:w="1610" w:type="dxa"/>
            <w:vAlign w:val="bottom"/>
          </w:tcPr>
          <w:p w14:paraId="6AEC965A" w14:textId="7DE7AD5F" w:rsidR="00CF72D5" w:rsidRPr="002029AF" w:rsidRDefault="00CF72D5" w:rsidP="00897193">
            <w:pPr>
              <w:pStyle w:val="ARtablecolheadright"/>
            </w:pPr>
            <w:r w:rsidRPr="002029AF">
              <w:t>Full-time</w:t>
            </w:r>
            <w:r w:rsidR="000A5329" w:rsidRPr="002029AF">
              <w:t xml:space="preserve"> </w:t>
            </w:r>
            <w:r w:rsidRPr="002029AF">
              <w:t>(head</w:t>
            </w:r>
            <w:r w:rsidR="000A5329" w:rsidRPr="002029AF">
              <w:t xml:space="preserve"> </w:t>
            </w:r>
            <w:r w:rsidRPr="002029AF">
              <w:t>count)</w:t>
            </w:r>
          </w:p>
        </w:tc>
        <w:tc>
          <w:tcPr>
            <w:tcW w:w="1610" w:type="dxa"/>
            <w:vAlign w:val="bottom"/>
          </w:tcPr>
          <w:p w14:paraId="1150F61B" w14:textId="48A98515" w:rsidR="00CF72D5" w:rsidRPr="002029AF" w:rsidRDefault="00CF72D5" w:rsidP="00897193">
            <w:pPr>
              <w:pStyle w:val="ARtablecolheadright"/>
            </w:pPr>
            <w:r w:rsidRPr="002029AF">
              <w:t>Part-time</w:t>
            </w:r>
            <w:r w:rsidR="000A5329" w:rsidRPr="002029AF">
              <w:t xml:space="preserve"> </w:t>
            </w:r>
            <w:r w:rsidRPr="002029AF">
              <w:t>(head</w:t>
            </w:r>
            <w:r w:rsidR="000A5329" w:rsidRPr="002029AF">
              <w:t xml:space="preserve"> </w:t>
            </w:r>
            <w:r w:rsidRPr="002029AF">
              <w:t>count)</w:t>
            </w:r>
          </w:p>
        </w:tc>
        <w:tc>
          <w:tcPr>
            <w:tcW w:w="1610" w:type="dxa"/>
            <w:vAlign w:val="bottom"/>
          </w:tcPr>
          <w:p w14:paraId="69FE2393" w14:textId="77777777" w:rsidR="00CF72D5" w:rsidRPr="002029AF" w:rsidRDefault="00CF72D5" w:rsidP="00897193">
            <w:pPr>
              <w:pStyle w:val="ARtablecolheadright"/>
            </w:pPr>
            <w:r w:rsidRPr="002029AF">
              <w:t>Ongoing</w:t>
            </w:r>
            <w:r w:rsidRPr="002029AF">
              <w:br/>
              <w:t>FTE</w:t>
            </w:r>
          </w:p>
        </w:tc>
        <w:tc>
          <w:tcPr>
            <w:tcW w:w="1589" w:type="dxa"/>
            <w:vAlign w:val="bottom"/>
          </w:tcPr>
          <w:p w14:paraId="55A7C054" w14:textId="77777777" w:rsidR="00CF72D5" w:rsidRPr="002029AF" w:rsidRDefault="00CF72D5" w:rsidP="00897193">
            <w:pPr>
              <w:pStyle w:val="ARtablecolheadright"/>
            </w:pPr>
            <w:r w:rsidRPr="002029AF">
              <w:t>FTE</w:t>
            </w:r>
          </w:p>
        </w:tc>
      </w:tr>
      <w:tr w:rsidR="00CF72D5" w:rsidRPr="002029AF" w14:paraId="0E981155" w14:textId="77777777" w:rsidTr="00897193">
        <w:trPr>
          <w:cantSplit/>
        </w:trPr>
        <w:tc>
          <w:tcPr>
            <w:tcW w:w="1606" w:type="dxa"/>
          </w:tcPr>
          <w:p w14:paraId="133A2710" w14:textId="3F6BF942" w:rsidR="00CF72D5" w:rsidRPr="002029AF" w:rsidRDefault="00CF72D5" w:rsidP="00897193">
            <w:pPr>
              <w:pStyle w:val="ARtabletext"/>
            </w:pPr>
            <w:r w:rsidRPr="002029AF">
              <w:t>June</w:t>
            </w:r>
            <w:r w:rsidR="000A5329" w:rsidRPr="002029AF">
              <w:t xml:space="preserve"> </w:t>
            </w:r>
            <w:r w:rsidRPr="002029AF">
              <w:t>2019</w:t>
            </w:r>
          </w:p>
        </w:tc>
        <w:tc>
          <w:tcPr>
            <w:tcW w:w="1609" w:type="dxa"/>
          </w:tcPr>
          <w:p w14:paraId="38F9414B" w14:textId="77777777" w:rsidR="00CF72D5" w:rsidRPr="002029AF" w:rsidRDefault="00CF72D5" w:rsidP="00897193">
            <w:pPr>
              <w:pStyle w:val="ARtabletextright"/>
            </w:pPr>
            <w:r w:rsidRPr="002029AF">
              <w:t>11,241</w:t>
            </w:r>
          </w:p>
        </w:tc>
        <w:tc>
          <w:tcPr>
            <w:tcW w:w="1610" w:type="dxa"/>
          </w:tcPr>
          <w:p w14:paraId="4D4AA1BA" w14:textId="77777777" w:rsidR="00CF72D5" w:rsidRPr="002029AF" w:rsidRDefault="00CF72D5" w:rsidP="00897193">
            <w:pPr>
              <w:pStyle w:val="ARtabletextright"/>
            </w:pPr>
            <w:r w:rsidRPr="002029AF">
              <w:t>6,125</w:t>
            </w:r>
          </w:p>
        </w:tc>
        <w:tc>
          <w:tcPr>
            <w:tcW w:w="1610" w:type="dxa"/>
          </w:tcPr>
          <w:p w14:paraId="432B4159" w14:textId="77777777" w:rsidR="00CF72D5" w:rsidRPr="002029AF" w:rsidRDefault="00CF72D5" w:rsidP="00897193">
            <w:pPr>
              <w:pStyle w:val="ARtabletextright"/>
            </w:pPr>
            <w:r w:rsidRPr="002029AF">
              <w:t>2,550</w:t>
            </w:r>
          </w:p>
        </w:tc>
        <w:tc>
          <w:tcPr>
            <w:tcW w:w="1610" w:type="dxa"/>
          </w:tcPr>
          <w:p w14:paraId="6D76D8EF" w14:textId="77777777" w:rsidR="00CF72D5" w:rsidRPr="002029AF" w:rsidRDefault="00CF72D5" w:rsidP="00897193">
            <w:pPr>
              <w:pStyle w:val="ARtabletextright"/>
            </w:pPr>
            <w:r w:rsidRPr="002029AF">
              <w:t>7,997.4</w:t>
            </w:r>
          </w:p>
        </w:tc>
        <w:tc>
          <w:tcPr>
            <w:tcW w:w="1589" w:type="dxa"/>
          </w:tcPr>
          <w:p w14:paraId="036D2E5B" w14:textId="77777777" w:rsidR="00CF72D5" w:rsidRPr="002029AF" w:rsidRDefault="00CF72D5" w:rsidP="00897193">
            <w:pPr>
              <w:pStyle w:val="ARtabletextright"/>
            </w:pPr>
            <w:r w:rsidRPr="002029AF">
              <w:t>2085</w:t>
            </w:r>
          </w:p>
        </w:tc>
      </w:tr>
      <w:tr w:rsidR="00CF72D5" w:rsidRPr="002029AF" w14:paraId="78538E17" w14:textId="77777777" w:rsidTr="00897193">
        <w:trPr>
          <w:cantSplit/>
        </w:trPr>
        <w:tc>
          <w:tcPr>
            <w:tcW w:w="1606" w:type="dxa"/>
          </w:tcPr>
          <w:p w14:paraId="7ADDAD29" w14:textId="1A21443B" w:rsidR="00CF72D5" w:rsidRPr="002029AF" w:rsidRDefault="00CF72D5" w:rsidP="00897193">
            <w:pPr>
              <w:pStyle w:val="ARtabletext"/>
            </w:pPr>
            <w:r w:rsidRPr="002029AF">
              <w:t>June</w:t>
            </w:r>
            <w:r w:rsidR="000A5329" w:rsidRPr="002029AF">
              <w:t xml:space="preserve"> </w:t>
            </w:r>
            <w:r w:rsidRPr="002029AF">
              <w:t>2020</w:t>
            </w:r>
          </w:p>
        </w:tc>
        <w:tc>
          <w:tcPr>
            <w:tcW w:w="1609" w:type="dxa"/>
          </w:tcPr>
          <w:p w14:paraId="25490272" w14:textId="77777777" w:rsidR="00CF72D5" w:rsidRPr="002029AF" w:rsidRDefault="00CF72D5" w:rsidP="00897193">
            <w:pPr>
              <w:pStyle w:val="ARtabletextright"/>
            </w:pPr>
            <w:r w:rsidRPr="002029AF">
              <w:t>8,732</w:t>
            </w:r>
          </w:p>
        </w:tc>
        <w:tc>
          <w:tcPr>
            <w:tcW w:w="1610" w:type="dxa"/>
          </w:tcPr>
          <w:p w14:paraId="7CEF8F53" w14:textId="77777777" w:rsidR="00CF72D5" w:rsidRPr="002029AF" w:rsidRDefault="00CF72D5" w:rsidP="00897193">
            <w:pPr>
              <w:pStyle w:val="ARtabletextright"/>
            </w:pPr>
            <w:r w:rsidRPr="002029AF">
              <w:t>5,474</w:t>
            </w:r>
          </w:p>
        </w:tc>
        <w:tc>
          <w:tcPr>
            <w:tcW w:w="1610" w:type="dxa"/>
          </w:tcPr>
          <w:p w14:paraId="0D5A6109" w14:textId="77777777" w:rsidR="00CF72D5" w:rsidRPr="002029AF" w:rsidRDefault="00CF72D5" w:rsidP="00897193">
            <w:pPr>
              <w:pStyle w:val="ARtabletextright"/>
            </w:pPr>
            <w:r w:rsidRPr="002029AF">
              <w:t>1,433</w:t>
            </w:r>
          </w:p>
        </w:tc>
        <w:tc>
          <w:tcPr>
            <w:tcW w:w="1610" w:type="dxa"/>
          </w:tcPr>
          <w:p w14:paraId="5F494FBD" w14:textId="77777777" w:rsidR="00CF72D5" w:rsidRPr="002029AF" w:rsidRDefault="00CF72D5" w:rsidP="00897193">
            <w:pPr>
              <w:pStyle w:val="ARtabletextright"/>
            </w:pPr>
            <w:r w:rsidRPr="002029AF">
              <w:t>6,466.5</w:t>
            </w:r>
          </w:p>
        </w:tc>
        <w:tc>
          <w:tcPr>
            <w:tcW w:w="1589" w:type="dxa"/>
          </w:tcPr>
          <w:p w14:paraId="1A84EBB7" w14:textId="77777777" w:rsidR="00CF72D5" w:rsidRPr="002029AF" w:rsidRDefault="00CF72D5" w:rsidP="00897193">
            <w:pPr>
              <w:pStyle w:val="ARtabletextright"/>
            </w:pPr>
            <w:r w:rsidRPr="002029AF">
              <w:t>1,642.6</w:t>
            </w:r>
          </w:p>
        </w:tc>
      </w:tr>
    </w:tbl>
    <w:p w14:paraId="387EF48D" w14:textId="77777777" w:rsidR="00CF72D5" w:rsidRPr="002029AF" w:rsidRDefault="00CF72D5" w:rsidP="00897193">
      <w:pPr>
        <w:pStyle w:val="ARtablefootnote"/>
      </w:pPr>
      <w:bookmarkStart w:id="81" w:name="_Ref492905539"/>
    </w:p>
    <w:p w14:paraId="7978AA26" w14:textId="77777777" w:rsidR="00CF72D5" w:rsidRPr="002029AF" w:rsidRDefault="00CF72D5" w:rsidP="00897193">
      <w:pPr>
        <w:pStyle w:val="Heading3"/>
        <w:sectPr w:rsidR="00CF72D5" w:rsidRPr="002029AF" w:rsidSect="003048F1">
          <w:type w:val="continuous"/>
          <w:pgSz w:w="11906" w:h="16838" w:code="9"/>
          <w:pgMar w:top="1985" w:right="851" w:bottom="851" w:left="1418" w:header="510" w:footer="340" w:gutter="0"/>
          <w:cols w:space="454"/>
          <w:docGrid w:linePitch="360"/>
          <w15:footnoteColumns w:val="1"/>
        </w:sectPr>
      </w:pPr>
    </w:p>
    <w:p w14:paraId="25246759" w14:textId="3945D6CC" w:rsidR="00CF72D5" w:rsidRPr="002029AF" w:rsidRDefault="00CF72D5" w:rsidP="00897193">
      <w:pPr>
        <w:pStyle w:val="Heading3"/>
        <w:spacing w:before="0"/>
      </w:pPr>
      <w:bookmarkStart w:id="82" w:name="_Hlk19622676"/>
      <w:r w:rsidRPr="002029AF">
        <w:lastRenderedPageBreak/>
        <w:t>Department</w:t>
      </w:r>
      <w:r w:rsidR="000A5329" w:rsidRPr="002029AF">
        <w:t xml:space="preserve"> </w:t>
      </w:r>
      <w:r w:rsidRPr="002029AF">
        <w:t>of</w:t>
      </w:r>
      <w:r w:rsidR="000A5329" w:rsidRPr="002029AF">
        <w:t xml:space="preserve"> </w:t>
      </w:r>
      <w:r w:rsidRPr="002029AF">
        <w:t>Health</w:t>
      </w:r>
      <w:r w:rsidR="000A5329" w:rsidRPr="002029AF">
        <w:t xml:space="preserve"> </w:t>
      </w:r>
      <w:r w:rsidRPr="002029AF">
        <w:t>and</w:t>
      </w:r>
      <w:r w:rsidR="000A5329" w:rsidRPr="002029AF">
        <w:t xml:space="preserve"> </w:t>
      </w:r>
      <w:r w:rsidRPr="002029AF">
        <w:t>Human</w:t>
      </w:r>
      <w:r w:rsidR="000A5329" w:rsidRPr="002029AF">
        <w:t xml:space="preserve"> </w:t>
      </w:r>
      <w:r w:rsidRPr="002029AF">
        <w:t>Services</w:t>
      </w:r>
      <w:r w:rsidR="000A5329" w:rsidRPr="002029AF">
        <w:t xml:space="preserve"> </w:t>
      </w:r>
      <w:r w:rsidRPr="002029AF">
        <w:t>employment</w:t>
      </w:r>
      <w:r w:rsidR="000A5329" w:rsidRPr="002029AF">
        <w:t xml:space="preserve"> </w:t>
      </w:r>
      <w:r w:rsidRPr="002029AF">
        <w:t>levels</w:t>
      </w:r>
      <w:r w:rsidR="000A5329" w:rsidRPr="002029AF">
        <w:t xml:space="preserve"> </w:t>
      </w:r>
      <w:r w:rsidRPr="002029AF">
        <w:t>in</w:t>
      </w:r>
      <w:r w:rsidR="000A5329" w:rsidRPr="002029AF">
        <w:t xml:space="preserve"> </w:t>
      </w:r>
      <w:r w:rsidRPr="002029AF">
        <w:t>June</w:t>
      </w:r>
      <w:r w:rsidR="000A5329" w:rsidRPr="002029AF">
        <w:t xml:space="preserve"> </w:t>
      </w:r>
      <w:r w:rsidRPr="002029AF">
        <w:t>of</w:t>
      </w:r>
      <w:r w:rsidR="000A5329" w:rsidRPr="002029AF">
        <w:t xml:space="preserve"> </w:t>
      </w:r>
      <w:r w:rsidRPr="002029AF">
        <w:t>2020</w:t>
      </w:r>
      <w:r w:rsidR="000A5329" w:rsidRPr="002029AF">
        <w:t xml:space="preserve"> </w:t>
      </w:r>
      <w:r w:rsidRPr="002029AF">
        <w:t>and</w:t>
      </w:r>
      <w:r w:rsidR="000A5329" w:rsidRPr="002029AF">
        <w:t xml:space="preserve"> </w:t>
      </w:r>
      <w:r w:rsidRPr="002029AF">
        <w:t>2019</w:t>
      </w:r>
    </w:p>
    <w:tbl>
      <w:tblPr>
        <w:tblStyle w:val="TableGrid"/>
        <w:tblW w:w="14005" w:type="dxa"/>
        <w:tblLook w:val="06A0" w:firstRow="1" w:lastRow="0" w:firstColumn="1" w:lastColumn="0" w:noHBand="1" w:noVBand="1"/>
      </w:tblPr>
      <w:tblGrid>
        <w:gridCol w:w="1740"/>
        <w:gridCol w:w="897"/>
        <w:gridCol w:w="919"/>
        <w:gridCol w:w="767"/>
        <w:gridCol w:w="767"/>
        <w:gridCol w:w="919"/>
        <w:gridCol w:w="896"/>
        <w:gridCol w:w="919"/>
        <w:gridCol w:w="896"/>
        <w:gridCol w:w="1020"/>
        <w:gridCol w:w="767"/>
        <w:gridCol w:w="767"/>
        <w:gridCol w:w="919"/>
        <w:gridCol w:w="899"/>
        <w:gridCol w:w="913"/>
      </w:tblGrid>
      <w:tr w:rsidR="00462DC8" w:rsidRPr="002029AF" w14:paraId="24219298" w14:textId="77777777" w:rsidTr="00233C48">
        <w:trPr>
          <w:cnfStyle w:val="100000000000" w:firstRow="1" w:lastRow="0" w:firstColumn="0" w:lastColumn="0" w:oddVBand="0" w:evenVBand="0" w:oddHBand="0" w:evenHBand="0" w:firstRowFirstColumn="0" w:firstRowLastColumn="0" w:lastRowFirstColumn="0" w:lastRowLastColumn="0"/>
          <w:trHeight w:val="302"/>
          <w:tblHeader/>
        </w:trPr>
        <w:tc>
          <w:tcPr>
            <w:tcW w:w="621" w:type="pct"/>
            <w:vMerge w:val="restart"/>
            <w:hideMark/>
          </w:tcPr>
          <w:p w14:paraId="3420F4AA" w14:textId="7194A85F" w:rsidR="00462DC8" w:rsidRPr="002029AF" w:rsidRDefault="00462DC8" w:rsidP="00B518D9">
            <w:pPr>
              <w:pStyle w:val="ARtablecolhead"/>
              <w:spacing w:before="40" w:after="20"/>
            </w:pPr>
          </w:p>
        </w:tc>
        <w:tc>
          <w:tcPr>
            <w:tcW w:w="2172" w:type="pct"/>
            <w:gridSpan w:val="7"/>
            <w:hideMark/>
          </w:tcPr>
          <w:p w14:paraId="6F56F127" w14:textId="1B44D11E" w:rsidR="00462DC8" w:rsidRPr="002029AF" w:rsidRDefault="00462DC8" w:rsidP="00B518D9">
            <w:pPr>
              <w:pStyle w:val="ARtablecolheadcentre"/>
              <w:spacing w:before="40" w:after="20"/>
            </w:pPr>
            <w:r w:rsidRPr="002029AF">
              <w:t>June</w:t>
            </w:r>
            <w:r w:rsidR="000A5329" w:rsidRPr="002029AF">
              <w:t xml:space="preserve"> </w:t>
            </w:r>
            <w:r w:rsidRPr="002029AF">
              <w:t>2020</w:t>
            </w:r>
          </w:p>
        </w:tc>
        <w:tc>
          <w:tcPr>
            <w:tcW w:w="2207" w:type="pct"/>
            <w:gridSpan w:val="7"/>
            <w:hideMark/>
          </w:tcPr>
          <w:p w14:paraId="756E50E0" w14:textId="267FBC01" w:rsidR="00462DC8" w:rsidRPr="002029AF" w:rsidRDefault="00462DC8" w:rsidP="00B518D9">
            <w:pPr>
              <w:pStyle w:val="ARtablecolheadcentre"/>
              <w:spacing w:before="40" w:after="20"/>
            </w:pPr>
            <w:r w:rsidRPr="002029AF">
              <w:t>June</w:t>
            </w:r>
            <w:r w:rsidR="000A5329" w:rsidRPr="002029AF">
              <w:t xml:space="preserve"> </w:t>
            </w:r>
            <w:r w:rsidRPr="002029AF">
              <w:t>2019</w:t>
            </w:r>
          </w:p>
        </w:tc>
      </w:tr>
      <w:tr w:rsidR="00462DC8" w:rsidRPr="002029AF" w14:paraId="627667DC" w14:textId="77777777" w:rsidTr="00233C48">
        <w:trPr>
          <w:cnfStyle w:val="100000000000" w:firstRow="1" w:lastRow="0" w:firstColumn="0" w:lastColumn="0" w:oddVBand="0" w:evenVBand="0" w:oddHBand="0" w:evenHBand="0" w:firstRowFirstColumn="0" w:firstRowLastColumn="0" w:lastRowFirstColumn="0" w:lastRowLastColumn="0"/>
          <w:trHeight w:val="175"/>
          <w:tblHeader/>
        </w:trPr>
        <w:tc>
          <w:tcPr>
            <w:tcW w:w="621" w:type="pct"/>
            <w:vMerge/>
            <w:hideMark/>
          </w:tcPr>
          <w:p w14:paraId="37019661" w14:textId="0B32D6E1" w:rsidR="00462DC8" w:rsidRPr="002029AF" w:rsidRDefault="00462DC8" w:rsidP="00B518D9">
            <w:pPr>
              <w:spacing w:before="40" w:after="20" w:line="240" w:lineRule="auto"/>
              <w:rPr>
                <w:rFonts w:ascii="Calibri" w:eastAsia="Times New Roman" w:hAnsi="Calibri" w:cs="Calibri"/>
                <w:i/>
                <w:iCs/>
                <w:color w:val="000000"/>
                <w:sz w:val="15"/>
                <w:szCs w:val="15"/>
              </w:rPr>
            </w:pPr>
          </w:p>
        </w:tc>
        <w:tc>
          <w:tcPr>
            <w:tcW w:w="648" w:type="pct"/>
            <w:gridSpan w:val="2"/>
            <w:hideMark/>
          </w:tcPr>
          <w:p w14:paraId="52F2D3D0" w14:textId="23C293AB" w:rsidR="00462DC8" w:rsidRPr="002029AF" w:rsidRDefault="00462DC8" w:rsidP="00B518D9">
            <w:pPr>
              <w:pStyle w:val="ARtablecolheadcentre"/>
              <w:spacing w:before="40" w:after="20"/>
            </w:pPr>
            <w:r w:rsidRPr="002029AF">
              <w:t>All</w:t>
            </w:r>
            <w:r w:rsidR="000A5329" w:rsidRPr="002029AF">
              <w:t xml:space="preserve"> </w:t>
            </w:r>
            <w:r w:rsidRPr="002029AF">
              <w:t>employees</w:t>
            </w:r>
          </w:p>
        </w:tc>
        <w:tc>
          <w:tcPr>
            <w:tcW w:w="876" w:type="pct"/>
            <w:gridSpan w:val="3"/>
            <w:hideMark/>
          </w:tcPr>
          <w:p w14:paraId="48B4C4D4" w14:textId="77777777" w:rsidR="00462DC8" w:rsidRPr="002029AF" w:rsidRDefault="00462DC8" w:rsidP="00B518D9">
            <w:pPr>
              <w:pStyle w:val="ARtablecolheadcentre"/>
              <w:spacing w:before="40" w:after="20"/>
            </w:pPr>
            <w:r w:rsidRPr="002029AF">
              <w:t>Ongoing</w:t>
            </w:r>
          </w:p>
        </w:tc>
        <w:tc>
          <w:tcPr>
            <w:tcW w:w="648" w:type="pct"/>
            <w:gridSpan w:val="2"/>
            <w:hideMark/>
          </w:tcPr>
          <w:p w14:paraId="59EFD2EE" w14:textId="60571804" w:rsidR="00462DC8" w:rsidRPr="002029AF" w:rsidRDefault="00462DC8" w:rsidP="00B518D9">
            <w:pPr>
              <w:pStyle w:val="ARtablecolheadcentre"/>
              <w:spacing w:before="40" w:after="20"/>
            </w:pPr>
            <w:r w:rsidRPr="002029AF">
              <w:t>Fixed</w:t>
            </w:r>
            <w:r w:rsidR="000A5329" w:rsidRPr="002029AF">
              <w:t xml:space="preserve"> </w:t>
            </w:r>
            <w:r w:rsidRPr="002029AF">
              <w:t>term</w:t>
            </w:r>
            <w:r w:rsidR="000A5329" w:rsidRPr="002029AF">
              <w:t xml:space="preserve"> </w:t>
            </w:r>
            <w:r w:rsidRPr="002029AF">
              <w:t>and</w:t>
            </w:r>
            <w:r w:rsidR="000A5329" w:rsidRPr="002029AF">
              <w:t xml:space="preserve"> </w:t>
            </w:r>
            <w:r w:rsidRPr="002029AF">
              <w:t>casual</w:t>
            </w:r>
          </w:p>
        </w:tc>
        <w:tc>
          <w:tcPr>
            <w:tcW w:w="684" w:type="pct"/>
            <w:gridSpan w:val="2"/>
            <w:hideMark/>
          </w:tcPr>
          <w:p w14:paraId="607BCD19" w14:textId="47B0A7B6" w:rsidR="00462DC8" w:rsidRPr="002029AF" w:rsidRDefault="00462DC8" w:rsidP="00B518D9">
            <w:pPr>
              <w:pStyle w:val="ARtablecolheadcentre"/>
              <w:spacing w:before="40" w:after="20"/>
            </w:pPr>
            <w:r w:rsidRPr="002029AF">
              <w:t>All</w:t>
            </w:r>
            <w:r w:rsidR="000A5329" w:rsidRPr="002029AF">
              <w:t xml:space="preserve"> </w:t>
            </w:r>
            <w:r w:rsidRPr="002029AF">
              <w:t>employees</w:t>
            </w:r>
          </w:p>
        </w:tc>
        <w:tc>
          <w:tcPr>
            <w:tcW w:w="876" w:type="pct"/>
            <w:gridSpan w:val="3"/>
            <w:hideMark/>
          </w:tcPr>
          <w:p w14:paraId="087833B8" w14:textId="77777777" w:rsidR="00462DC8" w:rsidRPr="002029AF" w:rsidRDefault="00462DC8" w:rsidP="00B518D9">
            <w:pPr>
              <w:pStyle w:val="ARtablecolheadcentre"/>
              <w:spacing w:before="40" w:after="20"/>
            </w:pPr>
            <w:r w:rsidRPr="002029AF">
              <w:t>Ongoing</w:t>
            </w:r>
          </w:p>
        </w:tc>
        <w:tc>
          <w:tcPr>
            <w:tcW w:w="647" w:type="pct"/>
            <w:gridSpan w:val="2"/>
            <w:hideMark/>
          </w:tcPr>
          <w:p w14:paraId="0664C216" w14:textId="5F1B0B9B" w:rsidR="00462DC8" w:rsidRPr="002029AF" w:rsidRDefault="00462DC8" w:rsidP="00B518D9">
            <w:pPr>
              <w:pStyle w:val="ARtablecolheadcentre"/>
              <w:spacing w:before="40" w:after="20"/>
            </w:pPr>
            <w:r w:rsidRPr="002029AF">
              <w:t>Fixed</w:t>
            </w:r>
            <w:r w:rsidR="000A5329" w:rsidRPr="002029AF">
              <w:t xml:space="preserve"> </w:t>
            </w:r>
            <w:r w:rsidRPr="002029AF">
              <w:t>term</w:t>
            </w:r>
            <w:r w:rsidR="000A5329" w:rsidRPr="002029AF">
              <w:t xml:space="preserve"> </w:t>
            </w:r>
            <w:r w:rsidRPr="002029AF">
              <w:t>and</w:t>
            </w:r>
            <w:r w:rsidR="000A5329" w:rsidRPr="002029AF">
              <w:t xml:space="preserve"> </w:t>
            </w:r>
            <w:r w:rsidRPr="002029AF">
              <w:t>casual</w:t>
            </w:r>
          </w:p>
        </w:tc>
      </w:tr>
      <w:tr w:rsidR="00462DC8" w:rsidRPr="002029AF" w14:paraId="5191F440" w14:textId="77777777" w:rsidTr="00233C48">
        <w:trPr>
          <w:cnfStyle w:val="100000000000" w:firstRow="1" w:lastRow="0" w:firstColumn="0" w:lastColumn="0" w:oddVBand="0" w:evenVBand="0" w:oddHBand="0" w:evenHBand="0" w:firstRowFirstColumn="0" w:firstRowLastColumn="0" w:lastRowFirstColumn="0" w:lastRowLastColumn="0"/>
          <w:trHeight w:val="726"/>
          <w:tblHeader/>
        </w:trPr>
        <w:tc>
          <w:tcPr>
            <w:tcW w:w="621" w:type="pct"/>
            <w:vMerge/>
            <w:hideMark/>
          </w:tcPr>
          <w:p w14:paraId="737B40A8" w14:textId="59687106" w:rsidR="00462DC8" w:rsidRPr="002029AF" w:rsidRDefault="00462DC8" w:rsidP="00B518D9">
            <w:pPr>
              <w:spacing w:before="40" w:after="20" w:line="240" w:lineRule="auto"/>
              <w:rPr>
                <w:rFonts w:ascii="Calibri" w:eastAsia="Times New Roman" w:hAnsi="Calibri" w:cs="Calibri"/>
                <w:i/>
                <w:iCs/>
                <w:color w:val="000000"/>
                <w:sz w:val="15"/>
                <w:szCs w:val="15"/>
              </w:rPr>
            </w:pPr>
          </w:p>
        </w:tc>
        <w:tc>
          <w:tcPr>
            <w:tcW w:w="320" w:type="pct"/>
            <w:hideMark/>
          </w:tcPr>
          <w:p w14:paraId="5A6C4FC9" w14:textId="6AE5BB3B" w:rsidR="00462DC8" w:rsidRPr="002029AF" w:rsidRDefault="00462DC8" w:rsidP="00B518D9">
            <w:pPr>
              <w:pStyle w:val="ARtablecolheadright"/>
              <w:spacing w:before="40" w:after="20"/>
            </w:pPr>
            <w:r w:rsidRPr="002029AF">
              <w:t>Number</w:t>
            </w:r>
            <w:r w:rsidR="000A5329" w:rsidRPr="002029AF">
              <w:t xml:space="preserve"> </w:t>
            </w:r>
            <w:r w:rsidRPr="002029AF">
              <w:t>(head</w:t>
            </w:r>
            <w:r w:rsidR="000A5329" w:rsidRPr="002029AF">
              <w:t xml:space="preserve"> </w:t>
            </w:r>
            <w:r w:rsidRPr="002029AF">
              <w:t>count)</w:t>
            </w:r>
          </w:p>
        </w:tc>
        <w:tc>
          <w:tcPr>
            <w:tcW w:w="328" w:type="pct"/>
            <w:hideMark/>
          </w:tcPr>
          <w:p w14:paraId="083DBB73" w14:textId="77777777" w:rsidR="00462DC8" w:rsidRPr="002029AF" w:rsidRDefault="00462DC8" w:rsidP="00B518D9">
            <w:pPr>
              <w:pStyle w:val="ARtablecolheadright"/>
              <w:spacing w:before="40" w:after="20"/>
            </w:pPr>
            <w:r w:rsidRPr="002029AF">
              <w:t>FTE</w:t>
            </w:r>
          </w:p>
        </w:tc>
        <w:tc>
          <w:tcPr>
            <w:tcW w:w="274" w:type="pct"/>
            <w:hideMark/>
          </w:tcPr>
          <w:p w14:paraId="434CCDB2" w14:textId="47CE071E" w:rsidR="00462DC8" w:rsidRPr="002029AF" w:rsidRDefault="00462DC8" w:rsidP="00B518D9">
            <w:pPr>
              <w:pStyle w:val="ARtablecolheadright"/>
              <w:spacing w:before="40" w:after="20"/>
            </w:pPr>
            <w:r w:rsidRPr="002029AF">
              <w:t>Full-time</w:t>
            </w:r>
            <w:r w:rsidR="000A5329" w:rsidRPr="002029AF">
              <w:t xml:space="preserve"> </w:t>
            </w:r>
            <w:r w:rsidRPr="002029AF">
              <w:t>(head</w:t>
            </w:r>
            <w:r w:rsidR="000A5329" w:rsidRPr="002029AF">
              <w:t xml:space="preserve"> </w:t>
            </w:r>
            <w:r w:rsidRPr="002029AF">
              <w:t>count)</w:t>
            </w:r>
          </w:p>
        </w:tc>
        <w:tc>
          <w:tcPr>
            <w:tcW w:w="274" w:type="pct"/>
            <w:hideMark/>
          </w:tcPr>
          <w:p w14:paraId="747BF1DD" w14:textId="77A2C133" w:rsidR="00462DC8" w:rsidRPr="002029AF" w:rsidRDefault="00462DC8" w:rsidP="00B518D9">
            <w:pPr>
              <w:pStyle w:val="ARtablecolheadright"/>
              <w:spacing w:before="40" w:after="20"/>
            </w:pPr>
            <w:r w:rsidRPr="002029AF">
              <w:t>Part-time</w:t>
            </w:r>
            <w:r w:rsidR="000A5329" w:rsidRPr="002029AF">
              <w:t xml:space="preserve"> </w:t>
            </w:r>
            <w:r w:rsidRPr="002029AF">
              <w:t>(head</w:t>
            </w:r>
            <w:r w:rsidR="000A5329" w:rsidRPr="002029AF">
              <w:t xml:space="preserve"> </w:t>
            </w:r>
            <w:r w:rsidRPr="002029AF">
              <w:t>count)</w:t>
            </w:r>
          </w:p>
        </w:tc>
        <w:tc>
          <w:tcPr>
            <w:tcW w:w="328" w:type="pct"/>
            <w:hideMark/>
          </w:tcPr>
          <w:p w14:paraId="51FAA112" w14:textId="77777777" w:rsidR="00462DC8" w:rsidRPr="002029AF" w:rsidRDefault="00462DC8" w:rsidP="00B518D9">
            <w:pPr>
              <w:pStyle w:val="ARtablecolheadright"/>
              <w:spacing w:before="40" w:after="20"/>
            </w:pPr>
            <w:r w:rsidRPr="002029AF">
              <w:t>FTE</w:t>
            </w:r>
          </w:p>
        </w:tc>
        <w:tc>
          <w:tcPr>
            <w:tcW w:w="320" w:type="pct"/>
            <w:hideMark/>
          </w:tcPr>
          <w:p w14:paraId="17021E10" w14:textId="6DA158CC" w:rsidR="00462DC8" w:rsidRPr="002029AF" w:rsidRDefault="00462DC8" w:rsidP="00B518D9">
            <w:pPr>
              <w:pStyle w:val="ARtablecolheadright"/>
              <w:spacing w:before="40" w:after="20"/>
            </w:pPr>
            <w:r w:rsidRPr="002029AF">
              <w:t>Number</w:t>
            </w:r>
            <w:r w:rsidR="000A5329" w:rsidRPr="002029AF">
              <w:t xml:space="preserve"> </w:t>
            </w:r>
            <w:r w:rsidRPr="002029AF">
              <w:t>(head</w:t>
            </w:r>
            <w:r w:rsidR="000A5329" w:rsidRPr="002029AF">
              <w:t xml:space="preserve"> </w:t>
            </w:r>
            <w:r w:rsidRPr="002029AF">
              <w:t>count)</w:t>
            </w:r>
          </w:p>
        </w:tc>
        <w:tc>
          <w:tcPr>
            <w:tcW w:w="328" w:type="pct"/>
            <w:hideMark/>
          </w:tcPr>
          <w:p w14:paraId="4747FC37" w14:textId="77777777" w:rsidR="00462DC8" w:rsidRPr="002029AF" w:rsidRDefault="00462DC8" w:rsidP="00B518D9">
            <w:pPr>
              <w:pStyle w:val="ARtablecolheadright"/>
              <w:spacing w:before="40" w:after="20"/>
            </w:pPr>
            <w:r w:rsidRPr="002029AF">
              <w:t>FTE</w:t>
            </w:r>
          </w:p>
        </w:tc>
        <w:tc>
          <w:tcPr>
            <w:tcW w:w="320" w:type="pct"/>
            <w:hideMark/>
          </w:tcPr>
          <w:p w14:paraId="2FA3B0DC" w14:textId="5FE1ABD3" w:rsidR="00462DC8" w:rsidRPr="002029AF" w:rsidRDefault="00462DC8" w:rsidP="00B518D9">
            <w:pPr>
              <w:pStyle w:val="ARtablecolheadright"/>
              <w:spacing w:before="40" w:after="20"/>
            </w:pPr>
            <w:r w:rsidRPr="002029AF">
              <w:t>Number</w:t>
            </w:r>
            <w:r w:rsidR="000A5329" w:rsidRPr="002029AF">
              <w:t xml:space="preserve"> </w:t>
            </w:r>
            <w:r w:rsidRPr="002029AF">
              <w:t>(head</w:t>
            </w:r>
            <w:r w:rsidR="000A5329" w:rsidRPr="002029AF">
              <w:t xml:space="preserve"> </w:t>
            </w:r>
            <w:r w:rsidRPr="002029AF">
              <w:t>count)</w:t>
            </w:r>
          </w:p>
        </w:tc>
        <w:tc>
          <w:tcPr>
            <w:tcW w:w="364" w:type="pct"/>
            <w:hideMark/>
          </w:tcPr>
          <w:p w14:paraId="35C4AA76" w14:textId="77777777" w:rsidR="00462DC8" w:rsidRPr="002029AF" w:rsidRDefault="00462DC8" w:rsidP="00B518D9">
            <w:pPr>
              <w:pStyle w:val="ARtablecolheadright"/>
              <w:spacing w:before="40" w:after="20"/>
            </w:pPr>
            <w:r w:rsidRPr="002029AF">
              <w:t>FTE</w:t>
            </w:r>
          </w:p>
        </w:tc>
        <w:tc>
          <w:tcPr>
            <w:tcW w:w="274" w:type="pct"/>
            <w:hideMark/>
          </w:tcPr>
          <w:p w14:paraId="54CC2FBB" w14:textId="293A7672" w:rsidR="00462DC8" w:rsidRPr="002029AF" w:rsidRDefault="00462DC8" w:rsidP="00B518D9">
            <w:pPr>
              <w:pStyle w:val="ARtablecolheadright"/>
              <w:spacing w:before="40" w:after="20"/>
            </w:pPr>
            <w:r w:rsidRPr="002029AF">
              <w:t>Full-time</w:t>
            </w:r>
            <w:r w:rsidR="000A5329" w:rsidRPr="002029AF">
              <w:t xml:space="preserve"> </w:t>
            </w:r>
            <w:r w:rsidRPr="002029AF">
              <w:t>(head</w:t>
            </w:r>
            <w:r w:rsidR="000A5329" w:rsidRPr="002029AF">
              <w:t xml:space="preserve"> </w:t>
            </w:r>
            <w:r w:rsidRPr="002029AF">
              <w:t>count)</w:t>
            </w:r>
          </w:p>
        </w:tc>
        <w:tc>
          <w:tcPr>
            <w:tcW w:w="274" w:type="pct"/>
            <w:hideMark/>
          </w:tcPr>
          <w:p w14:paraId="385001FC" w14:textId="69B3B67F" w:rsidR="00462DC8" w:rsidRPr="002029AF" w:rsidRDefault="00462DC8" w:rsidP="00B518D9">
            <w:pPr>
              <w:pStyle w:val="ARtablecolheadright"/>
              <w:spacing w:before="40" w:after="20"/>
            </w:pPr>
            <w:r w:rsidRPr="002029AF">
              <w:t>Part-time</w:t>
            </w:r>
            <w:r w:rsidR="000A5329" w:rsidRPr="002029AF">
              <w:t xml:space="preserve"> </w:t>
            </w:r>
            <w:r w:rsidRPr="002029AF">
              <w:t>(head</w:t>
            </w:r>
            <w:r w:rsidR="000A5329" w:rsidRPr="002029AF">
              <w:t xml:space="preserve"> </w:t>
            </w:r>
            <w:r w:rsidRPr="002029AF">
              <w:t>count)</w:t>
            </w:r>
          </w:p>
        </w:tc>
        <w:tc>
          <w:tcPr>
            <w:tcW w:w="328" w:type="pct"/>
            <w:hideMark/>
          </w:tcPr>
          <w:p w14:paraId="7068ED59" w14:textId="77777777" w:rsidR="00462DC8" w:rsidRPr="002029AF" w:rsidRDefault="00462DC8" w:rsidP="00B518D9">
            <w:pPr>
              <w:pStyle w:val="ARtablecolheadright"/>
              <w:spacing w:before="40" w:after="20"/>
            </w:pPr>
            <w:r w:rsidRPr="002029AF">
              <w:t>FTE</w:t>
            </w:r>
          </w:p>
        </w:tc>
        <w:tc>
          <w:tcPr>
            <w:tcW w:w="321" w:type="pct"/>
            <w:hideMark/>
          </w:tcPr>
          <w:p w14:paraId="04665025" w14:textId="0EA72A4F" w:rsidR="00462DC8" w:rsidRPr="002029AF" w:rsidRDefault="00462DC8" w:rsidP="00B518D9">
            <w:pPr>
              <w:pStyle w:val="ARtablecolheadright"/>
              <w:spacing w:before="40" w:after="20"/>
            </w:pPr>
            <w:r w:rsidRPr="002029AF">
              <w:t>Number</w:t>
            </w:r>
            <w:r w:rsidR="000A5329" w:rsidRPr="002029AF">
              <w:t xml:space="preserve"> </w:t>
            </w:r>
            <w:r w:rsidRPr="002029AF">
              <w:t>(head</w:t>
            </w:r>
            <w:r w:rsidR="000A5329" w:rsidRPr="002029AF">
              <w:t xml:space="preserve"> </w:t>
            </w:r>
            <w:r w:rsidRPr="002029AF">
              <w:t>count)</w:t>
            </w:r>
          </w:p>
        </w:tc>
        <w:tc>
          <w:tcPr>
            <w:tcW w:w="326" w:type="pct"/>
            <w:hideMark/>
          </w:tcPr>
          <w:p w14:paraId="641D42A1" w14:textId="77777777" w:rsidR="00462DC8" w:rsidRPr="002029AF" w:rsidRDefault="00462DC8" w:rsidP="00B518D9">
            <w:pPr>
              <w:pStyle w:val="ARtablecolheadright"/>
              <w:spacing w:before="40" w:after="20"/>
            </w:pPr>
            <w:r w:rsidRPr="002029AF">
              <w:t>FTE</w:t>
            </w:r>
          </w:p>
        </w:tc>
      </w:tr>
      <w:tr w:rsidR="00462DC8" w:rsidRPr="002029AF" w14:paraId="7585484C" w14:textId="77777777" w:rsidTr="00B518D9">
        <w:trPr>
          <w:cantSplit w:val="0"/>
          <w:trHeight w:val="302"/>
        </w:trPr>
        <w:tc>
          <w:tcPr>
            <w:tcW w:w="5000" w:type="pct"/>
            <w:gridSpan w:val="15"/>
            <w:hideMark/>
          </w:tcPr>
          <w:p w14:paraId="2AED87F3" w14:textId="1212D5AC" w:rsidR="00462DC8" w:rsidRPr="002029AF" w:rsidRDefault="00462DC8" w:rsidP="00B518D9">
            <w:pPr>
              <w:pStyle w:val="ARtablesubhead"/>
              <w:spacing w:before="40" w:after="20"/>
            </w:pPr>
            <w:r w:rsidRPr="002029AF">
              <w:t>Gender</w:t>
            </w:r>
          </w:p>
        </w:tc>
      </w:tr>
      <w:tr w:rsidR="00CF72D5" w:rsidRPr="002029AF" w14:paraId="1BDF940F" w14:textId="77777777" w:rsidTr="00B518D9">
        <w:trPr>
          <w:cantSplit w:val="0"/>
          <w:trHeight w:val="302"/>
        </w:trPr>
        <w:tc>
          <w:tcPr>
            <w:tcW w:w="621" w:type="pct"/>
            <w:hideMark/>
          </w:tcPr>
          <w:p w14:paraId="15336F58" w14:textId="77777777" w:rsidR="00CF72D5" w:rsidRPr="002029AF" w:rsidRDefault="00CF72D5" w:rsidP="00B518D9">
            <w:pPr>
              <w:pStyle w:val="ARtabletext"/>
              <w:spacing w:before="40" w:after="20"/>
            </w:pPr>
            <w:r w:rsidRPr="002029AF">
              <w:t>Women</w:t>
            </w:r>
          </w:p>
        </w:tc>
        <w:tc>
          <w:tcPr>
            <w:tcW w:w="320" w:type="pct"/>
            <w:hideMark/>
          </w:tcPr>
          <w:p w14:paraId="71432D73" w14:textId="77777777" w:rsidR="00CF72D5" w:rsidRPr="002029AF" w:rsidRDefault="00CF72D5" w:rsidP="00B518D9">
            <w:pPr>
              <w:pStyle w:val="ARtabletextright"/>
              <w:spacing w:before="40" w:after="20"/>
            </w:pPr>
            <w:r w:rsidRPr="002029AF">
              <w:t>6,328</w:t>
            </w:r>
          </w:p>
        </w:tc>
        <w:tc>
          <w:tcPr>
            <w:tcW w:w="328" w:type="pct"/>
            <w:hideMark/>
          </w:tcPr>
          <w:p w14:paraId="3933949B" w14:textId="77777777" w:rsidR="00CF72D5" w:rsidRPr="002029AF" w:rsidRDefault="00CF72D5" w:rsidP="00B518D9">
            <w:pPr>
              <w:pStyle w:val="ARtabletextright"/>
              <w:spacing w:before="40" w:after="20"/>
            </w:pPr>
            <w:r w:rsidRPr="002029AF">
              <w:t>5,781.3</w:t>
            </w:r>
          </w:p>
        </w:tc>
        <w:tc>
          <w:tcPr>
            <w:tcW w:w="274" w:type="pct"/>
            <w:hideMark/>
          </w:tcPr>
          <w:p w14:paraId="0AD8D3A8" w14:textId="77777777" w:rsidR="00CF72D5" w:rsidRPr="002029AF" w:rsidRDefault="00CF72D5" w:rsidP="00B518D9">
            <w:pPr>
              <w:pStyle w:val="ARtabletextright"/>
              <w:spacing w:before="40" w:after="20"/>
            </w:pPr>
            <w:r w:rsidRPr="002029AF">
              <w:t>3,732</w:t>
            </w:r>
          </w:p>
        </w:tc>
        <w:tc>
          <w:tcPr>
            <w:tcW w:w="274" w:type="pct"/>
            <w:hideMark/>
          </w:tcPr>
          <w:p w14:paraId="3B3C833D" w14:textId="77777777" w:rsidR="00CF72D5" w:rsidRPr="002029AF" w:rsidRDefault="00CF72D5" w:rsidP="00B518D9">
            <w:pPr>
              <w:pStyle w:val="ARtabletextright"/>
              <w:spacing w:before="40" w:after="20"/>
            </w:pPr>
            <w:r w:rsidRPr="002029AF">
              <w:t>1,300</w:t>
            </w:r>
          </w:p>
        </w:tc>
        <w:tc>
          <w:tcPr>
            <w:tcW w:w="328" w:type="pct"/>
            <w:hideMark/>
          </w:tcPr>
          <w:p w14:paraId="1B837F46" w14:textId="77777777" w:rsidR="00CF72D5" w:rsidRPr="002029AF" w:rsidRDefault="00CF72D5" w:rsidP="00B518D9">
            <w:pPr>
              <w:pStyle w:val="ARtabletextright"/>
              <w:spacing w:before="40" w:after="20"/>
            </w:pPr>
            <w:r w:rsidRPr="002029AF">
              <w:t>4,626.1</w:t>
            </w:r>
          </w:p>
        </w:tc>
        <w:tc>
          <w:tcPr>
            <w:tcW w:w="320" w:type="pct"/>
            <w:hideMark/>
          </w:tcPr>
          <w:p w14:paraId="1EB6582E" w14:textId="77777777" w:rsidR="00CF72D5" w:rsidRPr="002029AF" w:rsidRDefault="00CF72D5" w:rsidP="00B518D9">
            <w:pPr>
              <w:pStyle w:val="ARtabletextright"/>
              <w:spacing w:before="40" w:after="20"/>
            </w:pPr>
            <w:r w:rsidRPr="002029AF">
              <w:t>1,296</w:t>
            </w:r>
          </w:p>
        </w:tc>
        <w:tc>
          <w:tcPr>
            <w:tcW w:w="328" w:type="pct"/>
            <w:hideMark/>
          </w:tcPr>
          <w:p w14:paraId="54619595" w14:textId="77777777" w:rsidR="00CF72D5" w:rsidRPr="002029AF" w:rsidRDefault="00CF72D5" w:rsidP="00B518D9">
            <w:pPr>
              <w:pStyle w:val="ARtabletextright"/>
              <w:spacing w:before="40" w:after="20"/>
            </w:pPr>
            <w:r w:rsidRPr="002029AF">
              <w:t>1,155.2</w:t>
            </w:r>
          </w:p>
        </w:tc>
        <w:tc>
          <w:tcPr>
            <w:tcW w:w="320" w:type="pct"/>
            <w:hideMark/>
          </w:tcPr>
          <w:p w14:paraId="3EB449CC" w14:textId="77777777" w:rsidR="00CF72D5" w:rsidRPr="002029AF" w:rsidRDefault="00CF72D5" w:rsidP="00B518D9">
            <w:pPr>
              <w:pStyle w:val="ARtabletextright"/>
              <w:spacing w:before="40" w:after="20"/>
            </w:pPr>
            <w:r w:rsidRPr="002029AF">
              <w:t>8,075</w:t>
            </w:r>
          </w:p>
        </w:tc>
        <w:tc>
          <w:tcPr>
            <w:tcW w:w="364" w:type="pct"/>
            <w:hideMark/>
          </w:tcPr>
          <w:p w14:paraId="257FFAB1" w14:textId="77777777" w:rsidR="00CF72D5" w:rsidRPr="002029AF" w:rsidRDefault="00CF72D5" w:rsidP="00B518D9">
            <w:pPr>
              <w:pStyle w:val="ARtabletextright"/>
              <w:spacing w:before="40" w:after="20"/>
            </w:pPr>
            <w:r w:rsidRPr="002029AF">
              <w:t>7,125.3</w:t>
            </w:r>
          </w:p>
        </w:tc>
        <w:tc>
          <w:tcPr>
            <w:tcW w:w="274" w:type="pct"/>
            <w:hideMark/>
          </w:tcPr>
          <w:p w14:paraId="39C11B23" w14:textId="77777777" w:rsidR="00CF72D5" w:rsidRPr="002029AF" w:rsidRDefault="00CF72D5" w:rsidP="00B518D9">
            <w:pPr>
              <w:pStyle w:val="ARtabletextright"/>
              <w:spacing w:before="40" w:after="20"/>
            </w:pPr>
            <w:r w:rsidRPr="002029AF">
              <w:t>4,115</w:t>
            </w:r>
          </w:p>
        </w:tc>
        <w:tc>
          <w:tcPr>
            <w:tcW w:w="274" w:type="pct"/>
            <w:hideMark/>
          </w:tcPr>
          <w:p w14:paraId="403AE874" w14:textId="77777777" w:rsidR="00CF72D5" w:rsidRPr="002029AF" w:rsidRDefault="00CF72D5" w:rsidP="00B518D9">
            <w:pPr>
              <w:pStyle w:val="ARtabletextright"/>
              <w:spacing w:before="40" w:after="20"/>
            </w:pPr>
            <w:r w:rsidRPr="002029AF">
              <w:t>2,092</w:t>
            </w:r>
          </w:p>
        </w:tc>
        <w:tc>
          <w:tcPr>
            <w:tcW w:w="328" w:type="pct"/>
            <w:hideMark/>
          </w:tcPr>
          <w:p w14:paraId="2EF482B5" w14:textId="77777777" w:rsidR="00CF72D5" w:rsidRPr="002029AF" w:rsidRDefault="00CF72D5" w:rsidP="00B518D9">
            <w:pPr>
              <w:pStyle w:val="ARtabletextright"/>
              <w:spacing w:before="40" w:after="20"/>
            </w:pPr>
            <w:r w:rsidRPr="002029AF">
              <w:t>5,624.2</w:t>
            </w:r>
          </w:p>
        </w:tc>
        <w:tc>
          <w:tcPr>
            <w:tcW w:w="321" w:type="pct"/>
            <w:hideMark/>
          </w:tcPr>
          <w:p w14:paraId="7547280D" w14:textId="77777777" w:rsidR="00CF72D5" w:rsidRPr="002029AF" w:rsidRDefault="00CF72D5" w:rsidP="00B518D9">
            <w:pPr>
              <w:pStyle w:val="ARtabletextright"/>
              <w:spacing w:before="40" w:after="20"/>
            </w:pPr>
            <w:r w:rsidRPr="002029AF">
              <w:t>1,868</w:t>
            </w:r>
          </w:p>
        </w:tc>
        <w:tc>
          <w:tcPr>
            <w:tcW w:w="326" w:type="pct"/>
            <w:hideMark/>
          </w:tcPr>
          <w:p w14:paraId="45D873CF" w14:textId="77777777" w:rsidR="00CF72D5" w:rsidRPr="002029AF" w:rsidRDefault="00CF72D5" w:rsidP="00B518D9">
            <w:pPr>
              <w:pStyle w:val="ARtabletextright"/>
              <w:spacing w:before="40" w:after="20"/>
            </w:pPr>
            <w:r w:rsidRPr="002029AF">
              <w:t>1,501.1</w:t>
            </w:r>
          </w:p>
        </w:tc>
      </w:tr>
      <w:tr w:rsidR="00CF72D5" w:rsidRPr="002029AF" w14:paraId="10DD1D88" w14:textId="77777777" w:rsidTr="00B518D9">
        <w:trPr>
          <w:cantSplit w:val="0"/>
          <w:trHeight w:val="302"/>
        </w:trPr>
        <w:tc>
          <w:tcPr>
            <w:tcW w:w="621" w:type="pct"/>
            <w:hideMark/>
          </w:tcPr>
          <w:p w14:paraId="6B3FBE57" w14:textId="77777777" w:rsidR="00CF72D5" w:rsidRPr="002029AF" w:rsidRDefault="00CF72D5" w:rsidP="00B518D9">
            <w:pPr>
              <w:pStyle w:val="ARtabletext"/>
              <w:spacing w:before="40" w:after="20"/>
            </w:pPr>
            <w:r w:rsidRPr="002029AF">
              <w:t>Men</w:t>
            </w:r>
          </w:p>
        </w:tc>
        <w:tc>
          <w:tcPr>
            <w:tcW w:w="320" w:type="pct"/>
            <w:hideMark/>
          </w:tcPr>
          <w:p w14:paraId="077606F8" w14:textId="77777777" w:rsidR="00CF72D5" w:rsidRPr="002029AF" w:rsidRDefault="00CF72D5" w:rsidP="00B518D9">
            <w:pPr>
              <w:pStyle w:val="ARtabletextright"/>
              <w:spacing w:before="40" w:after="20"/>
            </w:pPr>
            <w:r w:rsidRPr="002029AF">
              <w:t>2,404</w:t>
            </w:r>
          </w:p>
        </w:tc>
        <w:tc>
          <w:tcPr>
            <w:tcW w:w="328" w:type="pct"/>
            <w:hideMark/>
          </w:tcPr>
          <w:p w14:paraId="55F61935" w14:textId="77777777" w:rsidR="00CF72D5" w:rsidRPr="002029AF" w:rsidRDefault="00CF72D5" w:rsidP="00B518D9">
            <w:pPr>
              <w:pStyle w:val="ARtabletextright"/>
              <w:spacing w:before="40" w:after="20"/>
            </w:pPr>
            <w:r w:rsidRPr="002029AF">
              <w:t>2,327.8</w:t>
            </w:r>
          </w:p>
        </w:tc>
        <w:tc>
          <w:tcPr>
            <w:tcW w:w="274" w:type="pct"/>
            <w:hideMark/>
          </w:tcPr>
          <w:p w14:paraId="5D31DA2C" w14:textId="77777777" w:rsidR="00CF72D5" w:rsidRPr="002029AF" w:rsidRDefault="00CF72D5" w:rsidP="00B518D9">
            <w:pPr>
              <w:pStyle w:val="ARtabletextright"/>
              <w:spacing w:before="40" w:after="20"/>
            </w:pPr>
            <w:r w:rsidRPr="002029AF">
              <w:t>1,742</w:t>
            </w:r>
          </w:p>
        </w:tc>
        <w:tc>
          <w:tcPr>
            <w:tcW w:w="274" w:type="pct"/>
            <w:hideMark/>
          </w:tcPr>
          <w:p w14:paraId="5C8BB49B" w14:textId="77777777" w:rsidR="00CF72D5" w:rsidRPr="002029AF" w:rsidRDefault="00CF72D5" w:rsidP="00B518D9">
            <w:pPr>
              <w:pStyle w:val="ARtabletextright"/>
              <w:spacing w:before="40" w:after="20"/>
            </w:pPr>
            <w:r w:rsidRPr="002029AF">
              <w:t>133</w:t>
            </w:r>
          </w:p>
        </w:tc>
        <w:tc>
          <w:tcPr>
            <w:tcW w:w="328" w:type="pct"/>
            <w:hideMark/>
          </w:tcPr>
          <w:p w14:paraId="769C8A5A" w14:textId="77777777" w:rsidR="00CF72D5" w:rsidRPr="002029AF" w:rsidRDefault="00CF72D5" w:rsidP="00B518D9">
            <w:pPr>
              <w:pStyle w:val="ARtabletextright"/>
              <w:spacing w:before="40" w:after="20"/>
            </w:pPr>
            <w:r w:rsidRPr="002029AF">
              <w:t>1,840.4</w:t>
            </w:r>
          </w:p>
        </w:tc>
        <w:tc>
          <w:tcPr>
            <w:tcW w:w="320" w:type="pct"/>
            <w:hideMark/>
          </w:tcPr>
          <w:p w14:paraId="6E749C0C" w14:textId="77777777" w:rsidR="00CF72D5" w:rsidRPr="002029AF" w:rsidRDefault="00CF72D5" w:rsidP="00B518D9">
            <w:pPr>
              <w:pStyle w:val="ARtabletextright"/>
              <w:spacing w:before="40" w:after="20"/>
            </w:pPr>
            <w:r w:rsidRPr="002029AF">
              <w:t>529</w:t>
            </w:r>
          </w:p>
        </w:tc>
        <w:tc>
          <w:tcPr>
            <w:tcW w:w="328" w:type="pct"/>
            <w:hideMark/>
          </w:tcPr>
          <w:p w14:paraId="0A937438" w14:textId="77777777" w:rsidR="00CF72D5" w:rsidRPr="002029AF" w:rsidRDefault="00CF72D5" w:rsidP="00B518D9">
            <w:pPr>
              <w:pStyle w:val="ARtabletextright"/>
              <w:spacing w:before="40" w:after="20"/>
            </w:pPr>
            <w:r w:rsidRPr="002029AF">
              <w:t>487.3</w:t>
            </w:r>
          </w:p>
        </w:tc>
        <w:tc>
          <w:tcPr>
            <w:tcW w:w="320" w:type="pct"/>
            <w:hideMark/>
          </w:tcPr>
          <w:p w14:paraId="55DE458F" w14:textId="77777777" w:rsidR="00CF72D5" w:rsidRPr="002029AF" w:rsidRDefault="00CF72D5" w:rsidP="00B518D9">
            <w:pPr>
              <w:pStyle w:val="ARtabletextright"/>
              <w:spacing w:before="40" w:after="20"/>
            </w:pPr>
            <w:r w:rsidRPr="002029AF">
              <w:t>3,166</w:t>
            </w:r>
          </w:p>
        </w:tc>
        <w:tc>
          <w:tcPr>
            <w:tcW w:w="364" w:type="pct"/>
            <w:hideMark/>
          </w:tcPr>
          <w:p w14:paraId="4B1F6826" w14:textId="77777777" w:rsidR="00CF72D5" w:rsidRPr="002029AF" w:rsidRDefault="00CF72D5" w:rsidP="00B518D9">
            <w:pPr>
              <w:pStyle w:val="ARtabletextright"/>
              <w:spacing w:before="40" w:after="20"/>
            </w:pPr>
            <w:r w:rsidRPr="002029AF">
              <w:t>2,957.2</w:t>
            </w:r>
          </w:p>
        </w:tc>
        <w:tc>
          <w:tcPr>
            <w:tcW w:w="274" w:type="pct"/>
            <w:hideMark/>
          </w:tcPr>
          <w:p w14:paraId="0EEB548C" w14:textId="77777777" w:rsidR="00CF72D5" w:rsidRPr="002029AF" w:rsidRDefault="00CF72D5" w:rsidP="00B518D9">
            <w:pPr>
              <w:pStyle w:val="ARtabletextright"/>
              <w:spacing w:before="40" w:after="20"/>
            </w:pPr>
            <w:r w:rsidRPr="002029AF">
              <w:t>2,010</w:t>
            </w:r>
          </w:p>
        </w:tc>
        <w:tc>
          <w:tcPr>
            <w:tcW w:w="274" w:type="pct"/>
            <w:hideMark/>
          </w:tcPr>
          <w:p w14:paraId="7517310F" w14:textId="77777777" w:rsidR="00CF72D5" w:rsidRPr="002029AF" w:rsidRDefault="00CF72D5" w:rsidP="00B518D9">
            <w:pPr>
              <w:pStyle w:val="ARtabletextright"/>
              <w:spacing w:before="40" w:after="20"/>
            </w:pPr>
            <w:r w:rsidRPr="002029AF">
              <w:t>458</w:t>
            </w:r>
          </w:p>
        </w:tc>
        <w:tc>
          <w:tcPr>
            <w:tcW w:w="328" w:type="pct"/>
            <w:hideMark/>
          </w:tcPr>
          <w:p w14:paraId="15C2011E" w14:textId="77777777" w:rsidR="00CF72D5" w:rsidRPr="002029AF" w:rsidRDefault="00CF72D5" w:rsidP="00B518D9">
            <w:pPr>
              <w:pStyle w:val="ARtabletextright"/>
              <w:spacing w:before="40" w:after="20"/>
            </w:pPr>
            <w:r w:rsidRPr="002029AF">
              <w:t>2,373.2</w:t>
            </w:r>
          </w:p>
        </w:tc>
        <w:tc>
          <w:tcPr>
            <w:tcW w:w="321" w:type="pct"/>
            <w:hideMark/>
          </w:tcPr>
          <w:p w14:paraId="4EB18855" w14:textId="77777777" w:rsidR="00CF72D5" w:rsidRPr="002029AF" w:rsidRDefault="00CF72D5" w:rsidP="00B518D9">
            <w:pPr>
              <w:pStyle w:val="ARtabletextright"/>
              <w:spacing w:before="40" w:after="20"/>
            </w:pPr>
            <w:r w:rsidRPr="002029AF">
              <w:t>698</w:t>
            </w:r>
          </w:p>
        </w:tc>
        <w:tc>
          <w:tcPr>
            <w:tcW w:w="326" w:type="pct"/>
            <w:hideMark/>
          </w:tcPr>
          <w:p w14:paraId="0BC7F3B5" w14:textId="77777777" w:rsidR="00CF72D5" w:rsidRPr="002029AF" w:rsidRDefault="00CF72D5" w:rsidP="00B518D9">
            <w:pPr>
              <w:pStyle w:val="ARtabletextright"/>
              <w:spacing w:before="40" w:after="20"/>
            </w:pPr>
            <w:r w:rsidRPr="002029AF">
              <w:t>584.0</w:t>
            </w:r>
          </w:p>
        </w:tc>
      </w:tr>
      <w:tr w:rsidR="00CF72D5" w:rsidRPr="002029AF" w14:paraId="063840CB" w14:textId="77777777" w:rsidTr="00B518D9">
        <w:trPr>
          <w:cantSplit w:val="0"/>
          <w:trHeight w:val="302"/>
        </w:trPr>
        <w:tc>
          <w:tcPr>
            <w:tcW w:w="621" w:type="pct"/>
            <w:hideMark/>
          </w:tcPr>
          <w:p w14:paraId="0DC2956B" w14:textId="77777777" w:rsidR="00CF72D5" w:rsidRPr="002029AF" w:rsidRDefault="00CF72D5" w:rsidP="00B518D9">
            <w:pPr>
              <w:pStyle w:val="ARtabletext"/>
              <w:spacing w:before="40" w:after="20"/>
            </w:pPr>
            <w:r w:rsidRPr="002029AF">
              <w:t>Self-described</w:t>
            </w:r>
          </w:p>
        </w:tc>
        <w:tc>
          <w:tcPr>
            <w:tcW w:w="320" w:type="pct"/>
            <w:hideMark/>
          </w:tcPr>
          <w:p w14:paraId="7CEAE762" w14:textId="77777777" w:rsidR="00CF72D5" w:rsidRPr="002029AF" w:rsidRDefault="00CF72D5" w:rsidP="00B518D9">
            <w:pPr>
              <w:pStyle w:val="ARtabletextright"/>
              <w:spacing w:before="40" w:after="20"/>
            </w:pPr>
            <w:r w:rsidRPr="002029AF">
              <w:t>na</w:t>
            </w:r>
          </w:p>
        </w:tc>
        <w:tc>
          <w:tcPr>
            <w:tcW w:w="328" w:type="pct"/>
            <w:hideMark/>
          </w:tcPr>
          <w:p w14:paraId="5ABB9FAC" w14:textId="77777777" w:rsidR="00CF72D5" w:rsidRPr="002029AF" w:rsidRDefault="00CF72D5" w:rsidP="00B518D9">
            <w:pPr>
              <w:pStyle w:val="ARtabletextright"/>
              <w:spacing w:before="40" w:after="20"/>
            </w:pPr>
            <w:r w:rsidRPr="002029AF">
              <w:t>na</w:t>
            </w:r>
          </w:p>
        </w:tc>
        <w:tc>
          <w:tcPr>
            <w:tcW w:w="274" w:type="pct"/>
            <w:hideMark/>
          </w:tcPr>
          <w:p w14:paraId="6AE97A19" w14:textId="77777777" w:rsidR="00CF72D5" w:rsidRPr="002029AF" w:rsidRDefault="00CF72D5" w:rsidP="00B518D9">
            <w:pPr>
              <w:pStyle w:val="ARtabletextright"/>
              <w:spacing w:before="40" w:after="20"/>
            </w:pPr>
            <w:r w:rsidRPr="002029AF">
              <w:t>na</w:t>
            </w:r>
          </w:p>
        </w:tc>
        <w:tc>
          <w:tcPr>
            <w:tcW w:w="274" w:type="pct"/>
            <w:hideMark/>
          </w:tcPr>
          <w:p w14:paraId="19FE1183" w14:textId="77777777" w:rsidR="00CF72D5" w:rsidRPr="002029AF" w:rsidRDefault="00CF72D5" w:rsidP="00B518D9">
            <w:pPr>
              <w:pStyle w:val="ARtabletextright"/>
              <w:spacing w:before="40" w:after="20"/>
            </w:pPr>
            <w:r w:rsidRPr="002029AF">
              <w:t>na</w:t>
            </w:r>
          </w:p>
        </w:tc>
        <w:tc>
          <w:tcPr>
            <w:tcW w:w="328" w:type="pct"/>
            <w:hideMark/>
          </w:tcPr>
          <w:p w14:paraId="42F28EF4" w14:textId="77777777" w:rsidR="00CF72D5" w:rsidRPr="002029AF" w:rsidRDefault="00CF72D5" w:rsidP="00B518D9">
            <w:pPr>
              <w:pStyle w:val="ARtabletextright"/>
              <w:spacing w:before="40" w:after="20"/>
            </w:pPr>
            <w:r w:rsidRPr="002029AF">
              <w:t>na</w:t>
            </w:r>
          </w:p>
        </w:tc>
        <w:tc>
          <w:tcPr>
            <w:tcW w:w="320" w:type="pct"/>
            <w:hideMark/>
          </w:tcPr>
          <w:p w14:paraId="6E63019A" w14:textId="77777777" w:rsidR="00CF72D5" w:rsidRPr="002029AF" w:rsidRDefault="00CF72D5" w:rsidP="00B518D9">
            <w:pPr>
              <w:pStyle w:val="ARtabletextright"/>
              <w:spacing w:before="40" w:after="20"/>
            </w:pPr>
            <w:r w:rsidRPr="002029AF">
              <w:t>na</w:t>
            </w:r>
          </w:p>
        </w:tc>
        <w:tc>
          <w:tcPr>
            <w:tcW w:w="328" w:type="pct"/>
            <w:hideMark/>
          </w:tcPr>
          <w:p w14:paraId="67415E6A" w14:textId="77777777" w:rsidR="00CF72D5" w:rsidRPr="002029AF" w:rsidRDefault="00CF72D5" w:rsidP="00B518D9">
            <w:pPr>
              <w:pStyle w:val="ARtabletextright"/>
              <w:spacing w:before="40" w:after="20"/>
            </w:pPr>
            <w:r w:rsidRPr="002029AF">
              <w:t>na</w:t>
            </w:r>
          </w:p>
        </w:tc>
        <w:tc>
          <w:tcPr>
            <w:tcW w:w="320" w:type="pct"/>
            <w:hideMark/>
          </w:tcPr>
          <w:p w14:paraId="51CFF0E2" w14:textId="77777777" w:rsidR="00CF72D5" w:rsidRPr="002029AF" w:rsidRDefault="00CF72D5" w:rsidP="00B518D9">
            <w:pPr>
              <w:pStyle w:val="ARtabletextright"/>
              <w:spacing w:before="40" w:after="20"/>
            </w:pPr>
            <w:r w:rsidRPr="002029AF">
              <w:t>na</w:t>
            </w:r>
          </w:p>
        </w:tc>
        <w:tc>
          <w:tcPr>
            <w:tcW w:w="364" w:type="pct"/>
            <w:hideMark/>
          </w:tcPr>
          <w:p w14:paraId="3158E8EA" w14:textId="137F2ED1" w:rsidR="00CF72D5" w:rsidRPr="002029AF" w:rsidRDefault="00D6546D" w:rsidP="00B518D9">
            <w:pPr>
              <w:pStyle w:val="ARtabletextright"/>
              <w:spacing w:before="40" w:after="20"/>
            </w:pPr>
            <w:r w:rsidRPr="002029AF">
              <w:t>na</w:t>
            </w:r>
          </w:p>
        </w:tc>
        <w:tc>
          <w:tcPr>
            <w:tcW w:w="274" w:type="pct"/>
            <w:hideMark/>
          </w:tcPr>
          <w:p w14:paraId="3AEC388B" w14:textId="77777777" w:rsidR="00CF72D5" w:rsidRPr="002029AF" w:rsidRDefault="00CF72D5" w:rsidP="00B518D9">
            <w:pPr>
              <w:pStyle w:val="ARtabletextright"/>
              <w:spacing w:before="40" w:after="20"/>
            </w:pPr>
            <w:r w:rsidRPr="002029AF">
              <w:t>na</w:t>
            </w:r>
          </w:p>
        </w:tc>
        <w:tc>
          <w:tcPr>
            <w:tcW w:w="274" w:type="pct"/>
            <w:hideMark/>
          </w:tcPr>
          <w:p w14:paraId="1341F6AE" w14:textId="77777777" w:rsidR="00CF72D5" w:rsidRPr="002029AF" w:rsidRDefault="00CF72D5" w:rsidP="00B518D9">
            <w:pPr>
              <w:pStyle w:val="ARtabletextright"/>
              <w:spacing w:before="40" w:after="20"/>
            </w:pPr>
            <w:r w:rsidRPr="002029AF">
              <w:t>na</w:t>
            </w:r>
          </w:p>
        </w:tc>
        <w:tc>
          <w:tcPr>
            <w:tcW w:w="328" w:type="pct"/>
            <w:hideMark/>
          </w:tcPr>
          <w:p w14:paraId="64A11DF1" w14:textId="075E9EF7" w:rsidR="00CF72D5" w:rsidRPr="002029AF" w:rsidRDefault="00D6546D" w:rsidP="00B518D9">
            <w:pPr>
              <w:pStyle w:val="ARtabletextright"/>
              <w:spacing w:before="40" w:after="20"/>
            </w:pPr>
            <w:r w:rsidRPr="002029AF">
              <w:t>na</w:t>
            </w:r>
          </w:p>
        </w:tc>
        <w:tc>
          <w:tcPr>
            <w:tcW w:w="321" w:type="pct"/>
            <w:hideMark/>
          </w:tcPr>
          <w:p w14:paraId="14069140" w14:textId="77777777" w:rsidR="00CF72D5" w:rsidRPr="002029AF" w:rsidRDefault="00CF72D5" w:rsidP="00B518D9">
            <w:pPr>
              <w:pStyle w:val="ARtabletextright"/>
              <w:spacing w:before="40" w:after="20"/>
            </w:pPr>
            <w:r w:rsidRPr="002029AF">
              <w:t>na</w:t>
            </w:r>
          </w:p>
        </w:tc>
        <w:tc>
          <w:tcPr>
            <w:tcW w:w="326" w:type="pct"/>
            <w:hideMark/>
          </w:tcPr>
          <w:p w14:paraId="5AFF10E6" w14:textId="6535554B" w:rsidR="00CF72D5" w:rsidRPr="002029AF" w:rsidRDefault="00D6546D" w:rsidP="00B518D9">
            <w:pPr>
              <w:pStyle w:val="ARtabletextright"/>
              <w:spacing w:before="40" w:after="20"/>
            </w:pPr>
            <w:r w:rsidRPr="002029AF">
              <w:t>na</w:t>
            </w:r>
          </w:p>
        </w:tc>
      </w:tr>
      <w:tr w:rsidR="00462DC8" w:rsidRPr="002029AF" w14:paraId="35939CB2" w14:textId="77777777" w:rsidTr="00B518D9">
        <w:trPr>
          <w:cantSplit w:val="0"/>
          <w:trHeight w:val="302"/>
        </w:trPr>
        <w:tc>
          <w:tcPr>
            <w:tcW w:w="5000" w:type="pct"/>
            <w:gridSpan w:val="15"/>
            <w:hideMark/>
          </w:tcPr>
          <w:p w14:paraId="514740F3" w14:textId="7021568F" w:rsidR="00462DC8" w:rsidRPr="002029AF" w:rsidRDefault="00462DC8" w:rsidP="00B518D9">
            <w:pPr>
              <w:pStyle w:val="ARtablesubhead"/>
              <w:spacing w:before="40" w:after="20"/>
            </w:pPr>
            <w:r w:rsidRPr="002029AF">
              <w:t>Age</w:t>
            </w:r>
          </w:p>
        </w:tc>
      </w:tr>
      <w:tr w:rsidR="00CF72D5" w:rsidRPr="002029AF" w14:paraId="56430CF4" w14:textId="77777777" w:rsidTr="00B518D9">
        <w:trPr>
          <w:cantSplit w:val="0"/>
          <w:trHeight w:val="302"/>
        </w:trPr>
        <w:tc>
          <w:tcPr>
            <w:tcW w:w="621" w:type="pct"/>
            <w:hideMark/>
          </w:tcPr>
          <w:p w14:paraId="7AEF1A26" w14:textId="77777777" w:rsidR="00CF72D5" w:rsidRPr="002029AF" w:rsidRDefault="00CF72D5" w:rsidP="00B518D9">
            <w:pPr>
              <w:pStyle w:val="ARtabletext"/>
              <w:spacing w:before="40" w:after="20"/>
            </w:pPr>
            <w:r w:rsidRPr="002029AF">
              <w:t>15–24</w:t>
            </w:r>
          </w:p>
        </w:tc>
        <w:tc>
          <w:tcPr>
            <w:tcW w:w="320" w:type="pct"/>
            <w:hideMark/>
          </w:tcPr>
          <w:p w14:paraId="41CB1A91" w14:textId="77777777" w:rsidR="00CF72D5" w:rsidRPr="002029AF" w:rsidRDefault="00CF72D5" w:rsidP="00B518D9">
            <w:pPr>
              <w:pStyle w:val="ARtabletextright"/>
              <w:spacing w:before="40" w:after="20"/>
            </w:pPr>
            <w:r w:rsidRPr="002029AF">
              <w:t>327</w:t>
            </w:r>
          </w:p>
        </w:tc>
        <w:tc>
          <w:tcPr>
            <w:tcW w:w="328" w:type="pct"/>
            <w:hideMark/>
          </w:tcPr>
          <w:p w14:paraId="27C702C5" w14:textId="77777777" w:rsidR="00CF72D5" w:rsidRPr="002029AF" w:rsidRDefault="00CF72D5" w:rsidP="00B518D9">
            <w:pPr>
              <w:pStyle w:val="ARtabletextright"/>
              <w:spacing w:before="40" w:after="20"/>
            </w:pPr>
            <w:r w:rsidRPr="002029AF">
              <w:t>291.1</w:t>
            </w:r>
          </w:p>
        </w:tc>
        <w:tc>
          <w:tcPr>
            <w:tcW w:w="274" w:type="pct"/>
            <w:hideMark/>
          </w:tcPr>
          <w:p w14:paraId="18C20E18" w14:textId="77777777" w:rsidR="00CF72D5" w:rsidRPr="002029AF" w:rsidRDefault="00CF72D5" w:rsidP="00B518D9">
            <w:pPr>
              <w:pStyle w:val="ARtabletextright"/>
              <w:spacing w:before="40" w:after="20"/>
            </w:pPr>
            <w:r w:rsidRPr="002029AF">
              <w:t>117</w:t>
            </w:r>
          </w:p>
        </w:tc>
        <w:tc>
          <w:tcPr>
            <w:tcW w:w="274" w:type="pct"/>
            <w:hideMark/>
          </w:tcPr>
          <w:p w14:paraId="67A36FFB" w14:textId="77777777" w:rsidR="00CF72D5" w:rsidRPr="002029AF" w:rsidRDefault="00CF72D5" w:rsidP="00B518D9">
            <w:pPr>
              <w:pStyle w:val="ARtabletextright"/>
              <w:spacing w:before="40" w:after="20"/>
            </w:pPr>
            <w:r w:rsidRPr="002029AF">
              <w:t>9</w:t>
            </w:r>
          </w:p>
        </w:tc>
        <w:tc>
          <w:tcPr>
            <w:tcW w:w="328" w:type="pct"/>
            <w:hideMark/>
          </w:tcPr>
          <w:p w14:paraId="040BD20B" w14:textId="77777777" w:rsidR="00CF72D5" w:rsidRPr="002029AF" w:rsidRDefault="00CF72D5" w:rsidP="00B518D9">
            <w:pPr>
              <w:pStyle w:val="ARtabletextright"/>
              <w:spacing w:before="40" w:after="20"/>
            </w:pPr>
            <w:r w:rsidRPr="002029AF">
              <w:t>123.7</w:t>
            </w:r>
          </w:p>
        </w:tc>
        <w:tc>
          <w:tcPr>
            <w:tcW w:w="320" w:type="pct"/>
            <w:hideMark/>
          </w:tcPr>
          <w:p w14:paraId="5485AC03" w14:textId="77777777" w:rsidR="00CF72D5" w:rsidRPr="002029AF" w:rsidRDefault="00CF72D5" w:rsidP="00B518D9">
            <w:pPr>
              <w:pStyle w:val="ARtabletextright"/>
              <w:spacing w:before="40" w:after="20"/>
            </w:pPr>
            <w:r w:rsidRPr="002029AF">
              <w:t>201</w:t>
            </w:r>
          </w:p>
        </w:tc>
        <w:tc>
          <w:tcPr>
            <w:tcW w:w="328" w:type="pct"/>
            <w:hideMark/>
          </w:tcPr>
          <w:p w14:paraId="2724DBE3" w14:textId="77777777" w:rsidR="00CF72D5" w:rsidRPr="002029AF" w:rsidRDefault="00CF72D5" w:rsidP="00B518D9">
            <w:pPr>
              <w:pStyle w:val="ARtabletextright"/>
              <w:spacing w:before="40" w:after="20"/>
            </w:pPr>
            <w:r w:rsidRPr="002029AF">
              <w:t>167.4</w:t>
            </w:r>
          </w:p>
        </w:tc>
        <w:tc>
          <w:tcPr>
            <w:tcW w:w="320" w:type="pct"/>
            <w:hideMark/>
          </w:tcPr>
          <w:p w14:paraId="4C14636A" w14:textId="77777777" w:rsidR="00CF72D5" w:rsidRPr="002029AF" w:rsidRDefault="00CF72D5" w:rsidP="00B518D9">
            <w:pPr>
              <w:pStyle w:val="ARtabletextright"/>
              <w:spacing w:before="40" w:after="20"/>
            </w:pPr>
            <w:r w:rsidRPr="002029AF">
              <w:t>491</w:t>
            </w:r>
          </w:p>
        </w:tc>
        <w:tc>
          <w:tcPr>
            <w:tcW w:w="364" w:type="pct"/>
            <w:hideMark/>
          </w:tcPr>
          <w:p w14:paraId="4536AC14" w14:textId="77777777" w:rsidR="00CF72D5" w:rsidRPr="002029AF" w:rsidRDefault="00CF72D5" w:rsidP="00B518D9">
            <w:pPr>
              <w:pStyle w:val="ARtabletextright"/>
              <w:spacing w:before="40" w:after="20"/>
            </w:pPr>
            <w:r w:rsidRPr="002029AF">
              <w:t>422.2</w:t>
            </w:r>
          </w:p>
        </w:tc>
        <w:tc>
          <w:tcPr>
            <w:tcW w:w="274" w:type="pct"/>
            <w:hideMark/>
          </w:tcPr>
          <w:p w14:paraId="5D745B8C" w14:textId="77777777" w:rsidR="00CF72D5" w:rsidRPr="002029AF" w:rsidRDefault="00CF72D5" w:rsidP="00B518D9">
            <w:pPr>
              <w:pStyle w:val="ARtabletextright"/>
              <w:spacing w:before="40" w:after="20"/>
            </w:pPr>
            <w:r w:rsidRPr="002029AF">
              <w:t>185</w:t>
            </w:r>
          </w:p>
        </w:tc>
        <w:tc>
          <w:tcPr>
            <w:tcW w:w="274" w:type="pct"/>
            <w:hideMark/>
          </w:tcPr>
          <w:p w14:paraId="53E8F35C" w14:textId="77777777" w:rsidR="00CF72D5" w:rsidRPr="002029AF" w:rsidRDefault="00CF72D5" w:rsidP="00B518D9">
            <w:pPr>
              <w:pStyle w:val="ARtabletextright"/>
              <w:spacing w:before="40" w:after="20"/>
            </w:pPr>
            <w:r w:rsidRPr="002029AF">
              <w:t>39</w:t>
            </w:r>
          </w:p>
        </w:tc>
        <w:tc>
          <w:tcPr>
            <w:tcW w:w="328" w:type="pct"/>
            <w:hideMark/>
          </w:tcPr>
          <w:p w14:paraId="2ACCE0AC" w14:textId="77777777" w:rsidR="00CF72D5" w:rsidRPr="002029AF" w:rsidRDefault="00CF72D5" w:rsidP="00B518D9">
            <w:pPr>
              <w:pStyle w:val="ARtabletextright"/>
              <w:spacing w:before="40" w:after="20"/>
            </w:pPr>
            <w:r w:rsidRPr="002029AF">
              <w:t>214.4</w:t>
            </w:r>
          </w:p>
        </w:tc>
        <w:tc>
          <w:tcPr>
            <w:tcW w:w="321" w:type="pct"/>
            <w:hideMark/>
          </w:tcPr>
          <w:p w14:paraId="10D3EE92" w14:textId="77777777" w:rsidR="00CF72D5" w:rsidRPr="002029AF" w:rsidRDefault="00CF72D5" w:rsidP="00B518D9">
            <w:pPr>
              <w:pStyle w:val="ARtabletextright"/>
              <w:spacing w:before="40" w:after="20"/>
            </w:pPr>
            <w:r w:rsidRPr="002029AF">
              <w:t>267</w:t>
            </w:r>
          </w:p>
        </w:tc>
        <w:tc>
          <w:tcPr>
            <w:tcW w:w="326" w:type="pct"/>
            <w:hideMark/>
          </w:tcPr>
          <w:p w14:paraId="2D74007A" w14:textId="77777777" w:rsidR="00CF72D5" w:rsidRPr="002029AF" w:rsidRDefault="00CF72D5" w:rsidP="00B518D9">
            <w:pPr>
              <w:pStyle w:val="ARtabletextright"/>
              <w:spacing w:before="40" w:after="20"/>
            </w:pPr>
            <w:r w:rsidRPr="002029AF">
              <w:t>207.7</w:t>
            </w:r>
          </w:p>
        </w:tc>
      </w:tr>
      <w:tr w:rsidR="00CF72D5" w:rsidRPr="002029AF" w14:paraId="6A3E5529" w14:textId="77777777" w:rsidTr="00B518D9">
        <w:trPr>
          <w:cantSplit w:val="0"/>
          <w:trHeight w:val="302"/>
        </w:trPr>
        <w:tc>
          <w:tcPr>
            <w:tcW w:w="621" w:type="pct"/>
            <w:hideMark/>
          </w:tcPr>
          <w:p w14:paraId="6554D52A" w14:textId="77777777" w:rsidR="00CF72D5" w:rsidRPr="002029AF" w:rsidRDefault="00CF72D5" w:rsidP="00B518D9">
            <w:pPr>
              <w:pStyle w:val="ARtabletext"/>
              <w:spacing w:before="40" w:after="20"/>
            </w:pPr>
            <w:r w:rsidRPr="002029AF">
              <w:t>25–34</w:t>
            </w:r>
          </w:p>
        </w:tc>
        <w:tc>
          <w:tcPr>
            <w:tcW w:w="320" w:type="pct"/>
            <w:hideMark/>
          </w:tcPr>
          <w:p w14:paraId="02829503" w14:textId="77777777" w:rsidR="00CF72D5" w:rsidRPr="002029AF" w:rsidRDefault="00CF72D5" w:rsidP="00B518D9">
            <w:pPr>
              <w:pStyle w:val="ARtabletextright"/>
              <w:spacing w:before="40" w:after="20"/>
            </w:pPr>
            <w:r w:rsidRPr="002029AF">
              <w:t>1,881</w:t>
            </w:r>
          </w:p>
        </w:tc>
        <w:tc>
          <w:tcPr>
            <w:tcW w:w="328" w:type="pct"/>
            <w:hideMark/>
          </w:tcPr>
          <w:p w14:paraId="669B4504" w14:textId="77777777" w:rsidR="00CF72D5" w:rsidRPr="002029AF" w:rsidRDefault="00CF72D5" w:rsidP="00B518D9">
            <w:pPr>
              <w:pStyle w:val="ARtabletextright"/>
              <w:spacing w:before="40" w:after="20"/>
            </w:pPr>
            <w:r w:rsidRPr="002029AF">
              <w:t>1,770.9</w:t>
            </w:r>
          </w:p>
        </w:tc>
        <w:tc>
          <w:tcPr>
            <w:tcW w:w="274" w:type="pct"/>
            <w:hideMark/>
          </w:tcPr>
          <w:p w14:paraId="6DB39BBF" w14:textId="77777777" w:rsidR="00CF72D5" w:rsidRPr="002029AF" w:rsidRDefault="00CF72D5" w:rsidP="00B518D9">
            <w:pPr>
              <w:pStyle w:val="ARtabletextright"/>
              <w:spacing w:before="40" w:after="20"/>
            </w:pPr>
            <w:r w:rsidRPr="002029AF">
              <w:t>1,115</w:t>
            </w:r>
          </w:p>
        </w:tc>
        <w:tc>
          <w:tcPr>
            <w:tcW w:w="274" w:type="pct"/>
            <w:hideMark/>
          </w:tcPr>
          <w:p w14:paraId="1E6AD172" w14:textId="77777777" w:rsidR="00CF72D5" w:rsidRPr="002029AF" w:rsidRDefault="00CF72D5" w:rsidP="00B518D9">
            <w:pPr>
              <w:pStyle w:val="ARtabletextright"/>
              <w:spacing w:before="40" w:after="20"/>
            </w:pPr>
            <w:r w:rsidRPr="002029AF">
              <w:t>184</w:t>
            </w:r>
          </w:p>
        </w:tc>
        <w:tc>
          <w:tcPr>
            <w:tcW w:w="328" w:type="pct"/>
            <w:hideMark/>
          </w:tcPr>
          <w:p w14:paraId="02F1BAFD" w14:textId="77777777" w:rsidR="00CF72D5" w:rsidRPr="002029AF" w:rsidRDefault="00CF72D5" w:rsidP="00B518D9">
            <w:pPr>
              <w:pStyle w:val="ARtabletextright"/>
              <w:spacing w:before="40" w:after="20"/>
            </w:pPr>
            <w:r w:rsidRPr="002029AF">
              <w:t>1,238.9</w:t>
            </w:r>
          </w:p>
        </w:tc>
        <w:tc>
          <w:tcPr>
            <w:tcW w:w="320" w:type="pct"/>
            <w:hideMark/>
          </w:tcPr>
          <w:p w14:paraId="0E9F34B6" w14:textId="77777777" w:rsidR="00CF72D5" w:rsidRPr="002029AF" w:rsidRDefault="00CF72D5" w:rsidP="00B518D9">
            <w:pPr>
              <w:pStyle w:val="ARtabletextright"/>
              <w:spacing w:before="40" w:after="20"/>
            </w:pPr>
            <w:r w:rsidRPr="002029AF">
              <w:t>582</w:t>
            </w:r>
          </w:p>
        </w:tc>
        <w:tc>
          <w:tcPr>
            <w:tcW w:w="328" w:type="pct"/>
            <w:hideMark/>
          </w:tcPr>
          <w:p w14:paraId="0CB5D176" w14:textId="77777777" w:rsidR="00CF72D5" w:rsidRPr="002029AF" w:rsidRDefault="00CF72D5" w:rsidP="00B518D9">
            <w:pPr>
              <w:pStyle w:val="ARtabletextright"/>
              <w:spacing w:before="40" w:after="20"/>
            </w:pPr>
            <w:r w:rsidRPr="002029AF">
              <w:t>532.0</w:t>
            </w:r>
          </w:p>
        </w:tc>
        <w:tc>
          <w:tcPr>
            <w:tcW w:w="320" w:type="pct"/>
            <w:hideMark/>
          </w:tcPr>
          <w:p w14:paraId="36314DD8" w14:textId="77777777" w:rsidR="00CF72D5" w:rsidRPr="002029AF" w:rsidRDefault="00CF72D5" w:rsidP="00B518D9">
            <w:pPr>
              <w:pStyle w:val="ARtabletextright"/>
              <w:spacing w:before="40" w:after="20"/>
            </w:pPr>
            <w:r w:rsidRPr="002029AF">
              <w:t>2,234</w:t>
            </w:r>
          </w:p>
        </w:tc>
        <w:tc>
          <w:tcPr>
            <w:tcW w:w="364" w:type="pct"/>
            <w:hideMark/>
          </w:tcPr>
          <w:p w14:paraId="1C84373B" w14:textId="77777777" w:rsidR="00CF72D5" w:rsidRPr="002029AF" w:rsidRDefault="00CF72D5" w:rsidP="00B518D9">
            <w:pPr>
              <w:pStyle w:val="ARtabletextright"/>
              <w:spacing w:before="40" w:after="20"/>
            </w:pPr>
            <w:r w:rsidRPr="002029AF">
              <w:t>2,044.3</w:t>
            </w:r>
          </w:p>
        </w:tc>
        <w:tc>
          <w:tcPr>
            <w:tcW w:w="274" w:type="pct"/>
            <w:hideMark/>
          </w:tcPr>
          <w:p w14:paraId="17478B28" w14:textId="77777777" w:rsidR="00CF72D5" w:rsidRPr="002029AF" w:rsidRDefault="00CF72D5" w:rsidP="00B518D9">
            <w:pPr>
              <w:pStyle w:val="ARtabletextright"/>
              <w:spacing w:before="40" w:after="20"/>
            </w:pPr>
            <w:r w:rsidRPr="002029AF">
              <w:t>1,158</w:t>
            </w:r>
          </w:p>
        </w:tc>
        <w:tc>
          <w:tcPr>
            <w:tcW w:w="274" w:type="pct"/>
            <w:hideMark/>
          </w:tcPr>
          <w:p w14:paraId="2EB24444" w14:textId="77777777" w:rsidR="00CF72D5" w:rsidRPr="002029AF" w:rsidRDefault="00CF72D5" w:rsidP="00B518D9">
            <w:pPr>
              <w:pStyle w:val="ARtabletextright"/>
              <w:spacing w:before="40" w:after="20"/>
            </w:pPr>
            <w:r w:rsidRPr="002029AF">
              <w:t>329</w:t>
            </w:r>
          </w:p>
        </w:tc>
        <w:tc>
          <w:tcPr>
            <w:tcW w:w="328" w:type="pct"/>
            <w:hideMark/>
          </w:tcPr>
          <w:p w14:paraId="07F1AA2A" w14:textId="77777777" w:rsidR="00CF72D5" w:rsidRPr="002029AF" w:rsidRDefault="00CF72D5" w:rsidP="00B518D9">
            <w:pPr>
              <w:pStyle w:val="ARtabletextright"/>
              <w:spacing w:before="40" w:after="20"/>
            </w:pPr>
            <w:r w:rsidRPr="002029AF">
              <w:t>1,388.3</w:t>
            </w:r>
          </w:p>
        </w:tc>
        <w:tc>
          <w:tcPr>
            <w:tcW w:w="321" w:type="pct"/>
            <w:hideMark/>
          </w:tcPr>
          <w:p w14:paraId="5D19CF58" w14:textId="77777777" w:rsidR="00CF72D5" w:rsidRPr="002029AF" w:rsidRDefault="00CF72D5" w:rsidP="00B518D9">
            <w:pPr>
              <w:pStyle w:val="ARtabletextright"/>
              <w:spacing w:before="40" w:after="20"/>
            </w:pPr>
            <w:r w:rsidRPr="002029AF">
              <w:t>747</w:t>
            </w:r>
          </w:p>
        </w:tc>
        <w:tc>
          <w:tcPr>
            <w:tcW w:w="326" w:type="pct"/>
            <w:hideMark/>
          </w:tcPr>
          <w:p w14:paraId="423444C0" w14:textId="77777777" w:rsidR="00CF72D5" w:rsidRPr="002029AF" w:rsidRDefault="00CF72D5" w:rsidP="00B518D9">
            <w:pPr>
              <w:pStyle w:val="ARtabletextright"/>
              <w:spacing w:before="40" w:after="20"/>
            </w:pPr>
            <w:r w:rsidRPr="002029AF">
              <w:t>656.1</w:t>
            </w:r>
          </w:p>
        </w:tc>
      </w:tr>
      <w:tr w:rsidR="00CF72D5" w:rsidRPr="002029AF" w14:paraId="3807C1A6" w14:textId="77777777" w:rsidTr="00B518D9">
        <w:trPr>
          <w:cantSplit w:val="0"/>
          <w:trHeight w:val="302"/>
        </w:trPr>
        <w:tc>
          <w:tcPr>
            <w:tcW w:w="621" w:type="pct"/>
            <w:hideMark/>
          </w:tcPr>
          <w:p w14:paraId="7455F6CF" w14:textId="77777777" w:rsidR="00CF72D5" w:rsidRPr="002029AF" w:rsidRDefault="00CF72D5" w:rsidP="00B518D9">
            <w:pPr>
              <w:pStyle w:val="ARtabletext"/>
              <w:spacing w:before="40" w:after="20"/>
            </w:pPr>
            <w:r w:rsidRPr="002029AF">
              <w:t>35–44</w:t>
            </w:r>
          </w:p>
        </w:tc>
        <w:tc>
          <w:tcPr>
            <w:tcW w:w="320" w:type="pct"/>
            <w:hideMark/>
          </w:tcPr>
          <w:p w14:paraId="20EA5923" w14:textId="77777777" w:rsidR="00CF72D5" w:rsidRPr="002029AF" w:rsidRDefault="00CF72D5" w:rsidP="00B518D9">
            <w:pPr>
              <w:pStyle w:val="ARtabletextright"/>
              <w:spacing w:before="40" w:after="20"/>
            </w:pPr>
            <w:r w:rsidRPr="002029AF">
              <w:t>2,284</w:t>
            </w:r>
          </w:p>
        </w:tc>
        <w:tc>
          <w:tcPr>
            <w:tcW w:w="328" w:type="pct"/>
            <w:hideMark/>
          </w:tcPr>
          <w:p w14:paraId="596A69F5" w14:textId="77777777" w:rsidR="00CF72D5" w:rsidRPr="002029AF" w:rsidRDefault="00CF72D5" w:rsidP="00B518D9">
            <w:pPr>
              <w:pStyle w:val="ARtabletextright"/>
              <w:spacing w:before="40" w:after="20"/>
            </w:pPr>
            <w:r w:rsidRPr="002029AF">
              <w:t>2,091.5</w:t>
            </w:r>
          </w:p>
        </w:tc>
        <w:tc>
          <w:tcPr>
            <w:tcW w:w="274" w:type="pct"/>
            <w:hideMark/>
          </w:tcPr>
          <w:p w14:paraId="626FB877" w14:textId="77777777" w:rsidR="00CF72D5" w:rsidRPr="002029AF" w:rsidRDefault="00CF72D5" w:rsidP="00B518D9">
            <w:pPr>
              <w:pStyle w:val="ARtabletextright"/>
              <w:spacing w:before="40" w:after="20"/>
            </w:pPr>
            <w:r w:rsidRPr="002029AF">
              <w:t>1,319</w:t>
            </w:r>
          </w:p>
        </w:tc>
        <w:tc>
          <w:tcPr>
            <w:tcW w:w="274" w:type="pct"/>
            <w:hideMark/>
          </w:tcPr>
          <w:p w14:paraId="73048C9D" w14:textId="77777777" w:rsidR="00CF72D5" w:rsidRPr="002029AF" w:rsidRDefault="00CF72D5" w:rsidP="00B518D9">
            <w:pPr>
              <w:pStyle w:val="ARtabletextright"/>
              <w:spacing w:before="40" w:after="20"/>
            </w:pPr>
            <w:r w:rsidRPr="002029AF">
              <w:t>488</w:t>
            </w:r>
          </w:p>
        </w:tc>
        <w:tc>
          <w:tcPr>
            <w:tcW w:w="328" w:type="pct"/>
            <w:hideMark/>
          </w:tcPr>
          <w:p w14:paraId="109345A5" w14:textId="77777777" w:rsidR="00CF72D5" w:rsidRPr="002029AF" w:rsidRDefault="00CF72D5" w:rsidP="00B518D9">
            <w:pPr>
              <w:pStyle w:val="ARtabletextright"/>
              <w:spacing w:before="40" w:after="20"/>
            </w:pPr>
            <w:r w:rsidRPr="002029AF">
              <w:t>1,656.3</w:t>
            </w:r>
          </w:p>
        </w:tc>
        <w:tc>
          <w:tcPr>
            <w:tcW w:w="320" w:type="pct"/>
            <w:hideMark/>
          </w:tcPr>
          <w:p w14:paraId="7CE37FEA" w14:textId="77777777" w:rsidR="00CF72D5" w:rsidRPr="002029AF" w:rsidRDefault="00CF72D5" w:rsidP="00B518D9">
            <w:pPr>
              <w:pStyle w:val="ARtabletextright"/>
              <w:spacing w:before="40" w:after="20"/>
            </w:pPr>
            <w:r w:rsidRPr="002029AF">
              <w:t>477</w:t>
            </w:r>
          </w:p>
        </w:tc>
        <w:tc>
          <w:tcPr>
            <w:tcW w:w="328" w:type="pct"/>
            <w:hideMark/>
          </w:tcPr>
          <w:p w14:paraId="3EAF1DF5" w14:textId="77777777" w:rsidR="00CF72D5" w:rsidRPr="002029AF" w:rsidRDefault="00CF72D5" w:rsidP="00B518D9">
            <w:pPr>
              <w:pStyle w:val="ARtabletextright"/>
              <w:spacing w:before="40" w:after="20"/>
            </w:pPr>
            <w:r w:rsidRPr="002029AF">
              <w:t>435.2</w:t>
            </w:r>
          </w:p>
        </w:tc>
        <w:tc>
          <w:tcPr>
            <w:tcW w:w="320" w:type="pct"/>
            <w:hideMark/>
          </w:tcPr>
          <w:p w14:paraId="5F1D13D9" w14:textId="77777777" w:rsidR="00CF72D5" w:rsidRPr="002029AF" w:rsidRDefault="00CF72D5" w:rsidP="00B518D9">
            <w:pPr>
              <w:pStyle w:val="ARtabletextright"/>
              <w:spacing w:before="40" w:after="20"/>
            </w:pPr>
            <w:r w:rsidRPr="002029AF">
              <w:t>2,731</w:t>
            </w:r>
          </w:p>
        </w:tc>
        <w:tc>
          <w:tcPr>
            <w:tcW w:w="364" w:type="pct"/>
            <w:hideMark/>
          </w:tcPr>
          <w:p w14:paraId="798F4F7C" w14:textId="77777777" w:rsidR="00CF72D5" w:rsidRPr="002029AF" w:rsidRDefault="00CF72D5" w:rsidP="00B518D9">
            <w:pPr>
              <w:pStyle w:val="ARtabletextright"/>
              <w:spacing w:before="40" w:after="20"/>
            </w:pPr>
            <w:r w:rsidRPr="002029AF">
              <w:t>2,433.7</w:t>
            </w:r>
          </w:p>
        </w:tc>
        <w:tc>
          <w:tcPr>
            <w:tcW w:w="274" w:type="pct"/>
            <w:hideMark/>
          </w:tcPr>
          <w:p w14:paraId="09E93838" w14:textId="77777777" w:rsidR="00CF72D5" w:rsidRPr="002029AF" w:rsidRDefault="00CF72D5" w:rsidP="00B518D9">
            <w:pPr>
              <w:pStyle w:val="ARtabletextright"/>
              <w:spacing w:before="40" w:after="20"/>
            </w:pPr>
            <w:r w:rsidRPr="002029AF">
              <w:t>1,409</w:t>
            </w:r>
          </w:p>
        </w:tc>
        <w:tc>
          <w:tcPr>
            <w:tcW w:w="274" w:type="pct"/>
            <w:hideMark/>
          </w:tcPr>
          <w:p w14:paraId="531E6CAC" w14:textId="77777777" w:rsidR="00CF72D5" w:rsidRPr="002029AF" w:rsidRDefault="00CF72D5" w:rsidP="00B518D9">
            <w:pPr>
              <w:pStyle w:val="ARtabletextright"/>
              <w:spacing w:before="40" w:after="20"/>
            </w:pPr>
            <w:r w:rsidRPr="002029AF">
              <w:t>692</w:t>
            </w:r>
          </w:p>
        </w:tc>
        <w:tc>
          <w:tcPr>
            <w:tcW w:w="328" w:type="pct"/>
            <w:hideMark/>
          </w:tcPr>
          <w:p w14:paraId="513BE264" w14:textId="77777777" w:rsidR="00CF72D5" w:rsidRPr="002029AF" w:rsidRDefault="00CF72D5" w:rsidP="00B518D9">
            <w:pPr>
              <w:pStyle w:val="ARtabletextright"/>
              <w:spacing w:before="40" w:after="20"/>
            </w:pPr>
            <w:r w:rsidRPr="002029AF">
              <w:t>1,906.5</w:t>
            </w:r>
          </w:p>
        </w:tc>
        <w:tc>
          <w:tcPr>
            <w:tcW w:w="321" w:type="pct"/>
            <w:hideMark/>
          </w:tcPr>
          <w:p w14:paraId="0169035A" w14:textId="77777777" w:rsidR="00CF72D5" w:rsidRPr="002029AF" w:rsidRDefault="00CF72D5" w:rsidP="00B518D9">
            <w:pPr>
              <w:pStyle w:val="ARtabletextright"/>
              <w:spacing w:before="40" w:after="20"/>
            </w:pPr>
            <w:r w:rsidRPr="002029AF">
              <w:t>630</w:t>
            </w:r>
          </w:p>
        </w:tc>
        <w:tc>
          <w:tcPr>
            <w:tcW w:w="326" w:type="pct"/>
            <w:hideMark/>
          </w:tcPr>
          <w:p w14:paraId="34B25230" w14:textId="77777777" w:rsidR="00CF72D5" w:rsidRPr="002029AF" w:rsidRDefault="00CF72D5" w:rsidP="00B518D9">
            <w:pPr>
              <w:pStyle w:val="ARtabletextright"/>
              <w:spacing w:before="40" w:after="20"/>
            </w:pPr>
            <w:r w:rsidRPr="002029AF">
              <w:t>527.6</w:t>
            </w:r>
          </w:p>
        </w:tc>
      </w:tr>
      <w:tr w:rsidR="00CF72D5" w:rsidRPr="002029AF" w14:paraId="09E683DC" w14:textId="77777777" w:rsidTr="00B518D9">
        <w:trPr>
          <w:cantSplit w:val="0"/>
          <w:trHeight w:val="302"/>
        </w:trPr>
        <w:tc>
          <w:tcPr>
            <w:tcW w:w="621" w:type="pct"/>
            <w:hideMark/>
          </w:tcPr>
          <w:p w14:paraId="1C9CC3DA" w14:textId="77777777" w:rsidR="00CF72D5" w:rsidRPr="002029AF" w:rsidRDefault="00CF72D5" w:rsidP="00B518D9">
            <w:pPr>
              <w:pStyle w:val="ARtabletext"/>
              <w:spacing w:before="40" w:after="20"/>
            </w:pPr>
            <w:r w:rsidRPr="002029AF">
              <w:t>45–54</w:t>
            </w:r>
          </w:p>
        </w:tc>
        <w:tc>
          <w:tcPr>
            <w:tcW w:w="320" w:type="pct"/>
            <w:hideMark/>
          </w:tcPr>
          <w:p w14:paraId="45124961" w14:textId="77777777" w:rsidR="00CF72D5" w:rsidRPr="002029AF" w:rsidRDefault="00CF72D5" w:rsidP="00B518D9">
            <w:pPr>
              <w:pStyle w:val="ARtabletextright"/>
              <w:spacing w:before="40" w:after="20"/>
            </w:pPr>
            <w:r w:rsidRPr="002029AF">
              <w:t>2,164</w:t>
            </w:r>
          </w:p>
        </w:tc>
        <w:tc>
          <w:tcPr>
            <w:tcW w:w="328" w:type="pct"/>
            <w:hideMark/>
          </w:tcPr>
          <w:p w14:paraId="6995D724" w14:textId="77777777" w:rsidR="00CF72D5" w:rsidRPr="002029AF" w:rsidRDefault="00CF72D5" w:rsidP="00B518D9">
            <w:pPr>
              <w:pStyle w:val="ARtabletextright"/>
              <w:spacing w:before="40" w:after="20"/>
            </w:pPr>
            <w:r w:rsidRPr="002029AF">
              <w:t>2,031.1</w:t>
            </w:r>
          </w:p>
        </w:tc>
        <w:tc>
          <w:tcPr>
            <w:tcW w:w="274" w:type="pct"/>
            <w:hideMark/>
          </w:tcPr>
          <w:p w14:paraId="346B762B" w14:textId="77777777" w:rsidR="00CF72D5" w:rsidRPr="002029AF" w:rsidRDefault="00CF72D5" w:rsidP="00B518D9">
            <w:pPr>
              <w:pStyle w:val="ARtabletextright"/>
              <w:spacing w:before="40" w:after="20"/>
            </w:pPr>
            <w:r w:rsidRPr="002029AF">
              <w:t>1,482</w:t>
            </w:r>
          </w:p>
        </w:tc>
        <w:tc>
          <w:tcPr>
            <w:tcW w:w="274" w:type="pct"/>
            <w:hideMark/>
          </w:tcPr>
          <w:p w14:paraId="19A10D4A" w14:textId="77777777" w:rsidR="00CF72D5" w:rsidRPr="002029AF" w:rsidRDefault="00CF72D5" w:rsidP="00B518D9">
            <w:pPr>
              <w:pStyle w:val="ARtabletextright"/>
              <w:spacing w:before="40" w:after="20"/>
            </w:pPr>
            <w:r w:rsidRPr="002029AF">
              <w:t>373</w:t>
            </w:r>
          </w:p>
        </w:tc>
        <w:tc>
          <w:tcPr>
            <w:tcW w:w="328" w:type="pct"/>
            <w:hideMark/>
          </w:tcPr>
          <w:p w14:paraId="5287962A" w14:textId="77777777" w:rsidR="00CF72D5" w:rsidRPr="002029AF" w:rsidRDefault="00CF72D5" w:rsidP="00B518D9">
            <w:pPr>
              <w:pStyle w:val="ARtabletextright"/>
              <w:spacing w:before="40" w:after="20"/>
            </w:pPr>
            <w:r w:rsidRPr="002029AF">
              <w:t>1,746.5</w:t>
            </w:r>
          </w:p>
        </w:tc>
        <w:tc>
          <w:tcPr>
            <w:tcW w:w="320" w:type="pct"/>
            <w:hideMark/>
          </w:tcPr>
          <w:p w14:paraId="3698B1A2" w14:textId="77777777" w:rsidR="00CF72D5" w:rsidRPr="002029AF" w:rsidRDefault="00CF72D5" w:rsidP="00B518D9">
            <w:pPr>
              <w:pStyle w:val="ARtabletextright"/>
              <w:spacing w:before="40" w:after="20"/>
            </w:pPr>
            <w:r w:rsidRPr="002029AF">
              <w:t>309</w:t>
            </w:r>
          </w:p>
        </w:tc>
        <w:tc>
          <w:tcPr>
            <w:tcW w:w="328" w:type="pct"/>
            <w:hideMark/>
          </w:tcPr>
          <w:p w14:paraId="1AE36EAB" w14:textId="77777777" w:rsidR="00CF72D5" w:rsidRPr="002029AF" w:rsidRDefault="00CF72D5" w:rsidP="00B518D9">
            <w:pPr>
              <w:pStyle w:val="ARtabletextright"/>
              <w:spacing w:before="40" w:after="20"/>
            </w:pPr>
            <w:r w:rsidRPr="002029AF">
              <w:t>284.5</w:t>
            </w:r>
          </w:p>
        </w:tc>
        <w:tc>
          <w:tcPr>
            <w:tcW w:w="320" w:type="pct"/>
            <w:hideMark/>
          </w:tcPr>
          <w:p w14:paraId="22194F4B" w14:textId="77777777" w:rsidR="00CF72D5" w:rsidRPr="002029AF" w:rsidRDefault="00CF72D5" w:rsidP="00B518D9">
            <w:pPr>
              <w:pStyle w:val="ARtabletextright"/>
              <w:spacing w:before="40" w:after="20"/>
            </w:pPr>
            <w:r w:rsidRPr="002029AF">
              <w:t>2,903</w:t>
            </w:r>
          </w:p>
        </w:tc>
        <w:tc>
          <w:tcPr>
            <w:tcW w:w="364" w:type="pct"/>
            <w:hideMark/>
          </w:tcPr>
          <w:p w14:paraId="4003BA6D" w14:textId="77777777" w:rsidR="00CF72D5" w:rsidRPr="002029AF" w:rsidRDefault="00CF72D5" w:rsidP="00B518D9">
            <w:pPr>
              <w:pStyle w:val="ARtabletextright"/>
              <w:spacing w:before="40" w:after="20"/>
            </w:pPr>
            <w:r w:rsidRPr="002029AF">
              <w:t>2,632.1</w:t>
            </w:r>
          </w:p>
        </w:tc>
        <w:tc>
          <w:tcPr>
            <w:tcW w:w="274" w:type="pct"/>
            <w:hideMark/>
          </w:tcPr>
          <w:p w14:paraId="6A13BAB1" w14:textId="77777777" w:rsidR="00CF72D5" w:rsidRPr="002029AF" w:rsidRDefault="00CF72D5" w:rsidP="00B518D9">
            <w:pPr>
              <w:pStyle w:val="ARtabletextright"/>
              <w:spacing w:before="40" w:after="20"/>
            </w:pPr>
            <w:r w:rsidRPr="002029AF">
              <w:t>1,711</w:t>
            </w:r>
          </w:p>
        </w:tc>
        <w:tc>
          <w:tcPr>
            <w:tcW w:w="274" w:type="pct"/>
            <w:hideMark/>
          </w:tcPr>
          <w:p w14:paraId="11EE0300" w14:textId="77777777" w:rsidR="00CF72D5" w:rsidRPr="002029AF" w:rsidRDefault="00CF72D5" w:rsidP="00B518D9">
            <w:pPr>
              <w:pStyle w:val="ARtabletextright"/>
              <w:spacing w:before="40" w:after="20"/>
            </w:pPr>
            <w:r w:rsidRPr="002029AF">
              <w:t>697</w:t>
            </w:r>
          </w:p>
        </w:tc>
        <w:tc>
          <w:tcPr>
            <w:tcW w:w="328" w:type="pct"/>
            <w:hideMark/>
          </w:tcPr>
          <w:p w14:paraId="72F5E3A6" w14:textId="77777777" w:rsidR="00CF72D5" w:rsidRPr="002029AF" w:rsidRDefault="00CF72D5" w:rsidP="00B518D9">
            <w:pPr>
              <w:pStyle w:val="ARtabletextright"/>
              <w:spacing w:before="40" w:after="20"/>
            </w:pPr>
            <w:r w:rsidRPr="002029AF">
              <w:t>2,240.2</w:t>
            </w:r>
          </w:p>
        </w:tc>
        <w:tc>
          <w:tcPr>
            <w:tcW w:w="321" w:type="pct"/>
            <w:hideMark/>
          </w:tcPr>
          <w:p w14:paraId="5E2B508A" w14:textId="77777777" w:rsidR="00CF72D5" w:rsidRPr="002029AF" w:rsidRDefault="00CF72D5" w:rsidP="00B518D9">
            <w:pPr>
              <w:pStyle w:val="ARtabletextright"/>
              <w:spacing w:before="40" w:after="20"/>
            </w:pPr>
            <w:r w:rsidRPr="002029AF">
              <w:t>495</w:t>
            </w:r>
          </w:p>
        </w:tc>
        <w:tc>
          <w:tcPr>
            <w:tcW w:w="326" w:type="pct"/>
            <w:hideMark/>
          </w:tcPr>
          <w:p w14:paraId="3EBD9413" w14:textId="77777777" w:rsidR="00CF72D5" w:rsidRPr="002029AF" w:rsidRDefault="00CF72D5" w:rsidP="00B518D9">
            <w:pPr>
              <w:pStyle w:val="ARtabletextright"/>
              <w:spacing w:before="40" w:after="20"/>
            </w:pPr>
            <w:r w:rsidRPr="002029AF">
              <w:t>391.9</w:t>
            </w:r>
          </w:p>
        </w:tc>
      </w:tr>
      <w:tr w:rsidR="00CF72D5" w:rsidRPr="002029AF" w14:paraId="7EAC3EB9" w14:textId="77777777" w:rsidTr="00B518D9">
        <w:trPr>
          <w:cantSplit w:val="0"/>
          <w:trHeight w:val="302"/>
        </w:trPr>
        <w:tc>
          <w:tcPr>
            <w:tcW w:w="621" w:type="pct"/>
            <w:hideMark/>
          </w:tcPr>
          <w:p w14:paraId="6B5D3210" w14:textId="77777777" w:rsidR="00CF72D5" w:rsidRPr="002029AF" w:rsidRDefault="00CF72D5" w:rsidP="00B518D9">
            <w:pPr>
              <w:pStyle w:val="ARtabletext"/>
              <w:spacing w:before="40" w:after="20"/>
            </w:pPr>
            <w:r w:rsidRPr="002029AF">
              <w:t>55–64</w:t>
            </w:r>
          </w:p>
        </w:tc>
        <w:tc>
          <w:tcPr>
            <w:tcW w:w="320" w:type="pct"/>
            <w:hideMark/>
          </w:tcPr>
          <w:p w14:paraId="715670EB" w14:textId="77777777" w:rsidR="00CF72D5" w:rsidRPr="002029AF" w:rsidRDefault="00CF72D5" w:rsidP="00B518D9">
            <w:pPr>
              <w:pStyle w:val="ARtabletextright"/>
              <w:spacing w:before="40" w:after="20"/>
            </w:pPr>
            <w:r w:rsidRPr="002029AF">
              <w:t>1,710</w:t>
            </w:r>
          </w:p>
        </w:tc>
        <w:tc>
          <w:tcPr>
            <w:tcW w:w="328" w:type="pct"/>
            <w:hideMark/>
          </w:tcPr>
          <w:p w14:paraId="1C36D0CC" w14:textId="77777777" w:rsidR="00CF72D5" w:rsidRPr="002029AF" w:rsidRDefault="00CF72D5" w:rsidP="00B518D9">
            <w:pPr>
              <w:pStyle w:val="ARtabletextright"/>
              <w:spacing w:before="40" w:after="20"/>
            </w:pPr>
            <w:r w:rsidRPr="002029AF">
              <w:t>1,596.0</w:t>
            </w:r>
          </w:p>
        </w:tc>
        <w:tc>
          <w:tcPr>
            <w:tcW w:w="274" w:type="pct"/>
            <w:hideMark/>
          </w:tcPr>
          <w:p w14:paraId="7DF4EB76" w14:textId="77777777" w:rsidR="00CF72D5" w:rsidRPr="002029AF" w:rsidRDefault="00CF72D5" w:rsidP="00B518D9">
            <w:pPr>
              <w:pStyle w:val="ARtabletextright"/>
              <w:spacing w:before="40" w:after="20"/>
            </w:pPr>
            <w:r w:rsidRPr="002029AF">
              <w:t>1,190</w:t>
            </w:r>
          </w:p>
        </w:tc>
        <w:tc>
          <w:tcPr>
            <w:tcW w:w="274" w:type="pct"/>
            <w:hideMark/>
          </w:tcPr>
          <w:p w14:paraId="37FA0767" w14:textId="77777777" w:rsidR="00CF72D5" w:rsidRPr="002029AF" w:rsidRDefault="00CF72D5" w:rsidP="00B518D9">
            <w:pPr>
              <w:pStyle w:val="ARtabletextright"/>
              <w:spacing w:before="40" w:after="20"/>
            </w:pPr>
            <w:r w:rsidRPr="002029AF">
              <w:t>298</w:t>
            </w:r>
          </w:p>
        </w:tc>
        <w:tc>
          <w:tcPr>
            <w:tcW w:w="328" w:type="pct"/>
            <w:hideMark/>
          </w:tcPr>
          <w:p w14:paraId="0DFAC5E0" w14:textId="77777777" w:rsidR="00CF72D5" w:rsidRPr="002029AF" w:rsidRDefault="00CF72D5" w:rsidP="00B518D9">
            <w:pPr>
              <w:pStyle w:val="ARtabletextright"/>
              <w:spacing w:before="40" w:after="20"/>
            </w:pPr>
            <w:r w:rsidRPr="002029AF">
              <w:t>1,398.0</w:t>
            </w:r>
          </w:p>
        </w:tc>
        <w:tc>
          <w:tcPr>
            <w:tcW w:w="320" w:type="pct"/>
            <w:hideMark/>
          </w:tcPr>
          <w:p w14:paraId="6885D27A" w14:textId="77777777" w:rsidR="00CF72D5" w:rsidRPr="002029AF" w:rsidRDefault="00CF72D5" w:rsidP="00B518D9">
            <w:pPr>
              <w:pStyle w:val="ARtabletextright"/>
              <w:spacing w:before="40" w:after="20"/>
            </w:pPr>
            <w:r w:rsidRPr="002029AF">
              <w:t>222</w:t>
            </w:r>
          </w:p>
        </w:tc>
        <w:tc>
          <w:tcPr>
            <w:tcW w:w="328" w:type="pct"/>
            <w:hideMark/>
          </w:tcPr>
          <w:p w14:paraId="70E883AF" w14:textId="77777777" w:rsidR="00CF72D5" w:rsidRPr="002029AF" w:rsidRDefault="00CF72D5" w:rsidP="00B518D9">
            <w:pPr>
              <w:pStyle w:val="ARtabletextright"/>
              <w:spacing w:before="40" w:after="20"/>
            </w:pPr>
            <w:r w:rsidRPr="002029AF">
              <w:t>198.1</w:t>
            </w:r>
          </w:p>
        </w:tc>
        <w:tc>
          <w:tcPr>
            <w:tcW w:w="320" w:type="pct"/>
            <w:hideMark/>
          </w:tcPr>
          <w:p w14:paraId="2310C9F6" w14:textId="77777777" w:rsidR="00CF72D5" w:rsidRPr="002029AF" w:rsidRDefault="00CF72D5" w:rsidP="00B518D9">
            <w:pPr>
              <w:pStyle w:val="ARtabletextright"/>
              <w:spacing w:before="40" w:after="20"/>
            </w:pPr>
            <w:r w:rsidRPr="002029AF">
              <w:t>2,393</w:t>
            </w:r>
          </w:p>
        </w:tc>
        <w:tc>
          <w:tcPr>
            <w:tcW w:w="364" w:type="pct"/>
            <w:hideMark/>
          </w:tcPr>
          <w:p w14:paraId="56209FBC" w14:textId="77777777" w:rsidR="00CF72D5" w:rsidRPr="002029AF" w:rsidRDefault="00CF72D5" w:rsidP="00B518D9">
            <w:pPr>
              <w:pStyle w:val="ARtabletextright"/>
              <w:spacing w:before="40" w:after="20"/>
            </w:pPr>
            <w:r w:rsidRPr="002029AF">
              <w:t>2,139.8</w:t>
            </w:r>
          </w:p>
        </w:tc>
        <w:tc>
          <w:tcPr>
            <w:tcW w:w="274" w:type="pct"/>
            <w:hideMark/>
          </w:tcPr>
          <w:p w14:paraId="3C9CC012" w14:textId="77777777" w:rsidR="00CF72D5" w:rsidRPr="002029AF" w:rsidRDefault="00CF72D5" w:rsidP="00B518D9">
            <w:pPr>
              <w:pStyle w:val="ARtabletextright"/>
              <w:spacing w:before="40" w:after="20"/>
            </w:pPr>
            <w:r w:rsidRPr="002029AF">
              <w:t>1,399</w:t>
            </w:r>
          </w:p>
        </w:tc>
        <w:tc>
          <w:tcPr>
            <w:tcW w:w="274" w:type="pct"/>
            <w:hideMark/>
          </w:tcPr>
          <w:p w14:paraId="64814509" w14:textId="77777777" w:rsidR="00CF72D5" w:rsidRPr="002029AF" w:rsidRDefault="00CF72D5" w:rsidP="00B518D9">
            <w:pPr>
              <w:pStyle w:val="ARtabletextright"/>
              <w:spacing w:before="40" w:after="20"/>
            </w:pPr>
            <w:r w:rsidRPr="002029AF">
              <w:t>642</w:t>
            </w:r>
          </w:p>
        </w:tc>
        <w:tc>
          <w:tcPr>
            <w:tcW w:w="328" w:type="pct"/>
            <w:hideMark/>
          </w:tcPr>
          <w:p w14:paraId="4E424395" w14:textId="77777777" w:rsidR="00CF72D5" w:rsidRPr="002029AF" w:rsidRDefault="00CF72D5" w:rsidP="00B518D9">
            <w:pPr>
              <w:pStyle w:val="ARtabletextright"/>
              <w:spacing w:before="40" w:after="20"/>
            </w:pPr>
            <w:r w:rsidRPr="002029AF">
              <w:t>1,881.7</w:t>
            </w:r>
          </w:p>
        </w:tc>
        <w:tc>
          <w:tcPr>
            <w:tcW w:w="321" w:type="pct"/>
            <w:hideMark/>
          </w:tcPr>
          <w:p w14:paraId="5F2798BF" w14:textId="77777777" w:rsidR="00CF72D5" w:rsidRPr="002029AF" w:rsidRDefault="00CF72D5" w:rsidP="00B518D9">
            <w:pPr>
              <w:pStyle w:val="ARtabletextright"/>
              <w:spacing w:before="40" w:after="20"/>
            </w:pPr>
            <w:r w:rsidRPr="002029AF">
              <w:t>352</w:t>
            </w:r>
          </w:p>
        </w:tc>
        <w:tc>
          <w:tcPr>
            <w:tcW w:w="326" w:type="pct"/>
            <w:hideMark/>
          </w:tcPr>
          <w:p w14:paraId="0D1BCDA1" w14:textId="77777777" w:rsidR="00CF72D5" w:rsidRPr="002029AF" w:rsidRDefault="00CF72D5" w:rsidP="00B518D9">
            <w:pPr>
              <w:pStyle w:val="ARtabletextright"/>
              <w:spacing w:before="40" w:after="20"/>
            </w:pPr>
            <w:r w:rsidRPr="002029AF">
              <w:t>258.1</w:t>
            </w:r>
          </w:p>
        </w:tc>
      </w:tr>
      <w:tr w:rsidR="00CF72D5" w:rsidRPr="002029AF" w14:paraId="722389E6" w14:textId="77777777" w:rsidTr="00B518D9">
        <w:trPr>
          <w:cantSplit w:val="0"/>
          <w:trHeight w:val="302"/>
        </w:trPr>
        <w:tc>
          <w:tcPr>
            <w:tcW w:w="621" w:type="pct"/>
            <w:hideMark/>
          </w:tcPr>
          <w:p w14:paraId="30EF49FA" w14:textId="77777777" w:rsidR="00CF72D5" w:rsidRPr="002029AF" w:rsidRDefault="00CF72D5" w:rsidP="00B518D9">
            <w:pPr>
              <w:pStyle w:val="ARtabletext"/>
              <w:spacing w:before="40" w:after="20"/>
            </w:pPr>
            <w:r w:rsidRPr="002029AF">
              <w:t>65+</w:t>
            </w:r>
          </w:p>
        </w:tc>
        <w:tc>
          <w:tcPr>
            <w:tcW w:w="320" w:type="pct"/>
            <w:hideMark/>
          </w:tcPr>
          <w:p w14:paraId="66F5BE94" w14:textId="77777777" w:rsidR="00CF72D5" w:rsidRPr="002029AF" w:rsidRDefault="00CF72D5" w:rsidP="00B518D9">
            <w:pPr>
              <w:pStyle w:val="ARtabletextright"/>
              <w:spacing w:before="40" w:after="20"/>
            </w:pPr>
            <w:r w:rsidRPr="002029AF">
              <w:t>366</w:t>
            </w:r>
          </w:p>
        </w:tc>
        <w:tc>
          <w:tcPr>
            <w:tcW w:w="328" w:type="pct"/>
            <w:hideMark/>
          </w:tcPr>
          <w:p w14:paraId="7C9D2DE5" w14:textId="77777777" w:rsidR="00CF72D5" w:rsidRPr="002029AF" w:rsidRDefault="00CF72D5" w:rsidP="00B518D9">
            <w:pPr>
              <w:pStyle w:val="ARtabletextright"/>
              <w:spacing w:before="40" w:after="20"/>
            </w:pPr>
            <w:r w:rsidRPr="002029AF">
              <w:t>328.5</w:t>
            </w:r>
          </w:p>
        </w:tc>
        <w:tc>
          <w:tcPr>
            <w:tcW w:w="274" w:type="pct"/>
            <w:hideMark/>
          </w:tcPr>
          <w:p w14:paraId="34F6AD3E" w14:textId="77777777" w:rsidR="00CF72D5" w:rsidRPr="002029AF" w:rsidRDefault="00CF72D5" w:rsidP="00B518D9">
            <w:pPr>
              <w:pStyle w:val="ARtabletextright"/>
              <w:spacing w:before="40" w:after="20"/>
            </w:pPr>
            <w:r w:rsidRPr="002029AF">
              <w:t>251</w:t>
            </w:r>
          </w:p>
        </w:tc>
        <w:tc>
          <w:tcPr>
            <w:tcW w:w="274" w:type="pct"/>
            <w:hideMark/>
          </w:tcPr>
          <w:p w14:paraId="7660F185" w14:textId="77777777" w:rsidR="00CF72D5" w:rsidRPr="002029AF" w:rsidRDefault="00CF72D5" w:rsidP="00B518D9">
            <w:pPr>
              <w:pStyle w:val="ARtabletextright"/>
              <w:spacing w:before="40" w:after="20"/>
            </w:pPr>
            <w:r w:rsidRPr="002029AF">
              <w:t>81</w:t>
            </w:r>
          </w:p>
        </w:tc>
        <w:tc>
          <w:tcPr>
            <w:tcW w:w="328" w:type="pct"/>
            <w:hideMark/>
          </w:tcPr>
          <w:p w14:paraId="001E7EE5" w14:textId="77777777" w:rsidR="00CF72D5" w:rsidRPr="002029AF" w:rsidRDefault="00CF72D5" w:rsidP="00B518D9">
            <w:pPr>
              <w:pStyle w:val="ARtabletextright"/>
              <w:spacing w:before="40" w:after="20"/>
            </w:pPr>
            <w:r w:rsidRPr="002029AF">
              <w:t>303.2</w:t>
            </w:r>
          </w:p>
        </w:tc>
        <w:tc>
          <w:tcPr>
            <w:tcW w:w="320" w:type="pct"/>
            <w:hideMark/>
          </w:tcPr>
          <w:p w14:paraId="2CF6C92C" w14:textId="77777777" w:rsidR="00CF72D5" w:rsidRPr="002029AF" w:rsidRDefault="00CF72D5" w:rsidP="00B518D9">
            <w:pPr>
              <w:pStyle w:val="ARtabletextright"/>
              <w:spacing w:before="40" w:after="20"/>
            </w:pPr>
            <w:r w:rsidRPr="002029AF">
              <w:t>34</w:t>
            </w:r>
          </w:p>
        </w:tc>
        <w:tc>
          <w:tcPr>
            <w:tcW w:w="328" w:type="pct"/>
            <w:hideMark/>
          </w:tcPr>
          <w:p w14:paraId="12905662" w14:textId="77777777" w:rsidR="00CF72D5" w:rsidRPr="002029AF" w:rsidRDefault="00CF72D5" w:rsidP="00B518D9">
            <w:pPr>
              <w:pStyle w:val="ARtabletextright"/>
              <w:spacing w:before="40" w:after="20"/>
            </w:pPr>
            <w:r w:rsidRPr="002029AF">
              <w:t>25.3</w:t>
            </w:r>
          </w:p>
        </w:tc>
        <w:tc>
          <w:tcPr>
            <w:tcW w:w="320" w:type="pct"/>
            <w:hideMark/>
          </w:tcPr>
          <w:p w14:paraId="464EB4B5" w14:textId="77777777" w:rsidR="00CF72D5" w:rsidRPr="002029AF" w:rsidRDefault="00CF72D5" w:rsidP="00B518D9">
            <w:pPr>
              <w:pStyle w:val="ARtabletextright"/>
              <w:spacing w:before="40" w:after="20"/>
            </w:pPr>
            <w:r w:rsidRPr="002029AF">
              <w:t>489</w:t>
            </w:r>
          </w:p>
        </w:tc>
        <w:tc>
          <w:tcPr>
            <w:tcW w:w="364" w:type="pct"/>
            <w:hideMark/>
          </w:tcPr>
          <w:p w14:paraId="54776C0E" w14:textId="77777777" w:rsidR="00CF72D5" w:rsidRPr="002029AF" w:rsidRDefault="00CF72D5" w:rsidP="00B518D9">
            <w:pPr>
              <w:pStyle w:val="ARtabletextright"/>
              <w:spacing w:before="40" w:after="20"/>
            </w:pPr>
            <w:r w:rsidRPr="002029AF">
              <w:t>410.3</w:t>
            </w:r>
          </w:p>
        </w:tc>
        <w:tc>
          <w:tcPr>
            <w:tcW w:w="274" w:type="pct"/>
            <w:hideMark/>
          </w:tcPr>
          <w:p w14:paraId="047928EF" w14:textId="77777777" w:rsidR="00CF72D5" w:rsidRPr="002029AF" w:rsidRDefault="00CF72D5" w:rsidP="00B518D9">
            <w:pPr>
              <w:pStyle w:val="ARtabletextright"/>
              <w:spacing w:before="40" w:after="20"/>
            </w:pPr>
            <w:r w:rsidRPr="002029AF">
              <w:t>263</w:t>
            </w:r>
          </w:p>
        </w:tc>
        <w:tc>
          <w:tcPr>
            <w:tcW w:w="274" w:type="pct"/>
            <w:hideMark/>
          </w:tcPr>
          <w:p w14:paraId="3724161E" w14:textId="77777777" w:rsidR="00CF72D5" w:rsidRPr="002029AF" w:rsidRDefault="00CF72D5" w:rsidP="00B518D9">
            <w:pPr>
              <w:pStyle w:val="ARtabletextright"/>
              <w:spacing w:before="40" w:after="20"/>
            </w:pPr>
            <w:r w:rsidRPr="002029AF">
              <w:t>151</w:t>
            </w:r>
          </w:p>
        </w:tc>
        <w:tc>
          <w:tcPr>
            <w:tcW w:w="328" w:type="pct"/>
            <w:hideMark/>
          </w:tcPr>
          <w:p w14:paraId="7E7146B3" w14:textId="77777777" w:rsidR="00CF72D5" w:rsidRPr="002029AF" w:rsidRDefault="00CF72D5" w:rsidP="00B518D9">
            <w:pPr>
              <w:pStyle w:val="ARtabletextright"/>
              <w:spacing w:before="40" w:after="20"/>
            </w:pPr>
            <w:r w:rsidRPr="002029AF">
              <w:t>366.2</w:t>
            </w:r>
          </w:p>
        </w:tc>
        <w:tc>
          <w:tcPr>
            <w:tcW w:w="321" w:type="pct"/>
            <w:hideMark/>
          </w:tcPr>
          <w:p w14:paraId="5AB23E02" w14:textId="77777777" w:rsidR="00CF72D5" w:rsidRPr="002029AF" w:rsidRDefault="00CF72D5" w:rsidP="00B518D9">
            <w:pPr>
              <w:pStyle w:val="ARtabletextright"/>
              <w:spacing w:before="40" w:after="20"/>
            </w:pPr>
            <w:r w:rsidRPr="002029AF">
              <w:t>75</w:t>
            </w:r>
          </w:p>
        </w:tc>
        <w:tc>
          <w:tcPr>
            <w:tcW w:w="326" w:type="pct"/>
            <w:hideMark/>
          </w:tcPr>
          <w:p w14:paraId="0301ABAC" w14:textId="77777777" w:rsidR="00CF72D5" w:rsidRPr="002029AF" w:rsidRDefault="00CF72D5" w:rsidP="00B518D9">
            <w:pPr>
              <w:pStyle w:val="ARtabletextright"/>
              <w:spacing w:before="40" w:after="20"/>
            </w:pPr>
            <w:r w:rsidRPr="002029AF">
              <w:t>44.0</w:t>
            </w:r>
          </w:p>
        </w:tc>
      </w:tr>
      <w:tr w:rsidR="00462DC8" w:rsidRPr="002029AF" w14:paraId="50896129" w14:textId="77777777" w:rsidTr="00B518D9">
        <w:trPr>
          <w:cantSplit w:val="0"/>
          <w:trHeight w:val="302"/>
        </w:trPr>
        <w:tc>
          <w:tcPr>
            <w:tcW w:w="5000" w:type="pct"/>
            <w:gridSpan w:val="15"/>
            <w:hideMark/>
          </w:tcPr>
          <w:p w14:paraId="7AACC187" w14:textId="30702DAF" w:rsidR="00462DC8" w:rsidRPr="002029AF" w:rsidRDefault="00462DC8" w:rsidP="00B518D9">
            <w:pPr>
              <w:pStyle w:val="ARtablesubhead"/>
              <w:spacing w:before="40" w:after="20"/>
            </w:pPr>
            <w:r w:rsidRPr="002029AF">
              <w:t>Classification</w:t>
            </w:r>
          </w:p>
        </w:tc>
      </w:tr>
      <w:tr w:rsidR="00CF72D5" w:rsidRPr="002029AF" w14:paraId="3DD7C50F" w14:textId="77777777" w:rsidTr="00B518D9">
        <w:trPr>
          <w:cantSplit w:val="0"/>
          <w:trHeight w:val="302"/>
        </w:trPr>
        <w:tc>
          <w:tcPr>
            <w:tcW w:w="621" w:type="pct"/>
            <w:hideMark/>
          </w:tcPr>
          <w:p w14:paraId="41614B52" w14:textId="56E4413A" w:rsidR="00CF72D5" w:rsidRPr="002029AF" w:rsidRDefault="00CF72D5" w:rsidP="00B518D9">
            <w:pPr>
              <w:pStyle w:val="ARtabletext"/>
              <w:spacing w:before="40" w:after="20"/>
            </w:pPr>
            <w:r w:rsidRPr="002029AF">
              <w:t>VPS</w:t>
            </w:r>
            <w:r w:rsidR="000A5329" w:rsidRPr="002029AF">
              <w:t xml:space="preserve"> </w:t>
            </w:r>
            <w:r w:rsidRPr="002029AF">
              <w:t>1</w:t>
            </w:r>
          </w:p>
        </w:tc>
        <w:tc>
          <w:tcPr>
            <w:tcW w:w="320" w:type="pct"/>
            <w:hideMark/>
          </w:tcPr>
          <w:p w14:paraId="4C935212" w14:textId="77777777" w:rsidR="00CF72D5" w:rsidRPr="002029AF" w:rsidRDefault="00CF72D5" w:rsidP="00B518D9">
            <w:pPr>
              <w:pStyle w:val="ARtabletextright"/>
              <w:spacing w:before="40" w:after="20"/>
            </w:pPr>
            <w:r w:rsidRPr="002029AF">
              <w:t>15</w:t>
            </w:r>
          </w:p>
        </w:tc>
        <w:tc>
          <w:tcPr>
            <w:tcW w:w="328" w:type="pct"/>
            <w:hideMark/>
          </w:tcPr>
          <w:p w14:paraId="4AC048BE" w14:textId="77777777" w:rsidR="00CF72D5" w:rsidRPr="002029AF" w:rsidRDefault="00CF72D5" w:rsidP="00B518D9">
            <w:pPr>
              <w:pStyle w:val="ARtabletextright"/>
              <w:spacing w:before="40" w:after="20"/>
            </w:pPr>
            <w:r w:rsidRPr="002029AF">
              <w:t>10.6</w:t>
            </w:r>
          </w:p>
        </w:tc>
        <w:tc>
          <w:tcPr>
            <w:tcW w:w="274" w:type="pct"/>
            <w:hideMark/>
          </w:tcPr>
          <w:p w14:paraId="4DB37072" w14:textId="77777777" w:rsidR="00CF72D5" w:rsidRPr="002029AF" w:rsidRDefault="00CF72D5" w:rsidP="00B518D9">
            <w:pPr>
              <w:pStyle w:val="ARtabletextright"/>
              <w:spacing w:before="40" w:after="20"/>
            </w:pPr>
            <w:r w:rsidRPr="002029AF">
              <w:t>0</w:t>
            </w:r>
          </w:p>
        </w:tc>
        <w:tc>
          <w:tcPr>
            <w:tcW w:w="274" w:type="pct"/>
            <w:hideMark/>
          </w:tcPr>
          <w:p w14:paraId="77EDB3EE" w14:textId="77777777" w:rsidR="00CF72D5" w:rsidRPr="002029AF" w:rsidRDefault="00CF72D5" w:rsidP="00B518D9">
            <w:pPr>
              <w:pStyle w:val="ARtabletextright"/>
              <w:spacing w:before="40" w:after="20"/>
            </w:pPr>
            <w:r w:rsidRPr="002029AF">
              <w:t>1</w:t>
            </w:r>
          </w:p>
        </w:tc>
        <w:tc>
          <w:tcPr>
            <w:tcW w:w="328" w:type="pct"/>
            <w:hideMark/>
          </w:tcPr>
          <w:p w14:paraId="751CAE97" w14:textId="77777777" w:rsidR="00CF72D5" w:rsidRPr="002029AF" w:rsidRDefault="00CF72D5" w:rsidP="00B518D9">
            <w:pPr>
              <w:pStyle w:val="ARtabletextright"/>
              <w:spacing w:before="40" w:after="20"/>
            </w:pPr>
            <w:r w:rsidRPr="002029AF">
              <w:t>0.2</w:t>
            </w:r>
          </w:p>
        </w:tc>
        <w:tc>
          <w:tcPr>
            <w:tcW w:w="320" w:type="pct"/>
            <w:hideMark/>
          </w:tcPr>
          <w:p w14:paraId="6862BDE1" w14:textId="77777777" w:rsidR="00CF72D5" w:rsidRPr="002029AF" w:rsidRDefault="00CF72D5" w:rsidP="00B518D9">
            <w:pPr>
              <w:pStyle w:val="ARtabletextright"/>
              <w:spacing w:before="40" w:after="20"/>
            </w:pPr>
            <w:r w:rsidRPr="002029AF">
              <w:t>14</w:t>
            </w:r>
          </w:p>
        </w:tc>
        <w:tc>
          <w:tcPr>
            <w:tcW w:w="328" w:type="pct"/>
            <w:hideMark/>
          </w:tcPr>
          <w:p w14:paraId="2F1B57A7" w14:textId="77777777" w:rsidR="00CF72D5" w:rsidRPr="002029AF" w:rsidRDefault="00CF72D5" w:rsidP="00B518D9">
            <w:pPr>
              <w:pStyle w:val="ARtabletextright"/>
              <w:spacing w:before="40" w:after="20"/>
            </w:pPr>
            <w:r w:rsidRPr="002029AF">
              <w:t>10.4</w:t>
            </w:r>
          </w:p>
        </w:tc>
        <w:tc>
          <w:tcPr>
            <w:tcW w:w="320" w:type="pct"/>
            <w:hideMark/>
          </w:tcPr>
          <w:p w14:paraId="46FE5F42" w14:textId="77777777" w:rsidR="00CF72D5" w:rsidRPr="002029AF" w:rsidRDefault="00CF72D5" w:rsidP="00B518D9">
            <w:pPr>
              <w:pStyle w:val="ARtabletextright"/>
              <w:spacing w:before="40" w:after="20"/>
            </w:pPr>
            <w:r w:rsidRPr="002029AF">
              <w:t>24</w:t>
            </w:r>
          </w:p>
        </w:tc>
        <w:tc>
          <w:tcPr>
            <w:tcW w:w="364" w:type="pct"/>
            <w:hideMark/>
          </w:tcPr>
          <w:p w14:paraId="27994CA8" w14:textId="77777777" w:rsidR="00CF72D5" w:rsidRPr="002029AF" w:rsidRDefault="00CF72D5" w:rsidP="00B518D9">
            <w:pPr>
              <w:pStyle w:val="ARtabletextright"/>
              <w:spacing w:before="40" w:after="20"/>
            </w:pPr>
            <w:r w:rsidRPr="002029AF">
              <w:t>20.5</w:t>
            </w:r>
          </w:p>
        </w:tc>
        <w:tc>
          <w:tcPr>
            <w:tcW w:w="274" w:type="pct"/>
            <w:hideMark/>
          </w:tcPr>
          <w:p w14:paraId="3F1E8F2A" w14:textId="77777777" w:rsidR="00CF72D5" w:rsidRPr="002029AF" w:rsidRDefault="00CF72D5" w:rsidP="00B518D9">
            <w:pPr>
              <w:pStyle w:val="ARtabletextright"/>
              <w:spacing w:before="40" w:after="20"/>
            </w:pPr>
            <w:r w:rsidRPr="002029AF">
              <w:t>0</w:t>
            </w:r>
          </w:p>
        </w:tc>
        <w:tc>
          <w:tcPr>
            <w:tcW w:w="274" w:type="pct"/>
            <w:hideMark/>
          </w:tcPr>
          <w:p w14:paraId="126718B3" w14:textId="77777777" w:rsidR="00CF72D5" w:rsidRPr="002029AF" w:rsidRDefault="00CF72D5" w:rsidP="00B518D9">
            <w:pPr>
              <w:pStyle w:val="ARtabletextright"/>
              <w:spacing w:before="40" w:after="20"/>
            </w:pPr>
            <w:r w:rsidRPr="002029AF">
              <w:t>1</w:t>
            </w:r>
          </w:p>
        </w:tc>
        <w:tc>
          <w:tcPr>
            <w:tcW w:w="328" w:type="pct"/>
            <w:hideMark/>
          </w:tcPr>
          <w:p w14:paraId="182B47B9" w14:textId="77777777" w:rsidR="00CF72D5" w:rsidRPr="002029AF" w:rsidRDefault="00CF72D5" w:rsidP="00B518D9">
            <w:pPr>
              <w:pStyle w:val="ARtabletextright"/>
              <w:spacing w:before="40" w:after="20"/>
            </w:pPr>
            <w:r w:rsidRPr="002029AF">
              <w:t>0.2</w:t>
            </w:r>
          </w:p>
        </w:tc>
        <w:tc>
          <w:tcPr>
            <w:tcW w:w="321" w:type="pct"/>
            <w:hideMark/>
          </w:tcPr>
          <w:p w14:paraId="4F6B3CA1" w14:textId="77777777" w:rsidR="00CF72D5" w:rsidRPr="002029AF" w:rsidRDefault="00CF72D5" w:rsidP="00B518D9">
            <w:pPr>
              <w:pStyle w:val="ARtabletextright"/>
              <w:spacing w:before="40" w:after="20"/>
            </w:pPr>
            <w:r w:rsidRPr="002029AF">
              <w:t>23</w:t>
            </w:r>
          </w:p>
        </w:tc>
        <w:tc>
          <w:tcPr>
            <w:tcW w:w="326" w:type="pct"/>
            <w:hideMark/>
          </w:tcPr>
          <w:p w14:paraId="6001BDB5" w14:textId="77777777" w:rsidR="00CF72D5" w:rsidRPr="002029AF" w:rsidRDefault="00CF72D5" w:rsidP="00B518D9">
            <w:pPr>
              <w:pStyle w:val="ARtabletextright"/>
              <w:spacing w:before="40" w:after="20"/>
            </w:pPr>
            <w:r w:rsidRPr="002029AF">
              <w:t>20.3</w:t>
            </w:r>
          </w:p>
        </w:tc>
      </w:tr>
      <w:tr w:rsidR="00CF72D5" w:rsidRPr="002029AF" w14:paraId="674E2C6A" w14:textId="77777777" w:rsidTr="00B518D9">
        <w:trPr>
          <w:cantSplit w:val="0"/>
          <w:trHeight w:val="302"/>
        </w:trPr>
        <w:tc>
          <w:tcPr>
            <w:tcW w:w="621" w:type="pct"/>
            <w:hideMark/>
          </w:tcPr>
          <w:p w14:paraId="19AFB767" w14:textId="642DFF39" w:rsidR="00CF72D5" w:rsidRPr="002029AF" w:rsidRDefault="00CF72D5" w:rsidP="00B518D9">
            <w:pPr>
              <w:pStyle w:val="ARtabletext"/>
              <w:spacing w:before="40" w:after="20"/>
            </w:pPr>
            <w:r w:rsidRPr="002029AF">
              <w:t>VPS</w:t>
            </w:r>
            <w:r w:rsidR="000A5329" w:rsidRPr="002029AF">
              <w:t xml:space="preserve"> </w:t>
            </w:r>
            <w:r w:rsidRPr="002029AF">
              <w:t>2</w:t>
            </w:r>
          </w:p>
        </w:tc>
        <w:tc>
          <w:tcPr>
            <w:tcW w:w="320" w:type="pct"/>
            <w:hideMark/>
          </w:tcPr>
          <w:p w14:paraId="051BB3ED" w14:textId="77777777" w:rsidR="00CF72D5" w:rsidRPr="002029AF" w:rsidRDefault="00CF72D5" w:rsidP="00B518D9">
            <w:pPr>
              <w:pStyle w:val="ARtabletextright"/>
              <w:spacing w:before="40" w:after="20"/>
            </w:pPr>
            <w:r w:rsidRPr="002029AF">
              <w:t>380</w:t>
            </w:r>
          </w:p>
        </w:tc>
        <w:tc>
          <w:tcPr>
            <w:tcW w:w="328" w:type="pct"/>
            <w:hideMark/>
          </w:tcPr>
          <w:p w14:paraId="12D245D8" w14:textId="77777777" w:rsidR="00CF72D5" w:rsidRPr="002029AF" w:rsidRDefault="00CF72D5" w:rsidP="00B518D9">
            <w:pPr>
              <w:pStyle w:val="ARtabletextright"/>
              <w:spacing w:before="40" w:after="20"/>
            </w:pPr>
            <w:r w:rsidRPr="002029AF">
              <w:t>324.3</w:t>
            </w:r>
          </w:p>
        </w:tc>
        <w:tc>
          <w:tcPr>
            <w:tcW w:w="274" w:type="pct"/>
            <w:hideMark/>
          </w:tcPr>
          <w:p w14:paraId="27CE3288" w14:textId="77777777" w:rsidR="00CF72D5" w:rsidRPr="002029AF" w:rsidRDefault="00CF72D5" w:rsidP="00B518D9">
            <w:pPr>
              <w:pStyle w:val="ARtabletextright"/>
              <w:spacing w:before="40" w:after="20"/>
            </w:pPr>
            <w:r w:rsidRPr="002029AF">
              <w:t>172</w:t>
            </w:r>
          </w:p>
        </w:tc>
        <w:tc>
          <w:tcPr>
            <w:tcW w:w="274" w:type="pct"/>
            <w:hideMark/>
          </w:tcPr>
          <w:p w14:paraId="2C7554B0" w14:textId="77777777" w:rsidR="00CF72D5" w:rsidRPr="002029AF" w:rsidRDefault="00CF72D5" w:rsidP="00B518D9">
            <w:pPr>
              <w:pStyle w:val="ARtabletextright"/>
              <w:spacing w:before="40" w:after="20"/>
            </w:pPr>
            <w:r w:rsidRPr="002029AF">
              <w:t>97</w:t>
            </w:r>
          </w:p>
        </w:tc>
        <w:tc>
          <w:tcPr>
            <w:tcW w:w="328" w:type="pct"/>
            <w:hideMark/>
          </w:tcPr>
          <w:p w14:paraId="2C3EB024" w14:textId="77777777" w:rsidR="00CF72D5" w:rsidRPr="002029AF" w:rsidRDefault="00CF72D5" w:rsidP="00B518D9">
            <w:pPr>
              <w:pStyle w:val="ARtabletextright"/>
              <w:spacing w:before="40" w:after="20"/>
            </w:pPr>
            <w:r w:rsidRPr="002029AF">
              <w:t>236.6</w:t>
            </w:r>
          </w:p>
        </w:tc>
        <w:tc>
          <w:tcPr>
            <w:tcW w:w="320" w:type="pct"/>
            <w:hideMark/>
          </w:tcPr>
          <w:p w14:paraId="7BF82480" w14:textId="77777777" w:rsidR="00CF72D5" w:rsidRPr="002029AF" w:rsidRDefault="00CF72D5" w:rsidP="00B518D9">
            <w:pPr>
              <w:pStyle w:val="ARtabletextright"/>
              <w:spacing w:before="40" w:after="20"/>
            </w:pPr>
            <w:r w:rsidRPr="002029AF">
              <w:t>111</w:t>
            </w:r>
          </w:p>
        </w:tc>
        <w:tc>
          <w:tcPr>
            <w:tcW w:w="328" w:type="pct"/>
            <w:hideMark/>
          </w:tcPr>
          <w:p w14:paraId="799D3104" w14:textId="77777777" w:rsidR="00CF72D5" w:rsidRPr="002029AF" w:rsidRDefault="00CF72D5" w:rsidP="00B518D9">
            <w:pPr>
              <w:pStyle w:val="ARtabletextright"/>
              <w:spacing w:before="40" w:after="20"/>
            </w:pPr>
            <w:r w:rsidRPr="002029AF">
              <w:t>87.7</w:t>
            </w:r>
          </w:p>
        </w:tc>
        <w:tc>
          <w:tcPr>
            <w:tcW w:w="320" w:type="pct"/>
            <w:hideMark/>
          </w:tcPr>
          <w:p w14:paraId="1E6E63A9" w14:textId="77777777" w:rsidR="00CF72D5" w:rsidRPr="002029AF" w:rsidRDefault="00CF72D5" w:rsidP="00B518D9">
            <w:pPr>
              <w:pStyle w:val="ARtabletextright"/>
              <w:spacing w:before="40" w:after="20"/>
            </w:pPr>
            <w:r w:rsidRPr="002029AF">
              <w:t>458</w:t>
            </w:r>
          </w:p>
        </w:tc>
        <w:tc>
          <w:tcPr>
            <w:tcW w:w="364" w:type="pct"/>
            <w:hideMark/>
          </w:tcPr>
          <w:p w14:paraId="0BF211F4" w14:textId="77777777" w:rsidR="00CF72D5" w:rsidRPr="002029AF" w:rsidRDefault="00CF72D5" w:rsidP="00B518D9">
            <w:pPr>
              <w:pStyle w:val="ARtabletextright"/>
              <w:spacing w:before="40" w:after="20"/>
            </w:pPr>
            <w:r w:rsidRPr="002029AF">
              <w:t>389.6</w:t>
            </w:r>
          </w:p>
        </w:tc>
        <w:tc>
          <w:tcPr>
            <w:tcW w:w="274" w:type="pct"/>
            <w:hideMark/>
          </w:tcPr>
          <w:p w14:paraId="60A78306" w14:textId="77777777" w:rsidR="00CF72D5" w:rsidRPr="002029AF" w:rsidRDefault="00CF72D5" w:rsidP="00B518D9">
            <w:pPr>
              <w:pStyle w:val="ARtabletextright"/>
              <w:spacing w:before="40" w:after="20"/>
            </w:pPr>
            <w:r w:rsidRPr="002029AF">
              <w:t>196</w:t>
            </w:r>
          </w:p>
        </w:tc>
        <w:tc>
          <w:tcPr>
            <w:tcW w:w="274" w:type="pct"/>
            <w:hideMark/>
          </w:tcPr>
          <w:p w14:paraId="155A5EAA" w14:textId="77777777" w:rsidR="00CF72D5" w:rsidRPr="002029AF" w:rsidRDefault="00CF72D5" w:rsidP="00B518D9">
            <w:pPr>
              <w:pStyle w:val="ARtabletextright"/>
              <w:spacing w:before="40" w:after="20"/>
            </w:pPr>
            <w:r w:rsidRPr="002029AF">
              <w:t>100</w:t>
            </w:r>
          </w:p>
        </w:tc>
        <w:tc>
          <w:tcPr>
            <w:tcW w:w="328" w:type="pct"/>
            <w:hideMark/>
          </w:tcPr>
          <w:p w14:paraId="46EE5F4C" w14:textId="77777777" w:rsidR="00CF72D5" w:rsidRPr="002029AF" w:rsidRDefault="00CF72D5" w:rsidP="00B518D9">
            <w:pPr>
              <w:pStyle w:val="ARtabletextright"/>
              <w:spacing w:before="40" w:after="20"/>
            </w:pPr>
            <w:r w:rsidRPr="002029AF">
              <w:t>261.9</w:t>
            </w:r>
          </w:p>
        </w:tc>
        <w:tc>
          <w:tcPr>
            <w:tcW w:w="321" w:type="pct"/>
            <w:hideMark/>
          </w:tcPr>
          <w:p w14:paraId="41CAC1A6" w14:textId="77777777" w:rsidR="00CF72D5" w:rsidRPr="002029AF" w:rsidRDefault="00CF72D5" w:rsidP="00B518D9">
            <w:pPr>
              <w:pStyle w:val="ARtabletextright"/>
              <w:spacing w:before="40" w:after="20"/>
            </w:pPr>
            <w:r w:rsidRPr="002029AF">
              <w:t>162</w:t>
            </w:r>
          </w:p>
        </w:tc>
        <w:tc>
          <w:tcPr>
            <w:tcW w:w="326" w:type="pct"/>
            <w:hideMark/>
          </w:tcPr>
          <w:p w14:paraId="1A73CB62" w14:textId="77777777" w:rsidR="00CF72D5" w:rsidRPr="002029AF" w:rsidRDefault="00CF72D5" w:rsidP="00B518D9">
            <w:pPr>
              <w:pStyle w:val="ARtabletextright"/>
              <w:spacing w:before="40" w:after="20"/>
            </w:pPr>
            <w:r w:rsidRPr="002029AF">
              <w:t>127.7</w:t>
            </w:r>
          </w:p>
        </w:tc>
      </w:tr>
      <w:tr w:rsidR="00CF72D5" w:rsidRPr="002029AF" w14:paraId="67CB4552" w14:textId="77777777" w:rsidTr="00B518D9">
        <w:trPr>
          <w:cantSplit w:val="0"/>
          <w:trHeight w:val="302"/>
        </w:trPr>
        <w:tc>
          <w:tcPr>
            <w:tcW w:w="621" w:type="pct"/>
            <w:hideMark/>
          </w:tcPr>
          <w:p w14:paraId="3D0AD917" w14:textId="01132A03" w:rsidR="00CF72D5" w:rsidRPr="002029AF" w:rsidRDefault="00CF72D5" w:rsidP="00B518D9">
            <w:pPr>
              <w:pStyle w:val="ARtabletext"/>
              <w:spacing w:before="40" w:after="20"/>
            </w:pPr>
            <w:r w:rsidRPr="002029AF">
              <w:t>VPS</w:t>
            </w:r>
            <w:r w:rsidR="000A5329" w:rsidRPr="002029AF">
              <w:t xml:space="preserve"> </w:t>
            </w:r>
            <w:r w:rsidRPr="002029AF">
              <w:t>3</w:t>
            </w:r>
          </w:p>
        </w:tc>
        <w:tc>
          <w:tcPr>
            <w:tcW w:w="320" w:type="pct"/>
            <w:hideMark/>
          </w:tcPr>
          <w:p w14:paraId="6437277D" w14:textId="77777777" w:rsidR="00CF72D5" w:rsidRPr="002029AF" w:rsidRDefault="00CF72D5" w:rsidP="00B518D9">
            <w:pPr>
              <w:pStyle w:val="ARtabletextright"/>
              <w:spacing w:before="40" w:after="20"/>
            </w:pPr>
            <w:r w:rsidRPr="002029AF">
              <w:t>658</w:t>
            </w:r>
          </w:p>
        </w:tc>
        <w:tc>
          <w:tcPr>
            <w:tcW w:w="328" w:type="pct"/>
            <w:hideMark/>
          </w:tcPr>
          <w:p w14:paraId="32F2C1F9" w14:textId="77777777" w:rsidR="00CF72D5" w:rsidRPr="002029AF" w:rsidRDefault="00CF72D5" w:rsidP="00B518D9">
            <w:pPr>
              <w:pStyle w:val="ARtabletextright"/>
              <w:spacing w:before="40" w:after="20"/>
            </w:pPr>
            <w:r w:rsidRPr="002029AF">
              <w:t>606.9</w:t>
            </w:r>
          </w:p>
        </w:tc>
        <w:tc>
          <w:tcPr>
            <w:tcW w:w="274" w:type="pct"/>
            <w:hideMark/>
          </w:tcPr>
          <w:p w14:paraId="260845F3" w14:textId="77777777" w:rsidR="00CF72D5" w:rsidRPr="002029AF" w:rsidRDefault="00CF72D5" w:rsidP="00B518D9">
            <w:pPr>
              <w:pStyle w:val="ARtabletextright"/>
              <w:spacing w:before="40" w:after="20"/>
            </w:pPr>
            <w:r w:rsidRPr="002029AF">
              <w:t>397</w:t>
            </w:r>
          </w:p>
        </w:tc>
        <w:tc>
          <w:tcPr>
            <w:tcW w:w="274" w:type="pct"/>
            <w:hideMark/>
          </w:tcPr>
          <w:p w14:paraId="2670429C" w14:textId="77777777" w:rsidR="00CF72D5" w:rsidRPr="002029AF" w:rsidRDefault="00CF72D5" w:rsidP="00B518D9">
            <w:pPr>
              <w:pStyle w:val="ARtabletextright"/>
              <w:spacing w:before="40" w:after="20"/>
            </w:pPr>
            <w:r w:rsidRPr="002029AF">
              <w:t>82</w:t>
            </w:r>
          </w:p>
        </w:tc>
        <w:tc>
          <w:tcPr>
            <w:tcW w:w="328" w:type="pct"/>
            <w:hideMark/>
          </w:tcPr>
          <w:p w14:paraId="3BB83184" w14:textId="77777777" w:rsidR="00CF72D5" w:rsidRPr="002029AF" w:rsidRDefault="00CF72D5" w:rsidP="00B518D9">
            <w:pPr>
              <w:pStyle w:val="ARtabletextright"/>
              <w:spacing w:before="40" w:after="20"/>
            </w:pPr>
            <w:r w:rsidRPr="002029AF">
              <w:t>455</w:t>
            </w:r>
          </w:p>
        </w:tc>
        <w:tc>
          <w:tcPr>
            <w:tcW w:w="320" w:type="pct"/>
            <w:hideMark/>
          </w:tcPr>
          <w:p w14:paraId="24505C70" w14:textId="77777777" w:rsidR="00CF72D5" w:rsidRPr="002029AF" w:rsidRDefault="00CF72D5" w:rsidP="00B518D9">
            <w:pPr>
              <w:pStyle w:val="ARtabletextright"/>
              <w:spacing w:before="40" w:after="20"/>
            </w:pPr>
            <w:r w:rsidRPr="002029AF">
              <w:t>179</w:t>
            </w:r>
          </w:p>
        </w:tc>
        <w:tc>
          <w:tcPr>
            <w:tcW w:w="328" w:type="pct"/>
            <w:hideMark/>
          </w:tcPr>
          <w:p w14:paraId="39F6F31A" w14:textId="77777777" w:rsidR="00CF72D5" w:rsidRPr="002029AF" w:rsidRDefault="00CF72D5" w:rsidP="00B518D9">
            <w:pPr>
              <w:pStyle w:val="ARtabletextright"/>
              <w:spacing w:before="40" w:after="20"/>
            </w:pPr>
            <w:r w:rsidRPr="002029AF">
              <w:t>151.9</w:t>
            </w:r>
          </w:p>
        </w:tc>
        <w:tc>
          <w:tcPr>
            <w:tcW w:w="320" w:type="pct"/>
            <w:hideMark/>
          </w:tcPr>
          <w:p w14:paraId="51D9120C" w14:textId="77777777" w:rsidR="00CF72D5" w:rsidRPr="002029AF" w:rsidRDefault="00CF72D5" w:rsidP="00B518D9">
            <w:pPr>
              <w:pStyle w:val="ARtabletextright"/>
              <w:spacing w:before="40" w:after="20"/>
            </w:pPr>
            <w:r w:rsidRPr="002029AF">
              <w:t>680</w:t>
            </w:r>
          </w:p>
        </w:tc>
        <w:tc>
          <w:tcPr>
            <w:tcW w:w="364" w:type="pct"/>
            <w:hideMark/>
          </w:tcPr>
          <w:p w14:paraId="0F963BE4" w14:textId="77777777" w:rsidR="00CF72D5" w:rsidRPr="002029AF" w:rsidRDefault="00CF72D5" w:rsidP="00B518D9">
            <w:pPr>
              <w:pStyle w:val="ARtabletextright"/>
              <w:spacing w:before="40" w:after="20"/>
            </w:pPr>
            <w:r w:rsidRPr="002029AF">
              <w:t>643.0</w:t>
            </w:r>
          </w:p>
        </w:tc>
        <w:tc>
          <w:tcPr>
            <w:tcW w:w="274" w:type="pct"/>
            <w:hideMark/>
          </w:tcPr>
          <w:p w14:paraId="11845207" w14:textId="77777777" w:rsidR="00CF72D5" w:rsidRPr="002029AF" w:rsidRDefault="00CF72D5" w:rsidP="00B518D9">
            <w:pPr>
              <w:pStyle w:val="ARtabletextright"/>
              <w:spacing w:before="40" w:after="20"/>
            </w:pPr>
            <w:r w:rsidRPr="002029AF">
              <w:t>431</w:t>
            </w:r>
          </w:p>
        </w:tc>
        <w:tc>
          <w:tcPr>
            <w:tcW w:w="274" w:type="pct"/>
            <w:hideMark/>
          </w:tcPr>
          <w:p w14:paraId="1C4B92DD" w14:textId="77777777" w:rsidR="00CF72D5" w:rsidRPr="002029AF" w:rsidRDefault="00CF72D5" w:rsidP="00B518D9">
            <w:pPr>
              <w:pStyle w:val="ARtabletextright"/>
              <w:spacing w:before="40" w:after="20"/>
            </w:pPr>
            <w:r w:rsidRPr="002029AF">
              <w:t>98</w:t>
            </w:r>
          </w:p>
        </w:tc>
        <w:tc>
          <w:tcPr>
            <w:tcW w:w="328" w:type="pct"/>
            <w:hideMark/>
          </w:tcPr>
          <w:p w14:paraId="1A4DE43B" w14:textId="77777777" w:rsidR="00CF72D5" w:rsidRPr="002029AF" w:rsidRDefault="00CF72D5" w:rsidP="00B518D9">
            <w:pPr>
              <w:pStyle w:val="ARtabletextright"/>
              <w:spacing w:before="40" w:after="20"/>
            </w:pPr>
            <w:r w:rsidRPr="002029AF">
              <w:t>497.5</w:t>
            </w:r>
          </w:p>
        </w:tc>
        <w:tc>
          <w:tcPr>
            <w:tcW w:w="321" w:type="pct"/>
            <w:hideMark/>
          </w:tcPr>
          <w:p w14:paraId="39396AE6" w14:textId="77777777" w:rsidR="00CF72D5" w:rsidRPr="002029AF" w:rsidRDefault="00CF72D5" w:rsidP="00B518D9">
            <w:pPr>
              <w:pStyle w:val="ARtabletextright"/>
              <w:spacing w:before="40" w:after="20"/>
            </w:pPr>
            <w:r w:rsidRPr="002029AF">
              <w:t>151</w:t>
            </w:r>
          </w:p>
        </w:tc>
        <w:tc>
          <w:tcPr>
            <w:tcW w:w="326" w:type="pct"/>
            <w:hideMark/>
          </w:tcPr>
          <w:p w14:paraId="6AC6CD9F" w14:textId="77777777" w:rsidR="00CF72D5" w:rsidRPr="002029AF" w:rsidRDefault="00CF72D5" w:rsidP="00B518D9">
            <w:pPr>
              <w:pStyle w:val="ARtabletextright"/>
              <w:spacing w:before="40" w:after="20"/>
            </w:pPr>
            <w:r w:rsidRPr="002029AF">
              <w:t>145.5</w:t>
            </w:r>
          </w:p>
        </w:tc>
      </w:tr>
      <w:tr w:rsidR="00CF72D5" w:rsidRPr="002029AF" w14:paraId="57D61501" w14:textId="77777777" w:rsidTr="00B518D9">
        <w:trPr>
          <w:cantSplit w:val="0"/>
          <w:trHeight w:val="302"/>
        </w:trPr>
        <w:tc>
          <w:tcPr>
            <w:tcW w:w="621" w:type="pct"/>
            <w:hideMark/>
          </w:tcPr>
          <w:p w14:paraId="7C2F3EAA" w14:textId="379E08B6" w:rsidR="00CF72D5" w:rsidRPr="002029AF" w:rsidRDefault="00CF72D5" w:rsidP="00B518D9">
            <w:pPr>
              <w:pStyle w:val="ARtabletext"/>
              <w:spacing w:before="40" w:after="20"/>
            </w:pPr>
            <w:r w:rsidRPr="002029AF">
              <w:t>VPS</w:t>
            </w:r>
            <w:r w:rsidR="000A5329" w:rsidRPr="002029AF">
              <w:t xml:space="preserve"> </w:t>
            </w:r>
            <w:r w:rsidRPr="002029AF">
              <w:t>4</w:t>
            </w:r>
          </w:p>
        </w:tc>
        <w:tc>
          <w:tcPr>
            <w:tcW w:w="320" w:type="pct"/>
            <w:hideMark/>
          </w:tcPr>
          <w:p w14:paraId="3B8404D5" w14:textId="77777777" w:rsidR="00CF72D5" w:rsidRPr="002029AF" w:rsidRDefault="00CF72D5" w:rsidP="00B518D9">
            <w:pPr>
              <w:pStyle w:val="ARtabletextright"/>
              <w:spacing w:before="40" w:after="20"/>
            </w:pPr>
            <w:r w:rsidRPr="002029AF">
              <w:t>999</w:t>
            </w:r>
          </w:p>
        </w:tc>
        <w:tc>
          <w:tcPr>
            <w:tcW w:w="328" w:type="pct"/>
            <w:hideMark/>
          </w:tcPr>
          <w:p w14:paraId="52BA29A2" w14:textId="77777777" w:rsidR="00CF72D5" w:rsidRPr="002029AF" w:rsidRDefault="00CF72D5" w:rsidP="00B518D9">
            <w:pPr>
              <w:pStyle w:val="ARtabletextright"/>
              <w:spacing w:before="40" w:after="20"/>
            </w:pPr>
            <w:r w:rsidRPr="002029AF">
              <w:t>939.7</w:t>
            </w:r>
          </w:p>
        </w:tc>
        <w:tc>
          <w:tcPr>
            <w:tcW w:w="274" w:type="pct"/>
            <w:hideMark/>
          </w:tcPr>
          <w:p w14:paraId="4ADC05EA" w14:textId="77777777" w:rsidR="00CF72D5" w:rsidRPr="002029AF" w:rsidRDefault="00CF72D5" w:rsidP="00B518D9">
            <w:pPr>
              <w:pStyle w:val="ARtabletextright"/>
              <w:spacing w:before="40" w:after="20"/>
            </w:pPr>
            <w:r w:rsidRPr="002029AF">
              <w:t>602</w:t>
            </w:r>
          </w:p>
        </w:tc>
        <w:tc>
          <w:tcPr>
            <w:tcW w:w="274" w:type="pct"/>
            <w:hideMark/>
          </w:tcPr>
          <w:p w14:paraId="75DBC895" w14:textId="77777777" w:rsidR="00CF72D5" w:rsidRPr="002029AF" w:rsidRDefault="00CF72D5" w:rsidP="00B518D9">
            <w:pPr>
              <w:pStyle w:val="ARtabletextright"/>
              <w:spacing w:before="40" w:after="20"/>
            </w:pPr>
            <w:r w:rsidRPr="002029AF">
              <w:t>139</w:t>
            </w:r>
          </w:p>
        </w:tc>
        <w:tc>
          <w:tcPr>
            <w:tcW w:w="328" w:type="pct"/>
            <w:hideMark/>
          </w:tcPr>
          <w:p w14:paraId="0BAAEF86" w14:textId="77777777" w:rsidR="00CF72D5" w:rsidRPr="002029AF" w:rsidRDefault="00CF72D5" w:rsidP="00B518D9">
            <w:pPr>
              <w:pStyle w:val="ARtabletextright"/>
              <w:spacing w:before="40" w:after="20"/>
            </w:pPr>
            <w:r w:rsidRPr="002029AF">
              <w:t>697.5</w:t>
            </w:r>
          </w:p>
        </w:tc>
        <w:tc>
          <w:tcPr>
            <w:tcW w:w="320" w:type="pct"/>
            <w:hideMark/>
          </w:tcPr>
          <w:p w14:paraId="37B390AB" w14:textId="77777777" w:rsidR="00CF72D5" w:rsidRPr="002029AF" w:rsidRDefault="00CF72D5" w:rsidP="00B518D9">
            <w:pPr>
              <w:pStyle w:val="ARtabletextright"/>
              <w:spacing w:before="40" w:after="20"/>
            </w:pPr>
            <w:r w:rsidRPr="002029AF">
              <w:t>258</w:t>
            </w:r>
          </w:p>
        </w:tc>
        <w:tc>
          <w:tcPr>
            <w:tcW w:w="328" w:type="pct"/>
            <w:hideMark/>
          </w:tcPr>
          <w:p w14:paraId="7EC1B14E" w14:textId="77777777" w:rsidR="00CF72D5" w:rsidRPr="002029AF" w:rsidRDefault="00CF72D5" w:rsidP="00B518D9">
            <w:pPr>
              <w:pStyle w:val="ARtabletextright"/>
              <w:spacing w:before="40" w:after="20"/>
            </w:pPr>
            <w:r w:rsidRPr="002029AF">
              <w:t>242.2</w:t>
            </w:r>
          </w:p>
        </w:tc>
        <w:tc>
          <w:tcPr>
            <w:tcW w:w="320" w:type="pct"/>
            <w:hideMark/>
          </w:tcPr>
          <w:p w14:paraId="67BBFE96" w14:textId="77777777" w:rsidR="00CF72D5" w:rsidRPr="002029AF" w:rsidRDefault="00CF72D5" w:rsidP="00B518D9">
            <w:pPr>
              <w:pStyle w:val="ARtabletextright"/>
              <w:spacing w:before="40" w:after="20"/>
            </w:pPr>
            <w:r w:rsidRPr="002029AF">
              <w:t>942</w:t>
            </w:r>
          </w:p>
        </w:tc>
        <w:tc>
          <w:tcPr>
            <w:tcW w:w="364" w:type="pct"/>
            <w:hideMark/>
          </w:tcPr>
          <w:p w14:paraId="3222A712" w14:textId="77777777" w:rsidR="00CF72D5" w:rsidRPr="002029AF" w:rsidRDefault="00CF72D5" w:rsidP="00B518D9">
            <w:pPr>
              <w:pStyle w:val="ARtabletextright"/>
              <w:spacing w:before="40" w:after="20"/>
            </w:pPr>
            <w:r w:rsidRPr="002029AF">
              <w:t>897.0</w:t>
            </w:r>
          </w:p>
        </w:tc>
        <w:tc>
          <w:tcPr>
            <w:tcW w:w="274" w:type="pct"/>
            <w:hideMark/>
          </w:tcPr>
          <w:p w14:paraId="76702A90" w14:textId="77777777" w:rsidR="00CF72D5" w:rsidRPr="002029AF" w:rsidRDefault="00CF72D5" w:rsidP="00B518D9">
            <w:pPr>
              <w:pStyle w:val="ARtabletextright"/>
              <w:spacing w:before="40" w:after="20"/>
            </w:pPr>
            <w:r w:rsidRPr="002029AF">
              <w:t>611</w:t>
            </w:r>
          </w:p>
        </w:tc>
        <w:tc>
          <w:tcPr>
            <w:tcW w:w="274" w:type="pct"/>
            <w:hideMark/>
          </w:tcPr>
          <w:p w14:paraId="481DCC06" w14:textId="77777777" w:rsidR="00CF72D5" w:rsidRPr="002029AF" w:rsidRDefault="00CF72D5" w:rsidP="00B518D9">
            <w:pPr>
              <w:pStyle w:val="ARtabletextright"/>
              <w:spacing w:before="40" w:after="20"/>
            </w:pPr>
            <w:r w:rsidRPr="002029AF">
              <w:t>130</w:t>
            </w:r>
          </w:p>
        </w:tc>
        <w:tc>
          <w:tcPr>
            <w:tcW w:w="328" w:type="pct"/>
            <w:hideMark/>
          </w:tcPr>
          <w:p w14:paraId="3A28E9CE" w14:textId="77777777" w:rsidR="00CF72D5" w:rsidRPr="002029AF" w:rsidRDefault="00CF72D5" w:rsidP="00B518D9">
            <w:pPr>
              <w:pStyle w:val="ARtabletextright"/>
              <w:spacing w:before="40" w:after="20"/>
            </w:pPr>
            <w:r w:rsidRPr="002029AF">
              <w:t>702.0</w:t>
            </w:r>
          </w:p>
        </w:tc>
        <w:tc>
          <w:tcPr>
            <w:tcW w:w="321" w:type="pct"/>
            <w:hideMark/>
          </w:tcPr>
          <w:p w14:paraId="4E9E65B1" w14:textId="77777777" w:rsidR="00CF72D5" w:rsidRPr="002029AF" w:rsidRDefault="00CF72D5" w:rsidP="00B518D9">
            <w:pPr>
              <w:pStyle w:val="ARtabletextright"/>
              <w:spacing w:before="40" w:after="20"/>
            </w:pPr>
            <w:r w:rsidRPr="002029AF">
              <w:t>201</w:t>
            </w:r>
          </w:p>
        </w:tc>
        <w:tc>
          <w:tcPr>
            <w:tcW w:w="326" w:type="pct"/>
            <w:hideMark/>
          </w:tcPr>
          <w:p w14:paraId="2DB019AF" w14:textId="77777777" w:rsidR="00CF72D5" w:rsidRPr="002029AF" w:rsidRDefault="00CF72D5" w:rsidP="00B518D9">
            <w:pPr>
              <w:pStyle w:val="ARtabletextright"/>
              <w:spacing w:before="40" w:after="20"/>
            </w:pPr>
            <w:r w:rsidRPr="002029AF">
              <w:t>195.0</w:t>
            </w:r>
          </w:p>
        </w:tc>
      </w:tr>
      <w:tr w:rsidR="00CF72D5" w:rsidRPr="002029AF" w14:paraId="4E85344D" w14:textId="77777777" w:rsidTr="00B518D9">
        <w:trPr>
          <w:cantSplit w:val="0"/>
          <w:trHeight w:val="302"/>
        </w:trPr>
        <w:tc>
          <w:tcPr>
            <w:tcW w:w="621" w:type="pct"/>
            <w:hideMark/>
          </w:tcPr>
          <w:p w14:paraId="4AF0BDAD" w14:textId="3A2A8CE5" w:rsidR="00CF72D5" w:rsidRPr="002029AF" w:rsidRDefault="00CF72D5" w:rsidP="00B518D9">
            <w:pPr>
              <w:pStyle w:val="ARtabletext"/>
              <w:spacing w:before="40" w:after="20"/>
            </w:pPr>
            <w:r w:rsidRPr="002029AF">
              <w:t>VPS</w:t>
            </w:r>
            <w:r w:rsidR="000A5329" w:rsidRPr="002029AF">
              <w:t xml:space="preserve"> </w:t>
            </w:r>
            <w:r w:rsidRPr="002029AF">
              <w:t>5</w:t>
            </w:r>
          </w:p>
        </w:tc>
        <w:tc>
          <w:tcPr>
            <w:tcW w:w="320" w:type="pct"/>
            <w:hideMark/>
          </w:tcPr>
          <w:p w14:paraId="10A9686C" w14:textId="77777777" w:rsidR="00CF72D5" w:rsidRPr="002029AF" w:rsidRDefault="00CF72D5" w:rsidP="00B518D9">
            <w:pPr>
              <w:pStyle w:val="ARtabletextright"/>
              <w:spacing w:before="40" w:after="20"/>
            </w:pPr>
            <w:r w:rsidRPr="002029AF">
              <w:t>1,719</w:t>
            </w:r>
          </w:p>
        </w:tc>
        <w:tc>
          <w:tcPr>
            <w:tcW w:w="328" w:type="pct"/>
            <w:hideMark/>
          </w:tcPr>
          <w:p w14:paraId="4E17B127" w14:textId="77777777" w:rsidR="00CF72D5" w:rsidRPr="002029AF" w:rsidRDefault="00CF72D5" w:rsidP="00B518D9">
            <w:pPr>
              <w:pStyle w:val="ARtabletextright"/>
              <w:spacing w:before="40" w:after="20"/>
            </w:pPr>
            <w:r w:rsidRPr="002029AF">
              <w:t>1,618.3</w:t>
            </w:r>
          </w:p>
        </w:tc>
        <w:tc>
          <w:tcPr>
            <w:tcW w:w="274" w:type="pct"/>
            <w:hideMark/>
          </w:tcPr>
          <w:p w14:paraId="7DF40EAA" w14:textId="77777777" w:rsidR="00CF72D5" w:rsidRPr="002029AF" w:rsidRDefault="00CF72D5" w:rsidP="00B518D9">
            <w:pPr>
              <w:pStyle w:val="ARtabletextright"/>
              <w:spacing w:before="40" w:after="20"/>
            </w:pPr>
            <w:r w:rsidRPr="002029AF">
              <w:t>1,080</w:t>
            </w:r>
          </w:p>
        </w:tc>
        <w:tc>
          <w:tcPr>
            <w:tcW w:w="274" w:type="pct"/>
            <w:hideMark/>
          </w:tcPr>
          <w:p w14:paraId="16E3865F" w14:textId="77777777" w:rsidR="00CF72D5" w:rsidRPr="002029AF" w:rsidRDefault="00CF72D5" w:rsidP="00B518D9">
            <w:pPr>
              <w:pStyle w:val="ARtabletextright"/>
              <w:spacing w:before="40" w:after="20"/>
            </w:pPr>
            <w:r w:rsidRPr="002029AF">
              <w:t>280</w:t>
            </w:r>
          </w:p>
        </w:tc>
        <w:tc>
          <w:tcPr>
            <w:tcW w:w="328" w:type="pct"/>
            <w:hideMark/>
          </w:tcPr>
          <w:p w14:paraId="31A6B2AB" w14:textId="77777777" w:rsidR="00CF72D5" w:rsidRPr="002029AF" w:rsidRDefault="00CF72D5" w:rsidP="00B518D9">
            <w:pPr>
              <w:pStyle w:val="ARtabletextright"/>
              <w:spacing w:before="40" w:after="20"/>
            </w:pPr>
            <w:r w:rsidRPr="002029AF">
              <w:t>1,280.8</w:t>
            </w:r>
          </w:p>
        </w:tc>
        <w:tc>
          <w:tcPr>
            <w:tcW w:w="320" w:type="pct"/>
            <w:hideMark/>
          </w:tcPr>
          <w:p w14:paraId="632120E3" w14:textId="77777777" w:rsidR="00CF72D5" w:rsidRPr="002029AF" w:rsidRDefault="00CF72D5" w:rsidP="00B518D9">
            <w:pPr>
              <w:pStyle w:val="ARtabletextright"/>
              <w:spacing w:before="40" w:after="20"/>
            </w:pPr>
            <w:r w:rsidRPr="002029AF">
              <w:t>359</w:t>
            </w:r>
          </w:p>
        </w:tc>
        <w:tc>
          <w:tcPr>
            <w:tcW w:w="328" w:type="pct"/>
            <w:hideMark/>
          </w:tcPr>
          <w:p w14:paraId="08F78B58" w14:textId="77777777" w:rsidR="00CF72D5" w:rsidRPr="002029AF" w:rsidRDefault="00CF72D5" w:rsidP="00B518D9">
            <w:pPr>
              <w:pStyle w:val="ARtabletextright"/>
              <w:spacing w:before="40" w:after="20"/>
            </w:pPr>
            <w:r w:rsidRPr="002029AF">
              <w:t>337.5</w:t>
            </w:r>
          </w:p>
        </w:tc>
        <w:tc>
          <w:tcPr>
            <w:tcW w:w="320" w:type="pct"/>
            <w:hideMark/>
          </w:tcPr>
          <w:p w14:paraId="1BA97182" w14:textId="77777777" w:rsidR="00CF72D5" w:rsidRPr="002029AF" w:rsidRDefault="00CF72D5" w:rsidP="00B518D9">
            <w:pPr>
              <w:pStyle w:val="ARtabletextright"/>
              <w:spacing w:before="40" w:after="20"/>
            </w:pPr>
            <w:r w:rsidRPr="002029AF">
              <w:t>1,748</w:t>
            </w:r>
          </w:p>
        </w:tc>
        <w:tc>
          <w:tcPr>
            <w:tcW w:w="364" w:type="pct"/>
            <w:hideMark/>
          </w:tcPr>
          <w:p w14:paraId="4E744717" w14:textId="77777777" w:rsidR="00CF72D5" w:rsidRPr="002029AF" w:rsidRDefault="00CF72D5" w:rsidP="00B518D9">
            <w:pPr>
              <w:pStyle w:val="ARtabletextright"/>
              <w:spacing w:before="40" w:after="20"/>
            </w:pPr>
            <w:r w:rsidRPr="002029AF">
              <w:t>1,642.7</w:t>
            </w:r>
          </w:p>
        </w:tc>
        <w:tc>
          <w:tcPr>
            <w:tcW w:w="274" w:type="pct"/>
            <w:hideMark/>
          </w:tcPr>
          <w:p w14:paraId="5DD82667" w14:textId="77777777" w:rsidR="00CF72D5" w:rsidRPr="002029AF" w:rsidRDefault="00CF72D5" w:rsidP="00B518D9">
            <w:pPr>
              <w:pStyle w:val="ARtabletextright"/>
              <w:spacing w:before="40" w:after="20"/>
            </w:pPr>
            <w:r w:rsidRPr="002029AF">
              <w:t>1,048</w:t>
            </w:r>
          </w:p>
        </w:tc>
        <w:tc>
          <w:tcPr>
            <w:tcW w:w="274" w:type="pct"/>
            <w:hideMark/>
          </w:tcPr>
          <w:p w14:paraId="48463095" w14:textId="77777777" w:rsidR="00CF72D5" w:rsidRPr="002029AF" w:rsidRDefault="00CF72D5" w:rsidP="00B518D9">
            <w:pPr>
              <w:pStyle w:val="ARtabletextright"/>
              <w:spacing w:before="40" w:after="20"/>
            </w:pPr>
            <w:r w:rsidRPr="002029AF">
              <w:t>297</w:t>
            </w:r>
          </w:p>
        </w:tc>
        <w:tc>
          <w:tcPr>
            <w:tcW w:w="328" w:type="pct"/>
            <w:hideMark/>
          </w:tcPr>
          <w:p w14:paraId="47C2A4F0" w14:textId="77777777" w:rsidR="00CF72D5" w:rsidRPr="002029AF" w:rsidRDefault="00CF72D5" w:rsidP="00B518D9">
            <w:pPr>
              <w:pStyle w:val="ARtabletextright"/>
              <w:spacing w:before="40" w:after="20"/>
            </w:pPr>
            <w:r w:rsidRPr="002029AF">
              <w:t>1,265.5</w:t>
            </w:r>
          </w:p>
        </w:tc>
        <w:tc>
          <w:tcPr>
            <w:tcW w:w="321" w:type="pct"/>
            <w:hideMark/>
          </w:tcPr>
          <w:p w14:paraId="113E58BE" w14:textId="77777777" w:rsidR="00CF72D5" w:rsidRPr="002029AF" w:rsidRDefault="00CF72D5" w:rsidP="00B518D9">
            <w:pPr>
              <w:pStyle w:val="ARtabletextright"/>
              <w:spacing w:before="40" w:after="20"/>
            </w:pPr>
            <w:r w:rsidRPr="002029AF">
              <w:t>403</w:t>
            </w:r>
          </w:p>
        </w:tc>
        <w:tc>
          <w:tcPr>
            <w:tcW w:w="326" w:type="pct"/>
            <w:hideMark/>
          </w:tcPr>
          <w:p w14:paraId="1FDF246D" w14:textId="77777777" w:rsidR="00CF72D5" w:rsidRPr="002029AF" w:rsidRDefault="00CF72D5" w:rsidP="00B518D9">
            <w:pPr>
              <w:pStyle w:val="ARtabletextright"/>
              <w:spacing w:before="40" w:after="20"/>
            </w:pPr>
            <w:r w:rsidRPr="002029AF">
              <w:t>377.1</w:t>
            </w:r>
          </w:p>
        </w:tc>
      </w:tr>
      <w:tr w:rsidR="00CF72D5" w:rsidRPr="002029AF" w14:paraId="3153D0DA" w14:textId="77777777" w:rsidTr="00B518D9">
        <w:trPr>
          <w:cantSplit w:val="0"/>
          <w:trHeight w:val="302"/>
        </w:trPr>
        <w:tc>
          <w:tcPr>
            <w:tcW w:w="621" w:type="pct"/>
            <w:hideMark/>
          </w:tcPr>
          <w:p w14:paraId="67344B7B" w14:textId="03F7B3DA" w:rsidR="00CF72D5" w:rsidRPr="002029AF" w:rsidRDefault="00CF72D5" w:rsidP="00B518D9">
            <w:pPr>
              <w:pStyle w:val="ARtabletext"/>
              <w:spacing w:before="40" w:after="20"/>
            </w:pPr>
            <w:r w:rsidRPr="002029AF">
              <w:t>VPS</w:t>
            </w:r>
            <w:r w:rsidR="000A5329" w:rsidRPr="002029AF">
              <w:t xml:space="preserve"> </w:t>
            </w:r>
            <w:r w:rsidRPr="002029AF">
              <w:t>6</w:t>
            </w:r>
          </w:p>
        </w:tc>
        <w:tc>
          <w:tcPr>
            <w:tcW w:w="320" w:type="pct"/>
            <w:hideMark/>
          </w:tcPr>
          <w:p w14:paraId="5C40A1E5" w14:textId="77777777" w:rsidR="00CF72D5" w:rsidRPr="002029AF" w:rsidRDefault="00CF72D5" w:rsidP="00B518D9">
            <w:pPr>
              <w:pStyle w:val="ARtabletextright"/>
              <w:spacing w:before="40" w:after="20"/>
            </w:pPr>
            <w:r w:rsidRPr="002029AF">
              <w:t>1,078</w:t>
            </w:r>
          </w:p>
        </w:tc>
        <w:tc>
          <w:tcPr>
            <w:tcW w:w="328" w:type="pct"/>
            <w:hideMark/>
          </w:tcPr>
          <w:p w14:paraId="368FC3D4" w14:textId="77777777" w:rsidR="00CF72D5" w:rsidRPr="002029AF" w:rsidRDefault="00CF72D5" w:rsidP="00B518D9">
            <w:pPr>
              <w:pStyle w:val="ARtabletextright"/>
              <w:spacing w:before="40" w:after="20"/>
            </w:pPr>
            <w:r w:rsidRPr="002029AF">
              <w:t>1,042.0</w:t>
            </w:r>
          </w:p>
        </w:tc>
        <w:tc>
          <w:tcPr>
            <w:tcW w:w="274" w:type="pct"/>
            <w:hideMark/>
          </w:tcPr>
          <w:p w14:paraId="44587C99" w14:textId="77777777" w:rsidR="00CF72D5" w:rsidRPr="002029AF" w:rsidRDefault="00CF72D5" w:rsidP="00B518D9">
            <w:pPr>
              <w:pStyle w:val="ARtabletextright"/>
              <w:spacing w:before="40" w:after="20"/>
            </w:pPr>
            <w:r w:rsidRPr="002029AF">
              <w:t>731</w:t>
            </w:r>
          </w:p>
        </w:tc>
        <w:tc>
          <w:tcPr>
            <w:tcW w:w="274" w:type="pct"/>
            <w:hideMark/>
          </w:tcPr>
          <w:p w14:paraId="11B0D898" w14:textId="77777777" w:rsidR="00CF72D5" w:rsidRPr="002029AF" w:rsidRDefault="00CF72D5" w:rsidP="00B518D9">
            <w:pPr>
              <w:pStyle w:val="ARtabletextright"/>
              <w:spacing w:before="40" w:after="20"/>
            </w:pPr>
            <w:r w:rsidRPr="002029AF">
              <w:t>123</w:t>
            </w:r>
          </w:p>
        </w:tc>
        <w:tc>
          <w:tcPr>
            <w:tcW w:w="328" w:type="pct"/>
            <w:hideMark/>
          </w:tcPr>
          <w:p w14:paraId="4871FEFC" w14:textId="77777777" w:rsidR="00CF72D5" w:rsidRPr="002029AF" w:rsidRDefault="00CF72D5" w:rsidP="00B518D9">
            <w:pPr>
              <w:pStyle w:val="ARtabletextright"/>
              <w:spacing w:before="40" w:after="20"/>
            </w:pPr>
            <w:r w:rsidRPr="002029AF">
              <w:t>824.4</w:t>
            </w:r>
          </w:p>
        </w:tc>
        <w:tc>
          <w:tcPr>
            <w:tcW w:w="320" w:type="pct"/>
            <w:hideMark/>
          </w:tcPr>
          <w:p w14:paraId="584FD320" w14:textId="77777777" w:rsidR="00CF72D5" w:rsidRPr="002029AF" w:rsidRDefault="00CF72D5" w:rsidP="00B518D9">
            <w:pPr>
              <w:pStyle w:val="ARtabletextright"/>
              <w:spacing w:before="40" w:after="20"/>
            </w:pPr>
            <w:r w:rsidRPr="002029AF">
              <w:t>224</w:t>
            </w:r>
          </w:p>
        </w:tc>
        <w:tc>
          <w:tcPr>
            <w:tcW w:w="328" w:type="pct"/>
            <w:hideMark/>
          </w:tcPr>
          <w:p w14:paraId="09635AB4" w14:textId="77777777" w:rsidR="00CF72D5" w:rsidRPr="002029AF" w:rsidRDefault="00CF72D5" w:rsidP="00B518D9">
            <w:pPr>
              <w:pStyle w:val="ARtabletextright"/>
              <w:spacing w:before="40" w:after="20"/>
            </w:pPr>
            <w:r w:rsidRPr="002029AF">
              <w:t>217.7</w:t>
            </w:r>
          </w:p>
        </w:tc>
        <w:tc>
          <w:tcPr>
            <w:tcW w:w="320" w:type="pct"/>
            <w:hideMark/>
          </w:tcPr>
          <w:p w14:paraId="439B6A55" w14:textId="77777777" w:rsidR="00CF72D5" w:rsidRPr="002029AF" w:rsidRDefault="00CF72D5" w:rsidP="00B518D9">
            <w:pPr>
              <w:pStyle w:val="ARtabletextright"/>
              <w:spacing w:before="40" w:after="20"/>
            </w:pPr>
            <w:r w:rsidRPr="002029AF">
              <w:t>1,064</w:t>
            </w:r>
          </w:p>
        </w:tc>
        <w:tc>
          <w:tcPr>
            <w:tcW w:w="364" w:type="pct"/>
            <w:hideMark/>
          </w:tcPr>
          <w:p w14:paraId="3C4B0889" w14:textId="77777777" w:rsidR="00CF72D5" w:rsidRPr="002029AF" w:rsidRDefault="00CF72D5" w:rsidP="00B518D9">
            <w:pPr>
              <w:pStyle w:val="ARtabletextright"/>
              <w:spacing w:before="40" w:after="20"/>
            </w:pPr>
            <w:r w:rsidRPr="002029AF">
              <w:t>1,023.4</w:t>
            </w:r>
          </w:p>
        </w:tc>
        <w:tc>
          <w:tcPr>
            <w:tcW w:w="274" w:type="pct"/>
            <w:hideMark/>
          </w:tcPr>
          <w:p w14:paraId="25933874" w14:textId="77777777" w:rsidR="00CF72D5" w:rsidRPr="002029AF" w:rsidRDefault="00CF72D5" w:rsidP="00B518D9">
            <w:pPr>
              <w:pStyle w:val="ARtabletextright"/>
              <w:spacing w:before="40" w:after="20"/>
            </w:pPr>
            <w:r w:rsidRPr="002029AF">
              <w:t>734</w:t>
            </w:r>
          </w:p>
        </w:tc>
        <w:tc>
          <w:tcPr>
            <w:tcW w:w="274" w:type="pct"/>
            <w:hideMark/>
          </w:tcPr>
          <w:p w14:paraId="1BE974F6" w14:textId="77777777" w:rsidR="00CF72D5" w:rsidRPr="002029AF" w:rsidRDefault="00CF72D5" w:rsidP="00B518D9">
            <w:pPr>
              <w:pStyle w:val="ARtabletextright"/>
              <w:spacing w:before="40" w:after="20"/>
            </w:pPr>
            <w:r w:rsidRPr="002029AF">
              <w:t>126</w:t>
            </w:r>
          </w:p>
        </w:tc>
        <w:tc>
          <w:tcPr>
            <w:tcW w:w="328" w:type="pct"/>
            <w:hideMark/>
          </w:tcPr>
          <w:p w14:paraId="6638CB65" w14:textId="77777777" w:rsidR="00CF72D5" w:rsidRPr="002029AF" w:rsidRDefault="00CF72D5" w:rsidP="00B518D9">
            <w:pPr>
              <w:pStyle w:val="ARtabletextright"/>
              <w:spacing w:before="40" w:after="20"/>
            </w:pPr>
            <w:r w:rsidRPr="002029AF">
              <w:t>828.1</w:t>
            </w:r>
          </w:p>
        </w:tc>
        <w:tc>
          <w:tcPr>
            <w:tcW w:w="321" w:type="pct"/>
            <w:hideMark/>
          </w:tcPr>
          <w:p w14:paraId="2BDFCD37" w14:textId="77777777" w:rsidR="00CF72D5" w:rsidRPr="002029AF" w:rsidRDefault="00CF72D5" w:rsidP="00B518D9">
            <w:pPr>
              <w:pStyle w:val="ARtabletextright"/>
              <w:spacing w:before="40" w:after="20"/>
            </w:pPr>
            <w:r w:rsidRPr="002029AF">
              <w:t>204</w:t>
            </w:r>
          </w:p>
        </w:tc>
        <w:tc>
          <w:tcPr>
            <w:tcW w:w="326" w:type="pct"/>
            <w:hideMark/>
          </w:tcPr>
          <w:p w14:paraId="43D0838F" w14:textId="77777777" w:rsidR="00CF72D5" w:rsidRPr="002029AF" w:rsidRDefault="00CF72D5" w:rsidP="00B518D9">
            <w:pPr>
              <w:pStyle w:val="ARtabletextright"/>
              <w:spacing w:before="40" w:after="20"/>
            </w:pPr>
            <w:r w:rsidRPr="002029AF">
              <w:t>195.3</w:t>
            </w:r>
          </w:p>
        </w:tc>
      </w:tr>
      <w:tr w:rsidR="00CF72D5" w:rsidRPr="002029AF" w14:paraId="7DC4D670" w14:textId="77777777" w:rsidTr="00B518D9">
        <w:trPr>
          <w:cantSplit w:val="0"/>
          <w:trHeight w:val="302"/>
        </w:trPr>
        <w:tc>
          <w:tcPr>
            <w:tcW w:w="621" w:type="pct"/>
            <w:hideMark/>
          </w:tcPr>
          <w:p w14:paraId="7780151B" w14:textId="3D894811" w:rsidR="00CF72D5" w:rsidRPr="002029AF" w:rsidRDefault="00CF72D5" w:rsidP="00B518D9">
            <w:pPr>
              <w:pStyle w:val="ARtabletext"/>
              <w:spacing w:before="40" w:after="20"/>
            </w:pPr>
            <w:r w:rsidRPr="002029AF">
              <w:t>Allied</w:t>
            </w:r>
            <w:r w:rsidR="000A5329" w:rsidRPr="002029AF">
              <w:t xml:space="preserve"> </w:t>
            </w:r>
            <w:r w:rsidRPr="002029AF">
              <w:t>Health</w:t>
            </w:r>
          </w:p>
        </w:tc>
        <w:tc>
          <w:tcPr>
            <w:tcW w:w="320" w:type="pct"/>
            <w:hideMark/>
          </w:tcPr>
          <w:p w14:paraId="07B6ABD1" w14:textId="77777777" w:rsidR="00CF72D5" w:rsidRPr="002029AF" w:rsidRDefault="00CF72D5" w:rsidP="00B518D9">
            <w:pPr>
              <w:pStyle w:val="ARtabletextright"/>
              <w:spacing w:before="40" w:after="20"/>
            </w:pPr>
            <w:r w:rsidRPr="002029AF">
              <w:t>84</w:t>
            </w:r>
          </w:p>
        </w:tc>
        <w:tc>
          <w:tcPr>
            <w:tcW w:w="328" w:type="pct"/>
            <w:hideMark/>
          </w:tcPr>
          <w:p w14:paraId="05EA1FE9" w14:textId="77777777" w:rsidR="00CF72D5" w:rsidRPr="002029AF" w:rsidRDefault="00CF72D5" w:rsidP="00B518D9">
            <w:pPr>
              <w:pStyle w:val="ARtabletextright"/>
              <w:spacing w:before="40" w:after="20"/>
            </w:pPr>
            <w:r w:rsidRPr="002029AF">
              <w:t>77.4</w:t>
            </w:r>
          </w:p>
        </w:tc>
        <w:tc>
          <w:tcPr>
            <w:tcW w:w="274" w:type="pct"/>
            <w:hideMark/>
          </w:tcPr>
          <w:p w14:paraId="01D6DCDA" w14:textId="77777777" w:rsidR="00CF72D5" w:rsidRPr="002029AF" w:rsidRDefault="00CF72D5" w:rsidP="00B518D9">
            <w:pPr>
              <w:pStyle w:val="ARtabletextright"/>
              <w:spacing w:before="40" w:after="20"/>
            </w:pPr>
            <w:r w:rsidRPr="002029AF">
              <w:t>51</w:t>
            </w:r>
          </w:p>
        </w:tc>
        <w:tc>
          <w:tcPr>
            <w:tcW w:w="274" w:type="pct"/>
            <w:hideMark/>
          </w:tcPr>
          <w:p w14:paraId="2AE35B4F" w14:textId="77777777" w:rsidR="00CF72D5" w:rsidRPr="002029AF" w:rsidRDefault="00CF72D5" w:rsidP="00B518D9">
            <w:pPr>
              <w:pStyle w:val="ARtabletextright"/>
              <w:spacing w:before="40" w:after="20"/>
            </w:pPr>
            <w:r w:rsidRPr="002029AF">
              <w:t>23</w:t>
            </w:r>
          </w:p>
        </w:tc>
        <w:tc>
          <w:tcPr>
            <w:tcW w:w="328" w:type="pct"/>
            <w:hideMark/>
          </w:tcPr>
          <w:p w14:paraId="6F329D72" w14:textId="77777777" w:rsidR="00CF72D5" w:rsidRPr="002029AF" w:rsidRDefault="00CF72D5" w:rsidP="00B518D9">
            <w:pPr>
              <w:pStyle w:val="ARtabletextright"/>
              <w:spacing w:before="40" w:after="20"/>
            </w:pPr>
            <w:r w:rsidRPr="002029AF">
              <w:t>68.0</w:t>
            </w:r>
          </w:p>
        </w:tc>
        <w:tc>
          <w:tcPr>
            <w:tcW w:w="320" w:type="pct"/>
            <w:hideMark/>
          </w:tcPr>
          <w:p w14:paraId="03CF14A8" w14:textId="77777777" w:rsidR="00CF72D5" w:rsidRPr="002029AF" w:rsidRDefault="00CF72D5" w:rsidP="00B518D9">
            <w:pPr>
              <w:pStyle w:val="ARtabletextright"/>
              <w:spacing w:before="40" w:after="20"/>
            </w:pPr>
            <w:r w:rsidRPr="002029AF">
              <w:t>10</w:t>
            </w:r>
          </w:p>
        </w:tc>
        <w:tc>
          <w:tcPr>
            <w:tcW w:w="328" w:type="pct"/>
            <w:hideMark/>
          </w:tcPr>
          <w:p w14:paraId="3A58166C" w14:textId="77777777" w:rsidR="00CF72D5" w:rsidRPr="002029AF" w:rsidRDefault="00CF72D5" w:rsidP="00B518D9">
            <w:pPr>
              <w:pStyle w:val="ARtabletextright"/>
              <w:spacing w:before="40" w:after="20"/>
            </w:pPr>
            <w:r w:rsidRPr="002029AF">
              <w:t>9.4</w:t>
            </w:r>
          </w:p>
        </w:tc>
        <w:tc>
          <w:tcPr>
            <w:tcW w:w="320" w:type="pct"/>
            <w:hideMark/>
          </w:tcPr>
          <w:p w14:paraId="6060F936" w14:textId="77777777" w:rsidR="00CF72D5" w:rsidRPr="002029AF" w:rsidRDefault="00CF72D5" w:rsidP="00B518D9">
            <w:pPr>
              <w:pStyle w:val="ARtabletextright"/>
              <w:spacing w:before="40" w:after="20"/>
            </w:pPr>
            <w:r w:rsidRPr="002029AF">
              <w:t>111</w:t>
            </w:r>
          </w:p>
        </w:tc>
        <w:tc>
          <w:tcPr>
            <w:tcW w:w="364" w:type="pct"/>
            <w:hideMark/>
          </w:tcPr>
          <w:p w14:paraId="03456D81" w14:textId="77777777" w:rsidR="00CF72D5" w:rsidRPr="002029AF" w:rsidRDefault="00CF72D5" w:rsidP="00B518D9">
            <w:pPr>
              <w:pStyle w:val="ARtabletextright"/>
              <w:spacing w:before="40" w:after="20"/>
            </w:pPr>
            <w:r w:rsidRPr="002029AF">
              <w:t>100.6</w:t>
            </w:r>
          </w:p>
        </w:tc>
        <w:tc>
          <w:tcPr>
            <w:tcW w:w="274" w:type="pct"/>
            <w:hideMark/>
          </w:tcPr>
          <w:p w14:paraId="19869C06" w14:textId="77777777" w:rsidR="00CF72D5" w:rsidRPr="002029AF" w:rsidRDefault="00CF72D5" w:rsidP="00B518D9">
            <w:pPr>
              <w:pStyle w:val="ARtabletextright"/>
              <w:spacing w:before="40" w:after="20"/>
            </w:pPr>
            <w:r w:rsidRPr="002029AF">
              <w:t>59</w:t>
            </w:r>
          </w:p>
        </w:tc>
        <w:tc>
          <w:tcPr>
            <w:tcW w:w="274" w:type="pct"/>
            <w:hideMark/>
          </w:tcPr>
          <w:p w14:paraId="5C1C4176" w14:textId="77777777" w:rsidR="00CF72D5" w:rsidRPr="002029AF" w:rsidRDefault="00CF72D5" w:rsidP="00B518D9">
            <w:pPr>
              <w:pStyle w:val="ARtabletextright"/>
              <w:spacing w:before="40" w:after="20"/>
            </w:pPr>
            <w:r w:rsidRPr="002029AF">
              <w:t>32</w:t>
            </w:r>
          </w:p>
        </w:tc>
        <w:tc>
          <w:tcPr>
            <w:tcW w:w="328" w:type="pct"/>
            <w:hideMark/>
          </w:tcPr>
          <w:p w14:paraId="43082DF3" w14:textId="77777777" w:rsidR="00CF72D5" w:rsidRPr="002029AF" w:rsidRDefault="00CF72D5" w:rsidP="00B518D9">
            <w:pPr>
              <w:pStyle w:val="ARtabletextright"/>
              <w:spacing w:before="40" w:after="20"/>
            </w:pPr>
            <w:r w:rsidRPr="002029AF">
              <w:t>81.8</w:t>
            </w:r>
          </w:p>
        </w:tc>
        <w:tc>
          <w:tcPr>
            <w:tcW w:w="321" w:type="pct"/>
            <w:hideMark/>
          </w:tcPr>
          <w:p w14:paraId="2BD79434" w14:textId="77777777" w:rsidR="00CF72D5" w:rsidRPr="002029AF" w:rsidRDefault="00CF72D5" w:rsidP="00B518D9">
            <w:pPr>
              <w:pStyle w:val="ARtabletextright"/>
              <w:spacing w:before="40" w:after="20"/>
            </w:pPr>
            <w:r w:rsidRPr="002029AF">
              <w:t>20</w:t>
            </w:r>
          </w:p>
        </w:tc>
        <w:tc>
          <w:tcPr>
            <w:tcW w:w="326" w:type="pct"/>
            <w:hideMark/>
          </w:tcPr>
          <w:p w14:paraId="085D48F7" w14:textId="77777777" w:rsidR="00CF72D5" w:rsidRPr="002029AF" w:rsidRDefault="00CF72D5" w:rsidP="00B518D9">
            <w:pPr>
              <w:pStyle w:val="ARtabletextright"/>
              <w:spacing w:before="40" w:after="20"/>
            </w:pPr>
            <w:r w:rsidRPr="002029AF">
              <w:t>18.8</w:t>
            </w:r>
          </w:p>
        </w:tc>
      </w:tr>
      <w:tr w:rsidR="00CF72D5" w:rsidRPr="002029AF" w14:paraId="3FA81330" w14:textId="77777777" w:rsidTr="00B518D9">
        <w:trPr>
          <w:cantSplit w:val="0"/>
          <w:trHeight w:val="302"/>
        </w:trPr>
        <w:tc>
          <w:tcPr>
            <w:tcW w:w="621" w:type="pct"/>
            <w:hideMark/>
          </w:tcPr>
          <w:p w14:paraId="03637510" w14:textId="19C9B780" w:rsidR="00CF72D5" w:rsidRPr="002029AF" w:rsidRDefault="00CF72D5" w:rsidP="00B518D9">
            <w:pPr>
              <w:pStyle w:val="ARtabletext"/>
              <w:spacing w:before="40" w:after="20"/>
            </w:pPr>
            <w:r w:rsidRPr="002029AF">
              <w:t>Child</w:t>
            </w:r>
            <w:r w:rsidR="000A5329" w:rsidRPr="002029AF">
              <w:t xml:space="preserve"> </w:t>
            </w:r>
            <w:r w:rsidRPr="002029AF">
              <w:t>Protection</w:t>
            </w:r>
          </w:p>
        </w:tc>
        <w:tc>
          <w:tcPr>
            <w:tcW w:w="320" w:type="pct"/>
            <w:hideMark/>
          </w:tcPr>
          <w:p w14:paraId="198E895B" w14:textId="77777777" w:rsidR="00CF72D5" w:rsidRPr="002029AF" w:rsidRDefault="00CF72D5" w:rsidP="00B518D9">
            <w:pPr>
              <w:pStyle w:val="ARtabletextright"/>
              <w:spacing w:before="40" w:after="20"/>
            </w:pPr>
            <w:r w:rsidRPr="002029AF">
              <w:t>2,200</w:t>
            </w:r>
          </w:p>
        </w:tc>
        <w:tc>
          <w:tcPr>
            <w:tcW w:w="328" w:type="pct"/>
            <w:hideMark/>
          </w:tcPr>
          <w:p w14:paraId="0C3837C9" w14:textId="77777777" w:rsidR="00CF72D5" w:rsidRPr="002029AF" w:rsidRDefault="00CF72D5" w:rsidP="00B518D9">
            <w:pPr>
              <w:pStyle w:val="ARtabletextright"/>
              <w:spacing w:before="40" w:after="20"/>
            </w:pPr>
            <w:r w:rsidRPr="002029AF">
              <w:t>2,047.5</w:t>
            </w:r>
          </w:p>
        </w:tc>
        <w:tc>
          <w:tcPr>
            <w:tcW w:w="274" w:type="pct"/>
            <w:hideMark/>
          </w:tcPr>
          <w:p w14:paraId="63C0D7AF" w14:textId="77777777" w:rsidR="00CF72D5" w:rsidRPr="002029AF" w:rsidRDefault="00CF72D5" w:rsidP="00B518D9">
            <w:pPr>
              <w:pStyle w:val="ARtabletextright"/>
              <w:spacing w:before="40" w:after="20"/>
            </w:pPr>
            <w:r w:rsidRPr="002029AF">
              <w:t>1,459</w:t>
            </w:r>
          </w:p>
        </w:tc>
        <w:tc>
          <w:tcPr>
            <w:tcW w:w="274" w:type="pct"/>
            <w:hideMark/>
          </w:tcPr>
          <w:p w14:paraId="781F4138" w14:textId="77777777" w:rsidR="00CF72D5" w:rsidRPr="002029AF" w:rsidRDefault="00CF72D5" w:rsidP="00B518D9">
            <w:pPr>
              <w:pStyle w:val="ARtabletextright"/>
              <w:spacing w:before="40" w:after="20"/>
            </w:pPr>
            <w:r w:rsidRPr="002029AF">
              <w:t>357</w:t>
            </w:r>
          </w:p>
        </w:tc>
        <w:tc>
          <w:tcPr>
            <w:tcW w:w="328" w:type="pct"/>
            <w:hideMark/>
          </w:tcPr>
          <w:p w14:paraId="6215E9B8" w14:textId="77777777" w:rsidR="00CF72D5" w:rsidRPr="002029AF" w:rsidRDefault="00CF72D5" w:rsidP="00B518D9">
            <w:pPr>
              <w:pStyle w:val="ARtabletextright"/>
              <w:spacing w:before="40" w:after="20"/>
            </w:pPr>
            <w:r w:rsidRPr="002029AF">
              <w:t>1,697.4</w:t>
            </w:r>
          </w:p>
        </w:tc>
        <w:tc>
          <w:tcPr>
            <w:tcW w:w="320" w:type="pct"/>
            <w:hideMark/>
          </w:tcPr>
          <w:p w14:paraId="7DB412BA" w14:textId="77777777" w:rsidR="00CF72D5" w:rsidRPr="002029AF" w:rsidRDefault="00CF72D5" w:rsidP="00B518D9">
            <w:pPr>
              <w:pStyle w:val="ARtabletextright"/>
              <w:spacing w:before="40" w:after="20"/>
            </w:pPr>
            <w:r w:rsidRPr="002029AF">
              <w:t>384</w:t>
            </w:r>
          </w:p>
        </w:tc>
        <w:tc>
          <w:tcPr>
            <w:tcW w:w="328" w:type="pct"/>
            <w:hideMark/>
          </w:tcPr>
          <w:p w14:paraId="003F7671" w14:textId="77777777" w:rsidR="00CF72D5" w:rsidRPr="002029AF" w:rsidRDefault="00CF72D5" w:rsidP="00B518D9">
            <w:pPr>
              <w:pStyle w:val="ARtabletextright"/>
              <w:spacing w:before="40" w:after="20"/>
            </w:pPr>
            <w:r w:rsidRPr="002029AF">
              <w:t>350.0</w:t>
            </w:r>
          </w:p>
        </w:tc>
        <w:tc>
          <w:tcPr>
            <w:tcW w:w="320" w:type="pct"/>
            <w:hideMark/>
          </w:tcPr>
          <w:p w14:paraId="1DAF6CBF" w14:textId="77777777" w:rsidR="00CF72D5" w:rsidRPr="002029AF" w:rsidRDefault="00CF72D5" w:rsidP="00B518D9">
            <w:pPr>
              <w:pStyle w:val="ARtabletextright"/>
              <w:spacing w:before="40" w:after="20"/>
            </w:pPr>
            <w:r w:rsidRPr="002029AF">
              <w:t>2,271</w:t>
            </w:r>
          </w:p>
        </w:tc>
        <w:tc>
          <w:tcPr>
            <w:tcW w:w="364" w:type="pct"/>
            <w:hideMark/>
          </w:tcPr>
          <w:p w14:paraId="6DEBAEDB" w14:textId="77777777" w:rsidR="00CF72D5" w:rsidRPr="002029AF" w:rsidRDefault="00CF72D5" w:rsidP="00B518D9">
            <w:pPr>
              <w:pStyle w:val="ARtabletextright"/>
              <w:spacing w:before="40" w:after="20"/>
            </w:pPr>
            <w:r w:rsidRPr="002029AF">
              <w:t>2,107.2</w:t>
            </w:r>
          </w:p>
        </w:tc>
        <w:tc>
          <w:tcPr>
            <w:tcW w:w="274" w:type="pct"/>
            <w:hideMark/>
          </w:tcPr>
          <w:p w14:paraId="059FFD20" w14:textId="77777777" w:rsidR="00CF72D5" w:rsidRPr="002029AF" w:rsidRDefault="00CF72D5" w:rsidP="00B518D9">
            <w:pPr>
              <w:pStyle w:val="ARtabletextright"/>
              <w:spacing w:before="40" w:after="20"/>
            </w:pPr>
            <w:r w:rsidRPr="002029AF">
              <w:t>1,480</w:t>
            </w:r>
          </w:p>
        </w:tc>
        <w:tc>
          <w:tcPr>
            <w:tcW w:w="274" w:type="pct"/>
            <w:hideMark/>
          </w:tcPr>
          <w:p w14:paraId="65BE67F3" w14:textId="77777777" w:rsidR="00CF72D5" w:rsidRPr="002029AF" w:rsidRDefault="00CF72D5" w:rsidP="00B518D9">
            <w:pPr>
              <w:pStyle w:val="ARtabletextright"/>
              <w:spacing w:before="40" w:after="20"/>
            </w:pPr>
            <w:r w:rsidRPr="002029AF">
              <w:t>318</w:t>
            </w:r>
          </w:p>
        </w:tc>
        <w:tc>
          <w:tcPr>
            <w:tcW w:w="328" w:type="pct"/>
            <w:hideMark/>
          </w:tcPr>
          <w:p w14:paraId="54A6BF60" w14:textId="77777777" w:rsidR="00CF72D5" w:rsidRPr="002029AF" w:rsidRDefault="00CF72D5" w:rsidP="00B518D9">
            <w:pPr>
              <w:pStyle w:val="ARtabletextright"/>
              <w:spacing w:before="40" w:after="20"/>
            </w:pPr>
            <w:r w:rsidRPr="002029AF">
              <w:t>1,689.6</w:t>
            </w:r>
          </w:p>
        </w:tc>
        <w:tc>
          <w:tcPr>
            <w:tcW w:w="321" w:type="pct"/>
            <w:hideMark/>
          </w:tcPr>
          <w:p w14:paraId="1C08A782" w14:textId="77777777" w:rsidR="00CF72D5" w:rsidRPr="002029AF" w:rsidRDefault="00CF72D5" w:rsidP="00B518D9">
            <w:pPr>
              <w:pStyle w:val="ARtabletextright"/>
              <w:spacing w:before="40" w:after="20"/>
            </w:pPr>
            <w:r w:rsidRPr="002029AF">
              <w:t>473</w:t>
            </w:r>
          </w:p>
        </w:tc>
        <w:tc>
          <w:tcPr>
            <w:tcW w:w="326" w:type="pct"/>
            <w:hideMark/>
          </w:tcPr>
          <w:p w14:paraId="130EF3B5" w14:textId="77777777" w:rsidR="00CF72D5" w:rsidRPr="002029AF" w:rsidRDefault="00CF72D5" w:rsidP="00B518D9">
            <w:pPr>
              <w:pStyle w:val="ARtabletextright"/>
              <w:spacing w:before="40" w:after="20"/>
            </w:pPr>
            <w:r w:rsidRPr="002029AF">
              <w:t>417.5</w:t>
            </w:r>
          </w:p>
        </w:tc>
      </w:tr>
      <w:tr w:rsidR="00CF72D5" w:rsidRPr="002029AF" w14:paraId="0DA21A8D" w14:textId="77777777" w:rsidTr="00B518D9">
        <w:trPr>
          <w:cantSplit w:val="0"/>
          <w:trHeight w:val="403"/>
        </w:trPr>
        <w:tc>
          <w:tcPr>
            <w:tcW w:w="621" w:type="pct"/>
            <w:hideMark/>
          </w:tcPr>
          <w:p w14:paraId="2DF4E743" w14:textId="4F2D3409" w:rsidR="00CF72D5" w:rsidRPr="002029AF" w:rsidRDefault="00CF72D5" w:rsidP="00B518D9">
            <w:pPr>
              <w:pStyle w:val="ARtabletext"/>
              <w:spacing w:before="40" w:after="20"/>
            </w:pPr>
            <w:r w:rsidRPr="002029AF">
              <w:t>Children,</w:t>
            </w:r>
            <w:r w:rsidR="000A5329" w:rsidRPr="002029AF">
              <w:t xml:space="preserve"> </w:t>
            </w:r>
            <w:r w:rsidRPr="002029AF">
              <w:t>Youth</w:t>
            </w:r>
            <w:r w:rsidR="000A5329" w:rsidRPr="002029AF">
              <w:t xml:space="preserve"> </w:t>
            </w:r>
            <w:r w:rsidRPr="002029AF">
              <w:t>and</w:t>
            </w:r>
            <w:r w:rsidR="000A5329" w:rsidRPr="002029AF">
              <w:t xml:space="preserve"> </w:t>
            </w:r>
            <w:r w:rsidRPr="002029AF">
              <w:t>Families</w:t>
            </w:r>
          </w:p>
        </w:tc>
        <w:tc>
          <w:tcPr>
            <w:tcW w:w="320" w:type="pct"/>
            <w:hideMark/>
          </w:tcPr>
          <w:p w14:paraId="2758D27A" w14:textId="77777777" w:rsidR="00CF72D5" w:rsidRPr="002029AF" w:rsidRDefault="00CF72D5" w:rsidP="00B518D9">
            <w:pPr>
              <w:pStyle w:val="ARtabletextright"/>
              <w:spacing w:before="40" w:after="20"/>
            </w:pPr>
            <w:r w:rsidRPr="002029AF">
              <w:t>261</w:t>
            </w:r>
          </w:p>
        </w:tc>
        <w:tc>
          <w:tcPr>
            <w:tcW w:w="328" w:type="pct"/>
            <w:hideMark/>
          </w:tcPr>
          <w:p w14:paraId="158F63B2" w14:textId="77777777" w:rsidR="00CF72D5" w:rsidRPr="002029AF" w:rsidRDefault="00CF72D5" w:rsidP="00B518D9">
            <w:pPr>
              <w:pStyle w:val="ARtabletextright"/>
              <w:spacing w:before="40" w:after="20"/>
            </w:pPr>
            <w:r w:rsidRPr="002029AF">
              <w:t>230.0</w:t>
            </w:r>
          </w:p>
        </w:tc>
        <w:tc>
          <w:tcPr>
            <w:tcW w:w="274" w:type="pct"/>
            <w:hideMark/>
          </w:tcPr>
          <w:p w14:paraId="38F0612E" w14:textId="77777777" w:rsidR="00CF72D5" w:rsidRPr="002029AF" w:rsidRDefault="00CF72D5" w:rsidP="00B518D9">
            <w:pPr>
              <w:pStyle w:val="ARtabletextright"/>
              <w:spacing w:before="40" w:after="20"/>
            </w:pPr>
            <w:r w:rsidRPr="002029AF">
              <w:t>156</w:t>
            </w:r>
          </w:p>
        </w:tc>
        <w:tc>
          <w:tcPr>
            <w:tcW w:w="274" w:type="pct"/>
            <w:hideMark/>
          </w:tcPr>
          <w:p w14:paraId="78CD006B" w14:textId="77777777" w:rsidR="00CF72D5" w:rsidRPr="002029AF" w:rsidRDefault="00CF72D5" w:rsidP="00B518D9">
            <w:pPr>
              <w:pStyle w:val="ARtabletextright"/>
              <w:spacing w:before="40" w:after="20"/>
            </w:pPr>
            <w:r w:rsidRPr="002029AF">
              <w:t>43</w:t>
            </w:r>
          </w:p>
        </w:tc>
        <w:tc>
          <w:tcPr>
            <w:tcW w:w="328" w:type="pct"/>
            <w:hideMark/>
          </w:tcPr>
          <w:p w14:paraId="6B95F97C" w14:textId="77777777" w:rsidR="00CF72D5" w:rsidRPr="002029AF" w:rsidRDefault="00CF72D5" w:rsidP="00B518D9">
            <w:pPr>
              <w:pStyle w:val="ARtabletextright"/>
              <w:spacing w:before="40" w:after="20"/>
            </w:pPr>
            <w:r w:rsidRPr="002029AF">
              <w:t>184.6</w:t>
            </w:r>
          </w:p>
        </w:tc>
        <w:tc>
          <w:tcPr>
            <w:tcW w:w="320" w:type="pct"/>
            <w:hideMark/>
          </w:tcPr>
          <w:p w14:paraId="73910A8C" w14:textId="77777777" w:rsidR="00CF72D5" w:rsidRPr="002029AF" w:rsidRDefault="00CF72D5" w:rsidP="00B518D9">
            <w:pPr>
              <w:pStyle w:val="ARtabletextright"/>
              <w:spacing w:before="40" w:after="20"/>
            </w:pPr>
            <w:r w:rsidRPr="002029AF">
              <w:t>62</w:t>
            </w:r>
          </w:p>
        </w:tc>
        <w:tc>
          <w:tcPr>
            <w:tcW w:w="328" w:type="pct"/>
            <w:hideMark/>
          </w:tcPr>
          <w:p w14:paraId="1E4E8A7B" w14:textId="77777777" w:rsidR="00CF72D5" w:rsidRPr="002029AF" w:rsidRDefault="00CF72D5" w:rsidP="00B518D9">
            <w:pPr>
              <w:pStyle w:val="ARtabletextright"/>
              <w:spacing w:before="40" w:after="20"/>
            </w:pPr>
            <w:r w:rsidRPr="002029AF">
              <w:t>45.4</w:t>
            </w:r>
          </w:p>
        </w:tc>
        <w:tc>
          <w:tcPr>
            <w:tcW w:w="320" w:type="pct"/>
            <w:hideMark/>
          </w:tcPr>
          <w:p w14:paraId="462360A2" w14:textId="77777777" w:rsidR="00CF72D5" w:rsidRPr="002029AF" w:rsidRDefault="00CF72D5" w:rsidP="00B518D9">
            <w:pPr>
              <w:pStyle w:val="ARtabletextright"/>
              <w:spacing w:before="40" w:after="20"/>
            </w:pPr>
            <w:r w:rsidRPr="002029AF">
              <w:t>273</w:t>
            </w:r>
          </w:p>
        </w:tc>
        <w:tc>
          <w:tcPr>
            <w:tcW w:w="364" w:type="pct"/>
            <w:hideMark/>
          </w:tcPr>
          <w:p w14:paraId="563EF96C" w14:textId="77777777" w:rsidR="00CF72D5" w:rsidRPr="002029AF" w:rsidRDefault="00CF72D5" w:rsidP="00B518D9">
            <w:pPr>
              <w:pStyle w:val="ARtabletextright"/>
              <w:spacing w:before="40" w:after="20"/>
            </w:pPr>
            <w:r w:rsidRPr="002029AF">
              <w:t>238.5</w:t>
            </w:r>
          </w:p>
        </w:tc>
        <w:tc>
          <w:tcPr>
            <w:tcW w:w="274" w:type="pct"/>
            <w:hideMark/>
          </w:tcPr>
          <w:p w14:paraId="48F38484" w14:textId="77777777" w:rsidR="00CF72D5" w:rsidRPr="002029AF" w:rsidRDefault="00CF72D5" w:rsidP="00B518D9">
            <w:pPr>
              <w:pStyle w:val="ARtabletextright"/>
              <w:spacing w:before="40" w:after="20"/>
            </w:pPr>
            <w:r w:rsidRPr="002029AF">
              <w:t>137</w:t>
            </w:r>
          </w:p>
        </w:tc>
        <w:tc>
          <w:tcPr>
            <w:tcW w:w="274" w:type="pct"/>
            <w:hideMark/>
          </w:tcPr>
          <w:p w14:paraId="412FA574" w14:textId="77777777" w:rsidR="00CF72D5" w:rsidRPr="002029AF" w:rsidRDefault="00CF72D5" w:rsidP="00B518D9">
            <w:pPr>
              <w:pStyle w:val="ARtabletextright"/>
              <w:spacing w:before="40" w:after="20"/>
            </w:pPr>
            <w:r w:rsidRPr="002029AF">
              <w:t>57</w:t>
            </w:r>
          </w:p>
        </w:tc>
        <w:tc>
          <w:tcPr>
            <w:tcW w:w="328" w:type="pct"/>
            <w:hideMark/>
          </w:tcPr>
          <w:p w14:paraId="5BEB2363" w14:textId="77777777" w:rsidR="00CF72D5" w:rsidRPr="002029AF" w:rsidRDefault="00CF72D5" w:rsidP="00B518D9">
            <w:pPr>
              <w:pStyle w:val="ARtabletextright"/>
              <w:spacing w:before="40" w:after="20"/>
            </w:pPr>
            <w:r w:rsidRPr="002029AF">
              <w:t>176.8</w:t>
            </w:r>
          </w:p>
        </w:tc>
        <w:tc>
          <w:tcPr>
            <w:tcW w:w="321" w:type="pct"/>
            <w:hideMark/>
          </w:tcPr>
          <w:p w14:paraId="66B97B68" w14:textId="77777777" w:rsidR="00CF72D5" w:rsidRPr="002029AF" w:rsidRDefault="00CF72D5" w:rsidP="00B518D9">
            <w:pPr>
              <w:pStyle w:val="ARtabletextright"/>
              <w:spacing w:before="40" w:after="20"/>
            </w:pPr>
            <w:r w:rsidRPr="002029AF">
              <w:t>79</w:t>
            </w:r>
          </w:p>
        </w:tc>
        <w:tc>
          <w:tcPr>
            <w:tcW w:w="326" w:type="pct"/>
            <w:hideMark/>
          </w:tcPr>
          <w:p w14:paraId="74C03AF1" w14:textId="77777777" w:rsidR="00CF72D5" w:rsidRPr="002029AF" w:rsidRDefault="00CF72D5" w:rsidP="00B518D9">
            <w:pPr>
              <w:pStyle w:val="ARtabletextright"/>
              <w:spacing w:before="40" w:after="20"/>
            </w:pPr>
            <w:r w:rsidRPr="002029AF">
              <w:t>61.7</w:t>
            </w:r>
          </w:p>
        </w:tc>
      </w:tr>
      <w:tr w:rsidR="00CF72D5" w:rsidRPr="002029AF" w14:paraId="0EC5EAF4" w14:textId="77777777" w:rsidTr="00B518D9">
        <w:trPr>
          <w:cantSplit w:val="0"/>
          <w:trHeight w:val="555"/>
        </w:trPr>
        <w:tc>
          <w:tcPr>
            <w:tcW w:w="621" w:type="pct"/>
            <w:hideMark/>
          </w:tcPr>
          <w:p w14:paraId="1EE15563" w14:textId="25FF8398" w:rsidR="00CF72D5" w:rsidRPr="002029AF" w:rsidRDefault="00CF72D5" w:rsidP="00B518D9">
            <w:pPr>
              <w:pStyle w:val="ARtabletext"/>
              <w:spacing w:before="40" w:after="20"/>
            </w:pPr>
            <w:r w:rsidRPr="002029AF">
              <w:lastRenderedPageBreak/>
              <w:t>Disability</w:t>
            </w:r>
            <w:r w:rsidR="000A5329" w:rsidRPr="002029AF">
              <w:t xml:space="preserve"> </w:t>
            </w:r>
            <w:r w:rsidRPr="002029AF">
              <w:t>Development</w:t>
            </w:r>
            <w:r w:rsidR="000A5329" w:rsidRPr="002029AF">
              <w:t xml:space="preserve"> </w:t>
            </w:r>
            <w:r w:rsidRPr="002029AF">
              <w:t>and</w:t>
            </w:r>
            <w:r w:rsidR="000A5329" w:rsidRPr="002029AF">
              <w:t xml:space="preserve"> </w:t>
            </w:r>
            <w:r w:rsidRPr="002029AF">
              <w:t>Support</w:t>
            </w:r>
          </w:p>
        </w:tc>
        <w:tc>
          <w:tcPr>
            <w:tcW w:w="320" w:type="pct"/>
            <w:hideMark/>
          </w:tcPr>
          <w:p w14:paraId="4595795A" w14:textId="77777777" w:rsidR="00CF72D5" w:rsidRPr="002029AF" w:rsidRDefault="00CF72D5" w:rsidP="00B518D9">
            <w:pPr>
              <w:pStyle w:val="ARtabletextright"/>
              <w:spacing w:before="40" w:after="20"/>
            </w:pPr>
            <w:r w:rsidRPr="002029AF">
              <w:t>359</w:t>
            </w:r>
          </w:p>
        </w:tc>
        <w:tc>
          <w:tcPr>
            <w:tcW w:w="328" w:type="pct"/>
            <w:hideMark/>
          </w:tcPr>
          <w:p w14:paraId="125D48FD" w14:textId="77777777" w:rsidR="00CF72D5" w:rsidRPr="002029AF" w:rsidRDefault="00CF72D5" w:rsidP="00B518D9">
            <w:pPr>
              <w:pStyle w:val="ARtabletextright"/>
              <w:spacing w:before="40" w:after="20"/>
            </w:pPr>
            <w:r w:rsidRPr="002029AF">
              <w:t>305.0</w:t>
            </w:r>
          </w:p>
        </w:tc>
        <w:tc>
          <w:tcPr>
            <w:tcW w:w="274" w:type="pct"/>
            <w:hideMark/>
          </w:tcPr>
          <w:p w14:paraId="1FC5DCD7" w14:textId="77777777" w:rsidR="00CF72D5" w:rsidRPr="002029AF" w:rsidRDefault="00CF72D5" w:rsidP="00B518D9">
            <w:pPr>
              <w:pStyle w:val="ARtabletextright"/>
              <w:spacing w:before="40" w:after="20"/>
            </w:pPr>
            <w:r w:rsidRPr="002029AF">
              <w:t>159</w:t>
            </w:r>
          </w:p>
        </w:tc>
        <w:tc>
          <w:tcPr>
            <w:tcW w:w="274" w:type="pct"/>
            <w:hideMark/>
          </w:tcPr>
          <w:p w14:paraId="04B5F029" w14:textId="77777777" w:rsidR="00CF72D5" w:rsidRPr="002029AF" w:rsidRDefault="00CF72D5" w:rsidP="00B518D9">
            <w:pPr>
              <w:pStyle w:val="ARtabletextright"/>
              <w:spacing w:before="40" w:after="20"/>
            </w:pPr>
            <w:r w:rsidRPr="002029AF">
              <w:t>112</w:t>
            </w:r>
          </w:p>
        </w:tc>
        <w:tc>
          <w:tcPr>
            <w:tcW w:w="328" w:type="pct"/>
            <w:hideMark/>
          </w:tcPr>
          <w:p w14:paraId="52CB1662" w14:textId="77777777" w:rsidR="00CF72D5" w:rsidRPr="002029AF" w:rsidRDefault="00CF72D5" w:rsidP="00B518D9">
            <w:pPr>
              <w:pStyle w:val="ARtabletextright"/>
              <w:spacing w:before="40" w:after="20"/>
            </w:pPr>
            <w:r w:rsidRPr="002029AF">
              <w:t>239.9</w:t>
            </w:r>
          </w:p>
        </w:tc>
        <w:tc>
          <w:tcPr>
            <w:tcW w:w="320" w:type="pct"/>
            <w:hideMark/>
          </w:tcPr>
          <w:p w14:paraId="54267E00" w14:textId="77777777" w:rsidR="00CF72D5" w:rsidRPr="002029AF" w:rsidRDefault="00CF72D5" w:rsidP="00B518D9">
            <w:pPr>
              <w:pStyle w:val="ARtabletextright"/>
              <w:spacing w:before="40" w:after="20"/>
            </w:pPr>
            <w:r w:rsidRPr="002029AF">
              <w:t>88</w:t>
            </w:r>
          </w:p>
        </w:tc>
        <w:tc>
          <w:tcPr>
            <w:tcW w:w="328" w:type="pct"/>
            <w:hideMark/>
          </w:tcPr>
          <w:p w14:paraId="63BC9C04" w14:textId="77777777" w:rsidR="00CF72D5" w:rsidRPr="002029AF" w:rsidRDefault="00CF72D5" w:rsidP="00B518D9">
            <w:pPr>
              <w:pStyle w:val="ARtabletextright"/>
              <w:spacing w:before="40" w:after="20"/>
            </w:pPr>
            <w:r w:rsidRPr="002029AF">
              <w:t>65.1</w:t>
            </w:r>
          </w:p>
        </w:tc>
        <w:tc>
          <w:tcPr>
            <w:tcW w:w="320" w:type="pct"/>
            <w:hideMark/>
          </w:tcPr>
          <w:p w14:paraId="55BA335F" w14:textId="77777777" w:rsidR="00CF72D5" w:rsidRPr="002029AF" w:rsidRDefault="00CF72D5" w:rsidP="00B518D9">
            <w:pPr>
              <w:pStyle w:val="ARtabletextright"/>
              <w:spacing w:before="40" w:after="20"/>
            </w:pPr>
            <w:r w:rsidRPr="002029AF">
              <w:t>2,675</w:t>
            </w:r>
          </w:p>
        </w:tc>
        <w:tc>
          <w:tcPr>
            <w:tcW w:w="364" w:type="pct"/>
            <w:hideMark/>
          </w:tcPr>
          <w:p w14:paraId="6351AF42" w14:textId="77777777" w:rsidR="00CF72D5" w:rsidRPr="002029AF" w:rsidRDefault="00CF72D5" w:rsidP="00B518D9">
            <w:pPr>
              <w:pStyle w:val="ARtabletextright"/>
              <w:spacing w:before="40" w:after="20"/>
            </w:pPr>
            <w:r w:rsidRPr="002029AF">
              <w:t>2,119.4</w:t>
            </w:r>
          </w:p>
        </w:tc>
        <w:tc>
          <w:tcPr>
            <w:tcW w:w="274" w:type="pct"/>
            <w:hideMark/>
          </w:tcPr>
          <w:p w14:paraId="4FBD5875" w14:textId="77777777" w:rsidR="00CF72D5" w:rsidRPr="002029AF" w:rsidRDefault="00CF72D5" w:rsidP="00B518D9">
            <w:pPr>
              <w:pStyle w:val="ARtabletextright"/>
              <w:spacing w:before="40" w:after="20"/>
            </w:pPr>
            <w:r w:rsidRPr="002029AF">
              <w:t>804</w:t>
            </w:r>
          </w:p>
        </w:tc>
        <w:tc>
          <w:tcPr>
            <w:tcW w:w="274" w:type="pct"/>
            <w:hideMark/>
          </w:tcPr>
          <w:p w14:paraId="2DF76668" w14:textId="77777777" w:rsidR="00CF72D5" w:rsidRPr="002029AF" w:rsidRDefault="00CF72D5" w:rsidP="00B518D9">
            <w:pPr>
              <w:pStyle w:val="ARtabletextright"/>
              <w:spacing w:before="40" w:after="20"/>
            </w:pPr>
            <w:r w:rsidRPr="002029AF">
              <w:t>1,185</w:t>
            </w:r>
          </w:p>
        </w:tc>
        <w:tc>
          <w:tcPr>
            <w:tcW w:w="328" w:type="pct"/>
            <w:hideMark/>
          </w:tcPr>
          <w:p w14:paraId="07207ED3" w14:textId="77777777" w:rsidR="00CF72D5" w:rsidRPr="002029AF" w:rsidRDefault="00CF72D5" w:rsidP="00B518D9">
            <w:pPr>
              <w:pStyle w:val="ARtabletextright"/>
              <w:spacing w:before="40" w:after="20"/>
            </w:pPr>
            <w:r w:rsidRPr="002029AF">
              <w:t>1,736.4</w:t>
            </w:r>
          </w:p>
        </w:tc>
        <w:tc>
          <w:tcPr>
            <w:tcW w:w="321" w:type="pct"/>
            <w:hideMark/>
          </w:tcPr>
          <w:p w14:paraId="04AE0C5E" w14:textId="77777777" w:rsidR="00CF72D5" w:rsidRPr="002029AF" w:rsidRDefault="00CF72D5" w:rsidP="00B518D9">
            <w:pPr>
              <w:pStyle w:val="ARtabletextright"/>
              <w:spacing w:before="40" w:after="20"/>
            </w:pPr>
            <w:r w:rsidRPr="002029AF">
              <w:t>686</w:t>
            </w:r>
          </w:p>
        </w:tc>
        <w:tc>
          <w:tcPr>
            <w:tcW w:w="326" w:type="pct"/>
            <w:hideMark/>
          </w:tcPr>
          <w:p w14:paraId="241D2FF7" w14:textId="77777777" w:rsidR="00CF72D5" w:rsidRPr="002029AF" w:rsidRDefault="00CF72D5" w:rsidP="00B518D9">
            <w:pPr>
              <w:pStyle w:val="ARtabletextright"/>
              <w:spacing w:before="40" w:after="20"/>
            </w:pPr>
            <w:r w:rsidRPr="002029AF">
              <w:t>383</w:t>
            </w:r>
          </w:p>
        </w:tc>
      </w:tr>
      <w:tr w:rsidR="00CF72D5" w:rsidRPr="002029AF" w14:paraId="665D7CA9" w14:textId="77777777" w:rsidTr="00B518D9">
        <w:trPr>
          <w:cantSplit w:val="0"/>
          <w:trHeight w:val="302"/>
        </w:trPr>
        <w:tc>
          <w:tcPr>
            <w:tcW w:w="621" w:type="pct"/>
            <w:hideMark/>
          </w:tcPr>
          <w:p w14:paraId="59D34C69" w14:textId="7619162E" w:rsidR="00CF72D5" w:rsidRPr="002029AF" w:rsidRDefault="00CF72D5" w:rsidP="00B518D9">
            <w:pPr>
              <w:pStyle w:val="ARtabletext"/>
              <w:spacing w:before="40" w:after="20"/>
            </w:pPr>
            <w:r w:rsidRPr="002029AF">
              <w:t>Housing</w:t>
            </w:r>
            <w:r w:rsidR="000A5329" w:rsidRPr="002029AF">
              <w:t xml:space="preserve"> </w:t>
            </w:r>
            <w:r w:rsidRPr="002029AF">
              <w:t>Services</w:t>
            </w:r>
          </w:p>
        </w:tc>
        <w:tc>
          <w:tcPr>
            <w:tcW w:w="320" w:type="pct"/>
            <w:hideMark/>
          </w:tcPr>
          <w:p w14:paraId="1A2733B6" w14:textId="77777777" w:rsidR="00CF72D5" w:rsidRPr="002029AF" w:rsidRDefault="00CF72D5" w:rsidP="00B518D9">
            <w:pPr>
              <w:pStyle w:val="ARtabletextright"/>
              <w:spacing w:before="40" w:after="20"/>
            </w:pPr>
            <w:r w:rsidRPr="002029AF">
              <w:t>528</w:t>
            </w:r>
          </w:p>
        </w:tc>
        <w:tc>
          <w:tcPr>
            <w:tcW w:w="328" w:type="pct"/>
            <w:hideMark/>
          </w:tcPr>
          <w:p w14:paraId="6CF77F3E" w14:textId="77777777" w:rsidR="00CF72D5" w:rsidRPr="002029AF" w:rsidRDefault="00CF72D5" w:rsidP="00B518D9">
            <w:pPr>
              <w:pStyle w:val="ARtabletextright"/>
              <w:spacing w:before="40" w:after="20"/>
            </w:pPr>
            <w:r w:rsidRPr="002029AF">
              <w:t>490.1</w:t>
            </w:r>
          </w:p>
        </w:tc>
        <w:tc>
          <w:tcPr>
            <w:tcW w:w="274" w:type="pct"/>
            <w:hideMark/>
          </w:tcPr>
          <w:p w14:paraId="6DD95B37" w14:textId="77777777" w:rsidR="00CF72D5" w:rsidRPr="002029AF" w:rsidRDefault="00CF72D5" w:rsidP="00B518D9">
            <w:pPr>
              <w:pStyle w:val="ARtabletextright"/>
              <w:spacing w:before="40" w:after="20"/>
            </w:pPr>
            <w:r w:rsidRPr="002029AF">
              <w:t>366</w:t>
            </w:r>
          </w:p>
        </w:tc>
        <w:tc>
          <w:tcPr>
            <w:tcW w:w="274" w:type="pct"/>
            <w:hideMark/>
          </w:tcPr>
          <w:p w14:paraId="468D4A30" w14:textId="77777777" w:rsidR="00CF72D5" w:rsidRPr="002029AF" w:rsidRDefault="00CF72D5" w:rsidP="00B518D9">
            <w:pPr>
              <w:pStyle w:val="ARtabletextright"/>
              <w:spacing w:before="40" w:after="20"/>
            </w:pPr>
            <w:r w:rsidRPr="002029AF">
              <w:t>108</w:t>
            </w:r>
          </w:p>
        </w:tc>
        <w:tc>
          <w:tcPr>
            <w:tcW w:w="328" w:type="pct"/>
            <w:hideMark/>
          </w:tcPr>
          <w:p w14:paraId="3563DAFF" w14:textId="77777777" w:rsidR="00CF72D5" w:rsidRPr="002029AF" w:rsidRDefault="00CF72D5" w:rsidP="00B518D9">
            <w:pPr>
              <w:pStyle w:val="ARtabletextright"/>
              <w:spacing w:before="40" w:after="20"/>
            </w:pPr>
            <w:r w:rsidRPr="002029AF">
              <w:t>438.9</w:t>
            </w:r>
          </w:p>
        </w:tc>
        <w:tc>
          <w:tcPr>
            <w:tcW w:w="320" w:type="pct"/>
            <w:hideMark/>
          </w:tcPr>
          <w:p w14:paraId="52D52E05" w14:textId="77777777" w:rsidR="00CF72D5" w:rsidRPr="002029AF" w:rsidRDefault="00CF72D5" w:rsidP="00B518D9">
            <w:pPr>
              <w:pStyle w:val="ARtabletextright"/>
              <w:spacing w:before="40" w:after="20"/>
            </w:pPr>
            <w:r w:rsidRPr="002029AF">
              <w:t>54</w:t>
            </w:r>
          </w:p>
        </w:tc>
        <w:tc>
          <w:tcPr>
            <w:tcW w:w="328" w:type="pct"/>
            <w:hideMark/>
          </w:tcPr>
          <w:p w14:paraId="5753574C" w14:textId="77777777" w:rsidR="00CF72D5" w:rsidRPr="002029AF" w:rsidRDefault="00CF72D5" w:rsidP="00B518D9">
            <w:pPr>
              <w:pStyle w:val="ARtabletextright"/>
              <w:spacing w:before="40" w:after="20"/>
            </w:pPr>
            <w:r w:rsidRPr="002029AF">
              <w:t>51.2</w:t>
            </w:r>
          </w:p>
        </w:tc>
        <w:tc>
          <w:tcPr>
            <w:tcW w:w="320" w:type="pct"/>
            <w:hideMark/>
          </w:tcPr>
          <w:p w14:paraId="3348E483" w14:textId="77777777" w:rsidR="00CF72D5" w:rsidRPr="002029AF" w:rsidRDefault="00CF72D5" w:rsidP="00B518D9">
            <w:pPr>
              <w:pStyle w:val="ARtabletextright"/>
              <w:spacing w:before="40" w:after="20"/>
            </w:pPr>
            <w:r w:rsidRPr="002029AF">
              <w:t>552</w:t>
            </w:r>
          </w:p>
        </w:tc>
        <w:tc>
          <w:tcPr>
            <w:tcW w:w="364" w:type="pct"/>
            <w:hideMark/>
          </w:tcPr>
          <w:p w14:paraId="0E7350A2" w14:textId="77777777" w:rsidR="00CF72D5" w:rsidRPr="002029AF" w:rsidRDefault="00CF72D5" w:rsidP="00B518D9">
            <w:pPr>
              <w:pStyle w:val="ARtabletextright"/>
              <w:spacing w:before="40" w:after="20"/>
            </w:pPr>
            <w:r w:rsidRPr="002029AF">
              <w:t>503.5</w:t>
            </w:r>
          </w:p>
        </w:tc>
        <w:tc>
          <w:tcPr>
            <w:tcW w:w="274" w:type="pct"/>
            <w:hideMark/>
          </w:tcPr>
          <w:p w14:paraId="78E8FE8F" w14:textId="77777777" w:rsidR="00CF72D5" w:rsidRPr="002029AF" w:rsidRDefault="00CF72D5" w:rsidP="00B518D9">
            <w:pPr>
              <w:pStyle w:val="ARtabletextright"/>
              <w:spacing w:before="40" w:after="20"/>
            </w:pPr>
            <w:r w:rsidRPr="002029AF">
              <w:t>337</w:t>
            </w:r>
          </w:p>
        </w:tc>
        <w:tc>
          <w:tcPr>
            <w:tcW w:w="274" w:type="pct"/>
            <w:hideMark/>
          </w:tcPr>
          <w:p w14:paraId="1D7ABE7E" w14:textId="77777777" w:rsidR="00CF72D5" w:rsidRPr="002029AF" w:rsidRDefault="00CF72D5" w:rsidP="00B518D9">
            <w:pPr>
              <w:pStyle w:val="ARtabletextright"/>
              <w:spacing w:before="40" w:after="20"/>
            </w:pPr>
            <w:r w:rsidRPr="002029AF">
              <w:t>132</w:t>
            </w:r>
          </w:p>
        </w:tc>
        <w:tc>
          <w:tcPr>
            <w:tcW w:w="328" w:type="pct"/>
            <w:hideMark/>
          </w:tcPr>
          <w:p w14:paraId="08EABC12" w14:textId="77777777" w:rsidR="00CF72D5" w:rsidRPr="002029AF" w:rsidRDefault="00CF72D5" w:rsidP="00B518D9">
            <w:pPr>
              <w:pStyle w:val="ARtabletextright"/>
              <w:spacing w:before="40" w:after="20"/>
            </w:pPr>
            <w:r w:rsidRPr="002029AF">
              <w:t>425.1</w:t>
            </w:r>
          </w:p>
        </w:tc>
        <w:tc>
          <w:tcPr>
            <w:tcW w:w="321" w:type="pct"/>
            <w:hideMark/>
          </w:tcPr>
          <w:p w14:paraId="303DBF47" w14:textId="77777777" w:rsidR="00CF72D5" w:rsidRPr="002029AF" w:rsidRDefault="00CF72D5" w:rsidP="00B518D9">
            <w:pPr>
              <w:pStyle w:val="ARtabletextright"/>
              <w:spacing w:before="40" w:after="20"/>
            </w:pPr>
            <w:r w:rsidRPr="002029AF">
              <w:t>83</w:t>
            </w:r>
          </w:p>
        </w:tc>
        <w:tc>
          <w:tcPr>
            <w:tcW w:w="326" w:type="pct"/>
            <w:hideMark/>
          </w:tcPr>
          <w:p w14:paraId="4BDFDE3C" w14:textId="77777777" w:rsidR="00CF72D5" w:rsidRPr="002029AF" w:rsidRDefault="00CF72D5" w:rsidP="00B518D9">
            <w:pPr>
              <w:pStyle w:val="ARtabletextright"/>
              <w:spacing w:before="40" w:after="20"/>
            </w:pPr>
            <w:r w:rsidRPr="002029AF">
              <w:t>78.4</w:t>
            </w:r>
          </w:p>
        </w:tc>
      </w:tr>
      <w:tr w:rsidR="00CF72D5" w:rsidRPr="002029AF" w14:paraId="4522ACA2" w14:textId="77777777" w:rsidTr="00B518D9">
        <w:trPr>
          <w:cantSplit w:val="0"/>
          <w:trHeight w:val="302"/>
        </w:trPr>
        <w:tc>
          <w:tcPr>
            <w:tcW w:w="621" w:type="pct"/>
            <w:hideMark/>
          </w:tcPr>
          <w:p w14:paraId="2B844992" w14:textId="0892278B" w:rsidR="00CF72D5" w:rsidRPr="002029AF" w:rsidRDefault="00A763C6" w:rsidP="00B518D9">
            <w:pPr>
              <w:pStyle w:val="ARtabletext"/>
              <w:spacing w:before="40" w:after="20"/>
            </w:pPr>
            <w:r w:rsidRPr="002029AF">
              <w:t>STS</w:t>
            </w:r>
          </w:p>
        </w:tc>
        <w:tc>
          <w:tcPr>
            <w:tcW w:w="320" w:type="pct"/>
            <w:hideMark/>
          </w:tcPr>
          <w:p w14:paraId="0D072847" w14:textId="77777777" w:rsidR="00CF72D5" w:rsidRPr="002029AF" w:rsidRDefault="00CF72D5" w:rsidP="00B518D9">
            <w:pPr>
              <w:pStyle w:val="ARtabletextright"/>
              <w:spacing w:before="40" w:after="20"/>
            </w:pPr>
            <w:r w:rsidRPr="002029AF">
              <w:t>27</w:t>
            </w:r>
          </w:p>
        </w:tc>
        <w:tc>
          <w:tcPr>
            <w:tcW w:w="328" w:type="pct"/>
            <w:hideMark/>
          </w:tcPr>
          <w:p w14:paraId="66A0F525" w14:textId="77777777" w:rsidR="00CF72D5" w:rsidRPr="002029AF" w:rsidRDefault="00CF72D5" w:rsidP="00B518D9">
            <w:pPr>
              <w:pStyle w:val="ARtabletextright"/>
              <w:spacing w:before="40" w:after="20"/>
            </w:pPr>
            <w:r w:rsidRPr="002029AF">
              <w:t>27.0</w:t>
            </w:r>
          </w:p>
        </w:tc>
        <w:tc>
          <w:tcPr>
            <w:tcW w:w="274" w:type="pct"/>
            <w:hideMark/>
          </w:tcPr>
          <w:p w14:paraId="47E985FA" w14:textId="77777777" w:rsidR="00CF72D5" w:rsidRPr="002029AF" w:rsidRDefault="00CF72D5" w:rsidP="00B518D9">
            <w:pPr>
              <w:pStyle w:val="ARtabletextright"/>
              <w:spacing w:before="40" w:after="20"/>
            </w:pPr>
            <w:r w:rsidRPr="002029AF">
              <w:t>13</w:t>
            </w:r>
          </w:p>
        </w:tc>
        <w:tc>
          <w:tcPr>
            <w:tcW w:w="274" w:type="pct"/>
            <w:hideMark/>
          </w:tcPr>
          <w:p w14:paraId="64C5931F" w14:textId="77777777" w:rsidR="00CF72D5" w:rsidRPr="002029AF" w:rsidRDefault="00CF72D5" w:rsidP="00B518D9">
            <w:pPr>
              <w:pStyle w:val="ARtabletextright"/>
              <w:spacing w:before="40" w:after="20"/>
            </w:pPr>
            <w:r w:rsidRPr="002029AF">
              <w:t>0</w:t>
            </w:r>
          </w:p>
        </w:tc>
        <w:tc>
          <w:tcPr>
            <w:tcW w:w="328" w:type="pct"/>
            <w:hideMark/>
          </w:tcPr>
          <w:p w14:paraId="0AA9FB29" w14:textId="77777777" w:rsidR="00CF72D5" w:rsidRPr="002029AF" w:rsidRDefault="00CF72D5" w:rsidP="00B518D9">
            <w:pPr>
              <w:pStyle w:val="ARtabletextright"/>
              <w:spacing w:before="40" w:after="20"/>
            </w:pPr>
            <w:r w:rsidRPr="002029AF">
              <w:t>13.0</w:t>
            </w:r>
          </w:p>
        </w:tc>
        <w:tc>
          <w:tcPr>
            <w:tcW w:w="320" w:type="pct"/>
            <w:hideMark/>
          </w:tcPr>
          <w:p w14:paraId="361500C7" w14:textId="77777777" w:rsidR="00CF72D5" w:rsidRPr="002029AF" w:rsidRDefault="00CF72D5" w:rsidP="00B518D9">
            <w:pPr>
              <w:pStyle w:val="ARtabletextright"/>
              <w:spacing w:before="40" w:after="20"/>
            </w:pPr>
            <w:r w:rsidRPr="002029AF">
              <w:t>14</w:t>
            </w:r>
          </w:p>
        </w:tc>
        <w:tc>
          <w:tcPr>
            <w:tcW w:w="328" w:type="pct"/>
            <w:hideMark/>
          </w:tcPr>
          <w:p w14:paraId="5ECBA490" w14:textId="77777777" w:rsidR="00CF72D5" w:rsidRPr="002029AF" w:rsidRDefault="00CF72D5" w:rsidP="00B518D9">
            <w:pPr>
              <w:pStyle w:val="ARtabletextright"/>
              <w:spacing w:before="40" w:after="20"/>
            </w:pPr>
            <w:r w:rsidRPr="002029AF">
              <w:t>14.0</w:t>
            </w:r>
          </w:p>
        </w:tc>
        <w:tc>
          <w:tcPr>
            <w:tcW w:w="320" w:type="pct"/>
            <w:hideMark/>
          </w:tcPr>
          <w:p w14:paraId="45751316" w14:textId="77777777" w:rsidR="00CF72D5" w:rsidRPr="002029AF" w:rsidRDefault="00CF72D5" w:rsidP="00B518D9">
            <w:pPr>
              <w:pStyle w:val="ARtabletextright"/>
              <w:spacing w:before="40" w:after="20"/>
            </w:pPr>
            <w:r w:rsidRPr="002029AF">
              <w:t>24</w:t>
            </w:r>
          </w:p>
        </w:tc>
        <w:tc>
          <w:tcPr>
            <w:tcW w:w="364" w:type="pct"/>
            <w:hideMark/>
          </w:tcPr>
          <w:p w14:paraId="376A069D" w14:textId="77777777" w:rsidR="00CF72D5" w:rsidRPr="002029AF" w:rsidRDefault="00CF72D5" w:rsidP="00B518D9">
            <w:pPr>
              <w:pStyle w:val="ARtabletextright"/>
              <w:spacing w:before="40" w:after="20"/>
            </w:pPr>
            <w:r w:rsidRPr="002029AF">
              <w:t>23.0</w:t>
            </w:r>
          </w:p>
        </w:tc>
        <w:tc>
          <w:tcPr>
            <w:tcW w:w="274" w:type="pct"/>
            <w:hideMark/>
          </w:tcPr>
          <w:p w14:paraId="798C83C8" w14:textId="77777777" w:rsidR="00CF72D5" w:rsidRPr="002029AF" w:rsidRDefault="00CF72D5" w:rsidP="00B518D9">
            <w:pPr>
              <w:pStyle w:val="ARtabletextright"/>
              <w:spacing w:before="40" w:after="20"/>
            </w:pPr>
            <w:r w:rsidRPr="002029AF">
              <w:t>9</w:t>
            </w:r>
          </w:p>
        </w:tc>
        <w:tc>
          <w:tcPr>
            <w:tcW w:w="274" w:type="pct"/>
            <w:hideMark/>
          </w:tcPr>
          <w:p w14:paraId="1EA88C30" w14:textId="77777777" w:rsidR="00CF72D5" w:rsidRPr="002029AF" w:rsidRDefault="00CF72D5" w:rsidP="00B518D9">
            <w:pPr>
              <w:pStyle w:val="ARtabletextright"/>
              <w:spacing w:before="40" w:after="20"/>
            </w:pPr>
            <w:r w:rsidRPr="002029AF">
              <w:t>2</w:t>
            </w:r>
          </w:p>
        </w:tc>
        <w:tc>
          <w:tcPr>
            <w:tcW w:w="328" w:type="pct"/>
            <w:hideMark/>
          </w:tcPr>
          <w:p w14:paraId="4316E315" w14:textId="77777777" w:rsidR="00CF72D5" w:rsidRPr="002029AF" w:rsidRDefault="00CF72D5" w:rsidP="00B518D9">
            <w:pPr>
              <w:pStyle w:val="ARtabletextright"/>
              <w:spacing w:before="40" w:after="20"/>
            </w:pPr>
            <w:r w:rsidRPr="002029AF">
              <w:t>10.4</w:t>
            </w:r>
          </w:p>
        </w:tc>
        <w:tc>
          <w:tcPr>
            <w:tcW w:w="321" w:type="pct"/>
            <w:hideMark/>
          </w:tcPr>
          <w:p w14:paraId="601267B5" w14:textId="77777777" w:rsidR="00CF72D5" w:rsidRPr="002029AF" w:rsidRDefault="00CF72D5" w:rsidP="00B518D9">
            <w:pPr>
              <w:pStyle w:val="ARtabletextright"/>
              <w:spacing w:before="40" w:after="20"/>
            </w:pPr>
            <w:r w:rsidRPr="002029AF">
              <w:t>13</w:t>
            </w:r>
          </w:p>
        </w:tc>
        <w:tc>
          <w:tcPr>
            <w:tcW w:w="326" w:type="pct"/>
            <w:hideMark/>
          </w:tcPr>
          <w:p w14:paraId="3D2164BE" w14:textId="77777777" w:rsidR="00CF72D5" w:rsidRPr="002029AF" w:rsidRDefault="00CF72D5" w:rsidP="00B518D9">
            <w:pPr>
              <w:pStyle w:val="ARtabletextright"/>
              <w:spacing w:before="40" w:after="20"/>
            </w:pPr>
            <w:r w:rsidRPr="002029AF">
              <w:t>12.6</w:t>
            </w:r>
          </w:p>
        </w:tc>
      </w:tr>
      <w:tr w:rsidR="00CF72D5" w:rsidRPr="002029AF" w14:paraId="42B7A168" w14:textId="77777777" w:rsidTr="00B518D9">
        <w:trPr>
          <w:cantSplit w:val="0"/>
          <w:trHeight w:val="302"/>
        </w:trPr>
        <w:tc>
          <w:tcPr>
            <w:tcW w:w="621" w:type="pct"/>
            <w:hideMark/>
          </w:tcPr>
          <w:p w14:paraId="5E4593FF" w14:textId="77777777" w:rsidR="00CF72D5" w:rsidRPr="002029AF" w:rsidRDefault="00CF72D5" w:rsidP="00B518D9">
            <w:pPr>
              <w:pStyle w:val="ARtabletext"/>
              <w:spacing w:before="40" w:after="20"/>
            </w:pPr>
            <w:r w:rsidRPr="002029AF">
              <w:t>SMA</w:t>
            </w:r>
          </w:p>
        </w:tc>
        <w:tc>
          <w:tcPr>
            <w:tcW w:w="320" w:type="pct"/>
            <w:hideMark/>
          </w:tcPr>
          <w:p w14:paraId="2E4B92FA" w14:textId="77777777" w:rsidR="00CF72D5" w:rsidRPr="002029AF" w:rsidRDefault="00CF72D5" w:rsidP="00B518D9">
            <w:pPr>
              <w:pStyle w:val="ARtabletextright"/>
              <w:spacing w:before="40" w:after="20"/>
            </w:pPr>
            <w:r w:rsidRPr="002029AF">
              <w:t>28</w:t>
            </w:r>
          </w:p>
        </w:tc>
        <w:tc>
          <w:tcPr>
            <w:tcW w:w="328" w:type="pct"/>
            <w:hideMark/>
          </w:tcPr>
          <w:p w14:paraId="24524588" w14:textId="77777777" w:rsidR="00CF72D5" w:rsidRPr="002029AF" w:rsidRDefault="00CF72D5" w:rsidP="00B518D9">
            <w:pPr>
              <w:pStyle w:val="ARtabletextright"/>
              <w:spacing w:before="40" w:after="20"/>
            </w:pPr>
            <w:r w:rsidRPr="002029AF">
              <w:t>26.2</w:t>
            </w:r>
          </w:p>
        </w:tc>
        <w:tc>
          <w:tcPr>
            <w:tcW w:w="274" w:type="pct"/>
            <w:hideMark/>
          </w:tcPr>
          <w:p w14:paraId="03423B8A" w14:textId="77777777" w:rsidR="00CF72D5" w:rsidRPr="002029AF" w:rsidRDefault="00CF72D5" w:rsidP="00B518D9">
            <w:pPr>
              <w:pStyle w:val="ARtabletextright"/>
              <w:spacing w:before="40" w:after="20"/>
            </w:pPr>
            <w:r w:rsidRPr="002029AF">
              <w:t>9</w:t>
            </w:r>
          </w:p>
        </w:tc>
        <w:tc>
          <w:tcPr>
            <w:tcW w:w="274" w:type="pct"/>
            <w:hideMark/>
          </w:tcPr>
          <w:p w14:paraId="1EF2DB67" w14:textId="77777777" w:rsidR="00CF72D5" w:rsidRPr="002029AF" w:rsidRDefault="00CF72D5" w:rsidP="00B518D9">
            <w:pPr>
              <w:pStyle w:val="ARtabletextright"/>
              <w:spacing w:before="40" w:after="20"/>
            </w:pPr>
            <w:r w:rsidRPr="002029AF">
              <w:t>0</w:t>
            </w:r>
          </w:p>
        </w:tc>
        <w:tc>
          <w:tcPr>
            <w:tcW w:w="328" w:type="pct"/>
            <w:hideMark/>
          </w:tcPr>
          <w:p w14:paraId="65D7AFB9" w14:textId="77777777" w:rsidR="00CF72D5" w:rsidRPr="002029AF" w:rsidRDefault="00CF72D5" w:rsidP="00B518D9">
            <w:pPr>
              <w:pStyle w:val="ARtabletextright"/>
              <w:spacing w:before="40" w:after="20"/>
            </w:pPr>
            <w:r w:rsidRPr="002029AF">
              <w:t>9.0</w:t>
            </w:r>
          </w:p>
        </w:tc>
        <w:tc>
          <w:tcPr>
            <w:tcW w:w="320" w:type="pct"/>
            <w:hideMark/>
          </w:tcPr>
          <w:p w14:paraId="1E7D2A9E" w14:textId="77777777" w:rsidR="00CF72D5" w:rsidRPr="002029AF" w:rsidRDefault="00CF72D5" w:rsidP="00B518D9">
            <w:pPr>
              <w:pStyle w:val="ARtabletextright"/>
              <w:spacing w:before="40" w:after="20"/>
            </w:pPr>
            <w:r w:rsidRPr="002029AF">
              <w:t>19</w:t>
            </w:r>
          </w:p>
        </w:tc>
        <w:tc>
          <w:tcPr>
            <w:tcW w:w="328" w:type="pct"/>
            <w:hideMark/>
          </w:tcPr>
          <w:p w14:paraId="42D8C424" w14:textId="77777777" w:rsidR="00CF72D5" w:rsidRPr="002029AF" w:rsidRDefault="00CF72D5" w:rsidP="00B518D9">
            <w:pPr>
              <w:pStyle w:val="ARtabletextright"/>
              <w:spacing w:before="40" w:after="20"/>
            </w:pPr>
            <w:r w:rsidRPr="002029AF">
              <w:t>17.2</w:t>
            </w:r>
          </w:p>
        </w:tc>
        <w:tc>
          <w:tcPr>
            <w:tcW w:w="320" w:type="pct"/>
            <w:hideMark/>
          </w:tcPr>
          <w:p w14:paraId="10E983A1" w14:textId="77777777" w:rsidR="00CF72D5" w:rsidRPr="002029AF" w:rsidRDefault="00CF72D5" w:rsidP="00B518D9">
            <w:pPr>
              <w:pStyle w:val="ARtabletextright"/>
              <w:spacing w:before="40" w:after="20"/>
            </w:pPr>
            <w:r w:rsidRPr="002029AF">
              <w:t>37</w:t>
            </w:r>
          </w:p>
        </w:tc>
        <w:tc>
          <w:tcPr>
            <w:tcW w:w="364" w:type="pct"/>
            <w:hideMark/>
          </w:tcPr>
          <w:p w14:paraId="696B7633" w14:textId="77777777" w:rsidR="00CF72D5" w:rsidRPr="002029AF" w:rsidRDefault="00CF72D5" w:rsidP="00B518D9">
            <w:pPr>
              <w:pStyle w:val="ARtabletextright"/>
              <w:spacing w:before="40" w:after="20"/>
            </w:pPr>
            <w:r w:rsidRPr="002029AF">
              <w:t>35.3</w:t>
            </w:r>
          </w:p>
        </w:tc>
        <w:tc>
          <w:tcPr>
            <w:tcW w:w="274" w:type="pct"/>
            <w:hideMark/>
          </w:tcPr>
          <w:p w14:paraId="5AA28401" w14:textId="77777777" w:rsidR="00CF72D5" w:rsidRPr="002029AF" w:rsidRDefault="00CF72D5" w:rsidP="00B518D9">
            <w:pPr>
              <w:pStyle w:val="ARtabletextright"/>
              <w:spacing w:before="40" w:after="20"/>
            </w:pPr>
            <w:r w:rsidRPr="002029AF">
              <w:t>17</w:t>
            </w:r>
          </w:p>
        </w:tc>
        <w:tc>
          <w:tcPr>
            <w:tcW w:w="274" w:type="pct"/>
            <w:hideMark/>
          </w:tcPr>
          <w:p w14:paraId="27AEEF69" w14:textId="77777777" w:rsidR="00CF72D5" w:rsidRPr="002029AF" w:rsidRDefault="00CF72D5" w:rsidP="00B518D9">
            <w:pPr>
              <w:pStyle w:val="ARtabletextright"/>
              <w:spacing w:before="40" w:after="20"/>
            </w:pPr>
            <w:r w:rsidRPr="002029AF">
              <w:t>1</w:t>
            </w:r>
          </w:p>
        </w:tc>
        <w:tc>
          <w:tcPr>
            <w:tcW w:w="328" w:type="pct"/>
            <w:hideMark/>
          </w:tcPr>
          <w:p w14:paraId="7D2348D6" w14:textId="77777777" w:rsidR="00CF72D5" w:rsidRPr="002029AF" w:rsidRDefault="00CF72D5" w:rsidP="00B518D9">
            <w:pPr>
              <w:pStyle w:val="ARtabletextright"/>
              <w:spacing w:before="40" w:after="20"/>
            </w:pPr>
            <w:r w:rsidRPr="002029AF">
              <w:t>17.8</w:t>
            </w:r>
          </w:p>
        </w:tc>
        <w:tc>
          <w:tcPr>
            <w:tcW w:w="321" w:type="pct"/>
            <w:hideMark/>
          </w:tcPr>
          <w:p w14:paraId="4DAE34B3" w14:textId="77777777" w:rsidR="00CF72D5" w:rsidRPr="002029AF" w:rsidRDefault="00CF72D5" w:rsidP="00B518D9">
            <w:pPr>
              <w:pStyle w:val="ARtabletextright"/>
              <w:spacing w:before="40" w:after="20"/>
            </w:pPr>
            <w:r w:rsidRPr="002029AF">
              <w:t>19</w:t>
            </w:r>
          </w:p>
        </w:tc>
        <w:tc>
          <w:tcPr>
            <w:tcW w:w="326" w:type="pct"/>
            <w:hideMark/>
          </w:tcPr>
          <w:p w14:paraId="2F2893B7" w14:textId="77777777" w:rsidR="00CF72D5" w:rsidRPr="002029AF" w:rsidRDefault="00CF72D5" w:rsidP="00B518D9">
            <w:pPr>
              <w:pStyle w:val="ARtabletextright"/>
              <w:spacing w:before="40" w:after="20"/>
            </w:pPr>
            <w:r w:rsidRPr="002029AF">
              <w:t>17.5</w:t>
            </w:r>
          </w:p>
        </w:tc>
      </w:tr>
      <w:tr w:rsidR="00CF72D5" w:rsidRPr="002029AF" w14:paraId="727B56B4" w14:textId="77777777" w:rsidTr="00B518D9">
        <w:trPr>
          <w:cantSplit w:val="0"/>
          <w:trHeight w:val="302"/>
        </w:trPr>
        <w:tc>
          <w:tcPr>
            <w:tcW w:w="621" w:type="pct"/>
            <w:hideMark/>
          </w:tcPr>
          <w:p w14:paraId="19B7E907" w14:textId="77777777" w:rsidR="00CF72D5" w:rsidRPr="002029AF" w:rsidRDefault="00CF72D5" w:rsidP="00B518D9">
            <w:pPr>
              <w:pStyle w:val="ARtabletext"/>
              <w:spacing w:before="40" w:after="20"/>
            </w:pPr>
            <w:r w:rsidRPr="002029AF">
              <w:t>Executives</w:t>
            </w:r>
          </w:p>
        </w:tc>
        <w:tc>
          <w:tcPr>
            <w:tcW w:w="320" w:type="pct"/>
            <w:hideMark/>
          </w:tcPr>
          <w:p w14:paraId="3F7367A4" w14:textId="77777777" w:rsidR="00CF72D5" w:rsidRPr="002029AF" w:rsidRDefault="00CF72D5" w:rsidP="00B518D9">
            <w:pPr>
              <w:pStyle w:val="ARtabletextright"/>
              <w:spacing w:before="40" w:after="20"/>
            </w:pPr>
            <w:r w:rsidRPr="002029AF">
              <w:t>216</w:t>
            </w:r>
          </w:p>
        </w:tc>
        <w:tc>
          <w:tcPr>
            <w:tcW w:w="328" w:type="pct"/>
            <w:hideMark/>
          </w:tcPr>
          <w:p w14:paraId="495BDDF6" w14:textId="77777777" w:rsidR="00CF72D5" w:rsidRPr="002029AF" w:rsidRDefault="00CF72D5" w:rsidP="00B518D9">
            <w:pPr>
              <w:pStyle w:val="ARtabletextright"/>
              <w:spacing w:before="40" w:after="20"/>
            </w:pPr>
            <w:r w:rsidRPr="002029AF">
              <w:t>214.0</w:t>
            </w:r>
          </w:p>
        </w:tc>
        <w:tc>
          <w:tcPr>
            <w:tcW w:w="274" w:type="pct"/>
            <w:hideMark/>
          </w:tcPr>
          <w:p w14:paraId="645F08F9" w14:textId="77777777" w:rsidR="00CF72D5" w:rsidRPr="002029AF" w:rsidRDefault="00CF72D5" w:rsidP="00B518D9">
            <w:pPr>
              <w:pStyle w:val="ARtabletextright"/>
              <w:spacing w:before="40" w:after="20"/>
            </w:pPr>
            <w:r w:rsidRPr="002029AF">
              <w:t>207</w:t>
            </w:r>
          </w:p>
        </w:tc>
        <w:tc>
          <w:tcPr>
            <w:tcW w:w="274" w:type="pct"/>
            <w:hideMark/>
          </w:tcPr>
          <w:p w14:paraId="2CE813CC" w14:textId="77777777" w:rsidR="00CF72D5" w:rsidRPr="002029AF" w:rsidRDefault="00CF72D5" w:rsidP="00B518D9">
            <w:pPr>
              <w:pStyle w:val="ARtabletextright"/>
              <w:spacing w:before="40" w:after="20"/>
            </w:pPr>
            <w:r w:rsidRPr="002029AF">
              <w:t>9</w:t>
            </w:r>
          </w:p>
        </w:tc>
        <w:tc>
          <w:tcPr>
            <w:tcW w:w="328" w:type="pct"/>
            <w:hideMark/>
          </w:tcPr>
          <w:p w14:paraId="5E4C3CB1" w14:textId="77777777" w:rsidR="00CF72D5" w:rsidRPr="002029AF" w:rsidRDefault="00CF72D5" w:rsidP="00B518D9">
            <w:pPr>
              <w:pStyle w:val="ARtabletextright"/>
              <w:spacing w:before="40" w:after="20"/>
            </w:pPr>
            <w:r w:rsidRPr="002029AF">
              <w:t>214.0</w:t>
            </w:r>
          </w:p>
        </w:tc>
        <w:tc>
          <w:tcPr>
            <w:tcW w:w="320" w:type="pct"/>
            <w:hideMark/>
          </w:tcPr>
          <w:p w14:paraId="2DC14C5C" w14:textId="77777777" w:rsidR="00CF72D5" w:rsidRPr="002029AF" w:rsidRDefault="00CF72D5" w:rsidP="00B518D9">
            <w:pPr>
              <w:pStyle w:val="ARtabletextright"/>
              <w:spacing w:before="40" w:after="20"/>
            </w:pPr>
            <w:r w:rsidRPr="002029AF">
              <w:t>0</w:t>
            </w:r>
          </w:p>
        </w:tc>
        <w:tc>
          <w:tcPr>
            <w:tcW w:w="328" w:type="pct"/>
            <w:hideMark/>
          </w:tcPr>
          <w:p w14:paraId="6B9B3B23" w14:textId="77777777" w:rsidR="00CF72D5" w:rsidRPr="002029AF" w:rsidRDefault="00CF72D5" w:rsidP="00B518D9">
            <w:pPr>
              <w:pStyle w:val="ARtabletextright"/>
              <w:spacing w:before="40" w:after="20"/>
            </w:pPr>
            <w:r w:rsidRPr="002029AF">
              <w:t>0.0</w:t>
            </w:r>
          </w:p>
        </w:tc>
        <w:tc>
          <w:tcPr>
            <w:tcW w:w="320" w:type="pct"/>
            <w:hideMark/>
          </w:tcPr>
          <w:p w14:paraId="3D38A620" w14:textId="77777777" w:rsidR="00CF72D5" w:rsidRPr="002029AF" w:rsidRDefault="00CF72D5" w:rsidP="00B518D9">
            <w:pPr>
              <w:pStyle w:val="ARtabletextright"/>
              <w:spacing w:before="40" w:after="20"/>
            </w:pPr>
            <w:r w:rsidRPr="002029AF">
              <w:t>184</w:t>
            </w:r>
          </w:p>
        </w:tc>
        <w:tc>
          <w:tcPr>
            <w:tcW w:w="364" w:type="pct"/>
            <w:hideMark/>
          </w:tcPr>
          <w:p w14:paraId="4149EF91" w14:textId="77777777" w:rsidR="00CF72D5" w:rsidRPr="002029AF" w:rsidRDefault="00CF72D5" w:rsidP="00B518D9">
            <w:pPr>
              <w:pStyle w:val="ARtabletextright"/>
              <w:spacing w:before="40" w:after="20"/>
            </w:pPr>
            <w:r w:rsidRPr="002029AF">
              <w:t>183.0</w:t>
            </w:r>
          </w:p>
        </w:tc>
        <w:tc>
          <w:tcPr>
            <w:tcW w:w="274" w:type="pct"/>
            <w:hideMark/>
          </w:tcPr>
          <w:p w14:paraId="4C7874A0" w14:textId="77777777" w:rsidR="00CF72D5" w:rsidRPr="002029AF" w:rsidRDefault="00CF72D5" w:rsidP="00B518D9">
            <w:pPr>
              <w:pStyle w:val="ARtabletextright"/>
              <w:spacing w:before="40" w:after="20"/>
            </w:pPr>
            <w:r w:rsidRPr="002029AF">
              <w:t>178</w:t>
            </w:r>
          </w:p>
        </w:tc>
        <w:tc>
          <w:tcPr>
            <w:tcW w:w="274" w:type="pct"/>
            <w:hideMark/>
          </w:tcPr>
          <w:p w14:paraId="441F0DFE" w14:textId="77777777" w:rsidR="00CF72D5" w:rsidRPr="002029AF" w:rsidRDefault="00CF72D5" w:rsidP="00B518D9">
            <w:pPr>
              <w:pStyle w:val="ARtabletextright"/>
              <w:spacing w:before="40" w:after="20"/>
            </w:pPr>
            <w:r w:rsidRPr="002029AF">
              <w:t>6</w:t>
            </w:r>
          </w:p>
        </w:tc>
        <w:tc>
          <w:tcPr>
            <w:tcW w:w="328" w:type="pct"/>
            <w:hideMark/>
          </w:tcPr>
          <w:p w14:paraId="7668AA61" w14:textId="77777777" w:rsidR="00CF72D5" w:rsidRPr="002029AF" w:rsidRDefault="00CF72D5" w:rsidP="00B518D9">
            <w:pPr>
              <w:pStyle w:val="ARtabletextright"/>
              <w:spacing w:before="40" w:after="20"/>
            </w:pPr>
            <w:r w:rsidRPr="002029AF">
              <w:t>183.0</w:t>
            </w:r>
          </w:p>
        </w:tc>
        <w:tc>
          <w:tcPr>
            <w:tcW w:w="321" w:type="pct"/>
            <w:hideMark/>
          </w:tcPr>
          <w:p w14:paraId="285D34AA" w14:textId="77777777" w:rsidR="00CF72D5" w:rsidRPr="002029AF" w:rsidRDefault="00CF72D5" w:rsidP="00B518D9">
            <w:pPr>
              <w:pStyle w:val="ARtabletextright"/>
              <w:spacing w:before="40" w:after="20"/>
            </w:pPr>
            <w:r w:rsidRPr="002029AF">
              <w:t>0</w:t>
            </w:r>
          </w:p>
        </w:tc>
        <w:tc>
          <w:tcPr>
            <w:tcW w:w="326" w:type="pct"/>
            <w:hideMark/>
          </w:tcPr>
          <w:p w14:paraId="1ABA271D" w14:textId="77777777" w:rsidR="00CF72D5" w:rsidRPr="002029AF" w:rsidRDefault="00CF72D5" w:rsidP="00B518D9">
            <w:pPr>
              <w:pStyle w:val="ARtabletextright"/>
              <w:spacing w:before="40" w:after="20"/>
            </w:pPr>
            <w:r w:rsidRPr="002029AF">
              <w:t>0.0</w:t>
            </w:r>
          </w:p>
        </w:tc>
      </w:tr>
      <w:tr w:rsidR="00CF72D5" w:rsidRPr="002029AF" w14:paraId="2150829D" w14:textId="77777777" w:rsidTr="00B518D9">
        <w:trPr>
          <w:cantSplit w:val="0"/>
          <w:trHeight w:val="302"/>
        </w:trPr>
        <w:tc>
          <w:tcPr>
            <w:tcW w:w="621" w:type="pct"/>
            <w:hideMark/>
          </w:tcPr>
          <w:p w14:paraId="00BA2910" w14:textId="77777777" w:rsidR="00CF72D5" w:rsidRPr="002029AF" w:rsidRDefault="00CF72D5" w:rsidP="00B518D9">
            <w:pPr>
              <w:pStyle w:val="ARtabletext"/>
              <w:spacing w:before="40" w:after="20"/>
            </w:pPr>
            <w:r w:rsidRPr="002029AF">
              <w:t>Other</w:t>
            </w:r>
          </w:p>
        </w:tc>
        <w:tc>
          <w:tcPr>
            <w:tcW w:w="320" w:type="pct"/>
            <w:hideMark/>
          </w:tcPr>
          <w:p w14:paraId="00C5ED0F" w14:textId="77777777" w:rsidR="00CF72D5" w:rsidRPr="002029AF" w:rsidRDefault="00CF72D5" w:rsidP="00B518D9">
            <w:pPr>
              <w:pStyle w:val="ARtabletextright"/>
              <w:spacing w:before="40" w:after="20"/>
            </w:pPr>
            <w:r w:rsidRPr="002029AF">
              <w:t>180</w:t>
            </w:r>
          </w:p>
        </w:tc>
        <w:tc>
          <w:tcPr>
            <w:tcW w:w="328" w:type="pct"/>
            <w:hideMark/>
          </w:tcPr>
          <w:p w14:paraId="44240C4D" w14:textId="77777777" w:rsidR="00CF72D5" w:rsidRPr="002029AF" w:rsidRDefault="00CF72D5" w:rsidP="00B518D9">
            <w:pPr>
              <w:pStyle w:val="ARtabletextright"/>
              <w:spacing w:before="40" w:after="20"/>
            </w:pPr>
            <w:r w:rsidRPr="002029AF">
              <w:t>150.0</w:t>
            </w:r>
          </w:p>
        </w:tc>
        <w:tc>
          <w:tcPr>
            <w:tcW w:w="274" w:type="pct"/>
            <w:hideMark/>
          </w:tcPr>
          <w:p w14:paraId="35F8BF9F" w14:textId="77777777" w:rsidR="00CF72D5" w:rsidRPr="002029AF" w:rsidRDefault="00CF72D5" w:rsidP="00B518D9">
            <w:pPr>
              <w:pStyle w:val="ARtabletextright"/>
              <w:spacing w:before="40" w:after="20"/>
            </w:pPr>
            <w:r w:rsidRPr="002029AF">
              <w:t>72</w:t>
            </w:r>
          </w:p>
        </w:tc>
        <w:tc>
          <w:tcPr>
            <w:tcW w:w="274" w:type="pct"/>
            <w:hideMark/>
          </w:tcPr>
          <w:p w14:paraId="22DC1998" w14:textId="77777777" w:rsidR="00CF72D5" w:rsidRPr="002029AF" w:rsidRDefault="00CF72D5" w:rsidP="00B518D9">
            <w:pPr>
              <w:pStyle w:val="ARtabletextright"/>
              <w:spacing w:before="40" w:after="20"/>
            </w:pPr>
            <w:r w:rsidRPr="002029AF">
              <w:t>59</w:t>
            </w:r>
          </w:p>
        </w:tc>
        <w:tc>
          <w:tcPr>
            <w:tcW w:w="328" w:type="pct"/>
            <w:hideMark/>
          </w:tcPr>
          <w:p w14:paraId="70CEA618" w14:textId="77777777" w:rsidR="00CF72D5" w:rsidRPr="002029AF" w:rsidRDefault="00CF72D5" w:rsidP="00B518D9">
            <w:pPr>
              <w:pStyle w:val="ARtabletextright"/>
              <w:spacing w:before="40" w:after="20"/>
            </w:pPr>
            <w:r w:rsidRPr="002029AF">
              <w:t>107.2</w:t>
            </w:r>
          </w:p>
        </w:tc>
        <w:tc>
          <w:tcPr>
            <w:tcW w:w="320" w:type="pct"/>
            <w:hideMark/>
          </w:tcPr>
          <w:p w14:paraId="42C6EAAB" w14:textId="77777777" w:rsidR="00CF72D5" w:rsidRPr="002029AF" w:rsidRDefault="00CF72D5" w:rsidP="00B518D9">
            <w:pPr>
              <w:pStyle w:val="ARtabletextright"/>
              <w:spacing w:before="40" w:after="20"/>
            </w:pPr>
            <w:r w:rsidRPr="002029AF">
              <w:t>49</w:t>
            </w:r>
          </w:p>
        </w:tc>
        <w:tc>
          <w:tcPr>
            <w:tcW w:w="328" w:type="pct"/>
            <w:hideMark/>
          </w:tcPr>
          <w:p w14:paraId="64257703" w14:textId="77777777" w:rsidR="00CF72D5" w:rsidRPr="002029AF" w:rsidRDefault="00CF72D5" w:rsidP="00B518D9">
            <w:pPr>
              <w:pStyle w:val="ARtabletextright"/>
              <w:spacing w:before="40" w:after="20"/>
            </w:pPr>
            <w:r w:rsidRPr="002029AF">
              <w:t>42.8</w:t>
            </w:r>
          </w:p>
        </w:tc>
        <w:tc>
          <w:tcPr>
            <w:tcW w:w="320" w:type="pct"/>
            <w:hideMark/>
          </w:tcPr>
          <w:p w14:paraId="0C53A694" w14:textId="77777777" w:rsidR="00CF72D5" w:rsidRPr="002029AF" w:rsidRDefault="00CF72D5" w:rsidP="00B518D9">
            <w:pPr>
              <w:pStyle w:val="ARtabletextright"/>
              <w:spacing w:before="40" w:after="20"/>
            </w:pPr>
            <w:r w:rsidRPr="002029AF">
              <w:t>198</w:t>
            </w:r>
          </w:p>
        </w:tc>
        <w:tc>
          <w:tcPr>
            <w:tcW w:w="364" w:type="pct"/>
            <w:hideMark/>
          </w:tcPr>
          <w:p w14:paraId="002A323E" w14:textId="77777777" w:rsidR="00CF72D5" w:rsidRPr="002029AF" w:rsidRDefault="00CF72D5" w:rsidP="00B518D9">
            <w:pPr>
              <w:pStyle w:val="ARtabletextright"/>
              <w:spacing w:before="40" w:after="20"/>
            </w:pPr>
            <w:r w:rsidRPr="002029AF">
              <w:t>155.7</w:t>
            </w:r>
          </w:p>
        </w:tc>
        <w:tc>
          <w:tcPr>
            <w:tcW w:w="274" w:type="pct"/>
            <w:hideMark/>
          </w:tcPr>
          <w:p w14:paraId="6DD62A05" w14:textId="77777777" w:rsidR="00CF72D5" w:rsidRPr="002029AF" w:rsidRDefault="00CF72D5" w:rsidP="00B518D9">
            <w:pPr>
              <w:pStyle w:val="ARtabletextright"/>
              <w:spacing w:before="40" w:after="20"/>
            </w:pPr>
            <w:r w:rsidRPr="002029AF">
              <w:t>84</w:t>
            </w:r>
          </w:p>
        </w:tc>
        <w:tc>
          <w:tcPr>
            <w:tcW w:w="274" w:type="pct"/>
            <w:hideMark/>
          </w:tcPr>
          <w:p w14:paraId="4C16F62E" w14:textId="77777777" w:rsidR="00CF72D5" w:rsidRPr="002029AF" w:rsidRDefault="00CF72D5" w:rsidP="00B518D9">
            <w:pPr>
              <w:pStyle w:val="ARtabletextright"/>
              <w:spacing w:before="40" w:after="20"/>
            </w:pPr>
            <w:r w:rsidRPr="002029AF">
              <w:t>65</w:t>
            </w:r>
          </w:p>
        </w:tc>
        <w:tc>
          <w:tcPr>
            <w:tcW w:w="328" w:type="pct"/>
            <w:hideMark/>
          </w:tcPr>
          <w:p w14:paraId="27EF2E62" w14:textId="77777777" w:rsidR="00CF72D5" w:rsidRPr="002029AF" w:rsidRDefault="00CF72D5" w:rsidP="00B518D9">
            <w:pPr>
              <w:pStyle w:val="ARtabletextright"/>
              <w:spacing w:before="40" w:after="20"/>
            </w:pPr>
            <w:r w:rsidRPr="002029AF">
              <w:t>121.1</w:t>
            </w:r>
          </w:p>
        </w:tc>
        <w:tc>
          <w:tcPr>
            <w:tcW w:w="321" w:type="pct"/>
            <w:hideMark/>
          </w:tcPr>
          <w:p w14:paraId="1DD3401E" w14:textId="77777777" w:rsidR="00CF72D5" w:rsidRPr="002029AF" w:rsidRDefault="00CF72D5" w:rsidP="00B518D9">
            <w:pPr>
              <w:pStyle w:val="ARtabletextright"/>
              <w:spacing w:before="40" w:after="20"/>
            </w:pPr>
            <w:r w:rsidRPr="002029AF">
              <w:t>49</w:t>
            </w:r>
          </w:p>
        </w:tc>
        <w:tc>
          <w:tcPr>
            <w:tcW w:w="326" w:type="pct"/>
            <w:hideMark/>
          </w:tcPr>
          <w:p w14:paraId="4C4F828F" w14:textId="77777777" w:rsidR="00CF72D5" w:rsidRPr="002029AF" w:rsidRDefault="00CF72D5" w:rsidP="00B518D9">
            <w:pPr>
              <w:pStyle w:val="ARtabletextright"/>
              <w:spacing w:before="40" w:after="20"/>
            </w:pPr>
            <w:r w:rsidRPr="002029AF">
              <w:t>34.6</w:t>
            </w:r>
          </w:p>
        </w:tc>
      </w:tr>
      <w:tr w:rsidR="00CF72D5" w:rsidRPr="002029AF" w14:paraId="4330A6D5" w14:textId="77777777" w:rsidTr="00B518D9">
        <w:trPr>
          <w:cantSplit w:val="0"/>
          <w:trHeight w:val="302"/>
        </w:trPr>
        <w:tc>
          <w:tcPr>
            <w:tcW w:w="621" w:type="pct"/>
            <w:hideMark/>
          </w:tcPr>
          <w:p w14:paraId="28AF92A2" w14:textId="0D43676B" w:rsidR="00CF72D5" w:rsidRPr="002029AF" w:rsidRDefault="00CF72D5" w:rsidP="00B518D9">
            <w:pPr>
              <w:pStyle w:val="ARtabletextbold"/>
              <w:spacing w:before="40" w:after="20"/>
            </w:pPr>
            <w:r w:rsidRPr="002029AF">
              <w:t>Total</w:t>
            </w:r>
            <w:r w:rsidR="000A5329" w:rsidRPr="002029AF">
              <w:t xml:space="preserve"> </w:t>
            </w:r>
            <w:r w:rsidRPr="002029AF">
              <w:t>employees</w:t>
            </w:r>
          </w:p>
        </w:tc>
        <w:tc>
          <w:tcPr>
            <w:tcW w:w="320" w:type="pct"/>
            <w:hideMark/>
          </w:tcPr>
          <w:p w14:paraId="72992345" w14:textId="77777777" w:rsidR="00CF72D5" w:rsidRPr="002029AF" w:rsidRDefault="00CF72D5" w:rsidP="00B518D9">
            <w:pPr>
              <w:pStyle w:val="ARtabletextrightbold"/>
              <w:spacing w:before="40" w:after="20"/>
            </w:pPr>
            <w:r w:rsidRPr="002029AF">
              <w:t>8,732</w:t>
            </w:r>
          </w:p>
        </w:tc>
        <w:tc>
          <w:tcPr>
            <w:tcW w:w="328" w:type="pct"/>
            <w:hideMark/>
          </w:tcPr>
          <w:p w14:paraId="77EB06C6" w14:textId="77777777" w:rsidR="00CF72D5" w:rsidRPr="002029AF" w:rsidRDefault="00CF72D5" w:rsidP="00B518D9">
            <w:pPr>
              <w:pStyle w:val="ARtabletextrightbold"/>
              <w:spacing w:before="40" w:after="20"/>
            </w:pPr>
            <w:r w:rsidRPr="002029AF">
              <w:t>8,109.1</w:t>
            </w:r>
          </w:p>
        </w:tc>
        <w:tc>
          <w:tcPr>
            <w:tcW w:w="274" w:type="pct"/>
            <w:hideMark/>
          </w:tcPr>
          <w:p w14:paraId="0E6FCBC0" w14:textId="77777777" w:rsidR="00CF72D5" w:rsidRPr="002029AF" w:rsidRDefault="00CF72D5" w:rsidP="00B518D9">
            <w:pPr>
              <w:pStyle w:val="ARtabletextrightbold"/>
              <w:spacing w:before="40" w:after="20"/>
            </w:pPr>
            <w:r w:rsidRPr="002029AF">
              <w:t>5,474</w:t>
            </w:r>
          </w:p>
        </w:tc>
        <w:tc>
          <w:tcPr>
            <w:tcW w:w="274" w:type="pct"/>
            <w:hideMark/>
          </w:tcPr>
          <w:p w14:paraId="71E834ED" w14:textId="77777777" w:rsidR="00CF72D5" w:rsidRPr="002029AF" w:rsidRDefault="00CF72D5" w:rsidP="00B518D9">
            <w:pPr>
              <w:pStyle w:val="ARtabletextrightbold"/>
              <w:spacing w:before="40" w:after="20"/>
            </w:pPr>
            <w:r w:rsidRPr="002029AF">
              <w:t>1,433</w:t>
            </w:r>
          </w:p>
        </w:tc>
        <w:tc>
          <w:tcPr>
            <w:tcW w:w="328" w:type="pct"/>
            <w:hideMark/>
          </w:tcPr>
          <w:p w14:paraId="7443606E" w14:textId="77777777" w:rsidR="00CF72D5" w:rsidRPr="002029AF" w:rsidRDefault="00CF72D5" w:rsidP="00B518D9">
            <w:pPr>
              <w:pStyle w:val="ARtabletextrightbold"/>
              <w:spacing w:before="40" w:after="20"/>
            </w:pPr>
            <w:r w:rsidRPr="002029AF">
              <w:t>6,466.5</w:t>
            </w:r>
          </w:p>
        </w:tc>
        <w:tc>
          <w:tcPr>
            <w:tcW w:w="320" w:type="pct"/>
            <w:hideMark/>
          </w:tcPr>
          <w:p w14:paraId="57D7515F" w14:textId="77777777" w:rsidR="00CF72D5" w:rsidRPr="002029AF" w:rsidRDefault="00CF72D5" w:rsidP="00B518D9">
            <w:pPr>
              <w:pStyle w:val="ARtabletextrightbold"/>
              <w:spacing w:before="40" w:after="20"/>
            </w:pPr>
            <w:r w:rsidRPr="002029AF">
              <w:t>1,825</w:t>
            </w:r>
          </w:p>
        </w:tc>
        <w:tc>
          <w:tcPr>
            <w:tcW w:w="328" w:type="pct"/>
            <w:hideMark/>
          </w:tcPr>
          <w:p w14:paraId="7A599BA0" w14:textId="77777777" w:rsidR="00CF72D5" w:rsidRPr="002029AF" w:rsidRDefault="00CF72D5" w:rsidP="00B518D9">
            <w:pPr>
              <w:pStyle w:val="ARtabletextrightbold"/>
              <w:spacing w:before="40" w:after="20"/>
            </w:pPr>
            <w:r w:rsidRPr="002029AF">
              <w:t>1,642.6</w:t>
            </w:r>
          </w:p>
        </w:tc>
        <w:tc>
          <w:tcPr>
            <w:tcW w:w="320" w:type="pct"/>
            <w:hideMark/>
          </w:tcPr>
          <w:p w14:paraId="5AB43B77" w14:textId="77777777" w:rsidR="00CF72D5" w:rsidRPr="002029AF" w:rsidRDefault="00CF72D5" w:rsidP="00B518D9">
            <w:pPr>
              <w:pStyle w:val="ARtabletextrightbold"/>
              <w:spacing w:before="40" w:after="20"/>
            </w:pPr>
            <w:r w:rsidRPr="002029AF">
              <w:t>11,241</w:t>
            </w:r>
          </w:p>
        </w:tc>
        <w:tc>
          <w:tcPr>
            <w:tcW w:w="364" w:type="pct"/>
            <w:hideMark/>
          </w:tcPr>
          <w:p w14:paraId="4F5A2543" w14:textId="77777777" w:rsidR="00CF72D5" w:rsidRPr="002029AF" w:rsidRDefault="00CF72D5" w:rsidP="00B518D9">
            <w:pPr>
              <w:pStyle w:val="ARtabletextrightbold"/>
              <w:spacing w:before="40" w:after="20"/>
            </w:pPr>
            <w:r w:rsidRPr="002029AF">
              <w:t>10,082.5</w:t>
            </w:r>
          </w:p>
        </w:tc>
        <w:tc>
          <w:tcPr>
            <w:tcW w:w="274" w:type="pct"/>
            <w:hideMark/>
          </w:tcPr>
          <w:p w14:paraId="50545DCC" w14:textId="77777777" w:rsidR="00CF72D5" w:rsidRPr="002029AF" w:rsidRDefault="00CF72D5" w:rsidP="00B518D9">
            <w:pPr>
              <w:pStyle w:val="ARtabletextrightbold"/>
              <w:spacing w:before="40" w:after="20"/>
            </w:pPr>
            <w:r w:rsidRPr="002029AF">
              <w:t>6,125</w:t>
            </w:r>
          </w:p>
        </w:tc>
        <w:tc>
          <w:tcPr>
            <w:tcW w:w="274" w:type="pct"/>
            <w:hideMark/>
          </w:tcPr>
          <w:p w14:paraId="4F9F2882" w14:textId="77777777" w:rsidR="00CF72D5" w:rsidRPr="002029AF" w:rsidRDefault="00CF72D5" w:rsidP="00B518D9">
            <w:pPr>
              <w:pStyle w:val="ARtabletextrightbold"/>
              <w:spacing w:before="40" w:after="20"/>
            </w:pPr>
            <w:r w:rsidRPr="002029AF">
              <w:t>2,550</w:t>
            </w:r>
          </w:p>
        </w:tc>
        <w:tc>
          <w:tcPr>
            <w:tcW w:w="328" w:type="pct"/>
            <w:hideMark/>
          </w:tcPr>
          <w:p w14:paraId="27E1F56B" w14:textId="77777777" w:rsidR="00CF72D5" w:rsidRPr="002029AF" w:rsidRDefault="00CF72D5" w:rsidP="00B518D9">
            <w:pPr>
              <w:pStyle w:val="ARtabletextrightbold"/>
              <w:spacing w:before="40" w:after="20"/>
            </w:pPr>
            <w:r w:rsidRPr="002029AF">
              <w:t>7,997.4</w:t>
            </w:r>
          </w:p>
        </w:tc>
        <w:tc>
          <w:tcPr>
            <w:tcW w:w="321" w:type="pct"/>
            <w:hideMark/>
          </w:tcPr>
          <w:p w14:paraId="2290DCD2" w14:textId="77777777" w:rsidR="00CF72D5" w:rsidRPr="002029AF" w:rsidRDefault="00CF72D5" w:rsidP="00B518D9">
            <w:pPr>
              <w:pStyle w:val="ARtabletextrightbold"/>
              <w:spacing w:before="40" w:after="20"/>
            </w:pPr>
            <w:r w:rsidRPr="002029AF">
              <w:t>2,566</w:t>
            </w:r>
          </w:p>
        </w:tc>
        <w:tc>
          <w:tcPr>
            <w:tcW w:w="326" w:type="pct"/>
            <w:hideMark/>
          </w:tcPr>
          <w:p w14:paraId="2A741AB0" w14:textId="77777777" w:rsidR="00CF72D5" w:rsidRPr="002029AF" w:rsidRDefault="00CF72D5" w:rsidP="00B518D9">
            <w:pPr>
              <w:pStyle w:val="ARtabletextrightbold"/>
              <w:spacing w:before="40" w:after="20"/>
            </w:pPr>
            <w:r w:rsidRPr="002029AF">
              <w:t>2,085</w:t>
            </w:r>
          </w:p>
        </w:tc>
      </w:tr>
    </w:tbl>
    <w:p w14:paraId="242F0A57" w14:textId="77777777" w:rsidR="00CF72D5" w:rsidRPr="002029AF" w:rsidRDefault="00CF72D5" w:rsidP="00897193">
      <w:pPr>
        <w:pStyle w:val="ARtablefootnote"/>
      </w:pPr>
      <w:bookmarkStart w:id="83" w:name="_Ref492894739"/>
      <w:bookmarkEnd w:id="81"/>
      <w:bookmarkEnd w:id="82"/>
      <w:r w:rsidRPr="002029AF">
        <w:t>Notes:</w:t>
      </w:r>
    </w:p>
    <w:p w14:paraId="60D5B31B" w14:textId="77777777" w:rsidR="00AC4407" w:rsidRDefault="00CF72D5" w:rsidP="00897193">
      <w:pPr>
        <w:pStyle w:val="ARtablefootnote"/>
      </w:pPr>
      <w:r w:rsidRPr="002029AF">
        <w:t>na</w:t>
      </w:r>
      <w:r w:rsidR="000A5329" w:rsidRPr="002029AF">
        <w:t xml:space="preserve"> </w:t>
      </w:r>
      <w:r w:rsidRPr="002029AF">
        <w:t>=</w:t>
      </w:r>
      <w:r w:rsidR="000A5329" w:rsidRPr="002029AF">
        <w:t xml:space="preserve"> </w:t>
      </w:r>
      <w:r w:rsidRPr="002029AF">
        <w:t>not</w:t>
      </w:r>
      <w:r w:rsidR="000A5329" w:rsidRPr="002029AF">
        <w:t xml:space="preserve"> </w:t>
      </w:r>
      <w:r w:rsidRPr="002029AF">
        <w:t>available</w:t>
      </w:r>
    </w:p>
    <w:p w14:paraId="389AEBD4" w14:textId="2609CBA1" w:rsidR="7F3E9EBF" w:rsidRPr="002029AF" w:rsidRDefault="00A763C6" w:rsidP="13A22670">
      <w:pPr>
        <w:pStyle w:val="ARtablefootnote"/>
      </w:pPr>
      <w:r w:rsidRPr="002029AF">
        <w:t>STS</w:t>
      </w:r>
      <w:r w:rsidR="000A5329" w:rsidRPr="002029AF">
        <w:t xml:space="preserve"> </w:t>
      </w:r>
      <w:r w:rsidR="4054F9D9" w:rsidRPr="002029AF">
        <w:t>=</w:t>
      </w:r>
      <w:r w:rsidR="000A5329" w:rsidRPr="002029AF">
        <w:t xml:space="preserve"> </w:t>
      </w:r>
      <w:r w:rsidRPr="002029AF">
        <w:t>Senior</w:t>
      </w:r>
      <w:r w:rsidR="000A5329" w:rsidRPr="002029AF">
        <w:t xml:space="preserve"> </w:t>
      </w:r>
      <w:r w:rsidRPr="002029AF">
        <w:t>Technical</w:t>
      </w:r>
      <w:r w:rsidR="000A5329" w:rsidRPr="002029AF">
        <w:t xml:space="preserve"> </w:t>
      </w:r>
      <w:r w:rsidRPr="002029AF">
        <w:t>Specialist</w:t>
      </w:r>
    </w:p>
    <w:p w14:paraId="2C5CBB9E" w14:textId="288EEF12" w:rsidR="7F3E9EBF" w:rsidRPr="002029AF" w:rsidRDefault="4054F9D9" w:rsidP="13A22670">
      <w:pPr>
        <w:pStyle w:val="ARtablefootnote"/>
      </w:pPr>
      <w:r w:rsidRPr="002029AF">
        <w:t>SMA</w:t>
      </w:r>
      <w:r w:rsidR="000A5329" w:rsidRPr="002029AF">
        <w:t xml:space="preserve"> </w:t>
      </w:r>
      <w:r w:rsidRPr="002029AF">
        <w:t>=</w:t>
      </w:r>
      <w:r w:rsidR="000A5329" w:rsidRPr="002029AF">
        <w:t xml:space="preserve"> </w:t>
      </w:r>
      <w:r w:rsidRPr="002029AF">
        <w:t>Senior</w:t>
      </w:r>
      <w:r w:rsidR="000A5329" w:rsidRPr="002029AF">
        <w:t xml:space="preserve"> </w:t>
      </w:r>
      <w:r w:rsidRPr="002029AF">
        <w:t>Medical</w:t>
      </w:r>
      <w:r w:rsidR="000A5329" w:rsidRPr="002029AF">
        <w:t xml:space="preserve"> </w:t>
      </w:r>
      <w:r w:rsidRPr="002029AF">
        <w:t>Advisor</w:t>
      </w:r>
    </w:p>
    <w:p w14:paraId="5F1616CF" w14:textId="5463FE41" w:rsidR="00CF72D5" w:rsidRPr="002029AF" w:rsidRDefault="00CF72D5" w:rsidP="00897193">
      <w:pPr>
        <w:pStyle w:val="ARtablefootnote"/>
      </w:pPr>
      <w:r w:rsidRPr="002029AF">
        <w:t>Rounding</w:t>
      </w:r>
      <w:r w:rsidR="000A5329" w:rsidRPr="002029AF">
        <w:t xml:space="preserve"> </w:t>
      </w:r>
      <w:r w:rsidRPr="002029AF">
        <w:t>errors</w:t>
      </w:r>
      <w:r w:rsidR="000A5329" w:rsidRPr="002029AF">
        <w:t xml:space="preserve"> </w:t>
      </w:r>
      <w:r w:rsidRPr="002029AF">
        <w:t>may</w:t>
      </w:r>
      <w:r w:rsidR="000A5329" w:rsidRPr="002029AF">
        <w:t xml:space="preserve"> </w:t>
      </w:r>
      <w:r w:rsidRPr="002029AF">
        <w:t>be</w:t>
      </w:r>
      <w:r w:rsidR="000A5329" w:rsidRPr="002029AF">
        <w:t xml:space="preserve"> </w:t>
      </w:r>
      <w:r w:rsidRPr="002029AF">
        <w:t>present</w:t>
      </w:r>
      <w:r w:rsidR="000A5329" w:rsidRPr="002029AF">
        <w:t xml:space="preserve"> </w:t>
      </w:r>
      <w:r w:rsidRPr="002029AF">
        <w:t>in</w:t>
      </w:r>
      <w:r w:rsidR="000A5329" w:rsidRPr="002029AF">
        <w:t xml:space="preserve"> </w:t>
      </w:r>
      <w:r w:rsidRPr="002029AF">
        <w:t>FTE</w:t>
      </w:r>
      <w:r w:rsidR="000A5329" w:rsidRPr="002029AF">
        <w:t xml:space="preserve"> </w:t>
      </w:r>
      <w:r w:rsidRPr="002029AF">
        <w:t>tables</w:t>
      </w:r>
      <w:r w:rsidR="000A5329" w:rsidRPr="002029AF">
        <w:t xml:space="preserve"> </w:t>
      </w:r>
      <w:r w:rsidRPr="002029AF">
        <w:t>due</w:t>
      </w:r>
      <w:r w:rsidR="000A5329" w:rsidRPr="002029AF">
        <w:t xml:space="preserve"> </w:t>
      </w:r>
      <w:r w:rsidRPr="002029AF">
        <w:t>to</w:t>
      </w:r>
      <w:r w:rsidR="000A5329" w:rsidRPr="002029AF">
        <w:t xml:space="preserve"> </w:t>
      </w:r>
      <w:r w:rsidRPr="002029AF">
        <w:t>data</w:t>
      </w:r>
      <w:r w:rsidR="000A5329" w:rsidRPr="002029AF">
        <w:t xml:space="preserve"> </w:t>
      </w:r>
      <w:r w:rsidRPr="002029AF">
        <w:t>being</w:t>
      </w:r>
      <w:r w:rsidR="000A5329" w:rsidRPr="002029AF">
        <w:t xml:space="preserve"> </w:t>
      </w:r>
      <w:r w:rsidRPr="002029AF">
        <w:t>formatted</w:t>
      </w:r>
      <w:r w:rsidR="000A5329" w:rsidRPr="002029AF">
        <w:t xml:space="preserve"> </w:t>
      </w:r>
      <w:r w:rsidRPr="002029AF">
        <w:t>to</w:t>
      </w:r>
      <w:r w:rsidR="000A5329" w:rsidRPr="002029AF">
        <w:t xml:space="preserve"> </w:t>
      </w:r>
      <w:r w:rsidRPr="002029AF">
        <w:t>one</w:t>
      </w:r>
      <w:r w:rsidR="000A5329" w:rsidRPr="002029AF">
        <w:t xml:space="preserve"> </w:t>
      </w:r>
      <w:r w:rsidRPr="002029AF">
        <w:t>decimal</w:t>
      </w:r>
      <w:r w:rsidR="000A5329" w:rsidRPr="002029AF">
        <w:t xml:space="preserve"> </w:t>
      </w:r>
      <w:r w:rsidRPr="002029AF">
        <w:t>place.</w:t>
      </w:r>
    </w:p>
    <w:p w14:paraId="6D75E068" w14:textId="5330104C" w:rsidR="00CF72D5" w:rsidRPr="002029AF" w:rsidRDefault="00CF72D5" w:rsidP="00897193">
      <w:pPr>
        <w:pStyle w:val="ARtablefootnote"/>
      </w:pPr>
      <w:r w:rsidRPr="002029AF">
        <w:t>Commission</w:t>
      </w:r>
      <w:r w:rsidR="000A5329" w:rsidRPr="002029AF">
        <w:t xml:space="preserve"> </w:t>
      </w:r>
      <w:r w:rsidRPr="002029AF">
        <w:t>for</w:t>
      </w:r>
      <w:r w:rsidR="000A5329" w:rsidRPr="002029AF">
        <w:t xml:space="preserve"> </w:t>
      </w:r>
      <w:r w:rsidRPr="002029AF">
        <w:t>Children</w:t>
      </w:r>
      <w:r w:rsidR="000A5329" w:rsidRPr="002029AF">
        <w:t xml:space="preserve"> </w:t>
      </w:r>
      <w:r w:rsidRPr="002029AF">
        <w:t>and</w:t>
      </w:r>
      <w:r w:rsidR="000A5329" w:rsidRPr="002029AF">
        <w:t xml:space="preserve"> </w:t>
      </w:r>
      <w:r w:rsidRPr="002029AF">
        <w:t>Young</w:t>
      </w:r>
      <w:r w:rsidR="000A5329" w:rsidRPr="002029AF">
        <w:t xml:space="preserve"> </w:t>
      </w:r>
      <w:r w:rsidRPr="002029AF">
        <w:t>People</w:t>
      </w:r>
      <w:r w:rsidR="000A5329" w:rsidRPr="002029AF">
        <w:t xml:space="preserve"> </w:t>
      </w:r>
      <w:r w:rsidRPr="002029AF">
        <w:t>and</w:t>
      </w:r>
      <w:r w:rsidR="000A5329" w:rsidRPr="002029AF">
        <w:t xml:space="preserve"> </w:t>
      </w:r>
      <w:r w:rsidRPr="002029AF">
        <w:t>Respect</w:t>
      </w:r>
      <w:r w:rsidR="000A5329" w:rsidRPr="002029AF">
        <w:t xml:space="preserve"> </w:t>
      </w:r>
      <w:r w:rsidRPr="002029AF">
        <w:t>Victoria</w:t>
      </w:r>
      <w:r w:rsidR="000A5329" w:rsidRPr="002029AF">
        <w:t xml:space="preserve"> </w:t>
      </w:r>
      <w:r w:rsidRPr="002029AF">
        <w:t>data</w:t>
      </w:r>
      <w:r w:rsidR="000A5329" w:rsidRPr="002029AF">
        <w:t xml:space="preserve"> </w:t>
      </w:r>
      <w:r w:rsidRPr="002029AF">
        <w:t>included</w:t>
      </w:r>
      <w:r w:rsidR="000A5329" w:rsidRPr="002029AF">
        <w:t xml:space="preserve"> </w:t>
      </w:r>
      <w:r w:rsidRPr="002029AF">
        <w:t>in</w:t>
      </w:r>
      <w:r w:rsidR="000A5329" w:rsidRPr="002029AF">
        <w:t xml:space="preserve"> </w:t>
      </w:r>
      <w:r w:rsidRPr="002029AF">
        <w:t>this</w:t>
      </w:r>
      <w:r w:rsidR="000A5329" w:rsidRPr="002029AF">
        <w:t xml:space="preserve"> </w:t>
      </w:r>
      <w:r w:rsidRPr="002029AF">
        <w:t>table.</w:t>
      </w:r>
    </w:p>
    <w:p w14:paraId="5E2EF47C" w14:textId="4294373D" w:rsidR="00CF72D5" w:rsidRPr="002029AF" w:rsidRDefault="00CF72D5" w:rsidP="00897193">
      <w:pPr>
        <w:pStyle w:val="ARtablefootnote"/>
      </w:pPr>
      <w:r w:rsidRPr="002029AF">
        <w:t>Victorian</w:t>
      </w:r>
      <w:r w:rsidR="000A5329" w:rsidRPr="002029AF">
        <w:t xml:space="preserve"> </w:t>
      </w:r>
      <w:r w:rsidRPr="002029AF">
        <w:t>Health</w:t>
      </w:r>
      <w:r w:rsidR="000A5329" w:rsidRPr="002029AF">
        <w:t xml:space="preserve"> </w:t>
      </w:r>
      <w:r w:rsidRPr="002029AF">
        <w:t>and</w:t>
      </w:r>
      <w:r w:rsidR="000A5329" w:rsidRPr="002029AF">
        <w:t xml:space="preserve"> </w:t>
      </w:r>
      <w:r w:rsidRPr="002029AF">
        <w:t>Human</w:t>
      </w:r>
      <w:r w:rsidR="000A5329" w:rsidRPr="002029AF">
        <w:t xml:space="preserve"> </w:t>
      </w:r>
      <w:r w:rsidRPr="002029AF">
        <w:t>Services</w:t>
      </w:r>
      <w:r w:rsidR="000A5329" w:rsidRPr="002029AF">
        <w:t xml:space="preserve"> </w:t>
      </w:r>
      <w:r w:rsidRPr="002029AF">
        <w:t>Building</w:t>
      </w:r>
      <w:r w:rsidR="000A5329" w:rsidRPr="002029AF">
        <w:t xml:space="preserve"> </w:t>
      </w:r>
      <w:r w:rsidRPr="002029AF">
        <w:t>Authority</w:t>
      </w:r>
      <w:r w:rsidR="000A5329" w:rsidRPr="002029AF">
        <w:t xml:space="preserve"> </w:t>
      </w:r>
      <w:r w:rsidRPr="002029AF">
        <w:t>data</w:t>
      </w:r>
      <w:r w:rsidR="000A5329" w:rsidRPr="002029AF">
        <w:t xml:space="preserve"> </w:t>
      </w:r>
      <w:r w:rsidRPr="002029AF">
        <w:t>included</w:t>
      </w:r>
      <w:r w:rsidR="000A5329" w:rsidRPr="002029AF">
        <w:t xml:space="preserve"> </w:t>
      </w:r>
      <w:r w:rsidRPr="002029AF">
        <w:t>in</w:t>
      </w:r>
      <w:r w:rsidR="000A5329" w:rsidRPr="002029AF">
        <w:t xml:space="preserve"> </w:t>
      </w:r>
      <w:r w:rsidRPr="002029AF">
        <w:t>this</w:t>
      </w:r>
      <w:r w:rsidR="000A5329" w:rsidRPr="002029AF">
        <w:t xml:space="preserve"> </w:t>
      </w:r>
      <w:r w:rsidRPr="002029AF">
        <w:t>table.</w:t>
      </w:r>
    </w:p>
    <w:p w14:paraId="4A6618E1" w14:textId="2A5D79F9" w:rsidR="00CF72D5" w:rsidRPr="002029AF" w:rsidRDefault="00CF72D5" w:rsidP="00897193">
      <w:pPr>
        <w:pStyle w:val="ARtablefootnote"/>
      </w:pPr>
      <w:r w:rsidRPr="002029AF">
        <w:t>Approximately</w:t>
      </w:r>
      <w:r w:rsidR="000A5329" w:rsidRPr="002029AF">
        <w:t xml:space="preserve"> </w:t>
      </w:r>
      <w:r w:rsidRPr="002029AF">
        <w:t>5,000</w:t>
      </w:r>
      <w:r w:rsidR="000A5329" w:rsidRPr="002029AF">
        <w:t xml:space="preserve"> </w:t>
      </w:r>
      <w:r w:rsidRPr="002029AF">
        <w:t>service</w:t>
      </w:r>
      <w:r w:rsidR="000A5329" w:rsidRPr="002029AF">
        <w:t xml:space="preserve"> </w:t>
      </w:r>
      <w:r w:rsidRPr="002029AF">
        <w:t>delivery</w:t>
      </w:r>
      <w:r w:rsidR="000A5329" w:rsidRPr="002029AF">
        <w:t xml:space="preserve"> </w:t>
      </w:r>
      <w:r w:rsidRPr="002029AF">
        <w:t>staff</w:t>
      </w:r>
      <w:r w:rsidR="000A5329" w:rsidRPr="002029AF">
        <w:t xml:space="preserve"> </w:t>
      </w:r>
      <w:r w:rsidRPr="002029AF">
        <w:t>have</w:t>
      </w:r>
      <w:r w:rsidR="000A5329" w:rsidRPr="002029AF">
        <w:t xml:space="preserve"> </w:t>
      </w:r>
      <w:r w:rsidRPr="002029AF">
        <w:t>been</w:t>
      </w:r>
      <w:r w:rsidR="000A5329" w:rsidRPr="002029AF">
        <w:t xml:space="preserve"> </w:t>
      </w:r>
      <w:r w:rsidRPr="002029AF">
        <w:t>seconded</w:t>
      </w:r>
      <w:r w:rsidR="000A5329" w:rsidRPr="002029AF">
        <w:t xml:space="preserve"> </w:t>
      </w:r>
      <w:r w:rsidRPr="002029AF">
        <w:t>to</w:t>
      </w:r>
      <w:r w:rsidR="000A5329" w:rsidRPr="002029AF">
        <w:t xml:space="preserve"> </w:t>
      </w:r>
      <w:r w:rsidR="00380DF7">
        <w:t xml:space="preserve">non-government </w:t>
      </w:r>
      <w:r w:rsidRPr="002029AF">
        <w:t>providers</w:t>
      </w:r>
      <w:r w:rsidR="000A5329" w:rsidRPr="002029AF">
        <w:t xml:space="preserve"> </w:t>
      </w:r>
      <w:r w:rsidRPr="002029AF">
        <w:t>as</w:t>
      </w:r>
      <w:r w:rsidR="000A5329" w:rsidRPr="002029AF">
        <w:t xml:space="preserve"> </w:t>
      </w:r>
      <w:r w:rsidRPr="002029AF">
        <w:t>part</w:t>
      </w:r>
      <w:r w:rsidR="000A5329" w:rsidRPr="002029AF">
        <w:t xml:space="preserve"> </w:t>
      </w:r>
      <w:r w:rsidRPr="002029AF">
        <w:t>of</w:t>
      </w:r>
      <w:r w:rsidR="000A5329" w:rsidRPr="002029AF">
        <w:t xml:space="preserve"> </w:t>
      </w:r>
      <w:r w:rsidRPr="002029AF">
        <w:t>the</w:t>
      </w:r>
      <w:r w:rsidR="000A5329" w:rsidRPr="002029AF">
        <w:t xml:space="preserve"> </w:t>
      </w:r>
      <w:r w:rsidRPr="002029AF">
        <w:t>National</w:t>
      </w:r>
      <w:r w:rsidR="000A5329" w:rsidRPr="002029AF">
        <w:t xml:space="preserve"> </w:t>
      </w:r>
      <w:r w:rsidRPr="002029AF">
        <w:t>Disability</w:t>
      </w:r>
      <w:r w:rsidR="000A5329" w:rsidRPr="002029AF">
        <w:t xml:space="preserve"> </w:t>
      </w:r>
      <w:r w:rsidRPr="002029AF">
        <w:t>Insurance</w:t>
      </w:r>
      <w:r w:rsidR="000A5329" w:rsidRPr="002029AF">
        <w:t xml:space="preserve"> </w:t>
      </w:r>
      <w:r w:rsidRPr="002029AF">
        <w:t>Scheme.</w:t>
      </w:r>
    </w:p>
    <w:p w14:paraId="49D555CA" w14:textId="0090BEDD" w:rsidR="00CF72D5" w:rsidRPr="002029AF" w:rsidRDefault="00CF72D5" w:rsidP="00897193">
      <w:pPr>
        <w:pStyle w:val="ARtablefootnote"/>
        <w:sectPr w:rsidR="00CF72D5" w:rsidRPr="002029AF" w:rsidSect="008E06F1">
          <w:footerReference w:type="even" r:id="rId119"/>
          <w:pgSz w:w="16838" w:h="11906" w:orient="landscape" w:code="9"/>
          <w:pgMar w:top="1418" w:right="1985" w:bottom="1418" w:left="851" w:header="851" w:footer="851" w:gutter="0"/>
          <w:cols w:space="454"/>
          <w:docGrid w:linePitch="360"/>
          <w15:footnoteColumns w:val="1"/>
        </w:sectPr>
      </w:pPr>
      <w:r w:rsidRPr="002029AF">
        <w:t>‘Other’</w:t>
      </w:r>
      <w:r w:rsidR="000A5329" w:rsidRPr="002029AF">
        <w:t xml:space="preserve"> </w:t>
      </w:r>
      <w:r w:rsidRPr="002029AF">
        <w:t>classification</w:t>
      </w:r>
      <w:r w:rsidR="000A5329" w:rsidRPr="002029AF">
        <w:t xml:space="preserve"> </w:t>
      </w:r>
      <w:r w:rsidRPr="002029AF">
        <w:t>group</w:t>
      </w:r>
      <w:r w:rsidR="000A5329" w:rsidRPr="002029AF">
        <w:t xml:space="preserve"> </w:t>
      </w:r>
      <w:r w:rsidRPr="002029AF">
        <w:t>may</w:t>
      </w:r>
      <w:r w:rsidR="000A5329" w:rsidRPr="002029AF">
        <w:t xml:space="preserve"> </w:t>
      </w:r>
      <w:r w:rsidRPr="002029AF">
        <w:t>include</w:t>
      </w:r>
      <w:r w:rsidR="000A5329" w:rsidRPr="002029AF">
        <w:t xml:space="preserve"> </w:t>
      </w:r>
      <w:r w:rsidRPr="002029AF">
        <w:t>solicitors,</w:t>
      </w:r>
      <w:r w:rsidR="000A5329" w:rsidRPr="002029AF">
        <w:t xml:space="preserve"> </w:t>
      </w:r>
      <w:r w:rsidRPr="002029AF">
        <w:t>nurses,</w:t>
      </w:r>
      <w:r w:rsidR="000A5329" w:rsidRPr="002029AF">
        <w:t xml:space="preserve"> </w:t>
      </w:r>
      <w:r w:rsidRPr="002029AF">
        <w:t>trade</w:t>
      </w:r>
      <w:r w:rsidR="000A5329" w:rsidRPr="002029AF">
        <w:t xml:space="preserve"> </w:t>
      </w:r>
      <w:r w:rsidRPr="002029AF">
        <w:t>assistants,</w:t>
      </w:r>
      <w:r w:rsidR="000A5329" w:rsidRPr="002029AF">
        <w:t xml:space="preserve"> </w:t>
      </w:r>
      <w:r w:rsidRPr="002029AF">
        <w:t>scientists,</w:t>
      </w:r>
      <w:r w:rsidR="000A5329" w:rsidRPr="002029AF">
        <w:t xml:space="preserve"> </w:t>
      </w:r>
      <w:r w:rsidRPr="002029AF">
        <w:t>external</w:t>
      </w:r>
      <w:r w:rsidR="000A5329" w:rsidRPr="002029AF">
        <w:t xml:space="preserve"> </w:t>
      </w:r>
      <w:r w:rsidRPr="002029AF">
        <w:t>auditors.</w:t>
      </w:r>
      <w:r w:rsidRPr="002029AF">
        <w:br/>
      </w:r>
    </w:p>
    <w:p w14:paraId="18490F5C" w14:textId="591C4FD0" w:rsidR="00CF72D5" w:rsidRPr="002029AF" w:rsidRDefault="00CF72D5" w:rsidP="00897193">
      <w:pPr>
        <w:pStyle w:val="Heading3"/>
        <w:spacing w:before="0"/>
      </w:pPr>
      <w:r w:rsidRPr="002029AF">
        <w:lastRenderedPageBreak/>
        <w:t>Annualised</w:t>
      </w:r>
      <w:r w:rsidR="000A5329" w:rsidRPr="002029AF">
        <w:t xml:space="preserve"> </w:t>
      </w:r>
      <w:r w:rsidRPr="002029AF">
        <w:t>total</w:t>
      </w:r>
      <w:r w:rsidR="000A5329" w:rsidRPr="002029AF">
        <w:t xml:space="preserve"> </w:t>
      </w:r>
      <w:r w:rsidRPr="002029AF">
        <w:t>salary,</w:t>
      </w:r>
      <w:r w:rsidR="000A5329" w:rsidRPr="002029AF">
        <w:t xml:space="preserve"> </w:t>
      </w:r>
      <w:r w:rsidRPr="002029AF">
        <w:t>by</w:t>
      </w:r>
      <w:r w:rsidR="000A5329" w:rsidRPr="002029AF">
        <w:t xml:space="preserve"> </w:t>
      </w:r>
      <w:r w:rsidRPr="002029AF">
        <w:t>$20,000</w:t>
      </w:r>
      <w:r w:rsidR="000A5329" w:rsidRPr="002029AF">
        <w:t xml:space="preserve"> </w:t>
      </w:r>
      <w:r w:rsidRPr="002029AF">
        <w:t>bands,</w:t>
      </w:r>
      <w:r w:rsidR="000A5329" w:rsidRPr="002029AF">
        <w:t xml:space="preserve"> </w:t>
      </w:r>
      <w:r w:rsidRPr="002029AF">
        <w:t>for</w:t>
      </w:r>
      <w:r w:rsidR="000A5329" w:rsidRPr="002029AF">
        <w:t xml:space="preserve"> </w:t>
      </w:r>
      <w:r w:rsidRPr="002029AF">
        <w:t>executives</w:t>
      </w:r>
      <w:r w:rsidR="000A5329" w:rsidRPr="002029AF">
        <w:t xml:space="preserve"> </w:t>
      </w:r>
      <w:r w:rsidRPr="002029AF">
        <w:t>and</w:t>
      </w:r>
      <w:r w:rsidR="000A5329" w:rsidRPr="002029AF">
        <w:t xml:space="preserve"> </w:t>
      </w:r>
      <w:r w:rsidRPr="002029AF">
        <w:t>other</w:t>
      </w:r>
      <w:r w:rsidR="000A5329" w:rsidRPr="002029AF">
        <w:t xml:space="preserve"> </w:t>
      </w:r>
      <w:r w:rsidRPr="002029AF">
        <w:t>senior</w:t>
      </w:r>
      <w:r w:rsidR="000A5329" w:rsidRPr="002029AF">
        <w:t xml:space="preserve"> </w:t>
      </w:r>
      <w:r w:rsidRPr="002029AF">
        <w:t>non-executive</w:t>
      </w:r>
      <w:r w:rsidR="000A5329" w:rsidRPr="002029AF">
        <w:t xml:space="preserve"> </w:t>
      </w:r>
      <w:r w:rsidRPr="002029AF">
        <w:t>staff</w:t>
      </w:r>
    </w:p>
    <w:tbl>
      <w:tblPr>
        <w:tblW w:w="9645"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1E0" w:firstRow="1" w:lastRow="1" w:firstColumn="1" w:lastColumn="1" w:noHBand="0" w:noVBand="0"/>
      </w:tblPr>
      <w:tblGrid>
        <w:gridCol w:w="2699"/>
        <w:gridCol w:w="1418"/>
        <w:gridCol w:w="1134"/>
        <w:gridCol w:w="1134"/>
        <w:gridCol w:w="1134"/>
        <w:gridCol w:w="1134"/>
        <w:gridCol w:w="992"/>
      </w:tblGrid>
      <w:tr w:rsidR="00CF72D5" w:rsidRPr="002029AF" w14:paraId="00425371" w14:textId="77777777" w:rsidTr="00192EEE">
        <w:trPr>
          <w:cantSplit/>
          <w:tblHeader/>
        </w:trPr>
        <w:tc>
          <w:tcPr>
            <w:tcW w:w="1399" w:type="pct"/>
            <w:shd w:val="clear" w:color="auto" w:fill="auto"/>
            <w:vAlign w:val="bottom"/>
          </w:tcPr>
          <w:p w14:paraId="45DF0241" w14:textId="6C1A8259" w:rsidR="00CF72D5" w:rsidRPr="002029AF" w:rsidRDefault="00CF72D5" w:rsidP="00897193">
            <w:pPr>
              <w:pStyle w:val="ARtablecolhead"/>
            </w:pPr>
            <w:r w:rsidRPr="002029AF">
              <w:t>Income</w:t>
            </w:r>
            <w:r w:rsidR="000A5329" w:rsidRPr="002029AF">
              <w:t xml:space="preserve"> </w:t>
            </w:r>
            <w:r w:rsidRPr="002029AF">
              <w:t>band</w:t>
            </w:r>
            <w:r w:rsidR="000A5329" w:rsidRPr="002029AF">
              <w:t xml:space="preserve"> </w:t>
            </w:r>
            <w:r w:rsidRPr="002029AF">
              <w:t>(salary)</w:t>
            </w:r>
          </w:p>
        </w:tc>
        <w:tc>
          <w:tcPr>
            <w:tcW w:w="735" w:type="pct"/>
            <w:tcBorders>
              <w:top w:val="nil"/>
            </w:tcBorders>
            <w:shd w:val="clear" w:color="auto" w:fill="auto"/>
            <w:vAlign w:val="bottom"/>
          </w:tcPr>
          <w:p w14:paraId="17665C8B" w14:textId="77777777" w:rsidR="00CF72D5" w:rsidRPr="002029AF" w:rsidRDefault="00CF72D5" w:rsidP="00897193">
            <w:pPr>
              <w:pStyle w:val="ARtablecolheadright"/>
            </w:pPr>
            <w:r w:rsidRPr="002029AF">
              <w:t>Executives</w:t>
            </w:r>
          </w:p>
        </w:tc>
        <w:tc>
          <w:tcPr>
            <w:tcW w:w="588" w:type="pct"/>
            <w:tcBorders>
              <w:top w:val="nil"/>
            </w:tcBorders>
            <w:shd w:val="clear" w:color="auto" w:fill="auto"/>
            <w:vAlign w:val="bottom"/>
          </w:tcPr>
          <w:p w14:paraId="4CF90DAC" w14:textId="77777777" w:rsidR="00CF72D5" w:rsidRPr="002029AF" w:rsidRDefault="00CF72D5" w:rsidP="00897193">
            <w:pPr>
              <w:pStyle w:val="ARtablecolheadright"/>
            </w:pPr>
            <w:r w:rsidRPr="002029AF">
              <w:t>STS</w:t>
            </w:r>
          </w:p>
        </w:tc>
        <w:tc>
          <w:tcPr>
            <w:tcW w:w="588" w:type="pct"/>
            <w:tcBorders>
              <w:top w:val="nil"/>
            </w:tcBorders>
            <w:shd w:val="clear" w:color="auto" w:fill="auto"/>
            <w:vAlign w:val="bottom"/>
          </w:tcPr>
          <w:p w14:paraId="098E5CC6" w14:textId="77777777" w:rsidR="00CF72D5" w:rsidRPr="002029AF" w:rsidRDefault="00CF72D5" w:rsidP="00897193">
            <w:pPr>
              <w:pStyle w:val="ARtablecolheadright"/>
            </w:pPr>
            <w:r w:rsidRPr="002029AF">
              <w:t>PS</w:t>
            </w:r>
          </w:p>
        </w:tc>
        <w:tc>
          <w:tcPr>
            <w:tcW w:w="588" w:type="pct"/>
            <w:tcBorders>
              <w:top w:val="nil"/>
            </w:tcBorders>
            <w:vAlign w:val="bottom"/>
          </w:tcPr>
          <w:p w14:paraId="3589D0E0" w14:textId="77777777" w:rsidR="00CF72D5" w:rsidRPr="002029AF" w:rsidRDefault="00CF72D5" w:rsidP="00897193">
            <w:pPr>
              <w:pStyle w:val="ARtablecolheadright"/>
            </w:pPr>
            <w:r w:rsidRPr="002029AF">
              <w:t>SMA</w:t>
            </w:r>
          </w:p>
        </w:tc>
        <w:tc>
          <w:tcPr>
            <w:tcW w:w="588" w:type="pct"/>
            <w:tcBorders>
              <w:top w:val="nil"/>
            </w:tcBorders>
            <w:vAlign w:val="bottom"/>
          </w:tcPr>
          <w:p w14:paraId="031EFD04" w14:textId="77777777" w:rsidR="00CF72D5" w:rsidRPr="002029AF" w:rsidRDefault="00CF72D5" w:rsidP="00897193">
            <w:pPr>
              <w:pStyle w:val="ARtablecolheadright"/>
            </w:pPr>
            <w:r w:rsidRPr="002029AF">
              <w:t>SRA</w:t>
            </w:r>
          </w:p>
        </w:tc>
        <w:tc>
          <w:tcPr>
            <w:tcW w:w="514" w:type="pct"/>
            <w:tcBorders>
              <w:top w:val="nil"/>
            </w:tcBorders>
            <w:vAlign w:val="bottom"/>
          </w:tcPr>
          <w:p w14:paraId="56DD3B8C" w14:textId="77777777" w:rsidR="00CF72D5" w:rsidRPr="002029AF" w:rsidRDefault="00CF72D5" w:rsidP="00897193">
            <w:pPr>
              <w:pStyle w:val="ARtablecolheadright"/>
            </w:pPr>
            <w:r w:rsidRPr="002029AF">
              <w:t>Other</w:t>
            </w:r>
          </w:p>
        </w:tc>
      </w:tr>
      <w:tr w:rsidR="00CF72D5" w:rsidRPr="002029AF" w14:paraId="3EDC2D37" w14:textId="77777777" w:rsidTr="00897193">
        <w:trPr>
          <w:cantSplit/>
        </w:trPr>
        <w:tc>
          <w:tcPr>
            <w:tcW w:w="1399" w:type="pct"/>
            <w:tcBorders>
              <w:top w:val="single" w:sz="4" w:space="0" w:color="BFBFBF"/>
              <w:bottom w:val="single" w:sz="4" w:space="0" w:color="BFBFBF"/>
            </w:tcBorders>
            <w:shd w:val="clear" w:color="auto" w:fill="auto"/>
          </w:tcPr>
          <w:p w14:paraId="0B87B78C" w14:textId="4A74E9CB" w:rsidR="00CF72D5" w:rsidRPr="002029AF" w:rsidRDefault="00CF72D5" w:rsidP="00897193">
            <w:pPr>
              <w:pStyle w:val="ARtabletext"/>
            </w:pPr>
            <w:r w:rsidRPr="002029AF">
              <w:t>&lt;</w:t>
            </w:r>
            <w:r w:rsidR="000A5329" w:rsidRPr="002029AF">
              <w:t xml:space="preserve"> </w:t>
            </w:r>
            <w:r w:rsidRPr="002029AF">
              <w:t>$160,000</w:t>
            </w:r>
          </w:p>
        </w:tc>
        <w:tc>
          <w:tcPr>
            <w:tcW w:w="735" w:type="pct"/>
            <w:tcBorders>
              <w:top w:val="single" w:sz="4" w:space="0" w:color="BFBFBF"/>
              <w:bottom w:val="single" w:sz="4" w:space="0" w:color="BFBFBF"/>
            </w:tcBorders>
            <w:shd w:val="clear" w:color="auto" w:fill="auto"/>
          </w:tcPr>
          <w:p w14:paraId="709930C0" w14:textId="77777777" w:rsidR="00CF72D5" w:rsidRPr="002029AF" w:rsidRDefault="00CF72D5" w:rsidP="00897193">
            <w:pPr>
              <w:pStyle w:val="ARtabletextright"/>
              <w:rPr>
                <w:color w:val="000000" w:themeColor="text1"/>
              </w:rPr>
            </w:pPr>
            <w:r w:rsidRPr="002029AF">
              <w:rPr>
                <w:color w:val="000000" w:themeColor="text1"/>
              </w:rPr>
              <w:t>2</w:t>
            </w:r>
          </w:p>
        </w:tc>
        <w:tc>
          <w:tcPr>
            <w:tcW w:w="588" w:type="pct"/>
            <w:tcBorders>
              <w:top w:val="single" w:sz="4" w:space="0" w:color="BFBFBF"/>
              <w:bottom w:val="single" w:sz="4" w:space="0" w:color="BFBFBF"/>
            </w:tcBorders>
            <w:shd w:val="clear" w:color="auto" w:fill="auto"/>
          </w:tcPr>
          <w:p w14:paraId="3FF03B7D" w14:textId="77777777" w:rsidR="00CF72D5" w:rsidRPr="002029AF" w:rsidRDefault="00CF72D5" w:rsidP="00897193">
            <w:pPr>
              <w:pStyle w:val="ARtabletextright"/>
            </w:pPr>
          </w:p>
        </w:tc>
        <w:tc>
          <w:tcPr>
            <w:tcW w:w="588" w:type="pct"/>
            <w:tcBorders>
              <w:top w:val="single" w:sz="4" w:space="0" w:color="BFBFBF"/>
              <w:bottom w:val="single" w:sz="4" w:space="0" w:color="BFBFBF"/>
            </w:tcBorders>
            <w:shd w:val="clear" w:color="auto" w:fill="auto"/>
          </w:tcPr>
          <w:p w14:paraId="7E26FDCD" w14:textId="77777777" w:rsidR="00CF72D5" w:rsidRPr="002029AF" w:rsidRDefault="00CF72D5" w:rsidP="00897193">
            <w:pPr>
              <w:pStyle w:val="ARtabletextright"/>
            </w:pPr>
          </w:p>
        </w:tc>
        <w:tc>
          <w:tcPr>
            <w:tcW w:w="588" w:type="pct"/>
            <w:tcBorders>
              <w:top w:val="single" w:sz="4" w:space="0" w:color="BFBFBF"/>
              <w:bottom w:val="single" w:sz="4" w:space="0" w:color="BFBFBF"/>
            </w:tcBorders>
          </w:tcPr>
          <w:p w14:paraId="38E3A80B" w14:textId="77777777" w:rsidR="00CF72D5" w:rsidRPr="002029AF" w:rsidRDefault="00CF72D5" w:rsidP="00897193">
            <w:pPr>
              <w:pStyle w:val="ARtabletextright"/>
            </w:pPr>
          </w:p>
        </w:tc>
        <w:tc>
          <w:tcPr>
            <w:tcW w:w="588" w:type="pct"/>
            <w:tcBorders>
              <w:top w:val="single" w:sz="4" w:space="0" w:color="BFBFBF"/>
              <w:bottom w:val="single" w:sz="4" w:space="0" w:color="BFBFBF"/>
            </w:tcBorders>
          </w:tcPr>
          <w:p w14:paraId="10B29088" w14:textId="77777777" w:rsidR="00CF72D5" w:rsidRPr="002029AF" w:rsidRDefault="00CF72D5" w:rsidP="00897193">
            <w:pPr>
              <w:pStyle w:val="ARtabletextright"/>
            </w:pPr>
          </w:p>
        </w:tc>
        <w:tc>
          <w:tcPr>
            <w:tcW w:w="514" w:type="pct"/>
            <w:tcBorders>
              <w:top w:val="single" w:sz="4" w:space="0" w:color="BFBFBF"/>
              <w:bottom w:val="single" w:sz="4" w:space="0" w:color="BFBFBF"/>
            </w:tcBorders>
          </w:tcPr>
          <w:p w14:paraId="2D5F5F6A" w14:textId="77777777" w:rsidR="00CF72D5" w:rsidRPr="002029AF" w:rsidRDefault="00CF72D5" w:rsidP="00897193">
            <w:pPr>
              <w:pStyle w:val="ARtabletextright"/>
            </w:pPr>
          </w:p>
        </w:tc>
      </w:tr>
      <w:tr w:rsidR="00CF72D5" w:rsidRPr="002029AF" w14:paraId="11217853" w14:textId="77777777" w:rsidTr="00897193">
        <w:trPr>
          <w:cantSplit/>
        </w:trPr>
        <w:tc>
          <w:tcPr>
            <w:tcW w:w="1399" w:type="pct"/>
            <w:tcBorders>
              <w:top w:val="single" w:sz="4" w:space="0" w:color="BFBFBF"/>
              <w:bottom w:val="single" w:sz="4" w:space="0" w:color="BFBFBF"/>
            </w:tcBorders>
            <w:shd w:val="clear" w:color="auto" w:fill="auto"/>
          </w:tcPr>
          <w:p w14:paraId="1FBF6A4E" w14:textId="77777777" w:rsidR="00CF72D5" w:rsidRPr="002029AF" w:rsidRDefault="00CF72D5" w:rsidP="00897193">
            <w:pPr>
              <w:pStyle w:val="ARtabletext"/>
            </w:pPr>
            <w:r w:rsidRPr="002029AF">
              <w:t>$160,000–$179,999</w:t>
            </w:r>
          </w:p>
        </w:tc>
        <w:tc>
          <w:tcPr>
            <w:tcW w:w="735" w:type="pct"/>
            <w:tcBorders>
              <w:top w:val="single" w:sz="4" w:space="0" w:color="BFBFBF"/>
              <w:bottom w:val="single" w:sz="4" w:space="0" w:color="BFBFBF"/>
            </w:tcBorders>
            <w:shd w:val="clear" w:color="auto" w:fill="auto"/>
          </w:tcPr>
          <w:p w14:paraId="0D5DE537" w14:textId="77777777" w:rsidR="00CF72D5" w:rsidRPr="002029AF" w:rsidRDefault="00CF72D5" w:rsidP="00897193">
            <w:pPr>
              <w:pStyle w:val="ARtabletextright"/>
              <w:rPr>
                <w:color w:val="000000" w:themeColor="text1"/>
              </w:rPr>
            </w:pPr>
            <w:r w:rsidRPr="002029AF">
              <w:rPr>
                <w:color w:val="000000" w:themeColor="text1"/>
              </w:rPr>
              <w:t>32</w:t>
            </w:r>
          </w:p>
        </w:tc>
        <w:tc>
          <w:tcPr>
            <w:tcW w:w="588" w:type="pct"/>
            <w:tcBorders>
              <w:top w:val="single" w:sz="4" w:space="0" w:color="BFBFBF"/>
              <w:bottom w:val="single" w:sz="4" w:space="0" w:color="BFBFBF"/>
            </w:tcBorders>
            <w:shd w:val="clear" w:color="auto" w:fill="auto"/>
          </w:tcPr>
          <w:p w14:paraId="662F2F44" w14:textId="77777777" w:rsidR="00CF72D5" w:rsidRPr="002029AF" w:rsidRDefault="00CF72D5" w:rsidP="00897193">
            <w:pPr>
              <w:pStyle w:val="ARtabletextright"/>
              <w:rPr>
                <w:color w:val="000000" w:themeColor="text1"/>
              </w:rPr>
            </w:pPr>
            <w:r w:rsidRPr="002029AF">
              <w:rPr>
                <w:color w:val="000000" w:themeColor="text1"/>
              </w:rPr>
              <w:t>5</w:t>
            </w:r>
          </w:p>
        </w:tc>
        <w:tc>
          <w:tcPr>
            <w:tcW w:w="588" w:type="pct"/>
            <w:tcBorders>
              <w:top w:val="single" w:sz="4" w:space="0" w:color="BFBFBF"/>
              <w:bottom w:val="single" w:sz="4" w:space="0" w:color="BFBFBF"/>
            </w:tcBorders>
            <w:shd w:val="clear" w:color="auto" w:fill="auto"/>
          </w:tcPr>
          <w:p w14:paraId="3B353E10" w14:textId="77777777" w:rsidR="00CF72D5" w:rsidRPr="002029AF" w:rsidRDefault="00CF72D5" w:rsidP="00897193">
            <w:pPr>
              <w:pStyle w:val="ARtabletextright"/>
              <w:rPr>
                <w:color w:val="000000" w:themeColor="text1"/>
              </w:rPr>
            </w:pPr>
          </w:p>
        </w:tc>
        <w:tc>
          <w:tcPr>
            <w:tcW w:w="588" w:type="pct"/>
            <w:tcBorders>
              <w:top w:val="single" w:sz="4" w:space="0" w:color="BFBFBF"/>
              <w:bottom w:val="single" w:sz="4" w:space="0" w:color="BFBFBF"/>
            </w:tcBorders>
          </w:tcPr>
          <w:p w14:paraId="049AB70B" w14:textId="77777777" w:rsidR="00CF72D5" w:rsidRPr="002029AF" w:rsidRDefault="00CF72D5" w:rsidP="00897193">
            <w:pPr>
              <w:pStyle w:val="ARtabletextright"/>
              <w:rPr>
                <w:color w:val="000000" w:themeColor="text1"/>
              </w:rPr>
            </w:pPr>
            <w:r w:rsidRPr="002029AF">
              <w:rPr>
                <w:color w:val="000000" w:themeColor="text1"/>
              </w:rPr>
              <w:t>3</w:t>
            </w:r>
          </w:p>
        </w:tc>
        <w:tc>
          <w:tcPr>
            <w:tcW w:w="588" w:type="pct"/>
            <w:tcBorders>
              <w:top w:val="single" w:sz="4" w:space="0" w:color="BFBFBF"/>
              <w:bottom w:val="single" w:sz="4" w:space="0" w:color="BFBFBF"/>
            </w:tcBorders>
          </w:tcPr>
          <w:p w14:paraId="3E6CE28F" w14:textId="77777777" w:rsidR="00CF72D5" w:rsidRPr="002029AF" w:rsidRDefault="00CF72D5" w:rsidP="00897193">
            <w:pPr>
              <w:pStyle w:val="ARtabletextright"/>
            </w:pPr>
          </w:p>
        </w:tc>
        <w:tc>
          <w:tcPr>
            <w:tcW w:w="514" w:type="pct"/>
            <w:tcBorders>
              <w:top w:val="single" w:sz="4" w:space="0" w:color="BFBFBF"/>
              <w:bottom w:val="single" w:sz="4" w:space="0" w:color="BFBFBF"/>
            </w:tcBorders>
          </w:tcPr>
          <w:p w14:paraId="723C5F50" w14:textId="77777777" w:rsidR="00CF72D5" w:rsidRPr="002029AF" w:rsidRDefault="00CF72D5" w:rsidP="00897193">
            <w:pPr>
              <w:pStyle w:val="ARtabletextright"/>
            </w:pPr>
          </w:p>
        </w:tc>
      </w:tr>
      <w:tr w:rsidR="00CF72D5" w:rsidRPr="002029AF" w14:paraId="0092558C" w14:textId="77777777" w:rsidTr="00897193">
        <w:trPr>
          <w:cantSplit/>
        </w:trPr>
        <w:tc>
          <w:tcPr>
            <w:tcW w:w="1399" w:type="pct"/>
            <w:tcBorders>
              <w:top w:val="single" w:sz="4" w:space="0" w:color="BFBFBF"/>
              <w:bottom w:val="single" w:sz="4" w:space="0" w:color="BFBFBF"/>
            </w:tcBorders>
            <w:shd w:val="clear" w:color="auto" w:fill="auto"/>
          </w:tcPr>
          <w:p w14:paraId="4C11D028" w14:textId="77777777" w:rsidR="00CF72D5" w:rsidRPr="002029AF" w:rsidRDefault="00CF72D5" w:rsidP="00897193">
            <w:pPr>
              <w:pStyle w:val="ARtabletext"/>
            </w:pPr>
            <w:r w:rsidRPr="002029AF">
              <w:t>$180,000–$199,999</w:t>
            </w:r>
          </w:p>
        </w:tc>
        <w:tc>
          <w:tcPr>
            <w:tcW w:w="735" w:type="pct"/>
            <w:tcBorders>
              <w:top w:val="single" w:sz="4" w:space="0" w:color="BFBFBF"/>
              <w:bottom w:val="single" w:sz="4" w:space="0" w:color="BFBFBF"/>
            </w:tcBorders>
            <w:shd w:val="clear" w:color="auto" w:fill="auto"/>
          </w:tcPr>
          <w:p w14:paraId="626B7DB9" w14:textId="77777777" w:rsidR="00CF72D5" w:rsidRPr="002029AF" w:rsidRDefault="00CF72D5" w:rsidP="00897193">
            <w:pPr>
              <w:pStyle w:val="ARtabletextright"/>
              <w:rPr>
                <w:color w:val="000000" w:themeColor="text1"/>
              </w:rPr>
            </w:pPr>
            <w:r w:rsidRPr="002029AF">
              <w:rPr>
                <w:color w:val="000000" w:themeColor="text1"/>
              </w:rPr>
              <w:t>65</w:t>
            </w:r>
          </w:p>
        </w:tc>
        <w:tc>
          <w:tcPr>
            <w:tcW w:w="588" w:type="pct"/>
            <w:tcBorders>
              <w:top w:val="single" w:sz="4" w:space="0" w:color="BFBFBF"/>
              <w:bottom w:val="single" w:sz="4" w:space="0" w:color="BFBFBF"/>
            </w:tcBorders>
            <w:shd w:val="clear" w:color="auto" w:fill="auto"/>
          </w:tcPr>
          <w:p w14:paraId="50C31153" w14:textId="77777777" w:rsidR="00CF72D5" w:rsidRPr="002029AF" w:rsidRDefault="00CF72D5" w:rsidP="00897193">
            <w:pPr>
              <w:pStyle w:val="ARtabletextright"/>
              <w:rPr>
                <w:color w:val="000000" w:themeColor="text1"/>
              </w:rPr>
            </w:pPr>
            <w:r w:rsidRPr="002029AF">
              <w:rPr>
                <w:color w:val="000000" w:themeColor="text1"/>
              </w:rPr>
              <w:t>10</w:t>
            </w:r>
          </w:p>
        </w:tc>
        <w:tc>
          <w:tcPr>
            <w:tcW w:w="588" w:type="pct"/>
            <w:tcBorders>
              <w:top w:val="single" w:sz="4" w:space="0" w:color="BFBFBF"/>
              <w:bottom w:val="single" w:sz="4" w:space="0" w:color="BFBFBF"/>
            </w:tcBorders>
            <w:shd w:val="clear" w:color="auto" w:fill="auto"/>
          </w:tcPr>
          <w:p w14:paraId="667C854D" w14:textId="77777777" w:rsidR="00CF72D5" w:rsidRPr="002029AF" w:rsidRDefault="00CF72D5" w:rsidP="00897193">
            <w:pPr>
              <w:pStyle w:val="ARtabletextright"/>
              <w:rPr>
                <w:color w:val="000000" w:themeColor="text1"/>
              </w:rPr>
            </w:pPr>
          </w:p>
        </w:tc>
        <w:tc>
          <w:tcPr>
            <w:tcW w:w="588" w:type="pct"/>
            <w:tcBorders>
              <w:top w:val="single" w:sz="4" w:space="0" w:color="BFBFBF"/>
              <w:bottom w:val="single" w:sz="4" w:space="0" w:color="BFBFBF"/>
            </w:tcBorders>
          </w:tcPr>
          <w:p w14:paraId="5212C73E" w14:textId="77777777" w:rsidR="00CF72D5" w:rsidRPr="002029AF" w:rsidRDefault="00CF72D5" w:rsidP="00897193">
            <w:pPr>
              <w:pStyle w:val="ARtabletextright"/>
              <w:rPr>
                <w:color w:val="000000" w:themeColor="text1"/>
              </w:rPr>
            </w:pPr>
            <w:r w:rsidRPr="002029AF">
              <w:rPr>
                <w:color w:val="000000" w:themeColor="text1"/>
              </w:rPr>
              <w:t>7</w:t>
            </w:r>
          </w:p>
        </w:tc>
        <w:tc>
          <w:tcPr>
            <w:tcW w:w="588" w:type="pct"/>
            <w:tcBorders>
              <w:top w:val="single" w:sz="4" w:space="0" w:color="BFBFBF"/>
              <w:bottom w:val="single" w:sz="4" w:space="0" w:color="BFBFBF"/>
            </w:tcBorders>
          </w:tcPr>
          <w:p w14:paraId="3572816C" w14:textId="77777777" w:rsidR="00CF72D5" w:rsidRPr="002029AF" w:rsidRDefault="00CF72D5" w:rsidP="00897193">
            <w:pPr>
              <w:pStyle w:val="ARtabletextright"/>
            </w:pPr>
          </w:p>
        </w:tc>
        <w:tc>
          <w:tcPr>
            <w:tcW w:w="514" w:type="pct"/>
            <w:tcBorders>
              <w:top w:val="single" w:sz="4" w:space="0" w:color="BFBFBF"/>
              <w:bottom w:val="single" w:sz="4" w:space="0" w:color="BFBFBF"/>
            </w:tcBorders>
          </w:tcPr>
          <w:p w14:paraId="04DBD54B" w14:textId="77777777" w:rsidR="00CF72D5" w:rsidRPr="002029AF" w:rsidRDefault="00CF72D5" w:rsidP="00897193">
            <w:pPr>
              <w:pStyle w:val="ARtabletextright"/>
            </w:pPr>
          </w:p>
        </w:tc>
      </w:tr>
      <w:tr w:rsidR="00CF72D5" w:rsidRPr="002029AF" w14:paraId="5678935C" w14:textId="77777777" w:rsidTr="00897193">
        <w:trPr>
          <w:cantSplit/>
        </w:trPr>
        <w:tc>
          <w:tcPr>
            <w:tcW w:w="1399" w:type="pct"/>
            <w:tcBorders>
              <w:top w:val="single" w:sz="4" w:space="0" w:color="BFBFBF"/>
              <w:bottom w:val="single" w:sz="4" w:space="0" w:color="BFBFBF"/>
            </w:tcBorders>
            <w:shd w:val="clear" w:color="auto" w:fill="auto"/>
          </w:tcPr>
          <w:p w14:paraId="08E89149" w14:textId="77777777" w:rsidR="00CF72D5" w:rsidRPr="002029AF" w:rsidRDefault="00CF72D5" w:rsidP="00897193">
            <w:pPr>
              <w:pStyle w:val="ARtabletext"/>
            </w:pPr>
            <w:r w:rsidRPr="002029AF">
              <w:t>$200,000–$219,999</w:t>
            </w:r>
          </w:p>
        </w:tc>
        <w:tc>
          <w:tcPr>
            <w:tcW w:w="735" w:type="pct"/>
            <w:tcBorders>
              <w:top w:val="single" w:sz="4" w:space="0" w:color="BFBFBF"/>
              <w:bottom w:val="single" w:sz="4" w:space="0" w:color="BFBFBF"/>
            </w:tcBorders>
            <w:shd w:val="clear" w:color="auto" w:fill="auto"/>
          </w:tcPr>
          <w:p w14:paraId="5D1A648D" w14:textId="77777777" w:rsidR="00CF72D5" w:rsidRPr="002029AF" w:rsidRDefault="00CF72D5" w:rsidP="00897193">
            <w:pPr>
              <w:pStyle w:val="ARtabletextright"/>
              <w:rPr>
                <w:color w:val="000000" w:themeColor="text1"/>
              </w:rPr>
            </w:pPr>
            <w:r w:rsidRPr="002029AF">
              <w:rPr>
                <w:color w:val="000000" w:themeColor="text1"/>
              </w:rPr>
              <w:t>35</w:t>
            </w:r>
          </w:p>
        </w:tc>
        <w:tc>
          <w:tcPr>
            <w:tcW w:w="588" w:type="pct"/>
            <w:tcBorders>
              <w:top w:val="single" w:sz="4" w:space="0" w:color="BFBFBF"/>
              <w:bottom w:val="single" w:sz="4" w:space="0" w:color="BFBFBF"/>
            </w:tcBorders>
            <w:shd w:val="clear" w:color="auto" w:fill="auto"/>
          </w:tcPr>
          <w:p w14:paraId="5890620E" w14:textId="77777777" w:rsidR="00CF72D5" w:rsidRPr="002029AF" w:rsidRDefault="00CF72D5" w:rsidP="00897193">
            <w:pPr>
              <w:pStyle w:val="ARtabletextright"/>
              <w:rPr>
                <w:color w:val="000000" w:themeColor="text1"/>
              </w:rPr>
            </w:pPr>
            <w:r w:rsidRPr="002029AF">
              <w:rPr>
                <w:color w:val="000000" w:themeColor="text1"/>
              </w:rPr>
              <w:t>8</w:t>
            </w:r>
          </w:p>
        </w:tc>
        <w:tc>
          <w:tcPr>
            <w:tcW w:w="588" w:type="pct"/>
            <w:tcBorders>
              <w:top w:val="single" w:sz="4" w:space="0" w:color="BFBFBF"/>
              <w:bottom w:val="single" w:sz="4" w:space="0" w:color="BFBFBF"/>
            </w:tcBorders>
            <w:shd w:val="clear" w:color="auto" w:fill="auto"/>
          </w:tcPr>
          <w:p w14:paraId="360E99BD" w14:textId="77777777" w:rsidR="00CF72D5" w:rsidRPr="002029AF" w:rsidRDefault="00CF72D5" w:rsidP="00897193">
            <w:pPr>
              <w:pStyle w:val="ARtabletextright"/>
              <w:rPr>
                <w:color w:val="000000" w:themeColor="text1"/>
              </w:rPr>
            </w:pPr>
          </w:p>
        </w:tc>
        <w:tc>
          <w:tcPr>
            <w:tcW w:w="588" w:type="pct"/>
            <w:tcBorders>
              <w:top w:val="single" w:sz="4" w:space="0" w:color="BFBFBF"/>
              <w:bottom w:val="single" w:sz="4" w:space="0" w:color="BFBFBF"/>
            </w:tcBorders>
          </w:tcPr>
          <w:p w14:paraId="692CBBA7" w14:textId="77777777" w:rsidR="00CF72D5" w:rsidRPr="002029AF" w:rsidRDefault="00CF72D5" w:rsidP="00897193">
            <w:pPr>
              <w:pStyle w:val="ARtabletextright"/>
              <w:rPr>
                <w:color w:val="000000" w:themeColor="text1"/>
              </w:rPr>
            </w:pPr>
            <w:r w:rsidRPr="002029AF">
              <w:rPr>
                <w:color w:val="000000" w:themeColor="text1"/>
              </w:rPr>
              <w:t>4</w:t>
            </w:r>
          </w:p>
        </w:tc>
        <w:tc>
          <w:tcPr>
            <w:tcW w:w="588" w:type="pct"/>
            <w:tcBorders>
              <w:top w:val="single" w:sz="4" w:space="0" w:color="BFBFBF"/>
              <w:bottom w:val="single" w:sz="4" w:space="0" w:color="BFBFBF"/>
            </w:tcBorders>
          </w:tcPr>
          <w:p w14:paraId="7427E742" w14:textId="77777777" w:rsidR="00CF72D5" w:rsidRPr="002029AF" w:rsidRDefault="00CF72D5" w:rsidP="00897193">
            <w:pPr>
              <w:pStyle w:val="ARtabletextright"/>
            </w:pPr>
          </w:p>
        </w:tc>
        <w:tc>
          <w:tcPr>
            <w:tcW w:w="514" w:type="pct"/>
            <w:tcBorders>
              <w:top w:val="single" w:sz="4" w:space="0" w:color="BFBFBF"/>
              <w:bottom w:val="single" w:sz="4" w:space="0" w:color="BFBFBF"/>
            </w:tcBorders>
          </w:tcPr>
          <w:p w14:paraId="39DFB6E7" w14:textId="77777777" w:rsidR="00CF72D5" w:rsidRPr="002029AF" w:rsidRDefault="00CF72D5" w:rsidP="00897193">
            <w:pPr>
              <w:pStyle w:val="ARtabletextright"/>
            </w:pPr>
          </w:p>
        </w:tc>
      </w:tr>
      <w:tr w:rsidR="00CF72D5" w:rsidRPr="002029AF" w14:paraId="1114C9C7" w14:textId="77777777" w:rsidTr="00897193">
        <w:trPr>
          <w:cantSplit/>
        </w:trPr>
        <w:tc>
          <w:tcPr>
            <w:tcW w:w="1399" w:type="pct"/>
            <w:tcBorders>
              <w:top w:val="single" w:sz="4" w:space="0" w:color="BFBFBF"/>
              <w:bottom w:val="single" w:sz="4" w:space="0" w:color="BFBFBF"/>
            </w:tcBorders>
            <w:shd w:val="clear" w:color="auto" w:fill="auto"/>
          </w:tcPr>
          <w:p w14:paraId="6ABA0949" w14:textId="77777777" w:rsidR="00CF72D5" w:rsidRPr="002029AF" w:rsidRDefault="00CF72D5" w:rsidP="00897193">
            <w:pPr>
              <w:pStyle w:val="ARtabletext"/>
            </w:pPr>
            <w:r w:rsidRPr="002029AF">
              <w:t>$220,000–$239,999</w:t>
            </w:r>
          </w:p>
        </w:tc>
        <w:tc>
          <w:tcPr>
            <w:tcW w:w="735" w:type="pct"/>
            <w:tcBorders>
              <w:top w:val="single" w:sz="4" w:space="0" w:color="BFBFBF"/>
              <w:bottom w:val="single" w:sz="4" w:space="0" w:color="BFBFBF"/>
            </w:tcBorders>
            <w:shd w:val="clear" w:color="auto" w:fill="auto"/>
          </w:tcPr>
          <w:p w14:paraId="7E031FB1" w14:textId="77777777" w:rsidR="00CF72D5" w:rsidRPr="002029AF" w:rsidRDefault="00CF72D5" w:rsidP="00897193">
            <w:pPr>
              <w:pStyle w:val="ARtabletextright"/>
              <w:rPr>
                <w:color w:val="000000" w:themeColor="text1"/>
              </w:rPr>
            </w:pPr>
            <w:r w:rsidRPr="002029AF">
              <w:rPr>
                <w:color w:val="000000" w:themeColor="text1"/>
              </w:rPr>
              <w:t>34</w:t>
            </w:r>
          </w:p>
        </w:tc>
        <w:tc>
          <w:tcPr>
            <w:tcW w:w="588" w:type="pct"/>
            <w:tcBorders>
              <w:top w:val="single" w:sz="4" w:space="0" w:color="BFBFBF"/>
              <w:bottom w:val="single" w:sz="4" w:space="0" w:color="BFBFBF"/>
            </w:tcBorders>
            <w:shd w:val="clear" w:color="auto" w:fill="auto"/>
          </w:tcPr>
          <w:p w14:paraId="58E3B1E6" w14:textId="77777777" w:rsidR="00CF72D5" w:rsidRPr="002029AF" w:rsidRDefault="00CF72D5" w:rsidP="00897193">
            <w:pPr>
              <w:pStyle w:val="ARtabletextright"/>
              <w:rPr>
                <w:color w:val="000000" w:themeColor="text1"/>
              </w:rPr>
            </w:pPr>
            <w:r w:rsidRPr="002029AF">
              <w:rPr>
                <w:color w:val="000000" w:themeColor="text1"/>
              </w:rPr>
              <w:t>4</w:t>
            </w:r>
          </w:p>
        </w:tc>
        <w:tc>
          <w:tcPr>
            <w:tcW w:w="588" w:type="pct"/>
            <w:tcBorders>
              <w:top w:val="single" w:sz="4" w:space="0" w:color="BFBFBF"/>
              <w:bottom w:val="single" w:sz="4" w:space="0" w:color="BFBFBF"/>
            </w:tcBorders>
            <w:shd w:val="clear" w:color="auto" w:fill="auto"/>
          </w:tcPr>
          <w:p w14:paraId="322CB446" w14:textId="77777777" w:rsidR="00CF72D5" w:rsidRPr="002029AF" w:rsidRDefault="00CF72D5" w:rsidP="00897193">
            <w:pPr>
              <w:pStyle w:val="ARtabletextright"/>
              <w:rPr>
                <w:color w:val="000000" w:themeColor="text1"/>
              </w:rPr>
            </w:pPr>
          </w:p>
        </w:tc>
        <w:tc>
          <w:tcPr>
            <w:tcW w:w="588" w:type="pct"/>
            <w:tcBorders>
              <w:top w:val="single" w:sz="4" w:space="0" w:color="BFBFBF"/>
              <w:bottom w:val="single" w:sz="4" w:space="0" w:color="BFBFBF"/>
            </w:tcBorders>
          </w:tcPr>
          <w:p w14:paraId="780CB499" w14:textId="77777777" w:rsidR="00CF72D5" w:rsidRPr="002029AF" w:rsidRDefault="00CF72D5" w:rsidP="00897193">
            <w:pPr>
              <w:pStyle w:val="ARtabletextright"/>
              <w:rPr>
                <w:color w:val="000000" w:themeColor="text1"/>
              </w:rPr>
            </w:pPr>
            <w:r w:rsidRPr="002029AF">
              <w:rPr>
                <w:color w:val="000000" w:themeColor="text1"/>
              </w:rPr>
              <w:t>5</w:t>
            </w:r>
          </w:p>
        </w:tc>
        <w:tc>
          <w:tcPr>
            <w:tcW w:w="588" w:type="pct"/>
            <w:tcBorders>
              <w:top w:val="single" w:sz="4" w:space="0" w:color="BFBFBF"/>
              <w:bottom w:val="single" w:sz="4" w:space="0" w:color="BFBFBF"/>
            </w:tcBorders>
          </w:tcPr>
          <w:p w14:paraId="1A794340" w14:textId="77777777" w:rsidR="00CF72D5" w:rsidRPr="002029AF" w:rsidRDefault="00CF72D5" w:rsidP="00897193">
            <w:pPr>
              <w:pStyle w:val="ARtabletextright"/>
            </w:pPr>
          </w:p>
        </w:tc>
        <w:tc>
          <w:tcPr>
            <w:tcW w:w="514" w:type="pct"/>
            <w:tcBorders>
              <w:top w:val="single" w:sz="4" w:space="0" w:color="BFBFBF"/>
              <w:bottom w:val="single" w:sz="4" w:space="0" w:color="BFBFBF"/>
            </w:tcBorders>
          </w:tcPr>
          <w:p w14:paraId="3915B6DB" w14:textId="77777777" w:rsidR="00CF72D5" w:rsidRPr="002029AF" w:rsidRDefault="00CF72D5" w:rsidP="00897193">
            <w:pPr>
              <w:pStyle w:val="ARtabletextright"/>
            </w:pPr>
          </w:p>
        </w:tc>
      </w:tr>
      <w:tr w:rsidR="00CF72D5" w:rsidRPr="002029AF" w14:paraId="09B608AB" w14:textId="77777777" w:rsidTr="00897193">
        <w:trPr>
          <w:cantSplit/>
        </w:trPr>
        <w:tc>
          <w:tcPr>
            <w:tcW w:w="1399" w:type="pct"/>
            <w:tcBorders>
              <w:top w:val="single" w:sz="4" w:space="0" w:color="BFBFBF"/>
              <w:bottom w:val="single" w:sz="4" w:space="0" w:color="BFBFBF"/>
            </w:tcBorders>
            <w:shd w:val="clear" w:color="auto" w:fill="auto"/>
          </w:tcPr>
          <w:p w14:paraId="658D7F14" w14:textId="77777777" w:rsidR="00CF72D5" w:rsidRPr="002029AF" w:rsidRDefault="00CF72D5" w:rsidP="00897193">
            <w:pPr>
              <w:pStyle w:val="ARtabletext"/>
            </w:pPr>
            <w:r w:rsidRPr="002029AF">
              <w:t>$240,000–$259,999</w:t>
            </w:r>
          </w:p>
        </w:tc>
        <w:tc>
          <w:tcPr>
            <w:tcW w:w="735" w:type="pct"/>
            <w:tcBorders>
              <w:top w:val="single" w:sz="4" w:space="0" w:color="BFBFBF"/>
              <w:bottom w:val="single" w:sz="4" w:space="0" w:color="BFBFBF"/>
            </w:tcBorders>
            <w:shd w:val="clear" w:color="auto" w:fill="auto"/>
          </w:tcPr>
          <w:p w14:paraId="00510D6B" w14:textId="77777777" w:rsidR="00CF72D5" w:rsidRPr="002029AF" w:rsidRDefault="00CF72D5" w:rsidP="00897193">
            <w:pPr>
              <w:pStyle w:val="ARtabletextright"/>
              <w:rPr>
                <w:color w:val="000000" w:themeColor="text1"/>
              </w:rPr>
            </w:pPr>
            <w:r w:rsidRPr="002029AF">
              <w:rPr>
                <w:color w:val="000000" w:themeColor="text1"/>
              </w:rPr>
              <w:t>14</w:t>
            </w:r>
          </w:p>
        </w:tc>
        <w:tc>
          <w:tcPr>
            <w:tcW w:w="588" w:type="pct"/>
            <w:tcBorders>
              <w:top w:val="single" w:sz="4" w:space="0" w:color="BFBFBF"/>
              <w:bottom w:val="single" w:sz="4" w:space="0" w:color="BFBFBF"/>
            </w:tcBorders>
            <w:shd w:val="clear" w:color="auto" w:fill="auto"/>
          </w:tcPr>
          <w:p w14:paraId="407C6B9B" w14:textId="77777777" w:rsidR="00CF72D5" w:rsidRPr="002029AF" w:rsidRDefault="00CF72D5" w:rsidP="00897193">
            <w:pPr>
              <w:pStyle w:val="ARtabletextright"/>
              <w:rPr>
                <w:color w:val="000000" w:themeColor="text1"/>
              </w:rPr>
            </w:pPr>
          </w:p>
        </w:tc>
        <w:tc>
          <w:tcPr>
            <w:tcW w:w="588" w:type="pct"/>
            <w:tcBorders>
              <w:top w:val="single" w:sz="4" w:space="0" w:color="BFBFBF"/>
              <w:bottom w:val="single" w:sz="4" w:space="0" w:color="BFBFBF"/>
            </w:tcBorders>
            <w:shd w:val="clear" w:color="auto" w:fill="auto"/>
          </w:tcPr>
          <w:p w14:paraId="0038F9D2" w14:textId="77777777" w:rsidR="00CF72D5" w:rsidRPr="002029AF" w:rsidRDefault="00CF72D5" w:rsidP="00897193">
            <w:pPr>
              <w:pStyle w:val="ARtabletextright"/>
              <w:rPr>
                <w:color w:val="000000" w:themeColor="text1"/>
              </w:rPr>
            </w:pPr>
          </w:p>
        </w:tc>
        <w:tc>
          <w:tcPr>
            <w:tcW w:w="588" w:type="pct"/>
            <w:tcBorders>
              <w:top w:val="single" w:sz="4" w:space="0" w:color="BFBFBF"/>
              <w:bottom w:val="single" w:sz="4" w:space="0" w:color="BFBFBF"/>
            </w:tcBorders>
          </w:tcPr>
          <w:p w14:paraId="24D4AD5B" w14:textId="77777777" w:rsidR="00CF72D5" w:rsidRPr="002029AF" w:rsidRDefault="00CF72D5" w:rsidP="00897193">
            <w:pPr>
              <w:pStyle w:val="ARtabletextright"/>
              <w:rPr>
                <w:color w:val="000000" w:themeColor="text1"/>
              </w:rPr>
            </w:pPr>
            <w:r w:rsidRPr="002029AF">
              <w:rPr>
                <w:color w:val="000000" w:themeColor="text1"/>
              </w:rPr>
              <w:t>6</w:t>
            </w:r>
          </w:p>
        </w:tc>
        <w:tc>
          <w:tcPr>
            <w:tcW w:w="588" w:type="pct"/>
            <w:tcBorders>
              <w:top w:val="single" w:sz="4" w:space="0" w:color="BFBFBF"/>
              <w:bottom w:val="single" w:sz="4" w:space="0" w:color="BFBFBF"/>
            </w:tcBorders>
          </w:tcPr>
          <w:p w14:paraId="0E0B3B27" w14:textId="77777777" w:rsidR="00CF72D5" w:rsidRPr="002029AF" w:rsidRDefault="00CF72D5" w:rsidP="00897193">
            <w:pPr>
              <w:pStyle w:val="ARtabletextright"/>
            </w:pPr>
          </w:p>
        </w:tc>
        <w:tc>
          <w:tcPr>
            <w:tcW w:w="514" w:type="pct"/>
            <w:tcBorders>
              <w:top w:val="single" w:sz="4" w:space="0" w:color="BFBFBF"/>
              <w:bottom w:val="single" w:sz="4" w:space="0" w:color="BFBFBF"/>
            </w:tcBorders>
          </w:tcPr>
          <w:p w14:paraId="5FE906C8" w14:textId="77777777" w:rsidR="00CF72D5" w:rsidRPr="002029AF" w:rsidRDefault="00CF72D5" w:rsidP="00897193">
            <w:pPr>
              <w:pStyle w:val="ARtabletextright"/>
            </w:pPr>
          </w:p>
        </w:tc>
      </w:tr>
      <w:tr w:rsidR="00CF72D5" w:rsidRPr="002029AF" w14:paraId="06A6D401" w14:textId="77777777" w:rsidTr="00897193">
        <w:tblPrEx>
          <w:tblLook w:val="04A0" w:firstRow="1" w:lastRow="0" w:firstColumn="1" w:lastColumn="0" w:noHBand="0" w:noVBand="1"/>
        </w:tblPrEx>
        <w:trPr>
          <w:cantSplit/>
        </w:trPr>
        <w:tc>
          <w:tcPr>
            <w:tcW w:w="1399" w:type="pct"/>
            <w:tcBorders>
              <w:top w:val="single" w:sz="4" w:space="0" w:color="BFBFBF"/>
              <w:bottom w:val="single" w:sz="4" w:space="0" w:color="BFBFBF"/>
            </w:tcBorders>
            <w:shd w:val="clear" w:color="auto" w:fill="auto"/>
          </w:tcPr>
          <w:p w14:paraId="27772BB7" w14:textId="77777777" w:rsidR="00CF72D5" w:rsidRPr="002029AF" w:rsidRDefault="00CF72D5" w:rsidP="00897193">
            <w:pPr>
              <w:pStyle w:val="ARtabletext"/>
            </w:pPr>
            <w:r w:rsidRPr="002029AF">
              <w:t>$260,000–$279,999</w:t>
            </w:r>
          </w:p>
        </w:tc>
        <w:tc>
          <w:tcPr>
            <w:tcW w:w="735" w:type="pct"/>
            <w:tcBorders>
              <w:top w:val="single" w:sz="4" w:space="0" w:color="BFBFBF"/>
              <w:bottom w:val="single" w:sz="4" w:space="0" w:color="BFBFBF"/>
            </w:tcBorders>
            <w:shd w:val="clear" w:color="auto" w:fill="auto"/>
          </w:tcPr>
          <w:p w14:paraId="21D4C9AC" w14:textId="77777777" w:rsidR="00CF72D5" w:rsidRPr="002029AF" w:rsidRDefault="00CF72D5" w:rsidP="00897193">
            <w:pPr>
              <w:pStyle w:val="ARtabletextright"/>
              <w:rPr>
                <w:color w:val="000000" w:themeColor="text1"/>
              </w:rPr>
            </w:pPr>
            <w:r w:rsidRPr="002029AF">
              <w:rPr>
                <w:color w:val="000000" w:themeColor="text1"/>
              </w:rPr>
              <w:t>6</w:t>
            </w:r>
          </w:p>
        </w:tc>
        <w:tc>
          <w:tcPr>
            <w:tcW w:w="588" w:type="pct"/>
            <w:tcBorders>
              <w:top w:val="single" w:sz="4" w:space="0" w:color="BFBFBF"/>
              <w:bottom w:val="single" w:sz="4" w:space="0" w:color="BFBFBF"/>
            </w:tcBorders>
            <w:shd w:val="clear" w:color="auto" w:fill="auto"/>
          </w:tcPr>
          <w:p w14:paraId="7B499C2E" w14:textId="77777777" w:rsidR="00CF72D5" w:rsidRPr="002029AF" w:rsidRDefault="00CF72D5" w:rsidP="00897193">
            <w:pPr>
              <w:pStyle w:val="ARtabletextright"/>
              <w:rPr>
                <w:color w:val="000000" w:themeColor="text1"/>
              </w:rPr>
            </w:pPr>
          </w:p>
        </w:tc>
        <w:tc>
          <w:tcPr>
            <w:tcW w:w="588" w:type="pct"/>
            <w:tcBorders>
              <w:top w:val="single" w:sz="4" w:space="0" w:color="BFBFBF"/>
              <w:bottom w:val="single" w:sz="4" w:space="0" w:color="BFBFBF"/>
            </w:tcBorders>
            <w:shd w:val="clear" w:color="auto" w:fill="auto"/>
          </w:tcPr>
          <w:p w14:paraId="51F9829A" w14:textId="77777777" w:rsidR="00CF72D5" w:rsidRPr="002029AF" w:rsidRDefault="00CF72D5" w:rsidP="00897193">
            <w:pPr>
              <w:pStyle w:val="ARtabletextright"/>
              <w:rPr>
                <w:color w:val="000000" w:themeColor="text1"/>
              </w:rPr>
            </w:pPr>
          </w:p>
        </w:tc>
        <w:tc>
          <w:tcPr>
            <w:tcW w:w="588" w:type="pct"/>
            <w:tcBorders>
              <w:top w:val="single" w:sz="4" w:space="0" w:color="BFBFBF"/>
              <w:bottom w:val="single" w:sz="4" w:space="0" w:color="BFBFBF"/>
            </w:tcBorders>
          </w:tcPr>
          <w:p w14:paraId="6C142B61" w14:textId="77777777" w:rsidR="00CF72D5" w:rsidRPr="002029AF" w:rsidRDefault="00CF72D5" w:rsidP="00897193">
            <w:pPr>
              <w:pStyle w:val="ARtabletextright"/>
              <w:rPr>
                <w:color w:val="000000" w:themeColor="text1"/>
              </w:rPr>
            </w:pPr>
          </w:p>
        </w:tc>
        <w:tc>
          <w:tcPr>
            <w:tcW w:w="588" w:type="pct"/>
            <w:tcBorders>
              <w:top w:val="single" w:sz="4" w:space="0" w:color="BFBFBF"/>
              <w:bottom w:val="single" w:sz="4" w:space="0" w:color="BFBFBF"/>
            </w:tcBorders>
          </w:tcPr>
          <w:p w14:paraId="5CD1157B" w14:textId="77777777" w:rsidR="00CF72D5" w:rsidRPr="002029AF" w:rsidRDefault="00CF72D5" w:rsidP="00897193">
            <w:pPr>
              <w:pStyle w:val="ARtabletextright"/>
            </w:pPr>
          </w:p>
        </w:tc>
        <w:tc>
          <w:tcPr>
            <w:tcW w:w="514" w:type="pct"/>
            <w:tcBorders>
              <w:top w:val="single" w:sz="4" w:space="0" w:color="BFBFBF"/>
              <w:bottom w:val="single" w:sz="4" w:space="0" w:color="BFBFBF"/>
            </w:tcBorders>
          </w:tcPr>
          <w:p w14:paraId="5C320997" w14:textId="77777777" w:rsidR="00CF72D5" w:rsidRPr="002029AF" w:rsidRDefault="00CF72D5" w:rsidP="00897193">
            <w:pPr>
              <w:pStyle w:val="ARtabletextright"/>
            </w:pPr>
          </w:p>
        </w:tc>
      </w:tr>
      <w:tr w:rsidR="00CF72D5" w:rsidRPr="002029AF" w14:paraId="4BE0C695" w14:textId="77777777" w:rsidTr="00897193">
        <w:tblPrEx>
          <w:tblLook w:val="04A0" w:firstRow="1" w:lastRow="0" w:firstColumn="1" w:lastColumn="0" w:noHBand="0" w:noVBand="1"/>
        </w:tblPrEx>
        <w:trPr>
          <w:cantSplit/>
        </w:trPr>
        <w:tc>
          <w:tcPr>
            <w:tcW w:w="1399" w:type="pct"/>
            <w:tcBorders>
              <w:top w:val="single" w:sz="4" w:space="0" w:color="BFBFBF"/>
              <w:bottom w:val="single" w:sz="4" w:space="0" w:color="BFBFBF"/>
            </w:tcBorders>
            <w:shd w:val="clear" w:color="auto" w:fill="auto"/>
          </w:tcPr>
          <w:p w14:paraId="491FDE4A" w14:textId="77777777" w:rsidR="00CF72D5" w:rsidRPr="002029AF" w:rsidRDefault="00CF72D5" w:rsidP="00897193">
            <w:pPr>
              <w:pStyle w:val="ARtabletext"/>
            </w:pPr>
            <w:r w:rsidRPr="002029AF">
              <w:t>$280,000–$299,999</w:t>
            </w:r>
          </w:p>
        </w:tc>
        <w:tc>
          <w:tcPr>
            <w:tcW w:w="735" w:type="pct"/>
            <w:tcBorders>
              <w:top w:val="single" w:sz="4" w:space="0" w:color="BFBFBF"/>
              <w:bottom w:val="single" w:sz="4" w:space="0" w:color="BFBFBF"/>
            </w:tcBorders>
            <w:shd w:val="clear" w:color="auto" w:fill="auto"/>
          </w:tcPr>
          <w:p w14:paraId="669F9200" w14:textId="77777777" w:rsidR="00CF72D5" w:rsidRPr="002029AF" w:rsidRDefault="00CF72D5" w:rsidP="00897193">
            <w:pPr>
              <w:pStyle w:val="ARtabletextright"/>
              <w:rPr>
                <w:color w:val="000000" w:themeColor="text1"/>
              </w:rPr>
            </w:pPr>
            <w:r w:rsidRPr="002029AF">
              <w:rPr>
                <w:color w:val="000000" w:themeColor="text1"/>
              </w:rPr>
              <w:t>7</w:t>
            </w:r>
          </w:p>
        </w:tc>
        <w:tc>
          <w:tcPr>
            <w:tcW w:w="588" w:type="pct"/>
            <w:tcBorders>
              <w:top w:val="single" w:sz="4" w:space="0" w:color="BFBFBF"/>
              <w:bottom w:val="single" w:sz="4" w:space="0" w:color="BFBFBF"/>
            </w:tcBorders>
            <w:shd w:val="clear" w:color="auto" w:fill="auto"/>
          </w:tcPr>
          <w:p w14:paraId="12B0F108" w14:textId="77777777" w:rsidR="00CF72D5" w:rsidRPr="002029AF" w:rsidRDefault="00CF72D5" w:rsidP="00897193">
            <w:pPr>
              <w:pStyle w:val="ARtabletextright"/>
              <w:rPr>
                <w:color w:val="000000" w:themeColor="text1"/>
              </w:rPr>
            </w:pPr>
          </w:p>
        </w:tc>
        <w:tc>
          <w:tcPr>
            <w:tcW w:w="588" w:type="pct"/>
            <w:tcBorders>
              <w:top w:val="single" w:sz="4" w:space="0" w:color="BFBFBF"/>
              <w:bottom w:val="single" w:sz="4" w:space="0" w:color="BFBFBF"/>
            </w:tcBorders>
            <w:shd w:val="clear" w:color="auto" w:fill="auto"/>
          </w:tcPr>
          <w:p w14:paraId="291B6A05" w14:textId="77777777" w:rsidR="00CF72D5" w:rsidRPr="002029AF" w:rsidRDefault="00CF72D5" w:rsidP="00897193">
            <w:pPr>
              <w:pStyle w:val="ARtabletextright"/>
              <w:rPr>
                <w:color w:val="000000" w:themeColor="text1"/>
              </w:rPr>
            </w:pPr>
          </w:p>
        </w:tc>
        <w:tc>
          <w:tcPr>
            <w:tcW w:w="588" w:type="pct"/>
            <w:tcBorders>
              <w:top w:val="single" w:sz="4" w:space="0" w:color="BFBFBF"/>
              <w:bottom w:val="single" w:sz="4" w:space="0" w:color="BFBFBF"/>
            </w:tcBorders>
          </w:tcPr>
          <w:p w14:paraId="1BBEF871" w14:textId="77777777" w:rsidR="00CF72D5" w:rsidRPr="002029AF" w:rsidRDefault="00CF72D5" w:rsidP="00897193">
            <w:pPr>
              <w:pStyle w:val="ARtabletextright"/>
              <w:rPr>
                <w:color w:val="000000" w:themeColor="text1"/>
              </w:rPr>
            </w:pPr>
            <w:r w:rsidRPr="002029AF">
              <w:rPr>
                <w:color w:val="000000" w:themeColor="text1"/>
              </w:rPr>
              <w:t>2</w:t>
            </w:r>
          </w:p>
        </w:tc>
        <w:tc>
          <w:tcPr>
            <w:tcW w:w="588" w:type="pct"/>
            <w:tcBorders>
              <w:top w:val="single" w:sz="4" w:space="0" w:color="BFBFBF"/>
              <w:bottom w:val="single" w:sz="4" w:space="0" w:color="BFBFBF"/>
            </w:tcBorders>
          </w:tcPr>
          <w:p w14:paraId="084DCA7D" w14:textId="77777777" w:rsidR="00CF72D5" w:rsidRPr="002029AF" w:rsidRDefault="00CF72D5" w:rsidP="00897193">
            <w:pPr>
              <w:pStyle w:val="ARtabletextright"/>
            </w:pPr>
          </w:p>
        </w:tc>
        <w:tc>
          <w:tcPr>
            <w:tcW w:w="514" w:type="pct"/>
            <w:tcBorders>
              <w:top w:val="single" w:sz="4" w:space="0" w:color="BFBFBF"/>
              <w:bottom w:val="single" w:sz="4" w:space="0" w:color="BFBFBF"/>
            </w:tcBorders>
          </w:tcPr>
          <w:p w14:paraId="2B5DE32C" w14:textId="77777777" w:rsidR="00CF72D5" w:rsidRPr="002029AF" w:rsidRDefault="00CF72D5" w:rsidP="00897193">
            <w:pPr>
              <w:pStyle w:val="ARtabletextright"/>
            </w:pPr>
          </w:p>
        </w:tc>
      </w:tr>
      <w:tr w:rsidR="00CF72D5" w:rsidRPr="002029AF" w14:paraId="75612716" w14:textId="77777777" w:rsidTr="00897193">
        <w:tblPrEx>
          <w:tblLook w:val="04A0" w:firstRow="1" w:lastRow="0" w:firstColumn="1" w:lastColumn="0" w:noHBand="0" w:noVBand="1"/>
        </w:tblPrEx>
        <w:trPr>
          <w:cantSplit/>
        </w:trPr>
        <w:tc>
          <w:tcPr>
            <w:tcW w:w="1399" w:type="pct"/>
            <w:tcBorders>
              <w:top w:val="single" w:sz="4" w:space="0" w:color="BFBFBF"/>
              <w:bottom w:val="single" w:sz="4" w:space="0" w:color="BFBFBF"/>
            </w:tcBorders>
            <w:shd w:val="clear" w:color="auto" w:fill="auto"/>
          </w:tcPr>
          <w:p w14:paraId="092F136E" w14:textId="77777777" w:rsidR="00CF72D5" w:rsidRPr="002029AF" w:rsidRDefault="00CF72D5" w:rsidP="00897193">
            <w:pPr>
              <w:pStyle w:val="ARtabletext"/>
            </w:pPr>
            <w:r w:rsidRPr="002029AF">
              <w:t>$300,000–$319,999</w:t>
            </w:r>
          </w:p>
        </w:tc>
        <w:tc>
          <w:tcPr>
            <w:tcW w:w="735" w:type="pct"/>
            <w:tcBorders>
              <w:top w:val="single" w:sz="4" w:space="0" w:color="BFBFBF"/>
              <w:bottom w:val="single" w:sz="4" w:space="0" w:color="BFBFBF"/>
            </w:tcBorders>
            <w:shd w:val="clear" w:color="auto" w:fill="auto"/>
          </w:tcPr>
          <w:p w14:paraId="6E091982" w14:textId="77777777" w:rsidR="00CF72D5" w:rsidRPr="002029AF" w:rsidRDefault="00CF72D5" w:rsidP="00897193">
            <w:pPr>
              <w:pStyle w:val="ARtabletextright"/>
              <w:rPr>
                <w:color w:val="000000" w:themeColor="text1"/>
              </w:rPr>
            </w:pPr>
            <w:r w:rsidRPr="002029AF">
              <w:rPr>
                <w:color w:val="000000" w:themeColor="text1"/>
              </w:rPr>
              <w:t>7</w:t>
            </w:r>
          </w:p>
        </w:tc>
        <w:tc>
          <w:tcPr>
            <w:tcW w:w="588" w:type="pct"/>
            <w:tcBorders>
              <w:top w:val="single" w:sz="4" w:space="0" w:color="BFBFBF"/>
              <w:bottom w:val="single" w:sz="4" w:space="0" w:color="BFBFBF"/>
            </w:tcBorders>
            <w:shd w:val="clear" w:color="auto" w:fill="auto"/>
          </w:tcPr>
          <w:p w14:paraId="6E24730E" w14:textId="77777777" w:rsidR="00CF72D5" w:rsidRPr="002029AF" w:rsidRDefault="00CF72D5" w:rsidP="00897193">
            <w:pPr>
              <w:pStyle w:val="ARtabletextright"/>
              <w:rPr>
                <w:color w:val="000000" w:themeColor="text1"/>
              </w:rPr>
            </w:pPr>
          </w:p>
        </w:tc>
        <w:tc>
          <w:tcPr>
            <w:tcW w:w="588" w:type="pct"/>
            <w:tcBorders>
              <w:top w:val="single" w:sz="4" w:space="0" w:color="BFBFBF"/>
              <w:bottom w:val="single" w:sz="4" w:space="0" w:color="BFBFBF"/>
            </w:tcBorders>
            <w:shd w:val="clear" w:color="auto" w:fill="auto"/>
          </w:tcPr>
          <w:p w14:paraId="075ED068" w14:textId="77777777" w:rsidR="00CF72D5" w:rsidRPr="002029AF" w:rsidRDefault="00CF72D5" w:rsidP="00897193">
            <w:pPr>
              <w:pStyle w:val="ARtabletextright"/>
              <w:rPr>
                <w:color w:val="000000" w:themeColor="text1"/>
              </w:rPr>
            </w:pPr>
          </w:p>
        </w:tc>
        <w:tc>
          <w:tcPr>
            <w:tcW w:w="588" w:type="pct"/>
            <w:tcBorders>
              <w:top w:val="single" w:sz="4" w:space="0" w:color="BFBFBF"/>
              <w:bottom w:val="single" w:sz="4" w:space="0" w:color="BFBFBF"/>
            </w:tcBorders>
          </w:tcPr>
          <w:p w14:paraId="5B6DE40C" w14:textId="77777777" w:rsidR="00CF72D5" w:rsidRPr="002029AF" w:rsidRDefault="00CF72D5" w:rsidP="00897193">
            <w:pPr>
              <w:pStyle w:val="ARtabletextright"/>
              <w:rPr>
                <w:color w:val="000000" w:themeColor="text1"/>
              </w:rPr>
            </w:pPr>
          </w:p>
        </w:tc>
        <w:tc>
          <w:tcPr>
            <w:tcW w:w="588" w:type="pct"/>
            <w:tcBorders>
              <w:top w:val="single" w:sz="4" w:space="0" w:color="BFBFBF"/>
              <w:bottom w:val="single" w:sz="4" w:space="0" w:color="BFBFBF"/>
            </w:tcBorders>
          </w:tcPr>
          <w:p w14:paraId="21D27807" w14:textId="77777777" w:rsidR="00CF72D5" w:rsidRPr="002029AF" w:rsidRDefault="00CF72D5" w:rsidP="00897193">
            <w:pPr>
              <w:pStyle w:val="ARtabletextright"/>
            </w:pPr>
          </w:p>
        </w:tc>
        <w:tc>
          <w:tcPr>
            <w:tcW w:w="514" w:type="pct"/>
            <w:tcBorders>
              <w:top w:val="single" w:sz="4" w:space="0" w:color="BFBFBF"/>
              <w:bottom w:val="single" w:sz="4" w:space="0" w:color="BFBFBF"/>
            </w:tcBorders>
          </w:tcPr>
          <w:p w14:paraId="22536BF4" w14:textId="77777777" w:rsidR="00CF72D5" w:rsidRPr="002029AF" w:rsidRDefault="00CF72D5" w:rsidP="00897193">
            <w:pPr>
              <w:pStyle w:val="ARtabletextright"/>
            </w:pPr>
          </w:p>
        </w:tc>
      </w:tr>
      <w:tr w:rsidR="00CF72D5" w:rsidRPr="002029AF" w14:paraId="13817DBC" w14:textId="77777777" w:rsidTr="00897193">
        <w:trPr>
          <w:cantSplit/>
        </w:trPr>
        <w:tc>
          <w:tcPr>
            <w:tcW w:w="1399" w:type="pct"/>
            <w:tcBorders>
              <w:top w:val="single" w:sz="4" w:space="0" w:color="BFBFBF"/>
              <w:bottom w:val="single" w:sz="4" w:space="0" w:color="BFBFBF"/>
            </w:tcBorders>
            <w:shd w:val="clear" w:color="auto" w:fill="auto"/>
          </w:tcPr>
          <w:p w14:paraId="2B2560B8" w14:textId="77777777" w:rsidR="00CF72D5" w:rsidRPr="002029AF" w:rsidRDefault="00CF72D5" w:rsidP="00897193">
            <w:pPr>
              <w:pStyle w:val="ARtabletext"/>
            </w:pPr>
            <w:r w:rsidRPr="002029AF">
              <w:t>$320,000–$339,999</w:t>
            </w:r>
          </w:p>
        </w:tc>
        <w:tc>
          <w:tcPr>
            <w:tcW w:w="735" w:type="pct"/>
            <w:tcBorders>
              <w:top w:val="single" w:sz="4" w:space="0" w:color="BFBFBF"/>
              <w:bottom w:val="single" w:sz="4" w:space="0" w:color="BFBFBF"/>
            </w:tcBorders>
            <w:shd w:val="clear" w:color="auto" w:fill="auto"/>
          </w:tcPr>
          <w:p w14:paraId="53FC31B5" w14:textId="77777777" w:rsidR="00CF72D5" w:rsidRPr="002029AF" w:rsidRDefault="00CF72D5" w:rsidP="00897193">
            <w:pPr>
              <w:pStyle w:val="ARtabletextright"/>
              <w:rPr>
                <w:color w:val="000000" w:themeColor="text1"/>
              </w:rPr>
            </w:pPr>
            <w:r w:rsidRPr="002029AF">
              <w:rPr>
                <w:color w:val="000000" w:themeColor="text1"/>
              </w:rPr>
              <w:t>5</w:t>
            </w:r>
          </w:p>
        </w:tc>
        <w:tc>
          <w:tcPr>
            <w:tcW w:w="588" w:type="pct"/>
            <w:tcBorders>
              <w:top w:val="single" w:sz="4" w:space="0" w:color="BFBFBF"/>
              <w:bottom w:val="single" w:sz="4" w:space="0" w:color="BFBFBF"/>
            </w:tcBorders>
            <w:shd w:val="clear" w:color="auto" w:fill="auto"/>
          </w:tcPr>
          <w:p w14:paraId="0D0BD5CF" w14:textId="77777777" w:rsidR="00CF72D5" w:rsidRPr="002029AF" w:rsidRDefault="00CF72D5" w:rsidP="00897193">
            <w:pPr>
              <w:pStyle w:val="ARtabletextright"/>
              <w:rPr>
                <w:color w:val="000000" w:themeColor="text1"/>
              </w:rPr>
            </w:pPr>
          </w:p>
        </w:tc>
        <w:tc>
          <w:tcPr>
            <w:tcW w:w="588" w:type="pct"/>
            <w:tcBorders>
              <w:top w:val="single" w:sz="4" w:space="0" w:color="BFBFBF"/>
              <w:bottom w:val="single" w:sz="4" w:space="0" w:color="BFBFBF"/>
            </w:tcBorders>
            <w:shd w:val="clear" w:color="auto" w:fill="auto"/>
          </w:tcPr>
          <w:p w14:paraId="1A160CA4" w14:textId="77777777" w:rsidR="00CF72D5" w:rsidRPr="002029AF" w:rsidRDefault="00CF72D5" w:rsidP="00897193">
            <w:pPr>
              <w:pStyle w:val="ARtabletextright"/>
              <w:rPr>
                <w:color w:val="000000" w:themeColor="text1"/>
              </w:rPr>
            </w:pPr>
          </w:p>
        </w:tc>
        <w:tc>
          <w:tcPr>
            <w:tcW w:w="588" w:type="pct"/>
            <w:tcBorders>
              <w:top w:val="single" w:sz="4" w:space="0" w:color="BFBFBF"/>
              <w:bottom w:val="single" w:sz="4" w:space="0" w:color="BFBFBF"/>
            </w:tcBorders>
          </w:tcPr>
          <w:p w14:paraId="5AEFAA05" w14:textId="77777777" w:rsidR="00CF72D5" w:rsidRPr="002029AF" w:rsidRDefault="00CF72D5" w:rsidP="00897193">
            <w:pPr>
              <w:pStyle w:val="ARtabletextright"/>
              <w:rPr>
                <w:color w:val="000000" w:themeColor="text1"/>
              </w:rPr>
            </w:pPr>
          </w:p>
        </w:tc>
        <w:tc>
          <w:tcPr>
            <w:tcW w:w="588" w:type="pct"/>
            <w:tcBorders>
              <w:top w:val="single" w:sz="4" w:space="0" w:color="BFBFBF"/>
              <w:bottom w:val="single" w:sz="4" w:space="0" w:color="BFBFBF"/>
            </w:tcBorders>
          </w:tcPr>
          <w:p w14:paraId="375A75BB" w14:textId="77777777" w:rsidR="00CF72D5" w:rsidRPr="002029AF" w:rsidRDefault="00CF72D5" w:rsidP="00897193">
            <w:pPr>
              <w:pStyle w:val="ARtabletextright"/>
            </w:pPr>
          </w:p>
        </w:tc>
        <w:tc>
          <w:tcPr>
            <w:tcW w:w="514" w:type="pct"/>
            <w:tcBorders>
              <w:top w:val="single" w:sz="4" w:space="0" w:color="BFBFBF"/>
              <w:bottom w:val="single" w:sz="4" w:space="0" w:color="BFBFBF"/>
            </w:tcBorders>
          </w:tcPr>
          <w:p w14:paraId="246360B3" w14:textId="77777777" w:rsidR="00CF72D5" w:rsidRPr="002029AF" w:rsidRDefault="00CF72D5" w:rsidP="00897193">
            <w:pPr>
              <w:pStyle w:val="ARtabletextright"/>
            </w:pPr>
          </w:p>
        </w:tc>
      </w:tr>
      <w:tr w:rsidR="00CF72D5" w:rsidRPr="002029AF" w14:paraId="234058E2" w14:textId="77777777" w:rsidTr="00897193">
        <w:trPr>
          <w:cantSplit/>
        </w:trPr>
        <w:tc>
          <w:tcPr>
            <w:tcW w:w="1399" w:type="pct"/>
            <w:tcBorders>
              <w:top w:val="single" w:sz="4" w:space="0" w:color="BFBFBF"/>
              <w:bottom w:val="single" w:sz="4" w:space="0" w:color="BFBFBF"/>
            </w:tcBorders>
            <w:shd w:val="clear" w:color="auto" w:fill="auto"/>
          </w:tcPr>
          <w:p w14:paraId="69C14C71" w14:textId="77777777" w:rsidR="00CF72D5" w:rsidRPr="002029AF" w:rsidRDefault="00CF72D5" w:rsidP="00897193">
            <w:pPr>
              <w:pStyle w:val="ARtabletext"/>
            </w:pPr>
            <w:r w:rsidRPr="002029AF">
              <w:t>$340,000–$359,999</w:t>
            </w:r>
          </w:p>
        </w:tc>
        <w:tc>
          <w:tcPr>
            <w:tcW w:w="735" w:type="pct"/>
            <w:tcBorders>
              <w:top w:val="single" w:sz="4" w:space="0" w:color="BFBFBF"/>
              <w:bottom w:val="single" w:sz="4" w:space="0" w:color="BFBFBF"/>
            </w:tcBorders>
            <w:shd w:val="clear" w:color="auto" w:fill="auto"/>
          </w:tcPr>
          <w:p w14:paraId="379E7F44" w14:textId="77777777" w:rsidR="00CF72D5" w:rsidRPr="002029AF" w:rsidRDefault="00CF72D5" w:rsidP="00897193">
            <w:pPr>
              <w:pStyle w:val="ARtabletextright"/>
              <w:rPr>
                <w:color w:val="000000" w:themeColor="text1"/>
              </w:rPr>
            </w:pPr>
          </w:p>
        </w:tc>
        <w:tc>
          <w:tcPr>
            <w:tcW w:w="588" w:type="pct"/>
            <w:tcBorders>
              <w:top w:val="single" w:sz="4" w:space="0" w:color="BFBFBF"/>
              <w:bottom w:val="single" w:sz="4" w:space="0" w:color="BFBFBF"/>
            </w:tcBorders>
            <w:shd w:val="clear" w:color="auto" w:fill="auto"/>
          </w:tcPr>
          <w:p w14:paraId="568522FA" w14:textId="77777777" w:rsidR="00CF72D5" w:rsidRPr="002029AF" w:rsidRDefault="00CF72D5" w:rsidP="00897193">
            <w:pPr>
              <w:pStyle w:val="ARtabletextright"/>
              <w:rPr>
                <w:color w:val="000000" w:themeColor="text1"/>
              </w:rPr>
            </w:pPr>
          </w:p>
        </w:tc>
        <w:tc>
          <w:tcPr>
            <w:tcW w:w="588" w:type="pct"/>
            <w:tcBorders>
              <w:top w:val="single" w:sz="4" w:space="0" w:color="BFBFBF"/>
              <w:bottom w:val="single" w:sz="4" w:space="0" w:color="BFBFBF"/>
            </w:tcBorders>
            <w:shd w:val="clear" w:color="auto" w:fill="auto"/>
          </w:tcPr>
          <w:p w14:paraId="4C9BB167" w14:textId="77777777" w:rsidR="00CF72D5" w:rsidRPr="002029AF" w:rsidRDefault="00CF72D5" w:rsidP="00897193">
            <w:pPr>
              <w:pStyle w:val="ARtabletextright"/>
              <w:rPr>
                <w:color w:val="000000" w:themeColor="text1"/>
              </w:rPr>
            </w:pPr>
          </w:p>
        </w:tc>
        <w:tc>
          <w:tcPr>
            <w:tcW w:w="588" w:type="pct"/>
            <w:tcBorders>
              <w:top w:val="single" w:sz="4" w:space="0" w:color="BFBFBF"/>
              <w:bottom w:val="single" w:sz="4" w:space="0" w:color="BFBFBF"/>
            </w:tcBorders>
          </w:tcPr>
          <w:p w14:paraId="0BF19B6E" w14:textId="77777777" w:rsidR="00CF72D5" w:rsidRPr="002029AF" w:rsidRDefault="00CF72D5" w:rsidP="00897193">
            <w:pPr>
              <w:pStyle w:val="ARtabletextright"/>
              <w:rPr>
                <w:color w:val="000000" w:themeColor="text1"/>
              </w:rPr>
            </w:pPr>
            <w:r w:rsidRPr="002029AF">
              <w:rPr>
                <w:color w:val="000000" w:themeColor="text1"/>
              </w:rPr>
              <w:t>1</w:t>
            </w:r>
          </w:p>
        </w:tc>
        <w:tc>
          <w:tcPr>
            <w:tcW w:w="588" w:type="pct"/>
            <w:tcBorders>
              <w:top w:val="single" w:sz="4" w:space="0" w:color="BFBFBF"/>
              <w:bottom w:val="single" w:sz="4" w:space="0" w:color="BFBFBF"/>
            </w:tcBorders>
          </w:tcPr>
          <w:p w14:paraId="4EE48AB9" w14:textId="77777777" w:rsidR="00CF72D5" w:rsidRPr="002029AF" w:rsidRDefault="00CF72D5" w:rsidP="00897193">
            <w:pPr>
              <w:pStyle w:val="ARtabletextright"/>
            </w:pPr>
          </w:p>
        </w:tc>
        <w:tc>
          <w:tcPr>
            <w:tcW w:w="514" w:type="pct"/>
            <w:tcBorders>
              <w:top w:val="single" w:sz="4" w:space="0" w:color="BFBFBF"/>
              <w:bottom w:val="single" w:sz="4" w:space="0" w:color="BFBFBF"/>
            </w:tcBorders>
          </w:tcPr>
          <w:p w14:paraId="30AACB27" w14:textId="77777777" w:rsidR="00CF72D5" w:rsidRPr="002029AF" w:rsidRDefault="00CF72D5" w:rsidP="00897193">
            <w:pPr>
              <w:pStyle w:val="ARtabletextright"/>
            </w:pPr>
          </w:p>
        </w:tc>
      </w:tr>
      <w:tr w:rsidR="00CF72D5" w:rsidRPr="002029AF" w14:paraId="2AC37619" w14:textId="77777777" w:rsidTr="00897193">
        <w:trPr>
          <w:cantSplit/>
        </w:trPr>
        <w:tc>
          <w:tcPr>
            <w:tcW w:w="1399" w:type="pct"/>
            <w:tcBorders>
              <w:top w:val="single" w:sz="4" w:space="0" w:color="BFBFBF"/>
              <w:bottom w:val="single" w:sz="4" w:space="0" w:color="BFBFBF"/>
            </w:tcBorders>
            <w:shd w:val="clear" w:color="auto" w:fill="auto"/>
          </w:tcPr>
          <w:p w14:paraId="769E950A" w14:textId="77777777" w:rsidR="00CF72D5" w:rsidRPr="002029AF" w:rsidRDefault="00CF72D5" w:rsidP="00897193">
            <w:pPr>
              <w:pStyle w:val="ARtabletext"/>
            </w:pPr>
            <w:r w:rsidRPr="002029AF">
              <w:t>$360,000–$379,999</w:t>
            </w:r>
          </w:p>
        </w:tc>
        <w:tc>
          <w:tcPr>
            <w:tcW w:w="735" w:type="pct"/>
            <w:tcBorders>
              <w:top w:val="single" w:sz="4" w:space="0" w:color="BFBFBF"/>
              <w:bottom w:val="single" w:sz="4" w:space="0" w:color="BFBFBF"/>
            </w:tcBorders>
            <w:shd w:val="clear" w:color="auto" w:fill="auto"/>
          </w:tcPr>
          <w:p w14:paraId="3CC890A7" w14:textId="77777777" w:rsidR="00CF72D5" w:rsidRPr="002029AF" w:rsidRDefault="00CF72D5" w:rsidP="00897193">
            <w:pPr>
              <w:pStyle w:val="ARtabletextright"/>
              <w:rPr>
                <w:color w:val="000000" w:themeColor="text1"/>
              </w:rPr>
            </w:pPr>
            <w:r w:rsidRPr="002029AF">
              <w:rPr>
                <w:color w:val="000000" w:themeColor="text1"/>
              </w:rPr>
              <w:t>5</w:t>
            </w:r>
          </w:p>
        </w:tc>
        <w:tc>
          <w:tcPr>
            <w:tcW w:w="588" w:type="pct"/>
            <w:tcBorders>
              <w:top w:val="single" w:sz="4" w:space="0" w:color="BFBFBF"/>
              <w:bottom w:val="single" w:sz="4" w:space="0" w:color="BFBFBF"/>
            </w:tcBorders>
            <w:shd w:val="clear" w:color="auto" w:fill="auto"/>
          </w:tcPr>
          <w:p w14:paraId="75621F6C" w14:textId="77777777" w:rsidR="00CF72D5" w:rsidRPr="002029AF" w:rsidRDefault="00CF72D5" w:rsidP="00897193">
            <w:pPr>
              <w:pStyle w:val="ARtabletextright"/>
              <w:rPr>
                <w:color w:val="000000" w:themeColor="text1"/>
              </w:rPr>
            </w:pPr>
          </w:p>
        </w:tc>
        <w:tc>
          <w:tcPr>
            <w:tcW w:w="588" w:type="pct"/>
            <w:tcBorders>
              <w:top w:val="single" w:sz="4" w:space="0" w:color="BFBFBF"/>
              <w:bottom w:val="single" w:sz="4" w:space="0" w:color="BFBFBF"/>
            </w:tcBorders>
            <w:shd w:val="clear" w:color="auto" w:fill="auto"/>
          </w:tcPr>
          <w:p w14:paraId="505C5A62" w14:textId="77777777" w:rsidR="00CF72D5" w:rsidRPr="002029AF" w:rsidRDefault="00CF72D5" w:rsidP="00897193">
            <w:pPr>
              <w:pStyle w:val="ARtabletextright"/>
              <w:rPr>
                <w:color w:val="000000" w:themeColor="text1"/>
              </w:rPr>
            </w:pPr>
          </w:p>
        </w:tc>
        <w:tc>
          <w:tcPr>
            <w:tcW w:w="588" w:type="pct"/>
            <w:tcBorders>
              <w:top w:val="single" w:sz="4" w:space="0" w:color="BFBFBF"/>
              <w:bottom w:val="single" w:sz="4" w:space="0" w:color="BFBFBF"/>
            </w:tcBorders>
          </w:tcPr>
          <w:p w14:paraId="02044E07" w14:textId="77777777" w:rsidR="00CF72D5" w:rsidRPr="002029AF" w:rsidRDefault="00CF72D5" w:rsidP="00897193">
            <w:pPr>
              <w:pStyle w:val="ARtabletextright"/>
              <w:rPr>
                <w:color w:val="000000" w:themeColor="text1"/>
              </w:rPr>
            </w:pPr>
          </w:p>
        </w:tc>
        <w:tc>
          <w:tcPr>
            <w:tcW w:w="588" w:type="pct"/>
            <w:tcBorders>
              <w:top w:val="single" w:sz="4" w:space="0" w:color="BFBFBF"/>
              <w:bottom w:val="single" w:sz="4" w:space="0" w:color="BFBFBF"/>
            </w:tcBorders>
          </w:tcPr>
          <w:p w14:paraId="7A320FA6" w14:textId="77777777" w:rsidR="00CF72D5" w:rsidRPr="002029AF" w:rsidRDefault="00CF72D5" w:rsidP="00897193">
            <w:pPr>
              <w:pStyle w:val="ARtabletextright"/>
            </w:pPr>
          </w:p>
        </w:tc>
        <w:tc>
          <w:tcPr>
            <w:tcW w:w="514" w:type="pct"/>
            <w:tcBorders>
              <w:top w:val="single" w:sz="4" w:space="0" w:color="BFBFBF"/>
              <w:bottom w:val="single" w:sz="4" w:space="0" w:color="BFBFBF"/>
            </w:tcBorders>
          </w:tcPr>
          <w:p w14:paraId="6D8F3A7B" w14:textId="77777777" w:rsidR="00CF72D5" w:rsidRPr="002029AF" w:rsidRDefault="00CF72D5" w:rsidP="00897193">
            <w:pPr>
              <w:pStyle w:val="ARtabletextright"/>
            </w:pPr>
          </w:p>
        </w:tc>
      </w:tr>
      <w:tr w:rsidR="00CF72D5" w:rsidRPr="002029AF" w14:paraId="2A77C539" w14:textId="77777777" w:rsidTr="00897193">
        <w:trPr>
          <w:cantSplit/>
        </w:trPr>
        <w:tc>
          <w:tcPr>
            <w:tcW w:w="1399" w:type="pct"/>
            <w:tcBorders>
              <w:top w:val="single" w:sz="4" w:space="0" w:color="BFBFBF"/>
              <w:bottom w:val="single" w:sz="4" w:space="0" w:color="BFBFBF"/>
            </w:tcBorders>
            <w:shd w:val="clear" w:color="auto" w:fill="auto"/>
          </w:tcPr>
          <w:p w14:paraId="279668D6" w14:textId="77777777" w:rsidR="00CF72D5" w:rsidRPr="002029AF" w:rsidRDefault="00CF72D5" w:rsidP="00897193">
            <w:pPr>
              <w:pStyle w:val="ARtabletext"/>
            </w:pPr>
            <w:r w:rsidRPr="002029AF">
              <w:t>$380,000–$399,999</w:t>
            </w:r>
          </w:p>
        </w:tc>
        <w:tc>
          <w:tcPr>
            <w:tcW w:w="735" w:type="pct"/>
            <w:tcBorders>
              <w:top w:val="single" w:sz="4" w:space="0" w:color="BFBFBF"/>
              <w:bottom w:val="single" w:sz="4" w:space="0" w:color="BFBFBF"/>
            </w:tcBorders>
            <w:shd w:val="clear" w:color="auto" w:fill="auto"/>
          </w:tcPr>
          <w:p w14:paraId="5040A5B8" w14:textId="77777777" w:rsidR="00CF72D5" w:rsidRPr="002029AF" w:rsidRDefault="00CF72D5" w:rsidP="00897193">
            <w:pPr>
              <w:pStyle w:val="ARtabletextright"/>
              <w:rPr>
                <w:color w:val="000000" w:themeColor="text1"/>
              </w:rPr>
            </w:pPr>
          </w:p>
        </w:tc>
        <w:tc>
          <w:tcPr>
            <w:tcW w:w="588" w:type="pct"/>
            <w:tcBorders>
              <w:top w:val="single" w:sz="4" w:space="0" w:color="BFBFBF"/>
              <w:bottom w:val="single" w:sz="4" w:space="0" w:color="BFBFBF"/>
            </w:tcBorders>
            <w:shd w:val="clear" w:color="auto" w:fill="auto"/>
          </w:tcPr>
          <w:p w14:paraId="5B2264BA" w14:textId="77777777" w:rsidR="00CF72D5" w:rsidRPr="002029AF" w:rsidRDefault="00CF72D5" w:rsidP="00897193">
            <w:pPr>
              <w:pStyle w:val="ARtabletextright"/>
              <w:rPr>
                <w:color w:val="000000" w:themeColor="text1"/>
              </w:rPr>
            </w:pPr>
          </w:p>
        </w:tc>
        <w:tc>
          <w:tcPr>
            <w:tcW w:w="588" w:type="pct"/>
            <w:tcBorders>
              <w:top w:val="single" w:sz="4" w:space="0" w:color="BFBFBF"/>
              <w:bottom w:val="single" w:sz="4" w:space="0" w:color="BFBFBF"/>
            </w:tcBorders>
            <w:shd w:val="clear" w:color="auto" w:fill="auto"/>
          </w:tcPr>
          <w:p w14:paraId="517F0817" w14:textId="77777777" w:rsidR="00CF72D5" w:rsidRPr="002029AF" w:rsidRDefault="00CF72D5" w:rsidP="00897193">
            <w:pPr>
              <w:pStyle w:val="ARtabletextright"/>
              <w:rPr>
                <w:color w:val="000000" w:themeColor="text1"/>
              </w:rPr>
            </w:pPr>
          </w:p>
        </w:tc>
        <w:tc>
          <w:tcPr>
            <w:tcW w:w="588" w:type="pct"/>
            <w:tcBorders>
              <w:top w:val="single" w:sz="4" w:space="0" w:color="BFBFBF"/>
              <w:bottom w:val="single" w:sz="4" w:space="0" w:color="BFBFBF"/>
            </w:tcBorders>
          </w:tcPr>
          <w:p w14:paraId="11663000" w14:textId="77777777" w:rsidR="00CF72D5" w:rsidRPr="002029AF" w:rsidRDefault="00CF72D5" w:rsidP="00897193">
            <w:pPr>
              <w:pStyle w:val="ARtabletextright"/>
              <w:rPr>
                <w:color w:val="000000" w:themeColor="text1"/>
              </w:rPr>
            </w:pPr>
          </w:p>
        </w:tc>
        <w:tc>
          <w:tcPr>
            <w:tcW w:w="588" w:type="pct"/>
            <w:tcBorders>
              <w:top w:val="single" w:sz="4" w:space="0" w:color="BFBFBF"/>
              <w:bottom w:val="single" w:sz="4" w:space="0" w:color="BFBFBF"/>
            </w:tcBorders>
          </w:tcPr>
          <w:p w14:paraId="184C3B15" w14:textId="77777777" w:rsidR="00CF72D5" w:rsidRPr="002029AF" w:rsidRDefault="00CF72D5" w:rsidP="00897193">
            <w:pPr>
              <w:pStyle w:val="ARtabletextright"/>
            </w:pPr>
          </w:p>
        </w:tc>
        <w:tc>
          <w:tcPr>
            <w:tcW w:w="514" w:type="pct"/>
            <w:tcBorders>
              <w:top w:val="single" w:sz="4" w:space="0" w:color="BFBFBF"/>
              <w:bottom w:val="single" w:sz="4" w:space="0" w:color="BFBFBF"/>
            </w:tcBorders>
          </w:tcPr>
          <w:p w14:paraId="3F834841" w14:textId="77777777" w:rsidR="00CF72D5" w:rsidRPr="002029AF" w:rsidRDefault="00CF72D5" w:rsidP="00897193">
            <w:pPr>
              <w:pStyle w:val="ARtabletextright"/>
            </w:pPr>
          </w:p>
        </w:tc>
      </w:tr>
      <w:tr w:rsidR="00CF72D5" w:rsidRPr="002029AF" w14:paraId="1DE3D6E5" w14:textId="77777777" w:rsidTr="00897193">
        <w:trPr>
          <w:cantSplit/>
        </w:trPr>
        <w:tc>
          <w:tcPr>
            <w:tcW w:w="1399" w:type="pct"/>
            <w:tcBorders>
              <w:top w:val="single" w:sz="4" w:space="0" w:color="BFBFBF"/>
              <w:bottom w:val="single" w:sz="4" w:space="0" w:color="BFBFBF"/>
            </w:tcBorders>
            <w:shd w:val="clear" w:color="auto" w:fill="auto"/>
          </w:tcPr>
          <w:p w14:paraId="4FD5ECDB" w14:textId="77777777" w:rsidR="00CF72D5" w:rsidRPr="002029AF" w:rsidRDefault="00CF72D5" w:rsidP="00897193">
            <w:pPr>
              <w:pStyle w:val="ARtabletext"/>
            </w:pPr>
            <w:r w:rsidRPr="002029AF">
              <w:t>$400,000–$419,999</w:t>
            </w:r>
          </w:p>
        </w:tc>
        <w:tc>
          <w:tcPr>
            <w:tcW w:w="735" w:type="pct"/>
            <w:tcBorders>
              <w:top w:val="single" w:sz="4" w:space="0" w:color="BFBFBF"/>
              <w:bottom w:val="single" w:sz="4" w:space="0" w:color="BFBFBF"/>
            </w:tcBorders>
            <w:shd w:val="clear" w:color="auto" w:fill="auto"/>
          </w:tcPr>
          <w:p w14:paraId="5CEC5C88" w14:textId="77777777" w:rsidR="00CF72D5" w:rsidRPr="002029AF" w:rsidRDefault="00CF72D5" w:rsidP="00897193">
            <w:pPr>
              <w:pStyle w:val="ARtabletextright"/>
              <w:rPr>
                <w:color w:val="000000" w:themeColor="text1"/>
              </w:rPr>
            </w:pPr>
            <w:r w:rsidRPr="002029AF">
              <w:rPr>
                <w:color w:val="000000" w:themeColor="text1"/>
              </w:rPr>
              <w:t>1</w:t>
            </w:r>
          </w:p>
        </w:tc>
        <w:tc>
          <w:tcPr>
            <w:tcW w:w="588" w:type="pct"/>
            <w:tcBorders>
              <w:top w:val="single" w:sz="4" w:space="0" w:color="BFBFBF"/>
              <w:bottom w:val="single" w:sz="4" w:space="0" w:color="BFBFBF"/>
            </w:tcBorders>
            <w:shd w:val="clear" w:color="auto" w:fill="auto"/>
          </w:tcPr>
          <w:p w14:paraId="72A6B87A" w14:textId="77777777" w:rsidR="00CF72D5" w:rsidRPr="002029AF" w:rsidRDefault="00CF72D5" w:rsidP="00897193">
            <w:pPr>
              <w:pStyle w:val="ARtabletextright"/>
              <w:rPr>
                <w:color w:val="000000" w:themeColor="text1"/>
              </w:rPr>
            </w:pPr>
          </w:p>
        </w:tc>
        <w:tc>
          <w:tcPr>
            <w:tcW w:w="588" w:type="pct"/>
            <w:tcBorders>
              <w:top w:val="single" w:sz="4" w:space="0" w:color="BFBFBF"/>
              <w:bottom w:val="single" w:sz="4" w:space="0" w:color="BFBFBF"/>
            </w:tcBorders>
            <w:shd w:val="clear" w:color="auto" w:fill="auto"/>
          </w:tcPr>
          <w:p w14:paraId="01000FD1" w14:textId="77777777" w:rsidR="00CF72D5" w:rsidRPr="002029AF" w:rsidRDefault="00CF72D5" w:rsidP="00897193">
            <w:pPr>
              <w:pStyle w:val="ARtabletextright"/>
              <w:rPr>
                <w:color w:val="000000" w:themeColor="text1"/>
              </w:rPr>
            </w:pPr>
          </w:p>
        </w:tc>
        <w:tc>
          <w:tcPr>
            <w:tcW w:w="588" w:type="pct"/>
            <w:tcBorders>
              <w:top w:val="single" w:sz="4" w:space="0" w:color="BFBFBF"/>
              <w:bottom w:val="single" w:sz="4" w:space="0" w:color="BFBFBF"/>
            </w:tcBorders>
          </w:tcPr>
          <w:p w14:paraId="7A6B8330" w14:textId="77777777" w:rsidR="00CF72D5" w:rsidRPr="002029AF" w:rsidRDefault="00CF72D5" w:rsidP="00897193">
            <w:pPr>
              <w:pStyle w:val="ARtabletextright"/>
              <w:rPr>
                <w:color w:val="000000" w:themeColor="text1"/>
              </w:rPr>
            </w:pPr>
          </w:p>
        </w:tc>
        <w:tc>
          <w:tcPr>
            <w:tcW w:w="588" w:type="pct"/>
            <w:tcBorders>
              <w:top w:val="single" w:sz="4" w:space="0" w:color="BFBFBF"/>
              <w:bottom w:val="single" w:sz="4" w:space="0" w:color="BFBFBF"/>
            </w:tcBorders>
          </w:tcPr>
          <w:p w14:paraId="0994C679" w14:textId="77777777" w:rsidR="00CF72D5" w:rsidRPr="002029AF" w:rsidRDefault="00CF72D5" w:rsidP="00897193">
            <w:pPr>
              <w:pStyle w:val="ARtabletextright"/>
            </w:pPr>
          </w:p>
        </w:tc>
        <w:tc>
          <w:tcPr>
            <w:tcW w:w="514" w:type="pct"/>
            <w:tcBorders>
              <w:top w:val="single" w:sz="4" w:space="0" w:color="BFBFBF"/>
              <w:bottom w:val="single" w:sz="4" w:space="0" w:color="BFBFBF"/>
            </w:tcBorders>
          </w:tcPr>
          <w:p w14:paraId="2B8EBC8A" w14:textId="77777777" w:rsidR="00CF72D5" w:rsidRPr="002029AF" w:rsidRDefault="00CF72D5" w:rsidP="00897193">
            <w:pPr>
              <w:pStyle w:val="ARtabletextright"/>
            </w:pPr>
          </w:p>
        </w:tc>
      </w:tr>
      <w:tr w:rsidR="00CF72D5" w:rsidRPr="002029AF" w14:paraId="03E52E37" w14:textId="77777777" w:rsidTr="00897193">
        <w:trPr>
          <w:cantSplit/>
        </w:trPr>
        <w:tc>
          <w:tcPr>
            <w:tcW w:w="1399" w:type="pct"/>
            <w:tcBorders>
              <w:top w:val="single" w:sz="4" w:space="0" w:color="BFBFBF"/>
              <w:bottom w:val="single" w:sz="4" w:space="0" w:color="BFBFBF"/>
            </w:tcBorders>
            <w:shd w:val="clear" w:color="auto" w:fill="auto"/>
          </w:tcPr>
          <w:p w14:paraId="48B7E416" w14:textId="77777777" w:rsidR="00CF72D5" w:rsidRPr="002029AF" w:rsidRDefault="00CF72D5" w:rsidP="00897193">
            <w:pPr>
              <w:pStyle w:val="ARtabletext"/>
            </w:pPr>
            <w:r w:rsidRPr="002029AF">
              <w:t>$420,000–$439,999</w:t>
            </w:r>
          </w:p>
        </w:tc>
        <w:tc>
          <w:tcPr>
            <w:tcW w:w="735" w:type="pct"/>
            <w:tcBorders>
              <w:top w:val="single" w:sz="4" w:space="0" w:color="BFBFBF"/>
              <w:bottom w:val="single" w:sz="4" w:space="0" w:color="BFBFBF"/>
            </w:tcBorders>
            <w:shd w:val="clear" w:color="auto" w:fill="auto"/>
          </w:tcPr>
          <w:p w14:paraId="51B5F21D" w14:textId="77777777" w:rsidR="00CF72D5" w:rsidRPr="002029AF" w:rsidRDefault="00CF72D5" w:rsidP="00897193">
            <w:pPr>
              <w:pStyle w:val="ARtabletextright"/>
              <w:rPr>
                <w:color w:val="000000" w:themeColor="text1"/>
              </w:rPr>
            </w:pPr>
          </w:p>
        </w:tc>
        <w:tc>
          <w:tcPr>
            <w:tcW w:w="588" w:type="pct"/>
            <w:tcBorders>
              <w:top w:val="single" w:sz="4" w:space="0" w:color="BFBFBF"/>
              <w:bottom w:val="single" w:sz="4" w:space="0" w:color="BFBFBF"/>
            </w:tcBorders>
            <w:shd w:val="clear" w:color="auto" w:fill="auto"/>
          </w:tcPr>
          <w:p w14:paraId="4C161F5F" w14:textId="77777777" w:rsidR="00CF72D5" w:rsidRPr="002029AF" w:rsidRDefault="00CF72D5" w:rsidP="00897193">
            <w:pPr>
              <w:pStyle w:val="ARtabletextright"/>
              <w:rPr>
                <w:color w:val="000000" w:themeColor="text1"/>
              </w:rPr>
            </w:pPr>
          </w:p>
        </w:tc>
        <w:tc>
          <w:tcPr>
            <w:tcW w:w="588" w:type="pct"/>
            <w:tcBorders>
              <w:top w:val="single" w:sz="4" w:space="0" w:color="BFBFBF"/>
              <w:bottom w:val="single" w:sz="4" w:space="0" w:color="BFBFBF"/>
            </w:tcBorders>
            <w:shd w:val="clear" w:color="auto" w:fill="auto"/>
          </w:tcPr>
          <w:p w14:paraId="07BE5B61" w14:textId="77777777" w:rsidR="00CF72D5" w:rsidRPr="002029AF" w:rsidRDefault="00CF72D5" w:rsidP="00897193">
            <w:pPr>
              <w:pStyle w:val="ARtabletextright"/>
              <w:rPr>
                <w:color w:val="000000" w:themeColor="text1"/>
              </w:rPr>
            </w:pPr>
          </w:p>
        </w:tc>
        <w:tc>
          <w:tcPr>
            <w:tcW w:w="588" w:type="pct"/>
            <w:tcBorders>
              <w:top w:val="single" w:sz="4" w:space="0" w:color="BFBFBF"/>
              <w:bottom w:val="single" w:sz="4" w:space="0" w:color="BFBFBF"/>
            </w:tcBorders>
          </w:tcPr>
          <w:p w14:paraId="2CC43FE0" w14:textId="77777777" w:rsidR="00CF72D5" w:rsidRPr="002029AF" w:rsidRDefault="00CF72D5" w:rsidP="00897193">
            <w:pPr>
              <w:pStyle w:val="ARtabletextright"/>
              <w:rPr>
                <w:color w:val="000000" w:themeColor="text1"/>
              </w:rPr>
            </w:pPr>
          </w:p>
        </w:tc>
        <w:tc>
          <w:tcPr>
            <w:tcW w:w="588" w:type="pct"/>
            <w:tcBorders>
              <w:top w:val="single" w:sz="4" w:space="0" w:color="BFBFBF"/>
              <w:bottom w:val="single" w:sz="4" w:space="0" w:color="BFBFBF"/>
            </w:tcBorders>
          </w:tcPr>
          <w:p w14:paraId="7FD35195" w14:textId="77777777" w:rsidR="00CF72D5" w:rsidRPr="002029AF" w:rsidRDefault="00CF72D5" w:rsidP="00897193">
            <w:pPr>
              <w:pStyle w:val="ARtabletextright"/>
            </w:pPr>
          </w:p>
        </w:tc>
        <w:tc>
          <w:tcPr>
            <w:tcW w:w="514" w:type="pct"/>
            <w:tcBorders>
              <w:top w:val="single" w:sz="4" w:space="0" w:color="BFBFBF"/>
              <w:bottom w:val="single" w:sz="4" w:space="0" w:color="BFBFBF"/>
            </w:tcBorders>
          </w:tcPr>
          <w:p w14:paraId="68EDBFD5" w14:textId="77777777" w:rsidR="00CF72D5" w:rsidRPr="002029AF" w:rsidRDefault="00CF72D5" w:rsidP="00897193">
            <w:pPr>
              <w:pStyle w:val="ARtabletextright"/>
            </w:pPr>
          </w:p>
        </w:tc>
      </w:tr>
      <w:tr w:rsidR="00CF72D5" w:rsidRPr="002029AF" w14:paraId="7827D31E" w14:textId="77777777" w:rsidTr="00897193">
        <w:tblPrEx>
          <w:tblLook w:val="04A0" w:firstRow="1" w:lastRow="0" w:firstColumn="1" w:lastColumn="0" w:noHBand="0" w:noVBand="1"/>
        </w:tblPrEx>
        <w:trPr>
          <w:cantSplit/>
        </w:trPr>
        <w:tc>
          <w:tcPr>
            <w:tcW w:w="1399" w:type="pct"/>
            <w:tcBorders>
              <w:top w:val="single" w:sz="4" w:space="0" w:color="BFBFBF"/>
              <w:bottom w:val="single" w:sz="4" w:space="0" w:color="BFBFBF"/>
            </w:tcBorders>
            <w:shd w:val="clear" w:color="auto" w:fill="auto"/>
          </w:tcPr>
          <w:p w14:paraId="0A2AB3AC" w14:textId="77777777" w:rsidR="00CF72D5" w:rsidRPr="002029AF" w:rsidRDefault="00CF72D5" w:rsidP="00897193">
            <w:pPr>
              <w:pStyle w:val="ARtabletext"/>
            </w:pPr>
            <w:r w:rsidRPr="002029AF">
              <w:t>$440,000–$459,999</w:t>
            </w:r>
          </w:p>
        </w:tc>
        <w:tc>
          <w:tcPr>
            <w:tcW w:w="735" w:type="pct"/>
            <w:tcBorders>
              <w:top w:val="single" w:sz="4" w:space="0" w:color="BFBFBF"/>
              <w:bottom w:val="single" w:sz="4" w:space="0" w:color="BFBFBF"/>
            </w:tcBorders>
            <w:shd w:val="clear" w:color="auto" w:fill="auto"/>
          </w:tcPr>
          <w:p w14:paraId="233B9019" w14:textId="77777777" w:rsidR="00CF72D5" w:rsidRPr="002029AF" w:rsidRDefault="00CF72D5" w:rsidP="00897193">
            <w:pPr>
              <w:pStyle w:val="ARtabletextright"/>
              <w:rPr>
                <w:color w:val="000000" w:themeColor="text1"/>
              </w:rPr>
            </w:pPr>
            <w:r w:rsidRPr="002029AF">
              <w:rPr>
                <w:color w:val="000000" w:themeColor="text1"/>
              </w:rPr>
              <w:t>1</w:t>
            </w:r>
          </w:p>
        </w:tc>
        <w:tc>
          <w:tcPr>
            <w:tcW w:w="588" w:type="pct"/>
            <w:tcBorders>
              <w:top w:val="single" w:sz="4" w:space="0" w:color="BFBFBF"/>
              <w:bottom w:val="single" w:sz="4" w:space="0" w:color="BFBFBF"/>
            </w:tcBorders>
            <w:shd w:val="clear" w:color="auto" w:fill="auto"/>
          </w:tcPr>
          <w:p w14:paraId="3F13D4EA" w14:textId="77777777" w:rsidR="00CF72D5" w:rsidRPr="002029AF" w:rsidRDefault="00CF72D5" w:rsidP="00897193">
            <w:pPr>
              <w:pStyle w:val="ARtabletextright"/>
              <w:rPr>
                <w:color w:val="000000" w:themeColor="text1"/>
              </w:rPr>
            </w:pPr>
          </w:p>
        </w:tc>
        <w:tc>
          <w:tcPr>
            <w:tcW w:w="588" w:type="pct"/>
            <w:tcBorders>
              <w:top w:val="single" w:sz="4" w:space="0" w:color="BFBFBF"/>
              <w:bottom w:val="single" w:sz="4" w:space="0" w:color="BFBFBF"/>
            </w:tcBorders>
            <w:shd w:val="clear" w:color="auto" w:fill="auto"/>
          </w:tcPr>
          <w:p w14:paraId="76DBF9EF" w14:textId="77777777" w:rsidR="00CF72D5" w:rsidRPr="002029AF" w:rsidRDefault="00CF72D5" w:rsidP="00897193">
            <w:pPr>
              <w:pStyle w:val="ARtabletextright"/>
              <w:rPr>
                <w:color w:val="000000" w:themeColor="text1"/>
              </w:rPr>
            </w:pPr>
          </w:p>
        </w:tc>
        <w:tc>
          <w:tcPr>
            <w:tcW w:w="588" w:type="pct"/>
            <w:tcBorders>
              <w:top w:val="single" w:sz="4" w:space="0" w:color="BFBFBF"/>
              <w:bottom w:val="single" w:sz="4" w:space="0" w:color="BFBFBF"/>
            </w:tcBorders>
          </w:tcPr>
          <w:p w14:paraId="7010395C" w14:textId="77777777" w:rsidR="00CF72D5" w:rsidRPr="002029AF" w:rsidRDefault="00CF72D5" w:rsidP="00897193">
            <w:pPr>
              <w:pStyle w:val="ARtabletextright"/>
              <w:rPr>
                <w:color w:val="000000" w:themeColor="text1"/>
              </w:rPr>
            </w:pPr>
          </w:p>
        </w:tc>
        <w:tc>
          <w:tcPr>
            <w:tcW w:w="588" w:type="pct"/>
            <w:tcBorders>
              <w:top w:val="single" w:sz="4" w:space="0" w:color="BFBFBF"/>
              <w:bottom w:val="single" w:sz="4" w:space="0" w:color="BFBFBF"/>
            </w:tcBorders>
          </w:tcPr>
          <w:p w14:paraId="39758239" w14:textId="77777777" w:rsidR="00CF72D5" w:rsidRPr="002029AF" w:rsidRDefault="00CF72D5" w:rsidP="00897193">
            <w:pPr>
              <w:pStyle w:val="ARtabletextright"/>
            </w:pPr>
          </w:p>
        </w:tc>
        <w:tc>
          <w:tcPr>
            <w:tcW w:w="514" w:type="pct"/>
            <w:tcBorders>
              <w:top w:val="single" w:sz="4" w:space="0" w:color="BFBFBF"/>
              <w:bottom w:val="single" w:sz="4" w:space="0" w:color="BFBFBF"/>
            </w:tcBorders>
          </w:tcPr>
          <w:p w14:paraId="6C118BA9" w14:textId="77777777" w:rsidR="00CF72D5" w:rsidRPr="002029AF" w:rsidRDefault="00CF72D5" w:rsidP="00897193">
            <w:pPr>
              <w:pStyle w:val="ARtabletextright"/>
            </w:pPr>
          </w:p>
        </w:tc>
      </w:tr>
      <w:tr w:rsidR="00CF72D5" w:rsidRPr="002029AF" w14:paraId="16030170" w14:textId="77777777" w:rsidTr="00897193">
        <w:tblPrEx>
          <w:tblLook w:val="04A0" w:firstRow="1" w:lastRow="0" w:firstColumn="1" w:lastColumn="0" w:noHBand="0" w:noVBand="1"/>
        </w:tblPrEx>
        <w:trPr>
          <w:cantSplit/>
        </w:trPr>
        <w:tc>
          <w:tcPr>
            <w:tcW w:w="1399" w:type="pct"/>
            <w:tcBorders>
              <w:top w:val="single" w:sz="4" w:space="0" w:color="BFBFBF"/>
              <w:bottom w:val="single" w:sz="4" w:space="0" w:color="BFBFBF"/>
            </w:tcBorders>
            <w:shd w:val="clear" w:color="auto" w:fill="auto"/>
          </w:tcPr>
          <w:p w14:paraId="2ADB2880" w14:textId="77777777" w:rsidR="00CF72D5" w:rsidRPr="002029AF" w:rsidRDefault="00CF72D5" w:rsidP="00897193">
            <w:pPr>
              <w:pStyle w:val="ARtabletext"/>
            </w:pPr>
            <w:r w:rsidRPr="002029AF">
              <w:t>$460,000–$479,999</w:t>
            </w:r>
          </w:p>
        </w:tc>
        <w:tc>
          <w:tcPr>
            <w:tcW w:w="735" w:type="pct"/>
            <w:tcBorders>
              <w:top w:val="single" w:sz="4" w:space="0" w:color="BFBFBF"/>
              <w:bottom w:val="single" w:sz="4" w:space="0" w:color="BFBFBF"/>
            </w:tcBorders>
            <w:shd w:val="clear" w:color="auto" w:fill="auto"/>
          </w:tcPr>
          <w:p w14:paraId="34AD810E" w14:textId="77777777" w:rsidR="00CF72D5" w:rsidRPr="002029AF" w:rsidRDefault="00CF72D5" w:rsidP="00897193">
            <w:pPr>
              <w:pStyle w:val="ARtabletextright"/>
              <w:rPr>
                <w:color w:val="000000" w:themeColor="text1"/>
              </w:rPr>
            </w:pPr>
            <w:r w:rsidRPr="002029AF">
              <w:rPr>
                <w:color w:val="000000" w:themeColor="text1"/>
              </w:rPr>
              <w:t>1</w:t>
            </w:r>
          </w:p>
        </w:tc>
        <w:tc>
          <w:tcPr>
            <w:tcW w:w="588" w:type="pct"/>
            <w:tcBorders>
              <w:top w:val="single" w:sz="4" w:space="0" w:color="BFBFBF"/>
              <w:bottom w:val="single" w:sz="4" w:space="0" w:color="BFBFBF"/>
            </w:tcBorders>
            <w:shd w:val="clear" w:color="auto" w:fill="auto"/>
          </w:tcPr>
          <w:p w14:paraId="7F3CC5A8" w14:textId="77777777" w:rsidR="00CF72D5" w:rsidRPr="002029AF" w:rsidRDefault="00CF72D5" w:rsidP="00897193">
            <w:pPr>
              <w:pStyle w:val="ARtabletextright"/>
              <w:rPr>
                <w:color w:val="000000" w:themeColor="text1"/>
              </w:rPr>
            </w:pPr>
          </w:p>
        </w:tc>
        <w:tc>
          <w:tcPr>
            <w:tcW w:w="588" w:type="pct"/>
            <w:tcBorders>
              <w:top w:val="single" w:sz="4" w:space="0" w:color="BFBFBF"/>
              <w:bottom w:val="single" w:sz="4" w:space="0" w:color="BFBFBF"/>
            </w:tcBorders>
            <w:shd w:val="clear" w:color="auto" w:fill="auto"/>
          </w:tcPr>
          <w:p w14:paraId="5977BA7C" w14:textId="77777777" w:rsidR="00CF72D5" w:rsidRPr="002029AF" w:rsidRDefault="00CF72D5" w:rsidP="00897193">
            <w:pPr>
              <w:pStyle w:val="ARtabletextright"/>
              <w:rPr>
                <w:color w:val="000000" w:themeColor="text1"/>
              </w:rPr>
            </w:pPr>
          </w:p>
        </w:tc>
        <w:tc>
          <w:tcPr>
            <w:tcW w:w="588" w:type="pct"/>
            <w:tcBorders>
              <w:top w:val="single" w:sz="4" w:space="0" w:color="BFBFBF"/>
              <w:bottom w:val="single" w:sz="4" w:space="0" w:color="BFBFBF"/>
            </w:tcBorders>
          </w:tcPr>
          <w:p w14:paraId="613A1C02" w14:textId="77777777" w:rsidR="00CF72D5" w:rsidRPr="002029AF" w:rsidRDefault="00CF72D5" w:rsidP="00897193">
            <w:pPr>
              <w:pStyle w:val="ARtabletextright"/>
              <w:rPr>
                <w:color w:val="000000" w:themeColor="text1"/>
              </w:rPr>
            </w:pPr>
          </w:p>
        </w:tc>
        <w:tc>
          <w:tcPr>
            <w:tcW w:w="588" w:type="pct"/>
            <w:tcBorders>
              <w:top w:val="single" w:sz="4" w:space="0" w:color="BFBFBF"/>
              <w:bottom w:val="single" w:sz="4" w:space="0" w:color="BFBFBF"/>
            </w:tcBorders>
          </w:tcPr>
          <w:p w14:paraId="0D516753" w14:textId="77777777" w:rsidR="00CF72D5" w:rsidRPr="002029AF" w:rsidRDefault="00CF72D5" w:rsidP="00897193">
            <w:pPr>
              <w:pStyle w:val="ARtabletextright"/>
            </w:pPr>
          </w:p>
        </w:tc>
        <w:tc>
          <w:tcPr>
            <w:tcW w:w="514" w:type="pct"/>
            <w:tcBorders>
              <w:top w:val="single" w:sz="4" w:space="0" w:color="BFBFBF"/>
              <w:bottom w:val="single" w:sz="4" w:space="0" w:color="BFBFBF"/>
            </w:tcBorders>
          </w:tcPr>
          <w:p w14:paraId="06F59287" w14:textId="77777777" w:rsidR="00CF72D5" w:rsidRPr="002029AF" w:rsidRDefault="00CF72D5" w:rsidP="00897193">
            <w:pPr>
              <w:pStyle w:val="ARtabletextright"/>
            </w:pPr>
          </w:p>
        </w:tc>
      </w:tr>
      <w:tr w:rsidR="00CF72D5" w:rsidRPr="002029AF" w14:paraId="1C051A03" w14:textId="77777777" w:rsidTr="00897193">
        <w:tblPrEx>
          <w:tblLook w:val="04A0" w:firstRow="1" w:lastRow="0" w:firstColumn="1" w:lastColumn="0" w:noHBand="0" w:noVBand="1"/>
        </w:tblPrEx>
        <w:trPr>
          <w:cantSplit/>
        </w:trPr>
        <w:tc>
          <w:tcPr>
            <w:tcW w:w="1399" w:type="pct"/>
            <w:tcBorders>
              <w:top w:val="single" w:sz="4" w:space="0" w:color="BFBFBF"/>
              <w:bottom w:val="single" w:sz="4" w:space="0" w:color="BFBFBF"/>
            </w:tcBorders>
            <w:shd w:val="clear" w:color="auto" w:fill="auto"/>
          </w:tcPr>
          <w:p w14:paraId="0C5AE89A" w14:textId="77777777" w:rsidR="00CF72D5" w:rsidRPr="002029AF" w:rsidRDefault="00CF72D5" w:rsidP="00897193">
            <w:pPr>
              <w:pStyle w:val="ARtabletext"/>
            </w:pPr>
            <w:r w:rsidRPr="002029AF">
              <w:t>$520,000–$539,999</w:t>
            </w:r>
          </w:p>
        </w:tc>
        <w:tc>
          <w:tcPr>
            <w:tcW w:w="735" w:type="pct"/>
            <w:tcBorders>
              <w:top w:val="single" w:sz="4" w:space="0" w:color="BFBFBF"/>
              <w:bottom w:val="single" w:sz="4" w:space="0" w:color="BFBFBF"/>
            </w:tcBorders>
            <w:shd w:val="clear" w:color="auto" w:fill="auto"/>
          </w:tcPr>
          <w:p w14:paraId="169A174B" w14:textId="77777777" w:rsidR="00CF72D5" w:rsidRPr="002029AF" w:rsidRDefault="00CF72D5" w:rsidP="00897193">
            <w:pPr>
              <w:pStyle w:val="ARtabletextright"/>
              <w:rPr>
                <w:color w:val="000000" w:themeColor="text1"/>
              </w:rPr>
            </w:pPr>
          </w:p>
        </w:tc>
        <w:tc>
          <w:tcPr>
            <w:tcW w:w="588" w:type="pct"/>
            <w:tcBorders>
              <w:top w:val="single" w:sz="4" w:space="0" w:color="BFBFBF"/>
              <w:bottom w:val="single" w:sz="4" w:space="0" w:color="BFBFBF"/>
            </w:tcBorders>
            <w:shd w:val="clear" w:color="auto" w:fill="auto"/>
          </w:tcPr>
          <w:p w14:paraId="307C4654" w14:textId="77777777" w:rsidR="00CF72D5" w:rsidRPr="002029AF" w:rsidRDefault="00CF72D5" w:rsidP="00897193">
            <w:pPr>
              <w:pStyle w:val="ARtabletextright"/>
              <w:rPr>
                <w:color w:val="000000" w:themeColor="text1"/>
              </w:rPr>
            </w:pPr>
          </w:p>
        </w:tc>
        <w:tc>
          <w:tcPr>
            <w:tcW w:w="588" w:type="pct"/>
            <w:tcBorders>
              <w:top w:val="single" w:sz="4" w:space="0" w:color="BFBFBF"/>
              <w:bottom w:val="single" w:sz="4" w:space="0" w:color="BFBFBF"/>
            </w:tcBorders>
            <w:shd w:val="clear" w:color="auto" w:fill="auto"/>
          </w:tcPr>
          <w:p w14:paraId="2AA2D331" w14:textId="77777777" w:rsidR="00CF72D5" w:rsidRPr="002029AF" w:rsidRDefault="00CF72D5" w:rsidP="00897193">
            <w:pPr>
              <w:pStyle w:val="ARtabletextright"/>
              <w:rPr>
                <w:color w:val="000000" w:themeColor="text1"/>
              </w:rPr>
            </w:pPr>
          </w:p>
        </w:tc>
        <w:tc>
          <w:tcPr>
            <w:tcW w:w="588" w:type="pct"/>
            <w:tcBorders>
              <w:top w:val="single" w:sz="4" w:space="0" w:color="BFBFBF"/>
              <w:bottom w:val="single" w:sz="4" w:space="0" w:color="BFBFBF"/>
            </w:tcBorders>
          </w:tcPr>
          <w:p w14:paraId="438CCE00" w14:textId="77777777" w:rsidR="00CF72D5" w:rsidRPr="002029AF" w:rsidRDefault="00CF72D5" w:rsidP="00897193">
            <w:pPr>
              <w:pStyle w:val="ARtabletextright"/>
              <w:rPr>
                <w:color w:val="000000" w:themeColor="text1"/>
              </w:rPr>
            </w:pPr>
          </w:p>
        </w:tc>
        <w:tc>
          <w:tcPr>
            <w:tcW w:w="588" w:type="pct"/>
            <w:tcBorders>
              <w:top w:val="single" w:sz="4" w:space="0" w:color="BFBFBF"/>
              <w:bottom w:val="single" w:sz="4" w:space="0" w:color="BFBFBF"/>
            </w:tcBorders>
          </w:tcPr>
          <w:p w14:paraId="0BC7AF9E" w14:textId="77777777" w:rsidR="00CF72D5" w:rsidRPr="002029AF" w:rsidRDefault="00CF72D5" w:rsidP="00897193">
            <w:pPr>
              <w:pStyle w:val="ARtabletextright"/>
            </w:pPr>
          </w:p>
        </w:tc>
        <w:tc>
          <w:tcPr>
            <w:tcW w:w="514" w:type="pct"/>
            <w:tcBorders>
              <w:top w:val="single" w:sz="4" w:space="0" w:color="BFBFBF"/>
              <w:bottom w:val="single" w:sz="4" w:space="0" w:color="BFBFBF"/>
            </w:tcBorders>
          </w:tcPr>
          <w:p w14:paraId="06A8FD2B" w14:textId="77777777" w:rsidR="00CF72D5" w:rsidRPr="002029AF" w:rsidRDefault="00CF72D5" w:rsidP="00897193">
            <w:pPr>
              <w:pStyle w:val="ARtabletextright"/>
            </w:pPr>
          </w:p>
        </w:tc>
      </w:tr>
      <w:tr w:rsidR="00CF72D5" w:rsidRPr="002029AF" w14:paraId="60817400" w14:textId="77777777" w:rsidTr="00897193">
        <w:tblPrEx>
          <w:tblLook w:val="04A0" w:firstRow="1" w:lastRow="0" w:firstColumn="1" w:lastColumn="0" w:noHBand="0" w:noVBand="1"/>
        </w:tblPrEx>
        <w:trPr>
          <w:cantSplit/>
        </w:trPr>
        <w:tc>
          <w:tcPr>
            <w:tcW w:w="1399" w:type="pct"/>
            <w:tcBorders>
              <w:top w:val="single" w:sz="4" w:space="0" w:color="BFBFBF"/>
              <w:bottom w:val="single" w:sz="4" w:space="0" w:color="BFBFBF"/>
            </w:tcBorders>
            <w:shd w:val="clear" w:color="auto" w:fill="auto"/>
          </w:tcPr>
          <w:p w14:paraId="0AC3B232" w14:textId="38BB0143" w:rsidR="00CF72D5" w:rsidRPr="002029AF" w:rsidRDefault="00CF72D5" w:rsidP="00897193">
            <w:pPr>
              <w:pStyle w:val="ARtabletext"/>
            </w:pPr>
            <w:r w:rsidRPr="002029AF">
              <w:t>$540,00</w:t>
            </w:r>
            <w:r w:rsidR="00DB53E6" w:rsidRPr="002029AF">
              <w:t>0–</w:t>
            </w:r>
            <w:r w:rsidRPr="002029AF">
              <w:t>$559,999</w:t>
            </w:r>
          </w:p>
        </w:tc>
        <w:tc>
          <w:tcPr>
            <w:tcW w:w="735" w:type="pct"/>
            <w:tcBorders>
              <w:top w:val="single" w:sz="4" w:space="0" w:color="BFBFBF"/>
              <w:bottom w:val="single" w:sz="4" w:space="0" w:color="BFBFBF"/>
            </w:tcBorders>
            <w:shd w:val="clear" w:color="auto" w:fill="auto"/>
          </w:tcPr>
          <w:p w14:paraId="1097D81F" w14:textId="77777777" w:rsidR="00CF72D5" w:rsidRPr="002029AF" w:rsidRDefault="00CF72D5" w:rsidP="00897193">
            <w:pPr>
              <w:pStyle w:val="ARtabletextright"/>
              <w:rPr>
                <w:color w:val="000000" w:themeColor="text1"/>
              </w:rPr>
            </w:pPr>
            <w:r w:rsidRPr="002029AF">
              <w:rPr>
                <w:color w:val="000000" w:themeColor="text1"/>
              </w:rPr>
              <w:t>1</w:t>
            </w:r>
          </w:p>
        </w:tc>
        <w:tc>
          <w:tcPr>
            <w:tcW w:w="588" w:type="pct"/>
            <w:tcBorders>
              <w:top w:val="single" w:sz="4" w:space="0" w:color="BFBFBF"/>
              <w:bottom w:val="single" w:sz="4" w:space="0" w:color="BFBFBF"/>
            </w:tcBorders>
            <w:shd w:val="clear" w:color="auto" w:fill="auto"/>
          </w:tcPr>
          <w:p w14:paraId="2C4ADA54" w14:textId="77777777" w:rsidR="00CF72D5" w:rsidRPr="002029AF" w:rsidRDefault="00CF72D5" w:rsidP="00897193">
            <w:pPr>
              <w:pStyle w:val="ARtabletextright"/>
              <w:rPr>
                <w:color w:val="000000" w:themeColor="text1"/>
              </w:rPr>
            </w:pPr>
          </w:p>
        </w:tc>
        <w:tc>
          <w:tcPr>
            <w:tcW w:w="588" w:type="pct"/>
            <w:tcBorders>
              <w:top w:val="single" w:sz="4" w:space="0" w:color="BFBFBF"/>
              <w:bottom w:val="single" w:sz="4" w:space="0" w:color="BFBFBF"/>
            </w:tcBorders>
            <w:shd w:val="clear" w:color="auto" w:fill="auto"/>
          </w:tcPr>
          <w:p w14:paraId="4EA6A3C7" w14:textId="77777777" w:rsidR="00CF72D5" w:rsidRPr="002029AF" w:rsidRDefault="00CF72D5" w:rsidP="00897193">
            <w:pPr>
              <w:pStyle w:val="ARtabletextright"/>
              <w:rPr>
                <w:color w:val="000000" w:themeColor="text1"/>
              </w:rPr>
            </w:pPr>
          </w:p>
        </w:tc>
        <w:tc>
          <w:tcPr>
            <w:tcW w:w="588" w:type="pct"/>
            <w:tcBorders>
              <w:top w:val="single" w:sz="4" w:space="0" w:color="BFBFBF"/>
              <w:bottom w:val="single" w:sz="4" w:space="0" w:color="BFBFBF"/>
            </w:tcBorders>
          </w:tcPr>
          <w:p w14:paraId="69E5EC45" w14:textId="77777777" w:rsidR="00CF72D5" w:rsidRPr="002029AF" w:rsidRDefault="00CF72D5" w:rsidP="00897193">
            <w:pPr>
              <w:pStyle w:val="ARtabletextright"/>
              <w:rPr>
                <w:color w:val="000000" w:themeColor="text1"/>
              </w:rPr>
            </w:pPr>
          </w:p>
        </w:tc>
        <w:tc>
          <w:tcPr>
            <w:tcW w:w="588" w:type="pct"/>
            <w:tcBorders>
              <w:top w:val="single" w:sz="4" w:space="0" w:color="BFBFBF"/>
              <w:bottom w:val="single" w:sz="4" w:space="0" w:color="BFBFBF"/>
            </w:tcBorders>
          </w:tcPr>
          <w:p w14:paraId="34A6113F" w14:textId="77777777" w:rsidR="00CF72D5" w:rsidRPr="002029AF" w:rsidRDefault="00CF72D5" w:rsidP="00897193">
            <w:pPr>
              <w:pStyle w:val="ARtabletextright"/>
            </w:pPr>
          </w:p>
        </w:tc>
        <w:tc>
          <w:tcPr>
            <w:tcW w:w="514" w:type="pct"/>
            <w:tcBorders>
              <w:top w:val="single" w:sz="4" w:space="0" w:color="BFBFBF"/>
              <w:bottom w:val="single" w:sz="4" w:space="0" w:color="BFBFBF"/>
            </w:tcBorders>
          </w:tcPr>
          <w:p w14:paraId="61F0733A" w14:textId="77777777" w:rsidR="00CF72D5" w:rsidRPr="002029AF" w:rsidRDefault="00CF72D5" w:rsidP="00897193">
            <w:pPr>
              <w:pStyle w:val="ARtabletextright"/>
            </w:pPr>
          </w:p>
        </w:tc>
      </w:tr>
      <w:tr w:rsidR="00CF72D5" w:rsidRPr="002029AF" w14:paraId="3A994DF9" w14:textId="77777777" w:rsidTr="00897193">
        <w:tblPrEx>
          <w:tblLook w:val="04A0" w:firstRow="1" w:lastRow="0" w:firstColumn="1" w:lastColumn="0" w:noHBand="0" w:noVBand="1"/>
        </w:tblPrEx>
        <w:trPr>
          <w:cantSplit/>
        </w:trPr>
        <w:tc>
          <w:tcPr>
            <w:tcW w:w="1399" w:type="pct"/>
            <w:tcBorders>
              <w:top w:val="single" w:sz="4" w:space="0" w:color="BFBFBF"/>
            </w:tcBorders>
            <w:shd w:val="clear" w:color="auto" w:fill="auto"/>
          </w:tcPr>
          <w:p w14:paraId="614C0E79" w14:textId="77777777" w:rsidR="00CF72D5" w:rsidRPr="002029AF" w:rsidRDefault="00CF72D5" w:rsidP="00897193">
            <w:pPr>
              <w:pStyle w:val="ARtabletext"/>
            </w:pPr>
            <w:r w:rsidRPr="002029AF">
              <w:t>Total</w:t>
            </w:r>
          </w:p>
        </w:tc>
        <w:tc>
          <w:tcPr>
            <w:tcW w:w="735" w:type="pct"/>
            <w:tcBorders>
              <w:top w:val="single" w:sz="4" w:space="0" w:color="BFBFBF"/>
            </w:tcBorders>
            <w:shd w:val="clear" w:color="auto" w:fill="auto"/>
          </w:tcPr>
          <w:p w14:paraId="3DD41611" w14:textId="77777777" w:rsidR="00CF72D5" w:rsidRPr="002029AF" w:rsidRDefault="00CF72D5" w:rsidP="00897193">
            <w:pPr>
              <w:pStyle w:val="ARtabletextright"/>
              <w:rPr>
                <w:color w:val="000000" w:themeColor="text1"/>
              </w:rPr>
            </w:pPr>
            <w:r w:rsidRPr="002029AF">
              <w:rPr>
                <w:color w:val="000000" w:themeColor="text1"/>
              </w:rPr>
              <w:t>216</w:t>
            </w:r>
          </w:p>
        </w:tc>
        <w:tc>
          <w:tcPr>
            <w:tcW w:w="588" w:type="pct"/>
            <w:tcBorders>
              <w:top w:val="single" w:sz="4" w:space="0" w:color="BFBFBF"/>
            </w:tcBorders>
            <w:shd w:val="clear" w:color="auto" w:fill="auto"/>
          </w:tcPr>
          <w:p w14:paraId="0C5F696A" w14:textId="77777777" w:rsidR="00CF72D5" w:rsidRPr="002029AF" w:rsidRDefault="00CF72D5" w:rsidP="00897193">
            <w:pPr>
              <w:pStyle w:val="ARtabletextright"/>
              <w:rPr>
                <w:color w:val="000000" w:themeColor="text1"/>
              </w:rPr>
            </w:pPr>
            <w:r w:rsidRPr="002029AF">
              <w:rPr>
                <w:color w:val="000000" w:themeColor="text1"/>
              </w:rPr>
              <w:t>27</w:t>
            </w:r>
          </w:p>
        </w:tc>
        <w:tc>
          <w:tcPr>
            <w:tcW w:w="588" w:type="pct"/>
            <w:tcBorders>
              <w:top w:val="single" w:sz="4" w:space="0" w:color="BFBFBF"/>
            </w:tcBorders>
            <w:shd w:val="clear" w:color="auto" w:fill="auto"/>
          </w:tcPr>
          <w:p w14:paraId="435BB5D0" w14:textId="77777777" w:rsidR="00CF72D5" w:rsidRPr="002029AF" w:rsidRDefault="00CF72D5" w:rsidP="00897193">
            <w:pPr>
              <w:pStyle w:val="ARtabletextright"/>
              <w:rPr>
                <w:color w:val="000000" w:themeColor="text1"/>
              </w:rPr>
            </w:pPr>
          </w:p>
        </w:tc>
        <w:tc>
          <w:tcPr>
            <w:tcW w:w="588" w:type="pct"/>
            <w:tcBorders>
              <w:top w:val="single" w:sz="4" w:space="0" w:color="BFBFBF"/>
            </w:tcBorders>
          </w:tcPr>
          <w:p w14:paraId="305AD025" w14:textId="77777777" w:rsidR="00CF72D5" w:rsidRPr="002029AF" w:rsidRDefault="00CF72D5" w:rsidP="00897193">
            <w:pPr>
              <w:pStyle w:val="ARtabletextright"/>
              <w:rPr>
                <w:color w:val="000000" w:themeColor="text1"/>
              </w:rPr>
            </w:pPr>
            <w:r w:rsidRPr="002029AF">
              <w:rPr>
                <w:color w:val="000000" w:themeColor="text1"/>
              </w:rPr>
              <w:t>28</w:t>
            </w:r>
          </w:p>
        </w:tc>
        <w:tc>
          <w:tcPr>
            <w:tcW w:w="588" w:type="pct"/>
            <w:tcBorders>
              <w:top w:val="single" w:sz="4" w:space="0" w:color="BFBFBF"/>
            </w:tcBorders>
          </w:tcPr>
          <w:p w14:paraId="26EFDE48" w14:textId="77777777" w:rsidR="00CF72D5" w:rsidRPr="002029AF" w:rsidRDefault="00CF72D5" w:rsidP="00897193">
            <w:pPr>
              <w:pStyle w:val="ARtabletextright"/>
              <w:rPr>
                <w:highlight w:val="yellow"/>
              </w:rPr>
            </w:pPr>
          </w:p>
        </w:tc>
        <w:tc>
          <w:tcPr>
            <w:tcW w:w="514" w:type="pct"/>
            <w:tcBorders>
              <w:top w:val="single" w:sz="4" w:space="0" w:color="BFBFBF"/>
            </w:tcBorders>
          </w:tcPr>
          <w:p w14:paraId="5B2F2488" w14:textId="77777777" w:rsidR="00CF72D5" w:rsidRPr="002029AF" w:rsidRDefault="00CF72D5" w:rsidP="00897193">
            <w:pPr>
              <w:pStyle w:val="ARtabletextright"/>
            </w:pPr>
          </w:p>
        </w:tc>
      </w:tr>
    </w:tbl>
    <w:p w14:paraId="10094033" w14:textId="4E05B613" w:rsidR="00CF72D5" w:rsidRPr="002029AF" w:rsidRDefault="00CF72D5" w:rsidP="00FC001B">
      <w:pPr>
        <w:pStyle w:val="Heading3"/>
      </w:pPr>
      <w:bookmarkStart w:id="84" w:name="_Ref21957203"/>
      <w:r w:rsidRPr="002029AF">
        <w:t>Family</w:t>
      </w:r>
      <w:r w:rsidR="000A5329" w:rsidRPr="002029AF">
        <w:t xml:space="preserve"> </w:t>
      </w:r>
      <w:r w:rsidRPr="002029AF">
        <w:t>Safety</w:t>
      </w:r>
      <w:r w:rsidR="000A5329" w:rsidRPr="002029AF">
        <w:t xml:space="preserve"> </w:t>
      </w:r>
      <w:r w:rsidRPr="002029AF">
        <w:t>Victoria</w:t>
      </w:r>
      <w:r w:rsidR="000A5329" w:rsidRPr="002029AF">
        <w:t xml:space="preserve"> </w:t>
      </w:r>
      <w:r w:rsidRPr="002029AF">
        <w:t>employment</w:t>
      </w:r>
      <w:r w:rsidR="000A5329" w:rsidRPr="002029AF">
        <w:t xml:space="preserve"> </w:t>
      </w:r>
      <w:r w:rsidRPr="002029AF">
        <w:t>levels</w:t>
      </w:r>
      <w:bookmarkEnd w:id="84"/>
    </w:p>
    <w:p w14:paraId="4DF0AC62" w14:textId="0862A5FE" w:rsidR="00CF72D5" w:rsidRPr="002029AF" w:rsidRDefault="00CF72D5" w:rsidP="00897193">
      <w:pPr>
        <w:pStyle w:val="Heading4"/>
      </w:pPr>
      <w:r w:rsidRPr="002029AF">
        <w:t>Summary</w:t>
      </w:r>
      <w:r w:rsidR="000A5329" w:rsidRPr="002029AF">
        <w:t xml:space="preserve"> </w:t>
      </w:r>
      <w:r w:rsidRPr="002029AF">
        <w:t>of</w:t>
      </w:r>
      <w:r w:rsidR="000A5329" w:rsidRPr="002029AF">
        <w:t xml:space="preserve"> </w:t>
      </w:r>
      <w:r w:rsidRPr="002029AF">
        <w:t>employment</w:t>
      </w:r>
      <w:r w:rsidR="000A5329" w:rsidRPr="002029AF">
        <w:t xml:space="preserve"> </w:t>
      </w:r>
      <w:r w:rsidRPr="002029AF">
        <w:t>levels</w:t>
      </w:r>
      <w:r w:rsidR="000A5329" w:rsidRPr="002029AF">
        <w:t xml:space="preserve"> </w:t>
      </w:r>
      <w:r w:rsidRPr="002029AF">
        <w:t>in</w:t>
      </w:r>
      <w:r w:rsidR="000A5329" w:rsidRPr="002029AF">
        <w:t xml:space="preserve"> </w:t>
      </w:r>
      <w:r w:rsidRPr="002029AF">
        <w:t>June</w:t>
      </w:r>
      <w:r w:rsidR="000A5329" w:rsidRPr="002029AF">
        <w:t xml:space="preserve"> </w:t>
      </w:r>
      <w:r w:rsidRPr="002029AF">
        <w:t>of</w:t>
      </w:r>
      <w:r w:rsidR="000A5329" w:rsidRPr="002029AF">
        <w:t xml:space="preserve"> </w:t>
      </w:r>
      <w:r w:rsidRPr="002029AF">
        <w:t>2019</w:t>
      </w:r>
      <w:r w:rsidR="000A5329" w:rsidRPr="002029AF">
        <w:t xml:space="preserve"> </w:t>
      </w:r>
      <w:r w:rsidRPr="002029AF">
        <w:t>and</w:t>
      </w:r>
      <w:r w:rsidR="000A5329" w:rsidRPr="002029AF">
        <w:t xml:space="preserve"> </w:t>
      </w:r>
      <w:r w:rsidRPr="002029AF">
        <w:t>2020</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Layout w:type="fixed"/>
        <w:tblCellMar>
          <w:left w:w="0" w:type="dxa"/>
        </w:tblCellMar>
        <w:tblLook w:val="01E0" w:firstRow="1" w:lastRow="1" w:firstColumn="1" w:lastColumn="1" w:noHBand="0" w:noVBand="0"/>
      </w:tblPr>
      <w:tblGrid>
        <w:gridCol w:w="1611"/>
        <w:gridCol w:w="1609"/>
        <w:gridCol w:w="1610"/>
        <w:gridCol w:w="1610"/>
        <w:gridCol w:w="1610"/>
        <w:gridCol w:w="1589"/>
      </w:tblGrid>
      <w:tr w:rsidR="00CF72D5" w:rsidRPr="002029AF" w14:paraId="326DA2E2" w14:textId="77777777" w:rsidTr="00192EEE">
        <w:trPr>
          <w:cantSplit/>
          <w:tblHeader/>
        </w:trPr>
        <w:tc>
          <w:tcPr>
            <w:tcW w:w="1611" w:type="dxa"/>
            <w:vMerge w:val="restart"/>
            <w:shd w:val="clear" w:color="auto" w:fill="auto"/>
            <w:vAlign w:val="bottom"/>
          </w:tcPr>
          <w:p w14:paraId="25120CDC" w14:textId="77777777" w:rsidR="00CF72D5" w:rsidRPr="002029AF" w:rsidRDefault="00CF72D5" w:rsidP="00897193">
            <w:pPr>
              <w:jc w:val="right"/>
              <w:rPr>
                <w:rFonts w:cs="Arial"/>
              </w:rPr>
            </w:pPr>
          </w:p>
        </w:tc>
        <w:tc>
          <w:tcPr>
            <w:tcW w:w="6439" w:type="dxa"/>
            <w:gridSpan w:val="4"/>
            <w:shd w:val="clear" w:color="auto" w:fill="auto"/>
            <w:vAlign w:val="bottom"/>
          </w:tcPr>
          <w:p w14:paraId="408424EB" w14:textId="09835EEB" w:rsidR="00CF72D5" w:rsidRPr="002029AF" w:rsidRDefault="00CF72D5" w:rsidP="00897193">
            <w:pPr>
              <w:pStyle w:val="ARtablecolheadcentre"/>
            </w:pPr>
            <w:r w:rsidRPr="002029AF">
              <w:t>Ongoing</w:t>
            </w:r>
            <w:r w:rsidR="000A5329" w:rsidRPr="002029AF">
              <w:t xml:space="preserve"> </w:t>
            </w:r>
            <w:r w:rsidRPr="002029AF">
              <w:t>employees</w:t>
            </w:r>
          </w:p>
        </w:tc>
        <w:tc>
          <w:tcPr>
            <w:tcW w:w="1589" w:type="dxa"/>
            <w:shd w:val="clear" w:color="auto" w:fill="auto"/>
            <w:vAlign w:val="bottom"/>
          </w:tcPr>
          <w:p w14:paraId="288932C6" w14:textId="531D043B" w:rsidR="00CF72D5" w:rsidRPr="002029AF" w:rsidRDefault="00CF72D5" w:rsidP="00897193">
            <w:pPr>
              <w:pStyle w:val="ARtablecolheadcentre"/>
            </w:pPr>
            <w:r w:rsidRPr="002029AF">
              <w:t>Fixed-term</w:t>
            </w:r>
            <w:r w:rsidR="000A5329" w:rsidRPr="002029AF">
              <w:t xml:space="preserve"> </w:t>
            </w:r>
            <w:r w:rsidRPr="002029AF">
              <w:t>and</w:t>
            </w:r>
            <w:r w:rsidR="000A5329" w:rsidRPr="002029AF">
              <w:t xml:space="preserve"> </w:t>
            </w:r>
            <w:r w:rsidRPr="002029AF">
              <w:t>casual</w:t>
            </w:r>
            <w:r w:rsidR="000A5329" w:rsidRPr="002029AF">
              <w:t xml:space="preserve"> </w:t>
            </w:r>
            <w:r w:rsidRPr="002029AF">
              <w:t>employees</w:t>
            </w:r>
          </w:p>
        </w:tc>
      </w:tr>
      <w:tr w:rsidR="00CF72D5" w:rsidRPr="002029AF" w14:paraId="572534DE" w14:textId="77777777" w:rsidTr="00192EEE">
        <w:trPr>
          <w:cantSplit/>
          <w:tblHeader/>
        </w:trPr>
        <w:tc>
          <w:tcPr>
            <w:tcW w:w="1611" w:type="dxa"/>
            <w:vMerge/>
          </w:tcPr>
          <w:p w14:paraId="330E807C" w14:textId="77777777" w:rsidR="00CF72D5" w:rsidRPr="002029AF" w:rsidRDefault="00CF72D5" w:rsidP="00897193">
            <w:pPr>
              <w:jc w:val="right"/>
              <w:rPr>
                <w:rFonts w:cs="Arial"/>
              </w:rPr>
            </w:pPr>
          </w:p>
        </w:tc>
        <w:tc>
          <w:tcPr>
            <w:tcW w:w="1609" w:type="dxa"/>
            <w:shd w:val="clear" w:color="auto" w:fill="auto"/>
            <w:vAlign w:val="bottom"/>
          </w:tcPr>
          <w:p w14:paraId="4E63DA5B" w14:textId="564AE576" w:rsidR="00CF72D5" w:rsidRPr="002029AF" w:rsidRDefault="00CF72D5" w:rsidP="00897193">
            <w:pPr>
              <w:pStyle w:val="ARtablecolheadright"/>
            </w:pPr>
            <w:r w:rsidRPr="002029AF">
              <w:t>Employees</w:t>
            </w:r>
            <w:r w:rsidRPr="002029AF">
              <w:br/>
              <w:t>(head</w:t>
            </w:r>
            <w:r w:rsidR="000A5329" w:rsidRPr="002029AF">
              <w:t xml:space="preserve"> </w:t>
            </w:r>
            <w:r w:rsidRPr="002029AF">
              <w:t>count)</w:t>
            </w:r>
          </w:p>
        </w:tc>
        <w:tc>
          <w:tcPr>
            <w:tcW w:w="1610" w:type="dxa"/>
            <w:shd w:val="clear" w:color="auto" w:fill="auto"/>
            <w:vAlign w:val="bottom"/>
          </w:tcPr>
          <w:p w14:paraId="67BCAF92" w14:textId="2993B58A" w:rsidR="00CF72D5" w:rsidRPr="002029AF" w:rsidRDefault="00CF72D5" w:rsidP="00897193">
            <w:pPr>
              <w:pStyle w:val="ARtablecolheadright"/>
            </w:pPr>
            <w:r w:rsidRPr="002029AF">
              <w:t>Full-time</w:t>
            </w:r>
            <w:r w:rsidR="000A5329" w:rsidRPr="002029AF">
              <w:t xml:space="preserve"> </w:t>
            </w:r>
            <w:r w:rsidRPr="002029AF">
              <w:br/>
              <w:t>(head</w:t>
            </w:r>
            <w:r w:rsidR="000A5329" w:rsidRPr="002029AF">
              <w:t xml:space="preserve"> </w:t>
            </w:r>
            <w:r w:rsidRPr="002029AF">
              <w:t>count)</w:t>
            </w:r>
          </w:p>
        </w:tc>
        <w:tc>
          <w:tcPr>
            <w:tcW w:w="1610" w:type="dxa"/>
            <w:shd w:val="clear" w:color="auto" w:fill="auto"/>
            <w:vAlign w:val="bottom"/>
          </w:tcPr>
          <w:p w14:paraId="4CA85E10" w14:textId="4E0AA1CA" w:rsidR="00CF72D5" w:rsidRPr="002029AF" w:rsidRDefault="00CF72D5" w:rsidP="00897193">
            <w:pPr>
              <w:pStyle w:val="ARtablecolheadright"/>
            </w:pPr>
            <w:r w:rsidRPr="002029AF">
              <w:t>Part-time</w:t>
            </w:r>
            <w:r w:rsidR="000A5329" w:rsidRPr="002029AF">
              <w:t xml:space="preserve"> </w:t>
            </w:r>
            <w:r w:rsidRPr="002029AF">
              <w:br/>
              <w:t>(head</w:t>
            </w:r>
            <w:r w:rsidR="000A5329" w:rsidRPr="002029AF">
              <w:t xml:space="preserve"> </w:t>
            </w:r>
            <w:r w:rsidRPr="002029AF">
              <w:t>count)</w:t>
            </w:r>
          </w:p>
        </w:tc>
        <w:tc>
          <w:tcPr>
            <w:tcW w:w="1610" w:type="dxa"/>
            <w:shd w:val="clear" w:color="auto" w:fill="auto"/>
            <w:vAlign w:val="bottom"/>
          </w:tcPr>
          <w:p w14:paraId="722D6679" w14:textId="77777777" w:rsidR="00CF72D5" w:rsidRPr="002029AF" w:rsidRDefault="00CF72D5" w:rsidP="00897193">
            <w:pPr>
              <w:pStyle w:val="ARtablecolheadright"/>
            </w:pPr>
            <w:r w:rsidRPr="002029AF">
              <w:t>FTE</w:t>
            </w:r>
          </w:p>
        </w:tc>
        <w:tc>
          <w:tcPr>
            <w:tcW w:w="1589" w:type="dxa"/>
            <w:shd w:val="clear" w:color="auto" w:fill="auto"/>
            <w:vAlign w:val="bottom"/>
          </w:tcPr>
          <w:p w14:paraId="52C127EB" w14:textId="77777777" w:rsidR="00CF72D5" w:rsidRPr="002029AF" w:rsidRDefault="00CF72D5" w:rsidP="00897193">
            <w:pPr>
              <w:pStyle w:val="ARtablecolheadright"/>
            </w:pPr>
            <w:r w:rsidRPr="002029AF">
              <w:t>FTE</w:t>
            </w:r>
          </w:p>
        </w:tc>
      </w:tr>
      <w:tr w:rsidR="00CF72D5" w:rsidRPr="002029AF" w14:paraId="3339B09E" w14:textId="77777777" w:rsidTr="00897193">
        <w:trPr>
          <w:cantSplit/>
        </w:trPr>
        <w:tc>
          <w:tcPr>
            <w:tcW w:w="1611" w:type="dxa"/>
            <w:shd w:val="clear" w:color="auto" w:fill="auto"/>
          </w:tcPr>
          <w:p w14:paraId="496A01F6" w14:textId="1FFEF7D4" w:rsidR="00CF72D5" w:rsidRPr="002029AF" w:rsidRDefault="00CF72D5" w:rsidP="00897193">
            <w:pPr>
              <w:pStyle w:val="ARtabletext"/>
            </w:pPr>
            <w:r w:rsidRPr="002029AF">
              <w:t>June</w:t>
            </w:r>
            <w:r w:rsidR="000A5329" w:rsidRPr="002029AF">
              <w:t xml:space="preserve"> </w:t>
            </w:r>
            <w:r w:rsidRPr="002029AF">
              <w:t>2019</w:t>
            </w:r>
          </w:p>
        </w:tc>
        <w:tc>
          <w:tcPr>
            <w:tcW w:w="1609" w:type="dxa"/>
            <w:shd w:val="clear" w:color="auto" w:fill="auto"/>
          </w:tcPr>
          <w:p w14:paraId="02DA27FE" w14:textId="77777777" w:rsidR="00CF72D5" w:rsidRPr="002029AF" w:rsidRDefault="00CF72D5" w:rsidP="00897193">
            <w:pPr>
              <w:pStyle w:val="ARtabletextright"/>
            </w:pPr>
            <w:r w:rsidRPr="002029AF">
              <w:t>310</w:t>
            </w:r>
          </w:p>
        </w:tc>
        <w:tc>
          <w:tcPr>
            <w:tcW w:w="1610" w:type="dxa"/>
            <w:shd w:val="clear" w:color="auto" w:fill="auto"/>
          </w:tcPr>
          <w:p w14:paraId="063CE4CA" w14:textId="77777777" w:rsidR="00CF72D5" w:rsidRPr="002029AF" w:rsidRDefault="00CF72D5" w:rsidP="00897193">
            <w:pPr>
              <w:pStyle w:val="ARtabletextright"/>
            </w:pPr>
            <w:r w:rsidRPr="002029AF">
              <w:t>127</w:t>
            </w:r>
          </w:p>
        </w:tc>
        <w:tc>
          <w:tcPr>
            <w:tcW w:w="1610" w:type="dxa"/>
            <w:shd w:val="clear" w:color="auto" w:fill="auto"/>
          </w:tcPr>
          <w:p w14:paraId="6921BE9F" w14:textId="77777777" w:rsidR="00CF72D5" w:rsidRPr="002029AF" w:rsidRDefault="00CF72D5" w:rsidP="00897193">
            <w:pPr>
              <w:pStyle w:val="ARtabletextright"/>
            </w:pPr>
            <w:r w:rsidRPr="002029AF">
              <w:t>48</w:t>
            </w:r>
          </w:p>
        </w:tc>
        <w:tc>
          <w:tcPr>
            <w:tcW w:w="1610" w:type="dxa"/>
            <w:shd w:val="clear" w:color="auto" w:fill="auto"/>
          </w:tcPr>
          <w:p w14:paraId="4E9AD529" w14:textId="77777777" w:rsidR="00CF72D5" w:rsidRPr="002029AF" w:rsidRDefault="00CF72D5" w:rsidP="00897193">
            <w:pPr>
              <w:pStyle w:val="ARtabletextright"/>
            </w:pPr>
            <w:r w:rsidRPr="002029AF">
              <w:t>161.4</w:t>
            </w:r>
          </w:p>
        </w:tc>
        <w:tc>
          <w:tcPr>
            <w:tcW w:w="1589" w:type="dxa"/>
            <w:shd w:val="clear" w:color="auto" w:fill="auto"/>
          </w:tcPr>
          <w:p w14:paraId="24F056AB" w14:textId="77777777" w:rsidR="00CF72D5" w:rsidRPr="002029AF" w:rsidRDefault="00CF72D5" w:rsidP="00897193">
            <w:pPr>
              <w:pStyle w:val="ARtabletextright"/>
            </w:pPr>
            <w:r w:rsidRPr="002029AF">
              <w:t>129.5</w:t>
            </w:r>
          </w:p>
        </w:tc>
      </w:tr>
      <w:tr w:rsidR="00CF72D5" w:rsidRPr="002029AF" w14:paraId="40E1F8B5" w14:textId="77777777" w:rsidTr="00897193">
        <w:trPr>
          <w:cantSplit/>
        </w:trPr>
        <w:tc>
          <w:tcPr>
            <w:tcW w:w="1611" w:type="dxa"/>
            <w:shd w:val="clear" w:color="auto" w:fill="auto"/>
          </w:tcPr>
          <w:p w14:paraId="473976B6" w14:textId="3A00EAAB" w:rsidR="00CF72D5" w:rsidRPr="002029AF" w:rsidRDefault="00CF72D5" w:rsidP="00897193">
            <w:pPr>
              <w:pStyle w:val="ARtabletext"/>
            </w:pPr>
            <w:r w:rsidRPr="002029AF">
              <w:t>June</w:t>
            </w:r>
            <w:r w:rsidR="000A5329" w:rsidRPr="002029AF">
              <w:t xml:space="preserve"> </w:t>
            </w:r>
            <w:r w:rsidRPr="002029AF">
              <w:t>2020</w:t>
            </w:r>
          </w:p>
        </w:tc>
        <w:tc>
          <w:tcPr>
            <w:tcW w:w="1609" w:type="dxa"/>
            <w:shd w:val="clear" w:color="auto" w:fill="auto"/>
          </w:tcPr>
          <w:p w14:paraId="028C11BE" w14:textId="77777777" w:rsidR="00CF72D5" w:rsidRPr="002029AF" w:rsidRDefault="00CF72D5" w:rsidP="00897193">
            <w:pPr>
              <w:pStyle w:val="ARtabletextright"/>
            </w:pPr>
            <w:r w:rsidRPr="002029AF">
              <w:t>268</w:t>
            </w:r>
          </w:p>
        </w:tc>
        <w:tc>
          <w:tcPr>
            <w:tcW w:w="1610" w:type="dxa"/>
            <w:shd w:val="clear" w:color="auto" w:fill="auto"/>
          </w:tcPr>
          <w:p w14:paraId="52914F88" w14:textId="77777777" w:rsidR="00CF72D5" w:rsidRPr="002029AF" w:rsidRDefault="00CF72D5" w:rsidP="00897193">
            <w:pPr>
              <w:pStyle w:val="ARtabletextright"/>
            </w:pPr>
            <w:r w:rsidRPr="002029AF">
              <w:t>135</w:t>
            </w:r>
          </w:p>
        </w:tc>
        <w:tc>
          <w:tcPr>
            <w:tcW w:w="1610" w:type="dxa"/>
            <w:shd w:val="clear" w:color="auto" w:fill="auto"/>
          </w:tcPr>
          <w:p w14:paraId="2BA50660" w14:textId="77777777" w:rsidR="00CF72D5" w:rsidRPr="002029AF" w:rsidRDefault="00CF72D5" w:rsidP="00897193">
            <w:pPr>
              <w:pStyle w:val="ARtabletextright"/>
            </w:pPr>
            <w:r w:rsidRPr="002029AF">
              <w:t>37</w:t>
            </w:r>
          </w:p>
        </w:tc>
        <w:tc>
          <w:tcPr>
            <w:tcW w:w="1610" w:type="dxa"/>
            <w:shd w:val="clear" w:color="auto" w:fill="auto"/>
          </w:tcPr>
          <w:p w14:paraId="74F265EA" w14:textId="77777777" w:rsidR="00CF72D5" w:rsidRPr="002029AF" w:rsidRDefault="00CF72D5" w:rsidP="00897193">
            <w:pPr>
              <w:pStyle w:val="ARtabletextright"/>
            </w:pPr>
            <w:r w:rsidRPr="002029AF">
              <w:t>162.7</w:t>
            </w:r>
          </w:p>
        </w:tc>
        <w:tc>
          <w:tcPr>
            <w:tcW w:w="1589" w:type="dxa"/>
            <w:shd w:val="clear" w:color="auto" w:fill="auto"/>
          </w:tcPr>
          <w:p w14:paraId="123CC86F" w14:textId="77777777" w:rsidR="00CF72D5" w:rsidRPr="002029AF" w:rsidRDefault="00CF72D5" w:rsidP="00897193">
            <w:pPr>
              <w:pStyle w:val="ARtabletextright"/>
            </w:pPr>
            <w:r w:rsidRPr="002029AF">
              <w:t>93.4</w:t>
            </w:r>
          </w:p>
        </w:tc>
      </w:tr>
    </w:tbl>
    <w:p w14:paraId="380EFBF1" w14:textId="7AEEE5CC" w:rsidR="00CF72D5" w:rsidRPr="002029AF" w:rsidRDefault="000A5329" w:rsidP="00897193">
      <w:pPr>
        <w:pStyle w:val="Heading5"/>
        <w:sectPr w:rsidR="00CF72D5" w:rsidRPr="002029AF" w:rsidSect="00E25B23">
          <w:footerReference w:type="even" r:id="rId120"/>
          <w:pgSz w:w="11906" w:h="16838" w:code="9"/>
          <w:pgMar w:top="1985" w:right="851" w:bottom="851" w:left="1418" w:header="510" w:footer="340" w:gutter="0"/>
          <w:cols w:space="454"/>
          <w:docGrid w:linePitch="360"/>
          <w15:footnoteColumns w:val="1"/>
        </w:sectPr>
      </w:pPr>
      <w:r w:rsidRPr="002029AF">
        <w:t xml:space="preserve"> </w:t>
      </w:r>
    </w:p>
    <w:p w14:paraId="31E40B44" w14:textId="152B8DFC" w:rsidR="00CF72D5" w:rsidRPr="002029AF" w:rsidRDefault="00CF72D5" w:rsidP="0028134C">
      <w:pPr>
        <w:pStyle w:val="Heading4"/>
        <w:spacing w:before="0"/>
      </w:pPr>
      <w:r w:rsidRPr="002029AF">
        <w:lastRenderedPageBreak/>
        <w:t>Family</w:t>
      </w:r>
      <w:r w:rsidR="000A5329" w:rsidRPr="002029AF">
        <w:t xml:space="preserve"> </w:t>
      </w:r>
      <w:r w:rsidRPr="002029AF">
        <w:t>Safety</w:t>
      </w:r>
      <w:r w:rsidR="000A5329" w:rsidRPr="002029AF">
        <w:t xml:space="preserve"> </w:t>
      </w:r>
      <w:r w:rsidRPr="002029AF">
        <w:t>Victoria</w:t>
      </w:r>
      <w:r w:rsidR="000A5329" w:rsidRPr="002029AF">
        <w:t xml:space="preserve"> </w:t>
      </w:r>
      <w:r w:rsidRPr="002029AF">
        <w:t>employment</w:t>
      </w:r>
      <w:r w:rsidR="000A5329" w:rsidRPr="002029AF">
        <w:t xml:space="preserve"> </w:t>
      </w:r>
      <w:r w:rsidRPr="002029AF">
        <w:t>levels</w:t>
      </w:r>
      <w:r w:rsidR="000A5329" w:rsidRPr="002029AF">
        <w:t xml:space="preserve"> </w:t>
      </w:r>
      <w:r w:rsidRPr="002029AF">
        <w:t>in</w:t>
      </w:r>
      <w:r w:rsidR="000A5329" w:rsidRPr="002029AF">
        <w:t xml:space="preserve"> </w:t>
      </w:r>
      <w:r w:rsidRPr="002029AF">
        <w:t>June</w:t>
      </w:r>
      <w:r w:rsidR="000A5329" w:rsidRPr="002029AF">
        <w:t xml:space="preserve"> </w:t>
      </w:r>
      <w:r w:rsidRPr="002029AF">
        <w:t>of</w:t>
      </w:r>
      <w:r w:rsidR="000A5329" w:rsidRPr="002029AF">
        <w:t xml:space="preserve"> </w:t>
      </w:r>
      <w:r w:rsidRPr="002029AF">
        <w:t>2020</w:t>
      </w:r>
      <w:r w:rsidR="000A5329" w:rsidRPr="002029AF">
        <w:t xml:space="preserve"> </w:t>
      </w:r>
      <w:r w:rsidRPr="002029AF">
        <w:t>and</w:t>
      </w:r>
      <w:r w:rsidR="000A5329" w:rsidRPr="002029AF">
        <w:t xml:space="preserve"> </w:t>
      </w:r>
      <w:r w:rsidRPr="002029AF">
        <w:t>2019</w:t>
      </w:r>
    </w:p>
    <w:tbl>
      <w:tblPr>
        <w:tblStyle w:val="TableGrid"/>
        <w:tblW w:w="14005" w:type="dxa"/>
        <w:tblLook w:val="06A0" w:firstRow="1" w:lastRow="0" w:firstColumn="1" w:lastColumn="0" w:noHBand="1" w:noVBand="1"/>
      </w:tblPr>
      <w:tblGrid>
        <w:gridCol w:w="2429"/>
        <w:gridCol w:w="897"/>
        <w:gridCol w:w="802"/>
        <w:gridCol w:w="796"/>
        <w:gridCol w:w="795"/>
        <w:gridCol w:w="801"/>
        <w:gridCol w:w="896"/>
        <w:gridCol w:w="801"/>
        <w:gridCol w:w="896"/>
        <w:gridCol w:w="801"/>
        <w:gridCol w:w="795"/>
        <w:gridCol w:w="795"/>
        <w:gridCol w:w="801"/>
        <w:gridCol w:w="896"/>
        <w:gridCol w:w="804"/>
      </w:tblGrid>
      <w:tr w:rsidR="002008D4" w:rsidRPr="002029AF" w14:paraId="35225374" w14:textId="77777777" w:rsidTr="00233C48">
        <w:trPr>
          <w:cnfStyle w:val="100000000000" w:firstRow="1" w:lastRow="0" w:firstColumn="0" w:lastColumn="0" w:oddVBand="0" w:evenVBand="0" w:oddHBand="0" w:evenHBand="0" w:firstRowFirstColumn="0" w:firstRowLastColumn="0" w:lastRowFirstColumn="0" w:lastRowLastColumn="0"/>
          <w:tblHeader/>
        </w:trPr>
        <w:tc>
          <w:tcPr>
            <w:tcW w:w="867" w:type="pct"/>
            <w:vMerge w:val="restart"/>
            <w:hideMark/>
          </w:tcPr>
          <w:p w14:paraId="1B58C8F9" w14:textId="7CF7AAEA" w:rsidR="002008D4" w:rsidRPr="002029AF" w:rsidRDefault="002008D4" w:rsidP="002008D4">
            <w:pPr>
              <w:pStyle w:val="ARtablecolhead"/>
            </w:pPr>
          </w:p>
        </w:tc>
        <w:tc>
          <w:tcPr>
            <w:tcW w:w="2066" w:type="pct"/>
            <w:gridSpan w:val="7"/>
            <w:hideMark/>
          </w:tcPr>
          <w:p w14:paraId="3822B227" w14:textId="75E42A7E" w:rsidR="002008D4" w:rsidRPr="002029AF" w:rsidRDefault="002008D4" w:rsidP="00B518D9">
            <w:pPr>
              <w:pStyle w:val="ARtablecolheadcentre"/>
            </w:pPr>
            <w:r w:rsidRPr="002029AF">
              <w:t>June</w:t>
            </w:r>
            <w:r w:rsidR="000A5329" w:rsidRPr="002029AF">
              <w:t xml:space="preserve"> </w:t>
            </w:r>
            <w:r w:rsidRPr="002029AF">
              <w:t>2020</w:t>
            </w:r>
          </w:p>
        </w:tc>
        <w:tc>
          <w:tcPr>
            <w:tcW w:w="2067" w:type="pct"/>
            <w:gridSpan w:val="7"/>
            <w:hideMark/>
          </w:tcPr>
          <w:p w14:paraId="261956C4" w14:textId="080C79C0" w:rsidR="002008D4" w:rsidRPr="002029AF" w:rsidRDefault="002008D4" w:rsidP="00B518D9">
            <w:pPr>
              <w:pStyle w:val="ARtablecolheadcentre"/>
            </w:pPr>
            <w:r w:rsidRPr="002029AF">
              <w:t>June</w:t>
            </w:r>
            <w:r w:rsidR="000A5329" w:rsidRPr="002029AF">
              <w:t xml:space="preserve"> </w:t>
            </w:r>
            <w:r w:rsidRPr="002029AF">
              <w:t>2019</w:t>
            </w:r>
          </w:p>
        </w:tc>
      </w:tr>
      <w:tr w:rsidR="002008D4" w:rsidRPr="002029AF" w14:paraId="777266DD" w14:textId="77777777" w:rsidTr="00233C48">
        <w:trPr>
          <w:cnfStyle w:val="100000000000" w:firstRow="1" w:lastRow="0" w:firstColumn="0" w:lastColumn="0" w:oddVBand="0" w:evenVBand="0" w:oddHBand="0" w:evenHBand="0" w:firstRowFirstColumn="0" w:firstRowLastColumn="0" w:lastRowFirstColumn="0" w:lastRowLastColumn="0"/>
          <w:tblHeader/>
        </w:trPr>
        <w:tc>
          <w:tcPr>
            <w:tcW w:w="867" w:type="pct"/>
            <w:vMerge/>
            <w:hideMark/>
          </w:tcPr>
          <w:p w14:paraId="00E8501A" w14:textId="7F9B6AD9" w:rsidR="002008D4" w:rsidRPr="002029AF" w:rsidRDefault="002008D4" w:rsidP="00897193">
            <w:pPr>
              <w:spacing w:after="0" w:line="240" w:lineRule="auto"/>
              <w:rPr>
                <w:rFonts w:ascii="Calibri" w:eastAsia="Times New Roman" w:hAnsi="Calibri" w:cs="Calibri"/>
                <w:i/>
                <w:iCs/>
                <w:color w:val="000000"/>
                <w:sz w:val="15"/>
                <w:szCs w:val="15"/>
              </w:rPr>
            </w:pPr>
          </w:p>
        </w:tc>
        <w:tc>
          <w:tcPr>
            <w:tcW w:w="606" w:type="pct"/>
            <w:gridSpan w:val="2"/>
            <w:hideMark/>
          </w:tcPr>
          <w:p w14:paraId="6B55A971" w14:textId="6E0EA652" w:rsidR="002008D4" w:rsidRPr="002029AF" w:rsidRDefault="002008D4" w:rsidP="00B518D9">
            <w:pPr>
              <w:pStyle w:val="ARtablecolheadcentre"/>
            </w:pPr>
            <w:r w:rsidRPr="002029AF">
              <w:t>All</w:t>
            </w:r>
            <w:r w:rsidR="000A5329" w:rsidRPr="002029AF">
              <w:t xml:space="preserve"> </w:t>
            </w:r>
            <w:r w:rsidRPr="002029AF">
              <w:t>employees</w:t>
            </w:r>
          </w:p>
        </w:tc>
        <w:tc>
          <w:tcPr>
            <w:tcW w:w="854" w:type="pct"/>
            <w:gridSpan w:val="3"/>
            <w:hideMark/>
          </w:tcPr>
          <w:p w14:paraId="50525680" w14:textId="77777777" w:rsidR="002008D4" w:rsidRPr="002029AF" w:rsidRDefault="002008D4" w:rsidP="00B518D9">
            <w:pPr>
              <w:pStyle w:val="ARtablecolheadcentre"/>
            </w:pPr>
            <w:r w:rsidRPr="002029AF">
              <w:t>Ongoing</w:t>
            </w:r>
          </w:p>
        </w:tc>
        <w:tc>
          <w:tcPr>
            <w:tcW w:w="606" w:type="pct"/>
            <w:gridSpan w:val="2"/>
            <w:hideMark/>
          </w:tcPr>
          <w:p w14:paraId="01CD5B06" w14:textId="2542313D" w:rsidR="002008D4" w:rsidRPr="002029AF" w:rsidRDefault="002008D4" w:rsidP="00B518D9">
            <w:pPr>
              <w:pStyle w:val="ARtablecolheadcentre"/>
            </w:pPr>
            <w:r w:rsidRPr="002029AF">
              <w:t>Fixed</w:t>
            </w:r>
            <w:r w:rsidR="000A5329" w:rsidRPr="002029AF">
              <w:t xml:space="preserve"> </w:t>
            </w:r>
            <w:r w:rsidRPr="002029AF">
              <w:t>term</w:t>
            </w:r>
            <w:r w:rsidR="000A5329" w:rsidRPr="002029AF">
              <w:t xml:space="preserve"> </w:t>
            </w:r>
            <w:r w:rsidRPr="002029AF">
              <w:t>and</w:t>
            </w:r>
            <w:r w:rsidR="000A5329" w:rsidRPr="002029AF">
              <w:t xml:space="preserve"> </w:t>
            </w:r>
            <w:r w:rsidRPr="002029AF">
              <w:t>casual</w:t>
            </w:r>
          </w:p>
        </w:tc>
        <w:tc>
          <w:tcPr>
            <w:tcW w:w="606" w:type="pct"/>
            <w:gridSpan w:val="2"/>
            <w:hideMark/>
          </w:tcPr>
          <w:p w14:paraId="3E29A595" w14:textId="6328B914" w:rsidR="002008D4" w:rsidRPr="002029AF" w:rsidRDefault="002008D4" w:rsidP="00B518D9">
            <w:pPr>
              <w:pStyle w:val="ARtablecolheadcentre"/>
            </w:pPr>
            <w:r w:rsidRPr="002029AF">
              <w:t>All</w:t>
            </w:r>
            <w:r w:rsidR="000A5329" w:rsidRPr="002029AF">
              <w:t xml:space="preserve"> </w:t>
            </w:r>
            <w:r w:rsidRPr="002029AF">
              <w:t>employees</w:t>
            </w:r>
          </w:p>
        </w:tc>
        <w:tc>
          <w:tcPr>
            <w:tcW w:w="854" w:type="pct"/>
            <w:gridSpan w:val="3"/>
            <w:hideMark/>
          </w:tcPr>
          <w:p w14:paraId="5EC22C02" w14:textId="77777777" w:rsidR="002008D4" w:rsidRPr="002029AF" w:rsidRDefault="002008D4" w:rsidP="00B518D9">
            <w:pPr>
              <w:pStyle w:val="ARtablecolheadcentre"/>
            </w:pPr>
            <w:r w:rsidRPr="002029AF">
              <w:t>Ongoing</w:t>
            </w:r>
          </w:p>
        </w:tc>
        <w:tc>
          <w:tcPr>
            <w:tcW w:w="607" w:type="pct"/>
            <w:gridSpan w:val="2"/>
            <w:hideMark/>
          </w:tcPr>
          <w:p w14:paraId="5A1F2244" w14:textId="6689EF0D" w:rsidR="002008D4" w:rsidRPr="002029AF" w:rsidRDefault="002008D4" w:rsidP="00B518D9">
            <w:pPr>
              <w:pStyle w:val="ARtablecolheadcentre"/>
            </w:pPr>
            <w:r w:rsidRPr="002029AF">
              <w:t>Fixed</w:t>
            </w:r>
            <w:r w:rsidR="000A5329" w:rsidRPr="002029AF">
              <w:t xml:space="preserve"> </w:t>
            </w:r>
            <w:r w:rsidRPr="002029AF">
              <w:t>term</w:t>
            </w:r>
            <w:r w:rsidR="000A5329" w:rsidRPr="002029AF">
              <w:t xml:space="preserve"> </w:t>
            </w:r>
            <w:r w:rsidRPr="002029AF">
              <w:t>and</w:t>
            </w:r>
            <w:r w:rsidR="000A5329" w:rsidRPr="002029AF">
              <w:t xml:space="preserve"> </w:t>
            </w:r>
            <w:r w:rsidRPr="002029AF">
              <w:t>casual</w:t>
            </w:r>
          </w:p>
        </w:tc>
      </w:tr>
      <w:tr w:rsidR="001E768A" w:rsidRPr="002029AF" w14:paraId="4373D679" w14:textId="77777777" w:rsidTr="00233C48">
        <w:trPr>
          <w:cnfStyle w:val="100000000000" w:firstRow="1" w:lastRow="0" w:firstColumn="0" w:lastColumn="0" w:oddVBand="0" w:evenVBand="0" w:oddHBand="0" w:evenHBand="0" w:firstRowFirstColumn="0" w:firstRowLastColumn="0" w:lastRowFirstColumn="0" w:lastRowLastColumn="0"/>
          <w:tblHeader/>
        </w:trPr>
        <w:tc>
          <w:tcPr>
            <w:tcW w:w="867" w:type="pct"/>
            <w:vMerge/>
            <w:hideMark/>
          </w:tcPr>
          <w:p w14:paraId="7AE11628" w14:textId="14590F29" w:rsidR="002008D4" w:rsidRPr="002029AF" w:rsidRDefault="002008D4" w:rsidP="00897193">
            <w:pPr>
              <w:spacing w:after="0" w:line="240" w:lineRule="auto"/>
              <w:rPr>
                <w:rFonts w:ascii="Calibri" w:eastAsia="Times New Roman" w:hAnsi="Calibri" w:cs="Calibri"/>
                <w:i/>
                <w:iCs/>
                <w:color w:val="000000"/>
                <w:sz w:val="15"/>
                <w:szCs w:val="15"/>
              </w:rPr>
            </w:pPr>
          </w:p>
        </w:tc>
        <w:tc>
          <w:tcPr>
            <w:tcW w:w="320" w:type="pct"/>
            <w:hideMark/>
          </w:tcPr>
          <w:p w14:paraId="281BEFB3" w14:textId="3F429704" w:rsidR="002008D4" w:rsidRPr="002029AF" w:rsidRDefault="002008D4" w:rsidP="00B518D9">
            <w:pPr>
              <w:pStyle w:val="ARtablecolheadright"/>
            </w:pPr>
            <w:r w:rsidRPr="002029AF">
              <w:t>Number</w:t>
            </w:r>
            <w:r w:rsidR="000A5329" w:rsidRPr="002029AF">
              <w:t xml:space="preserve"> </w:t>
            </w:r>
            <w:r w:rsidRPr="002029AF">
              <w:t>(head</w:t>
            </w:r>
            <w:r w:rsidR="000A5329" w:rsidRPr="002029AF">
              <w:t xml:space="preserve"> </w:t>
            </w:r>
            <w:r w:rsidRPr="002029AF">
              <w:t>count)</w:t>
            </w:r>
          </w:p>
        </w:tc>
        <w:tc>
          <w:tcPr>
            <w:tcW w:w="286" w:type="pct"/>
            <w:hideMark/>
          </w:tcPr>
          <w:p w14:paraId="52C7608C" w14:textId="77777777" w:rsidR="002008D4" w:rsidRPr="002029AF" w:rsidRDefault="002008D4" w:rsidP="00B518D9">
            <w:pPr>
              <w:pStyle w:val="ARtablecolheadright"/>
            </w:pPr>
            <w:r w:rsidRPr="002029AF">
              <w:t>FTE</w:t>
            </w:r>
          </w:p>
        </w:tc>
        <w:tc>
          <w:tcPr>
            <w:tcW w:w="284" w:type="pct"/>
            <w:hideMark/>
          </w:tcPr>
          <w:p w14:paraId="45CFAF61" w14:textId="3F9F5311" w:rsidR="002008D4" w:rsidRPr="002029AF" w:rsidRDefault="002008D4" w:rsidP="00B518D9">
            <w:pPr>
              <w:pStyle w:val="ARtablecolheadright"/>
            </w:pPr>
            <w:r w:rsidRPr="002029AF">
              <w:t>Full-time</w:t>
            </w:r>
            <w:r w:rsidR="000A5329" w:rsidRPr="002029AF">
              <w:t xml:space="preserve"> </w:t>
            </w:r>
            <w:r w:rsidRPr="002029AF">
              <w:t>(head</w:t>
            </w:r>
            <w:r w:rsidR="000A5329" w:rsidRPr="002029AF">
              <w:t xml:space="preserve"> </w:t>
            </w:r>
            <w:r w:rsidRPr="002029AF">
              <w:t>count)</w:t>
            </w:r>
          </w:p>
        </w:tc>
        <w:tc>
          <w:tcPr>
            <w:tcW w:w="284" w:type="pct"/>
            <w:hideMark/>
          </w:tcPr>
          <w:p w14:paraId="4B87F1E2" w14:textId="78424ADA" w:rsidR="002008D4" w:rsidRPr="002029AF" w:rsidRDefault="002008D4" w:rsidP="00B518D9">
            <w:pPr>
              <w:pStyle w:val="ARtablecolheadright"/>
            </w:pPr>
            <w:r w:rsidRPr="002029AF">
              <w:t>Part-time</w:t>
            </w:r>
            <w:r w:rsidR="000A5329" w:rsidRPr="002029AF">
              <w:t xml:space="preserve"> </w:t>
            </w:r>
            <w:r w:rsidRPr="002029AF">
              <w:t>(head</w:t>
            </w:r>
            <w:r w:rsidR="000A5329" w:rsidRPr="002029AF">
              <w:t xml:space="preserve"> </w:t>
            </w:r>
            <w:r w:rsidRPr="002029AF">
              <w:t>count)</w:t>
            </w:r>
          </w:p>
        </w:tc>
        <w:tc>
          <w:tcPr>
            <w:tcW w:w="286" w:type="pct"/>
            <w:hideMark/>
          </w:tcPr>
          <w:p w14:paraId="3957362E" w14:textId="77777777" w:rsidR="002008D4" w:rsidRPr="002029AF" w:rsidRDefault="002008D4" w:rsidP="00B518D9">
            <w:pPr>
              <w:pStyle w:val="ARtablecolheadright"/>
            </w:pPr>
            <w:r w:rsidRPr="002029AF">
              <w:t>FTE</w:t>
            </w:r>
          </w:p>
        </w:tc>
        <w:tc>
          <w:tcPr>
            <w:tcW w:w="320" w:type="pct"/>
            <w:hideMark/>
          </w:tcPr>
          <w:p w14:paraId="61C65CB3" w14:textId="7DE9BA34" w:rsidR="002008D4" w:rsidRPr="002029AF" w:rsidRDefault="002008D4" w:rsidP="00B518D9">
            <w:pPr>
              <w:pStyle w:val="ARtablecolheadright"/>
            </w:pPr>
            <w:r w:rsidRPr="002029AF">
              <w:t>Number</w:t>
            </w:r>
            <w:r w:rsidR="000A5329" w:rsidRPr="002029AF">
              <w:t xml:space="preserve"> </w:t>
            </w:r>
            <w:r w:rsidRPr="002029AF">
              <w:t>(head</w:t>
            </w:r>
            <w:r w:rsidR="000A5329" w:rsidRPr="002029AF">
              <w:t xml:space="preserve"> </w:t>
            </w:r>
            <w:r w:rsidRPr="002029AF">
              <w:t>count)</w:t>
            </w:r>
          </w:p>
        </w:tc>
        <w:tc>
          <w:tcPr>
            <w:tcW w:w="286" w:type="pct"/>
            <w:hideMark/>
          </w:tcPr>
          <w:p w14:paraId="11DF1EA4" w14:textId="77777777" w:rsidR="002008D4" w:rsidRPr="002029AF" w:rsidRDefault="002008D4" w:rsidP="00B518D9">
            <w:pPr>
              <w:pStyle w:val="ARtablecolheadright"/>
            </w:pPr>
            <w:r w:rsidRPr="002029AF">
              <w:t>FTE</w:t>
            </w:r>
          </w:p>
        </w:tc>
        <w:tc>
          <w:tcPr>
            <w:tcW w:w="320" w:type="pct"/>
            <w:hideMark/>
          </w:tcPr>
          <w:p w14:paraId="37A7245D" w14:textId="3DE7A562" w:rsidR="002008D4" w:rsidRPr="002029AF" w:rsidRDefault="002008D4" w:rsidP="00B518D9">
            <w:pPr>
              <w:pStyle w:val="ARtablecolheadright"/>
            </w:pPr>
            <w:r w:rsidRPr="002029AF">
              <w:t>Number</w:t>
            </w:r>
            <w:r w:rsidR="000A5329" w:rsidRPr="002029AF">
              <w:t xml:space="preserve"> </w:t>
            </w:r>
            <w:r w:rsidRPr="002029AF">
              <w:t>(head</w:t>
            </w:r>
            <w:r w:rsidR="000A5329" w:rsidRPr="002029AF">
              <w:t xml:space="preserve"> </w:t>
            </w:r>
            <w:r w:rsidRPr="002029AF">
              <w:t>count)</w:t>
            </w:r>
          </w:p>
        </w:tc>
        <w:tc>
          <w:tcPr>
            <w:tcW w:w="286" w:type="pct"/>
            <w:hideMark/>
          </w:tcPr>
          <w:p w14:paraId="222AD2C3" w14:textId="77777777" w:rsidR="002008D4" w:rsidRPr="002029AF" w:rsidRDefault="002008D4" w:rsidP="00B518D9">
            <w:pPr>
              <w:pStyle w:val="ARtablecolheadright"/>
            </w:pPr>
            <w:r w:rsidRPr="002029AF">
              <w:t>FTE</w:t>
            </w:r>
          </w:p>
        </w:tc>
        <w:tc>
          <w:tcPr>
            <w:tcW w:w="284" w:type="pct"/>
            <w:hideMark/>
          </w:tcPr>
          <w:p w14:paraId="5FE4478C" w14:textId="790E3A6C" w:rsidR="002008D4" w:rsidRPr="002029AF" w:rsidRDefault="002008D4" w:rsidP="00B518D9">
            <w:pPr>
              <w:pStyle w:val="ARtablecolheadright"/>
            </w:pPr>
            <w:r w:rsidRPr="002029AF">
              <w:t>Full-time</w:t>
            </w:r>
            <w:r w:rsidR="000A5329" w:rsidRPr="002029AF">
              <w:t xml:space="preserve"> </w:t>
            </w:r>
            <w:r w:rsidRPr="002029AF">
              <w:t>(head</w:t>
            </w:r>
            <w:r w:rsidR="000A5329" w:rsidRPr="002029AF">
              <w:t xml:space="preserve"> </w:t>
            </w:r>
            <w:r w:rsidRPr="002029AF">
              <w:t>count)</w:t>
            </w:r>
          </w:p>
        </w:tc>
        <w:tc>
          <w:tcPr>
            <w:tcW w:w="284" w:type="pct"/>
            <w:hideMark/>
          </w:tcPr>
          <w:p w14:paraId="5399B55A" w14:textId="3DD78D0C" w:rsidR="002008D4" w:rsidRPr="002029AF" w:rsidRDefault="002008D4" w:rsidP="00B518D9">
            <w:pPr>
              <w:pStyle w:val="ARtablecolheadright"/>
            </w:pPr>
            <w:r w:rsidRPr="002029AF">
              <w:t>Part-time</w:t>
            </w:r>
            <w:r w:rsidR="000A5329" w:rsidRPr="002029AF">
              <w:t xml:space="preserve"> </w:t>
            </w:r>
            <w:r w:rsidRPr="002029AF">
              <w:t>(head</w:t>
            </w:r>
            <w:r w:rsidR="000A5329" w:rsidRPr="002029AF">
              <w:t xml:space="preserve"> </w:t>
            </w:r>
            <w:r w:rsidRPr="002029AF">
              <w:t>count)</w:t>
            </w:r>
          </w:p>
        </w:tc>
        <w:tc>
          <w:tcPr>
            <w:tcW w:w="286" w:type="pct"/>
            <w:hideMark/>
          </w:tcPr>
          <w:p w14:paraId="4ACF2253" w14:textId="77777777" w:rsidR="002008D4" w:rsidRPr="002029AF" w:rsidRDefault="002008D4" w:rsidP="00B518D9">
            <w:pPr>
              <w:pStyle w:val="ARtablecolheadright"/>
            </w:pPr>
            <w:r w:rsidRPr="002029AF">
              <w:t>FTE</w:t>
            </w:r>
          </w:p>
        </w:tc>
        <w:tc>
          <w:tcPr>
            <w:tcW w:w="320" w:type="pct"/>
            <w:hideMark/>
          </w:tcPr>
          <w:p w14:paraId="0764A1D2" w14:textId="47627BBF" w:rsidR="002008D4" w:rsidRPr="002029AF" w:rsidRDefault="002008D4" w:rsidP="00B518D9">
            <w:pPr>
              <w:pStyle w:val="ARtablecolheadright"/>
            </w:pPr>
            <w:r w:rsidRPr="002029AF">
              <w:t>Number</w:t>
            </w:r>
            <w:r w:rsidR="000A5329" w:rsidRPr="002029AF">
              <w:t xml:space="preserve"> </w:t>
            </w:r>
            <w:r w:rsidRPr="002029AF">
              <w:t>(head</w:t>
            </w:r>
            <w:r w:rsidR="000A5329" w:rsidRPr="002029AF">
              <w:t xml:space="preserve"> </w:t>
            </w:r>
            <w:r w:rsidRPr="002029AF">
              <w:t>count)</w:t>
            </w:r>
          </w:p>
        </w:tc>
        <w:tc>
          <w:tcPr>
            <w:tcW w:w="287" w:type="pct"/>
            <w:hideMark/>
          </w:tcPr>
          <w:p w14:paraId="3AA0BCB2" w14:textId="77777777" w:rsidR="002008D4" w:rsidRPr="002029AF" w:rsidRDefault="002008D4" w:rsidP="00B518D9">
            <w:pPr>
              <w:pStyle w:val="ARtablecolheadright"/>
            </w:pPr>
            <w:r w:rsidRPr="002029AF">
              <w:t>FTE</w:t>
            </w:r>
          </w:p>
        </w:tc>
      </w:tr>
      <w:tr w:rsidR="00462DC8" w:rsidRPr="002029AF" w14:paraId="2F20B6A0" w14:textId="77777777" w:rsidTr="00192EEE">
        <w:tc>
          <w:tcPr>
            <w:tcW w:w="5000" w:type="pct"/>
            <w:gridSpan w:val="15"/>
            <w:hideMark/>
          </w:tcPr>
          <w:p w14:paraId="3061B31A" w14:textId="38F84321" w:rsidR="00462DC8" w:rsidRPr="002029AF" w:rsidRDefault="002008D4" w:rsidP="00B518D9">
            <w:pPr>
              <w:pStyle w:val="ARtablesubhead"/>
              <w:spacing w:before="20" w:after="20"/>
            </w:pPr>
            <w:r w:rsidRPr="002029AF">
              <w:t>Gender</w:t>
            </w:r>
          </w:p>
        </w:tc>
      </w:tr>
      <w:tr w:rsidR="001E768A" w:rsidRPr="002029AF" w14:paraId="1F41463C" w14:textId="77777777" w:rsidTr="00192EEE">
        <w:tc>
          <w:tcPr>
            <w:tcW w:w="867" w:type="pct"/>
            <w:hideMark/>
          </w:tcPr>
          <w:p w14:paraId="150AEB39" w14:textId="77777777" w:rsidR="00CF72D5" w:rsidRPr="002029AF" w:rsidRDefault="00CF72D5" w:rsidP="00B518D9">
            <w:pPr>
              <w:pStyle w:val="ARtabletext"/>
              <w:spacing w:before="20" w:after="20"/>
            </w:pPr>
            <w:r w:rsidRPr="002029AF">
              <w:t>Women</w:t>
            </w:r>
          </w:p>
        </w:tc>
        <w:tc>
          <w:tcPr>
            <w:tcW w:w="320" w:type="pct"/>
            <w:hideMark/>
          </w:tcPr>
          <w:p w14:paraId="5EEEAE0A" w14:textId="77777777" w:rsidR="00CF72D5" w:rsidRPr="002029AF" w:rsidRDefault="00CF72D5" w:rsidP="00B518D9">
            <w:pPr>
              <w:pStyle w:val="ARtabletextright"/>
              <w:spacing w:before="20" w:after="20"/>
            </w:pPr>
            <w:r w:rsidRPr="002029AF">
              <w:t>222</w:t>
            </w:r>
          </w:p>
        </w:tc>
        <w:tc>
          <w:tcPr>
            <w:tcW w:w="286" w:type="pct"/>
            <w:hideMark/>
          </w:tcPr>
          <w:p w14:paraId="0597A8A7" w14:textId="77777777" w:rsidR="00CF72D5" w:rsidRPr="002029AF" w:rsidRDefault="00CF72D5" w:rsidP="00B518D9">
            <w:pPr>
              <w:pStyle w:val="ARtabletextright"/>
              <w:spacing w:before="20" w:after="20"/>
            </w:pPr>
            <w:r w:rsidRPr="002029AF">
              <w:t>211.1</w:t>
            </w:r>
          </w:p>
        </w:tc>
        <w:tc>
          <w:tcPr>
            <w:tcW w:w="284" w:type="pct"/>
            <w:hideMark/>
          </w:tcPr>
          <w:p w14:paraId="262DBB2D" w14:textId="77777777" w:rsidR="00CF72D5" w:rsidRPr="002029AF" w:rsidRDefault="00CF72D5" w:rsidP="00B518D9">
            <w:pPr>
              <w:pStyle w:val="ARtabletextright"/>
              <w:spacing w:before="20" w:after="20"/>
            </w:pPr>
            <w:r w:rsidRPr="002029AF">
              <w:t>112</w:t>
            </w:r>
          </w:p>
        </w:tc>
        <w:tc>
          <w:tcPr>
            <w:tcW w:w="284" w:type="pct"/>
            <w:hideMark/>
          </w:tcPr>
          <w:p w14:paraId="43728324" w14:textId="77777777" w:rsidR="00CF72D5" w:rsidRPr="002029AF" w:rsidRDefault="00CF72D5" w:rsidP="00B518D9">
            <w:pPr>
              <w:pStyle w:val="ARtabletextright"/>
              <w:spacing w:before="20" w:after="20"/>
            </w:pPr>
            <w:r w:rsidRPr="002029AF">
              <w:t>31</w:t>
            </w:r>
          </w:p>
        </w:tc>
        <w:tc>
          <w:tcPr>
            <w:tcW w:w="286" w:type="pct"/>
            <w:hideMark/>
          </w:tcPr>
          <w:p w14:paraId="1B1DD518" w14:textId="77777777" w:rsidR="00CF72D5" w:rsidRPr="002029AF" w:rsidRDefault="00CF72D5" w:rsidP="00B518D9">
            <w:pPr>
              <w:pStyle w:val="ARtabletextright"/>
              <w:spacing w:before="20" w:after="20"/>
            </w:pPr>
            <w:r w:rsidRPr="002029AF">
              <w:t>134.6</w:t>
            </w:r>
          </w:p>
        </w:tc>
        <w:tc>
          <w:tcPr>
            <w:tcW w:w="320" w:type="pct"/>
            <w:hideMark/>
          </w:tcPr>
          <w:p w14:paraId="6284CB77" w14:textId="77777777" w:rsidR="00CF72D5" w:rsidRPr="002029AF" w:rsidRDefault="00CF72D5" w:rsidP="00B518D9">
            <w:pPr>
              <w:pStyle w:val="ARtabletextright"/>
              <w:spacing w:before="20" w:after="20"/>
            </w:pPr>
            <w:r w:rsidRPr="002029AF">
              <w:t>79</w:t>
            </w:r>
          </w:p>
        </w:tc>
        <w:tc>
          <w:tcPr>
            <w:tcW w:w="286" w:type="pct"/>
            <w:hideMark/>
          </w:tcPr>
          <w:p w14:paraId="1B7E7497" w14:textId="77777777" w:rsidR="00CF72D5" w:rsidRPr="002029AF" w:rsidRDefault="00CF72D5" w:rsidP="00B518D9">
            <w:pPr>
              <w:pStyle w:val="ARtabletextright"/>
              <w:spacing w:before="20" w:after="20"/>
            </w:pPr>
            <w:r w:rsidRPr="002029AF">
              <w:t>76.4</w:t>
            </w:r>
          </w:p>
        </w:tc>
        <w:tc>
          <w:tcPr>
            <w:tcW w:w="320" w:type="pct"/>
            <w:hideMark/>
          </w:tcPr>
          <w:p w14:paraId="5D4B8EF5" w14:textId="77777777" w:rsidR="00CF72D5" w:rsidRPr="002029AF" w:rsidRDefault="00CF72D5" w:rsidP="00B518D9">
            <w:pPr>
              <w:pStyle w:val="ARtabletextright"/>
              <w:spacing w:before="20" w:after="20"/>
            </w:pPr>
            <w:r w:rsidRPr="002029AF">
              <w:t>262</w:t>
            </w:r>
          </w:p>
        </w:tc>
        <w:tc>
          <w:tcPr>
            <w:tcW w:w="286" w:type="pct"/>
            <w:hideMark/>
          </w:tcPr>
          <w:p w14:paraId="36B83F7F" w14:textId="77777777" w:rsidR="00CF72D5" w:rsidRPr="002029AF" w:rsidRDefault="00CF72D5" w:rsidP="00B518D9">
            <w:pPr>
              <w:pStyle w:val="ARtabletextright"/>
              <w:spacing w:before="20" w:after="20"/>
            </w:pPr>
            <w:r w:rsidRPr="002029AF">
              <w:t>243.7</w:t>
            </w:r>
          </w:p>
        </w:tc>
        <w:tc>
          <w:tcPr>
            <w:tcW w:w="284" w:type="pct"/>
            <w:hideMark/>
          </w:tcPr>
          <w:p w14:paraId="5568B397" w14:textId="77777777" w:rsidR="00CF72D5" w:rsidRPr="002029AF" w:rsidRDefault="00CF72D5" w:rsidP="00B518D9">
            <w:pPr>
              <w:pStyle w:val="ARtabletextright"/>
              <w:spacing w:before="20" w:after="20"/>
            </w:pPr>
            <w:r w:rsidRPr="002029AF">
              <w:t>104</w:t>
            </w:r>
          </w:p>
        </w:tc>
        <w:tc>
          <w:tcPr>
            <w:tcW w:w="284" w:type="pct"/>
            <w:hideMark/>
          </w:tcPr>
          <w:p w14:paraId="2CBE9A7F" w14:textId="77777777" w:rsidR="00CF72D5" w:rsidRPr="002029AF" w:rsidRDefault="00CF72D5" w:rsidP="00B518D9">
            <w:pPr>
              <w:pStyle w:val="ARtabletextright"/>
              <w:spacing w:before="20" w:after="20"/>
            </w:pPr>
            <w:r w:rsidRPr="002029AF">
              <w:t>45</w:t>
            </w:r>
          </w:p>
        </w:tc>
        <w:tc>
          <w:tcPr>
            <w:tcW w:w="286" w:type="pct"/>
            <w:hideMark/>
          </w:tcPr>
          <w:p w14:paraId="2739D088" w14:textId="77777777" w:rsidR="00CF72D5" w:rsidRPr="002029AF" w:rsidRDefault="00CF72D5" w:rsidP="00B518D9">
            <w:pPr>
              <w:pStyle w:val="ARtabletextright"/>
              <w:spacing w:before="20" w:after="20"/>
            </w:pPr>
            <w:r w:rsidRPr="002029AF">
              <w:t>135.9</w:t>
            </w:r>
          </w:p>
        </w:tc>
        <w:tc>
          <w:tcPr>
            <w:tcW w:w="320" w:type="pct"/>
            <w:hideMark/>
          </w:tcPr>
          <w:p w14:paraId="7001B570" w14:textId="77777777" w:rsidR="00CF72D5" w:rsidRPr="002029AF" w:rsidRDefault="00CF72D5" w:rsidP="00B518D9">
            <w:pPr>
              <w:pStyle w:val="ARtabletextright"/>
              <w:spacing w:before="20" w:after="20"/>
            </w:pPr>
            <w:r w:rsidRPr="002029AF">
              <w:t>113</w:t>
            </w:r>
          </w:p>
        </w:tc>
        <w:tc>
          <w:tcPr>
            <w:tcW w:w="287" w:type="pct"/>
            <w:hideMark/>
          </w:tcPr>
          <w:p w14:paraId="0C9A8732" w14:textId="77777777" w:rsidR="00CF72D5" w:rsidRPr="002029AF" w:rsidRDefault="00CF72D5" w:rsidP="00B518D9">
            <w:pPr>
              <w:pStyle w:val="ARtabletextright"/>
              <w:spacing w:before="20" w:after="20"/>
            </w:pPr>
            <w:r w:rsidRPr="002029AF">
              <w:t>107.9</w:t>
            </w:r>
          </w:p>
        </w:tc>
      </w:tr>
      <w:tr w:rsidR="001E768A" w:rsidRPr="002029AF" w14:paraId="390A82A5" w14:textId="77777777" w:rsidTr="00192EEE">
        <w:tc>
          <w:tcPr>
            <w:tcW w:w="867" w:type="pct"/>
            <w:hideMark/>
          </w:tcPr>
          <w:p w14:paraId="263020B3" w14:textId="77777777" w:rsidR="00CF72D5" w:rsidRPr="002029AF" w:rsidRDefault="00CF72D5" w:rsidP="00B518D9">
            <w:pPr>
              <w:pStyle w:val="ARtabletext"/>
              <w:spacing w:before="20" w:after="20"/>
            </w:pPr>
            <w:r w:rsidRPr="002029AF">
              <w:t>Men</w:t>
            </w:r>
          </w:p>
        </w:tc>
        <w:tc>
          <w:tcPr>
            <w:tcW w:w="320" w:type="pct"/>
            <w:hideMark/>
          </w:tcPr>
          <w:p w14:paraId="1F632FA6" w14:textId="77777777" w:rsidR="00CF72D5" w:rsidRPr="002029AF" w:rsidRDefault="00CF72D5" w:rsidP="00B518D9">
            <w:pPr>
              <w:pStyle w:val="ARtabletextright"/>
              <w:spacing w:before="20" w:after="20"/>
            </w:pPr>
            <w:r w:rsidRPr="002029AF">
              <w:t>46</w:t>
            </w:r>
          </w:p>
        </w:tc>
        <w:tc>
          <w:tcPr>
            <w:tcW w:w="286" w:type="pct"/>
            <w:hideMark/>
          </w:tcPr>
          <w:p w14:paraId="3B27A4C2" w14:textId="77777777" w:rsidR="00CF72D5" w:rsidRPr="002029AF" w:rsidRDefault="00CF72D5" w:rsidP="00B518D9">
            <w:pPr>
              <w:pStyle w:val="ARtabletextright"/>
              <w:spacing w:before="20" w:after="20"/>
            </w:pPr>
            <w:r w:rsidRPr="002029AF">
              <w:t>45.1</w:t>
            </w:r>
          </w:p>
        </w:tc>
        <w:tc>
          <w:tcPr>
            <w:tcW w:w="284" w:type="pct"/>
            <w:hideMark/>
          </w:tcPr>
          <w:p w14:paraId="7AE87BD1" w14:textId="77777777" w:rsidR="00CF72D5" w:rsidRPr="002029AF" w:rsidRDefault="00CF72D5" w:rsidP="00B518D9">
            <w:pPr>
              <w:pStyle w:val="ARtabletextright"/>
              <w:spacing w:before="20" w:after="20"/>
            </w:pPr>
            <w:r w:rsidRPr="002029AF">
              <w:t>23</w:t>
            </w:r>
          </w:p>
        </w:tc>
        <w:tc>
          <w:tcPr>
            <w:tcW w:w="284" w:type="pct"/>
            <w:hideMark/>
          </w:tcPr>
          <w:p w14:paraId="43E2FCDB" w14:textId="77777777" w:rsidR="00CF72D5" w:rsidRPr="002029AF" w:rsidRDefault="00CF72D5" w:rsidP="00B518D9">
            <w:pPr>
              <w:pStyle w:val="ARtabletextright"/>
              <w:spacing w:before="20" w:after="20"/>
            </w:pPr>
            <w:r w:rsidRPr="002029AF">
              <w:t>6</w:t>
            </w:r>
          </w:p>
        </w:tc>
        <w:tc>
          <w:tcPr>
            <w:tcW w:w="286" w:type="pct"/>
            <w:hideMark/>
          </w:tcPr>
          <w:p w14:paraId="760B482E" w14:textId="77777777" w:rsidR="00CF72D5" w:rsidRPr="002029AF" w:rsidRDefault="00CF72D5" w:rsidP="00B518D9">
            <w:pPr>
              <w:pStyle w:val="ARtabletextright"/>
              <w:spacing w:before="20" w:after="20"/>
            </w:pPr>
            <w:r w:rsidRPr="002029AF">
              <w:t>28.1</w:t>
            </w:r>
          </w:p>
        </w:tc>
        <w:tc>
          <w:tcPr>
            <w:tcW w:w="320" w:type="pct"/>
            <w:hideMark/>
          </w:tcPr>
          <w:p w14:paraId="29DCF8C2" w14:textId="77777777" w:rsidR="00CF72D5" w:rsidRPr="002029AF" w:rsidRDefault="00CF72D5" w:rsidP="00B518D9">
            <w:pPr>
              <w:pStyle w:val="ARtabletextright"/>
              <w:spacing w:before="20" w:after="20"/>
            </w:pPr>
            <w:r w:rsidRPr="002029AF">
              <w:t>17</w:t>
            </w:r>
          </w:p>
        </w:tc>
        <w:tc>
          <w:tcPr>
            <w:tcW w:w="286" w:type="pct"/>
            <w:hideMark/>
          </w:tcPr>
          <w:p w14:paraId="1D40019F" w14:textId="77777777" w:rsidR="00CF72D5" w:rsidRPr="002029AF" w:rsidRDefault="00CF72D5" w:rsidP="00B518D9">
            <w:pPr>
              <w:pStyle w:val="ARtabletextright"/>
              <w:spacing w:before="20" w:after="20"/>
            </w:pPr>
            <w:r w:rsidRPr="002029AF">
              <w:t>17</w:t>
            </w:r>
          </w:p>
        </w:tc>
        <w:tc>
          <w:tcPr>
            <w:tcW w:w="320" w:type="pct"/>
            <w:hideMark/>
          </w:tcPr>
          <w:p w14:paraId="3B8AEDC1" w14:textId="77777777" w:rsidR="00CF72D5" w:rsidRPr="002029AF" w:rsidRDefault="00CF72D5" w:rsidP="00B518D9">
            <w:pPr>
              <w:pStyle w:val="ARtabletextright"/>
              <w:spacing w:before="20" w:after="20"/>
            </w:pPr>
            <w:r w:rsidRPr="002029AF">
              <w:t>48</w:t>
            </w:r>
          </w:p>
        </w:tc>
        <w:tc>
          <w:tcPr>
            <w:tcW w:w="286" w:type="pct"/>
            <w:hideMark/>
          </w:tcPr>
          <w:p w14:paraId="5BCFD968" w14:textId="77777777" w:rsidR="00CF72D5" w:rsidRPr="002029AF" w:rsidRDefault="00CF72D5" w:rsidP="00B518D9">
            <w:pPr>
              <w:pStyle w:val="ARtabletextright"/>
              <w:spacing w:before="20" w:after="20"/>
            </w:pPr>
            <w:r w:rsidRPr="002029AF">
              <w:t>47.1</w:t>
            </w:r>
          </w:p>
        </w:tc>
        <w:tc>
          <w:tcPr>
            <w:tcW w:w="284" w:type="pct"/>
            <w:hideMark/>
          </w:tcPr>
          <w:p w14:paraId="4FD451E2" w14:textId="77777777" w:rsidR="00CF72D5" w:rsidRPr="002029AF" w:rsidRDefault="00CF72D5" w:rsidP="00B518D9">
            <w:pPr>
              <w:pStyle w:val="ARtabletextright"/>
              <w:spacing w:before="20" w:after="20"/>
            </w:pPr>
            <w:r w:rsidRPr="002029AF">
              <w:t>23</w:t>
            </w:r>
          </w:p>
        </w:tc>
        <w:tc>
          <w:tcPr>
            <w:tcW w:w="284" w:type="pct"/>
            <w:hideMark/>
          </w:tcPr>
          <w:p w14:paraId="1F56228C" w14:textId="77777777" w:rsidR="00CF72D5" w:rsidRPr="002029AF" w:rsidRDefault="00CF72D5" w:rsidP="00B518D9">
            <w:pPr>
              <w:pStyle w:val="ARtabletextright"/>
              <w:spacing w:before="20" w:after="20"/>
            </w:pPr>
            <w:r w:rsidRPr="002029AF">
              <w:t>3</w:t>
            </w:r>
          </w:p>
        </w:tc>
        <w:tc>
          <w:tcPr>
            <w:tcW w:w="286" w:type="pct"/>
            <w:hideMark/>
          </w:tcPr>
          <w:p w14:paraId="4678075C" w14:textId="77777777" w:rsidR="00CF72D5" w:rsidRPr="002029AF" w:rsidRDefault="00CF72D5" w:rsidP="00B518D9">
            <w:pPr>
              <w:pStyle w:val="ARtabletextright"/>
              <w:spacing w:before="20" w:after="20"/>
            </w:pPr>
            <w:r w:rsidRPr="002029AF">
              <w:t>25.5</w:t>
            </w:r>
          </w:p>
        </w:tc>
        <w:tc>
          <w:tcPr>
            <w:tcW w:w="320" w:type="pct"/>
            <w:hideMark/>
          </w:tcPr>
          <w:p w14:paraId="05BF3E99" w14:textId="77777777" w:rsidR="00CF72D5" w:rsidRPr="002029AF" w:rsidRDefault="00CF72D5" w:rsidP="00B518D9">
            <w:pPr>
              <w:pStyle w:val="ARtabletextright"/>
              <w:spacing w:before="20" w:after="20"/>
            </w:pPr>
            <w:r w:rsidRPr="002029AF">
              <w:t>22</w:t>
            </w:r>
          </w:p>
        </w:tc>
        <w:tc>
          <w:tcPr>
            <w:tcW w:w="287" w:type="pct"/>
            <w:hideMark/>
          </w:tcPr>
          <w:p w14:paraId="14D135D2" w14:textId="77777777" w:rsidR="00CF72D5" w:rsidRPr="002029AF" w:rsidRDefault="00CF72D5" w:rsidP="00B518D9">
            <w:pPr>
              <w:pStyle w:val="ARtabletextright"/>
              <w:spacing w:before="20" w:after="20"/>
            </w:pPr>
            <w:r w:rsidRPr="002029AF">
              <w:t>21.6</w:t>
            </w:r>
          </w:p>
        </w:tc>
      </w:tr>
      <w:tr w:rsidR="001E768A" w:rsidRPr="002029AF" w14:paraId="10CBE07E" w14:textId="77777777" w:rsidTr="00192EEE">
        <w:tc>
          <w:tcPr>
            <w:tcW w:w="867" w:type="pct"/>
            <w:hideMark/>
          </w:tcPr>
          <w:p w14:paraId="6342C71C" w14:textId="77777777" w:rsidR="00CF72D5" w:rsidRPr="002029AF" w:rsidRDefault="00CF72D5" w:rsidP="00B518D9">
            <w:pPr>
              <w:pStyle w:val="ARtabletext"/>
              <w:spacing w:before="20" w:after="20"/>
            </w:pPr>
            <w:r w:rsidRPr="002029AF">
              <w:t>Self-described</w:t>
            </w:r>
          </w:p>
        </w:tc>
        <w:tc>
          <w:tcPr>
            <w:tcW w:w="320" w:type="pct"/>
            <w:hideMark/>
          </w:tcPr>
          <w:p w14:paraId="13DD6ED7" w14:textId="77777777" w:rsidR="00CF72D5" w:rsidRPr="002029AF" w:rsidRDefault="00CF72D5" w:rsidP="00B518D9">
            <w:pPr>
              <w:pStyle w:val="ARtabletextright"/>
              <w:spacing w:before="20" w:after="20"/>
            </w:pPr>
            <w:r w:rsidRPr="002029AF">
              <w:t>na</w:t>
            </w:r>
          </w:p>
        </w:tc>
        <w:tc>
          <w:tcPr>
            <w:tcW w:w="286" w:type="pct"/>
            <w:hideMark/>
          </w:tcPr>
          <w:p w14:paraId="30F1F6A3" w14:textId="77777777" w:rsidR="00CF72D5" w:rsidRPr="002029AF" w:rsidRDefault="00CF72D5" w:rsidP="00B518D9">
            <w:pPr>
              <w:pStyle w:val="ARtabletextright"/>
              <w:spacing w:before="20" w:after="20"/>
            </w:pPr>
            <w:r w:rsidRPr="002029AF">
              <w:t>na</w:t>
            </w:r>
          </w:p>
        </w:tc>
        <w:tc>
          <w:tcPr>
            <w:tcW w:w="284" w:type="pct"/>
            <w:hideMark/>
          </w:tcPr>
          <w:p w14:paraId="4D8F9E76" w14:textId="77777777" w:rsidR="00CF72D5" w:rsidRPr="002029AF" w:rsidRDefault="00CF72D5" w:rsidP="00B518D9">
            <w:pPr>
              <w:pStyle w:val="ARtabletextright"/>
              <w:spacing w:before="20" w:after="20"/>
            </w:pPr>
            <w:r w:rsidRPr="002029AF">
              <w:t>na</w:t>
            </w:r>
          </w:p>
        </w:tc>
        <w:tc>
          <w:tcPr>
            <w:tcW w:w="284" w:type="pct"/>
            <w:hideMark/>
          </w:tcPr>
          <w:p w14:paraId="19BEE724" w14:textId="77777777" w:rsidR="00CF72D5" w:rsidRPr="002029AF" w:rsidRDefault="00CF72D5" w:rsidP="00B518D9">
            <w:pPr>
              <w:pStyle w:val="ARtabletextright"/>
              <w:spacing w:before="20" w:after="20"/>
            </w:pPr>
            <w:r w:rsidRPr="002029AF">
              <w:t>na</w:t>
            </w:r>
          </w:p>
        </w:tc>
        <w:tc>
          <w:tcPr>
            <w:tcW w:w="286" w:type="pct"/>
            <w:hideMark/>
          </w:tcPr>
          <w:p w14:paraId="4BB6147D" w14:textId="77777777" w:rsidR="00CF72D5" w:rsidRPr="002029AF" w:rsidRDefault="00CF72D5" w:rsidP="00B518D9">
            <w:pPr>
              <w:pStyle w:val="ARtabletextright"/>
              <w:spacing w:before="20" w:after="20"/>
            </w:pPr>
            <w:r w:rsidRPr="002029AF">
              <w:t>na</w:t>
            </w:r>
          </w:p>
        </w:tc>
        <w:tc>
          <w:tcPr>
            <w:tcW w:w="320" w:type="pct"/>
            <w:hideMark/>
          </w:tcPr>
          <w:p w14:paraId="233CD308" w14:textId="77777777" w:rsidR="00CF72D5" w:rsidRPr="002029AF" w:rsidRDefault="00CF72D5" w:rsidP="00B518D9">
            <w:pPr>
              <w:pStyle w:val="ARtabletextright"/>
              <w:spacing w:before="20" w:after="20"/>
            </w:pPr>
            <w:r w:rsidRPr="002029AF">
              <w:t>na</w:t>
            </w:r>
          </w:p>
        </w:tc>
        <w:tc>
          <w:tcPr>
            <w:tcW w:w="286" w:type="pct"/>
            <w:hideMark/>
          </w:tcPr>
          <w:p w14:paraId="6F78A8A7" w14:textId="77777777" w:rsidR="00CF72D5" w:rsidRPr="002029AF" w:rsidRDefault="00CF72D5" w:rsidP="00B518D9">
            <w:pPr>
              <w:pStyle w:val="ARtabletextright"/>
              <w:spacing w:before="20" w:after="20"/>
            </w:pPr>
            <w:r w:rsidRPr="002029AF">
              <w:t>na</w:t>
            </w:r>
          </w:p>
        </w:tc>
        <w:tc>
          <w:tcPr>
            <w:tcW w:w="320" w:type="pct"/>
            <w:hideMark/>
          </w:tcPr>
          <w:p w14:paraId="02EB0B34" w14:textId="77777777" w:rsidR="00CF72D5" w:rsidRPr="002029AF" w:rsidRDefault="00CF72D5" w:rsidP="00B518D9">
            <w:pPr>
              <w:pStyle w:val="ARtabletextright"/>
              <w:spacing w:before="20" w:after="20"/>
            </w:pPr>
            <w:r w:rsidRPr="002029AF">
              <w:t>na</w:t>
            </w:r>
          </w:p>
        </w:tc>
        <w:tc>
          <w:tcPr>
            <w:tcW w:w="286" w:type="pct"/>
            <w:hideMark/>
          </w:tcPr>
          <w:p w14:paraId="0E19792C" w14:textId="77777777" w:rsidR="00CF72D5" w:rsidRPr="002029AF" w:rsidRDefault="00CF72D5" w:rsidP="00B518D9">
            <w:pPr>
              <w:pStyle w:val="ARtabletextright"/>
              <w:spacing w:before="20" w:after="20"/>
            </w:pPr>
            <w:r w:rsidRPr="002029AF">
              <w:t>na</w:t>
            </w:r>
          </w:p>
        </w:tc>
        <w:tc>
          <w:tcPr>
            <w:tcW w:w="284" w:type="pct"/>
            <w:hideMark/>
          </w:tcPr>
          <w:p w14:paraId="024A5812" w14:textId="77777777" w:rsidR="00CF72D5" w:rsidRPr="002029AF" w:rsidRDefault="00CF72D5" w:rsidP="00B518D9">
            <w:pPr>
              <w:pStyle w:val="ARtabletextright"/>
              <w:spacing w:before="20" w:after="20"/>
            </w:pPr>
            <w:r w:rsidRPr="002029AF">
              <w:t>na</w:t>
            </w:r>
          </w:p>
        </w:tc>
        <w:tc>
          <w:tcPr>
            <w:tcW w:w="284" w:type="pct"/>
            <w:hideMark/>
          </w:tcPr>
          <w:p w14:paraId="79214ECD" w14:textId="77777777" w:rsidR="00CF72D5" w:rsidRPr="002029AF" w:rsidRDefault="00CF72D5" w:rsidP="00B518D9">
            <w:pPr>
              <w:pStyle w:val="ARtabletextright"/>
              <w:spacing w:before="20" w:after="20"/>
            </w:pPr>
            <w:r w:rsidRPr="002029AF">
              <w:t>na</w:t>
            </w:r>
          </w:p>
        </w:tc>
        <w:tc>
          <w:tcPr>
            <w:tcW w:w="286" w:type="pct"/>
            <w:hideMark/>
          </w:tcPr>
          <w:p w14:paraId="0DD90B62" w14:textId="77777777" w:rsidR="00CF72D5" w:rsidRPr="002029AF" w:rsidRDefault="00CF72D5" w:rsidP="00B518D9">
            <w:pPr>
              <w:pStyle w:val="ARtabletextright"/>
              <w:spacing w:before="20" w:after="20"/>
            </w:pPr>
            <w:r w:rsidRPr="002029AF">
              <w:t>na</w:t>
            </w:r>
          </w:p>
        </w:tc>
        <w:tc>
          <w:tcPr>
            <w:tcW w:w="320" w:type="pct"/>
            <w:hideMark/>
          </w:tcPr>
          <w:p w14:paraId="5A967136" w14:textId="77777777" w:rsidR="00CF72D5" w:rsidRPr="002029AF" w:rsidRDefault="00CF72D5" w:rsidP="00B518D9">
            <w:pPr>
              <w:pStyle w:val="ARtabletextright"/>
              <w:spacing w:before="20" w:after="20"/>
            </w:pPr>
            <w:r w:rsidRPr="002029AF">
              <w:t>na</w:t>
            </w:r>
          </w:p>
        </w:tc>
        <w:tc>
          <w:tcPr>
            <w:tcW w:w="287" w:type="pct"/>
            <w:hideMark/>
          </w:tcPr>
          <w:p w14:paraId="588210D0" w14:textId="77777777" w:rsidR="00CF72D5" w:rsidRPr="002029AF" w:rsidRDefault="00CF72D5" w:rsidP="00B518D9">
            <w:pPr>
              <w:pStyle w:val="ARtabletextright"/>
              <w:spacing w:before="20" w:after="20"/>
            </w:pPr>
            <w:r w:rsidRPr="002029AF">
              <w:t>na</w:t>
            </w:r>
          </w:p>
        </w:tc>
      </w:tr>
      <w:tr w:rsidR="002008D4" w:rsidRPr="002029AF" w14:paraId="35049A7F" w14:textId="77777777" w:rsidTr="00192EEE">
        <w:tc>
          <w:tcPr>
            <w:tcW w:w="5000" w:type="pct"/>
            <w:gridSpan w:val="15"/>
            <w:hideMark/>
          </w:tcPr>
          <w:p w14:paraId="05735806" w14:textId="44A9B3A0" w:rsidR="002008D4" w:rsidRPr="002029AF" w:rsidRDefault="002008D4" w:rsidP="00B518D9">
            <w:pPr>
              <w:pStyle w:val="ARtablesubhead"/>
              <w:spacing w:before="20" w:after="20"/>
            </w:pPr>
            <w:r w:rsidRPr="002029AF">
              <w:t>Age</w:t>
            </w:r>
          </w:p>
        </w:tc>
      </w:tr>
      <w:tr w:rsidR="001E768A" w:rsidRPr="002029AF" w14:paraId="53AACD20" w14:textId="77777777" w:rsidTr="00192EEE">
        <w:tc>
          <w:tcPr>
            <w:tcW w:w="867" w:type="pct"/>
            <w:hideMark/>
          </w:tcPr>
          <w:p w14:paraId="0CA7DC72" w14:textId="77777777" w:rsidR="00CF72D5" w:rsidRPr="002029AF" w:rsidRDefault="00CF72D5" w:rsidP="00B518D9">
            <w:pPr>
              <w:pStyle w:val="ARtabletext"/>
              <w:spacing w:before="20" w:after="20"/>
            </w:pPr>
            <w:r w:rsidRPr="002029AF">
              <w:t>15–24</w:t>
            </w:r>
          </w:p>
        </w:tc>
        <w:tc>
          <w:tcPr>
            <w:tcW w:w="320" w:type="pct"/>
            <w:hideMark/>
          </w:tcPr>
          <w:p w14:paraId="1EC0C0E1" w14:textId="77777777" w:rsidR="00CF72D5" w:rsidRPr="002029AF" w:rsidRDefault="00CF72D5" w:rsidP="00B518D9">
            <w:pPr>
              <w:pStyle w:val="ARtabletextright"/>
              <w:spacing w:before="20" w:after="20"/>
            </w:pPr>
            <w:r w:rsidRPr="002029AF">
              <w:t>4</w:t>
            </w:r>
          </w:p>
        </w:tc>
        <w:tc>
          <w:tcPr>
            <w:tcW w:w="286" w:type="pct"/>
            <w:hideMark/>
          </w:tcPr>
          <w:p w14:paraId="63B44BCE" w14:textId="77777777" w:rsidR="00CF72D5" w:rsidRPr="002029AF" w:rsidRDefault="00CF72D5" w:rsidP="00B518D9">
            <w:pPr>
              <w:pStyle w:val="ARtabletextright"/>
              <w:spacing w:before="20" w:after="20"/>
            </w:pPr>
            <w:r w:rsidRPr="002029AF">
              <w:t>3.3</w:t>
            </w:r>
          </w:p>
        </w:tc>
        <w:tc>
          <w:tcPr>
            <w:tcW w:w="284" w:type="pct"/>
            <w:hideMark/>
          </w:tcPr>
          <w:p w14:paraId="16CD1666" w14:textId="77777777" w:rsidR="00CF72D5" w:rsidRPr="002029AF" w:rsidRDefault="00CF72D5" w:rsidP="00B518D9">
            <w:pPr>
              <w:pStyle w:val="ARtabletextright"/>
              <w:spacing w:before="20" w:after="20"/>
            </w:pPr>
            <w:r w:rsidRPr="002029AF">
              <w:t>0</w:t>
            </w:r>
          </w:p>
        </w:tc>
        <w:tc>
          <w:tcPr>
            <w:tcW w:w="284" w:type="pct"/>
            <w:hideMark/>
          </w:tcPr>
          <w:p w14:paraId="54E1047F" w14:textId="77777777" w:rsidR="00CF72D5" w:rsidRPr="002029AF" w:rsidRDefault="00CF72D5" w:rsidP="00B518D9">
            <w:pPr>
              <w:pStyle w:val="ARtabletextright"/>
              <w:spacing w:before="20" w:after="20"/>
            </w:pPr>
            <w:r w:rsidRPr="002029AF">
              <w:t>2</w:t>
            </w:r>
          </w:p>
        </w:tc>
        <w:tc>
          <w:tcPr>
            <w:tcW w:w="286" w:type="pct"/>
            <w:hideMark/>
          </w:tcPr>
          <w:p w14:paraId="577653E0" w14:textId="77777777" w:rsidR="00CF72D5" w:rsidRPr="002029AF" w:rsidRDefault="00CF72D5" w:rsidP="00B518D9">
            <w:pPr>
              <w:pStyle w:val="ARtabletextright"/>
              <w:spacing w:before="20" w:after="20"/>
            </w:pPr>
            <w:r w:rsidRPr="002029AF">
              <w:t>1.3</w:t>
            </w:r>
          </w:p>
        </w:tc>
        <w:tc>
          <w:tcPr>
            <w:tcW w:w="320" w:type="pct"/>
            <w:hideMark/>
          </w:tcPr>
          <w:p w14:paraId="717CAD1C" w14:textId="77777777" w:rsidR="00CF72D5" w:rsidRPr="002029AF" w:rsidRDefault="00CF72D5" w:rsidP="00B518D9">
            <w:pPr>
              <w:pStyle w:val="ARtabletextright"/>
              <w:spacing w:before="20" w:after="20"/>
            </w:pPr>
            <w:r w:rsidRPr="002029AF">
              <w:t>2</w:t>
            </w:r>
          </w:p>
        </w:tc>
        <w:tc>
          <w:tcPr>
            <w:tcW w:w="286" w:type="pct"/>
            <w:hideMark/>
          </w:tcPr>
          <w:p w14:paraId="570A0B39" w14:textId="77777777" w:rsidR="00CF72D5" w:rsidRPr="002029AF" w:rsidRDefault="00CF72D5" w:rsidP="00B518D9">
            <w:pPr>
              <w:pStyle w:val="ARtabletextright"/>
              <w:spacing w:before="20" w:after="20"/>
            </w:pPr>
            <w:r w:rsidRPr="002029AF">
              <w:t>2</w:t>
            </w:r>
          </w:p>
        </w:tc>
        <w:tc>
          <w:tcPr>
            <w:tcW w:w="320" w:type="pct"/>
            <w:hideMark/>
          </w:tcPr>
          <w:p w14:paraId="375D73E2" w14:textId="77777777" w:rsidR="00CF72D5" w:rsidRPr="002029AF" w:rsidRDefault="00CF72D5" w:rsidP="00B518D9">
            <w:pPr>
              <w:pStyle w:val="ARtabletextright"/>
              <w:spacing w:before="20" w:after="20"/>
            </w:pPr>
            <w:r w:rsidRPr="002029AF">
              <w:t>10</w:t>
            </w:r>
          </w:p>
        </w:tc>
        <w:tc>
          <w:tcPr>
            <w:tcW w:w="286" w:type="pct"/>
            <w:hideMark/>
          </w:tcPr>
          <w:p w14:paraId="17336757" w14:textId="77777777" w:rsidR="00CF72D5" w:rsidRPr="002029AF" w:rsidRDefault="00CF72D5" w:rsidP="00B518D9">
            <w:pPr>
              <w:pStyle w:val="ARtabletextright"/>
              <w:spacing w:before="20" w:after="20"/>
            </w:pPr>
            <w:r w:rsidRPr="002029AF">
              <w:t>9.4</w:t>
            </w:r>
          </w:p>
        </w:tc>
        <w:tc>
          <w:tcPr>
            <w:tcW w:w="284" w:type="pct"/>
            <w:hideMark/>
          </w:tcPr>
          <w:p w14:paraId="2A103DF6" w14:textId="77777777" w:rsidR="00CF72D5" w:rsidRPr="002029AF" w:rsidRDefault="00CF72D5" w:rsidP="00B518D9">
            <w:pPr>
              <w:pStyle w:val="ARtabletextright"/>
              <w:spacing w:before="20" w:after="20"/>
            </w:pPr>
            <w:r w:rsidRPr="002029AF">
              <w:t>1</w:t>
            </w:r>
          </w:p>
        </w:tc>
        <w:tc>
          <w:tcPr>
            <w:tcW w:w="284" w:type="pct"/>
            <w:hideMark/>
          </w:tcPr>
          <w:p w14:paraId="4C25D98A" w14:textId="77777777" w:rsidR="00CF72D5" w:rsidRPr="002029AF" w:rsidRDefault="00CF72D5" w:rsidP="00B518D9">
            <w:pPr>
              <w:pStyle w:val="ARtabletextright"/>
              <w:spacing w:before="20" w:after="20"/>
            </w:pPr>
            <w:r w:rsidRPr="002029AF">
              <w:t>1</w:t>
            </w:r>
          </w:p>
        </w:tc>
        <w:tc>
          <w:tcPr>
            <w:tcW w:w="286" w:type="pct"/>
            <w:hideMark/>
          </w:tcPr>
          <w:p w14:paraId="63174E6F" w14:textId="77777777" w:rsidR="00CF72D5" w:rsidRPr="002029AF" w:rsidRDefault="00CF72D5" w:rsidP="00B518D9">
            <w:pPr>
              <w:pStyle w:val="ARtabletextright"/>
              <w:spacing w:before="20" w:after="20"/>
            </w:pPr>
            <w:r w:rsidRPr="002029AF">
              <w:t>1.6</w:t>
            </w:r>
          </w:p>
        </w:tc>
        <w:tc>
          <w:tcPr>
            <w:tcW w:w="320" w:type="pct"/>
            <w:hideMark/>
          </w:tcPr>
          <w:p w14:paraId="1028E739" w14:textId="77777777" w:rsidR="00CF72D5" w:rsidRPr="002029AF" w:rsidRDefault="00CF72D5" w:rsidP="00B518D9">
            <w:pPr>
              <w:pStyle w:val="ARtabletextright"/>
              <w:spacing w:before="20" w:after="20"/>
            </w:pPr>
            <w:r w:rsidRPr="002029AF">
              <w:t>8</w:t>
            </w:r>
          </w:p>
        </w:tc>
        <w:tc>
          <w:tcPr>
            <w:tcW w:w="287" w:type="pct"/>
            <w:hideMark/>
          </w:tcPr>
          <w:p w14:paraId="0C3B2298" w14:textId="77777777" w:rsidR="00CF72D5" w:rsidRPr="002029AF" w:rsidRDefault="00CF72D5" w:rsidP="00B518D9">
            <w:pPr>
              <w:pStyle w:val="ARtabletextright"/>
              <w:spacing w:before="20" w:after="20"/>
            </w:pPr>
            <w:r w:rsidRPr="002029AF">
              <w:t>7.8</w:t>
            </w:r>
          </w:p>
        </w:tc>
      </w:tr>
      <w:tr w:rsidR="001E768A" w:rsidRPr="002029AF" w14:paraId="5E252B92" w14:textId="77777777" w:rsidTr="00192EEE">
        <w:tc>
          <w:tcPr>
            <w:tcW w:w="867" w:type="pct"/>
            <w:hideMark/>
          </w:tcPr>
          <w:p w14:paraId="5A8C2F66" w14:textId="77777777" w:rsidR="00CF72D5" w:rsidRPr="002029AF" w:rsidRDefault="00CF72D5" w:rsidP="00B518D9">
            <w:pPr>
              <w:pStyle w:val="ARtabletext"/>
              <w:spacing w:before="20" w:after="20"/>
            </w:pPr>
            <w:r w:rsidRPr="002029AF">
              <w:t>25–34</w:t>
            </w:r>
          </w:p>
        </w:tc>
        <w:tc>
          <w:tcPr>
            <w:tcW w:w="320" w:type="pct"/>
            <w:hideMark/>
          </w:tcPr>
          <w:p w14:paraId="4F032FAD" w14:textId="77777777" w:rsidR="00CF72D5" w:rsidRPr="002029AF" w:rsidRDefault="00CF72D5" w:rsidP="00B518D9">
            <w:pPr>
              <w:pStyle w:val="ARtabletextright"/>
              <w:spacing w:before="20" w:after="20"/>
            </w:pPr>
            <w:r w:rsidRPr="002029AF">
              <w:t>53</w:t>
            </w:r>
          </w:p>
        </w:tc>
        <w:tc>
          <w:tcPr>
            <w:tcW w:w="286" w:type="pct"/>
            <w:hideMark/>
          </w:tcPr>
          <w:p w14:paraId="4848CE99" w14:textId="77777777" w:rsidR="00CF72D5" w:rsidRPr="002029AF" w:rsidRDefault="00CF72D5" w:rsidP="00B518D9">
            <w:pPr>
              <w:pStyle w:val="ARtabletextright"/>
              <w:spacing w:before="20" w:after="20"/>
            </w:pPr>
            <w:r w:rsidRPr="002029AF">
              <w:t>52.2</w:t>
            </w:r>
          </w:p>
        </w:tc>
        <w:tc>
          <w:tcPr>
            <w:tcW w:w="284" w:type="pct"/>
            <w:hideMark/>
          </w:tcPr>
          <w:p w14:paraId="2C2A99C0" w14:textId="77777777" w:rsidR="00CF72D5" w:rsidRPr="002029AF" w:rsidRDefault="00CF72D5" w:rsidP="00B518D9">
            <w:pPr>
              <w:pStyle w:val="ARtabletextright"/>
              <w:spacing w:before="20" w:after="20"/>
            </w:pPr>
            <w:r w:rsidRPr="002029AF">
              <w:t>29</w:t>
            </w:r>
          </w:p>
        </w:tc>
        <w:tc>
          <w:tcPr>
            <w:tcW w:w="284" w:type="pct"/>
            <w:hideMark/>
          </w:tcPr>
          <w:p w14:paraId="7959303D" w14:textId="77777777" w:rsidR="00CF72D5" w:rsidRPr="002029AF" w:rsidRDefault="00CF72D5" w:rsidP="00B518D9">
            <w:pPr>
              <w:pStyle w:val="ARtabletextright"/>
              <w:spacing w:before="20" w:after="20"/>
            </w:pPr>
            <w:r w:rsidRPr="002029AF">
              <w:t>2</w:t>
            </w:r>
          </w:p>
        </w:tc>
        <w:tc>
          <w:tcPr>
            <w:tcW w:w="286" w:type="pct"/>
            <w:hideMark/>
          </w:tcPr>
          <w:p w14:paraId="6D9C9E07" w14:textId="77777777" w:rsidR="00CF72D5" w:rsidRPr="002029AF" w:rsidRDefault="00CF72D5" w:rsidP="00B518D9">
            <w:pPr>
              <w:pStyle w:val="ARtabletextright"/>
              <w:spacing w:before="20" w:after="20"/>
            </w:pPr>
            <w:r w:rsidRPr="002029AF">
              <w:t>30.4</w:t>
            </w:r>
          </w:p>
        </w:tc>
        <w:tc>
          <w:tcPr>
            <w:tcW w:w="320" w:type="pct"/>
            <w:hideMark/>
          </w:tcPr>
          <w:p w14:paraId="2C6754C7" w14:textId="77777777" w:rsidR="00CF72D5" w:rsidRPr="002029AF" w:rsidRDefault="00CF72D5" w:rsidP="00B518D9">
            <w:pPr>
              <w:pStyle w:val="ARtabletextright"/>
              <w:spacing w:before="20" w:after="20"/>
            </w:pPr>
            <w:r w:rsidRPr="002029AF">
              <w:t>22</w:t>
            </w:r>
          </w:p>
        </w:tc>
        <w:tc>
          <w:tcPr>
            <w:tcW w:w="286" w:type="pct"/>
            <w:hideMark/>
          </w:tcPr>
          <w:p w14:paraId="132C0EDE" w14:textId="77777777" w:rsidR="00CF72D5" w:rsidRPr="002029AF" w:rsidRDefault="00CF72D5" w:rsidP="00B518D9">
            <w:pPr>
              <w:pStyle w:val="ARtabletextright"/>
              <w:spacing w:before="20" w:after="20"/>
            </w:pPr>
            <w:r w:rsidRPr="002029AF">
              <w:t>21.8</w:t>
            </w:r>
          </w:p>
        </w:tc>
        <w:tc>
          <w:tcPr>
            <w:tcW w:w="320" w:type="pct"/>
            <w:hideMark/>
          </w:tcPr>
          <w:p w14:paraId="1C431372" w14:textId="77777777" w:rsidR="00CF72D5" w:rsidRPr="002029AF" w:rsidRDefault="00CF72D5" w:rsidP="00B518D9">
            <w:pPr>
              <w:pStyle w:val="ARtabletextright"/>
              <w:spacing w:before="20" w:after="20"/>
            </w:pPr>
            <w:r w:rsidRPr="002029AF">
              <w:t>64</w:t>
            </w:r>
          </w:p>
        </w:tc>
        <w:tc>
          <w:tcPr>
            <w:tcW w:w="286" w:type="pct"/>
            <w:hideMark/>
          </w:tcPr>
          <w:p w14:paraId="544DCA1D" w14:textId="77777777" w:rsidR="00CF72D5" w:rsidRPr="002029AF" w:rsidRDefault="00CF72D5" w:rsidP="00B518D9">
            <w:pPr>
              <w:pStyle w:val="ARtabletextright"/>
              <w:spacing w:before="20" w:after="20"/>
            </w:pPr>
            <w:r w:rsidRPr="002029AF">
              <w:t>62.1</w:t>
            </w:r>
          </w:p>
        </w:tc>
        <w:tc>
          <w:tcPr>
            <w:tcW w:w="284" w:type="pct"/>
            <w:hideMark/>
          </w:tcPr>
          <w:p w14:paraId="474FA23C" w14:textId="77777777" w:rsidR="00CF72D5" w:rsidRPr="002029AF" w:rsidRDefault="00CF72D5" w:rsidP="00B518D9">
            <w:pPr>
              <w:pStyle w:val="ARtabletextright"/>
              <w:spacing w:before="20" w:after="20"/>
            </w:pPr>
            <w:r w:rsidRPr="002029AF">
              <w:t>23</w:t>
            </w:r>
          </w:p>
        </w:tc>
        <w:tc>
          <w:tcPr>
            <w:tcW w:w="284" w:type="pct"/>
            <w:hideMark/>
          </w:tcPr>
          <w:p w14:paraId="550FC09F" w14:textId="77777777" w:rsidR="00CF72D5" w:rsidRPr="002029AF" w:rsidRDefault="00CF72D5" w:rsidP="00B518D9">
            <w:pPr>
              <w:pStyle w:val="ARtabletextright"/>
              <w:spacing w:before="20" w:after="20"/>
            </w:pPr>
            <w:r w:rsidRPr="002029AF">
              <w:t>4</w:t>
            </w:r>
          </w:p>
        </w:tc>
        <w:tc>
          <w:tcPr>
            <w:tcW w:w="286" w:type="pct"/>
            <w:hideMark/>
          </w:tcPr>
          <w:p w14:paraId="585D7205" w14:textId="77777777" w:rsidR="00CF72D5" w:rsidRPr="002029AF" w:rsidRDefault="00CF72D5" w:rsidP="00B518D9">
            <w:pPr>
              <w:pStyle w:val="ARtabletextright"/>
              <w:spacing w:before="20" w:after="20"/>
            </w:pPr>
            <w:r w:rsidRPr="002029AF">
              <w:t>25.8</w:t>
            </w:r>
          </w:p>
        </w:tc>
        <w:tc>
          <w:tcPr>
            <w:tcW w:w="320" w:type="pct"/>
            <w:hideMark/>
          </w:tcPr>
          <w:p w14:paraId="13EC16FD" w14:textId="77777777" w:rsidR="00CF72D5" w:rsidRPr="002029AF" w:rsidRDefault="00CF72D5" w:rsidP="00B518D9">
            <w:pPr>
              <w:pStyle w:val="ARtabletextright"/>
              <w:spacing w:before="20" w:after="20"/>
            </w:pPr>
            <w:r w:rsidRPr="002029AF">
              <w:t>37</w:t>
            </w:r>
          </w:p>
        </w:tc>
        <w:tc>
          <w:tcPr>
            <w:tcW w:w="287" w:type="pct"/>
            <w:hideMark/>
          </w:tcPr>
          <w:p w14:paraId="633AB456" w14:textId="77777777" w:rsidR="00CF72D5" w:rsidRPr="002029AF" w:rsidRDefault="00CF72D5" w:rsidP="00B518D9">
            <w:pPr>
              <w:pStyle w:val="ARtabletextright"/>
              <w:spacing w:before="20" w:after="20"/>
            </w:pPr>
            <w:r w:rsidRPr="002029AF">
              <w:t>36.3</w:t>
            </w:r>
          </w:p>
        </w:tc>
      </w:tr>
      <w:tr w:rsidR="001E768A" w:rsidRPr="002029AF" w14:paraId="69AD59C2" w14:textId="77777777" w:rsidTr="00192EEE">
        <w:tc>
          <w:tcPr>
            <w:tcW w:w="867" w:type="pct"/>
            <w:hideMark/>
          </w:tcPr>
          <w:p w14:paraId="53056232" w14:textId="77777777" w:rsidR="00CF72D5" w:rsidRPr="002029AF" w:rsidRDefault="00CF72D5" w:rsidP="00B518D9">
            <w:pPr>
              <w:pStyle w:val="ARtabletext"/>
              <w:spacing w:before="20" w:after="20"/>
            </w:pPr>
            <w:r w:rsidRPr="002029AF">
              <w:t>35–44</w:t>
            </w:r>
          </w:p>
        </w:tc>
        <w:tc>
          <w:tcPr>
            <w:tcW w:w="320" w:type="pct"/>
            <w:hideMark/>
          </w:tcPr>
          <w:p w14:paraId="1094F00F" w14:textId="77777777" w:rsidR="00CF72D5" w:rsidRPr="002029AF" w:rsidRDefault="00CF72D5" w:rsidP="00B518D9">
            <w:pPr>
              <w:pStyle w:val="ARtabletextright"/>
              <w:spacing w:before="20" w:after="20"/>
            </w:pPr>
            <w:r w:rsidRPr="002029AF">
              <w:t>107</w:t>
            </w:r>
          </w:p>
        </w:tc>
        <w:tc>
          <w:tcPr>
            <w:tcW w:w="286" w:type="pct"/>
            <w:hideMark/>
          </w:tcPr>
          <w:p w14:paraId="3CCA2566" w14:textId="77777777" w:rsidR="00CF72D5" w:rsidRPr="002029AF" w:rsidRDefault="00CF72D5" w:rsidP="00B518D9">
            <w:pPr>
              <w:pStyle w:val="ARtabletextright"/>
              <w:spacing w:before="20" w:after="20"/>
            </w:pPr>
            <w:r w:rsidRPr="002029AF">
              <w:t>99.8</w:t>
            </w:r>
          </w:p>
        </w:tc>
        <w:tc>
          <w:tcPr>
            <w:tcW w:w="284" w:type="pct"/>
            <w:hideMark/>
          </w:tcPr>
          <w:p w14:paraId="32098B81" w14:textId="77777777" w:rsidR="00CF72D5" w:rsidRPr="002029AF" w:rsidRDefault="00CF72D5" w:rsidP="00B518D9">
            <w:pPr>
              <w:pStyle w:val="ARtabletextright"/>
              <w:spacing w:before="20" w:after="20"/>
            </w:pPr>
            <w:r w:rsidRPr="002029AF">
              <w:t>47</w:t>
            </w:r>
          </w:p>
        </w:tc>
        <w:tc>
          <w:tcPr>
            <w:tcW w:w="284" w:type="pct"/>
            <w:hideMark/>
          </w:tcPr>
          <w:p w14:paraId="33399859" w14:textId="77777777" w:rsidR="00CF72D5" w:rsidRPr="002029AF" w:rsidRDefault="00CF72D5" w:rsidP="00B518D9">
            <w:pPr>
              <w:pStyle w:val="ARtabletextright"/>
              <w:spacing w:before="20" w:after="20"/>
            </w:pPr>
            <w:r w:rsidRPr="002029AF">
              <w:t>21</w:t>
            </w:r>
          </w:p>
        </w:tc>
        <w:tc>
          <w:tcPr>
            <w:tcW w:w="286" w:type="pct"/>
            <w:hideMark/>
          </w:tcPr>
          <w:p w14:paraId="439668EC" w14:textId="77777777" w:rsidR="00CF72D5" w:rsidRPr="002029AF" w:rsidRDefault="00CF72D5" w:rsidP="00B518D9">
            <w:pPr>
              <w:pStyle w:val="ARtabletextright"/>
              <w:spacing w:before="20" w:after="20"/>
            </w:pPr>
            <w:r w:rsidRPr="002029AF">
              <w:t>62.7</w:t>
            </w:r>
          </w:p>
        </w:tc>
        <w:tc>
          <w:tcPr>
            <w:tcW w:w="320" w:type="pct"/>
            <w:hideMark/>
          </w:tcPr>
          <w:p w14:paraId="7C43F05C" w14:textId="77777777" w:rsidR="00CF72D5" w:rsidRPr="002029AF" w:rsidRDefault="00CF72D5" w:rsidP="00B518D9">
            <w:pPr>
              <w:pStyle w:val="ARtabletextright"/>
              <w:spacing w:before="20" w:after="20"/>
            </w:pPr>
            <w:r w:rsidRPr="002029AF">
              <w:t>39</w:t>
            </w:r>
          </w:p>
        </w:tc>
        <w:tc>
          <w:tcPr>
            <w:tcW w:w="286" w:type="pct"/>
            <w:hideMark/>
          </w:tcPr>
          <w:p w14:paraId="5568F654" w14:textId="77777777" w:rsidR="00CF72D5" w:rsidRPr="002029AF" w:rsidRDefault="00CF72D5" w:rsidP="00B518D9">
            <w:pPr>
              <w:pStyle w:val="ARtabletextright"/>
              <w:spacing w:before="20" w:after="20"/>
            </w:pPr>
            <w:r w:rsidRPr="002029AF">
              <w:t>37</w:t>
            </w:r>
          </w:p>
        </w:tc>
        <w:tc>
          <w:tcPr>
            <w:tcW w:w="320" w:type="pct"/>
            <w:hideMark/>
          </w:tcPr>
          <w:p w14:paraId="36BEC690" w14:textId="77777777" w:rsidR="00CF72D5" w:rsidRPr="002029AF" w:rsidRDefault="00CF72D5" w:rsidP="00B518D9">
            <w:pPr>
              <w:pStyle w:val="ARtabletextright"/>
              <w:spacing w:before="20" w:after="20"/>
            </w:pPr>
            <w:r w:rsidRPr="002029AF">
              <w:t>127</w:t>
            </w:r>
          </w:p>
        </w:tc>
        <w:tc>
          <w:tcPr>
            <w:tcW w:w="286" w:type="pct"/>
            <w:hideMark/>
          </w:tcPr>
          <w:p w14:paraId="4FD4582E" w14:textId="77777777" w:rsidR="00CF72D5" w:rsidRPr="002029AF" w:rsidRDefault="00CF72D5" w:rsidP="00B518D9">
            <w:pPr>
              <w:pStyle w:val="ARtabletextright"/>
              <w:spacing w:before="20" w:after="20"/>
            </w:pPr>
            <w:r w:rsidRPr="002029AF">
              <w:t>115.2</w:t>
            </w:r>
          </w:p>
        </w:tc>
        <w:tc>
          <w:tcPr>
            <w:tcW w:w="284" w:type="pct"/>
            <w:hideMark/>
          </w:tcPr>
          <w:p w14:paraId="2047BCB2" w14:textId="77777777" w:rsidR="00CF72D5" w:rsidRPr="002029AF" w:rsidRDefault="00CF72D5" w:rsidP="00B518D9">
            <w:pPr>
              <w:pStyle w:val="ARtabletextright"/>
              <w:spacing w:before="20" w:after="20"/>
            </w:pPr>
            <w:r w:rsidRPr="002029AF">
              <w:t>43</w:t>
            </w:r>
          </w:p>
        </w:tc>
        <w:tc>
          <w:tcPr>
            <w:tcW w:w="284" w:type="pct"/>
            <w:hideMark/>
          </w:tcPr>
          <w:p w14:paraId="7B1EC649" w14:textId="77777777" w:rsidR="00CF72D5" w:rsidRPr="002029AF" w:rsidRDefault="00CF72D5" w:rsidP="00B518D9">
            <w:pPr>
              <w:pStyle w:val="ARtabletextright"/>
              <w:spacing w:before="20" w:after="20"/>
            </w:pPr>
            <w:r w:rsidRPr="002029AF">
              <w:t>29</w:t>
            </w:r>
          </w:p>
        </w:tc>
        <w:tc>
          <w:tcPr>
            <w:tcW w:w="286" w:type="pct"/>
            <w:hideMark/>
          </w:tcPr>
          <w:p w14:paraId="66A9E59D" w14:textId="77777777" w:rsidR="00CF72D5" w:rsidRPr="002029AF" w:rsidRDefault="00CF72D5" w:rsidP="00B518D9">
            <w:pPr>
              <w:pStyle w:val="ARtabletextright"/>
              <w:spacing w:before="20" w:after="20"/>
            </w:pPr>
            <w:r w:rsidRPr="002029AF">
              <w:t>63.5</w:t>
            </w:r>
          </w:p>
        </w:tc>
        <w:tc>
          <w:tcPr>
            <w:tcW w:w="320" w:type="pct"/>
            <w:hideMark/>
          </w:tcPr>
          <w:p w14:paraId="1EDAA50F" w14:textId="77777777" w:rsidR="00CF72D5" w:rsidRPr="002029AF" w:rsidRDefault="00CF72D5" w:rsidP="00B518D9">
            <w:pPr>
              <w:pStyle w:val="ARtabletextright"/>
              <w:spacing w:before="20" w:after="20"/>
            </w:pPr>
            <w:r w:rsidRPr="002029AF">
              <w:t>55</w:t>
            </w:r>
          </w:p>
        </w:tc>
        <w:tc>
          <w:tcPr>
            <w:tcW w:w="287" w:type="pct"/>
            <w:hideMark/>
          </w:tcPr>
          <w:p w14:paraId="44FAEEF0" w14:textId="77777777" w:rsidR="00CF72D5" w:rsidRPr="002029AF" w:rsidRDefault="00CF72D5" w:rsidP="00B518D9">
            <w:pPr>
              <w:pStyle w:val="ARtabletextright"/>
              <w:spacing w:before="20" w:after="20"/>
            </w:pPr>
            <w:r w:rsidRPr="002029AF">
              <w:t>51.8</w:t>
            </w:r>
          </w:p>
        </w:tc>
      </w:tr>
      <w:tr w:rsidR="001E768A" w:rsidRPr="002029AF" w14:paraId="436D7D50" w14:textId="77777777" w:rsidTr="00192EEE">
        <w:tc>
          <w:tcPr>
            <w:tcW w:w="867" w:type="pct"/>
            <w:hideMark/>
          </w:tcPr>
          <w:p w14:paraId="3A5948E2" w14:textId="77777777" w:rsidR="00CF72D5" w:rsidRPr="002029AF" w:rsidRDefault="00CF72D5" w:rsidP="00B518D9">
            <w:pPr>
              <w:pStyle w:val="ARtabletext"/>
              <w:spacing w:before="20" w:after="20"/>
            </w:pPr>
            <w:r w:rsidRPr="002029AF">
              <w:t>45–54</w:t>
            </w:r>
          </w:p>
        </w:tc>
        <w:tc>
          <w:tcPr>
            <w:tcW w:w="320" w:type="pct"/>
            <w:hideMark/>
          </w:tcPr>
          <w:p w14:paraId="0E4DE50A" w14:textId="77777777" w:rsidR="00CF72D5" w:rsidRPr="002029AF" w:rsidRDefault="00CF72D5" w:rsidP="00B518D9">
            <w:pPr>
              <w:pStyle w:val="ARtabletextright"/>
              <w:spacing w:before="20" w:after="20"/>
            </w:pPr>
            <w:r w:rsidRPr="002029AF">
              <w:t>70</w:t>
            </w:r>
          </w:p>
        </w:tc>
        <w:tc>
          <w:tcPr>
            <w:tcW w:w="286" w:type="pct"/>
            <w:hideMark/>
          </w:tcPr>
          <w:p w14:paraId="5D58696D" w14:textId="77777777" w:rsidR="00CF72D5" w:rsidRPr="002029AF" w:rsidRDefault="00CF72D5" w:rsidP="00B518D9">
            <w:pPr>
              <w:pStyle w:val="ARtabletextright"/>
              <w:spacing w:before="20" w:after="20"/>
            </w:pPr>
            <w:r w:rsidRPr="002029AF">
              <w:t>67.7</w:t>
            </w:r>
          </w:p>
        </w:tc>
        <w:tc>
          <w:tcPr>
            <w:tcW w:w="284" w:type="pct"/>
            <w:hideMark/>
          </w:tcPr>
          <w:p w14:paraId="23D16EAA" w14:textId="77777777" w:rsidR="00CF72D5" w:rsidRPr="002029AF" w:rsidRDefault="00CF72D5" w:rsidP="00B518D9">
            <w:pPr>
              <w:pStyle w:val="ARtabletextright"/>
              <w:spacing w:before="20" w:after="20"/>
            </w:pPr>
            <w:r w:rsidRPr="002029AF">
              <w:t>41</w:t>
            </w:r>
          </w:p>
        </w:tc>
        <w:tc>
          <w:tcPr>
            <w:tcW w:w="284" w:type="pct"/>
            <w:hideMark/>
          </w:tcPr>
          <w:p w14:paraId="348F3119" w14:textId="77777777" w:rsidR="00CF72D5" w:rsidRPr="002029AF" w:rsidRDefault="00CF72D5" w:rsidP="00B518D9">
            <w:pPr>
              <w:pStyle w:val="ARtabletextright"/>
              <w:spacing w:before="20" w:after="20"/>
            </w:pPr>
            <w:r w:rsidRPr="002029AF">
              <w:t>9</w:t>
            </w:r>
          </w:p>
        </w:tc>
        <w:tc>
          <w:tcPr>
            <w:tcW w:w="286" w:type="pct"/>
            <w:hideMark/>
          </w:tcPr>
          <w:p w14:paraId="745B4E8A" w14:textId="77777777" w:rsidR="00CF72D5" w:rsidRPr="002029AF" w:rsidRDefault="00CF72D5" w:rsidP="00B518D9">
            <w:pPr>
              <w:pStyle w:val="ARtabletextright"/>
              <w:spacing w:before="20" w:after="20"/>
            </w:pPr>
            <w:r w:rsidRPr="002029AF">
              <w:t>48</w:t>
            </w:r>
          </w:p>
        </w:tc>
        <w:tc>
          <w:tcPr>
            <w:tcW w:w="320" w:type="pct"/>
            <w:hideMark/>
          </w:tcPr>
          <w:p w14:paraId="6DE108C1" w14:textId="77777777" w:rsidR="00CF72D5" w:rsidRPr="002029AF" w:rsidRDefault="00CF72D5" w:rsidP="00B518D9">
            <w:pPr>
              <w:pStyle w:val="ARtabletextright"/>
              <w:spacing w:before="20" w:after="20"/>
            </w:pPr>
            <w:r w:rsidRPr="002029AF">
              <w:t>20</w:t>
            </w:r>
          </w:p>
        </w:tc>
        <w:tc>
          <w:tcPr>
            <w:tcW w:w="286" w:type="pct"/>
            <w:hideMark/>
          </w:tcPr>
          <w:p w14:paraId="6D19C16E" w14:textId="77777777" w:rsidR="00CF72D5" w:rsidRPr="002029AF" w:rsidRDefault="00CF72D5" w:rsidP="00B518D9">
            <w:pPr>
              <w:pStyle w:val="ARtabletextright"/>
              <w:spacing w:before="20" w:after="20"/>
            </w:pPr>
            <w:r w:rsidRPr="002029AF">
              <w:t>19.7</w:t>
            </w:r>
          </w:p>
        </w:tc>
        <w:tc>
          <w:tcPr>
            <w:tcW w:w="320" w:type="pct"/>
            <w:hideMark/>
          </w:tcPr>
          <w:p w14:paraId="101E99C4" w14:textId="77777777" w:rsidR="00CF72D5" w:rsidRPr="002029AF" w:rsidRDefault="00CF72D5" w:rsidP="00B518D9">
            <w:pPr>
              <w:pStyle w:val="ARtabletextright"/>
              <w:spacing w:before="20" w:after="20"/>
            </w:pPr>
            <w:r w:rsidRPr="002029AF">
              <w:t>78</w:t>
            </w:r>
          </w:p>
        </w:tc>
        <w:tc>
          <w:tcPr>
            <w:tcW w:w="286" w:type="pct"/>
            <w:hideMark/>
          </w:tcPr>
          <w:p w14:paraId="00FDB0F9" w14:textId="77777777" w:rsidR="00CF72D5" w:rsidRPr="002029AF" w:rsidRDefault="00CF72D5" w:rsidP="00B518D9">
            <w:pPr>
              <w:pStyle w:val="ARtabletextright"/>
              <w:spacing w:before="20" w:after="20"/>
            </w:pPr>
            <w:r w:rsidRPr="002029AF">
              <w:t>74.1</w:t>
            </w:r>
          </w:p>
        </w:tc>
        <w:tc>
          <w:tcPr>
            <w:tcW w:w="284" w:type="pct"/>
            <w:hideMark/>
          </w:tcPr>
          <w:p w14:paraId="1F7AFFD9" w14:textId="77777777" w:rsidR="00CF72D5" w:rsidRPr="002029AF" w:rsidRDefault="00CF72D5" w:rsidP="00B518D9">
            <w:pPr>
              <w:pStyle w:val="ARtabletextright"/>
              <w:spacing w:before="20" w:after="20"/>
            </w:pPr>
            <w:r w:rsidRPr="002029AF">
              <w:t>43</w:t>
            </w:r>
          </w:p>
        </w:tc>
        <w:tc>
          <w:tcPr>
            <w:tcW w:w="284" w:type="pct"/>
            <w:hideMark/>
          </w:tcPr>
          <w:p w14:paraId="4CB5F4EF" w14:textId="77777777" w:rsidR="00CF72D5" w:rsidRPr="002029AF" w:rsidRDefault="00CF72D5" w:rsidP="00B518D9">
            <w:pPr>
              <w:pStyle w:val="ARtabletextright"/>
              <w:spacing w:before="20" w:after="20"/>
            </w:pPr>
            <w:r w:rsidRPr="002029AF">
              <w:t>11</w:t>
            </w:r>
          </w:p>
        </w:tc>
        <w:tc>
          <w:tcPr>
            <w:tcW w:w="286" w:type="pct"/>
            <w:hideMark/>
          </w:tcPr>
          <w:p w14:paraId="7B8256A4" w14:textId="77777777" w:rsidR="00CF72D5" w:rsidRPr="002029AF" w:rsidRDefault="00CF72D5" w:rsidP="00B518D9">
            <w:pPr>
              <w:pStyle w:val="ARtabletextright"/>
              <w:spacing w:before="20" w:after="20"/>
            </w:pPr>
            <w:r w:rsidRPr="002029AF">
              <w:t>51.2</w:t>
            </w:r>
          </w:p>
        </w:tc>
        <w:tc>
          <w:tcPr>
            <w:tcW w:w="320" w:type="pct"/>
            <w:hideMark/>
          </w:tcPr>
          <w:p w14:paraId="5242C39E" w14:textId="77777777" w:rsidR="00CF72D5" w:rsidRPr="002029AF" w:rsidRDefault="00CF72D5" w:rsidP="00B518D9">
            <w:pPr>
              <w:pStyle w:val="ARtabletextright"/>
              <w:spacing w:before="20" w:after="20"/>
            </w:pPr>
            <w:r w:rsidRPr="002029AF">
              <w:t>24</w:t>
            </w:r>
          </w:p>
        </w:tc>
        <w:tc>
          <w:tcPr>
            <w:tcW w:w="287" w:type="pct"/>
            <w:hideMark/>
          </w:tcPr>
          <w:p w14:paraId="66576FEB" w14:textId="77777777" w:rsidR="00CF72D5" w:rsidRPr="002029AF" w:rsidRDefault="00CF72D5" w:rsidP="00B518D9">
            <w:pPr>
              <w:pStyle w:val="ARtabletextright"/>
              <w:spacing w:before="20" w:after="20"/>
            </w:pPr>
            <w:r w:rsidRPr="002029AF">
              <w:t>22.9</w:t>
            </w:r>
          </w:p>
        </w:tc>
      </w:tr>
      <w:tr w:rsidR="001E768A" w:rsidRPr="002029AF" w14:paraId="1C6FC4DC" w14:textId="77777777" w:rsidTr="00192EEE">
        <w:tc>
          <w:tcPr>
            <w:tcW w:w="867" w:type="pct"/>
            <w:hideMark/>
          </w:tcPr>
          <w:p w14:paraId="5A6D31F7" w14:textId="77777777" w:rsidR="00CF72D5" w:rsidRPr="002029AF" w:rsidRDefault="00CF72D5" w:rsidP="00B518D9">
            <w:pPr>
              <w:pStyle w:val="ARtabletext"/>
              <w:spacing w:before="20" w:after="20"/>
            </w:pPr>
            <w:r w:rsidRPr="002029AF">
              <w:t>55–64</w:t>
            </w:r>
          </w:p>
        </w:tc>
        <w:tc>
          <w:tcPr>
            <w:tcW w:w="320" w:type="pct"/>
            <w:hideMark/>
          </w:tcPr>
          <w:p w14:paraId="2A22AAA5" w14:textId="77777777" w:rsidR="00CF72D5" w:rsidRPr="002029AF" w:rsidRDefault="00CF72D5" w:rsidP="00B518D9">
            <w:pPr>
              <w:pStyle w:val="ARtabletextright"/>
              <w:spacing w:before="20" w:after="20"/>
            </w:pPr>
            <w:r w:rsidRPr="002029AF">
              <w:t>29</w:t>
            </w:r>
          </w:p>
        </w:tc>
        <w:tc>
          <w:tcPr>
            <w:tcW w:w="286" w:type="pct"/>
            <w:hideMark/>
          </w:tcPr>
          <w:p w14:paraId="0EF95496" w14:textId="77777777" w:rsidR="00CF72D5" w:rsidRPr="002029AF" w:rsidRDefault="00CF72D5" w:rsidP="00B518D9">
            <w:pPr>
              <w:pStyle w:val="ARtabletextright"/>
              <w:spacing w:before="20" w:after="20"/>
            </w:pPr>
            <w:r w:rsidRPr="002029AF">
              <w:t>28.2</w:t>
            </w:r>
          </w:p>
        </w:tc>
        <w:tc>
          <w:tcPr>
            <w:tcW w:w="284" w:type="pct"/>
            <w:hideMark/>
          </w:tcPr>
          <w:p w14:paraId="0E2EAD67" w14:textId="77777777" w:rsidR="00CF72D5" w:rsidRPr="002029AF" w:rsidRDefault="00CF72D5" w:rsidP="00B518D9">
            <w:pPr>
              <w:pStyle w:val="ARtabletextright"/>
              <w:spacing w:before="20" w:after="20"/>
            </w:pPr>
            <w:r w:rsidRPr="002029AF">
              <w:t>15</w:t>
            </w:r>
          </w:p>
        </w:tc>
        <w:tc>
          <w:tcPr>
            <w:tcW w:w="284" w:type="pct"/>
            <w:hideMark/>
          </w:tcPr>
          <w:p w14:paraId="2FBEF0A8" w14:textId="77777777" w:rsidR="00CF72D5" w:rsidRPr="002029AF" w:rsidRDefault="00CF72D5" w:rsidP="00B518D9">
            <w:pPr>
              <w:pStyle w:val="ARtabletextright"/>
              <w:spacing w:before="20" w:after="20"/>
            </w:pPr>
            <w:r w:rsidRPr="002029AF">
              <w:t>3</w:t>
            </w:r>
          </w:p>
        </w:tc>
        <w:tc>
          <w:tcPr>
            <w:tcW w:w="286" w:type="pct"/>
            <w:hideMark/>
          </w:tcPr>
          <w:p w14:paraId="4B232543" w14:textId="77777777" w:rsidR="00CF72D5" w:rsidRPr="002029AF" w:rsidRDefault="00CF72D5" w:rsidP="00B518D9">
            <w:pPr>
              <w:pStyle w:val="ARtabletextright"/>
              <w:spacing w:before="20" w:after="20"/>
            </w:pPr>
            <w:r w:rsidRPr="002029AF">
              <w:t>17.3</w:t>
            </w:r>
          </w:p>
        </w:tc>
        <w:tc>
          <w:tcPr>
            <w:tcW w:w="320" w:type="pct"/>
            <w:hideMark/>
          </w:tcPr>
          <w:p w14:paraId="1E595914" w14:textId="77777777" w:rsidR="00CF72D5" w:rsidRPr="002029AF" w:rsidRDefault="00CF72D5" w:rsidP="00B518D9">
            <w:pPr>
              <w:pStyle w:val="ARtabletextright"/>
              <w:spacing w:before="20" w:after="20"/>
            </w:pPr>
            <w:r w:rsidRPr="002029AF">
              <w:t>11</w:t>
            </w:r>
          </w:p>
        </w:tc>
        <w:tc>
          <w:tcPr>
            <w:tcW w:w="286" w:type="pct"/>
            <w:hideMark/>
          </w:tcPr>
          <w:p w14:paraId="64BB10A8" w14:textId="77777777" w:rsidR="00CF72D5" w:rsidRPr="002029AF" w:rsidRDefault="00CF72D5" w:rsidP="00B518D9">
            <w:pPr>
              <w:pStyle w:val="ARtabletextright"/>
              <w:spacing w:before="20" w:after="20"/>
            </w:pPr>
            <w:r w:rsidRPr="002029AF">
              <w:t>10.9</w:t>
            </w:r>
          </w:p>
        </w:tc>
        <w:tc>
          <w:tcPr>
            <w:tcW w:w="320" w:type="pct"/>
            <w:hideMark/>
          </w:tcPr>
          <w:p w14:paraId="777AE64D" w14:textId="77777777" w:rsidR="00CF72D5" w:rsidRPr="002029AF" w:rsidRDefault="00CF72D5" w:rsidP="00B518D9">
            <w:pPr>
              <w:pStyle w:val="ARtabletextright"/>
              <w:spacing w:before="20" w:after="20"/>
            </w:pPr>
            <w:r w:rsidRPr="002029AF">
              <w:t>27</w:t>
            </w:r>
          </w:p>
        </w:tc>
        <w:tc>
          <w:tcPr>
            <w:tcW w:w="286" w:type="pct"/>
            <w:hideMark/>
          </w:tcPr>
          <w:p w14:paraId="40E2200B" w14:textId="77777777" w:rsidR="00CF72D5" w:rsidRPr="002029AF" w:rsidRDefault="00CF72D5" w:rsidP="00B518D9">
            <w:pPr>
              <w:pStyle w:val="ARtabletextright"/>
              <w:spacing w:before="20" w:after="20"/>
            </w:pPr>
            <w:r w:rsidRPr="002029AF">
              <w:t>26.1</w:t>
            </w:r>
          </w:p>
        </w:tc>
        <w:tc>
          <w:tcPr>
            <w:tcW w:w="284" w:type="pct"/>
            <w:hideMark/>
          </w:tcPr>
          <w:p w14:paraId="3DF41A71" w14:textId="77777777" w:rsidR="00CF72D5" w:rsidRPr="002029AF" w:rsidRDefault="00CF72D5" w:rsidP="00B518D9">
            <w:pPr>
              <w:pStyle w:val="ARtabletextright"/>
              <w:spacing w:before="20" w:after="20"/>
            </w:pPr>
            <w:r w:rsidRPr="002029AF">
              <w:t>14</w:t>
            </w:r>
          </w:p>
        </w:tc>
        <w:tc>
          <w:tcPr>
            <w:tcW w:w="284" w:type="pct"/>
            <w:hideMark/>
          </w:tcPr>
          <w:p w14:paraId="58A72FB9" w14:textId="77777777" w:rsidR="00CF72D5" w:rsidRPr="002029AF" w:rsidRDefault="00CF72D5" w:rsidP="00B518D9">
            <w:pPr>
              <w:pStyle w:val="ARtabletextright"/>
              <w:spacing w:before="20" w:after="20"/>
            </w:pPr>
            <w:r w:rsidRPr="002029AF">
              <w:t>3</w:t>
            </w:r>
          </w:p>
        </w:tc>
        <w:tc>
          <w:tcPr>
            <w:tcW w:w="286" w:type="pct"/>
            <w:hideMark/>
          </w:tcPr>
          <w:p w14:paraId="20DEC1C6" w14:textId="77777777" w:rsidR="00CF72D5" w:rsidRPr="002029AF" w:rsidRDefault="00CF72D5" w:rsidP="00B518D9">
            <w:pPr>
              <w:pStyle w:val="ARtabletextright"/>
              <w:spacing w:before="20" w:after="20"/>
            </w:pPr>
            <w:r w:rsidRPr="002029AF">
              <w:t>16.3</w:t>
            </w:r>
          </w:p>
        </w:tc>
        <w:tc>
          <w:tcPr>
            <w:tcW w:w="320" w:type="pct"/>
            <w:hideMark/>
          </w:tcPr>
          <w:p w14:paraId="1CBC7C2F" w14:textId="77777777" w:rsidR="00CF72D5" w:rsidRPr="002029AF" w:rsidRDefault="00CF72D5" w:rsidP="00B518D9">
            <w:pPr>
              <w:pStyle w:val="ARtabletextright"/>
              <w:spacing w:before="20" w:after="20"/>
            </w:pPr>
            <w:r w:rsidRPr="002029AF">
              <w:t>10</w:t>
            </w:r>
          </w:p>
        </w:tc>
        <w:tc>
          <w:tcPr>
            <w:tcW w:w="287" w:type="pct"/>
            <w:hideMark/>
          </w:tcPr>
          <w:p w14:paraId="05F4D3D8" w14:textId="77777777" w:rsidR="00CF72D5" w:rsidRPr="002029AF" w:rsidRDefault="00CF72D5" w:rsidP="00B518D9">
            <w:pPr>
              <w:pStyle w:val="ARtabletextright"/>
              <w:spacing w:before="20" w:after="20"/>
            </w:pPr>
            <w:r w:rsidRPr="002029AF">
              <w:t>9.8</w:t>
            </w:r>
          </w:p>
        </w:tc>
      </w:tr>
      <w:tr w:rsidR="001E768A" w:rsidRPr="002029AF" w14:paraId="29B31F86" w14:textId="77777777" w:rsidTr="00192EEE">
        <w:tc>
          <w:tcPr>
            <w:tcW w:w="867" w:type="pct"/>
            <w:hideMark/>
          </w:tcPr>
          <w:p w14:paraId="06DFF907" w14:textId="77777777" w:rsidR="00CF72D5" w:rsidRPr="002029AF" w:rsidRDefault="00CF72D5" w:rsidP="00B518D9">
            <w:pPr>
              <w:pStyle w:val="ARtabletext"/>
              <w:spacing w:before="20" w:after="20"/>
            </w:pPr>
            <w:r w:rsidRPr="002029AF">
              <w:t>65+</w:t>
            </w:r>
          </w:p>
        </w:tc>
        <w:tc>
          <w:tcPr>
            <w:tcW w:w="320" w:type="pct"/>
            <w:hideMark/>
          </w:tcPr>
          <w:p w14:paraId="5961317F" w14:textId="77777777" w:rsidR="00CF72D5" w:rsidRPr="002029AF" w:rsidRDefault="00CF72D5" w:rsidP="00B518D9">
            <w:pPr>
              <w:pStyle w:val="ARtabletextright"/>
              <w:spacing w:before="20" w:after="20"/>
            </w:pPr>
            <w:r w:rsidRPr="002029AF">
              <w:t>5</w:t>
            </w:r>
          </w:p>
        </w:tc>
        <w:tc>
          <w:tcPr>
            <w:tcW w:w="286" w:type="pct"/>
            <w:hideMark/>
          </w:tcPr>
          <w:p w14:paraId="00B4B892" w14:textId="77777777" w:rsidR="00CF72D5" w:rsidRPr="002029AF" w:rsidRDefault="00CF72D5" w:rsidP="00B518D9">
            <w:pPr>
              <w:pStyle w:val="ARtabletextright"/>
              <w:spacing w:before="20" w:after="20"/>
            </w:pPr>
            <w:r w:rsidRPr="002029AF">
              <w:t>5</w:t>
            </w:r>
          </w:p>
        </w:tc>
        <w:tc>
          <w:tcPr>
            <w:tcW w:w="284" w:type="pct"/>
            <w:hideMark/>
          </w:tcPr>
          <w:p w14:paraId="30196DF1" w14:textId="77777777" w:rsidR="00CF72D5" w:rsidRPr="002029AF" w:rsidRDefault="00CF72D5" w:rsidP="00B518D9">
            <w:pPr>
              <w:pStyle w:val="ARtabletextright"/>
              <w:spacing w:before="20" w:after="20"/>
            </w:pPr>
            <w:r w:rsidRPr="002029AF">
              <w:t>3</w:t>
            </w:r>
          </w:p>
        </w:tc>
        <w:tc>
          <w:tcPr>
            <w:tcW w:w="284" w:type="pct"/>
            <w:hideMark/>
          </w:tcPr>
          <w:p w14:paraId="5A9B732B" w14:textId="77777777" w:rsidR="00CF72D5" w:rsidRPr="002029AF" w:rsidRDefault="00CF72D5" w:rsidP="00B518D9">
            <w:pPr>
              <w:pStyle w:val="ARtabletextright"/>
              <w:spacing w:before="20" w:after="20"/>
            </w:pPr>
            <w:r w:rsidRPr="002029AF">
              <w:t>0</w:t>
            </w:r>
          </w:p>
        </w:tc>
        <w:tc>
          <w:tcPr>
            <w:tcW w:w="286" w:type="pct"/>
            <w:hideMark/>
          </w:tcPr>
          <w:p w14:paraId="189E1BF1" w14:textId="77777777" w:rsidR="00CF72D5" w:rsidRPr="002029AF" w:rsidRDefault="00CF72D5" w:rsidP="00B518D9">
            <w:pPr>
              <w:pStyle w:val="ARtabletextright"/>
              <w:spacing w:before="20" w:after="20"/>
            </w:pPr>
            <w:r w:rsidRPr="002029AF">
              <w:t>3</w:t>
            </w:r>
          </w:p>
        </w:tc>
        <w:tc>
          <w:tcPr>
            <w:tcW w:w="320" w:type="pct"/>
            <w:hideMark/>
          </w:tcPr>
          <w:p w14:paraId="04A2AA25" w14:textId="77777777" w:rsidR="00CF72D5" w:rsidRPr="002029AF" w:rsidRDefault="00CF72D5" w:rsidP="00B518D9">
            <w:pPr>
              <w:pStyle w:val="ARtabletextright"/>
              <w:spacing w:before="20" w:after="20"/>
            </w:pPr>
            <w:r w:rsidRPr="002029AF">
              <w:t>2</w:t>
            </w:r>
          </w:p>
        </w:tc>
        <w:tc>
          <w:tcPr>
            <w:tcW w:w="286" w:type="pct"/>
            <w:hideMark/>
          </w:tcPr>
          <w:p w14:paraId="6F660CC1" w14:textId="77777777" w:rsidR="00CF72D5" w:rsidRPr="002029AF" w:rsidRDefault="00CF72D5" w:rsidP="00B518D9">
            <w:pPr>
              <w:pStyle w:val="ARtabletextright"/>
              <w:spacing w:before="20" w:after="20"/>
            </w:pPr>
            <w:r w:rsidRPr="002029AF">
              <w:t>2</w:t>
            </w:r>
          </w:p>
        </w:tc>
        <w:tc>
          <w:tcPr>
            <w:tcW w:w="320" w:type="pct"/>
            <w:hideMark/>
          </w:tcPr>
          <w:p w14:paraId="3904349C" w14:textId="77777777" w:rsidR="00CF72D5" w:rsidRPr="002029AF" w:rsidRDefault="00CF72D5" w:rsidP="00B518D9">
            <w:pPr>
              <w:pStyle w:val="ARtabletextright"/>
              <w:spacing w:before="20" w:after="20"/>
            </w:pPr>
            <w:r w:rsidRPr="002029AF">
              <w:t>4</w:t>
            </w:r>
          </w:p>
        </w:tc>
        <w:tc>
          <w:tcPr>
            <w:tcW w:w="286" w:type="pct"/>
            <w:hideMark/>
          </w:tcPr>
          <w:p w14:paraId="71631F1C" w14:textId="77777777" w:rsidR="00CF72D5" w:rsidRPr="002029AF" w:rsidRDefault="00CF72D5" w:rsidP="00B518D9">
            <w:pPr>
              <w:pStyle w:val="ARtabletextright"/>
              <w:spacing w:before="20" w:after="20"/>
            </w:pPr>
            <w:r w:rsidRPr="002029AF">
              <w:t>3.9</w:t>
            </w:r>
          </w:p>
        </w:tc>
        <w:tc>
          <w:tcPr>
            <w:tcW w:w="284" w:type="pct"/>
            <w:hideMark/>
          </w:tcPr>
          <w:p w14:paraId="02AD583B" w14:textId="77777777" w:rsidR="00CF72D5" w:rsidRPr="002029AF" w:rsidRDefault="00CF72D5" w:rsidP="00B518D9">
            <w:pPr>
              <w:pStyle w:val="ARtabletextright"/>
              <w:spacing w:before="20" w:after="20"/>
            </w:pPr>
            <w:r w:rsidRPr="002029AF">
              <w:t>3</w:t>
            </w:r>
          </w:p>
        </w:tc>
        <w:tc>
          <w:tcPr>
            <w:tcW w:w="284" w:type="pct"/>
            <w:hideMark/>
          </w:tcPr>
          <w:p w14:paraId="4F1E8801" w14:textId="77777777" w:rsidR="00CF72D5" w:rsidRPr="002029AF" w:rsidRDefault="00CF72D5" w:rsidP="00B518D9">
            <w:pPr>
              <w:pStyle w:val="ARtabletextright"/>
              <w:spacing w:before="20" w:after="20"/>
            </w:pPr>
            <w:r w:rsidRPr="002029AF">
              <w:t>0</w:t>
            </w:r>
          </w:p>
        </w:tc>
        <w:tc>
          <w:tcPr>
            <w:tcW w:w="286" w:type="pct"/>
            <w:hideMark/>
          </w:tcPr>
          <w:p w14:paraId="61546D86" w14:textId="77777777" w:rsidR="00CF72D5" w:rsidRPr="002029AF" w:rsidRDefault="00CF72D5" w:rsidP="00B518D9">
            <w:pPr>
              <w:pStyle w:val="ARtabletextright"/>
              <w:spacing w:before="20" w:after="20"/>
            </w:pPr>
            <w:r w:rsidRPr="002029AF">
              <w:t>3</w:t>
            </w:r>
          </w:p>
        </w:tc>
        <w:tc>
          <w:tcPr>
            <w:tcW w:w="320" w:type="pct"/>
            <w:hideMark/>
          </w:tcPr>
          <w:p w14:paraId="7EFA9261" w14:textId="77777777" w:rsidR="00CF72D5" w:rsidRPr="002029AF" w:rsidRDefault="00CF72D5" w:rsidP="00B518D9">
            <w:pPr>
              <w:pStyle w:val="ARtabletextright"/>
              <w:spacing w:before="20" w:after="20"/>
            </w:pPr>
            <w:r w:rsidRPr="002029AF">
              <w:t>1</w:t>
            </w:r>
          </w:p>
        </w:tc>
        <w:tc>
          <w:tcPr>
            <w:tcW w:w="287" w:type="pct"/>
            <w:hideMark/>
          </w:tcPr>
          <w:p w14:paraId="6DCE983C" w14:textId="77777777" w:rsidR="00CF72D5" w:rsidRPr="002029AF" w:rsidRDefault="00CF72D5" w:rsidP="00B518D9">
            <w:pPr>
              <w:pStyle w:val="ARtabletextright"/>
              <w:spacing w:before="20" w:after="20"/>
            </w:pPr>
            <w:r w:rsidRPr="002029AF">
              <w:t>0.9</w:t>
            </w:r>
          </w:p>
        </w:tc>
      </w:tr>
      <w:tr w:rsidR="002008D4" w:rsidRPr="002029AF" w14:paraId="144A92CB" w14:textId="77777777" w:rsidTr="00192EEE">
        <w:tc>
          <w:tcPr>
            <w:tcW w:w="5000" w:type="pct"/>
            <w:gridSpan w:val="15"/>
            <w:hideMark/>
          </w:tcPr>
          <w:p w14:paraId="7058A8A4" w14:textId="169CF396" w:rsidR="002008D4" w:rsidRPr="002029AF" w:rsidRDefault="002008D4" w:rsidP="00233C48">
            <w:pPr>
              <w:pStyle w:val="ARtablesubhead"/>
              <w:spacing w:before="20" w:after="20"/>
            </w:pPr>
            <w:r w:rsidRPr="002029AF">
              <w:t>Classification</w:t>
            </w:r>
          </w:p>
        </w:tc>
      </w:tr>
      <w:tr w:rsidR="001E768A" w:rsidRPr="002029AF" w14:paraId="285E2248" w14:textId="77777777" w:rsidTr="00192EEE">
        <w:tc>
          <w:tcPr>
            <w:tcW w:w="867" w:type="pct"/>
            <w:hideMark/>
          </w:tcPr>
          <w:p w14:paraId="0BEE28ED" w14:textId="25D09F28" w:rsidR="00CF72D5" w:rsidRPr="002029AF" w:rsidRDefault="00CF72D5" w:rsidP="00B518D9">
            <w:pPr>
              <w:pStyle w:val="ARtabletext"/>
              <w:spacing w:before="20" w:after="20"/>
            </w:pPr>
            <w:r w:rsidRPr="002029AF">
              <w:t>VPS</w:t>
            </w:r>
            <w:r w:rsidR="000A5329" w:rsidRPr="002029AF">
              <w:t xml:space="preserve"> </w:t>
            </w:r>
            <w:r w:rsidRPr="002029AF">
              <w:t>1</w:t>
            </w:r>
          </w:p>
        </w:tc>
        <w:tc>
          <w:tcPr>
            <w:tcW w:w="320" w:type="pct"/>
            <w:hideMark/>
          </w:tcPr>
          <w:p w14:paraId="4AA4C1E5" w14:textId="77777777" w:rsidR="00CF72D5" w:rsidRPr="002029AF" w:rsidRDefault="00CF72D5" w:rsidP="00B518D9">
            <w:pPr>
              <w:pStyle w:val="ARtabletextright"/>
              <w:spacing w:before="20" w:after="20"/>
            </w:pPr>
            <w:r w:rsidRPr="002029AF">
              <w:t>1</w:t>
            </w:r>
          </w:p>
        </w:tc>
        <w:tc>
          <w:tcPr>
            <w:tcW w:w="286" w:type="pct"/>
            <w:hideMark/>
          </w:tcPr>
          <w:p w14:paraId="2DAF5811" w14:textId="77777777" w:rsidR="00CF72D5" w:rsidRPr="002029AF" w:rsidRDefault="00CF72D5" w:rsidP="00B518D9">
            <w:pPr>
              <w:pStyle w:val="ARtabletextright"/>
              <w:spacing w:before="20" w:after="20"/>
            </w:pPr>
            <w:r w:rsidRPr="002029AF">
              <w:t>1</w:t>
            </w:r>
          </w:p>
        </w:tc>
        <w:tc>
          <w:tcPr>
            <w:tcW w:w="284" w:type="pct"/>
            <w:hideMark/>
          </w:tcPr>
          <w:p w14:paraId="3AD250E7" w14:textId="77777777" w:rsidR="00CF72D5" w:rsidRPr="002029AF" w:rsidRDefault="00CF72D5" w:rsidP="00B518D9">
            <w:pPr>
              <w:pStyle w:val="ARtabletextright"/>
              <w:spacing w:before="20" w:after="20"/>
            </w:pPr>
            <w:r w:rsidRPr="002029AF">
              <w:t>0</w:t>
            </w:r>
          </w:p>
        </w:tc>
        <w:tc>
          <w:tcPr>
            <w:tcW w:w="284" w:type="pct"/>
            <w:hideMark/>
          </w:tcPr>
          <w:p w14:paraId="317687C2" w14:textId="77777777" w:rsidR="00CF72D5" w:rsidRPr="002029AF" w:rsidRDefault="00CF72D5" w:rsidP="00B518D9">
            <w:pPr>
              <w:pStyle w:val="ARtabletextright"/>
              <w:spacing w:before="20" w:after="20"/>
            </w:pPr>
            <w:r w:rsidRPr="002029AF">
              <w:t>0</w:t>
            </w:r>
          </w:p>
        </w:tc>
        <w:tc>
          <w:tcPr>
            <w:tcW w:w="286" w:type="pct"/>
            <w:hideMark/>
          </w:tcPr>
          <w:p w14:paraId="2B42EF26" w14:textId="77777777" w:rsidR="00CF72D5" w:rsidRPr="002029AF" w:rsidRDefault="00CF72D5" w:rsidP="00B518D9">
            <w:pPr>
              <w:pStyle w:val="ARtabletextright"/>
              <w:spacing w:before="20" w:after="20"/>
            </w:pPr>
            <w:r w:rsidRPr="002029AF">
              <w:t>0</w:t>
            </w:r>
          </w:p>
        </w:tc>
        <w:tc>
          <w:tcPr>
            <w:tcW w:w="320" w:type="pct"/>
            <w:hideMark/>
          </w:tcPr>
          <w:p w14:paraId="41DD5E32" w14:textId="77777777" w:rsidR="00CF72D5" w:rsidRPr="002029AF" w:rsidRDefault="00CF72D5" w:rsidP="00B518D9">
            <w:pPr>
              <w:pStyle w:val="ARtabletextright"/>
              <w:spacing w:before="20" w:after="20"/>
            </w:pPr>
            <w:r w:rsidRPr="002029AF">
              <w:t>1</w:t>
            </w:r>
          </w:p>
        </w:tc>
        <w:tc>
          <w:tcPr>
            <w:tcW w:w="286" w:type="pct"/>
            <w:hideMark/>
          </w:tcPr>
          <w:p w14:paraId="64737263" w14:textId="77777777" w:rsidR="00CF72D5" w:rsidRPr="002029AF" w:rsidRDefault="00CF72D5" w:rsidP="00B518D9">
            <w:pPr>
              <w:pStyle w:val="ARtabletextright"/>
              <w:spacing w:before="20" w:after="20"/>
            </w:pPr>
            <w:r w:rsidRPr="002029AF">
              <w:t>1</w:t>
            </w:r>
          </w:p>
        </w:tc>
        <w:tc>
          <w:tcPr>
            <w:tcW w:w="320" w:type="pct"/>
            <w:hideMark/>
          </w:tcPr>
          <w:p w14:paraId="3BF83215" w14:textId="77777777" w:rsidR="00CF72D5" w:rsidRPr="002029AF" w:rsidRDefault="00CF72D5" w:rsidP="00B518D9">
            <w:pPr>
              <w:pStyle w:val="ARtabletextright"/>
              <w:spacing w:before="20" w:after="20"/>
            </w:pPr>
            <w:r w:rsidRPr="002029AF">
              <w:t>1</w:t>
            </w:r>
          </w:p>
        </w:tc>
        <w:tc>
          <w:tcPr>
            <w:tcW w:w="286" w:type="pct"/>
            <w:hideMark/>
          </w:tcPr>
          <w:p w14:paraId="3BA61B9B" w14:textId="77777777" w:rsidR="00CF72D5" w:rsidRPr="002029AF" w:rsidRDefault="00CF72D5" w:rsidP="00B518D9">
            <w:pPr>
              <w:pStyle w:val="ARtabletextright"/>
              <w:spacing w:before="20" w:after="20"/>
            </w:pPr>
            <w:r w:rsidRPr="002029AF">
              <w:t>1</w:t>
            </w:r>
          </w:p>
        </w:tc>
        <w:tc>
          <w:tcPr>
            <w:tcW w:w="284" w:type="pct"/>
            <w:hideMark/>
          </w:tcPr>
          <w:p w14:paraId="6E7DEA30" w14:textId="77777777" w:rsidR="00CF72D5" w:rsidRPr="002029AF" w:rsidRDefault="00CF72D5" w:rsidP="00B518D9">
            <w:pPr>
              <w:pStyle w:val="ARtabletextright"/>
              <w:spacing w:before="20" w:after="20"/>
            </w:pPr>
            <w:r w:rsidRPr="002029AF">
              <w:t>0</w:t>
            </w:r>
          </w:p>
        </w:tc>
        <w:tc>
          <w:tcPr>
            <w:tcW w:w="284" w:type="pct"/>
            <w:hideMark/>
          </w:tcPr>
          <w:p w14:paraId="6F8E2E51" w14:textId="77777777" w:rsidR="00CF72D5" w:rsidRPr="002029AF" w:rsidRDefault="00CF72D5" w:rsidP="00B518D9">
            <w:pPr>
              <w:pStyle w:val="ARtabletextright"/>
              <w:spacing w:before="20" w:after="20"/>
            </w:pPr>
            <w:r w:rsidRPr="002029AF">
              <w:t>0</w:t>
            </w:r>
          </w:p>
        </w:tc>
        <w:tc>
          <w:tcPr>
            <w:tcW w:w="286" w:type="pct"/>
            <w:hideMark/>
          </w:tcPr>
          <w:p w14:paraId="3C93D56F" w14:textId="77777777" w:rsidR="00CF72D5" w:rsidRPr="002029AF" w:rsidRDefault="00CF72D5" w:rsidP="00B518D9">
            <w:pPr>
              <w:pStyle w:val="ARtabletextright"/>
              <w:spacing w:before="20" w:after="20"/>
            </w:pPr>
            <w:r w:rsidRPr="002029AF">
              <w:t>0</w:t>
            </w:r>
          </w:p>
        </w:tc>
        <w:tc>
          <w:tcPr>
            <w:tcW w:w="320" w:type="pct"/>
            <w:hideMark/>
          </w:tcPr>
          <w:p w14:paraId="0E6FCE7B" w14:textId="77777777" w:rsidR="00CF72D5" w:rsidRPr="002029AF" w:rsidRDefault="00CF72D5" w:rsidP="00B518D9">
            <w:pPr>
              <w:pStyle w:val="ARtabletextright"/>
              <w:spacing w:before="20" w:after="20"/>
            </w:pPr>
            <w:r w:rsidRPr="002029AF">
              <w:t>1</w:t>
            </w:r>
          </w:p>
        </w:tc>
        <w:tc>
          <w:tcPr>
            <w:tcW w:w="287" w:type="pct"/>
            <w:hideMark/>
          </w:tcPr>
          <w:p w14:paraId="7250FF46" w14:textId="77777777" w:rsidR="00CF72D5" w:rsidRPr="002029AF" w:rsidRDefault="00CF72D5" w:rsidP="00B518D9">
            <w:pPr>
              <w:pStyle w:val="ARtabletextright"/>
              <w:spacing w:before="20" w:after="20"/>
            </w:pPr>
            <w:r w:rsidRPr="002029AF">
              <w:t>1</w:t>
            </w:r>
          </w:p>
        </w:tc>
      </w:tr>
      <w:tr w:rsidR="001E768A" w:rsidRPr="002029AF" w14:paraId="4F0A1F1F" w14:textId="77777777" w:rsidTr="00192EEE">
        <w:tc>
          <w:tcPr>
            <w:tcW w:w="867" w:type="pct"/>
            <w:hideMark/>
          </w:tcPr>
          <w:p w14:paraId="3E55F5C1" w14:textId="11C39940" w:rsidR="00CF72D5" w:rsidRPr="002029AF" w:rsidRDefault="00CF72D5" w:rsidP="00B518D9">
            <w:pPr>
              <w:pStyle w:val="ARtabletext"/>
              <w:spacing w:before="20" w:after="20"/>
            </w:pPr>
            <w:r w:rsidRPr="002029AF">
              <w:t>VPS</w:t>
            </w:r>
            <w:r w:rsidR="000A5329" w:rsidRPr="002029AF">
              <w:t xml:space="preserve"> </w:t>
            </w:r>
            <w:r w:rsidRPr="002029AF">
              <w:t>2</w:t>
            </w:r>
          </w:p>
        </w:tc>
        <w:tc>
          <w:tcPr>
            <w:tcW w:w="320" w:type="pct"/>
            <w:hideMark/>
          </w:tcPr>
          <w:p w14:paraId="02C1BF8A" w14:textId="77777777" w:rsidR="00CF72D5" w:rsidRPr="002029AF" w:rsidRDefault="00CF72D5" w:rsidP="00B518D9">
            <w:pPr>
              <w:pStyle w:val="ARtabletextright"/>
              <w:spacing w:before="20" w:after="20"/>
            </w:pPr>
            <w:r w:rsidRPr="002029AF">
              <w:t>7</w:t>
            </w:r>
          </w:p>
        </w:tc>
        <w:tc>
          <w:tcPr>
            <w:tcW w:w="286" w:type="pct"/>
            <w:hideMark/>
          </w:tcPr>
          <w:p w14:paraId="5DDDBD1D" w14:textId="77777777" w:rsidR="00CF72D5" w:rsidRPr="002029AF" w:rsidRDefault="00CF72D5" w:rsidP="00B518D9">
            <w:pPr>
              <w:pStyle w:val="ARtabletextright"/>
              <w:spacing w:before="20" w:after="20"/>
            </w:pPr>
            <w:r w:rsidRPr="002029AF">
              <w:t>7</w:t>
            </w:r>
          </w:p>
        </w:tc>
        <w:tc>
          <w:tcPr>
            <w:tcW w:w="284" w:type="pct"/>
            <w:hideMark/>
          </w:tcPr>
          <w:p w14:paraId="1EACF348" w14:textId="77777777" w:rsidR="00CF72D5" w:rsidRPr="002029AF" w:rsidRDefault="00CF72D5" w:rsidP="00B518D9">
            <w:pPr>
              <w:pStyle w:val="ARtabletextright"/>
              <w:spacing w:before="20" w:after="20"/>
            </w:pPr>
            <w:r w:rsidRPr="002029AF">
              <w:t>7</w:t>
            </w:r>
          </w:p>
        </w:tc>
        <w:tc>
          <w:tcPr>
            <w:tcW w:w="284" w:type="pct"/>
            <w:hideMark/>
          </w:tcPr>
          <w:p w14:paraId="6BFDD14B" w14:textId="77777777" w:rsidR="00CF72D5" w:rsidRPr="002029AF" w:rsidRDefault="00CF72D5" w:rsidP="00B518D9">
            <w:pPr>
              <w:pStyle w:val="ARtabletextright"/>
              <w:spacing w:before="20" w:after="20"/>
            </w:pPr>
            <w:r w:rsidRPr="002029AF">
              <w:t>0</w:t>
            </w:r>
          </w:p>
        </w:tc>
        <w:tc>
          <w:tcPr>
            <w:tcW w:w="286" w:type="pct"/>
            <w:hideMark/>
          </w:tcPr>
          <w:p w14:paraId="035316AC" w14:textId="77777777" w:rsidR="00CF72D5" w:rsidRPr="002029AF" w:rsidRDefault="00CF72D5" w:rsidP="00B518D9">
            <w:pPr>
              <w:pStyle w:val="ARtabletextright"/>
              <w:spacing w:before="20" w:after="20"/>
            </w:pPr>
            <w:r w:rsidRPr="002029AF">
              <w:t>7</w:t>
            </w:r>
          </w:p>
        </w:tc>
        <w:tc>
          <w:tcPr>
            <w:tcW w:w="320" w:type="pct"/>
            <w:hideMark/>
          </w:tcPr>
          <w:p w14:paraId="259971AB" w14:textId="77777777" w:rsidR="00CF72D5" w:rsidRPr="002029AF" w:rsidRDefault="00CF72D5" w:rsidP="00B518D9">
            <w:pPr>
              <w:pStyle w:val="ARtabletextright"/>
              <w:spacing w:before="20" w:after="20"/>
            </w:pPr>
            <w:r w:rsidRPr="002029AF">
              <w:t>0</w:t>
            </w:r>
          </w:p>
        </w:tc>
        <w:tc>
          <w:tcPr>
            <w:tcW w:w="286" w:type="pct"/>
            <w:hideMark/>
          </w:tcPr>
          <w:p w14:paraId="0AAA74E9" w14:textId="77777777" w:rsidR="00CF72D5" w:rsidRPr="002029AF" w:rsidRDefault="00CF72D5" w:rsidP="00B518D9">
            <w:pPr>
              <w:pStyle w:val="ARtabletextright"/>
              <w:spacing w:before="20" w:after="20"/>
            </w:pPr>
            <w:r w:rsidRPr="002029AF">
              <w:t>0</w:t>
            </w:r>
          </w:p>
        </w:tc>
        <w:tc>
          <w:tcPr>
            <w:tcW w:w="320" w:type="pct"/>
            <w:hideMark/>
          </w:tcPr>
          <w:p w14:paraId="4853B336" w14:textId="77777777" w:rsidR="00CF72D5" w:rsidRPr="002029AF" w:rsidRDefault="00CF72D5" w:rsidP="00B518D9">
            <w:pPr>
              <w:pStyle w:val="ARtabletextright"/>
              <w:spacing w:before="20" w:after="20"/>
            </w:pPr>
            <w:r w:rsidRPr="002029AF">
              <w:t>6</w:t>
            </w:r>
          </w:p>
        </w:tc>
        <w:tc>
          <w:tcPr>
            <w:tcW w:w="286" w:type="pct"/>
            <w:hideMark/>
          </w:tcPr>
          <w:p w14:paraId="4E0EEAAB" w14:textId="77777777" w:rsidR="00CF72D5" w:rsidRPr="002029AF" w:rsidRDefault="00CF72D5" w:rsidP="00B518D9">
            <w:pPr>
              <w:pStyle w:val="ARtabletextright"/>
              <w:spacing w:before="20" w:after="20"/>
            </w:pPr>
            <w:r w:rsidRPr="002029AF">
              <w:t>6</w:t>
            </w:r>
          </w:p>
        </w:tc>
        <w:tc>
          <w:tcPr>
            <w:tcW w:w="284" w:type="pct"/>
            <w:hideMark/>
          </w:tcPr>
          <w:p w14:paraId="2D4D89F9" w14:textId="77777777" w:rsidR="00CF72D5" w:rsidRPr="002029AF" w:rsidRDefault="00CF72D5" w:rsidP="00B518D9">
            <w:pPr>
              <w:pStyle w:val="ARtabletextright"/>
              <w:spacing w:before="20" w:after="20"/>
            </w:pPr>
            <w:r w:rsidRPr="002029AF">
              <w:t>4</w:t>
            </w:r>
          </w:p>
        </w:tc>
        <w:tc>
          <w:tcPr>
            <w:tcW w:w="284" w:type="pct"/>
            <w:hideMark/>
          </w:tcPr>
          <w:p w14:paraId="12B2E5DC" w14:textId="77777777" w:rsidR="00CF72D5" w:rsidRPr="002029AF" w:rsidRDefault="00CF72D5" w:rsidP="00B518D9">
            <w:pPr>
              <w:pStyle w:val="ARtabletextright"/>
              <w:spacing w:before="20" w:after="20"/>
            </w:pPr>
            <w:r w:rsidRPr="002029AF">
              <w:t>0</w:t>
            </w:r>
          </w:p>
        </w:tc>
        <w:tc>
          <w:tcPr>
            <w:tcW w:w="286" w:type="pct"/>
            <w:hideMark/>
          </w:tcPr>
          <w:p w14:paraId="7428D893" w14:textId="77777777" w:rsidR="00CF72D5" w:rsidRPr="002029AF" w:rsidRDefault="00CF72D5" w:rsidP="00B518D9">
            <w:pPr>
              <w:pStyle w:val="ARtabletextright"/>
              <w:spacing w:before="20" w:after="20"/>
            </w:pPr>
            <w:r w:rsidRPr="002029AF">
              <w:t>4</w:t>
            </w:r>
          </w:p>
        </w:tc>
        <w:tc>
          <w:tcPr>
            <w:tcW w:w="320" w:type="pct"/>
            <w:hideMark/>
          </w:tcPr>
          <w:p w14:paraId="5E096D52" w14:textId="77777777" w:rsidR="00CF72D5" w:rsidRPr="002029AF" w:rsidRDefault="00CF72D5" w:rsidP="00B518D9">
            <w:pPr>
              <w:pStyle w:val="ARtabletextright"/>
              <w:spacing w:before="20" w:after="20"/>
            </w:pPr>
            <w:r w:rsidRPr="002029AF">
              <w:t>2</w:t>
            </w:r>
          </w:p>
        </w:tc>
        <w:tc>
          <w:tcPr>
            <w:tcW w:w="287" w:type="pct"/>
            <w:hideMark/>
          </w:tcPr>
          <w:p w14:paraId="2AB3CE9D" w14:textId="77777777" w:rsidR="00CF72D5" w:rsidRPr="002029AF" w:rsidRDefault="00CF72D5" w:rsidP="00B518D9">
            <w:pPr>
              <w:pStyle w:val="ARtabletextright"/>
              <w:spacing w:before="20" w:after="20"/>
            </w:pPr>
            <w:r w:rsidRPr="002029AF">
              <w:t>2</w:t>
            </w:r>
          </w:p>
        </w:tc>
      </w:tr>
      <w:tr w:rsidR="001E768A" w:rsidRPr="002029AF" w14:paraId="7F28B779" w14:textId="77777777" w:rsidTr="00192EEE">
        <w:tc>
          <w:tcPr>
            <w:tcW w:w="867" w:type="pct"/>
            <w:hideMark/>
          </w:tcPr>
          <w:p w14:paraId="5258CA0B" w14:textId="447D8075" w:rsidR="00CF72D5" w:rsidRPr="002029AF" w:rsidRDefault="00CF72D5" w:rsidP="00B518D9">
            <w:pPr>
              <w:pStyle w:val="ARtabletext"/>
              <w:spacing w:before="20" w:after="20"/>
            </w:pPr>
            <w:r w:rsidRPr="002029AF">
              <w:t>VPS</w:t>
            </w:r>
            <w:r w:rsidR="000A5329" w:rsidRPr="002029AF">
              <w:t xml:space="preserve"> </w:t>
            </w:r>
            <w:r w:rsidRPr="002029AF">
              <w:t>3</w:t>
            </w:r>
          </w:p>
        </w:tc>
        <w:tc>
          <w:tcPr>
            <w:tcW w:w="320" w:type="pct"/>
            <w:hideMark/>
          </w:tcPr>
          <w:p w14:paraId="334BE369" w14:textId="77777777" w:rsidR="00CF72D5" w:rsidRPr="002029AF" w:rsidRDefault="00CF72D5" w:rsidP="00B518D9">
            <w:pPr>
              <w:pStyle w:val="ARtabletextright"/>
              <w:spacing w:before="20" w:after="20"/>
            </w:pPr>
            <w:r w:rsidRPr="002029AF">
              <w:t>34</w:t>
            </w:r>
          </w:p>
        </w:tc>
        <w:tc>
          <w:tcPr>
            <w:tcW w:w="286" w:type="pct"/>
            <w:hideMark/>
          </w:tcPr>
          <w:p w14:paraId="015FFDB4" w14:textId="77777777" w:rsidR="00CF72D5" w:rsidRPr="002029AF" w:rsidRDefault="00CF72D5" w:rsidP="00B518D9">
            <w:pPr>
              <w:pStyle w:val="ARtabletextright"/>
              <w:spacing w:before="20" w:after="20"/>
            </w:pPr>
            <w:r w:rsidRPr="002029AF">
              <w:t>30.7</w:t>
            </w:r>
          </w:p>
        </w:tc>
        <w:tc>
          <w:tcPr>
            <w:tcW w:w="284" w:type="pct"/>
            <w:hideMark/>
          </w:tcPr>
          <w:p w14:paraId="5A948B9A" w14:textId="77777777" w:rsidR="00CF72D5" w:rsidRPr="002029AF" w:rsidRDefault="00CF72D5" w:rsidP="00B518D9">
            <w:pPr>
              <w:pStyle w:val="ARtabletextright"/>
              <w:spacing w:before="20" w:after="20"/>
            </w:pPr>
            <w:r w:rsidRPr="002029AF">
              <w:t>14</w:t>
            </w:r>
          </w:p>
        </w:tc>
        <w:tc>
          <w:tcPr>
            <w:tcW w:w="284" w:type="pct"/>
            <w:hideMark/>
          </w:tcPr>
          <w:p w14:paraId="0FBC690B" w14:textId="77777777" w:rsidR="00CF72D5" w:rsidRPr="002029AF" w:rsidRDefault="00CF72D5" w:rsidP="00B518D9">
            <w:pPr>
              <w:pStyle w:val="ARtabletextright"/>
              <w:spacing w:before="20" w:after="20"/>
            </w:pPr>
            <w:r w:rsidRPr="002029AF">
              <w:t>8</w:t>
            </w:r>
          </w:p>
        </w:tc>
        <w:tc>
          <w:tcPr>
            <w:tcW w:w="286" w:type="pct"/>
            <w:hideMark/>
          </w:tcPr>
          <w:p w14:paraId="4A167E9F" w14:textId="77777777" w:rsidR="00CF72D5" w:rsidRPr="002029AF" w:rsidRDefault="00CF72D5" w:rsidP="00B518D9">
            <w:pPr>
              <w:pStyle w:val="ARtabletextright"/>
              <w:spacing w:before="20" w:after="20"/>
            </w:pPr>
            <w:r w:rsidRPr="002029AF">
              <w:t>18.8</w:t>
            </w:r>
          </w:p>
        </w:tc>
        <w:tc>
          <w:tcPr>
            <w:tcW w:w="320" w:type="pct"/>
            <w:hideMark/>
          </w:tcPr>
          <w:p w14:paraId="5C04795E" w14:textId="77777777" w:rsidR="00CF72D5" w:rsidRPr="002029AF" w:rsidRDefault="00CF72D5" w:rsidP="00B518D9">
            <w:pPr>
              <w:pStyle w:val="ARtabletextright"/>
              <w:spacing w:before="20" w:after="20"/>
            </w:pPr>
            <w:r w:rsidRPr="002029AF">
              <w:t>12</w:t>
            </w:r>
          </w:p>
        </w:tc>
        <w:tc>
          <w:tcPr>
            <w:tcW w:w="286" w:type="pct"/>
            <w:hideMark/>
          </w:tcPr>
          <w:p w14:paraId="32B102A9" w14:textId="77777777" w:rsidR="00CF72D5" w:rsidRPr="002029AF" w:rsidRDefault="00CF72D5" w:rsidP="00B518D9">
            <w:pPr>
              <w:pStyle w:val="ARtabletextright"/>
              <w:spacing w:before="20" w:after="20"/>
            </w:pPr>
            <w:r w:rsidRPr="002029AF">
              <w:t>11.9</w:t>
            </w:r>
          </w:p>
        </w:tc>
        <w:tc>
          <w:tcPr>
            <w:tcW w:w="320" w:type="pct"/>
            <w:hideMark/>
          </w:tcPr>
          <w:p w14:paraId="4BBFDC5E" w14:textId="77777777" w:rsidR="00CF72D5" w:rsidRPr="002029AF" w:rsidRDefault="00CF72D5" w:rsidP="00B518D9">
            <w:pPr>
              <w:pStyle w:val="ARtabletextright"/>
              <w:spacing w:before="20" w:after="20"/>
            </w:pPr>
            <w:r w:rsidRPr="002029AF">
              <w:t>31</w:t>
            </w:r>
          </w:p>
        </w:tc>
        <w:tc>
          <w:tcPr>
            <w:tcW w:w="286" w:type="pct"/>
            <w:hideMark/>
          </w:tcPr>
          <w:p w14:paraId="1A75ED39" w14:textId="77777777" w:rsidR="00CF72D5" w:rsidRPr="002029AF" w:rsidRDefault="00CF72D5" w:rsidP="00B518D9">
            <w:pPr>
              <w:pStyle w:val="ARtabletextright"/>
              <w:spacing w:before="20" w:after="20"/>
            </w:pPr>
            <w:r w:rsidRPr="002029AF">
              <w:t>27.4</w:t>
            </w:r>
          </w:p>
        </w:tc>
        <w:tc>
          <w:tcPr>
            <w:tcW w:w="284" w:type="pct"/>
            <w:hideMark/>
          </w:tcPr>
          <w:p w14:paraId="391A6CD6" w14:textId="77777777" w:rsidR="00CF72D5" w:rsidRPr="002029AF" w:rsidRDefault="00CF72D5" w:rsidP="00B518D9">
            <w:pPr>
              <w:pStyle w:val="ARtabletextright"/>
              <w:spacing w:before="20" w:after="20"/>
            </w:pPr>
            <w:r w:rsidRPr="002029AF">
              <w:t>10</w:t>
            </w:r>
          </w:p>
        </w:tc>
        <w:tc>
          <w:tcPr>
            <w:tcW w:w="284" w:type="pct"/>
            <w:hideMark/>
          </w:tcPr>
          <w:p w14:paraId="45CE325F" w14:textId="77777777" w:rsidR="00CF72D5" w:rsidRPr="002029AF" w:rsidRDefault="00CF72D5" w:rsidP="00B518D9">
            <w:pPr>
              <w:pStyle w:val="ARtabletextright"/>
              <w:spacing w:before="20" w:after="20"/>
            </w:pPr>
            <w:r w:rsidRPr="002029AF">
              <w:t>8</w:t>
            </w:r>
          </w:p>
        </w:tc>
        <w:tc>
          <w:tcPr>
            <w:tcW w:w="286" w:type="pct"/>
            <w:hideMark/>
          </w:tcPr>
          <w:p w14:paraId="126F3E2E" w14:textId="77777777" w:rsidR="00CF72D5" w:rsidRPr="002029AF" w:rsidRDefault="00CF72D5" w:rsidP="00B518D9">
            <w:pPr>
              <w:pStyle w:val="ARtabletextright"/>
              <w:spacing w:before="20" w:after="20"/>
            </w:pPr>
            <w:r w:rsidRPr="002029AF">
              <w:t>14.7</w:t>
            </w:r>
          </w:p>
        </w:tc>
        <w:tc>
          <w:tcPr>
            <w:tcW w:w="320" w:type="pct"/>
            <w:hideMark/>
          </w:tcPr>
          <w:p w14:paraId="50B1321E" w14:textId="77777777" w:rsidR="00CF72D5" w:rsidRPr="002029AF" w:rsidRDefault="00CF72D5" w:rsidP="00B518D9">
            <w:pPr>
              <w:pStyle w:val="ARtabletextright"/>
              <w:spacing w:before="20" w:after="20"/>
            </w:pPr>
            <w:r w:rsidRPr="002029AF">
              <w:t>13</w:t>
            </w:r>
          </w:p>
        </w:tc>
        <w:tc>
          <w:tcPr>
            <w:tcW w:w="287" w:type="pct"/>
            <w:hideMark/>
          </w:tcPr>
          <w:p w14:paraId="38DC86B6" w14:textId="77777777" w:rsidR="00CF72D5" w:rsidRPr="002029AF" w:rsidRDefault="00CF72D5" w:rsidP="00B518D9">
            <w:pPr>
              <w:pStyle w:val="ARtabletextright"/>
              <w:spacing w:before="20" w:after="20"/>
            </w:pPr>
            <w:r w:rsidRPr="002029AF">
              <w:t>12.7</w:t>
            </w:r>
          </w:p>
        </w:tc>
      </w:tr>
      <w:tr w:rsidR="001E768A" w:rsidRPr="002029AF" w14:paraId="0AE33E3E" w14:textId="77777777" w:rsidTr="00192EEE">
        <w:tc>
          <w:tcPr>
            <w:tcW w:w="867" w:type="pct"/>
            <w:hideMark/>
          </w:tcPr>
          <w:p w14:paraId="5813A879" w14:textId="6326D941" w:rsidR="00CF72D5" w:rsidRPr="002029AF" w:rsidRDefault="00CF72D5" w:rsidP="00B518D9">
            <w:pPr>
              <w:pStyle w:val="ARtabletext"/>
              <w:spacing w:before="20" w:after="20"/>
            </w:pPr>
            <w:r w:rsidRPr="002029AF">
              <w:t>VPS</w:t>
            </w:r>
            <w:r w:rsidR="000A5329" w:rsidRPr="002029AF">
              <w:t xml:space="preserve"> </w:t>
            </w:r>
            <w:r w:rsidRPr="002029AF">
              <w:t>4</w:t>
            </w:r>
          </w:p>
        </w:tc>
        <w:tc>
          <w:tcPr>
            <w:tcW w:w="320" w:type="pct"/>
            <w:hideMark/>
          </w:tcPr>
          <w:p w14:paraId="05330C31" w14:textId="77777777" w:rsidR="00CF72D5" w:rsidRPr="002029AF" w:rsidRDefault="00CF72D5" w:rsidP="00B518D9">
            <w:pPr>
              <w:pStyle w:val="ARtabletextright"/>
              <w:spacing w:before="20" w:after="20"/>
            </w:pPr>
            <w:r w:rsidRPr="002029AF">
              <w:t>30</w:t>
            </w:r>
          </w:p>
        </w:tc>
        <w:tc>
          <w:tcPr>
            <w:tcW w:w="286" w:type="pct"/>
            <w:hideMark/>
          </w:tcPr>
          <w:p w14:paraId="12676C4D" w14:textId="77777777" w:rsidR="00CF72D5" w:rsidRPr="002029AF" w:rsidRDefault="00CF72D5" w:rsidP="00B518D9">
            <w:pPr>
              <w:pStyle w:val="ARtabletextright"/>
              <w:spacing w:before="20" w:after="20"/>
            </w:pPr>
            <w:r w:rsidRPr="002029AF">
              <w:t>29.5</w:t>
            </w:r>
          </w:p>
        </w:tc>
        <w:tc>
          <w:tcPr>
            <w:tcW w:w="284" w:type="pct"/>
            <w:hideMark/>
          </w:tcPr>
          <w:p w14:paraId="24B277CD" w14:textId="77777777" w:rsidR="00CF72D5" w:rsidRPr="002029AF" w:rsidRDefault="00CF72D5" w:rsidP="00B518D9">
            <w:pPr>
              <w:pStyle w:val="ARtabletextright"/>
              <w:spacing w:before="20" w:after="20"/>
            </w:pPr>
            <w:r w:rsidRPr="002029AF">
              <w:t>14</w:t>
            </w:r>
          </w:p>
        </w:tc>
        <w:tc>
          <w:tcPr>
            <w:tcW w:w="284" w:type="pct"/>
            <w:hideMark/>
          </w:tcPr>
          <w:p w14:paraId="6DAAC54B" w14:textId="77777777" w:rsidR="00CF72D5" w:rsidRPr="002029AF" w:rsidRDefault="00CF72D5" w:rsidP="00B518D9">
            <w:pPr>
              <w:pStyle w:val="ARtabletextright"/>
              <w:spacing w:before="20" w:after="20"/>
            </w:pPr>
            <w:r w:rsidRPr="002029AF">
              <w:t>2</w:t>
            </w:r>
          </w:p>
        </w:tc>
        <w:tc>
          <w:tcPr>
            <w:tcW w:w="286" w:type="pct"/>
            <w:hideMark/>
          </w:tcPr>
          <w:p w14:paraId="4B5FB592" w14:textId="77777777" w:rsidR="00CF72D5" w:rsidRPr="002029AF" w:rsidRDefault="00CF72D5" w:rsidP="00B518D9">
            <w:pPr>
              <w:pStyle w:val="ARtabletextright"/>
              <w:spacing w:before="20" w:after="20"/>
            </w:pPr>
            <w:r w:rsidRPr="002029AF">
              <w:t>15.7</w:t>
            </w:r>
          </w:p>
        </w:tc>
        <w:tc>
          <w:tcPr>
            <w:tcW w:w="320" w:type="pct"/>
            <w:hideMark/>
          </w:tcPr>
          <w:p w14:paraId="31C58E76" w14:textId="77777777" w:rsidR="00CF72D5" w:rsidRPr="002029AF" w:rsidRDefault="00CF72D5" w:rsidP="00B518D9">
            <w:pPr>
              <w:pStyle w:val="ARtabletextright"/>
              <w:spacing w:before="20" w:after="20"/>
            </w:pPr>
            <w:r w:rsidRPr="002029AF">
              <w:t>14</w:t>
            </w:r>
          </w:p>
        </w:tc>
        <w:tc>
          <w:tcPr>
            <w:tcW w:w="286" w:type="pct"/>
            <w:hideMark/>
          </w:tcPr>
          <w:p w14:paraId="02F71857" w14:textId="77777777" w:rsidR="00CF72D5" w:rsidRPr="002029AF" w:rsidRDefault="00CF72D5" w:rsidP="00B518D9">
            <w:pPr>
              <w:pStyle w:val="ARtabletextright"/>
              <w:spacing w:before="20" w:after="20"/>
            </w:pPr>
            <w:r w:rsidRPr="002029AF">
              <w:t>13.8</w:t>
            </w:r>
          </w:p>
        </w:tc>
        <w:tc>
          <w:tcPr>
            <w:tcW w:w="320" w:type="pct"/>
            <w:hideMark/>
          </w:tcPr>
          <w:p w14:paraId="5C6D826B" w14:textId="77777777" w:rsidR="00CF72D5" w:rsidRPr="002029AF" w:rsidRDefault="00CF72D5" w:rsidP="00B518D9">
            <w:pPr>
              <w:pStyle w:val="ARtabletextright"/>
              <w:spacing w:before="20" w:after="20"/>
            </w:pPr>
            <w:r w:rsidRPr="002029AF">
              <w:t>37</w:t>
            </w:r>
          </w:p>
        </w:tc>
        <w:tc>
          <w:tcPr>
            <w:tcW w:w="286" w:type="pct"/>
            <w:hideMark/>
          </w:tcPr>
          <w:p w14:paraId="70312148" w14:textId="77777777" w:rsidR="00CF72D5" w:rsidRPr="002029AF" w:rsidRDefault="00CF72D5" w:rsidP="00B518D9">
            <w:pPr>
              <w:pStyle w:val="ARtabletextright"/>
              <w:spacing w:before="20" w:after="20"/>
            </w:pPr>
            <w:r w:rsidRPr="002029AF">
              <w:t>35.7</w:t>
            </w:r>
          </w:p>
        </w:tc>
        <w:tc>
          <w:tcPr>
            <w:tcW w:w="284" w:type="pct"/>
            <w:hideMark/>
          </w:tcPr>
          <w:p w14:paraId="27D6B2E8" w14:textId="77777777" w:rsidR="00CF72D5" w:rsidRPr="002029AF" w:rsidRDefault="00CF72D5" w:rsidP="00B518D9">
            <w:pPr>
              <w:pStyle w:val="ARtabletextright"/>
              <w:spacing w:before="20" w:after="20"/>
            </w:pPr>
            <w:r w:rsidRPr="002029AF">
              <w:t>10</w:t>
            </w:r>
          </w:p>
        </w:tc>
        <w:tc>
          <w:tcPr>
            <w:tcW w:w="284" w:type="pct"/>
            <w:hideMark/>
          </w:tcPr>
          <w:p w14:paraId="729A298C" w14:textId="77777777" w:rsidR="00CF72D5" w:rsidRPr="002029AF" w:rsidRDefault="00CF72D5" w:rsidP="00B518D9">
            <w:pPr>
              <w:pStyle w:val="ARtabletextright"/>
              <w:spacing w:before="20" w:after="20"/>
            </w:pPr>
            <w:r w:rsidRPr="002029AF">
              <w:t>3</w:t>
            </w:r>
          </w:p>
        </w:tc>
        <w:tc>
          <w:tcPr>
            <w:tcW w:w="286" w:type="pct"/>
            <w:hideMark/>
          </w:tcPr>
          <w:p w14:paraId="1F38D3B3" w14:textId="77777777" w:rsidR="00CF72D5" w:rsidRPr="002029AF" w:rsidRDefault="00CF72D5" w:rsidP="00B518D9">
            <w:pPr>
              <w:pStyle w:val="ARtabletextright"/>
              <w:spacing w:before="20" w:after="20"/>
            </w:pPr>
            <w:r w:rsidRPr="002029AF">
              <w:t>12.2</w:t>
            </w:r>
          </w:p>
        </w:tc>
        <w:tc>
          <w:tcPr>
            <w:tcW w:w="320" w:type="pct"/>
            <w:hideMark/>
          </w:tcPr>
          <w:p w14:paraId="621E4CF9" w14:textId="77777777" w:rsidR="00CF72D5" w:rsidRPr="002029AF" w:rsidRDefault="00CF72D5" w:rsidP="00B518D9">
            <w:pPr>
              <w:pStyle w:val="ARtabletextright"/>
              <w:spacing w:before="20" w:after="20"/>
            </w:pPr>
            <w:r w:rsidRPr="002029AF">
              <w:t>24</w:t>
            </w:r>
          </w:p>
        </w:tc>
        <w:tc>
          <w:tcPr>
            <w:tcW w:w="287" w:type="pct"/>
            <w:hideMark/>
          </w:tcPr>
          <w:p w14:paraId="3F7BC938" w14:textId="77777777" w:rsidR="00CF72D5" w:rsidRPr="002029AF" w:rsidRDefault="00CF72D5" w:rsidP="00B518D9">
            <w:pPr>
              <w:pStyle w:val="ARtabletextright"/>
              <w:spacing w:before="20" w:after="20"/>
            </w:pPr>
            <w:r w:rsidRPr="002029AF">
              <w:t>23.5</w:t>
            </w:r>
          </w:p>
        </w:tc>
      </w:tr>
      <w:tr w:rsidR="001E768A" w:rsidRPr="002029AF" w14:paraId="3D1B8C43" w14:textId="77777777" w:rsidTr="00192EEE">
        <w:tc>
          <w:tcPr>
            <w:tcW w:w="867" w:type="pct"/>
            <w:hideMark/>
          </w:tcPr>
          <w:p w14:paraId="4AD77C48" w14:textId="3ED3A8E3" w:rsidR="00CF72D5" w:rsidRPr="002029AF" w:rsidRDefault="00CF72D5" w:rsidP="00B518D9">
            <w:pPr>
              <w:pStyle w:val="ARtabletext"/>
              <w:spacing w:before="20" w:after="20"/>
            </w:pPr>
            <w:r w:rsidRPr="002029AF">
              <w:t>VPS</w:t>
            </w:r>
            <w:r w:rsidR="000A5329" w:rsidRPr="002029AF">
              <w:t xml:space="preserve"> </w:t>
            </w:r>
            <w:r w:rsidRPr="002029AF">
              <w:t>5</w:t>
            </w:r>
          </w:p>
        </w:tc>
        <w:tc>
          <w:tcPr>
            <w:tcW w:w="320" w:type="pct"/>
            <w:hideMark/>
          </w:tcPr>
          <w:p w14:paraId="47C7B2FE" w14:textId="77777777" w:rsidR="00CF72D5" w:rsidRPr="002029AF" w:rsidRDefault="00CF72D5" w:rsidP="00B518D9">
            <w:pPr>
              <w:pStyle w:val="ARtabletextright"/>
              <w:spacing w:before="20" w:after="20"/>
            </w:pPr>
            <w:r w:rsidRPr="002029AF">
              <w:t>81</w:t>
            </w:r>
          </w:p>
        </w:tc>
        <w:tc>
          <w:tcPr>
            <w:tcW w:w="286" w:type="pct"/>
            <w:hideMark/>
          </w:tcPr>
          <w:p w14:paraId="532A9622" w14:textId="77777777" w:rsidR="00CF72D5" w:rsidRPr="002029AF" w:rsidRDefault="00CF72D5" w:rsidP="00B518D9">
            <w:pPr>
              <w:pStyle w:val="ARtabletextright"/>
              <w:spacing w:before="20" w:after="20"/>
            </w:pPr>
            <w:r w:rsidRPr="002029AF">
              <w:t>77.1</w:t>
            </w:r>
          </w:p>
        </w:tc>
        <w:tc>
          <w:tcPr>
            <w:tcW w:w="284" w:type="pct"/>
            <w:hideMark/>
          </w:tcPr>
          <w:p w14:paraId="23CE8AB8" w14:textId="77777777" w:rsidR="00CF72D5" w:rsidRPr="002029AF" w:rsidRDefault="00CF72D5" w:rsidP="00B518D9">
            <w:pPr>
              <w:pStyle w:val="ARtabletextright"/>
              <w:spacing w:before="20" w:after="20"/>
            </w:pPr>
            <w:r w:rsidRPr="002029AF">
              <w:t>31</w:t>
            </w:r>
          </w:p>
        </w:tc>
        <w:tc>
          <w:tcPr>
            <w:tcW w:w="284" w:type="pct"/>
            <w:hideMark/>
          </w:tcPr>
          <w:p w14:paraId="45AC6BB1" w14:textId="77777777" w:rsidR="00CF72D5" w:rsidRPr="002029AF" w:rsidRDefault="00CF72D5" w:rsidP="00B518D9">
            <w:pPr>
              <w:pStyle w:val="ARtabletextright"/>
              <w:spacing w:before="20" w:after="20"/>
            </w:pPr>
            <w:r w:rsidRPr="002029AF">
              <w:t>12</w:t>
            </w:r>
          </w:p>
        </w:tc>
        <w:tc>
          <w:tcPr>
            <w:tcW w:w="286" w:type="pct"/>
            <w:hideMark/>
          </w:tcPr>
          <w:p w14:paraId="02AC3DA5" w14:textId="77777777" w:rsidR="00CF72D5" w:rsidRPr="002029AF" w:rsidRDefault="00CF72D5" w:rsidP="00B518D9">
            <w:pPr>
              <w:pStyle w:val="ARtabletextright"/>
              <w:spacing w:before="20" w:after="20"/>
            </w:pPr>
            <w:r w:rsidRPr="002029AF">
              <w:t>40.5</w:t>
            </w:r>
          </w:p>
        </w:tc>
        <w:tc>
          <w:tcPr>
            <w:tcW w:w="320" w:type="pct"/>
            <w:hideMark/>
          </w:tcPr>
          <w:p w14:paraId="24C59C57" w14:textId="77777777" w:rsidR="00CF72D5" w:rsidRPr="002029AF" w:rsidRDefault="00CF72D5" w:rsidP="00B518D9">
            <w:pPr>
              <w:pStyle w:val="ARtabletextright"/>
              <w:spacing w:before="20" w:after="20"/>
            </w:pPr>
            <w:r w:rsidRPr="002029AF">
              <w:t>38</w:t>
            </w:r>
          </w:p>
        </w:tc>
        <w:tc>
          <w:tcPr>
            <w:tcW w:w="286" w:type="pct"/>
            <w:hideMark/>
          </w:tcPr>
          <w:p w14:paraId="4C0B6E54" w14:textId="77777777" w:rsidR="00CF72D5" w:rsidRPr="002029AF" w:rsidRDefault="00CF72D5" w:rsidP="00B518D9">
            <w:pPr>
              <w:pStyle w:val="ARtabletextright"/>
              <w:spacing w:before="20" w:after="20"/>
            </w:pPr>
            <w:r w:rsidRPr="002029AF">
              <w:t>36.6</w:t>
            </w:r>
          </w:p>
        </w:tc>
        <w:tc>
          <w:tcPr>
            <w:tcW w:w="320" w:type="pct"/>
            <w:hideMark/>
          </w:tcPr>
          <w:p w14:paraId="6D946A40" w14:textId="77777777" w:rsidR="00CF72D5" w:rsidRPr="002029AF" w:rsidRDefault="00CF72D5" w:rsidP="00B518D9">
            <w:pPr>
              <w:pStyle w:val="ARtabletextright"/>
              <w:spacing w:before="20" w:after="20"/>
            </w:pPr>
            <w:r w:rsidRPr="002029AF">
              <w:t>113</w:t>
            </w:r>
          </w:p>
        </w:tc>
        <w:tc>
          <w:tcPr>
            <w:tcW w:w="286" w:type="pct"/>
            <w:hideMark/>
          </w:tcPr>
          <w:p w14:paraId="71BCFC01" w14:textId="77777777" w:rsidR="00CF72D5" w:rsidRPr="002029AF" w:rsidRDefault="00CF72D5" w:rsidP="00B518D9">
            <w:pPr>
              <w:pStyle w:val="ARtabletextright"/>
              <w:spacing w:before="20" w:after="20"/>
            </w:pPr>
            <w:r w:rsidRPr="002029AF">
              <w:t>105.8</w:t>
            </w:r>
          </w:p>
        </w:tc>
        <w:tc>
          <w:tcPr>
            <w:tcW w:w="284" w:type="pct"/>
            <w:hideMark/>
          </w:tcPr>
          <w:p w14:paraId="7A1C9BC9" w14:textId="77777777" w:rsidR="00CF72D5" w:rsidRPr="002029AF" w:rsidRDefault="00CF72D5" w:rsidP="00B518D9">
            <w:pPr>
              <w:pStyle w:val="ARtabletextright"/>
              <w:spacing w:before="20" w:after="20"/>
            </w:pPr>
            <w:r w:rsidRPr="002029AF">
              <w:t>36</w:t>
            </w:r>
          </w:p>
        </w:tc>
        <w:tc>
          <w:tcPr>
            <w:tcW w:w="284" w:type="pct"/>
            <w:hideMark/>
          </w:tcPr>
          <w:p w14:paraId="36915DBD" w14:textId="77777777" w:rsidR="00CF72D5" w:rsidRPr="002029AF" w:rsidRDefault="00CF72D5" w:rsidP="00B518D9">
            <w:pPr>
              <w:pStyle w:val="ARtabletextright"/>
              <w:spacing w:before="20" w:after="20"/>
            </w:pPr>
            <w:r w:rsidRPr="002029AF">
              <w:t>18</w:t>
            </w:r>
          </w:p>
        </w:tc>
        <w:tc>
          <w:tcPr>
            <w:tcW w:w="286" w:type="pct"/>
            <w:hideMark/>
          </w:tcPr>
          <w:p w14:paraId="01C5EEE9" w14:textId="77777777" w:rsidR="00CF72D5" w:rsidRPr="002029AF" w:rsidRDefault="00CF72D5" w:rsidP="00B518D9">
            <w:pPr>
              <w:pStyle w:val="ARtabletextright"/>
              <w:spacing w:before="20" w:after="20"/>
            </w:pPr>
            <w:r w:rsidRPr="002029AF">
              <w:t>49.5</w:t>
            </w:r>
          </w:p>
        </w:tc>
        <w:tc>
          <w:tcPr>
            <w:tcW w:w="320" w:type="pct"/>
            <w:hideMark/>
          </w:tcPr>
          <w:p w14:paraId="216B0C8E" w14:textId="77777777" w:rsidR="00CF72D5" w:rsidRPr="002029AF" w:rsidRDefault="00CF72D5" w:rsidP="00B518D9">
            <w:pPr>
              <w:pStyle w:val="ARtabletextright"/>
              <w:spacing w:before="20" w:after="20"/>
            </w:pPr>
            <w:r w:rsidRPr="002029AF">
              <w:t>59</w:t>
            </w:r>
          </w:p>
        </w:tc>
        <w:tc>
          <w:tcPr>
            <w:tcW w:w="287" w:type="pct"/>
            <w:hideMark/>
          </w:tcPr>
          <w:p w14:paraId="22CD6800" w14:textId="77777777" w:rsidR="00CF72D5" w:rsidRPr="002029AF" w:rsidRDefault="00CF72D5" w:rsidP="00B518D9">
            <w:pPr>
              <w:pStyle w:val="ARtabletextright"/>
              <w:spacing w:before="20" w:after="20"/>
            </w:pPr>
            <w:r w:rsidRPr="002029AF">
              <w:t>56.3</w:t>
            </w:r>
          </w:p>
        </w:tc>
      </w:tr>
      <w:tr w:rsidR="001E768A" w:rsidRPr="002029AF" w14:paraId="5DE24B53" w14:textId="77777777" w:rsidTr="00192EEE">
        <w:tc>
          <w:tcPr>
            <w:tcW w:w="867" w:type="pct"/>
            <w:hideMark/>
          </w:tcPr>
          <w:p w14:paraId="64E0AC05" w14:textId="5D4D46E6" w:rsidR="00CF72D5" w:rsidRPr="002029AF" w:rsidRDefault="00CF72D5" w:rsidP="00B518D9">
            <w:pPr>
              <w:pStyle w:val="ARtabletext"/>
              <w:spacing w:before="20" w:after="20"/>
            </w:pPr>
            <w:r w:rsidRPr="002029AF">
              <w:t>VPS</w:t>
            </w:r>
            <w:r w:rsidR="000A5329" w:rsidRPr="002029AF">
              <w:t xml:space="preserve"> </w:t>
            </w:r>
            <w:r w:rsidRPr="002029AF">
              <w:t>6</w:t>
            </w:r>
          </w:p>
        </w:tc>
        <w:tc>
          <w:tcPr>
            <w:tcW w:w="320" w:type="pct"/>
            <w:hideMark/>
          </w:tcPr>
          <w:p w14:paraId="1A34392D" w14:textId="77777777" w:rsidR="00CF72D5" w:rsidRPr="002029AF" w:rsidRDefault="00CF72D5" w:rsidP="00B518D9">
            <w:pPr>
              <w:pStyle w:val="ARtabletextright"/>
              <w:spacing w:before="20" w:after="20"/>
            </w:pPr>
            <w:r w:rsidRPr="002029AF">
              <w:t>77</w:t>
            </w:r>
          </w:p>
        </w:tc>
        <w:tc>
          <w:tcPr>
            <w:tcW w:w="286" w:type="pct"/>
            <w:hideMark/>
          </w:tcPr>
          <w:p w14:paraId="60822267" w14:textId="77777777" w:rsidR="00CF72D5" w:rsidRPr="002029AF" w:rsidRDefault="00CF72D5" w:rsidP="00B518D9">
            <w:pPr>
              <w:pStyle w:val="ARtabletextright"/>
              <w:spacing w:before="20" w:after="20"/>
            </w:pPr>
            <w:r w:rsidRPr="002029AF">
              <w:t>74.5</w:t>
            </w:r>
          </w:p>
        </w:tc>
        <w:tc>
          <w:tcPr>
            <w:tcW w:w="284" w:type="pct"/>
            <w:hideMark/>
          </w:tcPr>
          <w:p w14:paraId="7B6EA5F3" w14:textId="77777777" w:rsidR="00CF72D5" w:rsidRPr="002029AF" w:rsidRDefault="00CF72D5" w:rsidP="00B518D9">
            <w:pPr>
              <w:pStyle w:val="ARtabletextright"/>
              <w:spacing w:before="20" w:after="20"/>
            </w:pPr>
            <w:r w:rsidRPr="002029AF">
              <w:t>41</w:t>
            </w:r>
          </w:p>
        </w:tc>
        <w:tc>
          <w:tcPr>
            <w:tcW w:w="284" w:type="pct"/>
            <w:hideMark/>
          </w:tcPr>
          <w:p w14:paraId="5EE167FE" w14:textId="77777777" w:rsidR="00CF72D5" w:rsidRPr="002029AF" w:rsidRDefault="00CF72D5" w:rsidP="00B518D9">
            <w:pPr>
              <w:pStyle w:val="ARtabletextright"/>
              <w:spacing w:before="20" w:after="20"/>
            </w:pPr>
            <w:r w:rsidRPr="002029AF">
              <w:t>10</w:t>
            </w:r>
          </w:p>
        </w:tc>
        <w:tc>
          <w:tcPr>
            <w:tcW w:w="286" w:type="pct"/>
            <w:hideMark/>
          </w:tcPr>
          <w:p w14:paraId="085F59E9" w14:textId="77777777" w:rsidR="00CF72D5" w:rsidRPr="002029AF" w:rsidRDefault="00CF72D5" w:rsidP="00B518D9">
            <w:pPr>
              <w:pStyle w:val="ARtabletextright"/>
              <w:spacing w:before="20" w:after="20"/>
            </w:pPr>
            <w:r w:rsidRPr="002029AF">
              <w:t>49.4</w:t>
            </w:r>
          </w:p>
        </w:tc>
        <w:tc>
          <w:tcPr>
            <w:tcW w:w="320" w:type="pct"/>
            <w:hideMark/>
          </w:tcPr>
          <w:p w14:paraId="4D0902EE" w14:textId="77777777" w:rsidR="00CF72D5" w:rsidRPr="002029AF" w:rsidRDefault="00CF72D5" w:rsidP="00B518D9">
            <w:pPr>
              <w:pStyle w:val="ARtabletextright"/>
              <w:spacing w:before="20" w:after="20"/>
            </w:pPr>
            <w:r w:rsidRPr="002029AF">
              <w:t>26</w:t>
            </w:r>
          </w:p>
        </w:tc>
        <w:tc>
          <w:tcPr>
            <w:tcW w:w="286" w:type="pct"/>
            <w:hideMark/>
          </w:tcPr>
          <w:p w14:paraId="6DC242A5" w14:textId="77777777" w:rsidR="00CF72D5" w:rsidRPr="002029AF" w:rsidRDefault="00CF72D5" w:rsidP="00B518D9">
            <w:pPr>
              <w:pStyle w:val="ARtabletextright"/>
              <w:spacing w:before="20" w:after="20"/>
            </w:pPr>
            <w:r w:rsidRPr="002029AF">
              <w:t>25.1</w:t>
            </w:r>
          </w:p>
        </w:tc>
        <w:tc>
          <w:tcPr>
            <w:tcW w:w="320" w:type="pct"/>
            <w:hideMark/>
          </w:tcPr>
          <w:p w14:paraId="50839A25" w14:textId="77777777" w:rsidR="00CF72D5" w:rsidRPr="002029AF" w:rsidRDefault="00CF72D5" w:rsidP="00B518D9">
            <w:pPr>
              <w:pStyle w:val="ARtabletextright"/>
              <w:spacing w:before="20" w:after="20"/>
            </w:pPr>
            <w:r w:rsidRPr="002029AF">
              <w:t>82</w:t>
            </w:r>
          </w:p>
        </w:tc>
        <w:tc>
          <w:tcPr>
            <w:tcW w:w="286" w:type="pct"/>
            <w:hideMark/>
          </w:tcPr>
          <w:p w14:paraId="63BD4DFD" w14:textId="77777777" w:rsidR="00CF72D5" w:rsidRPr="002029AF" w:rsidRDefault="00CF72D5" w:rsidP="00B518D9">
            <w:pPr>
              <w:pStyle w:val="ARtabletextright"/>
              <w:spacing w:before="20" w:after="20"/>
            </w:pPr>
            <w:r w:rsidRPr="002029AF">
              <w:t>77.3</w:t>
            </w:r>
          </w:p>
        </w:tc>
        <w:tc>
          <w:tcPr>
            <w:tcW w:w="284" w:type="pct"/>
            <w:hideMark/>
          </w:tcPr>
          <w:p w14:paraId="7065C6DD" w14:textId="77777777" w:rsidR="00CF72D5" w:rsidRPr="002029AF" w:rsidRDefault="00CF72D5" w:rsidP="00B518D9">
            <w:pPr>
              <w:pStyle w:val="ARtabletextright"/>
              <w:spacing w:before="20" w:after="20"/>
            </w:pPr>
            <w:r w:rsidRPr="002029AF">
              <w:t>38</w:t>
            </w:r>
          </w:p>
        </w:tc>
        <w:tc>
          <w:tcPr>
            <w:tcW w:w="284" w:type="pct"/>
            <w:hideMark/>
          </w:tcPr>
          <w:p w14:paraId="0B8AF1F7" w14:textId="77777777" w:rsidR="00CF72D5" w:rsidRPr="002029AF" w:rsidRDefault="00CF72D5" w:rsidP="00B518D9">
            <w:pPr>
              <w:pStyle w:val="ARtabletextright"/>
              <w:spacing w:before="20" w:after="20"/>
            </w:pPr>
            <w:r w:rsidRPr="002029AF">
              <w:t>13</w:t>
            </w:r>
          </w:p>
        </w:tc>
        <w:tc>
          <w:tcPr>
            <w:tcW w:w="286" w:type="pct"/>
            <w:hideMark/>
          </w:tcPr>
          <w:p w14:paraId="6C7156F0" w14:textId="77777777" w:rsidR="00CF72D5" w:rsidRPr="002029AF" w:rsidRDefault="00CF72D5" w:rsidP="00B518D9">
            <w:pPr>
              <w:pStyle w:val="ARtabletextright"/>
              <w:spacing w:before="20" w:after="20"/>
            </w:pPr>
            <w:r w:rsidRPr="002029AF">
              <w:t>48.3</w:t>
            </w:r>
          </w:p>
        </w:tc>
        <w:tc>
          <w:tcPr>
            <w:tcW w:w="320" w:type="pct"/>
            <w:hideMark/>
          </w:tcPr>
          <w:p w14:paraId="53211698" w14:textId="77777777" w:rsidR="00CF72D5" w:rsidRPr="002029AF" w:rsidRDefault="00CF72D5" w:rsidP="00B518D9">
            <w:pPr>
              <w:pStyle w:val="ARtabletextright"/>
              <w:spacing w:before="20" w:after="20"/>
            </w:pPr>
            <w:r w:rsidRPr="002029AF">
              <w:t>31</w:t>
            </w:r>
          </w:p>
        </w:tc>
        <w:tc>
          <w:tcPr>
            <w:tcW w:w="287" w:type="pct"/>
            <w:hideMark/>
          </w:tcPr>
          <w:p w14:paraId="376CA427" w14:textId="77777777" w:rsidR="00CF72D5" w:rsidRPr="002029AF" w:rsidRDefault="00CF72D5" w:rsidP="00B518D9">
            <w:pPr>
              <w:pStyle w:val="ARtabletextright"/>
              <w:spacing w:before="20" w:after="20"/>
            </w:pPr>
            <w:r w:rsidRPr="002029AF">
              <w:t>29</w:t>
            </w:r>
          </w:p>
        </w:tc>
      </w:tr>
      <w:tr w:rsidR="001E768A" w:rsidRPr="002029AF" w14:paraId="7B5180B1" w14:textId="77777777" w:rsidTr="00192EEE">
        <w:tc>
          <w:tcPr>
            <w:tcW w:w="867" w:type="pct"/>
            <w:hideMark/>
          </w:tcPr>
          <w:p w14:paraId="4D70A337" w14:textId="09AF373D" w:rsidR="00CF72D5" w:rsidRPr="002029AF" w:rsidRDefault="00CF72D5" w:rsidP="00B518D9">
            <w:pPr>
              <w:pStyle w:val="ARtabletext"/>
              <w:spacing w:before="20" w:after="20"/>
            </w:pPr>
            <w:r w:rsidRPr="002029AF">
              <w:t>Child</w:t>
            </w:r>
            <w:r w:rsidR="000A5329" w:rsidRPr="002029AF">
              <w:t xml:space="preserve"> </w:t>
            </w:r>
            <w:r w:rsidRPr="002029AF">
              <w:t>Protection</w:t>
            </w:r>
          </w:p>
        </w:tc>
        <w:tc>
          <w:tcPr>
            <w:tcW w:w="320" w:type="pct"/>
            <w:hideMark/>
          </w:tcPr>
          <w:p w14:paraId="75325CAE" w14:textId="77777777" w:rsidR="00CF72D5" w:rsidRPr="002029AF" w:rsidRDefault="00CF72D5" w:rsidP="00B518D9">
            <w:pPr>
              <w:pStyle w:val="ARtabletextright"/>
              <w:spacing w:before="20" w:after="20"/>
            </w:pPr>
            <w:r w:rsidRPr="002029AF">
              <w:t>15</w:t>
            </w:r>
          </w:p>
        </w:tc>
        <w:tc>
          <w:tcPr>
            <w:tcW w:w="286" w:type="pct"/>
            <w:hideMark/>
          </w:tcPr>
          <w:p w14:paraId="281A680A" w14:textId="77777777" w:rsidR="00CF72D5" w:rsidRPr="002029AF" w:rsidRDefault="00CF72D5" w:rsidP="00B518D9">
            <w:pPr>
              <w:pStyle w:val="ARtabletextright"/>
              <w:spacing w:before="20" w:after="20"/>
            </w:pPr>
            <w:r w:rsidRPr="002029AF">
              <w:t>13.5</w:t>
            </w:r>
          </w:p>
        </w:tc>
        <w:tc>
          <w:tcPr>
            <w:tcW w:w="284" w:type="pct"/>
            <w:hideMark/>
          </w:tcPr>
          <w:p w14:paraId="1815FF9B" w14:textId="77777777" w:rsidR="00CF72D5" w:rsidRPr="002029AF" w:rsidRDefault="00CF72D5" w:rsidP="00B518D9">
            <w:pPr>
              <w:pStyle w:val="ARtabletextright"/>
              <w:spacing w:before="20" w:after="20"/>
            </w:pPr>
            <w:r w:rsidRPr="002029AF">
              <w:t>9</w:t>
            </w:r>
          </w:p>
        </w:tc>
        <w:tc>
          <w:tcPr>
            <w:tcW w:w="284" w:type="pct"/>
            <w:hideMark/>
          </w:tcPr>
          <w:p w14:paraId="1EFBAB16" w14:textId="77777777" w:rsidR="00CF72D5" w:rsidRPr="002029AF" w:rsidRDefault="00CF72D5" w:rsidP="00B518D9">
            <w:pPr>
              <w:pStyle w:val="ARtabletextright"/>
              <w:spacing w:before="20" w:after="20"/>
            </w:pPr>
            <w:r w:rsidRPr="002029AF">
              <w:t>4</w:t>
            </w:r>
          </w:p>
        </w:tc>
        <w:tc>
          <w:tcPr>
            <w:tcW w:w="286" w:type="pct"/>
            <w:hideMark/>
          </w:tcPr>
          <w:p w14:paraId="37DF334C" w14:textId="77777777" w:rsidR="00CF72D5" w:rsidRPr="002029AF" w:rsidRDefault="00CF72D5" w:rsidP="00B518D9">
            <w:pPr>
              <w:pStyle w:val="ARtabletextright"/>
              <w:spacing w:before="20" w:after="20"/>
            </w:pPr>
            <w:r w:rsidRPr="002029AF">
              <w:t>11.5</w:t>
            </w:r>
          </w:p>
        </w:tc>
        <w:tc>
          <w:tcPr>
            <w:tcW w:w="320" w:type="pct"/>
            <w:hideMark/>
          </w:tcPr>
          <w:p w14:paraId="08BFCF51" w14:textId="77777777" w:rsidR="00CF72D5" w:rsidRPr="002029AF" w:rsidRDefault="00CF72D5" w:rsidP="00B518D9">
            <w:pPr>
              <w:pStyle w:val="ARtabletextright"/>
              <w:spacing w:before="20" w:after="20"/>
            </w:pPr>
            <w:r w:rsidRPr="002029AF">
              <w:t>2</w:t>
            </w:r>
          </w:p>
        </w:tc>
        <w:tc>
          <w:tcPr>
            <w:tcW w:w="286" w:type="pct"/>
            <w:hideMark/>
          </w:tcPr>
          <w:p w14:paraId="41810EB2" w14:textId="77777777" w:rsidR="00CF72D5" w:rsidRPr="002029AF" w:rsidRDefault="00CF72D5" w:rsidP="00B518D9">
            <w:pPr>
              <w:pStyle w:val="ARtabletextright"/>
              <w:spacing w:before="20" w:after="20"/>
            </w:pPr>
            <w:r w:rsidRPr="002029AF">
              <w:t>2</w:t>
            </w:r>
          </w:p>
        </w:tc>
        <w:tc>
          <w:tcPr>
            <w:tcW w:w="320" w:type="pct"/>
            <w:hideMark/>
          </w:tcPr>
          <w:p w14:paraId="0F1DAC51" w14:textId="77777777" w:rsidR="00CF72D5" w:rsidRPr="002029AF" w:rsidRDefault="00CF72D5" w:rsidP="00B518D9">
            <w:pPr>
              <w:pStyle w:val="ARtabletextright"/>
              <w:spacing w:before="20" w:after="20"/>
            </w:pPr>
            <w:r w:rsidRPr="002029AF">
              <w:t>14</w:t>
            </w:r>
          </w:p>
        </w:tc>
        <w:tc>
          <w:tcPr>
            <w:tcW w:w="286" w:type="pct"/>
            <w:hideMark/>
          </w:tcPr>
          <w:p w14:paraId="00685740" w14:textId="77777777" w:rsidR="00CF72D5" w:rsidRPr="002029AF" w:rsidRDefault="00CF72D5" w:rsidP="00B518D9">
            <w:pPr>
              <w:pStyle w:val="ARtabletextright"/>
              <w:spacing w:before="20" w:after="20"/>
            </w:pPr>
            <w:r w:rsidRPr="002029AF">
              <w:t>11.9</w:t>
            </w:r>
          </w:p>
        </w:tc>
        <w:tc>
          <w:tcPr>
            <w:tcW w:w="284" w:type="pct"/>
            <w:hideMark/>
          </w:tcPr>
          <w:p w14:paraId="3DE7F217" w14:textId="77777777" w:rsidR="00CF72D5" w:rsidRPr="002029AF" w:rsidRDefault="00CF72D5" w:rsidP="00B518D9">
            <w:pPr>
              <w:pStyle w:val="ARtabletextright"/>
              <w:spacing w:before="20" w:after="20"/>
            </w:pPr>
            <w:r w:rsidRPr="002029AF">
              <w:t>9</w:t>
            </w:r>
          </w:p>
        </w:tc>
        <w:tc>
          <w:tcPr>
            <w:tcW w:w="284" w:type="pct"/>
            <w:hideMark/>
          </w:tcPr>
          <w:p w14:paraId="063F2CE9" w14:textId="77777777" w:rsidR="00CF72D5" w:rsidRPr="002029AF" w:rsidRDefault="00CF72D5" w:rsidP="00B518D9">
            <w:pPr>
              <w:pStyle w:val="ARtabletextright"/>
              <w:spacing w:before="20" w:after="20"/>
            </w:pPr>
            <w:r w:rsidRPr="002029AF">
              <w:t>5</w:t>
            </w:r>
          </w:p>
        </w:tc>
        <w:tc>
          <w:tcPr>
            <w:tcW w:w="286" w:type="pct"/>
            <w:hideMark/>
          </w:tcPr>
          <w:p w14:paraId="40AA8C42" w14:textId="77777777" w:rsidR="00CF72D5" w:rsidRPr="002029AF" w:rsidRDefault="00CF72D5" w:rsidP="00B518D9">
            <w:pPr>
              <w:pStyle w:val="ARtabletextright"/>
              <w:spacing w:before="20" w:after="20"/>
            </w:pPr>
            <w:r w:rsidRPr="002029AF">
              <w:t>11.9</w:t>
            </w:r>
          </w:p>
        </w:tc>
        <w:tc>
          <w:tcPr>
            <w:tcW w:w="320" w:type="pct"/>
            <w:hideMark/>
          </w:tcPr>
          <w:p w14:paraId="69D3A0DB" w14:textId="77777777" w:rsidR="00CF72D5" w:rsidRPr="002029AF" w:rsidRDefault="00CF72D5" w:rsidP="00B518D9">
            <w:pPr>
              <w:pStyle w:val="ARtabletextright"/>
              <w:spacing w:before="20" w:after="20"/>
            </w:pPr>
            <w:r w:rsidRPr="002029AF">
              <w:t>0</w:t>
            </w:r>
          </w:p>
        </w:tc>
        <w:tc>
          <w:tcPr>
            <w:tcW w:w="287" w:type="pct"/>
            <w:hideMark/>
          </w:tcPr>
          <w:p w14:paraId="76CEEC70" w14:textId="77777777" w:rsidR="00CF72D5" w:rsidRPr="002029AF" w:rsidRDefault="00CF72D5" w:rsidP="00B518D9">
            <w:pPr>
              <w:pStyle w:val="ARtabletextright"/>
              <w:spacing w:before="20" w:after="20"/>
            </w:pPr>
            <w:r w:rsidRPr="002029AF">
              <w:t>0</w:t>
            </w:r>
          </w:p>
        </w:tc>
      </w:tr>
      <w:tr w:rsidR="001E768A" w:rsidRPr="002029AF" w14:paraId="72E74363" w14:textId="77777777" w:rsidTr="00192EEE">
        <w:tc>
          <w:tcPr>
            <w:tcW w:w="867" w:type="pct"/>
            <w:hideMark/>
          </w:tcPr>
          <w:p w14:paraId="00C2F7D2" w14:textId="2DE6EA3F" w:rsidR="00CF72D5" w:rsidRPr="002029AF" w:rsidRDefault="00A763C6" w:rsidP="00B518D9">
            <w:pPr>
              <w:pStyle w:val="ARtabletext"/>
              <w:spacing w:before="20" w:after="20"/>
            </w:pPr>
            <w:r w:rsidRPr="002029AF">
              <w:t>STS</w:t>
            </w:r>
          </w:p>
        </w:tc>
        <w:tc>
          <w:tcPr>
            <w:tcW w:w="320" w:type="pct"/>
            <w:hideMark/>
          </w:tcPr>
          <w:p w14:paraId="52A9EDF5" w14:textId="77777777" w:rsidR="00CF72D5" w:rsidRPr="002029AF" w:rsidRDefault="00CF72D5" w:rsidP="00B518D9">
            <w:pPr>
              <w:pStyle w:val="ARtabletextright"/>
              <w:spacing w:before="20" w:after="20"/>
              <w:rPr>
                <w:highlight w:val="yellow"/>
              </w:rPr>
            </w:pPr>
            <w:r w:rsidRPr="002029AF">
              <w:t>4</w:t>
            </w:r>
          </w:p>
        </w:tc>
        <w:tc>
          <w:tcPr>
            <w:tcW w:w="286" w:type="pct"/>
            <w:hideMark/>
          </w:tcPr>
          <w:p w14:paraId="5C1AB276" w14:textId="77777777" w:rsidR="00CF72D5" w:rsidRPr="002029AF" w:rsidRDefault="00CF72D5" w:rsidP="00B518D9">
            <w:pPr>
              <w:pStyle w:val="ARtabletextright"/>
              <w:spacing w:before="20" w:after="20"/>
            </w:pPr>
            <w:r w:rsidRPr="002029AF">
              <w:t>4</w:t>
            </w:r>
          </w:p>
        </w:tc>
        <w:tc>
          <w:tcPr>
            <w:tcW w:w="284" w:type="pct"/>
            <w:hideMark/>
          </w:tcPr>
          <w:p w14:paraId="073D31BC" w14:textId="77777777" w:rsidR="00CF72D5" w:rsidRPr="002029AF" w:rsidRDefault="00CF72D5" w:rsidP="00B518D9">
            <w:pPr>
              <w:pStyle w:val="ARtabletextright"/>
              <w:spacing w:before="20" w:after="20"/>
            </w:pPr>
            <w:r w:rsidRPr="002029AF">
              <w:t>1</w:t>
            </w:r>
          </w:p>
        </w:tc>
        <w:tc>
          <w:tcPr>
            <w:tcW w:w="284" w:type="pct"/>
            <w:hideMark/>
          </w:tcPr>
          <w:p w14:paraId="51A9BD1B" w14:textId="77777777" w:rsidR="00CF72D5" w:rsidRPr="002029AF" w:rsidRDefault="00CF72D5" w:rsidP="00B518D9">
            <w:pPr>
              <w:pStyle w:val="ARtabletextright"/>
              <w:spacing w:before="20" w:after="20"/>
            </w:pPr>
            <w:r w:rsidRPr="002029AF">
              <w:t>0</w:t>
            </w:r>
          </w:p>
        </w:tc>
        <w:tc>
          <w:tcPr>
            <w:tcW w:w="286" w:type="pct"/>
            <w:hideMark/>
          </w:tcPr>
          <w:p w14:paraId="77C89D68" w14:textId="77777777" w:rsidR="00CF72D5" w:rsidRPr="002029AF" w:rsidRDefault="00CF72D5" w:rsidP="00B518D9">
            <w:pPr>
              <w:pStyle w:val="ARtabletextright"/>
              <w:spacing w:before="20" w:after="20"/>
            </w:pPr>
            <w:r w:rsidRPr="002029AF">
              <w:t>1</w:t>
            </w:r>
          </w:p>
        </w:tc>
        <w:tc>
          <w:tcPr>
            <w:tcW w:w="320" w:type="pct"/>
            <w:hideMark/>
          </w:tcPr>
          <w:p w14:paraId="664B8E7F" w14:textId="77777777" w:rsidR="00CF72D5" w:rsidRPr="002029AF" w:rsidRDefault="00CF72D5" w:rsidP="00B518D9">
            <w:pPr>
              <w:pStyle w:val="ARtabletextright"/>
              <w:spacing w:before="20" w:after="20"/>
            </w:pPr>
            <w:r w:rsidRPr="002029AF">
              <w:t>3</w:t>
            </w:r>
          </w:p>
        </w:tc>
        <w:tc>
          <w:tcPr>
            <w:tcW w:w="286" w:type="pct"/>
            <w:hideMark/>
          </w:tcPr>
          <w:p w14:paraId="7BA697BE" w14:textId="77777777" w:rsidR="00CF72D5" w:rsidRPr="002029AF" w:rsidRDefault="00CF72D5" w:rsidP="00B518D9">
            <w:pPr>
              <w:pStyle w:val="ARtabletextright"/>
              <w:spacing w:before="20" w:after="20"/>
            </w:pPr>
            <w:r w:rsidRPr="002029AF">
              <w:t>3</w:t>
            </w:r>
          </w:p>
        </w:tc>
        <w:tc>
          <w:tcPr>
            <w:tcW w:w="320" w:type="pct"/>
            <w:hideMark/>
          </w:tcPr>
          <w:p w14:paraId="41184CA9" w14:textId="77777777" w:rsidR="00CF72D5" w:rsidRPr="002029AF" w:rsidRDefault="00CF72D5" w:rsidP="00B518D9">
            <w:pPr>
              <w:pStyle w:val="ARtabletextright"/>
              <w:spacing w:before="20" w:after="20"/>
            </w:pPr>
            <w:r w:rsidRPr="002029AF">
              <w:t>6</w:t>
            </w:r>
          </w:p>
        </w:tc>
        <w:tc>
          <w:tcPr>
            <w:tcW w:w="286" w:type="pct"/>
            <w:hideMark/>
          </w:tcPr>
          <w:p w14:paraId="5C41B3F4" w14:textId="77777777" w:rsidR="00CF72D5" w:rsidRPr="002029AF" w:rsidRDefault="00CF72D5" w:rsidP="00B518D9">
            <w:pPr>
              <w:pStyle w:val="ARtabletextright"/>
              <w:spacing w:before="20" w:after="20"/>
            </w:pPr>
            <w:r w:rsidRPr="002029AF">
              <w:t>6</w:t>
            </w:r>
          </w:p>
        </w:tc>
        <w:tc>
          <w:tcPr>
            <w:tcW w:w="284" w:type="pct"/>
            <w:hideMark/>
          </w:tcPr>
          <w:p w14:paraId="5FA17932" w14:textId="77777777" w:rsidR="00CF72D5" w:rsidRPr="002029AF" w:rsidRDefault="00CF72D5" w:rsidP="00B518D9">
            <w:pPr>
              <w:pStyle w:val="ARtabletextright"/>
              <w:spacing w:before="20" w:after="20"/>
            </w:pPr>
            <w:r w:rsidRPr="002029AF">
              <w:t>2</w:t>
            </w:r>
          </w:p>
        </w:tc>
        <w:tc>
          <w:tcPr>
            <w:tcW w:w="284" w:type="pct"/>
            <w:hideMark/>
          </w:tcPr>
          <w:p w14:paraId="50B36009" w14:textId="77777777" w:rsidR="00CF72D5" w:rsidRPr="002029AF" w:rsidRDefault="00CF72D5" w:rsidP="00B518D9">
            <w:pPr>
              <w:pStyle w:val="ARtabletextright"/>
              <w:spacing w:before="20" w:after="20"/>
            </w:pPr>
            <w:r w:rsidRPr="002029AF">
              <w:t>0</w:t>
            </w:r>
          </w:p>
        </w:tc>
        <w:tc>
          <w:tcPr>
            <w:tcW w:w="286" w:type="pct"/>
            <w:hideMark/>
          </w:tcPr>
          <w:p w14:paraId="0C781031" w14:textId="77777777" w:rsidR="00CF72D5" w:rsidRPr="002029AF" w:rsidRDefault="00CF72D5" w:rsidP="00B518D9">
            <w:pPr>
              <w:pStyle w:val="ARtabletextright"/>
              <w:spacing w:before="20" w:after="20"/>
            </w:pPr>
            <w:r w:rsidRPr="002029AF">
              <w:t>2</w:t>
            </w:r>
          </w:p>
        </w:tc>
        <w:tc>
          <w:tcPr>
            <w:tcW w:w="320" w:type="pct"/>
            <w:hideMark/>
          </w:tcPr>
          <w:p w14:paraId="7511CFE2" w14:textId="77777777" w:rsidR="00CF72D5" w:rsidRPr="002029AF" w:rsidRDefault="00CF72D5" w:rsidP="00B518D9">
            <w:pPr>
              <w:pStyle w:val="ARtabletextright"/>
              <w:spacing w:before="20" w:after="20"/>
            </w:pPr>
            <w:r w:rsidRPr="002029AF">
              <w:t>4</w:t>
            </w:r>
          </w:p>
        </w:tc>
        <w:tc>
          <w:tcPr>
            <w:tcW w:w="287" w:type="pct"/>
            <w:hideMark/>
          </w:tcPr>
          <w:p w14:paraId="4761181F" w14:textId="77777777" w:rsidR="00CF72D5" w:rsidRPr="002029AF" w:rsidRDefault="00CF72D5" w:rsidP="00B518D9">
            <w:pPr>
              <w:pStyle w:val="ARtabletextright"/>
              <w:spacing w:before="20" w:after="20"/>
            </w:pPr>
            <w:r w:rsidRPr="002029AF">
              <w:t>4</w:t>
            </w:r>
          </w:p>
        </w:tc>
      </w:tr>
      <w:tr w:rsidR="001E768A" w:rsidRPr="002029AF" w14:paraId="422D5423" w14:textId="77777777" w:rsidTr="00192EEE">
        <w:tc>
          <w:tcPr>
            <w:tcW w:w="867" w:type="pct"/>
            <w:hideMark/>
          </w:tcPr>
          <w:p w14:paraId="2D111CE9" w14:textId="77777777" w:rsidR="00CF72D5" w:rsidRPr="002029AF" w:rsidRDefault="00CF72D5" w:rsidP="00B518D9">
            <w:pPr>
              <w:pStyle w:val="ARtabletext"/>
              <w:spacing w:before="20" w:after="20"/>
            </w:pPr>
            <w:r w:rsidRPr="002029AF">
              <w:t>SMA</w:t>
            </w:r>
          </w:p>
        </w:tc>
        <w:tc>
          <w:tcPr>
            <w:tcW w:w="320" w:type="pct"/>
            <w:hideMark/>
          </w:tcPr>
          <w:p w14:paraId="048ED883" w14:textId="77777777" w:rsidR="00CF72D5" w:rsidRPr="002029AF" w:rsidRDefault="00CF72D5" w:rsidP="00B518D9">
            <w:pPr>
              <w:pStyle w:val="ARtabletextright"/>
              <w:spacing w:before="20" w:after="20"/>
            </w:pPr>
            <w:r w:rsidRPr="002029AF">
              <w:t>0</w:t>
            </w:r>
          </w:p>
        </w:tc>
        <w:tc>
          <w:tcPr>
            <w:tcW w:w="286" w:type="pct"/>
            <w:hideMark/>
          </w:tcPr>
          <w:p w14:paraId="7714C01A" w14:textId="77777777" w:rsidR="00CF72D5" w:rsidRPr="002029AF" w:rsidRDefault="00CF72D5" w:rsidP="00B518D9">
            <w:pPr>
              <w:pStyle w:val="ARtabletextright"/>
              <w:spacing w:before="20" w:after="20"/>
            </w:pPr>
            <w:r w:rsidRPr="002029AF">
              <w:t>0</w:t>
            </w:r>
          </w:p>
        </w:tc>
        <w:tc>
          <w:tcPr>
            <w:tcW w:w="284" w:type="pct"/>
            <w:hideMark/>
          </w:tcPr>
          <w:p w14:paraId="721A8D38" w14:textId="77777777" w:rsidR="00CF72D5" w:rsidRPr="002029AF" w:rsidRDefault="00CF72D5" w:rsidP="00B518D9">
            <w:pPr>
              <w:pStyle w:val="ARtabletextright"/>
              <w:spacing w:before="20" w:after="20"/>
            </w:pPr>
            <w:r w:rsidRPr="002029AF">
              <w:t>0</w:t>
            </w:r>
          </w:p>
        </w:tc>
        <w:tc>
          <w:tcPr>
            <w:tcW w:w="284" w:type="pct"/>
            <w:hideMark/>
          </w:tcPr>
          <w:p w14:paraId="7FA88D35" w14:textId="77777777" w:rsidR="00CF72D5" w:rsidRPr="002029AF" w:rsidRDefault="00CF72D5" w:rsidP="00B518D9">
            <w:pPr>
              <w:pStyle w:val="ARtabletextright"/>
              <w:spacing w:before="20" w:after="20"/>
            </w:pPr>
            <w:r w:rsidRPr="002029AF">
              <w:t>0</w:t>
            </w:r>
          </w:p>
        </w:tc>
        <w:tc>
          <w:tcPr>
            <w:tcW w:w="286" w:type="pct"/>
            <w:hideMark/>
          </w:tcPr>
          <w:p w14:paraId="003E31CE" w14:textId="77777777" w:rsidR="00CF72D5" w:rsidRPr="002029AF" w:rsidRDefault="00CF72D5" w:rsidP="00B518D9">
            <w:pPr>
              <w:pStyle w:val="ARtabletextright"/>
              <w:spacing w:before="20" w:after="20"/>
            </w:pPr>
            <w:r w:rsidRPr="002029AF">
              <w:t>0</w:t>
            </w:r>
          </w:p>
        </w:tc>
        <w:tc>
          <w:tcPr>
            <w:tcW w:w="320" w:type="pct"/>
            <w:hideMark/>
          </w:tcPr>
          <w:p w14:paraId="6D094F93" w14:textId="77777777" w:rsidR="00CF72D5" w:rsidRPr="002029AF" w:rsidRDefault="00CF72D5" w:rsidP="00B518D9">
            <w:pPr>
              <w:pStyle w:val="ARtabletextright"/>
              <w:spacing w:before="20" w:after="20"/>
            </w:pPr>
            <w:r w:rsidRPr="002029AF">
              <w:t>0</w:t>
            </w:r>
          </w:p>
        </w:tc>
        <w:tc>
          <w:tcPr>
            <w:tcW w:w="286" w:type="pct"/>
            <w:hideMark/>
          </w:tcPr>
          <w:p w14:paraId="193EACE6" w14:textId="77777777" w:rsidR="00CF72D5" w:rsidRPr="002029AF" w:rsidRDefault="00CF72D5" w:rsidP="00B518D9">
            <w:pPr>
              <w:pStyle w:val="ARtabletextright"/>
              <w:spacing w:before="20" w:after="20"/>
            </w:pPr>
            <w:r w:rsidRPr="002029AF">
              <w:t>0</w:t>
            </w:r>
          </w:p>
        </w:tc>
        <w:tc>
          <w:tcPr>
            <w:tcW w:w="320" w:type="pct"/>
            <w:hideMark/>
          </w:tcPr>
          <w:p w14:paraId="147BA409" w14:textId="77777777" w:rsidR="00CF72D5" w:rsidRPr="002029AF" w:rsidRDefault="00CF72D5" w:rsidP="00B518D9">
            <w:pPr>
              <w:pStyle w:val="ARtabletextright"/>
              <w:spacing w:before="20" w:after="20"/>
            </w:pPr>
            <w:r w:rsidRPr="002029AF">
              <w:t>1</w:t>
            </w:r>
          </w:p>
        </w:tc>
        <w:tc>
          <w:tcPr>
            <w:tcW w:w="286" w:type="pct"/>
            <w:hideMark/>
          </w:tcPr>
          <w:p w14:paraId="6650B4C0" w14:textId="77777777" w:rsidR="00CF72D5" w:rsidRPr="002029AF" w:rsidRDefault="00CF72D5" w:rsidP="00B518D9">
            <w:pPr>
              <w:pStyle w:val="ARtabletextright"/>
              <w:spacing w:before="20" w:after="20"/>
            </w:pPr>
            <w:r w:rsidRPr="002029AF">
              <w:t>1</w:t>
            </w:r>
          </w:p>
        </w:tc>
        <w:tc>
          <w:tcPr>
            <w:tcW w:w="284" w:type="pct"/>
            <w:hideMark/>
          </w:tcPr>
          <w:p w14:paraId="41330E87" w14:textId="77777777" w:rsidR="00CF72D5" w:rsidRPr="002029AF" w:rsidRDefault="00CF72D5" w:rsidP="00B518D9">
            <w:pPr>
              <w:pStyle w:val="ARtabletextright"/>
              <w:spacing w:before="20" w:after="20"/>
            </w:pPr>
            <w:r w:rsidRPr="002029AF">
              <w:t>0</w:t>
            </w:r>
          </w:p>
        </w:tc>
        <w:tc>
          <w:tcPr>
            <w:tcW w:w="284" w:type="pct"/>
            <w:hideMark/>
          </w:tcPr>
          <w:p w14:paraId="5EC136A5" w14:textId="77777777" w:rsidR="00CF72D5" w:rsidRPr="002029AF" w:rsidRDefault="00CF72D5" w:rsidP="00B518D9">
            <w:pPr>
              <w:pStyle w:val="ARtabletextright"/>
              <w:spacing w:before="20" w:after="20"/>
            </w:pPr>
            <w:r w:rsidRPr="002029AF">
              <w:t>0</w:t>
            </w:r>
          </w:p>
        </w:tc>
        <w:tc>
          <w:tcPr>
            <w:tcW w:w="286" w:type="pct"/>
            <w:hideMark/>
          </w:tcPr>
          <w:p w14:paraId="355A3D78" w14:textId="77777777" w:rsidR="00CF72D5" w:rsidRPr="002029AF" w:rsidRDefault="00CF72D5" w:rsidP="00B518D9">
            <w:pPr>
              <w:pStyle w:val="ARtabletextright"/>
              <w:spacing w:before="20" w:after="20"/>
            </w:pPr>
            <w:r w:rsidRPr="002029AF">
              <w:t>0</w:t>
            </w:r>
          </w:p>
        </w:tc>
        <w:tc>
          <w:tcPr>
            <w:tcW w:w="320" w:type="pct"/>
            <w:hideMark/>
          </w:tcPr>
          <w:p w14:paraId="61F50327" w14:textId="77777777" w:rsidR="00CF72D5" w:rsidRPr="002029AF" w:rsidRDefault="00CF72D5" w:rsidP="00B518D9">
            <w:pPr>
              <w:pStyle w:val="ARtabletextright"/>
              <w:spacing w:before="20" w:after="20"/>
            </w:pPr>
            <w:r w:rsidRPr="002029AF">
              <w:t>1</w:t>
            </w:r>
          </w:p>
        </w:tc>
        <w:tc>
          <w:tcPr>
            <w:tcW w:w="287" w:type="pct"/>
            <w:hideMark/>
          </w:tcPr>
          <w:p w14:paraId="0F86D1DA" w14:textId="77777777" w:rsidR="00CF72D5" w:rsidRPr="002029AF" w:rsidRDefault="00CF72D5" w:rsidP="00B518D9">
            <w:pPr>
              <w:pStyle w:val="ARtabletextright"/>
              <w:spacing w:before="20" w:after="20"/>
            </w:pPr>
            <w:r w:rsidRPr="002029AF">
              <w:t>1</w:t>
            </w:r>
          </w:p>
        </w:tc>
      </w:tr>
      <w:tr w:rsidR="001E768A" w:rsidRPr="002029AF" w14:paraId="77C64AA2" w14:textId="77777777" w:rsidTr="00192EEE">
        <w:tc>
          <w:tcPr>
            <w:tcW w:w="867" w:type="pct"/>
            <w:hideMark/>
          </w:tcPr>
          <w:p w14:paraId="6001A88A" w14:textId="77777777" w:rsidR="00CF72D5" w:rsidRPr="002029AF" w:rsidRDefault="00CF72D5" w:rsidP="00B518D9">
            <w:pPr>
              <w:pStyle w:val="ARtabletext"/>
              <w:spacing w:before="20" w:after="20"/>
            </w:pPr>
            <w:r w:rsidRPr="002029AF">
              <w:t>Executives</w:t>
            </w:r>
          </w:p>
        </w:tc>
        <w:tc>
          <w:tcPr>
            <w:tcW w:w="320" w:type="pct"/>
            <w:hideMark/>
          </w:tcPr>
          <w:p w14:paraId="3AABB091" w14:textId="77777777" w:rsidR="00CF72D5" w:rsidRPr="002029AF" w:rsidRDefault="00CF72D5" w:rsidP="00B518D9">
            <w:pPr>
              <w:pStyle w:val="ARtabletextright"/>
              <w:spacing w:before="20" w:after="20"/>
            </w:pPr>
            <w:r w:rsidRPr="002029AF">
              <w:t>18</w:t>
            </w:r>
          </w:p>
        </w:tc>
        <w:tc>
          <w:tcPr>
            <w:tcW w:w="286" w:type="pct"/>
            <w:hideMark/>
          </w:tcPr>
          <w:p w14:paraId="67A17CDF" w14:textId="77777777" w:rsidR="00CF72D5" w:rsidRPr="002029AF" w:rsidRDefault="00CF72D5" w:rsidP="00B518D9">
            <w:pPr>
              <w:pStyle w:val="ARtabletextright"/>
              <w:spacing w:before="20" w:after="20"/>
            </w:pPr>
            <w:r w:rsidRPr="002029AF">
              <w:t>18</w:t>
            </w:r>
          </w:p>
        </w:tc>
        <w:tc>
          <w:tcPr>
            <w:tcW w:w="284" w:type="pct"/>
            <w:hideMark/>
          </w:tcPr>
          <w:p w14:paraId="39405AD1" w14:textId="77777777" w:rsidR="00CF72D5" w:rsidRPr="002029AF" w:rsidRDefault="00CF72D5" w:rsidP="00B518D9">
            <w:pPr>
              <w:pStyle w:val="ARtabletextright"/>
              <w:spacing w:before="20" w:after="20"/>
            </w:pPr>
            <w:r w:rsidRPr="002029AF">
              <w:t>18</w:t>
            </w:r>
          </w:p>
        </w:tc>
        <w:tc>
          <w:tcPr>
            <w:tcW w:w="284" w:type="pct"/>
            <w:hideMark/>
          </w:tcPr>
          <w:p w14:paraId="74E8DBAA" w14:textId="77777777" w:rsidR="00CF72D5" w:rsidRPr="002029AF" w:rsidRDefault="00CF72D5" w:rsidP="00B518D9">
            <w:pPr>
              <w:pStyle w:val="ARtabletextright"/>
              <w:spacing w:before="20" w:after="20"/>
            </w:pPr>
            <w:r w:rsidRPr="002029AF">
              <w:t>0</w:t>
            </w:r>
          </w:p>
        </w:tc>
        <w:tc>
          <w:tcPr>
            <w:tcW w:w="286" w:type="pct"/>
            <w:hideMark/>
          </w:tcPr>
          <w:p w14:paraId="243FFD80" w14:textId="77777777" w:rsidR="00CF72D5" w:rsidRPr="002029AF" w:rsidRDefault="00CF72D5" w:rsidP="00B518D9">
            <w:pPr>
              <w:pStyle w:val="ARtabletextright"/>
              <w:spacing w:before="20" w:after="20"/>
            </w:pPr>
            <w:r w:rsidRPr="002029AF">
              <w:t>18</w:t>
            </w:r>
          </w:p>
        </w:tc>
        <w:tc>
          <w:tcPr>
            <w:tcW w:w="320" w:type="pct"/>
            <w:hideMark/>
          </w:tcPr>
          <w:p w14:paraId="45ECCAFA" w14:textId="77777777" w:rsidR="00CF72D5" w:rsidRPr="002029AF" w:rsidRDefault="00CF72D5" w:rsidP="00B518D9">
            <w:pPr>
              <w:pStyle w:val="ARtabletextright"/>
              <w:spacing w:before="20" w:after="20"/>
            </w:pPr>
            <w:r w:rsidRPr="002029AF">
              <w:t>0</w:t>
            </w:r>
          </w:p>
        </w:tc>
        <w:tc>
          <w:tcPr>
            <w:tcW w:w="286" w:type="pct"/>
            <w:hideMark/>
          </w:tcPr>
          <w:p w14:paraId="2833AA7E" w14:textId="77777777" w:rsidR="00CF72D5" w:rsidRPr="002029AF" w:rsidRDefault="00CF72D5" w:rsidP="00B518D9">
            <w:pPr>
              <w:pStyle w:val="ARtabletextright"/>
              <w:spacing w:before="20" w:after="20"/>
            </w:pPr>
            <w:r w:rsidRPr="002029AF">
              <w:t>0</w:t>
            </w:r>
          </w:p>
        </w:tc>
        <w:tc>
          <w:tcPr>
            <w:tcW w:w="320" w:type="pct"/>
            <w:hideMark/>
          </w:tcPr>
          <w:p w14:paraId="61207D29" w14:textId="77777777" w:rsidR="00CF72D5" w:rsidRPr="002029AF" w:rsidRDefault="00CF72D5" w:rsidP="00B518D9">
            <w:pPr>
              <w:pStyle w:val="ARtabletextright"/>
              <w:spacing w:before="20" w:after="20"/>
            </w:pPr>
            <w:r w:rsidRPr="002029AF">
              <w:t>19</w:t>
            </w:r>
          </w:p>
        </w:tc>
        <w:tc>
          <w:tcPr>
            <w:tcW w:w="286" w:type="pct"/>
            <w:hideMark/>
          </w:tcPr>
          <w:p w14:paraId="366E827C" w14:textId="77777777" w:rsidR="00CF72D5" w:rsidRPr="002029AF" w:rsidRDefault="00CF72D5" w:rsidP="00B518D9">
            <w:pPr>
              <w:pStyle w:val="ARtabletextright"/>
              <w:spacing w:before="20" w:after="20"/>
            </w:pPr>
            <w:r w:rsidRPr="002029AF">
              <w:t>18.8</w:t>
            </w:r>
          </w:p>
        </w:tc>
        <w:tc>
          <w:tcPr>
            <w:tcW w:w="284" w:type="pct"/>
            <w:hideMark/>
          </w:tcPr>
          <w:p w14:paraId="48909ACD" w14:textId="77777777" w:rsidR="00CF72D5" w:rsidRPr="002029AF" w:rsidRDefault="00CF72D5" w:rsidP="00B518D9">
            <w:pPr>
              <w:pStyle w:val="ARtabletextright"/>
              <w:spacing w:before="20" w:after="20"/>
            </w:pPr>
            <w:r w:rsidRPr="002029AF">
              <w:t>18</w:t>
            </w:r>
          </w:p>
        </w:tc>
        <w:tc>
          <w:tcPr>
            <w:tcW w:w="284" w:type="pct"/>
            <w:hideMark/>
          </w:tcPr>
          <w:p w14:paraId="6E8F7673" w14:textId="77777777" w:rsidR="00CF72D5" w:rsidRPr="002029AF" w:rsidRDefault="00CF72D5" w:rsidP="00B518D9">
            <w:pPr>
              <w:pStyle w:val="ARtabletextright"/>
              <w:spacing w:before="20" w:after="20"/>
            </w:pPr>
            <w:r w:rsidRPr="002029AF">
              <w:t>1</w:t>
            </w:r>
          </w:p>
        </w:tc>
        <w:tc>
          <w:tcPr>
            <w:tcW w:w="286" w:type="pct"/>
            <w:hideMark/>
          </w:tcPr>
          <w:p w14:paraId="10BFFAAA" w14:textId="77777777" w:rsidR="00CF72D5" w:rsidRPr="002029AF" w:rsidRDefault="00CF72D5" w:rsidP="00B518D9">
            <w:pPr>
              <w:pStyle w:val="ARtabletextright"/>
              <w:spacing w:before="20" w:after="20"/>
            </w:pPr>
            <w:r w:rsidRPr="002029AF">
              <w:t>18.8</w:t>
            </w:r>
          </w:p>
        </w:tc>
        <w:tc>
          <w:tcPr>
            <w:tcW w:w="320" w:type="pct"/>
            <w:hideMark/>
          </w:tcPr>
          <w:p w14:paraId="2FFFF9FD" w14:textId="77777777" w:rsidR="00CF72D5" w:rsidRPr="002029AF" w:rsidRDefault="00CF72D5" w:rsidP="00B518D9">
            <w:pPr>
              <w:pStyle w:val="ARtabletextright"/>
              <w:spacing w:before="20" w:after="20"/>
            </w:pPr>
            <w:r w:rsidRPr="002029AF">
              <w:t>0</w:t>
            </w:r>
          </w:p>
        </w:tc>
        <w:tc>
          <w:tcPr>
            <w:tcW w:w="287" w:type="pct"/>
            <w:hideMark/>
          </w:tcPr>
          <w:p w14:paraId="0A263B86" w14:textId="77777777" w:rsidR="00CF72D5" w:rsidRPr="002029AF" w:rsidRDefault="00CF72D5" w:rsidP="00B518D9">
            <w:pPr>
              <w:pStyle w:val="ARtabletextright"/>
              <w:spacing w:before="20" w:after="20"/>
            </w:pPr>
            <w:r w:rsidRPr="002029AF">
              <w:t>0</w:t>
            </w:r>
          </w:p>
        </w:tc>
      </w:tr>
      <w:tr w:rsidR="001E768A" w:rsidRPr="002029AF" w14:paraId="1D010D37" w14:textId="77777777" w:rsidTr="00192EEE">
        <w:tc>
          <w:tcPr>
            <w:tcW w:w="867" w:type="pct"/>
            <w:hideMark/>
          </w:tcPr>
          <w:p w14:paraId="0D2A2995" w14:textId="77777777" w:rsidR="00CF72D5" w:rsidRPr="002029AF" w:rsidRDefault="00CF72D5" w:rsidP="00B518D9">
            <w:pPr>
              <w:pStyle w:val="ARtabletext"/>
              <w:spacing w:before="20" w:after="20"/>
            </w:pPr>
            <w:r w:rsidRPr="002029AF">
              <w:t>Other</w:t>
            </w:r>
          </w:p>
        </w:tc>
        <w:tc>
          <w:tcPr>
            <w:tcW w:w="320" w:type="pct"/>
            <w:hideMark/>
          </w:tcPr>
          <w:p w14:paraId="2589EF01" w14:textId="77777777" w:rsidR="00CF72D5" w:rsidRPr="002029AF" w:rsidRDefault="00CF72D5" w:rsidP="00B518D9">
            <w:pPr>
              <w:pStyle w:val="ARtabletextright"/>
              <w:spacing w:before="20" w:after="20"/>
            </w:pPr>
            <w:r w:rsidRPr="002029AF">
              <w:t>1</w:t>
            </w:r>
          </w:p>
        </w:tc>
        <w:tc>
          <w:tcPr>
            <w:tcW w:w="286" w:type="pct"/>
            <w:hideMark/>
          </w:tcPr>
          <w:p w14:paraId="37A2C3D8" w14:textId="77777777" w:rsidR="00CF72D5" w:rsidRPr="002029AF" w:rsidRDefault="00CF72D5" w:rsidP="00B518D9">
            <w:pPr>
              <w:pStyle w:val="ARtabletextright"/>
              <w:spacing w:before="20" w:after="20"/>
            </w:pPr>
            <w:r w:rsidRPr="002029AF">
              <w:t>0.9</w:t>
            </w:r>
          </w:p>
        </w:tc>
        <w:tc>
          <w:tcPr>
            <w:tcW w:w="284" w:type="pct"/>
            <w:hideMark/>
          </w:tcPr>
          <w:p w14:paraId="7A3FFE12" w14:textId="77777777" w:rsidR="00CF72D5" w:rsidRPr="002029AF" w:rsidRDefault="00CF72D5" w:rsidP="00B518D9">
            <w:pPr>
              <w:pStyle w:val="ARtabletextright"/>
              <w:spacing w:before="20" w:after="20"/>
            </w:pPr>
            <w:r w:rsidRPr="002029AF">
              <w:t>0</w:t>
            </w:r>
          </w:p>
        </w:tc>
        <w:tc>
          <w:tcPr>
            <w:tcW w:w="284" w:type="pct"/>
            <w:hideMark/>
          </w:tcPr>
          <w:p w14:paraId="0402F91F" w14:textId="77777777" w:rsidR="00CF72D5" w:rsidRPr="002029AF" w:rsidRDefault="00CF72D5" w:rsidP="00B518D9">
            <w:pPr>
              <w:pStyle w:val="ARtabletextright"/>
              <w:spacing w:before="20" w:after="20"/>
            </w:pPr>
            <w:r w:rsidRPr="002029AF">
              <w:t>1</w:t>
            </w:r>
          </w:p>
        </w:tc>
        <w:tc>
          <w:tcPr>
            <w:tcW w:w="286" w:type="pct"/>
            <w:hideMark/>
          </w:tcPr>
          <w:p w14:paraId="011BC20E" w14:textId="77777777" w:rsidR="00CF72D5" w:rsidRPr="002029AF" w:rsidRDefault="00CF72D5" w:rsidP="00B518D9">
            <w:pPr>
              <w:pStyle w:val="ARtabletextright"/>
              <w:spacing w:before="20" w:after="20"/>
            </w:pPr>
            <w:r w:rsidRPr="002029AF">
              <w:t>0.9</w:t>
            </w:r>
          </w:p>
        </w:tc>
        <w:tc>
          <w:tcPr>
            <w:tcW w:w="320" w:type="pct"/>
            <w:hideMark/>
          </w:tcPr>
          <w:p w14:paraId="20F03182" w14:textId="77777777" w:rsidR="00CF72D5" w:rsidRPr="002029AF" w:rsidRDefault="00CF72D5" w:rsidP="00B518D9">
            <w:pPr>
              <w:pStyle w:val="ARtabletextright"/>
              <w:spacing w:before="20" w:after="20"/>
            </w:pPr>
            <w:r w:rsidRPr="002029AF">
              <w:t>0</w:t>
            </w:r>
          </w:p>
        </w:tc>
        <w:tc>
          <w:tcPr>
            <w:tcW w:w="286" w:type="pct"/>
            <w:hideMark/>
          </w:tcPr>
          <w:p w14:paraId="39A81854" w14:textId="77777777" w:rsidR="00CF72D5" w:rsidRPr="002029AF" w:rsidRDefault="00CF72D5" w:rsidP="00B518D9">
            <w:pPr>
              <w:pStyle w:val="ARtabletextright"/>
              <w:spacing w:before="20" w:after="20"/>
            </w:pPr>
            <w:r w:rsidRPr="002029AF">
              <w:t>0</w:t>
            </w:r>
          </w:p>
        </w:tc>
        <w:tc>
          <w:tcPr>
            <w:tcW w:w="320" w:type="pct"/>
            <w:hideMark/>
          </w:tcPr>
          <w:p w14:paraId="00BA142A" w14:textId="77777777" w:rsidR="00CF72D5" w:rsidRPr="002029AF" w:rsidRDefault="00CF72D5" w:rsidP="00B518D9">
            <w:pPr>
              <w:pStyle w:val="ARtabletextright"/>
              <w:spacing w:before="20" w:after="20"/>
            </w:pPr>
            <w:r w:rsidRPr="002029AF">
              <w:t>0</w:t>
            </w:r>
          </w:p>
        </w:tc>
        <w:tc>
          <w:tcPr>
            <w:tcW w:w="286" w:type="pct"/>
            <w:hideMark/>
          </w:tcPr>
          <w:p w14:paraId="7DA44F8B" w14:textId="77777777" w:rsidR="00CF72D5" w:rsidRPr="002029AF" w:rsidRDefault="00CF72D5" w:rsidP="00B518D9">
            <w:pPr>
              <w:pStyle w:val="ARtabletextright"/>
              <w:spacing w:before="20" w:after="20"/>
            </w:pPr>
            <w:r w:rsidRPr="002029AF">
              <w:t>0</w:t>
            </w:r>
          </w:p>
        </w:tc>
        <w:tc>
          <w:tcPr>
            <w:tcW w:w="284" w:type="pct"/>
            <w:hideMark/>
          </w:tcPr>
          <w:p w14:paraId="238C81DB" w14:textId="77777777" w:rsidR="00CF72D5" w:rsidRPr="002029AF" w:rsidRDefault="00CF72D5" w:rsidP="00B518D9">
            <w:pPr>
              <w:pStyle w:val="ARtabletextright"/>
              <w:spacing w:before="20" w:after="20"/>
            </w:pPr>
            <w:r w:rsidRPr="002029AF">
              <w:t>0</w:t>
            </w:r>
          </w:p>
        </w:tc>
        <w:tc>
          <w:tcPr>
            <w:tcW w:w="284" w:type="pct"/>
            <w:hideMark/>
          </w:tcPr>
          <w:p w14:paraId="605E8566" w14:textId="77777777" w:rsidR="00CF72D5" w:rsidRPr="002029AF" w:rsidRDefault="00CF72D5" w:rsidP="00B518D9">
            <w:pPr>
              <w:pStyle w:val="ARtabletextright"/>
              <w:spacing w:before="20" w:after="20"/>
            </w:pPr>
            <w:r w:rsidRPr="002029AF">
              <w:t>0</w:t>
            </w:r>
          </w:p>
        </w:tc>
        <w:tc>
          <w:tcPr>
            <w:tcW w:w="286" w:type="pct"/>
            <w:hideMark/>
          </w:tcPr>
          <w:p w14:paraId="253087E7" w14:textId="77777777" w:rsidR="00CF72D5" w:rsidRPr="002029AF" w:rsidRDefault="00CF72D5" w:rsidP="00B518D9">
            <w:pPr>
              <w:pStyle w:val="ARtabletextright"/>
              <w:spacing w:before="20" w:after="20"/>
            </w:pPr>
            <w:r w:rsidRPr="002029AF">
              <w:t>0</w:t>
            </w:r>
          </w:p>
        </w:tc>
        <w:tc>
          <w:tcPr>
            <w:tcW w:w="320" w:type="pct"/>
            <w:hideMark/>
          </w:tcPr>
          <w:p w14:paraId="51DA6755" w14:textId="77777777" w:rsidR="00CF72D5" w:rsidRPr="002029AF" w:rsidRDefault="00CF72D5" w:rsidP="00B518D9">
            <w:pPr>
              <w:pStyle w:val="ARtabletextright"/>
              <w:spacing w:before="20" w:after="20"/>
            </w:pPr>
            <w:r w:rsidRPr="002029AF">
              <w:t>0</w:t>
            </w:r>
          </w:p>
        </w:tc>
        <w:tc>
          <w:tcPr>
            <w:tcW w:w="287" w:type="pct"/>
            <w:hideMark/>
          </w:tcPr>
          <w:p w14:paraId="42BB0D7B" w14:textId="77777777" w:rsidR="00CF72D5" w:rsidRPr="002029AF" w:rsidRDefault="00CF72D5" w:rsidP="00B518D9">
            <w:pPr>
              <w:pStyle w:val="ARtabletextright"/>
              <w:spacing w:before="20" w:after="20"/>
            </w:pPr>
            <w:r w:rsidRPr="002029AF">
              <w:t>0</w:t>
            </w:r>
          </w:p>
        </w:tc>
      </w:tr>
      <w:tr w:rsidR="001E768A" w:rsidRPr="002029AF" w14:paraId="311C3FC2" w14:textId="77777777" w:rsidTr="00192EEE">
        <w:tc>
          <w:tcPr>
            <w:tcW w:w="867" w:type="pct"/>
            <w:hideMark/>
          </w:tcPr>
          <w:p w14:paraId="4C64AF2D" w14:textId="2E7F10A6" w:rsidR="00CF72D5" w:rsidRPr="002029AF" w:rsidRDefault="00CF72D5" w:rsidP="00AC4407">
            <w:pPr>
              <w:pStyle w:val="ARtabletextbold"/>
              <w:spacing w:before="20" w:after="20"/>
            </w:pPr>
            <w:r w:rsidRPr="002029AF">
              <w:t>Total</w:t>
            </w:r>
            <w:r w:rsidR="000A5329" w:rsidRPr="002029AF">
              <w:t xml:space="preserve"> </w:t>
            </w:r>
            <w:r w:rsidRPr="002029AF">
              <w:t>employees</w:t>
            </w:r>
          </w:p>
        </w:tc>
        <w:tc>
          <w:tcPr>
            <w:tcW w:w="320" w:type="pct"/>
            <w:hideMark/>
          </w:tcPr>
          <w:p w14:paraId="4DA13407" w14:textId="77777777" w:rsidR="00CF72D5" w:rsidRPr="002029AF" w:rsidRDefault="00CF72D5" w:rsidP="00AC4407">
            <w:pPr>
              <w:pStyle w:val="ARtabletextrightbold"/>
              <w:spacing w:before="20" w:after="20"/>
            </w:pPr>
            <w:r w:rsidRPr="002029AF">
              <w:t>268</w:t>
            </w:r>
          </w:p>
        </w:tc>
        <w:tc>
          <w:tcPr>
            <w:tcW w:w="286" w:type="pct"/>
            <w:hideMark/>
          </w:tcPr>
          <w:p w14:paraId="3C55D2D9" w14:textId="77777777" w:rsidR="00CF72D5" w:rsidRPr="002029AF" w:rsidRDefault="00CF72D5" w:rsidP="00AC4407">
            <w:pPr>
              <w:pStyle w:val="ARtabletextrightbold"/>
              <w:spacing w:before="20" w:after="20"/>
            </w:pPr>
            <w:r w:rsidRPr="002029AF">
              <w:t>256.2</w:t>
            </w:r>
          </w:p>
        </w:tc>
        <w:tc>
          <w:tcPr>
            <w:tcW w:w="284" w:type="pct"/>
            <w:hideMark/>
          </w:tcPr>
          <w:p w14:paraId="4386B4A9" w14:textId="77777777" w:rsidR="00CF72D5" w:rsidRPr="002029AF" w:rsidRDefault="00CF72D5" w:rsidP="00AC4407">
            <w:pPr>
              <w:pStyle w:val="ARtabletextrightbold"/>
              <w:spacing w:before="20" w:after="20"/>
            </w:pPr>
            <w:r w:rsidRPr="002029AF">
              <w:t>135</w:t>
            </w:r>
          </w:p>
        </w:tc>
        <w:tc>
          <w:tcPr>
            <w:tcW w:w="284" w:type="pct"/>
            <w:hideMark/>
          </w:tcPr>
          <w:p w14:paraId="21CD8B77" w14:textId="77777777" w:rsidR="00CF72D5" w:rsidRPr="002029AF" w:rsidRDefault="00CF72D5" w:rsidP="00AC4407">
            <w:pPr>
              <w:pStyle w:val="ARtabletextrightbold"/>
              <w:spacing w:before="20" w:after="20"/>
            </w:pPr>
            <w:r w:rsidRPr="002029AF">
              <w:t>37</w:t>
            </w:r>
          </w:p>
        </w:tc>
        <w:tc>
          <w:tcPr>
            <w:tcW w:w="286" w:type="pct"/>
            <w:hideMark/>
          </w:tcPr>
          <w:p w14:paraId="656C266D" w14:textId="77777777" w:rsidR="00CF72D5" w:rsidRPr="00AC4407" w:rsidRDefault="00CF72D5" w:rsidP="00AC4407">
            <w:pPr>
              <w:pStyle w:val="ARtabletextrightbold"/>
              <w:spacing w:before="20" w:after="20"/>
            </w:pPr>
            <w:r w:rsidRPr="00AC4407">
              <w:t>162.7</w:t>
            </w:r>
          </w:p>
        </w:tc>
        <w:tc>
          <w:tcPr>
            <w:tcW w:w="320" w:type="pct"/>
            <w:hideMark/>
          </w:tcPr>
          <w:p w14:paraId="010B0768" w14:textId="77777777" w:rsidR="00CF72D5" w:rsidRPr="00AC4407" w:rsidRDefault="00CF72D5" w:rsidP="00AC4407">
            <w:pPr>
              <w:pStyle w:val="ARtabletextrightbold"/>
              <w:spacing w:before="20" w:after="20"/>
            </w:pPr>
            <w:r w:rsidRPr="00AC4407">
              <w:t>96</w:t>
            </w:r>
          </w:p>
        </w:tc>
        <w:tc>
          <w:tcPr>
            <w:tcW w:w="286" w:type="pct"/>
            <w:hideMark/>
          </w:tcPr>
          <w:p w14:paraId="1F27D229" w14:textId="77777777" w:rsidR="00CF72D5" w:rsidRPr="002029AF" w:rsidRDefault="00CF72D5" w:rsidP="00AC4407">
            <w:pPr>
              <w:pStyle w:val="ARtabletextrightbold"/>
              <w:spacing w:before="20" w:after="20"/>
            </w:pPr>
            <w:r w:rsidRPr="002029AF">
              <w:t>93.4</w:t>
            </w:r>
          </w:p>
        </w:tc>
        <w:tc>
          <w:tcPr>
            <w:tcW w:w="320" w:type="pct"/>
            <w:hideMark/>
          </w:tcPr>
          <w:p w14:paraId="55B63D45" w14:textId="77777777" w:rsidR="00CF72D5" w:rsidRPr="002029AF" w:rsidRDefault="00CF72D5" w:rsidP="00AC4407">
            <w:pPr>
              <w:pStyle w:val="ARtabletextrightbold"/>
              <w:spacing w:before="20" w:after="20"/>
            </w:pPr>
            <w:r w:rsidRPr="002029AF">
              <w:t>310</w:t>
            </w:r>
          </w:p>
        </w:tc>
        <w:tc>
          <w:tcPr>
            <w:tcW w:w="286" w:type="pct"/>
            <w:hideMark/>
          </w:tcPr>
          <w:p w14:paraId="4B596542" w14:textId="77777777" w:rsidR="00CF72D5" w:rsidRPr="002029AF" w:rsidRDefault="00CF72D5" w:rsidP="00AC4407">
            <w:pPr>
              <w:pStyle w:val="ARtabletextrightbold"/>
              <w:spacing w:before="20" w:after="20"/>
            </w:pPr>
            <w:r w:rsidRPr="002029AF">
              <w:t>290.8</w:t>
            </w:r>
          </w:p>
        </w:tc>
        <w:tc>
          <w:tcPr>
            <w:tcW w:w="284" w:type="pct"/>
            <w:hideMark/>
          </w:tcPr>
          <w:p w14:paraId="3F8E6766" w14:textId="77777777" w:rsidR="00CF72D5" w:rsidRPr="002029AF" w:rsidRDefault="00CF72D5" w:rsidP="00AC4407">
            <w:pPr>
              <w:pStyle w:val="ARtabletextrightbold"/>
              <w:spacing w:before="20" w:after="20"/>
            </w:pPr>
            <w:r w:rsidRPr="002029AF">
              <w:t>127</w:t>
            </w:r>
          </w:p>
        </w:tc>
        <w:tc>
          <w:tcPr>
            <w:tcW w:w="284" w:type="pct"/>
            <w:hideMark/>
          </w:tcPr>
          <w:p w14:paraId="55218666" w14:textId="77777777" w:rsidR="00CF72D5" w:rsidRPr="002029AF" w:rsidRDefault="00CF72D5" w:rsidP="00AC4407">
            <w:pPr>
              <w:pStyle w:val="ARtabletextrightbold"/>
              <w:spacing w:before="20" w:after="20"/>
            </w:pPr>
            <w:r w:rsidRPr="002029AF">
              <w:t>48</w:t>
            </w:r>
          </w:p>
        </w:tc>
        <w:tc>
          <w:tcPr>
            <w:tcW w:w="286" w:type="pct"/>
            <w:hideMark/>
          </w:tcPr>
          <w:p w14:paraId="022DE8CD" w14:textId="77777777" w:rsidR="00CF72D5" w:rsidRPr="002029AF" w:rsidRDefault="00CF72D5" w:rsidP="00AC4407">
            <w:pPr>
              <w:pStyle w:val="ARtabletextrightbold"/>
              <w:spacing w:before="20" w:after="20"/>
            </w:pPr>
            <w:r w:rsidRPr="002029AF">
              <w:t>161.4</w:t>
            </w:r>
          </w:p>
        </w:tc>
        <w:tc>
          <w:tcPr>
            <w:tcW w:w="320" w:type="pct"/>
            <w:hideMark/>
          </w:tcPr>
          <w:p w14:paraId="3648A99C" w14:textId="77777777" w:rsidR="00CF72D5" w:rsidRPr="002029AF" w:rsidRDefault="00CF72D5" w:rsidP="00AC4407">
            <w:pPr>
              <w:pStyle w:val="ARtabletextrightbold"/>
              <w:spacing w:before="20" w:after="20"/>
            </w:pPr>
            <w:r w:rsidRPr="002029AF">
              <w:t>135</w:t>
            </w:r>
          </w:p>
        </w:tc>
        <w:tc>
          <w:tcPr>
            <w:tcW w:w="287" w:type="pct"/>
            <w:hideMark/>
          </w:tcPr>
          <w:p w14:paraId="1C9F94CD" w14:textId="77777777" w:rsidR="00CF72D5" w:rsidRPr="002029AF" w:rsidRDefault="00CF72D5" w:rsidP="00AC4407">
            <w:pPr>
              <w:pStyle w:val="ARtabletextrightbold"/>
              <w:spacing w:before="20" w:after="20"/>
            </w:pPr>
            <w:r w:rsidRPr="002029AF">
              <w:t>129.5</w:t>
            </w:r>
          </w:p>
        </w:tc>
      </w:tr>
    </w:tbl>
    <w:p w14:paraId="23C6D3AA" w14:textId="77777777" w:rsidR="00CF72D5" w:rsidRPr="002029AF" w:rsidRDefault="00CF72D5" w:rsidP="0028134C">
      <w:pPr>
        <w:pStyle w:val="ARtablefootnote"/>
        <w:keepNext/>
        <w:rPr>
          <w:rFonts w:eastAsia="Times"/>
        </w:rPr>
      </w:pPr>
      <w:r w:rsidRPr="002029AF">
        <w:rPr>
          <w:rFonts w:eastAsia="Times"/>
        </w:rPr>
        <w:lastRenderedPageBreak/>
        <w:t>Notes:</w:t>
      </w:r>
    </w:p>
    <w:p w14:paraId="3ABBA01D" w14:textId="77777777" w:rsidR="00AC4407" w:rsidRDefault="00CF72D5" w:rsidP="00897193">
      <w:pPr>
        <w:pStyle w:val="ARtablefootnote"/>
      </w:pPr>
      <w:r w:rsidRPr="002029AF">
        <w:t>na</w:t>
      </w:r>
      <w:r w:rsidR="000A5329" w:rsidRPr="002029AF">
        <w:t xml:space="preserve"> </w:t>
      </w:r>
      <w:r w:rsidRPr="002029AF">
        <w:t>=</w:t>
      </w:r>
      <w:r w:rsidR="000A5329" w:rsidRPr="002029AF">
        <w:t xml:space="preserve"> </w:t>
      </w:r>
      <w:r w:rsidRPr="002029AF">
        <w:t>not</w:t>
      </w:r>
      <w:r w:rsidR="000A5329" w:rsidRPr="002029AF">
        <w:t xml:space="preserve"> </w:t>
      </w:r>
      <w:r w:rsidRPr="002029AF">
        <w:t>available</w:t>
      </w:r>
    </w:p>
    <w:p w14:paraId="77D0780B" w14:textId="51A17969" w:rsidR="754DD53A" w:rsidRPr="002029AF" w:rsidRDefault="00A763C6" w:rsidP="13A22670">
      <w:pPr>
        <w:pStyle w:val="ARtablefootnote"/>
      </w:pPr>
      <w:r w:rsidRPr="002029AF">
        <w:t>STS</w:t>
      </w:r>
      <w:r w:rsidR="000A5329" w:rsidRPr="002029AF">
        <w:t xml:space="preserve"> </w:t>
      </w:r>
      <w:r w:rsidRPr="002029AF">
        <w:t>=</w:t>
      </w:r>
      <w:r w:rsidR="000A5329" w:rsidRPr="002029AF">
        <w:t xml:space="preserve"> </w:t>
      </w:r>
      <w:r w:rsidRPr="002029AF">
        <w:t>Senior</w:t>
      </w:r>
      <w:r w:rsidR="000A5329" w:rsidRPr="002029AF">
        <w:t xml:space="preserve"> </w:t>
      </w:r>
      <w:r w:rsidRPr="002029AF">
        <w:t>Technical</w:t>
      </w:r>
      <w:r w:rsidR="000A5329" w:rsidRPr="002029AF">
        <w:t xml:space="preserve"> </w:t>
      </w:r>
      <w:r w:rsidRPr="002029AF">
        <w:t>Specialist</w:t>
      </w:r>
    </w:p>
    <w:p w14:paraId="522EE3AA" w14:textId="4EA88C77" w:rsidR="754DD53A" w:rsidRPr="002029AF" w:rsidRDefault="40AA64B6" w:rsidP="13A22670">
      <w:pPr>
        <w:pStyle w:val="ARtablefootnote"/>
      </w:pPr>
      <w:r w:rsidRPr="002029AF">
        <w:t>SMA</w:t>
      </w:r>
      <w:r w:rsidR="000A5329" w:rsidRPr="002029AF">
        <w:t xml:space="preserve"> </w:t>
      </w:r>
      <w:r w:rsidRPr="002029AF">
        <w:t>=</w:t>
      </w:r>
      <w:r w:rsidR="000A5329" w:rsidRPr="002029AF">
        <w:t xml:space="preserve"> </w:t>
      </w:r>
      <w:r w:rsidRPr="002029AF">
        <w:t>Senior</w:t>
      </w:r>
      <w:r w:rsidR="000A5329" w:rsidRPr="002029AF">
        <w:t xml:space="preserve"> </w:t>
      </w:r>
      <w:r w:rsidRPr="002029AF">
        <w:t>Medical</w:t>
      </w:r>
      <w:r w:rsidR="000A5329" w:rsidRPr="002029AF">
        <w:t xml:space="preserve"> </w:t>
      </w:r>
      <w:r w:rsidRPr="002029AF">
        <w:t>Advisor</w:t>
      </w:r>
    </w:p>
    <w:p w14:paraId="725F1E21" w14:textId="37FC0CAB" w:rsidR="00CF72D5" w:rsidRPr="002029AF" w:rsidRDefault="00CF72D5" w:rsidP="00897193">
      <w:pPr>
        <w:pStyle w:val="ARtablefootnote"/>
        <w:rPr>
          <w:rFonts w:eastAsia="Times"/>
        </w:rPr>
      </w:pPr>
      <w:r w:rsidRPr="002029AF">
        <w:rPr>
          <w:rFonts w:eastAsia="Times"/>
        </w:rPr>
        <w:t>Rounding</w:t>
      </w:r>
      <w:r w:rsidR="000A5329" w:rsidRPr="002029AF">
        <w:rPr>
          <w:rFonts w:eastAsia="Times"/>
        </w:rPr>
        <w:t xml:space="preserve"> </w:t>
      </w:r>
      <w:r w:rsidRPr="002029AF">
        <w:rPr>
          <w:rFonts w:eastAsia="Times"/>
        </w:rPr>
        <w:t>errors</w:t>
      </w:r>
      <w:r w:rsidR="000A5329" w:rsidRPr="002029AF">
        <w:rPr>
          <w:rFonts w:eastAsia="Times"/>
        </w:rPr>
        <w:t xml:space="preserve"> </w:t>
      </w:r>
      <w:r w:rsidRPr="002029AF">
        <w:rPr>
          <w:rFonts w:eastAsia="Times"/>
        </w:rPr>
        <w:t>may</w:t>
      </w:r>
      <w:r w:rsidR="000A5329" w:rsidRPr="002029AF">
        <w:rPr>
          <w:rFonts w:eastAsia="Times"/>
        </w:rPr>
        <w:t xml:space="preserve"> </w:t>
      </w:r>
      <w:r w:rsidRPr="002029AF">
        <w:rPr>
          <w:rFonts w:eastAsia="Times"/>
        </w:rPr>
        <w:t>be</w:t>
      </w:r>
      <w:r w:rsidR="000A5329" w:rsidRPr="002029AF">
        <w:rPr>
          <w:rFonts w:eastAsia="Times"/>
        </w:rPr>
        <w:t xml:space="preserve"> </w:t>
      </w:r>
      <w:r w:rsidRPr="002029AF">
        <w:rPr>
          <w:rFonts w:eastAsia="Times"/>
        </w:rPr>
        <w:t>present</w:t>
      </w:r>
      <w:r w:rsidR="000A5329" w:rsidRPr="002029AF">
        <w:rPr>
          <w:rFonts w:eastAsia="Times"/>
        </w:rPr>
        <w:t xml:space="preserve"> </w:t>
      </w:r>
      <w:r w:rsidRPr="002029AF">
        <w:rPr>
          <w:rFonts w:eastAsia="Times"/>
        </w:rPr>
        <w:t>in</w:t>
      </w:r>
      <w:r w:rsidR="000A5329" w:rsidRPr="002029AF">
        <w:rPr>
          <w:rFonts w:eastAsia="Times"/>
        </w:rPr>
        <w:t xml:space="preserve"> </w:t>
      </w:r>
      <w:r w:rsidRPr="002029AF">
        <w:rPr>
          <w:rFonts w:eastAsia="Times"/>
        </w:rPr>
        <w:t>FTE</w:t>
      </w:r>
      <w:r w:rsidR="000A5329" w:rsidRPr="002029AF">
        <w:rPr>
          <w:rFonts w:eastAsia="Times"/>
        </w:rPr>
        <w:t xml:space="preserve"> </w:t>
      </w:r>
      <w:r w:rsidRPr="002029AF">
        <w:rPr>
          <w:rFonts w:eastAsia="Times"/>
        </w:rPr>
        <w:t>tables</w:t>
      </w:r>
      <w:r w:rsidR="000A5329" w:rsidRPr="002029AF">
        <w:rPr>
          <w:rFonts w:eastAsia="Times"/>
        </w:rPr>
        <w:t xml:space="preserve"> </w:t>
      </w:r>
      <w:r w:rsidRPr="002029AF">
        <w:rPr>
          <w:rFonts w:eastAsia="Times"/>
        </w:rPr>
        <w:t>due</w:t>
      </w:r>
      <w:r w:rsidR="000A5329" w:rsidRPr="002029AF">
        <w:rPr>
          <w:rFonts w:eastAsia="Times"/>
        </w:rPr>
        <w:t xml:space="preserve"> </w:t>
      </w:r>
      <w:r w:rsidRPr="002029AF">
        <w:rPr>
          <w:rFonts w:eastAsia="Times"/>
        </w:rPr>
        <w:t>to</w:t>
      </w:r>
      <w:r w:rsidR="000A5329" w:rsidRPr="002029AF">
        <w:rPr>
          <w:rFonts w:eastAsia="Times"/>
        </w:rPr>
        <w:t xml:space="preserve"> </w:t>
      </w:r>
      <w:r w:rsidRPr="002029AF">
        <w:rPr>
          <w:rFonts w:eastAsia="Times"/>
        </w:rPr>
        <w:t>data</w:t>
      </w:r>
      <w:r w:rsidR="000A5329" w:rsidRPr="002029AF">
        <w:rPr>
          <w:rFonts w:eastAsia="Times"/>
        </w:rPr>
        <w:t xml:space="preserve"> </w:t>
      </w:r>
      <w:r w:rsidRPr="002029AF">
        <w:rPr>
          <w:rFonts w:eastAsia="Times"/>
        </w:rPr>
        <w:t>being</w:t>
      </w:r>
      <w:r w:rsidR="000A5329" w:rsidRPr="002029AF">
        <w:rPr>
          <w:rFonts w:eastAsia="Times"/>
        </w:rPr>
        <w:t xml:space="preserve"> </w:t>
      </w:r>
      <w:r w:rsidRPr="002029AF">
        <w:rPr>
          <w:rFonts w:eastAsia="Times"/>
        </w:rPr>
        <w:t>formatted</w:t>
      </w:r>
      <w:r w:rsidR="000A5329" w:rsidRPr="002029AF">
        <w:rPr>
          <w:rFonts w:eastAsia="Times"/>
        </w:rPr>
        <w:t xml:space="preserve"> </w:t>
      </w:r>
      <w:r w:rsidRPr="002029AF">
        <w:rPr>
          <w:rFonts w:eastAsia="Times"/>
        </w:rPr>
        <w:t>to</w:t>
      </w:r>
      <w:r w:rsidR="000A5329" w:rsidRPr="002029AF">
        <w:rPr>
          <w:rFonts w:eastAsia="Times"/>
        </w:rPr>
        <w:t xml:space="preserve"> </w:t>
      </w:r>
      <w:r w:rsidRPr="002029AF">
        <w:rPr>
          <w:rFonts w:eastAsia="Times"/>
        </w:rPr>
        <w:t>one</w:t>
      </w:r>
      <w:r w:rsidR="000A5329" w:rsidRPr="002029AF">
        <w:rPr>
          <w:rFonts w:eastAsia="Times"/>
        </w:rPr>
        <w:t xml:space="preserve"> </w:t>
      </w:r>
      <w:r w:rsidRPr="002029AF">
        <w:rPr>
          <w:rFonts w:eastAsia="Times"/>
        </w:rPr>
        <w:t>decimal</w:t>
      </w:r>
      <w:r w:rsidR="000A5329" w:rsidRPr="002029AF">
        <w:rPr>
          <w:rFonts w:eastAsia="Times"/>
        </w:rPr>
        <w:t xml:space="preserve"> </w:t>
      </w:r>
      <w:r w:rsidRPr="002029AF">
        <w:rPr>
          <w:rFonts w:eastAsia="Times"/>
        </w:rPr>
        <w:t>place.</w:t>
      </w:r>
    </w:p>
    <w:p w14:paraId="4613BBF1" w14:textId="3D5727D2" w:rsidR="00CF72D5" w:rsidRPr="002029AF" w:rsidRDefault="00CF72D5" w:rsidP="00897193">
      <w:pPr>
        <w:pStyle w:val="ARtablefootnote"/>
        <w:rPr>
          <w:rFonts w:eastAsia="Times"/>
        </w:rPr>
      </w:pPr>
      <w:r w:rsidRPr="002029AF">
        <w:rPr>
          <w:rFonts w:eastAsia="Times"/>
        </w:rPr>
        <w:t>‘Other’</w:t>
      </w:r>
      <w:r w:rsidR="000A5329" w:rsidRPr="002029AF">
        <w:rPr>
          <w:rFonts w:eastAsia="Times"/>
        </w:rPr>
        <w:t xml:space="preserve"> </w:t>
      </w:r>
      <w:r w:rsidRPr="002029AF">
        <w:rPr>
          <w:rFonts w:eastAsia="Times"/>
        </w:rPr>
        <w:t>classification</w:t>
      </w:r>
      <w:r w:rsidR="000A5329" w:rsidRPr="002029AF">
        <w:rPr>
          <w:rFonts w:eastAsia="Times"/>
        </w:rPr>
        <w:t xml:space="preserve"> </w:t>
      </w:r>
      <w:r w:rsidRPr="002029AF">
        <w:rPr>
          <w:rFonts w:eastAsia="Times"/>
        </w:rPr>
        <w:t>group</w:t>
      </w:r>
      <w:r w:rsidR="000A5329" w:rsidRPr="002029AF">
        <w:rPr>
          <w:rFonts w:eastAsia="Times"/>
        </w:rPr>
        <w:t xml:space="preserve"> </w:t>
      </w:r>
      <w:r w:rsidRPr="002029AF">
        <w:rPr>
          <w:rFonts w:eastAsia="Times"/>
        </w:rPr>
        <w:t>may</w:t>
      </w:r>
      <w:r w:rsidR="000A5329" w:rsidRPr="002029AF">
        <w:rPr>
          <w:rFonts w:eastAsia="Times"/>
        </w:rPr>
        <w:t xml:space="preserve"> </w:t>
      </w:r>
      <w:r w:rsidRPr="002029AF">
        <w:rPr>
          <w:rFonts w:eastAsia="Times"/>
        </w:rPr>
        <w:t>include</w:t>
      </w:r>
      <w:r w:rsidR="000A5329" w:rsidRPr="002029AF">
        <w:rPr>
          <w:rFonts w:eastAsia="Times"/>
        </w:rPr>
        <w:t xml:space="preserve"> </w:t>
      </w:r>
      <w:r w:rsidRPr="002029AF">
        <w:rPr>
          <w:rFonts w:eastAsia="Times"/>
        </w:rPr>
        <w:t>solicitors,</w:t>
      </w:r>
      <w:r w:rsidR="000A5329" w:rsidRPr="002029AF">
        <w:rPr>
          <w:rFonts w:eastAsia="Times"/>
        </w:rPr>
        <w:t xml:space="preserve"> </w:t>
      </w:r>
      <w:r w:rsidRPr="002029AF">
        <w:rPr>
          <w:rFonts w:eastAsia="Times"/>
        </w:rPr>
        <w:t>nurses,</w:t>
      </w:r>
      <w:r w:rsidR="000A5329" w:rsidRPr="002029AF">
        <w:rPr>
          <w:rFonts w:eastAsia="Times"/>
        </w:rPr>
        <w:t xml:space="preserve"> </w:t>
      </w:r>
      <w:r w:rsidRPr="002029AF">
        <w:rPr>
          <w:rFonts w:eastAsia="Times"/>
        </w:rPr>
        <w:t>trade</w:t>
      </w:r>
      <w:r w:rsidR="000A5329" w:rsidRPr="002029AF">
        <w:rPr>
          <w:rFonts w:eastAsia="Times"/>
        </w:rPr>
        <w:t xml:space="preserve"> </w:t>
      </w:r>
      <w:r w:rsidRPr="002029AF">
        <w:rPr>
          <w:rFonts w:eastAsia="Times"/>
        </w:rPr>
        <w:t>assistants,</w:t>
      </w:r>
      <w:r w:rsidR="000A5329" w:rsidRPr="002029AF">
        <w:rPr>
          <w:rFonts w:eastAsia="Times"/>
        </w:rPr>
        <w:t xml:space="preserve"> </w:t>
      </w:r>
      <w:r w:rsidRPr="002029AF">
        <w:rPr>
          <w:rFonts w:eastAsia="Times"/>
        </w:rPr>
        <w:t>scientists,</w:t>
      </w:r>
      <w:r w:rsidR="000A5329" w:rsidRPr="002029AF">
        <w:rPr>
          <w:rFonts w:eastAsia="Times"/>
        </w:rPr>
        <w:t xml:space="preserve"> </w:t>
      </w:r>
      <w:r w:rsidRPr="002029AF">
        <w:rPr>
          <w:rFonts w:eastAsia="Times"/>
        </w:rPr>
        <w:t>external</w:t>
      </w:r>
      <w:r w:rsidR="000A5329" w:rsidRPr="002029AF">
        <w:rPr>
          <w:rFonts w:eastAsia="Times"/>
        </w:rPr>
        <w:t xml:space="preserve"> </w:t>
      </w:r>
      <w:r w:rsidRPr="002029AF">
        <w:rPr>
          <w:rFonts w:eastAsia="Times"/>
        </w:rPr>
        <w:t>auditors.</w:t>
      </w:r>
    </w:p>
    <w:p w14:paraId="7E1DF260" w14:textId="262A97C8" w:rsidR="00CF72D5" w:rsidRPr="002029AF" w:rsidRDefault="00CF72D5" w:rsidP="00897193">
      <w:pPr>
        <w:pStyle w:val="ARtablefootnote"/>
      </w:pPr>
      <w:r w:rsidRPr="002029AF">
        <w:rPr>
          <w:rFonts w:cs="Arial"/>
          <w:color w:val="000000"/>
        </w:rPr>
        <w:t>Data</w:t>
      </w:r>
      <w:r w:rsidR="000A5329" w:rsidRPr="002029AF">
        <w:rPr>
          <w:rFonts w:cs="Arial"/>
          <w:color w:val="000000"/>
        </w:rPr>
        <w:t xml:space="preserve"> </w:t>
      </w:r>
      <w:r w:rsidRPr="002029AF">
        <w:rPr>
          <w:rFonts w:cs="Arial"/>
          <w:color w:val="000000"/>
        </w:rPr>
        <w:t>as</w:t>
      </w:r>
      <w:r w:rsidR="000A5329" w:rsidRPr="002029AF">
        <w:rPr>
          <w:rFonts w:cs="Arial"/>
          <w:color w:val="000000"/>
        </w:rPr>
        <w:t xml:space="preserve"> </w:t>
      </w:r>
      <w:r w:rsidRPr="002029AF">
        <w:rPr>
          <w:rFonts w:cs="Arial"/>
          <w:color w:val="000000"/>
        </w:rPr>
        <w:t>at</w:t>
      </w:r>
      <w:r w:rsidR="000A5329" w:rsidRPr="002029AF">
        <w:rPr>
          <w:rFonts w:cs="Arial"/>
          <w:color w:val="000000"/>
        </w:rPr>
        <w:t xml:space="preserve"> </w:t>
      </w:r>
      <w:r w:rsidRPr="002029AF">
        <w:rPr>
          <w:rFonts w:cs="Arial"/>
          <w:color w:val="000000"/>
        </w:rPr>
        <w:t>30</w:t>
      </w:r>
      <w:r w:rsidR="000A5329" w:rsidRPr="002029AF">
        <w:rPr>
          <w:rFonts w:cs="Arial"/>
          <w:color w:val="000000"/>
        </w:rPr>
        <w:t xml:space="preserve"> </w:t>
      </w:r>
      <w:r w:rsidRPr="002029AF">
        <w:rPr>
          <w:rFonts w:cs="Arial"/>
          <w:color w:val="000000"/>
        </w:rPr>
        <w:t>June</w:t>
      </w:r>
      <w:r w:rsidR="000A5329" w:rsidRPr="002029AF">
        <w:rPr>
          <w:rFonts w:cs="Arial"/>
          <w:color w:val="000000"/>
        </w:rPr>
        <w:t xml:space="preserve"> </w:t>
      </w:r>
      <w:r w:rsidRPr="002029AF">
        <w:rPr>
          <w:rFonts w:cs="Arial"/>
          <w:color w:val="000000"/>
        </w:rPr>
        <w:t>2020.</w:t>
      </w:r>
    </w:p>
    <w:p w14:paraId="5DE8474E" w14:textId="77777777" w:rsidR="00CF72D5" w:rsidRPr="002029AF" w:rsidRDefault="00CF72D5" w:rsidP="00897193">
      <w:pPr>
        <w:pStyle w:val="Heading5"/>
        <w:sectPr w:rsidR="00CF72D5" w:rsidRPr="002029AF" w:rsidSect="00E25B23">
          <w:footerReference w:type="even" r:id="rId121"/>
          <w:pgSz w:w="16838" w:h="11906" w:orient="landscape" w:code="9"/>
          <w:pgMar w:top="1418" w:right="1985" w:bottom="1418" w:left="851" w:header="851" w:footer="851" w:gutter="0"/>
          <w:cols w:space="454"/>
          <w:docGrid w:linePitch="360"/>
          <w15:footnoteColumns w:val="1"/>
        </w:sectPr>
      </w:pPr>
    </w:p>
    <w:p w14:paraId="3304740C" w14:textId="2616C43E" w:rsidR="00CF72D5" w:rsidRPr="002029AF" w:rsidRDefault="00CF72D5" w:rsidP="00A952A7">
      <w:pPr>
        <w:pStyle w:val="Heading4"/>
        <w:spacing w:before="0"/>
      </w:pPr>
      <w:r w:rsidRPr="002029AF">
        <w:lastRenderedPageBreak/>
        <w:t>Annualised</w:t>
      </w:r>
      <w:r w:rsidR="000A5329" w:rsidRPr="002029AF">
        <w:t xml:space="preserve"> </w:t>
      </w:r>
      <w:r w:rsidRPr="002029AF">
        <w:t>total</w:t>
      </w:r>
      <w:r w:rsidR="000A5329" w:rsidRPr="002029AF">
        <w:t xml:space="preserve"> </w:t>
      </w:r>
      <w:r w:rsidRPr="002029AF">
        <w:t>salary,</w:t>
      </w:r>
      <w:r w:rsidR="000A5329" w:rsidRPr="002029AF">
        <w:t xml:space="preserve"> </w:t>
      </w:r>
      <w:r w:rsidRPr="002029AF">
        <w:t>by</w:t>
      </w:r>
      <w:r w:rsidR="000A5329" w:rsidRPr="002029AF">
        <w:t xml:space="preserve"> </w:t>
      </w:r>
      <w:r w:rsidRPr="002029AF">
        <w:t>$20,000</w:t>
      </w:r>
      <w:r w:rsidR="000A5329" w:rsidRPr="002029AF">
        <w:t xml:space="preserve"> </w:t>
      </w:r>
      <w:r w:rsidRPr="002029AF">
        <w:t>bands,</w:t>
      </w:r>
      <w:r w:rsidR="000A5329" w:rsidRPr="002029AF">
        <w:t xml:space="preserve"> </w:t>
      </w:r>
      <w:r w:rsidRPr="002029AF">
        <w:t>for</w:t>
      </w:r>
      <w:r w:rsidR="000A5329" w:rsidRPr="002029AF">
        <w:t xml:space="preserve"> </w:t>
      </w:r>
      <w:r w:rsidRPr="002029AF">
        <w:t>executives</w:t>
      </w:r>
      <w:r w:rsidR="000A5329" w:rsidRPr="002029AF">
        <w:t xml:space="preserve"> </w:t>
      </w:r>
      <w:r w:rsidRPr="002029AF">
        <w:t>and</w:t>
      </w:r>
      <w:r w:rsidR="000A5329" w:rsidRPr="002029AF">
        <w:t xml:space="preserve"> </w:t>
      </w:r>
      <w:r w:rsidRPr="002029AF">
        <w:t>other</w:t>
      </w:r>
      <w:r w:rsidR="000A5329" w:rsidRPr="002029AF">
        <w:t xml:space="preserve"> </w:t>
      </w:r>
      <w:r w:rsidRPr="002029AF">
        <w:t>senior</w:t>
      </w:r>
      <w:r w:rsidR="000A5329" w:rsidRPr="002029AF">
        <w:t xml:space="preserve"> </w:t>
      </w:r>
      <w:r w:rsidR="00B95D52">
        <w:br/>
      </w:r>
      <w:r w:rsidRPr="002029AF">
        <w:t>non-executive</w:t>
      </w:r>
      <w:r w:rsidR="000A5329" w:rsidRPr="002029AF">
        <w:t xml:space="preserve"> </w:t>
      </w:r>
      <w:r w:rsidRPr="002029AF">
        <w:t>staff</w:t>
      </w:r>
    </w:p>
    <w:tbl>
      <w:tblPr>
        <w:tblW w:w="9645"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1E0" w:firstRow="1" w:lastRow="1" w:firstColumn="1" w:lastColumn="1" w:noHBand="0" w:noVBand="0"/>
      </w:tblPr>
      <w:tblGrid>
        <w:gridCol w:w="2699"/>
        <w:gridCol w:w="1418"/>
        <w:gridCol w:w="1134"/>
        <w:gridCol w:w="1134"/>
        <w:gridCol w:w="1134"/>
        <w:gridCol w:w="1134"/>
        <w:gridCol w:w="992"/>
      </w:tblGrid>
      <w:tr w:rsidR="00CF72D5" w:rsidRPr="002029AF" w14:paraId="70C9226E" w14:textId="77777777" w:rsidTr="00192EEE">
        <w:trPr>
          <w:cantSplit/>
          <w:tblHeader/>
        </w:trPr>
        <w:tc>
          <w:tcPr>
            <w:tcW w:w="1399" w:type="pct"/>
            <w:tcBorders>
              <w:bottom w:val="single" w:sz="4" w:space="0" w:color="auto"/>
            </w:tcBorders>
            <w:shd w:val="clear" w:color="auto" w:fill="auto"/>
            <w:vAlign w:val="bottom"/>
          </w:tcPr>
          <w:p w14:paraId="4CE4BBBD" w14:textId="13907166" w:rsidR="00CF72D5" w:rsidRPr="002029AF" w:rsidRDefault="00CF72D5" w:rsidP="00897193">
            <w:pPr>
              <w:pStyle w:val="ARtablecolhead"/>
            </w:pPr>
            <w:r w:rsidRPr="002029AF">
              <w:t>Income</w:t>
            </w:r>
            <w:r w:rsidR="000A5329" w:rsidRPr="002029AF">
              <w:t xml:space="preserve"> </w:t>
            </w:r>
            <w:r w:rsidRPr="002029AF">
              <w:t>band</w:t>
            </w:r>
            <w:r w:rsidR="000A5329" w:rsidRPr="002029AF">
              <w:t xml:space="preserve"> </w:t>
            </w:r>
            <w:r w:rsidRPr="002029AF">
              <w:t>(salary)</w:t>
            </w:r>
          </w:p>
        </w:tc>
        <w:tc>
          <w:tcPr>
            <w:tcW w:w="735" w:type="pct"/>
            <w:tcBorders>
              <w:top w:val="nil"/>
              <w:bottom w:val="single" w:sz="4" w:space="0" w:color="auto"/>
            </w:tcBorders>
            <w:shd w:val="clear" w:color="auto" w:fill="auto"/>
            <w:vAlign w:val="bottom"/>
          </w:tcPr>
          <w:p w14:paraId="7E031128" w14:textId="77777777" w:rsidR="00CF72D5" w:rsidRPr="002029AF" w:rsidRDefault="00CF72D5" w:rsidP="00897193">
            <w:pPr>
              <w:pStyle w:val="ARtablecolheadright"/>
            </w:pPr>
            <w:r w:rsidRPr="002029AF">
              <w:t>Executives</w:t>
            </w:r>
          </w:p>
        </w:tc>
        <w:tc>
          <w:tcPr>
            <w:tcW w:w="588" w:type="pct"/>
            <w:tcBorders>
              <w:top w:val="nil"/>
              <w:bottom w:val="single" w:sz="4" w:space="0" w:color="auto"/>
            </w:tcBorders>
            <w:shd w:val="clear" w:color="auto" w:fill="auto"/>
            <w:vAlign w:val="bottom"/>
          </w:tcPr>
          <w:p w14:paraId="56B62105" w14:textId="77777777" w:rsidR="00CF72D5" w:rsidRPr="002029AF" w:rsidRDefault="00CF72D5" w:rsidP="00897193">
            <w:pPr>
              <w:pStyle w:val="ARtablecolheadright"/>
            </w:pPr>
            <w:r w:rsidRPr="002029AF">
              <w:t>STS</w:t>
            </w:r>
          </w:p>
        </w:tc>
        <w:tc>
          <w:tcPr>
            <w:tcW w:w="588" w:type="pct"/>
            <w:tcBorders>
              <w:top w:val="nil"/>
              <w:bottom w:val="single" w:sz="4" w:space="0" w:color="auto"/>
            </w:tcBorders>
            <w:shd w:val="clear" w:color="auto" w:fill="auto"/>
            <w:vAlign w:val="bottom"/>
          </w:tcPr>
          <w:p w14:paraId="241D8F77" w14:textId="77777777" w:rsidR="00CF72D5" w:rsidRPr="002029AF" w:rsidRDefault="00CF72D5" w:rsidP="00897193">
            <w:pPr>
              <w:pStyle w:val="ARtablecolheadright"/>
            </w:pPr>
            <w:r w:rsidRPr="002029AF">
              <w:t>PS</w:t>
            </w:r>
          </w:p>
        </w:tc>
        <w:tc>
          <w:tcPr>
            <w:tcW w:w="588" w:type="pct"/>
            <w:tcBorders>
              <w:top w:val="nil"/>
              <w:bottom w:val="single" w:sz="4" w:space="0" w:color="auto"/>
            </w:tcBorders>
            <w:vAlign w:val="bottom"/>
          </w:tcPr>
          <w:p w14:paraId="1D15891F" w14:textId="77777777" w:rsidR="00CF72D5" w:rsidRPr="002029AF" w:rsidRDefault="00CF72D5" w:rsidP="00897193">
            <w:pPr>
              <w:pStyle w:val="ARtablecolheadright"/>
            </w:pPr>
            <w:r w:rsidRPr="002029AF">
              <w:t>SMA</w:t>
            </w:r>
          </w:p>
        </w:tc>
        <w:tc>
          <w:tcPr>
            <w:tcW w:w="588" w:type="pct"/>
            <w:tcBorders>
              <w:top w:val="nil"/>
              <w:bottom w:val="single" w:sz="4" w:space="0" w:color="auto"/>
            </w:tcBorders>
            <w:vAlign w:val="bottom"/>
          </w:tcPr>
          <w:p w14:paraId="5E3A2946" w14:textId="77777777" w:rsidR="00CF72D5" w:rsidRPr="002029AF" w:rsidRDefault="00CF72D5" w:rsidP="00897193">
            <w:pPr>
              <w:pStyle w:val="ARtablecolheadright"/>
            </w:pPr>
            <w:r w:rsidRPr="002029AF">
              <w:t>SRA</w:t>
            </w:r>
          </w:p>
        </w:tc>
        <w:tc>
          <w:tcPr>
            <w:tcW w:w="514" w:type="pct"/>
            <w:tcBorders>
              <w:top w:val="nil"/>
              <w:bottom w:val="single" w:sz="4" w:space="0" w:color="auto"/>
            </w:tcBorders>
            <w:vAlign w:val="bottom"/>
          </w:tcPr>
          <w:p w14:paraId="784E596A" w14:textId="77777777" w:rsidR="00CF72D5" w:rsidRPr="002029AF" w:rsidRDefault="00CF72D5" w:rsidP="00897193">
            <w:pPr>
              <w:pStyle w:val="ARtablecolheadright"/>
            </w:pPr>
            <w:r w:rsidRPr="002029AF">
              <w:t>Other</w:t>
            </w:r>
          </w:p>
        </w:tc>
      </w:tr>
      <w:tr w:rsidR="00CF72D5" w:rsidRPr="002029AF" w14:paraId="19F2BFC5" w14:textId="77777777" w:rsidTr="00897193">
        <w:trPr>
          <w:cantSplit/>
        </w:trPr>
        <w:tc>
          <w:tcPr>
            <w:tcW w:w="1399" w:type="pct"/>
            <w:tcBorders>
              <w:top w:val="single" w:sz="4" w:space="0" w:color="auto"/>
              <w:bottom w:val="single" w:sz="4" w:space="0" w:color="auto"/>
            </w:tcBorders>
            <w:shd w:val="clear" w:color="auto" w:fill="auto"/>
          </w:tcPr>
          <w:p w14:paraId="6F3AB797" w14:textId="6C16263B" w:rsidR="00CF72D5" w:rsidRPr="002029AF" w:rsidRDefault="00CF72D5" w:rsidP="00897193">
            <w:pPr>
              <w:pStyle w:val="ARtabletext"/>
            </w:pPr>
            <w:r w:rsidRPr="002029AF">
              <w:t>&lt;</w:t>
            </w:r>
            <w:r w:rsidR="000A5329" w:rsidRPr="002029AF">
              <w:t xml:space="preserve"> </w:t>
            </w:r>
            <w:r w:rsidRPr="002029AF">
              <w:t>$160,000</w:t>
            </w:r>
          </w:p>
        </w:tc>
        <w:tc>
          <w:tcPr>
            <w:tcW w:w="735" w:type="pct"/>
            <w:tcBorders>
              <w:top w:val="single" w:sz="4" w:space="0" w:color="auto"/>
              <w:bottom w:val="single" w:sz="4" w:space="0" w:color="auto"/>
            </w:tcBorders>
            <w:shd w:val="clear" w:color="auto" w:fill="auto"/>
          </w:tcPr>
          <w:p w14:paraId="3AA20FC5" w14:textId="77777777" w:rsidR="00CF72D5" w:rsidRPr="002029AF" w:rsidRDefault="00CF72D5" w:rsidP="00897193">
            <w:pPr>
              <w:pStyle w:val="ARtabletextright"/>
            </w:pPr>
          </w:p>
        </w:tc>
        <w:tc>
          <w:tcPr>
            <w:tcW w:w="588" w:type="pct"/>
            <w:tcBorders>
              <w:top w:val="single" w:sz="4" w:space="0" w:color="auto"/>
              <w:bottom w:val="single" w:sz="4" w:space="0" w:color="auto"/>
            </w:tcBorders>
            <w:shd w:val="clear" w:color="auto" w:fill="auto"/>
          </w:tcPr>
          <w:p w14:paraId="7643D267" w14:textId="77777777" w:rsidR="00CF72D5" w:rsidRPr="002029AF" w:rsidRDefault="00CF72D5" w:rsidP="00897193">
            <w:pPr>
              <w:pStyle w:val="ARtabletextright"/>
            </w:pPr>
          </w:p>
        </w:tc>
        <w:tc>
          <w:tcPr>
            <w:tcW w:w="588" w:type="pct"/>
            <w:tcBorders>
              <w:top w:val="single" w:sz="4" w:space="0" w:color="auto"/>
              <w:bottom w:val="single" w:sz="4" w:space="0" w:color="auto"/>
            </w:tcBorders>
            <w:shd w:val="clear" w:color="auto" w:fill="auto"/>
          </w:tcPr>
          <w:p w14:paraId="22EBB175"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470388AE"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6D9F575F"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14E7C163" w14:textId="77777777" w:rsidR="00CF72D5" w:rsidRPr="002029AF" w:rsidRDefault="00CF72D5" w:rsidP="00897193">
            <w:pPr>
              <w:pStyle w:val="ARtabletextright"/>
            </w:pPr>
          </w:p>
        </w:tc>
      </w:tr>
      <w:tr w:rsidR="00CF72D5" w:rsidRPr="002029AF" w14:paraId="33081107" w14:textId="77777777" w:rsidTr="00897193">
        <w:trPr>
          <w:cantSplit/>
        </w:trPr>
        <w:tc>
          <w:tcPr>
            <w:tcW w:w="1399" w:type="pct"/>
            <w:tcBorders>
              <w:top w:val="single" w:sz="4" w:space="0" w:color="auto"/>
              <w:bottom w:val="single" w:sz="4" w:space="0" w:color="auto"/>
            </w:tcBorders>
            <w:shd w:val="clear" w:color="auto" w:fill="auto"/>
          </w:tcPr>
          <w:p w14:paraId="10B3A304" w14:textId="77777777" w:rsidR="00CF72D5" w:rsidRPr="002029AF" w:rsidRDefault="00CF72D5" w:rsidP="00897193">
            <w:pPr>
              <w:pStyle w:val="ARtabletext"/>
            </w:pPr>
            <w:r w:rsidRPr="002029AF">
              <w:t>$160,000–$179,999</w:t>
            </w:r>
          </w:p>
        </w:tc>
        <w:tc>
          <w:tcPr>
            <w:tcW w:w="735" w:type="pct"/>
            <w:tcBorders>
              <w:top w:val="single" w:sz="4" w:space="0" w:color="auto"/>
              <w:bottom w:val="single" w:sz="4" w:space="0" w:color="auto"/>
            </w:tcBorders>
            <w:shd w:val="clear" w:color="auto" w:fill="auto"/>
          </w:tcPr>
          <w:p w14:paraId="568177A4" w14:textId="77777777" w:rsidR="00CF72D5" w:rsidRPr="002029AF" w:rsidRDefault="00CF72D5" w:rsidP="00897193">
            <w:pPr>
              <w:pStyle w:val="ARtabletextright"/>
              <w:rPr>
                <w:color w:val="000000" w:themeColor="text1"/>
              </w:rPr>
            </w:pPr>
            <w:r w:rsidRPr="002029AF">
              <w:rPr>
                <w:color w:val="000000" w:themeColor="text1"/>
              </w:rPr>
              <w:t>4</w:t>
            </w:r>
          </w:p>
        </w:tc>
        <w:tc>
          <w:tcPr>
            <w:tcW w:w="588" w:type="pct"/>
            <w:tcBorders>
              <w:top w:val="single" w:sz="4" w:space="0" w:color="auto"/>
              <w:bottom w:val="single" w:sz="4" w:space="0" w:color="auto"/>
            </w:tcBorders>
            <w:shd w:val="clear" w:color="auto" w:fill="auto"/>
          </w:tcPr>
          <w:p w14:paraId="3FD7A858" w14:textId="77777777" w:rsidR="00CF72D5" w:rsidRPr="002029AF" w:rsidRDefault="00CF72D5" w:rsidP="00897193">
            <w:pPr>
              <w:pStyle w:val="ARtabletextright"/>
              <w:rPr>
                <w:color w:val="000000" w:themeColor="text1"/>
              </w:rPr>
            </w:pPr>
            <w:r w:rsidRPr="002029AF">
              <w:rPr>
                <w:color w:val="000000" w:themeColor="text1"/>
              </w:rPr>
              <w:t>1</w:t>
            </w:r>
          </w:p>
        </w:tc>
        <w:tc>
          <w:tcPr>
            <w:tcW w:w="588" w:type="pct"/>
            <w:tcBorders>
              <w:top w:val="single" w:sz="4" w:space="0" w:color="auto"/>
              <w:bottom w:val="single" w:sz="4" w:space="0" w:color="auto"/>
            </w:tcBorders>
            <w:shd w:val="clear" w:color="auto" w:fill="auto"/>
          </w:tcPr>
          <w:p w14:paraId="4F6202AC"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7E0D5DFE"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61DBCD7C"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486703C2" w14:textId="77777777" w:rsidR="00CF72D5" w:rsidRPr="002029AF" w:rsidRDefault="00CF72D5" w:rsidP="00897193">
            <w:pPr>
              <w:pStyle w:val="ARtabletextright"/>
            </w:pPr>
          </w:p>
        </w:tc>
      </w:tr>
      <w:tr w:rsidR="00CF72D5" w:rsidRPr="002029AF" w14:paraId="1E5181D1" w14:textId="77777777" w:rsidTr="00897193">
        <w:trPr>
          <w:cantSplit/>
        </w:trPr>
        <w:tc>
          <w:tcPr>
            <w:tcW w:w="1399" w:type="pct"/>
            <w:tcBorders>
              <w:top w:val="single" w:sz="4" w:space="0" w:color="auto"/>
              <w:bottom w:val="single" w:sz="4" w:space="0" w:color="auto"/>
            </w:tcBorders>
            <w:shd w:val="clear" w:color="auto" w:fill="auto"/>
          </w:tcPr>
          <w:p w14:paraId="5782146E" w14:textId="77777777" w:rsidR="00CF72D5" w:rsidRPr="002029AF" w:rsidRDefault="00CF72D5" w:rsidP="00897193">
            <w:pPr>
              <w:pStyle w:val="ARtabletext"/>
            </w:pPr>
            <w:r w:rsidRPr="002029AF">
              <w:t>$180,000–$199,999</w:t>
            </w:r>
          </w:p>
        </w:tc>
        <w:tc>
          <w:tcPr>
            <w:tcW w:w="735" w:type="pct"/>
            <w:tcBorders>
              <w:top w:val="single" w:sz="4" w:space="0" w:color="auto"/>
              <w:bottom w:val="single" w:sz="4" w:space="0" w:color="auto"/>
            </w:tcBorders>
            <w:shd w:val="clear" w:color="auto" w:fill="auto"/>
          </w:tcPr>
          <w:p w14:paraId="3456A677" w14:textId="77777777" w:rsidR="00CF72D5" w:rsidRPr="002029AF" w:rsidRDefault="00CF72D5" w:rsidP="00897193">
            <w:pPr>
              <w:pStyle w:val="ARtabletextright"/>
              <w:rPr>
                <w:color w:val="000000" w:themeColor="text1"/>
              </w:rPr>
            </w:pPr>
            <w:r w:rsidRPr="002029AF">
              <w:rPr>
                <w:color w:val="000000" w:themeColor="text1"/>
              </w:rPr>
              <w:t>7</w:t>
            </w:r>
          </w:p>
        </w:tc>
        <w:tc>
          <w:tcPr>
            <w:tcW w:w="588" w:type="pct"/>
            <w:tcBorders>
              <w:top w:val="single" w:sz="4" w:space="0" w:color="auto"/>
              <w:bottom w:val="single" w:sz="4" w:space="0" w:color="auto"/>
            </w:tcBorders>
            <w:shd w:val="clear" w:color="auto" w:fill="auto"/>
          </w:tcPr>
          <w:p w14:paraId="7B3CE949" w14:textId="77777777" w:rsidR="00CF72D5" w:rsidRPr="002029AF" w:rsidRDefault="00CF72D5" w:rsidP="00897193">
            <w:pPr>
              <w:pStyle w:val="ARtabletextright"/>
              <w:rPr>
                <w:color w:val="000000" w:themeColor="text1"/>
              </w:rPr>
            </w:pPr>
            <w:r w:rsidRPr="002029AF">
              <w:rPr>
                <w:color w:val="000000" w:themeColor="text1"/>
              </w:rPr>
              <w:t>2</w:t>
            </w:r>
          </w:p>
        </w:tc>
        <w:tc>
          <w:tcPr>
            <w:tcW w:w="588" w:type="pct"/>
            <w:tcBorders>
              <w:top w:val="single" w:sz="4" w:space="0" w:color="auto"/>
              <w:bottom w:val="single" w:sz="4" w:space="0" w:color="auto"/>
            </w:tcBorders>
            <w:shd w:val="clear" w:color="auto" w:fill="auto"/>
          </w:tcPr>
          <w:p w14:paraId="6ACE8F5A"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115E5706"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6B3D473C"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28E2C2A2" w14:textId="77777777" w:rsidR="00CF72D5" w:rsidRPr="002029AF" w:rsidRDefault="00CF72D5" w:rsidP="00897193">
            <w:pPr>
              <w:pStyle w:val="ARtabletextright"/>
            </w:pPr>
          </w:p>
        </w:tc>
      </w:tr>
      <w:tr w:rsidR="00CF72D5" w:rsidRPr="002029AF" w14:paraId="77F160DC" w14:textId="77777777" w:rsidTr="00897193">
        <w:trPr>
          <w:cantSplit/>
        </w:trPr>
        <w:tc>
          <w:tcPr>
            <w:tcW w:w="1399" w:type="pct"/>
            <w:tcBorders>
              <w:top w:val="single" w:sz="4" w:space="0" w:color="auto"/>
              <w:bottom w:val="single" w:sz="4" w:space="0" w:color="auto"/>
            </w:tcBorders>
            <w:shd w:val="clear" w:color="auto" w:fill="auto"/>
          </w:tcPr>
          <w:p w14:paraId="37EDF4E9" w14:textId="77777777" w:rsidR="00CF72D5" w:rsidRPr="002029AF" w:rsidRDefault="00CF72D5" w:rsidP="00897193">
            <w:pPr>
              <w:pStyle w:val="ARtabletext"/>
            </w:pPr>
            <w:r w:rsidRPr="002029AF">
              <w:t>$200,000–$219,999</w:t>
            </w:r>
          </w:p>
        </w:tc>
        <w:tc>
          <w:tcPr>
            <w:tcW w:w="735" w:type="pct"/>
            <w:tcBorders>
              <w:top w:val="single" w:sz="4" w:space="0" w:color="auto"/>
              <w:bottom w:val="single" w:sz="4" w:space="0" w:color="auto"/>
            </w:tcBorders>
            <w:shd w:val="clear" w:color="auto" w:fill="auto"/>
          </w:tcPr>
          <w:p w14:paraId="3ED95B26" w14:textId="77777777" w:rsidR="00CF72D5" w:rsidRPr="002029AF" w:rsidRDefault="00CF72D5" w:rsidP="00897193">
            <w:pPr>
              <w:pStyle w:val="ARtabletextright"/>
              <w:rPr>
                <w:color w:val="000000" w:themeColor="text1"/>
              </w:rPr>
            </w:pPr>
            <w:r w:rsidRPr="002029AF">
              <w:rPr>
                <w:color w:val="000000" w:themeColor="text1"/>
              </w:rPr>
              <w:t>3</w:t>
            </w:r>
          </w:p>
        </w:tc>
        <w:tc>
          <w:tcPr>
            <w:tcW w:w="588" w:type="pct"/>
            <w:tcBorders>
              <w:top w:val="single" w:sz="4" w:space="0" w:color="auto"/>
              <w:bottom w:val="single" w:sz="4" w:space="0" w:color="auto"/>
            </w:tcBorders>
            <w:shd w:val="clear" w:color="auto" w:fill="auto"/>
          </w:tcPr>
          <w:p w14:paraId="338A85BD"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643981B1"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0D3161EF"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3A86C040"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5E8A3A74" w14:textId="77777777" w:rsidR="00CF72D5" w:rsidRPr="002029AF" w:rsidRDefault="00CF72D5" w:rsidP="00897193">
            <w:pPr>
              <w:pStyle w:val="ARtabletextright"/>
            </w:pPr>
          </w:p>
        </w:tc>
      </w:tr>
      <w:tr w:rsidR="00CF72D5" w:rsidRPr="002029AF" w14:paraId="5C5992FF" w14:textId="77777777" w:rsidTr="00897193">
        <w:trPr>
          <w:cantSplit/>
        </w:trPr>
        <w:tc>
          <w:tcPr>
            <w:tcW w:w="1399" w:type="pct"/>
            <w:tcBorders>
              <w:top w:val="single" w:sz="4" w:space="0" w:color="auto"/>
              <w:bottom w:val="single" w:sz="4" w:space="0" w:color="auto"/>
            </w:tcBorders>
            <w:shd w:val="clear" w:color="auto" w:fill="auto"/>
          </w:tcPr>
          <w:p w14:paraId="021DC745" w14:textId="77777777" w:rsidR="00CF72D5" w:rsidRPr="002029AF" w:rsidRDefault="00CF72D5" w:rsidP="00897193">
            <w:pPr>
              <w:pStyle w:val="ARtabletext"/>
            </w:pPr>
            <w:r w:rsidRPr="002029AF">
              <w:t>$220,000–$239,999</w:t>
            </w:r>
          </w:p>
        </w:tc>
        <w:tc>
          <w:tcPr>
            <w:tcW w:w="735" w:type="pct"/>
            <w:tcBorders>
              <w:top w:val="single" w:sz="4" w:space="0" w:color="auto"/>
              <w:bottom w:val="single" w:sz="4" w:space="0" w:color="auto"/>
            </w:tcBorders>
            <w:shd w:val="clear" w:color="auto" w:fill="auto"/>
          </w:tcPr>
          <w:p w14:paraId="4B72528B" w14:textId="77777777" w:rsidR="00CF72D5" w:rsidRPr="002029AF" w:rsidRDefault="00CF72D5" w:rsidP="00897193">
            <w:pPr>
              <w:pStyle w:val="ARtabletextright"/>
              <w:rPr>
                <w:color w:val="000000" w:themeColor="text1"/>
              </w:rPr>
            </w:pPr>
            <w:r w:rsidRPr="002029AF">
              <w:rPr>
                <w:color w:val="000000" w:themeColor="text1"/>
              </w:rPr>
              <w:t>1</w:t>
            </w:r>
          </w:p>
        </w:tc>
        <w:tc>
          <w:tcPr>
            <w:tcW w:w="588" w:type="pct"/>
            <w:tcBorders>
              <w:top w:val="single" w:sz="4" w:space="0" w:color="auto"/>
              <w:bottom w:val="single" w:sz="4" w:space="0" w:color="auto"/>
            </w:tcBorders>
            <w:shd w:val="clear" w:color="auto" w:fill="auto"/>
          </w:tcPr>
          <w:p w14:paraId="7BD58C57" w14:textId="77777777" w:rsidR="00CF72D5" w:rsidRPr="002029AF" w:rsidRDefault="00CF72D5" w:rsidP="00897193">
            <w:pPr>
              <w:pStyle w:val="ARtabletextright"/>
              <w:rPr>
                <w:color w:val="000000" w:themeColor="text1"/>
              </w:rPr>
            </w:pPr>
            <w:r w:rsidRPr="002029AF">
              <w:rPr>
                <w:color w:val="000000" w:themeColor="text1"/>
              </w:rPr>
              <w:t>1</w:t>
            </w:r>
          </w:p>
        </w:tc>
        <w:tc>
          <w:tcPr>
            <w:tcW w:w="588" w:type="pct"/>
            <w:tcBorders>
              <w:top w:val="single" w:sz="4" w:space="0" w:color="auto"/>
              <w:bottom w:val="single" w:sz="4" w:space="0" w:color="auto"/>
            </w:tcBorders>
            <w:shd w:val="clear" w:color="auto" w:fill="auto"/>
          </w:tcPr>
          <w:p w14:paraId="4A75E163"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27546F81"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6D4667D9"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410AF4AE" w14:textId="77777777" w:rsidR="00CF72D5" w:rsidRPr="002029AF" w:rsidRDefault="00CF72D5" w:rsidP="00897193">
            <w:pPr>
              <w:pStyle w:val="ARtabletextright"/>
            </w:pPr>
          </w:p>
        </w:tc>
      </w:tr>
      <w:tr w:rsidR="00CF72D5" w:rsidRPr="002029AF" w14:paraId="571C8F40" w14:textId="77777777" w:rsidTr="00897193">
        <w:trPr>
          <w:cantSplit/>
        </w:trPr>
        <w:tc>
          <w:tcPr>
            <w:tcW w:w="1399" w:type="pct"/>
            <w:tcBorders>
              <w:top w:val="single" w:sz="4" w:space="0" w:color="auto"/>
              <w:bottom w:val="single" w:sz="4" w:space="0" w:color="auto"/>
            </w:tcBorders>
            <w:shd w:val="clear" w:color="auto" w:fill="auto"/>
          </w:tcPr>
          <w:p w14:paraId="73692E07" w14:textId="77777777" w:rsidR="00CF72D5" w:rsidRPr="002029AF" w:rsidRDefault="00CF72D5" w:rsidP="00897193">
            <w:pPr>
              <w:pStyle w:val="ARtabletext"/>
            </w:pPr>
            <w:r w:rsidRPr="002029AF">
              <w:t>$240,000–$259,999</w:t>
            </w:r>
          </w:p>
        </w:tc>
        <w:tc>
          <w:tcPr>
            <w:tcW w:w="735" w:type="pct"/>
            <w:tcBorders>
              <w:top w:val="single" w:sz="4" w:space="0" w:color="auto"/>
              <w:bottom w:val="single" w:sz="4" w:space="0" w:color="auto"/>
            </w:tcBorders>
            <w:shd w:val="clear" w:color="auto" w:fill="auto"/>
          </w:tcPr>
          <w:p w14:paraId="2517CA3D"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1CB65E34"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1B48B4C7"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4F4BFF7F"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319596BC"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52C47DD7" w14:textId="77777777" w:rsidR="00CF72D5" w:rsidRPr="002029AF" w:rsidRDefault="00CF72D5" w:rsidP="00897193">
            <w:pPr>
              <w:pStyle w:val="ARtabletextright"/>
            </w:pPr>
          </w:p>
        </w:tc>
      </w:tr>
      <w:tr w:rsidR="00CF72D5" w:rsidRPr="002029AF" w14:paraId="1F16B168" w14:textId="77777777" w:rsidTr="00897193">
        <w:tblPrEx>
          <w:tblLook w:val="04A0" w:firstRow="1" w:lastRow="0" w:firstColumn="1" w:lastColumn="0" w:noHBand="0" w:noVBand="1"/>
        </w:tblPrEx>
        <w:trPr>
          <w:cantSplit/>
        </w:trPr>
        <w:tc>
          <w:tcPr>
            <w:tcW w:w="1399" w:type="pct"/>
            <w:tcBorders>
              <w:top w:val="single" w:sz="4" w:space="0" w:color="auto"/>
              <w:bottom w:val="single" w:sz="4" w:space="0" w:color="auto"/>
            </w:tcBorders>
            <w:shd w:val="clear" w:color="auto" w:fill="auto"/>
          </w:tcPr>
          <w:p w14:paraId="7DB06489" w14:textId="77777777" w:rsidR="00CF72D5" w:rsidRPr="002029AF" w:rsidRDefault="00CF72D5" w:rsidP="00897193">
            <w:pPr>
              <w:pStyle w:val="ARtabletext"/>
            </w:pPr>
            <w:r w:rsidRPr="002029AF">
              <w:t>$260,000–$279,999</w:t>
            </w:r>
          </w:p>
        </w:tc>
        <w:tc>
          <w:tcPr>
            <w:tcW w:w="735" w:type="pct"/>
            <w:tcBorders>
              <w:top w:val="single" w:sz="4" w:space="0" w:color="auto"/>
              <w:bottom w:val="single" w:sz="4" w:space="0" w:color="auto"/>
            </w:tcBorders>
            <w:shd w:val="clear" w:color="auto" w:fill="auto"/>
          </w:tcPr>
          <w:p w14:paraId="730DD740" w14:textId="77777777" w:rsidR="00CF72D5" w:rsidRPr="002029AF" w:rsidRDefault="00CF72D5" w:rsidP="00897193">
            <w:pPr>
              <w:pStyle w:val="ARtabletextright"/>
              <w:rPr>
                <w:color w:val="000000" w:themeColor="text1"/>
              </w:rPr>
            </w:pPr>
            <w:r w:rsidRPr="002029AF">
              <w:rPr>
                <w:color w:val="000000" w:themeColor="text1"/>
              </w:rPr>
              <w:t>1</w:t>
            </w:r>
          </w:p>
        </w:tc>
        <w:tc>
          <w:tcPr>
            <w:tcW w:w="588" w:type="pct"/>
            <w:tcBorders>
              <w:top w:val="single" w:sz="4" w:space="0" w:color="auto"/>
              <w:bottom w:val="single" w:sz="4" w:space="0" w:color="auto"/>
            </w:tcBorders>
            <w:shd w:val="clear" w:color="auto" w:fill="auto"/>
          </w:tcPr>
          <w:p w14:paraId="75079946"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3F900957"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13C332A3"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427A5D7F"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6B61B982" w14:textId="77777777" w:rsidR="00CF72D5" w:rsidRPr="002029AF" w:rsidRDefault="00CF72D5" w:rsidP="00897193">
            <w:pPr>
              <w:pStyle w:val="ARtabletextright"/>
            </w:pPr>
          </w:p>
        </w:tc>
      </w:tr>
      <w:tr w:rsidR="00CF72D5" w:rsidRPr="002029AF" w14:paraId="052234FB" w14:textId="77777777" w:rsidTr="00897193">
        <w:tblPrEx>
          <w:tblLook w:val="04A0" w:firstRow="1" w:lastRow="0" w:firstColumn="1" w:lastColumn="0" w:noHBand="0" w:noVBand="1"/>
        </w:tblPrEx>
        <w:trPr>
          <w:cantSplit/>
        </w:trPr>
        <w:tc>
          <w:tcPr>
            <w:tcW w:w="1399" w:type="pct"/>
            <w:tcBorders>
              <w:top w:val="single" w:sz="4" w:space="0" w:color="auto"/>
              <w:bottom w:val="single" w:sz="4" w:space="0" w:color="auto"/>
            </w:tcBorders>
            <w:shd w:val="clear" w:color="auto" w:fill="auto"/>
          </w:tcPr>
          <w:p w14:paraId="44A09BF4" w14:textId="77777777" w:rsidR="00CF72D5" w:rsidRPr="002029AF" w:rsidRDefault="00CF72D5" w:rsidP="00897193">
            <w:pPr>
              <w:pStyle w:val="ARtabletext"/>
            </w:pPr>
            <w:r w:rsidRPr="002029AF">
              <w:t>$280,000–$299,999</w:t>
            </w:r>
          </w:p>
        </w:tc>
        <w:tc>
          <w:tcPr>
            <w:tcW w:w="735" w:type="pct"/>
            <w:tcBorders>
              <w:top w:val="single" w:sz="4" w:space="0" w:color="auto"/>
              <w:bottom w:val="single" w:sz="4" w:space="0" w:color="auto"/>
            </w:tcBorders>
            <w:shd w:val="clear" w:color="auto" w:fill="auto"/>
          </w:tcPr>
          <w:p w14:paraId="608BA9D1" w14:textId="77777777" w:rsidR="00CF72D5" w:rsidRPr="002029AF" w:rsidRDefault="00CF72D5" w:rsidP="00897193">
            <w:pPr>
              <w:pStyle w:val="ARtabletextright"/>
              <w:rPr>
                <w:color w:val="000000" w:themeColor="text1"/>
              </w:rPr>
            </w:pPr>
            <w:r w:rsidRPr="002029AF">
              <w:rPr>
                <w:color w:val="000000" w:themeColor="text1"/>
              </w:rPr>
              <w:t>2</w:t>
            </w:r>
          </w:p>
        </w:tc>
        <w:tc>
          <w:tcPr>
            <w:tcW w:w="588" w:type="pct"/>
            <w:tcBorders>
              <w:top w:val="single" w:sz="4" w:space="0" w:color="auto"/>
              <w:bottom w:val="single" w:sz="4" w:space="0" w:color="auto"/>
            </w:tcBorders>
            <w:shd w:val="clear" w:color="auto" w:fill="auto"/>
          </w:tcPr>
          <w:p w14:paraId="68FEB062"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0DC18A4E"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54E378A0"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359764FF"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0C0A606F" w14:textId="77777777" w:rsidR="00CF72D5" w:rsidRPr="002029AF" w:rsidRDefault="00CF72D5" w:rsidP="00897193">
            <w:pPr>
              <w:pStyle w:val="ARtabletextright"/>
            </w:pPr>
          </w:p>
        </w:tc>
      </w:tr>
      <w:tr w:rsidR="00CF72D5" w:rsidRPr="002029AF" w14:paraId="013AB2A7" w14:textId="77777777" w:rsidTr="00897193">
        <w:tblPrEx>
          <w:tblLook w:val="04A0" w:firstRow="1" w:lastRow="0" w:firstColumn="1" w:lastColumn="0" w:noHBand="0" w:noVBand="1"/>
        </w:tblPrEx>
        <w:trPr>
          <w:cantSplit/>
        </w:trPr>
        <w:tc>
          <w:tcPr>
            <w:tcW w:w="1399" w:type="pct"/>
            <w:tcBorders>
              <w:top w:val="single" w:sz="4" w:space="0" w:color="auto"/>
              <w:bottom w:val="single" w:sz="4" w:space="0" w:color="auto"/>
            </w:tcBorders>
            <w:shd w:val="clear" w:color="auto" w:fill="auto"/>
          </w:tcPr>
          <w:p w14:paraId="0C572C92" w14:textId="335441CC" w:rsidR="00CF72D5" w:rsidRPr="002029AF" w:rsidRDefault="00CF72D5" w:rsidP="00897193">
            <w:pPr>
              <w:pStyle w:val="ARtabletext"/>
            </w:pPr>
            <w:r w:rsidRPr="002029AF">
              <w:t>$300,00</w:t>
            </w:r>
            <w:r w:rsidR="00DB53E6" w:rsidRPr="002029AF">
              <w:t>0–</w:t>
            </w:r>
            <w:r w:rsidRPr="002029AF">
              <w:t>$319,999</w:t>
            </w:r>
          </w:p>
        </w:tc>
        <w:tc>
          <w:tcPr>
            <w:tcW w:w="735" w:type="pct"/>
            <w:tcBorders>
              <w:top w:val="single" w:sz="4" w:space="0" w:color="auto"/>
              <w:bottom w:val="single" w:sz="4" w:space="0" w:color="auto"/>
            </w:tcBorders>
            <w:shd w:val="clear" w:color="auto" w:fill="auto"/>
          </w:tcPr>
          <w:p w14:paraId="0755970A"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798FFE5F"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241E7501"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3F7B6FD2"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7D7D9790"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562C6C11" w14:textId="77777777" w:rsidR="00CF72D5" w:rsidRPr="002029AF" w:rsidRDefault="00CF72D5" w:rsidP="00897193">
            <w:pPr>
              <w:pStyle w:val="ARtabletextright"/>
            </w:pPr>
          </w:p>
        </w:tc>
      </w:tr>
      <w:tr w:rsidR="00CF72D5" w:rsidRPr="002029AF" w14:paraId="61AF4CD1" w14:textId="77777777" w:rsidTr="00897193">
        <w:tblPrEx>
          <w:tblLook w:val="04A0" w:firstRow="1" w:lastRow="0" w:firstColumn="1" w:lastColumn="0" w:noHBand="0" w:noVBand="1"/>
        </w:tblPrEx>
        <w:trPr>
          <w:cantSplit/>
        </w:trPr>
        <w:tc>
          <w:tcPr>
            <w:tcW w:w="1399" w:type="pct"/>
            <w:tcBorders>
              <w:top w:val="single" w:sz="4" w:space="0" w:color="auto"/>
            </w:tcBorders>
            <w:shd w:val="clear" w:color="auto" w:fill="auto"/>
          </w:tcPr>
          <w:p w14:paraId="43E4686A" w14:textId="77777777" w:rsidR="00CF72D5" w:rsidRPr="002029AF" w:rsidRDefault="00CF72D5" w:rsidP="00897193">
            <w:pPr>
              <w:pStyle w:val="ARtabletextbold"/>
            </w:pPr>
            <w:r w:rsidRPr="002029AF">
              <w:t>Total</w:t>
            </w:r>
          </w:p>
        </w:tc>
        <w:tc>
          <w:tcPr>
            <w:tcW w:w="735" w:type="pct"/>
            <w:tcBorders>
              <w:top w:val="single" w:sz="4" w:space="0" w:color="auto"/>
            </w:tcBorders>
            <w:shd w:val="clear" w:color="auto" w:fill="auto"/>
          </w:tcPr>
          <w:p w14:paraId="2C8689BF" w14:textId="77777777" w:rsidR="00CF72D5" w:rsidRPr="002029AF" w:rsidRDefault="00CF72D5" w:rsidP="00897193">
            <w:pPr>
              <w:pStyle w:val="ARtabletextrightbold"/>
              <w:rPr>
                <w:color w:val="000000" w:themeColor="text1"/>
              </w:rPr>
            </w:pPr>
            <w:r w:rsidRPr="002029AF">
              <w:rPr>
                <w:color w:val="000000" w:themeColor="text1"/>
              </w:rPr>
              <w:t>18</w:t>
            </w:r>
          </w:p>
        </w:tc>
        <w:tc>
          <w:tcPr>
            <w:tcW w:w="588" w:type="pct"/>
            <w:tcBorders>
              <w:top w:val="single" w:sz="4" w:space="0" w:color="auto"/>
            </w:tcBorders>
            <w:shd w:val="clear" w:color="auto" w:fill="auto"/>
          </w:tcPr>
          <w:p w14:paraId="405F1E28" w14:textId="77777777" w:rsidR="00CF72D5" w:rsidRPr="002029AF" w:rsidRDefault="00CF72D5" w:rsidP="00897193">
            <w:pPr>
              <w:pStyle w:val="ARtabletextrightbold"/>
              <w:rPr>
                <w:color w:val="000000" w:themeColor="text1"/>
              </w:rPr>
            </w:pPr>
            <w:r w:rsidRPr="002029AF">
              <w:rPr>
                <w:color w:val="000000" w:themeColor="text1"/>
              </w:rPr>
              <w:t>4</w:t>
            </w:r>
          </w:p>
        </w:tc>
        <w:tc>
          <w:tcPr>
            <w:tcW w:w="588" w:type="pct"/>
            <w:tcBorders>
              <w:top w:val="single" w:sz="4" w:space="0" w:color="auto"/>
            </w:tcBorders>
            <w:shd w:val="clear" w:color="auto" w:fill="auto"/>
          </w:tcPr>
          <w:p w14:paraId="1C14C019" w14:textId="77777777" w:rsidR="00CF72D5" w:rsidRPr="002029AF" w:rsidRDefault="00CF72D5" w:rsidP="00897193">
            <w:pPr>
              <w:pStyle w:val="ARtabletextrightbold"/>
            </w:pPr>
          </w:p>
        </w:tc>
        <w:tc>
          <w:tcPr>
            <w:tcW w:w="588" w:type="pct"/>
            <w:tcBorders>
              <w:top w:val="single" w:sz="4" w:space="0" w:color="auto"/>
            </w:tcBorders>
          </w:tcPr>
          <w:p w14:paraId="631A3135" w14:textId="77777777" w:rsidR="00CF72D5" w:rsidRPr="002029AF" w:rsidRDefault="00CF72D5" w:rsidP="00897193">
            <w:pPr>
              <w:pStyle w:val="ARtabletextrightbold"/>
            </w:pPr>
          </w:p>
        </w:tc>
        <w:tc>
          <w:tcPr>
            <w:tcW w:w="588" w:type="pct"/>
            <w:tcBorders>
              <w:top w:val="single" w:sz="4" w:space="0" w:color="auto"/>
            </w:tcBorders>
          </w:tcPr>
          <w:p w14:paraId="7EDEABF2" w14:textId="77777777" w:rsidR="00CF72D5" w:rsidRPr="002029AF" w:rsidRDefault="00CF72D5" w:rsidP="00897193">
            <w:pPr>
              <w:pStyle w:val="ARtabletextrightbold"/>
            </w:pPr>
          </w:p>
        </w:tc>
        <w:tc>
          <w:tcPr>
            <w:tcW w:w="514" w:type="pct"/>
            <w:tcBorders>
              <w:top w:val="single" w:sz="4" w:space="0" w:color="auto"/>
            </w:tcBorders>
          </w:tcPr>
          <w:p w14:paraId="3F77601F" w14:textId="77777777" w:rsidR="00CF72D5" w:rsidRPr="002029AF" w:rsidRDefault="00CF72D5" w:rsidP="00897193">
            <w:pPr>
              <w:pStyle w:val="ARtabletextrightbold"/>
            </w:pPr>
          </w:p>
        </w:tc>
      </w:tr>
    </w:tbl>
    <w:p w14:paraId="5D057CF7" w14:textId="49CC71BF" w:rsidR="00CF72D5" w:rsidRPr="002029AF" w:rsidRDefault="00CF72D5" w:rsidP="00FC001B">
      <w:pPr>
        <w:pStyle w:val="Heading3"/>
      </w:pPr>
      <w:r w:rsidRPr="002029AF">
        <w:t>Mental</w:t>
      </w:r>
      <w:r w:rsidR="000A5329" w:rsidRPr="002029AF">
        <w:t xml:space="preserve"> </w:t>
      </w:r>
      <w:r w:rsidRPr="002029AF">
        <w:t>Health</w:t>
      </w:r>
      <w:r w:rsidR="000A5329" w:rsidRPr="002029AF">
        <w:t xml:space="preserve"> </w:t>
      </w:r>
      <w:r w:rsidRPr="002029AF">
        <w:t>Reform</w:t>
      </w:r>
      <w:r w:rsidR="000A5329" w:rsidRPr="002029AF">
        <w:t xml:space="preserve"> </w:t>
      </w:r>
      <w:r w:rsidRPr="002029AF">
        <w:t>Victoria</w:t>
      </w:r>
      <w:r w:rsidR="000A5329" w:rsidRPr="002029AF">
        <w:t xml:space="preserve"> </w:t>
      </w:r>
      <w:r w:rsidRPr="002029AF">
        <w:t>employment</w:t>
      </w:r>
      <w:r w:rsidR="000A5329" w:rsidRPr="002029AF">
        <w:t xml:space="preserve"> </w:t>
      </w:r>
      <w:r w:rsidRPr="002029AF">
        <w:t>levels</w:t>
      </w:r>
    </w:p>
    <w:p w14:paraId="3697F5A2" w14:textId="7C3896FA" w:rsidR="00CF72D5" w:rsidRPr="002029AF" w:rsidRDefault="00CF72D5" w:rsidP="00897193">
      <w:pPr>
        <w:pStyle w:val="Heading4"/>
      </w:pPr>
      <w:r w:rsidRPr="002029AF">
        <w:t>Summary</w:t>
      </w:r>
      <w:r w:rsidR="000A5329" w:rsidRPr="002029AF">
        <w:t xml:space="preserve"> </w:t>
      </w:r>
      <w:r w:rsidRPr="002029AF">
        <w:t>of</w:t>
      </w:r>
      <w:r w:rsidR="000A5329" w:rsidRPr="002029AF">
        <w:t xml:space="preserve"> </w:t>
      </w:r>
      <w:r w:rsidRPr="002029AF">
        <w:t>employment</w:t>
      </w:r>
      <w:r w:rsidR="000A5329" w:rsidRPr="002029AF">
        <w:t xml:space="preserve"> </w:t>
      </w:r>
      <w:r w:rsidRPr="002029AF">
        <w:t>levels</w:t>
      </w:r>
      <w:r w:rsidR="000A5329" w:rsidRPr="002029AF">
        <w:t xml:space="preserve"> </w:t>
      </w:r>
      <w:r w:rsidRPr="002029AF">
        <w:t>in</w:t>
      </w:r>
      <w:r w:rsidR="000A5329" w:rsidRPr="002029AF">
        <w:t xml:space="preserve"> </w:t>
      </w:r>
      <w:r w:rsidRPr="002029AF">
        <w:t>June</w:t>
      </w:r>
      <w:r w:rsidR="000A5329" w:rsidRPr="002029AF">
        <w:t xml:space="preserve"> </w:t>
      </w:r>
      <w:r w:rsidRPr="002029AF">
        <w:t>of</w:t>
      </w:r>
      <w:r w:rsidR="000A5329" w:rsidRPr="002029AF">
        <w:t xml:space="preserve"> </w:t>
      </w:r>
      <w:r w:rsidRPr="002029AF">
        <w:t>2020</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Layout w:type="fixed"/>
        <w:tblCellMar>
          <w:left w:w="0" w:type="dxa"/>
        </w:tblCellMar>
        <w:tblLook w:val="06A0" w:firstRow="1" w:lastRow="0" w:firstColumn="1" w:lastColumn="0" w:noHBand="1" w:noVBand="1"/>
      </w:tblPr>
      <w:tblGrid>
        <w:gridCol w:w="1611"/>
        <w:gridCol w:w="1609"/>
        <w:gridCol w:w="1610"/>
        <w:gridCol w:w="1610"/>
        <w:gridCol w:w="1610"/>
        <w:gridCol w:w="1589"/>
      </w:tblGrid>
      <w:tr w:rsidR="00CF72D5" w:rsidRPr="002029AF" w14:paraId="27C0EF0B" w14:textId="77777777" w:rsidTr="002008D4">
        <w:trPr>
          <w:cantSplit/>
          <w:tblHeader/>
        </w:trPr>
        <w:tc>
          <w:tcPr>
            <w:tcW w:w="1611" w:type="dxa"/>
            <w:vMerge w:val="restart"/>
            <w:shd w:val="clear" w:color="auto" w:fill="auto"/>
            <w:vAlign w:val="bottom"/>
          </w:tcPr>
          <w:p w14:paraId="7EB722E3" w14:textId="77777777" w:rsidR="00CF72D5" w:rsidRPr="002029AF" w:rsidRDefault="00CF72D5" w:rsidP="002008D4">
            <w:pPr>
              <w:pStyle w:val="ARtablecolhead"/>
            </w:pPr>
          </w:p>
        </w:tc>
        <w:tc>
          <w:tcPr>
            <w:tcW w:w="6439" w:type="dxa"/>
            <w:gridSpan w:val="4"/>
            <w:shd w:val="clear" w:color="auto" w:fill="auto"/>
            <w:vAlign w:val="bottom"/>
          </w:tcPr>
          <w:p w14:paraId="52C252E7" w14:textId="33E2515F" w:rsidR="00CF72D5" w:rsidRPr="002029AF" w:rsidRDefault="00CF72D5" w:rsidP="00233C48">
            <w:pPr>
              <w:pStyle w:val="ARtablecolheadcentre"/>
              <w:ind w:left="397"/>
            </w:pPr>
            <w:r w:rsidRPr="002029AF">
              <w:t>Ongoing</w:t>
            </w:r>
            <w:r w:rsidR="000A5329" w:rsidRPr="002029AF">
              <w:t xml:space="preserve"> </w:t>
            </w:r>
            <w:r w:rsidRPr="002029AF">
              <w:t>employees</w:t>
            </w:r>
          </w:p>
        </w:tc>
        <w:tc>
          <w:tcPr>
            <w:tcW w:w="1589" w:type="dxa"/>
            <w:shd w:val="clear" w:color="auto" w:fill="auto"/>
            <w:vAlign w:val="bottom"/>
          </w:tcPr>
          <w:p w14:paraId="03F34C40" w14:textId="7E4B6F43" w:rsidR="00CF72D5" w:rsidRPr="002029AF" w:rsidRDefault="00CF72D5" w:rsidP="00233C48">
            <w:pPr>
              <w:pStyle w:val="ARtablecolheadright"/>
            </w:pPr>
            <w:r w:rsidRPr="002029AF">
              <w:t>Fixed-term</w:t>
            </w:r>
            <w:r w:rsidR="000A5329" w:rsidRPr="002029AF">
              <w:t xml:space="preserve"> </w:t>
            </w:r>
            <w:r w:rsidRPr="002029AF">
              <w:t>and</w:t>
            </w:r>
            <w:r w:rsidR="00233C48" w:rsidRPr="002029AF">
              <w:t> </w:t>
            </w:r>
            <w:r w:rsidRPr="002029AF">
              <w:t>casual</w:t>
            </w:r>
            <w:r w:rsidR="000A5329" w:rsidRPr="002029AF">
              <w:t xml:space="preserve"> </w:t>
            </w:r>
            <w:r w:rsidRPr="002029AF">
              <w:t>employees</w:t>
            </w:r>
          </w:p>
        </w:tc>
      </w:tr>
      <w:tr w:rsidR="00CF72D5" w:rsidRPr="002029AF" w14:paraId="56C27B21" w14:textId="77777777" w:rsidTr="002008D4">
        <w:trPr>
          <w:cantSplit/>
          <w:tblHeader/>
        </w:trPr>
        <w:tc>
          <w:tcPr>
            <w:tcW w:w="1611" w:type="dxa"/>
            <w:vMerge/>
            <w:shd w:val="clear" w:color="auto" w:fill="auto"/>
          </w:tcPr>
          <w:p w14:paraId="2F9F50E3" w14:textId="77777777" w:rsidR="00CF72D5" w:rsidRPr="002029AF" w:rsidRDefault="00CF72D5" w:rsidP="00897193">
            <w:pPr>
              <w:jc w:val="right"/>
              <w:rPr>
                <w:rFonts w:cs="Arial"/>
              </w:rPr>
            </w:pPr>
          </w:p>
        </w:tc>
        <w:tc>
          <w:tcPr>
            <w:tcW w:w="1609" w:type="dxa"/>
            <w:shd w:val="clear" w:color="auto" w:fill="auto"/>
            <w:vAlign w:val="bottom"/>
          </w:tcPr>
          <w:p w14:paraId="0DEEF0C8" w14:textId="52297440" w:rsidR="00CF72D5" w:rsidRPr="002029AF" w:rsidRDefault="00CF72D5" w:rsidP="00897193">
            <w:pPr>
              <w:pStyle w:val="ARtablecolheadright"/>
            </w:pPr>
            <w:r w:rsidRPr="002029AF">
              <w:t>Employees</w:t>
            </w:r>
            <w:r w:rsidRPr="002029AF">
              <w:br/>
              <w:t>(head</w:t>
            </w:r>
            <w:r w:rsidR="000A5329" w:rsidRPr="002029AF">
              <w:t xml:space="preserve"> </w:t>
            </w:r>
            <w:r w:rsidRPr="002029AF">
              <w:t>count)</w:t>
            </w:r>
          </w:p>
        </w:tc>
        <w:tc>
          <w:tcPr>
            <w:tcW w:w="1610" w:type="dxa"/>
            <w:shd w:val="clear" w:color="auto" w:fill="auto"/>
            <w:vAlign w:val="bottom"/>
          </w:tcPr>
          <w:p w14:paraId="2297D3BE" w14:textId="0C72D695" w:rsidR="00CF72D5" w:rsidRPr="002029AF" w:rsidRDefault="00CF72D5" w:rsidP="00897193">
            <w:pPr>
              <w:pStyle w:val="ARtablecolheadright"/>
            </w:pPr>
            <w:r w:rsidRPr="002029AF">
              <w:t>Full-time</w:t>
            </w:r>
            <w:r w:rsidR="000A5329" w:rsidRPr="002029AF">
              <w:t xml:space="preserve"> </w:t>
            </w:r>
            <w:r w:rsidRPr="002029AF">
              <w:br/>
              <w:t>(head</w:t>
            </w:r>
            <w:r w:rsidR="000A5329" w:rsidRPr="002029AF">
              <w:t xml:space="preserve"> </w:t>
            </w:r>
            <w:r w:rsidRPr="002029AF">
              <w:t>count)</w:t>
            </w:r>
          </w:p>
        </w:tc>
        <w:tc>
          <w:tcPr>
            <w:tcW w:w="1610" w:type="dxa"/>
            <w:shd w:val="clear" w:color="auto" w:fill="auto"/>
            <w:vAlign w:val="bottom"/>
          </w:tcPr>
          <w:p w14:paraId="35A2E482" w14:textId="7C0040AD" w:rsidR="00CF72D5" w:rsidRPr="002029AF" w:rsidRDefault="00CF72D5" w:rsidP="00897193">
            <w:pPr>
              <w:pStyle w:val="ARtablecolheadright"/>
            </w:pPr>
            <w:r w:rsidRPr="002029AF">
              <w:t>Part-time</w:t>
            </w:r>
            <w:r w:rsidR="000A5329" w:rsidRPr="002029AF">
              <w:t xml:space="preserve"> </w:t>
            </w:r>
            <w:r w:rsidRPr="002029AF">
              <w:br/>
              <w:t>(head</w:t>
            </w:r>
            <w:r w:rsidR="000A5329" w:rsidRPr="002029AF">
              <w:t xml:space="preserve"> </w:t>
            </w:r>
            <w:r w:rsidRPr="002029AF">
              <w:t>count)</w:t>
            </w:r>
          </w:p>
        </w:tc>
        <w:tc>
          <w:tcPr>
            <w:tcW w:w="1610" w:type="dxa"/>
            <w:shd w:val="clear" w:color="auto" w:fill="auto"/>
            <w:vAlign w:val="bottom"/>
          </w:tcPr>
          <w:p w14:paraId="452529D1" w14:textId="77777777" w:rsidR="00CF72D5" w:rsidRPr="002029AF" w:rsidRDefault="00CF72D5" w:rsidP="00897193">
            <w:pPr>
              <w:pStyle w:val="ARtablecolheadright"/>
            </w:pPr>
            <w:r w:rsidRPr="002029AF">
              <w:t>FTE</w:t>
            </w:r>
          </w:p>
        </w:tc>
        <w:tc>
          <w:tcPr>
            <w:tcW w:w="1589" w:type="dxa"/>
            <w:shd w:val="clear" w:color="auto" w:fill="auto"/>
            <w:vAlign w:val="bottom"/>
          </w:tcPr>
          <w:p w14:paraId="3DC2018E" w14:textId="77777777" w:rsidR="00CF72D5" w:rsidRPr="002029AF" w:rsidRDefault="00CF72D5" w:rsidP="00897193">
            <w:pPr>
              <w:pStyle w:val="ARtablecolheadright"/>
            </w:pPr>
            <w:r w:rsidRPr="002029AF">
              <w:t>FTE</w:t>
            </w:r>
          </w:p>
        </w:tc>
      </w:tr>
      <w:tr w:rsidR="00CF72D5" w:rsidRPr="002029AF" w14:paraId="48574E19" w14:textId="77777777" w:rsidTr="002008D4">
        <w:trPr>
          <w:cantSplit/>
        </w:trPr>
        <w:tc>
          <w:tcPr>
            <w:tcW w:w="1611" w:type="dxa"/>
            <w:shd w:val="clear" w:color="auto" w:fill="auto"/>
          </w:tcPr>
          <w:p w14:paraId="7DFA72F5" w14:textId="08ED5367" w:rsidR="00CF72D5" w:rsidRPr="002029AF" w:rsidRDefault="00CF72D5" w:rsidP="00897193">
            <w:pPr>
              <w:pStyle w:val="ARtabletext"/>
            </w:pPr>
            <w:r w:rsidRPr="002029AF">
              <w:t>June</w:t>
            </w:r>
            <w:r w:rsidR="000A5329" w:rsidRPr="002029AF">
              <w:t xml:space="preserve"> </w:t>
            </w:r>
            <w:r w:rsidRPr="002029AF">
              <w:t>2020</w:t>
            </w:r>
          </w:p>
        </w:tc>
        <w:tc>
          <w:tcPr>
            <w:tcW w:w="1609" w:type="dxa"/>
            <w:shd w:val="clear" w:color="auto" w:fill="auto"/>
          </w:tcPr>
          <w:p w14:paraId="0C191645" w14:textId="77777777" w:rsidR="00CF72D5" w:rsidRPr="002029AF" w:rsidRDefault="00CF72D5" w:rsidP="00897193">
            <w:pPr>
              <w:pStyle w:val="ARtabletextright"/>
            </w:pPr>
            <w:r w:rsidRPr="002029AF">
              <w:t>9</w:t>
            </w:r>
          </w:p>
        </w:tc>
        <w:tc>
          <w:tcPr>
            <w:tcW w:w="1610" w:type="dxa"/>
            <w:shd w:val="clear" w:color="auto" w:fill="auto"/>
          </w:tcPr>
          <w:p w14:paraId="397812E2" w14:textId="77777777" w:rsidR="00CF72D5" w:rsidRPr="002029AF" w:rsidRDefault="00CF72D5" w:rsidP="00897193">
            <w:pPr>
              <w:pStyle w:val="ARtabletextright"/>
            </w:pPr>
            <w:r w:rsidRPr="002029AF">
              <w:t>6</w:t>
            </w:r>
          </w:p>
        </w:tc>
        <w:tc>
          <w:tcPr>
            <w:tcW w:w="1610" w:type="dxa"/>
            <w:shd w:val="clear" w:color="auto" w:fill="auto"/>
          </w:tcPr>
          <w:p w14:paraId="4E793C52" w14:textId="77777777" w:rsidR="00CF72D5" w:rsidRPr="002029AF" w:rsidRDefault="00CF72D5" w:rsidP="00897193">
            <w:pPr>
              <w:pStyle w:val="ARtabletextright"/>
            </w:pPr>
            <w:r w:rsidRPr="002029AF">
              <w:t>0</w:t>
            </w:r>
          </w:p>
        </w:tc>
        <w:tc>
          <w:tcPr>
            <w:tcW w:w="1610" w:type="dxa"/>
            <w:shd w:val="clear" w:color="auto" w:fill="auto"/>
          </w:tcPr>
          <w:p w14:paraId="1C0BF5ED" w14:textId="77777777" w:rsidR="00CF72D5" w:rsidRPr="002029AF" w:rsidRDefault="00CF72D5" w:rsidP="00897193">
            <w:pPr>
              <w:pStyle w:val="ARtabletextright"/>
            </w:pPr>
            <w:r w:rsidRPr="002029AF">
              <w:t>6</w:t>
            </w:r>
          </w:p>
        </w:tc>
        <w:tc>
          <w:tcPr>
            <w:tcW w:w="1589" w:type="dxa"/>
            <w:shd w:val="clear" w:color="auto" w:fill="auto"/>
          </w:tcPr>
          <w:p w14:paraId="11E63A4D" w14:textId="77777777" w:rsidR="00CF72D5" w:rsidRPr="002029AF" w:rsidRDefault="00CF72D5" w:rsidP="00897193">
            <w:pPr>
              <w:pStyle w:val="ARtabletextright"/>
            </w:pPr>
            <w:r w:rsidRPr="002029AF">
              <w:t>3</w:t>
            </w:r>
          </w:p>
        </w:tc>
      </w:tr>
    </w:tbl>
    <w:p w14:paraId="585C02C7" w14:textId="77777777" w:rsidR="00CF72D5" w:rsidRPr="002029AF" w:rsidRDefault="00CF72D5" w:rsidP="00897193">
      <w:pPr>
        <w:pStyle w:val="Heading6"/>
        <w:rPr>
          <w:lang w:val="en-AU"/>
        </w:rPr>
        <w:sectPr w:rsidR="00CF72D5" w:rsidRPr="002029AF" w:rsidSect="00E25B23">
          <w:footerReference w:type="even" r:id="rId122"/>
          <w:pgSz w:w="11906" w:h="16838" w:code="9"/>
          <w:pgMar w:top="1985" w:right="851" w:bottom="851" w:left="1418" w:header="510" w:footer="340" w:gutter="0"/>
          <w:cols w:space="454"/>
          <w:docGrid w:linePitch="360"/>
          <w15:footnoteColumns w:val="1"/>
        </w:sectPr>
      </w:pPr>
    </w:p>
    <w:p w14:paraId="5CE36322" w14:textId="25F408A6" w:rsidR="00CF72D5" w:rsidRPr="002029AF" w:rsidRDefault="00CF72D5" w:rsidP="00FC001B">
      <w:pPr>
        <w:pStyle w:val="Heading4"/>
        <w:spacing w:before="0"/>
      </w:pPr>
      <w:r w:rsidRPr="002029AF">
        <w:lastRenderedPageBreak/>
        <w:t>Mental</w:t>
      </w:r>
      <w:r w:rsidR="000A5329" w:rsidRPr="002029AF">
        <w:t xml:space="preserve"> </w:t>
      </w:r>
      <w:r w:rsidRPr="002029AF">
        <w:t>Health</w:t>
      </w:r>
      <w:r w:rsidR="000A5329" w:rsidRPr="002029AF">
        <w:t xml:space="preserve"> </w:t>
      </w:r>
      <w:r w:rsidRPr="002029AF">
        <w:t>Reform</w:t>
      </w:r>
      <w:r w:rsidR="000A5329" w:rsidRPr="002029AF">
        <w:t xml:space="preserve"> </w:t>
      </w:r>
      <w:r w:rsidRPr="002029AF">
        <w:t>Victoria</w:t>
      </w:r>
      <w:r w:rsidR="000A5329" w:rsidRPr="002029AF">
        <w:t xml:space="preserve"> </w:t>
      </w:r>
      <w:r w:rsidRPr="002029AF">
        <w:t>employment</w:t>
      </w:r>
      <w:r w:rsidR="000A5329" w:rsidRPr="002029AF">
        <w:t xml:space="preserve"> </w:t>
      </w:r>
      <w:r w:rsidRPr="002029AF">
        <w:t>levels</w:t>
      </w:r>
      <w:r w:rsidR="000A5329" w:rsidRPr="002029AF">
        <w:t xml:space="preserve"> </w:t>
      </w:r>
      <w:r w:rsidRPr="002029AF">
        <w:t>in</w:t>
      </w:r>
      <w:r w:rsidR="000A5329" w:rsidRPr="002029AF">
        <w:t xml:space="preserve"> </w:t>
      </w:r>
      <w:r w:rsidRPr="002029AF">
        <w:t>June</w:t>
      </w:r>
      <w:r w:rsidR="000A5329" w:rsidRPr="002029AF">
        <w:t xml:space="preserve"> </w:t>
      </w:r>
      <w:r w:rsidRPr="002029AF">
        <w:t>of</w:t>
      </w:r>
      <w:r w:rsidR="000A5329" w:rsidRPr="002029AF">
        <w:t xml:space="preserve"> </w:t>
      </w:r>
      <w:r w:rsidRPr="002029AF">
        <w:t>2020</w:t>
      </w:r>
    </w:p>
    <w:tbl>
      <w:tblPr>
        <w:tblStyle w:val="TableGrid"/>
        <w:tblW w:w="13721" w:type="dxa"/>
        <w:tblLook w:val="06A0" w:firstRow="1" w:lastRow="0" w:firstColumn="1" w:lastColumn="0" w:noHBand="1" w:noVBand="1"/>
      </w:tblPr>
      <w:tblGrid>
        <w:gridCol w:w="2387"/>
        <w:gridCol w:w="1620"/>
        <w:gridCol w:w="1619"/>
        <w:gridCol w:w="1619"/>
        <w:gridCol w:w="1619"/>
        <w:gridCol w:w="1619"/>
        <w:gridCol w:w="1619"/>
        <w:gridCol w:w="1619"/>
      </w:tblGrid>
      <w:tr w:rsidR="00650274" w:rsidRPr="002029AF" w14:paraId="61452A82" w14:textId="77777777" w:rsidTr="00233C48">
        <w:trPr>
          <w:cnfStyle w:val="100000000000" w:firstRow="1" w:lastRow="0" w:firstColumn="0" w:lastColumn="0" w:oddVBand="0" w:evenVBand="0" w:oddHBand="0" w:evenHBand="0" w:firstRowFirstColumn="0" w:firstRowLastColumn="0" w:lastRowFirstColumn="0" w:lastRowLastColumn="0"/>
          <w:tblHeader/>
        </w:trPr>
        <w:tc>
          <w:tcPr>
            <w:tcW w:w="2381" w:type="dxa"/>
            <w:vMerge w:val="restart"/>
          </w:tcPr>
          <w:p w14:paraId="6E847A29" w14:textId="77777777" w:rsidR="00650274" w:rsidRPr="002029AF" w:rsidRDefault="00650274" w:rsidP="00B518D9">
            <w:pPr>
              <w:pStyle w:val="ARtablecolhead"/>
              <w:spacing w:before="40" w:after="20"/>
            </w:pPr>
          </w:p>
        </w:tc>
        <w:tc>
          <w:tcPr>
            <w:tcW w:w="1616" w:type="dxa"/>
            <w:gridSpan w:val="7"/>
          </w:tcPr>
          <w:p w14:paraId="52AD6694" w14:textId="7CA39C9D" w:rsidR="00650274" w:rsidRPr="002029AF" w:rsidRDefault="00A46E91" w:rsidP="00B518D9">
            <w:pPr>
              <w:pStyle w:val="ARtablecolheadcentre"/>
              <w:spacing w:before="40" w:after="20"/>
              <w:rPr>
                <w:rFonts w:eastAsia="Times New Roman"/>
                <w:color w:val="000000"/>
              </w:rPr>
            </w:pPr>
            <w:r w:rsidRPr="002029AF">
              <w:t>June</w:t>
            </w:r>
            <w:r w:rsidR="000A5329" w:rsidRPr="002029AF">
              <w:t xml:space="preserve"> </w:t>
            </w:r>
            <w:r w:rsidRPr="002029AF">
              <w:t>2020</w:t>
            </w:r>
          </w:p>
        </w:tc>
      </w:tr>
      <w:tr w:rsidR="00A46E91" w:rsidRPr="002029AF" w14:paraId="7E538254" w14:textId="77777777" w:rsidTr="00233C48">
        <w:trPr>
          <w:cnfStyle w:val="100000000000" w:firstRow="1" w:lastRow="0" w:firstColumn="0" w:lastColumn="0" w:oddVBand="0" w:evenVBand="0" w:oddHBand="0" w:evenHBand="0" w:firstRowFirstColumn="0" w:firstRowLastColumn="0" w:lastRowFirstColumn="0" w:lastRowLastColumn="0"/>
          <w:tblHeader/>
        </w:trPr>
        <w:tc>
          <w:tcPr>
            <w:tcW w:w="2381" w:type="dxa"/>
            <w:vMerge/>
          </w:tcPr>
          <w:p w14:paraId="44C51AC6" w14:textId="77777777" w:rsidR="00A46E91" w:rsidRPr="002029AF" w:rsidRDefault="00A46E91" w:rsidP="00B518D9">
            <w:pPr>
              <w:pStyle w:val="ARtabletext"/>
              <w:spacing w:before="40" w:after="20"/>
            </w:pPr>
          </w:p>
        </w:tc>
        <w:tc>
          <w:tcPr>
            <w:tcW w:w="1616" w:type="dxa"/>
            <w:gridSpan w:val="2"/>
          </w:tcPr>
          <w:p w14:paraId="30E102AA" w14:textId="6ED57398" w:rsidR="00A46E91" w:rsidRPr="002029AF" w:rsidRDefault="00A46E91" w:rsidP="00B518D9">
            <w:pPr>
              <w:pStyle w:val="ARtablecolheadcentre"/>
              <w:spacing w:before="40" w:after="20"/>
            </w:pPr>
            <w:r w:rsidRPr="002029AF">
              <w:t>All</w:t>
            </w:r>
            <w:r w:rsidR="000A5329" w:rsidRPr="002029AF">
              <w:t xml:space="preserve"> </w:t>
            </w:r>
            <w:r w:rsidRPr="002029AF">
              <w:t>employees</w:t>
            </w:r>
          </w:p>
        </w:tc>
        <w:tc>
          <w:tcPr>
            <w:tcW w:w="1616" w:type="dxa"/>
            <w:gridSpan w:val="3"/>
          </w:tcPr>
          <w:p w14:paraId="48C401AB" w14:textId="7B20044D" w:rsidR="00A46E91" w:rsidRPr="002029AF" w:rsidRDefault="00A46E91" w:rsidP="00B518D9">
            <w:pPr>
              <w:pStyle w:val="ARtablecolheadcentre"/>
              <w:spacing w:before="40" w:after="20"/>
            </w:pPr>
            <w:r w:rsidRPr="002029AF">
              <w:t>Ongoing</w:t>
            </w:r>
          </w:p>
        </w:tc>
        <w:tc>
          <w:tcPr>
            <w:tcW w:w="1616" w:type="dxa"/>
            <w:gridSpan w:val="2"/>
          </w:tcPr>
          <w:p w14:paraId="42E8F6DE" w14:textId="0C6F45C5" w:rsidR="00A46E91" w:rsidRPr="002029AF" w:rsidRDefault="00A46E91" w:rsidP="00B518D9">
            <w:pPr>
              <w:pStyle w:val="ARtablecolheadcentre"/>
              <w:spacing w:before="40" w:after="20"/>
            </w:pPr>
            <w:r w:rsidRPr="002029AF">
              <w:t>Fixed</w:t>
            </w:r>
            <w:r w:rsidR="000A5329" w:rsidRPr="002029AF">
              <w:t xml:space="preserve"> </w:t>
            </w:r>
            <w:r w:rsidRPr="002029AF">
              <w:t>term</w:t>
            </w:r>
            <w:r w:rsidR="000A5329" w:rsidRPr="002029AF">
              <w:t xml:space="preserve"> </w:t>
            </w:r>
            <w:r w:rsidRPr="002029AF">
              <w:t>and</w:t>
            </w:r>
            <w:r w:rsidR="000A5329" w:rsidRPr="002029AF">
              <w:t xml:space="preserve"> </w:t>
            </w:r>
            <w:r w:rsidRPr="002029AF">
              <w:t>casual</w:t>
            </w:r>
          </w:p>
        </w:tc>
      </w:tr>
      <w:tr w:rsidR="00650274" w:rsidRPr="002029AF" w14:paraId="03C391F3" w14:textId="77777777" w:rsidTr="00233C48">
        <w:trPr>
          <w:cnfStyle w:val="100000000000" w:firstRow="1" w:lastRow="0" w:firstColumn="0" w:lastColumn="0" w:oddVBand="0" w:evenVBand="0" w:oddHBand="0" w:evenHBand="0" w:firstRowFirstColumn="0" w:firstRowLastColumn="0" w:lastRowFirstColumn="0" w:lastRowLastColumn="0"/>
          <w:tblHeader/>
        </w:trPr>
        <w:tc>
          <w:tcPr>
            <w:tcW w:w="2381" w:type="dxa"/>
            <w:vMerge/>
          </w:tcPr>
          <w:p w14:paraId="49AA8F70" w14:textId="77777777" w:rsidR="00650274" w:rsidRPr="002029AF" w:rsidRDefault="00650274" w:rsidP="00B518D9">
            <w:pPr>
              <w:pStyle w:val="ARtabletext"/>
              <w:spacing w:before="40" w:after="20"/>
            </w:pPr>
          </w:p>
        </w:tc>
        <w:tc>
          <w:tcPr>
            <w:tcW w:w="1616" w:type="dxa"/>
          </w:tcPr>
          <w:p w14:paraId="2F4DA7A9" w14:textId="1B9880CC" w:rsidR="00650274" w:rsidRPr="002029AF" w:rsidRDefault="00650274" w:rsidP="00B518D9">
            <w:pPr>
              <w:pStyle w:val="ARtablecolheadright"/>
              <w:spacing w:before="40" w:after="20"/>
              <w:rPr>
                <w:rFonts w:eastAsia="Times New Roman"/>
                <w:color w:val="000000"/>
              </w:rPr>
            </w:pPr>
            <w:r w:rsidRPr="002029AF">
              <w:t>Number</w:t>
            </w:r>
            <w:r w:rsidR="000A5329" w:rsidRPr="002029AF">
              <w:t xml:space="preserve"> </w:t>
            </w:r>
            <w:r w:rsidRPr="002029AF">
              <w:t>(head</w:t>
            </w:r>
            <w:r w:rsidR="000A5329" w:rsidRPr="002029AF">
              <w:t xml:space="preserve"> </w:t>
            </w:r>
            <w:r w:rsidRPr="002029AF">
              <w:t>count)</w:t>
            </w:r>
          </w:p>
        </w:tc>
        <w:tc>
          <w:tcPr>
            <w:tcW w:w="1616" w:type="dxa"/>
          </w:tcPr>
          <w:p w14:paraId="5125CE6B" w14:textId="04E69229" w:rsidR="00650274" w:rsidRPr="002029AF" w:rsidRDefault="00650274" w:rsidP="00B518D9">
            <w:pPr>
              <w:pStyle w:val="ARtablecolheadright"/>
              <w:spacing w:before="40" w:after="20"/>
              <w:rPr>
                <w:rFonts w:eastAsia="Times New Roman"/>
                <w:color w:val="000000"/>
              </w:rPr>
            </w:pPr>
            <w:r w:rsidRPr="002029AF">
              <w:t>FTE</w:t>
            </w:r>
          </w:p>
        </w:tc>
        <w:tc>
          <w:tcPr>
            <w:tcW w:w="1616" w:type="dxa"/>
          </w:tcPr>
          <w:p w14:paraId="326CB869" w14:textId="7FD6C03F" w:rsidR="00650274" w:rsidRPr="002029AF" w:rsidRDefault="00650274" w:rsidP="00B518D9">
            <w:pPr>
              <w:pStyle w:val="ARtablecolheadright"/>
              <w:spacing w:before="40" w:after="20"/>
              <w:rPr>
                <w:rFonts w:eastAsia="Times New Roman"/>
                <w:color w:val="000000"/>
              </w:rPr>
            </w:pPr>
            <w:r w:rsidRPr="002029AF">
              <w:t>Full-time</w:t>
            </w:r>
            <w:r w:rsidR="000A5329" w:rsidRPr="002029AF">
              <w:t xml:space="preserve"> </w:t>
            </w:r>
            <w:r w:rsidRPr="002029AF">
              <w:t>(head</w:t>
            </w:r>
            <w:r w:rsidR="000A5329" w:rsidRPr="002029AF">
              <w:t xml:space="preserve"> </w:t>
            </w:r>
            <w:r w:rsidRPr="002029AF">
              <w:t>count)</w:t>
            </w:r>
          </w:p>
        </w:tc>
        <w:tc>
          <w:tcPr>
            <w:tcW w:w="1616" w:type="dxa"/>
          </w:tcPr>
          <w:p w14:paraId="0FEB704F" w14:textId="3F106C22" w:rsidR="00650274" w:rsidRPr="002029AF" w:rsidRDefault="00650274" w:rsidP="00B518D9">
            <w:pPr>
              <w:pStyle w:val="ARtablecolheadright"/>
              <w:spacing w:before="40" w:after="20"/>
              <w:rPr>
                <w:rFonts w:eastAsia="Times New Roman"/>
                <w:color w:val="000000"/>
              </w:rPr>
            </w:pPr>
            <w:r w:rsidRPr="002029AF">
              <w:t>Part-time</w:t>
            </w:r>
            <w:r w:rsidR="000A5329" w:rsidRPr="002029AF">
              <w:t xml:space="preserve"> </w:t>
            </w:r>
            <w:r w:rsidRPr="002029AF">
              <w:t>(head</w:t>
            </w:r>
            <w:r w:rsidR="000A5329" w:rsidRPr="002029AF">
              <w:t xml:space="preserve"> </w:t>
            </w:r>
            <w:r w:rsidRPr="002029AF">
              <w:t>count)</w:t>
            </w:r>
          </w:p>
        </w:tc>
        <w:tc>
          <w:tcPr>
            <w:tcW w:w="1616" w:type="dxa"/>
          </w:tcPr>
          <w:p w14:paraId="56404A35" w14:textId="38D9B4AC" w:rsidR="00650274" w:rsidRPr="002029AF" w:rsidRDefault="00650274" w:rsidP="00B518D9">
            <w:pPr>
              <w:pStyle w:val="ARtablecolheadright"/>
              <w:spacing w:before="40" w:after="20"/>
              <w:rPr>
                <w:rFonts w:eastAsia="Times New Roman"/>
                <w:color w:val="000000"/>
              </w:rPr>
            </w:pPr>
            <w:r w:rsidRPr="002029AF">
              <w:t>FTE</w:t>
            </w:r>
          </w:p>
        </w:tc>
        <w:tc>
          <w:tcPr>
            <w:tcW w:w="1616" w:type="dxa"/>
          </w:tcPr>
          <w:p w14:paraId="7B6BC657" w14:textId="22940721" w:rsidR="00650274" w:rsidRPr="002029AF" w:rsidRDefault="00650274" w:rsidP="00B518D9">
            <w:pPr>
              <w:pStyle w:val="ARtablecolheadright"/>
              <w:spacing w:before="40" w:after="20"/>
              <w:rPr>
                <w:rFonts w:eastAsia="Times New Roman"/>
                <w:color w:val="000000"/>
              </w:rPr>
            </w:pPr>
            <w:r w:rsidRPr="002029AF">
              <w:t>Number</w:t>
            </w:r>
            <w:r w:rsidR="000A5329" w:rsidRPr="002029AF">
              <w:t xml:space="preserve"> </w:t>
            </w:r>
            <w:r w:rsidRPr="002029AF">
              <w:t>(head</w:t>
            </w:r>
            <w:r w:rsidR="000A5329" w:rsidRPr="002029AF">
              <w:t xml:space="preserve"> </w:t>
            </w:r>
            <w:r w:rsidRPr="002029AF">
              <w:t>count)</w:t>
            </w:r>
          </w:p>
        </w:tc>
        <w:tc>
          <w:tcPr>
            <w:tcW w:w="1616" w:type="dxa"/>
          </w:tcPr>
          <w:p w14:paraId="70A4F7CE" w14:textId="5DB94A0E" w:rsidR="00650274" w:rsidRPr="002029AF" w:rsidRDefault="00650274" w:rsidP="00B518D9">
            <w:pPr>
              <w:pStyle w:val="ARtablecolheadright"/>
              <w:spacing w:before="40" w:after="20"/>
              <w:rPr>
                <w:rFonts w:eastAsia="Times New Roman"/>
                <w:color w:val="000000"/>
              </w:rPr>
            </w:pPr>
            <w:r w:rsidRPr="002029AF">
              <w:t>FTE</w:t>
            </w:r>
          </w:p>
        </w:tc>
      </w:tr>
      <w:tr w:rsidR="00A46E91" w:rsidRPr="002029AF" w14:paraId="07760BC7" w14:textId="77777777" w:rsidTr="00A57FDC">
        <w:tc>
          <w:tcPr>
            <w:tcW w:w="2381" w:type="dxa"/>
            <w:gridSpan w:val="8"/>
          </w:tcPr>
          <w:p w14:paraId="2BDE3A79" w14:textId="3D5FFFA7" w:rsidR="00A46E91" w:rsidRPr="002029AF" w:rsidRDefault="00A46E91" w:rsidP="00B518D9">
            <w:pPr>
              <w:pStyle w:val="ARtablesubhead"/>
              <w:spacing w:before="40" w:after="20"/>
              <w:rPr>
                <w:rFonts w:eastAsia="Times New Roman"/>
                <w:color w:val="000000"/>
              </w:rPr>
            </w:pPr>
            <w:r w:rsidRPr="002029AF">
              <w:t>Gender</w:t>
            </w:r>
          </w:p>
        </w:tc>
      </w:tr>
      <w:tr w:rsidR="00CF72D5" w:rsidRPr="002029AF" w14:paraId="1508CAAC" w14:textId="77777777" w:rsidTr="00A57FDC">
        <w:tc>
          <w:tcPr>
            <w:tcW w:w="2381" w:type="dxa"/>
            <w:hideMark/>
          </w:tcPr>
          <w:p w14:paraId="08A61712" w14:textId="77777777" w:rsidR="00CF72D5" w:rsidRPr="002029AF" w:rsidRDefault="00CF72D5" w:rsidP="00B518D9">
            <w:pPr>
              <w:pStyle w:val="ARtabletext"/>
              <w:spacing w:before="40" w:after="20"/>
            </w:pPr>
            <w:r w:rsidRPr="002029AF">
              <w:t>Women</w:t>
            </w:r>
          </w:p>
        </w:tc>
        <w:tc>
          <w:tcPr>
            <w:tcW w:w="1616" w:type="dxa"/>
            <w:hideMark/>
          </w:tcPr>
          <w:p w14:paraId="66CFCFA0" w14:textId="77777777" w:rsidR="00CF72D5" w:rsidRPr="002029AF" w:rsidRDefault="00CF72D5" w:rsidP="00B518D9">
            <w:pPr>
              <w:pStyle w:val="ARtabletextright"/>
              <w:spacing w:before="40" w:after="20"/>
            </w:pPr>
            <w:r w:rsidRPr="002029AF">
              <w:t>6</w:t>
            </w:r>
          </w:p>
        </w:tc>
        <w:tc>
          <w:tcPr>
            <w:tcW w:w="1616" w:type="dxa"/>
            <w:hideMark/>
          </w:tcPr>
          <w:p w14:paraId="4D5D0EE8" w14:textId="77777777" w:rsidR="00CF72D5" w:rsidRPr="002029AF" w:rsidRDefault="00CF72D5" w:rsidP="00B518D9">
            <w:pPr>
              <w:pStyle w:val="ARtabletextright"/>
              <w:spacing w:before="40" w:after="20"/>
            </w:pPr>
            <w:r w:rsidRPr="002029AF">
              <w:t>6</w:t>
            </w:r>
          </w:p>
        </w:tc>
        <w:tc>
          <w:tcPr>
            <w:tcW w:w="1616" w:type="dxa"/>
            <w:hideMark/>
          </w:tcPr>
          <w:p w14:paraId="0611B5B3" w14:textId="77777777" w:rsidR="00CF72D5" w:rsidRPr="002029AF" w:rsidRDefault="00CF72D5" w:rsidP="00B518D9">
            <w:pPr>
              <w:pStyle w:val="ARtabletextright"/>
              <w:spacing w:before="40" w:after="20"/>
            </w:pPr>
            <w:r w:rsidRPr="002029AF">
              <w:t>4</w:t>
            </w:r>
          </w:p>
        </w:tc>
        <w:tc>
          <w:tcPr>
            <w:tcW w:w="1616" w:type="dxa"/>
            <w:hideMark/>
          </w:tcPr>
          <w:p w14:paraId="70743837" w14:textId="77777777" w:rsidR="00CF72D5" w:rsidRPr="002029AF" w:rsidRDefault="00CF72D5" w:rsidP="00B518D9">
            <w:pPr>
              <w:pStyle w:val="ARtabletextright"/>
              <w:spacing w:before="40" w:after="20"/>
            </w:pPr>
            <w:r w:rsidRPr="002029AF">
              <w:t>0</w:t>
            </w:r>
          </w:p>
        </w:tc>
        <w:tc>
          <w:tcPr>
            <w:tcW w:w="1616" w:type="dxa"/>
            <w:hideMark/>
          </w:tcPr>
          <w:p w14:paraId="359D8BEB" w14:textId="77777777" w:rsidR="00CF72D5" w:rsidRPr="002029AF" w:rsidRDefault="00CF72D5" w:rsidP="00B518D9">
            <w:pPr>
              <w:pStyle w:val="ARtabletextright"/>
              <w:spacing w:before="40" w:after="20"/>
            </w:pPr>
            <w:r w:rsidRPr="002029AF">
              <w:t>4</w:t>
            </w:r>
          </w:p>
        </w:tc>
        <w:tc>
          <w:tcPr>
            <w:tcW w:w="1616" w:type="dxa"/>
            <w:hideMark/>
          </w:tcPr>
          <w:p w14:paraId="780D8C9C" w14:textId="77777777" w:rsidR="00CF72D5" w:rsidRPr="002029AF" w:rsidRDefault="00CF72D5" w:rsidP="00B518D9">
            <w:pPr>
              <w:pStyle w:val="ARtabletextright"/>
              <w:spacing w:before="40" w:after="20"/>
            </w:pPr>
            <w:r w:rsidRPr="002029AF">
              <w:t>2</w:t>
            </w:r>
          </w:p>
        </w:tc>
        <w:tc>
          <w:tcPr>
            <w:tcW w:w="1616" w:type="dxa"/>
            <w:hideMark/>
          </w:tcPr>
          <w:p w14:paraId="3AD83F7F" w14:textId="77777777" w:rsidR="00CF72D5" w:rsidRPr="002029AF" w:rsidRDefault="00CF72D5" w:rsidP="00B518D9">
            <w:pPr>
              <w:pStyle w:val="ARtabletextright"/>
              <w:spacing w:before="40" w:after="20"/>
            </w:pPr>
            <w:r w:rsidRPr="002029AF">
              <w:t>2</w:t>
            </w:r>
          </w:p>
        </w:tc>
      </w:tr>
      <w:tr w:rsidR="00CF72D5" w:rsidRPr="002029AF" w14:paraId="29D9A6E1" w14:textId="77777777" w:rsidTr="00A57FDC">
        <w:tc>
          <w:tcPr>
            <w:tcW w:w="2381" w:type="dxa"/>
            <w:hideMark/>
          </w:tcPr>
          <w:p w14:paraId="0D53F2AB" w14:textId="77777777" w:rsidR="00CF72D5" w:rsidRPr="002029AF" w:rsidRDefault="00CF72D5" w:rsidP="00B518D9">
            <w:pPr>
              <w:pStyle w:val="ARtabletext"/>
              <w:spacing w:before="40" w:after="20"/>
            </w:pPr>
            <w:r w:rsidRPr="002029AF">
              <w:t>Men</w:t>
            </w:r>
          </w:p>
        </w:tc>
        <w:tc>
          <w:tcPr>
            <w:tcW w:w="1616" w:type="dxa"/>
            <w:hideMark/>
          </w:tcPr>
          <w:p w14:paraId="689136DA" w14:textId="77777777" w:rsidR="00CF72D5" w:rsidRPr="002029AF" w:rsidRDefault="00CF72D5" w:rsidP="00B518D9">
            <w:pPr>
              <w:pStyle w:val="ARtabletextright"/>
              <w:spacing w:before="40" w:after="20"/>
            </w:pPr>
            <w:r w:rsidRPr="002029AF">
              <w:t>3</w:t>
            </w:r>
          </w:p>
        </w:tc>
        <w:tc>
          <w:tcPr>
            <w:tcW w:w="1616" w:type="dxa"/>
            <w:hideMark/>
          </w:tcPr>
          <w:p w14:paraId="25F233E5" w14:textId="77777777" w:rsidR="00CF72D5" w:rsidRPr="002029AF" w:rsidRDefault="00CF72D5" w:rsidP="00B518D9">
            <w:pPr>
              <w:pStyle w:val="ARtabletextright"/>
              <w:spacing w:before="40" w:after="20"/>
            </w:pPr>
            <w:r w:rsidRPr="002029AF">
              <w:t>3</w:t>
            </w:r>
          </w:p>
        </w:tc>
        <w:tc>
          <w:tcPr>
            <w:tcW w:w="1616" w:type="dxa"/>
            <w:hideMark/>
          </w:tcPr>
          <w:p w14:paraId="57BDA4D8" w14:textId="77777777" w:rsidR="00CF72D5" w:rsidRPr="002029AF" w:rsidRDefault="00CF72D5" w:rsidP="00B518D9">
            <w:pPr>
              <w:pStyle w:val="ARtabletextright"/>
              <w:spacing w:before="40" w:after="20"/>
            </w:pPr>
            <w:r w:rsidRPr="002029AF">
              <w:t>2</w:t>
            </w:r>
          </w:p>
        </w:tc>
        <w:tc>
          <w:tcPr>
            <w:tcW w:w="1616" w:type="dxa"/>
            <w:hideMark/>
          </w:tcPr>
          <w:p w14:paraId="2169C557" w14:textId="77777777" w:rsidR="00CF72D5" w:rsidRPr="002029AF" w:rsidRDefault="00CF72D5" w:rsidP="00B518D9">
            <w:pPr>
              <w:pStyle w:val="ARtabletextright"/>
              <w:spacing w:before="40" w:after="20"/>
            </w:pPr>
            <w:r w:rsidRPr="002029AF">
              <w:t>0</w:t>
            </w:r>
          </w:p>
        </w:tc>
        <w:tc>
          <w:tcPr>
            <w:tcW w:w="1616" w:type="dxa"/>
            <w:hideMark/>
          </w:tcPr>
          <w:p w14:paraId="71C47065" w14:textId="77777777" w:rsidR="00CF72D5" w:rsidRPr="002029AF" w:rsidRDefault="00CF72D5" w:rsidP="00B518D9">
            <w:pPr>
              <w:pStyle w:val="ARtabletextright"/>
              <w:spacing w:before="40" w:after="20"/>
            </w:pPr>
            <w:r w:rsidRPr="002029AF">
              <w:t>2</w:t>
            </w:r>
          </w:p>
        </w:tc>
        <w:tc>
          <w:tcPr>
            <w:tcW w:w="1616" w:type="dxa"/>
            <w:hideMark/>
          </w:tcPr>
          <w:p w14:paraId="1818D212" w14:textId="77777777" w:rsidR="00CF72D5" w:rsidRPr="002029AF" w:rsidRDefault="00CF72D5" w:rsidP="00B518D9">
            <w:pPr>
              <w:pStyle w:val="ARtabletextright"/>
              <w:spacing w:before="40" w:after="20"/>
            </w:pPr>
            <w:r w:rsidRPr="002029AF">
              <w:t>1</w:t>
            </w:r>
          </w:p>
        </w:tc>
        <w:tc>
          <w:tcPr>
            <w:tcW w:w="1616" w:type="dxa"/>
            <w:hideMark/>
          </w:tcPr>
          <w:p w14:paraId="0B3FCE4A" w14:textId="77777777" w:rsidR="00CF72D5" w:rsidRPr="002029AF" w:rsidRDefault="00CF72D5" w:rsidP="00B518D9">
            <w:pPr>
              <w:pStyle w:val="ARtabletextright"/>
              <w:spacing w:before="40" w:after="20"/>
            </w:pPr>
            <w:r w:rsidRPr="002029AF">
              <w:t>1</w:t>
            </w:r>
          </w:p>
        </w:tc>
      </w:tr>
      <w:tr w:rsidR="00CF72D5" w:rsidRPr="002029AF" w14:paraId="2C8B0F2A" w14:textId="77777777" w:rsidTr="00A57FDC">
        <w:tc>
          <w:tcPr>
            <w:tcW w:w="2381" w:type="dxa"/>
            <w:hideMark/>
          </w:tcPr>
          <w:p w14:paraId="1DE3CFD8" w14:textId="77777777" w:rsidR="00CF72D5" w:rsidRPr="002029AF" w:rsidRDefault="00CF72D5" w:rsidP="00B518D9">
            <w:pPr>
              <w:pStyle w:val="ARtabletext"/>
              <w:spacing w:before="40" w:after="20"/>
            </w:pPr>
            <w:r w:rsidRPr="002029AF">
              <w:t>Self-described</w:t>
            </w:r>
          </w:p>
        </w:tc>
        <w:tc>
          <w:tcPr>
            <w:tcW w:w="1616" w:type="dxa"/>
            <w:hideMark/>
          </w:tcPr>
          <w:p w14:paraId="47A95D99" w14:textId="77777777" w:rsidR="00CF72D5" w:rsidRPr="002029AF" w:rsidRDefault="00CF72D5" w:rsidP="00B518D9">
            <w:pPr>
              <w:pStyle w:val="ARtabletextright"/>
              <w:spacing w:before="40" w:after="20"/>
            </w:pPr>
            <w:r w:rsidRPr="002029AF">
              <w:t>na</w:t>
            </w:r>
          </w:p>
        </w:tc>
        <w:tc>
          <w:tcPr>
            <w:tcW w:w="1616" w:type="dxa"/>
            <w:hideMark/>
          </w:tcPr>
          <w:p w14:paraId="47787F0A" w14:textId="77777777" w:rsidR="00CF72D5" w:rsidRPr="002029AF" w:rsidRDefault="00CF72D5" w:rsidP="00B518D9">
            <w:pPr>
              <w:pStyle w:val="ARtabletextright"/>
              <w:spacing w:before="40" w:after="20"/>
            </w:pPr>
            <w:r w:rsidRPr="002029AF">
              <w:t>na</w:t>
            </w:r>
          </w:p>
        </w:tc>
        <w:tc>
          <w:tcPr>
            <w:tcW w:w="1616" w:type="dxa"/>
            <w:hideMark/>
          </w:tcPr>
          <w:p w14:paraId="74AE6EE8" w14:textId="77777777" w:rsidR="00CF72D5" w:rsidRPr="002029AF" w:rsidRDefault="00CF72D5" w:rsidP="00B518D9">
            <w:pPr>
              <w:pStyle w:val="ARtabletextright"/>
              <w:spacing w:before="40" w:after="20"/>
            </w:pPr>
            <w:r w:rsidRPr="002029AF">
              <w:t>na</w:t>
            </w:r>
          </w:p>
        </w:tc>
        <w:tc>
          <w:tcPr>
            <w:tcW w:w="1616" w:type="dxa"/>
            <w:hideMark/>
          </w:tcPr>
          <w:p w14:paraId="62E1B709" w14:textId="77777777" w:rsidR="00CF72D5" w:rsidRPr="002029AF" w:rsidRDefault="00CF72D5" w:rsidP="00B518D9">
            <w:pPr>
              <w:pStyle w:val="ARtabletextright"/>
              <w:spacing w:before="40" w:after="20"/>
            </w:pPr>
            <w:r w:rsidRPr="002029AF">
              <w:t>na</w:t>
            </w:r>
          </w:p>
        </w:tc>
        <w:tc>
          <w:tcPr>
            <w:tcW w:w="1616" w:type="dxa"/>
            <w:hideMark/>
          </w:tcPr>
          <w:p w14:paraId="0837BEBF" w14:textId="77777777" w:rsidR="00CF72D5" w:rsidRPr="002029AF" w:rsidRDefault="00CF72D5" w:rsidP="00B518D9">
            <w:pPr>
              <w:pStyle w:val="ARtabletextright"/>
              <w:spacing w:before="40" w:after="20"/>
            </w:pPr>
            <w:r w:rsidRPr="002029AF">
              <w:t>na</w:t>
            </w:r>
          </w:p>
        </w:tc>
        <w:tc>
          <w:tcPr>
            <w:tcW w:w="1616" w:type="dxa"/>
            <w:hideMark/>
          </w:tcPr>
          <w:p w14:paraId="5D9D5D22" w14:textId="77777777" w:rsidR="00CF72D5" w:rsidRPr="002029AF" w:rsidRDefault="00CF72D5" w:rsidP="00B518D9">
            <w:pPr>
              <w:pStyle w:val="ARtabletextright"/>
              <w:spacing w:before="40" w:after="20"/>
            </w:pPr>
            <w:r w:rsidRPr="002029AF">
              <w:t>na</w:t>
            </w:r>
          </w:p>
        </w:tc>
        <w:tc>
          <w:tcPr>
            <w:tcW w:w="1616" w:type="dxa"/>
            <w:hideMark/>
          </w:tcPr>
          <w:p w14:paraId="790AC095" w14:textId="77777777" w:rsidR="00CF72D5" w:rsidRPr="002029AF" w:rsidRDefault="00CF72D5" w:rsidP="00B518D9">
            <w:pPr>
              <w:pStyle w:val="ARtabletextright"/>
              <w:spacing w:before="40" w:after="20"/>
            </w:pPr>
            <w:r w:rsidRPr="002029AF">
              <w:t>na</w:t>
            </w:r>
          </w:p>
        </w:tc>
      </w:tr>
      <w:tr w:rsidR="00A46E91" w:rsidRPr="002029AF" w14:paraId="0B25E96F" w14:textId="77777777" w:rsidTr="00A57FDC">
        <w:tc>
          <w:tcPr>
            <w:tcW w:w="2381" w:type="dxa"/>
            <w:gridSpan w:val="8"/>
            <w:hideMark/>
          </w:tcPr>
          <w:p w14:paraId="3D19357E" w14:textId="456D2447" w:rsidR="00A46E91" w:rsidRPr="002029AF" w:rsidRDefault="00A46E91" w:rsidP="00B518D9">
            <w:pPr>
              <w:pStyle w:val="ARtabletext"/>
              <w:spacing w:before="40" w:after="20"/>
            </w:pPr>
            <w:r w:rsidRPr="002029AF">
              <w:t>Age</w:t>
            </w:r>
          </w:p>
        </w:tc>
      </w:tr>
      <w:tr w:rsidR="00CF72D5" w:rsidRPr="002029AF" w14:paraId="10969291" w14:textId="77777777" w:rsidTr="00A57FDC">
        <w:tc>
          <w:tcPr>
            <w:tcW w:w="2381" w:type="dxa"/>
            <w:hideMark/>
          </w:tcPr>
          <w:p w14:paraId="487905D0" w14:textId="77777777" w:rsidR="00CF72D5" w:rsidRPr="002029AF" w:rsidRDefault="00CF72D5" w:rsidP="00B518D9">
            <w:pPr>
              <w:pStyle w:val="ARtabletext"/>
              <w:spacing w:before="40" w:after="20"/>
            </w:pPr>
            <w:r w:rsidRPr="002029AF">
              <w:t>35–44</w:t>
            </w:r>
          </w:p>
        </w:tc>
        <w:tc>
          <w:tcPr>
            <w:tcW w:w="1616" w:type="dxa"/>
            <w:hideMark/>
          </w:tcPr>
          <w:p w14:paraId="65E0E922" w14:textId="77777777" w:rsidR="00CF72D5" w:rsidRPr="002029AF" w:rsidRDefault="00CF72D5" w:rsidP="00B518D9">
            <w:pPr>
              <w:pStyle w:val="ARtabletextright"/>
              <w:spacing w:before="40" w:after="20"/>
            </w:pPr>
            <w:r w:rsidRPr="002029AF">
              <w:t>3</w:t>
            </w:r>
          </w:p>
        </w:tc>
        <w:tc>
          <w:tcPr>
            <w:tcW w:w="1616" w:type="dxa"/>
            <w:hideMark/>
          </w:tcPr>
          <w:p w14:paraId="005C9EC3" w14:textId="77777777" w:rsidR="00CF72D5" w:rsidRPr="002029AF" w:rsidRDefault="00CF72D5" w:rsidP="00B518D9">
            <w:pPr>
              <w:pStyle w:val="ARtabletextright"/>
              <w:spacing w:before="40" w:after="20"/>
            </w:pPr>
            <w:r w:rsidRPr="002029AF">
              <w:t>3</w:t>
            </w:r>
          </w:p>
        </w:tc>
        <w:tc>
          <w:tcPr>
            <w:tcW w:w="1616" w:type="dxa"/>
            <w:hideMark/>
          </w:tcPr>
          <w:p w14:paraId="7C435768" w14:textId="77777777" w:rsidR="00CF72D5" w:rsidRPr="002029AF" w:rsidRDefault="00CF72D5" w:rsidP="00B518D9">
            <w:pPr>
              <w:pStyle w:val="ARtabletextright"/>
              <w:spacing w:before="40" w:after="20"/>
            </w:pPr>
            <w:r w:rsidRPr="002029AF">
              <w:t>1</w:t>
            </w:r>
          </w:p>
        </w:tc>
        <w:tc>
          <w:tcPr>
            <w:tcW w:w="1616" w:type="dxa"/>
            <w:hideMark/>
          </w:tcPr>
          <w:p w14:paraId="3E7D364E" w14:textId="77777777" w:rsidR="00CF72D5" w:rsidRPr="002029AF" w:rsidRDefault="00CF72D5" w:rsidP="00B518D9">
            <w:pPr>
              <w:pStyle w:val="ARtabletextright"/>
              <w:spacing w:before="40" w:after="20"/>
            </w:pPr>
            <w:r w:rsidRPr="002029AF">
              <w:t>0</w:t>
            </w:r>
          </w:p>
        </w:tc>
        <w:tc>
          <w:tcPr>
            <w:tcW w:w="1616" w:type="dxa"/>
            <w:hideMark/>
          </w:tcPr>
          <w:p w14:paraId="64992A6C" w14:textId="77777777" w:rsidR="00CF72D5" w:rsidRPr="002029AF" w:rsidRDefault="00CF72D5" w:rsidP="00B518D9">
            <w:pPr>
              <w:pStyle w:val="ARtabletextright"/>
              <w:spacing w:before="40" w:after="20"/>
            </w:pPr>
            <w:r w:rsidRPr="002029AF">
              <w:t>1</w:t>
            </w:r>
          </w:p>
        </w:tc>
        <w:tc>
          <w:tcPr>
            <w:tcW w:w="1616" w:type="dxa"/>
            <w:hideMark/>
          </w:tcPr>
          <w:p w14:paraId="62FD5423" w14:textId="77777777" w:rsidR="00CF72D5" w:rsidRPr="002029AF" w:rsidRDefault="00CF72D5" w:rsidP="00B518D9">
            <w:pPr>
              <w:pStyle w:val="ARtabletextright"/>
              <w:spacing w:before="40" w:after="20"/>
            </w:pPr>
            <w:r w:rsidRPr="002029AF">
              <w:t>2</w:t>
            </w:r>
          </w:p>
        </w:tc>
        <w:tc>
          <w:tcPr>
            <w:tcW w:w="1616" w:type="dxa"/>
            <w:hideMark/>
          </w:tcPr>
          <w:p w14:paraId="2B91B9ED" w14:textId="77777777" w:rsidR="00CF72D5" w:rsidRPr="002029AF" w:rsidRDefault="00CF72D5" w:rsidP="00B518D9">
            <w:pPr>
              <w:pStyle w:val="ARtabletextright"/>
              <w:spacing w:before="40" w:after="20"/>
            </w:pPr>
            <w:r w:rsidRPr="002029AF">
              <w:t>2</w:t>
            </w:r>
          </w:p>
        </w:tc>
      </w:tr>
      <w:tr w:rsidR="00CF72D5" w:rsidRPr="002029AF" w14:paraId="7333E5B0" w14:textId="77777777" w:rsidTr="00A57FDC">
        <w:tc>
          <w:tcPr>
            <w:tcW w:w="2381" w:type="dxa"/>
            <w:hideMark/>
          </w:tcPr>
          <w:p w14:paraId="7B817381" w14:textId="77777777" w:rsidR="00CF72D5" w:rsidRPr="002029AF" w:rsidRDefault="00CF72D5" w:rsidP="00B518D9">
            <w:pPr>
              <w:pStyle w:val="ARtabletext"/>
              <w:spacing w:before="40" w:after="20"/>
            </w:pPr>
            <w:r w:rsidRPr="002029AF">
              <w:t>45–54</w:t>
            </w:r>
          </w:p>
        </w:tc>
        <w:tc>
          <w:tcPr>
            <w:tcW w:w="1616" w:type="dxa"/>
            <w:hideMark/>
          </w:tcPr>
          <w:p w14:paraId="303909DC" w14:textId="77777777" w:rsidR="00CF72D5" w:rsidRPr="002029AF" w:rsidRDefault="00CF72D5" w:rsidP="00B518D9">
            <w:pPr>
              <w:pStyle w:val="ARtabletextright"/>
              <w:spacing w:before="40" w:after="20"/>
            </w:pPr>
            <w:r w:rsidRPr="002029AF">
              <w:t>6</w:t>
            </w:r>
          </w:p>
        </w:tc>
        <w:tc>
          <w:tcPr>
            <w:tcW w:w="1616" w:type="dxa"/>
            <w:hideMark/>
          </w:tcPr>
          <w:p w14:paraId="173C0947" w14:textId="77777777" w:rsidR="00CF72D5" w:rsidRPr="002029AF" w:rsidRDefault="00CF72D5" w:rsidP="00B518D9">
            <w:pPr>
              <w:pStyle w:val="ARtabletextright"/>
              <w:spacing w:before="40" w:after="20"/>
            </w:pPr>
            <w:r w:rsidRPr="002029AF">
              <w:t>6</w:t>
            </w:r>
          </w:p>
        </w:tc>
        <w:tc>
          <w:tcPr>
            <w:tcW w:w="1616" w:type="dxa"/>
            <w:hideMark/>
          </w:tcPr>
          <w:p w14:paraId="753C9FCA" w14:textId="77777777" w:rsidR="00CF72D5" w:rsidRPr="002029AF" w:rsidRDefault="00CF72D5" w:rsidP="00B518D9">
            <w:pPr>
              <w:pStyle w:val="ARtabletextright"/>
              <w:spacing w:before="40" w:after="20"/>
            </w:pPr>
            <w:r w:rsidRPr="002029AF">
              <w:t>5</w:t>
            </w:r>
          </w:p>
        </w:tc>
        <w:tc>
          <w:tcPr>
            <w:tcW w:w="1616" w:type="dxa"/>
            <w:hideMark/>
          </w:tcPr>
          <w:p w14:paraId="31CAEEA9" w14:textId="77777777" w:rsidR="00CF72D5" w:rsidRPr="002029AF" w:rsidRDefault="00CF72D5" w:rsidP="00B518D9">
            <w:pPr>
              <w:pStyle w:val="ARtabletextright"/>
              <w:spacing w:before="40" w:after="20"/>
            </w:pPr>
            <w:r w:rsidRPr="002029AF">
              <w:t>0</w:t>
            </w:r>
          </w:p>
        </w:tc>
        <w:tc>
          <w:tcPr>
            <w:tcW w:w="1616" w:type="dxa"/>
            <w:hideMark/>
          </w:tcPr>
          <w:p w14:paraId="5132A0FC" w14:textId="77777777" w:rsidR="00CF72D5" w:rsidRPr="002029AF" w:rsidRDefault="00CF72D5" w:rsidP="00B518D9">
            <w:pPr>
              <w:pStyle w:val="ARtabletextright"/>
              <w:spacing w:before="40" w:after="20"/>
            </w:pPr>
            <w:r w:rsidRPr="002029AF">
              <w:t>5</w:t>
            </w:r>
          </w:p>
        </w:tc>
        <w:tc>
          <w:tcPr>
            <w:tcW w:w="1616" w:type="dxa"/>
            <w:hideMark/>
          </w:tcPr>
          <w:p w14:paraId="1E56CA5A" w14:textId="77777777" w:rsidR="00CF72D5" w:rsidRPr="002029AF" w:rsidRDefault="00CF72D5" w:rsidP="00B518D9">
            <w:pPr>
              <w:pStyle w:val="ARtabletextright"/>
              <w:spacing w:before="40" w:after="20"/>
            </w:pPr>
            <w:r w:rsidRPr="002029AF">
              <w:t>1</w:t>
            </w:r>
          </w:p>
        </w:tc>
        <w:tc>
          <w:tcPr>
            <w:tcW w:w="1616" w:type="dxa"/>
            <w:hideMark/>
          </w:tcPr>
          <w:p w14:paraId="029D9A44" w14:textId="77777777" w:rsidR="00CF72D5" w:rsidRPr="002029AF" w:rsidRDefault="00CF72D5" w:rsidP="00B518D9">
            <w:pPr>
              <w:pStyle w:val="ARtabletextright"/>
              <w:spacing w:before="40" w:after="20"/>
            </w:pPr>
            <w:r w:rsidRPr="002029AF">
              <w:t>1</w:t>
            </w:r>
          </w:p>
        </w:tc>
      </w:tr>
      <w:tr w:rsidR="00A46E91" w:rsidRPr="002029AF" w14:paraId="64074C1F" w14:textId="77777777" w:rsidTr="00A57FDC">
        <w:tc>
          <w:tcPr>
            <w:tcW w:w="2381" w:type="dxa"/>
            <w:gridSpan w:val="8"/>
            <w:hideMark/>
          </w:tcPr>
          <w:p w14:paraId="03E785DE" w14:textId="4D7225C3" w:rsidR="00A46E91" w:rsidRPr="002029AF" w:rsidRDefault="00A46E91" w:rsidP="00B518D9">
            <w:pPr>
              <w:pStyle w:val="ARtablesubhead"/>
              <w:spacing w:before="40" w:after="20"/>
            </w:pPr>
            <w:r w:rsidRPr="002029AF">
              <w:t>Classification</w:t>
            </w:r>
          </w:p>
        </w:tc>
      </w:tr>
      <w:tr w:rsidR="00CF72D5" w:rsidRPr="002029AF" w14:paraId="04AF069E" w14:textId="77777777" w:rsidTr="00A57FDC">
        <w:tc>
          <w:tcPr>
            <w:tcW w:w="2381" w:type="dxa"/>
            <w:hideMark/>
          </w:tcPr>
          <w:p w14:paraId="07001D21" w14:textId="3BB9E53E" w:rsidR="00CF72D5" w:rsidRPr="002029AF" w:rsidRDefault="00CF72D5" w:rsidP="00B518D9">
            <w:pPr>
              <w:pStyle w:val="ARtabletext"/>
              <w:spacing w:before="40" w:after="20"/>
            </w:pPr>
            <w:r w:rsidRPr="002029AF">
              <w:t>VPS</w:t>
            </w:r>
            <w:r w:rsidR="000A5329" w:rsidRPr="002029AF">
              <w:t xml:space="preserve"> </w:t>
            </w:r>
            <w:r w:rsidRPr="002029AF">
              <w:t>2</w:t>
            </w:r>
          </w:p>
        </w:tc>
        <w:tc>
          <w:tcPr>
            <w:tcW w:w="1616" w:type="dxa"/>
            <w:hideMark/>
          </w:tcPr>
          <w:p w14:paraId="2A6A22A1" w14:textId="77777777" w:rsidR="00CF72D5" w:rsidRPr="002029AF" w:rsidRDefault="00CF72D5" w:rsidP="00B518D9">
            <w:pPr>
              <w:pStyle w:val="ARtabletextright"/>
              <w:spacing w:before="40" w:after="20"/>
            </w:pPr>
            <w:r w:rsidRPr="002029AF">
              <w:t>1</w:t>
            </w:r>
          </w:p>
        </w:tc>
        <w:tc>
          <w:tcPr>
            <w:tcW w:w="1616" w:type="dxa"/>
            <w:hideMark/>
          </w:tcPr>
          <w:p w14:paraId="44BF3156" w14:textId="77777777" w:rsidR="00CF72D5" w:rsidRPr="002029AF" w:rsidRDefault="00CF72D5" w:rsidP="00B518D9">
            <w:pPr>
              <w:pStyle w:val="ARtabletextright"/>
              <w:spacing w:before="40" w:after="20"/>
            </w:pPr>
            <w:r w:rsidRPr="002029AF">
              <w:t>1</w:t>
            </w:r>
          </w:p>
        </w:tc>
        <w:tc>
          <w:tcPr>
            <w:tcW w:w="1616" w:type="dxa"/>
            <w:hideMark/>
          </w:tcPr>
          <w:p w14:paraId="75D48894" w14:textId="77777777" w:rsidR="00CF72D5" w:rsidRPr="002029AF" w:rsidRDefault="00CF72D5" w:rsidP="00B518D9">
            <w:pPr>
              <w:pStyle w:val="ARtabletextright"/>
              <w:spacing w:before="40" w:after="20"/>
            </w:pPr>
            <w:r w:rsidRPr="002029AF">
              <w:t>1</w:t>
            </w:r>
          </w:p>
        </w:tc>
        <w:tc>
          <w:tcPr>
            <w:tcW w:w="1616" w:type="dxa"/>
            <w:hideMark/>
          </w:tcPr>
          <w:p w14:paraId="75889BE2" w14:textId="77777777" w:rsidR="00CF72D5" w:rsidRPr="002029AF" w:rsidRDefault="00CF72D5" w:rsidP="00B518D9">
            <w:pPr>
              <w:pStyle w:val="ARtabletextright"/>
              <w:spacing w:before="40" w:after="20"/>
            </w:pPr>
            <w:r w:rsidRPr="002029AF">
              <w:t>0</w:t>
            </w:r>
          </w:p>
        </w:tc>
        <w:tc>
          <w:tcPr>
            <w:tcW w:w="1616" w:type="dxa"/>
            <w:hideMark/>
          </w:tcPr>
          <w:p w14:paraId="14D132B4" w14:textId="77777777" w:rsidR="00CF72D5" w:rsidRPr="002029AF" w:rsidRDefault="00CF72D5" w:rsidP="00B518D9">
            <w:pPr>
              <w:pStyle w:val="ARtabletextright"/>
              <w:spacing w:before="40" w:after="20"/>
            </w:pPr>
            <w:r w:rsidRPr="002029AF">
              <w:t>1</w:t>
            </w:r>
          </w:p>
        </w:tc>
        <w:tc>
          <w:tcPr>
            <w:tcW w:w="1616" w:type="dxa"/>
            <w:hideMark/>
          </w:tcPr>
          <w:p w14:paraId="3892D1C6" w14:textId="77777777" w:rsidR="00CF72D5" w:rsidRPr="002029AF" w:rsidRDefault="00CF72D5" w:rsidP="00B518D9">
            <w:pPr>
              <w:pStyle w:val="ARtabletextright"/>
              <w:spacing w:before="40" w:after="20"/>
            </w:pPr>
            <w:r w:rsidRPr="002029AF">
              <w:t>0</w:t>
            </w:r>
          </w:p>
        </w:tc>
        <w:tc>
          <w:tcPr>
            <w:tcW w:w="1616" w:type="dxa"/>
            <w:hideMark/>
          </w:tcPr>
          <w:p w14:paraId="73865D1D" w14:textId="77777777" w:rsidR="00CF72D5" w:rsidRPr="002029AF" w:rsidRDefault="00CF72D5" w:rsidP="00B518D9">
            <w:pPr>
              <w:pStyle w:val="ARtabletextright"/>
              <w:spacing w:before="40" w:after="20"/>
            </w:pPr>
            <w:r w:rsidRPr="002029AF">
              <w:t>0</w:t>
            </w:r>
          </w:p>
        </w:tc>
      </w:tr>
      <w:tr w:rsidR="00CF72D5" w:rsidRPr="002029AF" w14:paraId="2D16C7A9" w14:textId="77777777" w:rsidTr="00A57FDC">
        <w:tc>
          <w:tcPr>
            <w:tcW w:w="2381" w:type="dxa"/>
            <w:hideMark/>
          </w:tcPr>
          <w:p w14:paraId="499D9039" w14:textId="380273CA" w:rsidR="00CF72D5" w:rsidRPr="002029AF" w:rsidRDefault="00CF72D5" w:rsidP="00B518D9">
            <w:pPr>
              <w:pStyle w:val="ARtabletext"/>
              <w:spacing w:before="40" w:after="20"/>
            </w:pPr>
            <w:r w:rsidRPr="002029AF">
              <w:t>VPS</w:t>
            </w:r>
            <w:r w:rsidR="000A5329" w:rsidRPr="002029AF">
              <w:t xml:space="preserve"> </w:t>
            </w:r>
            <w:r w:rsidRPr="002029AF">
              <w:t>5</w:t>
            </w:r>
          </w:p>
        </w:tc>
        <w:tc>
          <w:tcPr>
            <w:tcW w:w="1616" w:type="dxa"/>
            <w:hideMark/>
          </w:tcPr>
          <w:p w14:paraId="3CB2B6B8" w14:textId="77777777" w:rsidR="00CF72D5" w:rsidRPr="002029AF" w:rsidRDefault="00CF72D5" w:rsidP="00B518D9">
            <w:pPr>
              <w:pStyle w:val="ARtabletextright"/>
              <w:spacing w:before="40" w:after="20"/>
            </w:pPr>
            <w:r w:rsidRPr="002029AF">
              <w:t>2</w:t>
            </w:r>
          </w:p>
        </w:tc>
        <w:tc>
          <w:tcPr>
            <w:tcW w:w="1616" w:type="dxa"/>
            <w:hideMark/>
          </w:tcPr>
          <w:p w14:paraId="2F188CC8" w14:textId="77777777" w:rsidR="00CF72D5" w:rsidRPr="002029AF" w:rsidRDefault="00CF72D5" w:rsidP="00B518D9">
            <w:pPr>
              <w:pStyle w:val="ARtabletextright"/>
              <w:spacing w:before="40" w:after="20"/>
            </w:pPr>
            <w:r w:rsidRPr="002029AF">
              <w:t>2</w:t>
            </w:r>
          </w:p>
        </w:tc>
        <w:tc>
          <w:tcPr>
            <w:tcW w:w="1616" w:type="dxa"/>
            <w:hideMark/>
          </w:tcPr>
          <w:p w14:paraId="5BDDA9A0" w14:textId="77777777" w:rsidR="00CF72D5" w:rsidRPr="002029AF" w:rsidRDefault="00CF72D5" w:rsidP="00B518D9">
            <w:pPr>
              <w:pStyle w:val="ARtabletextright"/>
              <w:spacing w:before="40" w:after="20"/>
            </w:pPr>
            <w:r w:rsidRPr="002029AF">
              <w:t>1</w:t>
            </w:r>
          </w:p>
        </w:tc>
        <w:tc>
          <w:tcPr>
            <w:tcW w:w="1616" w:type="dxa"/>
            <w:hideMark/>
          </w:tcPr>
          <w:p w14:paraId="61C13837" w14:textId="77777777" w:rsidR="00CF72D5" w:rsidRPr="002029AF" w:rsidRDefault="00CF72D5" w:rsidP="00B518D9">
            <w:pPr>
              <w:pStyle w:val="ARtabletextright"/>
              <w:spacing w:before="40" w:after="20"/>
            </w:pPr>
            <w:r w:rsidRPr="002029AF">
              <w:t>0</w:t>
            </w:r>
          </w:p>
        </w:tc>
        <w:tc>
          <w:tcPr>
            <w:tcW w:w="1616" w:type="dxa"/>
            <w:hideMark/>
          </w:tcPr>
          <w:p w14:paraId="4C966EB2" w14:textId="77777777" w:rsidR="00CF72D5" w:rsidRPr="002029AF" w:rsidRDefault="00CF72D5" w:rsidP="00B518D9">
            <w:pPr>
              <w:pStyle w:val="ARtabletextright"/>
              <w:spacing w:before="40" w:after="20"/>
            </w:pPr>
            <w:r w:rsidRPr="002029AF">
              <w:t>1</w:t>
            </w:r>
          </w:p>
        </w:tc>
        <w:tc>
          <w:tcPr>
            <w:tcW w:w="1616" w:type="dxa"/>
            <w:hideMark/>
          </w:tcPr>
          <w:p w14:paraId="42217EE7" w14:textId="77777777" w:rsidR="00CF72D5" w:rsidRPr="002029AF" w:rsidRDefault="00CF72D5" w:rsidP="00B518D9">
            <w:pPr>
              <w:pStyle w:val="ARtabletextright"/>
              <w:spacing w:before="40" w:after="20"/>
            </w:pPr>
            <w:r w:rsidRPr="002029AF">
              <w:t>1</w:t>
            </w:r>
          </w:p>
        </w:tc>
        <w:tc>
          <w:tcPr>
            <w:tcW w:w="1616" w:type="dxa"/>
            <w:hideMark/>
          </w:tcPr>
          <w:p w14:paraId="1A0E2E66" w14:textId="77777777" w:rsidR="00CF72D5" w:rsidRPr="002029AF" w:rsidRDefault="00CF72D5" w:rsidP="00B518D9">
            <w:pPr>
              <w:pStyle w:val="ARtabletextright"/>
              <w:spacing w:before="40" w:after="20"/>
            </w:pPr>
            <w:r w:rsidRPr="002029AF">
              <w:t>1</w:t>
            </w:r>
          </w:p>
        </w:tc>
      </w:tr>
      <w:tr w:rsidR="00CF72D5" w:rsidRPr="002029AF" w14:paraId="062B7F27" w14:textId="77777777" w:rsidTr="00A57FDC">
        <w:tc>
          <w:tcPr>
            <w:tcW w:w="2381" w:type="dxa"/>
            <w:hideMark/>
          </w:tcPr>
          <w:p w14:paraId="5DF6789B" w14:textId="72A0933E" w:rsidR="00CF72D5" w:rsidRPr="002029AF" w:rsidRDefault="00CF72D5" w:rsidP="00B518D9">
            <w:pPr>
              <w:pStyle w:val="ARtabletext"/>
              <w:spacing w:before="40" w:after="20"/>
            </w:pPr>
            <w:r w:rsidRPr="002029AF">
              <w:t>VPS</w:t>
            </w:r>
            <w:r w:rsidR="000A5329" w:rsidRPr="002029AF">
              <w:t xml:space="preserve"> </w:t>
            </w:r>
            <w:r w:rsidRPr="002029AF">
              <w:t>6</w:t>
            </w:r>
          </w:p>
        </w:tc>
        <w:tc>
          <w:tcPr>
            <w:tcW w:w="1616" w:type="dxa"/>
            <w:hideMark/>
          </w:tcPr>
          <w:p w14:paraId="537DC6D2" w14:textId="77777777" w:rsidR="00CF72D5" w:rsidRPr="002029AF" w:rsidRDefault="00CF72D5" w:rsidP="00B518D9">
            <w:pPr>
              <w:pStyle w:val="ARtabletextright"/>
              <w:spacing w:before="40" w:after="20"/>
            </w:pPr>
            <w:r w:rsidRPr="002029AF">
              <w:t>3</w:t>
            </w:r>
          </w:p>
        </w:tc>
        <w:tc>
          <w:tcPr>
            <w:tcW w:w="1616" w:type="dxa"/>
            <w:hideMark/>
          </w:tcPr>
          <w:p w14:paraId="1B415170" w14:textId="77777777" w:rsidR="00CF72D5" w:rsidRPr="002029AF" w:rsidRDefault="00CF72D5" w:rsidP="00B518D9">
            <w:pPr>
              <w:pStyle w:val="ARtabletextright"/>
              <w:spacing w:before="40" w:after="20"/>
            </w:pPr>
            <w:r w:rsidRPr="002029AF">
              <w:t>3</w:t>
            </w:r>
          </w:p>
        </w:tc>
        <w:tc>
          <w:tcPr>
            <w:tcW w:w="1616" w:type="dxa"/>
            <w:hideMark/>
          </w:tcPr>
          <w:p w14:paraId="33DE05C9" w14:textId="77777777" w:rsidR="00CF72D5" w:rsidRPr="002029AF" w:rsidRDefault="00CF72D5" w:rsidP="00B518D9">
            <w:pPr>
              <w:pStyle w:val="ARtabletextright"/>
              <w:spacing w:before="40" w:after="20"/>
            </w:pPr>
            <w:r w:rsidRPr="002029AF">
              <w:t>2</w:t>
            </w:r>
          </w:p>
        </w:tc>
        <w:tc>
          <w:tcPr>
            <w:tcW w:w="1616" w:type="dxa"/>
            <w:hideMark/>
          </w:tcPr>
          <w:p w14:paraId="6790D086" w14:textId="77777777" w:rsidR="00CF72D5" w:rsidRPr="002029AF" w:rsidRDefault="00CF72D5" w:rsidP="00B518D9">
            <w:pPr>
              <w:pStyle w:val="ARtabletextright"/>
              <w:spacing w:before="40" w:after="20"/>
            </w:pPr>
            <w:r w:rsidRPr="002029AF">
              <w:t>0</w:t>
            </w:r>
          </w:p>
        </w:tc>
        <w:tc>
          <w:tcPr>
            <w:tcW w:w="1616" w:type="dxa"/>
            <w:hideMark/>
          </w:tcPr>
          <w:p w14:paraId="399CA316" w14:textId="77777777" w:rsidR="00CF72D5" w:rsidRPr="002029AF" w:rsidRDefault="00CF72D5" w:rsidP="00B518D9">
            <w:pPr>
              <w:pStyle w:val="ARtabletextright"/>
              <w:spacing w:before="40" w:after="20"/>
            </w:pPr>
            <w:r w:rsidRPr="002029AF">
              <w:t>2</w:t>
            </w:r>
          </w:p>
        </w:tc>
        <w:tc>
          <w:tcPr>
            <w:tcW w:w="1616" w:type="dxa"/>
            <w:hideMark/>
          </w:tcPr>
          <w:p w14:paraId="492946E1" w14:textId="77777777" w:rsidR="00CF72D5" w:rsidRPr="002029AF" w:rsidRDefault="00CF72D5" w:rsidP="00B518D9">
            <w:pPr>
              <w:pStyle w:val="ARtabletextright"/>
              <w:spacing w:before="40" w:after="20"/>
            </w:pPr>
            <w:r w:rsidRPr="002029AF">
              <w:t>1</w:t>
            </w:r>
          </w:p>
        </w:tc>
        <w:tc>
          <w:tcPr>
            <w:tcW w:w="1616" w:type="dxa"/>
            <w:hideMark/>
          </w:tcPr>
          <w:p w14:paraId="4F90EEF1" w14:textId="77777777" w:rsidR="00CF72D5" w:rsidRPr="002029AF" w:rsidRDefault="00CF72D5" w:rsidP="00B518D9">
            <w:pPr>
              <w:pStyle w:val="ARtabletextright"/>
              <w:spacing w:before="40" w:after="20"/>
            </w:pPr>
            <w:r w:rsidRPr="002029AF">
              <w:t>1</w:t>
            </w:r>
          </w:p>
        </w:tc>
      </w:tr>
      <w:tr w:rsidR="00CF72D5" w:rsidRPr="002029AF" w14:paraId="2F0E6B2D" w14:textId="77777777" w:rsidTr="00A57FDC">
        <w:tc>
          <w:tcPr>
            <w:tcW w:w="2381" w:type="dxa"/>
            <w:hideMark/>
          </w:tcPr>
          <w:p w14:paraId="4DB9A859" w14:textId="77777777" w:rsidR="00CF72D5" w:rsidRPr="002029AF" w:rsidRDefault="00CF72D5" w:rsidP="00B518D9">
            <w:pPr>
              <w:pStyle w:val="ARtabletext"/>
              <w:spacing w:before="40" w:after="20"/>
            </w:pPr>
            <w:r w:rsidRPr="002029AF">
              <w:t>Executives</w:t>
            </w:r>
          </w:p>
        </w:tc>
        <w:tc>
          <w:tcPr>
            <w:tcW w:w="1616" w:type="dxa"/>
            <w:hideMark/>
          </w:tcPr>
          <w:p w14:paraId="667C4C79" w14:textId="77777777" w:rsidR="00CF72D5" w:rsidRPr="002029AF" w:rsidRDefault="00CF72D5" w:rsidP="00B518D9">
            <w:pPr>
              <w:pStyle w:val="ARtabletextright"/>
              <w:spacing w:before="40" w:after="20"/>
            </w:pPr>
            <w:r w:rsidRPr="002029AF">
              <w:t>3</w:t>
            </w:r>
          </w:p>
        </w:tc>
        <w:tc>
          <w:tcPr>
            <w:tcW w:w="1616" w:type="dxa"/>
            <w:hideMark/>
          </w:tcPr>
          <w:p w14:paraId="498EBE9C" w14:textId="77777777" w:rsidR="00CF72D5" w:rsidRPr="002029AF" w:rsidRDefault="00CF72D5" w:rsidP="00B518D9">
            <w:pPr>
              <w:pStyle w:val="ARtabletextright"/>
              <w:spacing w:before="40" w:after="20"/>
            </w:pPr>
            <w:r w:rsidRPr="002029AF">
              <w:t>3</w:t>
            </w:r>
          </w:p>
        </w:tc>
        <w:tc>
          <w:tcPr>
            <w:tcW w:w="1616" w:type="dxa"/>
            <w:hideMark/>
          </w:tcPr>
          <w:p w14:paraId="04333BCB" w14:textId="77777777" w:rsidR="00CF72D5" w:rsidRPr="002029AF" w:rsidRDefault="00CF72D5" w:rsidP="00B518D9">
            <w:pPr>
              <w:pStyle w:val="ARtabletextright"/>
              <w:spacing w:before="40" w:after="20"/>
            </w:pPr>
            <w:r w:rsidRPr="002029AF">
              <w:t>2</w:t>
            </w:r>
          </w:p>
        </w:tc>
        <w:tc>
          <w:tcPr>
            <w:tcW w:w="1616" w:type="dxa"/>
            <w:hideMark/>
          </w:tcPr>
          <w:p w14:paraId="3C899B69" w14:textId="77777777" w:rsidR="00CF72D5" w:rsidRPr="002029AF" w:rsidRDefault="00CF72D5" w:rsidP="00B518D9">
            <w:pPr>
              <w:pStyle w:val="ARtabletextright"/>
              <w:spacing w:before="40" w:after="20"/>
            </w:pPr>
            <w:r w:rsidRPr="002029AF">
              <w:t>0</w:t>
            </w:r>
          </w:p>
        </w:tc>
        <w:tc>
          <w:tcPr>
            <w:tcW w:w="1616" w:type="dxa"/>
            <w:hideMark/>
          </w:tcPr>
          <w:p w14:paraId="061BDB9F" w14:textId="77777777" w:rsidR="00CF72D5" w:rsidRPr="002029AF" w:rsidRDefault="00CF72D5" w:rsidP="00B518D9">
            <w:pPr>
              <w:pStyle w:val="ARtabletextright"/>
              <w:spacing w:before="40" w:after="20"/>
            </w:pPr>
            <w:r w:rsidRPr="002029AF">
              <w:t>2</w:t>
            </w:r>
          </w:p>
        </w:tc>
        <w:tc>
          <w:tcPr>
            <w:tcW w:w="1616" w:type="dxa"/>
            <w:hideMark/>
          </w:tcPr>
          <w:p w14:paraId="75C51962" w14:textId="77777777" w:rsidR="00CF72D5" w:rsidRPr="002029AF" w:rsidRDefault="00CF72D5" w:rsidP="00B518D9">
            <w:pPr>
              <w:pStyle w:val="ARtabletextright"/>
              <w:spacing w:before="40" w:after="20"/>
            </w:pPr>
            <w:r w:rsidRPr="002029AF">
              <w:t>1</w:t>
            </w:r>
          </w:p>
        </w:tc>
        <w:tc>
          <w:tcPr>
            <w:tcW w:w="1616" w:type="dxa"/>
            <w:hideMark/>
          </w:tcPr>
          <w:p w14:paraId="256BAE67" w14:textId="77777777" w:rsidR="00CF72D5" w:rsidRPr="002029AF" w:rsidRDefault="00CF72D5" w:rsidP="00B518D9">
            <w:pPr>
              <w:pStyle w:val="ARtabletextright"/>
              <w:spacing w:before="40" w:after="20"/>
            </w:pPr>
            <w:r w:rsidRPr="002029AF">
              <w:t>1</w:t>
            </w:r>
          </w:p>
        </w:tc>
      </w:tr>
      <w:tr w:rsidR="00CF72D5" w:rsidRPr="002029AF" w14:paraId="54FD987E" w14:textId="77777777" w:rsidTr="00A57FDC">
        <w:tc>
          <w:tcPr>
            <w:tcW w:w="2381" w:type="dxa"/>
            <w:hideMark/>
          </w:tcPr>
          <w:p w14:paraId="57327B4F" w14:textId="7A7642B6" w:rsidR="00CF72D5" w:rsidRPr="002029AF" w:rsidRDefault="00CF72D5" w:rsidP="001E768A">
            <w:pPr>
              <w:pStyle w:val="ARtabletextbold"/>
              <w:spacing w:before="40" w:after="20"/>
            </w:pPr>
            <w:r w:rsidRPr="002029AF">
              <w:t>Total</w:t>
            </w:r>
            <w:r w:rsidR="000A5329" w:rsidRPr="002029AF">
              <w:t xml:space="preserve"> </w:t>
            </w:r>
            <w:r w:rsidRPr="002029AF">
              <w:t>employees</w:t>
            </w:r>
          </w:p>
        </w:tc>
        <w:tc>
          <w:tcPr>
            <w:tcW w:w="1616" w:type="dxa"/>
            <w:hideMark/>
          </w:tcPr>
          <w:p w14:paraId="46B156FF" w14:textId="77777777" w:rsidR="00CF72D5" w:rsidRPr="002029AF" w:rsidRDefault="00CF72D5" w:rsidP="00B518D9">
            <w:pPr>
              <w:pStyle w:val="ARtabletextrightbold"/>
              <w:spacing w:before="40" w:after="20"/>
            </w:pPr>
            <w:r w:rsidRPr="002029AF">
              <w:t>9</w:t>
            </w:r>
          </w:p>
        </w:tc>
        <w:tc>
          <w:tcPr>
            <w:tcW w:w="1616" w:type="dxa"/>
            <w:hideMark/>
          </w:tcPr>
          <w:p w14:paraId="1C63518D" w14:textId="77777777" w:rsidR="00CF72D5" w:rsidRPr="002029AF" w:rsidRDefault="00CF72D5" w:rsidP="00B518D9">
            <w:pPr>
              <w:pStyle w:val="ARtabletextrightbold"/>
              <w:spacing w:before="40" w:after="20"/>
            </w:pPr>
            <w:r w:rsidRPr="002029AF">
              <w:t>9</w:t>
            </w:r>
          </w:p>
        </w:tc>
        <w:tc>
          <w:tcPr>
            <w:tcW w:w="1616" w:type="dxa"/>
            <w:hideMark/>
          </w:tcPr>
          <w:p w14:paraId="293C4AB1" w14:textId="77777777" w:rsidR="00CF72D5" w:rsidRPr="002029AF" w:rsidRDefault="00CF72D5" w:rsidP="00B518D9">
            <w:pPr>
              <w:pStyle w:val="ARtabletextrightbold"/>
              <w:spacing w:before="40" w:after="20"/>
            </w:pPr>
            <w:r w:rsidRPr="002029AF">
              <w:t>6</w:t>
            </w:r>
          </w:p>
        </w:tc>
        <w:tc>
          <w:tcPr>
            <w:tcW w:w="1616" w:type="dxa"/>
            <w:hideMark/>
          </w:tcPr>
          <w:p w14:paraId="090A322F" w14:textId="77777777" w:rsidR="00CF72D5" w:rsidRPr="002029AF" w:rsidRDefault="00CF72D5" w:rsidP="00B518D9">
            <w:pPr>
              <w:pStyle w:val="ARtabletextrightbold"/>
              <w:spacing w:before="40" w:after="20"/>
            </w:pPr>
            <w:r w:rsidRPr="002029AF">
              <w:t>0</w:t>
            </w:r>
          </w:p>
        </w:tc>
        <w:tc>
          <w:tcPr>
            <w:tcW w:w="1616" w:type="dxa"/>
            <w:hideMark/>
          </w:tcPr>
          <w:p w14:paraId="6733EC4B" w14:textId="77777777" w:rsidR="00CF72D5" w:rsidRPr="002029AF" w:rsidRDefault="00CF72D5" w:rsidP="00B518D9">
            <w:pPr>
              <w:pStyle w:val="ARtabletextrightbold"/>
              <w:spacing w:before="40" w:after="20"/>
            </w:pPr>
            <w:r w:rsidRPr="002029AF">
              <w:t>6</w:t>
            </w:r>
          </w:p>
        </w:tc>
        <w:tc>
          <w:tcPr>
            <w:tcW w:w="1616" w:type="dxa"/>
            <w:hideMark/>
          </w:tcPr>
          <w:p w14:paraId="4DFCF46D" w14:textId="77777777" w:rsidR="00CF72D5" w:rsidRPr="002029AF" w:rsidRDefault="00CF72D5" w:rsidP="00B518D9">
            <w:pPr>
              <w:pStyle w:val="ARtabletextrightbold"/>
              <w:spacing w:before="40" w:after="20"/>
            </w:pPr>
            <w:r w:rsidRPr="002029AF">
              <w:t>3</w:t>
            </w:r>
          </w:p>
        </w:tc>
        <w:tc>
          <w:tcPr>
            <w:tcW w:w="1616" w:type="dxa"/>
            <w:hideMark/>
          </w:tcPr>
          <w:p w14:paraId="7C39EB1C" w14:textId="77777777" w:rsidR="00CF72D5" w:rsidRPr="002029AF" w:rsidRDefault="00CF72D5" w:rsidP="00B518D9">
            <w:pPr>
              <w:pStyle w:val="ARtabletextrightbold"/>
              <w:spacing w:before="40" w:after="20"/>
            </w:pPr>
            <w:r w:rsidRPr="002029AF">
              <w:t>3</w:t>
            </w:r>
          </w:p>
        </w:tc>
      </w:tr>
    </w:tbl>
    <w:p w14:paraId="08069C9B" w14:textId="77777777" w:rsidR="00CF72D5" w:rsidRPr="002029AF" w:rsidRDefault="00CF72D5" w:rsidP="00897193">
      <w:pPr>
        <w:pStyle w:val="ARtablefootnote"/>
        <w:rPr>
          <w:rFonts w:eastAsia="Times"/>
        </w:rPr>
      </w:pPr>
      <w:r w:rsidRPr="002029AF">
        <w:rPr>
          <w:rFonts w:eastAsia="Times"/>
        </w:rPr>
        <w:t>Notes:</w:t>
      </w:r>
    </w:p>
    <w:p w14:paraId="00B2A986" w14:textId="4BDAD04E" w:rsidR="00CF72D5" w:rsidRPr="002029AF" w:rsidRDefault="00CF72D5" w:rsidP="00897193">
      <w:pPr>
        <w:pStyle w:val="ARtablefootnote"/>
      </w:pPr>
      <w:r w:rsidRPr="002029AF">
        <w:t>na</w:t>
      </w:r>
      <w:r w:rsidR="000A5329" w:rsidRPr="002029AF">
        <w:t xml:space="preserve"> </w:t>
      </w:r>
      <w:r w:rsidRPr="002029AF">
        <w:t>=</w:t>
      </w:r>
      <w:r w:rsidR="000A5329" w:rsidRPr="002029AF">
        <w:t xml:space="preserve"> </w:t>
      </w:r>
      <w:r w:rsidRPr="002029AF">
        <w:t>not</w:t>
      </w:r>
      <w:r w:rsidR="000A5329" w:rsidRPr="002029AF">
        <w:t xml:space="preserve"> </w:t>
      </w:r>
      <w:r w:rsidRPr="002029AF">
        <w:t>available</w:t>
      </w:r>
    </w:p>
    <w:p w14:paraId="611E2A88" w14:textId="3F0286B8" w:rsidR="00CF72D5" w:rsidRPr="002029AF" w:rsidRDefault="00CF72D5" w:rsidP="00897193">
      <w:pPr>
        <w:pStyle w:val="ARtablefootnote"/>
        <w:rPr>
          <w:rFonts w:eastAsia="Times"/>
        </w:rPr>
      </w:pPr>
      <w:r w:rsidRPr="002029AF">
        <w:rPr>
          <w:rFonts w:eastAsia="Times"/>
        </w:rPr>
        <w:t>Rounding</w:t>
      </w:r>
      <w:r w:rsidR="000A5329" w:rsidRPr="002029AF">
        <w:rPr>
          <w:rFonts w:eastAsia="Times"/>
        </w:rPr>
        <w:t xml:space="preserve"> </w:t>
      </w:r>
      <w:r w:rsidRPr="002029AF">
        <w:rPr>
          <w:rFonts w:eastAsia="Times"/>
        </w:rPr>
        <w:t>errors</w:t>
      </w:r>
      <w:r w:rsidR="000A5329" w:rsidRPr="002029AF">
        <w:rPr>
          <w:rFonts w:eastAsia="Times"/>
        </w:rPr>
        <w:t xml:space="preserve"> </w:t>
      </w:r>
      <w:r w:rsidRPr="002029AF">
        <w:rPr>
          <w:rFonts w:eastAsia="Times"/>
        </w:rPr>
        <w:t>may</w:t>
      </w:r>
      <w:r w:rsidR="000A5329" w:rsidRPr="002029AF">
        <w:rPr>
          <w:rFonts w:eastAsia="Times"/>
        </w:rPr>
        <w:t xml:space="preserve"> </w:t>
      </w:r>
      <w:r w:rsidRPr="002029AF">
        <w:rPr>
          <w:rFonts w:eastAsia="Times"/>
        </w:rPr>
        <w:t>be</w:t>
      </w:r>
      <w:r w:rsidR="000A5329" w:rsidRPr="002029AF">
        <w:rPr>
          <w:rFonts w:eastAsia="Times"/>
        </w:rPr>
        <w:t xml:space="preserve"> </w:t>
      </w:r>
      <w:r w:rsidRPr="002029AF">
        <w:rPr>
          <w:rFonts w:eastAsia="Times"/>
        </w:rPr>
        <w:t>present</w:t>
      </w:r>
      <w:r w:rsidR="000A5329" w:rsidRPr="002029AF">
        <w:rPr>
          <w:rFonts w:eastAsia="Times"/>
        </w:rPr>
        <w:t xml:space="preserve"> </w:t>
      </w:r>
      <w:r w:rsidRPr="002029AF">
        <w:rPr>
          <w:rFonts w:eastAsia="Times"/>
        </w:rPr>
        <w:t>in</w:t>
      </w:r>
      <w:r w:rsidR="000A5329" w:rsidRPr="002029AF">
        <w:rPr>
          <w:rFonts w:eastAsia="Times"/>
        </w:rPr>
        <w:t xml:space="preserve"> </w:t>
      </w:r>
      <w:r w:rsidRPr="002029AF">
        <w:rPr>
          <w:rFonts w:eastAsia="Times"/>
        </w:rPr>
        <w:t>FTE</w:t>
      </w:r>
      <w:r w:rsidR="000A5329" w:rsidRPr="002029AF">
        <w:rPr>
          <w:rFonts w:eastAsia="Times"/>
        </w:rPr>
        <w:t xml:space="preserve"> </w:t>
      </w:r>
      <w:r w:rsidRPr="002029AF">
        <w:rPr>
          <w:rFonts w:eastAsia="Times"/>
        </w:rPr>
        <w:t>tables</w:t>
      </w:r>
      <w:r w:rsidR="000A5329" w:rsidRPr="002029AF">
        <w:rPr>
          <w:rFonts w:eastAsia="Times"/>
        </w:rPr>
        <w:t xml:space="preserve"> </w:t>
      </w:r>
      <w:r w:rsidRPr="002029AF">
        <w:rPr>
          <w:rFonts w:eastAsia="Times"/>
        </w:rPr>
        <w:t>due</w:t>
      </w:r>
      <w:r w:rsidR="000A5329" w:rsidRPr="002029AF">
        <w:rPr>
          <w:rFonts w:eastAsia="Times"/>
        </w:rPr>
        <w:t xml:space="preserve"> </w:t>
      </w:r>
      <w:r w:rsidRPr="002029AF">
        <w:rPr>
          <w:rFonts w:eastAsia="Times"/>
        </w:rPr>
        <w:t>to</w:t>
      </w:r>
      <w:r w:rsidR="000A5329" w:rsidRPr="002029AF">
        <w:rPr>
          <w:rFonts w:eastAsia="Times"/>
        </w:rPr>
        <w:t xml:space="preserve"> </w:t>
      </w:r>
      <w:r w:rsidRPr="002029AF">
        <w:rPr>
          <w:rFonts w:eastAsia="Times"/>
        </w:rPr>
        <w:t>data</w:t>
      </w:r>
      <w:r w:rsidR="000A5329" w:rsidRPr="002029AF">
        <w:rPr>
          <w:rFonts w:eastAsia="Times"/>
        </w:rPr>
        <w:t xml:space="preserve"> </w:t>
      </w:r>
      <w:r w:rsidRPr="002029AF">
        <w:rPr>
          <w:rFonts w:eastAsia="Times"/>
        </w:rPr>
        <w:t>being</w:t>
      </w:r>
      <w:r w:rsidR="000A5329" w:rsidRPr="002029AF">
        <w:rPr>
          <w:rFonts w:eastAsia="Times"/>
        </w:rPr>
        <w:t xml:space="preserve"> </w:t>
      </w:r>
      <w:r w:rsidRPr="002029AF">
        <w:rPr>
          <w:rFonts w:eastAsia="Times"/>
        </w:rPr>
        <w:t>formatted</w:t>
      </w:r>
      <w:r w:rsidR="000A5329" w:rsidRPr="002029AF">
        <w:rPr>
          <w:rFonts w:eastAsia="Times"/>
        </w:rPr>
        <w:t xml:space="preserve"> </w:t>
      </w:r>
      <w:r w:rsidRPr="002029AF">
        <w:rPr>
          <w:rFonts w:eastAsia="Times"/>
        </w:rPr>
        <w:t>to</w:t>
      </w:r>
      <w:r w:rsidR="000A5329" w:rsidRPr="002029AF">
        <w:rPr>
          <w:rFonts w:eastAsia="Times"/>
        </w:rPr>
        <w:t xml:space="preserve"> </w:t>
      </w:r>
      <w:r w:rsidRPr="002029AF">
        <w:rPr>
          <w:rFonts w:eastAsia="Times"/>
        </w:rPr>
        <w:t>one</w:t>
      </w:r>
      <w:r w:rsidR="000A5329" w:rsidRPr="002029AF">
        <w:rPr>
          <w:rFonts w:eastAsia="Times"/>
        </w:rPr>
        <w:t xml:space="preserve"> </w:t>
      </w:r>
      <w:r w:rsidRPr="002029AF">
        <w:rPr>
          <w:rFonts w:eastAsia="Times"/>
        </w:rPr>
        <w:t>decimal</w:t>
      </w:r>
      <w:r w:rsidR="000A5329" w:rsidRPr="002029AF">
        <w:rPr>
          <w:rFonts w:eastAsia="Times"/>
        </w:rPr>
        <w:t xml:space="preserve"> </w:t>
      </w:r>
      <w:r w:rsidRPr="002029AF">
        <w:rPr>
          <w:rFonts w:eastAsia="Times"/>
        </w:rPr>
        <w:t>place.</w:t>
      </w:r>
    </w:p>
    <w:p w14:paraId="5D528DBB" w14:textId="17DCFED7" w:rsidR="00CF72D5" w:rsidRPr="002029AF" w:rsidRDefault="00CF72D5" w:rsidP="00897193">
      <w:pPr>
        <w:pStyle w:val="ARtablefootnote"/>
      </w:pPr>
      <w:r w:rsidRPr="002029AF">
        <w:rPr>
          <w:rFonts w:cs="Arial"/>
          <w:color w:val="000000"/>
        </w:rPr>
        <w:t>Data</w:t>
      </w:r>
      <w:r w:rsidR="000A5329" w:rsidRPr="002029AF">
        <w:rPr>
          <w:rFonts w:cs="Arial"/>
          <w:color w:val="000000"/>
        </w:rPr>
        <w:t xml:space="preserve"> </w:t>
      </w:r>
      <w:r w:rsidRPr="002029AF">
        <w:rPr>
          <w:rFonts w:cs="Arial"/>
          <w:color w:val="000000"/>
        </w:rPr>
        <w:t>as</w:t>
      </w:r>
      <w:r w:rsidR="000A5329" w:rsidRPr="002029AF">
        <w:rPr>
          <w:rFonts w:cs="Arial"/>
          <w:color w:val="000000"/>
        </w:rPr>
        <w:t xml:space="preserve"> </w:t>
      </w:r>
      <w:r w:rsidRPr="002029AF">
        <w:rPr>
          <w:rFonts w:cs="Arial"/>
          <w:color w:val="000000"/>
        </w:rPr>
        <w:t>at</w:t>
      </w:r>
      <w:r w:rsidR="000A5329" w:rsidRPr="002029AF">
        <w:rPr>
          <w:rFonts w:cs="Arial"/>
          <w:color w:val="000000"/>
        </w:rPr>
        <w:t xml:space="preserve"> </w:t>
      </w:r>
      <w:r w:rsidRPr="002029AF">
        <w:rPr>
          <w:rFonts w:cs="Arial"/>
          <w:color w:val="000000"/>
        </w:rPr>
        <w:t>30</w:t>
      </w:r>
      <w:r w:rsidR="000A5329" w:rsidRPr="002029AF">
        <w:rPr>
          <w:rFonts w:cs="Arial"/>
          <w:color w:val="000000"/>
        </w:rPr>
        <w:t xml:space="preserve"> </w:t>
      </w:r>
      <w:r w:rsidRPr="002029AF">
        <w:rPr>
          <w:rFonts w:cs="Arial"/>
          <w:color w:val="000000"/>
        </w:rPr>
        <w:t>June</w:t>
      </w:r>
      <w:r w:rsidR="000A5329" w:rsidRPr="002029AF">
        <w:rPr>
          <w:rFonts w:cs="Arial"/>
          <w:color w:val="000000"/>
        </w:rPr>
        <w:t xml:space="preserve"> </w:t>
      </w:r>
      <w:r w:rsidRPr="002029AF">
        <w:rPr>
          <w:rFonts w:cs="Arial"/>
          <w:color w:val="000000"/>
        </w:rPr>
        <w:t>2020.</w:t>
      </w:r>
    </w:p>
    <w:p w14:paraId="43141A92" w14:textId="77777777" w:rsidR="00CF72D5" w:rsidRPr="002029AF" w:rsidRDefault="00CF72D5" w:rsidP="00897193">
      <w:pPr>
        <w:pStyle w:val="Heading6"/>
        <w:rPr>
          <w:lang w:val="en-AU"/>
        </w:rPr>
        <w:sectPr w:rsidR="00CF72D5" w:rsidRPr="002029AF" w:rsidSect="00E25B23">
          <w:footerReference w:type="even" r:id="rId123"/>
          <w:pgSz w:w="16838" w:h="11906" w:orient="landscape" w:code="9"/>
          <w:pgMar w:top="1418" w:right="1985" w:bottom="1418" w:left="851" w:header="851" w:footer="851" w:gutter="0"/>
          <w:cols w:space="454"/>
          <w:docGrid w:linePitch="360"/>
          <w15:footnoteColumns w:val="1"/>
        </w:sectPr>
      </w:pPr>
    </w:p>
    <w:p w14:paraId="754C327F" w14:textId="54A2B691" w:rsidR="00CF72D5" w:rsidRPr="002029AF" w:rsidRDefault="00CF72D5" w:rsidP="0028134C">
      <w:pPr>
        <w:pStyle w:val="Heading4"/>
        <w:spacing w:before="0"/>
      </w:pPr>
      <w:r w:rsidRPr="002029AF">
        <w:lastRenderedPageBreak/>
        <w:t>Annualised</w:t>
      </w:r>
      <w:r w:rsidR="000A5329" w:rsidRPr="002029AF">
        <w:t xml:space="preserve"> </w:t>
      </w:r>
      <w:r w:rsidRPr="002029AF">
        <w:t>total</w:t>
      </w:r>
      <w:r w:rsidR="000A5329" w:rsidRPr="002029AF">
        <w:t xml:space="preserve"> </w:t>
      </w:r>
      <w:r w:rsidRPr="002029AF">
        <w:t>salary,</w:t>
      </w:r>
      <w:r w:rsidR="000A5329" w:rsidRPr="002029AF">
        <w:t xml:space="preserve"> </w:t>
      </w:r>
      <w:r w:rsidRPr="002029AF">
        <w:t>by</w:t>
      </w:r>
      <w:r w:rsidR="000A5329" w:rsidRPr="002029AF">
        <w:t xml:space="preserve"> </w:t>
      </w:r>
      <w:r w:rsidRPr="002029AF">
        <w:t>$20,000</w:t>
      </w:r>
      <w:r w:rsidR="000A5329" w:rsidRPr="002029AF">
        <w:t xml:space="preserve"> </w:t>
      </w:r>
      <w:r w:rsidRPr="002029AF">
        <w:t>bands,</w:t>
      </w:r>
      <w:r w:rsidR="000A5329" w:rsidRPr="002029AF">
        <w:t xml:space="preserve"> </w:t>
      </w:r>
      <w:r w:rsidRPr="002029AF">
        <w:t>for</w:t>
      </w:r>
      <w:r w:rsidR="000A5329" w:rsidRPr="002029AF">
        <w:t xml:space="preserve"> </w:t>
      </w:r>
      <w:r w:rsidRPr="002029AF">
        <w:t>executives</w:t>
      </w:r>
      <w:r w:rsidR="000A5329" w:rsidRPr="002029AF">
        <w:t xml:space="preserve"> </w:t>
      </w:r>
      <w:r w:rsidRPr="002029AF">
        <w:t>and</w:t>
      </w:r>
      <w:r w:rsidR="000A5329" w:rsidRPr="002029AF">
        <w:t xml:space="preserve"> </w:t>
      </w:r>
      <w:r w:rsidRPr="002029AF">
        <w:t>other</w:t>
      </w:r>
      <w:r w:rsidR="000A5329" w:rsidRPr="002029AF">
        <w:t xml:space="preserve"> </w:t>
      </w:r>
      <w:r w:rsidRPr="002029AF">
        <w:t>senior</w:t>
      </w:r>
      <w:r w:rsidR="000A5329" w:rsidRPr="002029AF">
        <w:t xml:space="preserve"> </w:t>
      </w:r>
      <w:r w:rsidR="00233C48" w:rsidRPr="002029AF">
        <w:br/>
      </w:r>
      <w:r w:rsidRPr="002029AF">
        <w:t>non-executive</w:t>
      </w:r>
      <w:r w:rsidR="000A5329" w:rsidRPr="002029AF">
        <w:t xml:space="preserve"> </w:t>
      </w:r>
      <w:r w:rsidRPr="002029AF">
        <w:t>staff</w:t>
      </w:r>
    </w:p>
    <w:tbl>
      <w:tblPr>
        <w:tblW w:w="9645"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1E0" w:firstRow="1" w:lastRow="1" w:firstColumn="1" w:lastColumn="1" w:noHBand="0" w:noVBand="0"/>
      </w:tblPr>
      <w:tblGrid>
        <w:gridCol w:w="2699"/>
        <w:gridCol w:w="1418"/>
        <w:gridCol w:w="1134"/>
        <w:gridCol w:w="1134"/>
        <w:gridCol w:w="1134"/>
        <w:gridCol w:w="1134"/>
        <w:gridCol w:w="992"/>
      </w:tblGrid>
      <w:tr w:rsidR="00CF72D5" w:rsidRPr="002029AF" w14:paraId="7055E8EB" w14:textId="77777777" w:rsidTr="00897193">
        <w:trPr>
          <w:cantSplit/>
          <w:tblHeader/>
        </w:trPr>
        <w:tc>
          <w:tcPr>
            <w:tcW w:w="1399" w:type="pct"/>
            <w:tcBorders>
              <w:bottom w:val="single" w:sz="4" w:space="0" w:color="auto"/>
            </w:tcBorders>
            <w:shd w:val="clear" w:color="auto" w:fill="auto"/>
          </w:tcPr>
          <w:p w14:paraId="073A1BB7" w14:textId="464BBA95" w:rsidR="00CF72D5" w:rsidRPr="002029AF" w:rsidRDefault="00CF72D5" w:rsidP="00897193">
            <w:pPr>
              <w:pStyle w:val="ARtablecolhead"/>
            </w:pPr>
            <w:r w:rsidRPr="002029AF">
              <w:t>Income</w:t>
            </w:r>
            <w:r w:rsidR="000A5329" w:rsidRPr="002029AF">
              <w:t xml:space="preserve"> </w:t>
            </w:r>
            <w:r w:rsidRPr="002029AF">
              <w:t>band</w:t>
            </w:r>
            <w:r w:rsidR="000A5329" w:rsidRPr="002029AF">
              <w:t xml:space="preserve"> </w:t>
            </w:r>
            <w:r w:rsidRPr="002029AF">
              <w:t>(salary)</w:t>
            </w:r>
          </w:p>
        </w:tc>
        <w:tc>
          <w:tcPr>
            <w:tcW w:w="735" w:type="pct"/>
            <w:tcBorders>
              <w:top w:val="nil"/>
              <w:bottom w:val="single" w:sz="4" w:space="0" w:color="auto"/>
            </w:tcBorders>
            <w:shd w:val="clear" w:color="auto" w:fill="auto"/>
            <w:vAlign w:val="bottom"/>
          </w:tcPr>
          <w:p w14:paraId="5B45EC68" w14:textId="77777777" w:rsidR="00CF72D5" w:rsidRPr="002029AF" w:rsidRDefault="00CF72D5" w:rsidP="00897193">
            <w:pPr>
              <w:pStyle w:val="ARtablecolheadright"/>
            </w:pPr>
            <w:r w:rsidRPr="002029AF">
              <w:t>Executives</w:t>
            </w:r>
          </w:p>
        </w:tc>
        <w:tc>
          <w:tcPr>
            <w:tcW w:w="588" w:type="pct"/>
            <w:tcBorders>
              <w:top w:val="nil"/>
              <w:bottom w:val="single" w:sz="4" w:space="0" w:color="auto"/>
            </w:tcBorders>
            <w:shd w:val="clear" w:color="auto" w:fill="auto"/>
            <w:vAlign w:val="bottom"/>
          </w:tcPr>
          <w:p w14:paraId="248B4313" w14:textId="77777777" w:rsidR="00CF72D5" w:rsidRPr="002029AF" w:rsidRDefault="00CF72D5" w:rsidP="00897193">
            <w:pPr>
              <w:pStyle w:val="ARtablecolheadright"/>
            </w:pPr>
            <w:r w:rsidRPr="002029AF">
              <w:t>STS</w:t>
            </w:r>
          </w:p>
        </w:tc>
        <w:tc>
          <w:tcPr>
            <w:tcW w:w="588" w:type="pct"/>
            <w:tcBorders>
              <w:top w:val="nil"/>
              <w:bottom w:val="single" w:sz="4" w:space="0" w:color="auto"/>
            </w:tcBorders>
            <w:shd w:val="clear" w:color="auto" w:fill="auto"/>
            <w:vAlign w:val="bottom"/>
          </w:tcPr>
          <w:p w14:paraId="0D98FBF5" w14:textId="77777777" w:rsidR="00CF72D5" w:rsidRPr="002029AF" w:rsidRDefault="00CF72D5" w:rsidP="00897193">
            <w:pPr>
              <w:pStyle w:val="ARtablecolheadright"/>
            </w:pPr>
            <w:r w:rsidRPr="002029AF">
              <w:t>PS</w:t>
            </w:r>
          </w:p>
        </w:tc>
        <w:tc>
          <w:tcPr>
            <w:tcW w:w="588" w:type="pct"/>
            <w:tcBorders>
              <w:top w:val="nil"/>
              <w:bottom w:val="single" w:sz="4" w:space="0" w:color="auto"/>
            </w:tcBorders>
            <w:vAlign w:val="bottom"/>
          </w:tcPr>
          <w:p w14:paraId="4106A77E" w14:textId="77777777" w:rsidR="00CF72D5" w:rsidRPr="002029AF" w:rsidRDefault="00CF72D5" w:rsidP="00897193">
            <w:pPr>
              <w:pStyle w:val="ARtablecolheadright"/>
            </w:pPr>
            <w:r w:rsidRPr="002029AF">
              <w:t>SMA</w:t>
            </w:r>
          </w:p>
        </w:tc>
        <w:tc>
          <w:tcPr>
            <w:tcW w:w="588" w:type="pct"/>
            <w:tcBorders>
              <w:top w:val="nil"/>
              <w:bottom w:val="single" w:sz="4" w:space="0" w:color="auto"/>
            </w:tcBorders>
            <w:vAlign w:val="bottom"/>
          </w:tcPr>
          <w:p w14:paraId="37545D2C" w14:textId="77777777" w:rsidR="00CF72D5" w:rsidRPr="002029AF" w:rsidRDefault="00CF72D5" w:rsidP="00897193">
            <w:pPr>
              <w:pStyle w:val="ARtablecolheadright"/>
            </w:pPr>
            <w:r w:rsidRPr="002029AF">
              <w:t>SRA</w:t>
            </w:r>
          </w:p>
        </w:tc>
        <w:tc>
          <w:tcPr>
            <w:tcW w:w="514" w:type="pct"/>
            <w:tcBorders>
              <w:top w:val="nil"/>
              <w:bottom w:val="single" w:sz="4" w:space="0" w:color="auto"/>
            </w:tcBorders>
            <w:vAlign w:val="bottom"/>
          </w:tcPr>
          <w:p w14:paraId="3A873701" w14:textId="77777777" w:rsidR="00CF72D5" w:rsidRPr="002029AF" w:rsidRDefault="00CF72D5" w:rsidP="00897193">
            <w:pPr>
              <w:pStyle w:val="ARtablecolheadright"/>
            </w:pPr>
            <w:r w:rsidRPr="002029AF">
              <w:t>Other</w:t>
            </w:r>
          </w:p>
        </w:tc>
      </w:tr>
      <w:tr w:rsidR="00CF72D5" w:rsidRPr="002029AF" w14:paraId="7EC6F9A2" w14:textId="77777777" w:rsidTr="00897193">
        <w:trPr>
          <w:cantSplit/>
        </w:trPr>
        <w:tc>
          <w:tcPr>
            <w:tcW w:w="1399" w:type="pct"/>
            <w:tcBorders>
              <w:top w:val="single" w:sz="4" w:space="0" w:color="auto"/>
              <w:bottom w:val="single" w:sz="4" w:space="0" w:color="auto"/>
            </w:tcBorders>
            <w:shd w:val="clear" w:color="auto" w:fill="auto"/>
          </w:tcPr>
          <w:p w14:paraId="2AD56B1F" w14:textId="11A1C56C" w:rsidR="00CF72D5" w:rsidRPr="002029AF" w:rsidRDefault="00CF72D5" w:rsidP="00897193">
            <w:pPr>
              <w:pStyle w:val="ARtabletext"/>
            </w:pPr>
            <w:r w:rsidRPr="002029AF">
              <w:t>&lt;</w:t>
            </w:r>
            <w:r w:rsidR="000A5329" w:rsidRPr="002029AF">
              <w:t xml:space="preserve"> </w:t>
            </w:r>
            <w:r w:rsidRPr="002029AF">
              <w:t>$160,000</w:t>
            </w:r>
          </w:p>
        </w:tc>
        <w:tc>
          <w:tcPr>
            <w:tcW w:w="735" w:type="pct"/>
            <w:tcBorders>
              <w:top w:val="single" w:sz="4" w:space="0" w:color="auto"/>
              <w:bottom w:val="single" w:sz="4" w:space="0" w:color="auto"/>
            </w:tcBorders>
            <w:shd w:val="clear" w:color="auto" w:fill="auto"/>
          </w:tcPr>
          <w:p w14:paraId="587B3F87" w14:textId="77777777" w:rsidR="00CF72D5" w:rsidRPr="002029AF" w:rsidRDefault="00CF72D5" w:rsidP="00897193">
            <w:pPr>
              <w:pStyle w:val="ARtabletextright"/>
            </w:pPr>
          </w:p>
        </w:tc>
        <w:tc>
          <w:tcPr>
            <w:tcW w:w="588" w:type="pct"/>
            <w:tcBorders>
              <w:top w:val="single" w:sz="4" w:space="0" w:color="auto"/>
              <w:bottom w:val="single" w:sz="4" w:space="0" w:color="auto"/>
            </w:tcBorders>
            <w:shd w:val="clear" w:color="auto" w:fill="auto"/>
          </w:tcPr>
          <w:p w14:paraId="0B4111E3" w14:textId="77777777" w:rsidR="00CF72D5" w:rsidRPr="002029AF" w:rsidRDefault="00CF72D5" w:rsidP="00897193">
            <w:pPr>
              <w:pStyle w:val="ARtabletextright"/>
            </w:pPr>
          </w:p>
        </w:tc>
        <w:tc>
          <w:tcPr>
            <w:tcW w:w="588" w:type="pct"/>
            <w:tcBorders>
              <w:top w:val="single" w:sz="4" w:space="0" w:color="auto"/>
              <w:bottom w:val="single" w:sz="4" w:space="0" w:color="auto"/>
            </w:tcBorders>
            <w:shd w:val="clear" w:color="auto" w:fill="auto"/>
          </w:tcPr>
          <w:p w14:paraId="5A57DDE5"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77E88F60"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2FD15960"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0D5E8953" w14:textId="77777777" w:rsidR="00CF72D5" w:rsidRPr="002029AF" w:rsidRDefault="00CF72D5" w:rsidP="00897193">
            <w:pPr>
              <w:pStyle w:val="ARtabletextright"/>
            </w:pPr>
          </w:p>
        </w:tc>
      </w:tr>
      <w:tr w:rsidR="00CF72D5" w:rsidRPr="002029AF" w14:paraId="636B3F1C" w14:textId="77777777" w:rsidTr="00897193">
        <w:trPr>
          <w:cantSplit/>
        </w:trPr>
        <w:tc>
          <w:tcPr>
            <w:tcW w:w="1399" w:type="pct"/>
            <w:tcBorders>
              <w:top w:val="single" w:sz="4" w:space="0" w:color="auto"/>
              <w:bottom w:val="single" w:sz="4" w:space="0" w:color="auto"/>
            </w:tcBorders>
            <w:shd w:val="clear" w:color="auto" w:fill="auto"/>
          </w:tcPr>
          <w:p w14:paraId="3263BCCE" w14:textId="77777777" w:rsidR="00CF72D5" w:rsidRPr="002029AF" w:rsidRDefault="00CF72D5" w:rsidP="00897193">
            <w:pPr>
              <w:pStyle w:val="ARtabletext"/>
            </w:pPr>
            <w:r w:rsidRPr="002029AF">
              <w:t>$160,000–$179,999</w:t>
            </w:r>
          </w:p>
        </w:tc>
        <w:tc>
          <w:tcPr>
            <w:tcW w:w="735" w:type="pct"/>
            <w:tcBorders>
              <w:top w:val="single" w:sz="4" w:space="0" w:color="auto"/>
              <w:bottom w:val="single" w:sz="4" w:space="0" w:color="auto"/>
            </w:tcBorders>
            <w:shd w:val="clear" w:color="auto" w:fill="auto"/>
          </w:tcPr>
          <w:p w14:paraId="374EF58A" w14:textId="77777777" w:rsidR="00CF72D5" w:rsidRPr="002029AF" w:rsidRDefault="00CF72D5" w:rsidP="00897193">
            <w:pPr>
              <w:pStyle w:val="ARtabletextright"/>
            </w:pPr>
          </w:p>
        </w:tc>
        <w:tc>
          <w:tcPr>
            <w:tcW w:w="588" w:type="pct"/>
            <w:tcBorders>
              <w:top w:val="single" w:sz="4" w:space="0" w:color="auto"/>
              <w:bottom w:val="single" w:sz="4" w:space="0" w:color="auto"/>
            </w:tcBorders>
            <w:shd w:val="clear" w:color="auto" w:fill="auto"/>
          </w:tcPr>
          <w:p w14:paraId="6B2E8CA4" w14:textId="77777777" w:rsidR="00CF72D5" w:rsidRPr="002029AF" w:rsidRDefault="00CF72D5" w:rsidP="00897193">
            <w:pPr>
              <w:pStyle w:val="ARtabletextright"/>
            </w:pPr>
          </w:p>
        </w:tc>
        <w:tc>
          <w:tcPr>
            <w:tcW w:w="588" w:type="pct"/>
            <w:tcBorders>
              <w:top w:val="single" w:sz="4" w:space="0" w:color="auto"/>
              <w:bottom w:val="single" w:sz="4" w:space="0" w:color="auto"/>
            </w:tcBorders>
            <w:shd w:val="clear" w:color="auto" w:fill="auto"/>
          </w:tcPr>
          <w:p w14:paraId="73D663CA"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02BF3219"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7BF1AA57"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0120D3D5" w14:textId="77777777" w:rsidR="00CF72D5" w:rsidRPr="002029AF" w:rsidRDefault="00CF72D5" w:rsidP="00897193">
            <w:pPr>
              <w:pStyle w:val="ARtabletextright"/>
            </w:pPr>
          </w:p>
        </w:tc>
      </w:tr>
      <w:tr w:rsidR="00CF72D5" w:rsidRPr="002029AF" w14:paraId="445388FB" w14:textId="77777777" w:rsidTr="00897193">
        <w:trPr>
          <w:cantSplit/>
        </w:trPr>
        <w:tc>
          <w:tcPr>
            <w:tcW w:w="1399" w:type="pct"/>
            <w:tcBorders>
              <w:top w:val="single" w:sz="4" w:space="0" w:color="auto"/>
              <w:bottom w:val="single" w:sz="4" w:space="0" w:color="auto"/>
            </w:tcBorders>
            <w:shd w:val="clear" w:color="auto" w:fill="auto"/>
          </w:tcPr>
          <w:p w14:paraId="2460FFDF" w14:textId="77777777" w:rsidR="00CF72D5" w:rsidRPr="002029AF" w:rsidRDefault="00CF72D5" w:rsidP="00897193">
            <w:pPr>
              <w:pStyle w:val="ARtabletext"/>
            </w:pPr>
            <w:r w:rsidRPr="002029AF">
              <w:t>$180,000–$199,999</w:t>
            </w:r>
          </w:p>
        </w:tc>
        <w:tc>
          <w:tcPr>
            <w:tcW w:w="735" w:type="pct"/>
            <w:tcBorders>
              <w:top w:val="single" w:sz="4" w:space="0" w:color="auto"/>
              <w:bottom w:val="single" w:sz="4" w:space="0" w:color="auto"/>
            </w:tcBorders>
            <w:shd w:val="clear" w:color="auto" w:fill="auto"/>
          </w:tcPr>
          <w:p w14:paraId="3844E621" w14:textId="77777777" w:rsidR="00CF72D5" w:rsidRPr="002029AF" w:rsidRDefault="00CF72D5" w:rsidP="00897193">
            <w:pPr>
              <w:pStyle w:val="ARtabletextright"/>
            </w:pPr>
          </w:p>
        </w:tc>
        <w:tc>
          <w:tcPr>
            <w:tcW w:w="588" w:type="pct"/>
            <w:tcBorders>
              <w:top w:val="single" w:sz="4" w:space="0" w:color="auto"/>
              <w:bottom w:val="single" w:sz="4" w:space="0" w:color="auto"/>
            </w:tcBorders>
            <w:shd w:val="clear" w:color="auto" w:fill="auto"/>
          </w:tcPr>
          <w:p w14:paraId="463D4AD7" w14:textId="77777777" w:rsidR="00CF72D5" w:rsidRPr="002029AF" w:rsidRDefault="00CF72D5" w:rsidP="00897193">
            <w:pPr>
              <w:pStyle w:val="ARtabletextright"/>
            </w:pPr>
          </w:p>
        </w:tc>
        <w:tc>
          <w:tcPr>
            <w:tcW w:w="588" w:type="pct"/>
            <w:tcBorders>
              <w:top w:val="single" w:sz="4" w:space="0" w:color="auto"/>
              <w:bottom w:val="single" w:sz="4" w:space="0" w:color="auto"/>
            </w:tcBorders>
            <w:shd w:val="clear" w:color="auto" w:fill="auto"/>
          </w:tcPr>
          <w:p w14:paraId="386D058E"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497ADE32"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09AAF431"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7E66AEF9" w14:textId="77777777" w:rsidR="00CF72D5" w:rsidRPr="002029AF" w:rsidRDefault="00CF72D5" w:rsidP="00897193">
            <w:pPr>
              <w:pStyle w:val="ARtabletextright"/>
            </w:pPr>
          </w:p>
        </w:tc>
      </w:tr>
      <w:tr w:rsidR="00CF72D5" w:rsidRPr="002029AF" w14:paraId="31513A4A" w14:textId="77777777" w:rsidTr="00897193">
        <w:trPr>
          <w:cantSplit/>
        </w:trPr>
        <w:tc>
          <w:tcPr>
            <w:tcW w:w="1399" w:type="pct"/>
            <w:tcBorders>
              <w:top w:val="single" w:sz="4" w:space="0" w:color="auto"/>
              <w:bottom w:val="single" w:sz="4" w:space="0" w:color="auto"/>
            </w:tcBorders>
            <w:shd w:val="clear" w:color="auto" w:fill="auto"/>
          </w:tcPr>
          <w:p w14:paraId="53BAEF35" w14:textId="77777777" w:rsidR="00CF72D5" w:rsidRPr="002029AF" w:rsidRDefault="00CF72D5" w:rsidP="00897193">
            <w:pPr>
              <w:pStyle w:val="ARtabletext"/>
            </w:pPr>
            <w:r w:rsidRPr="002029AF">
              <w:t>$200,000–$219,999</w:t>
            </w:r>
          </w:p>
        </w:tc>
        <w:tc>
          <w:tcPr>
            <w:tcW w:w="735" w:type="pct"/>
            <w:tcBorders>
              <w:top w:val="single" w:sz="4" w:space="0" w:color="auto"/>
              <w:bottom w:val="single" w:sz="4" w:space="0" w:color="auto"/>
            </w:tcBorders>
            <w:shd w:val="clear" w:color="auto" w:fill="auto"/>
          </w:tcPr>
          <w:p w14:paraId="45779EEB" w14:textId="77777777" w:rsidR="00CF72D5" w:rsidRPr="002029AF" w:rsidRDefault="00CF72D5" w:rsidP="00897193">
            <w:pPr>
              <w:pStyle w:val="ARtabletextright"/>
            </w:pPr>
          </w:p>
        </w:tc>
        <w:tc>
          <w:tcPr>
            <w:tcW w:w="588" w:type="pct"/>
            <w:tcBorders>
              <w:top w:val="single" w:sz="4" w:space="0" w:color="auto"/>
              <w:bottom w:val="single" w:sz="4" w:space="0" w:color="auto"/>
            </w:tcBorders>
            <w:shd w:val="clear" w:color="auto" w:fill="auto"/>
          </w:tcPr>
          <w:p w14:paraId="19186EF9" w14:textId="77777777" w:rsidR="00CF72D5" w:rsidRPr="002029AF" w:rsidRDefault="00CF72D5" w:rsidP="00897193">
            <w:pPr>
              <w:pStyle w:val="ARtabletextright"/>
            </w:pPr>
          </w:p>
        </w:tc>
        <w:tc>
          <w:tcPr>
            <w:tcW w:w="588" w:type="pct"/>
            <w:tcBorders>
              <w:top w:val="single" w:sz="4" w:space="0" w:color="auto"/>
              <w:bottom w:val="single" w:sz="4" w:space="0" w:color="auto"/>
            </w:tcBorders>
            <w:shd w:val="clear" w:color="auto" w:fill="auto"/>
          </w:tcPr>
          <w:p w14:paraId="5965F283"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3715844D"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4F81495A"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2DE7D132" w14:textId="77777777" w:rsidR="00CF72D5" w:rsidRPr="002029AF" w:rsidRDefault="00CF72D5" w:rsidP="00897193">
            <w:pPr>
              <w:pStyle w:val="ARtabletextright"/>
            </w:pPr>
          </w:p>
        </w:tc>
      </w:tr>
      <w:tr w:rsidR="00CF72D5" w:rsidRPr="002029AF" w14:paraId="0B785C35" w14:textId="77777777" w:rsidTr="00897193">
        <w:trPr>
          <w:cantSplit/>
        </w:trPr>
        <w:tc>
          <w:tcPr>
            <w:tcW w:w="1399" w:type="pct"/>
            <w:tcBorders>
              <w:top w:val="single" w:sz="4" w:space="0" w:color="auto"/>
              <w:bottom w:val="single" w:sz="4" w:space="0" w:color="auto"/>
            </w:tcBorders>
            <w:shd w:val="clear" w:color="auto" w:fill="auto"/>
          </w:tcPr>
          <w:p w14:paraId="1435FB88" w14:textId="77777777" w:rsidR="00CF72D5" w:rsidRPr="002029AF" w:rsidRDefault="00CF72D5" w:rsidP="00897193">
            <w:pPr>
              <w:pStyle w:val="ARtabletext"/>
            </w:pPr>
            <w:r w:rsidRPr="002029AF">
              <w:t>$220,000–$239,999</w:t>
            </w:r>
          </w:p>
        </w:tc>
        <w:tc>
          <w:tcPr>
            <w:tcW w:w="735" w:type="pct"/>
            <w:tcBorders>
              <w:top w:val="single" w:sz="4" w:space="0" w:color="auto"/>
              <w:bottom w:val="single" w:sz="4" w:space="0" w:color="auto"/>
            </w:tcBorders>
            <w:shd w:val="clear" w:color="auto" w:fill="auto"/>
          </w:tcPr>
          <w:p w14:paraId="75FF514B" w14:textId="77777777" w:rsidR="00CF72D5" w:rsidRPr="002029AF" w:rsidRDefault="00CF72D5" w:rsidP="00897193">
            <w:pPr>
              <w:pStyle w:val="ARtabletextright"/>
              <w:rPr>
                <w:color w:val="000000" w:themeColor="text1"/>
              </w:rPr>
            </w:pPr>
            <w:r w:rsidRPr="002029AF">
              <w:rPr>
                <w:color w:val="000000" w:themeColor="text1"/>
              </w:rPr>
              <w:t>1</w:t>
            </w:r>
          </w:p>
        </w:tc>
        <w:tc>
          <w:tcPr>
            <w:tcW w:w="588" w:type="pct"/>
            <w:tcBorders>
              <w:top w:val="single" w:sz="4" w:space="0" w:color="auto"/>
              <w:bottom w:val="single" w:sz="4" w:space="0" w:color="auto"/>
            </w:tcBorders>
            <w:shd w:val="clear" w:color="auto" w:fill="auto"/>
          </w:tcPr>
          <w:p w14:paraId="5EDE8F9F" w14:textId="77777777" w:rsidR="00CF72D5" w:rsidRPr="002029AF" w:rsidRDefault="00CF72D5" w:rsidP="00897193">
            <w:pPr>
              <w:pStyle w:val="ARtabletextright"/>
            </w:pPr>
          </w:p>
        </w:tc>
        <w:tc>
          <w:tcPr>
            <w:tcW w:w="588" w:type="pct"/>
            <w:tcBorders>
              <w:top w:val="single" w:sz="4" w:space="0" w:color="auto"/>
              <w:bottom w:val="single" w:sz="4" w:space="0" w:color="auto"/>
            </w:tcBorders>
            <w:shd w:val="clear" w:color="auto" w:fill="auto"/>
          </w:tcPr>
          <w:p w14:paraId="1B38BDD3"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6AD7132E"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5807A925"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38F0DDC3" w14:textId="77777777" w:rsidR="00CF72D5" w:rsidRPr="002029AF" w:rsidRDefault="00CF72D5" w:rsidP="00897193">
            <w:pPr>
              <w:pStyle w:val="ARtabletextright"/>
            </w:pPr>
          </w:p>
        </w:tc>
      </w:tr>
      <w:tr w:rsidR="00CF72D5" w:rsidRPr="002029AF" w14:paraId="4E1F8570" w14:textId="77777777" w:rsidTr="00897193">
        <w:trPr>
          <w:cantSplit/>
        </w:trPr>
        <w:tc>
          <w:tcPr>
            <w:tcW w:w="1399" w:type="pct"/>
            <w:tcBorders>
              <w:top w:val="single" w:sz="4" w:space="0" w:color="auto"/>
              <w:bottom w:val="single" w:sz="4" w:space="0" w:color="auto"/>
            </w:tcBorders>
            <w:shd w:val="clear" w:color="auto" w:fill="auto"/>
          </w:tcPr>
          <w:p w14:paraId="237612FB" w14:textId="77777777" w:rsidR="00CF72D5" w:rsidRPr="002029AF" w:rsidRDefault="00CF72D5" w:rsidP="00897193">
            <w:pPr>
              <w:pStyle w:val="ARtabletext"/>
            </w:pPr>
            <w:r w:rsidRPr="002029AF">
              <w:t>$240,000–$259,999</w:t>
            </w:r>
          </w:p>
        </w:tc>
        <w:tc>
          <w:tcPr>
            <w:tcW w:w="735" w:type="pct"/>
            <w:tcBorders>
              <w:top w:val="single" w:sz="4" w:space="0" w:color="auto"/>
              <w:bottom w:val="single" w:sz="4" w:space="0" w:color="auto"/>
            </w:tcBorders>
            <w:shd w:val="clear" w:color="auto" w:fill="auto"/>
          </w:tcPr>
          <w:p w14:paraId="03C2E3BB"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66A7276A" w14:textId="77777777" w:rsidR="00CF72D5" w:rsidRPr="002029AF" w:rsidRDefault="00CF72D5" w:rsidP="00897193">
            <w:pPr>
              <w:pStyle w:val="ARtabletextright"/>
            </w:pPr>
          </w:p>
        </w:tc>
        <w:tc>
          <w:tcPr>
            <w:tcW w:w="588" w:type="pct"/>
            <w:tcBorders>
              <w:top w:val="single" w:sz="4" w:space="0" w:color="auto"/>
              <w:bottom w:val="single" w:sz="4" w:space="0" w:color="auto"/>
            </w:tcBorders>
            <w:shd w:val="clear" w:color="auto" w:fill="auto"/>
          </w:tcPr>
          <w:p w14:paraId="35A00D56"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582C716F"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3C089D52"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31881F24" w14:textId="77777777" w:rsidR="00CF72D5" w:rsidRPr="002029AF" w:rsidRDefault="00CF72D5" w:rsidP="00897193">
            <w:pPr>
              <w:pStyle w:val="ARtabletextright"/>
            </w:pPr>
          </w:p>
        </w:tc>
      </w:tr>
      <w:tr w:rsidR="00CF72D5" w:rsidRPr="002029AF" w14:paraId="3E3AF1B7" w14:textId="77777777" w:rsidTr="00897193">
        <w:tblPrEx>
          <w:tblLook w:val="04A0" w:firstRow="1" w:lastRow="0" w:firstColumn="1" w:lastColumn="0" w:noHBand="0" w:noVBand="1"/>
        </w:tblPrEx>
        <w:trPr>
          <w:cantSplit/>
        </w:trPr>
        <w:tc>
          <w:tcPr>
            <w:tcW w:w="1399" w:type="pct"/>
            <w:tcBorders>
              <w:top w:val="single" w:sz="4" w:space="0" w:color="auto"/>
              <w:bottom w:val="single" w:sz="4" w:space="0" w:color="auto"/>
            </w:tcBorders>
            <w:shd w:val="clear" w:color="auto" w:fill="auto"/>
          </w:tcPr>
          <w:p w14:paraId="2A4EFFF7" w14:textId="77777777" w:rsidR="00CF72D5" w:rsidRPr="002029AF" w:rsidRDefault="00CF72D5" w:rsidP="00897193">
            <w:pPr>
              <w:pStyle w:val="ARtabletext"/>
            </w:pPr>
            <w:r w:rsidRPr="002029AF">
              <w:t>$260,000–$279,999</w:t>
            </w:r>
          </w:p>
        </w:tc>
        <w:tc>
          <w:tcPr>
            <w:tcW w:w="735" w:type="pct"/>
            <w:tcBorders>
              <w:top w:val="single" w:sz="4" w:space="0" w:color="auto"/>
              <w:bottom w:val="single" w:sz="4" w:space="0" w:color="auto"/>
            </w:tcBorders>
            <w:shd w:val="clear" w:color="auto" w:fill="auto"/>
          </w:tcPr>
          <w:p w14:paraId="33BE7E3F" w14:textId="77777777" w:rsidR="00CF72D5" w:rsidRPr="002029AF" w:rsidRDefault="00CF72D5" w:rsidP="00897193">
            <w:pPr>
              <w:pStyle w:val="ARtabletextright"/>
              <w:rPr>
                <w:color w:val="000000" w:themeColor="text1"/>
              </w:rPr>
            </w:pPr>
            <w:r w:rsidRPr="002029AF">
              <w:rPr>
                <w:color w:val="000000" w:themeColor="text1"/>
              </w:rPr>
              <w:t>1</w:t>
            </w:r>
          </w:p>
        </w:tc>
        <w:tc>
          <w:tcPr>
            <w:tcW w:w="588" w:type="pct"/>
            <w:tcBorders>
              <w:top w:val="single" w:sz="4" w:space="0" w:color="auto"/>
              <w:bottom w:val="single" w:sz="4" w:space="0" w:color="auto"/>
            </w:tcBorders>
            <w:shd w:val="clear" w:color="auto" w:fill="auto"/>
          </w:tcPr>
          <w:p w14:paraId="2DFE16B9" w14:textId="77777777" w:rsidR="00CF72D5" w:rsidRPr="002029AF" w:rsidRDefault="00CF72D5" w:rsidP="00897193">
            <w:pPr>
              <w:pStyle w:val="ARtabletextright"/>
            </w:pPr>
          </w:p>
        </w:tc>
        <w:tc>
          <w:tcPr>
            <w:tcW w:w="588" w:type="pct"/>
            <w:tcBorders>
              <w:top w:val="single" w:sz="4" w:space="0" w:color="auto"/>
              <w:bottom w:val="single" w:sz="4" w:space="0" w:color="auto"/>
            </w:tcBorders>
            <w:shd w:val="clear" w:color="auto" w:fill="auto"/>
          </w:tcPr>
          <w:p w14:paraId="07BA76E6"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1770182B"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425BEF74"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5BFE1A11" w14:textId="77777777" w:rsidR="00CF72D5" w:rsidRPr="002029AF" w:rsidRDefault="00CF72D5" w:rsidP="00897193">
            <w:pPr>
              <w:pStyle w:val="ARtabletextright"/>
            </w:pPr>
          </w:p>
        </w:tc>
      </w:tr>
      <w:tr w:rsidR="00CF72D5" w:rsidRPr="002029AF" w14:paraId="712BE398" w14:textId="77777777" w:rsidTr="00897193">
        <w:tblPrEx>
          <w:tblLook w:val="04A0" w:firstRow="1" w:lastRow="0" w:firstColumn="1" w:lastColumn="0" w:noHBand="0" w:noVBand="1"/>
        </w:tblPrEx>
        <w:trPr>
          <w:cantSplit/>
        </w:trPr>
        <w:tc>
          <w:tcPr>
            <w:tcW w:w="1399" w:type="pct"/>
            <w:tcBorders>
              <w:top w:val="single" w:sz="4" w:space="0" w:color="auto"/>
              <w:bottom w:val="single" w:sz="4" w:space="0" w:color="auto"/>
            </w:tcBorders>
            <w:shd w:val="clear" w:color="auto" w:fill="auto"/>
          </w:tcPr>
          <w:p w14:paraId="7657D6C3" w14:textId="77777777" w:rsidR="00CF72D5" w:rsidRPr="002029AF" w:rsidRDefault="00CF72D5" w:rsidP="00897193">
            <w:pPr>
              <w:pStyle w:val="ARtabletext"/>
            </w:pPr>
            <w:r w:rsidRPr="002029AF">
              <w:t>$280,000–$299,999</w:t>
            </w:r>
          </w:p>
        </w:tc>
        <w:tc>
          <w:tcPr>
            <w:tcW w:w="735" w:type="pct"/>
            <w:tcBorders>
              <w:top w:val="single" w:sz="4" w:space="0" w:color="auto"/>
              <w:bottom w:val="single" w:sz="4" w:space="0" w:color="auto"/>
            </w:tcBorders>
            <w:shd w:val="clear" w:color="auto" w:fill="auto"/>
          </w:tcPr>
          <w:p w14:paraId="22D6FC84"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2CA2093B" w14:textId="77777777" w:rsidR="00CF72D5" w:rsidRPr="002029AF" w:rsidRDefault="00CF72D5" w:rsidP="00897193">
            <w:pPr>
              <w:pStyle w:val="ARtabletextright"/>
            </w:pPr>
          </w:p>
        </w:tc>
        <w:tc>
          <w:tcPr>
            <w:tcW w:w="588" w:type="pct"/>
            <w:tcBorders>
              <w:top w:val="single" w:sz="4" w:space="0" w:color="auto"/>
              <w:bottom w:val="single" w:sz="4" w:space="0" w:color="auto"/>
            </w:tcBorders>
            <w:shd w:val="clear" w:color="auto" w:fill="auto"/>
          </w:tcPr>
          <w:p w14:paraId="5F48D587"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0834859F"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61F6D59D"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556DD25B" w14:textId="77777777" w:rsidR="00CF72D5" w:rsidRPr="002029AF" w:rsidRDefault="00CF72D5" w:rsidP="00897193">
            <w:pPr>
              <w:pStyle w:val="ARtabletextright"/>
            </w:pPr>
          </w:p>
        </w:tc>
      </w:tr>
      <w:tr w:rsidR="00CF72D5" w:rsidRPr="002029AF" w14:paraId="786B77CB" w14:textId="77777777" w:rsidTr="00897193">
        <w:tblPrEx>
          <w:tblLook w:val="04A0" w:firstRow="1" w:lastRow="0" w:firstColumn="1" w:lastColumn="0" w:noHBand="0" w:noVBand="1"/>
        </w:tblPrEx>
        <w:trPr>
          <w:cantSplit/>
        </w:trPr>
        <w:tc>
          <w:tcPr>
            <w:tcW w:w="1399" w:type="pct"/>
            <w:tcBorders>
              <w:top w:val="single" w:sz="4" w:space="0" w:color="auto"/>
              <w:bottom w:val="single" w:sz="4" w:space="0" w:color="auto"/>
            </w:tcBorders>
            <w:shd w:val="clear" w:color="auto" w:fill="auto"/>
          </w:tcPr>
          <w:p w14:paraId="3BC725B2" w14:textId="6870CCD0" w:rsidR="00CF72D5" w:rsidRPr="002029AF" w:rsidRDefault="00CF72D5" w:rsidP="00897193">
            <w:pPr>
              <w:pStyle w:val="ARtabletext"/>
            </w:pPr>
            <w:r w:rsidRPr="002029AF">
              <w:t>$320,00</w:t>
            </w:r>
            <w:r w:rsidR="00DB53E6" w:rsidRPr="002029AF">
              <w:t>0–</w:t>
            </w:r>
            <w:r w:rsidRPr="002029AF">
              <w:t>$339,999</w:t>
            </w:r>
          </w:p>
        </w:tc>
        <w:tc>
          <w:tcPr>
            <w:tcW w:w="735" w:type="pct"/>
            <w:tcBorders>
              <w:top w:val="single" w:sz="4" w:space="0" w:color="auto"/>
              <w:bottom w:val="single" w:sz="4" w:space="0" w:color="auto"/>
            </w:tcBorders>
            <w:shd w:val="clear" w:color="auto" w:fill="auto"/>
          </w:tcPr>
          <w:p w14:paraId="61FDF1A8" w14:textId="77777777" w:rsidR="00CF72D5" w:rsidRPr="002029AF" w:rsidRDefault="00CF72D5" w:rsidP="00897193">
            <w:pPr>
              <w:pStyle w:val="ARtabletextright"/>
              <w:rPr>
                <w:color w:val="000000" w:themeColor="text1"/>
              </w:rPr>
            </w:pPr>
            <w:r w:rsidRPr="002029AF">
              <w:rPr>
                <w:color w:val="000000" w:themeColor="text1"/>
              </w:rPr>
              <w:t>1</w:t>
            </w:r>
          </w:p>
        </w:tc>
        <w:tc>
          <w:tcPr>
            <w:tcW w:w="588" w:type="pct"/>
            <w:tcBorders>
              <w:top w:val="single" w:sz="4" w:space="0" w:color="auto"/>
              <w:bottom w:val="single" w:sz="4" w:space="0" w:color="auto"/>
            </w:tcBorders>
            <w:shd w:val="clear" w:color="auto" w:fill="auto"/>
          </w:tcPr>
          <w:p w14:paraId="662CAB9F" w14:textId="77777777" w:rsidR="00CF72D5" w:rsidRPr="002029AF" w:rsidRDefault="00CF72D5" w:rsidP="00897193">
            <w:pPr>
              <w:pStyle w:val="ARtabletextright"/>
            </w:pPr>
          </w:p>
        </w:tc>
        <w:tc>
          <w:tcPr>
            <w:tcW w:w="588" w:type="pct"/>
            <w:tcBorders>
              <w:top w:val="single" w:sz="4" w:space="0" w:color="auto"/>
              <w:bottom w:val="single" w:sz="4" w:space="0" w:color="auto"/>
            </w:tcBorders>
            <w:shd w:val="clear" w:color="auto" w:fill="auto"/>
          </w:tcPr>
          <w:p w14:paraId="5AC0DAB0"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3392694E"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12DEA73C"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02C270BB" w14:textId="77777777" w:rsidR="00CF72D5" w:rsidRPr="002029AF" w:rsidRDefault="00CF72D5" w:rsidP="00897193">
            <w:pPr>
              <w:pStyle w:val="ARtabletextright"/>
            </w:pPr>
          </w:p>
        </w:tc>
      </w:tr>
      <w:tr w:rsidR="00CF72D5" w:rsidRPr="002029AF" w14:paraId="01AD3038" w14:textId="77777777" w:rsidTr="00897193">
        <w:tblPrEx>
          <w:tblLook w:val="04A0" w:firstRow="1" w:lastRow="0" w:firstColumn="1" w:lastColumn="0" w:noHBand="0" w:noVBand="1"/>
        </w:tblPrEx>
        <w:trPr>
          <w:cantSplit/>
        </w:trPr>
        <w:tc>
          <w:tcPr>
            <w:tcW w:w="1399" w:type="pct"/>
            <w:tcBorders>
              <w:top w:val="single" w:sz="4" w:space="0" w:color="auto"/>
            </w:tcBorders>
            <w:shd w:val="clear" w:color="auto" w:fill="auto"/>
          </w:tcPr>
          <w:p w14:paraId="4DDF99FD" w14:textId="77777777" w:rsidR="00CF72D5" w:rsidRPr="002029AF" w:rsidRDefault="00CF72D5" w:rsidP="00897193">
            <w:pPr>
              <w:pStyle w:val="ARtabletextbold"/>
            </w:pPr>
            <w:r w:rsidRPr="002029AF">
              <w:t>Total</w:t>
            </w:r>
          </w:p>
        </w:tc>
        <w:tc>
          <w:tcPr>
            <w:tcW w:w="735" w:type="pct"/>
            <w:tcBorders>
              <w:top w:val="single" w:sz="4" w:space="0" w:color="auto"/>
            </w:tcBorders>
            <w:shd w:val="clear" w:color="auto" w:fill="auto"/>
          </w:tcPr>
          <w:p w14:paraId="16235767" w14:textId="77777777" w:rsidR="00CF72D5" w:rsidRPr="002029AF" w:rsidRDefault="00CF72D5" w:rsidP="00897193">
            <w:pPr>
              <w:pStyle w:val="ARtabletextrightbold"/>
              <w:rPr>
                <w:color w:val="000000" w:themeColor="text1"/>
              </w:rPr>
            </w:pPr>
            <w:r w:rsidRPr="002029AF">
              <w:rPr>
                <w:color w:val="000000" w:themeColor="text1"/>
              </w:rPr>
              <w:t>3</w:t>
            </w:r>
          </w:p>
        </w:tc>
        <w:tc>
          <w:tcPr>
            <w:tcW w:w="588" w:type="pct"/>
            <w:tcBorders>
              <w:top w:val="single" w:sz="4" w:space="0" w:color="auto"/>
            </w:tcBorders>
            <w:shd w:val="clear" w:color="auto" w:fill="auto"/>
          </w:tcPr>
          <w:p w14:paraId="64DCD1BF" w14:textId="77777777" w:rsidR="00CF72D5" w:rsidRPr="002029AF" w:rsidRDefault="00CF72D5" w:rsidP="00897193">
            <w:pPr>
              <w:pStyle w:val="ARtabletextrightbold"/>
            </w:pPr>
          </w:p>
        </w:tc>
        <w:tc>
          <w:tcPr>
            <w:tcW w:w="588" w:type="pct"/>
            <w:tcBorders>
              <w:top w:val="single" w:sz="4" w:space="0" w:color="auto"/>
            </w:tcBorders>
            <w:shd w:val="clear" w:color="auto" w:fill="auto"/>
          </w:tcPr>
          <w:p w14:paraId="06678999" w14:textId="77777777" w:rsidR="00CF72D5" w:rsidRPr="002029AF" w:rsidRDefault="00CF72D5" w:rsidP="00897193">
            <w:pPr>
              <w:pStyle w:val="ARtabletextrightbold"/>
            </w:pPr>
          </w:p>
        </w:tc>
        <w:tc>
          <w:tcPr>
            <w:tcW w:w="588" w:type="pct"/>
            <w:tcBorders>
              <w:top w:val="single" w:sz="4" w:space="0" w:color="auto"/>
            </w:tcBorders>
          </w:tcPr>
          <w:p w14:paraId="4D1653B3" w14:textId="77777777" w:rsidR="00CF72D5" w:rsidRPr="002029AF" w:rsidRDefault="00CF72D5" w:rsidP="00897193">
            <w:pPr>
              <w:pStyle w:val="ARtabletextrightbold"/>
            </w:pPr>
          </w:p>
        </w:tc>
        <w:tc>
          <w:tcPr>
            <w:tcW w:w="588" w:type="pct"/>
            <w:tcBorders>
              <w:top w:val="single" w:sz="4" w:space="0" w:color="auto"/>
            </w:tcBorders>
          </w:tcPr>
          <w:p w14:paraId="6C95DECE" w14:textId="77777777" w:rsidR="00CF72D5" w:rsidRPr="002029AF" w:rsidRDefault="00CF72D5" w:rsidP="00897193">
            <w:pPr>
              <w:pStyle w:val="ARtabletextrightbold"/>
            </w:pPr>
          </w:p>
        </w:tc>
        <w:tc>
          <w:tcPr>
            <w:tcW w:w="514" w:type="pct"/>
            <w:tcBorders>
              <w:top w:val="single" w:sz="4" w:space="0" w:color="auto"/>
            </w:tcBorders>
          </w:tcPr>
          <w:p w14:paraId="4C916A70" w14:textId="77777777" w:rsidR="00CF72D5" w:rsidRPr="002029AF" w:rsidRDefault="00CF72D5" w:rsidP="00897193">
            <w:pPr>
              <w:pStyle w:val="ARtabletextrightbold"/>
            </w:pPr>
          </w:p>
        </w:tc>
      </w:tr>
    </w:tbl>
    <w:p w14:paraId="6C1F8C8A" w14:textId="65497F54" w:rsidR="00CF72D5" w:rsidRPr="002029AF" w:rsidRDefault="00CF72D5" w:rsidP="00897193">
      <w:pPr>
        <w:pStyle w:val="Heading3"/>
      </w:pPr>
      <w:r w:rsidRPr="002029AF">
        <w:t>Safer</w:t>
      </w:r>
      <w:r w:rsidR="000A5329" w:rsidRPr="002029AF">
        <w:t xml:space="preserve"> </w:t>
      </w:r>
      <w:r w:rsidRPr="002029AF">
        <w:t>Care</w:t>
      </w:r>
      <w:r w:rsidR="000A5329" w:rsidRPr="002029AF">
        <w:t xml:space="preserve"> </w:t>
      </w:r>
      <w:r w:rsidRPr="002029AF">
        <w:t>Victoria</w:t>
      </w:r>
      <w:r w:rsidR="000A5329" w:rsidRPr="002029AF">
        <w:t xml:space="preserve"> </w:t>
      </w:r>
      <w:r w:rsidRPr="002029AF">
        <w:t>employment</w:t>
      </w:r>
      <w:r w:rsidR="000A5329" w:rsidRPr="002029AF">
        <w:t xml:space="preserve"> </w:t>
      </w:r>
      <w:r w:rsidRPr="002029AF">
        <w:t>levels</w:t>
      </w:r>
    </w:p>
    <w:p w14:paraId="115F6CD2" w14:textId="3D99D51F" w:rsidR="00CF72D5" w:rsidRPr="002029AF" w:rsidRDefault="00CF72D5" w:rsidP="00897193">
      <w:pPr>
        <w:pStyle w:val="Heading4"/>
      </w:pPr>
      <w:r w:rsidRPr="002029AF">
        <w:t>Summary</w:t>
      </w:r>
      <w:r w:rsidR="000A5329" w:rsidRPr="002029AF">
        <w:t xml:space="preserve"> </w:t>
      </w:r>
      <w:r w:rsidRPr="002029AF">
        <w:t>of</w:t>
      </w:r>
      <w:r w:rsidR="000A5329" w:rsidRPr="002029AF">
        <w:t xml:space="preserve"> </w:t>
      </w:r>
      <w:r w:rsidRPr="002029AF">
        <w:t>employment</w:t>
      </w:r>
      <w:r w:rsidR="000A5329" w:rsidRPr="002029AF">
        <w:t xml:space="preserve"> </w:t>
      </w:r>
      <w:r w:rsidRPr="002029AF">
        <w:t>levels</w:t>
      </w:r>
      <w:r w:rsidR="000A5329" w:rsidRPr="002029AF">
        <w:t xml:space="preserve"> </w:t>
      </w:r>
      <w:r w:rsidRPr="002029AF">
        <w:t>in</w:t>
      </w:r>
      <w:r w:rsidR="000A5329" w:rsidRPr="002029AF">
        <w:t xml:space="preserve"> </w:t>
      </w:r>
      <w:r w:rsidRPr="002029AF">
        <w:t>June</w:t>
      </w:r>
      <w:r w:rsidR="000A5329" w:rsidRPr="002029AF">
        <w:t xml:space="preserve"> </w:t>
      </w:r>
      <w:r w:rsidRPr="002029AF">
        <w:t>of</w:t>
      </w:r>
      <w:r w:rsidR="000A5329" w:rsidRPr="002029AF">
        <w:t xml:space="preserve"> </w:t>
      </w:r>
      <w:r w:rsidRPr="002029AF">
        <w:t>2019</w:t>
      </w:r>
      <w:r w:rsidR="000A5329" w:rsidRPr="002029AF">
        <w:t xml:space="preserve"> </w:t>
      </w:r>
      <w:r w:rsidRPr="002029AF">
        <w:t>and</w:t>
      </w:r>
      <w:r w:rsidR="000A5329" w:rsidRPr="002029AF">
        <w:t xml:space="preserve"> </w:t>
      </w:r>
      <w:r w:rsidRPr="002029AF">
        <w:t>2020</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Layout w:type="fixed"/>
        <w:tblCellMar>
          <w:left w:w="0" w:type="dxa"/>
        </w:tblCellMar>
        <w:tblLook w:val="06A0" w:firstRow="1" w:lastRow="0" w:firstColumn="1" w:lastColumn="0" w:noHBand="1" w:noVBand="1"/>
      </w:tblPr>
      <w:tblGrid>
        <w:gridCol w:w="1611"/>
        <w:gridCol w:w="1609"/>
        <w:gridCol w:w="1610"/>
        <w:gridCol w:w="1610"/>
        <w:gridCol w:w="1610"/>
        <w:gridCol w:w="1589"/>
      </w:tblGrid>
      <w:tr w:rsidR="00CF72D5" w:rsidRPr="002029AF" w14:paraId="06B58FC7" w14:textId="77777777" w:rsidTr="00A57FDC">
        <w:trPr>
          <w:cantSplit/>
          <w:tblHeader/>
        </w:trPr>
        <w:tc>
          <w:tcPr>
            <w:tcW w:w="1611" w:type="dxa"/>
            <w:vMerge w:val="restart"/>
            <w:shd w:val="clear" w:color="auto" w:fill="auto"/>
            <w:vAlign w:val="bottom"/>
          </w:tcPr>
          <w:p w14:paraId="14DE60E0" w14:textId="77777777" w:rsidR="00CF72D5" w:rsidRPr="002029AF" w:rsidRDefault="00CF72D5" w:rsidP="00A57FDC">
            <w:pPr>
              <w:pStyle w:val="ARtablecolhead"/>
            </w:pPr>
          </w:p>
        </w:tc>
        <w:tc>
          <w:tcPr>
            <w:tcW w:w="6439" w:type="dxa"/>
            <w:gridSpan w:val="4"/>
            <w:shd w:val="clear" w:color="auto" w:fill="auto"/>
            <w:vAlign w:val="bottom"/>
          </w:tcPr>
          <w:p w14:paraId="323727C6" w14:textId="6599A83E" w:rsidR="00CF72D5" w:rsidRPr="002029AF" w:rsidRDefault="00CF72D5" w:rsidP="00233C48">
            <w:pPr>
              <w:pStyle w:val="ARtablecolheadcentre"/>
              <w:ind w:left="397"/>
            </w:pPr>
            <w:r w:rsidRPr="002029AF">
              <w:t>Ongoing</w:t>
            </w:r>
            <w:r w:rsidR="000A5329" w:rsidRPr="002029AF">
              <w:t xml:space="preserve"> </w:t>
            </w:r>
            <w:r w:rsidRPr="002029AF">
              <w:t>employees</w:t>
            </w:r>
          </w:p>
        </w:tc>
        <w:tc>
          <w:tcPr>
            <w:tcW w:w="1589" w:type="dxa"/>
            <w:shd w:val="clear" w:color="auto" w:fill="auto"/>
            <w:vAlign w:val="bottom"/>
          </w:tcPr>
          <w:p w14:paraId="08FDABD4" w14:textId="7673E75F" w:rsidR="00CF72D5" w:rsidRPr="002029AF" w:rsidRDefault="00CF72D5" w:rsidP="00233C48">
            <w:pPr>
              <w:pStyle w:val="ARtablecolheadright"/>
            </w:pPr>
            <w:r w:rsidRPr="002029AF">
              <w:t>Fixed-term</w:t>
            </w:r>
            <w:r w:rsidR="000A5329" w:rsidRPr="002029AF">
              <w:t xml:space="preserve"> </w:t>
            </w:r>
            <w:r w:rsidRPr="002029AF">
              <w:t>and</w:t>
            </w:r>
            <w:r w:rsidR="00233C48" w:rsidRPr="002029AF">
              <w:t> </w:t>
            </w:r>
            <w:r w:rsidRPr="002029AF">
              <w:t>casual</w:t>
            </w:r>
            <w:r w:rsidR="000A5329" w:rsidRPr="002029AF">
              <w:t xml:space="preserve"> </w:t>
            </w:r>
            <w:r w:rsidRPr="002029AF">
              <w:t>employees</w:t>
            </w:r>
          </w:p>
        </w:tc>
      </w:tr>
      <w:tr w:rsidR="00CF72D5" w:rsidRPr="002029AF" w14:paraId="378B7846" w14:textId="77777777" w:rsidTr="00A57FDC">
        <w:trPr>
          <w:cantSplit/>
          <w:tblHeader/>
        </w:trPr>
        <w:tc>
          <w:tcPr>
            <w:tcW w:w="1611" w:type="dxa"/>
            <w:vMerge/>
            <w:shd w:val="clear" w:color="auto" w:fill="auto"/>
          </w:tcPr>
          <w:p w14:paraId="7E597BC3" w14:textId="77777777" w:rsidR="00CF72D5" w:rsidRPr="002029AF" w:rsidRDefault="00CF72D5" w:rsidP="00897193">
            <w:pPr>
              <w:jc w:val="right"/>
              <w:rPr>
                <w:rFonts w:cs="Arial"/>
              </w:rPr>
            </w:pPr>
          </w:p>
        </w:tc>
        <w:tc>
          <w:tcPr>
            <w:tcW w:w="1609" w:type="dxa"/>
            <w:shd w:val="clear" w:color="auto" w:fill="auto"/>
            <w:vAlign w:val="bottom"/>
          </w:tcPr>
          <w:p w14:paraId="49EDEA11" w14:textId="39C30C32" w:rsidR="00CF72D5" w:rsidRPr="002029AF" w:rsidRDefault="00CF72D5" w:rsidP="00897193">
            <w:pPr>
              <w:pStyle w:val="ARtablecolheadright"/>
            </w:pPr>
            <w:r w:rsidRPr="002029AF">
              <w:t>Employees</w:t>
            </w:r>
            <w:r w:rsidR="000A5329" w:rsidRPr="002029AF">
              <w:t xml:space="preserve"> </w:t>
            </w:r>
            <w:r w:rsidRPr="002029AF">
              <w:t>(headcount)</w:t>
            </w:r>
          </w:p>
        </w:tc>
        <w:tc>
          <w:tcPr>
            <w:tcW w:w="1610" w:type="dxa"/>
            <w:shd w:val="clear" w:color="auto" w:fill="auto"/>
            <w:vAlign w:val="bottom"/>
          </w:tcPr>
          <w:p w14:paraId="47395C53" w14:textId="4159A060" w:rsidR="00CF72D5" w:rsidRPr="002029AF" w:rsidRDefault="00CF72D5" w:rsidP="00897193">
            <w:pPr>
              <w:pStyle w:val="ARtablecolheadright"/>
            </w:pPr>
            <w:r w:rsidRPr="002029AF">
              <w:t>Full-time</w:t>
            </w:r>
            <w:r w:rsidR="000A5329" w:rsidRPr="002029AF">
              <w:t xml:space="preserve"> </w:t>
            </w:r>
            <w:r w:rsidRPr="002029AF">
              <w:t>(headcount)</w:t>
            </w:r>
          </w:p>
        </w:tc>
        <w:tc>
          <w:tcPr>
            <w:tcW w:w="1610" w:type="dxa"/>
            <w:shd w:val="clear" w:color="auto" w:fill="auto"/>
            <w:vAlign w:val="bottom"/>
          </w:tcPr>
          <w:p w14:paraId="7E97C74C" w14:textId="5A737EA4" w:rsidR="00CF72D5" w:rsidRPr="002029AF" w:rsidRDefault="00CF72D5" w:rsidP="00897193">
            <w:pPr>
              <w:pStyle w:val="ARtablecolheadright"/>
            </w:pPr>
            <w:r w:rsidRPr="002029AF">
              <w:t>Part-time</w:t>
            </w:r>
            <w:r w:rsidR="000A5329" w:rsidRPr="002029AF">
              <w:t xml:space="preserve"> </w:t>
            </w:r>
            <w:r w:rsidRPr="002029AF">
              <w:t>(headcount)</w:t>
            </w:r>
          </w:p>
        </w:tc>
        <w:tc>
          <w:tcPr>
            <w:tcW w:w="1610" w:type="dxa"/>
            <w:shd w:val="clear" w:color="auto" w:fill="auto"/>
            <w:vAlign w:val="bottom"/>
          </w:tcPr>
          <w:p w14:paraId="1FC5A513" w14:textId="77777777" w:rsidR="00CF72D5" w:rsidRPr="002029AF" w:rsidRDefault="00CF72D5" w:rsidP="00897193">
            <w:pPr>
              <w:pStyle w:val="ARtablecolheadright"/>
            </w:pPr>
            <w:r w:rsidRPr="002029AF">
              <w:t>FTE</w:t>
            </w:r>
          </w:p>
        </w:tc>
        <w:tc>
          <w:tcPr>
            <w:tcW w:w="1589" w:type="dxa"/>
            <w:shd w:val="clear" w:color="auto" w:fill="auto"/>
            <w:vAlign w:val="bottom"/>
          </w:tcPr>
          <w:p w14:paraId="7C5A841E" w14:textId="77777777" w:rsidR="00CF72D5" w:rsidRPr="002029AF" w:rsidRDefault="00CF72D5" w:rsidP="00897193">
            <w:pPr>
              <w:pStyle w:val="ARtablecolheadright"/>
            </w:pPr>
            <w:r w:rsidRPr="002029AF">
              <w:t>FTE</w:t>
            </w:r>
          </w:p>
        </w:tc>
      </w:tr>
      <w:tr w:rsidR="00CF72D5" w:rsidRPr="002029AF" w14:paraId="2ED1EB68" w14:textId="77777777" w:rsidTr="00A57FDC">
        <w:trPr>
          <w:cantSplit/>
        </w:trPr>
        <w:tc>
          <w:tcPr>
            <w:tcW w:w="1611" w:type="dxa"/>
            <w:shd w:val="clear" w:color="auto" w:fill="auto"/>
          </w:tcPr>
          <w:p w14:paraId="7C91D531" w14:textId="530CE538" w:rsidR="00CF72D5" w:rsidRPr="002029AF" w:rsidRDefault="00CF72D5" w:rsidP="00897193">
            <w:pPr>
              <w:pStyle w:val="ARtabletext"/>
            </w:pPr>
            <w:r w:rsidRPr="002029AF">
              <w:t>June</w:t>
            </w:r>
            <w:r w:rsidR="000A5329" w:rsidRPr="002029AF">
              <w:t xml:space="preserve"> </w:t>
            </w:r>
            <w:r w:rsidRPr="002029AF">
              <w:t>2019</w:t>
            </w:r>
          </w:p>
        </w:tc>
        <w:tc>
          <w:tcPr>
            <w:tcW w:w="1609" w:type="dxa"/>
            <w:shd w:val="clear" w:color="auto" w:fill="auto"/>
          </w:tcPr>
          <w:p w14:paraId="01ACA8BF" w14:textId="77777777" w:rsidR="00CF72D5" w:rsidRPr="002029AF" w:rsidRDefault="00CF72D5" w:rsidP="00897193">
            <w:pPr>
              <w:pStyle w:val="ARtabletextright"/>
            </w:pPr>
            <w:r w:rsidRPr="002029AF">
              <w:t>131</w:t>
            </w:r>
          </w:p>
        </w:tc>
        <w:tc>
          <w:tcPr>
            <w:tcW w:w="1610" w:type="dxa"/>
            <w:shd w:val="clear" w:color="auto" w:fill="auto"/>
          </w:tcPr>
          <w:p w14:paraId="57D2693F" w14:textId="77777777" w:rsidR="00CF72D5" w:rsidRPr="002029AF" w:rsidRDefault="00CF72D5" w:rsidP="00897193">
            <w:pPr>
              <w:pStyle w:val="ARtabletextright"/>
            </w:pPr>
            <w:r w:rsidRPr="002029AF">
              <w:t>64</w:t>
            </w:r>
          </w:p>
        </w:tc>
        <w:tc>
          <w:tcPr>
            <w:tcW w:w="1610" w:type="dxa"/>
            <w:shd w:val="clear" w:color="auto" w:fill="auto"/>
          </w:tcPr>
          <w:p w14:paraId="3E1C8921" w14:textId="77777777" w:rsidR="00CF72D5" w:rsidRPr="002029AF" w:rsidRDefault="00CF72D5" w:rsidP="00897193">
            <w:pPr>
              <w:pStyle w:val="ARtabletextright"/>
            </w:pPr>
            <w:r w:rsidRPr="002029AF">
              <w:t>28</w:t>
            </w:r>
          </w:p>
        </w:tc>
        <w:tc>
          <w:tcPr>
            <w:tcW w:w="1610" w:type="dxa"/>
            <w:shd w:val="clear" w:color="auto" w:fill="auto"/>
          </w:tcPr>
          <w:p w14:paraId="67C58F67" w14:textId="77777777" w:rsidR="00CF72D5" w:rsidRPr="002029AF" w:rsidRDefault="00CF72D5" w:rsidP="00897193">
            <w:pPr>
              <w:pStyle w:val="ARtabletextright"/>
            </w:pPr>
            <w:r w:rsidRPr="002029AF">
              <w:t>83.8</w:t>
            </w:r>
          </w:p>
        </w:tc>
        <w:tc>
          <w:tcPr>
            <w:tcW w:w="1589" w:type="dxa"/>
            <w:shd w:val="clear" w:color="auto" w:fill="auto"/>
          </w:tcPr>
          <w:p w14:paraId="211B4926" w14:textId="77777777" w:rsidR="00CF72D5" w:rsidRPr="002029AF" w:rsidRDefault="00CF72D5" w:rsidP="00897193">
            <w:pPr>
              <w:pStyle w:val="ARtabletextright"/>
            </w:pPr>
            <w:r w:rsidRPr="002029AF">
              <w:t>36.5</w:t>
            </w:r>
          </w:p>
        </w:tc>
      </w:tr>
      <w:tr w:rsidR="00CF72D5" w:rsidRPr="002029AF" w14:paraId="0A5FBF2A" w14:textId="77777777" w:rsidTr="00A57FDC">
        <w:trPr>
          <w:cantSplit/>
        </w:trPr>
        <w:tc>
          <w:tcPr>
            <w:tcW w:w="1611" w:type="dxa"/>
            <w:shd w:val="clear" w:color="auto" w:fill="auto"/>
          </w:tcPr>
          <w:p w14:paraId="4640BBE3" w14:textId="30D97119" w:rsidR="00CF72D5" w:rsidRPr="002029AF" w:rsidRDefault="00CF72D5" w:rsidP="00897193">
            <w:pPr>
              <w:pStyle w:val="ARtabletext"/>
            </w:pPr>
            <w:r w:rsidRPr="002029AF">
              <w:t>June</w:t>
            </w:r>
            <w:r w:rsidR="000A5329" w:rsidRPr="002029AF">
              <w:t xml:space="preserve"> </w:t>
            </w:r>
            <w:r w:rsidRPr="002029AF">
              <w:t>2020</w:t>
            </w:r>
          </w:p>
        </w:tc>
        <w:tc>
          <w:tcPr>
            <w:tcW w:w="1609" w:type="dxa"/>
            <w:shd w:val="clear" w:color="auto" w:fill="auto"/>
          </w:tcPr>
          <w:p w14:paraId="3C74DBC4" w14:textId="77777777" w:rsidR="00CF72D5" w:rsidRPr="002029AF" w:rsidRDefault="00CF72D5" w:rsidP="00897193">
            <w:pPr>
              <w:pStyle w:val="ARtabletextright"/>
            </w:pPr>
            <w:r w:rsidRPr="002029AF">
              <w:t>125</w:t>
            </w:r>
          </w:p>
        </w:tc>
        <w:tc>
          <w:tcPr>
            <w:tcW w:w="1610" w:type="dxa"/>
            <w:shd w:val="clear" w:color="auto" w:fill="auto"/>
          </w:tcPr>
          <w:p w14:paraId="6A1FC20C" w14:textId="77777777" w:rsidR="00CF72D5" w:rsidRPr="002029AF" w:rsidRDefault="00CF72D5" w:rsidP="00897193">
            <w:pPr>
              <w:pStyle w:val="ARtabletextright"/>
            </w:pPr>
            <w:r w:rsidRPr="002029AF">
              <w:t>64</w:t>
            </w:r>
          </w:p>
        </w:tc>
        <w:tc>
          <w:tcPr>
            <w:tcW w:w="1610" w:type="dxa"/>
            <w:shd w:val="clear" w:color="auto" w:fill="auto"/>
          </w:tcPr>
          <w:p w14:paraId="5F642A03" w14:textId="77777777" w:rsidR="00CF72D5" w:rsidRPr="002029AF" w:rsidRDefault="00CF72D5" w:rsidP="00897193">
            <w:pPr>
              <w:pStyle w:val="ARtabletextright"/>
            </w:pPr>
            <w:r w:rsidRPr="002029AF">
              <w:t>33</w:t>
            </w:r>
          </w:p>
        </w:tc>
        <w:tc>
          <w:tcPr>
            <w:tcW w:w="1610" w:type="dxa"/>
            <w:shd w:val="clear" w:color="auto" w:fill="auto"/>
          </w:tcPr>
          <w:p w14:paraId="20ACA542" w14:textId="77777777" w:rsidR="00CF72D5" w:rsidRPr="002029AF" w:rsidRDefault="00CF72D5" w:rsidP="00897193">
            <w:pPr>
              <w:pStyle w:val="ARtabletextright"/>
            </w:pPr>
            <w:r w:rsidRPr="002029AF">
              <w:t>86.4</w:t>
            </w:r>
          </w:p>
        </w:tc>
        <w:tc>
          <w:tcPr>
            <w:tcW w:w="1589" w:type="dxa"/>
            <w:shd w:val="clear" w:color="auto" w:fill="auto"/>
          </w:tcPr>
          <w:p w14:paraId="1A4CAB99" w14:textId="77777777" w:rsidR="00CF72D5" w:rsidRPr="002029AF" w:rsidRDefault="00CF72D5" w:rsidP="00897193">
            <w:pPr>
              <w:pStyle w:val="ARtabletextright"/>
            </w:pPr>
            <w:r w:rsidRPr="002029AF">
              <w:t>26.6</w:t>
            </w:r>
          </w:p>
        </w:tc>
      </w:tr>
    </w:tbl>
    <w:p w14:paraId="163552AD" w14:textId="77777777" w:rsidR="00CF72D5" w:rsidRPr="002029AF" w:rsidRDefault="00CF72D5" w:rsidP="00897193">
      <w:pPr>
        <w:pStyle w:val="Heading4"/>
        <w:sectPr w:rsidR="00CF72D5" w:rsidRPr="002029AF" w:rsidSect="00E25B23">
          <w:footerReference w:type="even" r:id="rId124"/>
          <w:pgSz w:w="11906" w:h="16838" w:code="9"/>
          <w:pgMar w:top="1985" w:right="851" w:bottom="851" w:left="1418" w:header="510" w:footer="340" w:gutter="0"/>
          <w:cols w:space="454"/>
          <w:docGrid w:linePitch="360"/>
          <w15:footnoteColumns w:val="1"/>
        </w:sectPr>
      </w:pPr>
    </w:p>
    <w:p w14:paraId="16B174F7" w14:textId="0D6D060D" w:rsidR="00CF72D5" w:rsidRPr="002029AF" w:rsidRDefault="00CF72D5" w:rsidP="00FC001B">
      <w:pPr>
        <w:pStyle w:val="Heading4"/>
        <w:spacing w:before="0"/>
      </w:pPr>
      <w:r w:rsidRPr="002029AF">
        <w:lastRenderedPageBreak/>
        <w:t>Safer</w:t>
      </w:r>
      <w:r w:rsidR="000A5329" w:rsidRPr="002029AF">
        <w:t xml:space="preserve"> </w:t>
      </w:r>
      <w:r w:rsidRPr="002029AF">
        <w:t>Care</w:t>
      </w:r>
      <w:r w:rsidR="000A5329" w:rsidRPr="002029AF">
        <w:t xml:space="preserve"> </w:t>
      </w:r>
      <w:r w:rsidRPr="002029AF">
        <w:t>Victoria</w:t>
      </w:r>
      <w:r w:rsidR="000A5329" w:rsidRPr="002029AF">
        <w:t xml:space="preserve"> </w:t>
      </w:r>
      <w:r w:rsidRPr="002029AF">
        <w:t>employment</w:t>
      </w:r>
      <w:r w:rsidR="000A5329" w:rsidRPr="002029AF">
        <w:t xml:space="preserve"> </w:t>
      </w:r>
      <w:r w:rsidRPr="002029AF">
        <w:t>levels</w:t>
      </w:r>
      <w:r w:rsidR="000A5329" w:rsidRPr="002029AF">
        <w:t xml:space="preserve"> </w:t>
      </w:r>
      <w:r w:rsidRPr="002029AF">
        <w:t>in</w:t>
      </w:r>
      <w:r w:rsidR="000A5329" w:rsidRPr="002029AF">
        <w:t xml:space="preserve"> </w:t>
      </w:r>
      <w:r w:rsidRPr="002029AF">
        <w:t>June</w:t>
      </w:r>
      <w:r w:rsidR="000A5329" w:rsidRPr="002029AF">
        <w:t xml:space="preserve"> </w:t>
      </w:r>
      <w:r w:rsidRPr="002029AF">
        <w:t>of</w:t>
      </w:r>
      <w:r w:rsidR="000A5329" w:rsidRPr="002029AF">
        <w:t xml:space="preserve"> </w:t>
      </w:r>
      <w:r w:rsidRPr="002029AF">
        <w:t>2020</w:t>
      </w:r>
      <w:r w:rsidR="000A5329" w:rsidRPr="002029AF">
        <w:t xml:space="preserve"> </w:t>
      </w:r>
      <w:r w:rsidRPr="002029AF">
        <w:t>and</w:t>
      </w:r>
      <w:r w:rsidR="000A5329" w:rsidRPr="002029AF">
        <w:t xml:space="preserve"> </w:t>
      </w:r>
      <w:r w:rsidRPr="002029AF">
        <w:t>2019</w:t>
      </w:r>
    </w:p>
    <w:tbl>
      <w:tblPr>
        <w:tblStyle w:val="TableGrid"/>
        <w:tblW w:w="14005" w:type="dxa"/>
        <w:tblLook w:val="06A0" w:firstRow="1" w:lastRow="0" w:firstColumn="1" w:lastColumn="0" w:noHBand="1" w:noVBand="1"/>
      </w:tblPr>
      <w:tblGrid>
        <w:gridCol w:w="2429"/>
        <w:gridCol w:w="900"/>
        <w:gridCol w:w="810"/>
        <w:gridCol w:w="796"/>
        <w:gridCol w:w="795"/>
        <w:gridCol w:w="801"/>
        <w:gridCol w:w="899"/>
        <w:gridCol w:w="798"/>
        <w:gridCol w:w="899"/>
        <w:gridCol w:w="798"/>
        <w:gridCol w:w="795"/>
        <w:gridCol w:w="795"/>
        <w:gridCol w:w="801"/>
        <w:gridCol w:w="899"/>
        <w:gridCol w:w="790"/>
      </w:tblGrid>
      <w:tr w:rsidR="003D0A1C" w:rsidRPr="002029AF" w14:paraId="720AF7DB" w14:textId="77777777" w:rsidTr="00233C48">
        <w:trPr>
          <w:cnfStyle w:val="100000000000" w:firstRow="1" w:lastRow="0" w:firstColumn="0" w:lastColumn="0" w:oddVBand="0" w:evenVBand="0" w:oddHBand="0" w:evenHBand="0" w:firstRowFirstColumn="0" w:firstRowLastColumn="0" w:lastRowFirstColumn="0" w:lastRowLastColumn="0"/>
          <w:tblHeader/>
        </w:trPr>
        <w:tc>
          <w:tcPr>
            <w:tcW w:w="867" w:type="pct"/>
            <w:vMerge w:val="restart"/>
            <w:hideMark/>
          </w:tcPr>
          <w:p w14:paraId="30E0F176" w14:textId="2E05A8C4" w:rsidR="003D0A1C" w:rsidRPr="002029AF" w:rsidRDefault="003D0A1C" w:rsidP="00F16765">
            <w:pPr>
              <w:pStyle w:val="ARtablecolhead"/>
              <w:spacing w:before="40" w:after="30"/>
            </w:pPr>
          </w:p>
        </w:tc>
        <w:tc>
          <w:tcPr>
            <w:tcW w:w="2069" w:type="pct"/>
            <w:gridSpan w:val="7"/>
            <w:hideMark/>
          </w:tcPr>
          <w:p w14:paraId="409C0B84" w14:textId="2000E3F5" w:rsidR="003D0A1C" w:rsidRPr="002029AF" w:rsidRDefault="003D0A1C" w:rsidP="00F16765">
            <w:pPr>
              <w:pStyle w:val="ARtablecolheadcentre"/>
              <w:spacing w:before="40" w:after="30"/>
            </w:pPr>
            <w:r w:rsidRPr="002029AF">
              <w:t>June</w:t>
            </w:r>
            <w:r w:rsidR="000A5329" w:rsidRPr="002029AF">
              <w:t xml:space="preserve"> </w:t>
            </w:r>
            <w:r w:rsidRPr="002029AF">
              <w:t>2020</w:t>
            </w:r>
          </w:p>
        </w:tc>
        <w:tc>
          <w:tcPr>
            <w:tcW w:w="2064" w:type="pct"/>
            <w:gridSpan w:val="7"/>
            <w:hideMark/>
          </w:tcPr>
          <w:p w14:paraId="3D72A404" w14:textId="7A091B78" w:rsidR="003D0A1C" w:rsidRPr="002029AF" w:rsidRDefault="003D0A1C" w:rsidP="00F16765">
            <w:pPr>
              <w:pStyle w:val="ARtablecolheadcentre"/>
              <w:spacing w:before="40" w:after="30"/>
            </w:pPr>
            <w:r w:rsidRPr="002029AF">
              <w:t>June</w:t>
            </w:r>
            <w:r w:rsidR="000A5329" w:rsidRPr="002029AF">
              <w:t xml:space="preserve"> </w:t>
            </w:r>
            <w:r w:rsidRPr="002029AF">
              <w:t>2019</w:t>
            </w:r>
          </w:p>
        </w:tc>
      </w:tr>
      <w:tr w:rsidR="003D0A1C" w:rsidRPr="002029AF" w14:paraId="7873B83D" w14:textId="77777777" w:rsidTr="00233C48">
        <w:trPr>
          <w:cnfStyle w:val="100000000000" w:firstRow="1" w:lastRow="0" w:firstColumn="0" w:lastColumn="0" w:oddVBand="0" w:evenVBand="0" w:oddHBand="0" w:evenHBand="0" w:firstRowFirstColumn="0" w:firstRowLastColumn="0" w:lastRowFirstColumn="0" w:lastRowLastColumn="0"/>
          <w:tblHeader/>
        </w:trPr>
        <w:tc>
          <w:tcPr>
            <w:tcW w:w="867" w:type="pct"/>
            <w:vMerge/>
            <w:hideMark/>
          </w:tcPr>
          <w:p w14:paraId="29D37490" w14:textId="51CCDE62" w:rsidR="003D0A1C" w:rsidRPr="002029AF" w:rsidRDefault="003D0A1C" w:rsidP="00F16765">
            <w:pPr>
              <w:spacing w:before="40" w:after="30" w:line="240" w:lineRule="auto"/>
              <w:rPr>
                <w:rFonts w:ascii="Calibri" w:eastAsia="Times New Roman" w:hAnsi="Calibri" w:cs="Calibri"/>
                <w:i/>
                <w:iCs/>
                <w:color w:val="000000"/>
                <w:sz w:val="15"/>
                <w:szCs w:val="15"/>
              </w:rPr>
            </w:pPr>
          </w:p>
        </w:tc>
        <w:tc>
          <w:tcPr>
            <w:tcW w:w="610" w:type="pct"/>
            <w:gridSpan w:val="2"/>
            <w:hideMark/>
          </w:tcPr>
          <w:p w14:paraId="302B7049" w14:textId="3CDDD034" w:rsidR="003D0A1C" w:rsidRPr="002029AF" w:rsidRDefault="003D0A1C" w:rsidP="005E6692">
            <w:pPr>
              <w:pStyle w:val="ARtablecolheadcentre"/>
            </w:pPr>
            <w:r w:rsidRPr="002029AF">
              <w:t>All</w:t>
            </w:r>
            <w:r w:rsidR="000A5329" w:rsidRPr="002029AF">
              <w:t xml:space="preserve"> </w:t>
            </w:r>
            <w:r w:rsidRPr="002029AF">
              <w:t>employees</w:t>
            </w:r>
          </w:p>
        </w:tc>
        <w:tc>
          <w:tcPr>
            <w:tcW w:w="854" w:type="pct"/>
            <w:gridSpan w:val="3"/>
            <w:hideMark/>
          </w:tcPr>
          <w:p w14:paraId="0D7F6E4C" w14:textId="77777777" w:rsidR="003D0A1C" w:rsidRPr="002029AF" w:rsidRDefault="003D0A1C" w:rsidP="005E6692">
            <w:pPr>
              <w:pStyle w:val="ARtablecolheadcentre"/>
            </w:pPr>
            <w:r w:rsidRPr="002029AF">
              <w:t>Ongoing</w:t>
            </w:r>
          </w:p>
        </w:tc>
        <w:tc>
          <w:tcPr>
            <w:tcW w:w="606" w:type="pct"/>
            <w:gridSpan w:val="2"/>
            <w:hideMark/>
          </w:tcPr>
          <w:p w14:paraId="6CB721EA" w14:textId="0CDF7A73" w:rsidR="003D0A1C" w:rsidRPr="002029AF" w:rsidRDefault="003D0A1C" w:rsidP="005E6692">
            <w:pPr>
              <w:pStyle w:val="ARtablecolheadcentre"/>
            </w:pPr>
            <w:r w:rsidRPr="002029AF">
              <w:t>Fixed</w:t>
            </w:r>
            <w:r w:rsidR="000A5329" w:rsidRPr="002029AF">
              <w:t xml:space="preserve"> </w:t>
            </w:r>
            <w:r w:rsidRPr="002029AF">
              <w:t>term</w:t>
            </w:r>
            <w:r w:rsidR="000A5329" w:rsidRPr="002029AF">
              <w:t xml:space="preserve"> </w:t>
            </w:r>
            <w:r w:rsidRPr="002029AF">
              <w:t>and</w:t>
            </w:r>
            <w:r w:rsidR="000A5329" w:rsidRPr="002029AF">
              <w:t xml:space="preserve"> </w:t>
            </w:r>
            <w:r w:rsidRPr="002029AF">
              <w:t>casual</w:t>
            </w:r>
          </w:p>
        </w:tc>
        <w:tc>
          <w:tcPr>
            <w:tcW w:w="606" w:type="pct"/>
            <w:gridSpan w:val="2"/>
            <w:hideMark/>
          </w:tcPr>
          <w:p w14:paraId="489CF2B6" w14:textId="068E7A0E" w:rsidR="003D0A1C" w:rsidRPr="002029AF" w:rsidRDefault="003D0A1C" w:rsidP="005E6692">
            <w:pPr>
              <w:pStyle w:val="ARtablecolheadcentre"/>
            </w:pPr>
            <w:r w:rsidRPr="002029AF">
              <w:t>All</w:t>
            </w:r>
            <w:r w:rsidR="000A5329" w:rsidRPr="002029AF">
              <w:t xml:space="preserve"> </w:t>
            </w:r>
            <w:r w:rsidRPr="002029AF">
              <w:t>employees</w:t>
            </w:r>
          </w:p>
        </w:tc>
        <w:tc>
          <w:tcPr>
            <w:tcW w:w="854" w:type="pct"/>
            <w:gridSpan w:val="3"/>
            <w:hideMark/>
          </w:tcPr>
          <w:p w14:paraId="48180EC0" w14:textId="77777777" w:rsidR="003D0A1C" w:rsidRPr="002029AF" w:rsidRDefault="003D0A1C" w:rsidP="005E6692">
            <w:pPr>
              <w:pStyle w:val="ARtablecolheadcentre"/>
            </w:pPr>
            <w:r w:rsidRPr="002029AF">
              <w:t>Ongoing</w:t>
            </w:r>
          </w:p>
        </w:tc>
        <w:tc>
          <w:tcPr>
            <w:tcW w:w="604" w:type="pct"/>
            <w:gridSpan w:val="2"/>
            <w:hideMark/>
          </w:tcPr>
          <w:p w14:paraId="5DFAC566" w14:textId="7987618F" w:rsidR="003D0A1C" w:rsidRPr="002029AF" w:rsidRDefault="003D0A1C" w:rsidP="005E6692">
            <w:pPr>
              <w:pStyle w:val="ARtablecolheadcentre"/>
            </w:pPr>
            <w:r w:rsidRPr="002029AF">
              <w:t>Fixed</w:t>
            </w:r>
            <w:r w:rsidR="000A5329" w:rsidRPr="002029AF">
              <w:t xml:space="preserve"> </w:t>
            </w:r>
            <w:r w:rsidRPr="002029AF">
              <w:t>term</w:t>
            </w:r>
            <w:r w:rsidR="000A5329" w:rsidRPr="002029AF">
              <w:t xml:space="preserve"> </w:t>
            </w:r>
            <w:r w:rsidRPr="002029AF">
              <w:t>and</w:t>
            </w:r>
            <w:r w:rsidR="000A5329" w:rsidRPr="002029AF">
              <w:t xml:space="preserve"> </w:t>
            </w:r>
            <w:r w:rsidRPr="002029AF">
              <w:t>casual</w:t>
            </w:r>
          </w:p>
        </w:tc>
      </w:tr>
      <w:tr w:rsidR="001E768A" w:rsidRPr="002029AF" w14:paraId="2C48071D" w14:textId="77777777" w:rsidTr="00233C48">
        <w:trPr>
          <w:cnfStyle w:val="100000000000" w:firstRow="1" w:lastRow="0" w:firstColumn="0" w:lastColumn="0" w:oddVBand="0" w:evenVBand="0" w:oddHBand="0" w:evenHBand="0" w:firstRowFirstColumn="0" w:firstRowLastColumn="0" w:lastRowFirstColumn="0" w:lastRowLastColumn="0"/>
          <w:tblHeader/>
        </w:trPr>
        <w:tc>
          <w:tcPr>
            <w:tcW w:w="867" w:type="pct"/>
            <w:vMerge/>
            <w:hideMark/>
          </w:tcPr>
          <w:p w14:paraId="0A6FE25E" w14:textId="4AEF2ABF" w:rsidR="003D0A1C" w:rsidRPr="002029AF" w:rsidRDefault="003D0A1C" w:rsidP="00F16765">
            <w:pPr>
              <w:spacing w:before="40" w:after="30" w:line="240" w:lineRule="auto"/>
              <w:rPr>
                <w:rFonts w:ascii="Calibri" w:eastAsia="Times New Roman" w:hAnsi="Calibri" w:cs="Calibri"/>
                <w:i/>
                <w:iCs/>
                <w:color w:val="000000"/>
                <w:sz w:val="15"/>
                <w:szCs w:val="15"/>
              </w:rPr>
            </w:pPr>
          </w:p>
        </w:tc>
        <w:tc>
          <w:tcPr>
            <w:tcW w:w="321" w:type="pct"/>
            <w:hideMark/>
          </w:tcPr>
          <w:p w14:paraId="014BDA56" w14:textId="4F4D47E8" w:rsidR="003D0A1C" w:rsidRPr="002029AF" w:rsidRDefault="003D0A1C" w:rsidP="00F16765">
            <w:pPr>
              <w:pStyle w:val="ARtablecolheadright"/>
              <w:spacing w:before="40" w:after="30"/>
            </w:pPr>
            <w:r w:rsidRPr="002029AF">
              <w:t>Number</w:t>
            </w:r>
            <w:r w:rsidR="000A5329" w:rsidRPr="002029AF">
              <w:t xml:space="preserve"> </w:t>
            </w:r>
            <w:r w:rsidRPr="002029AF">
              <w:t>(head</w:t>
            </w:r>
            <w:r w:rsidR="000A5329" w:rsidRPr="002029AF">
              <w:t xml:space="preserve"> </w:t>
            </w:r>
            <w:r w:rsidRPr="002029AF">
              <w:t>count)</w:t>
            </w:r>
          </w:p>
        </w:tc>
        <w:tc>
          <w:tcPr>
            <w:tcW w:w="288" w:type="pct"/>
            <w:hideMark/>
          </w:tcPr>
          <w:p w14:paraId="5603D2D5" w14:textId="77777777" w:rsidR="003D0A1C" w:rsidRPr="002029AF" w:rsidRDefault="003D0A1C" w:rsidP="00F16765">
            <w:pPr>
              <w:pStyle w:val="ARtablecolheadright"/>
              <w:spacing w:before="40" w:after="30"/>
            </w:pPr>
            <w:r w:rsidRPr="002029AF">
              <w:t>FTE</w:t>
            </w:r>
          </w:p>
        </w:tc>
        <w:tc>
          <w:tcPr>
            <w:tcW w:w="284" w:type="pct"/>
            <w:hideMark/>
          </w:tcPr>
          <w:p w14:paraId="6BBC1B0E" w14:textId="5BF425AF" w:rsidR="003D0A1C" w:rsidRPr="002029AF" w:rsidRDefault="003D0A1C" w:rsidP="00F16765">
            <w:pPr>
              <w:pStyle w:val="ARtablecolheadright"/>
              <w:spacing w:before="40" w:after="30"/>
            </w:pPr>
            <w:r w:rsidRPr="002029AF">
              <w:t>Full-time</w:t>
            </w:r>
            <w:r w:rsidR="000A5329" w:rsidRPr="002029AF">
              <w:t xml:space="preserve"> </w:t>
            </w:r>
            <w:r w:rsidRPr="002029AF">
              <w:t>(head</w:t>
            </w:r>
            <w:r w:rsidR="000A5329" w:rsidRPr="002029AF">
              <w:t xml:space="preserve"> </w:t>
            </w:r>
            <w:r w:rsidRPr="002029AF">
              <w:t>count)</w:t>
            </w:r>
          </w:p>
        </w:tc>
        <w:tc>
          <w:tcPr>
            <w:tcW w:w="284" w:type="pct"/>
            <w:hideMark/>
          </w:tcPr>
          <w:p w14:paraId="2A66E00C" w14:textId="2CD4972F" w:rsidR="003D0A1C" w:rsidRPr="002029AF" w:rsidRDefault="003D0A1C" w:rsidP="00F16765">
            <w:pPr>
              <w:pStyle w:val="ARtablecolheadright"/>
              <w:spacing w:before="40" w:after="30"/>
            </w:pPr>
            <w:r w:rsidRPr="002029AF">
              <w:t>Part-time</w:t>
            </w:r>
            <w:r w:rsidR="000A5329" w:rsidRPr="002029AF">
              <w:t xml:space="preserve"> </w:t>
            </w:r>
            <w:r w:rsidRPr="002029AF">
              <w:t>(head</w:t>
            </w:r>
            <w:r w:rsidR="000A5329" w:rsidRPr="002029AF">
              <w:t xml:space="preserve"> </w:t>
            </w:r>
            <w:r w:rsidRPr="002029AF">
              <w:t>count)</w:t>
            </w:r>
          </w:p>
        </w:tc>
        <w:tc>
          <w:tcPr>
            <w:tcW w:w="286" w:type="pct"/>
            <w:hideMark/>
          </w:tcPr>
          <w:p w14:paraId="47ADFEDB" w14:textId="77777777" w:rsidR="003D0A1C" w:rsidRPr="002029AF" w:rsidRDefault="003D0A1C" w:rsidP="00F16765">
            <w:pPr>
              <w:pStyle w:val="ARtablecolheadright"/>
              <w:spacing w:before="40" w:after="30"/>
            </w:pPr>
            <w:r w:rsidRPr="002029AF">
              <w:t>FTE</w:t>
            </w:r>
          </w:p>
        </w:tc>
        <w:tc>
          <w:tcPr>
            <w:tcW w:w="321" w:type="pct"/>
            <w:hideMark/>
          </w:tcPr>
          <w:p w14:paraId="7916F0DF" w14:textId="413C96BF" w:rsidR="003D0A1C" w:rsidRPr="002029AF" w:rsidRDefault="003D0A1C" w:rsidP="00F16765">
            <w:pPr>
              <w:pStyle w:val="ARtablecolheadright"/>
              <w:spacing w:before="40" w:after="30"/>
            </w:pPr>
            <w:r w:rsidRPr="002029AF">
              <w:t>Number</w:t>
            </w:r>
            <w:r w:rsidR="000A5329" w:rsidRPr="002029AF">
              <w:t xml:space="preserve"> </w:t>
            </w:r>
            <w:r w:rsidRPr="002029AF">
              <w:t>(head</w:t>
            </w:r>
            <w:r w:rsidR="000A5329" w:rsidRPr="002029AF">
              <w:t xml:space="preserve"> </w:t>
            </w:r>
            <w:r w:rsidRPr="002029AF">
              <w:t>count)</w:t>
            </w:r>
          </w:p>
        </w:tc>
        <w:tc>
          <w:tcPr>
            <w:tcW w:w="285" w:type="pct"/>
            <w:hideMark/>
          </w:tcPr>
          <w:p w14:paraId="002388A3" w14:textId="77777777" w:rsidR="003D0A1C" w:rsidRPr="002029AF" w:rsidRDefault="003D0A1C" w:rsidP="00F16765">
            <w:pPr>
              <w:pStyle w:val="ARtablecolheadright"/>
              <w:spacing w:before="40" w:after="30"/>
            </w:pPr>
            <w:r w:rsidRPr="002029AF">
              <w:t>FTE</w:t>
            </w:r>
          </w:p>
        </w:tc>
        <w:tc>
          <w:tcPr>
            <w:tcW w:w="321" w:type="pct"/>
            <w:hideMark/>
          </w:tcPr>
          <w:p w14:paraId="6E3D7ECC" w14:textId="085A1BC2" w:rsidR="003D0A1C" w:rsidRPr="002029AF" w:rsidRDefault="003D0A1C" w:rsidP="00F16765">
            <w:pPr>
              <w:pStyle w:val="ARtablecolheadright"/>
              <w:spacing w:before="40" w:after="30"/>
            </w:pPr>
            <w:r w:rsidRPr="002029AF">
              <w:t>Number</w:t>
            </w:r>
            <w:r w:rsidR="000A5329" w:rsidRPr="002029AF">
              <w:t xml:space="preserve"> </w:t>
            </w:r>
            <w:r w:rsidRPr="002029AF">
              <w:t>(head</w:t>
            </w:r>
            <w:r w:rsidR="000A5329" w:rsidRPr="002029AF">
              <w:t xml:space="preserve"> </w:t>
            </w:r>
            <w:r w:rsidRPr="002029AF">
              <w:t>count)</w:t>
            </w:r>
          </w:p>
        </w:tc>
        <w:tc>
          <w:tcPr>
            <w:tcW w:w="285" w:type="pct"/>
            <w:hideMark/>
          </w:tcPr>
          <w:p w14:paraId="4836510C" w14:textId="77777777" w:rsidR="003D0A1C" w:rsidRPr="002029AF" w:rsidRDefault="003D0A1C" w:rsidP="00F16765">
            <w:pPr>
              <w:pStyle w:val="ARtablecolheadright"/>
              <w:spacing w:before="40" w:after="30"/>
            </w:pPr>
            <w:r w:rsidRPr="002029AF">
              <w:t>FTE</w:t>
            </w:r>
          </w:p>
        </w:tc>
        <w:tc>
          <w:tcPr>
            <w:tcW w:w="284" w:type="pct"/>
            <w:hideMark/>
          </w:tcPr>
          <w:p w14:paraId="66D001AA" w14:textId="401E0046" w:rsidR="003D0A1C" w:rsidRPr="002029AF" w:rsidRDefault="003D0A1C" w:rsidP="00F16765">
            <w:pPr>
              <w:pStyle w:val="ARtablecolheadright"/>
              <w:spacing w:before="40" w:after="30"/>
            </w:pPr>
            <w:r w:rsidRPr="002029AF">
              <w:t>Full-time</w:t>
            </w:r>
            <w:r w:rsidR="000A5329" w:rsidRPr="002029AF">
              <w:t xml:space="preserve"> </w:t>
            </w:r>
            <w:r w:rsidRPr="002029AF">
              <w:t>(head</w:t>
            </w:r>
            <w:r w:rsidR="000A5329" w:rsidRPr="002029AF">
              <w:t xml:space="preserve"> </w:t>
            </w:r>
            <w:r w:rsidRPr="002029AF">
              <w:t>count)</w:t>
            </w:r>
          </w:p>
        </w:tc>
        <w:tc>
          <w:tcPr>
            <w:tcW w:w="284" w:type="pct"/>
            <w:hideMark/>
          </w:tcPr>
          <w:p w14:paraId="54DCBB76" w14:textId="0000751D" w:rsidR="003D0A1C" w:rsidRPr="002029AF" w:rsidRDefault="003D0A1C" w:rsidP="00F16765">
            <w:pPr>
              <w:pStyle w:val="ARtablecolheadright"/>
              <w:spacing w:before="40" w:after="30"/>
            </w:pPr>
            <w:r w:rsidRPr="002029AF">
              <w:t>Part-time</w:t>
            </w:r>
            <w:r w:rsidR="000A5329" w:rsidRPr="002029AF">
              <w:t xml:space="preserve"> </w:t>
            </w:r>
            <w:r w:rsidRPr="002029AF">
              <w:t>(head</w:t>
            </w:r>
            <w:r w:rsidR="000A5329" w:rsidRPr="002029AF">
              <w:t xml:space="preserve"> </w:t>
            </w:r>
            <w:r w:rsidRPr="002029AF">
              <w:t>count)</w:t>
            </w:r>
          </w:p>
        </w:tc>
        <w:tc>
          <w:tcPr>
            <w:tcW w:w="286" w:type="pct"/>
            <w:hideMark/>
          </w:tcPr>
          <w:p w14:paraId="33107C81" w14:textId="77777777" w:rsidR="003D0A1C" w:rsidRPr="002029AF" w:rsidRDefault="003D0A1C" w:rsidP="00F16765">
            <w:pPr>
              <w:pStyle w:val="ARtablecolheadright"/>
              <w:spacing w:before="40" w:after="30"/>
            </w:pPr>
            <w:r w:rsidRPr="002029AF">
              <w:t>FTE</w:t>
            </w:r>
          </w:p>
        </w:tc>
        <w:tc>
          <w:tcPr>
            <w:tcW w:w="321" w:type="pct"/>
            <w:hideMark/>
          </w:tcPr>
          <w:p w14:paraId="1A852427" w14:textId="06F4B4C2" w:rsidR="003D0A1C" w:rsidRPr="002029AF" w:rsidRDefault="003D0A1C" w:rsidP="00F16765">
            <w:pPr>
              <w:pStyle w:val="ARtablecolheadright"/>
              <w:spacing w:before="40" w:after="30"/>
            </w:pPr>
            <w:r w:rsidRPr="002029AF">
              <w:t>Number</w:t>
            </w:r>
            <w:r w:rsidR="000A5329" w:rsidRPr="002029AF">
              <w:t xml:space="preserve"> </w:t>
            </w:r>
            <w:r w:rsidRPr="002029AF">
              <w:t>(head</w:t>
            </w:r>
            <w:r w:rsidR="000A5329" w:rsidRPr="002029AF">
              <w:t xml:space="preserve"> </w:t>
            </w:r>
            <w:r w:rsidRPr="002029AF">
              <w:t>count)</w:t>
            </w:r>
          </w:p>
        </w:tc>
        <w:tc>
          <w:tcPr>
            <w:tcW w:w="283" w:type="pct"/>
            <w:hideMark/>
          </w:tcPr>
          <w:p w14:paraId="00C8A3FE" w14:textId="77777777" w:rsidR="003D0A1C" w:rsidRPr="002029AF" w:rsidRDefault="003D0A1C" w:rsidP="00F16765">
            <w:pPr>
              <w:pStyle w:val="ARtablecolheadright"/>
              <w:spacing w:before="40" w:after="30"/>
            </w:pPr>
            <w:r w:rsidRPr="002029AF">
              <w:t>FTE</w:t>
            </w:r>
          </w:p>
        </w:tc>
      </w:tr>
      <w:tr w:rsidR="00CB1D1C" w:rsidRPr="002029AF" w14:paraId="67ACC4D4" w14:textId="77777777" w:rsidTr="00D015AF">
        <w:tc>
          <w:tcPr>
            <w:tcW w:w="5000" w:type="pct"/>
            <w:gridSpan w:val="15"/>
            <w:hideMark/>
          </w:tcPr>
          <w:p w14:paraId="71E7E0EC" w14:textId="364F01A6" w:rsidR="00CB1D1C" w:rsidRPr="002029AF" w:rsidRDefault="00CB1D1C" w:rsidP="00F16765">
            <w:pPr>
              <w:pStyle w:val="ARtablesubhead"/>
              <w:spacing w:before="40" w:after="30"/>
            </w:pPr>
            <w:r w:rsidRPr="002029AF">
              <w:t>Gender</w:t>
            </w:r>
          </w:p>
        </w:tc>
      </w:tr>
      <w:tr w:rsidR="001E768A" w:rsidRPr="002029AF" w14:paraId="34A484F6" w14:textId="77777777" w:rsidTr="00D015AF">
        <w:tc>
          <w:tcPr>
            <w:tcW w:w="867" w:type="pct"/>
            <w:hideMark/>
          </w:tcPr>
          <w:p w14:paraId="6A07E609" w14:textId="77777777" w:rsidR="00CF72D5" w:rsidRPr="002029AF" w:rsidRDefault="00CF72D5" w:rsidP="00F16765">
            <w:pPr>
              <w:pStyle w:val="ARtabletext"/>
              <w:spacing w:before="40" w:after="30"/>
            </w:pPr>
            <w:r w:rsidRPr="002029AF">
              <w:t>Women</w:t>
            </w:r>
          </w:p>
        </w:tc>
        <w:tc>
          <w:tcPr>
            <w:tcW w:w="321" w:type="pct"/>
            <w:hideMark/>
          </w:tcPr>
          <w:p w14:paraId="4C10CC1F" w14:textId="77777777" w:rsidR="00CF72D5" w:rsidRPr="002029AF" w:rsidRDefault="00CF72D5" w:rsidP="00F16765">
            <w:pPr>
              <w:pStyle w:val="ARtabletextright"/>
              <w:spacing w:before="40" w:after="30"/>
            </w:pPr>
            <w:r w:rsidRPr="002029AF">
              <w:t>109</w:t>
            </w:r>
          </w:p>
        </w:tc>
        <w:tc>
          <w:tcPr>
            <w:tcW w:w="288" w:type="pct"/>
            <w:hideMark/>
          </w:tcPr>
          <w:p w14:paraId="3B73ADD5" w14:textId="77777777" w:rsidR="00CF72D5" w:rsidRPr="002029AF" w:rsidRDefault="00CF72D5" w:rsidP="00F16765">
            <w:pPr>
              <w:pStyle w:val="ARtabletextright"/>
              <w:spacing w:before="40" w:after="30"/>
            </w:pPr>
            <w:r w:rsidRPr="002029AF">
              <w:t>97.9</w:t>
            </w:r>
          </w:p>
        </w:tc>
        <w:tc>
          <w:tcPr>
            <w:tcW w:w="284" w:type="pct"/>
            <w:hideMark/>
          </w:tcPr>
          <w:p w14:paraId="5FE0A5C9" w14:textId="77777777" w:rsidR="00CF72D5" w:rsidRPr="002029AF" w:rsidRDefault="00CF72D5" w:rsidP="00F16765">
            <w:pPr>
              <w:pStyle w:val="ARtabletextright"/>
              <w:spacing w:before="40" w:after="30"/>
            </w:pPr>
            <w:r w:rsidRPr="002029AF">
              <w:t>57</w:t>
            </w:r>
          </w:p>
        </w:tc>
        <w:tc>
          <w:tcPr>
            <w:tcW w:w="284" w:type="pct"/>
            <w:hideMark/>
          </w:tcPr>
          <w:p w14:paraId="4844EEF4" w14:textId="77777777" w:rsidR="00CF72D5" w:rsidRPr="002029AF" w:rsidRDefault="00CF72D5" w:rsidP="00F16765">
            <w:pPr>
              <w:pStyle w:val="ARtabletextright"/>
              <w:spacing w:before="40" w:after="30"/>
            </w:pPr>
            <w:r w:rsidRPr="002029AF">
              <w:t>30</w:t>
            </w:r>
          </w:p>
        </w:tc>
        <w:tc>
          <w:tcPr>
            <w:tcW w:w="286" w:type="pct"/>
            <w:hideMark/>
          </w:tcPr>
          <w:p w14:paraId="178FE5CD" w14:textId="77777777" w:rsidR="00CF72D5" w:rsidRPr="002029AF" w:rsidRDefault="00CF72D5" w:rsidP="00F16765">
            <w:pPr>
              <w:pStyle w:val="ARtabletextright"/>
              <w:spacing w:before="40" w:after="30"/>
            </w:pPr>
            <w:r w:rsidRPr="002029AF">
              <w:t>77.3</w:t>
            </w:r>
          </w:p>
        </w:tc>
        <w:tc>
          <w:tcPr>
            <w:tcW w:w="321" w:type="pct"/>
            <w:hideMark/>
          </w:tcPr>
          <w:p w14:paraId="066FB72D" w14:textId="77777777" w:rsidR="00CF72D5" w:rsidRPr="002029AF" w:rsidRDefault="00CF72D5" w:rsidP="00F16765">
            <w:pPr>
              <w:pStyle w:val="ARtabletextright"/>
              <w:spacing w:before="40" w:after="30"/>
            </w:pPr>
            <w:r w:rsidRPr="002029AF">
              <w:t>22</w:t>
            </w:r>
          </w:p>
        </w:tc>
        <w:tc>
          <w:tcPr>
            <w:tcW w:w="285" w:type="pct"/>
            <w:hideMark/>
          </w:tcPr>
          <w:p w14:paraId="06D2FAB0" w14:textId="77777777" w:rsidR="00CF72D5" w:rsidRPr="002029AF" w:rsidRDefault="00CF72D5" w:rsidP="00F16765">
            <w:pPr>
              <w:pStyle w:val="ARtabletextright"/>
              <w:spacing w:before="40" w:after="30"/>
            </w:pPr>
            <w:r w:rsidRPr="002029AF">
              <w:t>20.6</w:t>
            </w:r>
          </w:p>
        </w:tc>
        <w:tc>
          <w:tcPr>
            <w:tcW w:w="321" w:type="pct"/>
            <w:hideMark/>
          </w:tcPr>
          <w:p w14:paraId="66E7F466" w14:textId="77777777" w:rsidR="00CF72D5" w:rsidRPr="002029AF" w:rsidRDefault="00CF72D5" w:rsidP="00F16765">
            <w:pPr>
              <w:pStyle w:val="ARtabletextright"/>
              <w:spacing w:before="40" w:after="30"/>
            </w:pPr>
            <w:r w:rsidRPr="002029AF">
              <w:t>113</w:t>
            </w:r>
          </w:p>
        </w:tc>
        <w:tc>
          <w:tcPr>
            <w:tcW w:w="285" w:type="pct"/>
            <w:hideMark/>
          </w:tcPr>
          <w:p w14:paraId="6B97CB50" w14:textId="77777777" w:rsidR="00CF72D5" w:rsidRPr="002029AF" w:rsidRDefault="00CF72D5" w:rsidP="00F16765">
            <w:pPr>
              <w:pStyle w:val="ARtabletextright"/>
              <w:spacing w:before="40" w:after="30"/>
            </w:pPr>
            <w:r w:rsidRPr="002029AF">
              <w:t>103.2</w:t>
            </w:r>
          </w:p>
        </w:tc>
        <w:tc>
          <w:tcPr>
            <w:tcW w:w="284" w:type="pct"/>
            <w:hideMark/>
          </w:tcPr>
          <w:p w14:paraId="395FA93C" w14:textId="77777777" w:rsidR="00CF72D5" w:rsidRPr="002029AF" w:rsidRDefault="00CF72D5" w:rsidP="00F16765">
            <w:pPr>
              <w:pStyle w:val="ARtabletextright"/>
              <w:spacing w:before="40" w:after="30"/>
            </w:pPr>
            <w:r w:rsidRPr="002029AF">
              <w:t>58</w:t>
            </w:r>
          </w:p>
        </w:tc>
        <w:tc>
          <w:tcPr>
            <w:tcW w:w="284" w:type="pct"/>
            <w:hideMark/>
          </w:tcPr>
          <w:p w14:paraId="25EC2F4D" w14:textId="77777777" w:rsidR="00CF72D5" w:rsidRPr="002029AF" w:rsidRDefault="00CF72D5" w:rsidP="00F16765">
            <w:pPr>
              <w:pStyle w:val="ARtabletextright"/>
              <w:spacing w:before="40" w:after="30"/>
            </w:pPr>
            <w:r w:rsidRPr="002029AF">
              <w:t>26</w:t>
            </w:r>
          </w:p>
        </w:tc>
        <w:tc>
          <w:tcPr>
            <w:tcW w:w="286" w:type="pct"/>
            <w:hideMark/>
          </w:tcPr>
          <w:p w14:paraId="70DF61E7" w14:textId="77777777" w:rsidR="00CF72D5" w:rsidRPr="002029AF" w:rsidRDefault="00CF72D5" w:rsidP="00F16765">
            <w:pPr>
              <w:pStyle w:val="ARtabletextright"/>
              <w:spacing w:before="40" w:after="30"/>
            </w:pPr>
            <w:r w:rsidRPr="002029AF">
              <w:t>76.2</w:t>
            </w:r>
          </w:p>
        </w:tc>
        <w:tc>
          <w:tcPr>
            <w:tcW w:w="321" w:type="pct"/>
            <w:hideMark/>
          </w:tcPr>
          <w:p w14:paraId="44BBDF51" w14:textId="77777777" w:rsidR="00CF72D5" w:rsidRPr="002029AF" w:rsidRDefault="00CF72D5" w:rsidP="00F16765">
            <w:pPr>
              <w:pStyle w:val="ARtabletextright"/>
              <w:spacing w:before="40" w:after="30"/>
            </w:pPr>
            <w:r w:rsidRPr="002029AF">
              <w:t>29</w:t>
            </w:r>
          </w:p>
        </w:tc>
        <w:tc>
          <w:tcPr>
            <w:tcW w:w="283" w:type="pct"/>
            <w:hideMark/>
          </w:tcPr>
          <w:p w14:paraId="7672FEC3" w14:textId="77777777" w:rsidR="00CF72D5" w:rsidRPr="002029AF" w:rsidRDefault="00CF72D5" w:rsidP="00F16765">
            <w:pPr>
              <w:pStyle w:val="ARtabletextright"/>
              <w:spacing w:before="40" w:after="30"/>
            </w:pPr>
            <w:r w:rsidRPr="002029AF">
              <w:t>27</w:t>
            </w:r>
          </w:p>
        </w:tc>
      </w:tr>
      <w:tr w:rsidR="001E768A" w:rsidRPr="002029AF" w14:paraId="104FC60A" w14:textId="77777777" w:rsidTr="00D015AF">
        <w:tc>
          <w:tcPr>
            <w:tcW w:w="867" w:type="pct"/>
            <w:hideMark/>
          </w:tcPr>
          <w:p w14:paraId="268DB09A" w14:textId="77777777" w:rsidR="00CF72D5" w:rsidRPr="002029AF" w:rsidRDefault="00CF72D5" w:rsidP="00F16765">
            <w:pPr>
              <w:pStyle w:val="ARtabletext"/>
              <w:spacing w:before="40" w:after="30"/>
            </w:pPr>
            <w:r w:rsidRPr="002029AF">
              <w:t>Men</w:t>
            </w:r>
          </w:p>
        </w:tc>
        <w:tc>
          <w:tcPr>
            <w:tcW w:w="321" w:type="pct"/>
            <w:hideMark/>
          </w:tcPr>
          <w:p w14:paraId="24BCD89E" w14:textId="77777777" w:rsidR="00CF72D5" w:rsidRPr="002029AF" w:rsidRDefault="00CF72D5" w:rsidP="00F16765">
            <w:pPr>
              <w:pStyle w:val="ARtabletextright"/>
              <w:spacing w:before="40" w:after="30"/>
            </w:pPr>
            <w:r w:rsidRPr="002029AF">
              <w:t>16</w:t>
            </w:r>
          </w:p>
        </w:tc>
        <w:tc>
          <w:tcPr>
            <w:tcW w:w="288" w:type="pct"/>
            <w:hideMark/>
          </w:tcPr>
          <w:p w14:paraId="7BCEE29D" w14:textId="77777777" w:rsidR="00CF72D5" w:rsidRPr="002029AF" w:rsidRDefault="00CF72D5" w:rsidP="00F16765">
            <w:pPr>
              <w:pStyle w:val="ARtabletextright"/>
              <w:spacing w:before="40" w:after="30"/>
            </w:pPr>
            <w:r w:rsidRPr="002029AF">
              <w:t>15.1</w:t>
            </w:r>
          </w:p>
        </w:tc>
        <w:tc>
          <w:tcPr>
            <w:tcW w:w="284" w:type="pct"/>
            <w:hideMark/>
          </w:tcPr>
          <w:p w14:paraId="4AD88A3C" w14:textId="77777777" w:rsidR="00CF72D5" w:rsidRPr="002029AF" w:rsidRDefault="00CF72D5" w:rsidP="00F16765">
            <w:pPr>
              <w:pStyle w:val="ARtabletextright"/>
              <w:spacing w:before="40" w:after="30"/>
            </w:pPr>
            <w:r w:rsidRPr="002029AF">
              <w:t>7</w:t>
            </w:r>
          </w:p>
        </w:tc>
        <w:tc>
          <w:tcPr>
            <w:tcW w:w="284" w:type="pct"/>
            <w:hideMark/>
          </w:tcPr>
          <w:p w14:paraId="703BFA88" w14:textId="77777777" w:rsidR="00CF72D5" w:rsidRPr="002029AF" w:rsidRDefault="00CF72D5" w:rsidP="00F16765">
            <w:pPr>
              <w:pStyle w:val="ARtabletextright"/>
              <w:spacing w:before="40" w:after="30"/>
            </w:pPr>
            <w:r w:rsidRPr="002029AF">
              <w:t>3</w:t>
            </w:r>
          </w:p>
        </w:tc>
        <w:tc>
          <w:tcPr>
            <w:tcW w:w="286" w:type="pct"/>
            <w:hideMark/>
          </w:tcPr>
          <w:p w14:paraId="48073256" w14:textId="77777777" w:rsidR="00CF72D5" w:rsidRPr="002029AF" w:rsidRDefault="00CF72D5" w:rsidP="00F16765">
            <w:pPr>
              <w:pStyle w:val="ARtabletextright"/>
              <w:spacing w:before="40" w:after="30"/>
            </w:pPr>
            <w:r w:rsidRPr="002029AF">
              <w:t>9.1</w:t>
            </w:r>
          </w:p>
        </w:tc>
        <w:tc>
          <w:tcPr>
            <w:tcW w:w="321" w:type="pct"/>
            <w:hideMark/>
          </w:tcPr>
          <w:p w14:paraId="5722DBB1" w14:textId="77777777" w:rsidR="00CF72D5" w:rsidRPr="002029AF" w:rsidRDefault="00CF72D5" w:rsidP="00F16765">
            <w:pPr>
              <w:pStyle w:val="ARtabletextright"/>
              <w:spacing w:before="40" w:after="30"/>
            </w:pPr>
            <w:r w:rsidRPr="002029AF">
              <w:t>6</w:t>
            </w:r>
          </w:p>
        </w:tc>
        <w:tc>
          <w:tcPr>
            <w:tcW w:w="285" w:type="pct"/>
            <w:hideMark/>
          </w:tcPr>
          <w:p w14:paraId="6F52F5F5" w14:textId="77777777" w:rsidR="00CF72D5" w:rsidRPr="002029AF" w:rsidRDefault="00CF72D5" w:rsidP="00F16765">
            <w:pPr>
              <w:pStyle w:val="ARtabletextright"/>
              <w:spacing w:before="40" w:after="30"/>
            </w:pPr>
            <w:r w:rsidRPr="002029AF">
              <w:t>6</w:t>
            </w:r>
          </w:p>
        </w:tc>
        <w:tc>
          <w:tcPr>
            <w:tcW w:w="321" w:type="pct"/>
            <w:hideMark/>
          </w:tcPr>
          <w:p w14:paraId="5CB29DFB" w14:textId="77777777" w:rsidR="00CF72D5" w:rsidRPr="002029AF" w:rsidRDefault="00CF72D5" w:rsidP="00F16765">
            <w:pPr>
              <w:pStyle w:val="ARtabletextright"/>
              <w:spacing w:before="40" w:after="30"/>
            </w:pPr>
            <w:r w:rsidRPr="002029AF">
              <w:t>18</w:t>
            </w:r>
          </w:p>
        </w:tc>
        <w:tc>
          <w:tcPr>
            <w:tcW w:w="285" w:type="pct"/>
            <w:hideMark/>
          </w:tcPr>
          <w:p w14:paraId="4B638844" w14:textId="77777777" w:rsidR="00CF72D5" w:rsidRPr="002029AF" w:rsidRDefault="00CF72D5" w:rsidP="00F16765">
            <w:pPr>
              <w:pStyle w:val="ARtabletextright"/>
              <w:spacing w:before="40" w:after="30"/>
            </w:pPr>
            <w:r w:rsidRPr="002029AF">
              <w:t>17.1</w:t>
            </w:r>
          </w:p>
        </w:tc>
        <w:tc>
          <w:tcPr>
            <w:tcW w:w="284" w:type="pct"/>
            <w:hideMark/>
          </w:tcPr>
          <w:p w14:paraId="446F69A0" w14:textId="77777777" w:rsidR="00CF72D5" w:rsidRPr="002029AF" w:rsidRDefault="00CF72D5" w:rsidP="00F16765">
            <w:pPr>
              <w:pStyle w:val="ARtabletextright"/>
              <w:spacing w:before="40" w:after="30"/>
            </w:pPr>
            <w:r w:rsidRPr="002029AF">
              <w:t>6</w:t>
            </w:r>
          </w:p>
        </w:tc>
        <w:tc>
          <w:tcPr>
            <w:tcW w:w="284" w:type="pct"/>
            <w:hideMark/>
          </w:tcPr>
          <w:p w14:paraId="0133FF90" w14:textId="77777777" w:rsidR="00CF72D5" w:rsidRPr="002029AF" w:rsidRDefault="00CF72D5" w:rsidP="00F16765">
            <w:pPr>
              <w:pStyle w:val="ARtabletextright"/>
              <w:spacing w:before="40" w:after="30"/>
            </w:pPr>
            <w:r w:rsidRPr="002029AF">
              <w:t>2</w:t>
            </w:r>
          </w:p>
        </w:tc>
        <w:tc>
          <w:tcPr>
            <w:tcW w:w="286" w:type="pct"/>
            <w:hideMark/>
          </w:tcPr>
          <w:p w14:paraId="42DFE206" w14:textId="77777777" w:rsidR="00CF72D5" w:rsidRPr="002029AF" w:rsidRDefault="00CF72D5" w:rsidP="00F16765">
            <w:pPr>
              <w:pStyle w:val="ARtabletextright"/>
              <w:spacing w:before="40" w:after="30"/>
            </w:pPr>
            <w:r w:rsidRPr="002029AF">
              <w:t>7.6</w:t>
            </w:r>
          </w:p>
        </w:tc>
        <w:tc>
          <w:tcPr>
            <w:tcW w:w="321" w:type="pct"/>
            <w:hideMark/>
          </w:tcPr>
          <w:p w14:paraId="21EEC830" w14:textId="77777777" w:rsidR="00CF72D5" w:rsidRPr="002029AF" w:rsidRDefault="00CF72D5" w:rsidP="00F16765">
            <w:pPr>
              <w:pStyle w:val="ARtabletextright"/>
              <w:spacing w:before="40" w:after="30"/>
            </w:pPr>
            <w:r w:rsidRPr="002029AF">
              <w:t>10</w:t>
            </w:r>
          </w:p>
        </w:tc>
        <w:tc>
          <w:tcPr>
            <w:tcW w:w="283" w:type="pct"/>
            <w:hideMark/>
          </w:tcPr>
          <w:p w14:paraId="6082ADBB" w14:textId="77777777" w:rsidR="00CF72D5" w:rsidRPr="002029AF" w:rsidRDefault="00CF72D5" w:rsidP="00F16765">
            <w:pPr>
              <w:pStyle w:val="ARtabletextright"/>
              <w:spacing w:before="40" w:after="30"/>
            </w:pPr>
            <w:r w:rsidRPr="002029AF">
              <w:t>9.5</w:t>
            </w:r>
          </w:p>
        </w:tc>
      </w:tr>
      <w:tr w:rsidR="001E768A" w:rsidRPr="002029AF" w14:paraId="2B1DEE98" w14:textId="77777777" w:rsidTr="00D015AF">
        <w:tc>
          <w:tcPr>
            <w:tcW w:w="867" w:type="pct"/>
            <w:hideMark/>
          </w:tcPr>
          <w:p w14:paraId="5F6D1EB6" w14:textId="77777777" w:rsidR="00CF72D5" w:rsidRPr="002029AF" w:rsidRDefault="00CF72D5" w:rsidP="00F16765">
            <w:pPr>
              <w:pStyle w:val="ARtabletext"/>
              <w:spacing w:before="40" w:after="30"/>
            </w:pPr>
            <w:r w:rsidRPr="002029AF">
              <w:t>Self-described</w:t>
            </w:r>
          </w:p>
        </w:tc>
        <w:tc>
          <w:tcPr>
            <w:tcW w:w="321" w:type="pct"/>
            <w:hideMark/>
          </w:tcPr>
          <w:p w14:paraId="784004FB" w14:textId="77777777" w:rsidR="00CF72D5" w:rsidRPr="002029AF" w:rsidRDefault="00CF72D5" w:rsidP="00F16765">
            <w:pPr>
              <w:pStyle w:val="ARtabletextright"/>
              <w:spacing w:before="40" w:after="30"/>
            </w:pPr>
            <w:r w:rsidRPr="002029AF">
              <w:t>na</w:t>
            </w:r>
          </w:p>
        </w:tc>
        <w:tc>
          <w:tcPr>
            <w:tcW w:w="288" w:type="pct"/>
            <w:hideMark/>
          </w:tcPr>
          <w:p w14:paraId="4B0BFB5B" w14:textId="77777777" w:rsidR="00CF72D5" w:rsidRPr="002029AF" w:rsidRDefault="00CF72D5" w:rsidP="00F16765">
            <w:pPr>
              <w:pStyle w:val="ARtabletextright"/>
              <w:spacing w:before="40" w:after="30"/>
            </w:pPr>
            <w:r w:rsidRPr="002029AF">
              <w:t>na</w:t>
            </w:r>
          </w:p>
        </w:tc>
        <w:tc>
          <w:tcPr>
            <w:tcW w:w="284" w:type="pct"/>
            <w:hideMark/>
          </w:tcPr>
          <w:p w14:paraId="25B6BABC" w14:textId="77777777" w:rsidR="00CF72D5" w:rsidRPr="002029AF" w:rsidRDefault="00CF72D5" w:rsidP="00F16765">
            <w:pPr>
              <w:pStyle w:val="ARtabletextright"/>
              <w:spacing w:before="40" w:after="30"/>
            </w:pPr>
            <w:r w:rsidRPr="002029AF">
              <w:t>na</w:t>
            </w:r>
          </w:p>
        </w:tc>
        <w:tc>
          <w:tcPr>
            <w:tcW w:w="284" w:type="pct"/>
            <w:hideMark/>
          </w:tcPr>
          <w:p w14:paraId="6E268E9E" w14:textId="77777777" w:rsidR="00CF72D5" w:rsidRPr="002029AF" w:rsidRDefault="00CF72D5" w:rsidP="00F16765">
            <w:pPr>
              <w:pStyle w:val="ARtabletextright"/>
              <w:spacing w:before="40" w:after="30"/>
            </w:pPr>
            <w:r w:rsidRPr="002029AF">
              <w:t>na</w:t>
            </w:r>
          </w:p>
        </w:tc>
        <w:tc>
          <w:tcPr>
            <w:tcW w:w="286" w:type="pct"/>
            <w:hideMark/>
          </w:tcPr>
          <w:p w14:paraId="583A38CF" w14:textId="77777777" w:rsidR="00CF72D5" w:rsidRPr="002029AF" w:rsidRDefault="00CF72D5" w:rsidP="00F16765">
            <w:pPr>
              <w:pStyle w:val="ARtabletextright"/>
              <w:spacing w:before="40" w:after="30"/>
            </w:pPr>
            <w:r w:rsidRPr="002029AF">
              <w:t>na</w:t>
            </w:r>
          </w:p>
        </w:tc>
        <w:tc>
          <w:tcPr>
            <w:tcW w:w="321" w:type="pct"/>
            <w:hideMark/>
          </w:tcPr>
          <w:p w14:paraId="4CA24F51" w14:textId="77777777" w:rsidR="00CF72D5" w:rsidRPr="002029AF" w:rsidRDefault="00CF72D5" w:rsidP="00F16765">
            <w:pPr>
              <w:pStyle w:val="ARtabletextright"/>
              <w:spacing w:before="40" w:after="30"/>
            </w:pPr>
            <w:r w:rsidRPr="002029AF">
              <w:t>na</w:t>
            </w:r>
          </w:p>
        </w:tc>
        <w:tc>
          <w:tcPr>
            <w:tcW w:w="285" w:type="pct"/>
            <w:hideMark/>
          </w:tcPr>
          <w:p w14:paraId="09C9A268" w14:textId="77777777" w:rsidR="00CF72D5" w:rsidRPr="002029AF" w:rsidRDefault="00CF72D5" w:rsidP="00F16765">
            <w:pPr>
              <w:pStyle w:val="ARtabletextright"/>
              <w:spacing w:before="40" w:after="30"/>
            </w:pPr>
            <w:r w:rsidRPr="002029AF">
              <w:t>na</w:t>
            </w:r>
          </w:p>
        </w:tc>
        <w:tc>
          <w:tcPr>
            <w:tcW w:w="321" w:type="pct"/>
            <w:hideMark/>
          </w:tcPr>
          <w:p w14:paraId="17682A4E" w14:textId="77777777" w:rsidR="00CF72D5" w:rsidRPr="002029AF" w:rsidRDefault="00CF72D5" w:rsidP="00F16765">
            <w:pPr>
              <w:pStyle w:val="ARtabletextright"/>
              <w:spacing w:before="40" w:after="30"/>
            </w:pPr>
            <w:r w:rsidRPr="002029AF">
              <w:t>na</w:t>
            </w:r>
          </w:p>
        </w:tc>
        <w:tc>
          <w:tcPr>
            <w:tcW w:w="285" w:type="pct"/>
            <w:hideMark/>
          </w:tcPr>
          <w:p w14:paraId="122BA07F" w14:textId="77777777" w:rsidR="00CF72D5" w:rsidRPr="002029AF" w:rsidRDefault="00CF72D5" w:rsidP="00F16765">
            <w:pPr>
              <w:pStyle w:val="ARtabletextright"/>
              <w:spacing w:before="40" w:after="30"/>
            </w:pPr>
            <w:r w:rsidRPr="002029AF">
              <w:t>na</w:t>
            </w:r>
          </w:p>
        </w:tc>
        <w:tc>
          <w:tcPr>
            <w:tcW w:w="284" w:type="pct"/>
            <w:hideMark/>
          </w:tcPr>
          <w:p w14:paraId="2EB8D76B" w14:textId="77777777" w:rsidR="00CF72D5" w:rsidRPr="002029AF" w:rsidRDefault="00CF72D5" w:rsidP="00F16765">
            <w:pPr>
              <w:pStyle w:val="ARtabletextright"/>
              <w:spacing w:before="40" w:after="30"/>
            </w:pPr>
            <w:r w:rsidRPr="002029AF">
              <w:t>na</w:t>
            </w:r>
          </w:p>
        </w:tc>
        <w:tc>
          <w:tcPr>
            <w:tcW w:w="284" w:type="pct"/>
            <w:hideMark/>
          </w:tcPr>
          <w:p w14:paraId="042CEEF4" w14:textId="77777777" w:rsidR="00CF72D5" w:rsidRPr="002029AF" w:rsidRDefault="00CF72D5" w:rsidP="00F16765">
            <w:pPr>
              <w:pStyle w:val="ARtabletextright"/>
              <w:spacing w:before="40" w:after="30"/>
            </w:pPr>
            <w:r w:rsidRPr="002029AF">
              <w:t>na</w:t>
            </w:r>
          </w:p>
        </w:tc>
        <w:tc>
          <w:tcPr>
            <w:tcW w:w="286" w:type="pct"/>
            <w:hideMark/>
          </w:tcPr>
          <w:p w14:paraId="4AD7BA44" w14:textId="77777777" w:rsidR="00CF72D5" w:rsidRPr="002029AF" w:rsidRDefault="00CF72D5" w:rsidP="00F16765">
            <w:pPr>
              <w:pStyle w:val="ARtabletextright"/>
              <w:spacing w:before="40" w:after="30"/>
            </w:pPr>
            <w:r w:rsidRPr="002029AF">
              <w:t>na</w:t>
            </w:r>
          </w:p>
        </w:tc>
        <w:tc>
          <w:tcPr>
            <w:tcW w:w="321" w:type="pct"/>
            <w:hideMark/>
          </w:tcPr>
          <w:p w14:paraId="5111A250" w14:textId="77777777" w:rsidR="00CF72D5" w:rsidRPr="002029AF" w:rsidRDefault="00CF72D5" w:rsidP="00F16765">
            <w:pPr>
              <w:pStyle w:val="ARtabletextright"/>
              <w:spacing w:before="40" w:after="30"/>
            </w:pPr>
            <w:r w:rsidRPr="002029AF">
              <w:t>na</w:t>
            </w:r>
          </w:p>
        </w:tc>
        <w:tc>
          <w:tcPr>
            <w:tcW w:w="283" w:type="pct"/>
            <w:hideMark/>
          </w:tcPr>
          <w:p w14:paraId="2C8CA836" w14:textId="77777777" w:rsidR="00CF72D5" w:rsidRPr="002029AF" w:rsidRDefault="00CF72D5" w:rsidP="00F16765">
            <w:pPr>
              <w:pStyle w:val="ARtabletextright"/>
              <w:spacing w:before="40" w:after="30"/>
            </w:pPr>
            <w:r w:rsidRPr="002029AF">
              <w:t>na</w:t>
            </w:r>
          </w:p>
        </w:tc>
      </w:tr>
      <w:tr w:rsidR="00CB1D1C" w:rsidRPr="002029AF" w14:paraId="0912F260" w14:textId="77777777" w:rsidTr="00D015AF">
        <w:tc>
          <w:tcPr>
            <w:tcW w:w="5000" w:type="pct"/>
            <w:gridSpan w:val="15"/>
            <w:hideMark/>
          </w:tcPr>
          <w:p w14:paraId="29B46853" w14:textId="5260B2AA" w:rsidR="00CB1D1C" w:rsidRPr="002029AF" w:rsidRDefault="00CB1D1C" w:rsidP="00F16765">
            <w:pPr>
              <w:pStyle w:val="ARtablesubhead"/>
              <w:spacing w:before="40" w:after="30"/>
            </w:pPr>
            <w:r w:rsidRPr="002029AF">
              <w:t>Age</w:t>
            </w:r>
          </w:p>
        </w:tc>
      </w:tr>
      <w:tr w:rsidR="001E768A" w:rsidRPr="002029AF" w14:paraId="26F0CF2D" w14:textId="77777777" w:rsidTr="00D015AF">
        <w:tc>
          <w:tcPr>
            <w:tcW w:w="867" w:type="pct"/>
            <w:hideMark/>
          </w:tcPr>
          <w:p w14:paraId="36E90586" w14:textId="77777777" w:rsidR="00CF72D5" w:rsidRPr="002029AF" w:rsidRDefault="00CF72D5" w:rsidP="00F16765">
            <w:pPr>
              <w:pStyle w:val="ARtabletext"/>
              <w:spacing w:before="40" w:after="30"/>
            </w:pPr>
            <w:r w:rsidRPr="002029AF">
              <w:t>15–24</w:t>
            </w:r>
          </w:p>
        </w:tc>
        <w:tc>
          <w:tcPr>
            <w:tcW w:w="321" w:type="pct"/>
            <w:hideMark/>
          </w:tcPr>
          <w:p w14:paraId="2485A572" w14:textId="77777777" w:rsidR="00CF72D5" w:rsidRPr="002029AF" w:rsidRDefault="00CF72D5" w:rsidP="00F16765">
            <w:pPr>
              <w:pStyle w:val="ARtabletextright"/>
              <w:spacing w:before="40" w:after="30"/>
            </w:pPr>
            <w:r w:rsidRPr="002029AF">
              <w:t>1</w:t>
            </w:r>
          </w:p>
        </w:tc>
        <w:tc>
          <w:tcPr>
            <w:tcW w:w="288" w:type="pct"/>
            <w:hideMark/>
          </w:tcPr>
          <w:p w14:paraId="3628CFFF" w14:textId="77777777" w:rsidR="00CF72D5" w:rsidRPr="002029AF" w:rsidRDefault="00CF72D5" w:rsidP="00F16765">
            <w:pPr>
              <w:pStyle w:val="ARtabletextright"/>
              <w:spacing w:before="40" w:after="30"/>
            </w:pPr>
            <w:r w:rsidRPr="002029AF">
              <w:t>1</w:t>
            </w:r>
          </w:p>
        </w:tc>
        <w:tc>
          <w:tcPr>
            <w:tcW w:w="284" w:type="pct"/>
            <w:hideMark/>
          </w:tcPr>
          <w:p w14:paraId="56C02B59" w14:textId="77777777" w:rsidR="00CF72D5" w:rsidRPr="002029AF" w:rsidRDefault="00CF72D5" w:rsidP="00F16765">
            <w:pPr>
              <w:pStyle w:val="ARtabletextright"/>
              <w:spacing w:before="40" w:after="30"/>
            </w:pPr>
            <w:r w:rsidRPr="002029AF">
              <w:t>1</w:t>
            </w:r>
          </w:p>
        </w:tc>
        <w:tc>
          <w:tcPr>
            <w:tcW w:w="284" w:type="pct"/>
            <w:hideMark/>
          </w:tcPr>
          <w:p w14:paraId="254BDAA3" w14:textId="77777777" w:rsidR="00CF72D5" w:rsidRPr="002029AF" w:rsidRDefault="00CF72D5" w:rsidP="00F16765">
            <w:pPr>
              <w:pStyle w:val="ARtabletextright"/>
              <w:spacing w:before="40" w:after="30"/>
            </w:pPr>
            <w:r w:rsidRPr="002029AF">
              <w:t>0</w:t>
            </w:r>
          </w:p>
        </w:tc>
        <w:tc>
          <w:tcPr>
            <w:tcW w:w="286" w:type="pct"/>
            <w:hideMark/>
          </w:tcPr>
          <w:p w14:paraId="6A0F68DE" w14:textId="77777777" w:rsidR="00CF72D5" w:rsidRPr="002029AF" w:rsidRDefault="00CF72D5" w:rsidP="00F16765">
            <w:pPr>
              <w:pStyle w:val="ARtabletextright"/>
              <w:spacing w:before="40" w:after="30"/>
            </w:pPr>
            <w:r w:rsidRPr="002029AF">
              <w:t>1</w:t>
            </w:r>
          </w:p>
        </w:tc>
        <w:tc>
          <w:tcPr>
            <w:tcW w:w="321" w:type="pct"/>
            <w:hideMark/>
          </w:tcPr>
          <w:p w14:paraId="6C36FBB1" w14:textId="77777777" w:rsidR="00CF72D5" w:rsidRPr="002029AF" w:rsidRDefault="00CF72D5" w:rsidP="00F16765">
            <w:pPr>
              <w:pStyle w:val="ARtabletextright"/>
              <w:spacing w:before="40" w:after="30"/>
            </w:pPr>
            <w:r w:rsidRPr="002029AF">
              <w:t>0</w:t>
            </w:r>
          </w:p>
        </w:tc>
        <w:tc>
          <w:tcPr>
            <w:tcW w:w="285" w:type="pct"/>
            <w:hideMark/>
          </w:tcPr>
          <w:p w14:paraId="1462967C" w14:textId="77777777" w:rsidR="00CF72D5" w:rsidRPr="002029AF" w:rsidRDefault="00CF72D5" w:rsidP="00F16765">
            <w:pPr>
              <w:pStyle w:val="ARtabletextright"/>
              <w:spacing w:before="40" w:after="30"/>
            </w:pPr>
            <w:r w:rsidRPr="002029AF">
              <w:t>0</w:t>
            </w:r>
          </w:p>
        </w:tc>
        <w:tc>
          <w:tcPr>
            <w:tcW w:w="321" w:type="pct"/>
            <w:hideMark/>
          </w:tcPr>
          <w:p w14:paraId="2533DD27" w14:textId="77777777" w:rsidR="00CF72D5" w:rsidRPr="002029AF" w:rsidRDefault="00CF72D5" w:rsidP="00F16765">
            <w:pPr>
              <w:pStyle w:val="ARtabletextright"/>
              <w:spacing w:before="40" w:after="30"/>
            </w:pPr>
            <w:r w:rsidRPr="002029AF">
              <w:t>2</w:t>
            </w:r>
          </w:p>
        </w:tc>
        <w:tc>
          <w:tcPr>
            <w:tcW w:w="285" w:type="pct"/>
            <w:hideMark/>
          </w:tcPr>
          <w:p w14:paraId="51B7ED4B" w14:textId="77777777" w:rsidR="00CF72D5" w:rsidRPr="002029AF" w:rsidRDefault="00CF72D5" w:rsidP="00F16765">
            <w:pPr>
              <w:pStyle w:val="ARtabletextright"/>
              <w:spacing w:before="40" w:after="30"/>
            </w:pPr>
            <w:r w:rsidRPr="002029AF">
              <w:t>2</w:t>
            </w:r>
          </w:p>
        </w:tc>
        <w:tc>
          <w:tcPr>
            <w:tcW w:w="284" w:type="pct"/>
            <w:hideMark/>
          </w:tcPr>
          <w:p w14:paraId="18174511" w14:textId="77777777" w:rsidR="00CF72D5" w:rsidRPr="002029AF" w:rsidRDefault="00CF72D5" w:rsidP="00F16765">
            <w:pPr>
              <w:pStyle w:val="ARtabletextright"/>
              <w:spacing w:before="40" w:after="30"/>
            </w:pPr>
            <w:r w:rsidRPr="002029AF">
              <w:t>2</w:t>
            </w:r>
          </w:p>
        </w:tc>
        <w:tc>
          <w:tcPr>
            <w:tcW w:w="284" w:type="pct"/>
            <w:hideMark/>
          </w:tcPr>
          <w:p w14:paraId="4FC16974" w14:textId="77777777" w:rsidR="00CF72D5" w:rsidRPr="002029AF" w:rsidRDefault="00CF72D5" w:rsidP="00F16765">
            <w:pPr>
              <w:pStyle w:val="ARtabletextright"/>
              <w:spacing w:before="40" w:after="30"/>
            </w:pPr>
            <w:r w:rsidRPr="002029AF">
              <w:t>0</w:t>
            </w:r>
          </w:p>
        </w:tc>
        <w:tc>
          <w:tcPr>
            <w:tcW w:w="286" w:type="pct"/>
            <w:hideMark/>
          </w:tcPr>
          <w:p w14:paraId="49F75D88" w14:textId="77777777" w:rsidR="00CF72D5" w:rsidRPr="002029AF" w:rsidRDefault="00CF72D5" w:rsidP="00F16765">
            <w:pPr>
              <w:pStyle w:val="ARtabletextright"/>
              <w:spacing w:before="40" w:after="30"/>
            </w:pPr>
            <w:r w:rsidRPr="002029AF">
              <w:t>2</w:t>
            </w:r>
          </w:p>
        </w:tc>
        <w:tc>
          <w:tcPr>
            <w:tcW w:w="321" w:type="pct"/>
            <w:hideMark/>
          </w:tcPr>
          <w:p w14:paraId="31CC14CE" w14:textId="77777777" w:rsidR="00CF72D5" w:rsidRPr="002029AF" w:rsidRDefault="00CF72D5" w:rsidP="00F16765">
            <w:pPr>
              <w:pStyle w:val="ARtabletextright"/>
              <w:spacing w:before="40" w:after="30"/>
            </w:pPr>
            <w:r w:rsidRPr="002029AF">
              <w:t>0</w:t>
            </w:r>
          </w:p>
        </w:tc>
        <w:tc>
          <w:tcPr>
            <w:tcW w:w="283" w:type="pct"/>
            <w:hideMark/>
          </w:tcPr>
          <w:p w14:paraId="7D46F9F9" w14:textId="77777777" w:rsidR="00CF72D5" w:rsidRPr="002029AF" w:rsidRDefault="00CF72D5" w:rsidP="00F16765">
            <w:pPr>
              <w:pStyle w:val="ARtabletextright"/>
              <w:spacing w:before="40" w:after="30"/>
            </w:pPr>
            <w:r w:rsidRPr="002029AF">
              <w:t>0</w:t>
            </w:r>
          </w:p>
        </w:tc>
      </w:tr>
      <w:tr w:rsidR="001E768A" w:rsidRPr="002029AF" w14:paraId="04B83CD0" w14:textId="77777777" w:rsidTr="00D015AF">
        <w:tc>
          <w:tcPr>
            <w:tcW w:w="867" w:type="pct"/>
            <w:hideMark/>
          </w:tcPr>
          <w:p w14:paraId="7F48C5CA" w14:textId="77777777" w:rsidR="00CF72D5" w:rsidRPr="002029AF" w:rsidRDefault="00CF72D5" w:rsidP="00F16765">
            <w:pPr>
              <w:pStyle w:val="ARtabletext"/>
              <w:spacing w:before="40" w:after="30"/>
            </w:pPr>
            <w:r w:rsidRPr="002029AF">
              <w:t>25–34</w:t>
            </w:r>
          </w:p>
        </w:tc>
        <w:tc>
          <w:tcPr>
            <w:tcW w:w="321" w:type="pct"/>
            <w:hideMark/>
          </w:tcPr>
          <w:p w14:paraId="25D8CB6C" w14:textId="77777777" w:rsidR="00CF72D5" w:rsidRPr="002029AF" w:rsidRDefault="00CF72D5" w:rsidP="00F16765">
            <w:pPr>
              <w:pStyle w:val="ARtabletextright"/>
              <w:spacing w:before="40" w:after="30"/>
            </w:pPr>
            <w:r w:rsidRPr="002029AF">
              <w:t>32</w:t>
            </w:r>
          </w:p>
        </w:tc>
        <w:tc>
          <w:tcPr>
            <w:tcW w:w="288" w:type="pct"/>
            <w:hideMark/>
          </w:tcPr>
          <w:p w14:paraId="0900BD96" w14:textId="77777777" w:rsidR="00CF72D5" w:rsidRPr="002029AF" w:rsidRDefault="00CF72D5" w:rsidP="00F16765">
            <w:pPr>
              <w:pStyle w:val="ARtabletextright"/>
              <w:spacing w:before="40" w:after="30"/>
            </w:pPr>
            <w:r w:rsidRPr="002029AF">
              <w:t>30.8</w:t>
            </w:r>
          </w:p>
        </w:tc>
        <w:tc>
          <w:tcPr>
            <w:tcW w:w="284" w:type="pct"/>
            <w:hideMark/>
          </w:tcPr>
          <w:p w14:paraId="7C75E4AD" w14:textId="77777777" w:rsidR="00CF72D5" w:rsidRPr="002029AF" w:rsidRDefault="00CF72D5" w:rsidP="00F16765">
            <w:pPr>
              <w:pStyle w:val="ARtabletextright"/>
              <w:spacing w:before="40" w:after="30"/>
            </w:pPr>
            <w:r w:rsidRPr="002029AF">
              <w:t>19</w:t>
            </w:r>
          </w:p>
        </w:tc>
        <w:tc>
          <w:tcPr>
            <w:tcW w:w="284" w:type="pct"/>
            <w:hideMark/>
          </w:tcPr>
          <w:p w14:paraId="51D2C219" w14:textId="77777777" w:rsidR="00CF72D5" w:rsidRPr="002029AF" w:rsidRDefault="00CF72D5" w:rsidP="00F16765">
            <w:pPr>
              <w:pStyle w:val="ARtabletextright"/>
              <w:spacing w:before="40" w:after="30"/>
            </w:pPr>
            <w:r w:rsidRPr="002029AF">
              <w:t>3</w:t>
            </w:r>
          </w:p>
        </w:tc>
        <w:tc>
          <w:tcPr>
            <w:tcW w:w="286" w:type="pct"/>
            <w:hideMark/>
          </w:tcPr>
          <w:p w14:paraId="1D6D1FA9" w14:textId="77777777" w:rsidR="00CF72D5" w:rsidRPr="002029AF" w:rsidRDefault="00CF72D5" w:rsidP="00F16765">
            <w:pPr>
              <w:pStyle w:val="ARtabletextright"/>
              <w:spacing w:before="40" w:after="30"/>
            </w:pPr>
            <w:r w:rsidRPr="002029AF">
              <w:t>21</w:t>
            </w:r>
          </w:p>
        </w:tc>
        <w:tc>
          <w:tcPr>
            <w:tcW w:w="321" w:type="pct"/>
            <w:hideMark/>
          </w:tcPr>
          <w:p w14:paraId="7E64636B" w14:textId="77777777" w:rsidR="00CF72D5" w:rsidRPr="002029AF" w:rsidRDefault="00CF72D5" w:rsidP="00F16765">
            <w:pPr>
              <w:pStyle w:val="ARtabletextright"/>
              <w:spacing w:before="40" w:after="30"/>
            </w:pPr>
            <w:r w:rsidRPr="002029AF">
              <w:t>10</w:t>
            </w:r>
          </w:p>
        </w:tc>
        <w:tc>
          <w:tcPr>
            <w:tcW w:w="285" w:type="pct"/>
            <w:hideMark/>
          </w:tcPr>
          <w:p w14:paraId="6C46F595" w14:textId="77777777" w:rsidR="00CF72D5" w:rsidRPr="002029AF" w:rsidRDefault="00CF72D5" w:rsidP="00F16765">
            <w:pPr>
              <w:pStyle w:val="ARtabletextright"/>
              <w:spacing w:before="40" w:after="30"/>
            </w:pPr>
            <w:r w:rsidRPr="002029AF">
              <w:t>9.8</w:t>
            </w:r>
          </w:p>
        </w:tc>
        <w:tc>
          <w:tcPr>
            <w:tcW w:w="321" w:type="pct"/>
            <w:hideMark/>
          </w:tcPr>
          <w:p w14:paraId="79483CC0" w14:textId="77777777" w:rsidR="00CF72D5" w:rsidRPr="002029AF" w:rsidRDefault="00CF72D5" w:rsidP="00F16765">
            <w:pPr>
              <w:pStyle w:val="ARtabletextright"/>
              <w:spacing w:before="40" w:after="30"/>
            </w:pPr>
            <w:r w:rsidRPr="002029AF">
              <w:t>34</w:t>
            </w:r>
          </w:p>
        </w:tc>
        <w:tc>
          <w:tcPr>
            <w:tcW w:w="285" w:type="pct"/>
            <w:hideMark/>
          </w:tcPr>
          <w:p w14:paraId="634F9A0B" w14:textId="77777777" w:rsidR="00CF72D5" w:rsidRPr="002029AF" w:rsidRDefault="00CF72D5" w:rsidP="00F16765">
            <w:pPr>
              <w:pStyle w:val="ARtabletextright"/>
              <w:spacing w:before="40" w:after="30"/>
            </w:pPr>
            <w:r w:rsidRPr="002029AF">
              <w:t>33</w:t>
            </w:r>
          </w:p>
        </w:tc>
        <w:tc>
          <w:tcPr>
            <w:tcW w:w="284" w:type="pct"/>
            <w:hideMark/>
          </w:tcPr>
          <w:p w14:paraId="7FD5816B" w14:textId="77777777" w:rsidR="00CF72D5" w:rsidRPr="002029AF" w:rsidRDefault="00CF72D5" w:rsidP="00F16765">
            <w:pPr>
              <w:pStyle w:val="ARtabletextright"/>
              <w:spacing w:before="40" w:after="30"/>
            </w:pPr>
            <w:r w:rsidRPr="002029AF">
              <w:t>21</w:t>
            </w:r>
          </w:p>
        </w:tc>
        <w:tc>
          <w:tcPr>
            <w:tcW w:w="284" w:type="pct"/>
            <w:hideMark/>
          </w:tcPr>
          <w:p w14:paraId="3CD2D584" w14:textId="77777777" w:rsidR="00CF72D5" w:rsidRPr="002029AF" w:rsidRDefault="00CF72D5" w:rsidP="00F16765">
            <w:pPr>
              <w:pStyle w:val="ARtabletextright"/>
              <w:spacing w:before="40" w:after="30"/>
            </w:pPr>
            <w:r w:rsidRPr="002029AF">
              <w:t>2</w:t>
            </w:r>
          </w:p>
        </w:tc>
        <w:tc>
          <w:tcPr>
            <w:tcW w:w="286" w:type="pct"/>
            <w:hideMark/>
          </w:tcPr>
          <w:p w14:paraId="7F55F54D" w14:textId="77777777" w:rsidR="00CF72D5" w:rsidRPr="002029AF" w:rsidRDefault="00CF72D5" w:rsidP="00F16765">
            <w:pPr>
              <w:pStyle w:val="ARtabletextright"/>
              <w:spacing w:before="40" w:after="30"/>
            </w:pPr>
            <w:r w:rsidRPr="002029AF">
              <w:t>22.2</w:t>
            </w:r>
          </w:p>
        </w:tc>
        <w:tc>
          <w:tcPr>
            <w:tcW w:w="321" w:type="pct"/>
            <w:hideMark/>
          </w:tcPr>
          <w:p w14:paraId="1FB08EB3" w14:textId="77777777" w:rsidR="00CF72D5" w:rsidRPr="002029AF" w:rsidRDefault="00CF72D5" w:rsidP="00F16765">
            <w:pPr>
              <w:pStyle w:val="ARtabletextright"/>
              <w:spacing w:before="40" w:after="30"/>
            </w:pPr>
            <w:r w:rsidRPr="002029AF">
              <w:t>11</w:t>
            </w:r>
          </w:p>
        </w:tc>
        <w:tc>
          <w:tcPr>
            <w:tcW w:w="283" w:type="pct"/>
            <w:hideMark/>
          </w:tcPr>
          <w:p w14:paraId="535F2917" w14:textId="77777777" w:rsidR="00CF72D5" w:rsidRPr="002029AF" w:rsidRDefault="00CF72D5" w:rsidP="00F16765">
            <w:pPr>
              <w:pStyle w:val="ARtabletextright"/>
              <w:spacing w:before="40" w:after="30"/>
            </w:pPr>
            <w:r w:rsidRPr="002029AF">
              <w:t>10.8</w:t>
            </w:r>
          </w:p>
        </w:tc>
      </w:tr>
      <w:tr w:rsidR="001E768A" w:rsidRPr="002029AF" w14:paraId="12349363" w14:textId="77777777" w:rsidTr="00D015AF">
        <w:tc>
          <w:tcPr>
            <w:tcW w:w="867" w:type="pct"/>
            <w:hideMark/>
          </w:tcPr>
          <w:p w14:paraId="2B01A8CB" w14:textId="77777777" w:rsidR="00CF72D5" w:rsidRPr="002029AF" w:rsidRDefault="00CF72D5" w:rsidP="00F16765">
            <w:pPr>
              <w:pStyle w:val="ARtabletext"/>
              <w:spacing w:before="40" w:after="30"/>
            </w:pPr>
            <w:r w:rsidRPr="002029AF">
              <w:t>35–44</w:t>
            </w:r>
          </w:p>
        </w:tc>
        <w:tc>
          <w:tcPr>
            <w:tcW w:w="321" w:type="pct"/>
            <w:hideMark/>
          </w:tcPr>
          <w:p w14:paraId="79B5342E" w14:textId="77777777" w:rsidR="00CF72D5" w:rsidRPr="002029AF" w:rsidRDefault="00CF72D5" w:rsidP="00F16765">
            <w:pPr>
              <w:pStyle w:val="ARtabletextright"/>
              <w:spacing w:before="40" w:after="30"/>
            </w:pPr>
            <w:r w:rsidRPr="002029AF">
              <w:t>45</w:t>
            </w:r>
          </w:p>
        </w:tc>
        <w:tc>
          <w:tcPr>
            <w:tcW w:w="288" w:type="pct"/>
            <w:hideMark/>
          </w:tcPr>
          <w:p w14:paraId="379FD102" w14:textId="77777777" w:rsidR="00CF72D5" w:rsidRPr="002029AF" w:rsidRDefault="00CF72D5" w:rsidP="00F16765">
            <w:pPr>
              <w:pStyle w:val="ARtabletextright"/>
              <w:spacing w:before="40" w:after="30"/>
            </w:pPr>
            <w:r w:rsidRPr="002029AF">
              <w:t>39.4</w:t>
            </w:r>
          </w:p>
        </w:tc>
        <w:tc>
          <w:tcPr>
            <w:tcW w:w="284" w:type="pct"/>
            <w:hideMark/>
          </w:tcPr>
          <w:p w14:paraId="0921FCCB" w14:textId="77777777" w:rsidR="00CF72D5" w:rsidRPr="002029AF" w:rsidRDefault="00CF72D5" w:rsidP="00F16765">
            <w:pPr>
              <w:pStyle w:val="ARtabletextright"/>
              <w:spacing w:before="40" w:after="30"/>
            </w:pPr>
            <w:r w:rsidRPr="002029AF">
              <w:t>22</w:t>
            </w:r>
          </w:p>
        </w:tc>
        <w:tc>
          <w:tcPr>
            <w:tcW w:w="284" w:type="pct"/>
            <w:hideMark/>
          </w:tcPr>
          <w:p w14:paraId="77EB9AA9" w14:textId="77777777" w:rsidR="00CF72D5" w:rsidRPr="002029AF" w:rsidRDefault="00CF72D5" w:rsidP="00F16765">
            <w:pPr>
              <w:pStyle w:val="ARtabletextright"/>
              <w:spacing w:before="40" w:after="30"/>
            </w:pPr>
            <w:r w:rsidRPr="002029AF">
              <w:t>13</w:t>
            </w:r>
          </w:p>
        </w:tc>
        <w:tc>
          <w:tcPr>
            <w:tcW w:w="286" w:type="pct"/>
            <w:hideMark/>
          </w:tcPr>
          <w:p w14:paraId="249937F6" w14:textId="77777777" w:rsidR="00CF72D5" w:rsidRPr="002029AF" w:rsidRDefault="00CF72D5" w:rsidP="00F16765">
            <w:pPr>
              <w:pStyle w:val="ARtabletextright"/>
              <w:spacing w:before="40" w:after="30"/>
            </w:pPr>
            <w:r w:rsidRPr="002029AF">
              <w:t>30.6</w:t>
            </w:r>
          </w:p>
        </w:tc>
        <w:tc>
          <w:tcPr>
            <w:tcW w:w="321" w:type="pct"/>
            <w:hideMark/>
          </w:tcPr>
          <w:p w14:paraId="2504A7DE" w14:textId="77777777" w:rsidR="00CF72D5" w:rsidRPr="002029AF" w:rsidRDefault="00CF72D5" w:rsidP="00F16765">
            <w:pPr>
              <w:pStyle w:val="ARtabletextright"/>
              <w:spacing w:before="40" w:after="30"/>
            </w:pPr>
            <w:r w:rsidRPr="002029AF">
              <w:t>10</w:t>
            </w:r>
          </w:p>
        </w:tc>
        <w:tc>
          <w:tcPr>
            <w:tcW w:w="285" w:type="pct"/>
            <w:hideMark/>
          </w:tcPr>
          <w:p w14:paraId="3EA8BEC6" w14:textId="77777777" w:rsidR="00CF72D5" w:rsidRPr="002029AF" w:rsidRDefault="00CF72D5" w:rsidP="00F16765">
            <w:pPr>
              <w:pStyle w:val="ARtabletextright"/>
              <w:spacing w:before="40" w:after="30"/>
            </w:pPr>
            <w:r w:rsidRPr="002029AF">
              <w:t>8.8</w:t>
            </w:r>
          </w:p>
        </w:tc>
        <w:tc>
          <w:tcPr>
            <w:tcW w:w="321" w:type="pct"/>
            <w:hideMark/>
          </w:tcPr>
          <w:p w14:paraId="6AAB8493" w14:textId="77777777" w:rsidR="00CF72D5" w:rsidRPr="002029AF" w:rsidRDefault="00CF72D5" w:rsidP="00F16765">
            <w:pPr>
              <w:pStyle w:val="ARtabletextright"/>
              <w:spacing w:before="40" w:after="30"/>
            </w:pPr>
            <w:r w:rsidRPr="002029AF">
              <w:t>47</w:t>
            </w:r>
          </w:p>
        </w:tc>
        <w:tc>
          <w:tcPr>
            <w:tcW w:w="285" w:type="pct"/>
            <w:hideMark/>
          </w:tcPr>
          <w:p w14:paraId="5109E2A7" w14:textId="77777777" w:rsidR="00CF72D5" w:rsidRPr="002029AF" w:rsidRDefault="00CF72D5" w:rsidP="00F16765">
            <w:pPr>
              <w:pStyle w:val="ARtabletextright"/>
              <w:spacing w:before="40" w:after="30"/>
            </w:pPr>
            <w:r w:rsidRPr="002029AF">
              <w:t>42.4</w:t>
            </w:r>
          </w:p>
        </w:tc>
        <w:tc>
          <w:tcPr>
            <w:tcW w:w="284" w:type="pct"/>
            <w:hideMark/>
          </w:tcPr>
          <w:p w14:paraId="0349060D" w14:textId="77777777" w:rsidR="00CF72D5" w:rsidRPr="002029AF" w:rsidRDefault="00CF72D5" w:rsidP="00F16765">
            <w:pPr>
              <w:pStyle w:val="ARtabletextright"/>
              <w:spacing w:before="40" w:after="30"/>
            </w:pPr>
            <w:r w:rsidRPr="002029AF">
              <w:t>20</w:t>
            </w:r>
          </w:p>
        </w:tc>
        <w:tc>
          <w:tcPr>
            <w:tcW w:w="284" w:type="pct"/>
            <w:hideMark/>
          </w:tcPr>
          <w:p w14:paraId="2379CAFC" w14:textId="77777777" w:rsidR="00CF72D5" w:rsidRPr="002029AF" w:rsidRDefault="00CF72D5" w:rsidP="00F16765">
            <w:pPr>
              <w:pStyle w:val="ARtabletextright"/>
              <w:spacing w:before="40" w:after="30"/>
            </w:pPr>
            <w:r w:rsidRPr="002029AF">
              <w:t>12</w:t>
            </w:r>
          </w:p>
        </w:tc>
        <w:tc>
          <w:tcPr>
            <w:tcW w:w="286" w:type="pct"/>
            <w:hideMark/>
          </w:tcPr>
          <w:p w14:paraId="126CEA1D" w14:textId="77777777" w:rsidR="00CF72D5" w:rsidRPr="002029AF" w:rsidRDefault="00CF72D5" w:rsidP="00F16765">
            <w:pPr>
              <w:pStyle w:val="ARtabletextright"/>
              <w:spacing w:before="40" w:after="30"/>
            </w:pPr>
            <w:r w:rsidRPr="002029AF">
              <w:t>29.2</w:t>
            </w:r>
          </w:p>
        </w:tc>
        <w:tc>
          <w:tcPr>
            <w:tcW w:w="321" w:type="pct"/>
            <w:hideMark/>
          </w:tcPr>
          <w:p w14:paraId="775E065D" w14:textId="77777777" w:rsidR="00CF72D5" w:rsidRPr="002029AF" w:rsidRDefault="00CF72D5" w:rsidP="00F16765">
            <w:pPr>
              <w:pStyle w:val="ARtabletextright"/>
              <w:spacing w:before="40" w:after="30"/>
            </w:pPr>
            <w:r w:rsidRPr="002029AF">
              <w:t>15</w:t>
            </w:r>
          </w:p>
        </w:tc>
        <w:tc>
          <w:tcPr>
            <w:tcW w:w="283" w:type="pct"/>
            <w:hideMark/>
          </w:tcPr>
          <w:p w14:paraId="6D2727F3" w14:textId="77777777" w:rsidR="00CF72D5" w:rsidRPr="002029AF" w:rsidRDefault="00CF72D5" w:rsidP="00F16765">
            <w:pPr>
              <w:pStyle w:val="ARtabletextright"/>
              <w:spacing w:before="40" w:after="30"/>
            </w:pPr>
            <w:r w:rsidRPr="002029AF">
              <w:t>13.2</w:t>
            </w:r>
          </w:p>
        </w:tc>
      </w:tr>
      <w:tr w:rsidR="001E768A" w:rsidRPr="002029AF" w14:paraId="7D193CD6" w14:textId="77777777" w:rsidTr="00D015AF">
        <w:tc>
          <w:tcPr>
            <w:tcW w:w="867" w:type="pct"/>
            <w:hideMark/>
          </w:tcPr>
          <w:p w14:paraId="0606E50E" w14:textId="77777777" w:rsidR="00CF72D5" w:rsidRPr="002029AF" w:rsidRDefault="00CF72D5" w:rsidP="00F16765">
            <w:pPr>
              <w:pStyle w:val="ARtabletext"/>
              <w:spacing w:before="40" w:after="30"/>
            </w:pPr>
            <w:r w:rsidRPr="002029AF">
              <w:t>45–54</w:t>
            </w:r>
          </w:p>
        </w:tc>
        <w:tc>
          <w:tcPr>
            <w:tcW w:w="321" w:type="pct"/>
            <w:hideMark/>
          </w:tcPr>
          <w:p w14:paraId="518E0461" w14:textId="77777777" w:rsidR="00CF72D5" w:rsidRPr="002029AF" w:rsidRDefault="00CF72D5" w:rsidP="00F16765">
            <w:pPr>
              <w:pStyle w:val="ARtabletextright"/>
              <w:spacing w:before="40" w:after="30"/>
            </w:pPr>
            <w:r w:rsidRPr="002029AF">
              <w:t>33</w:t>
            </w:r>
          </w:p>
        </w:tc>
        <w:tc>
          <w:tcPr>
            <w:tcW w:w="288" w:type="pct"/>
            <w:hideMark/>
          </w:tcPr>
          <w:p w14:paraId="504AE337" w14:textId="77777777" w:rsidR="00CF72D5" w:rsidRPr="002029AF" w:rsidRDefault="00CF72D5" w:rsidP="00F16765">
            <w:pPr>
              <w:pStyle w:val="ARtabletextright"/>
              <w:spacing w:before="40" w:after="30"/>
            </w:pPr>
            <w:r w:rsidRPr="002029AF">
              <w:t>29.5</w:t>
            </w:r>
          </w:p>
        </w:tc>
        <w:tc>
          <w:tcPr>
            <w:tcW w:w="284" w:type="pct"/>
            <w:hideMark/>
          </w:tcPr>
          <w:p w14:paraId="63FB96FC" w14:textId="77777777" w:rsidR="00CF72D5" w:rsidRPr="002029AF" w:rsidRDefault="00CF72D5" w:rsidP="00F16765">
            <w:pPr>
              <w:pStyle w:val="ARtabletextright"/>
              <w:spacing w:before="40" w:after="30"/>
            </w:pPr>
            <w:r w:rsidRPr="002029AF">
              <w:t>17</w:t>
            </w:r>
          </w:p>
        </w:tc>
        <w:tc>
          <w:tcPr>
            <w:tcW w:w="284" w:type="pct"/>
            <w:hideMark/>
          </w:tcPr>
          <w:p w14:paraId="45DC31DD" w14:textId="77777777" w:rsidR="00CF72D5" w:rsidRPr="002029AF" w:rsidRDefault="00CF72D5" w:rsidP="00F16765">
            <w:pPr>
              <w:pStyle w:val="ARtabletextright"/>
              <w:spacing w:before="40" w:after="30"/>
            </w:pPr>
            <w:r w:rsidRPr="002029AF">
              <w:t>10</w:t>
            </w:r>
          </w:p>
        </w:tc>
        <w:tc>
          <w:tcPr>
            <w:tcW w:w="286" w:type="pct"/>
            <w:hideMark/>
          </w:tcPr>
          <w:p w14:paraId="2B71CFD7" w14:textId="77777777" w:rsidR="00CF72D5" w:rsidRPr="002029AF" w:rsidRDefault="00CF72D5" w:rsidP="00F16765">
            <w:pPr>
              <w:pStyle w:val="ARtabletextright"/>
              <w:spacing w:before="40" w:after="30"/>
            </w:pPr>
            <w:r w:rsidRPr="002029AF">
              <w:t>23.5</w:t>
            </w:r>
          </w:p>
        </w:tc>
        <w:tc>
          <w:tcPr>
            <w:tcW w:w="321" w:type="pct"/>
            <w:hideMark/>
          </w:tcPr>
          <w:p w14:paraId="483F3BCE" w14:textId="77777777" w:rsidR="00CF72D5" w:rsidRPr="002029AF" w:rsidRDefault="00CF72D5" w:rsidP="00F16765">
            <w:pPr>
              <w:pStyle w:val="ARtabletextright"/>
              <w:spacing w:before="40" w:after="30"/>
            </w:pPr>
            <w:r w:rsidRPr="002029AF">
              <w:t>6</w:t>
            </w:r>
          </w:p>
        </w:tc>
        <w:tc>
          <w:tcPr>
            <w:tcW w:w="285" w:type="pct"/>
            <w:hideMark/>
          </w:tcPr>
          <w:p w14:paraId="3CE6195D" w14:textId="77777777" w:rsidR="00CF72D5" w:rsidRPr="002029AF" w:rsidRDefault="00CF72D5" w:rsidP="00F16765">
            <w:pPr>
              <w:pStyle w:val="ARtabletextright"/>
              <w:spacing w:before="40" w:after="30"/>
            </w:pPr>
            <w:r w:rsidRPr="002029AF">
              <w:t>6</w:t>
            </w:r>
          </w:p>
        </w:tc>
        <w:tc>
          <w:tcPr>
            <w:tcW w:w="321" w:type="pct"/>
            <w:hideMark/>
          </w:tcPr>
          <w:p w14:paraId="6267E238" w14:textId="77777777" w:rsidR="00CF72D5" w:rsidRPr="002029AF" w:rsidRDefault="00CF72D5" w:rsidP="00F16765">
            <w:pPr>
              <w:pStyle w:val="ARtabletextright"/>
              <w:spacing w:before="40" w:after="30"/>
            </w:pPr>
            <w:r w:rsidRPr="002029AF">
              <w:t>32</w:t>
            </w:r>
          </w:p>
        </w:tc>
        <w:tc>
          <w:tcPr>
            <w:tcW w:w="285" w:type="pct"/>
            <w:hideMark/>
          </w:tcPr>
          <w:p w14:paraId="465E6B97" w14:textId="77777777" w:rsidR="00CF72D5" w:rsidRPr="002029AF" w:rsidRDefault="00CF72D5" w:rsidP="00F16765">
            <w:pPr>
              <w:pStyle w:val="ARtabletextright"/>
              <w:spacing w:before="40" w:after="30"/>
            </w:pPr>
            <w:r w:rsidRPr="002029AF">
              <w:t>29.3</w:t>
            </w:r>
          </w:p>
        </w:tc>
        <w:tc>
          <w:tcPr>
            <w:tcW w:w="284" w:type="pct"/>
            <w:hideMark/>
          </w:tcPr>
          <w:p w14:paraId="2F525341" w14:textId="77777777" w:rsidR="00CF72D5" w:rsidRPr="002029AF" w:rsidRDefault="00CF72D5" w:rsidP="00F16765">
            <w:pPr>
              <w:pStyle w:val="ARtabletextright"/>
              <w:spacing w:before="40" w:after="30"/>
            </w:pPr>
            <w:r w:rsidRPr="002029AF">
              <w:t>16</w:t>
            </w:r>
          </w:p>
        </w:tc>
        <w:tc>
          <w:tcPr>
            <w:tcW w:w="284" w:type="pct"/>
            <w:hideMark/>
          </w:tcPr>
          <w:p w14:paraId="04509E76" w14:textId="77777777" w:rsidR="00CF72D5" w:rsidRPr="002029AF" w:rsidRDefault="00CF72D5" w:rsidP="00F16765">
            <w:pPr>
              <w:pStyle w:val="ARtabletextright"/>
              <w:spacing w:before="40" w:after="30"/>
            </w:pPr>
            <w:r w:rsidRPr="002029AF">
              <w:t>7</w:t>
            </w:r>
          </w:p>
        </w:tc>
        <w:tc>
          <w:tcPr>
            <w:tcW w:w="286" w:type="pct"/>
            <w:hideMark/>
          </w:tcPr>
          <w:p w14:paraId="23DBD109" w14:textId="77777777" w:rsidR="00CF72D5" w:rsidRPr="002029AF" w:rsidRDefault="00CF72D5" w:rsidP="00F16765">
            <w:pPr>
              <w:pStyle w:val="ARtabletextright"/>
              <w:spacing w:before="40" w:after="30"/>
            </w:pPr>
            <w:r w:rsidRPr="002029AF">
              <w:t>20.8</w:t>
            </w:r>
          </w:p>
        </w:tc>
        <w:tc>
          <w:tcPr>
            <w:tcW w:w="321" w:type="pct"/>
            <w:hideMark/>
          </w:tcPr>
          <w:p w14:paraId="42EF1AA4" w14:textId="77777777" w:rsidR="00CF72D5" w:rsidRPr="002029AF" w:rsidRDefault="00CF72D5" w:rsidP="00F16765">
            <w:pPr>
              <w:pStyle w:val="ARtabletextright"/>
              <w:spacing w:before="40" w:after="30"/>
            </w:pPr>
            <w:r w:rsidRPr="002029AF">
              <w:t>9</w:t>
            </w:r>
          </w:p>
        </w:tc>
        <w:tc>
          <w:tcPr>
            <w:tcW w:w="283" w:type="pct"/>
            <w:hideMark/>
          </w:tcPr>
          <w:p w14:paraId="69DDCD48" w14:textId="77777777" w:rsidR="00CF72D5" w:rsidRPr="002029AF" w:rsidRDefault="00CF72D5" w:rsidP="00F16765">
            <w:pPr>
              <w:pStyle w:val="ARtabletextright"/>
              <w:spacing w:before="40" w:after="30"/>
            </w:pPr>
            <w:r w:rsidRPr="002029AF">
              <w:t>8.5</w:t>
            </w:r>
          </w:p>
        </w:tc>
      </w:tr>
      <w:tr w:rsidR="001E768A" w:rsidRPr="002029AF" w14:paraId="78EC6A9F" w14:textId="77777777" w:rsidTr="00D015AF">
        <w:tc>
          <w:tcPr>
            <w:tcW w:w="867" w:type="pct"/>
            <w:hideMark/>
          </w:tcPr>
          <w:p w14:paraId="4C3FDD58" w14:textId="77777777" w:rsidR="00CF72D5" w:rsidRPr="002029AF" w:rsidRDefault="00CF72D5" w:rsidP="00F16765">
            <w:pPr>
              <w:pStyle w:val="ARtabletext"/>
              <w:spacing w:before="40" w:after="30"/>
            </w:pPr>
            <w:r w:rsidRPr="002029AF">
              <w:t>55–64</w:t>
            </w:r>
          </w:p>
        </w:tc>
        <w:tc>
          <w:tcPr>
            <w:tcW w:w="321" w:type="pct"/>
            <w:hideMark/>
          </w:tcPr>
          <w:p w14:paraId="491B5FB2" w14:textId="77777777" w:rsidR="00CF72D5" w:rsidRPr="002029AF" w:rsidRDefault="00CF72D5" w:rsidP="00F16765">
            <w:pPr>
              <w:pStyle w:val="ARtabletextright"/>
              <w:spacing w:before="40" w:after="30"/>
            </w:pPr>
            <w:r w:rsidRPr="002029AF">
              <w:t>13</w:t>
            </w:r>
          </w:p>
        </w:tc>
        <w:tc>
          <w:tcPr>
            <w:tcW w:w="288" w:type="pct"/>
            <w:hideMark/>
          </w:tcPr>
          <w:p w14:paraId="3A330AA1" w14:textId="77777777" w:rsidR="00CF72D5" w:rsidRPr="002029AF" w:rsidRDefault="00CF72D5" w:rsidP="00F16765">
            <w:pPr>
              <w:pStyle w:val="ARtabletextright"/>
              <w:spacing w:before="40" w:after="30"/>
            </w:pPr>
            <w:r w:rsidRPr="002029AF">
              <w:t>11.5</w:t>
            </w:r>
          </w:p>
        </w:tc>
        <w:tc>
          <w:tcPr>
            <w:tcW w:w="284" w:type="pct"/>
            <w:hideMark/>
          </w:tcPr>
          <w:p w14:paraId="532B8998" w14:textId="77777777" w:rsidR="00CF72D5" w:rsidRPr="002029AF" w:rsidRDefault="00CF72D5" w:rsidP="00F16765">
            <w:pPr>
              <w:pStyle w:val="ARtabletextright"/>
              <w:spacing w:before="40" w:after="30"/>
            </w:pPr>
            <w:r w:rsidRPr="002029AF">
              <w:t>5</w:t>
            </w:r>
          </w:p>
        </w:tc>
        <w:tc>
          <w:tcPr>
            <w:tcW w:w="284" w:type="pct"/>
            <w:hideMark/>
          </w:tcPr>
          <w:p w14:paraId="484A7485" w14:textId="77777777" w:rsidR="00CF72D5" w:rsidRPr="002029AF" w:rsidRDefault="00CF72D5" w:rsidP="00F16765">
            <w:pPr>
              <w:pStyle w:val="ARtabletextright"/>
              <w:spacing w:before="40" w:after="30"/>
            </w:pPr>
            <w:r w:rsidRPr="002029AF">
              <w:t>6</w:t>
            </w:r>
          </w:p>
        </w:tc>
        <w:tc>
          <w:tcPr>
            <w:tcW w:w="286" w:type="pct"/>
            <w:hideMark/>
          </w:tcPr>
          <w:p w14:paraId="6B64E629" w14:textId="77777777" w:rsidR="00CF72D5" w:rsidRPr="002029AF" w:rsidRDefault="00CF72D5" w:rsidP="00F16765">
            <w:pPr>
              <w:pStyle w:val="ARtabletextright"/>
              <w:spacing w:before="40" w:after="30"/>
            </w:pPr>
            <w:r w:rsidRPr="002029AF">
              <w:t>9.5</w:t>
            </w:r>
          </w:p>
        </w:tc>
        <w:tc>
          <w:tcPr>
            <w:tcW w:w="321" w:type="pct"/>
            <w:hideMark/>
          </w:tcPr>
          <w:p w14:paraId="18DE968D" w14:textId="77777777" w:rsidR="00CF72D5" w:rsidRPr="002029AF" w:rsidRDefault="00CF72D5" w:rsidP="00F16765">
            <w:pPr>
              <w:pStyle w:val="ARtabletextright"/>
              <w:spacing w:before="40" w:after="30"/>
            </w:pPr>
            <w:r w:rsidRPr="002029AF">
              <w:t>2</w:t>
            </w:r>
          </w:p>
        </w:tc>
        <w:tc>
          <w:tcPr>
            <w:tcW w:w="285" w:type="pct"/>
            <w:hideMark/>
          </w:tcPr>
          <w:p w14:paraId="2E42692E" w14:textId="77777777" w:rsidR="00CF72D5" w:rsidRPr="002029AF" w:rsidRDefault="00CF72D5" w:rsidP="00F16765">
            <w:pPr>
              <w:pStyle w:val="ARtabletextright"/>
              <w:spacing w:before="40" w:after="30"/>
            </w:pPr>
            <w:r w:rsidRPr="002029AF">
              <w:t>2</w:t>
            </w:r>
          </w:p>
        </w:tc>
        <w:tc>
          <w:tcPr>
            <w:tcW w:w="321" w:type="pct"/>
            <w:hideMark/>
          </w:tcPr>
          <w:p w14:paraId="44C9C7E7" w14:textId="77777777" w:rsidR="00CF72D5" w:rsidRPr="002029AF" w:rsidRDefault="00CF72D5" w:rsidP="00F16765">
            <w:pPr>
              <w:pStyle w:val="ARtabletextright"/>
              <w:spacing w:before="40" w:after="30"/>
            </w:pPr>
            <w:r w:rsidRPr="002029AF">
              <w:t>14</w:t>
            </w:r>
          </w:p>
        </w:tc>
        <w:tc>
          <w:tcPr>
            <w:tcW w:w="285" w:type="pct"/>
            <w:hideMark/>
          </w:tcPr>
          <w:p w14:paraId="0C06B99F" w14:textId="77777777" w:rsidR="00CF72D5" w:rsidRPr="002029AF" w:rsidRDefault="00CF72D5" w:rsidP="00F16765">
            <w:pPr>
              <w:pStyle w:val="ARtabletextright"/>
              <w:spacing w:before="40" w:after="30"/>
            </w:pPr>
            <w:r w:rsidRPr="002029AF">
              <w:t>11.9</w:t>
            </w:r>
          </w:p>
        </w:tc>
        <w:tc>
          <w:tcPr>
            <w:tcW w:w="284" w:type="pct"/>
            <w:hideMark/>
          </w:tcPr>
          <w:p w14:paraId="790BADEC" w14:textId="77777777" w:rsidR="00CF72D5" w:rsidRPr="002029AF" w:rsidRDefault="00CF72D5" w:rsidP="00F16765">
            <w:pPr>
              <w:pStyle w:val="ARtabletextright"/>
              <w:spacing w:before="40" w:after="30"/>
            </w:pPr>
            <w:r w:rsidRPr="002029AF">
              <w:t>4</w:t>
            </w:r>
          </w:p>
        </w:tc>
        <w:tc>
          <w:tcPr>
            <w:tcW w:w="284" w:type="pct"/>
            <w:hideMark/>
          </w:tcPr>
          <w:p w14:paraId="501C3A88" w14:textId="77777777" w:rsidR="00CF72D5" w:rsidRPr="002029AF" w:rsidRDefault="00CF72D5" w:rsidP="00F16765">
            <w:pPr>
              <w:pStyle w:val="ARtabletextright"/>
              <w:spacing w:before="40" w:after="30"/>
            </w:pPr>
            <w:r w:rsidRPr="002029AF">
              <w:t>6</w:t>
            </w:r>
          </w:p>
        </w:tc>
        <w:tc>
          <w:tcPr>
            <w:tcW w:w="286" w:type="pct"/>
            <w:hideMark/>
          </w:tcPr>
          <w:p w14:paraId="65FE60BA" w14:textId="77777777" w:rsidR="00CF72D5" w:rsidRPr="002029AF" w:rsidRDefault="00CF72D5" w:rsidP="00F16765">
            <w:pPr>
              <w:pStyle w:val="ARtabletextright"/>
              <w:spacing w:before="40" w:after="30"/>
            </w:pPr>
            <w:r w:rsidRPr="002029AF">
              <w:t>7.9</w:t>
            </w:r>
          </w:p>
        </w:tc>
        <w:tc>
          <w:tcPr>
            <w:tcW w:w="321" w:type="pct"/>
            <w:hideMark/>
          </w:tcPr>
          <w:p w14:paraId="6AD199EE" w14:textId="77777777" w:rsidR="00CF72D5" w:rsidRPr="002029AF" w:rsidRDefault="00CF72D5" w:rsidP="00F16765">
            <w:pPr>
              <w:pStyle w:val="ARtabletextright"/>
              <w:spacing w:before="40" w:after="30"/>
            </w:pPr>
            <w:r w:rsidRPr="002029AF">
              <w:t>4</w:t>
            </w:r>
          </w:p>
        </w:tc>
        <w:tc>
          <w:tcPr>
            <w:tcW w:w="283" w:type="pct"/>
            <w:hideMark/>
          </w:tcPr>
          <w:p w14:paraId="060B41EA" w14:textId="77777777" w:rsidR="00CF72D5" w:rsidRPr="002029AF" w:rsidRDefault="00CF72D5" w:rsidP="00F16765">
            <w:pPr>
              <w:pStyle w:val="ARtabletextright"/>
              <w:spacing w:before="40" w:after="30"/>
            </w:pPr>
            <w:r w:rsidRPr="002029AF">
              <w:t>4</w:t>
            </w:r>
          </w:p>
        </w:tc>
      </w:tr>
      <w:tr w:rsidR="001E768A" w:rsidRPr="002029AF" w14:paraId="3FAAE837" w14:textId="77777777" w:rsidTr="00D015AF">
        <w:tc>
          <w:tcPr>
            <w:tcW w:w="867" w:type="pct"/>
            <w:hideMark/>
          </w:tcPr>
          <w:p w14:paraId="20C353F1" w14:textId="77777777" w:rsidR="00CF72D5" w:rsidRPr="002029AF" w:rsidRDefault="00CF72D5" w:rsidP="00F16765">
            <w:pPr>
              <w:pStyle w:val="ARtabletext"/>
              <w:spacing w:before="40" w:after="30"/>
            </w:pPr>
            <w:r w:rsidRPr="002029AF">
              <w:t>65+</w:t>
            </w:r>
          </w:p>
        </w:tc>
        <w:tc>
          <w:tcPr>
            <w:tcW w:w="321" w:type="pct"/>
            <w:hideMark/>
          </w:tcPr>
          <w:p w14:paraId="007819E6" w14:textId="77777777" w:rsidR="00CF72D5" w:rsidRPr="002029AF" w:rsidRDefault="00CF72D5" w:rsidP="00F16765">
            <w:pPr>
              <w:pStyle w:val="ARtabletextright"/>
              <w:spacing w:before="40" w:after="30"/>
            </w:pPr>
            <w:r w:rsidRPr="002029AF">
              <w:t>1</w:t>
            </w:r>
          </w:p>
        </w:tc>
        <w:tc>
          <w:tcPr>
            <w:tcW w:w="288" w:type="pct"/>
            <w:hideMark/>
          </w:tcPr>
          <w:p w14:paraId="1A863BC3" w14:textId="77777777" w:rsidR="00CF72D5" w:rsidRPr="002029AF" w:rsidRDefault="00CF72D5" w:rsidP="00F16765">
            <w:pPr>
              <w:pStyle w:val="ARtabletextright"/>
              <w:spacing w:before="40" w:after="30"/>
            </w:pPr>
            <w:r w:rsidRPr="002029AF">
              <w:t>0.7</w:t>
            </w:r>
          </w:p>
        </w:tc>
        <w:tc>
          <w:tcPr>
            <w:tcW w:w="284" w:type="pct"/>
            <w:hideMark/>
          </w:tcPr>
          <w:p w14:paraId="2AAF6BF4" w14:textId="77777777" w:rsidR="00CF72D5" w:rsidRPr="002029AF" w:rsidRDefault="00CF72D5" w:rsidP="00F16765">
            <w:pPr>
              <w:pStyle w:val="ARtabletextright"/>
              <w:spacing w:before="40" w:after="30"/>
            </w:pPr>
            <w:r w:rsidRPr="002029AF">
              <w:t>0</w:t>
            </w:r>
          </w:p>
        </w:tc>
        <w:tc>
          <w:tcPr>
            <w:tcW w:w="284" w:type="pct"/>
            <w:hideMark/>
          </w:tcPr>
          <w:p w14:paraId="26CD32E4" w14:textId="77777777" w:rsidR="00CF72D5" w:rsidRPr="002029AF" w:rsidRDefault="00CF72D5" w:rsidP="00F16765">
            <w:pPr>
              <w:pStyle w:val="ARtabletextright"/>
              <w:spacing w:before="40" w:after="30"/>
            </w:pPr>
            <w:r w:rsidRPr="002029AF">
              <w:t>1</w:t>
            </w:r>
          </w:p>
        </w:tc>
        <w:tc>
          <w:tcPr>
            <w:tcW w:w="286" w:type="pct"/>
            <w:hideMark/>
          </w:tcPr>
          <w:p w14:paraId="29261C59" w14:textId="77777777" w:rsidR="00CF72D5" w:rsidRPr="002029AF" w:rsidRDefault="00CF72D5" w:rsidP="00F16765">
            <w:pPr>
              <w:pStyle w:val="ARtabletextright"/>
              <w:spacing w:before="40" w:after="30"/>
            </w:pPr>
            <w:r w:rsidRPr="002029AF">
              <w:t>0.7</w:t>
            </w:r>
          </w:p>
        </w:tc>
        <w:tc>
          <w:tcPr>
            <w:tcW w:w="321" w:type="pct"/>
            <w:hideMark/>
          </w:tcPr>
          <w:p w14:paraId="361A576A" w14:textId="77777777" w:rsidR="00CF72D5" w:rsidRPr="002029AF" w:rsidRDefault="00CF72D5" w:rsidP="00F16765">
            <w:pPr>
              <w:pStyle w:val="ARtabletextright"/>
              <w:spacing w:before="40" w:after="30"/>
            </w:pPr>
            <w:r w:rsidRPr="002029AF">
              <w:t>0</w:t>
            </w:r>
          </w:p>
        </w:tc>
        <w:tc>
          <w:tcPr>
            <w:tcW w:w="285" w:type="pct"/>
            <w:hideMark/>
          </w:tcPr>
          <w:p w14:paraId="2B984DDF" w14:textId="77777777" w:rsidR="00CF72D5" w:rsidRPr="002029AF" w:rsidRDefault="00CF72D5" w:rsidP="00F16765">
            <w:pPr>
              <w:pStyle w:val="ARtabletextright"/>
              <w:spacing w:before="40" w:after="30"/>
            </w:pPr>
            <w:r w:rsidRPr="002029AF">
              <w:t>0</w:t>
            </w:r>
          </w:p>
        </w:tc>
        <w:tc>
          <w:tcPr>
            <w:tcW w:w="321" w:type="pct"/>
            <w:hideMark/>
          </w:tcPr>
          <w:p w14:paraId="0CF02368" w14:textId="77777777" w:rsidR="00CF72D5" w:rsidRPr="002029AF" w:rsidRDefault="00CF72D5" w:rsidP="00F16765">
            <w:pPr>
              <w:pStyle w:val="ARtabletextright"/>
              <w:spacing w:before="40" w:after="30"/>
            </w:pPr>
            <w:r w:rsidRPr="002029AF">
              <w:t>2</w:t>
            </w:r>
          </w:p>
        </w:tc>
        <w:tc>
          <w:tcPr>
            <w:tcW w:w="285" w:type="pct"/>
            <w:hideMark/>
          </w:tcPr>
          <w:p w14:paraId="738AF384" w14:textId="77777777" w:rsidR="00CF72D5" w:rsidRPr="002029AF" w:rsidRDefault="00CF72D5" w:rsidP="00F16765">
            <w:pPr>
              <w:pStyle w:val="ARtabletextright"/>
              <w:spacing w:before="40" w:after="30"/>
            </w:pPr>
            <w:r w:rsidRPr="002029AF">
              <w:t>1.7</w:t>
            </w:r>
          </w:p>
        </w:tc>
        <w:tc>
          <w:tcPr>
            <w:tcW w:w="284" w:type="pct"/>
            <w:hideMark/>
          </w:tcPr>
          <w:p w14:paraId="34AD0BA3" w14:textId="77777777" w:rsidR="00CF72D5" w:rsidRPr="002029AF" w:rsidRDefault="00CF72D5" w:rsidP="00F16765">
            <w:pPr>
              <w:pStyle w:val="ARtabletextright"/>
              <w:spacing w:before="40" w:after="30"/>
            </w:pPr>
            <w:r w:rsidRPr="002029AF">
              <w:t>1</w:t>
            </w:r>
          </w:p>
        </w:tc>
        <w:tc>
          <w:tcPr>
            <w:tcW w:w="284" w:type="pct"/>
            <w:hideMark/>
          </w:tcPr>
          <w:p w14:paraId="6DA42947" w14:textId="77777777" w:rsidR="00CF72D5" w:rsidRPr="002029AF" w:rsidRDefault="00CF72D5" w:rsidP="00F16765">
            <w:pPr>
              <w:pStyle w:val="ARtabletextright"/>
              <w:spacing w:before="40" w:after="30"/>
            </w:pPr>
            <w:r w:rsidRPr="002029AF">
              <w:t>1</w:t>
            </w:r>
          </w:p>
        </w:tc>
        <w:tc>
          <w:tcPr>
            <w:tcW w:w="286" w:type="pct"/>
            <w:hideMark/>
          </w:tcPr>
          <w:p w14:paraId="4DD08A6B" w14:textId="77777777" w:rsidR="00CF72D5" w:rsidRPr="002029AF" w:rsidRDefault="00CF72D5" w:rsidP="00F16765">
            <w:pPr>
              <w:pStyle w:val="ARtabletextright"/>
              <w:spacing w:before="40" w:after="30"/>
            </w:pPr>
            <w:r w:rsidRPr="002029AF">
              <w:t>1.7</w:t>
            </w:r>
          </w:p>
        </w:tc>
        <w:tc>
          <w:tcPr>
            <w:tcW w:w="321" w:type="pct"/>
            <w:hideMark/>
          </w:tcPr>
          <w:p w14:paraId="545B0E00" w14:textId="77777777" w:rsidR="00CF72D5" w:rsidRPr="002029AF" w:rsidRDefault="00CF72D5" w:rsidP="00F16765">
            <w:pPr>
              <w:pStyle w:val="ARtabletextright"/>
              <w:spacing w:before="40" w:after="30"/>
            </w:pPr>
            <w:r w:rsidRPr="002029AF">
              <w:t>0</w:t>
            </w:r>
          </w:p>
        </w:tc>
        <w:tc>
          <w:tcPr>
            <w:tcW w:w="283" w:type="pct"/>
            <w:hideMark/>
          </w:tcPr>
          <w:p w14:paraId="4434FBC1" w14:textId="77777777" w:rsidR="00CF72D5" w:rsidRPr="002029AF" w:rsidRDefault="00CF72D5" w:rsidP="00F16765">
            <w:pPr>
              <w:pStyle w:val="ARtabletextright"/>
              <w:spacing w:before="40" w:after="30"/>
            </w:pPr>
            <w:r w:rsidRPr="002029AF">
              <w:t>0</w:t>
            </w:r>
          </w:p>
        </w:tc>
      </w:tr>
      <w:tr w:rsidR="00CB1D1C" w:rsidRPr="002029AF" w14:paraId="78032D26" w14:textId="77777777" w:rsidTr="00D015AF">
        <w:tc>
          <w:tcPr>
            <w:tcW w:w="5000" w:type="pct"/>
            <w:gridSpan w:val="15"/>
            <w:hideMark/>
          </w:tcPr>
          <w:p w14:paraId="2542354A" w14:textId="73136332" w:rsidR="00CB1D1C" w:rsidRPr="002029AF" w:rsidRDefault="00CB1D1C" w:rsidP="00F16765">
            <w:pPr>
              <w:pStyle w:val="ARtablesubhead"/>
              <w:spacing w:before="40" w:after="30"/>
            </w:pPr>
            <w:r w:rsidRPr="002029AF">
              <w:t>Classification</w:t>
            </w:r>
          </w:p>
        </w:tc>
      </w:tr>
      <w:tr w:rsidR="001E768A" w:rsidRPr="002029AF" w14:paraId="21270F7B" w14:textId="77777777" w:rsidTr="00D015AF">
        <w:tc>
          <w:tcPr>
            <w:tcW w:w="867" w:type="pct"/>
            <w:hideMark/>
          </w:tcPr>
          <w:p w14:paraId="2CE7FFC5" w14:textId="14FAE5D6" w:rsidR="00CF72D5" w:rsidRPr="002029AF" w:rsidRDefault="00CF72D5" w:rsidP="00F16765">
            <w:pPr>
              <w:pStyle w:val="ARtabletext"/>
              <w:spacing w:before="40" w:after="30"/>
            </w:pPr>
            <w:r w:rsidRPr="002029AF">
              <w:t>VPS</w:t>
            </w:r>
            <w:r w:rsidR="000A5329" w:rsidRPr="002029AF">
              <w:t xml:space="preserve"> </w:t>
            </w:r>
            <w:r w:rsidRPr="002029AF">
              <w:t>2</w:t>
            </w:r>
          </w:p>
        </w:tc>
        <w:tc>
          <w:tcPr>
            <w:tcW w:w="321" w:type="pct"/>
            <w:hideMark/>
          </w:tcPr>
          <w:p w14:paraId="5B4BF0DF" w14:textId="77777777" w:rsidR="00CF72D5" w:rsidRPr="002029AF" w:rsidRDefault="00CF72D5" w:rsidP="00F16765">
            <w:pPr>
              <w:pStyle w:val="ARtabletextright"/>
              <w:spacing w:before="40" w:after="30"/>
            </w:pPr>
            <w:r w:rsidRPr="002029AF">
              <w:t>1</w:t>
            </w:r>
          </w:p>
        </w:tc>
        <w:tc>
          <w:tcPr>
            <w:tcW w:w="288" w:type="pct"/>
            <w:hideMark/>
          </w:tcPr>
          <w:p w14:paraId="0B647FB8" w14:textId="77777777" w:rsidR="00CF72D5" w:rsidRPr="002029AF" w:rsidRDefault="00CF72D5" w:rsidP="00F16765">
            <w:pPr>
              <w:pStyle w:val="ARtabletextright"/>
              <w:spacing w:before="40" w:after="30"/>
            </w:pPr>
            <w:r w:rsidRPr="002029AF">
              <w:t>1</w:t>
            </w:r>
          </w:p>
        </w:tc>
        <w:tc>
          <w:tcPr>
            <w:tcW w:w="284" w:type="pct"/>
            <w:hideMark/>
          </w:tcPr>
          <w:p w14:paraId="29846E1E" w14:textId="77777777" w:rsidR="00CF72D5" w:rsidRPr="002029AF" w:rsidRDefault="00CF72D5" w:rsidP="00F16765">
            <w:pPr>
              <w:pStyle w:val="ARtabletextright"/>
              <w:spacing w:before="40" w:after="30"/>
            </w:pPr>
            <w:r w:rsidRPr="002029AF">
              <w:t>1</w:t>
            </w:r>
          </w:p>
        </w:tc>
        <w:tc>
          <w:tcPr>
            <w:tcW w:w="284" w:type="pct"/>
            <w:hideMark/>
          </w:tcPr>
          <w:p w14:paraId="5881382F" w14:textId="77777777" w:rsidR="00CF72D5" w:rsidRPr="002029AF" w:rsidRDefault="00CF72D5" w:rsidP="00F16765">
            <w:pPr>
              <w:pStyle w:val="ARtabletextright"/>
              <w:spacing w:before="40" w:after="30"/>
            </w:pPr>
            <w:r w:rsidRPr="002029AF">
              <w:t>0</w:t>
            </w:r>
          </w:p>
        </w:tc>
        <w:tc>
          <w:tcPr>
            <w:tcW w:w="286" w:type="pct"/>
            <w:hideMark/>
          </w:tcPr>
          <w:p w14:paraId="70554142" w14:textId="77777777" w:rsidR="00CF72D5" w:rsidRPr="002029AF" w:rsidRDefault="00CF72D5" w:rsidP="00F16765">
            <w:pPr>
              <w:pStyle w:val="ARtabletextright"/>
              <w:spacing w:before="40" w:after="30"/>
            </w:pPr>
            <w:r w:rsidRPr="002029AF">
              <w:t>1</w:t>
            </w:r>
          </w:p>
        </w:tc>
        <w:tc>
          <w:tcPr>
            <w:tcW w:w="321" w:type="pct"/>
            <w:hideMark/>
          </w:tcPr>
          <w:p w14:paraId="11B5672F" w14:textId="77777777" w:rsidR="00CF72D5" w:rsidRPr="002029AF" w:rsidRDefault="00CF72D5" w:rsidP="00F16765">
            <w:pPr>
              <w:pStyle w:val="ARtabletextright"/>
              <w:spacing w:before="40" w:after="30"/>
            </w:pPr>
            <w:r w:rsidRPr="002029AF">
              <w:t>0</w:t>
            </w:r>
          </w:p>
        </w:tc>
        <w:tc>
          <w:tcPr>
            <w:tcW w:w="285" w:type="pct"/>
            <w:hideMark/>
          </w:tcPr>
          <w:p w14:paraId="77442041" w14:textId="77777777" w:rsidR="00CF72D5" w:rsidRPr="002029AF" w:rsidRDefault="00CF72D5" w:rsidP="00F16765">
            <w:pPr>
              <w:pStyle w:val="ARtabletextright"/>
              <w:spacing w:before="40" w:after="30"/>
            </w:pPr>
            <w:r w:rsidRPr="002029AF">
              <w:t>0</w:t>
            </w:r>
          </w:p>
        </w:tc>
        <w:tc>
          <w:tcPr>
            <w:tcW w:w="321" w:type="pct"/>
            <w:hideMark/>
          </w:tcPr>
          <w:p w14:paraId="0B9667EF" w14:textId="77777777" w:rsidR="00CF72D5" w:rsidRPr="002029AF" w:rsidRDefault="00CF72D5" w:rsidP="00F16765">
            <w:pPr>
              <w:pStyle w:val="ARtabletextright"/>
              <w:spacing w:before="40" w:after="30"/>
            </w:pPr>
            <w:r w:rsidRPr="002029AF">
              <w:t>1</w:t>
            </w:r>
          </w:p>
        </w:tc>
        <w:tc>
          <w:tcPr>
            <w:tcW w:w="285" w:type="pct"/>
            <w:hideMark/>
          </w:tcPr>
          <w:p w14:paraId="241DFB4A" w14:textId="77777777" w:rsidR="00CF72D5" w:rsidRPr="002029AF" w:rsidRDefault="00CF72D5" w:rsidP="00F16765">
            <w:pPr>
              <w:pStyle w:val="ARtabletextright"/>
              <w:spacing w:before="40" w:after="30"/>
            </w:pPr>
            <w:r w:rsidRPr="002029AF">
              <w:t>1</w:t>
            </w:r>
          </w:p>
        </w:tc>
        <w:tc>
          <w:tcPr>
            <w:tcW w:w="284" w:type="pct"/>
            <w:hideMark/>
          </w:tcPr>
          <w:p w14:paraId="2D3E19F4" w14:textId="77777777" w:rsidR="00CF72D5" w:rsidRPr="002029AF" w:rsidRDefault="00CF72D5" w:rsidP="00F16765">
            <w:pPr>
              <w:pStyle w:val="ARtabletextright"/>
              <w:spacing w:before="40" w:after="30"/>
            </w:pPr>
            <w:r w:rsidRPr="002029AF">
              <w:t>1</w:t>
            </w:r>
          </w:p>
        </w:tc>
        <w:tc>
          <w:tcPr>
            <w:tcW w:w="284" w:type="pct"/>
            <w:hideMark/>
          </w:tcPr>
          <w:p w14:paraId="427677D6" w14:textId="77777777" w:rsidR="00CF72D5" w:rsidRPr="002029AF" w:rsidRDefault="00CF72D5" w:rsidP="00F16765">
            <w:pPr>
              <w:pStyle w:val="ARtabletextright"/>
              <w:spacing w:before="40" w:after="30"/>
            </w:pPr>
            <w:r w:rsidRPr="002029AF">
              <w:t>0</w:t>
            </w:r>
          </w:p>
        </w:tc>
        <w:tc>
          <w:tcPr>
            <w:tcW w:w="286" w:type="pct"/>
            <w:hideMark/>
          </w:tcPr>
          <w:p w14:paraId="55E0308C" w14:textId="77777777" w:rsidR="00CF72D5" w:rsidRPr="002029AF" w:rsidRDefault="00CF72D5" w:rsidP="00F16765">
            <w:pPr>
              <w:pStyle w:val="ARtabletextright"/>
              <w:spacing w:before="40" w:after="30"/>
            </w:pPr>
            <w:r w:rsidRPr="002029AF">
              <w:t>1</w:t>
            </w:r>
          </w:p>
        </w:tc>
        <w:tc>
          <w:tcPr>
            <w:tcW w:w="321" w:type="pct"/>
            <w:hideMark/>
          </w:tcPr>
          <w:p w14:paraId="14B3429A" w14:textId="77777777" w:rsidR="00CF72D5" w:rsidRPr="002029AF" w:rsidRDefault="00CF72D5" w:rsidP="00F16765">
            <w:pPr>
              <w:pStyle w:val="ARtabletextright"/>
              <w:spacing w:before="40" w:after="30"/>
            </w:pPr>
            <w:r w:rsidRPr="002029AF">
              <w:t>0</w:t>
            </w:r>
          </w:p>
        </w:tc>
        <w:tc>
          <w:tcPr>
            <w:tcW w:w="283" w:type="pct"/>
            <w:hideMark/>
          </w:tcPr>
          <w:p w14:paraId="3C0EDC52" w14:textId="77777777" w:rsidR="00CF72D5" w:rsidRPr="002029AF" w:rsidRDefault="00CF72D5" w:rsidP="00F16765">
            <w:pPr>
              <w:pStyle w:val="ARtabletextright"/>
              <w:spacing w:before="40" w:after="30"/>
            </w:pPr>
            <w:r w:rsidRPr="002029AF">
              <w:t>0</w:t>
            </w:r>
          </w:p>
        </w:tc>
      </w:tr>
      <w:tr w:rsidR="001E768A" w:rsidRPr="002029AF" w14:paraId="140F45B2" w14:textId="77777777" w:rsidTr="00D015AF">
        <w:tc>
          <w:tcPr>
            <w:tcW w:w="867" w:type="pct"/>
            <w:hideMark/>
          </w:tcPr>
          <w:p w14:paraId="7289A56A" w14:textId="309F7D41" w:rsidR="00CF72D5" w:rsidRPr="002029AF" w:rsidRDefault="00CF72D5" w:rsidP="00F16765">
            <w:pPr>
              <w:pStyle w:val="ARtabletext"/>
              <w:spacing w:before="40" w:after="30"/>
            </w:pPr>
            <w:r w:rsidRPr="002029AF">
              <w:t>VPS</w:t>
            </w:r>
            <w:r w:rsidR="000A5329" w:rsidRPr="002029AF">
              <w:t xml:space="preserve"> </w:t>
            </w:r>
            <w:r w:rsidRPr="002029AF">
              <w:t>3</w:t>
            </w:r>
          </w:p>
        </w:tc>
        <w:tc>
          <w:tcPr>
            <w:tcW w:w="321" w:type="pct"/>
            <w:hideMark/>
          </w:tcPr>
          <w:p w14:paraId="259BDB81" w14:textId="77777777" w:rsidR="00CF72D5" w:rsidRPr="002029AF" w:rsidRDefault="00CF72D5" w:rsidP="00F16765">
            <w:pPr>
              <w:pStyle w:val="ARtabletextright"/>
              <w:spacing w:before="40" w:after="30"/>
            </w:pPr>
            <w:r w:rsidRPr="002029AF">
              <w:t>7</w:t>
            </w:r>
          </w:p>
        </w:tc>
        <w:tc>
          <w:tcPr>
            <w:tcW w:w="288" w:type="pct"/>
            <w:hideMark/>
          </w:tcPr>
          <w:p w14:paraId="6740B169" w14:textId="77777777" w:rsidR="00CF72D5" w:rsidRPr="002029AF" w:rsidRDefault="00CF72D5" w:rsidP="00F16765">
            <w:pPr>
              <w:pStyle w:val="ARtabletextright"/>
              <w:spacing w:before="40" w:after="30"/>
            </w:pPr>
            <w:r w:rsidRPr="002029AF">
              <w:t>6.2</w:t>
            </w:r>
          </w:p>
        </w:tc>
        <w:tc>
          <w:tcPr>
            <w:tcW w:w="284" w:type="pct"/>
            <w:hideMark/>
          </w:tcPr>
          <w:p w14:paraId="37E30946" w14:textId="77777777" w:rsidR="00CF72D5" w:rsidRPr="002029AF" w:rsidRDefault="00CF72D5" w:rsidP="00F16765">
            <w:pPr>
              <w:pStyle w:val="ARtabletextright"/>
              <w:spacing w:before="40" w:after="30"/>
            </w:pPr>
            <w:r w:rsidRPr="002029AF">
              <w:t>5</w:t>
            </w:r>
          </w:p>
        </w:tc>
        <w:tc>
          <w:tcPr>
            <w:tcW w:w="284" w:type="pct"/>
            <w:hideMark/>
          </w:tcPr>
          <w:p w14:paraId="1BE78D23" w14:textId="77777777" w:rsidR="00CF72D5" w:rsidRPr="002029AF" w:rsidRDefault="00CF72D5" w:rsidP="00F16765">
            <w:pPr>
              <w:pStyle w:val="ARtabletextright"/>
              <w:spacing w:before="40" w:after="30"/>
            </w:pPr>
            <w:r w:rsidRPr="002029AF">
              <w:t>2</w:t>
            </w:r>
          </w:p>
        </w:tc>
        <w:tc>
          <w:tcPr>
            <w:tcW w:w="286" w:type="pct"/>
            <w:hideMark/>
          </w:tcPr>
          <w:p w14:paraId="1D1E2EDD" w14:textId="77777777" w:rsidR="00CF72D5" w:rsidRPr="002029AF" w:rsidRDefault="00CF72D5" w:rsidP="00F16765">
            <w:pPr>
              <w:pStyle w:val="ARtabletextright"/>
              <w:spacing w:before="40" w:after="30"/>
            </w:pPr>
            <w:r w:rsidRPr="002029AF">
              <w:t>6.2</w:t>
            </w:r>
          </w:p>
        </w:tc>
        <w:tc>
          <w:tcPr>
            <w:tcW w:w="321" w:type="pct"/>
            <w:hideMark/>
          </w:tcPr>
          <w:p w14:paraId="29F8A223" w14:textId="77777777" w:rsidR="00CF72D5" w:rsidRPr="002029AF" w:rsidRDefault="00CF72D5" w:rsidP="00F16765">
            <w:pPr>
              <w:pStyle w:val="ARtabletextright"/>
              <w:spacing w:before="40" w:after="30"/>
            </w:pPr>
            <w:r w:rsidRPr="002029AF">
              <w:t>0</w:t>
            </w:r>
          </w:p>
        </w:tc>
        <w:tc>
          <w:tcPr>
            <w:tcW w:w="285" w:type="pct"/>
            <w:hideMark/>
          </w:tcPr>
          <w:p w14:paraId="4270E7FD" w14:textId="77777777" w:rsidR="00CF72D5" w:rsidRPr="002029AF" w:rsidRDefault="00CF72D5" w:rsidP="00F16765">
            <w:pPr>
              <w:pStyle w:val="ARtabletextright"/>
              <w:spacing w:before="40" w:after="30"/>
            </w:pPr>
            <w:r w:rsidRPr="002029AF">
              <w:t>0</w:t>
            </w:r>
          </w:p>
        </w:tc>
        <w:tc>
          <w:tcPr>
            <w:tcW w:w="321" w:type="pct"/>
            <w:hideMark/>
          </w:tcPr>
          <w:p w14:paraId="0080B57F" w14:textId="77777777" w:rsidR="00CF72D5" w:rsidRPr="002029AF" w:rsidRDefault="00CF72D5" w:rsidP="00F16765">
            <w:pPr>
              <w:pStyle w:val="ARtabletextright"/>
              <w:spacing w:before="40" w:after="30"/>
            </w:pPr>
            <w:r w:rsidRPr="002029AF">
              <w:t>9</w:t>
            </w:r>
          </w:p>
        </w:tc>
        <w:tc>
          <w:tcPr>
            <w:tcW w:w="285" w:type="pct"/>
            <w:hideMark/>
          </w:tcPr>
          <w:p w14:paraId="64BF81C8" w14:textId="77777777" w:rsidR="00CF72D5" w:rsidRPr="002029AF" w:rsidRDefault="00CF72D5" w:rsidP="00F16765">
            <w:pPr>
              <w:pStyle w:val="ARtabletextright"/>
              <w:spacing w:before="40" w:after="30"/>
            </w:pPr>
            <w:r w:rsidRPr="002029AF">
              <w:t>8.6</w:t>
            </w:r>
          </w:p>
        </w:tc>
        <w:tc>
          <w:tcPr>
            <w:tcW w:w="284" w:type="pct"/>
            <w:hideMark/>
          </w:tcPr>
          <w:p w14:paraId="21E2BBC9" w14:textId="77777777" w:rsidR="00CF72D5" w:rsidRPr="002029AF" w:rsidRDefault="00CF72D5" w:rsidP="00F16765">
            <w:pPr>
              <w:pStyle w:val="ARtabletextright"/>
              <w:spacing w:before="40" w:after="30"/>
            </w:pPr>
            <w:r w:rsidRPr="002029AF">
              <w:t>5</w:t>
            </w:r>
          </w:p>
        </w:tc>
        <w:tc>
          <w:tcPr>
            <w:tcW w:w="284" w:type="pct"/>
            <w:hideMark/>
          </w:tcPr>
          <w:p w14:paraId="124AE311" w14:textId="77777777" w:rsidR="00CF72D5" w:rsidRPr="002029AF" w:rsidRDefault="00CF72D5" w:rsidP="00F16765">
            <w:pPr>
              <w:pStyle w:val="ARtabletextright"/>
              <w:spacing w:before="40" w:after="30"/>
            </w:pPr>
            <w:r w:rsidRPr="002029AF">
              <w:t>1</w:t>
            </w:r>
          </w:p>
        </w:tc>
        <w:tc>
          <w:tcPr>
            <w:tcW w:w="286" w:type="pct"/>
            <w:hideMark/>
          </w:tcPr>
          <w:p w14:paraId="5DF5BCDE" w14:textId="77777777" w:rsidR="00CF72D5" w:rsidRPr="002029AF" w:rsidRDefault="00CF72D5" w:rsidP="00F16765">
            <w:pPr>
              <w:pStyle w:val="ARtabletextright"/>
              <w:spacing w:before="40" w:after="30"/>
            </w:pPr>
            <w:r w:rsidRPr="002029AF">
              <w:t>5.6</w:t>
            </w:r>
          </w:p>
        </w:tc>
        <w:tc>
          <w:tcPr>
            <w:tcW w:w="321" w:type="pct"/>
            <w:hideMark/>
          </w:tcPr>
          <w:p w14:paraId="375B8B9B" w14:textId="77777777" w:rsidR="00CF72D5" w:rsidRPr="002029AF" w:rsidRDefault="00CF72D5" w:rsidP="00F16765">
            <w:pPr>
              <w:pStyle w:val="ARtabletextright"/>
              <w:spacing w:before="40" w:after="30"/>
            </w:pPr>
            <w:r w:rsidRPr="002029AF">
              <w:t>3</w:t>
            </w:r>
          </w:p>
        </w:tc>
        <w:tc>
          <w:tcPr>
            <w:tcW w:w="283" w:type="pct"/>
            <w:hideMark/>
          </w:tcPr>
          <w:p w14:paraId="4E0795EB" w14:textId="77777777" w:rsidR="00CF72D5" w:rsidRPr="002029AF" w:rsidRDefault="00CF72D5" w:rsidP="00F16765">
            <w:pPr>
              <w:pStyle w:val="ARtabletextright"/>
              <w:spacing w:before="40" w:after="30"/>
            </w:pPr>
            <w:r w:rsidRPr="002029AF">
              <w:t>3</w:t>
            </w:r>
          </w:p>
        </w:tc>
      </w:tr>
      <w:tr w:rsidR="001E768A" w:rsidRPr="002029AF" w14:paraId="7274CFF9" w14:textId="77777777" w:rsidTr="00D015AF">
        <w:tc>
          <w:tcPr>
            <w:tcW w:w="867" w:type="pct"/>
            <w:hideMark/>
          </w:tcPr>
          <w:p w14:paraId="28F171AB" w14:textId="7CBDAE1E" w:rsidR="00CF72D5" w:rsidRPr="002029AF" w:rsidRDefault="00CF72D5" w:rsidP="00F16765">
            <w:pPr>
              <w:pStyle w:val="ARtabletext"/>
              <w:spacing w:before="40" w:after="30"/>
            </w:pPr>
            <w:r w:rsidRPr="002029AF">
              <w:t>VPS</w:t>
            </w:r>
            <w:r w:rsidR="000A5329" w:rsidRPr="002029AF">
              <w:t xml:space="preserve"> </w:t>
            </w:r>
            <w:r w:rsidRPr="002029AF">
              <w:t>4</w:t>
            </w:r>
          </w:p>
        </w:tc>
        <w:tc>
          <w:tcPr>
            <w:tcW w:w="321" w:type="pct"/>
            <w:hideMark/>
          </w:tcPr>
          <w:p w14:paraId="51A262D8" w14:textId="77777777" w:rsidR="00CF72D5" w:rsidRPr="002029AF" w:rsidRDefault="00CF72D5" w:rsidP="00F16765">
            <w:pPr>
              <w:pStyle w:val="ARtabletextright"/>
              <w:spacing w:before="40" w:after="30"/>
            </w:pPr>
            <w:r w:rsidRPr="002029AF">
              <w:t>23</w:t>
            </w:r>
          </w:p>
        </w:tc>
        <w:tc>
          <w:tcPr>
            <w:tcW w:w="288" w:type="pct"/>
            <w:hideMark/>
          </w:tcPr>
          <w:p w14:paraId="5DB6DB5F" w14:textId="77777777" w:rsidR="00CF72D5" w:rsidRPr="002029AF" w:rsidRDefault="00CF72D5" w:rsidP="00F16765">
            <w:pPr>
              <w:pStyle w:val="ARtabletextright"/>
              <w:spacing w:before="40" w:after="30"/>
            </w:pPr>
            <w:r w:rsidRPr="002029AF">
              <w:t>21.5</w:t>
            </w:r>
          </w:p>
        </w:tc>
        <w:tc>
          <w:tcPr>
            <w:tcW w:w="284" w:type="pct"/>
            <w:hideMark/>
          </w:tcPr>
          <w:p w14:paraId="4B0AC2B9" w14:textId="77777777" w:rsidR="00CF72D5" w:rsidRPr="002029AF" w:rsidRDefault="00CF72D5" w:rsidP="00F16765">
            <w:pPr>
              <w:pStyle w:val="ARtabletextright"/>
              <w:spacing w:before="40" w:after="30"/>
            </w:pPr>
            <w:r w:rsidRPr="002029AF">
              <w:t>11</w:t>
            </w:r>
          </w:p>
        </w:tc>
        <w:tc>
          <w:tcPr>
            <w:tcW w:w="284" w:type="pct"/>
            <w:hideMark/>
          </w:tcPr>
          <w:p w14:paraId="76DD0CAB" w14:textId="77777777" w:rsidR="00CF72D5" w:rsidRPr="002029AF" w:rsidRDefault="00CF72D5" w:rsidP="00F16765">
            <w:pPr>
              <w:pStyle w:val="ARtabletextright"/>
              <w:spacing w:before="40" w:after="30"/>
            </w:pPr>
            <w:r w:rsidRPr="002029AF">
              <w:t>4</w:t>
            </w:r>
          </w:p>
        </w:tc>
        <w:tc>
          <w:tcPr>
            <w:tcW w:w="286" w:type="pct"/>
            <w:hideMark/>
          </w:tcPr>
          <w:p w14:paraId="193BF7AE" w14:textId="77777777" w:rsidR="00CF72D5" w:rsidRPr="002029AF" w:rsidRDefault="00CF72D5" w:rsidP="00F16765">
            <w:pPr>
              <w:pStyle w:val="ARtabletextright"/>
              <w:spacing w:before="40" w:after="30"/>
            </w:pPr>
            <w:r w:rsidRPr="002029AF">
              <w:t>13.5</w:t>
            </w:r>
          </w:p>
        </w:tc>
        <w:tc>
          <w:tcPr>
            <w:tcW w:w="321" w:type="pct"/>
            <w:hideMark/>
          </w:tcPr>
          <w:p w14:paraId="2C9995EB" w14:textId="77777777" w:rsidR="00CF72D5" w:rsidRPr="002029AF" w:rsidRDefault="00CF72D5" w:rsidP="00F16765">
            <w:pPr>
              <w:pStyle w:val="ARtabletextright"/>
              <w:spacing w:before="40" w:after="30"/>
            </w:pPr>
            <w:r w:rsidRPr="002029AF">
              <w:t>8</w:t>
            </w:r>
          </w:p>
        </w:tc>
        <w:tc>
          <w:tcPr>
            <w:tcW w:w="285" w:type="pct"/>
            <w:hideMark/>
          </w:tcPr>
          <w:p w14:paraId="1B192BB2" w14:textId="77777777" w:rsidR="00CF72D5" w:rsidRPr="002029AF" w:rsidRDefault="00CF72D5" w:rsidP="00F16765">
            <w:pPr>
              <w:pStyle w:val="ARtabletextright"/>
              <w:spacing w:before="40" w:after="30"/>
            </w:pPr>
            <w:r w:rsidRPr="002029AF">
              <w:t>8</w:t>
            </w:r>
          </w:p>
        </w:tc>
        <w:tc>
          <w:tcPr>
            <w:tcW w:w="321" w:type="pct"/>
            <w:hideMark/>
          </w:tcPr>
          <w:p w14:paraId="2FADFE8B" w14:textId="77777777" w:rsidR="00CF72D5" w:rsidRPr="002029AF" w:rsidRDefault="00CF72D5" w:rsidP="00F16765">
            <w:pPr>
              <w:pStyle w:val="ARtabletextright"/>
              <w:spacing w:before="40" w:after="30"/>
            </w:pPr>
            <w:r w:rsidRPr="002029AF">
              <w:t>24</w:t>
            </w:r>
          </w:p>
        </w:tc>
        <w:tc>
          <w:tcPr>
            <w:tcW w:w="285" w:type="pct"/>
            <w:hideMark/>
          </w:tcPr>
          <w:p w14:paraId="410ADAC9" w14:textId="77777777" w:rsidR="00CF72D5" w:rsidRPr="002029AF" w:rsidRDefault="00CF72D5" w:rsidP="00F16765">
            <w:pPr>
              <w:pStyle w:val="ARtabletextright"/>
              <w:spacing w:before="40" w:after="30"/>
            </w:pPr>
            <w:r w:rsidRPr="002029AF">
              <w:t>22.3</w:t>
            </w:r>
          </w:p>
        </w:tc>
        <w:tc>
          <w:tcPr>
            <w:tcW w:w="284" w:type="pct"/>
            <w:hideMark/>
          </w:tcPr>
          <w:p w14:paraId="58782503" w14:textId="77777777" w:rsidR="00CF72D5" w:rsidRPr="002029AF" w:rsidRDefault="00CF72D5" w:rsidP="00F16765">
            <w:pPr>
              <w:pStyle w:val="ARtabletextright"/>
              <w:spacing w:before="40" w:after="30"/>
            </w:pPr>
            <w:r w:rsidRPr="002029AF">
              <w:t>12</w:t>
            </w:r>
          </w:p>
        </w:tc>
        <w:tc>
          <w:tcPr>
            <w:tcW w:w="284" w:type="pct"/>
            <w:hideMark/>
          </w:tcPr>
          <w:p w14:paraId="1430D5AF" w14:textId="77777777" w:rsidR="00CF72D5" w:rsidRPr="002029AF" w:rsidRDefault="00CF72D5" w:rsidP="00F16765">
            <w:pPr>
              <w:pStyle w:val="ARtabletextright"/>
              <w:spacing w:before="40" w:after="30"/>
            </w:pPr>
            <w:r w:rsidRPr="002029AF">
              <w:t>5</w:t>
            </w:r>
          </w:p>
        </w:tc>
        <w:tc>
          <w:tcPr>
            <w:tcW w:w="286" w:type="pct"/>
            <w:hideMark/>
          </w:tcPr>
          <w:p w14:paraId="30825C23" w14:textId="77777777" w:rsidR="00CF72D5" w:rsidRPr="002029AF" w:rsidRDefault="00CF72D5" w:rsidP="00F16765">
            <w:pPr>
              <w:pStyle w:val="ARtabletextright"/>
              <w:spacing w:before="40" w:after="30"/>
            </w:pPr>
            <w:r w:rsidRPr="002029AF">
              <w:t>15.5</w:t>
            </w:r>
          </w:p>
        </w:tc>
        <w:tc>
          <w:tcPr>
            <w:tcW w:w="321" w:type="pct"/>
            <w:hideMark/>
          </w:tcPr>
          <w:p w14:paraId="14158216" w14:textId="77777777" w:rsidR="00CF72D5" w:rsidRPr="002029AF" w:rsidRDefault="00CF72D5" w:rsidP="00F16765">
            <w:pPr>
              <w:pStyle w:val="ARtabletextright"/>
              <w:spacing w:before="40" w:after="30"/>
            </w:pPr>
            <w:r w:rsidRPr="002029AF">
              <w:t>7</w:t>
            </w:r>
          </w:p>
        </w:tc>
        <w:tc>
          <w:tcPr>
            <w:tcW w:w="283" w:type="pct"/>
            <w:hideMark/>
          </w:tcPr>
          <w:p w14:paraId="182C3187" w14:textId="77777777" w:rsidR="00CF72D5" w:rsidRPr="002029AF" w:rsidRDefault="00CF72D5" w:rsidP="00F16765">
            <w:pPr>
              <w:pStyle w:val="ARtabletextright"/>
              <w:spacing w:before="40" w:after="30"/>
            </w:pPr>
            <w:r w:rsidRPr="002029AF">
              <w:t>6.8</w:t>
            </w:r>
          </w:p>
        </w:tc>
      </w:tr>
      <w:tr w:rsidR="001E768A" w:rsidRPr="002029AF" w14:paraId="1E45C2F4" w14:textId="77777777" w:rsidTr="00D015AF">
        <w:tc>
          <w:tcPr>
            <w:tcW w:w="867" w:type="pct"/>
            <w:hideMark/>
          </w:tcPr>
          <w:p w14:paraId="065B6BB0" w14:textId="5730669A" w:rsidR="00CF72D5" w:rsidRPr="002029AF" w:rsidRDefault="00CF72D5" w:rsidP="00F16765">
            <w:pPr>
              <w:pStyle w:val="ARtabletext"/>
              <w:spacing w:before="40" w:after="30"/>
            </w:pPr>
            <w:r w:rsidRPr="002029AF">
              <w:t>VPS</w:t>
            </w:r>
            <w:r w:rsidR="000A5329" w:rsidRPr="002029AF">
              <w:t xml:space="preserve"> </w:t>
            </w:r>
            <w:r w:rsidRPr="002029AF">
              <w:t>5</w:t>
            </w:r>
          </w:p>
        </w:tc>
        <w:tc>
          <w:tcPr>
            <w:tcW w:w="321" w:type="pct"/>
            <w:hideMark/>
          </w:tcPr>
          <w:p w14:paraId="7C3EE586" w14:textId="77777777" w:rsidR="00CF72D5" w:rsidRPr="002029AF" w:rsidRDefault="00CF72D5" w:rsidP="00F16765">
            <w:pPr>
              <w:pStyle w:val="ARtabletextright"/>
              <w:spacing w:before="40" w:after="30"/>
            </w:pPr>
            <w:r w:rsidRPr="002029AF">
              <w:t>58</w:t>
            </w:r>
          </w:p>
        </w:tc>
        <w:tc>
          <w:tcPr>
            <w:tcW w:w="288" w:type="pct"/>
            <w:hideMark/>
          </w:tcPr>
          <w:p w14:paraId="13F8346D" w14:textId="77777777" w:rsidR="00CF72D5" w:rsidRPr="002029AF" w:rsidRDefault="00CF72D5" w:rsidP="00F16765">
            <w:pPr>
              <w:pStyle w:val="ARtabletextright"/>
              <w:spacing w:before="40" w:after="30"/>
            </w:pPr>
            <w:r w:rsidRPr="002029AF">
              <w:t>51.8</w:t>
            </w:r>
          </w:p>
        </w:tc>
        <w:tc>
          <w:tcPr>
            <w:tcW w:w="284" w:type="pct"/>
            <w:hideMark/>
          </w:tcPr>
          <w:p w14:paraId="33FFFF0F" w14:textId="77777777" w:rsidR="00CF72D5" w:rsidRPr="002029AF" w:rsidRDefault="00CF72D5" w:rsidP="00F16765">
            <w:pPr>
              <w:pStyle w:val="ARtabletextright"/>
              <w:spacing w:before="40" w:after="30"/>
            </w:pPr>
            <w:r w:rsidRPr="002029AF">
              <w:t>27</w:t>
            </w:r>
          </w:p>
        </w:tc>
        <w:tc>
          <w:tcPr>
            <w:tcW w:w="284" w:type="pct"/>
            <w:hideMark/>
          </w:tcPr>
          <w:p w14:paraId="7EE8A488" w14:textId="77777777" w:rsidR="00CF72D5" w:rsidRPr="002029AF" w:rsidRDefault="00CF72D5" w:rsidP="00F16765">
            <w:pPr>
              <w:pStyle w:val="ARtabletextright"/>
              <w:spacing w:before="40" w:after="30"/>
            </w:pPr>
            <w:r w:rsidRPr="002029AF">
              <w:t>17</w:t>
            </w:r>
          </w:p>
        </w:tc>
        <w:tc>
          <w:tcPr>
            <w:tcW w:w="286" w:type="pct"/>
            <w:hideMark/>
          </w:tcPr>
          <w:p w14:paraId="3DFCFD8D" w14:textId="77777777" w:rsidR="00CF72D5" w:rsidRPr="002029AF" w:rsidRDefault="00CF72D5" w:rsidP="00F16765">
            <w:pPr>
              <w:pStyle w:val="ARtabletextright"/>
              <w:spacing w:before="40" w:after="30"/>
            </w:pPr>
            <w:r w:rsidRPr="002029AF">
              <w:t>38.9</w:t>
            </w:r>
          </w:p>
        </w:tc>
        <w:tc>
          <w:tcPr>
            <w:tcW w:w="321" w:type="pct"/>
            <w:hideMark/>
          </w:tcPr>
          <w:p w14:paraId="2D97E5B6" w14:textId="77777777" w:rsidR="00CF72D5" w:rsidRPr="002029AF" w:rsidRDefault="00CF72D5" w:rsidP="00F16765">
            <w:pPr>
              <w:pStyle w:val="ARtabletextright"/>
              <w:spacing w:before="40" w:after="30"/>
            </w:pPr>
            <w:r w:rsidRPr="002029AF">
              <w:t>14</w:t>
            </w:r>
          </w:p>
        </w:tc>
        <w:tc>
          <w:tcPr>
            <w:tcW w:w="285" w:type="pct"/>
            <w:hideMark/>
          </w:tcPr>
          <w:p w14:paraId="375448A4" w14:textId="77777777" w:rsidR="00CF72D5" w:rsidRPr="002029AF" w:rsidRDefault="00CF72D5" w:rsidP="00F16765">
            <w:pPr>
              <w:pStyle w:val="ARtabletextright"/>
              <w:spacing w:before="40" w:after="30"/>
            </w:pPr>
            <w:r w:rsidRPr="002029AF">
              <w:t>12.9</w:t>
            </w:r>
          </w:p>
        </w:tc>
        <w:tc>
          <w:tcPr>
            <w:tcW w:w="321" w:type="pct"/>
            <w:hideMark/>
          </w:tcPr>
          <w:p w14:paraId="37738708" w14:textId="77777777" w:rsidR="00CF72D5" w:rsidRPr="002029AF" w:rsidRDefault="00CF72D5" w:rsidP="00F16765">
            <w:pPr>
              <w:pStyle w:val="ARtabletextright"/>
              <w:spacing w:before="40" w:after="30"/>
            </w:pPr>
            <w:r w:rsidRPr="002029AF">
              <w:t>59</w:t>
            </w:r>
          </w:p>
        </w:tc>
        <w:tc>
          <w:tcPr>
            <w:tcW w:w="285" w:type="pct"/>
            <w:hideMark/>
          </w:tcPr>
          <w:p w14:paraId="6610145F" w14:textId="77777777" w:rsidR="00CF72D5" w:rsidRPr="002029AF" w:rsidRDefault="00CF72D5" w:rsidP="00F16765">
            <w:pPr>
              <w:pStyle w:val="ARtabletextright"/>
              <w:spacing w:before="40" w:after="30"/>
            </w:pPr>
            <w:r w:rsidRPr="002029AF">
              <w:t>53.8</w:t>
            </w:r>
          </w:p>
        </w:tc>
        <w:tc>
          <w:tcPr>
            <w:tcW w:w="284" w:type="pct"/>
            <w:hideMark/>
          </w:tcPr>
          <w:p w14:paraId="11EA71E2" w14:textId="77777777" w:rsidR="00CF72D5" w:rsidRPr="002029AF" w:rsidRDefault="00CF72D5" w:rsidP="00F16765">
            <w:pPr>
              <w:pStyle w:val="ARtabletextright"/>
              <w:spacing w:before="40" w:after="30"/>
            </w:pPr>
            <w:r w:rsidRPr="002029AF">
              <w:t>25</w:t>
            </w:r>
          </w:p>
        </w:tc>
        <w:tc>
          <w:tcPr>
            <w:tcW w:w="284" w:type="pct"/>
            <w:hideMark/>
          </w:tcPr>
          <w:p w14:paraId="6A1F97C2" w14:textId="77777777" w:rsidR="00CF72D5" w:rsidRPr="002029AF" w:rsidRDefault="00CF72D5" w:rsidP="00F16765">
            <w:pPr>
              <w:pStyle w:val="ARtabletextright"/>
              <w:spacing w:before="40" w:after="30"/>
            </w:pPr>
            <w:r w:rsidRPr="002029AF">
              <w:t>16</w:t>
            </w:r>
          </w:p>
        </w:tc>
        <w:tc>
          <w:tcPr>
            <w:tcW w:w="286" w:type="pct"/>
            <w:hideMark/>
          </w:tcPr>
          <w:p w14:paraId="590DD134" w14:textId="77777777" w:rsidR="00CF72D5" w:rsidRPr="002029AF" w:rsidRDefault="00CF72D5" w:rsidP="00F16765">
            <w:pPr>
              <w:pStyle w:val="ARtabletextright"/>
              <w:spacing w:before="40" w:after="30"/>
            </w:pPr>
            <w:r w:rsidRPr="002029AF">
              <w:t>36.6</w:t>
            </w:r>
          </w:p>
        </w:tc>
        <w:tc>
          <w:tcPr>
            <w:tcW w:w="321" w:type="pct"/>
            <w:hideMark/>
          </w:tcPr>
          <w:p w14:paraId="021FAF08" w14:textId="77777777" w:rsidR="00CF72D5" w:rsidRPr="002029AF" w:rsidRDefault="00CF72D5" w:rsidP="00F16765">
            <w:pPr>
              <w:pStyle w:val="ARtabletextright"/>
              <w:spacing w:before="40" w:after="30"/>
            </w:pPr>
            <w:r w:rsidRPr="002029AF">
              <w:t>18</w:t>
            </w:r>
          </w:p>
        </w:tc>
        <w:tc>
          <w:tcPr>
            <w:tcW w:w="283" w:type="pct"/>
            <w:hideMark/>
          </w:tcPr>
          <w:p w14:paraId="148A720B" w14:textId="77777777" w:rsidR="00CF72D5" w:rsidRPr="002029AF" w:rsidRDefault="00CF72D5" w:rsidP="00F16765">
            <w:pPr>
              <w:pStyle w:val="ARtabletextright"/>
              <w:spacing w:before="40" w:after="30"/>
            </w:pPr>
            <w:r w:rsidRPr="002029AF">
              <w:t>17.2</w:t>
            </w:r>
          </w:p>
        </w:tc>
      </w:tr>
      <w:tr w:rsidR="001E768A" w:rsidRPr="002029AF" w14:paraId="7A55A878" w14:textId="77777777" w:rsidTr="00D015AF">
        <w:tc>
          <w:tcPr>
            <w:tcW w:w="867" w:type="pct"/>
            <w:hideMark/>
          </w:tcPr>
          <w:p w14:paraId="7554C289" w14:textId="19ED1A94" w:rsidR="00CF72D5" w:rsidRPr="002029AF" w:rsidRDefault="00CF72D5" w:rsidP="00F16765">
            <w:pPr>
              <w:pStyle w:val="ARtabletext"/>
              <w:spacing w:before="40" w:after="30"/>
            </w:pPr>
            <w:r w:rsidRPr="002029AF">
              <w:t>VPS</w:t>
            </w:r>
            <w:r w:rsidR="000A5329" w:rsidRPr="002029AF">
              <w:t xml:space="preserve"> </w:t>
            </w:r>
            <w:r w:rsidRPr="002029AF">
              <w:t>6</w:t>
            </w:r>
          </w:p>
        </w:tc>
        <w:tc>
          <w:tcPr>
            <w:tcW w:w="321" w:type="pct"/>
            <w:hideMark/>
          </w:tcPr>
          <w:p w14:paraId="4FB7EEF0" w14:textId="77777777" w:rsidR="00CF72D5" w:rsidRPr="002029AF" w:rsidRDefault="00CF72D5" w:rsidP="00F16765">
            <w:pPr>
              <w:pStyle w:val="ARtabletextright"/>
              <w:spacing w:before="40" w:after="30"/>
            </w:pPr>
            <w:r w:rsidRPr="002029AF">
              <w:t>28</w:t>
            </w:r>
          </w:p>
        </w:tc>
        <w:tc>
          <w:tcPr>
            <w:tcW w:w="288" w:type="pct"/>
            <w:hideMark/>
          </w:tcPr>
          <w:p w14:paraId="5E56600D" w14:textId="77777777" w:rsidR="00CF72D5" w:rsidRPr="002029AF" w:rsidRDefault="00CF72D5" w:rsidP="00F16765">
            <w:pPr>
              <w:pStyle w:val="ARtabletextright"/>
              <w:spacing w:before="40" w:after="30"/>
            </w:pPr>
            <w:r w:rsidRPr="002029AF">
              <w:t>25.5</w:t>
            </w:r>
          </w:p>
        </w:tc>
        <w:tc>
          <w:tcPr>
            <w:tcW w:w="284" w:type="pct"/>
            <w:hideMark/>
          </w:tcPr>
          <w:p w14:paraId="32AFBE05" w14:textId="77777777" w:rsidR="00CF72D5" w:rsidRPr="002029AF" w:rsidRDefault="00CF72D5" w:rsidP="00F16765">
            <w:pPr>
              <w:pStyle w:val="ARtabletextright"/>
              <w:spacing w:before="40" w:after="30"/>
            </w:pPr>
            <w:r w:rsidRPr="002029AF">
              <w:t>15</w:t>
            </w:r>
          </w:p>
        </w:tc>
        <w:tc>
          <w:tcPr>
            <w:tcW w:w="284" w:type="pct"/>
            <w:hideMark/>
          </w:tcPr>
          <w:p w14:paraId="1B19A3DB" w14:textId="77777777" w:rsidR="00CF72D5" w:rsidRPr="002029AF" w:rsidRDefault="00CF72D5" w:rsidP="00F16765">
            <w:pPr>
              <w:pStyle w:val="ARtabletextright"/>
              <w:spacing w:before="40" w:after="30"/>
            </w:pPr>
            <w:r w:rsidRPr="002029AF">
              <w:t>8</w:t>
            </w:r>
          </w:p>
        </w:tc>
        <w:tc>
          <w:tcPr>
            <w:tcW w:w="286" w:type="pct"/>
            <w:hideMark/>
          </w:tcPr>
          <w:p w14:paraId="41AFBA76" w14:textId="77777777" w:rsidR="00CF72D5" w:rsidRPr="002029AF" w:rsidRDefault="00CF72D5" w:rsidP="00F16765">
            <w:pPr>
              <w:pStyle w:val="ARtabletextright"/>
              <w:spacing w:before="40" w:after="30"/>
            </w:pPr>
            <w:r w:rsidRPr="002029AF">
              <w:t>20.5</w:t>
            </w:r>
          </w:p>
        </w:tc>
        <w:tc>
          <w:tcPr>
            <w:tcW w:w="321" w:type="pct"/>
            <w:hideMark/>
          </w:tcPr>
          <w:p w14:paraId="0D9119A9" w14:textId="77777777" w:rsidR="00CF72D5" w:rsidRPr="002029AF" w:rsidRDefault="00CF72D5" w:rsidP="00F16765">
            <w:pPr>
              <w:pStyle w:val="ARtabletextright"/>
              <w:spacing w:before="40" w:after="30"/>
            </w:pPr>
            <w:r w:rsidRPr="002029AF">
              <w:t>5</w:t>
            </w:r>
          </w:p>
        </w:tc>
        <w:tc>
          <w:tcPr>
            <w:tcW w:w="285" w:type="pct"/>
            <w:hideMark/>
          </w:tcPr>
          <w:p w14:paraId="1292253D" w14:textId="77777777" w:rsidR="00CF72D5" w:rsidRPr="002029AF" w:rsidRDefault="00CF72D5" w:rsidP="00F16765">
            <w:pPr>
              <w:pStyle w:val="ARtabletextright"/>
              <w:spacing w:before="40" w:after="30"/>
            </w:pPr>
            <w:r w:rsidRPr="002029AF">
              <w:t>5</w:t>
            </w:r>
          </w:p>
        </w:tc>
        <w:tc>
          <w:tcPr>
            <w:tcW w:w="321" w:type="pct"/>
            <w:hideMark/>
          </w:tcPr>
          <w:p w14:paraId="0BAB5B85" w14:textId="77777777" w:rsidR="00CF72D5" w:rsidRPr="002029AF" w:rsidRDefault="00CF72D5" w:rsidP="00F16765">
            <w:pPr>
              <w:pStyle w:val="ARtabletextright"/>
              <w:spacing w:before="40" w:after="30"/>
            </w:pPr>
            <w:r w:rsidRPr="002029AF">
              <w:t>31</w:t>
            </w:r>
          </w:p>
        </w:tc>
        <w:tc>
          <w:tcPr>
            <w:tcW w:w="285" w:type="pct"/>
            <w:hideMark/>
          </w:tcPr>
          <w:p w14:paraId="47E2C64C" w14:textId="77777777" w:rsidR="00CF72D5" w:rsidRPr="002029AF" w:rsidRDefault="00CF72D5" w:rsidP="00F16765">
            <w:pPr>
              <w:pStyle w:val="ARtabletextright"/>
              <w:spacing w:before="40" w:after="30"/>
            </w:pPr>
            <w:r w:rsidRPr="002029AF">
              <w:t>28.8</w:t>
            </w:r>
          </w:p>
        </w:tc>
        <w:tc>
          <w:tcPr>
            <w:tcW w:w="284" w:type="pct"/>
            <w:hideMark/>
          </w:tcPr>
          <w:p w14:paraId="61DE284D" w14:textId="77777777" w:rsidR="00CF72D5" w:rsidRPr="002029AF" w:rsidRDefault="00CF72D5" w:rsidP="00F16765">
            <w:pPr>
              <w:pStyle w:val="ARtabletextright"/>
              <w:spacing w:before="40" w:after="30"/>
            </w:pPr>
            <w:r w:rsidRPr="002029AF">
              <w:t>17</w:t>
            </w:r>
          </w:p>
        </w:tc>
        <w:tc>
          <w:tcPr>
            <w:tcW w:w="284" w:type="pct"/>
            <w:hideMark/>
          </w:tcPr>
          <w:p w14:paraId="22BCF1E2" w14:textId="77777777" w:rsidR="00CF72D5" w:rsidRPr="002029AF" w:rsidRDefault="00CF72D5" w:rsidP="00F16765">
            <w:pPr>
              <w:pStyle w:val="ARtabletextright"/>
              <w:spacing w:before="40" w:after="30"/>
            </w:pPr>
            <w:r w:rsidRPr="002029AF">
              <w:t>5</w:t>
            </w:r>
          </w:p>
        </w:tc>
        <w:tc>
          <w:tcPr>
            <w:tcW w:w="286" w:type="pct"/>
            <w:hideMark/>
          </w:tcPr>
          <w:p w14:paraId="459831C2" w14:textId="77777777" w:rsidR="00CF72D5" w:rsidRPr="002029AF" w:rsidRDefault="00CF72D5" w:rsidP="00F16765">
            <w:pPr>
              <w:pStyle w:val="ARtabletextright"/>
              <w:spacing w:before="40" w:after="30"/>
            </w:pPr>
            <w:r w:rsidRPr="002029AF">
              <w:t>20.3</w:t>
            </w:r>
          </w:p>
        </w:tc>
        <w:tc>
          <w:tcPr>
            <w:tcW w:w="321" w:type="pct"/>
            <w:hideMark/>
          </w:tcPr>
          <w:p w14:paraId="7AB9C454" w14:textId="77777777" w:rsidR="00CF72D5" w:rsidRPr="002029AF" w:rsidRDefault="00CF72D5" w:rsidP="00F16765">
            <w:pPr>
              <w:pStyle w:val="ARtabletextright"/>
              <w:spacing w:before="40" w:after="30"/>
            </w:pPr>
            <w:r w:rsidRPr="002029AF">
              <w:t>9</w:t>
            </w:r>
          </w:p>
        </w:tc>
        <w:tc>
          <w:tcPr>
            <w:tcW w:w="283" w:type="pct"/>
            <w:hideMark/>
          </w:tcPr>
          <w:p w14:paraId="43ADB716" w14:textId="77777777" w:rsidR="00CF72D5" w:rsidRPr="002029AF" w:rsidRDefault="00CF72D5" w:rsidP="00F16765">
            <w:pPr>
              <w:pStyle w:val="ARtabletextright"/>
              <w:spacing w:before="40" w:after="30"/>
            </w:pPr>
            <w:r w:rsidRPr="002029AF">
              <w:t>8.5</w:t>
            </w:r>
          </w:p>
        </w:tc>
      </w:tr>
      <w:tr w:rsidR="001E768A" w:rsidRPr="002029AF" w14:paraId="5845C95C" w14:textId="77777777" w:rsidTr="00D015AF">
        <w:tc>
          <w:tcPr>
            <w:tcW w:w="867" w:type="pct"/>
            <w:hideMark/>
          </w:tcPr>
          <w:p w14:paraId="432D0FDC" w14:textId="269805A9" w:rsidR="00CF72D5" w:rsidRPr="002029AF" w:rsidRDefault="00A763C6" w:rsidP="00F16765">
            <w:pPr>
              <w:pStyle w:val="ARtabletext"/>
              <w:spacing w:before="40" w:after="30"/>
            </w:pPr>
            <w:r w:rsidRPr="002029AF">
              <w:t>STS</w:t>
            </w:r>
          </w:p>
        </w:tc>
        <w:tc>
          <w:tcPr>
            <w:tcW w:w="321" w:type="pct"/>
            <w:hideMark/>
          </w:tcPr>
          <w:p w14:paraId="32C645F6" w14:textId="77777777" w:rsidR="00CF72D5" w:rsidRPr="002029AF" w:rsidRDefault="00CF72D5" w:rsidP="00F16765">
            <w:pPr>
              <w:pStyle w:val="ARtabletextright"/>
              <w:spacing w:before="40" w:after="30"/>
            </w:pPr>
            <w:r w:rsidRPr="002029AF">
              <w:t>1</w:t>
            </w:r>
          </w:p>
        </w:tc>
        <w:tc>
          <w:tcPr>
            <w:tcW w:w="288" w:type="pct"/>
            <w:hideMark/>
          </w:tcPr>
          <w:p w14:paraId="7B76BC70" w14:textId="77777777" w:rsidR="00CF72D5" w:rsidRPr="002029AF" w:rsidRDefault="00CF72D5" w:rsidP="00F16765">
            <w:pPr>
              <w:pStyle w:val="ARtabletextright"/>
              <w:spacing w:before="40" w:after="30"/>
            </w:pPr>
            <w:r w:rsidRPr="002029AF">
              <w:t>0.7</w:t>
            </w:r>
          </w:p>
        </w:tc>
        <w:tc>
          <w:tcPr>
            <w:tcW w:w="284" w:type="pct"/>
            <w:hideMark/>
          </w:tcPr>
          <w:p w14:paraId="15281F3C" w14:textId="77777777" w:rsidR="00CF72D5" w:rsidRPr="002029AF" w:rsidRDefault="00CF72D5" w:rsidP="00F16765">
            <w:pPr>
              <w:pStyle w:val="ARtabletextright"/>
              <w:spacing w:before="40" w:after="30"/>
            </w:pPr>
            <w:r w:rsidRPr="002029AF">
              <w:t>0</w:t>
            </w:r>
          </w:p>
        </w:tc>
        <w:tc>
          <w:tcPr>
            <w:tcW w:w="284" w:type="pct"/>
            <w:hideMark/>
          </w:tcPr>
          <w:p w14:paraId="3F42EEBA" w14:textId="77777777" w:rsidR="00CF72D5" w:rsidRPr="002029AF" w:rsidRDefault="00CF72D5" w:rsidP="00F16765">
            <w:pPr>
              <w:pStyle w:val="ARtabletextright"/>
              <w:spacing w:before="40" w:after="30"/>
            </w:pPr>
            <w:r w:rsidRPr="002029AF">
              <w:t>0</w:t>
            </w:r>
          </w:p>
        </w:tc>
        <w:tc>
          <w:tcPr>
            <w:tcW w:w="286" w:type="pct"/>
            <w:hideMark/>
          </w:tcPr>
          <w:p w14:paraId="05CD3CAD" w14:textId="77777777" w:rsidR="00CF72D5" w:rsidRPr="002029AF" w:rsidRDefault="00CF72D5" w:rsidP="00F16765">
            <w:pPr>
              <w:pStyle w:val="ARtabletextright"/>
              <w:spacing w:before="40" w:after="30"/>
            </w:pPr>
            <w:r w:rsidRPr="002029AF">
              <w:t>0</w:t>
            </w:r>
          </w:p>
        </w:tc>
        <w:tc>
          <w:tcPr>
            <w:tcW w:w="321" w:type="pct"/>
            <w:hideMark/>
          </w:tcPr>
          <w:p w14:paraId="2D9D69ED" w14:textId="77777777" w:rsidR="00CF72D5" w:rsidRPr="002029AF" w:rsidRDefault="00CF72D5" w:rsidP="00F16765">
            <w:pPr>
              <w:pStyle w:val="ARtabletextright"/>
              <w:spacing w:before="40" w:after="30"/>
            </w:pPr>
            <w:r w:rsidRPr="002029AF">
              <w:t>1</w:t>
            </w:r>
          </w:p>
        </w:tc>
        <w:tc>
          <w:tcPr>
            <w:tcW w:w="285" w:type="pct"/>
            <w:hideMark/>
          </w:tcPr>
          <w:p w14:paraId="0AF581F7" w14:textId="77777777" w:rsidR="00CF72D5" w:rsidRPr="002029AF" w:rsidRDefault="00CF72D5" w:rsidP="00F16765">
            <w:pPr>
              <w:pStyle w:val="ARtabletextright"/>
              <w:spacing w:before="40" w:after="30"/>
            </w:pPr>
            <w:r w:rsidRPr="002029AF">
              <w:t>0.7</w:t>
            </w:r>
          </w:p>
        </w:tc>
        <w:tc>
          <w:tcPr>
            <w:tcW w:w="321" w:type="pct"/>
            <w:hideMark/>
          </w:tcPr>
          <w:p w14:paraId="0787A48B" w14:textId="77777777" w:rsidR="00CF72D5" w:rsidRPr="002029AF" w:rsidRDefault="00CF72D5" w:rsidP="00F16765">
            <w:pPr>
              <w:pStyle w:val="ARtabletextright"/>
              <w:spacing w:before="40" w:after="30"/>
            </w:pPr>
            <w:r w:rsidRPr="002029AF">
              <w:t>1</w:t>
            </w:r>
          </w:p>
        </w:tc>
        <w:tc>
          <w:tcPr>
            <w:tcW w:w="285" w:type="pct"/>
            <w:hideMark/>
          </w:tcPr>
          <w:p w14:paraId="79C02ABB" w14:textId="77777777" w:rsidR="00CF72D5" w:rsidRPr="002029AF" w:rsidRDefault="00CF72D5" w:rsidP="00F16765">
            <w:pPr>
              <w:pStyle w:val="ARtabletextright"/>
              <w:spacing w:before="40" w:after="30"/>
            </w:pPr>
            <w:r w:rsidRPr="002029AF">
              <w:t>0.5</w:t>
            </w:r>
          </w:p>
        </w:tc>
        <w:tc>
          <w:tcPr>
            <w:tcW w:w="284" w:type="pct"/>
            <w:hideMark/>
          </w:tcPr>
          <w:p w14:paraId="5C3437A6" w14:textId="77777777" w:rsidR="00CF72D5" w:rsidRPr="002029AF" w:rsidRDefault="00CF72D5" w:rsidP="00F16765">
            <w:pPr>
              <w:pStyle w:val="ARtabletextright"/>
              <w:spacing w:before="40" w:after="30"/>
            </w:pPr>
            <w:r w:rsidRPr="002029AF">
              <w:t>0</w:t>
            </w:r>
          </w:p>
        </w:tc>
        <w:tc>
          <w:tcPr>
            <w:tcW w:w="284" w:type="pct"/>
            <w:hideMark/>
          </w:tcPr>
          <w:p w14:paraId="5A47D4E9" w14:textId="77777777" w:rsidR="00CF72D5" w:rsidRPr="002029AF" w:rsidRDefault="00CF72D5" w:rsidP="00F16765">
            <w:pPr>
              <w:pStyle w:val="ARtabletextright"/>
              <w:spacing w:before="40" w:after="30"/>
            </w:pPr>
            <w:r w:rsidRPr="002029AF">
              <w:t>0</w:t>
            </w:r>
          </w:p>
        </w:tc>
        <w:tc>
          <w:tcPr>
            <w:tcW w:w="286" w:type="pct"/>
            <w:hideMark/>
          </w:tcPr>
          <w:p w14:paraId="10BFE748" w14:textId="77777777" w:rsidR="00CF72D5" w:rsidRPr="002029AF" w:rsidRDefault="00CF72D5" w:rsidP="00F16765">
            <w:pPr>
              <w:pStyle w:val="ARtabletextright"/>
              <w:spacing w:before="40" w:after="30"/>
            </w:pPr>
            <w:r w:rsidRPr="002029AF">
              <w:t>0</w:t>
            </w:r>
          </w:p>
        </w:tc>
        <w:tc>
          <w:tcPr>
            <w:tcW w:w="321" w:type="pct"/>
            <w:hideMark/>
          </w:tcPr>
          <w:p w14:paraId="2D187991" w14:textId="77777777" w:rsidR="00CF72D5" w:rsidRPr="002029AF" w:rsidRDefault="00CF72D5" w:rsidP="00F16765">
            <w:pPr>
              <w:pStyle w:val="ARtabletextright"/>
              <w:spacing w:before="40" w:after="30"/>
            </w:pPr>
            <w:r w:rsidRPr="002029AF">
              <w:t>1</w:t>
            </w:r>
          </w:p>
        </w:tc>
        <w:tc>
          <w:tcPr>
            <w:tcW w:w="283" w:type="pct"/>
            <w:hideMark/>
          </w:tcPr>
          <w:p w14:paraId="1EFC834C" w14:textId="77777777" w:rsidR="00CF72D5" w:rsidRPr="002029AF" w:rsidRDefault="00CF72D5" w:rsidP="00F16765">
            <w:pPr>
              <w:pStyle w:val="ARtabletextright"/>
              <w:spacing w:before="40" w:after="30"/>
            </w:pPr>
            <w:r w:rsidRPr="002029AF">
              <w:t>0.5</w:t>
            </w:r>
          </w:p>
        </w:tc>
      </w:tr>
      <w:tr w:rsidR="001E768A" w:rsidRPr="002029AF" w14:paraId="0692F8B0" w14:textId="77777777" w:rsidTr="00D015AF">
        <w:tc>
          <w:tcPr>
            <w:tcW w:w="867" w:type="pct"/>
            <w:hideMark/>
          </w:tcPr>
          <w:p w14:paraId="084AA498" w14:textId="77777777" w:rsidR="00CF72D5" w:rsidRPr="002029AF" w:rsidRDefault="00CF72D5" w:rsidP="00F16765">
            <w:pPr>
              <w:pStyle w:val="ARtabletext"/>
              <w:spacing w:before="40" w:after="30"/>
            </w:pPr>
            <w:r w:rsidRPr="002029AF">
              <w:t>SMA</w:t>
            </w:r>
          </w:p>
        </w:tc>
        <w:tc>
          <w:tcPr>
            <w:tcW w:w="321" w:type="pct"/>
            <w:hideMark/>
          </w:tcPr>
          <w:p w14:paraId="32990A5A" w14:textId="77777777" w:rsidR="00CF72D5" w:rsidRPr="002029AF" w:rsidRDefault="00CF72D5" w:rsidP="00F16765">
            <w:pPr>
              <w:pStyle w:val="ARtabletextright"/>
              <w:spacing w:before="40" w:after="30"/>
            </w:pPr>
            <w:r w:rsidRPr="002029AF">
              <w:t>0</w:t>
            </w:r>
          </w:p>
        </w:tc>
        <w:tc>
          <w:tcPr>
            <w:tcW w:w="288" w:type="pct"/>
            <w:hideMark/>
          </w:tcPr>
          <w:p w14:paraId="342EDBD6" w14:textId="77777777" w:rsidR="00CF72D5" w:rsidRPr="002029AF" w:rsidRDefault="00CF72D5" w:rsidP="00F16765">
            <w:pPr>
              <w:pStyle w:val="ARtabletextright"/>
              <w:spacing w:before="40" w:after="30"/>
            </w:pPr>
            <w:r w:rsidRPr="002029AF">
              <w:t>0</w:t>
            </w:r>
          </w:p>
        </w:tc>
        <w:tc>
          <w:tcPr>
            <w:tcW w:w="284" w:type="pct"/>
            <w:hideMark/>
          </w:tcPr>
          <w:p w14:paraId="04B482FA" w14:textId="77777777" w:rsidR="00CF72D5" w:rsidRPr="002029AF" w:rsidRDefault="00CF72D5" w:rsidP="00F16765">
            <w:pPr>
              <w:pStyle w:val="ARtabletextright"/>
              <w:spacing w:before="40" w:after="30"/>
            </w:pPr>
            <w:r w:rsidRPr="002029AF">
              <w:t>0</w:t>
            </w:r>
          </w:p>
        </w:tc>
        <w:tc>
          <w:tcPr>
            <w:tcW w:w="284" w:type="pct"/>
            <w:hideMark/>
          </w:tcPr>
          <w:p w14:paraId="1C116952" w14:textId="77777777" w:rsidR="00CF72D5" w:rsidRPr="002029AF" w:rsidRDefault="00CF72D5" w:rsidP="00F16765">
            <w:pPr>
              <w:pStyle w:val="ARtabletextright"/>
              <w:spacing w:before="40" w:after="30"/>
            </w:pPr>
            <w:r w:rsidRPr="002029AF">
              <w:t>0</w:t>
            </w:r>
          </w:p>
        </w:tc>
        <w:tc>
          <w:tcPr>
            <w:tcW w:w="286" w:type="pct"/>
            <w:hideMark/>
          </w:tcPr>
          <w:p w14:paraId="6302209D" w14:textId="77777777" w:rsidR="00CF72D5" w:rsidRPr="002029AF" w:rsidRDefault="00CF72D5" w:rsidP="00F16765">
            <w:pPr>
              <w:pStyle w:val="ARtabletextright"/>
              <w:spacing w:before="40" w:after="30"/>
            </w:pPr>
            <w:r w:rsidRPr="002029AF">
              <w:t>0</w:t>
            </w:r>
          </w:p>
        </w:tc>
        <w:tc>
          <w:tcPr>
            <w:tcW w:w="321" w:type="pct"/>
            <w:hideMark/>
          </w:tcPr>
          <w:p w14:paraId="63AA1F38" w14:textId="77777777" w:rsidR="00CF72D5" w:rsidRPr="002029AF" w:rsidRDefault="00CF72D5" w:rsidP="00F16765">
            <w:pPr>
              <w:pStyle w:val="ARtabletextright"/>
              <w:spacing w:before="40" w:after="30"/>
            </w:pPr>
            <w:r w:rsidRPr="002029AF">
              <w:t>0</w:t>
            </w:r>
          </w:p>
        </w:tc>
        <w:tc>
          <w:tcPr>
            <w:tcW w:w="285" w:type="pct"/>
            <w:hideMark/>
          </w:tcPr>
          <w:p w14:paraId="107C8EAC" w14:textId="77777777" w:rsidR="00CF72D5" w:rsidRPr="002029AF" w:rsidRDefault="00CF72D5" w:rsidP="00F16765">
            <w:pPr>
              <w:pStyle w:val="ARtabletextright"/>
              <w:spacing w:before="40" w:after="30"/>
            </w:pPr>
            <w:r w:rsidRPr="002029AF">
              <w:t>0</w:t>
            </w:r>
          </w:p>
        </w:tc>
        <w:tc>
          <w:tcPr>
            <w:tcW w:w="321" w:type="pct"/>
            <w:hideMark/>
          </w:tcPr>
          <w:p w14:paraId="157A2278" w14:textId="77777777" w:rsidR="00CF72D5" w:rsidRPr="002029AF" w:rsidRDefault="00CF72D5" w:rsidP="00F16765">
            <w:pPr>
              <w:pStyle w:val="ARtabletextright"/>
              <w:spacing w:before="40" w:after="30"/>
            </w:pPr>
            <w:r w:rsidRPr="002029AF">
              <w:t>1</w:t>
            </w:r>
          </w:p>
        </w:tc>
        <w:tc>
          <w:tcPr>
            <w:tcW w:w="285" w:type="pct"/>
            <w:hideMark/>
          </w:tcPr>
          <w:p w14:paraId="09892219" w14:textId="77777777" w:rsidR="00CF72D5" w:rsidRPr="002029AF" w:rsidRDefault="00CF72D5" w:rsidP="00F16765">
            <w:pPr>
              <w:pStyle w:val="ARtabletextright"/>
              <w:spacing w:before="40" w:after="30"/>
            </w:pPr>
            <w:r w:rsidRPr="002029AF">
              <w:t>0.5</w:t>
            </w:r>
          </w:p>
        </w:tc>
        <w:tc>
          <w:tcPr>
            <w:tcW w:w="284" w:type="pct"/>
            <w:hideMark/>
          </w:tcPr>
          <w:p w14:paraId="6CEDDE03" w14:textId="77777777" w:rsidR="00CF72D5" w:rsidRPr="002029AF" w:rsidRDefault="00CF72D5" w:rsidP="00F16765">
            <w:pPr>
              <w:pStyle w:val="ARtabletextright"/>
              <w:spacing w:before="40" w:after="30"/>
            </w:pPr>
            <w:r w:rsidRPr="002029AF">
              <w:t>0</w:t>
            </w:r>
          </w:p>
        </w:tc>
        <w:tc>
          <w:tcPr>
            <w:tcW w:w="284" w:type="pct"/>
            <w:hideMark/>
          </w:tcPr>
          <w:p w14:paraId="7C6B1D7C" w14:textId="77777777" w:rsidR="00CF72D5" w:rsidRPr="002029AF" w:rsidRDefault="00CF72D5" w:rsidP="00F16765">
            <w:pPr>
              <w:pStyle w:val="ARtabletextright"/>
              <w:spacing w:before="40" w:after="30"/>
            </w:pPr>
            <w:r w:rsidRPr="002029AF">
              <w:t>0</w:t>
            </w:r>
          </w:p>
        </w:tc>
        <w:tc>
          <w:tcPr>
            <w:tcW w:w="286" w:type="pct"/>
            <w:hideMark/>
          </w:tcPr>
          <w:p w14:paraId="34571CC0" w14:textId="77777777" w:rsidR="00CF72D5" w:rsidRPr="002029AF" w:rsidRDefault="00CF72D5" w:rsidP="00F16765">
            <w:pPr>
              <w:pStyle w:val="ARtabletextright"/>
              <w:spacing w:before="40" w:after="30"/>
            </w:pPr>
            <w:r w:rsidRPr="002029AF">
              <w:t>0</w:t>
            </w:r>
          </w:p>
        </w:tc>
        <w:tc>
          <w:tcPr>
            <w:tcW w:w="321" w:type="pct"/>
            <w:hideMark/>
          </w:tcPr>
          <w:p w14:paraId="0CF6D196" w14:textId="77777777" w:rsidR="00CF72D5" w:rsidRPr="002029AF" w:rsidRDefault="00CF72D5" w:rsidP="00F16765">
            <w:pPr>
              <w:pStyle w:val="ARtabletextright"/>
              <w:spacing w:before="40" w:after="30"/>
            </w:pPr>
            <w:r w:rsidRPr="002029AF">
              <w:t>1</w:t>
            </w:r>
          </w:p>
        </w:tc>
        <w:tc>
          <w:tcPr>
            <w:tcW w:w="283" w:type="pct"/>
            <w:hideMark/>
          </w:tcPr>
          <w:p w14:paraId="73D3272E" w14:textId="77777777" w:rsidR="00CF72D5" w:rsidRPr="002029AF" w:rsidRDefault="00CF72D5" w:rsidP="00F16765">
            <w:pPr>
              <w:pStyle w:val="ARtabletextright"/>
              <w:spacing w:before="40" w:after="30"/>
            </w:pPr>
            <w:r w:rsidRPr="002029AF">
              <w:t>0.5</w:t>
            </w:r>
          </w:p>
        </w:tc>
      </w:tr>
      <w:tr w:rsidR="001E768A" w:rsidRPr="002029AF" w14:paraId="48DCCE02" w14:textId="77777777" w:rsidTr="00D015AF">
        <w:tc>
          <w:tcPr>
            <w:tcW w:w="867" w:type="pct"/>
            <w:hideMark/>
          </w:tcPr>
          <w:p w14:paraId="4F5B3DD8" w14:textId="77777777" w:rsidR="00CF72D5" w:rsidRPr="002029AF" w:rsidRDefault="00CF72D5" w:rsidP="00F16765">
            <w:pPr>
              <w:pStyle w:val="ARtabletext"/>
              <w:spacing w:before="40" w:after="30"/>
            </w:pPr>
            <w:r w:rsidRPr="002029AF">
              <w:t>Executives</w:t>
            </w:r>
          </w:p>
        </w:tc>
        <w:tc>
          <w:tcPr>
            <w:tcW w:w="321" w:type="pct"/>
            <w:hideMark/>
          </w:tcPr>
          <w:p w14:paraId="7A60735D" w14:textId="77777777" w:rsidR="00CF72D5" w:rsidRPr="002029AF" w:rsidRDefault="00CF72D5" w:rsidP="00F16765">
            <w:pPr>
              <w:pStyle w:val="ARtabletextright"/>
              <w:spacing w:before="40" w:after="30"/>
            </w:pPr>
            <w:r w:rsidRPr="002029AF">
              <w:t>7</w:t>
            </w:r>
          </w:p>
        </w:tc>
        <w:tc>
          <w:tcPr>
            <w:tcW w:w="288" w:type="pct"/>
            <w:hideMark/>
          </w:tcPr>
          <w:p w14:paraId="6136A634" w14:textId="77777777" w:rsidR="00CF72D5" w:rsidRPr="002029AF" w:rsidRDefault="00CF72D5" w:rsidP="00F16765">
            <w:pPr>
              <w:pStyle w:val="ARtabletextright"/>
              <w:spacing w:before="40" w:after="30"/>
            </w:pPr>
            <w:r w:rsidRPr="002029AF">
              <w:t>6.3</w:t>
            </w:r>
          </w:p>
        </w:tc>
        <w:tc>
          <w:tcPr>
            <w:tcW w:w="284" w:type="pct"/>
            <w:hideMark/>
          </w:tcPr>
          <w:p w14:paraId="0892F6A1" w14:textId="77777777" w:rsidR="00CF72D5" w:rsidRPr="002029AF" w:rsidRDefault="00CF72D5" w:rsidP="00F16765">
            <w:pPr>
              <w:pStyle w:val="ARtabletextright"/>
              <w:spacing w:before="40" w:after="30"/>
            </w:pPr>
            <w:r w:rsidRPr="002029AF">
              <w:t>5</w:t>
            </w:r>
          </w:p>
        </w:tc>
        <w:tc>
          <w:tcPr>
            <w:tcW w:w="284" w:type="pct"/>
            <w:hideMark/>
          </w:tcPr>
          <w:p w14:paraId="090C3AE2" w14:textId="77777777" w:rsidR="00CF72D5" w:rsidRPr="002029AF" w:rsidRDefault="00CF72D5" w:rsidP="00F16765">
            <w:pPr>
              <w:pStyle w:val="ARtabletextright"/>
              <w:spacing w:before="40" w:after="30"/>
            </w:pPr>
            <w:r w:rsidRPr="002029AF">
              <w:t>2</w:t>
            </w:r>
          </w:p>
        </w:tc>
        <w:tc>
          <w:tcPr>
            <w:tcW w:w="286" w:type="pct"/>
            <w:hideMark/>
          </w:tcPr>
          <w:p w14:paraId="353BB303" w14:textId="77777777" w:rsidR="00CF72D5" w:rsidRPr="002029AF" w:rsidRDefault="00CF72D5" w:rsidP="00F16765">
            <w:pPr>
              <w:pStyle w:val="ARtabletextright"/>
              <w:spacing w:before="40" w:after="30"/>
            </w:pPr>
            <w:r w:rsidRPr="002029AF">
              <w:t>6.3</w:t>
            </w:r>
          </w:p>
        </w:tc>
        <w:tc>
          <w:tcPr>
            <w:tcW w:w="321" w:type="pct"/>
            <w:hideMark/>
          </w:tcPr>
          <w:p w14:paraId="4E4F5BCC" w14:textId="77777777" w:rsidR="00CF72D5" w:rsidRPr="002029AF" w:rsidRDefault="00CF72D5" w:rsidP="00F16765">
            <w:pPr>
              <w:pStyle w:val="ARtabletextright"/>
              <w:spacing w:before="40" w:after="30"/>
            </w:pPr>
            <w:r w:rsidRPr="002029AF">
              <w:t>0</w:t>
            </w:r>
          </w:p>
        </w:tc>
        <w:tc>
          <w:tcPr>
            <w:tcW w:w="285" w:type="pct"/>
            <w:hideMark/>
          </w:tcPr>
          <w:p w14:paraId="5581758D" w14:textId="77777777" w:rsidR="00CF72D5" w:rsidRPr="002029AF" w:rsidRDefault="00CF72D5" w:rsidP="00F16765">
            <w:pPr>
              <w:pStyle w:val="ARtabletextright"/>
              <w:spacing w:before="40" w:after="30"/>
            </w:pPr>
            <w:r w:rsidRPr="002029AF">
              <w:t>0</w:t>
            </w:r>
          </w:p>
        </w:tc>
        <w:tc>
          <w:tcPr>
            <w:tcW w:w="321" w:type="pct"/>
            <w:hideMark/>
          </w:tcPr>
          <w:p w14:paraId="62879742" w14:textId="77777777" w:rsidR="00CF72D5" w:rsidRPr="002029AF" w:rsidRDefault="00CF72D5" w:rsidP="00F16765">
            <w:pPr>
              <w:pStyle w:val="ARtabletextright"/>
              <w:spacing w:before="40" w:after="30"/>
            </w:pPr>
            <w:r w:rsidRPr="002029AF">
              <w:t>5</w:t>
            </w:r>
          </w:p>
        </w:tc>
        <w:tc>
          <w:tcPr>
            <w:tcW w:w="285" w:type="pct"/>
            <w:hideMark/>
          </w:tcPr>
          <w:p w14:paraId="06C2B48B" w14:textId="77777777" w:rsidR="00CF72D5" w:rsidRPr="002029AF" w:rsidRDefault="00CF72D5" w:rsidP="00F16765">
            <w:pPr>
              <w:pStyle w:val="ARtabletextright"/>
              <w:spacing w:before="40" w:after="30"/>
            </w:pPr>
            <w:r w:rsidRPr="002029AF">
              <w:t>4.8</w:t>
            </w:r>
          </w:p>
        </w:tc>
        <w:tc>
          <w:tcPr>
            <w:tcW w:w="284" w:type="pct"/>
            <w:hideMark/>
          </w:tcPr>
          <w:p w14:paraId="7694EBBE" w14:textId="77777777" w:rsidR="00CF72D5" w:rsidRPr="002029AF" w:rsidRDefault="00CF72D5" w:rsidP="00F16765">
            <w:pPr>
              <w:pStyle w:val="ARtabletextright"/>
              <w:spacing w:before="40" w:after="30"/>
            </w:pPr>
            <w:r w:rsidRPr="002029AF">
              <w:t>4</w:t>
            </w:r>
          </w:p>
        </w:tc>
        <w:tc>
          <w:tcPr>
            <w:tcW w:w="284" w:type="pct"/>
            <w:hideMark/>
          </w:tcPr>
          <w:p w14:paraId="4A24E184" w14:textId="77777777" w:rsidR="00CF72D5" w:rsidRPr="002029AF" w:rsidRDefault="00CF72D5" w:rsidP="00F16765">
            <w:pPr>
              <w:pStyle w:val="ARtabletextright"/>
              <w:spacing w:before="40" w:after="30"/>
            </w:pPr>
            <w:r w:rsidRPr="002029AF">
              <w:t>1</w:t>
            </w:r>
          </w:p>
        </w:tc>
        <w:tc>
          <w:tcPr>
            <w:tcW w:w="286" w:type="pct"/>
            <w:hideMark/>
          </w:tcPr>
          <w:p w14:paraId="03EC6AC9" w14:textId="77777777" w:rsidR="00CF72D5" w:rsidRPr="002029AF" w:rsidRDefault="00CF72D5" w:rsidP="00F16765">
            <w:pPr>
              <w:pStyle w:val="ARtabletextright"/>
              <w:spacing w:before="40" w:after="30"/>
            </w:pPr>
            <w:r w:rsidRPr="002029AF">
              <w:t>4.8</w:t>
            </w:r>
          </w:p>
        </w:tc>
        <w:tc>
          <w:tcPr>
            <w:tcW w:w="321" w:type="pct"/>
            <w:hideMark/>
          </w:tcPr>
          <w:p w14:paraId="1FC94EBA" w14:textId="77777777" w:rsidR="00CF72D5" w:rsidRPr="002029AF" w:rsidRDefault="00CF72D5" w:rsidP="00F16765">
            <w:pPr>
              <w:pStyle w:val="ARtabletextright"/>
              <w:spacing w:before="40" w:after="30"/>
            </w:pPr>
            <w:r w:rsidRPr="002029AF">
              <w:t>0</w:t>
            </w:r>
          </w:p>
        </w:tc>
        <w:tc>
          <w:tcPr>
            <w:tcW w:w="283" w:type="pct"/>
            <w:hideMark/>
          </w:tcPr>
          <w:p w14:paraId="08DE07C5" w14:textId="77777777" w:rsidR="00CF72D5" w:rsidRPr="002029AF" w:rsidRDefault="00CF72D5" w:rsidP="00F16765">
            <w:pPr>
              <w:pStyle w:val="ARtabletextright"/>
              <w:spacing w:before="40" w:after="30"/>
            </w:pPr>
            <w:r w:rsidRPr="002029AF">
              <w:t>0</w:t>
            </w:r>
          </w:p>
        </w:tc>
      </w:tr>
      <w:tr w:rsidR="001E768A" w:rsidRPr="002029AF" w14:paraId="1AFA485C" w14:textId="77777777" w:rsidTr="00D015AF">
        <w:tc>
          <w:tcPr>
            <w:tcW w:w="867" w:type="pct"/>
            <w:hideMark/>
          </w:tcPr>
          <w:p w14:paraId="59D7FA77" w14:textId="77777777" w:rsidR="00CF72D5" w:rsidRPr="002029AF" w:rsidRDefault="00CF72D5" w:rsidP="00F16765">
            <w:pPr>
              <w:pStyle w:val="ARtabletext"/>
              <w:spacing w:before="40" w:after="30"/>
            </w:pPr>
            <w:r w:rsidRPr="002029AF">
              <w:t>Other</w:t>
            </w:r>
          </w:p>
        </w:tc>
        <w:tc>
          <w:tcPr>
            <w:tcW w:w="321" w:type="pct"/>
            <w:hideMark/>
          </w:tcPr>
          <w:p w14:paraId="4DB09BF8" w14:textId="77777777" w:rsidR="00CF72D5" w:rsidRPr="002029AF" w:rsidRDefault="00CF72D5" w:rsidP="00F16765">
            <w:pPr>
              <w:pStyle w:val="ARtabletextright"/>
              <w:spacing w:before="40" w:after="30"/>
            </w:pPr>
            <w:r w:rsidRPr="002029AF">
              <w:t>0</w:t>
            </w:r>
          </w:p>
        </w:tc>
        <w:tc>
          <w:tcPr>
            <w:tcW w:w="288" w:type="pct"/>
            <w:hideMark/>
          </w:tcPr>
          <w:p w14:paraId="0B5C52C9" w14:textId="77777777" w:rsidR="00CF72D5" w:rsidRPr="002029AF" w:rsidRDefault="00CF72D5" w:rsidP="00F16765">
            <w:pPr>
              <w:pStyle w:val="ARtabletextright"/>
              <w:spacing w:before="40" w:after="30"/>
            </w:pPr>
            <w:r w:rsidRPr="002029AF">
              <w:t>0</w:t>
            </w:r>
          </w:p>
        </w:tc>
        <w:tc>
          <w:tcPr>
            <w:tcW w:w="284" w:type="pct"/>
            <w:hideMark/>
          </w:tcPr>
          <w:p w14:paraId="6FE0ACC1" w14:textId="77777777" w:rsidR="00CF72D5" w:rsidRPr="002029AF" w:rsidRDefault="00CF72D5" w:rsidP="00F16765">
            <w:pPr>
              <w:pStyle w:val="ARtabletextright"/>
              <w:spacing w:before="40" w:after="30"/>
            </w:pPr>
            <w:r w:rsidRPr="002029AF">
              <w:t>0</w:t>
            </w:r>
          </w:p>
        </w:tc>
        <w:tc>
          <w:tcPr>
            <w:tcW w:w="284" w:type="pct"/>
            <w:hideMark/>
          </w:tcPr>
          <w:p w14:paraId="195049BF" w14:textId="77777777" w:rsidR="00CF72D5" w:rsidRPr="002029AF" w:rsidRDefault="00CF72D5" w:rsidP="00F16765">
            <w:pPr>
              <w:pStyle w:val="ARtabletextright"/>
              <w:spacing w:before="40" w:after="30"/>
            </w:pPr>
            <w:r w:rsidRPr="002029AF">
              <w:t>0</w:t>
            </w:r>
          </w:p>
        </w:tc>
        <w:tc>
          <w:tcPr>
            <w:tcW w:w="286" w:type="pct"/>
            <w:hideMark/>
          </w:tcPr>
          <w:p w14:paraId="3829F1F0" w14:textId="77777777" w:rsidR="00CF72D5" w:rsidRPr="002029AF" w:rsidRDefault="00CF72D5" w:rsidP="00F16765">
            <w:pPr>
              <w:pStyle w:val="ARtabletextright"/>
              <w:spacing w:before="40" w:after="30"/>
            </w:pPr>
            <w:r w:rsidRPr="002029AF">
              <w:t>0</w:t>
            </w:r>
          </w:p>
        </w:tc>
        <w:tc>
          <w:tcPr>
            <w:tcW w:w="321" w:type="pct"/>
            <w:hideMark/>
          </w:tcPr>
          <w:p w14:paraId="3C335DF4" w14:textId="77777777" w:rsidR="00CF72D5" w:rsidRPr="002029AF" w:rsidRDefault="00CF72D5" w:rsidP="00F16765">
            <w:pPr>
              <w:pStyle w:val="ARtabletextright"/>
              <w:spacing w:before="40" w:after="30"/>
            </w:pPr>
            <w:r w:rsidRPr="002029AF">
              <w:t>0</w:t>
            </w:r>
          </w:p>
        </w:tc>
        <w:tc>
          <w:tcPr>
            <w:tcW w:w="285" w:type="pct"/>
            <w:hideMark/>
          </w:tcPr>
          <w:p w14:paraId="19A82459" w14:textId="77777777" w:rsidR="00CF72D5" w:rsidRPr="002029AF" w:rsidRDefault="00CF72D5" w:rsidP="00F16765">
            <w:pPr>
              <w:pStyle w:val="ARtabletextright"/>
              <w:spacing w:before="40" w:after="30"/>
            </w:pPr>
            <w:r w:rsidRPr="002029AF">
              <w:t>0</w:t>
            </w:r>
          </w:p>
        </w:tc>
        <w:tc>
          <w:tcPr>
            <w:tcW w:w="321" w:type="pct"/>
            <w:hideMark/>
          </w:tcPr>
          <w:p w14:paraId="6287217A" w14:textId="77777777" w:rsidR="00CF72D5" w:rsidRPr="002029AF" w:rsidRDefault="00CF72D5" w:rsidP="00F16765">
            <w:pPr>
              <w:pStyle w:val="ARtabletextright"/>
              <w:spacing w:before="40" w:after="30"/>
            </w:pPr>
            <w:r w:rsidRPr="002029AF">
              <w:t>0</w:t>
            </w:r>
          </w:p>
        </w:tc>
        <w:tc>
          <w:tcPr>
            <w:tcW w:w="285" w:type="pct"/>
            <w:hideMark/>
          </w:tcPr>
          <w:p w14:paraId="751C3988" w14:textId="77777777" w:rsidR="00CF72D5" w:rsidRPr="002029AF" w:rsidRDefault="00CF72D5" w:rsidP="00F16765">
            <w:pPr>
              <w:pStyle w:val="ARtabletextright"/>
              <w:spacing w:before="40" w:after="30"/>
            </w:pPr>
            <w:r w:rsidRPr="002029AF">
              <w:t>0</w:t>
            </w:r>
          </w:p>
        </w:tc>
        <w:tc>
          <w:tcPr>
            <w:tcW w:w="284" w:type="pct"/>
            <w:hideMark/>
          </w:tcPr>
          <w:p w14:paraId="56D80C0B" w14:textId="77777777" w:rsidR="00CF72D5" w:rsidRPr="002029AF" w:rsidRDefault="00CF72D5" w:rsidP="00F16765">
            <w:pPr>
              <w:pStyle w:val="ARtabletextright"/>
              <w:spacing w:before="40" w:after="30"/>
            </w:pPr>
            <w:r w:rsidRPr="002029AF">
              <w:t>0</w:t>
            </w:r>
          </w:p>
        </w:tc>
        <w:tc>
          <w:tcPr>
            <w:tcW w:w="284" w:type="pct"/>
            <w:hideMark/>
          </w:tcPr>
          <w:p w14:paraId="3952E2BB" w14:textId="77777777" w:rsidR="00CF72D5" w:rsidRPr="002029AF" w:rsidRDefault="00CF72D5" w:rsidP="00F16765">
            <w:pPr>
              <w:pStyle w:val="ARtabletextright"/>
              <w:spacing w:before="40" w:after="30"/>
            </w:pPr>
            <w:r w:rsidRPr="002029AF">
              <w:t>0</w:t>
            </w:r>
          </w:p>
        </w:tc>
        <w:tc>
          <w:tcPr>
            <w:tcW w:w="286" w:type="pct"/>
            <w:hideMark/>
          </w:tcPr>
          <w:p w14:paraId="3BD0E684" w14:textId="77777777" w:rsidR="00CF72D5" w:rsidRPr="002029AF" w:rsidRDefault="00CF72D5" w:rsidP="00F16765">
            <w:pPr>
              <w:pStyle w:val="ARtabletextright"/>
              <w:spacing w:before="40" w:after="30"/>
            </w:pPr>
            <w:r w:rsidRPr="002029AF">
              <w:t>0</w:t>
            </w:r>
          </w:p>
        </w:tc>
        <w:tc>
          <w:tcPr>
            <w:tcW w:w="321" w:type="pct"/>
            <w:hideMark/>
          </w:tcPr>
          <w:p w14:paraId="582833D6" w14:textId="77777777" w:rsidR="00CF72D5" w:rsidRPr="002029AF" w:rsidRDefault="00CF72D5" w:rsidP="00F16765">
            <w:pPr>
              <w:pStyle w:val="ARtabletextright"/>
              <w:spacing w:before="40" w:after="30"/>
            </w:pPr>
            <w:r w:rsidRPr="002029AF">
              <w:t>0</w:t>
            </w:r>
          </w:p>
        </w:tc>
        <w:tc>
          <w:tcPr>
            <w:tcW w:w="283" w:type="pct"/>
            <w:hideMark/>
          </w:tcPr>
          <w:p w14:paraId="19598970" w14:textId="77777777" w:rsidR="00CF72D5" w:rsidRPr="002029AF" w:rsidRDefault="00CF72D5" w:rsidP="00F16765">
            <w:pPr>
              <w:pStyle w:val="ARtabletextright"/>
              <w:spacing w:before="40" w:after="30"/>
            </w:pPr>
            <w:r w:rsidRPr="002029AF">
              <w:t>0</w:t>
            </w:r>
          </w:p>
        </w:tc>
      </w:tr>
      <w:tr w:rsidR="001E768A" w:rsidRPr="002029AF" w14:paraId="3ABA5F6F" w14:textId="77777777" w:rsidTr="00D015AF">
        <w:tc>
          <w:tcPr>
            <w:tcW w:w="867" w:type="pct"/>
            <w:hideMark/>
          </w:tcPr>
          <w:p w14:paraId="0EB6AD85" w14:textId="726EF896" w:rsidR="00CF72D5" w:rsidRPr="002029AF" w:rsidRDefault="00CF72D5" w:rsidP="00F16765">
            <w:pPr>
              <w:pStyle w:val="ARtabletextbold"/>
              <w:spacing w:before="40" w:after="30"/>
            </w:pPr>
            <w:r w:rsidRPr="002029AF">
              <w:t>Total</w:t>
            </w:r>
            <w:r w:rsidR="000A5329" w:rsidRPr="002029AF">
              <w:t xml:space="preserve"> </w:t>
            </w:r>
            <w:r w:rsidRPr="002029AF">
              <w:t>employees</w:t>
            </w:r>
          </w:p>
        </w:tc>
        <w:tc>
          <w:tcPr>
            <w:tcW w:w="321" w:type="pct"/>
            <w:hideMark/>
          </w:tcPr>
          <w:p w14:paraId="112B6E5B" w14:textId="77777777" w:rsidR="00CF72D5" w:rsidRPr="002029AF" w:rsidRDefault="00CF72D5" w:rsidP="00F16765">
            <w:pPr>
              <w:pStyle w:val="ARtabletextrightbold"/>
              <w:spacing w:before="40" w:after="30"/>
            </w:pPr>
            <w:r w:rsidRPr="002029AF">
              <w:t>125</w:t>
            </w:r>
          </w:p>
        </w:tc>
        <w:tc>
          <w:tcPr>
            <w:tcW w:w="288" w:type="pct"/>
            <w:hideMark/>
          </w:tcPr>
          <w:p w14:paraId="4A3564E3" w14:textId="77777777" w:rsidR="00CF72D5" w:rsidRPr="002029AF" w:rsidRDefault="00CF72D5" w:rsidP="00F16765">
            <w:pPr>
              <w:pStyle w:val="ARtabletextrightbold"/>
              <w:spacing w:before="40" w:after="30"/>
            </w:pPr>
            <w:r w:rsidRPr="002029AF">
              <w:t>113</w:t>
            </w:r>
          </w:p>
        </w:tc>
        <w:tc>
          <w:tcPr>
            <w:tcW w:w="284" w:type="pct"/>
            <w:hideMark/>
          </w:tcPr>
          <w:p w14:paraId="7D6C2B68" w14:textId="77777777" w:rsidR="00CF72D5" w:rsidRPr="002029AF" w:rsidRDefault="00CF72D5" w:rsidP="00F16765">
            <w:pPr>
              <w:pStyle w:val="ARtabletextrightbold"/>
              <w:spacing w:before="40" w:after="30"/>
            </w:pPr>
            <w:r w:rsidRPr="002029AF">
              <w:t>64</w:t>
            </w:r>
          </w:p>
        </w:tc>
        <w:tc>
          <w:tcPr>
            <w:tcW w:w="284" w:type="pct"/>
            <w:hideMark/>
          </w:tcPr>
          <w:p w14:paraId="39CA37E8" w14:textId="77777777" w:rsidR="00CF72D5" w:rsidRPr="002029AF" w:rsidRDefault="00CF72D5" w:rsidP="00F16765">
            <w:pPr>
              <w:pStyle w:val="ARtabletextrightbold"/>
              <w:spacing w:before="40" w:after="30"/>
            </w:pPr>
            <w:r w:rsidRPr="002029AF">
              <w:t>33</w:t>
            </w:r>
          </w:p>
        </w:tc>
        <w:tc>
          <w:tcPr>
            <w:tcW w:w="286" w:type="pct"/>
            <w:hideMark/>
          </w:tcPr>
          <w:p w14:paraId="1DCF9454" w14:textId="77777777" w:rsidR="00CF72D5" w:rsidRPr="002029AF" w:rsidRDefault="00CF72D5" w:rsidP="00F16765">
            <w:pPr>
              <w:pStyle w:val="ARtabletextrightbold"/>
              <w:spacing w:before="40" w:after="30"/>
            </w:pPr>
            <w:r w:rsidRPr="002029AF">
              <w:t>86.4</w:t>
            </w:r>
          </w:p>
        </w:tc>
        <w:tc>
          <w:tcPr>
            <w:tcW w:w="321" w:type="pct"/>
            <w:hideMark/>
          </w:tcPr>
          <w:p w14:paraId="3F7A1436" w14:textId="77777777" w:rsidR="00CF72D5" w:rsidRPr="002029AF" w:rsidRDefault="00CF72D5" w:rsidP="00F16765">
            <w:pPr>
              <w:pStyle w:val="ARtabletextrightbold"/>
              <w:spacing w:before="40" w:after="30"/>
            </w:pPr>
            <w:r w:rsidRPr="002029AF">
              <w:t>28</w:t>
            </w:r>
          </w:p>
        </w:tc>
        <w:tc>
          <w:tcPr>
            <w:tcW w:w="285" w:type="pct"/>
            <w:hideMark/>
          </w:tcPr>
          <w:p w14:paraId="49663036" w14:textId="77777777" w:rsidR="00CF72D5" w:rsidRPr="002029AF" w:rsidRDefault="00CF72D5" w:rsidP="00F16765">
            <w:pPr>
              <w:pStyle w:val="ARtabletextrightbold"/>
              <w:spacing w:before="40" w:after="30"/>
            </w:pPr>
            <w:r w:rsidRPr="002029AF">
              <w:t>26.6</w:t>
            </w:r>
          </w:p>
        </w:tc>
        <w:tc>
          <w:tcPr>
            <w:tcW w:w="321" w:type="pct"/>
            <w:hideMark/>
          </w:tcPr>
          <w:p w14:paraId="7054643A" w14:textId="77777777" w:rsidR="00CF72D5" w:rsidRPr="002029AF" w:rsidRDefault="00CF72D5" w:rsidP="00F16765">
            <w:pPr>
              <w:pStyle w:val="ARtabletextrightbold"/>
              <w:spacing w:before="40" w:after="30"/>
            </w:pPr>
            <w:r w:rsidRPr="002029AF">
              <w:t>131</w:t>
            </w:r>
          </w:p>
        </w:tc>
        <w:tc>
          <w:tcPr>
            <w:tcW w:w="285" w:type="pct"/>
            <w:hideMark/>
          </w:tcPr>
          <w:p w14:paraId="7095F263" w14:textId="77777777" w:rsidR="00CF72D5" w:rsidRPr="002029AF" w:rsidRDefault="00CF72D5" w:rsidP="00F16765">
            <w:pPr>
              <w:pStyle w:val="ARtabletextrightbold"/>
              <w:spacing w:before="40" w:after="30"/>
            </w:pPr>
            <w:r w:rsidRPr="002029AF">
              <w:t>120.3</w:t>
            </w:r>
          </w:p>
        </w:tc>
        <w:tc>
          <w:tcPr>
            <w:tcW w:w="284" w:type="pct"/>
            <w:hideMark/>
          </w:tcPr>
          <w:p w14:paraId="4380C0C4" w14:textId="77777777" w:rsidR="00CF72D5" w:rsidRPr="002029AF" w:rsidRDefault="00CF72D5" w:rsidP="00F16765">
            <w:pPr>
              <w:pStyle w:val="ARtabletextrightbold"/>
              <w:spacing w:before="40" w:after="30"/>
            </w:pPr>
            <w:r w:rsidRPr="002029AF">
              <w:t>64</w:t>
            </w:r>
          </w:p>
        </w:tc>
        <w:tc>
          <w:tcPr>
            <w:tcW w:w="284" w:type="pct"/>
            <w:hideMark/>
          </w:tcPr>
          <w:p w14:paraId="3D700255" w14:textId="77777777" w:rsidR="00CF72D5" w:rsidRPr="002029AF" w:rsidRDefault="00CF72D5" w:rsidP="00F16765">
            <w:pPr>
              <w:pStyle w:val="ARtabletextrightbold"/>
              <w:spacing w:before="40" w:after="30"/>
            </w:pPr>
            <w:r w:rsidRPr="002029AF">
              <w:t>28</w:t>
            </w:r>
          </w:p>
        </w:tc>
        <w:tc>
          <w:tcPr>
            <w:tcW w:w="286" w:type="pct"/>
            <w:hideMark/>
          </w:tcPr>
          <w:p w14:paraId="0D165CA3" w14:textId="77777777" w:rsidR="00CF72D5" w:rsidRPr="002029AF" w:rsidRDefault="00CF72D5" w:rsidP="00F16765">
            <w:pPr>
              <w:pStyle w:val="ARtabletextrightbold"/>
              <w:spacing w:before="40" w:after="30"/>
            </w:pPr>
            <w:r w:rsidRPr="002029AF">
              <w:t>83.8</w:t>
            </w:r>
          </w:p>
        </w:tc>
        <w:tc>
          <w:tcPr>
            <w:tcW w:w="321" w:type="pct"/>
            <w:hideMark/>
          </w:tcPr>
          <w:p w14:paraId="2DEC7FF4" w14:textId="77777777" w:rsidR="00CF72D5" w:rsidRPr="002029AF" w:rsidRDefault="00CF72D5" w:rsidP="00F16765">
            <w:pPr>
              <w:pStyle w:val="ARtabletextrightbold"/>
              <w:spacing w:before="40" w:after="30"/>
            </w:pPr>
            <w:r w:rsidRPr="002029AF">
              <w:t>39</w:t>
            </w:r>
          </w:p>
        </w:tc>
        <w:tc>
          <w:tcPr>
            <w:tcW w:w="283" w:type="pct"/>
            <w:hideMark/>
          </w:tcPr>
          <w:p w14:paraId="64F589F5" w14:textId="77777777" w:rsidR="00CF72D5" w:rsidRPr="002029AF" w:rsidRDefault="00CF72D5" w:rsidP="00F16765">
            <w:pPr>
              <w:pStyle w:val="ARtabletextrightbold"/>
              <w:spacing w:before="40" w:after="30"/>
            </w:pPr>
            <w:r w:rsidRPr="002029AF">
              <w:t>36.5</w:t>
            </w:r>
          </w:p>
        </w:tc>
      </w:tr>
    </w:tbl>
    <w:p w14:paraId="1AEC0097" w14:textId="77777777" w:rsidR="00CF72D5" w:rsidRPr="002029AF" w:rsidRDefault="00CF72D5" w:rsidP="00F16765">
      <w:pPr>
        <w:pStyle w:val="ARtablefootnote"/>
        <w:keepNext/>
        <w:rPr>
          <w:rFonts w:eastAsia="Times"/>
        </w:rPr>
      </w:pPr>
      <w:r w:rsidRPr="002029AF">
        <w:rPr>
          <w:rFonts w:eastAsia="Times"/>
        </w:rPr>
        <w:lastRenderedPageBreak/>
        <w:t>Notes:</w:t>
      </w:r>
    </w:p>
    <w:p w14:paraId="6ADF5D78" w14:textId="5C025E8E" w:rsidR="00CF72D5" w:rsidRPr="002029AF" w:rsidRDefault="00CF72D5" w:rsidP="00F16765">
      <w:pPr>
        <w:pStyle w:val="ARtablefootnote"/>
        <w:keepNext/>
      </w:pPr>
      <w:r w:rsidRPr="002029AF">
        <w:t>na</w:t>
      </w:r>
      <w:r w:rsidR="000A5329" w:rsidRPr="002029AF">
        <w:t xml:space="preserve"> </w:t>
      </w:r>
      <w:r w:rsidRPr="002029AF">
        <w:t>=</w:t>
      </w:r>
      <w:r w:rsidR="000A5329" w:rsidRPr="002029AF">
        <w:t xml:space="preserve"> </w:t>
      </w:r>
      <w:r w:rsidRPr="002029AF">
        <w:t>not</w:t>
      </w:r>
      <w:r w:rsidR="000A5329" w:rsidRPr="002029AF">
        <w:t xml:space="preserve"> </w:t>
      </w:r>
      <w:r w:rsidRPr="002029AF">
        <w:t>available</w:t>
      </w:r>
    </w:p>
    <w:p w14:paraId="4C4ED59F" w14:textId="023BB9B0" w:rsidR="5AF483A2" w:rsidRPr="002029AF" w:rsidRDefault="00A763C6" w:rsidP="13A22670">
      <w:pPr>
        <w:pStyle w:val="ARtablefootnote"/>
      </w:pPr>
      <w:r w:rsidRPr="002029AF">
        <w:t>STS</w:t>
      </w:r>
      <w:r w:rsidR="000A5329" w:rsidRPr="002029AF">
        <w:t xml:space="preserve"> </w:t>
      </w:r>
      <w:r w:rsidR="08AC206F" w:rsidRPr="002029AF">
        <w:t>=</w:t>
      </w:r>
      <w:r w:rsidR="000A5329" w:rsidRPr="002029AF">
        <w:t xml:space="preserve"> </w:t>
      </w:r>
      <w:r w:rsidRPr="002029AF">
        <w:t>Senior</w:t>
      </w:r>
      <w:r w:rsidR="000A5329" w:rsidRPr="002029AF">
        <w:t xml:space="preserve"> </w:t>
      </w:r>
      <w:r w:rsidRPr="002029AF">
        <w:t>Technical</w:t>
      </w:r>
      <w:r w:rsidR="000A5329" w:rsidRPr="002029AF">
        <w:t xml:space="preserve"> </w:t>
      </w:r>
      <w:r w:rsidRPr="002029AF">
        <w:t>Specialist</w:t>
      </w:r>
    </w:p>
    <w:p w14:paraId="16D7018D" w14:textId="361AFFA6" w:rsidR="5AF483A2" w:rsidRPr="002029AF" w:rsidRDefault="08AC206F" w:rsidP="13A22670">
      <w:pPr>
        <w:pStyle w:val="ARtablefootnote"/>
      </w:pPr>
      <w:r w:rsidRPr="002029AF">
        <w:t>SMA</w:t>
      </w:r>
      <w:r w:rsidR="000A5329" w:rsidRPr="002029AF">
        <w:t xml:space="preserve"> </w:t>
      </w:r>
      <w:r w:rsidRPr="002029AF">
        <w:t>=</w:t>
      </w:r>
      <w:r w:rsidR="000A5329" w:rsidRPr="002029AF">
        <w:t xml:space="preserve"> </w:t>
      </w:r>
      <w:r w:rsidRPr="002029AF">
        <w:t>Senior</w:t>
      </w:r>
      <w:r w:rsidR="000A5329" w:rsidRPr="002029AF">
        <w:t xml:space="preserve"> </w:t>
      </w:r>
      <w:r w:rsidRPr="002029AF">
        <w:t>Medical</w:t>
      </w:r>
      <w:r w:rsidR="000A5329" w:rsidRPr="002029AF">
        <w:t xml:space="preserve"> </w:t>
      </w:r>
      <w:r w:rsidRPr="002029AF">
        <w:t>Advisor</w:t>
      </w:r>
    </w:p>
    <w:p w14:paraId="1611C2C7" w14:textId="39F1B688" w:rsidR="00CF72D5" w:rsidRPr="002029AF" w:rsidRDefault="00CF72D5" w:rsidP="00897193">
      <w:pPr>
        <w:pStyle w:val="ARtablefootnote"/>
        <w:rPr>
          <w:rFonts w:eastAsia="Times"/>
        </w:rPr>
      </w:pPr>
      <w:r w:rsidRPr="002029AF">
        <w:rPr>
          <w:rFonts w:eastAsia="Times"/>
        </w:rPr>
        <w:t>Rounding</w:t>
      </w:r>
      <w:r w:rsidR="000A5329" w:rsidRPr="002029AF">
        <w:rPr>
          <w:rFonts w:eastAsia="Times"/>
        </w:rPr>
        <w:t xml:space="preserve"> </w:t>
      </w:r>
      <w:r w:rsidRPr="002029AF">
        <w:rPr>
          <w:rFonts w:eastAsia="Times"/>
        </w:rPr>
        <w:t>errors</w:t>
      </w:r>
      <w:r w:rsidR="000A5329" w:rsidRPr="002029AF">
        <w:rPr>
          <w:rFonts w:eastAsia="Times"/>
        </w:rPr>
        <w:t xml:space="preserve"> </w:t>
      </w:r>
      <w:r w:rsidRPr="002029AF">
        <w:rPr>
          <w:rFonts w:eastAsia="Times"/>
        </w:rPr>
        <w:t>may</w:t>
      </w:r>
      <w:r w:rsidR="000A5329" w:rsidRPr="002029AF">
        <w:rPr>
          <w:rFonts w:eastAsia="Times"/>
        </w:rPr>
        <w:t xml:space="preserve"> </w:t>
      </w:r>
      <w:r w:rsidRPr="002029AF">
        <w:rPr>
          <w:rFonts w:eastAsia="Times"/>
        </w:rPr>
        <w:t>be</w:t>
      </w:r>
      <w:r w:rsidR="000A5329" w:rsidRPr="002029AF">
        <w:rPr>
          <w:rFonts w:eastAsia="Times"/>
        </w:rPr>
        <w:t xml:space="preserve"> </w:t>
      </w:r>
      <w:r w:rsidRPr="002029AF">
        <w:rPr>
          <w:rFonts w:eastAsia="Times"/>
        </w:rPr>
        <w:t>present</w:t>
      </w:r>
      <w:r w:rsidR="000A5329" w:rsidRPr="002029AF">
        <w:rPr>
          <w:rFonts w:eastAsia="Times"/>
        </w:rPr>
        <w:t xml:space="preserve"> </w:t>
      </w:r>
      <w:r w:rsidRPr="002029AF">
        <w:rPr>
          <w:rFonts w:eastAsia="Times"/>
        </w:rPr>
        <w:t>in</w:t>
      </w:r>
      <w:r w:rsidR="000A5329" w:rsidRPr="002029AF">
        <w:rPr>
          <w:rFonts w:eastAsia="Times"/>
        </w:rPr>
        <w:t xml:space="preserve"> </w:t>
      </w:r>
      <w:r w:rsidRPr="002029AF">
        <w:rPr>
          <w:rFonts w:eastAsia="Times"/>
        </w:rPr>
        <w:t>FTE</w:t>
      </w:r>
      <w:r w:rsidR="000A5329" w:rsidRPr="002029AF">
        <w:rPr>
          <w:rFonts w:eastAsia="Times"/>
        </w:rPr>
        <w:t xml:space="preserve"> </w:t>
      </w:r>
      <w:r w:rsidRPr="002029AF">
        <w:rPr>
          <w:rFonts w:eastAsia="Times"/>
        </w:rPr>
        <w:t>tables</w:t>
      </w:r>
      <w:r w:rsidR="000A5329" w:rsidRPr="002029AF">
        <w:rPr>
          <w:rFonts w:eastAsia="Times"/>
        </w:rPr>
        <w:t xml:space="preserve"> </w:t>
      </w:r>
      <w:r w:rsidRPr="002029AF">
        <w:rPr>
          <w:rFonts w:eastAsia="Times"/>
        </w:rPr>
        <w:t>due</w:t>
      </w:r>
      <w:r w:rsidR="000A5329" w:rsidRPr="002029AF">
        <w:rPr>
          <w:rFonts w:eastAsia="Times"/>
        </w:rPr>
        <w:t xml:space="preserve"> </w:t>
      </w:r>
      <w:r w:rsidRPr="002029AF">
        <w:rPr>
          <w:rFonts w:eastAsia="Times"/>
        </w:rPr>
        <w:t>to</w:t>
      </w:r>
      <w:r w:rsidR="000A5329" w:rsidRPr="002029AF">
        <w:rPr>
          <w:rFonts w:eastAsia="Times"/>
        </w:rPr>
        <w:t xml:space="preserve"> </w:t>
      </w:r>
      <w:r w:rsidRPr="002029AF">
        <w:rPr>
          <w:rFonts w:eastAsia="Times"/>
        </w:rPr>
        <w:t>data</w:t>
      </w:r>
      <w:r w:rsidR="000A5329" w:rsidRPr="002029AF">
        <w:rPr>
          <w:rFonts w:eastAsia="Times"/>
        </w:rPr>
        <w:t xml:space="preserve"> </w:t>
      </w:r>
      <w:r w:rsidRPr="002029AF">
        <w:rPr>
          <w:rFonts w:eastAsia="Times"/>
        </w:rPr>
        <w:t>being</w:t>
      </w:r>
      <w:r w:rsidR="000A5329" w:rsidRPr="002029AF">
        <w:rPr>
          <w:rFonts w:eastAsia="Times"/>
        </w:rPr>
        <w:t xml:space="preserve"> </w:t>
      </w:r>
      <w:r w:rsidRPr="002029AF">
        <w:rPr>
          <w:rFonts w:eastAsia="Times"/>
        </w:rPr>
        <w:t>formatted</w:t>
      </w:r>
      <w:r w:rsidR="000A5329" w:rsidRPr="002029AF">
        <w:rPr>
          <w:rFonts w:eastAsia="Times"/>
        </w:rPr>
        <w:t xml:space="preserve"> </w:t>
      </w:r>
      <w:r w:rsidRPr="002029AF">
        <w:rPr>
          <w:rFonts w:eastAsia="Times"/>
        </w:rPr>
        <w:t>to</w:t>
      </w:r>
      <w:r w:rsidR="000A5329" w:rsidRPr="002029AF">
        <w:rPr>
          <w:rFonts w:eastAsia="Times"/>
        </w:rPr>
        <w:t xml:space="preserve"> </w:t>
      </w:r>
      <w:r w:rsidRPr="002029AF">
        <w:rPr>
          <w:rFonts w:eastAsia="Times"/>
        </w:rPr>
        <w:t>one</w:t>
      </w:r>
      <w:r w:rsidR="000A5329" w:rsidRPr="002029AF">
        <w:rPr>
          <w:rFonts w:eastAsia="Times"/>
        </w:rPr>
        <w:t xml:space="preserve"> </w:t>
      </w:r>
      <w:r w:rsidRPr="002029AF">
        <w:rPr>
          <w:rFonts w:eastAsia="Times"/>
        </w:rPr>
        <w:t>decimal</w:t>
      </w:r>
      <w:r w:rsidR="000A5329" w:rsidRPr="002029AF">
        <w:rPr>
          <w:rFonts w:eastAsia="Times"/>
        </w:rPr>
        <w:t xml:space="preserve"> </w:t>
      </w:r>
      <w:r w:rsidRPr="002029AF">
        <w:rPr>
          <w:rFonts w:eastAsia="Times"/>
        </w:rPr>
        <w:t>place.</w:t>
      </w:r>
    </w:p>
    <w:p w14:paraId="4269FB46" w14:textId="45AB4206" w:rsidR="00CF72D5" w:rsidRPr="002029AF" w:rsidRDefault="00CF72D5" w:rsidP="00897193">
      <w:pPr>
        <w:pStyle w:val="ARtablefootnote"/>
        <w:rPr>
          <w:rFonts w:eastAsia="Times"/>
        </w:rPr>
      </w:pPr>
      <w:r w:rsidRPr="002029AF">
        <w:rPr>
          <w:rFonts w:eastAsia="Times"/>
        </w:rPr>
        <w:t>‘Other’</w:t>
      </w:r>
      <w:r w:rsidR="000A5329" w:rsidRPr="002029AF">
        <w:rPr>
          <w:rFonts w:eastAsia="Times"/>
        </w:rPr>
        <w:t xml:space="preserve"> </w:t>
      </w:r>
      <w:r w:rsidRPr="002029AF">
        <w:rPr>
          <w:rFonts w:eastAsia="Times"/>
        </w:rPr>
        <w:t>classification</w:t>
      </w:r>
      <w:r w:rsidR="000A5329" w:rsidRPr="002029AF">
        <w:rPr>
          <w:rFonts w:eastAsia="Times"/>
        </w:rPr>
        <w:t xml:space="preserve"> </w:t>
      </w:r>
      <w:r w:rsidRPr="002029AF">
        <w:rPr>
          <w:rFonts w:eastAsia="Times"/>
        </w:rPr>
        <w:t>group</w:t>
      </w:r>
      <w:r w:rsidR="000A5329" w:rsidRPr="002029AF">
        <w:rPr>
          <w:rFonts w:eastAsia="Times"/>
        </w:rPr>
        <w:t xml:space="preserve"> </w:t>
      </w:r>
      <w:r w:rsidRPr="002029AF">
        <w:rPr>
          <w:rFonts w:eastAsia="Times"/>
        </w:rPr>
        <w:t>may</w:t>
      </w:r>
      <w:r w:rsidR="000A5329" w:rsidRPr="002029AF">
        <w:rPr>
          <w:rFonts w:eastAsia="Times"/>
        </w:rPr>
        <w:t xml:space="preserve"> </w:t>
      </w:r>
      <w:r w:rsidRPr="002029AF">
        <w:rPr>
          <w:rFonts w:eastAsia="Times"/>
        </w:rPr>
        <w:t>include</w:t>
      </w:r>
      <w:r w:rsidR="000A5329" w:rsidRPr="002029AF">
        <w:rPr>
          <w:rFonts w:eastAsia="Times"/>
        </w:rPr>
        <w:t xml:space="preserve"> </w:t>
      </w:r>
      <w:r w:rsidRPr="002029AF">
        <w:rPr>
          <w:rFonts w:eastAsia="Times"/>
        </w:rPr>
        <w:t>solicitors,</w:t>
      </w:r>
      <w:r w:rsidR="000A5329" w:rsidRPr="002029AF">
        <w:rPr>
          <w:rFonts w:eastAsia="Times"/>
        </w:rPr>
        <w:t xml:space="preserve"> </w:t>
      </w:r>
      <w:r w:rsidRPr="002029AF">
        <w:rPr>
          <w:rFonts w:eastAsia="Times"/>
        </w:rPr>
        <w:t>nurses,</w:t>
      </w:r>
      <w:r w:rsidR="000A5329" w:rsidRPr="002029AF">
        <w:rPr>
          <w:rFonts w:eastAsia="Times"/>
        </w:rPr>
        <w:t xml:space="preserve"> </w:t>
      </w:r>
      <w:r w:rsidRPr="002029AF">
        <w:rPr>
          <w:rFonts w:eastAsia="Times"/>
        </w:rPr>
        <w:t>trade</w:t>
      </w:r>
      <w:r w:rsidR="000A5329" w:rsidRPr="002029AF">
        <w:rPr>
          <w:rFonts w:eastAsia="Times"/>
        </w:rPr>
        <w:t xml:space="preserve"> </w:t>
      </w:r>
      <w:r w:rsidRPr="002029AF">
        <w:rPr>
          <w:rFonts w:eastAsia="Times"/>
        </w:rPr>
        <w:t>assistants,</w:t>
      </w:r>
      <w:r w:rsidR="000A5329" w:rsidRPr="002029AF">
        <w:rPr>
          <w:rFonts w:eastAsia="Times"/>
        </w:rPr>
        <w:t xml:space="preserve"> </w:t>
      </w:r>
      <w:r w:rsidRPr="002029AF">
        <w:rPr>
          <w:rFonts w:eastAsia="Times"/>
        </w:rPr>
        <w:t>scientists,</w:t>
      </w:r>
      <w:r w:rsidR="000A5329" w:rsidRPr="002029AF">
        <w:rPr>
          <w:rFonts w:eastAsia="Times"/>
        </w:rPr>
        <w:t xml:space="preserve"> </w:t>
      </w:r>
      <w:r w:rsidRPr="002029AF">
        <w:rPr>
          <w:rFonts w:eastAsia="Times"/>
        </w:rPr>
        <w:t>external</w:t>
      </w:r>
      <w:r w:rsidR="000A5329" w:rsidRPr="002029AF">
        <w:rPr>
          <w:rFonts w:eastAsia="Times"/>
        </w:rPr>
        <w:t xml:space="preserve"> </w:t>
      </w:r>
      <w:r w:rsidRPr="002029AF">
        <w:rPr>
          <w:rFonts w:eastAsia="Times"/>
        </w:rPr>
        <w:t>auditors.</w:t>
      </w:r>
    </w:p>
    <w:p w14:paraId="76D981FF" w14:textId="7EA13704" w:rsidR="00CF72D5" w:rsidRPr="002029AF" w:rsidRDefault="00CF72D5" w:rsidP="00897193">
      <w:pPr>
        <w:pStyle w:val="ARtablefootnote"/>
      </w:pPr>
      <w:r w:rsidRPr="002029AF">
        <w:rPr>
          <w:rFonts w:cs="Arial"/>
          <w:color w:val="000000"/>
        </w:rPr>
        <w:t>Data</w:t>
      </w:r>
      <w:r w:rsidR="000A5329" w:rsidRPr="002029AF">
        <w:rPr>
          <w:rFonts w:cs="Arial"/>
          <w:color w:val="000000"/>
        </w:rPr>
        <w:t xml:space="preserve"> </w:t>
      </w:r>
      <w:r w:rsidRPr="002029AF">
        <w:rPr>
          <w:rFonts w:cs="Arial"/>
          <w:color w:val="000000"/>
        </w:rPr>
        <w:t>as</w:t>
      </w:r>
      <w:r w:rsidR="000A5329" w:rsidRPr="002029AF">
        <w:rPr>
          <w:rFonts w:cs="Arial"/>
          <w:color w:val="000000"/>
        </w:rPr>
        <w:t xml:space="preserve"> </w:t>
      </w:r>
      <w:r w:rsidRPr="002029AF">
        <w:rPr>
          <w:rFonts w:cs="Arial"/>
          <w:color w:val="000000"/>
        </w:rPr>
        <w:t>at</w:t>
      </w:r>
      <w:r w:rsidR="000A5329" w:rsidRPr="002029AF">
        <w:rPr>
          <w:rFonts w:cs="Arial"/>
          <w:color w:val="000000"/>
        </w:rPr>
        <w:t xml:space="preserve"> </w:t>
      </w:r>
      <w:r w:rsidRPr="002029AF">
        <w:rPr>
          <w:rFonts w:cs="Arial"/>
          <w:color w:val="000000"/>
        </w:rPr>
        <w:t>30</w:t>
      </w:r>
      <w:r w:rsidR="000A5329" w:rsidRPr="002029AF">
        <w:rPr>
          <w:rFonts w:cs="Arial"/>
          <w:color w:val="000000"/>
        </w:rPr>
        <w:t xml:space="preserve"> </w:t>
      </w:r>
      <w:r w:rsidRPr="002029AF">
        <w:rPr>
          <w:rFonts w:cs="Arial"/>
          <w:color w:val="000000"/>
        </w:rPr>
        <w:t>June</w:t>
      </w:r>
      <w:r w:rsidR="000A5329" w:rsidRPr="002029AF">
        <w:rPr>
          <w:rFonts w:cs="Arial"/>
          <w:color w:val="000000"/>
        </w:rPr>
        <w:t xml:space="preserve"> </w:t>
      </w:r>
      <w:r w:rsidRPr="002029AF">
        <w:rPr>
          <w:rFonts w:cs="Arial"/>
          <w:color w:val="000000"/>
        </w:rPr>
        <w:t>2020.</w:t>
      </w:r>
    </w:p>
    <w:p w14:paraId="115CFE1D" w14:textId="77777777" w:rsidR="00CF72D5" w:rsidRPr="002029AF" w:rsidRDefault="00CF72D5" w:rsidP="00897193">
      <w:pPr>
        <w:pStyle w:val="ARbody"/>
        <w:sectPr w:rsidR="00CF72D5" w:rsidRPr="002029AF" w:rsidSect="00E25B23">
          <w:footerReference w:type="even" r:id="rId125"/>
          <w:pgSz w:w="16838" w:h="11906" w:orient="landscape" w:code="9"/>
          <w:pgMar w:top="1418" w:right="1985" w:bottom="1418" w:left="851" w:header="851" w:footer="851" w:gutter="0"/>
          <w:cols w:space="454"/>
          <w:docGrid w:linePitch="360"/>
          <w15:footnoteColumns w:val="1"/>
        </w:sectPr>
      </w:pPr>
    </w:p>
    <w:p w14:paraId="378D565C" w14:textId="46412FE9" w:rsidR="00CF72D5" w:rsidRPr="002029AF" w:rsidRDefault="00CF72D5" w:rsidP="00897193">
      <w:pPr>
        <w:pStyle w:val="Heading4"/>
        <w:spacing w:before="0"/>
      </w:pPr>
      <w:r w:rsidRPr="002029AF">
        <w:lastRenderedPageBreak/>
        <w:t>Annualised</w:t>
      </w:r>
      <w:r w:rsidR="000A5329" w:rsidRPr="002029AF">
        <w:t xml:space="preserve"> </w:t>
      </w:r>
      <w:r w:rsidRPr="002029AF">
        <w:t>total</w:t>
      </w:r>
      <w:r w:rsidR="000A5329" w:rsidRPr="002029AF">
        <w:t xml:space="preserve"> </w:t>
      </w:r>
      <w:r w:rsidRPr="002029AF">
        <w:t>salary,</w:t>
      </w:r>
      <w:r w:rsidR="000A5329" w:rsidRPr="002029AF">
        <w:t xml:space="preserve"> </w:t>
      </w:r>
      <w:r w:rsidRPr="002029AF">
        <w:t>by</w:t>
      </w:r>
      <w:r w:rsidR="000A5329" w:rsidRPr="002029AF">
        <w:t xml:space="preserve"> </w:t>
      </w:r>
      <w:r w:rsidRPr="002029AF">
        <w:t>$20,000</w:t>
      </w:r>
      <w:r w:rsidR="000A5329" w:rsidRPr="002029AF">
        <w:t xml:space="preserve"> </w:t>
      </w:r>
      <w:r w:rsidRPr="002029AF">
        <w:t>bands,</w:t>
      </w:r>
      <w:r w:rsidR="000A5329" w:rsidRPr="002029AF">
        <w:t xml:space="preserve"> </w:t>
      </w:r>
      <w:r w:rsidRPr="002029AF">
        <w:t>for</w:t>
      </w:r>
      <w:r w:rsidR="000A5329" w:rsidRPr="002029AF">
        <w:t xml:space="preserve"> </w:t>
      </w:r>
      <w:r w:rsidRPr="002029AF">
        <w:t>executives</w:t>
      </w:r>
      <w:r w:rsidR="000A5329" w:rsidRPr="002029AF">
        <w:t xml:space="preserve"> </w:t>
      </w:r>
      <w:r w:rsidRPr="002029AF">
        <w:t>and</w:t>
      </w:r>
      <w:r w:rsidR="000A5329" w:rsidRPr="002029AF">
        <w:t xml:space="preserve"> </w:t>
      </w:r>
      <w:r w:rsidRPr="002029AF">
        <w:t>other</w:t>
      </w:r>
      <w:r w:rsidR="000A5329" w:rsidRPr="002029AF">
        <w:t xml:space="preserve"> </w:t>
      </w:r>
      <w:r w:rsidRPr="002029AF">
        <w:t>senior</w:t>
      </w:r>
      <w:r w:rsidR="000A5329" w:rsidRPr="002029AF">
        <w:t xml:space="preserve"> </w:t>
      </w:r>
      <w:r w:rsidRPr="002029AF">
        <w:br/>
        <w:t>non-executive</w:t>
      </w:r>
      <w:r w:rsidR="000A5329" w:rsidRPr="002029AF">
        <w:t xml:space="preserve"> </w:t>
      </w:r>
      <w:r w:rsidRPr="002029AF">
        <w:t>staff</w:t>
      </w:r>
    </w:p>
    <w:tbl>
      <w:tblPr>
        <w:tblW w:w="9645"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1E0" w:firstRow="1" w:lastRow="1" w:firstColumn="1" w:lastColumn="1" w:noHBand="0" w:noVBand="0"/>
      </w:tblPr>
      <w:tblGrid>
        <w:gridCol w:w="2699"/>
        <w:gridCol w:w="1418"/>
        <w:gridCol w:w="1134"/>
        <w:gridCol w:w="1134"/>
        <w:gridCol w:w="1134"/>
        <w:gridCol w:w="1134"/>
        <w:gridCol w:w="992"/>
      </w:tblGrid>
      <w:tr w:rsidR="00CF72D5" w:rsidRPr="002029AF" w14:paraId="0037D076" w14:textId="77777777" w:rsidTr="00897193">
        <w:trPr>
          <w:cantSplit/>
          <w:tblHeader/>
        </w:trPr>
        <w:tc>
          <w:tcPr>
            <w:tcW w:w="1399" w:type="pct"/>
            <w:tcBorders>
              <w:top w:val="nil"/>
              <w:bottom w:val="single" w:sz="4" w:space="0" w:color="auto"/>
            </w:tcBorders>
            <w:shd w:val="clear" w:color="auto" w:fill="auto"/>
          </w:tcPr>
          <w:p w14:paraId="4436C743" w14:textId="587FA078" w:rsidR="00CF72D5" w:rsidRPr="002029AF" w:rsidRDefault="00CF72D5" w:rsidP="00897193">
            <w:pPr>
              <w:pStyle w:val="ARtablecolhead"/>
            </w:pPr>
            <w:r w:rsidRPr="002029AF">
              <w:t>Income</w:t>
            </w:r>
            <w:r w:rsidR="000A5329" w:rsidRPr="002029AF">
              <w:t xml:space="preserve"> </w:t>
            </w:r>
            <w:r w:rsidRPr="002029AF">
              <w:t>band</w:t>
            </w:r>
            <w:r w:rsidR="000A5329" w:rsidRPr="002029AF">
              <w:t xml:space="preserve"> </w:t>
            </w:r>
            <w:r w:rsidRPr="002029AF">
              <w:t>(salary)</w:t>
            </w:r>
          </w:p>
        </w:tc>
        <w:tc>
          <w:tcPr>
            <w:tcW w:w="735" w:type="pct"/>
            <w:tcBorders>
              <w:top w:val="nil"/>
              <w:bottom w:val="single" w:sz="4" w:space="0" w:color="auto"/>
            </w:tcBorders>
            <w:shd w:val="clear" w:color="auto" w:fill="auto"/>
            <w:vAlign w:val="bottom"/>
          </w:tcPr>
          <w:p w14:paraId="048725E4" w14:textId="77777777" w:rsidR="00CF72D5" w:rsidRPr="002029AF" w:rsidRDefault="00CF72D5" w:rsidP="00897193">
            <w:pPr>
              <w:pStyle w:val="ARtablecolheadright"/>
            </w:pPr>
            <w:r w:rsidRPr="002029AF">
              <w:t>Executives</w:t>
            </w:r>
          </w:p>
        </w:tc>
        <w:tc>
          <w:tcPr>
            <w:tcW w:w="588" w:type="pct"/>
            <w:tcBorders>
              <w:top w:val="nil"/>
              <w:bottom w:val="single" w:sz="4" w:space="0" w:color="auto"/>
            </w:tcBorders>
            <w:shd w:val="clear" w:color="auto" w:fill="auto"/>
            <w:vAlign w:val="bottom"/>
          </w:tcPr>
          <w:p w14:paraId="4FC5596B" w14:textId="77777777" w:rsidR="00CF72D5" w:rsidRPr="002029AF" w:rsidRDefault="00CF72D5" w:rsidP="00897193">
            <w:pPr>
              <w:pStyle w:val="ARtablecolheadright"/>
            </w:pPr>
            <w:r w:rsidRPr="002029AF">
              <w:t>STS</w:t>
            </w:r>
          </w:p>
        </w:tc>
        <w:tc>
          <w:tcPr>
            <w:tcW w:w="588" w:type="pct"/>
            <w:tcBorders>
              <w:top w:val="nil"/>
              <w:bottom w:val="single" w:sz="4" w:space="0" w:color="auto"/>
            </w:tcBorders>
            <w:shd w:val="clear" w:color="auto" w:fill="auto"/>
            <w:vAlign w:val="bottom"/>
          </w:tcPr>
          <w:p w14:paraId="6104438C" w14:textId="77777777" w:rsidR="00CF72D5" w:rsidRPr="002029AF" w:rsidRDefault="00CF72D5" w:rsidP="00897193">
            <w:pPr>
              <w:pStyle w:val="ARtablecolheadright"/>
            </w:pPr>
            <w:r w:rsidRPr="002029AF">
              <w:t>PS</w:t>
            </w:r>
          </w:p>
        </w:tc>
        <w:tc>
          <w:tcPr>
            <w:tcW w:w="588" w:type="pct"/>
            <w:tcBorders>
              <w:top w:val="nil"/>
              <w:bottom w:val="single" w:sz="4" w:space="0" w:color="auto"/>
            </w:tcBorders>
            <w:vAlign w:val="bottom"/>
          </w:tcPr>
          <w:p w14:paraId="7BA03E5A" w14:textId="77777777" w:rsidR="00CF72D5" w:rsidRPr="002029AF" w:rsidRDefault="00CF72D5" w:rsidP="00897193">
            <w:pPr>
              <w:pStyle w:val="ARtablecolheadright"/>
            </w:pPr>
            <w:r w:rsidRPr="002029AF">
              <w:t>SMA</w:t>
            </w:r>
          </w:p>
        </w:tc>
        <w:tc>
          <w:tcPr>
            <w:tcW w:w="588" w:type="pct"/>
            <w:tcBorders>
              <w:top w:val="nil"/>
              <w:bottom w:val="single" w:sz="4" w:space="0" w:color="auto"/>
            </w:tcBorders>
            <w:vAlign w:val="bottom"/>
          </w:tcPr>
          <w:p w14:paraId="4D85037F" w14:textId="77777777" w:rsidR="00CF72D5" w:rsidRPr="002029AF" w:rsidRDefault="00CF72D5" w:rsidP="00897193">
            <w:pPr>
              <w:pStyle w:val="ARtablecolheadright"/>
            </w:pPr>
            <w:r w:rsidRPr="002029AF">
              <w:t>SRA</w:t>
            </w:r>
          </w:p>
        </w:tc>
        <w:tc>
          <w:tcPr>
            <w:tcW w:w="514" w:type="pct"/>
            <w:tcBorders>
              <w:top w:val="nil"/>
              <w:bottom w:val="single" w:sz="4" w:space="0" w:color="auto"/>
            </w:tcBorders>
            <w:vAlign w:val="bottom"/>
          </w:tcPr>
          <w:p w14:paraId="02E40245" w14:textId="77777777" w:rsidR="00CF72D5" w:rsidRPr="002029AF" w:rsidRDefault="00CF72D5" w:rsidP="00897193">
            <w:pPr>
              <w:pStyle w:val="ARtablecolheadright"/>
            </w:pPr>
            <w:r w:rsidRPr="002029AF">
              <w:t>Other</w:t>
            </w:r>
          </w:p>
        </w:tc>
      </w:tr>
      <w:tr w:rsidR="00CF72D5" w:rsidRPr="002029AF" w14:paraId="5E51DA6D" w14:textId="77777777" w:rsidTr="00897193">
        <w:trPr>
          <w:cantSplit/>
        </w:trPr>
        <w:tc>
          <w:tcPr>
            <w:tcW w:w="1399" w:type="pct"/>
            <w:tcBorders>
              <w:top w:val="single" w:sz="4" w:space="0" w:color="auto"/>
              <w:bottom w:val="single" w:sz="4" w:space="0" w:color="auto"/>
            </w:tcBorders>
            <w:shd w:val="clear" w:color="auto" w:fill="auto"/>
          </w:tcPr>
          <w:p w14:paraId="7844E59B" w14:textId="203A7E5E" w:rsidR="00CF72D5" w:rsidRPr="002029AF" w:rsidRDefault="00CF72D5" w:rsidP="00897193">
            <w:pPr>
              <w:pStyle w:val="ARtabletext"/>
            </w:pPr>
            <w:r w:rsidRPr="002029AF">
              <w:t>&lt;</w:t>
            </w:r>
            <w:r w:rsidR="000A5329" w:rsidRPr="002029AF">
              <w:t xml:space="preserve"> </w:t>
            </w:r>
            <w:r w:rsidRPr="002029AF">
              <w:t>$160,000</w:t>
            </w:r>
          </w:p>
        </w:tc>
        <w:tc>
          <w:tcPr>
            <w:tcW w:w="735" w:type="pct"/>
            <w:tcBorders>
              <w:top w:val="single" w:sz="4" w:space="0" w:color="auto"/>
              <w:bottom w:val="single" w:sz="4" w:space="0" w:color="auto"/>
            </w:tcBorders>
            <w:shd w:val="clear" w:color="auto" w:fill="auto"/>
          </w:tcPr>
          <w:p w14:paraId="062958A1" w14:textId="77777777" w:rsidR="00CF72D5" w:rsidRPr="002029AF" w:rsidRDefault="00CF72D5" w:rsidP="00897193">
            <w:pPr>
              <w:pStyle w:val="ARtabletextright"/>
            </w:pPr>
          </w:p>
        </w:tc>
        <w:tc>
          <w:tcPr>
            <w:tcW w:w="588" w:type="pct"/>
            <w:tcBorders>
              <w:top w:val="single" w:sz="4" w:space="0" w:color="auto"/>
              <w:bottom w:val="single" w:sz="4" w:space="0" w:color="auto"/>
            </w:tcBorders>
            <w:shd w:val="clear" w:color="auto" w:fill="auto"/>
          </w:tcPr>
          <w:p w14:paraId="7B39BC60" w14:textId="77777777" w:rsidR="00CF72D5" w:rsidRPr="002029AF" w:rsidRDefault="00CF72D5" w:rsidP="00897193">
            <w:pPr>
              <w:pStyle w:val="ARtabletextright"/>
            </w:pPr>
          </w:p>
        </w:tc>
        <w:tc>
          <w:tcPr>
            <w:tcW w:w="588" w:type="pct"/>
            <w:tcBorders>
              <w:top w:val="single" w:sz="4" w:space="0" w:color="auto"/>
              <w:bottom w:val="single" w:sz="4" w:space="0" w:color="auto"/>
            </w:tcBorders>
            <w:shd w:val="clear" w:color="auto" w:fill="auto"/>
          </w:tcPr>
          <w:p w14:paraId="70FCAF4D"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28DE03B3"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6840C510"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17D4EB41" w14:textId="77777777" w:rsidR="00CF72D5" w:rsidRPr="002029AF" w:rsidRDefault="00CF72D5" w:rsidP="00897193">
            <w:pPr>
              <w:pStyle w:val="ARtabletextright"/>
            </w:pPr>
          </w:p>
        </w:tc>
      </w:tr>
      <w:tr w:rsidR="00CF72D5" w:rsidRPr="002029AF" w14:paraId="1AB2E9EF" w14:textId="77777777" w:rsidTr="00897193">
        <w:trPr>
          <w:cantSplit/>
        </w:trPr>
        <w:tc>
          <w:tcPr>
            <w:tcW w:w="1399" w:type="pct"/>
            <w:tcBorders>
              <w:top w:val="single" w:sz="4" w:space="0" w:color="auto"/>
              <w:bottom w:val="single" w:sz="4" w:space="0" w:color="auto"/>
            </w:tcBorders>
            <w:shd w:val="clear" w:color="auto" w:fill="auto"/>
          </w:tcPr>
          <w:p w14:paraId="0535822F" w14:textId="77777777" w:rsidR="00CF72D5" w:rsidRPr="002029AF" w:rsidRDefault="00CF72D5" w:rsidP="00897193">
            <w:pPr>
              <w:pStyle w:val="ARtabletext"/>
            </w:pPr>
            <w:r w:rsidRPr="002029AF">
              <w:t>$160,000–$179,999</w:t>
            </w:r>
          </w:p>
        </w:tc>
        <w:tc>
          <w:tcPr>
            <w:tcW w:w="735" w:type="pct"/>
            <w:tcBorders>
              <w:top w:val="single" w:sz="4" w:space="0" w:color="auto"/>
              <w:bottom w:val="single" w:sz="4" w:space="0" w:color="auto"/>
            </w:tcBorders>
            <w:shd w:val="clear" w:color="auto" w:fill="auto"/>
          </w:tcPr>
          <w:p w14:paraId="70CFFED7" w14:textId="77777777" w:rsidR="00CF72D5" w:rsidRPr="002029AF" w:rsidRDefault="00CF72D5" w:rsidP="00897193">
            <w:pPr>
              <w:pStyle w:val="ARtabletextright"/>
              <w:rPr>
                <w:color w:val="000000" w:themeColor="text1"/>
              </w:rPr>
            </w:pPr>
            <w:r w:rsidRPr="002029AF">
              <w:rPr>
                <w:color w:val="000000" w:themeColor="text1"/>
              </w:rPr>
              <w:t>2</w:t>
            </w:r>
          </w:p>
        </w:tc>
        <w:tc>
          <w:tcPr>
            <w:tcW w:w="588" w:type="pct"/>
            <w:tcBorders>
              <w:top w:val="single" w:sz="4" w:space="0" w:color="auto"/>
              <w:bottom w:val="single" w:sz="4" w:space="0" w:color="auto"/>
            </w:tcBorders>
            <w:shd w:val="clear" w:color="auto" w:fill="auto"/>
          </w:tcPr>
          <w:p w14:paraId="76708007"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54EC8B8C"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tcPr>
          <w:p w14:paraId="11B24F35"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00955377"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7BAF99F9" w14:textId="77777777" w:rsidR="00CF72D5" w:rsidRPr="002029AF" w:rsidRDefault="00CF72D5" w:rsidP="00897193">
            <w:pPr>
              <w:pStyle w:val="ARtabletextright"/>
            </w:pPr>
          </w:p>
        </w:tc>
      </w:tr>
      <w:tr w:rsidR="00CF72D5" w:rsidRPr="002029AF" w14:paraId="0D31FC59" w14:textId="77777777" w:rsidTr="00897193">
        <w:trPr>
          <w:cantSplit/>
        </w:trPr>
        <w:tc>
          <w:tcPr>
            <w:tcW w:w="1399" w:type="pct"/>
            <w:tcBorders>
              <w:top w:val="single" w:sz="4" w:space="0" w:color="auto"/>
              <w:bottom w:val="single" w:sz="4" w:space="0" w:color="auto"/>
            </w:tcBorders>
            <w:shd w:val="clear" w:color="auto" w:fill="auto"/>
          </w:tcPr>
          <w:p w14:paraId="5CC53A3B" w14:textId="77777777" w:rsidR="00CF72D5" w:rsidRPr="002029AF" w:rsidRDefault="00CF72D5" w:rsidP="00897193">
            <w:pPr>
              <w:pStyle w:val="ARtabletext"/>
            </w:pPr>
            <w:r w:rsidRPr="002029AF">
              <w:t>$180,000–$199,999</w:t>
            </w:r>
          </w:p>
        </w:tc>
        <w:tc>
          <w:tcPr>
            <w:tcW w:w="735" w:type="pct"/>
            <w:tcBorders>
              <w:top w:val="single" w:sz="4" w:space="0" w:color="auto"/>
              <w:bottom w:val="single" w:sz="4" w:space="0" w:color="auto"/>
            </w:tcBorders>
            <w:shd w:val="clear" w:color="auto" w:fill="auto"/>
          </w:tcPr>
          <w:p w14:paraId="1557E36B" w14:textId="77777777" w:rsidR="00CF72D5" w:rsidRPr="002029AF" w:rsidRDefault="00CF72D5" w:rsidP="00897193">
            <w:pPr>
              <w:pStyle w:val="ARtabletextright"/>
              <w:rPr>
                <w:color w:val="000000" w:themeColor="text1"/>
              </w:rPr>
            </w:pPr>
            <w:r w:rsidRPr="002029AF">
              <w:rPr>
                <w:color w:val="000000" w:themeColor="text1"/>
              </w:rPr>
              <w:t>2</w:t>
            </w:r>
          </w:p>
        </w:tc>
        <w:tc>
          <w:tcPr>
            <w:tcW w:w="588" w:type="pct"/>
            <w:tcBorders>
              <w:top w:val="single" w:sz="4" w:space="0" w:color="auto"/>
              <w:bottom w:val="single" w:sz="4" w:space="0" w:color="auto"/>
            </w:tcBorders>
            <w:shd w:val="clear" w:color="auto" w:fill="auto"/>
          </w:tcPr>
          <w:p w14:paraId="67BC4E9E" w14:textId="77777777" w:rsidR="00CF72D5" w:rsidRPr="002029AF" w:rsidRDefault="00CF72D5" w:rsidP="00897193">
            <w:pPr>
              <w:pStyle w:val="ARtabletextright"/>
              <w:rPr>
                <w:color w:val="000000" w:themeColor="text1"/>
              </w:rPr>
            </w:pPr>
            <w:r w:rsidRPr="002029AF">
              <w:rPr>
                <w:color w:val="000000" w:themeColor="text1"/>
              </w:rPr>
              <w:t>1</w:t>
            </w:r>
          </w:p>
        </w:tc>
        <w:tc>
          <w:tcPr>
            <w:tcW w:w="588" w:type="pct"/>
            <w:tcBorders>
              <w:top w:val="single" w:sz="4" w:space="0" w:color="auto"/>
              <w:bottom w:val="single" w:sz="4" w:space="0" w:color="auto"/>
            </w:tcBorders>
            <w:shd w:val="clear" w:color="auto" w:fill="auto"/>
          </w:tcPr>
          <w:p w14:paraId="3E20FFEE"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tcPr>
          <w:p w14:paraId="130722F5"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13D4CE26"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65F543AC" w14:textId="77777777" w:rsidR="00CF72D5" w:rsidRPr="002029AF" w:rsidRDefault="00CF72D5" w:rsidP="00897193">
            <w:pPr>
              <w:pStyle w:val="ARtabletextright"/>
            </w:pPr>
          </w:p>
        </w:tc>
      </w:tr>
      <w:tr w:rsidR="00CF72D5" w:rsidRPr="002029AF" w14:paraId="4C507C14" w14:textId="77777777" w:rsidTr="00897193">
        <w:trPr>
          <w:cantSplit/>
        </w:trPr>
        <w:tc>
          <w:tcPr>
            <w:tcW w:w="1399" w:type="pct"/>
            <w:tcBorders>
              <w:top w:val="single" w:sz="4" w:space="0" w:color="auto"/>
              <w:bottom w:val="single" w:sz="4" w:space="0" w:color="auto"/>
            </w:tcBorders>
            <w:shd w:val="clear" w:color="auto" w:fill="auto"/>
          </w:tcPr>
          <w:p w14:paraId="51AA9429" w14:textId="77777777" w:rsidR="00CF72D5" w:rsidRPr="002029AF" w:rsidRDefault="00CF72D5" w:rsidP="00897193">
            <w:pPr>
              <w:pStyle w:val="ARtabletext"/>
            </w:pPr>
            <w:r w:rsidRPr="002029AF">
              <w:t>$200,000–$219,999</w:t>
            </w:r>
          </w:p>
        </w:tc>
        <w:tc>
          <w:tcPr>
            <w:tcW w:w="735" w:type="pct"/>
            <w:tcBorders>
              <w:top w:val="single" w:sz="4" w:space="0" w:color="auto"/>
              <w:bottom w:val="single" w:sz="4" w:space="0" w:color="auto"/>
            </w:tcBorders>
            <w:shd w:val="clear" w:color="auto" w:fill="auto"/>
          </w:tcPr>
          <w:p w14:paraId="1802BAB8" w14:textId="77777777" w:rsidR="00CF72D5" w:rsidRPr="002029AF" w:rsidRDefault="00CF72D5" w:rsidP="00897193">
            <w:pPr>
              <w:pStyle w:val="ARtabletextright"/>
              <w:rPr>
                <w:color w:val="000000" w:themeColor="text1"/>
              </w:rPr>
            </w:pPr>
            <w:r w:rsidRPr="002029AF">
              <w:rPr>
                <w:color w:val="000000" w:themeColor="text1"/>
              </w:rPr>
              <w:t>2</w:t>
            </w:r>
          </w:p>
        </w:tc>
        <w:tc>
          <w:tcPr>
            <w:tcW w:w="588" w:type="pct"/>
            <w:tcBorders>
              <w:top w:val="single" w:sz="4" w:space="0" w:color="auto"/>
              <w:bottom w:val="single" w:sz="4" w:space="0" w:color="auto"/>
            </w:tcBorders>
            <w:shd w:val="clear" w:color="auto" w:fill="auto"/>
          </w:tcPr>
          <w:p w14:paraId="3BC1E5CF"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1899FC2F"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tcPr>
          <w:p w14:paraId="666C6393"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6734E9B3"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73F6560F" w14:textId="77777777" w:rsidR="00CF72D5" w:rsidRPr="002029AF" w:rsidRDefault="00CF72D5" w:rsidP="00897193">
            <w:pPr>
              <w:pStyle w:val="ARtabletextright"/>
            </w:pPr>
          </w:p>
        </w:tc>
      </w:tr>
      <w:tr w:rsidR="00CF72D5" w:rsidRPr="002029AF" w14:paraId="43849C6F" w14:textId="77777777" w:rsidTr="00897193">
        <w:trPr>
          <w:cantSplit/>
        </w:trPr>
        <w:tc>
          <w:tcPr>
            <w:tcW w:w="1399" w:type="pct"/>
            <w:tcBorders>
              <w:top w:val="single" w:sz="4" w:space="0" w:color="auto"/>
              <w:bottom w:val="single" w:sz="4" w:space="0" w:color="auto"/>
            </w:tcBorders>
            <w:shd w:val="clear" w:color="auto" w:fill="auto"/>
          </w:tcPr>
          <w:p w14:paraId="46B4E435" w14:textId="77777777" w:rsidR="00CF72D5" w:rsidRPr="002029AF" w:rsidRDefault="00CF72D5" w:rsidP="00897193">
            <w:pPr>
              <w:pStyle w:val="ARtabletext"/>
            </w:pPr>
            <w:r w:rsidRPr="002029AF">
              <w:t>$220,000–$239,999</w:t>
            </w:r>
          </w:p>
        </w:tc>
        <w:tc>
          <w:tcPr>
            <w:tcW w:w="735" w:type="pct"/>
            <w:tcBorders>
              <w:top w:val="single" w:sz="4" w:space="0" w:color="auto"/>
              <w:bottom w:val="single" w:sz="4" w:space="0" w:color="auto"/>
            </w:tcBorders>
            <w:shd w:val="clear" w:color="auto" w:fill="auto"/>
          </w:tcPr>
          <w:p w14:paraId="24A39009"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31D96763"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7C600AB1"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tcPr>
          <w:p w14:paraId="0B871E51"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59A2C032"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53B435E6" w14:textId="77777777" w:rsidR="00CF72D5" w:rsidRPr="002029AF" w:rsidRDefault="00CF72D5" w:rsidP="00897193">
            <w:pPr>
              <w:pStyle w:val="ARtabletextright"/>
            </w:pPr>
          </w:p>
        </w:tc>
      </w:tr>
      <w:tr w:rsidR="00CF72D5" w:rsidRPr="002029AF" w14:paraId="20AD5701" w14:textId="77777777" w:rsidTr="00897193">
        <w:trPr>
          <w:cantSplit/>
        </w:trPr>
        <w:tc>
          <w:tcPr>
            <w:tcW w:w="1399" w:type="pct"/>
            <w:tcBorders>
              <w:top w:val="single" w:sz="4" w:space="0" w:color="auto"/>
              <w:bottom w:val="single" w:sz="4" w:space="0" w:color="auto"/>
            </w:tcBorders>
            <w:shd w:val="clear" w:color="auto" w:fill="auto"/>
          </w:tcPr>
          <w:p w14:paraId="51722D08" w14:textId="77777777" w:rsidR="00CF72D5" w:rsidRPr="002029AF" w:rsidRDefault="00CF72D5" w:rsidP="00897193">
            <w:pPr>
              <w:pStyle w:val="ARtabletext"/>
            </w:pPr>
            <w:r w:rsidRPr="002029AF">
              <w:t>$240,000–$259,999</w:t>
            </w:r>
          </w:p>
        </w:tc>
        <w:tc>
          <w:tcPr>
            <w:tcW w:w="735" w:type="pct"/>
            <w:tcBorders>
              <w:top w:val="single" w:sz="4" w:space="0" w:color="auto"/>
              <w:bottom w:val="single" w:sz="4" w:space="0" w:color="auto"/>
            </w:tcBorders>
            <w:shd w:val="clear" w:color="auto" w:fill="auto"/>
          </w:tcPr>
          <w:p w14:paraId="24367C87"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5953FABE"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05C7319B"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tcPr>
          <w:p w14:paraId="45C6ADF9"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720CF8CE"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76B1DE62" w14:textId="77777777" w:rsidR="00CF72D5" w:rsidRPr="002029AF" w:rsidRDefault="00CF72D5" w:rsidP="00897193">
            <w:pPr>
              <w:pStyle w:val="ARtabletextright"/>
            </w:pPr>
          </w:p>
        </w:tc>
      </w:tr>
      <w:tr w:rsidR="00CF72D5" w:rsidRPr="002029AF" w14:paraId="52EF94AB" w14:textId="77777777" w:rsidTr="00897193">
        <w:tblPrEx>
          <w:tblLook w:val="04A0" w:firstRow="1" w:lastRow="0" w:firstColumn="1" w:lastColumn="0" w:noHBand="0" w:noVBand="1"/>
        </w:tblPrEx>
        <w:trPr>
          <w:cantSplit/>
        </w:trPr>
        <w:tc>
          <w:tcPr>
            <w:tcW w:w="1399" w:type="pct"/>
            <w:tcBorders>
              <w:top w:val="single" w:sz="4" w:space="0" w:color="auto"/>
              <w:bottom w:val="single" w:sz="4" w:space="0" w:color="auto"/>
            </w:tcBorders>
            <w:shd w:val="clear" w:color="auto" w:fill="auto"/>
          </w:tcPr>
          <w:p w14:paraId="34EF8F84" w14:textId="77777777" w:rsidR="00CF72D5" w:rsidRPr="002029AF" w:rsidRDefault="00CF72D5" w:rsidP="00897193">
            <w:pPr>
              <w:pStyle w:val="ARtabletext"/>
            </w:pPr>
            <w:r w:rsidRPr="002029AF">
              <w:t>$260,000–$279,999</w:t>
            </w:r>
          </w:p>
        </w:tc>
        <w:tc>
          <w:tcPr>
            <w:tcW w:w="735" w:type="pct"/>
            <w:tcBorders>
              <w:top w:val="single" w:sz="4" w:space="0" w:color="auto"/>
              <w:bottom w:val="single" w:sz="4" w:space="0" w:color="auto"/>
            </w:tcBorders>
            <w:shd w:val="clear" w:color="auto" w:fill="auto"/>
          </w:tcPr>
          <w:p w14:paraId="65617FBC"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686E45C2"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697703FB"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tcPr>
          <w:p w14:paraId="15E0B297"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68300EBD"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16B2583B" w14:textId="77777777" w:rsidR="00CF72D5" w:rsidRPr="002029AF" w:rsidRDefault="00CF72D5" w:rsidP="00897193">
            <w:pPr>
              <w:pStyle w:val="ARtabletextright"/>
            </w:pPr>
          </w:p>
        </w:tc>
      </w:tr>
      <w:tr w:rsidR="00CF72D5" w:rsidRPr="002029AF" w14:paraId="772D9781" w14:textId="77777777" w:rsidTr="00897193">
        <w:tblPrEx>
          <w:tblLook w:val="04A0" w:firstRow="1" w:lastRow="0" w:firstColumn="1" w:lastColumn="0" w:noHBand="0" w:noVBand="1"/>
        </w:tblPrEx>
        <w:trPr>
          <w:cantSplit/>
        </w:trPr>
        <w:tc>
          <w:tcPr>
            <w:tcW w:w="1399" w:type="pct"/>
            <w:tcBorders>
              <w:top w:val="single" w:sz="4" w:space="0" w:color="auto"/>
              <w:bottom w:val="single" w:sz="4" w:space="0" w:color="auto"/>
            </w:tcBorders>
            <w:shd w:val="clear" w:color="auto" w:fill="auto"/>
          </w:tcPr>
          <w:p w14:paraId="4C2737AA" w14:textId="77777777" w:rsidR="00CF72D5" w:rsidRPr="002029AF" w:rsidRDefault="00CF72D5" w:rsidP="00897193">
            <w:pPr>
              <w:pStyle w:val="ARtabletext"/>
            </w:pPr>
            <w:r w:rsidRPr="002029AF">
              <w:t>$280,000–$299,999</w:t>
            </w:r>
          </w:p>
        </w:tc>
        <w:tc>
          <w:tcPr>
            <w:tcW w:w="735" w:type="pct"/>
            <w:tcBorders>
              <w:top w:val="single" w:sz="4" w:space="0" w:color="auto"/>
              <w:bottom w:val="single" w:sz="4" w:space="0" w:color="auto"/>
            </w:tcBorders>
            <w:shd w:val="clear" w:color="auto" w:fill="auto"/>
          </w:tcPr>
          <w:p w14:paraId="178F62E8"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72D21234"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00115060"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tcPr>
          <w:p w14:paraId="3345338A"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00D7059D"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53FEF5EE" w14:textId="77777777" w:rsidR="00CF72D5" w:rsidRPr="002029AF" w:rsidRDefault="00CF72D5" w:rsidP="00897193">
            <w:pPr>
              <w:pStyle w:val="ARtabletextright"/>
            </w:pPr>
          </w:p>
        </w:tc>
      </w:tr>
      <w:tr w:rsidR="00CF72D5" w:rsidRPr="002029AF" w14:paraId="67A26C22" w14:textId="77777777" w:rsidTr="00897193">
        <w:tblPrEx>
          <w:tblLook w:val="04A0" w:firstRow="1" w:lastRow="0" w:firstColumn="1" w:lastColumn="0" w:noHBand="0" w:noVBand="1"/>
        </w:tblPrEx>
        <w:trPr>
          <w:cantSplit/>
        </w:trPr>
        <w:tc>
          <w:tcPr>
            <w:tcW w:w="1399" w:type="pct"/>
            <w:tcBorders>
              <w:top w:val="single" w:sz="4" w:space="0" w:color="auto"/>
              <w:bottom w:val="single" w:sz="4" w:space="0" w:color="auto"/>
            </w:tcBorders>
            <w:shd w:val="clear" w:color="auto" w:fill="auto"/>
          </w:tcPr>
          <w:p w14:paraId="2B1A38AF" w14:textId="77777777" w:rsidR="00CF72D5" w:rsidRPr="002029AF" w:rsidRDefault="00CF72D5" w:rsidP="00897193">
            <w:pPr>
              <w:pStyle w:val="ARtabletext"/>
            </w:pPr>
            <w:r w:rsidRPr="002029AF">
              <w:t>$300,000–$319,999</w:t>
            </w:r>
          </w:p>
        </w:tc>
        <w:tc>
          <w:tcPr>
            <w:tcW w:w="735" w:type="pct"/>
            <w:tcBorders>
              <w:top w:val="single" w:sz="4" w:space="0" w:color="auto"/>
              <w:bottom w:val="single" w:sz="4" w:space="0" w:color="auto"/>
            </w:tcBorders>
            <w:shd w:val="clear" w:color="auto" w:fill="auto"/>
          </w:tcPr>
          <w:p w14:paraId="27FD5F20"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3E372864"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65154F08"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tcPr>
          <w:p w14:paraId="7D85C36A"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0FA6ADBA"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0863618F" w14:textId="77777777" w:rsidR="00CF72D5" w:rsidRPr="002029AF" w:rsidRDefault="00CF72D5" w:rsidP="00897193">
            <w:pPr>
              <w:pStyle w:val="ARtabletextright"/>
            </w:pPr>
          </w:p>
        </w:tc>
      </w:tr>
      <w:tr w:rsidR="00CF72D5" w:rsidRPr="002029AF" w14:paraId="31FAB991" w14:textId="77777777" w:rsidTr="00897193">
        <w:trPr>
          <w:cantSplit/>
        </w:trPr>
        <w:tc>
          <w:tcPr>
            <w:tcW w:w="1399" w:type="pct"/>
            <w:tcBorders>
              <w:top w:val="single" w:sz="4" w:space="0" w:color="auto"/>
              <w:bottom w:val="single" w:sz="4" w:space="0" w:color="auto"/>
            </w:tcBorders>
            <w:shd w:val="clear" w:color="auto" w:fill="auto"/>
          </w:tcPr>
          <w:p w14:paraId="5D1B559A" w14:textId="77777777" w:rsidR="00CF72D5" w:rsidRPr="002029AF" w:rsidRDefault="00CF72D5" w:rsidP="00897193">
            <w:pPr>
              <w:pStyle w:val="ARtabletext"/>
            </w:pPr>
            <w:r w:rsidRPr="002029AF">
              <w:t>$320,000–$339,999</w:t>
            </w:r>
          </w:p>
        </w:tc>
        <w:tc>
          <w:tcPr>
            <w:tcW w:w="735" w:type="pct"/>
            <w:tcBorders>
              <w:top w:val="single" w:sz="4" w:space="0" w:color="auto"/>
              <w:bottom w:val="single" w:sz="4" w:space="0" w:color="auto"/>
            </w:tcBorders>
            <w:shd w:val="clear" w:color="auto" w:fill="auto"/>
          </w:tcPr>
          <w:p w14:paraId="7CAFDB72"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018290D7"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08FB354A"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tcPr>
          <w:p w14:paraId="28381FAB"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0C23A28D"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4E1FB8A0" w14:textId="77777777" w:rsidR="00CF72D5" w:rsidRPr="002029AF" w:rsidRDefault="00CF72D5" w:rsidP="00897193">
            <w:pPr>
              <w:pStyle w:val="ARtabletextright"/>
            </w:pPr>
          </w:p>
        </w:tc>
      </w:tr>
      <w:tr w:rsidR="00CF72D5" w:rsidRPr="002029AF" w14:paraId="0A142FD0" w14:textId="77777777" w:rsidTr="00897193">
        <w:trPr>
          <w:cantSplit/>
        </w:trPr>
        <w:tc>
          <w:tcPr>
            <w:tcW w:w="1399" w:type="pct"/>
            <w:tcBorders>
              <w:top w:val="single" w:sz="4" w:space="0" w:color="auto"/>
              <w:bottom w:val="single" w:sz="4" w:space="0" w:color="auto"/>
            </w:tcBorders>
            <w:shd w:val="clear" w:color="auto" w:fill="auto"/>
          </w:tcPr>
          <w:p w14:paraId="7AADACF7" w14:textId="77777777" w:rsidR="00CF72D5" w:rsidRPr="002029AF" w:rsidRDefault="00CF72D5" w:rsidP="00897193">
            <w:pPr>
              <w:pStyle w:val="ARtabletext"/>
            </w:pPr>
            <w:r w:rsidRPr="002029AF">
              <w:t>$340,000–$359,999</w:t>
            </w:r>
          </w:p>
        </w:tc>
        <w:tc>
          <w:tcPr>
            <w:tcW w:w="735" w:type="pct"/>
            <w:tcBorders>
              <w:top w:val="single" w:sz="4" w:space="0" w:color="auto"/>
              <w:bottom w:val="single" w:sz="4" w:space="0" w:color="auto"/>
            </w:tcBorders>
            <w:shd w:val="clear" w:color="auto" w:fill="auto"/>
          </w:tcPr>
          <w:p w14:paraId="73D16FE5"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44BEA13F"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603CCDDE"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tcPr>
          <w:p w14:paraId="17B2B1A4"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3D559AF3"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182622DD" w14:textId="77777777" w:rsidR="00CF72D5" w:rsidRPr="002029AF" w:rsidRDefault="00CF72D5" w:rsidP="00897193">
            <w:pPr>
              <w:pStyle w:val="ARtabletextright"/>
            </w:pPr>
          </w:p>
        </w:tc>
      </w:tr>
      <w:tr w:rsidR="00CF72D5" w:rsidRPr="002029AF" w14:paraId="4331D657" w14:textId="77777777" w:rsidTr="00897193">
        <w:trPr>
          <w:cantSplit/>
        </w:trPr>
        <w:tc>
          <w:tcPr>
            <w:tcW w:w="1399" w:type="pct"/>
            <w:tcBorders>
              <w:top w:val="single" w:sz="4" w:space="0" w:color="auto"/>
              <w:bottom w:val="single" w:sz="4" w:space="0" w:color="auto"/>
            </w:tcBorders>
            <w:shd w:val="clear" w:color="auto" w:fill="auto"/>
          </w:tcPr>
          <w:p w14:paraId="437AE287" w14:textId="77777777" w:rsidR="00CF72D5" w:rsidRPr="002029AF" w:rsidRDefault="00CF72D5" w:rsidP="00897193">
            <w:pPr>
              <w:pStyle w:val="ARtabletext"/>
            </w:pPr>
            <w:r w:rsidRPr="002029AF">
              <w:t>$360,000–$379,999</w:t>
            </w:r>
          </w:p>
        </w:tc>
        <w:tc>
          <w:tcPr>
            <w:tcW w:w="735" w:type="pct"/>
            <w:tcBorders>
              <w:top w:val="single" w:sz="4" w:space="0" w:color="auto"/>
              <w:bottom w:val="single" w:sz="4" w:space="0" w:color="auto"/>
            </w:tcBorders>
            <w:shd w:val="clear" w:color="auto" w:fill="auto"/>
          </w:tcPr>
          <w:p w14:paraId="5C513613"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3294595C"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0034EBD4"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tcPr>
          <w:p w14:paraId="0947C97C"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220946A2"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58E779A0" w14:textId="77777777" w:rsidR="00CF72D5" w:rsidRPr="002029AF" w:rsidRDefault="00CF72D5" w:rsidP="00897193">
            <w:pPr>
              <w:pStyle w:val="ARtabletextright"/>
            </w:pPr>
          </w:p>
        </w:tc>
      </w:tr>
      <w:tr w:rsidR="00CF72D5" w:rsidRPr="002029AF" w14:paraId="4A4B7B46" w14:textId="77777777" w:rsidTr="00897193">
        <w:trPr>
          <w:cantSplit/>
        </w:trPr>
        <w:tc>
          <w:tcPr>
            <w:tcW w:w="1399" w:type="pct"/>
            <w:tcBorders>
              <w:top w:val="single" w:sz="4" w:space="0" w:color="auto"/>
              <w:bottom w:val="single" w:sz="4" w:space="0" w:color="auto"/>
            </w:tcBorders>
            <w:shd w:val="clear" w:color="auto" w:fill="auto"/>
          </w:tcPr>
          <w:p w14:paraId="69F89647" w14:textId="77777777" w:rsidR="00CF72D5" w:rsidRPr="002029AF" w:rsidRDefault="00CF72D5" w:rsidP="00897193">
            <w:pPr>
              <w:pStyle w:val="ARtabletext"/>
            </w:pPr>
            <w:r w:rsidRPr="002029AF">
              <w:t>$380,000–$399,999</w:t>
            </w:r>
          </w:p>
        </w:tc>
        <w:tc>
          <w:tcPr>
            <w:tcW w:w="735" w:type="pct"/>
            <w:tcBorders>
              <w:top w:val="single" w:sz="4" w:space="0" w:color="auto"/>
              <w:bottom w:val="single" w:sz="4" w:space="0" w:color="auto"/>
            </w:tcBorders>
            <w:shd w:val="clear" w:color="auto" w:fill="auto"/>
          </w:tcPr>
          <w:p w14:paraId="00AA175C"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184ED7AD"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23B4C49E"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tcPr>
          <w:p w14:paraId="68E7AC49"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1AC96EA3"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3CA6139E" w14:textId="77777777" w:rsidR="00CF72D5" w:rsidRPr="002029AF" w:rsidRDefault="00CF72D5" w:rsidP="00897193">
            <w:pPr>
              <w:pStyle w:val="ARtabletextright"/>
            </w:pPr>
          </w:p>
        </w:tc>
      </w:tr>
      <w:tr w:rsidR="00CF72D5" w:rsidRPr="002029AF" w14:paraId="11D7C19D" w14:textId="77777777" w:rsidTr="00897193">
        <w:trPr>
          <w:cantSplit/>
        </w:trPr>
        <w:tc>
          <w:tcPr>
            <w:tcW w:w="1399" w:type="pct"/>
            <w:tcBorders>
              <w:top w:val="single" w:sz="4" w:space="0" w:color="auto"/>
              <w:bottom w:val="single" w:sz="4" w:space="0" w:color="auto"/>
            </w:tcBorders>
            <w:shd w:val="clear" w:color="auto" w:fill="auto"/>
          </w:tcPr>
          <w:p w14:paraId="4CC51554" w14:textId="77777777" w:rsidR="00CF72D5" w:rsidRPr="002029AF" w:rsidRDefault="00CF72D5" w:rsidP="00897193">
            <w:pPr>
              <w:pStyle w:val="ARtabletext"/>
            </w:pPr>
            <w:r w:rsidRPr="002029AF">
              <w:t>$400,000–$419,999</w:t>
            </w:r>
          </w:p>
        </w:tc>
        <w:tc>
          <w:tcPr>
            <w:tcW w:w="735" w:type="pct"/>
            <w:tcBorders>
              <w:top w:val="single" w:sz="4" w:space="0" w:color="auto"/>
              <w:bottom w:val="single" w:sz="4" w:space="0" w:color="auto"/>
            </w:tcBorders>
            <w:shd w:val="clear" w:color="auto" w:fill="auto"/>
          </w:tcPr>
          <w:p w14:paraId="3FD01CBE"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2DEB8E13"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40B63BB4"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tcPr>
          <w:p w14:paraId="2A1D4933"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408DF714"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214C9408" w14:textId="77777777" w:rsidR="00CF72D5" w:rsidRPr="002029AF" w:rsidRDefault="00CF72D5" w:rsidP="00897193">
            <w:pPr>
              <w:pStyle w:val="ARtabletextright"/>
            </w:pPr>
          </w:p>
        </w:tc>
      </w:tr>
      <w:tr w:rsidR="00CF72D5" w:rsidRPr="002029AF" w14:paraId="38FFE162" w14:textId="77777777" w:rsidTr="00897193">
        <w:trPr>
          <w:cantSplit/>
        </w:trPr>
        <w:tc>
          <w:tcPr>
            <w:tcW w:w="1399" w:type="pct"/>
            <w:tcBorders>
              <w:top w:val="single" w:sz="4" w:space="0" w:color="auto"/>
              <w:bottom w:val="single" w:sz="4" w:space="0" w:color="auto"/>
            </w:tcBorders>
            <w:shd w:val="clear" w:color="auto" w:fill="auto"/>
          </w:tcPr>
          <w:p w14:paraId="1D2B5B2F" w14:textId="77777777" w:rsidR="00CF72D5" w:rsidRPr="002029AF" w:rsidRDefault="00CF72D5" w:rsidP="00897193">
            <w:pPr>
              <w:pStyle w:val="ARtabletext"/>
            </w:pPr>
            <w:r w:rsidRPr="002029AF">
              <w:t>$420,000–$439,999</w:t>
            </w:r>
          </w:p>
        </w:tc>
        <w:tc>
          <w:tcPr>
            <w:tcW w:w="735" w:type="pct"/>
            <w:tcBorders>
              <w:top w:val="single" w:sz="4" w:space="0" w:color="auto"/>
              <w:bottom w:val="single" w:sz="4" w:space="0" w:color="auto"/>
            </w:tcBorders>
            <w:shd w:val="clear" w:color="auto" w:fill="auto"/>
          </w:tcPr>
          <w:p w14:paraId="2355E7ED"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31AF3E5F"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2AF8A319"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tcPr>
          <w:p w14:paraId="1F95AEBB"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4C5CFBB2"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2630CB9C" w14:textId="77777777" w:rsidR="00CF72D5" w:rsidRPr="002029AF" w:rsidRDefault="00CF72D5" w:rsidP="00897193">
            <w:pPr>
              <w:pStyle w:val="ARtabletextright"/>
            </w:pPr>
          </w:p>
        </w:tc>
      </w:tr>
      <w:tr w:rsidR="00CF72D5" w:rsidRPr="002029AF" w14:paraId="383F2D10" w14:textId="77777777" w:rsidTr="00897193">
        <w:tblPrEx>
          <w:tblLook w:val="04A0" w:firstRow="1" w:lastRow="0" w:firstColumn="1" w:lastColumn="0" w:noHBand="0" w:noVBand="1"/>
        </w:tblPrEx>
        <w:trPr>
          <w:cantSplit/>
        </w:trPr>
        <w:tc>
          <w:tcPr>
            <w:tcW w:w="1399" w:type="pct"/>
            <w:tcBorders>
              <w:top w:val="single" w:sz="4" w:space="0" w:color="auto"/>
              <w:bottom w:val="single" w:sz="4" w:space="0" w:color="auto"/>
            </w:tcBorders>
            <w:shd w:val="clear" w:color="auto" w:fill="auto"/>
          </w:tcPr>
          <w:p w14:paraId="4B7651E7" w14:textId="77777777" w:rsidR="00CF72D5" w:rsidRPr="002029AF" w:rsidRDefault="00CF72D5" w:rsidP="00897193">
            <w:pPr>
              <w:pStyle w:val="ARtabletext"/>
            </w:pPr>
            <w:r w:rsidRPr="002029AF">
              <w:t>$440,000–$459,999</w:t>
            </w:r>
          </w:p>
        </w:tc>
        <w:tc>
          <w:tcPr>
            <w:tcW w:w="735" w:type="pct"/>
            <w:tcBorders>
              <w:top w:val="single" w:sz="4" w:space="0" w:color="auto"/>
              <w:bottom w:val="single" w:sz="4" w:space="0" w:color="auto"/>
            </w:tcBorders>
            <w:shd w:val="clear" w:color="auto" w:fill="auto"/>
          </w:tcPr>
          <w:p w14:paraId="1530FAF0" w14:textId="77777777" w:rsidR="00CF72D5" w:rsidRPr="002029AF" w:rsidRDefault="00CF72D5" w:rsidP="00897193">
            <w:pPr>
              <w:pStyle w:val="ARtabletextright"/>
              <w:rPr>
                <w:color w:val="000000" w:themeColor="text1"/>
              </w:rPr>
            </w:pPr>
            <w:r w:rsidRPr="002029AF">
              <w:rPr>
                <w:color w:val="000000" w:themeColor="text1"/>
              </w:rPr>
              <w:t>1</w:t>
            </w:r>
          </w:p>
        </w:tc>
        <w:tc>
          <w:tcPr>
            <w:tcW w:w="588" w:type="pct"/>
            <w:tcBorders>
              <w:top w:val="single" w:sz="4" w:space="0" w:color="auto"/>
              <w:bottom w:val="single" w:sz="4" w:space="0" w:color="auto"/>
            </w:tcBorders>
            <w:shd w:val="clear" w:color="auto" w:fill="auto"/>
          </w:tcPr>
          <w:p w14:paraId="131791DF"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0A43D2D6"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tcPr>
          <w:p w14:paraId="66FBFF68"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6C82244D"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57B790E9" w14:textId="77777777" w:rsidR="00CF72D5" w:rsidRPr="002029AF" w:rsidRDefault="00CF72D5" w:rsidP="00897193">
            <w:pPr>
              <w:pStyle w:val="ARtabletextright"/>
            </w:pPr>
          </w:p>
        </w:tc>
      </w:tr>
      <w:tr w:rsidR="00CF72D5" w:rsidRPr="002029AF" w14:paraId="612493F7" w14:textId="77777777" w:rsidTr="00897193">
        <w:tblPrEx>
          <w:tblLook w:val="04A0" w:firstRow="1" w:lastRow="0" w:firstColumn="1" w:lastColumn="0" w:noHBand="0" w:noVBand="1"/>
        </w:tblPrEx>
        <w:trPr>
          <w:cantSplit/>
        </w:trPr>
        <w:tc>
          <w:tcPr>
            <w:tcW w:w="1399" w:type="pct"/>
            <w:tcBorders>
              <w:top w:val="single" w:sz="4" w:space="0" w:color="auto"/>
              <w:bottom w:val="single" w:sz="4" w:space="0" w:color="auto"/>
            </w:tcBorders>
            <w:shd w:val="clear" w:color="auto" w:fill="auto"/>
          </w:tcPr>
          <w:p w14:paraId="6AB0804C" w14:textId="77777777" w:rsidR="00CF72D5" w:rsidRPr="002029AF" w:rsidRDefault="00CF72D5" w:rsidP="00897193">
            <w:pPr>
              <w:pStyle w:val="ARtabletext"/>
            </w:pPr>
            <w:r w:rsidRPr="002029AF">
              <w:t>$460,000–$479,999</w:t>
            </w:r>
          </w:p>
        </w:tc>
        <w:tc>
          <w:tcPr>
            <w:tcW w:w="735" w:type="pct"/>
            <w:tcBorders>
              <w:top w:val="single" w:sz="4" w:space="0" w:color="auto"/>
              <w:bottom w:val="single" w:sz="4" w:space="0" w:color="auto"/>
            </w:tcBorders>
            <w:shd w:val="clear" w:color="auto" w:fill="auto"/>
          </w:tcPr>
          <w:p w14:paraId="1036DA60"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23644488"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58A5DCF6"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tcPr>
          <w:p w14:paraId="6E1AB51D"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11A2FB05"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3484AE6E" w14:textId="77777777" w:rsidR="00CF72D5" w:rsidRPr="002029AF" w:rsidRDefault="00CF72D5" w:rsidP="00897193">
            <w:pPr>
              <w:pStyle w:val="ARtabletextright"/>
            </w:pPr>
          </w:p>
        </w:tc>
      </w:tr>
      <w:tr w:rsidR="00CF72D5" w:rsidRPr="002029AF" w14:paraId="28CE8051" w14:textId="77777777" w:rsidTr="00897193">
        <w:tblPrEx>
          <w:tblLook w:val="04A0" w:firstRow="1" w:lastRow="0" w:firstColumn="1" w:lastColumn="0" w:noHBand="0" w:noVBand="1"/>
        </w:tblPrEx>
        <w:trPr>
          <w:cantSplit/>
        </w:trPr>
        <w:tc>
          <w:tcPr>
            <w:tcW w:w="1399" w:type="pct"/>
            <w:tcBorders>
              <w:top w:val="single" w:sz="4" w:space="0" w:color="auto"/>
              <w:bottom w:val="single" w:sz="4" w:space="0" w:color="auto"/>
            </w:tcBorders>
            <w:shd w:val="clear" w:color="auto" w:fill="auto"/>
          </w:tcPr>
          <w:p w14:paraId="534D5B0C" w14:textId="77777777" w:rsidR="00CF72D5" w:rsidRPr="002029AF" w:rsidRDefault="00CF72D5" w:rsidP="00897193">
            <w:pPr>
              <w:pStyle w:val="ARtabletext"/>
            </w:pPr>
            <w:r w:rsidRPr="002029AF">
              <w:t>$520,000–$539,999</w:t>
            </w:r>
          </w:p>
        </w:tc>
        <w:tc>
          <w:tcPr>
            <w:tcW w:w="735" w:type="pct"/>
            <w:tcBorders>
              <w:top w:val="single" w:sz="4" w:space="0" w:color="auto"/>
              <w:bottom w:val="single" w:sz="4" w:space="0" w:color="auto"/>
            </w:tcBorders>
            <w:shd w:val="clear" w:color="auto" w:fill="auto"/>
          </w:tcPr>
          <w:p w14:paraId="59AABFE9"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069144B6"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0E059F49"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tcPr>
          <w:p w14:paraId="08BC6A98"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3F52101A"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4A4088D7" w14:textId="77777777" w:rsidR="00CF72D5" w:rsidRPr="002029AF" w:rsidRDefault="00CF72D5" w:rsidP="00897193">
            <w:pPr>
              <w:pStyle w:val="ARtabletextright"/>
            </w:pPr>
          </w:p>
        </w:tc>
      </w:tr>
      <w:tr w:rsidR="00CF72D5" w:rsidRPr="002029AF" w14:paraId="18C3F283" w14:textId="77777777" w:rsidTr="00897193">
        <w:tblPrEx>
          <w:tblLook w:val="04A0" w:firstRow="1" w:lastRow="0" w:firstColumn="1" w:lastColumn="0" w:noHBand="0" w:noVBand="1"/>
        </w:tblPrEx>
        <w:trPr>
          <w:cantSplit/>
        </w:trPr>
        <w:tc>
          <w:tcPr>
            <w:tcW w:w="1399" w:type="pct"/>
            <w:tcBorders>
              <w:top w:val="single" w:sz="4" w:space="0" w:color="auto"/>
            </w:tcBorders>
            <w:shd w:val="clear" w:color="auto" w:fill="auto"/>
          </w:tcPr>
          <w:p w14:paraId="151D5F99" w14:textId="77777777" w:rsidR="00CF72D5" w:rsidRPr="002029AF" w:rsidRDefault="00CF72D5" w:rsidP="00897193">
            <w:pPr>
              <w:pStyle w:val="ARtabletextbold"/>
            </w:pPr>
            <w:r w:rsidRPr="002029AF">
              <w:t>Total</w:t>
            </w:r>
          </w:p>
        </w:tc>
        <w:tc>
          <w:tcPr>
            <w:tcW w:w="735" w:type="pct"/>
            <w:tcBorders>
              <w:top w:val="single" w:sz="4" w:space="0" w:color="auto"/>
            </w:tcBorders>
            <w:shd w:val="clear" w:color="auto" w:fill="auto"/>
          </w:tcPr>
          <w:p w14:paraId="22E91E97" w14:textId="77777777" w:rsidR="00CF72D5" w:rsidRPr="002029AF" w:rsidRDefault="00CF72D5" w:rsidP="00897193">
            <w:pPr>
              <w:pStyle w:val="ARtabletextrightbold"/>
              <w:rPr>
                <w:color w:val="000000" w:themeColor="text1"/>
              </w:rPr>
            </w:pPr>
            <w:r w:rsidRPr="002029AF">
              <w:rPr>
                <w:color w:val="000000" w:themeColor="text1"/>
              </w:rPr>
              <w:t>7</w:t>
            </w:r>
          </w:p>
        </w:tc>
        <w:tc>
          <w:tcPr>
            <w:tcW w:w="588" w:type="pct"/>
            <w:tcBorders>
              <w:top w:val="single" w:sz="4" w:space="0" w:color="auto"/>
            </w:tcBorders>
            <w:shd w:val="clear" w:color="auto" w:fill="auto"/>
          </w:tcPr>
          <w:p w14:paraId="64474E8F" w14:textId="77777777" w:rsidR="00CF72D5" w:rsidRPr="002029AF" w:rsidRDefault="00CF72D5" w:rsidP="00897193">
            <w:pPr>
              <w:pStyle w:val="ARtabletextrightbold"/>
              <w:rPr>
                <w:color w:val="000000" w:themeColor="text1"/>
              </w:rPr>
            </w:pPr>
            <w:r w:rsidRPr="002029AF">
              <w:rPr>
                <w:color w:val="000000" w:themeColor="text1"/>
              </w:rPr>
              <w:t>1</w:t>
            </w:r>
          </w:p>
        </w:tc>
        <w:tc>
          <w:tcPr>
            <w:tcW w:w="588" w:type="pct"/>
            <w:tcBorders>
              <w:top w:val="single" w:sz="4" w:space="0" w:color="auto"/>
            </w:tcBorders>
            <w:shd w:val="clear" w:color="auto" w:fill="auto"/>
          </w:tcPr>
          <w:p w14:paraId="1E9DBDA3" w14:textId="77777777" w:rsidR="00CF72D5" w:rsidRPr="002029AF" w:rsidRDefault="00CF72D5" w:rsidP="00897193">
            <w:pPr>
              <w:pStyle w:val="ARtabletextrightbold"/>
              <w:rPr>
                <w:color w:val="000000" w:themeColor="text1"/>
              </w:rPr>
            </w:pPr>
          </w:p>
        </w:tc>
        <w:tc>
          <w:tcPr>
            <w:tcW w:w="588" w:type="pct"/>
            <w:tcBorders>
              <w:top w:val="single" w:sz="4" w:space="0" w:color="auto"/>
            </w:tcBorders>
          </w:tcPr>
          <w:p w14:paraId="2480C918" w14:textId="77777777" w:rsidR="00CF72D5" w:rsidRPr="002029AF" w:rsidRDefault="00CF72D5" w:rsidP="00897193">
            <w:pPr>
              <w:pStyle w:val="ARtabletextrightbold"/>
            </w:pPr>
          </w:p>
        </w:tc>
        <w:tc>
          <w:tcPr>
            <w:tcW w:w="588" w:type="pct"/>
            <w:tcBorders>
              <w:top w:val="single" w:sz="4" w:space="0" w:color="auto"/>
            </w:tcBorders>
          </w:tcPr>
          <w:p w14:paraId="7BAF5E01" w14:textId="77777777" w:rsidR="00CF72D5" w:rsidRPr="002029AF" w:rsidRDefault="00CF72D5" w:rsidP="00897193">
            <w:pPr>
              <w:pStyle w:val="ARtabletextrightbold"/>
              <w:jc w:val="left"/>
            </w:pPr>
          </w:p>
        </w:tc>
        <w:tc>
          <w:tcPr>
            <w:tcW w:w="514" w:type="pct"/>
            <w:tcBorders>
              <w:top w:val="single" w:sz="4" w:space="0" w:color="auto"/>
            </w:tcBorders>
          </w:tcPr>
          <w:p w14:paraId="11B646B9" w14:textId="77777777" w:rsidR="00CF72D5" w:rsidRPr="002029AF" w:rsidRDefault="00CF72D5" w:rsidP="00897193">
            <w:pPr>
              <w:pStyle w:val="ARtabletextrightbold"/>
            </w:pPr>
          </w:p>
        </w:tc>
      </w:tr>
    </w:tbl>
    <w:p w14:paraId="303B541F" w14:textId="485DE452" w:rsidR="00CF72D5" w:rsidRPr="002029AF" w:rsidRDefault="00CF72D5" w:rsidP="00897193">
      <w:pPr>
        <w:pStyle w:val="Heading3"/>
      </w:pPr>
      <w:r w:rsidRPr="002029AF">
        <w:t>Victorian</w:t>
      </w:r>
      <w:r w:rsidR="000A5329" w:rsidRPr="002029AF">
        <w:t xml:space="preserve"> </w:t>
      </w:r>
      <w:r w:rsidRPr="002029AF">
        <w:t>Agency</w:t>
      </w:r>
      <w:r w:rsidR="000A5329" w:rsidRPr="002029AF">
        <w:t xml:space="preserve"> </w:t>
      </w:r>
      <w:r w:rsidRPr="002029AF">
        <w:t>for</w:t>
      </w:r>
      <w:r w:rsidR="000A5329" w:rsidRPr="002029AF">
        <w:t xml:space="preserve"> </w:t>
      </w:r>
      <w:r w:rsidRPr="002029AF">
        <w:t>Health</w:t>
      </w:r>
      <w:r w:rsidR="000A5329" w:rsidRPr="002029AF">
        <w:t xml:space="preserve"> </w:t>
      </w:r>
      <w:r w:rsidRPr="002029AF">
        <w:t>Information</w:t>
      </w:r>
      <w:r w:rsidR="000A5329" w:rsidRPr="002029AF">
        <w:t xml:space="preserve"> </w:t>
      </w:r>
      <w:r w:rsidRPr="002029AF">
        <w:t>employment</w:t>
      </w:r>
      <w:r w:rsidR="000A5329" w:rsidRPr="002029AF">
        <w:t xml:space="preserve"> </w:t>
      </w:r>
      <w:r w:rsidRPr="002029AF">
        <w:t>levels</w:t>
      </w:r>
    </w:p>
    <w:p w14:paraId="6F16FC81" w14:textId="59CFAF82" w:rsidR="00CF72D5" w:rsidRPr="002029AF" w:rsidRDefault="00CF72D5" w:rsidP="00897193">
      <w:pPr>
        <w:pStyle w:val="Heading4"/>
      </w:pPr>
      <w:r w:rsidRPr="002029AF">
        <w:t>Summary</w:t>
      </w:r>
      <w:r w:rsidR="000A5329" w:rsidRPr="002029AF">
        <w:t xml:space="preserve"> </w:t>
      </w:r>
      <w:r w:rsidRPr="002029AF">
        <w:t>of</w:t>
      </w:r>
      <w:r w:rsidR="000A5329" w:rsidRPr="002029AF">
        <w:t xml:space="preserve"> </w:t>
      </w:r>
      <w:r w:rsidRPr="002029AF">
        <w:t>employment</w:t>
      </w:r>
      <w:r w:rsidR="000A5329" w:rsidRPr="002029AF">
        <w:t xml:space="preserve"> </w:t>
      </w:r>
      <w:r w:rsidRPr="002029AF">
        <w:t>levels</w:t>
      </w:r>
      <w:r w:rsidR="000A5329" w:rsidRPr="002029AF">
        <w:t xml:space="preserve"> </w:t>
      </w:r>
      <w:r w:rsidRPr="002029AF">
        <w:t>in</w:t>
      </w:r>
      <w:r w:rsidR="000A5329" w:rsidRPr="002029AF">
        <w:t xml:space="preserve"> </w:t>
      </w:r>
      <w:r w:rsidRPr="002029AF">
        <w:t>June</w:t>
      </w:r>
      <w:r w:rsidR="000A5329" w:rsidRPr="002029AF">
        <w:t xml:space="preserve"> </w:t>
      </w:r>
      <w:r w:rsidRPr="002029AF">
        <w:t>of</w:t>
      </w:r>
      <w:r w:rsidR="000A5329" w:rsidRPr="002029AF">
        <w:t xml:space="preserve"> </w:t>
      </w:r>
      <w:r w:rsidRPr="002029AF">
        <w:t>2019</w:t>
      </w:r>
      <w:r w:rsidR="000A5329" w:rsidRPr="002029AF">
        <w:t xml:space="preserve"> </w:t>
      </w:r>
      <w:r w:rsidRPr="002029AF">
        <w:t>and</w:t>
      </w:r>
      <w:r w:rsidR="000A5329" w:rsidRPr="002029AF">
        <w:t xml:space="preserve"> </w:t>
      </w:r>
      <w:r w:rsidRPr="002029AF">
        <w:t>2020</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Layout w:type="fixed"/>
        <w:tblCellMar>
          <w:left w:w="0" w:type="dxa"/>
        </w:tblCellMar>
        <w:tblLook w:val="01E0" w:firstRow="1" w:lastRow="1" w:firstColumn="1" w:lastColumn="1" w:noHBand="0" w:noVBand="0"/>
      </w:tblPr>
      <w:tblGrid>
        <w:gridCol w:w="1611"/>
        <w:gridCol w:w="1609"/>
        <w:gridCol w:w="1610"/>
        <w:gridCol w:w="1610"/>
        <w:gridCol w:w="1610"/>
        <w:gridCol w:w="1589"/>
      </w:tblGrid>
      <w:tr w:rsidR="00CF72D5" w:rsidRPr="002029AF" w14:paraId="09E01863" w14:textId="77777777" w:rsidTr="00192EEE">
        <w:trPr>
          <w:cantSplit/>
          <w:tblHeader/>
        </w:trPr>
        <w:tc>
          <w:tcPr>
            <w:tcW w:w="1611" w:type="dxa"/>
            <w:vMerge w:val="restart"/>
            <w:shd w:val="clear" w:color="auto" w:fill="auto"/>
            <w:vAlign w:val="bottom"/>
          </w:tcPr>
          <w:p w14:paraId="5FE1D97F" w14:textId="77777777" w:rsidR="00CF72D5" w:rsidRPr="002029AF" w:rsidRDefault="00CF72D5" w:rsidP="00192EEE">
            <w:pPr>
              <w:pStyle w:val="ARtablecolhead"/>
            </w:pPr>
          </w:p>
        </w:tc>
        <w:tc>
          <w:tcPr>
            <w:tcW w:w="6439" w:type="dxa"/>
            <w:gridSpan w:val="4"/>
            <w:shd w:val="clear" w:color="auto" w:fill="auto"/>
            <w:vAlign w:val="bottom"/>
          </w:tcPr>
          <w:p w14:paraId="7661C80E" w14:textId="2D0E5612" w:rsidR="00CF72D5" w:rsidRPr="002029AF" w:rsidRDefault="00CF72D5" w:rsidP="00233C48">
            <w:pPr>
              <w:pStyle w:val="ARtablecolhead"/>
              <w:ind w:left="397"/>
              <w:jc w:val="center"/>
            </w:pPr>
            <w:r w:rsidRPr="002029AF">
              <w:t>Ongoing</w:t>
            </w:r>
            <w:r w:rsidR="000A5329" w:rsidRPr="002029AF">
              <w:t xml:space="preserve"> </w:t>
            </w:r>
            <w:r w:rsidRPr="002029AF">
              <w:t>employees</w:t>
            </w:r>
          </w:p>
        </w:tc>
        <w:tc>
          <w:tcPr>
            <w:tcW w:w="1589" w:type="dxa"/>
            <w:shd w:val="clear" w:color="auto" w:fill="auto"/>
            <w:vAlign w:val="bottom"/>
          </w:tcPr>
          <w:p w14:paraId="2044C902" w14:textId="2314DE6C" w:rsidR="00CF72D5" w:rsidRPr="002029AF" w:rsidRDefault="00CF72D5" w:rsidP="00897193">
            <w:pPr>
              <w:pStyle w:val="ARtablecolhead"/>
              <w:jc w:val="right"/>
            </w:pPr>
            <w:r w:rsidRPr="002029AF">
              <w:t>Fixed-term</w:t>
            </w:r>
            <w:r w:rsidR="000A5329" w:rsidRPr="002029AF">
              <w:t xml:space="preserve"> </w:t>
            </w:r>
            <w:r w:rsidRPr="002029AF">
              <w:t>and</w:t>
            </w:r>
            <w:r w:rsidR="000A5329" w:rsidRPr="002029AF">
              <w:t xml:space="preserve"> </w:t>
            </w:r>
            <w:r w:rsidRPr="002029AF">
              <w:t>casual</w:t>
            </w:r>
            <w:r w:rsidR="000A5329" w:rsidRPr="002029AF">
              <w:t xml:space="preserve"> </w:t>
            </w:r>
            <w:r w:rsidRPr="002029AF">
              <w:t>employees</w:t>
            </w:r>
          </w:p>
        </w:tc>
      </w:tr>
      <w:tr w:rsidR="00CF72D5" w:rsidRPr="002029AF" w14:paraId="4F396A5B" w14:textId="77777777" w:rsidTr="00192EEE">
        <w:trPr>
          <w:cantSplit/>
          <w:tblHeader/>
        </w:trPr>
        <w:tc>
          <w:tcPr>
            <w:tcW w:w="1611" w:type="dxa"/>
            <w:vMerge/>
            <w:shd w:val="clear" w:color="auto" w:fill="auto"/>
          </w:tcPr>
          <w:p w14:paraId="75144C74" w14:textId="77777777" w:rsidR="00CF72D5" w:rsidRPr="002029AF" w:rsidRDefault="00CF72D5" w:rsidP="00897193">
            <w:pPr>
              <w:jc w:val="right"/>
              <w:rPr>
                <w:rFonts w:cs="Arial"/>
              </w:rPr>
            </w:pPr>
          </w:p>
        </w:tc>
        <w:tc>
          <w:tcPr>
            <w:tcW w:w="1609" w:type="dxa"/>
            <w:shd w:val="clear" w:color="auto" w:fill="auto"/>
            <w:vAlign w:val="bottom"/>
          </w:tcPr>
          <w:p w14:paraId="26C5EAB7" w14:textId="54F5EEB8" w:rsidR="00CF72D5" w:rsidRPr="002029AF" w:rsidRDefault="00CF72D5" w:rsidP="00897193">
            <w:pPr>
              <w:pStyle w:val="ARtablecolheadright"/>
            </w:pPr>
            <w:r w:rsidRPr="002029AF">
              <w:t>Employees</w:t>
            </w:r>
            <w:r w:rsidR="000A5329" w:rsidRPr="002029AF">
              <w:t xml:space="preserve"> </w:t>
            </w:r>
            <w:r w:rsidRPr="002029AF">
              <w:t>(headcount)</w:t>
            </w:r>
          </w:p>
        </w:tc>
        <w:tc>
          <w:tcPr>
            <w:tcW w:w="1610" w:type="dxa"/>
            <w:shd w:val="clear" w:color="auto" w:fill="auto"/>
            <w:vAlign w:val="bottom"/>
          </w:tcPr>
          <w:p w14:paraId="11CA299A" w14:textId="4F9831A9" w:rsidR="00CF72D5" w:rsidRPr="002029AF" w:rsidRDefault="00CF72D5" w:rsidP="00897193">
            <w:pPr>
              <w:pStyle w:val="ARtablecolheadright"/>
            </w:pPr>
            <w:r w:rsidRPr="002029AF">
              <w:t>Full-time</w:t>
            </w:r>
            <w:r w:rsidR="000A5329" w:rsidRPr="002029AF">
              <w:t xml:space="preserve"> </w:t>
            </w:r>
            <w:r w:rsidRPr="002029AF">
              <w:t>(headcount)</w:t>
            </w:r>
          </w:p>
        </w:tc>
        <w:tc>
          <w:tcPr>
            <w:tcW w:w="1610" w:type="dxa"/>
            <w:shd w:val="clear" w:color="auto" w:fill="auto"/>
            <w:vAlign w:val="bottom"/>
          </w:tcPr>
          <w:p w14:paraId="13AAB87D" w14:textId="0E0E0D4C" w:rsidR="00CF72D5" w:rsidRPr="002029AF" w:rsidRDefault="00CF72D5" w:rsidP="00897193">
            <w:pPr>
              <w:pStyle w:val="ARtablecolheadright"/>
            </w:pPr>
            <w:r w:rsidRPr="002029AF">
              <w:t>Part-time</w:t>
            </w:r>
            <w:r w:rsidR="000A5329" w:rsidRPr="002029AF">
              <w:t xml:space="preserve"> </w:t>
            </w:r>
            <w:r w:rsidRPr="002029AF">
              <w:t>(headcount)</w:t>
            </w:r>
          </w:p>
        </w:tc>
        <w:tc>
          <w:tcPr>
            <w:tcW w:w="1610" w:type="dxa"/>
            <w:shd w:val="clear" w:color="auto" w:fill="auto"/>
            <w:vAlign w:val="bottom"/>
          </w:tcPr>
          <w:p w14:paraId="17744816" w14:textId="77777777" w:rsidR="00CF72D5" w:rsidRPr="002029AF" w:rsidRDefault="00CF72D5" w:rsidP="00897193">
            <w:pPr>
              <w:pStyle w:val="ARtablecolheadright"/>
            </w:pPr>
            <w:r w:rsidRPr="002029AF">
              <w:t>FTE</w:t>
            </w:r>
          </w:p>
        </w:tc>
        <w:tc>
          <w:tcPr>
            <w:tcW w:w="1589" w:type="dxa"/>
            <w:shd w:val="clear" w:color="auto" w:fill="auto"/>
            <w:vAlign w:val="bottom"/>
          </w:tcPr>
          <w:p w14:paraId="62FE4211" w14:textId="77777777" w:rsidR="00CF72D5" w:rsidRPr="002029AF" w:rsidRDefault="00CF72D5" w:rsidP="00897193">
            <w:pPr>
              <w:pStyle w:val="ARtablecolheadright"/>
            </w:pPr>
            <w:r w:rsidRPr="002029AF">
              <w:t>FTE</w:t>
            </w:r>
          </w:p>
        </w:tc>
      </w:tr>
      <w:tr w:rsidR="00CF72D5" w:rsidRPr="002029AF" w14:paraId="2AB98120" w14:textId="77777777" w:rsidTr="00897193">
        <w:trPr>
          <w:cantSplit/>
        </w:trPr>
        <w:tc>
          <w:tcPr>
            <w:tcW w:w="1611" w:type="dxa"/>
            <w:shd w:val="clear" w:color="auto" w:fill="auto"/>
          </w:tcPr>
          <w:p w14:paraId="68B1F947" w14:textId="232EDE68" w:rsidR="00CF72D5" w:rsidRPr="002029AF" w:rsidRDefault="00CF72D5" w:rsidP="00897193">
            <w:pPr>
              <w:pStyle w:val="ARtabletext"/>
            </w:pPr>
            <w:r w:rsidRPr="002029AF">
              <w:t>June</w:t>
            </w:r>
            <w:r w:rsidR="000A5329" w:rsidRPr="002029AF">
              <w:t xml:space="preserve"> </w:t>
            </w:r>
            <w:r w:rsidRPr="002029AF">
              <w:t>2019</w:t>
            </w:r>
          </w:p>
        </w:tc>
        <w:tc>
          <w:tcPr>
            <w:tcW w:w="1609" w:type="dxa"/>
            <w:shd w:val="clear" w:color="auto" w:fill="auto"/>
          </w:tcPr>
          <w:p w14:paraId="0EB4F8EE" w14:textId="77777777" w:rsidR="00CF72D5" w:rsidRPr="002029AF" w:rsidRDefault="00CF72D5" w:rsidP="00897193">
            <w:pPr>
              <w:pStyle w:val="ARtabletextright"/>
            </w:pPr>
            <w:r w:rsidRPr="002029AF">
              <w:t>75</w:t>
            </w:r>
          </w:p>
        </w:tc>
        <w:tc>
          <w:tcPr>
            <w:tcW w:w="1610" w:type="dxa"/>
            <w:shd w:val="clear" w:color="auto" w:fill="auto"/>
          </w:tcPr>
          <w:p w14:paraId="4FBE77A9" w14:textId="77777777" w:rsidR="00CF72D5" w:rsidRPr="002029AF" w:rsidRDefault="00CF72D5" w:rsidP="00897193">
            <w:pPr>
              <w:pStyle w:val="ARtabletextright"/>
            </w:pPr>
            <w:r w:rsidRPr="002029AF">
              <w:t>57</w:t>
            </w:r>
          </w:p>
        </w:tc>
        <w:tc>
          <w:tcPr>
            <w:tcW w:w="1610" w:type="dxa"/>
            <w:shd w:val="clear" w:color="auto" w:fill="auto"/>
          </w:tcPr>
          <w:p w14:paraId="590166E2" w14:textId="77777777" w:rsidR="00CF72D5" w:rsidRPr="002029AF" w:rsidRDefault="00CF72D5" w:rsidP="00897193">
            <w:pPr>
              <w:pStyle w:val="ARtabletextright"/>
            </w:pPr>
            <w:r w:rsidRPr="002029AF">
              <w:t>7</w:t>
            </w:r>
          </w:p>
        </w:tc>
        <w:tc>
          <w:tcPr>
            <w:tcW w:w="1610" w:type="dxa"/>
            <w:shd w:val="clear" w:color="auto" w:fill="auto"/>
          </w:tcPr>
          <w:p w14:paraId="25D4D9CC" w14:textId="77777777" w:rsidR="00CF72D5" w:rsidRPr="002029AF" w:rsidRDefault="00CF72D5" w:rsidP="00897193">
            <w:pPr>
              <w:pStyle w:val="ARtabletextright"/>
            </w:pPr>
            <w:r w:rsidRPr="002029AF">
              <w:t>61.8</w:t>
            </w:r>
          </w:p>
        </w:tc>
        <w:tc>
          <w:tcPr>
            <w:tcW w:w="1589" w:type="dxa"/>
            <w:shd w:val="clear" w:color="auto" w:fill="auto"/>
          </w:tcPr>
          <w:p w14:paraId="71B43DF3" w14:textId="77777777" w:rsidR="00CF72D5" w:rsidRPr="002029AF" w:rsidRDefault="00CF72D5" w:rsidP="00897193">
            <w:pPr>
              <w:pStyle w:val="ARtabletextright"/>
            </w:pPr>
            <w:r w:rsidRPr="002029AF">
              <w:t>10.4</w:t>
            </w:r>
          </w:p>
        </w:tc>
      </w:tr>
      <w:tr w:rsidR="00CF72D5" w:rsidRPr="002029AF" w14:paraId="30553DCC" w14:textId="77777777" w:rsidTr="00897193">
        <w:trPr>
          <w:cantSplit/>
        </w:trPr>
        <w:tc>
          <w:tcPr>
            <w:tcW w:w="1611" w:type="dxa"/>
            <w:shd w:val="clear" w:color="auto" w:fill="auto"/>
          </w:tcPr>
          <w:p w14:paraId="299B6731" w14:textId="04B173F6" w:rsidR="00CF72D5" w:rsidRPr="002029AF" w:rsidRDefault="00CF72D5" w:rsidP="00897193">
            <w:pPr>
              <w:pStyle w:val="ARtabletext"/>
            </w:pPr>
            <w:r w:rsidRPr="002029AF">
              <w:t>June</w:t>
            </w:r>
            <w:r w:rsidR="000A5329" w:rsidRPr="002029AF">
              <w:t xml:space="preserve"> </w:t>
            </w:r>
            <w:r w:rsidRPr="002029AF">
              <w:t>2020</w:t>
            </w:r>
          </w:p>
        </w:tc>
        <w:tc>
          <w:tcPr>
            <w:tcW w:w="1609" w:type="dxa"/>
            <w:shd w:val="clear" w:color="auto" w:fill="auto"/>
          </w:tcPr>
          <w:p w14:paraId="49D28FFA" w14:textId="77777777" w:rsidR="00CF72D5" w:rsidRPr="002029AF" w:rsidRDefault="00CF72D5" w:rsidP="00897193">
            <w:pPr>
              <w:pStyle w:val="ARtabletextright"/>
            </w:pPr>
            <w:r w:rsidRPr="002029AF">
              <w:t>85</w:t>
            </w:r>
          </w:p>
        </w:tc>
        <w:tc>
          <w:tcPr>
            <w:tcW w:w="1610" w:type="dxa"/>
            <w:shd w:val="clear" w:color="auto" w:fill="auto"/>
          </w:tcPr>
          <w:p w14:paraId="2DEA471C" w14:textId="77777777" w:rsidR="00CF72D5" w:rsidRPr="002029AF" w:rsidRDefault="00CF72D5" w:rsidP="00897193">
            <w:pPr>
              <w:pStyle w:val="ARtabletextright"/>
            </w:pPr>
            <w:r w:rsidRPr="002029AF">
              <w:t>58</w:t>
            </w:r>
          </w:p>
        </w:tc>
        <w:tc>
          <w:tcPr>
            <w:tcW w:w="1610" w:type="dxa"/>
            <w:shd w:val="clear" w:color="auto" w:fill="auto"/>
          </w:tcPr>
          <w:p w14:paraId="0FB6B61F" w14:textId="77777777" w:rsidR="00CF72D5" w:rsidRPr="002029AF" w:rsidRDefault="00CF72D5" w:rsidP="00897193">
            <w:pPr>
              <w:pStyle w:val="ARtabletextright"/>
            </w:pPr>
            <w:r w:rsidRPr="002029AF">
              <w:t>10</w:t>
            </w:r>
          </w:p>
        </w:tc>
        <w:tc>
          <w:tcPr>
            <w:tcW w:w="1610" w:type="dxa"/>
            <w:shd w:val="clear" w:color="auto" w:fill="auto"/>
          </w:tcPr>
          <w:p w14:paraId="6F757888" w14:textId="77777777" w:rsidR="00CF72D5" w:rsidRPr="002029AF" w:rsidRDefault="00CF72D5" w:rsidP="00897193">
            <w:pPr>
              <w:pStyle w:val="ARtabletextright"/>
            </w:pPr>
            <w:r w:rsidRPr="002029AF">
              <w:t>65.1</w:t>
            </w:r>
          </w:p>
        </w:tc>
        <w:tc>
          <w:tcPr>
            <w:tcW w:w="1589" w:type="dxa"/>
            <w:shd w:val="clear" w:color="auto" w:fill="auto"/>
          </w:tcPr>
          <w:p w14:paraId="089DFF3B" w14:textId="77777777" w:rsidR="00CF72D5" w:rsidRPr="002029AF" w:rsidRDefault="00CF72D5" w:rsidP="00897193">
            <w:pPr>
              <w:pStyle w:val="ARtabletextright"/>
            </w:pPr>
            <w:r w:rsidRPr="002029AF">
              <w:t>16.6</w:t>
            </w:r>
          </w:p>
        </w:tc>
      </w:tr>
    </w:tbl>
    <w:p w14:paraId="513079E6" w14:textId="77777777" w:rsidR="00CF72D5" w:rsidRPr="002029AF" w:rsidRDefault="00CF72D5" w:rsidP="00897193">
      <w:pPr>
        <w:pStyle w:val="ARbody"/>
      </w:pPr>
    </w:p>
    <w:p w14:paraId="4BC14EA3" w14:textId="77777777" w:rsidR="00CF72D5" w:rsidRPr="002029AF" w:rsidRDefault="00CF72D5" w:rsidP="00897193">
      <w:pPr>
        <w:pStyle w:val="ARbody"/>
        <w:sectPr w:rsidR="00CF72D5" w:rsidRPr="002029AF" w:rsidSect="00E25B23">
          <w:footerReference w:type="even" r:id="rId126"/>
          <w:pgSz w:w="11906" w:h="16838" w:code="9"/>
          <w:pgMar w:top="1985" w:right="851" w:bottom="851" w:left="1418" w:header="510" w:footer="340" w:gutter="0"/>
          <w:cols w:space="454"/>
          <w:docGrid w:linePitch="360"/>
          <w15:footnoteColumns w:val="1"/>
        </w:sectPr>
      </w:pPr>
    </w:p>
    <w:p w14:paraId="51F29423" w14:textId="79E02FBC" w:rsidR="00CF72D5" w:rsidRPr="002029AF" w:rsidRDefault="00CF72D5" w:rsidP="00FC001B">
      <w:pPr>
        <w:pStyle w:val="Heading4"/>
        <w:spacing w:before="0"/>
      </w:pPr>
      <w:r w:rsidRPr="002029AF">
        <w:lastRenderedPageBreak/>
        <w:t>Victorian</w:t>
      </w:r>
      <w:r w:rsidR="000A5329" w:rsidRPr="002029AF">
        <w:t xml:space="preserve"> </w:t>
      </w:r>
      <w:r w:rsidRPr="002029AF">
        <w:t>Agency</w:t>
      </w:r>
      <w:r w:rsidR="000A5329" w:rsidRPr="002029AF">
        <w:t xml:space="preserve"> </w:t>
      </w:r>
      <w:r w:rsidRPr="002029AF">
        <w:t>for</w:t>
      </w:r>
      <w:r w:rsidR="000A5329" w:rsidRPr="002029AF">
        <w:t xml:space="preserve"> </w:t>
      </w:r>
      <w:r w:rsidRPr="002029AF">
        <w:t>Health</w:t>
      </w:r>
      <w:r w:rsidR="000A5329" w:rsidRPr="002029AF">
        <w:t xml:space="preserve"> </w:t>
      </w:r>
      <w:r w:rsidRPr="002029AF">
        <w:t>Information</w:t>
      </w:r>
      <w:r w:rsidR="000A5329" w:rsidRPr="002029AF">
        <w:t xml:space="preserve"> </w:t>
      </w:r>
      <w:r w:rsidRPr="002029AF">
        <w:t>employment</w:t>
      </w:r>
      <w:r w:rsidR="000A5329" w:rsidRPr="002029AF">
        <w:t xml:space="preserve"> </w:t>
      </w:r>
      <w:r w:rsidRPr="002029AF">
        <w:t>levels</w:t>
      </w:r>
      <w:r w:rsidR="000A5329" w:rsidRPr="002029AF">
        <w:t xml:space="preserve"> </w:t>
      </w:r>
      <w:r w:rsidRPr="002029AF">
        <w:t>in</w:t>
      </w:r>
      <w:r w:rsidR="000A5329" w:rsidRPr="002029AF">
        <w:t xml:space="preserve"> </w:t>
      </w:r>
      <w:r w:rsidRPr="002029AF">
        <w:t>June</w:t>
      </w:r>
      <w:r w:rsidR="000A5329" w:rsidRPr="002029AF">
        <w:t xml:space="preserve"> </w:t>
      </w:r>
      <w:r w:rsidRPr="002029AF">
        <w:t>of</w:t>
      </w:r>
      <w:r w:rsidR="000A5329" w:rsidRPr="002029AF">
        <w:t xml:space="preserve"> </w:t>
      </w:r>
      <w:r w:rsidRPr="002029AF">
        <w:t>2020</w:t>
      </w:r>
      <w:r w:rsidR="000A5329" w:rsidRPr="002029AF">
        <w:t xml:space="preserve"> </w:t>
      </w:r>
      <w:r w:rsidRPr="002029AF">
        <w:t>and</w:t>
      </w:r>
      <w:r w:rsidR="000A5329" w:rsidRPr="002029AF">
        <w:t xml:space="preserve"> </w:t>
      </w:r>
      <w:r w:rsidRPr="002029AF">
        <w:t>2019</w:t>
      </w:r>
    </w:p>
    <w:tbl>
      <w:tblPr>
        <w:tblStyle w:val="TableGrid"/>
        <w:tblW w:w="14005" w:type="dxa"/>
        <w:tblLook w:val="06A0" w:firstRow="1" w:lastRow="0" w:firstColumn="1" w:lastColumn="0" w:noHBand="1" w:noVBand="1"/>
      </w:tblPr>
      <w:tblGrid>
        <w:gridCol w:w="2313"/>
        <w:gridCol w:w="875"/>
        <w:gridCol w:w="800"/>
        <w:gridCol w:w="841"/>
        <w:gridCol w:w="842"/>
        <w:gridCol w:w="800"/>
        <w:gridCol w:w="875"/>
        <w:gridCol w:w="800"/>
        <w:gridCol w:w="875"/>
        <w:gridCol w:w="800"/>
        <w:gridCol w:w="841"/>
        <w:gridCol w:w="841"/>
        <w:gridCol w:w="799"/>
        <w:gridCol w:w="9"/>
        <w:gridCol w:w="866"/>
        <w:gridCol w:w="818"/>
        <w:gridCol w:w="10"/>
      </w:tblGrid>
      <w:tr w:rsidR="00DE1C42" w:rsidRPr="002029AF" w14:paraId="0C4B68F9" w14:textId="77777777" w:rsidTr="00233C48">
        <w:trPr>
          <w:cnfStyle w:val="100000000000" w:firstRow="1" w:lastRow="0" w:firstColumn="0" w:lastColumn="0" w:oddVBand="0" w:evenVBand="0" w:oddHBand="0" w:evenHBand="0" w:firstRowFirstColumn="0" w:firstRowLastColumn="0" w:lastRowFirstColumn="0" w:lastRowLastColumn="0"/>
          <w:tblHeader/>
        </w:trPr>
        <w:tc>
          <w:tcPr>
            <w:tcW w:w="2631" w:type="dxa"/>
            <w:vMerge w:val="restart"/>
            <w:hideMark/>
          </w:tcPr>
          <w:p w14:paraId="7BFBF9E0" w14:textId="41B51108" w:rsidR="00DE1C42" w:rsidRPr="002029AF" w:rsidRDefault="00DE1C42" w:rsidP="006D6A5D">
            <w:pPr>
              <w:pStyle w:val="ARtablecolhead"/>
              <w:spacing w:before="20" w:after="20"/>
            </w:pPr>
          </w:p>
        </w:tc>
        <w:tc>
          <w:tcPr>
            <w:tcW w:w="6226" w:type="dxa"/>
            <w:gridSpan w:val="7"/>
            <w:hideMark/>
          </w:tcPr>
          <w:p w14:paraId="0CADF4BF" w14:textId="5BBF12F3" w:rsidR="00DE1C42" w:rsidRPr="002029AF" w:rsidRDefault="00DE1C42" w:rsidP="006D6A5D">
            <w:pPr>
              <w:pStyle w:val="ARtablecolheadcentre"/>
              <w:spacing w:before="20" w:after="20"/>
            </w:pPr>
            <w:r w:rsidRPr="002029AF">
              <w:t>June</w:t>
            </w:r>
            <w:r w:rsidR="000A5329" w:rsidRPr="002029AF">
              <w:t xml:space="preserve"> </w:t>
            </w:r>
            <w:r w:rsidRPr="002029AF">
              <w:t>2020</w:t>
            </w:r>
          </w:p>
        </w:tc>
        <w:tc>
          <w:tcPr>
            <w:tcW w:w="6232" w:type="dxa"/>
            <w:gridSpan w:val="9"/>
            <w:hideMark/>
          </w:tcPr>
          <w:p w14:paraId="08930C4C" w14:textId="57045C8A" w:rsidR="00DE1C42" w:rsidRPr="002029AF" w:rsidRDefault="00DE1C42" w:rsidP="006D6A5D">
            <w:pPr>
              <w:pStyle w:val="ARtablecolheadcentre"/>
              <w:spacing w:before="20" w:after="20"/>
            </w:pPr>
            <w:r w:rsidRPr="002029AF">
              <w:t>June</w:t>
            </w:r>
            <w:r w:rsidR="000A5329" w:rsidRPr="002029AF">
              <w:t xml:space="preserve"> </w:t>
            </w:r>
            <w:r w:rsidRPr="002029AF">
              <w:t>2019</w:t>
            </w:r>
          </w:p>
        </w:tc>
      </w:tr>
      <w:tr w:rsidR="00DE1C42" w:rsidRPr="002029AF" w14:paraId="2641868E" w14:textId="77777777" w:rsidTr="00233C48">
        <w:trPr>
          <w:cnfStyle w:val="100000000000" w:firstRow="1" w:lastRow="0" w:firstColumn="0" w:lastColumn="0" w:oddVBand="0" w:evenVBand="0" w:oddHBand="0" w:evenHBand="0" w:firstRowFirstColumn="0" w:firstRowLastColumn="0" w:lastRowFirstColumn="0" w:lastRowLastColumn="0"/>
          <w:tblHeader/>
        </w:trPr>
        <w:tc>
          <w:tcPr>
            <w:tcW w:w="2631" w:type="dxa"/>
            <w:vMerge/>
            <w:hideMark/>
          </w:tcPr>
          <w:p w14:paraId="4406D620" w14:textId="3BBC7216" w:rsidR="00DE1C42" w:rsidRPr="002029AF" w:rsidRDefault="00DE1C42" w:rsidP="006D6A5D">
            <w:pPr>
              <w:spacing w:before="20" w:after="20" w:line="240" w:lineRule="auto"/>
              <w:rPr>
                <w:rFonts w:ascii="Calibri" w:eastAsia="Times New Roman" w:hAnsi="Calibri" w:cs="Calibri"/>
                <w:i/>
                <w:iCs/>
                <w:color w:val="000000"/>
                <w:sz w:val="15"/>
                <w:szCs w:val="15"/>
              </w:rPr>
            </w:pPr>
          </w:p>
        </w:tc>
        <w:tc>
          <w:tcPr>
            <w:tcW w:w="1782" w:type="dxa"/>
            <w:gridSpan w:val="2"/>
            <w:hideMark/>
          </w:tcPr>
          <w:p w14:paraId="55514FE8" w14:textId="1F328416" w:rsidR="00DE1C42" w:rsidRPr="002029AF" w:rsidRDefault="00DE1C42" w:rsidP="006D6A5D">
            <w:pPr>
              <w:pStyle w:val="ARtablecolheadcentre"/>
              <w:spacing w:before="20" w:after="20"/>
            </w:pPr>
            <w:r w:rsidRPr="002029AF">
              <w:t>All</w:t>
            </w:r>
            <w:r w:rsidR="000A5329" w:rsidRPr="002029AF">
              <w:t xml:space="preserve"> </w:t>
            </w:r>
            <w:r w:rsidRPr="002029AF">
              <w:t>employees</w:t>
            </w:r>
          </w:p>
        </w:tc>
        <w:tc>
          <w:tcPr>
            <w:tcW w:w="2661" w:type="dxa"/>
            <w:gridSpan w:val="3"/>
            <w:hideMark/>
          </w:tcPr>
          <w:p w14:paraId="2B735FA8" w14:textId="77777777" w:rsidR="00DE1C42" w:rsidRPr="002029AF" w:rsidRDefault="00DE1C42" w:rsidP="006D6A5D">
            <w:pPr>
              <w:pStyle w:val="ARtablecolheadcentre"/>
              <w:spacing w:before="20" w:after="20"/>
            </w:pPr>
            <w:r w:rsidRPr="002029AF">
              <w:t>Ongoing</w:t>
            </w:r>
          </w:p>
        </w:tc>
        <w:tc>
          <w:tcPr>
            <w:tcW w:w="1783" w:type="dxa"/>
            <w:gridSpan w:val="2"/>
            <w:hideMark/>
          </w:tcPr>
          <w:p w14:paraId="04298AD9" w14:textId="2033B00A" w:rsidR="00DE1C42" w:rsidRPr="002029AF" w:rsidRDefault="00DE1C42" w:rsidP="006D6A5D">
            <w:pPr>
              <w:pStyle w:val="ARtablecolheadcentre"/>
              <w:spacing w:before="20" w:after="20"/>
            </w:pPr>
            <w:r w:rsidRPr="002029AF">
              <w:t>Fixed</w:t>
            </w:r>
            <w:r w:rsidR="000A5329" w:rsidRPr="002029AF">
              <w:t xml:space="preserve"> </w:t>
            </w:r>
            <w:r w:rsidRPr="002029AF">
              <w:t>term</w:t>
            </w:r>
            <w:r w:rsidR="000A5329" w:rsidRPr="002029AF">
              <w:t xml:space="preserve"> </w:t>
            </w:r>
            <w:r w:rsidRPr="002029AF">
              <w:t>and</w:t>
            </w:r>
            <w:r w:rsidR="000A5329" w:rsidRPr="002029AF">
              <w:t xml:space="preserve"> </w:t>
            </w:r>
            <w:r w:rsidRPr="002029AF">
              <w:t>casual</w:t>
            </w:r>
          </w:p>
        </w:tc>
        <w:tc>
          <w:tcPr>
            <w:tcW w:w="1782" w:type="dxa"/>
            <w:gridSpan w:val="2"/>
            <w:hideMark/>
          </w:tcPr>
          <w:p w14:paraId="48C06001" w14:textId="4CACB6B4" w:rsidR="00DE1C42" w:rsidRPr="002029AF" w:rsidRDefault="00DE1C42" w:rsidP="006D6A5D">
            <w:pPr>
              <w:pStyle w:val="ARtablecolheadcentre"/>
              <w:spacing w:before="20" w:after="20"/>
            </w:pPr>
            <w:r w:rsidRPr="002029AF">
              <w:t>All</w:t>
            </w:r>
            <w:r w:rsidR="000A5329" w:rsidRPr="002029AF">
              <w:t xml:space="preserve"> </w:t>
            </w:r>
            <w:r w:rsidRPr="002029AF">
              <w:t>employees</w:t>
            </w:r>
          </w:p>
        </w:tc>
        <w:tc>
          <w:tcPr>
            <w:tcW w:w="2667" w:type="dxa"/>
            <w:gridSpan w:val="4"/>
            <w:hideMark/>
          </w:tcPr>
          <w:p w14:paraId="172FD08C" w14:textId="77777777" w:rsidR="00DE1C42" w:rsidRPr="002029AF" w:rsidRDefault="00DE1C42" w:rsidP="006D6A5D">
            <w:pPr>
              <w:pStyle w:val="ARtablecolheadcentre"/>
              <w:spacing w:before="20" w:after="20"/>
            </w:pPr>
            <w:r w:rsidRPr="002029AF">
              <w:t>Ongoing</w:t>
            </w:r>
          </w:p>
        </w:tc>
        <w:tc>
          <w:tcPr>
            <w:tcW w:w="1783" w:type="dxa"/>
            <w:gridSpan w:val="3"/>
            <w:hideMark/>
          </w:tcPr>
          <w:p w14:paraId="20603798" w14:textId="7DA3D60D" w:rsidR="00DE1C42" w:rsidRPr="002029AF" w:rsidRDefault="00DE1C42" w:rsidP="006D6A5D">
            <w:pPr>
              <w:pStyle w:val="ARtablecolheadcentre"/>
              <w:spacing w:before="20" w:after="20"/>
            </w:pPr>
            <w:r w:rsidRPr="002029AF">
              <w:t>Fixed</w:t>
            </w:r>
            <w:r w:rsidR="000A5329" w:rsidRPr="002029AF">
              <w:t xml:space="preserve"> </w:t>
            </w:r>
            <w:r w:rsidRPr="002029AF">
              <w:t>term</w:t>
            </w:r>
            <w:r w:rsidR="000A5329" w:rsidRPr="002029AF">
              <w:t xml:space="preserve"> </w:t>
            </w:r>
            <w:r w:rsidRPr="002029AF">
              <w:t>and</w:t>
            </w:r>
            <w:r w:rsidR="000A5329" w:rsidRPr="002029AF">
              <w:t xml:space="preserve"> </w:t>
            </w:r>
            <w:r w:rsidRPr="002029AF">
              <w:t>casual</w:t>
            </w:r>
          </w:p>
        </w:tc>
      </w:tr>
      <w:tr w:rsidR="00DE1C42" w:rsidRPr="002029AF" w14:paraId="69AE7E17" w14:textId="77777777" w:rsidTr="00233C48">
        <w:trPr>
          <w:gridAfter w:val="1"/>
          <w:cnfStyle w:val="100000000000" w:firstRow="1" w:lastRow="0" w:firstColumn="0" w:lastColumn="0" w:oddVBand="0" w:evenVBand="0" w:oddHBand="0" w:evenHBand="0" w:firstRowFirstColumn="0" w:firstRowLastColumn="0" w:lastRowFirstColumn="0" w:lastRowLastColumn="0"/>
          <w:wAfter w:w="10" w:type="dxa"/>
          <w:tblHeader/>
        </w:trPr>
        <w:tc>
          <w:tcPr>
            <w:tcW w:w="2631" w:type="dxa"/>
            <w:vMerge/>
            <w:hideMark/>
          </w:tcPr>
          <w:p w14:paraId="3AD3C23D" w14:textId="0A861953" w:rsidR="00DE1C42" w:rsidRPr="002029AF" w:rsidRDefault="00DE1C42" w:rsidP="006D6A5D">
            <w:pPr>
              <w:spacing w:before="20" w:after="20" w:line="240" w:lineRule="auto"/>
              <w:rPr>
                <w:rFonts w:ascii="Calibri" w:eastAsia="Times New Roman" w:hAnsi="Calibri" w:cs="Calibri"/>
                <w:i/>
                <w:iCs/>
                <w:color w:val="000000"/>
                <w:sz w:val="15"/>
                <w:szCs w:val="15"/>
              </w:rPr>
            </w:pPr>
          </w:p>
        </w:tc>
        <w:tc>
          <w:tcPr>
            <w:tcW w:w="897" w:type="dxa"/>
            <w:hideMark/>
          </w:tcPr>
          <w:p w14:paraId="68CF7107" w14:textId="627A6764" w:rsidR="00DE1C42" w:rsidRPr="002029AF" w:rsidRDefault="00DE1C42" w:rsidP="006D6A5D">
            <w:pPr>
              <w:pStyle w:val="ARtablecolheadright"/>
              <w:spacing w:before="20" w:after="20"/>
            </w:pPr>
            <w:r w:rsidRPr="002029AF">
              <w:t>Number</w:t>
            </w:r>
            <w:r w:rsidR="000A5329" w:rsidRPr="002029AF">
              <w:t xml:space="preserve"> </w:t>
            </w:r>
            <w:r w:rsidRPr="002029AF">
              <w:t>(head</w:t>
            </w:r>
            <w:r w:rsidR="000A5329" w:rsidRPr="002029AF">
              <w:t xml:space="preserve"> </w:t>
            </w:r>
            <w:r w:rsidRPr="002029AF">
              <w:t>count)</w:t>
            </w:r>
          </w:p>
        </w:tc>
        <w:tc>
          <w:tcPr>
            <w:tcW w:w="885" w:type="dxa"/>
            <w:hideMark/>
          </w:tcPr>
          <w:p w14:paraId="793015B2" w14:textId="77777777" w:rsidR="00DE1C42" w:rsidRPr="002029AF" w:rsidRDefault="00DE1C42" w:rsidP="006D6A5D">
            <w:pPr>
              <w:pStyle w:val="ARtablecolheadright"/>
              <w:spacing w:before="20" w:after="20"/>
            </w:pPr>
            <w:r w:rsidRPr="002029AF">
              <w:t>FTE</w:t>
            </w:r>
          </w:p>
        </w:tc>
        <w:tc>
          <w:tcPr>
            <w:tcW w:w="887" w:type="dxa"/>
            <w:hideMark/>
          </w:tcPr>
          <w:p w14:paraId="44BD4D0B" w14:textId="5BE72400" w:rsidR="00DE1C42" w:rsidRPr="002029AF" w:rsidRDefault="00DE1C42" w:rsidP="006D6A5D">
            <w:pPr>
              <w:pStyle w:val="ARtablecolheadright"/>
              <w:spacing w:before="20" w:after="20"/>
            </w:pPr>
            <w:r w:rsidRPr="002029AF">
              <w:t>Full-time</w:t>
            </w:r>
            <w:r w:rsidR="000A5329" w:rsidRPr="002029AF">
              <w:t xml:space="preserve"> </w:t>
            </w:r>
            <w:r w:rsidRPr="002029AF">
              <w:t>(head</w:t>
            </w:r>
            <w:r w:rsidR="000A5329" w:rsidRPr="002029AF">
              <w:t xml:space="preserve"> </w:t>
            </w:r>
            <w:r w:rsidRPr="002029AF">
              <w:t>count)</w:t>
            </w:r>
          </w:p>
        </w:tc>
        <w:tc>
          <w:tcPr>
            <w:tcW w:w="888" w:type="dxa"/>
            <w:hideMark/>
          </w:tcPr>
          <w:p w14:paraId="2D4170BF" w14:textId="10B847DD" w:rsidR="00DE1C42" w:rsidRPr="002029AF" w:rsidRDefault="00DE1C42" w:rsidP="006D6A5D">
            <w:pPr>
              <w:pStyle w:val="ARtablecolheadright"/>
              <w:spacing w:before="20" w:after="20"/>
            </w:pPr>
            <w:r w:rsidRPr="002029AF">
              <w:t>Part-time</w:t>
            </w:r>
            <w:r w:rsidR="000A5329" w:rsidRPr="002029AF">
              <w:t xml:space="preserve"> </w:t>
            </w:r>
            <w:r w:rsidRPr="002029AF">
              <w:t>(head</w:t>
            </w:r>
            <w:r w:rsidR="000A5329" w:rsidRPr="002029AF">
              <w:t xml:space="preserve"> </w:t>
            </w:r>
            <w:r w:rsidRPr="002029AF">
              <w:t>count)</w:t>
            </w:r>
          </w:p>
        </w:tc>
        <w:tc>
          <w:tcPr>
            <w:tcW w:w="886" w:type="dxa"/>
            <w:hideMark/>
          </w:tcPr>
          <w:p w14:paraId="428F0962" w14:textId="77777777" w:rsidR="00DE1C42" w:rsidRPr="002029AF" w:rsidRDefault="00DE1C42" w:rsidP="006D6A5D">
            <w:pPr>
              <w:pStyle w:val="ARtablecolheadright"/>
              <w:spacing w:before="20" w:after="20"/>
            </w:pPr>
            <w:r w:rsidRPr="002029AF">
              <w:t>FTE</w:t>
            </w:r>
          </w:p>
        </w:tc>
        <w:tc>
          <w:tcPr>
            <w:tcW w:w="897" w:type="dxa"/>
            <w:hideMark/>
          </w:tcPr>
          <w:p w14:paraId="0467BEB6" w14:textId="6A801C20" w:rsidR="00DE1C42" w:rsidRPr="002029AF" w:rsidRDefault="00DE1C42" w:rsidP="006D6A5D">
            <w:pPr>
              <w:pStyle w:val="ARtablecolheadright"/>
              <w:spacing w:before="20" w:after="20"/>
            </w:pPr>
            <w:r w:rsidRPr="002029AF">
              <w:t>Number</w:t>
            </w:r>
            <w:r w:rsidR="000A5329" w:rsidRPr="002029AF">
              <w:t xml:space="preserve"> </w:t>
            </w:r>
            <w:r w:rsidRPr="002029AF">
              <w:t>(head</w:t>
            </w:r>
            <w:r w:rsidR="000A5329" w:rsidRPr="002029AF">
              <w:t xml:space="preserve"> </w:t>
            </w:r>
            <w:r w:rsidRPr="002029AF">
              <w:t>count)</w:t>
            </w:r>
          </w:p>
        </w:tc>
        <w:tc>
          <w:tcPr>
            <w:tcW w:w="886" w:type="dxa"/>
            <w:hideMark/>
          </w:tcPr>
          <w:p w14:paraId="1B0BF1E2" w14:textId="77777777" w:rsidR="00DE1C42" w:rsidRPr="002029AF" w:rsidRDefault="00DE1C42" w:rsidP="006D6A5D">
            <w:pPr>
              <w:pStyle w:val="ARtablecolheadright"/>
              <w:spacing w:before="20" w:after="20"/>
            </w:pPr>
            <w:r w:rsidRPr="002029AF">
              <w:t>FTE</w:t>
            </w:r>
          </w:p>
        </w:tc>
        <w:tc>
          <w:tcPr>
            <w:tcW w:w="897" w:type="dxa"/>
            <w:hideMark/>
          </w:tcPr>
          <w:p w14:paraId="344B338F" w14:textId="1F5C4219" w:rsidR="00DE1C42" w:rsidRPr="002029AF" w:rsidRDefault="00DE1C42" w:rsidP="006D6A5D">
            <w:pPr>
              <w:pStyle w:val="ARtablecolheadright"/>
              <w:spacing w:before="20" w:after="20"/>
            </w:pPr>
            <w:r w:rsidRPr="002029AF">
              <w:t>Number</w:t>
            </w:r>
            <w:r w:rsidR="000A5329" w:rsidRPr="002029AF">
              <w:t xml:space="preserve"> </w:t>
            </w:r>
            <w:r w:rsidRPr="002029AF">
              <w:t>(head</w:t>
            </w:r>
            <w:r w:rsidR="000A5329" w:rsidRPr="002029AF">
              <w:t xml:space="preserve"> </w:t>
            </w:r>
            <w:r w:rsidRPr="002029AF">
              <w:t>count)</w:t>
            </w:r>
          </w:p>
        </w:tc>
        <w:tc>
          <w:tcPr>
            <w:tcW w:w="885" w:type="dxa"/>
            <w:hideMark/>
          </w:tcPr>
          <w:p w14:paraId="4405C13A" w14:textId="77777777" w:rsidR="00DE1C42" w:rsidRPr="002029AF" w:rsidRDefault="00DE1C42" w:rsidP="006D6A5D">
            <w:pPr>
              <w:pStyle w:val="ARtablecolheadright"/>
              <w:spacing w:before="20" w:after="20"/>
            </w:pPr>
            <w:r w:rsidRPr="002029AF">
              <w:t>FTE</w:t>
            </w:r>
          </w:p>
        </w:tc>
        <w:tc>
          <w:tcPr>
            <w:tcW w:w="887" w:type="dxa"/>
            <w:hideMark/>
          </w:tcPr>
          <w:p w14:paraId="2BD2A477" w14:textId="07A22D2E" w:rsidR="00DE1C42" w:rsidRPr="002029AF" w:rsidRDefault="00DE1C42" w:rsidP="006D6A5D">
            <w:pPr>
              <w:pStyle w:val="ARtablecolheadright"/>
              <w:spacing w:before="20" w:after="20"/>
            </w:pPr>
            <w:r w:rsidRPr="002029AF">
              <w:t>Full-time</w:t>
            </w:r>
            <w:r w:rsidR="000A5329" w:rsidRPr="002029AF">
              <w:t xml:space="preserve"> </w:t>
            </w:r>
            <w:r w:rsidRPr="002029AF">
              <w:t>(head</w:t>
            </w:r>
            <w:r w:rsidR="000A5329" w:rsidRPr="002029AF">
              <w:t xml:space="preserve"> </w:t>
            </w:r>
            <w:r w:rsidRPr="002029AF">
              <w:t>count)</w:t>
            </w:r>
          </w:p>
        </w:tc>
        <w:tc>
          <w:tcPr>
            <w:tcW w:w="887" w:type="dxa"/>
            <w:hideMark/>
          </w:tcPr>
          <w:p w14:paraId="4AFC2D44" w14:textId="3816CCDB" w:rsidR="00DE1C42" w:rsidRPr="002029AF" w:rsidRDefault="00DE1C42" w:rsidP="006D6A5D">
            <w:pPr>
              <w:pStyle w:val="ARtablecolheadright"/>
              <w:spacing w:before="20" w:after="20"/>
            </w:pPr>
            <w:r w:rsidRPr="002029AF">
              <w:t>Part-time</w:t>
            </w:r>
            <w:r w:rsidR="000A5329" w:rsidRPr="002029AF">
              <w:t xml:space="preserve"> </w:t>
            </w:r>
            <w:r w:rsidRPr="002029AF">
              <w:t>(head</w:t>
            </w:r>
            <w:r w:rsidR="000A5329" w:rsidRPr="002029AF">
              <w:t xml:space="preserve"> </w:t>
            </w:r>
            <w:r w:rsidRPr="002029AF">
              <w:t>count)</w:t>
            </w:r>
          </w:p>
        </w:tc>
        <w:tc>
          <w:tcPr>
            <w:tcW w:w="884" w:type="dxa"/>
            <w:hideMark/>
          </w:tcPr>
          <w:p w14:paraId="476160D8" w14:textId="77777777" w:rsidR="00DE1C42" w:rsidRPr="002029AF" w:rsidRDefault="00DE1C42" w:rsidP="006D6A5D">
            <w:pPr>
              <w:pStyle w:val="ARtablecolheadright"/>
              <w:spacing w:before="20" w:after="20"/>
            </w:pPr>
            <w:r w:rsidRPr="002029AF">
              <w:t>FTE</w:t>
            </w:r>
          </w:p>
        </w:tc>
        <w:tc>
          <w:tcPr>
            <w:tcW w:w="897" w:type="dxa"/>
            <w:gridSpan w:val="2"/>
            <w:hideMark/>
          </w:tcPr>
          <w:p w14:paraId="7DCD21D2" w14:textId="1F9929B3" w:rsidR="00DE1C42" w:rsidRPr="002029AF" w:rsidRDefault="00DE1C42" w:rsidP="006D6A5D">
            <w:pPr>
              <w:pStyle w:val="ARtablecolheadright"/>
              <w:spacing w:before="20" w:after="20"/>
            </w:pPr>
            <w:r w:rsidRPr="002029AF">
              <w:t>Number</w:t>
            </w:r>
            <w:r w:rsidR="000A5329" w:rsidRPr="002029AF">
              <w:t xml:space="preserve"> </w:t>
            </w:r>
            <w:r w:rsidRPr="002029AF">
              <w:t>(head</w:t>
            </w:r>
            <w:r w:rsidR="000A5329" w:rsidRPr="002029AF">
              <w:t xml:space="preserve"> </w:t>
            </w:r>
            <w:r w:rsidRPr="002029AF">
              <w:t>count)</w:t>
            </w:r>
          </w:p>
        </w:tc>
        <w:tc>
          <w:tcPr>
            <w:tcW w:w="885" w:type="dxa"/>
            <w:hideMark/>
          </w:tcPr>
          <w:p w14:paraId="41976FF2" w14:textId="77777777" w:rsidR="00DE1C42" w:rsidRPr="002029AF" w:rsidRDefault="00DE1C42" w:rsidP="006D6A5D">
            <w:pPr>
              <w:pStyle w:val="ARtablecolheadright"/>
              <w:spacing w:before="20" w:after="20"/>
            </w:pPr>
            <w:r w:rsidRPr="002029AF">
              <w:t>FTE</w:t>
            </w:r>
          </w:p>
        </w:tc>
      </w:tr>
      <w:tr w:rsidR="00CB1D1C" w:rsidRPr="002029AF" w14:paraId="72CE3D07" w14:textId="77777777" w:rsidTr="00D015AF">
        <w:trPr>
          <w:gridAfter w:val="1"/>
          <w:wAfter w:w="10" w:type="dxa"/>
          <w:cantSplit w:val="0"/>
        </w:trPr>
        <w:tc>
          <w:tcPr>
            <w:tcW w:w="15079" w:type="dxa"/>
            <w:gridSpan w:val="16"/>
            <w:hideMark/>
          </w:tcPr>
          <w:p w14:paraId="6391FE1B" w14:textId="45EB4ED9" w:rsidR="00CB1D1C" w:rsidRPr="002029AF" w:rsidRDefault="00CB1D1C" w:rsidP="006D6A5D">
            <w:pPr>
              <w:pStyle w:val="ARtablesubhead"/>
              <w:spacing w:before="20" w:after="20"/>
            </w:pPr>
            <w:r w:rsidRPr="002029AF">
              <w:t>Gender</w:t>
            </w:r>
          </w:p>
        </w:tc>
      </w:tr>
      <w:tr w:rsidR="00CF72D5" w:rsidRPr="002029AF" w14:paraId="0360ECEC" w14:textId="77777777" w:rsidTr="00D015AF">
        <w:trPr>
          <w:gridAfter w:val="1"/>
          <w:wAfter w:w="10" w:type="dxa"/>
          <w:cantSplit w:val="0"/>
        </w:trPr>
        <w:tc>
          <w:tcPr>
            <w:tcW w:w="2631" w:type="dxa"/>
            <w:hideMark/>
          </w:tcPr>
          <w:p w14:paraId="6D0832F8" w14:textId="77777777" w:rsidR="00CF72D5" w:rsidRPr="002029AF" w:rsidRDefault="00CF72D5" w:rsidP="006D6A5D">
            <w:pPr>
              <w:pStyle w:val="ARtabletext"/>
              <w:spacing w:before="20" w:after="20"/>
            </w:pPr>
            <w:r w:rsidRPr="002029AF">
              <w:t>Women</w:t>
            </w:r>
          </w:p>
        </w:tc>
        <w:tc>
          <w:tcPr>
            <w:tcW w:w="897" w:type="dxa"/>
            <w:hideMark/>
          </w:tcPr>
          <w:p w14:paraId="6E9856FE" w14:textId="77777777" w:rsidR="00CF72D5" w:rsidRPr="002029AF" w:rsidRDefault="00CF72D5" w:rsidP="006D6A5D">
            <w:pPr>
              <w:pStyle w:val="ARtabletextright"/>
              <w:spacing w:before="20" w:after="20"/>
            </w:pPr>
            <w:r w:rsidRPr="002029AF">
              <w:t>46</w:t>
            </w:r>
          </w:p>
        </w:tc>
        <w:tc>
          <w:tcPr>
            <w:tcW w:w="885" w:type="dxa"/>
            <w:hideMark/>
          </w:tcPr>
          <w:p w14:paraId="654E34B3" w14:textId="77777777" w:rsidR="00CF72D5" w:rsidRPr="002029AF" w:rsidRDefault="00CF72D5" w:rsidP="006D6A5D">
            <w:pPr>
              <w:pStyle w:val="ARtabletextright"/>
              <w:spacing w:before="20" w:after="20"/>
            </w:pPr>
            <w:r w:rsidRPr="002029AF">
              <w:t>43.9</w:t>
            </w:r>
          </w:p>
        </w:tc>
        <w:tc>
          <w:tcPr>
            <w:tcW w:w="887" w:type="dxa"/>
            <w:hideMark/>
          </w:tcPr>
          <w:p w14:paraId="04489C8F" w14:textId="77777777" w:rsidR="00CF72D5" w:rsidRPr="002029AF" w:rsidRDefault="00CF72D5" w:rsidP="006D6A5D">
            <w:pPr>
              <w:pStyle w:val="ARtabletextright"/>
              <w:spacing w:before="20" w:after="20"/>
            </w:pPr>
            <w:r w:rsidRPr="002029AF">
              <w:t>31</w:t>
            </w:r>
          </w:p>
        </w:tc>
        <w:tc>
          <w:tcPr>
            <w:tcW w:w="888" w:type="dxa"/>
            <w:hideMark/>
          </w:tcPr>
          <w:p w14:paraId="70AAD225" w14:textId="77777777" w:rsidR="00CF72D5" w:rsidRPr="002029AF" w:rsidRDefault="00CF72D5" w:rsidP="006D6A5D">
            <w:pPr>
              <w:pStyle w:val="ARtabletextright"/>
              <w:spacing w:before="20" w:after="20"/>
            </w:pPr>
            <w:r w:rsidRPr="002029AF">
              <w:t>8</w:t>
            </w:r>
          </w:p>
        </w:tc>
        <w:tc>
          <w:tcPr>
            <w:tcW w:w="886" w:type="dxa"/>
            <w:hideMark/>
          </w:tcPr>
          <w:p w14:paraId="644CB81F" w14:textId="77777777" w:rsidR="00CF72D5" w:rsidRPr="002029AF" w:rsidRDefault="00CF72D5" w:rsidP="006D6A5D">
            <w:pPr>
              <w:pStyle w:val="ARtabletextright"/>
              <w:spacing w:before="20" w:after="20"/>
            </w:pPr>
            <w:r w:rsidRPr="002029AF">
              <w:t>36.9</w:t>
            </w:r>
          </w:p>
        </w:tc>
        <w:tc>
          <w:tcPr>
            <w:tcW w:w="897" w:type="dxa"/>
            <w:hideMark/>
          </w:tcPr>
          <w:p w14:paraId="6E405FA4" w14:textId="77777777" w:rsidR="00CF72D5" w:rsidRPr="002029AF" w:rsidRDefault="00CF72D5" w:rsidP="006D6A5D">
            <w:pPr>
              <w:pStyle w:val="ARtabletextright"/>
              <w:spacing w:before="20" w:after="20"/>
            </w:pPr>
            <w:r w:rsidRPr="002029AF">
              <w:t>7</w:t>
            </w:r>
          </w:p>
        </w:tc>
        <w:tc>
          <w:tcPr>
            <w:tcW w:w="886" w:type="dxa"/>
            <w:hideMark/>
          </w:tcPr>
          <w:p w14:paraId="36A20360" w14:textId="77777777" w:rsidR="00CF72D5" w:rsidRPr="002029AF" w:rsidRDefault="00CF72D5" w:rsidP="006D6A5D">
            <w:pPr>
              <w:pStyle w:val="ARtabletextright"/>
              <w:spacing w:before="20" w:after="20"/>
            </w:pPr>
            <w:r w:rsidRPr="002029AF">
              <w:t>7</w:t>
            </w:r>
          </w:p>
        </w:tc>
        <w:tc>
          <w:tcPr>
            <w:tcW w:w="897" w:type="dxa"/>
            <w:hideMark/>
          </w:tcPr>
          <w:p w14:paraId="006849D4" w14:textId="77777777" w:rsidR="00CF72D5" w:rsidRPr="002029AF" w:rsidRDefault="00CF72D5" w:rsidP="006D6A5D">
            <w:pPr>
              <w:pStyle w:val="ARtabletextright"/>
              <w:spacing w:before="20" w:after="20"/>
            </w:pPr>
            <w:r w:rsidRPr="002029AF">
              <w:t>42</w:t>
            </w:r>
          </w:p>
        </w:tc>
        <w:tc>
          <w:tcPr>
            <w:tcW w:w="885" w:type="dxa"/>
            <w:hideMark/>
          </w:tcPr>
          <w:p w14:paraId="3BE4F639" w14:textId="77777777" w:rsidR="00CF72D5" w:rsidRPr="002029AF" w:rsidRDefault="00CF72D5" w:rsidP="006D6A5D">
            <w:pPr>
              <w:pStyle w:val="ARtabletextright"/>
              <w:spacing w:before="20" w:after="20"/>
            </w:pPr>
            <w:r w:rsidRPr="002029AF">
              <w:t>40</w:t>
            </w:r>
          </w:p>
        </w:tc>
        <w:tc>
          <w:tcPr>
            <w:tcW w:w="887" w:type="dxa"/>
            <w:hideMark/>
          </w:tcPr>
          <w:p w14:paraId="59C6C8FD" w14:textId="77777777" w:rsidR="00CF72D5" w:rsidRPr="002029AF" w:rsidRDefault="00CF72D5" w:rsidP="006D6A5D">
            <w:pPr>
              <w:pStyle w:val="ARtabletextright"/>
              <w:spacing w:before="20" w:after="20"/>
            </w:pPr>
            <w:r w:rsidRPr="002029AF">
              <w:t>30</w:t>
            </w:r>
          </w:p>
        </w:tc>
        <w:tc>
          <w:tcPr>
            <w:tcW w:w="887" w:type="dxa"/>
            <w:hideMark/>
          </w:tcPr>
          <w:p w14:paraId="3A1989CC" w14:textId="77777777" w:rsidR="00CF72D5" w:rsidRPr="002029AF" w:rsidRDefault="00CF72D5" w:rsidP="006D6A5D">
            <w:pPr>
              <w:pStyle w:val="ARtabletextright"/>
              <w:spacing w:before="20" w:after="20"/>
            </w:pPr>
            <w:r w:rsidRPr="002029AF">
              <w:t>5</w:t>
            </w:r>
          </w:p>
        </w:tc>
        <w:tc>
          <w:tcPr>
            <w:tcW w:w="884" w:type="dxa"/>
            <w:hideMark/>
          </w:tcPr>
          <w:p w14:paraId="00C82291" w14:textId="77777777" w:rsidR="00CF72D5" w:rsidRPr="002029AF" w:rsidRDefault="00CF72D5" w:rsidP="006D6A5D">
            <w:pPr>
              <w:pStyle w:val="ARtabletextright"/>
              <w:spacing w:before="20" w:after="20"/>
            </w:pPr>
            <w:r w:rsidRPr="002029AF">
              <w:t>33.6</w:t>
            </w:r>
          </w:p>
        </w:tc>
        <w:tc>
          <w:tcPr>
            <w:tcW w:w="897" w:type="dxa"/>
            <w:gridSpan w:val="2"/>
            <w:hideMark/>
          </w:tcPr>
          <w:p w14:paraId="18E2C4C8" w14:textId="77777777" w:rsidR="00CF72D5" w:rsidRPr="002029AF" w:rsidRDefault="00CF72D5" w:rsidP="006D6A5D">
            <w:pPr>
              <w:pStyle w:val="ARtabletextright"/>
              <w:spacing w:before="20" w:after="20"/>
            </w:pPr>
            <w:r w:rsidRPr="002029AF">
              <w:t>7</w:t>
            </w:r>
          </w:p>
        </w:tc>
        <w:tc>
          <w:tcPr>
            <w:tcW w:w="885" w:type="dxa"/>
            <w:hideMark/>
          </w:tcPr>
          <w:p w14:paraId="4EA3F7A9" w14:textId="77777777" w:rsidR="00CF72D5" w:rsidRPr="002029AF" w:rsidRDefault="00CF72D5" w:rsidP="006D6A5D">
            <w:pPr>
              <w:pStyle w:val="ARtabletextright"/>
              <w:spacing w:before="20" w:after="20"/>
            </w:pPr>
            <w:r w:rsidRPr="002029AF">
              <w:t>6.4</w:t>
            </w:r>
          </w:p>
        </w:tc>
      </w:tr>
      <w:tr w:rsidR="00CF72D5" w:rsidRPr="002029AF" w14:paraId="649DA934" w14:textId="77777777" w:rsidTr="00D015AF">
        <w:trPr>
          <w:gridAfter w:val="1"/>
          <w:wAfter w:w="10" w:type="dxa"/>
          <w:cantSplit w:val="0"/>
        </w:trPr>
        <w:tc>
          <w:tcPr>
            <w:tcW w:w="2631" w:type="dxa"/>
            <w:hideMark/>
          </w:tcPr>
          <w:p w14:paraId="386DBF59" w14:textId="77777777" w:rsidR="00CF72D5" w:rsidRPr="002029AF" w:rsidRDefault="00CF72D5" w:rsidP="006D6A5D">
            <w:pPr>
              <w:pStyle w:val="ARtabletext"/>
              <w:spacing w:before="20" w:after="20"/>
            </w:pPr>
            <w:r w:rsidRPr="002029AF">
              <w:t>Men</w:t>
            </w:r>
          </w:p>
        </w:tc>
        <w:tc>
          <w:tcPr>
            <w:tcW w:w="897" w:type="dxa"/>
            <w:hideMark/>
          </w:tcPr>
          <w:p w14:paraId="65529A36" w14:textId="77777777" w:rsidR="00CF72D5" w:rsidRPr="002029AF" w:rsidRDefault="00CF72D5" w:rsidP="006D6A5D">
            <w:pPr>
              <w:pStyle w:val="ARtabletextright"/>
              <w:spacing w:before="20" w:after="20"/>
            </w:pPr>
            <w:r w:rsidRPr="002029AF">
              <w:t>39</w:t>
            </w:r>
          </w:p>
        </w:tc>
        <w:tc>
          <w:tcPr>
            <w:tcW w:w="885" w:type="dxa"/>
            <w:hideMark/>
          </w:tcPr>
          <w:p w14:paraId="2CF30480" w14:textId="77777777" w:rsidR="00CF72D5" w:rsidRPr="002029AF" w:rsidRDefault="00CF72D5" w:rsidP="006D6A5D">
            <w:pPr>
              <w:pStyle w:val="ARtabletextright"/>
              <w:spacing w:before="20" w:after="20"/>
            </w:pPr>
            <w:r w:rsidRPr="002029AF">
              <w:t>37.8</w:t>
            </w:r>
          </w:p>
        </w:tc>
        <w:tc>
          <w:tcPr>
            <w:tcW w:w="887" w:type="dxa"/>
            <w:hideMark/>
          </w:tcPr>
          <w:p w14:paraId="02007826" w14:textId="77777777" w:rsidR="00CF72D5" w:rsidRPr="002029AF" w:rsidRDefault="00CF72D5" w:rsidP="006D6A5D">
            <w:pPr>
              <w:pStyle w:val="ARtabletextright"/>
              <w:spacing w:before="20" w:after="20"/>
            </w:pPr>
            <w:r w:rsidRPr="002029AF">
              <w:t>27</w:t>
            </w:r>
          </w:p>
        </w:tc>
        <w:tc>
          <w:tcPr>
            <w:tcW w:w="888" w:type="dxa"/>
            <w:hideMark/>
          </w:tcPr>
          <w:p w14:paraId="670DEE84" w14:textId="77777777" w:rsidR="00CF72D5" w:rsidRPr="002029AF" w:rsidRDefault="00CF72D5" w:rsidP="006D6A5D">
            <w:pPr>
              <w:pStyle w:val="ARtabletextright"/>
              <w:spacing w:before="20" w:after="20"/>
            </w:pPr>
            <w:r w:rsidRPr="002029AF">
              <w:t>2</w:t>
            </w:r>
          </w:p>
        </w:tc>
        <w:tc>
          <w:tcPr>
            <w:tcW w:w="886" w:type="dxa"/>
            <w:hideMark/>
          </w:tcPr>
          <w:p w14:paraId="1C843E4F" w14:textId="77777777" w:rsidR="00CF72D5" w:rsidRPr="002029AF" w:rsidRDefault="00CF72D5" w:rsidP="006D6A5D">
            <w:pPr>
              <w:pStyle w:val="ARtabletextright"/>
              <w:spacing w:before="20" w:after="20"/>
            </w:pPr>
            <w:r w:rsidRPr="002029AF">
              <w:t>28.2</w:t>
            </w:r>
          </w:p>
        </w:tc>
        <w:tc>
          <w:tcPr>
            <w:tcW w:w="897" w:type="dxa"/>
            <w:hideMark/>
          </w:tcPr>
          <w:p w14:paraId="18572CF3" w14:textId="77777777" w:rsidR="00CF72D5" w:rsidRPr="002029AF" w:rsidRDefault="00CF72D5" w:rsidP="006D6A5D">
            <w:pPr>
              <w:pStyle w:val="ARtabletextright"/>
              <w:spacing w:before="20" w:after="20"/>
            </w:pPr>
            <w:r w:rsidRPr="002029AF">
              <w:t>10</w:t>
            </w:r>
          </w:p>
        </w:tc>
        <w:tc>
          <w:tcPr>
            <w:tcW w:w="886" w:type="dxa"/>
            <w:hideMark/>
          </w:tcPr>
          <w:p w14:paraId="63642E5B" w14:textId="77777777" w:rsidR="00CF72D5" w:rsidRPr="002029AF" w:rsidRDefault="00CF72D5" w:rsidP="006D6A5D">
            <w:pPr>
              <w:pStyle w:val="ARtabletextright"/>
              <w:spacing w:before="20" w:after="20"/>
            </w:pPr>
            <w:r w:rsidRPr="002029AF">
              <w:t>9.6</w:t>
            </w:r>
          </w:p>
        </w:tc>
        <w:tc>
          <w:tcPr>
            <w:tcW w:w="897" w:type="dxa"/>
            <w:hideMark/>
          </w:tcPr>
          <w:p w14:paraId="15534F39" w14:textId="77777777" w:rsidR="00CF72D5" w:rsidRPr="002029AF" w:rsidRDefault="00CF72D5" w:rsidP="006D6A5D">
            <w:pPr>
              <w:pStyle w:val="ARtabletextright"/>
              <w:spacing w:before="20" w:after="20"/>
            </w:pPr>
            <w:r w:rsidRPr="002029AF">
              <w:t>33</w:t>
            </w:r>
          </w:p>
        </w:tc>
        <w:tc>
          <w:tcPr>
            <w:tcW w:w="885" w:type="dxa"/>
            <w:hideMark/>
          </w:tcPr>
          <w:p w14:paraId="38130258" w14:textId="77777777" w:rsidR="00CF72D5" w:rsidRPr="002029AF" w:rsidRDefault="00CF72D5" w:rsidP="006D6A5D">
            <w:pPr>
              <w:pStyle w:val="ARtabletextright"/>
              <w:spacing w:before="20" w:after="20"/>
            </w:pPr>
            <w:r w:rsidRPr="002029AF">
              <w:t>32.2</w:t>
            </w:r>
          </w:p>
        </w:tc>
        <w:tc>
          <w:tcPr>
            <w:tcW w:w="887" w:type="dxa"/>
            <w:hideMark/>
          </w:tcPr>
          <w:p w14:paraId="4C4DAC21" w14:textId="77777777" w:rsidR="00CF72D5" w:rsidRPr="002029AF" w:rsidRDefault="00CF72D5" w:rsidP="006D6A5D">
            <w:pPr>
              <w:pStyle w:val="ARtabletextright"/>
              <w:spacing w:before="20" w:after="20"/>
            </w:pPr>
            <w:r w:rsidRPr="002029AF">
              <w:t>27</w:t>
            </w:r>
          </w:p>
        </w:tc>
        <w:tc>
          <w:tcPr>
            <w:tcW w:w="887" w:type="dxa"/>
            <w:hideMark/>
          </w:tcPr>
          <w:p w14:paraId="5AD156BD" w14:textId="77777777" w:rsidR="00CF72D5" w:rsidRPr="002029AF" w:rsidRDefault="00CF72D5" w:rsidP="006D6A5D">
            <w:pPr>
              <w:pStyle w:val="ARtabletextright"/>
              <w:spacing w:before="20" w:after="20"/>
            </w:pPr>
            <w:r w:rsidRPr="002029AF">
              <w:t>2</w:t>
            </w:r>
          </w:p>
        </w:tc>
        <w:tc>
          <w:tcPr>
            <w:tcW w:w="884" w:type="dxa"/>
            <w:hideMark/>
          </w:tcPr>
          <w:p w14:paraId="2BF967F4" w14:textId="77777777" w:rsidR="00CF72D5" w:rsidRPr="002029AF" w:rsidRDefault="00CF72D5" w:rsidP="006D6A5D">
            <w:pPr>
              <w:pStyle w:val="ARtabletextright"/>
              <w:spacing w:before="20" w:after="20"/>
            </w:pPr>
            <w:r w:rsidRPr="002029AF">
              <w:t>28.2</w:t>
            </w:r>
          </w:p>
        </w:tc>
        <w:tc>
          <w:tcPr>
            <w:tcW w:w="897" w:type="dxa"/>
            <w:gridSpan w:val="2"/>
            <w:hideMark/>
          </w:tcPr>
          <w:p w14:paraId="1A15C692" w14:textId="77777777" w:rsidR="00CF72D5" w:rsidRPr="002029AF" w:rsidRDefault="00CF72D5" w:rsidP="006D6A5D">
            <w:pPr>
              <w:pStyle w:val="ARtabletextright"/>
              <w:spacing w:before="20" w:after="20"/>
            </w:pPr>
            <w:r w:rsidRPr="002029AF">
              <w:t>4</w:t>
            </w:r>
          </w:p>
        </w:tc>
        <w:tc>
          <w:tcPr>
            <w:tcW w:w="885" w:type="dxa"/>
            <w:hideMark/>
          </w:tcPr>
          <w:p w14:paraId="506F9B17" w14:textId="77777777" w:rsidR="00CF72D5" w:rsidRPr="002029AF" w:rsidRDefault="00CF72D5" w:rsidP="006D6A5D">
            <w:pPr>
              <w:pStyle w:val="ARtabletextright"/>
              <w:spacing w:before="20" w:after="20"/>
            </w:pPr>
            <w:r w:rsidRPr="002029AF">
              <w:t>4</w:t>
            </w:r>
          </w:p>
        </w:tc>
      </w:tr>
      <w:tr w:rsidR="00CF72D5" w:rsidRPr="002029AF" w14:paraId="4D219D4E" w14:textId="77777777" w:rsidTr="00D015AF">
        <w:trPr>
          <w:gridAfter w:val="1"/>
          <w:wAfter w:w="10" w:type="dxa"/>
          <w:cantSplit w:val="0"/>
        </w:trPr>
        <w:tc>
          <w:tcPr>
            <w:tcW w:w="2631" w:type="dxa"/>
            <w:hideMark/>
          </w:tcPr>
          <w:p w14:paraId="0F7126A8" w14:textId="77777777" w:rsidR="00CF72D5" w:rsidRPr="002029AF" w:rsidRDefault="00CF72D5" w:rsidP="006D6A5D">
            <w:pPr>
              <w:pStyle w:val="ARtabletext"/>
              <w:spacing w:before="20" w:after="20"/>
            </w:pPr>
            <w:r w:rsidRPr="002029AF">
              <w:t>Self-described</w:t>
            </w:r>
          </w:p>
        </w:tc>
        <w:tc>
          <w:tcPr>
            <w:tcW w:w="897" w:type="dxa"/>
            <w:hideMark/>
          </w:tcPr>
          <w:p w14:paraId="02E4AAB1" w14:textId="77777777" w:rsidR="00CF72D5" w:rsidRPr="002029AF" w:rsidRDefault="00CF72D5" w:rsidP="006D6A5D">
            <w:pPr>
              <w:pStyle w:val="ARtabletextright"/>
              <w:spacing w:before="20" w:after="20"/>
            </w:pPr>
            <w:r w:rsidRPr="002029AF">
              <w:t>na</w:t>
            </w:r>
          </w:p>
        </w:tc>
        <w:tc>
          <w:tcPr>
            <w:tcW w:w="885" w:type="dxa"/>
            <w:hideMark/>
          </w:tcPr>
          <w:p w14:paraId="1974E97F" w14:textId="77777777" w:rsidR="00CF72D5" w:rsidRPr="002029AF" w:rsidRDefault="00CF72D5" w:rsidP="006D6A5D">
            <w:pPr>
              <w:pStyle w:val="ARtabletextright"/>
              <w:spacing w:before="20" w:after="20"/>
            </w:pPr>
            <w:r w:rsidRPr="002029AF">
              <w:t>na</w:t>
            </w:r>
          </w:p>
        </w:tc>
        <w:tc>
          <w:tcPr>
            <w:tcW w:w="887" w:type="dxa"/>
            <w:hideMark/>
          </w:tcPr>
          <w:p w14:paraId="352E7286" w14:textId="77777777" w:rsidR="00CF72D5" w:rsidRPr="002029AF" w:rsidRDefault="00CF72D5" w:rsidP="006D6A5D">
            <w:pPr>
              <w:pStyle w:val="ARtabletextright"/>
              <w:spacing w:before="20" w:after="20"/>
            </w:pPr>
            <w:r w:rsidRPr="002029AF">
              <w:t>na</w:t>
            </w:r>
          </w:p>
        </w:tc>
        <w:tc>
          <w:tcPr>
            <w:tcW w:w="888" w:type="dxa"/>
            <w:hideMark/>
          </w:tcPr>
          <w:p w14:paraId="51EC50CD" w14:textId="77777777" w:rsidR="00CF72D5" w:rsidRPr="002029AF" w:rsidRDefault="00CF72D5" w:rsidP="006D6A5D">
            <w:pPr>
              <w:pStyle w:val="ARtabletextright"/>
              <w:spacing w:before="20" w:after="20"/>
            </w:pPr>
            <w:r w:rsidRPr="002029AF">
              <w:t>na</w:t>
            </w:r>
          </w:p>
        </w:tc>
        <w:tc>
          <w:tcPr>
            <w:tcW w:w="886" w:type="dxa"/>
            <w:hideMark/>
          </w:tcPr>
          <w:p w14:paraId="71E4A54E" w14:textId="77777777" w:rsidR="00CF72D5" w:rsidRPr="002029AF" w:rsidRDefault="00CF72D5" w:rsidP="006D6A5D">
            <w:pPr>
              <w:pStyle w:val="ARtabletextright"/>
              <w:spacing w:before="20" w:after="20"/>
            </w:pPr>
            <w:r w:rsidRPr="002029AF">
              <w:t>na</w:t>
            </w:r>
          </w:p>
        </w:tc>
        <w:tc>
          <w:tcPr>
            <w:tcW w:w="897" w:type="dxa"/>
            <w:hideMark/>
          </w:tcPr>
          <w:p w14:paraId="6BA6A38F" w14:textId="77777777" w:rsidR="00CF72D5" w:rsidRPr="002029AF" w:rsidRDefault="00CF72D5" w:rsidP="006D6A5D">
            <w:pPr>
              <w:pStyle w:val="ARtabletextright"/>
              <w:spacing w:before="20" w:after="20"/>
            </w:pPr>
            <w:r w:rsidRPr="002029AF">
              <w:t>na</w:t>
            </w:r>
          </w:p>
        </w:tc>
        <w:tc>
          <w:tcPr>
            <w:tcW w:w="886" w:type="dxa"/>
            <w:hideMark/>
          </w:tcPr>
          <w:p w14:paraId="72DD9976" w14:textId="77777777" w:rsidR="00CF72D5" w:rsidRPr="002029AF" w:rsidRDefault="00CF72D5" w:rsidP="006D6A5D">
            <w:pPr>
              <w:pStyle w:val="ARtabletextright"/>
              <w:spacing w:before="20" w:after="20"/>
            </w:pPr>
            <w:r w:rsidRPr="002029AF">
              <w:t>na</w:t>
            </w:r>
          </w:p>
        </w:tc>
        <w:tc>
          <w:tcPr>
            <w:tcW w:w="897" w:type="dxa"/>
            <w:hideMark/>
          </w:tcPr>
          <w:p w14:paraId="3A552F17" w14:textId="77777777" w:rsidR="00CF72D5" w:rsidRPr="002029AF" w:rsidRDefault="00CF72D5" w:rsidP="006D6A5D">
            <w:pPr>
              <w:pStyle w:val="ARtabletextright"/>
              <w:spacing w:before="20" w:after="20"/>
            </w:pPr>
            <w:r w:rsidRPr="002029AF">
              <w:t>na</w:t>
            </w:r>
          </w:p>
        </w:tc>
        <w:tc>
          <w:tcPr>
            <w:tcW w:w="885" w:type="dxa"/>
            <w:hideMark/>
          </w:tcPr>
          <w:p w14:paraId="70FC5C7F" w14:textId="77777777" w:rsidR="00CF72D5" w:rsidRPr="002029AF" w:rsidRDefault="00CF72D5" w:rsidP="006D6A5D">
            <w:pPr>
              <w:pStyle w:val="ARtabletextright"/>
              <w:spacing w:before="20" w:after="20"/>
            </w:pPr>
            <w:r w:rsidRPr="002029AF">
              <w:t>na</w:t>
            </w:r>
          </w:p>
        </w:tc>
        <w:tc>
          <w:tcPr>
            <w:tcW w:w="887" w:type="dxa"/>
            <w:hideMark/>
          </w:tcPr>
          <w:p w14:paraId="1C75577F" w14:textId="77777777" w:rsidR="00CF72D5" w:rsidRPr="002029AF" w:rsidRDefault="00CF72D5" w:rsidP="006D6A5D">
            <w:pPr>
              <w:pStyle w:val="ARtabletextright"/>
              <w:spacing w:before="20" w:after="20"/>
            </w:pPr>
            <w:r w:rsidRPr="002029AF">
              <w:t>na</w:t>
            </w:r>
          </w:p>
        </w:tc>
        <w:tc>
          <w:tcPr>
            <w:tcW w:w="887" w:type="dxa"/>
            <w:hideMark/>
          </w:tcPr>
          <w:p w14:paraId="5CAA5137" w14:textId="77777777" w:rsidR="00CF72D5" w:rsidRPr="002029AF" w:rsidRDefault="00CF72D5" w:rsidP="006D6A5D">
            <w:pPr>
              <w:pStyle w:val="ARtabletextright"/>
              <w:spacing w:before="20" w:after="20"/>
            </w:pPr>
            <w:r w:rsidRPr="002029AF">
              <w:t>na</w:t>
            </w:r>
          </w:p>
        </w:tc>
        <w:tc>
          <w:tcPr>
            <w:tcW w:w="884" w:type="dxa"/>
            <w:hideMark/>
          </w:tcPr>
          <w:p w14:paraId="0CFAA006" w14:textId="77777777" w:rsidR="00CF72D5" w:rsidRPr="002029AF" w:rsidRDefault="00CF72D5" w:rsidP="006D6A5D">
            <w:pPr>
              <w:pStyle w:val="ARtabletextright"/>
              <w:spacing w:before="20" w:after="20"/>
            </w:pPr>
            <w:r w:rsidRPr="002029AF">
              <w:t>na</w:t>
            </w:r>
          </w:p>
        </w:tc>
        <w:tc>
          <w:tcPr>
            <w:tcW w:w="897" w:type="dxa"/>
            <w:gridSpan w:val="2"/>
            <w:hideMark/>
          </w:tcPr>
          <w:p w14:paraId="05D9AF05" w14:textId="77777777" w:rsidR="00CF72D5" w:rsidRPr="002029AF" w:rsidRDefault="00CF72D5" w:rsidP="006D6A5D">
            <w:pPr>
              <w:pStyle w:val="ARtabletextright"/>
              <w:spacing w:before="20" w:after="20"/>
            </w:pPr>
            <w:r w:rsidRPr="002029AF">
              <w:t>na</w:t>
            </w:r>
          </w:p>
        </w:tc>
        <w:tc>
          <w:tcPr>
            <w:tcW w:w="885" w:type="dxa"/>
            <w:hideMark/>
          </w:tcPr>
          <w:p w14:paraId="0B1C0612" w14:textId="77777777" w:rsidR="00CF72D5" w:rsidRPr="002029AF" w:rsidRDefault="00CF72D5" w:rsidP="006D6A5D">
            <w:pPr>
              <w:pStyle w:val="ARtabletextright"/>
              <w:spacing w:before="20" w:after="20"/>
            </w:pPr>
            <w:r w:rsidRPr="002029AF">
              <w:t>na</w:t>
            </w:r>
          </w:p>
        </w:tc>
      </w:tr>
      <w:tr w:rsidR="00CB1D1C" w:rsidRPr="002029AF" w14:paraId="623AC1AC" w14:textId="77777777" w:rsidTr="00D015AF">
        <w:trPr>
          <w:gridAfter w:val="1"/>
          <w:wAfter w:w="10" w:type="dxa"/>
          <w:cantSplit w:val="0"/>
        </w:trPr>
        <w:tc>
          <w:tcPr>
            <w:tcW w:w="15079" w:type="dxa"/>
            <w:gridSpan w:val="16"/>
            <w:hideMark/>
          </w:tcPr>
          <w:p w14:paraId="345955BB" w14:textId="34512A83" w:rsidR="00CB1D1C" w:rsidRPr="002029AF" w:rsidRDefault="00CB1D1C" w:rsidP="006D6A5D">
            <w:pPr>
              <w:pStyle w:val="ARtablesubhead"/>
              <w:spacing w:before="20" w:after="20"/>
            </w:pPr>
            <w:r w:rsidRPr="002029AF">
              <w:t>Age</w:t>
            </w:r>
          </w:p>
        </w:tc>
      </w:tr>
      <w:tr w:rsidR="00CF72D5" w:rsidRPr="002029AF" w14:paraId="0EAECBA5" w14:textId="77777777" w:rsidTr="00D015AF">
        <w:trPr>
          <w:gridAfter w:val="1"/>
          <w:wAfter w:w="10" w:type="dxa"/>
          <w:cantSplit w:val="0"/>
        </w:trPr>
        <w:tc>
          <w:tcPr>
            <w:tcW w:w="2631" w:type="dxa"/>
            <w:hideMark/>
          </w:tcPr>
          <w:p w14:paraId="0324BC0E" w14:textId="77777777" w:rsidR="00CF72D5" w:rsidRPr="002029AF" w:rsidRDefault="00CF72D5" w:rsidP="006D6A5D">
            <w:pPr>
              <w:pStyle w:val="ARtabletext"/>
              <w:spacing w:before="20" w:after="20"/>
            </w:pPr>
            <w:r w:rsidRPr="002029AF">
              <w:t>15–24</w:t>
            </w:r>
          </w:p>
        </w:tc>
        <w:tc>
          <w:tcPr>
            <w:tcW w:w="897" w:type="dxa"/>
            <w:hideMark/>
          </w:tcPr>
          <w:p w14:paraId="334F0D06" w14:textId="77777777" w:rsidR="00CF72D5" w:rsidRPr="002029AF" w:rsidRDefault="00CF72D5" w:rsidP="006D6A5D">
            <w:pPr>
              <w:pStyle w:val="ARtabletextright"/>
              <w:spacing w:before="20" w:after="20"/>
            </w:pPr>
            <w:r w:rsidRPr="002029AF">
              <w:t>3</w:t>
            </w:r>
          </w:p>
        </w:tc>
        <w:tc>
          <w:tcPr>
            <w:tcW w:w="885" w:type="dxa"/>
            <w:hideMark/>
          </w:tcPr>
          <w:p w14:paraId="7AB371E6" w14:textId="77777777" w:rsidR="00CF72D5" w:rsidRPr="002029AF" w:rsidRDefault="00CF72D5" w:rsidP="006D6A5D">
            <w:pPr>
              <w:pStyle w:val="ARtabletextright"/>
              <w:spacing w:before="20" w:after="20"/>
            </w:pPr>
            <w:r w:rsidRPr="002029AF">
              <w:t>3</w:t>
            </w:r>
          </w:p>
        </w:tc>
        <w:tc>
          <w:tcPr>
            <w:tcW w:w="887" w:type="dxa"/>
            <w:hideMark/>
          </w:tcPr>
          <w:p w14:paraId="512589C7" w14:textId="77777777" w:rsidR="00CF72D5" w:rsidRPr="002029AF" w:rsidRDefault="00CF72D5" w:rsidP="006D6A5D">
            <w:pPr>
              <w:pStyle w:val="ARtabletextright"/>
              <w:spacing w:before="20" w:after="20"/>
            </w:pPr>
            <w:r w:rsidRPr="002029AF">
              <w:t>3</w:t>
            </w:r>
          </w:p>
        </w:tc>
        <w:tc>
          <w:tcPr>
            <w:tcW w:w="888" w:type="dxa"/>
            <w:hideMark/>
          </w:tcPr>
          <w:p w14:paraId="28236FA3" w14:textId="77777777" w:rsidR="00CF72D5" w:rsidRPr="002029AF" w:rsidRDefault="00CF72D5" w:rsidP="006D6A5D">
            <w:pPr>
              <w:pStyle w:val="ARtabletextright"/>
              <w:spacing w:before="20" w:after="20"/>
            </w:pPr>
            <w:r w:rsidRPr="002029AF">
              <w:t>0</w:t>
            </w:r>
          </w:p>
        </w:tc>
        <w:tc>
          <w:tcPr>
            <w:tcW w:w="886" w:type="dxa"/>
            <w:hideMark/>
          </w:tcPr>
          <w:p w14:paraId="727E799B" w14:textId="77777777" w:rsidR="00CF72D5" w:rsidRPr="002029AF" w:rsidRDefault="00CF72D5" w:rsidP="006D6A5D">
            <w:pPr>
              <w:pStyle w:val="ARtabletextright"/>
              <w:spacing w:before="20" w:after="20"/>
            </w:pPr>
            <w:r w:rsidRPr="002029AF">
              <w:t>3</w:t>
            </w:r>
          </w:p>
        </w:tc>
        <w:tc>
          <w:tcPr>
            <w:tcW w:w="897" w:type="dxa"/>
            <w:hideMark/>
          </w:tcPr>
          <w:p w14:paraId="790C34C1" w14:textId="77777777" w:rsidR="00CF72D5" w:rsidRPr="002029AF" w:rsidRDefault="00CF72D5" w:rsidP="006D6A5D">
            <w:pPr>
              <w:pStyle w:val="ARtabletextright"/>
              <w:spacing w:before="20" w:after="20"/>
            </w:pPr>
            <w:r w:rsidRPr="002029AF">
              <w:t>0</w:t>
            </w:r>
          </w:p>
        </w:tc>
        <w:tc>
          <w:tcPr>
            <w:tcW w:w="886" w:type="dxa"/>
            <w:hideMark/>
          </w:tcPr>
          <w:p w14:paraId="6450BD48" w14:textId="77777777" w:rsidR="00CF72D5" w:rsidRPr="002029AF" w:rsidRDefault="00CF72D5" w:rsidP="006D6A5D">
            <w:pPr>
              <w:pStyle w:val="ARtabletextright"/>
              <w:spacing w:before="20" w:after="20"/>
            </w:pPr>
            <w:r w:rsidRPr="002029AF">
              <w:t>0</w:t>
            </w:r>
          </w:p>
        </w:tc>
        <w:tc>
          <w:tcPr>
            <w:tcW w:w="897" w:type="dxa"/>
            <w:hideMark/>
          </w:tcPr>
          <w:p w14:paraId="087A6606" w14:textId="77777777" w:rsidR="00CF72D5" w:rsidRPr="002029AF" w:rsidRDefault="00CF72D5" w:rsidP="006D6A5D">
            <w:pPr>
              <w:pStyle w:val="ARtabletextright"/>
              <w:spacing w:before="20" w:after="20"/>
            </w:pPr>
            <w:r w:rsidRPr="002029AF">
              <w:t>3</w:t>
            </w:r>
          </w:p>
        </w:tc>
        <w:tc>
          <w:tcPr>
            <w:tcW w:w="885" w:type="dxa"/>
            <w:hideMark/>
          </w:tcPr>
          <w:p w14:paraId="5AA8B91D" w14:textId="77777777" w:rsidR="00CF72D5" w:rsidRPr="002029AF" w:rsidRDefault="00CF72D5" w:rsidP="006D6A5D">
            <w:pPr>
              <w:pStyle w:val="ARtabletextright"/>
              <w:spacing w:before="20" w:after="20"/>
              <w:rPr>
                <w:color w:val="000000"/>
              </w:rPr>
            </w:pPr>
            <w:r w:rsidRPr="002029AF">
              <w:rPr>
                <w:color w:val="000000"/>
              </w:rPr>
              <w:t>3</w:t>
            </w:r>
          </w:p>
        </w:tc>
        <w:tc>
          <w:tcPr>
            <w:tcW w:w="887" w:type="dxa"/>
            <w:hideMark/>
          </w:tcPr>
          <w:p w14:paraId="15D26B93" w14:textId="77777777" w:rsidR="00CF72D5" w:rsidRPr="002029AF" w:rsidRDefault="00CF72D5" w:rsidP="006D6A5D">
            <w:pPr>
              <w:pStyle w:val="ARtabletextright"/>
              <w:spacing w:before="20" w:after="20"/>
              <w:rPr>
                <w:color w:val="000000"/>
              </w:rPr>
            </w:pPr>
            <w:r w:rsidRPr="002029AF">
              <w:rPr>
                <w:color w:val="000000"/>
              </w:rPr>
              <w:t>2</w:t>
            </w:r>
          </w:p>
        </w:tc>
        <w:tc>
          <w:tcPr>
            <w:tcW w:w="887" w:type="dxa"/>
            <w:hideMark/>
          </w:tcPr>
          <w:p w14:paraId="4475984E" w14:textId="77777777" w:rsidR="00CF72D5" w:rsidRPr="002029AF" w:rsidRDefault="00CF72D5" w:rsidP="006D6A5D">
            <w:pPr>
              <w:pStyle w:val="ARtabletextright"/>
              <w:spacing w:before="20" w:after="20"/>
              <w:rPr>
                <w:color w:val="000000"/>
              </w:rPr>
            </w:pPr>
            <w:r w:rsidRPr="002029AF">
              <w:rPr>
                <w:color w:val="000000"/>
              </w:rPr>
              <w:t>0</w:t>
            </w:r>
          </w:p>
        </w:tc>
        <w:tc>
          <w:tcPr>
            <w:tcW w:w="884" w:type="dxa"/>
            <w:hideMark/>
          </w:tcPr>
          <w:p w14:paraId="6E60C120" w14:textId="77777777" w:rsidR="00CF72D5" w:rsidRPr="002029AF" w:rsidRDefault="00CF72D5" w:rsidP="006D6A5D">
            <w:pPr>
              <w:pStyle w:val="ARtabletextright"/>
              <w:spacing w:before="20" w:after="20"/>
              <w:rPr>
                <w:color w:val="000000"/>
              </w:rPr>
            </w:pPr>
            <w:r w:rsidRPr="002029AF">
              <w:rPr>
                <w:color w:val="000000"/>
              </w:rPr>
              <w:t>2</w:t>
            </w:r>
          </w:p>
        </w:tc>
        <w:tc>
          <w:tcPr>
            <w:tcW w:w="897" w:type="dxa"/>
            <w:gridSpan w:val="2"/>
            <w:hideMark/>
          </w:tcPr>
          <w:p w14:paraId="10DDCBD5" w14:textId="77777777" w:rsidR="00CF72D5" w:rsidRPr="002029AF" w:rsidRDefault="00CF72D5" w:rsidP="006D6A5D">
            <w:pPr>
              <w:pStyle w:val="ARtabletextright"/>
              <w:spacing w:before="20" w:after="20"/>
              <w:rPr>
                <w:color w:val="000000"/>
              </w:rPr>
            </w:pPr>
            <w:r w:rsidRPr="002029AF">
              <w:rPr>
                <w:color w:val="000000"/>
              </w:rPr>
              <w:t>1</w:t>
            </w:r>
          </w:p>
        </w:tc>
        <w:tc>
          <w:tcPr>
            <w:tcW w:w="885" w:type="dxa"/>
            <w:hideMark/>
          </w:tcPr>
          <w:p w14:paraId="27E170BD" w14:textId="77777777" w:rsidR="00CF72D5" w:rsidRPr="002029AF" w:rsidRDefault="00CF72D5" w:rsidP="006D6A5D">
            <w:pPr>
              <w:pStyle w:val="ARtabletextright"/>
              <w:spacing w:before="20" w:after="20"/>
              <w:rPr>
                <w:color w:val="000000"/>
              </w:rPr>
            </w:pPr>
            <w:r w:rsidRPr="002029AF">
              <w:rPr>
                <w:color w:val="000000"/>
              </w:rPr>
              <w:t>1</w:t>
            </w:r>
          </w:p>
        </w:tc>
      </w:tr>
      <w:tr w:rsidR="00CF72D5" w:rsidRPr="002029AF" w14:paraId="00477B2D" w14:textId="77777777" w:rsidTr="00D015AF">
        <w:trPr>
          <w:gridAfter w:val="1"/>
          <w:wAfter w:w="10" w:type="dxa"/>
          <w:cantSplit w:val="0"/>
        </w:trPr>
        <w:tc>
          <w:tcPr>
            <w:tcW w:w="2631" w:type="dxa"/>
            <w:hideMark/>
          </w:tcPr>
          <w:p w14:paraId="62C72945" w14:textId="77777777" w:rsidR="00CF72D5" w:rsidRPr="002029AF" w:rsidRDefault="00CF72D5" w:rsidP="006D6A5D">
            <w:pPr>
              <w:pStyle w:val="ARtabletext"/>
              <w:spacing w:before="20" w:after="20"/>
            </w:pPr>
            <w:r w:rsidRPr="002029AF">
              <w:t>25–34</w:t>
            </w:r>
          </w:p>
        </w:tc>
        <w:tc>
          <w:tcPr>
            <w:tcW w:w="897" w:type="dxa"/>
            <w:hideMark/>
          </w:tcPr>
          <w:p w14:paraId="0D871BFA" w14:textId="77777777" w:rsidR="00CF72D5" w:rsidRPr="002029AF" w:rsidRDefault="00CF72D5" w:rsidP="006D6A5D">
            <w:pPr>
              <w:pStyle w:val="ARtabletextright"/>
              <w:spacing w:before="20" w:after="20"/>
            </w:pPr>
            <w:r w:rsidRPr="002029AF">
              <w:t>12</w:t>
            </w:r>
          </w:p>
        </w:tc>
        <w:tc>
          <w:tcPr>
            <w:tcW w:w="885" w:type="dxa"/>
            <w:hideMark/>
          </w:tcPr>
          <w:p w14:paraId="13490C7B" w14:textId="77777777" w:rsidR="00CF72D5" w:rsidRPr="002029AF" w:rsidRDefault="00CF72D5" w:rsidP="006D6A5D">
            <w:pPr>
              <w:pStyle w:val="ARtabletextright"/>
              <w:spacing w:before="20" w:after="20"/>
            </w:pPr>
            <w:r w:rsidRPr="002029AF">
              <w:t>11.3</w:t>
            </w:r>
          </w:p>
        </w:tc>
        <w:tc>
          <w:tcPr>
            <w:tcW w:w="887" w:type="dxa"/>
            <w:hideMark/>
          </w:tcPr>
          <w:p w14:paraId="7470892C" w14:textId="77777777" w:rsidR="00CF72D5" w:rsidRPr="002029AF" w:rsidRDefault="00CF72D5" w:rsidP="006D6A5D">
            <w:pPr>
              <w:pStyle w:val="ARtabletextright"/>
              <w:spacing w:before="20" w:after="20"/>
            </w:pPr>
            <w:r w:rsidRPr="002029AF">
              <w:t>8</w:t>
            </w:r>
          </w:p>
        </w:tc>
        <w:tc>
          <w:tcPr>
            <w:tcW w:w="888" w:type="dxa"/>
            <w:hideMark/>
          </w:tcPr>
          <w:p w14:paraId="1C4B498F" w14:textId="77777777" w:rsidR="00CF72D5" w:rsidRPr="002029AF" w:rsidRDefault="00CF72D5" w:rsidP="006D6A5D">
            <w:pPr>
              <w:pStyle w:val="ARtabletextright"/>
              <w:spacing w:before="20" w:after="20"/>
            </w:pPr>
            <w:r w:rsidRPr="002029AF">
              <w:t>2</w:t>
            </w:r>
          </w:p>
        </w:tc>
        <w:tc>
          <w:tcPr>
            <w:tcW w:w="886" w:type="dxa"/>
            <w:hideMark/>
          </w:tcPr>
          <w:p w14:paraId="0F51AE12" w14:textId="77777777" w:rsidR="00CF72D5" w:rsidRPr="002029AF" w:rsidRDefault="00CF72D5" w:rsidP="006D6A5D">
            <w:pPr>
              <w:pStyle w:val="ARtabletextright"/>
              <w:spacing w:before="20" w:after="20"/>
            </w:pPr>
            <w:r w:rsidRPr="002029AF">
              <w:t>9.3</w:t>
            </w:r>
          </w:p>
        </w:tc>
        <w:tc>
          <w:tcPr>
            <w:tcW w:w="897" w:type="dxa"/>
            <w:hideMark/>
          </w:tcPr>
          <w:p w14:paraId="4B8FA814" w14:textId="77777777" w:rsidR="00CF72D5" w:rsidRPr="002029AF" w:rsidRDefault="00CF72D5" w:rsidP="006D6A5D">
            <w:pPr>
              <w:pStyle w:val="ARtabletextright"/>
              <w:spacing w:before="20" w:after="20"/>
            </w:pPr>
            <w:r w:rsidRPr="002029AF">
              <w:t>2</w:t>
            </w:r>
          </w:p>
        </w:tc>
        <w:tc>
          <w:tcPr>
            <w:tcW w:w="886" w:type="dxa"/>
            <w:hideMark/>
          </w:tcPr>
          <w:p w14:paraId="612FE24D" w14:textId="77777777" w:rsidR="00CF72D5" w:rsidRPr="002029AF" w:rsidRDefault="00CF72D5" w:rsidP="006D6A5D">
            <w:pPr>
              <w:pStyle w:val="ARtabletextright"/>
              <w:spacing w:before="20" w:after="20"/>
            </w:pPr>
            <w:r w:rsidRPr="002029AF">
              <w:t>2</w:t>
            </w:r>
          </w:p>
        </w:tc>
        <w:tc>
          <w:tcPr>
            <w:tcW w:w="897" w:type="dxa"/>
            <w:hideMark/>
          </w:tcPr>
          <w:p w14:paraId="0509986A" w14:textId="77777777" w:rsidR="00CF72D5" w:rsidRPr="002029AF" w:rsidRDefault="00CF72D5" w:rsidP="006D6A5D">
            <w:pPr>
              <w:pStyle w:val="ARtabletextright"/>
              <w:spacing w:before="20" w:after="20"/>
            </w:pPr>
            <w:r w:rsidRPr="002029AF">
              <w:t>16</w:t>
            </w:r>
          </w:p>
        </w:tc>
        <w:tc>
          <w:tcPr>
            <w:tcW w:w="885" w:type="dxa"/>
            <w:hideMark/>
          </w:tcPr>
          <w:p w14:paraId="5C28D852" w14:textId="77777777" w:rsidR="00CF72D5" w:rsidRPr="002029AF" w:rsidRDefault="00CF72D5" w:rsidP="006D6A5D">
            <w:pPr>
              <w:pStyle w:val="ARtabletextright"/>
              <w:spacing w:before="20" w:after="20"/>
              <w:rPr>
                <w:color w:val="000000"/>
              </w:rPr>
            </w:pPr>
            <w:r w:rsidRPr="002029AF">
              <w:rPr>
                <w:color w:val="000000"/>
              </w:rPr>
              <w:t>15.5</w:t>
            </w:r>
          </w:p>
        </w:tc>
        <w:tc>
          <w:tcPr>
            <w:tcW w:w="887" w:type="dxa"/>
            <w:hideMark/>
          </w:tcPr>
          <w:p w14:paraId="25FFBC60" w14:textId="77777777" w:rsidR="00CF72D5" w:rsidRPr="002029AF" w:rsidRDefault="00CF72D5" w:rsidP="006D6A5D">
            <w:pPr>
              <w:pStyle w:val="ARtabletextright"/>
              <w:spacing w:before="20" w:after="20"/>
              <w:rPr>
                <w:color w:val="000000"/>
              </w:rPr>
            </w:pPr>
            <w:r w:rsidRPr="002029AF">
              <w:rPr>
                <w:color w:val="000000"/>
              </w:rPr>
              <w:t>12</w:t>
            </w:r>
          </w:p>
        </w:tc>
        <w:tc>
          <w:tcPr>
            <w:tcW w:w="887" w:type="dxa"/>
            <w:hideMark/>
          </w:tcPr>
          <w:p w14:paraId="5EEA68A5" w14:textId="77777777" w:rsidR="00CF72D5" w:rsidRPr="002029AF" w:rsidRDefault="00CF72D5" w:rsidP="006D6A5D">
            <w:pPr>
              <w:pStyle w:val="ARtabletextright"/>
              <w:spacing w:before="20" w:after="20"/>
              <w:rPr>
                <w:color w:val="000000"/>
              </w:rPr>
            </w:pPr>
            <w:r w:rsidRPr="002029AF">
              <w:rPr>
                <w:color w:val="000000"/>
              </w:rPr>
              <w:t>2</w:t>
            </w:r>
          </w:p>
        </w:tc>
        <w:tc>
          <w:tcPr>
            <w:tcW w:w="884" w:type="dxa"/>
            <w:hideMark/>
          </w:tcPr>
          <w:p w14:paraId="61BD5D81" w14:textId="77777777" w:rsidR="00CF72D5" w:rsidRPr="002029AF" w:rsidRDefault="00CF72D5" w:rsidP="006D6A5D">
            <w:pPr>
              <w:pStyle w:val="ARtabletextright"/>
              <w:spacing w:before="20" w:after="20"/>
              <w:rPr>
                <w:color w:val="000000"/>
              </w:rPr>
            </w:pPr>
            <w:r w:rsidRPr="002029AF">
              <w:rPr>
                <w:color w:val="000000"/>
              </w:rPr>
              <w:t>13.5</w:t>
            </w:r>
          </w:p>
        </w:tc>
        <w:tc>
          <w:tcPr>
            <w:tcW w:w="897" w:type="dxa"/>
            <w:gridSpan w:val="2"/>
            <w:hideMark/>
          </w:tcPr>
          <w:p w14:paraId="38B8F65B" w14:textId="77777777" w:rsidR="00CF72D5" w:rsidRPr="002029AF" w:rsidRDefault="00CF72D5" w:rsidP="006D6A5D">
            <w:pPr>
              <w:pStyle w:val="ARtabletextright"/>
              <w:spacing w:before="20" w:after="20"/>
              <w:rPr>
                <w:color w:val="000000"/>
              </w:rPr>
            </w:pPr>
            <w:r w:rsidRPr="002029AF">
              <w:rPr>
                <w:color w:val="000000"/>
              </w:rPr>
              <w:t>2</w:t>
            </w:r>
          </w:p>
        </w:tc>
        <w:tc>
          <w:tcPr>
            <w:tcW w:w="885" w:type="dxa"/>
            <w:hideMark/>
          </w:tcPr>
          <w:p w14:paraId="2ACFC864" w14:textId="77777777" w:rsidR="00CF72D5" w:rsidRPr="002029AF" w:rsidRDefault="00CF72D5" w:rsidP="006D6A5D">
            <w:pPr>
              <w:pStyle w:val="ARtabletextright"/>
              <w:spacing w:before="20" w:after="20"/>
              <w:rPr>
                <w:color w:val="000000"/>
              </w:rPr>
            </w:pPr>
            <w:r w:rsidRPr="002029AF">
              <w:rPr>
                <w:color w:val="000000"/>
              </w:rPr>
              <w:t>2</w:t>
            </w:r>
          </w:p>
        </w:tc>
      </w:tr>
      <w:tr w:rsidR="00CF72D5" w:rsidRPr="002029AF" w14:paraId="7731172C" w14:textId="77777777" w:rsidTr="00D015AF">
        <w:trPr>
          <w:gridAfter w:val="1"/>
          <w:wAfter w:w="10" w:type="dxa"/>
          <w:cantSplit w:val="0"/>
        </w:trPr>
        <w:tc>
          <w:tcPr>
            <w:tcW w:w="2631" w:type="dxa"/>
            <w:hideMark/>
          </w:tcPr>
          <w:p w14:paraId="514D0E77" w14:textId="77777777" w:rsidR="00CF72D5" w:rsidRPr="002029AF" w:rsidRDefault="00CF72D5" w:rsidP="006D6A5D">
            <w:pPr>
              <w:pStyle w:val="ARtabletext"/>
              <w:spacing w:before="20" w:after="20"/>
            </w:pPr>
            <w:r w:rsidRPr="002029AF">
              <w:t>35–44</w:t>
            </w:r>
          </w:p>
        </w:tc>
        <w:tc>
          <w:tcPr>
            <w:tcW w:w="897" w:type="dxa"/>
            <w:hideMark/>
          </w:tcPr>
          <w:p w14:paraId="1430D003" w14:textId="77777777" w:rsidR="00CF72D5" w:rsidRPr="002029AF" w:rsidRDefault="00CF72D5" w:rsidP="006D6A5D">
            <w:pPr>
              <w:pStyle w:val="ARtabletextright"/>
              <w:spacing w:before="20" w:after="20"/>
            </w:pPr>
            <w:r w:rsidRPr="002029AF">
              <w:t>32</w:t>
            </w:r>
          </w:p>
        </w:tc>
        <w:tc>
          <w:tcPr>
            <w:tcW w:w="885" w:type="dxa"/>
            <w:hideMark/>
          </w:tcPr>
          <w:p w14:paraId="2FA8D0B8" w14:textId="77777777" w:rsidR="00CF72D5" w:rsidRPr="002029AF" w:rsidRDefault="00CF72D5" w:rsidP="006D6A5D">
            <w:pPr>
              <w:pStyle w:val="ARtabletextright"/>
              <w:spacing w:before="20" w:after="20"/>
            </w:pPr>
            <w:r w:rsidRPr="002029AF">
              <w:t>31</w:t>
            </w:r>
          </w:p>
        </w:tc>
        <w:tc>
          <w:tcPr>
            <w:tcW w:w="887" w:type="dxa"/>
            <w:hideMark/>
          </w:tcPr>
          <w:p w14:paraId="7A5BDD36" w14:textId="77777777" w:rsidR="00CF72D5" w:rsidRPr="002029AF" w:rsidRDefault="00CF72D5" w:rsidP="006D6A5D">
            <w:pPr>
              <w:pStyle w:val="ARtabletextright"/>
              <w:spacing w:before="20" w:after="20"/>
            </w:pPr>
            <w:r w:rsidRPr="002029AF">
              <w:t>21</w:t>
            </w:r>
          </w:p>
        </w:tc>
        <w:tc>
          <w:tcPr>
            <w:tcW w:w="888" w:type="dxa"/>
            <w:hideMark/>
          </w:tcPr>
          <w:p w14:paraId="31424D90" w14:textId="77777777" w:rsidR="00CF72D5" w:rsidRPr="002029AF" w:rsidRDefault="00CF72D5" w:rsidP="006D6A5D">
            <w:pPr>
              <w:pStyle w:val="ARtabletextright"/>
              <w:spacing w:before="20" w:after="20"/>
            </w:pPr>
            <w:r w:rsidRPr="002029AF">
              <w:t>3</w:t>
            </w:r>
          </w:p>
        </w:tc>
        <w:tc>
          <w:tcPr>
            <w:tcW w:w="886" w:type="dxa"/>
            <w:hideMark/>
          </w:tcPr>
          <w:p w14:paraId="57A66B59" w14:textId="77777777" w:rsidR="00CF72D5" w:rsidRPr="002029AF" w:rsidRDefault="00CF72D5" w:rsidP="006D6A5D">
            <w:pPr>
              <w:pStyle w:val="ARtabletextright"/>
              <w:spacing w:before="20" w:after="20"/>
            </w:pPr>
            <w:r w:rsidRPr="002029AF">
              <w:t>23</w:t>
            </w:r>
          </w:p>
        </w:tc>
        <w:tc>
          <w:tcPr>
            <w:tcW w:w="897" w:type="dxa"/>
            <w:hideMark/>
          </w:tcPr>
          <w:p w14:paraId="26710D99" w14:textId="77777777" w:rsidR="00CF72D5" w:rsidRPr="002029AF" w:rsidRDefault="00CF72D5" w:rsidP="006D6A5D">
            <w:pPr>
              <w:pStyle w:val="ARtabletextright"/>
              <w:spacing w:before="20" w:after="20"/>
            </w:pPr>
            <w:r w:rsidRPr="002029AF">
              <w:t>8</w:t>
            </w:r>
          </w:p>
        </w:tc>
        <w:tc>
          <w:tcPr>
            <w:tcW w:w="886" w:type="dxa"/>
            <w:hideMark/>
          </w:tcPr>
          <w:p w14:paraId="5A237F5F" w14:textId="77777777" w:rsidR="00CF72D5" w:rsidRPr="002029AF" w:rsidRDefault="00CF72D5" w:rsidP="006D6A5D">
            <w:pPr>
              <w:pStyle w:val="ARtabletextright"/>
              <w:spacing w:before="20" w:after="20"/>
            </w:pPr>
            <w:r w:rsidRPr="002029AF">
              <w:t>8</w:t>
            </w:r>
          </w:p>
        </w:tc>
        <w:tc>
          <w:tcPr>
            <w:tcW w:w="897" w:type="dxa"/>
            <w:hideMark/>
          </w:tcPr>
          <w:p w14:paraId="1EDA42B8" w14:textId="77777777" w:rsidR="00CF72D5" w:rsidRPr="002029AF" w:rsidRDefault="00CF72D5" w:rsidP="006D6A5D">
            <w:pPr>
              <w:pStyle w:val="ARtabletextright"/>
              <w:spacing w:before="20" w:after="20"/>
            </w:pPr>
            <w:r w:rsidRPr="002029AF">
              <w:t>25</w:t>
            </w:r>
          </w:p>
        </w:tc>
        <w:tc>
          <w:tcPr>
            <w:tcW w:w="885" w:type="dxa"/>
            <w:hideMark/>
          </w:tcPr>
          <w:p w14:paraId="363E5334" w14:textId="77777777" w:rsidR="00CF72D5" w:rsidRPr="002029AF" w:rsidRDefault="00CF72D5" w:rsidP="006D6A5D">
            <w:pPr>
              <w:pStyle w:val="ARtabletextright"/>
              <w:spacing w:before="20" w:after="20"/>
              <w:rPr>
                <w:color w:val="000000"/>
              </w:rPr>
            </w:pPr>
            <w:r w:rsidRPr="002029AF">
              <w:rPr>
                <w:color w:val="000000"/>
              </w:rPr>
              <w:t>24.8</w:t>
            </w:r>
          </w:p>
        </w:tc>
        <w:tc>
          <w:tcPr>
            <w:tcW w:w="887" w:type="dxa"/>
            <w:hideMark/>
          </w:tcPr>
          <w:p w14:paraId="100ABAE0" w14:textId="77777777" w:rsidR="00CF72D5" w:rsidRPr="002029AF" w:rsidRDefault="00CF72D5" w:rsidP="006D6A5D">
            <w:pPr>
              <w:pStyle w:val="ARtabletextright"/>
              <w:spacing w:before="20" w:after="20"/>
              <w:rPr>
                <w:color w:val="000000"/>
              </w:rPr>
            </w:pPr>
            <w:r w:rsidRPr="002029AF">
              <w:rPr>
                <w:color w:val="000000"/>
              </w:rPr>
              <w:t>22</w:t>
            </w:r>
          </w:p>
        </w:tc>
        <w:tc>
          <w:tcPr>
            <w:tcW w:w="887" w:type="dxa"/>
            <w:hideMark/>
          </w:tcPr>
          <w:p w14:paraId="06AFD3B5" w14:textId="77777777" w:rsidR="00CF72D5" w:rsidRPr="002029AF" w:rsidRDefault="00CF72D5" w:rsidP="006D6A5D">
            <w:pPr>
              <w:pStyle w:val="ARtabletextright"/>
              <w:spacing w:before="20" w:after="20"/>
              <w:rPr>
                <w:color w:val="000000"/>
              </w:rPr>
            </w:pPr>
            <w:r w:rsidRPr="002029AF">
              <w:rPr>
                <w:color w:val="000000"/>
              </w:rPr>
              <w:t>1</w:t>
            </w:r>
          </w:p>
        </w:tc>
        <w:tc>
          <w:tcPr>
            <w:tcW w:w="884" w:type="dxa"/>
            <w:hideMark/>
          </w:tcPr>
          <w:p w14:paraId="2259804D" w14:textId="77777777" w:rsidR="00CF72D5" w:rsidRPr="002029AF" w:rsidRDefault="00CF72D5" w:rsidP="006D6A5D">
            <w:pPr>
              <w:pStyle w:val="ARtabletextright"/>
              <w:spacing w:before="20" w:after="20"/>
              <w:rPr>
                <w:color w:val="000000"/>
              </w:rPr>
            </w:pPr>
            <w:r w:rsidRPr="002029AF">
              <w:rPr>
                <w:color w:val="000000"/>
              </w:rPr>
              <w:t>22.8</w:t>
            </w:r>
          </w:p>
        </w:tc>
        <w:tc>
          <w:tcPr>
            <w:tcW w:w="897" w:type="dxa"/>
            <w:gridSpan w:val="2"/>
            <w:hideMark/>
          </w:tcPr>
          <w:p w14:paraId="5E9BD0A1" w14:textId="77777777" w:rsidR="00CF72D5" w:rsidRPr="002029AF" w:rsidRDefault="00CF72D5" w:rsidP="006D6A5D">
            <w:pPr>
              <w:pStyle w:val="ARtabletextright"/>
              <w:spacing w:before="20" w:after="20"/>
              <w:rPr>
                <w:color w:val="000000"/>
              </w:rPr>
            </w:pPr>
            <w:r w:rsidRPr="002029AF">
              <w:rPr>
                <w:color w:val="000000"/>
              </w:rPr>
              <w:t>2</w:t>
            </w:r>
          </w:p>
        </w:tc>
        <w:tc>
          <w:tcPr>
            <w:tcW w:w="885" w:type="dxa"/>
            <w:hideMark/>
          </w:tcPr>
          <w:p w14:paraId="1A9F9558" w14:textId="77777777" w:rsidR="00CF72D5" w:rsidRPr="002029AF" w:rsidRDefault="00CF72D5" w:rsidP="006D6A5D">
            <w:pPr>
              <w:pStyle w:val="ARtabletextright"/>
              <w:spacing w:before="20" w:after="20"/>
              <w:rPr>
                <w:color w:val="000000"/>
              </w:rPr>
            </w:pPr>
            <w:r w:rsidRPr="002029AF">
              <w:rPr>
                <w:color w:val="000000"/>
              </w:rPr>
              <w:t>2</w:t>
            </w:r>
          </w:p>
        </w:tc>
      </w:tr>
      <w:tr w:rsidR="00CF72D5" w:rsidRPr="002029AF" w14:paraId="1574D970" w14:textId="77777777" w:rsidTr="00D015AF">
        <w:trPr>
          <w:gridAfter w:val="1"/>
          <w:wAfter w:w="10" w:type="dxa"/>
          <w:cantSplit w:val="0"/>
        </w:trPr>
        <w:tc>
          <w:tcPr>
            <w:tcW w:w="2631" w:type="dxa"/>
            <w:hideMark/>
          </w:tcPr>
          <w:p w14:paraId="3152FAC1" w14:textId="77777777" w:rsidR="00CF72D5" w:rsidRPr="002029AF" w:rsidRDefault="00CF72D5" w:rsidP="006D6A5D">
            <w:pPr>
              <w:pStyle w:val="ARtabletext"/>
              <w:spacing w:before="20" w:after="20"/>
            </w:pPr>
            <w:r w:rsidRPr="002029AF">
              <w:t>45–54</w:t>
            </w:r>
          </w:p>
        </w:tc>
        <w:tc>
          <w:tcPr>
            <w:tcW w:w="897" w:type="dxa"/>
            <w:hideMark/>
          </w:tcPr>
          <w:p w14:paraId="576A9D0C" w14:textId="77777777" w:rsidR="00CF72D5" w:rsidRPr="002029AF" w:rsidRDefault="00CF72D5" w:rsidP="006D6A5D">
            <w:pPr>
              <w:pStyle w:val="ARtabletextright"/>
              <w:spacing w:before="20" w:after="20"/>
            </w:pPr>
            <w:r w:rsidRPr="002029AF">
              <w:t>20</w:t>
            </w:r>
          </w:p>
        </w:tc>
        <w:tc>
          <w:tcPr>
            <w:tcW w:w="885" w:type="dxa"/>
            <w:hideMark/>
          </w:tcPr>
          <w:p w14:paraId="3017B485" w14:textId="77777777" w:rsidR="00CF72D5" w:rsidRPr="002029AF" w:rsidRDefault="00CF72D5" w:rsidP="006D6A5D">
            <w:pPr>
              <w:pStyle w:val="ARtabletextright"/>
              <w:spacing w:before="20" w:after="20"/>
            </w:pPr>
            <w:r w:rsidRPr="002029AF">
              <w:t>19.6</w:t>
            </w:r>
          </w:p>
        </w:tc>
        <w:tc>
          <w:tcPr>
            <w:tcW w:w="887" w:type="dxa"/>
            <w:hideMark/>
          </w:tcPr>
          <w:p w14:paraId="18752005" w14:textId="77777777" w:rsidR="00CF72D5" w:rsidRPr="002029AF" w:rsidRDefault="00CF72D5" w:rsidP="006D6A5D">
            <w:pPr>
              <w:pStyle w:val="ARtabletextright"/>
              <w:spacing w:before="20" w:after="20"/>
            </w:pPr>
            <w:r w:rsidRPr="002029AF">
              <w:t>16</w:t>
            </w:r>
          </w:p>
        </w:tc>
        <w:tc>
          <w:tcPr>
            <w:tcW w:w="888" w:type="dxa"/>
            <w:hideMark/>
          </w:tcPr>
          <w:p w14:paraId="605A2127" w14:textId="77777777" w:rsidR="00CF72D5" w:rsidRPr="002029AF" w:rsidRDefault="00CF72D5" w:rsidP="006D6A5D">
            <w:pPr>
              <w:pStyle w:val="ARtabletextright"/>
              <w:spacing w:before="20" w:after="20"/>
            </w:pPr>
            <w:r w:rsidRPr="002029AF">
              <w:t>1</w:t>
            </w:r>
          </w:p>
        </w:tc>
        <w:tc>
          <w:tcPr>
            <w:tcW w:w="886" w:type="dxa"/>
            <w:hideMark/>
          </w:tcPr>
          <w:p w14:paraId="7CB6BDFD" w14:textId="77777777" w:rsidR="00CF72D5" w:rsidRPr="002029AF" w:rsidRDefault="00CF72D5" w:rsidP="006D6A5D">
            <w:pPr>
              <w:pStyle w:val="ARtabletextright"/>
              <w:spacing w:before="20" w:after="20"/>
            </w:pPr>
            <w:r w:rsidRPr="002029AF">
              <w:t>16.8</w:t>
            </w:r>
          </w:p>
        </w:tc>
        <w:tc>
          <w:tcPr>
            <w:tcW w:w="897" w:type="dxa"/>
            <w:hideMark/>
          </w:tcPr>
          <w:p w14:paraId="09A39789" w14:textId="77777777" w:rsidR="00CF72D5" w:rsidRPr="002029AF" w:rsidRDefault="00CF72D5" w:rsidP="006D6A5D">
            <w:pPr>
              <w:pStyle w:val="ARtabletextright"/>
              <w:spacing w:before="20" w:after="20"/>
            </w:pPr>
            <w:r w:rsidRPr="002029AF">
              <w:t>3</w:t>
            </w:r>
          </w:p>
        </w:tc>
        <w:tc>
          <w:tcPr>
            <w:tcW w:w="886" w:type="dxa"/>
            <w:hideMark/>
          </w:tcPr>
          <w:p w14:paraId="63F929BA" w14:textId="77777777" w:rsidR="00CF72D5" w:rsidRPr="002029AF" w:rsidRDefault="00CF72D5" w:rsidP="006D6A5D">
            <w:pPr>
              <w:pStyle w:val="ARtabletextright"/>
              <w:spacing w:before="20" w:after="20"/>
            </w:pPr>
            <w:r w:rsidRPr="002029AF">
              <w:t>2.8</w:t>
            </w:r>
          </w:p>
        </w:tc>
        <w:tc>
          <w:tcPr>
            <w:tcW w:w="897" w:type="dxa"/>
            <w:hideMark/>
          </w:tcPr>
          <w:p w14:paraId="68C29EEF" w14:textId="77777777" w:rsidR="00CF72D5" w:rsidRPr="002029AF" w:rsidRDefault="00CF72D5" w:rsidP="006D6A5D">
            <w:pPr>
              <w:pStyle w:val="ARtabletextright"/>
              <w:spacing w:before="20" w:after="20"/>
            </w:pPr>
            <w:r w:rsidRPr="002029AF">
              <w:t>17</w:t>
            </w:r>
          </w:p>
        </w:tc>
        <w:tc>
          <w:tcPr>
            <w:tcW w:w="885" w:type="dxa"/>
            <w:hideMark/>
          </w:tcPr>
          <w:p w14:paraId="0D5812EA" w14:textId="77777777" w:rsidR="00CF72D5" w:rsidRPr="002029AF" w:rsidRDefault="00CF72D5" w:rsidP="006D6A5D">
            <w:pPr>
              <w:pStyle w:val="ARtabletextright"/>
              <w:spacing w:before="20" w:after="20"/>
              <w:rPr>
                <w:color w:val="000000"/>
              </w:rPr>
            </w:pPr>
            <w:r w:rsidRPr="002029AF">
              <w:rPr>
                <w:color w:val="000000"/>
              </w:rPr>
              <w:t>15.9</w:t>
            </w:r>
          </w:p>
        </w:tc>
        <w:tc>
          <w:tcPr>
            <w:tcW w:w="887" w:type="dxa"/>
            <w:hideMark/>
          </w:tcPr>
          <w:p w14:paraId="06DA578E" w14:textId="77777777" w:rsidR="00CF72D5" w:rsidRPr="002029AF" w:rsidRDefault="00CF72D5" w:rsidP="006D6A5D">
            <w:pPr>
              <w:pStyle w:val="ARtabletextright"/>
              <w:spacing w:before="20" w:after="20"/>
              <w:rPr>
                <w:color w:val="000000"/>
              </w:rPr>
            </w:pPr>
            <w:r w:rsidRPr="002029AF">
              <w:rPr>
                <w:color w:val="000000"/>
              </w:rPr>
              <w:t>13</w:t>
            </w:r>
          </w:p>
        </w:tc>
        <w:tc>
          <w:tcPr>
            <w:tcW w:w="887" w:type="dxa"/>
            <w:hideMark/>
          </w:tcPr>
          <w:p w14:paraId="015D8D13" w14:textId="77777777" w:rsidR="00CF72D5" w:rsidRPr="002029AF" w:rsidRDefault="00CF72D5" w:rsidP="006D6A5D">
            <w:pPr>
              <w:pStyle w:val="ARtabletextright"/>
              <w:spacing w:before="20" w:after="20"/>
              <w:rPr>
                <w:color w:val="000000"/>
              </w:rPr>
            </w:pPr>
            <w:r w:rsidRPr="002029AF">
              <w:rPr>
                <w:color w:val="000000"/>
              </w:rPr>
              <w:t>1</w:t>
            </w:r>
          </w:p>
        </w:tc>
        <w:tc>
          <w:tcPr>
            <w:tcW w:w="884" w:type="dxa"/>
            <w:hideMark/>
          </w:tcPr>
          <w:p w14:paraId="7CF9C500" w14:textId="77777777" w:rsidR="00CF72D5" w:rsidRPr="002029AF" w:rsidRDefault="00CF72D5" w:rsidP="006D6A5D">
            <w:pPr>
              <w:pStyle w:val="ARtabletextright"/>
              <w:spacing w:before="20" w:after="20"/>
              <w:rPr>
                <w:color w:val="000000"/>
              </w:rPr>
            </w:pPr>
            <w:r w:rsidRPr="002029AF">
              <w:rPr>
                <w:color w:val="000000"/>
              </w:rPr>
              <w:t>13.5</w:t>
            </w:r>
          </w:p>
        </w:tc>
        <w:tc>
          <w:tcPr>
            <w:tcW w:w="897" w:type="dxa"/>
            <w:gridSpan w:val="2"/>
            <w:hideMark/>
          </w:tcPr>
          <w:p w14:paraId="15078C90" w14:textId="77777777" w:rsidR="00CF72D5" w:rsidRPr="002029AF" w:rsidRDefault="00CF72D5" w:rsidP="006D6A5D">
            <w:pPr>
              <w:pStyle w:val="ARtabletextright"/>
              <w:spacing w:before="20" w:after="20"/>
              <w:rPr>
                <w:color w:val="000000"/>
              </w:rPr>
            </w:pPr>
            <w:r w:rsidRPr="002029AF">
              <w:rPr>
                <w:color w:val="000000"/>
              </w:rPr>
              <w:t>3</w:t>
            </w:r>
          </w:p>
        </w:tc>
        <w:tc>
          <w:tcPr>
            <w:tcW w:w="885" w:type="dxa"/>
            <w:hideMark/>
          </w:tcPr>
          <w:p w14:paraId="5DA81D31" w14:textId="77777777" w:rsidR="00CF72D5" w:rsidRPr="002029AF" w:rsidRDefault="00CF72D5" w:rsidP="006D6A5D">
            <w:pPr>
              <w:pStyle w:val="ARtabletextright"/>
              <w:spacing w:before="20" w:after="20"/>
              <w:rPr>
                <w:color w:val="000000"/>
              </w:rPr>
            </w:pPr>
            <w:r w:rsidRPr="002029AF">
              <w:rPr>
                <w:color w:val="000000"/>
              </w:rPr>
              <w:t>2.4</w:t>
            </w:r>
          </w:p>
        </w:tc>
      </w:tr>
      <w:tr w:rsidR="00CF72D5" w:rsidRPr="002029AF" w14:paraId="7B16B833" w14:textId="77777777" w:rsidTr="00D015AF">
        <w:trPr>
          <w:gridAfter w:val="1"/>
          <w:wAfter w:w="10" w:type="dxa"/>
          <w:cantSplit w:val="0"/>
        </w:trPr>
        <w:tc>
          <w:tcPr>
            <w:tcW w:w="2631" w:type="dxa"/>
            <w:hideMark/>
          </w:tcPr>
          <w:p w14:paraId="3EC66219" w14:textId="77777777" w:rsidR="00CF72D5" w:rsidRPr="002029AF" w:rsidRDefault="00CF72D5" w:rsidP="006D6A5D">
            <w:pPr>
              <w:pStyle w:val="ARtabletext"/>
              <w:spacing w:before="20" w:after="20"/>
            </w:pPr>
            <w:r w:rsidRPr="002029AF">
              <w:t>55–64</w:t>
            </w:r>
          </w:p>
        </w:tc>
        <w:tc>
          <w:tcPr>
            <w:tcW w:w="897" w:type="dxa"/>
            <w:hideMark/>
          </w:tcPr>
          <w:p w14:paraId="5BAE2CB3" w14:textId="77777777" w:rsidR="00CF72D5" w:rsidRPr="002029AF" w:rsidRDefault="00CF72D5" w:rsidP="006D6A5D">
            <w:pPr>
              <w:pStyle w:val="ARtabletextright"/>
              <w:spacing w:before="20" w:after="20"/>
            </w:pPr>
            <w:r w:rsidRPr="002029AF">
              <w:t>15</w:t>
            </w:r>
          </w:p>
        </w:tc>
        <w:tc>
          <w:tcPr>
            <w:tcW w:w="885" w:type="dxa"/>
            <w:hideMark/>
          </w:tcPr>
          <w:p w14:paraId="43F5C424" w14:textId="77777777" w:rsidR="00CF72D5" w:rsidRPr="002029AF" w:rsidRDefault="00CF72D5" w:rsidP="006D6A5D">
            <w:pPr>
              <w:pStyle w:val="ARtabletextright"/>
              <w:spacing w:before="20" w:after="20"/>
            </w:pPr>
            <w:r w:rsidRPr="002029AF">
              <w:t>14.4</w:t>
            </w:r>
          </w:p>
        </w:tc>
        <w:tc>
          <w:tcPr>
            <w:tcW w:w="887" w:type="dxa"/>
            <w:hideMark/>
          </w:tcPr>
          <w:p w14:paraId="46726F3F" w14:textId="77777777" w:rsidR="00CF72D5" w:rsidRPr="002029AF" w:rsidRDefault="00CF72D5" w:rsidP="006D6A5D">
            <w:pPr>
              <w:pStyle w:val="ARtabletextright"/>
              <w:spacing w:before="20" w:after="20"/>
            </w:pPr>
            <w:r w:rsidRPr="002029AF">
              <w:t>9</w:t>
            </w:r>
          </w:p>
        </w:tc>
        <w:tc>
          <w:tcPr>
            <w:tcW w:w="888" w:type="dxa"/>
            <w:hideMark/>
          </w:tcPr>
          <w:p w14:paraId="2F229962" w14:textId="77777777" w:rsidR="00CF72D5" w:rsidRPr="002029AF" w:rsidRDefault="00CF72D5" w:rsidP="006D6A5D">
            <w:pPr>
              <w:pStyle w:val="ARtabletextright"/>
              <w:spacing w:before="20" w:after="20"/>
            </w:pPr>
            <w:r w:rsidRPr="002029AF">
              <w:t>3</w:t>
            </w:r>
          </w:p>
        </w:tc>
        <w:tc>
          <w:tcPr>
            <w:tcW w:w="886" w:type="dxa"/>
            <w:hideMark/>
          </w:tcPr>
          <w:p w14:paraId="5D6301BE" w14:textId="77777777" w:rsidR="00CF72D5" w:rsidRPr="002029AF" w:rsidRDefault="00CF72D5" w:rsidP="006D6A5D">
            <w:pPr>
              <w:pStyle w:val="ARtabletextright"/>
              <w:spacing w:before="20" w:after="20"/>
            </w:pPr>
            <w:r w:rsidRPr="002029AF">
              <w:t>11.4</w:t>
            </w:r>
          </w:p>
        </w:tc>
        <w:tc>
          <w:tcPr>
            <w:tcW w:w="897" w:type="dxa"/>
            <w:hideMark/>
          </w:tcPr>
          <w:p w14:paraId="3A46B841" w14:textId="77777777" w:rsidR="00CF72D5" w:rsidRPr="002029AF" w:rsidRDefault="00CF72D5" w:rsidP="006D6A5D">
            <w:pPr>
              <w:pStyle w:val="ARtabletextright"/>
              <w:spacing w:before="20" w:after="20"/>
            </w:pPr>
            <w:r w:rsidRPr="002029AF">
              <w:t>3</w:t>
            </w:r>
          </w:p>
        </w:tc>
        <w:tc>
          <w:tcPr>
            <w:tcW w:w="886" w:type="dxa"/>
            <w:hideMark/>
          </w:tcPr>
          <w:p w14:paraId="46177479" w14:textId="77777777" w:rsidR="00CF72D5" w:rsidRPr="002029AF" w:rsidRDefault="00CF72D5" w:rsidP="006D6A5D">
            <w:pPr>
              <w:pStyle w:val="ARtabletextright"/>
              <w:spacing w:before="20" w:after="20"/>
            </w:pPr>
            <w:r w:rsidRPr="002029AF">
              <w:t>3</w:t>
            </w:r>
          </w:p>
        </w:tc>
        <w:tc>
          <w:tcPr>
            <w:tcW w:w="897" w:type="dxa"/>
            <w:hideMark/>
          </w:tcPr>
          <w:p w14:paraId="0CDC1E27" w14:textId="77777777" w:rsidR="00CF72D5" w:rsidRPr="002029AF" w:rsidRDefault="00CF72D5" w:rsidP="006D6A5D">
            <w:pPr>
              <w:pStyle w:val="ARtabletextright"/>
              <w:spacing w:before="20" w:after="20"/>
            </w:pPr>
            <w:r w:rsidRPr="002029AF">
              <w:t>12</w:t>
            </w:r>
          </w:p>
        </w:tc>
        <w:tc>
          <w:tcPr>
            <w:tcW w:w="885" w:type="dxa"/>
            <w:hideMark/>
          </w:tcPr>
          <w:p w14:paraId="737D69A0" w14:textId="77777777" w:rsidR="00CF72D5" w:rsidRPr="002029AF" w:rsidRDefault="00CF72D5" w:rsidP="006D6A5D">
            <w:pPr>
              <w:pStyle w:val="ARtabletextright"/>
              <w:spacing w:before="20" w:after="20"/>
              <w:rPr>
                <w:color w:val="000000"/>
              </w:rPr>
            </w:pPr>
            <w:r w:rsidRPr="002029AF">
              <w:rPr>
                <w:color w:val="000000"/>
              </w:rPr>
              <w:t>11.4</w:t>
            </w:r>
          </w:p>
        </w:tc>
        <w:tc>
          <w:tcPr>
            <w:tcW w:w="887" w:type="dxa"/>
            <w:hideMark/>
          </w:tcPr>
          <w:p w14:paraId="2D4A0674" w14:textId="77777777" w:rsidR="00CF72D5" w:rsidRPr="002029AF" w:rsidRDefault="00CF72D5" w:rsidP="006D6A5D">
            <w:pPr>
              <w:pStyle w:val="ARtabletextright"/>
              <w:spacing w:before="20" w:after="20"/>
              <w:rPr>
                <w:color w:val="000000"/>
              </w:rPr>
            </w:pPr>
            <w:r w:rsidRPr="002029AF">
              <w:rPr>
                <w:color w:val="000000"/>
              </w:rPr>
              <w:t>7</w:t>
            </w:r>
          </w:p>
        </w:tc>
        <w:tc>
          <w:tcPr>
            <w:tcW w:w="887" w:type="dxa"/>
            <w:hideMark/>
          </w:tcPr>
          <w:p w14:paraId="0BE65634" w14:textId="77777777" w:rsidR="00CF72D5" w:rsidRPr="002029AF" w:rsidRDefault="00CF72D5" w:rsidP="006D6A5D">
            <w:pPr>
              <w:pStyle w:val="ARtabletextright"/>
              <w:spacing w:before="20" w:after="20"/>
              <w:rPr>
                <w:color w:val="000000"/>
              </w:rPr>
            </w:pPr>
            <w:r w:rsidRPr="002029AF">
              <w:rPr>
                <w:color w:val="000000"/>
              </w:rPr>
              <w:t>2</w:t>
            </w:r>
          </w:p>
        </w:tc>
        <w:tc>
          <w:tcPr>
            <w:tcW w:w="884" w:type="dxa"/>
            <w:hideMark/>
          </w:tcPr>
          <w:p w14:paraId="1E85B600" w14:textId="77777777" w:rsidR="00CF72D5" w:rsidRPr="002029AF" w:rsidRDefault="00CF72D5" w:rsidP="006D6A5D">
            <w:pPr>
              <w:pStyle w:val="ARtabletextright"/>
              <w:spacing w:before="20" w:after="20"/>
              <w:rPr>
                <w:color w:val="000000"/>
              </w:rPr>
            </w:pPr>
            <w:r w:rsidRPr="002029AF">
              <w:rPr>
                <w:color w:val="000000"/>
              </w:rPr>
              <w:t>8.4</w:t>
            </w:r>
          </w:p>
        </w:tc>
        <w:tc>
          <w:tcPr>
            <w:tcW w:w="897" w:type="dxa"/>
            <w:gridSpan w:val="2"/>
            <w:hideMark/>
          </w:tcPr>
          <w:p w14:paraId="0AA3DED1" w14:textId="77777777" w:rsidR="00CF72D5" w:rsidRPr="002029AF" w:rsidRDefault="00CF72D5" w:rsidP="006D6A5D">
            <w:pPr>
              <w:pStyle w:val="ARtabletextright"/>
              <w:spacing w:before="20" w:after="20"/>
              <w:rPr>
                <w:color w:val="000000"/>
              </w:rPr>
            </w:pPr>
            <w:r w:rsidRPr="002029AF">
              <w:rPr>
                <w:color w:val="000000"/>
              </w:rPr>
              <w:t>3</w:t>
            </w:r>
          </w:p>
        </w:tc>
        <w:tc>
          <w:tcPr>
            <w:tcW w:w="885" w:type="dxa"/>
            <w:hideMark/>
          </w:tcPr>
          <w:p w14:paraId="4BA7AFF9" w14:textId="77777777" w:rsidR="00CF72D5" w:rsidRPr="002029AF" w:rsidRDefault="00CF72D5" w:rsidP="006D6A5D">
            <w:pPr>
              <w:pStyle w:val="ARtabletextright"/>
              <w:spacing w:before="20" w:after="20"/>
              <w:rPr>
                <w:color w:val="000000"/>
              </w:rPr>
            </w:pPr>
            <w:r w:rsidRPr="002029AF">
              <w:rPr>
                <w:color w:val="000000"/>
              </w:rPr>
              <w:t>3</w:t>
            </w:r>
          </w:p>
        </w:tc>
      </w:tr>
      <w:tr w:rsidR="00CF72D5" w:rsidRPr="002029AF" w14:paraId="0D7D2587" w14:textId="77777777" w:rsidTr="00D015AF">
        <w:trPr>
          <w:gridAfter w:val="1"/>
          <w:wAfter w:w="10" w:type="dxa"/>
          <w:cantSplit w:val="0"/>
        </w:trPr>
        <w:tc>
          <w:tcPr>
            <w:tcW w:w="2631" w:type="dxa"/>
            <w:hideMark/>
          </w:tcPr>
          <w:p w14:paraId="31A56714" w14:textId="77777777" w:rsidR="00CF72D5" w:rsidRPr="002029AF" w:rsidRDefault="00CF72D5" w:rsidP="006D6A5D">
            <w:pPr>
              <w:pStyle w:val="ARtabletext"/>
              <w:spacing w:before="20" w:after="20"/>
            </w:pPr>
            <w:r w:rsidRPr="002029AF">
              <w:t>65+</w:t>
            </w:r>
          </w:p>
        </w:tc>
        <w:tc>
          <w:tcPr>
            <w:tcW w:w="897" w:type="dxa"/>
            <w:hideMark/>
          </w:tcPr>
          <w:p w14:paraId="31702922" w14:textId="77777777" w:rsidR="00CF72D5" w:rsidRPr="002029AF" w:rsidRDefault="00CF72D5" w:rsidP="006D6A5D">
            <w:pPr>
              <w:pStyle w:val="ARtabletextright"/>
              <w:spacing w:before="20" w:after="20"/>
            </w:pPr>
            <w:r w:rsidRPr="002029AF">
              <w:t>3</w:t>
            </w:r>
          </w:p>
        </w:tc>
        <w:tc>
          <w:tcPr>
            <w:tcW w:w="885" w:type="dxa"/>
            <w:hideMark/>
          </w:tcPr>
          <w:p w14:paraId="36E6C00A" w14:textId="77777777" w:rsidR="00CF72D5" w:rsidRPr="002029AF" w:rsidRDefault="00CF72D5" w:rsidP="006D6A5D">
            <w:pPr>
              <w:pStyle w:val="ARtabletextright"/>
              <w:spacing w:before="20" w:after="20"/>
            </w:pPr>
            <w:r w:rsidRPr="002029AF">
              <w:t>2.4</w:t>
            </w:r>
          </w:p>
        </w:tc>
        <w:tc>
          <w:tcPr>
            <w:tcW w:w="887" w:type="dxa"/>
            <w:hideMark/>
          </w:tcPr>
          <w:p w14:paraId="4D620C6F" w14:textId="77777777" w:rsidR="00CF72D5" w:rsidRPr="002029AF" w:rsidRDefault="00CF72D5" w:rsidP="006D6A5D">
            <w:pPr>
              <w:pStyle w:val="ARtabletextright"/>
              <w:spacing w:before="20" w:after="20"/>
            </w:pPr>
            <w:r w:rsidRPr="002029AF">
              <w:t>1</w:t>
            </w:r>
          </w:p>
        </w:tc>
        <w:tc>
          <w:tcPr>
            <w:tcW w:w="888" w:type="dxa"/>
            <w:hideMark/>
          </w:tcPr>
          <w:p w14:paraId="4583DF22" w14:textId="77777777" w:rsidR="00CF72D5" w:rsidRPr="002029AF" w:rsidRDefault="00CF72D5" w:rsidP="006D6A5D">
            <w:pPr>
              <w:pStyle w:val="ARtabletextright"/>
              <w:spacing w:before="20" w:after="20"/>
            </w:pPr>
            <w:r w:rsidRPr="002029AF">
              <w:t>1</w:t>
            </w:r>
          </w:p>
        </w:tc>
        <w:tc>
          <w:tcPr>
            <w:tcW w:w="886" w:type="dxa"/>
            <w:hideMark/>
          </w:tcPr>
          <w:p w14:paraId="6F13E8E6" w14:textId="77777777" w:rsidR="00CF72D5" w:rsidRPr="002029AF" w:rsidRDefault="00CF72D5" w:rsidP="006D6A5D">
            <w:pPr>
              <w:pStyle w:val="ARtabletextright"/>
              <w:spacing w:before="20" w:after="20"/>
            </w:pPr>
            <w:r w:rsidRPr="002029AF">
              <w:t>1.6</w:t>
            </w:r>
          </w:p>
        </w:tc>
        <w:tc>
          <w:tcPr>
            <w:tcW w:w="897" w:type="dxa"/>
            <w:hideMark/>
          </w:tcPr>
          <w:p w14:paraId="69DABFAE" w14:textId="77777777" w:rsidR="00CF72D5" w:rsidRPr="002029AF" w:rsidRDefault="00CF72D5" w:rsidP="006D6A5D">
            <w:pPr>
              <w:pStyle w:val="ARtabletextright"/>
              <w:spacing w:before="20" w:after="20"/>
            </w:pPr>
            <w:r w:rsidRPr="002029AF">
              <w:t>1</w:t>
            </w:r>
          </w:p>
        </w:tc>
        <w:tc>
          <w:tcPr>
            <w:tcW w:w="886" w:type="dxa"/>
            <w:hideMark/>
          </w:tcPr>
          <w:p w14:paraId="07F8676E" w14:textId="77777777" w:rsidR="00CF72D5" w:rsidRPr="002029AF" w:rsidRDefault="00CF72D5" w:rsidP="006D6A5D">
            <w:pPr>
              <w:pStyle w:val="ARtabletextright"/>
              <w:spacing w:before="20" w:after="20"/>
            </w:pPr>
            <w:r w:rsidRPr="002029AF">
              <w:t>0.8</w:t>
            </w:r>
          </w:p>
        </w:tc>
        <w:tc>
          <w:tcPr>
            <w:tcW w:w="897" w:type="dxa"/>
            <w:hideMark/>
          </w:tcPr>
          <w:p w14:paraId="5FA4AC0B" w14:textId="77777777" w:rsidR="00CF72D5" w:rsidRPr="002029AF" w:rsidRDefault="00CF72D5" w:rsidP="006D6A5D">
            <w:pPr>
              <w:pStyle w:val="ARtabletextright"/>
              <w:spacing w:before="20" w:after="20"/>
            </w:pPr>
            <w:r w:rsidRPr="002029AF">
              <w:t>2</w:t>
            </w:r>
          </w:p>
        </w:tc>
        <w:tc>
          <w:tcPr>
            <w:tcW w:w="885" w:type="dxa"/>
            <w:hideMark/>
          </w:tcPr>
          <w:p w14:paraId="4B690DF8" w14:textId="77777777" w:rsidR="00CF72D5" w:rsidRPr="002029AF" w:rsidRDefault="00CF72D5" w:rsidP="006D6A5D">
            <w:pPr>
              <w:pStyle w:val="ARtabletextright"/>
              <w:spacing w:before="20" w:after="20"/>
              <w:rPr>
                <w:color w:val="000000"/>
              </w:rPr>
            </w:pPr>
            <w:r w:rsidRPr="002029AF">
              <w:rPr>
                <w:color w:val="000000"/>
              </w:rPr>
              <w:t>1.6</w:t>
            </w:r>
          </w:p>
        </w:tc>
        <w:tc>
          <w:tcPr>
            <w:tcW w:w="887" w:type="dxa"/>
            <w:hideMark/>
          </w:tcPr>
          <w:p w14:paraId="1849B31F" w14:textId="77777777" w:rsidR="00CF72D5" w:rsidRPr="002029AF" w:rsidRDefault="00CF72D5" w:rsidP="006D6A5D">
            <w:pPr>
              <w:pStyle w:val="ARtabletextright"/>
              <w:spacing w:before="20" w:after="20"/>
              <w:rPr>
                <w:color w:val="000000"/>
              </w:rPr>
            </w:pPr>
            <w:r w:rsidRPr="002029AF">
              <w:rPr>
                <w:color w:val="000000"/>
              </w:rPr>
              <w:t>1</w:t>
            </w:r>
          </w:p>
        </w:tc>
        <w:tc>
          <w:tcPr>
            <w:tcW w:w="887" w:type="dxa"/>
            <w:hideMark/>
          </w:tcPr>
          <w:p w14:paraId="5E695F70" w14:textId="77777777" w:rsidR="00CF72D5" w:rsidRPr="002029AF" w:rsidRDefault="00CF72D5" w:rsidP="006D6A5D">
            <w:pPr>
              <w:pStyle w:val="ARtabletextright"/>
              <w:spacing w:before="20" w:after="20"/>
              <w:rPr>
                <w:color w:val="000000"/>
              </w:rPr>
            </w:pPr>
            <w:r w:rsidRPr="002029AF">
              <w:rPr>
                <w:color w:val="000000"/>
              </w:rPr>
              <w:t>1</w:t>
            </w:r>
          </w:p>
        </w:tc>
        <w:tc>
          <w:tcPr>
            <w:tcW w:w="884" w:type="dxa"/>
            <w:hideMark/>
          </w:tcPr>
          <w:p w14:paraId="0B7F27DA" w14:textId="77777777" w:rsidR="00CF72D5" w:rsidRPr="002029AF" w:rsidRDefault="00CF72D5" w:rsidP="006D6A5D">
            <w:pPr>
              <w:pStyle w:val="ARtabletextright"/>
              <w:spacing w:before="20" w:after="20"/>
              <w:rPr>
                <w:color w:val="000000"/>
              </w:rPr>
            </w:pPr>
            <w:r w:rsidRPr="002029AF">
              <w:rPr>
                <w:color w:val="000000"/>
              </w:rPr>
              <w:t>1.6</w:t>
            </w:r>
          </w:p>
        </w:tc>
        <w:tc>
          <w:tcPr>
            <w:tcW w:w="897" w:type="dxa"/>
            <w:gridSpan w:val="2"/>
            <w:hideMark/>
          </w:tcPr>
          <w:p w14:paraId="282899B5" w14:textId="77777777" w:rsidR="00CF72D5" w:rsidRPr="002029AF" w:rsidRDefault="00CF72D5" w:rsidP="006D6A5D">
            <w:pPr>
              <w:pStyle w:val="ARtabletextright"/>
              <w:spacing w:before="20" w:after="20"/>
              <w:rPr>
                <w:color w:val="000000"/>
              </w:rPr>
            </w:pPr>
            <w:r w:rsidRPr="002029AF">
              <w:rPr>
                <w:color w:val="000000"/>
              </w:rPr>
              <w:t>0</w:t>
            </w:r>
          </w:p>
        </w:tc>
        <w:tc>
          <w:tcPr>
            <w:tcW w:w="885" w:type="dxa"/>
            <w:hideMark/>
          </w:tcPr>
          <w:p w14:paraId="389D817B" w14:textId="77777777" w:rsidR="00CF72D5" w:rsidRPr="002029AF" w:rsidRDefault="00CF72D5" w:rsidP="006D6A5D">
            <w:pPr>
              <w:pStyle w:val="ARtabletextright"/>
              <w:spacing w:before="20" w:after="20"/>
              <w:rPr>
                <w:color w:val="000000"/>
              </w:rPr>
            </w:pPr>
            <w:r w:rsidRPr="002029AF">
              <w:rPr>
                <w:color w:val="000000"/>
              </w:rPr>
              <w:t>0</w:t>
            </w:r>
          </w:p>
        </w:tc>
      </w:tr>
      <w:tr w:rsidR="00CB1D1C" w:rsidRPr="002029AF" w14:paraId="4A2E8A4E" w14:textId="77777777" w:rsidTr="00D015AF">
        <w:trPr>
          <w:gridAfter w:val="1"/>
          <w:wAfter w:w="10" w:type="dxa"/>
          <w:cantSplit w:val="0"/>
        </w:trPr>
        <w:tc>
          <w:tcPr>
            <w:tcW w:w="15079" w:type="dxa"/>
            <w:gridSpan w:val="16"/>
            <w:hideMark/>
          </w:tcPr>
          <w:p w14:paraId="409C607E" w14:textId="0C942540" w:rsidR="00CB1D1C" w:rsidRPr="002029AF" w:rsidRDefault="00CB1D1C" w:rsidP="006D6A5D">
            <w:pPr>
              <w:pStyle w:val="ARtablesubhead"/>
              <w:spacing w:before="20" w:after="20"/>
            </w:pPr>
            <w:r w:rsidRPr="002029AF">
              <w:t>Classification</w:t>
            </w:r>
          </w:p>
        </w:tc>
      </w:tr>
      <w:tr w:rsidR="00CF72D5" w:rsidRPr="002029AF" w14:paraId="0015B230" w14:textId="77777777" w:rsidTr="00D015AF">
        <w:trPr>
          <w:gridAfter w:val="1"/>
          <w:wAfter w:w="10" w:type="dxa"/>
          <w:cantSplit w:val="0"/>
        </w:trPr>
        <w:tc>
          <w:tcPr>
            <w:tcW w:w="2631" w:type="dxa"/>
            <w:hideMark/>
          </w:tcPr>
          <w:p w14:paraId="767CA594" w14:textId="543B939D" w:rsidR="00CF72D5" w:rsidRPr="002029AF" w:rsidRDefault="00CF72D5" w:rsidP="006D6A5D">
            <w:pPr>
              <w:pStyle w:val="ARtabletext"/>
              <w:spacing w:before="20" w:after="20"/>
            </w:pPr>
            <w:r w:rsidRPr="002029AF">
              <w:t>VPS</w:t>
            </w:r>
            <w:r w:rsidR="000A5329" w:rsidRPr="002029AF">
              <w:t xml:space="preserve"> </w:t>
            </w:r>
            <w:r w:rsidRPr="002029AF">
              <w:t>2</w:t>
            </w:r>
          </w:p>
        </w:tc>
        <w:tc>
          <w:tcPr>
            <w:tcW w:w="897" w:type="dxa"/>
            <w:hideMark/>
          </w:tcPr>
          <w:p w14:paraId="26E91767" w14:textId="77777777" w:rsidR="00CF72D5" w:rsidRPr="002029AF" w:rsidRDefault="00CF72D5" w:rsidP="006D6A5D">
            <w:pPr>
              <w:pStyle w:val="ARtabletextright"/>
              <w:spacing w:before="20" w:after="20"/>
            </w:pPr>
            <w:r w:rsidRPr="002029AF">
              <w:t>0</w:t>
            </w:r>
          </w:p>
        </w:tc>
        <w:tc>
          <w:tcPr>
            <w:tcW w:w="885" w:type="dxa"/>
            <w:hideMark/>
          </w:tcPr>
          <w:p w14:paraId="57338EFA" w14:textId="77777777" w:rsidR="00CF72D5" w:rsidRPr="002029AF" w:rsidRDefault="00CF72D5" w:rsidP="006D6A5D">
            <w:pPr>
              <w:pStyle w:val="ARtabletextright"/>
              <w:spacing w:before="20" w:after="20"/>
            </w:pPr>
            <w:r w:rsidRPr="002029AF">
              <w:t>0</w:t>
            </w:r>
          </w:p>
        </w:tc>
        <w:tc>
          <w:tcPr>
            <w:tcW w:w="887" w:type="dxa"/>
            <w:hideMark/>
          </w:tcPr>
          <w:p w14:paraId="7000EE60" w14:textId="77777777" w:rsidR="00CF72D5" w:rsidRPr="002029AF" w:rsidRDefault="00CF72D5" w:rsidP="006D6A5D">
            <w:pPr>
              <w:pStyle w:val="ARtabletextright"/>
              <w:spacing w:before="20" w:after="20"/>
            </w:pPr>
            <w:r w:rsidRPr="002029AF">
              <w:t>0</w:t>
            </w:r>
          </w:p>
        </w:tc>
        <w:tc>
          <w:tcPr>
            <w:tcW w:w="888" w:type="dxa"/>
            <w:hideMark/>
          </w:tcPr>
          <w:p w14:paraId="6EC5C5BE" w14:textId="77777777" w:rsidR="00CF72D5" w:rsidRPr="002029AF" w:rsidRDefault="00CF72D5" w:rsidP="006D6A5D">
            <w:pPr>
              <w:pStyle w:val="ARtabletextright"/>
              <w:spacing w:before="20" w:after="20"/>
            </w:pPr>
            <w:r w:rsidRPr="002029AF">
              <w:t>0</w:t>
            </w:r>
          </w:p>
        </w:tc>
        <w:tc>
          <w:tcPr>
            <w:tcW w:w="886" w:type="dxa"/>
            <w:hideMark/>
          </w:tcPr>
          <w:p w14:paraId="34400761" w14:textId="77777777" w:rsidR="00CF72D5" w:rsidRPr="002029AF" w:rsidRDefault="00CF72D5" w:rsidP="006D6A5D">
            <w:pPr>
              <w:pStyle w:val="ARtabletextright"/>
              <w:spacing w:before="20" w:after="20"/>
            </w:pPr>
            <w:r w:rsidRPr="002029AF">
              <w:t>0</w:t>
            </w:r>
          </w:p>
        </w:tc>
        <w:tc>
          <w:tcPr>
            <w:tcW w:w="897" w:type="dxa"/>
            <w:hideMark/>
          </w:tcPr>
          <w:p w14:paraId="1767E9BC" w14:textId="77777777" w:rsidR="00CF72D5" w:rsidRPr="002029AF" w:rsidRDefault="00CF72D5" w:rsidP="006D6A5D">
            <w:pPr>
              <w:pStyle w:val="ARtabletextright"/>
              <w:spacing w:before="20" w:after="20"/>
            </w:pPr>
            <w:r w:rsidRPr="002029AF">
              <w:t>0</w:t>
            </w:r>
          </w:p>
        </w:tc>
        <w:tc>
          <w:tcPr>
            <w:tcW w:w="886" w:type="dxa"/>
            <w:hideMark/>
          </w:tcPr>
          <w:p w14:paraId="087E8E71" w14:textId="77777777" w:rsidR="00CF72D5" w:rsidRPr="002029AF" w:rsidRDefault="00CF72D5" w:rsidP="006D6A5D">
            <w:pPr>
              <w:pStyle w:val="ARtabletextright"/>
              <w:spacing w:before="20" w:after="20"/>
            </w:pPr>
            <w:r w:rsidRPr="002029AF">
              <w:t>0</w:t>
            </w:r>
          </w:p>
        </w:tc>
        <w:tc>
          <w:tcPr>
            <w:tcW w:w="897" w:type="dxa"/>
            <w:hideMark/>
          </w:tcPr>
          <w:p w14:paraId="7A2B40EA" w14:textId="77777777" w:rsidR="00CF72D5" w:rsidRPr="002029AF" w:rsidRDefault="00CF72D5" w:rsidP="006D6A5D">
            <w:pPr>
              <w:pStyle w:val="ARtabletextright"/>
              <w:spacing w:before="20" w:after="20"/>
            </w:pPr>
            <w:r w:rsidRPr="002029AF">
              <w:t>2</w:t>
            </w:r>
          </w:p>
        </w:tc>
        <w:tc>
          <w:tcPr>
            <w:tcW w:w="885" w:type="dxa"/>
            <w:hideMark/>
          </w:tcPr>
          <w:p w14:paraId="6866563A" w14:textId="77777777" w:rsidR="00CF72D5" w:rsidRPr="002029AF" w:rsidRDefault="00CF72D5" w:rsidP="006D6A5D">
            <w:pPr>
              <w:pStyle w:val="ARtabletextright"/>
              <w:spacing w:before="20" w:after="20"/>
            </w:pPr>
            <w:r w:rsidRPr="002029AF">
              <w:t>2</w:t>
            </w:r>
          </w:p>
        </w:tc>
        <w:tc>
          <w:tcPr>
            <w:tcW w:w="887" w:type="dxa"/>
            <w:hideMark/>
          </w:tcPr>
          <w:p w14:paraId="3906EDC6" w14:textId="77777777" w:rsidR="00CF72D5" w:rsidRPr="002029AF" w:rsidRDefault="00CF72D5" w:rsidP="006D6A5D">
            <w:pPr>
              <w:pStyle w:val="ARtabletextright"/>
              <w:spacing w:before="20" w:after="20"/>
            </w:pPr>
            <w:r w:rsidRPr="002029AF">
              <w:t>1</w:t>
            </w:r>
          </w:p>
        </w:tc>
        <w:tc>
          <w:tcPr>
            <w:tcW w:w="887" w:type="dxa"/>
            <w:hideMark/>
          </w:tcPr>
          <w:p w14:paraId="59DCA4B0" w14:textId="77777777" w:rsidR="00CF72D5" w:rsidRPr="002029AF" w:rsidRDefault="00CF72D5" w:rsidP="006D6A5D">
            <w:pPr>
              <w:pStyle w:val="ARtabletextright"/>
              <w:spacing w:before="20" w:after="20"/>
            </w:pPr>
            <w:r w:rsidRPr="002029AF">
              <w:t>0</w:t>
            </w:r>
          </w:p>
        </w:tc>
        <w:tc>
          <w:tcPr>
            <w:tcW w:w="884" w:type="dxa"/>
            <w:hideMark/>
          </w:tcPr>
          <w:p w14:paraId="00A6D307" w14:textId="77777777" w:rsidR="00CF72D5" w:rsidRPr="002029AF" w:rsidRDefault="00CF72D5" w:rsidP="006D6A5D">
            <w:pPr>
              <w:pStyle w:val="ARtabletextright"/>
              <w:spacing w:before="20" w:after="20"/>
            </w:pPr>
            <w:r w:rsidRPr="002029AF">
              <w:t>1</w:t>
            </w:r>
          </w:p>
        </w:tc>
        <w:tc>
          <w:tcPr>
            <w:tcW w:w="897" w:type="dxa"/>
            <w:gridSpan w:val="2"/>
            <w:hideMark/>
          </w:tcPr>
          <w:p w14:paraId="1AFA53EA" w14:textId="77777777" w:rsidR="00CF72D5" w:rsidRPr="002029AF" w:rsidRDefault="00CF72D5" w:rsidP="006D6A5D">
            <w:pPr>
              <w:pStyle w:val="ARtabletextright"/>
              <w:spacing w:before="20" w:after="20"/>
            </w:pPr>
            <w:r w:rsidRPr="002029AF">
              <w:t>1</w:t>
            </w:r>
          </w:p>
        </w:tc>
        <w:tc>
          <w:tcPr>
            <w:tcW w:w="885" w:type="dxa"/>
            <w:hideMark/>
          </w:tcPr>
          <w:p w14:paraId="1071FD79" w14:textId="77777777" w:rsidR="00CF72D5" w:rsidRPr="002029AF" w:rsidRDefault="00CF72D5" w:rsidP="006D6A5D">
            <w:pPr>
              <w:pStyle w:val="ARtabletextright"/>
              <w:spacing w:before="20" w:after="20"/>
            </w:pPr>
            <w:r w:rsidRPr="002029AF">
              <w:t>1</w:t>
            </w:r>
          </w:p>
        </w:tc>
      </w:tr>
      <w:tr w:rsidR="00CF72D5" w:rsidRPr="002029AF" w14:paraId="512F8B66" w14:textId="77777777" w:rsidTr="00D015AF">
        <w:trPr>
          <w:gridAfter w:val="1"/>
          <w:wAfter w:w="10" w:type="dxa"/>
          <w:cantSplit w:val="0"/>
        </w:trPr>
        <w:tc>
          <w:tcPr>
            <w:tcW w:w="2631" w:type="dxa"/>
            <w:hideMark/>
          </w:tcPr>
          <w:p w14:paraId="5B617F24" w14:textId="2BF50B64" w:rsidR="00CF72D5" w:rsidRPr="002029AF" w:rsidRDefault="00CF72D5" w:rsidP="006D6A5D">
            <w:pPr>
              <w:pStyle w:val="ARtabletext"/>
              <w:spacing w:before="20" w:after="20"/>
            </w:pPr>
            <w:r w:rsidRPr="002029AF">
              <w:t>VPS</w:t>
            </w:r>
            <w:r w:rsidR="000A5329" w:rsidRPr="002029AF">
              <w:t xml:space="preserve"> </w:t>
            </w:r>
            <w:r w:rsidRPr="002029AF">
              <w:t>3</w:t>
            </w:r>
          </w:p>
        </w:tc>
        <w:tc>
          <w:tcPr>
            <w:tcW w:w="897" w:type="dxa"/>
            <w:hideMark/>
          </w:tcPr>
          <w:p w14:paraId="465763E7" w14:textId="77777777" w:rsidR="00CF72D5" w:rsidRPr="002029AF" w:rsidRDefault="00CF72D5" w:rsidP="006D6A5D">
            <w:pPr>
              <w:pStyle w:val="ARtabletextright"/>
              <w:spacing w:before="20" w:after="20"/>
            </w:pPr>
            <w:r w:rsidRPr="002029AF">
              <w:t>6</w:t>
            </w:r>
          </w:p>
        </w:tc>
        <w:tc>
          <w:tcPr>
            <w:tcW w:w="885" w:type="dxa"/>
            <w:hideMark/>
          </w:tcPr>
          <w:p w14:paraId="21A0804B" w14:textId="77777777" w:rsidR="00CF72D5" w:rsidRPr="002029AF" w:rsidRDefault="00CF72D5" w:rsidP="006D6A5D">
            <w:pPr>
              <w:pStyle w:val="ARtabletextright"/>
              <w:spacing w:before="20" w:after="20"/>
            </w:pPr>
            <w:r w:rsidRPr="002029AF">
              <w:t>5.4</w:t>
            </w:r>
          </w:p>
        </w:tc>
        <w:tc>
          <w:tcPr>
            <w:tcW w:w="887" w:type="dxa"/>
            <w:hideMark/>
          </w:tcPr>
          <w:p w14:paraId="25667BE3" w14:textId="77777777" w:rsidR="00CF72D5" w:rsidRPr="002029AF" w:rsidRDefault="00CF72D5" w:rsidP="006D6A5D">
            <w:pPr>
              <w:pStyle w:val="ARtabletextright"/>
              <w:spacing w:before="20" w:after="20"/>
            </w:pPr>
            <w:r w:rsidRPr="002029AF">
              <w:t>3</w:t>
            </w:r>
          </w:p>
        </w:tc>
        <w:tc>
          <w:tcPr>
            <w:tcW w:w="888" w:type="dxa"/>
            <w:hideMark/>
          </w:tcPr>
          <w:p w14:paraId="67AB879B" w14:textId="77777777" w:rsidR="00CF72D5" w:rsidRPr="002029AF" w:rsidRDefault="00CF72D5" w:rsidP="006D6A5D">
            <w:pPr>
              <w:pStyle w:val="ARtabletextright"/>
              <w:spacing w:before="20" w:after="20"/>
            </w:pPr>
            <w:r w:rsidRPr="002029AF">
              <w:t>1</w:t>
            </w:r>
          </w:p>
        </w:tc>
        <w:tc>
          <w:tcPr>
            <w:tcW w:w="886" w:type="dxa"/>
            <w:hideMark/>
          </w:tcPr>
          <w:p w14:paraId="3A7E44D6" w14:textId="77777777" w:rsidR="00CF72D5" w:rsidRPr="002029AF" w:rsidRDefault="00CF72D5" w:rsidP="006D6A5D">
            <w:pPr>
              <w:pStyle w:val="ARtabletextright"/>
              <w:spacing w:before="20" w:after="20"/>
            </w:pPr>
            <w:r w:rsidRPr="002029AF">
              <w:t>3.4</w:t>
            </w:r>
          </w:p>
        </w:tc>
        <w:tc>
          <w:tcPr>
            <w:tcW w:w="897" w:type="dxa"/>
            <w:hideMark/>
          </w:tcPr>
          <w:p w14:paraId="1923A56E" w14:textId="77777777" w:rsidR="00CF72D5" w:rsidRPr="002029AF" w:rsidRDefault="00CF72D5" w:rsidP="006D6A5D">
            <w:pPr>
              <w:pStyle w:val="ARtabletextright"/>
              <w:spacing w:before="20" w:after="20"/>
            </w:pPr>
            <w:r w:rsidRPr="002029AF">
              <w:t>2</w:t>
            </w:r>
          </w:p>
        </w:tc>
        <w:tc>
          <w:tcPr>
            <w:tcW w:w="886" w:type="dxa"/>
            <w:hideMark/>
          </w:tcPr>
          <w:p w14:paraId="078E1EB8" w14:textId="77777777" w:rsidR="00CF72D5" w:rsidRPr="002029AF" w:rsidRDefault="00CF72D5" w:rsidP="006D6A5D">
            <w:pPr>
              <w:pStyle w:val="ARtabletextright"/>
              <w:spacing w:before="20" w:after="20"/>
            </w:pPr>
            <w:r w:rsidRPr="002029AF">
              <w:t>2</w:t>
            </w:r>
          </w:p>
        </w:tc>
        <w:tc>
          <w:tcPr>
            <w:tcW w:w="897" w:type="dxa"/>
            <w:hideMark/>
          </w:tcPr>
          <w:p w14:paraId="723D1D55" w14:textId="77777777" w:rsidR="00CF72D5" w:rsidRPr="002029AF" w:rsidRDefault="00CF72D5" w:rsidP="006D6A5D">
            <w:pPr>
              <w:pStyle w:val="ARtabletextright"/>
              <w:spacing w:before="20" w:after="20"/>
            </w:pPr>
            <w:r w:rsidRPr="002029AF">
              <w:t>4</w:t>
            </w:r>
          </w:p>
        </w:tc>
        <w:tc>
          <w:tcPr>
            <w:tcW w:w="885" w:type="dxa"/>
            <w:hideMark/>
          </w:tcPr>
          <w:p w14:paraId="2D9B3154" w14:textId="77777777" w:rsidR="00CF72D5" w:rsidRPr="002029AF" w:rsidRDefault="00CF72D5" w:rsidP="006D6A5D">
            <w:pPr>
              <w:pStyle w:val="ARtabletextright"/>
              <w:spacing w:before="20" w:after="20"/>
            </w:pPr>
            <w:r w:rsidRPr="002029AF">
              <w:t>4</w:t>
            </w:r>
          </w:p>
        </w:tc>
        <w:tc>
          <w:tcPr>
            <w:tcW w:w="887" w:type="dxa"/>
            <w:hideMark/>
          </w:tcPr>
          <w:p w14:paraId="35C02946" w14:textId="77777777" w:rsidR="00CF72D5" w:rsidRPr="002029AF" w:rsidRDefault="00CF72D5" w:rsidP="006D6A5D">
            <w:pPr>
              <w:pStyle w:val="ARtabletextright"/>
              <w:spacing w:before="20" w:after="20"/>
            </w:pPr>
            <w:r w:rsidRPr="002029AF">
              <w:t>2</w:t>
            </w:r>
          </w:p>
        </w:tc>
        <w:tc>
          <w:tcPr>
            <w:tcW w:w="887" w:type="dxa"/>
            <w:hideMark/>
          </w:tcPr>
          <w:p w14:paraId="27FC4064" w14:textId="77777777" w:rsidR="00CF72D5" w:rsidRPr="002029AF" w:rsidRDefault="00CF72D5" w:rsidP="006D6A5D">
            <w:pPr>
              <w:pStyle w:val="ARtabletextright"/>
              <w:spacing w:before="20" w:after="20"/>
            </w:pPr>
            <w:r w:rsidRPr="002029AF">
              <w:t>0</w:t>
            </w:r>
          </w:p>
        </w:tc>
        <w:tc>
          <w:tcPr>
            <w:tcW w:w="884" w:type="dxa"/>
            <w:hideMark/>
          </w:tcPr>
          <w:p w14:paraId="133F0DA1" w14:textId="77777777" w:rsidR="00CF72D5" w:rsidRPr="002029AF" w:rsidRDefault="00CF72D5" w:rsidP="006D6A5D">
            <w:pPr>
              <w:pStyle w:val="ARtabletextright"/>
              <w:spacing w:before="20" w:after="20"/>
            </w:pPr>
            <w:r w:rsidRPr="002029AF">
              <w:t>2</w:t>
            </w:r>
          </w:p>
        </w:tc>
        <w:tc>
          <w:tcPr>
            <w:tcW w:w="897" w:type="dxa"/>
            <w:gridSpan w:val="2"/>
            <w:hideMark/>
          </w:tcPr>
          <w:p w14:paraId="74FA9008" w14:textId="77777777" w:rsidR="00CF72D5" w:rsidRPr="002029AF" w:rsidRDefault="00CF72D5" w:rsidP="006D6A5D">
            <w:pPr>
              <w:pStyle w:val="ARtabletextright"/>
              <w:spacing w:before="20" w:after="20"/>
            </w:pPr>
            <w:r w:rsidRPr="002029AF">
              <w:t>2</w:t>
            </w:r>
          </w:p>
        </w:tc>
        <w:tc>
          <w:tcPr>
            <w:tcW w:w="885" w:type="dxa"/>
            <w:hideMark/>
          </w:tcPr>
          <w:p w14:paraId="4B748C19" w14:textId="77777777" w:rsidR="00CF72D5" w:rsidRPr="002029AF" w:rsidRDefault="00CF72D5" w:rsidP="006D6A5D">
            <w:pPr>
              <w:pStyle w:val="ARtabletextright"/>
              <w:spacing w:before="20" w:after="20"/>
            </w:pPr>
            <w:r w:rsidRPr="002029AF">
              <w:t>2</w:t>
            </w:r>
          </w:p>
        </w:tc>
      </w:tr>
      <w:tr w:rsidR="00CF72D5" w:rsidRPr="002029AF" w14:paraId="08F03571" w14:textId="77777777" w:rsidTr="00D015AF">
        <w:trPr>
          <w:gridAfter w:val="1"/>
          <w:wAfter w:w="10" w:type="dxa"/>
          <w:cantSplit w:val="0"/>
        </w:trPr>
        <w:tc>
          <w:tcPr>
            <w:tcW w:w="2631" w:type="dxa"/>
            <w:hideMark/>
          </w:tcPr>
          <w:p w14:paraId="2803AC9C" w14:textId="32DE1951" w:rsidR="00CF72D5" w:rsidRPr="002029AF" w:rsidRDefault="00CF72D5" w:rsidP="006D6A5D">
            <w:pPr>
              <w:pStyle w:val="ARtabletext"/>
              <w:spacing w:before="20" w:after="20"/>
            </w:pPr>
            <w:r w:rsidRPr="002029AF">
              <w:t>VPS</w:t>
            </w:r>
            <w:r w:rsidR="000A5329" w:rsidRPr="002029AF">
              <w:t xml:space="preserve"> </w:t>
            </w:r>
            <w:r w:rsidRPr="002029AF">
              <w:t>4</w:t>
            </w:r>
          </w:p>
        </w:tc>
        <w:tc>
          <w:tcPr>
            <w:tcW w:w="897" w:type="dxa"/>
            <w:hideMark/>
          </w:tcPr>
          <w:p w14:paraId="3001AD5F" w14:textId="77777777" w:rsidR="00CF72D5" w:rsidRPr="002029AF" w:rsidRDefault="00CF72D5" w:rsidP="006D6A5D">
            <w:pPr>
              <w:pStyle w:val="ARtabletextright"/>
              <w:spacing w:before="20" w:after="20"/>
            </w:pPr>
            <w:r w:rsidRPr="002029AF">
              <w:t>8</w:t>
            </w:r>
          </w:p>
        </w:tc>
        <w:tc>
          <w:tcPr>
            <w:tcW w:w="885" w:type="dxa"/>
            <w:hideMark/>
          </w:tcPr>
          <w:p w14:paraId="4B64E10A" w14:textId="77777777" w:rsidR="00CF72D5" w:rsidRPr="002029AF" w:rsidRDefault="00CF72D5" w:rsidP="006D6A5D">
            <w:pPr>
              <w:pStyle w:val="ARtabletextright"/>
              <w:spacing w:before="20" w:after="20"/>
            </w:pPr>
            <w:r w:rsidRPr="002029AF">
              <w:t>7</w:t>
            </w:r>
          </w:p>
        </w:tc>
        <w:tc>
          <w:tcPr>
            <w:tcW w:w="887" w:type="dxa"/>
            <w:hideMark/>
          </w:tcPr>
          <w:p w14:paraId="781A1A11" w14:textId="77777777" w:rsidR="00CF72D5" w:rsidRPr="002029AF" w:rsidRDefault="00CF72D5" w:rsidP="006D6A5D">
            <w:pPr>
              <w:pStyle w:val="ARtabletextright"/>
              <w:spacing w:before="20" w:after="20"/>
            </w:pPr>
            <w:r w:rsidRPr="002029AF">
              <w:t>5</w:t>
            </w:r>
          </w:p>
        </w:tc>
        <w:tc>
          <w:tcPr>
            <w:tcW w:w="888" w:type="dxa"/>
            <w:hideMark/>
          </w:tcPr>
          <w:p w14:paraId="1C66EB6C" w14:textId="77777777" w:rsidR="00CF72D5" w:rsidRPr="002029AF" w:rsidRDefault="00CF72D5" w:rsidP="006D6A5D">
            <w:pPr>
              <w:pStyle w:val="ARtabletextright"/>
              <w:spacing w:before="20" w:after="20"/>
            </w:pPr>
            <w:r w:rsidRPr="002029AF">
              <w:t>3</w:t>
            </w:r>
          </w:p>
        </w:tc>
        <w:tc>
          <w:tcPr>
            <w:tcW w:w="886" w:type="dxa"/>
            <w:hideMark/>
          </w:tcPr>
          <w:p w14:paraId="336261C8" w14:textId="77777777" w:rsidR="00CF72D5" w:rsidRPr="002029AF" w:rsidRDefault="00CF72D5" w:rsidP="006D6A5D">
            <w:pPr>
              <w:pStyle w:val="ARtabletextright"/>
              <w:spacing w:before="20" w:after="20"/>
            </w:pPr>
            <w:r w:rsidRPr="002029AF">
              <w:t>7</w:t>
            </w:r>
          </w:p>
        </w:tc>
        <w:tc>
          <w:tcPr>
            <w:tcW w:w="897" w:type="dxa"/>
            <w:hideMark/>
          </w:tcPr>
          <w:p w14:paraId="604DFD70" w14:textId="77777777" w:rsidR="00CF72D5" w:rsidRPr="002029AF" w:rsidRDefault="00CF72D5" w:rsidP="006D6A5D">
            <w:pPr>
              <w:pStyle w:val="ARtabletextright"/>
              <w:spacing w:before="20" w:after="20"/>
            </w:pPr>
            <w:r w:rsidRPr="002029AF">
              <w:t>0</w:t>
            </w:r>
          </w:p>
        </w:tc>
        <w:tc>
          <w:tcPr>
            <w:tcW w:w="886" w:type="dxa"/>
            <w:hideMark/>
          </w:tcPr>
          <w:p w14:paraId="2B008BFA" w14:textId="77777777" w:rsidR="00CF72D5" w:rsidRPr="002029AF" w:rsidRDefault="00CF72D5" w:rsidP="006D6A5D">
            <w:pPr>
              <w:pStyle w:val="ARtabletextright"/>
              <w:spacing w:before="20" w:after="20"/>
            </w:pPr>
            <w:r w:rsidRPr="002029AF">
              <w:t>0</w:t>
            </w:r>
          </w:p>
        </w:tc>
        <w:tc>
          <w:tcPr>
            <w:tcW w:w="897" w:type="dxa"/>
            <w:hideMark/>
          </w:tcPr>
          <w:p w14:paraId="4F06CAF0" w14:textId="77777777" w:rsidR="00CF72D5" w:rsidRPr="002029AF" w:rsidRDefault="00CF72D5" w:rsidP="006D6A5D">
            <w:pPr>
              <w:pStyle w:val="ARtabletextright"/>
              <w:spacing w:before="20" w:after="20"/>
            </w:pPr>
            <w:r w:rsidRPr="002029AF">
              <w:t>8</w:t>
            </w:r>
          </w:p>
        </w:tc>
        <w:tc>
          <w:tcPr>
            <w:tcW w:w="885" w:type="dxa"/>
            <w:hideMark/>
          </w:tcPr>
          <w:p w14:paraId="52A44037" w14:textId="77777777" w:rsidR="00CF72D5" w:rsidRPr="002029AF" w:rsidRDefault="00CF72D5" w:rsidP="006D6A5D">
            <w:pPr>
              <w:pStyle w:val="ARtabletextright"/>
              <w:spacing w:before="20" w:after="20"/>
            </w:pPr>
            <w:r w:rsidRPr="002029AF">
              <w:t>7.4</w:t>
            </w:r>
          </w:p>
        </w:tc>
        <w:tc>
          <w:tcPr>
            <w:tcW w:w="887" w:type="dxa"/>
            <w:hideMark/>
          </w:tcPr>
          <w:p w14:paraId="02404E75" w14:textId="77777777" w:rsidR="00CF72D5" w:rsidRPr="002029AF" w:rsidRDefault="00CF72D5" w:rsidP="006D6A5D">
            <w:pPr>
              <w:pStyle w:val="ARtabletextright"/>
              <w:spacing w:before="20" w:after="20"/>
            </w:pPr>
            <w:r w:rsidRPr="002029AF">
              <w:t>6</w:t>
            </w:r>
          </w:p>
        </w:tc>
        <w:tc>
          <w:tcPr>
            <w:tcW w:w="887" w:type="dxa"/>
            <w:hideMark/>
          </w:tcPr>
          <w:p w14:paraId="780E9520" w14:textId="77777777" w:rsidR="00CF72D5" w:rsidRPr="002029AF" w:rsidRDefault="00CF72D5" w:rsidP="006D6A5D">
            <w:pPr>
              <w:pStyle w:val="ARtabletextright"/>
              <w:spacing w:before="20" w:after="20"/>
            </w:pPr>
            <w:r w:rsidRPr="002029AF">
              <w:t>2</w:t>
            </w:r>
          </w:p>
        </w:tc>
        <w:tc>
          <w:tcPr>
            <w:tcW w:w="884" w:type="dxa"/>
            <w:hideMark/>
          </w:tcPr>
          <w:p w14:paraId="627BD66D" w14:textId="77777777" w:rsidR="00CF72D5" w:rsidRPr="002029AF" w:rsidRDefault="00CF72D5" w:rsidP="006D6A5D">
            <w:pPr>
              <w:pStyle w:val="ARtabletextright"/>
              <w:spacing w:before="20" w:after="20"/>
            </w:pPr>
            <w:r w:rsidRPr="002029AF">
              <w:t>7.4</w:t>
            </w:r>
          </w:p>
        </w:tc>
        <w:tc>
          <w:tcPr>
            <w:tcW w:w="897" w:type="dxa"/>
            <w:gridSpan w:val="2"/>
            <w:hideMark/>
          </w:tcPr>
          <w:p w14:paraId="43DDF06F" w14:textId="77777777" w:rsidR="00CF72D5" w:rsidRPr="002029AF" w:rsidRDefault="00CF72D5" w:rsidP="006D6A5D">
            <w:pPr>
              <w:pStyle w:val="ARtabletextright"/>
              <w:spacing w:before="20" w:after="20"/>
            </w:pPr>
            <w:r w:rsidRPr="002029AF">
              <w:t>0</w:t>
            </w:r>
          </w:p>
        </w:tc>
        <w:tc>
          <w:tcPr>
            <w:tcW w:w="885" w:type="dxa"/>
            <w:hideMark/>
          </w:tcPr>
          <w:p w14:paraId="345DAE30" w14:textId="77777777" w:rsidR="00CF72D5" w:rsidRPr="002029AF" w:rsidRDefault="00CF72D5" w:rsidP="006D6A5D">
            <w:pPr>
              <w:pStyle w:val="ARtabletextright"/>
              <w:spacing w:before="20" w:after="20"/>
            </w:pPr>
            <w:r w:rsidRPr="002029AF">
              <w:t>0</w:t>
            </w:r>
          </w:p>
        </w:tc>
      </w:tr>
      <w:tr w:rsidR="00CF72D5" w:rsidRPr="002029AF" w14:paraId="438D2B89" w14:textId="77777777" w:rsidTr="00D015AF">
        <w:trPr>
          <w:gridAfter w:val="1"/>
          <w:wAfter w:w="10" w:type="dxa"/>
          <w:cantSplit w:val="0"/>
        </w:trPr>
        <w:tc>
          <w:tcPr>
            <w:tcW w:w="2631" w:type="dxa"/>
            <w:hideMark/>
          </w:tcPr>
          <w:p w14:paraId="023EE6E7" w14:textId="38BD8A4E" w:rsidR="00CF72D5" w:rsidRPr="002029AF" w:rsidRDefault="00CF72D5" w:rsidP="006D6A5D">
            <w:pPr>
              <w:pStyle w:val="ARtabletext"/>
              <w:spacing w:before="20" w:after="20"/>
            </w:pPr>
            <w:r w:rsidRPr="002029AF">
              <w:t>VPS</w:t>
            </w:r>
            <w:r w:rsidR="000A5329" w:rsidRPr="002029AF">
              <w:t xml:space="preserve"> </w:t>
            </w:r>
            <w:r w:rsidRPr="002029AF">
              <w:t>5</w:t>
            </w:r>
          </w:p>
        </w:tc>
        <w:tc>
          <w:tcPr>
            <w:tcW w:w="897" w:type="dxa"/>
            <w:hideMark/>
          </w:tcPr>
          <w:p w14:paraId="422CDDE5" w14:textId="77777777" w:rsidR="00CF72D5" w:rsidRPr="002029AF" w:rsidRDefault="00CF72D5" w:rsidP="006D6A5D">
            <w:pPr>
              <w:pStyle w:val="ARtabletextright"/>
              <w:spacing w:before="20" w:after="20"/>
            </w:pPr>
            <w:r w:rsidRPr="002029AF">
              <w:t>33</w:t>
            </w:r>
          </w:p>
        </w:tc>
        <w:tc>
          <w:tcPr>
            <w:tcW w:w="885" w:type="dxa"/>
            <w:hideMark/>
          </w:tcPr>
          <w:p w14:paraId="4E4979F4" w14:textId="77777777" w:rsidR="00CF72D5" w:rsidRPr="002029AF" w:rsidRDefault="00CF72D5" w:rsidP="006D6A5D">
            <w:pPr>
              <w:pStyle w:val="ARtabletextright"/>
              <w:spacing w:before="20" w:after="20"/>
            </w:pPr>
            <w:r w:rsidRPr="002029AF">
              <w:t>32.2</w:t>
            </w:r>
          </w:p>
        </w:tc>
        <w:tc>
          <w:tcPr>
            <w:tcW w:w="887" w:type="dxa"/>
            <w:hideMark/>
          </w:tcPr>
          <w:p w14:paraId="73D8555D" w14:textId="77777777" w:rsidR="00CF72D5" w:rsidRPr="002029AF" w:rsidRDefault="00CF72D5" w:rsidP="006D6A5D">
            <w:pPr>
              <w:pStyle w:val="ARtabletextright"/>
              <w:spacing w:before="20" w:after="20"/>
            </w:pPr>
            <w:r w:rsidRPr="002029AF">
              <w:t>22</w:t>
            </w:r>
          </w:p>
        </w:tc>
        <w:tc>
          <w:tcPr>
            <w:tcW w:w="888" w:type="dxa"/>
            <w:hideMark/>
          </w:tcPr>
          <w:p w14:paraId="4D4FB4D0" w14:textId="77777777" w:rsidR="00CF72D5" w:rsidRPr="002029AF" w:rsidRDefault="00CF72D5" w:rsidP="006D6A5D">
            <w:pPr>
              <w:pStyle w:val="ARtabletextright"/>
              <w:spacing w:before="20" w:after="20"/>
            </w:pPr>
            <w:r w:rsidRPr="002029AF">
              <w:t>2</w:t>
            </w:r>
          </w:p>
        </w:tc>
        <w:tc>
          <w:tcPr>
            <w:tcW w:w="886" w:type="dxa"/>
            <w:hideMark/>
          </w:tcPr>
          <w:p w14:paraId="05D87C4A" w14:textId="77777777" w:rsidR="00CF72D5" w:rsidRPr="002029AF" w:rsidRDefault="00CF72D5" w:rsidP="006D6A5D">
            <w:pPr>
              <w:pStyle w:val="ARtabletextright"/>
              <w:spacing w:before="20" w:after="20"/>
            </w:pPr>
            <w:r w:rsidRPr="002029AF">
              <w:t>23.4</w:t>
            </w:r>
          </w:p>
        </w:tc>
        <w:tc>
          <w:tcPr>
            <w:tcW w:w="897" w:type="dxa"/>
            <w:hideMark/>
          </w:tcPr>
          <w:p w14:paraId="5D24C580" w14:textId="77777777" w:rsidR="00CF72D5" w:rsidRPr="002029AF" w:rsidRDefault="00CF72D5" w:rsidP="006D6A5D">
            <w:pPr>
              <w:pStyle w:val="ARtabletextright"/>
              <w:spacing w:before="20" w:after="20"/>
            </w:pPr>
            <w:r w:rsidRPr="002029AF">
              <w:t>9</w:t>
            </w:r>
          </w:p>
        </w:tc>
        <w:tc>
          <w:tcPr>
            <w:tcW w:w="886" w:type="dxa"/>
            <w:hideMark/>
          </w:tcPr>
          <w:p w14:paraId="66B99631" w14:textId="77777777" w:rsidR="00CF72D5" w:rsidRPr="002029AF" w:rsidRDefault="00CF72D5" w:rsidP="006D6A5D">
            <w:pPr>
              <w:pStyle w:val="ARtabletextright"/>
              <w:spacing w:before="20" w:after="20"/>
            </w:pPr>
            <w:r w:rsidRPr="002029AF">
              <w:t>8.8</w:t>
            </w:r>
          </w:p>
        </w:tc>
        <w:tc>
          <w:tcPr>
            <w:tcW w:w="897" w:type="dxa"/>
            <w:hideMark/>
          </w:tcPr>
          <w:p w14:paraId="78C3B5B5" w14:textId="77777777" w:rsidR="00CF72D5" w:rsidRPr="002029AF" w:rsidRDefault="00CF72D5" w:rsidP="006D6A5D">
            <w:pPr>
              <w:pStyle w:val="ARtabletextright"/>
              <w:spacing w:before="20" w:after="20"/>
            </w:pPr>
            <w:r w:rsidRPr="002029AF">
              <w:t>30</w:t>
            </w:r>
          </w:p>
        </w:tc>
        <w:tc>
          <w:tcPr>
            <w:tcW w:w="885" w:type="dxa"/>
            <w:hideMark/>
          </w:tcPr>
          <w:p w14:paraId="071ECDC7" w14:textId="77777777" w:rsidR="00CF72D5" w:rsidRPr="002029AF" w:rsidRDefault="00CF72D5" w:rsidP="006D6A5D">
            <w:pPr>
              <w:pStyle w:val="ARtabletextright"/>
              <w:spacing w:before="20" w:after="20"/>
            </w:pPr>
            <w:r w:rsidRPr="002029AF">
              <w:t>28.3</w:t>
            </w:r>
          </w:p>
        </w:tc>
        <w:tc>
          <w:tcPr>
            <w:tcW w:w="887" w:type="dxa"/>
            <w:hideMark/>
          </w:tcPr>
          <w:p w14:paraId="43C909DC" w14:textId="77777777" w:rsidR="00CF72D5" w:rsidRPr="002029AF" w:rsidRDefault="00CF72D5" w:rsidP="006D6A5D">
            <w:pPr>
              <w:pStyle w:val="ARtabletextright"/>
              <w:spacing w:before="20" w:after="20"/>
            </w:pPr>
            <w:r w:rsidRPr="002029AF">
              <w:t>23</w:t>
            </w:r>
          </w:p>
        </w:tc>
        <w:tc>
          <w:tcPr>
            <w:tcW w:w="887" w:type="dxa"/>
            <w:hideMark/>
          </w:tcPr>
          <w:p w14:paraId="128C0A1A" w14:textId="77777777" w:rsidR="00CF72D5" w:rsidRPr="002029AF" w:rsidRDefault="00CF72D5" w:rsidP="006D6A5D">
            <w:pPr>
              <w:pStyle w:val="ARtabletextright"/>
              <w:spacing w:before="20" w:after="20"/>
            </w:pPr>
            <w:r w:rsidRPr="002029AF">
              <w:t>3</w:t>
            </w:r>
          </w:p>
        </w:tc>
        <w:tc>
          <w:tcPr>
            <w:tcW w:w="884" w:type="dxa"/>
            <w:hideMark/>
          </w:tcPr>
          <w:p w14:paraId="216C3E5F" w14:textId="77777777" w:rsidR="00CF72D5" w:rsidRPr="002029AF" w:rsidRDefault="00CF72D5" w:rsidP="006D6A5D">
            <w:pPr>
              <w:pStyle w:val="ARtabletextright"/>
              <w:spacing w:before="20" w:after="20"/>
            </w:pPr>
            <w:r w:rsidRPr="002029AF">
              <w:t>24.9</w:t>
            </w:r>
          </w:p>
        </w:tc>
        <w:tc>
          <w:tcPr>
            <w:tcW w:w="897" w:type="dxa"/>
            <w:gridSpan w:val="2"/>
            <w:hideMark/>
          </w:tcPr>
          <w:p w14:paraId="50A17B75" w14:textId="77777777" w:rsidR="00CF72D5" w:rsidRPr="002029AF" w:rsidRDefault="00CF72D5" w:rsidP="006D6A5D">
            <w:pPr>
              <w:pStyle w:val="ARtabletextright"/>
              <w:spacing w:before="20" w:after="20"/>
            </w:pPr>
            <w:r w:rsidRPr="002029AF">
              <w:t>4</w:t>
            </w:r>
          </w:p>
        </w:tc>
        <w:tc>
          <w:tcPr>
            <w:tcW w:w="885" w:type="dxa"/>
            <w:hideMark/>
          </w:tcPr>
          <w:p w14:paraId="5E0A1324" w14:textId="77777777" w:rsidR="00CF72D5" w:rsidRPr="002029AF" w:rsidRDefault="00CF72D5" w:rsidP="006D6A5D">
            <w:pPr>
              <w:pStyle w:val="ARtabletextright"/>
              <w:spacing w:before="20" w:after="20"/>
            </w:pPr>
            <w:r w:rsidRPr="002029AF">
              <w:t>3.4</w:t>
            </w:r>
          </w:p>
        </w:tc>
      </w:tr>
      <w:tr w:rsidR="00CF72D5" w:rsidRPr="002029AF" w14:paraId="31C5B091" w14:textId="77777777" w:rsidTr="00D015AF">
        <w:trPr>
          <w:gridAfter w:val="1"/>
          <w:wAfter w:w="10" w:type="dxa"/>
          <w:cantSplit w:val="0"/>
        </w:trPr>
        <w:tc>
          <w:tcPr>
            <w:tcW w:w="2631" w:type="dxa"/>
            <w:hideMark/>
          </w:tcPr>
          <w:p w14:paraId="19CC1059" w14:textId="0AB9BA2D" w:rsidR="00CF72D5" w:rsidRPr="002029AF" w:rsidRDefault="00CF72D5" w:rsidP="006D6A5D">
            <w:pPr>
              <w:pStyle w:val="ARtabletext"/>
              <w:spacing w:before="20" w:after="20"/>
            </w:pPr>
            <w:r w:rsidRPr="002029AF">
              <w:t>VPS</w:t>
            </w:r>
            <w:r w:rsidR="000A5329" w:rsidRPr="002029AF">
              <w:t xml:space="preserve"> </w:t>
            </w:r>
            <w:r w:rsidRPr="002029AF">
              <w:t>6</w:t>
            </w:r>
          </w:p>
        </w:tc>
        <w:tc>
          <w:tcPr>
            <w:tcW w:w="897" w:type="dxa"/>
            <w:hideMark/>
          </w:tcPr>
          <w:p w14:paraId="449BD72F" w14:textId="77777777" w:rsidR="00CF72D5" w:rsidRPr="002029AF" w:rsidRDefault="00CF72D5" w:rsidP="006D6A5D">
            <w:pPr>
              <w:pStyle w:val="ARtabletextright"/>
              <w:spacing w:before="20" w:after="20"/>
            </w:pPr>
            <w:r w:rsidRPr="002029AF">
              <w:t>29</w:t>
            </w:r>
          </w:p>
        </w:tc>
        <w:tc>
          <w:tcPr>
            <w:tcW w:w="885" w:type="dxa"/>
            <w:hideMark/>
          </w:tcPr>
          <w:p w14:paraId="299B1066" w14:textId="77777777" w:rsidR="00CF72D5" w:rsidRPr="002029AF" w:rsidRDefault="00CF72D5" w:rsidP="006D6A5D">
            <w:pPr>
              <w:pStyle w:val="ARtabletextright"/>
              <w:spacing w:before="20" w:after="20"/>
            </w:pPr>
            <w:r w:rsidRPr="002029AF">
              <w:t>28.3</w:t>
            </w:r>
          </w:p>
        </w:tc>
        <w:tc>
          <w:tcPr>
            <w:tcW w:w="887" w:type="dxa"/>
            <w:hideMark/>
          </w:tcPr>
          <w:p w14:paraId="3CD0E93A" w14:textId="77777777" w:rsidR="00CF72D5" w:rsidRPr="002029AF" w:rsidRDefault="00CF72D5" w:rsidP="006D6A5D">
            <w:pPr>
              <w:pStyle w:val="ARtabletextright"/>
              <w:spacing w:before="20" w:after="20"/>
            </w:pPr>
            <w:r w:rsidRPr="002029AF">
              <w:t>20</w:t>
            </w:r>
          </w:p>
        </w:tc>
        <w:tc>
          <w:tcPr>
            <w:tcW w:w="888" w:type="dxa"/>
            <w:hideMark/>
          </w:tcPr>
          <w:p w14:paraId="35903D8C" w14:textId="77777777" w:rsidR="00CF72D5" w:rsidRPr="002029AF" w:rsidRDefault="00CF72D5" w:rsidP="006D6A5D">
            <w:pPr>
              <w:pStyle w:val="ARtabletextright"/>
              <w:spacing w:before="20" w:after="20"/>
            </w:pPr>
            <w:r w:rsidRPr="002029AF">
              <w:t>3</w:t>
            </w:r>
          </w:p>
        </w:tc>
        <w:tc>
          <w:tcPr>
            <w:tcW w:w="886" w:type="dxa"/>
            <w:hideMark/>
          </w:tcPr>
          <w:p w14:paraId="7995F7C7" w14:textId="77777777" w:rsidR="00CF72D5" w:rsidRPr="002029AF" w:rsidRDefault="00CF72D5" w:rsidP="006D6A5D">
            <w:pPr>
              <w:pStyle w:val="ARtabletextright"/>
              <w:spacing w:before="20" w:after="20"/>
            </w:pPr>
            <w:r w:rsidRPr="002029AF">
              <w:t>22.5</w:t>
            </w:r>
          </w:p>
        </w:tc>
        <w:tc>
          <w:tcPr>
            <w:tcW w:w="897" w:type="dxa"/>
            <w:hideMark/>
          </w:tcPr>
          <w:p w14:paraId="094F77EB" w14:textId="77777777" w:rsidR="00CF72D5" w:rsidRPr="002029AF" w:rsidRDefault="00CF72D5" w:rsidP="006D6A5D">
            <w:pPr>
              <w:pStyle w:val="ARtabletextright"/>
              <w:spacing w:before="20" w:after="20"/>
            </w:pPr>
            <w:r w:rsidRPr="002029AF">
              <w:t>6</w:t>
            </w:r>
          </w:p>
        </w:tc>
        <w:tc>
          <w:tcPr>
            <w:tcW w:w="886" w:type="dxa"/>
            <w:hideMark/>
          </w:tcPr>
          <w:p w14:paraId="48B83821" w14:textId="77777777" w:rsidR="00CF72D5" w:rsidRPr="002029AF" w:rsidRDefault="00CF72D5" w:rsidP="006D6A5D">
            <w:pPr>
              <w:pStyle w:val="ARtabletextright"/>
              <w:spacing w:before="20" w:after="20"/>
            </w:pPr>
            <w:r w:rsidRPr="002029AF">
              <w:t>5.8</w:t>
            </w:r>
          </w:p>
        </w:tc>
        <w:tc>
          <w:tcPr>
            <w:tcW w:w="897" w:type="dxa"/>
            <w:hideMark/>
          </w:tcPr>
          <w:p w14:paraId="5E4E27F2" w14:textId="77777777" w:rsidR="00CF72D5" w:rsidRPr="002029AF" w:rsidRDefault="00CF72D5" w:rsidP="006D6A5D">
            <w:pPr>
              <w:pStyle w:val="ARtabletextright"/>
              <w:spacing w:before="20" w:after="20"/>
            </w:pPr>
            <w:r w:rsidRPr="002029AF">
              <w:t>23</w:t>
            </w:r>
          </w:p>
        </w:tc>
        <w:tc>
          <w:tcPr>
            <w:tcW w:w="885" w:type="dxa"/>
            <w:hideMark/>
          </w:tcPr>
          <w:p w14:paraId="775F6692" w14:textId="77777777" w:rsidR="00CF72D5" w:rsidRPr="002029AF" w:rsidRDefault="00CF72D5" w:rsidP="006D6A5D">
            <w:pPr>
              <w:pStyle w:val="ARtabletextright"/>
              <w:spacing w:before="20" w:after="20"/>
            </w:pPr>
            <w:r w:rsidRPr="002029AF">
              <w:t>22.5</w:t>
            </w:r>
          </w:p>
        </w:tc>
        <w:tc>
          <w:tcPr>
            <w:tcW w:w="887" w:type="dxa"/>
            <w:hideMark/>
          </w:tcPr>
          <w:p w14:paraId="21EEF251" w14:textId="77777777" w:rsidR="00CF72D5" w:rsidRPr="002029AF" w:rsidRDefault="00CF72D5" w:rsidP="006D6A5D">
            <w:pPr>
              <w:pStyle w:val="ARtabletextright"/>
              <w:spacing w:before="20" w:after="20"/>
            </w:pPr>
            <w:r w:rsidRPr="002029AF">
              <w:t>17</w:t>
            </w:r>
          </w:p>
        </w:tc>
        <w:tc>
          <w:tcPr>
            <w:tcW w:w="887" w:type="dxa"/>
            <w:hideMark/>
          </w:tcPr>
          <w:p w14:paraId="66D2C9E4" w14:textId="77777777" w:rsidR="00CF72D5" w:rsidRPr="002029AF" w:rsidRDefault="00CF72D5" w:rsidP="006D6A5D">
            <w:pPr>
              <w:pStyle w:val="ARtabletextright"/>
              <w:spacing w:before="20" w:after="20"/>
            </w:pPr>
            <w:r w:rsidRPr="002029AF">
              <w:t>2</w:t>
            </w:r>
          </w:p>
        </w:tc>
        <w:tc>
          <w:tcPr>
            <w:tcW w:w="884" w:type="dxa"/>
            <w:hideMark/>
          </w:tcPr>
          <w:p w14:paraId="3F982012" w14:textId="77777777" w:rsidR="00CF72D5" w:rsidRPr="002029AF" w:rsidRDefault="00CF72D5" w:rsidP="006D6A5D">
            <w:pPr>
              <w:pStyle w:val="ARtabletextright"/>
              <w:spacing w:before="20" w:after="20"/>
            </w:pPr>
            <w:r w:rsidRPr="002029AF">
              <w:t>18.5</w:t>
            </w:r>
          </w:p>
        </w:tc>
        <w:tc>
          <w:tcPr>
            <w:tcW w:w="897" w:type="dxa"/>
            <w:gridSpan w:val="2"/>
            <w:hideMark/>
          </w:tcPr>
          <w:p w14:paraId="4A133020" w14:textId="77777777" w:rsidR="00CF72D5" w:rsidRPr="002029AF" w:rsidRDefault="00CF72D5" w:rsidP="006D6A5D">
            <w:pPr>
              <w:pStyle w:val="ARtabletextright"/>
              <w:spacing w:before="20" w:after="20"/>
            </w:pPr>
            <w:r w:rsidRPr="002029AF">
              <w:t>4</w:t>
            </w:r>
          </w:p>
        </w:tc>
        <w:tc>
          <w:tcPr>
            <w:tcW w:w="885" w:type="dxa"/>
            <w:hideMark/>
          </w:tcPr>
          <w:p w14:paraId="5D2A1071" w14:textId="77777777" w:rsidR="00CF72D5" w:rsidRPr="002029AF" w:rsidRDefault="00CF72D5" w:rsidP="006D6A5D">
            <w:pPr>
              <w:pStyle w:val="ARtabletextright"/>
              <w:spacing w:before="20" w:after="20"/>
            </w:pPr>
            <w:r w:rsidRPr="002029AF">
              <w:t>4</w:t>
            </w:r>
          </w:p>
        </w:tc>
      </w:tr>
      <w:tr w:rsidR="00CF72D5" w:rsidRPr="002029AF" w14:paraId="0DF37359" w14:textId="77777777" w:rsidTr="00D015AF">
        <w:trPr>
          <w:gridAfter w:val="1"/>
          <w:wAfter w:w="10" w:type="dxa"/>
          <w:cantSplit w:val="0"/>
        </w:trPr>
        <w:tc>
          <w:tcPr>
            <w:tcW w:w="2631" w:type="dxa"/>
            <w:hideMark/>
          </w:tcPr>
          <w:p w14:paraId="08138BA3" w14:textId="66337B07" w:rsidR="00CF72D5" w:rsidRPr="002029AF" w:rsidRDefault="00A763C6" w:rsidP="006D6A5D">
            <w:pPr>
              <w:pStyle w:val="ARtabletext"/>
              <w:spacing w:before="20" w:after="20"/>
            </w:pPr>
            <w:r w:rsidRPr="002029AF">
              <w:t>STS</w:t>
            </w:r>
          </w:p>
        </w:tc>
        <w:tc>
          <w:tcPr>
            <w:tcW w:w="897" w:type="dxa"/>
            <w:hideMark/>
          </w:tcPr>
          <w:p w14:paraId="70E0A156" w14:textId="77777777" w:rsidR="00CF72D5" w:rsidRPr="002029AF" w:rsidRDefault="00CF72D5" w:rsidP="006D6A5D">
            <w:pPr>
              <w:pStyle w:val="ARtabletextright"/>
              <w:spacing w:before="20" w:after="20"/>
            </w:pPr>
            <w:r w:rsidRPr="002029AF">
              <w:t>2</w:t>
            </w:r>
          </w:p>
        </w:tc>
        <w:tc>
          <w:tcPr>
            <w:tcW w:w="885" w:type="dxa"/>
            <w:hideMark/>
          </w:tcPr>
          <w:p w14:paraId="749A5820" w14:textId="77777777" w:rsidR="00CF72D5" w:rsidRPr="002029AF" w:rsidRDefault="00CF72D5" w:rsidP="006D6A5D">
            <w:pPr>
              <w:pStyle w:val="ARtabletextright"/>
              <w:spacing w:before="20" w:after="20"/>
            </w:pPr>
            <w:r w:rsidRPr="002029AF">
              <w:t>2</w:t>
            </w:r>
          </w:p>
        </w:tc>
        <w:tc>
          <w:tcPr>
            <w:tcW w:w="887" w:type="dxa"/>
            <w:hideMark/>
          </w:tcPr>
          <w:p w14:paraId="6033B570" w14:textId="77777777" w:rsidR="00CF72D5" w:rsidRPr="002029AF" w:rsidRDefault="00CF72D5" w:rsidP="006D6A5D">
            <w:pPr>
              <w:pStyle w:val="ARtabletextright"/>
              <w:spacing w:before="20" w:after="20"/>
            </w:pPr>
            <w:r w:rsidRPr="002029AF">
              <w:t>2</w:t>
            </w:r>
          </w:p>
        </w:tc>
        <w:tc>
          <w:tcPr>
            <w:tcW w:w="888" w:type="dxa"/>
            <w:hideMark/>
          </w:tcPr>
          <w:p w14:paraId="3AC48698" w14:textId="77777777" w:rsidR="00CF72D5" w:rsidRPr="002029AF" w:rsidRDefault="00CF72D5" w:rsidP="006D6A5D">
            <w:pPr>
              <w:pStyle w:val="ARtabletextright"/>
              <w:spacing w:before="20" w:after="20"/>
            </w:pPr>
            <w:r w:rsidRPr="002029AF">
              <w:t>0</w:t>
            </w:r>
          </w:p>
        </w:tc>
        <w:tc>
          <w:tcPr>
            <w:tcW w:w="886" w:type="dxa"/>
            <w:hideMark/>
          </w:tcPr>
          <w:p w14:paraId="206C4731" w14:textId="77777777" w:rsidR="00CF72D5" w:rsidRPr="002029AF" w:rsidRDefault="00CF72D5" w:rsidP="006D6A5D">
            <w:pPr>
              <w:pStyle w:val="ARtabletextright"/>
              <w:spacing w:before="20" w:after="20"/>
            </w:pPr>
            <w:r w:rsidRPr="002029AF">
              <w:t>2</w:t>
            </w:r>
          </w:p>
        </w:tc>
        <w:tc>
          <w:tcPr>
            <w:tcW w:w="897" w:type="dxa"/>
            <w:hideMark/>
          </w:tcPr>
          <w:p w14:paraId="74F3F1B3" w14:textId="77777777" w:rsidR="00CF72D5" w:rsidRPr="002029AF" w:rsidRDefault="00CF72D5" w:rsidP="006D6A5D">
            <w:pPr>
              <w:pStyle w:val="ARtabletextright"/>
              <w:spacing w:before="20" w:after="20"/>
            </w:pPr>
            <w:r w:rsidRPr="002029AF">
              <w:t>0</w:t>
            </w:r>
          </w:p>
        </w:tc>
        <w:tc>
          <w:tcPr>
            <w:tcW w:w="886" w:type="dxa"/>
            <w:hideMark/>
          </w:tcPr>
          <w:p w14:paraId="4D8C4422" w14:textId="77777777" w:rsidR="00CF72D5" w:rsidRPr="002029AF" w:rsidRDefault="00CF72D5" w:rsidP="006D6A5D">
            <w:pPr>
              <w:pStyle w:val="ARtabletextright"/>
              <w:spacing w:before="20" w:after="20"/>
            </w:pPr>
            <w:r w:rsidRPr="002029AF">
              <w:t>0</w:t>
            </w:r>
          </w:p>
        </w:tc>
        <w:tc>
          <w:tcPr>
            <w:tcW w:w="897" w:type="dxa"/>
            <w:hideMark/>
          </w:tcPr>
          <w:p w14:paraId="191E999B" w14:textId="77777777" w:rsidR="00CF72D5" w:rsidRPr="002029AF" w:rsidRDefault="00CF72D5" w:rsidP="006D6A5D">
            <w:pPr>
              <w:pStyle w:val="ARtabletextright"/>
              <w:spacing w:before="20" w:after="20"/>
            </w:pPr>
            <w:r w:rsidRPr="002029AF">
              <w:t>2</w:t>
            </w:r>
          </w:p>
        </w:tc>
        <w:tc>
          <w:tcPr>
            <w:tcW w:w="885" w:type="dxa"/>
            <w:hideMark/>
          </w:tcPr>
          <w:p w14:paraId="45F78D33" w14:textId="77777777" w:rsidR="00CF72D5" w:rsidRPr="002029AF" w:rsidRDefault="00CF72D5" w:rsidP="006D6A5D">
            <w:pPr>
              <w:pStyle w:val="ARtabletextright"/>
              <w:spacing w:before="20" w:after="20"/>
            </w:pPr>
            <w:r w:rsidRPr="002029AF">
              <w:t>2</w:t>
            </w:r>
          </w:p>
        </w:tc>
        <w:tc>
          <w:tcPr>
            <w:tcW w:w="887" w:type="dxa"/>
            <w:hideMark/>
          </w:tcPr>
          <w:p w14:paraId="44F0B8B7" w14:textId="77777777" w:rsidR="00CF72D5" w:rsidRPr="002029AF" w:rsidRDefault="00CF72D5" w:rsidP="006D6A5D">
            <w:pPr>
              <w:pStyle w:val="ARtabletextright"/>
              <w:spacing w:before="20" w:after="20"/>
            </w:pPr>
            <w:r w:rsidRPr="002029AF">
              <w:t>2</w:t>
            </w:r>
          </w:p>
        </w:tc>
        <w:tc>
          <w:tcPr>
            <w:tcW w:w="887" w:type="dxa"/>
            <w:hideMark/>
          </w:tcPr>
          <w:p w14:paraId="61EB207E" w14:textId="77777777" w:rsidR="00CF72D5" w:rsidRPr="002029AF" w:rsidRDefault="00CF72D5" w:rsidP="006D6A5D">
            <w:pPr>
              <w:pStyle w:val="ARtabletextright"/>
              <w:spacing w:before="20" w:after="20"/>
            </w:pPr>
            <w:r w:rsidRPr="002029AF">
              <w:t>0</w:t>
            </w:r>
          </w:p>
        </w:tc>
        <w:tc>
          <w:tcPr>
            <w:tcW w:w="884" w:type="dxa"/>
            <w:hideMark/>
          </w:tcPr>
          <w:p w14:paraId="144A5DB7" w14:textId="77777777" w:rsidR="00CF72D5" w:rsidRPr="002029AF" w:rsidRDefault="00CF72D5" w:rsidP="006D6A5D">
            <w:pPr>
              <w:pStyle w:val="ARtabletextright"/>
              <w:spacing w:before="20" w:after="20"/>
            </w:pPr>
            <w:r w:rsidRPr="002029AF">
              <w:t>2</w:t>
            </w:r>
          </w:p>
        </w:tc>
        <w:tc>
          <w:tcPr>
            <w:tcW w:w="897" w:type="dxa"/>
            <w:gridSpan w:val="2"/>
            <w:hideMark/>
          </w:tcPr>
          <w:p w14:paraId="03F9E417" w14:textId="77777777" w:rsidR="00CF72D5" w:rsidRPr="002029AF" w:rsidRDefault="00CF72D5" w:rsidP="006D6A5D">
            <w:pPr>
              <w:pStyle w:val="ARtabletextright"/>
              <w:spacing w:before="20" w:after="20"/>
            </w:pPr>
            <w:r w:rsidRPr="002029AF">
              <w:t>0</w:t>
            </w:r>
          </w:p>
        </w:tc>
        <w:tc>
          <w:tcPr>
            <w:tcW w:w="885" w:type="dxa"/>
            <w:hideMark/>
          </w:tcPr>
          <w:p w14:paraId="24AFF915" w14:textId="77777777" w:rsidR="00CF72D5" w:rsidRPr="002029AF" w:rsidRDefault="00CF72D5" w:rsidP="006D6A5D">
            <w:pPr>
              <w:pStyle w:val="ARtabletextright"/>
              <w:spacing w:before="20" w:after="20"/>
            </w:pPr>
            <w:r w:rsidRPr="002029AF">
              <w:t>0</w:t>
            </w:r>
          </w:p>
        </w:tc>
      </w:tr>
      <w:tr w:rsidR="00CF72D5" w:rsidRPr="002029AF" w14:paraId="56B6A0E3" w14:textId="77777777" w:rsidTr="00D015AF">
        <w:trPr>
          <w:gridAfter w:val="1"/>
          <w:wAfter w:w="10" w:type="dxa"/>
          <w:cantSplit w:val="0"/>
        </w:trPr>
        <w:tc>
          <w:tcPr>
            <w:tcW w:w="2631" w:type="dxa"/>
            <w:hideMark/>
          </w:tcPr>
          <w:p w14:paraId="4F9CD334" w14:textId="77777777" w:rsidR="00CF72D5" w:rsidRPr="002029AF" w:rsidRDefault="00CF72D5" w:rsidP="006D6A5D">
            <w:pPr>
              <w:pStyle w:val="ARtabletext"/>
              <w:spacing w:before="20" w:after="20"/>
            </w:pPr>
            <w:r w:rsidRPr="002029AF">
              <w:t>Executives</w:t>
            </w:r>
          </w:p>
        </w:tc>
        <w:tc>
          <w:tcPr>
            <w:tcW w:w="897" w:type="dxa"/>
            <w:hideMark/>
          </w:tcPr>
          <w:p w14:paraId="4E5F62BB" w14:textId="77777777" w:rsidR="00CF72D5" w:rsidRPr="002029AF" w:rsidRDefault="00CF72D5" w:rsidP="006D6A5D">
            <w:pPr>
              <w:pStyle w:val="ARtabletextright"/>
              <w:spacing w:before="20" w:after="20"/>
            </w:pPr>
            <w:r w:rsidRPr="002029AF">
              <w:t>6</w:t>
            </w:r>
          </w:p>
        </w:tc>
        <w:tc>
          <w:tcPr>
            <w:tcW w:w="885" w:type="dxa"/>
            <w:hideMark/>
          </w:tcPr>
          <w:p w14:paraId="3C5B8EE7" w14:textId="77777777" w:rsidR="00CF72D5" w:rsidRPr="002029AF" w:rsidRDefault="00CF72D5" w:rsidP="006D6A5D">
            <w:pPr>
              <w:pStyle w:val="ARtabletextright"/>
              <w:spacing w:before="20" w:after="20"/>
            </w:pPr>
            <w:r w:rsidRPr="002029AF">
              <w:t>6</w:t>
            </w:r>
          </w:p>
        </w:tc>
        <w:tc>
          <w:tcPr>
            <w:tcW w:w="887" w:type="dxa"/>
            <w:hideMark/>
          </w:tcPr>
          <w:p w14:paraId="1F860E22" w14:textId="77777777" w:rsidR="00CF72D5" w:rsidRPr="002029AF" w:rsidRDefault="00CF72D5" w:rsidP="006D6A5D">
            <w:pPr>
              <w:pStyle w:val="ARtabletextright"/>
              <w:spacing w:before="20" w:after="20"/>
            </w:pPr>
            <w:r w:rsidRPr="002029AF">
              <w:t>6</w:t>
            </w:r>
          </w:p>
        </w:tc>
        <w:tc>
          <w:tcPr>
            <w:tcW w:w="888" w:type="dxa"/>
            <w:hideMark/>
          </w:tcPr>
          <w:p w14:paraId="74D8FC80" w14:textId="77777777" w:rsidR="00CF72D5" w:rsidRPr="002029AF" w:rsidRDefault="00CF72D5" w:rsidP="006D6A5D">
            <w:pPr>
              <w:pStyle w:val="ARtabletextright"/>
              <w:spacing w:before="20" w:after="20"/>
            </w:pPr>
            <w:r w:rsidRPr="002029AF">
              <w:t>0</w:t>
            </w:r>
          </w:p>
        </w:tc>
        <w:tc>
          <w:tcPr>
            <w:tcW w:w="886" w:type="dxa"/>
            <w:hideMark/>
          </w:tcPr>
          <w:p w14:paraId="435BA5A6" w14:textId="77777777" w:rsidR="00CF72D5" w:rsidRPr="002029AF" w:rsidRDefault="00CF72D5" w:rsidP="006D6A5D">
            <w:pPr>
              <w:pStyle w:val="ARtabletextright"/>
              <w:spacing w:before="20" w:after="20"/>
            </w:pPr>
            <w:r w:rsidRPr="002029AF">
              <w:t>6</w:t>
            </w:r>
          </w:p>
        </w:tc>
        <w:tc>
          <w:tcPr>
            <w:tcW w:w="897" w:type="dxa"/>
            <w:hideMark/>
          </w:tcPr>
          <w:p w14:paraId="2DEEA18E" w14:textId="77777777" w:rsidR="00CF72D5" w:rsidRPr="002029AF" w:rsidRDefault="00CF72D5" w:rsidP="006D6A5D">
            <w:pPr>
              <w:pStyle w:val="ARtabletextright"/>
              <w:spacing w:before="20" w:after="20"/>
            </w:pPr>
            <w:r w:rsidRPr="002029AF">
              <w:t>0</w:t>
            </w:r>
          </w:p>
        </w:tc>
        <w:tc>
          <w:tcPr>
            <w:tcW w:w="886" w:type="dxa"/>
            <w:hideMark/>
          </w:tcPr>
          <w:p w14:paraId="36B88CAB" w14:textId="77777777" w:rsidR="00CF72D5" w:rsidRPr="002029AF" w:rsidRDefault="00CF72D5" w:rsidP="006D6A5D">
            <w:pPr>
              <w:pStyle w:val="ARtabletextright"/>
              <w:spacing w:before="20" w:after="20"/>
            </w:pPr>
            <w:r w:rsidRPr="002029AF">
              <w:t>0</w:t>
            </w:r>
          </w:p>
        </w:tc>
        <w:tc>
          <w:tcPr>
            <w:tcW w:w="897" w:type="dxa"/>
            <w:hideMark/>
          </w:tcPr>
          <w:p w14:paraId="60F94BEB" w14:textId="77777777" w:rsidR="00CF72D5" w:rsidRPr="002029AF" w:rsidRDefault="00CF72D5" w:rsidP="006D6A5D">
            <w:pPr>
              <w:pStyle w:val="ARtabletextright"/>
              <w:spacing w:before="20" w:after="20"/>
            </w:pPr>
            <w:r w:rsidRPr="002029AF">
              <w:t>6</w:t>
            </w:r>
          </w:p>
        </w:tc>
        <w:tc>
          <w:tcPr>
            <w:tcW w:w="885" w:type="dxa"/>
            <w:hideMark/>
          </w:tcPr>
          <w:p w14:paraId="56E2615E" w14:textId="77777777" w:rsidR="00CF72D5" w:rsidRPr="002029AF" w:rsidRDefault="00CF72D5" w:rsidP="006D6A5D">
            <w:pPr>
              <w:pStyle w:val="ARtabletextright"/>
              <w:spacing w:before="20" w:after="20"/>
            </w:pPr>
            <w:r w:rsidRPr="002029AF">
              <w:t>6</w:t>
            </w:r>
          </w:p>
        </w:tc>
        <w:tc>
          <w:tcPr>
            <w:tcW w:w="887" w:type="dxa"/>
            <w:hideMark/>
          </w:tcPr>
          <w:p w14:paraId="45BE3BAC" w14:textId="77777777" w:rsidR="00CF72D5" w:rsidRPr="002029AF" w:rsidRDefault="00CF72D5" w:rsidP="006D6A5D">
            <w:pPr>
              <w:pStyle w:val="ARtabletextright"/>
              <w:spacing w:before="20" w:after="20"/>
            </w:pPr>
            <w:r w:rsidRPr="002029AF">
              <w:t>6</w:t>
            </w:r>
          </w:p>
        </w:tc>
        <w:tc>
          <w:tcPr>
            <w:tcW w:w="887" w:type="dxa"/>
            <w:hideMark/>
          </w:tcPr>
          <w:p w14:paraId="2E041E3C" w14:textId="77777777" w:rsidR="00CF72D5" w:rsidRPr="002029AF" w:rsidRDefault="00CF72D5" w:rsidP="006D6A5D">
            <w:pPr>
              <w:pStyle w:val="ARtabletextright"/>
              <w:spacing w:before="20" w:after="20"/>
            </w:pPr>
            <w:r w:rsidRPr="002029AF">
              <w:t>0</w:t>
            </w:r>
          </w:p>
        </w:tc>
        <w:tc>
          <w:tcPr>
            <w:tcW w:w="884" w:type="dxa"/>
            <w:hideMark/>
          </w:tcPr>
          <w:p w14:paraId="6F08BB16" w14:textId="77777777" w:rsidR="00CF72D5" w:rsidRPr="002029AF" w:rsidRDefault="00CF72D5" w:rsidP="006D6A5D">
            <w:pPr>
              <w:pStyle w:val="ARtabletextright"/>
              <w:spacing w:before="20" w:after="20"/>
            </w:pPr>
            <w:r w:rsidRPr="002029AF">
              <w:t>6</w:t>
            </w:r>
          </w:p>
        </w:tc>
        <w:tc>
          <w:tcPr>
            <w:tcW w:w="897" w:type="dxa"/>
            <w:gridSpan w:val="2"/>
            <w:hideMark/>
          </w:tcPr>
          <w:p w14:paraId="3CFE2C49" w14:textId="77777777" w:rsidR="00CF72D5" w:rsidRPr="002029AF" w:rsidRDefault="00CF72D5" w:rsidP="006D6A5D">
            <w:pPr>
              <w:pStyle w:val="ARtabletextright"/>
              <w:spacing w:before="20" w:after="20"/>
            </w:pPr>
            <w:r w:rsidRPr="002029AF">
              <w:t>0</w:t>
            </w:r>
          </w:p>
        </w:tc>
        <w:tc>
          <w:tcPr>
            <w:tcW w:w="885" w:type="dxa"/>
            <w:hideMark/>
          </w:tcPr>
          <w:p w14:paraId="7DF5B891" w14:textId="77777777" w:rsidR="00CF72D5" w:rsidRPr="002029AF" w:rsidRDefault="00CF72D5" w:rsidP="006D6A5D">
            <w:pPr>
              <w:pStyle w:val="ARtabletextright"/>
              <w:spacing w:before="20" w:after="20"/>
            </w:pPr>
            <w:r w:rsidRPr="002029AF">
              <w:t>0</w:t>
            </w:r>
          </w:p>
        </w:tc>
      </w:tr>
      <w:tr w:rsidR="00CF72D5" w:rsidRPr="002029AF" w14:paraId="7FAE5BE6" w14:textId="77777777" w:rsidTr="00D015AF">
        <w:trPr>
          <w:gridAfter w:val="1"/>
          <w:wAfter w:w="10" w:type="dxa"/>
          <w:cantSplit w:val="0"/>
        </w:trPr>
        <w:tc>
          <w:tcPr>
            <w:tcW w:w="2631" w:type="dxa"/>
          </w:tcPr>
          <w:p w14:paraId="37471B60" w14:textId="77777777" w:rsidR="00CF72D5" w:rsidRPr="002029AF" w:rsidRDefault="00CF72D5" w:rsidP="006D6A5D">
            <w:pPr>
              <w:pStyle w:val="ARtabletext"/>
              <w:spacing w:before="20" w:after="20"/>
            </w:pPr>
            <w:r w:rsidRPr="002029AF">
              <w:t>Other</w:t>
            </w:r>
          </w:p>
        </w:tc>
        <w:tc>
          <w:tcPr>
            <w:tcW w:w="897" w:type="dxa"/>
          </w:tcPr>
          <w:p w14:paraId="3DF215D4" w14:textId="77777777" w:rsidR="00CF72D5" w:rsidRPr="002029AF" w:rsidRDefault="00CF72D5" w:rsidP="006D6A5D">
            <w:pPr>
              <w:pStyle w:val="ARtabletextright"/>
              <w:spacing w:before="20" w:after="20"/>
            </w:pPr>
            <w:r w:rsidRPr="002029AF">
              <w:t>1</w:t>
            </w:r>
          </w:p>
        </w:tc>
        <w:tc>
          <w:tcPr>
            <w:tcW w:w="885" w:type="dxa"/>
          </w:tcPr>
          <w:p w14:paraId="0B3C4BB2" w14:textId="77777777" w:rsidR="00CF72D5" w:rsidRPr="002029AF" w:rsidRDefault="00CF72D5" w:rsidP="006D6A5D">
            <w:pPr>
              <w:pStyle w:val="ARtabletextright"/>
              <w:spacing w:before="20" w:after="20"/>
            </w:pPr>
            <w:r w:rsidRPr="002029AF">
              <w:t>0.8</w:t>
            </w:r>
          </w:p>
        </w:tc>
        <w:tc>
          <w:tcPr>
            <w:tcW w:w="887" w:type="dxa"/>
          </w:tcPr>
          <w:p w14:paraId="2330B1CD" w14:textId="77777777" w:rsidR="00CF72D5" w:rsidRPr="002029AF" w:rsidRDefault="00CF72D5" w:rsidP="006D6A5D">
            <w:pPr>
              <w:pStyle w:val="ARtabletextright"/>
              <w:spacing w:before="20" w:after="20"/>
            </w:pPr>
            <w:r w:rsidRPr="002029AF">
              <w:t>0</w:t>
            </w:r>
          </w:p>
        </w:tc>
        <w:tc>
          <w:tcPr>
            <w:tcW w:w="888" w:type="dxa"/>
          </w:tcPr>
          <w:p w14:paraId="1E21B98D" w14:textId="77777777" w:rsidR="00CF72D5" w:rsidRPr="002029AF" w:rsidRDefault="00CF72D5" w:rsidP="006D6A5D">
            <w:pPr>
              <w:pStyle w:val="ARtabletextright"/>
              <w:spacing w:before="20" w:after="20"/>
            </w:pPr>
            <w:r w:rsidRPr="002029AF">
              <w:t>1</w:t>
            </w:r>
          </w:p>
        </w:tc>
        <w:tc>
          <w:tcPr>
            <w:tcW w:w="886" w:type="dxa"/>
          </w:tcPr>
          <w:p w14:paraId="0ED812EB" w14:textId="77777777" w:rsidR="00CF72D5" w:rsidRPr="002029AF" w:rsidRDefault="00CF72D5" w:rsidP="006D6A5D">
            <w:pPr>
              <w:pStyle w:val="ARtabletextright"/>
              <w:spacing w:before="20" w:after="20"/>
            </w:pPr>
            <w:r w:rsidRPr="002029AF">
              <w:t>0.8</w:t>
            </w:r>
          </w:p>
        </w:tc>
        <w:tc>
          <w:tcPr>
            <w:tcW w:w="897" w:type="dxa"/>
          </w:tcPr>
          <w:p w14:paraId="125A79CC" w14:textId="77777777" w:rsidR="00CF72D5" w:rsidRPr="002029AF" w:rsidRDefault="00CF72D5" w:rsidP="006D6A5D">
            <w:pPr>
              <w:pStyle w:val="ARtabletextright"/>
              <w:spacing w:before="20" w:after="20"/>
            </w:pPr>
            <w:r w:rsidRPr="002029AF">
              <w:t>0</w:t>
            </w:r>
          </w:p>
        </w:tc>
        <w:tc>
          <w:tcPr>
            <w:tcW w:w="886" w:type="dxa"/>
          </w:tcPr>
          <w:p w14:paraId="33FF31F8" w14:textId="77777777" w:rsidR="00CF72D5" w:rsidRPr="002029AF" w:rsidRDefault="00CF72D5" w:rsidP="006D6A5D">
            <w:pPr>
              <w:pStyle w:val="ARtabletextright"/>
              <w:spacing w:before="20" w:after="20"/>
            </w:pPr>
            <w:r w:rsidRPr="002029AF">
              <w:t>0</w:t>
            </w:r>
          </w:p>
        </w:tc>
        <w:tc>
          <w:tcPr>
            <w:tcW w:w="897" w:type="dxa"/>
          </w:tcPr>
          <w:p w14:paraId="602CCD09" w14:textId="77777777" w:rsidR="00CF72D5" w:rsidRPr="002029AF" w:rsidRDefault="00CF72D5" w:rsidP="006D6A5D">
            <w:pPr>
              <w:pStyle w:val="ARtabletextright"/>
              <w:spacing w:before="20" w:after="20"/>
            </w:pPr>
            <w:r w:rsidRPr="002029AF">
              <w:t>0</w:t>
            </w:r>
          </w:p>
        </w:tc>
        <w:tc>
          <w:tcPr>
            <w:tcW w:w="885" w:type="dxa"/>
          </w:tcPr>
          <w:p w14:paraId="31C2B939" w14:textId="77777777" w:rsidR="00CF72D5" w:rsidRPr="002029AF" w:rsidRDefault="00CF72D5" w:rsidP="006D6A5D">
            <w:pPr>
              <w:pStyle w:val="ARtabletextright"/>
              <w:spacing w:before="20" w:after="20"/>
            </w:pPr>
            <w:r w:rsidRPr="002029AF">
              <w:t>0</w:t>
            </w:r>
          </w:p>
        </w:tc>
        <w:tc>
          <w:tcPr>
            <w:tcW w:w="887" w:type="dxa"/>
          </w:tcPr>
          <w:p w14:paraId="16488937" w14:textId="77777777" w:rsidR="00CF72D5" w:rsidRPr="002029AF" w:rsidRDefault="00CF72D5" w:rsidP="006D6A5D">
            <w:pPr>
              <w:pStyle w:val="ARtabletextright"/>
              <w:spacing w:before="20" w:after="20"/>
            </w:pPr>
            <w:r w:rsidRPr="002029AF">
              <w:t>0</w:t>
            </w:r>
          </w:p>
        </w:tc>
        <w:tc>
          <w:tcPr>
            <w:tcW w:w="887" w:type="dxa"/>
          </w:tcPr>
          <w:p w14:paraId="77C4BDB9" w14:textId="77777777" w:rsidR="00CF72D5" w:rsidRPr="002029AF" w:rsidRDefault="00CF72D5" w:rsidP="006D6A5D">
            <w:pPr>
              <w:pStyle w:val="ARtabletextright"/>
              <w:spacing w:before="20" w:after="20"/>
            </w:pPr>
            <w:r w:rsidRPr="002029AF">
              <w:t>0</w:t>
            </w:r>
          </w:p>
        </w:tc>
        <w:tc>
          <w:tcPr>
            <w:tcW w:w="884" w:type="dxa"/>
          </w:tcPr>
          <w:p w14:paraId="51AF4BA1" w14:textId="77777777" w:rsidR="00CF72D5" w:rsidRPr="002029AF" w:rsidRDefault="00CF72D5" w:rsidP="006D6A5D">
            <w:pPr>
              <w:pStyle w:val="ARtabletextright"/>
              <w:spacing w:before="20" w:after="20"/>
            </w:pPr>
            <w:r w:rsidRPr="002029AF">
              <w:t>0</w:t>
            </w:r>
          </w:p>
        </w:tc>
        <w:tc>
          <w:tcPr>
            <w:tcW w:w="897" w:type="dxa"/>
            <w:gridSpan w:val="2"/>
          </w:tcPr>
          <w:p w14:paraId="4CF54F35" w14:textId="77777777" w:rsidR="00CF72D5" w:rsidRPr="002029AF" w:rsidRDefault="00CF72D5" w:rsidP="006D6A5D">
            <w:pPr>
              <w:pStyle w:val="ARtabletextright"/>
              <w:spacing w:before="20" w:after="20"/>
            </w:pPr>
            <w:r w:rsidRPr="002029AF">
              <w:t>0</w:t>
            </w:r>
          </w:p>
        </w:tc>
        <w:tc>
          <w:tcPr>
            <w:tcW w:w="885" w:type="dxa"/>
          </w:tcPr>
          <w:p w14:paraId="79EC776C" w14:textId="77777777" w:rsidR="00CF72D5" w:rsidRPr="002029AF" w:rsidRDefault="00CF72D5" w:rsidP="006D6A5D">
            <w:pPr>
              <w:pStyle w:val="ARtabletextright"/>
              <w:spacing w:before="20" w:after="20"/>
            </w:pPr>
            <w:r w:rsidRPr="002029AF">
              <w:t>0</w:t>
            </w:r>
          </w:p>
        </w:tc>
      </w:tr>
      <w:tr w:rsidR="00CF72D5" w:rsidRPr="002029AF" w14:paraId="76153123" w14:textId="77777777" w:rsidTr="00D015AF">
        <w:trPr>
          <w:gridAfter w:val="1"/>
          <w:wAfter w:w="10" w:type="dxa"/>
          <w:cantSplit w:val="0"/>
        </w:trPr>
        <w:tc>
          <w:tcPr>
            <w:tcW w:w="2631" w:type="dxa"/>
            <w:hideMark/>
          </w:tcPr>
          <w:p w14:paraId="5F087586" w14:textId="2518FC76" w:rsidR="00CF72D5" w:rsidRPr="002029AF" w:rsidRDefault="00CF72D5" w:rsidP="006D6A5D">
            <w:pPr>
              <w:pStyle w:val="ARtabletextbold"/>
              <w:spacing w:before="20" w:after="20"/>
            </w:pPr>
            <w:r w:rsidRPr="002029AF">
              <w:t>Total</w:t>
            </w:r>
            <w:r w:rsidR="000A5329" w:rsidRPr="002029AF">
              <w:t xml:space="preserve"> </w:t>
            </w:r>
            <w:r w:rsidRPr="002029AF">
              <w:t>employees</w:t>
            </w:r>
          </w:p>
        </w:tc>
        <w:tc>
          <w:tcPr>
            <w:tcW w:w="897" w:type="dxa"/>
          </w:tcPr>
          <w:p w14:paraId="62916FF7" w14:textId="77777777" w:rsidR="00CF72D5" w:rsidRPr="002029AF" w:rsidRDefault="00CF72D5" w:rsidP="006D6A5D">
            <w:pPr>
              <w:pStyle w:val="ARtabletextrightbold"/>
              <w:spacing w:before="20" w:after="20"/>
            </w:pPr>
            <w:r w:rsidRPr="002029AF">
              <w:t>85</w:t>
            </w:r>
          </w:p>
        </w:tc>
        <w:tc>
          <w:tcPr>
            <w:tcW w:w="885" w:type="dxa"/>
          </w:tcPr>
          <w:p w14:paraId="00815237" w14:textId="77777777" w:rsidR="00CF72D5" w:rsidRPr="002029AF" w:rsidRDefault="00CF72D5" w:rsidP="006D6A5D">
            <w:pPr>
              <w:pStyle w:val="ARtabletextrightbold"/>
              <w:spacing w:before="20" w:after="20"/>
            </w:pPr>
            <w:r w:rsidRPr="002029AF">
              <w:t>81.7</w:t>
            </w:r>
          </w:p>
        </w:tc>
        <w:tc>
          <w:tcPr>
            <w:tcW w:w="887" w:type="dxa"/>
          </w:tcPr>
          <w:p w14:paraId="7C3BC8A4" w14:textId="77777777" w:rsidR="00CF72D5" w:rsidRPr="002029AF" w:rsidRDefault="00CF72D5" w:rsidP="006D6A5D">
            <w:pPr>
              <w:pStyle w:val="ARtabletextrightbold"/>
              <w:spacing w:before="20" w:after="20"/>
            </w:pPr>
            <w:r w:rsidRPr="002029AF">
              <w:t>58</w:t>
            </w:r>
          </w:p>
        </w:tc>
        <w:tc>
          <w:tcPr>
            <w:tcW w:w="888" w:type="dxa"/>
          </w:tcPr>
          <w:p w14:paraId="1C8D326B" w14:textId="77777777" w:rsidR="00CF72D5" w:rsidRPr="002029AF" w:rsidRDefault="00CF72D5" w:rsidP="006D6A5D">
            <w:pPr>
              <w:pStyle w:val="ARtabletextrightbold"/>
              <w:spacing w:before="20" w:after="20"/>
            </w:pPr>
            <w:r w:rsidRPr="002029AF">
              <w:t>10</w:t>
            </w:r>
          </w:p>
        </w:tc>
        <w:tc>
          <w:tcPr>
            <w:tcW w:w="886" w:type="dxa"/>
          </w:tcPr>
          <w:p w14:paraId="6FD3F508" w14:textId="77777777" w:rsidR="00CF72D5" w:rsidRPr="002029AF" w:rsidRDefault="00CF72D5" w:rsidP="006D6A5D">
            <w:pPr>
              <w:pStyle w:val="ARtabletextrightbold"/>
              <w:spacing w:before="20" w:after="20"/>
            </w:pPr>
            <w:r w:rsidRPr="002029AF">
              <w:t>65.1</w:t>
            </w:r>
          </w:p>
        </w:tc>
        <w:tc>
          <w:tcPr>
            <w:tcW w:w="897" w:type="dxa"/>
          </w:tcPr>
          <w:p w14:paraId="316C1CA8" w14:textId="77777777" w:rsidR="00CF72D5" w:rsidRPr="002029AF" w:rsidRDefault="00CF72D5" w:rsidP="006D6A5D">
            <w:pPr>
              <w:pStyle w:val="ARtabletextrightbold"/>
              <w:spacing w:before="20" w:after="20"/>
            </w:pPr>
            <w:r w:rsidRPr="002029AF">
              <w:t>17</w:t>
            </w:r>
          </w:p>
        </w:tc>
        <w:tc>
          <w:tcPr>
            <w:tcW w:w="886" w:type="dxa"/>
          </w:tcPr>
          <w:p w14:paraId="1B94307A" w14:textId="77777777" w:rsidR="00CF72D5" w:rsidRPr="002029AF" w:rsidRDefault="00CF72D5" w:rsidP="006D6A5D">
            <w:pPr>
              <w:pStyle w:val="ARtabletextrightbold"/>
              <w:spacing w:before="20" w:after="20"/>
            </w:pPr>
            <w:r w:rsidRPr="002029AF">
              <w:t>16.6</w:t>
            </w:r>
          </w:p>
        </w:tc>
        <w:tc>
          <w:tcPr>
            <w:tcW w:w="897" w:type="dxa"/>
          </w:tcPr>
          <w:p w14:paraId="1F146AD3" w14:textId="77777777" w:rsidR="00CF72D5" w:rsidRPr="002029AF" w:rsidRDefault="00CF72D5" w:rsidP="006D6A5D">
            <w:pPr>
              <w:pStyle w:val="ARtabletextrightbold"/>
              <w:spacing w:before="20" w:after="20"/>
            </w:pPr>
            <w:r w:rsidRPr="002029AF">
              <w:t>75</w:t>
            </w:r>
          </w:p>
        </w:tc>
        <w:tc>
          <w:tcPr>
            <w:tcW w:w="885" w:type="dxa"/>
          </w:tcPr>
          <w:p w14:paraId="6D52E476" w14:textId="77777777" w:rsidR="00CF72D5" w:rsidRPr="002029AF" w:rsidRDefault="00CF72D5" w:rsidP="006D6A5D">
            <w:pPr>
              <w:pStyle w:val="ARtabletextrightbold"/>
              <w:spacing w:before="20" w:after="20"/>
            </w:pPr>
            <w:r w:rsidRPr="002029AF">
              <w:t>72.2</w:t>
            </w:r>
          </w:p>
        </w:tc>
        <w:tc>
          <w:tcPr>
            <w:tcW w:w="887" w:type="dxa"/>
          </w:tcPr>
          <w:p w14:paraId="20136B78" w14:textId="77777777" w:rsidR="00CF72D5" w:rsidRPr="002029AF" w:rsidRDefault="00CF72D5" w:rsidP="006D6A5D">
            <w:pPr>
              <w:pStyle w:val="ARtabletextrightbold"/>
              <w:spacing w:before="20" w:after="20"/>
            </w:pPr>
            <w:r w:rsidRPr="002029AF">
              <w:t>57</w:t>
            </w:r>
          </w:p>
        </w:tc>
        <w:tc>
          <w:tcPr>
            <w:tcW w:w="887" w:type="dxa"/>
          </w:tcPr>
          <w:p w14:paraId="240EA3F3" w14:textId="77777777" w:rsidR="00CF72D5" w:rsidRPr="002029AF" w:rsidRDefault="00CF72D5" w:rsidP="006D6A5D">
            <w:pPr>
              <w:pStyle w:val="ARtabletextrightbold"/>
              <w:spacing w:before="20" w:after="20"/>
            </w:pPr>
            <w:r w:rsidRPr="002029AF">
              <w:t>7</w:t>
            </w:r>
          </w:p>
        </w:tc>
        <w:tc>
          <w:tcPr>
            <w:tcW w:w="884" w:type="dxa"/>
          </w:tcPr>
          <w:p w14:paraId="60B47472" w14:textId="77777777" w:rsidR="00CF72D5" w:rsidRPr="002029AF" w:rsidRDefault="00CF72D5" w:rsidP="006D6A5D">
            <w:pPr>
              <w:pStyle w:val="ARtabletextrightbold"/>
              <w:spacing w:before="20" w:after="20"/>
            </w:pPr>
            <w:r w:rsidRPr="002029AF">
              <w:t>61.8</w:t>
            </w:r>
          </w:p>
        </w:tc>
        <w:tc>
          <w:tcPr>
            <w:tcW w:w="897" w:type="dxa"/>
            <w:gridSpan w:val="2"/>
          </w:tcPr>
          <w:p w14:paraId="05E42B16" w14:textId="77777777" w:rsidR="00CF72D5" w:rsidRPr="002029AF" w:rsidRDefault="00CF72D5" w:rsidP="006D6A5D">
            <w:pPr>
              <w:pStyle w:val="ARtabletextrightbold"/>
              <w:spacing w:before="20" w:after="20"/>
            </w:pPr>
            <w:r w:rsidRPr="002029AF">
              <w:t>11</w:t>
            </w:r>
          </w:p>
        </w:tc>
        <w:tc>
          <w:tcPr>
            <w:tcW w:w="885" w:type="dxa"/>
          </w:tcPr>
          <w:p w14:paraId="1D558D29" w14:textId="77777777" w:rsidR="00CF72D5" w:rsidRPr="002029AF" w:rsidRDefault="00CF72D5" w:rsidP="006D6A5D">
            <w:pPr>
              <w:pStyle w:val="ARtabletextrightbold"/>
              <w:spacing w:before="20" w:after="20"/>
            </w:pPr>
            <w:r w:rsidRPr="002029AF">
              <w:t>10.4</w:t>
            </w:r>
          </w:p>
        </w:tc>
      </w:tr>
    </w:tbl>
    <w:p w14:paraId="260B045A" w14:textId="545155D0" w:rsidR="00CF72D5" w:rsidRPr="002029AF" w:rsidRDefault="00CF72D5" w:rsidP="00897193">
      <w:pPr>
        <w:pStyle w:val="ARtablefootnote"/>
        <w:rPr>
          <w:rFonts w:eastAsia="Times"/>
        </w:rPr>
      </w:pPr>
      <w:bookmarkStart w:id="85" w:name="_Ref525048438"/>
      <w:r w:rsidRPr="002029AF">
        <w:rPr>
          <w:rFonts w:eastAsia="Times"/>
        </w:rPr>
        <w:t>Notes:</w:t>
      </w:r>
    </w:p>
    <w:p w14:paraId="0FB2B542" w14:textId="060B5855" w:rsidR="00CF72D5" w:rsidRPr="002029AF" w:rsidRDefault="00CF72D5" w:rsidP="00897193">
      <w:pPr>
        <w:pStyle w:val="ARtablefootnote"/>
      </w:pPr>
      <w:r w:rsidRPr="002029AF">
        <w:t>na</w:t>
      </w:r>
      <w:r w:rsidR="000A5329" w:rsidRPr="002029AF">
        <w:t xml:space="preserve"> </w:t>
      </w:r>
      <w:r w:rsidRPr="002029AF">
        <w:t>=</w:t>
      </w:r>
      <w:r w:rsidR="000A5329" w:rsidRPr="002029AF">
        <w:t xml:space="preserve"> </w:t>
      </w:r>
      <w:r w:rsidRPr="002029AF">
        <w:t>not</w:t>
      </w:r>
      <w:r w:rsidR="000A5329" w:rsidRPr="002029AF">
        <w:t xml:space="preserve"> </w:t>
      </w:r>
      <w:r w:rsidRPr="002029AF">
        <w:t>available</w:t>
      </w:r>
    </w:p>
    <w:p w14:paraId="26530854" w14:textId="484F5201" w:rsidR="00A763C6" w:rsidRPr="002029AF" w:rsidRDefault="00A763C6" w:rsidP="00897193">
      <w:pPr>
        <w:pStyle w:val="ARtablefootnote"/>
      </w:pPr>
      <w:r w:rsidRPr="002029AF">
        <w:t>STS</w:t>
      </w:r>
      <w:r w:rsidR="000A5329" w:rsidRPr="002029AF">
        <w:t xml:space="preserve"> </w:t>
      </w:r>
      <w:r w:rsidR="2A23CB9A" w:rsidRPr="002029AF">
        <w:t>=</w:t>
      </w:r>
      <w:r w:rsidR="000A5329" w:rsidRPr="002029AF">
        <w:t xml:space="preserve"> </w:t>
      </w:r>
      <w:r w:rsidRPr="002029AF">
        <w:t>Senior</w:t>
      </w:r>
      <w:r w:rsidR="000A5329" w:rsidRPr="002029AF">
        <w:t xml:space="preserve"> </w:t>
      </w:r>
      <w:r w:rsidRPr="002029AF">
        <w:t>Technical</w:t>
      </w:r>
      <w:r w:rsidR="000A5329" w:rsidRPr="002029AF">
        <w:t xml:space="preserve"> </w:t>
      </w:r>
      <w:r w:rsidRPr="002029AF">
        <w:t>Specialist</w:t>
      </w:r>
    </w:p>
    <w:p w14:paraId="400E0294" w14:textId="6F74101C" w:rsidR="000A5329" w:rsidRPr="002029AF" w:rsidRDefault="00CF72D5" w:rsidP="00897193">
      <w:pPr>
        <w:pStyle w:val="ARtablefootnote"/>
        <w:rPr>
          <w:rFonts w:eastAsia="Times"/>
        </w:rPr>
      </w:pPr>
      <w:r w:rsidRPr="002029AF">
        <w:rPr>
          <w:rFonts w:eastAsia="Times"/>
        </w:rPr>
        <w:t>Rounding</w:t>
      </w:r>
      <w:r w:rsidR="000A5329" w:rsidRPr="002029AF">
        <w:rPr>
          <w:rFonts w:eastAsia="Times"/>
        </w:rPr>
        <w:t xml:space="preserve"> </w:t>
      </w:r>
      <w:r w:rsidRPr="002029AF">
        <w:rPr>
          <w:rFonts w:eastAsia="Times"/>
        </w:rPr>
        <w:t>errors</w:t>
      </w:r>
      <w:r w:rsidR="000A5329" w:rsidRPr="002029AF">
        <w:rPr>
          <w:rFonts w:eastAsia="Times"/>
        </w:rPr>
        <w:t xml:space="preserve"> </w:t>
      </w:r>
      <w:r w:rsidRPr="002029AF">
        <w:rPr>
          <w:rFonts w:eastAsia="Times"/>
        </w:rPr>
        <w:t>may</w:t>
      </w:r>
      <w:r w:rsidR="000A5329" w:rsidRPr="002029AF">
        <w:rPr>
          <w:rFonts w:eastAsia="Times"/>
        </w:rPr>
        <w:t xml:space="preserve"> </w:t>
      </w:r>
      <w:r w:rsidRPr="002029AF">
        <w:rPr>
          <w:rFonts w:eastAsia="Times"/>
        </w:rPr>
        <w:t>be</w:t>
      </w:r>
      <w:r w:rsidR="000A5329" w:rsidRPr="002029AF">
        <w:rPr>
          <w:rFonts w:eastAsia="Times"/>
        </w:rPr>
        <w:t xml:space="preserve"> </w:t>
      </w:r>
      <w:r w:rsidRPr="002029AF">
        <w:rPr>
          <w:rFonts w:eastAsia="Times"/>
        </w:rPr>
        <w:t>present</w:t>
      </w:r>
      <w:r w:rsidR="000A5329" w:rsidRPr="002029AF">
        <w:rPr>
          <w:rFonts w:eastAsia="Times"/>
        </w:rPr>
        <w:t xml:space="preserve"> </w:t>
      </w:r>
      <w:r w:rsidRPr="002029AF">
        <w:rPr>
          <w:rFonts w:eastAsia="Times"/>
        </w:rPr>
        <w:t>in</w:t>
      </w:r>
      <w:r w:rsidR="000A5329" w:rsidRPr="002029AF">
        <w:rPr>
          <w:rFonts w:eastAsia="Times"/>
        </w:rPr>
        <w:t xml:space="preserve"> </w:t>
      </w:r>
      <w:r w:rsidRPr="002029AF">
        <w:rPr>
          <w:rFonts w:eastAsia="Times"/>
        </w:rPr>
        <w:t>FTE</w:t>
      </w:r>
      <w:r w:rsidR="000A5329" w:rsidRPr="002029AF">
        <w:rPr>
          <w:rFonts w:eastAsia="Times"/>
        </w:rPr>
        <w:t xml:space="preserve"> </w:t>
      </w:r>
      <w:r w:rsidRPr="002029AF">
        <w:rPr>
          <w:rFonts w:eastAsia="Times"/>
        </w:rPr>
        <w:t>tables</w:t>
      </w:r>
      <w:r w:rsidR="000A5329" w:rsidRPr="002029AF">
        <w:rPr>
          <w:rFonts w:eastAsia="Times"/>
        </w:rPr>
        <w:t xml:space="preserve"> </w:t>
      </w:r>
      <w:r w:rsidRPr="002029AF">
        <w:rPr>
          <w:rFonts w:eastAsia="Times"/>
        </w:rPr>
        <w:t>due</w:t>
      </w:r>
      <w:r w:rsidR="000A5329" w:rsidRPr="002029AF">
        <w:rPr>
          <w:rFonts w:eastAsia="Times"/>
        </w:rPr>
        <w:t xml:space="preserve"> </w:t>
      </w:r>
      <w:r w:rsidRPr="002029AF">
        <w:rPr>
          <w:rFonts w:eastAsia="Times"/>
        </w:rPr>
        <w:t>to</w:t>
      </w:r>
      <w:r w:rsidR="000A5329" w:rsidRPr="002029AF">
        <w:rPr>
          <w:rFonts w:eastAsia="Times"/>
        </w:rPr>
        <w:t xml:space="preserve"> </w:t>
      </w:r>
      <w:r w:rsidRPr="002029AF">
        <w:rPr>
          <w:rFonts w:eastAsia="Times"/>
        </w:rPr>
        <w:t>data</w:t>
      </w:r>
      <w:r w:rsidR="000A5329" w:rsidRPr="002029AF">
        <w:rPr>
          <w:rFonts w:eastAsia="Times"/>
        </w:rPr>
        <w:t xml:space="preserve"> </w:t>
      </w:r>
      <w:r w:rsidRPr="002029AF">
        <w:rPr>
          <w:rFonts w:eastAsia="Times"/>
        </w:rPr>
        <w:t>being</w:t>
      </w:r>
      <w:r w:rsidR="000A5329" w:rsidRPr="002029AF">
        <w:rPr>
          <w:rFonts w:eastAsia="Times"/>
        </w:rPr>
        <w:t xml:space="preserve"> </w:t>
      </w:r>
      <w:r w:rsidRPr="002029AF">
        <w:rPr>
          <w:rFonts w:eastAsia="Times"/>
        </w:rPr>
        <w:t>formatted</w:t>
      </w:r>
      <w:r w:rsidR="000A5329" w:rsidRPr="002029AF">
        <w:rPr>
          <w:rFonts w:eastAsia="Times"/>
        </w:rPr>
        <w:t xml:space="preserve"> </w:t>
      </w:r>
      <w:r w:rsidRPr="002029AF">
        <w:rPr>
          <w:rFonts w:eastAsia="Times"/>
        </w:rPr>
        <w:t>to</w:t>
      </w:r>
      <w:r w:rsidR="000A5329" w:rsidRPr="002029AF">
        <w:rPr>
          <w:rFonts w:eastAsia="Times"/>
        </w:rPr>
        <w:t xml:space="preserve"> </w:t>
      </w:r>
      <w:r w:rsidRPr="002029AF">
        <w:rPr>
          <w:rFonts w:eastAsia="Times"/>
        </w:rPr>
        <w:t>one</w:t>
      </w:r>
      <w:r w:rsidR="000A5329" w:rsidRPr="002029AF">
        <w:rPr>
          <w:rFonts w:eastAsia="Times"/>
        </w:rPr>
        <w:t xml:space="preserve"> </w:t>
      </w:r>
      <w:r w:rsidRPr="002029AF">
        <w:rPr>
          <w:rFonts w:eastAsia="Times"/>
        </w:rPr>
        <w:t>decimal</w:t>
      </w:r>
      <w:r w:rsidR="000A5329" w:rsidRPr="002029AF">
        <w:rPr>
          <w:rFonts w:eastAsia="Times"/>
        </w:rPr>
        <w:t xml:space="preserve"> </w:t>
      </w:r>
      <w:r w:rsidRPr="002029AF">
        <w:rPr>
          <w:rFonts w:eastAsia="Times"/>
        </w:rPr>
        <w:t>place.</w:t>
      </w:r>
    </w:p>
    <w:p w14:paraId="1BD63E7F" w14:textId="3B7B3954" w:rsidR="00CF72D5" w:rsidRPr="002029AF" w:rsidRDefault="00CF72D5" w:rsidP="00897193">
      <w:pPr>
        <w:pStyle w:val="ARtablefootnote"/>
        <w:rPr>
          <w:rFonts w:eastAsia="Times"/>
        </w:rPr>
      </w:pPr>
      <w:r w:rsidRPr="002029AF">
        <w:rPr>
          <w:rFonts w:eastAsia="Times"/>
        </w:rPr>
        <w:t>Data</w:t>
      </w:r>
      <w:r w:rsidR="000A5329" w:rsidRPr="002029AF">
        <w:rPr>
          <w:rFonts w:eastAsia="Times"/>
        </w:rPr>
        <w:t xml:space="preserve"> </w:t>
      </w:r>
      <w:r w:rsidRPr="002029AF">
        <w:rPr>
          <w:rFonts w:eastAsia="Times"/>
        </w:rPr>
        <w:t>as</w:t>
      </w:r>
      <w:r w:rsidR="000A5329" w:rsidRPr="002029AF">
        <w:rPr>
          <w:rFonts w:eastAsia="Times"/>
        </w:rPr>
        <w:t xml:space="preserve"> </w:t>
      </w:r>
      <w:r w:rsidRPr="002029AF">
        <w:rPr>
          <w:rFonts w:eastAsia="Times"/>
        </w:rPr>
        <w:t>at</w:t>
      </w:r>
      <w:r w:rsidR="000A5329" w:rsidRPr="002029AF">
        <w:rPr>
          <w:rFonts w:eastAsia="Times"/>
        </w:rPr>
        <w:t xml:space="preserve"> </w:t>
      </w:r>
      <w:r w:rsidRPr="002029AF">
        <w:rPr>
          <w:rFonts w:eastAsia="Times"/>
        </w:rPr>
        <w:t>30</w:t>
      </w:r>
      <w:r w:rsidR="000A5329" w:rsidRPr="002029AF">
        <w:rPr>
          <w:rFonts w:eastAsia="Times"/>
        </w:rPr>
        <w:t xml:space="preserve"> </w:t>
      </w:r>
      <w:r w:rsidRPr="002029AF">
        <w:rPr>
          <w:rFonts w:eastAsia="Times"/>
        </w:rPr>
        <w:t>June</w:t>
      </w:r>
      <w:r w:rsidR="000A5329" w:rsidRPr="002029AF">
        <w:rPr>
          <w:rFonts w:eastAsia="Times"/>
        </w:rPr>
        <w:t xml:space="preserve"> </w:t>
      </w:r>
      <w:r w:rsidRPr="002029AF">
        <w:rPr>
          <w:rFonts w:eastAsia="Times"/>
        </w:rPr>
        <w:t>2020.</w:t>
      </w:r>
    </w:p>
    <w:p w14:paraId="05283EB2" w14:textId="77777777" w:rsidR="00CF72D5" w:rsidRPr="002029AF" w:rsidRDefault="00CF72D5" w:rsidP="00897193">
      <w:pPr>
        <w:pStyle w:val="ARbody"/>
        <w:sectPr w:rsidR="00CF72D5" w:rsidRPr="002029AF" w:rsidSect="00E25B23">
          <w:footerReference w:type="even" r:id="rId127"/>
          <w:pgSz w:w="16838" w:h="11906" w:orient="landscape" w:code="9"/>
          <w:pgMar w:top="1418" w:right="1985" w:bottom="1418" w:left="851" w:header="851" w:footer="851" w:gutter="0"/>
          <w:cols w:space="454"/>
          <w:docGrid w:linePitch="360"/>
          <w15:footnoteColumns w:val="1"/>
        </w:sectPr>
      </w:pPr>
    </w:p>
    <w:p w14:paraId="73F9DABF" w14:textId="1070E81B" w:rsidR="00CF72D5" w:rsidRPr="002029AF" w:rsidRDefault="00CF72D5" w:rsidP="00FC001B">
      <w:pPr>
        <w:pStyle w:val="Heading4"/>
        <w:spacing w:before="0"/>
      </w:pPr>
      <w:r w:rsidRPr="002029AF">
        <w:lastRenderedPageBreak/>
        <w:t>Annualised</w:t>
      </w:r>
      <w:r w:rsidR="000A5329" w:rsidRPr="002029AF">
        <w:t xml:space="preserve"> </w:t>
      </w:r>
      <w:r w:rsidRPr="002029AF">
        <w:t>total</w:t>
      </w:r>
      <w:r w:rsidR="000A5329" w:rsidRPr="002029AF">
        <w:t xml:space="preserve"> </w:t>
      </w:r>
      <w:r w:rsidRPr="002029AF">
        <w:t>salary,</w:t>
      </w:r>
      <w:r w:rsidR="000A5329" w:rsidRPr="002029AF">
        <w:t xml:space="preserve"> </w:t>
      </w:r>
      <w:r w:rsidRPr="002029AF">
        <w:t>by</w:t>
      </w:r>
      <w:r w:rsidR="000A5329" w:rsidRPr="002029AF">
        <w:t xml:space="preserve"> </w:t>
      </w:r>
      <w:r w:rsidRPr="002029AF">
        <w:t>$20,000</w:t>
      </w:r>
      <w:r w:rsidR="000A5329" w:rsidRPr="002029AF">
        <w:t xml:space="preserve"> </w:t>
      </w:r>
      <w:r w:rsidRPr="002029AF">
        <w:t>bands,</w:t>
      </w:r>
      <w:r w:rsidR="000A5329" w:rsidRPr="002029AF">
        <w:t xml:space="preserve"> </w:t>
      </w:r>
      <w:r w:rsidRPr="002029AF">
        <w:t>for</w:t>
      </w:r>
      <w:r w:rsidR="000A5329" w:rsidRPr="002029AF">
        <w:t xml:space="preserve"> </w:t>
      </w:r>
      <w:r w:rsidRPr="002029AF">
        <w:t>executives</w:t>
      </w:r>
      <w:r w:rsidR="000A5329" w:rsidRPr="002029AF">
        <w:t xml:space="preserve"> </w:t>
      </w:r>
      <w:r w:rsidRPr="002029AF">
        <w:t>and</w:t>
      </w:r>
      <w:r w:rsidR="000A5329" w:rsidRPr="002029AF">
        <w:t xml:space="preserve"> </w:t>
      </w:r>
      <w:r w:rsidRPr="002029AF">
        <w:t>other</w:t>
      </w:r>
      <w:r w:rsidR="000A5329" w:rsidRPr="002029AF">
        <w:t xml:space="preserve"> </w:t>
      </w:r>
      <w:r w:rsidRPr="002029AF">
        <w:t>senior</w:t>
      </w:r>
      <w:r w:rsidR="000A5329" w:rsidRPr="002029AF">
        <w:t xml:space="preserve"> </w:t>
      </w:r>
      <w:r w:rsidRPr="002029AF">
        <w:br/>
        <w:t>non-executive</w:t>
      </w:r>
      <w:r w:rsidR="000A5329" w:rsidRPr="002029AF">
        <w:t xml:space="preserve"> </w:t>
      </w:r>
      <w:r w:rsidRPr="002029AF">
        <w:t>staff</w:t>
      </w:r>
      <w:bookmarkEnd w:id="85"/>
    </w:p>
    <w:tbl>
      <w:tblPr>
        <w:tblW w:w="9645"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1E0" w:firstRow="1" w:lastRow="1" w:firstColumn="1" w:lastColumn="1" w:noHBand="0" w:noVBand="0"/>
      </w:tblPr>
      <w:tblGrid>
        <w:gridCol w:w="2699"/>
        <w:gridCol w:w="1418"/>
        <w:gridCol w:w="1134"/>
        <w:gridCol w:w="1134"/>
        <w:gridCol w:w="1134"/>
        <w:gridCol w:w="1134"/>
        <w:gridCol w:w="992"/>
      </w:tblGrid>
      <w:tr w:rsidR="00CF72D5" w:rsidRPr="002029AF" w14:paraId="15E7F01B" w14:textId="77777777" w:rsidTr="00897193">
        <w:trPr>
          <w:cantSplit/>
          <w:tblHeader/>
        </w:trPr>
        <w:tc>
          <w:tcPr>
            <w:tcW w:w="1399" w:type="pct"/>
            <w:tcBorders>
              <w:bottom w:val="single" w:sz="4" w:space="0" w:color="auto"/>
            </w:tcBorders>
            <w:shd w:val="clear" w:color="auto" w:fill="auto"/>
          </w:tcPr>
          <w:p w14:paraId="5349D868" w14:textId="17D313C1" w:rsidR="00CF72D5" w:rsidRPr="002029AF" w:rsidRDefault="00CF72D5" w:rsidP="00897193">
            <w:pPr>
              <w:pStyle w:val="ARtablecolhead"/>
            </w:pPr>
            <w:r w:rsidRPr="002029AF">
              <w:t>Income</w:t>
            </w:r>
            <w:r w:rsidR="000A5329" w:rsidRPr="002029AF">
              <w:t xml:space="preserve"> </w:t>
            </w:r>
            <w:r w:rsidRPr="002029AF">
              <w:t>band</w:t>
            </w:r>
            <w:r w:rsidR="000A5329" w:rsidRPr="002029AF">
              <w:t xml:space="preserve"> </w:t>
            </w:r>
            <w:r w:rsidRPr="002029AF">
              <w:t>(salary)</w:t>
            </w:r>
          </w:p>
        </w:tc>
        <w:tc>
          <w:tcPr>
            <w:tcW w:w="735" w:type="pct"/>
            <w:tcBorders>
              <w:top w:val="nil"/>
              <w:bottom w:val="single" w:sz="4" w:space="0" w:color="auto"/>
            </w:tcBorders>
            <w:shd w:val="clear" w:color="auto" w:fill="auto"/>
            <w:vAlign w:val="bottom"/>
          </w:tcPr>
          <w:p w14:paraId="52FFF3E8" w14:textId="77777777" w:rsidR="00CF72D5" w:rsidRPr="002029AF" w:rsidRDefault="00CF72D5" w:rsidP="00897193">
            <w:pPr>
              <w:pStyle w:val="ARtablecolheadright"/>
            </w:pPr>
            <w:r w:rsidRPr="002029AF">
              <w:t>Executives</w:t>
            </w:r>
          </w:p>
        </w:tc>
        <w:tc>
          <w:tcPr>
            <w:tcW w:w="588" w:type="pct"/>
            <w:tcBorders>
              <w:top w:val="nil"/>
              <w:bottom w:val="single" w:sz="4" w:space="0" w:color="auto"/>
            </w:tcBorders>
            <w:shd w:val="clear" w:color="auto" w:fill="auto"/>
            <w:vAlign w:val="bottom"/>
          </w:tcPr>
          <w:p w14:paraId="403CFB39" w14:textId="77777777" w:rsidR="00CF72D5" w:rsidRPr="002029AF" w:rsidRDefault="00CF72D5" w:rsidP="00897193">
            <w:pPr>
              <w:pStyle w:val="ARtablecolheadright"/>
            </w:pPr>
            <w:r w:rsidRPr="002029AF">
              <w:t>STS</w:t>
            </w:r>
          </w:p>
        </w:tc>
        <w:tc>
          <w:tcPr>
            <w:tcW w:w="588" w:type="pct"/>
            <w:tcBorders>
              <w:top w:val="nil"/>
              <w:bottom w:val="single" w:sz="4" w:space="0" w:color="auto"/>
            </w:tcBorders>
            <w:shd w:val="clear" w:color="auto" w:fill="auto"/>
            <w:vAlign w:val="bottom"/>
          </w:tcPr>
          <w:p w14:paraId="7E7EA1C7" w14:textId="77777777" w:rsidR="00CF72D5" w:rsidRPr="002029AF" w:rsidRDefault="00CF72D5" w:rsidP="00897193">
            <w:pPr>
              <w:pStyle w:val="ARtablecolheadright"/>
            </w:pPr>
            <w:r w:rsidRPr="002029AF">
              <w:t>PS</w:t>
            </w:r>
          </w:p>
        </w:tc>
        <w:tc>
          <w:tcPr>
            <w:tcW w:w="588" w:type="pct"/>
            <w:tcBorders>
              <w:top w:val="nil"/>
              <w:bottom w:val="single" w:sz="4" w:space="0" w:color="auto"/>
            </w:tcBorders>
            <w:vAlign w:val="bottom"/>
          </w:tcPr>
          <w:p w14:paraId="5B115AF5" w14:textId="77777777" w:rsidR="00CF72D5" w:rsidRPr="002029AF" w:rsidRDefault="00CF72D5" w:rsidP="00897193">
            <w:pPr>
              <w:pStyle w:val="ARtablecolheadright"/>
            </w:pPr>
            <w:r w:rsidRPr="002029AF">
              <w:t>SMA</w:t>
            </w:r>
          </w:p>
        </w:tc>
        <w:tc>
          <w:tcPr>
            <w:tcW w:w="588" w:type="pct"/>
            <w:tcBorders>
              <w:top w:val="nil"/>
              <w:bottom w:val="single" w:sz="4" w:space="0" w:color="auto"/>
            </w:tcBorders>
            <w:vAlign w:val="bottom"/>
          </w:tcPr>
          <w:p w14:paraId="43DB5906" w14:textId="77777777" w:rsidR="00CF72D5" w:rsidRPr="002029AF" w:rsidRDefault="00CF72D5" w:rsidP="00897193">
            <w:pPr>
              <w:pStyle w:val="ARtablecolheadright"/>
            </w:pPr>
            <w:r w:rsidRPr="002029AF">
              <w:t>SRA</w:t>
            </w:r>
          </w:p>
        </w:tc>
        <w:tc>
          <w:tcPr>
            <w:tcW w:w="514" w:type="pct"/>
            <w:tcBorders>
              <w:top w:val="nil"/>
              <w:bottom w:val="single" w:sz="4" w:space="0" w:color="auto"/>
            </w:tcBorders>
            <w:vAlign w:val="bottom"/>
          </w:tcPr>
          <w:p w14:paraId="50F303DC" w14:textId="77777777" w:rsidR="00CF72D5" w:rsidRPr="002029AF" w:rsidRDefault="00CF72D5" w:rsidP="00897193">
            <w:pPr>
              <w:pStyle w:val="ARtablecolheadright"/>
            </w:pPr>
            <w:r w:rsidRPr="002029AF">
              <w:t>Other</w:t>
            </w:r>
          </w:p>
        </w:tc>
      </w:tr>
      <w:tr w:rsidR="00CF72D5" w:rsidRPr="002029AF" w14:paraId="0CAAC187" w14:textId="77777777" w:rsidTr="00897193">
        <w:trPr>
          <w:cantSplit/>
        </w:trPr>
        <w:tc>
          <w:tcPr>
            <w:tcW w:w="1399" w:type="pct"/>
            <w:tcBorders>
              <w:top w:val="single" w:sz="4" w:space="0" w:color="auto"/>
              <w:bottom w:val="single" w:sz="4" w:space="0" w:color="auto"/>
            </w:tcBorders>
            <w:shd w:val="clear" w:color="auto" w:fill="auto"/>
          </w:tcPr>
          <w:p w14:paraId="7DF305D6" w14:textId="5C892CF1" w:rsidR="00CF72D5" w:rsidRPr="002029AF" w:rsidRDefault="00CF72D5" w:rsidP="00897193">
            <w:pPr>
              <w:pStyle w:val="ARtabletext"/>
            </w:pPr>
            <w:r w:rsidRPr="002029AF">
              <w:t>&lt;</w:t>
            </w:r>
            <w:r w:rsidR="000A5329" w:rsidRPr="002029AF">
              <w:t xml:space="preserve"> </w:t>
            </w:r>
            <w:r w:rsidRPr="002029AF">
              <w:t>$160,000</w:t>
            </w:r>
          </w:p>
        </w:tc>
        <w:tc>
          <w:tcPr>
            <w:tcW w:w="735" w:type="pct"/>
            <w:tcBorders>
              <w:top w:val="single" w:sz="4" w:space="0" w:color="auto"/>
              <w:bottom w:val="single" w:sz="4" w:space="0" w:color="auto"/>
            </w:tcBorders>
            <w:shd w:val="clear" w:color="auto" w:fill="auto"/>
          </w:tcPr>
          <w:p w14:paraId="6F33CE43"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317CD35B"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1CC51D02"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50F68C20"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1D6A7C85"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1937CC71" w14:textId="77777777" w:rsidR="00CF72D5" w:rsidRPr="002029AF" w:rsidRDefault="00CF72D5" w:rsidP="00897193">
            <w:pPr>
              <w:pStyle w:val="ARtabletextright"/>
            </w:pPr>
          </w:p>
        </w:tc>
      </w:tr>
      <w:tr w:rsidR="00CF72D5" w:rsidRPr="002029AF" w14:paraId="372E3B2C" w14:textId="77777777" w:rsidTr="00897193">
        <w:trPr>
          <w:cantSplit/>
        </w:trPr>
        <w:tc>
          <w:tcPr>
            <w:tcW w:w="1399" w:type="pct"/>
            <w:tcBorders>
              <w:top w:val="single" w:sz="4" w:space="0" w:color="auto"/>
              <w:bottom w:val="single" w:sz="4" w:space="0" w:color="auto"/>
            </w:tcBorders>
            <w:shd w:val="clear" w:color="auto" w:fill="auto"/>
          </w:tcPr>
          <w:p w14:paraId="0DCF0D8C" w14:textId="77777777" w:rsidR="00CF72D5" w:rsidRPr="002029AF" w:rsidRDefault="00CF72D5" w:rsidP="00897193">
            <w:pPr>
              <w:pStyle w:val="ARtabletext"/>
            </w:pPr>
            <w:r w:rsidRPr="002029AF">
              <w:t>$160,000–$179,999</w:t>
            </w:r>
          </w:p>
        </w:tc>
        <w:tc>
          <w:tcPr>
            <w:tcW w:w="735" w:type="pct"/>
            <w:tcBorders>
              <w:top w:val="single" w:sz="4" w:space="0" w:color="auto"/>
              <w:bottom w:val="single" w:sz="4" w:space="0" w:color="auto"/>
            </w:tcBorders>
            <w:shd w:val="clear" w:color="auto" w:fill="auto"/>
          </w:tcPr>
          <w:p w14:paraId="5B475B7F" w14:textId="77777777" w:rsidR="00CF72D5" w:rsidRPr="002029AF" w:rsidRDefault="00CF72D5" w:rsidP="00897193">
            <w:pPr>
              <w:pStyle w:val="ARtabletextright"/>
              <w:rPr>
                <w:color w:val="000000" w:themeColor="text1"/>
              </w:rPr>
            </w:pPr>
            <w:r w:rsidRPr="002029AF">
              <w:rPr>
                <w:color w:val="000000" w:themeColor="text1"/>
              </w:rPr>
              <w:t>1</w:t>
            </w:r>
          </w:p>
        </w:tc>
        <w:tc>
          <w:tcPr>
            <w:tcW w:w="588" w:type="pct"/>
            <w:tcBorders>
              <w:top w:val="single" w:sz="4" w:space="0" w:color="auto"/>
              <w:bottom w:val="single" w:sz="4" w:space="0" w:color="auto"/>
            </w:tcBorders>
            <w:shd w:val="clear" w:color="auto" w:fill="auto"/>
          </w:tcPr>
          <w:p w14:paraId="5B8DF459" w14:textId="77777777" w:rsidR="00CF72D5" w:rsidRPr="002029AF" w:rsidRDefault="00CF72D5" w:rsidP="00897193">
            <w:pPr>
              <w:pStyle w:val="ARtabletextright"/>
              <w:rPr>
                <w:color w:val="000000" w:themeColor="text1"/>
              </w:rPr>
            </w:pPr>
            <w:r w:rsidRPr="002029AF">
              <w:rPr>
                <w:color w:val="000000" w:themeColor="text1"/>
              </w:rPr>
              <w:t>1</w:t>
            </w:r>
          </w:p>
        </w:tc>
        <w:tc>
          <w:tcPr>
            <w:tcW w:w="588" w:type="pct"/>
            <w:tcBorders>
              <w:top w:val="single" w:sz="4" w:space="0" w:color="auto"/>
              <w:bottom w:val="single" w:sz="4" w:space="0" w:color="auto"/>
            </w:tcBorders>
            <w:shd w:val="clear" w:color="auto" w:fill="auto"/>
          </w:tcPr>
          <w:p w14:paraId="6FE3D2AB"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1215F03F"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6EAE59C1"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31B63C26" w14:textId="77777777" w:rsidR="00CF72D5" w:rsidRPr="002029AF" w:rsidRDefault="00CF72D5" w:rsidP="00897193">
            <w:pPr>
              <w:pStyle w:val="ARtabletextright"/>
            </w:pPr>
          </w:p>
        </w:tc>
      </w:tr>
      <w:tr w:rsidR="00CF72D5" w:rsidRPr="002029AF" w14:paraId="059DDFE5" w14:textId="77777777" w:rsidTr="00897193">
        <w:trPr>
          <w:cantSplit/>
        </w:trPr>
        <w:tc>
          <w:tcPr>
            <w:tcW w:w="1399" w:type="pct"/>
            <w:tcBorders>
              <w:top w:val="single" w:sz="4" w:space="0" w:color="auto"/>
              <w:bottom w:val="single" w:sz="4" w:space="0" w:color="auto"/>
            </w:tcBorders>
            <w:shd w:val="clear" w:color="auto" w:fill="auto"/>
          </w:tcPr>
          <w:p w14:paraId="03A0D7C3" w14:textId="77777777" w:rsidR="00CF72D5" w:rsidRPr="002029AF" w:rsidRDefault="00CF72D5" w:rsidP="00897193">
            <w:pPr>
              <w:pStyle w:val="ARtabletext"/>
            </w:pPr>
            <w:r w:rsidRPr="002029AF">
              <w:t>$180,000–$199,999</w:t>
            </w:r>
          </w:p>
        </w:tc>
        <w:tc>
          <w:tcPr>
            <w:tcW w:w="735" w:type="pct"/>
            <w:tcBorders>
              <w:top w:val="single" w:sz="4" w:space="0" w:color="auto"/>
              <w:bottom w:val="single" w:sz="4" w:space="0" w:color="auto"/>
            </w:tcBorders>
            <w:shd w:val="clear" w:color="auto" w:fill="auto"/>
          </w:tcPr>
          <w:p w14:paraId="4C81FFF9" w14:textId="77777777" w:rsidR="00CF72D5" w:rsidRPr="002029AF" w:rsidRDefault="00CF72D5" w:rsidP="00897193">
            <w:pPr>
              <w:pStyle w:val="ARtabletextright"/>
              <w:rPr>
                <w:color w:val="000000" w:themeColor="text1"/>
              </w:rPr>
            </w:pPr>
            <w:r w:rsidRPr="002029AF">
              <w:rPr>
                <w:color w:val="000000" w:themeColor="text1"/>
              </w:rPr>
              <w:t>1</w:t>
            </w:r>
          </w:p>
        </w:tc>
        <w:tc>
          <w:tcPr>
            <w:tcW w:w="588" w:type="pct"/>
            <w:tcBorders>
              <w:top w:val="single" w:sz="4" w:space="0" w:color="auto"/>
              <w:bottom w:val="single" w:sz="4" w:space="0" w:color="auto"/>
            </w:tcBorders>
            <w:shd w:val="clear" w:color="auto" w:fill="auto"/>
          </w:tcPr>
          <w:p w14:paraId="3245CCC6" w14:textId="77777777" w:rsidR="00CF72D5" w:rsidRPr="002029AF" w:rsidRDefault="00CF72D5" w:rsidP="00897193">
            <w:pPr>
              <w:pStyle w:val="ARtabletextright"/>
              <w:rPr>
                <w:color w:val="000000" w:themeColor="text1"/>
              </w:rPr>
            </w:pPr>
            <w:r w:rsidRPr="002029AF">
              <w:rPr>
                <w:color w:val="000000" w:themeColor="text1"/>
              </w:rPr>
              <w:t>1</w:t>
            </w:r>
          </w:p>
        </w:tc>
        <w:tc>
          <w:tcPr>
            <w:tcW w:w="588" w:type="pct"/>
            <w:tcBorders>
              <w:top w:val="single" w:sz="4" w:space="0" w:color="auto"/>
              <w:bottom w:val="single" w:sz="4" w:space="0" w:color="auto"/>
            </w:tcBorders>
            <w:shd w:val="clear" w:color="auto" w:fill="auto"/>
          </w:tcPr>
          <w:p w14:paraId="3ACD8F30"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7AFAF44F"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087B6CAB"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02049A3E" w14:textId="77777777" w:rsidR="00CF72D5" w:rsidRPr="002029AF" w:rsidRDefault="00CF72D5" w:rsidP="00897193">
            <w:pPr>
              <w:pStyle w:val="ARtabletextright"/>
            </w:pPr>
          </w:p>
        </w:tc>
      </w:tr>
      <w:tr w:rsidR="00CF72D5" w:rsidRPr="002029AF" w14:paraId="29B6C16A" w14:textId="77777777" w:rsidTr="00897193">
        <w:trPr>
          <w:cantSplit/>
        </w:trPr>
        <w:tc>
          <w:tcPr>
            <w:tcW w:w="1399" w:type="pct"/>
            <w:tcBorders>
              <w:top w:val="single" w:sz="4" w:space="0" w:color="auto"/>
              <w:bottom w:val="single" w:sz="4" w:space="0" w:color="auto"/>
            </w:tcBorders>
            <w:shd w:val="clear" w:color="auto" w:fill="auto"/>
          </w:tcPr>
          <w:p w14:paraId="14A2FD7B" w14:textId="77777777" w:rsidR="00CF72D5" w:rsidRPr="002029AF" w:rsidRDefault="00CF72D5" w:rsidP="00897193">
            <w:pPr>
              <w:pStyle w:val="ARtabletext"/>
            </w:pPr>
            <w:r w:rsidRPr="002029AF">
              <w:t>$200,000–$219,999</w:t>
            </w:r>
          </w:p>
        </w:tc>
        <w:tc>
          <w:tcPr>
            <w:tcW w:w="735" w:type="pct"/>
            <w:tcBorders>
              <w:top w:val="single" w:sz="4" w:space="0" w:color="auto"/>
              <w:bottom w:val="single" w:sz="4" w:space="0" w:color="auto"/>
            </w:tcBorders>
            <w:shd w:val="clear" w:color="auto" w:fill="auto"/>
          </w:tcPr>
          <w:p w14:paraId="4BE32560" w14:textId="77777777" w:rsidR="00CF72D5" w:rsidRPr="002029AF" w:rsidRDefault="00CF72D5" w:rsidP="00897193">
            <w:pPr>
              <w:pStyle w:val="ARtabletextright"/>
              <w:rPr>
                <w:color w:val="000000" w:themeColor="text1"/>
              </w:rPr>
            </w:pPr>
            <w:r w:rsidRPr="002029AF">
              <w:rPr>
                <w:color w:val="000000" w:themeColor="text1"/>
              </w:rPr>
              <w:t>2</w:t>
            </w:r>
          </w:p>
        </w:tc>
        <w:tc>
          <w:tcPr>
            <w:tcW w:w="588" w:type="pct"/>
            <w:tcBorders>
              <w:top w:val="single" w:sz="4" w:space="0" w:color="auto"/>
              <w:bottom w:val="single" w:sz="4" w:space="0" w:color="auto"/>
            </w:tcBorders>
            <w:shd w:val="clear" w:color="auto" w:fill="auto"/>
          </w:tcPr>
          <w:p w14:paraId="641DAC53"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6168E995"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10D5D585"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766D015E"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4EDA59E0" w14:textId="77777777" w:rsidR="00CF72D5" w:rsidRPr="002029AF" w:rsidRDefault="00CF72D5" w:rsidP="00897193">
            <w:pPr>
              <w:pStyle w:val="ARtabletextright"/>
            </w:pPr>
          </w:p>
        </w:tc>
      </w:tr>
      <w:tr w:rsidR="00CF72D5" w:rsidRPr="002029AF" w14:paraId="5E156BC7" w14:textId="77777777" w:rsidTr="00897193">
        <w:trPr>
          <w:cantSplit/>
        </w:trPr>
        <w:tc>
          <w:tcPr>
            <w:tcW w:w="1399" w:type="pct"/>
            <w:tcBorders>
              <w:top w:val="single" w:sz="4" w:space="0" w:color="auto"/>
              <w:bottom w:val="single" w:sz="4" w:space="0" w:color="auto"/>
            </w:tcBorders>
            <w:shd w:val="clear" w:color="auto" w:fill="auto"/>
          </w:tcPr>
          <w:p w14:paraId="6326CD95" w14:textId="77777777" w:rsidR="00CF72D5" w:rsidRPr="002029AF" w:rsidRDefault="00CF72D5" w:rsidP="00897193">
            <w:pPr>
              <w:pStyle w:val="ARtabletext"/>
            </w:pPr>
            <w:r w:rsidRPr="002029AF">
              <w:t>$220,000–$239,999</w:t>
            </w:r>
          </w:p>
        </w:tc>
        <w:tc>
          <w:tcPr>
            <w:tcW w:w="735" w:type="pct"/>
            <w:tcBorders>
              <w:top w:val="single" w:sz="4" w:space="0" w:color="auto"/>
              <w:bottom w:val="single" w:sz="4" w:space="0" w:color="auto"/>
            </w:tcBorders>
            <w:shd w:val="clear" w:color="auto" w:fill="auto"/>
          </w:tcPr>
          <w:p w14:paraId="62A9B14E" w14:textId="77777777" w:rsidR="00CF72D5" w:rsidRPr="002029AF" w:rsidRDefault="00CF72D5" w:rsidP="00897193">
            <w:pPr>
              <w:pStyle w:val="ARtabletextright"/>
              <w:rPr>
                <w:color w:val="000000" w:themeColor="text1"/>
              </w:rPr>
            </w:pPr>
            <w:r w:rsidRPr="002029AF">
              <w:rPr>
                <w:color w:val="000000" w:themeColor="text1"/>
              </w:rPr>
              <w:t>1</w:t>
            </w:r>
          </w:p>
        </w:tc>
        <w:tc>
          <w:tcPr>
            <w:tcW w:w="588" w:type="pct"/>
            <w:tcBorders>
              <w:top w:val="single" w:sz="4" w:space="0" w:color="auto"/>
              <w:bottom w:val="single" w:sz="4" w:space="0" w:color="auto"/>
            </w:tcBorders>
            <w:shd w:val="clear" w:color="auto" w:fill="auto"/>
          </w:tcPr>
          <w:p w14:paraId="2303F7EC"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6A4AD280"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537A7A6D"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1CB78017"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46B9B9B0" w14:textId="77777777" w:rsidR="00CF72D5" w:rsidRPr="002029AF" w:rsidRDefault="00CF72D5" w:rsidP="00897193">
            <w:pPr>
              <w:pStyle w:val="ARtabletextright"/>
            </w:pPr>
          </w:p>
        </w:tc>
      </w:tr>
      <w:tr w:rsidR="00CF72D5" w:rsidRPr="002029AF" w14:paraId="450EB292" w14:textId="77777777" w:rsidTr="00897193">
        <w:trPr>
          <w:cantSplit/>
        </w:trPr>
        <w:tc>
          <w:tcPr>
            <w:tcW w:w="1399" w:type="pct"/>
            <w:tcBorders>
              <w:top w:val="single" w:sz="4" w:space="0" w:color="auto"/>
              <w:bottom w:val="single" w:sz="4" w:space="0" w:color="auto"/>
            </w:tcBorders>
            <w:shd w:val="clear" w:color="auto" w:fill="auto"/>
          </w:tcPr>
          <w:p w14:paraId="76D49F23" w14:textId="77777777" w:rsidR="00CF72D5" w:rsidRPr="002029AF" w:rsidRDefault="00CF72D5" w:rsidP="00897193">
            <w:pPr>
              <w:pStyle w:val="ARtabletext"/>
            </w:pPr>
            <w:r w:rsidRPr="002029AF">
              <w:t>$240,000–$259,999</w:t>
            </w:r>
          </w:p>
        </w:tc>
        <w:tc>
          <w:tcPr>
            <w:tcW w:w="735" w:type="pct"/>
            <w:tcBorders>
              <w:top w:val="single" w:sz="4" w:space="0" w:color="auto"/>
              <w:bottom w:val="single" w:sz="4" w:space="0" w:color="auto"/>
            </w:tcBorders>
            <w:shd w:val="clear" w:color="auto" w:fill="auto"/>
          </w:tcPr>
          <w:p w14:paraId="55E9E67E"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093C5574"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6AA70945"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251B9CDF"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2F5DD3B4"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3D8F7F2D" w14:textId="77777777" w:rsidR="00CF72D5" w:rsidRPr="002029AF" w:rsidRDefault="00CF72D5" w:rsidP="00897193">
            <w:pPr>
              <w:pStyle w:val="ARtabletextright"/>
            </w:pPr>
          </w:p>
        </w:tc>
      </w:tr>
      <w:tr w:rsidR="00CF72D5" w:rsidRPr="002029AF" w14:paraId="42D4B139" w14:textId="77777777" w:rsidTr="00897193">
        <w:tblPrEx>
          <w:tblLook w:val="04A0" w:firstRow="1" w:lastRow="0" w:firstColumn="1" w:lastColumn="0" w:noHBand="0" w:noVBand="1"/>
        </w:tblPrEx>
        <w:trPr>
          <w:cantSplit/>
        </w:trPr>
        <w:tc>
          <w:tcPr>
            <w:tcW w:w="1399" w:type="pct"/>
            <w:tcBorders>
              <w:top w:val="single" w:sz="4" w:space="0" w:color="auto"/>
              <w:bottom w:val="single" w:sz="4" w:space="0" w:color="auto"/>
            </w:tcBorders>
            <w:shd w:val="clear" w:color="auto" w:fill="auto"/>
          </w:tcPr>
          <w:p w14:paraId="5FE560FB" w14:textId="77777777" w:rsidR="00CF72D5" w:rsidRPr="002029AF" w:rsidRDefault="00CF72D5" w:rsidP="00897193">
            <w:pPr>
              <w:pStyle w:val="ARtabletext"/>
            </w:pPr>
            <w:r w:rsidRPr="002029AF">
              <w:t>$260,000–$279,999</w:t>
            </w:r>
          </w:p>
        </w:tc>
        <w:tc>
          <w:tcPr>
            <w:tcW w:w="735" w:type="pct"/>
            <w:tcBorders>
              <w:top w:val="single" w:sz="4" w:space="0" w:color="auto"/>
              <w:bottom w:val="single" w:sz="4" w:space="0" w:color="auto"/>
            </w:tcBorders>
            <w:shd w:val="clear" w:color="auto" w:fill="auto"/>
          </w:tcPr>
          <w:p w14:paraId="7DC66422"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3EFC5C38"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726AB186"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02295214"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063E6811"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232AFA65" w14:textId="77777777" w:rsidR="00CF72D5" w:rsidRPr="002029AF" w:rsidRDefault="00CF72D5" w:rsidP="00897193">
            <w:pPr>
              <w:pStyle w:val="ARtabletextright"/>
            </w:pPr>
          </w:p>
        </w:tc>
      </w:tr>
      <w:tr w:rsidR="00CF72D5" w:rsidRPr="002029AF" w14:paraId="2C5465D2" w14:textId="77777777" w:rsidTr="00897193">
        <w:tblPrEx>
          <w:tblLook w:val="04A0" w:firstRow="1" w:lastRow="0" w:firstColumn="1" w:lastColumn="0" w:noHBand="0" w:noVBand="1"/>
        </w:tblPrEx>
        <w:trPr>
          <w:cantSplit/>
        </w:trPr>
        <w:tc>
          <w:tcPr>
            <w:tcW w:w="1399" w:type="pct"/>
            <w:tcBorders>
              <w:top w:val="single" w:sz="4" w:space="0" w:color="auto"/>
              <w:bottom w:val="single" w:sz="4" w:space="0" w:color="auto"/>
            </w:tcBorders>
            <w:shd w:val="clear" w:color="auto" w:fill="auto"/>
          </w:tcPr>
          <w:p w14:paraId="749FBFAB" w14:textId="77777777" w:rsidR="00CF72D5" w:rsidRPr="002029AF" w:rsidRDefault="00CF72D5" w:rsidP="00897193">
            <w:pPr>
              <w:pStyle w:val="ARtabletext"/>
            </w:pPr>
            <w:r w:rsidRPr="002029AF">
              <w:t>$280,000–$299,999</w:t>
            </w:r>
          </w:p>
        </w:tc>
        <w:tc>
          <w:tcPr>
            <w:tcW w:w="735" w:type="pct"/>
            <w:tcBorders>
              <w:top w:val="single" w:sz="4" w:space="0" w:color="auto"/>
              <w:bottom w:val="single" w:sz="4" w:space="0" w:color="auto"/>
            </w:tcBorders>
            <w:shd w:val="clear" w:color="auto" w:fill="auto"/>
          </w:tcPr>
          <w:p w14:paraId="2F88F11E"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3396D840"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3CF2EC9C"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4E6C02F3"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20B9FBCC"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19FD7A95" w14:textId="77777777" w:rsidR="00CF72D5" w:rsidRPr="002029AF" w:rsidRDefault="00CF72D5" w:rsidP="00897193">
            <w:pPr>
              <w:pStyle w:val="ARtabletextright"/>
            </w:pPr>
          </w:p>
        </w:tc>
      </w:tr>
      <w:tr w:rsidR="00CF72D5" w:rsidRPr="002029AF" w14:paraId="61B1DE92" w14:textId="77777777" w:rsidTr="00897193">
        <w:tblPrEx>
          <w:tblLook w:val="04A0" w:firstRow="1" w:lastRow="0" w:firstColumn="1" w:lastColumn="0" w:noHBand="0" w:noVBand="1"/>
        </w:tblPrEx>
        <w:trPr>
          <w:cantSplit/>
        </w:trPr>
        <w:tc>
          <w:tcPr>
            <w:tcW w:w="1399" w:type="pct"/>
            <w:tcBorders>
              <w:top w:val="single" w:sz="4" w:space="0" w:color="auto"/>
              <w:bottom w:val="single" w:sz="4" w:space="0" w:color="auto"/>
            </w:tcBorders>
            <w:shd w:val="clear" w:color="auto" w:fill="auto"/>
          </w:tcPr>
          <w:p w14:paraId="3CD2EBE7" w14:textId="77777777" w:rsidR="00CF72D5" w:rsidRPr="002029AF" w:rsidRDefault="00CF72D5" w:rsidP="00897193">
            <w:pPr>
              <w:pStyle w:val="ARtabletext"/>
            </w:pPr>
            <w:r w:rsidRPr="002029AF">
              <w:t>$300,000–$319,999</w:t>
            </w:r>
          </w:p>
        </w:tc>
        <w:tc>
          <w:tcPr>
            <w:tcW w:w="735" w:type="pct"/>
            <w:tcBorders>
              <w:top w:val="single" w:sz="4" w:space="0" w:color="auto"/>
              <w:bottom w:val="single" w:sz="4" w:space="0" w:color="auto"/>
            </w:tcBorders>
            <w:shd w:val="clear" w:color="auto" w:fill="auto"/>
          </w:tcPr>
          <w:p w14:paraId="02B0C2C1"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522C24AD"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0287F465"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34B76E41"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7C0D89DB"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2E6E8A06" w14:textId="77777777" w:rsidR="00CF72D5" w:rsidRPr="002029AF" w:rsidRDefault="00CF72D5" w:rsidP="00897193">
            <w:pPr>
              <w:pStyle w:val="ARtabletextright"/>
            </w:pPr>
          </w:p>
        </w:tc>
      </w:tr>
      <w:tr w:rsidR="00CF72D5" w:rsidRPr="002029AF" w14:paraId="7A5683AA" w14:textId="77777777" w:rsidTr="00897193">
        <w:trPr>
          <w:cantSplit/>
        </w:trPr>
        <w:tc>
          <w:tcPr>
            <w:tcW w:w="1399" w:type="pct"/>
            <w:tcBorders>
              <w:top w:val="single" w:sz="4" w:space="0" w:color="auto"/>
              <w:bottom w:val="single" w:sz="4" w:space="0" w:color="auto"/>
            </w:tcBorders>
            <w:shd w:val="clear" w:color="auto" w:fill="auto"/>
          </w:tcPr>
          <w:p w14:paraId="7FB4716F" w14:textId="77777777" w:rsidR="00CF72D5" w:rsidRPr="002029AF" w:rsidRDefault="00CF72D5" w:rsidP="00897193">
            <w:pPr>
              <w:pStyle w:val="ARtabletext"/>
            </w:pPr>
            <w:r w:rsidRPr="002029AF">
              <w:t>$320,000–$339,999</w:t>
            </w:r>
          </w:p>
        </w:tc>
        <w:tc>
          <w:tcPr>
            <w:tcW w:w="735" w:type="pct"/>
            <w:tcBorders>
              <w:top w:val="single" w:sz="4" w:space="0" w:color="auto"/>
              <w:bottom w:val="single" w:sz="4" w:space="0" w:color="auto"/>
            </w:tcBorders>
            <w:shd w:val="clear" w:color="auto" w:fill="auto"/>
          </w:tcPr>
          <w:p w14:paraId="4870ACD4"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25A32473"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7EBA04AC"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415243D4"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0C00F3E9"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1B99E798" w14:textId="77777777" w:rsidR="00CF72D5" w:rsidRPr="002029AF" w:rsidRDefault="00CF72D5" w:rsidP="00897193">
            <w:pPr>
              <w:pStyle w:val="ARtabletextright"/>
            </w:pPr>
          </w:p>
        </w:tc>
      </w:tr>
      <w:tr w:rsidR="00CF72D5" w:rsidRPr="002029AF" w14:paraId="346178D0" w14:textId="77777777" w:rsidTr="00897193">
        <w:trPr>
          <w:cantSplit/>
        </w:trPr>
        <w:tc>
          <w:tcPr>
            <w:tcW w:w="1399" w:type="pct"/>
            <w:tcBorders>
              <w:top w:val="single" w:sz="4" w:space="0" w:color="auto"/>
              <w:bottom w:val="single" w:sz="4" w:space="0" w:color="auto"/>
            </w:tcBorders>
            <w:shd w:val="clear" w:color="auto" w:fill="auto"/>
          </w:tcPr>
          <w:p w14:paraId="6405FB9B" w14:textId="77777777" w:rsidR="00CF72D5" w:rsidRPr="002029AF" w:rsidRDefault="00CF72D5" w:rsidP="00897193">
            <w:pPr>
              <w:pStyle w:val="ARtabletext"/>
            </w:pPr>
            <w:r w:rsidRPr="002029AF">
              <w:t>$340,000–$359,999</w:t>
            </w:r>
          </w:p>
        </w:tc>
        <w:tc>
          <w:tcPr>
            <w:tcW w:w="735" w:type="pct"/>
            <w:tcBorders>
              <w:top w:val="single" w:sz="4" w:space="0" w:color="auto"/>
              <w:bottom w:val="single" w:sz="4" w:space="0" w:color="auto"/>
            </w:tcBorders>
            <w:shd w:val="clear" w:color="auto" w:fill="auto"/>
          </w:tcPr>
          <w:p w14:paraId="5492440C"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0A4958EE"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3AE54A66"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0963FDC7"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5C0B8326"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40B32A10" w14:textId="77777777" w:rsidR="00CF72D5" w:rsidRPr="002029AF" w:rsidRDefault="00CF72D5" w:rsidP="00897193">
            <w:pPr>
              <w:pStyle w:val="ARtabletextright"/>
            </w:pPr>
          </w:p>
        </w:tc>
      </w:tr>
      <w:tr w:rsidR="00CF72D5" w:rsidRPr="002029AF" w14:paraId="35FF4A4F" w14:textId="77777777" w:rsidTr="00897193">
        <w:trPr>
          <w:cantSplit/>
        </w:trPr>
        <w:tc>
          <w:tcPr>
            <w:tcW w:w="1399" w:type="pct"/>
            <w:tcBorders>
              <w:top w:val="single" w:sz="4" w:space="0" w:color="auto"/>
              <w:bottom w:val="single" w:sz="4" w:space="0" w:color="auto"/>
            </w:tcBorders>
            <w:shd w:val="clear" w:color="auto" w:fill="auto"/>
          </w:tcPr>
          <w:p w14:paraId="1A64849A" w14:textId="77777777" w:rsidR="00CF72D5" w:rsidRPr="002029AF" w:rsidRDefault="00CF72D5" w:rsidP="00897193">
            <w:pPr>
              <w:pStyle w:val="ARtabletext"/>
            </w:pPr>
            <w:r w:rsidRPr="002029AF">
              <w:t>$360,000–$379,999</w:t>
            </w:r>
          </w:p>
        </w:tc>
        <w:tc>
          <w:tcPr>
            <w:tcW w:w="735" w:type="pct"/>
            <w:tcBorders>
              <w:top w:val="single" w:sz="4" w:space="0" w:color="auto"/>
              <w:bottom w:val="single" w:sz="4" w:space="0" w:color="auto"/>
            </w:tcBorders>
            <w:shd w:val="clear" w:color="auto" w:fill="auto"/>
          </w:tcPr>
          <w:p w14:paraId="1D3FD4E6"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34D743F0"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4156137F"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1E36C9A7"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36E2CF54"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3638A42E" w14:textId="77777777" w:rsidR="00CF72D5" w:rsidRPr="002029AF" w:rsidRDefault="00CF72D5" w:rsidP="00897193">
            <w:pPr>
              <w:pStyle w:val="ARtabletextright"/>
            </w:pPr>
          </w:p>
        </w:tc>
      </w:tr>
      <w:tr w:rsidR="00CF72D5" w:rsidRPr="002029AF" w14:paraId="1F5EE957" w14:textId="77777777" w:rsidTr="00897193">
        <w:trPr>
          <w:cantSplit/>
        </w:trPr>
        <w:tc>
          <w:tcPr>
            <w:tcW w:w="1399" w:type="pct"/>
            <w:tcBorders>
              <w:top w:val="single" w:sz="4" w:space="0" w:color="auto"/>
              <w:bottom w:val="single" w:sz="4" w:space="0" w:color="auto"/>
            </w:tcBorders>
            <w:shd w:val="clear" w:color="auto" w:fill="auto"/>
          </w:tcPr>
          <w:p w14:paraId="1DD28B1F" w14:textId="77777777" w:rsidR="00CF72D5" w:rsidRPr="002029AF" w:rsidRDefault="00CF72D5" w:rsidP="00897193">
            <w:pPr>
              <w:pStyle w:val="ARtabletext"/>
            </w:pPr>
            <w:r w:rsidRPr="002029AF">
              <w:t>$380,000–$399,999</w:t>
            </w:r>
          </w:p>
        </w:tc>
        <w:tc>
          <w:tcPr>
            <w:tcW w:w="735" w:type="pct"/>
            <w:tcBorders>
              <w:top w:val="single" w:sz="4" w:space="0" w:color="auto"/>
              <w:bottom w:val="single" w:sz="4" w:space="0" w:color="auto"/>
            </w:tcBorders>
            <w:shd w:val="clear" w:color="auto" w:fill="auto"/>
          </w:tcPr>
          <w:p w14:paraId="312FF69C" w14:textId="77777777" w:rsidR="00CF72D5" w:rsidRPr="002029AF" w:rsidRDefault="00CF72D5" w:rsidP="00897193">
            <w:pPr>
              <w:pStyle w:val="ARtabletextright"/>
              <w:rPr>
                <w:color w:val="000000" w:themeColor="text1"/>
              </w:rPr>
            </w:pPr>
            <w:r w:rsidRPr="002029AF">
              <w:rPr>
                <w:color w:val="000000" w:themeColor="text1"/>
              </w:rPr>
              <w:t>1</w:t>
            </w:r>
          </w:p>
        </w:tc>
        <w:tc>
          <w:tcPr>
            <w:tcW w:w="588" w:type="pct"/>
            <w:tcBorders>
              <w:top w:val="single" w:sz="4" w:space="0" w:color="auto"/>
              <w:bottom w:val="single" w:sz="4" w:space="0" w:color="auto"/>
            </w:tcBorders>
            <w:shd w:val="clear" w:color="auto" w:fill="auto"/>
          </w:tcPr>
          <w:p w14:paraId="18148A0D" w14:textId="77777777" w:rsidR="00CF72D5" w:rsidRPr="002029AF" w:rsidRDefault="00CF72D5" w:rsidP="00897193">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6700E438"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28402DD5" w14:textId="77777777" w:rsidR="00CF72D5" w:rsidRPr="002029AF" w:rsidRDefault="00CF72D5" w:rsidP="00897193">
            <w:pPr>
              <w:pStyle w:val="ARtabletextright"/>
            </w:pPr>
          </w:p>
        </w:tc>
        <w:tc>
          <w:tcPr>
            <w:tcW w:w="588" w:type="pct"/>
            <w:tcBorders>
              <w:top w:val="single" w:sz="4" w:space="0" w:color="auto"/>
              <w:bottom w:val="single" w:sz="4" w:space="0" w:color="auto"/>
            </w:tcBorders>
          </w:tcPr>
          <w:p w14:paraId="412B1706" w14:textId="77777777" w:rsidR="00CF72D5" w:rsidRPr="002029AF" w:rsidRDefault="00CF72D5" w:rsidP="00897193">
            <w:pPr>
              <w:pStyle w:val="ARtabletextright"/>
            </w:pPr>
          </w:p>
        </w:tc>
        <w:tc>
          <w:tcPr>
            <w:tcW w:w="514" w:type="pct"/>
            <w:tcBorders>
              <w:top w:val="single" w:sz="4" w:space="0" w:color="auto"/>
              <w:bottom w:val="single" w:sz="4" w:space="0" w:color="auto"/>
            </w:tcBorders>
          </w:tcPr>
          <w:p w14:paraId="2D1F286F" w14:textId="77777777" w:rsidR="00CF72D5" w:rsidRPr="002029AF" w:rsidRDefault="00CF72D5" w:rsidP="00897193">
            <w:pPr>
              <w:pStyle w:val="ARtabletextright"/>
            </w:pPr>
          </w:p>
        </w:tc>
      </w:tr>
      <w:tr w:rsidR="00CF72D5" w:rsidRPr="002029AF" w14:paraId="4E4CC77E" w14:textId="77777777" w:rsidTr="00897193">
        <w:tblPrEx>
          <w:tblLook w:val="04A0" w:firstRow="1" w:lastRow="0" w:firstColumn="1" w:lastColumn="0" w:noHBand="0" w:noVBand="1"/>
        </w:tblPrEx>
        <w:trPr>
          <w:cantSplit/>
        </w:trPr>
        <w:tc>
          <w:tcPr>
            <w:tcW w:w="1399" w:type="pct"/>
            <w:tcBorders>
              <w:top w:val="single" w:sz="4" w:space="0" w:color="auto"/>
            </w:tcBorders>
            <w:shd w:val="clear" w:color="auto" w:fill="auto"/>
          </w:tcPr>
          <w:p w14:paraId="172A7F3B" w14:textId="77777777" w:rsidR="00CF72D5" w:rsidRPr="002029AF" w:rsidRDefault="00CF72D5" w:rsidP="00897193">
            <w:pPr>
              <w:pStyle w:val="ARtabletextbold"/>
            </w:pPr>
            <w:r w:rsidRPr="002029AF">
              <w:t>Total</w:t>
            </w:r>
          </w:p>
        </w:tc>
        <w:tc>
          <w:tcPr>
            <w:tcW w:w="735" w:type="pct"/>
            <w:tcBorders>
              <w:top w:val="single" w:sz="4" w:space="0" w:color="auto"/>
            </w:tcBorders>
            <w:shd w:val="clear" w:color="auto" w:fill="auto"/>
          </w:tcPr>
          <w:p w14:paraId="545FBEFE" w14:textId="77777777" w:rsidR="00CF72D5" w:rsidRPr="002029AF" w:rsidRDefault="00CF72D5" w:rsidP="00897193">
            <w:pPr>
              <w:pStyle w:val="ARtabletextrightbold"/>
              <w:rPr>
                <w:color w:val="000000" w:themeColor="text1"/>
              </w:rPr>
            </w:pPr>
            <w:r w:rsidRPr="002029AF">
              <w:rPr>
                <w:color w:val="000000" w:themeColor="text1"/>
              </w:rPr>
              <w:t>6</w:t>
            </w:r>
          </w:p>
        </w:tc>
        <w:tc>
          <w:tcPr>
            <w:tcW w:w="588" w:type="pct"/>
            <w:tcBorders>
              <w:top w:val="single" w:sz="4" w:space="0" w:color="auto"/>
            </w:tcBorders>
            <w:shd w:val="clear" w:color="auto" w:fill="auto"/>
          </w:tcPr>
          <w:p w14:paraId="782EF7D4" w14:textId="77777777" w:rsidR="00CF72D5" w:rsidRPr="002029AF" w:rsidRDefault="00CF72D5" w:rsidP="00897193">
            <w:pPr>
              <w:pStyle w:val="ARtabletextrightbold"/>
              <w:rPr>
                <w:color w:val="000000" w:themeColor="text1"/>
              </w:rPr>
            </w:pPr>
            <w:r w:rsidRPr="002029AF">
              <w:rPr>
                <w:color w:val="000000" w:themeColor="text1"/>
              </w:rPr>
              <w:t>2</w:t>
            </w:r>
          </w:p>
        </w:tc>
        <w:tc>
          <w:tcPr>
            <w:tcW w:w="588" w:type="pct"/>
            <w:tcBorders>
              <w:top w:val="single" w:sz="4" w:space="0" w:color="auto"/>
            </w:tcBorders>
            <w:shd w:val="clear" w:color="auto" w:fill="auto"/>
          </w:tcPr>
          <w:p w14:paraId="3CE66CE3" w14:textId="77777777" w:rsidR="00CF72D5" w:rsidRPr="002029AF" w:rsidRDefault="00CF72D5" w:rsidP="00897193">
            <w:pPr>
              <w:pStyle w:val="ARtabletextrightbold"/>
            </w:pPr>
          </w:p>
        </w:tc>
        <w:tc>
          <w:tcPr>
            <w:tcW w:w="588" w:type="pct"/>
            <w:tcBorders>
              <w:top w:val="single" w:sz="4" w:space="0" w:color="auto"/>
            </w:tcBorders>
          </w:tcPr>
          <w:p w14:paraId="6EEC1774" w14:textId="77777777" w:rsidR="00CF72D5" w:rsidRPr="002029AF" w:rsidRDefault="00CF72D5" w:rsidP="00897193">
            <w:pPr>
              <w:pStyle w:val="ARtabletextrightbold"/>
            </w:pPr>
          </w:p>
        </w:tc>
        <w:tc>
          <w:tcPr>
            <w:tcW w:w="588" w:type="pct"/>
            <w:tcBorders>
              <w:top w:val="single" w:sz="4" w:space="0" w:color="auto"/>
            </w:tcBorders>
          </w:tcPr>
          <w:p w14:paraId="724CB8EB" w14:textId="77777777" w:rsidR="00CF72D5" w:rsidRPr="002029AF" w:rsidRDefault="00CF72D5" w:rsidP="00897193">
            <w:pPr>
              <w:pStyle w:val="ARtabletextrightbold"/>
            </w:pPr>
          </w:p>
        </w:tc>
        <w:tc>
          <w:tcPr>
            <w:tcW w:w="514" w:type="pct"/>
            <w:tcBorders>
              <w:top w:val="single" w:sz="4" w:space="0" w:color="auto"/>
            </w:tcBorders>
          </w:tcPr>
          <w:p w14:paraId="045F1246" w14:textId="77777777" w:rsidR="00CF72D5" w:rsidRPr="002029AF" w:rsidRDefault="00CF72D5" w:rsidP="00897193">
            <w:pPr>
              <w:pStyle w:val="ARtabletextrightbold"/>
            </w:pPr>
          </w:p>
        </w:tc>
      </w:tr>
    </w:tbl>
    <w:p w14:paraId="728E1239" w14:textId="77777777" w:rsidR="00CF72D5" w:rsidRPr="002029AF" w:rsidRDefault="00CF72D5" w:rsidP="00897193">
      <w:pPr>
        <w:pStyle w:val="ARbody"/>
      </w:pPr>
      <w:bookmarkStart w:id="86" w:name="_Ref525047436"/>
      <w:r w:rsidRPr="002029AF">
        <w:br w:type="page"/>
      </w:r>
    </w:p>
    <w:p w14:paraId="4F5E12A9" w14:textId="6F6D5BC7" w:rsidR="00CF72D5" w:rsidRPr="002029AF" w:rsidRDefault="00CF72D5" w:rsidP="00897193">
      <w:pPr>
        <w:pStyle w:val="Heading3"/>
      </w:pPr>
      <w:bookmarkStart w:id="87" w:name="_Ref21960664"/>
      <w:r w:rsidRPr="002029AF">
        <w:lastRenderedPageBreak/>
        <w:t>Executive</w:t>
      </w:r>
      <w:r w:rsidR="000A5329" w:rsidRPr="002029AF">
        <w:t xml:space="preserve"> </w:t>
      </w:r>
      <w:r w:rsidRPr="002029AF">
        <w:t>officer</w:t>
      </w:r>
      <w:r w:rsidR="000A5329" w:rsidRPr="002029AF">
        <w:t xml:space="preserve"> </w:t>
      </w:r>
      <w:r w:rsidRPr="002029AF">
        <w:t>data</w:t>
      </w:r>
      <w:bookmarkEnd w:id="80"/>
      <w:bookmarkEnd w:id="83"/>
      <w:bookmarkEnd w:id="86"/>
      <w:bookmarkEnd w:id="87"/>
    </w:p>
    <w:p w14:paraId="66FEC445" w14:textId="2B6CD8EA" w:rsidR="00CF72D5" w:rsidRPr="002029AF" w:rsidRDefault="00CF72D5" w:rsidP="00897193">
      <w:pPr>
        <w:pStyle w:val="ARbody"/>
      </w:pPr>
      <w:r w:rsidRPr="002029AF">
        <w:t>For</w:t>
      </w:r>
      <w:r w:rsidR="000A5329" w:rsidRPr="002029AF">
        <w:t xml:space="preserve"> </w:t>
      </w:r>
      <w:r w:rsidRPr="002029AF">
        <w:t>a</w:t>
      </w:r>
      <w:r w:rsidR="000A5329" w:rsidRPr="002029AF">
        <w:t xml:space="preserve"> </w:t>
      </w:r>
      <w:r w:rsidRPr="002029AF">
        <w:t>department,</w:t>
      </w:r>
      <w:r w:rsidR="000A5329" w:rsidRPr="002029AF">
        <w:t xml:space="preserve"> </w:t>
      </w:r>
      <w:r w:rsidRPr="002029AF">
        <w:t>an</w:t>
      </w:r>
      <w:r w:rsidR="000A5329" w:rsidRPr="002029AF">
        <w:t xml:space="preserve"> </w:t>
      </w:r>
      <w:r w:rsidRPr="002029AF">
        <w:t>executive</w:t>
      </w:r>
      <w:r w:rsidR="000A5329" w:rsidRPr="002029AF">
        <w:t xml:space="preserve"> </w:t>
      </w:r>
      <w:r w:rsidRPr="002029AF">
        <w:t>officer</w:t>
      </w:r>
      <w:r w:rsidR="000A5329" w:rsidRPr="002029AF">
        <w:t xml:space="preserve"> </w:t>
      </w:r>
      <w:r w:rsidRPr="002029AF">
        <w:t>(EO)</w:t>
      </w:r>
      <w:r w:rsidR="000A5329" w:rsidRPr="002029AF">
        <w:t xml:space="preserve"> </w:t>
      </w:r>
      <w:r w:rsidRPr="002029AF">
        <w:t>is</w:t>
      </w:r>
      <w:r w:rsidR="000A5329" w:rsidRPr="002029AF">
        <w:t xml:space="preserve"> </w:t>
      </w:r>
      <w:r w:rsidRPr="002029AF">
        <w:t>defined</w:t>
      </w:r>
      <w:r w:rsidR="000A5329" w:rsidRPr="002029AF">
        <w:t xml:space="preserve"> </w:t>
      </w:r>
      <w:r w:rsidRPr="002029AF">
        <w:t>as</w:t>
      </w:r>
      <w:r w:rsidR="000A5329" w:rsidRPr="002029AF">
        <w:t xml:space="preserve"> </w:t>
      </w:r>
      <w:r w:rsidRPr="002029AF">
        <w:t>a</w:t>
      </w:r>
      <w:r w:rsidR="000A5329" w:rsidRPr="002029AF">
        <w:t xml:space="preserve"> </w:t>
      </w:r>
      <w:r w:rsidRPr="002029AF">
        <w:t>person</w:t>
      </w:r>
      <w:r w:rsidR="000A5329" w:rsidRPr="002029AF">
        <w:t xml:space="preserve"> </w:t>
      </w:r>
      <w:r w:rsidRPr="002029AF">
        <w:t>employed</w:t>
      </w:r>
      <w:r w:rsidR="000A5329" w:rsidRPr="002029AF">
        <w:t xml:space="preserve"> </w:t>
      </w:r>
      <w:r w:rsidRPr="002029AF">
        <w:t>as</w:t>
      </w:r>
      <w:r w:rsidR="000A5329" w:rsidRPr="002029AF">
        <w:t xml:space="preserve"> </w:t>
      </w:r>
      <w:r w:rsidRPr="002029AF">
        <w:t>an</w:t>
      </w:r>
      <w:r w:rsidR="000A5329" w:rsidRPr="002029AF">
        <w:t xml:space="preserve"> </w:t>
      </w:r>
      <w:r w:rsidRPr="002029AF">
        <w:t>executive</w:t>
      </w:r>
      <w:r w:rsidR="000A5329" w:rsidRPr="002029AF">
        <w:t xml:space="preserve"> </w:t>
      </w:r>
      <w:r w:rsidRPr="002029AF">
        <w:t>under</w:t>
      </w:r>
      <w:r w:rsidR="000A5329" w:rsidRPr="002029AF">
        <w:t xml:space="preserve"> </w:t>
      </w:r>
      <w:r w:rsidRPr="002029AF">
        <w:t>Part</w:t>
      </w:r>
      <w:r w:rsidR="000A5329" w:rsidRPr="002029AF">
        <w:t xml:space="preserve"> </w:t>
      </w:r>
      <w:r w:rsidRPr="002029AF">
        <w:t>3</w:t>
      </w:r>
      <w:r w:rsidR="000A5329" w:rsidRPr="002029AF">
        <w:t xml:space="preserve"> </w:t>
      </w:r>
      <w:r w:rsidRPr="002029AF">
        <w:t>of</w:t>
      </w:r>
      <w:r w:rsidR="000A5329" w:rsidRPr="002029AF">
        <w:t xml:space="preserve"> </w:t>
      </w:r>
      <w:r w:rsidRPr="002029AF">
        <w:t>the</w:t>
      </w:r>
      <w:r w:rsidR="000A5329" w:rsidRPr="002029AF">
        <w:t xml:space="preserve"> </w:t>
      </w:r>
      <w:r w:rsidRPr="002029AF">
        <w:rPr>
          <w:i/>
        </w:rPr>
        <w:t>Public</w:t>
      </w:r>
      <w:r w:rsidR="000A5329" w:rsidRPr="002029AF">
        <w:rPr>
          <w:i/>
        </w:rPr>
        <w:t xml:space="preserve"> </w:t>
      </w:r>
      <w:r w:rsidRPr="002029AF">
        <w:rPr>
          <w:i/>
        </w:rPr>
        <w:t>Administration</w:t>
      </w:r>
      <w:r w:rsidR="000A5329" w:rsidRPr="002029AF">
        <w:rPr>
          <w:i/>
        </w:rPr>
        <w:t xml:space="preserve"> </w:t>
      </w:r>
      <w:r w:rsidRPr="002029AF">
        <w:rPr>
          <w:i/>
        </w:rPr>
        <w:t>Act</w:t>
      </w:r>
      <w:r w:rsidR="000A5329" w:rsidRPr="002029AF">
        <w:rPr>
          <w:i/>
        </w:rPr>
        <w:t xml:space="preserve"> </w:t>
      </w:r>
      <w:r w:rsidRPr="002029AF">
        <w:rPr>
          <w:i/>
        </w:rPr>
        <w:t>2004</w:t>
      </w:r>
      <w:r w:rsidR="000A5329" w:rsidRPr="002029AF">
        <w:rPr>
          <w:i/>
        </w:rPr>
        <w:t xml:space="preserve"> </w:t>
      </w:r>
      <w:r w:rsidRPr="002029AF">
        <w:t>(PAA).</w:t>
      </w:r>
      <w:r w:rsidR="000A5329" w:rsidRPr="002029AF">
        <w:t xml:space="preserve"> </w:t>
      </w:r>
      <w:r w:rsidRPr="002029AF">
        <w:t>For</w:t>
      </w:r>
      <w:r w:rsidR="000A5329" w:rsidRPr="002029AF">
        <w:t xml:space="preserve"> </w:t>
      </w:r>
      <w:r w:rsidRPr="002029AF">
        <w:t>a</w:t>
      </w:r>
      <w:r w:rsidR="000A5329" w:rsidRPr="002029AF">
        <w:t xml:space="preserve"> </w:t>
      </w:r>
      <w:r w:rsidRPr="002029AF">
        <w:t>public</w:t>
      </w:r>
      <w:r w:rsidR="000A5329" w:rsidRPr="002029AF">
        <w:t xml:space="preserve"> </w:t>
      </w:r>
      <w:r w:rsidRPr="002029AF">
        <w:t>body,</w:t>
      </w:r>
      <w:r w:rsidR="000A5329" w:rsidRPr="002029AF">
        <w:t xml:space="preserve"> </w:t>
      </w:r>
      <w:r w:rsidRPr="002029AF">
        <w:t>an</w:t>
      </w:r>
      <w:r w:rsidR="000A5329" w:rsidRPr="002029AF">
        <w:t xml:space="preserve"> </w:t>
      </w:r>
      <w:r w:rsidRPr="002029AF">
        <w:t>EO</w:t>
      </w:r>
      <w:r w:rsidR="000A5329" w:rsidRPr="002029AF">
        <w:t xml:space="preserve"> </w:t>
      </w:r>
      <w:r w:rsidRPr="002029AF">
        <w:t>is</w:t>
      </w:r>
      <w:r w:rsidR="000A5329" w:rsidRPr="002029AF">
        <w:t xml:space="preserve"> </w:t>
      </w:r>
      <w:r w:rsidRPr="002029AF">
        <w:t>defined</w:t>
      </w:r>
      <w:r w:rsidR="000A5329" w:rsidRPr="002029AF">
        <w:t xml:space="preserve"> </w:t>
      </w:r>
      <w:r w:rsidRPr="002029AF">
        <w:t>as</w:t>
      </w:r>
      <w:r w:rsidR="000A5329" w:rsidRPr="002029AF">
        <w:t xml:space="preserve"> </w:t>
      </w:r>
      <w:r w:rsidRPr="002029AF">
        <w:t>an</w:t>
      </w:r>
      <w:r w:rsidR="000A5329" w:rsidRPr="002029AF">
        <w:t xml:space="preserve"> </w:t>
      </w:r>
      <w:r w:rsidRPr="002029AF">
        <w:t>executive</w:t>
      </w:r>
      <w:r w:rsidR="000A5329" w:rsidRPr="002029AF">
        <w:t xml:space="preserve"> </w:t>
      </w:r>
      <w:r w:rsidRPr="002029AF">
        <w:t>under</w:t>
      </w:r>
      <w:r w:rsidR="000A5329" w:rsidRPr="002029AF">
        <w:t xml:space="preserve"> </w:t>
      </w:r>
      <w:r w:rsidRPr="002029AF">
        <w:t>Part</w:t>
      </w:r>
      <w:r w:rsidR="000A5329" w:rsidRPr="002029AF">
        <w:t xml:space="preserve"> </w:t>
      </w:r>
      <w:r w:rsidRPr="002029AF">
        <w:t>3</w:t>
      </w:r>
      <w:r w:rsidR="000A5329" w:rsidRPr="002029AF">
        <w:t xml:space="preserve"> </w:t>
      </w:r>
      <w:r w:rsidRPr="002029AF">
        <w:t>of</w:t>
      </w:r>
      <w:r w:rsidR="000A5329" w:rsidRPr="002029AF">
        <w:t xml:space="preserve"> </w:t>
      </w:r>
      <w:r w:rsidRPr="002029AF">
        <w:t>the</w:t>
      </w:r>
      <w:r w:rsidR="000A5329" w:rsidRPr="002029AF">
        <w:t xml:space="preserve"> </w:t>
      </w:r>
      <w:r w:rsidRPr="002029AF">
        <w:t>PAA</w:t>
      </w:r>
      <w:r w:rsidR="000A5329" w:rsidRPr="002029AF">
        <w:t xml:space="preserve"> </w:t>
      </w:r>
      <w:r w:rsidRPr="002029AF">
        <w:t>or</w:t>
      </w:r>
      <w:r w:rsidR="000A5329" w:rsidRPr="002029AF">
        <w:t xml:space="preserve"> </w:t>
      </w:r>
      <w:r w:rsidRPr="002029AF">
        <w:t>a</w:t>
      </w:r>
      <w:r w:rsidR="000A5329" w:rsidRPr="002029AF">
        <w:t xml:space="preserve"> </w:t>
      </w:r>
      <w:r w:rsidRPr="002029AF">
        <w:t>person</w:t>
      </w:r>
      <w:r w:rsidR="000A5329" w:rsidRPr="002029AF">
        <w:t xml:space="preserve"> </w:t>
      </w:r>
      <w:r w:rsidRPr="002029AF">
        <w:t>to</w:t>
      </w:r>
      <w:r w:rsidR="000A5329" w:rsidRPr="002029AF">
        <w:t xml:space="preserve"> </w:t>
      </w:r>
      <w:r w:rsidRPr="002029AF">
        <w:t>whom</w:t>
      </w:r>
      <w:r w:rsidR="000A5329" w:rsidRPr="002029AF">
        <w:t xml:space="preserve"> </w:t>
      </w:r>
      <w:r w:rsidRPr="002029AF">
        <w:t>the</w:t>
      </w:r>
      <w:r w:rsidR="000A5329" w:rsidRPr="002029AF">
        <w:t xml:space="preserve"> </w:t>
      </w:r>
      <w:r w:rsidRPr="002029AF">
        <w:t>Victorian</w:t>
      </w:r>
      <w:r w:rsidR="000A5329" w:rsidRPr="002029AF">
        <w:t xml:space="preserve"> </w:t>
      </w:r>
      <w:r w:rsidRPr="002029AF">
        <w:t>Government’s</w:t>
      </w:r>
      <w:r w:rsidR="000A5329" w:rsidRPr="002029AF">
        <w:t xml:space="preserve"> </w:t>
      </w:r>
      <w:r w:rsidRPr="002029AF">
        <w:rPr>
          <w:i/>
        </w:rPr>
        <w:t>Policy</w:t>
      </w:r>
      <w:r w:rsidR="000A5329" w:rsidRPr="002029AF">
        <w:rPr>
          <w:i/>
        </w:rPr>
        <w:t xml:space="preserve"> </w:t>
      </w:r>
      <w:r w:rsidRPr="002029AF">
        <w:rPr>
          <w:i/>
        </w:rPr>
        <w:t>on</w:t>
      </w:r>
      <w:r w:rsidR="000A5329" w:rsidRPr="002029AF">
        <w:rPr>
          <w:i/>
        </w:rPr>
        <w:t xml:space="preserve"> </w:t>
      </w:r>
      <w:r w:rsidRPr="002029AF">
        <w:rPr>
          <w:i/>
        </w:rPr>
        <w:t>executive</w:t>
      </w:r>
      <w:r w:rsidR="000A5329" w:rsidRPr="002029AF">
        <w:rPr>
          <w:i/>
        </w:rPr>
        <w:t xml:space="preserve"> </w:t>
      </w:r>
      <w:r w:rsidRPr="002029AF">
        <w:rPr>
          <w:i/>
        </w:rPr>
        <w:t>remuneration</w:t>
      </w:r>
      <w:r w:rsidR="000A5329" w:rsidRPr="002029AF">
        <w:rPr>
          <w:i/>
        </w:rPr>
        <w:t xml:space="preserve"> </w:t>
      </w:r>
      <w:r w:rsidRPr="002029AF">
        <w:rPr>
          <w:i/>
        </w:rPr>
        <w:t>in</w:t>
      </w:r>
      <w:r w:rsidR="000A5329" w:rsidRPr="002029AF">
        <w:rPr>
          <w:i/>
        </w:rPr>
        <w:t xml:space="preserve"> </w:t>
      </w:r>
      <w:r w:rsidRPr="002029AF">
        <w:rPr>
          <w:i/>
        </w:rPr>
        <w:t>public</w:t>
      </w:r>
      <w:r w:rsidR="000A5329" w:rsidRPr="002029AF">
        <w:t xml:space="preserve"> </w:t>
      </w:r>
      <w:r w:rsidRPr="002029AF">
        <w:t>entities</w:t>
      </w:r>
      <w:r w:rsidR="000A5329" w:rsidRPr="002029AF">
        <w:t xml:space="preserve"> </w:t>
      </w:r>
      <w:r w:rsidRPr="002029AF">
        <w:t>applies.</w:t>
      </w:r>
      <w:r w:rsidR="000A5329" w:rsidRPr="002029AF">
        <w:t xml:space="preserve"> </w:t>
      </w:r>
      <w:r w:rsidRPr="002029AF">
        <w:t>All</w:t>
      </w:r>
      <w:r w:rsidR="000A5329" w:rsidRPr="002029AF">
        <w:t xml:space="preserve"> </w:t>
      </w:r>
      <w:r w:rsidRPr="002029AF">
        <w:t>figures</w:t>
      </w:r>
      <w:r w:rsidR="000A5329" w:rsidRPr="002029AF">
        <w:t xml:space="preserve"> </w:t>
      </w:r>
      <w:r w:rsidRPr="002029AF">
        <w:t>reflect</w:t>
      </w:r>
      <w:r w:rsidR="000A5329" w:rsidRPr="002029AF">
        <w:t xml:space="preserve"> </w:t>
      </w:r>
      <w:r w:rsidRPr="002029AF">
        <w:t>employment</w:t>
      </w:r>
      <w:r w:rsidR="000A5329" w:rsidRPr="002029AF">
        <w:t xml:space="preserve"> </w:t>
      </w:r>
      <w:r w:rsidRPr="002029AF">
        <w:t>levels</w:t>
      </w:r>
      <w:r w:rsidR="000A5329" w:rsidRPr="002029AF">
        <w:t xml:space="preserve"> </w:t>
      </w:r>
      <w:r w:rsidRPr="002029AF">
        <w:t>at</w:t>
      </w:r>
      <w:r w:rsidR="000A5329" w:rsidRPr="002029AF">
        <w:t xml:space="preserve"> </w:t>
      </w:r>
      <w:r w:rsidRPr="002029AF">
        <w:t>the</w:t>
      </w:r>
      <w:r w:rsidR="000A5329" w:rsidRPr="002029AF">
        <w:t xml:space="preserve"> </w:t>
      </w:r>
      <w:r w:rsidRPr="002029AF">
        <w:t>last</w:t>
      </w:r>
      <w:r w:rsidR="000A5329" w:rsidRPr="002029AF">
        <w:t xml:space="preserve"> </w:t>
      </w:r>
      <w:r w:rsidRPr="002029AF">
        <w:t>full</w:t>
      </w:r>
      <w:r w:rsidR="000A5329" w:rsidRPr="002029AF">
        <w:t xml:space="preserve"> </w:t>
      </w:r>
      <w:r w:rsidRPr="002029AF">
        <w:t>pay</w:t>
      </w:r>
      <w:r w:rsidR="000A5329" w:rsidRPr="002029AF">
        <w:t xml:space="preserve"> </w:t>
      </w:r>
      <w:r w:rsidRPr="002029AF">
        <w:t>period</w:t>
      </w:r>
      <w:r w:rsidR="000A5329" w:rsidRPr="002029AF">
        <w:t xml:space="preserve"> </w:t>
      </w:r>
      <w:r w:rsidRPr="002029AF">
        <w:t>in</w:t>
      </w:r>
      <w:r w:rsidR="000A5329" w:rsidRPr="002029AF">
        <w:t xml:space="preserve"> </w:t>
      </w:r>
      <w:r w:rsidRPr="002029AF">
        <w:t>June</w:t>
      </w:r>
      <w:r w:rsidR="000A5329" w:rsidRPr="002029AF">
        <w:t xml:space="preserve"> </w:t>
      </w:r>
      <w:r w:rsidRPr="002029AF">
        <w:t>of</w:t>
      </w:r>
      <w:r w:rsidR="000A5329" w:rsidRPr="002029AF">
        <w:t xml:space="preserve"> </w:t>
      </w:r>
      <w:r w:rsidRPr="002029AF">
        <w:t>the</w:t>
      </w:r>
      <w:r w:rsidR="000A5329" w:rsidRPr="002029AF">
        <w:t xml:space="preserve"> </w:t>
      </w:r>
      <w:r w:rsidRPr="002029AF">
        <w:t>current</w:t>
      </w:r>
      <w:r w:rsidR="000A5329" w:rsidRPr="002029AF">
        <w:t xml:space="preserve"> </w:t>
      </w:r>
      <w:r w:rsidRPr="002029AF">
        <w:t>and</w:t>
      </w:r>
      <w:r w:rsidR="000A5329" w:rsidRPr="002029AF">
        <w:t xml:space="preserve"> </w:t>
      </w:r>
      <w:r w:rsidRPr="002029AF">
        <w:t>corresponding</w:t>
      </w:r>
      <w:r w:rsidR="000A5329" w:rsidRPr="002029AF">
        <w:t xml:space="preserve"> </w:t>
      </w:r>
      <w:r w:rsidRPr="002029AF">
        <w:t>previous</w:t>
      </w:r>
      <w:r w:rsidR="000A5329" w:rsidRPr="002029AF">
        <w:t xml:space="preserve"> </w:t>
      </w:r>
      <w:r w:rsidRPr="002029AF">
        <w:t>reporting</w:t>
      </w:r>
      <w:r w:rsidR="000A5329" w:rsidRPr="002029AF">
        <w:t xml:space="preserve"> </w:t>
      </w:r>
      <w:r w:rsidRPr="002029AF">
        <w:t>year.</w:t>
      </w:r>
    </w:p>
    <w:p w14:paraId="56BC73F7" w14:textId="617FB633" w:rsidR="00CF72D5" w:rsidRPr="002029AF" w:rsidRDefault="00CF72D5" w:rsidP="00897193">
      <w:pPr>
        <w:pStyle w:val="ARbody"/>
      </w:pPr>
      <w:r w:rsidRPr="002029AF">
        <w:t>The</w:t>
      </w:r>
      <w:r w:rsidR="000A5329" w:rsidRPr="002029AF">
        <w:t xml:space="preserve"> </w:t>
      </w:r>
      <w:r w:rsidRPr="002029AF">
        <w:t>definition</w:t>
      </w:r>
      <w:r w:rsidR="000A5329" w:rsidRPr="002029AF">
        <w:t xml:space="preserve"> </w:t>
      </w:r>
      <w:r w:rsidRPr="002029AF">
        <w:t>of</w:t>
      </w:r>
      <w:r w:rsidR="000A5329" w:rsidRPr="002029AF">
        <w:t xml:space="preserve"> </w:t>
      </w:r>
      <w:r w:rsidRPr="002029AF">
        <w:t>an</w:t>
      </w:r>
      <w:r w:rsidR="000A5329" w:rsidRPr="002029AF">
        <w:t xml:space="preserve"> </w:t>
      </w:r>
      <w:r w:rsidRPr="002029AF">
        <w:t>EO</w:t>
      </w:r>
      <w:r w:rsidR="000A5329" w:rsidRPr="002029AF">
        <w:t xml:space="preserve"> </w:t>
      </w:r>
      <w:r w:rsidRPr="002029AF">
        <w:t>does</w:t>
      </w:r>
      <w:r w:rsidR="000A5329" w:rsidRPr="002029AF">
        <w:t xml:space="preserve"> </w:t>
      </w:r>
      <w:r w:rsidRPr="002029AF">
        <w:t>not</w:t>
      </w:r>
      <w:r w:rsidR="000A5329" w:rsidRPr="002029AF">
        <w:t xml:space="preserve"> </w:t>
      </w:r>
      <w:r w:rsidRPr="002029AF">
        <w:t>include</w:t>
      </w:r>
      <w:r w:rsidR="000A5329" w:rsidRPr="002029AF">
        <w:t xml:space="preserve"> </w:t>
      </w:r>
      <w:r w:rsidRPr="002029AF">
        <w:t>a</w:t>
      </w:r>
      <w:r w:rsidR="000A5329" w:rsidRPr="002029AF">
        <w:t xml:space="preserve"> </w:t>
      </w:r>
      <w:r w:rsidRPr="002029AF">
        <w:t>statutory</w:t>
      </w:r>
      <w:r w:rsidR="000A5329" w:rsidRPr="002029AF">
        <w:t xml:space="preserve"> </w:t>
      </w:r>
      <w:r w:rsidRPr="002029AF">
        <w:t>office</w:t>
      </w:r>
      <w:r w:rsidR="000A5329" w:rsidRPr="002029AF">
        <w:t xml:space="preserve"> </w:t>
      </w:r>
      <w:r w:rsidRPr="002029AF">
        <w:t>holder</w:t>
      </w:r>
      <w:r w:rsidR="000A5329" w:rsidRPr="002029AF">
        <w:t xml:space="preserve"> </w:t>
      </w:r>
      <w:r w:rsidRPr="002029AF">
        <w:t>or</w:t>
      </w:r>
      <w:r w:rsidR="000A5329" w:rsidRPr="002029AF">
        <w:t xml:space="preserve"> </w:t>
      </w:r>
      <w:r w:rsidRPr="002029AF">
        <w:t>an</w:t>
      </w:r>
      <w:r w:rsidR="000A5329" w:rsidRPr="002029AF">
        <w:t xml:space="preserve"> </w:t>
      </w:r>
      <w:r w:rsidRPr="002029AF">
        <w:t>Accountable</w:t>
      </w:r>
      <w:r w:rsidR="000A5329" w:rsidRPr="002029AF">
        <w:t xml:space="preserve"> </w:t>
      </w:r>
      <w:r w:rsidRPr="002029AF">
        <w:t>Officer.</w:t>
      </w:r>
    </w:p>
    <w:p w14:paraId="16B9AFF6" w14:textId="73ECF156" w:rsidR="00CF72D5" w:rsidRPr="002029AF" w:rsidRDefault="00CF72D5" w:rsidP="00897193">
      <w:pPr>
        <w:pStyle w:val="ARbody"/>
      </w:pPr>
      <w:r w:rsidRPr="002029AF">
        <w:t>The</w:t>
      </w:r>
      <w:r w:rsidR="000A5329" w:rsidRPr="002029AF">
        <w:t xml:space="preserve"> </w:t>
      </w:r>
      <w:r w:rsidRPr="002029AF">
        <w:t>following</w:t>
      </w:r>
      <w:r w:rsidR="000A5329" w:rsidRPr="002029AF">
        <w:t xml:space="preserve"> </w:t>
      </w:r>
      <w:r w:rsidRPr="002029AF">
        <w:t>tables</w:t>
      </w:r>
      <w:r w:rsidR="000A5329" w:rsidRPr="002029AF">
        <w:t xml:space="preserve"> </w:t>
      </w:r>
      <w:r w:rsidRPr="002029AF">
        <w:t>disclose</w:t>
      </w:r>
      <w:r w:rsidR="000A5329" w:rsidRPr="002029AF">
        <w:t xml:space="preserve"> </w:t>
      </w:r>
      <w:r w:rsidRPr="002029AF">
        <w:t>the</w:t>
      </w:r>
      <w:r w:rsidR="000A5329" w:rsidRPr="002029AF">
        <w:t xml:space="preserve"> </w:t>
      </w:r>
      <w:r w:rsidRPr="002029AF">
        <w:t>EOs</w:t>
      </w:r>
      <w:r w:rsidR="000A5329" w:rsidRPr="002029AF">
        <w:t xml:space="preserve"> </w:t>
      </w:r>
      <w:r w:rsidRPr="002029AF">
        <w:t>of</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its</w:t>
      </w:r>
      <w:r w:rsidR="000A5329" w:rsidRPr="002029AF">
        <w:t xml:space="preserve"> </w:t>
      </w:r>
      <w:r w:rsidRPr="002029AF">
        <w:t>administrative</w:t>
      </w:r>
      <w:r w:rsidR="000A5329" w:rsidRPr="002029AF">
        <w:t xml:space="preserve"> </w:t>
      </w:r>
      <w:r w:rsidRPr="002029AF">
        <w:t>offices</w:t>
      </w:r>
      <w:r w:rsidR="000A5329" w:rsidRPr="002029AF">
        <w:t xml:space="preserve"> </w:t>
      </w:r>
      <w:r w:rsidRPr="002029AF">
        <w:t>and</w:t>
      </w:r>
      <w:r w:rsidR="000A5329" w:rsidRPr="002029AF">
        <w:t xml:space="preserve"> </w:t>
      </w:r>
      <w:r w:rsidRPr="002029AF">
        <w:t>its</w:t>
      </w:r>
      <w:r w:rsidR="000A5329" w:rsidRPr="002029AF">
        <w:t xml:space="preserve"> </w:t>
      </w:r>
      <w:r w:rsidRPr="002029AF">
        <w:t>portfolio</w:t>
      </w:r>
      <w:r w:rsidR="000A5329" w:rsidRPr="002029AF">
        <w:t xml:space="preserve"> </w:t>
      </w:r>
      <w:r w:rsidRPr="002029AF">
        <w:t>agencies</w:t>
      </w:r>
      <w:r w:rsidR="000A5329" w:rsidRPr="002029AF">
        <w:t xml:space="preserve"> </w:t>
      </w:r>
      <w:r w:rsidRPr="002029AF">
        <w:t>for</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p>
    <w:p w14:paraId="6CA0330D" w14:textId="2D0CD1B1" w:rsidR="00CF72D5" w:rsidRPr="002029AF" w:rsidRDefault="00CF72D5" w:rsidP="00897193">
      <w:pPr>
        <w:pStyle w:val="ARbullet1"/>
      </w:pPr>
      <w:r w:rsidRPr="002029AF">
        <w:t>Table</w:t>
      </w:r>
      <w:r w:rsidR="000A5329" w:rsidRPr="002029AF">
        <w:t xml:space="preserve"> </w:t>
      </w:r>
      <w:r w:rsidRPr="002029AF">
        <w:t>1</w:t>
      </w:r>
      <w:r w:rsidR="000A5329" w:rsidRPr="002029AF">
        <w:t xml:space="preserve"> </w:t>
      </w:r>
      <w:r w:rsidRPr="002029AF">
        <w:t>discloses</w:t>
      </w:r>
      <w:r w:rsidR="000A5329" w:rsidRPr="002029AF">
        <w:t xml:space="preserve"> </w:t>
      </w:r>
      <w:r w:rsidRPr="002029AF">
        <w:t>the</w:t>
      </w:r>
      <w:r w:rsidR="000A5329" w:rsidRPr="002029AF">
        <w:t xml:space="preserve"> </w:t>
      </w:r>
      <w:r w:rsidRPr="002029AF">
        <w:t>total</w:t>
      </w:r>
      <w:r w:rsidR="000A5329" w:rsidRPr="002029AF">
        <w:t xml:space="preserve"> </w:t>
      </w:r>
      <w:r w:rsidRPr="002029AF">
        <w:t>numbers</w:t>
      </w:r>
      <w:r w:rsidR="000A5329" w:rsidRPr="002029AF">
        <w:t xml:space="preserve"> </w:t>
      </w:r>
      <w:r w:rsidRPr="002029AF">
        <w:t>of</w:t>
      </w:r>
      <w:r w:rsidR="000A5329" w:rsidRPr="002029AF">
        <w:t xml:space="preserve"> </w:t>
      </w:r>
      <w:r w:rsidRPr="002029AF">
        <w:t>EOs,</w:t>
      </w:r>
      <w:r w:rsidR="000A5329" w:rsidRPr="002029AF">
        <w:t xml:space="preserve"> </w:t>
      </w:r>
      <w:r w:rsidRPr="002029AF">
        <w:t>broken</w:t>
      </w:r>
      <w:r w:rsidR="000A5329" w:rsidRPr="002029AF">
        <w:t xml:space="preserve"> </w:t>
      </w:r>
      <w:r w:rsidRPr="002029AF">
        <w:t>down</w:t>
      </w:r>
      <w:r w:rsidR="000A5329" w:rsidRPr="002029AF">
        <w:t xml:space="preserve"> </w:t>
      </w:r>
      <w:r w:rsidRPr="002029AF">
        <w:t>by</w:t>
      </w:r>
      <w:r w:rsidR="000A5329" w:rsidRPr="002029AF">
        <w:t xml:space="preserve"> </w:t>
      </w:r>
      <w:r w:rsidRPr="002029AF">
        <w:t>gender</w:t>
      </w:r>
    </w:p>
    <w:p w14:paraId="58D36CE3" w14:textId="12DD2CFF" w:rsidR="00CF72D5" w:rsidRPr="002029AF" w:rsidRDefault="00CF72D5" w:rsidP="00897193">
      <w:pPr>
        <w:pStyle w:val="ARbullet1"/>
      </w:pPr>
      <w:r w:rsidRPr="002029AF">
        <w:t>Table</w:t>
      </w:r>
      <w:r w:rsidR="000A5329" w:rsidRPr="002029AF">
        <w:t xml:space="preserve"> </w:t>
      </w:r>
      <w:r w:rsidRPr="002029AF">
        <w:t>2</w:t>
      </w:r>
      <w:r w:rsidR="000A5329" w:rsidRPr="002029AF">
        <w:t xml:space="preserve"> </w:t>
      </w:r>
      <w:r w:rsidRPr="002029AF">
        <w:t>provides</w:t>
      </w:r>
      <w:r w:rsidR="000A5329" w:rsidRPr="002029AF">
        <w:t xml:space="preserve"> </w:t>
      </w:r>
      <w:r w:rsidRPr="002029AF">
        <w:t>a</w:t>
      </w:r>
      <w:r w:rsidR="000A5329" w:rsidRPr="002029AF">
        <w:t xml:space="preserve"> </w:t>
      </w:r>
      <w:r w:rsidRPr="002029AF">
        <w:t>reconciliation</w:t>
      </w:r>
      <w:r w:rsidR="000A5329" w:rsidRPr="002029AF">
        <w:t xml:space="preserve"> </w:t>
      </w:r>
      <w:r w:rsidRPr="002029AF">
        <w:t>of</w:t>
      </w:r>
      <w:r w:rsidR="000A5329" w:rsidRPr="002029AF">
        <w:t xml:space="preserve"> </w:t>
      </w:r>
      <w:r w:rsidRPr="002029AF">
        <w:t>executive</w:t>
      </w:r>
      <w:r w:rsidR="000A5329" w:rsidRPr="002029AF">
        <w:t xml:space="preserve"> </w:t>
      </w:r>
      <w:r w:rsidRPr="002029AF">
        <w:t>numbers</w:t>
      </w:r>
      <w:r w:rsidR="000A5329" w:rsidRPr="002029AF">
        <w:t xml:space="preserve"> </w:t>
      </w:r>
      <w:r w:rsidRPr="002029AF">
        <w:t>presented</w:t>
      </w:r>
      <w:r w:rsidR="000A5329" w:rsidRPr="002029AF">
        <w:t xml:space="preserve"> </w:t>
      </w:r>
      <w:r w:rsidRPr="002029AF">
        <w:t>between</w:t>
      </w:r>
      <w:r w:rsidR="000A5329" w:rsidRPr="002029AF">
        <w:t xml:space="preserve"> </w:t>
      </w:r>
      <w:r w:rsidRPr="002029AF">
        <w:t>the</w:t>
      </w:r>
      <w:r w:rsidR="000A5329" w:rsidRPr="002029AF">
        <w:t xml:space="preserve"> </w:t>
      </w:r>
      <w:r w:rsidRPr="002029AF">
        <w:t>report</w:t>
      </w:r>
      <w:r w:rsidR="000A5329" w:rsidRPr="002029AF">
        <w:t xml:space="preserve"> </w:t>
      </w:r>
      <w:r w:rsidRPr="002029AF">
        <w:t>of</w:t>
      </w:r>
      <w:r w:rsidR="000A5329" w:rsidRPr="002029AF">
        <w:t xml:space="preserve"> </w:t>
      </w:r>
      <w:r w:rsidRPr="002029AF">
        <w:t>operations</w:t>
      </w:r>
      <w:r w:rsidR="000A5329" w:rsidRPr="002029AF">
        <w:t xml:space="preserve"> </w:t>
      </w:r>
      <w:r w:rsidRPr="002029AF">
        <w:t>and</w:t>
      </w:r>
      <w:r w:rsidR="000A5329" w:rsidRPr="002029AF">
        <w:t xml:space="preserve"> </w:t>
      </w:r>
      <w:r w:rsidRPr="002029AF">
        <w:t>Note</w:t>
      </w:r>
      <w:r w:rsidR="000A5329" w:rsidRPr="002029AF">
        <w:t xml:space="preserve"> </w:t>
      </w:r>
      <w:r w:rsidRPr="002029AF">
        <w:t>9.7</w:t>
      </w:r>
      <w:r w:rsidR="000A5329" w:rsidRPr="002029AF">
        <w:t xml:space="preserve"> </w:t>
      </w:r>
      <w:r w:rsidRPr="002029AF">
        <w:t>‘Remuneration</w:t>
      </w:r>
      <w:r w:rsidR="000A5329" w:rsidRPr="002029AF">
        <w:t xml:space="preserve"> </w:t>
      </w:r>
      <w:r w:rsidRPr="002029AF">
        <w:t>of</w:t>
      </w:r>
      <w:r w:rsidR="000A5329" w:rsidRPr="002029AF">
        <w:t xml:space="preserve"> </w:t>
      </w:r>
      <w:r w:rsidRPr="002029AF">
        <w:t>executives’</w:t>
      </w:r>
      <w:r w:rsidR="000A5329" w:rsidRPr="002029AF">
        <w:t xml:space="preserve"> </w:t>
      </w:r>
      <w:r w:rsidRPr="002029AF">
        <w:t>in</w:t>
      </w:r>
      <w:r w:rsidR="000A5329" w:rsidRPr="002029AF">
        <w:t xml:space="preserve"> </w:t>
      </w:r>
      <w:r w:rsidRPr="002029AF">
        <w:t>the</w:t>
      </w:r>
      <w:r w:rsidR="000A5329" w:rsidRPr="002029AF">
        <w:t xml:space="preserve"> </w:t>
      </w:r>
      <w:r w:rsidRPr="002029AF">
        <w:t>financial</w:t>
      </w:r>
      <w:r w:rsidR="000A5329" w:rsidRPr="002029AF">
        <w:t xml:space="preserve"> </w:t>
      </w:r>
      <w:r w:rsidRPr="002029AF">
        <w:t>statements,</w:t>
      </w:r>
      <w:r w:rsidR="000A5329" w:rsidRPr="002029AF">
        <w:t xml:space="preserve"> </w:t>
      </w:r>
      <w:r w:rsidRPr="002029AF">
        <w:t>which</w:t>
      </w:r>
      <w:r w:rsidR="000A5329" w:rsidRPr="002029AF">
        <w:t xml:space="preserve"> </w:t>
      </w:r>
      <w:r w:rsidRPr="002029AF">
        <w:t>includes</w:t>
      </w:r>
      <w:r w:rsidR="000A5329" w:rsidRPr="002029AF">
        <w:t xml:space="preserve"> </w:t>
      </w:r>
      <w:r w:rsidRPr="002029AF">
        <w:t>remuneration</w:t>
      </w:r>
      <w:r w:rsidR="000A5329" w:rsidRPr="002029AF">
        <w:t xml:space="preserve"> </w:t>
      </w:r>
      <w:r w:rsidRPr="002029AF">
        <w:t>paid</w:t>
      </w:r>
      <w:r w:rsidR="000A5329" w:rsidRPr="002029AF">
        <w:t xml:space="preserve"> </w:t>
      </w:r>
      <w:r w:rsidRPr="002029AF">
        <w:t>to</w:t>
      </w:r>
      <w:r w:rsidR="000A5329" w:rsidRPr="002029AF">
        <w:t xml:space="preserve"> </w:t>
      </w:r>
      <w:r w:rsidRPr="002029AF">
        <w:t>executives</w:t>
      </w:r>
      <w:r w:rsidR="000A5329" w:rsidRPr="002029AF">
        <w:t xml:space="preserve"> </w:t>
      </w:r>
      <w:r w:rsidRPr="002029AF">
        <w:t>at</w:t>
      </w:r>
      <w:r w:rsidR="000A5329" w:rsidRPr="002029AF">
        <w:t xml:space="preserve"> </w:t>
      </w:r>
      <w:r w:rsidRPr="002029AF">
        <w:t>any</w:t>
      </w:r>
      <w:r w:rsidR="000A5329" w:rsidRPr="002029AF">
        <w:t xml:space="preserve"> </w:t>
      </w:r>
      <w:r w:rsidRPr="002029AF">
        <w:t>time</w:t>
      </w:r>
      <w:r w:rsidR="000A5329" w:rsidRPr="002029AF">
        <w:t xml:space="preserve"> </w:t>
      </w:r>
      <w:r w:rsidRPr="002029AF">
        <w:t>throughout</w:t>
      </w:r>
      <w:r w:rsidR="000A5329" w:rsidRPr="002029AF">
        <w:t xml:space="preserve"> </w:t>
      </w:r>
      <w:r w:rsidRPr="002029AF">
        <w:t>the</w:t>
      </w:r>
      <w:r w:rsidR="000A5329" w:rsidRPr="002029AF">
        <w:t xml:space="preserve"> </w:t>
      </w:r>
      <w:r w:rsidRPr="002029AF">
        <w:t>reporting</w:t>
      </w:r>
      <w:r w:rsidR="000A5329" w:rsidRPr="002029AF">
        <w:t xml:space="preserve"> </w:t>
      </w:r>
      <w:r w:rsidRPr="002029AF">
        <w:t>period.</w:t>
      </w:r>
    </w:p>
    <w:p w14:paraId="42052159" w14:textId="58BB401F" w:rsidR="00CF72D5" w:rsidRPr="002029AF" w:rsidRDefault="00CF72D5" w:rsidP="00897193">
      <w:pPr>
        <w:pStyle w:val="ARbullet1"/>
      </w:pPr>
      <w:r w:rsidRPr="002029AF">
        <w:t>Table</w:t>
      </w:r>
      <w:r w:rsidR="000A5329" w:rsidRPr="002029AF">
        <w:t xml:space="preserve"> </w:t>
      </w:r>
      <w:r w:rsidRPr="002029AF">
        <w:t>3</w:t>
      </w:r>
      <w:r w:rsidR="000A5329" w:rsidRPr="002029AF">
        <w:t xml:space="preserve"> </w:t>
      </w:r>
      <w:r w:rsidRPr="002029AF">
        <w:t>provides</w:t>
      </w:r>
      <w:r w:rsidR="000A5329" w:rsidRPr="002029AF">
        <w:t xml:space="preserve"> </w:t>
      </w:r>
      <w:r w:rsidRPr="002029AF">
        <w:t>the</w:t>
      </w:r>
      <w:r w:rsidR="000A5329" w:rsidRPr="002029AF">
        <w:t xml:space="preserve"> </w:t>
      </w:r>
      <w:r w:rsidRPr="002029AF">
        <w:t>total</w:t>
      </w:r>
      <w:r w:rsidR="000A5329" w:rsidRPr="002029AF">
        <w:t xml:space="preserve"> </w:t>
      </w:r>
      <w:r w:rsidRPr="002029AF">
        <w:t>executive</w:t>
      </w:r>
      <w:r w:rsidR="000A5329" w:rsidRPr="002029AF">
        <w:t xml:space="preserve"> </w:t>
      </w:r>
      <w:r w:rsidRPr="002029AF">
        <w:t>numbers</w:t>
      </w:r>
      <w:r w:rsidR="000A5329" w:rsidRPr="002029AF">
        <w:t xml:space="preserve"> </w:t>
      </w:r>
      <w:r w:rsidRPr="002029AF">
        <w:t>for</w:t>
      </w:r>
      <w:r w:rsidR="000A5329" w:rsidRPr="002029AF">
        <w:t xml:space="preserve"> </w:t>
      </w:r>
      <w:r w:rsidR="00A2054F" w:rsidRPr="002029AF">
        <w:t>all</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portfolio</w:t>
      </w:r>
      <w:r w:rsidR="000A5329" w:rsidRPr="002029AF">
        <w:t xml:space="preserve"> </w:t>
      </w:r>
      <w:r w:rsidRPr="002029AF">
        <w:t>agencies.</w:t>
      </w:r>
    </w:p>
    <w:p w14:paraId="59DD27DA" w14:textId="7C8257AE" w:rsidR="00CF72D5" w:rsidRPr="002029AF" w:rsidRDefault="00CF72D5" w:rsidP="00897193">
      <w:pPr>
        <w:pStyle w:val="ARbullet1"/>
      </w:pPr>
      <w:r w:rsidRPr="002029AF">
        <w:t>Tables</w:t>
      </w:r>
      <w:r w:rsidR="000A5329" w:rsidRPr="002029AF">
        <w:t xml:space="preserve"> </w:t>
      </w:r>
      <w:r w:rsidRPr="002029AF">
        <w:t>1</w:t>
      </w:r>
      <w:r w:rsidR="000A5329" w:rsidRPr="002029AF">
        <w:t xml:space="preserve"> </w:t>
      </w:r>
      <w:r w:rsidRPr="002029AF">
        <w:t>to</w:t>
      </w:r>
      <w:r w:rsidR="000A5329" w:rsidRPr="002029AF">
        <w:t xml:space="preserve"> </w:t>
      </w:r>
      <w:r w:rsidRPr="002029AF">
        <w:t>3</w:t>
      </w:r>
      <w:r w:rsidR="000A5329" w:rsidRPr="002029AF">
        <w:t xml:space="preserve"> </w:t>
      </w:r>
      <w:r w:rsidRPr="002029AF">
        <w:t>also</w:t>
      </w:r>
      <w:r w:rsidR="000A5329" w:rsidRPr="002029AF">
        <w:t xml:space="preserve"> </w:t>
      </w:r>
      <w:r w:rsidRPr="002029AF">
        <w:t>disclose</w:t>
      </w:r>
      <w:r w:rsidR="000A5329" w:rsidRPr="002029AF">
        <w:t xml:space="preserve"> </w:t>
      </w:r>
      <w:r w:rsidRPr="002029AF">
        <w:t>the</w:t>
      </w:r>
      <w:r w:rsidR="000A5329" w:rsidRPr="002029AF">
        <w:t xml:space="preserve"> </w:t>
      </w:r>
      <w:r w:rsidRPr="002029AF">
        <w:t>variations,</w:t>
      </w:r>
      <w:r w:rsidR="000A5329" w:rsidRPr="002029AF">
        <w:t xml:space="preserve"> </w:t>
      </w:r>
      <w:r w:rsidRPr="002029AF">
        <w:t>denoted</w:t>
      </w:r>
      <w:r w:rsidR="000A5329" w:rsidRPr="002029AF">
        <w:t xml:space="preserve"> </w:t>
      </w:r>
      <w:r w:rsidRPr="002029AF">
        <w:t>by</w:t>
      </w:r>
      <w:r w:rsidR="000A5329" w:rsidRPr="002029AF">
        <w:t xml:space="preserve"> </w:t>
      </w:r>
      <w:r w:rsidRPr="002029AF">
        <w:t>‘var’,</w:t>
      </w:r>
      <w:r w:rsidR="000A5329" w:rsidRPr="002029AF">
        <w:t xml:space="preserve"> </w:t>
      </w:r>
      <w:r w:rsidRPr="002029AF">
        <w:t>between</w:t>
      </w:r>
      <w:r w:rsidR="000A5329" w:rsidRPr="002029AF">
        <w:t xml:space="preserve"> </w:t>
      </w:r>
      <w:r w:rsidRPr="002029AF">
        <w:t>the</w:t>
      </w:r>
      <w:r w:rsidR="000A5329" w:rsidRPr="002029AF">
        <w:t xml:space="preserve"> </w:t>
      </w:r>
      <w:r w:rsidRPr="002029AF">
        <w:t>current</w:t>
      </w:r>
      <w:r w:rsidR="000A5329" w:rsidRPr="002029AF">
        <w:t xml:space="preserve"> </w:t>
      </w:r>
      <w:r w:rsidRPr="002029AF">
        <w:t>and</w:t>
      </w:r>
      <w:r w:rsidR="000A5329" w:rsidRPr="002029AF">
        <w:t xml:space="preserve"> </w:t>
      </w:r>
      <w:r w:rsidRPr="002029AF">
        <w:t>previous</w:t>
      </w:r>
      <w:r w:rsidR="000A5329" w:rsidRPr="002029AF">
        <w:t xml:space="preserve"> </w:t>
      </w:r>
      <w:r w:rsidRPr="002029AF">
        <w:t>reporting</w:t>
      </w:r>
      <w:r w:rsidR="000A5329" w:rsidRPr="002029AF">
        <w:t xml:space="preserve"> </w:t>
      </w:r>
      <w:r w:rsidRPr="002029AF">
        <w:t>periods.</w:t>
      </w:r>
    </w:p>
    <w:p w14:paraId="144EABD7" w14:textId="0EB0A1E2" w:rsidR="00CF72D5" w:rsidRPr="002029AF" w:rsidRDefault="00CF72D5" w:rsidP="00897193">
      <w:pPr>
        <w:pStyle w:val="Heading4"/>
      </w:pPr>
      <w:r w:rsidRPr="002029AF">
        <w:t>Table</w:t>
      </w:r>
      <w:r w:rsidR="000A5329" w:rsidRPr="002029AF">
        <w:t xml:space="preserve"> </w:t>
      </w:r>
      <w:r w:rsidRPr="002029AF">
        <w:t>1:</w:t>
      </w:r>
      <w:r w:rsidR="000A5329" w:rsidRPr="002029AF">
        <w:t xml:space="preserve"> </w:t>
      </w:r>
      <w:r w:rsidRPr="002029AF">
        <w:t>Total</w:t>
      </w:r>
      <w:r w:rsidR="000A5329" w:rsidRPr="002029AF">
        <w:t xml:space="preserve"> </w:t>
      </w:r>
      <w:r w:rsidRPr="002029AF">
        <w:t>number</w:t>
      </w:r>
      <w:r w:rsidR="000A5329" w:rsidRPr="002029AF">
        <w:t xml:space="preserve"> </w:t>
      </w:r>
      <w:r w:rsidRPr="002029AF">
        <w:t>of</w:t>
      </w:r>
      <w:r w:rsidR="000A5329" w:rsidRPr="002029AF">
        <w:t xml:space="preserve"> </w:t>
      </w:r>
      <w:r w:rsidRPr="002029AF">
        <w:t>EOs</w:t>
      </w:r>
      <w:r w:rsidR="000A5329" w:rsidRPr="002029AF">
        <w:t xml:space="preserve"> </w:t>
      </w:r>
      <w:r w:rsidRPr="002029AF">
        <w:t>for</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broken</w:t>
      </w:r>
      <w:r w:rsidR="000A5329" w:rsidRPr="002029AF">
        <w:t xml:space="preserve"> </w:t>
      </w:r>
      <w:r w:rsidRPr="002029AF">
        <w:t>down</w:t>
      </w:r>
      <w:r w:rsidR="000A5329" w:rsidRPr="002029AF">
        <w:t xml:space="preserve"> </w:t>
      </w:r>
      <w:r w:rsidRPr="002029AF">
        <w:t>by</w:t>
      </w:r>
      <w:r w:rsidR="000A5329" w:rsidRPr="002029AF">
        <w:t xml:space="preserve"> </w:t>
      </w:r>
      <w:r w:rsidRPr="002029AF">
        <w:t>gender</w:t>
      </w:r>
    </w:p>
    <w:tbl>
      <w:tblPr>
        <w:tblW w:w="9640" w:type="dxa"/>
        <w:tblInd w:w="5" w:type="dxa"/>
        <w:tblBorders>
          <w:left w:val="single" w:sz="4" w:space="0" w:color="FFFFFF"/>
          <w:bottom w:val="single" w:sz="4" w:space="0" w:color="auto"/>
          <w:right w:val="single" w:sz="4" w:space="0" w:color="FFFFFF"/>
          <w:insideH w:val="single" w:sz="4" w:space="0" w:color="auto"/>
          <w:insideV w:val="single" w:sz="4" w:space="0" w:color="FFFFFF"/>
        </w:tblBorders>
        <w:tblLayout w:type="fixed"/>
        <w:tblCellMar>
          <w:left w:w="0" w:type="dxa"/>
        </w:tblCellMar>
        <w:tblLook w:val="06A0" w:firstRow="1" w:lastRow="0" w:firstColumn="1" w:lastColumn="0" w:noHBand="1" w:noVBand="1"/>
      </w:tblPr>
      <w:tblGrid>
        <w:gridCol w:w="1702"/>
        <w:gridCol w:w="993"/>
        <w:gridCol w:w="992"/>
        <w:gridCol w:w="1134"/>
        <w:gridCol w:w="850"/>
        <w:gridCol w:w="993"/>
        <w:gridCol w:w="992"/>
        <w:gridCol w:w="992"/>
        <w:gridCol w:w="992"/>
      </w:tblGrid>
      <w:tr w:rsidR="008A7CFD" w:rsidRPr="002029AF" w14:paraId="28B66B2C" w14:textId="77777777" w:rsidTr="00871DEF">
        <w:trPr>
          <w:cantSplit/>
          <w:tblHeader/>
        </w:trPr>
        <w:tc>
          <w:tcPr>
            <w:tcW w:w="1702" w:type="dxa"/>
            <w:vMerge w:val="restart"/>
            <w:shd w:val="clear" w:color="auto" w:fill="auto"/>
            <w:vAlign w:val="bottom"/>
          </w:tcPr>
          <w:p w14:paraId="1DA20E18" w14:textId="2452C49B" w:rsidR="008A7CFD" w:rsidRPr="002029AF" w:rsidRDefault="008A7CFD" w:rsidP="008A7CFD">
            <w:pPr>
              <w:pStyle w:val="ARtablecolhead"/>
            </w:pPr>
            <w:r w:rsidRPr="002029AF">
              <w:t>Class</w:t>
            </w:r>
          </w:p>
        </w:tc>
        <w:tc>
          <w:tcPr>
            <w:tcW w:w="1985" w:type="dxa"/>
            <w:gridSpan w:val="2"/>
            <w:shd w:val="clear" w:color="auto" w:fill="auto"/>
            <w:vAlign w:val="bottom"/>
          </w:tcPr>
          <w:p w14:paraId="3556AFC9" w14:textId="7ACEEFAF" w:rsidR="008A7CFD" w:rsidRPr="002029AF" w:rsidRDefault="008A7CFD" w:rsidP="00286264">
            <w:pPr>
              <w:pStyle w:val="ARtablecolheadcentre"/>
              <w:ind w:left="510"/>
            </w:pPr>
            <w:r w:rsidRPr="002029AF">
              <w:t>All</w:t>
            </w:r>
          </w:p>
        </w:tc>
        <w:tc>
          <w:tcPr>
            <w:tcW w:w="1984" w:type="dxa"/>
            <w:gridSpan w:val="2"/>
            <w:shd w:val="clear" w:color="auto" w:fill="auto"/>
            <w:vAlign w:val="bottom"/>
          </w:tcPr>
          <w:p w14:paraId="4B74CD40" w14:textId="6FCE0D00" w:rsidR="008A7CFD" w:rsidRPr="002029AF" w:rsidRDefault="008A7CFD" w:rsidP="00286264">
            <w:pPr>
              <w:pStyle w:val="ARtablecolheadcentre"/>
              <w:ind w:left="510"/>
            </w:pPr>
            <w:r w:rsidRPr="002029AF">
              <w:t>Women</w:t>
            </w:r>
          </w:p>
        </w:tc>
        <w:tc>
          <w:tcPr>
            <w:tcW w:w="1985" w:type="dxa"/>
            <w:gridSpan w:val="2"/>
            <w:shd w:val="clear" w:color="auto" w:fill="auto"/>
            <w:vAlign w:val="bottom"/>
          </w:tcPr>
          <w:p w14:paraId="33368F99" w14:textId="4ED59FBA" w:rsidR="008A7CFD" w:rsidRPr="002029AF" w:rsidRDefault="008A7CFD" w:rsidP="00286264">
            <w:pPr>
              <w:pStyle w:val="ARtablecolheadcentre"/>
              <w:ind w:left="510"/>
            </w:pPr>
            <w:r w:rsidRPr="002029AF">
              <w:t>Men</w:t>
            </w:r>
          </w:p>
        </w:tc>
        <w:tc>
          <w:tcPr>
            <w:tcW w:w="1984" w:type="dxa"/>
            <w:gridSpan w:val="2"/>
            <w:shd w:val="clear" w:color="auto" w:fill="auto"/>
            <w:vAlign w:val="bottom"/>
          </w:tcPr>
          <w:p w14:paraId="74B3970B" w14:textId="745D7D9B" w:rsidR="008A7CFD" w:rsidRPr="002029AF" w:rsidRDefault="008A7CFD" w:rsidP="00871DEF">
            <w:pPr>
              <w:pStyle w:val="ARtablecolheadcentre"/>
              <w:ind w:left="227"/>
            </w:pPr>
            <w:r w:rsidRPr="002029AF">
              <w:t>Self-described</w:t>
            </w:r>
          </w:p>
        </w:tc>
      </w:tr>
      <w:tr w:rsidR="008A7CFD" w:rsidRPr="002029AF" w14:paraId="5D354A6E" w14:textId="77777777" w:rsidTr="00871DEF">
        <w:trPr>
          <w:cantSplit/>
          <w:tblHeader/>
        </w:trPr>
        <w:tc>
          <w:tcPr>
            <w:tcW w:w="1702" w:type="dxa"/>
            <w:vMerge/>
            <w:shd w:val="clear" w:color="auto" w:fill="auto"/>
            <w:vAlign w:val="bottom"/>
          </w:tcPr>
          <w:p w14:paraId="450FFB57" w14:textId="6DEFD1DC" w:rsidR="008A7CFD" w:rsidRPr="002029AF" w:rsidRDefault="008A7CFD" w:rsidP="00897193">
            <w:pPr>
              <w:pStyle w:val="ARtablecolhead"/>
            </w:pPr>
          </w:p>
        </w:tc>
        <w:tc>
          <w:tcPr>
            <w:tcW w:w="993" w:type="dxa"/>
            <w:shd w:val="clear" w:color="auto" w:fill="auto"/>
            <w:vAlign w:val="bottom"/>
          </w:tcPr>
          <w:p w14:paraId="112A1D9D" w14:textId="77777777" w:rsidR="008A7CFD" w:rsidRPr="002029AF" w:rsidRDefault="008A7CFD" w:rsidP="00897193">
            <w:pPr>
              <w:pStyle w:val="ARtablecolheadright"/>
            </w:pPr>
            <w:r w:rsidRPr="002029AF">
              <w:t>No.</w:t>
            </w:r>
          </w:p>
        </w:tc>
        <w:tc>
          <w:tcPr>
            <w:tcW w:w="992" w:type="dxa"/>
            <w:shd w:val="clear" w:color="auto" w:fill="auto"/>
            <w:vAlign w:val="bottom"/>
          </w:tcPr>
          <w:p w14:paraId="17BEBDD2" w14:textId="77777777" w:rsidR="008A7CFD" w:rsidRPr="002029AF" w:rsidRDefault="008A7CFD" w:rsidP="00897193">
            <w:pPr>
              <w:pStyle w:val="ARtablecolheadright"/>
            </w:pPr>
            <w:r w:rsidRPr="002029AF">
              <w:t>Var.</w:t>
            </w:r>
          </w:p>
        </w:tc>
        <w:tc>
          <w:tcPr>
            <w:tcW w:w="1134" w:type="dxa"/>
            <w:shd w:val="clear" w:color="auto" w:fill="auto"/>
            <w:vAlign w:val="bottom"/>
          </w:tcPr>
          <w:p w14:paraId="0B84D418" w14:textId="77777777" w:rsidR="008A7CFD" w:rsidRPr="002029AF" w:rsidRDefault="008A7CFD" w:rsidP="00897193">
            <w:pPr>
              <w:pStyle w:val="ARtablecolheadright"/>
            </w:pPr>
            <w:r w:rsidRPr="002029AF">
              <w:t>No.</w:t>
            </w:r>
          </w:p>
        </w:tc>
        <w:tc>
          <w:tcPr>
            <w:tcW w:w="850" w:type="dxa"/>
            <w:shd w:val="clear" w:color="auto" w:fill="auto"/>
            <w:vAlign w:val="bottom"/>
          </w:tcPr>
          <w:p w14:paraId="01C9560B" w14:textId="77777777" w:rsidR="008A7CFD" w:rsidRPr="002029AF" w:rsidRDefault="008A7CFD" w:rsidP="00897193">
            <w:pPr>
              <w:pStyle w:val="ARtablecolheadright"/>
            </w:pPr>
            <w:r w:rsidRPr="002029AF">
              <w:t>Var.</w:t>
            </w:r>
          </w:p>
        </w:tc>
        <w:tc>
          <w:tcPr>
            <w:tcW w:w="993" w:type="dxa"/>
            <w:shd w:val="clear" w:color="auto" w:fill="auto"/>
            <w:vAlign w:val="bottom"/>
          </w:tcPr>
          <w:p w14:paraId="23F695C0" w14:textId="77777777" w:rsidR="008A7CFD" w:rsidRPr="002029AF" w:rsidRDefault="008A7CFD" w:rsidP="00897193">
            <w:pPr>
              <w:pStyle w:val="ARtablecolheadright"/>
            </w:pPr>
            <w:r w:rsidRPr="002029AF">
              <w:t>No.</w:t>
            </w:r>
          </w:p>
        </w:tc>
        <w:tc>
          <w:tcPr>
            <w:tcW w:w="992" w:type="dxa"/>
            <w:shd w:val="clear" w:color="auto" w:fill="auto"/>
            <w:vAlign w:val="bottom"/>
          </w:tcPr>
          <w:p w14:paraId="45DBB19B" w14:textId="77777777" w:rsidR="008A7CFD" w:rsidRPr="002029AF" w:rsidRDefault="008A7CFD" w:rsidP="00897193">
            <w:pPr>
              <w:pStyle w:val="ARtablecolheadright"/>
            </w:pPr>
            <w:r w:rsidRPr="002029AF">
              <w:t>Var.</w:t>
            </w:r>
          </w:p>
        </w:tc>
        <w:tc>
          <w:tcPr>
            <w:tcW w:w="992" w:type="dxa"/>
            <w:shd w:val="clear" w:color="auto" w:fill="auto"/>
            <w:vAlign w:val="bottom"/>
          </w:tcPr>
          <w:p w14:paraId="18396366" w14:textId="77777777" w:rsidR="008A7CFD" w:rsidRPr="002029AF" w:rsidRDefault="008A7CFD" w:rsidP="00897193">
            <w:pPr>
              <w:pStyle w:val="ARtablecolheadright"/>
            </w:pPr>
            <w:r w:rsidRPr="002029AF">
              <w:t>No.</w:t>
            </w:r>
          </w:p>
        </w:tc>
        <w:tc>
          <w:tcPr>
            <w:tcW w:w="992" w:type="dxa"/>
            <w:shd w:val="clear" w:color="auto" w:fill="auto"/>
            <w:vAlign w:val="bottom"/>
          </w:tcPr>
          <w:p w14:paraId="6CA6FC98" w14:textId="77777777" w:rsidR="008A7CFD" w:rsidRPr="002029AF" w:rsidRDefault="008A7CFD" w:rsidP="00897193">
            <w:pPr>
              <w:pStyle w:val="ARtablecolheadright"/>
            </w:pPr>
            <w:r w:rsidRPr="002029AF">
              <w:t>Var.</w:t>
            </w:r>
          </w:p>
        </w:tc>
      </w:tr>
      <w:tr w:rsidR="00CF72D5" w:rsidRPr="002029AF" w14:paraId="359C19F3" w14:textId="77777777" w:rsidTr="00897193">
        <w:trPr>
          <w:cantSplit/>
          <w:trHeight w:hRule="exact" w:val="340"/>
        </w:trPr>
        <w:tc>
          <w:tcPr>
            <w:tcW w:w="1702" w:type="dxa"/>
            <w:shd w:val="clear" w:color="auto" w:fill="auto"/>
          </w:tcPr>
          <w:p w14:paraId="60753780" w14:textId="77777777" w:rsidR="00CF72D5" w:rsidRPr="002029AF" w:rsidRDefault="00CF72D5" w:rsidP="00897193">
            <w:pPr>
              <w:pStyle w:val="ARtabletext"/>
            </w:pPr>
            <w:r w:rsidRPr="002029AF">
              <w:t>Secretary</w:t>
            </w:r>
          </w:p>
        </w:tc>
        <w:tc>
          <w:tcPr>
            <w:tcW w:w="993" w:type="dxa"/>
            <w:shd w:val="clear" w:color="auto" w:fill="auto"/>
          </w:tcPr>
          <w:p w14:paraId="0BDF05AA" w14:textId="77777777" w:rsidR="00CF72D5" w:rsidRPr="002029AF" w:rsidRDefault="00CF72D5" w:rsidP="00897193">
            <w:pPr>
              <w:pStyle w:val="ARtabletextright"/>
            </w:pPr>
            <w:r w:rsidRPr="002029AF">
              <w:t>1</w:t>
            </w:r>
          </w:p>
        </w:tc>
        <w:tc>
          <w:tcPr>
            <w:tcW w:w="992" w:type="dxa"/>
            <w:shd w:val="clear" w:color="auto" w:fill="auto"/>
          </w:tcPr>
          <w:p w14:paraId="05E90E46" w14:textId="77777777" w:rsidR="00CF72D5" w:rsidRPr="002029AF" w:rsidRDefault="00CF72D5" w:rsidP="00897193">
            <w:pPr>
              <w:pStyle w:val="ARtabletextright"/>
            </w:pPr>
            <w:r w:rsidRPr="002029AF">
              <w:t>0</w:t>
            </w:r>
          </w:p>
        </w:tc>
        <w:tc>
          <w:tcPr>
            <w:tcW w:w="1134" w:type="dxa"/>
            <w:shd w:val="clear" w:color="auto" w:fill="auto"/>
          </w:tcPr>
          <w:p w14:paraId="58D539CB" w14:textId="77777777" w:rsidR="00CF72D5" w:rsidRPr="002029AF" w:rsidRDefault="00CF72D5" w:rsidP="00897193">
            <w:pPr>
              <w:pStyle w:val="ARtabletextright"/>
            </w:pPr>
            <w:r w:rsidRPr="002029AF">
              <w:t>1</w:t>
            </w:r>
          </w:p>
        </w:tc>
        <w:tc>
          <w:tcPr>
            <w:tcW w:w="850" w:type="dxa"/>
            <w:shd w:val="clear" w:color="auto" w:fill="auto"/>
          </w:tcPr>
          <w:p w14:paraId="0716FA97" w14:textId="77777777" w:rsidR="00CF72D5" w:rsidRPr="002029AF" w:rsidRDefault="00CF72D5" w:rsidP="00897193">
            <w:pPr>
              <w:pStyle w:val="ARtabletextright"/>
            </w:pPr>
            <w:r w:rsidRPr="002029AF">
              <w:t>0</w:t>
            </w:r>
          </w:p>
        </w:tc>
        <w:tc>
          <w:tcPr>
            <w:tcW w:w="993" w:type="dxa"/>
            <w:shd w:val="clear" w:color="auto" w:fill="auto"/>
          </w:tcPr>
          <w:p w14:paraId="17981E2B" w14:textId="77777777" w:rsidR="00CF72D5" w:rsidRPr="002029AF" w:rsidRDefault="00CF72D5" w:rsidP="00897193">
            <w:pPr>
              <w:pStyle w:val="ARtabletextright"/>
            </w:pPr>
            <w:r w:rsidRPr="002029AF">
              <w:t>0</w:t>
            </w:r>
          </w:p>
        </w:tc>
        <w:tc>
          <w:tcPr>
            <w:tcW w:w="992" w:type="dxa"/>
            <w:shd w:val="clear" w:color="auto" w:fill="auto"/>
          </w:tcPr>
          <w:p w14:paraId="41CA0AA6" w14:textId="77777777" w:rsidR="00CF72D5" w:rsidRPr="002029AF" w:rsidRDefault="00CF72D5" w:rsidP="00897193">
            <w:pPr>
              <w:pStyle w:val="ARtabletextright"/>
            </w:pPr>
            <w:r w:rsidRPr="002029AF">
              <w:t>0</w:t>
            </w:r>
          </w:p>
        </w:tc>
        <w:tc>
          <w:tcPr>
            <w:tcW w:w="992" w:type="dxa"/>
            <w:shd w:val="clear" w:color="auto" w:fill="auto"/>
          </w:tcPr>
          <w:p w14:paraId="7F075087" w14:textId="77777777" w:rsidR="00CF72D5" w:rsidRPr="002029AF" w:rsidRDefault="00CF72D5" w:rsidP="00897193">
            <w:pPr>
              <w:pStyle w:val="ARtabletextright"/>
            </w:pPr>
            <w:r w:rsidRPr="002029AF">
              <w:t>0</w:t>
            </w:r>
          </w:p>
        </w:tc>
        <w:tc>
          <w:tcPr>
            <w:tcW w:w="992" w:type="dxa"/>
            <w:shd w:val="clear" w:color="auto" w:fill="auto"/>
          </w:tcPr>
          <w:p w14:paraId="56A93D28" w14:textId="77777777" w:rsidR="00CF72D5" w:rsidRPr="002029AF" w:rsidRDefault="00CF72D5" w:rsidP="00897193">
            <w:pPr>
              <w:pStyle w:val="ARtabletextright"/>
            </w:pPr>
            <w:r w:rsidRPr="002029AF">
              <w:t>0</w:t>
            </w:r>
          </w:p>
        </w:tc>
      </w:tr>
      <w:tr w:rsidR="00CF72D5" w:rsidRPr="002029AF" w14:paraId="6221F1C2" w14:textId="77777777" w:rsidTr="00897193">
        <w:trPr>
          <w:cantSplit/>
          <w:trHeight w:hRule="exact" w:val="340"/>
        </w:trPr>
        <w:tc>
          <w:tcPr>
            <w:tcW w:w="1702" w:type="dxa"/>
            <w:shd w:val="clear" w:color="auto" w:fill="auto"/>
          </w:tcPr>
          <w:p w14:paraId="409C40C4" w14:textId="77777777" w:rsidR="00CF72D5" w:rsidRPr="002029AF" w:rsidRDefault="00CF72D5" w:rsidP="00897193">
            <w:pPr>
              <w:pStyle w:val="ARtabletext"/>
            </w:pPr>
            <w:r w:rsidRPr="002029AF">
              <w:t>EO-1</w:t>
            </w:r>
          </w:p>
        </w:tc>
        <w:tc>
          <w:tcPr>
            <w:tcW w:w="993" w:type="dxa"/>
            <w:shd w:val="clear" w:color="auto" w:fill="auto"/>
          </w:tcPr>
          <w:p w14:paraId="456D6F9A" w14:textId="77777777" w:rsidR="00CF72D5" w:rsidRPr="002029AF" w:rsidRDefault="00CF72D5" w:rsidP="00897193">
            <w:pPr>
              <w:pStyle w:val="ARtabletextright"/>
              <w:rPr>
                <w:color w:val="000000" w:themeColor="text1"/>
              </w:rPr>
            </w:pPr>
            <w:r w:rsidRPr="002029AF">
              <w:rPr>
                <w:color w:val="000000" w:themeColor="text1"/>
              </w:rPr>
              <w:t>6</w:t>
            </w:r>
          </w:p>
        </w:tc>
        <w:tc>
          <w:tcPr>
            <w:tcW w:w="992" w:type="dxa"/>
            <w:shd w:val="clear" w:color="auto" w:fill="auto"/>
          </w:tcPr>
          <w:p w14:paraId="125F3CF7" w14:textId="77777777" w:rsidR="00CF72D5" w:rsidRPr="002029AF" w:rsidRDefault="00CF72D5" w:rsidP="00897193">
            <w:pPr>
              <w:pStyle w:val="ARtabletextright"/>
            </w:pPr>
            <w:r w:rsidRPr="002029AF">
              <w:t>3</w:t>
            </w:r>
          </w:p>
        </w:tc>
        <w:tc>
          <w:tcPr>
            <w:tcW w:w="1134" w:type="dxa"/>
            <w:shd w:val="clear" w:color="auto" w:fill="auto"/>
          </w:tcPr>
          <w:p w14:paraId="6AB29749" w14:textId="77777777" w:rsidR="00CF72D5" w:rsidRPr="002029AF" w:rsidRDefault="00CF72D5" w:rsidP="00897193">
            <w:pPr>
              <w:pStyle w:val="ARtabletextright"/>
            </w:pPr>
            <w:r w:rsidRPr="002029AF">
              <w:t>1</w:t>
            </w:r>
          </w:p>
        </w:tc>
        <w:tc>
          <w:tcPr>
            <w:tcW w:w="850" w:type="dxa"/>
            <w:shd w:val="clear" w:color="auto" w:fill="auto"/>
          </w:tcPr>
          <w:p w14:paraId="6062B744" w14:textId="77777777" w:rsidR="00CF72D5" w:rsidRPr="002029AF" w:rsidRDefault="00CF72D5" w:rsidP="00897193">
            <w:pPr>
              <w:pStyle w:val="ARtabletextright"/>
            </w:pPr>
            <w:r w:rsidRPr="002029AF">
              <w:t>0</w:t>
            </w:r>
          </w:p>
        </w:tc>
        <w:tc>
          <w:tcPr>
            <w:tcW w:w="993" w:type="dxa"/>
            <w:shd w:val="clear" w:color="auto" w:fill="auto"/>
          </w:tcPr>
          <w:p w14:paraId="461D8D2F" w14:textId="77777777" w:rsidR="00CF72D5" w:rsidRPr="002029AF" w:rsidRDefault="00CF72D5" w:rsidP="00897193">
            <w:pPr>
              <w:pStyle w:val="ARtabletextright"/>
            </w:pPr>
            <w:r w:rsidRPr="002029AF">
              <w:t>5</w:t>
            </w:r>
          </w:p>
        </w:tc>
        <w:tc>
          <w:tcPr>
            <w:tcW w:w="992" w:type="dxa"/>
            <w:shd w:val="clear" w:color="auto" w:fill="auto"/>
          </w:tcPr>
          <w:p w14:paraId="76BE29F9" w14:textId="77777777" w:rsidR="00CF72D5" w:rsidRPr="002029AF" w:rsidRDefault="00CF72D5" w:rsidP="00897193">
            <w:pPr>
              <w:pStyle w:val="ARtabletextright"/>
            </w:pPr>
            <w:r w:rsidRPr="002029AF">
              <w:t>3</w:t>
            </w:r>
          </w:p>
        </w:tc>
        <w:tc>
          <w:tcPr>
            <w:tcW w:w="992" w:type="dxa"/>
            <w:shd w:val="clear" w:color="auto" w:fill="auto"/>
          </w:tcPr>
          <w:p w14:paraId="785D36DB" w14:textId="77777777" w:rsidR="00CF72D5" w:rsidRPr="002029AF" w:rsidRDefault="00CF72D5" w:rsidP="00897193">
            <w:pPr>
              <w:pStyle w:val="ARtabletextright"/>
            </w:pPr>
            <w:r w:rsidRPr="002029AF">
              <w:t>0</w:t>
            </w:r>
          </w:p>
        </w:tc>
        <w:tc>
          <w:tcPr>
            <w:tcW w:w="992" w:type="dxa"/>
            <w:shd w:val="clear" w:color="auto" w:fill="auto"/>
          </w:tcPr>
          <w:p w14:paraId="2B0E6413" w14:textId="77777777" w:rsidR="00CF72D5" w:rsidRPr="002029AF" w:rsidRDefault="00CF72D5" w:rsidP="00897193">
            <w:pPr>
              <w:pStyle w:val="ARtabletextright"/>
            </w:pPr>
            <w:r w:rsidRPr="002029AF">
              <w:t>0</w:t>
            </w:r>
          </w:p>
        </w:tc>
      </w:tr>
      <w:tr w:rsidR="00CF72D5" w:rsidRPr="002029AF" w14:paraId="5BA50F0C" w14:textId="77777777" w:rsidTr="00897193">
        <w:trPr>
          <w:cantSplit/>
          <w:trHeight w:hRule="exact" w:val="340"/>
        </w:trPr>
        <w:tc>
          <w:tcPr>
            <w:tcW w:w="1702" w:type="dxa"/>
            <w:shd w:val="clear" w:color="auto" w:fill="auto"/>
          </w:tcPr>
          <w:p w14:paraId="4B449CE8" w14:textId="77777777" w:rsidR="00CF72D5" w:rsidRPr="002029AF" w:rsidRDefault="00CF72D5" w:rsidP="00897193">
            <w:pPr>
              <w:pStyle w:val="ARtabletext"/>
            </w:pPr>
            <w:r w:rsidRPr="002029AF">
              <w:t>EO-2</w:t>
            </w:r>
          </w:p>
        </w:tc>
        <w:tc>
          <w:tcPr>
            <w:tcW w:w="993" w:type="dxa"/>
            <w:shd w:val="clear" w:color="auto" w:fill="auto"/>
          </w:tcPr>
          <w:p w14:paraId="22444CAC" w14:textId="77777777" w:rsidR="00CF72D5" w:rsidRPr="002029AF" w:rsidRDefault="00CF72D5" w:rsidP="00897193">
            <w:pPr>
              <w:pStyle w:val="ARtabletextright"/>
              <w:rPr>
                <w:color w:val="000000" w:themeColor="text1"/>
              </w:rPr>
            </w:pPr>
            <w:r w:rsidRPr="002029AF">
              <w:rPr>
                <w:color w:val="000000" w:themeColor="text1"/>
              </w:rPr>
              <w:t>71</w:t>
            </w:r>
          </w:p>
        </w:tc>
        <w:tc>
          <w:tcPr>
            <w:tcW w:w="992" w:type="dxa"/>
            <w:shd w:val="clear" w:color="auto" w:fill="auto"/>
          </w:tcPr>
          <w:p w14:paraId="313E148A" w14:textId="77777777" w:rsidR="00CF72D5" w:rsidRPr="002029AF" w:rsidRDefault="00CF72D5" w:rsidP="00897193">
            <w:pPr>
              <w:pStyle w:val="ARtabletextright"/>
            </w:pPr>
            <w:r w:rsidRPr="002029AF">
              <w:t>7</w:t>
            </w:r>
          </w:p>
        </w:tc>
        <w:tc>
          <w:tcPr>
            <w:tcW w:w="1134" w:type="dxa"/>
            <w:shd w:val="clear" w:color="auto" w:fill="auto"/>
          </w:tcPr>
          <w:p w14:paraId="35A6B27F" w14:textId="77777777" w:rsidR="00CF72D5" w:rsidRPr="002029AF" w:rsidRDefault="00CF72D5" w:rsidP="00897193">
            <w:pPr>
              <w:pStyle w:val="ARtabletextright"/>
            </w:pPr>
            <w:r w:rsidRPr="002029AF">
              <w:t>39</w:t>
            </w:r>
          </w:p>
        </w:tc>
        <w:tc>
          <w:tcPr>
            <w:tcW w:w="850" w:type="dxa"/>
            <w:shd w:val="clear" w:color="auto" w:fill="auto"/>
          </w:tcPr>
          <w:p w14:paraId="571A8D19" w14:textId="77777777" w:rsidR="00CF72D5" w:rsidRPr="002029AF" w:rsidRDefault="00CF72D5" w:rsidP="00897193">
            <w:pPr>
              <w:pStyle w:val="ARtabletextright"/>
            </w:pPr>
            <w:r w:rsidRPr="002029AF">
              <w:t>3</w:t>
            </w:r>
          </w:p>
        </w:tc>
        <w:tc>
          <w:tcPr>
            <w:tcW w:w="993" w:type="dxa"/>
            <w:shd w:val="clear" w:color="auto" w:fill="auto"/>
          </w:tcPr>
          <w:p w14:paraId="30A3E58E" w14:textId="77777777" w:rsidR="00CF72D5" w:rsidRPr="002029AF" w:rsidRDefault="00CF72D5" w:rsidP="00897193">
            <w:pPr>
              <w:pStyle w:val="ARtabletextright"/>
            </w:pPr>
            <w:r w:rsidRPr="002029AF">
              <w:t>32</w:t>
            </w:r>
          </w:p>
        </w:tc>
        <w:tc>
          <w:tcPr>
            <w:tcW w:w="992" w:type="dxa"/>
            <w:shd w:val="clear" w:color="auto" w:fill="auto"/>
          </w:tcPr>
          <w:p w14:paraId="1AAA3A87" w14:textId="77777777" w:rsidR="00CF72D5" w:rsidRPr="002029AF" w:rsidRDefault="00CF72D5" w:rsidP="00897193">
            <w:pPr>
              <w:pStyle w:val="ARtabletextright"/>
            </w:pPr>
            <w:r w:rsidRPr="002029AF">
              <w:t>4</w:t>
            </w:r>
          </w:p>
        </w:tc>
        <w:tc>
          <w:tcPr>
            <w:tcW w:w="992" w:type="dxa"/>
            <w:shd w:val="clear" w:color="auto" w:fill="auto"/>
          </w:tcPr>
          <w:p w14:paraId="0F93FA87" w14:textId="77777777" w:rsidR="00CF72D5" w:rsidRPr="002029AF" w:rsidRDefault="00CF72D5" w:rsidP="00897193">
            <w:pPr>
              <w:pStyle w:val="ARtabletextright"/>
            </w:pPr>
            <w:r w:rsidRPr="002029AF">
              <w:t>0</w:t>
            </w:r>
          </w:p>
        </w:tc>
        <w:tc>
          <w:tcPr>
            <w:tcW w:w="992" w:type="dxa"/>
            <w:shd w:val="clear" w:color="auto" w:fill="auto"/>
          </w:tcPr>
          <w:p w14:paraId="3AFECA56" w14:textId="77777777" w:rsidR="00CF72D5" w:rsidRPr="002029AF" w:rsidRDefault="00CF72D5" w:rsidP="00897193">
            <w:pPr>
              <w:pStyle w:val="ARtabletextright"/>
            </w:pPr>
            <w:r w:rsidRPr="002029AF">
              <w:t>0</w:t>
            </w:r>
          </w:p>
        </w:tc>
      </w:tr>
      <w:tr w:rsidR="00CF72D5" w:rsidRPr="002029AF" w14:paraId="2ACFD50B" w14:textId="77777777" w:rsidTr="00897193">
        <w:trPr>
          <w:cantSplit/>
          <w:trHeight w:hRule="exact" w:val="340"/>
        </w:trPr>
        <w:tc>
          <w:tcPr>
            <w:tcW w:w="1702" w:type="dxa"/>
            <w:shd w:val="clear" w:color="auto" w:fill="auto"/>
          </w:tcPr>
          <w:p w14:paraId="663F15F9" w14:textId="77777777" w:rsidR="00CF72D5" w:rsidRPr="002029AF" w:rsidRDefault="00CF72D5" w:rsidP="00897193">
            <w:pPr>
              <w:pStyle w:val="ARtabletext"/>
            </w:pPr>
            <w:r w:rsidRPr="002029AF">
              <w:t>EO-3</w:t>
            </w:r>
          </w:p>
        </w:tc>
        <w:tc>
          <w:tcPr>
            <w:tcW w:w="993" w:type="dxa"/>
            <w:shd w:val="clear" w:color="auto" w:fill="auto"/>
          </w:tcPr>
          <w:p w14:paraId="1D3AF0C3" w14:textId="77777777" w:rsidR="00CF72D5" w:rsidRPr="002029AF" w:rsidRDefault="00CF72D5" w:rsidP="00897193">
            <w:pPr>
              <w:pStyle w:val="ARtabletextright"/>
              <w:rPr>
                <w:color w:val="000000" w:themeColor="text1"/>
              </w:rPr>
            </w:pPr>
            <w:r w:rsidRPr="002029AF">
              <w:rPr>
                <w:color w:val="000000" w:themeColor="text1"/>
              </w:rPr>
              <w:t>138</w:t>
            </w:r>
          </w:p>
        </w:tc>
        <w:tc>
          <w:tcPr>
            <w:tcW w:w="992" w:type="dxa"/>
            <w:shd w:val="clear" w:color="auto" w:fill="auto"/>
          </w:tcPr>
          <w:p w14:paraId="7933339D" w14:textId="77777777" w:rsidR="00CF72D5" w:rsidRPr="002029AF" w:rsidRDefault="00CF72D5" w:rsidP="00897193">
            <w:pPr>
              <w:pStyle w:val="ARtabletextright"/>
            </w:pPr>
            <w:r w:rsidRPr="002029AF">
              <w:t>22</w:t>
            </w:r>
          </w:p>
        </w:tc>
        <w:tc>
          <w:tcPr>
            <w:tcW w:w="1134" w:type="dxa"/>
            <w:shd w:val="clear" w:color="auto" w:fill="auto"/>
          </w:tcPr>
          <w:p w14:paraId="3C5018E1" w14:textId="77777777" w:rsidR="00CF72D5" w:rsidRPr="002029AF" w:rsidRDefault="00CF72D5" w:rsidP="00897193">
            <w:pPr>
              <w:pStyle w:val="ARtabletextright"/>
            </w:pPr>
            <w:r w:rsidRPr="002029AF">
              <w:t>92</w:t>
            </w:r>
          </w:p>
        </w:tc>
        <w:tc>
          <w:tcPr>
            <w:tcW w:w="850" w:type="dxa"/>
            <w:shd w:val="clear" w:color="auto" w:fill="auto"/>
          </w:tcPr>
          <w:p w14:paraId="67D7398A" w14:textId="77777777" w:rsidR="00CF72D5" w:rsidRPr="002029AF" w:rsidRDefault="00CF72D5" w:rsidP="00897193">
            <w:pPr>
              <w:pStyle w:val="ARtabletextright"/>
            </w:pPr>
            <w:r w:rsidRPr="002029AF">
              <w:t>15</w:t>
            </w:r>
          </w:p>
        </w:tc>
        <w:tc>
          <w:tcPr>
            <w:tcW w:w="993" w:type="dxa"/>
            <w:shd w:val="clear" w:color="auto" w:fill="auto"/>
          </w:tcPr>
          <w:p w14:paraId="46C7601D" w14:textId="77777777" w:rsidR="00CF72D5" w:rsidRPr="002029AF" w:rsidRDefault="00CF72D5" w:rsidP="00897193">
            <w:pPr>
              <w:pStyle w:val="ARtabletextright"/>
            </w:pPr>
            <w:r w:rsidRPr="002029AF">
              <w:t>46</w:t>
            </w:r>
          </w:p>
        </w:tc>
        <w:tc>
          <w:tcPr>
            <w:tcW w:w="992" w:type="dxa"/>
            <w:shd w:val="clear" w:color="auto" w:fill="auto"/>
          </w:tcPr>
          <w:p w14:paraId="69BF1179" w14:textId="77777777" w:rsidR="00CF72D5" w:rsidRPr="002029AF" w:rsidRDefault="00CF72D5" w:rsidP="00897193">
            <w:pPr>
              <w:pStyle w:val="ARtabletextright"/>
            </w:pPr>
            <w:r w:rsidRPr="002029AF">
              <w:t>7</w:t>
            </w:r>
          </w:p>
        </w:tc>
        <w:tc>
          <w:tcPr>
            <w:tcW w:w="992" w:type="dxa"/>
            <w:shd w:val="clear" w:color="auto" w:fill="auto"/>
          </w:tcPr>
          <w:p w14:paraId="620E4019" w14:textId="77777777" w:rsidR="00CF72D5" w:rsidRPr="002029AF" w:rsidRDefault="00CF72D5" w:rsidP="00897193">
            <w:pPr>
              <w:pStyle w:val="ARtabletextright"/>
            </w:pPr>
            <w:r w:rsidRPr="002029AF">
              <w:t>0</w:t>
            </w:r>
          </w:p>
        </w:tc>
        <w:tc>
          <w:tcPr>
            <w:tcW w:w="992" w:type="dxa"/>
            <w:shd w:val="clear" w:color="auto" w:fill="auto"/>
          </w:tcPr>
          <w:p w14:paraId="57BDE38F" w14:textId="77777777" w:rsidR="00CF72D5" w:rsidRPr="002029AF" w:rsidRDefault="00CF72D5" w:rsidP="00897193">
            <w:pPr>
              <w:pStyle w:val="ARtabletextright"/>
            </w:pPr>
            <w:r w:rsidRPr="002029AF">
              <w:t>0</w:t>
            </w:r>
          </w:p>
        </w:tc>
      </w:tr>
      <w:tr w:rsidR="00CF72D5" w:rsidRPr="002029AF" w14:paraId="1EC01105" w14:textId="77777777" w:rsidTr="00897193">
        <w:trPr>
          <w:cantSplit/>
          <w:trHeight w:hRule="exact" w:val="340"/>
        </w:trPr>
        <w:tc>
          <w:tcPr>
            <w:tcW w:w="1702" w:type="dxa"/>
            <w:shd w:val="clear" w:color="auto" w:fill="auto"/>
          </w:tcPr>
          <w:p w14:paraId="022CD6A6" w14:textId="77777777" w:rsidR="00CF72D5" w:rsidRPr="002029AF" w:rsidRDefault="00CF72D5" w:rsidP="00897193">
            <w:pPr>
              <w:pStyle w:val="ARtabletextbold"/>
            </w:pPr>
            <w:r w:rsidRPr="002029AF">
              <w:t>Total</w:t>
            </w:r>
          </w:p>
        </w:tc>
        <w:tc>
          <w:tcPr>
            <w:tcW w:w="993" w:type="dxa"/>
            <w:shd w:val="clear" w:color="auto" w:fill="auto"/>
          </w:tcPr>
          <w:p w14:paraId="0D335501" w14:textId="77777777" w:rsidR="00CF72D5" w:rsidRPr="002029AF" w:rsidRDefault="00CF72D5" w:rsidP="00897193">
            <w:pPr>
              <w:pStyle w:val="ARtabletextrightbold"/>
              <w:rPr>
                <w:color w:val="000000" w:themeColor="text1"/>
              </w:rPr>
            </w:pPr>
            <w:r w:rsidRPr="002029AF">
              <w:rPr>
                <w:color w:val="000000" w:themeColor="text1"/>
              </w:rPr>
              <w:t>216</w:t>
            </w:r>
          </w:p>
        </w:tc>
        <w:tc>
          <w:tcPr>
            <w:tcW w:w="992" w:type="dxa"/>
            <w:shd w:val="clear" w:color="auto" w:fill="auto"/>
          </w:tcPr>
          <w:p w14:paraId="0550D1C6" w14:textId="77777777" w:rsidR="00CF72D5" w:rsidRPr="002029AF" w:rsidRDefault="00CF72D5" w:rsidP="00897193">
            <w:pPr>
              <w:pStyle w:val="ARtabletextrightbold"/>
            </w:pPr>
            <w:r w:rsidRPr="002029AF">
              <w:t>32</w:t>
            </w:r>
          </w:p>
        </w:tc>
        <w:tc>
          <w:tcPr>
            <w:tcW w:w="1134" w:type="dxa"/>
            <w:shd w:val="clear" w:color="auto" w:fill="auto"/>
          </w:tcPr>
          <w:p w14:paraId="088C4B33" w14:textId="77777777" w:rsidR="00CF72D5" w:rsidRPr="002029AF" w:rsidRDefault="00CF72D5" w:rsidP="00897193">
            <w:pPr>
              <w:pStyle w:val="ARtabletextrightbold"/>
            </w:pPr>
            <w:r w:rsidRPr="002029AF">
              <w:t>133</w:t>
            </w:r>
          </w:p>
        </w:tc>
        <w:tc>
          <w:tcPr>
            <w:tcW w:w="850" w:type="dxa"/>
            <w:shd w:val="clear" w:color="auto" w:fill="auto"/>
          </w:tcPr>
          <w:p w14:paraId="092DA98B" w14:textId="77777777" w:rsidR="00CF72D5" w:rsidRPr="002029AF" w:rsidRDefault="00CF72D5" w:rsidP="00897193">
            <w:pPr>
              <w:pStyle w:val="ARtabletextrightbold"/>
            </w:pPr>
            <w:r w:rsidRPr="002029AF">
              <w:t>18</w:t>
            </w:r>
          </w:p>
        </w:tc>
        <w:tc>
          <w:tcPr>
            <w:tcW w:w="993" w:type="dxa"/>
            <w:shd w:val="clear" w:color="auto" w:fill="auto"/>
          </w:tcPr>
          <w:p w14:paraId="37CDE70B" w14:textId="77777777" w:rsidR="00CF72D5" w:rsidRPr="002029AF" w:rsidRDefault="00CF72D5" w:rsidP="00897193">
            <w:pPr>
              <w:pStyle w:val="ARtabletextrightbold"/>
            </w:pPr>
            <w:r w:rsidRPr="002029AF">
              <w:t>83</w:t>
            </w:r>
          </w:p>
        </w:tc>
        <w:tc>
          <w:tcPr>
            <w:tcW w:w="992" w:type="dxa"/>
            <w:shd w:val="clear" w:color="auto" w:fill="auto"/>
          </w:tcPr>
          <w:p w14:paraId="71256C5C" w14:textId="77777777" w:rsidR="00CF72D5" w:rsidRPr="002029AF" w:rsidRDefault="00CF72D5" w:rsidP="00897193">
            <w:pPr>
              <w:pStyle w:val="ARtabletextrightbold"/>
            </w:pPr>
            <w:r w:rsidRPr="002029AF">
              <w:t>14</w:t>
            </w:r>
          </w:p>
        </w:tc>
        <w:tc>
          <w:tcPr>
            <w:tcW w:w="992" w:type="dxa"/>
            <w:shd w:val="clear" w:color="auto" w:fill="auto"/>
          </w:tcPr>
          <w:p w14:paraId="43BAF6CA" w14:textId="77777777" w:rsidR="00CF72D5" w:rsidRPr="002029AF" w:rsidRDefault="00CF72D5" w:rsidP="00897193">
            <w:pPr>
              <w:pStyle w:val="ARtabletextrightbold"/>
            </w:pPr>
            <w:r w:rsidRPr="002029AF">
              <w:t>0</w:t>
            </w:r>
          </w:p>
        </w:tc>
        <w:tc>
          <w:tcPr>
            <w:tcW w:w="992" w:type="dxa"/>
            <w:shd w:val="clear" w:color="auto" w:fill="auto"/>
          </w:tcPr>
          <w:p w14:paraId="769A767A" w14:textId="77777777" w:rsidR="00CF72D5" w:rsidRPr="002029AF" w:rsidRDefault="00CF72D5" w:rsidP="00897193">
            <w:pPr>
              <w:pStyle w:val="ARtabletextrightbold"/>
            </w:pPr>
            <w:r w:rsidRPr="002029AF">
              <w:t>0</w:t>
            </w:r>
          </w:p>
        </w:tc>
      </w:tr>
    </w:tbl>
    <w:p w14:paraId="3B5C2061" w14:textId="28719A40" w:rsidR="000A5329" w:rsidRPr="002029AF" w:rsidRDefault="00CF72D5" w:rsidP="00897193">
      <w:pPr>
        <w:pStyle w:val="ARbodyaftertable"/>
      </w:pPr>
      <w:r w:rsidRPr="002029AF">
        <w:t>The</w:t>
      </w:r>
      <w:r w:rsidR="000A5329" w:rsidRPr="002029AF">
        <w:t xml:space="preserve"> </w:t>
      </w:r>
      <w:r w:rsidRPr="002029AF">
        <w:t>increase</w:t>
      </w:r>
      <w:r w:rsidR="000A5329" w:rsidRPr="002029AF">
        <w:t xml:space="preserve"> </w:t>
      </w:r>
      <w:r w:rsidRPr="002029AF">
        <w:t>in</w:t>
      </w:r>
      <w:r w:rsidR="000A5329" w:rsidRPr="002029AF">
        <w:t xml:space="preserve"> </w:t>
      </w:r>
      <w:r w:rsidRPr="002029AF">
        <w:t>FTE</w:t>
      </w:r>
      <w:r w:rsidR="000A5329" w:rsidRPr="002029AF">
        <w:t xml:space="preserve"> </w:t>
      </w:r>
      <w:r w:rsidRPr="002029AF">
        <w:t>from</w:t>
      </w:r>
      <w:r w:rsidR="000A5329" w:rsidRPr="002029AF">
        <w:t xml:space="preserve"> </w:t>
      </w:r>
      <w:r w:rsidRPr="002029AF">
        <w:t>June</w:t>
      </w:r>
      <w:r w:rsidR="000A5329" w:rsidRPr="002029AF">
        <w:t xml:space="preserve"> </w:t>
      </w:r>
      <w:r w:rsidRPr="002029AF">
        <w:t>2019</w:t>
      </w:r>
      <w:r w:rsidR="000A5329" w:rsidRPr="002029AF">
        <w:t xml:space="preserve"> </w:t>
      </w:r>
      <w:r w:rsidRPr="002029AF">
        <w:t>to</w:t>
      </w:r>
      <w:r w:rsidR="000A5329" w:rsidRPr="002029AF">
        <w:t xml:space="preserve"> </w:t>
      </w:r>
      <w:r w:rsidRPr="002029AF">
        <w:t>June</w:t>
      </w:r>
      <w:r w:rsidR="000A5329" w:rsidRPr="002029AF">
        <w:t xml:space="preserve"> </w:t>
      </w:r>
      <w:r w:rsidRPr="002029AF">
        <w:t>2020</w:t>
      </w:r>
      <w:r w:rsidR="000A5329" w:rsidRPr="002029AF">
        <w:t xml:space="preserve"> </w:t>
      </w:r>
      <w:r w:rsidRPr="002029AF">
        <w:t>can</w:t>
      </w:r>
      <w:r w:rsidR="000A5329" w:rsidRPr="002029AF">
        <w:t xml:space="preserve"> </w:t>
      </w:r>
      <w:r w:rsidRPr="002029AF">
        <w:t>be</w:t>
      </w:r>
      <w:r w:rsidR="000A5329" w:rsidRPr="002029AF">
        <w:t xml:space="preserve"> </w:t>
      </w:r>
      <w:r w:rsidRPr="002029AF">
        <w:t>largely</w:t>
      </w:r>
      <w:r w:rsidR="000A5329" w:rsidRPr="002029AF">
        <w:t xml:space="preserve"> </w:t>
      </w:r>
      <w:r w:rsidRPr="002029AF">
        <w:t>attributed</w:t>
      </w:r>
      <w:r w:rsidR="000A5329" w:rsidRPr="002029AF">
        <w:t xml:space="preserve"> </w:t>
      </w:r>
      <w:r w:rsidRPr="002029AF">
        <w:t>to</w:t>
      </w:r>
      <w:r w:rsidR="000A5329" w:rsidRPr="002029AF">
        <w:t xml:space="preserve"> </w:t>
      </w:r>
      <w:r w:rsidRPr="002029AF">
        <w:t>the</w:t>
      </w:r>
      <w:r w:rsidR="000A5329" w:rsidRPr="002029AF">
        <w:t xml:space="preserve"> </w:t>
      </w:r>
      <w:r w:rsidRPr="002029AF">
        <w:t>significant</w:t>
      </w:r>
      <w:r w:rsidR="000A5329" w:rsidRPr="002029AF">
        <w:t xml:space="preserve"> </w:t>
      </w:r>
      <w:r w:rsidRPr="002029AF">
        <w:t>program</w:t>
      </w:r>
      <w:r w:rsidR="000A5329" w:rsidRPr="002029AF">
        <w:t xml:space="preserve"> </w:t>
      </w:r>
      <w:r w:rsidRPr="002029AF">
        <w:t>of</w:t>
      </w:r>
      <w:r w:rsidR="000A5329" w:rsidRPr="002029AF">
        <w:t xml:space="preserve"> </w:t>
      </w:r>
      <w:r w:rsidRPr="002029AF">
        <w:t>work</w:t>
      </w:r>
      <w:r w:rsidR="000A5329" w:rsidRPr="002029AF">
        <w:t xml:space="preserve"> </w:t>
      </w:r>
      <w:r w:rsidRPr="002029AF">
        <w:t>across</w:t>
      </w:r>
      <w:r w:rsidR="000A5329" w:rsidRPr="002029AF">
        <w:t xml:space="preserve"> </w:t>
      </w:r>
      <w:r w:rsidRPr="002029AF">
        <w:t>Infrastructure</w:t>
      </w:r>
      <w:r w:rsidR="000A5329" w:rsidRPr="002029AF">
        <w:t xml:space="preserve"> </w:t>
      </w:r>
      <w:r w:rsidRPr="002029AF">
        <w:t>and</w:t>
      </w:r>
      <w:r w:rsidR="000A5329" w:rsidRPr="002029AF">
        <w:t xml:space="preserve"> </w:t>
      </w:r>
      <w:r w:rsidRPr="002029AF">
        <w:t>Housing</w:t>
      </w:r>
      <w:r w:rsidR="000A5329" w:rsidRPr="002029AF">
        <w:t xml:space="preserve"> </w:t>
      </w:r>
      <w:r w:rsidRPr="002029AF">
        <w:t>resulting</w:t>
      </w:r>
      <w:r w:rsidR="000A5329" w:rsidRPr="002029AF">
        <w:t xml:space="preserve"> </w:t>
      </w:r>
      <w:r w:rsidRPr="002029AF">
        <w:t>in</w:t>
      </w:r>
      <w:r w:rsidR="000A5329" w:rsidRPr="002029AF">
        <w:t xml:space="preserve"> </w:t>
      </w:r>
      <w:r w:rsidRPr="002029AF">
        <w:t>a</w:t>
      </w:r>
      <w:r w:rsidR="000A5329" w:rsidRPr="002029AF">
        <w:t xml:space="preserve"> </w:t>
      </w:r>
      <w:r w:rsidRPr="002029AF">
        <w:t>separation</w:t>
      </w:r>
      <w:r w:rsidR="000A5329" w:rsidRPr="002029AF">
        <w:t xml:space="preserve"> </w:t>
      </w:r>
      <w:r w:rsidRPr="002029AF">
        <w:t>of</w:t>
      </w:r>
      <w:r w:rsidR="000A5329" w:rsidRPr="002029AF">
        <w:t xml:space="preserve"> </w:t>
      </w:r>
      <w:r w:rsidRPr="002029AF">
        <w:t>the</w:t>
      </w:r>
      <w:r w:rsidR="000A5329" w:rsidRPr="002029AF">
        <w:t xml:space="preserve"> </w:t>
      </w:r>
      <w:r w:rsidRPr="002029AF">
        <w:t>divisions</w:t>
      </w:r>
      <w:r w:rsidR="000A5329" w:rsidRPr="002029AF">
        <w:t xml:space="preserve"> </w:t>
      </w:r>
      <w:r w:rsidRPr="002029AF">
        <w:t>and</w:t>
      </w:r>
      <w:r w:rsidR="000A5329" w:rsidRPr="002029AF">
        <w:t xml:space="preserve"> </w:t>
      </w:r>
      <w:r w:rsidRPr="002029AF">
        <w:t>additional</w:t>
      </w:r>
      <w:r w:rsidR="000A5329" w:rsidRPr="002029AF">
        <w:t xml:space="preserve"> </w:t>
      </w:r>
      <w:r w:rsidR="000343EC" w:rsidRPr="002029AF">
        <w:t>e</w:t>
      </w:r>
      <w:r w:rsidRPr="002029AF">
        <w:t>xecutives</w:t>
      </w:r>
      <w:r w:rsidR="000A5329" w:rsidRPr="002029AF">
        <w:t xml:space="preserve"> </w:t>
      </w:r>
      <w:r w:rsidRPr="002029AF">
        <w:t>to</w:t>
      </w:r>
      <w:r w:rsidR="00B95D52">
        <w:t> </w:t>
      </w:r>
      <w:r w:rsidRPr="002029AF">
        <w:t>support</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response</w:t>
      </w:r>
      <w:r w:rsidR="000A5329" w:rsidRPr="002029AF">
        <w:t xml:space="preserve"> </w:t>
      </w:r>
      <w:r w:rsidRPr="002029AF">
        <w:t>to</w:t>
      </w:r>
      <w:r w:rsidR="000A5329" w:rsidRPr="002029AF">
        <w:t xml:space="preserve"> </w:t>
      </w:r>
      <w:r w:rsidRPr="002029AF">
        <w:t>the</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health</w:t>
      </w:r>
      <w:r w:rsidR="000A5329" w:rsidRPr="002029AF">
        <w:t xml:space="preserve"> </w:t>
      </w:r>
      <w:r w:rsidRPr="002029AF">
        <w:t>pandemic.</w:t>
      </w:r>
    </w:p>
    <w:p w14:paraId="122D0378" w14:textId="5F03D8AF" w:rsidR="00CF72D5" w:rsidRPr="002029AF" w:rsidRDefault="00CF72D5" w:rsidP="00897193">
      <w:pPr>
        <w:pStyle w:val="ARbodyaftertable"/>
      </w:pPr>
      <w:r w:rsidRPr="002029AF">
        <w:t>The</w:t>
      </w:r>
      <w:r w:rsidR="000A5329" w:rsidRPr="002029AF">
        <w:t xml:space="preserve"> </w:t>
      </w:r>
      <w:r w:rsidRPr="002029AF">
        <w:t>number</w:t>
      </w:r>
      <w:r w:rsidR="000A5329" w:rsidRPr="002029AF">
        <w:t xml:space="preserve"> </w:t>
      </w:r>
      <w:r w:rsidRPr="002029AF">
        <w:t>of</w:t>
      </w:r>
      <w:r w:rsidR="000A5329" w:rsidRPr="002029AF">
        <w:t xml:space="preserve"> </w:t>
      </w:r>
      <w:r w:rsidRPr="002029AF">
        <w:t>executives</w:t>
      </w:r>
      <w:r w:rsidR="000A5329" w:rsidRPr="002029AF">
        <w:t xml:space="preserve"> </w:t>
      </w:r>
      <w:r w:rsidRPr="002029AF">
        <w:t>in</w:t>
      </w:r>
      <w:r w:rsidR="000A5329" w:rsidRPr="002029AF">
        <w:t xml:space="preserve"> </w:t>
      </w:r>
      <w:r w:rsidRPr="002029AF">
        <w:t>the</w:t>
      </w:r>
      <w:r w:rsidR="000A5329" w:rsidRPr="002029AF">
        <w:t xml:space="preserve"> </w:t>
      </w:r>
      <w:r w:rsidRPr="002029AF">
        <w:t>report</w:t>
      </w:r>
      <w:r w:rsidR="000A5329" w:rsidRPr="002029AF">
        <w:t xml:space="preserve"> </w:t>
      </w:r>
      <w:r w:rsidRPr="002029AF">
        <w:t>of</w:t>
      </w:r>
      <w:r w:rsidR="000A5329" w:rsidRPr="002029AF">
        <w:t xml:space="preserve"> </w:t>
      </w:r>
      <w:r w:rsidRPr="002029AF">
        <w:t>operations</w:t>
      </w:r>
      <w:r w:rsidR="000A5329" w:rsidRPr="002029AF">
        <w:t xml:space="preserve"> </w:t>
      </w:r>
      <w:r w:rsidRPr="002029AF">
        <w:t>is</w:t>
      </w:r>
      <w:r w:rsidR="000A5329" w:rsidRPr="002029AF">
        <w:t xml:space="preserve"> </w:t>
      </w:r>
      <w:r w:rsidRPr="002029AF">
        <w:t>based</w:t>
      </w:r>
      <w:r w:rsidR="000A5329" w:rsidRPr="002029AF">
        <w:t xml:space="preserve"> </w:t>
      </w:r>
      <w:r w:rsidRPr="002029AF">
        <w:t>on</w:t>
      </w:r>
      <w:r w:rsidR="000A5329" w:rsidRPr="002029AF">
        <w:t xml:space="preserve"> </w:t>
      </w:r>
      <w:r w:rsidRPr="002029AF">
        <w:t>the</w:t>
      </w:r>
      <w:r w:rsidR="000A5329" w:rsidRPr="002029AF">
        <w:t xml:space="preserve"> </w:t>
      </w:r>
      <w:r w:rsidRPr="002029AF">
        <w:t>number</w:t>
      </w:r>
      <w:r w:rsidR="000A5329" w:rsidRPr="002029AF">
        <w:t xml:space="preserve"> </w:t>
      </w:r>
      <w:r w:rsidRPr="002029AF">
        <w:t>of</w:t>
      </w:r>
      <w:r w:rsidR="000A5329" w:rsidRPr="002029AF">
        <w:t xml:space="preserve"> </w:t>
      </w:r>
      <w:r w:rsidRPr="002029AF">
        <w:t>executive</w:t>
      </w:r>
      <w:r w:rsidR="000A5329" w:rsidRPr="002029AF">
        <w:t xml:space="preserve"> </w:t>
      </w:r>
      <w:r w:rsidRPr="002029AF">
        <w:t>positions</w:t>
      </w:r>
      <w:r w:rsidR="000A5329" w:rsidRPr="002029AF">
        <w:t xml:space="preserve"> </w:t>
      </w:r>
      <w:r w:rsidRPr="002029AF">
        <w:t>that</w:t>
      </w:r>
      <w:r w:rsidR="000A5329" w:rsidRPr="002029AF">
        <w:t xml:space="preserve"> </w:t>
      </w:r>
      <w:r w:rsidRPr="002029AF">
        <w:t>are</w:t>
      </w:r>
      <w:r w:rsidR="000A5329" w:rsidRPr="002029AF">
        <w:t xml:space="preserve"> </w:t>
      </w:r>
      <w:r w:rsidRPr="002029AF">
        <w:t>occupied</w:t>
      </w:r>
      <w:r w:rsidR="000A5329" w:rsidRPr="002029AF">
        <w:t xml:space="preserve"> </w:t>
      </w:r>
      <w:r w:rsidRPr="002029AF">
        <w:t>at</w:t>
      </w:r>
      <w:r w:rsidR="000A5329" w:rsidRPr="002029AF">
        <w:t xml:space="preserve"> </w:t>
      </w:r>
      <w:r w:rsidRPr="002029AF">
        <w:t>the</w:t>
      </w:r>
      <w:r w:rsidR="000A5329" w:rsidRPr="002029AF">
        <w:t xml:space="preserve"> </w:t>
      </w:r>
      <w:r w:rsidRPr="002029AF">
        <w:t>end</w:t>
      </w:r>
      <w:r w:rsidR="000A5329" w:rsidRPr="002029AF">
        <w:t xml:space="preserve"> </w:t>
      </w:r>
      <w:r w:rsidRPr="002029AF">
        <w:t>of</w:t>
      </w:r>
      <w:r w:rsidR="000A5329" w:rsidRPr="002029AF">
        <w:t xml:space="preserve"> </w:t>
      </w:r>
      <w:r w:rsidRPr="002029AF">
        <w:t>the</w:t>
      </w:r>
      <w:r w:rsidR="000A5329" w:rsidRPr="002029AF">
        <w:t xml:space="preserve"> </w:t>
      </w:r>
      <w:r w:rsidRPr="002029AF">
        <w:t>financial</w:t>
      </w:r>
      <w:r w:rsidR="000A5329" w:rsidRPr="002029AF">
        <w:t xml:space="preserve"> </w:t>
      </w:r>
      <w:r w:rsidRPr="002029AF">
        <w:t>year.</w:t>
      </w:r>
      <w:r w:rsidR="000A5329" w:rsidRPr="002029AF">
        <w:t xml:space="preserve"> </w:t>
      </w:r>
      <w:r w:rsidRPr="002029AF">
        <w:t>Note</w:t>
      </w:r>
      <w:r w:rsidR="000A5329" w:rsidRPr="002029AF">
        <w:t xml:space="preserve"> </w:t>
      </w:r>
      <w:r w:rsidRPr="002029AF">
        <w:t>9.7</w:t>
      </w:r>
      <w:r w:rsidR="000A5329" w:rsidRPr="002029AF">
        <w:t xml:space="preserve"> </w:t>
      </w:r>
      <w:r w:rsidRPr="002029AF">
        <w:t>in</w:t>
      </w:r>
      <w:r w:rsidR="000A5329" w:rsidRPr="002029AF">
        <w:t xml:space="preserve"> </w:t>
      </w:r>
      <w:r w:rsidRPr="002029AF">
        <w:t>the</w:t>
      </w:r>
      <w:r w:rsidR="000A5329" w:rsidRPr="002029AF">
        <w:t xml:space="preserve"> </w:t>
      </w:r>
      <w:r w:rsidRPr="002029AF">
        <w:t>financial</w:t>
      </w:r>
      <w:r w:rsidR="000A5329" w:rsidRPr="002029AF">
        <w:t xml:space="preserve"> </w:t>
      </w:r>
      <w:r w:rsidRPr="002029AF">
        <w:t>statements</w:t>
      </w:r>
      <w:r w:rsidR="000A5329" w:rsidRPr="002029AF">
        <w:t xml:space="preserve"> </w:t>
      </w:r>
      <w:r w:rsidRPr="002029AF">
        <w:t>lists</w:t>
      </w:r>
      <w:r w:rsidR="000A5329" w:rsidRPr="002029AF">
        <w:t xml:space="preserve"> </w:t>
      </w:r>
      <w:r w:rsidRPr="002029AF">
        <w:t>the</w:t>
      </w:r>
      <w:r w:rsidR="000A5329" w:rsidRPr="002029AF">
        <w:t xml:space="preserve"> </w:t>
      </w:r>
      <w:r w:rsidRPr="002029AF">
        <w:t>actual</w:t>
      </w:r>
      <w:r w:rsidR="000A5329" w:rsidRPr="002029AF">
        <w:t xml:space="preserve"> </w:t>
      </w:r>
      <w:r w:rsidRPr="002029AF">
        <w:t>number</w:t>
      </w:r>
      <w:r w:rsidR="000A5329" w:rsidRPr="002029AF">
        <w:t xml:space="preserve"> </w:t>
      </w:r>
      <w:r w:rsidRPr="002029AF">
        <w:t>of</w:t>
      </w:r>
      <w:r w:rsidR="000A5329" w:rsidRPr="002029AF">
        <w:t xml:space="preserve"> </w:t>
      </w:r>
      <w:r w:rsidRPr="002029AF">
        <w:t>EOs</w:t>
      </w:r>
      <w:r w:rsidR="000A5329" w:rsidRPr="002029AF">
        <w:t xml:space="preserve"> </w:t>
      </w:r>
      <w:r w:rsidRPr="002029AF">
        <w:t>and</w:t>
      </w:r>
      <w:r w:rsidR="000A5329" w:rsidRPr="002029AF">
        <w:t xml:space="preserve"> </w:t>
      </w:r>
      <w:r w:rsidRPr="002029AF">
        <w:t>the</w:t>
      </w:r>
      <w:r w:rsidR="000A5329" w:rsidRPr="002029AF">
        <w:t xml:space="preserve"> </w:t>
      </w:r>
      <w:r w:rsidRPr="002029AF">
        <w:t>total</w:t>
      </w:r>
      <w:r w:rsidR="000A5329" w:rsidRPr="002029AF">
        <w:t xml:space="preserve"> </w:t>
      </w:r>
      <w:r w:rsidRPr="002029AF">
        <w:t>remuneration</w:t>
      </w:r>
      <w:r w:rsidR="000A5329" w:rsidRPr="002029AF">
        <w:t xml:space="preserve"> </w:t>
      </w:r>
      <w:r w:rsidRPr="002029AF">
        <w:t>paid</w:t>
      </w:r>
      <w:r w:rsidR="000A5329" w:rsidRPr="002029AF">
        <w:t xml:space="preserve"> </w:t>
      </w:r>
      <w:r w:rsidRPr="002029AF">
        <w:t>to</w:t>
      </w:r>
      <w:r w:rsidR="000A5329" w:rsidRPr="002029AF">
        <w:t xml:space="preserve"> </w:t>
      </w:r>
      <w:r w:rsidRPr="002029AF">
        <w:t>EOs</w:t>
      </w:r>
      <w:r w:rsidR="000A5329" w:rsidRPr="002029AF">
        <w:t xml:space="preserve"> </w:t>
      </w:r>
      <w:r w:rsidRPr="002029AF">
        <w:t>over</w:t>
      </w:r>
      <w:r w:rsidR="000A5329" w:rsidRPr="002029AF">
        <w:t xml:space="preserve"> </w:t>
      </w:r>
      <w:r w:rsidRPr="002029AF">
        <w:t>the</w:t>
      </w:r>
      <w:r w:rsidR="000A5329" w:rsidRPr="002029AF">
        <w:t xml:space="preserve"> </w:t>
      </w:r>
      <w:r w:rsidRPr="002029AF">
        <w:t>course</w:t>
      </w:r>
      <w:r w:rsidR="000A5329" w:rsidRPr="002029AF">
        <w:t xml:space="preserve"> </w:t>
      </w:r>
      <w:r w:rsidRPr="002029AF">
        <w:t>of</w:t>
      </w:r>
      <w:r w:rsidR="000A5329" w:rsidRPr="002029AF">
        <w:t xml:space="preserve"> </w:t>
      </w:r>
      <w:r w:rsidRPr="002029AF">
        <w:t>the</w:t>
      </w:r>
      <w:r w:rsidR="000A5329" w:rsidRPr="002029AF">
        <w:t xml:space="preserve"> </w:t>
      </w:r>
      <w:r w:rsidRPr="002029AF">
        <w:t>reporting</w:t>
      </w:r>
      <w:r w:rsidR="000A5329" w:rsidRPr="002029AF">
        <w:t xml:space="preserve"> </w:t>
      </w:r>
      <w:r w:rsidRPr="002029AF">
        <w:t>period.</w:t>
      </w:r>
      <w:r w:rsidR="000A5329" w:rsidRPr="002029AF">
        <w:t xml:space="preserve"> </w:t>
      </w:r>
      <w:r w:rsidRPr="002029AF">
        <w:t>The</w:t>
      </w:r>
      <w:r w:rsidR="000A5329" w:rsidRPr="002029AF">
        <w:t xml:space="preserve"> </w:t>
      </w:r>
      <w:r w:rsidRPr="002029AF">
        <w:t>financial</w:t>
      </w:r>
      <w:r w:rsidR="000A5329" w:rsidRPr="002029AF">
        <w:t xml:space="preserve"> </w:t>
      </w:r>
      <w:r w:rsidRPr="002029AF">
        <w:t>statements</w:t>
      </w:r>
      <w:r w:rsidR="000A5329" w:rsidRPr="002029AF">
        <w:t xml:space="preserve"> </w:t>
      </w:r>
      <w:r w:rsidRPr="002029AF">
        <w:t>note</w:t>
      </w:r>
      <w:r w:rsidR="00B95D52">
        <w:t> </w:t>
      </w:r>
      <w:r w:rsidRPr="002029AF">
        <w:t>does</w:t>
      </w:r>
      <w:r w:rsidR="000A5329" w:rsidRPr="002029AF">
        <w:t xml:space="preserve"> </w:t>
      </w:r>
      <w:r w:rsidRPr="002029AF">
        <w:t>not</w:t>
      </w:r>
      <w:r w:rsidR="000A5329" w:rsidRPr="002029AF">
        <w:t xml:space="preserve"> </w:t>
      </w:r>
      <w:r w:rsidRPr="002029AF">
        <w:t>include</w:t>
      </w:r>
      <w:r w:rsidR="000A5329" w:rsidRPr="002029AF">
        <w:t xml:space="preserve"> </w:t>
      </w:r>
      <w:r w:rsidRPr="002029AF">
        <w:t>the</w:t>
      </w:r>
      <w:r w:rsidR="000A5329" w:rsidRPr="002029AF">
        <w:t xml:space="preserve"> </w:t>
      </w:r>
      <w:r w:rsidRPr="002029AF">
        <w:t>Accountable</w:t>
      </w:r>
      <w:r w:rsidR="000A5329" w:rsidRPr="002029AF">
        <w:t xml:space="preserve"> </w:t>
      </w:r>
      <w:r w:rsidRPr="002029AF">
        <w:t>Officer,</w:t>
      </w:r>
      <w:r w:rsidR="000A5329" w:rsidRPr="002029AF">
        <w:t xml:space="preserve"> </w:t>
      </w:r>
      <w:r w:rsidRPr="002029AF">
        <w:t>nor</w:t>
      </w:r>
      <w:r w:rsidR="000A5329" w:rsidRPr="002029AF">
        <w:t xml:space="preserve"> </w:t>
      </w:r>
      <w:r w:rsidRPr="002029AF">
        <w:t>does</w:t>
      </w:r>
      <w:r w:rsidR="000A5329" w:rsidRPr="002029AF">
        <w:t xml:space="preserve"> </w:t>
      </w:r>
      <w:r w:rsidRPr="002029AF">
        <w:t>it</w:t>
      </w:r>
      <w:r w:rsidR="000A5329" w:rsidRPr="002029AF">
        <w:t xml:space="preserve"> </w:t>
      </w:r>
      <w:r w:rsidRPr="002029AF">
        <w:t>distinguish</w:t>
      </w:r>
      <w:r w:rsidR="000A5329" w:rsidRPr="002029AF">
        <w:t xml:space="preserve"> </w:t>
      </w:r>
      <w:r w:rsidRPr="002029AF">
        <w:t>between</w:t>
      </w:r>
      <w:r w:rsidR="000A5329" w:rsidRPr="002029AF">
        <w:t xml:space="preserve"> </w:t>
      </w:r>
      <w:r w:rsidRPr="002029AF">
        <w:t>executive</w:t>
      </w:r>
      <w:r w:rsidR="000A5329" w:rsidRPr="002029AF">
        <w:t xml:space="preserve"> </w:t>
      </w:r>
      <w:r w:rsidRPr="002029AF">
        <w:t>levels</w:t>
      </w:r>
      <w:r w:rsidR="000A5329" w:rsidRPr="002029AF">
        <w:t xml:space="preserve"> </w:t>
      </w:r>
      <w:r w:rsidRPr="002029AF">
        <w:t>or</w:t>
      </w:r>
      <w:r w:rsidR="000A5329" w:rsidRPr="002029AF">
        <w:t xml:space="preserve"> </w:t>
      </w:r>
      <w:r w:rsidRPr="002029AF">
        <w:t>disclose</w:t>
      </w:r>
      <w:r w:rsidR="000A5329" w:rsidRPr="002029AF">
        <w:t xml:space="preserve"> </w:t>
      </w:r>
      <w:r w:rsidRPr="002029AF">
        <w:t>separations.</w:t>
      </w:r>
      <w:r w:rsidR="000A5329" w:rsidRPr="002029AF">
        <w:t xml:space="preserve"> </w:t>
      </w:r>
      <w:r w:rsidRPr="002029AF">
        <w:t>Separations</w:t>
      </w:r>
      <w:r w:rsidR="000A5329" w:rsidRPr="002029AF">
        <w:t xml:space="preserve"> </w:t>
      </w:r>
      <w:r w:rsidRPr="002029AF">
        <w:t>are</w:t>
      </w:r>
      <w:r w:rsidR="000A5329" w:rsidRPr="002029AF">
        <w:t xml:space="preserve"> </w:t>
      </w:r>
      <w:r w:rsidRPr="002029AF">
        <w:t>executives</w:t>
      </w:r>
      <w:r w:rsidR="000A5329" w:rsidRPr="002029AF">
        <w:t xml:space="preserve"> </w:t>
      </w:r>
      <w:r w:rsidRPr="002029AF">
        <w:t>who</w:t>
      </w:r>
      <w:r w:rsidR="000A5329" w:rsidRPr="002029AF">
        <w:t xml:space="preserve"> </w:t>
      </w:r>
      <w:r w:rsidRPr="002029AF">
        <w:t>have</w:t>
      </w:r>
      <w:r w:rsidR="000A5329" w:rsidRPr="002029AF">
        <w:t xml:space="preserve"> </w:t>
      </w:r>
      <w:r w:rsidRPr="002029AF">
        <w:t>left</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during</w:t>
      </w:r>
      <w:r w:rsidR="000A5329" w:rsidRPr="002029AF">
        <w:t xml:space="preserve"> </w:t>
      </w:r>
      <w:r w:rsidRPr="002029AF">
        <w:t>the</w:t>
      </w:r>
      <w:r w:rsidR="000A5329" w:rsidRPr="002029AF">
        <w:t xml:space="preserve"> </w:t>
      </w:r>
      <w:r w:rsidRPr="002029AF">
        <w:t>relevant</w:t>
      </w:r>
      <w:r w:rsidR="000A5329" w:rsidRPr="002029AF">
        <w:t xml:space="preserve"> </w:t>
      </w:r>
      <w:r w:rsidRPr="002029AF">
        <w:t>reporting</w:t>
      </w:r>
      <w:r w:rsidR="000A5329" w:rsidRPr="002029AF">
        <w:t xml:space="preserve"> </w:t>
      </w:r>
      <w:r w:rsidRPr="002029AF">
        <w:t>period.</w:t>
      </w:r>
      <w:r w:rsidR="000A5329" w:rsidRPr="002029AF">
        <w:t xml:space="preserve"> </w:t>
      </w:r>
      <w:r w:rsidRPr="002029AF">
        <w:t>To</w:t>
      </w:r>
      <w:r w:rsidR="000A5329" w:rsidRPr="002029AF">
        <w:t xml:space="preserve"> </w:t>
      </w:r>
      <w:r w:rsidRPr="002029AF">
        <w:t>assist</w:t>
      </w:r>
      <w:r w:rsidR="000A5329" w:rsidRPr="002029AF">
        <w:t xml:space="preserve"> </w:t>
      </w:r>
      <w:r w:rsidRPr="002029AF">
        <w:t>readers,</w:t>
      </w:r>
      <w:r w:rsidR="000A5329" w:rsidRPr="002029AF">
        <w:t xml:space="preserve"> </w:t>
      </w:r>
      <w:r w:rsidRPr="002029AF">
        <w:t>these</w:t>
      </w:r>
      <w:r w:rsidR="000A5329" w:rsidRPr="002029AF">
        <w:t xml:space="preserve"> </w:t>
      </w:r>
      <w:r w:rsidRPr="002029AF">
        <w:t>two</w:t>
      </w:r>
      <w:r w:rsidR="000A5329" w:rsidRPr="002029AF">
        <w:t xml:space="preserve"> </w:t>
      </w:r>
      <w:r w:rsidRPr="002029AF">
        <w:t>disclosures</w:t>
      </w:r>
      <w:r w:rsidR="000A5329" w:rsidRPr="002029AF">
        <w:t xml:space="preserve"> </w:t>
      </w:r>
      <w:r w:rsidRPr="002029AF">
        <w:t>are</w:t>
      </w:r>
      <w:r w:rsidR="000A5329" w:rsidRPr="002029AF">
        <w:t xml:space="preserve"> </w:t>
      </w:r>
      <w:r w:rsidRPr="002029AF">
        <w:t>reconciled</w:t>
      </w:r>
      <w:r w:rsidR="000A5329" w:rsidRPr="002029AF">
        <w:t xml:space="preserve"> </w:t>
      </w:r>
      <w:r w:rsidRPr="002029AF">
        <w:t>below.</w:t>
      </w:r>
    </w:p>
    <w:p w14:paraId="63EAC206" w14:textId="77777777" w:rsidR="00CF72D5" w:rsidRPr="002029AF" w:rsidRDefault="00CF72D5" w:rsidP="00897193">
      <w:pPr>
        <w:pStyle w:val="ARbody"/>
      </w:pPr>
      <w:bookmarkStart w:id="88" w:name="_Hlk19622283"/>
      <w:r w:rsidRPr="002029AF">
        <w:br w:type="page"/>
      </w:r>
    </w:p>
    <w:p w14:paraId="40223932" w14:textId="06C80C85" w:rsidR="00CF72D5" w:rsidRPr="002029AF" w:rsidRDefault="00CF72D5" w:rsidP="00897193">
      <w:pPr>
        <w:pStyle w:val="Heading4"/>
      </w:pPr>
      <w:r w:rsidRPr="002029AF">
        <w:lastRenderedPageBreak/>
        <w:t>Table</w:t>
      </w:r>
      <w:r w:rsidR="000A5329" w:rsidRPr="002029AF">
        <w:t xml:space="preserve"> </w:t>
      </w:r>
      <w:r w:rsidRPr="002029AF">
        <w:t>2:</w:t>
      </w:r>
      <w:r w:rsidR="000A5329" w:rsidRPr="002029AF">
        <w:t xml:space="preserve"> </w:t>
      </w:r>
      <w:r w:rsidRPr="002029AF">
        <w:t>Reconciliation</w:t>
      </w:r>
      <w:r w:rsidR="000A5329" w:rsidRPr="002029AF">
        <w:t xml:space="preserve"> </w:t>
      </w:r>
      <w:r w:rsidRPr="002029AF">
        <w:t>of</w:t>
      </w:r>
      <w:r w:rsidR="000A5329" w:rsidRPr="002029AF">
        <w:t xml:space="preserve"> </w:t>
      </w:r>
      <w:r w:rsidRPr="002029AF">
        <w:t>executive</w:t>
      </w:r>
      <w:r w:rsidR="000A5329" w:rsidRPr="002029AF">
        <w:t xml:space="preserve"> </w:t>
      </w:r>
      <w:r w:rsidRPr="002029AF">
        <w:t>numbers</w:t>
      </w:r>
      <w:r w:rsidR="000A5329" w:rsidRPr="002029AF">
        <w:t xml:space="preserve"> </w:t>
      </w:r>
      <w:r w:rsidRPr="002029AF">
        <w:t>for</w:t>
      </w:r>
      <w:r w:rsidR="000A5329" w:rsidRPr="002029AF">
        <w:t xml:space="preserve"> </w:t>
      </w:r>
      <w:r w:rsidRPr="002029AF">
        <w:t>the</w:t>
      </w:r>
      <w:r w:rsidR="000A5329" w:rsidRPr="002029AF">
        <w:t xml:space="preserve"> </w:t>
      </w:r>
      <w:r w:rsidRPr="002029AF">
        <w:t>department</w:t>
      </w:r>
    </w:p>
    <w:bookmarkEnd w:id="88"/>
    <w:tbl>
      <w:tblPr>
        <w:tblStyle w:val="TableGrid"/>
        <w:tblW w:w="0" w:type="auto"/>
        <w:tblLook w:val="06A0" w:firstRow="1" w:lastRow="0" w:firstColumn="1" w:lastColumn="0" w:noHBand="1" w:noVBand="1"/>
      </w:tblPr>
      <w:tblGrid>
        <w:gridCol w:w="6231"/>
        <w:gridCol w:w="1698"/>
        <w:gridCol w:w="1698"/>
      </w:tblGrid>
      <w:tr w:rsidR="00CF72D5" w:rsidRPr="002029AF" w14:paraId="33DA2E77" w14:textId="77777777" w:rsidTr="00897193">
        <w:trPr>
          <w:cnfStyle w:val="100000000000" w:firstRow="1" w:lastRow="0" w:firstColumn="0" w:lastColumn="0" w:oddVBand="0" w:evenVBand="0" w:oddHBand="0" w:evenHBand="0" w:firstRowFirstColumn="0" w:firstRowLastColumn="0" w:lastRowFirstColumn="0" w:lastRowLastColumn="0"/>
          <w:tblHeader/>
        </w:trPr>
        <w:tc>
          <w:tcPr>
            <w:tcW w:w="6231" w:type="dxa"/>
            <w:tcBorders>
              <w:top w:val="nil"/>
            </w:tcBorders>
          </w:tcPr>
          <w:p w14:paraId="7BF904E8" w14:textId="77777777" w:rsidR="00CF72D5" w:rsidRPr="002029AF" w:rsidRDefault="00CF72D5" w:rsidP="00871DEF">
            <w:pPr>
              <w:pStyle w:val="ARtablecolhead"/>
            </w:pPr>
          </w:p>
        </w:tc>
        <w:tc>
          <w:tcPr>
            <w:tcW w:w="1698" w:type="dxa"/>
            <w:tcBorders>
              <w:top w:val="nil"/>
            </w:tcBorders>
          </w:tcPr>
          <w:p w14:paraId="1B3E3F01" w14:textId="77777777" w:rsidR="00CF72D5" w:rsidRPr="002029AF" w:rsidRDefault="00CF72D5" w:rsidP="00897193">
            <w:pPr>
              <w:pStyle w:val="ARtablecolheadright"/>
            </w:pPr>
            <w:r w:rsidRPr="002029AF">
              <w:t>2020</w:t>
            </w:r>
          </w:p>
        </w:tc>
        <w:tc>
          <w:tcPr>
            <w:tcW w:w="1698" w:type="dxa"/>
            <w:tcBorders>
              <w:top w:val="nil"/>
            </w:tcBorders>
          </w:tcPr>
          <w:p w14:paraId="3E03D39E" w14:textId="77777777" w:rsidR="00CF72D5" w:rsidRPr="002029AF" w:rsidRDefault="00CF72D5" w:rsidP="00897193">
            <w:pPr>
              <w:pStyle w:val="ARtablecolheadright"/>
            </w:pPr>
            <w:r w:rsidRPr="002029AF">
              <w:t>2019</w:t>
            </w:r>
          </w:p>
        </w:tc>
      </w:tr>
      <w:tr w:rsidR="00CF72D5" w:rsidRPr="002029AF" w14:paraId="70111F9A" w14:textId="77777777" w:rsidTr="00897193">
        <w:tc>
          <w:tcPr>
            <w:tcW w:w="6231" w:type="dxa"/>
            <w:tcBorders>
              <w:top w:val="single" w:sz="4" w:space="0" w:color="70AD47" w:themeColor="accent6"/>
            </w:tcBorders>
          </w:tcPr>
          <w:p w14:paraId="54354B71" w14:textId="77777777" w:rsidR="00CF72D5" w:rsidRPr="002029AF" w:rsidRDefault="00CF72D5" w:rsidP="00897193">
            <w:pPr>
              <w:pStyle w:val="ARtabletext"/>
            </w:pPr>
            <w:r w:rsidRPr="002029AF">
              <w:t>Executives</w:t>
            </w:r>
          </w:p>
        </w:tc>
        <w:tc>
          <w:tcPr>
            <w:tcW w:w="1698" w:type="dxa"/>
            <w:tcBorders>
              <w:top w:val="single" w:sz="4" w:space="0" w:color="70AD47" w:themeColor="accent6"/>
            </w:tcBorders>
          </w:tcPr>
          <w:p w14:paraId="1B9C2171" w14:textId="77777777" w:rsidR="00CF72D5" w:rsidRPr="002029AF" w:rsidRDefault="00CF72D5" w:rsidP="00897193">
            <w:pPr>
              <w:pStyle w:val="ARtabletextright"/>
            </w:pPr>
            <w:r w:rsidRPr="002029AF">
              <w:t>214</w:t>
            </w:r>
          </w:p>
        </w:tc>
        <w:tc>
          <w:tcPr>
            <w:tcW w:w="1698" w:type="dxa"/>
            <w:tcBorders>
              <w:top w:val="single" w:sz="4" w:space="0" w:color="70AD47" w:themeColor="accent6"/>
            </w:tcBorders>
          </w:tcPr>
          <w:p w14:paraId="4FBBBB66" w14:textId="77777777" w:rsidR="00CF72D5" w:rsidRPr="002029AF" w:rsidRDefault="00CF72D5" w:rsidP="00897193">
            <w:pPr>
              <w:pStyle w:val="ARtabletextright"/>
            </w:pPr>
            <w:r w:rsidRPr="002029AF">
              <w:t>216</w:t>
            </w:r>
          </w:p>
        </w:tc>
      </w:tr>
      <w:tr w:rsidR="00CF72D5" w:rsidRPr="002029AF" w14:paraId="4ED76C12" w14:textId="77777777" w:rsidTr="00897193">
        <w:tc>
          <w:tcPr>
            <w:tcW w:w="6231" w:type="dxa"/>
          </w:tcPr>
          <w:p w14:paraId="5BF65832" w14:textId="7ABE81B0" w:rsidR="00CF72D5" w:rsidRPr="002029AF" w:rsidRDefault="00CF72D5" w:rsidP="00897193">
            <w:pPr>
              <w:pStyle w:val="ARtabletext"/>
            </w:pPr>
            <w:r w:rsidRPr="002029AF">
              <w:t>Accountable</w:t>
            </w:r>
            <w:r w:rsidR="000A5329" w:rsidRPr="002029AF">
              <w:t xml:space="preserve"> </w:t>
            </w:r>
            <w:r w:rsidRPr="002029AF">
              <w:t>Officer</w:t>
            </w:r>
            <w:r w:rsidR="000A5329" w:rsidRPr="002029AF">
              <w:t xml:space="preserve"> </w:t>
            </w:r>
            <w:r w:rsidRPr="002029AF">
              <w:t>(Secretary)</w:t>
            </w:r>
          </w:p>
        </w:tc>
        <w:tc>
          <w:tcPr>
            <w:tcW w:w="1698" w:type="dxa"/>
          </w:tcPr>
          <w:p w14:paraId="14A25CBE" w14:textId="77777777" w:rsidR="00CF72D5" w:rsidRPr="002029AF" w:rsidRDefault="00CF72D5" w:rsidP="00897193">
            <w:pPr>
              <w:pStyle w:val="ARtabletextright"/>
            </w:pPr>
            <w:r w:rsidRPr="002029AF">
              <w:t>1</w:t>
            </w:r>
          </w:p>
        </w:tc>
        <w:tc>
          <w:tcPr>
            <w:tcW w:w="1698" w:type="dxa"/>
          </w:tcPr>
          <w:p w14:paraId="33CCB20D" w14:textId="77777777" w:rsidR="00CF72D5" w:rsidRPr="002029AF" w:rsidRDefault="00CF72D5" w:rsidP="00897193">
            <w:pPr>
              <w:pStyle w:val="ARtabletextright"/>
            </w:pPr>
            <w:r w:rsidRPr="002029AF">
              <w:t>1</w:t>
            </w:r>
          </w:p>
        </w:tc>
      </w:tr>
      <w:tr w:rsidR="00CF72D5" w:rsidRPr="002029AF" w14:paraId="28FA429A" w14:textId="77777777" w:rsidTr="00897193">
        <w:tc>
          <w:tcPr>
            <w:tcW w:w="6231" w:type="dxa"/>
          </w:tcPr>
          <w:p w14:paraId="3959D617" w14:textId="36D3C558" w:rsidR="00CF72D5" w:rsidRPr="002029AF" w:rsidRDefault="00CF72D5" w:rsidP="00897193">
            <w:pPr>
              <w:pStyle w:val="ARtabletext"/>
            </w:pPr>
            <w:r w:rsidRPr="002029AF">
              <w:t>Accountable</w:t>
            </w:r>
            <w:r w:rsidR="000A5329" w:rsidRPr="002029AF">
              <w:t xml:space="preserve"> </w:t>
            </w:r>
            <w:r w:rsidRPr="002029AF">
              <w:t>Officer</w:t>
            </w:r>
            <w:r w:rsidR="000A5329" w:rsidRPr="002029AF">
              <w:t xml:space="preserve"> </w:t>
            </w:r>
            <w:r w:rsidRPr="002029AF">
              <w:t>(Director</w:t>
            </w:r>
            <w:r w:rsidR="000A5329" w:rsidRPr="002029AF">
              <w:t xml:space="preserve"> </w:t>
            </w:r>
            <w:r w:rsidRPr="002029AF">
              <w:t>of</w:t>
            </w:r>
            <w:r w:rsidR="000A5329" w:rsidRPr="002029AF">
              <w:t xml:space="preserve"> </w:t>
            </w:r>
            <w:r w:rsidRPr="002029AF">
              <w:t>Housing)</w:t>
            </w:r>
          </w:p>
        </w:tc>
        <w:tc>
          <w:tcPr>
            <w:tcW w:w="1698" w:type="dxa"/>
          </w:tcPr>
          <w:p w14:paraId="46770B3E" w14:textId="77777777" w:rsidR="00CF72D5" w:rsidRPr="002029AF" w:rsidRDefault="00CF72D5" w:rsidP="00897193">
            <w:pPr>
              <w:pStyle w:val="ARtabletextright"/>
            </w:pPr>
            <w:r w:rsidRPr="002029AF">
              <w:t>1</w:t>
            </w:r>
          </w:p>
        </w:tc>
        <w:tc>
          <w:tcPr>
            <w:tcW w:w="1698" w:type="dxa"/>
          </w:tcPr>
          <w:p w14:paraId="5FF73006" w14:textId="77777777" w:rsidR="00CF72D5" w:rsidRPr="002029AF" w:rsidRDefault="00CF72D5" w:rsidP="00897193">
            <w:pPr>
              <w:pStyle w:val="ARtabletextright"/>
            </w:pPr>
            <w:r w:rsidRPr="002029AF">
              <w:t>1</w:t>
            </w:r>
          </w:p>
        </w:tc>
      </w:tr>
      <w:tr w:rsidR="00CF72D5" w:rsidRPr="002029AF" w14:paraId="24D8294B" w14:textId="77777777" w:rsidTr="00897193">
        <w:tc>
          <w:tcPr>
            <w:tcW w:w="6231" w:type="dxa"/>
          </w:tcPr>
          <w:p w14:paraId="23D9E16B" w14:textId="68372A2E" w:rsidR="00CF72D5" w:rsidRPr="002029AF" w:rsidRDefault="00CF72D5" w:rsidP="00897193">
            <w:pPr>
              <w:pStyle w:val="ARtabletext"/>
            </w:pPr>
            <w:r w:rsidRPr="002029AF">
              <w:t>Accountable</w:t>
            </w:r>
            <w:r w:rsidR="000A5329" w:rsidRPr="002029AF">
              <w:t xml:space="preserve"> </w:t>
            </w:r>
            <w:r w:rsidRPr="002029AF">
              <w:t>Officer</w:t>
            </w:r>
            <w:r w:rsidR="000A5329" w:rsidRPr="002029AF">
              <w:t xml:space="preserve"> </w:t>
            </w:r>
            <w:r w:rsidRPr="002029AF">
              <w:t>(Chief</w:t>
            </w:r>
            <w:r w:rsidR="000A5329" w:rsidRPr="002029AF">
              <w:t xml:space="preserve"> </w:t>
            </w:r>
            <w:r w:rsidRPr="002029AF">
              <w:t>Executive</w:t>
            </w:r>
            <w:r w:rsidR="000A5329" w:rsidRPr="002029AF">
              <w:t xml:space="preserve"> </w:t>
            </w:r>
            <w:r w:rsidRPr="002029AF">
              <w:t>Officer,</w:t>
            </w:r>
            <w:r w:rsidR="000A5329" w:rsidRPr="002029AF">
              <w:t xml:space="preserve"> </w:t>
            </w:r>
            <w:r w:rsidRPr="002029AF">
              <w:t>Respect</w:t>
            </w:r>
            <w:r w:rsidR="000A5329" w:rsidRPr="002029AF">
              <w:t xml:space="preserve"> </w:t>
            </w:r>
            <w:r w:rsidRPr="002029AF">
              <w:t>Victoria)</w:t>
            </w:r>
          </w:p>
        </w:tc>
        <w:tc>
          <w:tcPr>
            <w:tcW w:w="1698" w:type="dxa"/>
          </w:tcPr>
          <w:p w14:paraId="78A986AE" w14:textId="77777777" w:rsidR="00CF72D5" w:rsidRPr="002029AF" w:rsidRDefault="00CF72D5" w:rsidP="00897193">
            <w:pPr>
              <w:pStyle w:val="ARtabletextright"/>
            </w:pPr>
            <w:r w:rsidRPr="002029AF">
              <w:t>0</w:t>
            </w:r>
          </w:p>
        </w:tc>
        <w:tc>
          <w:tcPr>
            <w:tcW w:w="1698" w:type="dxa"/>
          </w:tcPr>
          <w:p w14:paraId="1AA0C5FD" w14:textId="77777777" w:rsidR="00CF72D5" w:rsidRPr="002029AF" w:rsidRDefault="00CF72D5" w:rsidP="00897193">
            <w:pPr>
              <w:pStyle w:val="ARtabletextright"/>
            </w:pPr>
            <w:r w:rsidRPr="002029AF">
              <w:t>1</w:t>
            </w:r>
          </w:p>
        </w:tc>
      </w:tr>
      <w:tr w:rsidR="00CF72D5" w:rsidRPr="002029AF" w14:paraId="32A2CD6E" w14:textId="77777777" w:rsidTr="00897193">
        <w:tc>
          <w:tcPr>
            <w:tcW w:w="6231" w:type="dxa"/>
          </w:tcPr>
          <w:p w14:paraId="13B4E66F" w14:textId="483D748F" w:rsidR="00CF72D5" w:rsidRPr="002029AF" w:rsidRDefault="00CF72D5" w:rsidP="00897193">
            <w:pPr>
              <w:pStyle w:val="ARtabletext"/>
            </w:pPr>
            <w:r w:rsidRPr="002029AF">
              <w:t>Less</w:t>
            </w:r>
            <w:r w:rsidR="000A5329" w:rsidRPr="002029AF">
              <w:t xml:space="preserve"> </w:t>
            </w:r>
            <w:r w:rsidRPr="002029AF">
              <w:t>separations</w:t>
            </w:r>
          </w:p>
        </w:tc>
        <w:tc>
          <w:tcPr>
            <w:tcW w:w="1698" w:type="dxa"/>
          </w:tcPr>
          <w:p w14:paraId="1DF8EF0B" w14:textId="77777777" w:rsidR="00CF72D5" w:rsidRPr="002029AF" w:rsidRDefault="00CF72D5" w:rsidP="00897193">
            <w:pPr>
              <w:pStyle w:val="ARtabletextright"/>
            </w:pPr>
            <w:r w:rsidRPr="002029AF">
              <w:t>(28)</w:t>
            </w:r>
          </w:p>
        </w:tc>
        <w:tc>
          <w:tcPr>
            <w:tcW w:w="1698" w:type="dxa"/>
          </w:tcPr>
          <w:p w14:paraId="71F72DBE" w14:textId="77777777" w:rsidR="00CF72D5" w:rsidRPr="002029AF" w:rsidRDefault="00CF72D5" w:rsidP="00897193">
            <w:pPr>
              <w:pStyle w:val="ARtabletextright"/>
            </w:pPr>
            <w:r w:rsidRPr="002029AF">
              <w:t>(33)</w:t>
            </w:r>
          </w:p>
        </w:tc>
      </w:tr>
      <w:tr w:rsidR="00CF72D5" w:rsidRPr="002029AF" w14:paraId="292DBEA3" w14:textId="77777777" w:rsidTr="00897193">
        <w:tc>
          <w:tcPr>
            <w:tcW w:w="6231" w:type="dxa"/>
          </w:tcPr>
          <w:p w14:paraId="2AAFD518" w14:textId="617BBC2F" w:rsidR="00CF72D5" w:rsidRPr="002029AF" w:rsidRDefault="00CF72D5" w:rsidP="00897193">
            <w:pPr>
              <w:pStyle w:val="ARtabletext"/>
            </w:pPr>
            <w:r w:rsidRPr="002029AF">
              <w:t>Leave</w:t>
            </w:r>
            <w:r w:rsidR="000A5329" w:rsidRPr="002029AF">
              <w:t xml:space="preserve"> </w:t>
            </w:r>
            <w:r w:rsidRPr="002029AF">
              <w:t>without</w:t>
            </w:r>
            <w:r w:rsidR="000A5329" w:rsidRPr="002029AF">
              <w:t xml:space="preserve"> </w:t>
            </w:r>
            <w:r w:rsidRPr="002029AF">
              <w:t>pay</w:t>
            </w:r>
          </w:p>
        </w:tc>
        <w:tc>
          <w:tcPr>
            <w:tcW w:w="1698" w:type="dxa"/>
          </w:tcPr>
          <w:p w14:paraId="368ED548" w14:textId="77777777" w:rsidR="00CF72D5" w:rsidRPr="002029AF" w:rsidRDefault="00CF72D5" w:rsidP="00897193">
            <w:pPr>
              <w:pStyle w:val="ARtabletextright"/>
            </w:pPr>
            <w:r w:rsidRPr="002029AF">
              <w:t>(0)</w:t>
            </w:r>
          </w:p>
        </w:tc>
        <w:tc>
          <w:tcPr>
            <w:tcW w:w="1698" w:type="dxa"/>
          </w:tcPr>
          <w:p w14:paraId="209903A6" w14:textId="77777777" w:rsidR="00CF72D5" w:rsidRPr="002029AF" w:rsidRDefault="00CF72D5" w:rsidP="00897193">
            <w:pPr>
              <w:pStyle w:val="ARtabletextright"/>
            </w:pPr>
            <w:r w:rsidRPr="002029AF">
              <w:t>(2)</w:t>
            </w:r>
          </w:p>
        </w:tc>
      </w:tr>
      <w:tr w:rsidR="00CF72D5" w:rsidRPr="002029AF" w14:paraId="77D224C3" w14:textId="77777777" w:rsidTr="00897193">
        <w:tc>
          <w:tcPr>
            <w:tcW w:w="6231" w:type="dxa"/>
          </w:tcPr>
          <w:p w14:paraId="5AF74A0E" w14:textId="73BBA622" w:rsidR="00CF72D5" w:rsidRPr="002029AF" w:rsidRDefault="00CF72D5" w:rsidP="00897193">
            <w:pPr>
              <w:pStyle w:val="ARtabletext"/>
            </w:pPr>
            <w:r w:rsidRPr="002029AF">
              <w:t>New</w:t>
            </w:r>
            <w:r w:rsidR="000A5329" w:rsidRPr="002029AF">
              <w:t xml:space="preserve"> </w:t>
            </w:r>
            <w:r w:rsidRPr="002029AF">
              <w:t>starters,</w:t>
            </w:r>
            <w:r w:rsidR="000A5329" w:rsidRPr="002029AF">
              <w:t xml:space="preserve"> </w:t>
            </w:r>
            <w:r w:rsidRPr="002029AF">
              <w:t>replacement</w:t>
            </w:r>
            <w:r w:rsidR="000A5329" w:rsidRPr="002029AF">
              <w:t xml:space="preserve"> </w:t>
            </w:r>
            <w:r w:rsidRPr="002029AF">
              <w:t>of</w:t>
            </w:r>
            <w:r w:rsidR="000A5329" w:rsidRPr="002029AF">
              <w:t xml:space="preserve"> </w:t>
            </w:r>
            <w:r w:rsidRPr="002029AF">
              <w:t>separated</w:t>
            </w:r>
            <w:r w:rsidR="000A5329" w:rsidRPr="002029AF">
              <w:t xml:space="preserve"> </w:t>
            </w:r>
            <w:r w:rsidRPr="002029AF">
              <w:t>staff,</w:t>
            </w:r>
            <w:r w:rsidR="000A5329" w:rsidRPr="002029AF">
              <w:t xml:space="preserve"> </w:t>
            </w:r>
            <w:r w:rsidRPr="002029AF">
              <w:t>return</w:t>
            </w:r>
            <w:r w:rsidR="000A5329" w:rsidRPr="002029AF">
              <w:t xml:space="preserve"> </w:t>
            </w:r>
            <w:r w:rsidRPr="002029AF">
              <w:t>from</w:t>
            </w:r>
            <w:r w:rsidR="000A5329" w:rsidRPr="002029AF">
              <w:t xml:space="preserve"> </w:t>
            </w:r>
            <w:r w:rsidRPr="002029AF">
              <w:t>leave</w:t>
            </w:r>
            <w:r w:rsidR="000A5329" w:rsidRPr="002029AF">
              <w:t xml:space="preserve"> </w:t>
            </w:r>
            <w:r w:rsidRPr="002029AF">
              <w:t>without</w:t>
            </w:r>
            <w:r w:rsidR="000A5329" w:rsidRPr="002029AF">
              <w:t xml:space="preserve"> </w:t>
            </w:r>
            <w:r w:rsidRPr="002029AF">
              <w:t>pay.</w:t>
            </w:r>
          </w:p>
        </w:tc>
        <w:tc>
          <w:tcPr>
            <w:tcW w:w="1698" w:type="dxa"/>
          </w:tcPr>
          <w:p w14:paraId="5BE0E8EE" w14:textId="77777777" w:rsidR="00CF72D5" w:rsidRPr="002029AF" w:rsidRDefault="00CF72D5" w:rsidP="00897193">
            <w:pPr>
              <w:pStyle w:val="ARtabletextright"/>
            </w:pPr>
            <w:r w:rsidRPr="002029AF">
              <w:t>28</w:t>
            </w:r>
          </w:p>
        </w:tc>
        <w:tc>
          <w:tcPr>
            <w:tcW w:w="1698" w:type="dxa"/>
          </w:tcPr>
          <w:p w14:paraId="5E54D73D" w14:textId="77777777" w:rsidR="00CF72D5" w:rsidRPr="002029AF" w:rsidRDefault="00CF72D5" w:rsidP="00897193">
            <w:pPr>
              <w:pStyle w:val="ARtabletextright"/>
            </w:pPr>
          </w:p>
        </w:tc>
      </w:tr>
      <w:tr w:rsidR="00CF72D5" w:rsidRPr="002029AF" w14:paraId="19D43686" w14:textId="77777777" w:rsidTr="00897193">
        <w:tc>
          <w:tcPr>
            <w:tcW w:w="6231" w:type="dxa"/>
          </w:tcPr>
          <w:p w14:paraId="53D9325E" w14:textId="7D54AE8C" w:rsidR="00CF72D5" w:rsidRPr="002029AF" w:rsidRDefault="00CF72D5" w:rsidP="00897193">
            <w:pPr>
              <w:pStyle w:val="ARtabletextbold"/>
            </w:pPr>
            <w:r w:rsidRPr="002029AF">
              <w:t>Total</w:t>
            </w:r>
            <w:r w:rsidR="000A5329" w:rsidRPr="002029AF">
              <w:t xml:space="preserve"> </w:t>
            </w:r>
            <w:r w:rsidRPr="002029AF">
              <w:t>executive</w:t>
            </w:r>
            <w:r w:rsidR="000A5329" w:rsidRPr="002029AF">
              <w:t xml:space="preserve"> </w:t>
            </w:r>
            <w:r w:rsidRPr="002029AF">
              <w:t>numbers</w:t>
            </w:r>
            <w:r w:rsidR="000A5329" w:rsidRPr="002029AF">
              <w:t xml:space="preserve"> </w:t>
            </w:r>
            <w:r w:rsidRPr="002029AF">
              <w:t>at</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p>
        </w:tc>
        <w:tc>
          <w:tcPr>
            <w:tcW w:w="1698" w:type="dxa"/>
          </w:tcPr>
          <w:p w14:paraId="4E6E1EC8" w14:textId="77777777" w:rsidR="00CF72D5" w:rsidRPr="002029AF" w:rsidRDefault="00CF72D5" w:rsidP="00897193">
            <w:pPr>
              <w:pStyle w:val="ARtabletextrightbold"/>
            </w:pPr>
            <w:r w:rsidRPr="002029AF">
              <w:t>216</w:t>
            </w:r>
          </w:p>
        </w:tc>
        <w:tc>
          <w:tcPr>
            <w:tcW w:w="1698" w:type="dxa"/>
          </w:tcPr>
          <w:p w14:paraId="719FC84D" w14:textId="77777777" w:rsidR="00CF72D5" w:rsidRPr="002029AF" w:rsidRDefault="00CF72D5" w:rsidP="00897193">
            <w:pPr>
              <w:pStyle w:val="ARtabletextrightbold"/>
            </w:pPr>
            <w:r w:rsidRPr="002029AF">
              <w:t>184</w:t>
            </w:r>
          </w:p>
        </w:tc>
      </w:tr>
    </w:tbl>
    <w:p w14:paraId="7D3C7297" w14:textId="37958360" w:rsidR="00CF72D5" w:rsidRPr="002029AF" w:rsidRDefault="00CF72D5" w:rsidP="00897193">
      <w:pPr>
        <w:pStyle w:val="Heading4"/>
      </w:pPr>
      <w:r w:rsidRPr="002029AF">
        <w:t>Table</w:t>
      </w:r>
      <w:r w:rsidR="000A5329" w:rsidRPr="002029AF">
        <w:t xml:space="preserve"> </w:t>
      </w:r>
      <w:r w:rsidRPr="002029AF">
        <w:t>3:</w:t>
      </w:r>
      <w:r w:rsidR="000A5329" w:rsidRPr="002029AF">
        <w:t xml:space="preserve"> </w:t>
      </w:r>
      <w:r w:rsidRPr="002029AF">
        <w:t>Total</w:t>
      </w:r>
      <w:r w:rsidR="000A5329" w:rsidRPr="002029AF">
        <w:t xml:space="preserve"> </w:t>
      </w:r>
      <w:r w:rsidRPr="002029AF">
        <w:t>number</w:t>
      </w:r>
      <w:r w:rsidR="000A5329" w:rsidRPr="002029AF">
        <w:t xml:space="preserve"> </w:t>
      </w:r>
      <w:r w:rsidRPr="002029AF">
        <w:t>of</w:t>
      </w:r>
      <w:r w:rsidR="000A5329" w:rsidRPr="002029AF">
        <w:t xml:space="preserve"> </w:t>
      </w:r>
      <w:r w:rsidRPr="002029AF">
        <w:t>EOs</w:t>
      </w:r>
      <w:r w:rsidR="000A5329" w:rsidRPr="002029AF">
        <w:t xml:space="preserve"> </w:t>
      </w:r>
      <w:r w:rsidRPr="002029AF">
        <w:t>for</w:t>
      </w:r>
      <w:r w:rsidR="000A5329" w:rsidRPr="002029AF">
        <w:t xml:space="preserve"> </w:t>
      </w:r>
      <w:r w:rsidRPr="002029AF">
        <w:t>Family</w:t>
      </w:r>
      <w:r w:rsidR="000A5329" w:rsidRPr="002029AF">
        <w:t xml:space="preserve"> </w:t>
      </w:r>
      <w:r w:rsidRPr="002029AF">
        <w:t>Safety</w:t>
      </w:r>
      <w:r w:rsidR="000A5329" w:rsidRPr="002029AF">
        <w:t xml:space="preserve"> </w:t>
      </w:r>
      <w:r w:rsidRPr="002029AF">
        <w:t>Victoria,</w:t>
      </w:r>
      <w:r w:rsidR="000A5329" w:rsidRPr="002029AF">
        <w:t xml:space="preserve"> </w:t>
      </w:r>
      <w:r w:rsidRPr="002029AF">
        <w:t>broken</w:t>
      </w:r>
      <w:r w:rsidR="000A5329" w:rsidRPr="002029AF">
        <w:t xml:space="preserve"> </w:t>
      </w:r>
      <w:r w:rsidRPr="002029AF">
        <w:t>down</w:t>
      </w:r>
      <w:r w:rsidR="000A5329" w:rsidRPr="002029AF">
        <w:t xml:space="preserve"> </w:t>
      </w:r>
      <w:r w:rsidRPr="002029AF">
        <w:t>by</w:t>
      </w:r>
      <w:r w:rsidR="000A5329" w:rsidRPr="002029AF">
        <w:t xml:space="preserve"> </w:t>
      </w:r>
      <w:r w:rsidRPr="002029AF">
        <w:t>gender</w:t>
      </w:r>
    </w:p>
    <w:tbl>
      <w:tblPr>
        <w:tblW w:w="9640" w:type="dxa"/>
        <w:tblInd w:w="5" w:type="dxa"/>
        <w:tblBorders>
          <w:left w:val="single" w:sz="4" w:space="0" w:color="FFFFFF"/>
          <w:bottom w:val="single" w:sz="4" w:space="0" w:color="auto"/>
          <w:right w:val="single" w:sz="4" w:space="0" w:color="FFFFFF"/>
          <w:insideH w:val="single" w:sz="4" w:space="0" w:color="auto"/>
          <w:insideV w:val="single" w:sz="4" w:space="0" w:color="FFFFFF"/>
        </w:tblBorders>
        <w:tblLayout w:type="fixed"/>
        <w:tblCellMar>
          <w:left w:w="0" w:type="dxa"/>
        </w:tblCellMar>
        <w:tblLook w:val="06A0" w:firstRow="1" w:lastRow="0" w:firstColumn="1" w:lastColumn="0" w:noHBand="1" w:noVBand="1"/>
      </w:tblPr>
      <w:tblGrid>
        <w:gridCol w:w="1691"/>
        <w:gridCol w:w="1004"/>
        <w:gridCol w:w="992"/>
        <w:gridCol w:w="283"/>
        <w:gridCol w:w="851"/>
        <w:gridCol w:w="850"/>
        <w:gridCol w:w="284"/>
        <w:gridCol w:w="709"/>
        <w:gridCol w:w="992"/>
        <w:gridCol w:w="283"/>
        <w:gridCol w:w="709"/>
        <w:gridCol w:w="992"/>
      </w:tblGrid>
      <w:tr w:rsidR="00871DEF" w:rsidRPr="002029AF" w14:paraId="3BF61BCB" w14:textId="77777777" w:rsidTr="00871DEF">
        <w:trPr>
          <w:cantSplit/>
          <w:tblHeader/>
        </w:trPr>
        <w:tc>
          <w:tcPr>
            <w:tcW w:w="1691" w:type="dxa"/>
            <w:vMerge w:val="restart"/>
            <w:shd w:val="clear" w:color="auto" w:fill="auto"/>
            <w:vAlign w:val="bottom"/>
          </w:tcPr>
          <w:p w14:paraId="130508BD" w14:textId="053047B8" w:rsidR="00871DEF" w:rsidRPr="002029AF" w:rsidRDefault="00871DEF" w:rsidP="00897193">
            <w:pPr>
              <w:pStyle w:val="ARtablecolhead"/>
            </w:pPr>
            <w:r w:rsidRPr="002029AF">
              <w:t>Class</w:t>
            </w:r>
          </w:p>
        </w:tc>
        <w:tc>
          <w:tcPr>
            <w:tcW w:w="2279" w:type="dxa"/>
            <w:gridSpan w:val="3"/>
            <w:shd w:val="clear" w:color="auto" w:fill="auto"/>
            <w:vAlign w:val="bottom"/>
          </w:tcPr>
          <w:p w14:paraId="432CF421" w14:textId="77777777" w:rsidR="00871DEF" w:rsidRPr="002029AF" w:rsidRDefault="00871DEF" w:rsidP="00286264">
            <w:pPr>
              <w:pStyle w:val="ARtablecolheadcentre"/>
              <w:ind w:left="284"/>
            </w:pPr>
            <w:r w:rsidRPr="002029AF">
              <w:t>All</w:t>
            </w:r>
          </w:p>
        </w:tc>
        <w:tc>
          <w:tcPr>
            <w:tcW w:w="1985" w:type="dxa"/>
            <w:gridSpan w:val="3"/>
            <w:shd w:val="clear" w:color="auto" w:fill="auto"/>
            <w:vAlign w:val="bottom"/>
          </w:tcPr>
          <w:p w14:paraId="2E9E7C0B" w14:textId="77777777" w:rsidR="00871DEF" w:rsidRPr="002029AF" w:rsidRDefault="00871DEF" w:rsidP="00286264">
            <w:pPr>
              <w:pStyle w:val="ARtablecolheadcentre"/>
              <w:ind w:left="284"/>
            </w:pPr>
            <w:r w:rsidRPr="002029AF">
              <w:t>Women</w:t>
            </w:r>
          </w:p>
        </w:tc>
        <w:tc>
          <w:tcPr>
            <w:tcW w:w="1984" w:type="dxa"/>
            <w:gridSpan w:val="3"/>
            <w:shd w:val="clear" w:color="auto" w:fill="auto"/>
            <w:vAlign w:val="bottom"/>
          </w:tcPr>
          <w:p w14:paraId="1109749C" w14:textId="77777777" w:rsidR="00871DEF" w:rsidRPr="002029AF" w:rsidRDefault="00871DEF" w:rsidP="00286264">
            <w:pPr>
              <w:pStyle w:val="ARtablecolheadcentre"/>
              <w:ind w:left="170"/>
            </w:pPr>
            <w:r w:rsidRPr="002029AF">
              <w:t>Men</w:t>
            </w:r>
          </w:p>
        </w:tc>
        <w:tc>
          <w:tcPr>
            <w:tcW w:w="1701" w:type="dxa"/>
            <w:gridSpan w:val="2"/>
            <w:shd w:val="clear" w:color="auto" w:fill="auto"/>
            <w:vAlign w:val="bottom"/>
          </w:tcPr>
          <w:p w14:paraId="32CB4A82" w14:textId="77777777" w:rsidR="00871DEF" w:rsidRPr="002029AF" w:rsidRDefault="00871DEF" w:rsidP="00897193">
            <w:pPr>
              <w:pStyle w:val="ARtablecolheadcentre"/>
            </w:pPr>
            <w:r w:rsidRPr="002029AF">
              <w:t>Self-described</w:t>
            </w:r>
          </w:p>
        </w:tc>
      </w:tr>
      <w:tr w:rsidR="00871DEF" w:rsidRPr="002029AF" w14:paraId="18A2C2E8" w14:textId="77777777" w:rsidTr="00871DEF">
        <w:trPr>
          <w:cantSplit/>
          <w:tblHeader/>
        </w:trPr>
        <w:tc>
          <w:tcPr>
            <w:tcW w:w="1691" w:type="dxa"/>
            <w:vMerge/>
            <w:shd w:val="clear" w:color="auto" w:fill="auto"/>
            <w:vAlign w:val="bottom"/>
          </w:tcPr>
          <w:p w14:paraId="6B9507EB" w14:textId="4508FF20" w:rsidR="00871DEF" w:rsidRPr="002029AF" w:rsidRDefault="00871DEF" w:rsidP="00897193">
            <w:pPr>
              <w:pStyle w:val="ARtablecolhead"/>
            </w:pPr>
          </w:p>
        </w:tc>
        <w:tc>
          <w:tcPr>
            <w:tcW w:w="1004" w:type="dxa"/>
            <w:shd w:val="clear" w:color="auto" w:fill="auto"/>
            <w:vAlign w:val="bottom"/>
          </w:tcPr>
          <w:p w14:paraId="4F5DC605" w14:textId="77777777" w:rsidR="00871DEF" w:rsidRPr="002029AF" w:rsidRDefault="00871DEF" w:rsidP="00897193">
            <w:pPr>
              <w:pStyle w:val="ARtablecolheadright"/>
            </w:pPr>
            <w:r w:rsidRPr="002029AF">
              <w:t>No.</w:t>
            </w:r>
          </w:p>
        </w:tc>
        <w:tc>
          <w:tcPr>
            <w:tcW w:w="992" w:type="dxa"/>
            <w:shd w:val="clear" w:color="auto" w:fill="auto"/>
            <w:vAlign w:val="bottom"/>
          </w:tcPr>
          <w:p w14:paraId="5B828D33" w14:textId="77777777" w:rsidR="00871DEF" w:rsidRPr="002029AF" w:rsidRDefault="00871DEF" w:rsidP="00897193">
            <w:pPr>
              <w:pStyle w:val="ARtablecolheadright"/>
            </w:pPr>
            <w:r w:rsidRPr="002029AF">
              <w:t>Var.</w:t>
            </w:r>
          </w:p>
        </w:tc>
        <w:tc>
          <w:tcPr>
            <w:tcW w:w="1134" w:type="dxa"/>
            <w:gridSpan w:val="2"/>
            <w:shd w:val="clear" w:color="auto" w:fill="auto"/>
            <w:vAlign w:val="bottom"/>
          </w:tcPr>
          <w:p w14:paraId="3A6FC022" w14:textId="77777777" w:rsidR="00871DEF" w:rsidRPr="002029AF" w:rsidRDefault="00871DEF" w:rsidP="00897193">
            <w:pPr>
              <w:pStyle w:val="ARtablecolheadright"/>
            </w:pPr>
            <w:r w:rsidRPr="002029AF">
              <w:t>No.</w:t>
            </w:r>
          </w:p>
        </w:tc>
        <w:tc>
          <w:tcPr>
            <w:tcW w:w="850" w:type="dxa"/>
            <w:shd w:val="clear" w:color="auto" w:fill="auto"/>
            <w:vAlign w:val="bottom"/>
          </w:tcPr>
          <w:p w14:paraId="6C2AB3B0" w14:textId="77777777" w:rsidR="00871DEF" w:rsidRPr="002029AF" w:rsidRDefault="00871DEF" w:rsidP="00897193">
            <w:pPr>
              <w:pStyle w:val="ARtablecolheadright"/>
            </w:pPr>
            <w:r w:rsidRPr="002029AF">
              <w:t>Var.</w:t>
            </w:r>
          </w:p>
        </w:tc>
        <w:tc>
          <w:tcPr>
            <w:tcW w:w="993" w:type="dxa"/>
            <w:gridSpan w:val="2"/>
            <w:shd w:val="clear" w:color="auto" w:fill="auto"/>
            <w:vAlign w:val="bottom"/>
          </w:tcPr>
          <w:p w14:paraId="3D3C50E3" w14:textId="77777777" w:rsidR="00871DEF" w:rsidRPr="002029AF" w:rsidRDefault="00871DEF" w:rsidP="00897193">
            <w:pPr>
              <w:pStyle w:val="ARtablecolheadright"/>
            </w:pPr>
            <w:r w:rsidRPr="002029AF">
              <w:t>No.</w:t>
            </w:r>
          </w:p>
        </w:tc>
        <w:tc>
          <w:tcPr>
            <w:tcW w:w="992" w:type="dxa"/>
            <w:shd w:val="clear" w:color="auto" w:fill="auto"/>
            <w:vAlign w:val="bottom"/>
          </w:tcPr>
          <w:p w14:paraId="4DF7E84F" w14:textId="77777777" w:rsidR="00871DEF" w:rsidRPr="002029AF" w:rsidRDefault="00871DEF" w:rsidP="00897193">
            <w:pPr>
              <w:pStyle w:val="ARtablecolheadright"/>
            </w:pPr>
            <w:r w:rsidRPr="002029AF">
              <w:t>Var.</w:t>
            </w:r>
          </w:p>
        </w:tc>
        <w:tc>
          <w:tcPr>
            <w:tcW w:w="992" w:type="dxa"/>
            <w:gridSpan w:val="2"/>
            <w:shd w:val="clear" w:color="auto" w:fill="auto"/>
            <w:vAlign w:val="bottom"/>
          </w:tcPr>
          <w:p w14:paraId="3A98025B" w14:textId="77777777" w:rsidR="00871DEF" w:rsidRPr="002029AF" w:rsidRDefault="00871DEF" w:rsidP="00897193">
            <w:pPr>
              <w:pStyle w:val="ARtablecolheadright"/>
            </w:pPr>
            <w:r w:rsidRPr="002029AF">
              <w:t>No.</w:t>
            </w:r>
          </w:p>
        </w:tc>
        <w:tc>
          <w:tcPr>
            <w:tcW w:w="992" w:type="dxa"/>
            <w:shd w:val="clear" w:color="auto" w:fill="auto"/>
            <w:vAlign w:val="bottom"/>
          </w:tcPr>
          <w:p w14:paraId="749F26DC" w14:textId="77777777" w:rsidR="00871DEF" w:rsidRPr="002029AF" w:rsidRDefault="00871DEF" w:rsidP="00897193">
            <w:pPr>
              <w:pStyle w:val="ARtablecolheadright"/>
            </w:pPr>
            <w:r w:rsidRPr="002029AF">
              <w:t>Var.</w:t>
            </w:r>
          </w:p>
        </w:tc>
      </w:tr>
      <w:tr w:rsidR="00CF72D5" w:rsidRPr="002029AF" w14:paraId="6D77D210" w14:textId="77777777" w:rsidTr="00871DEF">
        <w:trPr>
          <w:cantSplit/>
          <w:trHeight w:hRule="exact" w:val="340"/>
        </w:trPr>
        <w:tc>
          <w:tcPr>
            <w:tcW w:w="1691" w:type="dxa"/>
            <w:shd w:val="clear" w:color="auto" w:fill="auto"/>
          </w:tcPr>
          <w:p w14:paraId="371BF0DC" w14:textId="77777777" w:rsidR="00CF72D5" w:rsidRPr="002029AF" w:rsidRDefault="00CF72D5" w:rsidP="00897193">
            <w:pPr>
              <w:pStyle w:val="ARtabletext"/>
            </w:pPr>
            <w:r w:rsidRPr="002029AF">
              <w:t>EO-2</w:t>
            </w:r>
          </w:p>
        </w:tc>
        <w:tc>
          <w:tcPr>
            <w:tcW w:w="1004" w:type="dxa"/>
            <w:shd w:val="clear" w:color="auto" w:fill="auto"/>
          </w:tcPr>
          <w:p w14:paraId="45F3F2B3" w14:textId="77777777" w:rsidR="00CF72D5" w:rsidRPr="002029AF" w:rsidRDefault="00CF72D5" w:rsidP="00897193">
            <w:pPr>
              <w:pStyle w:val="ARtabletextright"/>
            </w:pPr>
            <w:r w:rsidRPr="002029AF">
              <w:t>4</w:t>
            </w:r>
          </w:p>
        </w:tc>
        <w:tc>
          <w:tcPr>
            <w:tcW w:w="992" w:type="dxa"/>
            <w:shd w:val="clear" w:color="auto" w:fill="auto"/>
          </w:tcPr>
          <w:p w14:paraId="3AB2A182" w14:textId="77777777" w:rsidR="00CF72D5" w:rsidRPr="002029AF" w:rsidRDefault="00CF72D5" w:rsidP="00897193">
            <w:pPr>
              <w:pStyle w:val="ARtabletextright"/>
            </w:pPr>
            <w:r w:rsidRPr="002029AF">
              <w:t>(2)</w:t>
            </w:r>
          </w:p>
        </w:tc>
        <w:tc>
          <w:tcPr>
            <w:tcW w:w="1134" w:type="dxa"/>
            <w:gridSpan w:val="2"/>
            <w:shd w:val="clear" w:color="auto" w:fill="auto"/>
          </w:tcPr>
          <w:p w14:paraId="71EAC1F4" w14:textId="77777777" w:rsidR="00CF72D5" w:rsidRPr="002029AF" w:rsidRDefault="00CF72D5" w:rsidP="00897193">
            <w:pPr>
              <w:pStyle w:val="ARtabletextright"/>
            </w:pPr>
            <w:r w:rsidRPr="002029AF">
              <w:t>4</w:t>
            </w:r>
          </w:p>
        </w:tc>
        <w:tc>
          <w:tcPr>
            <w:tcW w:w="850" w:type="dxa"/>
            <w:shd w:val="clear" w:color="auto" w:fill="auto"/>
          </w:tcPr>
          <w:p w14:paraId="561FA3A7" w14:textId="77777777" w:rsidR="00CF72D5" w:rsidRPr="002029AF" w:rsidRDefault="00CF72D5" w:rsidP="00897193">
            <w:pPr>
              <w:pStyle w:val="ARtabletextright"/>
            </w:pPr>
            <w:r w:rsidRPr="002029AF">
              <w:t>(1)</w:t>
            </w:r>
          </w:p>
        </w:tc>
        <w:tc>
          <w:tcPr>
            <w:tcW w:w="993" w:type="dxa"/>
            <w:gridSpan w:val="2"/>
            <w:shd w:val="clear" w:color="auto" w:fill="auto"/>
          </w:tcPr>
          <w:p w14:paraId="16D61ACF" w14:textId="77777777" w:rsidR="00CF72D5" w:rsidRPr="002029AF" w:rsidRDefault="00CF72D5" w:rsidP="00897193">
            <w:pPr>
              <w:pStyle w:val="ARtabletextright"/>
            </w:pPr>
            <w:r w:rsidRPr="002029AF">
              <w:t>0</w:t>
            </w:r>
          </w:p>
        </w:tc>
        <w:tc>
          <w:tcPr>
            <w:tcW w:w="992" w:type="dxa"/>
            <w:shd w:val="clear" w:color="auto" w:fill="auto"/>
          </w:tcPr>
          <w:p w14:paraId="2ECF2236" w14:textId="77777777" w:rsidR="00CF72D5" w:rsidRPr="002029AF" w:rsidRDefault="00CF72D5" w:rsidP="00897193">
            <w:pPr>
              <w:pStyle w:val="ARtabletextright"/>
            </w:pPr>
            <w:r w:rsidRPr="002029AF">
              <w:t>(1)</w:t>
            </w:r>
          </w:p>
        </w:tc>
        <w:tc>
          <w:tcPr>
            <w:tcW w:w="992" w:type="dxa"/>
            <w:gridSpan w:val="2"/>
            <w:shd w:val="clear" w:color="auto" w:fill="auto"/>
          </w:tcPr>
          <w:p w14:paraId="5B602F22" w14:textId="77777777" w:rsidR="00CF72D5" w:rsidRPr="002029AF" w:rsidRDefault="00CF72D5" w:rsidP="00897193">
            <w:pPr>
              <w:pStyle w:val="ARtabletextright"/>
            </w:pPr>
            <w:r w:rsidRPr="002029AF">
              <w:t>0</w:t>
            </w:r>
          </w:p>
        </w:tc>
        <w:tc>
          <w:tcPr>
            <w:tcW w:w="992" w:type="dxa"/>
            <w:shd w:val="clear" w:color="auto" w:fill="auto"/>
          </w:tcPr>
          <w:p w14:paraId="13FD0A10" w14:textId="77777777" w:rsidR="00CF72D5" w:rsidRPr="002029AF" w:rsidRDefault="00CF72D5" w:rsidP="00897193">
            <w:pPr>
              <w:pStyle w:val="ARtabletextright"/>
            </w:pPr>
            <w:r w:rsidRPr="002029AF">
              <w:t>0</w:t>
            </w:r>
          </w:p>
        </w:tc>
      </w:tr>
      <w:tr w:rsidR="00CF72D5" w:rsidRPr="002029AF" w14:paraId="412CB786" w14:textId="77777777" w:rsidTr="00871DEF">
        <w:trPr>
          <w:cantSplit/>
          <w:trHeight w:hRule="exact" w:val="340"/>
        </w:trPr>
        <w:tc>
          <w:tcPr>
            <w:tcW w:w="1691" w:type="dxa"/>
            <w:shd w:val="clear" w:color="auto" w:fill="auto"/>
          </w:tcPr>
          <w:p w14:paraId="28C2B03E" w14:textId="77777777" w:rsidR="00CF72D5" w:rsidRPr="002029AF" w:rsidRDefault="00CF72D5" w:rsidP="00897193">
            <w:pPr>
              <w:pStyle w:val="ARtabletext"/>
            </w:pPr>
            <w:r w:rsidRPr="002029AF">
              <w:t>EO-3</w:t>
            </w:r>
          </w:p>
        </w:tc>
        <w:tc>
          <w:tcPr>
            <w:tcW w:w="1004" w:type="dxa"/>
            <w:shd w:val="clear" w:color="auto" w:fill="auto"/>
          </w:tcPr>
          <w:p w14:paraId="4FEFFAE3" w14:textId="77777777" w:rsidR="00CF72D5" w:rsidRPr="002029AF" w:rsidRDefault="00CF72D5" w:rsidP="00897193">
            <w:pPr>
              <w:pStyle w:val="ARtabletextright"/>
            </w:pPr>
            <w:r w:rsidRPr="002029AF">
              <w:t>14</w:t>
            </w:r>
          </w:p>
        </w:tc>
        <w:tc>
          <w:tcPr>
            <w:tcW w:w="992" w:type="dxa"/>
            <w:shd w:val="clear" w:color="auto" w:fill="auto"/>
          </w:tcPr>
          <w:p w14:paraId="4478B16E" w14:textId="77777777" w:rsidR="00CF72D5" w:rsidRPr="002029AF" w:rsidRDefault="00CF72D5" w:rsidP="00897193">
            <w:pPr>
              <w:pStyle w:val="ARtabletextright"/>
            </w:pPr>
            <w:r w:rsidRPr="002029AF">
              <w:t>1</w:t>
            </w:r>
          </w:p>
        </w:tc>
        <w:tc>
          <w:tcPr>
            <w:tcW w:w="1134" w:type="dxa"/>
            <w:gridSpan w:val="2"/>
            <w:shd w:val="clear" w:color="auto" w:fill="auto"/>
          </w:tcPr>
          <w:p w14:paraId="653B9011" w14:textId="77777777" w:rsidR="00CF72D5" w:rsidRPr="002029AF" w:rsidRDefault="00CF72D5" w:rsidP="00897193">
            <w:pPr>
              <w:pStyle w:val="ARtabletextright"/>
            </w:pPr>
            <w:r w:rsidRPr="002029AF">
              <w:t>14</w:t>
            </w:r>
          </w:p>
        </w:tc>
        <w:tc>
          <w:tcPr>
            <w:tcW w:w="850" w:type="dxa"/>
            <w:shd w:val="clear" w:color="auto" w:fill="auto"/>
          </w:tcPr>
          <w:p w14:paraId="3912C47A" w14:textId="77777777" w:rsidR="00CF72D5" w:rsidRPr="002029AF" w:rsidRDefault="00CF72D5" w:rsidP="00897193">
            <w:pPr>
              <w:pStyle w:val="ARtabletextright"/>
            </w:pPr>
            <w:r w:rsidRPr="002029AF">
              <w:t>1</w:t>
            </w:r>
          </w:p>
        </w:tc>
        <w:tc>
          <w:tcPr>
            <w:tcW w:w="993" w:type="dxa"/>
            <w:gridSpan w:val="2"/>
            <w:shd w:val="clear" w:color="auto" w:fill="auto"/>
          </w:tcPr>
          <w:p w14:paraId="2008502B" w14:textId="77777777" w:rsidR="00CF72D5" w:rsidRPr="002029AF" w:rsidRDefault="00CF72D5" w:rsidP="00897193">
            <w:pPr>
              <w:pStyle w:val="ARtabletextright"/>
            </w:pPr>
            <w:r w:rsidRPr="002029AF">
              <w:t>0</w:t>
            </w:r>
          </w:p>
        </w:tc>
        <w:tc>
          <w:tcPr>
            <w:tcW w:w="992" w:type="dxa"/>
            <w:shd w:val="clear" w:color="auto" w:fill="auto"/>
          </w:tcPr>
          <w:p w14:paraId="79F83EE9" w14:textId="77777777" w:rsidR="00CF72D5" w:rsidRPr="002029AF" w:rsidRDefault="00CF72D5" w:rsidP="00897193">
            <w:pPr>
              <w:pStyle w:val="ARtabletextright"/>
            </w:pPr>
            <w:r w:rsidRPr="002029AF">
              <w:t>0</w:t>
            </w:r>
          </w:p>
        </w:tc>
        <w:tc>
          <w:tcPr>
            <w:tcW w:w="992" w:type="dxa"/>
            <w:gridSpan w:val="2"/>
            <w:shd w:val="clear" w:color="auto" w:fill="auto"/>
          </w:tcPr>
          <w:p w14:paraId="439260D0" w14:textId="77777777" w:rsidR="00CF72D5" w:rsidRPr="002029AF" w:rsidRDefault="00CF72D5" w:rsidP="00897193">
            <w:pPr>
              <w:pStyle w:val="ARtabletextright"/>
            </w:pPr>
            <w:r w:rsidRPr="002029AF">
              <w:t>0</w:t>
            </w:r>
          </w:p>
        </w:tc>
        <w:tc>
          <w:tcPr>
            <w:tcW w:w="992" w:type="dxa"/>
            <w:shd w:val="clear" w:color="auto" w:fill="auto"/>
          </w:tcPr>
          <w:p w14:paraId="6198E241" w14:textId="77777777" w:rsidR="00CF72D5" w:rsidRPr="002029AF" w:rsidRDefault="00CF72D5" w:rsidP="00897193">
            <w:pPr>
              <w:pStyle w:val="ARtabletextright"/>
            </w:pPr>
            <w:r w:rsidRPr="002029AF">
              <w:t>0</w:t>
            </w:r>
          </w:p>
        </w:tc>
      </w:tr>
      <w:tr w:rsidR="00CF72D5" w:rsidRPr="002029AF" w14:paraId="38EE1CA6" w14:textId="77777777" w:rsidTr="00871DEF">
        <w:trPr>
          <w:cantSplit/>
          <w:trHeight w:hRule="exact" w:val="340"/>
        </w:trPr>
        <w:tc>
          <w:tcPr>
            <w:tcW w:w="1691" w:type="dxa"/>
            <w:shd w:val="clear" w:color="auto" w:fill="auto"/>
          </w:tcPr>
          <w:p w14:paraId="6B895656" w14:textId="77777777" w:rsidR="00CF72D5" w:rsidRPr="002029AF" w:rsidRDefault="00CF72D5" w:rsidP="00897193">
            <w:pPr>
              <w:pStyle w:val="ARtabletextbold"/>
            </w:pPr>
            <w:r w:rsidRPr="002029AF">
              <w:t>Total</w:t>
            </w:r>
          </w:p>
        </w:tc>
        <w:tc>
          <w:tcPr>
            <w:tcW w:w="1004" w:type="dxa"/>
            <w:shd w:val="clear" w:color="auto" w:fill="auto"/>
          </w:tcPr>
          <w:p w14:paraId="0EC20619" w14:textId="77777777" w:rsidR="00CF72D5" w:rsidRPr="002029AF" w:rsidRDefault="00CF72D5" w:rsidP="00897193">
            <w:pPr>
              <w:pStyle w:val="ARtabletextrightbold"/>
            </w:pPr>
            <w:r w:rsidRPr="002029AF">
              <w:t>18</w:t>
            </w:r>
          </w:p>
        </w:tc>
        <w:tc>
          <w:tcPr>
            <w:tcW w:w="992" w:type="dxa"/>
            <w:shd w:val="clear" w:color="auto" w:fill="auto"/>
          </w:tcPr>
          <w:p w14:paraId="4470B371" w14:textId="77777777" w:rsidR="00CF72D5" w:rsidRPr="002029AF" w:rsidRDefault="00CF72D5" w:rsidP="00897193">
            <w:pPr>
              <w:pStyle w:val="ARtabletextrightbold"/>
            </w:pPr>
            <w:r w:rsidRPr="002029AF">
              <w:t>(1)</w:t>
            </w:r>
          </w:p>
        </w:tc>
        <w:tc>
          <w:tcPr>
            <w:tcW w:w="1134" w:type="dxa"/>
            <w:gridSpan w:val="2"/>
            <w:shd w:val="clear" w:color="auto" w:fill="auto"/>
          </w:tcPr>
          <w:p w14:paraId="32A0BF08" w14:textId="77777777" w:rsidR="00CF72D5" w:rsidRPr="002029AF" w:rsidRDefault="00CF72D5" w:rsidP="00897193">
            <w:pPr>
              <w:pStyle w:val="ARtabletextrightbold"/>
            </w:pPr>
            <w:r w:rsidRPr="002029AF">
              <w:t>18</w:t>
            </w:r>
          </w:p>
        </w:tc>
        <w:tc>
          <w:tcPr>
            <w:tcW w:w="850" w:type="dxa"/>
            <w:shd w:val="clear" w:color="auto" w:fill="auto"/>
          </w:tcPr>
          <w:p w14:paraId="5BCD6C99" w14:textId="77777777" w:rsidR="00CF72D5" w:rsidRPr="002029AF" w:rsidRDefault="00CF72D5" w:rsidP="00897193">
            <w:pPr>
              <w:pStyle w:val="ARtabletextrightbold"/>
            </w:pPr>
            <w:r w:rsidRPr="002029AF">
              <w:t>0</w:t>
            </w:r>
          </w:p>
        </w:tc>
        <w:tc>
          <w:tcPr>
            <w:tcW w:w="993" w:type="dxa"/>
            <w:gridSpan w:val="2"/>
            <w:shd w:val="clear" w:color="auto" w:fill="auto"/>
          </w:tcPr>
          <w:p w14:paraId="72CC097D" w14:textId="77777777" w:rsidR="00CF72D5" w:rsidRPr="002029AF" w:rsidRDefault="00CF72D5" w:rsidP="00897193">
            <w:pPr>
              <w:pStyle w:val="ARtabletextrightbold"/>
            </w:pPr>
            <w:r w:rsidRPr="002029AF">
              <w:t>0</w:t>
            </w:r>
          </w:p>
        </w:tc>
        <w:tc>
          <w:tcPr>
            <w:tcW w:w="992" w:type="dxa"/>
            <w:shd w:val="clear" w:color="auto" w:fill="auto"/>
          </w:tcPr>
          <w:p w14:paraId="1894ED6F" w14:textId="77777777" w:rsidR="00CF72D5" w:rsidRPr="002029AF" w:rsidRDefault="00CF72D5" w:rsidP="00897193">
            <w:pPr>
              <w:pStyle w:val="ARtabletextrightbold"/>
            </w:pPr>
            <w:r w:rsidRPr="002029AF">
              <w:t>(1)</w:t>
            </w:r>
          </w:p>
        </w:tc>
        <w:tc>
          <w:tcPr>
            <w:tcW w:w="992" w:type="dxa"/>
            <w:gridSpan w:val="2"/>
            <w:shd w:val="clear" w:color="auto" w:fill="auto"/>
          </w:tcPr>
          <w:p w14:paraId="246579E4" w14:textId="77777777" w:rsidR="00CF72D5" w:rsidRPr="002029AF" w:rsidRDefault="00CF72D5" w:rsidP="00897193">
            <w:pPr>
              <w:pStyle w:val="ARtabletextrightbold"/>
            </w:pPr>
            <w:r w:rsidRPr="002029AF">
              <w:t>0</w:t>
            </w:r>
          </w:p>
        </w:tc>
        <w:tc>
          <w:tcPr>
            <w:tcW w:w="992" w:type="dxa"/>
            <w:shd w:val="clear" w:color="auto" w:fill="auto"/>
          </w:tcPr>
          <w:p w14:paraId="6401ED01" w14:textId="77777777" w:rsidR="00CF72D5" w:rsidRPr="002029AF" w:rsidRDefault="00CF72D5" w:rsidP="00897193">
            <w:pPr>
              <w:pStyle w:val="ARtabletextrightbold"/>
            </w:pPr>
            <w:r w:rsidRPr="002029AF">
              <w:t>0</w:t>
            </w:r>
          </w:p>
        </w:tc>
      </w:tr>
    </w:tbl>
    <w:p w14:paraId="21CDEB9E" w14:textId="72A70514" w:rsidR="00CF72D5" w:rsidRPr="002029AF" w:rsidRDefault="00CF72D5" w:rsidP="00897193">
      <w:pPr>
        <w:pStyle w:val="ARbodyaftertable"/>
        <w:spacing w:before="120"/>
      </w:pPr>
      <w:r w:rsidRPr="002029AF">
        <w:t>The</w:t>
      </w:r>
      <w:r w:rsidR="000A5329" w:rsidRPr="002029AF">
        <w:t xml:space="preserve"> </w:t>
      </w:r>
      <w:r w:rsidRPr="002029AF">
        <w:t>number</w:t>
      </w:r>
      <w:r w:rsidR="000A5329" w:rsidRPr="002029AF">
        <w:t xml:space="preserve"> </w:t>
      </w:r>
      <w:r w:rsidRPr="002029AF">
        <w:t>of</w:t>
      </w:r>
      <w:r w:rsidR="000A5329" w:rsidRPr="002029AF">
        <w:t xml:space="preserve"> </w:t>
      </w:r>
      <w:r w:rsidRPr="002029AF">
        <w:t>executives</w:t>
      </w:r>
      <w:r w:rsidR="000A5329" w:rsidRPr="002029AF">
        <w:t xml:space="preserve"> </w:t>
      </w:r>
      <w:r w:rsidRPr="002029AF">
        <w:t>in</w:t>
      </w:r>
      <w:r w:rsidR="000A5329" w:rsidRPr="002029AF">
        <w:t xml:space="preserve"> </w:t>
      </w:r>
      <w:r w:rsidRPr="002029AF">
        <w:t>the</w:t>
      </w:r>
      <w:r w:rsidR="000A5329" w:rsidRPr="002029AF">
        <w:t xml:space="preserve"> </w:t>
      </w:r>
      <w:r w:rsidRPr="002029AF">
        <w:t>report</w:t>
      </w:r>
      <w:r w:rsidR="000A5329" w:rsidRPr="002029AF">
        <w:t xml:space="preserve"> </w:t>
      </w:r>
      <w:r w:rsidRPr="002029AF">
        <w:t>of</w:t>
      </w:r>
      <w:r w:rsidR="000A5329" w:rsidRPr="002029AF">
        <w:t xml:space="preserve"> </w:t>
      </w:r>
      <w:r w:rsidRPr="002029AF">
        <w:t>operations</w:t>
      </w:r>
      <w:r w:rsidR="000A5329" w:rsidRPr="002029AF">
        <w:t xml:space="preserve"> </w:t>
      </w:r>
      <w:r w:rsidRPr="002029AF">
        <w:t>is</w:t>
      </w:r>
      <w:r w:rsidR="000A5329" w:rsidRPr="002029AF">
        <w:t xml:space="preserve"> </w:t>
      </w:r>
      <w:r w:rsidRPr="002029AF">
        <w:t>based</w:t>
      </w:r>
      <w:r w:rsidR="000A5329" w:rsidRPr="002029AF">
        <w:t xml:space="preserve"> </w:t>
      </w:r>
      <w:r w:rsidRPr="002029AF">
        <w:t>on</w:t>
      </w:r>
      <w:r w:rsidR="000A5329" w:rsidRPr="002029AF">
        <w:t xml:space="preserve"> </w:t>
      </w:r>
      <w:r w:rsidRPr="002029AF">
        <w:t>the</w:t>
      </w:r>
      <w:r w:rsidR="000A5329" w:rsidRPr="002029AF">
        <w:t xml:space="preserve"> </w:t>
      </w:r>
      <w:r w:rsidRPr="002029AF">
        <w:t>number</w:t>
      </w:r>
      <w:r w:rsidR="000A5329" w:rsidRPr="002029AF">
        <w:t xml:space="preserve"> </w:t>
      </w:r>
      <w:r w:rsidRPr="002029AF">
        <w:t>of</w:t>
      </w:r>
      <w:r w:rsidR="000A5329" w:rsidRPr="002029AF">
        <w:t xml:space="preserve"> </w:t>
      </w:r>
      <w:r w:rsidRPr="002029AF">
        <w:t>executive</w:t>
      </w:r>
      <w:r w:rsidR="000A5329" w:rsidRPr="002029AF">
        <w:t xml:space="preserve"> </w:t>
      </w:r>
      <w:r w:rsidRPr="002029AF">
        <w:t>positions</w:t>
      </w:r>
      <w:r w:rsidR="000A5329" w:rsidRPr="002029AF">
        <w:t xml:space="preserve"> </w:t>
      </w:r>
      <w:r w:rsidRPr="002029AF">
        <w:t>that</w:t>
      </w:r>
      <w:r w:rsidR="000A5329" w:rsidRPr="002029AF">
        <w:t xml:space="preserve"> </w:t>
      </w:r>
      <w:r w:rsidRPr="002029AF">
        <w:t>are</w:t>
      </w:r>
      <w:r w:rsidR="000A5329" w:rsidRPr="002029AF">
        <w:t xml:space="preserve"> </w:t>
      </w:r>
      <w:r w:rsidRPr="002029AF">
        <w:t>occupied</w:t>
      </w:r>
      <w:r w:rsidR="000A5329" w:rsidRPr="002029AF">
        <w:t xml:space="preserve"> </w:t>
      </w:r>
      <w:r w:rsidRPr="002029AF">
        <w:t>at</w:t>
      </w:r>
      <w:r w:rsidR="000A5329" w:rsidRPr="002029AF">
        <w:t xml:space="preserve"> </w:t>
      </w:r>
      <w:r w:rsidRPr="002029AF">
        <w:t>the</w:t>
      </w:r>
      <w:r w:rsidR="000A5329" w:rsidRPr="002029AF">
        <w:t xml:space="preserve"> </w:t>
      </w:r>
      <w:r w:rsidRPr="002029AF">
        <w:t>end</w:t>
      </w:r>
      <w:r w:rsidR="000A5329" w:rsidRPr="002029AF">
        <w:t xml:space="preserve"> </w:t>
      </w:r>
      <w:r w:rsidRPr="002029AF">
        <w:t>of</w:t>
      </w:r>
      <w:r w:rsidR="000A5329" w:rsidRPr="002029AF">
        <w:t xml:space="preserve"> </w:t>
      </w:r>
      <w:r w:rsidRPr="002029AF">
        <w:t>the</w:t>
      </w:r>
      <w:r w:rsidR="000A5329" w:rsidRPr="002029AF">
        <w:t xml:space="preserve"> </w:t>
      </w:r>
      <w:r w:rsidRPr="002029AF">
        <w:t>financial</w:t>
      </w:r>
      <w:r w:rsidR="000A5329" w:rsidRPr="002029AF">
        <w:t xml:space="preserve"> </w:t>
      </w:r>
      <w:r w:rsidRPr="002029AF">
        <w:t>year.</w:t>
      </w:r>
      <w:r w:rsidR="000A5329" w:rsidRPr="002029AF">
        <w:t xml:space="preserve"> </w:t>
      </w:r>
      <w:r w:rsidRPr="002029AF">
        <w:t>Note</w:t>
      </w:r>
      <w:r w:rsidR="000A5329" w:rsidRPr="002029AF">
        <w:t xml:space="preserve"> </w:t>
      </w:r>
      <w:r w:rsidRPr="002029AF">
        <w:t>9.7</w:t>
      </w:r>
      <w:r w:rsidR="000A5329" w:rsidRPr="002029AF">
        <w:t xml:space="preserve"> </w:t>
      </w:r>
      <w:r w:rsidRPr="002029AF">
        <w:t>in</w:t>
      </w:r>
      <w:r w:rsidR="000A5329" w:rsidRPr="002029AF">
        <w:t xml:space="preserve"> </w:t>
      </w:r>
      <w:r w:rsidRPr="002029AF">
        <w:t>the</w:t>
      </w:r>
      <w:r w:rsidR="000A5329" w:rsidRPr="002029AF">
        <w:t xml:space="preserve"> </w:t>
      </w:r>
      <w:r w:rsidRPr="002029AF">
        <w:t>financial</w:t>
      </w:r>
      <w:r w:rsidR="000A5329" w:rsidRPr="002029AF">
        <w:t xml:space="preserve"> </w:t>
      </w:r>
      <w:r w:rsidRPr="002029AF">
        <w:t>statements</w:t>
      </w:r>
      <w:r w:rsidR="000A5329" w:rsidRPr="002029AF">
        <w:t xml:space="preserve"> </w:t>
      </w:r>
      <w:r w:rsidRPr="002029AF">
        <w:t>lists</w:t>
      </w:r>
      <w:r w:rsidR="000A5329" w:rsidRPr="002029AF">
        <w:t xml:space="preserve"> </w:t>
      </w:r>
      <w:r w:rsidRPr="002029AF">
        <w:t>the</w:t>
      </w:r>
      <w:r w:rsidR="000A5329" w:rsidRPr="002029AF">
        <w:t xml:space="preserve"> </w:t>
      </w:r>
      <w:r w:rsidRPr="002029AF">
        <w:t>actual</w:t>
      </w:r>
      <w:r w:rsidR="000A5329" w:rsidRPr="002029AF">
        <w:t xml:space="preserve"> </w:t>
      </w:r>
      <w:r w:rsidRPr="002029AF">
        <w:t>number</w:t>
      </w:r>
      <w:r w:rsidR="000A5329" w:rsidRPr="002029AF">
        <w:t xml:space="preserve"> </w:t>
      </w:r>
      <w:r w:rsidRPr="002029AF">
        <w:t>of</w:t>
      </w:r>
      <w:r w:rsidR="000A5329" w:rsidRPr="002029AF">
        <w:t xml:space="preserve"> </w:t>
      </w:r>
      <w:r w:rsidRPr="002029AF">
        <w:t>EOs</w:t>
      </w:r>
      <w:r w:rsidR="000A5329" w:rsidRPr="002029AF">
        <w:t xml:space="preserve"> </w:t>
      </w:r>
      <w:r w:rsidRPr="002029AF">
        <w:t>and</w:t>
      </w:r>
      <w:r w:rsidR="000A5329" w:rsidRPr="002029AF">
        <w:t xml:space="preserve"> </w:t>
      </w:r>
      <w:r w:rsidRPr="002029AF">
        <w:t>the</w:t>
      </w:r>
      <w:r w:rsidR="000A5329" w:rsidRPr="002029AF">
        <w:t xml:space="preserve"> </w:t>
      </w:r>
      <w:r w:rsidRPr="002029AF">
        <w:t>total</w:t>
      </w:r>
      <w:r w:rsidR="000A5329" w:rsidRPr="002029AF">
        <w:t xml:space="preserve"> </w:t>
      </w:r>
      <w:r w:rsidRPr="002029AF">
        <w:t>remuneration</w:t>
      </w:r>
      <w:r w:rsidR="000A5329" w:rsidRPr="002029AF">
        <w:t xml:space="preserve"> </w:t>
      </w:r>
      <w:r w:rsidRPr="002029AF">
        <w:t>paid</w:t>
      </w:r>
      <w:r w:rsidR="000A5329" w:rsidRPr="002029AF">
        <w:t xml:space="preserve"> </w:t>
      </w:r>
      <w:r w:rsidRPr="002029AF">
        <w:t>to</w:t>
      </w:r>
      <w:r w:rsidR="000A5329" w:rsidRPr="002029AF">
        <w:t xml:space="preserve"> </w:t>
      </w:r>
      <w:r w:rsidRPr="002029AF">
        <w:t>EOs</w:t>
      </w:r>
      <w:r w:rsidR="000A5329" w:rsidRPr="002029AF">
        <w:t xml:space="preserve"> </w:t>
      </w:r>
      <w:r w:rsidRPr="002029AF">
        <w:t>over</w:t>
      </w:r>
      <w:r w:rsidR="000A5329" w:rsidRPr="002029AF">
        <w:t xml:space="preserve"> </w:t>
      </w:r>
      <w:r w:rsidRPr="002029AF">
        <w:t>the</w:t>
      </w:r>
      <w:r w:rsidR="000A5329" w:rsidRPr="002029AF">
        <w:t xml:space="preserve"> </w:t>
      </w:r>
      <w:r w:rsidRPr="002029AF">
        <w:t>course</w:t>
      </w:r>
      <w:r w:rsidR="000A5329" w:rsidRPr="002029AF">
        <w:t xml:space="preserve"> </w:t>
      </w:r>
      <w:r w:rsidRPr="002029AF">
        <w:t>of</w:t>
      </w:r>
      <w:r w:rsidR="000A5329" w:rsidRPr="002029AF">
        <w:t xml:space="preserve"> </w:t>
      </w:r>
      <w:r w:rsidRPr="002029AF">
        <w:t>the</w:t>
      </w:r>
      <w:r w:rsidR="000A5329" w:rsidRPr="002029AF">
        <w:t xml:space="preserve"> </w:t>
      </w:r>
      <w:r w:rsidRPr="002029AF">
        <w:t>reporting</w:t>
      </w:r>
      <w:r w:rsidR="000A5329" w:rsidRPr="002029AF">
        <w:t xml:space="preserve"> </w:t>
      </w:r>
      <w:r w:rsidRPr="002029AF">
        <w:t>period.</w:t>
      </w:r>
      <w:r w:rsidR="000A5329" w:rsidRPr="002029AF">
        <w:t xml:space="preserve"> </w:t>
      </w:r>
      <w:r w:rsidRPr="002029AF">
        <w:t>The</w:t>
      </w:r>
      <w:r w:rsidR="000A5329" w:rsidRPr="002029AF">
        <w:t xml:space="preserve"> </w:t>
      </w:r>
      <w:r w:rsidRPr="002029AF">
        <w:t>financial</w:t>
      </w:r>
      <w:r w:rsidR="000A5329" w:rsidRPr="002029AF">
        <w:t xml:space="preserve"> </w:t>
      </w:r>
      <w:r w:rsidRPr="002029AF">
        <w:t>statements</w:t>
      </w:r>
      <w:r w:rsidR="000A5329" w:rsidRPr="002029AF">
        <w:t xml:space="preserve"> </w:t>
      </w:r>
      <w:r w:rsidRPr="002029AF">
        <w:t>note</w:t>
      </w:r>
      <w:r w:rsidR="00B95D52">
        <w:t> </w:t>
      </w:r>
      <w:r w:rsidRPr="002029AF">
        <w:t>does</w:t>
      </w:r>
      <w:r w:rsidR="000A5329" w:rsidRPr="002029AF">
        <w:t xml:space="preserve"> </w:t>
      </w:r>
      <w:r w:rsidRPr="002029AF">
        <w:t>not</w:t>
      </w:r>
      <w:r w:rsidR="000A5329" w:rsidRPr="002029AF">
        <w:t xml:space="preserve"> </w:t>
      </w:r>
      <w:r w:rsidRPr="002029AF">
        <w:t>include</w:t>
      </w:r>
      <w:r w:rsidR="000A5329" w:rsidRPr="002029AF">
        <w:t xml:space="preserve"> </w:t>
      </w:r>
      <w:r w:rsidRPr="002029AF">
        <w:t>the</w:t>
      </w:r>
      <w:r w:rsidR="000A5329" w:rsidRPr="002029AF">
        <w:t xml:space="preserve"> </w:t>
      </w:r>
      <w:r w:rsidRPr="002029AF">
        <w:t>Accountable</w:t>
      </w:r>
      <w:r w:rsidR="000A5329" w:rsidRPr="002029AF">
        <w:t xml:space="preserve"> </w:t>
      </w:r>
      <w:r w:rsidRPr="002029AF">
        <w:t>Officer,</w:t>
      </w:r>
      <w:r w:rsidR="000A5329" w:rsidRPr="002029AF">
        <w:t xml:space="preserve"> </w:t>
      </w:r>
      <w:r w:rsidRPr="002029AF">
        <w:t>nor</w:t>
      </w:r>
      <w:r w:rsidR="000A5329" w:rsidRPr="002029AF">
        <w:t xml:space="preserve"> </w:t>
      </w:r>
      <w:r w:rsidRPr="002029AF">
        <w:t>does</w:t>
      </w:r>
      <w:r w:rsidR="000A5329" w:rsidRPr="002029AF">
        <w:t xml:space="preserve"> </w:t>
      </w:r>
      <w:r w:rsidRPr="002029AF">
        <w:t>it</w:t>
      </w:r>
      <w:r w:rsidR="000A5329" w:rsidRPr="002029AF">
        <w:t xml:space="preserve"> </w:t>
      </w:r>
      <w:r w:rsidRPr="002029AF">
        <w:t>distinguish</w:t>
      </w:r>
      <w:r w:rsidR="000A5329" w:rsidRPr="002029AF">
        <w:t xml:space="preserve"> </w:t>
      </w:r>
      <w:r w:rsidRPr="002029AF">
        <w:t>between</w:t>
      </w:r>
      <w:r w:rsidR="000A5329" w:rsidRPr="002029AF">
        <w:t xml:space="preserve"> </w:t>
      </w:r>
      <w:r w:rsidRPr="002029AF">
        <w:t>executive</w:t>
      </w:r>
      <w:r w:rsidR="000A5329" w:rsidRPr="002029AF">
        <w:t xml:space="preserve"> </w:t>
      </w:r>
      <w:r w:rsidRPr="002029AF">
        <w:t>levels</w:t>
      </w:r>
      <w:r w:rsidR="000A5329" w:rsidRPr="002029AF">
        <w:t xml:space="preserve"> </w:t>
      </w:r>
      <w:r w:rsidRPr="002029AF">
        <w:t>or</w:t>
      </w:r>
      <w:r w:rsidR="000A5329" w:rsidRPr="002029AF">
        <w:t xml:space="preserve"> </w:t>
      </w:r>
      <w:r w:rsidRPr="002029AF">
        <w:t>disclose</w:t>
      </w:r>
      <w:r w:rsidR="000A5329" w:rsidRPr="002029AF">
        <w:t xml:space="preserve"> </w:t>
      </w:r>
      <w:r w:rsidRPr="002029AF">
        <w:t>separations.</w:t>
      </w:r>
      <w:r w:rsidR="000A5329" w:rsidRPr="002029AF">
        <w:t xml:space="preserve"> </w:t>
      </w:r>
      <w:r w:rsidRPr="002029AF">
        <w:t>Separations</w:t>
      </w:r>
      <w:r w:rsidR="000A5329" w:rsidRPr="002029AF">
        <w:t xml:space="preserve"> </w:t>
      </w:r>
      <w:r w:rsidRPr="002029AF">
        <w:t>are</w:t>
      </w:r>
      <w:r w:rsidR="000A5329" w:rsidRPr="002029AF">
        <w:t xml:space="preserve"> </w:t>
      </w:r>
      <w:r w:rsidRPr="002029AF">
        <w:t>executives</w:t>
      </w:r>
      <w:r w:rsidR="000A5329" w:rsidRPr="002029AF">
        <w:t xml:space="preserve"> </w:t>
      </w:r>
      <w:r w:rsidRPr="002029AF">
        <w:t>who</w:t>
      </w:r>
      <w:r w:rsidR="000A5329" w:rsidRPr="002029AF">
        <w:t xml:space="preserve"> </w:t>
      </w:r>
      <w:r w:rsidRPr="002029AF">
        <w:t>have</w:t>
      </w:r>
      <w:r w:rsidR="000A5329" w:rsidRPr="002029AF">
        <w:t xml:space="preserve"> </w:t>
      </w:r>
      <w:r w:rsidRPr="002029AF">
        <w:t>left</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during</w:t>
      </w:r>
      <w:r w:rsidR="000A5329" w:rsidRPr="002029AF">
        <w:t xml:space="preserve"> </w:t>
      </w:r>
      <w:r w:rsidRPr="002029AF">
        <w:t>the</w:t>
      </w:r>
      <w:r w:rsidR="000A5329" w:rsidRPr="002029AF">
        <w:t xml:space="preserve"> </w:t>
      </w:r>
      <w:r w:rsidRPr="002029AF">
        <w:t>relevant</w:t>
      </w:r>
      <w:r w:rsidR="000A5329" w:rsidRPr="002029AF">
        <w:t xml:space="preserve"> </w:t>
      </w:r>
      <w:r w:rsidRPr="002029AF">
        <w:t>reporting</w:t>
      </w:r>
      <w:r w:rsidR="000A5329" w:rsidRPr="002029AF">
        <w:t xml:space="preserve"> </w:t>
      </w:r>
      <w:r w:rsidRPr="002029AF">
        <w:t>period.</w:t>
      </w:r>
      <w:r w:rsidR="000A5329" w:rsidRPr="002029AF">
        <w:t xml:space="preserve"> </w:t>
      </w:r>
      <w:r w:rsidRPr="002029AF">
        <w:t>To</w:t>
      </w:r>
      <w:r w:rsidR="000A5329" w:rsidRPr="002029AF">
        <w:t xml:space="preserve"> </w:t>
      </w:r>
      <w:r w:rsidRPr="002029AF">
        <w:t>assist</w:t>
      </w:r>
      <w:r w:rsidR="000A5329" w:rsidRPr="002029AF">
        <w:t xml:space="preserve"> </w:t>
      </w:r>
      <w:r w:rsidRPr="002029AF">
        <w:t>readers,</w:t>
      </w:r>
      <w:r w:rsidR="000A5329" w:rsidRPr="002029AF">
        <w:t xml:space="preserve"> </w:t>
      </w:r>
      <w:r w:rsidRPr="002029AF">
        <w:t>these</w:t>
      </w:r>
      <w:r w:rsidR="000A5329" w:rsidRPr="002029AF">
        <w:t xml:space="preserve"> </w:t>
      </w:r>
      <w:r w:rsidRPr="002029AF">
        <w:t>two</w:t>
      </w:r>
      <w:r w:rsidR="000A5329" w:rsidRPr="002029AF">
        <w:t xml:space="preserve"> </w:t>
      </w:r>
      <w:r w:rsidRPr="002029AF">
        <w:t>disclosures</w:t>
      </w:r>
      <w:r w:rsidR="000A5329" w:rsidRPr="002029AF">
        <w:t xml:space="preserve"> </w:t>
      </w:r>
      <w:r w:rsidRPr="002029AF">
        <w:t>are</w:t>
      </w:r>
      <w:r w:rsidR="000A5329" w:rsidRPr="002029AF">
        <w:t xml:space="preserve"> </w:t>
      </w:r>
      <w:r w:rsidRPr="002029AF">
        <w:t>reconciled</w:t>
      </w:r>
      <w:r w:rsidR="000A5329" w:rsidRPr="002029AF">
        <w:t xml:space="preserve"> </w:t>
      </w:r>
      <w:r w:rsidRPr="002029AF">
        <w:t>below.</w:t>
      </w:r>
    </w:p>
    <w:p w14:paraId="73D4C1AB" w14:textId="324F801D" w:rsidR="00CF72D5" w:rsidRPr="002029AF" w:rsidRDefault="00CF72D5" w:rsidP="00897193">
      <w:pPr>
        <w:pStyle w:val="Heading4"/>
      </w:pPr>
      <w:bookmarkStart w:id="89" w:name="_Hlk19622298"/>
      <w:r w:rsidRPr="002029AF">
        <w:t>Table</w:t>
      </w:r>
      <w:r w:rsidR="000A5329" w:rsidRPr="002029AF">
        <w:t xml:space="preserve"> </w:t>
      </w:r>
      <w:r w:rsidRPr="002029AF">
        <w:t>4:</w:t>
      </w:r>
      <w:r w:rsidR="000A5329" w:rsidRPr="002029AF">
        <w:t xml:space="preserve"> </w:t>
      </w:r>
      <w:r w:rsidRPr="002029AF">
        <w:t>Reconciliation</w:t>
      </w:r>
      <w:r w:rsidR="000A5329" w:rsidRPr="002029AF">
        <w:t xml:space="preserve"> </w:t>
      </w:r>
      <w:r w:rsidRPr="002029AF">
        <w:t>of</w:t>
      </w:r>
      <w:r w:rsidR="000A5329" w:rsidRPr="002029AF">
        <w:t xml:space="preserve"> </w:t>
      </w:r>
      <w:r w:rsidRPr="002029AF">
        <w:t>executive</w:t>
      </w:r>
      <w:r w:rsidR="000A5329" w:rsidRPr="002029AF">
        <w:t xml:space="preserve"> </w:t>
      </w:r>
      <w:r w:rsidRPr="002029AF">
        <w:t>numbers</w:t>
      </w:r>
      <w:r w:rsidR="000A5329" w:rsidRPr="002029AF">
        <w:t xml:space="preserve"> </w:t>
      </w:r>
      <w:r w:rsidRPr="002029AF">
        <w:t>for</w:t>
      </w:r>
      <w:r w:rsidR="000A5329" w:rsidRPr="002029AF">
        <w:t xml:space="preserve"> </w:t>
      </w:r>
      <w:r w:rsidRPr="002029AF">
        <w:t>Family</w:t>
      </w:r>
      <w:r w:rsidR="000A5329" w:rsidRPr="002029AF">
        <w:t xml:space="preserve"> </w:t>
      </w:r>
      <w:r w:rsidRPr="002029AF">
        <w:t>Safety</w:t>
      </w:r>
      <w:r w:rsidR="000A5329" w:rsidRPr="002029AF">
        <w:t xml:space="preserve"> </w:t>
      </w:r>
      <w:r w:rsidRPr="002029AF">
        <w:t>Victoria</w:t>
      </w:r>
    </w:p>
    <w:bookmarkEnd w:id="89"/>
    <w:tbl>
      <w:tblPr>
        <w:tblStyle w:val="TableGrid"/>
        <w:tblW w:w="0" w:type="auto"/>
        <w:tblLook w:val="06A0" w:firstRow="1" w:lastRow="0" w:firstColumn="1" w:lastColumn="0" w:noHBand="1" w:noVBand="1"/>
      </w:tblPr>
      <w:tblGrid>
        <w:gridCol w:w="6231"/>
        <w:gridCol w:w="1698"/>
        <w:gridCol w:w="1698"/>
      </w:tblGrid>
      <w:tr w:rsidR="00CF72D5" w:rsidRPr="002029AF" w14:paraId="31D91936" w14:textId="77777777" w:rsidTr="00897193">
        <w:trPr>
          <w:cnfStyle w:val="100000000000" w:firstRow="1" w:lastRow="0" w:firstColumn="0" w:lastColumn="0" w:oddVBand="0" w:evenVBand="0" w:oddHBand="0" w:evenHBand="0" w:firstRowFirstColumn="0" w:firstRowLastColumn="0" w:lastRowFirstColumn="0" w:lastRowLastColumn="0"/>
          <w:tblHeader/>
        </w:trPr>
        <w:tc>
          <w:tcPr>
            <w:tcW w:w="6231" w:type="dxa"/>
            <w:tcBorders>
              <w:top w:val="nil"/>
            </w:tcBorders>
          </w:tcPr>
          <w:p w14:paraId="4416C2F1" w14:textId="77777777" w:rsidR="00CF72D5" w:rsidRPr="002029AF" w:rsidRDefault="00CF72D5" w:rsidP="00871DEF">
            <w:pPr>
              <w:pStyle w:val="ARtablecolhead"/>
            </w:pPr>
          </w:p>
        </w:tc>
        <w:tc>
          <w:tcPr>
            <w:tcW w:w="1698" w:type="dxa"/>
            <w:tcBorders>
              <w:top w:val="nil"/>
            </w:tcBorders>
          </w:tcPr>
          <w:p w14:paraId="38418147" w14:textId="77777777" w:rsidR="00CF72D5" w:rsidRPr="002029AF" w:rsidRDefault="00CF72D5" w:rsidP="00897193">
            <w:pPr>
              <w:pStyle w:val="ARtablecolheadright"/>
            </w:pPr>
            <w:r w:rsidRPr="002029AF">
              <w:t>2020</w:t>
            </w:r>
          </w:p>
        </w:tc>
        <w:tc>
          <w:tcPr>
            <w:tcW w:w="1698" w:type="dxa"/>
            <w:tcBorders>
              <w:top w:val="nil"/>
            </w:tcBorders>
          </w:tcPr>
          <w:p w14:paraId="44093F95" w14:textId="77777777" w:rsidR="00CF72D5" w:rsidRPr="002029AF" w:rsidRDefault="00CF72D5" w:rsidP="00897193">
            <w:pPr>
              <w:pStyle w:val="ARtablecolheadright"/>
            </w:pPr>
            <w:r w:rsidRPr="002029AF">
              <w:t>2019</w:t>
            </w:r>
          </w:p>
        </w:tc>
      </w:tr>
      <w:tr w:rsidR="00CF72D5" w:rsidRPr="002029AF" w14:paraId="5C7E5BA0" w14:textId="77777777" w:rsidTr="00897193">
        <w:tc>
          <w:tcPr>
            <w:tcW w:w="6231" w:type="dxa"/>
            <w:tcBorders>
              <w:top w:val="single" w:sz="4" w:space="0" w:color="70AD47" w:themeColor="accent6"/>
            </w:tcBorders>
          </w:tcPr>
          <w:p w14:paraId="70A8FD89" w14:textId="77777777" w:rsidR="00CF72D5" w:rsidRPr="002029AF" w:rsidRDefault="00CF72D5" w:rsidP="00897193">
            <w:pPr>
              <w:pStyle w:val="ARtabletext"/>
            </w:pPr>
            <w:r w:rsidRPr="002029AF">
              <w:t>Executives</w:t>
            </w:r>
          </w:p>
        </w:tc>
        <w:tc>
          <w:tcPr>
            <w:tcW w:w="1698" w:type="dxa"/>
            <w:tcBorders>
              <w:top w:val="single" w:sz="4" w:space="0" w:color="70AD47" w:themeColor="accent6"/>
            </w:tcBorders>
          </w:tcPr>
          <w:p w14:paraId="1E137791" w14:textId="77777777" w:rsidR="00CF72D5" w:rsidRPr="002029AF" w:rsidRDefault="00CF72D5" w:rsidP="00897193">
            <w:pPr>
              <w:pStyle w:val="ARtabletextright"/>
            </w:pPr>
            <w:r w:rsidRPr="002029AF">
              <w:t>21</w:t>
            </w:r>
          </w:p>
        </w:tc>
        <w:tc>
          <w:tcPr>
            <w:tcW w:w="1698" w:type="dxa"/>
            <w:tcBorders>
              <w:top w:val="single" w:sz="4" w:space="0" w:color="70AD47" w:themeColor="accent6"/>
            </w:tcBorders>
          </w:tcPr>
          <w:p w14:paraId="6BDEC6D2" w14:textId="77777777" w:rsidR="00CF72D5" w:rsidRPr="002029AF" w:rsidRDefault="00CF72D5" w:rsidP="00897193">
            <w:pPr>
              <w:pStyle w:val="ARtabletextright"/>
            </w:pPr>
            <w:r w:rsidRPr="002029AF">
              <w:t>22</w:t>
            </w:r>
          </w:p>
        </w:tc>
      </w:tr>
      <w:tr w:rsidR="00CF72D5" w:rsidRPr="002029AF" w14:paraId="23071136" w14:textId="77777777" w:rsidTr="00897193">
        <w:tc>
          <w:tcPr>
            <w:tcW w:w="6231" w:type="dxa"/>
          </w:tcPr>
          <w:p w14:paraId="768DF458" w14:textId="00ED89A3" w:rsidR="00CF72D5" w:rsidRPr="002029AF" w:rsidRDefault="00CF72D5" w:rsidP="00897193">
            <w:pPr>
              <w:pStyle w:val="ARtabletext"/>
            </w:pPr>
            <w:r w:rsidRPr="002029AF">
              <w:t>Accountable</w:t>
            </w:r>
            <w:r w:rsidR="000A5329" w:rsidRPr="002029AF">
              <w:t xml:space="preserve"> </w:t>
            </w:r>
            <w:r w:rsidRPr="002029AF">
              <w:t>Officer</w:t>
            </w:r>
            <w:r w:rsidR="000A5329" w:rsidRPr="002029AF">
              <w:t xml:space="preserve"> </w:t>
            </w:r>
            <w:r w:rsidRPr="002029AF">
              <w:t>(Chief</w:t>
            </w:r>
            <w:r w:rsidR="000A5329" w:rsidRPr="002029AF">
              <w:t xml:space="preserve"> </w:t>
            </w:r>
            <w:r w:rsidRPr="002029AF">
              <w:t>Executive</w:t>
            </w:r>
            <w:r w:rsidR="000A5329" w:rsidRPr="002029AF">
              <w:t xml:space="preserve"> </w:t>
            </w:r>
            <w:r w:rsidRPr="002029AF">
              <w:t>Officer)</w:t>
            </w:r>
          </w:p>
        </w:tc>
        <w:tc>
          <w:tcPr>
            <w:tcW w:w="1698" w:type="dxa"/>
          </w:tcPr>
          <w:p w14:paraId="3EE3D166" w14:textId="77777777" w:rsidR="00CF72D5" w:rsidRPr="002029AF" w:rsidRDefault="00CF72D5" w:rsidP="00897193">
            <w:pPr>
              <w:pStyle w:val="ARtabletextright"/>
            </w:pPr>
            <w:r w:rsidRPr="002029AF">
              <w:t>1</w:t>
            </w:r>
          </w:p>
        </w:tc>
        <w:tc>
          <w:tcPr>
            <w:tcW w:w="1698" w:type="dxa"/>
          </w:tcPr>
          <w:p w14:paraId="44E51297" w14:textId="77777777" w:rsidR="00CF72D5" w:rsidRPr="002029AF" w:rsidRDefault="00CF72D5" w:rsidP="00897193">
            <w:pPr>
              <w:pStyle w:val="ARtabletextright"/>
            </w:pPr>
            <w:r w:rsidRPr="002029AF">
              <w:t>1</w:t>
            </w:r>
          </w:p>
        </w:tc>
      </w:tr>
      <w:tr w:rsidR="00CF72D5" w:rsidRPr="002029AF" w14:paraId="7E1F40B6" w14:textId="77777777" w:rsidTr="00897193">
        <w:tc>
          <w:tcPr>
            <w:tcW w:w="6231" w:type="dxa"/>
          </w:tcPr>
          <w:p w14:paraId="612BFCBD" w14:textId="46EA6CED" w:rsidR="00CF72D5" w:rsidRPr="002029AF" w:rsidRDefault="00CF72D5" w:rsidP="00897193">
            <w:pPr>
              <w:pStyle w:val="ARtabletext"/>
            </w:pPr>
            <w:r w:rsidRPr="002029AF">
              <w:t>Less</w:t>
            </w:r>
            <w:r w:rsidR="000A5329" w:rsidRPr="002029AF">
              <w:t xml:space="preserve"> </w:t>
            </w:r>
            <w:r w:rsidRPr="002029AF">
              <w:t>separations</w:t>
            </w:r>
          </w:p>
        </w:tc>
        <w:tc>
          <w:tcPr>
            <w:tcW w:w="1698" w:type="dxa"/>
          </w:tcPr>
          <w:p w14:paraId="6F8BBA5F" w14:textId="77777777" w:rsidR="00CF72D5" w:rsidRPr="002029AF" w:rsidRDefault="00CF72D5" w:rsidP="00897193">
            <w:pPr>
              <w:pStyle w:val="ARtabletextright"/>
            </w:pPr>
            <w:r w:rsidRPr="002029AF">
              <w:t>(4)</w:t>
            </w:r>
          </w:p>
        </w:tc>
        <w:tc>
          <w:tcPr>
            <w:tcW w:w="1698" w:type="dxa"/>
          </w:tcPr>
          <w:p w14:paraId="5E79B4F0" w14:textId="77777777" w:rsidR="00CF72D5" w:rsidRPr="002029AF" w:rsidRDefault="00CF72D5" w:rsidP="00897193">
            <w:pPr>
              <w:pStyle w:val="ARtabletextright"/>
            </w:pPr>
            <w:r w:rsidRPr="002029AF">
              <w:t>(3)</w:t>
            </w:r>
          </w:p>
        </w:tc>
      </w:tr>
      <w:tr w:rsidR="00CF72D5" w:rsidRPr="002029AF" w14:paraId="59147BC2" w14:textId="77777777" w:rsidTr="00897193">
        <w:tc>
          <w:tcPr>
            <w:tcW w:w="6231" w:type="dxa"/>
          </w:tcPr>
          <w:p w14:paraId="10028B0B" w14:textId="01E63A07" w:rsidR="00CF72D5" w:rsidRPr="002029AF" w:rsidRDefault="00CF72D5" w:rsidP="00897193">
            <w:pPr>
              <w:pStyle w:val="ARtabletext"/>
            </w:pPr>
            <w:r w:rsidRPr="002029AF">
              <w:t>Leave</w:t>
            </w:r>
            <w:r w:rsidR="000A5329" w:rsidRPr="002029AF">
              <w:t xml:space="preserve"> </w:t>
            </w:r>
            <w:r w:rsidRPr="002029AF">
              <w:t>without</w:t>
            </w:r>
            <w:r w:rsidR="000A5329" w:rsidRPr="002029AF">
              <w:t xml:space="preserve"> </w:t>
            </w:r>
            <w:r w:rsidRPr="002029AF">
              <w:t>pay</w:t>
            </w:r>
          </w:p>
        </w:tc>
        <w:tc>
          <w:tcPr>
            <w:tcW w:w="1698" w:type="dxa"/>
          </w:tcPr>
          <w:p w14:paraId="4C9CE176" w14:textId="77777777" w:rsidR="00CF72D5" w:rsidRPr="002029AF" w:rsidRDefault="00CF72D5" w:rsidP="00897193">
            <w:pPr>
              <w:pStyle w:val="ARtabletextright"/>
            </w:pPr>
            <w:r w:rsidRPr="002029AF">
              <w:t>0</w:t>
            </w:r>
          </w:p>
        </w:tc>
        <w:tc>
          <w:tcPr>
            <w:tcW w:w="1698" w:type="dxa"/>
          </w:tcPr>
          <w:p w14:paraId="39825C1C" w14:textId="77777777" w:rsidR="00CF72D5" w:rsidRPr="002029AF" w:rsidRDefault="00CF72D5" w:rsidP="00897193">
            <w:pPr>
              <w:pStyle w:val="ARtabletextright"/>
            </w:pPr>
            <w:r w:rsidRPr="002029AF">
              <w:t>(1)</w:t>
            </w:r>
          </w:p>
        </w:tc>
      </w:tr>
      <w:tr w:rsidR="00CF72D5" w:rsidRPr="002029AF" w14:paraId="2B9DA598" w14:textId="77777777" w:rsidTr="00897193">
        <w:tc>
          <w:tcPr>
            <w:tcW w:w="6231" w:type="dxa"/>
          </w:tcPr>
          <w:p w14:paraId="01DC964D" w14:textId="0F0B93A4" w:rsidR="00CF72D5" w:rsidRPr="002029AF" w:rsidRDefault="00CF72D5" w:rsidP="00897193">
            <w:pPr>
              <w:pStyle w:val="ARtabletextbold"/>
            </w:pPr>
            <w:r w:rsidRPr="002029AF">
              <w:t>Total</w:t>
            </w:r>
            <w:r w:rsidR="000A5329" w:rsidRPr="002029AF">
              <w:t xml:space="preserve"> </w:t>
            </w:r>
            <w:r w:rsidRPr="002029AF">
              <w:t>executive</w:t>
            </w:r>
            <w:r w:rsidR="000A5329" w:rsidRPr="002029AF">
              <w:t xml:space="preserve"> </w:t>
            </w:r>
            <w:r w:rsidRPr="002029AF">
              <w:t>numbers</w:t>
            </w:r>
            <w:r w:rsidR="000A5329" w:rsidRPr="002029AF">
              <w:t xml:space="preserve"> </w:t>
            </w:r>
            <w:r w:rsidRPr="002029AF">
              <w:t>at</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p>
        </w:tc>
        <w:tc>
          <w:tcPr>
            <w:tcW w:w="1698" w:type="dxa"/>
          </w:tcPr>
          <w:p w14:paraId="067EACC4" w14:textId="77777777" w:rsidR="00CF72D5" w:rsidRPr="002029AF" w:rsidRDefault="00CF72D5" w:rsidP="00897193">
            <w:pPr>
              <w:pStyle w:val="ARtabletextrightbold"/>
            </w:pPr>
            <w:r w:rsidRPr="002029AF">
              <w:t>18</w:t>
            </w:r>
          </w:p>
        </w:tc>
        <w:tc>
          <w:tcPr>
            <w:tcW w:w="1698" w:type="dxa"/>
          </w:tcPr>
          <w:p w14:paraId="44B695CD" w14:textId="77777777" w:rsidR="00CF72D5" w:rsidRPr="002029AF" w:rsidRDefault="00CF72D5" w:rsidP="00897193">
            <w:pPr>
              <w:pStyle w:val="ARtabletextrightbold"/>
            </w:pPr>
            <w:r w:rsidRPr="002029AF">
              <w:t>19</w:t>
            </w:r>
          </w:p>
        </w:tc>
      </w:tr>
    </w:tbl>
    <w:p w14:paraId="59E67163" w14:textId="4855892A" w:rsidR="00CF72D5" w:rsidRPr="002029AF" w:rsidRDefault="00CF72D5" w:rsidP="00897193">
      <w:pPr>
        <w:pStyle w:val="Heading4"/>
      </w:pPr>
      <w:r w:rsidRPr="002029AF">
        <w:t>Table</w:t>
      </w:r>
      <w:r w:rsidR="000A5329" w:rsidRPr="002029AF">
        <w:t xml:space="preserve"> </w:t>
      </w:r>
      <w:r w:rsidRPr="002029AF">
        <w:t>5:</w:t>
      </w:r>
      <w:r w:rsidR="000A5329" w:rsidRPr="002029AF">
        <w:t xml:space="preserve"> </w:t>
      </w:r>
      <w:r w:rsidRPr="002029AF">
        <w:t>Total</w:t>
      </w:r>
      <w:r w:rsidR="000A5329" w:rsidRPr="002029AF">
        <w:t xml:space="preserve"> </w:t>
      </w:r>
      <w:r w:rsidRPr="002029AF">
        <w:t>number</w:t>
      </w:r>
      <w:r w:rsidR="000A5329" w:rsidRPr="002029AF">
        <w:t xml:space="preserve"> </w:t>
      </w:r>
      <w:r w:rsidRPr="002029AF">
        <w:t>of</w:t>
      </w:r>
      <w:r w:rsidR="000A5329" w:rsidRPr="002029AF">
        <w:t xml:space="preserve"> </w:t>
      </w:r>
      <w:r w:rsidRPr="002029AF">
        <w:t>EOs</w:t>
      </w:r>
      <w:r w:rsidR="000A5329" w:rsidRPr="002029AF">
        <w:t xml:space="preserve"> </w:t>
      </w:r>
      <w:r w:rsidRPr="002029AF">
        <w:t>for</w:t>
      </w:r>
      <w:r w:rsidR="000A5329" w:rsidRPr="002029AF">
        <w:t xml:space="preserve"> </w:t>
      </w:r>
      <w:r w:rsidRPr="002029AF">
        <w:t>Mental</w:t>
      </w:r>
      <w:r w:rsidR="000A5329" w:rsidRPr="002029AF">
        <w:t xml:space="preserve"> </w:t>
      </w:r>
      <w:r w:rsidRPr="002029AF">
        <w:t>Health</w:t>
      </w:r>
      <w:r w:rsidR="000A5329" w:rsidRPr="002029AF">
        <w:t xml:space="preserve"> </w:t>
      </w:r>
      <w:r w:rsidRPr="002029AF">
        <w:t>Reform</w:t>
      </w:r>
      <w:r w:rsidR="000A5329" w:rsidRPr="002029AF">
        <w:t xml:space="preserve"> </w:t>
      </w:r>
      <w:r w:rsidRPr="002029AF">
        <w:t>Victoria,</w:t>
      </w:r>
      <w:r w:rsidR="000A5329" w:rsidRPr="002029AF">
        <w:t xml:space="preserve"> </w:t>
      </w:r>
      <w:r w:rsidRPr="002029AF">
        <w:t>broken</w:t>
      </w:r>
      <w:r w:rsidR="000A5329" w:rsidRPr="002029AF">
        <w:t xml:space="preserve"> </w:t>
      </w:r>
      <w:r w:rsidRPr="002029AF">
        <w:t>down</w:t>
      </w:r>
      <w:r w:rsidR="000A5329" w:rsidRPr="002029AF">
        <w:t xml:space="preserve"> </w:t>
      </w:r>
      <w:r w:rsidRPr="002029AF">
        <w:t>by</w:t>
      </w:r>
      <w:r w:rsidR="000A5329" w:rsidRPr="002029AF">
        <w:t xml:space="preserve"> </w:t>
      </w:r>
      <w:r w:rsidRPr="002029AF">
        <w:t>gender</w:t>
      </w:r>
    </w:p>
    <w:tbl>
      <w:tblPr>
        <w:tblStyle w:val="TableGrid"/>
        <w:tblW w:w="0" w:type="auto"/>
        <w:tblLook w:val="06A0" w:firstRow="1" w:lastRow="0" w:firstColumn="1" w:lastColumn="0" w:noHBand="1" w:noVBand="1"/>
      </w:tblPr>
      <w:tblGrid>
        <w:gridCol w:w="1699"/>
        <w:gridCol w:w="991"/>
        <w:gridCol w:w="990"/>
        <w:gridCol w:w="1131"/>
        <w:gridCol w:w="849"/>
        <w:gridCol w:w="991"/>
        <w:gridCol w:w="990"/>
        <w:gridCol w:w="990"/>
        <w:gridCol w:w="991"/>
      </w:tblGrid>
      <w:tr w:rsidR="00871DEF" w:rsidRPr="002029AF" w14:paraId="03C38893" w14:textId="77777777" w:rsidTr="00871DEF">
        <w:trPr>
          <w:cnfStyle w:val="100000000000" w:firstRow="1" w:lastRow="0" w:firstColumn="0" w:lastColumn="0" w:oddVBand="0" w:evenVBand="0" w:oddHBand="0" w:evenHBand="0" w:firstRowFirstColumn="0" w:firstRowLastColumn="0" w:lastRowFirstColumn="0" w:lastRowLastColumn="0"/>
          <w:tblHeader/>
        </w:trPr>
        <w:tc>
          <w:tcPr>
            <w:tcW w:w="1699" w:type="dxa"/>
            <w:vMerge w:val="restart"/>
          </w:tcPr>
          <w:p w14:paraId="7898D381" w14:textId="154AC54A" w:rsidR="00871DEF" w:rsidRPr="002029AF" w:rsidRDefault="00871DEF" w:rsidP="00897193">
            <w:pPr>
              <w:pStyle w:val="ARtablecolhead"/>
            </w:pPr>
            <w:r w:rsidRPr="002029AF">
              <w:t>Class</w:t>
            </w:r>
          </w:p>
        </w:tc>
        <w:tc>
          <w:tcPr>
            <w:tcW w:w="1981" w:type="dxa"/>
            <w:gridSpan w:val="2"/>
          </w:tcPr>
          <w:p w14:paraId="19F6F553" w14:textId="77777777" w:rsidR="00871DEF" w:rsidRPr="002029AF" w:rsidRDefault="00871DEF" w:rsidP="00286264">
            <w:pPr>
              <w:pStyle w:val="ARtablecolheadcentre"/>
              <w:ind w:left="510"/>
            </w:pPr>
            <w:r w:rsidRPr="002029AF">
              <w:t>All</w:t>
            </w:r>
          </w:p>
        </w:tc>
        <w:tc>
          <w:tcPr>
            <w:tcW w:w="1980" w:type="dxa"/>
            <w:gridSpan w:val="2"/>
          </w:tcPr>
          <w:p w14:paraId="322E3590" w14:textId="77777777" w:rsidR="00871DEF" w:rsidRPr="002029AF" w:rsidRDefault="00871DEF" w:rsidP="00286264">
            <w:pPr>
              <w:pStyle w:val="ARtablecolheadcentre"/>
              <w:ind w:left="510"/>
            </w:pPr>
            <w:r w:rsidRPr="002029AF">
              <w:t>Women</w:t>
            </w:r>
          </w:p>
        </w:tc>
        <w:tc>
          <w:tcPr>
            <w:tcW w:w="1981" w:type="dxa"/>
            <w:gridSpan w:val="2"/>
          </w:tcPr>
          <w:p w14:paraId="31C9A8EF" w14:textId="77777777" w:rsidR="00871DEF" w:rsidRPr="002029AF" w:rsidRDefault="00871DEF" w:rsidP="00286264">
            <w:pPr>
              <w:pStyle w:val="ARtablecolheadcentre"/>
              <w:ind w:left="510"/>
            </w:pPr>
            <w:r w:rsidRPr="002029AF">
              <w:t>Men</w:t>
            </w:r>
          </w:p>
        </w:tc>
        <w:tc>
          <w:tcPr>
            <w:tcW w:w="1981" w:type="dxa"/>
            <w:gridSpan w:val="2"/>
          </w:tcPr>
          <w:p w14:paraId="2062A793" w14:textId="77777777" w:rsidR="00871DEF" w:rsidRPr="002029AF" w:rsidRDefault="00871DEF" w:rsidP="00286264">
            <w:pPr>
              <w:pStyle w:val="ARtablecolheadcentre"/>
              <w:ind w:left="284"/>
            </w:pPr>
            <w:r w:rsidRPr="002029AF">
              <w:t>Self-described</w:t>
            </w:r>
          </w:p>
        </w:tc>
      </w:tr>
      <w:tr w:rsidR="00871DEF" w:rsidRPr="002029AF" w14:paraId="1BF2A0F8" w14:textId="77777777" w:rsidTr="00871DEF">
        <w:trPr>
          <w:cantSplit w:val="0"/>
        </w:trPr>
        <w:tc>
          <w:tcPr>
            <w:tcW w:w="1699" w:type="dxa"/>
            <w:vMerge/>
            <w:vAlign w:val="bottom"/>
          </w:tcPr>
          <w:p w14:paraId="7F5B1E87" w14:textId="092616F1" w:rsidR="00871DEF" w:rsidRPr="002029AF" w:rsidRDefault="00871DEF" w:rsidP="00897193">
            <w:pPr>
              <w:pStyle w:val="ARtablecolhead"/>
            </w:pPr>
          </w:p>
        </w:tc>
        <w:tc>
          <w:tcPr>
            <w:tcW w:w="991" w:type="dxa"/>
            <w:vAlign w:val="bottom"/>
          </w:tcPr>
          <w:p w14:paraId="65AF2AE9" w14:textId="77777777" w:rsidR="00871DEF" w:rsidRPr="002029AF" w:rsidRDefault="00871DEF" w:rsidP="00897193">
            <w:pPr>
              <w:pStyle w:val="ARtablecolheadright"/>
            </w:pPr>
            <w:r w:rsidRPr="002029AF">
              <w:t>No.</w:t>
            </w:r>
          </w:p>
        </w:tc>
        <w:tc>
          <w:tcPr>
            <w:tcW w:w="990" w:type="dxa"/>
            <w:vAlign w:val="bottom"/>
          </w:tcPr>
          <w:p w14:paraId="0C0E0EE1" w14:textId="77777777" w:rsidR="00871DEF" w:rsidRPr="002029AF" w:rsidRDefault="00871DEF" w:rsidP="00897193">
            <w:pPr>
              <w:pStyle w:val="ARtablecolheadright"/>
            </w:pPr>
            <w:r w:rsidRPr="002029AF">
              <w:t>Var.</w:t>
            </w:r>
          </w:p>
        </w:tc>
        <w:tc>
          <w:tcPr>
            <w:tcW w:w="1131" w:type="dxa"/>
            <w:vAlign w:val="bottom"/>
          </w:tcPr>
          <w:p w14:paraId="125D863D" w14:textId="77777777" w:rsidR="00871DEF" w:rsidRPr="002029AF" w:rsidRDefault="00871DEF" w:rsidP="00897193">
            <w:pPr>
              <w:pStyle w:val="ARtablecolheadright"/>
            </w:pPr>
            <w:r w:rsidRPr="002029AF">
              <w:t>No.</w:t>
            </w:r>
          </w:p>
        </w:tc>
        <w:tc>
          <w:tcPr>
            <w:tcW w:w="849" w:type="dxa"/>
            <w:vAlign w:val="bottom"/>
          </w:tcPr>
          <w:p w14:paraId="28F383FD" w14:textId="77777777" w:rsidR="00871DEF" w:rsidRPr="002029AF" w:rsidRDefault="00871DEF" w:rsidP="00897193">
            <w:pPr>
              <w:pStyle w:val="ARtablecolheadright"/>
            </w:pPr>
            <w:r w:rsidRPr="002029AF">
              <w:t>Var.</w:t>
            </w:r>
          </w:p>
        </w:tc>
        <w:tc>
          <w:tcPr>
            <w:tcW w:w="991" w:type="dxa"/>
            <w:vAlign w:val="bottom"/>
          </w:tcPr>
          <w:p w14:paraId="211B52BC" w14:textId="77777777" w:rsidR="00871DEF" w:rsidRPr="002029AF" w:rsidRDefault="00871DEF" w:rsidP="00897193">
            <w:pPr>
              <w:pStyle w:val="ARtablecolheadright"/>
            </w:pPr>
            <w:r w:rsidRPr="002029AF">
              <w:t>No.</w:t>
            </w:r>
          </w:p>
        </w:tc>
        <w:tc>
          <w:tcPr>
            <w:tcW w:w="990" w:type="dxa"/>
            <w:vAlign w:val="bottom"/>
          </w:tcPr>
          <w:p w14:paraId="3041B743" w14:textId="77777777" w:rsidR="00871DEF" w:rsidRPr="002029AF" w:rsidRDefault="00871DEF" w:rsidP="00897193">
            <w:pPr>
              <w:pStyle w:val="ARtablecolheadright"/>
            </w:pPr>
            <w:r w:rsidRPr="002029AF">
              <w:t>Var.</w:t>
            </w:r>
          </w:p>
        </w:tc>
        <w:tc>
          <w:tcPr>
            <w:tcW w:w="990" w:type="dxa"/>
            <w:vAlign w:val="bottom"/>
          </w:tcPr>
          <w:p w14:paraId="64204B52" w14:textId="77777777" w:rsidR="00871DEF" w:rsidRPr="002029AF" w:rsidRDefault="00871DEF" w:rsidP="00897193">
            <w:pPr>
              <w:pStyle w:val="ARtablecolheadright"/>
            </w:pPr>
            <w:r w:rsidRPr="002029AF">
              <w:t>No.</w:t>
            </w:r>
          </w:p>
        </w:tc>
        <w:tc>
          <w:tcPr>
            <w:tcW w:w="991" w:type="dxa"/>
            <w:vAlign w:val="bottom"/>
          </w:tcPr>
          <w:p w14:paraId="45F67BA7" w14:textId="77777777" w:rsidR="00871DEF" w:rsidRPr="002029AF" w:rsidRDefault="00871DEF" w:rsidP="00897193">
            <w:pPr>
              <w:pStyle w:val="ARtablecolheadright"/>
            </w:pPr>
            <w:r w:rsidRPr="002029AF">
              <w:t>Var.</w:t>
            </w:r>
          </w:p>
        </w:tc>
      </w:tr>
      <w:tr w:rsidR="00CF72D5" w:rsidRPr="002029AF" w14:paraId="68E566F4" w14:textId="77777777" w:rsidTr="00243473">
        <w:trPr>
          <w:trHeight w:val="340"/>
        </w:trPr>
        <w:tc>
          <w:tcPr>
            <w:tcW w:w="1699" w:type="dxa"/>
          </w:tcPr>
          <w:p w14:paraId="461601C4" w14:textId="77777777" w:rsidR="00CF72D5" w:rsidRPr="002029AF" w:rsidRDefault="00CF72D5" w:rsidP="00897193">
            <w:pPr>
              <w:pStyle w:val="ARtabletext"/>
            </w:pPr>
            <w:r w:rsidRPr="002029AF">
              <w:t>EO-2</w:t>
            </w:r>
          </w:p>
        </w:tc>
        <w:tc>
          <w:tcPr>
            <w:tcW w:w="991" w:type="dxa"/>
          </w:tcPr>
          <w:p w14:paraId="554E9478" w14:textId="77777777" w:rsidR="00CF72D5" w:rsidRPr="002029AF" w:rsidRDefault="00CF72D5" w:rsidP="00897193">
            <w:pPr>
              <w:pStyle w:val="ARtabletextright"/>
            </w:pPr>
            <w:r w:rsidRPr="002029AF">
              <w:t>2</w:t>
            </w:r>
          </w:p>
        </w:tc>
        <w:tc>
          <w:tcPr>
            <w:tcW w:w="990" w:type="dxa"/>
          </w:tcPr>
          <w:p w14:paraId="42A29862" w14:textId="77777777" w:rsidR="00CF72D5" w:rsidRPr="002029AF" w:rsidRDefault="00CF72D5" w:rsidP="00897193">
            <w:pPr>
              <w:pStyle w:val="ARtabletextright"/>
            </w:pPr>
            <w:r w:rsidRPr="002029AF">
              <w:t>-</w:t>
            </w:r>
          </w:p>
        </w:tc>
        <w:tc>
          <w:tcPr>
            <w:tcW w:w="1131" w:type="dxa"/>
          </w:tcPr>
          <w:p w14:paraId="72BCCACE" w14:textId="77777777" w:rsidR="00CF72D5" w:rsidRPr="002029AF" w:rsidRDefault="00CF72D5" w:rsidP="00897193">
            <w:pPr>
              <w:pStyle w:val="ARtabletextright"/>
            </w:pPr>
            <w:r w:rsidRPr="002029AF">
              <w:t>2</w:t>
            </w:r>
          </w:p>
        </w:tc>
        <w:tc>
          <w:tcPr>
            <w:tcW w:w="849" w:type="dxa"/>
          </w:tcPr>
          <w:p w14:paraId="4FBD2D8E" w14:textId="77777777" w:rsidR="00CF72D5" w:rsidRPr="002029AF" w:rsidRDefault="00CF72D5" w:rsidP="00897193">
            <w:pPr>
              <w:pStyle w:val="ARtabletextright"/>
            </w:pPr>
            <w:r w:rsidRPr="002029AF">
              <w:t>-</w:t>
            </w:r>
          </w:p>
        </w:tc>
        <w:tc>
          <w:tcPr>
            <w:tcW w:w="991" w:type="dxa"/>
          </w:tcPr>
          <w:p w14:paraId="27899002" w14:textId="77777777" w:rsidR="00CF72D5" w:rsidRPr="002029AF" w:rsidRDefault="00CF72D5" w:rsidP="00897193">
            <w:pPr>
              <w:pStyle w:val="ARtabletextright"/>
            </w:pPr>
            <w:r w:rsidRPr="002029AF">
              <w:t>0</w:t>
            </w:r>
          </w:p>
        </w:tc>
        <w:tc>
          <w:tcPr>
            <w:tcW w:w="990" w:type="dxa"/>
          </w:tcPr>
          <w:p w14:paraId="63665406" w14:textId="77777777" w:rsidR="00CF72D5" w:rsidRPr="002029AF" w:rsidRDefault="00CF72D5" w:rsidP="00897193">
            <w:pPr>
              <w:pStyle w:val="ARtabletextright"/>
            </w:pPr>
            <w:r w:rsidRPr="002029AF">
              <w:t>-</w:t>
            </w:r>
          </w:p>
        </w:tc>
        <w:tc>
          <w:tcPr>
            <w:tcW w:w="990" w:type="dxa"/>
          </w:tcPr>
          <w:p w14:paraId="67B245F7" w14:textId="77777777" w:rsidR="00CF72D5" w:rsidRPr="002029AF" w:rsidRDefault="00CF72D5" w:rsidP="00897193">
            <w:pPr>
              <w:pStyle w:val="ARtabletextright"/>
            </w:pPr>
            <w:r w:rsidRPr="002029AF">
              <w:t>0</w:t>
            </w:r>
          </w:p>
        </w:tc>
        <w:tc>
          <w:tcPr>
            <w:tcW w:w="991" w:type="dxa"/>
          </w:tcPr>
          <w:p w14:paraId="3D330220" w14:textId="77777777" w:rsidR="00CF72D5" w:rsidRPr="002029AF" w:rsidRDefault="00CF72D5" w:rsidP="00897193">
            <w:pPr>
              <w:pStyle w:val="ARtabletextright"/>
            </w:pPr>
            <w:r w:rsidRPr="002029AF">
              <w:t>-</w:t>
            </w:r>
          </w:p>
        </w:tc>
      </w:tr>
      <w:tr w:rsidR="00CF72D5" w:rsidRPr="002029AF" w14:paraId="394DDAFF" w14:textId="77777777" w:rsidTr="00243473">
        <w:trPr>
          <w:trHeight w:val="340"/>
        </w:trPr>
        <w:tc>
          <w:tcPr>
            <w:tcW w:w="1699" w:type="dxa"/>
          </w:tcPr>
          <w:p w14:paraId="43AB9CF8" w14:textId="77777777" w:rsidR="00CF72D5" w:rsidRPr="002029AF" w:rsidRDefault="00CF72D5" w:rsidP="00897193">
            <w:pPr>
              <w:pStyle w:val="ARtabletext"/>
            </w:pPr>
            <w:r w:rsidRPr="002029AF">
              <w:t>EO-3</w:t>
            </w:r>
          </w:p>
        </w:tc>
        <w:tc>
          <w:tcPr>
            <w:tcW w:w="991" w:type="dxa"/>
          </w:tcPr>
          <w:p w14:paraId="29B1B960" w14:textId="77777777" w:rsidR="00CF72D5" w:rsidRPr="002029AF" w:rsidRDefault="00CF72D5" w:rsidP="00897193">
            <w:pPr>
              <w:pStyle w:val="ARtabletextright"/>
            </w:pPr>
            <w:r w:rsidRPr="002029AF">
              <w:t>1</w:t>
            </w:r>
          </w:p>
        </w:tc>
        <w:tc>
          <w:tcPr>
            <w:tcW w:w="990" w:type="dxa"/>
          </w:tcPr>
          <w:p w14:paraId="22216534" w14:textId="77777777" w:rsidR="00CF72D5" w:rsidRPr="002029AF" w:rsidRDefault="00CF72D5" w:rsidP="00897193">
            <w:pPr>
              <w:pStyle w:val="ARtabletextright"/>
            </w:pPr>
            <w:r w:rsidRPr="002029AF">
              <w:t>-</w:t>
            </w:r>
          </w:p>
        </w:tc>
        <w:tc>
          <w:tcPr>
            <w:tcW w:w="1131" w:type="dxa"/>
          </w:tcPr>
          <w:p w14:paraId="763440BF" w14:textId="77777777" w:rsidR="00CF72D5" w:rsidRPr="002029AF" w:rsidRDefault="00CF72D5" w:rsidP="00897193">
            <w:pPr>
              <w:pStyle w:val="ARtabletextright"/>
            </w:pPr>
            <w:r w:rsidRPr="002029AF">
              <w:t>1</w:t>
            </w:r>
          </w:p>
        </w:tc>
        <w:tc>
          <w:tcPr>
            <w:tcW w:w="849" w:type="dxa"/>
          </w:tcPr>
          <w:p w14:paraId="4DA4DCD1" w14:textId="77777777" w:rsidR="00CF72D5" w:rsidRPr="002029AF" w:rsidRDefault="00CF72D5" w:rsidP="00897193">
            <w:pPr>
              <w:pStyle w:val="ARtabletextright"/>
            </w:pPr>
            <w:r w:rsidRPr="002029AF">
              <w:t>-</w:t>
            </w:r>
          </w:p>
        </w:tc>
        <w:tc>
          <w:tcPr>
            <w:tcW w:w="991" w:type="dxa"/>
          </w:tcPr>
          <w:p w14:paraId="48B81A76" w14:textId="77777777" w:rsidR="00CF72D5" w:rsidRPr="002029AF" w:rsidRDefault="00CF72D5" w:rsidP="00897193">
            <w:pPr>
              <w:pStyle w:val="ARtabletextright"/>
            </w:pPr>
            <w:r w:rsidRPr="002029AF">
              <w:t>0</w:t>
            </w:r>
          </w:p>
        </w:tc>
        <w:tc>
          <w:tcPr>
            <w:tcW w:w="990" w:type="dxa"/>
          </w:tcPr>
          <w:p w14:paraId="59DC0738" w14:textId="77777777" w:rsidR="00CF72D5" w:rsidRPr="002029AF" w:rsidRDefault="00CF72D5" w:rsidP="00897193">
            <w:pPr>
              <w:pStyle w:val="ARtabletextright"/>
            </w:pPr>
            <w:r w:rsidRPr="002029AF">
              <w:t>-</w:t>
            </w:r>
          </w:p>
        </w:tc>
        <w:tc>
          <w:tcPr>
            <w:tcW w:w="990" w:type="dxa"/>
          </w:tcPr>
          <w:p w14:paraId="690DCDD3" w14:textId="77777777" w:rsidR="00CF72D5" w:rsidRPr="002029AF" w:rsidRDefault="00CF72D5" w:rsidP="00897193">
            <w:pPr>
              <w:pStyle w:val="ARtabletextright"/>
            </w:pPr>
            <w:r w:rsidRPr="002029AF">
              <w:t>0</w:t>
            </w:r>
          </w:p>
        </w:tc>
        <w:tc>
          <w:tcPr>
            <w:tcW w:w="991" w:type="dxa"/>
          </w:tcPr>
          <w:p w14:paraId="519E19BA" w14:textId="77777777" w:rsidR="00CF72D5" w:rsidRPr="002029AF" w:rsidRDefault="00CF72D5" w:rsidP="00897193">
            <w:pPr>
              <w:pStyle w:val="ARtabletextright"/>
            </w:pPr>
            <w:r w:rsidRPr="002029AF">
              <w:t>-</w:t>
            </w:r>
          </w:p>
        </w:tc>
      </w:tr>
      <w:tr w:rsidR="00CF72D5" w:rsidRPr="002029AF" w14:paraId="612D5543" w14:textId="77777777" w:rsidTr="00243473">
        <w:trPr>
          <w:trHeight w:val="340"/>
        </w:trPr>
        <w:tc>
          <w:tcPr>
            <w:tcW w:w="1699" w:type="dxa"/>
          </w:tcPr>
          <w:p w14:paraId="7AD74E16" w14:textId="77777777" w:rsidR="00CF72D5" w:rsidRPr="002029AF" w:rsidRDefault="00CF72D5" w:rsidP="00897193">
            <w:pPr>
              <w:pStyle w:val="ARtabletextbold"/>
            </w:pPr>
            <w:r w:rsidRPr="002029AF">
              <w:t>Total</w:t>
            </w:r>
          </w:p>
        </w:tc>
        <w:tc>
          <w:tcPr>
            <w:tcW w:w="991" w:type="dxa"/>
          </w:tcPr>
          <w:p w14:paraId="30DB9FF3" w14:textId="77777777" w:rsidR="00CF72D5" w:rsidRPr="002029AF" w:rsidRDefault="00CF72D5" w:rsidP="00897193">
            <w:pPr>
              <w:pStyle w:val="ARtabletextrightbold"/>
            </w:pPr>
            <w:r w:rsidRPr="002029AF">
              <w:t>3</w:t>
            </w:r>
          </w:p>
        </w:tc>
        <w:tc>
          <w:tcPr>
            <w:tcW w:w="990" w:type="dxa"/>
          </w:tcPr>
          <w:p w14:paraId="7493EDCA" w14:textId="77777777" w:rsidR="00CF72D5" w:rsidRPr="002029AF" w:rsidRDefault="00CF72D5" w:rsidP="00897193">
            <w:pPr>
              <w:pStyle w:val="ARtabletextrightbold"/>
            </w:pPr>
            <w:r w:rsidRPr="002029AF">
              <w:t>-</w:t>
            </w:r>
          </w:p>
        </w:tc>
        <w:tc>
          <w:tcPr>
            <w:tcW w:w="1131" w:type="dxa"/>
          </w:tcPr>
          <w:p w14:paraId="6A164748" w14:textId="77777777" w:rsidR="00CF72D5" w:rsidRPr="002029AF" w:rsidRDefault="00CF72D5" w:rsidP="00897193">
            <w:pPr>
              <w:pStyle w:val="ARtabletextrightbold"/>
            </w:pPr>
            <w:r w:rsidRPr="002029AF">
              <w:t>3</w:t>
            </w:r>
          </w:p>
        </w:tc>
        <w:tc>
          <w:tcPr>
            <w:tcW w:w="849" w:type="dxa"/>
          </w:tcPr>
          <w:p w14:paraId="73B97A62" w14:textId="77777777" w:rsidR="00CF72D5" w:rsidRPr="002029AF" w:rsidRDefault="00CF72D5" w:rsidP="00897193">
            <w:pPr>
              <w:pStyle w:val="ARtabletextrightbold"/>
            </w:pPr>
            <w:r w:rsidRPr="002029AF">
              <w:t>-</w:t>
            </w:r>
          </w:p>
        </w:tc>
        <w:tc>
          <w:tcPr>
            <w:tcW w:w="991" w:type="dxa"/>
          </w:tcPr>
          <w:p w14:paraId="2D98EAA7" w14:textId="77777777" w:rsidR="00CF72D5" w:rsidRPr="002029AF" w:rsidRDefault="00CF72D5" w:rsidP="00897193">
            <w:pPr>
              <w:pStyle w:val="ARtabletextrightbold"/>
            </w:pPr>
            <w:r w:rsidRPr="002029AF">
              <w:t>0</w:t>
            </w:r>
          </w:p>
        </w:tc>
        <w:tc>
          <w:tcPr>
            <w:tcW w:w="990" w:type="dxa"/>
          </w:tcPr>
          <w:p w14:paraId="5E6ED59E" w14:textId="77777777" w:rsidR="00CF72D5" w:rsidRPr="002029AF" w:rsidRDefault="00CF72D5" w:rsidP="00897193">
            <w:pPr>
              <w:pStyle w:val="ARtabletextrightbold"/>
            </w:pPr>
            <w:r w:rsidRPr="002029AF">
              <w:t>-</w:t>
            </w:r>
          </w:p>
        </w:tc>
        <w:tc>
          <w:tcPr>
            <w:tcW w:w="990" w:type="dxa"/>
          </w:tcPr>
          <w:p w14:paraId="5D05FD24" w14:textId="77777777" w:rsidR="00CF72D5" w:rsidRPr="002029AF" w:rsidRDefault="00CF72D5" w:rsidP="00897193">
            <w:pPr>
              <w:pStyle w:val="ARtabletextrightbold"/>
            </w:pPr>
            <w:r w:rsidRPr="002029AF">
              <w:t>0</w:t>
            </w:r>
          </w:p>
        </w:tc>
        <w:tc>
          <w:tcPr>
            <w:tcW w:w="991" w:type="dxa"/>
          </w:tcPr>
          <w:p w14:paraId="49CD39C0" w14:textId="77777777" w:rsidR="00CF72D5" w:rsidRPr="002029AF" w:rsidRDefault="00CF72D5" w:rsidP="00897193">
            <w:pPr>
              <w:pStyle w:val="ARtabletextrightbold"/>
            </w:pPr>
            <w:r w:rsidRPr="002029AF">
              <w:t>-</w:t>
            </w:r>
          </w:p>
        </w:tc>
      </w:tr>
    </w:tbl>
    <w:p w14:paraId="6585E818" w14:textId="77777777" w:rsidR="003048F1" w:rsidRPr="003048F1" w:rsidRDefault="003048F1" w:rsidP="003048F1">
      <w:pPr>
        <w:pStyle w:val="ARbody"/>
      </w:pPr>
      <w:r w:rsidRPr="003048F1">
        <w:br w:type="page"/>
      </w:r>
    </w:p>
    <w:p w14:paraId="232CD55E" w14:textId="1954CE95" w:rsidR="00CF72D5" w:rsidRPr="002029AF" w:rsidRDefault="00CF72D5" w:rsidP="00897193">
      <w:pPr>
        <w:pStyle w:val="ARbodyaftertable"/>
        <w:spacing w:before="120"/>
      </w:pPr>
      <w:r w:rsidRPr="002029AF">
        <w:lastRenderedPageBreak/>
        <w:t>The</w:t>
      </w:r>
      <w:r w:rsidR="000A5329" w:rsidRPr="002029AF">
        <w:t xml:space="preserve"> </w:t>
      </w:r>
      <w:r w:rsidRPr="002029AF">
        <w:t>number</w:t>
      </w:r>
      <w:r w:rsidR="000A5329" w:rsidRPr="002029AF">
        <w:t xml:space="preserve"> </w:t>
      </w:r>
      <w:r w:rsidRPr="002029AF">
        <w:t>of</w:t>
      </w:r>
      <w:r w:rsidR="000A5329" w:rsidRPr="002029AF">
        <w:t xml:space="preserve"> </w:t>
      </w:r>
      <w:r w:rsidRPr="002029AF">
        <w:t>executives</w:t>
      </w:r>
      <w:r w:rsidR="000A5329" w:rsidRPr="002029AF">
        <w:t xml:space="preserve"> </w:t>
      </w:r>
      <w:r w:rsidRPr="002029AF">
        <w:t>in</w:t>
      </w:r>
      <w:r w:rsidR="000A5329" w:rsidRPr="002029AF">
        <w:t xml:space="preserve"> </w:t>
      </w:r>
      <w:r w:rsidRPr="002029AF">
        <w:t>the</w:t>
      </w:r>
      <w:r w:rsidR="000A5329" w:rsidRPr="002029AF">
        <w:t xml:space="preserve"> </w:t>
      </w:r>
      <w:r w:rsidRPr="002029AF">
        <w:t>report</w:t>
      </w:r>
      <w:r w:rsidR="000A5329" w:rsidRPr="002029AF">
        <w:t xml:space="preserve"> </w:t>
      </w:r>
      <w:r w:rsidRPr="002029AF">
        <w:t>of</w:t>
      </w:r>
      <w:r w:rsidR="000A5329" w:rsidRPr="002029AF">
        <w:t xml:space="preserve"> </w:t>
      </w:r>
      <w:r w:rsidRPr="002029AF">
        <w:t>operations</w:t>
      </w:r>
      <w:r w:rsidR="000A5329" w:rsidRPr="002029AF">
        <w:t xml:space="preserve"> </w:t>
      </w:r>
      <w:r w:rsidRPr="002029AF">
        <w:t>is</w:t>
      </w:r>
      <w:r w:rsidR="000A5329" w:rsidRPr="002029AF">
        <w:t xml:space="preserve"> </w:t>
      </w:r>
      <w:r w:rsidRPr="002029AF">
        <w:t>based</w:t>
      </w:r>
      <w:r w:rsidR="000A5329" w:rsidRPr="002029AF">
        <w:t xml:space="preserve"> </w:t>
      </w:r>
      <w:r w:rsidRPr="002029AF">
        <w:t>on</w:t>
      </w:r>
      <w:r w:rsidR="000A5329" w:rsidRPr="002029AF">
        <w:t xml:space="preserve"> </w:t>
      </w:r>
      <w:r w:rsidRPr="002029AF">
        <w:t>the</w:t>
      </w:r>
      <w:r w:rsidR="000A5329" w:rsidRPr="002029AF">
        <w:t xml:space="preserve"> </w:t>
      </w:r>
      <w:r w:rsidRPr="002029AF">
        <w:t>number</w:t>
      </w:r>
      <w:r w:rsidR="000A5329" w:rsidRPr="002029AF">
        <w:t xml:space="preserve"> </w:t>
      </w:r>
      <w:r w:rsidRPr="002029AF">
        <w:t>of</w:t>
      </w:r>
      <w:r w:rsidR="000A5329" w:rsidRPr="002029AF">
        <w:t xml:space="preserve"> </w:t>
      </w:r>
      <w:r w:rsidRPr="002029AF">
        <w:t>executive</w:t>
      </w:r>
      <w:r w:rsidR="000A5329" w:rsidRPr="002029AF">
        <w:t xml:space="preserve"> </w:t>
      </w:r>
      <w:r w:rsidRPr="002029AF">
        <w:t>positions</w:t>
      </w:r>
      <w:r w:rsidR="000A5329" w:rsidRPr="002029AF">
        <w:t xml:space="preserve"> </w:t>
      </w:r>
      <w:r w:rsidRPr="002029AF">
        <w:t>that</w:t>
      </w:r>
      <w:r w:rsidR="000A5329" w:rsidRPr="002029AF">
        <w:t xml:space="preserve"> </w:t>
      </w:r>
      <w:r w:rsidRPr="002029AF">
        <w:t>are</w:t>
      </w:r>
      <w:r w:rsidR="000A5329" w:rsidRPr="002029AF">
        <w:t xml:space="preserve"> </w:t>
      </w:r>
      <w:r w:rsidRPr="002029AF">
        <w:t>occupied</w:t>
      </w:r>
      <w:r w:rsidR="000A5329" w:rsidRPr="002029AF">
        <w:t xml:space="preserve"> </w:t>
      </w:r>
      <w:r w:rsidRPr="002029AF">
        <w:t>at</w:t>
      </w:r>
      <w:r w:rsidR="000A5329" w:rsidRPr="002029AF">
        <w:t xml:space="preserve"> </w:t>
      </w:r>
      <w:r w:rsidRPr="002029AF">
        <w:t>the</w:t>
      </w:r>
      <w:r w:rsidR="000A5329" w:rsidRPr="002029AF">
        <w:t xml:space="preserve"> </w:t>
      </w:r>
      <w:r w:rsidRPr="002029AF">
        <w:t>end</w:t>
      </w:r>
      <w:r w:rsidR="000A5329" w:rsidRPr="002029AF">
        <w:t xml:space="preserve"> </w:t>
      </w:r>
      <w:r w:rsidRPr="002029AF">
        <w:t>of</w:t>
      </w:r>
      <w:r w:rsidR="000A5329" w:rsidRPr="002029AF">
        <w:t xml:space="preserve"> </w:t>
      </w:r>
      <w:r w:rsidRPr="002029AF">
        <w:t>the</w:t>
      </w:r>
      <w:r w:rsidR="000A5329" w:rsidRPr="002029AF">
        <w:t xml:space="preserve"> </w:t>
      </w:r>
      <w:r w:rsidRPr="002029AF">
        <w:t>financial</w:t>
      </w:r>
      <w:r w:rsidR="000A5329" w:rsidRPr="002029AF">
        <w:t xml:space="preserve"> </w:t>
      </w:r>
      <w:r w:rsidRPr="002029AF">
        <w:t>year.</w:t>
      </w:r>
      <w:r w:rsidR="000A5329" w:rsidRPr="002029AF">
        <w:t xml:space="preserve"> </w:t>
      </w:r>
      <w:r w:rsidRPr="002029AF">
        <w:t>Note</w:t>
      </w:r>
      <w:r w:rsidR="000A5329" w:rsidRPr="002029AF">
        <w:t xml:space="preserve"> </w:t>
      </w:r>
      <w:r w:rsidRPr="002029AF">
        <w:t>9.7</w:t>
      </w:r>
      <w:r w:rsidR="000A5329" w:rsidRPr="002029AF">
        <w:t xml:space="preserve"> </w:t>
      </w:r>
      <w:r w:rsidRPr="002029AF">
        <w:t>in</w:t>
      </w:r>
      <w:r w:rsidR="000A5329" w:rsidRPr="002029AF">
        <w:t xml:space="preserve"> </w:t>
      </w:r>
      <w:r w:rsidRPr="002029AF">
        <w:t>the</w:t>
      </w:r>
      <w:r w:rsidR="000A5329" w:rsidRPr="002029AF">
        <w:t xml:space="preserve"> </w:t>
      </w:r>
      <w:r w:rsidRPr="002029AF">
        <w:t>financial</w:t>
      </w:r>
      <w:r w:rsidR="000A5329" w:rsidRPr="002029AF">
        <w:t xml:space="preserve"> </w:t>
      </w:r>
      <w:r w:rsidRPr="002029AF">
        <w:t>statements</w:t>
      </w:r>
      <w:r w:rsidR="000A5329" w:rsidRPr="002029AF">
        <w:t xml:space="preserve"> </w:t>
      </w:r>
      <w:r w:rsidRPr="002029AF">
        <w:t>lists</w:t>
      </w:r>
      <w:r w:rsidR="000A5329" w:rsidRPr="002029AF">
        <w:t xml:space="preserve"> </w:t>
      </w:r>
      <w:r w:rsidRPr="002029AF">
        <w:t>the</w:t>
      </w:r>
      <w:r w:rsidR="000A5329" w:rsidRPr="002029AF">
        <w:t xml:space="preserve"> </w:t>
      </w:r>
      <w:r w:rsidRPr="002029AF">
        <w:t>actual</w:t>
      </w:r>
      <w:r w:rsidR="000A5329" w:rsidRPr="002029AF">
        <w:t xml:space="preserve"> </w:t>
      </w:r>
      <w:r w:rsidRPr="002029AF">
        <w:t>number</w:t>
      </w:r>
      <w:r w:rsidR="000A5329" w:rsidRPr="002029AF">
        <w:t xml:space="preserve"> </w:t>
      </w:r>
      <w:r w:rsidRPr="002029AF">
        <w:t>of</w:t>
      </w:r>
      <w:r w:rsidR="000A5329" w:rsidRPr="002029AF">
        <w:t xml:space="preserve"> </w:t>
      </w:r>
      <w:r w:rsidRPr="002029AF">
        <w:t>EOs</w:t>
      </w:r>
      <w:r w:rsidR="000A5329" w:rsidRPr="002029AF">
        <w:t xml:space="preserve"> </w:t>
      </w:r>
      <w:r w:rsidRPr="002029AF">
        <w:t>and</w:t>
      </w:r>
      <w:r w:rsidR="000A5329" w:rsidRPr="002029AF">
        <w:t xml:space="preserve"> </w:t>
      </w:r>
      <w:r w:rsidRPr="002029AF">
        <w:t>the</w:t>
      </w:r>
      <w:r w:rsidR="000A5329" w:rsidRPr="002029AF">
        <w:t xml:space="preserve"> </w:t>
      </w:r>
      <w:r w:rsidRPr="002029AF">
        <w:t>total</w:t>
      </w:r>
      <w:r w:rsidR="000A5329" w:rsidRPr="002029AF">
        <w:t xml:space="preserve"> </w:t>
      </w:r>
      <w:r w:rsidRPr="002029AF">
        <w:t>remuneration</w:t>
      </w:r>
      <w:r w:rsidR="000A5329" w:rsidRPr="002029AF">
        <w:t xml:space="preserve"> </w:t>
      </w:r>
      <w:r w:rsidRPr="002029AF">
        <w:t>paid</w:t>
      </w:r>
      <w:r w:rsidR="000A5329" w:rsidRPr="002029AF">
        <w:t xml:space="preserve"> </w:t>
      </w:r>
      <w:r w:rsidRPr="002029AF">
        <w:t>to</w:t>
      </w:r>
      <w:r w:rsidR="000A5329" w:rsidRPr="002029AF">
        <w:t xml:space="preserve"> </w:t>
      </w:r>
      <w:r w:rsidRPr="002029AF">
        <w:t>EOs</w:t>
      </w:r>
      <w:r w:rsidR="000A5329" w:rsidRPr="002029AF">
        <w:t xml:space="preserve"> </w:t>
      </w:r>
      <w:r w:rsidRPr="002029AF">
        <w:t>over</w:t>
      </w:r>
      <w:r w:rsidR="000A5329" w:rsidRPr="002029AF">
        <w:t xml:space="preserve"> </w:t>
      </w:r>
      <w:r w:rsidRPr="002029AF">
        <w:t>the</w:t>
      </w:r>
      <w:r w:rsidR="000A5329" w:rsidRPr="002029AF">
        <w:t xml:space="preserve"> </w:t>
      </w:r>
      <w:r w:rsidRPr="002029AF">
        <w:t>course</w:t>
      </w:r>
      <w:r w:rsidR="000A5329" w:rsidRPr="002029AF">
        <w:t xml:space="preserve"> </w:t>
      </w:r>
      <w:r w:rsidRPr="002029AF">
        <w:t>of</w:t>
      </w:r>
      <w:r w:rsidR="000A5329" w:rsidRPr="002029AF">
        <w:t xml:space="preserve"> </w:t>
      </w:r>
      <w:r w:rsidRPr="002029AF">
        <w:t>the</w:t>
      </w:r>
      <w:r w:rsidR="000A5329" w:rsidRPr="002029AF">
        <w:t xml:space="preserve"> </w:t>
      </w:r>
      <w:r w:rsidRPr="002029AF">
        <w:t>reporting</w:t>
      </w:r>
      <w:r w:rsidR="000A5329" w:rsidRPr="002029AF">
        <w:t xml:space="preserve"> </w:t>
      </w:r>
      <w:r w:rsidRPr="002029AF">
        <w:t>period.</w:t>
      </w:r>
      <w:r w:rsidR="000A5329" w:rsidRPr="002029AF">
        <w:t xml:space="preserve"> </w:t>
      </w:r>
      <w:r w:rsidRPr="002029AF">
        <w:t>The</w:t>
      </w:r>
      <w:r w:rsidR="000A5329" w:rsidRPr="002029AF">
        <w:t xml:space="preserve"> </w:t>
      </w:r>
      <w:r w:rsidRPr="002029AF">
        <w:t>financial</w:t>
      </w:r>
      <w:r w:rsidR="000A5329" w:rsidRPr="002029AF">
        <w:t xml:space="preserve"> </w:t>
      </w:r>
      <w:r w:rsidRPr="002029AF">
        <w:t>statements</w:t>
      </w:r>
      <w:r w:rsidR="000A5329" w:rsidRPr="002029AF">
        <w:t xml:space="preserve"> </w:t>
      </w:r>
      <w:r w:rsidRPr="002029AF">
        <w:t>note</w:t>
      </w:r>
      <w:r w:rsidR="000A5329" w:rsidRPr="002029AF">
        <w:t xml:space="preserve"> </w:t>
      </w:r>
      <w:r w:rsidRPr="002029AF">
        <w:t>does</w:t>
      </w:r>
      <w:r w:rsidR="000A5329" w:rsidRPr="002029AF">
        <w:t xml:space="preserve"> </w:t>
      </w:r>
      <w:r w:rsidRPr="002029AF">
        <w:t>not</w:t>
      </w:r>
      <w:r w:rsidR="000A5329" w:rsidRPr="002029AF">
        <w:t xml:space="preserve"> </w:t>
      </w:r>
      <w:r w:rsidRPr="002029AF">
        <w:t>include</w:t>
      </w:r>
      <w:r w:rsidR="000A5329" w:rsidRPr="002029AF">
        <w:t xml:space="preserve"> </w:t>
      </w:r>
      <w:r w:rsidRPr="002029AF">
        <w:t>the</w:t>
      </w:r>
      <w:r w:rsidR="000A5329" w:rsidRPr="002029AF">
        <w:t xml:space="preserve"> </w:t>
      </w:r>
      <w:r w:rsidRPr="002029AF">
        <w:t>Accountable</w:t>
      </w:r>
      <w:r w:rsidR="000A5329" w:rsidRPr="002029AF">
        <w:t xml:space="preserve"> </w:t>
      </w:r>
      <w:r w:rsidRPr="002029AF">
        <w:t>Officer,</w:t>
      </w:r>
      <w:r w:rsidR="000A5329" w:rsidRPr="002029AF">
        <w:t xml:space="preserve"> </w:t>
      </w:r>
      <w:r w:rsidRPr="002029AF">
        <w:t>nor</w:t>
      </w:r>
      <w:r w:rsidR="000A5329" w:rsidRPr="002029AF">
        <w:t xml:space="preserve"> </w:t>
      </w:r>
      <w:r w:rsidRPr="002029AF">
        <w:t>does</w:t>
      </w:r>
      <w:r w:rsidR="000A5329" w:rsidRPr="002029AF">
        <w:t xml:space="preserve"> </w:t>
      </w:r>
      <w:r w:rsidRPr="002029AF">
        <w:t>it</w:t>
      </w:r>
      <w:r w:rsidR="000A5329" w:rsidRPr="002029AF">
        <w:t xml:space="preserve"> </w:t>
      </w:r>
      <w:r w:rsidRPr="002029AF">
        <w:t>distinguish</w:t>
      </w:r>
      <w:r w:rsidR="000A5329" w:rsidRPr="002029AF">
        <w:t xml:space="preserve"> </w:t>
      </w:r>
      <w:r w:rsidRPr="002029AF">
        <w:t>between</w:t>
      </w:r>
      <w:r w:rsidR="000A5329" w:rsidRPr="002029AF">
        <w:t xml:space="preserve"> </w:t>
      </w:r>
      <w:r w:rsidRPr="002029AF">
        <w:t>executive</w:t>
      </w:r>
      <w:r w:rsidR="000A5329" w:rsidRPr="002029AF">
        <w:t xml:space="preserve"> </w:t>
      </w:r>
      <w:r w:rsidRPr="002029AF">
        <w:t>levels</w:t>
      </w:r>
      <w:r w:rsidR="000A5329" w:rsidRPr="002029AF">
        <w:t xml:space="preserve"> </w:t>
      </w:r>
      <w:r w:rsidRPr="002029AF">
        <w:t>or</w:t>
      </w:r>
      <w:r w:rsidR="000A5329" w:rsidRPr="002029AF">
        <w:t xml:space="preserve"> </w:t>
      </w:r>
      <w:r w:rsidRPr="002029AF">
        <w:t>disclose</w:t>
      </w:r>
      <w:r w:rsidR="000A5329" w:rsidRPr="002029AF">
        <w:t xml:space="preserve"> </w:t>
      </w:r>
      <w:r w:rsidRPr="002029AF">
        <w:t>separations.</w:t>
      </w:r>
      <w:r w:rsidR="000A5329" w:rsidRPr="002029AF">
        <w:t xml:space="preserve"> </w:t>
      </w:r>
      <w:r w:rsidRPr="002029AF">
        <w:t>Separations</w:t>
      </w:r>
      <w:r w:rsidR="000A5329" w:rsidRPr="002029AF">
        <w:t xml:space="preserve"> </w:t>
      </w:r>
      <w:r w:rsidRPr="002029AF">
        <w:t>are</w:t>
      </w:r>
      <w:r w:rsidR="000A5329" w:rsidRPr="002029AF">
        <w:t xml:space="preserve"> </w:t>
      </w:r>
      <w:r w:rsidRPr="002029AF">
        <w:t>executives</w:t>
      </w:r>
      <w:r w:rsidR="000A5329" w:rsidRPr="002029AF">
        <w:t xml:space="preserve"> </w:t>
      </w:r>
      <w:r w:rsidRPr="002029AF">
        <w:t>who</w:t>
      </w:r>
      <w:r w:rsidR="000A5329" w:rsidRPr="002029AF">
        <w:t xml:space="preserve"> </w:t>
      </w:r>
      <w:r w:rsidRPr="002029AF">
        <w:t>have</w:t>
      </w:r>
      <w:r w:rsidR="000A5329" w:rsidRPr="002029AF">
        <w:t xml:space="preserve"> </w:t>
      </w:r>
      <w:r w:rsidRPr="002029AF">
        <w:t>left</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during</w:t>
      </w:r>
      <w:r w:rsidR="000A5329" w:rsidRPr="002029AF">
        <w:t xml:space="preserve"> </w:t>
      </w:r>
      <w:r w:rsidRPr="002029AF">
        <w:t>the</w:t>
      </w:r>
      <w:r w:rsidR="000A5329" w:rsidRPr="002029AF">
        <w:t xml:space="preserve"> </w:t>
      </w:r>
      <w:r w:rsidRPr="002029AF">
        <w:t>relevant</w:t>
      </w:r>
      <w:r w:rsidR="000A5329" w:rsidRPr="002029AF">
        <w:t xml:space="preserve"> </w:t>
      </w:r>
      <w:r w:rsidRPr="002029AF">
        <w:t>reporting</w:t>
      </w:r>
      <w:r w:rsidR="000A5329" w:rsidRPr="002029AF">
        <w:t xml:space="preserve"> </w:t>
      </w:r>
      <w:r w:rsidRPr="002029AF">
        <w:t>period.</w:t>
      </w:r>
      <w:r w:rsidR="000A5329" w:rsidRPr="002029AF">
        <w:t xml:space="preserve"> </w:t>
      </w:r>
      <w:r w:rsidRPr="002029AF">
        <w:t>To</w:t>
      </w:r>
      <w:r w:rsidR="000A5329" w:rsidRPr="002029AF">
        <w:t xml:space="preserve"> </w:t>
      </w:r>
      <w:r w:rsidRPr="002029AF">
        <w:t>assist</w:t>
      </w:r>
      <w:r w:rsidR="000A5329" w:rsidRPr="002029AF">
        <w:t xml:space="preserve"> </w:t>
      </w:r>
      <w:r w:rsidRPr="002029AF">
        <w:t>readers,</w:t>
      </w:r>
      <w:r w:rsidR="000A5329" w:rsidRPr="002029AF">
        <w:t xml:space="preserve"> </w:t>
      </w:r>
      <w:r w:rsidRPr="002029AF">
        <w:t>these</w:t>
      </w:r>
      <w:r w:rsidR="000A5329" w:rsidRPr="002029AF">
        <w:t xml:space="preserve"> </w:t>
      </w:r>
      <w:r w:rsidRPr="002029AF">
        <w:t>two</w:t>
      </w:r>
      <w:r w:rsidR="000A5329" w:rsidRPr="002029AF">
        <w:t xml:space="preserve"> </w:t>
      </w:r>
      <w:r w:rsidRPr="002029AF">
        <w:t>disclosures</w:t>
      </w:r>
      <w:r w:rsidR="000A5329" w:rsidRPr="002029AF">
        <w:t xml:space="preserve"> </w:t>
      </w:r>
      <w:r w:rsidRPr="002029AF">
        <w:t>are</w:t>
      </w:r>
      <w:r w:rsidR="000A5329" w:rsidRPr="002029AF">
        <w:t xml:space="preserve"> </w:t>
      </w:r>
      <w:r w:rsidRPr="002029AF">
        <w:t>reconciled</w:t>
      </w:r>
      <w:r w:rsidR="000A5329" w:rsidRPr="002029AF">
        <w:t xml:space="preserve"> </w:t>
      </w:r>
      <w:r w:rsidRPr="002029AF">
        <w:t>below.</w:t>
      </w:r>
    </w:p>
    <w:p w14:paraId="0A022B74" w14:textId="7550F551" w:rsidR="00CF72D5" w:rsidRPr="002029AF" w:rsidRDefault="00CF72D5" w:rsidP="00897193">
      <w:pPr>
        <w:pStyle w:val="Heading4"/>
      </w:pPr>
      <w:r w:rsidRPr="002029AF">
        <w:t>Table</w:t>
      </w:r>
      <w:r w:rsidR="000A5329" w:rsidRPr="002029AF">
        <w:t xml:space="preserve"> </w:t>
      </w:r>
      <w:r w:rsidRPr="002029AF">
        <w:t>6:</w:t>
      </w:r>
      <w:r w:rsidR="000A5329" w:rsidRPr="002029AF">
        <w:t xml:space="preserve"> </w:t>
      </w:r>
      <w:r w:rsidRPr="002029AF">
        <w:t>Reconciliation</w:t>
      </w:r>
      <w:r w:rsidR="000A5329" w:rsidRPr="002029AF">
        <w:t xml:space="preserve"> </w:t>
      </w:r>
      <w:r w:rsidRPr="002029AF">
        <w:t>of</w:t>
      </w:r>
      <w:r w:rsidR="000A5329" w:rsidRPr="002029AF">
        <w:t xml:space="preserve"> </w:t>
      </w:r>
      <w:r w:rsidRPr="002029AF">
        <w:t>executive</w:t>
      </w:r>
      <w:r w:rsidR="000A5329" w:rsidRPr="002029AF">
        <w:t xml:space="preserve"> </w:t>
      </w:r>
      <w:r w:rsidRPr="002029AF">
        <w:t>numbers</w:t>
      </w:r>
      <w:r w:rsidR="000A5329" w:rsidRPr="002029AF">
        <w:t xml:space="preserve"> </w:t>
      </w:r>
      <w:r w:rsidRPr="002029AF">
        <w:t>for</w:t>
      </w:r>
      <w:r w:rsidR="000A5329" w:rsidRPr="002029AF">
        <w:t xml:space="preserve"> </w:t>
      </w:r>
      <w:r w:rsidRPr="002029AF">
        <w:t>Mental</w:t>
      </w:r>
      <w:r w:rsidR="000A5329" w:rsidRPr="002029AF">
        <w:t xml:space="preserve"> </w:t>
      </w:r>
      <w:r w:rsidRPr="002029AF">
        <w:t>Health</w:t>
      </w:r>
      <w:r w:rsidR="000A5329" w:rsidRPr="002029AF">
        <w:t xml:space="preserve"> </w:t>
      </w:r>
      <w:r w:rsidRPr="002029AF">
        <w:t>Reform</w:t>
      </w:r>
      <w:r w:rsidR="000A5329" w:rsidRPr="002029AF">
        <w:t xml:space="preserve"> </w:t>
      </w:r>
      <w:r w:rsidRPr="002029AF">
        <w:t>Victoria</w:t>
      </w:r>
    </w:p>
    <w:tbl>
      <w:tblPr>
        <w:tblStyle w:val="TableGrid"/>
        <w:tblW w:w="9639" w:type="dxa"/>
        <w:tblLook w:val="06A0" w:firstRow="1" w:lastRow="0" w:firstColumn="1" w:lastColumn="0" w:noHBand="1" w:noVBand="1"/>
      </w:tblPr>
      <w:tblGrid>
        <w:gridCol w:w="8505"/>
        <w:gridCol w:w="1134"/>
      </w:tblGrid>
      <w:tr w:rsidR="00CF72D5" w:rsidRPr="002029AF" w14:paraId="7FAC82F4" w14:textId="77777777" w:rsidTr="00871DEF">
        <w:trPr>
          <w:cnfStyle w:val="100000000000" w:firstRow="1" w:lastRow="0" w:firstColumn="0" w:lastColumn="0" w:oddVBand="0" w:evenVBand="0" w:oddHBand="0" w:evenHBand="0" w:firstRowFirstColumn="0" w:firstRowLastColumn="0" w:lastRowFirstColumn="0" w:lastRowLastColumn="0"/>
          <w:tblHeader/>
        </w:trPr>
        <w:tc>
          <w:tcPr>
            <w:tcW w:w="8505" w:type="dxa"/>
            <w:tcBorders>
              <w:top w:val="nil"/>
            </w:tcBorders>
          </w:tcPr>
          <w:p w14:paraId="1049AC61" w14:textId="77777777" w:rsidR="00CF72D5" w:rsidRPr="002029AF" w:rsidRDefault="00CF72D5" w:rsidP="00871DEF">
            <w:pPr>
              <w:pStyle w:val="ARtablecolhead"/>
            </w:pPr>
          </w:p>
        </w:tc>
        <w:tc>
          <w:tcPr>
            <w:tcW w:w="1134" w:type="dxa"/>
            <w:tcBorders>
              <w:top w:val="nil"/>
            </w:tcBorders>
          </w:tcPr>
          <w:p w14:paraId="7566B14B" w14:textId="77777777" w:rsidR="00CF72D5" w:rsidRPr="002029AF" w:rsidRDefault="00CF72D5" w:rsidP="00897193">
            <w:pPr>
              <w:pStyle w:val="ARtablecolheadright"/>
            </w:pPr>
            <w:r w:rsidRPr="002029AF">
              <w:t>2020</w:t>
            </w:r>
          </w:p>
        </w:tc>
      </w:tr>
      <w:tr w:rsidR="00CF72D5" w:rsidRPr="002029AF" w14:paraId="45F8BD55" w14:textId="77777777" w:rsidTr="00243473">
        <w:tc>
          <w:tcPr>
            <w:tcW w:w="8505" w:type="dxa"/>
            <w:tcBorders>
              <w:top w:val="single" w:sz="4" w:space="0" w:color="70AD47" w:themeColor="accent6"/>
            </w:tcBorders>
          </w:tcPr>
          <w:p w14:paraId="1828BC76" w14:textId="77777777" w:rsidR="00CF72D5" w:rsidRPr="002029AF" w:rsidRDefault="00CF72D5" w:rsidP="00897193">
            <w:pPr>
              <w:pStyle w:val="ARtabletext"/>
            </w:pPr>
            <w:r w:rsidRPr="002029AF">
              <w:t>Executives</w:t>
            </w:r>
          </w:p>
        </w:tc>
        <w:tc>
          <w:tcPr>
            <w:tcW w:w="1134" w:type="dxa"/>
            <w:tcBorders>
              <w:top w:val="single" w:sz="4" w:space="0" w:color="70AD47" w:themeColor="accent6"/>
            </w:tcBorders>
          </w:tcPr>
          <w:p w14:paraId="6DD2AB0B" w14:textId="77777777" w:rsidR="00CF72D5" w:rsidRPr="002029AF" w:rsidRDefault="00CF72D5" w:rsidP="00897193">
            <w:pPr>
              <w:pStyle w:val="ARtabletextright"/>
            </w:pPr>
            <w:r w:rsidRPr="002029AF">
              <w:t>3</w:t>
            </w:r>
          </w:p>
        </w:tc>
      </w:tr>
      <w:tr w:rsidR="00CF72D5" w:rsidRPr="002029AF" w14:paraId="7D61DC3C" w14:textId="77777777" w:rsidTr="00243473">
        <w:tc>
          <w:tcPr>
            <w:tcW w:w="8505" w:type="dxa"/>
          </w:tcPr>
          <w:p w14:paraId="728434ED" w14:textId="57498FEE" w:rsidR="00CF72D5" w:rsidRPr="002029AF" w:rsidRDefault="00CF72D5" w:rsidP="00897193">
            <w:pPr>
              <w:pStyle w:val="ARtabletext"/>
            </w:pPr>
            <w:r w:rsidRPr="002029AF">
              <w:t>Less</w:t>
            </w:r>
            <w:r w:rsidR="000A5329" w:rsidRPr="002029AF">
              <w:t xml:space="preserve"> </w:t>
            </w:r>
            <w:r w:rsidRPr="002029AF">
              <w:t>separations</w:t>
            </w:r>
          </w:p>
        </w:tc>
        <w:tc>
          <w:tcPr>
            <w:tcW w:w="1134" w:type="dxa"/>
          </w:tcPr>
          <w:p w14:paraId="54EF5A23" w14:textId="77777777" w:rsidR="00CF72D5" w:rsidRPr="002029AF" w:rsidRDefault="00CF72D5" w:rsidP="00897193">
            <w:pPr>
              <w:pStyle w:val="ARtabletextright"/>
            </w:pPr>
            <w:r w:rsidRPr="002029AF">
              <w:t>0</w:t>
            </w:r>
          </w:p>
        </w:tc>
      </w:tr>
      <w:tr w:rsidR="00CF72D5" w:rsidRPr="002029AF" w14:paraId="54BECFF8" w14:textId="77777777" w:rsidTr="00243473">
        <w:tc>
          <w:tcPr>
            <w:tcW w:w="8505" w:type="dxa"/>
          </w:tcPr>
          <w:p w14:paraId="2E4ADCBD" w14:textId="6205BB22" w:rsidR="00CF72D5" w:rsidRPr="002029AF" w:rsidRDefault="00CF72D5" w:rsidP="00897193">
            <w:pPr>
              <w:pStyle w:val="ARtabletextbold"/>
            </w:pPr>
            <w:r w:rsidRPr="002029AF">
              <w:t>Total</w:t>
            </w:r>
            <w:r w:rsidR="000A5329" w:rsidRPr="002029AF">
              <w:t xml:space="preserve"> </w:t>
            </w:r>
            <w:r w:rsidRPr="002029AF">
              <w:t>executive</w:t>
            </w:r>
            <w:r w:rsidR="000A5329" w:rsidRPr="002029AF">
              <w:t xml:space="preserve"> </w:t>
            </w:r>
            <w:r w:rsidRPr="002029AF">
              <w:t>numbers</w:t>
            </w:r>
            <w:r w:rsidR="000A5329" w:rsidRPr="002029AF">
              <w:t xml:space="preserve"> </w:t>
            </w:r>
            <w:r w:rsidRPr="002029AF">
              <w:t>at</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p>
        </w:tc>
        <w:tc>
          <w:tcPr>
            <w:tcW w:w="1134" w:type="dxa"/>
          </w:tcPr>
          <w:p w14:paraId="09030AB7" w14:textId="77777777" w:rsidR="00CF72D5" w:rsidRPr="002029AF" w:rsidRDefault="00CF72D5" w:rsidP="00897193">
            <w:pPr>
              <w:pStyle w:val="ARtabletextrightbold"/>
            </w:pPr>
            <w:r w:rsidRPr="002029AF">
              <w:t>3</w:t>
            </w:r>
          </w:p>
        </w:tc>
      </w:tr>
    </w:tbl>
    <w:p w14:paraId="373D2D7E" w14:textId="15623807" w:rsidR="00CF72D5" w:rsidRPr="002029AF" w:rsidRDefault="00CF72D5" w:rsidP="00897193">
      <w:pPr>
        <w:pStyle w:val="Heading4"/>
      </w:pPr>
      <w:r w:rsidRPr="002029AF">
        <w:t>Table</w:t>
      </w:r>
      <w:r w:rsidR="000A5329" w:rsidRPr="002029AF">
        <w:t xml:space="preserve"> </w:t>
      </w:r>
      <w:r w:rsidRPr="002029AF">
        <w:t>7:</w:t>
      </w:r>
      <w:r w:rsidR="000A5329" w:rsidRPr="002029AF">
        <w:t xml:space="preserve"> </w:t>
      </w:r>
      <w:r w:rsidRPr="002029AF">
        <w:t>Total</w:t>
      </w:r>
      <w:r w:rsidR="000A5329" w:rsidRPr="002029AF">
        <w:t xml:space="preserve"> </w:t>
      </w:r>
      <w:r w:rsidRPr="002029AF">
        <w:t>number</w:t>
      </w:r>
      <w:r w:rsidR="000A5329" w:rsidRPr="002029AF">
        <w:t xml:space="preserve"> </w:t>
      </w:r>
      <w:r w:rsidRPr="002029AF">
        <w:t>of</w:t>
      </w:r>
      <w:r w:rsidR="000A5329" w:rsidRPr="002029AF">
        <w:t xml:space="preserve"> </w:t>
      </w:r>
      <w:r w:rsidRPr="002029AF">
        <w:t>EOs</w:t>
      </w:r>
      <w:r w:rsidR="000A5329" w:rsidRPr="002029AF">
        <w:t xml:space="preserve"> </w:t>
      </w:r>
      <w:r w:rsidRPr="002029AF">
        <w:t>for</w:t>
      </w:r>
      <w:r w:rsidR="000A5329" w:rsidRPr="002029AF">
        <w:t xml:space="preserve"> </w:t>
      </w:r>
      <w:r w:rsidRPr="002029AF">
        <w:t>Safer</w:t>
      </w:r>
      <w:r w:rsidR="000A5329" w:rsidRPr="002029AF">
        <w:t xml:space="preserve"> </w:t>
      </w:r>
      <w:r w:rsidRPr="002029AF">
        <w:t>Care</w:t>
      </w:r>
      <w:r w:rsidR="000A5329" w:rsidRPr="002029AF">
        <w:t xml:space="preserve"> </w:t>
      </w:r>
      <w:r w:rsidRPr="002029AF">
        <w:t>Victoria,</w:t>
      </w:r>
      <w:r w:rsidR="000A5329" w:rsidRPr="002029AF">
        <w:t xml:space="preserve"> </w:t>
      </w:r>
      <w:r w:rsidRPr="002029AF">
        <w:t>broken</w:t>
      </w:r>
      <w:r w:rsidR="000A5329" w:rsidRPr="002029AF">
        <w:t xml:space="preserve"> </w:t>
      </w:r>
      <w:r w:rsidRPr="002029AF">
        <w:t>down</w:t>
      </w:r>
      <w:r w:rsidR="000A5329" w:rsidRPr="002029AF">
        <w:t xml:space="preserve"> </w:t>
      </w:r>
      <w:r w:rsidRPr="002029AF">
        <w:t>by</w:t>
      </w:r>
      <w:r w:rsidR="000A5329" w:rsidRPr="002029AF">
        <w:t xml:space="preserve"> </w:t>
      </w:r>
      <w:r w:rsidRPr="002029AF">
        <w:t>gender</w:t>
      </w:r>
    </w:p>
    <w:tbl>
      <w:tblPr>
        <w:tblW w:w="9640" w:type="dxa"/>
        <w:tblInd w:w="5" w:type="dxa"/>
        <w:tblBorders>
          <w:left w:val="single" w:sz="4" w:space="0" w:color="FFFFFF"/>
          <w:bottom w:val="single" w:sz="4" w:space="0" w:color="auto"/>
          <w:right w:val="single" w:sz="4" w:space="0" w:color="FFFFFF"/>
          <w:insideH w:val="single" w:sz="4" w:space="0" w:color="auto"/>
          <w:insideV w:val="single" w:sz="4" w:space="0" w:color="FFFFFF"/>
        </w:tblBorders>
        <w:tblLayout w:type="fixed"/>
        <w:tblCellMar>
          <w:left w:w="0" w:type="dxa"/>
        </w:tblCellMar>
        <w:tblLook w:val="06A0" w:firstRow="1" w:lastRow="0" w:firstColumn="1" w:lastColumn="0" w:noHBand="1" w:noVBand="1"/>
      </w:tblPr>
      <w:tblGrid>
        <w:gridCol w:w="1691"/>
        <w:gridCol w:w="1004"/>
        <w:gridCol w:w="992"/>
        <w:gridCol w:w="283"/>
        <w:gridCol w:w="851"/>
        <w:gridCol w:w="850"/>
        <w:gridCol w:w="284"/>
        <w:gridCol w:w="709"/>
        <w:gridCol w:w="992"/>
        <w:gridCol w:w="283"/>
        <w:gridCol w:w="709"/>
        <w:gridCol w:w="992"/>
      </w:tblGrid>
      <w:tr w:rsidR="00871DEF" w:rsidRPr="002029AF" w14:paraId="37640220" w14:textId="77777777" w:rsidTr="00871DEF">
        <w:trPr>
          <w:cantSplit/>
          <w:tblHeader/>
        </w:trPr>
        <w:tc>
          <w:tcPr>
            <w:tcW w:w="1691" w:type="dxa"/>
            <w:vMerge w:val="restart"/>
            <w:shd w:val="clear" w:color="auto" w:fill="auto"/>
            <w:vAlign w:val="bottom"/>
          </w:tcPr>
          <w:p w14:paraId="410710CB" w14:textId="70EFC747" w:rsidR="00871DEF" w:rsidRPr="002029AF" w:rsidRDefault="00871DEF" w:rsidP="00897193">
            <w:pPr>
              <w:pStyle w:val="ARtablecolhead"/>
            </w:pPr>
            <w:r w:rsidRPr="002029AF">
              <w:t>Class</w:t>
            </w:r>
          </w:p>
        </w:tc>
        <w:tc>
          <w:tcPr>
            <w:tcW w:w="2279" w:type="dxa"/>
            <w:gridSpan w:val="3"/>
            <w:shd w:val="clear" w:color="auto" w:fill="auto"/>
            <w:vAlign w:val="bottom"/>
          </w:tcPr>
          <w:p w14:paraId="471C034D" w14:textId="77777777" w:rsidR="00871DEF" w:rsidRPr="002029AF" w:rsidRDefault="00871DEF" w:rsidP="00871DEF">
            <w:pPr>
              <w:pStyle w:val="ARtablecolheadcentre"/>
              <w:ind w:left="284"/>
            </w:pPr>
            <w:r w:rsidRPr="002029AF">
              <w:t>All</w:t>
            </w:r>
          </w:p>
        </w:tc>
        <w:tc>
          <w:tcPr>
            <w:tcW w:w="1985" w:type="dxa"/>
            <w:gridSpan w:val="3"/>
            <w:shd w:val="clear" w:color="auto" w:fill="auto"/>
            <w:vAlign w:val="bottom"/>
          </w:tcPr>
          <w:p w14:paraId="18B78CB9" w14:textId="77777777" w:rsidR="00871DEF" w:rsidRPr="002029AF" w:rsidRDefault="00871DEF" w:rsidP="00871DEF">
            <w:pPr>
              <w:pStyle w:val="ARtablecolheadcentre"/>
              <w:ind w:left="284"/>
            </w:pPr>
            <w:r w:rsidRPr="002029AF">
              <w:t>Women</w:t>
            </w:r>
          </w:p>
        </w:tc>
        <w:tc>
          <w:tcPr>
            <w:tcW w:w="1984" w:type="dxa"/>
            <w:gridSpan w:val="3"/>
            <w:shd w:val="clear" w:color="auto" w:fill="auto"/>
            <w:vAlign w:val="bottom"/>
          </w:tcPr>
          <w:p w14:paraId="549E5053" w14:textId="77777777" w:rsidR="00871DEF" w:rsidRPr="002029AF" w:rsidRDefault="00871DEF" w:rsidP="00871DEF">
            <w:pPr>
              <w:pStyle w:val="ARtablecolheadcentre"/>
              <w:ind w:left="284"/>
            </w:pPr>
            <w:r w:rsidRPr="002029AF">
              <w:t>Men</w:t>
            </w:r>
          </w:p>
        </w:tc>
        <w:tc>
          <w:tcPr>
            <w:tcW w:w="1701" w:type="dxa"/>
            <w:gridSpan w:val="2"/>
            <w:shd w:val="clear" w:color="auto" w:fill="auto"/>
            <w:vAlign w:val="bottom"/>
          </w:tcPr>
          <w:p w14:paraId="587C660E" w14:textId="77777777" w:rsidR="00871DEF" w:rsidRPr="002029AF" w:rsidRDefault="00871DEF" w:rsidP="00897193">
            <w:pPr>
              <w:pStyle w:val="ARtablecolheadcentre"/>
            </w:pPr>
            <w:r w:rsidRPr="002029AF">
              <w:t>Self-described</w:t>
            </w:r>
          </w:p>
        </w:tc>
      </w:tr>
      <w:tr w:rsidR="00871DEF" w:rsidRPr="002029AF" w14:paraId="6C763324" w14:textId="77777777" w:rsidTr="00871DEF">
        <w:trPr>
          <w:cantSplit/>
          <w:tblHeader/>
        </w:trPr>
        <w:tc>
          <w:tcPr>
            <w:tcW w:w="1691" w:type="dxa"/>
            <w:vMerge/>
            <w:shd w:val="clear" w:color="auto" w:fill="auto"/>
            <w:vAlign w:val="bottom"/>
          </w:tcPr>
          <w:p w14:paraId="12B253B4" w14:textId="16986F3A" w:rsidR="00871DEF" w:rsidRPr="002029AF" w:rsidRDefault="00871DEF" w:rsidP="00897193">
            <w:pPr>
              <w:pStyle w:val="ARtablecolhead"/>
            </w:pPr>
          </w:p>
        </w:tc>
        <w:tc>
          <w:tcPr>
            <w:tcW w:w="1004" w:type="dxa"/>
            <w:shd w:val="clear" w:color="auto" w:fill="auto"/>
            <w:vAlign w:val="bottom"/>
          </w:tcPr>
          <w:p w14:paraId="5E41DE34" w14:textId="77777777" w:rsidR="00871DEF" w:rsidRPr="002029AF" w:rsidRDefault="00871DEF" w:rsidP="00897193">
            <w:pPr>
              <w:pStyle w:val="ARtablecolheadright"/>
            </w:pPr>
            <w:r w:rsidRPr="002029AF">
              <w:t>No.</w:t>
            </w:r>
          </w:p>
        </w:tc>
        <w:tc>
          <w:tcPr>
            <w:tcW w:w="992" w:type="dxa"/>
            <w:shd w:val="clear" w:color="auto" w:fill="auto"/>
            <w:vAlign w:val="bottom"/>
          </w:tcPr>
          <w:p w14:paraId="1FF66B7A" w14:textId="77777777" w:rsidR="00871DEF" w:rsidRPr="002029AF" w:rsidRDefault="00871DEF" w:rsidP="00897193">
            <w:pPr>
              <w:pStyle w:val="ARtablecolheadright"/>
            </w:pPr>
            <w:r w:rsidRPr="002029AF">
              <w:t>Var.</w:t>
            </w:r>
          </w:p>
        </w:tc>
        <w:tc>
          <w:tcPr>
            <w:tcW w:w="1134" w:type="dxa"/>
            <w:gridSpan w:val="2"/>
            <w:shd w:val="clear" w:color="auto" w:fill="auto"/>
            <w:vAlign w:val="bottom"/>
          </w:tcPr>
          <w:p w14:paraId="4B85E117" w14:textId="77777777" w:rsidR="00871DEF" w:rsidRPr="002029AF" w:rsidRDefault="00871DEF" w:rsidP="00897193">
            <w:pPr>
              <w:pStyle w:val="ARtablecolheadright"/>
            </w:pPr>
            <w:r w:rsidRPr="002029AF">
              <w:t>No.</w:t>
            </w:r>
          </w:p>
        </w:tc>
        <w:tc>
          <w:tcPr>
            <w:tcW w:w="850" w:type="dxa"/>
            <w:shd w:val="clear" w:color="auto" w:fill="auto"/>
            <w:vAlign w:val="bottom"/>
          </w:tcPr>
          <w:p w14:paraId="6A190AEA" w14:textId="77777777" w:rsidR="00871DEF" w:rsidRPr="002029AF" w:rsidRDefault="00871DEF" w:rsidP="00897193">
            <w:pPr>
              <w:pStyle w:val="ARtablecolheadright"/>
            </w:pPr>
            <w:r w:rsidRPr="002029AF">
              <w:t>Var.</w:t>
            </w:r>
          </w:p>
        </w:tc>
        <w:tc>
          <w:tcPr>
            <w:tcW w:w="993" w:type="dxa"/>
            <w:gridSpan w:val="2"/>
            <w:shd w:val="clear" w:color="auto" w:fill="auto"/>
            <w:vAlign w:val="bottom"/>
          </w:tcPr>
          <w:p w14:paraId="5DC4B1DC" w14:textId="77777777" w:rsidR="00871DEF" w:rsidRPr="002029AF" w:rsidRDefault="00871DEF" w:rsidP="00897193">
            <w:pPr>
              <w:pStyle w:val="ARtablecolheadright"/>
            </w:pPr>
            <w:r w:rsidRPr="002029AF">
              <w:t>No.</w:t>
            </w:r>
          </w:p>
        </w:tc>
        <w:tc>
          <w:tcPr>
            <w:tcW w:w="992" w:type="dxa"/>
            <w:shd w:val="clear" w:color="auto" w:fill="auto"/>
            <w:vAlign w:val="bottom"/>
          </w:tcPr>
          <w:p w14:paraId="5DE8329E" w14:textId="77777777" w:rsidR="00871DEF" w:rsidRPr="002029AF" w:rsidRDefault="00871DEF" w:rsidP="00897193">
            <w:pPr>
              <w:pStyle w:val="ARtablecolheadright"/>
            </w:pPr>
            <w:r w:rsidRPr="002029AF">
              <w:t>Var.</w:t>
            </w:r>
          </w:p>
        </w:tc>
        <w:tc>
          <w:tcPr>
            <w:tcW w:w="992" w:type="dxa"/>
            <w:gridSpan w:val="2"/>
            <w:shd w:val="clear" w:color="auto" w:fill="auto"/>
            <w:vAlign w:val="bottom"/>
          </w:tcPr>
          <w:p w14:paraId="2FEAAE3E" w14:textId="77777777" w:rsidR="00871DEF" w:rsidRPr="002029AF" w:rsidRDefault="00871DEF" w:rsidP="00897193">
            <w:pPr>
              <w:pStyle w:val="ARtablecolheadright"/>
            </w:pPr>
            <w:r w:rsidRPr="002029AF">
              <w:t>No.</w:t>
            </w:r>
          </w:p>
        </w:tc>
        <w:tc>
          <w:tcPr>
            <w:tcW w:w="992" w:type="dxa"/>
            <w:shd w:val="clear" w:color="auto" w:fill="auto"/>
          </w:tcPr>
          <w:p w14:paraId="592B4801" w14:textId="77777777" w:rsidR="00871DEF" w:rsidRPr="002029AF" w:rsidRDefault="00871DEF" w:rsidP="00897193">
            <w:pPr>
              <w:pStyle w:val="ARtablecolheadright"/>
            </w:pPr>
            <w:r w:rsidRPr="002029AF">
              <w:t>Var.</w:t>
            </w:r>
          </w:p>
        </w:tc>
      </w:tr>
      <w:tr w:rsidR="00CF72D5" w:rsidRPr="002029AF" w14:paraId="676EC6EE" w14:textId="77777777" w:rsidTr="00871DEF">
        <w:trPr>
          <w:cantSplit/>
          <w:trHeight w:hRule="exact" w:val="340"/>
        </w:trPr>
        <w:tc>
          <w:tcPr>
            <w:tcW w:w="1691" w:type="dxa"/>
            <w:shd w:val="clear" w:color="auto" w:fill="auto"/>
          </w:tcPr>
          <w:p w14:paraId="0D94D1AF" w14:textId="77777777" w:rsidR="00CF72D5" w:rsidRPr="002029AF" w:rsidRDefault="00CF72D5" w:rsidP="00897193">
            <w:pPr>
              <w:pStyle w:val="ARtabletext"/>
            </w:pPr>
            <w:r w:rsidRPr="002029AF">
              <w:t>EO-1</w:t>
            </w:r>
          </w:p>
        </w:tc>
        <w:tc>
          <w:tcPr>
            <w:tcW w:w="1004" w:type="dxa"/>
            <w:shd w:val="clear" w:color="auto" w:fill="auto"/>
          </w:tcPr>
          <w:p w14:paraId="213CE5BE" w14:textId="77777777" w:rsidR="00CF72D5" w:rsidRPr="002029AF" w:rsidRDefault="00CF72D5" w:rsidP="00897193">
            <w:pPr>
              <w:pStyle w:val="ARtabletextright"/>
            </w:pPr>
            <w:r w:rsidRPr="002029AF">
              <w:t>2</w:t>
            </w:r>
          </w:p>
        </w:tc>
        <w:tc>
          <w:tcPr>
            <w:tcW w:w="992" w:type="dxa"/>
            <w:shd w:val="clear" w:color="auto" w:fill="auto"/>
          </w:tcPr>
          <w:p w14:paraId="38466238" w14:textId="77777777" w:rsidR="00CF72D5" w:rsidRPr="002029AF" w:rsidRDefault="00CF72D5" w:rsidP="00897193">
            <w:pPr>
              <w:pStyle w:val="ARtabletextright"/>
            </w:pPr>
            <w:r w:rsidRPr="002029AF">
              <w:t>1</w:t>
            </w:r>
          </w:p>
        </w:tc>
        <w:tc>
          <w:tcPr>
            <w:tcW w:w="1134" w:type="dxa"/>
            <w:gridSpan w:val="2"/>
            <w:shd w:val="clear" w:color="auto" w:fill="auto"/>
          </w:tcPr>
          <w:p w14:paraId="7F32E105" w14:textId="77777777" w:rsidR="00CF72D5" w:rsidRPr="002029AF" w:rsidRDefault="00CF72D5" w:rsidP="00897193">
            <w:pPr>
              <w:pStyle w:val="ARtabletextright"/>
            </w:pPr>
            <w:r w:rsidRPr="002029AF">
              <w:t>0</w:t>
            </w:r>
          </w:p>
        </w:tc>
        <w:tc>
          <w:tcPr>
            <w:tcW w:w="850" w:type="dxa"/>
            <w:shd w:val="clear" w:color="auto" w:fill="auto"/>
          </w:tcPr>
          <w:p w14:paraId="5DEF857C" w14:textId="77777777" w:rsidR="00CF72D5" w:rsidRPr="002029AF" w:rsidRDefault="00CF72D5" w:rsidP="00897193">
            <w:pPr>
              <w:pStyle w:val="ARtabletextright"/>
            </w:pPr>
            <w:r w:rsidRPr="002029AF">
              <w:t>0</w:t>
            </w:r>
          </w:p>
        </w:tc>
        <w:tc>
          <w:tcPr>
            <w:tcW w:w="993" w:type="dxa"/>
            <w:gridSpan w:val="2"/>
            <w:shd w:val="clear" w:color="auto" w:fill="auto"/>
          </w:tcPr>
          <w:p w14:paraId="48E0CBE0" w14:textId="77777777" w:rsidR="00CF72D5" w:rsidRPr="002029AF" w:rsidRDefault="00CF72D5" w:rsidP="00897193">
            <w:pPr>
              <w:pStyle w:val="ARtabletextright"/>
            </w:pPr>
            <w:r w:rsidRPr="002029AF">
              <w:t>2</w:t>
            </w:r>
          </w:p>
        </w:tc>
        <w:tc>
          <w:tcPr>
            <w:tcW w:w="992" w:type="dxa"/>
            <w:shd w:val="clear" w:color="auto" w:fill="auto"/>
          </w:tcPr>
          <w:p w14:paraId="72FA2471" w14:textId="77777777" w:rsidR="00CF72D5" w:rsidRPr="002029AF" w:rsidRDefault="00CF72D5" w:rsidP="00897193">
            <w:pPr>
              <w:pStyle w:val="ARtabletextright"/>
            </w:pPr>
            <w:r w:rsidRPr="002029AF">
              <w:t>1</w:t>
            </w:r>
          </w:p>
        </w:tc>
        <w:tc>
          <w:tcPr>
            <w:tcW w:w="992" w:type="dxa"/>
            <w:gridSpan w:val="2"/>
            <w:shd w:val="clear" w:color="auto" w:fill="auto"/>
          </w:tcPr>
          <w:p w14:paraId="0154FB9D" w14:textId="77777777" w:rsidR="00CF72D5" w:rsidRPr="002029AF" w:rsidRDefault="00CF72D5" w:rsidP="00897193">
            <w:pPr>
              <w:pStyle w:val="ARtabletextright"/>
            </w:pPr>
            <w:r w:rsidRPr="002029AF">
              <w:t>0</w:t>
            </w:r>
          </w:p>
        </w:tc>
        <w:tc>
          <w:tcPr>
            <w:tcW w:w="992" w:type="dxa"/>
            <w:shd w:val="clear" w:color="auto" w:fill="auto"/>
          </w:tcPr>
          <w:p w14:paraId="3445738D" w14:textId="77777777" w:rsidR="00CF72D5" w:rsidRPr="002029AF" w:rsidRDefault="00CF72D5" w:rsidP="00897193">
            <w:pPr>
              <w:pStyle w:val="ARtabletextright"/>
            </w:pPr>
            <w:r w:rsidRPr="002029AF">
              <w:t>0</w:t>
            </w:r>
          </w:p>
        </w:tc>
      </w:tr>
      <w:tr w:rsidR="00CF72D5" w:rsidRPr="002029AF" w14:paraId="2CEACE9C" w14:textId="77777777" w:rsidTr="00871DEF">
        <w:trPr>
          <w:cantSplit/>
          <w:trHeight w:hRule="exact" w:val="340"/>
        </w:trPr>
        <w:tc>
          <w:tcPr>
            <w:tcW w:w="1691" w:type="dxa"/>
            <w:shd w:val="clear" w:color="auto" w:fill="auto"/>
          </w:tcPr>
          <w:p w14:paraId="1FD29495" w14:textId="77777777" w:rsidR="00CF72D5" w:rsidRPr="002029AF" w:rsidRDefault="00CF72D5" w:rsidP="00897193">
            <w:pPr>
              <w:pStyle w:val="ARtabletext"/>
            </w:pPr>
            <w:r w:rsidRPr="002029AF">
              <w:t>EO-3</w:t>
            </w:r>
          </w:p>
        </w:tc>
        <w:tc>
          <w:tcPr>
            <w:tcW w:w="1004" w:type="dxa"/>
            <w:shd w:val="clear" w:color="auto" w:fill="auto"/>
          </w:tcPr>
          <w:p w14:paraId="6C9ADA83" w14:textId="77777777" w:rsidR="00CF72D5" w:rsidRPr="002029AF" w:rsidRDefault="00CF72D5" w:rsidP="00897193">
            <w:pPr>
              <w:pStyle w:val="ARtabletextright"/>
            </w:pPr>
            <w:r w:rsidRPr="002029AF">
              <w:t>5</w:t>
            </w:r>
          </w:p>
        </w:tc>
        <w:tc>
          <w:tcPr>
            <w:tcW w:w="992" w:type="dxa"/>
            <w:shd w:val="clear" w:color="auto" w:fill="auto"/>
          </w:tcPr>
          <w:p w14:paraId="0BBDD140" w14:textId="77777777" w:rsidR="00CF72D5" w:rsidRPr="002029AF" w:rsidRDefault="00CF72D5" w:rsidP="00897193">
            <w:pPr>
              <w:pStyle w:val="ARtabletextright"/>
            </w:pPr>
            <w:r w:rsidRPr="002029AF">
              <w:t>1</w:t>
            </w:r>
          </w:p>
        </w:tc>
        <w:tc>
          <w:tcPr>
            <w:tcW w:w="1134" w:type="dxa"/>
            <w:gridSpan w:val="2"/>
            <w:shd w:val="clear" w:color="auto" w:fill="auto"/>
          </w:tcPr>
          <w:p w14:paraId="0C1128E5" w14:textId="77777777" w:rsidR="00CF72D5" w:rsidRPr="002029AF" w:rsidRDefault="00CF72D5" w:rsidP="00897193">
            <w:pPr>
              <w:pStyle w:val="ARtabletextright"/>
            </w:pPr>
            <w:r w:rsidRPr="002029AF">
              <w:t>5</w:t>
            </w:r>
          </w:p>
        </w:tc>
        <w:tc>
          <w:tcPr>
            <w:tcW w:w="850" w:type="dxa"/>
            <w:shd w:val="clear" w:color="auto" w:fill="auto"/>
          </w:tcPr>
          <w:p w14:paraId="095A85DA" w14:textId="77777777" w:rsidR="00CF72D5" w:rsidRPr="002029AF" w:rsidRDefault="00CF72D5" w:rsidP="00897193">
            <w:pPr>
              <w:pStyle w:val="ARtabletextright"/>
            </w:pPr>
            <w:r w:rsidRPr="002029AF">
              <w:t>1</w:t>
            </w:r>
          </w:p>
        </w:tc>
        <w:tc>
          <w:tcPr>
            <w:tcW w:w="993" w:type="dxa"/>
            <w:gridSpan w:val="2"/>
            <w:shd w:val="clear" w:color="auto" w:fill="auto"/>
          </w:tcPr>
          <w:p w14:paraId="70CDB98F" w14:textId="77777777" w:rsidR="00CF72D5" w:rsidRPr="002029AF" w:rsidRDefault="00CF72D5" w:rsidP="00897193">
            <w:pPr>
              <w:pStyle w:val="ARtabletextright"/>
            </w:pPr>
            <w:r w:rsidRPr="002029AF">
              <w:t>0</w:t>
            </w:r>
          </w:p>
        </w:tc>
        <w:tc>
          <w:tcPr>
            <w:tcW w:w="992" w:type="dxa"/>
            <w:shd w:val="clear" w:color="auto" w:fill="auto"/>
          </w:tcPr>
          <w:p w14:paraId="1F549A16" w14:textId="77777777" w:rsidR="00CF72D5" w:rsidRPr="002029AF" w:rsidRDefault="00CF72D5" w:rsidP="00897193">
            <w:pPr>
              <w:pStyle w:val="ARtabletextright"/>
            </w:pPr>
            <w:r w:rsidRPr="002029AF">
              <w:t>0</w:t>
            </w:r>
          </w:p>
        </w:tc>
        <w:tc>
          <w:tcPr>
            <w:tcW w:w="992" w:type="dxa"/>
            <w:gridSpan w:val="2"/>
            <w:shd w:val="clear" w:color="auto" w:fill="auto"/>
          </w:tcPr>
          <w:p w14:paraId="0BA810A4" w14:textId="77777777" w:rsidR="00CF72D5" w:rsidRPr="002029AF" w:rsidRDefault="00CF72D5" w:rsidP="00897193">
            <w:pPr>
              <w:pStyle w:val="ARtabletextright"/>
            </w:pPr>
            <w:r w:rsidRPr="002029AF">
              <w:t>0</w:t>
            </w:r>
          </w:p>
        </w:tc>
        <w:tc>
          <w:tcPr>
            <w:tcW w:w="992" w:type="dxa"/>
            <w:shd w:val="clear" w:color="auto" w:fill="auto"/>
          </w:tcPr>
          <w:p w14:paraId="49932477" w14:textId="77777777" w:rsidR="00CF72D5" w:rsidRPr="002029AF" w:rsidRDefault="00CF72D5" w:rsidP="00897193">
            <w:pPr>
              <w:pStyle w:val="ARtabletextright"/>
            </w:pPr>
            <w:r w:rsidRPr="002029AF">
              <w:t>0</w:t>
            </w:r>
          </w:p>
        </w:tc>
      </w:tr>
      <w:tr w:rsidR="00CF72D5" w:rsidRPr="002029AF" w14:paraId="65AAEE2A" w14:textId="77777777" w:rsidTr="00871DEF">
        <w:trPr>
          <w:cantSplit/>
          <w:trHeight w:hRule="exact" w:val="340"/>
        </w:trPr>
        <w:tc>
          <w:tcPr>
            <w:tcW w:w="1691" w:type="dxa"/>
            <w:shd w:val="clear" w:color="auto" w:fill="auto"/>
          </w:tcPr>
          <w:p w14:paraId="4705074B" w14:textId="77777777" w:rsidR="00CF72D5" w:rsidRPr="002029AF" w:rsidRDefault="00CF72D5" w:rsidP="00897193">
            <w:pPr>
              <w:pStyle w:val="ARtabletextbold"/>
            </w:pPr>
            <w:r w:rsidRPr="002029AF">
              <w:t>Total</w:t>
            </w:r>
          </w:p>
        </w:tc>
        <w:tc>
          <w:tcPr>
            <w:tcW w:w="1004" w:type="dxa"/>
            <w:shd w:val="clear" w:color="auto" w:fill="auto"/>
          </w:tcPr>
          <w:p w14:paraId="26F5B32C" w14:textId="77777777" w:rsidR="00CF72D5" w:rsidRPr="002029AF" w:rsidRDefault="00CF72D5" w:rsidP="00897193">
            <w:pPr>
              <w:pStyle w:val="ARtabletextrightbold"/>
            </w:pPr>
            <w:r w:rsidRPr="002029AF">
              <w:t>7</w:t>
            </w:r>
          </w:p>
        </w:tc>
        <w:tc>
          <w:tcPr>
            <w:tcW w:w="992" w:type="dxa"/>
            <w:shd w:val="clear" w:color="auto" w:fill="auto"/>
          </w:tcPr>
          <w:p w14:paraId="3AE75A2E" w14:textId="77777777" w:rsidR="00CF72D5" w:rsidRPr="002029AF" w:rsidRDefault="00CF72D5" w:rsidP="00897193">
            <w:pPr>
              <w:pStyle w:val="ARtabletextrightbold"/>
            </w:pPr>
            <w:r w:rsidRPr="002029AF">
              <w:t>2</w:t>
            </w:r>
          </w:p>
        </w:tc>
        <w:tc>
          <w:tcPr>
            <w:tcW w:w="1134" w:type="dxa"/>
            <w:gridSpan w:val="2"/>
            <w:shd w:val="clear" w:color="auto" w:fill="auto"/>
          </w:tcPr>
          <w:p w14:paraId="587B5D38" w14:textId="77777777" w:rsidR="00CF72D5" w:rsidRPr="002029AF" w:rsidRDefault="00CF72D5" w:rsidP="00897193">
            <w:pPr>
              <w:pStyle w:val="ARtabletextrightbold"/>
            </w:pPr>
            <w:r w:rsidRPr="002029AF">
              <w:t>5</w:t>
            </w:r>
          </w:p>
        </w:tc>
        <w:tc>
          <w:tcPr>
            <w:tcW w:w="850" w:type="dxa"/>
            <w:shd w:val="clear" w:color="auto" w:fill="auto"/>
          </w:tcPr>
          <w:p w14:paraId="0FB40444" w14:textId="77777777" w:rsidR="00CF72D5" w:rsidRPr="002029AF" w:rsidRDefault="00CF72D5" w:rsidP="00897193">
            <w:pPr>
              <w:pStyle w:val="ARtabletextrightbold"/>
            </w:pPr>
            <w:r w:rsidRPr="002029AF">
              <w:t>1</w:t>
            </w:r>
          </w:p>
        </w:tc>
        <w:tc>
          <w:tcPr>
            <w:tcW w:w="993" w:type="dxa"/>
            <w:gridSpan w:val="2"/>
            <w:shd w:val="clear" w:color="auto" w:fill="auto"/>
          </w:tcPr>
          <w:p w14:paraId="08144CCB" w14:textId="77777777" w:rsidR="00CF72D5" w:rsidRPr="002029AF" w:rsidRDefault="00CF72D5" w:rsidP="00897193">
            <w:pPr>
              <w:pStyle w:val="ARtabletextrightbold"/>
            </w:pPr>
            <w:r w:rsidRPr="002029AF">
              <w:t>2</w:t>
            </w:r>
          </w:p>
        </w:tc>
        <w:tc>
          <w:tcPr>
            <w:tcW w:w="992" w:type="dxa"/>
            <w:shd w:val="clear" w:color="auto" w:fill="auto"/>
          </w:tcPr>
          <w:p w14:paraId="0DD2C20B" w14:textId="77777777" w:rsidR="00CF72D5" w:rsidRPr="002029AF" w:rsidRDefault="00CF72D5" w:rsidP="00897193">
            <w:pPr>
              <w:pStyle w:val="ARtabletextrightbold"/>
            </w:pPr>
            <w:r w:rsidRPr="002029AF">
              <w:t>1</w:t>
            </w:r>
          </w:p>
        </w:tc>
        <w:tc>
          <w:tcPr>
            <w:tcW w:w="992" w:type="dxa"/>
            <w:gridSpan w:val="2"/>
            <w:shd w:val="clear" w:color="auto" w:fill="auto"/>
          </w:tcPr>
          <w:p w14:paraId="696ADF9C" w14:textId="77777777" w:rsidR="00CF72D5" w:rsidRPr="002029AF" w:rsidRDefault="00CF72D5" w:rsidP="00897193">
            <w:pPr>
              <w:pStyle w:val="ARtabletextrightbold"/>
            </w:pPr>
            <w:r w:rsidRPr="002029AF">
              <w:t>0</w:t>
            </w:r>
          </w:p>
        </w:tc>
        <w:tc>
          <w:tcPr>
            <w:tcW w:w="992" w:type="dxa"/>
            <w:shd w:val="clear" w:color="auto" w:fill="auto"/>
          </w:tcPr>
          <w:p w14:paraId="441145AE" w14:textId="77777777" w:rsidR="00CF72D5" w:rsidRPr="002029AF" w:rsidRDefault="00CF72D5" w:rsidP="00897193">
            <w:pPr>
              <w:pStyle w:val="ARtabletextrightbold"/>
            </w:pPr>
            <w:r w:rsidRPr="002029AF">
              <w:t>0</w:t>
            </w:r>
          </w:p>
        </w:tc>
      </w:tr>
    </w:tbl>
    <w:p w14:paraId="6108ED42" w14:textId="40F43844" w:rsidR="00CF72D5" w:rsidRPr="002029AF" w:rsidRDefault="00CF72D5" w:rsidP="00897193">
      <w:pPr>
        <w:pStyle w:val="ARbodyaftertable"/>
        <w:spacing w:before="120"/>
      </w:pPr>
      <w:r w:rsidRPr="002029AF">
        <w:t>The</w:t>
      </w:r>
      <w:r w:rsidR="000A5329" w:rsidRPr="002029AF">
        <w:t xml:space="preserve"> </w:t>
      </w:r>
      <w:r w:rsidRPr="002029AF">
        <w:t>number</w:t>
      </w:r>
      <w:r w:rsidR="000A5329" w:rsidRPr="002029AF">
        <w:t xml:space="preserve"> </w:t>
      </w:r>
      <w:r w:rsidRPr="002029AF">
        <w:t>of</w:t>
      </w:r>
      <w:r w:rsidR="000A5329" w:rsidRPr="002029AF">
        <w:t xml:space="preserve"> </w:t>
      </w:r>
      <w:r w:rsidRPr="002029AF">
        <w:t>executives</w:t>
      </w:r>
      <w:r w:rsidR="000A5329" w:rsidRPr="002029AF">
        <w:t xml:space="preserve"> </w:t>
      </w:r>
      <w:r w:rsidRPr="002029AF">
        <w:t>in</w:t>
      </w:r>
      <w:r w:rsidR="000A5329" w:rsidRPr="002029AF">
        <w:t xml:space="preserve"> </w:t>
      </w:r>
      <w:r w:rsidRPr="002029AF">
        <w:t>the</w:t>
      </w:r>
      <w:r w:rsidR="000A5329" w:rsidRPr="002029AF">
        <w:t xml:space="preserve"> </w:t>
      </w:r>
      <w:r w:rsidRPr="002029AF">
        <w:t>report</w:t>
      </w:r>
      <w:r w:rsidR="000A5329" w:rsidRPr="002029AF">
        <w:t xml:space="preserve"> </w:t>
      </w:r>
      <w:r w:rsidRPr="002029AF">
        <w:t>of</w:t>
      </w:r>
      <w:r w:rsidR="000A5329" w:rsidRPr="002029AF">
        <w:t xml:space="preserve"> </w:t>
      </w:r>
      <w:r w:rsidRPr="002029AF">
        <w:t>operations</w:t>
      </w:r>
      <w:r w:rsidR="000A5329" w:rsidRPr="002029AF">
        <w:t xml:space="preserve"> </w:t>
      </w:r>
      <w:r w:rsidRPr="002029AF">
        <w:t>is</w:t>
      </w:r>
      <w:r w:rsidR="000A5329" w:rsidRPr="002029AF">
        <w:t xml:space="preserve"> </w:t>
      </w:r>
      <w:r w:rsidRPr="002029AF">
        <w:t>based</w:t>
      </w:r>
      <w:r w:rsidR="000A5329" w:rsidRPr="002029AF">
        <w:t xml:space="preserve"> </w:t>
      </w:r>
      <w:r w:rsidRPr="002029AF">
        <w:t>on</w:t>
      </w:r>
      <w:r w:rsidR="000A5329" w:rsidRPr="002029AF">
        <w:t xml:space="preserve"> </w:t>
      </w:r>
      <w:r w:rsidRPr="002029AF">
        <w:t>the</w:t>
      </w:r>
      <w:r w:rsidR="000A5329" w:rsidRPr="002029AF">
        <w:t xml:space="preserve"> </w:t>
      </w:r>
      <w:r w:rsidRPr="002029AF">
        <w:t>number</w:t>
      </w:r>
      <w:r w:rsidR="000A5329" w:rsidRPr="002029AF">
        <w:t xml:space="preserve"> </w:t>
      </w:r>
      <w:r w:rsidRPr="002029AF">
        <w:t>of</w:t>
      </w:r>
      <w:r w:rsidR="000A5329" w:rsidRPr="002029AF">
        <w:t xml:space="preserve"> </w:t>
      </w:r>
      <w:r w:rsidRPr="002029AF">
        <w:t>executive</w:t>
      </w:r>
      <w:r w:rsidR="000A5329" w:rsidRPr="002029AF">
        <w:t xml:space="preserve"> </w:t>
      </w:r>
      <w:r w:rsidRPr="002029AF">
        <w:t>positions</w:t>
      </w:r>
      <w:r w:rsidR="000A5329" w:rsidRPr="002029AF">
        <w:t xml:space="preserve"> </w:t>
      </w:r>
      <w:r w:rsidRPr="002029AF">
        <w:t>that</w:t>
      </w:r>
      <w:r w:rsidR="000A5329" w:rsidRPr="002029AF">
        <w:t xml:space="preserve"> </w:t>
      </w:r>
      <w:r w:rsidRPr="002029AF">
        <w:t>are</w:t>
      </w:r>
      <w:r w:rsidR="000A5329" w:rsidRPr="002029AF">
        <w:t xml:space="preserve"> </w:t>
      </w:r>
      <w:r w:rsidRPr="002029AF">
        <w:t>occupied</w:t>
      </w:r>
      <w:r w:rsidR="000A5329" w:rsidRPr="002029AF">
        <w:t xml:space="preserve"> </w:t>
      </w:r>
      <w:r w:rsidRPr="002029AF">
        <w:t>at</w:t>
      </w:r>
      <w:r w:rsidR="000A5329" w:rsidRPr="002029AF">
        <w:t xml:space="preserve"> </w:t>
      </w:r>
      <w:r w:rsidRPr="002029AF">
        <w:t>the</w:t>
      </w:r>
      <w:r w:rsidR="000A5329" w:rsidRPr="002029AF">
        <w:t xml:space="preserve"> </w:t>
      </w:r>
      <w:r w:rsidRPr="002029AF">
        <w:t>end</w:t>
      </w:r>
      <w:r w:rsidR="000A5329" w:rsidRPr="002029AF">
        <w:t xml:space="preserve"> </w:t>
      </w:r>
      <w:r w:rsidRPr="002029AF">
        <w:t>of</w:t>
      </w:r>
      <w:r w:rsidR="000A5329" w:rsidRPr="002029AF">
        <w:t xml:space="preserve"> </w:t>
      </w:r>
      <w:r w:rsidRPr="002029AF">
        <w:t>the</w:t>
      </w:r>
      <w:r w:rsidR="000A5329" w:rsidRPr="002029AF">
        <w:t xml:space="preserve"> </w:t>
      </w:r>
      <w:r w:rsidRPr="002029AF">
        <w:t>financial</w:t>
      </w:r>
      <w:r w:rsidR="000A5329" w:rsidRPr="002029AF">
        <w:t xml:space="preserve"> </w:t>
      </w:r>
      <w:r w:rsidRPr="002029AF">
        <w:t>year.</w:t>
      </w:r>
      <w:r w:rsidR="000A5329" w:rsidRPr="002029AF">
        <w:t xml:space="preserve"> </w:t>
      </w:r>
      <w:r w:rsidRPr="002029AF">
        <w:t>Note</w:t>
      </w:r>
      <w:r w:rsidR="000A5329" w:rsidRPr="002029AF">
        <w:t xml:space="preserve"> </w:t>
      </w:r>
      <w:r w:rsidRPr="002029AF">
        <w:t>9.7</w:t>
      </w:r>
      <w:r w:rsidR="000A5329" w:rsidRPr="002029AF">
        <w:t xml:space="preserve"> </w:t>
      </w:r>
      <w:r w:rsidRPr="002029AF">
        <w:t>in</w:t>
      </w:r>
      <w:r w:rsidR="000A5329" w:rsidRPr="002029AF">
        <w:t xml:space="preserve"> </w:t>
      </w:r>
      <w:r w:rsidRPr="002029AF">
        <w:t>the</w:t>
      </w:r>
      <w:r w:rsidR="000A5329" w:rsidRPr="002029AF">
        <w:t xml:space="preserve"> </w:t>
      </w:r>
      <w:r w:rsidRPr="002029AF">
        <w:t>financial</w:t>
      </w:r>
      <w:r w:rsidR="000A5329" w:rsidRPr="002029AF">
        <w:t xml:space="preserve"> </w:t>
      </w:r>
      <w:r w:rsidRPr="002029AF">
        <w:t>statements</w:t>
      </w:r>
      <w:r w:rsidR="000A5329" w:rsidRPr="002029AF">
        <w:t xml:space="preserve"> </w:t>
      </w:r>
      <w:r w:rsidRPr="002029AF">
        <w:t>lists</w:t>
      </w:r>
      <w:r w:rsidR="000A5329" w:rsidRPr="002029AF">
        <w:t xml:space="preserve"> </w:t>
      </w:r>
      <w:r w:rsidRPr="002029AF">
        <w:t>the</w:t>
      </w:r>
      <w:r w:rsidR="000A5329" w:rsidRPr="002029AF">
        <w:t xml:space="preserve"> </w:t>
      </w:r>
      <w:r w:rsidRPr="002029AF">
        <w:t>actual</w:t>
      </w:r>
      <w:r w:rsidR="000A5329" w:rsidRPr="002029AF">
        <w:t xml:space="preserve"> </w:t>
      </w:r>
      <w:r w:rsidRPr="002029AF">
        <w:t>number</w:t>
      </w:r>
      <w:r w:rsidR="000A5329" w:rsidRPr="002029AF">
        <w:t xml:space="preserve"> </w:t>
      </w:r>
      <w:r w:rsidRPr="002029AF">
        <w:t>of</w:t>
      </w:r>
      <w:r w:rsidR="000A5329" w:rsidRPr="002029AF">
        <w:t xml:space="preserve"> </w:t>
      </w:r>
      <w:r w:rsidRPr="002029AF">
        <w:t>EOs</w:t>
      </w:r>
      <w:r w:rsidR="000A5329" w:rsidRPr="002029AF">
        <w:t xml:space="preserve"> </w:t>
      </w:r>
      <w:r w:rsidRPr="002029AF">
        <w:t>and</w:t>
      </w:r>
      <w:r w:rsidR="000A5329" w:rsidRPr="002029AF">
        <w:t xml:space="preserve"> </w:t>
      </w:r>
      <w:r w:rsidRPr="002029AF">
        <w:t>the</w:t>
      </w:r>
      <w:r w:rsidR="000A5329" w:rsidRPr="002029AF">
        <w:t xml:space="preserve"> </w:t>
      </w:r>
      <w:r w:rsidRPr="002029AF">
        <w:t>total</w:t>
      </w:r>
      <w:r w:rsidR="000A5329" w:rsidRPr="002029AF">
        <w:t xml:space="preserve"> </w:t>
      </w:r>
      <w:r w:rsidRPr="002029AF">
        <w:t>remuneration</w:t>
      </w:r>
      <w:r w:rsidR="000A5329" w:rsidRPr="002029AF">
        <w:t xml:space="preserve"> </w:t>
      </w:r>
      <w:r w:rsidRPr="002029AF">
        <w:t>paid</w:t>
      </w:r>
      <w:r w:rsidR="000A5329" w:rsidRPr="002029AF">
        <w:t xml:space="preserve"> </w:t>
      </w:r>
      <w:r w:rsidRPr="002029AF">
        <w:t>to</w:t>
      </w:r>
      <w:r w:rsidR="000A5329" w:rsidRPr="002029AF">
        <w:t xml:space="preserve"> </w:t>
      </w:r>
      <w:r w:rsidRPr="002029AF">
        <w:t>EOs</w:t>
      </w:r>
      <w:r w:rsidR="000A5329" w:rsidRPr="002029AF">
        <w:t xml:space="preserve"> </w:t>
      </w:r>
      <w:r w:rsidRPr="002029AF">
        <w:t>over</w:t>
      </w:r>
      <w:r w:rsidR="000A5329" w:rsidRPr="002029AF">
        <w:t xml:space="preserve"> </w:t>
      </w:r>
      <w:r w:rsidRPr="002029AF">
        <w:t>the</w:t>
      </w:r>
      <w:r w:rsidR="000A5329" w:rsidRPr="002029AF">
        <w:t xml:space="preserve"> </w:t>
      </w:r>
      <w:r w:rsidRPr="002029AF">
        <w:t>course</w:t>
      </w:r>
      <w:r w:rsidR="000A5329" w:rsidRPr="002029AF">
        <w:t xml:space="preserve"> </w:t>
      </w:r>
      <w:r w:rsidRPr="002029AF">
        <w:t>of</w:t>
      </w:r>
      <w:r w:rsidR="000A5329" w:rsidRPr="002029AF">
        <w:t xml:space="preserve"> </w:t>
      </w:r>
      <w:r w:rsidRPr="002029AF">
        <w:t>the</w:t>
      </w:r>
      <w:r w:rsidR="000A5329" w:rsidRPr="002029AF">
        <w:t xml:space="preserve"> </w:t>
      </w:r>
      <w:r w:rsidRPr="002029AF">
        <w:t>reporting</w:t>
      </w:r>
      <w:r w:rsidR="000A5329" w:rsidRPr="002029AF">
        <w:t xml:space="preserve"> </w:t>
      </w:r>
      <w:r w:rsidRPr="002029AF">
        <w:t>period.</w:t>
      </w:r>
      <w:r w:rsidR="000A5329" w:rsidRPr="002029AF">
        <w:t xml:space="preserve"> </w:t>
      </w:r>
      <w:r w:rsidRPr="002029AF">
        <w:t>The</w:t>
      </w:r>
      <w:r w:rsidR="000A5329" w:rsidRPr="002029AF">
        <w:t xml:space="preserve"> </w:t>
      </w:r>
      <w:r w:rsidRPr="002029AF">
        <w:t>financial</w:t>
      </w:r>
      <w:r w:rsidR="000A5329" w:rsidRPr="002029AF">
        <w:t xml:space="preserve"> </w:t>
      </w:r>
      <w:r w:rsidRPr="002029AF">
        <w:t>statements</w:t>
      </w:r>
      <w:r w:rsidR="000A5329" w:rsidRPr="002029AF">
        <w:t xml:space="preserve"> </w:t>
      </w:r>
      <w:r w:rsidRPr="002029AF">
        <w:t>note</w:t>
      </w:r>
      <w:r w:rsidR="00B95D52">
        <w:t> </w:t>
      </w:r>
      <w:r w:rsidRPr="002029AF">
        <w:t>does</w:t>
      </w:r>
      <w:r w:rsidR="000A5329" w:rsidRPr="002029AF">
        <w:t xml:space="preserve"> </w:t>
      </w:r>
      <w:r w:rsidRPr="002029AF">
        <w:t>not</w:t>
      </w:r>
      <w:r w:rsidR="000A5329" w:rsidRPr="002029AF">
        <w:t xml:space="preserve"> </w:t>
      </w:r>
      <w:r w:rsidRPr="002029AF">
        <w:t>include</w:t>
      </w:r>
      <w:r w:rsidR="000A5329" w:rsidRPr="002029AF">
        <w:t xml:space="preserve"> </w:t>
      </w:r>
      <w:r w:rsidRPr="002029AF">
        <w:t>the</w:t>
      </w:r>
      <w:r w:rsidR="000A5329" w:rsidRPr="002029AF">
        <w:t xml:space="preserve"> </w:t>
      </w:r>
      <w:r w:rsidRPr="002029AF">
        <w:t>Accountable</w:t>
      </w:r>
      <w:r w:rsidR="000A5329" w:rsidRPr="002029AF">
        <w:t xml:space="preserve"> </w:t>
      </w:r>
      <w:r w:rsidRPr="002029AF">
        <w:t>Officer,</w:t>
      </w:r>
      <w:r w:rsidR="000A5329" w:rsidRPr="002029AF">
        <w:t xml:space="preserve"> </w:t>
      </w:r>
      <w:r w:rsidRPr="002029AF">
        <w:t>nor</w:t>
      </w:r>
      <w:r w:rsidR="000A5329" w:rsidRPr="002029AF">
        <w:t xml:space="preserve"> </w:t>
      </w:r>
      <w:r w:rsidRPr="002029AF">
        <w:t>does</w:t>
      </w:r>
      <w:r w:rsidR="000A5329" w:rsidRPr="002029AF">
        <w:t xml:space="preserve"> </w:t>
      </w:r>
      <w:r w:rsidRPr="002029AF">
        <w:t>it</w:t>
      </w:r>
      <w:r w:rsidR="000A5329" w:rsidRPr="002029AF">
        <w:t xml:space="preserve"> </w:t>
      </w:r>
      <w:r w:rsidRPr="002029AF">
        <w:t>distinguish</w:t>
      </w:r>
      <w:r w:rsidR="000A5329" w:rsidRPr="002029AF">
        <w:t xml:space="preserve"> </w:t>
      </w:r>
      <w:r w:rsidRPr="002029AF">
        <w:t>between</w:t>
      </w:r>
      <w:r w:rsidR="000A5329" w:rsidRPr="002029AF">
        <w:t xml:space="preserve"> </w:t>
      </w:r>
      <w:r w:rsidRPr="002029AF">
        <w:t>executive</w:t>
      </w:r>
      <w:r w:rsidR="000A5329" w:rsidRPr="002029AF">
        <w:t xml:space="preserve"> </w:t>
      </w:r>
      <w:r w:rsidRPr="002029AF">
        <w:t>levels</w:t>
      </w:r>
      <w:r w:rsidR="000A5329" w:rsidRPr="002029AF">
        <w:t xml:space="preserve"> </w:t>
      </w:r>
      <w:r w:rsidRPr="002029AF">
        <w:t>or</w:t>
      </w:r>
      <w:r w:rsidR="000A5329" w:rsidRPr="002029AF">
        <w:t xml:space="preserve"> </w:t>
      </w:r>
      <w:r w:rsidRPr="002029AF">
        <w:t>disclose</w:t>
      </w:r>
      <w:r w:rsidR="000A5329" w:rsidRPr="002029AF">
        <w:t xml:space="preserve"> </w:t>
      </w:r>
      <w:r w:rsidRPr="002029AF">
        <w:t>separations.</w:t>
      </w:r>
      <w:r w:rsidR="000A5329" w:rsidRPr="002029AF">
        <w:t xml:space="preserve"> </w:t>
      </w:r>
      <w:r w:rsidRPr="002029AF">
        <w:t>Separations</w:t>
      </w:r>
      <w:r w:rsidR="000A5329" w:rsidRPr="002029AF">
        <w:t xml:space="preserve"> </w:t>
      </w:r>
      <w:r w:rsidRPr="002029AF">
        <w:t>are</w:t>
      </w:r>
      <w:r w:rsidR="000A5329" w:rsidRPr="002029AF">
        <w:t xml:space="preserve"> </w:t>
      </w:r>
      <w:r w:rsidRPr="002029AF">
        <w:t>executives</w:t>
      </w:r>
      <w:r w:rsidR="000A5329" w:rsidRPr="002029AF">
        <w:t xml:space="preserve"> </w:t>
      </w:r>
      <w:r w:rsidRPr="002029AF">
        <w:t>who</w:t>
      </w:r>
      <w:r w:rsidR="000A5329" w:rsidRPr="002029AF">
        <w:t xml:space="preserve"> </w:t>
      </w:r>
      <w:r w:rsidRPr="002029AF">
        <w:t>have</w:t>
      </w:r>
      <w:r w:rsidR="000A5329" w:rsidRPr="002029AF">
        <w:t xml:space="preserve"> </w:t>
      </w:r>
      <w:r w:rsidRPr="002029AF">
        <w:t>left</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during</w:t>
      </w:r>
      <w:r w:rsidR="000A5329" w:rsidRPr="002029AF">
        <w:t xml:space="preserve"> </w:t>
      </w:r>
      <w:r w:rsidRPr="002029AF">
        <w:t>the</w:t>
      </w:r>
      <w:r w:rsidR="000A5329" w:rsidRPr="002029AF">
        <w:t xml:space="preserve"> </w:t>
      </w:r>
      <w:r w:rsidRPr="002029AF">
        <w:t>relevant</w:t>
      </w:r>
      <w:r w:rsidR="000A5329" w:rsidRPr="002029AF">
        <w:t xml:space="preserve"> </w:t>
      </w:r>
      <w:r w:rsidRPr="002029AF">
        <w:t>reporting</w:t>
      </w:r>
      <w:r w:rsidR="000A5329" w:rsidRPr="002029AF">
        <w:t xml:space="preserve"> </w:t>
      </w:r>
      <w:r w:rsidRPr="002029AF">
        <w:t>period.</w:t>
      </w:r>
      <w:r w:rsidR="000A5329" w:rsidRPr="002029AF">
        <w:t xml:space="preserve"> </w:t>
      </w:r>
      <w:r w:rsidRPr="002029AF">
        <w:t>To</w:t>
      </w:r>
      <w:r w:rsidR="000A5329" w:rsidRPr="002029AF">
        <w:t xml:space="preserve"> </w:t>
      </w:r>
      <w:r w:rsidRPr="002029AF">
        <w:t>assist</w:t>
      </w:r>
      <w:r w:rsidR="000A5329" w:rsidRPr="002029AF">
        <w:t xml:space="preserve"> </w:t>
      </w:r>
      <w:r w:rsidRPr="002029AF">
        <w:t>readers,</w:t>
      </w:r>
      <w:r w:rsidR="000A5329" w:rsidRPr="002029AF">
        <w:t xml:space="preserve"> </w:t>
      </w:r>
      <w:r w:rsidRPr="002029AF">
        <w:t>these</w:t>
      </w:r>
      <w:r w:rsidR="000A5329" w:rsidRPr="002029AF">
        <w:t xml:space="preserve"> </w:t>
      </w:r>
      <w:r w:rsidRPr="002029AF">
        <w:t>two</w:t>
      </w:r>
      <w:r w:rsidR="000A5329" w:rsidRPr="002029AF">
        <w:t xml:space="preserve"> </w:t>
      </w:r>
      <w:r w:rsidRPr="002029AF">
        <w:t>disclosures</w:t>
      </w:r>
      <w:r w:rsidR="000A5329" w:rsidRPr="002029AF">
        <w:t xml:space="preserve"> </w:t>
      </w:r>
      <w:r w:rsidRPr="002029AF">
        <w:t>are</w:t>
      </w:r>
      <w:r w:rsidR="000A5329" w:rsidRPr="002029AF">
        <w:t xml:space="preserve"> </w:t>
      </w:r>
      <w:r w:rsidRPr="002029AF">
        <w:t>reconciled</w:t>
      </w:r>
      <w:r w:rsidR="000A5329" w:rsidRPr="002029AF">
        <w:t xml:space="preserve"> </w:t>
      </w:r>
      <w:r w:rsidRPr="002029AF">
        <w:t>below.</w:t>
      </w:r>
    </w:p>
    <w:p w14:paraId="2E82EEDE" w14:textId="445B286F" w:rsidR="00CF72D5" w:rsidRPr="002029AF" w:rsidRDefault="00CF72D5" w:rsidP="00897193">
      <w:pPr>
        <w:pStyle w:val="Heading4"/>
      </w:pPr>
      <w:bookmarkStart w:id="90" w:name="_Hlk19622316"/>
      <w:r w:rsidRPr="002029AF">
        <w:t>Table</w:t>
      </w:r>
      <w:r w:rsidR="000A5329" w:rsidRPr="002029AF">
        <w:t xml:space="preserve"> </w:t>
      </w:r>
      <w:r w:rsidRPr="002029AF">
        <w:t>8:</w:t>
      </w:r>
      <w:r w:rsidR="000A5329" w:rsidRPr="002029AF">
        <w:t xml:space="preserve"> </w:t>
      </w:r>
      <w:r w:rsidRPr="002029AF">
        <w:t>Reconciliation</w:t>
      </w:r>
      <w:r w:rsidR="000A5329" w:rsidRPr="002029AF">
        <w:t xml:space="preserve"> </w:t>
      </w:r>
      <w:r w:rsidRPr="002029AF">
        <w:t>of</w:t>
      </w:r>
      <w:r w:rsidR="000A5329" w:rsidRPr="002029AF">
        <w:t xml:space="preserve"> </w:t>
      </w:r>
      <w:r w:rsidRPr="002029AF">
        <w:t>executive</w:t>
      </w:r>
      <w:r w:rsidR="000A5329" w:rsidRPr="002029AF">
        <w:t xml:space="preserve"> </w:t>
      </w:r>
      <w:r w:rsidRPr="002029AF">
        <w:t>numbers</w:t>
      </w:r>
      <w:r w:rsidR="000A5329" w:rsidRPr="002029AF">
        <w:t xml:space="preserve"> </w:t>
      </w:r>
      <w:r w:rsidRPr="002029AF">
        <w:t>for</w:t>
      </w:r>
      <w:r w:rsidR="000A5329" w:rsidRPr="002029AF">
        <w:t xml:space="preserve"> </w:t>
      </w:r>
      <w:r w:rsidRPr="002029AF">
        <w:t>Safer</w:t>
      </w:r>
      <w:r w:rsidR="000A5329" w:rsidRPr="002029AF">
        <w:t xml:space="preserve"> </w:t>
      </w:r>
      <w:r w:rsidRPr="002029AF">
        <w:t>Care</w:t>
      </w:r>
      <w:r w:rsidR="000A5329" w:rsidRPr="002029AF">
        <w:t xml:space="preserve"> </w:t>
      </w:r>
      <w:r w:rsidRPr="002029AF">
        <w:t>Victoria</w:t>
      </w:r>
    </w:p>
    <w:bookmarkEnd w:id="90"/>
    <w:tbl>
      <w:tblPr>
        <w:tblStyle w:val="TableGrid"/>
        <w:tblW w:w="0" w:type="auto"/>
        <w:tblLook w:val="06A0" w:firstRow="1" w:lastRow="0" w:firstColumn="1" w:lastColumn="0" w:noHBand="1" w:noVBand="1"/>
      </w:tblPr>
      <w:tblGrid>
        <w:gridCol w:w="6231"/>
        <w:gridCol w:w="1698"/>
        <w:gridCol w:w="1698"/>
      </w:tblGrid>
      <w:tr w:rsidR="00CF72D5" w:rsidRPr="002029AF" w14:paraId="67E79383" w14:textId="77777777" w:rsidTr="00897193">
        <w:trPr>
          <w:cnfStyle w:val="100000000000" w:firstRow="1" w:lastRow="0" w:firstColumn="0" w:lastColumn="0" w:oddVBand="0" w:evenVBand="0" w:oddHBand="0" w:evenHBand="0" w:firstRowFirstColumn="0" w:firstRowLastColumn="0" w:lastRowFirstColumn="0" w:lastRowLastColumn="0"/>
          <w:tblHeader/>
        </w:trPr>
        <w:tc>
          <w:tcPr>
            <w:tcW w:w="6231" w:type="dxa"/>
            <w:tcBorders>
              <w:top w:val="nil"/>
            </w:tcBorders>
          </w:tcPr>
          <w:p w14:paraId="70129815" w14:textId="77777777" w:rsidR="00CF72D5" w:rsidRPr="002029AF" w:rsidRDefault="00CF72D5" w:rsidP="00871DEF">
            <w:pPr>
              <w:pStyle w:val="ARtablecolhead"/>
            </w:pPr>
          </w:p>
        </w:tc>
        <w:tc>
          <w:tcPr>
            <w:tcW w:w="1698" w:type="dxa"/>
            <w:tcBorders>
              <w:top w:val="nil"/>
            </w:tcBorders>
          </w:tcPr>
          <w:p w14:paraId="14614AE1" w14:textId="77777777" w:rsidR="00CF72D5" w:rsidRPr="002029AF" w:rsidRDefault="00CF72D5" w:rsidP="00897193">
            <w:pPr>
              <w:pStyle w:val="ARtablecolheadright"/>
            </w:pPr>
            <w:r w:rsidRPr="002029AF">
              <w:t>2020</w:t>
            </w:r>
          </w:p>
        </w:tc>
        <w:tc>
          <w:tcPr>
            <w:tcW w:w="1698" w:type="dxa"/>
            <w:tcBorders>
              <w:top w:val="nil"/>
            </w:tcBorders>
          </w:tcPr>
          <w:p w14:paraId="738246EB" w14:textId="77777777" w:rsidR="00CF72D5" w:rsidRPr="002029AF" w:rsidRDefault="00CF72D5" w:rsidP="00897193">
            <w:pPr>
              <w:pStyle w:val="ARtablecolheadright"/>
            </w:pPr>
            <w:r w:rsidRPr="002029AF">
              <w:t>2019</w:t>
            </w:r>
          </w:p>
        </w:tc>
      </w:tr>
      <w:tr w:rsidR="00CF72D5" w:rsidRPr="002029AF" w14:paraId="351E8130" w14:textId="77777777" w:rsidTr="00897193">
        <w:tc>
          <w:tcPr>
            <w:tcW w:w="6231" w:type="dxa"/>
            <w:tcBorders>
              <w:top w:val="single" w:sz="4" w:space="0" w:color="70AD47" w:themeColor="accent6"/>
            </w:tcBorders>
          </w:tcPr>
          <w:p w14:paraId="3A130964" w14:textId="77777777" w:rsidR="00CF72D5" w:rsidRPr="002029AF" w:rsidRDefault="00CF72D5" w:rsidP="00897193">
            <w:pPr>
              <w:pStyle w:val="ARtabletext"/>
            </w:pPr>
            <w:r w:rsidRPr="002029AF">
              <w:t>Executives</w:t>
            </w:r>
          </w:p>
        </w:tc>
        <w:tc>
          <w:tcPr>
            <w:tcW w:w="1698" w:type="dxa"/>
            <w:tcBorders>
              <w:top w:val="single" w:sz="4" w:space="0" w:color="70AD47" w:themeColor="accent6"/>
            </w:tcBorders>
          </w:tcPr>
          <w:p w14:paraId="075C2463" w14:textId="77777777" w:rsidR="00CF72D5" w:rsidRPr="002029AF" w:rsidRDefault="00CF72D5" w:rsidP="00897193">
            <w:pPr>
              <w:pStyle w:val="ARtabletextright"/>
            </w:pPr>
            <w:r w:rsidRPr="002029AF">
              <w:t>6</w:t>
            </w:r>
          </w:p>
        </w:tc>
        <w:tc>
          <w:tcPr>
            <w:tcW w:w="1698" w:type="dxa"/>
            <w:tcBorders>
              <w:top w:val="single" w:sz="4" w:space="0" w:color="70AD47" w:themeColor="accent6"/>
            </w:tcBorders>
          </w:tcPr>
          <w:p w14:paraId="74ECA262" w14:textId="77777777" w:rsidR="00CF72D5" w:rsidRPr="002029AF" w:rsidRDefault="00CF72D5" w:rsidP="00897193">
            <w:pPr>
              <w:pStyle w:val="ARtabletextright"/>
            </w:pPr>
            <w:r w:rsidRPr="002029AF">
              <w:t>4</w:t>
            </w:r>
          </w:p>
        </w:tc>
      </w:tr>
      <w:tr w:rsidR="00CF72D5" w:rsidRPr="002029AF" w14:paraId="3E39B22F" w14:textId="77777777" w:rsidTr="00897193">
        <w:tc>
          <w:tcPr>
            <w:tcW w:w="6231" w:type="dxa"/>
          </w:tcPr>
          <w:p w14:paraId="6E4EE461" w14:textId="385715D1" w:rsidR="00CF72D5" w:rsidRPr="002029AF" w:rsidRDefault="00CF72D5" w:rsidP="00897193">
            <w:pPr>
              <w:pStyle w:val="ARtabletext"/>
            </w:pPr>
            <w:r w:rsidRPr="002029AF">
              <w:t>Accountable</w:t>
            </w:r>
            <w:r w:rsidR="000A5329" w:rsidRPr="002029AF">
              <w:t xml:space="preserve"> </w:t>
            </w:r>
            <w:r w:rsidRPr="002029AF">
              <w:t>Officer</w:t>
            </w:r>
            <w:r w:rsidR="000A5329" w:rsidRPr="002029AF">
              <w:t xml:space="preserve"> </w:t>
            </w:r>
            <w:r w:rsidRPr="002029AF">
              <w:t>(Chief</w:t>
            </w:r>
            <w:r w:rsidR="000A5329" w:rsidRPr="002029AF">
              <w:t xml:space="preserve"> </w:t>
            </w:r>
            <w:r w:rsidRPr="002029AF">
              <w:t>Executive</w:t>
            </w:r>
            <w:r w:rsidR="000A5329" w:rsidRPr="002029AF">
              <w:t xml:space="preserve"> </w:t>
            </w:r>
            <w:r w:rsidRPr="002029AF">
              <w:t>Officer)</w:t>
            </w:r>
          </w:p>
        </w:tc>
        <w:tc>
          <w:tcPr>
            <w:tcW w:w="1698" w:type="dxa"/>
          </w:tcPr>
          <w:p w14:paraId="639C4430" w14:textId="77777777" w:rsidR="00CF72D5" w:rsidRPr="002029AF" w:rsidRDefault="00CF72D5" w:rsidP="00897193">
            <w:pPr>
              <w:pStyle w:val="ARtabletextright"/>
            </w:pPr>
            <w:r w:rsidRPr="002029AF">
              <w:t>1</w:t>
            </w:r>
          </w:p>
        </w:tc>
        <w:tc>
          <w:tcPr>
            <w:tcW w:w="1698" w:type="dxa"/>
          </w:tcPr>
          <w:p w14:paraId="7CF0D574" w14:textId="77777777" w:rsidR="00CF72D5" w:rsidRPr="002029AF" w:rsidRDefault="00CF72D5" w:rsidP="00897193">
            <w:pPr>
              <w:pStyle w:val="ARtabletextright"/>
            </w:pPr>
            <w:r w:rsidRPr="002029AF">
              <w:t>1</w:t>
            </w:r>
          </w:p>
        </w:tc>
      </w:tr>
      <w:tr w:rsidR="00CF72D5" w:rsidRPr="002029AF" w14:paraId="1ACD2A73" w14:textId="77777777" w:rsidTr="00897193">
        <w:tc>
          <w:tcPr>
            <w:tcW w:w="6231" w:type="dxa"/>
          </w:tcPr>
          <w:p w14:paraId="46759668" w14:textId="3B5882CA" w:rsidR="00CF72D5" w:rsidRPr="002029AF" w:rsidRDefault="00CF72D5" w:rsidP="00897193">
            <w:pPr>
              <w:pStyle w:val="ARtabletext"/>
            </w:pPr>
            <w:r w:rsidRPr="002029AF">
              <w:t>Less</w:t>
            </w:r>
            <w:r w:rsidR="000A5329" w:rsidRPr="002029AF">
              <w:t xml:space="preserve"> </w:t>
            </w:r>
            <w:r w:rsidRPr="002029AF">
              <w:t>separations</w:t>
            </w:r>
          </w:p>
        </w:tc>
        <w:tc>
          <w:tcPr>
            <w:tcW w:w="1698" w:type="dxa"/>
          </w:tcPr>
          <w:p w14:paraId="2817EBC0" w14:textId="77777777" w:rsidR="00CF72D5" w:rsidRPr="002029AF" w:rsidRDefault="00CF72D5" w:rsidP="00897193">
            <w:pPr>
              <w:pStyle w:val="ARtabletextright"/>
            </w:pPr>
            <w:r w:rsidRPr="002029AF">
              <w:t>0</w:t>
            </w:r>
          </w:p>
        </w:tc>
        <w:tc>
          <w:tcPr>
            <w:tcW w:w="1698" w:type="dxa"/>
          </w:tcPr>
          <w:p w14:paraId="38BBE1AB" w14:textId="77777777" w:rsidR="00CF72D5" w:rsidRPr="002029AF" w:rsidRDefault="00CF72D5" w:rsidP="00897193">
            <w:pPr>
              <w:pStyle w:val="ARtabletextright"/>
            </w:pPr>
            <w:r w:rsidRPr="002029AF">
              <w:t>0</w:t>
            </w:r>
          </w:p>
        </w:tc>
      </w:tr>
      <w:tr w:rsidR="00CF72D5" w:rsidRPr="002029AF" w14:paraId="29CEA8EA" w14:textId="77777777" w:rsidTr="00897193">
        <w:tc>
          <w:tcPr>
            <w:tcW w:w="6231" w:type="dxa"/>
          </w:tcPr>
          <w:p w14:paraId="4BE242A3" w14:textId="44F1DC23" w:rsidR="00CF72D5" w:rsidRPr="002029AF" w:rsidRDefault="00CF72D5" w:rsidP="00897193">
            <w:pPr>
              <w:pStyle w:val="ARtabletextbold"/>
            </w:pPr>
            <w:r w:rsidRPr="002029AF">
              <w:t>Total</w:t>
            </w:r>
            <w:r w:rsidR="000A5329" w:rsidRPr="002029AF">
              <w:t xml:space="preserve"> </w:t>
            </w:r>
            <w:r w:rsidRPr="002029AF">
              <w:t>executive</w:t>
            </w:r>
            <w:r w:rsidR="000A5329" w:rsidRPr="002029AF">
              <w:t xml:space="preserve"> </w:t>
            </w:r>
            <w:r w:rsidRPr="002029AF">
              <w:t>numbers</w:t>
            </w:r>
            <w:r w:rsidR="000A5329" w:rsidRPr="002029AF">
              <w:t xml:space="preserve"> </w:t>
            </w:r>
            <w:r w:rsidRPr="002029AF">
              <w:t>at</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p>
        </w:tc>
        <w:tc>
          <w:tcPr>
            <w:tcW w:w="1698" w:type="dxa"/>
          </w:tcPr>
          <w:p w14:paraId="42233E48" w14:textId="77777777" w:rsidR="00CF72D5" w:rsidRPr="002029AF" w:rsidRDefault="00CF72D5" w:rsidP="00897193">
            <w:pPr>
              <w:pStyle w:val="ARtabletextrightbold"/>
            </w:pPr>
            <w:r w:rsidRPr="002029AF">
              <w:t>7</w:t>
            </w:r>
          </w:p>
        </w:tc>
        <w:tc>
          <w:tcPr>
            <w:tcW w:w="1698" w:type="dxa"/>
          </w:tcPr>
          <w:p w14:paraId="5D192C8B" w14:textId="77777777" w:rsidR="00CF72D5" w:rsidRPr="002029AF" w:rsidRDefault="00CF72D5" w:rsidP="00897193">
            <w:pPr>
              <w:pStyle w:val="ARtabletextrightbold"/>
            </w:pPr>
            <w:r w:rsidRPr="002029AF">
              <w:t>5</w:t>
            </w:r>
          </w:p>
        </w:tc>
      </w:tr>
    </w:tbl>
    <w:p w14:paraId="7832D95E" w14:textId="474D2E4A" w:rsidR="00CF72D5" w:rsidRPr="002029AF" w:rsidRDefault="00CF72D5" w:rsidP="00897193">
      <w:pPr>
        <w:pStyle w:val="Heading4"/>
      </w:pPr>
      <w:r w:rsidRPr="002029AF">
        <w:t>Table</w:t>
      </w:r>
      <w:r w:rsidR="000A5329" w:rsidRPr="002029AF">
        <w:t xml:space="preserve"> </w:t>
      </w:r>
      <w:r w:rsidRPr="002029AF">
        <w:t>9:</w:t>
      </w:r>
      <w:r w:rsidR="000A5329" w:rsidRPr="002029AF">
        <w:t xml:space="preserve"> </w:t>
      </w:r>
      <w:r w:rsidRPr="002029AF">
        <w:t>Total</w:t>
      </w:r>
      <w:r w:rsidR="000A5329" w:rsidRPr="002029AF">
        <w:t xml:space="preserve"> </w:t>
      </w:r>
      <w:r w:rsidRPr="002029AF">
        <w:t>number</w:t>
      </w:r>
      <w:r w:rsidR="000A5329" w:rsidRPr="002029AF">
        <w:t xml:space="preserve"> </w:t>
      </w:r>
      <w:r w:rsidRPr="002029AF">
        <w:t>of</w:t>
      </w:r>
      <w:r w:rsidR="000A5329" w:rsidRPr="002029AF">
        <w:t xml:space="preserve"> </w:t>
      </w:r>
      <w:r w:rsidRPr="002029AF">
        <w:t>EOs</w:t>
      </w:r>
      <w:r w:rsidR="000A5329" w:rsidRPr="002029AF">
        <w:t xml:space="preserve"> </w:t>
      </w:r>
      <w:r w:rsidRPr="002029AF">
        <w:t>for</w:t>
      </w:r>
      <w:r w:rsidR="000A5329" w:rsidRPr="002029AF">
        <w:t xml:space="preserve"> </w:t>
      </w:r>
      <w:r w:rsidRPr="002029AF">
        <w:t>Victorian</w:t>
      </w:r>
      <w:r w:rsidR="000A5329" w:rsidRPr="002029AF">
        <w:t xml:space="preserve"> </w:t>
      </w:r>
      <w:r w:rsidRPr="002029AF">
        <w:t>Agency</w:t>
      </w:r>
      <w:r w:rsidR="000A5329" w:rsidRPr="002029AF">
        <w:t xml:space="preserve"> </w:t>
      </w:r>
      <w:r w:rsidRPr="002029AF">
        <w:t>for</w:t>
      </w:r>
      <w:r w:rsidR="000A5329" w:rsidRPr="002029AF">
        <w:t xml:space="preserve"> </w:t>
      </w:r>
      <w:r w:rsidRPr="002029AF">
        <w:t>Health</w:t>
      </w:r>
      <w:r w:rsidR="000A5329" w:rsidRPr="002029AF">
        <w:t xml:space="preserve"> </w:t>
      </w:r>
      <w:r w:rsidRPr="002029AF">
        <w:t>Information,</w:t>
      </w:r>
      <w:r w:rsidR="000A5329" w:rsidRPr="002029AF">
        <w:t xml:space="preserve"> </w:t>
      </w:r>
      <w:r w:rsidRPr="002029AF">
        <w:t>broken</w:t>
      </w:r>
      <w:r w:rsidR="000A5329" w:rsidRPr="002029AF">
        <w:t xml:space="preserve"> </w:t>
      </w:r>
      <w:r w:rsidRPr="002029AF">
        <w:t>down</w:t>
      </w:r>
      <w:r w:rsidR="000A5329" w:rsidRPr="002029AF">
        <w:t xml:space="preserve"> </w:t>
      </w:r>
      <w:r w:rsidRPr="002029AF">
        <w:t>by</w:t>
      </w:r>
      <w:r w:rsidR="000A5329" w:rsidRPr="002029AF">
        <w:t xml:space="preserve"> </w:t>
      </w:r>
      <w:r w:rsidRPr="002029AF">
        <w:t>gender</w:t>
      </w:r>
    </w:p>
    <w:tbl>
      <w:tblPr>
        <w:tblW w:w="9640" w:type="dxa"/>
        <w:tblInd w:w="5" w:type="dxa"/>
        <w:tblBorders>
          <w:left w:val="single" w:sz="4" w:space="0" w:color="FFFFFF"/>
          <w:bottom w:val="single" w:sz="4" w:space="0" w:color="auto"/>
          <w:right w:val="single" w:sz="4" w:space="0" w:color="FFFFFF"/>
          <w:insideH w:val="single" w:sz="4" w:space="0" w:color="auto"/>
          <w:insideV w:val="single" w:sz="4" w:space="0" w:color="FFFFFF"/>
        </w:tblBorders>
        <w:tblLayout w:type="fixed"/>
        <w:tblCellMar>
          <w:left w:w="0" w:type="dxa"/>
        </w:tblCellMar>
        <w:tblLook w:val="06A0" w:firstRow="1" w:lastRow="0" w:firstColumn="1" w:lastColumn="0" w:noHBand="1" w:noVBand="1"/>
      </w:tblPr>
      <w:tblGrid>
        <w:gridCol w:w="1691"/>
        <w:gridCol w:w="1004"/>
        <w:gridCol w:w="992"/>
        <w:gridCol w:w="283"/>
        <w:gridCol w:w="851"/>
        <w:gridCol w:w="850"/>
        <w:gridCol w:w="284"/>
        <w:gridCol w:w="709"/>
        <w:gridCol w:w="992"/>
        <w:gridCol w:w="283"/>
        <w:gridCol w:w="709"/>
        <w:gridCol w:w="992"/>
      </w:tblGrid>
      <w:tr w:rsidR="00871DEF" w:rsidRPr="002029AF" w14:paraId="7A8F699A" w14:textId="77777777" w:rsidTr="00871DEF">
        <w:trPr>
          <w:cantSplit/>
          <w:tblHeader/>
        </w:trPr>
        <w:tc>
          <w:tcPr>
            <w:tcW w:w="1691" w:type="dxa"/>
            <w:vMerge w:val="restart"/>
            <w:shd w:val="clear" w:color="auto" w:fill="auto"/>
            <w:vAlign w:val="bottom"/>
          </w:tcPr>
          <w:p w14:paraId="51C9EC79" w14:textId="778BD503" w:rsidR="00871DEF" w:rsidRPr="002029AF" w:rsidRDefault="00871DEF" w:rsidP="00897193">
            <w:pPr>
              <w:pStyle w:val="ARtablecolhead"/>
            </w:pPr>
            <w:r w:rsidRPr="002029AF">
              <w:t>Class</w:t>
            </w:r>
          </w:p>
        </w:tc>
        <w:tc>
          <w:tcPr>
            <w:tcW w:w="2279" w:type="dxa"/>
            <w:gridSpan w:val="3"/>
            <w:shd w:val="clear" w:color="auto" w:fill="auto"/>
            <w:vAlign w:val="bottom"/>
          </w:tcPr>
          <w:p w14:paraId="4A81CB94" w14:textId="77777777" w:rsidR="00871DEF" w:rsidRPr="002029AF" w:rsidRDefault="00871DEF" w:rsidP="00871DEF">
            <w:pPr>
              <w:pStyle w:val="ARtablecolheadcentre"/>
              <w:ind w:left="227"/>
            </w:pPr>
            <w:r w:rsidRPr="002029AF">
              <w:t>All</w:t>
            </w:r>
          </w:p>
        </w:tc>
        <w:tc>
          <w:tcPr>
            <w:tcW w:w="1985" w:type="dxa"/>
            <w:gridSpan w:val="3"/>
            <w:shd w:val="clear" w:color="auto" w:fill="auto"/>
            <w:vAlign w:val="bottom"/>
          </w:tcPr>
          <w:p w14:paraId="706BBCA3" w14:textId="77777777" w:rsidR="00871DEF" w:rsidRPr="002029AF" w:rsidRDefault="00871DEF" w:rsidP="00871DEF">
            <w:pPr>
              <w:pStyle w:val="ARtablecolheadcentre"/>
              <w:ind w:left="227"/>
            </w:pPr>
            <w:r w:rsidRPr="002029AF">
              <w:t>Women</w:t>
            </w:r>
          </w:p>
        </w:tc>
        <w:tc>
          <w:tcPr>
            <w:tcW w:w="1984" w:type="dxa"/>
            <w:gridSpan w:val="3"/>
            <w:shd w:val="clear" w:color="auto" w:fill="auto"/>
            <w:vAlign w:val="bottom"/>
          </w:tcPr>
          <w:p w14:paraId="7030AB2E" w14:textId="77777777" w:rsidR="00871DEF" w:rsidRPr="002029AF" w:rsidRDefault="00871DEF" w:rsidP="00871DEF">
            <w:pPr>
              <w:pStyle w:val="ARtablecolheadcentre"/>
              <w:ind w:left="227"/>
            </w:pPr>
            <w:r w:rsidRPr="002029AF">
              <w:t>Men</w:t>
            </w:r>
          </w:p>
        </w:tc>
        <w:tc>
          <w:tcPr>
            <w:tcW w:w="1701" w:type="dxa"/>
            <w:gridSpan w:val="2"/>
            <w:shd w:val="clear" w:color="auto" w:fill="auto"/>
            <w:vAlign w:val="bottom"/>
          </w:tcPr>
          <w:p w14:paraId="1623E831" w14:textId="77777777" w:rsidR="00871DEF" w:rsidRPr="002029AF" w:rsidRDefault="00871DEF" w:rsidP="00897193">
            <w:pPr>
              <w:pStyle w:val="ARtablecolheadcentre"/>
            </w:pPr>
            <w:r w:rsidRPr="002029AF">
              <w:t>Self-described</w:t>
            </w:r>
          </w:p>
        </w:tc>
      </w:tr>
      <w:tr w:rsidR="00871DEF" w:rsidRPr="002029AF" w14:paraId="43A4B732" w14:textId="77777777" w:rsidTr="00871DEF">
        <w:trPr>
          <w:cantSplit/>
          <w:tblHeader/>
        </w:trPr>
        <w:tc>
          <w:tcPr>
            <w:tcW w:w="1691" w:type="dxa"/>
            <w:vMerge/>
            <w:shd w:val="clear" w:color="auto" w:fill="auto"/>
            <w:vAlign w:val="bottom"/>
          </w:tcPr>
          <w:p w14:paraId="6AD335EC" w14:textId="5C1A49BE" w:rsidR="00871DEF" w:rsidRPr="002029AF" w:rsidRDefault="00871DEF" w:rsidP="00897193">
            <w:pPr>
              <w:pStyle w:val="ARtablecolhead"/>
            </w:pPr>
          </w:p>
        </w:tc>
        <w:tc>
          <w:tcPr>
            <w:tcW w:w="1004" w:type="dxa"/>
            <w:shd w:val="clear" w:color="auto" w:fill="auto"/>
            <w:vAlign w:val="bottom"/>
          </w:tcPr>
          <w:p w14:paraId="43C89E0A" w14:textId="77777777" w:rsidR="00871DEF" w:rsidRPr="002029AF" w:rsidRDefault="00871DEF" w:rsidP="00897193">
            <w:pPr>
              <w:pStyle w:val="ARtablecolheadright"/>
            </w:pPr>
            <w:r w:rsidRPr="002029AF">
              <w:t>No.</w:t>
            </w:r>
          </w:p>
        </w:tc>
        <w:tc>
          <w:tcPr>
            <w:tcW w:w="992" w:type="dxa"/>
            <w:shd w:val="clear" w:color="auto" w:fill="auto"/>
            <w:vAlign w:val="bottom"/>
          </w:tcPr>
          <w:p w14:paraId="0263B07E" w14:textId="77777777" w:rsidR="00871DEF" w:rsidRPr="002029AF" w:rsidRDefault="00871DEF" w:rsidP="00897193">
            <w:pPr>
              <w:pStyle w:val="ARtablecolheadright"/>
            </w:pPr>
            <w:r w:rsidRPr="002029AF">
              <w:t>Var.</w:t>
            </w:r>
          </w:p>
        </w:tc>
        <w:tc>
          <w:tcPr>
            <w:tcW w:w="1134" w:type="dxa"/>
            <w:gridSpan w:val="2"/>
            <w:shd w:val="clear" w:color="auto" w:fill="auto"/>
            <w:vAlign w:val="bottom"/>
          </w:tcPr>
          <w:p w14:paraId="4576707E" w14:textId="77777777" w:rsidR="00871DEF" w:rsidRPr="002029AF" w:rsidRDefault="00871DEF" w:rsidP="00897193">
            <w:pPr>
              <w:pStyle w:val="ARtablecolheadright"/>
            </w:pPr>
            <w:r w:rsidRPr="002029AF">
              <w:t>No.</w:t>
            </w:r>
          </w:p>
        </w:tc>
        <w:tc>
          <w:tcPr>
            <w:tcW w:w="850" w:type="dxa"/>
            <w:shd w:val="clear" w:color="auto" w:fill="auto"/>
            <w:vAlign w:val="bottom"/>
          </w:tcPr>
          <w:p w14:paraId="6BC67DBF" w14:textId="77777777" w:rsidR="00871DEF" w:rsidRPr="002029AF" w:rsidRDefault="00871DEF" w:rsidP="00897193">
            <w:pPr>
              <w:pStyle w:val="ARtablecolheadright"/>
            </w:pPr>
            <w:r w:rsidRPr="002029AF">
              <w:t>Var.</w:t>
            </w:r>
          </w:p>
        </w:tc>
        <w:tc>
          <w:tcPr>
            <w:tcW w:w="993" w:type="dxa"/>
            <w:gridSpan w:val="2"/>
            <w:shd w:val="clear" w:color="auto" w:fill="auto"/>
            <w:vAlign w:val="bottom"/>
          </w:tcPr>
          <w:p w14:paraId="38D2EF6A" w14:textId="77777777" w:rsidR="00871DEF" w:rsidRPr="002029AF" w:rsidRDefault="00871DEF" w:rsidP="00897193">
            <w:pPr>
              <w:pStyle w:val="ARtablecolheadright"/>
            </w:pPr>
            <w:r w:rsidRPr="002029AF">
              <w:t>No.</w:t>
            </w:r>
          </w:p>
        </w:tc>
        <w:tc>
          <w:tcPr>
            <w:tcW w:w="992" w:type="dxa"/>
            <w:shd w:val="clear" w:color="auto" w:fill="auto"/>
            <w:vAlign w:val="bottom"/>
          </w:tcPr>
          <w:p w14:paraId="0F37860F" w14:textId="77777777" w:rsidR="00871DEF" w:rsidRPr="002029AF" w:rsidRDefault="00871DEF" w:rsidP="00897193">
            <w:pPr>
              <w:pStyle w:val="ARtablecolheadright"/>
            </w:pPr>
            <w:r w:rsidRPr="002029AF">
              <w:t>Var.</w:t>
            </w:r>
          </w:p>
        </w:tc>
        <w:tc>
          <w:tcPr>
            <w:tcW w:w="992" w:type="dxa"/>
            <w:gridSpan w:val="2"/>
            <w:shd w:val="clear" w:color="auto" w:fill="auto"/>
            <w:vAlign w:val="bottom"/>
          </w:tcPr>
          <w:p w14:paraId="601EAB0A" w14:textId="77777777" w:rsidR="00871DEF" w:rsidRPr="002029AF" w:rsidRDefault="00871DEF" w:rsidP="00897193">
            <w:pPr>
              <w:pStyle w:val="ARtablecolheadright"/>
            </w:pPr>
            <w:r w:rsidRPr="002029AF">
              <w:t>No.</w:t>
            </w:r>
          </w:p>
        </w:tc>
        <w:tc>
          <w:tcPr>
            <w:tcW w:w="992" w:type="dxa"/>
            <w:shd w:val="clear" w:color="auto" w:fill="auto"/>
          </w:tcPr>
          <w:p w14:paraId="13948450" w14:textId="77777777" w:rsidR="00871DEF" w:rsidRPr="002029AF" w:rsidRDefault="00871DEF" w:rsidP="00897193">
            <w:pPr>
              <w:pStyle w:val="ARtablecolheadright"/>
            </w:pPr>
            <w:r w:rsidRPr="002029AF">
              <w:t>Var.</w:t>
            </w:r>
          </w:p>
        </w:tc>
      </w:tr>
      <w:tr w:rsidR="00CF72D5" w:rsidRPr="002029AF" w14:paraId="5C3B580A" w14:textId="77777777" w:rsidTr="00871DEF">
        <w:trPr>
          <w:cantSplit/>
          <w:trHeight w:hRule="exact" w:val="340"/>
        </w:trPr>
        <w:tc>
          <w:tcPr>
            <w:tcW w:w="1691" w:type="dxa"/>
            <w:shd w:val="clear" w:color="auto" w:fill="auto"/>
          </w:tcPr>
          <w:p w14:paraId="2114D39B" w14:textId="77777777" w:rsidR="00CF72D5" w:rsidRPr="002029AF" w:rsidRDefault="00CF72D5" w:rsidP="00897193">
            <w:pPr>
              <w:pStyle w:val="ARtabletext"/>
            </w:pPr>
            <w:r w:rsidRPr="002029AF">
              <w:t>EO-1</w:t>
            </w:r>
          </w:p>
        </w:tc>
        <w:tc>
          <w:tcPr>
            <w:tcW w:w="1004" w:type="dxa"/>
            <w:shd w:val="clear" w:color="auto" w:fill="auto"/>
          </w:tcPr>
          <w:p w14:paraId="37069E00" w14:textId="77777777" w:rsidR="00CF72D5" w:rsidRPr="002029AF" w:rsidRDefault="00CF72D5" w:rsidP="00897193">
            <w:pPr>
              <w:pStyle w:val="ARtabletextright"/>
            </w:pPr>
            <w:r w:rsidRPr="002029AF">
              <w:t>1</w:t>
            </w:r>
          </w:p>
        </w:tc>
        <w:tc>
          <w:tcPr>
            <w:tcW w:w="992" w:type="dxa"/>
            <w:shd w:val="clear" w:color="auto" w:fill="auto"/>
          </w:tcPr>
          <w:p w14:paraId="13E844CA" w14:textId="77777777" w:rsidR="00CF72D5" w:rsidRPr="002029AF" w:rsidRDefault="00CF72D5" w:rsidP="00897193">
            <w:pPr>
              <w:pStyle w:val="ARtabletextright"/>
            </w:pPr>
            <w:r w:rsidRPr="002029AF">
              <w:t>0</w:t>
            </w:r>
          </w:p>
        </w:tc>
        <w:tc>
          <w:tcPr>
            <w:tcW w:w="1134" w:type="dxa"/>
            <w:gridSpan w:val="2"/>
            <w:shd w:val="clear" w:color="auto" w:fill="auto"/>
          </w:tcPr>
          <w:p w14:paraId="50A3A43E" w14:textId="77777777" w:rsidR="00CF72D5" w:rsidRPr="002029AF" w:rsidRDefault="00CF72D5" w:rsidP="00897193">
            <w:pPr>
              <w:pStyle w:val="ARtabletextright"/>
            </w:pPr>
            <w:r w:rsidRPr="002029AF">
              <w:t>0</w:t>
            </w:r>
          </w:p>
        </w:tc>
        <w:tc>
          <w:tcPr>
            <w:tcW w:w="850" w:type="dxa"/>
            <w:shd w:val="clear" w:color="auto" w:fill="auto"/>
          </w:tcPr>
          <w:p w14:paraId="30E0B478" w14:textId="77777777" w:rsidR="00CF72D5" w:rsidRPr="002029AF" w:rsidRDefault="00CF72D5" w:rsidP="00897193">
            <w:pPr>
              <w:pStyle w:val="ARtabletextright"/>
            </w:pPr>
            <w:r w:rsidRPr="002029AF">
              <w:t>0</w:t>
            </w:r>
          </w:p>
        </w:tc>
        <w:tc>
          <w:tcPr>
            <w:tcW w:w="993" w:type="dxa"/>
            <w:gridSpan w:val="2"/>
            <w:shd w:val="clear" w:color="auto" w:fill="auto"/>
          </w:tcPr>
          <w:p w14:paraId="3778202F" w14:textId="77777777" w:rsidR="00CF72D5" w:rsidRPr="002029AF" w:rsidRDefault="00CF72D5" w:rsidP="00897193">
            <w:pPr>
              <w:pStyle w:val="ARtabletextright"/>
            </w:pPr>
            <w:r w:rsidRPr="002029AF">
              <w:t>1</w:t>
            </w:r>
          </w:p>
        </w:tc>
        <w:tc>
          <w:tcPr>
            <w:tcW w:w="992" w:type="dxa"/>
            <w:shd w:val="clear" w:color="auto" w:fill="auto"/>
          </w:tcPr>
          <w:p w14:paraId="16777495" w14:textId="77777777" w:rsidR="00CF72D5" w:rsidRPr="002029AF" w:rsidRDefault="00CF72D5" w:rsidP="00897193">
            <w:pPr>
              <w:pStyle w:val="ARtabletextright"/>
            </w:pPr>
            <w:r w:rsidRPr="002029AF">
              <w:t>0</w:t>
            </w:r>
          </w:p>
        </w:tc>
        <w:tc>
          <w:tcPr>
            <w:tcW w:w="992" w:type="dxa"/>
            <w:gridSpan w:val="2"/>
            <w:shd w:val="clear" w:color="auto" w:fill="auto"/>
          </w:tcPr>
          <w:p w14:paraId="7FC032DE" w14:textId="77777777" w:rsidR="00CF72D5" w:rsidRPr="002029AF" w:rsidRDefault="00CF72D5" w:rsidP="00897193">
            <w:pPr>
              <w:pStyle w:val="ARtabletextright"/>
            </w:pPr>
            <w:r w:rsidRPr="002029AF">
              <w:t>0</w:t>
            </w:r>
          </w:p>
        </w:tc>
        <w:tc>
          <w:tcPr>
            <w:tcW w:w="992" w:type="dxa"/>
            <w:shd w:val="clear" w:color="auto" w:fill="auto"/>
          </w:tcPr>
          <w:p w14:paraId="0B6C7E70" w14:textId="77777777" w:rsidR="00CF72D5" w:rsidRPr="002029AF" w:rsidRDefault="00CF72D5" w:rsidP="00897193">
            <w:pPr>
              <w:pStyle w:val="ARtabletextright"/>
            </w:pPr>
            <w:r w:rsidRPr="002029AF">
              <w:t>0</w:t>
            </w:r>
          </w:p>
        </w:tc>
      </w:tr>
      <w:tr w:rsidR="00CF72D5" w:rsidRPr="002029AF" w14:paraId="3E1E7B15" w14:textId="77777777" w:rsidTr="00871DEF">
        <w:trPr>
          <w:cantSplit/>
          <w:trHeight w:hRule="exact" w:val="340"/>
        </w:trPr>
        <w:tc>
          <w:tcPr>
            <w:tcW w:w="1691" w:type="dxa"/>
            <w:shd w:val="clear" w:color="auto" w:fill="auto"/>
          </w:tcPr>
          <w:p w14:paraId="6BAD712A" w14:textId="77777777" w:rsidR="00CF72D5" w:rsidRPr="002029AF" w:rsidRDefault="00CF72D5" w:rsidP="00897193">
            <w:pPr>
              <w:pStyle w:val="ARtabletext"/>
            </w:pPr>
            <w:r w:rsidRPr="002029AF">
              <w:t>EO-2</w:t>
            </w:r>
          </w:p>
        </w:tc>
        <w:tc>
          <w:tcPr>
            <w:tcW w:w="1004" w:type="dxa"/>
            <w:shd w:val="clear" w:color="auto" w:fill="auto"/>
          </w:tcPr>
          <w:p w14:paraId="77DB49EC" w14:textId="77777777" w:rsidR="00CF72D5" w:rsidRPr="002029AF" w:rsidRDefault="00CF72D5" w:rsidP="00897193">
            <w:pPr>
              <w:pStyle w:val="ARtabletextright"/>
            </w:pPr>
            <w:r w:rsidRPr="002029AF">
              <w:t>1</w:t>
            </w:r>
          </w:p>
        </w:tc>
        <w:tc>
          <w:tcPr>
            <w:tcW w:w="992" w:type="dxa"/>
            <w:shd w:val="clear" w:color="auto" w:fill="auto"/>
          </w:tcPr>
          <w:p w14:paraId="32AFD1B4" w14:textId="77777777" w:rsidR="00CF72D5" w:rsidRPr="002029AF" w:rsidRDefault="00CF72D5" w:rsidP="00897193">
            <w:pPr>
              <w:pStyle w:val="ARtabletextright"/>
            </w:pPr>
            <w:r w:rsidRPr="002029AF">
              <w:t>0</w:t>
            </w:r>
          </w:p>
        </w:tc>
        <w:tc>
          <w:tcPr>
            <w:tcW w:w="1134" w:type="dxa"/>
            <w:gridSpan w:val="2"/>
            <w:shd w:val="clear" w:color="auto" w:fill="auto"/>
          </w:tcPr>
          <w:p w14:paraId="1E0CC0AE" w14:textId="77777777" w:rsidR="00CF72D5" w:rsidRPr="002029AF" w:rsidRDefault="00CF72D5" w:rsidP="00897193">
            <w:pPr>
              <w:pStyle w:val="ARtabletextright"/>
            </w:pPr>
            <w:r w:rsidRPr="002029AF">
              <w:t>1</w:t>
            </w:r>
          </w:p>
        </w:tc>
        <w:tc>
          <w:tcPr>
            <w:tcW w:w="850" w:type="dxa"/>
            <w:shd w:val="clear" w:color="auto" w:fill="auto"/>
          </w:tcPr>
          <w:p w14:paraId="6A48A854" w14:textId="77777777" w:rsidR="00CF72D5" w:rsidRPr="002029AF" w:rsidRDefault="00CF72D5" w:rsidP="00897193">
            <w:pPr>
              <w:pStyle w:val="ARtabletextright"/>
            </w:pPr>
            <w:r w:rsidRPr="002029AF">
              <w:t>0</w:t>
            </w:r>
          </w:p>
        </w:tc>
        <w:tc>
          <w:tcPr>
            <w:tcW w:w="993" w:type="dxa"/>
            <w:gridSpan w:val="2"/>
            <w:shd w:val="clear" w:color="auto" w:fill="auto"/>
          </w:tcPr>
          <w:p w14:paraId="006E858C" w14:textId="77777777" w:rsidR="00CF72D5" w:rsidRPr="002029AF" w:rsidRDefault="00CF72D5" w:rsidP="00897193">
            <w:pPr>
              <w:pStyle w:val="ARtabletextright"/>
            </w:pPr>
            <w:r w:rsidRPr="002029AF">
              <w:t>0</w:t>
            </w:r>
          </w:p>
        </w:tc>
        <w:tc>
          <w:tcPr>
            <w:tcW w:w="992" w:type="dxa"/>
            <w:shd w:val="clear" w:color="auto" w:fill="auto"/>
          </w:tcPr>
          <w:p w14:paraId="2B05F5F8" w14:textId="77777777" w:rsidR="00CF72D5" w:rsidRPr="002029AF" w:rsidRDefault="00CF72D5" w:rsidP="00897193">
            <w:pPr>
              <w:pStyle w:val="ARtabletextright"/>
            </w:pPr>
            <w:r w:rsidRPr="002029AF">
              <w:t>0</w:t>
            </w:r>
          </w:p>
        </w:tc>
        <w:tc>
          <w:tcPr>
            <w:tcW w:w="992" w:type="dxa"/>
            <w:gridSpan w:val="2"/>
            <w:shd w:val="clear" w:color="auto" w:fill="auto"/>
          </w:tcPr>
          <w:p w14:paraId="1EBA0815" w14:textId="77777777" w:rsidR="00CF72D5" w:rsidRPr="002029AF" w:rsidRDefault="00CF72D5" w:rsidP="00897193">
            <w:pPr>
              <w:pStyle w:val="ARtabletextright"/>
            </w:pPr>
            <w:r w:rsidRPr="002029AF">
              <w:t>0</w:t>
            </w:r>
          </w:p>
        </w:tc>
        <w:tc>
          <w:tcPr>
            <w:tcW w:w="992" w:type="dxa"/>
            <w:shd w:val="clear" w:color="auto" w:fill="auto"/>
          </w:tcPr>
          <w:p w14:paraId="61D4DC90" w14:textId="77777777" w:rsidR="00CF72D5" w:rsidRPr="002029AF" w:rsidRDefault="00CF72D5" w:rsidP="00897193">
            <w:pPr>
              <w:pStyle w:val="ARtabletextright"/>
            </w:pPr>
            <w:r w:rsidRPr="002029AF">
              <w:t>0</w:t>
            </w:r>
          </w:p>
        </w:tc>
      </w:tr>
      <w:tr w:rsidR="00CF72D5" w:rsidRPr="002029AF" w14:paraId="2D695E24" w14:textId="77777777" w:rsidTr="00871DEF">
        <w:trPr>
          <w:cantSplit/>
          <w:trHeight w:hRule="exact" w:val="340"/>
        </w:trPr>
        <w:tc>
          <w:tcPr>
            <w:tcW w:w="1691" w:type="dxa"/>
            <w:shd w:val="clear" w:color="auto" w:fill="auto"/>
          </w:tcPr>
          <w:p w14:paraId="3264B30A" w14:textId="77777777" w:rsidR="00CF72D5" w:rsidRPr="002029AF" w:rsidRDefault="00CF72D5" w:rsidP="00897193">
            <w:pPr>
              <w:pStyle w:val="ARtabletext"/>
            </w:pPr>
            <w:r w:rsidRPr="002029AF">
              <w:t>EO-3</w:t>
            </w:r>
          </w:p>
        </w:tc>
        <w:tc>
          <w:tcPr>
            <w:tcW w:w="1004" w:type="dxa"/>
            <w:shd w:val="clear" w:color="auto" w:fill="auto"/>
          </w:tcPr>
          <w:p w14:paraId="5C355B60" w14:textId="77777777" w:rsidR="00CF72D5" w:rsidRPr="002029AF" w:rsidRDefault="00CF72D5" w:rsidP="00897193">
            <w:pPr>
              <w:pStyle w:val="ARtabletextright"/>
            </w:pPr>
            <w:r w:rsidRPr="002029AF">
              <w:t>4</w:t>
            </w:r>
          </w:p>
        </w:tc>
        <w:tc>
          <w:tcPr>
            <w:tcW w:w="992" w:type="dxa"/>
            <w:shd w:val="clear" w:color="auto" w:fill="auto"/>
          </w:tcPr>
          <w:p w14:paraId="05FF5C6D" w14:textId="77777777" w:rsidR="00CF72D5" w:rsidRPr="002029AF" w:rsidRDefault="00CF72D5" w:rsidP="00897193">
            <w:pPr>
              <w:pStyle w:val="ARtabletextright"/>
            </w:pPr>
            <w:r w:rsidRPr="002029AF">
              <w:t>0</w:t>
            </w:r>
          </w:p>
        </w:tc>
        <w:tc>
          <w:tcPr>
            <w:tcW w:w="1134" w:type="dxa"/>
            <w:gridSpan w:val="2"/>
            <w:shd w:val="clear" w:color="auto" w:fill="auto"/>
          </w:tcPr>
          <w:p w14:paraId="30898050" w14:textId="77777777" w:rsidR="00CF72D5" w:rsidRPr="002029AF" w:rsidRDefault="00CF72D5" w:rsidP="00897193">
            <w:pPr>
              <w:pStyle w:val="ARtabletextright"/>
            </w:pPr>
            <w:r w:rsidRPr="002029AF">
              <w:t>2</w:t>
            </w:r>
          </w:p>
        </w:tc>
        <w:tc>
          <w:tcPr>
            <w:tcW w:w="850" w:type="dxa"/>
            <w:shd w:val="clear" w:color="auto" w:fill="auto"/>
          </w:tcPr>
          <w:p w14:paraId="260C582D" w14:textId="77777777" w:rsidR="00CF72D5" w:rsidRPr="002029AF" w:rsidRDefault="00CF72D5" w:rsidP="00897193">
            <w:pPr>
              <w:pStyle w:val="ARtabletextright"/>
            </w:pPr>
            <w:r w:rsidRPr="002029AF">
              <w:t>0</w:t>
            </w:r>
          </w:p>
        </w:tc>
        <w:tc>
          <w:tcPr>
            <w:tcW w:w="993" w:type="dxa"/>
            <w:gridSpan w:val="2"/>
            <w:shd w:val="clear" w:color="auto" w:fill="auto"/>
          </w:tcPr>
          <w:p w14:paraId="429F8B64" w14:textId="77777777" w:rsidR="00CF72D5" w:rsidRPr="002029AF" w:rsidRDefault="00CF72D5" w:rsidP="00897193">
            <w:pPr>
              <w:pStyle w:val="ARtabletextright"/>
            </w:pPr>
            <w:r w:rsidRPr="002029AF">
              <w:t>2</w:t>
            </w:r>
          </w:p>
        </w:tc>
        <w:tc>
          <w:tcPr>
            <w:tcW w:w="992" w:type="dxa"/>
            <w:shd w:val="clear" w:color="auto" w:fill="auto"/>
          </w:tcPr>
          <w:p w14:paraId="7DB35B62" w14:textId="77777777" w:rsidR="00CF72D5" w:rsidRPr="002029AF" w:rsidRDefault="00CF72D5" w:rsidP="00897193">
            <w:pPr>
              <w:pStyle w:val="ARtabletextright"/>
            </w:pPr>
            <w:r w:rsidRPr="002029AF">
              <w:t>0</w:t>
            </w:r>
          </w:p>
        </w:tc>
        <w:tc>
          <w:tcPr>
            <w:tcW w:w="992" w:type="dxa"/>
            <w:gridSpan w:val="2"/>
            <w:shd w:val="clear" w:color="auto" w:fill="auto"/>
          </w:tcPr>
          <w:p w14:paraId="64C5B98F" w14:textId="77777777" w:rsidR="00CF72D5" w:rsidRPr="002029AF" w:rsidRDefault="00CF72D5" w:rsidP="00897193">
            <w:pPr>
              <w:pStyle w:val="ARtabletextright"/>
            </w:pPr>
            <w:r w:rsidRPr="002029AF">
              <w:t>0</w:t>
            </w:r>
          </w:p>
        </w:tc>
        <w:tc>
          <w:tcPr>
            <w:tcW w:w="992" w:type="dxa"/>
            <w:shd w:val="clear" w:color="auto" w:fill="auto"/>
          </w:tcPr>
          <w:p w14:paraId="106C7FA4" w14:textId="77777777" w:rsidR="00CF72D5" w:rsidRPr="002029AF" w:rsidRDefault="00CF72D5" w:rsidP="00897193">
            <w:pPr>
              <w:pStyle w:val="ARtabletextright"/>
            </w:pPr>
            <w:r w:rsidRPr="002029AF">
              <w:t>0</w:t>
            </w:r>
          </w:p>
        </w:tc>
      </w:tr>
      <w:tr w:rsidR="00CF72D5" w:rsidRPr="002029AF" w14:paraId="348F6D02" w14:textId="77777777" w:rsidTr="00871DEF">
        <w:trPr>
          <w:cantSplit/>
          <w:trHeight w:hRule="exact" w:val="340"/>
        </w:trPr>
        <w:tc>
          <w:tcPr>
            <w:tcW w:w="1691" w:type="dxa"/>
            <w:shd w:val="clear" w:color="auto" w:fill="auto"/>
          </w:tcPr>
          <w:p w14:paraId="3E4D6152" w14:textId="77777777" w:rsidR="00CF72D5" w:rsidRPr="002029AF" w:rsidRDefault="00CF72D5" w:rsidP="00897193">
            <w:pPr>
              <w:pStyle w:val="ARtabletextbold"/>
            </w:pPr>
            <w:r w:rsidRPr="002029AF">
              <w:t>Total</w:t>
            </w:r>
          </w:p>
        </w:tc>
        <w:tc>
          <w:tcPr>
            <w:tcW w:w="1004" w:type="dxa"/>
            <w:shd w:val="clear" w:color="auto" w:fill="auto"/>
          </w:tcPr>
          <w:p w14:paraId="399B6340" w14:textId="77777777" w:rsidR="00CF72D5" w:rsidRPr="002029AF" w:rsidRDefault="00CF72D5" w:rsidP="00897193">
            <w:pPr>
              <w:pStyle w:val="ARtabletextrightbold"/>
            </w:pPr>
            <w:r w:rsidRPr="002029AF">
              <w:t>6</w:t>
            </w:r>
          </w:p>
        </w:tc>
        <w:tc>
          <w:tcPr>
            <w:tcW w:w="992" w:type="dxa"/>
            <w:shd w:val="clear" w:color="auto" w:fill="auto"/>
          </w:tcPr>
          <w:p w14:paraId="193B6DA3" w14:textId="77777777" w:rsidR="00CF72D5" w:rsidRPr="002029AF" w:rsidRDefault="00CF72D5" w:rsidP="00897193">
            <w:pPr>
              <w:pStyle w:val="ARtabletextrightbold"/>
            </w:pPr>
            <w:r w:rsidRPr="002029AF">
              <w:t>0</w:t>
            </w:r>
          </w:p>
        </w:tc>
        <w:tc>
          <w:tcPr>
            <w:tcW w:w="1134" w:type="dxa"/>
            <w:gridSpan w:val="2"/>
            <w:shd w:val="clear" w:color="auto" w:fill="auto"/>
          </w:tcPr>
          <w:p w14:paraId="17E9C276" w14:textId="77777777" w:rsidR="00CF72D5" w:rsidRPr="002029AF" w:rsidRDefault="00CF72D5" w:rsidP="00897193">
            <w:pPr>
              <w:pStyle w:val="ARtabletextrightbold"/>
            </w:pPr>
            <w:r w:rsidRPr="002029AF">
              <w:t>3</w:t>
            </w:r>
          </w:p>
        </w:tc>
        <w:tc>
          <w:tcPr>
            <w:tcW w:w="850" w:type="dxa"/>
            <w:shd w:val="clear" w:color="auto" w:fill="auto"/>
          </w:tcPr>
          <w:p w14:paraId="7DD5DDD7" w14:textId="77777777" w:rsidR="00CF72D5" w:rsidRPr="002029AF" w:rsidRDefault="00CF72D5" w:rsidP="00897193">
            <w:pPr>
              <w:pStyle w:val="ARtabletextrightbold"/>
            </w:pPr>
            <w:r w:rsidRPr="002029AF">
              <w:t>0</w:t>
            </w:r>
          </w:p>
        </w:tc>
        <w:tc>
          <w:tcPr>
            <w:tcW w:w="993" w:type="dxa"/>
            <w:gridSpan w:val="2"/>
            <w:shd w:val="clear" w:color="auto" w:fill="auto"/>
          </w:tcPr>
          <w:p w14:paraId="10AC6B0F" w14:textId="77777777" w:rsidR="00CF72D5" w:rsidRPr="002029AF" w:rsidRDefault="00CF72D5" w:rsidP="00897193">
            <w:pPr>
              <w:pStyle w:val="ARtabletextrightbold"/>
            </w:pPr>
            <w:r w:rsidRPr="002029AF">
              <w:t>3</w:t>
            </w:r>
          </w:p>
        </w:tc>
        <w:tc>
          <w:tcPr>
            <w:tcW w:w="992" w:type="dxa"/>
            <w:shd w:val="clear" w:color="auto" w:fill="auto"/>
          </w:tcPr>
          <w:p w14:paraId="4193CBEE" w14:textId="77777777" w:rsidR="00CF72D5" w:rsidRPr="002029AF" w:rsidRDefault="00CF72D5" w:rsidP="00897193">
            <w:pPr>
              <w:pStyle w:val="ARtabletextrightbold"/>
            </w:pPr>
            <w:r w:rsidRPr="002029AF">
              <w:t>0</w:t>
            </w:r>
          </w:p>
        </w:tc>
        <w:tc>
          <w:tcPr>
            <w:tcW w:w="992" w:type="dxa"/>
            <w:gridSpan w:val="2"/>
            <w:shd w:val="clear" w:color="auto" w:fill="auto"/>
          </w:tcPr>
          <w:p w14:paraId="5E034D1D" w14:textId="77777777" w:rsidR="00CF72D5" w:rsidRPr="002029AF" w:rsidRDefault="00CF72D5" w:rsidP="00897193">
            <w:pPr>
              <w:pStyle w:val="ARtabletextrightbold"/>
            </w:pPr>
            <w:r w:rsidRPr="002029AF">
              <w:t>0</w:t>
            </w:r>
          </w:p>
        </w:tc>
        <w:tc>
          <w:tcPr>
            <w:tcW w:w="992" w:type="dxa"/>
            <w:shd w:val="clear" w:color="auto" w:fill="auto"/>
          </w:tcPr>
          <w:p w14:paraId="3FB241B4" w14:textId="77777777" w:rsidR="00CF72D5" w:rsidRPr="002029AF" w:rsidRDefault="00CF72D5" w:rsidP="00897193">
            <w:pPr>
              <w:pStyle w:val="ARtabletextrightbold"/>
            </w:pPr>
            <w:r w:rsidRPr="002029AF">
              <w:t>0</w:t>
            </w:r>
          </w:p>
        </w:tc>
      </w:tr>
    </w:tbl>
    <w:p w14:paraId="631E1EF9" w14:textId="77777777" w:rsidR="00B95D52" w:rsidRPr="00B95D52" w:rsidRDefault="00B95D52" w:rsidP="00B95D52">
      <w:pPr>
        <w:pStyle w:val="ARbody"/>
      </w:pPr>
      <w:r w:rsidRPr="00B95D52">
        <w:br w:type="page"/>
      </w:r>
    </w:p>
    <w:p w14:paraId="7D55BEAA" w14:textId="053C4BD8" w:rsidR="00CF72D5" w:rsidRPr="002029AF" w:rsidRDefault="00CF72D5" w:rsidP="00897193">
      <w:pPr>
        <w:pStyle w:val="ARbodyaftertable"/>
        <w:spacing w:before="120"/>
      </w:pPr>
      <w:r w:rsidRPr="002029AF">
        <w:lastRenderedPageBreak/>
        <w:t>The</w:t>
      </w:r>
      <w:r w:rsidR="000A5329" w:rsidRPr="002029AF">
        <w:t xml:space="preserve"> </w:t>
      </w:r>
      <w:r w:rsidRPr="002029AF">
        <w:t>number</w:t>
      </w:r>
      <w:r w:rsidR="000A5329" w:rsidRPr="002029AF">
        <w:t xml:space="preserve"> </w:t>
      </w:r>
      <w:r w:rsidRPr="002029AF">
        <w:t>of</w:t>
      </w:r>
      <w:r w:rsidR="000A5329" w:rsidRPr="002029AF">
        <w:t xml:space="preserve"> </w:t>
      </w:r>
      <w:r w:rsidRPr="002029AF">
        <w:t>executives</w:t>
      </w:r>
      <w:r w:rsidR="000A5329" w:rsidRPr="002029AF">
        <w:t xml:space="preserve"> </w:t>
      </w:r>
      <w:r w:rsidRPr="002029AF">
        <w:t>in</w:t>
      </w:r>
      <w:r w:rsidR="000A5329" w:rsidRPr="002029AF">
        <w:t xml:space="preserve"> </w:t>
      </w:r>
      <w:r w:rsidRPr="002029AF">
        <w:t>the</w:t>
      </w:r>
      <w:r w:rsidR="000A5329" w:rsidRPr="002029AF">
        <w:t xml:space="preserve"> </w:t>
      </w:r>
      <w:r w:rsidRPr="002029AF">
        <w:t>report</w:t>
      </w:r>
      <w:r w:rsidR="000A5329" w:rsidRPr="002029AF">
        <w:t xml:space="preserve"> </w:t>
      </w:r>
      <w:r w:rsidRPr="002029AF">
        <w:t>of</w:t>
      </w:r>
      <w:r w:rsidR="000A5329" w:rsidRPr="002029AF">
        <w:t xml:space="preserve"> </w:t>
      </w:r>
      <w:r w:rsidRPr="002029AF">
        <w:t>operations</w:t>
      </w:r>
      <w:r w:rsidR="000A5329" w:rsidRPr="002029AF">
        <w:t xml:space="preserve"> </w:t>
      </w:r>
      <w:r w:rsidRPr="002029AF">
        <w:t>is</w:t>
      </w:r>
      <w:r w:rsidR="000A5329" w:rsidRPr="002029AF">
        <w:t xml:space="preserve"> </w:t>
      </w:r>
      <w:r w:rsidRPr="002029AF">
        <w:t>based</w:t>
      </w:r>
      <w:r w:rsidR="000A5329" w:rsidRPr="002029AF">
        <w:t xml:space="preserve"> </w:t>
      </w:r>
      <w:r w:rsidRPr="002029AF">
        <w:t>on</w:t>
      </w:r>
      <w:r w:rsidR="000A5329" w:rsidRPr="002029AF">
        <w:t xml:space="preserve"> </w:t>
      </w:r>
      <w:r w:rsidRPr="002029AF">
        <w:t>the</w:t>
      </w:r>
      <w:r w:rsidR="000A5329" w:rsidRPr="002029AF">
        <w:t xml:space="preserve"> </w:t>
      </w:r>
      <w:r w:rsidRPr="002029AF">
        <w:t>number</w:t>
      </w:r>
      <w:r w:rsidR="000A5329" w:rsidRPr="002029AF">
        <w:t xml:space="preserve"> </w:t>
      </w:r>
      <w:r w:rsidRPr="002029AF">
        <w:t>of</w:t>
      </w:r>
      <w:r w:rsidR="000A5329" w:rsidRPr="002029AF">
        <w:t xml:space="preserve"> </w:t>
      </w:r>
      <w:r w:rsidRPr="002029AF">
        <w:t>executive</w:t>
      </w:r>
      <w:r w:rsidR="000A5329" w:rsidRPr="002029AF">
        <w:t xml:space="preserve"> </w:t>
      </w:r>
      <w:r w:rsidRPr="002029AF">
        <w:t>positions</w:t>
      </w:r>
      <w:r w:rsidR="000A5329" w:rsidRPr="002029AF">
        <w:t xml:space="preserve"> </w:t>
      </w:r>
      <w:r w:rsidRPr="002029AF">
        <w:t>that</w:t>
      </w:r>
      <w:r w:rsidR="000A5329" w:rsidRPr="002029AF">
        <w:t xml:space="preserve"> </w:t>
      </w:r>
      <w:r w:rsidRPr="002029AF">
        <w:t>are</w:t>
      </w:r>
      <w:r w:rsidR="000A5329" w:rsidRPr="002029AF">
        <w:t xml:space="preserve"> </w:t>
      </w:r>
      <w:r w:rsidRPr="002029AF">
        <w:t>occupied</w:t>
      </w:r>
      <w:r w:rsidR="000A5329" w:rsidRPr="002029AF">
        <w:t xml:space="preserve"> </w:t>
      </w:r>
      <w:r w:rsidRPr="002029AF">
        <w:t>at</w:t>
      </w:r>
      <w:r w:rsidR="000A5329" w:rsidRPr="002029AF">
        <w:t xml:space="preserve"> </w:t>
      </w:r>
      <w:r w:rsidRPr="002029AF">
        <w:t>the</w:t>
      </w:r>
      <w:r w:rsidR="000A5329" w:rsidRPr="002029AF">
        <w:t xml:space="preserve"> </w:t>
      </w:r>
      <w:r w:rsidRPr="002029AF">
        <w:t>end</w:t>
      </w:r>
      <w:r w:rsidR="000A5329" w:rsidRPr="002029AF">
        <w:t xml:space="preserve"> </w:t>
      </w:r>
      <w:r w:rsidRPr="002029AF">
        <w:t>of</w:t>
      </w:r>
      <w:r w:rsidR="000A5329" w:rsidRPr="002029AF">
        <w:t xml:space="preserve"> </w:t>
      </w:r>
      <w:r w:rsidRPr="002029AF">
        <w:t>the</w:t>
      </w:r>
      <w:r w:rsidR="000A5329" w:rsidRPr="002029AF">
        <w:t xml:space="preserve"> </w:t>
      </w:r>
      <w:r w:rsidRPr="002029AF">
        <w:t>financial</w:t>
      </w:r>
      <w:r w:rsidR="000A5329" w:rsidRPr="002029AF">
        <w:t xml:space="preserve"> </w:t>
      </w:r>
      <w:r w:rsidRPr="002029AF">
        <w:t>year.</w:t>
      </w:r>
      <w:r w:rsidR="000A5329" w:rsidRPr="002029AF">
        <w:t xml:space="preserve"> </w:t>
      </w:r>
      <w:r w:rsidRPr="002029AF">
        <w:t>Note</w:t>
      </w:r>
      <w:r w:rsidR="000A5329" w:rsidRPr="002029AF">
        <w:t xml:space="preserve"> </w:t>
      </w:r>
      <w:r w:rsidRPr="002029AF">
        <w:t>9.7</w:t>
      </w:r>
      <w:r w:rsidR="000A5329" w:rsidRPr="002029AF">
        <w:t xml:space="preserve"> </w:t>
      </w:r>
      <w:r w:rsidRPr="002029AF">
        <w:t>in</w:t>
      </w:r>
      <w:r w:rsidR="000A5329" w:rsidRPr="002029AF">
        <w:t xml:space="preserve"> </w:t>
      </w:r>
      <w:r w:rsidRPr="002029AF">
        <w:t>the</w:t>
      </w:r>
      <w:r w:rsidR="000A5329" w:rsidRPr="002029AF">
        <w:t xml:space="preserve"> </w:t>
      </w:r>
      <w:r w:rsidRPr="002029AF">
        <w:t>financial</w:t>
      </w:r>
      <w:r w:rsidR="000A5329" w:rsidRPr="002029AF">
        <w:t xml:space="preserve"> </w:t>
      </w:r>
      <w:r w:rsidRPr="002029AF">
        <w:t>statements</w:t>
      </w:r>
      <w:r w:rsidR="000A5329" w:rsidRPr="002029AF">
        <w:t xml:space="preserve"> </w:t>
      </w:r>
      <w:r w:rsidRPr="002029AF">
        <w:t>lists</w:t>
      </w:r>
      <w:r w:rsidR="000A5329" w:rsidRPr="002029AF">
        <w:t xml:space="preserve"> </w:t>
      </w:r>
      <w:r w:rsidRPr="002029AF">
        <w:t>the</w:t>
      </w:r>
      <w:r w:rsidR="000A5329" w:rsidRPr="002029AF">
        <w:t xml:space="preserve"> </w:t>
      </w:r>
      <w:r w:rsidRPr="002029AF">
        <w:t>actual</w:t>
      </w:r>
      <w:r w:rsidR="000A5329" w:rsidRPr="002029AF">
        <w:t xml:space="preserve"> </w:t>
      </w:r>
      <w:r w:rsidRPr="002029AF">
        <w:t>number</w:t>
      </w:r>
      <w:r w:rsidR="000A5329" w:rsidRPr="002029AF">
        <w:t xml:space="preserve"> </w:t>
      </w:r>
      <w:r w:rsidRPr="002029AF">
        <w:t>of</w:t>
      </w:r>
      <w:r w:rsidR="000A5329" w:rsidRPr="002029AF">
        <w:t xml:space="preserve"> </w:t>
      </w:r>
      <w:r w:rsidRPr="002029AF">
        <w:t>EOs</w:t>
      </w:r>
      <w:r w:rsidR="000A5329" w:rsidRPr="002029AF">
        <w:t xml:space="preserve"> </w:t>
      </w:r>
      <w:r w:rsidRPr="002029AF">
        <w:t>and</w:t>
      </w:r>
      <w:r w:rsidR="000A5329" w:rsidRPr="002029AF">
        <w:t xml:space="preserve"> </w:t>
      </w:r>
      <w:r w:rsidRPr="002029AF">
        <w:t>the</w:t>
      </w:r>
      <w:r w:rsidR="000A5329" w:rsidRPr="002029AF">
        <w:t xml:space="preserve"> </w:t>
      </w:r>
      <w:r w:rsidRPr="002029AF">
        <w:t>total</w:t>
      </w:r>
      <w:r w:rsidR="000A5329" w:rsidRPr="002029AF">
        <w:t xml:space="preserve"> </w:t>
      </w:r>
      <w:r w:rsidRPr="002029AF">
        <w:t>remuneration</w:t>
      </w:r>
      <w:r w:rsidR="000A5329" w:rsidRPr="002029AF">
        <w:t xml:space="preserve"> </w:t>
      </w:r>
      <w:r w:rsidRPr="002029AF">
        <w:t>paid</w:t>
      </w:r>
      <w:r w:rsidR="000A5329" w:rsidRPr="002029AF">
        <w:t xml:space="preserve"> </w:t>
      </w:r>
      <w:r w:rsidRPr="002029AF">
        <w:t>to</w:t>
      </w:r>
      <w:r w:rsidR="000A5329" w:rsidRPr="002029AF">
        <w:t xml:space="preserve"> </w:t>
      </w:r>
      <w:r w:rsidRPr="002029AF">
        <w:t>EOs</w:t>
      </w:r>
      <w:r w:rsidR="000A5329" w:rsidRPr="002029AF">
        <w:t xml:space="preserve"> </w:t>
      </w:r>
      <w:r w:rsidRPr="002029AF">
        <w:t>over</w:t>
      </w:r>
      <w:r w:rsidR="000A5329" w:rsidRPr="002029AF">
        <w:t xml:space="preserve"> </w:t>
      </w:r>
      <w:r w:rsidRPr="002029AF">
        <w:t>the</w:t>
      </w:r>
      <w:r w:rsidR="000A5329" w:rsidRPr="002029AF">
        <w:t xml:space="preserve"> </w:t>
      </w:r>
      <w:r w:rsidRPr="002029AF">
        <w:t>course</w:t>
      </w:r>
      <w:r w:rsidR="000A5329" w:rsidRPr="002029AF">
        <w:t xml:space="preserve"> </w:t>
      </w:r>
      <w:r w:rsidRPr="002029AF">
        <w:t>of</w:t>
      </w:r>
      <w:r w:rsidR="000A5329" w:rsidRPr="002029AF">
        <w:t xml:space="preserve"> </w:t>
      </w:r>
      <w:r w:rsidRPr="002029AF">
        <w:t>the</w:t>
      </w:r>
      <w:r w:rsidR="000A5329" w:rsidRPr="002029AF">
        <w:t xml:space="preserve"> </w:t>
      </w:r>
      <w:r w:rsidRPr="002029AF">
        <w:t>reporting</w:t>
      </w:r>
      <w:r w:rsidR="000A5329" w:rsidRPr="002029AF">
        <w:t xml:space="preserve"> </w:t>
      </w:r>
      <w:r w:rsidRPr="002029AF">
        <w:t>period.</w:t>
      </w:r>
      <w:r w:rsidR="000A5329" w:rsidRPr="002029AF">
        <w:t xml:space="preserve"> </w:t>
      </w:r>
      <w:r w:rsidRPr="002029AF">
        <w:t>The</w:t>
      </w:r>
      <w:r w:rsidR="000A5329" w:rsidRPr="002029AF">
        <w:t xml:space="preserve"> </w:t>
      </w:r>
      <w:r w:rsidRPr="002029AF">
        <w:t>financial</w:t>
      </w:r>
      <w:r w:rsidR="000A5329" w:rsidRPr="002029AF">
        <w:t xml:space="preserve"> </w:t>
      </w:r>
      <w:r w:rsidRPr="002029AF">
        <w:t>statements</w:t>
      </w:r>
      <w:r w:rsidR="000A5329" w:rsidRPr="002029AF">
        <w:t xml:space="preserve"> </w:t>
      </w:r>
      <w:r w:rsidRPr="002029AF">
        <w:t>note</w:t>
      </w:r>
      <w:r w:rsidR="00B95D52">
        <w:t> </w:t>
      </w:r>
      <w:r w:rsidRPr="002029AF">
        <w:t>does</w:t>
      </w:r>
      <w:r w:rsidR="000A5329" w:rsidRPr="002029AF">
        <w:t xml:space="preserve"> </w:t>
      </w:r>
      <w:r w:rsidRPr="002029AF">
        <w:t>not</w:t>
      </w:r>
      <w:r w:rsidR="000A5329" w:rsidRPr="002029AF">
        <w:t xml:space="preserve"> </w:t>
      </w:r>
      <w:r w:rsidRPr="002029AF">
        <w:t>include</w:t>
      </w:r>
      <w:r w:rsidR="000A5329" w:rsidRPr="002029AF">
        <w:t xml:space="preserve"> </w:t>
      </w:r>
      <w:r w:rsidRPr="002029AF">
        <w:t>the</w:t>
      </w:r>
      <w:r w:rsidR="000A5329" w:rsidRPr="002029AF">
        <w:t xml:space="preserve"> </w:t>
      </w:r>
      <w:r w:rsidRPr="002029AF">
        <w:t>Accountable</w:t>
      </w:r>
      <w:r w:rsidR="000A5329" w:rsidRPr="002029AF">
        <w:t xml:space="preserve"> </w:t>
      </w:r>
      <w:r w:rsidRPr="002029AF">
        <w:t>Officer,</w:t>
      </w:r>
      <w:r w:rsidR="000A5329" w:rsidRPr="002029AF">
        <w:t xml:space="preserve"> </w:t>
      </w:r>
      <w:r w:rsidRPr="002029AF">
        <w:t>nor</w:t>
      </w:r>
      <w:r w:rsidR="000A5329" w:rsidRPr="002029AF">
        <w:t xml:space="preserve"> </w:t>
      </w:r>
      <w:r w:rsidRPr="002029AF">
        <w:t>does</w:t>
      </w:r>
      <w:r w:rsidR="000A5329" w:rsidRPr="002029AF">
        <w:t xml:space="preserve"> </w:t>
      </w:r>
      <w:r w:rsidRPr="002029AF">
        <w:t>it</w:t>
      </w:r>
      <w:r w:rsidR="000A5329" w:rsidRPr="002029AF">
        <w:t xml:space="preserve"> </w:t>
      </w:r>
      <w:r w:rsidRPr="002029AF">
        <w:t>distinguish</w:t>
      </w:r>
      <w:r w:rsidR="000A5329" w:rsidRPr="002029AF">
        <w:t xml:space="preserve"> </w:t>
      </w:r>
      <w:r w:rsidRPr="002029AF">
        <w:t>between</w:t>
      </w:r>
      <w:r w:rsidR="000A5329" w:rsidRPr="002029AF">
        <w:t xml:space="preserve"> </w:t>
      </w:r>
      <w:r w:rsidRPr="002029AF">
        <w:t>executive</w:t>
      </w:r>
      <w:r w:rsidR="000A5329" w:rsidRPr="002029AF">
        <w:t xml:space="preserve"> </w:t>
      </w:r>
      <w:r w:rsidRPr="002029AF">
        <w:t>levels</w:t>
      </w:r>
      <w:r w:rsidR="000A5329" w:rsidRPr="002029AF">
        <w:t xml:space="preserve"> </w:t>
      </w:r>
      <w:r w:rsidRPr="002029AF">
        <w:t>or</w:t>
      </w:r>
      <w:r w:rsidR="000A5329" w:rsidRPr="002029AF">
        <w:t xml:space="preserve"> </w:t>
      </w:r>
      <w:r w:rsidRPr="002029AF">
        <w:t>disclose</w:t>
      </w:r>
      <w:r w:rsidR="000A5329" w:rsidRPr="002029AF">
        <w:t xml:space="preserve"> </w:t>
      </w:r>
      <w:r w:rsidRPr="002029AF">
        <w:t>separations.</w:t>
      </w:r>
      <w:r w:rsidR="000A5329" w:rsidRPr="002029AF">
        <w:t xml:space="preserve"> </w:t>
      </w:r>
      <w:r w:rsidRPr="002029AF">
        <w:t>Separations</w:t>
      </w:r>
      <w:r w:rsidR="000A5329" w:rsidRPr="002029AF">
        <w:t xml:space="preserve"> </w:t>
      </w:r>
      <w:r w:rsidRPr="002029AF">
        <w:t>are</w:t>
      </w:r>
      <w:r w:rsidR="000A5329" w:rsidRPr="002029AF">
        <w:t xml:space="preserve"> </w:t>
      </w:r>
      <w:r w:rsidRPr="002029AF">
        <w:t>executives</w:t>
      </w:r>
      <w:r w:rsidR="000A5329" w:rsidRPr="002029AF">
        <w:t xml:space="preserve"> </w:t>
      </w:r>
      <w:r w:rsidRPr="002029AF">
        <w:t>who</w:t>
      </w:r>
      <w:r w:rsidR="000A5329" w:rsidRPr="002029AF">
        <w:t xml:space="preserve"> </w:t>
      </w:r>
      <w:r w:rsidRPr="002029AF">
        <w:t>have</w:t>
      </w:r>
      <w:r w:rsidR="000A5329" w:rsidRPr="002029AF">
        <w:t xml:space="preserve"> </w:t>
      </w:r>
      <w:r w:rsidRPr="002029AF">
        <w:t>left</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during</w:t>
      </w:r>
      <w:r w:rsidR="000A5329" w:rsidRPr="002029AF">
        <w:t xml:space="preserve"> </w:t>
      </w:r>
      <w:r w:rsidRPr="002029AF">
        <w:t>the</w:t>
      </w:r>
      <w:r w:rsidR="000A5329" w:rsidRPr="002029AF">
        <w:t xml:space="preserve"> </w:t>
      </w:r>
      <w:r w:rsidRPr="002029AF">
        <w:t>relevant</w:t>
      </w:r>
      <w:r w:rsidR="000A5329" w:rsidRPr="002029AF">
        <w:t xml:space="preserve"> </w:t>
      </w:r>
      <w:r w:rsidRPr="002029AF">
        <w:t>reporting</w:t>
      </w:r>
      <w:r w:rsidR="000A5329" w:rsidRPr="002029AF">
        <w:t xml:space="preserve"> </w:t>
      </w:r>
      <w:r w:rsidRPr="002029AF">
        <w:t>period.</w:t>
      </w:r>
      <w:r w:rsidR="000A5329" w:rsidRPr="002029AF">
        <w:t xml:space="preserve"> </w:t>
      </w:r>
      <w:r w:rsidRPr="002029AF">
        <w:t>To</w:t>
      </w:r>
      <w:r w:rsidR="000A5329" w:rsidRPr="002029AF">
        <w:t xml:space="preserve"> </w:t>
      </w:r>
      <w:r w:rsidRPr="002029AF">
        <w:t>assist</w:t>
      </w:r>
      <w:r w:rsidR="000A5329" w:rsidRPr="002029AF">
        <w:t xml:space="preserve"> </w:t>
      </w:r>
      <w:r w:rsidRPr="002029AF">
        <w:t>readers,</w:t>
      </w:r>
      <w:r w:rsidR="000A5329" w:rsidRPr="002029AF">
        <w:t xml:space="preserve"> </w:t>
      </w:r>
      <w:r w:rsidRPr="002029AF">
        <w:t>these</w:t>
      </w:r>
      <w:r w:rsidR="000A5329" w:rsidRPr="002029AF">
        <w:t xml:space="preserve"> </w:t>
      </w:r>
      <w:r w:rsidRPr="002029AF">
        <w:t>two</w:t>
      </w:r>
      <w:r w:rsidR="000A5329" w:rsidRPr="002029AF">
        <w:t xml:space="preserve"> </w:t>
      </w:r>
      <w:r w:rsidRPr="002029AF">
        <w:t>disclosures</w:t>
      </w:r>
      <w:r w:rsidR="000A5329" w:rsidRPr="002029AF">
        <w:t xml:space="preserve"> </w:t>
      </w:r>
      <w:r w:rsidRPr="002029AF">
        <w:t>are</w:t>
      </w:r>
      <w:r w:rsidR="000A5329" w:rsidRPr="002029AF">
        <w:t xml:space="preserve"> </w:t>
      </w:r>
      <w:r w:rsidRPr="002029AF">
        <w:t>reconciled</w:t>
      </w:r>
      <w:r w:rsidR="000A5329" w:rsidRPr="002029AF">
        <w:t xml:space="preserve"> </w:t>
      </w:r>
      <w:r w:rsidRPr="002029AF">
        <w:t>below.</w:t>
      </w:r>
    </w:p>
    <w:p w14:paraId="5D8070E6" w14:textId="719E36C8" w:rsidR="00CF72D5" w:rsidRPr="002029AF" w:rsidRDefault="00CF72D5" w:rsidP="00897193">
      <w:pPr>
        <w:pStyle w:val="Heading4"/>
      </w:pPr>
      <w:bookmarkStart w:id="91" w:name="_Hlk19622333"/>
      <w:r w:rsidRPr="002029AF">
        <w:t>Table</w:t>
      </w:r>
      <w:r w:rsidR="000A5329" w:rsidRPr="002029AF">
        <w:t xml:space="preserve"> </w:t>
      </w:r>
      <w:r w:rsidRPr="002029AF">
        <w:t>10:</w:t>
      </w:r>
      <w:r w:rsidR="000A5329" w:rsidRPr="002029AF">
        <w:t xml:space="preserve"> </w:t>
      </w:r>
      <w:r w:rsidRPr="002029AF">
        <w:t>Reconciliation</w:t>
      </w:r>
      <w:r w:rsidR="000A5329" w:rsidRPr="002029AF">
        <w:t xml:space="preserve"> </w:t>
      </w:r>
      <w:r w:rsidRPr="002029AF">
        <w:t>of</w:t>
      </w:r>
      <w:r w:rsidR="000A5329" w:rsidRPr="002029AF">
        <w:t xml:space="preserve"> </w:t>
      </w:r>
      <w:r w:rsidRPr="002029AF">
        <w:t>executive</w:t>
      </w:r>
      <w:r w:rsidR="000A5329" w:rsidRPr="002029AF">
        <w:t xml:space="preserve"> </w:t>
      </w:r>
      <w:r w:rsidRPr="002029AF">
        <w:t>numbers</w:t>
      </w:r>
      <w:r w:rsidR="000A5329" w:rsidRPr="002029AF">
        <w:t xml:space="preserve"> </w:t>
      </w:r>
      <w:r w:rsidRPr="002029AF">
        <w:t>for</w:t>
      </w:r>
      <w:r w:rsidR="000A5329" w:rsidRPr="002029AF">
        <w:t xml:space="preserve"> </w:t>
      </w:r>
      <w:r w:rsidRPr="002029AF">
        <w:t>Victorian</w:t>
      </w:r>
      <w:r w:rsidR="000A5329" w:rsidRPr="002029AF">
        <w:t xml:space="preserve"> </w:t>
      </w:r>
      <w:r w:rsidRPr="002029AF">
        <w:t>Agency</w:t>
      </w:r>
      <w:r w:rsidR="000A5329" w:rsidRPr="002029AF">
        <w:t xml:space="preserve"> </w:t>
      </w:r>
      <w:r w:rsidRPr="002029AF">
        <w:t>for</w:t>
      </w:r>
      <w:r w:rsidR="000A5329" w:rsidRPr="002029AF">
        <w:t xml:space="preserve"> </w:t>
      </w:r>
      <w:r w:rsidRPr="002029AF">
        <w:t>Health</w:t>
      </w:r>
      <w:r w:rsidR="000A5329" w:rsidRPr="002029AF">
        <w:t xml:space="preserve"> </w:t>
      </w:r>
      <w:r w:rsidRPr="002029AF">
        <w:t>Information</w:t>
      </w:r>
    </w:p>
    <w:bookmarkEnd w:id="91"/>
    <w:tbl>
      <w:tblPr>
        <w:tblStyle w:val="TableGrid"/>
        <w:tblW w:w="0" w:type="auto"/>
        <w:tblLook w:val="06A0" w:firstRow="1" w:lastRow="0" w:firstColumn="1" w:lastColumn="0" w:noHBand="1" w:noVBand="1"/>
      </w:tblPr>
      <w:tblGrid>
        <w:gridCol w:w="6231"/>
        <w:gridCol w:w="1698"/>
        <w:gridCol w:w="1698"/>
      </w:tblGrid>
      <w:tr w:rsidR="00CF72D5" w:rsidRPr="002029AF" w14:paraId="05C847C6" w14:textId="77777777" w:rsidTr="00897193">
        <w:trPr>
          <w:cnfStyle w:val="100000000000" w:firstRow="1" w:lastRow="0" w:firstColumn="0" w:lastColumn="0" w:oddVBand="0" w:evenVBand="0" w:oddHBand="0" w:evenHBand="0" w:firstRowFirstColumn="0" w:firstRowLastColumn="0" w:lastRowFirstColumn="0" w:lastRowLastColumn="0"/>
          <w:tblHeader/>
        </w:trPr>
        <w:tc>
          <w:tcPr>
            <w:tcW w:w="6231" w:type="dxa"/>
            <w:tcBorders>
              <w:top w:val="nil"/>
            </w:tcBorders>
          </w:tcPr>
          <w:p w14:paraId="23780C2F" w14:textId="77777777" w:rsidR="00CF72D5" w:rsidRPr="002029AF" w:rsidRDefault="00CF72D5" w:rsidP="00871DEF">
            <w:pPr>
              <w:pStyle w:val="ARtablecolhead"/>
            </w:pPr>
          </w:p>
        </w:tc>
        <w:tc>
          <w:tcPr>
            <w:tcW w:w="1698" w:type="dxa"/>
            <w:tcBorders>
              <w:top w:val="nil"/>
            </w:tcBorders>
          </w:tcPr>
          <w:p w14:paraId="4F783EBD" w14:textId="77777777" w:rsidR="00CF72D5" w:rsidRPr="002029AF" w:rsidRDefault="00CF72D5" w:rsidP="00897193">
            <w:pPr>
              <w:pStyle w:val="ARtablecolheadright"/>
            </w:pPr>
            <w:r w:rsidRPr="002029AF">
              <w:t>2020</w:t>
            </w:r>
          </w:p>
        </w:tc>
        <w:tc>
          <w:tcPr>
            <w:tcW w:w="1698" w:type="dxa"/>
            <w:tcBorders>
              <w:top w:val="nil"/>
            </w:tcBorders>
          </w:tcPr>
          <w:p w14:paraId="530BC66E" w14:textId="77777777" w:rsidR="00CF72D5" w:rsidRPr="002029AF" w:rsidRDefault="00CF72D5" w:rsidP="00897193">
            <w:pPr>
              <w:pStyle w:val="ARtablecolheadright"/>
            </w:pPr>
            <w:r w:rsidRPr="002029AF">
              <w:t>2019</w:t>
            </w:r>
          </w:p>
        </w:tc>
      </w:tr>
      <w:tr w:rsidR="00CF72D5" w:rsidRPr="002029AF" w14:paraId="638D7A5B" w14:textId="77777777" w:rsidTr="00897193">
        <w:tc>
          <w:tcPr>
            <w:tcW w:w="6231" w:type="dxa"/>
            <w:tcBorders>
              <w:top w:val="single" w:sz="4" w:space="0" w:color="70AD47" w:themeColor="accent6"/>
            </w:tcBorders>
          </w:tcPr>
          <w:p w14:paraId="6F763A4A" w14:textId="77777777" w:rsidR="00CF72D5" w:rsidRPr="002029AF" w:rsidRDefault="00CF72D5" w:rsidP="00897193">
            <w:pPr>
              <w:pStyle w:val="ARtabletext"/>
            </w:pPr>
            <w:r w:rsidRPr="002029AF">
              <w:t>Executives</w:t>
            </w:r>
          </w:p>
        </w:tc>
        <w:tc>
          <w:tcPr>
            <w:tcW w:w="1698" w:type="dxa"/>
            <w:tcBorders>
              <w:top w:val="single" w:sz="4" w:space="0" w:color="70AD47" w:themeColor="accent6"/>
            </w:tcBorders>
          </w:tcPr>
          <w:p w14:paraId="25A70E0A" w14:textId="77777777" w:rsidR="00CF72D5" w:rsidRPr="002029AF" w:rsidRDefault="00CF72D5" w:rsidP="00897193">
            <w:pPr>
              <w:pStyle w:val="ARtabletextright"/>
            </w:pPr>
            <w:r w:rsidRPr="002029AF">
              <w:t>5</w:t>
            </w:r>
          </w:p>
        </w:tc>
        <w:tc>
          <w:tcPr>
            <w:tcW w:w="1698" w:type="dxa"/>
            <w:tcBorders>
              <w:top w:val="single" w:sz="4" w:space="0" w:color="70AD47" w:themeColor="accent6"/>
            </w:tcBorders>
          </w:tcPr>
          <w:p w14:paraId="14D25181" w14:textId="77777777" w:rsidR="00CF72D5" w:rsidRPr="002029AF" w:rsidRDefault="00CF72D5" w:rsidP="00897193">
            <w:pPr>
              <w:pStyle w:val="ARtabletextright"/>
            </w:pPr>
            <w:r w:rsidRPr="002029AF">
              <w:t>6</w:t>
            </w:r>
          </w:p>
        </w:tc>
      </w:tr>
      <w:tr w:rsidR="00CF72D5" w:rsidRPr="002029AF" w14:paraId="0B7F7974" w14:textId="77777777" w:rsidTr="00897193">
        <w:tc>
          <w:tcPr>
            <w:tcW w:w="6231" w:type="dxa"/>
          </w:tcPr>
          <w:p w14:paraId="459BF39D" w14:textId="4592149A" w:rsidR="00CF72D5" w:rsidRPr="002029AF" w:rsidRDefault="00CF72D5" w:rsidP="00897193">
            <w:pPr>
              <w:pStyle w:val="ARtabletext"/>
            </w:pPr>
            <w:r w:rsidRPr="002029AF">
              <w:t>Accountable</w:t>
            </w:r>
            <w:r w:rsidR="000A5329" w:rsidRPr="002029AF">
              <w:t xml:space="preserve"> </w:t>
            </w:r>
            <w:r w:rsidRPr="002029AF">
              <w:t>Officer</w:t>
            </w:r>
            <w:r w:rsidR="000A5329" w:rsidRPr="002029AF">
              <w:t xml:space="preserve"> </w:t>
            </w:r>
            <w:r w:rsidRPr="002029AF">
              <w:t>(Chief</w:t>
            </w:r>
            <w:r w:rsidR="000A5329" w:rsidRPr="002029AF">
              <w:t xml:space="preserve"> </w:t>
            </w:r>
            <w:r w:rsidRPr="002029AF">
              <w:t>Executive</w:t>
            </w:r>
            <w:r w:rsidR="000A5329" w:rsidRPr="002029AF">
              <w:t xml:space="preserve"> </w:t>
            </w:r>
            <w:r w:rsidRPr="002029AF">
              <w:t>Officer)</w:t>
            </w:r>
          </w:p>
        </w:tc>
        <w:tc>
          <w:tcPr>
            <w:tcW w:w="1698" w:type="dxa"/>
          </w:tcPr>
          <w:p w14:paraId="0ADD9FDC" w14:textId="77777777" w:rsidR="00CF72D5" w:rsidRPr="002029AF" w:rsidRDefault="00CF72D5" w:rsidP="00897193">
            <w:pPr>
              <w:pStyle w:val="ARtabletextright"/>
            </w:pPr>
            <w:r w:rsidRPr="002029AF">
              <w:t>1</w:t>
            </w:r>
          </w:p>
        </w:tc>
        <w:tc>
          <w:tcPr>
            <w:tcW w:w="1698" w:type="dxa"/>
          </w:tcPr>
          <w:p w14:paraId="734A7BE2" w14:textId="77777777" w:rsidR="00CF72D5" w:rsidRPr="002029AF" w:rsidRDefault="00CF72D5" w:rsidP="00897193">
            <w:pPr>
              <w:pStyle w:val="ARtabletextright"/>
            </w:pPr>
            <w:r w:rsidRPr="002029AF">
              <w:t>1</w:t>
            </w:r>
          </w:p>
        </w:tc>
      </w:tr>
      <w:tr w:rsidR="00CF72D5" w:rsidRPr="002029AF" w14:paraId="202ABD00" w14:textId="77777777" w:rsidTr="00897193">
        <w:tc>
          <w:tcPr>
            <w:tcW w:w="6231" w:type="dxa"/>
          </w:tcPr>
          <w:p w14:paraId="3462FD6E" w14:textId="33656077" w:rsidR="00CF72D5" w:rsidRPr="002029AF" w:rsidRDefault="00CF72D5" w:rsidP="00897193">
            <w:pPr>
              <w:pStyle w:val="ARtabletext"/>
            </w:pPr>
            <w:r w:rsidRPr="002029AF">
              <w:t>Less</w:t>
            </w:r>
            <w:r w:rsidR="000A5329" w:rsidRPr="002029AF">
              <w:t xml:space="preserve"> </w:t>
            </w:r>
            <w:r w:rsidRPr="002029AF">
              <w:t>separations</w:t>
            </w:r>
          </w:p>
        </w:tc>
        <w:tc>
          <w:tcPr>
            <w:tcW w:w="1698" w:type="dxa"/>
          </w:tcPr>
          <w:p w14:paraId="54A137D5" w14:textId="77777777" w:rsidR="00CF72D5" w:rsidRPr="002029AF" w:rsidRDefault="00CF72D5" w:rsidP="00897193">
            <w:pPr>
              <w:pStyle w:val="ARtabletextright"/>
            </w:pPr>
            <w:r w:rsidRPr="002029AF">
              <w:t>0</w:t>
            </w:r>
          </w:p>
        </w:tc>
        <w:tc>
          <w:tcPr>
            <w:tcW w:w="1698" w:type="dxa"/>
          </w:tcPr>
          <w:p w14:paraId="47E7BC2C" w14:textId="77777777" w:rsidR="00CF72D5" w:rsidRPr="002029AF" w:rsidRDefault="00CF72D5" w:rsidP="00897193">
            <w:pPr>
              <w:pStyle w:val="ARtabletextright"/>
            </w:pPr>
            <w:r w:rsidRPr="002029AF">
              <w:t>(1)</w:t>
            </w:r>
          </w:p>
        </w:tc>
      </w:tr>
      <w:tr w:rsidR="00CF72D5" w:rsidRPr="002029AF" w14:paraId="388FEBE7" w14:textId="77777777" w:rsidTr="00897193">
        <w:tc>
          <w:tcPr>
            <w:tcW w:w="6231" w:type="dxa"/>
          </w:tcPr>
          <w:p w14:paraId="22A17AC0" w14:textId="1A838B85" w:rsidR="00CF72D5" w:rsidRPr="002029AF" w:rsidRDefault="00CF72D5" w:rsidP="00897193">
            <w:pPr>
              <w:pStyle w:val="ARtabletextbold"/>
            </w:pPr>
            <w:r w:rsidRPr="002029AF">
              <w:t>Total</w:t>
            </w:r>
            <w:r w:rsidR="000A5329" w:rsidRPr="002029AF">
              <w:t xml:space="preserve"> </w:t>
            </w:r>
            <w:r w:rsidRPr="002029AF">
              <w:t>executive</w:t>
            </w:r>
            <w:r w:rsidR="000A5329" w:rsidRPr="002029AF">
              <w:t xml:space="preserve"> </w:t>
            </w:r>
            <w:r w:rsidRPr="002029AF">
              <w:t>numbers</w:t>
            </w:r>
            <w:r w:rsidR="000A5329" w:rsidRPr="002029AF">
              <w:t xml:space="preserve"> </w:t>
            </w:r>
            <w:r w:rsidRPr="002029AF">
              <w:t>at</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p>
        </w:tc>
        <w:tc>
          <w:tcPr>
            <w:tcW w:w="1698" w:type="dxa"/>
          </w:tcPr>
          <w:p w14:paraId="27EED1BF" w14:textId="77777777" w:rsidR="00CF72D5" w:rsidRPr="002029AF" w:rsidRDefault="00CF72D5" w:rsidP="00897193">
            <w:pPr>
              <w:pStyle w:val="ARtabletextrightbold"/>
            </w:pPr>
            <w:r w:rsidRPr="002029AF">
              <w:t>6</w:t>
            </w:r>
          </w:p>
        </w:tc>
        <w:tc>
          <w:tcPr>
            <w:tcW w:w="1698" w:type="dxa"/>
          </w:tcPr>
          <w:p w14:paraId="0FF1567E" w14:textId="77777777" w:rsidR="00CF72D5" w:rsidRPr="002029AF" w:rsidRDefault="00CF72D5" w:rsidP="00897193">
            <w:pPr>
              <w:pStyle w:val="ARtabletextrightbold"/>
            </w:pPr>
            <w:r w:rsidRPr="002029AF">
              <w:t>6</w:t>
            </w:r>
          </w:p>
        </w:tc>
      </w:tr>
    </w:tbl>
    <w:p w14:paraId="0459C561" w14:textId="77777777" w:rsidR="00CF72D5" w:rsidRPr="002029AF" w:rsidRDefault="00CF72D5" w:rsidP="00897193">
      <w:pPr>
        <w:pStyle w:val="ARtablefootnote"/>
      </w:pPr>
    </w:p>
    <w:p w14:paraId="02F5C028" w14:textId="77777777" w:rsidR="00CF72D5" w:rsidRPr="002029AF" w:rsidRDefault="00CF72D5" w:rsidP="00897193">
      <w:pPr>
        <w:pStyle w:val="Heading4"/>
        <w:sectPr w:rsidR="00CF72D5" w:rsidRPr="002029AF" w:rsidSect="00E25B23">
          <w:footerReference w:type="even" r:id="rId128"/>
          <w:pgSz w:w="11906" w:h="16838" w:code="9"/>
          <w:pgMar w:top="1985" w:right="851" w:bottom="851" w:left="1418" w:header="510" w:footer="340" w:gutter="0"/>
          <w:cols w:space="454"/>
          <w:docGrid w:linePitch="360"/>
          <w15:footnoteColumns w:val="1"/>
        </w:sectPr>
      </w:pPr>
    </w:p>
    <w:p w14:paraId="28D96E90" w14:textId="15DBFC3D" w:rsidR="00CF72D5" w:rsidRPr="002029AF" w:rsidRDefault="00CF72D5" w:rsidP="00897193">
      <w:pPr>
        <w:pStyle w:val="Heading4"/>
        <w:spacing w:before="0"/>
      </w:pPr>
      <w:bookmarkStart w:id="92" w:name="Executive_officer_disclosures_start"/>
      <w:r w:rsidRPr="002029AF">
        <w:lastRenderedPageBreak/>
        <w:t>Table</w:t>
      </w:r>
      <w:r w:rsidR="000A5329" w:rsidRPr="002029AF">
        <w:t xml:space="preserve"> </w:t>
      </w:r>
      <w:r w:rsidRPr="002029AF">
        <w:t>11:</w:t>
      </w:r>
      <w:r w:rsidR="000A5329" w:rsidRPr="002029AF">
        <w:t xml:space="preserve"> </w:t>
      </w:r>
      <w:r w:rsidRPr="002029AF">
        <w:t>Number</w:t>
      </w:r>
      <w:r w:rsidR="000A5329" w:rsidRPr="002029AF">
        <w:t xml:space="preserve"> </w:t>
      </w:r>
      <w:r w:rsidRPr="002029AF">
        <w:t>of</w:t>
      </w:r>
      <w:r w:rsidR="000A5329" w:rsidRPr="002029AF">
        <w:t xml:space="preserve"> </w:t>
      </w:r>
      <w:r w:rsidRPr="002029AF">
        <w:t>executive</w:t>
      </w:r>
      <w:r w:rsidR="000A5329" w:rsidRPr="002029AF">
        <w:t xml:space="preserve"> </w:t>
      </w:r>
      <w:r w:rsidRPr="002029AF">
        <w:t>officers</w:t>
      </w:r>
      <w:r w:rsidR="000A5329" w:rsidRPr="002029AF">
        <w:t xml:space="preserve"> </w:t>
      </w:r>
      <w:r w:rsidRPr="002029AF">
        <w:t>for</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portfolio</w:t>
      </w:r>
      <w:r w:rsidR="000A5329" w:rsidRPr="002029AF">
        <w:t xml:space="preserve"> </w:t>
      </w:r>
      <w:r w:rsidRPr="002029AF">
        <w:t>agencies</w:t>
      </w:r>
    </w:p>
    <w:tbl>
      <w:tblPr>
        <w:tblStyle w:val="TableGrid"/>
        <w:tblW w:w="14005" w:type="dxa"/>
        <w:tblLook w:val="06A0" w:firstRow="1" w:lastRow="0" w:firstColumn="1" w:lastColumn="0" w:noHBand="1" w:noVBand="1"/>
      </w:tblPr>
      <w:tblGrid>
        <w:gridCol w:w="2944"/>
        <w:gridCol w:w="871"/>
        <w:gridCol w:w="886"/>
        <w:gridCol w:w="1021"/>
        <w:gridCol w:w="917"/>
        <w:gridCol w:w="887"/>
        <w:gridCol w:w="887"/>
        <w:gridCol w:w="1022"/>
        <w:gridCol w:w="902"/>
        <w:gridCol w:w="872"/>
        <w:gridCol w:w="887"/>
        <w:gridCol w:w="1022"/>
        <w:gridCol w:w="887"/>
      </w:tblGrid>
      <w:tr w:rsidR="00D40FE6" w:rsidRPr="002029AF" w14:paraId="7860698B" w14:textId="77777777" w:rsidTr="00286264">
        <w:trPr>
          <w:cnfStyle w:val="100000000000" w:firstRow="1" w:lastRow="0" w:firstColumn="0" w:lastColumn="0" w:oddVBand="0" w:evenVBand="0" w:oddHBand="0" w:evenHBand="0" w:firstRowFirstColumn="0" w:firstRowLastColumn="0" w:lastRowFirstColumn="0" w:lastRowLastColumn="0"/>
          <w:tblHeader/>
        </w:trPr>
        <w:tc>
          <w:tcPr>
            <w:tcW w:w="2944" w:type="dxa"/>
            <w:vMerge w:val="restart"/>
          </w:tcPr>
          <w:p w14:paraId="650DD00E" w14:textId="729BF6ED" w:rsidR="00D40FE6" w:rsidRPr="002029AF" w:rsidRDefault="00D40FE6" w:rsidP="00D40FE6">
            <w:pPr>
              <w:pStyle w:val="ARtablecolhead"/>
              <w:spacing w:before="40" w:after="20"/>
            </w:pPr>
            <w:r w:rsidRPr="002029AF">
              <w:t>Organisation</w:t>
            </w:r>
          </w:p>
        </w:tc>
        <w:tc>
          <w:tcPr>
            <w:tcW w:w="3695" w:type="dxa"/>
            <w:gridSpan w:val="4"/>
          </w:tcPr>
          <w:p w14:paraId="49856631" w14:textId="7B936FB8" w:rsidR="00D40FE6" w:rsidRPr="002029AF" w:rsidRDefault="00D40FE6" w:rsidP="00D40FE6">
            <w:pPr>
              <w:pStyle w:val="ARtablecolheadcentre"/>
              <w:spacing w:before="40" w:after="20"/>
            </w:pPr>
            <w:r w:rsidRPr="002029AF">
              <w:t>2020</w:t>
            </w:r>
          </w:p>
        </w:tc>
        <w:tc>
          <w:tcPr>
            <w:tcW w:w="3698" w:type="dxa"/>
            <w:gridSpan w:val="4"/>
          </w:tcPr>
          <w:p w14:paraId="2D0110F0" w14:textId="3CD9BC01" w:rsidR="00D40FE6" w:rsidRPr="002029AF" w:rsidRDefault="00D40FE6" w:rsidP="00D40FE6">
            <w:pPr>
              <w:pStyle w:val="ARtablecolheadcentre"/>
              <w:spacing w:before="40" w:after="20"/>
            </w:pPr>
            <w:r w:rsidRPr="002029AF">
              <w:t>2019</w:t>
            </w:r>
          </w:p>
        </w:tc>
        <w:tc>
          <w:tcPr>
            <w:tcW w:w="3668" w:type="dxa"/>
            <w:gridSpan w:val="4"/>
          </w:tcPr>
          <w:p w14:paraId="3BB06005" w14:textId="45700526" w:rsidR="00D40FE6" w:rsidRPr="002029AF" w:rsidRDefault="00D40FE6" w:rsidP="00D40FE6">
            <w:pPr>
              <w:pStyle w:val="ARtablecolheadcentre"/>
              <w:spacing w:before="40" w:after="20"/>
            </w:pPr>
            <w:r w:rsidRPr="002029AF">
              <w:t>Annual</w:t>
            </w:r>
            <w:r w:rsidR="000A5329" w:rsidRPr="002029AF">
              <w:t xml:space="preserve"> </w:t>
            </w:r>
            <w:r w:rsidRPr="002029AF">
              <w:t>change</w:t>
            </w:r>
          </w:p>
        </w:tc>
      </w:tr>
      <w:tr w:rsidR="00D40FE6" w:rsidRPr="002029AF" w14:paraId="32789228" w14:textId="77777777" w:rsidTr="00286264">
        <w:trPr>
          <w:cnfStyle w:val="100000000000" w:firstRow="1" w:lastRow="0" w:firstColumn="0" w:lastColumn="0" w:oddVBand="0" w:evenVBand="0" w:oddHBand="0" w:evenHBand="0" w:firstRowFirstColumn="0" w:firstRowLastColumn="0" w:lastRowFirstColumn="0" w:lastRowLastColumn="0"/>
          <w:tblHeader/>
        </w:trPr>
        <w:tc>
          <w:tcPr>
            <w:tcW w:w="2944" w:type="dxa"/>
            <w:vMerge/>
          </w:tcPr>
          <w:p w14:paraId="78EF5E42" w14:textId="1540D0EE" w:rsidR="00D40FE6" w:rsidRPr="002029AF" w:rsidRDefault="00D40FE6" w:rsidP="00D40FE6">
            <w:pPr>
              <w:spacing w:before="40" w:after="20" w:line="240" w:lineRule="auto"/>
              <w:textAlignment w:val="baseline"/>
              <w:rPr>
                <w:rFonts w:ascii="Arial" w:eastAsia="Times New Roman" w:hAnsi="Arial" w:cs="Arial"/>
                <w:color w:val="498205"/>
                <w:sz w:val="18"/>
                <w:szCs w:val="18"/>
              </w:rPr>
            </w:pPr>
          </w:p>
        </w:tc>
        <w:tc>
          <w:tcPr>
            <w:tcW w:w="871" w:type="dxa"/>
          </w:tcPr>
          <w:p w14:paraId="1200119A" w14:textId="4B8D7A2C" w:rsidR="00D40FE6" w:rsidRPr="002029AF" w:rsidRDefault="00D40FE6" w:rsidP="00D40FE6">
            <w:pPr>
              <w:pStyle w:val="ARtablecolheadright"/>
              <w:spacing w:before="40" w:after="20"/>
            </w:pPr>
            <w:r w:rsidRPr="002029AF">
              <w:t>Female</w:t>
            </w:r>
          </w:p>
        </w:tc>
        <w:tc>
          <w:tcPr>
            <w:tcW w:w="886" w:type="dxa"/>
          </w:tcPr>
          <w:p w14:paraId="27AFEBBB" w14:textId="0D94B5BE" w:rsidR="00D40FE6" w:rsidRPr="002029AF" w:rsidRDefault="00D40FE6" w:rsidP="00D40FE6">
            <w:pPr>
              <w:pStyle w:val="ARtablecolheadright"/>
              <w:spacing w:before="40" w:after="20"/>
            </w:pPr>
            <w:r w:rsidRPr="002029AF">
              <w:t>Male</w:t>
            </w:r>
          </w:p>
        </w:tc>
        <w:tc>
          <w:tcPr>
            <w:tcW w:w="1021" w:type="dxa"/>
          </w:tcPr>
          <w:p w14:paraId="22F333E9" w14:textId="1D0CDFA4" w:rsidR="00D40FE6" w:rsidRPr="002029AF" w:rsidRDefault="00D40FE6" w:rsidP="00D40FE6">
            <w:pPr>
              <w:pStyle w:val="ARtablecolheadright"/>
              <w:spacing w:before="40" w:after="20"/>
            </w:pPr>
            <w:r w:rsidRPr="002029AF">
              <w:t>Self-described</w:t>
            </w:r>
          </w:p>
        </w:tc>
        <w:tc>
          <w:tcPr>
            <w:tcW w:w="917" w:type="dxa"/>
          </w:tcPr>
          <w:p w14:paraId="671B365A" w14:textId="11EC511A" w:rsidR="00D40FE6" w:rsidRPr="002029AF" w:rsidRDefault="00D40FE6" w:rsidP="00D40FE6">
            <w:pPr>
              <w:pStyle w:val="ARtablecolheadright"/>
              <w:spacing w:before="40" w:after="20"/>
            </w:pPr>
            <w:r w:rsidRPr="002029AF">
              <w:t>Total</w:t>
            </w:r>
          </w:p>
        </w:tc>
        <w:tc>
          <w:tcPr>
            <w:tcW w:w="887" w:type="dxa"/>
          </w:tcPr>
          <w:p w14:paraId="1A010A31" w14:textId="31F0009A" w:rsidR="00D40FE6" w:rsidRPr="002029AF" w:rsidRDefault="00D40FE6" w:rsidP="00D40FE6">
            <w:pPr>
              <w:pStyle w:val="ARtablecolheadright"/>
              <w:spacing w:before="40" w:after="20"/>
            </w:pPr>
            <w:r w:rsidRPr="002029AF">
              <w:t>Female</w:t>
            </w:r>
          </w:p>
        </w:tc>
        <w:tc>
          <w:tcPr>
            <w:tcW w:w="887" w:type="dxa"/>
          </w:tcPr>
          <w:p w14:paraId="34F0B811" w14:textId="5F53E996" w:rsidR="00D40FE6" w:rsidRPr="002029AF" w:rsidRDefault="00D40FE6" w:rsidP="00D40FE6">
            <w:pPr>
              <w:pStyle w:val="ARtablecolheadright"/>
              <w:spacing w:before="40" w:after="20"/>
            </w:pPr>
            <w:r w:rsidRPr="002029AF">
              <w:t>Male</w:t>
            </w:r>
          </w:p>
        </w:tc>
        <w:tc>
          <w:tcPr>
            <w:tcW w:w="1022" w:type="dxa"/>
          </w:tcPr>
          <w:p w14:paraId="11D23BD8" w14:textId="313510EF" w:rsidR="00D40FE6" w:rsidRPr="002029AF" w:rsidRDefault="00D40FE6" w:rsidP="00D40FE6">
            <w:pPr>
              <w:pStyle w:val="ARtablecolheadright"/>
              <w:spacing w:before="40" w:after="20"/>
            </w:pPr>
            <w:r w:rsidRPr="002029AF">
              <w:t>Self-described</w:t>
            </w:r>
          </w:p>
        </w:tc>
        <w:tc>
          <w:tcPr>
            <w:tcW w:w="902" w:type="dxa"/>
          </w:tcPr>
          <w:p w14:paraId="494E94E0" w14:textId="5BD77AD0" w:rsidR="00D40FE6" w:rsidRPr="002029AF" w:rsidRDefault="00D40FE6" w:rsidP="00D40FE6">
            <w:pPr>
              <w:pStyle w:val="ARtablecolheadright"/>
              <w:spacing w:before="40" w:after="20"/>
            </w:pPr>
            <w:r w:rsidRPr="002029AF">
              <w:t>Total</w:t>
            </w:r>
          </w:p>
        </w:tc>
        <w:tc>
          <w:tcPr>
            <w:tcW w:w="872" w:type="dxa"/>
          </w:tcPr>
          <w:p w14:paraId="66B2332F" w14:textId="748F5D2B" w:rsidR="00D40FE6" w:rsidRPr="002029AF" w:rsidRDefault="00D40FE6" w:rsidP="00D40FE6">
            <w:pPr>
              <w:pStyle w:val="ARtablecolheadright"/>
              <w:spacing w:before="40" w:after="20"/>
            </w:pPr>
            <w:r w:rsidRPr="002029AF">
              <w:t>Female</w:t>
            </w:r>
          </w:p>
        </w:tc>
        <w:tc>
          <w:tcPr>
            <w:tcW w:w="887" w:type="dxa"/>
          </w:tcPr>
          <w:p w14:paraId="5D627BCC" w14:textId="3AF63222" w:rsidR="00D40FE6" w:rsidRPr="002029AF" w:rsidRDefault="00D40FE6" w:rsidP="00D40FE6">
            <w:pPr>
              <w:pStyle w:val="ARtablecolheadright"/>
              <w:spacing w:before="40" w:after="20"/>
            </w:pPr>
            <w:r w:rsidRPr="002029AF">
              <w:t>Male</w:t>
            </w:r>
          </w:p>
        </w:tc>
        <w:tc>
          <w:tcPr>
            <w:tcW w:w="1022" w:type="dxa"/>
          </w:tcPr>
          <w:p w14:paraId="26342644" w14:textId="11EE1167" w:rsidR="00D40FE6" w:rsidRPr="002029AF" w:rsidRDefault="00D40FE6" w:rsidP="00D40FE6">
            <w:pPr>
              <w:pStyle w:val="ARtablecolheadright"/>
              <w:spacing w:before="40" w:after="20"/>
            </w:pPr>
            <w:r w:rsidRPr="002029AF">
              <w:t>Self-described</w:t>
            </w:r>
          </w:p>
        </w:tc>
        <w:tc>
          <w:tcPr>
            <w:tcW w:w="887" w:type="dxa"/>
          </w:tcPr>
          <w:p w14:paraId="39ACBA6C" w14:textId="751E6818" w:rsidR="00D40FE6" w:rsidRPr="002029AF" w:rsidRDefault="00D40FE6" w:rsidP="00D40FE6">
            <w:pPr>
              <w:pStyle w:val="ARtablecolheadright"/>
              <w:spacing w:before="40" w:after="20"/>
            </w:pPr>
            <w:r w:rsidRPr="002029AF">
              <w:t>Total</w:t>
            </w:r>
          </w:p>
        </w:tc>
      </w:tr>
      <w:tr w:rsidR="00CF72D5" w:rsidRPr="002029AF" w14:paraId="32033DCC" w14:textId="77777777" w:rsidTr="00D40FE6">
        <w:tc>
          <w:tcPr>
            <w:tcW w:w="2944" w:type="dxa"/>
            <w:hideMark/>
          </w:tcPr>
          <w:p w14:paraId="371C139F" w14:textId="5AD8CFB0" w:rsidR="00CF72D5" w:rsidRPr="002029AF" w:rsidRDefault="00CF72D5" w:rsidP="00C51680">
            <w:pPr>
              <w:pStyle w:val="ARtabletext"/>
            </w:pPr>
            <w:r w:rsidRPr="002029AF">
              <w:t>Albury</w:t>
            </w:r>
            <w:r w:rsidR="000A5329" w:rsidRPr="002029AF">
              <w:t xml:space="preserve"> </w:t>
            </w:r>
            <w:r w:rsidRPr="002029AF">
              <w:t>Wodonga</w:t>
            </w:r>
            <w:r w:rsidR="000A5329" w:rsidRPr="002029AF">
              <w:t xml:space="preserve"> </w:t>
            </w:r>
            <w:r w:rsidRPr="002029AF">
              <w:t>Health</w:t>
            </w:r>
          </w:p>
        </w:tc>
        <w:tc>
          <w:tcPr>
            <w:tcW w:w="871" w:type="dxa"/>
            <w:hideMark/>
          </w:tcPr>
          <w:p w14:paraId="4B297F8C" w14:textId="1A49034A" w:rsidR="00CF72D5" w:rsidRPr="002029AF" w:rsidRDefault="00CF72D5" w:rsidP="00C51680">
            <w:pPr>
              <w:pStyle w:val="ARtabletextright"/>
            </w:pPr>
            <w:r w:rsidRPr="002029AF">
              <w:t>5</w:t>
            </w:r>
          </w:p>
        </w:tc>
        <w:tc>
          <w:tcPr>
            <w:tcW w:w="886" w:type="dxa"/>
            <w:hideMark/>
          </w:tcPr>
          <w:p w14:paraId="120EFB99" w14:textId="7E0FDB23" w:rsidR="00CF72D5" w:rsidRPr="002029AF" w:rsidRDefault="00CF72D5" w:rsidP="00C51680">
            <w:pPr>
              <w:pStyle w:val="ARtabletextright"/>
            </w:pPr>
            <w:r w:rsidRPr="002029AF">
              <w:t>2</w:t>
            </w:r>
          </w:p>
        </w:tc>
        <w:tc>
          <w:tcPr>
            <w:tcW w:w="1021" w:type="dxa"/>
            <w:hideMark/>
          </w:tcPr>
          <w:p w14:paraId="63D6D8F9" w14:textId="4156C2D4" w:rsidR="00CF72D5" w:rsidRPr="002029AF" w:rsidRDefault="00CF72D5" w:rsidP="00C51680">
            <w:pPr>
              <w:pStyle w:val="ARtabletextright"/>
            </w:pPr>
            <w:r w:rsidRPr="002029AF">
              <w:t>0</w:t>
            </w:r>
          </w:p>
        </w:tc>
        <w:tc>
          <w:tcPr>
            <w:tcW w:w="917" w:type="dxa"/>
            <w:hideMark/>
          </w:tcPr>
          <w:p w14:paraId="444EB1BB" w14:textId="387D1542" w:rsidR="00CF72D5" w:rsidRPr="002029AF" w:rsidRDefault="00CF72D5" w:rsidP="00C51680">
            <w:pPr>
              <w:pStyle w:val="ARtabletextrightbold"/>
            </w:pPr>
            <w:r w:rsidRPr="002029AF">
              <w:t>7</w:t>
            </w:r>
          </w:p>
        </w:tc>
        <w:tc>
          <w:tcPr>
            <w:tcW w:w="887" w:type="dxa"/>
            <w:hideMark/>
          </w:tcPr>
          <w:p w14:paraId="1A0534A5" w14:textId="31A56170" w:rsidR="00CF72D5" w:rsidRPr="002029AF" w:rsidRDefault="00CF72D5" w:rsidP="00C51680">
            <w:pPr>
              <w:pStyle w:val="ARtabletextright"/>
            </w:pPr>
            <w:r w:rsidRPr="002029AF">
              <w:t>4</w:t>
            </w:r>
          </w:p>
        </w:tc>
        <w:tc>
          <w:tcPr>
            <w:tcW w:w="887" w:type="dxa"/>
            <w:hideMark/>
          </w:tcPr>
          <w:p w14:paraId="54C14C05" w14:textId="3097E513" w:rsidR="00CF72D5" w:rsidRPr="002029AF" w:rsidRDefault="00CF72D5" w:rsidP="00C51680">
            <w:pPr>
              <w:pStyle w:val="ARtabletextright"/>
            </w:pPr>
            <w:r w:rsidRPr="002029AF">
              <w:t>2</w:t>
            </w:r>
          </w:p>
        </w:tc>
        <w:tc>
          <w:tcPr>
            <w:tcW w:w="1022" w:type="dxa"/>
            <w:hideMark/>
          </w:tcPr>
          <w:p w14:paraId="168E50DB" w14:textId="4E3BC625" w:rsidR="00CF72D5" w:rsidRPr="002029AF" w:rsidRDefault="00CF72D5" w:rsidP="00C51680">
            <w:pPr>
              <w:pStyle w:val="ARtabletextright"/>
            </w:pPr>
            <w:r w:rsidRPr="002029AF">
              <w:t>0</w:t>
            </w:r>
          </w:p>
        </w:tc>
        <w:tc>
          <w:tcPr>
            <w:tcW w:w="902" w:type="dxa"/>
            <w:hideMark/>
          </w:tcPr>
          <w:p w14:paraId="6CC0B0C1" w14:textId="662D54C7" w:rsidR="00CF72D5" w:rsidRPr="002029AF" w:rsidRDefault="00CF72D5" w:rsidP="00C51680">
            <w:pPr>
              <w:pStyle w:val="ARtabletextrightbold"/>
            </w:pPr>
            <w:r w:rsidRPr="002029AF">
              <w:t>6</w:t>
            </w:r>
          </w:p>
        </w:tc>
        <w:tc>
          <w:tcPr>
            <w:tcW w:w="872" w:type="dxa"/>
            <w:hideMark/>
          </w:tcPr>
          <w:p w14:paraId="3749DC17" w14:textId="741A403D" w:rsidR="00CF72D5" w:rsidRPr="002029AF" w:rsidRDefault="00CF72D5" w:rsidP="00C51680">
            <w:pPr>
              <w:pStyle w:val="ARtabletextright"/>
            </w:pPr>
            <w:r w:rsidRPr="002029AF">
              <w:t>1</w:t>
            </w:r>
          </w:p>
        </w:tc>
        <w:tc>
          <w:tcPr>
            <w:tcW w:w="887" w:type="dxa"/>
            <w:hideMark/>
          </w:tcPr>
          <w:p w14:paraId="278D417D" w14:textId="2E1F5E38" w:rsidR="00CF72D5" w:rsidRPr="002029AF" w:rsidRDefault="00CF72D5" w:rsidP="00C51680">
            <w:pPr>
              <w:pStyle w:val="ARtabletextright"/>
            </w:pPr>
            <w:r w:rsidRPr="002029AF">
              <w:t>0</w:t>
            </w:r>
          </w:p>
        </w:tc>
        <w:tc>
          <w:tcPr>
            <w:tcW w:w="1022" w:type="dxa"/>
            <w:hideMark/>
          </w:tcPr>
          <w:p w14:paraId="711617CC" w14:textId="046E6024" w:rsidR="00CF72D5" w:rsidRPr="002029AF" w:rsidRDefault="00CF72D5" w:rsidP="00C51680">
            <w:pPr>
              <w:pStyle w:val="ARtabletextright"/>
            </w:pPr>
            <w:r w:rsidRPr="002029AF">
              <w:t>0</w:t>
            </w:r>
          </w:p>
        </w:tc>
        <w:tc>
          <w:tcPr>
            <w:tcW w:w="887" w:type="dxa"/>
            <w:hideMark/>
          </w:tcPr>
          <w:p w14:paraId="779BE092" w14:textId="196AF7BB" w:rsidR="00CF72D5" w:rsidRPr="002029AF" w:rsidRDefault="00CF72D5" w:rsidP="00C51680">
            <w:pPr>
              <w:pStyle w:val="ARtabletextrightbold"/>
            </w:pPr>
            <w:r w:rsidRPr="002029AF">
              <w:t>1</w:t>
            </w:r>
          </w:p>
        </w:tc>
      </w:tr>
      <w:tr w:rsidR="00CF72D5" w:rsidRPr="002029AF" w14:paraId="57969AED" w14:textId="77777777" w:rsidTr="00D40FE6">
        <w:tc>
          <w:tcPr>
            <w:tcW w:w="2944" w:type="dxa"/>
            <w:hideMark/>
          </w:tcPr>
          <w:p w14:paraId="41667F38" w14:textId="19FD08FC" w:rsidR="00CF72D5" w:rsidRPr="002029AF" w:rsidRDefault="00CF72D5" w:rsidP="00C51680">
            <w:pPr>
              <w:pStyle w:val="ARtabletext"/>
            </w:pPr>
            <w:r w:rsidRPr="002029AF">
              <w:t>Alexandra</w:t>
            </w:r>
            <w:r w:rsidR="000A5329" w:rsidRPr="002029AF">
              <w:t xml:space="preserve"> </w:t>
            </w:r>
            <w:r w:rsidRPr="002029AF">
              <w:t>District</w:t>
            </w:r>
            <w:r w:rsidR="000A5329" w:rsidRPr="002029AF">
              <w:t xml:space="preserve"> </w:t>
            </w:r>
            <w:r w:rsidRPr="002029AF">
              <w:t>Health</w:t>
            </w:r>
          </w:p>
        </w:tc>
        <w:tc>
          <w:tcPr>
            <w:tcW w:w="871" w:type="dxa"/>
            <w:hideMark/>
          </w:tcPr>
          <w:p w14:paraId="142B6575" w14:textId="37AE92AE" w:rsidR="00CF72D5" w:rsidRPr="002029AF" w:rsidRDefault="00CF72D5" w:rsidP="00C51680">
            <w:pPr>
              <w:pStyle w:val="ARtabletextright"/>
            </w:pPr>
            <w:r w:rsidRPr="002029AF">
              <w:t>1</w:t>
            </w:r>
          </w:p>
        </w:tc>
        <w:tc>
          <w:tcPr>
            <w:tcW w:w="886" w:type="dxa"/>
            <w:hideMark/>
          </w:tcPr>
          <w:p w14:paraId="5FDFF25F" w14:textId="3F3DFD92" w:rsidR="00CF72D5" w:rsidRPr="002029AF" w:rsidRDefault="00CF72D5" w:rsidP="00C51680">
            <w:pPr>
              <w:pStyle w:val="ARtabletextright"/>
            </w:pPr>
            <w:r w:rsidRPr="002029AF">
              <w:t>0</w:t>
            </w:r>
          </w:p>
        </w:tc>
        <w:tc>
          <w:tcPr>
            <w:tcW w:w="1021" w:type="dxa"/>
            <w:hideMark/>
          </w:tcPr>
          <w:p w14:paraId="2D62218C" w14:textId="48359425" w:rsidR="00CF72D5" w:rsidRPr="002029AF" w:rsidRDefault="00CF72D5" w:rsidP="00C51680">
            <w:pPr>
              <w:pStyle w:val="ARtabletextright"/>
            </w:pPr>
            <w:r w:rsidRPr="002029AF">
              <w:t>0</w:t>
            </w:r>
          </w:p>
        </w:tc>
        <w:tc>
          <w:tcPr>
            <w:tcW w:w="917" w:type="dxa"/>
            <w:hideMark/>
          </w:tcPr>
          <w:p w14:paraId="28ADB514" w14:textId="4A811B91" w:rsidR="00CF72D5" w:rsidRPr="002029AF" w:rsidRDefault="00CF72D5" w:rsidP="00C51680">
            <w:pPr>
              <w:pStyle w:val="ARtabletextrightbold"/>
            </w:pPr>
            <w:r w:rsidRPr="002029AF">
              <w:t>1</w:t>
            </w:r>
          </w:p>
        </w:tc>
        <w:tc>
          <w:tcPr>
            <w:tcW w:w="887" w:type="dxa"/>
            <w:hideMark/>
          </w:tcPr>
          <w:p w14:paraId="2B08831A" w14:textId="560B787E" w:rsidR="00CF72D5" w:rsidRPr="002029AF" w:rsidRDefault="00CF72D5" w:rsidP="00C51680">
            <w:pPr>
              <w:pStyle w:val="ARtabletextright"/>
            </w:pPr>
            <w:r w:rsidRPr="002029AF">
              <w:t>1</w:t>
            </w:r>
          </w:p>
        </w:tc>
        <w:tc>
          <w:tcPr>
            <w:tcW w:w="887" w:type="dxa"/>
            <w:hideMark/>
          </w:tcPr>
          <w:p w14:paraId="009A5730" w14:textId="111A6C6B" w:rsidR="00CF72D5" w:rsidRPr="002029AF" w:rsidRDefault="00CF72D5" w:rsidP="00C51680">
            <w:pPr>
              <w:pStyle w:val="ARtabletextright"/>
            </w:pPr>
            <w:r w:rsidRPr="002029AF">
              <w:t>0</w:t>
            </w:r>
          </w:p>
        </w:tc>
        <w:tc>
          <w:tcPr>
            <w:tcW w:w="1022" w:type="dxa"/>
            <w:hideMark/>
          </w:tcPr>
          <w:p w14:paraId="3C0F7EA4" w14:textId="3DBDF4E7" w:rsidR="00CF72D5" w:rsidRPr="002029AF" w:rsidRDefault="00CF72D5" w:rsidP="00C51680">
            <w:pPr>
              <w:pStyle w:val="ARtabletextright"/>
            </w:pPr>
            <w:r w:rsidRPr="002029AF">
              <w:t>0</w:t>
            </w:r>
          </w:p>
        </w:tc>
        <w:tc>
          <w:tcPr>
            <w:tcW w:w="902" w:type="dxa"/>
            <w:hideMark/>
          </w:tcPr>
          <w:p w14:paraId="397A27E1" w14:textId="3B6905F4" w:rsidR="00CF72D5" w:rsidRPr="002029AF" w:rsidRDefault="00CF72D5" w:rsidP="00C51680">
            <w:pPr>
              <w:pStyle w:val="ARtabletextrightbold"/>
            </w:pPr>
            <w:r w:rsidRPr="002029AF">
              <w:t>1</w:t>
            </w:r>
          </w:p>
        </w:tc>
        <w:tc>
          <w:tcPr>
            <w:tcW w:w="872" w:type="dxa"/>
            <w:hideMark/>
          </w:tcPr>
          <w:p w14:paraId="1E58C0ED" w14:textId="471638C8" w:rsidR="00CF72D5" w:rsidRPr="002029AF" w:rsidRDefault="00CF72D5" w:rsidP="00C51680">
            <w:pPr>
              <w:pStyle w:val="ARtabletextright"/>
            </w:pPr>
            <w:r w:rsidRPr="002029AF">
              <w:t>0</w:t>
            </w:r>
          </w:p>
        </w:tc>
        <w:tc>
          <w:tcPr>
            <w:tcW w:w="887" w:type="dxa"/>
            <w:hideMark/>
          </w:tcPr>
          <w:p w14:paraId="4DEE03F0" w14:textId="3A8D3403" w:rsidR="00CF72D5" w:rsidRPr="002029AF" w:rsidRDefault="00CF72D5" w:rsidP="00C51680">
            <w:pPr>
              <w:pStyle w:val="ARtabletextright"/>
            </w:pPr>
            <w:r w:rsidRPr="002029AF">
              <w:t>0</w:t>
            </w:r>
          </w:p>
        </w:tc>
        <w:tc>
          <w:tcPr>
            <w:tcW w:w="1022" w:type="dxa"/>
            <w:hideMark/>
          </w:tcPr>
          <w:p w14:paraId="3F19DEBC" w14:textId="56112B62" w:rsidR="00CF72D5" w:rsidRPr="002029AF" w:rsidRDefault="00CF72D5" w:rsidP="00C51680">
            <w:pPr>
              <w:pStyle w:val="ARtabletextright"/>
            </w:pPr>
            <w:r w:rsidRPr="002029AF">
              <w:t>0</w:t>
            </w:r>
          </w:p>
        </w:tc>
        <w:tc>
          <w:tcPr>
            <w:tcW w:w="887" w:type="dxa"/>
            <w:hideMark/>
          </w:tcPr>
          <w:p w14:paraId="5E82B640" w14:textId="6BBA35B3" w:rsidR="00CF72D5" w:rsidRPr="002029AF" w:rsidRDefault="00CF72D5" w:rsidP="00C51680">
            <w:pPr>
              <w:pStyle w:val="ARtabletextrightbold"/>
            </w:pPr>
            <w:r w:rsidRPr="002029AF">
              <w:t>0</w:t>
            </w:r>
          </w:p>
        </w:tc>
      </w:tr>
      <w:tr w:rsidR="00CF72D5" w:rsidRPr="002029AF" w14:paraId="0BFE4B9C" w14:textId="77777777" w:rsidTr="00D40FE6">
        <w:tc>
          <w:tcPr>
            <w:tcW w:w="2944" w:type="dxa"/>
            <w:hideMark/>
          </w:tcPr>
          <w:p w14:paraId="47C26298" w14:textId="28108152" w:rsidR="00CF72D5" w:rsidRPr="002029AF" w:rsidRDefault="00CF72D5" w:rsidP="00C51680">
            <w:pPr>
              <w:pStyle w:val="ARtabletext"/>
            </w:pPr>
            <w:r w:rsidRPr="002029AF">
              <w:t>Alfred</w:t>
            </w:r>
            <w:r w:rsidR="000A5329" w:rsidRPr="002029AF">
              <w:t xml:space="preserve"> </w:t>
            </w:r>
            <w:r w:rsidRPr="002029AF">
              <w:t>Health</w:t>
            </w:r>
          </w:p>
        </w:tc>
        <w:tc>
          <w:tcPr>
            <w:tcW w:w="871" w:type="dxa"/>
            <w:hideMark/>
          </w:tcPr>
          <w:p w14:paraId="074D3BA9" w14:textId="61AB11D5" w:rsidR="00CF72D5" w:rsidRPr="002029AF" w:rsidRDefault="00CF72D5" w:rsidP="00C51680">
            <w:pPr>
              <w:pStyle w:val="ARtabletextright"/>
            </w:pPr>
            <w:r w:rsidRPr="002029AF">
              <w:t>5</w:t>
            </w:r>
          </w:p>
        </w:tc>
        <w:tc>
          <w:tcPr>
            <w:tcW w:w="886" w:type="dxa"/>
            <w:hideMark/>
          </w:tcPr>
          <w:p w14:paraId="38F67F16" w14:textId="7AD7F151" w:rsidR="00CF72D5" w:rsidRPr="002029AF" w:rsidRDefault="00CF72D5" w:rsidP="00C51680">
            <w:pPr>
              <w:pStyle w:val="ARtabletextright"/>
            </w:pPr>
            <w:r w:rsidRPr="002029AF">
              <w:t>3</w:t>
            </w:r>
          </w:p>
        </w:tc>
        <w:tc>
          <w:tcPr>
            <w:tcW w:w="1021" w:type="dxa"/>
            <w:hideMark/>
          </w:tcPr>
          <w:p w14:paraId="63764DC6" w14:textId="4951A191" w:rsidR="00CF72D5" w:rsidRPr="002029AF" w:rsidRDefault="00CF72D5" w:rsidP="00C51680">
            <w:pPr>
              <w:pStyle w:val="ARtabletextright"/>
            </w:pPr>
            <w:r w:rsidRPr="002029AF">
              <w:t>0</w:t>
            </w:r>
          </w:p>
        </w:tc>
        <w:tc>
          <w:tcPr>
            <w:tcW w:w="917" w:type="dxa"/>
            <w:hideMark/>
          </w:tcPr>
          <w:p w14:paraId="4C929C84" w14:textId="5BB01C4E" w:rsidR="00CF72D5" w:rsidRPr="002029AF" w:rsidRDefault="00CF72D5" w:rsidP="00C51680">
            <w:pPr>
              <w:pStyle w:val="ARtabletextrightbold"/>
            </w:pPr>
            <w:r w:rsidRPr="002029AF">
              <w:t>8</w:t>
            </w:r>
          </w:p>
        </w:tc>
        <w:tc>
          <w:tcPr>
            <w:tcW w:w="887" w:type="dxa"/>
            <w:hideMark/>
          </w:tcPr>
          <w:p w14:paraId="2F8B49E6" w14:textId="0E3AB401" w:rsidR="00CF72D5" w:rsidRPr="002029AF" w:rsidRDefault="00CF72D5" w:rsidP="00C51680">
            <w:pPr>
              <w:pStyle w:val="ARtabletextright"/>
            </w:pPr>
            <w:r w:rsidRPr="002029AF">
              <w:t>5</w:t>
            </w:r>
          </w:p>
        </w:tc>
        <w:tc>
          <w:tcPr>
            <w:tcW w:w="887" w:type="dxa"/>
            <w:hideMark/>
          </w:tcPr>
          <w:p w14:paraId="0D9EBD25" w14:textId="7D1851C4" w:rsidR="00CF72D5" w:rsidRPr="002029AF" w:rsidRDefault="00CF72D5" w:rsidP="00C51680">
            <w:pPr>
              <w:pStyle w:val="ARtabletextright"/>
            </w:pPr>
            <w:r w:rsidRPr="002029AF">
              <w:t>3</w:t>
            </w:r>
          </w:p>
        </w:tc>
        <w:tc>
          <w:tcPr>
            <w:tcW w:w="1022" w:type="dxa"/>
            <w:hideMark/>
          </w:tcPr>
          <w:p w14:paraId="1DCAFDF3" w14:textId="2905D061" w:rsidR="00CF72D5" w:rsidRPr="002029AF" w:rsidRDefault="00CF72D5" w:rsidP="00C51680">
            <w:pPr>
              <w:pStyle w:val="ARtabletextright"/>
            </w:pPr>
            <w:r w:rsidRPr="002029AF">
              <w:t>0</w:t>
            </w:r>
          </w:p>
        </w:tc>
        <w:tc>
          <w:tcPr>
            <w:tcW w:w="902" w:type="dxa"/>
            <w:hideMark/>
          </w:tcPr>
          <w:p w14:paraId="0F7D0E06" w14:textId="5F17DC99" w:rsidR="00CF72D5" w:rsidRPr="002029AF" w:rsidRDefault="00CF72D5" w:rsidP="00C51680">
            <w:pPr>
              <w:pStyle w:val="ARtabletextrightbold"/>
            </w:pPr>
            <w:r w:rsidRPr="002029AF">
              <w:t>8</w:t>
            </w:r>
          </w:p>
        </w:tc>
        <w:tc>
          <w:tcPr>
            <w:tcW w:w="872" w:type="dxa"/>
            <w:hideMark/>
          </w:tcPr>
          <w:p w14:paraId="4B8FBF3D" w14:textId="3176BEBD" w:rsidR="00CF72D5" w:rsidRPr="002029AF" w:rsidRDefault="00CF72D5" w:rsidP="00C51680">
            <w:pPr>
              <w:pStyle w:val="ARtabletextright"/>
            </w:pPr>
            <w:r w:rsidRPr="002029AF">
              <w:t>0</w:t>
            </w:r>
          </w:p>
        </w:tc>
        <w:tc>
          <w:tcPr>
            <w:tcW w:w="887" w:type="dxa"/>
            <w:hideMark/>
          </w:tcPr>
          <w:p w14:paraId="64A876CD" w14:textId="33801461" w:rsidR="00CF72D5" w:rsidRPr="002029AF" w:rsidRDefault="00CF72D5" w:rsidP="00C51680">
            <w:pPr>
              <w:pStyle w:val="ARtabletextright"/>
            </w:pPr>
            <w:r w:rsidRPr="002029AF">
              <w:t>0</w:t>
            </w:r>
          </w:p>
        </w:tc>
        <w:tc>
          <w:tcPr>
            <w:tcW w:w="1022" w:type="dxa"/>
            <w:hideMark/>
          </w:tcPr>
          <w:p w14:paraId="2DE2890A" w14:textId="539A9E29" w:rsidR="00CF72D5" w:rsidRPr="002029AF" w:rsidRDefault="00CF72D5" w:rsidP="00C51680">
            <w:pPr>
              <w:pStyle w:val="ARtabletextright"/>
            </w:pPr>
            <w:r w:rsidRPr="002029AF">
              <w:t>0</w:t>
            </w:r>
          </w:p>
        </w:tc>
        <w:tc>
          <w:tcPr>
            <w:tcW w:w="887" w:type="dxa"/>
            <w:hideMark/>
          </w:tcPr>
          <w:p w14:paraId="66B0140E" w14:textId="6DB26B53" w:rsidR="00CF72D5" w:rsidRPr="002029AF" w:rsidRDefault="00CF72D5" w:rsidP="00C51680">
            <w:pPr>
              <w:pStyle w:val="ARtabletextrightbold"/>
            </w:pPr>
            <w:r w:rsidRPr="002029AF">
              <w:t>0</w:t>
            </w:r>
          </w:p>
        </w:tc>
      </w:tr>
      <w:tr w:rsidR="00CF72D5" w:rsidRPr="002029AF" w14:paraId="43B1E23D" w14:textId="77777777" w:rsidTr="00D40FE6">
        <w:tc>
          <w:tcPr>
            <w:tcW w:w="2944" w:type="dxa"/>
            <w:hideMark/>
          </w:tcPr>
          <w:p w14:paraId="35A75014" w14:textId="0DFC1C95" w:rsidR="00CF72D5" w:rsidRPr="002029AF" w:rsidRDefault="00CF72D5" w:rsidP="00C51680">
            <w:pPr>
              <w:pStyle w:val="ARtabletext"/>
            </w:pPr>
            <w:r w:rsidRPr="002029AF">
              <w:t>Alpine</w:t>
            </w:r>
            <w:r w:rsidR="000A5329" w:rsidRPr="002029AF">
              <w:t xml:space="preserve"> </w:t>
            </w:r>
            <w:r w:rsidRPr="002029AF">
              <w:t>Health</w:t>
            </w:r>
          </w:p>
        </w:tc>
        <w:tc>
          <w:tcPr>
            <w:tcW w:w="871" w:type="dxa"/>
            <w:hideMark/>
          </w:tcPr>
          <w:p w14:paraId="6EB7CFC7" w14:textId="70CC4696" w:rsidR="00CF72D5" w:rsidRPr="002029AF" w:rsidRDefault="00CF72D5" w:rsidP="00C51680">
            <w:pPr>
              <w:pStyle w:val="ARtabletextright"/>
            </w:pPr>
            <w:r w:rsidRPr="002029AF">
              <w:t>0</w:t>
            </w:r>
          </w:p>
        </w:tc>
        <w:tc>
          <w:tcPr>
            <w:tcW w:w="886" w:type="dxa"/>
            <w:hideMark/>
          </w:tcPr>
          <w:p w14:paraId="1CAAEE32" w14:textId="67BCD702" w:rsidR="00CF72D5" w:rsidRPr="002029AF" w:rsidRDefault="00CF72D5" w:rsidP="00C51680">
            <w:pPr>
              <w:pStyle w:val="ARtabletextright"/>
            </w:pPr>
            <w:r w:rsidRPr="002029AF">
              <w:t>1</w:t>
            </w:r>
          </w:p>
        </w:tc>
        <w:tc>
          <w:tcPr>
            <w:tcW w:w="1021" w:type="dxa"/>
            <w:hideMark/>
          </w:tcPr>
          <w:p w14:paraId="6480B307" w14:textId="529164EE" w:rsidR="00CF72D5" w:rsidRPr="002029AF" w:rsidRDefault="00CF72D5" w:rsidP="00C51680">
            <w:pPr>
              <w:pStyle w:val="ARtabletextright"/>
            </w:pPr>
            <w:r w:rsidRPr="002029AF">
              <w:t>0</w:t>
            </w:r>
          </w:p>
        </w:tc>
        <w:tc>
          <w:tcPr>
            <w:tcW w:w="917" w:type="dxa"/>
            <w:hideMark/>
          </w:tcPr>
          <w:p w14:paraId="3860FC98" w14:textId="2ED9EC4F" w:rsidR="00CF72D5" w:rsidRPr="002029AF" w:rsidRDefault="00CF72D5" w:rsidP="00C51680">
            <w:pPr>
              <w:pStyle w:val="ARtabletextrightbold"/>
            </w:pPr>
            <w:r w:rsidRPr="002029AF">
              <w:t>1</w:t>
            </w:r>
          </w:p>
        </w:tc>
        <w:tc>
          <w:tcPr>
            <w:tcW w:w="887" w:type="dxa"/>
            <w:hideMark/>
          </w:tcPr>
          <w:p w14:paraId="7BC72004" w14:textId="794B511C" w:rsidR="00CF72D5" w:rsidRPr="002029AF" w:rsidRDefault="00CF72D5" w:rsidP="00C51680">
            <w:pPr>
              <w:pStyle w:val="ARtabletextright"/>
            </w:pPr>
            <w:r w:rsidRPr="002029AF">
              <w:t>0</w:t>
            </w:r>
          </w:p>
        </w:tc>
        <w:tc>
          <w:tcPr>
            <w:tcW w:w="887" w:type="dxa"/>
            <w:hideMark/>
          </w:tcPr>
          <w:p w14:paraId="212440A0" w14:textId="5973AB23" w:rsidR="00CF72D5" w:rsidRPr="002029AF" w:rsidRDefault="00CF72D5" w:rsidP="00C51680">
            <w:pPr>
              <w:pStyle w:val="ARtabletextright"/>
            </w:pPr>
            <w:r w:rsidRPr="002029AF">
              <w:t>1</w:t>
            </w:r>
          </w:p>
        </w:tc>
        <w:tc>
          <w:tcPr>
            <w:tcW w:w="1022" w:type="dxa"/>
            <w:hideMark/>
          </w:tcPr>
          <w:p w14:paraId="06D007AE" w14:textId="4579433E" w:rsidR="00CF72D5" w:rsidRPr="002029AF" w:rsidRDefault="00CF72D5" w:rsidP="00C51680">
            <w:pPr>
              <w:pStyle w:val="ARtabletextright"/>
            </w:pPr>
            <w:r w:rsidRPr="002029AF">
              <w:t>0</w:t>
            </w:r>
          </w:p>
        </w:tc>
        <w:tc>
          <w:tcPr>
            <w:tcW w:w="902" w:type="dxa"/>
            <w:hideMark/>
          </w:tcPr>
          <w:p w14:paraId="75C3519C" w14:textId="58158015" w:rsidR="00CF72D5" w:rsidRPr="002029AF" w:rsidRDefault="00CF72D5" w:rsidP="00C51680">
            <w:pPr>
              <w:pStyle w:val="ARtabletextrightbold"/>
            </w:pPr>
            <w:r w:rsidRPr="002029AF">
              <w:t>1</w:t>
            </w:r>
          </w:p>
        </w:tc>
        <w:tc>
          <w:tcPr>
            <w:tcW w:w="872" w:type="dxa"/>
            <w:hideMark/>
          </w:tcPr>
          <w:p w14:paraId="611EBEBD" w14:textId="4BDF884F" w:rsidR="00CF72D5" w:rsidRPr="002029AF" w:rsidRDefault="00CF72D5" w:rsidP="00C51680">
            <w:pPr>
              <w:pStyle w:val="ARtabletextright"/>
            </w:pPr>
            <w:r w:rsidRPr="002029AF">
              <w:t>0</w:t>
            </w:r>
          </w:p>
        </w:tc>
        <w:tc>
          <w:tcPr>
            <w:tcW w:w="887" w:type="dxa"/>
            <w:hideMark/>
          </w:tcPr>
          <w:p w14:paraId="7388363E" w14:textId="597D2101" w:rsidR="00CF72D5" w:rsidRPr="002029AF" w:rsidRDefault="00CF72D5" w:rsidP="00C51680">
            <w:pPr>
              <w:pStyle w:val="ARtabletextright"/>
            </w:pPr>
            <w:r w:rsidRPr="002029AF">
              <w:t>0</w:t>
            </w:r>
          </w:p>
        </w:tc>
        <w:tc>
          <w:tcPr>
            <w:tcW w:w="1022" w:type="dxa"/>
            <w:hideMark/>
          </w:tcPr>
          <w:p w14:paraId="4B95E3B5" w14:textId="30680931" w:rsidR="00CF72D5" w:rsidRPr="002029AF" w:rsidRDefault="00CF72D5" w:rsidP="00C51680">
            <w:pPr>
              <w:pStyle w:val="ARtabletextright"/>
            </w:pPr>
            <w:r w:rsidRPr="002029AF">
              <w:t>0</w:t>
            </w:r>
          </w:p>
        </w:tc>
        <w:tc>
          <w:tcPr>
            <w:tcW w:w="887" w:type="dxa"/>
            <w:hideMark/>
          </w:tcPr>
          <w:p w14:paraId="504D61E8" w14:textId="223570DF" w:rsidR="00CF72D5" w:rsidRPr="002029AF" w:rsidRDefault="00CF72D5" w:rsidP="00C51680">
            <w:pPr>
              <w:pStyle w:val="ARtabletextrightbold"/>
            </w:pPr>
            <w:r w:rsidRPr="002029AF">
              <w:t>0</w:t>
            </w:r>
          </w:p>
        </w:tc>
      </w:tr>
      <w:tr w:rsidR="00CF72D5" w:rsidRPr="002029AF" w14:paraId="6819FF5D" w14:textId="77777777" w:rsidTr="00D40FE6">
        <w:tc>
          <w:tcPr>
            <w:tcW w:w="2944" w:type="dxa"/>
            <w:hideMark/>
          </w:tcPr>
          <w:p w14:paraId="1A4119A6" w14:textId="2ACD443D" w:rsidR="00CF72D5" w:rsidRPr="002029AF" w:rsidRDefault="00CF72D5" w:rsidP="00C51680">
            <w:pPr>
              <w:pStyle w:val="ARtabletext"/>
            </w:pPr>
            <w:r w:rsidRPr="002029AF">
              <w:t>Ambulance</w:t>
            </w:r>
            <w:r w:rsidR="000A5329" w:rsidRPr="002029AF">
              <w:t xml:space="preserve"> </w:t>
            </w:r>
            <w:r w:rsidRPr="002029AF">
              <w:t>Victoria</w:t>
            </w:r>
          </w:p>
        </w:tc>
        <w:tc>
          <w:tcPr>
            <w:tcW w:w="871" w:type="dxa"/>
            <w:hideMark/>
          </w:tcPr>
          <w:p w14:paraId="4E81C6D3" w14:textId="7737ED34" w:rsidR="00CF72D5" w:rsidRPr="002029AF" w:rsidRDefault="00CF72D5" w:rsidP="00C51680">
            <w:pPr>
              <w:pStyle w:val="ARtabletextright"/>
            </w:pPr>
            <w:r w:rsidRPr="002029AF">
              <w:t>8</w:t>
            </w:r>
          </w:p>
        </w:tc>
        <w:tc>
          <w:tcPr>
            <w:tcW w:w="886" w:type="dxa"/>
            <w:hideMark/>
          </w:tcPr>
          <w:p w14:paraId="63B57E77" w14:textId="3793EE0F" w:rsidR="00CF72D5" w:rsidRPr="002029AF" w:rsidRDefault="00CF72D5" w:rsidP="00C51680">
            <w:pPr>
              <w:pStyle w:val="ARtabletextright"/>
            </w:pPr>
            <w:r w:rsidRPr="002029AF">
              <w:t>14</w:t>
            </w:r>
          </w:p>
        </w:tc>
        <w:tc>
          <w:tcPr>
            <w:tcW w:w="1021" w:type="dxa"/>
            <w:hideMark/>
          </w:tcPr>
          <w:p w14:paraId="44C19810" w14:textId="41208D31" w:rsidR="00CF72D5" w:rsidRPr="002029AF" w:rsidRDefault="00CF72D5" w:rsidP="00C51680">
            <w:pPr>
              <w:pStyle w:val="ARtabletextright"/>
            </w:pPr>
            <w:r w:rsidRPr="002029AF">
              <w:t>0</w:t>
            </w:r>
          </w:p>
        </w:tc>
        <w:tc>
          <w:tcPr>
            <w:tcW w:w="917" w:type="dxa"/>
            <w:hideMark/>
          </w:tcPr>
          <w:p w14:paraId="51F368D1" w14:textId="18D55F2E" w:rsidR="00CF72D5" w:rsidRPr="002029AF" w:rsidRDefault="00CF72D5" w:rsidP="00C51680">
            <w:pPr>
              <w:pStyle w:val="ARtabletextrightbold"/>
            </w:pPr>
            <w:r w:rsidRPr="002029AF">
              <w:t>22</w:t>
            </w:r>
          </w:p>
        </w:tc>
        <w:tc>
          <w:tcPr>
            <w:tcW w:w="887" w:type="dxa"/>
            <w:hideMark/>
          </w:tcPr>
          <w:p w14:paraId="0208ECF3" w14:textId="4CB11B09" w:rsidR="00CF72D5" w:rsidRPr="002029AF" w:rsidRDefault="00CF72D5" w:rsidP="00C51680">
            <w:pPr>
              <w:pStyle w:val="ARtabletextright"/>
            </w:pPr>
            <w:r w:rsidRPr="002029AF">
              <w:t>6</w:t>
            </w:r>
          </w:p>
        </w:tc>
        <w:tc>
          <w:tcPr>
            <w:tcW w:w="887" w:type="dxa"/>
            <w:hideMark/>
          </w:tcPr>
          <w:p w14:paraId="2B76E3A5" w14:textId="4167125E" w:rsidR="00CF72D5" w:rsidRPr="002029AF" w:rsidRDefault="00CF72D5" w:rsidP="00C51680">
            <w:pPr>
              <w:pStyle w:val="ARtabletextright"/>
            </w:pPr>
            <w:r w:rsidRPr="002029AF">
              <w:t>15</w:t>
            </w:r>
          </w:p>
        </w:tc>
        <w:tc>
          <w:tcPr>
            <w:tcW w:w="1022" w:type="dxa"/>
            <w:hideMark/>
          </w:tcPr>
          <w:p w14:paraId="0B0801B8" w14:textId="2A3881C8" w:rsidR="00CF72D5" w:rsidRPr="002029AF" w:rsidRDefault="00CF72D5" w:rsidP="00C51680">
            <w:pPr>
              <w:pStyle w:val="ARtabletextright"/>
            </w:pPr>
            <w:r w:rsidRPr="002029AF">
              <w:t>0</w:t>
            </w:r>
          </w:p>
        </w:tc>
        <w:tc>
          <w:tcPr>
            <w:tcW w:w="902" w:type="dxa"/>
            <w:hideMark/>
          </w:tcPr>
          <w:p w14:paraId="4D36B2FB" w14:textId="54D7A322" w:rsidR="00CF72D5" w:rsidRPr="002029AF" w:rsidRDefault="00CF72D5" w:rsidP="00C51680">
            <w:pPr>
              <w:pStyle w:val="ARtabletextrightbold"/>
            </w:pPr>
            <w:r w:rsidRPr="002029AF">
              <w:t>21</w:t>
            </w:r>
          </w:p>
        </w:tc>
        <w:tc>
          <w:tcPr>
            <w:tcW w:w="872" w:type="dxa"/>
            <w:hideMark/>
          </w:tcPr>
          <w:p w14:paraId="467D176F" w14:textId="6F9A2225" w:rsidR="00CF72D5" w:rsidRPr="002029AF" w:rsidRDefault="00CF72D5" w:rsidP="00C51680">
            <w:pPr>
              <w:pStyle w:val="ARtabletextright"/>
            </w:pPr>
            <w:r w:rsidRPr="002029AF">
              <w:t>2</w:t>
            </w:r>
          </w:p>
        </w:tc>
        <w:tc>
          <w:tcPr>
            <w:tcW w:w="887" w:type="dxa"/>
            <w:hideMark/>
          </w:tcPr>
          <w:p w14:paraId="47F8C568" w14:textId="071CDAA2" w:rsidR="00CF72D5" w:rsidRPr="002029AF" w:rsidRDefault="00CF72D5" w:rsidP="00C51680">
            <w:pPr>
              <w:pStyle w:val="ARtabletextright"/>
            </w:pPr>
            <w:r w:rsidRPr="002029AF">
              <w:t>-1</w:t>
            </w:r>
          </w:p>
        </w:tc>
        <w:tc>
          <w:tcPr>
            <w:tcW w:w="1022" w:type="dxa"/>
            <w:hideMark/>
          </w:tcPr>
          <w:p w14:paraId="2DB9F695" w14:textId="78FC2F9F" w:rsidR="00CF72D5" w:rsidRPr="002029AF" w:rsidRDefault="00CF72D5" w:rsidP="00C51680">
            <w:pPr>
              <w:pStyle w:val="ARtabletextright"/>
            </w:pPr>
            <w:r w:rsidRPr="002029AF">
              <w:t>0</w:t>
            </w:r>
          </w:p>
        </w:tc>
        <w:tc>
          <w:tcPr>
            <w:tcW w:w="887" w:type="dxa"/>
            <w:hideMark/>
          </w:tcPr>
          <w:p w14:paraId="523576C3" w14:textId="7DBBDE7E" w:rsidR="00CF72D5" w:rsidRPr="002029AF" w:rsidRDefault="00CF72D5" w:rsidP="00C51680">
            <w:pPr>
              <w:pStyle w:val="ARtabletextrightbold"/>
            </w:pPr>
            <w:r w:rsidRPr="002029AF">
              <w:t>1</w:t>
            </w:r>
          </w:p>
        </w:tc>
      </w:tr>
      <w:tr w:rsidR="00CF72D5" w:rsidRPr="002029AF" w14:paraId="50464A2A" w14:textId="77777777" w:rsidTr="00D40FE6">
        <w:tc>
          <w:tcPr>
            <w:tcW w:w="2944" w:type="dxa"/>
            <w:hideMark/>
          </w:tcPr>
          <w:p w14:paraId="48667B89" w14:textId="16A10CBF" w:rsidR="00CF72D5" w:rsidRPr="002029AF" w:rsidRDefault="00CF72D5" w:rsidP="00C51680">
            <w:pPr>
              <w:pStyle w:val="ARtabletext"/>
            </w:pPr>
            <w:r w:rsidRPr="002029AF">
              <w:t>Austin</w:t>
            </w:r>
            <w:r w:rsidR="000A5329" w:rsidRPr="002029AF">
              <w:t xml:space="preserve"> </w:t>
            </w:r>
            <w:r w:rsidRPr="002029AF">
              <w:t>Health</w:t>
            </w:r>
          </w:p>
        </w:tc>
        <w:tc>
          <w:tcPr>
            <w:tcW w:w="871" w:type="dxa"/>
            <w:hideMark/>
          </w:tcPr>
          <w:p w14:paraId="1E9E0E10" w14:textId="2B53922B" w:rsidR="00CF72D5" w:rsidRPr="002029AF" w:rsidRDefault="00CF72D5" w:rsidP="00C51680">
            <w:pPr>
              <w:pStyle w:val="ARtabletextright"/>
            </w:pPr>
            <w:r w:rsidRPr="002029AF">
              <w:t>3</w:t>
            </w:r>
          </w:p>
        </w:tc>
        <w:tc>
          <w:tcPr>
            <w:tcW w:w="886" w:type="dxa"/>
            <w:hideMark/>
          </w:tcPr>
          <w:p w14:paraId="308E46BE" w14:textId="401B41FB" w:rsidR="00CF72D5" w:rsidRPr="002029AF" w:rsidRDefault="00CF72D5" w:rsidP="00C51680">
            <w:pPr>
              <w:pStyle w:val="ARtabletextright"/>
            </w:pPr>
            <w:r w:rsidRPr="002029AF">
              <w:t>4</w:t>
            </w:r>
          </w:p>
        </w:tc>
        <w:tc>
          <w:tcPr>
            <w:tcW w:w="1021" w:type="dxa"/>
            <w:hideMark/>
          </w:tcPr>
          <w:p w14:paraId="5D3CB313" w14:textId="70BF0329" w:rsidR="00CF72D5" w:rsidRPr="002029AF" w:rsidRDefault="00CF72D5" w:rsidP="00C51680">
            <w:pPr>
              <w:pStyle w:val="ARtabletextright"/>
            </w:pPr>
            <w:r w:rsidRPr="002029AF">
              <w:t>0</w:t>
            </w:r>
          </w:p>
        </w:tc>
        <w:tc>
          <w:tcPr>
            <w:tcW w:w="917" w:type="dxa"/>
            <w:hideMark/>
          </w:tcPr>
          <w:p w14:paraId="7CAEC7C0" w14:textId="6AE938F3" w:rsidR="00CF72D5" w:rsidRPr="002029AF" w:rsidRDefault="00CF72D5" w:rsidP="00C51680">
            <w:pPr>
              <w:pStyle w:val="ARtabletextrightbold"/>
            </w:pPr>
            <w:r w:rsidRPr="002029AF">
              <w:t>7</w:t>
            </w:r>
          </w:p>
        </w:tc>
        <w:tc>
          <w:tcPr>
            <w:tcW w:w="887" w:type="dxa"/>
            <w:hideMark/>
          </w:tcPr>
          <w:p w14:paraId="58320783" w14:textId="103AA244" w:rsidR="00CF72D5" w:rsidRPr="002029AF" w:rsidRDefault="00CF72D5" w:rsidP="00C51680">
            <w:pPr>
              <w:pStyle w:val="ARtabletextright"/>
            </w:pPr>
            <w:r w:rsidRPr="002029AF">
              <w:t>5</w:t>
            </w:r>
          </w:p>
        </w:tc>
        <w:tc>
          <w:tcPr>
            <w:tcW w:w="887" w:type="dxa"/>
            <w:hideMark/>
          </w:tcPr>
          <w:p w14:paraId="125702B0" w14:textId="346FB20B" w:rsidR="00CF72D5" w:rsidRPr="002029AF" w:rsidRDefault="00CF72D5" w:rsidP="00C51680">
            <w:pPr>
              <w:pStyle w:val="ARtabletextright"/>
            </w:pPr>
            <w:r w:rsidRPr="002029AF">
              <w:t>2</w:t>
            </w:r>
          </w:p>
        </w:tc>
        <w:tc>
          <w:tcPr>
            <w:tcW w:w="1022" w:type="dxa"/>
            <w:hideMark/>
          </w:tcPr>
          <w:p w14:paraId="2F0EC21A" w14:textId="3C0E1156" w:rsidR="00CF72D5" w:rsidRPr="002029AF" w:rsidRDefault="00CF72D5" w:rsidP="00C51680">
            <w:pPr>
              <w:pStyle w:val="ARtabletextright"/>
            </w:pPr>
            <w:r w:rsidRPr="002029AF">
              <w:t>0</w:t>
            </w:r>
          </w:p>
        </w:tc>
        <w:tc>
          <w:tcPr>
            <w:tcW w:w="902" w:type="dxa"/>
            <w:hideMark/>
          </w:tcPr>
          <w:p w14:paraId="643920B5" w14:textId="02BBD2B5" w:rsidR="00CF72D5" w:rsidRPr="002029AF" w:rsidRDefault="00CF72D5" w:rsidP="00C51680">
            <w:pPr>
              <w:pStyle w:val="ARtabletextrightbold"/>
            </w:pPr>
            <w:r w:rsidRPr="002029AF">
              <w:t>7</w:t>
            </w:r>
          </w:p>
        </w:tc>
        <w:tc>
          <w:tcPr>
            <w:tcW w:w="872" w:type="dxa"/>
            <w:hideMark/>
          </w:tcPr>
          <w:p w14:paraId="7EA8A19B" w14:textId="7A8F21A6" w:rsidR="00CF72D5" w:rsidRPr="002029AF" w:rsidRDefault="00CF72D5" w:rsidP="00C51680">
            <w:pPr>
              <w:pStyle w:val="ARtabletextright"/>
            </w:pPr>
            <w:r w:rsidRPr="002029AF">
              <w:t>-2</w:t>
            </w:r>
          </w:p>
        </w:tc>
        <w:tc>
          <w:tcPr>
            <w:tcW w:w="887" w:type="dxa"/>
            <w:hideMark/>
          </w:tcPr>
          <w:p w14:paraId="264CC00E" w14:textId="600ACA7A" w:rsidR="00CF72D5" w:rsidRPr="002029AF" w:rsidRDefault="00CF72D5" w:rsidP="00C51680">
            <w:pPr>
              <w:pStyle w:val="ARtabletextright"/>
            </w:pPr>
            <w:r w:rsidRPr="002029AF">
              <w:t>2</w:t>
            </w:r>
          </w:p>
        </w:tc>
        <w:tc>
          <w:tcPr>
            <w:tcW w:w="1022" w:type="dxa"/>
            <w:hideMark/>
          </w:tcPr>
          <w:p w14:paraId="69709F97" w14:textId="19068DC1" w:rsidR="00CF72D5" w:rsidRPr="002029AF" w:rsidRDefault="00CF72D5" w:rsidP="00C51680">
            <w:pPr>
              <w:pStyle w:val="ARtabletextright"/>
            </w:pPr>
            <w:r w:rsidRPr="002029AF">
              <w:t>0</w:t>
            </w:r>
          </w:p>
        </w:tc>
        <w:tc>
          <w:tcPr>
            <w:tcW w:w="887" w:type="dxa"/>
            <w:hideMark/>
          </w:tcPr>
          <w:p w14:paraId="20A76123" w14:textId="2B78DA04" w:rsidR="00CF72D5" w:rsidRPr="002029AF" w:rsidRDefault="00CF72D5" w:rsidP="00C51680">
            <w:pPr>
              <w:pStyle w:val="ARtabletextrightbold"/>
            </w:pPr>
            <w:r w:rsidRPr="002029AF">
              <w:t>0</w:t>
            </w:r>
          </w:p>
        </w:tc>
      </w:tr>
      <w:tr w:rsidR="00CF72D5" w:rsidRPr="002029AF" w14:paraId="7495DA3D" w14:textId="77777777" w:rsidTr="00D40FE6">
        <w:tc>
          <w:tcPr>
            <w:tcW w:w="2944" w:type="dxa"/>
            <w:hideMark/>
          </w:tcPr>
          <w:p w14:paraId="33980DEB" w14:textId="6882A90E" w:rsidR="00CF72D5" w:rsidRPr="002029AF" w:rsidRDefault="00CF72D5" w:rsidP="00C51680">
            <w:pPr>
              <w:pStyle w:val="ARtabletext"/>
            </w:pPr>
            <w:r w:rsidRPr="002029AF">
              <w:t>Bairnsdale</w:t>
            </w:r>
            <w:r w:rsidR="000A5329" w:rsidRPr="002029AF">
              <w:t xml:space="preserve"> </w:t>
            </w:r>
            <w:r w:rsidRPr="002029AF">
              <w:t>Regional</w:t>
            </w:r>
            <w:r w:rsidR="000A5329" w:rsidRPr="002029AF">
              <w:t xml:space="preserve"> </w:t>
            </w:r>
            <w:r w:rsidRPr="002029AF">
              <w:t>Health</w:t>
            </w:r>
            <w:r w:rsidR="000A5329" w:rsidRPr="002029AF">
              <w:t xml:space="preserve"> </w:t>
            </w:r>
            <w:r w:rsidRPr="002029AF">
              <w:t>Service</w:t>
            </w:r>
          </w:p>
        </w:tc>
        <w:tc>
          <w:tcPr>
            <w:tcW w:w="871" w:type="dxa"/>
            <w:hideMark/>
          </w:tcPr>
          <w:p w14:paraId="6B5AAFFC" w14:textId="56508812" w:rsidR="00CF72D5" w:rsidRPr="002029AF" w:rsidRDefault="00CF72D5" w:rsidP="00C51680">
            <w:pPr>
              <w:pStyle w:val="ARtabletextright"/>
            </w:pPr>
            <w:r w:rsidRPr="002029AF">
              <w:t>2</w:t>
            </w:r>
          </w:p>
        </w:tc>
        <w:tc>
          <w:tcPr>
            <w:tcW w:w="886" w:type="dxa"/>
            <w:hideMark/>
          </w:tcPr>
          <w:p w14:paraId="111E388E" w14:textId="6A80F25A" w:rsidR="00CF72D5" w:rsidRPr="002029AF" w:rsidRDefault="00CF72D5" w:rsidP="00C51680">
            <w:pPr>
              <w:pStyle w:val="ARtabletextright"/>
            </w:pPr>
            <w:r w:rsidRPr="002029AF">
              <w:t>1</w:t>
            </w:r>
          </w:p>
        </w:tc>
        <w:tc>
          <w:tcPr>
            <w:tcW w:w="1021" w:type="dxa"/>
            <w:hideMark/>
          </w:tcPr>
          <w:p w14:paraId="4F6C698A" w14:textId="6FDE6266" w:rsidR="00CF72D5" w:rsidRPr="002029AF" w:rsidRDefault="00CF72D5" w:rsidP="00C51680">
            <w:pPr>
              <w:pStyle w:val="ARtabletextright"/>
            </w:pPr>
            <w:r w:rsidRPr="002029AF">
              <w:t>0</w:t>
            </w:r>
          </w:p>
        </w:tc>
        <w:tc>
          <w:tcPr>
            <w:tcW w:w="917" w:type="dxa"/>
            <w:hideMark/>
          </w:tcPr>
          <w:p w14:paraId="0D19B7B1" w14:textId="4171DEFD" w:rsidR="00CF72D5" w:rsidRPr="002029AF" w:rsidRDefault="00CF72D5" w:rsidP="00C51680">
            <w:pPr>
              <w:pStyle w:val="ARtabletextrightbold"/>
            </w:pPr>
            <w:r w:rsidRPr="002029AF">
              <w:t>3</w:t>
            </w:r>
          </w:p>
        </w:tc>
        <w:tc>
          <w:tcPr>
            <w:tcW w:w="887" w:type="dxa"/>
            <w:hideMark/>
          </w:tcPr>
          <w:p w14:paraId="2EA8ABA3" w14:textId="4884542B" w:rsidR="00CF72D5" w:rsidRPr="002029AF" w:rsidRDefault="00CF72D5" w:rsidP="00C51680">
            <w:pPr>
              <w:pStyle w:val="ARtabletextright"/>
            </w:pPr>
            <w:r w:rsidRPr="002029AF">
              <w:t>2</w:t>
            </w:r>
          </w:p>
        </w:tc>
        <w:tc>
          <w:tcPr>
            <w:tcW w:w="887" w:type="dxa"/>
            <w:hideMark/>
          </w:tcPr>
          <w:p w14:paraId="17CD57BF" w14:textId="179DE1AC" w:rsidR="00CF72D5" w:rsidRPr="002029AF" w:rsidRDefault="00CF72D5" w:rsidP="00C51680">
            <w:pPr>
              <w:pStyle w:val="ARtabletextright"/>
            </w:pPr>
            <w:r w:rsidRPr="002029AF">
              <w:t>1</w:t>
            </w:r>
          </w:p>
        </w:tc>
        <w:tc>
          <w:tcPr>
            <w:tcW w:w="1022" w:type="dxa"/>
            <w:hideMark/>
          </w:tcPr>
          <w:p w14:paraId="3BABF176" w14:textId="1EE7341D" w:rsidR="00CF72D5" w:rsidRPr="002029AF" w:rsidRDefault="00CF72D5" w:rsidP="00C51680">
            <w:pPr>
              <w:pStyle w:val="ARtabletextright"/>
            </w:pPr>
            <w:r w:rsidRPr="002029AF">
              <w:t>0</w:t>
            </w:r>
          </w:p>
        </w:tc>
        <w:tc>
          <w:tcPr>
            <w:tcW w:w="902" w:type="dxa"/>
            <w:hideMark/>
          </w:tcPr>
          <w:p w14:paraId="4E5B02C0" w14:textId="26C711F5" w:rsidR="00CF72D5" w:rsidRPr="002029AF" w:rsidRDefault="00CF72D5" w:rsidP="00C51680">
            <w:pPr>
              <w:pStyle w:val="ARtabletextrightbold"/>
            </w:pPr>
            <w:r w:rsidRPr="002029AF">
              <w:t>3</w:t>
            </w:r>
          </w:p>
        </w:tc>
        <w:tc>
          <w:tcPr>
            <w:tcW w:w="872" w:type="dxa"/>
            <w:hideMark/>
          </w:tcPr>
          <w:p w14:paraId="14855326" w14:textId="3E089A2D" w:rsidR="00CF72D5" w:rsidRPr="002029AF" w:rsidRDefault="00CF72D5" w:rsidP="00C51680">
            <w:pPr>
              <w:pStyle w:val="ARtabletextright"/>
            </w:pPr>
            <w:r w:rsidRPr="002029AF">
              <w:t>0</w:t>
            </w:r>
          </w:p>
        </w:tc>
        <w:tc>
          <w:tcPr>
            <w:tcW w:w="887" w:type="dxa"/>
            <w:hideMark/>
          </w:tcPr>
          <w:p w14:paraId="59D392A6" w14:textId="6B0F96B3" w:rsidR="00CF72D5" w:rsidRPr="002029AF" w:rsidRDefault="00CF72D5" w:rsidP="00C51680">
            <w:pPr>
              <w:pStyle w:val="ARtabletextright"/>
            </w:pPr>
            <w:r w:rsidRPr="002029AF">
              <w:t>0</w:t>
            </w:r>
          </w:p>
        </w:tc>
        <w:tc>
          <w:tcPr>
            <w:tcW w:w="1022" w:type="dxa"/>
            <w:hideMark/>
          </w:tcPr>
          <w:p w14:paraId="24ADCCD6" w14:textId="50152F83" w:rsidR="00CF72D5" w:rsidRPr="002029AF" w:rsidRDefault="00CF72D5" w:rsidP="00C51680">
            <w:pPr>
              <w:pStyle w:val="ARtabletextright"/>
            </w:pPr>
            <w:r w:rsidRPr="002029AF">
              <w:t>0</w:t>
            </w:r>
          </w:p>
        </w:tc>
        <w:tc>
          <w:tcPr>
            <w:tcW w:w="887" w:type="dxa"/>
            <w:hideMark/>
          </w:tcPr>
          <w:p w14:paraId="3A98021D" w14:textId="57CC9060" w:rsidR="00CF72D5" w:rsidRPr="002029AF" w:rsidRDefault="00CF72D5" w:rsidP="00C51680">
            <w:pPr>
              <w:pStyle w:val="ARtabletextrightbold"/>
            </w:pPr>
            <w:r w:rsidRPr="002029AF">
              <w:t>0</w:t>
            </w:r>
          </w:p>
        </w:tc>
      </w:tr>
      <w:tr w:rsidR="00CF72D5" w:rsidRPr="002029AF" w14:paraId="0702D620" w14:textId="77777777" w:rsidTr="00D40FE6">
        <w:tc>
          <w:tcPr>
            <w:tcW w:w="2944" w:type="dxa"/>
            <w:hideMark/>
          </w:tcPr>
          <w:p w14:paraId="33E24FD8" w14:textId="157524F9" w:rsidR="00CF72D5" w:rsidRPr="002029AF" w:rsidRDefault="00CF72D5" w:rsidP="00C51680">
            <w:pPr>
              <w:pStyle w:val="ARtabletext"/>
            </w:pPr>
            <w:r w:rsidRPr="002029AF">
              <w:t>Ballarat</w:t>
            </w:r>
            <w:r w:rsidR="000A5329" w:rsidRPr="002029AF">
              <w:t xml:space="preserve"> </w:t>
            </w:r>
            <w:r w:rsidRPr="002029AF">
              <w:t>General</w:t>
            </w:r>
            <w:r w:rsidR="000A5329" w:rsidRPr="002029AF">
              <w:t xml:space="preserve"> </w:t>
            </w:r>
            <w:r w:rsidRPr="002029AF">
              <w:t>Cemeteries</w:t>
            </w:r>
            <w:r w:rsidR="000A5329" w:rsidRPr="002029AF">
              <w:t xml:space="preserve"> </w:t>
            </w:r>
            <w:r w:rsidRPr="002029AF">
              <w:t>Trust</w:t>
            </w:r>
          </w:p>
        </w:tc>
        <w:tc>
          <w:tcPr>
            <w:tcW w:w="871" w:type="dxa"/>
            <w:hideMark/>
          </w:tcPr>
          <w:p w14:paraId="0C1DEAB6" w14:textId="5DCBA045" w:rsidR="00CF72D5" w:rsidRPr="002029AF" w:rsidRDefault="00CF72D5" w:rsidP="00C51680">
            <w:pPr>
              <w:pStyle w:val="ARtabletextright"/>
            </w:pPr>
            <w:r w:rsidRPr="002029AF">
              <w:t>1</w:t>
            </w:r>
          </w:p>
        </w:tc>
        <w:tc>
          <w:tcPr>
            <w:tcW w:w="886" w:type="dxa"/>
            <w:hideMark/>
          </w:tcPr>
          <w:p w14:paraId="72C20867" w14:textId="67D05865" w:rsidR="00CF72D5" w:rsidRPr="002029AF" w:rsidRDefault="00CF72D5" w:rsidP="00C51680">
            <w:pPr>
              <w:pStyle w:val="ARtabletextright"/>
            </w:pPr>
            <w:r w:rsidRPr="002029AF">
              <w:t>0</w:t>
            </w:r>
          </w:p>
        </w:tc>
        <w:tc>
          <w:tcPr>
            <w:tcW w:w="1021" w:type="dxa"/>
            <w:hideMark/>
          </w:tcPr>
          <w:p w14:paraId="18C951C7" w14:textId="3EDC1905" w:rsidR="00CF72D5" w:rsidRPr="002029AF" w:rsidRDefault="00CF72D5" w:rsidP="00C51680">
            <w:pPr>
              <w:pStyle w:val="ARtabletextright"/>
            </w:pPr>
            <w:r w:rsidRPr="002029AF">
              <w:t>0</w:t>
            </w:r>
          </w:p>
        </w:tc>
        <w:tc>
          <w:tcPr>
            <w:tcW w:w="917" w:type="dxa"/>
            <w:hideMark/>
          </w:tcPr>
          <w:p w14:paraId="7E530A98" w14:textId="1CB8B819" w:rsidR="00CF72D5" w:rsidRPr="002029AF" w:rsidRDefault="00CF72D5" w:rsidP="00C51680">
            <w:pPr>
              <w:pStyle w:val="ARtabletextrightbold"/>
            </w:pPr>
            <w:r w:rsidRPr="002029AF">
              <w:t>1</w:t>
            </w:r>
          </w:p>
        </w:tc>
        <w:tc>
          <w:tcPr>
            <w:tcW w:w="887" w:type="dxa"/>
            <w:hideMark/>
          </w:tcPr>
          <w:p w14:paraId="52CA581D" w14:textId="757B6468" w:rsidR="00CF72D5" w:rsidRPr="002029AF" w:rsidRDefault="00CF72D5" w:rsidP="00C51680">
            <w:pPr>
              <w:pStyle w:val="ARtabletextright"/>
            </w:pPr>
            <w:r w:rsidRPr="002029AF">
              <w:t>1</w:t>
            </w:r>
          </w:p>
        </w:tc>
        <w:tc>
          <w:tcPr>
            <w:tcW w:w="887" w:type="dxa"/>
            <w:hideMark/>
          </w:tcPr>
          <w:p w14:paraId="37A323C8" w14:textId="19C7D502" w:rsidR="00CF72D5" w:rsidRPr="002029AF" w:rsidRDefault="00CF72D5" w:rsidP="00C51680">
            <w:pPr>
              <w:pStyle w:val="ARtabletextright"/>
            </w:pPr>
            <w:r w:rsidRPr="002029AF">
              <w:t>0</w:t>
            </w:r>
          </w:p>
        </w:tc>
        <w:tc>
          <w:tcPr>
            <w:tcW w:w="1022" w:type="dxa"/>
            <w:hideMark/>
          </w:tcPr>
          <w:p w14:paraId="08A081EE" w14:textId="22435E82" w:rsidR="00CF72D5" w:rsidRPr="002029AF" w:rsidRDefault="00CF72D5" w:rsidP="00C51680">
            <w:pPr>
              <w:pStyle w:val="ARtabletextright"/>
            </w:pPr>
            <w:r w:rsidRPr="002029AF">
              <w:t>0</w:t>
            </w:r>
          </w:p>
        </w:tc>
        <w:tc>
          <w:tcPr>
            <w:tcW w:w="902" w:type="dxa"/>
            <w:hideMark/>
          </w:tcPr>
          <w:p w14:paraId="10A54BE0" w14:textId="0D8D5E39" w:rsidR="00CF72D5" w:rsidRPr="002029AF" w:rsidRDefault="00CF72D5" w:rsidP="00C51680">
            <w:pPr>
              <w:pStyle w:val="ARtabletextrightbold"/>
            </w:pPr>
            <w:r w:rsidRPr="002029AF">
              <w:t>1</w:t>
            </w:r>
          </w:p>
        </w:tc>
        <w:tc>
          <w:tcPr>
            <w:tcW w:w="872" w:type="dxa"/>
            <w:hideMark/>
          </w:tcPr>
          <w:p w14:paraId="305C7DA2" w14:textId="03645EA4" w:rsidR="00CF72D5" w:rsidRPr="002029AF" w:rsidRDefault="00CF72D5" w:rsidP="00C51680">
            <w:pPr>
              <w:pStyle w:val="ARtabletextright"/>
            </w:pPr>
            <w:r w:rsidRPr="002029AF">
              <w:t>0</w:t>
            </w:r>
          </w:p>
        </w:tc>
        <w:tc>
          <w:tcPr>
            <w:tcW w:w="887" w:type="dxa"/>
            <w:hideMark/>
          </w:tcPr>
          <w:p w14:paraId="674C7E99" w14:textId="3C8F7A51" w:rsidR="00CF72D5" w:rsidRPr="002029AF" w:rsidRDefault="00CF72D5" w:rsidP="00C51680">
            <w:pPr>
              <w:pStyle w:val="ARtabletextright"/>
            </w:pPr>
            <w:r w:rsidRPr="002029AF">
              <w:t>0</w:t>
            </w:r>
          </w:p>
        </w:tc>
        <w:tc>
          <w:tcPr>
            <w:tcW w:w="1022" w:type="dxa"/>
            <w:hideMark/>
          </w:tcPr>
          <w:p w14:paraId="7CA1B01C" w14:textId="67544CDD" w:rsidR="00CF72D5" w:rsidRPr="002029AF" w:rsidRDefault="00CF72D5" w:rsidP="00C51680">
            <w:pPr>
              <w:pStyle w:val="ARtabletextright"/>
            </w:pPr>
            <w:r w:rsidRPr="002029AF">
              <w:t>0</w:t>
            </w:r>
          </w:p>
        </w:tc>
        <w:tc>
          <w:tcPr>
            <w:tcW w:w="887" w:type="dxa"/>
            <w:hideMark/>
          </w:tcPr>
          <w:p w14:paraId="61EE1E07" w14:textId="2815B984" w:rsidR="00CF72D5" w:rsidRPr="002029AF" w:rsidRDefault="00CF72D5" w:rsidP="00C51680">
            <w:pPr>
              <w:pStyle w:val="ARtabletextrightbold"/>
            </w:pPr>
            <w:r w:rsidRPr="002029AF">
              <w:t>0</w:t>
            </w:r>
          </w:p>
        </w:tc>
      </w:tr>
      <w:tr w:rsidR="00CF72D5" w:rsidRPr="002029AF" w14:paraId="646961BD" w14:textId="77777777" w:rsidTr="00D40FE6">
        <w:tc>
          <w:tcPr>
            <w:tcW w:w="2944" w:type="dxa"/>
            <w:hideMark/>
          </w:tcPr>
          <w:p w14:paraId="12DD4C77" w14:textId="0A6AA26D" w:rsidR="00CF72D5" w:rsidRPr="002029AF" w:rsidRDefault="00CF72D5" w:rsidP="00C51680">
            <w:pPr>
              <w:pStyle w:val="ARtabletext"/>
            </w:pPr>
            <w:r w:rsidRPr="002029AF">
              <w:t>Ballarat</w:t>
            </w:r>
            <w:r w:rsidR="000A5329" w:rsidRPr="002029AF">
              <w:t xml:space="preserve"> </w:t>
            </w:r>
            <w:r w:rsidRPr="002029AF">
              <w:t>Health</w:t>
            </w:r>
            <w:r w:rsidR="000A5329" w:rsidRPr="002029AF">
              <w:t xml:space="preserve"> </w:t>
            </w:r>
            <w:r w:rsidRPr="002029AF">
              <w:t>Services</w:t>
            </w:r>
          </w:p>
        </w:tc>
        <w:tc>
          <w:tcPr>
            <w:tcW w:w="871" w:type="dxa"/>
            <w:hideMark/>
          </w:tcPr>
          <w:p w14:paraId="4ECB259B" w14:textId="647AC0C3" w:rsidR="00CF72D5" w:rsidRPr="002029AF" w:rsidRDefault="00CF72D5" w:rsidP="00C51680">
            <w:pPr>
              <w:pStyle w:val="ARtabletextright"/>
            </w:pPr>
            <w:r w:rsidRPr="002029AF">
              <w:t>5</w:t>
            </w:r>
          </w:p>
        </w:tc>
        <w:tc>
          <w:tcPr>
            <w:tcW w:w="886" w:type="dxa"/>
            <w:hideMark/>
          </w:tcPr>
          <w:p w14:paraId="626E83DF" w14:textId="5441E170" w:rsidR="00CF72D5" w:rsidRPr="002029AF" w:rsidRDefault="00CF72D5" w:rsidP="00C51680">
            <w:pPr>
              <w:pStyle w:val="ARtabletextright"/>
            </w:pPr>
            <w:r w:rsidRPr="002029AF">
              <w:t>4</w:t>
            </w:r>
          </w:p>
        </w:tc>
        <w:tc>
          <w:tcPr>
            <w:tcW w:w="1021" w:type="dxa"/>
            <w:hideMark/>
          </w:tcPr>
          <w:p w14:paraId="44C5F6AD" w14:textId="7E727567" w:rsidR="00CF72D5" w:rsidRPr="002029AF" w:rsidRDefault="00CF72D5" w:rsidP="00C51680">
            <w:pPr>
              <w:pStyle w:val="ARtabletextright"/>
            </w:pPr>
            <w:r w:rsidRPr="002029AF">
              <w:t>0</w:t>
            </w:r>
          </w:p>
        </w:tc>
        <w:tc>
          <w:tcPr>
            <w:tcW w:w="917" w:type="dxa"/>
            <w:hideMark/>
          </w:tcPr>
          <w:p w14:paraId="79951D91" w14:textId="080EE9F5" w:rsidR="00CF72D5" w:rsidRPr="002029AF" w:rsidRDefault="00CF72D5" w:rsidP="00C51680">
            <w:pPr>
              <w:pStyle w:val="ARtabletextrightbold"/>
            </w:pPr>
            <w:r w:rsidRPr="002029AF">
              <w:t>9</w:t>
            </w:r>
          </w:p>
        </w:tc>
        <w:tc>
          <w:tcPr>
            <w:tcW w:w="887" w:type="dxa"/>
            <w:hideMark/>
          </w:tcPr>
          <w:p w14:paraId="689C31E5" w14:textId="3F320118" w:rsidR="00CF72D5" w:rsidRPr="002029AF" w:rsidRDefault="00CF72D5" w:rsidP="00C51680">
            <w:pPr>
              <w:pStyle w:val="ARtabletextright"/>
            </w:pPr>
            <w:r w:rsidRPr="002029AF">
              <w:t>3</w:t>
            </w:r>
          </w:p>
        </w:tc>
        <w:tc>
          <w:tcPr>
            <w:tcW w:w="887" w:type="dxa"/>
            <w:hideMark/>
          </w:tcPr>
          <w:p w14:paraId="4B32FF86" w14:textId="7C60CC2F" w:rsidR="00CF72D5" w:rsidRPr="002029AF" w:rsidRDefault="00CF72D5" w:rsidP="00C51680">
            <w:pPr>
              <w:pStyle w:val="ARtabletextright"/>
            </w:pPr>
            <w:r w:rsidRPr="002029AF">
              <w:t>4</w:t>
            </w:r>
          </w:p>
        </w:tc>
        <w:tc>
          <w:tcPr>
            <w:tcW w:w="1022" w:type="dxa"/>
            <w:hideMark/>
          </w:tcPr>
          <w:p w14:paraId="7E818FA4" w14:textId="28861871" w:rsidR="00CF72D5" w:rsidRPr="002029AF" w:rsidRDefault="00CF72D5" w:rsidP="00C51680">
            <w:pPr>
              <w:pStyle w:val="ARtabletextright"/>
            </w:pPr>
            <w:r w:rsidRPr="002029AF">
              <w:t>0</w:t>
            </w:r>
          </w:p>
        </w:tc>
        <w:tc>
          <w:tcPr>
            <w:tcW w:w="902" w:type="dxa"/>
            <w:hideMark/>
          </w:tcPr>
          <w:p w14:paraId="4B709039" w14:textId="3B647A26" w:rsidR="00CF72D5" w:rsidRPr="002029AF" w:rsidRDefault="00CF72D5" w:rsidP="00C51680">
            <w:pPr>
              <w:pStyle w:val="ARtabletextrightbold"/>
            </w:pPr>
            <w:r w:rsidRPr="002029AF">
              <w:t>7</w:t>
            </w:r>
          </w:p>
        </w:tc>
        <w:tc>
          <w:tcPr>
            <w:tcW w:w="872" w:type="dxa"/>
            <w:hideMark/>
          </w:tcPr>
          <w:p w14:paraId="3859A81C" w14:textId="18AEC824" w:rsidR="00CF72D5" w:rsidRPr="002029AF" w:rsidRDefault="00CF72D5" w:rsidP="00C51680">
            <w:pPr>
              <w:pStyle w:val="ARtabletextright"/>
            </w:pPr>
            <w:r w:rsidRPr="002029AF">
              <w:t>2</w:t>
            </w:r>
          </w:p>
        </w:tc>
        <w:tc>
          <w:tcPr>
            <w:tcW w:w="887" w:type="dxa"/>
            <w:hideMark/>
          </w:tcPr>
          <w:p w14:paraId="629305FF" w14:textId="0440D9BC" w:rsidR="00CF72D5" w:rsidRPr="002029AF" w:rsidRDefault="00CF72D5" w:rsidP="00C51680">
            <w:pPr>
              <w:pStyle w:val="ARtabletextright"/>
            </w:pPr>
            <w:r w:rsidRPr="002029AF">
              <w:t>0</w:t>
            </w:r>
          </w:p>
        </w:tc>
        <w:tc>
          <w:tcPr>
            <w:tcW w:w="1022" w:type="dxa"/>
            <w:hideMark/>
          </w:tcPr>
          <w:p w14:paraId="3D5A00F2" w14:textId="46EDADCE" w:rsidR="00CF72D5" w:rsidRPr="002029AF" w:rsidRDefault="00CF72D5" w:rsidP="00C51680">
            <w:pPr>
              <w:pStyle w:val="ARtabletextright"/>
            </w:pPr>
            <w:r w:rsidRPr="002029AF">
              <w:t>0</w:t>
            </w:r>
          </w:p>
        </w:tc>
        <w:tc>
          <w:tcPr>
            <w:tcW w:w="887" w:type="dxa"/>
            <w:hideMark/>
          </w:tcPr>
          <w:p w14:paraId="40E320AD" w14:textId="27318DA1" w:rsidR="00CF72D5" w:rsidRPr="002029AF" w:rsidRDefault="00CF72D5" w:rsidP="00C51680">
            <w:pPr>
              <w:pStyle w:val="ARtabletextrightbold"/>
            </w:pPr>
            <w:r w:rsidRPr="002029AF">
              <w:t>2</w:t>
            </w:r>
          </w:p>
        </w:tc>
      </w:tr>
      <w:tr w:rsidR="00CF72D5" w:rsidRPr="002029AF" w14:paraId="732E85A3" w14:textId="77777777" w:rsidTr="00D40FE6">
        <w:tc>
          <w:tcPr>
            <w:tcW w:w="2944" w:type="dxa"/>
            <w:hideMark/>
          </w:tcPr>
          <w:p w14:paraId="39D78825" w14:textId="0756B7D2" w:rsidR="00CF72D5" w:rsidRPr="002029AF" w:rsidRDefault="00CF72D5" w:rsidP="00C51680">
            <w:pPr>
              <w:pStyle w:val="ARtabletext"/>
            </w:pPr>
            <w:r w:rsidRPr="002029AF">
              <w:t>Barwon</w:t>
            </w:r>
            <w:r w:rsidR="000A5329" w:rsidRPr="002029AF">
              <w:t xml:space="preserve"> </w:t>
            </w:r>
            <w:r w:rsidRPr="002029AF">
              <w:t>Health</w:t>
            </w:r>
          </w:p>
        </w:tc>
        <w:tc>
          <w:tcPr>
            <w:tcW w:w="871" w:type="dxa"/>
            <w:hideMark/>
          </w:tcPr>
          <w:p w14:paraId="1C8ED048" w14:textId="33133281" w:rsidR="00CF72D5" w:rsidRPr="002029AF" w:rsidRDefault="00CF72D5" w:rsidP="00C51680">
            <w:pPr>
              <w:pStyle w:val="ARtabletextright"/>
            </w:pPr>
            <w:r w:rsidRPr="002029AF">
              <w:t>6</w:t>
            </w:r>
          </w:p>
        </w:tc>
        <w:tc>
          <w:tcPr>
            <w:tcW w:w="886" w:type="dxa"/>
            <w:hideMark/>
          </w:tcPr>
          <w:p w14:paraId="2DD90FA8" w14:textId="0285509D" w:rsidR="00CF72D5" w:rsidRPr="002029AF" w:rsidRDefault="00CF72D5" w:rsidP="00C51680">
            <w:pPr>
              <w:pStyle w:val="ARtabletextright"/>
            </w:pPr>
            <w:r w:rsidRPr="002029AF">
              <w:t>3</w:t>
            </w:r>
          </w:p>
        </w:tc>
        <w:tc>
          <w:tcPr>
            <w:tcW w:w="1021" w:type="dxa"/>
            <w:hideMark/>
          </w:tcPr>
          <w:p w14:paraId="7B3A6E07" w14:textId="4F725107" w:rsidR="00CF72D5" w:rsidRPr="002029AF" w:rsidRDefault="00CF72D5" w:rsidP="00C51680">
            <w:pPr>
              <w:pStyle w:val="ARtabletextright"/>
            </w:pPr>
            <w:r w:rsidRPr="002029AF">
              <w:t>0</w:t>
            </w:r>
          </w:p>
        </w:tc>
        <w:tc>
          <w:tcPr>
            <w:tcW w:w="917" w:type="dxa"/>
            <w:hideMark/>
          </w:tcPr>
          <w:p w14:paraId="0B9C061F" w14:textId="6F9B6A03" w:rsidR="00CF72D5" w:rsidRPr="002029AF" w:rsidRDefault="00CF72D5" w:rsidP="00C51680">
            <w:pPr>
              <w:pStyle w:val="ARtabletextrightbold"/>
            </w:pPr>
            <w:r w:rsidRPr="002029AF">
              <w:t>9</w:t>
            </w:r>
          </w:p>
        </w:tc>
        <w:tc>
          <w:tcPr>
            <w:tcW w:w="887" w:type="dxa"/>
            <w:hideMark/>
          </w:tcPr>
          <w:p w14:paraId="7BA3853C" w14:textId="383ED839" w:rsidR="00CF72D5" w:rsidRPr="002029AF" w:rsidRDefault="00CF72D5" w:rsidP="00C51680">
            <w:pPr>
              <w:pStyle w:val="ARtabletextright"/>
            </w:pPr>
            <w:r w:rsidRPr="002029AF">
              <w:t>5</w:t>
            </w:r>
          </w:p>
        </w:tc>
        <w:tc>
          <w:tcPr>
            <w:tcW w:w="887" w:type="dxa"/>
            <w:hideMark/>
          </w:tcPr>
          <w:p w14:paraId="4B3B54EB" w14:textId="5DF9C22B" w:rsidR="00CF72D5" w:rsidRPr="002029AF" w:rsidRDefault="00CF72D5" w:rsidP="00C51680">
            <w:pPr>
              <w:pStyle w:val="ARtabletextright"/>
            </w:pPr>
            <w:r w:rsidRPr="002029AF">
              <w:t>5</w:t>
            </w:r>
          </w:p>
        </w:tc>
        <w:tc>
          <w:tcPr>
            <w:tcW w:w="1022" w:type="dxa"/>
            <w:hideMark/>
          </w:tcPr>
          <w:p w14:paraId="3E359A9B" w14:textId="519AE60E" w:rsidR="00CF72D5" w:rsidRPr="002029AF" w:rsidRDefault="00CF72D5" w:rsidP="00C51680">
            <w:pPr>
              <w:pStyle w:val="ARtabletextright"/>
            </w:pPr>
            <w:r w:rsidRPr="002029AF">
              <w:t>0</w:t>
            </w:r>
          </w:p>
        </w:tc>
        <w:tc>
          <w:tcPr>
            <w:tcW w:w="902" w:type="dxa"/>
            <w:hideMark/>
          </w:tcPr>
          <w:p w14:paraId="297900FB" w14:textId="3E787948" w:rsidR="00CF72D5" w:rsidRPr="002029AF" w:rsidRDefault="00CF72D5" w:rsidP="00C51680">
            <w:pPr>
              <w:pStyle w:val="ARtabletextrightbold"/>
            </w:pPr>
            <w:r w:rsidRPr="002029AF">
              <w:t>10</w:t>
            </w:r>
          </w:p>
        </w:tc>
        <w:tc>
          <w:tcPr>
            <w:tcW w:w="872" w:type="dxa"/>
            <w:hideMark/>
          </w:tcPr>
          <w:p w14:paraId="22275A67" w14:textId="2ED1A2F6" w:rsidR="00CF72D5" w:rsidRPr="002029AF" w:rsidRDefault="00CF72D5" w:rsidP="00C51680">
            <w:pPr>
              <w:pStyle w:val="ARtabletextright"/>
            </w:pPr>
            <w:r w:rsidRPr="002029AF">
              <w:t>1</w:t>
            </w:r>
          </w:p>
        </w:tc>
        <w:tc>
          <w:tcPr>
            <w:tcW w:w="887" w:type="dxa"/>
            <w:hideMark/>
          </w:tcPr>
          <w:p w14:paraId="5AC3E441" w14:textId="3B658F1C" w:rsidR="00CF72D5" w:rsidRPr="002029AF" w:rsidRDefault="00CF72D5" w:rsidP="00C51680">
            <w:pPr>
              <w:pStyle w:val="ARtabletextright"/>
            </w:pPr>
            <w:r w:rsidRPr="002029AF">
              <w:t>-2</w:t>
            </w:r>
          </w:p>
        </w:tc>
        <w:tc>
          <w:tcPr>
            <w:tcW w:w="1022" w:type="dxa"/>
            <w:hideMark/>
          </w:tcPr>
          <w:p w14:paraId="28186C5A" w14:textId="422FF38C" w:rsidR="00CF72D5" w:rsidRPr="002029AF" w:rsidRDefault="00CF72D5" w:rsidP="00C51680">
            <w:pPr>
              <w:pStyle w:val="ARtabletextright"/>
            </w:pPr>
            <w:r w:rsidRPr="002029AF">
              <w:t>0</w:t>
            </w:r>
          </w:p>
        </w:tc>
        <w:tc>
          <w:tcPr>
            <w:tcW w:w="887" w:type="dxa"/>
            <w:hideMark/>
          </w:tcPr>
          <w:p w14:paraId="4C019143" w14:textId="449F1B8C" w:rsidR="00CF72D5" w:rsidRPr="002029AF" w:rsidRDefault="00CF72D5" w:rsidP="00C51680">
            <w:pPr>
              <w:pStyle w:val="ARtabletextrightbold"/>
            </w:pPr>
            <w:r w:rsidRPr="002029AF">
              <w:t>-1</w:t>
            </w:r>
          </w:p>
        </w:tc>
      </w:tr>
      <w:tr w:rsidR="00CF72D5" w:rsidRPr="002029AF" w14:paraId="0D86CB27" w14:textId="77777777" w:rsidTr="00D40FE6">
        <w:tc>
          <w:tcPr>
            <w:tcW w:w="2944" w:type="dxa"/>
            <w:hideMark/>
          </w:tcPr>
          <w:p w14:paraId="5AC9B74C" w14:textId="75262DAF" w:rsidR="00CF72D5" w:rsidRPr="002029AF" w:rsidRDefault="00CF72D5" w:rsidP="00C51680">
            <w:pPr>
              <w:pStyle w:val="ARtabletext"/>
            </w:pPr>
            <w:r w:rsidRPr="002029AF">
              <w:t>Bass</w:t>
            </w:r>
            <w:r w:rsidR="000A5329" w:rsidRPr="002029AF">
              <w:t xml:space="preserve"> </w:t>
            </w:r>
            <w:r w:rsidRPr="002029AF">
              <w:t>Coast</w:t>
            </w:r>
            <w:r w:rsidR="000A5329" w:rsidRPr="002029AF">
              <w:t xml:space="preserve"> </w:t>
            </w:r>
            <w:r w:rsidRPr="002029AF">
              <w:t>Health</w:t>
            </w:r>
          </w:p>
        </w:tc>
        <w:tc>
          <w:tcPr>
            <w:tcW w:w="871" w:type="dxa"/>
            <w:hideMark/>
          </w:tcPr>
          <w:p w14:paraId="0789CCD5" w14:textId="26F0B3F6" w:rsidR="00CF72D5" w:rsidRPr="002029AF" w:rsidRDefault="00CF72D5" w:rsidP="00C51680">
            <w:pPr>
              <w:pStyle w:val="ARtabletextright"/>
            </w:pPr>
            <w:r w:rsidRPr="002029AF">
              <w:t>3</w:t>
            </w:r>
          </w:p>
        </w:tc>
        <w:tc>
          <w:tcPr>
            <w:tcW w:w="886" w:type="dxa"/>
            <w:hideMark/>
          </w:tcPr>
          <w:p w14:paraId="4C83C246" w14:textId="7B349FA2" w:rsidR="00CF72D5" w:rsidRPr="002029AF" w:rsidRDefault="00CF72D5" w:rsidP="00C51680">
            <w:pPr>
              <w:pStyle w:val="ARtabletextright"/>
            </w:pPr>
            <w:r w:rsidRPr="002029AF">
              <w:t>2</w:t>
            </w:r>
          </w:p>
        </w:tc>
        <w:tc>
          <w:tcPr>
            <w:tcW w:w="1021" w:type="dxa"/>
            <w:hideMark/>
          </w:tcPr>
          <w:p w14:paraId="75C0C86D" w14:textId="2CDCFDB1" w:rsidR="00CF72D5" w:rsidRPr="002029AF" w:rsidRDefault="00CF72D5" w:rsidP="00C51680">
            <w:pPr>
              <w:pStyle w:val="ARtabletextright"/>
            </w:pPr>
            <w:r w:rsidRPr="002029AF">
              <w:t>0</w:t>
            </w:r>
          </w:p>
        </w:tc>
        <w:tc>
          <w:tcPr>
            <w:tcW w:w="917" w:type="dxa"/>
            <w:hideMark/>
          </w:tcPr>
          <w:p w14:paraId="7FD5E4FF" w14:textId="34FD423F" w:rsidR="00CF72D5" w:rsidRPr="002029AF" w:rsidRDefault="00CF72D5" w:rsidP="00C51680">
            <w:pPr>
              <w:pStyle w:val="ARtabletextrightbold"/>
            </w:pPr>
            <w:r w:rsidRPr="002029AF">
              <w:t>5</w:t>
            </w:r>
          </w:p>
        </w:tc>
        <w:tc>
          <w:tcPr>
            <w:tcW w:w="887" w:type="dxa"/>
            <w:hideMark/>
          </w:tcPr>
          <w:p w14:paraId="4BBEFDF3" w14:textId="72E347A5" w:rsidR="00CF72D5" w:rsidRPr="002029AF" w:rsidRDefault="00CF72D5" w:rsidP="00C51680">
            <w:pPr>
              <w:pStyle w:val="ARtabletextright"/>
            </w:pPr>
            <w:r w:rsidRPr="002029AF">
              <w:t>2</w:t>
            </w:r>
          </w:p>
        </w:tc>
        <w:tc>
          <w:tcPr>
            <w:tcW w:w="887" w:type="dxa"/>
            <w:hideMark/>
          </w:tcPr>
          <w:p w14:paraId="79214218" w14:textId="14408034" w:rsidR="00CF72D5" w:rsidRPr="002029AF" w:rsidRDefault="00CF72D5" w:rsidP="00C51680">
            <w:pPr>
              <w:pStyle w:val="ARtabletextright"/>
            </w:pPr>
            <w:r w:rsidRPr="002029AF">
              <w:t>1</w:t>
            </w:r>
          </w:p>
        </w:tc>
        <w:tc>
          <w:tcPr>
            <w:tcW w:w="1022" w:type="dxa"/>
            <w:hideMark/>
          </w:tcPr>
          <w:p w14:paraId="0BF1855D" w14:textId="0982F6BA" w:rsidR="00CF72D5" w:rsidRPr="002029AF" w:rsidRDefault="00CF72D5" w:rsidP="00C51680">
            <w:pPr>
              <w:pStyle w:val="ARtabletextright"/>
            </w:pPr>
            <w:r w:rsidRPr="002029AF">
              <w:t>0</w:t>
            </w:r>
          </w:p>
        </w:tc>
        <w:tc>
          <w:tcPr>
            <w:tcW w:w="902" w:type="dxa"/>
            <w:hideMark/>
          </w:tcPr>
          <w:p w14:paraId="4B95F0F7" w14:textId="003FFB04" w:rsidR="00CF72D5" w:rsidRPr="002029AF" w:rsidRDefault="00CF72D5" w:rsidP="00C51680">
            <w:pPr>
              <w:pStyle w:val="ARtabletextrightbold"/>
            </w:pPr>
            <w:r w:rsidRPr="002029AF">
              <w:t>3</w:t>
            </w:r>
          </w:p>
        </w:tc>
        <w:tc>
          <w:tcPr>
            <w:tcW w:w="872" w:type="dxa"/>
            <w:hideMark/>
          </w:tcPr>
          <w:p w14:paraId="524A05B4" w14:textId="318D79D5" w:rsidR="00CF72D5" w:rsidRPr="002029AF" w:rsidRDefault="00CF72D5" w:rsidP="00C51680">
            <w:pPr>
              <w:pStyle w:val="ARtabletextright"/>
            </w:pPr>
            <w:r w:rsidRPr="002029AF">
              <w:t>1</w:t>
            </w:r>
          </w:p>
        </w:tc>
        <w:tc>
          <w:tcPr>
            <w:tcW w:w="887" w:type="dxa"/>
            <w:hideMark/>
          </w:tcPr>
          <w:p w14:paraId="7CC99949" w14:textId="1B87AEC2" w:rsidR="00CF72D5" w:rsidRPr="002029AF" w:rsidRDefault="00CF72D5" w:rsidP="00C51680">
            <w:pPr>
              <w:pStyle w:val="ARtabletextright"/>
            </w:pPr>
            <w:r w:rsidRPr="002029AF">
              <w:t>1</w:t>
            </w:r>
          </w:p>
        </w:tc>
        <w:tc>
          <w:tcPr>
            <w:tcW w:w="1022" w:type="dxa"/>
            <w:hideMark/>
          </w:tcPr>
          <w:p w14:paraId="5D0A8FFC" w14:textId="3F480A30" w:rsidR="00CF72D5" w:rsidRPr="002029AF" w:rsidRDefault="00CF72D5" w:rsidP="00C51680">
            <w:pPr>
              <w:pStyle w:val="ARtabletextright"/>
            </w:pPr>
            <w:r w:rsidRPr="002029AF">
              <w:t>0</w:t>
            </w:r>
          </w:p>
        </w:tc>
        <w:tc>
          <w:tcPr>
            <w:tcW w:w="887" w:type="dxa"/>
            <w:hideMark/>
          </w:tcPr>
          <w:p w14:paraId="7942AA28" w14:textId="49BBB8BE" w:rsidR="00CF72D5" w:rsidRPr="002029AF" w:rsidRDefault="00CF72D5" w:rsidP="00C51680">
            <w:pPr>
              <w:pStyle w:val="ARtabletextrightbold"/>
            </w:pPr>
            <w:r w:rsidRPr="002029AF">
              <w:t>2</w:t>
            </w:r>
          </w:p>
        </w:tc>
      </w:tr>
      <w:tr w:rsidR="00CF72D5" w:rsidRPr="002029AF" w14:paraId="1BEACAC8" w14:textId="77777777" w:rsidTr="00D40FE6">
        <w:tc>
          <w:tcPr>
            <w:tcW w:w="2944" w:type="dxa"/>
            <w:hideMark/>
          </w:tcPr>
          <w:p w14:paraId="072C4C25" w14:textId="2FDD6539" w:rsidR="00CF72D5" w:rsidRPr="002029AF" w:rsidRDefault="00CF72D5" w:rsidP="00C51680">
            <w:pPr>
              <w:pStyle w:val="ARtabletext"/>
            </w:pPr>
            <w:r w:rsidRPr="002029AF">
              <w:t>Beaufort</w:t>
            </w:r>
            <w:r w:rsidR="000A5329" w:rsidRPr="002029AF">
              <w:t xml:space="preserve"> </w:t>
            </w:r>
            <w:r w:rsidRPr="002029AF">
              <w:t>and</w:t>
            </w:r>
            <w:r w:rsidR="000A5329" w:rsidRPr="002029AF">
              <w:t xml:space="preserve"> </w:t>
            </w:r>
            <w:r w:rsidRPr="002029AF">
              <w:t>Skipton</w:t>
            </w:r>
            <w:r w:rsidR="000A5329" w:rsidRPr="002029AF">
              <w:t xml:space="preserve"> </w:t>
            </w:r>
            <w:r w:rsidRPr="002029AF">
              <w:t>Health</w:t>
            </w:r>
            <w:r w:rsidR="000A5329" w:rsidRPr="002029AF">
              <w:t xml:space="preserve"> </w:t>
            </w:r>
            <w:r w:rsidRPr="002029AF">
              <w:t>Service</w:t>
            </w:r>
          </w:p>
        </w:tc>
        <w:tc>
          <w:tcPr>
            <w:tcW w:w="871" w:type="dxa"/>
            <w:hideMark/>
          </w:tcPr>
          <w:p w14:paraId="4971EB07" w14:textId="41AB1AAE" w:rsidR="00CF72D5" w:rsidRPr="002029AF" w:rsidRDefault="00CF72D5" w:rsidP="00C51680">
            <w:pPr>
              <w:pStyle w:val="ARtabletextright"/>
            </w:pPr>
            <w:r w:rsidRPr="002029AF">
              <w:t>1</w:t>
            </w:r>
          </w:p>
        </w:tc>
        <w:tc>
          <w:tcPr>
            <w:tcW w:w="886" w:type="dxa"/>
            <w:hideMark/>
          </w:tcPr>
          <w:p w14:paraId="32523F3D" w14:textId="5C2B4DE4" w:rsidR="00CF72D5" w:rsidRPr="002029AF" w:rsidRDefault="00CF72D5" w:rsidP="00C51680">
            <w:pPr>
              <w:pStyle w:val="ARtabletextright"/>
            </w:pPr>
            <w:r w:rsidRPr="002029AF">
              <w:t>0</w:t>
            </w:r>
          </w:p>
        </w:tc>
        <w:tc>
          <w:tcPr>
            <w:tcW w:w="1021" w:type="dxa"/>
            <w:hideMark/>
          </w:tcPr>
          <w:p w14:paraId="1850DCE2" w14:textId="04580504" w:rsidR="00CF72D5" w:rsidRPr="002029AF" w:rsidRDefault="00CF72D5" w:rsidP="00C51680">
            <w:pPr>
              <w:pStyle w:val="ARtabletextright"/>
            </w:pPr>
            <w:r w:rsidRPr="002029AF">
              <w:t>0</w:t>
            </w:r>
          </w:p>
        </w:tc>
        <w:tc>
          <w:tcPr>
            <w:tcW w:w="917" w:type="dxa"/>
            <w:hideMark/>
          </w:tcPr>
          <w:p w14:paraId="713675C8" w14:textId="3FC50E1F" w:rsidR="00CF72D5" w:rsidRPr="002029AF" w:rsidRDefault="00CF72D5" w:rsidP="00C51680">
            <w:pPr>
              <w:pStyle w:val="ARtabletextrightbold"/>
            </w:pPr>
            <w:r w:rsidRPr="002029AF">
              <w:t>1</w:t>
            </w:r>
          </w:p>
        </w:tc>
        <w:tc>
          <w:tcPr>
            <w:tcW w:w="887" w:type="dxa"/>
            <w:hideMark/>
          </w:tcPr>
          <w:p w14:paraId="515175E3" w14:textId="05BB806D" w:rsidR="00CF72D5" w:rsidRPr="002029AF" w:rsidRDefault="00CF72D5" w:rsidP="00C51680">
            <w:pPr>
              <w:pStyle w:val="ARtabletextright"/>
            </w:pPr>
            <w:r w:rsidRPr="002029AF">
              <w:t>1</w:t>
            </w:r>
          </w:p>
        </w:tc>
        <w:tc>
          <w:tcPr>
            <w:tcW w:w="887" w:type="dxa"/>
            <w:hideMark/>
          </w:tcPr>
          <w:p w14:paraId="3D246599" w14:textId="053A7BD1" w:rsidR="00CF72D5" w:rsidRPr="002029AF" w:rsidRDefault="00CF72D5" w:rsidP="00C51680">
            <w:pPr>
              <w:pStyle w:val="ARtabletextright"/>
            </w:pPr>
            <w:r w:rsidRPr="002029AF">
              <w:t>0</w:t>
            </w:r>
          </w:p>
        </w:tc>
        <w:tc>
          <w:tcPr>
            <w:tcW w:w="1022" w:type="dxa"/>
            <w:hideMark/>
          </w:tcPr>
          <w:p w14:paraId="385A7A25" w14:textId="2FACA677" w:rsidR="00CF72D5" w:rsidRPr="002029AF" w:rsidRDefault="00CF72D5" w:rsidP="00C51680">
            <w:pPr>
              <w:pStyle w:val="ARtabletextright"/>
            </w:pPr>
            <w:r w:rsidRPr="002029AF">
              <w:t>0</w:t>
            </w:r>
          </w:p>
        </w:tc>
        <w:tc>
          <w:tcPr>
            <w:tcW w:w="902" w:type="dxa"/>
            <w:hideMark/>
          </w:tcPr>
          <w:p w14:paraId="020CB5F0" w14:textId="0D7AFD26" w:rsidR="00CF72D5" w:rsidRPr="002029AF" w:rsidRDefault="00CF72D5" w:rsidP="00C51680">
            <w:pPr>
              <w:pStyle w:val="ARtabletextrightbold"/>
            </w:pPr>
            <w:r w:rsidRPr="002029AF">
              <w:t>1</w:t>
            </w:r>
          </w:p>
        </w:tc>
        <w:tc>
          <w:tcPr>
            <w:tcW w:w="872" w:type="dxa"/>
            <w:hideMark/>
          </w:tcPr>
          <w:p w14:paraId="3CAC5928" w14:textId="424E4D15" w:rsidR="00CF72D5" w:rsidRPr="002029AF" w:rsidRDefault="00CF72D5" w:rsidP="00C51680">
            <w:pPr>
              <w:pStyle w:val="ARtabletextright"/>
            </w:pPr>
            <w:r w:rsidRPr="002029AF">
              <w:t>0</w:t>
            </w:r>
          </w:p>
        </w:tc>
        <w:tc>
          <w:tcPr>
            <w:tcW w:w="887" w:type="dxa"/>
            <w:hideMark/>
          </w:tcPr>
          <w:p w14:paraId="3AE52A60" w14:textId="50EFF3E6" w:rsidR="00CF72D5" w:rsidRPr="002029AF" w:rsidRDefault="00CF72D5" w:rsidP="00C51680">
            <w:pPr>
              <w:pStyle w:val="ARtabletextright"/>
            </w:pPr>
            <w:r w:rsidRPr="002029AF">
              <w:t>0</w:t>
            </w:r>
          </w:p>
        </w:tc>
        <w:tc>
          <w:tcPr>
            <w:tcW w:w="1022" w:type="dxa"/>
            <w:hideMark/>
          </w:tcPr>
          <w:p w14:paraId="0497835D" w14:textId="206C8D28" w:rsidR="00CF72D5" w:rsidRPr="002029AF" w:rsidRDefault="00CF72D5" w:rsidP="00C51680">
            <w:pPr>
              <w:pStyle w:val="ARtabletextright"/>
            </w:pPr>
            <w:r w:rsidRPr="002029AF">
              <w:t>0</w:t>
            </w:r>
          </w:p>
        </w:tc>
        <w:tc>
          <w:tcPr>
            <w:tcW w:w="887" w:type="dxa"/>
            <w:hideMark/>
          </w:tcPr>
          <w:p w14:paraId="43973C22" w14:textId="7F6FFFC2" w:rsidR="00CF72D5" w:rsidRPr="002029AF" w:rsidRDefault="00CF72D5" w:rsidP="00C51680">
            <w:pPr>
              <w:pStyle w:val="ARtabletextrightbold"/>
            </w:pPr>
            <w:r w:rsidRPr="002029AF">
              <w:t>0</w:t>
            </w:r>
          </w:p>
        </w:tc>
      </w:tr>
      <w:tr w:rsidR="00CF72D5" w:rsidRPr="002029AF" w14:paraId="6BCF3249" w14:textId="77777777" w:rsidTr="00D40FE6">
        <w:tc>
          <w:tcPr>
            <w:tcW w:w="2944" w:type="dxa"/>
            <w:hideMark/>
          </w:tcPr>
          <w:p w14:paraId="197219C0" w14:textId="4B8C3F3F" w:rsidR="00CF72D5" w:rsidRPr="002029AF" w:rsidRDefault="00CF72D5" w:rsidP="00C51680">
            <w:pPr>
              <w:pStyle w:val="ARtabletext"/>
            </w:pPr>
            <w:r w:rsidRPr="002029AF">
              <w:t>Beechworth</w:t>
            </w:r>
            <w:r w:rsidR="000A5329" w:rsidRPr="002029AF">
              <w:t xml:space="preserve"> </w:t>
            </w:r>
            <w:r w:rsidRPr="002029AF">
              <w:t>Health</w:t>
            </w:r>
            <w:r w:rsidR="000A5329" w:rsidRPr="002029AF">
              <w:t xml:space="preserve"> </w:t>
            </w:r>
            <w:r w:rsidRPr="002029AF">
              <w:t>Service</w:t>
            </w:r>
          </w:p>
        </w:tc>
        <w:tc>
          <w:tcPr>
            <w:tcW w:w="871" w:type="dxa"/>
            <w:hideMark/>
          </w:tcPr>
          <w:p w14:paraId="49528BFA" w14:textId="06B3B994" w:rsidR="00CF72D5" w:rsidRPr="002029AF" w:rsidRDefault="00CF72D5" w:rsidP="00C51680">
            <w:pPr>
              <w:pStyle w:val="ARtabletextright"/>
            </w:pPr>
            <w:r w:rsidRPr="002029AF">
              <w:t>0</w:t>
            </w:r>
          </w:p>
        </w:tc>
        <w:tc>
          <w:tcPr>
            <w:tcW w:w="886" w:type="dxa"/>
            <w:hideMark/>
          </w:tcPr>
          <w:p w14:paraId="7ED0DC9E" w14:textId="37E31F3C" w:rsidR="00CF72D5" w:rsidRPr="002029AF" w:rsidRDefault="00CF72D5" w:rsidP="00C51680">
            <w:pPr>
              <w:pStyle w:val="ARtabletextright"/>
            </w:pPr>
            <w:r w:rsidRPr="002029AF">
              <w:t>1</w:t>
            </w:r>
          </w:p>
        </w:tc>
        <w:tc>
          <w:tcPr>
            <w:tcW w:w="1021" w:type="dxa"/>
            <w:hideMark/>
          </w:tcPr>
          <w:p w14:paraId="2DACA1B2" w14:textId="1F320AAE" w:rsidR="00CF72D5" w:rsidRPr="002029AF" w:rsidRDefault="00CF72D5" w:rsidP="00C51680">
            <w:pPr>
              <w:pStyle w:val="ARtabletextright"/>
            </w:pPr>
            <w:r w:rsidRPr="002029AF">
              <w:t>0</w:t>
            </w:r>
          </w:p>
        </w:tc>
        <w:tc>
          <w:tcPr>
            <w:tcW w:w="917" w:type="dxa"/>
            <w:hideMark/>
          </w:tcPr>
          <w:p w14:paraId="52C3ECB9" w14:textId="5DD06C6E" w:rsidR="00CF72D5" w:rsidRPr="002029AF" w:rsidRDefault="00CF72D5" w:rsidP="00C51680">
            <w:pPr>
              <w:pStyle w:val="ARtabletextrightbold"/>
            </w:pPr>
            <w:r w:rsidRPr="002029AF">
              <w:t>1</w:t>
            </w:r>
          </w:p>
        </w:tc>
        <w:tc>
          <w:tcPr>
            <w:tcW w:w="887" w:type="dxa"/>
            <w:hideMark/>
          </w:tcPr>
          <w:p w14:paraId="415D64DA" w14:textId="1FDCB325" w:rsidR="00CF72D5" w:rsidRPr="002029AF" w:rsidRDefault="00CF72D5" w:rsidP="00C51680">
            <w:pPr>
              <w:pStyle w:val="ARtabletextright"/>
            </w:pPr>
            <w:r w:rsidRPr="002029AF">
              <w:t>0</w:t>
            </w:r>
          </w:p>
        </w:tc>
        <w:tc>
          <w:tcPr>
            <w:tcW w:w="887" w:type="dxa"/>
            <w:hideMark/>
          </w:tcPr>
          <w:p w14:paraId="36F2CB66" w14:textId="70D15D98" w:rsidR="00CF72D5" w:rsidRPr="002029AF" w:rsidRDefault="00CF72D5" w:rsidP="00C51680">
            <w:pPr>
              <w:pStyle w:val="ARtabletextright"/>
            </w:pPr>
            <w:r w:rsidRPr="002029AF">
              <w:t>1</w:t>
            </w:r>
          </w:p>
        </w:tc>
        <w:tc>
          <w:tcPr>
            <w:tcW w:w="1022" w:type="dxa"/>
            <w:hideMark/>
          </w:tcPr>
          <w:p w14:paraId="1B71D77B" w14:textId="2B00712D" w:rsidR="00CF72D5" w:rsidRPr="002029AF" w:rsidRDefault="00CF72D5" w:rsidP="00C51680">
            <w:pPr>
              <w:pStyle w:val="ARtabletextright"/>
            </w:pPr>
            <w:r w:rsidRPr="002029AF">
              <w:t>0</w:t>
            </w:r>
          </w:p>
        </w:tc>
        <w:tc>
          <w:tcPr>
            <w:tcW w:w="902" w:type="dxa"/>
            <w:hideMark/>
          </w:tcPr>
          <w:p w14:paraId="796451D6" w14:textId="4B02A6FC" w:rsidR="00CF72D5" w:rsidRPr="002029AF" w:rsidRDefault="00CF72D5" w:rsidP="00C51680">
            <w:pPr>
              <w:pStyle w:val="ARtabletextrightbold"/>
            </w:pPr>
            <w:r w:rsidRPr="002029AF">
              <w:t>1</w:t>
            </w:r>
          </w:p>
        </w:tc>
        <w:tc>
          <w:tcPr>
            <w:tcW w:w="872" w:type="dxa"/>
            <w:hideMark/>
          </w:tcPr>
          <w:p w14:paraId="18A47BE0" w14:textId="3FCCF101" w:rsidR="00CF72D5" w:rsidRPr="002029AF" w:rsidRDefault="00CF72D5" w:rsidP="00C51680">
            <w:pPr>
              <w:pStyle w:val="ARtabletextright"/>
            </w:pPr>
            <w:r w:rsidRPr="002029AF">
              <w:t>0</w:t>
            </w:r>
          </w:p>
        </w:tc>
        <w:tc>
          <w:tcPr>
            <w:tcW w:w="887" w:type="dxa"/>
            <w:hideMark/>
          </w:tcPr>
          <w:p w14:paraId="79310109" w14:textId="34469CF0" w:rsidR="00CF72D5" w:rsidRPr="002029AF" w:rsidRDefault="00CF72D5" w:rsidP="00C51680">
            <w:pPr>
              <w:pStyle w:val="ARtabletextright"/>
            </w:pPr>
            <w:r w:rsidRPr="002029AF">
              <w:t>0</w:t>
            </w:r>
          </w:p>
        </w:tc>
        <w:tc>
          <w:tcPr>
            <w:tcW w:w="1022" w:type="dxa"/>
            <w:hideMark/>
          </w:tcPr>
          <w:p w14:paraId="6801AD1B" w14:textId="13FF7A68" w:rsidR="00CF72D5" w:rsidRPr="002029AF" w:rsidRDefault="00CF72D5" w:rsidP="00C51680">
            <w:pPr>
              <w:pStyle w:val="ARtabletextright"/>
            </w:pPr>
            <w:r w:rsidRPr="002029AF">
              <w:t>0</w:t>
            </w:r>
          </w:p>
        </w:tc>
        <w:tc>
          <w:tcPr>
            <w:tcW w:w="887" w:type="dxa"/>
            <w:hideMark/>
          </w:tcPr>
          <w:p w14:paraId="235AC1F2" w14:textId="4B07ABBE" w:rsidR="00CF72D5" w:rsidRPr="002029AF" w:rsidRDefault="00CF72D5" w:rsidP="00C51680">
            <w:pPr>
              <w:pStyle w:val="ARtabletextrightbold"/>
            </w:pPr>
            <w:r w:rsidRPr="002029AF">
              <w:t>0</w:t>
            </w:r>
          </w:p>
        </w:tc>
      </w:tr>
      <w:tr w:rsidR="00CF72D5" w:rsidRPr="002029AF" w14:paraId="5EAE16D7" w14:textId="77777777" w:rsidTr="00D40FE6">
        <w:tc>
          <w:tcPr>
            <w:tcW w:w="2944" w:type="dxa"/>
            <w:hideMark/>
          </w:tcPr>
          <w:p w14:paraId="06C8FE67" w14:textId="1BDE6144" w:rsidR="00CF72D5" w:rsidRPr="002029AF" w:rsidRDefault="00CF72D5" w:rsidP="00C51680">
            <w:pPr>
              <w:pStyle w:val="ARtabletext"/>
            </w:pPr>
            <w:r w:rsidRPr="002029AF">
              <w:t>Benalla</w:t>
            </w:r>
            <w:r w:rsidR="000A5329" w:rsidRPr="002029AF">
              <w:t xml:space="preserve"> </w:t>
            </w:r>
            <w:r w:rsidRPr="002029AF">
              <w:t>Health</w:t>
            </w:r>
          </w:p>
        </w:tc>
        <w:tc>
          <w:tcPr>
            <w:tcW w:w="871" w:type="dxa"/>
            <w:hideMark/>
          </w:tcPr>
          <w:p w14:paraId="67D46DD6" w14:textId="00546833" w:rsidR="00CF72D5" w:rsidRPr="002029AF" w:rsidRDefault="00CF72D5" w:rsidP="00C51680">
            <w:pPr>
              <w:pStyle w:val="ARtabletextright"/>
            </w:pPr>
            <w:r w:rsidRPr="002029AF">
              <w:t>1</w:t>
            </w:r>
          </w:p>
        </w:tc>
        <w:tc>
          <w:tcPr>
            <w:tcW w:w="886" w:type="dxa"/>
            <w:hideMark/>
          </w:tcPr>
          <w:p w14:paraId="5B86A254" w14:textId="412E2DA4" w:rsidR="00CF72D5" w:rsidRPr="002029AF" w:rsidRDefault="00CF72D5" w:rsidP="00C51680">
            <w:pPr>
              <w:pStyle w:val="ARtabletextright"/>
            </w:pPr>
            <w:r w:rsidRPr="002029AF">
              <w:t>0</w:t>
            </w:r>
          </w:p>
        </w:tc>
        <w:tc>
          <w:tcPr>
            <w:tcW w:w="1021" w:type="dxa"/>
            <w:hideMark/>
          </w:tcPr>
          <w:p w14:paraId="570E4675" w14:textId="2399C080" w:rsidR="00CF72D5" w:rsidRPr="002029AF" w:rsidRDefault="00CF72D5" w:rsidP="00C51680">
            <w:pPr>
              <w:pStyle w:val="ARtabletextright"/>
            </w:pPr>
            <w:r w:rsidRPr="002029AF">
              <w:t>0</w:t>
            </w:r>
          </w:p>
        </w:tc>
        <w:tc>
          <w:tcPr>
            <w:tcW w:w="917" w:type="dxa"/>
            <w:hideMark/>
          </w:tcPr>
          <w:p w14:paraId="59B1DD74" w14:textId="5C7AC125" w:rsidR="00CF72D5" w:rsidRPr="002029AF" w:rsidRDefault="00CF72D5" w:rsidP="00C51680">
            <w:pPr>
              <w:pStyle w:val="ARtabletextrightbold"/>
            </w:pPr>
            <w:r w:rsidRPr="002029AF">
              <w:t>1</w:t>
            </w:r>
          </w:p>
        </w:tc>
        <w:tc>
          <w:tcPr>
            <w:tcW w:w="887" w:type="dxa"/>
            <w:hideMark/>
          </w:tcPr>
          <w:p w14:paraId="17899B03" w14:textId="6C508FB1" w:rsidR="00CF72D5" w:rsidRPr="002029AF" w:rsidRDefault="00CF72D5" w:rsidP="00C51680">
            <w:pPr>
              <w:pStyle w:val="ARtabletextright"/>
            </w:pPr>
            <w:r w:rsidRPr="002029AF">
              <w:t>1</w:t>
            </w:r>
          </w:p>
        </w:tc>
        <w:tc>
          <w:tcPr>
            <w:tcW w:w="887" w:type="dxa"/>
            <w:hideMark/>
          </w:tcPr>
          <w:p w14:paraId="150C7CD6" w14:textId="69A55EAD" w:rsidR="00CF72D5" w:rsidRPr="002029AF" w:rsidRDefault="00CF72D5" w:rsidP="00C51680">
            <w:pPr>
              <w:pStyle w:val="ARtabletextright"/>
            </w:pPr>
            <w:r w:rsidRPr="002029AF">
              <w:t>0</w:t>
            </w:r>
          </w:p>
        </w:tc>
        <w:tc>
          <w:tcPr>
            <w:tcW w:w="1022" w:type="dxa"/>
            <w:hideMark/>
          </w:tcPr>
          <w:p w14:paraId="1B1DE0CE" w14:textId="082E09EA" w:rsidR="00CF72D5" w:rsidRPr="002029AF" w:rsidRDefault="00CF72D5" w:rsidP="00C51680">
            <w:pPr>
              <w:pStyle w:val="ARtabletextright"/>
            </w:pPr>
            <w:r w:rsidRPr="002029AF">
              <w:t>0</w:t>
            </w:r>
          </w:p>
        </w:tc>
        <w:tc>
          <w:tcPr>
            <w:tcW w:w="902" w:type="dxa"/>
            <w:hideMark/>
          </w:tcPr>
          <w:p w14:paraId="6446081D" w14:textId="693EFB2C" w:rsidR="00CF72D5" w:rsidRPr="002029AF" w:rsidRDefault="00CF72D5" w:rsidP="00C51680">
            <w:pPr>
              <w:pStyle w:val="ARtabletextrightbold"/>
            </w:pPr>
            <w:r w:rsidRPr="002029AF">
              <w:t>1</w:t>
            </w:r>
          </w:p>
        </w:tc>
        <w:tc>
          <w:tcPr>
            <w:tcW w:w="872" w:type="dxa"/>
            <w:hideMark/>
          </w:tcPr>
          <w:p w14:paraId="6DB23319" w14:textId="3036A46C" w:rsidR="00CF72D5" w:rsidRPr="002029AF" w:rsidRDefault="00CF72D5" w:rsidP="00C51680">
            <w:pPr>
              <w:pStyle w:val="ARtabletextright"/>
            </w:pPr>
            <w:r w:rsidRPr="002029AF">
              <w:t>0</w:t>
            </w:r>
          </w:p>
        </w:tc>
        <w:tc>
          <w:tcPr>
            <w:tcW w:w="887" w:type="dxa"/>
            <w:hideMark/>
          </w:tcPr>
          <w:p w14:paraId="685F3BDE" w14:textId="3B4E8A1E" w:rsidR="00CF72D5" w:rsidRPr="002029AF" w:rsidRDefault="00CF72D5" w:rsidP="00C51680">
            <w:pPr>
              <w:pStyle w:val="ARtabletextright"/>
            </w:pPr>
            <w:r w:rsidRPr="002029AF">
              <w:t>0</w:t>
            </w:r>
          </w:p>
        </w:tc>
        <w:tc>
          <w:tcPr>
            <w:tcW w:w="1022" w:type="dxa"/>
            <w:hideMark/>
          </w:tcPr>
          <w:p w14:paraId="2888A22B" w14:textId="4F15744B" w:rsidR="00CF72D5" w:rsidRPr="002029AF" w:rsidRDefault="00CF72D5" w:rsidP="00C51680">
            <w:pPr>
              <w:pStyle w:val="ARtabletextright"/>
            </w:pPr>
            <w:r w:rsidRPr="002029AF">
              <w:t>0</w:t>
            </w:r>
          </w:p>
        </w:tc>
        <w:tc>
          <w:tcPr>
            <w:tcW w:w="887" w:type="dxa"/>
            <w:hideMark/>
          </w:tcPr>
          <w:p w14:paraId="1CC22264" w14:textId="051B4175" w:rsidR="00CF72D5" w:rsidRPr="002029AF" w:rsidRDefault="00CF72D5" w:rsidP="00C51680">
            <w:pPr>
              <w:pStyle w:val="ARtabletextrightbold"/>
            </w:pPr>
            <w:r w:rsidRPr="002029AF">
              <w:t>0</w:t>
            </w:r>
          </w:p>
        </w:tc>
      </w:tr>
      <w:tr w:rsidR="00CF72D5" w:rsidRPr="002029AF" w14:paraId="7F0059A7" w14:textId="77777777" w:rsidTr="00D40FE6">
        <w:tc>
          <w:tcPr>
            <w:tcW w:w="2944" w:type="dxa"/>
            <w:hideMark/>
          </w:tcPr>
          <w:p w14:paraId="57AF1F01" w14:textId="2949175A" w:rsidR="00CF72D5" w:rsidRPr="002029AF" w:rsidRDefault="00CF72D5" w:rsidP="00C51680">
            <w:pPr>
              <w:pStyle w:val="ARtabletext"/>
            </w:pPr>
            <w:r w:rsidRPr="002029AF">
              <w:t>Bendigo</w:t>
            </w:r>
            <w:r w:rsidR="000A5329" w:rsidRPr="002029AF">
              <w:t xml:space="preserve"> </w:t>
            </w:r>
            <w:r w:rsidRPr="002029AF">
              <w:t>Health</w:t>
            </w:r>
            <w:r w:rsidR="000A5329" w:rsidRPr="002029AF">
              <w:t xml:space="preserve"> </w:t>
            </w:r>
            <w:r w:rsidRPr="002029AF">
              <w:t>Care</w:t>
            </w:r>
            <w:r w:rsidR="000A5329" w:rsidRPr="002029AF">
              <w:t xml:space="preserve"> </w:t>
            </w:r>
            <w:r w:rsidRPr="002029AF">
              <w:t>Group</w:t>
            </w:r>
          </w:p>
        </w:tc>
        <w:tc>
          <w:tcPr>
            <w:tcW w:w="871" w:type="dxa"/>
            <w:hideMark/>
          </w:tcPr>
          <w:p w14:paraId="74454E97" w14:textId="01AAE1AD" w:rsidR="00CF72D5" w:rsidRPr="002029AF" w:rsidRDefault="00CF72D5" w:rsidP="00C51680">
            <w:pPr>
              <w:pStyle w:val="ARtabletextright"/>
            </w:pPr>
            <w:r w:rsidRPr="002029AF">
              <w:t>3</w:t>
            </w:r>
          </w:p>
        </w:tc>
        <w:tc>
          <w:tcPr>
            <w:tcW w:w="886" w:type="dxa"/>
            <w:hideMark/>
          </w:tcPr>
          <w:p w14:paraId="21E4DFE8" w14:textId="13A057DB" w:rsidR="00CF72D5" w:rsidRPr="002029AF" w:rsidRDefault="00CF72D5" w:rsidP="00C51680">
            <w:pPr>
              <w:pStyle w:val="ARtabletextright"/>
            </w:pPr>
            <w:r w:rsidRPr="002029AF">
              <w:t>4</w:t>
            </w:r>
          </w:p>
        </w:tc>
        <w:tc>
          <w:tcPr>
            <w:tcW w:w="1021" w:type="dxa"/>
            <w:hideMark/>
          </w:tcPr>
          <w:p w14:paraId="646E943B" w14:textId="09573445" w:rsidR="00CF72D5" w:rsidRPr="002029AF" w:rsidRDefault="00CF72D5" w:rsidP="00C51680">
            <w:pPr>
              <w:pStyle w:val="ARtabletextright"/>
            </w:pPr>
            <w:r w:rsidRPr="002029AF">
              <w:t>0</w:t>
            </w:r>
          </w:p>
        </w:tc>
        <w:tc>
          <w:tcPr>
            <w:tcW w:w="917" w:type="dxa"/>
            <w:hideMark/>
          </w:tcPr>
          <w:p w14:paraId="01398A2F" w14:textId="717CFF06" w:rsidR="00CF72D5" w:rsidRPr="002029AF" w:rsidRDefault="00CF72D5" w:rsidP="00C51680">
            <w:pPr>
              <w:pStyle w:val="ARtabletextrightbold"/>
            </w:pPr>
            <w:r w:rsidRPr="002029AF">
              <w:t>7</w:t>
            </w:r>
          </w:p>
        </w:tc>
        <w:tc>
          <w:tcPr>
            <w:tcW w:w="887" w:type="dxa"/>
            <w:hideMark/>
          </w:tcPr>
          <w:p w14:paraId="1776CC06" w14:textId="63507FB7" w:rsidR="00CF72D5" w:rsidRPr="002029AF" w:rsidRDefault="00CF72D5" w:rsidP="00C51680">
            <w:pPr>
              <w:pStyle w:val="ARtabletextright"/>
            </w:pPr>
            <w:r w:rsidRPr="002029AF">
              <w:t>4</w:t>
            </w:r>
          </w:p>
        </w:tc>
        <w:tc>
          <w:tcPr>
            <w:tcW w:w="887" w:type="dxa"/>
            <w:hideMark/>
          </w:tcPr>
          <w:p w14:paraId="437DB655" w14:textId="2240771C" w:rsidR="00CF72D5" w:rsidRPr="002029AF" w:rsidRDefault="00CF72D5" w:rsidP="00C51680">
            <w:pPr>
              <w:pStyle w:val="ARtabletextright"/>
            </w:pPr>
            <w:r w:rsidRPr="002029AF">
              <w:t>4</w:t>
            </w:r>
          </w:p>
        </w:tc>
        <w:tc>
          <w:tcPr>
            <w:tcW w:w="1022" w:type="dxa"/>
            <w:hideMark/>
          </w:tcPr>
          <w:p w14:paraId="48C8AA0A" w14:textId="1E2628AB" w:rsidR="00CF72D5" w:rsidRPr="002029AF" w:rsidRDefault="00CF72D5" w:rsidP="00C51680">
            <w:pPr>
              <w:pStyle w:val="ARtabletextright"/>
            </w:pPr>
            <w:r w:rsidRPr="002029AF">
              <w:t>0</w:t>
            </w:r>
          </w:p>
        </w:tc>
        <w:tc>
          <w:tcPr>
            <w:tcW w:w="902" w:type="dxa"/>
            <w:hideMark/>
          </w:tcPr>
          <w:p w14:paraId="55302AFB" w14:textId="38F2E424" w:rsidR="00CF72D5" w:rsidRPr="002029AF" w:rsidRDefault="00CF72D5" w:rsidP="00C51680">
            <w:pPr>
              <w:pStyle w:val="ARtabletextrightbold"/>
            </w:pPr>
            <w:r w:rsidRPr="002029AF">
              <w:t>8</w:t>
            </w:r>
          </w:p>
        </w:tc>
        <w:tc>
          <w:tcPr>
            <w:tcW w:w="872" w:type="dxa"/>
            <w:hideMark/>
          </w:tcPr>
          <w:p w14:paraId="33EDC7DC" w14:textId="5926FF82" w:rsidR="00CF72D5" w:rsidRPr="002029AF" w:rsidRDefault="00CF72D5" w:rsidP="00C51680">
            <w:pPr>
              <w:pStyle w:val="ARtabletextright"/>
            </w:pPr>
            <w:r w:rsidRPr="002029AF">
              <w:t>-1</w:t>
            </w:r>
          </w:p>
        </w:tc>
        <w:tc>
          <w:tcPr>
            <w:tcW w:w="887" w:type="dxa"/>
            <w:hideMark/>
          </w:tcPr>
          <w:p w14:paraId="4419133F" w14:textId="4825148A" w:rsidR="00CF72D5" w:rsidRPr="002029AF" w:rsidRDefault="00CF72D5" w:rsidP="00C51680">
            <w:pPr>
              <w:pStyle w:val="ARtabletextright"/>
            </w:pPr>
            <w:r w:rsidRPr="002029AF">
              <w:t>0</w:t>
            </w:r>
          </w:p>
        </w:tc>
        <w:tc>
          <w:tcPr>
            <w:tcW w:w="1022" w:type="dxa"/>
            <w:hideMark/>
          </w:tcPr>
          <w:p w14:paraId="110426F0" w14:textId="5191C4B4" w:rsidR="00CF72D5" w:rsidRPr="002029AF" w:rsidRDefault="00CF72D5" w:rsidP="00C51680">
            <w:pPr>
              <w:pStyle w:val="ARtabletextright"/>
            </w:pPr>
            <w:r w:rsidRPr="002029AF">
              <w:t>0</w:t>
            </w:r>
          </w:p>
        </w:tc>
        <w:tc>
          <w:tcPr>
            <w:tcW w:w="887" w:type="dxa"/>
            <w:hideMark/>
          </w:tcPr>
          <w:p w14:paraId="675690DD" w14:textId="60340DAC" w:rsidR="00CF72D5" w:rsidRPr="002029AF" w:rsidRDefault="00CF72D5" w:rsidP="00C51680">
            <w:pPr>
              <w:pStyle w:val="ARtabletextrightbold"/>
            </w:pPr>
            <w:r w:rsidRPr="002029AF">
              <w:t>-1</w:t>
            </w:r>
          </w:p>
        </w:tc>
      </w:tr>
      <w:tr w:rsidR="00CF72D5" w:rsidRPr="002029AF" w14:paraId="0E3CEBB2" w14:textId="77777777" w:rsidTr="00D40FE6">
        <w:tc>
          <w:tcPr>
            <w:tcW w:w="2944" w:type="dxa"/>
            <w:hideMark/>
          </w:tcPr>
          <w:p w14:paraId="4B7C6709" w14:textId="229E92C3" w:rsidR="00CF72D5" w:rsidRPr="002029AF" w:rsidRDefault="00CF72D5" w:rsidP="00C51680">
            <w:pPr>
              <w:pStyle w:val="ARtabletext"/>
            </w:pPr>
            <w:r w:rsidRPr="002029AF">
              <w:t>Boort</w:t>
            </w:r>
            <w:r w:rsidR="000A5329" w:rsidRPr="002029AF">
              <w:t xml:space="preserve"> </w:t>
            </w:r>
            <w:r w:rsidRPr="002029AF">
              <w:t>District</w:t>
            </w:r>
            <w:r w:rsidR="000A5329" w:rsidRPr="002029AF">
              <w:t xml:space="preserve"> </w:t>
            </w:r>
            <w:r w:rsidRPr="002029AF">
              <w:t>Health</w:t>
            </w:r>
          </w:p>
        </w:tc>
        <w:tc>
          <w:tcPr>
            <w:tcW w:w="871" w:type="dxa"/>
            <w:hideMark/>
          </w:tcPr>
          <w:p w14:paraId="7E899869" w14:textId="47FD68FC" w:rsidR="00CF72D5" w:rsidRPr="002029AF" w:rsidRDefault="00CF72D5" w:rsidP="00C51680">
            <w:pPr>
              <w:pStyle w:val="ARtabletextright"/>
            </w:pPr>
            <w:r w:rsidRPr="002029AF">
              <w:t>0</w:t>
            </w:r>
          </w:p>
        </w:tc>
        <w:tc>
          <w:tcPr>
            <w:tcW w:w="886" w:type="dxa"/>
            <w:hideMark/>
          </w:tcPr>
          <w:p w14:paraId="7FA8F3AB" w14:textId="5FB15BCB" w:rsidR="00CF72D5" w:rsidRPr="002029AF" w:rsidRDefault="00CF72D5" w:rsidP="00C51680">
            <w:pPr>
              <w:pStyle w:val="ARtabletextright"/>
            </w:pPr>
            <w:r w:rsidRPr="002029AF">
              <w:t>1</w:t>
            </w:r>
          </w:p>
        </w:tc>
        <w:tc>
          <w:tcPr>
            <w:tcW w:w="1021" w:type="dxa"/>
            <w:hideMark/>
          </w:tcPr>
          <w:p w14:paraId="0F98ED52" w14:textId="321B6931" w:rsidR="00CF72D5" w:rsidRPr="002029AF" w:rsidRDefault="00CF72D5" w:rsidP="00C51680">
            <w:pPr>
              <w:pStyle w:val="ARtabletextright"/>
            </w:pPr>
            <w:r w:rsidRPr="002029AF">
              <w:t>0</w:t>
            </w:r>
          </w:p>
        </w:tc>
        <w:tc>
          <w:tcPr>
            <w:tcW w:w="917" w:type="dxa"/>
            <w:hideMark/>
          </w:tcPr>
          <w:p w14:paraId="78D5228D" w14:textId="609F4C99" w:rsidR="00CF72D5" w:rsidRPr="002029AF" w:rsidRDefault="00CF72D5" w:rsidP="00C51680">
            <w:pPr>
              <w:pStyle w:val="ARtabletextrightbold"/>
            </w:pPr>
            <w:r w:rsidRPr="002029AF">
              <w:t>1</w:t>
            </w:r>
          </w:p>
        </w:tc>
        <w:tc>
          <w:tcPr>
            <w:tcW w:w="887" w:type="dxa"/>
            <w:hideMark/>
          </w:tcPr>
          <w:p w14:paraId="239B6B2B" w14:textId="5A4A7494" w:rsidR="00CF72D5" w:rsidRPr="002029AF" w:rsidRDefault="00CF72D5" w:rsidP="00C51680">
            <w:pPr>
              <w:pStyle w:val="ARtabletextright"/>
            </w:pPr>
            <w:r w:rsidRPr="002029AF">
              <w:t>0</w:t>
            </w:r>
          </w:p>
        </w:tc>
        <w:tc>
          <w:tcPr>
            <w:tcW w:w="887" w:type="dxa"/>
            <w:hideMark/>
          </w:tcPr>
          <w:p w14:paraId="1C6B127C" w14:textId="75673A4A" w:rsidR="00CF72D5" w:rsidRPr="002029AF" w:rsidRDefault="00CF72D5" w:rsidP="00C51680">
            <w:pPr>
              <w:pStyle w:val="ARtabletextright"/>
            </w:pPr>
            <w:r w:rsidRPr="002029AF">
              <w:t>1</w:t>
            </w:r>
          </w:p>
        </w:tc>
        <w:tc>
          <w:tcPr>
            <w:tcW w:w="1022" w:type="dxa"/>
            <w:hideMark/>
          </w:tcPr>
          <w:p w14:paraId="52B0EBEC" w14:textId="143411A3" w:rsidR="00CF72D5" w:rsidRPr="002029AF" w:rsidRDefault="00CF72D5" w:rsidP="00C51680">
            <w:pPr>
              <w:pStyle w:val="ARtabletextright"/>
            </w:pPr>
            <w:r w:rsidRPr="002029AF">
              <w:t>0</w:t>
            </w:r>
          </w:p>
        </w:tc>
        <w:tc>
          <w:tcPr>
            <w:tcW w:w="902" w:type="dxa"/>
            <w:hideMark/>
          </w:tcPr>
          <w:p w14:paraId="6857A482" w14:textId="2C954B4B" w:rsidR="00CF72D5" w:rsidRPr="002029AF" w:rsidRDefault="00CF72D5" w:rsidP="00C51680">
            <w:pPr>
              <w:pStyle w:val="ARtabletextrightbold"/>
            </w:pPr>
            <w:r w:rsidRPr="002029AF">
              <w:t>1</w:t>
            </w:r>
          </w:p>
        </w:tc>
        <w:tc>
          <w:tcPr>
            <w:tcW w:w="872" w:type="dxa"/>
            <w:hideMark/>
          </w:tcPr>
          <w:p w14:paraId="054EFF06" w14:textId="7676551C" w:rsidR="00CF72D5" w:rsidRPr="002029AF" w:rsidRDefault="00CF72D5" w:rsidP="00C51680">
            <w:pPr>
              <w:pStyle w:val="ARtabletextright"/>
            </w:pPr>
            <w:r w:rsidRPr="002029AF">
              <w:t>0</w:t>
            </w:r>
          </w:p>
        </w:tc>
        <w:tc>
          <w:tcPr>
            <w:tcW w:w="887" w:type="dxa"/>
            <w:hideMark/>
          </w:tcPr>
          <w:p w14:paraId="429A3CF5" w14:textId="34ABFD59" w:rsidR="00CF72D5" w:rsidRPr="002029AF" w:rsidRDefault="00CF72D5" w:rsidP="00C51680">
            <w:pPr>
              <w:pStyle w:val="ARtabletextright"/>
            </w:pPr>
            <w:r w:rsidRPr="002029AF">
              <w:t>0</w:t>
            </w:r>
          </w:p>
        </w:tc>
        <w:tc>
          <w:tcPr>
            <w:tcW w:w="1022" w:type="dxa"/>
            <w:hideMark/>
          </w:tcPr>
          <w:p w14:paraId="32214A30" w14:textId="452301A5" w:rsidR="00CF72D5" w:rsidRPr="002029AF" w:rsidRDefault="00CF72D5" w:rsidP="00C51680">
            <w:pPr>
              <w:pStyle w:val="ARtabletextright"/>
            </w:pPr>
            <w:r w:rsidRPr="002029AF">
              <w:t>0</w:t>
            </w:r>
          </w:p>
        </w:tc>
        <w:tc>
          <w:tcPr>
            <w:tcW w:w="887" w:type="dxa"/>
            <w:hideMark/>
          </w:tcPr>
          <w:p w14:paraId="4227DC58" w14:textId="6B02E743" w:rsidR="00CF72D5" w:rsidRPr="002029AF" w:rsidRDefault="00CF72D5" w:rsidP="00C51680">
            <w:pPr>
              <w:pStyle w:val="ARtabletextrightbold"/>
            </w:pPr>
            <w:r w:rsidRPr="002029AF">
              <w:t>0</w:t>
            </w:r>
          </w:p>
        </w:tc>
      </w:tr>
      <w:tr w:rsidR="00CF72D5" w:rsidRPr="002029AF" w14:paraId="50E927A5" w14:textId="77777777" w:rsidTr="00D40FE6">
        <w:tc>
          <w:tcPr>
            <w:tcW w:w="2944" w:type="dxa"/>
            <w:hideMark/>
          </w:tcPr>
          <w:p w14:paraId="522AC954" w14:textId="6374F2C4" w:rsidR="00CF72D5" w:rsidRPr="002029AF" w:rsidRDefault="00CF72D5" w:rsidP="00C51680">
            <w:pPr>
              <w:pStyle w:val="ARtabletext"/>
            </w:pPr>
            <w:r w:rsidRPr="002029AF">
              <w:t>BreastScreen</w:t>
            </w:r>
            <w:r w:rsidR="000A5329" w:rsidRPr="002029AF">
              <w:t xml:space="preserve"> </w:t>
            </w:r>
            <w:r w:rsidRPr="002029AF">
              <w:t>Victoria</w:t>
            </w:r>
          </w:p>
        </w:tc>
        <w:tc>
          <w:tcPr>
            <w:tcW w:w="871" w:type="dxa"/>
            <w:hideMark/>
          </w:tcPr>
          <w:p w14:paraId="4E7A8829" w14:textId="696EEAC0" w:rsidR="00CF72D5" w:rsidRPr="002029AF" w:rsidRDefault="00CF72D5" w:rsidP="00C51680">
            <w:pPr>
              <w:pStyle w:val="ARtabletextright"/>
            </w:pPr>
            <w:r w:rsidRPr="002029AF">
              <w:t>2</w:t>
            </w:r>
          </w:p>
        </w:tc>
        <w:tc>
          <w:tcPr>
            <w:tcW w:w="886" w:type="dxa"/>
            <w:hideMark/>
          </w:tcPr>
          <w:p w14:paraId="4DC67545" w14:textId="5F30B9DD" w:rsidR="00CF72D5" w:rsidRPr="002029AF" w:rsidRDefault="00CF72D5" w:rsidP="00C51680">
            <w:pPr>
              <w:pStyle w:val="ARtabletextright"/>
            </w:pPr>
            <w:r w:rsidRPr="002029AF">
              <w:t>0</w:t>
            </w:r>
          </w:p>
        </w:tc>
        <w:tc>
          <w:tcPr>
            <w:tcW w:w="1021" w:type="dxa"/>
            <w:hideMark/>
          </w:tcPr>
          <w:p w14:paraId="518DB2E1" w14:textId="6B5745A0" w:rsidR="00CF72D5" w:rsidRPr="002029AF" w:rsidRDefault="00CF72D5" w:rsidP="00C51680">
            <w:pPr>
              <w:pStyle w:val="ARtabletextright"/>
            </w:pPr>
            <w:r w:rsidRPr="002029AF">
              <w:t>0</w:t>
            </w:r>
          </w:p>
        </w:tc>
        <w:tc>
          <w:tcPr>
            <w:tcW w:w="917" w:type="dxa"/>
            <w:hideMark/>
          </w:tcPr>
          <w:p w14:paraId="44144146" w14:textId="0E16EC03" w:rsidR="00CF72D5" w:rsidRPr="002029AF" w:rsidRDefault="00CF72D5" w:rsidP="00C51680">
            <w:pPr>
              <w:pStyle w:val="ARtabletextrightbold"/>
            </w:pPr>
            <w:r w:rsidRPr="002029AF">
              <w:t>2</w:t>
            </w:r>
          </w:p>
        </w:tc>
        <w:tc>
          <w:tcPr>
            <w:tcW w:w="887" w:type="dxa"/>
            <w:hideMark/>
          </w:tcPr>
          <w:p w14:paraId="5818E49C" w14:textId="2068DD53" w:rsidR="00CF72D5" w:rsidRPr="002029AF" w:rsidRDefault="00CF72D5" w:rsidP="00C51680">
            <w:pPr>
              <w:pStyle w:val="ARtabletextright"/>
            </w:pPr>
            <w:r w:rsidRPr="002029AF">
              <w:t>2</w:t>
            </w:r>
          </w:p>
        </w:tc>
        <w:tc>
          <w:tcPr>
            <w:tcW w:w="887" w:type="dxa"/>
            <w:hideMark/>
          </w:tcPr>
          <w:p w14:paraId="4E0707C4" w14:textId="71FF6F66" w:rsidR="00CF72D5" w:rsidRPr="002029AF" w:rsidRDefault="00CF72D5" w:rsidP="00C51680">
            <w:pPr>
              <w:pStyle w:val="ARtabletextright"/>
            </w:pPr>
            <w:r w:rsidRPr="002029AF">
              <w:t>0</w:t>
            </w:r>
          </w:p>
        </w:tc>
        <w:tc>
          <w:tcPr>
            <w:tcW w:w="1022" w:type="dxa"/>
            <w:hideMark/>
          </w:tcPr>
          <w:p w14:paraId="7EC1D4E6" w14:textId="6F61895F" w:rsidR="00CF72D5" w:rsidRPr="002029AF" w:rsidRDefault="00CF72D5" w:rsidP="00C51680">
            <w:pPr>
              <w:pStyle w:val="ARtabletextright"/>
            </w:pPr>
            <w:r w:rsidRPr="002029AF">
              <w:t>0</w:t>
            </w:r>
          </w:p>
        </w:tc>
        <w:tc>
          <w:tcPr>
            <w:tcW w:w="902" w:type="dxa"/>
            <w:hideMark/>
          </w:tcPr>
          <w:p w14:paraId="6D116E91" w14:textId="0BE00251" w:rsidR="00CF72D5" w:rsidRPr="002029AF" w:rsidRDefault="00CF72D5" w:rsidP="00C51680">
            <w:pPr>
              <w:pStyle w:val="ARtabletextrightbold"/>
            </w:pPr>
            <w:r w:rsidRPr="002029AF">
              <w:t>2</w:t>
            </w:r>
          </w:p>
        </w:tc>
        <w:tc>
          <w:tcPr>
            <w:tcW w:w="872" w:type="dxa"/>
            <w:hideMark/>
          </w:tcPr>
          <w:p w14:paraId="50CBA9FC" w14:textId="2BC59A32" w:rsidR="00CF72D5" w:rsidRPr="002029AF" w:rsidRDefault="00CF72D5" w:rsidP="00C51680">
            <w:pPr>
              <w:pStyle w:val="ARtabletextright"/>
            </w:pPr>
            <w:r w:rsidRPr="002029AF">
              <w:t>0</w:t>
            </w:r>
          </w:p>
        </w:tc>
        <w:tc>
          <w:tcPr>
            <w:tcW w:w="887" w:type="dxa"/>
            <w:hideMark/>
          </w:tcPr>
          <w:p w14:paraId="30450562" w14:textId="56B92F8D" w:rsidR="00CF72D5" w:rsidRPr="002029AF" w:rsidRDefault="00CF72D5" w:rsidP="00C51680">
            <w:pPr>
              <w:pStyle w:val="ARtabletextright"/>
            </w:pPr>
            <w:r w:rsidRPr="002029AF">
              <w:t>0</w:t>
            </w:r>
          </w:p>
        </w:tc>
        <w:tc>
          <w:tcPr>
            <w:tcW w:w="1022" w:type="dxa"/>
            <w:hideMark/>
          </w:tcPr>
          <w:p w14:paraId="62EC5C76" w14:textId="196227B1" w:rsidR="00CF72D5" w:rsidRPr="002029AF" w:rsidRDefault="00CF72D5" w:rsidP="00C51680">
            <w:pPr>
              <w:pStyle w:val="ARtabletextright"/>
            </w:pPr>
            <w:r w:rsidRPr="002029AF">
              <w:t>0</w:t>
            </w:r>
          </w:p>
        </w:tc>
        <w:tc>
          <w:tcPr>
            <w:tcW w:w="887" w:type="dxa"/>
            <w:hideMark/>
          </w:tcPr>
          <w:p w14:paraId="20A40F3C" w14:textId="65996141" w:rsidR="00CF72D5" w:rsidRPr="002029AF" w:rsidRDefault="00CF72D5" w:rsidP="00C51680">
            <w:pPr>
              <w:pStyle w:val="ARtabletextrightbold"/>
            </w:pPr>
            <w:r w:rsidRPr="002029AF">
              <w:t>0</w:t>
            </w:r>
          </w:p>
        </w:tc>
      </w:tr>
      <w:tr w:rsidR="00CF72D5" w:rsidRPr="002029AF" w14:paraId="5DAC3DFF" w14:textId="77777777" w:rsidTr="00D40FE6">
        <w:tc>
          <w:tcPr>
            <w:tcW w:w="2944" w:type="dxa"/>
            <w:hideMark/>
          </w:tcPr>
          <w:p w14:paraId="1BA2BD49" w14:textId="42BED09A" w:rsidR="00CF72D5" w:rsidRPr="002029AF" w:rsidRDefault="00CF72D5" w:rsidP="00C51680">
            <w:pPr>
              <w:pStyle w:val="ARtabletext"/>
            </w:pPr>
            <w:r w:rsidRPr="002029AF">
              <w:t>Casterton</w:t>
            </w:r>
            <w:r w:rsidR="000A5329" w:rsidRPr="002029AF">
              <w:t xml:space="preserve"> </w:t>
            </w:r>
            <w:r w:rsidRPr="002029AF">
              <w:t>Memorial</w:t>
            </w:r>
            <w:r w:rsidR="000A5329" w:rsidRPr="002029AF">
              <w:t xml:space="preserve"> </w:t>
            </w:r>
            <w:r w:rsidRPr="002029AF">
              <w:t>Hospital</w:t>
            </w:r>
          </w:p>
        </w:tc>
        <w:tc>
          <w:tcPr>
            <w:tcW w:w="871" w:type="dxa"/>
            <w:hideMark/>
          </w:tcPr>
          <w:p w14:paraId="4D4452EA" w14:textId="4834DE0B" w:rsidR="00CF72D5" w:rsidRPr="002029AF" w:rsidRDefault="00CF72D5" w:rsidP="00C51680">
            <w:pPr>
              <w:pStyle w:val="ARtabletextright"/>
            </w:pPr>
            <w:r w:rsidRPr="002029AF">
              <w:t>0</w:t>
            </w:r>
          </w:p>
        </w:tc>
        <w:tc>
          <w:tcPr>
            <w:tcW w:w="886" w:type="dxa"/>
            <w:hideMark/>
          </w:tcPr>
          <w:p w14:paraId="512DBA17" w14:textId="2F372743" w:rsidR="00CF72D5" w:rsidRPr="002029AF" w:rsidRDefault="00CF72D5" w:rsidP="00C51680">
            <w:pPr>
              <w:pStyle w:val="ARtabletextright"/>
            </w:pPr>
            <w:r w:rsidRPr="002029AF">
              <w:t>1</w:t>
            </w:r>
          </w:p>
        </w:tc>
        <w:tc>
          <w:tcPr>
            <w:tcW w:w="1021" w:type="dxa"/>
            <w:hideMark/>
          </w:tcPr>
          <w:p w14:paraId="6248F173" w14:textId="71E9F1F4" w:rsidR="00CF72D5" w:rsidRPr="002029AF" w:rsidRDefault="00CF72D5" w:rsidP="00C51680">
            <w:pPr>
              <w:pStyle w:val="ARtabletextright"/>
            </w:pPr>
            <w:r w:rsidRPr="002029AF">
              <w:t>0</w:t>
            </w:r>
          </w:p>
        </w:tc>
        <w:tc>
          <w:tcPr>
            <w:tcW w:w="917" w:type="dxa"/>
            <w:hideMark/>
          </w:tcPr>
          <w:p w14:paraId="2363B49A" w14:textId="36F41BD2" w:rsidR="00CF72D5" w:rsidRPr="002029AF" w:rsidRDefault="00CF72D5" w:rsidP="00C51680">
            <w:pPr>
              <w:pStyle w:val="ARtabletextrightbold"/>
            </w:pPr>
            <w:r w:rsidRPr="002029AF">
              <w:t>1</w:t>
            </w:r>
          </w:p>
        </w:tc>
        <w:tc>
          <w:tcPr>
            <w:tcW w:w="887" w:type="dxa"/>
            <w:hideMark/>
          </w:tcPr>
          <w:p w14:paraId="43143A08" w14:textId="4DDC1CA2" w:rsidR="00CF72D5" w:rsidRPr="002029AF" w:rsidRDefault="00CF72D5" w:rsidP="00C51680">
            <w:pPr>
              <w:pStyle w:val="ARtabletextright"/>
            </w:pPr>
            <w:r w:rsidRPr="002029AF">
              <w:t>0</w:t>
            </w:r>
          </w:p>
        </w:tc>
        <w:tc>
          <w:tcPr>
            <w:tcW w:w="887" w:type="dxa"/>
            <w:hideMark/>
          </w:tcPr>
          <w:p w14:paraId="7A0326AF" w14:textId="1043486C" w:rsidR="00CF72D5" w:rsidRPr="002029AF" w:rsidRDefault="00CF72D5" w:rsidP="00C51680">
            <w:pPr>
              <w:pStyle w:val="ARtabletextright"/>
            </w:pPr>
            <w:r w:rsidRPr="002029AF">
              <w:t>1</w:t>
            </w:r>
          </w:p>
        </w:tc>
        <w:tc>
          <w:tcPr>
            <w:tcW w:w="1022" w:type="dxa"/>
            <w:hideMark/>
          </w:tcPr>
          <w:p w14:paraId="65F00959" w14:textId="003E1B59" w:rsidR="00CF72D5" w:rsidRPr="002029AF" w:rsidRDefault="00CF72D5" w:rsidP="00C51680">
            <w:pPr>
              <w:pStyle w:val="ARtabletextright"/>
            </w:pPr>
            <w:r w:rsidRPr="002029AF">
              <w:t>0</w:t>
            </w:r>
          </w:p>
        </w:tc>
        <w:tc>
          <w:tcPr>
            <w:tcW w:w="902" w:type="dxa"/>
            <w:hideMark/>
          </w:tcPr>
          <w:p w14:paraId="44A38C40" w14:textId="69ABDD14" w:rsidR="00CF72D5" w:rsidRPr="002029AF" w:rsidRDefault="00CF72D5" w:rsidP="00C51680">
            <w:pPr>
              <w:pStyle w:val="ARtabletextrightbold"/>
            </w:pPr>
            <w:r w:rsidRPr="002029AF">
              <w:t>1</w:t>
            </w:r>
          </w:p>
        </w:tc>
        <w:tc>
          <w:tcPr>
            <w:tcW w:w="872" w:type="dxa"/>
            <w:hideMark/>
          </w:tcPr>
          <w:p w14:paraId="514842D3" w14:textId="014D2781" w:rsidR="00CF72D5" w:rsidRPr="002029AF" w:rsidRDefault="00CF72D5" w:rsidP="00C51680">
            <w:pPr>
              <w:pStyle w:val="ARtabletextright"/>
            </w:pPr>
            <w:r w:rsidRPr="002029AF">
              <w:t>0</w:t>
            </w:r>
          </w:p>
        </w:tc>
        <w:tc>
          <w:tcPr>
            <w:tcW w:w="887" w:type="dxa"/>
            <w:hideMark/>
          </w:tcPr>
          <w:p w14:paraId="5C386EBE" w14:textId="07F13C8F" w:rsidR="00CF72D5" w:rsidRPr="002029AF" w:rsidRDefault="00CF72D5" w:rsidP="00C51680">
            <w:pPr>
              <w:pStyle w:val="ARtabletextright"/>
            </w:pPr>
            <w:r w:rsidRPr="002029AF">
              <w:t>0</w:t>
            </w:r>
          </w:p>
        </w:tc>
        <w:tc>
          <w:tcPr>
            <w:tcW w:w="1022" w:type="dxa"/>
            <w:hideMark/>
          </w:tcPr>
          <w:p w14:paraId="7BFD63E9" w14:textId="4CACF25F" w:rsidR="00CF72D5" w:rsidRPr="002029AF" w:rsidRDefault="00CF72D5" w:rsidP="00C51680">
            <w:pPr>
              <w:pStyle w:val="ARtabletextright"/>
            </w:pPr>
            <w:r w:rsidRPr="002029AF">
              <w:t>0</w:t>
            </w:r>
          </w:p>
        </w:tc>
        <w:tc>
          <w:tcPr>
            <w:tcW w:w="887" w:type="dxa"/>
            <w:hideMark/>
          </w:tcPr>
          <w:p w14:paraId="42EEC945" w14:textId="21DB033D" w:rsidR="00CF72D5" w:rsidRPr="002029AF" w:rsidRDefault="00CF72D5" w:rsidP="00C51680">
            <w:pPr>
              <w:pStyle w:val="ARtabletextrightbold"/>
            </w:pPr>
            <w:r w:rsidRPr="002029AF">
              <w:t>0</w:t>
            </w:r>
          </w:p>
        </w:tc>
      </w:tr>
      <w:tr w:rsidR="00CF72D5" w:rsidRPr="002029AF" w14:paraId="490BBF33" w14:textId="77777777" w:rsidTr="00D40FE6">
        <w:tc>
          <w:tcPr>
            <w:tcW w:w="2944" w:type="dxa"/>
            <w:hideMark/>
          </w:tcPr>
          <w:p w14:paraId="33D348FD" w14:textId="46063FD3" w:rsidR="00CF72D5" w:rsidRPr="002029AF" w:rsidRDefault="00CF72D5" w:rsidP="00C51680">
            <w:pPr>
              <w:pStyle w:val="ARtabletext"/>
            </w:pPr>
            <w:r w:rsidRPr="002029AF">
              <w:t>Castlemaine</w:t>
            </w:r>
            <w:r w:rsidR="000A5329" w:rsidRPr="002029AF">
              <w:t xml:space="preserve"> </w:t>
            </w:r>
            <w:r w:rsidRPr="002029AF">
              <w:t>Health</w:t>
            </w:r>
          </w:p>
        </w:tc>
        <w:tc>
          <w:tcPr>
            <w:tcW w:w="871" w:type="dxa"/>
            <w:hideMark/>
          </w:tcPr>
          <w:p w14:paraId="4BA3D439" w14:textId="6A17F959" w:rsidR="00CF72D5" w:rsidRPr="002029AF" w:rsidRDefault="00CF72D5" w:rsidP="00C51680">
            <w:pPr>
              <w:pStyle w:val="ARtabletextright"/>
            </w:pPr>
            <w:r w:rsidRPr="002029AF">
              <w:t>0</w:t>
            </w:r>
          </w:p>
        </w:tc>
        <w:tc>
          <w:tcPr>
            <w:tcW w:w="886" w:type="dxa"/>
            <w:hideMark/>
          </w:tcPr>
          <w:p w14:paraId="67115F07" w14:textId="34C5C265" w:rsidR="00CF72D5" w:rsidRPr="002029AF" w:rsidRDefault="00CF72D5" w:rsidP="00C51680">
            <w:pPr>
              <w:pStyle w:val="ARtabletextright"/>
            </w:pPr>
            <w:r w:rsidRPr="002029AF">
              <w:t>1</w:t>
            </w:r>
          </w:p>
        </w:tc>
        <w:tc>
          <w:tcPr>
            <w:tcW w:w="1021" w:type="dxa"/>
            <w:hideMark/>
          </w:tcPr>
          <w:p w14:paraId="207784F5" w14:textId="21BF6839" w:rsidR="00CF72D5" w:rsidRPr="002029AF" w:rsidRDefault="00CF72D5" w:rsidP="00C51680">
            <w:pPr>
              <w:pStyle w:val="ARtabletextright"/>
            </w:pPr>
            <w:r w:rsidRPr="002029AF">
              <w:t>0</w:t>
            </w:r>
          </w:p>
        </w:tc>
        <w:tc>
          <w:tcPr>
            <w:tcW w:w="917" w:type="dxa"/>
            <w:hideMark/>
          </w:tcPr>
          <w:p w14:paraId="243476AF" w14:textId="470E09C7" w:rsidR="00CF72D5" w:rsidRPr="002029AF" w:rsidRDefault="00CF72D5" w:rsidP="00C51680">
            <w:pPr>
              <w:pStyle w:val="ARtabletextrightbold"/>
            </w:pPr>
            <w:r w:rsidRPr="002029AF">
              <w:t>1</w:t>
            </w:r>
          </w:p>
        </w:tc>
        <w:tc>
          <w:tcPr>
            <w:tcW w:w="887" w:type="dxa"/>
            <w:hideMark/>
          </w:tcPr>
          <w:p w14:paraId="0BB9DC96" w14:textId="009A048B" w:rsidR="00CF72D5" w:rsidRPr="002029AF" w:rsidRDefault="00CF72D5" w:rsidP="00C51680">
            <w:pPr>
              <w:pStyle w:val="ARtabletextright"/>
            </w:pPr>
            <w:r w:rsidRPr="002029AF">
              <w:t>0</w:t>
            </w:r>
          </w:p>
        </w:tc>
        <w:tc>
          <w:tcPr>
            <w:tcW w:w="887" w:type="dxa"/>
            <w:hideMark/>
          </w:tcPr>
          <w:p w14:paraId="74502521" w14:textId="2FACF588" w:rsidR="00CF72D5" w:rsidRPr="002029AF" w:rsidRDefault="00CF72D5" w:rsidP="00C51680">
            <w:pPr>
              <w:pStyle w:val="ARtabletextright"/>
            </w:pPr>
            <w:r w:rsidRPr="002029AF">
              <w:t>1</w:t>
            </w:r>
          </w:p>
        </w:tc>
        <w:tc>
          <w:tcPr>
            <w:tcW w:w="1022" w:type="dxa"/>
            <w:hideMark/>
          </w:tcPr>
          <w:p w14:paraId="41AD5D7F" w14:textId="19541C41" w:rsidR="00CF72D5" w:rsidRPr="002029AF" w:rsidRDefault="00CF72D5" w:rsidP="00C51680">
            <w:pPr>
              <w:pStyle w:val="ARtabletextright"/>
            </w:pPr>
            <w:r w:rsidRPr="002029AF">
              <w:t>0</w:t>
            </w:r>
          </w:p>
        </w:tc>
        <w:tc>
          <w:tcPr>
            <w:tcW w:w="902" w:type="dxa"/>
            <w:hideMark/>
          </w:tcPr>
          <w:p w14:paraId="32E8AA61" w14:textId="4ACCB148" w:rsidR="00CF72D5" w:rsidRPr="002029AF" w:rsidRDefault="00CF72D5" w:rsidP="00C51680">
            <w:pPr>
              <w:pStyle w:val="ARtabletextrightbold"/>
            </w:pPr>
            <w:r w:rsidRPr="002029AF">
              <w:t>1</w:t>
            </w:r>
          </w:p>
        </w:tc>
        <w:tc>
          <w:tcPr>
            <w:tcW w:w="872" w:type="dxa"/>
            <w:hideMark/>
          </w:tcPr>
          <w:p w14:paraId="22DD0B87" w14:textId="29B9FA2D" w:rsidR="00CF72D5" w:rsidRPr="002029AF" w:rsidRDefault="00CF72D5" w:rsidP="00C51680">
            <w:pPr>
              <w:pStyle w:val="ARtabletextright"/>
            </w:pPr>
            <w:r w:rsidRPr="002029AF">
              <w:t>0</w:t>
            </w:r>
          </w:p>
        </w:tc>
        <w:tc>
          <w:tcPr>
            <w:tcW w:w="887" w:type="dxa"/>
            <w:hideMark/>
          </w:tcPr>
          <w:p w14:paraId="15100E0A" w14:textId="5EBF586D" w:rsidR="00CF72D5" w:rsidRPr="002029AF" w:rsidRDefault="00CF72D5" w:rsidP="00C51680">
            <w:pPr>
              <w:pStyle w:val="ARtabletextright"/>
            </w:pPr>
            <w:r w:rsidRPr="002029AF">
              <w:t>0</w:t>
            </w:r>
          </w:p>
        </w:tc>
        <w:tc>
          <w:tcPr>
            <w:tcW w:w="1022" w:type="dxa"/>
            <w:hideMark/>
          </w:tcPr>
          <w:p w14:paraId="23F760DD" w14:textId="6DB043C2" w:rsidR="00CF72D5" w:rsidRPr="002029AF" w:rsidRDefault="00CF72D5" w:rsidP="00C51680">
            <w:pPr>
              <w:pStyle w:val="ARtabletextright"/>
            </w:pPr>
            <w:r w:rsidRPr="002029AF">
              <w:t>0</w:t>
            </w:r>
          </w:p>
        </w:tc>
        <w:tc>
          <w:tcPr>
            <w:tcW w:w="887" w:type="dxa"/>
            <w:hideMark/>
          </w:tcPr>
          <w:p w14:paraId="644BBFD8" w14:textId="1E24547A" w:rsidR="00CF72D5" w:rsidRPr="002029AF" w:rsidRDefault="00CF72D5" w:rsidP="00C51680">
            <w:pPr>
              <w:pStyle w:val="ARtabletextrightbold"/>
            </w:pPr>
            <w:r w:rsidRPr="002029AF">
              <w:t>0</w:t>
            </w:r>
          </w:p>
        </w:tc>
      </w:tr>
      <w:tr w:rsidR="00CF72D5" w:rsidRPr="002029AF" w14:paraId="057E8588" w14:textId="77777777" w:rsidTr="00D40FE6">
        <w:tc>
          <w:tcPr>
            <w:tcW w:w="2944" w:type="dxa"/>
            <w:hideMark/>
          </w:tcPr>
          <w:p w14:paraId="62B2D96C" w14:textId="2D839E84" w:rsidR="00CF72D5" w:rsidRPr="002029AF" w:rsidRDefault="00CF72D5" w:rsidP="00C51680">
            <w:pPr>
              <w:pStyle w:val="ARtabletext"/>
            </w:pPr>
            <w:r w:rsidRPr="002029AF">
              <w:t>Central</w:t>
            </w:r>
            <w:r w:rsidR="000A5329" w:rsidRPr="002029AF">
              <w:t xml:space="preserve"> </w:t>
            </w:r>
            <w:r w:rsidRPr="002029AF">
              <w:t>Gippsland</w:t>
            </w:r>
            <w:r w:rsidR="000A5329" w:rsidRPr="002029AF">
              <w:t xml:space="preserve"> </w:t>
            </w:r>
            <w:r w:rsidRPr="002029AF">
              <w:t>Health</w:t>
            </w:r>
            <w:r w:rsidR="000A5329" w:rsidRPr="002029AF">
              <w:t xml:space="preserve"> </w:t>
            </w:r>
            <w:r w:rsidRPr="002029AF">
              <w:t>Service</w:t>
            </w:r>
          </w:p>
        </w:tc>
        <w:tc>
          <w:tcPr>
            <w:tcW w:w="871" w:type="dxa"/>
            <w:hideMark/>
          </w:tcPr>
          <w:p w14:paraId="024BF288" w14:textId="72C98E7B" w:rsidR="00CF72D5" w:rsidRPr="002029AF" w:rsidRDefault="00CF72D5" w:rsidP="00C51680">
            <w:pPr>
              <w:pStyle w:val="ARtabletextright"/>
            </w:pPr>
            <w:r w:rsidRPr="002029AF">
              <w:t>1</w:t>
            </w:r>
          </w:p>
        </w:tc>
        <w:tc>
          <w:tcPr>
            <w:tcW w:w="886" w:type="dxa"/>
            <w:hideMark/>
          </w:tcPr>
          <w:p w14:paraId="36A40D45" w14:textId="396BED6F" w:rsidR="00CF72D5" w:rsidRPr="002029AF" w:rsidRDefault="00CF72D5" w:rsidP="00C51680">
            <w:pPr>
              <w:pStyle w:val="ARtabletextright"/>
            </w:pPr>
            <w:r w:rsidRPr="002029AF">
              <w:t>3</w:t>
            </w:r>
          </w:p>
        </w:tc>
        <w:tc>
          <w:tcPr>
            <w:tcW w:w="1021" w:type="dxa"/>
            <w:hideMark/>
          </w:tcPr>
          <w:p w14:paraId="4E9DDCF2" w14:textId="7C8092C3" w:rsidR="00CF72D5" w:rsidRPr="002029AF" w:rsidRDefault="00CF72D5" w:rsidP="00C51680">
            <w:pPr>
              <w:pStyle w:val="ARtabletextright"/>
            </w:pPr>
            <w:r w:rsidRPr="002029AF">
              <w:t>0</w:t>
            </w:r>
          </w:p>
        </w:tc>
        <w:tc>
          <w:tcPr>
            <w:tcW w:w="917" w:type="dxa"/>
            <w:hideMark/>
          </w:tcPr>
          <w:p w14:paraId="19320855" w14:textId="6B8B4211" w:rsidR="00CF72D5" w:rsidRPr="002029AF" w:rsidRDefault="00CF72D5" w:rsidP="00C51680">
            <w:pPr>
              <w:pStyle w:val="ARtabletextrightbold"/>
            </w:pPr>
            <w:r w:rsidRPr="002029AF">
              <w:t>4</w:t>
            </w:r>
          </w:p>
        </w:tc>
        <w:tc>
          <w:tcPr>
            <w:tcW w:w="887" w:type="dxa"/>
            <w:hideMark/>
          </w:tcPr>
          <w:p w14:paraId="2F76653E" w14:textId="5872707F" w:rsidR="00CF72D5" w:rsidRPr="002029AF" w:rsidRDefault="00CF72D5" w:rsidP="00C51680">
            <w:pPr>
              <w:pStyle w:val="ARtabletextright"/>
            </w:pPr>
            <w:r w:rsidRPr="002029AF">
              <w:t>2</w:t>
            </w:r>
          </w:p>
        </w:tc>
        <w:tc>
          <w:tcPr>
            <w:tcW w:w="887" w:type="dxa"/>
            <w:hideMark/>
          </w:tcPr>
          <w:p w14:paraId="6C16D67C" w14:textId="3952AEC0" w:rsidR="00CF72D5" w:rsidRPr="002029AF" w:rsidRDefault="00CF72D5" w:rsidP="00C51680">
            <w:pPr>
              <w:pStyle w:val="ARtabletextright"/>
            </w:pPr>
            <w:r w:rsidRPr="002029AF">
              <w:t>2</w:t>
            </w:r>
          </w:p>
        </w:tc>
        <w:tc>
          <w:tcPr>
            <w:tcW w:w="1022" w:type="dxa"/>
            <w:hideMark/>
          </w:tcPr>
          <w:p w14:paraId="432F4084" w14:textId="3406C3D5" w:rsidR="00CF72D5" w:rsidRPr="002029AF" w:rsidRDefault="00CF72D5" w:rsidP="00C51680">
            <w:pPr>
              <w:pStyle w:val="ARtabletextright"/>
            </w:pPr>
            <w:r w:rsidRPr="002029AF">
              <w:t>0</w:t>
            </w:r>
          </w:p>
        </w:tc>
        <w:tc>
          <w:tcPr>
            <w:tcW w:w="902" w:type="dxa"/>
            <w:hideMark/>
          </w:tcPr>
          <w:p w14:paraId="06CAF055" w14:textId="0293922E" w:rsidR="00CF72D5" w:rsidRPr="002029AF" w:rsidRDefault="00CF72D5" w:rsidP="00C51680">
            <w:pPr>
              <w:pStyle w:val="ARtabletextrightbold"/>
            </w:pPr>
            <w:r w:rsidRPr="002029AF">
              <w:t>4</w:t>
            </w:r>
          </w:p>
        </w:tc>
        <w:tc>
          <w:tcPr>
            <w:tcW w:w="872" w:type="dxa"/>
            <w:hideMark/>
          </w:tcPr>
          <w:p w14:paraId="3272A154" w14:textId="725BB358" w:rsidR="00CF72D5" w:rsidRPr="002029AF" w:rsidRDefault="00CF72D5" w:rsidP="00C51680">
            <w:pPr>
              <w:pStyle w:val="ARtabletextright"/>
            </w:pPr>
            <w:r w:rsidRPr="002029AF">
              <w:t>-1</w:t>
            </w:r>
          </w:p>
        </w:tc>
        <w:tc>
          <w:tcPr>
            <w:tcW w:w="887" w:type="dxa"/>
            <w:hideMark/>
          </w:tcPr>
          <w:p w14:paraId="72A3F30C" w14:textId="42FC1F7F" w:rsidR="00CF72D5" w:rsidRPr="002029AF" w:rsidRDefault="00CF72D5" w:rsidP="00C51680">
            <w:pPr>
              <w:pStyle w:val="ARtabletextright"/>
            </w:pPr>
            <w:r w:rsidRPr="002029AF">
              <w:t>1</w:t>
            </w:r>
          </w:p>
        </w:tc>
        <w:tc>
          <w:tcPr>
            <w:tcW w:w="1022" w:type="dxa"/>
            <w:hideMark/>
          </w:tcPr>
          <w:p w14:paraId="16B003E8" w14:textId="5D512486" w:rsidR="00CF72D5" w:rsidRPr="002029AF" w:rsidRDefault="00CF72D5" w:rsidP="00C51680">
            <w:pPr>
              <w:pStyle w:val="ARtabletextright"/>
            </w:pPr>
            <w:r w:rsidRPr="002029AF">
              <w:t>0</w:t>
            </w:r>
          </w:p>
        </w:tc>
        <w:tc>
          <w:tcPr>
            <w:tcW w:w="887" w:type="dxa"/>
            <w:hideMark/>
          </w:tcPr>
          <w:p w14:paraId="79928829" w14:textId="0CF31D46" w:rsidR="00CF72D5" w:rsidRPr="002029AF" w:rsidRDefault="00CF72D5" w:rsidP="00C51680">
            <w:pPr>
              <w:pStyle w:val="ARtabletextrightbold"/>
            </w:pPr>
            <w:r w:rsidRPr="002029AF">
              <w:t>0</w:t>
            </w:r>
          </w:p>
        </w:tc>
      </w:tr>
      <w:tr w:rsidR="00CF72D5" w:rsidRPr="002029AF" w14:paraId="2D534A77" w14:textId="77777777" w:rsidTr="00D40FE6">
        <w:tc>
          <w:tcPr>
            <w:tcW w:w="2944" w:type="dxa"/>
            <w:hideMark/>
          </w:tcPr>
          <w:p w14:paraId="61D576F7" w14:textId="3FD9FA6B" w:rsidR="00CF72D5" w:rsidRPr="002029AF" w:rsidRDefault="00CF72D5" w:rsidP="00C51680">
            <w:pPr>
              <w:pStyle w:val="ARtabletext"/>
              <w:spacing w:before="40" w:after="20"/>
            </w:pPr>
            <w:r w:rsidRPr="002029AF">
              <w:lastRenderedPageBreak/>
              <w:t>Central</w:t>
            </w:r>
            <w:r w:rsidR="000A5329" w:rsidRPr="002029AF">
              <w:t xml:space="preserve"> </w:t>
            </w:r>
            <w:r w:rsidRPr="002029AF">
              <w:t>Highlands</w:t>
            </w:r>
            <w:r w:rsidR="000A5329" w:rsidRPr="002029AF">
              <w:t xml:space="preserve"> </w:t>
            </w:r>
            <w:r w:rsidRPr="002029AF">
              <w:t>Rural</w:t>
            </w:r>
            <w:r w:rsidR="000A5329" w:rsidRPr="002029AF">
              <w:t xml:space="preserve"> </w:t>
            </w:r>
            <w:r w:rsidRPr="002029AF">
              <w:t>Health</w:t>
            </w:r>
          </w:p>
        </w:tc>
        <w:tc>
          <w:tcPr>
            <w:tcW w:w="871" w:type="dxa"/>
            <w:hideMark/>
          </w:tcPr>
          <w:p w14:paraId="5541C349" w14:textId="65B6ABD1" w:rsidR="00CF72D5" w:rsidRPr="002029AF" w:rsidRDefault="00CF72D5" w:rsidP="00C51680">
            <w:pPr>
              <w:pStyle w:val="ARtabletextright"/>
              <w:spacing w:before="40" w:after="20"/>
            </w:pPr>
            <w:r w:rsidRPr="002029AF">
              <w:t>1</w:t>
            </w:r>
          </w:p>
        </w:tc>
        <w:tc>
          <w:tcPr>
            <w:tcW w:w="886" w:type="dxa"/>
            <w:hideMark/>
          </w:tcPr>
          <w:p w14:paraId="56EDB464" w14:textId="2BEA6345" w:rsidR="00CF72D5" w:rsidRPr="002029AF" w:rsidRDefault="00CF72D5" w:rsidP="00C51680">
            <w:pPr>
              <w:pStyle w:val="ARtabletextright"/>
              <w:spacing w:before="40" w:after="20"/>
            </w:pPr>
            <w:r w:rsidRPr="002029AF">
              <w:t>0</w:t>
            </w:r>
          </w:p>
        </w:tc>
        <w:tc>
          <w:tcPr>
            <w:tcW w:w="1021" w:type="dxa"/>
            <w:hideMark/>
          </w:tcPr>
          <w:p w14:paraId="782E373E" w14:textId="59EF0896" w:rsidR="00CF72D5" w:rsidRPr="002029AF" w:rsidRDefault="00CF72D5" w:rsidP="00C51680">
            <w:pPr>
              <w:pStyle w:val="ARtabletextright"/>
              <w:spacing w:before="40" w:after="20"/>
            </w:pPr>
            <w:r w:rsidRPr="002029AF">
              <w:t>0</w:t>
            </w:r>
          </w:p>
        </w:tc>
        <w:tc>
          <w:tcPr>
            <w:tcW w:w="917" w:type="dxa"/>
            <w:hideMark/>
          </w:tcPr>
          <w:p w14:paraId="200A3A57" w14:textId="42293703" w:rsidR="00CF72D5" w:rsidRPr="002029AF" w:rsidRDefault="00CF72D5" w:rsidP="00C51680">
            <w:pPr>
              <w:pStyle w:val="ARtabletextrightbold"/>
              <w:spacing w:before="40" w:after="20"/>
            </w:pPr>
            <w:r w:rsidRPr="002029AF">
              <w:t>1</w:t>
            </w:r>
          </w:p>
        </w:tc>
        <w:tc>
          <w:tcPr>
            <w:tcW w:w="887" w:type="dxa"/>
            <w:hideMark/>
          </w:tcPr>
          <w:p w14:paraId="436CD5FA" w14:textId="423043BC" w:rsidR="00CF72D5" w:rsidRPr="002029AF" w:rsidRDefault="00CF72D5" w:rsidP="00C51680">
            <w:pPr>
              <w:pStyle w:val="ARtabletextright"/>
              <w:spacing w:before="40" w:after="20"/>
            </w:pPr>
            <w:r w:rsidRPr="002029AF">
              <w:t>0</w:t>
            </w:r>
          </w:p>
        </w:tc>
        <w:tc>
          <w:tcPr>
            <w:tcW w:w="887" w:type="dxa"/>
            <w:hideMark/>
          </w:tcPr>
          <w:p w14:paraId="41599E67" w14:textId="50A34E60" w:rsidR="00CF72D5" w:rsidRPr="002029AF" w:rsidRDefault="00CF72D5" w:rsidP="00C51680">
            <w:pPr>
              <w:pStyle w:val="ARtabletextright"/>
              <w:spacing w:before="40" w:after="20"/>
            </w:pPr>
            <w:r w:rsidRPr="002029AF">
              <w:t>0</w:t>
            </w:r>
          </w:p>
        </w:tc>
        <w:tc>
          <w:tcPr>
            <w:tcW w:w="1022" w:type="dxa"/>
            <w:hideMark/>
          </w:tcPr>
          <w:p w14:paraId="261EB34E" w14:textId="240292DE" w:rsidR="00CF72D5" w:rsidRPr="002029AF" w:rsidRDefault="00CF72D5" w:rsidP="00C51680">
            <w:pPr>
              <w:pStyle w:val="ARtabletextright"/>
              <w:spacing w:before="40" w:after="20"/>
            </w:pPr>
            <w:r w:rsidRPr="002029AF">
              <w:t>0</w:t>
            </w:r>
          </w:p>
        </w:tc>
        <w:tc>
          <w:tcPr>
            <w:tcW w:w="902" w:type="dxa"/>
            <w:hideMark/>
          </w:tcPr>
          <w:p w14:paraId="02D181AB" w14:textId="11C907E6" w:rsidR="00CF72D5" w:rsidRPr="002029AF" w:rsidRDefault="00CF72D5" w:rsidP="00C51680">
            <w:pPr>
              <w:pStyle w:val="ARtabletextrightbold"/>
              <w:spacing w:before="40" w:after="20"/>
            </w:pPr>
            <w:r w:rsidRPr="002029AF">
              <w:t>0</w:t>
            </w:r>
          </w:p>
        </w:tc>
        <w:tc>
          <w:tcPr>
            <w:tcW w:w="872" w:type="dxa"/>
            <w:hideMark/>
          </w:tcPr>
          <w:p w14:paraId="3A6837CA" w14:textId="6840AD56" w:rsidR="00CF72D5" w:rsidRPr="002029AF" w:rsidRDefault="00CF72D5" w:rsidP="00C51680">
            <w:pPr>
              <w:pStyle w:val="ARtabletextright"/>
              <w:spacing w:before="40" w:after="20"/>
            </w:pPr>
            <w:r w:rsidRPr="002029AF">
              <w:t>1</w:t>
            </w:r>
          </w:p>
        </w:tc>
        <w:tc>
          <w:tcPr>
            <w:tcW w:w="887" w:type="dxa"/>
            <w:hideMark/>
          </w:tcPr>
          <w:p w14:paraId="4B3122D7" w14:textId="1446B195" w:rsidR="00CF72D5" w:rsidRPr="002029AF" w:rsidRDefault="00CF72D5" w:rsidP="00C51680">
            <w:pPr>
              <w:pStyle w:val="ARtabletextright"/>
              <w:spacing w:before="40" w:after="20"/>
            </w:pPr>
            <w:r w:rsidRPr="002029AF">
              <w:t>0</w:t>
            </w:r>
          </w:p>
        </w:tc>
        <w:tc>
          <w:tcPr>
            <w:tcW w:w="1022" w:type="dxa"/>
            <w:hideMark/>
          </w:tcPr>
          <w:p w14:paraId="37127683" w14:textId="771765D6" w:rsidR="00CF72D5" w:rsidRPr="002029AF" w:rsidRDefault="00CF72D5" w:rsidP="00C51680">
            <w:pPr>
              <w:pStyle w:val="ARtabletextright"/>
              <w:spacing w:before="40" w:after="20"/>
            </w:pPr>
            <w:r w:rsidRPr="002029AF">
              <w:t>0</w:t>
            </w:r>
          </w:p>
        </w:tc>
        <w:tc>
          <w:tcPr>
            <w:tcW w:w="887" w:type="dxa"/>
            <w:hideMark/>
          </w:tcPr>
          <w:p w14:paraId="5A59425A" w14:textId="57AAB23C" w:rsidR="00CF72D5" w:rsidRPr="002029AF" w:rsidRDefault="00CF72D5" w:rsidP="00C51680">
            <w:pPr>
              <w:pStyle w:val="ARtabletextrightbold"/>
              <w:spacing w:before="40" w:after="20"/>
            </w:pPr>
            <w:r w:rsidRPr="002029AF">
              <w:t>1</w:t>
            </w:r>
          </w:p>
        </w:tc>
      </w:tr>
      <w:tr w:rsidR="00CF72D5" w:rsidRPr="002029AF" w14:paraId="5C997ABE" w14:textId="77777777" w:rsidTr="00D40FE6">
        <w:tc>
          <w:tcPr>
            <w:tcW w:w="2944" w:type="dxa"/>
            <w:hideMark/>
          </w:tcPr>
          <w:p w14:paraId="6F5C93EA" w14:textId="05E3358E" w:rsidR="00CF72D5" w:rsidRPr="002029AF" w:rsidRDefault="00CF72D5" w:rsidP="00C51680">
            <w:pPr>
              <w:pStyle w:val="ARtabletext"/>
              <w:spacing w:before="40" w:after="20"/>
            </w:pPr>
            <w:r w:rsidRPr="002029AF">
              <w:t>Cobram</w:t>
            </w:r>
            <w:r w:rsidR="000A5329" w:rsidRPr="002029AF">
              <w:t xml:space="preserve"> </w:t>
            </w:r>
            <w:r w:rsidRPr="002029AF">
              <w:t>District</w:t>
            </w:r>
            <w:r w:rsidR="000A5329" w:rsidRPr="002029AF">
              <w:t xml:space="preserve"> </w:t>
            </w:r>
            <w:r w:rsidRPr="002029AF">
              <w:t>Hospital</w:t>
            </w:r>
          </w:p>
        </w:tc>
        <w:tc>
          <w:tcPr>
            <w:tcW w:w="871" w:type="dxa"/>
            <w:hideMark/>
          </w:tcPr>
          <w:p w14:paraId="4DA36C4C" w14:textId="4A848C6D" w:rsidR="00CF72D5" w:rsidRPr="002029AF" w:rsidRDefault="00CF72D5" w:rsidP="00C51680">
            <w:pPr>
              <w:pStyle w:val="ARtabletextright"/>
              <w:spacing w:before="40" w:after="20"/>
            </w:pPr>
            <w:r w:rsidRPr="002029AF">
              <w:t>0</w:t>
            </w:r>
          </w:p>
        </w:tc>
        <w:tc>
          <w:tcPr>
            <w:tcW w:w="886" w:type="dxa"/>
            <w:hideMark/>
          </w:tcPr>
          <w:p w14:paraId="117E75DB" w14:textId="5A0C0943" w:rsidR="00CF72D5" w:rsidRPr="002029AF" w:rsidRDefault="00CF72D5" w:rsidP="00C51680">
            <w:pPr>
              <w:pStyle w:val="ARtabletextright"/>
              <w:spacing w:before="40" w:after="20"/>
            </w:pPr>
            <w:r w:rsidRPr="002029AF">
              <w:t>0</w:t>
            </w:r>
          </w:p>
        </w:tc>
        <w:tc>
          <w:tcPr>
            <w:tcW w:w="1021" w:type="dxa"/>
            <w:hideMark/>
          </w:tcPr>
          <w:p w14:paraId="3B7C08A8" w14:textId="1ACC3D1D" w:rsidR="00CF72D5" w:rsidRPr="002029AF" w:rsidRDefault="00CF72D5" w:rsidP="00C51680">
            <w:pPr>
              <w:pStyle w:val="ARtabletextright"/>
              <w:spacing w:before="40" w:after="20"/>
            </w:pPr>
            <w:r w:rsidRPr="002029AF">
              <w:t>0</w:t>
            </w:r>
          </w:p>
        </w:tc>
        <w:tc>
          <w:tcPr>
            <w:tcW w:w="917" w:type="dxa"/>
            <w:hideMark/>
          </w:tcPr>
          <w:p w14:paraId="2064F46B" w14:textId="285138FC" w:rsidR="00CF72D5" w:rsidRPr="002029AF" w:rsidRDefault="00CF72D5" w:rsidP="00C51680">
            <w:pPr>
              <w:pStyle w:val="ARtabletextrightbold"/>
              <w:spacing w:before="40" w:after="20"/>
            </w:pPr>
            <w:r w:rsidRPr="002029AF">
              <w:t>0</w:t>
            </w:r>
          </w:p>
        </w:tc>
        <w:tc>
          <w:tcPr>
            <w:tcW w:w="887" w:type="dxa"/>
            <w:hideMark/>
          </w:tcPr>
          <w:p w14:paraId="5C01691D" w14:textId="4F03DEE8" w:rsidR="00CF72D5" w:rsidRPr="002029AF" w:rsidRDefault="00CF72D5" w:rsidP="00C51680">
            <w:pPr>
              <w:pStyle w:val="ARtabletextright"/>
              <w:spacing w:before="40" w:after="20"/>
            </w:pPr>
            <w:r w:rsidRPr="002029AF">
              <w:t>0</w:t>
            </w:r>
          </w:p>
        </w:tc>
        <w:tc>
          <w:tcPr>
            <w:tcW w:w="887" w:type="dxa"/>
            <w:hideMark/>
          </w:tcPr>
          <w:p w14:paraId="3D2A58E0" w14:textId="628B4F6F" w:rsidR="00CF72D5" w:rsidRPr="002029AF" w:rsidRDefault="00CF72D5" w:rsidP="00C51680">
            <w:pPr>
              <w:pStyle w:val="ARtabletextright"/>
              <w:spacing w:before="40" w:after="20"/>
            </w:pPr>
            <w:r w:rsidRPr="002029AF">
              <w:t>0</w:t>
            </w:r>
          </w:p>
        </w:tc>
        <w:tc>
          <w:tcPr>
            <w:tcW w:w="1022" w:type="dxa"/>
            <w:hideMark/>
          </w:tcPr>
          <w:p w14:paraId="1CA04CF6" w14:textId="15733769" w:rsidR="00CF72D5" w:rsidRPr="002029AF" w:rsidRDefault="00CF72D5" w:rsidP="00C51680">
            <w:pPr>
              <w:pStyle w:val="ARtabletextright"/>
              <w:spacing w:before="40" w:after="20"/>
            </w:pPr>
            <w:r w:rsidRPr="002029AF">
              <w:t>0</w:t>
            </w:r>
          </w:p>
        </w:tc>
        <w:tc>
          <w:tcPr>
            <w:tcW w:w="902" w:type="dxa"/>
            <w:hideMark/>
          </w:tcPr>
          <w:p w14:paraId="4CB54D10" w14:textId="002161B5" w:rsidR="00CF72D5" w:rsidRPr="002029AF" w:rsidRDefault="00CF72D5" w:rsidP="00C51680">
            <w:pPr>
              <w:pStyle w:val="ARtabletextrightbold"/>
              <w:spacing w:before="40" w:after="20"/>
            </w:pPr>
            <w:r w:rsidRPr="002029AF">
              <w:t>0</w:t>
            </w:r>
          </w:p>
        </w:tc>
        <w:tc>
          <w:tcPr>
            <w:tcW w:w="872" w:type="dxa"/>
            <w:hideMark/>
          </w:tcPr>
          <w:p w14:paraId="625A3487" w14:textId="1BAE16D3" w:rsidR="00CF72D5" w:rsidRPr="002029AF" w:rsidRDefault="00CF72D5" w:rsidP="00C51680">
            <w:pPr>
              <w:pStyle w:val="ARtabletextright"/>
              <w:spacing w:before="40" w:after="20"/>
            </w:pPr>
            <w:r w:rsidRPr="002029AF">
              <w:t>0</w:t>
            </w:r>
          </w:p>
        </w:tc>
        <w:tc>
          <w:tcPr>
            <w:tcW w:w="887" w:type="dxa"/>
            <w:hideMark/>
          </w:tcPr>
          <w:p w14:paraId="399E1774" w14:textId="00AE6DBB" w:rsidR="00CF72D5" w:rsidRPr="002029AF" w:rsidRDefault="00CF72D5" w:rsidP="00C51680">
            <w:pPr>
              <w:pStyle w:val="ARtabletextright"/>
              <w:spacing w:before="40" w:after="20"/>
            </w:pPr>
            <w:r w:rsidRPr="002029AF">
              <w:t>0</w:t>
            </w:r>
          </w:p>
        </w:tc>
        <w:tc>
          <w:tcPr>
            <w:tcW w:w="1022" w:type="dxa"/>
            <w:hideMark/>
          </w:tcPr>
          <w:p w14:paraId="00F69303" w14:textId="3EB44EF7" w:rsidR="00CF72D5" w:rsidRPr="002029AF" w:rsidRDefault="00CF72D5" w:rsidP="00C51680">
            <w:pPr>
              <w:pStyle w:val="ARtabletextright"/>
              <w:spacing w:before="40" w:after="20"/>
            </w:pPr>
            <w:r w:rsidRPr="002029AF">
              <w:t>0</w:t>
            </w:r>
          </w:p>
        </w:tc>
        <w:tc>
          <w:tcPr>
            <w:tcW w:w="887" w:type="dxa"/>
            <w:hideMark/>
          </w:tcPr>
          <w:p w14:paraId="0E7293B7" w14:textId="26461DC5" w:rsidR="00CF72D5" w:rsidRPr="002029AF" w:rsidRDefault="00CF72D5" w:rsidP="00C51680">
            <w:pPr>
              <w:pStyle w:val="ARtabletextrightbold"/>
              <w:spacing w:before="40" w:after="20"/>
            </w:pPr>
            <w:r w:rsidRPr="002029AF">
              <w:t>0</w:t>
            </w:r>
          </w:p>
        </w:tc>
      </w:tr>
      <w:tr w:rsidR="00CF72D5" w:rsidRPr="002029AF" w14:paraId="64349CA4" w14:textId="77777777" w:rsidTr="00D40FE6">
        <w:tc>
          <w:tcPr>
            <w:tcW w:w="2944" w:type="dxa"/>
            <w:hideMark/>
          </w:tcPr>
          <w:p w14:paraId="0706B743" w14:textId="2C5A8B90" w:rsidR="00CF72D5" w:rsidRPr="002029AF" w:rsidRDefault="00CF72D5" w:rsidP="00C51680">
            <w:pPr>
              <w:pStyle w:val="ARtabletext"/>
              <w:spacing w:before="40" w:after="20"/>
            </w:pPr>
            <w:r w:rsidRPr="002029AF">
              <w:t>Cohuna</w:t>
            </w:r>
            <w:r w:rsidR="000A5329" w:rsidRPr="002029AF">
              <w:t xml:space="preserve"> </w:t>
            </w:r>
            <w:r w:rsidRPr="002029AF">
              <w:t>District</w:t>
            </w:r>
            <w:r w:rsidR="000A5329" w:rsidRPr="002029AF">
              <w:t xml:space="preserve"> </w:t>
            </w:r>
            <w:r w:rsidRPr="002029AF">
              <w:t>Hospital</w:t>
            </w:r>
          </w:p>
        </w:tc>
        <w:tc>
          <w:tcPr>
            <w:tcW w:w="871" w:type="dxa"/>
            <w:hideMark/>
          </w:tcPr>
          <w:p w14:paraId="27B1343F" w14:textId="6AF0CACE" w:rsidR="00CF72D5" w:rsidRPr="002029AF" w:rsidRDefault="00CF72D5" w:rsidP="00C51680">
            <w:pPr>
              <w:pStyle w:val="ARtabletextright"/>
              <w:spacing w:before="40" w:after="20"/>
            </w:pPr>
            <w:r w:rsidRPr="002029AF">
              <w:t>0</w:t>
            </w:r>
          </w:p>
        </w:tc>
        <w:tc>
          <w:tcPr>
            <w:tcW w:w="886" w:type="dxa"/>
            <w:hideMark/>
          </w:tcPr>
          <w:p w14:paraId="542E237C" w14:textId="32A1428A" w:rsidR="00CF72D5" w:rsidRPr="002029AF" w:rsidRDefault="00CF72D5" w:rsidP="00C51680">
            <w:pPr>
              <w:pStyle w:val="ARtabletextright"/>
              <w:spacing w:before="40" w:after="20"/>
            </w:pPr>
            <w:r w:rsidRPr="002029AF">
              <w:t>1</w:t>
            </w:r>
          </w:p>
        </w:tc>
        <w:tc>
          <w:tcPr>
            <w:tcW w:w="1021" w:type="dxa"/>
            <w:hideMark/>
          </w:tcPr>
          <w:p w14:paraId="09143AA5" w14:textId="6F826BCA" w:rsidR="00CF72D5" w:rsidRPr="002029AF" w:rsidRDefault="00CF72D5" w:rsidP="00C51680">
            <w:pPr>
              <w:pStyle w:val="ARtabletextright"/>
              <w:spacing w:before="40" w:after="20"/>
            </w:pPr>
            <w:r w:rsidRPr="002029AF">
              <w:t>0</w:t>
            </w:r>
          </w:p>
        </w:tc>
        <w:tc>
          <w:tcPr>
            <w:tcW w:w="917" w:type="dxa"/>
            <w:hideMark/>
          </w:tcPr>
          <w:p w14:paraId="681A8350" w14:textId="796E2568" w:rsidR="00CF72D5" w:rsidRPr="002029AF" w:rsidRDefault="00CF72D5" w:rsidP="00C51680">
            <w:pPr>
              <w:pStyle w:val="ARtabletextrightbold"/>
              <w:spacing w:before="40" w:after="20"/>
            </w:pPr>
            <w:r w:rsidRPr="002029AF">
              <w:t>1</w:t>
            </w:r>
          </w:p>
        </w:tc>
        <w:tc>
          <w:tcPr>
            <w:tcW w:w="887" w:type="dxa"/>
            <w:hideMark/>
          </w:tcPr>
          <w:p w14:paraId="5C2C76D1" w14:textId="119DFEE5" w:rsidR="00CF72D5" w:rsidRPr="002029AF" w:rsidRDefault="00CF72D5" w:rsidP="00C51680">
            <w:pPr>
              <w:pStyle w:val="ARtabletextright"/>
              <w:spacing w:before="40" w:after="20"/>
            </w:pPr>
            <w:r w:rsidRPr="002029AF">
              <w:t>0</w:t>
            </w:r>
          </w:p>
        </w:tc>
        <w:tc>
          <w:tcPr>
            <w:tcW w:w="887" w:type="dxa"/>
            <w:hideMark/>
          </w:tcPr>
          <w:p w14:paraId="30D71934" w14:textId="75485142" w:rsidR="00CF72D5" w:rsidRPr="002029AF" w:rsidRDefault="00CF72D5" w:rsidP="00C51680">
            <w:pPr>
              <w:pStyle w:val="ARtabletextright"/>
              <w:spacing w:before="40" w:after="20"/>
            </w:pPr>
            <w:r w:rsidRPr="002029AF">
              <w:t>1</w:t>
            </w:r>
          </w:p>
        </w:tc>
        <w:tc>
          <w:tcPr>
            <w:tcW w:w="1022" w:type="dxa"/>
            <w:hideMark/>
          </w:tcPr>
          <w:p w14:paraId="46EE9B3C" w14:textId="72624869" w:rsidR="00CF72D5" w:rsidRPr="002029AF" w:rsidRDefault="00CF72D5" w:rsidP="00C51680">
            <w:pPr>
              <w:pStyle w:val="ARtabletextright"/>
              <w:spacing w:before="40" w:after="20"/>
            </w:pPr>
            <w:r w:rsidRPr="002029AF">
              <w:t>0</w:t>
            </w:r>
          </w:p>
        </w:tc>
        <w:tc>
          <w:tcPr>
            <w:tcW w:w="902" w:type="dxa"/>
            <w:hideMark/>
          </w:tcPr>
          <w:p w14:paraId="4AC6213E" w14:textId="3F80D2AA" w:rsidR="00CF72D5" w:rsidRPr="002029AF" w:rsidRDefault="00CF72D5" w:rsidP="00C51680">
            <w:pPr>
              <w:pStyle w:val="ARtabletextrightbold"/>
              <w:spacing w:before="40" w:after="20"/>
            </w:pPr>
            <w:r w:rsidRPr="002029AF">
              <w:t>1</w:t>
            </w:r>
          </w:p>
        </w:tc>
        <w:tc>
          <w:tcPr>
            <w:tcW w:w="872" w:type="dxa"/>
            <w:hideMark/>
          </w:tcPr>
          <w:p w14:paraId="2DF61633" w14:textId="4C1E9A99" w:rsidR="00CF72D5" w:rsidRPr="002029AF" w:rsidRDefault="00CF72D5" w:rsidP="00C51680">
            <w:pPr>
              <w:pStyle w:val="ARtabletextright"/>
              <w:spacing w:before="40" w:after="20"/>
            </w:pPr>
            <w:r w:rsidRPr="002029AF">
              <w:t>0</w:t>
            </w:r>
          </w:p>
        </w:tc>
        <w:tc>
          <w:tcPr>
            <w:tcW w:w="887" w:type="dxa"/>
            <w:hideMark/>
          </w:tcPr>
          <w:p w14:paraId="54BE71BA" w14:textId="4D1DCD6D" w:rsidR="00CF72D5" w:rsidRPr="002029AF" w:rsidRDefault="00CF72D5" w:rsidP="00C51680">
            <w:pPr>
              <w:pStyle w:val="ARtabletextright"/>
              <w:spacing w:before="40" w:after="20"/>
            </w:pPr>
            <w:r w:rsidRPr="002029AF">
              <w:t>0</w:t>
            </w:r>
          </w:p>
        </w:tc>
        <w:tc>
          <w:tcPr>
            <w:tcW w:w="1022" w:type="dxa"/>
            <w:hideMark/>
          </w:tcPr>
          <w:p w14:paraId="291DC630" w14:textId="0B5EB361" w:rsidR="00CF72D5" w:rsidRPr="002029AF" w:rsidRDefault="00CF72D5" w:rsidP="00C51680">
            <w:pPr>
              <w:pStyle w:val="ARtabletextright"/>
              <w:spacing w:before="40" w:after="20"/>
            </w:pPr>
            <w:r w:rsidRPr="002029AF">
              <w:t>0</w:t>
            </w:r>
          </w:p>
        </w:tc>
        <w:tc>
          <w:tcPr>
            <w:tcW w:w="887" w:type="dxa"/>
            <w:hideMark/>
          </w:tcPr>
          <w:p w14:paraId="7648DC34" w14:textId="4B144F7A" w:rsidR="00CF72D5" w:rsidRPr="002029AF" w:rsidRDefault="00CF72D5" w:rsidP="00C51680">
            <w:pPr>
              <w:pStyle w:val="ARtabletextrightbold"/>
              <w:spacing w:before="40" w:after="20"/>
            </w:pPr>
            <w:r w:rsidRPr="002029AF">
              <w:t>0</w:t>
            </w:r>
          </w:p>
        </w:tc>
      </w:tr>
      <w:tr w:rsidR="00CF72D5" w:rsidRPr="002029AF" w14:paraId="10E88893" w14:textId="77777777" w:rsidTr="00D40FE6">
        <w:tc>
          <w:tcPr>
            <w:tcW w:w="2944" w:type="dxa"/>
            <w:hideMark/>
          </w:tcPr>
          <w:p w14:paraId="516A3331" w14:textId="44EA3369" w:rsidR="00CF72D5" w:rsidRPr="002029AF" w:rsidRDefault="00CF72D5" w:rsidP="00C51680">
            <w:pPr>
              <w:pStyle w:val="ARtabletext"/>
              <w:spacing w:before="40" w:after="20"/>
            </w:pPr>
            <w:r w:rsidRPr="002029AF">
              <w:t>Colac</w:t>
            </w:r>
            <w:r w:rsidR="000A5329" w:rsidRPr="002029AF">
              <w:t xml:space="preserve"> </w:t>
            </w:r>
            <w:r w:rsidRPr="002029AF">
              <w:t>Area</w:t>
            </w:r>
            <w:r w:rsidR="000A5329" w:rsidRPr="002029AF">
              <w:t xml:space="preserve"> </w:t>
            </w:r>
            <w:r w:rsidRPr="002029AF">
              <w:t>Health</w:t>
            </w:r>
          </w:p>
        </w:tc>
        <w:tc>
          <w:tcPr>
            <w:tcW w:w="871" w:type="dxa"/>
            <w:hideMark/>
          </w:tcPr>
          <w:p w14:paraId="723AC30D" w14:textId="6539E0D9" w:rsidR="00CF72D5" w:rsidRPr="002029AF" w:rsidRDefault="00CF72D5" w:rsidP="00C51680">
            <w:pPr>
              <w:pStyle w:val="ARtabletextright"/>
              <w:spacing w:before="40" w:after="20"/>
            </w:pPr>
            <w:r w:rsidRPr="002029AF">
              <w:t>1</w:t>
            </w:r>
          </w:p>
        </w:tc>
        <w:tc>
          <w:tcPr>
            <w:tcW w:w="886" w:type="dxa"/>
            <w:hideMark/>
          </w:tcPr>
          <w:p w14:paraId="5359CB46" w14:textId="7873C363" w:rsidR="00CF72D5" w:rsidRPr="002029AF" w:rsidRDefault="00CF72D5" w:rsidP="00C51680">
            <w:pPr>
              <w:pStyle w:val="ARtabletextright"/>
              <w:spacing w:before="40" w:after="20"/>
            </w:pPr>
            <w:r w:rsidRPr="002029AF">
              <w:t>1</w:t>
            </w:r>
          </w:p>
        </w:tc>
        <w:tc>
          <w:tcPr>
            <w:tcW w:w="1021" w:type="dxa"/>
            <w:hideMark/>
          </w:tcPr>
          <w:p w14:paraId="36D81884" w14:textId="0C1BB603" w:rsidR="00CF72D5" w:rsidRPr="002029AF" w:rsidRDefault="00CF72D5" w:rsidP="00C51680">
            <w:pPr>
              <w:pStyle w:val="ARtabletextright"/>
              <w:spacing w:before="40" w:after="20"/>
            </w:pPr>
            <w:r w:rsidRPr="002029AF">
              <w:t>0</w:t>
            </w:r>
          </w:p>
        </w:tc>
        <w:tc>
          <w:tcPr>
            <w:tcW w:w="917" w:type="dxa"/>
            <w:hideMark/>
          </w:tcPr>
          <w:p w14:paraId="1B3162DC" w14:textId="1E224D1C" w:rsidR="00CF72D5" w:rsidRPr="002029AF" w:rsidRDefault="00CF72D5" w:rsidP="00C51680">
            <w:pPr>
              <w:pStyle w:val="ARtabletextrightbold"/>
              <w:spacing w:before="40" w:after="20"/>
            </w:pPr>
            <w:r w:rsidRPr="002029AF">
              <w:t>2</w:t>
            </w:r>
          </w:p>
        </w:tc>
        <w:tc>
          <w:tcPr>
            <w:tcW w:w="887" w:type="dxa"/>
            <w:hideMark/>
          </w:tcPr>
          <w:p w14:paraId="50AA62C5" w14:textId="24F4F19B" w:rsidR="00CF72D5" w:rsidRPr="002029AF" w:rsidRDefault="00CF72D5" w:rsidP="00C51680">
            <w:pPr>
              <w:pStyle w:val="ARtabletextright"/>
              <w:spacing w:before="40" w:after="20"/>
            </w:pPr>
            <w:r w:rsidRPr="002029AF">
              <w:t>3</w:t>
            </w:r>
          </w:p>
        </w:tc>
        <w:tc>
          <w:tcPr>
            <w:tcW w:w="887" w:type="dxa"/>
            <w:hideMark/>
          </w:tcPr>
          <w:p w14:paraId="339BF908" w14:textId="63E59741" w:rsidR="00CF72D5" w:rsidRPr="002029AF" w:rsidRDefault="00CF72D5" w:rsidP="00C51680">
            <w:pPr>
              <w:pStyle w:val="ARtabletextright"/>
              <w:spacing w:before="40" w:after="20"/>
            </w:pPr>
            <w:r w:rsidRPr="002029AF">
              <w:t>2</w:t>
            </w:r>
          </w:p>
        </w:tc>
        <w:tc>
          <w:tcPr>
            <w:tcW w:w="1022" w:type="dxa"/>
            <w:hideMark/>
          </w:tcPr>
          <w:p w14:paraId="01AD7D1B" w14:textId="79E8918B" w:rsidR="00CF72D5" w:rsidRPr="002029AF" w:rsidRDefault="00CF72D5" w:rsidP="00C51680">
            <w:pPr>
              <w:pStyle w:val="ARtabletextright"/>
              <w:spacing w:before="40" w:after="20"/>
            </w:pPr>
            <w:r w:rsidRPr="002029AF">
              <w:t>0</w:t>
            </w:r>
          </w:p>
        </w:tc>
        <w:tc>
          <w:tcPr>
            <w:tcW w:w="902" w:type="dxa"/>
            <w:hideMark/>
          </w:tcPr>
          <w:p w14:paraId="77A51613" w14:textId="6A248824" w:rsidR="00CF72D5" w:rsidRPr="002029AF" w:rsidRDefault="00CF72D5" w:rsidP="00C51680">
            <w:pPr>
              <w:pStyle w:val="ARtabletextrightbold"/>
              <w:spacing w:before="40" w:after="20"/>
            </w:pPr>
            <w:r w:rsidRPr="002029AF">
              <w:t>5</w:t>
            </w:r>
          </w:p>
        </w:tc>
        <w:tc>
          <w:tcPr>
            <w:tcW w:w="872" w:type="dxa"/>
            <w:hideMark/>
          </w:tcPr>
          <w:p w14:paraId="134CC99F" w14:textId="1687B6A8" w:rsidR="00CF72D5" w:rsidRPr="002029AF" w:rsidRDefault="00CF72D5" w:rsidP="00C51680">
            <w:pPr>
              <w:pStyle w:val="ARtabletextright"/>
              <w:spacing w:before="40" w:after="20"/>
            </w:pPr>
            <w:r w:rsidRPr="002029AF">
              <w:t>-2</w:t>
            </w:r>
          </w:p>
        </w:tc>
        <w:tc>
          <w:tcPr>
            <w:tcW w:w="887" w:type="dxa"/>
            <w:hideMark/>
          </w:tcPr>
          <w:p w14:paraId="03DFA6C4" w14:textId="6F76FBE2" w:rsidR="00CF72D5" w:rsidRPr="002029AF" w:rsidRDefault="00CF72D5" w:rsidP="00C51680">
            <w:pPr>
              <w:pStyle w:val="ARtabletextright"/>
              <w:spacing w:before="40" w:after="20"/>
            </w:pPr>
            <w:r w:rsidRPr="002029AF">
              <w:t>-1</w:t>
            </w:r>
          </w:p>
        </w:tc>
        <w:tc>
          <w:tcPr>
            <w:tcW w:w="1022" w:type="dxa"/>
            <w:hideMark/>
          </w:tcPr>
          <w:p w14:paraId="360D640D" w14:textId="42A9F76D" w:rsidR="00CF72D5" w:rsidRPr="002029AF" w:rsidRDefault="00CF72D5" w:rsidP="00C51680">
            <w:pPr>
              <w:pStyle w:val="ARtabletextright"/>
              <w:spacing w:before="40" w:after="20"/>
            </w:pPr>
            <w:r w:rsidRPr="002029AF">
              <w:t>0</w:t>
            </w:r>
          </w:p>
        </w:tc>
        <w:tc>
          <w:tcPr>
            <w:tcW w:w="887" w:type="dxa"/>
            <w:hideMark/>
          </w:tcPr>
          <w:p w14:paraId="3AC41F10" w14:textId="0D85E0D9" w:rsidR="00CF72D5" w:rsidRPr="002029AF" w:rsidRDefault="00CF72D5" w:rsidP="00C51680">
            <w:pPr>
              <w:pStyle w:val="ARtabletextrightbold"/>
              <w:spacing w:before="40" w:after="20"/>
            </w:pPr>
            <w:r w:rsidRPr="002029AF">
              <w:t>-3</w:t>
            </w:r>
          </w:p>
        </w:tc>
      </w:tr>
      <w:tr w:rsidR="00CF72D5" w:rsidRPr="002029AF" w14:paraId="1F5548D1" w14:textId="77777777" w:rsidTr="00D40FE6">
        <w:tc>
          <w:tcPr>
            <w:tcW w:w="2944" w:type="dxa"/>
            <w:hideMark/>
          </w:tcPr>
          <w:p w14:paraId="43CC2820" w14:textId="41B1F2F0" w:rsidR="00CF72D5" w:rsidRPr="002029AF" w:rsidRDefault="00CF72D5" w:rsidP="00C51680">
            <w:pPr>
              <w:pStyle w:val="ARtabletext"/>
              <w:spacing w:before="40" w:after="20"/>
            </w:pPr>
            <w:r w:rsidRPr="002029AF">
              <w:t>Corryong</w:t>
            </w:r>
            <w:r w:rsidR="000A5329" w:rsidRPr="002029AF">
              <w:t xml:space="preserve"> </w:t>
            </w:r>
            <w:r w:rsidRPr="002029AF">
              <w:t>Health</w:t>
            </w:r>
          </w:p>
        </w:tc>
        <w:tc>
          <w:tcPr>
            <w:tcW w:w="871" w:type="dxa"/>
            <w:hideMark/>
          </w:tcPr>
          <w:p w14:paraId="0A2C1A5C" w14:textId="640FACE9" w:rsidR="00CF72D5" w:rsidRPr="002029AF" w:rsidRDefault="00CF72D5" w:rsidP="00C51680">
            <w:pPr>
              <w:pStyle w:val="ARtabletextright"/>
              <w:spacing w:before="40" w:after="20"/>
            </w:pPr>
            <w:r w:rsidRPr="002029AF">
              <w:t>0</w:t>
            </w:r>
          </w:p>
        </w:tc>
        <w:tc>
          <w:tcPr>
            <w:tcW w:w="886" w:type="dxa"/>
            <w:hideMark/>
          </w:tcPr>
          <w:p w14:paraId="58FC00E1" w14:textId="48695CCE" w:rsidR="00CF72D5" w:rsidRPr="002029AF" w:rsidRDefault="00CF72D5" w:rsidP="00C51680">
            <w:pPr>
              <w:pStyle w:val="ARtabletextright"/>
              <w:spacing w:before="40" w:after="20"/>
            </w:pPr>
            <w:r w:rsidRPr="002029AF">
              <w:t>1</w:t>
            </w:r>
          </w:p>
        </w:tc>
        <w:tc>
          <w:tcPr>
            <w:tcW w:w="1021" w:type="dxa"/>
            <w:hideMark/>
          </w:tcPr>
          <w:p w14:paraId="56BAA030" w14:textId="0D1A35D6" w:rsidR="00CF72D5" w:rsidRPr="002029AF" w:rsidRDefault="00CF72D5" w:rsidP="00C51680">
            <w:pPr>
              <w:pStyle w:val="ARtabletextright"/>
              <w:spacing w:before="40" w:after="20"/>
            </w:pPr>
            <w:r w:rsidRPr="002029AF">
              <w:t>0</w:t>
            </w:r>
          </w:p>
        </w:tc>
        <w:tc>
          <w:tcPr>
            <w:tcW w:w="917" w:type="dxa"/>
            <w:hideMark/>
          </w:tcPr>
          <w:p w14:paraId="50A03338" w14:textId="419014E7" w:rsidR="00CF72D5" w:rsidRPr="002029AF" w:rsidRDefault="00CF72D5" w:rsidP="00C51680">
            <w:pPr>
              <w:pStyle w:val="ARtabletextrightbold"/>
              <w:spacing w:before="40" w:after="20"/>
            </w:pPr>
            <w:r w:rsidRPr="002029AF">
              <w:t>1</w:t>
            </w:r>
          </w:p>
        </w:tc>
        <w:tc>
          <w:tcPr>
            <w:tcW w:w="887" w:type="dxa"/>
            <w:hideMark/>
          </w:tcPr>
          <w:p w14:paraId="2CD9C6C2" w14:textId="4F7ECAAB" w:rsidR="00CF72D5" w:rsidRPr="002029AF" w:rsidRDefault="00CF72D5" w:rsidP="00C51680">
            <w:pPr>
              <w:pStyle w:val="ARtabletextright"/>
              <w:spacing w:before="40" w:after="20"/>
            </w:pPr>
            <w:r w:rsidRPr="002029AF">
              <w:t>1</w:t>
            </w:r>
          </w:p>
        </w:tc>
        <w:tc>
          <w:tcPr>
            <w:tcW w:w="887" w:type="dxa"/>
            <w:hideMark/>
          </w:tcPr>
          <w:p w14:paraId="39AACB08" w14:textId="4E31D969" w:rsidR="00CF72D5" w:rsidRPr="002029AF" w:rsidRDefault="00CF72D5" w:rsidP="00C51680">
            <w:pPr>
              <w:pStyle w:val="ARtabletextright"/>
              <w:spacing w:before="40" w:after="20"/>
            </w:pPr>
            <w:r w:rsidRPr="002029AF">
              <w:t>1</w:t>
            </w:r>
          </w:p>
        </w:tc>
        <w:tc>
          <w:tcPr>
            <w:tcW w:w="1022" w:type="dxa"/>
            <w:hideMark/>
          </w:tcPr>
          <w:p w14:paraId="683BC17A" w14:textId="696E826F" w:rsidR="00CF72D5" w:rsidRPr="002029AF" w:rsidRDefault="00CF72D5" w:rsidP="00C51680">
            <w:pPr>
              <w:pStyle w:val="ARtabletextright"/>
              <w:spacing w:before="40" w:after="20"/>
            </w:pPr>
            <w:r w:rsidRPr="002029AF">
              <w:t>0</w:t>
            </w:r>
          </w:p>
        </w:tc>
        <w:tc>
          <w:tcPr>
            <w:tcW w:w="902" w:type="dxa"/>
            <w:hideMark/>
          </w:tcPr>
          <w:p w14:paraId="577A61C6" w14:textId="4F8ECEBD" w:rsidR="00CF72D5" w:rsidRPr="002029AF" w:rsidRDefault="00CF72D5" w:rsidP="00C51680">
            <w:pPr>
              <w:pStyle w:val="ARtabletextrightbold"/>
              <w:spacing w:before="40" w:after="20"/>
            </w:pPr>
            <w:r w:rsidRPr="002029AF">
              <w:t>2</w:t>
            </w:r>
          </w:p>
        </w:tc>
        <w:tc>
          <w:tcPr>
            <w:tcW w:w="872" w:type="dxa"/>
            <w:hideMark/>
          </w:tcPr>
          <w:p w14:paraId="0D05DDD2" w14:textId="349E1083" w:rsidR="00CF72D5" w:rsidRPr="002029AF" w:rsidRDefault="00CF72D5" w:rsidP="00C51680">
            <w:pPr>
              <w:pStyle w:val="ARtabletextright"/>
              <w:spacing w:before="40" w:after="20"/>
            </w:pPr>
            <w:r w:rsidRPr="002029AF">
              <w:t>-1</w:t>
            </w:r>
          </w:p>
        </w:tc>
        <w:tc>
          <w:tcPr>
            <w:tcW w:w="887" w:type="dxa"/>
            <w:hideMark/>
          </w:tcPr>
          <w:p w14:paraId="351B828D" w14:textId="2EEC41FD" w:rsidR="00CF72D5" w:rsidRPr="002029AF" w:rsidRDefault="00CF72D5" w:rsidP="00C51680">
            <w:pPr>
              <w:pStyle w:val="ARtabletextright"/>
              <w:spacing w:before="40" w:after="20"/>
            </w:pPr>
            <w:r w:rsidRPr="002029AF">
              <w:t>0</w:t>
            </w:r>
          </w:p>
        </w:tc>
        <w:tc>
          <w:tcPr>
            <w:tcW w:w="1022" w:type="dxa"/>
            <w:hideMark/>
          </w:tcPr>
          <w:p w14:paraId="7B6C3D13" w14:textId="38AC5CEE" w:rsidR="00CF72D5" w:rsidRPr="002029AF" w:rsidRDefault="00CF72D5" w:rsidP="00C51680">
            <w:pPr>
              <w:pStyle w:val="ARtabletextright"/>
              <w:spacing w:before="40" w:after="20"/>
            </w:pPr>
            <w:r w:rsidRPr="002029AF">
              <w:t>0</w:t>
            </w:r>
          </w:p>
        </w:tc>
        <w:tc>
          <w:tcPr>
            <w:tcW w:w="887" w:type="dxa"/>
            <w:hideMark/>
          </w:tcPr>
          <w:p w14:paraId="02700AA7" w14:textId="4775DE04" w:rsidR="00CF72D5" w:rsidRPr="002029AF" w:rsidRDefault="00CF72D5" w:rsidP="00C51680">
            <w:pPr>
              <w:pStyle w:val="ARtabletextrightbold"/>
              <w:spacing w:before="40" w:after="20"/>
            </w:pPr>
            <w:r w:rsidRPr="002029AF">
              <w:t>-1</w:t>
            </w:r>
          </w:p>
        </w:tc>
      </w:tr>
      <w:tr w:rsidR="00CF72D5" w:rsidRPr="002029AF" w14:paraId="4478F210" w14:textId="77777777" w:rsidTr="00D40FE6">
        <w:tc>
          <w:tcPr>
            <w:tcW w:w="2944" w:type="dxa"/>
            <w:hideMark/>
          </w:tcPr>
          <w:p w14:paraId="25D72A7C" w14:textId="417FC79D" w:rsidR="00CF72D5" w:rsidRPr="002029AF" w:rsidRDefault="00CF72D5" w:rsidP="00C51680">
            <w:pPr>
              <w:pStyle w:val="ARtabletext"/>
              <w:spacing w:before="40" w:after="20"/>
            </w:pPr>
            <w:r w:rsidRPr="002029AF">
              <w:t>Dental</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Victoria</w:t>
            </w:r>
          </w:p>
        </w:tc>
        <w:tc>
          <w:tcPr>
            <w:tcW w:w="871" w:type="dxa"/>
            <w:hideMark/>
          </w:tcPr>
          <w:p w14:paraId="4A859623" w14:textId="0FD32B34" w:rsidR="00CF72D5" w:rsidRPr="002029AF" w:rsidRDefault="00CF72D5" w:rsidP="00C51680">
            <w:pPr>
              <w:pStyle w:val="ARtabletextright"/>
              <w:spacing w:before="40" w:after="20"/>
            </w:pPr>
            <w:r w:rsidRPr="002029AF">
              <w:t>1</w:t>
            </w:r>
          </w:p>
        </w:tc>
        <w:tc>
          <w:tcPr>
            <w:tcW w:w="886" w:type="dxa"/>
            <w:hideMark/>
          </w:tcPr>
          <w:p w14:paraId="01DD944F" w14:textId="332D2503" w:rsidR="00CF72D5" w:rsidRPr="002029AF" w:rsidRDefault="00CF72D5" w:rsidP="00C51680">
            <w:pPr>
              <w:pStyle w:val="ARtabletextright"/>
              <w:spacing w:before="40" w:after="20"/>
            </w:pPr>
            <w:r w:rsidRPr="002029AF">
              <w:t>5</w:t>
            </w:r>
          </w:p>
        </w:tc>
        <w:tc>
          <w:tcPr>
            <w:tcW w:w="1021" w:type="dxa"/>
            <w:hideMark/>
          </w:tcPr>
          <w:p w14:paraId="2C8F5B24" w14:textId="65F1A3A1" w:rsidR="00CF72D5" w:rsidRPr="002029AF" w:rsidRDefault="00CF72D5" w:rsidP="00C51680">
            <w:pPr>
              <w:pStyle w:val="ARtabletextright"/>
              <w:spacing w:before="40" w:after="20"/>
            </w:pPr>
            <w:r w:rsidRPr="002029AF">
              <w:t>0</w:t>
            </w:r>
          </w:p>
        </w:tc>
        <w:tc>
          <w:tcPr>
            <w:tcW w:w="917" w:type="dxa"/>
            <w:hideMark/>
          </w:tcPr>
          <w:p w14:paraId="12A82FA7" w14:textId="021F3288" w:rsidR="00CF72D5" w:rsidRPr="002029AF" w:rsidRDefault="00CF72D5" w:rsidP="00C51680">
            <w:pPr>
              <w:pStyle w:val="ARtabletextrightbold"/>
              <w:spacing w:before="40" w:after="20"/>
            </w:pPr>
            <w:r w:rsidRPr="002029AF">
              <w:t>6</w:t>
            </w:r>
          </w:p>
        </w:tc>
        <w:tc>
          <w:tcPr>
            <w:tcW w:w="887" w:type="dxa"/>
            <w:hideMark/>
          </w:tcPr>
          <w:p w14:paraId="5938CD4B" w14:textId="01E2331F" w:rsidR="00CF72D5" w:rsidRPr="002029AF" w:rsidRDefault="00CF72D5" w:rsidP="00C51680">
            <w:pPr>
              <w:pStyle w:val="ARtabletextright"/>
              <w:spacing w:before="40" w:after="20"/>
            </w:pPr>
            <w:r w:rsidRPr="002029AF">
              <w:t>3</w:t>
            </w:r>
          </w:p>
        </w:tc>
        <w:tc>
          <w:tcPr>
            <w:tcW w:w="887" w:type="dxa"/>
            <w:hideMark/>
          </w:tcPr>
          <w:p w14:paraId="732895DA" w14:textId="5DCFEA14" w:rsidR="00CF72D5" w:rsidRPr="002029AF" w:rsidRDefault="00CF72D5" w:rsidP="00C51680">
            <w:pPr>
              <w:pStyle w:val="ARtabletextright"/>
              <w:spacing w:before="40" w:after="20"/>
            </w:pPr>
            <w:r w:rsidRPr="002029AF">
              <w:t>3</w:t>
            </w:r>
          </w:p>
        </w:tc>
        <w:tc>
          <w:tcPr>
            <w:tcW w:w="1022" w:type="dxa"/>
            <w:hideMark/>
          </w:tcPr>
          <w:p w14:paraId="7709C3B4" w14:textId="0C53EC7D" w:rsidR="00CF72D5" w:rsidRPr="002029AF" w:rsidRDefault="00CF72D5" w:rsidP="00C51680">
            <w:pPr>
              <w:pStyle w:val="ARtabletextright"/>
              <w:spacing w:before="40" w:after="20"/>
            </w:pPr>
            <w:r w:rsidRPr="002029AF">
              <w:t>0</w:t>
            </w:r>
          </w:p>
        </w:tc>
        <w:tc>
          <w:tcPr>
            <w:tcW w:w="902" w:type="dxa"/>
            <w:hideMark/>
          </w:tcPr>
          <w:p w14:paraId="4CA5C5CE" w14:textId="0AA42079" w:rsidR="00CF72D5" w:rsidRPr="002029AF" w:rsidRDefault="00CF72D5" w:rsidP="00C51680">
            <w:pPr>
              <w:pStyle w:val="ARtabletextrightbold"/>
              <w:spacing w:before="40" w:after="20"/>
            </w:pPr>
            <w:r w:rsidRPr="002029AF">
              <w:t>6</w:t>
            </w:r>
          </w:p>
        </w:tc>
        <w:tc>
          <w:tcPr>
            <w:tcW w:w="872" w:type="dxa"/>
            <w:hideMark/>
          </w:tcPr>
          <w:p w14:paraId="0EA23B97" w14:textId="557E8A1D" w:rsidR="00CF72D5" w:rsidRPr="002029AF" w:rsidRDefault="00CF72D5" w:rsidP="00C51680">
            <w:pPr>
              <w:pStyle w:val="ARtabletextright"/>
              <w:spacing w:before="40" w:after="20"/>
            </w:pPr>
            <w:r w:rsidRPr="002029AF">
              <w:t>-2</w:t>
            </w:r>
          </w:p>
        </w:tc>
        <w:tc>
          <w:tcPr>
            <w:tcW w:w="887" w:type="dxa"/>
            <w:hideMark/>
          </w:tcPr>
          <w:p w14:paraId="00D4DBD6" w14:textId="7285514D" w:rsidR="00CF72D5" w:rsidRPr="002029AF" w:rsidRDefault="00CF72D5" w:rsidP="00C51680">
            <w:pPr>
              <w:pStyle w:val="ARtabletextright"/>
              <w:spacing w:before="40" w:after="20"/>
            </w:pPr>
            <w:r w:rsidRPr="002029AF">
              <w:t>2</w:t>
            </w:r>
          </w:p>
        </w:tc>
        <w:tc>
          <w:tcPr>
            <w:tcW w:w="1022" w:type="dxa"/>
            <w:hideMark/>
          </w:tcPr>
          <w:p w14:paraId="01025B44" w14:textId="7F8CDDD8" w:rsidR="00CF72D5" w:rsidRPr="002029AF" w:rsidRDefault="00CF72D5" w:rsidP="00C51680">
            <w:pPr>
              <w:pStyle w:val="ARtabletextright"/>
              <w:spacing w:before="40" w:after="20"/>
            </w:pPr>
            <w:r w:rsidRPr="002029AF">
              <w:t>0</w:t>
            </w:r>
          </w:p>
        </w:tc>
        <w:tc>
          <w:tcPr>
            <w:tcW w:w="887" w:type="dxa"/>
            <w:hideMark/>
          </w:tcPr>
          <w:p w14:paraId="5273EDDC" w14:textId="5A27B6CE" w:rsidR="00CF72D5" w:rsidRPr="002029AF" w:rsidRDefault="00CF72D5" w:rsidP="00C51680">
            <w:pPr>
              <w:pStyle w:val="ARtabletextrightbold"/>
              <w:spacing w:before="40" w:after="20"/>
            </w:pPr>
            <w:r w:rsidRPr="002029AF">
              <w:t>0</w:t>
            </w:r>
          </w:p>
        </w:tc>
      </w:tr>
      <w:tr w:rsidR="00CF72D5" w:rsidRPr="002029AF" w14:paraId="5E8CCB21" w14:textId="77777777" w:rsidTr="00D40FE6">
        <w:tc>
          <w:tcPr>
            <w:tcW w:w="2944" w:type="dxa"/>
            <w:hideMark/>
          </w:tcPr>
          <w:p w14:paraId="6EEB38EF" w14:textId="24AA334F" w:rsidR="00CF72D5" w:rsidRPr="002029AF" w:rsidRDefault="00CF72D5" w:rsidP="00C51680">
            <w:pPr>
              <w:pStyle w:val="ARtabletext"/>
              <w:spacing w:before="40" w:after="20"/>
            </w:pPr>
            <w:r w:rsidRPr="002029AF">
              <w:t>Djerriwarrh</w:t>
            </w:r>
            <w:r w:rsidR="000A5329" w:rsidRPr="002029AF">
              <w:t xml:space="preserve"> </w:t>
            </w:r>
            <w:r w:rsidRPr="002029AF">
              <w:t>Health</w:t>
            </w:r>
            <w:r w:rsidR="000A5329" w:rsidRPr="002029AF">
              <w:t xml:space="preserve"> </w:t>
            </w:r>
            <w:r w:rsidRPr="002029AF">
              <w:t>Services</w:t>
            </w:r>
          </w:p>
        </w:tc>
        <w:tc>
          <w:tcPr>
            <w:tcW w:w="871" w:type="dxa"/>
            <w:hideMark/>
          </w:tcPr>
          <w:p w14:paraId="50F422F5" w14:textId="409CE91C" w:rsidR="00CF72D5" w:rsidRPr="002029AF" w:rsidRDefault="00CF72D5" w:rsidP="00C51680">
            <w:pPr>
              <w:pStyle w:val="ARtabletextright"/>
              <w:spacing w:before="40" w:after="20"/>
            </w:pPr>
            <w:r w:rsidRPr="002029AF">
              <w:t>3</w:t>
            </w:r>
          </w:p>
        </w:tc>
        <w:tc>
          <w:tcPr>
            <w:tcW w:w="886" w:type="dxa"/>
            <w:hideMark/>
          </w:tcPr>
          <w:p w14:paraId="40EDEDD7" w14:textId="5EA79CB4" w:rsidR="00CF72D5" w:rsidRPr="002029AF" w:rsidRDefault="00CF72D5" w:rsidP="00C51680">
            <w:pPr>
              <w:pStyle w:val="ARtabletextright"/>
              <w:spacing w:before="40" w:after="20"/>
            </w:pPr>
            <w:r w:rsidRPr="002029AF">
              <w:t>1</w:t>
            </w:r>
          </w:p>
        </w:tc>
        <w:tc>
          <w:tcPr>
            <w:tcW w:w="1021" w:type="dxa"/>
            <w:hideMark/>
          </w:tcPr>
          <w:p w14:paraId="02CA2CF9" w14:textId="5F3394CF" w:rsidR="00CF72D5" w:rsidRPr="002029AF" w:rsidRDefault="00CF72D5" w:rsidP="00C51680">
            <w:pPr>
              <w:pStyle w:val="ARtabletextright"/>
              <w:spacing w:before="40" w:after="20"/>
            </w:pPr>
            <w:r w:rsidRPr="002029AF">
              <w:t>0</w:t>
            </w:r>
          </w:p>
        </w:tc>
        <w:tc>
          <w:tcPr>
            <w:tcW w:w="917" w:type="dxa"/>
            <w:hideMark/>
          </w:tcPr>
          <w:p w14:paraId="212BF419" w14:textId="58E0A6DC" w:rsidR="00CF72D5" w:rsidRPr="002029AF" w:rsidRDefault="00CF72D5" w:rsidP="00C51680">
            <w:pPr>
              <w:pStyle w:val="ARtabletextrightbold"/>
              <w:spacing w:before="40" w:after="20"/>
            </w:pPr>
            <w:r w:rsidRPr="002029AF">
              <w:t>4</w:t>
            </w:r>
          </w:p>
        </w:tc>
        <w:tc>
          <w:tcPr>
            <w:tcW w:w="887" w:type="dxa"/>
            <w:hideMark/>
          </w:tcPr>
          <w:p w14:paraId="2E4019EF" w14:textId="3D6E21B6" w:rsidR="00CF72D5" w:rsidRPr="002029AF" w:rsidRDefault="00CF72D5" w:rsidP="00C51680">
            <w:pPr>
              <w:pStyle w:val="ARtabletextright"/>
              <w:spacing w:before="40" w:after="20"/>
            </w:pPr>
            <w:r w:rsidRPr="002029AF">
              <w:t>1</w:t>
            </w:r>
          </w:p>
        </w:tc>
        <w:tc>
          <w:tcPr>
            <w:tcW w:w="887" w:type="dxa"/>
            <w:hideMark/>
          </w:tcPr>
          <w:p w14:paraId="6C2FAECD" w14:textId="45100A26" w:rsidR="00CF72D5" w:rsidRPr="002029AF" w:rsidRDefault="00CF72D5" w:rsidP="00C51680">
            <w:pPr>
              <w:pStyle w:val="ARtabletextright"/>
              <w:spacing w:before="40" w:after="20"/>
            </w:pPr>
            <w:r w:rsidRPr="002029AF">
              <w:t>0</w:t>
            </w:r>
          </w:p>
        </w:tc>
        <w:tc>
          <w:tcPr>
            <w:tcW w:w="1022" w:type="dxa"/>
            <w:hideMark/>
          </w:tcPr>
          <w:p w14:paraId="7C51EB86" w14:textId="13623524" w:rsidR="00CF72D5" w:rsidRPr="002029AF" w:rsidRDefault="00CF72D5" w:rsidP="00C51680">
            <w:pPr>
              <w:pStyle w:val="ARtabletextright"/>
              <w:spacing w:before="40" w:after="20"/>
            </w:pPr>
            <w:r w:rsidRPr="002029AF">
              <w:t>0</w:t>
            </w:r>
          </w:p>
        </w:tc>
        <w:tc>
          <w:tcPr>
            <w:tcW w:w="902" w:type="dxa"/>
            <w:hideMark/>
          </w:tcPr>
          <w:p w14:paraId="6DC57A06" w14:textId="399D57AE" w:rsidR="00CF72D5" w:rsidRPr="002029AF" w:rsidRDefault="00CF72D5" w:rsidP="00C51680">
            <w:pPr>
              <w:pStyle w:val="ARtabletextrightbold"/>
              <w:spacing w:before="40" w:after="20"/>
            </w:pPr>
            <w:r w:rsidRPr="002029AF">
              <w:t>1</w:t>
            </w:r>
          </w:p>
        </w:tc>
        <w:tc>
          <w:tcPr>
            <w:tcW w:w="872" w:type="dxa"/>
            <w:hideMark/>
          </w:tcPr>
          <w:p w14:paraId="4BE72C3E" w14:textId="6439917D" w:rsidR="00CF72D5" w:rsidRPr="002029AF" w:rsidRDefault="00CF72D5" w:rsidP="00C51680">
            <w:pPr>
              <w:pStyle w:val="ARtabletextright"/>
              <w:spacing w:before="40" w:after="20"/>
            </w:pPr>
            <w:r w:rsidRPr="002029AF">
              <w:t>2</w:t>
            </w:r>
          </w:p>
        </w:tc>
        <w:tc>
          <w:tcPr>
            <w:tcW w:w="887" w:type="dxa"/>
            <w:hideMark/>
          </w:tcPr>
          <w:p w14:paraId="7E992E4C" w14:textId="0F8F5C1A" w:rsidR="00CF72D5" w:rsidRPr="002029AF" w:rsidRDefault="00CF72D5" w:rsidP="00C51680">
            <w:pPr>
              <w:pStyle w:val="ARtabletextright"/>
              <w:spacing w:before="40" w:after="20"/>
            </w:pPr>
            <w:r w:rsidRPr="002029AF">
              <w:t>1</w:t>
            </w:r>
          </w:p>
        </w:tc>
        <w:tc>
          <w:tcPr>
            <w:tcW w:w="1022" w:type="dxa"/>
            <w:hideMark/>
          </w:tcPr>
          <w:p w14:paraId="55920967" w14:textId="09CD164F" w:rsidR="00CF72D5" w:rsidRPr="002029AF" w:rsidRDefault="00CF72D5" w:rsidP="00C51680">
            <w:pPr>
              <w:pStyle w:val="ARtabletextright"/>
              <w:spacing w:before="40" w:after="20"/>
            </w:pPr>
            <w:r w:rsidRPr="002029AF">
              <w:t>0</w:t>
            </w:r>
          </w:p>
        </w:tc>
        <w:tc>
          <w:tcPr>
            <w:tcW w:w="887" w:type="dxa"/>
            <w:hideMark/>
          </w:tcPr>
          <w:p w14:paraId="5E7F8E8E" w14:textId="1BDD8568" w:rsidR="00CF72D5" w:rsidRPr="002029AF" w:rsidRDefault="00CF72D5" w:rsidP="00C51680">
            <w:pPr>
              <w:pStyle w:val="ARtabletextrightbold"/>
              <w:spacing w:before="40" w:after="20"/>
            </w:pPr>
            <w:r w:rsidRPr="002029AF">
              <w:t>3</w:t>
            </w:r>
          </w:p>
        </w:tc>
      </w:tr>
      <w:tr w:rsidR="00CF72D5" w:rsidRPr="002029AF" w14:paraId="0CC6BF97" w14:textId="77777777" w:rsidTr="00D40FE6">
        <w:tc>
          <w:tcPr>
            <w:tcW w:w="2944" w:type="dxa"/>
            <w:hideMark/>
          </w:tcPr>
          <w:p w14:paraId="5A59A041" w14:textId="3B7209D8" w:rsidR="00CF72D5" w:rsidRPr="002029AF" w:rsidRDefault="00CF72D5" w:rsidP="00C51680">
            <w:pPr>
              <w:pStyle w:val="ARtabletext"/>
              <w:spacing w:before="40" w:after="20"/>
            </w:pPr>
            <w:r w:rsidRPr="002029AF">
              <w:t>East</w:t>
            </w:r>
            <w:r w:rsidR="000A5329" w:rsidRPr="002029AF">
              <w:t xml:space="preserve"> </w:t>
            </w:r>
            <w:r w:rsidRPr="002029AF">
              <w:t>Grampians</w:t>
            </w:r>
            <w:r w:rsidR="000A5329" w:rsidRPr="002029AF">
              <w:t xml:space="preserve"> </w:t>
            </w:r>
            <w:r w:rsidRPr="002029AF">
              <w:t>Health</w:t>
            </w:r>
            <w:r w:rsidR="000A5329" w:rsidRPr="002029AF">
              <w:t xml:space="preserve"> </w:t>
            </w:r>
            <w:r w:rsidRPr="002029AF">
              <w:t>Service</w:t>
            </w:r>
          </w:p>
        </w:tc>
        <w:tc>
          <w:tcPr>
            <w:tcW w:w="871" w:type="dxa"/>
            <w:hideMark/>
          </w:tcPr>
          <w:p w14:paraId="3B65D3B3" w14:textId="1C539CCF" w:rsidR="00CF72D5" w:rsidRPr="002029AF" w:rsidRDefault="00CF72D5" w:rsidP="00C51680">
            <w:pPr>
              <w:pStyle w:val="ARtabletextright"/>
              <w:spacing w:before="40" w:after="20"/>
            </w:pPr>
            <w:r w:rsidRPr="002029AF">
              <w:t>0</w:t>
            </w:r>
          </w:p>
        </w:tc>
        <w:tc>
          <w:tcPr>
            <w:tcW w:w="886" w:type="dxa"/>
            <w:hideMark/>
          </w:tcPr>
          <w:p w14:paraId="4C775E0E" w14:textId="4EB36340" w:rsidR="00CF72D5" w:rsidRPr="002029AF" w:rsidRDefault="00CF72D5" w:rsidP="00C51680">
            <w:pPr>
              <w:pStyle w:val="ARtabletextright"/>
              <w:spacing w:before="40" w:after="20"/>
            </w:pPr>
            <w:r w:rsidRPr="002029AF">
              <w:t>1</w:t>
            </w:r>
          </w:p>
        </w:tc>
        <w:tc>
          <w:tcPr>
            <w:tcW w:w="1021" w:type="dxa"/>
            <w:hideMark/>
          </w:tcPr>
          <w:p w14:paraId="1A602BBC" w14:textId="52F374FA" w:rsidR="00CF72D5" w:rsidRPr="002029AF" w:rsidRDefault="00CF72D5" w:rsidP="00C51680">
            <w:pPr>
              <w:pStyle w:val="ARtabletextright"/>
              <w:spacing w:before="40" w:after="20"/>
            </w:pPr>
            <w:r w:rsidRPr="002029AF">
              <w:t>0</w:t>
            </w:r>
          </w:p>
        </w:tc>
        <w:tc>
          <w:tcPr>
            <w:tcW w:w="917" w:type="dxa"/>
            <w:hideMark/>
          </w:tcPr>
          <w:p w14:paraId="767A8D4E" w14:textId="60DB75C8" w:rsidR="00CF72D5" w:rsidRPr="002029AF" w:rsidRDefault="00CF72D5" w:rsidP="00C51680">
            <w:pPr>
              <w:pStyle w:val="ARtabletextrightbold"/>
              <w:spacing w:before="40" w:after="20"/>
            </w:pPr>
            <w:r w:rsidRPr="002029AF">
              <w:t>1</w:t>
            </w:r>
          </w:p>
        </w:tc>
        <w:tc>
          <w:tcPr>
            <w:tcW w:w="887" w:type="dxa"/>
            <w:hideMark/>
          </w:tcPr>
          <w:p w14:paraId="568BEA83" w14:textId="5E426720" w:rsidR="00CF72D5" w:rsidRPr="002029AF" w:rsidRDefault="00CF72D5" w:rsidP="00C51680">
            <w:pPr>
              <w:pStyle w:val="ARtabletextright"/>
              <w:spacing w:before="40" w:after="20"/>
            </w:pPr>
            <w:r w:rsidRPr="002029AF">
              <w:t>0</w:t>
            </w:r>
          </w:p>
        </w:tc>
        <w:tc>
          <w:tcPr>
            <w:tcW w:w="887" w:type="dxa"/>
            <w:hideMark/>
          </w:tcPr>
          <w:p w14:paraId="50B0831F" w14:textId="347B1EED" w:rsidR="00CF72D5" w:rsidRPr="002029AF" w:rsidRDefault="00CF72D5" w:rsidP="00C51680">
            <w:pPr>
              <w:pStyle w:val="ARtabletextright"/>
              <w:spacing w:before="40" w:after="20"/>
            </w:pPr>
            <w:r w:rsidRPr="002029AF">
              <w:t>1</w:t>
            </w:r>
          </w:p>
        </w:tc>
        <w:tc>
          <w:tcPr>
            <w:tcW w:w="1022" w:type="dxa"/>
            <w:hideMark/>
          </w:tcPr>
          <w:p w14:paraId="1EA32CCE" w14:textId="725E3DF1" w:rsidR="00CF72D5" w:rsidRPr="002029AF" w:rsidRDefault="00CF72D5" w:rsidP="00C51680">
            <w:pPr>
              <w:pStyle w:val="ARtabletextright"/>
              <w:spacing w:before="40" w:after="20"/>
            </w:pPr>
            <w:r w:rsidRPr="002029AF">
              <w:t>0</w:t>
            </w:r>
          </w:p>
        </w:tc>
        <w:tc>
          <w:tcPr>
            <w:tcW w:w="902" w:type="dxa"/>
            <w:hideMark/>
          </w:tcPr>
          <w:p w14:paraId="74FAADEE" w14:textId="247B2A35" w:rsidR="00CF72D5" w:rsidRPr="002029AF" w:rsidRDefault="00CF72D5" w:rsidP="00C51680">
            <w:pPr>
              <w:pStyle w:val="ARtabletextrightbold"/>
              <w:spacing w:before="40" w:after="20"/>
            </w:pPr>
            <w:r w:rsidRPr="002029AF">
              <w:t>1</w:t>
            </w:r>
          </w:p>
        </w:tc>
        <w:tc>
          <w:tcPr>
            <w:tcW w:w="872" w:type="dxa"/>
            <w:hideMark/>
          </w:tcPr>
          <w:p w14:paraId="4FEF6E28" w14:textId="240EFD36" w:rsidR="00CF72D5" w:rsidRPr="002029AF" w:rsidRDefault="00CF72D5" w:rsidP="00C51680">
            <w:pPr>
              <w:pStyle w:val="ARtabletextright"/>
              <w:spacing w:before="40" w:after="20"/>
            </w:pPr>
            <w:r w:rsidRPr="002029AF">
              <w:t>0</w:t>
            </w:r>
          </w:p>
        </w:tc>
        <w:tc>
          <w:tcPr>
            <w:tcW w:w="887" w:type="dxa"/>
            <w:hideMark/>
          </w:tcPr>
          <w:p w14:paraId="2F61E78C" w14:textId="6E14BECE" w:rsidR="00CF72D5" w:rsidRPr="002029AF" w:rsidRDefault="00CF72D5" w:rsidP="00C51680">
            <w:pPr>
              <w:pStyle w:val="ARtabletextright"/>
              <w:spacing w:before="40" w:after="20"/>
            </w:pPr>
            <w:r w:rsidRPr="002029AF">
              <w:t>0</w:t>
            </w:r>
          </w:p>
        </w:tc>
        <w:tc>
          <w:tcPr>
            <w:tcW w:w="1022" w:type="dxa"/>
            <w:hideMark/>
          </w:tcPr>
          <w:p w14:paraId="59FCB8BB" w14:textId="2CE8DBE6" w:rsidR="00CF72D5" w:rsidRPr="002029AF" w:rsidRDefault="00CF72D5" w:rsidP="00C51680">
            <w:pPr>
              <w:pStyle w:val="ARtabletextright"/>
              <w:spacing w:before="40" w:after="20"/>
            </w:pPr>
            <w:r w:rsidRPr="002029AF">
              <w:t>0</w:t>
            </w:r>
          </w:p>
        </w:tc>
        <w:tc>
          <w:tcPr>
            <w:tcW w:w="887" w:type="dxa"/>
            <w:hideMark/>
          </w:tcPr>
          <w:p w14:paraId="4F47B3BA" w14:textId="7C48D227" w:rsidR="00CF72D5" w:rsidRPr="002029AF" w:rsidRDefault="00CF72D5" w:rsidP="00C51680">
            <w:pPr>
              <w:pStyle w:val="ARtabletextrightbold"/>
              <w:spacing w:before="40" w:after="20"/>
            </w:pPr>
            <w:r w:rsidRPr="002029AF">
              <w:t>0</w:t>
            </w:r>
          </w:p>
        </w:tc>
      </w:tr>
      <w:tr w:rsidR="00CF72D5" w:rsidRPr="002029AF" w14:paraId="0D81B170" w14:textId="77777777" w:rsidTr="00D40FE6">
        <w:tc>
          <w:tcPr>
            <w:tcW w:w="2944" w:type="dxa"/>
            <w:hideMark/>
          </w:tcPr>
          <w:p w14:paraId="3FB0AF3D" w14:textId="0E03073D" w:rsidR="00CF72D5" w:rsidRPr="002029AF" w:rsidRDefault="00CF72D5" w:rsidP="00C51680">
            <w:pPr>
              <w:pStyle w:val="ARtabletext"/>
              <w:spacing w:before="40" w:after="20"/>
            </w:pPr>
            <w:r w:rsidRPr="002029AF">
              <w:t>East</w:t>
            </w:r>
            <w:r w:rsidR="000A5329" w:rsidRPr="002029AF">
              <w:t xml:space="preserve"> </w:t>
            </w:r>
            <w:r w:rsidRPr="002029AF">
              <w:t>Wimmera</w:t>
            </w:r>
            <w:r w:rsidR="000A5329" w:rsidRPr="002029AF">
              <w:t xml:space="preserve"> </w:t>
            </w:r>
            <w:r w:rsidRPr="002029AF">
              <w:t>Health</w:t>
            </w:r>
            <w:r w:rsidR="000A5329" w:rsidRPr="002029AF">
              <w:t xml:space="preserve"> </w:t>
            </w:r>
            <w:r w:rsidRPr="002029AF">
              <w:t>Service</w:t>
            </w:r>
          </w:p>
        </w:tc>
        <w:tc>
          <w:tcPr>
            <w:tcW w:w="871" w:type="dxa"/>
            <w:hideMark/>
          </w:tcPr>
          <w:p w14:paraId="783F9784" w14:textId="10B32CF0" w:rsidR="00CF72D5" w:rsidRPr="002029AF" w:rsidRDefault="00CF72D5" w:rsidP="00C51680">
            <w:pPr>
              <w:pStyle w:val="ARtabletextright"/>
              <w:spacing w:before="40" w:after="20"/>
            </w:pPr>
            <w:r w:rsidRPr="002029AF">
              <w:t>0</w:t>
            </w:r>
          </w:p>
        </w:tc>
        <w:tc>
          <w:tcPr>
            <w:tcW w:w="886" w:type="dxa"/>
            <w:hideMark/>
          </w:tcPr>
          <w:p w14:paraId="3AA4936C" w14:textId="44CFB5F3" w:rsidR="00CF72D5" w:rsidRPr="002029AF" w:rsidRDefault="00CF72D5" w:rsidP="00C51680">
            <w:pPr>
              <w:pStyle w:val="ARtabletextright"/>
              <w:spacing w:before="40" w:after="20"/>
            </w:pPr>
            <w:r w:rsidRPr="002029AF">
              <w:t>1</w:t>
            </w:r>
          </w:p>
        </w:tc>
        <w:tc>
          <w:tcPr>
            <w:tcW w:w="1021" w:type="dxa"/>
            <w:hideMark/>
          </w:tcPr>
          <w:p w14:paraId="56B8626F" w14:textId="6F83FF0B" w:rsidR="00CF72D5" w:rsidRPr="002029AF" w:rsidRDefault="00CF72D5" w:rsidP="00C51680">
            <w:pPr>
              <w:pStyle w:val="ARtabletextright"/>
              <w:spacing w:before="40" w:after="20"/>
            </w:pPr>
            <w:r w:rsidRPr="002029AF">
              <w:t>0</w:t>
            </w:r>
          </w:p>
        </w:tc>
        <w:tc>
          <w:tcPr>
            <w:tcW w:w="917" w:type="dxa"/>
            <w:hideMark/>
          </w:tcPr>
          <w:p w14:paraId="7AA5321C" w14:textId="35DC4C0C" w:rsidR="00CF72D5" w:rsidRPr="002029AF" w:rsidRDefault="00CF72D5" w:rsidP="00C51680">
            <w:pPr>
              <w:pStyle w:val="ARtabletextrightbold"/>
              <w:spacing w:before="40" w:after="20"/>
            </w:pPr>
            <w:r w:rsidRPr="002029AF">
              <w:t>1</w:t>
            </w:r>
          </w:p>
        </w:tc>
        <w:tc>
          <w:tcPr>
            <w:tcW w:w="887" w:type="dxa"/>
            <w:hideMark/>
          </w:tcPr>
          <w:p w14:paraId="2E804AB1" w14:textId="5F5E365C" w:rsidR="00CF72D5" w:rsidRPr="002029AF" w:rsidRDefault="00CF72D5" w:rsidP="00C51680">
            <w:pPr>
              <w:pStyle w:val="ARtabletextright"/>
              <w:spacing w:before="40" w:after="20"/>
            </w:pPr>
            <w:r w:rsidRPr="002029AF">
              <w:t>0</w:t>
            </w:r>
          </w:p>
        </w:tc>
        <w:tc>
          <w:tcPr>
            <w:tcW w:w="887" w:type="dxa"/>
            <w:hideMark/>
          </w:tcPr>
          <w:p w14:paraId="0ABE3F25" w14:textId="3C5844A2" w:rsidR="00CF72D5" w:rsidRPr="002029AF" w:rsidRDefault="00CF72D5" w:rsidP="00C51680">
            <w:pPr>
              <w:pStyle w:val="ARtabletextright"/>
              <w:spacing w:before="40" w:after="20"/>
            </w:pPr>
            <w:r w:rsidRPr="002029AF">
              <w:t>1</w:t>
            </w:r>
          </w:p>
        </w:tc>
        <w:tc>
          <w:tcPr>
            <w:tcW w:w="1022" w:type="dxa"/>
            <w:hideMark/>
          </w:tcPr>
          <w:p w14:paraId="3F8935EC" w14:textId="214DD332" w:rsidR="00CF72D5" w:rsidRPr="002029AF" w:rsidRDefault="00CF72D5" w:rsidP="00C51680">
            <w:pPr>
              <w:pStyle w:val="ARtabletextright"/>
              <w:spacing w:before="40" w:after="20"/>
            </w:pPr>
            <w:r w:rsidRPr="002029AF">
              <w:t>0</w:t>
            </w:r>
          </w:p>
        </w:tc>
        <w:tc>
          <w:tcPr>
            <w:tcW w:w="902" w:type="dxa"/>
            <w:hideMark/>
          </w:tcPr>
          <w:p w14:paraId="0DE68384" w14:textId="41ABDE8F" w:rsidR="00CF72D5" w:rsidRPr="002029AF" w:rsidRDefault="00CF72D5" w:rsidP="00C51680">
            <w:pPr>
              <w:pStyle w:val="ARtabletextrightbold"/>
              <w:spacing w:before="40" w:after="20"/>
            </w:pPr>
            <w:r w:rsidRPr="002029AF">
              <w:t>1</w:t>
            </w:r>
          </w:p>
        </w:tc>
        <w:tc>
          <w:tcPr>
            <w:tcW w:w="872" w:type="dxa"/>
            <w:hideMark/>
          </w:tcPr>
          <w:p w14:paraId="5F501E31" w14:textId="7985F308" w:rsidR="00CF72D5" w:rsidRPr="002029AF" w:rsidRDefault="00CF72D5" w:rsidP="00C51680">
            <w:pPr>
              <w:pStyle w:val="ARtabletextright"/>
              <w:spacing w:before="40" w:after="20"/>
            </w:pPr>
            <w:r w:rsidRPr="002029AF">
              <w:t>0</w:t>
            </w:r>
          </w:p>
        </w:tc>
        <w:tc>
          <w:tcPr>
            <w:tcW w:w="887" w:type="dxa"/>
            <w:hideMark/>
          </w:tcPr>
          <w:p w14:paraId="1FA32355" w14:textId="22C96701" w:rsidR="00CF72D5" w:rsidRPr="002029AF" w:rsidRDefault="00CF72D5" w:rsidP="00C51680">
            <w:pPr>
              <w:pStyle w:val="ARtabletextright"/>
              <w:spacing w:before="40" w:after="20"/>
            </w:pPr>
            <w:r w:rsidRPr="002029AF">
              <w:t>0</w:t>
            </w:r>
          </w:p>
        </w:tc>
        <w:tc>
          <w:tcPr>
            <w:tcW w:w="1022" w:type="dxa"/>
            <w:hideMark/>
          </w:tcPr>
          <w:p w14:paraId="508F2C13" w14:textId="238156D3" w:rsidR="00CF72D5" w:rsidRPr="002029AF" w:rsidRDefault="00CF72D5" w:rsidP="00C51680">
            <w:pPr>
              <w:pStyle w:val="ARtabletextright"/>
              <w:spacing w:before="40" w:after="20"/>
            </w:pPr>
            <w:r w:rsidRPr="002029AF">
              <w:t>0</w:t>
            </w:r>
          </w:p>
        </w:tc>
        <w:tc>
          <w:tcPr>
            <w:tcW w:w="887" w:type="dxa"/>
            <w:hideMark/>
          </w:tcPr>
          <w:p w14:paraId="1F9AB796" w14:textId="33EC9EBD" w:rsidR="00CF72D5" w:rsidRPr="002029AF" w:rsidRDefault="00CF72D5" w:rsidP="00C51680">
            <w:pPr>
              <w:pStyle w:val="ARtabletextrightbold"/>
              <w:spacing w:before="40" w:after="20"/>
            </w:pPr>
            <w:r w:rsidRPr="002029AF">
              <w:t>0</w:t>
            </w:r>
          </w:p>
        </w:tc>
      </w:tr>
      <w:tr w:rsidR="00CF72D5" w:rsidRPr="002029AF" w14:paraId="3D385FFD" w14:textId="77777777" w:rsidTr="00D40FE6">
        <w:tc>
          <w:tcPr>
            <w:tcW w:w="2944" w:type="dxa"/>
            <w:hideMark/>
          </w:tcPr>
          <w:p w14:paraId="4380D527" w14:textId="244DA71D" w:rsidR="00CF72D5" w:rsidRPr="002029AF" w:rsidRDefault="00CF72D5" w:rsidP="00C51680">
            <w:pPr>
              <w:pStyle w:val="ARtabletext"/>
              <w:spacing w:before="40" w:after="20"/>
            </w:pPr>
            <w:r w:rsidRPr="002029AF">
              <w:t>Eastern</w:t>
            </w:r>
            <w:r w:rsidR="000A5329" w:rsidRPr="002029AF">
              <w:t xml:space="preserve"> </w:t>
            </w:r>
            <w:r w:rsidRPr="002029AF">
              <w:t>Health</w:t>
            </w:r>
          </w:p>
        </w:tc>
        <w:tc>
          <w:tcPr>
            <w:tcW w:w="871" w:type="dxa"/>
            <w:hideMark/>
          </w:tcPr>
          <w:p w14:paraId="407E0D3D" w14:textId="17929A72" w:rsidR="00CF72D5" w:rsidRPr="002029AF" w:rsidRDefault="00CF72D5" w:rsidP="00C51680">
            <w:pPr>
              <w:pStyle w:val="ARtabletextright"/>
              <w:spacing w:before="40" w:after="20"/>
            </w:pPr>
            <w:r w:rsidRPr="002029AF">
              <w:t>6</w:t>
            </w:r>
          </w:p>
        </w:tc>
        <w:tc>
          <w:tcPr>
            <w:tcW w:w="886" w:type="dxa"/>
            <w:hideMark/>
          </w:tcPr>
          <w:p w14:paraId="3ECEAF5B" w14:textId="6E3BBC76" w:rsidR="00CF72D5" w:rsidRPr="002029AF" w:rsidRDefault="00CF72D5" w:rsidP="00C51680">
            <w:pPr>
              <w:pStyle w:val="ARtabletextright"/>
              <w:spacing w:before="40" w:after="20"/>
            </w:pPr>
            <w:r w:rsidRPr="002029AF">
              <w:t>3</w:t>
            </w:r>
          </w:p>
        </w:tc>
        <w:tc>
          <w:tcPr>
            <w:tcW w:w="1021" w:type="dxa"/>
            <w:hideMark/>
          </w:tcPr>
          <w:p w14:paraId="1A2A19DE" w14:textId="04B9EBCA" w:rsidR="00CF72D5" w:rsidRPr="002029AF" w:rsidRDefault="00CF72D5" w:rsidP="00C51680">
            <w:pPr>
              <w:pStyle w:val="ARtabletextright"/>
              <w:spacing w:before="40" w:after="20"/>
            </w:pPr>
            <w:r w:rsidRPr="002029AF">
              <w:t>0</w:t>
            </w:r>
          </w:p>
        </w:tc>
        <w:tc>
          <w:tcPr>
            <w:tcW w:w="917" w:type="dxa"/>
            <w:hideMark/>
          </w:tcPr>
          <w:p w14:paraId="5C2F0B06" w14:textId="6B974DAA" w:rsidR="00CF72D5" w:rsidRPr="002029AF" w:rsidRDefault="00CF72D5" w:rsidP="00C51680">
            <w:pPr>
              <w:pStyle w:val="ARtabletextrightbold"/>
              <w:spacing w:before="40" w:after="20"/>
            </w:pPr>
            <w:r w:rsidRPr="002029AF">
              <w:t>9</w:t>
            </w:r>
          </w:p>
        </w:tc>
        <w:tc>
          <w:tcPr>
            <w:tcW w:w="887" w:type="dxa"/>
            <w:hideMark/>
          </w:tcPr>
          <w:p w14:paraId="13C6D9EC" w14:textId="268B762F" w:rsidR="00CF72D5" w:rsidRPr="002029AF" w:rsidRDefault="00CF72D5" w:rsidP="00C51680">
            <w:pPr>
              <w:pStyle w:val="ARtabletextright"/>
              <w:spacing w:before="40" w:after="20"/>
            </w:pPr>
            <w:r w:rsidRPr="002029AF">
              <w:t>5</w:t>
            </w:r>
          </w:p>
        </w:tc>
        <w:tc>
          <w:tcPr>
            <w:tcW w:w="887" w:type="dxa"/>
            <w:hideMark/>
          </w:tcPr>
          <w:p w14:paraId="4EA2E60F" w14:textId="4F41B3A1" w:rsidR="00CF72D5" w:rsidRPr="002029AF" w:rsidRDefault="00CF72D5" w:rsidP="00C51680">
            <w:pPr>
              <w:pStyle w:val="ARtabletextright"/>
              <w:spacing w:before="40" w:after="20"/>
            </w:pPr>
            <w:r w:rsidRPr="002029AF">
              <w:t>3</w:t>
            </w:r>
          </w:p>
        </w:tc>
        <w:tc>
          <w:tcPr>
            <w:tcW w:w="1022" w:type="dxa"/>
            <w:hideMark/>
          </w:tcPr>
          <w:p w14:paraId="5A60B78C" w14:textId="2694F710" w:rsidR="00CF72D5" w:rsidRPr="002029AF" w:rsidRDefault="00CF72D5" w:rsidP="00C51680">
            <w:pPr>
              <w:pStyle w:val="ARtabletextright"/>
              <w:spacing w:before="40" w:after="20"/>
            </w:pPr>
            <w:r w:rsidRPr="002029AF">
              <w:t>0</w:t>
            </w:r>
          </w:p>
        </w:tc>
        <w:tc>
          <w:tcPr>
            <w:tcW w:w="902" w:type="dxa"/>
            <w:hideMark/>
          </w:tcPr>
          <w:p w14:paraId="4B6E577E" w14:textId="3BD6F6E8" w:rsidR="00CF72D5" w:rsidRPr="002029AF" w:rsidRDefault="00CF72D5" w:rsidP="00C51680">
            <w:pPr>
              <w:pStyle w:val="ARtabletextrightbold"/>
              <w:spacing w:before="40" w:after="20"/>
            </w:pPr>
            <w:r w:rsidRPr="002029AF">
              <w:t>8</w:t>
            </w:r>
          </w:p>
        </w:tc>
        <w:tc>
          <w:tcPr>
            <w:tcW w:w="872" w:type="dxa"/>
            <w:hideMark/>
          </w:tcPr>
          <w:p w14:paraId="631F4A3F" w14:textId="40CAF0CE" w:rsidR="00CF72D5" w:rsidRPr="002029AF" w:rsidRDefault="00CF72D5" w:rsidP="00C51680">
            <w:pPr>
              <w:pStyle w:val="ARtabletextright"/>
              <w:spacing w:before="40" w:after="20"/>
            </w:pPr>
            <w:r w:rsidRPr="002029AF">
              <w:t>1</w:t>
            </w:r>
          </w:p>
        </w:tc>
        <w:tc>
          <w:tcPr>
            <w:tcW w:w="887" w:type="dxa"/>
            <w:hideMark/>
          </w:tcPr>
          <w:p w14:paraId="42704C0C" w14:textId="4484F676" w:rsidR="00CF72D5" w:rsidRPr="002029AF" w:rsidRDefault="00CF72D5" w:rsidP="00C51680">
            <w:pPr>
              <w:pStyle w:val="ARtabletextright"/>
              <w:spacing w:before="40" w:after="20"/>
            </w:pPr>
            <w:r w:rsidRPr="002029AF">
              <w:t>0</w:t>
            </w:r>
          </w:p>
        </w:tc>
        <w:tc>
          <w:tcPr>
            <w:tcW w:w="1022" w:type="dxa"/>
            <w:hideMark/>
          </w:tcPr>
          <w:p w14:paraId="6922372F" w14:textId="3BEFEEB9" w:rsidR="00CF72D5" w:rsidRPr="002029AF" w:rsidRDefault="00CF72D5" w:rsidP="00C51680">
            <w:pPr>
              <w:pStyle w:val="ARtabletextright"/>
              <w:spacing w:before="40" w:after="20"/>
            </w:pPr>
            <w:r w:rsidRPr="002029AF">
              <w:t>0</w:t>
            </w:r>
          </w:p>
        </w:tc>
        <w:tc>
          <w:tcPr>
            <w:tcW w:w="887" w:type="dxa"/>
            <w:hideMark/>
          </w:tcPr>
          <w:p w14:paraId="60ABE335" w14:textId="7EA61196" w:rsidR="00CF72D5" w:rsidRPr="002029AF" w:rsidRDefault="00CF72D5" w:rsidP="00C51680">
            <w:pPr>
              <w:pStyle w:val="ARtabletextrightbold"/>
              <w:spacing w:before="40" w:after="20"/>
            </w:pPr>
            <w:r w:rsidRPr="002029AF">
              <w:t>1</w:t>
            </w:r>
          </w:p>
        </w:tc>
      </w:tr>
      <w:tr w:rsidR="00CF72D5" w:rsidRPr="002029AF" w14:paraId="705CF106" w14:textId="77777777" w:rsidTr="00D40FE6">
        <w:tc>
          <w:tcPr>
            <w:tcW w:w="2944" w:type="dxa"/>
            <w:hideMark/>
          </w:tcPr>
          <w:p w14:paraId="36C750CA" w14:textId="49C53A46" w:rsidR="00CF72D5" w:rsidRPr="002029AF" w:rsidRDefault="00CF72D5" w:rsidP="00C51680">
            <w:pPr>
              <w:pStyle w:val="ARtabletext"/>
              <w:spacing w:before="40" w:after="20"/>
            </w:pPr>
            <w:r w:rsidRPr="002029AF">
              <w:t>Echuca</w:t>
            </w:r>
            <w:r w:rsidR="000A5329" w:rsidRPr="002029AF">
              <w:t xml:space="preserve"> </w:t>
            </w:r>
            <w:r w:rsidRPr="002029AF">
              <w:t>Regional</w:t>
            </w:r>
            <w:r w:rsidR="000A5329" w:rsidRPr="002029AF">
              <w:t xml:space="preserve"> </w:t>
            </w:r>
            <w:r w:rsidRPr="002029AF">
              <w:t>Health</w:t>
            </w:r>
          </w:p>
        </w:tc>
        <w:tc>
          <w:tcPr>
            <w:tcW w:w="871" w:type="dxa"/>
            <w:hideMark/>
          </w:tcPr>
          <w:p w14:paraId="17733418" w14:textId="43FD944A" w:rsidR="00CF72D5" w:rsidRPr="002029AF" w:rsidRDefault="00CF72D5" w:rsidP="00C51680">
            <w:pPr>
              <w:pStyle w:val="ARtabletextright"/>
              <w:spacing w:before="40" w:after="20"/>
            </w:pPr>
            <w:r w:rsidRPr="002029AF">
              <w:t>1</w:t>
            </w:r>
          </w:p>
        </w:tc>
        <w:tc>
          <w:tcPr>
            <w:tcW w:w="886" w:type="dxa"/>
            <w:hideMark/>
          </w:tcPr>
          <w:p w14:paraId="39A246F9" w14:textId="722EAAD4" w:rsidR="00CF72D5" w:rsidRPr="002029AF" w:rsidRDefault="00CF72D5" w:rsidP="00C51680">
            <w:pPr>
              <w:pStyle w:val="ARtabletextright"/>
              <w:spacing w:before="40" w:after="20"/>
            </w:pPr>
            <w:r w:rsidRPr="002029AF">
              <w:t>1</w:t>
            </w:r>
          </w:p>
        </w:tc>
        <w:tc>
          <w:tcPr>
            <w:tcW w:w="1021" w:type="dxa"/>
            <w:hideMark/>
          </w:tcPr>
          <w:p w14:paraId="21899886" w14:textId="035C7FF4" w:rsidR="00CF72D5" w:rsidRPr="002029AF" w:rsidRDefault="00CF72D5" w:rsidP="00C51680">
            <w:pPr>
              <w:pStyle w:val="ARtabletextright"/>
              <w:spacing w:before="40" w:after="20"/>
            </w:pPr>
            <w:r w:rsidRPr="002029AF">
              <w:t>0</w:t>
            </w:r>
          </w:p>
        </w:tc>
        <w:tc>
          <w:tcPr>
            <w:tcW w:w="917" w:type="dxa"/>
            <w:hideMark/>
          </w:tcPr>
          <w:p w14:paraId="36AD0CE5" w14:textId="0EA56DB7" w:rsidR="00CF72D5" w:rsidRPr="002029AF" w:rsidRDefault="00CF72D5" w:rsidP="00C51680">
            <w:pPr>
              <w:pStyle w:val="ARtabletextrightbold"/>
              <w:spacing w:before="40" w:after="20"/>
            </w:pPr>
            <w:r w:rsidRPr="002029AF">
              <w:t>2</w:t>
            </w:r>
          </w:p>
        </w:tc>
        <w:tc>
          <w:tcPr>
            <w:tcW w:w="887" w:type="dxa"/>
            <w:hideMark/>
          </w:tcPr>
          <w:p w14:paraId="27D47A38" w14:textId="7B6EB030" w:rsidR="00CF72D5" w:rsidRPr="002029AF" w:rsidRDefault="00CF72D5" w:rsidP="00C51680">
            <w:pPr>
              <w:pStyle w:val="ARtabletextright"/>
              <w:spacing w:before="40" w:after="20"/>
            </w:pPr>
            <w:r w:rsidRPr="002029AF">
              <w:t>1</w:t>
            </w:r>
          </w:p>
        </w:tc>
        <w:tc>
          <w:tcPr>
            <w:tcW w:w="887" w:type="dxa"/>
            <w:hideMark/>
          </w:tcPr>
          <w:p w14:paraId="1D6185B2" w14:textId="606A0FCE" w:rsidR="00CF72D5" w:rsidRPr="002029AF" w:rsidRDefault="00CF72D5" w:rsidP="00C51680">
            <w:pPr>
              <w:pStyle w:val="ARtabletextright"/>
              <w:spacing w:before="40" w:after="20"/>
            </w:pPr>
            <w:r w:rsidRPr="002029AF">
              <w:t>1</w:t>
            </w:r>
          </w:p>
        </w:tc>
        <w:tc>
          <w:tcPr>
            <w:tcW w:w="1022" w:type="dxa"/>
            <w:hideMark/>
          </w:tcPr>
          <w:p w14:paraId="4152BEDA" w14:textId="5FED411A" w:rsidR="00CF72D5" w:rsidRPr="002029AF" w:rsidRDefault="00CF72D5" w:rsidP="00C51680">
            <w:pPr>
              <w:pStyle w:val="ARtabletextright"/>
              <w:spacing w:before="40" w:after="20"/>
            </w:pPr>
            <w:r w:rsidRPr="002029AF">
              <w:t>0</w:t>
            </w:r>
          </w:p>
        </w:tc>
        <w:tc>
          <w:tcPr>
            <w:tcW w:w="902" w:type="dxa"/>
            <w:hideMark/>
          </w:tcPr>
          <w:p w14:paraId="1E708C16" w14:textId="2BE77889" w:rsidR="00CF72D5" w:rsidRPr="002029AF" w:rsidRDefault="00CF72D5" w:rsidP="00C51680">
            <w:pPr>
              <w:pStyle w:val="ARtabletextrightbold"/>
              <w:spacing w:before="40" w:after="20"/>
            </w:pPr>
            <w:r w:rsidRPr="002029AF">
              <w:t>2</w:t>
            </w:r>
          </w:p>
        </w:tc>
        <w:tc>
          <w:tcPr>
            <w:tcW w:w="872" w:type="dxa"/>
            <w:hideMark/>
          </w:tcPr>
          <w:p w14:paraId="5EBAE821" w14:textId="6A07DD6F" w:rsidR="00CF72D5" w:rsidRPr="002029AF" w:rsidRDefault="00CF72D5" w:rsidP="00C51680">
            <w:pPr>
              <w:pStyle w:val="ARtabletextright"/>
              <w:spacing w:before="40" w:after="20"/>
            </w:pPr>
            <w:r w:rsidRPr="002029AF">
              <w:t>0</w:t>
            </w:r>
          </w:p>
        </w:tc>
        <w:tc>
          <w:tcPr>
            <w:tcW w:w="887" w:type="dxa"/>
            <w:hideMark/>
          </w:tcPr>
          <w:p w14:paraId="43682669" w14:textId="4AC6D7F8" w:rsidR="00CF72D5" w:rsidRPr="002029AF" w:rsidRDefault="00CF72D5" w:rsidP="00C51680">
            <w:pPr>
              <w:pStyle w:val="ARtabletextright"/>
              <w:spacing w:before="40" w:after="20"/>
            </w:pPr>
            <w:r w:rsidRPr="002029AF">
              <w:t>0</w:t>
            </w:r>
          </w:p>
        </w:tc>
        <w:tc>
          <w:tcPr>
            <w:tcW w:w="1022" w:type="dxa"/>
            <w:hideMark/>
          </w:tcPr>
          <w:p w14:paraId="0D965D9E" w14:textId="49582D78" w:rsidR="00CF72D5" w:rsidRPr="002029AF" w:rsidRDefault="00CF72D5" w:rsidP="00C51680">
            <w:pPr>
              <w:pStyle w:val="ARtabletextright"/>
              <w:spacing w:before="40" w:after="20"/>
            </w:pPr>
            <w:r w:rsidRPr="002029AF">
              <w:t>0</w:t>
            </w:r>
          </w:p>
        </w:tc>
        <w:tc>
          <w:tcPr>
            <w:tcW w:w="887" w:type="dxa"/>
            <w:hideMark/>
          </w:tcPr>
          <w:p w14:paraId="5C923736" w14:textId="56D52F68" w:rsidR="00CF72D5" w:rsidRPr="002029AF" w:rsidRDefault="00CF72D5" w:rsidP="00C51680">
            <w:pPr>
              <w:pStyle w:val="ARtabletextrightbold"/>
              <w:spacing w:before="40" w:after="20"/>
            </w:pPr>
            <w:r w:rsidRPr="002029AF">
              <w:t>0</w:t>
            </w:r>
          </w:p>
        </w:tc>
      </w:tr>
      <w:tr w:rsidR="00CF72D5" w:rsidRPr="002029AF" w14:paraId="228A3CCE" w14:textId="77777777" w:rsidTr="00D40FE6">
        <w:tc>
          <w:tcPr>
            <w:tcW w:w="2944" w:type="dxa"/>
            <w:hideMark/>
          </w:tcPr>
          <w:p w14:paraId="38976E4A" w14:textId="0D13144D" w:rsidR="00CF72D5" w:rsidRPr="002029AF" w:rsidRDefault="00CF72D5" w:rsidP="00C51680">
            <w:pPr>
              <w:pStyle w:val="ARtabletext"/>
              <w:spacing w:before="40" w:after="20"/>
            </w:pPr>
            <w:r w:rsidRPr="002029AF">
              <w:t>Edenhope</w:t>
            </w:r>
            <w:r w:rsidR="000A5329" w:rsidRPr="002029AF">
              <w:t xml:space="preserve"> </w:t>
            </w:r>
            <w:r w:rsidRPr="002029AF">
              <w:t>and</w:t>
            </w:r>
            <w:r w:rsidR="000A5329" w:rsidRPr="002029AF">
              <w:t xml:space="preserve"> </w:t>
            </w:r>
            <w:r w:rsidRPr="002029AF">
              <w:t>District</w:t>
            </w:r>
            <w:r w:rsidR="000A5329" w:rsidRPr="002029AF">
              <w:t xml:space="preserve"> </w:t>
            </w:r>
            <w:r w:rsidRPr="002029AF">
              <w:t>Memorial</w:t>
            </w:r>
            <w:r w:rsidR="000A5329" w:rsidRPr="002029AF">
              <w:t xml:space="preserve"> </w:t>
            </w:r>
            <w:r w:rsidRPr="002029AF">
              <w:t>Hospital</w:t>
            </w:r>
          </w:p>
        </w:tc>
        <w:tc>
          <w:tcPr>
            <w:tcW w:w="871" w:type="dxa"/>
            <w:hideMark/>
          </w:tcPr>
          <w:p w14:paraId="246ED125" w14:textId="4B888850" w:rsidR="00CF72D5" w:rsidRPr="002029AF" w:rsidRDefault="00CF72D5" w:rsidP="00C51680">
            <w:pPr>
              <w:pStyle w:val="ARtabletextright"/>
              <w:spacing w:before="40" w:after="20"/>
            </w:pPr>
            <w:r w:rsidRPr="002029AF">
              <w:t>0</w:t>
            </w:r>
          </w:p>
        </w:tc>
        <w:tc>
          <w:tcPr>
            <w:tcW w:w="886" w:type="dxa"/>
            <w:hideMark/>
          </w:tcPr>
          <w:p w14:paraId="4A5A3E20" w14:textId="4FE2559B" w:rsidR="00CF72D5" w:rsidRPr="002029AF" w:rsidRDefault="00CF72D5" w:rsidP="00C51680">
            <w:pPr>
              <w:pStyle w:val="ARtabletextright"/>
              <w:spacing w:before="40" w:after="20"/>
            </w:pPr>
            <w:r w:rsidRPr="002029AF">
              <w:t>1</w:t>
            </w:r>
          </w:p>
        </w:tc>
        <w:tc>
          <w:tcPr>
            <w:tcW w:w="1021" w:type="dxa"/>
            <w:hideMark/>
          </w:tcPr>
          <w:p w14:paraId="030E289F" w14:textId="38FAEE68" w:rsidR="00CF72D5" w:rsidRPr="002029AF" w:rsidRDefault="00CF72D5" w:rsidP="00C51680">
            <w:pPr>
              <w:pStyle w:val="ARtabletextright"/>
              <w:spacing w:before="40" w:after="20"/>
            </w:pPr>
            <w:r w:rsidRPr="002029AF">
              <w:t>0</w:t>
            </w:r>
          </w:p>
        </w:tc>
        <w:tc>
          <w:tcPr>
            <w:tcW w:w="917" w:type="dxa"/>
            <w:hideMark/>
          </w:tcPr>
          <w:p w14:paraId="51390AD1" w14:textId="0D98D01F" w:rsidR="00CF72D5" w:rsidRPr="002029AF" w:rsidRDefault="00CF72D5" w:rsidP="00C51680">
            <w:pPr>
              <w:pStyle w:val="ARtabletextrightbold"/>
              <w:spacing w:before="40" w:after="20"/>
            </w:pPr>
            <w:r w:rsidRPr="002029AF">
              <w:t>1</w:t>
            </w:r>
          </w:p>
        </w:tc>
        <w:tc>
          <w:tcPr>
            <w:tcW w:w="887" w:type="dxa"/>
            <w:hideMark/>
          </w:tcPr>
          <w:p w14:paraId="1460D078" w14:textId="3A74DB8D" w:rsidR="00CF72D5" w:rsidRPr="002029AF" w:rsidRDefault="00CF72D5" w:rsidP="00C51680">
            <w:pPr>
              <w:pStyle w:val="ARtabletextright"/>
              <w:spacing w:before="40" w:after="20"/>
            </w:pPr>
            <w:r w:rsidRPr="002029AF">
              <w:t>0</w:t>
            </w:r>
          </w:p>
        </w:tc>
        <w:tc>
          <w:tcPr>
            <w:tcW w:w="887" w:type="dxa"/>
            <w:hideMark/>
          </w:tcPr>
          <w:p w14:paraId="612A3C38" w14:textId="30178318" w:rsidR="00CF72D5" w:rsidRPr="002029AF" w:rsidRDefault="00CF72D5" w:rsidP="00C51680">
            <w:pPr>
              <w:pStyle w:val="ARtabletextright"/>
              <w:spacing w:before="40" w:after="20"/>
            </w:pPr>
            <w:r w:rsidRPr="002029AF">
              <w:t>1</w:t>
            </w:r>
          </w:p>
        </w:tc>
        <w:tc>
          <w:tcPr>
            <w:tcW w:w="1022" w:type="dxa"/>
            <w:hideMark/>
          </w:tcPr>
          <w:p w14:paraId="2C552C20" w14:textId="110D0584" w:rsidR="00CF72D5" w:rsidRPr="002029AF" w:rsidRDefault="00CF72D5" w:rsidP="00C51680">
            <w:pPr>
              <w:pStyle w:val="ARtabletextright"/>
              <w:spacing w:before="40" w:after="20"/>
            </w:pPr>
            <w:r w:rsidRPr="002029AF">
              <w:t>0</w:t>
            </w:r>
          </w:p>
        </w:tc>
        <w:tc>
          <w:tcPr>
            <w:tcW w:w="902" w:type="dxa"/>
            <w:hideMark/>
          </w:tcPr>
          <w:p w14:paraId="5A8AA429" w14:textId="3B994B9B" w:rsidR="00CF72D5" w:rsidRPr="002029AF" w:rsidRDefault="00CF72D5" w:rsidP="00C51680">
            <w:pPr>
              <w:pStyle w:val="ARtabletextrightbold"/>
              <w:spacing w:before="40" w:after="20"/>
            </w:pPr>
            <w:r w:rsidRPr="002029AF">
              <w:t>1</w:t>
            </w:r>
          </w:p>
        </w:tc>
        <w:tc>
          <w:tcPr>
            <w:tcW w:w="872" w:type="dxa"/>
            <w:hideMark/>
          </w:tcPr>
          <w:p w14:paraId="13C89F40" w14:textId="02F64B0F" w:rsidR="00CF72D5" w:rsidRPr="002029AF" w:rsidRDefault="00CF72D5" w:rsidP="00C51680">
            <w:pPr>
              <w:pStyle w:val="ARtabletextright"/>
              <w:spacing w:before="40" w:after="20"/>
            </w:pPr>
            <w:r w:rsidRPr="002029AF">
              <w:t>0</w:t>
            </w:r>
          </w:p>
        </w:tc>
        <w:tc>
          <w:tcPr>
            <w:tcW w:w="887" w:type="dxa"/>
            <w:hideMark/>
          </w:tcPr>
          <w:p w14:paraId="12921260" w14:textId="3DAA3872" w:rsidR="00CF72D5" w:rsidRPr="002029AF" w:rsidRDefault="00CF72D5" w:rsidP="00C51680">
            <w:pPr>
              <w:pStyle w:val="ARtabletextright"/>
              <w:spacing w:before="40" w:after="20"/>
            </w:pPr>
            <w:r w:rsidRPr="002029AF">
              <w:t>0</w:t>
            </w:r>
          </w:p>
        </w:tc>
        <w:tc>
          <w:tcPr>
            <w:tcW w:w="1022" w:type="dxa"/>
            <w:hideMark/>
          </w:tcPr>
          <w:p w14:paraId="08D7A23A" w14:textId="46443785" w:rsidR="00CF72D5" w:rsidRPr="002029AF" w:rsidRDefault="00CF72D5" w:rsidP="00C51680">
            <w:pPr>
              <w:pStyle w:val="ARtabletextright"/>
              <w:spacing w:before="40" w:after="20"/>
            </w:pPr>
            <w:r w:rsidRPr="002029AF">
              <w:t>0</w:t>
            </w:r>
          </w:p>
        </w:tc>
        <w:tc>
          <w:tcPr>
            <w:tcW w:w="887" w:type="dxa"/>
            <w:hideMark/>
          </w:tcPr>
          <w:p w14:paraId="53774B22" w14:textId="4212CC72" w:rsidR="00CF72D5" w:rsidRPr="002029AF" w:rsidRDefault="00CF72D5" w:rsidP="00C51680">
            <w:pPr>
              <w:pStyle w:val="ARtabletextrightbold"/>
              <w:spacing w:before="40" w:after="20"/>
            </w:pPr>
            <w:r w:rsidRPr="002029AF">
              <w:t>0</w:t>
            </w:r>
          </w:p>
        </w:tc>
      </w:tr>
      <w:tr w:rsidR="00CF72D5" w:rsidRPr="002029AF" w14:paraId="4383B1DE" w14:textId="77777777" w:rsidTr="00D40FE6">
        <w:tc>
          <w:tcPr>
            <w:tcW w:w="2944" w:type="dxa"/>
            <w:hideMark/>
          </w:tcPr>
          <w:p w14:paraId="2C4B826E" w14:textId="5804255F" w:rsidR="00CF72D5" w:rsidRPr="002029AF" w:rsidRDefault="00CF72D5" w:rsidP="00C51680">
            <w:pPr>
              <w:pStyle w:val="ARtabletext"/>
              <w:spacing w:before="40" w:after="20"/>
            </w:pPr>
            <w:r w:rsidRPr="002029AF">
              <w:t>Geelong</w:t>
            </w:r>
            <w:r w:rsidR="000A5329" w:rsidRPr="002029AF">
              <w:t xml:space="preserve"> </w:t>
            </w:r>
            <w:r w:rsidRPr="002029AF">
              <w:t>Cemeteries</w:t>
            </w:r>
            <w:r w:rsidR="000A5329" w:rsidRPr="002029AF">
              <w:t xml:space="preserve"> </w:t>
            </w:r>
            <w:r w:rsidRPr="002029AF">
              <w:t>Trust</w:t>
            </w:r>
          </w:p>
        </w:tc>
        <w:tc>
          <w:tcPr>
            <w:tcW w:w="871" w:type="dxa"/>
            <w:hideMark/>
          </w:tcPr>
          <w:p w14:paraId="67D77666" w14:textId="663A172A" w:rsidR="00CF72D5" w:rsidRPr="002029AF" w:rsidRDefault="00CF72D5" w:rsidP="00C51680">
            <w:pPr>
              <w:pStyle w:val="ARtabletextright"/>
              <w:spacing w:before="40" w:after="20"/>
            </w:pPr>
            <w:r w:rsidRPr="002029AF">
              <w:t>0</w:t>
            </w:r>
          </w:p>
        </w:tc>
        <w:tc>
          <w:tcPr>
            <w:tcW w:w="886" w:type="dxa"/>
            <w:hideMark/>
          </w:tcPr>
          <w:p w14:paraId="4FE608FC" w14:textId="5D9799B9" w:rsidR="00CF72D5" w:rsidRPr="002029AF" w:rsidRDefault="00CF72D5" w:rsidP="00C51680">
            <w:pPr>
              <w:pStyle w:val="ARtabletextright"/>
              <w:spacing w:before="40" w:after="20"/>
            </w:pPr>
            <w:r w:rsidRPr="002029AF">
              <w:t>1</w:t>
            </w:r>
          </w:p>
        </w:tc>
        <w:tc>
          <w:tcPr>
            <w:tcW w:w="1021" w:type="dxa"/>
            <w:hideMark/>
          </w:tcPr>
          <w:p w14:paraId="46F394E5" w14:textId="1BF12487" w:rsidR="00CF72D5" w:rsidRPr="002029AF" w:rsidRDefault="00CF72D5" w:rsidP="00C51680">
            <w:pPr>
              <w:pStyle w:val="ARtabletextright"/>
              <w:spacing w:before="40" w:after="20"/>
            </w:pPr>
            <w:r w:rsidRPr="002029AF">
              <w:t>0</w:t>
            </w:r>
          </w:p>
        </w:tc>
        <w:tc>
          <w:tcPr>
            <w:tcW w:w="917" w:type="dxa"/>
            <w:hideMark/>
          </w:tcPr>
          <w:p w14:paraId="09A3FDDF" w14:textId="0D130C1D" w:rsidR="00CF72D5" w:rsidRPr="002029AF" w:rsidRDefault="00CF72D5" w:rsidP="00C51680">
            <w:pPr>
              <w:pStyle w:val="ARtabletextrightbold"/>
              <w:spacing w:before="40" w:after="20"/>
            </w:pPr>
            <w:r w:rsidRPr="002029AF">
              <w:t>1</w:t>
            </w:r>
          </w:p>
        </w:tc>
        <w:tc>
          <w:tcPr>
            <w:tcW w:w="887" w:type="dxa"/>
            <w:hideMark/>
          </w:tcPr>
          <w:p w14:paraId="734EFDF8" w14:textId="2EC46970" w:rsidR="00CF72D5" w:rsidRPr="002029AF" w:rsidRDefault="00CF72D5" w:rsidP="00C51680">
            <w:pPr>
              <w:pStyle w:val="ARtabletextright"/>
              <w:spacing w:before="40" w:after="20"/>
            </w:pPr>
            <w:r w:rsidRPr="002029AF">
              <w:t>0</w:t>
            </w:r>
          </w:p>
        </w:tc>
        <w:tc>
          <w:tcPr>
            <w:tcW w:w="887" w:type="dxa"/>
            <w:hideMark/>
          </w:tcPr>
          <w:p w14:paraId="38720882" w14:textId="400DAA4E" w:rsidR="00CF72D5" w:rsidRPr="002029AF" w:rsidRDefault="00CF72D5" w:rsidP="00C51680">
            <w:pPr>
              <w:pStyle w:val="ARtabletextright"/>
              <w:spacing w:before="40" w:after="20"/>
            </w:pPr>
            <w:r w:rsidRPr="002029AF">
              <w:t>1</w:t>
            </w:r>
          </w:p>
        </w:tc>
        <w:tc>
          <w:tcPr>
            <w:tcW w:w="1022" w:type="dxa"/>
            <w:hideMark/>
          </w:tcPr>
          <w:p w14:paraId="09BD2EFC" w14:textId="674B4A26" w:rsidR="00CF72D5" w:rsidRPr="002029AF" w:rsidRDefault="00CF72D5" w:rsidP="00C51680">
            <w:pPr>
              <w:pStyle w:val="ARtabletextright"/>
              <w:spacing w:before="40" w:after="20"/>
            </w:pPr>
            <w:r w:rsidRPr="002029AF">
              <w:t>0</w:t>
            </w:r>
          </w:p>
        </w:tc>
        <w:tc>
          <w:tcPr>
            <w:tcW w:w="902" w:type="dxa"/>
            <w:hideMark/>
          </w:tcPr>
          <w:p w14:paraId="39C01F29" w14:textId="4E688F83" w:rsidR="00CF72D5" w:rsidRPr="002029AF" w:rsidRDefault="00CF72D5" w:rsidP="00C51680">
            <w:pPr>
              <w:pStyle w:val="ARtabletextrightbold"/>
              <w:spacing w:before="40" w:after="20"/>
            </w:pPr>
            <w:r w:rsidRPr="002029AF">
              <w:t>1</w:t>
            </w:r>
          </w:p>
        </w:tc>
        <w:tc>
          <w:tcPr>
            <w:tcW w:w="872" w:type="dxa"/>
            <w:hideMark/>
          </w:tcPr>
          <w:p w14:paraId="1A7848C8" w14:textId="1C566A29" w:rsidR="00CF72D5" w:rsidRPr="002029AF" w:rsidRDefault="00CF72D5" w:rsidP="00C51680">
            <w:pPr>
              <w:pStyle w:val="ARtabletextright"/>
              <w:spacing w:before="40" w:after="20"/>
            </w:pPr>
            <w:r w:rsidRPr="002029AF">
              <w:t>0</w:t>
            </w:r>
          </w:p>
        </w:tc>
        <w:tc>
          <w:tcPr>
            <w:tcW w:w="887" w:type="dxa"/>
            <w:hideMark/>
          </w:tcPr>
          <w:p w14:paraId="138CCED1" w14:textId="3A336B01" w:rsidR="00CF72D5" w:rsidRPr="002029AF" w:rsidRDefault="00CF72D5" w:rsidP="00C51680">
            <w:pPr>
              <w:pStyle w:val="ARtabletextright"/>
              <w:spacing w:before="40" w:after="20"/>
            </w:pPr>
            <w:r w:rsidRPr="002029AF">
              <w:t>0</w:t>
            </w:r>
          </w:p>
        </w:tc>
        <w:tc>
          <w:tcPr>
            <w:tcW w:w="1022" w:type="dxa"/>
            <w:hideMark/>
          </w:tcPr>
          <w:p w14:paraId="1BE6D735" w14:textId="619CE379" w:rsidR="00CF72D5" w:rsidRPr="002029AF" w:rsidRDefault="00CF72D5" w:rsidP="00C51680">
            <w:pPr>
              <w:pStyle w:val="ARtabletextright"/>
              <w:spacing w:before="40" w:after="20"/>
            </w:pPr>
            <w:r w:rsidRPr="002029AF">
              <w:t>0</w:t>
            </w:r>
          </w:p>
        </w:tc>
        <w:tc>
          <w:tcPr>
            <w:tcW w:w="887" w:type="dxa"/>
            <w:hideMark/>
          </w:tcPr>
          <w:p w14:paraId="01DAD756" w14:textId="5ACF7831" w:rsidR="00CF72D5" w:rsidRPr="002029AF" w:rsidRDefault="00CF72D5" w:rsidP="00C51680">
            <w:pPr>
              <w:pStyle w:val="ARtabletextrightbold"/>
              <w:spacing w:before="40" w:after="20"/>
            </w:pPr>
            <w:r w:rsidRPr="002029AF">
              <w:t>0</w:t>
            </w:r>
          </w:p>
        </w:tc>
      </w:tr>
      <w:tr w:rsidR="00CF72D5" w:rsidRPr="002029AF" w14:paraId="02558F9A" w14:textId="77777777" w:rsidTr="00D40FE6">
        <w:tc>
          <w:tcPr>
            <w:tcW w:w="2944" w:type="dxa"/>
            <w:hideMark/>
          </w:tcPr>
          <w:p w14:paraId="2E4B7143" w14:textId="334240FE" w:rsidR="00CF72D5" w:rsidRPr="002029AF" w:rsidRDefault="00CF72D5" w:rsidP="00C51680">
            <w:pPr>
              <w:pStyle w:val="ARtabletext"/>
              <w:spacing w:before="40" w:after="20"/>
            </w:pPr>
            <w:r w:rsidRPr="002029AF">
              <w:t>Gippsland</w:t>
            </w:r>
            <w:r w:rsidR="000A5329" w:rsidRPr="002029AF">
              <w:t xml:space="preserve"> </w:t>
            </w:r>
            <w:r w:rsidRPr="002029AF">
              <w:t>Southern</w:t>
            </w:r>
            <w:r w:rsidR="000A5329" w:rsidRPr="002029AF">
              <w:t xml:space="preserve"> </w:t>
            </w:r>
            <w:r w:rsidRPr="002029AF">
              <w:t>Health</w:t>
            </w:r>
            <w:r w:rsidR="000A5329" w:rsidRPr="002029AF">
              <w:t xml:space="preserve"> </w:t>
            </w:r>
            <w:r w:rsidRPr="002029AF">
              <w:t>Service</w:t>
            </w:r>
          </w:p>
        </w:tc>
        <w:tc>
          <w:tcPr>
            <w:tcW w:w="871" w:type="dxa"/>
            <w:hideMark/>
          </w:tcPr>
          <w:p w14:paraId="1F44D921" w14:textId="6442C478" w:rsidR="00CF72D5" w:rsidRPr="002029AF" w:rsidRDefault="00CF72D5" w:rsidP="00C51680">
            <w:pPr>
              <w:pStyle w:val="ARtabletextright"/>
              <w:spacing w:before="40" w:after="20"/>
            </w:pPr>
            <w:r w:rsidRPr="002029AF">
              <w:t>0</w:t>
            </w:r>
          </w:p>
        </w:tc>
        <w:tc>
          <w:tcPr>
            <w:tcW w:w="886" w:type="dxa"/>
            <w:hideMark/>
          </w:tcPr>
          <w:p w14:paraId="2F4A8CE6" w14:textId="7078132C" w:rsidR="00CF72D5" w:rsidRPr="002029AF" w:rsidRDefault="00CF72D5" w:rsidP="00C51680">
            <w:pPr>
              <w:pStyle w:val="ARtabletextright"/>
              <w:spacing w:before="40" w:after="20"/>
            </w:pPr>
            <w:r w:rsidRPr="002029AF">
              <w:t>1</w:t>
            </w:r>
          </w:p>
        </w:tc>
        <w:tc>
          <w:tcPr>
            <w:tcW w:w="1021" w:type="dxa"/>
            <w:hideMark/>
          </w:tcPr>
          <w:p w14:paraId="5A0C1916" w14:textId="4984682F" w:rsidR="00CF72D5" w:rsidRPr="002029AF" w:rsidRDefault="00CF72D5" w:rsidP="00C51680">
            <w:pPr>
              <w:pStyle w:val="ARtabletextright"/>
              <w:spacing w:before="40" w:after="20"/>
            </w:pPr>
            <w:r w:rsidRPr="002029AF">
              <w:t>0</w:t>
            </w:r>
          </w:p>
        </w:tc>
        <w:tc>
          <w:tcPr>
            <w:tcW w:w="917" w:type="dxa"/>
            <w:hideMark/>
          </w:tcPr>
          <w:p w14:paraId="1D2B506A" w14:textId="779DADCF" w:rsidR="00CF72D5" w:rsidRPr="002029AF" w:rsidRDefault="00CF72D5" w:rsidP="00C51680">
            <w:pPr>
              <w:pStyle w:val="ARtabletextrightbold"/>
              <w:spacing w:before="40" w:after="20"/>
            </w:pPr>
            <w:r w:rsidRPr="002029AF">
              <w:t>1</w:t>
            </w:r>
          </w:p>
        </w:tc>
        <w:tc>
          <w:tcPr>
            <w:tcW w:w="887" w:type="dxa"/>
            <w:hideMark/>
          </w:tcPr>
          <w:p w14:paraId="21B8A9CF" w14:textId="7721DD20" w:rsidR="00CF72D5" w:rsidRPr="002029AF" w:rsidRDefault="00CF72D5" w:rsidP="00C51680">
            <w:pPr>
              <w:pStyle w:val="ARtabletextright"/>
              <w:spacing w:before="40" w:after="20"/>
            </w:pPr>
            <w:r w:rsidRPr="002029AF">
              <w:t>0</w:t>
            </w:r>
          </w:p>
        </w:tc>
        <w:tc>
          <w:tcPr>
            <w:tcW w:w="887" w:type="dxa"/>
            <w:hideMark/>
          </w:tcPr>
          <w:p w14:paraId="44571FA0" w14:textId="692D0970" w:rsidR="00CF72D5" w:rsidRPr="002029AF" w:rsidRDefault="00CF72D5" w:rsidP="00C51680">
            <w:pPr>
              <w:pStyle w:val="ARtabletextright"/>
              <w:spacing w:before="40" w:after="20"/>
            </w:pPr>
            <w:r w:rsidRPr="002029AF">
              <w:t>1</w:t>
            </w:r>
          </w:p>
        </w:tc>
        <w:tc>
          <w:tcPr>
            <w:tcW w:w="1022" w:type="dxa"/>
            <w:hideMark/>
          </w:tcPr>
          <w:p w14:paraId="5D650428" w14:textId="7FCFEE6B" w:rsidR="00CF72D5" w:rsidRPr="002029AF" w:rsidRDefault="00CF72D5" w:rsidP="00C51680">
            <w:pPr>
              <w:pStyle w:val="ARtabletextright"/>
              <w:spacing w:before="40" w:after="20"/>
            </w:pPr>
            <w:r w:rsidRPr="002029AF">
              <w:t>0</w:t>
            </w:r>
          </w:p>
        </w:tc>
        <w:tc>
          <w:tcPr>
            <w:tcW w:w="902" w:type="dxa"/>
            <w:hideMark/>
          </w:tcPr>
          <w:p w14:paraId="075D53DE" w14:textId="66FA6BD1" w:rsidR="00CF72D5" w:rsidRPr="002029AF" w:rsidRDefault="00CF72D5" w:rsidP="00C51680">
            <w:pPr>
              <w:pStyle w:val="ARtabletextrightbold"/>
              <w:spacing w:before="40" w:after="20"/>
            </w:pPr>
            <w:r w:rsidRPr="002029AF">
              <w:t>1</w:t>
            </w:r>
          </w:p>
        </w:tc>
        <w:tc>
          <w:tcPr>
            <w:tcW w:w="872" w:type="dxa"/>
            <w:hideMark/>
          </w:tcPr>
          <w:p w14:paraId="22671D41" w14:textId="30070EF6" w:rsidR="00CF72D5" w:rsidRPr="002029AF" w:rsidRDefault="00CF72D5" w:rsidP="00C51680">
            <w:pPr>
              <w:pStyle w:val="ARtabletextright"/>
              <w:spacing w:before="40" w:after="20"/>
            </w:pPr>
            <w:r w:rsidRPr="002029AF">
              <w:t>0</w:t>
            </w:r>
          </w:p>
        </w:tc>
        <w:tc>
          <w:tcPr>
            <w:tcW w:w="887" w:type="dxa"/>
            <w:hideMark/>
          </w:tcPr>
          <w:p w14:paraId="68DA0387" w14:textId="19D5CBA3" w:rsidR="00CF72D5" w:rsidRPr="002029AF" w:rsidRDefault="00CF72D5" w:rsidP="00C51680">
            <w:pPr>
              <w:pStyle w:val="ARtabletextright"/>
              <w:spacing w:before="40" w:after="20"/>
            </w:pPr>
            <w:r w:rsidRPr="002029AF">
              <w:t>0</w:t>
            </w:r>
          </w:p>
        </w:tc>
        <w:tc>
          <w:tcPr>
            <w:tcW w:w="1022" w:type="dxa"/>
            <w:hideMark/>
          </w:tcPr>
          <w:p w14:paraId="0EC645BC" w14:textId="39F1DEA4" w:rsidR="00CF72D5" w:rsidRPr="002029AF" w:rsidRDefault="00CF72D5" w:rsidP="00C51680">
            <w:pPr>
              <w:pStyle w:val="ARtabletextright"/>
              <w:spacing w:before="40" w:after="20"/>
            </w:pPr>
            <w:r w:rsidRPr="002029AF">
              <w:t>0</w:t>
            </w:r>
          </w:p>
        </w:tc>
        <w:tc>
          <w:tcPr>
            <w:tcW w:w="887" w:type="dxa"/>
            <w:hideMark/>
          </w:tcPr>
          <w:p w14:paraId="676E0227" w14:textId="0EF71CC9" w:rsidR="00CF72D5" w:rsidRPr="002029AF" w:rsidRDefault="00CF72D5" w:rsidP="00C51680">
            <w:pPr>
              <w:pStyle w:val="ARtabletextrightbold"/>
              <w:spacing w:before="40" w:after="20"/>
            </w:pPr>
            <w:r w:rsidRPr="002029AF">
              <w:t>0</w:t>
            </w:r>
          </w:p>
        </w:tc>
      </w:tr>
      <w:tr w:rsidR="00CF72D5" w:rsidRPr="002029AF" w14:paraId="0E1E9BB4" w14:textId="77777777" w:rsidTr="00D40FE6">
        <w:tc>
          <w:tcPr>
            <w:tcW w:w="2944" w:type="dxa"/>
            <w:hideMark/>
          </w:tcPr>
          <w:p w14:paraId="2772BCF8" w14:textId="32CFCC72" w:rsidR="00CF72D5" w:rsidRPr="002029AF" w:rsidRDefault="00CF72D5" w:rsidP="00C51680">
            <w:pPr>
              <w:pStyle w:val="ARtabletext"/>
              <w:spacing w:before="40" w:after="20"/>
            </w:pPr>
            <w:r w:rsidRPr="002029AF">
              <w:t>Goulburn</w:t>
            </w:r>
            <w:r w:rsidR="000A5329" w:rsidRPr="002029AF">
              <w:t xml:space="preserve"> </w:t>
            </w:r>
            <w:r w:rsidRPr="002029AF">
              <w:t>Valley</w:t>
            </w:r>
            <w:r w:rsidR="000A5329" w:rsidRPr="002029AF">
              <w:t xml:space="preserve"> </w:t>
            </w:r>
            <w:r w:rsidRPr="002029AF">
              <w:t>Health</w:t>
            </w:r>
            <w:r w:rsidR="000A5329" w:rsidRPr="002029AF">
              <w:t xml:space="preserve"> </w:t>
            </w:r>
            <w:r w:rsidRPr="002029AF">
              <w:t>Services</w:t>
            </w:r>
          </w:p>
        </w:tc>
        <w:tc>
          <w:tcPr>
            <w:tcW w:w="871" w:type="dxa"/>
            <w:hideMark/>
          </w:tcPr>
          <w:p w14:paraId="77C84E82" w14:textId="39181161" w:rsidR="00CF72D5" w:rsidRPr="002029AF" w:rsidRDefault="00CF72D5" w:rsidP="00C51680">
            <w:pPr>
              <w:pStyle w:val="ARtabletextright"/>
              <w:spacing w:before="40" w:after="20"/>
            </w:pPr>
            <w:r w:rsidRPr="002029AF">
              <w:t>3</w:t>
            </w:r>
          </w:p>
        </w:tc>
        <w:tc>
          <w:tcPr>
            <w:tcW w:w="886" w:type="dxa"/>
            <w:hideMark/>
          </w:tcPr>
          <w:p w14:paraId="5A78CEF4" w14:textId="6B5F7F37" w:rsidR="00CF72D5" w:rsidRPr="002029AF" w:rsidRDefault="00CF72D5" w:rsidP="00C51680">
            <w:pPr>
              <w:pStyle w:val="ARtabletextright"/>
              <w:spacing w:before="40" w:after="20"/>
            </w:pPr>
            <w:r w:rsidRPr="002029AF">
              <w:t>4</w:t>
            </w:r>
          </w:p>
        </w:tc>
        <w:tc>
          <w:tcPr>
            <w:tcW w:w="1021" w:type="dxa"/>
            <w:hideMark/>
          </w:tcPr>
          <w:p w14:paraId="67A85F0C" w14:textId="49A05E09" w:rsidR="00CF72D5" w:rsidRPr="002029AF" w:rsidRDefault="00CF72D5" w:rsidP="00C51680">
            <w:pPr>
              <w:pStyle w:val="ARtabletextright"/>
              <w:spacing w:before="40" w:after="20"/>
            </w:pPr>
            <w:r w:rsidRPr="002029AF">
              <w:t>0</w:t>
            </w:r>
          </w:p>
        </w:tc>
        <w:tc>
          <w:tcPr>
            <w:tcW w:w="917" w:type="dxa"/>
            <w:hideMark/>
          </w:tcPr>
          <w:p w14:paraId="41534B97" w14:textId="28445F41" w:rsidR="00CF72D5" w:rsidRPr="002029AF" w:rsidRDefault="00CF72D5" w:rsidP="00C51680">
            <w:pPr>
              <w:pStyle w:val="ARtabletextrightbold"/>
              <w:spacing w:before="40" w:after="20"/>
            </w:pPr>
            <w:r w:rsidRPr="002029AF">
              <w:t>7</w:t>
            </w:r>
          </w:p>
        </w:tc>
        <w:tc>
          <w:tcPr>
            <w:tcW w:w="887" w:type="dxa"/>
            <w:hideMark/>
          </w:tcPr>
          <w:p w14:paraId="3387BFD7" w14:textId="62070E3D" w:rsidR="00CF72D5" w:rsidRPr="002029AF" w:rsidRDefault="00CF72D5" w:rsidP="00C51680">
            <w:pPr>
              <w:pStyle w:val="ARtabletextright"/>
              <w:spacing w:before="40" w:after="20"/>
            </w:pPr>
            <w:r w:rsidRPr="002029AF">
              <w:t>2</w:t>
            </w:r>
          </w:p>
        </w:tc>
        <w:tc>
          <w:tcPr>
            <w:tcW w:w="887" w:type="dxa"/>
            <w:hideMark/>
          </w:tcPr>
          <w:p w14:paraId="79D768BA" w14:textId="43BA1AE5" w:rsidR="00CF72D5" w:rsidRPr="002029AF" w:rsidRDefault="00CF72D5" w:rsidP="00C51680">
            <w:pPr>
              <w:pStyle w:val="ARtabletextright"/>
              <w:spacing w:before="40" w:after="20"/>
            </w:pPr>
            <w:r w:rsidRPr="002029AF">
              <w:t>3</w:t>
            </w:r>
          </w:p>
        </w:tc>
        <w:tc>
          <w:tcPr>
            <w:tcW w:w="1022" w:type="dxa"/>
            <w:hideMark/>
          </w:tcPr>
          <w:p w14:paraId="57D9AEAA" w14:textId="55A689C6" w:rsidR="00CF72D5" w:rsidRPr="002029AF" w:rsidRDefault="00CF72D5" w:rsidP="00C51680">
            <w:pPr>
              <w:pStyle w:val="ARtabletextright"/>
              <w:spacing w:before="40" w:after="20"/>
            </w:pPr>
            <w:r w:rsidRPr="002029AF">
              <w:t>0</w:t>
            </w:r>
          </w:p>
        </w:tc>
        <w:tc>
          <w:tcPr>
            <w:tcW w:w="902" w:type="dxa"/>
            <w:hideMark/>
          </w:tcPr>
          <w:p w14:paraId="550E9CC7" w14:textId="71004ED0" w:rsidR="00CF72D5" w:rsidRPr="002029AF" w:rsidRDefault="00CF72D5" w:rsidP="00C51680">
            <w:pPr>
              <w:pStyle w:val="ARtabletextrightbold"/>
              <w:spacing w:before="40" w:after="20"/>
            </w:pPr>
            <w:r w:rsidRPr="002029AF">
              <w:t>5</w:t>
            </w:r>
          </w:p>
        </w:tc>
        <w:tc>
          <w:tcPr>
            <w:tcW w:w="872" w:type="dxa"/>
            <w:hideMark/>
          </w:tcPr>
          <w:p w14:paraId="2CA16326" w14:textId="33DC7241" w:rsidR="00CF72D5" w:rsidRPr="002029AF" w:rsidRDefault="00CF72D5" w:rsidP="00C51680">
            <w:pPr>
              <w:pStyle w:val="ARtabletextright"/>
              <w:spacing w:before="40" w:after="20"/>
            </w:pPr>
            <w:r w:rsidRPr="002029AF">
              <w:t>1</w:t>
            </w:r>
          </w:p>
        </w:tc>
        <w:tc>
          <w:tcPr>
            <w:tcW w:w="887" w:type="dxa"/>
            <w:hideMark/>
          </w:tcPr>
          <w:p w14:paraId="46656F03" w14:textId="2B1808A6" w:rsidR="00CF72D5" w:rsidRPr="002029AF" w:rsidRDefault="00CF72D5" w:rsidP="00C51680">
            <w:pPr>
              <w:pStyle w:val="ARtabletextright"/>
              <w:spacing w:before="40" w:after="20"/>
            </w:pPr>
            <w:r w:rsidRPr="002029AF">
              <w:t>1</w:t>
            </w:r>
          </w:p>
        </w:tc>
        <w:tc>
          <w:tcPr>
            <w:tcW w:w="1022" w:type="dxa"/>
            <w:hideMark/>
          </w:tcPr>
          <w:p w14:paraId="3C60A77F" w14:textId="54108465" w:rsidR="00CF72D5" w:rsidRPr="002029AF" w:rsidRDefault="00CF72D5" w:rsidP="00C51680">
            <w:pPr>
              <w:pStyle w:val="ARtabletextright"/>
              <w:spacing w:before="40" w:after="20"/>
            </w:pPr>
            <w:r w:rsidRPr="002029AF">
              <w:t>0</w:t>
            </w:r>
          </w:p>
        </w:tc>
        <w:tc>
          <w:tcPr>
            <w:tcW w:w="887" w:type="dxa"/>
            <w:hideMark/>
          </w:tcPr>
          <w:p w14:paraId="63069212" w14:textId="18B40A75" w:rsidR="00CF72D5" w:rsidRPr="002029AF" w:rsidRDefault="00CF72D5" w:rsidP="00C51680">
            <w:pPr>
              <w:pStyle w:val="ARtabletextrightbold"/>
              <w:spacing w:before="40" w:after="20"/>
            </w:pPr>
            <w:r w:rsidRPr="002029AF">
              <w:t>2</w:t>
            </w:r>
          </w:p>
        </w:tc>
      </w:tr>
      <w:tr w:rsidR="00CF72D5" w:rsidRPr="002029AF" w14:paraId="0288217A" w14:textId="77777777" w:rsidTr="00D40FE6">
        <w:tc>
          <w:tcPr>
            <w:tcW w:w="2944" w:type="dxa"/>
            <w:hideMark/>
          </w:tcPr>
          <w:p w14:paraId="4747EFBA" w14:textId="3EC69A26" w:rsidR="00CF72D5" w:rsidRPr="002029AF" w:rsidRDefault="00CF72D5" w:rsidP="00C51680">
            <w:pPr>
              <w:pStyle w:val="ARtabletext"/>
              <w:spacing w:before="40" w:after="20"/>
            </w:pPr>
            <w:r w:rsidRPr="002029AF">
              <w:t>Great</w:t>
            </w:r>
            <w:r w:rsidR="000A5329" w:rsidRPr="002029AF">
              <w:t xml:space="preserve"> </w:t>
            </w:r>
            <w:r w:rsidRPr="002029AF">
              <w:t>Ocean</w:t>
            </w:r>
            <w:r w:rsidR="000A5329" w:rsidRPr="002029AF">
              <w:t xml:space="preserve"> </w:t>
            </w:r>
            <w:r w:rsidRPr="002029AF">
              <w:t>Road</w:t>
            </w:r>
            <w:r w:rsidR="000A5329" w:rsidRPr="002029AF">
              <w:t xml:space="preserve"> </w:t>
            </w:r>
            <w:r w:rsidRPr="002029AF">
              <w:t>Health</w:t>
            </w:r>
          </w:p>
        </w:tc>
        <w:tc>
          <w:tcPr>
            <w:tcW w:w="871" w:type="dxa"/>
            <w:hideMark/>
          </w:tcPr>
          <w:p w14:paraId="2DC49A46" w14:textId="4E01F655" w:rsidR="00CF72D5" w:rsidRPr="002029AF" w:rsidRDefault="00CF72D5" w:rsidP="00C51680">
            <w:pPr>
              <w:pStyle w:val="ARtabletextright"/>
              <w:spacing w:before="40" w:after="20"/>
            </w:pPr>
            <w:r w:rsidRPr="002029AF">
              <w:t>0</w:t>
            </w:r>
          </w:p>
        </w:tc>
        <w:tc>
          <w:tcPr>
            <w:tcW w:w="886" w:type="dxa"/>
            <w:hideMark/>
          </w:tcPr>
          <w:p w14:paraId="6A5F31E4" w14:textId="3C53EDD3" w:rsidR="00CF72D5" w:rsidRPr="002029AF" w:rsidRDefault="00CF72D5" w:rsidP="00C51680">
            <w:pPr>
              <w:pStyle w:val="ARtabletextright"/>
              <w:spacing w:before="40" w:after="20"/>
            </w:pPr>
            <w:r w:rsidRPr="002029AF">
              <w:t>0</w:t>
            </w:r>
          </w:p>
        </w:tc>
        <w:tc>
          <w:tcPr>
            <w:tcW w:w="1021" w:type="dxa"/>
            <w:hideMark/>
          </w:tcPr>
          <w:p w14:paraId="6109D616" w14:textId="7AD79469" w:rsidR="00CF72D5" w:rsidRPr="002029AF" w:rsidRDefault="00CF72D5" w:rsidP="00C51680">
            <w:pPr>
              <w:pStyle w:val="ARtabletextright"/>
              <w:spacing w:before="40" w:after="20"/>
            </w:pPr>
            <w:r w:rsidRPr="002029AF">
              <w:t>0</w:t>
            </w:r>
          </w:p>
        </w:tc>
        <w:tc>
          <w:tcPr>
            <w:tcW w:w="917" w:type="dxa"/>
            <w:hideMark/>
          </w:tcPr>
          <w:p w14:paraId="5166F729" w14:textId="3B657B67" w:rsidR="00CF72D5" w:rsidRPr="002029AF" w:rsidRDefault="00CF72D5" w:rsidP="00C51680">
            <w:pPr>
              <w:pStyle w:val="ARtabletextrightbold"/>
              <w:spacing w:before="40" w:after="20"/>
            </w:pPr>
            <w:r w:rsidRPr="002029AF">
              <w:t>0</w:t>
            </w:r>
          </w:p>
        </w:tc>
        <w:tc>
          <w:tcPr>
            <w:tcW w:w="887" w:type="dxa"/>
            <w:hideMark/>
          </w:tcPr>
          <w:p w14:paraId="7624D2AF" w14:textId="3F3BF09D" w:rsidR="00CF72D5" w:rsidRPr="002029AF" w:rsidRDefault="00CF72D5" w:rsidP="00C51680">
            <w:pPr>
              <w:pStyle w:val="ARtabletextright"/>
              <w:spacing w:before="40" w:after="20"/>
            </w:pPr>
            <w:r w:rsidRPr="002029AF">
              <w:t>0</w:t>
            </w:r>
          </w:p>
        </w:tc>
        <w:tc>
          <w:tcPr>
            <w:tcW w:w="887" w:type="dxa"/>
            <w:hideMark/>
          </w:tcPr>
          <w:p w14:paraId="7DB367E6" w14:textId="798A9AD6" w:rsidR="00CF72D5" w:rsidRPr="002029AF" w:rsidRDefault="00CF72D5" w:rsidP="00C51680">
            <w:pPr>
              <w:pStyle w:val="ARtabletextright"/>
              <w:spacing w:before="40" w:after="20"/>
            </w:pPr>
            <w:r w:rsidRPr="002029AF">
              <w:t>0</w:t>
            </w:r>
          </w:p>
        </w:tc>
        <w:tc>
          <w:tcPr>
            <w:tcW w:w="1022" w:type="dxa"/>
            <w:hideMark/>
          </w:tcPr>
          <w:p w14:paraId="66A5EB26" w14:textId="556301D8" w:rsidR="00CF72D5" w:rsidRPr="002029AF" w:rsidRDefault="00CF72D5" w:rsidP="00C51680">
            <w:pPr>
              <w:pStyle w:val="ARtabletextright"/>
              <w:spacing w:before="40" w:after="20"/>
            </w:pPr>
            <w:r w:rsidRPr="002029AF">
              <w:t>0</w:t>
            </w:r>
          </w:p>
        </w:tc>
        <w:tc>
          <w:tcPr>
            <w:tcW w:w="902" w:type="dxa"/>
            <w:hideMark/>
          </w:tcPr>
          <w:p w14:paraId="063AEFBE" w14:textId="524AB048" w:rsidR="00CF72D5" w:rsidRPr="002029AF" w:rsidRDefault="00CF72D5" w:rsidP="00C51680">
            <w:pPr>
              <w:pStyle w:val="ARtabletextrightbold"/>
              <w:spacing w:before="40" w:after="20"/>
            </w:pPr>
            <w:r w:rsidRPr="002029AF">
              <w:t>0</w:t>
            </w:r>
          </w:p>
        </w:tc>
        <w:tc>
          <w:tcPr>
            <w:tcW w:w="872" w:type="dxa"/>
            <w:hideMark/>
          </w:tcPr>
          <w:p w14:paraId="1E0C04D2" w14:textId="16599AD1" w:rsidR="00CF72D5" w:rsidRPr="002029AF" w:rsidRDefault="00CF72D5" w:rsidP="00C51680">
            <w:pPr>
              <w:pStyle w:val="ARtabletextright"/>
              <w:spacing w:before="40" w:after="20"/>
            </w:pPr>
            <w:r w:rsidRPr="002029AF">
              <w:t>0</w:t>
            </w:r>
          </w:p>
        </w:tc>
        <w:tc>
          <w:tcPr>
            <w:tcW w:w="887" w:type="dxa"/>
            <w:hideMark/>
          </w:tcPr>
          <w:p w14:paraId="4E21B9FD" w14:textId="0695038B" w:rsidR="00CF72D5" w:rsidRPr="002029AF" w:rsidRDefault="00CF72D5" w:rsidP="00C51680">
            <w:pPr>
              <w:pStyle w:val="ARtabletextright"/>
              <w:spacing w:before="40" w:after="20"/>
            </w:pPr>
            <w:r w:rsidRPr="002029AF">
              <w:t>0</w:t>
            </w:r>
          </w:p>
        </w:tc>
        <w:tc>
          <w:tcPr>
            <w:tcW w:w="1022" w:type="dxa"/>
            <w:hideMark/>
          </w:tcPr>
          <w:p w14:paraId="7EE9069B" w14:textId="1DB5A724" w:rsidR="00CF72D5" w:rsidRPr="002029AF" w:rsidRDefault="00CF72D5" w:rsidP="00C51680">
            <w:pPr>
              <w:pStyle w:val="ARtabletextright"/>
              <w:spacing w:before="40" w:after="20"/>
            </w:pPr>
            <w:r w:rsidRPr="002029AF">
              <w:t>0</w:t>
            </w:r>
          </w:p>
        </w:tc>
        <w:tc>
          <w:tcPr>
            <w:tcW w:w="887" w:type="dxa"/>
            <w:hideMark/>
          </w:tcPr>
          <w:p w14:paraId="4CAF777F" w14:textId="5CD9DA08" w:rsidR="00CF72D5" w:rsidRPr="002029AF" w:rsidRDefault="00CF72D5" w:rsidP="00C51680">
            <w:pPr>
              <w:pStyle w:val="ARtabletextrightbold"/>
              <w:spacing w:before="40" w:after="20"/>
            </w:pPr>
            <w:r w:rsidRPr="002029AF">
              <w:t>0</w:t>
            </w:r>
          </w:p>
        </w:tc>
      </w:tr>
      <w:tr w:rsidR="00CF72D5" w:rsidRPr="002029AF" w14:paraId="2C57CFCF" w14:textId="77777777" w:rsidTr="00D40FE6">
        <w:tc>
          <w:tcPr>
            <w:tcW w:w="2944" w:type="dxa"/>
            <w:hideMark/>
          </w:tcPr>
          <w:p w14:paraId="3B78ECBC" w14:textId="79DC1EF0" w:rsidR="00CF72D5" w:rsidRPr="002029AF" w:rsidRDefault="00CF72D5" w:rsidP="00C51680">
            <w:pPr>
              <w:pStyle w:val="ARtabletext"/>
              <w:spacing w:before="40" w:after="20"/>
            </w:pPr>
            <w:r w:rsidRPr="002029AF">
              <w:t>Greater</w:t>
            </w:r>
            <w:r w:rsidR="000A5329" w:rsidRPr="002029AF">
              <w:t xml:space="preserve"> </w:t>
            </w:r>
            <w:r w:rsidRPr="002029AF">
              <w:t>Metropolitan</w:t>
            </w:r>
            <w:r w:rsidR="000A5329" w:rsidRPr="002029AF">
              <w:t xml:space="preserve"> </w:t>
            </w:r>
            <w:r w:rsidRPr="002029AF">
              <w:t>Cemeteries</w:t>
            </w:r>
            <w:r w:rsidR="000A5329" w:rsidRPr="002029AF">
              <w:t xml:space="preserve"> </w:t>
            </w:r>
            <w:r w:rsidRPr="002029AF">
              <w:t>Trust</w:t>
            </w:r>
          </w:p>
        </w:tc>
        <w:tc>
          <w:tcPr>
            <w:tcW w:w="871" w:type="dxa"/>
            <w:hideMark/>
          </w:tcPr>
          <w:p w14:paraId="291EB09B" w14:textId="2C8E4976" w:rsidR="00CF72D5" w:rsidRPr="002029AF" w:rsidRDefault="00CF72D5" w:rsidP="00C51680">
            <w:pPr>
              <w:pStyle w:val="ARtabletextright"/>
              <w:spacing w:before="40" w:after="20"/>
            </w:pPr>
            <w:r w:rsidRPr="002029AF">
              <w:t>2</w:t>
            </w:r>
          </w:p>
        </w:tc>
        <w:tc>
          <w:tcPr>
            <w:tcW w:w="886" w:type="dxa"/>
            <w:hideMark/>
          </w:tcPr>
          <w:p w14:paraId="1969FFA8" w14:textId="69A50490" w:rsidR="00CF72D5" w:rsidRPr="002029AF" w:rsidRDefault="00CF72D5" w:rsidP="00C51680">
            <w:pPr>
              <w:pStyle w:val="ARtabletextright"/>
              <w:spacing w:before="40" w:after="20"/>
            </w:pPr>
            <w:r w:rsidRPr="002029AF">
              <w:t>2</w:t>
            </w:r>
          </w:p>
        </w:tc>
        <w:tc>
          <w:tcPr>
            <w:tcW w:w="1021" w:type="dxa"/>
            <w:hideMark/>
          </w:tcPr>
          <w:p w14:paraId="12817F3D" w14:textId="7AACFA33" w:rsidR="00CF72D5" w:rsidRPr="002029AF" w:rsidRDefault="00CF72D5" w:rsidP="00C51680">
            <w:pPr>
              <w:pStyle w:val="ARtabletextright"/>
              <w:spacing w:before="40" w:after="20"/>
            </w:pPr>
            <w:r w:rsidRPr="002029AF">
              <w:t>0</w:t>
            </w:r>
          </w:p>
        </w:tc>
        <w:tc>
          <w:tcPr>
            <w:tcW w:w="917" w:type="dxa"/>
            <w:hideMark/>
          </w:tcPr>
          <w:p w14:paraId="0CFB0B46" w14:textId="59077A53" w:rsidR="00CF72D5" w:rsidRPr="002029AF" w:rsidRDefault="00CF72D5" w:rsidP="00C51680">
            <w:pPr>
              <w:pStyle w:val="ARtabletextrightbold"/>
              <w:spacing w:before="40" w:after="20"/>
            </w:pPr>
            <w:r w:rsidRPr="002029AF">
              <w:t>4</w:t>
            </w:r>
          </w:p>
        </w:tc>
        <w:tc>
          <w:tcPr>
            <w:tcW w:w="887" w:type="dxa"/>
            <w:hideMark/>
          </w:tcPr>
          <w:p w14:paraId="15EC342E" w14:textId="0EECAF7A" w:rsidR="00CF72D5" w:rsidRPr="002029AF" w:rsidRDefault="00CF72D5" w:rsidP="00C51680">
            <w:pPr>
              <w:pStyle w:val="ARtabletextright"/>
              <w:spacing w:before="40" w:after="20"/>
            </w:pPr>
            <w:r w:rsidRPr="002029AF">
              <w:t>3</w:t>
            </w:r>
          </w:p>
        </w:tc>
        <w:tc>
          <w:tcPr>
            <w:tcW w:w="887" w:type="dxa"/>
            <w:hideMark/>
          </w:tcPr>
          <w:p w14:paraId="219A8195" w14:textId="29148F53" w:rsidR="00CF72D5" w:rsidRPr="002029AF" w:rsidRDefault="00CF72D5" w:rsidP="00C51680">
            <w:pPr>
              <w:pStyle w:val="ARtabletextright"/>
              <w:spacing w:before="40" w:after="20"/>
            </w:pPr>
            <w:r w:rsidRPr="002029AF">
              <w:t>3</w:t>
            </w:r>
          </w:p>
        </w:tc>
        <w:tc>
          <w:tcPr>
            <w:tcW w:w="1022" w:type="dxa"/>
            <w:hideMark/>
          </w:tcPr>
          <w:p w14:paraId="3F6A05CC" w14:textId="14CB18E1" w:rsidR="00CF72D5" w:rsidRPr="002029AF" w:rsidRDefault="00CF72D5" w:rsidP="00C51680">
            <w:pPr>
              <w:pStyle w:val="ARtabletextright"/>
              <w:spacing w:before="40" w:after="20"/>
            </w:pPr>
            <w:r w:rsidRPr="002029AF">
              <w:t>0</w:t>
            </w:r>
          </w:p>
        </w:tc>
        <w:tc>
          <w:tcPr>
            <w:tcW w:w="902" w:type="dxa"/>
            <w:hideMark/>
          </w:tcPr>
          <w:p w14:paraId="616D46B0" w14:textId="4E862C48" w:rsidR="00CF72D5" w:rsidRPr="002029AF" w:rsidRDefault="00CF72D5" w:rsidP="00C51680">
            <w:pPr>
              <w:pStyle w:val="ARtabletextrightbold"/>
              <w:spacing w:before="40" w:after="20"/>
            </w:pPr>
            <w:r w:rsidRPr="002029AF">
              <w:t>6</w:t>
            </w:r>
          </w:p>
        </w:tc>
        <w:tc>
          <w:tcPr>
            <w:tcW w:w="872" w:type="dxa"/>
            <w:hideMark/>
          </w:tcPr>
          <w:p w14:paraId="383DB723" w14:textId="0C5D9702" w:rsidR="00CF72D5" w:rsidRPr="002029AF" w:rsidRDefault="00CF72D5" w:rsidP="00C51680">
            <w:pPr>
              <w:pStyle w:val="ARtabletextright"/>
              <w:spacing w:before="40" w:after="20"/>
            </w:pPr>
            <w:r w:rsidRPr="002029AF">
              <w:t>-1</w:t>
            </w:r>
          </w:p>
        </w:tc>
        <w:tc>
          <w:tcPr>
            <w:tcW w:w="887" w:type="dxa"/>
            <w:hideMark/>
          </w:tcPr>
          <w:p w14:paraId="32A79474" w14:textId="7D76DAD3" w:rsidR="00CF72D5" w:rsidRPr="002029AF" w:rsidRDefault="00CF72D5" w:rsidP="00C51680">
            <w:pPr>
              <w:pStyle w:val="ARtabletextright"/>
              <w:spacing w:before="40" w:after="20"/>
            </w:pPr>
            <w:r w:rsidRPr="002029AF">
              <w:t>-1</w:t>
            </w:r>
          </w:p>
        </w:tc>
        <w:tc>
          <w:tcPr>
            <w:tcW w:w="1022" w:type="dxa"/>
            <w:hideMark/>
          </w:tcPr>
          <w:p w14:paraId="61F6FEB4" w14:textId="53B5CC35" w:rsidR="00CF72D5" w:rsidRPr="002029AF" w:rsidRDefault="00CF72D5" w:rsidP="00C51680">
            <w:pPr>
              <w:pStyle w:val="ARtabletextright"/>
              <w:spacing w:before="40" w:after="20"/>
            </w:pPr>
            <w:r w:rsidRPr="002029AF">
              <w:t>0</w:t>
            </w:r>
          </w:p>
        </w:tc>
        <w:tc>
          <w:tcPr>
            <w:tcW w:w="887" w:type="dxa"/>
            <w:hideMark/>
          </w:tcPr>
          <w:p w14:paraId="5B96340D" w14:textId="0067FB54" w:rsidR="00CF72D5" w:rsidRPr="002029AF" w:rsidRDefault="00CF72D5" w:rsidP="00C51680">
            <w:pPr>
              <w:pStyle w:val="ARtabletextrightbold"/>
              <w:spacing w:before="40" w:after="20"/>
            </w:pPr>
            <w:r w:rsidRPr="002029AF">
              <w:t>-2</w:t>
            </w:r>
          </w:p>
        </w:tc>
      </w:tr>
      <w:tr w:rsidR="00CF72D5" w:rsidRPr="002029AF" w14:paraId="3F5509D5" w14:textId="77777777" w:rsidTr="00D40FE6">
        <w:tc>
          <w:tcPr>
            <w:tcW w:w="2944" w:type="dxa"/>
            <w:hideMark/>
          </w:tcPr>
          <w:p w14:paraId="3FCC000E" w14:textId="5366D60C" w:rsidR="00CF72D5" w:rsidRPr="002029AF" w:rsidRDefault="00CF72D5" w:rsidP="00C51680">
            <w:pPr>
              <w:pStyle w:val="ARtabletext"/>
              <w:spacing w:before="40" w:after="20"/>
            </w:pPr>
            <w:r w:rsidRPr="002029AF">
              <w:t>Health</w:t>
            </w:r>
            <w:r w:rsidR="000A5329" w:rsidRPr="002029AF">
              <w:t xml:space="preserve"> </w:t>
            </w:r>
            <w:r w:rsidRPr="002029AF">
              <w:t>Purchasing</w:t>
            </w:r>
            <w:r w:rsidR="000A5329" w:rsidRPr="002029AF">
              <w:t xml:space="preserve"> </w:t>
            </w:r>
            <w:r w:rsidRPr="002029AF">
              <w:t>Victoria</w:t>
            </w:r>
          </w:p>
        </w:tc>
        <w:tc>
          <w:tcPr>
            <w:tcW w:w="871" w:type="dxa"/>
            <w:hideMark/>
          </w:tcPr>
          <w:p w14:paraId="102AFA59" w14:textId="30217279" w:rsidR="00CF72D5" w:rsidRPr="002029AF" w:rsidRDefault="00CF72D5" w:rsidP="00C51680">
            <w:pPr>
              <w:pStyle w:val="ARtabletextright"/>
              <w:spacing w:before="40" w:after="20"/>
            </w:pPr>
            <w:r w:rsidRPr="002029AF">
              <w:t>2</w:t>
            </w:r>
          </w:p>
        </w:tc>
        <w:tc>
          <w:tcPr>
            <w:tcW w:w="886" w:type="dxa"/>
            <w:hideMark/>
          </w:tcPr>
          <w:p w14:paraId="5BD2D2F7" w14:textId="0E316534" w:rsidR="00CF72D5" w:rsidRPr="002029AF" w:rsidRDefault="00CF72D5" w:rsidP="00C51680">
            <w:pPr>
              <w:pStyle w:val="ARtabletextright"/>
              <w:spacing w:before="40" w:after="20"/>
            </w:pPr>
            <w:r w:rsidRPr="002029AF">
              <w:t>4</w:t>
            </w:r>
          </w:p>
        </w:tc>
        <w:tc>
          <w:tcPr>
            <w:tcW w:w="1021" w:type="dxa"/>
            <w:hideMark/>
          </w:tcPr>
          <w:p w14:paraId="41F43522" w14:textId="18042434" w:rsidR="00CF72D5" w:rsidRPr="002029AF" w:rsidRDefault="00CF72D5" w:rsidP="00C51680">
            <w:pPr>
              <w:pStyle w:val="ARtabletextright"/>
              <w:spacing w:before="40" w:after="20"/>
            </w:pPr>
            <w:r w:rsidRPr="002029AF">
              <w:t>0</w:t>
            </w:r>
          </w:p>
        </w:tc>
        <w:tc>
          <w:tcPr>
            <w:tcW w:w="917" w:type="dxa"/>
            <w:hideMark/>
          </w:tcPr>
          <w:p w14:paraId="50A7264D" w14:textId="71EDAE16" w:rsidR="00CF72D5" w:rsidRPr="002029AF" w:rsidRDefault="00CF72D5" w:rsidP="00C51680">
            <w:pPr>
              <w:pStyle w:val="ARtabletextrightbold"/>
              <w:spacing w:before="40" w:after="20"/>
            </w:pPr>
            <w:r w:rsidRPr="002029AF">
              <w:t>6</w:t>
            </w:r>
          </w:p>
        </w:tc>
        <w:tc>
          <w:tcPr>
            <w:tcW w:w="887" w:type="dxa"/>
            <w:hideMark/>
          </w:tcPr>
          <w:p w14:paraId="377546B8" w14:textId="463C81F8" w:rsidR="00CF72D5" w:rsidRPr="002029AF" w:rsidRDefault="00CF72D5" w:rsidP="00C51680">
            <w:pPr>
              <w:pStyle w:val="ARtabletextright"/>
              <w:spacing w:before="40" w:after="20"/>
            </w:pPr>
            <w:r w:rsidRPr="002029AF">
              <w:t>2</w:t>
            </w:r>
          </w:p>
        </w:tc>
        <w:tc>
          <w:tcPr>
            <w:tcW w:w="887" w:type="dxa"/>
            <w:hideMark/>
          </w:tcPr>
          <w:p w14:paraId="2926C627" w14:textId="1A52EA3A" w:rsidR="00CF72D5" w:rsidRPr="002029AF" w:rsidRDefault="00CF72D5" w:rsidP="00C51680">
            <w:pPr>
              <w:pStyle w:val="ARtabletextright"/>
              <w:spacing w:before="40" w:after="20"/>
            </w:pPr>
            <w:r w:rsidRPr="002029AF">
              <w:t>4</w:t>
            </w:r>
          </w:p>
        </w:tc>
        <w:tc>
          <w:tcPr>
            <w:tcW w:w="1022" w:type="dxa"/>
            <w:hideMark/>
          </w:tcPr>
          <w:p w14:paraId="4F8CA0AE" w14:textId="79F07275" w:rsidR="00CF72D5" w:rsidRPr="002029AF" w:rsidRDefault="00CF72D5" w:rsidP="00C51680">
            <w:pPr>
              <w:pStyle w:val="ARtabletextright"/>
              <w:spacing w:before="40" w:after="20"/>
            </w:pPr>
            <w:r w:rsidRPr="002029AF">
              <w:t>0</w:t>
            </w:r>
          </w:p>
        </w:tc>
        <w:tc>
          <w:tcPr>
            <w:tcW w:w="902" w:type="dxa"/>
            <w:hideMark/>
          </w:tcPr>
          <w:p w14:paraId="60FD1D3C" w14:textId="1863E5F9" w:rsidR="00CF72D5" w:rsidRPr="002029AF" w:rsidRDefault="00CF72D5" w:rsidP="00C51680">
            <w:pPr>
              <w:pStyle w:val="ARtabletextrightbold"/>
              <w:spacing w:before="40" w:after="20"/>
            </w:pPr>
            <w:r w:rsidRPr="002029AF">
              <w:t>6</w:t>
            </w:r>
          </w:p>
        </w:tc>
        <w:tc>
          <w:tcPr>
            <w:tcW w:w="872" w:type="dxa"/>
            <w:hideMark/>
          </w:tcPr>
          <w:p w14:paraId="69576175" w14:textId="4B7A317C" w:rsidR="00CF72D5" w:rsidRPr="002029AF" w:rsidRDefault="00CF72D5" w:rsidP="00C51680">
            <w:pPr>
              <w:pStyle w:val="ARtabletextright"/>
              <w:spacing w:before="40" w:after="20"/>
            </w:pPr>
            <w:r w:rsidRPr="002029AF">
              <w:t>0</w:t>
            </w:r>
          </w:p>
        </w:tc>
        <w:tc>
          <w:tcPr>
            <w:tcW w:w="887" w:type="dxa"/>
            <w:hideMark/>
          </w:tcPr>
          <w:p w14:paraId="5842BD77" w14:textId="29C94C72" w:rsidR="00CF72D5" w:rsidRPr="002029AF" w:rsidRDefault="00CF72D5" w:rsidP="00C51680">
            <w:pPr>
              <w:pStyle w:val="ARtabletextright"/>
              <w:spacing w:before="40" w:after="20"/>
            </w:pPr>
            <w:r w:rsidRPr="002029AF">
              <w:t>0</w:t>
            </w:r>
          </w:p>
        </w:tc>
        <w:tc>
          <w:tcPr>
            <w:tcW w:w="1022" w:type="dxa"/>
            <w:hideMark/>
          </w:tcPr>
          <w:p w14:paraId="136B50A8" w14:textId="2A86888F" w:rsidR="00CF72D5" w:rsidRPr="002029AF" w:rsidRDefault="00CF72D5" w:rsidP="00C51680">
            <w:pPr>
              <w:pStyle w:val="ARtabletextright"/>
              <w:spacing w:before="40" w:after="20"/>
            </w:pPr>
            <w:r w:rsidRPr="002029AF">
              <w:t>0</w:t>
            </w:r>
          </w:p>
        </w:tc>
        <w:tc>
          <w:tcPr>
            <w:tcW w:w="887" w:type="dxa"/>
            <w:hideMark/>
          </w:tcPr>
          <w:p w14:paraId="1701E904" w14:textId="063192F2" w:rsidR="00CF72D5" w:rsidRPr="002029AF" w:rsidRDefault="00CF72D5" w:rsidP="00C51680">
            <w:pPr>
              <w:pStyle w:val="ARtabletextrightbold"/>
              <w:spacing w:before="40" w:after="20"/>
            </w:pPr>
            <w:r w:rsidRPr="002029AF">
              <w:t>0</w:t>
            </w:r>
          </w:p>
        </w:tc>
      </w:tr>
      <w:tr w:rsidR="00CF72D5" w:rsidRPr="002029AF" w14:paraId="64F8AA84" w14:textId="77777777" w:rsidTr="00D40FE6">
        <w:tc>
          <w:tcPr>
            <w:tcW w:w="2944" w:type="dxa"/>
            <w:hideMark/>
          </w:tcPr>
          <w:p w14:paraId="3C66FFE1" w14:textId="2F285A4B" w:rsidR="00CF72D5" w:rsidRPr="002029AF" w:rsidRDefault="00CF72D5" w:rsidP="00C51680">
            <w:pPr>
              <w:pStyle w:val="ARtabletext"/>
              <w:spacing w:before="40" w:after="20"/>
            </w:pPr>
            <w:r w:rsidRPr="002029AF">
              <w:t>Heathcote</w:t>
            </w:r>
            <w:r w:rsidR="000A5329" w:rsidRPr="002029AF">
              <w:t xml:space="preserve"> </w:t>
            </w:r>
            <w:r w:rsidRPr="002029AF">
              <w:t>Health</w:t>
            </w:r>
          </w:p>
        </w:tc>
        <w:tc>
          <w:tcPr>
            <w:tcW w:w="871" w:type="dxa"/>
            <w:hideMark/>
          </w:tcPr>
          <w:p w14:paraId="567329DD" w14:textId="36DEFBD9" w:rsidR="00CF72D5" w:rsidRPr="002029AF" w:rsidRDefault="00CF72D5" w:rsidP="00C51680">
            <w:pPr>
              <w:pStyle w:val="ARtabletextright"/>
              <w:spacing w:before="40" w:after="20"/>
            </w:pPr>
            <w:r w:rsidRPr="002029AF">
              <w:t>0</w:t>
            </w:r>
          </w:p>
        </w:tc>
        <w:tc>
          <w:tcPr>
            <w:tcW w:w="886" w:type="dxa"/>
            <w:hideMark/>
          </w:tcPr>
          <w:p w14:paraId="1B19D5EF" w14:textId="23707492" w:rsidR="00CF72D5" w:rsidRPr="002029AF" w:rsidRDefault="00CF72D5" w:rsidP="00C51680">
            <w:pPr>
              <w:pStyle w:val="ARtabletextright"/>
              <w:spacing w:before="40" w:after="20"/>
            </w:pPr>
            <w:r w:rsidRPr="002029AF">
              <w:t>1</w:t>
            </w:r>
          </w:p>
        </w:tc>
        <w:tc>
          <w:tcPr>
            <w:tcW w:w="1021" w:type="dxa"/>
            <w:hideMark/>
          </w:tcPr>
          <w:p w14:paraId="4930F2B6" w14:textId="2C34DC7B" w:rsidR="00CF72D5" w:rsidRPr="002029AF" w:rsidRDefault="00CF72D5" w:rsidP="00C51680">
            <w:pPr>
              <w:pStyle w:val="ARtabletextright"/>
              <w:spacing w:before="40" w:after="20"/>
            </w:pPr>
            <w:r w:rsidRPr="002029AF">
              <w:t>0</w:t>
            </w:r>
          </w:p>
        </w:tc>
        <w:tc>
          <w:tcPr>
            <w:tcW w:w="917" w:type="dxa"/>
            <w:hideMark/>
          </w:tcPr>
          <w:p w14:paraId="75DC157E" w14:textId="02FB338D" w:rsidR="00CF72D5" w:rsidRPr="002029AF" w:rsidRDefault="00CF72D5" w:rsidP="00C51680">
            <w:pPr>
              <w:pStyle w:val="ARtabletextrightbold"/>
              <w:spacing w:before="40" w:after="20"/>
            </w:pPr>
            <w:r w:rsidRPr="002029AF">
              <w:t>1</w:t>
            </w:r>
          </w:p>
        </w:tc>
        <w:tc>
          <w:tcPr>
            <w:tcW w:w="887" w:type="dxa"/>
            <w:hideMark/>
          </w:tcPr>
          <w:p w14:paraId="173179C3" w14:textId="79F56C08" w:rsidR="00CF72D5" w:rsidRPr="002029AF" w:rsidRDefault="00CF72D5" w:rsidP="00C51680">
            <w:pPr>
              <w:pStyle w:val="ARtabletextright"/>
              <w:spacing w:before="40" w:after="20"/>
            </w:pPr>
            <w:r w:rsidRPr="002029AF">
              <w:t>0</w:t>
            </w:r>
          </w:p>
        </w:tc>
        <w:tc>
          <w:tcPr>
            <w:tcW w:w="887" w:type="dxa"/>
            <w:hideMark/>
          </w:tcPr>
          <w:p w14:paraId="6018F266" w14:textId="573E5782" w:rsidR="00CF72D5" w:rsidRPr="002029AF" w:rsidRDefault="00CF72D5" w:rsidP="00C51680">
            <w:pPr>
              <w:pStyle w:val="ARtabletextright"/>
              <w:spacing w:before="40" w:after="20"/>
            </w:pPr>
            <w:r w:rsidRPr="002029AF">
              <w:t>1</w:t>
            </w:r>
          </w:p>
        </w:tc>
        <w:tc>
          <w:tcPr>
            <w:tcW w:w="1022" w:type="dxa"/>
            <w:hideMark/>
          </w:tcPr>
          <w:p w14:paraId="3818149D" w14:textId="0DAFF6AA" w:rsidR="00CF72D5" w:rsidRPr="002029AF" w:rsidRDefault="00CF72D5" w:rsidP="00C51680">
            <w:pPr>
              <w:pStyle w:val="ARtabletextright"/>
              <w:spacing w:before="40" w:after="20"/>
            </w:pPr>
            <w:r w:rsidRPr="002029AF">
              <w:t>0</w:t>
            </w:r>
          </w:p>
        </w:tc>
        <w:tc>
          <w:tcPr>
            <w:tcW w:w="902" w:type="dxa"/>
            <w:hideMark/>
          </w:tcPr>
          <w:p w14:paraId="0EDB918C" w14:textId="32968278" w:rsidR="00CF72D5" w:rsidRPr="002029AF" w:rsidRDefault="00CF72D5" w:rsidP="00C51680">
            <w:pPr>
              <w:pStyle w:val="ARtabletextrightbold"/>
              <w:spacing w:before="40" w:after="20"/>
            </w:pPr>
            <w:r w:rsidRPr="002029AF">
              <w:t>1</w:t>
            </w:r>
          </w:p>
        </w:tc>
        <w:tc>
          <w:tcPr>
            <w:tcW w:w="872" w:type="dxa"/>
            <w:hideMark/>
          </w:tcPr>
          <w:p w14:paraId="186B586A" w14:textId="5317FD99" w:rsidR="00CF72D5" w:rsidRPr="002029AF" w:rsidRDefault="00CF72D5" w:rsidP="00C51680">
            <w:pPr>
              <w:pStyle w:val="ARtabletextright"/>
              <w:spacing w:before="40" w:after="20"/>
            </w:pPr>
            <w:r w:rsidRPr="002029AF">
              <w:t>0</w:t>
            </w:r>
          </w:p>
        </w:tc>
        <w:tc>
          <w:tcPr>
            <w:tcW w:w="887" w:type="dxa"/>
            <w:hideMark/>
          </w:tcPr>
          <w:p w14:paraId="692BA8F5" w14:textId="5A68C5C6" w:rsidR="00CF72D5" w:rsidRPr="002029AF" w:rsidRDefault="00CF72D5" w:rsidP="00C51680">
            <w:pPr>
              <w:pStyle w:val="ARtabletextright"/>
              <w:spacing w:before="40" w:after="20"/>
            </w:pPr>
            <w:r w:rsidRPr="002029AF">
              <w:t>0</w:t>
            </w:r>
          </w:p>
        </w:tc>
        <w:tc>
          <w:tcPr>
            <w:tcW w:w="1022" w:type="dxa"/>
            <w:hideMark/>
          </w:tcPr>
          <w:p w14:paraId="4AFD9FA9" w14:textId="00782C0D" w:rsidR="00CF72D5" w:rsidRPr="002029AF" w:rsidRDefault="00CF72D5" w:rsidP="00C51680">
            <w:pPr>
              <w:pStyle w:val="ARtabletextright"/>
              <w:spacing w:before="40" w:after="20"/>
            </w:pPr>
            <w:r w:rsidRPr="002029AF">
              <w:t>0</w:t>
            </w:r>
          </w:p>
        </w:tc>
        <w:tc>
          <w:tcPr>
            <w:tcW w:w="887" w:type="dxa"/>
            <w:hideMark/>
          </w:tcPr>
          <w:p w14:paraId="7EE2FC5E" w14:textId="1D3EB083" w:rsidR="00CF72D5" w:rsidRPr="002029AF" w:rsidRDefault="00CF72D5" w:rsidP="00C51680">
            <w:pPr>
              <w:pStyle w:val="ARtabletextrightbold"/>
              <w:spacing w:before="40" w:after="20"/>
            </w:pPr>
            <w:r w:rsidRPr="002029AF">
              <w:t>0</w:t>
            </w:r>
          </w:p>
        </w:tc>
      </w:tr>
      <w:tr w:rsidR="00CF72D5" w:rsidRPr="002029AF" w14:paraId="537EE61E" w14:textId="77777777" w:rsidTr="00D40FE6">
        <w:tc>
          <w:tcPr>
            <w:tcW w:w="2944" w:type="dxa"/>
            <w:hideMark/>
          </w:tcPr>
          <w:p w14:paraId="32B27A46" w14:textId="3FB051DD" w:rsidR="00CF72D5" w:rsidRPr="002029AF" w:rsidRDefault="00CF72D5" w:rsidP="00C51680">
            <w:pPr>
              <w:pStyle w:val="ARtabletext"/>
              <w:spacing w:before="40" w:after="20"/>
            </w:pPr>
            <w:r w:rsidRPr="002029AF">
              <w:t>Hepburn</w:t>
            </w:r>
            <w:r w:rsidR="000A5329" w:rsidRPr="002029AF">
              <w:t xml:space="preserve"> </w:t>
            </w:r>
            <w:r w:rsidRPr="002029AF">
              <w:t>Health</w:t>
            </w:r>
            <w:r w:rsidR="000A5329" w:rsidRPr="002029AF">
              <w:t xml:space="preserve"> </w:t>
            </w:r>
            <w:r w:rsidRPr="002029AF">
              <w:t>Service</w:t>
            </w:r>
          </w:p>
        </w:tc>
        <w:tc>
          <w:tcPr>
            <w:tcW w:w="871" w:type="dxa"/>
            <w:hideMark/>
          </w:tcPr>
          <w:p w14:paraId="04098DA0" w14:textId="09065781" w:rsidR="00CF72D5" w:rsidRPr="002029AF" w:rsidRDefault="00CF72D5" w:rsidP="00C51680">
            <w:pPr>
              <w:pStyle w:val="ARtabletextright"/>
              <w:spacing w:before="40" w:after="20"/>
            </w:pPr>
            <w:r w:rsidRPr="002029AF">
              <w:t>0</w:t>
            </w:r>
          </w:p>
        </w:tc>
        <w:tc>
          <w:tcPr>
            <w:tcW w:w="886" w:type="dxa"/>
            <w:hideMark/>
          </w:tcPr>
          <w:p w14:paraId="7D8ADD75" w14:textId="53579A89" w:rsidR="00CF72D5" w:rsidRPr="002029AF" w:rsidRDefault="00CF72D5" w:rsidP="00C51680">
            <w:pPr>
              <w:pStyle w:val="ARtabletextright"/>
              <w:spacing w:before="40" w:after="20"/>
            </w:pPr>
            <w:r w:rsidRPr="002029AF">
              <w:t>0</w:t>
            </w:r>
          </w:p>
        </w:tc>
        <w:tc>
          <w:tcPr>
            <w:tcW w:w="1021" w:type="dxa"/>
            <w:hideMark/>
          </w:tcPr>
          <w:p w14:paraId="535EC365" w14:textId="62D05179" w:rsidR="00CF72D5" w:rsidRPr="002029AF" w:rsidRDefault="00CF72D5" w:rsidP="00C51680">
            <w:pPr>
              <w:pStyle w:val="ARtabletextright"/>
              <w:spacing w:before="40" w:after="20"/>
            </w:pPr>
            <w:r w:rsidRPr="002029AF">
              <w:t>0</w:t>
            </w:r>
          </w:p>
        </w:tc>
        <w:tc>
          <w:tcPr>
            <w:tcW w:w="917" w:type="dxa"/>
            <w:hideMark/>
          </w:tcPr>
          <w:p w14:paraId="757AD720" w14:textId="6CD26D11" w:rsidR="00CF72D5" w:rsidRPr="002029AF" w:rsidRDefault="00CF72D5" w:rsidP="00C51680">
            <w:pPr>
              <w:pStyle w:val="ARtabletextrightbold"/>
              <w:spacing w:before="40" w:after="20"/>
            </w:pPr>
            <w:r w:rsidRPr="002029AF">
              <w:t>0</w:t>
            </w:r>
          </w:p>
        </w:tc>
        <w:tc>
          <w:tcPr>
            <w:tcW w:w="887" w:type="dxa"/>
            <w:hideMark/>
          </w:tcPr>
          <w:p w14:paraId="049BD3E0" w14:textId="5FAF0468" w:rsidR="00CF72D5" w:rsidRPr="002029AF" w:rsidRDefault="00CF72D5" w:rsidP="00C51680">
            <w:pPr>
              <w:pStyle w:val="ARtabletextright"/>
              <w:spacing w:before="40" w:after="20"/>
            </w:pPr>
            <w:r w:rsidRPr="002029AF">
              <w:t>0</w:t>
            </w:r>
          </w:p>
        </w:tc>
        <w:tc>
          <w:tcPr>
            <w:tcW w:w="887" w:type="dxa"/>
            <w:hideMark/>
          </w:tcPr>
          <w:p w14:paraId="691BE58E" w14:textId="584904E3" w:rsidR="00CF72D5" w:rsidRPr="002029AF" w:rsidRDefault="00CF72D5" w:rsidP="00C51680">
            <w:pPr>
              <w:pStyle w:val="ARtabletextright"/>
              <w:spacing w:before="40" w:after="20"/>
            </w:pPr>
            <w:r w:rsidRPr="002029AF">
              <w:t>0</w:t>
            </w:r>
          </w:p>
        </w:tc>
        <w:tc>
          <w:tcPr>
            <w:tcW w:w="1022" w:type="dxa"/>
            <w:hideMark/>
          </w:tcPr>
          <w:p w14:paraId="6E4266BA" w14:textId="044D6304" w:rsidR="00CF72D5" w:rsidRPr="002029AF" w:rsidRDefault="00CF72D5" w:rsidP="00C51680">
            <w:pPr>
              <w:pStyle w:val="ARtabletextright"/>
              <w:spacing w:before="40" w:after="20"/>
            </w:pPr>
            <w:r w:rsidRPr="002029AF">
              <w:t>0</w:t>
            </w:r>
          </w:p>
        </w:tc>
        <w:tc>
          <w:tcPr>
            <w:tcW w:w="902" w:type="dxa"/>
            <w:hideMark/>
          </w:tcPr>
          <w:p w14:paraId="046BEE3A" w14:textId="27DC4F2B" w:rsidR="00CF72D5" w:rsidRPr="002029AF" w:rsidRDefault="00CF72D5" w:rsidP="00C51680">
            <w:pPr>
              <w:pStyle w:val="ARtabletextrightbold"/>
              <w:spacing w:before="40" w:after="20"/>
            </w:pPr>
            <w:r w:rsidRPr="002029AF">
              <w:t>0</w:t>
            </w:r>
          </w:p>
        </w:tc>
        <w:tc>
          <w:tcPr>
            <w:tcW w:w="872" w:type="dxa"/>
            <w:hideMark/>
          </w:tcPr>
          <w:p w14:paraId="3B9ED5E7" w14:textId="49D5FFBC" w:rsidR="00CF72D5" w:rsidRPr="002029AF" w:rsidRDefault="00CF72D5" w:rsidP="00C51680">
            <w:pPr>
              <w:pStyle w:val="ARtabletextright"/>
              <w:spacing w:before="40" w:after="20"/>
            </w:pPr>
            <w:r w:rsidRPr="002029AF">
              <w:t>0</w:t>
            </w:r>
          </w:p>
        </w:tc>
        <w:tc>
          <w:tcPr>
            <w:tcW w:w="887" w:type="dxa"/>
            <w:hideMark/>
          </w:tcPr>
          <w:p w14:paraId="5780C68C" w14:textId="31C0A457" w:rsidR="00CF72D5" w:rsidRPr="002029AF" w:rsidRDefault="00CF72D5" w:rsidP="00C51680">
            <w:pPr>
              <w:pStyle w:val="ARtabletextright"/>
              <w:spacing w:before="40" w:after="20"/>
            </w:pPr>
            <w:r w:rsidRPr="002029AF">
              <w:t>0</w:t>
            </w:r>
          </w:p>
        </w:tc>
        <w:tc>
          <w:tcPr>
            <w:tcW w:w="1022" w:type="dxa"/>
            <w:hideMark/>
          </w:tcPr>
          <w:p w14:paraId="024DDB94" w14:textId="466D7DAA" w:rsidR="00CF72D5" w:rsidRPr="002029AF" w:rsidRDefault="00CF72D5" w:rsidP="00C51680">
            <w:pPr>
              <w:pStyle w:val="ARtabletextright"/>
              <w:spacing w:before="40" w:after="20"/>
            </w:pPr>
            <w:r w:rsidRPr="002029AF">
              <w:t>0</w:t>
            </w:r>
          </w:p>
        </w:tc>
        <w:tc>
          <w:tcPr>
            <w:tcW w:w="887" w:type="dxa"/>
            <w:hideMark/>
          </w:tcPr>
          <w:p w14:paraId="7FED73C2" w14:textId="717AB759" w:rsidR="00CF72D5" w:rsidRPr="002029AF" w:rsidRDefault="00CF72D5" w:rsidP="00C51680">
            <w:pPr>
              <w:pStyle w:val="ARtabletextrightbold"/>
              <w:spacing w:before="40" w:after="20"/>
            </w:pPr>
            <w:r w:rsidRPr="002029AF">
              <w:t>0</w:t>
            </w:r>
          </w:p>
        </w:tc>
      </w:tr>
      <w:tr w:rsidR="00CF72D5" w:rsidRPr="002029AF" w14:paraId="09571B61" w14:textId="77777777" w:rsidTr="00D40FE6">
        <w:tc>
          <w:tcPr>
            <w:tcW w:w="2944" w:type="dxa"/>
            <w:hideMark/>
          </w:tcPr>
          <w:p w14:paraId="464EFB6B" w14:textId="5A7319ED" w:rsidR="00CF72D5" w:rsidRPr="002029AF" w:rsidRDefault="00CF72D5" w:rsidP="00C51680">
            <w:pPr>
              <w:pStyle w:val="ARtabletext"/>
              <w:spacing w:before="40" w:after="20"/>
            </w:pPr>
            <w:r w:rsidRPr="002029AF">
              <w:t>Hesse</w:t>
            </w:r>
            <w:r w:rsidR="000A5329" w:rsidRPr="002029AF">
              <w:t xml:space="preserve"> </w:t>
            </w:r>
            <w:r w:rsidRPr="002029AF">
              <w:t>Rural</w:t>
            </w:r>
            <w:r w:rsidR="000A5329" w:rsidRPr="002029AF">
              <w:t xml:space="preserve"> </w:t>
            </w:r>
            <w:r w:rsidRPr="002029AF">
              <w:t>Health</w:t>
            </w:r>
            <w:r w:rsidR="000A5329" w:rsidRPr="002029AF">
              <w:t xml:space="preserve"> </w:t>
            </w:r>
            <w:r w:rsidRPr="002029AF">
              <w:t>Service</w:t>
            </w:r>
          </w:p>
        </w:tc>
        <w:tc>
          <w:tcPr>
            <w:tcW w:w="871" w:type="dxa"/>
            <w:hideMark/>
          </w:tcPr>
          <w:p w14:paraId="5F100EA3" w14:textId="0BD8D44F" w:rsidR="00CF72D5" w:rsidRPr="002029AF" w:rsidRDefault="00CF72D5" w:rsidP="00C51680">
            <w:pPr>
              <w:pStyle w:val="ARtabletextright"/>
              <w:spacing w:before="40" w:after="20"/>
            </w:pPr>
            <w:r w:rsidRPr="002029AF">
              <w:t>0</w:t>
            </w:r>
          </w:p>
        </w:tc>
        <w:tc>
          <w:tcPr>
            <w:tcW w:w="886" w:type="dxa"/>
            <w:hideMark/>
          </w:tcPr>
          <w:p w14:paraId="060E6A18" w14:textId="1855A1A9" w:rsidR="00CF72D5" w:rsidRPr="002029AF" w:rsidRDefault="00CF72D5" w:rsidP="00C51680">
            <w:pPr>
              <w:pStyle w:val="ARtabletextright"/>
              <w:spacing w:before="40" w:after="20"/>
            </w:pPr>
            <w:r w:rsidRPr="002029AF">
              <w:t>1</w:t>
            </w:r>
          </w:p>
        </w:tc>
        <w:tc>
          <w:tcPr>
            <w:tcW w:w="1021" w:type="dxa"/>
            <w:hideMark/>
          </w:tcPr>
          <w:p w14:paraId="7208DD41" w14:textId="28278466" w:rsidR="00CF72D5" w:rsidRPr="002029AF" w:rsidRDefault="00CF72D5" w:rsidP="00C51680">
            <w:pPr>
              <w:pStyle w:val="ARtabletextright"/>
              <w:spacing w:before="40" w:after="20"/>
            </w:pPr>
            <w:r w:rsidRPr="002029AF">
              <w:t>0</w:t>
            </w:r>
          </w:p>
        </w:tc>
        <w:tc>
          <w:tcPr>
            <w:tcW w:w="917" w:type="dxa"/>
            <w:hideMark/>
          </w:tcPr>
          <w:p w14:paraId="591CEBD7" w14:textId="0F0EF2C8" w:rsidR="00CF72D5" w:rsidRPr="002029AF" w:rsidRDefault="00CF72D5" w:rsidP="00C51680">
            <w:pPr>
              <w:pStyle w:val="ARtabletextrightbold"/>
              <w:spacing w:before="40" w:after="20"/>
            </w:pPr>
            <w:r w:rsidRPr="002029AF">
              <w:t>1</w:t>
            </w:r>
          </w:p>
        </w:tc>
        <w:tc>
          <w:tcPr>
            <w:tcW w:w="887" w:type="dxa"/>
            <w:hideMark/>
          </w:tcPr>
          <w:p w14:paraId="4590803B" w14:textId="4B849F33" w:rsidR="00CF72D5" w:rsidRPr="002029AF" w:rsidRDefault="00CF72D5" w:rsidP="00C51680">
            <w:pPr>
              <w:pStyle w:val="ARtabletextright"/>
              <w:spacing w:before="40" w:after="20"/>
            </w:pPr>
            <w:r w:rsidRPr="002029AF">
              <w:t>0</w:t>
            </w:r>
          </w:p>
        </w:tc>
        <w:tc>
          <w:tcPr>
            <w:tcW w:w="887" w:type="dxa"/>
            <w:hideMark/>
          </w:tcPr>
          <w:p w14:paraId="53942B34" w14:textId="39DC3860" w:rsidR="00CF72D5" w:rsidRPr="002029AF" w:rsidRDefault="00CF72D5" w:rsidP="00C51680">
            <w:pPr>
              <w:pStyle w:val="ARtabletextright"/>
              <w:spacing w:before="40" w:after="20"/>
            </w:pPr>
            <w:r w:rsidRPr="002029AF">
              <w:t>1</w:t>
            </w:r>
          </w:p>
        </w:tc>
        <w:tc>
          <w:tcPr>
            <w:tcW w:w="1022" w:type="dxa"/>
            <w:hideMark/>
          </w:tcPr>
          <w:p w14:paraId="764A4693" w14:textId="506B9457" w:rsidR="00CF72D5" w:rsidRPr="002029AF" w:rsidRDefault="00CF72D5" w:rsidP="00C51680">
            <w:pPr>
              <w:pStyle w:val="ARtabletextright"/>
              <w:spacing w:before="40" w:after="20"/>
            </w:pPr>
            <w:r w:rsidRPr="002029AF">
              <w:t>0</w:t>
            </w:r>
          </w:p>
        </w:tc>
        <w:tc>
          <w:tcPr>
            <w:tcW w:w="902" w:type="dxa"/>
            <w:hideMark/>
          </w:tcPr>
          <w:p w14:paraId="1A8269B2" w14:textId="4A26A2CC" w:rsidR="00CF72D5" w:rsidRPr="002029AF" w:rsidRDefault="00CF72D5" w:rsidP="00C51680">
            <w:pPr>
              <w:pStyle w:val="ARtabletextrightbold"/>
              <w:spacing w:before="40" w:after="20"/>
            </w:pPr>
            <w:r w:rsidRPr="002029AF">
              <w:t>1</w:t>
            </w:r>
          </w:p>
        </w:tc>
        <w:tc>
          <w:tcPr>
            <w:tcW w:w="872" w:type="dxa"/>
            <w:hideMark/>
          </w:tcPr>
          <w:p w14:paraId="181D818C" w14:textId="47405A1B" w:rsidR="00CF72D5" w:rsidRPr="002029AF" w:rsidRDefault="00CF72D5" w:rsidP="00C51680">
            <w:pPr>
              <w:pStyle w:val="ARtabletextright"/>
              <w:spacing w:before="40" w:after="20"/>
            </w:pPr>
            <w:r w:rsidRPr="002029AF">
              <w:t>0</w:t>
            </w:r>
          </w:p>
        </w:tc>
        <w:tc>
          <w:tcPr>
            <w:tcW w:w="887" w:type="dxa"/>
            <w:hideMark/>
          </w:tcPr>
          <w:p w14:paraId="3EFF8DF5" w14:textId="0ACD8A2A" w:rsidR="00CF72D5" w:rsidRPr="002029AF" w:rsidRDefault="00CF72D5" w:rsidP="00C51680">
            <w:pPr>
              <w:pStyle w:val="ARtabletextright"/>
              <w:spacing w:before="40" w:after="20"/>
            </w:pPr>
            <w:r w:rsidRPr="002029AF">
              <w:t>0</w:t>
            </w:r>
          </w:p>
        </w:tc>
        <w:tc>
          <w:tcPr>
            <w:tcW w:w="1022" w:type="dxa"/>
            <w:hideMark/>
          </w:tcPr>
          <w:p w14:paraId="6CF5CF63" w14:textId="0A3A2442" w:rsidR="00CF72D5" w:rsidRPr="002029AF" w:rsidRDefault="00CF72D5" w:rsidP="00C51680">
            <w:pPr>
              <w:pStyle w:val="ARtabletextright"/>
              <w:spacing w:before="40" w:after="20"/>
            </w:pPr>
            <w:r w:rsidRPr="002029AF">
              <w:t>0</w:t>
            </w:r>
          </w:p>
        </w:tc>
        <w:tc>
          <w:tcPr>
            <w:tcW w:w="887" w:type="dxa"/>
            <w:hideMark/>
          </w:tcPr>
          <w:p w14:paraId="2D21EB92" w14:textId="738DB7E3" w:rsidR="00CF72D5" w:rsidRPr="002029AF" w:rsidRDefault="00CF72D5" w:rsidP="00C51680">
            <w:pPr>
              <w:pStyle w:val="ARtabletextrightbold"/>
              <w:spacing w:before="40" w:after="20"/>
            </w:pPr>
            <w:r w:rsidRPr="002029AF">
              <w:t>0</w:t>
            </w:r>
          </w:p>
        </w:tc>
      </w:tr>
      <w:tr w:rsidR="00CF72D5" w:rsidRPr="002029AF" w14:paraId="7EC6C177" w14:textId="77777777" w:rsidTr="00D40FE6">
        <w:tc>
          <w:tcPr>
            <w:tcW w:w="2944" w:type="dxa"/>
            <w:hideMark/>
          </w:tcPr>
          <w:p w14:paraId="6DC21BD2" w14:textId="6FD8AFBE" w:rsidR="00CF72D5" w:rsidRPr="002029AF" w:rsidRDefault="00CF72D5" w:rsidP="00C51680">
            <w:pPr>
              <w:pStyle w:val="ARtabletext"/>
              <w:spacing w:before="40" w:after="20"/>
            </w:pPr>
            <w:r w:rsidRPr="002029AF">
              <w:t>Heywood</w:t>
            </w:r>
            <w:r w:rsidR="000A5329" w:rsidRPr="002029AF">
              <w:t xml:space="preserve"> </w:t>
            </w:r>
            <w:r w:rsidRPr="002029AF">
              <w:t>Rural</w:t>
            </w:r>
            <w:r w:rsidR="000A5329" w:rsidRPr="002029AF">
              <w:t xml:space="preserve"> </w:t>
            </w:r>
            <w:r w:rsidRPr="002029AF">
              <w:t>Health</w:t>
            </w:r>
          </w:p>
        </w:tc>
        <w:tc>
          <w:tcPr>
            <w:tcW w:w="871" w:type="dxa"/>
            <w:hideMark/>
          </w:tcPr>
          <w:p w14:paraId="4AB24159" w14:textId="1ED47D59" w:rsidR="00CF72D5" w:rsidRPr="002029AF" w:rsidRDefault="00CF72D5" w:rsidP="00C51680">
            <w:pPr>
              <w:pStyle w:val="ARtabletextright"/>
              <w:spacing w:before="40" w:after="20"/>
            </w:pPr>
            <w:r w:rsidRPr="002029AF">
              <w:t>1</w:t>
            </w:r>
          </w:p>
        </w:tc>
        <w:tc>
          <w:tcPr>
            <w:tcW w:w="886" w:type="dxa"/>
            <w:hideMark/>
          </w:tcPr>
          <w:p w14:paraId="3381C920" w14:textId="58D978CD" w:rsidR="00CF72D5" w:rsidRPr="002029AF" w:rsidRDefault="00CF72D5" w:rsidP="00C51680">
            <w:pPr>
              <w:pStyle w:val="ARtabletextright"/>
              <w:spacing w:before="40" w:after="20"/>
            </w:pPr>
            <w:r w:rsidRPr="002029AF">
              <w:t>0</w:t>
            </w:r>
          </w:p>
        </w:tc>
        <w:tc>
          <w:tcPr>
            <w:tcW w:w="1021" w:type="dxa"/>
            <w:hideMark/>
          </w:tcPr>
          <w:p w14:paraId="150DA9A5" w14:textId="29FC3687" w:rsidR="00CF72D5" w:rsidRPr="002029AF" w:rsidRDefault="00CF72D5" w:rsidP="00C51680">
            <w:pPr>
              <w:pStyle w:val="ARtabletextright"/>
              <w:spacing w:before="40" w:after="20"/>
            </w:pPr>
            <w:r w:rsidRPr="002029AF">
              <w:t>0</w:t>
            </w:r>
          </w:p>
        </w:tc>
        <w:tc>
          <w:tcPr>
            <w:tcW w:w="917" w:type="dxa"/>
            <w:hideMark/>
          </w:tcPr>
          <w:p w14:paraId="4831CA53" w14:textId="4BC49BA7" w:rsidR="00CF72D5" w:rsidRPr="002029AF" w:rsidRDefault="00CF72D5" w:rsidP="00C51680">
            <w:pPr>
              <w:pStyle w:val="ARtabletextrightbold"/>
              <w:spacing w:before="40" w:after="20"/>
            </w:pPr>
            <w:r w:rsidRPr="002029AF">
              <w:t>1</w:t>
            </w:r>
          </w:p>
        </w:tc>
        <w:tc>
          <w:tcPr>
            <w:tcW w:w="887" w:type="dxa"/>
            <w:hideMark/>
          </w:tcPr>
          <w:p w14:paraId="392BB283" w14:textId="509441DD" w:rsidR="00CF72D5" w:rsidRPr="002029AF" w:rsidRDefault="00CF72D5" w:rsidP="00C51680">
            <w:pPr>
              <w:pStyle w:val="ARtabletextright"/>
              <w:spacing w:before="40" w:after="20"/>
            </w:pPr>
            <w:r w:rsidRPr="002029AF">
              <w:t>1</w:t>
            </w:r>
          </w:p>
        </w:tc>
        <w:tc>
          <w:tcPr>
            <w:tcW w:w="887" w:type="dxa"/>
            <w:hideMark/>
          </w:tcPr>
          <w:p w14:paraId="5C6C15B1" w14:textId="62AFA036" w:rsidR="00CF72D5" w:rsidRPr="002029AF" w:rsidRDefault="00CF72D5" w:rsidP="00C51680">
            <w:pPr>
              <w:pStyle w:val="ARtabletextright"/>
              <w:spacing w:before="40" w:after="20"/>
            </w:pPr>
            <w:r w:rsidRPr="002029AF">
              <w:t>0</w:t>
            </w:r>
          </w:p>
        </w:tc>
        <w:tc>
          <w:tcPr>
            <w:tcW w:w="1022" w:type="dxa"/>
            <w:hideMark/>
          </w:tcPr>
          <w:p w14:paraId="398919CB" w14:textId="06A22B29" w:rsidR="00CF72D5" w:rsidRPr="002029AF" w:rsidRDefault="00CF72D5" w:rsidP="00C51680">
            <w:pPr>
              <w:pStyle w:val="ARtabletextright"/>
              <w:spacing w:before="40" w:after="20"/>
            </w:pPr>
            <w:r w:rsidRPr="002029AF">
              <w:t>0</w:t>
            </w:r>
          </w:p>
        </w:tc>
        <w:tc>
          <w:tcPr>
            <w:tcW w:w="902" w:type="dxa"/>
            <w:hideMark/>
          </w:tcPr>
          <w:p w14:paraId="5BAF4933" w14:textId="165E7AD2" w:rsidR="00CF72D5" w:rsidRPr="002029AF" w:rsidRDefault="00CF72D5" w:rsidP="00C51680">
            <w:pPr>
              <w:pStyle w:val="ARtabletextrightbold"/>
              <w:spacing w:before="40" w:after="20"/>
            </w:pPr>
            <w:r w:rsidRPr="002029AF">
              <w:t>1</w:t>
            </w:r>
          </w:p>
        </w:tc>
        <w:tc>
          <w:tcPr>
            <w:tcW w:w="872" w:type="dxa"/>
            <w:hideMark/>
          </w:tcPr>
          <w:p w14:paraId="6E981C2A" w14:textId="419A833C" w:rsidR="00CF72D5" w:rsidRPr="002029AF" w:rsidRDefault="00CF72D5" w:rsidP="00C51680">
            <w:pPr>
              <w:pStyle w:val="ARtabletextright"/>
              <w:spacing w:before="40" w:after="20"/>
            </w:pPr>
            <w:r w:rsidRPr="002029AF">
              <w:t>0</w:t>
            </w:r>
          </w:p>
        </w:tc>
        <w:tc>
          <w:tcPr>
            <w:tcW w:w="887" w:type="dxa"/>
            <w:hideMark/>
          </w:tcPr>
          <w:p w14:paraId="5C7D7403" w14:textId="5FA9706F" w:rsidR="00CF72D5" w:rsidRPr="002029AF" w:rsidRDefault="00CF72D5" w:rsidP="00C51680">
            <w:pPr>
              <w:pStyle w:val="ARtabletextright"/>
              <w:spacing w:before="40" w:after="20"/>
            </w:pPr>
            <w:r w:rsidRPr="002029AF">
              <w:t>0</w:t>
            </w:r>
          </w:p>
        </w:tc>
        <w:tc>
          <w:tcPr>
            <w:tcW w:w="1022" w:type="dxa"/>
            <w:hideMark/>
          </w:tcPr>
          <w:p w14:paraId="53D88190" w14:textId="024B31C9" w:rsidR="00CF72D5" w:rsidRPr="002029AF" w:rsidRDefault="00CF72D5" w:rsidP="00C51680">
            <w:pPr>
              <w:pStyle w:val="ARtabletextright"/>
              <w:spacing w:before="40" w:after="20"/>
            </w:pPr>
            <w:r w:rsidRPr="002029AF">
              <w:t>0</w:t>
            </w:r>
          </w:p>
        </w:tc>
        <w:tc>
          <w:tcPr>
            <w:tcW w:w="887" w:type="dxa"/>
            <w:hideMark/>
          </w:tcPr>
          <w:p w14:paraId="33EF4F6C" w14:textId="19C1AF3C" w:rsidR="00CF72D5" w:rsidRPr="002029AF" w:rsidRDefault="00CF72D5" w:rsidP="00C51680">
            <w:pPr>
              <w:pStyle w:val="ARtabletextrightbold"/>
              <w:spacing w:before="40" w:after="20"/>
            </w:pPr>
            <w:r w:rsidRPr="002029AF">
              <w:t>0</w:t>
            </w:r>
          </w:p>
        </w:tc>
      </w:tr>
      <w:tr w:rsidR="00CF72D5" w:rsidRPr="002029AF" w14:paraId="55187BC3" w14:textId="77777777" w:rsidTr="00D40FE6">
        <w:tc>
          <w:tcPr>
            <w:tcW w:w="2944" w:type="dxa"/>
            <w:hideMark/>
          </w:tcPr>
          <w:p w14:paraId="29F8ED44" w14:textId="2F6A0A4E" w:rsidR="00CF72D5" w:rsidRPr="002029AF" w:rsidRDefault="00CF72D5" w:rsidP="00C51680">
            <w:pPr>
              <w:pStyle w:val="ARtabletext"/>
              <w:spacing w:before="40" w:after="20"/>
            </w:pPr>
            <w:r w:rsidRPr="002029AF">
              <w:t>Inglewood</w:t>
            </w:r>
            <w:r w:rsidR="000A5329" w:rsidRPr="002029AF">
              <w:t xml:space="preserve"> </w:t>
            </w:r>
            <w:r w:rsidRPr="002029AF">
              <w:t>and</w:t>
            </w:r>
            <w:r w:rsidR="000A5329" w:rsidRPr="002029AF">
              <w:t xml:space="preserve"> </w:t>
            </w:r>
            <w:r w:rsidRPr="002029AF">
              <w:t>Districts</w:t>
            </w:r>
            <w:r w:rsidR="000A5329" w:rsidRPr="002029AF">
              <w:t xml:space="preserve"> </w:t>
            </w:r>
            <w:r w:rsidRPr="002029AF">
              <w:t>Health</w:t>
            </w:r>
            <w:r w:rsidR="000A5329" w:rsidRPr="002029AF">
              <w:t xml:space="preserve"> </w:t>
            </w:r>
            <w:r w:rsidRPr="002029AF">
              <w:t>Service</w:t>
            </w:r>
          </w:p>
        </w:tc>
        <w:tc>
          <w:tcPr>
            <w:tcW w:w="871" w:type="dxa"/>
            <w:hideMark/>
          </w:tcPr>
          <w:p w14:paraId="4DB30712" w14:textId="366C41A7" w:rsidR="00CF72D5" w:rsidRPr="002029AF" w:rsidRDefault="00CF72D5" w:rsidP="00C51680">
            <w:pPr>
              <w:pStyle w:val="ARtabletextright"/>
              <w:spacing w:before="40" w:after="20"/>
            </w:pPr>
            <w:r w:rsidRPr="002029AF">
              <w:t>1</w:t>
            </w:r>
          </w:p>
        </w:tc>
        <w:tc>
          <w:tcPr>
            <w:tcW w:w="886" w:type="dxa"/>
            <w:hideMark/>
          </w:tcPr>
          <w:p w14:paraId="68230E4F" w14:textId="721F7EA1" w:rsidR="00CF72D5" w:rsidRPr="002029AF" w:rsidRDefault="00CF72D5" w:rsidP="00C51680">
            <w:pPr>
              <w:pStyle w:val="ARtabletextright"/>
              <w:spacing w:before="40" w:after="20"/>
            </w:pPr>
            <w:r w:rsidRPr="002029AF">
              <w:t>0</w:t>
            </w:r>
          </w:p>
        </w:tc>
        <w:tc>
          <w:tcPr>
            <w:tcW w:w="1021" w:type="dxa"/>
            <w:hideMark/>
          </w:tcPr>
          <w:p w14:paraId="23E8E590" w14:textId="3D49D3F6" w:rsidR="00CF72D5" w:rsidRPr="002029AF" w:rsidRDefault="00CF72D5" w:rsidP="00C51680">
            <w:pPr>
              <w:pStyle w:val="ARtabletextright"/>
              <w:spacing w:before="40" w:after="20"/>
            </w:pPr>
            <w:r w:rsidRPr="002029AF">
              <w:t>0</w:t>
            </w:r>
          </w:p>
        </w:tc>
        <w:tc>
          <w:tcPr>
            <w:tcW w:w="917" w:type="dxa"/>
            <w:hideMark/>
          </w:tcPr>
          <w:p w14:paraId="38BB7844" w14:textId="54554661" w:rsidR="00CF72D5" w:rsidRPr="002029AF" w:rsidRDefault="00CF72D5" w:rsidP="00C51680">
            <w:pPr>
              <w:pStyle w:val="ARtabletextrightbold"/>
              <w:spacing w:before="40" w:after="20"/>
            </w:pPr>
            <w:r w:rsidRPr="002029AF">
              <w:t>1</w:t>
            </w:r>
          </w:p>
        </w:tc>
        <w:tc>
          <w:tcPr>
            <w:tcW w:w="887" w:type="dxa"/>
            <w:hideMark/>
          </w:tcPr>
          <w:p w14:paraId="0B018FF7" w14:textId="6679D20D" w:rsidR="00CF72D5" w:rsidRPr="002029AF" w:rsidRDefault="00CF72D5" w:rsidP="00C51680">
            <w:pPr>
              <w:pStyle w:val="ARtabletextright"/>
              <w:spacing w:before="40" w:after="20"/>
            </w:pPr>
            <w:r w:rsidRPr="002029AF">
              <w:t>1</w:t>
            </w:r>
          </w:p>
        </w:tc>
        <w:tc>
          <w:tcPr>
            <w:tcW w:w="887" w:type="dxa"/>
            <w:hideMark/>
          </w:tcPr>
          <w:p w14:paraId="55FCA03D" w14:textId="6A7C1C41" w:rsidR="00CF72D5" w:rsidRPr="002029AF" w:rsidRDefault="00CF72D5" w:rsidP="00C51680">
            <w:pPr>
              <w:pStyle w:val="ARtabletextright"/>
              <w:spacing w:before="40" w:after="20"/>
            </w:pPr>
            <w:r w:rsidRPr="002029AF">
              <w:t>0</w:t>
            </w:r>
          </w:p>
        </w:tc>
        <w:tc>
          <w:tcPr>
            <w:tcW w:w="1022" w:type="dxa"/>
            <w:hideMark/>
          </w:tcPr>
          <w:p w14:paraId="579C3620" w14:textId="3654DA28" w:rsidR="00CF72D5" w:rsidRPr="002029AF" w:rsidRDefault="00CF72D5" w:rsidP="00C51680">
            <w:pPr>
              <w:pStyle w:val="ARtabletextright"/>
              <w:spacing w:before="40" w:after="20"/>
            </w:pPr>
            <w:r w:rsidRPr="002029AF">
              <w:t>0</w:t>
            </w:r>
          </w:p>
        </w:tc>
        <w:tc>
          <w:tcPr>
            <w:tcW w:w="902" w:type="dxa"/>
            <w:hideMark/>
          </w:tcPr>
          <w:p w14:paraId="1ED54E08" w14:textId="704203A0" w:rsidR="00CF72D5" w:rsidRPr="002029AF" w:rsidRDefault="00CF72D5" w:rsidP="00C51680">
            <w:pPr>
              <w:pStyle w:val="ARtabletextrightbold"/>
              <w:spacing w:before="40" w:after="20"/>
            </w:pPr>
            <w:r w:rsidRPr="002029AF">
              <w:t>1</w:t>
            </w:r>
          </w:p>
        </w:tc>
        <w:tc>
          <w:tcPr>
            <w:tcW w:w="872" w:type="dxa"/>
            <w:hideMark/>
          </w:tcPr>
          <w:p w14:paraId="781F4BAA" w14:textId="2F91FBD3" w:rsidR="00CF72D5" w:rsidRPr="002029AF" w:rsidRDefault="00CF72D5" w:rsidP="00C51680">
            <w:pPr>
              <w:pStyle w:val="ARtabletextright"/>
              <w:spacing w:before="40" w:after="20"/>
            </w:pPr>
            <w:r w:rsidRPr="002029AF">
              <w:t>0</w:t>
            </w:r>
          </w:p>
        </w:tc>
        <w:tc>
          <w:tcPr>
            <w:tcW w:w="887" w:type="dxa"/>
            <w:hideMark/>
          </w:tcPr>
          <w:p w14:paraId="63A6B2E4" w14:textId="0E769A4F" w:rsidR="00CF72D5" w:rsidRPr="002029AF" w:rsidRDefault="00CF72D5" w:rsidP="00C51680">
            <w:pPr>
              <w:pStyle w:val="ARtabletextright"/>
              <w:spacing w:before="40" w:after="20"/>
            </w:pPr>
            <w:r w:rsidRPr="002029AF">
              <w:t>0</w:t>
            </w:r>
          </w:p>
        </w:tc>
        <w:tc>
          <w:tcPr>
            <w:tcW w:w="1022" w:type="dxa"/>
            <w:hideMark/>
          </w:tcPr>
          <w:p w14:paraId="0D29B1AB" w14:textId="770A7534" w:rsidR="00CF72D5" w:rsidRPr="002029AF" w:rsidRDefault="00CF72D5" w:rsidP="00C51680">
            <w:pPr>
              <w:pStyle w:val="ARtabletextright"/>
              <w:spacing w:before="40" w:after="20"/>
            </w:pPr>
            <w:r w:rsidRPr="002029AF">
              <w:t>0</w:t>
            </w:r>
          </w:p>
        </w:tc>
        <w:tc>
          <w:tcPr>
            <w:tcW w:w="887" w:type="dxa"/>
            <w:hideMark/>
          </w:tcPr>
          <w:p w14:paraId="1391A29F" w14:textId="673F480B" w:rsidR="00CF72D5" w:rsidRPr="002029AF" w:rsidRDefault="00CF72D5" w:rsidP="00C51680">
            <w:pPr>
              <w:pStyle w:val="ARtabletextrightbold"/>
              <w:spacing w:before="40" w:after="20"/>
            </w:pPr>
            <w:r w:rsidRPr="002029AF">
              <w:t>0</w:t>
            </w:r>
          </w:p>
        </w:tc>
      </w:tr>
      <w:tr w:rsidR="00CF72D5" w:rsidRPr="002029AF" w14:paraId="5F4329CB" w14:textId="77777777" w:rsidTr="00D40FE6">
        <w:tc>
          <w:tcPr>
            <w:tcW w:w="2944" w:type="dxa"/>
            <w:hideMark/>
          </w:tcPr>
          <w:p w14:paraId="2750C50D" w14:textId="63D31CCA" w:rsidR="00CF72D5" w:rsidRPr="002029AF" w:rsidRDefault="00CF72D5" w:rsidP="00C51680">
            <w:pPr>
              <w:pStyle w:val="ARtabletext"/>
              <w:spacing w:before="40" w:after="20"/>
            </w:pPr>
            <w:r w:rsidRPr="002029AF">
              <w:t>Kerang</w:t>
            </w:r>
            <w:r w:rsidR="000A5329" w:rsidRPr="002029AF">
              <w:t xml:space="preserve"> </w:t>
            </w:r>
            <w:r w:rsidRPr="002029AF">
              <w:t>District</w:t>
            </w:r>
            <w:r w:rsidR="000A5329" w:rsidRPr="002029AF">
              <w:t xml:space="preserve"> </w:t>
            </w:r>
            <w:r w:rsidRPr="002029AF">
              <w:t>Health</w:t>
            </w:r>
          </w:p>
        </w:tc>
        <w:tc>
          <w:tcPr>
            <w:tcW w:w="871" w:type="dxa"/>
            <w:hideMark/>
          </w:tcPr>
          <w:p w14:paraId="60A45C10" w14:textId="01BBCD74" w:rsidR="00CF72D5" w:rsidRPr="002029AF" w:rsidRDefault="00CF72D5" w:rsidP="00C51680">
            <w:pPr>
              <w:pStyle w:val="ARtabletextright"/>
              <w:spacing w:before="40" w:after="20"/>
            </w:pPr>
            <w:r w:rsidRPr="002029AF">
              <w:t>0</w:t>
            </w:r>
          </w:p>
        </w:tc>
        <w:tc>
          <w:tcPr>
            <w:tcW w:w="886" w:type="dxa"/>
            <w:hideMark/>
          </w:tcPr>
          <w:p w14:paraId="1C6CB193" w14:textId="1CC58D7F" w:rsidR="00CF72D5" w:rsidRPr="002029AF" w:rsidRDefault="00CF72D5" w:rsidP="00C51680">
            <w:pPr>
              <w:pStyle w:val="ARtabletextright"/>
              <w:spacing w:before="40" w:after="20"/>
            </w:pPr>
            <w:r w:rsidRPr="002029AF">
              <w:t>1</w:t>
            </w:r>
          </w:p>
        </w:tc>
        <w:tc>
          <w:tcPr>
            <w:tcW w:w="1021" w:type="dxa"/>
            <w:hideMark/>
          </w:tcPr>
          <w:p w14:paraId="10E50D20" w14:textId="61D1F703" w:rsidR="00CF72D5" w:rsidRPr="002029AF" w:rsidRDefault="00CF72D5" w:rsidP="00C51680">
            <w:pPr>
              <w:pStyle w:val="ARtabletextright"/>
              <w:spacing w:before="40" w:after="20"/>
            </w:pPr>
            <w:r w:rsidRPr="002029AF">
              <w:t>0</w:t>
            </w:r>
          </w:p>
        </w:tc>
        <w:tc>
          <w:tcPr>
            <w:tcW w:w="917" w:type="dxa"/>
            <w:hideMark/>
          </w:tcPr>
          <w:p w14:paraId="3E354B5C" w14:textId="4EFE0F92" w:rsidR="00CF72D5" w:rsidRPr="002029AF" w:rsidRDefault="00CF72D5" w:rsidP="00C51680">
            <w:pPr>
              <w:pStyle w:val="ARtabletextrightbold"/>
              <w:spacing w:before="40" w:after="20"/>
            </w:pPr>
            <w:r w:rsidRPr="002029AF">
              <w:t>1</w:t>
            </w:r>
          </w:p>
        </w:tc>
        <w:tc>
          <w:tcPr>
            <w:tcW w:w="887" w:type="dxa"/>
            <w:hideMark/>
          </w:tcPr>
          <w:p w14:paraId="1D98CDE2" w14:textId="03A839F2" w:rsidR="00CF72D5" w:rsidRPr="002029AF" w:rsidRDefault="00CF72D5" w:rsidP="00C51680">
            <w:pPr>
              <w:pStyle w:val="ARtabletextright"/>
              <w:spacing w:before="40" w:after="20"/>
            </w:pPr>
            <w:r w:rsidRPr="002029AF">
              <w:t>0</w:t>
            </w:r>
          </w:p>
        </w:tc>
        <w:tc>
          <w:tcPr>
            <w:tcW w:w="887" w:type="dxa"/>
            <w:hideMark/>
          </w:tcPr>
          <w:p w14:paraId="0A1F1931" w14:textId="67C3AD96" w:rsidR="00CF72D5" w:rsidRPr="002029AF" w:rsidRDefault="00CF72D5" w:rsidP="00C51680">
            <w:pPr>
              <w:pStyle w:val="ARtabletextright"/>
              <w:spacing w:before="40" w:after="20"/>
            </w:pPr>
            <w:r w:rsidRPr="002029AF">
              <w:t>1</w:t>
            </w:r>
          </w:p>
        </w:tc>
        <w:tc>
          <w:tcPr>
            <w:tcW w:w="1022" w:type="dxa"/>
            <w:hideMark/>
          </w:tcPr>
          <w:p w14:paraId="66162838" w14:textId="58E747EE" w:rsidR="00CF72D5" w:rsidRPr="002029AF" w:rsidRDefault="00CF72D5" w:rsidP="00C51680">
            <w:pPr>
              <w:pStyle w:val="ARtabletextright"/>
              <w:spacing w:before="40" w:after="20"/>
            </w:pPr>
            <w:r w:rsidRPr="002029AF">
              <w:t>0</w:t>
            </w:r>
          </w:p>
        </w:tc>
        <w:tc>
          <w:tcPr>
            <w:tcW w:w="902" w:type="dxa"/>
            <w:hideMark/>
          </w:tcPr>
          <w:p w14:paraId="7B11C7C1" w14:textId="3BBF59A4" w:rsidR="00CF72D5" w:rsidRPr="002029AF" w:rsidRDefault="00CF72D5" w:rsidP="00C51680">
            <w:pPr>
              <w:pStyle w:val="ARtabletextrightbold"/>
              <w:spacing w:before="40" w:after="20"/>
            </w:pPr>
            <w:r w:rsidRPr="002029AF">
              <w:t>1</w:t>
            </w:r>
          </w:p>
        </w:tc>
        <w:tc>
          <w:tcPr>
            <w:tcW w:w="872" w:type="dxa"/>
            <w:hideMark/>
          </w:tcPr>
          <w:p w14:paraId="74292807" w14:textId="36DEBCCC" w:rsidR="00CF72D5" w:rsidRPr="002029AF" w:rsidRDefault="00CF72D5" w:rsidP="00C51680">
            <w:pPr>
              <w:pStyle w:val="ARtabletextright"/>
              <w:spacing w:before="40" w:after="20"/>
            </w:pPr>
            <w:r w:rsidRPr="002029AF">
              <w:t>0</w:t>
            </w:r>
          </w:p>
        </w:tc>
        <w:tc>
          <w:tcPr>
            <w:tcW w:w="887" w:type="dxa"/>
            <w:hideMark/>
          </w:tcPr>
          <w:p w14:paraId="69F18A8E" w14:textId="19FDBE3F" w:rsidR="00CF72D5" w:rsidRPr="002029AF" w:rsidRDefault="00CF72D5" w:rsidP="00C51680">
            <w:pPr>
              <w:pStyle w:val="ARtabletextright"/>
              <w:spacing w:before="40" w:after="20"/>
            </w:pPr>
            <w:r w:rsidRPr="002029AF">
              <w:t>0</w:t>
            </w:r>
          </w:p>
        </w:tc>
        <w:tc>
          <w:tcPr>
            <w:tcW w:w="1022" w:type="dxa"/>
            <w:hideMark/>
          </w:tcPr>
          <w:p w14:paraId="725D46B8" w14:textId="36782C16" w:rsidR="00CF72D5" w:rsidRPr="002029AF" w:rsidRDefault="00CF72D5" w:rsidP="00C51680">
            <w:pPr>
              <w:pStyle w:val="ARtabletextright"/>
              <w:spacing w:before="40" w:after="20"/>
            </w:pPr>
            <w:r w:rsidRPr="002029AF">
              <w:t>0</w:t>
            </w:r>
          </w:p>
        </w:tc>
        <w:tc>
          <w:tcPr>
            <w:tcW w:w="887" w:type="dxa"/>
            <w:hideMark/>
          </w:tcPr>
          <w:p w14:paraId="7F6EF893" w14:textId="3B40207C" w:rsidR="00CF72D5" w:rsidRPr="002029AF" w:rsidRDefault="00CF72D5" w:rsidP="00C51680">
            <w:pPr>
              <w:pStyle w:val="ARtabletextrightbold"/>
              <w:spacing w:before="40" w:after="20"/>
            </w:pPr>
            <w:r w:rsidRPr="002029AF">
              <w:t>0</w:t>
            </w:r>
          </w:p>
        </w:tc>
      </w:tr>
      <w:tr w:rsidR="00CF72D5" w:rsidRPr="002029AF" w14:paraId="428BB85B" w14:textId="77777777" w:rsidTr="00D40FE6">
        <w:tc>
          <w:tcPr>
            <w:tcW w:w="2944" w:type="dxa"/>
            <w:hideMark/>
          </w:tcPr>
          <w:p w14:paraId="2EA73D78" w14:textId="74B30AF9" w:rsidR="00CF72D5" w:rsidRPr="002029AF" w:rsidRDefault="00CF72D5" w:rsidP="00C51680">
            <w:pPr>
              <w:pStyle w:val="ARtabletext"/>
              <w:spacing w:before="40" w:after="20"/>
            </w:pPr>
            <w:r w:rsidRPr="002029AF">
              <w:t>Kilmore</w:t>
            </w:r>
            <w:r w:rsidR="000A5329" w:rsidRPr="002029AF">
              <w:t xml:space="preserve"> </w:t>
            </w:r>
            <w:r w:rsidRPr="002029AF">
              <w:t>and</w:t>
            </w:r>
            <w:r w:rsidR="000A5329" w:rsidRPr="002029AF">
              <w:t xml:space="preserve"> </w:t>
            </w:r>
            <w:r w:rsidRPr="002029AF">
              <w:t>District</w:t>
            </w:r>
            <w:r w:rsidR="000A5329" w:rsidRPr="002029AF">
              <w:t xml:space="preserve"> </w:t>
            </w:r>
            <w:r w:rsidRPr="002029AF">
              <w:t>Hospital</w:t>
            </w:r>
          </w:p>
        </w:tc>
        <w:tc>
          <w:tcPr>
            <w:tcW w:w="871" w:type="dxa"/>
            <w:hideMark/>
          </w:tcPr>
          <w:p w14:paraId="60EDED92" w14:textId="262AFC61" w:rsidR="00CF72D5" w:rsidRPr="002029AF" w:rsidRDefault="00CF72D5" w:rsidP="00C51680">
            <w:pPr>
              <w:pStyle w:val="ARtabletextright"/>
              <w:spacing w:before="40" w:after="20"/>
            </w:pPr>
            <w:r w:rsidRPr="002029AF">
              <w:t>1</w:t>
            </w:r>
          </w:p>
        </w:tc>
        <w:tc>
          <w:tcPr>
            <w:tcW w:w="886" w:type="dxa"/>
            <w:hideMark/>
          </w:tcPr>
          <w:p w14:paraId="22BFF719" w14:textId="5A20EC14" w:rsidR="00CF72D5" w:rsidRPr="002029AF" w:rsidRDefault="00CF72D5" w:rsidP="00C51680">
            <w:pPr>
              <w:pStyle w:val="ARtabletextright"/>
              <w:spacing w:before="40" w:after="20"/>
            </w:pPr>
            <w:r w:rsidRPr="002029AF">
              <w:t>0</w:t>
            </w:r>
          </w:p>
        </w:tc>
        <w:tc>
          <w:tcPr>
            <w:tcW w:w="1021" w:type="dxa"/>
            <w:hideMark/>
          </w:tcPr>
          <w:p w14:paraId="397733A1" w14:textId="3C0DA91C" w:rsidR="00CF72D5" w:rsidRPr="002029AF" w:rsidRDefault="00CF72D5" w:rsidP="00C51680">
            <w:pPr>
              <w:pStyle w:val="ARtabletextright"/>
              <w:spacing w:before="40" w:after="20"/>
            </w:pPr>
            <w:r w:rsidRPr="002029AF">
              <w:t>0</w:t>
            </w:r>
          </w:p>
        </w:tc>
        <w:tc>
          <w:tcPr>
            <w:tcW w:w="917" w:type="dxa"/>
            <w:hideMark/>
          </w:tcPr>
          <w:p w14:paraId="2D046E26" w14:textId="731D7BF3" w:rsidR="00CF72D5" w:rsidRPr="002029AF" w:rsidRDefault="00CF72D5" w:rsidP="00C51680">
            <w:pPr>
              <w:pStyle w:val="ARtabletextrightbold"/>
              <w:spacing w:before="40" w:after="20"/>
            </w:pPr>
            <w:r w:rsidRPr="002029AF">
              <w:t>1</w:t>
            </w:r>
          </w:p>
        </w:tc>
        <w:tc>
          <w:tcPr>
            <w:tcW w:w="887" w:type="dxa"/>
            <w:hideMark/>
          </w:tcPr>
          <w:p w14:paraId="1E02664C" w14:textId="4D28FEE1" w:rsidR="00CF72D5" w:rsidRPr="002029AF" w:rsidRDefault="00CF72D5" w:rsidP="00C51680">
            <w:pPr>
              <w:pStyle w:val="ARtabletextright"/>
              <w:spacing w:before="40" w:after="20"/>
            </w:pPr>
            <w:r w:rsidRPr="002029AF">
              <w:t>1</w:t>
            </w:r>
          </w:p>
        </w:tc>
        <w:tc>
          <w:tcPr>
            <w:tcW w:w="887" w:type="dxa"/>
            <w:hideMark/>
          </w:tcPr>
          <w:p w14:paraId="5D1B37D1" w14:textId="38C6E344" w:rsidR="00CF72D5" w:rsidRPr="002029AF" w:rsidRDefault="00CF72D5" w:rsidP="00C51680">
            <w:pPr>
              <w:pStyle w:val="ARtabletextright"/>
              <w:spacing w:before="40" w:after="20"/>
            </w:pPr>
            <w:r w:rsidRPr="002029AF">
              <w:t>0</w:t>
            </w:r>
          </w:p>
        </w:tc>
        <w:tc>
          <w:tcPr>
            <w:tcW w:w="1022" w:type="dxa"/>
            <w:hideMark/>
          </w:tcPr>
          <w:p w14:paraId="78392E54" w14:textId="41098643" w:rsidR="00CF72D5" w:rsidRPr="002029AF" w:rsidRDefault="00CF72D5" w:rsidP="00C51680">
            <w:pPr>
              <w:pStyle w:val="ARtabletextright"/>
              <w:spacing w:before="40" w:after="20"/>
            </w:pPr>
            <w:r w:rsidRPr="002029AF">
              <w:t>0</w:t>
            </w:r>
          </w:p>
        </w:tc>
        <w:tc>
          <w:tcPr>
            <w:tcW w:w="902" w:type="dxa"/>
            <w:hideMark/>
          </w:tcPr>
          <w:p w14:paraId="44B351D0" w14:textId="25709B06" w:rsidR="00CF72D5" w:rsidRPr="002029AF" w:rsidRDefault="00CF72D5" w:rsidP="00C51680">
            <w:pPr>
              <w:pStyle w:val="ARtabletextrightbold"/>
              <w:spacing w:before="40" w:after="20"/>
            </w:pPr>
            <w:r w:rsidRPr="002029AF">
              <w:t>1</w:t>
            </w:r>
          </w:p>
        </w:tc>
        <w:tc>
          <w:tcPr>
            <w:tcW w:w="872" w:type="dxa"/>
            <w:hideMark/>
          </w:tcPr>
          <w:p w14:paraId="2E5677CC" w14:textId="6BF7F11F" w:rsidR="00CF72D5" w:rsidRPr="002029AF" w:rsidRDefault="00CF72D5" w:rsidP="00C51680">
            <w:pPr>
              <w:pStyle w:val="ARtabletextright"/>
              <w:spacing w:before="40" w:after="20"/>
            </w:pPr>
            <w:r w:rsidRPr="002029AF">
              <w:t>0</w:t>
            </w:r>
          </w:p>
        </w:tc>
        <w:tc>
          <w:tcPr>
            <w:tcW w:w="887" w:type="dxa"/>
            <w:hideMark/>
          </w:tcPr>
          <w:p w14:paraId="463EA1C7" w14:textId="21EA1817" w:rsidR="00CF72D5" w:rsidRPr="002029AF" w:rsidRDefault="00CF72D5" w:rsidP="00C51680">
            <w:pPr>
              <w:pStyle w:val="ARtabletextright"/>
              <w:spacing w:before="40" w:after="20"/>
            </w:pPr>
            <w:r w:rsidRPr="002029AF">
              <w:t>0</w:t>
            </w:r>
          </w:p>
        </w:tc>
        <w:tc>
          <w:tcPr>
            <w:tcW w:w="1022" w:type="dxa"/>
            <w:hideMark/>
          </w:tcPr>
          <w:p w14:paraId="6BD132DF" w14:textId="2CAAFE80" w:rsidR="00CF72D5" w:rsidRPr="002029AF" w:rsidRDefault="00CF72D5" w:rsidP="00C51680">
            <w:pPr>
              <w:pStyle w:val="ARtabletextright"/>
              <w:spacing w:before="40" w:after="20"/>
            </w:pPr>
            <w:r w:rsidRPr="002029AF">
              <w:t>0</w:t>
            </w:r>
          </w:p>
        </w:tc>
        <w:tc>
          <w:tcPr>
            <w:tcW w:w="887" w:type="dxa"/>
            <w:hideMark/>
          </w:tcPr>
          <w:p w14:paraId="53997E36" w14:textId="36F24DAA" w:rsidR="00CF72D5" w:rsidRPr="002029AF" w:rsidRDefault="00CF72D5" w:rsidP="00C51680">
            <w:pPr>
              <w:pStyle w:val="ARtabletextrightbold"/>
              <w:spacing w:before="40" w:after="20"/>
            </w:pPr>
            <w:r w:rsidRPr="002029AF">
              <w:t>0</w:t>
            </w:r>
          </w:p>
        </w:tc>
      </w:tr>
      <w:tr w:rsidR="00CF72D5" w:rsidRPr="002029AF" w14:paraId="723D8D15" w14:textId="77777777" w:rsidTr="00D40FE6">
        <w:tc>
          <w:tcPr>
            <w:tcW w:w="2944" w:type="dxa"/>
            <w:hideMark/>
          </w:tcPr>
          <w:p w14:paraId="052C53A1" w14:textId="5EB40EF2" w:rsidR="00CF72D5" w:rsidRPr="002029AF" w:rsidRDefault="00CF72D5" w:rsidP="00C51680">
            <w:pPr>
              <w:pStyle w:val="ARtabletext"/>
              <w:spacing w:before="40" w:after="20"/>
            </w:pPr>
            <w:r w:rsidRPr="002029AF">
              <w:lastRenderedPageBreak/>
              <w:t>Kooweerup</w:t>
            </w:r>
            <w:r w:rsidR="000A5329" w:rsidRPr="002029AF">
              <w:t xml:space="preserve"> </w:t>
            </w:r>
            <w:r w:rsidRPr="002029AF">
              <w:t>Regional</w:t>
            </w:r>
            <w:r w:rsidR="000A5329" w:rsidRPr="002029AF">
              <w:t xml:space="preserve"> </w:t>
            </w:r>
            <w:r w:rsidRPr="002029AF">
              <w:t>Health</w:t>
            </w:r>
            <w:r w:rsidR="000A5329" w:rsidRPr="002029AF">
              <w:t xml:space="preserve"> </w:t>
            </w:r>
            <w:r w:rsidRPr="002029AF">
              <w:t>Service</w:t>
            </w:r>
          </w:p>
        </w:tc>
        <w:tc>
          <w:tcPr>
            <w:tcW w:w="871" w:type="dxa"/>
            <w:hideMark/>
          </w:tcPr>
          <w:p w14:paraId="1090EF6E" w14:textId="089A5272" w:rsidR="00CF72D5" w:rsidRPr="002029AF" w:rsidRDefault="00CF72D5" w:rsidP="00C51680">
            <w:pPr>
              <w:pStyle w:val="ARtabletextright"/>
              <w:spacing w:before="40" w:after="20"/>
            </w:pPr>
            <w:r w:rsidRPr="002029AF">
              <w:t>0</w:t>
            </w:r>
          </w:p>
        </w:tc>
        <w:tc>
          <w:tcPr>
            <w:tcW w:w="886" w:type="dxa"/>
            <w:hideMark/>
          </w:tcPr>
          <w:p w14:paraId="233DFB52" w14:textId="2359912B" w:rsidR="00CF72D5" w:rsidRPr="002029AF" w:rsidRDefault="00CF72D5" w:rsidP="00C51680">
            <w:pPr>
              <w:pStyle w:val="ARtabletextright"/>
              <w:spacing w:before="40" w:after="20"/>
            </w:pPr>
            <w:r w:rsidRPr="002029AF">
              <w:t>1</w:t>
            </w:r>
          </w:p>
        </w:tc>
        <w:tc>
          <w:tcPr>
            <w:tcW w:w="1021" w:type="dxa"/>
            <w:hideMark/>
          </w:tcPr>
          <w:p w14:paraId="1BDF40A6" w14:textId="3E22E97A" w:rsidR="00CF72D5" w:rsidRPr="002029AF" w:rsidRDefault="00CF72D5" w:rsidP="00C51680">
            <w:pPr>
              <w:pStyle w:val="ARtabletextright"/>
              <w:spacing w:before="40" w:after="20"/>
            </w:pPr>
            <w:r w:rsidRPr="002029AF">
              <w:t>0</w:t>
            </w:r>
          </w:p>
        </w:tc>
        <w:tc>
          <w:tcPr>
            <w:tcW w:w="917" w:type="dxa"/>
            <w:hideMark/>
          </w:tcPr>
          <w:p w14:paraId="5EBFDB32" w14:textId="5C63B267" w:rsidR="00CF72D5" w:rsidRPr="002029AF" w:rsidRDefault="00CF72D5" w:rsidP="00C51680">
            <w:pPr>
              <w:pStyle w:val="ARtabletextrightbold"/>
              <w:spacing w:before="40" w:after="20"/>
            </w:pPr>
            <w:r w:rsidRPr="002029AF">
              <w:t>1</w:t>
            </w:r>
          </w:p>
        </w:tc>
        <w:tc>
          <w:tcPr>
            <w:tcW w:w="887" w:type="dxa"/>
            <w:hideMark/>
          </w:tcPr>
          <w:p w14:paraId="01490487" w14:textId="77C00563" w:rsidR="00CF72D5" w:rsidRPr="002029AF" w:rsidRDefault="00CF72D5" w:rsidP="00C51680">
            <w:pPr>
              <w:pStyle w:val="ARtabletextright"/>
              <w:spacing w:before="40" w:after="20"/>
            </w:pPr>
            <w:r w:rsidRPr="002029AF">
              <w:t>0</w:t>
            </w:r>
          </w:p>
        </w:tc>
        <w:tc>
          <w:tcPr>
            <w:tcW w:w="887" w:type="dxa"/>
            <w:hideMark/>
          </w:tcPr>
          <w:p w14:paraId="693F7014" w14:textId="1C9B9D5B" w:rsidR="00CF72D5" w:rsidRPr="002029AF" w:rsidRDefault="00CF72D5" w:rsidP="00C51680">
            <w:pPr>
              <w:pStyle w:val="ARtabletextright"/>
              <w:spacing w:before="40" w:after="20"/>
            </w:pPr>
            <w:r w:rsidRPr="002029AF">
              <w:t>1</w:t>
            </w:r>
          </w:p>
        </w:tc>
        <w:tc>
          <w:tcPr>
            <w:tcW w:w="1022" w:type="dxa"/>
            <w:hideMark/>
          </w:tcPr>
          <w:p w14:paraId="41BBA295" w14:textId="18F05F3D" w:rsidR="00CF72D5" w:rsidRPr="002029AF" w:rsidRDefault="00CF72D5" w:rsidP="00C51680">
            <w:pPr>
              <w:pStyle w:val="ARtabletextright"/>
              <w:spacing w:before="40" w:after="20"/>
            </w:pPr>
            <w:r w:rsidRPr="002029AF">
              <w:t>0</w:t>
            </w:r>
          </w:p>
        </w:tc>
        <w:tc>
          <w:tcPr>
            <w:tcW w:w="902" w:type="dxa"/>
            <w:hideMark/>
          </w:tcPr>
          <w:p w14:paraId="565901F9" w14:textId="58825CF5" w:rsidR="00CF72D5" w:rsidRPr="002029AF" w:rsidRDefault="00CF72D5" w:rsidP="00C51680">
            <w:pPr>
              <w:pStyle w:val="ARtabletextrightbold"/>
              <w:spacing w:before="40" w:after="20"/>
            </w:pPr>
            <w:r w:rsidRPr="002029AF">
              <w:t>1</w:t>
            </w:r>
          </w:p>
        </w:tc>
        <w:tc>
          <w:tcPr>
            <w:tcW w:w="872" w:type="dxa"/>
            <w:hideMark/>
          </w:tcPr>
          <w:p w14:paraId="2FAD911D" w14:textId="1C350CE1" w:rsidR="00CF72D5" w:rsidRPr="002029AF" w:rsidRDefault="00CF72D5" w:rsidP="00C51680">
            <w:pPr>
              <w:pStyle w:val="ARtabletextright"/>
              <w:spacing w:before="40" w:after="20"/>
            </w:pPr>
            <w:r w:rsidRPr="002029AF">
              <w:t>0</w:t>
            </w:r>
          </w:p>
        </w:tc>
        <w:tc>
          <w:tcPr>
            <w:tcW w:w="887" w:type="dxa"/>
            <w:hideMark/>
          </w:tcPr>
          <w:p w14:paraId="30A4CF57" w14:textId="3A3BE077" w:rsidR="00CF72D5" w:rsidRPr="002029AF" w:rsidRDefault="00CF72D5" w:rsidP="00C51680">
            <w:pPr>
              <w:pStyle w:val="ARtabletextright"/>
              <w:spacing w:before="40" w:after="20"/>
            </w:pPr>
            <w:r w:rsidRPr="002029AF">
              <w:t>0</w:t>
            </w:r>
          </w:p>
        </w:tc>
        <w:tc>
          <w:tcPr>
            <w:tcW w:w="1022" w:type="dxa"/>
            <w:hideMark/>
          </w:tcPr>
          <w:p w14:paraId="3DB31339" w14:textId="261F0F12" w:rsidR="00CF72D5" w:rsidRPr="002029AF" w:rsidRDefault="00CF72D5" w:rsidP="00C51680">
            <w:pPr>
              <w:pStyle w:val="ARtabletextright"/>
              <w:spacing w:before="40" w:after="20"/>
            </w:pPr>
            <w:r w:rsidRPr="002029AF">
              <w:t>0</w:t>
            </w:r>
          </w:p>
        </w:tc>
        <w:tc>
          <w:tcPr>
            <w:tcW w:w="887" w:type="dxa"/>
            <w:hideMark/>
          </w:tcPr>
          <w:p w14:paraId="19F54AA6" w14:textId="1091F737" w:rsidR="00CF72D5" w:rsidRPr="002029AF" w:rsidRDefault="00CF72D5" w:rsidP="00C51680">
            <w:pPr>
              <w:pStyle w:val="ARtabletextrightbold"/>
              <w:spacing w:before="40" w:after="20"/>
            </w:pPr>
            <w:r w:rsidRPr="002029AF">
              <w:t>0</w:t>
            </w:r>
          </w:p>
        </w:tc>
      </w:tr>
      <w:tr w:rsidR="00CF72D5" w:rsidRPr="002029AF" w14:paraId="6B3C0BBA" w14:textId="77777777" w:rsidTr="00D40FE6">
        <w:tc>
          <w:tcPr>
            <w:tcW w:w="2944" w:type="dxa"/>
            <w:hideMark/>
          </w:tcPr>
          <w:p w14:paraId="3E5A431C" w14:textId="6FFBEB90" w:rsidR="00CF72D5" w:rsidRPr="002029AF" w:rsidRDefault="00CF72D5" w:rsidP="00C51680">
            <w:pPr>
              <w:pStyle w:val="ARtabletext"/>
              <w:spacing w:before="40" w:after="20"/>
            </w:pPr>
            <w:r w:rsidRPr="002029AF">
              <w:t>Kyabram</w:t>
            </w:r>
            <w:r w:rsidR="000A5329" w:rsidRPr="002029AF">
              <w:t xml:space="preserve"> </w:t>
            </w:r>
            <w:r w:rsidRPr="002029AF">
              <w:t>and</w:t>
            </w:r>
            <w:r w:rsidR="000A5329" w:rsidRPr="002029AF">
              <w:t xml:space="preserve"> </w:t>
            </w:r>
            <w:r w:rsidRPr="002029AF">
              <w:t>District</w:t>
            </w:r>
            <w:r w:rsidR="000A5329" w:rsidRPr="002029AF">
              <w:t xml:space="preserve"> </w:t>
            </w:r>
            <w:r w:rsidRPr="002029AF">
              <w:t>Health</w:t>
            </w:r>
            <w:r w:rsidR="000A5329" w:rsidRPr="002029AF">
              <w:t xml:space="preserve"> </w:t>
            </w:r>
            <w:r w:rsidRPr="002029AF">
              <w:t>Services</w:t>
            </w:r>
          </w:p>
        </w:tc>
        <w:tc>
          <w:tcPr>
            <w:tcW w:w="871" w:type="dxa"/>
            <w:hideMark/>
          </w:tcPr>
          <w:p w14:paraId="27CD52FA" w14:textId="4AC5AC02" w:rsidR="00CF72D5" w:rsidRPr="002029AF" w:rsidRDefault="00CF72D5" w:rsidP="00C51680">
            <w:pPr>
              <w:pStyle w:val="ARtabletextright"/>
              <w:spacing w:before="40" w:after="20"/>
            </w:pPr>
            <w:r w:rsidRPr="002029AF">
              <w:t>1</w:t>
            </w:r>
          </w:p>
        </w:tc>
        <w:tc>
          <w:tcPr>
            <w:tcW w:w="886" w:type="dxa"/>
            <w:hideMark/>
          </w:tcPr>
          <w:p w14:paraId="0AF51771" w14:textId="1C6496F4" w:rsidR="00CF72D5" w:rsidRPr="002029AF" w:rsidRDefault="00CF72D5" w:rsidP="00C51680">
            <w:pPr>
              <w:pStyle w:val="ARtabletextright"/>
              <w:spacing w:before="40" w:after="20"/>
            </w:pPr>
            <w:r w:rsidRPr="002029AF">
              <w:t>0</w:t>
            </w:r>
          </w:p>
        </w:tc>
        <w:tc>
          <w:tcPr>
            <w:tcW w:w="1021" w:type="dxa"/>
            <w:hideMark/>
          </w:tcPr>
          <w:p w14:paraId="7790FCA0" w14:textId="59FFDA64" w:rsidR="00CF72D5" w:rsidRPr="002029AF" w:rsidRDefault="00CF72D5" w:rsidP="00C51680">
            <w:pPr>
              <w:pStyle w:val="ARtabletextright"/>
              <w:spacing w:before="40" w:after="20"/>
            </w:pPr>
            <w:r w:rsidRPr="002029AF">
              <w:t>0</w:t>
            </w:r>
          </w:p>
        </w:tc>
        <w:tc>
          <w:tcPr>
            <w:tcW w:w="917" w:type="dxa"/>
            <w:hideMark/>
          </w:tcPr>
          <w:p w14:paraId="10387745" w14:textId="476A20AB" w:rsidR="00CF72D5" w:rsidRPr="002029AF" w:rsidRDefault="00CF72D5" w:rsidP="00C51680">
            <w:pPr>
              <w:pStyle w:val="ARtabletextrightbold"/>
              <w:spacing w:before="40" w:after="20"/>
            </w:pPr>
            <w:r w:rsidRPr="002029AF">
              <w:t>1</w:t>
            </w:r>
          </w:p>
        </w:tc>
        <w:tc>
          <w:tcPr>
            <w:tcW w:w="887" w:type="dxa"/>
            <w:hideMark/>
          </w:tcPr>
          <w:p w14:paraId="61445055" w14:textId="4D742101" w:rsidR="00CF72D5" w:rsidRPr="002029AF" w:rsidRDefault="00CF72D5" w:rsidP="00C51680">
            <w:pPr>
              <w:pStyle w:val="ARtabletextright"/>
              <w:spacing w:before="40" w:after="20"/>
            </w:pPr>
            <w:r w:rsidRPr="002029AF">
              <w:t>0</w:t>
            </w:r>
          </w:p>
        </w:tc>
        <w:tc>
          <w:tcPr>
            <w:tcW w:w="887" w:type="dxa"/>
            <w:hideMark/>
          </w:tcPr>
          <w:p w14:paraId="14CAA48C" w14:textId="7B22F7E1" w:rsidR="00CF72D5" w:rsidRPr="002029AF" w:rsidRDefault="00CF72D5" w:rsidP="00C51680">
            <w:pPr>
              <w:pStyle w:val="ARtabletextright"/>
              <w:spacing w:before="40" w:after="20"/>
            </w:pPr>
            <w:r w:rsidRPr="002029AF">
              <w:t>0</w:t>
            </w:r>
          </w:p>
        </w:tc>
        <w:tc>
          <w:tcPr>
            <w:tcW w:w="1022" w:type="dxa"/>
            <w:hideMark/>
          </w:tcPr>
          <w:p w14:paraId="3D175644" w14:textId="078C6EC0" w:rsidR="00CF72D5" w:rsidRPr="002029AF" w:rsidRDefault="00CF72D5" w:rsidP="00C51680">
            <w:pPr>
              <w:pStyle w:val="ARtabletextright"/>
              <w:spacing w:before="40" w:after="20"/>
            </w:pPr>
            <w:r w:rsidRPr="002029AF">
              <w:t>0</w:t>
            </w:r>
          </w:p>
        </w:tc>
        <w:tc>
          <w:tcPr>
            <w:tcW w:w="902" w:type="dxa"/>
            <w:hideMark/>
          </w:tcPr>
          <w:p w14:paraId="43554C83" w14:textId="3181608A" w:rsidR="00CF72D5" w:rsidRPr="002029AF" w:rsidRDefault="00CF72D5" w:rsidP="00C51680">
            <w:pPr>
              <w:pStyle w:val="ARtabletextrightbold"/>
              <w:spacing w:before="40" w:after="20"/>
            </w:pPr>
            <w:r w:rsidRPr="002029AF">
              <w:t>0</w:t>
            </w:r>
          </w:p>
        </w:tc>
        <w:tc>
          <w:tcPr>
            <w:tcW w:w="872" w:type="dxa"/>
            <w:hideMark/>
          </w:tcPr>
          <w:p w14:paraId="3A652750" w14:textId="4B616F17" w:rsidR="00CF72D5" w:rsidRPr="002029AF" w:rsidRDefault="00CF72D5" w:rsidP="00C51680">
            <w:pPr>
              <w:pStyle w:val="ARtabletextright"/>
              <w:spacing w:before="40" w:after="20"/>
            </w:pPr>
            <w:r w:rsidRPr="002029AF">
              <w:t>1</w:t>
            </w:r>
          </w:p>
        </w:tc>
        <w:tc>
          <w:tcPr>
            <w:tcW w:w="887" w:type="dxa"/>
            <w:hideMark/>
          </w:tcPr>
          <w:p w14:paraId="55A20D37" w14:textId="73EFA0D7" w:rsidR="00CF72D5" w:rsidRPr="002029AF" w:rsidRDefault="00CF72D5" w:rsidP="00C51680">
            <w:pPr>
              <w:pStyle w:val="ARtabletextright"/>
              <w:spacing w:before="40" w:after="20"/>
            </w:pPr>
            <w:r w:rsidRPr="002029AF">
              <w:t>0</w:t>
            </w:r>
          </w:p>
        </w:tc>
        <w:tc>
          <w:tcPr>
            <w:tcW w:w="1022" w:type="dxa"/>
            <w:hideMark/>
          </w:tcPr>
          <w:p w14:paraId="44E1D910" w14:textId="4AFA4FFE" w:rsidR="00CF72D5" w:rsidRPr="002029AF" w:rsidRDefault="00CF72D5" w:rsidP="00C51680">
            <w:pPr>
              <w:pStyle w:val="ARtabletextright"/>
              <w:spacing w:before="40" w:after="20"/>
            </w:pPr>
            <w:r w:rsidRPr="002029AF">
              <w:t>0</w:t>
            </w:r>
          </w:p>
        </w:tc>
        <w:tc>
          <w:tcPr>
            <w:tcW w:w="887" w:type="dxa"/>
            <w:hideMark/>
          </w:tcPr>
          <w:p w14:paraId="27510BBD" w14:textId="7FDB8EB9" w:rsidR="00CF72D5" w:rsidRPr="002029AF" w:rsidRDefault="00CF72D5" w:rsidP="00C51680">
            <w:pPr>
              <w:pStyle w:val="ARtabletextrightbold"/>
              <w:spacing w:before="40" w:after="20"/>
            </w:pPr>
            <w:r w:rsidRPr="002029AF">
              <w:t>1</w:t>
            </w:r>
          </w:p>
        </w:tc>
      </w:tr>
      <w:tr w:rsidR="00CF72D5" w:rsidRPr="002029AF" w14:paraId="5A13CC49" w14:textId="77777777" w:rsidTr="00D40FE6">
        <w:tc>
          <w:tcPr>
            <w:tcW w:w="2944" w:type="dxa"/>
            <w:hideMark/>
          </w:tcPr>
          <w:p w14:paraId="799AD601" w14:textId="26B7307C" w:rsidR="00CF72D5" w:rsidRPr="002029AF" w:rsidRDefault="00CF72D5" w:rsidP="00C51680">
            <w:pPr>
              <w:pStyle w:val="ARtabletext"/>
              <w:spacing w:before="40" w:after="20"/>
            </w:pPr>
            <w:r w:rsidRPr="002029AF">
              <w:t>Kyneton</w:t>
            </w:r>
            <w:r w:rsidR="000A5329" w:rsidRPr="002029AF">
              <w:t xml:space="preserve"> </w:t>
            </w:r>
            <w:r w:rsidRPr="002029AF">
              <w:t>District</w:t>
            </w:r>
            <w:r w:rsidR="000A5329" w:rsidRPr="002029AF">
              <w:t xml:space="preserve"> </w:t>
            </w:r>
            <w:r w:rsidRPr="002029AF">
              <w:t>Health</w:t>
            </w:r>
            <w:r w:rsidR="000A5329" w:rsidRPr="002029AF">
              <w:t xml:space="preserve"> </w:t>
            </w:r>
            <w:r w:rsidRPr="002029AF">
              <w:t>Service</w:t>
            </w:r>
          </w:p>
        </w:tc>
        <w:tc>
          <w:tcPr>
            <w:tcW w:w="871" w:type="dxa"/>
            <w:hideMark/>
          </w:tcPr>
          <w:p w14:paraId="4410D2E2" w14:textId="24FF4C0A" w:rsidR="00CF72D5" w:rsidRPr="002029AF" w:rsidRDefault="00CF72D5" w:rsidP="00C51680">
            <w:pPr>
              <w:pStyle w:val="ARtabletextright"/>
              <w:spacing w:before="40" w:after="20"/>
            </w:pPr>
            <w:r w:rsidRPr="002029AF">
              <w:t>0</w:t>
            </w:r>
          </w:p>
        </w:tc>
        <w:tc>
          <w:tcPr>
            <w:tcW w:w="886" w:type="dxa"/>
            <w:hideMark/>
          </w:tcPr>
          <w:p w14:paraId="5476FEF1" w14:textId="7114E6C9" w:rsidR="00CF72D5" w:rsidRPr="002029AF" w:rsidRDefault="00CF72D5" w:rsidP="00C51680">
            <w:pPr>
              <w:pStyle w:val="ARtabletextright"/>
              <w:spacing w:before="40" w:after="20"/>
            </w:pPr>
            <w:r w:rsidRPr="002029AF">
              <w:t>0</w:t>
            </w:r>
          </w:p>
        </w:tc>
        <w:tc>
          <w:tcPr>
            <w:tcW w:w="1021" w:type="dxa"/>
            <w:hideMark/>
          </w:tcPr>
          <w:p w14:paraId="741F5165" w14:textId="49E68DFA" w:rsidR="00CF72D5" w:rsidRPr="002029AF" w:rsidRDefault="00CF72D5" w:rsidP="00C51680">
            <w:pPr>
              <w:pStyle w:val="ARtabletextright"/>
              <w:spacing w:before="40" w:after="20"/>
            </w:pPr>
            <w:r w:rsidRPr="002029AF">
              <w:t>0</w:t>
            </w:r>
          </w:p>
        </w:tc>
        <w:tc>
          <w:tcPr>
            <w:tcW w:w="917" w:type="dxa"/>
            <w:hideMark/>
          </w:tcPr>
          <w:p w14:paraId="70827478" w14:textId="2CE18B76" w:rsidR="00CF72D5" w:rsidRPr="002029AF" w:rsidRDefault="00CF72D5" w:rsidP="00C51680">
            <w:pPr>
              <w:pStyle w:val="ARtabletextrightbold"/>
              <w:spacing w:before="40" w:after="20"/>
            </w:pPr>
            <w:r w:rsidRPr="002029AF">
              <w:t>0</w:t>
            </w:r>
          </w:p>
        </w:tc>
        <w:tc>
          <w:tcPr>
            <w:tcW w:w="887" w:type="dxa"/>
            <w:hideMark/>
          </w:tcPr>
          <w:p w14:paraId="57BB0545" w14:textId="63AFE6F6" w:rsidR="00CF72D5" w:rsidRPr="002029AF" w:rsidRDefault="00CF72D5" w:rsidP="00C51680">
            <w:pPr>
              <w:pStyle w:val="ARtabletextright"/>
              <w:spacing w:before="40" w:after="20"/>
            </w:pPr>
            <w:r w:rsidRPr="002029AF">
              <w:t>1</w:t>
            </w:r>
          </w:p>
        </w:tc>
        <w:tc>
          <w:tcPr>
            <w:tcW w:w="887" w:type="dxa"/>
            <w:hideMark/>
          </w:tcPr>
          <w:p w14:paraId="3CC614A3" w14:textId="6E3C54F0" w:rsidR="00CF72D5" w:rsidRPr="002029AF" w:rsidRDefault="00CF72D5" w:rsidP="00C51680">
            <w:pPr>
              <w:pStyle w:val="ARtabletextright"/>
              <w:spacing w:before="40" w:after="20"/>
            </w:pPr>
            <w:r w:rsidRPr="002029AF">
              <w:t>0</w:t>
            </w:r>
          </w:p>
        </w:tc>
        <w:tc>
          <w:tcPr>
            <w:tcW w:w="1022" w:type="dxa"/>
            <w:hideMark/>
          </w:tcPr>
          <w:p w14:paraId="161292A0" w14:textId="1B9378C5" w:rsidR="00CF72D5" w:rsidRPr="002029AF" w:rsidRDefault="00CF72D5" w:rsidP="00C51680">
            <w:pPr>
              <w:pStyle w:val="ARtabletextright"/>
              <w:spacing w:before="40" w:after="20"/>
            </w:pPr>
            <w:r w:rsidRPr="002029AF">
              <w:t>0</w:t>
            </w:r>
          </w:p>
        </w:tc>
        <w:tc>
          <w:tcPr>
            <w:tcW w:w="902" w:type="dxa"/>
            <w:hideMark/>
          </w:tcPr>
          <w:p w14:paraId="618FBCB2" w14:textId="038CE188" w:rsidR="00CF72D5" w:rsidRPr="002029AF" w:rsidRDefault="00CF72D5" w:rsidP="00C51680">
            <w:pPr>
              <w:pStyle w:val="ARtabletextrightbold"/>
              <w:spacing w:before="40" w:after="20"/>
            </w:pPr>
            <w:r w:rsidRPr="002029AF">
              <w:t>1</w:t>
            </w:r>
          </w:p>
        </w:tc>
        <w:tc>
          <w:tcPr>
            <w:tcW w:w="872" w:type="dxa"/>
            <w:hideMark/>
          </w:tcPr>
          <w:p w14:paraId="6246D7D2" w14:textId="4EB4C837" w:rsidR="00CF72D5" w:rsidRPr="002029AF" w:rsidRDefault="00CF72D5" w:rsidP="00C51680">
            <w:pPr>
              <w:pStyle w:val="ARtabletextright"/>
              <w:spacing w:before="40" w:after="20"/>
            </w:pPr>
            <w:r w:rsidRPr="002029AF">
              <w:t>-1</w:t>
            </w:r>
          </w:p>
        </w:tc>
        <w:tc>
          <w:tcPr>
            <w:tcW w:w="887" w:type="dxa"/>
            <w:hideMark/>
          </w:tcPr>
          <w:p w14:paraId="52D2875A" w14:textId="0871CD76" w:rsidR="00CF72D5" w:rsidRPr="002029AF" w:rsidRDefault="00CF72D5" w:rsidP="00C51680">
            <w:pPr>
              <w:pStyle w:val="ARtabletextright"/>
              <w:spacing w:before="40" w:after="20"/>
            </w:pPr>
            <w:r w:rsidRPr="002029AF">
              <w:t>0</w:t>
            </w:r>
          </w:p>
        </w:tc>
        <w:tc>
          <w:tcPr>
            <w:tcW w:w="1022" w:type="dxa"/>
            <w:hideMark/>
          </w:tcPr>
          <w:p w14:paraId="719F6F65" w14:textId="10E3D56D" w:rsidR="00CF72D5" w:rsidRPr="002029AF" w:rsidRDefault="00CF72D5" w:rsidP="00C51680">
            <w:pPr>
              <w:pStyle w:val="ARtabletextright"/>
              <w:spacing w:before="40" w:after="20"/>
            </w:pPr>
            <w:r w:rsidRPr="002029AF">
              <w:t>0</w:t>
            </w:r>
          </w:p>
        </w:tc>
        <w:tc>
          <w:tcPr>
            <w:tcW w:w="887" w:type="dxa"/>
            <w:hideMark/>
          </w:tcPr>
          <w:p w14:paraId="0C815E85" w14:textId="0F7F7ADC" w:rsidR="00CF72D5" w:rsidRPr="002029AF" w:rsidRDefault="00CF72D5" w:rsidP="00C51680">
            <w:pPr>
              <w:pStyle w:val="ARtabletextrightbold"/>
              <w:spacing w:before="40" w:after="20"/>
            </w:pPr>
            <w:r w:rsidRPr="002029AF">
              <w:t>-1</w:t>
            </w:r>
          </w:p>
        </w:tc>
      </w:tr>
      <w:tr w:rsidR="00CF72D5" w:rsidRPr="002029AF" w14:paraId="58D9F787" w14:textId="77777777" w:rsidTr="00D40FE6">
        <w:tc>
          <w:tcPr>
            <w:tcW w:w="2944" w:type="dxa"/>
            <w:hideMark/>
          </w:tcPr>
          <w:p w14:paraId="449100A9" w14:textId="4E32A77D" w:rsidR="00CF72D5" w:rsidRPr="002029AF" w:rsidRDefault="00CF72D5" w:rsidP="00C51680">
            <w:pPr>
              <w:pStyle w:val="ARtabletext"/>
              <w:spacing w:before="40" w:after="20"/>
            </w:pPr>
            <w:r w:rsidRPr="002029AF">
              <w:t>Latrobe</w:t>
            </w:r>
            <w:r w:rsidR="000A5329" w:rsidRPr="002029AF">
              <w:t xml:space="preserve"> </w:t>
            </w:r>
            <w:r w:rsidRPr="002029AF">
              <w:t>Regional</w:t>
            </w:r>
            <w:r w:rsidR="000A5329" w:rsidRPr="002029AF">
              <w:t xml:space="preserve"> </w:t>
            </w:r>
            <w:r w:rsidRPr="002029AF">
              <w:t>Hospital</w:t>
            </w:r>
          </w:p>
        </w:tc>
        <w:tc>
          <w:tcPr>
            <w:tcW w:w="871" w:type="dxa"/>
            <w:hideMark/>
          </w:tcPr>
          <w:p w14:paraId="09D31BB4" w14:textId="28990F9B" w:rsidR="00CF72D5" w:rsidRPr="002029AF" w:rsidRDefault="00CF72D5" w:rsidP="00C51680">
            <w:pPr>
              <w:pStyle w:val="ARtabletextright"/>
              <w:spacing w:before="40" w:after="20"/>
            </w:pPr>
            <w:r w:rsidRPr="002029AF">
              <w:t>2</w:t>
            </w:r>
          </w:p>
        </w:tc>
        <w:tc>
          <w:tcPr>
            <w:tcW w:w="886" w:type="dxa"/>
            <w:hideMark/>
          </w:tcPr>
          <w:p w14:paraId="02DA86BC" w14:textId="12F8844E" w:rsidR="00CF72D5" w:rsidRPr="002029AF" w:rsidRDefault="00CF72D5" w:rsidP="00C51680">
            <w:pPr>
              <w:pStyle w:val="ARtabletextright"/>
              <w:spacing w:before="40" w:after="20"/>
            </w:pPr>
            <w:r w:rsidRPr="002029AF">
              <w:t>5</w:t>
            </w:r>
          </w:p>
        </w:tc>
        <w:tc>
          <w:tcPr>
            <w:tcW w:w="1021" w:type="dxa"/>
            <w:hideMark/>
          </w:tcPr>
          <w:p w14:paraId="146F9292" w14:textId="62F85364" w:rsidR="00CF72D5" w:rsidRPr="002029AF" w:rsidRDefault="00CF72D5" w:rsidP="00C51680">
            <w:pPr>
              <w:pStyle w:val="ARtabletextright"/>
              <w:spacing w:before="40" w:after="20"/>
            </w:pPr>
            <w:r w:rsidRPr="002029AF">
              <w:t>0</w:t>
            </w:r>
          </w:p>
        </w:tc>
        <w:tc>
          <w:tcPr>
            <w:tcW w:w="917" w:type="dxa"/>
            <w:hideMark/>
          </w:tcPr>
          <w:p w14:paraId="1756AE54" w14:textId="6BA3FFDD" w:rsidR="00CF72D5" w:rsidRPr="002029AF" w:rsidRDefault="00CF72D5" w:rsidP="00C51680">
            <w:pPr>
              <w:pStyle w:val="ARtabletextrightbold"/>
              <w:spacing w:before="40" w:after="20"/>
            </w:pPr>
            <w:r w:rsidRPr="002029AF">
              <w:t>7</w:t>
            </w:r>
          </w:p>
        </w:tc>
        <w:tc>
          <w:tcPr>
            <w:tcW w:w="887" w:type="dxa"/>
            <w:hideMark/>
          </w:tcPr>
          <w:p w14:paraId="736A9B56" w14:textId="0D9BA7A4" w:rsidR="00CF72D5" w:rsidRPr="002029AF" w:rsidRDefault="00CF72D5" w:rsidP="00C51680">
            <w:pPr>
              <w:pStyle w:val="ARtabletextright"/>
              <w:spacing w:before="40" w:after="20"/>
            </w:pPr>
            <w:r w:rsidRPr="002029AF">
              <w:t>2</w:t>
            </w:r>
          </w:p>
        </w:tc>
        <w:tc>
          <w:tcPr>
            <w:tcW w:w="887" w:type="dxa"/>
            <w:hideMark/>
          </w:tcPr>
          <w:p w14:paraId="5BD635BD" w14:textId="277AF6DA" w:rsidR="00CF72D5" w:rsidRPr="002029AF" w:rsidRDefault="00CF72D5" w:rsidP="00C51680">
            <w:pPr>
              <w:pStyle w:val="ARtabletextright"/>
              <w:spacing w:before="40" w:after="20"/>
            </w:pPr>
            <w:r w:rsidRPr="002029AF">
              <w:t>5</w:t>
            </w:r>
          </w:p>
        </w:tc>
        <w:tc>
          <w:tcPr>
            <w:tcW w:w="1022" w:type="dxa"/>
            <w:hideMark/>
          </w:tcPr>
          <w:p w14:paraId="43D88B78" w14:textId="335CCC7B" w:rsidR="00CF72D5" w:rsidRPr="002029AF" w:rsidRDefault="00CF72D5" w:rsidP="00C51680">
            <w:pPr>
              <w:pStyle w:val="ARtabletextright"/>
              <w:spacing w:before="40" w:after="20"/>
            </w:pPr>
            <w:r w:rsidRPr="002029AF">
              <w:t>0</w:t>
            </w:r>
          </w:p>
        </w:tc>
        <w:tc>
          <w:tcPr>
            <w:tcW w:w="902" w:type="dxa"/>
            <w:hideMark/>
          </w:tcPr>
          <w:p w14:paraId="656B6571" w14:textId="0A1D68DF" w:rsidR="00CF72D5" w:rsidRPr="002029AF" w:rsidRDefault="00CF72D5" w:rsidP="00C51680">
            <w:pPr>
              <w:pStyle w:val="ARtabletextrightbold"/>
              <w:spacing w:before="40" w:after="20"/>
            </w:pPr>
            <w:r w:rsidRPr="002029AF">
              <w:t>7</w:t>
            </w:r>
          </w:p>
        </w:tc>
        <w:tc>
          <w:tcPr>
            <w:tcW w:w="872" w:type="dxa"/>
            <w:hideMark/>
          </w:tcPr>
          <w:p w14:paraId="641F7AA3" w14:textId="254CF2DA" w:rsidR="00CF72D5" w:rsidRPr="002029AF" w:rsidRDefault="00CF72D5" w:rsidP="00C51680">
            <w:pPr>
              <w:pStyle w:val="ARtabletextright"/>
              <w:spacing w:before="40" w:after="20"/>
            </w:pPr>
            <w:r w:rsidRPr="002029AF">
              <w:t>0</w:t>
            </w:r>
          </w:p>
        </w:tc>
        <w:tc>
          <w:tcPr>
            <w:tcW w:w="887" w:type="dxa"/>
            <w:hideMark/>
          </w:tcPr>
          <w:p w14:paraId="26B0B035" w14:textId="140D65BF" w:rsidR="00CF72D5" w:rsidRPr="002029AF" w:rsidRDefault="00CF72D5" w:rsidP="00C51680">
            <w:pPr>
              <w:pStyle w:val="ARtabletextright"/>
              <w:spacing w:before="40" w:after="20"/>
            </w:pPr>
            <w:r w:rsidRPr="002029AF">
              <w:t>0</w:t>
            </w:r>
          </w:p>
        </w:tc>
        <w:tc>
          <w:tcPr>
            <w:tcW w:w="1022" w:type="dxa"/>
            <w:hideMark/>
          </w:tcPr>
          <w:p w14:paraId="6364B7CB" w14:textId="61050DFA" w:rsidR="00CF72D5" w:rsidRPr="002029AF" w:rsidRDefault="00CF72D5" w:rsidP="00C51680">
            <w:pPr>
              <w:pStyle w:val="ARtabletextright"/>
              <w:spacing w:before="40" w:after="20"/>
            </w:pPr>
            <w:r w:rsidRPr="002029AF">
              <w:t>0</w:t>
            </w:r>
          </w:p>
        </w:tc>
        <w:tc>
          <w:tcPr>
            <w:tcW w:w="887" w:type="dxa"/>
            <w:hideMark/>
          </w:tcPr>
          <w:p w14:paraId="29EBDF15" w14:textId="19F61580" w:rsidR="00CF72D5" w:rsidRPr="002029AF" w:rsidRDefault="00CF72D5" w:rsidP="00C51680">
            <w:pPr>
              <w:pStyle w:val="ARtabletextrightbold"/>
              <w:spacing w:before="40" w:after="20"/>
            </w:pPr>
            <w:r w:rsidRPr="002029AF">
              <w:t>0</w:t>
            </w:r>
          </w:p>
        </w:tc>
      </w:tr>
      <w:tr w:rsidR="00CF72D5" w:rsidRPr="002029AF" w14:paraId="5CF99E93" w14:textId="77777777" w:rsidTr="00D40FE6">
        <w:tc>
          <w:tcPr>
            <w:tcW w:w="2944" w:type="dxa"/>
            <w:hideMark/>
          </w:tcPr>
          <w:p w14:paraId="3CF9DA26" w14:textId="4D78CEB6" w:rsidR="00CF72D5" w:rsidRPr="002029AF" w:rsidRDefault="00CF72D5" w:rsidP="00C51680">
            <w:pPr>
              <w:pStyle w:val="ARtabletext"/>
              <w:spacing w:before="40" w:after="20"/>
            </w:pPr>
            <w:r w:rsidRPr="002029AF">
              <w:t>Lorne</w:t>
            </w:r>
            <w:r w:rsidR="000A5329" w:rsidRPr="002029AF">
              <w:t xml:space="preserve"> </w:t>
            </w:r>
            <w:r w:rsidRPr="002029AF">
              <w:t>Community</w:t>
            </w:r>
            <w:r w:rsidR="000A5329" w:rsidRPr="002029AF">
              <w:t xml:space="preserve"> </w:t>
            </w:r>
            <w:r w:rsidRPr="002029AF">
              <w:t>Hospital</w:t>
            </w:r>
          </w:p>
        </w:tc>
        <w:tc>
          <w:tcPr>
            <w:tcW w:w="871" w:type="dxa"/>
            <w:hideMark/>
          </w:tcPr>
          <w:p w14:paraId="5832B10E" w14:textId="10A395A3" w:rsidR="00CF72D5" w:rsidRPr="002029AF" w:rsidRDefault="00CF72D5" w:rsidP="00C51680">
            <w:pPr>
              <w:pStyle w:val="ARtabletextright"/>
              <w:spacing w:before="40" w:after="20"/>
            </w:pPr>
            <w:r w:rsidRPr="002029AF">
              <w:t>0</w:t>
            </w:r>
          </w:p>
        </w:tc>
        <w:tc>
          <w:tcPr>
            <w:tcW w:w="886" w:type="dxa"/>
            <w:hideMark/>
          </w:tcPr>
          <w:p w14:paraId="2BBF4A57" w14:textId="6EB0424A" w:rsidR="00CF72D5" w:rsidRPr="002029AF" w:rsidRDefault="00CF72D5" w:rsidP="00C51680">
            <w:pPr>
              <w:pStyle w:val="ARtabletextright"/>
              <w:spacing w:before="40" w:after="20"/>
            </w:pPr>
            <w:r w:rsidRPr="002029AF">
              <w:t>0</w:t>
            </w:r>
          </w:p>
        </w:tc>
        <w:tc>
          <w:tcPr>
            <w:tcW w:w="1021" w:type="dxa"/>
            <w:hideMark/>
          </w:tcPr>
          <w:p w14:paraId="6493C6CB" w14:textId="7AEBF3EF" w:rsidR="00CF72D5" w:rsidRPr="002029AF" w:rsidRDefault="00CF72D5" w:rsidP="00C51680">
            <w:pPr>
              <w:pStyle w:val="ARtabletextright"/>
              <w:spacing w:before="40" w:after="20"/>
            </w:pPr>
            <w:r w:rsidRPr="002029AF">
              <w:t>0</w:t>
            </w:r>
          </w:p>
        </w:tc>
        <w:tc>
          <w:tcPr>
            <w:tcW w:w="917" w:type="dxa"/>
            <w:hideMark/>
          </w:tcPr>
          <w:p w14:paraId="143E35C3" w14:textId="48FA1D1F" w:rsidR="00CF72D5" w:rsidRPr="002029AF" w:rsidRDefault="00CF72D5" w:rsidP="00C51680">
            <w:pPr>
              <w:pStyle w:val="ARtabletextrightbold"/>
              <w:spacing w:before="40" w:after="20"/>
            </w:pPr>
            <w:r w:rsidRPr="002029AF">
              <w:t>0</w:t>
            </w:r>
          </w:p>
        </w:tc>
        <w:tc>
          <w:tcPr>
            <w:tcW w:w="887" w:type="dxa"/>
            <w:hideMark/>
          </w:tcPr>
          <w:p w14:paraId="31A12F6A" w14:textId="3E3C0D7F" w:rsidR="00CF72D5" w:rsidRPr="002029AF" w:rsidRDefault="00CF72D5" w:rsidP="00C51680">
            <w:pPr>
              <w:pStyle w:val="ARtabletextright"/>
              <w:spacing w:before="40" w:after="20"/>
            </w:pPr>
            <w:r w:rsidRPr="002029AF">
              <w:t>1</w:t>
            </w:r>
          </w:p>
        </w:tc>
        <w:tc>
          <w:tcPr>
            <w:tcW w:w="887" w:type="dxa"/>
            <w:hideMark/>
          </w:tcPr>
          <w:p w14:paraId="0FA4CA7B" w14:textId="20DE95CF" w:rsidR="00CF72D5" w:rsidRPr="002029AF" w:rsidRDefault="00CF72D5" w:rsidP="00C51680">
            <w:pPr>
              <w:pStyle w:val="ARtabletextright"/>
              <w:spacing w:before="40" w:after="20"/>
            </w:pPr>
            <w:r w:rsidRPr="002029AF">
              <w:t>0</w:t>
            </w:r>
          </w:p>
        </w:tc>
        <w:tc>
          <w:tcPr>
            <w:tcW w:w="1022" w:type="dxa"/>
            <w:hideMark/>
          </w:tcPr>
          <w:p w14:paraId="3FF88369" w14:textId="1625E36B" w:rsidR="00CF72D5" w:rsidRPr="002029AF" w:rsidRDefault="00CF72D5" w:rsidP="00C51680">
            <w:pPr>
              <w:pStyle w:val="ARtabletextright"/>
              <w:spacing w:before="40" w:after="20"/>
            </w:pPr>
            <w:r w:rsidRPr="002029AF">
              <w:t>0</w:t>
            </w:r>
          </w:p>
        </w:tc>
        <w:tc>
          <w:tcPr>
            <w:tcW w:w="902" w:type="dxa"/>
            <w:hideMark/>
          </w:tcPr>
          <w:p w14:paraId="3BD62BDC" w14:textId="469242B5" w:rsidR="00CF72D5" w:rsidRPr="002029AF" w:rsidRDefault="00CF72D5" w:rsidP="00C51680">
            <w:pPr>
              <w:pStyle w:val="ARtabletextrightbold"/>
              <w:spacing w:before="40" w:after="20"/>
            </w:pPr>
            <w:r w:rsidRPr="002029AF">
              <w:t>1</w:t>
            </w:r>
          </w:p>
        </w:tc>
        <w:tc>
          <w:tcPr>
            <w:tcW w:w="872" w:type="dxa"/>
            <w:hideMark/>
          </w:tcPr>
          <w:p w14:paraId="225D7329" w14:textId="7415F47D" w:rsidR="00CF72D5" w:rsidRPr="002029AF" w:rsidRDefault="00CF72D5" w:rsidP="00C51680">
            <w:pPr>
              <w:pStyle w:val="ARtabletextright"/>
              <w:spacing w:before="40" w:after="20"/>
            </w:pPr>
            <w:r w:rsidRPr="002029AF">
              <w:t>-1</w:t>
            </w:r>
          </w:p>
        </w:tc>
        <w:tc>
          <w:tcPr>
            <w:tcW w:w="887" w:type="dxa"/>
            <w:hideMark/>
          </w:tcPr>
          <w:p w14:paraId="7617B65F" w14:textId="09515E58" w:rsidR="00CF72D5" w:rsidRPr="002029AF" w:rsidRDefault="00CF72D5" w:rsidP="00C51680">
            <w:pPr>
              <w:pStyle w:val="ARtabletextright"/>
              <w:spacing w:before="40" w:after="20"/>
            </w:pPr>
            <w:r w:rsidRPr="002029AF">
              <w:t>0</w:t>
            </w:r>
          </w:p>
        </w:tc>
        <w:tc>
          <w:tcPr>
            <w:tcW w:w="1022" w:type="dxa"/>
            <w:hideMark/>
          </w:tcPr>
          <w:p w14:paraId="06BC497C" w14:textId="119CFE0F" w:rsidR="00CF72D5" w:rsidRPr="002029AF" w:rsidRDefault="00CF72D5" w:rsidP="00C51680">
            <w:pPr>
              <w:pStyle w:val="ARtabletextright"/>
              <w:spacing w:before="40" w:after="20"/>
            </w:pPr>
            <w:r w:rsidRPr="002029AF">
              <w:t>0</w:t>
            </w:r>
          </w:p>
        </w:tc>
        <w:tc>
          <w:tcPr>
            <w:tcW w:w="887" w:type="dxa"/>
            <w:hideMark/>
          </w:tcPr>
          <w:p w14:paraId="005BCDFA" w14:textId="4ECB3FBE" w:rsidR="00CF72D5" w:rsidRPr="002029AF" w:rsidRDefault="00CF72D5" w:rsidP="00C51680">
            <w:pPr>
              <w:pStyle w:val="ARtabletextrightbold"/>
              <w:spacing w:before="40" w:after="20"/>
            </w:pPr>
            <w:r w:rsidRPr="002029AF">
              <w:t>-1</w:t>
            </w:r>
          </w:p>
        </w:tc>
      </w:tr>
      <w:tr w:rsidR="00CF72D5" w:rsidRPr="002029AF" w14:paraId="082422AB" w14:textId="77777777" w:rsidTr="00D40FE6">
        <w:tc>
          <w:tcPr>
            <w:tcW w:w="2944" w:type="dxa"/>
            <w:hideMark/>
          </w:tcPr>
          <w:p w14:paraId="6F45546D" w14:textId="250C15A2" w:rsidR="00CF72D5" w:rsidRPr="002029AF" w:rsidRDefault="00CF72D5" w:rsidP="00C51680">
            <w:pPr>
              <w:pStyle w:val="ARtabletext"/>
              <w:spacing w:before="40" w:after="20"/>
            </w:pPr>
            <w:r w:rsidRPr="002029AF">
              <w:t>Maldon</w:t>
            </w:r>
            <w:r w:rsidR="000A5329" w:rsidRPr="002029AF">
              <w:t xml:space="preserve"> </w:t>
            </w:r>
            <w:r w:rsidRPr="002029AF">
              <w:t>Hospital</w:t>
            </w:r>
          </w:p>
        </w:tc>
        <w:tc>
          <w:tcPr>
            <w:tcW w:w="871" w:type="dxa"/>
            <w:hideMark/>
          </w:tcPr>
          <w:p w14:paraId="51C4DED2" w14:textId="66594200" w:rsidR="00CF72D5" w:rsidRPr="002029AF" w:rsidRDefault="00CF72D5" w:rsidP="00C51680">
            <w:pPr>
              <w:pStyle w:val="ARtabletextright"/>
              <w:spacing w:before="40" w:after="20"/>
            </w:pPr>
            <w:r w:rsidRPr="002029AF">
              <w:t>0</w:t>
            </w:r>
          </w:p>
        </w:tc>
        <w:tc>
          <w:tcPr>
            <w:tcW w:w="886" w:type="dxa"/>
            <w:hideMark/>
          </w:tcPr>
          <w:p w14:paraId="08A4F6A2" w14:textId="0945DC03" w:rsidR="00CF72D5" w:rsidRPr="002029AF" w:rsidRDefault="00CF72D5" w:rsidP="00C51680">
            <w:pPr>
              <w:pStyle w:val="ARtabletextright"/>
              <w:spacing w:before="40" w:after="20"/>
            </w:pPr>
            <w:r w:rsidRPr="002029AF">
              <w:t>0</w:t>
            </w:r>
          </w:p>
        </w:tc>
        <w:tc>
          <w:tcPr>
            <w:tcW w:w="1021" w:type="dxa"/>
            <w:hideMark/>
          </w:tcPr>
          <w:p w14:paraId="3B965E3F" w14:textId="581602AE" w:rsidR="00CF72D5" w:rsidRPr="002029AF" w:rsidRDefault="00CF72D5" w:rsidP="00C51680">
            <w:pPr>
              <w:pStyle w:val="ARtabletextright"/>
              <w:spacing w:before="40" w:after="20"/>
            </w:pPr>
            <w:r w:rsidRPr="002029AF">
              <w:t>0</w:t>
            </w:r>
          </w:p>
        </w:tc>
        <w:tc>
          <w:tcPr>
            <w:tcW w:w="917" w:type="dxa"/>
            <w:hideMark/>
          </w:tcPr>
          <w:p w14:paraId="12AA75F9" w14:textId="5F71B1C3" w:rsidR="00CF72D5" w:rsidRPr="002029AF" w:rsidRDefault="00CF72D5" w:rsidP="00C51680">
            <w:pPr>
              <w:pStyle w:val="ARtabletextrightbold"/>
              <w:spacing w:before="40" w:after="20"/>
            </w:pPr>
            <w:r w:rsidRPr="002029AF">
              <w:t>0</w:t>
            </w:r>
          </w:p>
        </w:tc>
        <w:tc>
          <w:tcPr>
            <w:tcW w:w="887" w:type="dxa"/>
            <w:hideMark/>
          </w:tcPr>
          <w:p w14:paraId="307C9831" w14:textId="27BD7CE7" w:rsidR="00CF72D5" w:rsidRPr="002029AF" w:rsidRDefault="00CF72D5" w:rsidP="00C51680">
            <w:pPr>
              <w:pStyle w:val="ARtabletextright"/>
              <w:spacing w:before="40" w:after="20"/>
            </w:pPr>
            <w:r w:rsidRPr="002029AF">
              <w:t>0</w:t>
            </w:r>
          </w:p>
        </w:tc>
        <w:tc>
          <w:tcPr>
            <w:tcW w:w="887" w:type="dxa"/>
            <w:hideMark/>
          </w:tcPr>
          <w:p w14:paraId="36E75543" w14:textId="2B6D7573" w:rsidR="00CF72D5" w:rsidRPr="002029AF" w:rsidRDefault="00CF72D5" w:rsidP="00C51680">
            <w:pPr>
              <w:pStyle w:val="ARtabletextright"/>
              <w:spacing w:before="40" w:after="20"/>
            </w:pPr>
            <w:r w:rsidRPr="002029AF">
              <w:t>0</w:t>
            </w:r>
          </w:p>
        </w:tc>
        <w:tc>
          <w:tcPr>
            <w:tcW w:w="1022" w:type="dxa"/>
            <w:hideMark/>
          </w:tcPr>
          <w:p w14:paraId="63BEAD6D" w14:textId="213F73DA" w:rsidR="00CF72D5" w:rsidRPr="002029AF" w:rsidRDefault="00CF72D5" w:rsidP="00C51680">
            <w:pPr>
              <w:pStyle w:val="ARtabletextright"/>
              <w:spacing w:before="40" w:after="20"/>
            </w:pPr>
            <w:r w:rsidRPr="002029AF">
              <w:t>0</w:t>
            </w:r>
          </w:p>
        </w:tc>
        <w:tc>
          <w:tcPr>
            <w:tcW w:w="902" w:type="dxa"/>
            <w:hideMark/>
          </w:tcPr>
          <w:p w14:paraId="25101062" w14:textId="1A4C3915" w:rsidR="00CF72D5" w:rsidRPr="002029AF" w:rsidRDefault="00CF72D5" w:rsidP="00C51680">
            <w:pPr>
              <w:pStyle w:val="ARtabletextrightbold"/>
              <w:spacing w:before="40" w:after="20"/>
            </w:pPr>
            <w:r w:rsidRPr="002029AF">
              <w:t>0</w:t>
            </w:r>
          </w:p>
        </w:tc>
        <w:tc>
          <w:tcPr>
            <w:tcW w:w="872" w:type="dxa"/>
            <w:hideMark/>
          </w:tcPr>
          <w:p w14:paraId="745134A6" w14:textId="793687A8" w:rsidR="00CF72D5" w:rsidRPr="002029AF" w:rsidRDefault="00CF72D5" w:rsidP="00C51680">
            <w:pPr>
              <w:pStyle w:val="ARtabletextright"/>
              <w:spacing w:before="40" w:after="20"/>
            </w:pPr>
            <w:r w:rsidRPr="002029AF">
              <w:t>0</w:t>
            </w:r>
          </w:p>
        </w:tc>
        <w:tc>
          <w:tcPr>
            <w:tcW w:w="887" w:type="dxa"/>
            <w:hideMark/>
          </w:tcPr>
          <w:p w14:paraId="6A5DB538" w14:textId="3BFF3E9A" w:rsidR="00CF72D5" w:rsidRPr="002029AF" w:rsidRDefault="00CF72D5" w:rsidP="00C51680">
            <w:pPr>
              <w:pStyle w:val="ARtabletextright"/>
              <w:spacing w:before="40" w:after="20"/>
            </w:pPr>
            <w:r w:rsidRPr="002029AF">
              <w:t>0</w:t>
            </w:r>
          </w:p>
        </w:tc>
        <w:tc>
          <w:tcPr>
            <w:tcW w:w="1022" w:type="dxa"/>
            <w:hideMark/>
          </w:tcPr>
          <w:p w14:paraId="27FE1B5C" w14:textId="4A117C7A" w:rsidR="00CF72D5" w:rsidRPr="002029AF" w:rsidRDefault="00CF72D5" w:rsidP="00C51680">
            <w:pPr>
              <w:pStyle w:val="ARtabletextright"/>
              <w:spacing w:before="40" w:after="20"/>
            </w:pPr>
            <w:r w:rsidRPr="002029AF">
              <w:t>0</w:t>
            </w:r>
          </w:p>
        </w:tc>
        <w:tc>
          <w:tcPr>
            <w:tcW w:w="887" w:type="dxa"/>
            <w:hideMark/>
          </w:tcPr>
          <w:p w14:paraId="5A6C4F1E" w14:textId="1BE128B1" w:rsidR="00CF72D5" w:rsidRPr="002029AF" w:rsidRDefault="00CF72D5" w:rsidP="00C51680">
            <w:pPr>
              <w:pStyle w:val="ARtabletextrightbold"/>
              <w:spacing w:before="40" w:after="20"/>
            </w:pPr>
            <w:r w:rsidRPr="002029AF">
              <w:t>0</w:t>
            </w:r>
          </w:p>
        </w:tc>
      </w:tr>
      <w:tr w:rsidR="00CF72D5" w:rsidRPr="002029AF" w14:paraId="66746C79" w14:textId="77777777" w:rsidTr="00D40FE6">
        <w:tc>
          <w:tcPr>
            <w:tcW w:w="2944" w:type="dxa"/>
            <w:hideMark/>
          </w:tcPr>
          <w:p w14:paraId="6D52BBC1" w14:textId="79238B23" w:rsidR="00CF72D5" w:rsidRPr="002029AF" w:rsidRDefault="00CF72D5" w:rsidP="00C51680">
            <w:pPr>
              <w:pStyle w:val="ARtabletext"/>
              <w:spacing w:before="40" w:after="20"/>
            </w:pPr>
            <w:r w:rsidRPr="002029AF">
              <w:t>Mallee</w:t>
            </w:r>
            <w:r w:rsidR="000A5329" w:rsidRPr="002029AF">
              <w:t xml:space="preserve"> </w:t>
            </w:r>
            <w:r w:rsidRPr="002029AF">
              <w:t>Track</w:t>
            </w:r>
            <w:r w:rsidR="000A5329" w:rsidRPr="002029AF">
              <w:t xml:space="preserve"> </w:t>
            </w:r>
            <w:r w:rsidRPr="002029AF">
              <w:t>Health</w:t>
            </w:r>
            <w:r w:rsidR="000A5329" w:rsidRPr="002029AF">
              <w:t xml:space="preserve"> </w:t>
            </w:r>
            <w:r w:rsidRPr="002029AF">
              <w:t>and</w:t>
            </w:r>
            <w:r w:rsidR="000A5329" w:rsidRPr="002029AF">
              <w:t xml:space="preserve"> </w:t>
            </w:r>
            <w:r w:rsidRPr="002029AF">
              <w:t>Community</w:t>
            </w:r>
            <w:r w:rsidR="000A5329" w:rsidRPr="002029AF">
              <w:t xml:space="preserve"> </w:t>
            </w:r>
            <w:r w:rsidRPr="002029AF">
              <w:t>Service</w:t>
            </w:r>
          </w:p>
        </w:tc>
        <w:tc>
          <w:tcPr>
            <w:tcW w:w="871" w:type="dxa"/>
            <w:hideMark/>
          </w:tcPr>
          <w:p w14:paraId="19F9DFD0" w14:textId="27E2D602" w:rsidR="00CF72D5" w:rsidRPr="002029AF" w:rsidRDefault="00CF72D5" w:rsidP="00C51680">
            <w:pPr>
              <w:pStyle w:val="ARtabletextright"/>
              <w:spacing w:before="40" w:after="20"/>
            </w:pPr>
            <w:r w:rsidRPr="002029AF">
              <w:t>1</w:t>
            </w:r>
          </w:p>
        </w:tc>
        <w:tc>
          <w:tcPr>
            <w:tcW w:w="886" w:type="dxa"/>
            <w:hideMark/>
          </w:tcPr>
          <w:p w14:paraId="220BFC6A" w14:textId="4438DE0C" w:rsidR="00CF72D5" w:rsidRPr="002029AF" w:rsidRDefault="00CF72D5" w:rsidP="00C51680">
            <w:pPr>
              <w:pStyle w:val="ARtabletextright"/>
              <w:spacing w:before="40" w:after="20"/>
            </w:pPr>
            <w:r w:rsidRPr="002029AF">
              <w:t>0</w:t>
            </w:r>
          </w:p>
        </w:tc>
        <w:tc>
          <w:tcPr>
            <w:tcW w:w="1021" w:type="dxa"/>
            <w:hideMark/>
          </w:tcPr>
          <w:p w14:paraId="40DF3DC8" w14:textId="54AB4B99" w:rsidR="00CF72D5" w:rsidRPr="002029AF" w:rsidRDefault="00CF72D5" w:rsidP="00C51680">
            <w:pPr>
              <w:pStyle w:val="ARtabletextright"/>
              <w:spacing w:before="40" w:after="20"/>
            </w:pPr>
            <w:r w:rsidRPr="002029AF">
              <w:t>0</w:t>
            </w:r>
          </w:p>
        </w:tc>
        <w:tc>
          <w:tcPr>
            <w:tcW w:w="917" w:type="dxa"/>
            <w:hideMark/>
          </w:tcPr>
          <w:p w14:paraId="4F52023D" w14:textId="4A80133C" w:rsidR="00CF72D5" w:rsidRPr="002029AF" w:rsidRDefault="00CF72D5" w:rsidP="00C51680">
            <w:pPr>
              <w:pStyle w:val="ARtabletextrightbold"/>
              <w:spacing w:before="40" w:after="20"/>
            </w:pPr>
            <w:r w:rsidRPr="002029AF">
              <w:t>1</w:t>
            </w:r>
          </w:p>
        </w:tc>
        <w:tc>
          <w:tcPr>
            <w:tcW w:w="887" w:type="dxa"/>
            <w:hideMark/>
          </w:tcPr>
          <w:p w14:paraId="182CBD2C" w14:textId="2E6EB8CB" w:rsidR="00CF72D5" w:rsidRPr="002029AF" w:rsidRDefault="00CF72D5" w:rsidP="00C51680">
            <w:pPr>
              <w:pStyle w:val="ARtabletextright"/>
              <w:spacing w:before="40" w:after="20"/>
            </w:pPr>
            <w:r w:rsidRPr="002029AF">
              <w:t>1</w:t>
            </w:r>
          </w:p>
        </w:tc>
        <w:tc>
          <w:tcPr>
            <w:tcW w:w="887" w:type="dxa"/>
            <w:hideMark/>
          </w:tcPr>
          <w:p w14:paraId="076200C1" w14:textId="68B40EF9" w:rsidR="00CF72D5" w:rsidRPr="002029AF" w:rsidRDefault="00CF72D5" w:rsidP="00C51680">
            <w:pPr>
              <w:pStyle w:val="ARtabletextright"/>
              <w:spacing w:before="40" w:after="20"/>
            </w:pPr>
            <w:r w:rsidRPr="002029AF">
              <w:t>0</w:t>
            </w:r>
          </w:p>
        </w:tc>
        <w:tc>
          <w:tcPr>
            <w:tcW w:w="1022" w:type="dxa"/>
            <w:hideMark/>
          </w:tcPr>
          <w:p w14:paraId="55C38F54" w14:textId="5EAF4E62" w:rsidR="00CF72D5" w:rsidRPr="002029AF" w:rsidRDefault="00CF72D5" w:rsidP="00C51680">
            <w:pPr>
              <w:pStyle w:val="ARtabletextright"/>
              <w:spacing w:before="40" w:after="20"/>
            </w:pPr>
            <w:r w:rsidRPr="002029AF">
              <w:t>0</w:t>
            </w:r>
          </w:p>
        </w:tc>
        <w:tc>
          <w:tcPr>
            <w:tcW w:w="902" w:type="dxa"/>
            <w:hideMark/>
          </w:tcPr>
          <w:p w14:paraId="4A5E7197" w14:textId="065EDCF9" w:rsidR="00CF72D5" w:rsidRPr="002029AF" w:rsidRDefault="00CF72D5" w:rsidP="00C51680">
            <w:pPr>
              <w:pStyle w:val="ARtabletextrightbold"/>
              <w:spacing w:before="40" w:after="20"/>
            </w:pPr>
            <w:r w:rsidRPr="002029AF">
              <w:t>1</w:t>
            </w:r>
          </w:p>
        </w:tc>
        <w:tc>
          <w:tcPr>
            <w:tcW w:w="872" w:type="dxa"/>
            <w:hideMark/>
          </w:tcPr>
          <w:p w14:paraId="24389329" w14:textId="004FE7FF" w:rsidR="00CF72D5" w:rsidRPr="002029AF" w:rsidRDefault="00CF72D5" w:rsidP="00C51680">
            <w:pPr>
              <w:pStyle w:val="ARtabletextright"/>
              <w:spacing w:before="40" w:after="20"/>
            </w:pPr>
            <w:r w:rsidRPr="002029AF">
              <w:t>0</w:t>
            </w:r>
          </w:p>
        </w:tc>
        <w:tc>
          <w:tcPr>
            <w:tcW w:w="887" w:type="dxa"/>
            <w:hideMark/>
          </w:tcPr>
          <w:p w14:paraId="2972558D" w14:textId="1483C335" w:rsidR="00CF72D5" w:rsidRPr="002029AF" w:rsidRDefault="00CF72D5" w:rsidP="00C51680">
            <w:pPr>
              <w:pStyle w:val="ARtabletextright"/>
              <w:spacing w:before="40" w:after="20"/>
            </w:pPr>
            <w:r w:rsidRPr="002029AF">
              <w:t>0</w:t>
            </w:r>
          </w:p>
        </w:tc>
        <w:tc>
          <w:tcPr>
            <w:tcW w:w="1022" w:type="dxa"/>
            <w:hideMark/>
          </w:tcPr>
          <w:p w14:paraId="2248CAE8" w14:textId="1DE48A1F" w:rsidR="00CF72D5" w:rsidRPr="002029AF" w:rsidRDefault="00CF72D5" w:rsidP="00C51680">
            <w:pPr>
              <w:pStyle w:val="ARtabletextright"/>
              <w:spacing w:before="40" w:after="20"/>
            </w:pPr>
            <w:r w:rsidRPr="002029AF">
              <w:t>0</w:t>
            </w:r>
          </w:p>
        </w:tc>
        <w:tc>
          <w:tcPr>
            <w:tcW w:w="887" w:type="dxa"/>
            <w:hideMark/>
          </w:tcPr>
          <w:p w14:paraId="5D9CE119" w14:textId="63937C24" w:rsidR="00CF72D5" w:rsidRPr="002029AF" w:rsidRDefault="00CF72D5" w:rsidP="00C51680">
            <w:pPr>
              <w:pStyle w:val="ARtabletextrightbold"/>
              <w:spacing w:before="40" w:after="20"/>
            </w:pPr>
            <w:r w:rsidRPr="002029AF">
              <w:t>0</w:t>
            </w:r>
          </w:p>
        </w:tc>
      </w:tr>
      <w:tr w:rsidR="00CF72D5" w:rsidRPr="002029AF" w14:paraId="5CB48310" w14:textId="77777777" w:rsidTr="00D40FE6">
        <w:tc>
          <w:tcPr>
            <w:tcW w:w="2944" w:type="dxa"/>
            <w:hideMark/>
          </w:tcPr>
          <w:p w14:paraId="1B72497B" w14:textId="46E767BA" w:rsidR="00CF72D5" w:rsidRPr="002029AF" w:rsidRDefault="00CF72D5" w:rsidP="00C51680">
            <w:pPr>
              <w:pStyle w:val="ARtabletext"/>
              <w:spacing w:before="40" w:after="20"/>
            </w:pPr>
            <w:r w:rsidRPr="002029AF">
              <w:t>Mansfield</w:t>
            </w:r>
            <w:r w:rsidR="000A5329" w:rsidRPr="002029AF">
              <w:t xml:space="preserve"> </w:t>
            </w:r>
            <w:r w:rsidRPr="002029AF">
              <w:t>District</w:t>
            </w:r>
            <w:r w:rsidR="000A5329" w:rsidRPr="002029AF">
              <w:t xml:space="preserve"> </w:t>
            </w:r>
            <w:r w:rsidRPr="002029AF">
              <w:t>Hospital</w:t>
            </w:r>
          </w:p>
        </w:tc>
        <w:tc>
          <w:tcPr>
            <w:tcW w:w="871" w:type="dxa"/>
            <w:hideMark/>
          </w:tcPr>
          <w:p w14:paraId="0A79C044" w14:textId="2C0E5BED" w:rsidR="00CF72D5" w:rsidRPr="002029AF" w:rsidRDefault="00CF72D5" w:rsidP="00C51680">
            <w:pPr>
              <w:pStyle w:val="ARtabletextright"/>
              <w:spacing w:before="40" w:after="20"/>
            </w:pPr>
            <w:r w:rsidRPr="002029AF">
              <w:t>0</w:t>
            </w:r>
          </w:p>
        </w:tc>
        <w:tc>
          <w:tcPr>
            <w:tcW w:w="886" w:type="dxa"/>
            <w:hideMark/>
          </w:tcPr>
          <w:p w14:paraId="7BD1963D" w14:textId="3DE96DB0" w:rsidR="00CF72D5" w:rsidRPr="002029AF" w:rsidRDefault="00CF72D5" w:rsidP="00C51680">
            <w:pPr>
              <w:pStyle w:val="ARtabletextright"/>
              <w:spacing w:before="40" w:after="20"/>
            </w:pPr>
            <w:r w:rsidRPr="002029AF">
              <w:t>1</w:t>
            </w:r>
          </w:p>
        </w:tc>
        <w:tc>
          <w:tcPr>
            <w:tcW w:w="1021" w:type="dxa"/>
            <w:hideMark/>
          </w:tcPr>
          <w:p w14:paraId="327DA270" w14:textId="3F21C391" w:rsidR="00CF72D5" w:rsidRPr="002029AF" w:rsidRDefault="00CF72D5" w:rsidP="00C51680">
            <w:pPr>
              <w:pStyle w:val="ARtabletextright"/>
              <w:spacing w:before="40" w:after="20"/>
            </w:pPr>
            <w:r w:rsidRPr="002029AF">
              <w:t>0</w:t>
            </w:r>
          </w:p>
        </w:tc>
        <w:tc>
          <w:tcPr>
            <w:tcW w:w="917" w:type="dxa"/>
            <w:hideMark/>
          </w:tcPr>
          <w:p w14:paraId="18CD7B55" w14:textId="0D586839" w:rsidR="00CF72D5" w:rsidRPr="002029AF" w:rsidRDefault="00CF72D5" w:rsidP="00C51680">
            <w:pPr>
              <w:pStyle w:val="ARtabletextrightbold"/>
              <w:spacing w:before="40" w:after="20"/>
            </w:pPr>
            <w:r w:rsidRPr="002029AF">
              <w:t>1</w:t>
            </w:r>
          </w:p>
        </w:tc>
        <w:tc>
          <w:tcPr>
            <w:tcW w:w="887" w:type="dxa"/>
            <w:hideMark/>
          </w:tcPr>
          <w:p w14:paraId="1E011AC9" w14:textId="13A2FE51" w:rsidR="00CF72D5" w:rsidRPr="002029AF" w:rsidRDefault="00CF72D5" w:rsidP="00C51680">
            <w:pPr>
              <w:pStyle w:val="ARtabletextright"/>
              <w:spacing w:before="40" w:after="20"/>
            </w:pPr>
            <w:r w:rsidRPr="002029AF">
              <w:t>0</w:t>
            </w:r>
          </w:p>
        </w:tc>
        <w:tc>
          <w:tcPr>
            <w:tcW w:w="887" w:type="dxa"/>
            <w:hideMark/>
          </w:tcPr>
          <w:p w14:paraId="2B6D5F9F" w14:textId="6F033853" w:rsidR="00CF72D5" w:rsidRPr="002029AF" w:rsidRDefault="00CF72D5" w:rsidP="00C51680">
            <w:pPr>
              <w:pStyle w:val="ARtabletextright"/>
              <w:spacing w:before="40" w:after="20"/>
            </w:pPr>
            <w:r w:rsidRPr="002029AF">
              <w:t>1</w:t>
            </w:r>
          </w:p>
        </w:tc>
        <w:tc>
          <w:tcPr>
            <w:tcW w:w="1022" w:type="dxa"/>
            <w:hideMark/>
          </w:tcPr>
          <w:p w14:paraId="1DFA1EFF" w14:textId="6994AC41" w:rsidR="00CF72D5" w:rsidRPr="002029AF" w:rsidRDefault="00CF72D5" w:rsidP="00C51680">
            <w:pPr>
              <w:pStyle w:val="ARtabletextright"/>
              <w:spacing w:before="40" w:after="20"/>
            </w:pPr>
            <w:r w:rsidRPr="002029AF">
              <w:t>0</w:t>
            </w:r>
          </w:p>
        </w:tc>
        <w:tc>
          <w:tcPr>
            <w:tcW w:w="902" w:type="dxa"/>
            <w:hideMark/>
          </w:tcPr>
          <w:p w14:paraId="1F83D403" w14:textId="07A12D3B" w:rsidR="00CF72D5" w:rsidRPr="002029AF" w:rsidRDefault="00CF72D5" w:rsidP="00C51680">
            <w:pPr>
              <w:pStyle w:val="ARtabletextrightbold"/>
              <w:spacing w:before="40" w:after="20"/>
            </w:pPr>
            <w:r w:rsidRPr="002029AF">
              <w:t>1</w:t>
            </w:r>
          </w:p>
        </w:tc>
        <w:tc>
          <w:tcPr>
            <w:tcW w:w="872" w:type="dxa"/>
            <w:hideMark/>
          </w:tcPr>
          <w:p w14:paraId="1F69337C" w14:textId="4D50EE53" w:rsidR="00CF72D5" w:rsidRPr="002029AF" w:rsidRDefault="00CF72D5" w:rsidP="00C51680">
            <w:pPr>
              <w:pStyle w:val="ARtabletextright"/>
              <w:spacing w:before="40" w:after="20"/>
            </w:pPr>
            <w:r w:rsidRPr="002029AF">
              <w:t>0</w:t>
            </w:r>
          </w:p>
        </w:tc>
        <w:tc>
          <w:tcPr>
            <w:tcW w:w="887" w:type="dxa"/>
            <w:hideMark/>
          </w:tcPr>
          <w:p w14:paraId="21E8DEF6" w14:textId="34D3C157" w:rsidR="00CF72D5" w:rsidRPr="002029AF" w:rsidRDefault="00CF72D5" w:rsidP="00C51680">
            <w:pPr>
              <w:pStyle w:val="ARtabletextright"/>
              <w:spacing w:before="40" w:after="20"/>
            </w:pPr>
            <w:r w:rsidRPr="002029AF">
              <w:t>0</w:t>
            </w:r>
          </w:p>
        </w:tc>
        <w:tc>
          <w:tcPr>
            <w:tcW w:w="1022" w:type="dxa"/>
            <w:hideMark/>
          </w:tcPr>
          <w:p w14:paraId="7DBE3EB5" w14:textId="3AAD029E" w:rsidR="00CF72D5" w:rsidRPr="002029AF" w:rsidRDefault="00CF72D5" w:rsidP="00C51680">
            <w:pPr>
              <w:pStyle w:val="ARtabletextright"/>
              <w:spacing w:before="40" w:after="20"/>
            </w:pPr>
            <w:r w:rsidRPr="002029AF">
              <w:t>0</w:t>
            </w:r>
          </w:p>
        </w:tc>
        <w:tc>
          <w:tcPr>
            <w:tcW w:w="887" w:type="dxa"/>
            <w:hideMark/>
          </w:tcPr>
          <w:p w14:paraId="0678A091" w14:textId="1A4A4357" w:rsidR="00CF72D5" w:rsidRPr="002029AF" w:rsidRDefault="00CF72D5" w:rsidP="00C51680">
            <w:pPr>
              <w:pStyle w:val="ARtabletextrightbold"/>
              <w:spacing w:before="40" w:after="20"/>
            </w:pPr>
            <w:r w:rsidRPr="002029AF">
              <w:t>0</w:t>
            </w:r>
          </w:p>
        </w:tc>
      </w:tr>
      <w:tr w:rsidR="00CF72D5" w:rsidRPr="002029AF" w14:paraId="5ED87DB6" w14:textId="77777777" w:rsidTr="00D40FE6">
        <w:tc>
          <w:tcPr>
            <w:tcW w:w="2944" w:type="dxa"/>
            <w:hideMark/>
          </w:tcPr>
          <w:p w14:paraId="1414D2FC" w14:textId="2788C399" w:rsidR="00CF72D5" w:rsidRPr="002029AF" w:rsidRDefault="00CF72D5" w:rsidP="00C51680">
            <w:pPr>
              <w:pStyle w:val="ARtabletext"/>
              <w:spacing w:before="40" w:after="20"/>
            </w:pPr>
            <w:r w:rsidRPr="002029AF">
              <w:t>Maryborough</w:t>
            </w:r>
            <w:r w:rsidR="000A5329" w:rsidRPr="002029AF">
              <w:t xml:space="preserve"> </w:t>
            </w:r>
            <w:r w:rsidRPr="002029AF">
              <w:t>District</w:t>
            </w:r>
            <w:r w:rsidR="000A5329" w:rsidRPr="002029AF">
              <w:t xml:space="preserve"> </w:t>
            </w:r>
            <w:r w:rsidRPr="002029AF">
              <w:t>Health</w:t>
            </w:r>
            <w:r w:rsidR="000A5329" w:rsidRPr="002029AF">
              <w:t xml:space="preserve"> </w:t>
            </w:r>
            <w:r w:rsidRPr="002029AF">
              <w:t>Service</w:t>
            </w:r>
          </w:p>
        </w:tc>
        <w:tc>
          <w:tcPr>
            <w:tcW w:w="871" w:type="dxa"/>
            <w:hideMark/>
          </w:tcPr>
          <w:p w14:paraId="7DEEBCAC" w14:textId="2E060F36" w:rsidR="00CF72D5" w:rsidRPr="002029AF" w:rsidRDefault="00CF72D5" w:rsidP="00C51680">
            <w:pPr>
              <w:pStyle w:val="ARtabletextright"/>
              <w:spacing w:before="40" w:after="20"/>
            </w:pPr>
            <w:r w:rsidRPr="002029AF">
              <w:t>0</w:t>
            </w:r>
          </w:p>
        </w:tc>
        <w:tc>
          <w:tcPr>
            <w:tcW w:w="886" w:type="dxa"/>
            <w:hideMark/>
          </w:tcPr>
          <w:p w14:paraId="4AC91C5A" w14:textId="398263B5" w:rsidR="00CF72D5" w:rsidRPr="002029AF" w:rsidRDefault="00CF72D5" w:rsidP="00C51680">
            <w:pPr>
              <w:pStyle w:val="ARtabletextright"/>
              <w:spacing w:before="40" w:after="20"/>
            </w:pPr>
            <w:r w:rsidRPr="002029AF">
              <w:t>1</w:t>
            </w:r>
          </w:p>
        </w:tc>
        <w:tc>
          <w:tcPr>
            <w:tcW w:w="1021" w:type="dxa"/>
            <w:hideMark/>
          </w:tcPr>
          <w:p w14:paraId="20518AEE" w14:textId="5A37EF78" w:rsidR="00CF72D5" w:rsidRPr="002029AF" w:rsidRDefault="00CF72D5" w:rsidP="00C51680">
            <w:pPr>
              <w:pStyle w:val="ARtabletextright"/>
              <w:spacing w:before="40" w:after="20"/>
            </w:pPr>
            <w:r w:rsidRPr="002029AF">
              <w:t>0</w:t>
            </w:r>
          </w:p>
        </w:tc>
        <w:tc>
          <w:tcPr>
            <w:tcW w:w="917" w:type="dxa"/>
            <w:hideMark/>
          </w:tcPr>
          <w:p w14:paraId="734B84F4" w14:textId="2EEAAAD5" w:rsidR="00CF72D5" w:rsidRPr="002029AF" w:rsidRDefault="00CF72D5" w:rsidP="00C51680">
            <w:pPr>
              <w:pStyle w:val="ARtabletextrightbold"/>
              <w:spacing w:before="40" w:after="20"/>
            </w:pPr>
            <w:r w:rsidRPr="002029AF">
              <w:t>1</w:t>
            </w:r>
          </w:p>
        </w:tc>
        <w:tc>
          <w:tcPr>
            <w:tcW w:w="887" w:type="dxa"/>
            <w:hideMark/>
          </w:tcPr>
          <w:p w14:paraId="33388332" w14:textId="7BA877DB" w:rsidR="00CF72D5" w:rsidRPr="002029AF" w:rsidRDefault="00CF72D5" w:rsidP="00C51680">
            <w:pPr>
              <w:pStyle w:val="ARtabletextright"/>
              <w:spacing w:before="40" w:after="20"/>
            </w:pPr>
            <w:r w:rsidRPr="002029AF">
              <w:t>0</w:t>
            </w:r>
          </w:p>
        </w:tc>
        <w:tc>
          <w:tcPr>
            <w:tcW w:w="887" w:type="dxa"/>
            <w:hideMark/>
          </w:tcPr>
          <w:p w14:paraId="1A0DE710" w14:textId="090AFB88" w:rsidR="00CF72D5" w:rsidRPr="002029AF" w:rsidRDefault="00CF72D5" w:rsidP="00C51680">
            <w:pPr>
              <w:pStyle w:val="ARtabletextright"/>
              <w:spacing w:before="40" w:after="20"/>
            </w:pPr>
            <w:r w:rsidRPr="002029AF">
              <w:t>1</w:t>
            </w:r>
          </w:p>
        </w:tc>
        <w:tc>
          <w:tcPr>
            <w:tcW w:w="1022" w:type="dxa"/>
            <w:hideMark/>
          </w:tcPr>
          <w:p w14:paraId="226618BF" w14:textId="05604456" w:rsidR="00CF72D5" w:rsidRPr="002029AF" w:rsidRDefault="00CF72D5" w:rsidP="00C51680">
            <w:pPr>
              <w:pStyle w:val="ARtabletextright"/>
              <w:spacing w:before="40" w:after="20"/>
            </w:pPr>
            <w:r w:rsidRPr="002029AF">
              <w:t>0</w:t>
            </w:r>
          </w:p>
        </w:tc>
        <w:tc>
          <w:tcPr>
            <w:tcW w:w="902" w:type="dxa"/>
            <w:hideMark/>
          </w:tcPr>
          <w:p w14:paraId="41D01940" w14:textId="592A45FF" w:rsidR="00CF72D5" w:rsidRPr="002029AF" w:rsidRDefault="00CF72D5" w:rsidP="00C51680">
            <w:pPr>
              <w:pStyle w:val="ARtabletextrightbold"/>
              <w:spacing w:before="40" w:after="20"/>
            </w:pPr>
            <w:r w:rsidRPr="002029AF">
              <w:t>1</w:t>
            </w:r>
          </w:p>
        </w:tc>
        <w:tc>
          <w:tcPr>
            <w:tcW w:w="872" w:type="dxa"/>
            <w:hideMark/>
          </w:tcPr>
          <w:p w14:paraId="67657920" w14:textId="45CC2EAA" w:rsidR="00CF72D5" w:rsidRPr="002029AF" w:rsidRDefault="00CF72D5" w:rsidP="00C51680">
            <w:pPr>
              <w:pStyle w:val="ARtabletextright"/>
              <w:spacing w:before="40" w:after="20"/>
            </w:pPr>
            <w:r w:rsidRPr="002029AF">
              <w:t>0</w:t>
            </w:r>
          </w:p>
        </w:tc>
        <w:tc>
          <w:tcPr>
            <w:tcW w:w="887" w:type="dxa"/>
            <w:hideMark/>
          </w:tcPr>
          <w:p w14:paraId="3AE4A867" w14:textId="4527003B" w:rsidR="00CF72D5" w:rsidRPr="002029AF" w:rsidRDefault="00CF72D5" w:rsidP="00C51680">
            <w:pPr>
              <w:pStyle w:val="ARtabletextright"/>
              <w:spacing w:before="40" w:after="20"/>
            </w:pPr>
            <w:r w:rsidRPr="002029AF">
              <w:t>0</w:t>
            </w:r>
          </w:p>
        </w:tc>
        <w:tc>
          <w:tcPr>
            <w:tcW w:w="1022" w:type="dxa"/>
            <w:hideMark/>
          </w:tcPr>
          <w:p w14:paraId="711D40D8" w14:textId="0440B46C" w:rsidR="00CF72D5" w:rsidRPr="002029AF" w:rsidRDefault="00CF72D5" w:rsidP="00C51680">
            <w:pPr>
              <w:pStyle w:val="ARtabletextright"/>
              <w:spacing w:before="40" w:after="20"/>
            </w:pPr>
            <w:r w:rsidRPr="002029AF">
              <w:t>0</w:t>
            </w:r>
          </w:p>
        </w:tc>
        <w:tc>
          <w:tcPr>
            <w:tcW w:w="887" w:type="dxa"/>
            <w:hideMark/>
          </w:tcPr>
          <w:p w14:paraId="0A4D9EF9" w14:textId="415656AC" w:rsidR="00CF72D5" w:rsidRPr="002029AF" w:rsidRDefault="00CF72D5" w:rsidP="00C51680">
            <w:pPr>
              <w:pStyle w:val="ARtabletextrightbold"/>
              <w:spacing w:before="40" w:after="20"/>
            </w:pPr>
            <w:r w:rsidRPr="002029AF">
              <w:t>0</w:t>
            </w:r>
          </w:p>
        </w:tc>
      </w:tr>
      <w:tr w:rsidR="00CF72D5" w:rsidRPr="002029AF" w14:paraId="35A5A81E" w14:textId="77777777" w:rsidTr="00D40FE6">
        <w:tc>
          <w:tcPr>
            <w:tcW w:w="2944" w:type="dxa"/>
            <w:hideMark/>
          </w:tcPr>
          <w:p w14:paraId="325BA55B" w14:textId="44A2968E" w:rsidR="00CF72D5" w:rsidRPr="002029AF" w:rsidRDefault="00CF72D5" w:rsidP="00C51680">
            <w:pPr>
              <w:pStyle w:val="ARtabletext"/>
              <w:spacing w:before="40" w:after="20"/>
            </w:pPr>
            <w:r w:rsidRPr="002029AF">
              <w:t>Melbourne</w:t>
            </w:r>
            <w:r w:rsidR="000A5329" w:rsidRPr="002029AF">
              <w:t xml:space="preserve"> </w:t>
            </w:r>
            <w:r w:rsidRPr="002029AF">
              <w:t>Health</w:t>
            </w:r>
          </w:p>
        </w:tc>
        <w:tc>
          <w:tcPr>
            <w:tcW w:w="871" w:type="dxa"/>
            <w:hideMark/>
          </w:tcPr>
          <w:p w14:paraId="00E35FAA" w14:textId="2847CA3F" w:rsidR="00CF72D5" w:rsidRPr="002029AF" w:rsidRDefault="00CF72D5" w:rsidP="00C51680">
            <w:pPr>
              <w:pStyle w:val="ARtabletextright"/>
              <w:spacing w:before="40" w:after="20"/>
            </w:pPr>
            <w:r w:rsidRPr="002029AF">
              <w:t>4</w:t>
            </w:r>
          </w:p>
        </w:tc>
        <w:tc>
          <w:tcPr>
            <w:tcW w:w="886" w:type="dxa"/>
            <w:hideMark/>
          </w:tcPr>
          <w:p w14:paraId="2DD9BACD" w14:textId="65268A7B" w:rsidR="00CF72D5" w:rsidRPr="002029AF" w:rsidRDefault="00CF72D5" w:rsidP="00C51680">
            <w:pPr>
              <w:pStyle w:val="ARtabletextright"/>
              <w:spacing w:before="40" w:after="20"/>
            </w:pPr>
            <w:r w:rsidRPr="002029AF">
              <w:t>2</w:t>
            </w:r>
          </w:p>
        </w:tc>
        <w:tc>
          <w:tcPr>
            <w:tcW w:w="1021" w:type="dxa"/>
            <w:hideMark/>
          </w:tcPr>
          <w:p w14:paraId="14E00D3D" w14:textId="129B8859" w:rsidR="00CF72D5" w:rsidRPr="002029AF" w:rsidRDefault="00CF72D5" w:rsidP="00C51680">
            <w:pPr>
              <w:pStyle w:val="ARtabletextright"/>
              <w:spacing w:before="40" w:after="20"/>
            </w:pPr>
            <w:r w:rsidRPr="002029AF">
              <w:t>0</w:t>
            </w:r>
          </w:p>
        </w:tc>
        <w:tc>
          <w:tcPr>
            <w:tcW w:w="917" w:type="dxa"/>
            <w:hideMark/>
          </w:tcPr>
          <w:p w14:paraId="72689611" w14:textId="73CA74E1" w:rsidR="00CF72D5" w:rsidRPr="002029AF" w:rsidRDefault="00CF72D5" w:rsidP="00C51680">
            <w:pPr>
              <w:pStyle w:val="ARtabletextrightbold"/>
              <w:spacing w:before="40" w:after="20"/>
            </w:pPr>
            <w:r w:rsidRPr="002029AF">
              <w:t>6</w:t>
            </w:r>
          </w:p>
        </w:tc>
        <w:tc>
          <w:tcPr>
            <w:tcW w:w="887" w:type="dxa"/>
            <w:hideMark/>
          </w:tcPr>
          <w:p w14:paraId="3151F583" w14:textId="38F2BE92" w:rsidR="00CF72D5" w:rsidRPr="002029AF" w:rsidRDefault="00CF72D5" w:rsidP="00C51680">
            <w:pPr>
              <w:pStyle w:val="ARtabletextright"/>
              <w:spacing w:before="40" w:after="20"/>
            </w:pPr>
            <w:r w:rsidRPr="002029AF">
              <w:t>4</w:t>
            </w:r>
          </w:p>
        </w:tc>
        <w:tc>
          <w:tcPr>
            <w:tcW w:w="887" w:type="dxa"/>
            <w:hideMark/>
          </w:tcPr>
          <w:p w14:paraId="3044710B" w14:textId="5385B0FE" w:rsidR="00CF72D5" w:rsidRPr="002029AF" w:rsidRDefault="00CF72D5" w:rsidP="00C51680">
            <w:pPr>
              <w:pStyle w:val="ARtabletextright"/>
              <w:spacing w:before="40" w:after="20"/>
            </w:pPr>
            <w:r w:rsidRPr="002029AF">
              <w:t>3</w:t>
            </w:r>
          </w:p>
        </w:tc>
        <w:tc>
          <w:tcPr>
            <w:tcW w:w="1022" w:type="dxa"/>
            <w:hideMark/>
          </w:tcPr>
          <w:p w14:paraId="4CB16D4A" w14:textId="4AE3E4D4" w:rsidR="00CF72D5" w:rsidRPr="002029AF" w:rsidRDefault="00CF72D5" w:rsidP="00C51680">
            <w:pPr>
              <w:pStyle w:val="ARtabletextright"/>
              <w:spacing w:before="40" w:after="20"/>
            </w:pPr>
            <w:r w:rsidRPr="002029AF">
              <w:t>0</w:t>
            </w:r>
          </w:p>
        </w:tc>
        <w:tc>
          <w:tcPr>
            <w:tcW w:w="902" w:type="dxa"/>
            <w:hideMark/>
          </w:tcPr>
          <w:p w14:paraId="4DBA95DC" w14:textId="23CE69B7" w:rsidR="00CF72D5" w:rsidRPr="002029AF" w:rsidRDefault="00CF72D5" w:rsidP="00C51680">
            <w:pPr>
              <w:pStyle w:val="ARtabletextrightbold"/>
              <w:spacing w:before="40" w:after="20"/>
            </w:pPr>
            <w:r w:rsidRPr="002029AF">
              <w:t>7</w:t>
            </w:r>
          </w:p>
        </w:tc>
        <w:tc>
          <w:tcPr>
            <w:tcW w:w="872" w:type="dxa"/>
            <w:hideMark/>
          </w:tcPr>
          <w:p w14:paraId="0A13FAEF" w14:textId="40BA5D02" w:rsidR="00CF72D5" w:rsidRPr="002029AF" w:rsidRDefault="00CF72D5" w:rsidP="00C51680">
            <w:pPr>
              <w:pStyle w:val="ARtabletextright"/>
              <w:spacing w:before="40" w:after="20"/>
            </w:pPr>
            <w:r w:rsidRPr="002029AF">
              <w:t>0</w:t>
            </w:r>
          </w:p>
        </w:tc>
        <w:tc>
          <w:tcPr>
            <w:tcW w:w="887" w:type="dxa"/>
            <w:hideMark/>
          </w:tcPr>
          <w:p w14:paraId="3B8E466A" w14:textId="488EF329" w:rsidR="00CF72D5" w:rsidRPr="002029AF" w:rsidRDefault="00CF72D5" w:rsidP="00C51680">
            <w:pPr>
              <w:pStyle w:val="ARtabletextright"/>
              <w:spacing w:before="40" w:after="20"/>
            </w:pPr>
            <w:r w:rsidRPr="002029AF">
              <w:t>-1</w:t>
            </w:r>
          </w:p>
        </w:tc>
        <w:tc>
          <w:tcPr>
            <w:tcW w:w="1022" w:type="dxa"/>
            <w:hideMark/>
          </w:tcPr>
          <w:p w14:paraId="5C30350F" w14:textId="2F135924" w:rsidR="00CF72D5" w:rsidRPr="002029AF" w:rsidRDefault="00CF72D5" w:rsidP="00C51680">
            <w:pPr>
              <w:pStyle w:val="ARtabletextright"/>
              <w:spacing w:before="40" w:after="20"/>
            </w:pPr>
            <w:r w:rsidRPr="002029AF">
              <w:t>0</w:t>
            </w:r>
          </w:p>
        </w:tc>
        <w:tc>
          <w:tcPr>
            <w:tcW w:w="887" w:type="dxa"/>
            <w:hideMark/>
          </w:tcPr>
          <w:p w14:paraId="40707783" w14:textId="144F8D7A" w:rsidR="00CF72D5" w:rsidRPr="002029AF" w:rsidRDefault="00CF72D5" w:rsidP="00C51680">
            <w:pPr>
              <w:pStyle w:val="ARtabletextrightbold"/>
              <w:spacing w:before="40" w:after="20"/>
            </w:pPr>
            <w:r w:rsidRPr="002029AF">
              <w:t>-1</w:t>
            </w:r>
          </w:p>
        </w:tc>
      </w:tr>
      <w:tr w:rsidR="00CF72D5" w:rsidRPr="002029AF" w14:paraId="01785511" w14:textId="77777777" w:rsidTr="00D40FE6">
        <w:tc>
          <w:tcPr>
            <w:tcW w:w="2944" w:type="dxa"/>
            <w:hideMark/>
          </w:tcPr>
          <w:p w14:paraId="2F2F6456" w14:textId="5DBACB2C" w:rsidR="00CF72D5" w:rsidRPr="002029AF" w:rsidRDefault="00CF72D5" w:rsidP="00C51680">
            <w:pPr>
              <w:pStyle w:val="ARtabletext"/>
              <w:spacing w:before="40" w:after="20"/>
            </w:pPr>
            <w:r w:rsidRPr="002029AF">
              <w:t>Monash</w:t>
            </w:r>
            <w:r w:rsidR="000A5329" w:rsidRPr="002029AF">
              <w:t xml:space="preserve"> </w:t>
            </w:r>
            <w:r w:rsidRPr="002029AF">
              <w:t>Health</w:t>
            </w:r>
          </w:p>
        </w:tc>
        <w:tc>
          <w:tcPr>
            <w:tcW w:w="871" w:type="dxa"/>
            <w:hideMark/>
          </w:tcPr>
          <w:p w14:paraId="4828FE20" w14:textId="4AF33B2A" w:rsidR="00CF72D5" w:rsidRPr="002029AF" w:rsidRDefault="00CF72D5" w:rsidP="00C51680">
            <w:pPr>
              <w:pStyle w:val="ARtabletextright"/>
              <w:spacing w:before="40" w:after="20"/>
            </w:pPr>
            <w:r w:rsidRPr="002029AF">
              <w:t>17</w:t>
            </w:r>
          </w:p>
        </w:tc>
        <w:tc>
          <w:tcPr>
            <w:tcW w:w="886" w:type="dxa"/>
            <w:hideMark/>
          </w:tcPr>
          <w:p w14:paraId="67A9E505" w14:textId="70319CC9" w:rsidR="00CF72D5" w:rsidRPr="002029AF" w:rsidRDefault="00CF72D5" w:rsidP="00C51680">
            <w:pPr>
              <w:pStyle w:val="ARtabletextright"/>
              <w:spacing w:before="40" w:after="20"/>
            </w:pPr>
            <w:r w:rsidRPr="002029AF">
              <w:t>20</w:t>
            </w:r>
          </w:p>
        </w:tc>
        <w:tc>
          <w:tcPr>
            <w:tcW w:w="1021" w:type="dxa"/>
            <w:hideMark/>
          </w:tcPr>
          <w:p w14:paraId="7BC3D105" w14:textId="3A58C5C1" w:rsidR="00CF72D5" w:rsidRPr="002029AF" w:rsidRDefault="00CF72D5" w:rsidP="00C51680">
            <w:pPr>
              <w:pStyle w:val="ARtabletextright"/>
              <w:spacing w:before="40" w:after="20"/>
            </w:pPr>
            <w:r w:rsidRPr="002029AF">
              <w:t>0</w:t>
            </w:r>
          </w:p>
        </w:tc>
        <w:tc>
          <w:tcPr>
            <w:tcW w:w="917" w:type="dxa"/>
            <w:hideMark/>
          </w:tcPr>
          <w:p w14:paraId="2236B5B6" w14:textId="7AA744F7" w:rsidR="00CF72D5" w:rsidRPr="002029AF" w:rsidRDefault="00CF72D5" w:rsidP="00C51680">
            <w:pPr>
              <w:pStyle w:val="ARtabletextrightbold"/>
              <w:spacing w:before="40" w:after="20"/>
            </w:pPr>
            <w:r w:rsidRPr="002029AF">
              <w:t>37</w:t>
            </w:r>
          </w:p>
        </w:tc>
        <w:tc>
          <w:tcPr>
            <w:tcW w:w="887" w:type="dxa"/>
            <w:hideMark/>
          </w:tcPr>
          <w:p w14:paraId="27E5DB90" w14:textId="7E0DBF59" w:rsidR="00CF72D5" w:rsidRPr="002029AF" w:rsidRDefault="00CF72D5" w:rsidP="00C51680">
            <w:pPr>
              <w:pStyle w:val="ARtabletextright"/>
              <w:spacing w:before="40" w:after="20"/>
            </w:pPr>
            <w:r w:rsidRPr="002029AF">
              <w:t>16</w:t>
            </w:r>
          </w:p>
        </w:tc>
        <w:tc>
          <w:tcPr>
            <w:tcW w:w="887" w:type="dxa"/>
            <w:hideMark/>
          </w:tcPr>
          <w:p w14:paraId="3824F1FD" w14:textId="7072B0D7" w:rsidR="00CF72D5" w:rsidRPr="002029AF" w:rsidRDefault="00CF72D5" w:rsidP="00C51680">
            <w:pPr>
              <w:pStyle w:val="ARtabletextright"/>
              <w:spacing w:before="40" w:after="20"/>
            </w:pPr>
            <w:r w:rsidRPr="002029AF">
              <w:t>18</w:t>
            </w:r>
          </w:p>
        </w:tc>
        <w:tc>
          <w:tcPr>
            <w:tcW w:w="1022" w:type="dxa"/>
            <w:hideMark/>
          </w:tcPr>
          <w:p w14:paraId="7C64461B" w14:textId="7AF71D84" w:rsidR="00CF72D5" w:rsidRPr="002029AF" w:rsidRDefault="00CF72D5" w:rsidP="00C51680">
            <w:pPr>
              <w:pStyle w:val="ARtabletextright"/>
              <w:spacing w:before="40" w:after="20"/>
            </w:pPr>
            <w:r w:rsidRPr="002029AF">
              <w:t>0</w:t>
            </w:r>
          </w:p>
        </w:tc>
        <w:tc>
          <w:tcPr>
            <w:tcW w:w="902" w:type="dxa"/>
            <w:hideMark/>
          </w:tcPr>
          <w:p w14:paraId="2DE279CA" w14:textId="75344311" w:rsidR="00CF72D5" w:rsidRPr="002029AF" w:rsidRDefault="00CF72D5" w:rsidP="00C51680">
            <w:pPr>
              <w:pStyle w:val="ARtabletextrightbold"/>
              <w:spacing w:before="40" w:after="20"/>
            </w:pPr>
            <w:r w:rsidRPr="002029AF">
              <w:t>34</w:t>
            </w:r>
          </w:p>
        </w:tc>
        <w:tc>
          <w:tcPr>
            <w:tcW w:w="872" w:type="dxa"/>
            <w:hideMark/>
          </w:tcPr>
          <w:p w14:paraId="6466F726" w14:textId="70FDD597" w:rsidR="00CF72D5" w:rsidRPr="002029AF" w:rsidRDefault="00CF72D5" w:rsidP="00C51680">
            <w:pPr>
              <w:pStyle w:val="ARtabletextright"/>
              <w:spacing w:before="40" w:after="20"/>
            </w:pPr>
            <w:r w:rsidRPr="002029AF">
              <w:t>1</w:t>
            </w:r>
          </w:p>
        </w:tc>
        <w:tc>
          <w:tcPr>
            <w:tcW w:w="887" w:type="dxa"/>
            <w:hideMark/>
          </w:tcPr>
          <w:p w14:paraId="5D24528E" w14:textId="54F7E9C8" w:rsidR="00CF72D5" w:rsidRPr="002029AF" w:rsidRDefault="00CF72D5" w:rsidP="00C51680">
            <w:pPr>
              <w:pStyle w:val="ARtabletextright"/>
              <w:spacing w:before="40" w:after="20"/>
            </w:pPr>
            <w:r w:rsidRPr="002029AF">
              <w:t>2</w:t>
            </w:r>
          </w:p>
        </w:tc>
        <w:tc>
          <w:tcPr>
            <w:tcW w:w="1022" w:type="dxa"/>
            <w:hideMark/>
          </w:tcPr>
          <w:p w14:paraId="5580050D" w14:textId="45D07519" w:rsidR="00CF72D5" w:rsidRPr="002029AF" w:rsidRDefault="00CF72D5" w:rsidP="00C51680">
            <w:pPr>
              <w:pStyle w:val="ARtabletextright"/>
              <w:spacing w:before="40" w:after="20"/>
            </w:pPr>
            <w:r w:rsidRPr="002029AF">
              <w:t>0</w:t>
            </w:r>
          </w:p>
        </w:tc>
        <w:tc>
          <w:tcPr>
            <w:tcW w:w="887" w:type="dxa"/>
            <w:hideMark/>
          </w:tcPr>
          <w:p w14:paraId="2B4E9A0B" w14:textId="692918F2" w:rsidR="00CF72D5" w:rsidRPr="002029AF" w:rsidRDefault="00CF72D5" w:rsidP="00C51680">
            <w:pPr>
              <w:pStyle w:val="ARtabletextrightbold"/>
              <w:spacing w:before="40" w:after="20"/>
            </w:pPr>
            <w:r w:rsidRPr="002029AF">
              <w:t>3</w:t>
            </w:r>
          </w:p>
        </w:tc>
      </w:tr>
      <w:tr w:rsidR="00CF72D5" w:rsidRPr="002029AF" w14:paraId="4346AD46" w14:textId="77777777" w:rsidTr="00D40FE6">
        <w:tc>
          <w:tcPr>
            <w:tcW w:w="2944" w:type="dxa"/>
            <w:hideMark/>
          </w:tcPr>
          <w:p w14:paraId="00642214" w14:textId="328BC492" w:rsidR="00CF72D5" w:rsidRPr="002029AF" w:rsidRDefault="00CF72D5" w:rsidP="00C51680">
            <w:pPr>
              <w:pStyle w:val="ARtabletext"/>
              <w:spacing w:before="40" w:after="20"/>
            </w:pPr>
            <w:r w:rsidRPr="002029AF">
              <w:t>Moyne</w:t>
            </w:r>
            <w:r w:rsidR="000A5329" w:rsidRPr="002029AF">
              <w:t xml:space="preserve"> </w:t>
            </w:r>
            <w:r w:rsidRPr="002029AF">
              <w:t>Health</w:t>
            </w:r>
            <w:r w:rsidR="000A5329" w:rsidRPr="002029AF">
              <w:t xml:space="preserve"> </w:t>
            </w:r>
            <w:r w:rsidRPr="002029AF">
              <w:t>Services</w:t>
            </w:r>
          </w:p>
        </w:tc>
        <w:tc>
          <w:tcPr>
            <w:tcW w:w="871" w:type="dxa"/>
            <w:hideMark/>
          </w:tcPr>
          <w:p w14:paraId="1C7C15E3" w14:textId="68AEE616" w:rsidR="00CF72D5" w:rsidRPr="002029AF" w:rsidRDefault="00CF72D5" w:rsidP="00C51680">
            <w:pPr>
              <w:pStyle w:val="ARtabletextright"/>
              <w:spacing w:before="40" w:after="20"/>
            </w:pPr>
            <w:r w:rsidRPr="002029AF">
              <w:t>1</w:t>
            </w:r>
          </w:p>
        </w:tc>
        <w:tc>
          <w:tcPr>
            <w:tcW w:w="886" w:type="dxa"/>
            <w:hideMark/>
          </w:tcPr>
          <w:p w14:paraId="5F60626A" w14:textId="18BDC298" w:rsidR="00CF72D5" w:rsidRPr="002029AF" w:rsidRDefault="00CF72D5" w:rsidP="00C51680">
            <w:pPr>
              <w:pStyle w:val="ARtabletextright"/>
              <w:spacing w:before="40" w:after="20"/>
            </w:pPr>
            <w:r w:rsidRPr="002029AF">
              <w:t>0</w:t>
            </w:r>
          </w:p>
        </w:tc>
        <w:tc>
          <w:tcPr>
            <w:tcW w:w="1021" w:type="dxa"/>
            <w:hideMark/>
          </w:tcPr>
          <w:p w14:paraId="0FAC72BF" w14:textId="42DF0A93" w:rsidR="00CF72D5" w:rsidRPr="002029AF" w:rsidRDefault="00CF72D5" w:rsidP="00C51680">
            <w:pPr>
              <w:pStyle w:val="ARtabletextright"/>
              <w:spacing w:before="40" w:after="20"/>
            </w:pPr>
            <w:r w:rsidRPr="002029AF">
              <w:t>0</w:t>
            </w:r>
          </w:p>
        </w:tc>
        <w:tc>
          <w:tcPr>
            <w:tcW w:w="917" w:type="dxa"/>
            <w:hideMark/>
          </w:tcPr>
          <w:p w14:paraId="65BAD4FD" w14:textId="01A57C94" w:rsidR="00CF72D5" w:rsidRPr="002029AF" w:rsidRDefault="00CF72D5" w:rsidP="00C51680">
            <w:pPr>
              <w:pStyle w:val="ARtabletextrightbold"/>
              <w:spacing w:before="40" w:after="20"/>
            </w:pPr>
            <w:r w:rsidRPr="002029AF">
              <w:t>1</w:t>
            </w:r>
          </w:p>
        </w:tc>
        <w:tc>
          <w:tcPr>
            <w:tcW w:w="887" w:type="dxa"/>
            <w:hideMark/>
          </w:tcPr>
          <w:p w14:paraId="4B89D250" w14:textId="44A8DEB5" w:rsidR="00CF72D5" w:rsidRPr="002029AF" w:rsidRDefault="00CF72D5" w:rsidP="00C51680">
            <w:pPr>
              <w:pStyle w:val="ARtabletextright"/>
              <w:spacing w:before="40" w:after="20"/>
            </w:pPr>
            <w:r w:rsidRPr="002029AF">
              <w:t>1</w:t>
            </w:r>
          </w:p>
        </w:tc>
        <w:tc>
          <w:tcPr>
            <w:tcW w:w="887" w:type="dxa"/>
            <w:hideMark/>
          </w:tcPr>
          <w:p w14:paraId="01563031" w14:textId="1D748E4A" w:rsidR="00CF72D5" w:rsidRPr="002029AF" w:rsidRDefault="00CF72D5" w:rsidP="00C51680">
            <w:pPr>
              <w:pStyle w:val="ARtabletextright"/>
              <w:spacing w:before="40" w:after="20"/>
            </w:pPr>
            <w:r w:rsidRPr="002029AF">
              <w:t>1</w:t>
            </w:r>
          </w:p>
        </w:tc>
        <w:tc>
          <w:tcPr>
            <w:tcW w:w="1022" w:type="dxa"/>
            <w:hideMark/>
          </w:tcPr>
          <w:p w14:paraId="62837535" w14:textId="1B83653B" w:rsidR="00CF72D5" w:rsidRPr="002029AF" w:rsidRDefault="00CF72D5" w:rsidP="00C51680">
            <w:pPr>
              <w:pStyle w:val="ARtabletextright"/>
              <w:spacing w:before="40" w:after="20"/>
            </w:pPr>
            <w:r w:rsidRPr="002029AF">
              <w:t>0</w:t>
            </w:r>
          </w:p>
        </w:tc>
        <w:tc>
          <w:tcPr>
            <w:tcW w:w="902" w:type="dxa"/>
            <w:hideMark/>
          </w:tcPr>
          <w:p w14:paraId="68344EF0" w14:textId="1ACF52B1" w:rsidR="00CF72D5" w:rsidRPr="002029AF" w:rsidRDefault="00CF72D5" w:rsidP="00C51680">
            <w:pPr>
              <w:pStyle w:val="ARtabletextrightbold"/>
              <w:spacing w:before="40" w:after="20"/>
            </w:pPr>
            <w:r w:rsidRPr="002029AF">
              <w:t>2</w:t>
            </w:r>
          </w:p>
        </w:tc>
        <w:tc>
          <w:tcPr>
            <w:tcW w:w="872" w:type="dxa"/>
            <w:hideMark/>
          </w:tcPr>
          <w:p w14:paraId="39C54CF1" w14:textId="1EA40401" w:rsidR="00CF72D5" w:rsidRPr="002029AF" w:rsidRDefault="00CF72D5" w:rsidP="00C51680">
            <w:pPr>
              <w:pStyle w:val="ARtabletextright"/>
              <w:spacing w:before="40" w:after="20"/>
            </w:pPr>
            <w:r w:rsidRPr="002029AF">
              <w:t>0</w:t>
            </w:r>
          </w:p>
        </w:tc>
        <w:tc>
          <w:tcPr>
            <w:tcW w:w="887" w:type="dxa"/>
            <w:hideMark/>
          </w:tcPr>
          <w:p w14:paraId="612587C6" w14:textId="153A5A94" w:rsidR="00CF72D5" w:rsidRPr="002029AF" w:rsidRDefault="00CF72D5" w:rsidP="00C51680">
            <w:pPr>
              <w:pStyle w:val="ARtabletextright"/>
              <w:spacing w:before="40" w:after="20"/>
            </w:pPr>
            <w:r w:rsidRPr="002029AF">
              <w:t>-1</w:t>
            </w:r>
          </w:p>
        </w:tc>
        <w:tc>
          <w:tcPr>
            <w:tcW w:w="1022" w:type="dxa"/>
            <w:hideMark/>
          </w:tcPr>
          <w:p w14:paraId="77D6A90B" w14:textId="7AB1ACCA" w:rsidR="00CF72D5" w:rsidRPr="002029AF" w:rsidRDefault="00CF72D5" w:rsidP="00C51680">
            <w:pPr>
              <w:pStyle w:val="ARtabletextright"/>
              <w:spacing w:before="40" w:after="20"/>
            </w:pPr>
            <w:r w:rsidRPr="002029AF">
              <w:t>0</w:t>
            </w:r>
          </w:p>
        </w:tc>
        <w:tc>
          <w:tcPr>
            <w:tcW w:w="887" w:type="dxa"/>
            <w:hideMark/>
          </w:tcPr>
          <w:p w14:paraId="011FFD57" w14:textId="0D3EB719" w:rsidR="00CF72D5" w:rsidRPr="002029AF" w:rsidRDefault="00CF72D5" w:rsidP="00C51680">
            <w:pPr>
              <w:pStyle w:val="ARtabletextrightbold"/>
              <w:spacing w:before="40" w:after="20"/>
            </w:pPr>
            <w:r w:rsidRPr="002029AF">
              <w:t>-1</w:t>
            </w:r>
          </w:p>
        </w:tc>
      </w:tr>
      <w:tr w:rsidR="00CF72D5" w:rsidRPr="002029AF" w14:paraId="712F915D" w14:textId="77777777" w:rsidTr="00D40FE6">
        <w:tc>
          <w:tcPr>
            <w:tcW w:w="2944" w:type="dxa"/>
            <w:hideMark/>
          </w:tcPr>
          <w:p w14:paraId="097238E4" w14:textId="6391CE4B" w:rsidR="00CF72D5" w:rsidRPr="002029AF" w:rsidRDefault="00CF72D5" w:rsidP="00C51680">
            <w:pPr>
              <w:pStyle w:val="ARtabletext"/>
              <w:spacing w:before="40" w:after="20"/>
            </w:pPr>
            <w:r w:rsidRPr="002029AF">
              <w:t>Nathalia</w:t>
            </w:r>
            <w:r w:rsidR="000A5329" w:rsidRPr="002029AF">
              <w:t xml:space="preserve"> </w:t>
            </w:r>
            <w:r w:rsidRPr="002029AF">
              <w:t>Cobram</w:t>
            </w:r>
            <w:r w:rsidR="000A5329" w:rsidRPr="002029AF">
              <w:t xml:space="preserve"> </w:t>
            </w:r>
            <w:r w:rsidRPr="002029AF">
              <w:t>Numurkah</w:t>
            </w:r>
            <w:r w:rsidR="000A5329" w:rsidRPr="002029AF">
              <w:t xml:space="preserve"> </w:t>
            </w:r>
            <w:r w:rsidRPr="002029AF">
              <w:t>Health</w:t>
            </w:r>
            <w:r w:rsidR="000A5329" w:rsidRPr="002029AF">
              <w:t xml:space="preserve"> </w:t>
            </w:r>
            <w:r w:rsidRPr="002029AF">
              <w:t>Services</w:t>
            </w:r>
          </w:p>
        </w:tc>
        <w:tc>
          <w:tcPr>
            <w:tcW w:w="871" w:type="dxa"/>
            <w:hideMark/>
          </w:tcPr>
          <w:p w14:paraId="7DFD3554" w14:textId="3A02FB58" w:rsidR="00CF72D5" w:rsidRPr="002029AF" w:rsidRDefault="00CF72D5" w:rsidP="00C51680">
            <w:pPr>
              <w:pStyle w:val="ARtabletextright"/>
              <w:spacing w:before="40" w:after="20"/>
            </w:pPr>
            <w:r w:rsidRPr="002029AF">
              <w:t>1</w:t>
            </w:r>
          </w:p>
        </w:tc>
        <w:tc>
          <w:tcPr>
            <w:tcW w:w="886" w:type="dxa"/>
            <w:hideMark/>
          </w:tcPr>
          <w:p w14:paraId="75F3C1B0" w14:textId="1F7140D4" w:rsidR="00CF72D5" w:rsidRPr="002029AF" w:rsidRDefault="00CF72D5" w:rsidP="00C51680">
            <w:pPr>
              <w:pStyle w:val="ARtabletextright"/>
              <w:spacing w:before="40" w:after="20"/>
            </w:pPr>
            <w:r w:rsidRPr="002029AF">
              <w:t>0</w:t>
            </w:r>
          </w:p>
        </w:tc>
        <w:tc>
          <w:tcPr>
            <w:tcW w:w="1021" w:type="dxa"/>
            <w:hideMark/>
          </w:tcPr>
          <w:p w14:paraId="235A659D" w14:textId="56D0C108" w:rsidR="00CF72D5" w:rsidRPr="002029AF" w:rsidRDefault="00CF72D5" w:rsidP="00C51680">
            <w:pPr>
              <w:pStyle w:val="ARtabletextright"/>
              <w:spacing w:before="40" w:after="20"/>
            </w:pPr>
            <w:r w:rsidRPr="002029AF">
              <w:t>0</w:t>
            </w:r>
          </w:p>
        </w:tc>
        <w:tc>
          <w:tcPr>
            <w:tcW w:w="917" w:type="dxa"/>
            <w:hideMark/>
          </w:tcPr>
          <w:p w14:paraId="5DF9086F" w14:textId="218A3CB4" w:rsidR="00CF72D5" w:rsidRPr="002029AF" w:rsidRDefault="00CF72D5" w:rsidP="00C51680">
            <w:pPr>
              <w:pStyle w:val="ARtabletextrightbold"/>
              <w:spacing w:before="40" w:after="20"/>
            </w:pPr>
            <w:r w:rsidRPr="002029AF">
              <w:t>1</w:t>
            </w:r>
          </w:p>
        </w:tc>
        <w:tc>
          <w:tcPr>
            <w:tcW w:w="887" w:type="dxa"/>
            <w:hideMark/>
          </w:tcPr>
          <w:p w14:paraId="35C56058" w14:textId="4F479557" w:rsidR="00CF72D5" w:rsidRPr="002029AF" w:rsidRDefault="00CF72D5" w:rsidP="00C51680">
            <w:pPr>
              <w:pStyle w:val="ARtabletextright"/>
              <w:spacing w:before="40" w:after="20"/>
            </w:pPr>
            <w:r w:rsidRPr="002029AF">
              <w:t>0</w:t>
            </w:r>
          </w:p>
        </w:tc>
        <w:tc>
          <w:tcPr>
            <w:tcW w:w="887" w:type="dxa"/>
            <w:hideMark/>
          </w:tcPr>
          <w:p w14:paraId="700DD786" w14:textId="0838FD2E" w:rsidR="00CF72D5" w:rsidRPr="002029AF" w:rsidRDefault="00CF72D5" w:rsidP="00C51680">
            <w:pPr>
              <w:pStyle w:val="ARtabletextright"/>
              <w:spacing w:before="40" w:after="20"/>
            </w:pPr>
            <w:r w:rsidRPr="002029AF">
              <w:t>0</w:t>
            </w:r>
          </w:p>
        </w:tc>
        <w:tc>
          <w:tcPr>
            <w:tcW w:w="1022" w:type="dxa"/>
            <w:hideMark/>
          </w:tcPr>
          <w:p w14:paraId="5E121B6D" w14:textId="0D5587A2" w:rsidR="00CF72D5" w:rsidRPr="002029AF" w:rsidRDefault="00CF72D5" w:rsidP="00C51680">
            <w:pPr>
              <w:pStyle w:val="ARtabletextright"/>
              <w:spacing w:before="40" w:after="20"/>
            </w:pPr>
            <w:r w:rsidRPr="002029AF">
              <w:t>0</w:t>
            </w:r>
          </w:p>
        </w:tc>
        <w:tc>
          <w:tcPr>
            <w:tcW w:w="902" w:type="dxa"/>
            <w:hideMark/>
          </w:tcPr>
          <w:p w14:paraId="77B3063A" w14:textId="254114FD" w:rsidR="00CF72D5" w:rsidRPr="002029AF" w:rsidRDefault="00CF72D5" w:rsidP="00C51680">
            <w:pPr>
              <w:pStyle w:val="ARtabletextrightbold"/>
              <w:spacing w:before="40" w:after="20"/>
            </w:pPr>
            <w:r w:rsidRPr="002029AF">
              <w:t>0</w:t>
            </w:r>
          </w:p>
        </w:tc>
        <w:tc>
          <w:tcPr>
            <w:tcW w:w="872" w:type="dxa"/>
            <w:hideMark/>
          </w:tcPr>
          <w:p w14:paraId="2A02D2E9" w14:textId="4CCEFE28" w:rsidR="00CF72D5" w:rsidRPr="002029AF" w:rsidRDefault="00CF72D5" w:rsidP="00C51680">
            <w:pPr>
              <w:pStyle w:val="ARtabletextright"/>
              <w:spacing w:before="40" w:after="20"/>
            </w:pPr>
            <w:r w:rsidRPr="002029AF">
              <w:t>1</w:t>
            </w:r>
          </w:p>
        </w:tc>
        <w:tc>
          <w:tcPr>
            <w:tcW w:w="887" w:type="dxa"/>
            <w:hideMark/>
          </w:tcPr>
          <w:p w14:paraId="49620797" w14:textId="3BF932FA" w:rsidR="00CF72D5" w:rsidRPr="002029AF" w:rsidRDefault="00CF72D5" w:rsidP="00C51680">
            <w:pPr>
              <w:pStyle w:val="ARtabletextright"/>
              <w:spacing w:before="40" w:after="20"/>
            </w:pPr>
            <w:r w:rsidRPr="002029AF">
              <w:t>0</w:t>
            </w:r>
          </w:p>
        </w:tc>
        <w:tc>
          <w:tcPr>
            <w:tcW w:w="1022" w:type="dxa"/>
            <w:hideMark/>
          </w:tcPr>
          <w:p w14:paraId="50CA089E" w14:textId="6225709E" w:rsidR="00CF72D5" w:rsidRPr="002029AF" w:rsidRDefault="00CF72D5" w:rsidP="00C51680">
            <w:pPr>
              <w:pStyle w:val="ARtabletextright"/>
              <w:spacing w:before="40" w:after="20"/>
            </w:pPr>
            <w:r w:rsidRPr="002029AF">
              <w:t>0</w:t>
            </w:r>
          </w:p>
        </w:tc>
        <w:tc>
          <w:tcPr>
            <w:tcW w:w="887" w:type="dxa"/>
            <w:hideMark/>
          </w:tcPr>
          <w:p w14:paraId="71B96A4A" w14:textId="515E4865" w:rsidR="00CF72D5" w:rsidRPr="002029AF" w:rsidRDefault="00CF72D5" w:rsidP="00C51680">
            <w:pPr>
              <w:pStyle w:val="ARtabletextrightbold"/>
              <w:spacing w:before="40" w:after="20"/>
            </w:pPr>
            <w:r w:rsidRPr="002029AF">
              <w:t>1</w:t>
            </w:r>
          </w:p>
        </w:tc>
      </w:tr>
      <w:tr w:rsidR="00CF72D5" w:rsidRPr="002029AF" w14:paraId="6F13A2D3" w14:textId="77777777" w:rsidTr="00D40FE6">
        <w:tc>
          <w:tcPr>
            <w:tcW w:w="2944" w:type="dxa"/>
            <w:hideMark/>
          </w:tcPr>
          <w:p w14:paraId="48E89FFC" w14:textId="1CD66ED7" w:rsidR="00CF72D5" w:rsidRPr="002029AF" w:rsidRDefault="00CF72D5" w:rsidP="00C51680">
            <w:pPr>
              <w:pStyle w:val="ARtabletext"/>
              <w:spacing w:before="40" w:after="20"/>
            </w:pPr>
            <w:r w:rsidRPr="002029AF">
              <w:t>Nathalia</w:t>
            </w:r>
            <w:r w:rsidR="000A5329" w:rsidRPr="002029AF">
              <w:t xml:space="preserve"> </w:t>
            </w:r>
            <w:r w:rsidRPr="002029AF">
              <w:t>District</w:t>
            </w:r>
            <w:r w:rsidR="000A5329" w:rsidRPr="002029AF">
              <w:t xml:space="preserve"> </w:t>
            </w:r>
            <w:r w:rsidRPr="002029AF">
              <w:t>Hospital</w:t>
            </w:r>
          </w:p>
        </w:tc>
        <w:tc>
          <w:tcPr>
            <w:tcW w:w="871" w:type="dxa"/>
            <w:hideMark/>
          </w:tcPr>
          <w:p w14:paraId="1F4E627C" w14:textId="290C3338" w:rsidR="00CF72D5" w:rsidRPr="002029AF" w:rsidRDefault="00CF72D5" w:rsidP="00C51680">
            <w:pPr>
              <w:pStyle w:val="ARtabletextright"/>
              <w:spacing w:before="40" w:after="20"/>
            </w:pPr>
            <w:r w:rsidRPr="002029AF">
              <w:t>0</w:t>
            </w:r>
          </w:p>
        </w:tc>
        <w:tc>
          <w:tcPr>
            <w:tcW w:w="886" w:type="dxa"/>
            <w:hideMark/>
          </w:tcPr>
          <w:p w14:paraId="1D250405" w14:textId="5415ADBB" w:rsidR="00CF72D5" w:rsidRPr="002029AF" w:rsidRDefault="00CF72D5" w:rsidP="00C51680">
            <w:pPr>
              <w:pStyle w:val="ARtabletextright"/>
              <w:spacing w:before="40" w:after="20"/>
            </w:pPr>
            <w:r w:rsidRPr="002029AF">
              <w:t>0</w:t>
            </w:r>
          </w:p>
        </w:tc>
        <w:tc>
          <w:tcPr>
            <w:tcW w:w="1021" w:type="dxa"/>
            <w:hideMark/>
          </w:tcPr>
          <w:p w14:paraId="3017E68B" w14:textId="5EB6B639" w:rsidR="00CF72D5" w:rsidRPr="002029AF" w:rsidRDefault="00CF72D5" w:rsidP="00C51680">
            <w:pPr>
              <w:pStyle w:val="ARtabletextright"/>
              <w:spacing w:before="40" w:after="20"/>
            </w:pPr>
            <w:r w:rsidRPr="002029AF">
              <w:t>0</w:t>
            </w:r>
          </w:p>
        </w:tc>
        <w:tc>
          <w:tcPr>
            <w:tcW w:w="917" w:type="dxa"/>
            <w:hideMark/>
          </w:tcPr>
          <w:p w14:paraId="1FF43B37" w14:textId="22799A00" w:rsidR="00CF72D5" w:rsidRPr="002029AF" w:rsidRDefault="00CF72D5" w:rsidP="00C51680">
            <w:pPr>
              <w:pStyle w:val="ARtabletextrightbold"/>
              <w:spacing w:before="40" w:after="20"/>
            </w:pPr>
            <w:r w:rsidRPr="002029AF">
              <w:t>0</w:t>
            </w:r>
          </w:p>
        </w:tc>
        <w:tc>
          <w:tcPr>
            <w:tcW w:w="887" w:type="dxa"/>
            <w:hideMark/>
          </w:tcPr>
          <w:p w14:paraId="779062DA" w14:textId="2E15BE0E" w:rsidR="00CF72D5" w:rsidRPr="002029AF" w:rsidRDefault="00CF72D5" w:rsidP="00C51680">
            <w:pPr>
              <w:pStyle w:val="ARtabletextright"/>
              <w:spacing w:before="40" w:after="20"/>
            </w:pPr>
            <w:r w:rsidRPr="002029AF">
              <w:t>0</w:t>
            </w:r>
          </w:p>
        </w:tc>
        <w:tc>
          <w:tcPr>
            <w:tcW w:w="887" w:type="dxa"/>
            <w:hideMark/>
          </w:tcPr>
          <w:p w14:paraId="792D3609" w14:textId="1328E094" w:rsidR="00CF72D5" w:rsidRPr="002029AF" w:rsidRDefault="00CF72D5" w:rsidP="00C51680">
            <w:pPr>
              <w:pStyle w:val="ARtabletextright"/>
              <w:spacing w:before="40" w:after="20"/>
            </w:pPr>
            <w:r w:rsidRPr="002029AF">
              <w:t>0</w:t>
            </w:r>
          </w:p>
        </w:tc>
        <w:tc>
          <w:tcPr>
            <w:tcW w:w="1022" w:type="dxa"/>
            <w:hideMark/>
          </w:tcPr>
          <w:p w14:paraId="567EE663" w14:textId="223C37CD" w:rsidR="00CF72D5" w:rsidRPr="002029AF" w:rsidRDefault="00CF72D5" w:rsidP="00C51680">
            <w:pPr>
              <w:pStyle w:val="ARtabletextright"/>
              <w:spacing w:before="40" w:after="20"/>
            </w:pPr>
            <w:r w:rsidRPr="002029AF">
              <w:t>0</w:t>
            </w:r>
          </w:p>
        </w:tc>
        <w:tc>
          <w:tcPr>
            <w:tcW w:w="902" w:type="dxa"/>
            <w:hideMark/>
          </w:tcPr>
          <w:p w14:paraId="5D594C30" w14:textId="7B35897D" w:rsidR="00CF72D5" w:rsidRPr="002029AF" w:rsidRDefault="00CF72D5" w:rsidP="00C51680">
            <w:pPr>
              <w:pStyle w:val="ARtabletextrightbold"/>
              <w:spacing w:before="40" w:after="20"/>
            </w:pPr>
            <w:r w:rsidRPr="002029AF">
              <w:t>0</w:t>
            </w:r>
          </w:p>
        </w:tc>
        <w:tc>
          <w:tcPr>
            <w:tcW w:w="872" w:type="dxa"/>
            <w:hideMark/>
          </w:tcPr>
          <w:p w14:paraId="45CCC0AD" w14:textId="4FE86E54" w:rsidR="00CF72D5" w:rsidRPr="002029AF" w:rsidRDefault="00CF72D5" w:rsidP="00C51680">
            <w:pPr>
              <w:pStyle w:val="ARtabletextright"/>
              <w:spacing w:before="40" w:after="20"/>
            </w:pPr>
            <w:r w:rsidRPr="002029AF">
              <w:t>0</w:t>
            </w:r>
          </w:p>
        </w:tc>
        <w:tc>
          <w:tcPr>
            <w:tcW w:w="887" w:type="dxa"/>
            <w:hideMark/>
          </w:tcPr>
          <w:p w14:paraId="5B08949F" w14:textId="22DD7857" w:rsidR="00CF72D5" w:rsidRPr="002029AF" w:rsidRDefault="00CF72D5" w:rsidP="00C51680">
            <w:pPr>
              <w:pStyle w:val="ARtabletextright"/>
              <w:spacing w:before="40" w:after="20"/>
            </w:pPr>
            <w:r w:rsidRPr="002029AF">
              <w:t>0</w:t>
            </w:r>
          </w:p>
        </w:tc>
        <w:tc>
          <w:tcPr>
            <w:tcW w:w="1022" w:type="dxa"/>
            <w:hideMark/>
          </w:tcPr>
          <w:p w14:paraId="733A878D" w14:textId="255E63B2" w:rsidR="00CF72D5" w:rsidRPr="002029AF" w:rsidRDefault="00CF72D5" w:rsidP="00C51680">
            <w:pPr>
              <w:pStyle w:val="ARtabletextright"/>
              <w:spacing w:before="40" w:after="20"/>
            </w:pPr>
            <w:r w:rsidRPr="002029AF">
              <w:t>0</w:t>
            </w:r>
          </w:p>
        </w:tc>
        <w:tc>
          <w:tcPr>
            <w:tcW w:w="887" w:type="dxa"/>
            <w:hideMark/>
          </w:tcPr>
          <w:p w14:paraId="276F2CBA" w14:textId="31235F15" w:rsidR="00CF72D5" w:rsidRPr="002029AF" w:rsidRDefault="00CF72D5" w:rsidP="00C51680">
            <w:pPr>
              <w:pStyle w:val="ARtabletextrightbold"/>
              <w:spacing w:before="40" w:after="20"/>
            </w:pPr>
            <w:r w:rsidRPr="002029AF">
              <w:t>0</w:t>
            </w:r>
          </w:p>
        </w:tc>
      </w:tr>
      <w:tr w:rsidR="00CF72D5" w:rsidRPr="002029AF" w14:paraId="48C88880" w14:textId="77777777" w:rsidTr="00D40FE6">
        <w:tc>
          <w:tcPr>
            <w:tcW w:w="2944" w:type="dxa"/>
            <w:hideMark/>
          </w:tcPr>
          <w:p w14:paraId="5F5A6EE3" w14:textId="28A26B1B" w:rsidR="00CF72D5" w:rsidRPr="002029AF" w:rsidRDefault="00CF72D5" w:rsidP="00C51680">
            <w:pPr>
              <w:pStyle w:val="ARtabletext"/>
              <w:spacing w:before="40" w:after="20"/>
            </w:pPr>
            <w:r w:rsidRPr="002029AF">
              <w:t>Northeast</w:t>
            </w:r>
            <w:r w:rsidR="000A5329" w:rsidRPr="002029AF">
              <w:t xml:space="preserve"> </w:t>
            </w:r>
            <w:r w:rsidRPr="002029AF">
              <w:t>Health</w:t>
            </w:r>
            <w:r w:rsidR="000A5329" w:rsidRPr="002029AF">
              <w:t xml:space="preserve"> </w:t>
            </w:r>
            <w:r w:rsidRPr="002029AF">
              <w:t>Wangaratta</w:t>
            </w:r>
          </w:p>
        </w:tc>
        <w:tc>
          <w:tcPr>
            <w:tcW w:w="871" w:type="dxa"/>
            <w:hideMark/>
          </w:tcPr>
          <w:p w14:paraId="2B5CEC95" w14:textId="3503840B" w:rsidR="00CF72D5" w:rsidRPr="002029AF" w:rsidRDefault="00CF72D5" w:rsidP="00C51680">
            <w:pPr>
              <w:pStyle w:val="ARtabletextright"/>
              <w:spacing w:before="40" w:after="20"/>
            </w:pPr>
            <w:r w:rsidRPr="002029AF">
              <w:t>2</w:t>
            </w:r>
          </w:p>
        </w:tc>
        <w:tc>
          <w:tcPr>
            <w:tcW w:w="886" w:type="dxa"/>
            <w:hideMark/>
          </w:tcPr>
          <w:p w14:paraId="26ECDC1C" w14:textId="62ED648C" w:rsidR="00CF72D5" w:rsidRPr="002029AF" w:rsidRDefault="00CF72D5" w:rsidP="00C51680">
            <w:pPr>
              <w:pStyle w:val="ARtabletextright"/>
              <w:spacing w:before="40" w:after="20"/>
            </w:pPr>
            <w:r w:rsidRPr="002029AF">
              <w:t>1</w:t>
            </w:r>
          </w:p>
        </w:tc>
        <w:tc>
          <w:tcPr>
            <w:tcW w:w="1021" w:type="dxa"/>
            <w:hideMark/>
          </w:tcPr>
          <w:p w14:paraId="67C4D8B0" w14:textId="483744CC" w:rsidR="00CF72D5" w:rsidRPr="002029AF" w:rsidRDefault="00CF72D5" w:rsidP="00C51680">
            <w:pPr>
              <w:pStyle w:val="ARtabletextright"/>
              <w:spacing w:before="40" w:after="20"/>
            </w:pPr>
            <w:r w:rsidRPr="002029AF">
              <w:t>0</w:t>
            </w:r>
          </w:p>
        </w:tc>
        <w:tc>
          <w:tcPr>
            <w:tcW w:w="917" w:type="dxa"/>
            <w:hideMark/>
          </w:tcPr>
          <w:p w14:paraId="05B9D2D3" w14:textId="0B571C35" w:rsidR="00CF72D5" w:rsidRPr="002029AF" w:rsidRDefault="00CF72D5" w:rsidP="00C51680">
            <w:pPr>
              <w:pStyle w:val="ARtabletextrightbold"/>
              <w:spacing w:before="40" w:after="20"/>
            </w:pPr>
            <w:r w:rsidRPr="002029AF">
              <w:t>3</w:t>
            </w:r>
          </w:p>
        </w:tc>
        <w:tc>
          <w:tcPr>
            <w:tcW w:w="887" w:type="dxa"/>
            <w:hideMark/>
          </w:tcPr>
          <w:p w14:paraId="44D997EF" w14:textId="27E1C56B" w:rsidR="00CF72D5" w:rsidRPr="002029AF" w:rsidRDefault="00CF72D5" w:rsidP="00C51680">
            <w:pPr>
              <w:pStyle w:val="ARtabletextright"/>
              <w:spacing w:before="40" w:after="20"/>
            </w:pPr>
            <w:r w:rsidRPr="002029AF">
              <w:t>2</w:t>
            </w:r>
          </w:p>
        </w:tc>
        <w:tc>
          <w:tcPr>
            <w:tcW w:w="887" w:type="dxa"/>
            <w:hideMark/>
          </w:tcPr>
          <w:p w14:paraId="6AA676E6" w14:textId="1B5F5B23" w:rsidR="00CF72D5" w:rsidRPr="002029AF" w:rsidRDefault="00CF72D5" w:rsidP="00C51680">
            <w:pPr>
              <w:pStyle w:val="ARtabletextright"/>
              <w:spacing w:before="40" w:after="20"/>
            </w:pPr>
            <w:r w:rsidRPr="002029AF">
              <w:t>2</w:t>
            </w:r>
          </w:p>
        </w:tc>
        <w:tc>
          <w:tcPr>
            <w:tcW w:w="1022" w:type="dxa"/>
            <w:hideMark/>
          </w:tcPr>
          <w:p w14:paraId="0F2C55E9" w14:textId="34380935" w:rsidR="00CF72D5" w:rsidRPr="002029AF" w:rsidRDefault="00CF72D5" w:rsidP="00C51680">
            <w:pPr>
              <w:pStyle w:val="ARtabletextright"/>
              <w:spacing w:before="40" w:after="20"/>
            </w:pPr>
            <w:r w:rsidRPr="002029AF">
              <w:t>0</w:t>
            </w:r>
          </w:p>
        </w:tc>
        <w:tc>
          <w:tcPr>
            <w:tcW w:w="902" w:type="dxa"/>
            <w:hideMark/>
          </w:tcPr>
          <w:p w14:paraId="32E884E4" w14:textId="64C618A2" w:rsidR="00CF72D5" w:rsidRPr="002029AF" w:rsidRDefault="00CF72D5" w:rsidP="00C51680">
            <w:pPr>
              <w:pStyle w:val="ARtabletextrightbold"/>
              <w:spacing w:before="40" w:after="20"/>
            </w:pPr>
            <w:r w:rsidRPr="002029AF">
              <w:t>4</w:t>
            </w:r>
          </w:p>
        </w:tc>
        <w:tc>
          <w:tcPr>
            <w:tcW w:w="872" w:type="dxa"/>
            <w:hideMark/>
          </w:tcPr>
          <w:p w14:paraId="1D3EEFFA" w14:textId="1EABEBA6" w:rsidR="00CF72D5" w:rsidRPr="002029AF" w:rsidRDefault="00CF72D5" w:rsidP="00C51680">
            <w:pPr>
              <w:pStyle w:val="ARtabletextright"/>
              <w:spacing w:before="40" w:after="20"/>
            </w:pPr>
            <w:r w:rsidRPr="002029AF">
              <w:t>0</w:t>
            </w:r>
          </w:p>
        </w:tc>
        <w:tc>
          <w:tcPr>
            <w:tcW w:w="887" w:type="dxa"/>
            <w:hideMark/>
          </w:tcPr>
          <w:p w14:paraId="128918CC" w14:textId="447C0F41" w:rsidR="00CF72D5" w:rsidRPr="002029AF" w:rsidRDefault="00CF72D5" w:rsidP="00C51680">
            <w:pPr>
              <w:pStyle w:val="ARtabletextright"/>
              <w:spacing w:before="40" w:after="20"/>
            </w:pPr>
            <w:r w:rsidRPr="002029AF">
              <w:t>-1</w:t>
            </w:r>
          </w:p>
        </w:tc>
        <w:tc>
          <w:tcPr>
            <w:tcW w:w="1022" w:type="dxa"/>
            <w:hideMark/>
          </w:tcPr>
          <w:p w14:paraId="30890ED2" w14:textId="6662032F" w:rsidR="00CF72D5" w:rsidRPr="002029AF" w:rsidRDefault="00CF72D5" w:rsidP="00C51680">
            <w:pPr>
              <w:pStyle w:val="ARtabletextright"/>
              <w:spacing w:before="40" w:after="20"/>
            </w:pPr>
            <w:r w:rsidRPr="002029AF">
              <w:t>0</w:t>
            </w:r>
          </w:p>
        </w:tc>
        <w:tc>
          <w:tcPr>
            <w:tcW w:w="887" w:type="dxa"/>
            <w:hideMark/>
          </w:tcPr>
          <w:p w14:paraId="150A576C" w14:textId="5921025B" w:rsidR="00CF72D5" w:rsidRPr="002029AF" w:rsidRDefault="00CF72D5" w:rsidP="00C51680">
            <w:pPr>
              <w:pStyle w:val="ARtabletextrightbold"/>
              <w:spacing w:before="40" w:after="20"/>
            </w:pPr>
            <w:r w:rsidRPr="002029AF">
              <w:t>-1</w:t>
            </w:r>
          </w:p>
        </w:tc>
      </w:tr>
      <w:tr w:rsidR="00CF72D5" w:rsidRPr="002029AF" w14:paraId="27A05D3D" w14:textId="77777777" w:rsidTr="00D40FE6">
        <w:tc>
          <w:tcPr>
            <w:tcW w:w="2944" w:type="dxa"/>
            <w:hideMark/>
          </w:tcPr>
          <w:p w14:paraId="50296E2A" w14:textId="16BDB223" w:rsidR="00CF72D5" w:rsidRPr="002029AF" w:rsidRDefault="00CF72D5" w:rsidP="00C51680">
            <w:pPr>
              <w:pStyle w:val="ARtabletext"/>
              <w:spacing w:before="40" w:after="20"/>
            </w:pPr>
            <w:r w:rsidRPr="002029AF">
              <w:t>Northern</w:t>
            </w:r>
            <w:r w:rsidR="000A5329" w:rsidRPr="002029AF">
              <w:t xml:space="preserve"> </w:t>
            </w:r>
            <w:r w:rsidRPr="002029AF">
              <w:t>Health</w:t>
            </w:r>
          </w:p>
        </w:tc>
        <w:tc>
          <w:tcPr>
            <w:tcW w:w="871" w:type="dxa"/>
            <w:hideMark/>
          </w:tcPr>
          <w:p w14:paraId="60742F07" w14:textId="6264468E" w:rsidR="00CF72D5" w:rsidRPr="002029AF" w:rsidRDefault="00CF72D5" w:rsidP="00C51680">
            <w:pPr>
              <w:pStyle w:val="ARtabletextright"/>
              <w:spacing w:before="40" w:after="20"/>
            </w:pPr>
            <w:r w:rsidRPr="002029AF">
              <w:t>9</w:t>
            </w:r>
          </w:p>
        </w:tc>
        <w:tc>
          <w:tcPr>
            <w:tcW w:w="886" w:type="dxa"/>
            <w:hideMark/>
          </w:tcPr>
          <w:p w14:paraId="643CFD5A" w14:textId="3BF3AC33" w:rsidR="00CF72D5" w:rsidRPr="002029AF" w:rsidRDefault="00CF72D5" w:rsidP="00C51680">
            <w:pPr>
              <w:pStyle w:val="ARtabletextright"/>
              <w:spacing w:before="40" w:after="20"/>
            </w:pPr>
            <w:r w:rsidRPr="002029AF">
              <w:t>11</w:t>
            </w:r>
          </w:p>
        </w:tc>
        <w:tc>
          <w:tcPr>
            <w:tcW w:w="1021" w:type="dxa"/>
            <w:hideMark/>
          </w:tcPr>
          <w:p w14:paraId="12D04F6C" w14:textId="0E21E89D" w:rsidR="00CF72D5" w:rsidRPr="002029AF" w:rsidRDefault="00CF72D5" w:rsidP="00C51680">
            <w:pPr>
              <w:pStyle w:val="ARtabletextright"/>
              <w:spacing w:before="40" w:after="20"/>
            </w:pPr>
            <w:r w:rsidRPr="002029AF">
              <w:t>0</w:t>
            </w:r>
          </w:p>
        </w:tc>
        <w:tc>
          <w:tcPr>
            <w:tcW w:w="917" w:type="dxa"/>
            <w:hideMark/>
          </w:tcPr>
          <w:p w14:paraId="5C83A106" w14:textId="45E57878" w:rsidR="00CF72D5" w:rsidRPr="002029AF" w:rsidRDefault="00CF72D5" w:rsidP="00C51680">
            <w:pPr>
              <w:pStyle w:val="ARtabletextrightbold"/>
              <w:spacing w:before="40" w:after="20"/>
            </w:pPr>
            <w:r w:rsidRPr="002029AF">
              <w:t>20</w:t>
            </w:r>
          </w:p>
        </w:tc>
        <w:tc>
          <w:tcPr>
            <w:tcW w:w="887" w:type="dxa"/>
            <w:hideMark/>
          </w:tcPr>
          <w:p w14:paraId="40C54543" w14:textId="0F4B7E98" w:rsidR="00CF72D5" w:rsidRPr="002029AF" w:rsidRDefault="00CF72D5" w:rsidP="00C51680">
            <w:pPr>
              <w:pStyle w:val="ARtabletextright"/>
              <w:spacing w:before="40" w:after="20"/>
            </w:pPr>
            <w:r w:rsidRPr="002029AF">
              <w:t>9</w:t>
            </w:r>
          </w:p>
        </w:tc>
        <w:tc>
          <w:tcPr>
            <w:tcW w:w="887" w:type="dxa"/>
            <w:hideMark/>
          </w:tcPr>
          <w:p w14:paraId="6AFEEC43" w14:textId="5E444F61" w:rsidR="00CF72D5" w:rsidRPr="002029AF" w:rsidRDefault="00CF72D5" w:rsidP="00C51680">
            <w:pPr>
              <w:pStyle w:val="ARtabletextright"/>
              <w:spacing w:before="40" w:after="20"/>
            </w:pPr>
            <w:r w:rsidRPr="002029AF">
              <w:t>6</w:t>
            </w:r>
          </w:p>
        </w:tc>
        <w:tc>
          <w:tcPr>
            <w:tcW w:w="1022" w:type="dxa"/>
            <w:hideMark/>
          </w:tcPr>
          <w:p w14:paraId="50BAA6C6" w14:textId="7DA624FC" w:rsidR="00CF72D5" w:rsidRPr="002029AF" w:rsidRDefault="00CF72D5" w:rsidP="00C51680">
            <w:pPr>
              <w:pStyle w:val="ARtabletextright"/>
              <w:spacing w:before="40" w:after="20"/>
            </w:pPr>
            <w:r w:rsidRPr="002029AF">
              <w:t>0</w:t>
            </w:r>
          </w:p>
        </w:tc>
        <w:tc>
          <w:tcPr>
            <w:tcW w:w="902" w:type="dxa"/>
            <w:hideMark/>
          </w:tcPr>
          <w:p w14:paraId="239CCB14" w14:textId="69E5D533" w:rsidR="00CF72D5" w:rsidRPr="002029AF" w:rsidRDefault="00CF72D5" w:rsidP="00C51680">
            <w:pPr>
              <w:pStyle w:val="ARtabletextrightbold"/>
              <w:spacing w:before="40" w:after="20"/>
            </w:pPr>
            <w:r w:rsidRPr="002029AF">
              <w:t>15</w:t>
            </w:r>
          </w:p>
        </w:tc>
        <w:tc>
          <w:tcPr>
            <w:tcW w:w="872" w:type="dxa"/>
            <w:hideMark/>
          </w:tcPr>
          <w:p w14:paraId="51278D3D" w14:textId="3130F6E5" w:rsidR="00CF72D5" w:rsidRPr="002029AF" w:rsidRDefault="00CF72D5" w:rsidP="00C51680">
            <w:pPr>
              <w:pStyle w:val="ARtabletextright"/>
              <w:spacing w:before="40" w:after="20"/>
            </w:pPr>
            <w:r w:rsidRPr="002029AF">
              <w:t>0</w:t>
            </w:r>
          </w:p>
        </w:tc>
        <w:tc>
          <w:tcPr>
            <w:tcW w:w="887" w:type="dxa"/>
            <w:hideMark/>
          </w:tcPr>
          <w:p w14:paraId="7562483B" w14:textId="3E7C8236" w:rsidR="00CF72D5" w:rsidRPr="002029AF" w:rsidRDefault="00CF72D5" w:rsidP="00C51680">
            <w:pPr>
              <w:pStyle w:val="ARtabletextright"/>
              <w:spacing w:before="40" w:after="20"/>
            </w:pPr>
            <w:r w:rsidRPr="002029AF">
              <w:t>5</w:t>
            </w:r>
          </w:p>
        </w:tc>
        <w:tc>
          <w:tcPr>
            <w:tcW w:w="1022" w:type="dxa"/>
            <w:hideMark/>
          </w:tcPr>
          <w:p w14:paraId="5679EEED" w14:textId="499C3559" w:rsidR="00CF72D5" w:rsidRPr="002029AF" w:rsidRDefault="00CF72D5" w:rsidP="00C51680">
            <w:pPr>
              <w:pStyle w:val="ARtabletextright"/>
              <w:spacing w:before="40" w:after="20"/>
            </w:pPr>
            <w:r w:rsidRPr="002029AF">
              <w:t>0</w:t>
            </w:r>
          </w:p>
        </w:tc>
        <w:tc>
          <w:tcPr>
            <w:tcW w:w="887" w:type="dxa"/>
            <w:hideMark/>
          </w:tcPr>
          <w:p w14:paraId="1ECFDEBB" w14:textId="08B7681C" w:rsidR="00CF72D5" w:rsidRPr="002029AF" w:rsidRDefault="00CF72D5" w:rsidP="00C51680">
            <w:pPr>
              <w:pStyle w:val="ARtabletextrightbold"/>
              <w:spacing w:before="40" w:after="20"/>
            </w:pPr>
            <w:r w:rsidRPr="002029AF">
              <w:t>5</w:t>
            </w:r>
          </w:p>
        </w:tc>
      </w:tr>
      <w:tr w:rsidR="00CF72D5" w:rsidRPr="002029AF" w14:paraId="5158166B" w14:textId="77777777" w:rsidTr="00D40FE6">
        <w:tc>
          <w:tcPr>
            <w:tcW w:w="2944" w:type="dxa"/>
            <w:hideMark/>
          </w:tcPr>
          <w:p w14:paraId="4E25B491" w14:textId="6DDD0A40" w:rsidR="00CF72D5" w:rsidRPr="002029AF" w:rsidRDefault="00CF72D5" w:rsidP="00C51680">
            <w:pPr>
              <w:pStyle w:val="ARtabletext"/>
              <w:spacing w:before="40" w:after="20"/>
            </w:pPr>
            <w:r w:rsidRPr="002029AF">
              <w:t>Numurkah</w:t>
            </w:r>
            <w:r w:rsidR="000A5329" w:rsidRPr="002029AF">
              <w:t xml:space="preserve"> </w:t>
            </w:r>
            <w:r w:rsidRPr="002029AF">
              <w:t>District</w:t>
            </w:r>
            <w:r w:rsidR="000A5329" w:rsidRPr="002029AF">
              <w:t xml:space="preserve"> </w:t>
            </w:r>
            <w:r w:rsidRPr="002029AF">
              <w:t>Health</w:t>
            </w:r>
            <w:r w:rsidR="000A5329" w:rsidRPr="002029AF">
              <w:t xml:space="preserve"> </w:t>
            </w:r>
            <w:r w:rsidRPr="002029AF">
              <w:t>Service</w:t>
            </w:r>
          </w:p>
        </w:tc>
        <w:tc>
          <w:tcPr>
            <w:tcW w:w="871" w:type="dxa"/>
            <w:hideMark/>
          </w:tcPr>
          <w:p w14:paraId="178CFC7D" w14:textId="7F21A64D" w:rsidR="00CF72D5" w:rsidRPr="002029AF" w:rsidRDefault="00CF72D5" w:rsidP="00C51680">
            <w:pPr>
              <w:pStyle w:val="ARtabletextright"/>
              <w:spacing w:before="40" w:after="20"/>
            </w:pPr>
            <w:r w:rsidRPr="002029AF">
              <w:t>0</w:t>
            </w:r>
          </w:p>
        </w:tc>
        <w:tc>
          <w:tcPr>
            <w:tcW w:w="886" w:type="dxa"/>
            <w:hideMark/>
          </w:tcPr>
          <w:p w14:paraId="16BF0AC6" w14:textId="48F5D7A6" w:rsidR="00CF72D5" w:rsidRPr="002029AF" w:rsidRDefault="00CF72D5" w:rsidP="00C51680">
            <w:pPr>
              <w:pStyle w:val="ARtabletextright"/>
              <w:spacing w:before="40" w:after="20"/>
            </w:pPr>
            <w:r w:rsidRPr="002029AF">
              <w:t>0</w:t>
            </w:r>
          </w:p>
        </w:tc>
        <w:tc>
          <w:tcPr>
            <w:tcW w:w="1021" w:type="dxa"/>
            <w:hideMark/>
          </w:tcPr>
          <w:p w14:paraId="3A0D0CB8" w14:textId="1A5EE8ED" w:rsidR="00CF72D5" w:rsidRPr="002029AF" w:rsidRDefault="00CF72D5" w:rsidP="00C51680">
            <w:pPr>
              <w:pStyle w:val="ARtabletextright"/>
              <w:spacing w:before="40" w:after="20"/>
            </w:pPr>
            <w:r w:rsidRPr="002029AF">
              <w:t>0</w:t>
            </w:r>
          </w:p>
        </w:tc>
        <w:tc>
          <w:tcPr>
            <w:tcW w:w="917" w:type="dxa"/>
            <w:hideMark/>
          </w:tcPr>
          <w:p w14:paraId="21ADD0ED" w14:textId="461A9BF9" w:rsidR="00CF72D5" w:rsidRPr="002029AF" w:rsidRDefault="00CF72D5" w:rsidP="00C51680">
            <w:pPr>
              <w:pStyle w:val="ARtabletextrightbold"/>
              <w:spacing w:before="40" w:after="20"/>
            </w:pPr>
            <w:r w:rsidRPr="002029AF">
              <w:t>0</w:t>
            </w:r>
          </w:p>
        </w:tc>
        <w:tc>
          <w:tcPr>
            <w:tcW w:w="887" w:type="dxa"/>
            <w:hideMark/>
          </w:tcPr>
          <w:p w14:paraId="2434E506" w14:textId="05DE6B10" w:rsidR="00CF72D5" w:rsidRPr="002029AF" w:rsidRDefault="00CF72D5" w:rsidP="00C51680">
            <w:pPr>
              <w:pStyle w:val="ARtabletextright"/>
              <w:spacing w:before="40" w:after="20"/>
            </w:pPr>
            <w:r w:rsidRPr="002029AF">
              <w:t>1</w:t>
            </w:r>
          </w:p>
        </w:tc>
        <w:tc>
          <w:tcPr>
            <w:tcW w:w="887" w:type="dxa"/>
            <w:hideMark/>
          </w:tcPr>
          <w:p w14:paraId="1C42D140" w14:textId="40BE02DA" w:rsidR="00CF72D5" w:rsidRPr="002029AF" w:rsidRDefault="00CF72D5" w:rsidP="00C51680">
            <w:pPr>
              <w:pStyle w:val="ARtabletextright"/>
              <w:spacing w:before="40" w:after="20"/>
            </w:pPr>
            <w:r w:rsidRPr="002029AF">
              <w:t>0</w:t>
            </w:r>
          </w:p>
        </w:tc>
        <w:tc>
          <w:tcPr>
            <w:tcW w:w="1022" w:type="dxa"/>
            <w:hideMark/>
          </w:tcPr>
          <w:p w14:paraId="4A625552" w14:textId="54804E52" w:rsidR="00CF72D5" w:rsidRPr="002029AF" w:rsidRDefault="00CF72D5" w:rsidP="00C51680">
            <w:pPr>
              <w:pStyle w:val="ARtabletextright"/>
              <w:spacing w:before="40" w:after="20"/>
            </w:pPr>
            <w:r w:rsidRPr="002029AF">
              <w:t>0</w:t>
            </w:r>
          </w:p>
        </w:tc>
        <w:tc>
          <w:tcPr>
            <w:tcW w:w="902" w:type="dxa"/>
            <w:hideMark/>
          </w:tcPr>
          <w:p w14:paraId="39701929" w14:textId="5949738F" w:rsidR="00CF72D5" w:rsidRPr="002029AF" w:rsidRDefault="00CF72D5" w:rsidP="00C51680">
            <w:pPr>
              <w:pStyle w:val="ARtabletextrightbold"/>
              <w:spacing w:before="40" w:after="20"/>
            </w:pPr>
            <w:r w:rsidRPr="002029AF">
              <w:t>1</w:t>
            </w:r>
          </w:p>
        </w:tc>
        <w:tc>
          <w:tcPr>
            <w:tcW w:w="872" w:type="dxa"/>
            <w:hideMark/>
          </w:tcPr>
          <w:p w14:paraId="1C8202BA" w14:textId="71E311A2" w:rsidR="00CF72D5" w:rsidRPr="002029AF" w:rsidRDefault="00CF72D5" w:rsidP="00C51680">
            <w:pPr>
              <w:pStyle w:val="ARtabletextright"/>
              <w:spacing w:before="40" w:after="20"/>
            </w:pPr>
            <w:r w:rsidRPr="002029AF">
              <w:t>-1</w:t>
            </w:r>
          </w:p>
        </w:tc>
        <w:tc>
          <w:tcPr>
            <w:tcW w:w="887" w:type="dxa"/>
            <w:hideMark/>
          </w:tcPr>
          <w:p w14:paraId="42AF6253" w14:textId="2F286824" w:rsidR="00CF72D5" w:rsidRPr="002029AF" w:rsidRDefault="00CF72D5" w:rsidP="00C51680">
            <w:pPr>
              <w:pStyle w:val="ARtabletextright"/>
              <w:spacing w:before="40" w:after="20"/>
            </w:pPr>
            <w:r w:rsidRPr="002029AF">
              <w:t>0</w:t>
            </w:r>
          </w:p>
        </w:tc>
        <w:tc>
          <w:tcPr>
            <w:tcW w:w="1022" w:type="dxa"/>
            <w:hideMark/>
          </w:tcPr>
          <w:p w14:paraId="5D5BF24D" w14:textId="3C300352" w:rsidR="00CF72D5" w:rsidRPr="002029AF" w:rsidRDefault="00CF72D5" w:rsidP="00C51680">
            <w:pPr>
              <w:pStyle w:val="ARtabletextright"/>
              <w:spacing w:before="40" w:after="20"/>
            </w:pPr>
            <w:r w:rsidRPr="002029AF">
              <w:t>0</w:t>
            </w:r>
          </w:p>
        </w:tc>
        <w:tc>
          <w:tcPr>
            <w:tcW w:w="887" w:type="dxa"/>
            <w:hideMark/>
          </w:tcPr>
          <w:p w14:paraId="2B6B603F" w14:textId="18FC3D41" w:rsidR="00CF72D5" w:rsidRPr="002029AF" w:rsidRDefault="00CF72D5" w:rsidP="00C51680">
            <w:pPr>
              <w:pStyle w:val="ARtabletextrightbold"/>
              <w:spacing w:before="40" w:after="20"/>
            </w:pPr>
            <w:r w:rsidRPr="002029AF">
              <w:t>-1</w:t>
            </w:r>
          </w:p>
        </w:tc>
      </w:tr>
      <w:tr w:rsidR="00CF72D5" w:rsidRPr="002029AF" w14:paraId="7BBDFC1A" w14:textId="77777777" w:rsidTr="00D40FE6">
        <w:tc>
          <w:tcPr>
            <w:tcW w:w="2944" w:type="dxa"/>
            <w:hideMark/>
          </w:tcPr>
          <w:p w14:paraId="3B60F64A" w14:textId="359903C5" w:rsidR="00CF72D5" w:rsidRPr="002029AF" w:rsidRDefault="00CF72D5" w:rsidP="00C51680">
            <w:pPr>
              <w:pStyle w:val="ARtabletext"/>
              <w:spacing w:before="40" w:after="20"/>
            </w:pPr>
            <w:r w:rsidRPr="002029AF">
              <w:t>Omeo</w:t>
            </w:r>
            <w:r w:rsidR="000A5329" w:rsidRPr="002029AF">
              <w:t xml:space="preserve"> </w:t>
            </w:r>
            <w:r w:rsidRPr="002029AF">
              <w:t>District</w:t>
            </w:r>
            <w:r w:rsidR="000A5329" w:rsidRPr="002029AF">
              <w:t xml:space="preserve"> </w:t>
            </w:r>
            <w:r w:rsidRPr="002029AF">
              <w:t>Health</w:t>
            </w:r>
          </w:p>
        </w:tc>
        <w:tc>
          <w:tcPr>
            <w:tcW w:w="871" w:type="dxa"/>
            <w:hideMark/>
          </w:tcPr>
          <w:p w14:paraId="11D5528C" w14:textId="1FC69FA3" w:rsidR="00CF72D5" w:rsidRPr="002029AF" w:rsidRDefault="00CF72D5" w:rsidP="00C51680">
            <w:pPr>
              <w:pStyle w:val="ARtabletextright"/>
              <w:spacing w:before="40" w:after="20"/>
            </w:pPr>
            <w:r w:rsidRPr="002029AF">
              <w:t>0</w:t>
            </w:r>
          </w:p>
        </w:tc>
        <w:tc>
          <w:tcPr>
            <w:tcW w:w="886" w:type="dxa"/>
            <w:hideMark/>
          </w:tcPr>
          <w:p w14:paraId="3FCC7A49" w14:textId="21E6EC76" w:rsidR="00CF72D5" w:rsidRPr="002029AF" w:rsidRDefault="00CF72D5" w:rsidP="00C51680">
            <w:pPr>
              <w:pStyle w:val="ARtabletextright"/>
              <w:spacing w:before="40" w:after="20"/>
            </w:pPr>
            <w:r w:rsidRPr="002029AF">
              <w:t>0</w:t>
            </w:r>
          </w:p>
        </w:tc>
        <w:tc>
          <w:tcPr>
            <w:tcW w:w="1021" w:type="dxa"/>
            <w:hideMark/>
          </w:tcPr>
          <w:p w14:paraId="227C098E" w14:textId="330A1FD8" w:rsidR="00CF72D5" w:rsidRPr="002029AF" w:rsidRDefault="00CF72D5" w:rsidP="00C51680">
            <w:pPr>
              <w:pStyle w:val="ARtabletextright"/>
              <w:spacing w:before="40" w:after="20"/>
            </w:pPr>
            <w:r w:rsidRPr="002029AF">
              <w:t>0</w:t>
            </w:r>
          </w:p>
        </w:tc>
        <w:tc>
          <w:tcPr>
            <w:tcW w:w="917" w:type="dxa"/>
            <w:hideMark/>
          </w:tcPr>
          <w:p w14:paraId="0B87478F" w14:textId="2674650E" w:rsidR="00CF72D5" w:rsidRPr="002029AF" w:rsidRDefault="00CF72D5" w:rsidP="00C51680">
            <w:pPr>
              <w:pStyle w:val="ARtabletextrightbold"/>
              <w:spacing w:before="40" w:after="20"/>
            </w:pPr>
            <w:r w:rsidRPr="002029AF">
              <w:t>0</w:t>
            </w:r>
          </w:p>
        </w:tc>
        <w:tc>
          <w:tcPr>
            <w:tcW w:w="887" w:type="dxa"/>
            <w:hideMark/>
          </w:tcPr>
          <w:p w14:paraId="5FD0EA8D" w14:textId="5A559DC8" w:rsidR="00CF72D5" w:rsidRPr="002029AF" w:rsidRDefault="00CF72D5" w:rsidP="00C51680">
            <w:pPr>
              <w:pStyle w:val="ARtabletextright"/>
              <w:spacing w:before="40" w:after="20"/>
            </w:pPr>
            <w:r w:rsidRPr="002029AF">
              <w:t>0</w:t>
            </w:r>
          </w:p>
        </w:tc>
        <w:tc>
          <w:tcPr>
            <w:tcW w:w="887" w:type="dxa"/>
            <w:hideMark/>
          </w:tcPr>
          <w:p w14:paraId="6CC30680" w14:textId="2192D760" w:rsidR="00CF72D5" w:rsidRPr="002029AF" w:rsidRDefault="00CF72D5" w:rsidP="00C51680">
            <w:pPr>
              <w:pStyle w:val="ARtabletextright"/>
              <w:spacing w:before="40" w:after="20"/>
            </w:pPr>
            <w:r w:rsidRPr="002029AF">
              <w:t>1</w:t>
            </w:r>
          </w:p>
        </w:tc>
        <w:tc>
          <w:tcPr>
            <w:tcW w:w="1022" w:type="dxa"/>
            <w:hideMark/>
          </w:tcPr>
          <w:p w14:paraId="10DD5031" w14:textId="195D4FED" w:rsidR="00CF72D5" w:rsidRPr="002029AF" w:rsidRDefault="00CF72D5" w:rsidP="00C51680">
            <w:pPr>
              <w:pStyle w:val="ARtabletextright"/>
              <w:spacing w:before="40" w:after="20"/>
            </w:pPr>
            <w:r w:rsidRPr="002029AF">
              <w:t>0</w:t>
            </w:r>
          </w:p>
        </w:tc>
        <w:tc>
          <w:tcPr>
            <w:tcW w:w="902" w:type="dxa"/>
            <w:hideMark/>
          </w:tcPr>
          <w:p w14:paraId="155A2CAA" w14:textId="2BCFE69B" w:rsidR="00CF72D5" w:rsidRPr="002029AF" w:rsidRDefault="00CF72D5" w:rsidP="00C51680">
            <w:pPr>
              <w:pStyle w:val="ARtabletextrightbold"/>
              <w:spacing w:before="40" w:after="20"/>
            </w:pPr>
            <w:r w:rsidRPr="002029AF">
              <w:t>1</w:t>
            </w:r>
          </w:p>
        </w:tc>
        <w:tc>
          <w:tcPr>
            <w:tcW w:w="872" w:type="dxa"/>
            <w:hideMark/>
          </w:tcPr>
          <w:p w14:paraId="3F702676" w14:textId="61CE81ED" w:rsidR="00CF72D5" w:rsidRPr="002029AF" w:rsidRDefault="00CF72D5" w:rsidP="00C51680">
            <w:pPr>
              <w:pStyle w:val="ARtabletextright"/>
              <w:spacing w:before="40" w:after="20"/>
            </w:pPr>
            <w:r w:rsidRPr="002029AF">
              <w:t>0</w:t>
            </w:r>
          </w:p>
        </w:tc>
        <w:tc>
          <w:tcPr>
            <w:tcW w:w="887" w:type="dxa"/>
            <w:hideMark/>
          </w:tcPr>
          <w:p w14:paraId="4C805941" w14:textId="4A5B5516" w:rsidR="00CF72D5" w:rsidRPr="002029AF" w:rsidRDefault="00CF72D5" w:rsidP="00C51680">
            <w:pPr>
              <w:pStyle w:val="ARtabletextright"/>
              <w:spacing w:before="40" w:after="20"/>
            </w:pPr>
            <w:r w:rsidRPr="002029AF">
              <w:t>-1</w:t>
            </w:r>
          </w:p>
        </w:tc>
        <w:tc>
          <w:tcPr>
            <w:tcW w:w="1022" w:type="dxa"/>
            <w:hideMark/>
          </w:tcPr>
          <w:p w14:paraId="72ECEB07" w14:textId="2CDC0DBA" w:rsidR="00CF72D5" w:rsidRPr="002029AF" w:rsidRDefault="00CF72D5" w:rsidP="00C51680">
            <w:pPr>
              <w:pStyle w:val="ARtabletextright"/>
              <w:spacing w:before="40" w:after="20"/>
            </w:pPr>
            <w:r w:rsidRPr="002029AF">
              <w:t>0</w:t>
            </w:r>
          </w:p>
        </w:tc>
        <w:tc>
          <w:tcPr>
            <w:tcW w:w="887" w:type="dxa"/>
            <w:hideMark/>
          </w:tcPr>
          <w:p w14:paraId="06015246" w14:textId="11075F28" w:rsidR="00CF72D5" w:rsidRPr="002029AF" w:rsidRDefault="00CF72D5" w:rsidP="00C51680">
            <w:pPr>
              <w:pStyle w:val="ARtabletextrightbold"/>
              <w:spacing w:before="40" w:after="20"/>
            </w:pPr>
            <w:r w:rsidRPr="002029AF">
              <w:t>-1</w:t>
            </w:r>
          </w:p>
        </w:tc>
      </w:tr>
      <w:tr w:rsidR="00CF72D5" w:rsidRPr="002029AF" w14:paraId="2B8DE2B2" w14:textId="77777777" w:rsidTr="00D40FE6">
        <w:tc>
          <w:tcPr>
            <w:tcW w:w="2944" w:type="dxa"/>
            <w:hideMark/>
          </w:tcPr>
          <w:p w14:paraId="427D65E2" w14:textId="28D60B9D" w:rsidR="00CF72D5" w:rsidRPr="002029AF" w:rsidRDefault="00CF72D5" w:rsidP="00C51680">
            <w:pPr>
              <w:pStyle w:val="ARtabletext"/>
              <w:spacing w:before="40" w:after="20"/>
            </w:pPr>
            <w:r w:rsidRPr="002029AF">
              <w:t>Orbost</w:t>
            </w:r>
            <w:r w:rsidR="000A5329" w:rsidRPr="002029AF">
              <w:t xml:space="preserve"> </w:t>
            </w:r>
            <w:r w:rsidRPr="002029AF">
              <w:t>Regional</w:t>
            </w:r>
            <w:r w:rsidR="000A5329" w:rsidRPr="002029AF">
              <w:t xml:space="preserve"> </w:t>
            </w:r>
            <w:r w:rsidRPr="002029AF">
              <w:t>Health</w:t>
            </w:r>
          </w:p>
        </w:tc>
        <w:tc>
          <w:tcPr>
            <w:tcW w:w="871" w:type="dxa"/>
            <w:hideMark/>
          </w:tcPr>
          <w:p w14:paraId="5FBA736E" w14:textId="62DA390D" w:rsidR="00CF72D5" w:rsidRPr="002029AF" w:rsidRDefault="00CF72D5" w:rsidP="00C51680">
            <w:pPr>
              <w:pStyle w:val="ARtabletextright"/>
              <w:spacing w:before="40" w:after="20"/>
            </w:pPr>
            <w:r w:rsidRPr="002029AF">
              <w:t>0</w:t>
            </w:r>
          </w:p>
        </w:tc>
        <w:tc>
          <w:tcPr>
            <w:tcW w:w="886" w:type="dxa"/>
            <w:hideMark/>
          </w:tcPr>
          <w:p w14:paraId="0EEB251F" w14:textId="68CB986A" w:rsidR="00CF72D5" w:rsidRPr="002029AF" w:rsidRDefault="00CF72D5" w:rsidP="00C51680">
            <w:pPr>
              <w:pStyle w:val="ARtabletextright"/>
              <w:spacing w:before="40" w:after="20"/>
            </w:pPr>
            <w:r w:rsidRPr="002029AF">
              <w:t>0</w:t>
            </w:r>
          </w:p>
        </w:tc>
        <w:tc>
          <w:tcPr>
            <w:tcW w:w="1021" w:type="dxa"/>
            <w:hideMark/>
          </w:tcPr>
          <w:p w14:paraId="6DFBC7C9" w14:textId="65A2FB8A" w:rsidR="00CF72D5" w:rsidRPr="002029AF" w:rsidRDefault="00CF72D5" w:rsidP="00C51680">
            <w:pPr>
              <w:pStyle w:val="ARtabletextright"/>
              <w:spacing w:before="40" w:after="20"/>
            </w:pPr>
            <w:r w:rsidRPr="002029AF">
              <w:t>0</w:t>
            </w:r>
          </w:p>
        </w:tc>
        <w:tc>
          <w:tcPr>
            <w:tcW w:w="917" w:type="dxa"/>
            <w:hideMark/>
          </w:tcPr>
          <w:p w14:paraId="6F2C6CB1" w14:textId="3898BF97" w:rsidR="00CF72D5" w:rsidRPr="002029AF" w:rsidRDefault="00CF72D5" w:rsidP="00C51680">
            <w:pPr>
              <w:pStyle w:val="ARtabletextrightbold"/>
              <w:spacing w:before="40" w:after="20"/>
            </w:pPr>
            <w:r w:rsidRPr="002029AF">
              <w:t>0</w:t>
            </w:r>
          </w:p>
        </w:tc>
        <w:tc>
          <w:tcPr>
            <w:tcW w:w="887" w:type="dxa"/>
            <w:hideMark/>
          </w:tcPr>
          <w:p w14:paraId="1652BA1D" w14:textId="56FAD141" w:rsidR="00CF72D5" w:rsidRPr="002029AF" w:rsidRDefault="00CF72D5" w:rsidP="00C51680">
            <w:pPr>
              <w:pStyle w:val="ARtabletextright"/>
              <w:spacing w:before="40" w:after="20"/>
            </w:pPr>
            <w:r w:rsidRPr="002029AF">
              <w:t>1</w:t>
            </w:r>
          </w:p>
        </w:tc>
        <w:tc>
          <w:tcPr>
            <w:tcW w:w="887" w:type="dxa"/>
            <w:hideMark/>
          </w:tcPr>
          <w:p w14:paraId="7EBAAF17" w14:textId="6F3A9CCD" w:rsidR="00CF72D5" w:rsidRPr="002029AF" w:rsidRDefault="00CF72D5" w:rsidP="00C51680">
            <w:pPr>
              <w:pStyle w:val="ARtabletextright"/>
              <w:spacing w:before="40" w:after="20"/>
            </w:pPr>
            <w:r w:rsidRPr="002029AF">
              <w:t>0</w:t>
            </w:r>
          </w:p>
        </w:tc>
        <w:tc>
          <w:tcPr>
            <w:tcW w:w="1022" w:type="dxa"/>
            <w:hideMark/>
          </w:tcPr>
          <w:p w14:paraId="5ADC0D46" w14:textId="369E5DC8" w:rsidR="00CF72D5" w:rsidRPr="002029AF" w:rsidRDefault="00CF72D5" w:rsidP="00C51680">
            <w:pPr>
              <w:pStyle w:val="ARtabletextright"/>
              <w:spacing w:before="40" w:after="20"/>
            </w:pPr>
            <w:r w:rsidRPr="002029AF">
              <w:t>0</w:t>
            </w:r>
          </w:p>
        </w:tc>
        <w:tc>
          <w:tcPr>
            <w:tcW w:w="902" w:type="dxa"/>
            <w:hideMark/>
          </w:tcPr>
          <w:p w14:paraId="46F62373" w14:textId="74809E7D" w:rsidR="00CF72D5" w:rsidRPr="002029AF" w:rsidRDefault="00CF72D5" w:rsidP="00C51680">
            <w:pPr>
              <w:pStyle w:val="ARtabletextrightbold"/>
              <w:spacing w:before="40" w:after="20"/>
            </w:pPr>
            <w:r w:rsidRPr="002029AF">
              <w:t>1</w:t>
            </w:r>
          </w:p>
        </w:tc>
        <w:tc>
          <w:tcPr>
            <w:tcW w:w="872" w:type="dxa"/>
            <w:hideMark/>
          </w:tcPr>
          <w:p w14:paraId="6BBAD7A1" w14:textId="054D23A4" w:rsidR="00CF72D5" w:rsidRPr="002029AF" w:rsidRDefault="00CF72D5" w:rsidP="00C51680">
            <w:pPr>
              <w:pStyle w:val="ARtabletextright"/>
              <w:spacing w:before="40" w:after="20"/>
            </w:pPr>
            <w:r w:rsidRPr="002029AF">
              <w:t>-1</w:t>
            </w:r>
          </w:p>
        </w:tc>
        <w:tc>
          <w:tcPr>
            <w:tcW w:w="887" w:type="dxa"/>
            <w:hideMark/>
          </w:tcPr>
          <w:p w14:paraId="79EF280E" w14:textId="7B5CF25D" w:rsidR="00CF72D5" w:rsidRPr="002029AF" w:rsidRDefault="00CF72D5" w:rsidP="00C51680">
            <w:pPr>
              <w:pStyle w:val="ARtabletextright"/>
              <w:spacing w:before="40" w:after="20"/>
            </w:pPr>
            <w:r w:rsidRPr="002029AF">
              <w:t>0</w:t>
            </w:r>
          </w:p>
        </w:tc>
        <w:tc>
          <w:tcPr>
            <w:tcW w:w="1022" w:type="dxa"/>
            <w:hideMark/>
          </w:tcPr>
          <w:p w14:paraId="66E0A8EE" w14:textId="37CAC4EF" w:rsidR="00CF72D5" w:rsidRPr="002029AF" w:rsidRDefault="00CF72D5" w:rsidP="00C51680">
            <w:pPr>
              <w:pStyle w:val="ARtabletextright"/>
              <w:spacing w:before="40" w:after="20"/>
            </w:pPr>
            <w:r w:rsidRPr="002029AF">
              <w:t>0</w:t>
            </w:r>
          </w:p>
        </w:tc>
        <w:tc>
          <w:tcPr>
            <w:tcW w:w="887" w:type="dxa"/>
            <w:hideMark/>
          </w:tcPr>
          <w:p w14:paraId="53BD9870" w14:textId="78F1D512" w:rsidR="00CF72D5" w:rsidRPr="002029AF" w:rsidRDefault="00CF72D5" w:rsidP="00C51680">
            <w:pPr>
              <w:pStyle w:val="ARtabletextrightbold"/>
              <w:spacing w:before="40" w:after="20"/>
            </w:pPr>
            <w:r w:rsidRPr="002029AF">
              <w:t>-1</w:t>
            </w:r>
          </w:p>
        </w:tc>
      </w:tr>
      <w:tr w:rsidR="00CF72D5" w:rsidRPr="002029AF" w14:paraId="71B19ACB" w14:textId="77777777" w:rsidTr="00D40FE6">
        <w:tc>
          <w:tcPr>
            <w:tcW w:w="2944" w:type="dxa"/>
            <w:hideMark/>
          </w:tcPr>
          <w:p w14:paraId="7D3E909D" w14:textId="6C195051" w:rsidR="00CF72D5" w:rsidRPr="002029AF" w:rsidRDefault="00CF72D5" w:rsidP="00C51680">
            <w:pPr>
              <w:pStyle w:val="ARtabletext"/>
              <w:spacing w:before="40" w:after="20"/>
            </w:pPr>
            <w:r w:rsidRPr="002029AF">
              <w:t>Otway</w:t>
            </w:r>
            <w:r w:rsidR="000A5329" w:rsidRPr="002029AF">
              <w:t xml:space="preserve"> </w:t>
            </w:r>
            <w:r w:rsidRPr="002029AF">
              <w:t>Health</w:t>
            </w:r>
            <w:r w:rsidR="000A5329" w:rsidRPr="002029AF">
              <w:t xml:space="preserve"> </w:t>
            </w:r>
            <w:r w:rsidRPr="002029AF">
              <w:t>&amp;</w:t>
            </w:r>
            <w:r w:rsidR="000A5329" w:rsidRPr="002029AF">
              <w:t xml:space="preserve"> </w:t>
            </w:r>
            <w:r w:rsidRPr="002029AF">
              <w:t>Community</w:t>
            </w:r>
            <w:r w:rsidR="000A5329" w:rsidRPr="002029AF">
              <w:t xml:space="preserve"> </w:t>
            </w:r>
            <w:r w:rsidRPr="002029AF">
              <w:t>Services</w:t>
            </w:r>
          </w:p>
        </w:tc>
        <w:tc>
          <w:tcPr>
            <w:tcW w:w="871" w:type="dxa"/>
            <w:hideMark/>
          </w:tcPr>
          <w:p w14:paraId="643EE1F3" w14:textId="708801FB" w:rsidR="00CF72D5" w:rsidRPr="002029AF" w:rsidRDefault="00CF72D5" w:rsidP="00C51680">
            <w:pPr>
              <w:pStyle w:val="ARtabletextright"/>
              <w:spacing w:before="40" w:after="20"/>
            </w:pPr>
            <w:r w:rsidRPr="002029AF">
              <w:t>0</w:t>
            </w:r>
          </w:p>
        </w:tc>
        <w:tc>
          <w:tcPr>
            <w:tcW w:w="886" w:type="dxa"/>
            <w:hideMark/>
          </w:tcPr>
          <w:p w14:paraId="5B6F1E7D" w14:textId="2CC0F07F" w:rsidR="00CF72D5" w:rsidRPr="002029AF" w:rsidRDefault="00CF72D5" w:rsidP="00C51680">
            <w:pPr>
              <w:pStyle w:val="ARtabletextright"/>
              <w:spacing w:before="40" w:after="20"/>
            </w:pPr>
            <w:r w:rsidRPr="002029AF">
              <w:t>0</w:t>
            </w:r>
          </w:p>
        </w:tc>
        <w:tc>
          <w:tcPr>
            <w:tcW w:w="1021" w:type="dxa"/>
            <w:hideMark/>
          </w:tcPr>
          <w:p w14:paraId="50F17AE0" w14:textId="00D70AC9" w:rsidR="00CF72D5" w:rsidRPr="002029AF" w:rsidRDefault="00CF72D5" w:rsidP="00C51680">
            <w:pPr>
              <w:pStyle w:val="ARtabletextright"/>
              <w:spacing w:before="40" w:after="20"/>
            </w:pPr>
            <w:r w:rsidRPr="002029AF">
              <w:t>0</w:t>
            </w:r>
          </w:p>
        </w:tc>
        <w:tc>
          <w:tcPr>
            <w:tcW w:w="917" w:type="dxa"/>
            <w:hideMark/>
          </w:tcPr>
          <w:p w14:paraId="5B03B891" w14:textId="54C581E8" w:rsidR="00CF72D5" w:rsidRPr="002029AF" w:rsidRDefault="00CF72D5" w:rsidP="00C51680">
            <w:pPr>
              <w:pStyle w:val="ARtabletextrightbold"/>
              <w:spacing w:before="40" w:after="20"/>
            </w:pPr>
            <w:r w:rsidRPr="002029AF">
              <w:t>0</w:t>
            </w:r>
          </w:p>
        </w:tc>
        <w:tc>
          <w:tcPr>
            <w:tcW w:w="887" w:type="dxa"/>
            <w:hideMark/>
          </w:tcPr>
          <w:p w14:paraId="38CC80AC" w14:textId="381586A9" w:rsidR="00CF72D5" w:rsidRPr="002029AF" w:rsidRDefault="00CF72D5" w:rsidP="00C51680">
            <w:pPr>
              <w:pStyle w:val="ARtabletextright"/>
              <w:spacing w:before="40" w:after="20"/>
            </w:pPr>
            <w:r w:rsidRPr="002029AF">
              <w:t>0</w:t>
            </w:r>
          </w:p>
        </w:tc>
        <w:tc>
          <w:tcPr>
            <w:tcW w:w="887" w:type="dxa"/>
            <w:hideMark/>
          </w:tcPr>
          <w:p w14:paraId="187112D7" w14:textId="2CDBDD7C" w:rsidR="00CF72D5" w:rsidRPr="002029AF" w:rsidRDefault="00CF72D5" w:rsidP="00C51680">
            <w:pPr>
              <w:pStyle w:val="ARtabletextright"/>
              <w:spacing w:before="40" w:after="20"/>
            </w:pPr>
            <w:r w:rsidRPr="002029AF">
              <w:t>0</w:t>
            </w:r>
          </w:p>
        </w:tc>
        <w:tc>
          <w:tcPr>
            <w:tcW w:w="1022" w:type="dxa"/>
            <w:hideMark/>
          </w:tcPr>
          <w:p w14:paraId="44EC791A" w14:textId="09CC9A98" w:rsidR="00CF72D5" w:rsidRPr="002029AF" w:rsidRDefault="00CF72D5" w:rsidP="00C51680">
            <w:pPr>
              <w:pStyle w:val="ARtabletextright"/>
              <w:spacing w:before="40" w:after="20"/>
            </w:pPr>
            <w:r w:rsidRPr="002029AF">
              <w:t>0</w:t>
            </w:r>
          </w:p>
        </w:tc>
        <w:tc>
          <w:tcPr>
            <w:tcW w:w="902" w:type="dxa"/>
            <w:hideMark/>
          </w:tcPr>
          <w:p w14:paraId="3EEEC0B9" w14:textId="095363B5" w:rsidR="00CF72D5" w:rsidRPr="002029AF" w:rsidRDefault="00CF72D5" w:rsidP="00C51680">
            <w:pPr>
              <w:pStyle w:val="ARtabletextrightbold"/>
              <w:spacing w:before="40" w:after="20"/>
            </w:pPr>
            <w:r w:rsidRPr="002029AF">
              <w:t>0</w:t>
            </w:r>
          </w:p>
        </w:tc>
        <w:tc>
          <w:tcPr>
            <w:tcW w:w="872" w:type="dxa"/>
            <w:hideMark/>
          </w:tcPr>
          <w:p w14:paraId="686450B9" w14:textId="5F24C9DA" w:rsidR="00CF72D5" w:rsidRPr="002029AF" w:rsidRDefault="00CF72D5" w:rsidP="00C51680">
            <w:pPr>
              <w:pStyle w:val="ARtabletextright"/>
              <w:spacing w:before="40" w:after="20"/>
            </w:pPr>
            <w:r w:rsidRPr="002029AF">
              <w:t>0</w:t>
            </w:r>
          </w:p>
        </w:tc>
        <w:tc>
          <w:tcPr>
            <w:tcW w:w="887" w:type="dxa"/>
            <w:hideMark/>
          </w:tcPr>
          <w:p w14:paraId="6B79A90A" w14:textId="2160ABC1" w:rsidR="00CF72D5" w:rsidRPr="002029AF" w:rsidRDefault="00CF72D5" w:rsidP="00C51680">
            <w:pPr>
              <w:pStyle w:val="ARtabletextright"/>
              <w:spacing w:before="40" w:after="20"/>
            </w:pPr>
            <w:r w:rsidRPr="002029AF">
              <w:t>0</w:t>
            </w:r>
          </w:p>
        </w:tc>
        <w:tc>
          <w:tcPr>
            <w:tcW w:w="1022" w:type="dxa"/>
            <w:hideMark/>
          </w:tcPr>
          <w:p w14:paraId="3556CAB0" w14:textId="14A9D2BF" w:rsidR="00CF72D5" w:rsidRPr="002029AF" w:rsidRDefault="00CF72D5" w:rsidP="00C51680">
            <w:pPr>
              <w:pStyle w:val="ARtabletextright"/>
              <w:spacing w:before="40" w:after="20"/>
            </w:pPr>
            <w:r w:rsidRPr="002029AF">
              <w:t>0</w:t>
            </w:r>
          </w:p>
        </w:tc>
        <w:tc>
          <w:tcPr>
            <w:tcW w:w="887" w:type="dxa"/>
            <w:hideMark/>
          </w:tcPr>
          <w:p w14:paraId="5DAA84B2" w14:textId="5206B5BD" w:rsidR="00CF72D5" w:rsidRPr="002029AF" w:rsidRDefault="00CF72D5" w:rsidP="00C51680">
            <w:pPr>
              <w:pStyle w:val="ARtabletextrightbold"/>
              <w:spacing w:before="40" w:after="20"/>
            </w:pPr>
            <w:r w:rsidRPr="002029AF">
              <w:t>0</w:t>
            </w:r>
          </w:p>
        </w:tc>
      </w:tr>
      <w:tr w:rsidR="00CF72D5" w:rsidRPr="002029AF" w14:paraId="4D3DA02C" w14:textId="77777777" w:rsidTr="00D40FE6">
        <w:tc>
          <w:tcPr>
            <w:tcW w:w="2944" w:type="dxa"/>
            <w:hideMark/>
          </w:tcPr>
          <w:p w14:paraId="458C60CC" w14:textId="6A9A0500" w:rsidR="00CF72D5" w:rsidRPr="002029AF" w:rsidRDefault="00CF72D5" w:rsidP="00C51680">
            <w:pPr>
              <w:pStyle w:val="ARtabletext"/>
              <w:spacing w:before="40" w:after="20"/>
            </w:pPr>
            <w:r w:rsidRPr="002029AF">
              <w:t>Peninsula</w:t>
            </w:r>
            <w:r w:rsidR="000A5329" w:rsidRPr="002029AF">
              <w:t xml:space="preserve"> </w:t>
            </w:r>
            <w:r w:rsidRPr="002029AF">
              <w:t>Health</w:t>
            </w:r>
          </w:p>
        </w:tc>
        <w:tc>
          <w:tcPr>
            <w:tcW w:w="871" w:type="dxa"/>
            <w:hideMark/>
          </w:tcPr>
          <w:p w14:paraId="356A401C" w14:textId="6676F105" w:rsidR="00CF72D5" w:rsidRPr="002029AF" w:rsidRDefault="00CF72D5" w:rsidP="00C51680">
            <w:pPr>
              <w:pStyle w:val="ARtabletextright"/>
              <w:spacing w:before="40" w:after="20"/>
            </w:pPr>
            <w:r w:rsidRPr="002029AF">
              <w:t>5</w:t>
            </w:r>
          </w:p>
        </w:tc>
        <w:tc>
          <w:tcPr>
            <w:tcW w:w="886" w:type="dxa"/>
            <w:hideMark/>
          </w:tcPr>
          <w:p w14:paraId="482A4F62" w14:textId="7C093317" w:rsidR="00CF72D5" w:rsidRPr="002029AF" w:rsidRDefault="00CF72D5" w:rsidP="00C51680">
            <w:pPr>
              <w:pStyle w:val="ARtabletextright"/>
              <w:spacing w:before="40" w:after="20"/>
            </w:pPr>
            <w:r w:rsidRPr="002029AF">
              <w:t>2</w:t>
            </w:r>
          </w:p>
        </w:tc>
        <w:tc>
          <w:tcPr>
            <w:tcW w:w="1021" w:type="dxa"/>
            <w:hideMark/>
          </w:tcPr>
          <w:p w14:paraId="1A343AF2" w14:textId="07F9F73D" w:rsidR="00CF72D5" w:rsidRPr="002029AF" w:rsidRDefault="00CF72D5" w:rsidP="00C51680">
            <w:pPr>
              <w:pStyle w:val="ARtabletextright"/>
              <w:spacing w:before="40" w:after="20"/>
            </w:pPr>
            <w:r w:rsidRPr="002029AF">
              <w:t>0</w:t>
            </w:r>
          </w:p>
        </w:tc>
        <w:tc>
          <w:tcPr>
            <w:tcW w:w="917" w:type="dxa"/>
            <w:hideMark/>
          </w:tcPr>
          <w:p w14:paraId="60C60F4F" w14:textId="1B8E98A2" w:rsidR="00CF72D5" w:rsidRPr="002029AF" w:rsidRDefault="00CF72D5" w:rsidP="00C51680">
            <w:pPr>
              <w:pStyle w:val="ARtabletextrightbold"/>
              <w:spacing w:before="40" w:after="20"/>
            </w:pPr>
            <w:r w:rsidRPr="002029AF">
              <w:t>7</w:t>
            </w:r>
          </w:p>
        </w:tc>
        <w:tc>
          <w:tcPr>
            <w:tcW w:w="887" w:type="dxa"/>
            <w:hideMark/>
          </w:tcPr>
          <w:p w14:paraId="294628C9" w14:textId="48823E8A" w:rsidR="00CF72D5" w:rsidRPr="002029AF" w:rsidRDefault="00CF72D5" w:rsidP="00C51680">
            <w:pPr>
              <w:pStyle w:val="ARtabletextright"/>
              <w:spacing w:before="40" w:after="20"/>
            </w:pPr>
            <w:r w:rsidRPr="002029AF">
              <w:t>5</w:t>
            </w:r>
          </w:p>
        </w:tc>
        <w:tc>
          <w:tcPr>
            <w:tcW w:w="887" w:type="dxa"/>
            <w:hideMark/>
          </w:tcPr>
          <w:p w14:paraId="03976DC1" w14:textId="47A61D1B" w:rsidR="00CF72D5" w:rsidRPr="002029AF" w:rsidRDefault="00CF72D5" w:rsidP="00C51680">
            <w:pPr>
              <w:pStyle w:val="ARtabletextright"/>
              <w:spacing w:before="40" w:after="20"/>
            </w:pPr>
            <w:r w:rsidRPr="002029AF">
              <w:t>4</w:t>
            </w:r>
          </w:p>
        </w:tc>
        <w:tc>
          <w:tcPr>
            <w:tcW w:w="1022" w:type="dxa"/>
            <w:hideMark/>
          </w:tcPr>
          <w:p w14:paraId="635A4A92" w14:textId="4AB78101" w:rsidR="00CF72D5" w:rsidRPr="002029AF" w:rsidRDefault="00CF72D5" w:rsidP="00C51680">
            <w:pPr>
              <w:pStyle w:val="ARtabletextright"/>
              <w:spacing w:before="40" w:after="20"/>
            </w:pPr>
            <w:r w:rsidRPr="002029AF">
              <w:t>0</w:t>
            </w:r>
          </w:p>
        </w:tc>
        <w:tc>
          <w:tcPr>
            <w:tcW w:w="902" w:type="dxa"/>
            <w:hideMark/>
          </w:tcPr>
          <w:p w14:paraId="19EBAB7E" w14:textId="7CDCE84A" w:rsidR="00CF72D5" w:rsidRPr="002029AF" w:rsidRDefault="00CF72D5" w:rsidP="00C51680">
            <w:pPr>
              <w:pStyle w:val="ARtabletextrightbold"/>
              <w:spacing w:before="40" w:after="20"/>
            </w:pPr>
            <w:r w:rsidRPr="002029AF">
              <w:t>9</w:t>
            </w:r>
          </w:p>
        </w:tc>
        <w:tc>
          <w:tcPr>
            <w:tcW w:w="872" w:type="dxa"/>
            <w:hideMark/>
          </w:tcPr>
          <w:p w14:paraId="011EBC32" w14:textId="41C8526C" w:rsidR="00CF72D5" w:rsidRPr="002029AF" w:rsidRDefault="00CF72D5" w:rsidP="00C51680">
            <w:pPr>
              <w:pStyle w:val="ARtabletextright"/>
              <w:spacing w:before="40" w:after="20"/>
            </w:pPr>
            <w:r w:rsidRPr="002029AF">
              <w:t>0</w:t>
            </w:r>
          </w:p>
        </w:tc>
        <w:tc>
          <w:tcPr>
            <w:tcW w:w="887" w:type="dxa"/>
            <w:hideMark/>
          </w:tcPr>
          <w:p w14:paraId="13267F37" w14:textId="3D0ED6AC" w:rsidR="00CF72D5" w:rsidRPr="002029AF" w:rsidRDefault="00CF72D5" w:rsidP="00C51680">
            <w:pPr>
              <w:pStyle w:val="ARtabletextright"/>
              <w:spacing w:before="40" w:after="20"/>
            </w:pPr>
            <w:r w:rsidRPr="002029AF">
              <w:t>-2</w:t>
            </w:r>
          </w:p>
        </w:tc>
        <w:tc>
          <w:tcPr>
            <w:tcW w:w="1022" w:type="dxa"/>
            <w:hideMark/>
          </w:tcPr>
          <w:p w14:paraId="46EB2B89" w14:textId="7D4E4B5D" w:rsidR="00CF72D5" w:rsidRPr="002029AF" w:rsidRDefault="00CF72D5" w:rsidP="00C51680">
            <w:pPr>
              <w:pStyle w:val="ARtabletextright"/>
              <w:spacing w:before="40" w:after="20"/>
            </w:pPr>
            <w:r w:rsidRPr="002029AF">
              <w:t>0</w:t>
            </w:r>
          </w:p>
        </w:tc>
        <w:tc>
          <w:tcPr>
            <w:tcW w:w="887" w:type="dxa"/>
            <w:hideMark/>
          </w:tcPr>
          <w:p w14:paraId="46F201D8" w14:textId="3FAE288B" w:rsidR="00CF72D5" w:rsidRPr="002029AF" w:rsidRDefault="00CF72D5" w:rsidP="00C51680">
            <w:pPr>
              <w:pStyle w:val="ARtabletextrightbold"/>
              <w:spacing w:before="40" w:after="20"/>
            </w:pPr>
            <w:r w:rsidRPr="002029AF">
              <w:t>-2</w:t>
            </w:r>
          </w:p>
        </w:tc>
      </w:tr>
      <w:tr w:rsidR="00CF72D5" w:rsidRPr="002029AF" w14:paraId="63FB0961" w14:textId="77777777" w:rsidTr="00D40FE6">
        <w:tc>
          <w:tcPr>
            <w:tcW w:w="2944" w:type="dxa"/>
            <w:hideMark/>
          </w:tcPr>
          <w:p w14:paraId="5036969E" w14:textId="302AFB8E" w:rsidR="00CF72D5" w:rsidRPr="002029AF" w:rsidRDefault="00CF72D5" w:rsidP="00C51680">
            <w:pPr>
              <w:pStyle w:val="ARtabletext"/>
              <w:spacing w:before="40" w:after="20"/>
            </w:pPr>
            <w:r w:rsidRPr="002029AF">
              <w:t>Peter</w:t>
            </w:r>
            <w:r w:rsidR="000A5329" w:rsidRPr="002029AF">
              <w:t xml:space="preserve"> </w:t>
            </w:r>
            <w:r w:rsidRPr="002029AF">
              <w:t>MacCallum</w:t>
            </w:r>
            <w:r w:rsidR="000A5329" w:rsidRPr="002029AF">
              <w:t xml:space="preserve"> </w:t>
            </w:r>
            <w:r w:rsidRPr="002029AF">
              <w:t>Cancer</w:t>
            </w:r>
            <w:r w:rsidR="000A5329" w:rsidRPr="002029AF">
              <w:t xml:space="preserve"> </w:t>
            </w:r>
            <w:r w:rsidRPr="002029AF">
              <w:t>Centre</w:t>
            </w:r>
          </w:p>
        </w:tc>
        <w:tc>
          <w:tcPr>
            <w:tcW w:w="871" w:type="dxa"/>
            <w:hideMark/>
          </w:tcPr>
          <w:p w14:paraId="593D150C" w14:textId="17563CC8" w:rsidR="00CF72D5" w:rsidRPr="002029AF" w:rsidRDefault="00CF72D5" w:rsidP="00C51680">
            <w:pPr>
              <w:pStyle w:val="ARtabletextright"/>
              <w:spacing w:before="40" w:after="20"/>
            </w:pPr>
            <w:r w:rsidRPr="002029AF">
              <w:t>8</w:t>
            </w:r>
          </w:p>
        </w:tc>
        <w:tc>
          <w:tcPr>
            <w:tcW w:w="886" w:type="dxa"/>
            <w:hideMark/>
          </w:tcPr>
          <w:p w14:paraId="175D4B8C" w14:textId="626687CA" w:rsidR="00CF72D5" w:rsidRPr="002029AF" w:rsidRDefault="00CF72D5" w:rsidP="00C51680">
            <w:pPr>
              <w:pStyle w:val="ARtabletextright"/>
              <w:spacing w:before="40" w:after="20"/>
            </w:pPr>
            <w:r w:rsidRPr="002029AF">
              <w:t>1</w:t>
            </w:r>
          </w:p>
        </w:tc>
        <w:tc>
          <w:tcPr>
            <w:tcW w:w="1021" w:type="dxa"/>
            <w:hideMark/>
          </w:tcPr>
          <w:p w14:paraId="7127F9B2" w14:textId="127446FF" w:rsidR="00CF72D5" w:rsidRPr="002029AF" w:rsidRDefault="00CF72D5" w:rsidP="00C51680">
            <w:pPr>
              <w:pStyle w:val="ARtabletextright"/>
              <w:spacing w:before="40" w:after="20"/>
            </w:pPr>
            <w:r w:rsidRPr="002029AF">
              <w:t>0</w:t>
            </w:r>
          </w:p>
        </w:tc>
        <w:tc>
          <w:tcPr>
            <w:tcW w:w="917" w:type="dxa"/>
            <w:hideMark/>
          </w:tcPr>
          <w:p w14:paraId="25A31894" w14:textId="11D46CB9" w:rsidR="00CF72D5" w:rsidRPr="002029AF" w:rsidRDefault="00CF72D5" w:rsidP="00C51680">
            <w:pPr>
              <w:pStyle w:val="ARtabletextrightbold"/>
              <w:spacing w:before="40" w:after="20"/>
            </w:pPr>
            <w:r w:rsidRPr="002029AF">
              <w:t>9</w:t>
            </w:r>
          </w:p>
        </w:tc>
        <w:tc>
          <w:tcPr>
            <w:tcW w:w="887" w:type="dxa"/>
            <w:hideMark/>
          </w:tcPr>
          <w:p w14:paraId="7CF2A36E" w14:textId="1D5B9EA5" w:rsidR="00CF72D5" w:rsidRPr="002029AF" w:rsidRDefault="00CF72D5" w:rsidP="00C51680">
            <w:pPr>
              <w:pStyle w:val="ARtabletextright"/>
              <w:spacing w:before="40" w:after="20"/>
            </w:pPr>
            <w:r w:rsidRPr="002029AF">
              <w:t>7</w:t>
            </w:r>
          </w:p>
        </w:tc>
        <w:tc>
          <w:tcPr>
            <w:tcW w:w="887" w:type="dxa"/>
            <w:hideMark/>
          </w:tcPr>
          <w:p w14:paraId="03749F9C" w14:textId="5EE1E493" w:rsidR="00CF72D5" w:rsidRPr="002029AF" w:rsidRDefault="00CF72D5" w:rsidP="00C51680">
            <w:pPr>
              <w:pStyle w:val="ARtabletextright"/>
              <w:spacing w:before="40" w:after="20"/>
            </w:pPr>
            <w:r w:rsidRPr="002029AF">
              <w:t>2</w:t>
            </w:r>
          </w:p>
        </w:tc>
        <w:tc>
          <w:tcPr>
            <w:tcW w:w="1022" w:type="dxa"/>
            <w:hideMark/>
          </w:tcPr>
          <w:p w14:paraId="2C1BE5D6" w14:textId="1B0AC3EE" w:rsidR="00CF72D5" w:rsidRPr="002029AF" w:rsidRDefault="00CF72D5" w:rsidP="00C51680">
            <w:pPr>
              <w:pStyle w:val="ARtabletextright"/>
              <w:spacing w:before="40" w:after="20"/>
            </w:pPr>
            <w:r w:rsidRPr="002029AF">
              <w:t>0</w:t>
            </w:r>
          </w:p>
        </w:tc>
        <w:tc>
          <w:tcPr>
            <w:tcW w:w="902" w:type="dxa"/>
            <w:hideMark/>
          </w:tcPr>
          <w:p w14:paraId="454D0521" w14:textId="070B43DA" w:rsidR="00CF72D5" w:rsidRPr="002029AF" w:rsidRDefault="00CF72D5" w:rsidP="00C51680">
            <w:pPr>
              <w:pStyle w:val="ARtabletextrightbold"/>
              <w:spacing w:before="40" w:after="20"/>
            </w:pPr>
            <w:r w:rsidRPr="002029AF">
              <w:t>9</w:t>
            </w:r>
          </w:p>
        </w:tc>
        <w:tc>
          <w:tcPr>
            <w:tcW w:w="872" w:type="dxa"/>
            <w:hideMark/>
          </w:tcPr>
          <w:p w14:paraId="36CA9A48" w14:textId="5636B31F" w:rsidR="00CF72D5" w:rsidRPr="002029AF" w:rsidRDefault="00CF72D5" w:rsidP="00C51680">
            <w:pPr>
              <w:pStyle w:val="ARtabletextright"/>
              <w:spacing w:before="40" w:after="20"/>
            </w:pPr>
            <w:r w:rsidRPr="002029AF">
              <w:t>1</w:t>
            </w:r>
          </w:p>
        </w:tc>
        <w:tc>
          <w:tcPr>
            <w:tcW w:w="887" w:type="dxa"/>
            <w:hideMark/>
          </w:tcPr>
          <w:p w14:paraId="158D8716" w14:textId="0B829D8F" w:rsidR="00CF72D5" w:rsidRPr="002029AF" w:rsidRDefault="00CF72D5" w:rsidP="00C51680">
            <w:pPr>
              <w:pStyle w:val="ARtabletextright"/>
              <w:spacing w:before="40" w:after="20"/>
            </w:pPr>
            <w:r w:rsidRPr="002029AF">
              <w:t>-1</w:t>
            </w:r>
          </w:p>
        </w:tc>
        <w:tc>
          <w:tcPr>
            <w:tcW w:w="1022" w:type="dxa"/>
            <w:hideMark/>
          </w:tcPr>
          <w:p w14:paraId="7184230B" w14:textId="2CE31CA4" w:rsidR="00CF72D5" w:rsidRPr="002029AF" w:rsidRDefault="00CF72D5" w:rsidP="00C51680">
            <w:pPr>
              <w:pStyle w:val="ARtabletextright"/>
              <w:spacing w:before="40" w:after="20"/>
            </w:pPr>
            <w:r w:rsidRPr="002029AF">
              <w:t>0</w:t>
            </w:r>
          </w:p>
        </w:tc>
        <w:tc>
          <w:tcPr>
            <w:tcW w:w="887" w:type="dxa"/>
            <w:hideMark/>
          </w:tcPr>
          <w:p w14:paraId="754144D8" w14:textId="1FCE8111" w:rsidR="00CF72D5" w:rsidRPr="002029AF" w:rsidRDefault="00CF72D5" w:rsidP="00C51680">
            <w:pPr>
              <w:pStyle w:val="ARtabletextrightbold"/>
              <w:spacing w:before="40" w:after="20"/>
            </w:pPr>
            <w:r w:rsidRPr="002029AF">
              <w:t>0</w:t>
            </w:r>
          </w:p>
        </w:tc>
      </w:tr>
      <w:tr w:rsidR="00CF72D5" w:rsidRPr="002029AF" w14:paraId="26951BA2" w14:textId="77777777" w:rsidTr="00D40FE6">
        <w:tc>
          <w:tcPr>
            <w:tcW w:w="2944" w:type="dxa"/>
            <w:hideMark/>
          </w:tcPr>
          <w:p w14:paraId="30A3B245" w14:textId="4C4500F9" w:rsidR="00CF72D5" w:rsidRPr="002029AF" w:rsidRDefault="00CF72D5" w:rsidP="00C51680">
            <w:pPr>
              <w:pStyle w:val="ARtabletext"/>
              <w:spacing w:before="40" w:after="20"/>
            </w:pPr>
            <w:r w:rsidRPr="002029AF">
              <w:t>Portland</w:t>
            </w:r>
            <w:r w:rsidR="000A5329" w:rsidRPr="002029AF">
              <w:t xml:space="preserve"> </w:t>
            </w:r>
            <w:r w:rsidRPr="002029AF">
              <w:t>District</w:t>
            </w:r>
            <w:r w:rsidR="000A5329" w:rsidRPr="002029AF">
              <w:t xml:space="preserve"> </w:t>
            </w:r>
            <w:r w:rsidRPr="002029AF">
              <w:t>Health</w:t>
            </w:r>
          </w:p>
        </w:tc>
        <w:tc>
          <w:tcPr>
            <w:tcW w:w="871" w:type="dxa"/>
            <w:hideMark/>
          </w:tcPr>
          <w:p w14:paraId="12FAC75A" w14:textId="503A3993" w:rsidR="00CF72D5" w:rsidRPr="002029AF" w:rsidRDefault="00CF72D5" w:rsidP="00C51680">
            <w:pPr>
              <w:pStyle w:val="ARtabletextright"/>
              <w:spacing w:before="40" w:after="20"/>
            </w:pPr>
            <w:r w:rsidRPr="002029AF">
              <w:t>1</w:t>
            </w:r>
          </w:p>
        </w:tc>
        <w:tc>
          <w:tcPr>
            <w:tcW w:w="886" w:type="dxa"/>
            <w:hideMark/>
          </w:tcPr>
          <w:p w14:paraId="39BE89B5" w14:textId="64BF926B" w:rsidR="00CF72D5" w:rsidRPr="002029AF" w:rsidRDefault="00CF72D5" w:rsidP="00C51680">
            <w:pPr>
              <w:pStyle w:val="ARtabletextright"/>
              <w:spacing w:before="40" w:after="20"/>
            </w:pPr>
            <w:r w:rsidRPr="002029AF">
              <w:t>1</w:t>
            </w:r>
          </w:p>
        </w:tc>
        <w:tc>
          <w:tcPr>
            <w:tcW w:w="1021" w:type="dxa"/>
            <w:hideMark/>
          </w:tcPr>
          <w:p w14:paraId="5DB5BF91" w14:textId="246100CB" w:rsidR="00CF72D5" w:rsidRPr="002029AF" w:rsidRDefault="00CF72D5" w:rsidP="00C51680">
            <w:pPr>
              <w:pStyle w:val="ARtabletextright"/>
              <w:spacing w:before="40" w:after="20"/>
            </w:pPr>
            <w:r w:rsidRPr="002029AF">
              <w:t>0</w:t>
            </w:r>
          </w:p>
        </w:tc>
        <w:tc>
          <w:tcPr>
            <w:tcW w:w="917" w:type="dxa"/>
            <w:hideMark/>
          </w:tcPr>
          <w:p w14:paraId="2082FD36" w14:textId="38683121" w:rsidR="00CF72D5" w:rsidRPr="002029AF" w:rsidRDefault="00CF72D5" w:rsidP="00C51680">
            <w:pPr>
              <w:pStyle w:val="ARtabletextrightbold"/>
              <w:spacing w:before="40" w:after="20"/>
            </w:pPr>
            <w:r w:rsidRPr="002029AF">
              <w:t>2</w:t>
            </w:r>
          </w:p>
        </w:tc>
        <w:tc>
          <w:tcPr>
            <w:tcW w:w="887" w:type="dxa"/>
            <w:hideMark/>
          </w:tcPr>
          <w:p w14:paraId="5C38CACB" w14:textId="1031A079" w:rsidR="00CF72D5" w:rsidRPr="002029AF" w:rsidRDefault="00CF72D5" w:rsidP="00C51680">
            <w:pPr>
              <w:pStyle w:val="ARtabletextright"/>
              <w:spacing w:before="40" w:after="20"/>
            </w:pPr>
            <w:r w:rsidRPr="002029AF">
              <w:t>1</w:t>
            </w:r>
          </w:p>
        </w:tc>
        <w:tc>
          <w:tcPr>
            <w:tcW w:w="887" w:type="dxa"/>
            <w:hideMark/>
          </w:tcPr>
          <w:p w14:paraId="09C8C735" w14:textId="5AE6017F" w:rsidR="00CF72D5" w:rsidRPr="002029AF" w:rsidRDefault="00CF72D5" w:rsidP="00C51680">
            <w:pPr>
              <w:pStyle w:val="ARtabletextright"/>
              <w:spacing w:before="40" w:after="20"/>
            </w:pPr>
            <w:r w:rsidRPr="002029AF">
              <w:t>1</w:t>
            </w:r>
          </w:p>
        </w:tc>
        <w:tc>
          <w:tcPr>
            <w:tcW w:w="1022" w:type="dxa"/>
            <w:hideMark/>
          </w:tcPr>
          <w:p w14:paraId="768F0096" w14:textId="44D4402D" w:rsidR="00CF72D5" w:rsidRPr="002029AF" w:rsidRDefault="00CF72D5" w:rsidP="00C51680">
            <w:pPr>
              <w:pStyle w:val="ARtabletextright"/>
              <w:spacing w:before="40" w:after="20"/>
            </w:pPr>
            <w:r w:rsidRPr="002029AF">
              <w:t>0</w:t>
            </w:r>
          </w:p>
        </w:tc>
        <w:tc>
          <w:tcPr>
            <w:tcW w:w="902" w:type="dxa"/>
            <w:hideMark/>
          </w:tcPr>
          <w:p w14:paraId="67166D81" w14:textId="1DAECC6D" w:rsidR="00CF72D5" w:rsidRPr="002029AF" w:rsidRDefault="00CF72D5" w:rsidP="00C51680">
            <w:pPr>
              <w:pStyle w:val="ARtabletextrightbold"/>
              <w:spacing w:before="40" w:after="20"/>
            </w:pPr>
            <w:r w:rsidRPr="002029AF">
              <w:t>2</w:t>
            </w:r>
          </w:p>
        </w:tc>
        <w:tc>
          <w:tcPr>
            <w:tcW w:w="872" w:type="dxa"/>
            <w:hideMark/>
          </w:tcPr>
          <w:p w14:paraId="6273E72C" w14:textId="55E52F6A" w:rsidR="00CF72D5" w:rsidRPr="002029AF" w:rsidRDefault="00CF72D5" w:rsidP="00C51680">
            <w:pPr>
              <w:pStyle w:val="ARtabletextright"/>
              <w:spacing w:before="40" w:after="20"/>
            </w:pPr>
            <w:r w:rsidRPr="002029AF">
              <w:t>0</w:t>
            </w:r>
          </w:p>
        </w:tc>
        <w:tc>
          <w:tcPr>
            <w:tcW w:w="887" w:type="dxa"/>
            <w:hideMark/>
          </w:tcPr>
          <w:p w14:paraId="13785FC0" w14:textId="5458C9BA" w:rsidR="00CF72D5" w:rsidRPr="002029AF" w:rsidRDefault="00CF72D5" w:rsidP="00C51680">
            <w:pPr>
              <w:pStyle w:val="ARtabletextright"/>
              <w:spacing w:before="40" w:after="20"/>
            </w:pPr>
            <w:r w:rsidRPr="002029AF">
              <w:t>0</w:t>
            </w:r>
          </w:p>
        </w:tc>
        <w:tc>
          <w:tcPr>
            <w:tcW w:w="1022" w:type="dxa"/>
            <w:hideMark/>
          </w:tcPr>
          <w:p w14:paraId="0BFDF749" w14:textId="6D3FC4B3" w:rsidR="00CF72D5" w:rsidRPr="002029AF" w:rsidRDefault="00CF72D5" w:rsidP="00C51680">
            <w:pPr>
              <w:pStyle w:val="ARtabletextright"/>
              <w:spacing w:before="40" w:after="20"/>
            </w:pPr>
            <w:r w:rsidRPr="002029AF">
              <w:t>0</w:t>
            </w:r>
          </w:p>
        </w:tc>
        <w:tc>
          <w:tcPr>
            <w:tcW w:w="887" w:type="dxa"/>
            <w:hideMark/>
          </w:tcPr>
          <w:p w14:paraId="29045748" w14:textId="426A08F4" w:rsidR="00CF72D5" w:rsidRPr="002029AF" w:rsidRDefault="00CF72D5" w:rsidP="00C51680">
            <w:pPr>
              <w:pStyle w:val="ARtabletextrightbold"/>
              <w:spacing w:before="40" w:after="20"/>
            </w:pPr>
            <w:r w:rsidRPr="002029AF">
              <w:t>0</w:t>
            </w:r>
          </w:p>
        </w:tc>
      </w:tr>
      <w:tr w:rsidR="00CF72D5" w:rsidRPr="002029AF" w14:paraId="1DE1CEFD" w14:textId="77777777" w:rsidTr="00D40FE6">
        <w:tc>
          <w:tcPr>
            <w:tcW w:w="2944" w:type="dxa"/>
            <w:hideMark/>
          </w:tcPr>
          <w:p w14:paraId="4151CB5A" w14:textId="010E732E" w:rsidR="00CF72D5" w:rsidRPr="002029AF" w:rsidRDefault="00CF72D5" w:rsidP="00C51680">
            <w:pPr>
              <w:pStyle w:val="ARtabletext"/>
              <w:spacing w:before="40" w:after="20"/>
            </w:pPr>
            <w:r w:rsidRPr="002029AF">
              <w:lastRenderedPageBreak/>
              <w:t>Remembrance</w:t>
            </w:r>
            <w:r w:rsidR="000A5329" w:rsidRPr="002029AF">
              <w:t xml:space="preserve"> </w:t>
            </w:r>
            <w:r w:rsidRPr="002029AF">
              <w:t>Parks</w:t>
            </w:r>
            <w:r w:rsidR="000A5329" w:rsidRPr="002029AF">
              <w:t xml:space="preserve"> </w:t>
            </w:r>
            <w:r w:rsidRPr="002029AF">
              <w:t>Central</w:t>
            </w:r>
            <w:r w:rsidR="000A5329" w:rsidRPr="002029AF">
              <w:t xml:space="preserve"> </w:t>
            </w:r>
            <w:r w:rsidRPr="002029AF">
              <w:t>Victoria</w:t>
            </w:r>
          </w:p>
        </w:tc>
        <w:tc>
          <w:tcPr>
            <w:tcW w:w="871" w:type="dxa"/>
            <w:hideMark/>
          </w:tcPr>
          <w:p w14:paraId="79F309B1" w14:textId="78E65147" w:rsidR="00CF72D5" w:rsidRPr="002029AF" w:rsidRDefault="00CF72D5" w:rsidP="00C51680">
            <w:pPr>
              <w:pStyle w:val="ARtabletextright"/>
              <w:spacing w:before="40" w:after="20"/>
            </w:pPr>
            <w:r w:rsidRPr="002029AF">
              <w:t>0</w:t>
            </w:r>
          </w:p>
        </w:tc>
        <w:tc>
          <w:tcPr>
            <w:tcW w:w="886" w:type="dxa"/>
            <w:hideMark/>
          </w:tcPr>
          <w:p w14:paraId="7BC7CEDF" w14:textId="36C90C6D" w:rsidR="00CF72D5" w:rsidRPr="002029AF" w:rsidRDefault="00CF72D5" w:rsidP="00C51680">
            <w:pPr>
              <w:pStyle w:val="ARtabletextright"/>
              <w:spacing w:before="40" w:after="20"/>
            </w:pPr>
            <w:r w:rsidRPr="002029AF">
              <w:t>0</w:t>
            </w:r>
          </w:p>
        </w:tc>
        <w:tc>
          <w:tcPr>
            <w:tcW w:w="1021" w:type="dxa"/>
            <w:hideMark/>
          </w:tcPr>
          <w:p w14:paraId="3B583FB7" w14:textId="59EE8059" w:rsidR="00CF72D5" w:rsidRPr="002029AF" w:rsidRDefault="00CF72D5" w:rsidP="00C51680">
            <w:pPr>
              <w:pStyle w:val="ARtabletextright"/>
              <w:spacing w:before="40" w:after="20"/>
            </w:pPr>
            <w:r w:rsidRPr="002029AF">
              <w:t>0</w:t>
            </w:r>
          </w:p>
        </w:tc>
        <w:tc>
          <w:tcPr>
            <w:tcW w:w="917" w:type="dxa"/>
            <w:hideMark/>
          </w:tcPr>
          <w:p w14:paraId="43912F50" w14:textId="2DBEAC80" w:rsidR="00CF72D5" w:rsidRPr="002029AF" w:rsidRDefault="00CF72D5" w:rsidP="00C51680">
            <w:pPr>
              <w:pStyle w:val="ARtabletextrightbold"/>
              <w:spacing w:before="40" w:after="20"/>
            </w:pPr>
            <w:r w:rsidRPr="002029AF">
              <w:t>0</w:t>
            </w:r>
          </w:p>
        </w:tc>
        <w:tc>
          <w:tcPr>
            <w:tcW w:w="887" w:type="dxa"/>
            <w:hideMark/>
          </w:tcPr>
          <w:p w14:paraId="33D0F61E" w14:textId="06EC7FFF" w:rsidR="00CF72D5" w:rsidRPr="002029AF" w:rsidRDefault="00CF72D5" w:rsidP="00C51680">
            <w:pPr>
              <w:pStyle w:val="ARtabletextright"/>
              <w:spacing w:before="40" w:after="20"/>
            </w:pPr>
            <w:r w:rsidRPr="002029AF">
              <w:t>0</w:t>
            </w:r>
          </w:p>
        </w:tc>
        <w:tc>
          <w:tcPr>
            <w:tcW w:w="887" w:type="dxa"/>
            <w:hideMark/>
          </w:tcPr>
          <w:p w14:paraId="727E9F82" w14:textId="39F716C7" w:rsidR="00CF72D5" w:rsidRPr="002029AF" w:rsidRDefault="00CF72D5" w:rsidP="00C51680">
            <w:pPr>
              <w:pStyle w:val="ARtabletextright"/>
              <w:spacing w:before="40" w:after="20"/>
            </w:pPr>
            <w:r w:rsidRPr="002029AF">
              <w:t>1</w:t>
            </w:r>
          </w:p>
        </w:tc>
        <w:tc>
          <w:tcPr>
            <w:tcW w:w="1022" w:type="dxa"/>
            <w:hideMark/>
          </w:tcPr>
          <w:p w14:paraId="7EBA2A6B" w14:textId="5731B286" w:rsidR="00CF72D5" w:rsidRPr="002029AF" w:rsidRDefault="00CF72D5" w:rsidP="00C51680">
            <w:pPr>
              <w:pStyle w:val="ARtabletextright"/>
              <w:spacing w:before="40" w:after="20"/>
            </w:pPr>
            <w:r w:rsidRPr="002029AF">
              <w:t>0</w:t>
            </w:r>
          </w:p>
        </w:tc>
        <w:tc>
          <w:tcPr>
            <w:tcW w:w="902" w:type="dxa"/>
            <w:hideMark/>
          </w:tcPr>
          <w:p w14:paraId="46FA562A" w14:textId="289A9D8A" w:rsidR="00CF72D5" w:rsidRPr="002029AF" w:rsidRDefault="00CF72D5" w:rsidP="00C51680">
            <w:pPr>
              <w:pStyle w:val="ARtabletextrightbold"/>
              <w:spacing w:before="40" w:after="20"/>
            </w:pPr>
            <w:r w:rsidRPr="002029AF">
              <w:t>1</w:t>
            </w:r>
          </w:p>
        </w:tc>
        <w:tc>
          <w:tcPr>
            <w:tcW w:w="872" w:type="dxa"/>
            <w:hideMark/>
          </w:tcPr>
          <w:p w14:paraId="0CC85683" w14:textId="4E9A8F53" w:rsidR="00CF72D5" w:rsidRPr="002029AF" w:rsidRDefault="00CF72D5" w:rsidP="00C51680">
            <w:pPr>
              <w:pStyle w:val="ARtabletextright"/>
              <w:spacing w:before="40" w:after="20"/>
            </w:pPr>
            <w:r w:rsidRPr="002029AF">
              <w:t>0</w:t>
            </w:r>
          </w:p>
        </w:tc>
        <w:tc>
          <w:tcPr>
            <w:tcW w:w="887" w:type="dxa"/>
            <w:hideMark/>
          </w:tcPr>
          <w:p w14:paraId="7CAB9D7A" w14:textId="1A7934FA" w:rsidR="00CF72D5" w:rsidRPr="002029AF" w:rsidRDefault="00CF72D5" w:rsidP="00C51680">
            <w:pPr>
              <w:pStyle w:val="ARtabletextright"/>
              <w:spacing w:before="40" w:after="20"/>
            </w:pPr>
            <w:r w:rsidRPr="002029AF">
              <w:t>-1</w:t>
            </w:r>
          </w:p>
        </w:tc>
        <w:tc>
          <w:tcPr>
            <w:tcW w:w="1022" w:type="dxa"/>
            <w:hideMark/>
          </w:tcPr>
          <w:p w14:paraId="5EC552DF" w14:textId="36F21BC9" w:rsidR="00CF72D5" w:rsidRPr="002029AF" w:rsidRDefault="00CF72D5" w:rsidP="00C51680">
            <w:pPr>
              <w:pStyle w:val="ARtabletextright"/>
              <w:spacing w:before="40" w:after="20"/>
            </w:pPr>
            <w:r w:rsidRPr="002029AF">
              <w:t>0</w:t>
            </w:r>
          </w:p>
        </w:tc>
        <w:tc>
          <w:tcPr>
            <w:tcW w:w="887" w:type="dxa"/>
            <w:hideMark/>
          </w:tcPr>
          <w:p w14:paraId="53091119" w14:textId="0120B402" w:rsidR="00CF72D5" w:rsidRPr="002029AF" w:rsidRDefault="00CF72D5" w:rsidP="00C51680">
            <w:pPr>
              <w:pStyle w:val="ARtabletextrightbold"/>
              <w:spacing w:before="40" w:after="20"/>
            </w:pPr>
            <w:r w:rsidRPr="002029AF">
              <w:t>-1</w:t>
            </w:r>
          </w:p>
        </w:tc>
      </w:tr>
      <w:tr w:rsidR="00CF72D5" w:rsidRPr="002029AF" w14:paraId="4DD2BCC4" w14:textId="77777777" w:rsidTr="00D40FE6">
        <w:tc>
          <w:tcPr>
            <w:tcW w:w="2944" w:type="dxa"/>
            <w:hideMark/>
          </w:tcPr>
          <w:p w14:paraId="7ACE90C1" w14:textId="7D840E21" w:rsidR="00CF72D5" w:rsidRPr="002029AF" w:rsidRDefault="00CF72D5" w:rsidP="00C51680">
            <w:pPr>
              <w:pStyle w:val="ARtabletext"/>
              <w:spacing w:before="40" w:after="20"/>
            </w:pPr>
            <w:r w:rsidRPr="002029AF">
              <w:t>Robinvale</w:t>
            </w:r>
            <w:r w:rsidR="000A5329" w:rsidRPr="002029AF">
              <w:t xml:space="preserve"> </w:t>
            </w:r>
            <w:r w:rsidRPr="002029AF">
              <w:t>District</w:t>
            </w:r>
            <w:r w:rsidR="000A5329" w:rsidRPr="002029AF">
              <w:t xml:space="preserve"> </w:t>
            </w:r>
            <w:r w:rsidRPr="002029AF">
              <w:t>Health</w:t>
            </w:r>
            <w:r w:rsidR="000A5329" w:rsidRPr="002029AF">
              <w:t xml:space="preserve"> </w:t>
            </w:r>
            <w:r w:rsidRPr="002029AF">
              <w:t>Services</w:t>
            </w:r>
          </w:p>
        </w:tc>
        <w:tc>
          <w:tcPr>
            <w:tcW w:w="871" w:type="dxa"/>
            <w:hideMark/>
          </w:tcPr>
          <w:p w14:paraId="61943BF0" w14:textId="5EA656DD" w:rsidR="00CF72D5" w:rsidRPr="002029AF" w:rsidRDefault="00CF72D5" w:rsidP="00C51680">
            <w:pPr>
              <w:pStyle w:val="ARtabletextright"/>
              <w:spacing w:before="40" w:after="20"/>
            </w:pPr>
            <w:r w:rsidRPr="002029AF">
              <w:t>1</w:t>
            </w:r>
          </w:p>
        </w:tc>
        <w:tc>
          <w:tcPr>
            <w:tcW w:w="886" w:type="dxa"/>
            <w:hideMark/>
          </w:tcPr>
          <w:p w14:paraId="0ECC61E6" w14:textId="2E5F4796" w:rsidR="00CF72D5" w:rsidRPr="002029AF" w:rsidRDefault="00CF72D5" w:rsidP="00C51680">
            <w:pPr>
              <w:pStyle w:val="ARtabletextright"/>
              <w:spacing w:before="40" w:after="20"/>
            </w:pPr>
            <w:r w:rsidRPr="002029AF">
              <w:t>0</w:t>
            </w:r>
          </w:p>
        </w:tc>
        <w:tc>
          <w:tcPr>
            <w:tcW w:w="1021" w:type="dxa"/>
            <w:hideMark/>
          </w:tcPr>
          <w:p w14:paraId="51D463C2" w14:textId="184A08A1" w:rsidR="00CF72D5" w:rsidRPr="002029AF" w:rsidRDefault="00CF72D5" w:rsidP="00C51680">
            <w:pPr>
              <w:pStyle w:val="ARtabletextright"/>
              <w:spacing w:before="40" w:after="20"/>
            </w:pPr>
            <w:r w:rsidRPr="002029AF">
              <w:t>0</w:t>
            </w:r>
          </w:p>
        </w:tc>
        <w:tc>
          <w:tcPr>
            <w:tcW w:w="917" w:type="dxa"/>
            <w:hideMark/>
          </w:tcPr>
          <w:p w14:paraId="5C03F3F3" w14:textId="6B39D8BC" w:rsidR="00CF72D5" w:rsidRPr="002029AF" w:rsidRDefault="00CF72D5" w:rsidP="00C51680">
            <w:pPr>
              <w:pStyle w:val="ARtabletextrightbold"/>
              <w:spacing w:before="40" w:after="20"/>
            </w:pPr>
            <w:r w:rsidRPr="002029AF">
              <w:t>1</w:t>
            </w:r>
          </w:p>
        </w:tc>
        <w:tc>
          <w:tcPr>
            <w:tcW w:w="887" w:type="dxa"/>
            <w:hideMark/>
          </w:tcPr>
          <w:p w14:paraId="1EB28F64" w14:textId="253C92BE" w:rsidR="00CF72D5" w:rsidRPr="002029AF" w:rsidRDefault="00CF72D5" w:rsidP="00C51680">
            <w:pPr>
              <w:pStyle w:val="ARtabletextright"/>
              <w:spacing w:before="40" w:after="20"/>
            </w:pPr>
            <w:r w:rsidRPr="002029AF">
              <w:t>1</w:t>
            </w:r>
          </w:p>
        </w:tc>
        <w:tc>
          <w:tcPr>
            <w:tcW w:w="887" w:type="dxa"/>
            <w:hideMark/>
          </w:tcPr>
          <w:p w14:paraId="4333A833" w14:textId="1FD652F9" w:rsidR="00CF72D5" w:rsidRPr="002029AF" w:rsidRDefault="00CF72D5" w:rsidP="00C51680">
            <w:pPr>
              <w:pStyle w:val="ARtabletextright"/>
              <w:spacing w:before="40" w:after="20"/>
            </w:pPr>
            <w:r w:rsidRPr="002029AF">
              <w:t>0</w:t>
            </w:r>
          </w:p>
        </w:tc>
        <w:tc>
          <w:tcPr>
            <w:tcW w:w="1022" w:type="dxa"/>
            <w:hideMark/>
          </w:tcPr>
          <w:p w14:paraId="2FC88133" w14:textId="7C39ED06" w:rsidR="00CF72D5" w:rsidRPr="002029AF" w:rsidRDefault="00CF72D5" w:rsidP="00C51680">
            <w:pPr>
              <w:pStyle w:val="ARtabletextright"/>
              <w:spacing w:before="40" w:after="20"/>
            </w:pPr>
            <w:r w:rsidRPr="002029AF">
              <w:t>0</w:t>
            </w:r>
          </w:p>
        </w:tc>
        <w:tc>
          <w:tcPr>
            <w:tcW w:w="902" w:type="dxa"/>
            <w:hideMark/>
          </w:tcPr>
          <w:p w14:paraId="3A113EBF" w14:textId="554705D3" w:rsidR="00CF72D5" w:rsidRPr="002029AF" w:rsidRDefault="00CF72D5" w:rsidP="00C51680">
            <w:pPr>
              <w:pStyle w:val="ARtabletextrightbold"/>
              <w:spacing w:before="40" w:after="20"/>
            </w:pPr>
            <w:r w:rsidRPr="002029AF">
              <w:t>1</w:t>
            </w:r>
          </w:p>
        </w:tc>
        <w:tc>
          <w:tcPr>
            <w:tcW w:w="872" w:type="dxa"/>
            <w:hideMark/>
          </w:tcPr>
          <w:p w14:paraId="42A0E839" w14:textId="20B7593B" w:rsidR="00CF72D5" w:rsidRPr="002029AF" w:rsidRDefault="00CF72D5" w:rsidP="00C51680">
            <w:pPr>
              <w:pStyle w:val="ARtabletextright"/>
              <w:spacing w:before="40" w:after="20"/>
            </w:pPr>
            <w:r w:rsidRPr="002029AF">
              <w:t>0</w:t>
            </w:r>
          </w:p>
        </w:tc>
        <w:tc>
          <w:tcPr>
            <w:tcW w:w="887" w:type="dxa"/>
            <w:hideMark/>
          </w:tcPr>
          <w:p w14:paraId="31F9AD72" w14:textId="34E6DD4A" w:rsidR="00CF72D5" w:rsidRPr="002029AF" w:rsidRDefault="00CF72D5" w:rsidP="00C51680">
            <w:pPr>
              <w:pStyle w:val="ARtabletextright"/>
              <w:spacing w:before="40" w:after="20"/>
            </w:pPr>
            <w:r w:rsidRPr="002029AF">
              <w:t>0</w:t>
            </w:r>
          </w:p>
        </w:tc>
        <w:tc>
          <w:tcPr>
            <w:tcW w:w="1022" w:type="dxa"/>
            <w:hideMark/>
          </w:tcPr>
          <w:p w14:paraId="527FC6FA" w14:textId="17C423D8" w:rsidR="00CF72D5" w:rsidRPr="002029AF" w:rsidRDefault="00CF72D5" w:rsidP="00C51680">
            <w:pPr>
              <w:pStyle w:val="ARtabletextright"/>
              <w:spacing w:before="40" w:after="20"/>
            </w:pPr>
            <w:r w:rsidRPr="002029AF">
              <w:t>0</w:t>
            </w:r>
          </w:p>
        </w:tc>
        <w:tc>
          <w:tcPr>
            <w:tcW w:w="887" w:type="dxa"/>
            <w:hideMark/>
          </w:tcPr>
          <w:p w14:paraId="0B01597D" w14:textId="5A9FE5A4" w:rsidR="00CF72D5" w:rsidRPr="002029AF" w:rsidRDefault="00CF72D5" w:rsidP="00C51680">
            <w:pPr>
              <w:pStyle w:val="ARtabletextrightbold"/>
              <w:spacing w:before="40" w:after="20"/>
            </w:pPr>
            <w:r w:rsidRPr="002029AF">
              <w:t>0</w:t>
            </w:r>
          </w:p>
        </w:tc>
      </w:tr>
      <w:tr w:rsidR="00CF72D5" w:rsidRPr="002029AF" w14:paraId="2FA79E4B" w14:textId="77777777" w:rsidTr="00D40FE6">
        <w:tc>
          <w:tcPr>
            <w:tcW w:w="2944" w:type="dxa"/>
            <w:hideMark/>
          </w:tcPr>
          <w:p w14:paraId="28A0996D" w14:textId="4CFFB524" w:rsidR="00CF72D5" w:rsidRPr="002029AF" w:rsidRDefault="00CF72D5" w:rsidP="00C51680">
            <w:pPr>
              <w:pStyle w:val="ARtabletext"/>
              <w:spacing w:before="40" w:after="20"/>
            </w:pPr>
            <w:r w:rsidRPr="002029AF">
              <w:t>Rochester</w:t>
            </w:r>
            <w:r w:rsidR="000A5329" w:rsidRPr="002029AF">
              <w:t xml:space="preserve"> </w:t>
            </w:r>
            <w:r w:rsidRPr="002029AF">
              <w:t>and</w:t>
            </w:r>
            <w:r w:rsidR="000A5329" w:rsidRPr="002029AF">
              <w:t xml:space="preserve"> </w:t>
            </w:r>
            <w:r w:rsidRPr="002029AF">
              <w:t>Elmore</w:t>
            </w:r>
            <w:r w:rsidR="000A5329" w:rsidRPr="002029AF">
              <w:t xml:space="preserve"> </w:t>
            </w:r>
            <w:r w:rsidRPr="002029AF">
              <w:t>District</w:t>
            </w:r>
            <w:r w:rsidR="000A5329" w:rsidRPr="002029AF">
              <w:t xml:space="preserve"> </w:t>
            </w:r>
            <w:r w:rsidRPr="002029AF">
              <w:t>Health</w:t>
            </w:r>
            <w:r w:rsidR="000A5329" w:rsidRPr="002029AF">
              <w:t xml:space="preserve"> </w:t>
            </w:r>
            <w:r w:rsidRPr="002029AF">
              <w:t>Service</w:t>
            </w:r>
          </w:p>
        </w:tc>
        <w:tc>
          <w:tcPr>
            <w:tcW w:w="871" w:type="dxa"/>
            <w:hideMark/>
          </w:tcPr>
          <w:p w14:paraId="342AA57E" w14:textId="4339AC0E" w:rsidR="00CF72D5" w:rsidRPr="002029AF" w:rsidRDefault="00CF72D5" w:rsidP="00C51680">
            <w:pPr>
              <w:pStyle w:val="ARtabletextright"/>
              <w:spacing w:before="40" w:after="20"/>
            </w:pPr>
            <w:r w:rsidRPr="002029AF">
              <w:t>1</w:t>
            </w:r>
          </w:p>
        </w:tc>
        <w:tc>
          <w:tcPr>
            <w:tcW w:w="886" w:type="dxa"/>
            <w:hideMark/>
          </w:tcPr>
          <w:p w14:paraId="631BA3C5" w14:textId="168A6902" w:rsidR="00CF72D5" w:rsidRPr="002029AF" w:rsidRDefault="00CF72D5" w:rsidP="00C51680">
            <w:pPr>
              <w:pStyle w:val="ARtabletextright"/>
              <w:spacing w:before="40" w:after="20"/>
            </w:pPr>
            <w:r w:rsidRPr="002029AF">
              <w:t>0</w:t>
            </w:r>
          </w:p>
        </w:tc>
        <w:tc>
          <w:tcPr>
            <w:tcW w:w="1021" w:type="dxa"/>
            <w:hideMark/>
          </w:tcPr>
          <w:p w14:paraId="3666A3F8" w14:textId="56EB35FC" w:rsidR="00CF72D5" w:rsidRPr="002029AF" w:rsidRDefault="00CF72D5" w:rsidP="00C51680">
            <w:pPr>
              <w:pStyle w:val="ARtabletextright"/>
              <w:spacing w:before="40" w:after="20"/>
            </w:pPr>
            <w:r w:rsidRPr="002029AF">
              <w:t>0</w:t>
            </w:r>
          </w:p>
        </w:tc>
        <w:tc>
          <w:tcPr>
            <w:tcW w:w="917" w:type="dxa"/>
            <w:hideMark/>
          </w:tcPr>
          <w:p w14:paraId="1AAD2E0C" w14:textId="1882F099" w:rsidR="00CF72D5" w:rsidRPr="002029AF" w:rsidRDefault="00CF72D5" w:rsidP="00C51680">
            <w:pPr>
              <w:pStyle w:val="ARtabletextrightbold"/>
              <w:spacing w:before="40" w:after="20"/>
            </w:pPr>
            <w:r w:rsidRPr="002029AF">
              <w:t>1</w:t>
            </w:r>
          </w:p>
        </w:tc>
        <w:tc>
          <w:tcPr>
            <w:tcW w:w="887" w:type="dxa"/>
            <w:hideMark/>
          </w:tcPr>
          <w:p w14:paraId="00CC4ABF" w14:textId="7254CE35" w:rsidR="00CF72D5" w:rsidRPr="002029AF" w:rsidRDefault="00CF72D5" w:rsidP="00C51680">
            <w:pPr>
              <w:pStyle w:val="ARtabletextright"/>
              <w:spacing w:before="40" w:after="20"/>
            </w:pPr>
            <w:r w:rsidRPr="002029AF">
              <w:t>1</w:t>
            </w:r>
          </w:p>
        </w:tc>
        <w:tc>
          <w:tcPr>
            <w:tcW w:w="887" w:type="dxa"/>
            <w:hideMark/>
          </w:tcPr>
          <w:p w14:paraId="385C2055" w14:textId="3A77C309" w:rsidR="00CF72D5" w:rsidRPr="002029AF" w:rsidRDefault="00CF72D5" w:rsidP="00C51680">
            <w:pPr>
              <w:pStyle w:val="ARtabletextright"/>
              <w:spacing w:before="40" w:after="20"/>
            </w:pPr>
            <w:r w:rsidRPr="002029AF">
              <w:t>0</w:t>
            </w:r>
          </w:p>
        </w:tc>
        <w:tc>
          <w:tcPr>
            <w:tcW w:w="1022" w:type="dxa"/>
            <w:hideMark/>
          </w:tcPr>
          <w:p w14:paraId="41513765" w14:textId="1F820CCF" w:rsidR="00CF72D5" w:rsidRPr="002029AF" w:rsidRDefault="00CF72D5" w:rsidP="00C51680">
            <w:pPr>
              <w:pStyle w:val="ARtabletextright"/>
              <w:spacing w:before="40" w:after="20"/>
            </w:pPr>
            <w:r w:rsidRPr="002029AF">
              <w:t>0</w:t>
            </w:r>
          </w:p>
        </w:tc>
        <w:tc>
          <w:tcPr>
            <w:tcW w:w="902" w:type="dxa"/>
            <w:hideMark/>
          </w:tcPr>
          <w:p w14:paraId="63C6ECD0" w14:textId="5B322130" w:rsidR="00CF72D5" w:rsidRPr="002029AF" w:rsidRDefault="00CF72D5" w:rsidP="00C51680">
            <w:pPr>
              <w:pStyle w:val="ARtabletextrightbold"/>
              <w:spacing w:before="40" w:after="20"/>
            </w:pPr>
            <w:r w:rsidRPr="002029AF">
              <w:t>1</w:t>
            </w:r>
          </w:p>
        </w:tc>
        <w:tc>
          <w:tcPr>
            <w:tcW w:w="872" w:type="dxa"/>
            <w:hideMark/>
          </w:tcPr>
          <w:p w14:paraId="6177E092" w14:textId="2D300CEC" w:rsidR="00CF72D5" w:rsidRPr="002029AF" w:rsidRDefault="00CF72D5" w:rsidP="00C51680">
            <w:pPr>
              <w:pStyle w:val="ARtabletextright"/>
              <w:spacing w:before="40" w:after="20"/>
            </w:pPr>
            <w:r w:rsidRPr="002029AF">
              <w:t>0</w:t>
            </w:r>
          </w:p>
        </w:tc>
        <w:tc>
          <w:tcPr>
            <w:tcW w:w="887" w:type="dxa"/>
            <w:hideMark/>
          </w:tcPr>
          <w:p w14:paraId="4EEF284A" w14:textId="276C9573" w:rsidR="00CF72D5" w:rsidRPr="002029AF" w:rsidRDefault="00CF72D5" w:rsidP="00C51680">
            <w:pPr>
              <w:pStyle w:val="ARtabletextright"/>
              <w:spacing w:before="40" w:after="20"/>
            </w:pPr>
            <w:r w:rsidRPr="002029AF">
              <w:t>0</w:t>
            </w:r>
          </w:p>
        </w:tc>
        <w:tc>
          <w:tcPr>
            <w:tcW w:w="1022" w:type="dxa"/>
            <w:hideMark/>
          </w:tcPr>
          <w:p w14:paraId="47E98443" w14:textId="0BAE1CD8" w:rsidR="00CF72D5" w:rsidRPr="002029AF" w:rsidRDefault="00CF72D5" w:rsidP="00C51680">
            <w:pPr>
              <w:pStyle w:val="ARtabletextright"/>
              <w:spacing w:before="40" w:after="20"/>
            </w:pPr>
            <w:r w:rsidRPr="002029AF">
              <w:t>0</w:t>
            </w:r>
          </w:p>
        </w:tc>
        <w:tc>
          <w:tcPr>
            <w:tcW w:w="887" w:type="dxa"/>
            <w:hideMark/>
          </w:tcPr>
          <w:p w14:paraId="6483CEF6" w14:textId="3195498F" w:rsidR="00CF72D5" w:rsidRPr="002029AF" w:rsidRDefault="00CF72D5" w:rsidP="00C51680">
            <w:pPr>
              <w:pStyle w:val="ARtabletextrightbold"/>
              <w:spacing w:before="40" w:after="20"/>
            </w:pPr>
            <w:r w:rsidRPr="002029AF">
              <w:t>0</w:t>
            </w:r>
          </w:p>
        </w:tc>
      </w:tr>
      <w:tr w:rsidR="00CF72D5" w:rsidRPr="002029AF" w14:paraId="3BBF16DD" w14:textId="77777777" w:rsidTr="00D40FE6">
        <w:tc>
          <w:tcPr>
            <w:tcW w:w="2944" w:type="dxa"/>
            <w:hideMark/>
          </w:tcPr>
          <w:p w14:paraId="4C705E70" w14:textId="1ACC33F6" w:rsidR="00CF72D5" w:rsidRPr="002029AF" w:rsidRDefault="00CF72D5" w:rsidP="00C51680">
            <w:pPr>
              <w:pStyle w:val="ARtabletext"/>
              <w:spacing w:before="40" w:after="20"/>
            </w:pPr>
            <w:r w:rsidRPr="002029AF">
              <w:t>Royal</w:t>
            </w:r>
            <w:r w:rsidR="000A5329" w:rsidRPr="002029AF">
              <w:t xml:space="preserve"> </w:t>
            </w:r>
            <w:r w:rsidRPr="002029AF">
              <w:t>Children</w:t>
            </w:r>
            <w:r w:rsidR="005F298C">
              <w:t>’</w:t>
            </w:r>
            <w:r w:rsidRPr="002029AF">
              <w:t>s</w:t>
            </w:r>
            <w:r w:rsidR="000A5329" w:rsidRPr="002029AF">
              <w:t xml:space="preserve"> </w:t>
            </w:r>
            <w:r w:rsidRPr="002029AF">
              <w:t>Hospital</w:t>
            </w:r>
          </w:p>
        </w:tc>
        <w:tc>
          <w:tcPr>
            <w:tcW w:w="871" w:type="dxa"/>
            <w:hideMark/>
          </w:tcPr>
          <w:p w14:paraId="0DE3DB90" w14:textId="4733CA8A" w:rsidR="00CF72D5" w:rsidRPr="002029AF" w:rsidRDefault="00CF72D5" w:rsidP="00C51680">
            <w:pPr>
              <w:pStyle w:val="ARtabletextright"/>
              <w:spacing w:before="40" w:after="20"/>
            </w:pPr>
            <w:r w:rsidRPr="002029AF">
              <w:t>5</w:t>
            </w:r>
          </w:p>
        </w:tc>
        <w:tc>
          <w:tcPr>
            <w:tcW w:w="886" w:type="dxa"/>
            <w:hideMark/>
          </w:tcPr>
          <w:p w14:paraId="796AD3DD" w14:textId="28EDF6F0" w:rsidR="00CF72D5" w:rsidRPr="002029AF" w:rsidRDefault="00CF72D5" w:rsidP="00C51680">
            <w:pPr>
              <w:pStyle w:val="ARtabletextright"/>
              <w:spacing w:before="40" w:after="20"/>
            </w:pPr>
            <w:r w:rsidRPr="002029AF">
              <w:t>3</w:t>
            </w:r>
          </w:p>
        </w:tc>
        <w:tc>
          <w:tcPr>
            <w:tcW w:w="1021" w:type="dxa"/>
            <w:hideMark/>
          </w:tcPr>
          <w:p w14:paraId="124EBA1A" w14:textId="4C2710C1" w:rsidR="00CF72D5" w:rsidRPr="002029AF" w:rsidRDefault="00CF72D5" w:rsidP="00C51680">
            <w:pPr>
              <w:pStyle w:val="ARtabletextright"/>
              <w:spacing w:before="40" w:after="20"/>
            </w:pPr>
            <w:r w:rsidRPr="002029AF">
              <w:t>0</w:t>
            </w:r>
          </w:p>
        </w:tc>
        <w:tc>
          <w:tcPr>
            <w:tcW w:w="917" w:type="dxa"/>
            <w:hideMark/>
          </w:tcPr>
          <w:p w14:paraId="714631D0" w14:textId="11BAA577" w:rsidR="00CF72D5" w:rsidRPr="002029AF" w:rsidRDefault="00CF72D5" w:rsidP="00C51680">
            <w:pPr>
              <w:pStyle w:val="ARtabletextrightbold"/>
              <w:spacing w:before="40" w:after="20"/>
            </w:pPr>
            <w:r w:rsidRPr="002029AF">
              <w:t>8</w:t>
            </w:r>
          </w:p>
        </w:tc>
        <w:tc>
          <w:tcPr>
            <w:tcW w:w="887" w:type="dxa"/>
            <w:hideMark/>
          </w:tcPr>
          <w:p w14:paraId="2CF1E582" w14:textId="406A888B" w:rsidR="00CF72D5" w:rsidRPr="002029AF" w:rsidRDefault="00CF72D5" w:rsidP="00C51680">
            <w:pPr>
              <w:pStyle w:val="ARtabletextright"/>
              <w:spacing w:before="40" w:after="20"/>
            </w:pPr>
            <w:r w:rsidRPr="002029AF">
              <w:t>5</w:t>
            </w:r>
          </w:p>
        </w:tc>
        <w:tc>
          <w:tcPr>
            <w:tcW w:w="887" w:type="dxa"/>
            <w:hideMark/>
          </w:tcPr>
          <w:p w14:paraId="56FE8A43" w14:textId="52050CD2" w:rsidR="00CF72D5" w:rsidRPr="002029AF" w:rsidRDefault="00CF72D5" w:rsidP="00C51680">
            <w:pPr>
              <w:pStyle w:val="ARtabletextright"/>
              <w:spacing w:before="40" w:after="20"/>
            </w:pPr>
            <w:r w:rsidRPr="002029AF">
              <w:t>3</w:t>
            </w:r>
          </w:p>
        </w:tc>
        <w:tc>
          <w:tcPr>
            <w:tcW w:w="1022" w:type="dxa"/>
            <w:hideMark/>
          </w:tcPr>
          <w:p w14:paraId="7E0B049A" w14:textId="26C9A357" w:rsidR="00CF72D5" w:rsidRPr="002029AF" w:rsidRDefault="00CF72D5" w:rsidP="00C51680">
            <w:pPr>
              <w:pStyle w:val="ARtabletextright"/>
              <w:spacing w:before="40" w:after="20"/>
            </w:pPr>
            <w:r w:rsidRPr="002029AF">
              <w:t>0</w:t>
            </w:r>
          </w:p>
        </w:tc>
        <w:tc>
          <w:tcPr>
            <w:tcW w:w="902" w:type="dxa"/>
            <w:hideMark/>
          </w:tcPr>
          <w:p w14:paraId="07BC871A" w14:textId="208C0C49" w:rsidR="00CF72D5" w:rsidRPr="002029AF" w:rsidRDefault="00CF72D5" w:rsidP="00C51680">
            <w:pPr>
              <w:pStyle w:val="ARtabletextrightbold"/>
              <w:spacing w:before="40" w:after="20"/>
            </w:pPr>
            <w:r w:rsidRPr="002029AF">
              <w:t>8</w:t>
            </w:r>
          </w:p>
        </w:tc>
        <w:tc>
          <w:tcPr>
            <w:tcW w:w="872" w:type="dxa"/>
            <w:hideMark/>
          </w:tcPr>
          <w:p w14:paraId="6697AD5C" w14:textId="37C01188" w:rsidR="00CF72D5" w:rsidRPr="002029AF" w:rsidRDefault="00CF72D5" w:rsidP="00C51680">
            <w:pPr>
              <w:pStyle w:val="ARtabletextright"/>
              <w:spacing w:before="40" w:after="20"/>
            </w:pPr>
            <w:r w:rsidRPr="002029AF">
              <w:t>0</w:t>
            </w:r>
          </w:p>
        </w:tc>
        <w:tc>
          <w:tcPr>
            <w:tcW w:w="887" w:type="dxa"/>
            <w:hideMark/>
          </w:tcPr>
          <w:p w14:paraId="63E2961C" w14:textId="5E6D4D0B" w:rsidR="00CF72D5" w:rsidRPr="002029AF" w:rsidRDefault="00CF72D5" w:rsidP="00C51680">
            <w:pPr>
              <w:pStyle w:val="ARtabletextright"/>
              <w:spacing w:before="40" w:after="20"/>
            </w:pPr>
            <w:r w:rsidRPr="002029AF">
              <w:t>0</w:t>
            </w:r>
          </w:p>
        </w:tc>
        <w:tc>
          <w:tcPr>
            <w:tcW w:w="1022" w:type="dxa"/>
            <w:hideMark/>
          </w:tcPr>
          <w:p w14:paraId="06A59B66" w14:textId="22319982" w:rsidR="00CF72D5" w:rsidRPr="002029AF" w:rsidRDefault="00CF72D5" w:rsidP="00C51680">
            <w:pPr>
              <w:pStyle w:val="ARtabletextright"/>
              <w:spacing w:before="40" w:after="20"/>
            </w:pPr>
            <w:r w:rsidRPr="002029AF">
              <w:t>0</w:t>
            </w:r>
          </w:p>
        </w:tc>
        <w:tc>
          <w:tcPr>
            <w:tcW w:w="887" w:type="dxa"/>
            <w:hideMark/>
          </w:tcPr>
          <w:p w14:paraId="1A4748C3" w14:textId="63DAC307" w:rsidR="00CF72D5" w:rsidRPr="002029AF" w:rsidRDefault="00CF72D5" w:rsidP="00C51680">
            <w:pPr>
              <w:pStyle w:val="ARtabletextrightbold"/>
              <w:spacing w:before="40" w:after="20"/>
            </w:pPr>
            <w:r w:rsidRPr="002029AF">
              <w:t>0</w:t>
            </w:r>
          </w:p>
        </w:tc>
      </w:tr>
      <w:tr w:rsidR="00CF72D5" w:rsidRPr="002029AF" w14:paraId="1836F331" w14:textId="77777777" w:rsidTr="00D40FE6">
        <w:tc>
          <w:tcPr>
            <w:tcW w:w="2944" w:type="dxa"/>
            <w:hideMark/>
          </w:tcPr>
          <w:p w14:paraId="2CDCF4B4" w14:textId="4C54679C" w:rsidR="00CF72D5" w:rsidRPr="002029AF" w:rsidRDefault="00CF72D5" w:rsidP="00C51680">
            <w:pPr>
              <w:pStyle w:val="ARtabletext"/>
              <w:spacing w:before="40" w:after="20"/>
            </w:pPr>
            <w:r w:rsidRPr="002029AF">
              <w:t>Royal</w:t>
            </w:r>
            <w:r w:rsidR="000A5329" w:rsidRPr="002029AF">
              <w:t xml:space="preserve"> </w:t>
            </w:r>
            <w:r w:rsidRPr="002029AF">
              <w:t>Victorian</w:t>
            </w:r>
            <w:r w:rsidR="000A5329" w:rsidRPr="002029AF">
              <w:t xml:space="preserve"> </w:t>
            </w:r>
            <w:r w:rsidRPr="002029AF">
              <w:t>Eye</w:t>
            </w:r>
            <w:r w:rsidR="000A5329" w:rsidRPr="002029AF">
              <w:t xml:space="preserve"> </w:t>
            </w:r>
            <w:r w:rsidRPr="002029AF">
              <w:t>and</w:t>
            </w:r>
            <w:r w:rsidR="000A5329" w:rsidRPr="002029AF">
              <w:t xml:space="preserve"> </w:t>
            </w:r>
            <w:r w:rsidRPr="002029AF">
              <w:t>Ear</w:t>
            </w:r>
            <w:r w:rsidR="000A5329" w:rsidRPr="002029AF">
              <w:t xml:space="preserve"> </w:t>
            </w:r>
            <w:r w:rsidRPr="002029AF">
              <w:t>Hospital</w:t>
            </w:r>
          </w:p>
        </w:tc>
        <w:tc>
          <w:tcPr>
            <w:tcW w:w="871" w:type="dxa"/>
            <w:hideMark/>
          </w:tcPr>
          <w:p w14:paraId="33A45DC1" w14:textId="5A78C33A" w:rsidR="00CF72D5" w:rsidRPr="002029AF" w:rsidRDefault="00CF72D5" w:rsidP="00C51680">
            <w:pPr>
              <w:pStyle w:val="ARtabletextright"/>
              <w:spacing w:before="40" w:after="20"/>
            </w:pPr>
            <w:r w:rsidRPr="002029AF">
              <w:t>2</w:t>
            </w:r>
          </w:p>
        </w:tc>
        <w:tc>
          <w:tcPr>
            <w:tcW w:w="886" w:type="dxa"/>
            <w:hideMark/>
          </w:tcPr>
          <w:p w14:paraId="43AD9014" w14:textId="65E6602F" w:rsidR="00CF72D5" w:rsidRPr="002029AF" w:rsidRDefault="00CF72D5" w:rsidP="00C51680">
            <w:pPr>
              <w:pStyle w:val="ARtabletextright"/>
              <w:spacing w:before="40" w:after="20"/>
            </w:pPr>
            <w:r w:rsidRPr="002029AF">
              <w:t>4</w:t>
            </w:r>
          </w:p>
        </w:tc>
        <w:tc>
          <w:tcPr>
            <w:tcW w:w="1021" w:type="dxa"/>
            <w:hideMark/>
          </w:tcPr>
          <w:p w14:paraId="747D165F" w14:textId="5204DC4A" w:rsidR="00CF72D5" w:rsidRPr="002029AF" w:rsidRDefault="00CF72D5" w:rsidP="00C51680">
            <w:pPr>
              <w:pStyle w:val="ARtabletextright"/>
              <w:spacing w:before="40" w:after="20"/>
            </w:pPr>
            <w:r w:rsidRPr="002029AF">
              <w:t>0</w:t>
            </w:r>
          </w:p>
        </w:tc>
        <w:tc>
          <w:tcPr>
            <w:tcW w:w="917" w:type="dxa"/>
            <w:hideMark/>
          </w:tcPr>
          <w:p w14:paraId="7DD022CF" w14:textId="1F83EE55" w:rsidR="00CF72D5" w:rsidRPr="002029AF" w:rsidRDefault="00CF72D5" w:rsidP="00C51680">
            <w:pPr>
              <w:pStyle w:val="ARtabletextrightbold"/>
              <w:spacing w:before="40" w:after="20"/>
            </w:pPr>
            <w:r w:rsidRPr="002029AF">
              <w:t>6</w:t>
            </w:r>
          </w:p>
        </w:tc>
        <w:tc>
          <w:tcPr>
            <w:tcW w:w="887" w:type="dxa"/>
            <w:hideMark/>
          </w:tcPr>
          <w:p w14:paraId="34D45969" w14:textId="235AF87D" w:rsidR="00CF72D5" w:rsidRPr="002029AF" w:rsidRDefault="00CF72D5" w:rsidP="00C51680">
            <w:pPr>
              <w:pStyle w:val="ARtabletextright"/>
              <w:spacing w:before="40" w:after="20"/>
            </w:pPr>
            <w:r w:rsidRPr="002029AF">
              <w:t>1</w:t>
            </w:r>
          </w:p>
        </w:tc>
        <w:tc>
          <w:tcPr>
            <w:tcW w:w="887" w:type="dxa"/>
            <w:hideMark/>
          </w:tcPr>
          <w:p w14:paraId="5176CE83" w14:textId="73FBA36E" w:rsidR="00CF72D5" w:rsidRPr="002029AF" w:rsidRDefault="00CF72D5" w:rsidP="00C51680">
            <w:pPr>
              <w:pStyle w:val="ARtabletextright"/>
              <w:spacing w:before="40" w:after="20"/>
            </w:pPr>
            <w:r w:rsidRPr="002029AF">
              <w:t>4</w:t>
            </w:r>
          </w:p>
        </w:tc>
        <w:tc>
          <w:tcPr>
            <w:tcW w:w="1022" w:type="dxa"/>
            <w:hideMark/>
          </w:tcPr>
          <w:p w14:paraId="55DD485D" w14:textId="17B9B2DE" w:rsidR="00CF72D5" w:rsidRPr="002029AF" w:rsidRDefault="00CF72D5" w:rsidP="00C51680">
            <w:pPr>
              <w:pStyle w:val="ARtabletextright"/>
              <w:spacing w:before="40" w:after="20"/>
            </w:pPr>
            <w:r w:rsidRPr="002029AF">
              <w:t>0</w:t>
            </w:r>
          </w:p>
        </w:tc>
        <w:tc>
          <w:tcPr>
            <w:tcW w:w="902" w:type="dxa"/>
            <w:hideMark/>
          </w:tcPr>
          <w:p w14:paraId="252DEA48" w14:textId="4A0FA486" w:rsidR="00CF72D5" w:rsidRPr="002029AF" w:rsidRDefault="00CF72D5" w:rsidP="00C51680">
            <w:pPr>
              <w:pStyle w:val="ARtabletextrightbold"/>
              <w:spacing w:before="40" w:after="20"/>
            </w:pPr>
            <w:r w:rsidRPr="002029AF">
              <w:t>5</w:t>
            </w:r>
          </w:p>
        </w:tc>
        <w:tc>
          <w:tcPr>
            <w:tcW w:w="872" w:type="dxa"/>
            <w:hideMark/>
          </w:tcPr>
          <w:p w14:paraId="6D81A578" w14:textId="55277328" w:rsidR="00CF72D5" w:rsidRPr="002029AF" w:rsidRDefault="00CF72D5" w:rsidP="00C51680">
            <w:pPr>
              <w:pStyle w:val="ARtabletextright"/>
              <w:spacing w:before="40" w:after="20"/>
            </w:pPr>
            <w:r w:rsidRPr="002029AF">
              <w:t>1</w:t>
            </w:r>
          </w:p>
        </w:tc>
        <w:tc>
          <w:tcPr>
            <w:tcW w:w="887" w:type="dxa"/>
            <w:hideMark/>
          </w:tcPr>
          <w:p w14:paraId="21B5DA37" w14:textId="6579B480" w:rsidR="00CF72D5" w:rsidRPr="002029AF" w:rsidRDefault="00CF72D5" w:rsidP="00C51680">
            <w:pPr>
              <w:pStyle w:val="ARtabletextright"/>
              <w:spacing w:before="40" w:after="20"/>
            </w:pPr>
            <w:r w:rsidRPr="002029AF">
              <w:t>0</w:t>
            </w:r>
          </w:p>
        </w:tc>
        <w:tc>
          <w:tcPr>
            <w:tcW w:w="1022" w:type="dxa"/>
            <w:hideMark/>
          </w:tcPr>
          <w:p w14:paraId="58813FEE" w14:textId="090E6CB8" w:rsidR="00CF72D5" w:rsidRPr="002029AF" w:rsidRDefault="00CF72D5" w:rsidP="00C51680">
            <w:pPr>
              <w:pStyle w:val="ARtabletextright"/>
              <w:spacing w:before="40" w:after="20"/>
            </w:pPr>
            <w:r w:rsidRPr="002029AF">
              <w:t>0</w:t>
            </w:r>
          </w:p>
        </w:tc>
        <w:tc>
          <w:tcPr>
            <w:tcW w:w="887" w:type="dxa"/>
            <w:hideMark/>
          </w:tcPr>
          <w:p w14:paraId="717E6007" w14:textId="096D76A2" w:rsidR="00CF72D5" w:rsidRPr="002029AF" w:rsidRDefault="00CF72D5" w:rsidP="00C51680">
            <w:pPr>
              <w:pStyle w:val="ARtabletextrightbold"/>
              <w:spacing w:before="40" w:after="20"/>
            </w:pPr>
            <w:r w:rsidRPr="002029AF">
              <w:t>1</w:t>
            </w:r>
          </w:p>
        </w:tc>
      </w:tr>
      <w:tr w:rsidR="00CF72D5" w:rsidRPr="002029AF" w14:paraId="43E7DBB7" w14:textId="77777777" w:rsidTr="00D40FE6">
        <w:tc>
          <w:tcPr>
            <w:tcW w:w="2944" w:type="dxa"/>
            <w:hideMark/>
          </w:tcPr>
          <w:p w14:paraId="0F1C6204" w14:textId="343580DA" w:rsidR="00CF72D5" w:rsidRPr="002029AF" w:rsidRDefault="00CF72D5" w:rsidP="00C51680">
            <w:pPr>
              <w:pStyle w:val="ARtabletext"/>
              <w:spacing w:before="40" w:after="20"/>
            </w:pPr>
            <w:r w:rsidRPr="002029AF">
              <w:t>Royal</w:t>
            </w:r>
            <w:r w:rsidR="000A5329" w:rsidRPr="002029AF">
              <w:t xml:space="preserve"> </w:t>
            </w:r>
            <w:r w:rsidRPr="002029AF">
              <w:t>Women</w:t>
            </w:r>
            <w:r w:rsidR="005F298C">
              <w:t>’</w:t>
            </w:r>
            <w:r w:rsidRPr="002029AF">
              <w:t>s</w:t>
            </w:r>
            <w:r w:rsidR="000A5329" w:rsidRPr="002029AF">
              <w:t xml:space="preserve"> </w:t>
            </w:r>
            <w:r w:rsidRPr="002029AF">
              <w:t>Hospital</w:t>
            </w:r>
          </w:p>
        </w:tc>
        <w:tc>
          <w:tcPr>
            <w:tcW w:w="871" w:type="dxa"/>
            <w:hideMark/>
          </w:tcPr>
          <w:p w14:paraId="4EE8E44E" w14:textId="476CE9A3" w:rsidR="00CF72D5" w:rsidRPr="002029AF" w:rsidRDefault="00CF72D5" w:rsidP="00C51680">
            <w:pPr>
              <w:pStyle w:val="ARtabletextright"/>
              <w:spacing w:before="40" w:after="20"/>
            </w:pPr>
            <w:r w:rsidRPr="002029AF">
              <w:t>6</w:t>
            </w:r>
          </w:p>
        </w:tc>
        <w:tc>
          <w:tcPr>
            <w:tcW w:w="886" w:type="dxa"/>
            <w:hideMark/>
          </w:tcPr>
          <w:p w14:paraId="578B6EA8" w14:textId="384BE250" w:rsidR="00CF72D5" w:rsidRPr="002029AF" w:rsidRDefault="00CF72D5" w:rsidP="00C51680">
            <w:pPr>
              <w:pStyle w:val="ARtabletextright"/>
              <w:spacing w:before="40" w:after="20"/>
            </w:pPr>
            <w:r w:rsidRPr="002029AF">
              <w:t>2</w:t>
            </w:r>
          </w:p>
        </w:tc>
        <w:tc>
          <w:tcPr>
            <w:tcW w:w="1021" w:type="dxa"/>
            <w:hideMark/>
          </w:tcPr>
          <w:p w14:paraId="1B211992" w14:textId="5235F792" w:rsidR="00CF72D5" w:rsidRPr="002029AF" w:rsidRDefault="00CF72D5" w:rsidP="00C51680">
            <w:pPr>
              <w:pStyle w:val="ARtabletextright"/>
              <w:spacing w:before="40" w:after="20"/>
            </w:pPr>
            <w:r w:rsidRPr="002029AF">
              <w:t>0</w:t>
            </w:r>
          </w:p>
        </w:tc>
        <w:tc>
          <w:tcPr>
            <w:tcW w:w="917" w:type="dxa"/>
            <w:hideMark/>
          </w:tcPr>
          <w:p w14:paraId="5FDEB726" w14:textId="7B677414" w:rsidR="00CF72D5" w:rsidRPr="002029AF" w:rsidRDefault="00CF72D5" w:rsidP="00C51680">
            <w:pPr>
              <w:pStyle w:val="ARtabletextrightbold"/>
              <w:spacing w:before="40" w:after="20"/>
            </w:pPr>
            <w:r w:rsidRPr="002029AF">
              <w:t>8</w:t>
            </w:r>
          </w:p>
        </w:tc>
        <w:tc>
          <w:tcPr>
            <w:tcW w:w="887" w:type="dxa"/>
            <w:hideMark/>
          </w:tcPr>
          <w:p w14:paraId="7E252716" w14:textId="4ADD0D83" w:rsidR="00CF72D5" w:rsidRPr="002029AF" w:rsidRDefault="00CF72D5" w:rsidP="00C51680">
            <w:pPr>
              <w:pStyle w:val="ARtabletextright"/>
              <w:spacing w:before="40" w:after="20"/>
            </w:pPr>
            <w:r w:rsidRPr="002029AF">
              <w:t>6</w:t>
            </w:r>
          </w:p>
        </w:tc>
        <w:tc>
          <w:tcPr>
            <w:tcW w:w="887" w:type="dxa"/>
            <w:hideMark/>
          </w:tcPr>
          <w:p w14:paraId="7259619D" w14:textId="1D5C4A4F" w:rsidR="00CF72D5" w:rsidRPr="002029AF" w:rsidRDefault="00CF72D5" w:rsidP="00C51680">
            <w:pPr>
              <w:pStyle w:val="ARtabletextright"/>
              <w:spacing w:before="40" w:after="20"/>
            </w:pPr>
            <w:r w:rsidRPr="002029AF">
              <w:t>2</w:t>
            </w:r>
          </w:p>
        </w:tc>
        <w:tc>
          <w:tcPr>
            <w:tcW w:w="1022" w:type="dxa"/>
            <w:hideMark/>
          </w:tcPr>
          <w:p w14:paraId="6A02B028" w14:textId="789B8BDE" w:rsidR="00CF72D5" w:rsidRPr="002029AF" w:rsidRDefault="00CF72D5" w:rsidP="00C51680">
            <w:pPr>
              <w:pStyle w:val="ARtabletextright"/>
              <w:spacing w:before="40" w:after="20"/>
            </w:pPr>
            <w:r w:rsidRPr="002029AF">
              <w:t>0</w:t>
            </w:r>
          </w:p>
        </w:tc>
        <w:tc>
          <w:tcPr>
            <w:tcW w:w="902" w:type="dxa"/>
            <w:hideMark/>
          </w:tcPr>
          <w:p w14:paraId="042CCC92" w14:textId="0251B552" w:rsidR="00CF72D5" w:rsidRPr="002029AF" w:rsidRDefault="00CF72D5" w:rsidP="00C51680">
            <w:pPr>
              <w:pStyle w:val="ARtabletextrightbold"/>
              <w:spacing w:before="40" w:after="20"/>
            </w:pPr>
            <w:r w:rsidRPr="002029AF">
              <w:t>8</w:t>
            </w:r>
          </w:p>
        </w:tc>
        <w:tc>
          <w:tcPr>
            <w:tcW w:w="872" w:type="dxa"/>
            <w:hideMark/>
          </w:tcPr>
          <w:p w14:paraId="45B0AEF1" w14:textId="13A5AD09" w:rsidR="00CF72D5" w:rsidRPr="002029AF" w:rsidRDefault="00CF72D5" w:rsidP="00C51680">
            <w:pPr>
              <w:pStyle w:val="ARtabletextright"/>
              <w:spacing w:before="40" w:after="20"/>
            </w:pPr>
            <w:r w:rsidRPr="002029AF">
              <w:t>0</w:t>
            </w:r>
          </w:p>
        </w:tc>
        <w:tc>
          <w:tcPr>
            <w:tcW w:w="887" w:type="dxa"/>
            <w:hideMark/>
          </w:tcPr>
          <w:p w14:paraId="26342C58" w14:textId="55EBE61F" w:rsidR="00CF72D5" w:rsidRPr="002029AF" w:rsidRDefault="00CF72D5" w:rsidP="00C51680">
            <w:pPr>
              <w:pStyle w:val="ARtabletextright"/>
              <w:spacing w:before="40" w:after="20"/>
            </w:pPr>
            <w:r w:rsidRPr="002029AF">
              <w:t>0</w:t>
            </w:r>
          </w:p>
        </w:tc>
        <w:tc>
          <w:tcPr>
            <w:tcW w:w="1022" w:type="dxa"/>
            <w:hideMark/>
          </w:tcPr>
          <w:p w14:paraId="3A95E8D0" w14:textId="55E8186A" w:rsidR="00CF72D5" w:rsidRPr="002029AF" w:rsidRDefault="00CF72D5" w:rsidP="00C51680">
            <w:pPr>
              <w:pStyle w:val="ARtabletextright"/>
              <w:spacing w:before="40" w:after="20"/>
            </w:pPr>
            <w:r w:rsidRPr="002029AF">
              <w:t>0</w:t>
            </w:r>
          </w:p>
        </w:tc>
        <w:tc>
          <w:tcPr>
            <w:tcW w:w="887" w:type="dxa"/>
            <w:hideMark/>
          </w:tcPr>
          <w:p w14:paraId="241139EC" w14:textId="43FD7C97" w:rsidR="00CF72D5" w:rsidRPr="002029AF" w:rsidRDefault="00CF72D5" w:rsidP="00C51680">
            <w:pPr>
              <w:pStyle w:val="ARtabletextrightbold"/>
              <w:spacing w:before="40" w:after="20"/>
            </w:pPr>
            <w:r w:rsidRPr="002029AF">
              <w:t>0</w:t>
            </w:r>
          </w:p>
        </w:tc>
      </w:tr>
      <w:tr w:rsidR="00CF72D5" w:rsidRPr="002029AF" w14:paraId="28D5BA9A" w14:textId="77777777" w:rsidTr="00D40FE6">
        <w:tc>
          <w:tcPr>
            <w:tcW w:w="2944" w:type="dxa"/>
            <w:hideMark/>
          </w:tcPr>
          <w:p w14:paraId="30E4D22C" w14:textId="6313CF50" w:rsidR="00CF72D5" w:rsidRPr="002029AF" w:rsidRDefault="00CF72D5" w:rsidP="00C51680">
            <w:pPr>
              <w:pStyle w:val="ARtabletext"/>
              <w:spacing w:before="40" w:after="20"/>
            </w:pPr>
            <w:r w:rsidRPr="002029AF">
              <w:t>Rural</w:t>
            </w:r>
            <w:r w:rsidR="000A5329" w:rsidRPr="002029AF">
              <w:t xml:space="preserve"> </w:t>
            </w:r>
            <w:r w:rsidRPr="002029AF">
              <w:t>Northwest</w:t>
            </w:r>
            <w:r w:rsidR="000A5329" w:rsidRPr="002029AF">
              <w:t xml:space="preserve"> </w:t>
            </w:r>
            <w:r w:rsidRPr="002029AF">
              <w:t>Health</w:t>
            </w:r>
          </w:p>
        </w:tc>
        <w:tc>
          <w:tcPr>
            <w:tcW w:w="871" w:type="dxa"/>
            <w:hideMark/>
          </w:tcPr>
          <w:p w14:paraId="555FC1E4" w14:textId="6EA17DC7" w:rsidR="00CF72D5" w:rsidRPr="002029AF" w:rsidRDefault="00CF72D5" w:rsidP="00C51680">
            <w:pPr>
              <w:pStyle w:val="ARtabletextright"/>
              <w:spacing w:before="40" w:after="20"/>
            </w:pPr>
            <w:r w:rsidRPr="002029AF">
              <w:t>0</w:t>
            </w:r>
          </w:p>
        </w:tc>
        <w:tc>
          <w:tcPr>
            <w:tcW w:w="886" w:type="dxa"/>
            <w:hideMark/>
          </w:tcPr>
          <w:p w14:paraId="559E34D9" w14:textId="44631BBA" w:rsidR="00CF72D5" w:rsidRPr="002029AF" w:rsidRDefault="00CF72D5" w:rsidP="00C51680">
            <w:pPr>
              <w:pStyle w:val="ARtabletextright"/>
              <w:spacing w:before="40" w:after="20"/>
            </w:pPr>
            <w:r w:rsidRPr="002029AF">
              <w:t>1</w:t>
            </w:r>
          </w:p>
        </w:tc>
        <w:tc>
          <w:tcPr>
            <w:tcW w:w="1021" w:type="dxa"/>
            <w:hideMark/>
          </w:tcPr>
          <w:p w14:paraId="315E4DB0" w14:textId="292B7FB8" w:rsidR="00CF72D5" w:rsidRPr="002029AF" w:rsidRDefault="00CF72D5" w:rsidP="00C51680">
            <w:pPr>
              <w:pStyle w:val="ARtabletextright"/>
              <w:spacing w:before="40" w:after="20"/>
            </w:pPr>
            <w:r w:rsidRPr="002029AF">
              <w:t>0</w:t>
            </w:r>
          </w:p>
        </w:tc>
        <w:tc>
          <w:tcPr>
            <w:tcW w:w="917" w:type="dxa"/>
            <w:hideMark/>
          </w:tcPr>
          <w:p w14:paraId="09D71F26" w14:textId="04CF84D2" w:rsidR="00CF72D5" w:rsidRPr="002029AF" w:rsidRDefault="00CF72D5" w:rsidP="00C51680">
            <w:pPr>
              <w:pStyle w:val="ARtabletextrightbold"/>
              <w:spacing w:before="40" w:after="20"/>
            </w:pPr>
            <w:r w:rsidRPr="002029AF">
              <w:t>1</w:t>
            </w:r>
          </w:p>
        </w:tc>
        <w:tc>
          <w:tcPr>
            <w:tcW w:w="887" w:type="dxa"/>
            <w:hideMark/>
          </w:tcPr>
          <w:p w14:paraId="1CD2AFDA" w14:textId="28273100" w:rsidR="00CF72D5" w:rsidRPr="002029AF" w:rsidRDefault="00CF72D5" w:rsidP="00C51680">
            <w:pPr>
              <w:pStyle w:val="ARtabletextright"/>
              <w:spacing w:before="40" w:after="20"/>
            </w:pPr>
            <w:r w:rsidRPr="002029AF">
              <w:t>0</w:t>
            </w:r>
          </w:p>
        </w:tc>
        <w:tc>
          <w:tcPr>
            <w:tcW w:w="887" w:type="dxa"/>
            <w:hideMark/>
          </w:tcPr>
          <w:p w14:paraId="59B0F6C4" w14:textId="028F9622" w:rsidR="00CF72D5" w:rsidRPr="002029AF" w:rsidRDefault="00CF72D5" w:rsidP="00C51680">
            <w:pPr>
              <w:pStyle w:val="ARtabletextright"/>
              <w:spacing w:before="40" w:after="20"/>
            </w:pPr>
            <w:r w:rsidRPr="002029AF">
              <w:t>1</w:t>
            </w:r>
          </w:p>
        </w:tc>
        <w:tc>
          <w:tcPr>
            <w:tcW w:w="1022" w:type="dxa"/>
            <w:hideMark/>
          </w:tcPr>
          <w:p w14:paraId="74F79C5C" w14:textId="597F549E" w:rsidR="00CF72D5" w:rsidRPr="002029AF" w:rsidRDefault="00CF72D5" w:rsidP="00C51680">
            <w:pPr>
              <w:pStyle w:val="ARtabletextright"/>
              <w:spacing w:before="40" w:after="20"/>
            </w:pPr>
            <w:r w:rsidRPr="002029AF">
              <w:t>0</w:t>
            </w:r>
          </w:p>
        </w:tc>
        <w:tc>
          <w:tcPr>
            <w:tcW w:w="902" w:type="dxa"/>
            <w:hideMark/>
          </w:tcPr>
          <w:p w14:paraId="5A36697C" w14:textId="04DE0912" w:rsidR="00CF72D5" w:rsidRPr="002029AF" w:rsidRDefault="00CF72D5" w:rsidP="00C51680">
            <w:pPr>
              <w:pStyle w:val="ARtabletextrightbold"/>
              <w:spacing w:before="40" w:after="20"/>
            </w:pPr>
            <w:r w:rsidRPr="002029AF">
              <w:t>1</w:t>
            </w:r>
          </w:p>
        </w:tc>
        <w:tc>
          <w:tcPr>
            <w:tcW w:w="872" w:type="dxa"/>
            <w:hideMark/>
          </w:tcPr>
          <w:p w14:paraId="7479A1D2" w14:textId="550EAF96" w:rsidR="00CF72D5" w:rsidRPr="002029AF" w:rsidRDefault="00CF72D5" w:rsidP="00C51680">
            <w:pPr>
              <w:pStyle w:val="ARtabletextright"/>
              <w:spacing w:before="40" w:after="20"/>
            </w:pPr>
            <w:r w:rsidRPr="002029AF">
              <w:t>0</w:t>
            </w:r>
          </w:p>
        </w:tc>
        <w:tc>
          <w:tcPr>
            <w:tcW w:w="887" w:type="dxa"/>
            <w:hideMark/>
          </w:tcPr>
          <w:p w14:paraId="7941E514" w14:textId="2F72E23D" w:rsidR="00CF72D5" w:rsidRPr="002029AF" w:rsidRDefault="00CF72D5" w:rsidP="00C51680">
            <w:pPr>
              <w:pStyle w:val="ARtabletextright"/>
              <w:spacing w:before="40" w:after="20"/>
            </w:pPr>
            <w:r w:rsidRPr="002029AF">
              <w:t>0</w:t>
            </w:r>
          </w:p>
        </w:tc>
        <w:tc>
          <w:tcPr>
            <w:tcW w:w="1022" w:type="dxa"/>
            <w:hideMark/>
          </w:tcPr>
          <w:p w14:paraId="6FFE30C4" w14:textId="655E0258" w:rsidR="00CF72D5" w:rsidRPr="002029AF" w:rsidRDefault="00CF72D5" w:rsidP="00C51680">
            <w:pPr>
              <w:pStyle w:val="ARtabletextright"/>
              <w:spacing w:before="40" w:after="20"/>
            </w:pPr>
            <w:r w:rsidRPr="002029AF">
              <w:t>0</w:t>
            </w:r>
          </w:p>
        </w:tc>
        <w:tc>
          <w:tcPr>
            <w:tcW w:w="887" w:type="dxa"/>
            <w:hideMark/>
          </w:tcPr>
          <w:p w14:paraId="05A1BCD4" w14:textId="628CCF0C" w:rsidR="00CF72D5" w:rsidRPr="002029AF" w:rsidRDefault="00CF72D5" w:rsidP="00C51680">
            <w:pPr>
              <w:pStyle w:val="ARtabletextrightbold"/>
              <w:spacing w:before="40" w:after="20"/>
            </w:pPr>
            <w:r w:rsidRPr="002029AF">
              <w:t>0</w:t>
            </w:r>
          </w:p>
        </w:tc>
      </w:tr>
      <w:tr w:rsidR="00CF72D5" w:rsidRPr="002029AF" w14:paraId="62FDC928" w14:textId="77777777" w:rsidTr="00D40FE6">
        <w:tc>
          <w:tcPr>
            <w:tcW w:w="2944" w:type="dxa"/>
            <w:hideMark/>
          </w:tcPr>
          <w:p w14:paraId="2A647885" w14:textId="028CC43A" w:rsidR="00CF72D5" w:rsidRPr="002029AF" w:rsidRDefault="00CF72D5" w:rsidP="00C51680">
            <w:pPr>
              <w:pStyle w:val="ARtabletext"/>
              <w:spacing w:before="40" w:after="20"/>
            </w:pPr>
            <w:r w:rsidRPr="002029AF">
              <w:t>Seymour</w:t>
            </w:r>
            <w:r w:rsidR="000A5329" w:rsidRPr="002029AF">
              <w:t xml:space="preserve"> </w:t>
            </w:r>
            <w:r w:rsidRPr="002029AF">
              <w:t>Health</w:t>
            </w:r>
          </w:p>
        </w:tc>
        <w:tc>
          <w:tcPr>
            <w:tcW w:w="871" w:type="dxa"/>
            <w:hideMark/>
          </w:tcPr>
          <w:p w14:paraId="6B70403C" w14:textId="4EEFDA79" w:rsidR="00CF72D5" w:rsidRPr="002029AF" w:rsidRDefault="00CF72D5" w:rsidP="00C51680">
            <w:pPr>
              <w:pStyle w:val="ARtabletextright"/>
              <w:spacing w:before="40" w:after="20"/>
            </w:pPr>
            <w:r w:rsidRPr="002029AF">
              <w:t>0</w:t>
            </w:r>
          </w:p>
        </w:tc>
        <w:tc>
          <w:tcPr>
            <w:tcW w:w="886" w:type="dxa"/>
            <w:hideMark/>
          </w:tcPr>
          <w:p w14:paraId="4C5D274C" w14:textId="629D2900" w:rsidR="00CF72D5" w:rsidRPr="002029AF" w:rsidRDefault="00CF72D5" w:rsidP="00C51680">
            <w:pPr>
              <w:pStyle w:val="ARtabletextright"/>
              <w:spacing w:before="40" w:after="20"/>
            </w:pPr>
            <w:r w:rsidRPr="002029AF">
              <w:t>1</w:t>
            </w:r>
          </w:p>
        </w:tc>
        <w:tc>
          <w:tcPr>
            <w:tcW w:w="1021" w:type="dxa"/>
            <w:hideMark/>
          </w:tcPr>
          <w:p w14:paraId="2CB95EDC" w14:textId="423AC50F" w:rsidR="00CF72D5" w:rsidRPr="002029AF" w:rsidRDefault="00CF72D5" w:rsidP="00C51680">
            <w:pPr>
              <w:pStyle w:val="ARtabletextright"/>
              <w:spacing w:before="40" w:after="20"/>
            </w:pPr>
            <w:r w:rsidRPr="002029AF">
              <w:t>0</w:t>
            </w:r>
          </w:p>
        </w:tc>
        <w:tc>
          <w:tcPr>
            <w:tcW w:w="917" w:type="dxa"/>
            <w:hideMark/>
          </w:tcPr>
          <w:p w14:paraId="5E78E600" w14:textId="63A6A50B" w:rsidR="00CF72D5" w:rsidRPr="002029AF" w:rsidRDefault="00CF72D5" w:rsidP="00C51680">
            <w:pPr>
              <w:pStyle w:val="ARtabletextrightbold"/>
              <w:spacing w:before="40" w:after="20"/>
            </w:pPr>
            <w:r w:rsidRPr="002029AF">
              <w:t>1</w:t>
            </w:r>
          </w:p>
        </w:tc>
        <w:tc>
          <w:tcPr>
            <w:tcW w:w="887" w:type="dxa"/>
            <w:hideMark/>
          </w:tcPr>
          <w:p w14:paraId="5F1C8429" w14:textId="0B16739C" w:rsidR="00CF72D5" w:rsidRPr="002029AF" w:rsidRDefault="00CF72D5" w:rsidP="00C51680">
            <w:pPr>
              <w:pStyle w:val="ARtabletextright"/>
              <w:spacing w:before="40" w:after="20"/>
            </w:pPr>
            <w:r w:rsidRPr="002029AF">
              <w:t>0</w:t>
            </w:r>
          </w:p>
        </w:tc>
        <w:tc>
          <w:tcPr>
            <w:tcW w:w="887" w:type="dxa"/>
            <w:hideMark/>
          </w:tcPr>
          <w:p w14:paraId="640703E4" w14:textId="775DEEA0" w:rsidR="00CF72D5" w:rsidRPr="002029AF" w:rsidRDefault="00CF72D5" w:rsidP="00C51680">
            <w:pPr>
              <w:pStyle w:val="ARtabletextright"/>
              <w:spacing w:before="40" w:after="20"/>
            </w:pPr>
            <w:r w:rsidRPr="002029AF">
              <w:t>1</w:t>
            </w:r>
          </w:p>
        </w:tc>
        <w:tc>
          <w:tcPr>
            <w:tcW w:w="1022" w:type="dxa"/>
            <w:hideMark/>
          </w:tcPr>
          <w:p w14:paraId="7C2D2A5A" w14:textId="699870D9" w:rsidR="00CF72D5" w:rsidRPr="002029AF" w:rsidRDefault="00CF72D5" w:rsidP="00C51680">
            <w:pPr>
              <w:pStyle w:val="ARtabletextright"/>
              <w:spacing w:before="40" w:after="20"/>
            </w:pPr>
            <w:r w:rsidRPr="002029AF">
              <w:t>0</w:t>
            </w:r>
          </w:p>
        </w:tc>
        <w:tc>
          <w:tcPr>
            <w:tcW w:w="902" w:type="dxa"/>
            <w:hideMark/>
          </w:tcPr>
          <w:p w14:paraId="6BBEA771" w14:textId="182E376F" w:rsidR="00CF72D5" w:rsidRPr="002029AF" w:rsidRDefault="00CF72D5" w:rsidP="00C51680">
            <w:pPr>
              <w:pStyle w:val="ARtabletextrightbold"/>
              <w:spacing w:before="40" w:after="20"/>
            </w:pPr>
            <w:r w:rsidRPr="002029AF">
              <w:t>1</w:t>
            </w:r>
          </w:p>
        </w:tc>
        <w:tc>
          <w:tcPr>
            <w:tcW w:w="872" w:type="dxa"/>
            <w:hideMark/>
          </w:tcPr>
          <w:p w14:paraId="0C2A97DC" w14:textId="401167CE" w:rsidR="00CF72D5" w:rsidRPr="002029AF" w:rsidRDefault="00CF72D5" w:rsidP="00C51680">
            <w:pPr>
              <w:pStyle w:val="ARtabletextright"/>
              <w:spacing w:before="40" w:after="20"/>
            </w:pPr>
            <w:r w:rsidRPr="002029AF">
              <w:t>0</w:t>
            </w:r>
          </w:p>
        </w:tc>
        <w:tc>
          <w:tcPr>
            <w:tcW w:w="887" w:type="dxa"/>
            <w:hideMark/>
          </w:tcPr>
          <w:p w14:paraId="5910857F" w14:textId="76C81270" w:rsidR="00CF72D5" w:rsidRPr="002029AF" w:rsidRDefault="00CF72D5" w:rsidP="00C51680">
            <w:pPr>
              <w:pStyle w:val="ARtabletextright"/>
              <w:spacing w:before="40" w:after="20"/>
            </w:pPr>
            <w:r w:rsidRPr="002029AF">
              <w:t>0</w:t>
            </w:r>
          </w:p>
        </w:tc>
        <w:tc>
          <w:tcPr>
            <w:tcW w:w="1022" w:type="dxa"/>
            <w:hideMark/>
          </w:tcPr>
          <w:p w14:paraId="69DE4A47" w14:textId="74785343" w:rsidR="00CF72D5" w:rsidRPr="002029AF" w:rsidRDefault="00CF72D5" w:rsidP="00C51680">
            <w:pPr>
              <w:pStyle w:val="ARtabletextright"/>
              <w:spacing w:before="40" w:after="20"/>
            </w:pPr>
            <w:r w:rsidRPr="002029AF">
              <w:t>0</w:t>
            </w:r>
          </w:p>
        </w:tc>
        <w:tc>
          <w:tcPr>
            <w:tcW w:w="887" w:type="dxa"/>
            <w:hideMark/>
          </w:tcPr>
          <w:p w14:paraId="0FD46A46" w14:textId="471F25DA" w:rsidR="00CF72D5" w:rsidRPr="002029AF" w:rsidRDefault="00CF72D5" w:rsidP="00C51680">
            <w:pPr>
              <w:pStyle w:val="ARtabletextrightbold"/>
              <w:spacing w:before="40" w:after="20"/>
            </w:pPr>
            <w:r w:rsidRPr="002029AF">
              <w:t>0</w:t>
            </w:r>
          </w:p>
        </w:tc>
      </w:tr>
      <w:tr w:rsidR="00CF72D5" w:rsidRPr="002029AF" w14:paraId="3D306830" w14:textId="77777777" w:rsidTr="00D40FE6">
        <w:tc>
          <w:tcPr>
            <w:tcW w:w="2944" w:type="dxa"/>
            <w:hideMark/>
          </w:tcPr>
          <w:p w14:paraId="3D1AF98B" w14:textId="0228DB0A" w:rsidR="00CF72D5" w:rsidRPr="002029AF" w:rsidRDefault="00CF72D5" w:rsidP="00C51680">
            <w:pPr>
              <w:pStyle w:val="ARtabletext"/>
              <w:spacing w:before="40" w:after="20"/>
            </w:pPr>
            <w:r w:rsidRPr="002029AF">
              <w:t>South</w:t>
            </w:r>
            <w:r w:rsidR="000A5329" w:rsidRPr="002029AF">
              <w:t xml:space="preserve"> </w:t>
            </w:r>
            <w:r w:rsidRPr="002029AF">
              <w:t>Gippsland</w:t>
            </w:r>
            <w:r w:rsidR="000A5329" w:rsidRPr="002029AF">
              <w:t xml:space="preserve"> </w:t>
            </w:r>
            <w:r w:rsidRPr="002029AF">
              <w:t>Hospital</w:t>
            </w:r>
          </w:p>
        </w:tc>
        <w:tc>
          <w:tcPr>
            <w:tcW w:w="871" w:type="dxa"/>
            <w:hideMark/>
          </w:tcPr>
          <w:p w14:paraId="4EE4268E" w14:textId="10FC076C" w:rsidR="00CF72D5" w:rsidRPr="002029AF" w:rsidRDefault="00CF72D5" w:rsidP="00C51680">
            <w:pPr>
              <w:pStyle w:val="ARtabletextright"/>
              <w:spacing w:before="40" w:after="20"/>
            </w:pPr>
            <w:r w:rsidRPr="002029AF">
              <w:t>0</w:t>
            </w:r>
          </w:p>
        </w:tc>
        <w:tc>
          <w:tcPr>
            <w:tcW w:w="886" w:type="dxa"/>
            <w:hideMark/>
          </w:tcPr>
          <w:p w14:paraId="21A8065B" w14:textId="2FB56AF0" w:rsidR="00CF72D5" w:rsidRPr="002029AF" w:rsidRDefault="00CF72D5" w:rsidP="00C51680">
            <w:pPr>
              <w:pStyle w:val="ARtabletextright"/>
              <w:spacing w:before="40" w:after="20"/>
            </w:pPr>
            <w:r w:rsidRPr="002029AF">
              <w:t>1</w:t>
            </w:r>
          </w:p>
        </w:tc>
        <w:tc>
          <w:tcPr>
            <w:tcW w:w="1021" w:type="dxa"/>
            <w:hideMark/>
          </w:tcPr>
          <w:p w14:paraId="460892B2" w14:textId="5DD45593" w:rsidR="00CF72D5" w:rsidRPr="002029AF" w:rsidRDefault="00CF72D5" w:rsidP="00C51680">
            <w:pPr>
              <w:pStyle w:val="ARtabletextright"/>
              <w:spacing w:before="40" w:after="20"/>
            </w:pPr>
            <w:r w:rsidRPr="002029AF">
              <w:t>0</w:t>
            </w:r>
          </w:p>
        </w:tc>
        <w:tc>
          <w:tcPr>
            <w:tcW w:w="917" w:type="dxa"/>
            <w:hideMark/>
          </w:tcPr>
          <w:p w14:paraId="51F094FF" w14:textId="35E3C0D2" w:rsidR="00CF72D5" w:rsidRPr="002029AF" w:rsidRDefault="00CF72D5" w:rsidP="00C51680">
            <w:pPr>
              <w:pStyle w:val="ARtabletextrightbold"/>
              <w:spacing w:before="40" w:after="20"/>
            </w:pPr>
            <w:r w:rsidRPr="002029AF">
              <w:t>1</w:t>
            </w:r>
          </w:p>
        </w:tc>
        <w:tc>
          <w:tcPr>
            <w:tcW w:w="887" w:type="dxa"/>
            <w:hideMark/>
          </w:tcPr>
          <w:p w14:paraId="1590EEC7" w14:textId="7D68F8A6" w:rsidR="00CF72D5" w:rsidRPr="002029AF" w:rsidRDefault="00CF72D5" w:rsidP="00C51680">
            <w:pPr>
              <w:pStyle w:val="ARtabletextright"/>
              <w:spacing w:before="40" w:after="20"/>
            </w:pPr>
            <w:r w:rsidRPr="002029AF">
              <w:t>1</w:t>
            </w:r>
          </w:p>
        </w:tc>
        <w:tc>
          <w:tcPr>
            <w:tcW w:w="887" w:type="dxa"/>
            <w:hideMark/>
          </w:tcPr>
          <w:p w14:paraId="74251099" w14:textId="3F17F9A2" w:rsidR="00CF72D5" w:rsidRPr="002029AF" w:rsidRDefault="00CF72D5" w:rsidP="00C51680">
            <w:pPr>
              <w:pStyle w:val="ARtabletextright"/>
              <w:spacing w:before="40" w:after="20"/>
            </w:pPr>
            <w:r w:rsidRPr="002029AF">
              <w:t>0</w:t>
            </w:r>
          </w:p>
        </w:tc>
        <w:tc>
          <w:tcPr>
            <w:tcW w:w="1022" w:type="dxa"/>
            <w:hideMark/>
          </w:tcPr>
          <w:p w14:paraId="4CFAA249" w14:textId="15D0831C" w:rsidR="00CF72D5" w:rsidRPr="002029AF" w:rsidRDefault="00CF72D5" w:rsidP="00C51680">
            <w:pPr>
              <w:pStyle w:val="ARtabletextright"/>
              <w:spacing w:before="40" w:after="20"/>
            </w:pPr>
            <w:r w:rsidRPr="002029AF">
              <w:t>0</w:t>
            </w:r>
          </w:p>
        </w:tc>
        <w:tc>
          <w:tcPr>
            <w:tcW w:w="902" w:type="dxa"/>
            <w:hideMark/>
          </w:tcPr>
          <w:p w14:paraId="4630A927" w14:textId="7B42990B" w:rsidR="00CF72D5" w:rsidRPr="002029AF" w:rsidRDefault="00CF72D5" w:rsidP="00C51680">
            <w:pPr>
              <w:pStyle w:val="ARtabletextrightbold"/>
              <w:spacing w:before="40" w:after="20"/>
            </w:pPr>
            <w:r w:rsidRPr="002029AF">
              <w:t>1</w:t>
            </w:r>
          </w:p>
        </w:tc>
        <w:tc>
          <w:tcPr>
            <w:tcW w:w="872" w:type="dxa"/>
            <w:hideMark/>
          </w:tcPr>
          <w:p w14:paraId="53D626D1" w14:textId="44F62CF6" w:rsidR="00CF72D5" w:rsidRPr="002029AF" w:rsidRDefault="00CF72D5" w:rsidP="00C51680">
            <w:pPr>
              <w:pStyle w:val="ARtabletextright"/>
              <w:spacing w:before="40" w:after="20"/>
            </w:pPr>
            <w:r w:rsidRPr="002029AF">
              <w:t>-1</w:t>
            </w:r>
          </w:p>
        </w:tc>
        <w:tc>
          <w:tcPr>
            <w:tcW w:w="887" w:type="dxa"/>
            <w:hideMark/>
          </w:tcPr>
          <w:p w14:paraId="599BFE1C" w14:textId="3327BDD9" w:rsidR="00CF72D5" w:rsidRPr="002029AF" w:rsidRDefault="00CF72D5" w:rsidP="00C51680">
            <w:pPr>
              <w:pStyle w:val="ARtabletextright"/>
              <w:spacing w:before="40" w:after="20"/>
            </w:pPr>
            <w:r w:rsidRPr="002029AF">
              <w:t>1</w:t>
            </w:r>
          </w:p>
        </w:tc>
        <w:tc>
          <w:tcPr>
            <w:tcW w:w="1022" w:type="dxa"/>
            <w:hideMark/>
          </w:tcPr>
          <w:p w14:paraId="50705E60" w14:textId="16AAF790" w:rsidR="00CF72D5" w:rsidRPr="002029AF" w:rsidRDefault="00CF72D5" w:rsidP="00C51680">
            <w:pPr>
              <w:pStyle w:val="ARtabletextright"/>
              <w:spacing w:before="40" w:after="20"/>
            </w:pPr>
            <w:r w:rsidRPr="002029AF">
              <w:t>0</w:t>
            </w:r>
          </w:p>
        </w:tc>
        <w:tc>
          <w:tcPr>
            <w:tcW w:w="887" w:type="dxa"/>
            <w:hideMark/>
          </w:tcPr>
          <w:p w14:paraId="01E1596D" w14:textId="37E81EF6" w:rsidR="00CF72D5" w:rsidRPr="002029AF" w:rsidRDefault="00CF72D5" w:rsidP="00C51680">
            <w:pPr>
              <w:pStyle w:val="ARtabletextrightbold"/>
              <w:spacing w:before="40" w:after="20"/>
            </w:pPr>
            <w:r w:rsidRPr="002029AF">
              <w:t>0</w:t>
            </w:r>
          </w:p>
        </w:tc>
      </w:tr>
      <w:tr w:rsidR="00CF72D5" w:rsidRPr="002029AF" w14:paraId="41378AEA" w14:textId="77777777" w:rsidTr="00D40FE6">
        <w:tc>
          <w:tcPr>
            <w:tcW w:w="2944" w:type="dxa"/>
            <w:hideMark/>
          </w:tcPr>
          <w:p w14:paraId="0519DF1F" w14:textId="5B3CE39F" w:rsidR="00CF72D5" w:rsidRPr="002029AF" w:rsidRDefault="00CF72D5" w:rsidP="00C51680">
            <w:pPr>
              <w:pStyle w:val="ARtabletext"/>
              <w:spacing w:before="40" w:after="20"/>
            </w:pPr>
            <w:r w:rsidRPr="002029AF">
              <w:t>South</w:t>
            </w:r>
            <w:r w:rsidR="000A5329" w:rsidRPr="002029AF">
              <w:t xml:space="preserve"> </w:t>
            </w:r>
            <w:r w:rsidRPr="002029AF">
              <w:t>West</w:t>
            </w:r>
            <w:r w:rsidR="000A5329" w:rsidRPr="002029AF">
              <w:t xml:space="preserve"> </w:t>
            </w:r>
            <w:r w:rsidRPr="002029AF">
              <w:t>Healthcare</w:t>
            </w:r>
          </w:p>
        </w:tc>
        <w:tc>
          <w:tcPr>
            <w:tcW w:w="871" w:type="dxa"/>
            <w:hideMark/>
          </w:tcPr>
          <w:p w14:paraId="4C915F09" w14:textId="5EF8A06D" w:rsidR="00CF72D5" w:rsidRPr="002029AF" w:rsidRDefault="00CF72D5" w:rsidP="00C51680">
            <w:pPr>
              <w:pStyle w:val="ARtabletextright"/>
              <w:spacing w:before="40" w:after="20"/>
            </w:pPr>
            <w:r w:rsidRPr="002029AF">
              <w:t>2</w:t>
            </w:r>
          </w:p>
        </w:tc>
        <w:tc>
          <w:tcPr>
            <w:tcW w:w="886" w:type="dxa"/>
            <w:hideMark/>
          </w:tcPr>
          <w:p w14:paraId="7FF7ADA3" w14:textId="032F665E" w:rsidR="00CF72D5" w:rsidRPr="002029AF" w:rsidRDefault="00CF72D5" w:rsidP="00C51680">
            <w:pPr>
              <w:pStyle w:val="ARtabletextright"/>
              <w:spacing w:before="40" w:after="20"/>
            </w:pPr>
            <w:r w:rsidRPr="002029AF">
              <w:t>2</w:t>
            </w:r>
          </w:p>
        </w:tc>
        <w:tc>
          <w:tcPr>
            <w:tcW w:w="1021" w:type="dxa"/>
            <w:hideMark/>
          </w:tcPr>
          <w:p w14:paraId="5BCD5075" w14:textId="4C76E5C9" w:rsidR="00CF72D5" w:rsidRPr="002029AF" w:rsidRDefault="00CF72D5" w:rsidP="00C51680">
            <w:pPr>
              <w:pStyle w:val="ARtabletextright"/>
              <w:spacing w:before="40" w:after="20"/>
            </w:pPr>
            <w:r w:rsidRPr="002029AF">
              <w:t>0</w:t>
            </w:r>
          </w:p>
        </w:tc>
        <w:tc>
          <w:tcPr>
            <w:tcW w:w="917" w:type="dxa"/>
            <w:hideMark/>
          </w:tcPr>
          <w:p w14:paraId="6E947749" w14:textId="085A2E5C" w:rsidR="00CF72D5" w:rsidRPr="002029AF" w:rsidRDefault="00CF72D5" w:rsidP="00C51680">
            <w:pPr>
              <w:pStyle w:val="ARtabletextrightbold"/>
              <w:spacing w:before="40" w:after="20"/>
            </w:pPr>
            <w:r w:rsidRPr="002029AF">
              <w:t>4</w:t>
            </w:r>
          </w:p>
        </w:tc>
        <w:tc>
          <w:tcPr>
            <w:tcW w:w="887" w:type="dxa"/>
            <w:hideMark/>
          </w:tcPr>
          <w:p w14:paraId="50B1231B" w14:textId="06B13DD7" w:rsidR="00CF72D5" w:rsidRPr="002029AF" w:rsidRDefault="00CF72D5" w:rsidP="00C51680">
            <w:pPr>
              <w:pStyle w:val="ARtabletextright"/>
              <w:spacing w:before="40" w:after="20"/>
            </w:pPr>
            <w:r w:rsidRPr="002029AF">
              <w:t>0</w:t>
            </w:r>
          </w:p>
        </w:tc>
        <w:tc>
          <w:tcPr>
            <w:tcW w:w="887" w:type="dxa"/>
            <w:hideMark/>
          </w:tcPr>
          <w:p w14:paraId="369C98C1" w14:textId="589E2058" w:rsidR="00CF72D5" w:rsidRPr="002029AF" w:rsidRDefault="00CF72D5" w:rsidP="00C51680">
            <w:pPr>
              <w:pStyle w:val="ARtabletextright"/>
              <w:spacing w:before="40" w:after="20"/>
            </w:pPr>
            <w:r w:rsidRPr="002029AF">
              <w:t>3</w:t>
            </w:r>
          </w:p>
        </w:tc>
        <w:tc>
          <w:tcPr>
            <w:tcW w:w="1022" w:type="dxa"/>
            <w:hideMark/>
          </w:tcPr>
          <w:p w14:paraId="309CE4B4" w14:textId="454BB57F" w:rsidR="00CF72D5" w:rsidRPr="002029AF" w:rsidRDefault="00CF72D5" w:rsidP="00C51680">
            <w:pPr>
              <w:pStyle w:val="ARtabletextright"/>
              <w:spacing w:before="40" w:after="20"/>
            </w:pPr>
            <w:r w:rsidRPr="002029AF">
              <w:t>0</w:t>
            </w:r>
          </w:p>
        </w:tc>
        <w:tc>
          <w:tcPr>
            <w:tcW w:w="902" w:type="dxa"/>
            <w:hideMark/>
          </w:tcPr>
          <w:p w14:paraId="0DFE96E6" w14:textId="047EA7B3" w:rsidR="00CF72D5" w:rsidRPr="002029AF" w:rsidRDefault="00CF72D5" w:rsidP="00C51680">
            <w:pPr>
              <w:pStyle w:val="ARtabletextrightbold"/>
              <w:spacing w:before="40" w:after="20"/>
            </w:pPr>
            <w:r w:rsidRPr="002029AF">
              <w:t>3</w:t>
            </w:r>
          </w:p>
        </w:tc>
        <w:tc>
          <w:tcPr>
            <w:tcW w:w="872" w:type="dxa"/>
            <w:hideMark/>
          </w:tcPr>
          <w:p w14:paraId="7AEFB04C" w14:textId="09F43A59" w:rsidR="00CF72D5" w:rsidRPr="002029AF" w:rsidRDefault="00CF72D5" w:rsidP="00C51680">
            <w:pPr>
              <w:pStyle w:val="ARtabletextright"/>
              <w:spacing w:before="40" w:after="20"/>
            </w:pPr>
            <w:r w:rsidRPr="002029AF">
              <w:t>2</w:t>
            </w:r>
          </w:p>
        </w:tc>
        <w:tc>
          <w:tcPr>
            <w:tcW w:w="887" w:type="dxa"/>
            <w:hideMark/>
          </w:tcPr>
          <w:p w14:paraId="584B3D08" w14:textId="796F2446" w:rsidR="00CF72D5" w:rsidRPr="002029AF" w:rsidRDefault="00CF72D5" w:rsidP="00C51680">
            <w:pPr>
              <w:pStyle w:val="ARtabletextright"/>
              <w:spacing w:before="40" w:after="20"/>
            </w:pPr>
            <w:r w:rsidRPr="002029AF">
              <w:t>-1</w:t>
            </w:r>
          </w:p>
        </w:tc>
        <w:tc>
          <w:tcPr>
            <w:tcW w:w="1022" w:type="dxa"/>
            <w:hideMark/>
          </w:tcPr>
          <w:p w14:paraId="59714BA0" w14:textId="37CF7742" w:rsidR="00CF72D5" w:rsidRPr="002029AF" w:rsidRDefault="00CF72D5" w:rsidP="00C51680">
            <w:pPr>
              <w:pStyle w:val="ARtabletextright"/>
              <w:spacing w:before="40" w:after="20"/>
            </w:pPr>
            <w:r w:rsidRPr="002029AF">
              <w:t>0</w:t>
            </w:r>
          </w:p>
        </w:tc>
        <w:tc>
          <w:tcPr>
            <w:tcW w:w="887" w:type="dxa"/>
            <w:hideMark/>
          </w:tcPr>
          <w:p w14:paraId="6A6F0C4B" w14:textId="2D1EF31F" w:rsidR="00CF72D5" w:rsidRPr="002029AF" w:rsidRDefault="00CF72D5" w:rsidP="00C51680">
            <w:pPr>
              <w:pStyle w:val="ARtabletextrightbold"/>
              <w:spacing w:before="40" w:after="20"/>
            </w:pPr>
            <w:r w:rsidRPr="002029AF">
              <w:t>1</w:t>
            </w:r>
          </w:p>
        </w:tc>
      </w:tr>
      <w:tr w:rsidR="00CF72D5" w:rsidRPr="002029AF" w14:paraId="16278FFB" w14:textId="77777777" w:rsidTr="00D40FE6">
        <w:tc>
          <w:tcPr>
            <w:tcW w:w="2944" w:type="dxa"/>
            <w:hideMark/>
          </w:tcPr>
          <w:p w14:paraId="0AD8FB8B" w14:textId="5D13C023" w:rsidR="00CF72D5" w:rsidRPr="002029AF" w:rsidRDefault="00CF72D5" w:rsidP="00C51680">
            <w:pPr>
              <w:pStyle w:val="ARtabletext"/>
              <w:spacing w:before="40" w:after="20"/>
            </w:pPr>
            <w:r w:rsidRPr="002029AF">
              <w:t>Southern</w:t>
            </w:r>
            <w:r w:rsidR="000A5329" w:rsidRPr="002029AF">
              <w:t xml:space="preserve"> </w:t>
            </w:r>
            <w:r w:rsidRPr="002029AF">
              <w:t>Metropolitan</w:t>
            </w:r>
            <w:r w:rsidR="000A5329" w:rsidRPr="002029AF">
              <w:t xml:space="preserve"> </w:t>
            </w:r>
            <w:r w:rsidRPr="002029AF">
              <w:t>Cemeteries</w:t>
            </w:r>
            <w:r w:rsidR="000A5329" w:rsidRPr="002029AF">
              <w:t xml:space="preserve"> </w:t>
            </w:r>
            <w:r w:rsidRPr="002029AF">
              <w:t>Trust</w:t>
            </w:r>
          </w:p>
        </w:tc>
        <w:tc>
          <w:tcPr>
            <w:tcW w:w="871" w:type="dxa"/>
            <w:hideMark/>
          </w:tcPr>
          <w:p w14:paraId="4136B061" w14:textId="1761C56E" w:rsidR="00CF72D5" w:rsidRPr="002029AF" w:rsidRDefault="00CF72D5" w:rsidP="00C51680">
            <w:pPr>
              <w:pStyle w:val="ARtabletextright"/>
              <w:spacing w:before="40" w:after="20"/>
            </w:pPr>
            <w:r w:rsidRPr="002029AF">
              <w:t>5</w:t>
            </w:r>
          </w:p>
        </w:tc>
        <w:tc>
          <w:tcPr>
            <w:tcW w:w="886" w:type="dxa"/>
            <w:hideMark/>
          </w:tcPr>
          <w:p w14:paraId="6A194B82" w14:textId="1CDFC649" w:rsidR="00CF72D5" w:rsidRPr="002029AF" w:rsidRDefault="00CF72D5" w:rsidP="00C51680">
            <w:pPr>
              <w:pStyle w:val="ARtabletextright"/>
              <w:spacing w:before="40" w:after="20"/>
            </w:pPr>
            <w:r w:rsidRPr="002029AF">
              <w:t>0</w:t>
            </w:r>
          </w:p>
        </w:tc>
        <w:tc>
          <w:tcPr>
            <w:tcW w:w="1021" w:type="dxa"/>
            <w:hideMark/>
          </w:tcPr>
          <w:p w14:paraId="6772A4FF" w14:textId="4FC69045" w:rsidR="00CF72D5" w:rsidRPr="002029AF" w:rsidRDefault="00CF72D5" w:rsidP="00C51680">
            <w:pPr>
              <w:pStyle w:val="ARtabletextright"/>
              <w:spacing w:before="40" w:after="20"/>
            </w:pPr>
            <w:r w:rsidRPr="002029AF">
              <w:t>0</w:t>
            </w:r>
          </w:p>
        </w:tc>
        <w:tc>
          <w:tcPr>
            <w:tcW w:w="917" w:type="dxa"/>
            <w:hideMark/>
          </w:tcPr>
          <w:p w14:paraId="3430C49F" w14:textId="0F999849" w:rsidR="00CF72D5" w:rsidRPr="002029AF" w:rsidRDefault="00CF72D5" w:rsidP="00C51680">
            <w:pPr>
              <w:pStyle w:val="ARtabletextrightbold"/>
              <w:spacing w:before="40" w:after="20"/>
            </w:pPr>
            <w:r w:rsidRPr="002029AF">
              <w:t>5</w:t>
            </w:r>
          </w:p>
        </w:tc>
        <w:tc>
          <w:tcPr>
            <w:tcW w:w="887" w:type="dxa"/>
            <w:hideMark/>
          </w:tcPr>
          <w:p w14:paraId="4DF3D683" w14:textId="1273ED9B" w:rsidR="00CF72D5" w:rsidRPr="002029AF" w:rsidRDefault="00CF72D5" w:rsidP="00C51680">
            <w:pPr>
              <w:pStyle w:val="ARtabletextright"/>
              <w:spacing w:before="40" w:after="20"/>
            </w:pPr>
            <w:r w:rsidRPr="002029AF">
              <w:t>4</w:t>
            </w:r>
          </w:p>
        </w:tc>
        <w:tc>
          <w:tcPr>
            <w:tcW w:w="887" w:type="dxa"/>
            <w:hideMark/>
          </w:tcPr>
          <w:p w14:paraId="1E7935C2" w14:textId="046F18EC" w:rsidR="00CF72D5" w:rsidRPr="002029AF" w:rsidRDefault="00CF72D5" w:rsidP="00C51680">
            <w:pPr>
              <w:pStyle w:val="ARtabletextright"/>
              <w:spacing w:before="40" w:after="20"/>
            </w:pPr>
            <w:r w:rsidRPr="002029AF">
              <w:t>2</w:t>
            </w:r>
          </w:p>
        </w:tc>
        <w:tc>
          <w:tcPr>
            <w:tcW w:w="1022" w:type="dxa"/>
            <w:hideMark/>
          </w:tcPr>
          <w:p w14:paraId="2B1028F9" w14:textId="351BBF65" w:rsidR="00CF72D5" w:rsidRPr="002029AF" w:rsidRDefault="00CF72D5" w:rsidP="00C51680">
            <w:pPr>
              <w:pStyle w:val="ARtabletextright"/>
              <w:spacing w:before="40" w:after="20"/>
            </w:pPr>
            <w:r w:rsidRPr="002029AF">
              <w:t>0</w:t>
            </w:r>
          </w:p>
        </w:tc>
        <w:tc>
          <w:tcPr>
            <w:tcW w:w="902" w:type="dxa"/>
            <w:hideMark/>
          </w:tcPr>
          <w:p w14:paraId="2600959A" w14:textId="048A5F3C" w:rsidR="00CF72D5" w:rsidRPr="002029AF" w:rsidRDefault="00CF72D5" w:rsidP="00C51680">
            <w:pPr>
              <w:pStyle w:val="ARtabletextrightbold"/>
              <w:spacing w:before="40" w:after="20"/>
            </w:pPr>
            <w:r w:rsidRPr="002029AF">
              <w:t>6</w:t>
            </w:r>
          </w:p>
        </w:tc>
        <w:tc>
          <w:tcPr>
            <w:tcW w:w="872" w:type="dxa"/>
            <w:hideMark/>
          </w:tcPr>
          <w:p w14:paraId="7F77F0CF" w14:textId="4B743698" w:rsidR="00CF72D5" w:rsidRPr="002029AF" w:rsidRDefault="00CF72D5" w:rsidP="00C51680">
            <w:pPr>
              <w:pStyle w:val="ARtabletextright"/>
              <w:spacing w:before="40" w:after="20"/>
            </w:pPr>
            <w:r w:rsidRPr="002029AF">
              <w:t>1</w:t>
            </w:r>
          </w:p>
        </w:tc>
        <w:tc>
          <w:tcPr>
            <w:tcW w:w="887" w:type="dxa"/>
            <w:hideMark/>
          </w:tcPr>
          <w:p w14:paraId="375E3A6C" w14:textId="445F4F18" w:rsidR="00CF72D5" w:rsidRPr="002029AF" w:rsidRDefault="00CF72D5" w:rsidP="00C51680">
            <w:pPr>
              <w:pStyle w:val="ARtabletextright"/>
              <w:spacing w:before="40" w:after="20"/>
            </w:pPr>
            <w:r w:rsidRPr="002029AF">
              <w:t>-2</w:t>
            </w:r>
          </w:p>
        </w:tc>
        <w:tc>
          <w:tcPr>
            <w:tcW w:w="1022" w:type="dxa"/>
            <w:hideMark/>
          </w:tcPr>
          <w:p w14:paraId="34F41993" w14:textId="176A1873" w:rsidR="00CF72D5" w:rsidRPr="002029AF" w:rsidRDefault="00CF72D5" w:rsidP="00C51680">
            <w:pPr>
              <w:pStyle w:val="ARtabletextright"/>
              <w:spacing w:before="40" w:after="20"/>
            </w:pPr>
            <w:r w:rsidRPr="002029AF">
              <w:t>0</w:t>
            </w:r>
          </w:p>
        </w:tc>
        <w:tc>
          <w:tcPr>
            <w:tcW w:w="887" w:type="dxa"/>
            <w:hideMark/>
          </w:tcPr>
          <w:p w14:paraId="1385FC2A" w14:textId="5C38A740" w:rsidR="00CF72D5" w:rsidRPr="002029AF" w:rsidRDefault="00CF72D5" w:rsidP="00C51680">
            <w:pPr>
              <w:pStyle w:val="ARtabletextrightbold"/>
              <w:spacing w:before="40" w:after="20"/>
            </w:pPr>
            <w:r w:rsidRPr="002029AF">
              <w:t>-1</w:t>
            </w:r>
          </w:p>
        </w:tc>
      </w:tr>
      <w:tr w:rsidR="00CF72D5" w:rsidRPr="002029AF" w14:paraId="713E4B09" w14:textId="77777777" w:rsidTr="00D40FE6">
        <w:tc>
          <w:tcPr>
            <w:tcW w:w="2944" w:type="dxa"/>
            <w:hideMark/>
          </w:tcPr>
          <w:p w14:paraId="06CB56EB" w14:textId="3927039C" w:rsidR="00CF72D5" w:rsidRPr="002029AF" w:rsidRDefault="00CF72D5" w:rsidP="00C51680">
            <w:pPr>
              <w:pStyle w:val="ARtabletext"/>
              <w:spacing w:before="40" w:after="20"/>
            </w:pPr>
            <w:r w:rsidRPr="002029AF">
              <w:t>Stawell</w:t>
            </w:r>
            <w:r w:rsidR="000A5329" w:rsidRPr="002029AF">
              <w:t xml:space="preserve"> </w:t>
            </w:r>
            <w:r w:rsidRPr="002029AF">
              <w:t>Regional</w:t>
            </w:r>
            <w:r w:rsidR="000A5329" w:rsidRPr="002029AF">
              <w:t xml:space="preserve"> </w:t>
            </w:r>
            <w:r w:rsidRPr="002029AF">
              <w:t>Health</w:t>
            </w:r>
          </w:p>
        </w:tc>
        <w:tc>
          <w:tcPr>
            <w:tcW w:w="871" w:type="dxa"/>
            <w:hideMark/>
          </w:tcPr>
          <w:p w14:paraId="41D23AD4" w14:textId="04753A4A" w:rsidR="00CF72D5" w:rsidRPr="002029AF" w:rsidRDefault="00CF72D5" w:rsidP="00C51680">
            <w:pPr>
              <w:pStyle w:val="ARtabletextright"/>
              <w:spacing w:before="40" w:after="20"/>
            </w:pPr>
            <w:r w:rsidRPr="002029AF">
              <w:t>1</w:t>
            </w:r>
          </w:p>
        </w:tc>
        <w:tc>
          <w:tcPr>
            <w:tcW w:w="886" w:type="dxa"/>
            <w:hideMark/>
          </w:tcPr>
          <w:p w14:paraId="3927BF77" w14:textId="2049DBE9" w:rsidR="00CF72D5" w:rsidRPr="002029AF" w:rsidRDefault="00CF72D5" w:rsidP="00C51680">
            <w:pPr>
              <w:pStyle w:val="ARtabletextright"/>
              <w:spacing w:before="40" w:after="20"/>
            </w:pPr>
            <w:r w:rsidRPr="002029AF">
              <w:t>0</w:t>
            </w:r>
          </w:p>
        </w:tc>
        <w:tc>
          <w:tcPr>
            <w:tcW w:w="1021" w:type="dxa"/>
            <w:hideMark/>
          </w:tcPr>
          <w:p w14:paraId="44E91A03" w14:textId="4C8647DF" w:rsidR="00CF72D5" w:rsidRPr="002029AF" w:rsidRDefault="00CF72D5" w:rsidP="00C51680">
            <w:pPr>
              <w:pStyle w:val="ARtabletextright"/>
              <w:spacing w:before="40" w:after="20"/>
            </w:pPr>
            <w:r w:rsidRPr="002029AF">
              <w:t>0</w:t>
            </w:r>
          </w:p>
        </w:tc>
        <w:tc>
          <w:tcPr>
            <w:tcW w:w="917" w:type="dxa"/>
            <w:hideMark/>
          </w:tcPr>
          <w:p w14:paraId="3D97C081" w14:textId="568001C3" w:rsidR="00CF72D5" w:rsidRPr="002029AF" w:rsidRDefault="00CF72D5" w:rsidP="00C51680">
            <w:pPr>
              <w:pStyle w:val="ARtabletextrightbold"/>
              <w:spacing w:before="40" w:after="20"/>
            </w:pPr>
            <w:r w:rsidRPr="002029AF">
              <w:t>1</w:t>
            </w:r>
          </w:p>
        </w:tc>
        <w:tc>
          <w:tcPr>
            <w:tcW w:w="887" w:type="dxa"/>
            <w:hideMark/>
          </w:tcPr>
          <w:p w14:paraId="01C0DF6C" w14:textId="07D0882F" w:rsidR="00CF72D5" w:rsidRPr="002029AF" w:rsidRDefault="00CF72D5" w:rsidP="00C51680">
            <w:pPr>
              <w:pStyle w:val="ARtabletextright"/>
              <w:spacing w:before="40" w:after="20"/>
            </w:pPr>
            <w:r w:rsidRPr="002029AF">
              <w:t>1</w:t>
            </w:r>
          </w:p>
        </w:tc>
        <w:tc>
          <w:tcPr>
            <w:tcW w:w="887" w:type="dxa"/>
            <w:hideMark/>
          </w:tcPr>
          <w:p w14:paraId="5F47DB71" w14:textId="66052D97" w:rsidR="00CF72D5" w:rsidRPr="002029AF" w:rsidRDefault="00CF72D5" w:rsidP="00C51680">
            <w:pPr>
              <w:pStyle w:val="ARtabletextright"/>
              <w:spacing w:before="40" w:after="20"/>
            </w:pPr>
            <w:r w:rsidRPr="002029AF">
              <w:t>0</w:t>
            </w:r>
          </w:p>
        </w:tc>
        <w:tc>
          <w:tcPr>
            <w:tcW w:w="1022" w:type="dxa"/>
            <w:hideMark/>
          </w:tcPr>
          <w:p w14:paraId="62BA7A82" w14:textId="6FB2F4BC" w:rsidR="00CF72D5" w:rsidRPr="002029AF" w:rsidRDefault="00CF72D5" w:rsidP="00C51680">
            <w:pPr>
              <w:pStyle w:val="ARtabletextright"/>
              <w:spacing w:before="40" w:after="20"/>
            </w:pPr>
            <w:r w:rsidRPr="002029AF">
              <w:t>0</w:t>
            </w:r>
          </w:p>
        </w:tc>
        <w:tc>
          <w:tcPr>
            <w:tcW w:w="902" w:type="dxa"/>
            <w:hideMark/>
          </w:tcPr>
          <w:p w14:paraId="26FAB2C2" w14:textId="3F63CC4E" w:rsidR="00CF72D5" w:rsidRPr="002029AF" w:rsidRDefault="00CF72D5" w:rsidP="00C51680">
            <w:pPr>
              <w:pStyle w:val="ARtabletextrightbold"/>
              <w:spacing w:before="40" w:after="20"/>
            </w:pPr>
            <w:r w:rsidRPr="002029AF">
              <w:t>1</w:t>
            </w:r>
          </w:p>
        </w:tc>
        <w:tc>
          <w:tcPr>
            <w:tcW w:w="872" w:type="dxa"/>
            <w:hideMark/>
          </w:tcPr>
          <w:p w14:paraId="7AA874AB" w14:textId="72A1977C" w:rsidR="00CF72D5" w:rsidRPr="002029AF" w:rsidRDefault="00CF72D5" w:rsidP="00C51680">
            <w:pPr>
              <w:pStyle w:val="ARtabletextright"/>
              <w:spacing w:before="40" w:after="20"/>
            </w:pPr>
            <w:r w:rsidRPr="002029AF">
              <w:t>0</w:t>
            </w:r>
          </w:p>
        </w:tc>
        <w:tc>
          <w:tcPr>
            <w:tcW w:w="887" w:type="dxa"/>
            <w:hideMark/>
          </w:tcPr>
          <w:p w14:paraId="2B90CD2B" w14:textId="3C3D775E" w:rsidR="00CF72D5" w:rsidRPr="002029AF" w:rsidRDefault="00CF72D5" w:rsidP="00C51680">
            <w:pPr>
              <w:pStyle w:val="ARtabletextright"/>
              <w:spacing w:before="40" w:after="20"/>
            </w:pPr>
            <w:r w:rsidRPr="002029AF">
              <w:t>0</w:t>
            </w:r>
          </w:p>
        </w:tc>
        <w:tc>
          <w:tcPr>
            <w:tcW w:w="1022" w:type="dxa"/>
            <w:hideMark/>
          </w:tcPr>
          <w:p w14:paraId="6D1BA6A3" w14:textId="1D192CCA" w:rsidR="00CF72D5" w:rsidRPr="002029AF" w:rsidRDefault="00CF72D5" w:rsidP="00C51680">
            <w:pPr>
              <w:pStyle w:val="ARtabletextright"/>
              <w:spacing w:before="40" w:after="20"/>
            </w:pPr>
            <w:r w:rsidRPr="002029AF">
              <w:t>0</w:t>
            </w:r>
          </w:p>
        </w:tc>
        <w:tc>
          <w:tcPr>
            <w:tcW w:w="887" w:type="dxa"/>
            <w:hideMark/>
          </w:tcPr>
          <w:p w14:paraId="58D4A802" w14:textId="69D7FA7A" w:rsidR="00CF72D5" w:rsidRPr="002029AF" w:rsidRDefault="00CF72D5" w:rsidP="00C51680">
            <w:pPr>
              <w:pStyle w:val="ARtabletextrightbold"/>
              <w:spacing w:before="40" w:after="20"/>
            </w:pPr>
            <w:r w:rsidRPr="002029AF">
              <w:t>0</w:t>
            </w:r>
          </w:p>
        </w:tc>
      </w:tr>
      <w:tr w:rsidR="00CF72D5" w:rsidRPr="002029AF" w14:paraId="0DF6A2DD" w14:textId="77777777" w:rsidTr="00D40FE6">
        <w:tc>
          <w:tcPr>
            <w:tcW w:w="2944" w:type="dxa"/>
            <w:hideMark/>
          </w:tcPr>
          <w:p w14:paraId="7DD19133" w14:textId="74C79995" w:rsidR="00CF72D5" w:rsidRPr="002029AF" w:rsidRDefault="00CF72D5" w:rsidP="00C51680">
            <w:pPr>
              <w:pStyle w:val="ARtabletext"/>
              <w:spacing w:before="40" w:after="20"/>
            </w:pPr>
            <w:r w:rsidRPr="002029AF">
              <w:t>Swan</w:t>
            </w:r>
            <w:r w:rsidR="000A5329" w:rsidRPr="002029AF">
              <w:t xml:space="preserve"> </w:t>
            </w:r>
            <w:r w:rsidRPr="002029AF">
              <w:t>Hill</w:t>
            </w:r>
            <w:r w:rsidR="000A5329" w:rsidRPr="002029AF">
              <w:t xml:space="preserve"> </w:t>
            </w:r>
            <w:r w:rsidRPr="002029AF">
              <w:t>District</w:t>
            </w:r>
            <w:r w:rsidR="000A5329" w:rsidRPr="002029AF">
              <w:t xml:space="preserve"> </w:t>
            </w:r>
            <w:r w:rsidRPr="002029AF">
              <w:t>Health</w:t>
            </w:r>
          </w:p>
        </w:tc>
        <w:tc>
          <w:tcPr>
            <w:tcW w:w="871" w:type="dxa"/>
            <w:hideMark/>
          </w:tcPr>
          <w:p w14:paraId="6BBC5852" w14:textId="1DB103E6" w:rsidR="00CF72D5" w:rsidRPr="002029AF" w:rsidRDefault="00CF72D5" w:rsidP="00C51680">
            <w:pPr>
              <w:pStyle w:val="ARtabletextright"/>
              <w:spacing w:before="40" w:after="20"/>
            </w:pPr>
            <w:r w:rsidRPr="002029AF">
              <w:t>0</w:t>
            </w:r>
          </w:p>
        </w:tc>
        <w:tc>
          <w:tcPr>
            <w:tcW w:w="886" w:type="dxa"/>
            <w:hideMark/>
          </w:tcPr>
          <w:p w14:paraId="3395394D" w14:textId="2AEF3F69" w:rsidR="00CF72D5" w:rsidRPr="002029AF" w:rsidRDefault="00CF72D5" w:rsidP="00C51680">
            <w:pPr>
              <w:pStyle w:val="ARtabletextright"/>
              <w:spacing w:before="40" w:after="20"/>
            </w:pPr>
            <w:r w:rsidRPr="002029AF">
              <w:t>2</w:t>
            </w:r>
          </w:p>
        </w:tc>
        <w:tc>
          <w:tcPr>
            <w:tcW w:w="1021" w:type="dxa"/>
            <w:hideMark/>
          </w:tcPr>
          <w:p w14:paraId="7EC40E05" w14:textId="3760631B" w:rsidR="00CF72D5" w:rsidRPr="002029AF" w:rsidRDefault="00CF72D5" w:rsidP="00C51680">
            <w:pPr>
              <w:pStyle w:val="ARtabletextright"/>
              <w:spacing w:before="40" w:after="20"/>
            </w:pPr>
            <w:r w:rsidRPr="002029AF">
              <w:t>0</w:t>
            </w:r>
          </w:p>
        </w:tc>
        <w:tc>
          <w:tcPr>
            <w:tcW w:w="917" w:type="dxa"/>
            <w:hideMark/>
          </w:tcPr>
          <w:p w14:paraId="425AC7DC" w14:textId="07C6D2FC" w:rsidR="00CF72D5" w:rsidRPr="002029AF" w:rsidRDefault="00CF72D5" w:rsidP="00C51680">
            <w:pPr>
              <w:pStyle w:val="ARtabletextrightbold"/>
              <w:spacing w:before="40" w:after="20"/>
            </w:pPr>
            <w:r w:rsidRPr="002029AF">
              <w:t>2</w:t>
            </w:r>
          </w:p>
        </w:tc>
        <w:tc>
          <w:tcPr>
            <w:tcW w:w="887" w:type="dxa"/>
            <w:hideMark/>
          </w:tcPr>
          <w:p w14:paraId="2FB20815" w14:textId="7198CEA8" w:rsidR="00CF72D5" w:rsidRPr="002029AF" w:rsidRDefault="00CF72D5" w:rsidP="00C51680">
            <w:pPr>
              <w:pStyle w:val="ARtabletextright"/>
              <w:spacing w:before="40" w:after="20"/>
            </w:pPr>
            <w:r w:rsidRPr="002029AF">
              <w:t>1</w:t>
            </w:r>
          </w:p>
        </w:tc>
        <w:tc>
          <w:tcPr>
            <w:tcW w:w="887" w:type="dxa"/>
            <w:hideMark/>
          </w:tcPr>
          <w:p w14:paraId="5BECDA34" w14:textId="0E3CFD51" w:rsidR="00CF72D5" w:rsidRPr="002029AF" w:rsidRDefault="00CF72D5" w:rsidP="00C51680">
            <w:pPr>
              <w:pStyle w:val="ARtabletextright"/>
              <w:spacing w:before="40" w:after="20"/>
            </w:pPr>
            <w:r w:rsidRPr="002029AF">
              <w:t>4</w:t>
            </w:r>
          </w:p>
        </w:tc>
        <w:tc>
          <w:tcPr>
            <w:tcW w:w="1022" w:type="dxa"/>
            <w:hideMark/>
          </w:tcPr>
          <w:p w14:paraId="287BEF28" w14:textId="54CED0AF" w:rsidR="00CF72D5" w:rsidRPr="002029AF" w:rsidRDefault="00CF72D5" w:rsidP="00C51680">
            <w:pPr>
              <w:pStyle w:val="ARtabletextright"/>
              <w:spacing w:before="40" w:after="20"/>
            </w:pPr>
            <w:r w:rsidRPr="002029AF">
              <w:t>0</w:t>
            </w:r>
          </w:p>
        </w:tc>
        <w:tc>
          <w:tcPr>
            <w:tcW w:w="902" w:type="dxa"/>
            <w:hideMark/>
          </w:tcPr>
          <w:p w14:paraId="3592AB72" w14:textId="1D28B5A0" w:rsidR="00CF72D5" w:rsidRPr="002029AF" w:rsidRDefault="00CF72D5" w:rsidP="00C51680">
            <w:pPr>
              <w:pStyle w:val="ARtabletextrightbold"/>
              <w:spacing w:before="40" w:after="20"/>
            </w:pPr>
            <w:r w:rsidRPr="002029AF">
              <w:t>5</w:t>
            </w:r>
          </w:p>
        </w:tc>
        <w:tc>
          <w:tcPr>
            <w:tcW w:w="872" w:type="dxa"/>
            <w:hideMark/>
          </w:tcPr>
          <w:p w14:paraId="56C80D0E" w14:textId="3DCC6BC1" w:rsidR="00CF72D5" w:rsidRPr="002029AF" w:rsidRDefault="00CF72D5" w:rsidP="00C51680">
            <w:pPr>
              <w:pStyle w:val="ARtabletextright"/>
              <w:spacing w:before="40" w:after="20"/>
            </w:pPr>
            <w:r w:rsidRPr="002029AF">
              <w:t>-1</w:t>
            </w:r>
          </w:p>
        </w:tc>
        <w:tc>
          <w:tcPr>
            <w:tcW w:w="887" w:type="dxa"/>
            <w:hideMark/>
          </w:tcPr>
          <w:p w14:paraId="53A9A75A" w14:textId="664EA088" w:rsidR="00CF72D5" w:rsidRPr="002029AF" w:rsidRDefault="00CF72D5" w:rsidP="00C51680">
            <w:pPr>
              <w:pStyle w:val="ARtabletextright"/>
              <w:spacing w:before="40" w:after="20"/>
            </w:pPr>
            <w:r w:rsidRPr="002029AF">
              <w:t>-2</w:t>
            </w:r>
          </w:p>
        </w:tc>
        <w:tc>
          <w:tcPr>
            <w:tcW w:w="1022" w:type="dxa"/>
            <w:hideMark/>
          </w:tcPr>
          <w:p w14:paraId="2E861CA9" w14:textId="71715DF1" w:rsidR="00CF72D5" w:rsidRPr="002029AF" w:rsidRDefault="00CF72D5" w:rsidP="00C51680">
            <w:pPr>
              <w:pStyle w:val="ARtabletextright"/>
              <w:spacing w:before="40" w:after="20"/>
            </w:pPr>
            <w:r w:rsidRPr="002029AF">
              <w:t>0</w:t>
            </w:r>
          </w:p>
        </w:tc>
        <w:tc>
          <w:tcPr>
            <w:tcW w:w="887" w:type="dxa"/>
            <w:hideMark/>
          </w:tcPr>
          <w:p w14:paraId="6A0647A0" w14:textId="252DCCE8" w:rsidR="00CF72D5" w:rsidRPr="002029AF" w:rsidRDefault="00CF72D5" w:rsidP="00C51680">
            <w:pPr>
              <w:pStyle w:val="ARtabletextrightbold"/>
              <w:spacing w:before="40" w:after="20"/>
            </w:pPr>
            <w:r w:rsidRPr="002029AF">
              <w:t>-3</w:t>
            </w:r>
          </w:p>
        </w:tc>
      </w:tr>
      <w:tr w:rsidR="00CF72D5" w:rsidRPr="002029AF" w14:paraId="1C4D632A" w14:textId="77777777" w:rsidTr="00D40FE6">
        <w:tc>
          <w:tcPr>
            <w:tcW w:w="2944" w:type="dxa"/>
            <w:hideMark/>
          </w:tcPr>
          <w:p w14:paraId="49D2B4AD" w14:textId="400E95AA" w:rsidR="00CF72D5" w:rsidRPr="002029AF" w:rsidRDefault="00CF72D5" w:rsidP="00C51680">
            <w:pPr>
              <w:pStyle w:val="ARtabletext"/>
              <w:spacing w:before="40" w:after="20"/>
            </w:pPr>
            <w:r w:rsidRPr="002029AF">
              <w:t>Tallangatta</w:t>
            </w:r>
            <w:r w:rsidR="000A5329" w:rsidRPr="002029AF">
              <w:t xml:space="preserve"> </w:t>
            </w:r>
            <w:r w:rsidRPr="002029AF">
              <w:t>Health</w:t>
            </w:r>
            <w:r w:rsidR="000A5329" w:rsidRPr="002029AF">
              <w:t xml:space="preserve"> </w:t>
            </w:r>
            <w:r w:rsidRPr="002029AF">
              <w:t>Service</w:t>
            </w:r>
          </w:p>
        </w:tc>
        <w:tc>
          <w:tcPr>
            <w:tcW w:w="871" w:type="dxa"/>
            <w:hideMark/>
          </w:tcPr>
          <w:p w14:paraId="336A3A1F" w14:textId="691A988D" w:rsidR="00CF72D5" w:rsidRPr="002029AF" w:rsidRDefault="00CF72D5" w:rsidP="00C51680">
            <w:pPr>
              <w:pStyle w:val="ARtabletextright"/>
              <w:spacing w:before="40" w:after="20"/>
            </w:pPr>
            <w:r w:rsidRPr="002029AF">
              <w:t>1</w:t>
            </w:r>
          </w:p>
        </w:tc>
        <w:tc>
          <w:tcPr>
            <w:tcW w:w="886" w:type="dxa"/>
            <w:hideMark/>
          </w:tcPr>
          <w:p w14:paraId="0D4498F9" w14:textId="3C5B42DF" w:rsidR="00CF72D5" w:rsidRPr="002029AF" w:rsidRDefault="00CF72D5" w:rsidP="00C51680">
            <w:pPr>
              <w:pStyle w:val="ARtabletextright"/>
              <w:spacing w:before="40" w:after="20"/>
            </w:pPr>
            <w:r w:rsidRPr="002029AF">
              <w:t>0</w:t>
            </w:r>
          </w:p>
        </w:tc>
        <w:tc>
          <w:tcPr>
            <w:tcW w:w="1021" w:type="dxa"/>
            <w:hideMark/>
          </w:tcPr>
          <w:p w14:paraId="1BAD368A" w14:textId="14214333" w:rsidR="00CF72D5" w:rsidRPr="002029AF" w:rsidRDefault="00CF72D5" w:rsidP="00C51680">
            <w:pPr>
              <w:pStyle w:val="ARtabletextright"/>
              <w:spacing w:before="40" w:after="20"/>
            </w:pPr>
            <w:r w:rsidRPr="002029AF">
              <w:t>0</w:t>
            </w:r>
          </w:p>
        </w:tc>
        <w:tc>
          <w:tcPr>
            <w:tcW w:w="917" w:type="dxa"/>
            <w:hideMark/>
          </w:tcPr>
          <w:p w14:paraId="5F121ACE" w14:textId="5B1BBB5D" w:rsidR="00CF72D5" w:rsidRPr="002029AF" w:rsidRDefault="00CF72D5" w:rsidP="00C51680">
            <w:pPr>
              <w:pStyle w:val="ARtabletextrightbold"/>
              <w:spacing w:before="40" w:after="20"/>
            </w:pPr>
            <w:r w:rsidRPr="002029AF">
              <w:t>1</w:t>
            </w:r>
          </w:p>
        </w:tc>
        <w:tc>
          <w:tcPr>
            <w:tcW w:w="887" w:type="dxa"/>
            <w:hideMark/>
          </w:tcPr>
          <w:p w14:paraId="549B4666" w14:textId="51EFD5B2" w:rsidR="00CF72D5" w:rsidRPr="002029AF" w:rsidRDefault="00CF72D5" w:rsidP="00C51680">
            <w:pPr>
              <w:pStyle w:val="ARtabletextright"/>
              <w:spacing w:before="40" w:after="20"/>
            </w:pPr>
            <w:r w:rsidRPr="002029AF">
              <w:t>1</w:t>
            </w:r>
          </w:p>
        </w:tc>
        <w:tc>
          <w:tcPr>
            <w:tcW w:w="887" w:type="dxa"/>
            <w:hideMark/>
          </w:tcPr>
          <w:p w14:paraId="63E890AB" w14:textId="78E5F19E" w:rsidR="00CF72D5" w:rsidRPr="002029AF" w:rsidRDefault="00CF72D5" w:rsidP="00C51680">
            <w:pPr>
              <w:pStyle w:val="ARtabletextright"/>
              <w:spacing w:before="40" w:after="20"/>
            </w:pPr>
            <w:r w:rsidRPr="002029AF">
              <w:t>0</w:t>
            </w:r>
          </w:p>
        </w:tc>
        <w:tc>
          <w:tcPr>
            <w:tcW w:w="1022" w:type="dxa"/>
            <w:hideMark/>
          </w:tcPr>
          <w:p w14:paraId="6C02D340" w14:textId="28732014" w:rsidR="00CF72D5" w:rsidRPr="002029AF" w:rsidRDefault="00CF72D5" w:rsidP="00C51680">
            <w:pPr>
              <w:pStyle w:val="ARtabletextright"/>
              <w:spacing w:before="40" w:after="20"/>
            </w:pPr>
            <w:r w:rsidRPr="002029AF">
              <w:t>0</w:t>
            </w:r>
          </w:p>
        </w:tc>
        <w:tc>
          <w:tcPr>
            <w:tcW w:w="902" w:type="dxa"/>
            <w:hideMark/>
          </w:tcPr>
          <w:p w14:paraId="436F2401" w14:textId="63A26579" w:rsidR="00CF72D5" w:rsidRPr="002029AF" w:rsidRDefault="00CF72D5" w:rsidP="00C51680">
            <w:pPr>
              <w:pStyle w:val="ARtabletextrightbold"/>
              <w:spacing w:before="40" w:after="20"/>
            </w:pPr>
            <w:r w:rsidRPr="002029AF">
              <w:t>1</w:t>
            </w:r>
          </w:p>
        </w:tc>
        <w:tc>
          <w:tcPr>
            <w:tcW w:w="872" w:type="dxa"/>
            <w:hideMark/>
          </w:tcPr>
          <w:p w14:paraId="19C5079E" w14:textId="681BB45D" w:rsidR="00CF72D5" w:rsidRPr="002029AF" w:rsidRDefault="00CF72D5" w:rsidP="00C51680">
            <w:pPr>
              <w:pStyle w:val="ARtabletextright"/>
              <w:spacing w:before="40" w:after="20"/>
            </w:pPr>
            <w:r w:rsidRPr="002029AF">
              <w:t>0</w:t>
            </w:r>
          </w:p>
        </w:tc>
        <w:tc>
          <w:tcPr>
            <w:tcW w:w="887" w:type="dxa"/>
            <w:hideMark/>
          </w:tcPr>
          <w:p w14:paraId="36C1F64A" w14:textId="09E332B9" w:rsidR="00CF72D5" w:rsidRPr="002029AF" w:rsidRDefault="00CF72D5" w:rsidP="00C51680">
            <w:pPr>
              <w:pStyle w:val="ARtabletextright"/>
              <w:spacing w:before="40" w:after="20"/>
            </w:pPr>
            <w:r w:rsidRPr="002029AF">
              <w:t>0</w:t>
            </w:r>
          </w:p>
        </w:tc>
        <w:tc>
          <w:tcPr>
            <w:tcW w:w="1022" w:type="dxa"/>
            <w:hideMark/>
          </w:tcPr>
          <w:p w14:paraId="4A125012" w14:textId="6C1D9C00" w:rsidR="00CF72D5" w:rsidRPr="002029AF" w:rsidRDefault="00CF72D5" w:rsidP="00C51680">
            <w:pPr>
              <w:pStyle w:val="ARtabletextright"/>
              <w:spacing w:before="40" w:after="20"/>
            </w:pPr>
            <w:r w:rsidRPr="002029AF">
              <w:t>0</w:t>
            </w:r>
          </w:p>
        </w:tc>
        <w:tc>
          <w:tcPr>
            <w:tcW w:w="887" w:type="dxa"/>
            <w:hideMark/>
          </w:tcPr>
          <w:p w14:paraId="3B969E8D" w14:textId="46F6A010" w:rsidR="00CF72D5" w:rsidRPr="002029AF" w:rsidRDefault="00CF72D5" w:rsidP="00C51680">
            <w:pPr>
              <w:pStyle w:val="ARtabletextrightbold"/>
              <w:spacing w:before="40" w:after="20"/>
            </w:pPr>
            <w:r w:rsidRPr="002029AF">
              <w:t>0</w:t>
            </w:r>
          </w:p>
        </w:tc>
      </w:tr>
      <w:tr w:rsidR="00CF72D5" w:rsidRPr="002029AF" w14:paraId="1467CFC4" w14:textId="77777777" w:rsidTr="00D40FE6">
        <w:tc>
          <w:tcPr>
            <w:tcW w:w="2944" w:type="dxa"/>
            <w:hideMark/>
          </w:tcPr>
          <w:p w14:paraId="5FE1F0DD" w14:textId="0F1ABA7E" w:rsidR="00CF72D5" w:rsidRPr="002029AF" w:rsidRDefault="00CF72D5" w:rsidP="00C51680">
            <w:pPr>
              <w:pStyle w:val="ARtabletext"/>
              <w:spacing w:before="40" w:after="20"/>
            </w:pPr>
            <w:r w:rsidRPr="002029AF">
              <w:t>Terang</w:t>
            </w:r>
            <w:r w:rsidR="000A5329" w:rsidRPr="002029AF">
              <w:t xml:space="preserve"> </w:t>
            </w:r>
            <w:r w:rsidRPr="002029AF">
              <w:t>and</w:t>
            </w:r>
            <w:r w:rsidR="000A5329" w:rsidRPr="002029AF">
              <w:t xml:space="preserve"> </w:t>
            </w:r>
            <w:r w:rsidRPr="002029AF">
              <w:t>Mortlake</w:t>
            </w:r>
            <w:r w:rsidR="000A5329" w:rsidRPr="002029AF">
              <w:t xml:space="preserve"> </w:t>
            </w:r>
            <w:r w:rsidRPr="002029AF">
              <w:t>Health</w:t>
            </w:r>
            <w:r w:rsidR="000A5329" w:rsidRPr="002029AF">
              <w:t xml:space="preserve"> </w:t>
            </w:r>
            <w:r w:rsidRPr="002029AF">
              <w:t>Service</w:t>
            </w:r>
          </w:p>
        </w:tc>
        <w:tc>
          <w:tcPr>
            <w:tcW w:w="871" w:type="dxa"/>
            <w:hideMark/>
          </w:tcPr>
          <w:p w14:paraId="79E2275F" w14:textId="7E676D96" w:rsidR="00CF72D5" w:rsidRPr="002029AF" w:rsidRDefault="00CF72D5" w:rsidP="00C51680">
            <w:pPr>
              <w:pStyle w:val="ARtabletextright"/>
              <w:spacing w:before="40" w:after="20"/>
            </w:pPr>
            <w:r w:rsidRPr="002029AF">
              <w:t>1</w:t>
            </w:r>
          </w:p>
        </w:tc>
        <w:tc>
          <w:tcPr>
            <w:tcW w:w="886" w:type="dxa"/>
            <w:hideMark/>
          </w:tcPr>
          <w:p w14:paraId="740D6696" w14:textId="60E40349" w:rsidR="00CF72D5" w:rsidRPr="002029AF" w:rsidRDefault="00CF72D5" w:rsidP="00C51680">
            <w:pPr>
              <w:pStyle w:val="ARtabletextright"/>
              <w:spacing w:before="40" w:after="20"/>
            </w:pPr>
            <w:r w:rsidRPr="002029AF">
              <w:t>0</w:t>
            </w:r>
          </w:p>
        </w:tc>
        <w:tc>
          <w:tcPr>
            <w:tcW w:w="1021" w:type="dxa"/>
            <w:hideMark/>
          </w:tcPr>
          <w:p w14:paraId="41258B18" w14:textId="265EE1A9" w:rsidR="00CF72D5" w:rsidRPr="002029AF" w:rsidRDefault="00CF72D5" w:rsidP="00C51680">
            <w:pPr>
              <w:pStyle w:val="ARtabletextright"/>
              <w:spacing w:before="40" w:after="20"/>
            </w:pPr>
            <w:r w:rsidRPr="002029AF">
              <w:t>0</w:t>
            </w:r>
          </w:p>
        </w:tc>
        <w:tc>
          <w:tcPr>
            <w:tcW w:w="917" w:type="dxa"/>
            <w:hideMark/>
          </w:tcPr>
          <w:p w14:paraId="5855E245" w14:textId="2103D794" w:rsidR="00CF72D5" w:rsidRPr="002029AF" w:rsidRDefault="00CF72D5" w:rsidP="00C51680">
            <w:pPr>
              <w:pStyle w:val="ARtabletextrightbold"/>
              <w:spacing w:before="40" w:after="20"/>
            </w:pPr>
            <w:r w:rsidRPr="002029AF">
              <w:t>1</w:t>
            </w:r>
          </w:p>
        </w:tc>
        <w:tc>
          <w:tcPr>
            <w:tcW w:w="887" w:type="dxa"/>
            <w:hideMark/>
          </w:tcPr>
          <w:p w14:paraId="71D66700" w14:textId="2B7211AC" w:rsidR="00CF72D5" w:rsidRPr="002029AF" w:rsidRDefault="00CF72D5" w:rsidP="00C51680">
            <w:pPr>
              <w:pStyle w:val="ARtabletextright"/>
              <w:spacing w:before="40" w:after="20"/>
            </w:pPr>
            <w:r w:rsidRPr="002029AF">
              <w:t>1</w:t>
            </w:r>
          </w:p>
        </w:tc>
        <w:tc>
          <w:tcPr>
            <w:tcW w:w="887" w:type="dxa"/>
            <w:hideMark/>
          </w:tcPr>
          <w:p w14:paraId="493A6775" w14:textId="521CC335" w:rsidR="00CF72D5" w:rsidRPr="002029AF" w:rsidRDefault="00CF72D5" w:rsidP="00C51680">
            <w:pPr>
              <w:pStyle w:val="ARtabletextright"/>
              <w:spacing w:before="40" w:after="20"/>
            </w:pPr>
            <w:r w:rsidRPr="002029AF">
              <w:t>0</w:t>
            </w:r>
          </w:p>
        </w:tc>
        <w:tc>
          <w:tcPr>
            <w:tcW w:w="1022" w:type="dxa"/>
            <w:hideMark/>
          </w:tcPr>
          <w:p w14:paraId="609FC21A" w14:textId="3479AC49" w:rsidR="00CF72D5" w:rsidRPr="002029AF" w:rsidRDefault="00CF72D5" w:rsidP="00C51680">
            <w:pPr>
              <w:pStyle w:val="ARtabletextright"/>
              <w:spacing w:before="40" w:after="20"/>
            </w:pPr>
            <w:r w:rsidRPr="002029AF">
              <w:t>0</w:t>
            </w:r>
          </w:p>
        </w:tc>
        <w:tc>
          <w:tcPr>
            <w:tcW w:w="902" w:type="dxa"/>
            <w:hideMark/>
          </w:tcPr>
          <w:p w14:paraId="6BE64E0A" w14:textId="3AD332CE" w:rsidR="00CF72D5" w:rsidRPr="002029AF" w:rsidRDefault="00CF72D5" w:rsidP="00C51680">
            <w:pPr>
              <w:pStyle w:val="ARtabletextrightbold"/>
              <w:spacing w:before="40" w:after="20"/>
            </w:pPr>
            <w:r w:rsidRPr="002029AF">
              <w:t>1</w:t>
            </w:r>
          </w:p>
        </w:tc>
        <w:tc>
          <w:tcPr>
            <w:tcW w:w="872" w:type="dxa"/>
            <w:hideMark/>
          </w:tcPr>
          <w:p w14:paraId="7D4CB35D" w14:textId="5350CAD9" w:rsidR="00CF72D5" w:rsidRPr="002029AF" w:rsidRDefault="00CF72D5" w:rsidP="00C51680">
            <w:pPr>
              <w:pStyle w:val="ARtabletextright"/>
              <w:spacing w:before="40" w:after="20"/>
            </w:pPr>
            <w:r w:rsidRPr="002029AF">
              <w:t>0</w:t>
            </w:r>
          </w:p>
        </w:tc>
        <w:tc>
          <w:tcPr>
            <w:tcW w:w="887" w:type="dxa"/>
            <w:hideMark/>
          </w:tcPr>
          <w:p w14:paraId="0289FFFC" w14:textId="5D82C1A5" w:rsidR="00CF72D5" w:rsidRPr="002029AF" w:rsidRDefault="00CF72D5" w:rsidP="00C51680">
            <w:pPr>
              <w:pStyle w:val="ARtabletextright"/>
              <w:spacing w:before="40" w:after="20"/>
            </w:pPr>
            <w:r w:rsidRPr="002029AF">
              <w:t>0</w:t>
            </w:r>
          </w:p>
        </w:tc>
        <w:tc>
          <w:tcPr>
            <w:tcW w:w="1022" w:type="dxa"/>
            <w:hideMark/>
          </w:tcPr>
          <w:p w14:paraId="032E0A24" w14:textId="7C4BB679" w:rsidR="00CF72D5" w:rsidRPr="002029AF" w:rsidRDefault="00CF72D5" w:rsidP="00C51680">
            <w:pPr>
              <w:pStyle w:val="ARtabletextright"/>
              <w:spacing w:before="40" w:after="20"/>
            </w:pPr>
            <w:r w:rsidRPr="002029AF">
              <w:t>0</w:t>
            </w:r>
          </w:p>
        </w:tc>
        <w:tc>
          <w:tcPr>
            <w:tcW w:w="887" w:type="dxa"/>
            <w:hideMark/>
          </w:tcPr>
          <w:p w14:paraId="1847C546" w14:textId="7FA4307F" w:rsidR="00CF72D5" w:rsidRPr="002029AF" w:rsidRDefault="00CF72D5" w:rsidP="00C51680">
            <w:pPr>
              <w:pStyle w:val="ARtabletextrightbold"/>
              <w:spacing w:before="40" w:after="20"/>
            </w:pPr>
            <w:r w:rsidRPr="002029AF">
              <w:t>0</w:t>
            </w:r>
          </w:p>
        </w:tc>
      </w:tr>
      <w:tr w:rsidR="00CF72D5" w:rsidRPr="002029AF" w14:paraId="64807366" w14:textId="77777777" w:rsidTr="00D40FE6">
        <w:tc>
          <w:tcPr>
            <w:tcW w:w="2944" w:type="dxa"/>
            <w:hideMark/>
          </w:tcPr>
          <w:p w14:paraId="6D9A4D0A" w14:textId="315F108F" w:rsidR="00CF72D5" w:rsidRPr="002029AF" w:rsidRDefault="00CF72D5" w:rsidP="00C51680">
            <w:pPr>
              <w:pStyle w:val="ARtabletext"/>
              <w:spacing w:before="40" w:after="20"/>
            </w:pPr>
            <w:r w:rsidRPr="002029AF">
              <w:t>The</w:t>
            </w:r>
            <w:r w:rsidR="000A5329" w:rsidRPr="002029AF">
              <w:t xml:space="preserve"> </w:t>
            </w:r>
            <w:r w:rsidRPr="002029AF">
              <w:t>Queen</w:t>
            </w:r>
            <w:r w:rsidR="000A5329" w:rsidRPr="002029AF">
              <w:t xml:space="preserve"> </w:t>
            </w:r>
            <w:r w:rsidRPr="002029AF">
              <w:t>Elizabeth</w:t>
            </w:r>
            <w:r w:rsidR="000A5329" w:rsidRPr="002029AF">
              <w:t xml:space="preserve"> </w:t>
            </w:r>
            <w:r w:rsidRPr="002029AF">
              <w:t>Centre</w:t>
            </w:r>
          </w:p>
        </w:tc>
        <w:tc>
          <w:tcPr>
            <w:tcW w:w="871" w:type="dxa"/>
            <w:hideMark/>
          </w:tcPr>
          <w:p w14:paraId="538A612D" w14:textId="58E571BF" w:rsidR="00CF72D5" w:rsidRPr="002029AF" w:rsidRDefault="00CF72D5" w:rsidP="00C51680">
            <w:pPr>
              <w:pStyle w:val="ARtabletextright"/>
              <w:spacing w:before="40" w:after="20"/>
            </w:pPr>
            <w:r w:rsidRPr="002029AF">
              <w:t>1</w:t>
            </w:r>
          </w:p>
        </w:tc>
        <w:tc>
          <w:tcPr>
            <w:tcW w:w="886" w:type="dxa"/>
            <w:hideMark/>
          </w:tcPr>
          <w:p w14:paraId="7EBEDC60" w14:textId="75497EBB" w:rsidR="00CF72D5" w:rsidRPr="002029AF" w:rsidRDefault="00CF72D5" w:rsidP="00C51680">
            <w:pPr>
              <w:pStyle w:val="ARtabletextright"/>
              <w:spacing w:before="40" w:after="20"/>
            </w:pPr>
            <w:r w:rsidRPr="002029AF">
              <w:t>0</w:t>
            </w:r>
          </w:p>
        </w:tc>
        <w:tc>
          <w:tcPr>
            <w:tcW w:w="1021" w:type="dxa"/>
            <w:hideMark/>
          </w:tcPr>
          <w:p w14:paraId="7B1957B1" w14:textId="1F8FBDAD" w:rsidR="00CF72D5" w:rsidRPr="002029AF" w:rsidRDefault="00CF72D5" w:rsidP="00C51680">
            <w:pPr>
              <w:pStyle w:val="ARtabletextright"/>
              <w:spacing w:before="40" w:after="20"/>
            </w:pPr>
            <w:r w:rsidRPr="002029AF">
              <w:t>0</w:t>
            </w:r>
          </w:p>
        </w:tc>
        <w:tc>
          <w:tcPr>
            <w:tcW w:w="917" w:type="dxa"/>
            <w:hideMark/>
          </w:tcPr>
          <w:p w14:paraId="16461538" w14:textId="686C657F" w:rsidR="00CF72D5" w:rsidRPr="002029AF" w:rsidRDefault="00CF72D5" w:rsidP="00C51680">
            <w:pPr>
              <w:pStyle w:val="ARtabletextrightbold"/>
              <w:spacing w:before="40" w:after="20"/>
            </w:pPr>
            <w:r w:rsidRPr="002029AF">
              <w:t>1</w:t>
            </w:r>
          </w:p>
        </w:tc>
        <w:tc>
          <w:tcPr>
            <w:tcW w:w="887" w:type="dxa"/>
            <w:hideMark/>
          </w:tcPr>
          <w:p w14:paraId="19A8B8D2" w14:textId="217E9633" w:rsidR="00CF72D5" w:rsidRPr="002029AF" w:rsidRDefault="00CF72D5" w:rsidP="00C51680">
            <w:pPr>
              <w:pStyle w:val="ARtabletextright"/>
              <w:spacing w:before="40" w:after="20"/>
            </w:pPr>
            <w:r w:rsidRPr="002029AF">
              <w:t>1</w:t>
            </w:r>
          </w:p>
        </w:tc>
        <w:tc>
          <w:tcPr>
            <w:tcW w:w="887" w:type="dxa"/>
            <w:hideMark/>
          </w:tcPr>
          <w:p w14:paraId="78C721F5" w14:textId="1054ECEF" w:rsidR="00CF72D5" w:rsidRPr="002029AF" w:rsidRDefault="00CF72D5" w:rsidP="00C51680">
            <w:pPr>
              <w:pStyle w:val="ARtabletextright"/>
              <w:spacing w:before="40" w:after="20"/>
            </w:pPr>
            <w:r w:rsidRPr="002029AF">
              <w:t>0</w:t>
            </w:r>
          </w:p>
        </w:tc>
        <w:tc>
          <w:tcPr>
            <w:tcW w:w="1022" w:type="dxa"/>
            <w:hideMark/>
          </w:tcPr>
          <w:p w14:paraId="0A6EB3C3" w14:textId="25124E77" w:rsidR="00CF72D5" w:rsidRPr="002029AF" w:rsidRDefault="00CF72D5" w:rsidP="00C51680">
            <w:pPr>
              <w:pStyle w:val="ARtabletextright"/>
              <w:spacing w:before="40" w:after="20"/>
            </w:pPr>
            <w:r w:rsidRPr="002029AF">
              <w:t>0</w:t>
            </w:r>
          </w:p>
        </w:tc>
        <w:tc>
          <w:tcPr>
            <w:tcW w:w="902" w:type="dxa"/>
            <w:hideMark/>
          </w:tcPr>
          <w:p w14:paraId="53F2E7C7" w14:textId="4A58E334" w:rsidR="00CF72D5" w:rsidRPr="002029AF" w:rsidRDefault="00CF72D5" w:rsidP="00C51680">
            <w:pPr>
              <w:pStyle w:val="ARtabletextrightbold"/>
              <w:spacing w:before="40" w:after="20"/>
            </w:pPr>
            <w:r w:rsidRPr="002029AF">
              <w:t>1</w:t>
            </w:r>
          </w:p>
        </w:tc>
        <w:tc>
          <w:tcPr>
            <w:tcW w:w="872" w:type="dxa"/>
            <w:hideMark/>
          </w:tcPr>
          <w:p w14:paraId="28B29004" w14:textId="4F110FAA" w:rsidR="00CF72D5" w:rsidRPr="002029AF" w:rsidRDefault="00CF72D5" w:rsidP="00C51680">
            <w:pPr>
              <w:pStyle w:val="ARtabletextright"/>
              <w:spacing w:before="40" w:after="20"/>
            </w:pPr>
            <w:r w:rsidRPr="002029AF">
              <w:t>0</w:t>
            </w:r>
          </w:p>
        </w:tc>
        <w:tc>
          <w:tcPr>
            <w:tcW w:w="887" w:type="dxa"/>
            <w:hideMark/>
          </w:tcPr>
          <w:p w14:paraId="654BB14F" w14:textId="5C92DB6D" w:rsidR="00CF72D5" w:rsidRPr="002029AF" w:rsidRDefault="00CF72D5" w:rsidP="00C51680">
            <w:pPr>
              <w:pStyle w:val="ARtabletextright"/>
              <w:spacing w:before="40" w:after="20"/>
            </w:pPr>
            <w:r w:rsidRPr="002029AF">
              <w:t>0</w:t>
            </w:r>
          </w:p>
        </w:tc>
        <w:tc>
          <w:tcPr>
            <w:tcW w:w="1022" w:type="dxa"/>
            <w:hideMark/>
          </w:tcPr>
          <w:p w14:paraId="23DE04F5" w14:textId="08F8C94E" w:rsidR="00CF72D5" w:rsidRPr="002029AF" w:rsidRDefault="00CF72D5" w:rsidP="00C51680">
            <w:pPr>
              <w:pStyle w:val="ARtabletextright"/>
              <w:spacing w:before="40" w:after="20"/>
            </w:pPr>
            <w:r w:rsidRPr="002029AF">
              <w:t>0</w:t>
            </w:r>
          </w:p>
        </w:tc>
        <w:tc>
          <w:tcPr>
            <w:tcW w:w="887" w:type="dxa"/>
            <w:hideMark/>
          </w:tcPr>
          <w:p w14:paraId="1770FC01" w14:textId="4B4F6D9B" w:rsidR="00CF72D5" w:rsidRPr="002029AF" w:rsidRDefault="00CF72D5" w:rsidP="00C51680">
            <w:pPr>
              <w:pStyle w:val="ARtabletextrightbold"/>
              <w:spacing w:before="40" w:after="20"/>
            </w:pPr>
            <w:r w:rsidRPr="002029AF">
              <w:t>0</w:t>
            </w:r>
          </w:p>
        </w:tc>
      </w:tr>
      <w:tr w:rsidR="00CF72D5" w:rsidRPr="002029AF" w14:paraId="5D9825FB" w14:textId="77777777" w:rsidTr="00D40FE6">
        <w:tc>
          <w:tcPr>
            <w:tcW w:w="2944" w:type="dxa"/>
            <w:hideMark/>
          </w:tcPr>
          <w:p w14:paraId="2ED8035F" w14:textId="34B75832" w:rsidR="00CF72D5" w:rsidRPr="002029AF" w:rsidRDefault="00CF72D5" w:rsidP="00C51680">
            <w:pPr>
              <w:pStyle w:val="ARtabletext"/>
              <w:spacing w:before="40" w:after="20"/>
            </w:pPr>
            <w:r w:rsidRPr="002029AF">
              <w:t>Timboon</w:t>
            </w:r>
            <w:r w:rsidR="000A5329" w:rsidRPr="002029AF">
              <w:t xml:space="preserve"> </w:t>
            </w:r>
            <w:r w:rsidRPr="002029AF">
              <w:t>and</w:t>
            </w:r>
            <w:r w:rsidR="000A5329" w:rsidRPr="002029AF">
              <w:t xml:space="preserve"> </w:t>
            </w:r>
            <w:r w:rsidRPr="002029AF">
              <w:t>District</w:t>
            </w:r>
            <w:r w:rsidR="000A5329" w:rsidRPr="002029AF">
              <w:t xml:space="preserve"> </w:t>
            </w:r>
            <w:r w:rsidRPr="002029AF">
              <w:t>Healthcare</w:t>
            </w:r>
            <w:r w:rsidR="000A5329" w:rsidRPr="002029AF">
              <w:t xml:space="preserve"> </w:t>
            </w:r>
            <w:r w:rsidRPr="002029AF">
              <w:t>Service</w:t>
            </w:r>
          </w:p>
        </w:tc>
        <w:tc>
          <w:tcPr>
            <w:tcW w:w="871" w:type="dxa"/>
            <w:hideMark/>
          </w:tcPr>
          <w:p w14:paraId="30061BE5" w14:textId="412CBCF5" w:rsidR="00CF72D5" w:rsidRPr="002029AF" w:rsidRDefault="00CF72D5" w:rsidP="00C51680">
            <w:pPr>
              <w:pStyle w:val="ARtabletextright"/>
              <w:spacing w:before="40" w:after="20"/>
            </w:pPr>
            <w:r w:rsidRPr="002029AF">
              <w:t>1</w:t>
            </w:r>
          </w:p>
        </w:tc>
        <w:tc>
          <w:tcPr>
            <w:tcW w:w="886" w:type="dxa"/>
            <w:hideMark/>
          </w:tcPr>
          <w:p w14:paraId="7568E57F" w14:textId="6C59E130" w:rsidR="00CF72D5" w:rsidRPr="002029AF" w:rsidRDefault="00CF72D5" w:rsidP="00C51680">
            <w:pPr>
              <w:pStyle w:val="ARtabletextright"/>
              <w:spacing w:before="40" w:after="20"/>
            </w:pPr>
            <w:r w:rsidRPr="002029AF">
              <w:t>0</w:t>
            </w:r>
          </w:p>
        </w:tc>
        <w:tc>
          <w:tcPr>
            <w:tcW w:w="1021" w:type="dxa"/>
            <w:hideMark/>
          </w:tcPr>
          <w:p w14:paraId="54393A03" w14:textId="4F20D4A4" w:rsidR="00CF72D5" w:rsidRPr="002029AF" w:rsidRDefault="00CF72D5" w:rsidP="00C51680">
            <w:pPr>
              <w:pStyle w:val="ARtabletextright"/>
              <w:spacing w:before="40" w:after="20"/>
            </w:pPr>
            <w:r w:rsidRPr="002029AF">
              <w:t>0</w:t>
            </w:r>
          </w:p>
        </w:tc>
        <w:tc>
          <w:tcPr>
            <w:tcW w:w="917" w:type="dxa"/>
            <w:hideMark/>
          </w:tcPr>
          <w:p w14:paraId="32736F1D" w14:textId="398A6820" w:rsidR="00CF72D5" w:rsidRPr="002029AF" w:rsidRDefault="00CF72D5" w:rsidP="00C51680">
            <w:pPr>
              <w:pStyle w:val="ARtabletextrightbold"/>
              <w:spacing w:before="40" w:after="20"/>
            </w:pPr>
            <w:r w:rsidRPr="002029AF">
              <w:t>1</w:t>
            </w:r>
          </w:p>
        </w:tc>
        <w:tc>
          <w:tcPr>
            <w:tcW w:w="887" w:type="dxa"/>
            <w:hideMark/>
          </w:tcPr>
          <w:p w14:paraId="117A8634" w14:textId="0DC97795" w:rsidR="00CF72D5" w:rsidRPr="002029AF" w:rsidRDefault="00CF72D5" w:rsidP="00C51680">
            <w:pPr>
              <w:pStyle w:val="ARtabletextright"/>
              <w:spacing w:before="40" w:after="20"/>
            </w:pPr>
            <w:r w:rsidRPr="002029AF">
              <w:t>0</w:t>
            </w:r>
          </w:p>
        </w:tc>
        <w:tc>
          <w:tcPr>
            <w:tcW w:w="887" w:type="dxa"/>
            <w:hideMark/>
          </w:tcPr>
          <w:p w14:paraId="247B2420" w14:textId="04FD4E72" w:rsidR="00CF72D5" w:rsidRPr="002029AF" w:rsidRDefault="00CF72D5" w:rsidP="00C51680">
            <w:pPr>
              <w:pStyle w:val="ARtabletextright"/>
              <w:spacing w:before="40" w:after="20"/>
            </w:pPr>
            <w:r w:rsidRPr="002029AF">
              <w:t>0</w:t>
            </w:r>
          </w:p>
        </w:tc>
        <w:tc>
          <w:tcPr>
            <w:tcW w:w="1022" w:type="dxa"/>
            <w:hideMark/>
          </w:tcPr>
          <w:p w14:paraId="2325B20C" w14:textId="04B7318D" w:rsidR="00CF72D5" w:rsidRPr="002029AF" w:rsidRDefault="00CF72D5" w:rsidP="00C51680">
            <w:pPr>
              <w:pStyle w:val="ARtabletextright"/>
              <w:spacing w:before="40" w:after="20"/>
            </w:pPr>
            <w:r w:rsidRPr="002029AF">
              <w:t>0</w:t>
            </w:r>
          </w:p>
        </w:tc>
        <w:tc>
          <w:tcPr>
            <w:tcW w:w="902" w:type="dxa"/>
            <w:hideMark/>
          </w:tcPr>
          <w:p w14:paraId="782C48B4" w14:textId="02F4A24D" w:rsidR="00CF72D5" w:rsidRPr="002029AF" w:rsidRDefault="00CF72D5" w:rsidP="00C51680">
            <w:pPr>
              <w:pStyle w:val="ARtabletextrightbold"/>
              <w:spacing w:before="40" w:after="20"/>
            </w:pPr>
            <w:r w:rsidRPr="002029AF">
              <w:t>0</w:t>
            </w:r>
          </w:p>
        </w:tc>
        <w:tc>
          <w:tcPr>
            <w:tcW w:w="872" w:type="dxa"/>
            <w:hideMark/>
          </w:tcPr>
          <w:p w14:paraId="55EE1321" w14:textId="7E0320A9" w:rsidR="00CF72D5" w:rsidRPr="002029AF" w:rsidRDefault="00CF72D5" w:rsidP="00C51680">
            <w:pPr>
              <w:pStyle w:val="ARtabletextright"/>
              <w:spacing w:before="40" w:after="20"/>
            </w:pPr>
            <w:r w:rsidRPr="002029AF">
              <w:t>1</w:t>
            </w:r>
          </w:p>
        </w:tc>
        <w:tc>
          <w:tcPr>
            <w:tcW w:w="887" w:type="dxa"/>
            <w:hideMark/>
          </w:tcPr>
          <w:p w14:paraId="2960CF01" w14:textId="5908F88B" w:rsidR="00CF72D5" w:rsidRPr="002029AF" w:rsidRDefault="00CF72D5" w:rsidP="00C51680">
            <w:pPr>
              <w:pStyle w:val="ARtabletextright"/>
              <w:spacing w:before="40" w:after="20"/>
            </w:pPr>
            <w:r w:rsidRPr="002029AF">
              <w:t>0</w:t>
            </w:r>
          </w:p>
        </w:tc>
        <w:tc>
          <w:tcPr>
            <w:tcW w:w="1022" w:type="dxa"/>
            <w:hideMark/>
          </w:tcPr>
          <w:p w14:paraId="01F21011" w14:textId="4833D4B9" w:rsidR="00CF72D5" w:rsidRPr="002029AF" w:rsidRDefault="00CF72D5" w:rsidP="00C51680">
            <w:pPr>
              <w:pStyle w:val="ARtabletextright"/>
              <w:spacing w:before="40" w:after="20"/>
            </w:pPr>
            <w:r w:rsidRPr="002029AF">
              <w:t>0</w:t>
            </w:r>
          </w:p>
        </w:tc>
        <w:tc>
          <w:tcPr>
            <w:tcW w:w="887" w:type="dxa"/>
            <w:hideMark/>
          </w:tcPr>
          <w:p w14:paraId="3E5F0037" w14:textId="07748A16" w:rsidR="00CF72D5" w:rsidRPr="002029AF" w:rsidRDefault="00CF72D5" w:rsidP="00C51680">
            <w:pPr>
              <w:pStyle w:val="ARtabletextrightbold"/>
              <w:spacing w:before="40" w:after="20"/>
            </w:pPr>
            <w:r w:rsidRPr="002029AF">
              <w:t>1</w:t>
            </w:r>
          </w:p>
        </w:tc>
      </w:tr>
      <w:tr w:rsidR="00CF72D5" w:rsidRPr="002029AF" w14:paraId="3192A2D1" w14:textId="77777777" w:rsidTr="00D40FE6">
        <w:tc>
          <w:tcPr>
            <w:tcW w:w="2944" w:type="dxa"/>
            <w:hideMark/>
          </w:tcPr>
          <w:p w14:paraId="30F60386" w14:textId="182EB493" w:rsidR="00CF72D5" w:rsidRPr="002029AF" w:rsidRDefault="00CF72D5" w:rsidP="00C51680">
            <w:pPr>
              <w:pStyle w:val="ARtabletext"/>
              <w:spacing w:before="40" w:after="20"/>
            </w:pPr>
            <w:r w:rsidRPr="002029AF">
              <w:t>Tweddle</w:t>
            </w:r>
            <w:r w:rsidR="000A5329" w:rsidRPr="002029AF">
              <w:t xml:space="preserve"> </w:t>
            </w:r>
            <w:r w:rsidRPr="002029AF">
              <w:t>Child</w:t>
            </w:r>
            <w:r w:rsidR="000A5329" w:rsidRPr="002029AF">
              <w:t xml:space="preserve"> </w:t>
            </w:r>
            <w:r w:rsidRPr="002029AF">
              <w:t>and</w:t>
            </w:r>
            <w:r w:rsidR="000A5329" w:rsidRPr="002029AF">
              <w:t xml:space="preserve"> </w:t>
            </w:r>
            <w:r w:rsidRPr="002029AF">
              <w:t>Family</w:t>
            </w:r>
            <w:r w:rsidR="000A5329" w:rsidRPr="002029AF">
              <w:t xml:space="preserve"> </w:t>
            </w:r>
            <w:r w:rsidRPr="002029AF">
              <w:t>Health</w:t>
            </w:r>
            <w:r w:rsidR="000A5329" w:rsidRPr="002029AF">
              <w:t xml:space="preserve"> </w:t>
            </w:r>
            <w:r w:rsidRPr="002029AF">
              <w:t>Service</w:t>
            </w:r>
          </w:p>
        </w:tc>
        <w:tc>
          <w:tcPr>
            <w:tcW w:w="871" w:type="dxa"/>
            <w:hideMark/>
          </w:tcPr>
          <w:p w14:paraId="68F1F063" w14:textId="1CE22F68" w:rsidR="00CF72D5" w:rsidRPr="002029AF" w:rsidRDefault="00CF72D5" w:rsidP="00C51680">
            <w:pPr>
              <w:pStyle w:val="ARtabletextright"/>
              <w:spacing w:before="40" w:after="20"/>
            </w:pPr>
            <w:r w:rsidRPr="002029AF">
              <w:t>1</w:t>
            </w:r>
          </w:p>
        </w:tc>
        <w:tc>
          <w:tcPr>
            <w:tcW w:w="886" w:type="dxa"/>
            <w:hideMark/>
          </w:tcPr>
          <w:p w14:paraId="249FF576" w14:textId="2C417236" w:rsidR="00CF72D5" w:rsidRPr="002029AF" w:rsidRDefault="00CF72D5" w:rsidP="00C51680">
            <w:pPr>
              <w:pStyle w:val="ARtabletextright"/>
              <w:spacing w:before="40" w:after="20"/>
            </w:pPr>
            <w:r w:rsidRPr="002029AF">
              <w:t>0</w:t>
            </w:r>
          </w:p>
        </w:tc>
        <w:tc>
          <w:tcPr>
            <w:tcW w:w="1021" w:type="dxa"/>
            <w:hideMark/>
          </w:tcPr>
          <w:p w14:paraId="27986E22" w14:textId="65C75BC1" w:rsidR="00CF72D5" w:rsidRPr="002029AF" w:rsidRDefault="00CF72D5" w:rsidP="00C51680">
            <w:pPr>
              <w:pStyle w:val="ARtabletextright"/>
              <w:spacing w:before="40" w:after="20"/>
            </w:pPr>
            <w:r w:rsidRPr="002029AF">
              <w:t>0</w:t>
            </w:r>
          </w:p>
        </w:tc>
        <w:tc>
          <w:tcPr>
            <w:tcW w:w="917" w:type="dxa"/>
            <w:hideMark/>
          </w:tcPr>
          <w:p w14:paraId="1DC5E605" w14:textId="2C17E8A9" w:rsidR="00CF72D5" w:rsidRPr="002029AF" w:rsidRDefault="00CF72D5" w:rsidP="00C51680">
            <w:pPr>
              <w:pStyle w:val="ARtabletextrightbold"/>
              <w:spacing w:before="40" w:after="20"/>
            </w:pPr>
            <w:r w:rsidRPr="002029AF">
              <w:t>1</w:t>
            </w:r>
          </w:p>
        </w:tc>
        <w:tc>
          <w:tcPr>
            <w:tcW w:w="887" w:type="dxa"/>
            <w:hideMark/>
          </w:tcPr>
          <w:p w14:paraId="4C161539" w14:textId="2C45644D" w:rsidR="00CF72D5" w:rsidRPr="002029AF" w:rsidRDefault="00CF72D5" w:rsidP="00C51680">
            <w:pPr>
              <w:pStyle w:val="ARtabletextright"/>
              <w:spacing w:before="40" w:after="20"/>
            </w:pPr>
            <w:r w:rsidRPr="002029AF">
              <w:t>1</w:t>
            </w:r>
          </w:p>
        </w:tc>
        <w:tc>
          <w:tcPr>
            <w:tcW w:w="887" w:type="dxa"/>
            <w:hideMark/>
          </w:tcPr>
          <w:p w14:paraId="06390985" w14:textId="7D25ADB1" w:rsidR="00CF72D5" w:rsidRPr="002029AF" w:rsidRDefault="00CF72D5" w:rsidP="00C51680">
            <w:pPr>
              <w:pStyle w:val="ARtabletextright"/>
              <w:spacing w:before="40" w:after="20"/>
            </w:pPr>
            <w:r w:rsidRPr="002029AF">
              <w:t>0</w:t>
            </w:r>
          </w:p>
        </w:tc>
        <w:tc>
          <w:tcPr>
            <w:tcW w:w="1022" w:type="dxa"/>
            <w:hideMark/>
          </w:tcPr>
          <w:p w14:paraId="552EF6AD" w14:textId="298569B2" w:rsidR="00CF72D5" w:rsidRPr="002029AF" w:rsidRDefault="00CF72D5" w:rsidP="00C51680">
            <w:pPr>
              <w:pStyle w:val="ARtabletextright"/>
              <w:spacing w:before="40" w:after="20"/>
            </w:pPr>
            <w:r w:rsidRPr="002029AF">
              <w:t>0</w:t>
            </w:r>
          </w:p>
        </w:tc>
        <w:tc>
          <w:tcPr>
            <w:tcW w:w="902" w:type="dxa"/>
            <w:hideMark/>
          </w:tcPr>
          <w:p w14:paraId="05BA3001" w14:textId="7E349805" w:rsidR="00CF72D5" w:rsidRPr="002029AF" w:rsidRDefault="00CF72D5" w:rsidP="00C51680">
            <w:pPr>
              <w:pStyle w:val="ARtabletextrightbold"/>
              <w:spacing w:before="40" w:after="20"/>
            </w:pPr>
            <w:r w:rsidRPr="002029AF">
              <w:t>1</w:t>
            </w:r>
          </w:p>
        </w:tc>
        <w:tc>
          <w:tcPr>
            <w:tcW w:w="872" w:type="dxa"/>
            <w:hideMark/>
          </w:tcPr>
          <w:p w14:paraId="52D05215" w14:textId="42B8E729" w:rsidR="00CF72D5" w:rsidRPr="002029AF" w:rsidRDefault="00CF72D5" w:rsidP="00C51680">
            <w:pPr>
              <w:pStyle w:val="ARtabletextright"/>
              <w:spacing w:before="40" w:after="20"/>
            </w:pPr>
            <w:r w:rsidRPr="002029AF">
              <w:t>0</w:t>
            </w:r>
          </w:p>
        </w:tc>
        <w:tc>
          <w:tcPr>
            <w:tcW w:w="887" w:type="dxa"/>
            <w:hideMark/>
          </w:tcPr>
          <w:p w14:paraId="1CE9C08E" w14:textId="4A88E6BC" w:rsidR="00CF72D5" w:rsidRPr="002029AF" w:rsidRDefault="00CF72D5" w:rsidP="00C51680">
            <w:pPr>
              <w:pStyle w:val="ARtabletextright"/>
              <w:spacing w:before="40" w:after="20"/>
            </w:pPr>
            <w:r w:rsidRPr="002029AF">
              <w:t>0</w:t>
            </w:r>
          </w:p>
        </w:tc>
        <w:tc>
          <w:tcPr>
            <w:tcW w:w="1022" w:type="dxa"/>
            <w:hideMark/>
          </w:tcPr>
          <w:p w14:paraId="4E8CC1A8" w14:textId="0108A825" w:rsidR="00CF72D5" w:rsidRPr="002029AF" w:rsidRDefault="00CF72D5" w:rsidP="00C51680">
            <w:pPr>
              <w:pStyle w:val="ARtabletextright"/>
              <w:spacing w:before="40" w:after="20"/>
            </w:pPr>
            <w:r w:rsidRPr="002029AF">
              <w:t>0</w:t>
            </w:r>
          </w:p>
        </w:tc>
        <w:tc>
          <w:tcPr>
            <w:tcW w:w="887" w:type="dxa"/>
            <w:hideMark/>
          </w:tcPr>
          <w:p w14:paraId="08EE1B1B" w14:textId="442751DB" w:rsidR="00CF72D5" w:rsidRPr="002029AF" w:rsidRDefault="00CF72D5" w:rsidP="00C51680">
            <w:pPr>
              <w:pStyle w:val="ARtabletextrightbold"/>
              <w:spacing w:before="40" w:after="20"/>
            </w:pPr>
            <w:r w:rsidRPr="002029AF">
              <w:t>0</w:t>
            </w:r>
          </w:p>
        </w:tc>
      </w:tr>
      <w:tr w:rsidR="00CF72D5" w:rsidRPr="002029AF" w14:paraId="63D23F60" w14:textId="77777777" w:rsidTr="00D40FE6">
        <w:tc>
          <w:tcPr>
            <w:tcW w:w="2944" w:type="dxa"/>
            <w:hideMark/>
          </w:tcPr>
          <w:p w14:paraId="617CF4C1" w14:textId="3A0ACD7C" w:rsidR="00CF72D5" w:rsidRPr="002029AF" w:rsidRDefault="00CF72D5" w:rsidP="00C51680">
            <w:pPr>
              <w:pStyle w:val="ARtabletext"/>
              <w:spacing w:before="40" w:after="20"/>
            </w:pPr>
            <w:r w:rsidRPr="002029AF">
              <w:t>Victorian</w:t>
            </w:r>
            <w:r w:rsidR="000A5329" w:rsidRPr="002029AF">
              <w:t xml:space="preserve"> </w:t>
            </w:r>
            <w:r w:rsidRPr="002029AF">
              <w:t>Assisted</w:t>
            </w:r>
            <w:r w:rsidR="000A5329" w:rsidRPr="002029AF">
              <w:t xml:space="preserve"> </w:t>
            </w:r>
            <w:r w:rsidRPr="002029AF">
              <w:t>Reproductive</w:t>
            </w:r>
            <w:r w:rsidR="000A5329" w:rsidRPr="002029AF">
              <w:t xml:space="preserve"> </w:t>
            </w:r>
            <w:r w:rsidRPr="002029AF">
              <w:t>Treatment</w:t>
            </w:r>
            <w:r w:rsidR="000A5329" w:rsidRPr="002029AF">
              <w:t xml:space="preserve"> </w:t>
            </w:r>
            <w:r w:rsidRPr="002029AF">
              <w:t>Authority</w:t>
            </w:r>
          </w:p>
        </w:tc>
        <w:tc>
          <w:tcPr>
            <w:tcW w:w="871" w:type="dxa"/>
            <w:hideMark/>
          </w:tcPr>
          <w:p w14:paraId="11C67F3C" w14:textId="337C242A" w:rsidR="00CF72D5" w:rsidRPr="002029AF" w:rsidRDefault="00CF72D5" w:rsidP="00C51680">
            <w:pPr>
              <w:pStyle w:val="ARtabletextright"/>
              <w:spacing w:before="40" w:after="20"/>
            </w:pPr>
            <w:r w:rsidRPr="002029AF">
              <w:t>1</w:t>
            </w:r>
          </w:p>
        </w:tc>
        <w:tc>
          <w:tcPr>
            <w:tcW w:w="886" w:type="dxa"/>
            <w:hideMark/>
          </w:tcPr>
          <w:p w14:paraId="070BE296" w14:textId="3C8429E3" w:rsidR="00CF72D5" w:rsidRPr="002029AF" w:rsidRDefault="00CF72D5" w:rsidP="00C51680">
            <w:pPr>
              <w:pStyle w:val="ARtabletextright"/>
              <w:spacing w:before="40" w:after="20"/>
            </w:pPr>
            <w:r w:rsidRPr="002029AF">
              <w:t>0</w:t>
            </w:r>
          </w:p>
        </w:tc>
        <w:tc>
          <w:tcPr>
            <w:tcW w:w="1021" w:type="dxa"/>
            <w:hideMark/>
          </w:tcPr>
          <w:p w14:paraId="6E005A66" w14:textId="3547C002" w:rsidR="00CF72D5" w:rsidRPr="002029AF" w:rsidRDefault="00CF72D5" w:rsidP="00C51680">
            <w:pPr>
              <w:pStyle w:val="ARtabletextright"/>
              <w:spacing w:before="40" w:after="20"/>
            </w:pPr>
            <w:r w:rsidRPr="002029AF">
              <w:t>0</w:t>
            </w:r>
          </w:p>
        </w:tc>
        <w:tc>
          <w:tcPr>
            <w:tcW w:w="917" w:type="dxa"/>
            <w:hideMark/>
          </w:tcPr>
          <w:p w14:paraId="1E98E6F4" w14:textId="1C9DDEB3" w:rsidR="00CF72D5" w:rsidRPr="002029AF" w:rsidRDefault="00CF72D5" w:rsidP="00C51680">
            <w:pPr>
              <w:pStyle w:val="ARtabletextrightbold"/>
              <w:spacing w:before="40" w:after="20"/>
            </w:pPr>
            <w:r w:rsidRPr="002029AF">
              <w:t>1</w:t>
            </w:r>
          </w:p>
        </w:tc>
        <w:tc>
          <w:tcPr>
            <w:tcW w:w="887" w:type="dxa"/>
            <w:hideMark/>
          </w:tcPr>
          <w:p w14:paraId="6AE0E7B2" w14:textId="6F7547ED" w:rsidR="00CF72D5" w:rsidRPr="002029AF" w:rsidRDefault="00CF72D5" w:rsidP="00C51680">
            <w:pPr>
              <w:pStyle w:val="ARtabletextright"/>
              <w:spacing w:before="40" w:after="20"/>
            </w:pPr>
            <w:r w:rsidRPr="002029AF">
              <w:t>1</w:t>
            </w:r>
          </w:p>
        </w:tc>
        <w:tc>
          <w:tcPr>
            <w:tcW w:w="887" w:type="dxa"/>
            <w:hideMark/>
          </w:tcPr>
          <w:p w14:paraId="51257553" w14:textId="01553335" w:rsidR="00CF72D5" w:rsidRPr="002029AF" w:rsidRDefault="00CF72D5" w:rsidP="00C51680">
            <w:pPr>
              <w:pStyle w:val="ARtabletextright"/>
              <w:spacing w:before="40" w:after="20"/>
            </w:pPr>
            <w:r w:rsidRPr="002029AF">
              <w:t>0</w:t>
            </w:r>
          </w:p>
        </w:tc>
        <w:tc>
          <w:tcPr>
            <w:tcW w:w="1022" w:type="dxa"/>
            <w:hideMark/>
          </w:tcPr>
          <w:p w14:paraId="2512CD17" w14:textId="3C9A1F24" w:rsidR="00CF72D5" w:rsidRPr="002029AF" w:rsidRDefault="00CF72D5" w:rsidP="00C51680">
            <w:pPr>
              <w:pStyle w:val="ARtabletextright"/>
              <w:spacing w:before="40" w:after="20"/>
            </w:pPr>
            <w:r w:rsidRPr="002029AF">
              <w:t>0</w:t>
            </w:r>
          </w:p>
        </w:tc>
        <w:tc>
          <w:tcPr>
            <w:tcW w:w="902" w:type="dxa"/>
            <w:hideMark/>
          </w:tcPr>
          <w:p w14:paraId="5D52C053" w14:textId="7FA98C54" w:rsidR="00CF72D5" w:rsidRPr="002029AF" w:rsidRDefault="00CF72D5" w:rsidP="00C51680">
            <w:pPr>
              <w:pStyle w:val="ARtabletextrightbold"/>
              <w:spacing w:before="40" w:after="20"/>
            </w:pPr>
            <w:r w:rsidRPr="002029AF">
              <w:t>1</w:t>
            </w:r>
          </w:p>
        </w:tc>
        <w:tc>
          <w:tcPr>
            <w:tcW w:w="872" w:type="dxa"/>
            <w:hideMark/>
          </w:tcPr>
          <w:p w14:paraId="4AA9093E" w14:textId="26797F88" w:rsidR="00CF72D5" w:rsidRPr="002029AF" w:rsidRDefault="00CF72D5" w:rsidP="00C51680">
            <w:pPr>
              <w:pStyle w:val="ARtabletextright"/>
              <w:spacing w:before="40" w:after="20"/>
            </w:pPr>
            <w:r w:rsidRPr="002029AF">
              <w:t>0</w:t>
            </w:r>
          </w:p>
        </w:tc>
        <w:tc>
          <w:tcPr>
            <w:tcW w:w="887" w:type="dxa"/>
            <w:hideMark/>
          </w:tcPr>
          <w:p w14:paraId="51D4683D" w14:textId="1E1E588E" w:rsidR="00CF72D5" w:rsidRPr="002029AF" w:rsidRDefault="00CF72D5" w:rsidP="00C51680">
            <w:pPr>
              <w:pStyle w:val="ARtabletextright"/>
              <w:spacing w:before="40" w:after="20"/>
            </w:pPr>
            <w:r w:rsidRPr="002029AF">
              <w:t>0</w:t>
            </w:r>
          </w:p>
        </w:tc>
        <w:tc>
          <w:tcPr>
            <w:tcW w:w="1022" w:type="dxa"/>
            <w:hideMark/>
          </w:tcPr>
          <w:p w14:paraId="5CAFC865" w14:textId="0D37F264" w:rsidR="00CF72D5" w:rsidRPr="002029AF" w:rsidRDefault="00CF72D5" w:rsidP="00C51680">
            <w:pPr>
              <w:pStyle w:val="ARtabletextright"/>
              <w:spacing w:before="40" w:after="20"/>
            </w:pPr>
            <w:r w:rsidRPr="002029AF">
              <w:t>0</w:t>
            </w:r>
          </w:p>
        </w:tc>
        <w:tc>
          <w:tcPr>
            <w:tcW w:w="887" w:type="dxa"/>
            <w:hideMark/>
          </w:tcPr>
          <w:p w14:paraId="5EA7BB88" w14:textId="365A9FA6" w:rsidR="00CF72D5" w:rsidRPr="002029AF" w:rsidRDefault="00CF72D5" w:rsidP="00C51680">
            <w:pPr>
              <w:pStyle w:val="ARtabletextrightbold"/>
              <w:spacing w:before="40" w:after="20"/>
            </w:pPr>
            <w:r w:rsidRPr="002029AF">
              <w:t>0</w:t>
            </w:r>
          </w:p>
        </w:tc>
      </w:tr>
      <w:tr w:rsidR="00CF72D5" w:rsidRPr="002029AF" w14:paraId="446FAFA8" w14:textId="77777777" w:rsidTr="00D40FE6">
        <w:tc>
          <w:tcPr>
            <w:tcW w:w="2944" w:type="dxa"/>
            <w:hideMark/>
          </w:tcPr>
          <w:p w14:paraId="13D62017" w14:textId="5ACF1C07" w:rsidR="00CF72D5" w:rsidRPr="002029AF" w:rsidRDefault="00CF72D5" w:rsidP="00C51680">
            <w:pPr>
              <w:pStyle w:val="ARtabletext"/>
              <w:spacing w:before="40" w:after="20"/>
            </w:pPr>
            <w:r w:rsidRPr="002029AF">
              <w:t>Victorian</w:t>
            </w:r>
            <w:r w:rsidR="000A5329" w:rsidRPr="002029AF">
              <w:t xml:space="preserve"> </w:t>
            </w:r>
            <w:r w:rsidRPr="002029AF">
              <w:t>Health</w:t>
            </w:r>
            <w:r w:rsidR="000A5329" w:rsidRPr="002029AF">
              <w:t xml:space="preserve"> </w:t>
            </w:r>
            <w:r w:rsidRPr="002029AF">
              <w:t>Promotion</w:t>
            </w:r>
            <w:r w:rsidR="000A5329" w:rsidRPr="002029AF">
              <w:t xml:space="preserve"> </w:t>
            </w:r>
            <w:r w:rsidRPr="002029AF">
              <w:t>Foundation</w:t>
            </w:r>
          </w:p>
        </w:tc>
        <w:tc>
          <w:tcPr>
            <w:tcW w:w="871" w:type="dxa"/>
            <w:hideMark/>
          </w:tcPr>
          <w:p w14:paraId="1899E082" w14:textId="4DAB7B6B" w:rsidR="00CF72D5" w:rsidRPr="002029AF" w:rsidRDefault="00CF72D5" w:rsidP="00C51680">
            <w:pPr>
              <w:pStyle w:val="ARtabletextright"/>
              <w:spacing w:before="40" w:after="20"/>
            </w:pPr>
            <w:r w:rsidRPr="002029AF">
              <w:t>1</w:t>
            </w:r>
          </w:p>
        </w:tc>
        <w:tc>
          <w:tcPr>
            <w:tcW w:w="886" w:type="dxa"/>
            <w:hideMark/>
          </w:tcPr>
          <w:p w14:paraId="6246A002" w14:textId="46AAA916" w:rsidR="00CF72D5" w:rsidRPr="002029AF" w:rsidRDefault="00CF72D5" w:rsidP="00C51680">
            <w:pPr>
              <w:pStyle w:val="ARtabletextright"/>
              <w:spacing w:before="40" w:after="20"/>
            </w:pPr>
            <w:r w:rsidRPr="002029AF">
              <w:t>3</w:t>
            </w:r>
          </w:p>
        </w:tc>
        <w:tc>
          <w:tcPr>
            <w:tcW w:w="1021" w:type="dxa"/>
            <w:hideMark/>
          </w:tcPr>
          <w:p w14:paraId="4A756330" w14:textId="1C259C71" w:rsidR="00CF72D5" w:rsidRPr="002029AF" w:rsidRDefault="00CF72D5" w:rsidP="00C51680">
            <w:pPr>
              <w:pStyle w:val="ARtabletextright"/>
              <w:spacing w:before="40" w:after="20"/>
            </w:pPr>
            <w:r w:rsidRPr="002029AF">
              <w:t>0</w:t>
            </w:r>
          </w:p>
        </w:tc>
        <w:tc>
          <w:tcPr>
            <w:tcW w:w="917" w:type="dxa"/>
            <w:hideMark/>
          </w:tcPr>
          <w:p w14:paraId="146B08F3" w14:textId="69EF60A8" w:rsidR="00CF72D5" w:rsidRPr="002029AF" w:rsidRDefault="00CF72D5" w:rsidP="00C51680">
            <w:pPr>
              <w:pStyle w:val="ARtabletextrightbold"/>
              <w:spacing w:before="40" w:after="20"/>
            </w:pPr>
            <w:r w:rsidRPr="002029AF">
              <w:t>4</w:t>
            </w:r>
          </w:p>
        </w:tc>
        <w:tc>
          <w:tcPr>
            <w:tcW w:w="887" w:type="dxa"/>
            <w:hideMark/>
          </w:tcPr>
          <w:p w14:paraId="694303F4" w14:textId="1F5C036C" w:rsidR="00CF72D5" w:rsidRPr="002029AF" w:rsidRDefault="00CF72D5" w:rsidP="00C51680">
            <w:pPr>
              <w:pStyle w:val="ARtabletextright"/>
              <w:spacing w:before="40" w:after="20"/>
            </w:pPr>
            <w:r w:rsidRPr="002029AF">
              <w:t>1</w:t>
            </w:r>
          </w:p>
        </w:tc>
        <w:tc>
          <w:tcPr>
            <w:tcW w:w="887" w:type="dxa"/>
            <w:hideMark/>
          </w:tcPr>
          <w:p w14:paraId="4AFB91E3" w14:textId="27FBF96A" w:rsidR="00CF72D5" w:rsidRPr="002029AF" w:rsidRDefault="00CF72D5" w:rsidP="00C51680">
            <w:pPr>
              <w:pStyle w:val="ARtabletextright"/>
              <w:spacing w:before="40" w:after="20"/>
            </w:pPr>
            <w:r w:rsidRPr="002029AF">
              <w:t>1</w:t>
            </w:r>
          </w:p>
        </w:tc>
        <w:tc>
          <w:tcPr>
            <w:tcW w:w="1022" w:type="dxa"/>
            <w:hideMark/>
          </w:tcPr>
          <w:p w14:paraId="3018A109" w14:textId="089C0D4F" w:rsidR="00CF72D5" w:rsidRPr="002029AF" w:rsidRDefault="00CF72D5" w:rsidP="00C51680">
            <w:pPr>
              <w:pStyle w:val="ARtabletextright"/>
              <w:spacing w:before="40" w:after="20"/>
            </w:pPr>
            <w:r w:rsidRPr="002029AF">
              <w:t>0</w:t>
            </w:r>
          </w:p>
        </w:tc>
        <w:tc>
          <w:tcPr>
            <w:tcW w:w="902" w:type="dxa"/>
            <w:hideMark/>
          </w:tcPr>
          <w:p w14:paraId="3BE69B81" w14:textId="65B75335" w:rsidR="00CF72D5" w:rsidRPr="002029AF" w:rsidRDefault="00CF72D5" w:rsidP="00C51680">
            <w:pPr>
              <w:pStyle w:val="ARtabletextrightbold"/>
              <w:spacing w:before="40" w:after="20"/>
            </w:pPr>
            <w:r w:rsidRPr="002029AF">
              <w:t>2</w:t>
            </w:r>
          </w:p>
        </w:tc>
        <w:tc>
          <w:tcPr>
            <w:tcW w:w="872" w:type="dxa"/>
            <w:hideMark/>
          </w:tcPr>
          <w:p w14:paraId="18E87769" w14:textId="45000B58" w:rsidR="00CF72D5" w:rsidRPr="002029AF" w:rsidRDefault="00CF72D5" w:rsidP="00C51680">
            <w:pPr>
              <w:pStyle w:val="ARtabletextright"/>
              <w:spacing w:before="40" w:after="20"/>
            </w:pPr>
            <w:r w:rsidRPr="002029AF">
              <w:t>0</w:t>
            </w:r>
          </w:p>
        </w:tc>
        <w:tc>
          <w:tcPr>
            <w:tcW w:w="887" w:type="dxa"/>
            <w:hideMark/>
          </w:tcPr>
          <w:p w14:paraId="2939BEED" w14:textId="2DC008CF" w:rsidR="00CF72D5" w:rsidRPr="002029AF" w:rsidRDefault="00CF72D5" w:rsidP="00C51680">
            <w:pPr>
              <w:pStyle w:val="ARtabletextright"/>
              <w:spacing w:before="40" w:after="20"/>
            </w:pPr>
            <w:r w:rsidRPr="002029AF">
              <w:t>2</w:t>
            </w:r>
          </w:p>
        </w:tc>
        <w:tc>
          <w:tcPr>
            <w:tcW w:w="1022" w:type="dxa"/>
            <w:hideMark/>
          </w:tcPr>
          <w:p w14:paraId="275E6463" w14:textId="3B1EBEDF" w:rsidR="00CF72D5" w:rsidRPr="002029AF" w:rsidRDefault="00CF72D5" w:rsidP="00C51680">
            <w:pPr>
              <w:pStyle w:val="ARtabletextright"/>
              <w:spacing w:before="40" w:after="20"/>
            </w:pPr>
            <w:r w:rsidRPr="002029AF">
              <w:t>0</w:t>
            </w:r>
          </w:p>
        </w:tc>
        <w:tc>
          <w:tcPr>
            <w:tcW w:w="887" w:type="dxa"/>
            <w:hideMark/>
          </w:tcPr>
          <w:p w14:paraId="6B3DFF15" w14:textId="258D4A67" w:rsidR="00CF72D5" w:rsidRPr="002029AF" w:rsidRDefault="00CF72D5" w:rsidP="00C51680">
            <w:pPr>
              <w:pStyle w:val="ARtabletextrightbold"/>
              <w:spacing w:before="40" w:after="20"/>
            </w:pPr>
            <w:r w:rsidRPr="002029AF">
              <w:t>2</w:t>
            </w:r>
          </w:p>
        </w:tc>
      </w:tr>
      <w:tr w:rsidR="00CF72D5" w:rsidRPr="002029AF" w14:paraId="0DE4D994" w14:textId="77777777" w:rsidTr="00D40FE6">
        <w:tc>
          <w:tcPr>
            <w:tcW w:w="2944" w:type="dxa"/>
            <w:hideMark/>
          </w:tcPr>
          <w:p w14:paraId="0BB29095" w14:textId="44416248" w:rsidR="00CF72D5" w:rsidRPr="002029AF" w:rsidRDefault="00CF72D5" w:rsidP="00C51680">
            <w:pPr>
              <w:pStyle w:val="ARtabletext"/>
              <w:spacing w:before="40" w:after="20"/>
            </w:pPr>
            <w:r w:rsidRPr="002029AF">
              <w:lastRenderedPageBreak/>
              <w:t>Victorian</w:t>
            </w:r>
            <w:r w:rsidR="000A5329" w:rsidRPr="002029AF">
              <w:t xml:space="preserve"> </w:t>
            </w:r>
            <w:r w:rsidRPr="002029AF">
              <w:t>Institute</w:t>
            </w:r>
            <w:r w:rsidR="000A5329" w:rsidRPr="002029AF">
              <w:t xml:space="preserve"> </w:t>
            </w:r>
            <w:r w:rsidRPr="002029AF">
              <w:t>of</w:t>
            </w:r>
            <w:r w:rsidR="000A5329" w:rsidRPr="002029AF">
              <w:t xml:space="preserve"> </w:t>
            </w:r>
            <w:r w:rsidRPr="002029AF">
              <w:t>Forensic</w:t>
            </w:r>
            <w:r w:rsidR="000A5329" w:rsidRPr="002029AF">
              <w:t xml:space="preserve"> </w:t>
            </w:r>
            <w:r w:rsidRPr="002029AF">
              <w:t>Mental</w:t>
            </w:r>
            <w:r w:rsidR="000A5329" w:rsidRPr="002029AF">
              <w:t xml:space="preserve"> </w:t>
            </w:r>
            <w:r w:rsidRPr="002029AF">
              <w:t>Health</w:t>
            </w:r>
          </w:p>
        </w:tc>
        <w:tc>
          <w:tcPr>
            <w:tcW w:w="871" w:type="dxa"/>
            <w:hideMark/>
          </w:tcPr>
          <w:p w14:paraId="5C6161B8" w14:textId="386C1FA5" w:rsidR="00CF72D5" w:rsidRPr="002029AF" w:rsidRDefault="00CF72D5" w:rsidP="00C51680">
            <w:pPr>
              <w:pStyle w:val="ARtabletextright"/>
              <w:spacing w:before="40" w:after="20"/>
            </w:pPr>
            <w:r w:rsidRPr="002029AF">
              <w:t>4</w:t>
            </w:r>
          </w:p>
        </w:tc>
        <w:tc>
          <w:tcPr>
            <w:tcW w:w="886" w:type="dxa"/>
            <w:hideMark/>
          </w:tcPr>
          <w:p w14:paraId="1EEEB586" w14:textId="2706C8B2" w:rsidR="00CF72D5" w:rsidRPr="002029AF" w:rsidRDefault="00CF72D5" w:rsidP="00C51680">
            <w:pPr>
              <w:pStyle w:val="ARtabletextright"/>
              <w:spacing w:before="40" w:after="20"/>
            </w:pPr>
            <w:r w:rsidRPr="002029AF">
              <w:t>2</w:t>
            </w:r>
          </w:p>
        </w:tc>
        <w:tc>
          <w:tcPr>
            <w:tcW w:w="1021" w:type="dxa"/>
            <w:hideMark/>
          </w:tcPr>
          <w:p w14:paraId="46B69BD0" w14:textId="4A4E20A4" w:rsidR="00CF72D5" w:rsidRPr="002029AF" w:rsidRDefault="00CF72D5" w:rsidP="00C51680">
            <w:pPr>
              <w:pStyle w:val="ARtabletextright"/>
              <w:spacing w:before="40" w:after="20"/>
            </w:pPr>
            <w:r w:rsidRPr="002029AF">
              <w:t>0</w:t>
            </w:r>
          </w:p>
        </w:tc>
        <w:tc>
          <w:tcPr>
            <w:tcW w:w="917" w:type="dxa"/>
            <w:hideMark/>
          </w:tcPr>
          <w:p w14:paraId="66845500" w14:textId="32471476" w:rsidR="00CF72D5" w:rsidRPr="002029AF" w:rsidRDefault="00CF72D5" w:rsidP="00C51680">
            <w:pPr>
              <w:pStyle w:val="ARtabletextrightbold"/>
              <w:spacing w:before="40" w:after="20"/>
            </w:pPr>
            <w:r w:rsidRPr="002029AF">
              <w:t>6</w:t>
            </w:r>
          </w:p>
        </w:tc>
        <w:tc>
          <w:tcPr>
            <w:tcW w:w="887" w:type="dxa"/>
            <w:hideMark/>
          </w:tcPr>
          <w:p w14:paraId="7DBDC40D" w14:textId="6BE8C762" w:rsidR="00CF72D5" w:rsidRPr="002029AF" w:rsidRDefault="00CF72D5" w:rsidP="00C51680">
            <w:pPr>
              <w:pStyle w:val="ARtabletextright"/>
              <w:spacing w:before="40" w:after="20"/>
            </w:pPr>
            <w:r w:rsidRPr="002029AF">
              <w:t>1</w:t>
            </w:r>
          </w:p>
        </w:tc>
        <w:tc>
          <w:tcPr>
            <w:tcW w:w="887" w:type="dxa"/>
            <w:hideMark/>
          </w:tcPr>
          <w:p w14:paraId="74172BDE" w14:textId="5C35F69B" w:rsidR="00CF72D5" w:rsidRPr="002029AF" w:rsidRDefault="00CF72D5" w:rsidP="00C51680">
            <w:pPr>
              <w:pStyle w:val="ARtabletextright"/>
              <w:spacing w:before="40" w:after="20"/>
            </w:pPr>
            <w:r w:rsidRPr="002029AF">
              <w:t>3</w:t>
            </w:r>
          </w:p>
        </w:tc>
        <w:tc>
          <w:tcPr>
            <w:tcW w:w="1022" w:type="dxa"/>
            <w:hideMark/>
          </w:tcPr>
          <w:p w14:paraId="37FADB4F" w14:textId="1D4289D4" w:rsidR="00CF72D5" w:rsidRPr="002029AF" w:rsidRDefault="00CF72D5" w:rsidP="00C51680">
            <w:pPr>
              <w:pStyle w:val="ARtabletextright"/>
              <w:spacing w:before="40" w:after="20"/>
            </w:pPr>
            <w:r w:rsidRPr="002029AF">
              <w:t>0</w:t>
            </w:r>
          </w:p>
        </w:tc>
        <w:tc>
          <w:tcPr>
            <w:tcW w:w="902" w:type="dxa"/>
            <w:hideMark/>
          </w:tcPr>
          <w:p w14:paraId="2DBC42B0" w14:textId="1CAE449D" w:rsidR="00CF72D5" w:rsidRPr="002029AF" w:rsidRDefault="00CF72D5" w:rsidP="00C51680">
            <w:pPr>
              <w:pStyle w:val="ARtabletextrightbold"/>
              <w:spacing w:before="40" w:after="20"/>
            </w:pPr>
            <w:r w:rsidRPr="002029AF">
              <w:t>4</w:t>
            </w:r>
          </w:p>
        </w:tc>
        <w:tc>
          <w:tcPr>
            <w:tcW w:w="872" w:type="dxa"/>
            <w:hideMark/>
          </w:tcPr>
          <w:p w14:paraId="2A571D60" w14:textId="648AF028" w:rsidR="00CF72D5" w:rsidRPr="002029AF" w:rsidRDefault="00CF72D5" w:rsidP="00C51680">
            <w:pPr>
              <w:pStyle w:val="ARtabletextright"/>
              <w:spacing w:before="40" w:after="20"/>
            </w:pPr>
            <w:r w:rsidRPr="002029AF">
              <w:t>3</w:t>
            </w:r>
          </w:p>
        </w:tc>
        <w:tc>
          <w:tcPr>
            <w:tcW w:w="887" w:type="dxa"/>
            <w:hideMark/>
          </w:tcPr>
          <w:p w14:paraId="6B0EB1A2" w14:textId="412C266B" w:rsidR="00CF72D5" w:rsidRPr="002029AF" w:rsidRDefault="00CF72D5" w:rsidP="00C51680">
            <w:pPr>
              <w:pStyle w:val="ARtabletextright"/>
              <w:spacing w:before="40" w:after="20"/>
            </w:pPr>
            <w:r w:rsidRPr="002029AF">
              <w:t>-1</w:t>
            </w:r>
          </w:p>
        </w:tc>
        <w:tc>
          <w:tcPr>
            <w:tcW w:w="1022" w:type="dxa"/>
            <w:hideMark/>
          </w:tcPr>
          <w:p w14:paraId="2DC171D0" w14:textId="55CAA253" w:rsidR="00CF72D5" w:rsidRPr="002029AF" w:rsidRDefault="00CF72D5" w:rsidP="00C51680">
            <w:pPr>
              <w:pStyle w:val="ARtabletextright"/>
              <w:spacing w:before="40" w:after="20"/>
            </w:pPr>
            <w:r w:rsidRPr="002029AF">
              <w:t>0</w:t>
            </w:r>
          </w:p>
        </w:tc>
        <w:tc>
          <w:tcPr>
            <w:tcW w:w="887" w:type="dxa"/>
            <w:hideMark/>
          </w:tcPr>
          <w:p w14:paraId="71380A02" w14:textId="59C2209E" w:rsidR="00CF72D5" w:rsidRPr="002029AF" w:rsidRDefault="00CF72D5" w:rsidP="00C51680">
            <w:pPr>
              <w:pStyle w:val="ARtabletextrightbold"/>
              <w:spacing w:before="40" w:after="20"/>
            </w:pPr>
            <w:r w:rsidRPr="002029AF">
              <w:t>2</w:t>
            </w:r>
          </w:p>
        </w:tc>
      </w:tr>
      <w:tr w:rsidR="00CF72D5" w:rsidRPr="002029AF" w14:paraId="4CC29095" w14:textId="77777777" w:rsidTr="00D40FE6">
        <w:tc>
          <w:tcPr>
            <w:tcW w:w="2944" w:type="dxa"/>
            <w:hideMark/>
          </w:tcPr>
          <w:p w14:paraId="1F7BB725" w14:textId="63DD6CC4" w:rsidR="00CF72D5" w:rsidRPr="002029AF" w:rsidRDefault="00CF72D5" w:rsidP="00C51680">
            <w:pPr>
              <w:pStyle w:val="ARtabletext"/>
              <w:spacing w:before="40" w:after="20"/>
            </w:pPr>
            <w:r w:rsidRPr="002029AF">
              <w:t>Victorian</w:t>
            </w:r>
            <w:r w:rsidR="000A5329" w:rsidRPr="002029AF">
              <w:t xml:space="preserve"> </w:t>
            </w:r>
            <w:r w:rsidRPr="002029AF">
              <w:t>Pharmacy</w:t>
            </w:r>
            <w:r w:rsidR="000A5329" w:rsidRPr="002029AF">
              <w:t xml:space="preserve"> </w:t>
            </w:r>
            <w:r w:rsidRPr="002029AF">
              <w:t>Authority</w:t>
            </w:r>
          </w:p>
        </w:tc>
        <w:tc>
          <w:tcPr>
            <w:tcW w:w="871" w:type="dxa"/>
            <w:hideMark/>
          </w:tcPr>
          <w:p w14:paraId="682DB8A4" w14:textId="076A3EC5" w:rsidR="00CF72D5" w:rsidRPr="002029AF" w:rsidRDefault="00CF72D5" w:rsidP="00C51680">
            <w:pPr>
              <w:pStyle w:val="ARtabletextright"/>
              <w:spacing w:before="40" w:after="20"/>
            </w:pPr>
            <w:r w:rsidRPr="002029AF">
              <w:t>0</w:t>
            </w:r>
          </w:p>
        </w:tc>
        <w:tc>
          <w:tcPr>
            <w:tcW w:w="886" w:type="dxa"/>
            <w:hideMark/>
          </w:tcPr>
          <w:p w14:paraId="3D11603E" w14:textId="11F6B83A" w:rsidR="00CF72D5" w:rsidRPr="002029AF" w:rsidRDefault="00CF72D5" w:rsidP="00C51680">
            <w:pPr>
              <w:pStyle w:val="ARtabletextright"/>
              <w:spacing w:before="40" w:after="20"/>
            </w:pPr>
            <w:r w:rsidRPr="002029AF">
              <w:t>1</w:t>
            </w:r>
          </w:p>
        </w:tc>
        <w:tc>
          <w:tcPr>
            <w:tcW w:w="1021" w:type="dxa"/>
            <w:hideMark/>
          </w:tcPr>
          <w:p w14:paraId="5EA5FD3E" w14:textId="41064670" w:rsidR="00CF72D5" w:rsidRPr="002029AF" w:rsidRDefault="00CF72D5" w:rsidP="00C51680">
            <w:pPr>
              <w:pStyle w:val="ARtabletextright"/>
              <w:spacing w:before="40" w:after="20"/>
            </w:pPr>
            <w:r w:rsidRPr="002029AF">
              <w:t>0</w:t>
            </w:r>
          </w:p>
        </w:tc>
        <w:tc>
          <w:tcPr>
            <w:tcW w:w="917" w:type="dxa"/>
            <w:hideMark/>
          </w:tcPr>
          <w:p w14:paraId="20F121BF" w14:textId="28C90776" w:rsidR="00CF72D5" w:rsidRPr="002029AF" w:rsidRDefault="00CF72D5" w:rsidP="00C51680">
            <w:pPr>
              <w:pStyle w:val="ARtabletextrightbold"/>
              <w:spacing w:before="40" w:after="20"/>
            </w:pPr>
            <w:r w:rsidRPr="002029AF">
              <w:t>1</w:t>
            </w:r>
          </w:p>
        </w:tc>
        <w:tc>
          <w:tcPr>
            <w:tcW w:w="887" w:type="dxa"/>
            <w:hideMark/>
          </w:tcPr>
          <w:p w14:paraId="5DA85747" w14:textId="43300C5D" w:rsidR="00CF72D5" w:rsidRPr="002029AF" w:rsidRDefault="00CF72D5" w:rsidP="00C51680">
            <w:pPr>
              <w:pStyle w:val="ARtabletextright"/>
              <w:spacing w:before="40" w:after="20"/>
            </w:pPr>
            <w:r w:rsidRPr="002029AF">
              <w:t>0</w:t>
            </w:r>
          </w:p>
        </w:tc>
        <w:tc>
          <w:tcPr>
            <w:tcW w:w="887" w:type="dxa"/>
            <w:hideMark/>
          </w:tcPr>
          <w:p w14:paraId="1E293628" w14:textId="2557251A" w:rsidR="00CF72D5" w:rsidRPr="002029AF" w:rsidRDefault="00CF72D5" w:rsidP="00C51680">
            <w:pPr>
              <w:pStyle w:val="ARtabletextright"/>
              <w:spacing w:before="40" w:after="20"/>
            </w:pPr>
            <w:r w:rsidRPr="002029AF">
              <w:t>1</w:t>
            </w:r>
          </w:p>
        </w:tc>
        <w:tc>
          <w:tcPr>
            <w:tcW w:w="1022" w:type="dxa"/>
            <w:hideMark/>
          </w:tcPr>
          <w:p w14:paraId="2E0F5D92" w14:textId="1B371DB4" w:rsidR="00CF72D5" w:rsidRPr="002029AF" w:rsidRDefault="00CF72D5" w:rsidP="00C51680">
            <w:pPr>
              <w:pStyle w:val="ARtabletextright"/>
              <w:spacing w:before="40" w:after="20"/>
            </w:pPr>
            <w:r w:rsidRPr="002029AF">
              <w:t>0</w:t>
            </w:r>
          </w:p>
        </w:tc>
        <w:tc>
          <w:tcPr>
            <w:tcW w:w="902" w:type="dxa"/>
            <w:hideMark/>
          </w:tcPr>
          <w:p w14:paraId="1E8576FE" w14:textId="2C7B5244" w:rsidR="00CF72D5" w:rsidRPr="002029AF" w:rsidRDefault="00CF72D5" w:rsidP="00C51680">
            <w:pPr>
              <w:pStyle w:val="ARtabletextrightbold"/>
              <w:spacing w:before="40" w:after="20"/>
            </w:pPr>
            <w:r w:rsidRPr="002029AF">
              <w:t>1</w:t>
            </w:r>
          </w:p>
        </w:tc>
        <w:tc>
          <w:tcPr>
            <w:tcW w:w="872" w:type="dxa"/>
            <w:hideMark/>
          </w:tcPr>
          <w:p w14:paraId="0132B6A9" w14:textId="120FC64F" w:rsidR="00CF72D5" w:rsidRPr="002029AF" w:rsidRDefault="00CF72D5" w:rsidP="00C51680">
            <w:pPr>
              <w:pStyle w:val="ARtabletextright"/>
              <w:spacing w:before="40" w:after="20"/>
            </w:pPr>
            <w:r w:rsidRPr="002029AF">
              <w:t>0</w:t>
            </w:r>
          </w:p>
        </w:tc>
        <w:tc>
          <w:tcPr>
            <w:tcW w:w="887" w:type="dxa"/>
            <w:hideMark/>
          </w:tcPr>
          <w:p w14:paraId="11961058" w14:textId="023782BE" w:rsidR="00CF72D5" w:rsidRPr="002029AF" w:rsidRDefault="00CF72D5" w:rsidP="00C51680">
            <w:pPr>
              <w:pStyle w:val="ARtabletextright"/>
              <w:spacing w:before="40" w:after="20"/>
            </w:pPr>
            <w:r w:rsidRPr="002029AF">
              <w:t>0</w:t>
            </w:r>
          </w:p>
        </w:tc>
        <w:tc>
          <w:tcPr>
            <w:tcW w:w="1022" w:type="dxa"/>
            <w:hideMark/>
          </w:tcPr>
          <w:p w14:paraId="44FDB41F" w14:textId="269F75C9" w:rsidR="00CF72D5" w:rsidRPr="002029AF" w:rsidRDefault="00CF72D5" w:rsidP="00C51680">
            <w:pPr>
              <w:pStyle w:val="ARtabletextright"/>
              <w:spacing w:before="40" w:after="20"/>
            </w:pPr>
            <w:r w:rsidRPr="002029AF">
              <w:t>0</w:t>
            </w:r>
          </w:p>
        </w:tc>
        <w:tc>
          <w:tcPr>
            <w:tcW w:w="887" w:type="dxa"/>
            <w:hideMark/>
          </w:tcPr>
          <w:p w14:paraId="53F3D86C" w14:textId="4E7673CB" w:rsidR="00CF72D5" w:rsidRPr="002029AF" w:rsidRDefault="00CF72D5" w:rsidP="00C51680">
            <w:pPr>
              <w:pStyle w:val="ARtabletextrightbold"/>
              <w:spacing w:before="40" w:after="20"/>
            </w:pPr>
            <w:r w:rsidRPr="002029AF">
              <w:t>0</w:t>
            </w:r>
          </w:p>
        </w:tc>
      </w:tr>
      <w:tr w:rsidR="00CF72D5" w:rsidRPr="002029AF" w14:paraId="193D78E6" w14:textId="77777777" w:rsidTr="00D40FE6">
        <w:tc>
          <w:tcPr>
            <w:tcW w:w="2944" w:type="dxa"/>
            <w:hideMark/>
          </w:tcPr>
          <w:p w14:paraId="5F318CCD" w14:textId="0E585CFF" w:rsidR="00CF72D5" w:rsidRPr="002029AF" w:rsidRDefault="00CF72D5" w:rsidP="00C51680">
            <w:pPr>
              <w:pStyle w:val="ARtabletext"/>
              <w:spacing w:before="40" w:after="20"/>
            </w:pPr>
            <w:r w:rsidRPr="002029AF">
              <w:t>West</w:t>
            </w:r>
            <w:r w:rsidR="000A5329" w:rsidRPr="002029AF">
              <w:t xml:space="preserve"> </w:t>
            </w:r>
            <w:r w:rsidRPr="002029AF">
              <w:t>Gippsland</w:t>
            </w:r>
            <w:r w:rsidR="000A5329" w:rsidRPr="002029AF">
              <w:t xml:space="preserve"> </w:t>
            </w:r>
            <w:r w:rsidRPr="002029AF">
              <w:t>Healthcare</w:t>
            </w:r>
            <w:r w:rsidR="000A5329" w:rsidRPr="002029AF">
              <w:t xml:space="preserve"> </w:t>
            </w:r>
            <w:r w:rsidRPr="002029AF">
              <w:t>Group</w:t>
            </w:r>
          </w:p>
        </w:tc>
        <w:tc>
          <w:tcPr>
            <w:tcW w:w="871" w:type="dxa"/>
            <w:hideMark/>
          </w:tcPr>
          <w:p w14:paraId="0AF38B2A" w14:textId="31450013" w:rsidR="00CF72D5" w:rsidRPr="002029AF" w:rsidRDefault="00CF72D5" w:rsidP="00C51680">
            <w:pPr>
              <w:pStyle w:val="ARtabletextright"/>
              <w:spacing w:before="40" w:after="20"/>
            </w:pPr>
            <w:r w:rsidRPr="002029AF">
              <w:t>0</w:t>
            </w:r>
          </w:p>
        </w:tc>
        <w:tc>
          <w:tcPr>
            <w:tcW w:w="886" w:type="dxa"/>
            <w:hideMark/>
          </w:tcPr>
          <w:p w14:paraId="3C2E72F2" w14:textId="3F209DC3" w:rsidR="00CF72D5" w:rsidRPr="002029AF" w:rsidRDefault="00CF72D5" w:rsidP="00C51680">
            <w:pPr>
              <w:pStyle w:val="ARtabletextright"/>
              <w:spacing w:before="40" w:after="20"/>
            </w:pPr>
            <w:r w:rsidRPr="002029AF">
              <w:t>2</w:t>
            </w:r>
          </w:p>
        </w:tc>
        <w:tc>
          <w:tcPr>
            <w:tcW w:w="1021" w:type="dxa"/>
            <w:hideMark/>
          </w:tcPr>
          <w:p w14:paraId="5CFC7997" w14:textId="615118E8" w:rsidR="00CF72D5" w:rsidRPr="002029AF" w:rsidRDefault="00CF72D5" w:rsidP="00C51680">
            <w:pPr>
              <w:pStyle w:val="ARtabletextright"/>
              <w:spacing w:before="40" w:after="20"/>
            </w:pPr>
            <w:r w:rsidRPr="002029AF">
              <w:t>0</w:t>
            </w:r>
          </w:p>
        </w:tc>
        <w:tc>
          <w:tcPr>
            <w:tcW w:w="917" w:type="dxa"/>
            <w:hideMark/>
          </w:tcPr>
          <w:p w14:paraId="5CD1813A" w14:textId="7F3558AA" w:rsidR="00CF72D5" w:rsidRPr="002029AF" w:rsidRDefault="00CF72D5" w:rsidP="00C51680">
            <w:pPr>
              <w:pStyle w:val="ARtabletextrightbold"/>
              <w:spacing w:before="40" w:after="20"/>
            </w:pPr>
            <w:r w:rsidRPr="002029AF">
              <w:t>2</w:t>
            </w:r>
          </w:p>
        </w:tc>
        <w:tc>
          <w:tcPr>
            <w:tcW w:w="887" w:type="dxa"/>
            <w:hideMark/>
          </w:tcPr>
          <w:p w14:paraId="6C577312" w14:textId="3C977089" w:rsidR="00CF72D5" w:rsidRPr="002029AF" w:rsidRDefault="00CF72D5" w:rsidP="00C51680">
            <w:pPr>
              <w:pStyle w:val="ARtabletextright"/>
              <w:spacing w:before="40" w:after="20"/>
            </w:pPr>
            <w:r w:rsidRPr="002029AF">
              <w:t>1</w:t>
            </w:r>
          </w:p>
        </w:tc>
        <w:tc>
          <w:tcPr>
            <w:tcW w:w="887" w:type="dxa"/>
            <w:hideMark/>
          </w:tcPr>
          <w:p w14:paraId="71E6740B" w14:textId="18C51E80" w:rsidR="00CF72D5" w:rsidRPr="002029AF" w:rsidRDefault="00CF72D5" w:rsidP="00C51680">
            <w:pPr>
              <w:pStyle w:val="ARtabletextright"/>
              <w:spacing w:before="40" w:after="20"/>
            </w:pPr>
            <w:r w:rsidRPr="002029AF">
              <w:t>2</w:t>
            </w:r>
          </w:p>
        </w:tc>
        <w:tc>
          <w:tcPr>
            <w:tcW w:w="1022" w:type="dxa"/>
            <w:hideMark/>
          </w:tcPr>
          <w:p w14:paraId="30FEC99A" w14:textId="5D2FC919" w:rsidR="00CF72D5" w:rsidRPr="002029AF" w:rsidRDefault="00CF72D5" w:rsidP="00C51680">
            <w:pPr>
              <w:pStyle w:val="ARtabletextright"/>
              <w:spacing w:before="40" w:after="20"/>
            </w:pPr>
            <w:r w:rsidRPr="002029AF">
              <w:t>0</w:t>
            </w:r>
          </w:p>
        </w:tc>
        <w:tc>
          <w:tcPr>
            <w:tcW w:w="902" w:type="dxa"/>
            <w:hideMark/>
          </w:tcPr>
          <w:p w14:paraId="3988D94F" w14:textId="0D42B18E" w:rsidR="00CF72D5" w:rsidRPr="002029AF" w:rsidRDefault="00CF72D5" w:rsidP="00C51680">
            <w:pPr>
              <w:pStyle w:val="ARtabletextrightbold"/>
              <w:spacing w:before="40" w:after="20"/>
            </w:pPr>
            <w:r w:rsidRPr="002029AF">
              <w:t>3</w:t>
            </w:r>
          </w:p>
        </w:tc>
        <w:tc>
          <w:tcPr>
            <w:tcW w:w="872" w:type="dxa"/>
            <w:hideMark/>
          </w:tcPr>
          <w:p w14:paraId="520586A9" w14:textId="52A25686" w:rsidR="00CF72D5" w:rsidRPr="002029AF" w:rsidRDefault="00CF72D5" w:rsidP="00C51680">
            <w:pPr>
              <w:pStyle w:val="ARtabletextright"/>
              <w:spacing w:before="40" w:after="20"/>
            </w:pPr>
            <w:r w:rsidRPr="002029AF">
              <w:t>-1</w:t>
            </w:r>
          </w:p>
        </w:tc>
        <w:tc>
          <w:tcPr>
            <w:tcW w:w="887" w:type="dxa"/>
            <w:hideMark/>
          </w:tcPr>
          <w:p w14:paraId="390BEEDE" w14:textId="38DE2686" w:rsidR="00CF72D5" w:rsidRPr="002029AF" w:rsidRDefault="00CF72D5" w:rsidP="00C51680">
            <w:pPr>
              <w:pStyle w:val="ARtabletextright"/>
              <w:spacing w:before="40" w:after="20"/>
            </w:pPr>
            <w:r w:rsidRPr="002029AF">
              <w:t>0</w:t>
            </w:r>
          </w:p>
        </w:tc>
        <w:tc>
          <w:tcPr>
            <w:tcW w:w="1022" w:type="dxa"/>
            <w:hideMark/>
          </w:tcPr>
          <w:p w14:paraId="19D77C97" w14:textId="3D78C656" w:rsidR="00CF72D5" w:rsidRPr="002029AF" w:rsidRDefault="00CF72D5" w:rsidP="00C51680">
            <w:pPr>
              <w:pStyle w:val="ARtabletextright"/>
              <w:spacing w:before="40" w:after="20"/>
            </w:pPr>
            <w:r w:rsidRPr="002029AF">
              <w:t>0</w:t>
            </w:r>
          </w:p>
        </w:tc>
        <w:tc>
          <w:tcPr>
            <w:tcW w:w="887" w:type="dxa"/>
            <w:hideMark/>
          </w:tcPr>
          <w:p w14:paraId="7AD35A55" w14:textId="5D5D9B0C" w:rsidR="00CF72D5" w:rsidRPr="002029AF" w:rsidRDefault="00CF72D5" w:rsidP="00C51680">
            <w:pPr>
              <w:pStyle w:val="ARtabletextrightbold"/>
              <w:spacing w:before="40" w:after="20"/>
            </w:pPr>
            <w:r w:rsidRPr="002029AF">
              <w:t>-1</w:t>
            </w:r>
          </w:p>
        </w:tc>
      </w:tr>
      <w:tr w:rsidR="00CF72D5" w:rsidRPr="002029AF" w14:paraId="45E47000" w14:textId="77777777" w:rsidTr="00D40FE6">
        <w:tc>
          <w:tcPr>
            <w:tcW w:w="2944" w:type="dxa"/>
            <w:hideMark/>
          </w:tcPr>
          <w:p w14:paraId="6653D982" w14:textId="28B0E84C" w:rsidR="00CF72D5" w:rsidRPr="002029AF" w:rsidRDefault="00CF72D5" w:rsidP="00C51680">
            <w:pPr>
              <w:pStyle w:val="ARtabletext"/>
              <w:spacing w:before="40" w:after="20"/>
            </w:pPr>
            <w:r w:rsidRPr="002029AF">
              <w:t>West</w:t>
            </w:r>
            <w:r w:rsidR="000A5329" w:rsidRPr="002029AF">
              <w:t xml:space="preserve"> </w:t>
            </w:r>
            <w:r w:rsidRPr="002029AF">
              <w:t>Wimmera</w:t>
            </w:r>
            <w:r w:rsidR="000A5329" w:rsidRPr="002029AF">
              <w:t xml:space="preserve"> </w:t>
            </w:r>
            <w:r w:rsidRPr="002029AF">
              <w:t>Health</w:t>
            </w:r>
            <w:r w:rsidR="000A5329" w:rsidRPr="002029AF">
              <w:t xml:space="preserve"> </w:t>
            </w:r>
            <w:r w:rsidRPr="002029AF">
              <w:t>Service</w:t>
            </w:r>
          </w:p>
        </w:tc>
        <w:tc>
          <w:tcPr>
            <w:tcW w:w="871" w:type="dxa"/>
            <w:hideMark/>
          </w:tcPr>
          <w:p w14:paraId="39CC34C8" w14:textId="6B11F1F9" w:rsidR="00CF72D5" w:rsidRPr="002029AF" w:rsidRDefault="00CF72D5" w:rsidP="00C51680">
            <w:pPr>
              <w:pStyle w:val="ARtabletextright"/>
              <w:spacing w:before="40" w:after="20"/>
            </w:pPr>
            <w:r w:rsidRPr="002029AF">
              <w:t>2</w:t>
            </w:r>
          </w:p>
        </w:tc>
        <w:tc>
          <w:tcPr>
            <w:tcW w:w="886" w:type="dxa"/>
            <w:hideMark/>
          </w:tcPr>
          <w:p w14:paraId="6A11AD5A" w14:textId="2A7CDCC3" w:rsidR="00CF72D5" w:rsidRPr="002029AF" w:rsidRDefault="00CF72D5" w:rsidP="00C51680">
            <w:pPr>
              <w:pStyle w:val="ARtabletextright"/>
              <w:spacing w:before="40" w:after="20"/>
            </w:pPr>
            <w:r w:rsidRPr="002029AF">
              <w:t>2</w:t>
            </w:r>
          </w:p>
        </w:tc>
        <w:tc>
          <w:tcPr>
            <w:tcW w:w="1021" w:type="dxa"/>
            <w:hideMark/>
          </w:tcPr>
          <w:p w14:paraId="43344796" w14:textId="132DEFB2" w:rsidR="00CF72D5" w:rsidRPr="002029AF" w:rsidRDefault="00CF72D5" w:rsidP="00C51680">
            <w:pPr>
              <w:pStyle w:val="ARtabletextright"/>
              <w:spacing w:before="40" w:after="20"/>
            </w:pPr>
            <w:r w:rsidRPr="002029AF">
              <w:t>0</w:t>
            </w:r>
          </w:p>
        </w:tc>
        <w:tc>
          <w:tcPr>
            <w:tcW w:w="917" w:type="dxa"/>
            <w:hideMark/>
          </w:tcPr>
          <w:p w14:paraId="47AB22ED" w14:textId="645144BF" w:rsidR="00CF72D5" w:rsidRPr="002029AF" w:rsidRDefault="00CF72D5" w:rsidP="00C51680">
            <w:pPr>
              <w:pStyle w:val="ARtabletextrightbold"/>
              <w:spacing w:before="40" w:after="20"/>
            </w:pPr>
            <w:r w:rsidRPr="002029AF">
              <w:t>4</w:t>
            </w:r>
          </w:p>
        </w:tc>
        <w:tc>
          <w:tcPr>
            <w:tcW w:w="887" w:type="dxa"/>
            <w:hideMark/>
          </w:tcPr>
          <w:p w14:paraId="0B67CB59" w14:textId="1CC73F5C" w:rsidR="00CF72D5" w:rsidRPr="002029AF" w:rsidRDefault="00CF72D5" w:rsidP="00C51680">
            <w:pPr>
              <w:pStyle w:val="ARtabletextright"/>
              <w:spacing w:before="40" w:after="20"/>
            </w:pPr>
            <w:r w:rsidRPr="002029AF">
              <w:t>2</w:t>
            </w:r>
          </w:p>
        </w:tc>
        <w:tc>
          <w:tcPr>
            <w:tcW w:w="887" w:type="dxa"/>
            <w:hideMark/>
          </w:tcPr>
          <w:p w14:paraId="27F0C25E" w14:textId="22D67C73" w:rsidR="00CF72D5" w:rsidRPr="002029AF" w:rsidRDefault="00CF72D5" w:rsidP="00C51680">
            <w:pPr>
              <w:pStyle w:val="ARtabletextright"/>
              <w:spacing w:before="40" w:after="20"/>
            </w:pPr>
            <w:r w:rsidRPr="002029AF">
              <w:t>2</w:t>
            </w:r>
          </w:p>
        </w:tc>
        <w:tc>
          <w:tcPr>
            <w:tcW w:w="1022" w:type="dxa"/>
            <w:hideMark/>
          </w:tcPr>
          <w:p w14:paraId="5A5D49FE" w14:textId="1970FAF5" w:rsidR="00CF72D5" w:rsidRPr="002029AF" w:rsidRDefault="00CF72D5" w:rsidP="00C51680">
            <w:pPr>
              <w:pStyle w:val="ARtabletextright"/>
              <w:spacing w:before="40" w:after="20"/>
            </w:pPr>
            <w:r w:rsidRPr="002029AF">
              <w:t>0</w:t>
            </w:r>
          </w:p>
        </w:tc>
        <w:tc>
          <w:tcPr>
            <w:tcW w:w="902" w:type="dxa"/>
            <w:hideMark/>
          </w:tcPr>
          <w:p w14:paraId="47EC77CE" w14:textId="1E583ECE" w:rsidR="00CF72D5" w:rsidRPr="002029AF" w:rsidRDefault="00CF72D5" w:rsidP="00C51680">
            <w:pPr>
              <w:pStyle w:val="ARtabletextrightbold"/>
              <w:spacing w:before="40" w:after="20"/>
            </w:pPr>
            <w:r w:rsidRPr="002029AF">
              <w:t>4</w:t>
            </w:r>
          </w:p>
        </w:tc>
        <w:tc>
          <w:tcPr>
            <w:tcW w:w="872" w:type="dxa"/>
            <w:hideMark/>
          </w:tcPr>
          <w:p w14:paraId="55BCEE34" w14:textId="3A6E2859" w:rsidR="00CF72D5" w:rsidRPr="002029AF" w:rsidRDefault="00CF72D5" w:rsidP="00C51680">
            <w:pPr>
              <w:pStyle w:val="ARtabletextright"/>
              <w:spacing w:before="40" w:after="20"/>
            </w:pPr>
            <w:r w:rsidRPr="002029AF">
              <w:t>0</w:t>
            </w:r>
          </w:p>
        </w:tc>
        <w:tc>
          <w:tcPr>
            <w:tcW w:w="887" w:type="dxa"/>
            <w:hideMark/>
          </w:tcPr>
          <w:p w14:paraId="4C0B2EF6" w14:textId="2F0EAB0F" w:rsidR="00CF72D5" w:rsidRPr="002029AF" w:rsidRDefault="00CF72D5" w:rsidP="00C51680">
            <w:pPr>
              <w:pStyle w:val="ARtabletextright"/>
              <w:spacing w:before="40" w:after="20"/>
            </w:pPr>
            <w:r w:rsidRPr="002029AF">
              <w:t>0</w:t>
            </w:r>
          </w:p>
        </w:tc>
        <w:tc>
          <w:tcPr>
            <w:tcW w:w="1022" w:type="dxa"/>
            <w:hideMark/>
          </w:tcPr>
          <w:p w14:paraId="641566B0" w14:textId="60C53849" w:rsidR="00CF72D5" w:rsidRPr="002029AF" w:rsidRDefault="00CF72D5" w:rsidP="00C51680">
            <w:pPr>
              <w:pStyle w:val="ARtabletextright"/>
              <w:spacing w:before="40" w:after="20"/>
            </w:pPr>
            <w:r w:rsidRPr="002029AF">
              <w:t>0</w:t>
            </w:r>
          </w:p>
        </w:tc>
        <w:tc>
          <w:tcPr>
            <w:tcW w:w="887" w:type="dxa"/>
            <w:hideMark/>
          </w:tcPr>
          <w:p w14:paraId="2411472E" w14:textId="090D408F" w:rsidR="00CF72D5" w:rsidRPr="002029AF" w:rsidRDefault="00CF72D5" w:rsidP="00C51680">
            <w:pPr>
              <w:pStyle w:val="ARtabletextrightbold"/>
              <w:spacing w:before="40" w:after="20"/>
            </w:pPr>
            <w:r w:rsidRPr="002029AF">
              <w:t>0</w:t>
            </w:r>
          </w:p>
        </w:tc>
      </w:tr>
      <w:tr w:rsidR="00CF72D5" w:rsidRPr="002029AF" w14:paraId="5F17C770" w14:textId="77777777" w:rsidTr="00D40FE6">
        <w:tc>
          <w:tcPr>
            <w:tcW w:w="2944" w:type="dxa"/>
            <w:hideMark/>
          </w:tcPr>
          <w:p w14:paraId="67A983FE" w14:textId="1CDB2EAD" w:rsidR="00CF72D5" w:rsidRPr="002029AF" w:rsidRDefault="00CF72D5" w:rsidP="00C51680">
            <w:pPr>
              <w:pStyle w:val="ARtabletext"/>
              <w:spacing w:before="40" w:after="20"/>
            </w:pPr>
            <w:r w:rsidRPr="002029AF">
              <w:t>Western</w:t>
            </w:r>
            <w:r w:rsidR="000A5329" w:rsidRPr="002029AF">
              <w:t xml:space="preserve"> </w:t>
            </w:r>
            <w:r w:rsidRPr="002029AF">
              <w:t>District</w:t>
            </w:r>
            <w:r w:rsidR="000A5329" w:rsidRPr="002029AF">
              <w:t xml:space="preserve"> </w:t>
            </w:r>
            <w:r w:rsidRPr="002029AF">
              <w:t>Health</w:t>
            </w:r>
            <w:r w:rsidR="000A5329" w:rsidRPr="002029AF">
              <w:t xml:space="preserve"> </w:t>
            </w:r>
            <w:r w:rsidRPr="002029AF">
              <w:t>Service</w:t>
            </w:r>
          </w:p>
        </w:tc>
        <w:tc>
          <w:tcPr>
            <w:tcW w:w="871" w:type="dxa"/>
            <w:hideMark/>
          </w:tcPr>
          <w:p w14:paraId="6D3998DD" w14:textId="5C7260F9" w:rsidR="00CF72D5" w:rsidRPr="002029AF" w:rsidRDefault="00CF72D5" w:rsidP="00C51680">
            <w:pPr>
              <w:pStyle w:val="ARtabletextright"/>
              <w:spacing w:before="40" w:after="20"/>
            </w:pPr>
            <w:r w:rsidRPr="002029AF">
              <w:t>0</w:t>
            </w:r>
          </w:p>
        </w:tc>
        <w:tc>
          <w:tcPr>
            <w:tcW w:w="886" w:type="dxa"/>
            <w:hideMark/>
          </w:tcPr>
          <w:p w14:paraId="55AA3E36" w14:textId="2AFF250C" w:rsidR="00CF72D5" w:rsidRPr="002029AF" w:rsidRDefault="00CF72D5" w:rsidP="00C51680">
            <w:pPr>
              <w:pStyle w:val="ARtabletextright"/>
              <w:spacing w:before="40" w:after="20"/>
            </w:pPr>
            <w:r w:rsidRPr="002029AF">
              <w:t>1</w:t>
            </w:r>
          </w:p>
        </w:tc>
        <w:tc>
          <w:tcPr>
            <w:tcW w:w="1021" w:type="dxa"/>
            <w:hideMark/>
          </w:tcPr>
          <w:p w14:paraId="7F21750E" w14:textId="193D091D" w:rsidR="00CF72D5" w:rsidRPr="002029AF" w:rsidRDefault="00CF72D5" w:rsidP="00C51680">
            <w:pPr>
              <w:pStyle w:val="ARtabletextright"/>
              <w:spacing w:before="40" w:after="20"/>
            </w:pPr>
            <w:r w:rsidRPr="002029AF">
              <w:t>0</w:t>
            </w:r>
          </w:p>
        </w:tc>
        <w:tc>
          <w:tcPr>
            <w:tcW w:w="917" w:type="dxa"/>
            <w:hideMark/>
          </w:tcPr>
          <w:p w14:paraId="41949950" w14:textId="55936983" w:rsidR="00CF72D5" w:rsidRPr="002029AF" w:rsidRDefault="00CF72D5" w:rsidP="00C51680">
            <w:pPr>
              <w:pStyle w:val="ARtabletextrightbold"/>
              <w:spacing w:before="40" w:after="20"/>
            </w:pPr>
            <w:r w:rsidRPr="002029AF">
              <w:t>1</w:t>
            </w:r>
          </w:p>
        </w:tc>
        <w:tc>
          <w:tcPr>
            <w:tcW w:w="887" w:type="dxa"/>
            <w:hideMark/>
          </w:tcPr>
          <w:p w14:paraId="7CCA7C62" w14:textId="1343A77A" w:rsidR="00CF72D5" w:rsidRPr="002029AF" w:rsidRDefault="00CF72D5" w:rsidP="00C51680">
            <w:pPr>
              <w:pStyle w:val="ARtabletextright"/>
              <w:spacing w:before="40" w:after="20"/>
            </w:pPr>
            <w:r w:rsidRPr="002029AF">
              <w:t>0</w:t>
            </w:r>
          </w:p>
        </w:tc>
        <w:tc>
          <w:tcPr>
            <w:tcW w:w="887" w:type="dxa"/>
            <w:hideMark/>
          </w:tcPr>
          <w:p w14:paraId="7F12B222" w14:textId="257CA17A" w:rsidR="00CF72D5" w:rsidRPr="002029AF" w:rsidRDefault="00CF72D5" w:rsidP="00C51680">
            <w:pPr>
              <w:pStyle w:val="ARtabletextright"/>
              <w:spacing w:before="40" w:after="20"/>
            </w:pPr>
            <w:r w:rsidRPr="002029AF">
              <w:t>1</w:t>
            </w:r>
          </w:p>
        </w:tc>
        <w:tc>
          <w:tcPr>
            <w:tcW w:w="1022" w:type="dxa"/>
            <w:hideMark/>
          </w:tcPr>
          <w:p w14:paraId="0B48D058" w14:textId="394B9AF7" w:rsidR="00CF72D5" w:rsidRPr="002029AF" w:rsidRDefault="00CF72D5" w:rsidP="00C51680">
            <w:pPr>
              <w:pStyle w:val="ARtabletextright"/>
              <w:spacing w:before="40" w:after="20"/>
            </w:pPr>
            <w:r w:rsidRPr="002029AF">
              <w:t>0</w:t>
            </w:r>
          </w:p>
        </w:tc>
        <w:tc>
          <w:tcPr>
            <w:tcW w:w="902" w:type="dxa"/>
            <w:hideMark/>
          </w:tcPr>
          <w:p w14:paraId="036D7B8A" w14:textId="2484C0D0" w:rsidR="00CF72D5" w:rsidRPr="002029AF" w:rsidRDefault="00CF72D5" w:rsidP="00C51680">
            <w:pPr>
              <w:pStyle w:val="ARtabletextrightbold"/>
              <w:spacing w:before="40" w:after="20"/>
            </w:pPr>
            <w:r w:rsidRPr="002029AF">
              <w:t>1</w:t>
            </w:r>
          </w:p>
        </w:tc>
        <w:tc>
          <w:tcPr>
            <w:tcW w:w="872" w:type="dxa"/>
            <w:hideMark/>
          </w:tcPr>
          <w:p w14:paraId="1A29201F" w14:textId="13E59F31" w:rsidR="00CF72D5" w:rsidRPr="002029AF" w:rsidRDefault="00CF72D5" w:rsidP="00C51680">
            <w:pPr>
              <w:pStyle w:val="ARtabletextright"/>
              <w:spacing w:before="40" w:after="20"/>
            </w:pPr>
            <w:r w:rsidRPr="002029AF">
              <w:t>0</w:t>
            </w:r>
          </w:p>
        </w:tc>
        <w:tc>
          <w:tcPr>
            <w:tcW w:w="887" w:type="dxa"/>
            <w:hideMark/>
          </w:tcPr>
          <w:p w14:paraId="36C20793" w14:textId="6B18D40B" w:rsidR="00CF72D5" w:rsidRPr="002029AF" w:rsidRDefault="00CF72D5" w:rsidP="00C51680">
            <w:pPr>
              <w:pStyle w:val="ARtabletextright"/>
              <w:spacing w:before="40" w:after="20"/>
            </w:pPr>
            <w:r w:rsidRPr="002029AF">
              <w:t>0</w:t>
            </w:r>
          </w:p>
        </w:tc>
        <w:tc>
          <w:tcPr>
            <w:tcW w:w="1022" w:type="dxa"/>
            <w:hideMark/>
          </w:tcPr>
          <w:p w14:paraId="4CA962BA" w14:textId="328BA182" w:rsidR="00CF72D5" w:rsidRPr="002029AF" w:rsidRDefault="00CF72D5" w:rsidP="00C51680">
            <w:pPr>
              <w:pStyle w:val="ARtabletextright"/>
              <w:spacing w:before="40" w:after="20"/>
            </w:pPr>
            <w:r w:rsidRPr="002029AF">
              <w:t>0</w:t>
            </w:r>
          </w:p>
        </w:tc>
        <w:tc>
          <w:tcPr>
            <w:tcW w:w="887" w:type="dxa"/>
            <w:hideMark/>
          </w:tcPr>
          <w:p w14:paraId="193D489F" w14:textId="31BFC747" w:rsidR="00CF72D5" w:rsidRPr="002029AF" w:rsidRDefault="00CF72D5" w:rsidP="00C51680">
            <w:pPr>
              <w:pStyle w:val="ARtabletextrightbold"/>
              <w:spacing w:before="40" w:after="20"/>
            </w:pPr>
            <w:r w:rsidRPr="002029AF">
              <w:t>0</w:t>
            </w:r>
          </w:p>
        </w:tc>
      </w:tr>
      <w:tr w:rsidR="00CF72D5" w:rsidRPr="002029AF" w14:paraId="320F8C68" w14:textId="77777777" w:rsidTr="00D40FE6">
        <w:tc>
          <w:tcPr>
            <w:tcW w:w="2944" w:type="dxa"/>
            <w:hideMark/>
          </w:tcPr>
          <w:p w14:paraId="2E4AFF10" w14:textId="00E86911" w:rsidR="00CF72D5" w:rsidRPr="002029AF" w:rsidRDefault="00CF72D5" w:rsidP="00C51680">
            <w:pPr>
              <w:pStyle w:val="ARtabletext"/>
              <w:spacing w:before="40" w:after="20"/>
            </w:pPr>
            <w:r w:rsidRPr="002029AF">
              <w:t>Western</w:t>
            </w:r>
            <w:r w:rsidR="000A5329" w:rsidRPr="002029AF">
              <w:t xml:space="preserve"> </w:t>
            </w:r>
            <w:r w:rsidRPr="002029AF">
              <w:t>Health</w:t>
            </w:r>
          </w:p>
        </w:tc>
        <w:tc>
          <w:tcPr>
            <w:tcW w:w="871" w:type="dxa"/>
            <w:hideMark/>
          </w:tcPr>
          <w:p w14:paraId="0E27C775" w14:textId="254CBA79" w:rsidR="00CF72D5" w:rsidRPr="002029AF" w:rsidRDefault="00CF72D5" w:rsidP="00C51680">
            <w:pPr>
              <w:pStyle w:val="ARtabletextright"/>
              <w:spacing w:before="40" w:after="20"/>
            </w:pPr>
            <w:r w:rsidRPr="002029AF">
              <w:t>11</w:t>
            </w:r>
          </w:p>
        </w:tc>
        <w:tc>
          <w:tcPr>
            <w:tcW w:w="886" w:type="dxa"/>
            <w:hideMark/>
          </w:tcPr>
          <w:p w14:paraId="271B8149" w14:textId="0B9A78F8" w:rsidR="00CF72D5" w:rsidRPr="002029AF" w:rsidRDefault="00CF72D5" w:rsidP="00C51680">
            <w:pPr>
              <w:pStyle w:val="ARtabletextright"/>
              <w:spacing w:before="40" w:after="20"/>
            </w:pPr>
            <w:r w:rsidRPr="002029AF">
              <w:t>10</w:t>
            </w:r>
          </w:p>
        </w:tc>
        <w:tc>
          <w:tcPr>
            <w:tcW w:w="1021" w:type="dxa"/>
            <w:hideMark/>
          </w:tcPr>
          <w:p w14:paraId="653BA6AF" w14:textId="401F80BC" w:rsidR="00CF72D5" w:rsidRPr="002029AF" w:rsidRDefault="00CF72D5" w:rsidP="00C51680">
            <w:pPr>
              <w:pStyle w:val="ARtabletextright"/>
              <w:spacing w:before="40" w:after="20"/>
            </w:pPr>
            <w:r w:rsidRPr="002029AF">
              <w:t>0</w:t>
            </w:r>
          </w:p>
        </w:tc>
        <w:tc>
          <w:tcPr>
            <w:tcW w:w="917" w:type="dxa"/>
            <w:hideMark/>
          </w:tcPr>
          <w:p w14:paraId="3C766742" w14:textId="139A8072" w:rsidR="00CF72D5" w:rsidRPr="002029AF" w:rsidRDefault="00CF72D5" w:rsidP="00C51680">
            <w:pPr>
              <w:pStyle w:val="ARtabletextrightbold"/>
              <w:spacing w:before="40" w:after="20"/>
            </w:pPr>
            <w:r w:rsidRPr="002029AF">
              <w:t>21</w:t>
            </w:r>
          </w:p>
        </w:tc>
        <w:tc>
          <w:tcPr>
            <w:tcW w:w="887" w:type="dxa"/>
            <w:hideMark/>
          </w:tcPr>
          <w:p w14:paraId="25642718" w14:textId="293E4838" w:rsidR="00CF72D5" w:rsidRPr="002029AF" w:rsidRDefault="00CF72D5" w:rsidP="00C51680">
            <w:pPr>
              <w:pStyle w:val="ARtabletextright"/>
              <w:spacing w:before="40" w:after="20"/>
            </w:pPr>
            <w:r w:rsidRPr="002029AF">
              <w:t>14</w:t>
            </w:r>
          </w:p>
        </w:tc>
        <w:tc>
          <w:tcPr>
            <w:tcW w:w="887" w:type="dxa"/>
            <w:hideMark/>
          </w:tcPr>
          <w:p w14:paraId="0E3C8E93" w14:textId="556545AA" w:rsidR="00CF72D5" w:rsidRPr="002029AF" w:rsidRDefault="00CF72D5" w:rsidP="00C51680">
            <w:pPr>
              <w:pStyle w:val="ARtabletextright"/>
              <w:spacing w:before="40" w:after="20"/>
            </w:pPr>
            <w:r w:rsidRPr="002029AF">
              <w:t>9</w:t>
            </w:r>
          </w:p>
        </w:tc>
        <w:tc>
          <w:tcPr>
            <w:tcW w:w="1022" w:type="dxa"/>
            <w:hideMark/>
          </w:tcPr>
          <w:p w14:paraId="4436627C" w14:textId="292E62E0" w:rsidR="00CF72D5" w:rsidRPr="002029AF" w:rsidRDefault="00CF72D5" w:rsidP="00C51680">
            <w:pPr>
              <w:pStyle w:val="ARtabletextright"/>
              <w:spacing w:before="40" w:after="20"/>
            </w:pPr>
            <w:r w:rsidRPr="002029AF">
              <w:t>0</w:t>
            </w:r>
          </w:p>
        </w:tc>
        <w:tc>
          <w:tcPr>
            <w:tcW w:w="902" w:type="dxa"/>
            <w:hideMark/>
          </w:tcPr>
          <w:p w14:paraId="756D1B04" w14:textId="7393F63A" w:rsidR="00CF72D5" w:rsidRPr="002029AF" w:rsidRDefault="00CF72D5" w:rsidP="00C51680">
            <w:pPr>
              <w:pStyle w:val="ARtabletextrightbold"/>
              <w:spacing w:before="40" w:after="20"/>
            </w:pPr>
            <w:r w:rsidRPr="002029AF">
              <w:t>23</w:t>
            </w:r>
          </w:p>
        </w:tc>
        <w:tc>
          <w:tcPr>
            <w:tcW w:w="872" w:type="dxa"/>
            <w:hideMark/>
          </w:tcPr>
          <w:p w14:paraId="75B25ED6" w14:textId="0E59FA85" w:rsidR="00CF72D5" w:rsidRPr="002029AF" w:rsidRDefault="00CF72D5" w:rsidP="00C51680">
            <w:pPr>
              <w:pStyle w:val="ARtabletextright"/>
              <w:spacing w:before="40" w:after="20"/>
            </w:pPr>
            <w:r w:rsidRPr="002029AF">
              <w:t>-3</w:t>
            </w:r>
          </w:p>
        </w:tc>
        <w:tc>
          <w:tcPr>
            <w:tcW w:w="887" w:type="dxa"/>
            <w:hideMark/>
          </w:tcPr>
          <w:p w14:paraId="56ED37A5" w14:textId="2CEC8613" w:rsidR="00CF72D5" w:rsidRPr="002029AF" w:rsidRDefault="00CF72D5" w:rsidP="00C51680">
            <w:pPr>
              <w:pStyle w:val="ARtabletextright"/>
              <w:spacing w:before="40" w:after="20"/>
            </w:pPr>
            <w:r w:rsidRPr="002029AF">
              <w:t>1</w:t>
            </w:r>
          </w:p>
        </w:tc>
        <w:tc>
          <w:tcPr>
            <w:tcW w:w="1022" w:type="dxa"/>
            <w:hideMark/>
          </w:tcPr>
          <w:p w14:paraId="657C912D" w14:textId="08E064DE" w:rsidR="00CF72D5" w:rsidRPr="002029AF" w:rsidRDefault="00CF72D5" w:rsidP="00C51680">
            <w:pPr>
              <w:pStyle w:val="ARtabletextright"/>
              <w:spacing w:before="40" w:after="20"/>
            </w:pPr>
            <w:r w:rsidRPr="002029AF">
              <w:t>0</w:t>
            </w:r>
          </w:p>
        </w:tc>
        <w:tc>
          <w:tcPr>
            <w:tcW w:w="887" w:type="dxa"/>
            <w:hideMark/>
          </w:tcPr>
          <w:p w14:paraId="76DA5C30" w14:textId="238A4396" w:rsidR="00CF72D5" w:rsidRPr="002029AF" w:rsidRDefault="00CF72D5" w:rsidP="00C51680">
            <w:pPr>
              <w:pStyle w:val="ARtabletextrightbold"/>
              <w:spacing w:before="40" w:after="20"/>
            </w:pPr>
            <w:r w:rsidRPr="002029AF">
              <w:t>-2</w:t>
            </w:r>
          </w:p>
        </w:tc>
      </w:tr>
      <w:tr w:rsidR="00CF72D5" w:rsidRPr="002029AF" w14:paraId="66B13375" w14:textId="77777777" w:rsidTr="00D40FE6">
        <w:tc>
          <w:tcPr>
            <w:tcW w:w="2944" w:type="dxa"/>
            <w:hideMark/>
          </w:tcPr>
          <w:p w14:paraId="198A4C13" w14:textId="1D6C00FC" w:rsidR="00CF72D5" w:rsidRPr="002029AF" w:rsidRDefault="00CF72D5" w:rsidP="00C51680">
            <w:pPr>
              <w:pStyle w:val="ARtabletext"/>
              <w:spacing w:before="40" w:after="20"/>
            </w:pPr>
            <w:r w:rsidRPr="002029AF">
              <w:t>Wimmera</w:t>
            </w:r>
            <w:r w:rsidR="000A5329" w:rsidRPr="002029AF">
              <w:t xml:space="preserve"> </w:t>
            </w:r>
            <w:r w:rsidRPr="002029AF">
              <w:t>Health</w:t>
            </w:r>
            <w:r w:rsidR="000A5329" w:rsidRPr="002029AF">
              <w:t xml:space="preserve"> </w:t>
            </w:r>
            <w:r w:rsidRPr="002029AF">
              <w:t>Care</w:t>
            </w:r>
            <w:r w:rsidR="000A5329" w:rsidRPr="002029AF">
              <w:t xml:space="preserve"> </w:t>
            </w:r>
            <w:r w:rsidRPr="002029AF">
              <w:t>Group</w:t>
            </w:r>
          </w:p>
        </w:tc>
        <w:tc>
          <w:tcPr>
            <w:tcW w:w="871" w:type="dxa"/>
            <w:hideMark/>
          </w:tcPr>
          <w:p w14:paraId="699523A8" w14:textId="0A4F880B" w:rsidR="00CF72D5" w:rsidRPr="002029AF" w:rsidRDefault="00CF72D5" w:rsidP="00C51680">
            <w:pPr>
              <w:pStyle w:val="ARtabletextright"/>
              <w:spacing w:before="40" w:after="20"/>
            </w:pPr>
            <w:r w:rsidRPr="002029AF">
              <w:t>2</w:t>
            </w:r>
          </w:p>
        </w:tc>
        <w:tc>
          <w:tcPr>
            <w:tcW w:w="886" w:type="dxa"/>
            <w:hideMark/>
          </w:tcPr>
          <w:p w14:paraId="1985CB0F" w14:textId="2822CA77" w:rsidR="00CF72D5" w:rsidRPr="002029AF" w:rsidRDefault="00CF72D5" w:rsidP="00C51680">
            <w:pPr>
              <w:pStyle w:val="ARtabletextright"/>
              <w:spacing w:before="40" w:after="20"/>
            </w:pPr>
            <w:r w:rsidRPr="002029AF">
              <w:t>1</w:t>
            </w:r>
          </w:p>
        </w:tc>
        <w:tc>
          <w:tcPr>
            <w:tcW w:w="1021" w:type="dxa"/>
            <w:hideMark/>
          </w:tcPr>
          <w:p w14:paraId="3CCBCEEC" w14:textId="59BE011C" w:rsidR="00CF72D5" w:rsidRPr="002029AF" w:rsidRDefault="00CF72D5" w:rsidP="00C51680">
            <w:pPr>
              <w:pStyle w:val="ARtabletextright"/>
              <w:spacing w:before="40" w:after="20"/>
            </w:pPr>
            <w:r w:rsidRPr="002029AF">
              <w:t>0</w:t>
            </w:r>
          </w:p>
        </w:tc>
        <w:tc>
          <w:tcPr>
            <w:tcW w:w="917" w:type="dxa"/>
            <w:hideMark/>
          </w:tcPr>
          <w:p w14:paraId="71CE10B8" w14:textId="693D6CC1" w:rsidR="00CF72D5" w:rsidRPr="002029AF" w:rsidRDefault="00CF72D5" w:rsidP="00C51680">
            <w:pPr>
              <w:pStyle w:val="ARtabletextrightbold"/>
              <w:spacing w:before="40" w:after="20"/>
            </w:pPr>
            <w:r w:rsidRPr="002029AF">
              <w:t>3</w:t>
            </w:r>
          </w:p>
        </w:tc>
        <w:tc>
          <w:tcPr>
            <w:tcW w:w="887" w:type="dxa"/>
            <w:hideMark/>
          </w:tcPr>
          <w:p w14:paraId="09644CA5" w14:textId="7482234B" w:rsidR="00CF72D5" w:rsidRPr="002029AF" w:rsidRDefault="00CF72D5" w:rsidP="00C51680">
            <w:pPr>
              <w:pStyle w:val="ARtabletextright"/>
              <w:spacing w:before="40" w:after="20"/>
            </w:pPr>
            <w:r w:rsidRPr="002029AF">
              <w:t>2</w:t>
            </w:r>
          </w:p>
        </w:tc>
        <w:tc>
          <w:tcPr>
            <w:tcW w:w="887" w:type="dxa"/>
            <w:hideMark/>
          </w:tcPr>
          <w:p w14:paraId="67DD1BB3" w14:textId="3F90E5C3" w:rsidR="00CF72D5" w:rsidRPr="002029AF" w:rsidRDefault="00CF72D5" w:rsidP="00C51680">
            <w:pPr>
              <w:pStyle w:val="ARtabletextright"/>
              <w:spacing w:before="40" w:after="20"/>
            </w:pPr>
            <w:r w:rsidRPr="002029AF">
              <w:t>2</w:t>
            </w:r>
          </w:p>
        </w:tc>
        <w:tc>
          <w:tcPr>
            <w:tcW w:w="1022" w:type="dxa"/>
            <w:hideMark/>
          </w:tcPr>
          <w:p w14:paraId="287C7FFD" w14:textId="34CB4ADF" w:rsidR="00CF72D5" w:rsidRPr="002029AF" w:rsidRDefault="00CF72D5" w:rsidP="00C51680">
            <w:pPr>
              <w:pStyle w:val="ARtabletextright"/>
              <w:spacing w:before="40" w:after="20"/>
            </w:pPr>
            <w:r w:rsidRPr="002029AF">
              <w:t>0</w:t>
            </w:r>
          </w:p>
        </w:tc>
        <w:tc>
          <w:tcPr>
            <w:tcW w:w="902" w:type="dxa"/>
            <w:hideMark/>
          </w:tcPr>
          <w:p w14:paraId="4B46DE35" w14:textId="76042F77" w:rsidR="00CF72D5" w:rsidRPr="002029AF" w:rsidRDefault="00CF72D5" w:rsidP="00C51680">
            <w:pPr>
              <w:pStyle w:val="ARtabletextrightbold"/>
              <w:spacing w:before="40" w:after="20"/>
            </w:pPr>
            <w:r w:rsidRPr="002029AF">
              <w:t>4</w:t>
            </w:r>
          </w:p>
        </w:tc>
        <w:tc>
          <w:tcPr>
            <w:tcW w:w="872" w:type="dxa"/>
            <w:hideMark/>
          </w:tcPr>
          <w:p w14:paraId="78C77429" w14:textId="199DDBFF" w:rsidR="00CF72D5" w:rsidRPr="002029AF" w:rsidRDefault="00CF72D5" w:rsidP="00C51680">
            <w:pPr>
              <w:pStyle w:val="ARtabletextright"/>
              <w:spacing w:before="40" w:after="20"/>
            </w:pPr>
            <w:r w:rsidRPr="002029AF">
              <w:t>0</w:t>
            </w:r>
          </w:p>
        </w:tc>
        <w:tc>
          <w:tcPr>
            <w:tcW w:w="887" w:type="dxa"/>
            <w:hideMark/>
          </w:tcPr>
          <w:p w14:paraId="16C05217" w14:textId="580D918A" w:rsidR="00CF72D5" w:rsidRPr="002029AF" w:rsidRDefault="00CF72D5" w:rsidP="00C51680">
            <w:pPr>
              <w:pStyle w:val="ARtabletextright"/>
              <w:spacing w:before="40" w:after="20"/>
            </w:pPr>
            <w:r w:rsidRPr="002029AF">
              <w:t>-1</w:t>
            </w:r>
          </w:p>
        </w:tc>
        <w:tc>
          <w:tcPr>
            <w:tcW w:w="1022" w:type="dxa"/>
            <w:hideMark/>
          </w:tcPr>
          <w:p w14:paraId="6B1A064F" w14:textId="1B95350D" w:rsidR="00CF72D5" w:rsidRPr="002029AF" w:rsidRDefault="00CF72D5" w:rsidP="00C51680">
            <w:pPr>
              <w:pStyle w:val="ARtabletextright"/>
              <w:spacing w:before="40" w:after="20"/>
            </w:pPr>
            <w:r w:rsidRPr="002029AF">
              <w:t>0</w:t>
            </w:r>
          </w:p>
        </w:tc>
        <w:tc>
          <w:tcPr>
            <w:tcW w:w="887" w:type="dxa"/>
            <w:hideMark/>
          </w:tcPr>
          <w:p w14:paraId="6070E940" w14:textId="4620E600" w:rsidR="00CF72D5" w:rsidRPr="002029AF" w:rsidRDefault="00CF72D5" w:rsidP="00C51680">
            <w:pPr>
              <w:pStyle w:val="ARtabletextrightbold"/>
              <w:spacing w:before="40" w:after="20"/>
            </w:pPr>
            <w:r w:rsidRPr="002029AF">
              <w:t>-1</w:t>
            </w:r>
          </w:p>
        </w:tc>
      </w:tr>
      <w:tr w:rsidR="00CF72D5" w:rsidRPr="002029AF" w14:paraId="3CE827B7" w14:textId="77777777" w:rsidTr="00D40FE6">
        <w:tc>
          <w:tcPr>
            <w:tcW w:w="2944" w:type="dxa"/>
            <w:hideMark/>
          </w:tcPr>
          <w:p w14:paraId="37100F55" w14:textId="0C0936B0" w:rsidR="00CF72D5" w:rsidRPr="002029AF" w:rsidRDefault="00CF72D5" w:rsidP="00C51680">
            <w:pPr>
              <w:pStyle w:val="ARtabletext"/>
              <w:spacing w:before="40" w:after="20"/>
            </w:pPr>
            <w:r w:rsidRPr="002029AF">
              <w:t>Yarram</w:t>
            </w:r>
            <w:r w:rsidR="000A5329" w:rsidRPr="002029AF">
              <w:t xml:space="preserve"> </w:t>
            </w:r>
            <w:r w:rsidRPr="002029AF">
              <w:t>and</w:t>
            </w:r>
            <w:r w:rsidR="000A5329" w:rsidRPr="002029AF">
              <w:t xml:space="preserve"> </w:t>
            </w:r>
            <w:r w:rsidRPr="002029AF">
              <w:t>District</w:t>
            </w:r>
            <w:r w:rsidR="000A5329" w:rsidRPr="002029AF">
              <w:t xml:space="preserve"> </w:t>
            </w:r>
            <w:r w:rsidRPr="002029AF">
              <w:t>Health</w:t>
            </w:r>
            <w:r w:rsidR="000A5329" w:rsidRPr="002029AF">
              <w:t xml:space="preserve"> </w:t>
            </w:r>
            <w:r w:rsidRPr="002029AF">
              <w:t>Service</w:t>
            </w:r>
          </w:p>
        </w:tc>
        <w:tc>
          <w:tcPr>
            <w:tcW w:w="871" w:type="dxa"/>
            <w:hideMark/>
          </w:tcPr>
          <w:p w14:paraId="7E290512" w14:textId="77246344" w:rsidR="00CF72D5" w:rsidRPr="002029AF" w:rsidRDefault="00CF72D5" w:rsidP="00C51680">
            <w:pPr>
              <w:pStyle w:val="ARtabletextright"/>
              <w:spacing w:before="40" w:after="20"/>
            </w:pPr>
            <w:r w:rsidRPr="002029AF">
              <w:t>1</w:t>
            </w:r>
          </w:p>
        </w:tc>
        <w:tc>
          <w:tcPr>
            <w:tcW w:w="886" w:type="dxa"/>
            <w:hideMark/>
          </w:tcPr>
          <w:p w14:paraId="06B4718A" w14:textId="4A011CAA" w:rsidR="00CF72D5" w:rsidRPr="002029AF" w:rsidRDefault="00CF72D5" w:rsidP="00C51680">
            <w:pPr>
              <w:pStyle w:val="ARtabletextright"/>
              <w:spacing w:before="40" w:after="20"/>
            </w:pPr>
            <w:r w:rsidRPr="002029AF">
              <w:t>0</w:t>
            </w:r>
          </w:p>
        </w:tc>
        <w:tc>
          <w:tcPr>
            <w:tcW w:w="1021" w:type="dxa"/>
            <w:hideMark/>
          </w:tcPr>
          <w:p w14:paraId="5374611F" w14:textId="27B5946E" w:rsidR="00CF72D5" w:rsidRPr="002029AF" w:rsidRDefault="00CF72D5" w:rsidP="00C51680">
            <w:pPr>
              <w:pStyle w:val="ARtabletextright"/>
              <w:spacing w:before="40" w:after="20"/>
            </w:pPr>
            <w:r w:rsidRPr="002029AF">
              <w:t>0</w:t>
            </w:r>
          </w:p>
        </w:tc>
        <w:tc>
          <w:tcPr>
            <w:tcW w:w="917" w:type="dxa"/>
            <w:hideMark/>
          </w:tcPr>
          <w:p w14:paraId="32BEBFA0" w14:textId="7C0BFE4C" w:rsidR="00CF72D5" w:rsidRPr="002029AF" w:rsidRDefault="00CF72D5" w:rsidP="00C51680">
            <w:pPr>
              <w:pStyle w:val="ARtabletextrightbold"/>
              <w:spacing w:before="40" w:after="20"/>
            </w:pPr>
            <w:r w:rsidRPr="002029AF">
              <w:t>1</w:t>
            </w:r>
          </w:p>
        </w:tc>
        <w:tc>
          <w:tcPr>
            <w:tcW w:w="887" w:type="dxa"/>
            <w:hideMark/>
          </w:tcPr>
          <w:p w14:paraId="5ACA1D0A" w14:textId="7327AE9B" w:rsidR="00CF72D5" w:rsidRPr="002029AF" w:rsidRDefault="00CF72D5" w:rsidP="00C51680">
            <w:pPr>
              <w:pStyle w:val="ARtabletextright"/>
              <w:spacing w:before="40" w:after="20"/>
            </w:pPr>
            <w:r w:rsidRPr="002029AF">
              <w:t>1</w:t>
            </w:r>
          </w:p>
        </w:tc>
        <w:tc>
          <w:tcPr>
            <w:tcW w:w="887" w:type="dxa"/>
            <w:hideMark/>
          </w:tcPr>
          <w:p w14:paraId="16C8E027" w14:textId="54625A08" w:rsidR="00CF72D5" w:rsidRPr="002029AF" w:rsidRDefault="00CF72D5" w:rsidP="00C51680">
            <w:pPr>
              <w:pStyle w:val="ARtabletextright"/>
              <w:spacing w:before="40" w:after="20"/>
            </w:pPr>
            <w:r w:rsidRPr="002029AF">
              <w:t>0</w:t>
            </w:r>
          </w:p>
        </w:tc>
        <w:tc>
          <w:tcPr>
            <w:tcW w:w="1022" w:type="dxa"/>
            <w:hideMark/>
          </w:tcPr>
          <w:p w14:paraId="334BF1A4" w14:textId="5C24CA22" w:rsidR="00CF72D5" w:rsidRPr="002029AF" w:rsidRDefault="00CF72D5" w:rsidP="00C51680">
            <w:pPr>
              <w:pStyle w:val="ARtabletextright"/>
              <w:spacing w:before="40" w:after="20"/>
            </w:pPr>
            <w:r w:rsidRPr="002029AF">
              <w:t>0</w:t>
            </w:r>
          </w:p>
        </w:tc>
        <w:tc>
          <w:tcPr>
            <w:tcW w:w="902" w:type="dxa"/>
            <w:hideMark/>
          </w:tcPr>
          <w:p w14:paraId="0381E045" w14:textId="0A6B6368" w:rsidR="00CF72D5" w:rsidRPr="002029AF" w:rsidRDefault="00CF72D5" w:rsidP="00C51680">
            <w:pPr>
              <w:pStyle w:val="ARtabletextrightbold"/>
              <w:spacing w:before="40" w:after="20"/>
            </w:pPr>
            <w:r w:rsidRPr="002029AF">
              <w:t>1</w:t>
            </w:r>
          </w:p>
        </w:tc>
        <w:tc>
          <w:tcPr>
            <w:tcW w:w="872" w:type="dxa"/>
            <w:hideMark/>
          </w:tcPr>
          <w:p w14:paraId="288579AE" w14:textId="54D13338" w:rsidR="00CF72D5" w:rsidRPr="002029AF" w:rsidRDefault="00CF72D5" w:rsidP="00C51680">
            <w:pPr>
              <w:pStyle w:val="ARtabletextright"/>
              <w:spacing w:before="40" w:after="20"/>
            </w:pPr>
            <w:r w:rsidRPr="002029AF">
              <w:t>0</w:t>
            </w:r>
          </w:p>
        </w:tc>
        <w:tc>
          <w:tcPr>
            <w:tcW w:w="887" w:type="dxa"/>
            <w:hideMark/>
          </w:tcPr>
          <w:p w14:paraId="2399CE0C" w14:textId="78A6CC26" w:rsidR="00CF72D5" w:rsidRPr="002029AF" w:rsidRDefault="00CF72D5" w:rsidP="00C51680">
            <w:pPr>
              <w:pStyle w:val="ARtabletextright"/>
              <w:spacing w:before="40" w:after="20"/>
            </w:pPr>
            <w:r w:rsidRPr="002029AF">
              <w:t>0</w:t>
            </w:r>
          </w:p>
        </w:tc>
        <w:tc>
          <w:tcPr>
            <w:tcW w:w="1022" w:type="dxa"/>
            <w:hideMark/>
          </w:tcPr>
          <w:p w14:paraId="5E8260EC" w14:textId="31F2C1B8" w:rsidR="00CF72D5" w:rsidRPr="002029AF" w:rsidRDefault="00CF72D5" w:rsidP="00C51680">
            <w:pPr>
              <w:pStyle w:val="ARtabletextright"/>
              <w:spacing w:before="40" w:after="20"/>
            </w:pPr>
            <w:r w:rsidRPr="002029AF">
              <w:t>0</w:t>
            </w:r>
          </w:p>
        </w:tc>
        <w:tc>
          <w:tcPr>
            <w:tcW w:w="887" w:type="dxa"/>
            <w:hideMark/>
          </w:tcPr>
          <w:p w14:paraId="4ACD3146" w14:textId="48FE89AF" w:rsidR="00CF72D5" w:rsidRPr="002029AF" w:rsidRDefault="00CF72D5" w:rsidP="00C51680">
            <w:pPr>
              <w:pStyle w:val="ARtabletextrightbold"/>
              <w:spacing w:before="40" w:after="20"/>
            </w:pPr>
            <w:r w:rsidRPr="002029AF">
              <w:t>0</w:t>
            </w:r>
          </w:p>
        </w:tc>
      </w:tr>
      <w:tr w:rsidR="00CF72D5" w:rsidRPr="002029AF" w14:paraId="333B024D" w14:textId="77777777" w:rsidTr="00D40FE6">
        <w:tc>
          <w:tcPr>
            <w:tcW w:w="2944" w:type="dxa"/>
            <w:hideMark/>
          </w:tcPr>
          <w:p w14:paraId="314876CA" w14:textId="4E87C933" w:rsidR="00CF72D5" w:rsidRPr="002029AF" w:rsidRDefault="00CF72D5" w:rsidP="00C51680">
            <w:pPr>
              <w:pStyle w:val="ARtabletext"/>
              <w:spacing w:before="40" w:after="20"/>
            </w:pPr>
            <w:r w:rsidRPr="002029AF">
              <w:t>Yarrawonga</w:t>
            </w:r>
            <w:r w:rsidR="000A5329" w:rsidRPr="002029AF">
              <w:t xml:space="preserve"> </w:t>
            </w:r>
            <w:r w:rsidRPr="002029AF">
              <w:t>Health</w:t>
            </w:r>
          </w:p>
        </w:tc>
        <w:tc>
          <w:tcPr>
            <w:tcW w:w="871" w:type="dxa"/>
            <w:hideMark/>
          </w:tcPr>
          <w:p w14:paraId="4401FF05" w14:textId="67F4D03E" w:rsidR="00CF72D5" w:rsidRPr="002029AF" w:rsidRDefault="00CF72D5" w:rsidP="00C51680">
            <w:pPr>
              <w:pStyle w:val="ARtabletextright"/>
              <w:spacing w:before="40" w:after="20"/>
            </w:pPr>
            <w:r w:rsidRPr="002029AF">
              <w:t>1</w:t>
            </w:r>
          </w:p>
        </w:tc>
        <w:tc>
          <w:tcPr>
            <w:tcW w:w="886" w:type="dxa"/>
            <w:hideMark/>
          </w:tcPr>
          <w:p w14:paraId="1BA14247" w14:textId="35E5DA47" w:rsidR="00CF72D5" w:rsidRPr="002029AF" w:rsidRDefault="00CF72D5" w:rsidP="00C51680">
            <w:pPr>
              <w:pStyle w:val="ARtabletextright"/>
              <w:spacing w:before="40" w:after="20"/>
            </w:pPr>
            <w:r w:rsidRPr="002029AF">
              <w:t>0</w:t>
            </w:r>
          </w:p>
        </w:tc>
        <w:tc>
          <w:tcPr>
            <w:tcW w:w="1021" w:type="dxa"/>
            <w:hideMark/>
          </w:tcPr>
          <w:p w14:paraId="14786102" w14:textId="4DF3A405" w:rsidR="00CF72D5" w:rsidRPr="002029AF" w:rsidRDefault="00CF72D5" w:rsidP="00C51680">
            <w:pPr>
              <w:pStyle w:val="ARtabletextright"/>
              <w:spacing w:before="40" w:after="20"/>
            </w:pPr>
            <w:r w:rsidRPr="002029AF">
              <w:t>0</w:t>
            </w:r>
          </w:p>
        </w:tc>
        <w:tc>
          <w:tcPr>
            <w:tcW w:w="917" w:type="dxa"/>
            <w:hideMark/>
          </w:tcPr>
          <w:p w14:paraId="692E3A94" w14:textId="16E81F92" w:rsidR="00CF72D5" w:rsidRPr="002029AF" w:rsidRDefault="00CF72D5" w:rsidP="00C51680">
            <w:pPr>
              <w:pStyle w:val="ARtabletextrightbold"/>
              <w:spacing w:before="40" w:after="20"/>
            </w:pPr>
            <w:r w:rsidRPr="002029AF">
              <w:t>1</w:t>
            </w:r>
          </w:p>
        </w:tc>
        <w:tc>
          <w:tcPr>
            <w:tcW w:w="887" w:type="dxa"/>
            <w:hideMark/>
          </w:tcPr>
          <w:p w14:paraId="2D8A2A17" w14:textId="620FF004" w:rsidR="00CF72D5" w:rsidRPr="002029AF" w:rsidRDefault="00CF72D5" w:rsidP="00C51680">
            <w:pPr>
              <w:pStyle w:val="ARtabletextright"/>
              <w:spacing w:before="40" w:after="20"/>
            </w:pPr>
            <w:r w:rsidRPr="002029AF">
              <w:t>1</w:t>
            </w:r>
          </w:p>
        </w:tc>
        <w:tc>
          <w:tcPr>
            <w:tcW w:w="887" w:type="dxa"/>
            <w:hideMark/>
          </w:tcPr>
          <w:p w14:paraId="287D8488" w14:textId="1877AA57" w:rsidR="00CF72D5" w:rsidRPr="002029AF" w:rsidRDefault="00CF72D5" w:rsidP="00C51680">
            <w:pPr>
              <w:pStyle w:val="ARtabletextright"/>
              <w:spacing w:before="40" w:after="20"/>
            </w:pPr>
            <w:r w:rsidRPr="002029AF">
              <w:t>0</w:t>
            </w:r>
          </w:p>
        </w:tc>
        <w:tc>
          <w:tcPr>
            <w:tcW w:w="1022" w:type="dxa"/>
            <w:hideMark/>
          </w:tcPr>
          <w:p w14:paraId="72521684" w14:textId="41CE79C3" w:rsidR="00CF72D5" w:rsidRPr="002029AF" w:rsidRDefault="00CF72D5" w:rsidP="00C51680">
            <w:pPr>
              <w:pStyle w:val="ARtabletextright"/>
              <w:spacing w:before="40" w:after="20"/>
            </w:pPr>
            <w:r w:rsidRPr="002029AF">
              <w:t>0</w:t>
            </w:r>
          </w:p>
        </w:tc>
        <w:tc>
          <w:tcPr>
            <w:tcW w:w="902" w:type="dxa"/>
            <w:hideMark/>
          </w:tcPr>
          <w:p w14:paraId="5236C03C" w14:textId="2922037C" w:rsidR="00CF72D5" w:rsidRPr="002029AF" w:rsidRDefault="00CF72D5" w:rsidP="00C51680">
            <w:pPr>
              <w:pStyle w:val="ARtabletextrightbold"/>
              <w:spacing w:before="40" w:after="20"/>
            </w:pPr>
            <w:r w:rsidRPr="002029AF">
              <w:t>1</w:t>
            </w:r>
          </w:p>
        </w:tc>
        <w:tc>
          <w:tcPr>
            <w:tcW w:w="872" w:type="dxa"/>
            <w:hideMark/>
          </w:tcPr>
          <w:p w14:paraId="1979A86C" w14:textId="18EC7721" w:rsidR="00CF72D5" w:rsidRPr="002029AF" w:rsidRDefault="00CF72D5" w:rsidP="00C51680">
            <w:pPr>
              <w:pStyle w:val="ARtabletextright"/>
              <w:spacing w:before="40" w:after="20"/>
            </w:pPr>
            <w:r w:rsidRPr="002029AF">
              <w:t>0</w:t>
            </w:r>
          </w:p>
        </w:tc>
        <w:tc>
          <w:tcPr>
            <w:tcW w:w="887" w:type="dxa"/>
            <w:hideMark/>
          </w:tcPr>
          <w:p w14:paraId="6B3EFCEA" w14:textId="42A2E09D" w:rsidR="00CF72D5" w:rsidRPr="002029AF" w:rsidRDefault="00CF72D5" w:rsidP="00C51680">
            <w:pPr>
              <w:pStyle w:val="ARtabletextright"/>
              <w:spacing w:before="40" w:after="20"/>
            </w:pPr>
            <w:r w:rsidRPr="002029AF">
              <w:t>0</w:t>
            </w:r>
          </w:p>
        </w:tc>
        <w:tc>
          <w:tcPr>
            <w:tcW w:w="1022" w:type="dxa"/>
            <w:hideMark/>
          </w:tcPr>
          <w:p w14:paraId="6A799A5C" w14:textId="7D8FC6A4" w:rsidR="00CF72D5" w:rsidRPr="002029AF" w:rsidRDefault="00CF72D5" w:rsidP="00C51680">
            <w:pPr>
              <w:pStyle w:val="ARtabletextright"/>
              <w:spacing w:before="40" w:after="20"/>
            </w:pPr>
            <w:r w:rsidRPr="002029AF">
              <w:t>0</w:t>
            </w:r>
          </w:p>
        </w:tc>
        <w:tc>
          <w:tcPr>
            <w:tcW w:w="887" w:type="dxa"/>
            <w:hideMark/>
          </w:tcPr>
          <w:p w14:paraId="5623B747" w14:textId="0FC47918" w:rsidR="00CF72D5" w:rsidRPr="002029AF" w:rsidRDefault="00CF72D5" w:rsidP="00C51680">
            <w:pPr>
              <w:pStyle w:val="ARtabletextrightbold"/>
              <w:spacing w:before="40" w:after="20"/>
            </w:pPr>
            <w:r w:rsidRPr="002029AF">
              <w:t>0</w:t>
            </w:r>
          </w:p>
        </w:tc>
      </w:tr>
      <w:tr w:rsidR="00CF72D5" w:rsidRPr="002029AF" w14:paraId="624AE992" w14:textId="77777777" w:rsidTr="00D40FE6">
        <w:tc>
          <w:tcPr>
            <w:tcW w:w="2944" w:type="dxa"/>
            <w:hideMark/>
          </w:tcPr>
          <w:p w14:paraId="79D3FFD6" w14:textId="1FDBC9DA" w:rsidR="00CF72D5" w:rsidRPr="002029AF" w:rsidRDefault="00CF72D5" w:rsidP="00C51680">
            <w:pPr>
              <w:pStyle w:val="ARtabletext"/>
              <w:spacing w:before="40" w:after="20"/>
            </w:pPr>
            <w:r w:rsidRPr="002029AF">
              <w:t>Yea</w:t>
            </w:r>
            <w:r w:rsidR="000A5329" w:rsidRPr="002029AF">
              <w:t xml:space="preserve"> </w:t>
            </w:r>
            <w:r w:rsidRPr="002029AF">
              <w:t>and</w:t>
            </w:r>
            <w:r w:rsidR="000A5329" w:rsidRPr="002029AF">
              <w:t xml:space="preserve"> </w:t>
            </w:r>
            <w:r w:rsidRPr="002029AF">
              <w:t>District</w:t>
            </w:r>
            <w:r w:rsidR="000A5329" w:rsidRPr="002029AF">
              <w:t xml:space="preserve"> </w:t>
            </w:r>
            <w:r w:rsidRPr="002029AF">
              <w:t>Memorial</w:t>
            </w:r>
            <w:r w:rsidR="000A5329" w:rsidRPr="002029AF">
              <w:t xml:space="preserve"> </w:t>
            </w:r>
            <w:r w:rsidRPr="002029AF">
              <w:t>Hospital</w:t>
            </w:r>
          </w:p>
        </w:tc>
        <w:tc>
          <w:tcPr>
            <w:tcW w:w="871" w:type="dxa"/>
            <w:hideMark/>
          </w:tcPr>
          <w:p w14:paraId="550AB9F7" w14:textId="7F663667" w:rsidR="00CF72D5" w:rsidRPr="002029AF" w:rsidRDefault="00CF72D5" w:rsidP="00C51680">
            <w:pPr>
              <w:pStyle w:val="ARtabletextright"/>
              <w:spacing w:before="40" w:after="20"/>
            </w:pPr>
            <w:r w:rsidRPr="002029AF">
              <w:t>0</w:t>
            </w:r>
          </w:p>
        </w:tc>
        <w:tc>
          <w:tcPr>
            <w:tcW w:w="886" w:type="dxa"/>
            <w:hideMark/>
          </w:tcPr>
          <w:p w14:paraId="178D1113" w14:textId="0F41FF76" w:rsidR="00CF72D5" w:rsidRPr="002029AF" w:rsidRDefault="00CF72D5" w:rsidP="00C51680">
            <w:pPr>
              <w:pStyle w:val="ARtabletextright"/>
              <w:spacing w:before="40" w:after="20"/>
            </w:pPr>
            <w:r w:rsidRPr="002029AF">
              <w:t>0</w:t>
            </w:r>
          </w:p>
        </w:tc>
        <w:tc>
          <w:tcPr>
            <w:tcW w:w="1021" w:type="dxa"/>
            <w:hideMark/>
          </w:tcPr>
          <w:p w14:paraId="19D4BF4D" w14:textId="71F21706" w:rsidR="00CF72D5" w:rsidRPr="002029AF" w:rsidRDefault="00CF72D5" w:rsidP="00C51680">
            <w:pPr>
              <w:pStyle w:val="ARtabletextright"/>
              <w:spacing w:before="40" w:after="20"/>
            </w:pPr>
            <w:r w:rsidRPr="002029AF">
              <w:t>0</w:t>
            </w:r>
          </w:p>
        </w:tc>
        <w:tc>
          <w:tcPr>
            <w:tcW w:w="917" w:type="dxa"/>
            <w:hideMark/>
          </w:tcPr>
          <w:p w14:paraId="11BBA5B2" w14:textId="6F6A341E" w:rsidR="00CF72D5" w:rsidRPr="002029AF" w:rsidRDefault="00CF72D5" w:rsidP="00C51680">
            <w:pPr>
              <w:pStyle w:val="ARtabletextrightbold"/>
              <w:spacing w:before="40" w:after="20"/>
            </w:pPr>
            <w:r w:rsidRPr="002029AF">
              <w:t>0</w:t>
            </w:r>
          </w:p>
        </w:tc>
        <w:tc>
          <w:tcPr>
            <w:tcW w:w="887" w:type="dxa"/>
            <w:hideMark/>
          </w:tcPr>
          <w:p w14:paraId="66D06465" w14:textId="585E5550" w:rsidR="00CF72D5" w:rsidRPr="002029AF" w:rsidRDefault="00CF72D5" w:rsidP="00C51680">
            <w:pPr>
              <w:pStyle w:val="ARtabletextright"/>
              <w:spacing w:before="40" w:after="20"/>
            </w:pPr>
            <w:r w:rsidRPr="002029AF">
              <w:t>0</w:t>
            </w:r>
          </w:p>
        </w:tc>
        <w:tc>
          <w:tcPr>
            <w:tcW w:w="887" w:type="dxa"/>
            <w:hideMark/>
          </w:tcPr>
          <w:p w14:paraId="63A86283" w14:textId="35FBC5FD" w:rsidR="00CF72D5" w:rsidRPr="002029AF" w:rsidRDefault="00CF72D5" w:rsidP="00C51680">
            <w:pPr>
              <w:pStyle w:val="ARtabletextright"/>
              <w:spacing w:before="40" w:after="20"/>
            </w:pPr>
            <w:r w:rsidRPr="002029AF">
              <w:t>0</w:t>
            </w:r>
          </w:p>
        </w:tc>
        <w:tc>
          <w:tcPr>
            <w:tcW w:w="1022" w:type="dxa"/>
            <w:hideMark/>
          </w:tcPr>
          <w:p w14:paraId="4DD8240A" w14:textId="16E75248" w:rsidR="00CF72D5" w:rsidRPr="002029AF" w:rsidRDefault="00CF72D5" w:rsidP="00C51680">
            <w:pPr>
              <w:pStyle w:val="ARtabletextright"/>
              <w:spacing w:before="40" w:after="20"/>
            </w:pPr>
            <w:r w:rsidRPr="002029AF">
              <w:t>0</w:t>
            </w:r>
          </w:p>
        </w:tc>
        <w:tc>
          <w:tcPr>
            <w:tcW w:w="902" w:type="dxa"/>
            <w:hideMark/>
          </w:tcPr>
          <w:p w14:paraId="77EB7569" w14:textId="434C3FB1" w:rsidR="00CF72D5" w:rsidRPr="002029AF" w:rsidRDefault="00CF72D5" w:rsidP="00C51680">
            <w:pPr>
              <w:pStyle w:val="ARtabletextrightbold"/>
              <w:spacing w:before="40" w:after="20"/>
            </w:pPr>
            <w:r w:rsidRPr="002029AF">
              <w:t>0</w:t>
            </w:r>
          </w:p>
        </w:tc>
        <w:tc>
          <w:tcPr>
            <w:tcW w:w="872" w:type="dxa"/>
            <w:hideMark/>
          </w:tcPr>
          <w:p w14:paraId="1F043EEC" w14:textId="5F34313B" w:rsidR="00CF72D5" w:rsidRPr="002029AF" w:rsidRDefault="00CF72D5" w:rsidP="00C51680">
            <w:pPr>
              <w:pStyle w:val="ARtabletextright"/>
              <w:spacing w:before="40" w:after="20"/>
            </w:pPr>
            <w:r w:rsidRPr="002029AF">
              <w:t>0</w:t>
            </w:r>
          </w:p>
        </w:tc>
        <w:tc>
          <w:tcPr>
            <w:tcW w:w="887" w:type="dxa"/>
            <w:hideMark/>
          </w:tcPr>
          <w:p w14:paraId="00EEAE4B" w14:textId="70518CA8" w:rsidR="00CF72D5" w:rsidRPr="002029AF" w:rsidRDefault="00CF72D5" w:rsidP="00C51680">
            <w:pPr>
              <w:pStyle w:val="ARtabletextright"/>
              <w:spacing w:before="40" w:after="20"/>
            </w:pPr>
            <w:r w:rsidRPr="002029AF">
              <w:t>0</w:t>
            </w:r>
          </w:p>
        </w:tc>
        <w:tc>
          <w:tcPr>
            <w:tcW w:w="1022" w:type="dxa"/>
            <w:hideMark/>
          </w:tcPr>
          <w:p w14:paraId="5FA11C74" w14:textId="038DFC46" w:rsidR="00CF72D5" w:rsidRPr="002029AF" w:rsidRDefault="00CF72D5" w:rsidP="00C51680">
            <w:pPr>
              <w:pStyle w:val="ARtabletextright"/>
              <w:spacing w:before="40" w:after="20"/>
            </w:pPr>
            <w:r w:rsidRPr="002029AF">
              <w:t>0</w:t>
            </w:r>
          </w:p>
        </w:tc>
        <w:tc>
          <w:tcPr>
            <w:tcW w:w="887" w:type="dxa"/>
            <w:hideMark/>
          </w:tcPr>
          <w:p w14:paraId="42CD8A99" w14:textId="7913CAFD" w:rsidR="00CF72D5" w:rsidRPr="002029AF" w:rsidRDefault="00CF72D5" w:rsidP="00C51680">
            <w:pPr>
              <w:pStyle w:val="ARtabletextrightbold"/>
              <w:spacing w:before="40" w:after="20"/>
            </w:pPr>
            <w:r w:rsidRPr="002029AF">
              <w:t>0</w:t>
            </w:r>
          </w:p>
        </w:tc>
      </w:tr>
      <w:tr w:rsidR="00CF72D5" w:rsidRPr="002029AF" w14:paraId="76CEF9DE" w14:textId="77777777" w:rsidTr="00D40FE6">
        <w:tc>
          <w:tcPr>
            <w:tcW w:w="2944" w:type="dxa"/>
            <w:hideMark/>
          </w:tcPr>
          <w:p w14:paraId="6EEF65A5" w14:textId="19482E94" w:rsidR="00CF72D5" w:rsidRPr="002029AF" w:rsidRDefault="00CF72D5" w:rsidP="00C51680">
            <w:pPr>
              <w:pStyle w:val="ARtabletextbold"/>
              <w:spacing w:before="40" w:after="20"/>
            </w:pPr>
            <w:r w:rsidRPr="002029AF">
              <w:t>Total</w:t>
            </w:r>
          </w:p>
        </w:tc>
        <w:tc>
          <w:tcPr>
            <w:tcW w:w="871" w:type="dxa"/>
            <w:hideMark/>
          </w:tcPr>
          <w:p w14:paraId="711B6273" w14:textId="075F49A5" w:rsidR="00CF72D5" w:rsidRPr="002029AF" w:rsidRDefault="00CF72D5" w:rsidP="00C51680">
            <w:pPr>
              <w:pStyle w:val="ARtabletextrightbold"/>
              <w:spacing w:before="40" w:after="20"/>
            </w:pPr>
            <w:r w:rsidRPr="002029AF">
              <w:t>173</w:t>
            </w:r>
          </w:p>
        </w:tc>
        <w:tc>
          <w:tcPr>
            <w:tcW w:w="886" w:type="dxa"/>
            <w:hideMark/>
          </w:tcPr>
          <w:p w14:paraId="429CCB31" w14:textId="6D98EA9F" w:rsidR="00CF72D5" w:rsidRPr="002029AF" w:rsidRDefault="00CF72D5" w:rsidP="00C51680">
            <w:pPr>
              <w:pStyle w:val="ARtabletextrightbold"/>
              <w:spacing w:before="40" w:after="20"/>
            </w:pPr>
            <w:r w:rsidRPr="002029AF">
              <w:t>160</w:t>
            </w:r>
          </w:p>
        </w:tc>
        <w:tc>
          <w:tcPr>
            <w:tcW w:w="1021" w:type="dxa"/>
            <w:hideMark/>
          </w:tcPr>
          <w:p w14:paraId="142BE28E" w14:textId="1E6DD1FF" w:rsidR="00CF72D5" w:rsidRPr="002029AF" w:rsidRDefault="00CF72D5" w:rsidP="00C51680">
            <w:pPr>
              <w:pStyle w:val="ARtabletextrightbold"/>
              <w:spacing w:before="40" w:after="20"/>
            </w:pPr>
            <w:r w:rsidRPr="002029AF">
              <w:t>0</w:t>
            </w:r>
          </w:p>
        </w:tc>
        <w:tc>
          <w:tcPr>
            <w:tcW w:w="917" w:type="dxa"/>
            <w:hideMark/>
          </w:tcPr>
          <w:p w14:paraId="729F2D8F" w14:textId="761DDD67" w:rsidR="00CF72D5" w:rsidRPr="002029AF" w:rsidRDefault="00CF72D5" w:rsidP="00C51680">
            <w:pPr>
              <w:pStyle w:val="ARtabletextrightbold"/>
              <w:spacing w:before="40" w:after="20"/>
            </w:pPr>
            <w:r w:rsidRPr="002029AF">
              <w:t>333</w:t>
            </w:r>
          </w:p>
        </w:tc>
        <w:tc>
          <w:tcPr>
            <w:tcW w:w="887" w:type="dxa"/>
            <w:hideMark/>
          </w:tcPr>
          <w:p w14:paraId="5FA3CE31" w14:textId="72C3BA57" w:rsidR="00CF72D5" w:rsidRPr="002029AF" w:rsidRDefault="00CF72D5" w:rsidP="00C51680">
            <w:pPr>
              <w:pStyle w:val="ARtabletextrightbold"/>
              <w:spacing w:before="40" w:after="20"/>
            </w:pPr>
            <w:r w:rsidRPr="002029AF">
              <w:t>169</w:t>
            </w:r>
          </w:p>
        </w:tc>
        <w:tc>
          <w:tcPr>
            <w:tcW w:w="887" w:type="dxa"/>
            <w:hideMark/>
          </w:tcPr>
          <w:p w14:paraId="2A2A28C2" w14:textId="59D09A9C" w:rsidR="00CF72D5" w:rsidRPr="002029AF" w:rsidRDefault="00CF72D5" w:rsidP="00C51680">
            <w:pPr>
              <w:pStyle w:val="ARtabletextrightbold"/>
              <w:spacing w:before="40" w:after="20"/>
            </w:pPr>
            <w:r w:rsidRPr="002029AF">
              <w:t>161</w:t>
            </w:r>
          </w:p>
        </w:tc>
        <w:tc>
          <w:tcPr>
            <w:tcW w:w="1022" w:type="dxa"/>
            <w:hideMark/>
          </w:tcPr>
          <w:p w14:paraId="2E6A7717" w14:textId="32C82804" w:rsidR="00CF72D5" w:rsidRPr="002029AF" w:rsidRDefault="00CF72D5" w:rsidP="00C51680">
            <w:pPr>
              <w:pStyle w:val="ARtabletextrightbold"/>
              <w:spacing w:before="40" w:after="20"/>
            </w:pPr>
            <w:r w:rsidRPr="002029AF">
              <w:t>0</w:t>
            </w:r>
          </w:p>
        </w:tc>
        <w:tc>
          <w:tcPr>
            <w:tcW w:w="902" w:type="dxa"/>
            <w:hideMark/>
          </w:tcPr>
          <w:p w14:paraId="45677450" w14:textId="43B3F705" w:rsidR="00CF72D5" w:rsidRPr="002029AF" w:rsidRDefault="00CF72D5" w:rsidP="00C51680">
            <w:pPr>
              <w:pStyle w:val="ARtabletextrightbold"/>
              <w:spacing w:before="40" w:after="20"/>
            </w:pPr>
            <w:r w:rsidRPr="002029AF">
              <w:t>330</w:t>
            </w:r>
          </w:p>
        </w:tc>
        <w:tc>
          <w:tcPr>
            <w:tcW w:w="872" w:type="dxa"/>
            <w:hideMark/>
          </w:tcPr>
          <w:p w14:paraId="2CE5FB6D" w14:textId="6A18654A" w:rsidR="00CF72D5" w:rsidRPr="002029AF" w:rsidRDefault="00CF72D5" w:rsidP="00C51680">
            <w:pPr>
              <w:pStyle w:val="ARtabletextrightbold"/>
              <w:spacing w:before="40" w:after="20"/>
            </w:pPr>
            <w:r w:rsidRPr="002029AF">
              <w:t>4</w:t>
            </w:r>
          </w:p>
        </w:tc>
        <w:tc>
          <w:tcPr>
            <w:tcW w:w="887" w:type="dxa"/>
            <w:hideMark/>
          </w:tcPr>
          <w:p w14:paraId="0DEB60B0" w14:textId="44F2A5FE" w:rsidR="00CF72D5" w:rsidRPr="002029AF" w:rsidRDefault="00CF72D5" w:rsidP="00C51680">
            <w:pPr>
              <w:pStyle w:val="ARtabletextrightbold"/>
              <w:spacing w:before="40" w:after="20"/>
            </w:pPr>
            <w:r w:rsidRPr="002029AF">
              <w:t>-1</w:t>
            </w:r>
          </w:p>
        </w:tc>
        <w:tc>
          <w:tcPr>
            <w:tcW w:w="1022" w:type="dxa"/>
            <w:hideMark/>
          </w:tcPr>
          <w:p w14:paraId="19E8FC7B" w14:textId="2BD6E082" w:rsidR="00CF72D5" w:rsidRPr="002029AF" w:rsidRDefault="00CF72D5" w:rsidP="00C51680">
            <w:pPr>
              <w:pStyle w:val="ARtabletextrightbold"/>
              <w:spacing w:before="40" w:after="20"/>
            </w:pPr>
            <w:r w:rsidRPr="002029AF">
              <w:t>0</w:t>
            </w:r>
          </w:p>
        </w:tc>
        <w:tc>
          <w:tcPr>
            <w:tcW w:w="887" w:type="dxa"/>
            <w:hideMark/>
          </w:tcPr>
          <w:p w14:paraId="1A2ACB89" w14:textId="6D6FAFE5" w:rsidR="00CF72D5" w:rsidRPr="002029AF" w:rsidRDefault="00CF72D5" w:rsidP="00C51680">
            <w:pPr>
              <w:pStyle w:val="ARtabletextrightbold"/>
              <w:spacing w:before="40" w:after="20"/>
            </w:pPr>
            <w:r w:rsidRPr="002029AF">
              <w:t>3</w:t>
            </w:r>
          </w:p>
        </w:tc>
      </w:tr>
    </w:tbl>
    <w:p w14:paraId="35B879F6" w14:textId="487EA807" w:rsidR="00CF72D5" w:rsidRPr="002029AF" w:rsidRDefault="00CF72D5" w:rsidP="00D40FE6">
      <w:pPr>
        <w:pStyle w:val="ARtablefootnote"/>
        <w:rPr>
          <w:rFonts w:ascii="Segoe UI" w:hAnsi="Segoe UI" w:cs="Segoe UI"/>
          <w:sz w:val="18"/>
          <w:szCs w:val="18"/>
        </w:rPr>
      </w:pPr>
      <w:bookmarkStart w:id="93" w:name="Executive_officer_disclosures_end"/>
      <w:r w:rsidRPr="002029AF">
        <w:t>Notes</w:t>
      </w:r>
      <w:r w:rsidR="00C51680" w:rsidRPr="002029AF">
        <w:t>:</w:t>
      </w:r>
    </w:p>
    <w:p w14:paraId="012BA5C4" w14:textId="686B6B6E" w:rsidR="00CF72D5" w:rsidRPr="002029AF" w:rsidRDefault="00CF72D5" w:rsidP="00D40FE6">
      <w:pPr>
        <w:pStyle w:val="ARtablefootnote"/>
        <w:rPr>
          <w:rFonts w:ascii="Segoe UI" w:hAnsi="Segoe UI" w:cs="Segoe UI"/>
          <w:sz w:val="18"/>
          <w:szCs w:val="18"/>
        </w:rPr>
      </w:pPr>
      <w:r w:rsidRPr="002029AF">
        <w:t>For</w:t>
      </w:r>
      <w:r w:rsidR="000A5329" w:rsidRPr="002029AF">
        <w:t xml:space="preserve"> </w:t>
      </w:r>
      <w:r w:rsidRPr="002029AF">
        <w:t>the</w:t>
      </w:r>
      <w:r w:rsidR="000A5329" w:rsidRPr="002029AF">
        <w:t xml:space="preserve"> </w:t>
      </w:r>
      <w:r w:rsidRPr="002029AF">
        <w:t>purpose</w:t>
      </w:r>
      <w:r w:rsidR="000A5329" w:rsidRPr="002029AF">
        <w:t xml:space="preserve"> </w:t>
      </w:r>
      <w:r w:rsidRPr="002029AF">
        <w:t>of</w:t>
      </w:r>
      <w:r w:rsidR="000A5329" w:rsidRPr="002029AF">
        <w:t xml:space="preserve"> </w:t>
      </w:r>
      <w:r w:rsidRPr="002029AF">
        <w:t>this</w:t>
      </w:r>
      <w:r w:rsidR="000A5329" w:rsidRPr="002029AF">
        <w:t xml:space="preserve"> </w:t>
      </w:r>
      <w:r w:rsidRPr="002029AF">
        <w:t>table,</w:t>
      </w:r>
      <w:r w:rsidR="000A5329" w:rsidRPr="002029AF">
        <w:t xml:space="preserve"> </w:t>
      </w:r>
      <w:r w:rsidRPr="002029AF">
        <w:t>Executive</w:t>
      </w:r>
      <w:r w:rsidR="000A5329" w:rsidRPr="002029AF">
        <w:t xml:space="preserve"> </w:t>
      </w:r>
      <w:r w:rsidRPr="002029AF">
        <w:t>Officers</w:t>
      </w:r>
      <w:r w:rsidR="000A5329" w:rsidRPr="002029AF">
        <w:t xml:space="preserve"> </w:t>
      </w:r>
      <w:r w:rsidRPr="002029AF">
        <w:t>are</w:t>
      </w:r>
      <w:r w:rsidR="000A5329" w:rsidRPr="002029AF">
        <w:t xml:space="preserve"> </w:t>
      </w:r>
      <w:r w:rsidRPr="002029AF">
        <w:t>defined</w:t>
      </w:r>
      <w:r w:rsidR="000A5329" w:rsidRPr="002029AF">
        <w:t xml:space="preserve"> </w:t>
      </w:r>
      <w:r w:rsidRPr="002029AF">
        <w:t>as</w:t>
      </w:r>
      <w:r w:rsidR="000A5329" w:rsidRPr="002029AF">
        <w:t xml:space="preserve"> </w:t>
      </w:r>
      <w:r w:rsidRPr="002029AF">
        <w:t>employees</w:t>
      </w:r>
      <w:r w:rsidR="000A5329" w:rsidRPr="002029AF">
        <w:t xml:space="preserve"> </w:t>
      </w:r>
      <w:r w:rsidRPr="002029AF">
        <w:t>who</w:t>
      </w:r>
      <w:r w:rsidR="000A5329" w:rsidRPr="002029AF">
        <w:t xml:space="preserve"> </w:t>
      </w:r>
      <w:r w:rsidRPr="002029AF">
        <w:t>have</w:t>
      </w:r>
      <w:r w:rsidR="000A5329" w:rsidRPr="002029AF">
        <w:t xml:space="preserve"> </w:t>
      </w:r>
      <w:r w:rsidRPr="002029AF">
        <w:t>significant</w:t>
      </w:r>
      <w:r w:rsidR="000A5329" w:rsidRPr="002029AF">
        <w:t xml:space="preserve"> </w:t>
      </w:r>
      <w:r w:rsidRPr="002029AF">
        <w:t>management</w:t>
      </w:r>
      <w:r w:rsidR="000A5329" w:rsidRPr="002029AF">
        <w:t xml:space="preserve"> </w:t>
      </w:r>
      <w:r w:rsidRPr="002029AF">
        <w:t>responsibility</w:t>
      </w:r>
      <w:r w:rsidR="000A5329" w:rsidRPr="002029AF">
        <w:t xml:space="preserve"> </w:t>
      </w:r>
      <w:r w:rsidRPr="002029AF">
        <w:t>AND</w:t>
      </w:r>
      <w:r w:rsidR="000A5329" w:rsidRPr="002029AF">
        <w:t xml:space="preserve"> </w:t>
      </w:r>
      <w:r w:rsidRPr="002029AF">
        <w:t>receive</w:t>
      </w:r>
      <w:r w:rsidR="000A5329" w:rsidRPr="002029AF">
        <w:t xml:space="preserve"> </w:t>
      </w:r>
      <w:r w:rsidRPr="002029AF">
        <w:t>a</w:t>
      </w:r>
      <w:r w:rsidR="000A5329" w:rsidRPr="002029AF">
        <w:t xml:space="preserve"> </w:t>
      </w:r>
      <w:r w:rsidRPr="002029AF">
        <w:t>TRP</w:t>
      </w:r>
      <w:r w:rsidR="000A5329" w:rsidRPr="002029AF">
        <w:t xml:space="preserve"> </w:t>
      </w:r>
      <w:r w:rsidRPr="002029AF">
        <w:t>of</w:t>
      </w:r>
      <w:r w:rsidR="000A5329" w:rsidRPr="002029AF">
        <w:t xml:space="preserve"> </w:t>
      </w:r>
      <w:r w:rsidRPr="002029AF">
        <w:t>$185,711</w:t>
      </w:r>
      <w:r w:rsidR="000A5329" w:rsidRPr="002029AF">
        <w:t xml:space="preserve"> </w:t>
      </w:r>
      <w:r w:rsidRPr="002029AF">
        <w:t>or</w:t>
      </w:r>
      <w:r w:rsidR="000A5329" w:rsidRPr="002029AF">
        <w:t xml:space="preserve"> </w:t>
      </w:r>
      <w:r w:rsidRPr="002029AF">
        <w:t>more.</w:t>
      </w:r>
    </w:p>
    <w:p w14:paraId="02830A0D" w14:textId="556CE2C7" w:rsidR="00CF72D5" w:rsidRPr="002029AF" w:rsidRDefault="00CF72D5" w:rsidP="00D40FE6">
      <w:pPr>
        <w:pStyle w:val="ARtablefootnote"/>
        <w:rPr>
          <w:rFonts w:ascii="Segoe UI" w:hAnsi="Segoe UI" w:cs="Segoe UI"/>
          <w:sz w:val="18"/>
          <w:szCs w:val="18"/>
        </w:rPr>
      </w:pPr>
      <w:r w:rsidRPr="002029AF">
        <w:t>All</w:t>
      </w:r>
      <w:r w:rsidR="000A5329" w:rsidRPr="002029AF">
        <w:t xml:space="preserve"> </w:t>
      </w:r>
      <w:r w:rsidRPr="002029AF">
        <w:t>figures</w:t>
      </w:r>
      <w:r w:rsidR="000A5329" w:rsidRPr="002029AF">
        <w:t xml:space="preserve"> </w:t>
      </w:r>
      <w:r w:rsidRPr="002029AF">
        <w:t>reflect</w:t>
      </w:r>
      <w:r w:rsidR="000A5329" w:rsidRPr="002029AF">
        <w:t xml:space="preserve"> </w:t>
      </w:r>
      <w:r w:rsidRPr="002029AF">
        <w:t>employment</w:t>
      </w:r>
      <w:r w:rsidR="000A5329" w:rsidRPr="002029AF">
        <w:t xml:space="preserve"> </w:t>
      </w:r>
      <w:r w:rsidRPr="002029AF">
        <w:t>levels</w:t>
      </w:r>
      <w:r w:rsidR="000A5329" w:rsidRPr="002029AF">
        <w:t xml:space="preserve"> </w:t>
      </w:r>
      <w:r w:rsidRPr="002029AF">
        <w:t>as</w:t>
      </w:r>
      <w:r w:rsidR="000A5329" w:rsidRPr="002029AF">
        <w:t xml:space="preserve"> </w:t>
      </w:r>
      <w:r w:rsidRPr="002029AF">
        <w:t>at</w:t>
      </w:r>
      <w:r w:rsidR="000A5329" w:rsidRPr="002029AF">
        <w:t xml:space="preserve"> </w:t>
      </w:r>
      <w:r w:rsidRPr="002029AF">
        <w:t>last</w:t>
      </w:r>
      <w:r w:rsidR="000A5329" w:rsidRPr="002029AF">
        <w:t xml:space="preserve"> </w:t>
      </w:r>
      <w:r w:rsidRPr="002029AF">
        <w:t>pay</w:t>
      </w:r>
      <w:r w:rsidR="000A5329" w:rsidRPr="002029AF">
        <w:t xml:space="preserve"> </w:t>
      </w:r>
      <w:r w:rsidRPr="002029AF">
        <w:t>in</w:t>
      </w:r>
      <w:r w:rsidR="000A5329" w:rsidRPr="002029AF">
        <w:t xml:space="preserve"> </w:t>
      </w:r>
      <w:r w:rsidRPr="002029AF">
        <w:t>June</w:t>
      </w:r>
      <w:r w:rsidR="000A5329" w:rsidRPr="002029AF">
        <w:t xml:space="preserve"> </w:t>
      </w:r>
      <w:r w:rsidRPr="002029AF">
        <w:t>2020</w:t>
      </w:r>
      <w:r w:rsidR="000A5329" w:rsidRPr="002029AF">
        <w:t xml:space="preserve"> </w:t>
      </w:r>
      <w:r w:rsidRPr="002029AF">
        <w:t>unless</w:t>
      </w:r>
      <w:r w:rsidR="000A5329" w:rsidRPr="002029AF">
        <w:t xml:space="preserve"> </w:t>
      </w:r>
      <w:r w:rsidRPr="002029AF">
        <w:t>otherwise</w:t>
      </w:r>
      <w:r w:rsidR="000A5329" w:rsidRPr="002029AF">
        <w:t xml:space="preserve"> </w:t>
      </w:r>
      <w:r w:rsidRPr="002029AF">
        <w:t>stated.</w:t>
      </w:r>
    </w:p>
    <w:p w14:paraId="782550E3" w14:textId="530536BB" w:rsidR="00CF72D5" w:rsidRPr="002029AF" w:rsidRDefault="00CF72D5" w:rsidP="00D40FE6">
      <w:pPr>
        <w:pStyle w:val="ARtablefootnote"/>
        <w:rPr>
          <w:rFonts w:ascii="Segoe UI" w:hAnsi="Segoe UI" w:cs="Segoe UI"/>
          <w:sz w:val="18"/>
          <w:szCs w:val="18"/>
        </w:rPr>
      </w:pPr>
      <w:r w:rsidRPr="002029AF">
        <w:t>Excluded</w:t>
      </w:r>
      <w:r w:rsidR="000A5329" w:rsidRPr="002029AF">
        <w:t xml:space="preserve"> </w:t>
      </w:r>
      <w:r w:rsidRPr="002029AF">
        <w:t>are</w:t>
      </w:r>
      <w:r w:rsidR="000A5329" w:rsidRPr="002029AF">
        <w:t xml:space="preserve"> </w:t>
      </w:r>
      <w:r w:rsidRPr="002029AF">
        <w:t>those</w:t>
      </w:r>
      <w:r w:rsidR="000A5329" w:rsidRPr="002029AF">
        <w:t xml:space="preserve"> </w:t>
      </w:r>
      <w:r w:rsidRPr="002029AF">
        <w:t>on</w:t>
      </w:r>
      <w:r w:rsidR="000A5329" w:rsidRPr="002029AF">
        <w:t xml:space="preserve"> </w:t>
      </w:r>
      <w:r w:rsidRPr="002029AF">
        <w:t>leave</w:t>
      </w:r>
      <w:r w:rsidR="000A5329" w:rsidRPr="002029AF">
        <w:t xml:space="preserve"> </w:t>
      </w:r>
      <w:r w:rsidRPr="002029AF">
        <w:t>without</w:t>
      </w:r>
      <w:r w:rsidR="000A5329" w:rsidRPr="002029AF">
        <w:t xml:space="preserve"> </w:t>
      </w:r>
      <w:r w:rsidRPr="002029AF">
        <w:t>pay</w:t>
      </w:r>
      <w:r w:rsidR="000A5329" w:rsidRPr="002029AF">
        <w:t xml:space="preserve"> </w:t>
      </w:r>
      <w:r w:rsidRPr="002029AF">
        <w:t>or</w:t>
      </w:r>
      <w:r w:rsidR="000A5329" w:rsidRPr="002029AF">
        <w:t xml:space="preserve"> </w:t>
      </w:r>
      <w:r w:rsidRPr="002029AF">
        <w:t>absent</w:t>
      </w:r>
      <w:r w:rsidR="000A5329" w:rsidRPr="002029AF">
        <w:t xml:space="preserve"> </w:t>
      </w:r>
      <w:r w:rsidRPr="002029AF">
        <w:t>on</w:t>
      </w:r>
      <w:r w:rsidR="000A5329" w:rsidRPr="002029AF">
        <w:t xml:space="preserve"> </w:t>
      </w:r>
      <w:r w:rsidRPr="002029AF">
        <w:t>secondment,</w:t>
      </w:r>
      <w:r w:rsidR="000A5329" w:rsidRPr="002029AF">
        <w:t xml:space="preserve"> </w:t>
      </w:r>
      <w:r w:rsidRPr="002029AF">
        <w:t>external</w:t>
      </w:r>
      <w:r w:rsidR="000A5329" w:rsidRPr="002029AF">
        <w:t xml:space="preserve"> </w:t>
      </w:r>
      <w:r w:rsidRPr="002029AF">
        <w:t>contractors</w:t>
      </w:r>
      <w:r w:rsidR="000A5329" w:rsidRPr="002029AF">
        <w:t xml:space="preserve"> </w:t>
      </w:r>
      <w:r w:rsidRPr="002029AF">
        <w:t>/</w:t>
      </w:r>
      <w:r w:rsidR="000A5329" w:rsidRPr="002029AF">
        <w:t xml:space="preserve"> </w:t>
      </w:r>
      <w:r w:rsidRPr="002029AF">
        <w:t>consultants</w:t>
      </w:r>
      <w:r w:rsidR="000A5329" w:rsidRPr="002029AF">
        <w:t xml:space="preserve"> </w:t>
      </w:r>
      <w:r w:rsidRPr="002029AF">
        <w:t>and</w:t>
      </w:r>
      <w:r w:rsidR="000A5329" w:rsidRPr="002029AF">
        <w:t xml:space="preserve"> </w:t>
      </w:r>
      <w:r w:rsidRPr="002029AF">
        <w:t>temporary</w:t>
      </w:r>
      <w:r w:rsidR="000A5329" w:rsidRPr="002029AF">
        <w:t xml:space="preserve"> </w:t>
      </w:r>
      <w:r w:rsidRPr="002029AF">
        <w:t>staff</w:t>
      </w:r>
      <w:r w:rsidR="000A5329" w:rsidRPr="002029AF">
        <w:t xml:space="preserve"> </w:t>
      </w:r>
      <w:r w:rsidRPr="002029AF">
        <w:t>employed</w:t>
      </w:r>
      <w:r w:rsidR="000A5329" w:rsidRPr="002029AF">
        <w:t xml:space="preserve"> </w:t>
      </w:r>
      <w:r w:rsidRPr="002029AF">
        <w:t>by</w:t>
      </w:r>
      <w:r w:rsidR="000A5329" w:rsidRPr="002029AF">
        <w:t xml:space="preserve"> </w:t>
      </w:r>
      <w:r w:rsidRPr="002029AF">
        <w:t>employment</w:t>
      </w:r>
      <w:r w:rsidR="000A5329" w:rsidRPr="002029AF">
        <w:t xml:space="preserve"> </w:t>
      </w:r>
      <w:r w:rsidRPr="002029AF">
        <w:t>agencies.</w:t>
      </w:r>
    </w:p>
    <w:p w14:paraId="4A9D1AB2" w14:textId="56CF32A7" w:rsidR="00CF72D5" w:rsidRPr="002029AF" w:rsidRDefault="00CF72D5" w:rsidP="00D40FE6">
      <w:pPr>
        <w:pStyle w:val="ARtablefootnote"/>
        <w:rPr>
          <w:rFonts w:ascii="Segoe UI" w:hAnsi="Segoe UI" w:cs="Segoe UI"/>
          <w:sz w:val="18"/>
          <w:szCs w:val="18"/>
        </w:rPr>
      </w:pPr>
      <w:r w:rsidRPr="002029AF">
        <w:t>Castlemaine</w:t>
      </w:r>
      <w:r w:rsidR="000A5329" w:rsidRPr="002029AF">
        <w:t xml:space="preserve"> </w:t>
      </w:r>
      <w:r w:rsidRPr="002029AF">
        <w:t>Health</w:t>
      </w:r>
      <w:r w:rsidR="000A5329" w:rsidRPr="002029AF">
        <w:t xml:space="preserve"> </w:t>
      </w:r>
      <w:r w:rsidRPr="002029AF">
        <w:t>and</w:t>
      </w:r>
      <w:r w:rsidR="000A5329" w:rsidRPr="002029AF">
        <w:t xml:space="preserve"> </w:t>
      </w:r>
      <w:r w:rsidRPr="002029AF">
        <w:t>Maldon</w:t>
      </w:r>
      <w:r w:rsidR="000A5329" w:rsidRPr="002029AF">
        <w:t xml:space="preserve"> </w:t>
      </w:r>
      <w:r w:rsidRPr="002029AF">
        <w:rPr>
          <w:i/>
          <w:iCs/>
        </w:rPr>
        <w:t>Hospital</w:t>
      </w:r>
      <w:r w:rsidR="000A5329" w:rsidRPr="002029AF">
        <w:t xml:space="preserve"> </w:t>
      </w:r>
      <w:r w:rsidRPr="002029AF">
        <w:t>share</w:t>
      </w:r>
      <w:r w:rsidR="000A5329" w:rsidRPr="002029AF">
        <w:t xml:space="preserve"> </w:t>
      </w:r>
      <w:r w:rsidRPr="002029AF">
        <w:t>the</w:t>
      </w:r>
      <w:r w:rsidR="000A5329" w:rsidRPr="002029AF">
        <w:t xml:space="preserve"> </w:t>
      </w:r>
      <w:r w:rsidRPr="002029AF">
        <w:t>same</w:t>
      </w:r>
      <w:r w:rsidR="000A5329" w:rsidRPr="002029AF">
        <w:t xml:space="preserve"> </w:t>
      </w:r>
      <w:r w:rsidRPr="002029AF">
        <w:t>Chief</w:t>
      </w:r>
      <w:r w:rsidR="000A5329" w:rsidRPr="002029AF">
        <w:t xml:space="preserve"> </w:t>
      </w:r>
      <w:r w:rsidRPr="002029AF">
        <w:t>Executive</w:t>
      </w:r>
      <w:r w:rsidR="000A5329" w:rsidRPr="002029AF">
        <w:t xml:space="preserve"> </w:t>
      </w:r>
      <w:r w:rsidRPr="002029AF">
        <w:t>Officer</w:t>
      </w:r>
    </w:p>
    <w:p w14:paraId="0816047F" w14:textId="25D215CD" w:rsidR="00CF72D5" w:rsidRPr="002029AF" w:rsidRDefault="00CF72D5" w:rsidP="00D40FE6">
      <w:pPr>
        <w:pStyle w:val="ARtablefootnote"/>
        <w:rPr>
          <w:rFonts w:ascii="Segoe UI" w:hAnsi="Segoe UI" w:cs="Segoe UI"/>
          <w:sz w:val="18"/>
          <w:szCs w:val="18"/>
        </w:rPr>
      </w:pPr>
      <w:r w:rsidRPr="002029AF">
        <w:t>Goulburn</w:t>
      </w:r>
      <w:r w:rsidR="000A5329" w:rsidRPr="002029AF">
        <w:t xml:space="preserve"> </w:t>
      </w:r>
      <w:r w:rsidRPr="002029AF">
        <w:t>Valley</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executives</w:t>
      </w:r>
      <w:r w:rsidR="000A5329" w:rsidRPr="002029AF">
        <w:t xml:space="preserve"> </w:t>
      </w:r>
      <w:r w:rsidRPr="002029AF">
        <w:t>are</w:t>
      </w:r>
      <w:r w:rsidR="000A5329" w:rsidRPr="002029AF">
        <w:t xml:space="preserve"> </w:t>
      </w:r>
      <w:r w:rsidRPr="002029AF">
        <w:t>shared</w:t>
      </w:r>
      <w:r w:rsidR="000A5329" w:rsidRPr="002029AF">
        <w:t xml:space="preserve"> </w:t>
      </w:r>
      <w:r w:rsidRPr="002029AF">
        <w:t>among</w:t>
      </w:r>
      <w:r w:rsidR="000A5329" w:rsidRPr="002029AF">
        <w:t xml:space="preserve"> </w:t>
      </w:r>
      <w:r w:rsidRPr="002029AF">
        <w:t>Mansfield</w:t>
      </w:r>
      <w:r w:rsidR="000A5329" w:rsidRPr="002029AF">
        <w:t xml:space="preserve"> </w:t>
      </w:r>
      <w:r w:rsidRPr="002029AF">
        <w:t>and</w:t>
      </w:r>
      <w:r w:rsidR="000A5329" w:rsidRPr="002029AF">
        <w:t xml:space="preserve"> </w:t>
      </w:r>
      <w:r w:rsidRPr="002029AF">
        <w:t>Yea</w:t>
      </w:r>
      <w:r w:rsidR="000A5329" w:rsidRPr="002029AF">
        <w:t xml:space="preserve"> </w:t>
      </w:r>
      <w:r w:rsidRPr="002029AF">
        <w:t>and</w:t>
      </w:r>
      <w:r w:rsidR="000A5329" w:rsidRPr="002029AF">
        <w:t xml:space="preserve"> </w:t>
      </w:r>
      <w:r w:rsidRPr="002029AF">
        <w:t>District</w:t>
      </w:r>
      <w:r w:rsidR="000A5329" w:rsidRPr="002029AF">
        <w:t xml:space="preserve"> </w:t>
      </w:r>
      <w:r w:rsidRPr="002029AF">
        <w:t>Memorial</w:t>
      </w:r>
      <w:r w:rsidR="000A5329" w:rsidRPr="002029AF">
        <w:t xml:space="preserve"> </w:t>
      </w:r>
      <w:r w:rsidRPr="002029AF">
        <w:t>Hospitals</w:t>
      </w:r>
    </w:p>
    <w:p w14:paraId="4FB729D8" w14:textId="17FE6CAF" w:rsidR="00CF72D5" w:rsidRPr="002029AF" w:rsidRDefault="00CF72D5" w:rsidP="00D40FE6">
      <w:pPr>
        <w:pStyle w:val="ARtablefootnote"/>
        <w:rPr>
          <w:rFonts w:ascii="Segoe UI" w:hAnsi="Segoe UI" w:cs="Segoe UI"/>
          <w:sz w:val="18"/>
          <w:szCs w:val="18"/>
        </w:rPr>
      </w:pPr>
      <w:r w:rsidRPr="002029AF">
        <w:t>Nathalia,</w:t>
      </w:r>
      <w:r w:rsidR="000A5329" w:rsidRPr="002029AF">
        <w:t xml:space="preserve"> </w:t>
      </w:r>
      <w:r w:rsidRPr="002029AF">
        <w:t>Cobram</w:t>
      </w:r>
      <w:r w:rsidR="000A5329" w:rsidRPr="002029AF">
        <w:t xml:space="preserve"> </w:t>
      </w:r>
      <w:r w:rsidRPr="002029AF">
        <w:t>and</w:t>
      </w:r>
      <w:r w:rsidR="000A5329" w:rsidRPr="002029AF">
        <w:t xml:space="preserve"> </w:t>
      </w:r>
      <w:r w:rsidRPr="002029AF">
        <w:t>Numurkah</w:t>
      </w:r>
      <w:r w:rsidR="000A5329" w:rsidRPr="002029AF">
        <w:t xml:space="preserve"> </w:t>
      </w:r>
      <w:r w:rsidRPr="002029AF">
        <w:t>have</w:t>
      </w:r>
      <w:r w:rsidR="000A5329" w:rsidRPr="002029AF">
        <w:t xml:space="preserve"> </w:t>
      </w:r>
      <w:r w:rsidRPr="002029AF">
        <w:t>amalgamated</w:t>
      </w:r>
      <w:r w:rsidR="000A5329" w:rsidRPr="002029AF">
        <w:t xml:space="preserve"> </w:t>
      </w:r>
      <w:r w:rsidRPr="002029AF">
        <w:t>to</w:t>
      </w:r>
      <w:r w:rsidR="000A5329" w:rsidRPr="002029AF">
        <w:t xml:space="preserve"> </w:t>
      </w:r>
      <w:r w:rsidRPr="002029AF">
        <w:t>form</w:t>
      </w:r>
      <w:r w:rsidR="000A5329" w:rsidRPr="002029AF">
        <w:t xml:space="preserve"> </w:t>
      </w:r>
      <w:r w:rsidRPr="002029AF">
        <w:t>Nathalia</w:t>
      </w:r>
      <w:r w:rsidR="000A5329" w:rsidRPr="002029AF">
        <w:t xml:space="preserve"> </w:t>
      </w:r>
      <w:r w:rsidRPr="002029AF">
        <w:t>Cobram</w:t>
      </w:r>
      <w:r w:rsidR="000A5329" w:rsidRPr="002029AF">
        <w:t xml:space="preserve"> </w:t>
      </w:r>
      <w:r w:rsidRPr="002029AF">
        <w:t>Numurkah</w:t>
      </w:r>
      <w:r w:rsidR="000A5329" w:rsidRPr="002029AF">
        <w:t xml:space="preserve"> </w:t>
      </w:r>
      <w:r w:rsidRPr="002029AF">
        <w:t>Health</w:t>
      </w:r>
      <w:r w:rsidR="000A5329" w:rsidRPr="002029AF">
        <w:t xml:space="preserve"> </w:t>
      </w:r>
      <w:r w:rsidRPr="002029AF">
        <w:t>Services</w:t>
      </w:r>
    </w:p>
    <w:p w14:paraId="40CD15AA" w14:textId="5B25CBC1" w:rsidR="00CF72D5" w:rsidRPr="002029AF" w:rsidRDefault="00CF72D5" w:rsidP="00D40FE6">
      <w:pPr>
        <w:pStyle w:val="ARtablefootnote"/>
        <w:rPr>
          <w:rFonts w:ascii="Segoe UI" w:hAnsi="Segoe UI" w:cs="Segoe UI"/>
          <w:sz w:val="18"/>
          <w:szCs w:val="18"/>
        </w:rPr>
      </w:pPr>
      <w:r w:rsidRPr="002029AF">
        <w:t>Lorne</w:t>
      </w:r>
      <w:r w:rsidR="000A5329" w:rsidRPr="002029AF">
        <w:t xml:space="preserve"> </w:t>
      </w:r>
      <w:r w:rsidRPr="002029AF">
        <w:t>and</w:t>
      </w:r>
      <w:r w:rsidR="000A5329" w:rsidRPr="002029AF">
        <w:t xml:space="preserve"> </w:t>
      </w:r>
      <w:r w:rsidRPr="002029AF">
        <w:t>Otway</w:t>
      </w:r>
      <w:r w:rsidR="000A5329" w:rsidRPr="002029AF">
        <w:t xml:space="preserve"> </w:t>
      </w:r>
      <w:r w:rsidRPr="002029AF">
        <w:t>Health</w:t>
      </w:r>
      <w:r w:rsidR="000A5329" w:rsidRPr="002029AF">
        <w:t xml:space="preserve"> </w:t>
      </w:r>
      <w:r w:rsidRPr="002029AF">
        <w:t>have</w:t>
      </w:r>
      <w:r w:rsidR="000A5329" w:rsidRPr="002029AF">
        <w:t xml:space="preserve"> </w:t>
      </w:r>
      <w:r w:rsidRPr="002029AF">
        <w:t>amalgamated</w:t>
      </w:r>
      <w:r w:rsidR="000A5329" w:rsidRPr="002029AF">
        <w:t xml:space="preserve"> </w:t>
      </w:r>
      <w:r w:rsidRPr="002029AF">
        <w:t>to</w:t>
      </w:r>
      <w:r w:rsidR="000A5329" w:rsidRPr="002029AF">
        <w:t xml:space="preserve"> </w:t>
      </w:r>
      <w:r w:rsidRPr="002029AF">
        <w:t>form</w:t>
      </w:r>
      <w:r w:rsidR="000A5329" w:rsidRPr="002029AF">
        <w:t xml:space="preserve"> </w:t>
      </w:r>
      <w:r w:rsidRPr="002029AF">
        <w:t>Great</w:t>
      </w:r>
      <w:r w:rsidR="000A5329" w:rsidRPr="002029AF">
        <w:t xml:space="preserve"> </w:t>
      </w:r>
      <w:r w:rsidRPr="002029AF">
        <w:t>Ocean</w:t>
      </w:r>
      <w:r w:rsidR="000A5329" w:rsidRPr="002029AF">
        <w:t xml:space="preserve"> </w:t>
      </w:r>
      <w:r w:rsidRPr="002029AF">
        <w:t>Road</w:t>
      </w:r>
      <w:r w:rsidR="000A5329" w:rsidRPr="002029AF">
        <w:t xml:space="preserve"> </w:t>
      </w:r>
      <w:r w:rsidRPr="002029AF">
        <w:t>Health</w:t>
      </w:r>
    </w:p>
    <w:p w14:paraId="16C4FE91" w14:textId="128B6F27" w:rsidR="00CF72D5" w:rsidRPr="002029AF" w:rsidRDefault="00CF72D5" w:rsidP="00D40FE6">
      <w:pPr>
        <w:pStyle w:val="ARtablefootnote"/>
        <w:rPr>
          <w:rFonts w:ascii="Segoe UI" w:hAnsi="Segoe UI" w:cs="Segoe UI"/>
          <w:sz w:val="18"/>
          <w:szCs w:val="18"/>
        </w:rPr>
      </w:pPr>
      <w:r w:rsidRPr="002029AF">
        <w:t>Hepburn</w:t>
      </w:r>
      <w:r w:rsidR="000A5329" w:rsidRPr="002029AF">
        <w:t xml:space="preserve"> </w:t>
      </w:r>
      <w:r w:rsidRPr="002029AF">
        <w:t>and</w:t>
      </w:r>
      <w:r w:rsidR="000A5329" w:rsidRPr="002029AF">
        <w:t xml:space="preserve"> </w:t>
      </w:r>
      <w:r w:rsidRPr="002029AF">
        <w:t>Kyneton</w:t>
      </w:r>
      <w:r w:rsidR="000A5329" w:rsidRPr="002029AF">
        <w:t xml:space="preserve"> </w:t>
      </w:r>
      <w:r w:rsidRPr="002029AF">
        <w:t>have</w:t>
      </w:r>
      <w:r w:rsidR="000A5329" w:rsidRPr="002029AF">
        <w:t xml:space="preserve"> </w:t>
      </w:r>
      <w:r w:rsidRPr="002029AF">
        <w:t>amalgamated</w:t>
      </w:r>
      <w:r w:rsidR="000A5329" w:rsidRPr="002029AF">
        <w:t xml:space="preserve"> </w:t>
      </w:r>
      <w:r w:rsidRPr="002029AF">
        <w:t>to</w:t>
      </w:r>
      <w:r w:rsidR="000A5329" w:rsidRPr="002029AF">
        <w:t xml:space="preserve"> </w:t>
      </w:r>
      <w:r w:rsidRPr="002029AF">
        <w:t>form</w:t>
      </w:r>
      <w:r w:rsidR="000A5329" w:rsidRPr="002029AF">
        <w:t xml:space="preserve"> </w:t>
      </w:r>
      <w:r w:rsidRPr="002029AF">
        <w:t>Central</w:t>
      </w:r>
      <w:r w:rsidR="000A5329" w:rsidRPr="002029AF">
        <w:t xml:space="preserve"> </w:t>
      </w:r>
      <w:r w:rsidRPr="002029AF">
        <w:t>Highlands</w:t>
      </w:r>
      <w:r w:rsidR="000A5329" w:rsidRPr="002029AF">
        <w:t xml:space="preserve"> </w:t>
      </w:r>
      <w:r w:rsidRPr="002029AF">
        <w:t>Rural</w:t>
      </w:r>
      <w:r w:rsidR="000A5329" w:rsidRPr="002029AF">
        <w:t xml:space="preserve"> </w:t>
      </w:r>
      <w:r w:rsidRPr="002029AF">
        <w:t>Health</w:t>
      </w:r>
    </w:p>
    <w:bookmarkEnd w:id="93"/>
    <w:p w14:paraId="23DE358F" w14:textId="211915EA" w:rsidR="00CF72D5" w:rsidRPr="002029AF" w:rsidRDefault="00CF72D5" w:rsidP="00897193">
      <w:pPr>
        <w:spacing w:after="0" w:line="240" w:lineRule="auto"/>
        <w:textAlignment w:val="baseline"/>
        <w:rPr>
          <w:rFonts w:ascii="Segoe UI" w:eastAsia="Times New Roman" w:hAnsi="Segoe UI" w:cs="Segoe UI"/>
          <w:sz w:val="18"/>
          <w:szCs w:val="18"/>
        </w:rPr>
      </w:pPr>
    </w:p>
    <w:p w14:paraId="1EB972B0" w14:textId="77777777" w:rsidR="00CF72D5" w:rsidRPr="002029AF" w:rsidRDefault="00CF72D5" w:rsidP="00897193">
      <w:pPr>
        <w:pStyle w:val="Heading2"/>
        <w:rPr>
          <w:highlight w:val="yellow"/>
        </w:rPr>
        <w:sectPr w:rsidR="00CF72D5" w:rsidRPr="002029AF" w:rsidSect="00E25B23">
          <w:headerReference w:type="even" r:id="rId129"/>
          <w:headerReference w:type="default" r:id="rId130"/>
          <w:footerReference w:type="even" r:id="rId131"/>
          <w:pgSz w:w="16838" w:h="11906" w:orient="landscape" w:code="9"/>
          <w:pgMar w:top="1418" w:right="1985" w:bottom="1418" w:left="851" w:header="851" w:footer="851" w:gutter="0"/>
          <w:cols w:space="454"/>
          <w:docGrid w:linePitch="360"/>
          <w15:footnoteColumns w:val="1"/>
        </w:sectPr>
      </w:pPr>
      <w:bookmarkStart w:id="94" w:name="_Ref492894777"/>
      <w:bookmarkEnd w:id="92"/>
    </w:p>
    <w:bookmarkEnd w:id="94"/>
    <w:p w14:paraId="4B718535" w14:textId="500B5F52" w:rsidR="00CF72D5" w:rsidRPr="002029AF" w:rsidRDefault="00CF72D5" w:rsidP="00897193">
      <w:pPr>
        <w:pStyle w:val="Heading2"/>
        <w:spacing w:before="0"/>
      </w:pPr>
      <w:r w:rsidRPr="002029AF">
        <w:lastRenderedPageBreak/>
        <w:t>Health,</w:t>
      </w:r>
      <w:r w:rsidR="000A5329" w:rsidRPr="002029AF">
        <w:t xml:space="preserve"> </w:t>
      </w:r>
      <w:r w:rsidRPr="002029AF">
        <w:t>safety</w:t>
      </w:r>
      <w:r w:rsidR="000A5329" w:rsidRPr="002029AF">
        <w:t xml:space="preserve"> </w:t>
      </w:r>
      <w:r w:rsidRPr="002029AF">
        <w:t>and</w:t>
      </w:r>
      <w:r w:rsidR="000A5329" w:rsidRPr="002029AF">
        <w:t xml:space="preserve"> </w:t>
      </w:r>
      <w:r w:rsidRPr="002029AF">
        <w:t>wellbeing</w:t>
      </w:r>
    </w:p>
    <w:p w14:paraId="5D100FBA" w14:textId="19432B03" w:rsidR="00CF72D5" w:rsidRPr="002029AF" w:rsidRDefault="00CF72D5" w:rsidP="001E768A">
      <w:pPr>
        <w:pStyle w:val="ARbody"/>
      </w:pPr>
      <w:r w:rsidRPr="002029AF">
        <w:t>The</w:t>
      </w:r>
      <w:r w:rsidR="000A5329" w:rsidRPr="002029AF">
        <w:t xml:space="preserve"> </w:t>
      </w:r>
      <w:r w:rsidRPr="002029AF">
        <w:t>department’s</w:t>
      </w:r>
      <w:r w:rsidR="000A5329" w:rsidRPr="002029AF">
        <w:t xml:space="preserve"> </w:t>
      </w:r>
      <w:r w:rsidRPr="002029AF">
        <w:t>commitment</w:t>
      </w:r>
      <w:r w:rsidR="000A5329" w:rsidRPr="002029AF">
        <w:t xml:space="preserve"> </w:t>
      </w:r>
      <w:r w:rsidRPr="002029AF">
        <w:t>to</w:t>
      </w:r>
      <w:r w:rsidR="000A5329" w:rsidRPr="002029AF">
        <w:t xml:space="preserve"> </w:t>
      </w:r>
      <w:r w:rsidRPr="002029AF">
        <w:t>health,</w:t>
      </w:r>
      <w:r w:rsidR="000A5329" w:rsidRPr="002029AF">
        <w:t xml:space="preserve"> </w:t>
      </w:r>
      <w:r w:rsidRPr="002029AF">
        <w:t>safety</w:t>
      </w:r>
      <w:r w:rsidR="000A5329" w:rsidRPr="002029AF">
        <w:t xml:space="preserve"> </w:t>
      </w:r>
      <w:r w:rsidRPr="002029AF">
        <w:t>and</w:t>
      </w:r>
      <w:r w:rsidR="000A5329" w:rsidRPr="002029AF">
        <w:t xml:space="preserve"> </w:t>
      </w:r>
      <w:r w:rsidRPr="002029AF">
        <w:t>wellbeing</w:t>
      </w:r>
      <w:r w:rsidR="000A5329" w:rsidRPr="002029AF">
        <w:t xml:space="preserve"> </w:t>
      </w:r>
      <w:r w:rsidRPr="002029AF">
        <w:t>is</w:t>
      </w:r>
      <w:r w:rsidR="000A5329" w:rsidRPr="002029AF">
        <w:t xml:space="preserve"> </w:t>
      </w:r>
      <w:r w:rsidRPr="002029AF">
        <w:t>reflected</w:t>
      </w:r>
      <w:r w:rsidR="000A5329" w:rsidRPr="002029AF">
        <w:t xml:space="preserve"> </w:t>
      </w:r>
      <w:r w:rsidRPr="002029AF">
        <w:t>in</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People</w:t>
      </w:r>
      <w:r w:rsidR="000A5329" w:rsidRPr="002029AF">
        <w:t xml:space="preserve"> </w:t>
      </w:r>
      <w:r w:rsidRPr="002029AF">
        <w:t>Strategy</w:t>
      </w:r>
      <w:r w:rsidR="000A5329" w:rsidRPr="002029AF">
        <w:t xml:space="preserve"> </w:t>
      </w:r>
      <w:r w:rsidRPr="002029AF">
        <w:t>2020+.</w:t>
      </w:r>
      <w:r w:rsidR="000A5329" w:rsidRPr="002029AF">
        <w:t xml:space="preserve"> </w:t>
      </w:r>
      <w:r w:rsidRPr="002029AF">
        <w:t>The</w:t>
      </w:r>
      <w:r w:rsidR="000A5329" w:rsidRPr="002029AF">
        <w:t xml:space="preserve"> </w:t>
      </w:r>
      <w:r w:rsidRPr="002029AF">
        <w:t>strategy</w:t>
      </w:r>
      <w:r w:rsidR="000A5329" w:rsidRPr="002029AF">
        <w:t xml:space="preserve"> </w:t>
      </w:r>
      <w:r w:rsidRPr="002029AF">
        <w:t>integrates</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HSW</w:t>
      </w:r>
      <w:r w:rsidR="000A5329" w:rsidRPr="002029AF">
        <w:t xml:space="preserve"> </w:t>
      </w:r>
      <w:r w:rsidRPr="002029AF">
        <w:t>priorities</w:t>
      </w:r>
      <w:r w:rsidR="000A5329" w:rsidRPr="002029AF">
        <w:t xml:space="preserve"> </w:t>
      </w:r>
      <w:r w:rsidRPr="002029AF">
        <w:t>within</w:t>
      </w:r>
      <w:r w:rsidR="000A5329" w:rsidRPr="002029AF">
        <w:t xml:space="preserve"> </w:t>
      </w:r>
      <w:r w:rsidRPr="002029AF">
        <w:t>the</w:t>
      </w:r>
      <w:r w:rsidR="000A5329" w:rsidRPr="002029AF">
        <w:t xml:space="preserve"> </w:t>
      </w:r>
      <w:r w:rsidRPr="002029AF">
        <w:t>broader</w:t>
      </w:r>
      <w:r w:rsidR="000A5329" w:rsidRPr="002029AF">
        <w:t xml:space="preserve"> </w:t>
      </w:r>
      <w:r w:rsidRPr="002029AF">
        <w:t>context</w:t>
      </w:r>
      <w:r w:rsidR="000A5329" w:rsidRPr="002029AF">
        <w:t xml:space="preserve"> </w:t>
      </w:r>
      <w:r w:rsidRPr="002029AF">
        <w:t>of</w:t>
      </w:r>
      <w:r w:rsidR="000A5329" w:rsidRPr="002029AF">
        <w:t xml:space="preserve"> </w:t>
      </w:r>
      <w:r w:rsidR="0067012D" w:rsidRPr="002029AF">
        <w:t>its</w:t>
      </w:r>
      <w:r w:rsidR="000A5329" w:rsidRPr="002029AF">
        <w:t xml:space="preserve"> </w:t>
      </w:r>
      <w:r w:rsidRPr="002029AF">
        <w:t>people</w:t>
      </w:r>
      <w:r w:rsidR="000A5329" w:rsidRPr="002029AF">
        <w:t xml:space="preserve"> </w:t>
      </w:r>
      <w:r w:rsidRPr="002029AF">
        <w:t>priorities</w:t>
      </w:r>
      <w:r w:rsidR="000A5329" w:rsidRPr="002029AF">
        <w:t xml:space="preserve"> </w:t>
      </w:r>
      <w:r w:rsidRPr="002029AF">
        <w:t>and</w:t>
      </w:r>
      <w:r w:rsidR="000A5329" w:rsidRPr="002029AF">
        <w:t xml:space="preserve"> </w:t>
      </w:r>
      <w:r w:rsidRPr="002029AF">
        <w:t>articulates</w:t>
      </w:r>
      <w:r w:rsidR="000A5329" w:rsidRPr="002029AF">
        <w:t xml:space="preserve"> </w:t>
      </w:r>
      <w:r w:rsidRPr="002029AF">
        <w:t>the</w:t>
      </w:r>
      <w:r w:rsidR="000A5329" w:rsidRPr="002029AF">
        <w:t xml:space="preserve"> </w:t>
      </w:r>
      <w:r w:rsidRPr="002029AF">
        <w:t>vision</w:t>
      </w:r>
      <w:r w:rsidR="000A5329" w:rsidRPr="002029AF">
        <w:t xml:space="preserve"> </w:t>
      </w:r>
      <w:r w:rsidRPr="002029AF">
        <w:t>and</w:t>
      </w:r>
      <w:r w:rsidR="000A5329" w:rsidRPr="002029AF">
        <w:t xml:space="preserve"> </w:t>
      </w:r>
      <w:r w:rsidRPr="002029AF">
        <w:t>plan</w:t>
      </w:r>
      <w:r w:rsidR="000A5329" w:rsidRPr="002029AF">
        <w:t xml:space="preserve"> </w:t>
      </w:r>
      <w:r w:rsidRPr="002029AF">
        <w:t>for</w:t>
      </w:r>
      <w:r w:rsidR="000A5329" w:rsidRPr="002029AF">
        <w:t xml:space="preserve"> </w:t>
      </w:r>
      <w:r w:rsidRPr="002029AF">
        <w:t>progressively</w:t>
      </w:r>
      <w:r w:rsidR="000A5329" w:rsidRPr="002029AF">
        <w:t xml:space="preserve"> </w:t>
      </w:r>
      <w:r w:rsidRPr="002029AF">
        <w:t>improving</w:t>
      </w:r>
      <w:r w:rsidR="000A5329" w:rsidRPr="002029AF">
        <w:t xml:space="preserve"> </w:t>
      </w:r>
      <w:r w:rsidRPr="002029AF">
        <w:t>HSW</w:t>
      </w:r>
      <w:r w:rsidR="000A5329" w:rsidRPr="002029AF">
        <w:t xml:space="preserve"> </w:t>
      </w:r>
      <w:r w:rsidRPr="002029AF">
        <w:t>leadership</w:t>
      </w:r>
      <w:r w:rsidR="000A5329" w:rsidRPr="002029AF">
        <w:t xml:space="preserve"> </w:t>
      </w:r>
      <w:r w:rsidRPr="002029AF">
        <w:t>and</w:t>
      </w:r>
      <w:r w:rsidR="000A5329" w:rsidRPr="002029AF">
        <w:t xml:space="preserve"> </w:t>
      </w:r>
      <w:r w:rsidRPr="002029AF">
        <w:t>management</w:t>
      </w:r>
      <w:r w:rsidR="000A5329" w:rsidRPr="002029AF">
        <w:t xml:space="preserve"> </w:t>
      </w:r>
      <w:r w:rsidRPr="002029AF">
        <w:t>of</w:t>
      </w:r>
      <w:r w:rsidR="000A5329" w:rsidRPr="002029AF">
        <w:t xml:space="preserve"> </w:t>
      </w:r>
      <w:r w:rsidRPr="002029AF">
        <w:t>health,</w:t>
      </w:r>
      <w:r w:rsidR="000A5329" w:rsidRPr="002029AF">
        <w:t xml:space="preserve"> </w:t>
      </w:r>
      <w:r w:rsidRPr="002029AF">
        <w:t>safety</w:t>
      </w:r>
      <w:r w:rsidR="000A5329" w:rsidRPr="002029AF">
        <w:t xml:space="preserve"> </w:t>
      </w:r>
      <w:r w:rsidRPr="002029AF">
        <w:t>and</w:t>
      </w:r>
      <w:r w:rsidR="000A5329" w:rsidRPr="002029AF">
        <w:t xml:space="preserve"> </w:t>
      </w:r>
      <w:r w:rsidRPr="002029AF">
        <w:t>wellbeing</w:t>
      </w:r>
      <w:r w:rsidR="000A5329" w:rsidRPr="002029AF">
        <w:t xml:space="preserve"> </w:t>
      </w:r>
      <w:r w:rsidRPr="002029AF">
        <w:t>in</w:t>
      </w:r>
      <w:r w:rsidR="000A5329" w:rsidRPr="002029AF">
        <w:t xml:space="preserve"> </w:t>
      </w:r>
      <w:r w:rsidRPr="002029AF">
        <w:t>the</w:t>
      </w:r>
      <w:r w:rsidR="000A5329" w:rsidRPr="002029AF">
        <w:t xml:space="preserve"> </w:t>
      </w:r>
      <w:r w:rsidRPr="002029AF">
        <w:t>department.</w:t>
      </w:r>
    </w:p>
    <w:p w14:paraId="4C384BBB" w14:textId="1304F1FF" w:rsidR="00CF72D5" w:rsidRPr="002029AF" w:rsidRDefault="00CF72D5" w:rsidP="00897193">
      <w:pPr>
        <w:pStyle w:val="Heading3"/>
      </w:pPr>
      <w:r w:rsidRPr="002029AF">
        <w:t>Improvement</w:t>
      </w:r>
      <w:r w:rsidR="000A5329" w:rsidRPr="002029AF">
        <w:t xml:space="preserve"> </w:t>
      </w:r>
      <w:r w:rsidRPr="002029AF">
        <w:t>measures</w:t>
      </w:r>
      <w:r w:rsidR="000A5329" w:rsidRPr="002029AF">
        <w:t xml:space="preserve"> </w:t>
      </w:r>
      <w:r w:rsidRPr="002029AF">
        <w:t>in</w:t>
      </w:r>
      <w:r w:rsidR="000A5329" w:rsidRPr="002029AF">
        <w:t xml:space="preserve"> </w:t>
      </w:r>
      <w:r w:rsidRPr="002029AF">
        <w:t>2019–20</w:t>
      </w:r>
    </w:p>
    <w:p w14:paraId="26BE13C3" w14:textId="1F82885E" w:rsidR="00CF72D5" w:rsidRPr="002029AF" w:rsidRDefault="00CF72D5" w:rsidP="001E768A">
      <w:pPr>
        <w:pStyle w:val="ARbody"/>
      </w:pPr>
      <w:r w:rsidRPr="002029AF">
        <w:t>In</w:t>
      </w:r>
      <w:r w:rsidR="000A5329" w:rsidRPr="002029AF">
        <w:t xml:space="preserve"> </w:t>
      </w:r>
      <w:r w:rsidRPr="002029AF">
        <w:t>2019–20,</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implemented</w:t>
      </w:r>
      <w:r w:rsidR="000A5329" w:rsidRPr="002029AF">
        <w:t xml:space="preserve"> </w:t>
      </w:r>
      <w:r w:rsidRPr="002029AF">
        <w:t>and/or</w:t>
      </w:r>
      <w:r w:rsidR="000A5329" w:rsidRPr="002029AF">
        <w:t xml:space="preserve"> </w:t>
      </w:r>
      <w:r w:rsidRPr="002029AF">
        <w:t>developed</w:t>
      </w:r>
      <w:r w:rsidR="000A5329" w:rsidRPr="002029AF">
        <w:t xml:space="preserve"> </w:t>
      </w:r>
      <w:r w:rsidRPr="002029AF">
        <w:t>the</w:t>
      </w:r>
      <w:r w:rsidR="000A5329" w:rsidRPr="002029AF">
        <w:t xml:space="preserve"> </w:t>
      </w:r>
      <w:r w:rsidRPr="002029AF">
        <w:t>following</w:t>
      </w:r>
      <w:r w:rsidR="000A5329" w:rsidRPr="002029AF">
        <w:t xml:space="preserve"> </w:t>
      </w:r>
      <w:r w:rsidRPr="002029AF">
        <w:t>improvement</w:t>
      </w:r>
      <w:r w:rsidR="000A5329" w:rsidRPr="002029AF">
        <w:t xml:space="preserve"> </w:t>
      </w:r>
      <w:r w:rsidRPr="002029AF">
        <w:t>measures:</w:t>
      </w:r>
    </w:p>
    <w:p w14:paraId="6508D69C" w14:textId="0BBF56FC" w:rsidR="00CF72D5" w:rsidRPr="002029AF" w:rsidRDefault="00CF72D5" w:rsidP="001E768A">
      <w:pPr>
        <w:pStyle w:val="ARbody"/>
      </w:pPr>
      <w:r w:rsidRPr="002029AF">
        <w:t>implementation</w:t>
      </w:r>
      <w:r w:rsidR="000A5329" w:rsidRPr="002029AF">
        <w:t xml:space="preserve"> </w:t>
      </w:r>
      <w:r w:rsidRPr="002029AF">
        <w:t>of</w:t>
      </w:r>
      <w:r w:rsidR="000A5329" w:rsidRPr="002029AF">
        <w:t xml:space="preserve"> </w:t>
      </w:r>
      <w:r w:rsidRPr="002029AF">
        <w:t>health,</w:t>
      </w:r>
      <w:r w:rsidR="000A5329" w:rsidRPr="002029AF">
        <w:t xml:space="preserve"> </w:t>
      </w:r>
      <w:r w:rsidRPr="002029AF">
        <w:t>safety</w:t>
      </w:r>
      <w:r w:rsidR="000A5329" w:rsidRPr="002029AF">
        <w:t xml:space="preserve"> </w:t>
      </w:r>
      <w:r w:rsidRPr="002029AF">
        <w:t>and</w:t>
      </w:r>
      <w:r w:rsidR="000A5329" w:rsidRPr="002029AF">
        <w:t xml:space="preserve"> </w:t>
      </w:r>
      <w:r w:rsidRPr="002029AF">
        <w:t>wellbeing</w:t>
      </w:r>
      <w:r w:rsidR="000A5329" w:rsidRPr="002029AF">
        <w:t xml:space="preserve"> </w:t>
      </w:r>
      <w:r w:rsidRPr="002029AF">
        <w:t>accountabilities</w:t>
      </w:r>
      <w:r w:rsidR="000A5329" w:rsidRPr="002029AF">
        <w:t xml:space="preserve"> </w:t>
      </w:r>
      <w:r w:rsidRPr="002029AF">
        <w:t>which</w:t>
      </w:r>
      <w:r w:rsidR="000A5329" w:rsidRPr="002029AF">
        <w:t xml:space="preserve"> </w:t>
      </w:r>
      <w:r w:rsidRPr="002029AF">
        <w:t>apply</w:t>
      </w:r>
      <w:r w:rsidR="000A5329" w:rsidRPr="002029AF">
        <w:t xml:space="preserve"> </w:t>
      </w:r>
      <w:r w:rsidRPr="002029AF">
        <w:t>to</w:t>
      </w:r>
      <w:r w:rsidR="000A5329" w:rsidRPr="002029AF">
        <w:t xml:space="preserve"> </w:t>
      </w:r>
      <w:r w:rsidRPr="002029AF">
        <w:t>all</w:t>
      </w:r>
      <w:r w:rsidR="000A5329" w:rsidRPr="002029AF">
        <w:t xml:space="preserve"> </w:t>
      </w:r>
      <w:r w:rsidRPr="002029AF">
        <w:t>levels</w:t>
      </w:r>
      <w:r w:rsidR="000A5329" w:rsidRPr="002029AF">
        <w:t xml:space="preserve"> </w:t>
      </w:r>
      <w:r w:rsidRPr="002029AF">
        <w:t>within</w:t>
      </w:r>
      <w:r w:rsidR="000A5329" w:rsidRPr="002029AF">
        <w:t xml:space="preserve"> </w:t>
      </w:r>
      <w:r w:rsidRPr="002029AF">
        <w:t>the</w:t>
      </w:r>
      <w:r w:rsidR="00286264" w:rsidRPr="002029AF">
        <w:t> </w:t>
      </w:r>
      <w:r w:rsidRPr="002029AF">
        <w:t>department</w:t>
      </w:r>
      <w:r w:rsidR="000A5329" w:rsidRPr="002029AF">
        <w:t xml:space="preserve"> </w:t>
      </w:r>
      <w:r w:rsidRPr="002029AF">
        <w:t>through</w:t>
      </w:r>
      <w:r w:rsidR="000A5329" w:rsidRPr="002029AF">
        <w:t xml:space="preserve"> </w:t>
      </w:r>
      <w:r w:rsidRPr="002029AF">
        <w:t>inclusion</w:t>
      </w:r>
      <w:r w:rsidR="000A5329" w:rsidRPr="002029AF">
        <w:t xml:space="preserve"> </w:t>
      </w:r>
      <w:r w:rsidRPr="002029AF">
        <w:t>in</w:t>
      </w:r>
      <w:r w:rsidR="000A5329" w:rsidRPr="002029AF">
        <w:t xml:space="preserve"> </w:t>
      </w:r>
      <w:r w:rsidRPr="002029AF">
        <w:t>performance</w:t>
      </w:r>
      <w:r w:rsidR="000A5329" w:rsidRPr="002029AF">
        <w:t xml:space="preserve"> </w:t>
      </w:r>
      <w:r w:rsidRPr="002029AF">
        <w:t>development</w:t>
      </w:r>
      <w:r w:rsidR="000A5329" w:rsidRPr="002029AF">
        <w:t xml:space="preserve"> </w:t>
      </w:r>
      <w:r w:rsidRPr="002029AF">
        <w:t>plans</w:t>
      </w:r>
      <w:r w:rsidR="000A5329" w:rsidRPr="002029AF">
        <w:t xml:space="preserve"> </w:t>
      </w:r>
      <w:r w:rsidRPr="002029AF">
        <w:t>for</w:t>
      </w:r>
      <w:r w:rsidR="000A5329" w:rsidRPr="002029AF">
        <w:t xml:space="preserve"> </w:t>
      </w:r>
      <w:r w:rsidRPr="002029AF">
        <w:t>VPS</w:t>
      </w:r>
      <w:r w:rsidR="000A5329" w:rsidRPr="002029AF">
        <w:t xml:space="preserve"> </w:t>
      </w:r>
      <w:r w:rsidRPr="002029AF">
        <w:t>and</w:t>
      </w:r>
      <w:r w:rsidR="000A5329" w:rsidRPr="002029AF">
        <w:t xml:space="preserve"> </w:t>
      </w:r>
      <w:r w:rsidRPr="002029AF">
        <w:t>executive</w:t>
      </w:r>
      <w:r w:rsidR="000A5329" w:rsidRPr="002029AF">
        <w:t xml:space="preserve"> </w:t>
      </w:r>
      <w:r w:rsidRPr="002029AF">
        <w:t>employees</w:t>
      </w:r>
      <w:r w:rsidR="000A5329" w:rsidRPr="002029AF">
        <w:t xml:space="preserve"> </w:t>
      </w:r>
      <w:r w:rsidRPr="002029AF">
        <w:t>from</w:t>
      </w:r>
      <w:r w:rsidR="000A5329" w:rsidRPr="002029AF">
        <w:t xml:space="preserve"> </w:t>
      </w:r>
      <w:r w:rsidRPr="002029AF">
        <w:t>2019–20.</w:t>
      </w:r>
    </w:p>
    <w:p w14:paraId="1F1E1669" w14:textId="0D233E9D" w:rsidR="00CF72D5" w:rsidRPr="002029AF" w:rsidRDefault="00CF72D5" w:rsidP="001E768A">
      <w:pPr>
        <w:pStyle w:val="ARbullet1"/>
      </w:pPr>
      <w:r w:rsidRPr="002029AF">
        <w:t>continued</w:t>
      </w:r>
      <w:r w:rsidR="000A5329" w:rsidRPr="002029AF">
        <w:t xml:space="preserve"> </w:t>
      </w:r>
      <w:r w:rsidRPr="002029AF">
        <w:t>development,</w:t>
      </w:r>
      <w:r w:rsidR="000A5329" w:rsidRPr="002029AF">
        <w:t xml:space="preserve"> </w:t>
      </w:r>
      <w:r w:rsidRPr="002029AF">
        <w:t>implementation</w:t>
      </w:r>
      <w:r w:rsidR="000A5329" w:rsidRPr="002029AF">
        <w:t xml:space="preserve"> </w:t>
      </w:r>
      <w:r w:rsidRPr="002029AF">
        <w:t>and</w:t>
      </w:r>
      <w:r w:rsidR="000A5329" w:rsidRPr="002029AF">
        <w:t xml:space="preserve"> </w:t>
      </w:r>
      <w:r w:rsidRPr="002029AF">
        <w:t>review</w:t>
      </w:r>
      <w:r w:rsidR="000A5329" w:rsidRPr="002029AF">
        <w:t xml:space="preserve"> </w:t>
      </w:r>
      <w:r w:rsidRPr="002029AF">
        <w:t>of</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health</w:t>
      </w:r>
      <w:r w:rsidR="000A5329" w:rsidRPr="002029AF">
        <w:t xml:space="preserve"> </w:t>
      </w:r>
      <w:r w:rsidRPr="002029AF">
        <w:t>and</w:t>
      </w:r>
      <w:r w:rsidR="000A5329" w:rsidRPr="002029AF">
        <w:t xml:space="preserve"> </w:t>
      </w:r>
      <w:r w:rsidRPr="002029AF">
        <w:t>safety</w:t>
      </w:r>
      <w:r w:rsidR="000A5329" w:rsidRPr="002029AF">
        <w:t xml:space="preserve"> </w:t>
      </w:r>
      <w:r w:rsidRPr="002029AF">
        <w:t>management</w:t>
      </w:r>
      <w:r w:rsidR="000A5329" w:rsidRPr="002029AF">
        <w:t xml:space="preserve"> </w:t>
      </w:r>
      <w:r w:rsidRPr="002029AF">
        <w:t>system</w:t>
      </w:r>
    </w:p>
    <w:p w14:paraId="604E77A9" w14:textId="6B096A6E" w:rsidR="00CF72D5" w:rsidRPr="002029AF" w:rsidRDefault="00CF72D5" w:rsidP="001E768A">
      <w:pPr>
        <w:pStyle w:val="ARbullet1"/>
      </w:pPr>
      <w:r w:rsidRPr="002029AF">
        <w:t>increased</w:t>
      </w:r>
      <w:r w:rsidR="000A5329" w:rsidRPr="002029AF">
        <w:t xml:space="preserve"> </w:t>
      </w:r>
      <w:r w:rsidRPr="002029AF">
        <w:t>the</w:t>
      </w:r>
      <w:r w:rsidR="000A5329" w:rsidRPr="002029AF">
        <w:t xml:space="preserve"> </w:t>
      </w:r>
      <w:r w:rsidRPr="002029AF">
        <w:t>HSW</w:t>
      </w:r>
      <w:r w:rsidR="000A5329" w:rsidRPr="002029AF">
        <w:t xml:space="preserve"> </w:t>
      </w:r>
      <w:r w:rsidRPr="002029AF">
        <w:t>capability</w:t>
      </w:r>
      <w:r w:rsidR="000A5329" w:rsidRPr="002029AF">
        <w:t xml:space="preserve"> </w:t>
      </w:r>
      <w:r w:rsidRPr="002029AF">
        <w:t>of</w:t>
      </w:r>
      <w:r w:rsidR="000A5329" w:rsidRPr="002029AF">
        <w:t xml:space="preserve"> </w:t>
      </w:r>
      <w:r w:rsidRPr="002029AF">
        <w:t>our</w:t>
      </w:r>
      <w:r w:rsidR="000A5329" w:rsidRPr="002029AF">
        <w:t xml:space="preserve"> </w:t>
      </w:r>
      <w:r w:rsidRPr="002029AF">
        <w:t>workforce</w:t>
      </w:r>
      <w:r w:rsidR="000A5329" w:rsidRPr="002029AF">
        <w:t xml:space="preserve"> </w:t>
      </w:r>
      <w:r w:rsidRPr="002029AF">
        <w:t>through</w:t>
      </w:r>
      <w:r w:rsidR="000A5329" w:rsidRPr="002029AF">
        <w:t xml:space="preserve"> </w:t>
      </w:r>
      <w:r w:rsidRPr="002029AF">
        <w:t>implementation</w:t>
      </w:r>
      <w:r w:rsidR="000A5329" w:rsidRPr="002029AF">
        <w:t xml:space="preserve"> </w:t>
      </w:r>
      <w:r w:rsidRPr="002029AF">
        <w:t>of</w:t>
      </w:r>
      <w:r w:rsidR="000A5329" w:rsidRPr="002029AF">
        <w:t xml:space="preserve"> </w:t>
      </w:r>
      <w:r w:rsidRPr="002029AF">
        <w:t>a</w:t>
      </w:r>
      <w:r w:rsidR="000A5329" w:rsidRPr="002029AF">
        <w:t xml:space="preserve"> </w:t>
      </w:r>
      <w:r w:rsidRPr="002029AF">
        <w:t>training</w:t>
      </w:r>
      <w:r w:rsidR="000A5329" w:rsidRPr="002029AF">
        <w:t xml:space="preserve"> </w:t>
      </w:r>
      <w:r w:rsidRPr="002029AF">
        <w:t>program</w:t>
      </w:r>
      <w:r w:rsidR="000A5329" w:rsidRPr="002029AF">
        <w:t xml:space="preserve"> </w:t>
      </w:r>
      <w:r w:rsidRPr="002029AF">
        <w:t>targeted</w:t>
      </w:r>
      <w:r w:rsidR="000A5329" w:rsidRPr="002029AF">
        <w:t xml:space="preserve"> </w:t>
      </w:r>
      <w:r w:rsidRPr="002029AF">
        <w:t>to</w:t>
      </w:r>
      <w:r w:rsidR="000A5329" w:rsidRPr="002029AF">
        <w:t xml:space="preserve"> </w:t>
      </w:r>
      <w:r w:rsidRPr="002029AF">
        <w:t>people</w:t>
      </w:r>
      <w:r w:rsidR="000A5329" w:rsidRPr="002029AF">
        <w:t xml:space="preserve"> </w:t>
      </w:r>
      <w:r w:rsidRPr="002029AF">
        <w:t>managers,</w:t>
      </w:r>
      <w:r w:rsidR="000A5329" w:rsidRPr="002029AF">
        <w:t xml:space="preserve"> </w:t>
      </w:r>
      <w:r w:rsidRPr="002029AF">
        <w:t>and</w:t>
      </w:r>
      <w:r w:rsidR="000A5329" w:rsidRPr="002029AF">
        <w:t xml:space="preserve"> </w:t>
      </w:r>
      <w:r w:rsidRPr="002029AF">
        <w:t>online</w:t>
      </w:r>
      <w:r w:rsidR="000A5329" w:rsidRPr="002029AF">
        <w:t xml:space="preserve"> </w:t>
      </w:r>
      <w:r w:rsidRPr="002029AF">
        <w:t>and</w:t>
      </w:r>
      <w:r w:rsidR="000A5329" w:rsidRPr="002029AF">
        <w:t xml:space="preserve"> </w:t>
      </w:r>
      <w:r w:rsidRPr="002029AF">
        <w:t>face</w:t>
      </w:r>
      <w:r w:rsidR="00312252">
        <w:t>-</w:t>
      </w:r>
      <w:r w:rsidRPr="002029AF">
        <w:t>to</w:t>
      </w:r>
      <w:r w:rsidR="00312252">
        <w:t>-</w:t>
      </w:r>
      <w:r w:rsidRPr="002029AF">
        <w:t>face</w:t>
      </w:r>
      <w:r w:rsidR="000A5329" w:rsidRPr="002029AF">
        <w:t xml:space="preserve"> </w:t>
      </w:r>
      <w:r w:rsidRPr="002029AF">
        <w:t>orientation</w:t>
      </w:r>
      <w:r w:rsidR="000A5329" w:rsidRPr="002029AF">
        <w:t xml:space="preserve"> </w:t>
      </w:r>
      <w:r w:rsidRPr="002029AF">
        <w:t>programs</w:t>
      </w:r>
    </w:p>
    <w:p w14:paraId="0336ED1D" w14:textId="007E2096" w:rsidR="000A5329" w:rsidRPr="002029AF" w:rsidRDefault="00CF72D5" w:rsidP="001E768A">
      <w:pPr>
        <w:pStyle w:val="ARbullet1"/>
      </w:pPr>
      <w:r w:rsidRPr="002029AF">
        <w:t>conducted</w:t>
      </w:r>
      <w:r w:rsidR="000A5329" w:rsidRPr="002029AF">
        <w:t xml:space="preserve"> </w:t>
      </w:r>
      <w:r w:rsidRPr="002029AF">
        <w:t>an</w:t>
      </w:r>
      <w:r w:rsidR="000A5329" w:rsidRPr="002029AF">
        <w:t xml:space="preserve"> </w:t>
      </w:r>
      <w:r w:rsidRPr="002029AF">
        <w:t>independent</w:t>
      </w:r>
      <w:r w:rsidR="000A5329" w:rsidRPr="002029AF">
        <w:t xml:space="preserve"> </w:t>
      </w:r>
      <w:r w:rsidRPr="002029AF">
        <w:t>Safety</w:t>
      </w:r>
      <w:r w:rsidR="000A5329" w:rsidRPr="002029AF">
        <w:t xml:space="preserve"> </w:t>
      </w:r>
      <w:r w:rsidRPr="002029AF">
        <w:t>and</w:t>
      </w:r>
      <w:r w:rsidR="000A5329" w:rsidRPr="002029AF">
        <w:t xml:space="preserve"> </w:t>
      </w:r>
      <w:r w:rsidRPr="002029AF">
        <w:t>Security</w:t>
      </w:r>
      <w:r w:rsidR="000A5329" w:rsidRPr="002029AF">
        <w:t xml:space="preserve"> </w:t>
      </w:r>
      <w:r w:rsidRPr="002029AF">
        <w:t>Audit</w:t>
      </w:r>
      <w:r w:rsidR="000A5329" w:rsidRPr="002029AF">
        <w:t xml:space="preserve"> </w:t>
      </w:r>
      <w:r w:rsidRPr="002029AF">
        <w:t>of</w:t>
      </w:r>
      <w:r w:rsidR="000A5329" w:rsidRPr="002029AF">
        <w:t xml:space="preserve"> </w:t>
      </w:r>
      <w:r w:rsidRPr="002029AF">
        <w:t>all</w:t>
      </w:r>
      <w:r w:rsidR="000A5329" w:rsidRPr="002029AF">
        <w:t xml:space="preserve"> </w:t>
      </w:r>
      <w:r w:rsidRPr="002029AF">
        <w:t>department</w:t>
      </w:r>
      <w:r w:rsidR="000A5329" w:rsidRPr="002029AF">
        <w:t xml:space="preserve"> </w:t>
      </w:r>
      <w:r w:rsidRPr="002029AF">
        <w:t>workplaces</w:t>
      </w:r>
      <w:r w:rsidR="000A5329" w:rsidRPr="002029AF">
        <w:t xml:space="preserve"> </w:t>
      </w:r>
      <w:r w:rsidRPr="002029AF">
        <w:t>to</w:t>
      </w:r>
      <w:r w:rsidR="000A5329" w:rsidRPr="002029AF">
        <w:t xml:space="preserve"> </w:t>
      </w:r>
      <w:r w:rsidRPr="002029AF">
        <w:t>identify</w:t>
      </w:r>
      <w:r w:rsidR="000A5329" w:rsidRPr="002029AF">
        <w:t xml:space="preserve"> </w:t>
      </w:r>
      <w:r w:rsidRPr="002029AF">
        <w:t>needs</w:t>
      </w:r>
      <w:r w:rsidR="000A5329" w:rsidRPr="002029AF">
        <w:t xml:space="preserve"> </w:t>
      </w:r>
      <w:r w:rsidRPr="002029AF">
        <w:t>and</w:t>
      </w:r>
      <w:r w:rsidR="000A5329" w:rsidRPr="002029AF">
        <w:t xml:space="preserve"> </w:t>
      </w:r>
      <w:r w:rsidRPr="002029AF">
        <w:t>options</w:t>
      </w:r>
      <w:r w:rsidR="000A5329" w:rsidRPr="002029AF">
        <w:t xml:space="preserve"> </w:t>
      </w:r>
      <w:r w:rsidRPr="002029AF">
        <w:t>for</w:t>
      </w:r>
      <w:r w:rsidR="000A5329" w:rsidRPr="002029AF">
        <w:t xml:space="preserve"> </w:t>
      </w:r>
      <w:r w:rsidRPr="002029AF">
        <w:t>improving</w:t>
      </w:r>
      <w:r w:rsidR="000A5329" w:rsidRPr="002029AF">
        <w:t xml:space="preserve"> </w:t>
      </w:r>
      <w:r w:rsidRPr="002029AF">
        <w:t>safety</w:t>
      </w:r>
      <w:r w:rsidR="000A5329" w:rsidRPr="002029AF">
        <w:t xml:space="preserve"> </w:t>
      </w:r>
      <w:r w:rsidRPr="002029AF">
        <w:t>and</w:t>
      </w:r>
      <w:r w:rsidR="000A5329" w:rsidRPr="002029AF">
        <w:t xml:space="preserve"> </w:t>
      </w:r>
      <w:r w:rsidRPr="002029AF">
        <w:t>security</w:t>
      </w:r>
      <w:r w:rsidR="000A5329" w:rsidRPr="002029AF">
        <w:t xml:space="preserve"> </w:t>
      </w:r>
      <w:r w:rsidRPr="002029AF">
        <w:t>for</w:t>
      </w:r>
      <w:r w:rsidR="000A5329" w:rsidRPr="002029AF">
        <w:t xml:space="preserve"> </w:t>
      </w:r>
      <w:r w:rsidRPr="002029AF">
        <w:t>employees,</w:t>
      </w:r>
      <w:r w:rsidR="000A5329" w:rsidRPr="002029AF">
        <w:t xml:space="preserve"> </w:t>
      </w:r>
      <w:r w:rsidRPr="002029AF">
        <w:t>contractors,</w:t>
      </w:r>
      <w:r w:rsidR="000A5329" w:rsidRPr="002029AF">
        <w:t xml:space="preserve"> </w:t>
      </w:r>
      <w:r w:rsidRPr="002029AF">
        <w:t>clients</w:t>
      </w:r>
      <w:r w:rsidR="000A5329" w:rsidRPr="002029AF">
        <w:t xml:space="preserve"> </w:t>
      </w:r>
      <w:r w:rsidRPr="002029AF">
        <w:t>and</w:t>
      </w:r>
      <w:r w:rsidR="00286264" w:rsidRPr="002029AF">
        <w:t> </w:t>
      </w:r>
      <w:r w:rsidRPr="002029AF">
        <w:t>visitors</w:t>
      </w:r>
      <w:r w:rsidR="000A5329" w:rsidRPr="002029AF">
        <w:t xml:space="preserve"> </w:t>
      </w:r>
      <w:r w:rsidRPr="002029AF">
        <w:t>attending</w:t>
      </w:r>
      <w:r w:rsidR="000A5329" w:rsidRPr="002029AF">
        <w:t xml:space="preserve"> </w:t>
      </w:r>
      <w:r w:rsidRPr="002029AF">
        <w:t>department</w:t>
      </w:r>
      <w:r w:rsidR="000A5329" w:rsidRPr="002029AF">
        <w:t xml:space="preserve"> </w:t>
      </w:r>
      <w:r w:rsidRPr="002029AF">
        <w:t>offices</w:t>
      </w:r>
    </w:p>
    <w:p w14:paraId="77D36F0F" w14:textId="2C9703C2" w:rsidR="00CF72D5" w:rsidRPr="002029AF" w:rsidRDefault="00CF72D5" w:rsidP="001E768A">
      <w:pPr>
        <w:pStyle w:val="ARbullet1"/>
      </w:pPr>
      <w:r w:rsidRPr="002029AF">
        <w:t>continued</w:t>
      </w:r>
      <w:r w:rsidR="000A5329" w:rsidRPr="002029AF">
        <w:t xml:space="preserve"> </w:t>
      </w:r>
      <w:r w:rsidRPr="002029AF">
        <w:t>implementation</w:t>
      </w:r>
      <w:r w:rsidR="000A5329" w:rsidRPr="002029AF">
        <w:t xml:space="preserve"> </w:t>
      </w:r>
      <w:r w:rsidRPr="002029AF">
        <w:t>of</w:t>
      </w:r>
      <w:r w:rsidR="000A5329" w:rsidRPr="002029AF">
        <w:t xml:space="preserve"> </w:t>
      </w:r>
      <w:r w:rsidRPr="002029AF">
        <w:t>an</w:t>
      </w:r>
      <w:r w:rsidR="000A5329" w:rsidRPr="002029AF">
        <w:t xml:space="preserve"> </w:t>
      </w:r>
      <w:r w:rsidRPr="002029AF">
        <w:t>evidence-based,</w:t>
      </w:r>
      <w:r w:rsidR="000A5329" w:rsidRPr="002029AF">
        <w:t xml:space="preserve"> </w:t>
      </w:r>
      <w:r w:rsidRPr="002029AF">
        <w:t>best</w:t>
      </w:r>
      <w:r w:rsidR="000333EA">
        <w:t>-</w:t>
      </w:r>
      <w:r w:rsidRPr="002029AF">
        <w:t>practice</w:t>
      </w:r>
      <w:r w:rsidR="000A5329" w:rsidRPr="002029AF">
        <w:t xml:space="preserve"> </w:t>
      </w:r>
      <w:r w:rsidRPr="002029AF">
        <w:t>model</w:t>
      </w:r>
      <w:r w:rsidR="000A5329" w:rsidRPr="002029AF">
        <w:t xml:space="preserve"> </w:t>
      </w:r>
      <w:r w:rsidRPr="002029AF">
        <w:t>for</w:t>
      </w:r>
      <w:r w:rsidR="000A5329" w:rsidRPr="002029AF">
        <w:t xml:space="preserve"> </w:t>
      </w:r>
      <w:r w:rsidRPr="002029AF">
        <w:t>responding</w:t>
      </w:r>
      <w:r w:rsidR="000A5329" w:rsidRPr="002029AF">
        <w:t xml:space="preserve"> </w:t>
      </w:r>
      <w:r w:rsidRPr="002029AF">
        <w:t>to</w:t>
      </w:r>
      <w:r w:rsidR="000A5329" w:rsidRPr="002029AF">
        <w:t xml:space="preserve"> </w:t>
      </w:r>
      <w:r w:rsidRPr="002029AF">
        <w:t>critical</w:t>
      </w:r>
      <w:r w:rsidR="000A5329" w:rsidRPr="002029AF">
        <w:t xml:space="preserve"> </w:t>
      </w:r>
      <w:r w:rsidRPr="002029AF">
        <w:t>incidents</w:t>
      </w:r>
      <w:r w:rsidR="000A5329" w:rsidRPr="002029AF">
        <w:t xml:space="preserve"> </w:t>
      </w:r>
      <w:r w:rsidRPr="002029AF">
        <w:t>and</w:t>
      </w:r>
      <w:r w:rsidR="000A5329" w:rsidRPr="002029AF">
        <w:t xml:space="preserve"> </w:t>
      </w:r>
      <w:r w:rsidRPr="002029AF">
        <w:t>trauma,</w:t>
      </w:r>
      <w:r w:rsidR="000A5329" w:rsidRPr="002029AF">
        <w:t xml:space="preserve"> </w:t>
      </w:r>
      <w:r w:rsidRPr="002029AF">
        <w:t>supported</w:t>
      </w:r>
      <w:r w:rsidR="000A5329" w:rsidRPr="002029AF">
        <w:t xml:space="preserve"> </w:t>
      </w:r>
      <w:r w:rsidRPr="002029AF">
        <w:t>by</w:t>
      </w:r>
      <w:r w:rsidR="000A5329" w:rsidRPr="002029AF">
        <w:t xml:space="preserve"> </w:t>
      </w:r>
      <w:r w:rsidRPr="002029AF">
        <w:t>the</w:t>
      </w:r>
      <w:r w:rsidR="000A5329" w:rsidRPr="002029AF">
        <w:t xml:space="preserve"> </w:t>
      </w:r>
      <w:r w:rsidRPr="002029AF">
        <w:t>delivery</w:t>
      </w:r>
      <w:r w:rsidR="000A5329" w:rsidRPr="002029AF">
        <w:t xml:space="preserve"> </w:t>
      </w:r>
      <w:r w:rsidRPr="002029AF">
        <w:t>of</w:t>
      </w:r>
      <w:r w:rsidR="000A5329" w:rsidRPr="002029AF">
        <w:t xml:space="preserve"> </w:t>
      </w:r>
      <w:r w:rsidRPr="002029AF">
        <w:t>psychological</w:t>
      </w:r>
      <w:r w:rsidR="000A5329" w:rsidRPr="002029AF">
        <w:t xml:space="preserve"> </w:t>
      </w:r>
      <w:r w:rsidRPr="002029AF">
        <w:t>first-aid</w:t>
      </w:r>
      <w:r w:rsidR="000A5329" w:rsidRPr="002029AF">
        <w:t xml:space="preserve"> </w:t>
      </w:r>
      <w:r w:rsidRPr="002029AF">
        <w:t>training</w:t>
      </w:r>
      <w:r w:rsidR="000A5329" w:rsidRPr="002029AF">
        <w:t xml:space="preserve"> </w:t>
      </w:r>
      <w:r w:rsidRPr="002029AF">
        <w:t>across</w:t>
      </w:r>
      <w:r w:rsidR="000A5329" w:rsidRPr="002029AF">
        <w:t xml:space="preserve"> </w:t>
      </w:r>
      <w:r w:rsidRPr="002029AF">
        <w:t>the</w:t>
      </w:r>
      <w:r w:rsidR="000A5329" w:rsidRPr="002029AF">
        <w:t xml:space="preserve"> </w:t>
      </w:r>
      <w:r w:rsidRPr="002029AF">
        <w:t>organisation</w:t>
      </w:r>
    </w:p>
    <w:p w14:paraId="055892E1" w14:textId="3D639510" w:rsidR="00CF72D5" w:rsidRPr="002029AF" w:rsidRDefault="00CF72D5" w:rsidP="001E768A">
      <w:pPr>
        <w:pStyle w:val="ARbullet1"/>
      </w:pPr>
      <w:r w:rsidRPr="002029AF">
        <w:t>continued</w:t>
      </w:r>
      <w:r w:rsidR="000A5329" w:rsidRPr="002029AF">
        <w:t xml:space="preserve"> </w:t>
      </w:r>
      <w:r w:rsidRPr="002029AF">
        <w:t>implementation</w:t>
      </w:r>
      <w:r w:rsidR="000A5329" w:rsidRPr="002029AF">
        <w:t xml:space="preserve"> </w:t>
      </w:r>
      <w:r w:rsidRPr="002029AF">
        <w:t>of</w:t>
      </w:r>
      <w:r w:rsidR="000A5329" w:rsidRPr="002029AF">
        <w:t xml:space="preserve"> </w:t>
      </w:r>
      <w:r w:rsidRPr="002029AF">
        <w:t>best</w:t>
      </w:r>
      <w:r w:rsidR="000333EA">
        <w:t>-</w:t>
      </w:r>
      <w:r w:rsidRPr="002029AF">
        <w:t>practice,</w:t>
      </w:r>
      <w:r w:rsidR="000A5329" w:rsidRPr="002029AF">
        <w:t xml:space="preserve"> </w:t>
      </w:r>
      <w:r w:rsidRPr="002029AF">
        <w:t>evidence-based</w:t>
      </w:r>
      <w:r w:rsidR="000A5329" w:rsidRPr="002029AF">
        <w:t xml:space="preserve"> </w:t>
      </w:r>
      <w:r w:rsidRPr="002029AF">
        <w:t>vicarious</w:t>
      </w:r>
      <w:r w:rsidR="000A5329" w:rsidRPr="002029AF">
        <w:t xml:space="preserve"> </w:t>
      </w:r>
      <w:r w:rsidRPr="002029AF">
        <w:t>trauma</w:t>
      </w:r>
      <w:r w:rsidR="000A5329" w:rsidRPr="002029AF">
        <w:t xml:space="preserve"> </w:t>
      </w:r>
      <w:r w:rsidRPr="002029AF">
        <w:t>training</w:t>
      </w:r>
      <w:r w:rsidR="000A5329" w:rsidRPr="002029AF">
        <w:t xml:space="preserve"> </w:t>
      </w:r>
      <w:r w:rsidRPr="002029AF">
        <w:t>across</w:t>
      </w:r>
      <w:r w:rsidR="000A5329" w:rsidRPr="002029AF">
        <w:t xml:space="preserve"> </w:t>
      </w:r>
      <w:r w:rsidRPr="002029AF">
        <w:t>the</w:t>
      </w:r>
      <w:r w:rsidR="000A5329" w:rsidRPr="002029AF">
        <w:t xml:space="preserve"> </w:t>
      </w:r>
      <w:r w:rsidRPr="002029AF">
        <w:t>organisation.</w:t>
      </w:r>
      <w:r w:rsidR="000A5329" w:rsidRPr="002029AF">
        <w:t xml:space="preserve"> </w:t>
      </w:r>
      <w:r w:rsidRPr="002029AF">
        <w:t>Vicarious</w:t>
      </w:r>
      <w:r w:rsidR="000A5329" w:rsidRPr="002029AF">
        <w:t xml:space="preserve"> </w:t>
      </w:r>
      <w:r w:rsidRPr="002029AF">
        <w:t>trauma</w:t>
      </w:r>
      <w:r w:rsidR="000A5329" w:rsidRPr="002029AF">
        <w:t xml:space="preserve"> </w:t>
      </w:r>
      <w:r w:rsidRPr="002029AF">
        <w:t>training</w:t>
      </w:r>
      <w:r w:rsidR="000A5329" w:rsidRPr="002029AF">
        <w:t xml:space="preserve"> </w:t>
      </w:r>
      <w:r w:rsidRPr="002029AF">
        <w:t>develops</w:t>
      </w:r>
      <w:r w:rsidR="000A5329" w:rsidRPr="002029AF">
        <w:t xml:space="preserve"> </w:t>
      </w:r>
      <w:r w:rsidRPr="002029AF">
        <w:t>an</w:t>
      </w:r>
      <w:r w:rsidR="000A5329" w:rsidRPr="002029AF">
        <w:t xml:space="preserve"> </w:t>
      </w:r>
      <w:r w:rsidRPr="002029AF">
        <w:t>increased</w:t>
      </w:r>
      <w:r w:rsidR="000A5329" w:rsidRPr="002029AF">
        <w:t xml:space="preserve"> </w:t>
      </w:r>
      <w:r w:rsidRPr="002029AF">
        <w:t>awareness</w:t>
      </w:r>
      <w:r w:rsidR="000A5329" w:rsidRPr="002029AF">
        <w:t xml:space="preserve"> </w:t>
      </w:r>
      <w:r w:rsidRPr="002029AF">
        <w:t>of</w:t>
      </w:r>
      <w:r w:rsidR="000A5329" w:rsidRPr="002029AF">
        <w:t xml:space="preserve"> </w:t>
      </w:r>
      <w:r w:rsidRPr="002029AF">
        <w:t>the</w:t>
      </w:r>
      <w:r w:rsidR="000A5329" w:rsidRPr="002029AF">
        <w:t xml:space="preserve"> </w:t>
      </w:r>
      <w:r w:rsidRPr="002029AF">
        <w:t>reality</w:t>
      </w:r>
      <w:r w:rsidR="000A5329" w:rsidRPr="002029AF">
        <w:t xml:space="preserve"> </w:t>
      </w:r>
      <w:r w:rsidRPr="002029AF">
        <w:t>and</w:t>
      </w:r>
      <w:r w:rsidR="000A5329" w:rsidRPr="002029AF">
        <w:t xml:space="preserve"> </w:t>
      </w:r>
      <w:r w:rsidRPr="002029AF">
        <w:t>occurrence</w:t>
      </w:r>
      <w:r w:rsidR="000A5329" w:rsidRPr="002029AF">
        <w:t xml:space="preserve"> </w:t>
      </w:r>
      <w:r w:rsidRPr="002029AF">
        <w:t>of</w:t>
      </w:r>
      <w:r w:rsidR="000A5329" w:rsidRPr="002029AF">
        <w:t xml:space="preserve"> </w:t>
      </w:r>
      <w:r w:rsidRPr="002029AF">
        <w:t>traumatic</w:t>
      </w:r>
      <w:r w:rsidR="000A5329" w:rsidRPr="002029AF">
        <w:t xml:space="preserve"> </w:t>
      </w:r>
      <w:r w:rsidRPr="002029AF">
        <w:t>events</w:t>
      </w:r>
      <w:r w:rsidR="000A5329" w:rsidRPr="002029AF">
        <w:t xml:space="preserve"> </w:t>
      </w:r>
      <w:r w:rsidRPr="002029AF">
        <w:t>and</w:t>
      </w:r>
      <w:r w:rsidR="000A5329" w:rsidRPr="002029AF">
        <w:t xml:space="preserve"> </w:t>
      </w:r>
      <w:r w:rsidRPr="002029AF">
        <w:t>provides</w:t>
      </w:r>
      <w:r w:rsidR="000A5329" w:rsidRPr="002029AF">
        <w:t xml:space="preserve"> </w:t>
      </w:r>
      <w:r w:rsidRPr="002029AF">
        <w:t>tools</w:t>
      </w:r>
      <w:r w:rsidR="000A5329" w:rsidRPr="002029AF">
        <w:t xml:space="preserve"> </w:t>
      </w:r>
      <w:r w:rsidRPr="002029AF">
        <w:t>and</w:t>
      </w:r>
      <w:r w:rsidR="000A5329" w:rsidRPr="002029AF">
        <w:t xml:space="preserve"> </w:t>
      </w:r>
      <w:r w:rsidRPr="002029AF">
        <w:t>strategies</w:t>
      </w:r>
      <w:r w:rsidR="000A5329" w:rsidRPr="002029AF">
        <w:t xml:space="preserve"> </w:t>
      </w:r>
      <w:r w:rsidRPr="002029AF">
        <w:t>to</w:t>
      </w:r>
      <w:r w:rsidR="000A5329" w:rsidRPr="002029AF">
        <w:t xml:space="preserve"> </w:t>
      </w:r>
      <w:r w:rsidRPr="002029AF">
        <w:t>recognise</w:t>
      </w:r>
      <w:r w:rsidR="000A5329" w:rsidRPr="002029AF">
        <w:t xml:space="preserve"> </w:t>
      </w:r>
      <w:r w:rsidRPr="002029AF">
        <w:t>and</w:t>
      </w:r>
      <w:r w:rsidR="000A5329" w:rsidRPr="002029AF">
        <w:t xml:space="preserve"> </w:t>
      </w:r>
      <w:r w:rsidRPr="002029AF">
        <w:t>manage</w:t>
      </w:r>
      <w:r w:rsidR="000A5329" w:rsidRPr="002029AF">
        <w:t xml:space="preserve"> </w:t>
      </w:r>
      <w:r w:rsidRPr="002029AF">
        <w:t>workplace</w:t>
      </w:r>
      <w:r w:rsidR="000A5329" w:rsidRPr="002029AF">
        <w:t xml:space="preserve"> </w:t>
      </w:r>
      <w:r w:rsidRPr="002029AF">
        <w:t>trauma.</w:t>
      </w:r>
      <w:r w:rsidR="000A5329" w:rsidRPr="002029AF">
        <w:t xml:space="preserve"> </w:t>
      </w:r>
      <w:r w:rsidRPr="002029AF">
        <w:t>The</w:t>
      </w:r>
      <w:r w:rsidR="000A5329" w:rsidRPr="002029AF">
        <w:t xml:space="preserve"> </w:t>
      </w:r>
      <w:r w:rsidRPr="002029AF">
        <w:t>training</w:t>
      </w:r>
      <w:r w:rsidR="000A5329" w:rsidRPr="002029AF">
        <w:t xml:space="preserve"> </w:t>
      </w:r>
      <w:r w:rsidRPr="002029AF">
        <w:t>is</w:t>
      </w:r>
      <w:r w:rsidR="000A5329" w:rsidRPr="002029AF">
        <w:t xml:space="preserve"> </w:t>
      </w:r>
      <w:r w:rsidRPr="002029AF">
        <w:t>complementary</w:t>
      </w:r>
      <w:r w:rsidR="000A5329" w:rsidRPr="002029AF">
        <w:t xml:space="preserve"> </w:t>
      </w:r>
      <w:r w:rsidRPr="002029AF">
        <w:t>to</w:t>
      </w:r>
      <w:r w:rsidR="000A5329" w:rsidRPr="002029AF">
        <w:t xml:space="preserve"> </w:t>
      </w:r>
      <w:r w:rsidRPr="002029AF">
        <w:t>new</w:t>
      </w:r>
      <w:r w:rsidR="000A5329" w:rsidRPr="002029AF">
        <w:t xml:space="preserve"> </w:t>
      </w:r>
      <w:r w:rsidRPr="002029AF">
        <w:t>and</w:t>
      </w:r>
      <w:r w:rsidR="000A5329" w:rsidRPr="002029AF">
        <w:t xml:space="preserve"> </w:t>
      </w:r>
      <w:r w:rsidRPr="002029AF">
        <w:t>existing</w:t>
      </w:r>
      <w:r w:rsidR="000A5329" w:rsidRPr="002029AF">
        <w:t xml:space="preserve"> </w:t>
      </w:r>
      <w:r w:rsidRPr="002029AF">
        <w:t>initiatives</w:t>
      </w:r>
    </w:p>
    <w:p w14:paraId="5FC362E1" w14:textId="30960A0F" w:rsidR="000A5329" w:rsidRPr="002029AF" w:rsidRDefault="00CF72D5" w:rsidP="001E768A">
      <w:pPr>
        <w:pStyle w:val="ARbullet1"/>
      </w:pPr>
      <w:r w:rsidRPr="002029AF">
        <w:t>ongoing</w:t>
      </w:r>
      <w:r w:rsidR="000A5329" w:rsidRPr="002029AF">
        <w:t xml:space="preserve"> </w:t>
      </w:r>
      <w:r w:rsidRPr="002029AF">
        <w:t>growth</w:t>
      </w:r>
      <w:r w:rsidR="000A5329" w:rsidRPr="002029AF">
        <w:t xml:space="preserve"> </w:t>
      </w:r>
      <w:r w:rsidRPr="002029AF">
        <w:t>of</w:t>
      </w:r>
      <w:r w:rsidR="000A5329" w:rsidRPr="002029AF">
        <w:t xml:space="preserve"> </w:t>
      </w:r>
      <w:r w:rsidRPr="002029AF">
        <w:t>the</w:t>
      </w:r>
      <w:r w:rsidR="000A5329" w:rsidRPr="002029AF">
        <w:t xml:space="preserve"> </w:t>
      </w:r>
      <w:r w:rsidRPr="002029AF">
        <w:t>Peer</w:t>
      </w:r>
      <w:r w:rsidR="000A5329" w:rsidRPr="002029AF">
        <w:t xml:space="preserve"> </w:t>
      </w:r>
      <w:r w:rsidRPr="002029AF">
        <w:t>Support</w:t>
      </w:r>
      <w:r w:rsidR="000A5329" w:rsidRPr="002029AF">
        <w:t xml:space="preserve"> </w:t>
      </w:r>
      <w:r w:rsidRPr="002029AF">
        <w:t>Network</w:t>
      </w:r>
      <w:r w:rsidR="000A5329" w:rsidRPr="002029AF">
        <w:t xml:space="preserve"> </w:t>
      </w:r>
      <w:r w:rsidRPr="002029AF">
        <w:t>across</w:t>
      </w:r>
      <w:r w:rsidR="000A5329" w:rsidRPr="002029AF">
        <w:t xml:space="preserve"> </w:t>
      </w:r>
      <w:r w:rsidRPr="002029AF">
        <w:t>the</w:t>
      </w:r>
      <w:r w:rsidR="000A5329" w:rsidRPr="002029AF">
        <w:t xml:space="preserve"> </w:t>
      </w:r>
      <w:r w:rsidRPr="002029AF">
        <w:t>state.</w:t>
      </w:r>
      <w:r w:rsidR="000A5329" w:rsidRPr="002029AF">
        <w:t xml:space="preserve"> </w:t>
      </w:r>
      <w:r w:rsidRPr="002029AF">
        <w:t>This</w:t>
      </w:r>
      <w:r w:rsidR="000A5329" w:rsidRPr="002029AF">
        <w:t xml:space="preserve"> </w:t>
      </w:r>
      <w:r w:rsidRPr="002029AF">
        <w:t>has</w:t>
      </w:r>
      <w:r w:rsidR="000A5329" w:rsidRPr="002029AF">
        <w:t xml:space="preserve"> </w:t>
      </w:r>
      <w:r w:rsidRPr="002029AF">
        <w:t>included</w:t>
      </w:r>
      <w:r w:rsidR="000A5329" w:rsidRPr="002029AF">
        <w:t xml:space="preserve"> </w:t>
      </w:r>
      <w:r w:rsidRPr="002029AF">
        <w:t>increasing</w:t>
      </w:r>
      <w:r w:rsidR="000A5329" w:rsidRPr="002029AF">
        <w:t xml:space="preserve"> </w:t>
      </w:r>
      <w:r w:rsidRPr="002029AF">
        <w:t>the</w:t>
      </w:r>
      <w:r w:rsidR="000A5329" w:rsidRPr="002029AF">
        <w:t xml:space="preserve"> </w:t>
      </w:r>
      <w:r w:rsidRPr="002029AF">
        <w:t>number</w:t>
      </w:r>
      <w:r w:rsidR="000A5329" w:rsidRPr="002029AF">
        <w:t xml:space="preserve"> </w:t>
      </w:r>
      <w:r w:rsidRPr="002029AF">
        <w:t>of</w:t>
      </w:r>
      <w:r w:rsidR="000A5329" w:rsidRPr="002029AF">
        <w:t xml:space="preserve"> </w:t>
      </w:r>
      <w:r w:rsidRPr="002029AF">
        <w:t>peers</w:t>
      </w:r>
      <w:r w:rsidR="000A5329" w:rsidRPr="002029AF">
        <w:t xml:space="preserve"> </w:t>
      </w:r>
      <w:r w:rsidRPr="002029AF">
        <w:t>trained</w:t>
      </w:r>
      <w:r w:rsidR="000A5329" w:rsidRPr="002029AF">
        <w:t xml:space="preserve"> </w:t>
      </w:r>
      <w:r w:rsidRPr="002029AF">
        <w:t>to</w:t>
      </w:r>
      <w:r w:rsidR="000A5329" w:rsidRPr="002029AF">
        <w:t xml:space="preserve"> </w:t>
      </w:r>
      <w:r w:rsidRPr="002029AF">
        <w:t>provide</w:t>
      </w:r>
      <w:r w:rsidR="000A5329" w:rsidRPr="002029AF">
        <w:t xml:space="preserve"> </w:t>
      </w:r>
      <w:r w:rsidRPr="002029AF">
        <w:t>support,</w:t>
      </w:r>
      <w:r w:rsidR="000A5329" w:rsidRPr="002029AF">
        <w:t xml:space="preserve"> </w:t>
      </w:r>
      <w:r w:rsidRPr="002029AF">
        <w:t>improving</w:t>
      </w:r>
      <w:r w:rsidR="000A5329" w:rsidRPr="002029AF">
        <w:t xml:space="preserve"> </w:t>
      </w:r>
      <w:r w:rsidRPr="002029AF">
        <w:t>access</w:t>
      </w:r>
      <w:r w:rsidR="000A5329" w:rsidRPr="002029AF">
        <w:t xml:space="preserve"> </w:t>
      </w:r>
      <w:r w:rsidRPr="002029AF">
        <w:t>to</w:t>
      </w:r>
      <w:r w:rsidR="000A5329" w:rsidRPr="002029AF">
        <w:t xml:space="preserve"> </w:t>
      </w:r>
      <w:r w:rsidRPr="002029AF">
        <w:t>network</w:t>
      </w:r>
      <w:r w:rsidR="000A5329" w:rsidRPr="002029AF">
        <w:t xml:space="preserve"> </w:t>
      </w:r>
      <w:r w:rsidRPr="002029AF">
        <w:t>training</w:t>
      </w:r>
      <w:r w:rsidR="000A5329" w:rsidRPr="002029AF">
        <w:t xml:space="preserve"> </w:t>
      </w:r>
      <w:r w:rsidRPr="002029AF">
        <w:t>through</w:t>
      </w:r>
      <w:r w:rsidR="000A5329" w:rsidRPr="002029AF">
        <w:t xml:space="preserve"> </w:t>
      </w:r>
      <w:r w:rsidRPr="002029AF">
        <w:t>the</w:t>
      </w:r>
      <w:r w:rsidR="000A5329" w:rsidRPr="002029AF">
        <w:t xml:space="preserve"> </w:t>
      </w:r>
      <w:r w:rsidRPr="002029AF">
        <w:t>adaptation</w:t>
      </w:r>
      <w:r w:rsidR="000A5329" w:rsidRPr="002029AF">
        <w:t xml:space="preserve"> </w:t>
      </w:r>
      <w:r w:rsidRPr="002029AF">
        <w:t>of</w:t>
      </w:r>
      <w:r w:rsidR="000A5329" w:rsidRPr="002029AF">
        <w:t xml:space="preserve"> </w:t>
      </w:r>
      <w:r w:rsidRPr="002029AF">
        <w:t>the</w:t>
      </w:r>
      <w:r w:rsidR="000A5329" w:rsidRPr="002029AF">
        <w:t xml:space="preserve"> </w:t>
      </w:r>
      <w:r w:rsidRPr="002029AF">
        <w:t>training</w:t>
      </w:r>
      <w:r w:rsidR="000A5329" w:rsidRPr="002029AF">
        <w:t xml:space="preserve"> </w:t>
      </w:r>
      <w:r w:rsidRPr="002029AF">
        <w:t>model</w:t>
      </w:r>
      <w:r w:rsidR="000A5329" w:rsidRPr="002029AF">
        <w:t xml:space="preserve"> </w:t>
      </w:r>
      <w:r w:rsidRPr="002029AF">
        <w:t>to</w:t>
      </w:r>
      <w:r w:rsidR="000A5329" w:rsidRPr="002029AF">
        <w:t xml:space="preserve"> </w:t>
      </w:r>
      <w:r w:rsidRPr="002029AF">
        <w:t>enable</w:t>
      </w:r>
      <w:r w:rsidR="000A5329" w:rsidRPr="002029AF">
        <w:t xml:space="preserve"> </w:t>
      </w:r>
      <w:r w:rsidRPr="002029AF">
        <w:t>delivery</w:t>
      </w:r>
      <w:r w:rsidR="000A5329" w:rsidRPr="002029AF">
        <w:t xml:space="preserve"> </w:t>
      </w:r>
      <w:r w:rsidRPr="002029AF">
        <w:t>via</w:t>
      </w:r>
      <w:r w:rsidR="000A5329" w:rsidRPr="002029AF">
        <w:t xml:space="preserve"> </w:t>
      </w:r>
      <w:r w:rsidRPr="002029AF">
        <w:t>a</w:t>
      </w:r>
      <w:r w:rsidR="000A5329" w:rsidRPr="002029AF">
        <w:t xml:space="preserve"> </w:t>
      </w:r>
      <w:r w:rsidRPr="002029AF">
        <w:t>virtual</w:t>
      </w:r>
      <w:r w:rsidR="000A5329" w:rsidRPr="002029AF">
        <w:t xml:space="preserve"> </w:t>
      </w:r>
      <w:r w:rsidRPr="002029AF">
        <w:t>platform,</w:t>
      </w:r>
      <w:r w:rsidR="000A5329" w:rsidRPr="002029AF">
        <w:t xml:space="preserve"> </w:t>
      </w:r>
      <w:r w:rsidRPr="002029AF">
        <w:t>development</w:t>
      </w:r>
      <w:r w:rsidR="000A5329" w:rsidRPr="002029AF">
        <w:t xml:space="preserve"> </w:t>
      </w:r>
      <w:r w:rsidRPr="002029AF">
        <w:t>of</w:t>
      </w:r>
      <w:r w:rsidR="000A5329" w:rsidRPr="002029AF">
        <w:t xml:space="preserve"> </w:t>
      </w:r>
      <w:r w:rsidRPr="002029AF">
        <w:t>culturally</w:t>
      </w:r>
      <w:r w:rsidR="000A5329" w:rsidRPr="002029AF">
        <w:t xml:space="preserve"> </w:t>
      </w:r>
      <w:r w:rsidRPr="002029AF">
        <w:t>specific</w:t>
      </w:r>
      <w:r w:rsidR="000A5329" w:rsidRPr="002029AF">
        <w:t xml:space="preserve"> </w:t>
      </w:r>
      <w:r w:rsidRPr="002029AF">
        <w:t>peer</w:t>
      </w:r>
      <w:r w:rsidR="000A5329" w:rsidRPr="002029AF">
        <w:t xml:space="preserve"> </w:t>
      </w:r>
      <w:r w:rsidRPr="002029AF">
        <w:t>support</w:t>
      </w:r>
      <w:r w:rsidR="000A5329" w:rsidRPr="002029AF">
        <w:t xml:space="preserve"> </w:t>
      </w:r>
      <w:r w:rsidRPr="002029AF">
        <w:t>network</w:t>
      </w:r>
      <w:r w:rsidR="000A5329" w:rsidRPr="002029AF">
        <w:t xml:space="preserve"> </w:t>
      </w:r>
      <w:r w:rsidRPr="002029AF">
        <w:t>training</w:t>
      </w:r>
      <w:r w:rsidR="000A5329" w:rsidRPr="002029AF">
        <w:t xml:space="preserve"> </w:t>
      </w:r>
      <w:r w:rsidRPr="002029AF">
        <w:t>for</w:t>
      </w:r>
      <w:r w:rsidR="000A5329" w:rsidRPr="002029AF">
        <w:t xml:space="preserve"> </w:t>
      </w:r>
      <w:r w:rsidRPr="002029AF">
        <w:t>Aboriginal</w:t>
      </w:r>
      <w:r w:rsidR="000A5329" w:rsidRPr="002029AF">
        <w:t xml:space="preserve"> </w:t>
      </w:r>
      <w:r w:rsidRPr="002029AF">
        <w:t>staff</w:t>
      </w:r>
      <w:r w:rsidR="000A5329" w:rsidRPr="002029AF">
        <w:t xml:space="preserve"> </w:t>
      </w:r>
      <w:r w:rsidRPr="002029AF">
        <w:t>and</w:t>
      </w:r>
      <w:r w:rsidR="000A5329" w:rsidRPr="002029AF">
        <w:t xml:space="preserve"> </w:t>
      </w:r>
      <w:r w:rsidRPr="002029AF">
        <w:t>the</w:t>
      </w:r>
      <w:r w:rsidR="000A5329" w:rsidRPr="002029AF">
        <w:t xml:space="preserve"> </w:t>
      </w:r>
      <w:r w:rsidRPr="002029AF">
        <w:t>preparation</w:t>
      </w:r>
      <w:r w:rsidR="000A5329" w:rsidRPr="002029AF">
        <w:t xml:space="preserve"> </w:t>
      </w:r>
      <w:r w:rsidRPr="002029AF">
        <w:t>to</w:t>
      </w:r>
      <w:r w:rsidR="000A5329" w:rsidRPr="002029AF">
        <w:t xml:space="preserve"> </w:t>
      </w:r>
      <w:r w:rsidRPr="002029AF">
        <w:t>enable</w:t>
      </w:r>
      <w:r w:rsidR="000A5329" w:rsidRPr="002029AF">
        <w:t xml:space="preserve"> </w:t>
      </w:r>
      <w:r w:rsidRPr="002029AF">
        <w:t>peer</w:t>
      </w:r>
      <w:r w:rsidR="000A5329" w:rsidRPr="002029AF">
        <w:t xml:space="preserve"> </w:t>
      </w:r>
      <w:r w:rsidRPr="002029AF">
        <w:t>supporters</w:t>
      </w:r>
      <w:r w:rsidR="000A5329" w:rsidRPr="002029AF">
        <w:t xml:space="preserve"> </w:t>
      </w:r>
      <w:r w:rsidRPr="002029AF">
        <w:t>to</w:t>
      </w:r>
      <w:r w:rsidR="000A5329" w:rsidRPr="002029AF">
        <w:t xml:space="preserve"> </w:t>
      </w:r>
      <w:r w:rsidRPr="002029AF">
        <w:t>be</w:t>
      </w:r>
      <w:r w:rsidR="000A5329" w:rsidRPr="002029AF">
        <w:t xml:space="preserve"> </w:t>
      </w:r>
      <w:r w:rsidRPr="002029AF">
        <w:t>deployed</w:t>
      </w:r>
      <w:r w:rsidR="000A5329" w:rsidRPr="002029AF">
        <w:t xml:space="preserve"> </w:t>
      </w:r>
      <w:r w:rsidRPr="002029AF">
        <w:t>in</w:t>
      </w:r>
      <w:r w:rsidR="000A5329" w:rsidRPr="002029AF">
        <w:t xml:space="preserve"> </w:t>
      </w:r>
      <w:r w:rsidRPr="002029AF">
        <w:t>emergency</w:t>
      </w:r>
      <w:r w:rsidR="000A5329" w:rsidRPr="002029AF">
        <w:t xml:space="preserve"> </w:t>
      </w:r>
      <w:r w:rsidRPr="002029AF">
        <w:t>response</w:t>
      </w:r>
      <w:r w:rsidR="000A5329" w:rsidRPr="002029AF">
        <w:t xml:space="preserve"> </w:t>
      </w:r>
      <w:r w:rsidRPr="002029AF">
        <w:t>efforts</w:t>
      </w:r>
      <w:r w:rsidR="000A5329" w:rsidRPr="002029AF">
        <w:t xml:space="preserve"> </w:t>
      </w:r>
      <w:r w:rsidRPr="002029AF">
        <w:t>to</w:t>
      </w:r>
      <w:r w:rsidR="000A5329" w:rsidRPr="002029AF">
        <w:t xml:space="preserve"> </w:t>
      </w:r>
      <w:r w:rsidRPr="002029AF">
        <w:t>provide</w:t>
      </w:r>
      <w:r w:rsidR="000A5329" w:rsidRPr="002029AF">
        <w:t xml:space="preserve"> </w:t>
      </w:r>
      <w:r w:rsidRPr="002029AF">
        <w:t>wellbeing</w:t>
      </w:r>
      <w:r w:rsidR="000A5329" w:rsidRPr="002029AF">
        <w:t xml:space="preserve"> </w:t>
      </w:r>
      <w:r w:rsidRPr="002029AF">
        <w:t>support</w:t>
      </w:r>
      <w:r w:rsidR="000A5329" w:rsidRPr="002029AF">
        <w:t xml:space="preserve"> </w:t>
      </w:r>
      <w:r w:rsidRPr="002029AF">
        <w:t>to</w:t>
      </w:r>
      <w:r w:rsidR="00286264" w:rsidRPr="002029AF">
        <w:t> </w:t>
      </w:r>
      <w:r w:rsidRPr="002029AF">
        <w:t>staff</w:t>
      </w:r>
    </w:p>
    <w:p w14:paraId="778B626D" w14:textId="57807CE9" w:rsidR="000A5329" w:rsidRPr="002029AF" w:rsidRDefault="00CF72D5" w:rsidP="001E768A">
      <w:pPr>
        <w:pStyle w:val="ARbullet1"/>
      </w:pPr>
      <w:r w:rsidRPr="002029AF">
        <w:t>embedding</w:t>
      </w:r>
      <w:r w:rsidR="000A5329" w:rsidRPr="002029AF">
        <w:t xml:space="preserve"> </w:t>
      </w:r>
      <w:r w:rsidRPr="002029AF">
        <w:t>the</w:t>
      </w:r>
      <w:r w:rsidR="000A5329" w:rsidRPr="002029AF">
        <w:t xml:space="preserve"> </w:t>
      </w:r>
      <w:r w:rsidRPr="002029AF">
        <w:t>Employee</w:t>
      </w:r>
      <w:r w:rsidR="000A5329" w:rsidRPr="002029AF">
        <w:t xml:space="preserve"> </w:t>
      </w:r>
      <w:r w:rsidRPr="002029AF">
        <w:t>Wellbeing</w:t>
      </w:r>
      <w:r w:rsidR="000A5329" w:rsidRPr="002029AF">
        <w:t xml:space="preserve"> </w:t>
      </w:r>
      <w:r w:rsidRPr="002029AF">
        <w:t>and</w:t>
      </w:r>
      <w:r w:rsidR="000A5329" w:rsidRPr="002029AF">
        <w:t xml:space="preserve"> </w:t>
      </w:r>
      <w:r w:rsidRPr="002029AF">
        <w:t>Support</w:t>
      </w:r>
      <w:r w:rsidR="000A5329" w:rsidRPr="002029AF">
        <w:t xml:space="preserve"> </w:t>
      </w:r>
      <w:r w:rsidRPr="002029AF">
        <w:t>Program.</w:t>
      </w:r>
      <w:r w:rsidR="000A5329" w:rsidRPr="002029AF">
        <w:t xml:space="preserve"> </w:t>
      </w:r>
      <w:r w:rsidRPr="002029AF">
        <w:t>Grounded</w:t>
      </w:r>
      <w:r w:rsidR="000A5329" w:rsidRPr="002029AF">
        <w:t xml:space="preserve"> </w:t>
      </w:r>
      <w:r w:rsidRPr="002029AF">
        <w:t>in</w:t>
      </w:r>
      <w:r w:rsidR="000A5329" w:rsidRPr="002029AF">
        <w:t xml:space="preserve"> </w:t>
      </w:r>
      <w:r w:rsidRPr="002029AF">
        <w:t>best</w:t>
      </w:r>
      <w:r w:rsidR="000A5329" w:rsidRPr="002029AF">
        <w:t xml:space="preserve"> </w:t>
      </w:r>
      <w:r w:rsidRPr="002029AF">
        <w:t>practice,</w:t>
      </w:r>
      <w:r w:rsidR="000A5329" w:rsidRPr="002029AF">
        <w:t xml:space="preserve"> </w:t>
      </w:r>
      <w:r w:rsidRPr="002029AF">
        <w:t>the</w:t>
      </w:r>
      <w:r w:rsidR="000A5329" w:rsidRPr="002029AF">
        <w:t xml:space="preserve"> </w:t>
      </w:r>
      <w:r w:rsidRPr="002029AF">
        <w:t>program</w:t>
      </w:r>
      <w:r w:rsidR="000A5329" w:rsidRPr="002029AF">
        <w:t xml:space="preserve"> </w:t>
      </w:r>
      <w:r w:rsidRPr="002029AF">
        <w:t>has</w:t>
      </w:r>
      <w:r w:rsidR="000A5329" w:rsidRPr="002029AF">
        <w:t xml:space="preserve"> </w:t>
      </w:r>
      <w:r w:rsidRPr="002029AF">
        <w:t>been</w:t>
      </w:r>
      <w:r w:rsidR="000A5329" w:rsidRPr="002029AF">
        <w:t xml:space="preserve"> </w:t>
      </w:r>
      <w:r w:rsidRPr="002029AF">
        <w:t>well</w:t>
      </w:r>
      <w:r w:rsidR="000A5329" w:rsidRPr="002029AF">
        <w:t xml:space="preserve"> </w:t>
      </w:r>
      <w:r w:rsidRPr="002029AF">
        <w:t>received</w:t>
      </w:r>
      <w:r w:rsidR="000A5329" w:rsidRPr="002029AF">
        <w:t xml:space="preserve"> </w:t>
      </w:r>
      <w:r w:rsidRPr="002029AF">
        <w:t>by</w:t>
      </w:r>
      <w:r w:rsidR="000A5329" w:rsidRPr="002029AF">
        <w:t xml:space="preserve"> </w:t>
      </w:r>
      <w:r w:rsidRPr="002029AF">
        <w:t>staff</w:t>
      </w:r>
      <w:r w:rsidR="000A5329" w:rsidRPr="002029AF">
        <w:t xml:space="preserve"> </w:t>
      </w:r>
      <w:r w:rsidRPr="002029AF">
        <w:t>with</w:t>
      </w:r>
      <w:r w:rsidR="000A5329" w:rsidRPr="002029AF">
        <w:t xml:space="preserve"> </w:t>
      </w:r>
      <w:r w:rsidRPr="002029AF">
        <w:t>an</w:t>
      </w:r>
      <w:r w:rsidR="000A5329" w:rsidRPr="002029AF">
        <w:t xml:space="preserve"> </w:t>
      </w:r>
      <w:r w:rsidRPr="002029AF">
        <w:t>annual</w:t>
      </w:r>
      <w:r w:rsidR="000A5329" w:rsidRPr="002029AF">
        <w:t xml:space="preserve"> </w:t>
      </w:r>
      <w:r w:rsidRPr="002029AF">
        <w:t>utilisation</w:t>
      </w:r>
      <w:r w:rsidR="000A5329" w:rsidRPr="002029AF">
        <w:t xml:space="preserve"> </w:t>
      </w:r>
      <w:r w:rsidRPr="002029AF">
        <w:t>rate</w:t>
      </w:r>
      <w:r w:rsidR="000A5329" w:rsidRPr="002029AF">
        <w:t xml:space="preserve"> </w:t>
      </w:r>
      <w:r w:rsidRPr="002029AF">
        <w:t>of</w:t>
      </w:r>
      <w:r w:rsidR="000A5329" w:rsidRPr="002029AF">
        <w:t xml:space="preserve"> </w:t>
      </w:r>
      <w:r w:rsidRPr="002029AF">
        <w:t>15.2</w:t>
      </w:r>
      <w:r w:rsidR="0093095B" w:rsidRPr="002029AF">
        <w:t xml:space="preserve"> per cent</w:t>
      </w:r>
      <w:r w:rsidR="0072293A" w:rsidRPr="002029AF">
        <w:t xml:space="preserve"> – </w:t>
      </w:r>
      <w:r w:rsidRPr="002029AF">
        <w:t>more</w:t>
      </w:r>
      <w:r w:rsidR="000A5329" w:rsidRPr="002029AF">
        <w:t xml:space="preserve"> </w:t>
      </w:r>
      <w:r w:rsidRPr="002029AF">
        <w:t>than</w:t>
      </w:r>
      <w:r w:rsidR="000A5329" w:rsidRPr="002029AF">
        <w:t xml:space="preserve"> </w:t>
      </w:r>
      <w:r w:rsidRPr="002029AF">
        <w:t>double</w:t>
      </w:r>
      <w:r w:rsidR="000A5329" w:rsidRPr="002029AF">
        <w:t xml:space="preserve"> </w:t>
      </w:r>
      <w:r w:rsidRPr="002029AF">
        <w:t>the</w:t>
      </w:r>
      <w:r w:rsidR="000A5329" w:rsidRPr="002029AF">
        <w:t xml:space="preserve"> </w:t>
      </w:r>
      <w:r w:rsidRPr="002029AF">
        <w:t>industry</w:t>
      </w:r>
      <w:r w:rsidR="000A5329" w:rsidRPr="002029AF">
        <w:t xml:space="preserve"> </w:t>
      </w:r>
      <w:r w:rsidRPr="002029AF">
        <w:t>benchmark</w:t>
      </w:r>
    </w:p>
    <w:p w14:paraId="321013A7" w14:textId="2A2AF293" w:rsidR="000A5329" w:rsidRPr="002029AF" w:rsidRDefault="00CF72D5" w:rsidP="001E768A">
      <w:pPr>
        <w:pStyle w:val="ARbullet1"/>
      </w:pPr>
      <w:r w:rsidRPr="002029AF">
        <w:t>development</w:t>
      </w:r>
      <w:r w:rsidR="000A5329" w:rsidRPr="002029AF">
        <w:t xml:space="preserve"> </w:t>
      </w:r>
      <w:r w:rsidRPr="002029AF">
        <w:t>and</w:t>
      </w:r>
      <w:r w:rsidR="000A5329" w:rsidRPr="002029AF">
        <w:t xml:space="preserve"> </w:t>
      </w:r>
      <w:r w:rsidRPr="002029AF">
        <w:t>implementation</w:t>
      </w:r>
      <w:r w:rsidR="000A5329" w:rsidRPr="002029AF">
        <w:t xml:space="preserve"> </w:t>
      </w:r>
      <w:r w:rsidRPr="002029AF">
        <w:t>of</w:t>
      </w:r>
      <w:r w:rsidR="000A5329" w:rsidRPr="002029AF">
        <w:t xml:space="preserve"> </w:t>
      </w:r>
      <w:r w:rsidR="00D622BC" w:rsidRPr="002029AF">
        <w:t>three</w:t>
      </w:r>
      <w:r w:rsidR="000A5329" w:rsidRPr="002029AF">
        <w:t xml:space="preserve"> </w:t>
      </w:r>
      <w:r w:rsidRPr="002029AF">
        <w:t>new</w:t>
      </w:r>
      <w:r w:rsidR="00286264" w:rsidRPr="002029AF">
        <w:t> </w:t>
      </w:r>
      <w:r w:rsidRPr="002029AF">
        <w:t>streams</w:t>
      </w:r>
      <w:r w:rsidR="000A5329" w:rsidRPr="002029AF">
        <w:t xml:space="preserve"> </w:t>
      </w:r>
      <w:r w:rsidRPr="002029AF">
        <w:t>of</w:t>
      </w:r>
      <w:r w:rsidR="000A5329" w:rsidRPr="002029AF">
        <w:t xml:space="preserve"> </w:t>
      </w:r>
      <w:r w:rsidRPr="002029AF">
        <w:t>support</w:t>
      </w:r>
      <w:r w:rsidR="000A5329" w:rsidRPr="002029AF">
        <w:t xml:space="preserve"> </w:t>
      </w:r>
      <w:r w:rsidRPr="002029AF">
        <w:t>within</w:t>
      </w:r>
      <w:r w:rsidR="000A5329" w:rsidRPr="002029AF">
        <w:t xml:space="preserve"> </w:t>
      </w:r>
      <w:r w:rsidRPr="002029AF">
        <w:t>the</w:t>
      </w:r>
      <w:r w:rsidR="000A5329" w:rsidRPr="002029AF">
        <w:t xml:space="preserve"> </w:t>
      </w:r>
      <w:r w:rsidRPr="002029AF">
        <w:t>Employee</w:t>
      </w:r>
      <w:r w:rsidR="000A5329" w:rsidRPr="002029AF">
        <w:t xml:space="preserve"> </w:t>
      </w:r>
      <w:r w:rsidRPr="002029AF">
        <w:t>Wellbeing</w:t>
      </w:r>
      <w:r w:rsidR="000A5329" w:rsidRPr="002029AF">
        <w:t xml:space="preserve"> </w:t>
      </w:r>
      <w:r w:rsidRPr="002029AF">
        <w:t>and</w:t>
      </w:r>
      <w:r w:rsidR="000A5329" w:rsidRPr="002029AF">
        <w:t xml:space="preserve"> </w:t>
      </w:r>
      <w:r w:rsidRPr="002029AF">
        <w:t>Support</w:t>
      </w:r>
      <w:r w:rsidR="000A5329" w:rsidRPr="002029AF">
        <w:t xml:space="preserve"> </w:t>
      </w:r>
      <w:r w:rsidRPr="002029AF">
        <w:t>Program</w:t>
      </w:r>
      <w:r w:rsidR="000A5329" w:rsidRPr="002029AF">
        <w:t xml:space="preserve"> </w:t>
      </w:r>
      <w:r w:rsidRPr="002029AF">
        <w:t>–</w:t>
      </w:r>
      <w:r w:rsidR="000A5329" w:rsidRPr="002029AF">
        <w:t xml:space="preserve"> </w:t>
      </w:r>
      <w:r w:rsidRPr="002029AF">
        <w:t>Executive</w:t>
      </w:r>
      <w:r w:rsidR="000A5329" w:rsidRPr="002029AF">
        <w:t xml:space="preserve"> </w:t>
      </w:r>
      <w:r w:rsidRPr="002029AF">
        <w:t>Platinum</w:t>
      </w:r>
      <w:r w:rsidR="000A5329" w:rsidRPr="002029AF">
        <w:t xml:space="preserve"> </w:t>
      </w:r>
      <w:r w:rsidRPr="002029AF">
        <w:t>Support,</w:t>
      </w:r>
      <w:r w:rsidR="000A5329" w:rsidRPr="002029AF">
        <w:t xml:space="preserve"> </w:t>
      </w:r>
      <w:r w:rsidRPr="002029AF">
        <w:t>Proactive</w:t>
      </w:r>
      <w:r w:rsidR="000A5329" w:rsidRPr="002029AF">
        <w:t xml:space="preserve"> </w:t>
      </w:r>
      <w:r w:rsidRPr="002029AF">
        <w:t>Manager</w:t>
      </w:r>
      <w:r w:rsidR="000A5329" w:rsidRPr="002029AF">
        <w:t xml:space="preserve"> </w:t>
      </w:r>
      <w:r w:rsidRPr="002029AF">
        <w:t>Assist</w:t>
      </w:r>
      <w:r w:rsidR="000A5329" w:rsidRPr="002029AF">
        <w:t xml:space="preserve"> </w:t>
      </w:r>
      <w:r w:rsidRPr="002029AF">
        <w:t>and</w:t>
      </w:r>
      <w:r w:rsidR="000A5329" w:rsidRPr="002029AF">
        <w:t xml:space="preserve"> </w:t>
      </w:r>
      <w:r w:rsidRPr="002029AF">
        <w:t>Proactive</w:t>
      </w:r>
      <w:r w:rsidR="000A5329" w:rsidRPr="002029AF">
        <w:t xml:space="preserve"> </w:t>
      </w:r>
      <w:r w:rsidRPr="002029AF">
        <w:t>Conflict</w:t>
      </w:r>
      <w:r w:rsidR="000A5329" w:rsidRPr="002029AF">
        <w:t xml:space="preserve"> </w:t>
      </w:r>
      <w:r w:rsidRPr="002029AF">
        <w:t>Assist</w:t>
      </w:r>
      <w:r w:rsidR="000A5329" w:rsidRPr="002029AF">
        <w:t xml:space="preserve"> </w:t>
      </w:r>
      <w:r w:rsidRPr="002029AF">
        <w:t>tailored</w:t>
      </w:r>
      <w:r w:rsidR="000A5329" w:rsidRPr="002029AF">
        <w:t xml:space="preserve"> </w:t>
      </w:r>
      <w:r w:rsidRPr="002029AF">
        <w:t>to</w:t>
      </w:r>
      <w:r w:rsidR="000A5329" w:rsidRPr="002029AF">
        <w:t xml:space="preserve"> </w:t>
      </w:r>
      <w:r w:rsidRPr="002029AF">
        <w:t>the</w:t>
      </w:r>
      <w:r w:rsidR="000A5329" w:rsidRPr="002029AF">
        <w:t xml:space="preserve"> </w:t>
      </w:r>
      <w:r w:rsidRPr="002029AF">
        <w:t>unique</w:t>
      </w:r>
      <w:r w:rsidR="000A5329" w:rsidRPr="002029AF">
        <w:t xml:space="preserve"> </w:t>
      </w:r>
      <w:r w:rsidRPr="002029AF">
        <w:t>needs</w:t>
      </w:r>
      <w:r w:rsidR="000A5329" w:rsidRPr="002029AF">
        <w:t xml:space="preserve"> </w:t>
      </w:r>
      <w:r w:rsidRPr="002029AF">
        <w:t>of</w:t>
      </w:r>
      <w:r w:rsidR="000A5329" w:rsidRPr="002029AF">
        <w:t xml:space="preserve"> </w:t>
      </w:r>
      <w:r w:rsidRPr="002029AF">
        <w:t>our</w:t>
      </w:r>
      <w:r w:rsidR="000A5329" w:rsidRPr="002029AF">
        <w:t xml:space="preserve"> </w:t>
      </w:r>
      <w:r w:rsidRPr="002029AF">
        <w:t>workforce,</w:t>
      </w:r>
      <w:r w:rsidR="000A5329" w:rsidRPr="002029AF">
        <w:t xml:space="preserve"> </w:t>
      </w:r>
      <w:r w:rsidRPr="002029AF">
        <w:t>ensuring</w:t>
      </w:r>
      <w:r w:rsidR="000A5329" w:rsidRPr="002029AF">
        <w:t xml:space="preserve"> </w:t>
      </w:r>
      <w:r w:rsidRPr="002029AF">
        <w:t>proactive</w:t>
      </w:r>
      <w:r w:rsidR="000A5329" w:rsidRPr="002029AF">
        <w:t xml:space="preserve"> </w:t>
      </w:r>
      <w:r w:rsidRPr="002029AF">
        <w:t>engagement</w:t>
      </w:r>
      <w:r w:rsidR="000A5329" w:rsidRPr="002029AF">
        <w:t xml:space="preserve"> </w:t>
      </w:r>
      <w:r w:rsidRPr="002029AF">
        <w:t>with</w:t>
      </w:r>
      <w:r w:rsidR="000A5329" w:rsidRPr="002029AF">
        <w:t xml:space="preserve"> </w:t>
      </w:r>
      <w:r w:rsidRPr="002029AF">
        <w:t>support</w:t>
      </w:r>
      <w:r w:rsidR="000A5329" w:rsidRPr="002029AF">
        <w:t xml:space="preserve"> </w:t>
      </w:r>
      <w:r w:rsidRPr="002029AF">
        <w:t>is</w:t>
      </w:r>
      <w:r w:rsidR="000A5329" w:rsidRPr="002029AF">
        <w:t xml:space="preserve"> </w:t>
      </w:r>
      <w:r w:rsidRPr="002029AF">
        <w:t>role</w:t>
      </w:r>
      <w:r w:rsidR="000A5329" w:rsidRPr="002029AF">
        <w:t xml:space="preserve"> </w:t>
      </w:r>
      <w:r w:rsidRPr="002029AF">
        <w:t>modelled</w:t>
      </w:r>
      <w:r w:rsidR="000A5329" w:rsidRPr="002029AF">
        <w:t xml:space="preserve"> </w:t>
      </w:r>
      <w:r w:rsidRPr="002029AF">
        <w:t>at</w:t>
      </w:r>
      <w:r w:rsidR="000A5329" w:rsidRPr="002029AF">
        <w:t xml:space="preserve"> </w:t>
      </w:r>
      <w:r w:rsidRPr="002029AF">
        <w:t>a</w:t>
      </w:r>
      <w:r w:rsidR="005E1789">
        <w:t> </w:t>
      </w:r>
      <w:r w:rsidRPr="002029AF">
        <w:t>leadership</w:t>
      </w:r>
      <w:r w:rsidR="000A5329" w:rsidRPr="002029AF">
        <w:t xml:space="preserve"> </w:t>
      </w:r>
      <w:r w:rsidRPr="002029AF">
        <w:t>level</w:t>
      </w:r>
    </w:p>
    <w:p w14:paraId="6C4DAB7F" w14:textId="070DB911" w:rsidR="000A5329" w:rsidRPr="002029AF" w:rsidRDefault="00CF72D5" w:rsidP="001E768A">
      <w:pPr>
        <w:pStyle w:val="ARbullet1"/>
      </w:pPr>
      <w:r w:rsidRPr="002029AF">
        <w:t>re-imagined</w:t>
      </w:r>
      <w:r w:rsidR="000A5329" w:rsidRPr="002029AF">
        <w:t xml:space="preserve"> </w:t>
      </w:r>
      <w:r w:rsidRPr="002029AF">
        <w:t>the</w:t>
      </w:r>
      <w:r w:rsidR="000A5329" w:rsidRPr="002029AF">
        <w:t xml:space="preserve"> </w:t>
      </w:r>
      <w:r w:rsidRPr="002029AF">
        <w:t>way</w:t>
      </w:r>
      <w:r w:rsidR="000A5329" w:rsidRPr="002029AF">
        <w:t xml:space="preserve"> </w:t>
      </w:r>
      <w:r w:rsidRPr="002029AF">
        <w:t>in</w:t>
      </w:r>
      <w:r w:rsidR="000A5329" w:rsidRPr="002029AF">
        <w:t xml:space="preserve"> </w:t>
      </w:r>
      <w:r w:rsidRPr="002029AF">
        <w:t>which</w:t>
      </w:r>
      <w:r w:rsidR="000A5329" w:rsidRPr="002029AF">
        <w:t xml:space="preserve"> </w:t>
      </w:r>
      <w:r w:rsidRPr="002029AF">
        <w:t>support</w:t>
      </w:r>
      <w:r w:rsidR="000A5329" w:rsidRPr="002029AF">
        <w:t xml:space="preserve"> </w:t>
      </w:r>
      <w:r w:rsidRPr="002029AF">
        <w:t>is</w:t>
      </w:r>
      <w:r w:rsidR="000A5329" w:rsidRPr="002029AF">
        <w:t xml:space="preserve"> </w:t>
      </w:r>
      <w:r w:rsidRPr="002029AF">
        <w:t>delivered</w:t>
      </w:r>
      <w:r w:rsidR="000A5329" w:rsidRPr="002029AF">
        <w:t xml:space="preserve"> </w:t>
      </w:r>
      <w:r w:rsidRPr="002029AF">
        <w:t>in</w:t>
      </w:r>
      <w:r w:rsidR="000A5329" w:rsidRPr="002029AF">
        <w:t xml:space="preserve"> </w:t>
      </w:r>
      <w:r w:rsidRPr="002029AF">
        <w:t>response</w:t>
      </w:r>
      <w:r w:rsidR="000A5329" w:rsidRPr="002029AF">
        <w:t xml:space="preserve"> </w:t>
      </w:r>
      <w:r w:rsidRPr="002029AF">
        <w:t>to</w:t>
      </w:r>
      <w:r w:rsidR="000A5329" w:rsidRPr="002029AF">
        <w:t xml:space="preserve"> </w:t>
      </w:r>
      <w:r w:rsidRPr="002029AF">
        <w:t>emergencies</w:t>
      </w:r>
      <w:r w:rsidR="000A5329" w:rsidRPr="002029AF">
        <w:t xml:space="preserve"> </w:t>
      </w:r>
      <w:r w:rsidRPr="002029AF">
        <w:t>including</w:t>
      </w:r>
      <w:r w:rsidR="000A5329" w:rsidRPr="002029AF">
        <w:t xml:space="preserve"> </w:t>
      </w:r>
      <w:r w:rsidRPr="002029AF">
        <w:t>a</w:t>
      </w:r>
      <w:r w:rsidR="000A5329" w:rsidRPr="002029AF">
        <w:t xml:space="preserve"> </w:t>
      </w:r>
      <w:r w:rsidRPr="002029AF">
        <w:t>first-line</w:t>
      </w:r>
      <w:r w:rsidR="000A5329" w:rsidRPr="002029AF">
        <w:t xml:space="preserve"> </w:t>
      </w:r>
      <w:r w:rsidRPr="002029AF">
        <w:t>response</w:t>
      </w:r>
      <w:r w:rsidR="000A5329" w:rsidRPr="002029AF">
        <w:t xml:space="preserve"> </w:t>
      </w:r>
      <w:r w:rsidRPr="002029AF">
        <w:t>of</w:t>
      </w:r>
      <w:r w:rsidR="000A5329" w:rsidRPr="002029AF">
        <w:t xml:space="preserve"> </w:t>
      </w:r>
      <w:r w:rsidRPr="002029AF">
        <w:t>a</w:t>
      </w:r>
      <w:r w:rsidR="000A5329" w:rsidRPr="002029AF">
        <w:t xml:space="preserve"> </w:t>
      </w:r>
      <w:r w:rsidRPr="002029AF">
        <w:t>dedicated</w:t>
      </w:r>
      <w:r w:rsidR="000A5329" w:rsidRPr="002029AF">
        <w:t xml:space="preserve"> </w:t>
      </w:r>
      <w:r w:rsidRPr="002029AF">
        <w:t>job</w:t>
      </w:r>
      <w:r w:rsidR="000A5329" w:rsidRPr="002029AF">
        <w:t xml:space="preserve"> </w:t>
      </w:r>
      <w:r w:rsidRPr="002029AF">
        <w:t>number</w:t>
      </w:r>
      <w:r w:rsidR="000A5329" w:rsidRPr="002029AF">
        <w:t xml:space="preserve"> </w:t>
      </w:r>
      <w:r w:rsidRPr="002029AF">
        <w:t>through</w:t>
      </w:r>
      <w:r w:rsidR="000A5329" w:rsidRPr="002029AF">
        <w:t xml:space="preserve"> </w:t>
      </w:r>
      <w:r w:rsidRPr="002029AF">
        <w:t>the</w:t>
      </w:r>
      <w:r w:rsidR="000A5329" w:rsidRPr="002029AF">
        <w:t xml:space="preserve"> </w:t>
      </w:r>
      <w:r w:rsidRPr="002029AF">
        <w:t>Employee</w:t>
      </w:r>
      <w:r w:rsidR="000A5329" w:rsidRPr="002029AF">
        <w:t xml:space="preserve"> </w:t>
      </w:r>
      <w:r w:rsidRPr="002029AF">
        <w:t>Wellbeing</w:t>
      </w:r>
      <w:r w:rsidR="000A5329" w:rsidRPr="002029AF">
        <w:t xml:space="preserve"> </w:t>
      </w:r>
      <w:r w:rsidRPr="002029AF">
        <w:t>and</w:t>
      </w:r>
      <w:r w:rsidR="000A5329" w:rsidRPr="002029AF">
        <w:t xml:space="preserve"> </w:t>
      </w:r>
      <w:r w:rsidRPr="002029AF">
        <w:t>Support</w:t>
      </w:r>
      <w:r w:rsidR="000A5329" w:rsidRPr="002029AF">
        <w:t xml:space="preserve"> </w:t>
      </w:r>
      <w:r w:rsidRPr="002029AF">
        <w:t>program</w:t>
      </w:r>
      <w:r w:rsidR="000A5329" w:rsidRPr="002029AF">
        <w:t xml:space="preserve"> </w:t>
      </w:r>
      <w:r w:rsidRPr="002029AF">
        <w:t>for</w:t>
      </w:r>
      <w:r w:rsidR="000A5329" w:rsidRPr="002029AF">
        <w:t xml:space="preserve"> </w:t>
      </w:r>
      <w:r w:rsidRPr="002029AF">
        <w:t>immediate</w:t>
      </w:r>
      <w:r w:rsidR="000A5329" w:rsidRPr="002029AF">
        <w:t xml:space="preserve"> </w:t>
      </w:r>
      <w:r w:rsidRPr="002029AF">
        <w:t>telephone</w:t>
      </w:r>
      <w:r w:rsidR="000A5329" w:rsidRPr="002029AF">
        <w:t xml:space="preserve"> </w:t>
      </w:r>
      <w:r w:rsidRPr="002029AF">
        <w:t>support</w:t>
      </w:r>
      <w:r w:rsidR="000A5329" w:rsidRPr="002029AF">
        <w:t xml:space="preserve"> </w:t>
      </w:r>
      <w:r w:rsidRPr="002029AF">
        <w:t>to</w:t>
      </w:r>
      <w:r w:rsidR="000A5329" w:rsidRPr="002029AF">
        <w:t xml:space="preserve"> </w:t>
      </w:r>
      <w:r w:rsidRPr="002029AF">
        <w:t>the</w:t>
      </w:r>
      <w:r w:rsidR="000A5329" w:rsidRPr="002029AF">
        <w:t xml:space="preserve"> </w:t>
      </w:r>
      <w:r w:rsidRPr="002029AF">
        <w:t>development</w:t>
      </w:r>
      <w:r w:rsidR="000A5329" w:rsidRPr="002029AF">
        <w:t xml:space="preserve"> </w:t>
      </w:r>
      <w:r w:rsidRPr="002029AF">
        <w:t>of</w:t>
      </w:r>
      <w:r w:rsidR="000A5329" w:rsidRPr="002029AF">
        <w:t xml:space="preserve"> </w:t>
      </w:r>
      <w:r w:rsidRPr="002029AF">
        <w:t>employee</w:t>
      </w:r>
      <w:r w:rsidR="000A5329" w:rsidRPr="002029AF">
        <w:t xml:space="preserve"> </w:t>
      </w:r>
      <w:r w:rsidRPr="002029AF">
        <w:t>and</w:t>
      </w:r>
      <w:r w:rsidR="000A5329" w:rsidRPr="002029AF">
        <w:t xml:space="preserve"> </w:t>
      </w:r>
      <w:r w:rsidRPr="002029AF">
        <w:t>manager</w:t>
      </w:r>
      <w:r w:rsidR="000A5329" w:rsidRPr="002029AF">
        <w:t xml:space="preserve"> </w:t>
      </w:r>
      <w:r w:rsidRPr="002029AF">
        <w:t>support</w:t>
      </w:r>
      <w:r w:rsidR="000A5329" w:rsidRPr="002029AF">
        <w:t xml:space="preserve"> </w:t>
      </w:r>
      <w:r w:rsidRPr="002029AF">
        <w:t>guides</w:t>
      </w:r>
      <w:r w:rsidR="000A5329" w:rsidRPr="002029AF">
        <w:t xml:space="preserve"> </w:t>
      </w:r>
      <w:r w:rsidRPr="002029AF">
        <w:t>and</w:t>
      </w:r>
      <w:r w:rsidR="000A5329" w:rsidRPr="002029AF">
        <w:t xml:space="preserve"> </w:t>
      </w:r>
      <w:r w:rsidRPr="002029AF">
        <w:t>delivery</w:t>
      </w:r>
      <w:r w:rsidR="000A5329" w:rsidRPr="002029AF">
        <w:t xml:space="preserve"> </w:t>
      </w:r>
      <w:r w:rsidRPr="002029AF">
        <w:t>of</w:t>
      </w:r>
      <w:r w:rsidR="000A5329" w:rsidRPr="002029AF">
        <w:t xml:space="preserve"> </w:t>
      </w:r>
      <w:r w:rsidRPr="002029AF">
        <w:t>additional</w:t>
      </w:r>
      <w:r w:rsidR="000A5329" w:rsidRPr="002029AF">
        <w:t xml:space="preserve"> </w:t>
      </w:r>
      <w:r w:rsidRPr="002029AF">
        <w:t>layers</w:t>
      </w:r>
      <w:r w:rsidR="000A5329" w:rsidRPr="002029AF">
        <w:t xml:space="preserve"> </w:t>
      </w:r>
      <w:r w:rsidRPr="002029AF">
        <w:t>of</w:t>
      </w:r>
      <w:r w:rsidR="000A5329" w:rsidRPr="002029AF">
        <w:t xml:space="preserve"> </w:t>
      </w:r>
      <w:r w:rsidRPr="002029AF">
        <w:t>support</w:t>
      </w:r>
      <w:r w:rsidR="000A5329" w:rsidRPr="002029AF">
        <w:t xml:space="preserve"> </w:t>
      </w:r>
      <w:r w:rsidRPr="002029AF">
        <w:t>including</w:t>
      </w:r>
      <w:r w:rsidR="000A5329" w:rsidRPr="002029AF">
        <w:t xml:space="preserve"> </w:t>
      </w:r>
      <w:r w:rsidRPr="002029AF">
        <w:t>welfare-check</w:t>
      </w:r>
      <w:r w:rsidR="000A5329" w:rsidRPr="002029AF">
        <w:t xml:space="preserve"> </w:t>
      </w:r>
      <w:r w:rsidRPr="002029AF">
        <w:t>ins,</w:t>
      </w:r>
      <w:r w:rsidR="000A5329" w:rsidRPr="002029AF">
        <w:t xml:space="preserve"> </w:t>
      </w:r>
      <w:r w:rsidRPr="002029AF">
        <w:t>wellbeing</w:t>
      </w:r>
      <w:r w:rsidR="000A5329" w:rsidRPr="002029AF">
        <w:t xml:space="preserve"> </w:t>
      </w:r>
      <w:r w:rsidRPr="002029AF">
        <w:t>assessments,</w:t>
      </w:r>
      <w:r w:rsidR="000A5329" w:rsidRPr="002029AF">
        <w:t xml:space="preserve"> </w:t>
      </w:r>
      <w:r w:rsidRPr="002029AF">
        <w:t>virtual</w:t>
      </w:r>
      <w:r w:rsidR="000A5329" w:rsidRPr="002029AF">
        <w:t xml:space="preserve"> </w:t>
      </w:r>
      <w:r w:rsidRPr="002029AF">
        <w:t>onsite</w:t>
      </w:r>
      <w:r w:rsidR="000A5329" w:rsidRPr="002029AF">
        <w:t xml:space="preserve"> </w:t>
      </w:r>
      <w:r w:rsidRPr="002029AF">
        <w:t>support</w:t>
      </w:r>
      <w:r w:rsidR="000A5329" w:rsidRPr="002029AF">
        <w:t xml:space="preserve"> </w:t>
      </w:r>
      <w:r w:rsidRPr="002029AF">
        <w:t>and</w:t>
      </w:r>
      <w:r w:rsidR="000A5329" w:rsidRPr="002029AF">
        <w:t xml:space="preserve"> </w:t>
      </w:r>
      <w:r w:rsidRPr="002029AF">
        <w:t>wellbeing</w:t>
      </w:r>
      <w:r w:rsidR="000A5329" w:rsidRPr="002029AF">
        <w:t xml:space="preserve"> </w:t>
      </w:r>
      <w:r w:rsidRPr="002029AF">
        <w:t>webinar</w:t>
      </w:r>
      <w:r w:rsidR="000A5329" w:rsidRPr="002029AF">
        <w:t xml:space="preserve"> </w:t>
      </w:r>
      <w:r w:rsidRPr="002029AF">
        <w:t>series</w:t>
      </w:r>
    </w:p>
    <w:p w14:paraId="2B49B063" w14:textId="348163A5" w:rsidR="000A5329" w:rsidRPr="002029AF" w:rsidRDefault="00CF72D5" w:rsidP="001E768A">
      <w:pPr>
        <w:pStyle w:val="ARbullet1"/>
      </w:pPr>
      <w:r w:rsidRPr="002029AF">
        <w:t>develop</w:t>
      </w:r>
      <w:r w:rsidR="000A5329" w:rsidRPr="002029AF">
        <w:t xml:space="preserve"> </w:t>
      </w:r>
      <w:r w:rsidRPr="002029AF">
        <w:t>guidance</w:t>
      </w:r>
      <w:r w:rsidR="000A5329" w:rsidRPr="002029AF">
        <w:t xml:space="preserve"> </w:t>
      </w:r>
      <w:r w:rsidRPr="002029AF">
        <w:t>material</w:t>
      </w:r>
      <w:r w:rsidR="000A5329" w:rsidRPr="002029AF">
        <w:t xml:space="preserve"> </w:t>
      </w:r>
      <w:r w:rsidRPr="002029AF">
        <w:t>for</w:t>
      </w:r>
      <w:r w:rsidR="000A5329" w:rsidRPr="002029AF">
        <w:t xml:space="preserve"> </w:t>
      </w:r>
      <w:r w:rsidRPr="002029AF">
        <w:t>employees</w:t>
      </w:r>
      <w:r w:rsidR="000A5329" w:rsidRPr="002029AF">
        <w:t xml:space="preserve"> </w:t>
      </w:r>
      <w:r w:rsidRPr="002029AF">
        <w:t>and</w:t>
      </w:r>
      <w:r w:rsidR="000A5329" w:rsidRPr="002029AF">
        <w:t xml:space="preserve"> </w:t>
      </w:r>
      <w:r w:rsidRPr="002029AF">
        <w:t>managers</w:t>
      </w:r>
      <w:r w:rsidR="000A5329" w:rsidRPr="002029AF">
        <w:t xml:space="preserve"> </w:t>
      </w:r>
      <w:r w:rsidRPr="002029AF">
        <w:t>in</w:t>
      </w:r>
      <w:r w:rsidR="000A5329" w:rsidRPr="002029AF">
        <w:t xml:space="preserve"> </w:t>
      </w:r>
      <w:r w:rsidRPr="002029AF">
        <w:t>relation</w:t>
      </w:r>
      <w:r w:rsidR="000A5329" w:rsidRPr="002029AF">
        <w:t xml:space="preserve"> </w:t>
      </w:r>
      <w:r w:rsidRPr="002029AF">
        <w:t>to</w:t>
      </w:r>
      <w:r w:rsidR="000A5329" w:rsidRPr="002029AF">
        <w:t xml:space="preserve"> </w:t>
      </w:r>
      <w:r w:rsidRPr="002029AF">
        <w:t>the</w:t>
      </w:r>
      <w:r w:rsidR="000A5329" w:rsidRPr="002029AF">
        <w:t xml:space="preserve"> </w:t>
      </w:r>
      <w:r w:rsidRPr="002029AF">
        <w:t>family</w:t>
      </w:r>
      <w:r w:rsidR="000A5329" w:rsidRPr="002029AF">
        <w:t xml:space="preserve"> </w:t>
      </w:r>
      <w:r w:rsidRPr="002029AF">
        <w:t>violence</w:t>
      </w:r>
      <w:r w:rsidR="000A5329" w:rsidRPr="002029AF">
        <w:t xml:space="preserve"> </w:t>
      </w:r>
      <w:r w:rsidRPr="002029AF">
        <w:t>workplace</w:t>
      </w:r>
      <w:r w:rsidR="000A5329" w:rsidRPr="002029AF">
        <w:t xml:space="preserve"> </w:t>
      </w:r>
      <w:r w:rsidRPr="002029AF">
        <w:t>supports</w:t>
      </w:r>
      <w:r w:rsidR="000A5329" w:rsidRPr="002029AF">
        <w:t xml:space="preserve"> </w:t>
      </w:r>
      <w:r w:rsidRPr="002029AF">
        <w:t>available</w:t>
      </w:r>
      <w:r w:rsidR="000A5329" w:rsidRPr="002029AF">
        <w:t xml:space="preserve"> </w:t>
      </w:r>
      <w:r w:rsidRPr="002029AF">
        <w:t>within</w:t>
      </w:r>
      <w:r w:rsidR="000A5329" w:rsidRPr="002029AF">
        <w:t xml:space="preserve"> </w:t>
      </w:r>
      <w:r w:rsidRPr="002029AF">
        <w:t>the</w:t>
      </w:r>
      <w:r w:rsidR="000A5329" w:rsidRPr="002029AF">
        <w:t xml:space="preserve"> </w:t>
      </w:r>
      <w:r w:rsidRPr="002029AF">
        <w:t>department</w:t>
      </w:r>
    </w:p>
    <w:p w14:paraId="6F6ED0D4" w14:textId="5E4E8C97" w:rsidR="00CF72D5" w:rsidRPr="002029AF" w:rsidRDefault="00CF72D5" w:rsidP="001E768A">
      <w:pPr>
        <w:pStyle w:val="ARbullet1"/>
      </w:pPr>
      <w:r w:rsidRPr="002029AF">
        <w:t>participation</w:t>
      </w:r>
      <w:r w:rsidR="000A5329" w:rsidRPr="002029AF">
        <w:t xml:space="preserve"> </w:t>
      </w:r>
      <w:r w:rsidRPr="002029AF">
        <w:t>in</w:t>
      </w:r>
      <w:r w:rsidR="000A5329" w:rsidRPr="002029AF">
        <w:t xml:space="preserve"> </w:t>
      </w:r>
      <w:r w:rsidRPr="002029AF">
        <w:t>the</w:t>
      </w:r>
      <w:r w:rsidR="000A5329" w:rsidRPr="002029AF">
        <w:t xml:space="preserve"> </w:t>
      </w:r>
      <w:r w:rsidRPr="002029AF">
        <w:t>whole-of-government</w:t>
      </w:r>
      <w:r w:rsidR="000A5329" w:rsidRPr="002029AF">
        <w:t xml:space="preserve"> </w:t>
      </w:r>
      <w:r w:rsidRPr="002029AF">
        <w:t>OHS</w:t>
      </w:r>
      <w:r w:rsidR="000A5329" w:rsidRPr="002029AF">
        <w:t xml:space="preserve"> </w:t>
      </w:r>
      <w:r w:rsidRPr="002029AF">
        <w:t>improvement</w:t>
      </w:r>
      <w:r w:rsidR="000A5329" w:rsidRPr="002029AF">
        <w:t xml:space="preserve"> </w:t>
      </w:r>
      <w:r w:rsidRPr="002029AF">
        <w:t>initiative</w:t>
      </w:r>
      <w:r w:rsidR="000A5329" w:rsidRPr="002029AF">
        <w:t xml:space="preserve"> </w:t>
      </w:r>
      <w:r w:rsidRPr="002029AF">
        <w:t>led</w:t>
      </w:r>
      <w:r w:rsidR="000A5329" w:rsidRPr="002029AF">
        <w:t xml:space="preserve"> </w:t>
      </w:r>
      <w:r w:rsidRPr="002029AF">
        <w:t>by</w:t>
      </w:r>
      <w:r w:rsidR="000A5329" w:rsidRPr="002029AF">
        <w:t xml:space="preserve"> </w:t>
      </w:r>
      <w:r w:rsidRPr="002029AF">
        <w:t>WorkSafe,</w:t>
      </w:r>
      <w:r w:rsidR="000A5329" w:rsidRPr="002029AF">
        <w:t xml:space="preserve"> </w:t>
      </w:r>
      <w:r w:rsidRPr="002029AF">
        <w:t>in</w:t>
      </w:r>
      <w:r w:rsidR="000A5329" w:rsidRPr="002029AF">
        <w:t xml:space="preserve"> </w:t>
      </w:r>
      <w:r w:rsidRPr="002029AF">
        <w:t>partnership</w:t>
      </w:r>
      <w:r w:rsidR="000A5329" w:rsidRPr="002029AF">
        <w:t xml:space="preserve"> </w:t>
      </w:r>
      <w:r w:rsidRPr="002029AF">
        <w:t>with</w:t>
      </w:r>
      <w:r w:rsidR="000A5329" w:rsidRPr="002029AF">
        <w:t xml:space="preserve"> </w:t>
      </w:r>
      <w:r w:rsidRPr="002029AF">
        <w:t>unions</w:t>
      </w:r>
      <w:r w:rsidR="000A5329" w:rsidRPr="002029AF">
        <w:t xml:space="preserve"> </w:t>
      </w:r>
      <w:r w:rsidRPr="002029AF">
        <w:t>and</w:t>
      </w:r>
      <w:r w:rsidR="000A5329" w:rsidRPr="002029AF">
        <w:t xml:space="preserve"> </w:t>
      </w:r>
      <w:r w:rsidRPr="002029AF">
        <w:t>state</w:t>
      </w:r>
      <w:r w:rsidR="000A5329" w:rsidRPr="002029AF">
        <w:t xml:space="preserve"> </w:t>
      </w:r>
      <w:r w:rsidRPr="002029AF">
        <w:t>government</w:t>
      </w:r>
      <w:r w:rsidR="000A5329" w:rsidRPr="002029AF">
        <w:t xml:space="preserve"> </w:t>
      </w:r>
      <w:r w:rsidRPr="002029AF">
        <w:t>departments,</w:t>
      </w:r>
      <w:r w:rsidR="000A5329" w:rsidRPr="002029AF">
        <w:t xml:space="preserve"> </w:t>
      </w:r>
      <w:r w:rsidRPr="002029AF">
        <w:t>to</w:t>
      </w:r>
      <w:r w:rsidR="000A5329" w:rsidRPr="002029AF">
        <w:t xml:space="preserve"> </w:t>
      </w:r>
      <w:r w:rsidRPr="002029AF">
        <w:t>improve</w:t>
      </w:r>
      <w:r w:rsidR="000A5329" w:rsidRPr="002029AF">
        <w:t xml:space="preserve"> </w:t>
      </w:r>
      <w:r w:rsidRPr="002029AF">
        <w:t>OHS</w:t>
      </w:r>
      <w:r w:rsidR="000A5329" w:rsidRPr="002029AF">
        <w:t xml:space="preserve"> </w:t>
      </w:r>
      <w:r w:rsidRPr="002029AF">
        <w:t>performance</w:t>
      </w:r>
      <w:r w:rsidR="000A5329" w:rsidRPr="002029AF">
        <w:t xml:space="preserve"> </w:t>
      </w:r>
      <w:r w:rsidRPr="002029AF">
        <w:t>in</w:t>
      </w:r>
      <w:r w:rsidR="000A5329" w:rsidRPr="002029AF">
        <w:t xml:space="preserve"> </w:t>
      </w:r>
      <w:r w:rsidRPr="002029AF">
        <w:t>the</w:t>
      </w:r>
      <w:r w:rsidR="000A5329" w:rsidRPr="002029AF">
        <w:t xml:space="preserve"> </w:t>
      </w:r>
      <w:r w:rsidRPr="002029AF">
        <w:t>public</w:t>
      </w:r>
      <w:r w:rsidR="000A5329" w:rsidRPr="002029AF">
        <w:t xml:space="preserve"> </w:t>
      </w:r>
      <w:r w:rsidRPr="002029AF">
        <w:t>sector</w:t>
      </w:r>
    </w:p>
    <w:p w14:paraId="41D78C57" w14:textId="204C92C7" w:rsidR="000A5329" w:rsidRPr="002029AF" w:rsidRDefault="00CF72D5" w:rsidP="001E768A">
      <w:pPr>
        <w:pStyle w:val="ARbullet1"/>
      </w:pPr>
      <w:r w:rsidRPr="002029AF">
        <w:t>establishment</w:t>
      </w:r>
      <w:r w:rsidR="000A5329" w:rsidRPr="002029AF">
        <w:t xml:space="preserve"> </w:t>
      </w:r>
      <w:r w:rsidRPr="002029AF">
        <w:t>and</w:t>
      </w:r>
      <w:r w:rsidR="000A5329" w:rsidRPr="002029AF">
        <w:t xml:space="preserve"> </w:t>
      </w:r>
      <w:r w:rsidRPr="002029AF">
        <w:t>leadership</w:t>
      </w:r>
      <w:r w:rsidR="000A5329" w:rsidRPr="002029AF">
        <w:t xml:space="preserve"> </w:t>
      </w:r>
      <w:r w:rsidRPr="002029AF">
        <w:t>of</w:t>
      </w:r>
      <w:r w:rsidR="000A5329" w:rsidRPr="002029AF">
        <w:t xml:space="preserve"> </w:t>
      </w:r>
      <w:r w:rsidRPr="002029AF">
        <w:t>a</w:t>
      </w:r>
      <w:r w:rsidR="000A5329" w:rsidRPr="002029AF">
        <w:t xml:space="preserve"> </w:t>
      </w:r>
      <w:r w:rsidRPr="002029AF">
        <w:t>civility</w:t>
      </w:r>
      <w:r w:rsidR="000A5329" w:rsidRPr="002029AF">
        <w:t xml:space="preserve"> </w:t>
      </w:r>
      <w:r w:rsidRPr="002029AF">
        <w:t>and</w:t>
      </w:r>
      <w:r w:rsidR="00286264" w:rsidRPr="002029AF">
        <w:t> </w:t>
      </w:r>
      <w:r w:rsidRPr="002029AF">
        <w:t>respect</w:t>
      </w:r>
      <w:r w:rsidR="000A5329" w:rsidRPr="002029AF">
        <w:t xml:space="preserve"> </w:t>
      </w:r>
      <w:r w:rsidRPr="002029AF">
        <w:t>working</w:t>
      </w:r>
      <w:r w:rsidR="000A5329" w:rsidRPr="002029AF">
        <w:t xml:space="preserve"> </w:t>
      </w:r>
      <w:r w:rsidRPr="002029AF">
        <w:t>group</w:t>
      </w:r>
      <w:r w:rsidR="000A5329" w:rsidRPr="002029AF">
        <w:t xml:space="preserve"> </w:t>
      </w:r>
      <w:r w:rsidRPr="002029AF">
        <w:t>under</w:t>
      </w:r>
      <w:r w:rsidR="000A5329" w:rsidRPr="002029AF">
        <w:t xml:space="preserve"> </w:t>
      </w:r>
      <w:r w:rsidRPr="002029AF">
        <w:t>whole-of-government</w:t>
      </w:r>
      <w:r w:rsidR="000A5329" w:rsidRPr="002029AF">
        <w:t xml:space="preserve"> </w:t>
      </w:r>
      <w:r w:rsidRPr="002029AF">
        <w:t>OHS</w:t>
      </w:r>
      <w:r w:rsidR="000A5329" w:rsidRPr="002029AF">
        <w:t xml:space="preserve"> </w:t>
      </w:r>
      <w:r w:rsidRPr="002029AF">
        <w:t>improvement</w:t>
      </w:r>
      <w:r w:rsidR="000A5329" w:rsidRPr="002029AF">
        <w:t xml:space="preserve"> </w:t>
      </w:r>
      <w:r w:rsidRPr="002029AF">
        <w:t>initiative</w:t>
      </w:r>
      <w:r w:rsidR="000A5329" w:rsidRPr="002029AF">
        <w:t xml:space="preserve"> </w:t>
      </w:r>
      <w:r w:rsidRPr="002029AF">
        <w:t>to</w:t>
      </w:r>
      <w:r w:rsidR="000A5329" w:rsidRPr="002029AF">
        <w:t xml:space="preserve"> </w:t>
      </w:r>
      <w:r w:rsidRPr="002029AF">
        <w:t>identify</w:t>
      </w:r>
      <w:r w:rsidR="000A5329" w:rsidRPr="002029AF">
        <w:t xml:space="preserve"> </w:t>
      </w:r>
      <w:r w:rsidRPr="002029AF">
        <w:t>and</w:t>
      </w:r>
      <w:r w:rsidR="000A5329" w:rsidRPr="002029AF">
        <w:t xml:space="preserve"> </w:t>
      </w:r>
      <w:r w:rsidRPr="002029AF">
        <w:t>recommend</w:t>
      </w:r>
      <w:r w:rsidR="000A5329" w:rsidRPr="002029AF">
        <w:t xml:space="preserve"> </w:t>
      </w:r>
      <w:r w:rsidRPr="002029AF">
        <w:t>options</w:t>
      </w:r>
      <w:r w:rsidR="000A5329" w:rsidRPr="002029AF">
        <w:t xml:space="preserve"> </w:t>
      </w:r>
      <w:r w:rsidRPr="002029AF">
        <w:t>for</w:t>
      </w:r>
      <w:r w:rsidR="000A5329" w:rsidRPr="002029AF">
        <w:t xml:space="preserve"> </w:t>
      </w:r>
      <w:r w:rsidRPr="002029AF">
        <w:t>improving</w:t>
      </w:r>
      <w:r w:rsidR="000A5329" w:rsidRPr="002029AF">
        <w:t xml:space="preserve"> </w:t>
      </w:r>
      <w:r w:rsidRPr="002029AF">
        <w:t>civility</w:t>
      </w:r>
      <w:r w:rsidR="000A5329" w:rsidRPr="002029AF">
        <w:t xml:space="preserve"> </w:t>
      </w:r>
      <w:r w:rsidRPr="002029AF">
        <w:t>and</w:t>
      </w:r>
      <w:r w:rsidR="000A5329" w:rsidRPr="002029AF">
        <w:t xml:space="preserve"> </w:t>
      </w:r>
      <w:r w:rsidRPr="002029AF">
        <w:t>respect</w:t>
      </w:r>
      <w:r w:rsidR="000A5329" w:rsidRPr="002029AF">
        <w:t xml:space="preserve"> </w:t>
      </w:r>
      <w:r w:rsidRPr="002029AF">
        <w:t>in</w:t>
      </w:r>
      <w:r w:rsidR="000A5329" w:rsidRPr="002029AF">
        <w:t xml:space="preserve"> </w:t>
      </w:r>
      <w:r w:rsidRPr="002029AF">
        <w:t>Victorian</w:t>
      </w:r>
      <w:r w:rsidR="000A5329" w:rsidRPr="002029AF">
        <w:t xml:space="preserve"> </w:t>
      </w:r>
      <w:r w:rsidRPr="002029AF">
        <w:t>public</w:t>
      </w:r>
      <w:r w:rsidR="000A5329" w:rsidRPr="002029AF">
        <w:t xml:space="preserve"> </w:t>
      </w:r>
      <w:r w:rsidRPr="002029AF">
        <w:t>sector</w:t>
      </w:r>
      <w:r w:rsidR="000A5329" w:rsidRPr="002029AF">
        <w:t xml:space="preserve"> </w:t>
      </w:r>
      <w:r w:rsidRPr="002029AF">
        <w:t>workplaces</w:t>
      </w:r>
      <w:r w:rsidR="000A5329" w:rsidRPr="002029AF">
        <w:t xml:space="preserve"> </w:t>
      </w:r>
      <w:r w:rsidRPr="002029AF">
        <w:t>to</w:t>
      </w:r>
      <w:r w:rsidR="000A5329" w:rsidRPr="002029AF">
        <w:t xml:space="preserve"> </w:t>
      </w:r>
      <w:r w:rsidRPr="002029AF">
        <w:t>reduce</w:t>
      </w:r>
      <w:r w:rsidR="000A5329" w:rsidRPr="002029AF">
        <w:t xml:space="preserve"> </w:t>
      </w:r>
      <w:r w:rsidRPr="002029AF">
        <w:t>the</w:t>
      </w:r>
      <w:r w:rsidR="000A5329" w:rsidRPr="002029AF">
        <w:t xml:space="preserve"> </w:t>
      </w:r>
      <w:r w:rsidRPr="002029AF">
        <w:t>risk</w:t>
      </w:r>
      <w:r w:rsidR="000A5329" w:rsidRPr="002029AF">
        <w:t xml:space="preserve"> </w:t>
      </w:r>
      <w:r w:rsidRPr="002029AF">
        <w:t>and</w:t>
      </w:r>
      <w:r w:rsidR="000A5329" w:rsidRPr="002029AF">
        <w:t xml:space="preserve"> </w:t>
      </w:r>
      <w:r w:rsidRPr="002029AF">
        <w:t>incidence</w:t>
      </w:r>
      <w:r w:rsidR="000A5329" w:rsidRPr="002029AF">
        <w:t xml:space="preserve"> </w:t>
      </w:r>
      <w:r w:rsidRPr="002029AF">
        <w:t>of</w:t>
      </w:r>
      <w:r w:rsidR="00286264" w:rsidRPr="002029AF">
        <w:t> </w:t>
      </w:r>
      <w:r w:rsidRPr="002029AF">
        <w:t>mental</w:t>
      </w:r>
      <w:r w:rsidR="000A5329" w:rsidRPr="002029AF">
        <w:t xml:space="preserve"> </w:t>
      </w:r>
      <w:r w:rsidRPr="002029AF">
        <w:t>injury</w:t>
      </w:r>
      <w:r w:rsidR="000A5329" w:rsidRPr="002029AF">
        <w:t xml:space="preserve"> </w:t>
      </w:r>
      <w:r w:rsidRPr="002029AF">
        <w:t>in</w:t>
      </w:r>
      <w:r w:rsidR="000A5329" w:rsidRPr="002029AF">
        <w:t xml:space="preserve"> </w:t>
      </w:r>
      <w:r w:rsidRPr="002029AF">
        <w:t>those</w:t>
      </w:r>
      <w:r w:rsidR="000A5329" w:rsidRPr="002029AF">
        <w:t xml:space="preserve"> </w:t>
      </w:r>
      <w:r w:rsidRPr="002029AF">
        <w:t>workplaces</w:t>
      </w:r>
    </w:p>
    <w:p w14:paraId="1AC0F2C5" w14:textId="0F5B9C0D" w:rsidR="00CF72D5" w:rsidRPr="002029AF" w:rsidRDefault="00CF72D5" w:rsidP="001E768A">
      <w:pPr>
        <w:pStyle w:val="ARbullet1"/>
      </w:pPr>
      <w:r w:rsidRPr="002029AF">
        <w:t>ongoing</w:t>
      </w:r>
      <w:r w:rsidR="000A5329" w:rsidRPr="002029AF">
        <w:t xml:space="preserve"> </w:t>
      </w:r>
      <w:r w:rsidRPr="002029AF">
        <w:t>delivery</w:t>
      </w:r>
      <w:r w:rsidR="000A5329" w:rsidRPr="002029AF">
        <w:t xml:space="preserve"> </w:t>
      </w:r>
      <w:r w:rsidRPr="002029AF">
        <w:t>of</w:t>
      </w:r>
      <w:r w:rsidR="000A5329" w:rsidRPr="002029AF">
        <w:t xml:space="preserve"> </w:t>
      </w:r>
      <w:r w:rsidRPr="002029AF">
        <w:t>mental</w:t>
      </w:r>
      <w:r w:rsidR="000A5329" w:rsidRPr="002029AF">
        <w:t xml:space="preserve"> </w:t>
      </w:r>
      <w:r w:rsidRPr="002029AF">
        <w:t>health</w:t>
      </w:r>
      <w:r w:rsidR="000A5329" w:rsidRPr="002029AF">
        <w:t xml:space="preserve"> </w:t>
      </w:r>
      <w:r w:rsidRPr="002029AF">
        <w:t>and</w:t>
      </w:r>
      <w:r w:rsidR="000A5329" w:rsidRPr="002029AF">
        <w:t xml:space="preserve"> </w:t>
      </w:r>
      <w:r w:rsidRPr="002029AF">
        <w:t>wellbeing</w:t>
      </w:r>
      <w:r w:rsidR="000A5329" w:rsidRPr="002029AF">
        <w:t xml:space="preserve"> </w:t>
      </w:r>
      <w:r w:rsidRPr="002029AF">
        <w:t>training</w:t>
      </w:r>
      <w:r w:rsidR="000A5329" w:rsidRPr="002029AF">
        <w:t xml:space="preserve"> </w:t>
      </w:r>
      <w:r w:rsidRPr="002029AF">
        <w:t>to</w:t>
      </w:r>
      <w:r w:rsidR="000A5329" w:rsidRPr="002029AF">
        <w:t xml:space="preserve"> </w:t>
      </w:r>
      <w:r w:rsidRPr="002029AF">
        <w:t>executives</w:t>
      </w:r>
      <w:r w:rsidR="000A5329" w:rsidRPr="002029AF">
        <w:t xml:space="preserve"> </w:t>
      </w:r>
      <w:r w:rsidRPr="002029AF">
        <w:t>and</w:t>
      </w:r>
      <w:r w:rsidR="000A5329" w:rsidRPr="002029AF">
        <w:t xml:space="preserve"> </w:t>
      </w:r>
      <w:r w:rsidRPr="002029AF">
        <w:t>people</w:t>
      </w:r>
      <w:r w:rsidR="000A5329" w:rsidRPr="002029AF">
        <w:t xml:space="preserve"> </w:t>
      </w:r>
      <w:r w:rsidRPr="002029AF">
        <w:t>managers</w:t>
      </w:r>
      <w:r w:rsidR="000A5329" w:rsidRPr="002029AF">
        <w:t xml:space="preserve"> </w:t>
      </w:r>
      <w:r w:rsidRPr="002029AF">
        <w:t>as</w:t>
      </w:r>
      <w:r w:rsidR="000A5329" w:rsidRPr="002029AF">
        <w:t xml:space="preserve"> </w:t>
      </w:r>
      <w:r w:rsidRPr="002029AF">
        <w:t>part</w:t>
      </w:r>
      <w:r w:rsidR="000A5329" w:rsidRPr="002029AF">
        <w:t xml:space="preserve"> </w:t>
      </w:r>
      <w:r w:rsidRPr="002029AF">
        <w:t>of</w:t>
      </w:r>
      <w:r w:rsidR="000A5329" w:rsidRPr="002029AF">
        <w:t xml:space="preserve"> </w:t>
      </w:r>
      <w:r w:rsidRPr="002029AF">
        <w:t>our</w:t>
      </w:r>
      <w:r w:rsidR="000A5329" w:rsidRPr="002029AF">
        <w:t xml:space="preserve"> </w:t>
      </w:r>
      <w:r w:rsidRPr="002029AF">
        <w:t>ongoing</w:t>
      </w:r>
      <w:r w:rsidR="000A5329" w:rsidRPr="002029AF">
        <w:t xml:space="preserve"> </w:t>
      </w:r>
      <w:r w:rsidRPr="002029AF">
        <w:t>commitment</w:t>
      </w:r>
      <w:r w:rsidR="000A5329" w:rsidRPr="002029AF">
        <w:t xml:space="preserve"> </w:t>
      </w:r>
      <w:r w:rsidRPr="002029AF">
        <w:t>to</w:t>
      </w:r>
      <w:r w:rsidR="000A5329" w:rsidRPr="002029AF">
        <w:t xml:space="preserve"> </w:t>
      </w:r>
      <w:r w:rsidRPr="002029AF">
        <w:t>support</w:t>
      </w:r>
      <w:r w:rsidR="000A5329" w:rsidRPr="002029AF">
        <w:t xml:space="preserve"> </w:t>
      </w:r>
      <w:r w:rsidRPr="002029AF">
        <w:t>implementation</w:t>
      </w:r>
      <w:r w:rsidR="000A5329" w:rsidRPr="002029AF">
        <w:t xml:space="preserve"> </w:t>
      </w:r>
      <w:r w:rsidRPr="002029AF">
        <w:t>of</w:t>
      </w:r>
      <w:r w:rsidR="000A5329" w:rsidRPr="002029AF">
        <w:t xml:space="preserve"> </w:t>
      </w:r>
      <w:r w:rsidRPr="002029AF">
        <w:t>the</w:t>
      </w:r>
      <w:r w:rsidR="000A5329" w:rsidRPr="002029AF">
        <w:t xml:space="preserve"> </w:t>
      </w:r>
      <w:r w:rsidRPr="002029AF">
        <w:t>Victorian</w:t>
      </w:r>
      <w:r w:rsidR="000A5329" w:rsidRPr="002029AF">
        <w:t xml:space="preserve"> </w:t>
      </w:r>
      <w:r w:rsidRPr="002029AF">
        <w:t>public</w:t>
      </w:r>
      <w:r w:rsidR="000A5329" w:rsidRPr="002029AF">
        <w:t xml:space="preserve"> </w:t>
      </w:r>
      <w:r w:rsidRPr="002029AF">
        <w:t>sector</w:t>
      </w:r>
      <w:r w:rsidR="000A5329" w:rsidRPr="002029AF">
        <w:t xml:space="preserve"> </w:t>
      </w:r>
      <w:r w:rsidRPr="002029AF">
        <w:t>Mental</w:t>
      </w:r>
      <w:r w:rsidR="000A5329" w:rsidRPr="002029AF">
        <w:t xml:space="preserve"> </w:t>
      </w:r>
      <w:r w:rsidRPr="002029AF">
        <w:t>health</w:t>
      </w:r>
      <w:r w:rsidR="000A5329" w:rsidRPr="002029AF">
        <w:t xml:space="preserve"> </w:t>
      </w:r>
      <w:r w:rsidRPr="002029AF">
        <w:t>and</w:t>
      </w:r>
      <w:r w:rsidR="000A5329" w:rsidRPr="002029AF">
        <w:t xml:space="preserve"> </w:t>
      </w:r>
      <w:r w:rsidRPr="002029AF">
        <w:t>wellbeing</w:t>
      </w:r>
      <w:r w:rsidR="000A5329" w:rsidRPr="002029AF">
        <w:t xml:space="preserve"> </w:t>
      </w:r>
      <w:r w:rsidRPr="002029AF">
        <w:t>charter.</w:t>
      </w:r>
    </w:p>
    <w:p w14:paraId="4345B300" w14:textId="77777777" w:rsidR="005E1789" w:rsidRDefault="005E1789" w:rsidP="00897193">
      <w:pPr>
        <w:pStyle w:val="Heading3"/>
        <w:spacing w:before="0"/>
        <w:sectPr w:rsidR="005E1789" w:rsidSect="005E1789">
          <w:headerReference w:type="even" r:id="rId132"/>
          <w:headerReference w:type="default" r:id="rId133"/>
          <w:pgSz w:w="11906" w:h="16838" w:code="9"/>
          <w:pgMar w:top="1985" w:right="851" w:bottom="851" w:left="1418" w:header="510" w:footer="340" w:gutter="0"/>
          <w:cols w:num="2" w:space="454"/>
          <w:docGrid w:linePitch="360"/>
          <w15:footnoteColumns w:val="1"/>
        </w:sectPr>
      </w:pPr>
      <w:bookmarkStart w:id="95" w:name="_Ref21955871"/>
      <w:bookmarkStart w:id="96" w:name="_Ref525047492"/>
    </w:p>
    <w:p w14:paraId="40EC0431" w14:textId="5BA0CF83" w:rsidR="00CF72D5" w:rsidRPr="002029AF" w:rsidRDefault="00CF72D5" w:rsidP="00897193">
      <w:pPr>
        <w:pStyle w:val="Heading3"/>
        <w:spacing w:before="0"/>
      </w:pPr>
      <w:r w:rsidRPr="002029AF">
        <w:lastRenderedPageBreak/>
        <w:t>The</w:t>
      </w:r>
      <w:r w:rsidR="000A5329" w:rsidRPr="002029AF">
        <w:t xml:space="preserve"> </w:t>
      </w:r>
      <w:r w:rsidRPr="002029AF">
        <w:t>department’s</w:t>
      </w:r>
      <w:r w:rsidR="000A5329" w:rsidRPr="002029AF">
        <w:t xml:space="preserve"> </w:t>
      </w:r>
      <w:r w:rsidRPr="002029AF">
        <w:t>performance</w:t>
      </w:r>
      <w:r w:rsidR="000A5329" w:rsidRPr="002029AF">
        <w:t xml:space="preserve"> </w:t>
      </w:r>
      <w:r w:rsidRPr="002029AF">
        <w:t>against</w:t>
      </w:r>
      <w:r w:rsidR="000A5329" w:rsidRPr="002029AF">
        <w:t xml:space="preserve"> </w:t>
      </w:r>
      <w:r w:rsidRPr="002029AF">
        <w:t>occupational</w:t>
      </w:r>
      <w:r w:rsidR="000A5329" w:rsidRPr="002029AF">
        <w:t xml:space="preserve"> </w:t>
      </w:r>
      <w:r w:rsidRPr="002029AF">
        <w:t>health</w:t>
      </w:r>
      <w:r w:rsidR="000A5329" w:rsidRPr="002029AF">
        <w:t xml:space="preserve"> </w:t>
      </w:r>
      <w:r w:rsidRPr="002029AF">
        <w:t>and</w:t>
      </w:r>
      <w:r w:rsidR="000A5329" w:rsidRPr="002029AF">
        <w:t xml:space="preserve"> </w:t>
      </w:r>
      <w:r w:rsidRPr="002029AF">
        <w:t>safety</w:t>
      </w:r>
      <w:r w:rsidR="000A5329" w:rsidRPr="002029AF">
        <w:t xml:space="preserve"> </w:t>
      </w:r>
      <w:r w:rsidRPr="002029AF">
        <w:t>management</w:t>
      </w:r>
      <w:r w:rsidR="000A5329" w:rsidRPr="002029AF">
        <w:t xml:space="preserve"> </w:t>
      </w:r>
      <w:r w:rsidRPr="002029AF">
        <w:t>measures</w:t>
      </w:r>
      <w:bookmarkEnd w:id="95"/>
    </w:p>
    <w:tbl>
      <w:tblPr>
        <w:tblW w:w="964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10"/>
        <w:gridCol w:w="2215"/>
        <w:gridCol w:w="10"/>
        <w:gridCol w:w="3289"/>
        <w:gridCol w:w="1195"/>
        <w:gridCol w:w="10"/>
        <w:gridCol w:w="1400"/>
        <w:gridCol w:w="18"/>
        <w:gridCol w:w="1492"/>
        <w:gridCol w:w="10"/>
      </w:tblGrid>
      <w:tr w:rsidR="00CF72D5" w:rsidRPr="002029AF" w14:paraId="2E656BFD" w14:textId="77777777" w:rsidTr="00A57FDC">
        <w:trPr>
          <w:gridAfter w:val="1"/>
          <w:wAfter w:w="10" w:type="dxa"/>
          <w:cantSplit/>
          <w:tblHeader/>
        </w:trPr>
        <w:tc>
          <w:tcPr>
            <w:tcW w:w="2225" w:type="dxa"/>
            <w:gridSpan w:val="2"/>
            <w:vAlign w:val="bottom"/>
          </w:tcPr>
          <w:p w14:paraId="3969B0BB" w14:textId="77777777" w:rsidR="00CF72D5" w:rsidRPr="002029AF" w:rsidRDefault="00CF72D5" w:rsidP="00897193">
            <w:pPr>
              <w:pStyle w:val="ARtablecolhead"/>
              <w:rPr>
                <w:lang w:eastAsia="en-AU"/>
              </w:rPr>
            </w:pPr>
            <w:r w:rsidRPr="002029AF">
              <w:rPr>
                <w:lang w:eastAsia="en-AU"/>
              </w:rPr>
              <w:t>Measure</w:t>
            </w:r>
          </w:p>
        </w:tc>
        <w:tc>
          <w:tcPr>
            <w:tcW w:w="3299" w:type="dxa"/>
            <w:gridSpan w:val="2"/>
            <w:vAlign w:val="bottom"/>
          </w:tcPr>
          <w:p w14:paraId="26ADC31D" w14:textId="77777777" w:rsidR="00CF72D5" w:rsidRPr="002029AF" w:rsidRDefault="00CF72D5" w:rsidP="00897193">
            <w:pPr>
              <w:pStyle w:val="ARtablecolhead"/>
              <w:rPr>
                <w:lang w:eastAsia="en-AU"/>
              </w:rPr>
            </w:pPr>
            <w:r w:rsidRPr="002029AF">
              <w:rPr>
                <w:lang w:eastAsia="en-AU"/>
              </w:rPr>
              <w:t>KPI</w:t>
            </w:r>
          </w:p>
        </w:tc>
        <w:tc>
          <w:tcPr>
            <w:tcW w:w="1195" w:type="dxa"/>
          </w:tcPr>
          <w:p w14:paraId="7322E674" w14:textId="77777777" w:rsidR="00CF72D5" w:rsidRPr="002029AF" w:rsidRDefault="00CF72D5" w:rsidP="00897193">
            <w:pPr>
              <w:pStyle w:val="ARtablecolhead"/>
              <w:jc w:val="right"/>
              <w:rPr>
                <w:lang w:eastAsia="en-AU"/>
              </w:rPr>
            </w:pPr>
            <w:r w:rsidRPr="002029AF">
              <w:rPr>
                <w:lang w:eastAsia="en-AU"/>
              </w:rPr>
              <w:t>2017–18</w:t>
            </w:r>
          </w:p>
        </w:tc>
        <w:tc>
          <w:tcPr>
            <w:tcW w:w="1410" w:type="dxa"/>
            <w:gridSpan w:val="2"/>
          </w:tcPr>
          <w:p w14:paraId="1CEFF5D1" w14:textId="77777777" w:rsidR="00CF72D5" w:rsidRPr="002029AF" w:rsidRDefault="00CF72D5" w:rsidP="00897193">
            <w:pPr>
              <w:pStyle w:val="ARtablecolhead"/>
              <w:jc w:val="right"/>
              <w:rPr>
                <w:lang w:eastAsia="en-AU"/>
              </w:rPr>
            </w:pPr>
            <w:r w:rsidRPr="002029AF">
              <w:rPr>
                <w:lang w:eastAsia="en-AU"/>
              </w:rPr>
              <w:t>2018–19</w:t>
            </w:r>
          </w:p>
        </w:tc>
        <w:tc>
          <w:tcPr>
            <w:tcW w:w="1510" w:type="dxa"/>
            <w:gridSpan w:val="2"/>
          </w:tcPr>
          <w:p w14:paraId="3CB60833" w14:textId="77777777" w:rsidR="00CF72D5" w:rsidRPr="002029AF" w:rsidRDefault="00CF72D5" w:rsidP="00897193">
            <w:pPr>
              <w:pStyle w:val="ARtablecolhead"/>
              <w:jc w:val="right"/>
              <w:rPr>
                <w:lang w:eastAsia="en-AU"/>
              </w:rPr>
            </w:pPr>
            <w:r w:rsidRPr="002029AF">
              <w:rPr>
                <w:lang w:eastAsia="en-AU"/>
              </w:rPr>
              <w:t>2019–20</w:t>
            </w:r>
          </w:p>
        </w:tc>
      </w:tr>
      <w:tr w:rsidR="00CF72D5" w:rsidRPr="002029AF" w14:paraId="3CD0B303" w14:textId="77777777" w:rsidTr="00A57FDC">
        <w:trPr>
          <w:gridAfter w:val="1"/>
          <w:wAfter w:w="10" w:type="dxa"/>
          <w:cantSplit/>
        </w:trPr>
        <w:tc>
          <w:tcPr>
            <w:tcW w:w="2225" w:type="dxa"/>
            <w:gridSpan w:val="2"/>
            <w:vMerge w:val="restart"/>
          </w:tcPr>
          <w:p w14:paraId="03EC8C20" w14:textId="77777777" w:rsidR="00CF72D5" w:rsidRPr="002029AF" w:rsidRDefault="00CF72D5" w:rsidP="00897193">
            <w:pPr>
              <w:pStyle w:val="ARtabletext"/>
              <w:rPr>
                <w:sz w:val="20"/>
              </w:rPr>
            </w:pPr>
            <w:r w:rsidRPr="002029AF">
              <w:t>Hazards</w:t>
            </w:r>
          </w:p>
        </w:tc>
        <w:tc>
          <w:tcPr>
            <w:tcW w:w="3299" w:type="dxa"/>
            <w:gridSpan w:val="2"/>
          </w:tcPr>
          <w:p w14:paraId="24C8587B" w14:textId="5FA54DD9" w:rsidR="00CF72D5" w:rsidRPr="002029AF" w:rsidRDefault="00CF72D5" w:rsidP="00897193">
            <w:pPr>
              <w:pStyle w:val="ARtabletext"/>
            </w:pPr>
            <w:r w:rsidRPr="002029AF">
              <w:t>No.</w:t>
            </w:r>
            <w:r w:rsidR="000A5329" w:rsidRPr="002029AF">
              <w:t xml:space="preserve"> </w:t>
            </w:r>
            <w:r w:rsidRPr="002029AF">
              <w:t>of</w:t>
            </w:r>
            <w:r w:rsidR="000A5329" w:rsidRPr="002029AF">
              <w:t xml:space="preserve"> </w:t>
            </w:r>
            <w:r w:rsidRPr="002029AF">
              <w:t>hazards</w:t>
            </w:r>
            <w:bookmarkStart w:id="97" w:name="_Ref53241530"/>
            <w:r w:rsidR="00616A34">
              <w:rPr>
                <w:rStyle w:val="FootnoteReference"/>
              </w:rPr>
              <w:footnoteReference w:id="10"/>
            </w:r>
            <w:bookmarkEnd w:id="97"/>
          </w:p>
        </w:tc>
        <w:tc>
          <w:tcPr>
            <w:tcW w:w="1195" w:type="dxa"/>
          </w:tcPr>
          <w:p w14:paraId="34F72AA5" w14:textId="77777777" w:rsidR="00CF72D5" w:rsidRPr="002029AF" w:rsidRDefault="00CF72D5" w:rsidP="00897193">
            <w:pPr>
              <w:pStyle w:val="ARtabletextright"/>
            </w:pPr>
            <w:r w:rsidRPr="002029AF">
              <w:t>N/A</w:t>
            </w:r>
          </w:p>
        </w:tc>
        <w:tc>
          <w:tcPr>
            <w:tcW w:w="1410" w:type="dxa"/>
            <w:gridSpan w:val="2"/>
          </w:tcPr>
          <w:p w14:paraId="092BCC1E" w14:textId="77777777" w:rsidR="00CF72D5" w:rsidRPr="002029AF" w:rsidRDefault="00CF72D5" w:rsidP="00897193">
            <w:pPr>
              <w:pStyle w:val="ARtabletextright"/>
            </w:pPr>
            <w:r w:rsidRPr="002029AF">
              <w:t>786</w:t>
            </w:r>
          </w:p>
        </w:tc>
        <w:tc>
          <w:tcPr>
            <w:tcW w:w="1510" w:type="dxa"/>
            <w:gridSpan w:val="2"/>
          </w:tcPr>
          <w:p w14:paraId="70425C02" w14:textId="77777777" w:rsidR="00CF72D5" w:rsidRPr="002029AF" w:rsidRDefault="00CF72D5" w:rsidP="00897193">
            <w:pPr>
              <w:pStyle w:val="ARtabletextright"/>
            </w:pPr>
            <w:r w:rsidRPr="002029AF">
              <w:t>682</w:t>
            </w:r>
          </w:p>
        </w:tc>
      </w:tr>
      <w:tr w:rsidR="00CF72D5" w:rsidRPr="002029AF" w14:paraId="72B52B48" w14:textId="77777777" w:rsidTr="00A57FDC">
        <w:trPr>
          <w:gridAfter w:val="1"/>
          <w:wAfter w:w="10" w:type="dxa"/>
          <w:cantSplit/>
        </w:trPr>
        <w:tc>
          <w:tcPr>
            <w:tcW w:w="2225" w:type="dxa"/>
            <w:gridSpan w:val="2"/>
            <w:vMerge/>
          </w:tcPr>
          <w:p w14:paraId="2D703E5A" w14:textId="77777777" w:rsidR="00CF72D5" w:rsidRPr="002029AF" w:rsidRDefault="00CF72D5" w:rsidP="00897193">
            <w:pPr>
              <w:pStyle w:val="ARbody"/>
              <w:rPr>
                <w:lang w:eastAsia="en-AU"/>
              </w:rPr>
            </w:pPr>
          </w:p>
        </w:tc>
        <w:tc>
          <w:tcPr>
            <w:tcW w:w="3299" w:type="dxa"/>
            <w:gridSpan w:val="2"/>
          </w:tcPr>
          <w:p w14:paraId="4614C861" w14:textId="3201A36A" w:rsidR="00CF72D5" w:rsidRPr="002029AF" w:rsidRDefault="00CF72D5" w:rsidP="00897193">
            <w:pPr>
              <w:pStyle w:val="ARtabletext"/>
            </w:pPr>
            <w:r w:rsidRPr="002029AF">
              <w:t>Rate</w:t>
            </w:r>
            <w:r w:rsidR="000A5329" w:rsidRPr="002029AF">
              <w:t xml:space="preserve"> </w:t>
            </w:r>
            <w:r w:rsidRPr="002029AF">
              <w:t>per</w:t>
            </w:r>
            <w:r w:rsidR="000A5329" w:rsidRPr="002029AF">
              <w:t xml:space="preserve"> </w:t>
            </w:r>
            <w:r w:rsidRPr="002029AF">
              <w:t>100</w:t>
            </w:r>
            <w:r w:rsidR="000A5329" w:rsidRPr="002029AF">
              <w:t xml:space="preserve"> </w:t>
            </w:r>
            <w:r w:rsidRPr="002029AF">
              <w:t>FTE</w:t>
            </w:r>
          </w:p>
        </w:tc>
        <w:tc>
          <w:tcPr>
            <w:tcW w:w="1195" w:type="dxa"/>
          </w:tcPr>
          <w:p w14:paraId="2658083B" w14:textId="77777777" w:rsidR="00CF72D5" w:rsidRPr="002029AF" w:rsidRDefault="00CF72D5" w:rsidP="00897193">
            <w:pPr>
              <w:pStyle w:val="ARtabletextright"/>
            </w:pPr>
            <w:r w:rsidRPr="002029AF">
              <w:t>N/A</w:t>
            </w:r>
          </w:p>
        </w:tc>
        <w:tc>
          <w:tcPr>
            <w:tcW w:w="1410" w:type="dxa"/>
            <w:gridSpan w:val="2"/>
          </w:tcPr>
          <w:p w14:paraId="1A4094DB" w14:textId="77777777" w:rsidR="00CF72D5" w:rsidRPr="002029AF" w:rsidRDefault="00CF72D5" w:rsidP="00897193">
            <w:pPr>
              <w:pStyle w:val="ARtabletextright"/>
            </w:pPr>
            <w:r w:rsidRPr="002029AF">
              <w:t>7.40</w:t>
            </w:r>
          </w:p>
        </w:tc>
        <w:tc>
          <w:tcPr>
            <w:tcW w:w="1510" w:type="dxa"/>
            <w:gridSpan w:val="2"/>
          </w:tcPr>
          <w:p w14:paraId="3A9B4BBB" w14:textId="77777777" w:rsidR="00CF72D5" w:rsidRPr="002029AF" w:rsidRDefault="00CF72D5" w:rsidP="00897193">
            <w:pPr>
              <w:pStyle w:val="ARtabletextright"/>
            </w:pPr>
            <w:r w:rsidRPr="002029AF">
              <w:t>7.96</w:t>
            </w:r>
          </w:p>
        </w:tc>
      </w:tr>
      <w:tr w:rsidR="00CF72D5" w:rsidRPr="002029AF" w14:paraId="1E8C1ABF" w14:textId="77777777" w:rsidTr="00A57FDC">
        <w:trPr>
          <w:gridBefore w:val="1"/>
          <w:wBefore w:w="10" w:type="dxa"/>
          <w:cantSplit/>
        </w:trPr>
        <w:tc>
          <w:tcPr>
            <w:tcW w:w="2225" w:type="dxa"/>
            <w:gridSpan w:val="2"/>
            <w:vMerge w:val="restart"/>
            <w:tcBorders>
              <w:top w:val="nil"/>
            </w:tcBorders>
          </w:tcPr>
          <w:p w14:paraId="2B4A6E01" w14:textId="77777777" w:rsidR="00CF72D5" w:rsidRPr="002029AF" w:rsidRDefault="00CF72D5" w:rsidP="00897193">
            <w:pPr>
              <w:pStyle w:val="ARtabletext"/>
              <w:rPr>
                <w:sz w:val="20"/>
              </w:rPr>
            </w:pPr>
            <w:r w:rsidRPr="002029AF">
              <w:t>Incidents</w:t>
            </w:r>
          </w:p>
        </w:tc>
        <w:tc>
          <w:tcPr>
            <w:tcW w:w="3289" w:type="dxa"/>
          </w:tcPr>
          <w:p w14:paraId="616AF826" w14:textId="1E3B7A13" w:rsidR="00CF72D5" w:rsidRPr="002029AF" w:rsidRDefault="00CF72D5" w:rsidP="00A57FDC">
            <w:pPr>
              <w:pStyle w:val="ARtabletext"/>
            </w:pPr>
            <w:r w:rsidRPr="002029AF">
              <w:t>No.</w:t>
            </w:r>
            <w:r w:rsidR="000A5329" w:rsidRPr="002029AF">
              <w:t xml:space="preserve"> </w:t>
            </w:r>
            <w:r w:rsidRPr="002029AF">
              <w:t>of</w:t>
            </w:r>
            <w:r w:rsidR="000A5329" w:rsidRPr="002029AF">
              <w:t xml:space="preserve"> </w:t>
            </w:r>
            <w:r w:rsidRPr="002029AF">
              <w:t>incidents</w:t>
            </w:r>
            <w:r w:rsidR="00616A34" w:rsidRPr="00F860FA">
              <w:rPr>
                <w:rStyle w:val="FootnoteReference"/>
              </w:rPr>
              <w:fldChar w:fldCharType="begin"/>
            </w:r>
            <w:r w:rsidR="00616A34" w:rsidRPr="00F860FA">
              <w:rPr>
                <w:rStyle w:val="FootnoteReference"/>
              </w:rPr>
              <w:instrText xml:space="preserve"> NOTEREF _Ref53241530 \h </w:instrText>
            </w:r>
            <w:r w:rsidR="00F860FA">
              <w:rPr>
                <w:rStyle w:val="FootnoteReference"/>
              </w:rPr>
              <w:instrText xml:space="preserve"> \* MERGEFORMAT </w:instrText>
            </w:r>
            <w:r w:rsidR="00616A34" w:rsidRPr="00F860FA">
              <w:rPr>
                <w:rStyle w:val="FootnoteReference"/>
              </w:rPr>
            </w:r>
            <w:r w:rsidR="00616A34" w:rsidRPr="00F860FA">
              <w:rPr>
                <w:rStyle w:val="FootnoteReference"/>
              </w:rPr>
              <w:fldChar w:fldCharType="separate"/>
            </w:r>
            <w:r w:rsidR="00F3275D">
              <w:rPr>
                <w:rStyle w:val="FootnoteReference"/>
              </w:rPr>
              <w:t>8</w:t>
            </w:r>
            <w:r w:rsidR="00616A34" w:rsidRPr="00F860FA">
              <w:rPr>
                <w:rStyle w:val="FootnoteReference"/>
              </w:rPr>
              <w:fldChar w:fldCharType="end"/>
            </w:r>
          </w:p>
        </w:tc>
        <w:tc>
          <w:tcPr>
            <w:tcW w:w="1205" w:type="dxa"/>
            <w:gridSpan w:val="2"/>
          </w:tcPr>
          <w:p w14:paraId="5FBEB733" w14:textId="77777777" w:rsidR="00CF72D5" w:rsidRPr="002029AF" w:rsidRDefault="00CF72D5" w:rsidP="00897193">
            <w:pPr>
              <w:pStyle w:val="ARtabletextright"/>
              <w:rPr>
                <w:highlight w:val="yellow"/>
              </w:rPr>
            </w:pPr>
            <w:r w:rsidRPr="002029AF">
              <w:t>6,086</w:t>
            </w:r>
          </w:p>
        </w:tc>
        <w:tc>
          <w:tcPr>
            <w:tcW w:w="1418" w:type="dxa"/>
            <w:gridSpan w:val="2"/>
          </w:tcPr>
          <w:p w14:paraId="328700DC" w14:textId="77777777" w:rsidR="00CF72D5" w:rsidRPr="002029AF" w:rsidRDefault="00CF72D5" w:rsidP="00897193">
            <w:pPr>
              <w:pStyle w:val="ARtabletextright"/>
              <w:rPr>
                <w:highlight w:val="yellow"/>
              </w:rPr>
            </w:pPr>
            <w:r w:rsidRPr="002029AF">
              <w:t>4,271</w:t>
            </w:r>
          </w:p>
        </w:tc>
        <w:tc>
          <w:tcPr>
            <w:tcW w:w="1502" w:type="dxa"/>
            <w:gridSpan w:val="2"/>
          </w:tcPr>
          <w:p w14:paraId="0038CFE4" w14:textId="77777777" w:rsidR="00CF72D5" w:rsidRPr="002029AF" w:rsidRDefault="00CF72D5" w:rsidP="00897193">
            <w:pPr>
              <w:pStyle w:val="ARtabletextright"/>
              <w:rPr>
                <w:highlight w:val="yellow"/>
              </w:rPr>
            </w:pPr>
            <w:r w:rsidRPr="002029AF">
              <w:t>1967</w:t>
            </w:r>
          </w:p>
        </w:tc>
      </w:tr>
      <w:tr w:rsidR="00CF72D5" w:rsidRPr="002029AF" w14:paraId="1980ED45" w14:textId="77777777" w:rsidTr="00A57FDC">
        <w:trPr>
          <w:gridBefore w:val="1"/>
          <w:wBefore w:w="10" w:type="dxa"/>
          <w:cantSplit/>
        </w:trPr>
        <w:tc>
          <w:tcPr>
            <w:tcW w:w="2225" w:type="dxa"/>
            <w:gridSpan w:val="2"/>
            <w:vMerge/>
          </w:tcPr>
          <w:p w14:paraId="7FEADEB6" w14:textId="77777777" w:rsidR="00CF72D5" w:rsidRPr="002029AF" w:rsidRDefault="00CF72D5" w:rsidP="00897193">
            <w:pPr>
              <w:pStyle w:val="ARbody"/>
              <w:rPr>
                <w:lang w:eastAsia="en-AU"/>
              </w:rPr>
            </w:pPr>
          </w:p>
        </w:tc>
        <w:tc>
          <w:tcPr>
            <w:tcW w:w="3289" w:type="dxa"/>
          </w:tcPr>
          <w:p w14:paraId="706EE5B9" w14:textId="39AAA09D" w:rsidR="00CF72D5" w:rsidRPr="002029AF" w:rsidRDefault="00CF72D5" w:rsidP="00A57FDC">
            <w:pPr>
              <w:pStyle w:val="ARtabletext"/>
              <w:rPr>
                <w:sz w:val="20"/>
              </w:rPr>
            </w:pPr>
            <w:r w:rsidRPr="002029AF">
              <w:t>Rate</w:t>
            </w:r>
            <w:r w:rsidR="000A5329" w:rsidRPr="002029AF">
              <w:t xml:space="preserve"> </w:t>
            </w:r>
            <w:r w:rsidRPr="002029AF">
              <w:t>per</w:t>
            </w:r>
            <w:r w:rsidR="000A5329" w:rsidRPr="002029AF">
              <w:t xml:space="preserve"> </w:t>
            </w:r>
            <w:r w:rsidRPr="002029AF">
              <w:t>100</w:t>
            </w:r>
            <w:r w:rsidR="000A5329" w:rsidRPr="002029AF">
              <w:t xml:space="preserve"> </w:t>
            </w:r>
            <w:r w:rsidRPr="002029AF">
              <w:t>FTE</w:t>
            </w:r>
          </w:p>
        </w:tc>
        <w:tc>
          <w:tcPr>
            <w:tcW w:w="1205" w:type="dxa"/>
            <w:gridSpan w:val="2"/>
          </w:tcPr>
          <w:p w14:paraId="696FE2EA" w14:textId="77777777" w:rsidR="00CF72D5" w:rsidRPr="002029AF" w:rsidRDefault="00CF72D5" w:rsidP="00897193">
            <w:pPr>
              <w:pStyle w:val="ARtabletextright"/>
              <w:rPr>
                <w:highlight w:val="yellow"/>
              </w:rPr>
            </w:pPr>
            <w:r w:rsidRPr="002029AF">
              <w:t>48.9</w:t>
            </w:r>
          </w:p>
        </w:tc>
        <w:tc>
          <w:tcPr>
            <w:tcW w:w="1418" w:type="dxa"/>
            <w:gridSpan w:val="2"/>
          </w:tcPr>
          <w:p w14:paraId="04611CD4" w14:textId="77777777" w:rsidR="00CF72D5" w:rsidRPr="002029AF" w:rsidRDefault="00CF72D5" w:rsidP="00897193">
            <w:pPr>
              <w:pStyle w:val="ARtabletextright"/>
              <w:rPr>
                <w:highlight w:val="yellow"/>
              </w:rPr>
            </w:pPr>
            <w:r w:rsidRPr="002029AF">
              <w:t>40.02</w:t>
            </w:r>
          </w:p>
        </w:tc>
        <w:tc>
          <w:tcPr>
            <w:tcW w:w="1502" w:type="dxa"/>
            <w:gridSpan w:val="2"/>
          </w:tcPr>
          <w:p w14:paraId="1C9BA11F" w14:textId="77777777" w:rsidR="00CF72D5" w:rsidRPr="002029AF" w:rsidRDefault="00CF72D5" w:rsidP="00897193">
            <w:pPr>
              <w:pStyle w:val="ARtabletextright"/>
              <w:rPr>
                <w:highlight w:val="yellow"/>
              </w:rPr>
            </w:pPr>
            <w:r w:rsidRPr="002029AF">
              <w:t>22.96</w:t>
            </w:r>
          </w:p>
        </w:tc>
      </w:tr>
      <w:tr w:rsidR="00CF72D5" w:rsidRPr="002029AF" w14:paraId="342724A3" w14:textId="77777777" w:rsidTr="00A57FDC">
        <w:trPr>
          <w:gridBefore w:val="1"/>
          <w:wBefore w:w="10" w:type="dxa"/>
          <w:cantSplit/>
        </w:trPr>
        <w:tc>
          <w:tcPr>
            <w:tcW w:w="2225" w:type="dxa"/>
            <w:gridSpan w:val="2"/>
            <w:vMerge/>
          </w:tcPr>
          <w:p w14:paraId="021B1CBA" w14:textId="77777777" w:rsidR="00CF72D5" w:rsidRPr="002029AF" w:rsidRDefault="00CF72D5" w:rsidP="00897193">
            <w:pPr>
              <w:pStyle w:val="ARbody"/>
              <w:rPr>
                <w:lang w:eastAsia="en-AU"/>
              </w:rPr>
            </w:pPr>
          </w:p>
        </w:tc>
        <w:tc>
          <w:tcPr>
            <w:tcW w:w="3289" w:type="dxa"/>
          </w:tcPr>
          <w:p w14:paraId="6529C8EF" w14:textId="4B47C69B" w:rsidR="00CF72D5" w:rsidRPr="002029AF" w:rsidRDefault="00CF72D5" w:rsidP="00A57FDC">
            <w:pPr>
              <w:pStyle w:val="ARtabletext"/>
              <w:rPr>
                <w:vertAlign w:val="superscript"/>
              </w:rPr>
            </w:pPr>
            <w:r w:rsidRPr="002029AF">
              <w:t>No.</w:t>
            </w:r>
            <w:r w:rsidR="000A5329" w:rsidRPr="002029AF">
              <w:t xml:space="preserve"> </w:t>
            </w:r>
            <w:r w:rsidRPr="002029AF">
              <w:t>of</w:t>
            </w:r>
            <w:r w:rsidR="000A5329" w:rsidRPr="002029AF">
              <w:t xml:space="preserve"> </w:t>
            </w:r>
            <w:r w:rsidRPr="002029AF">
              <w:t>incidents</w:t>
            </w:r>
            <w:r w:rsidR="000A5329" w:rsidRPr="002029AF">
              <w:t xml:space="preserve"> </w:t>
            </w:r>
            <w:r w:rsidRPr="002029AF">
              <w:t>requiring</w:t>
            </w:r>
            <w:r w:rsidR="000A5329" w:rsidRPr="002029AF">
              <w:t xml:space="preserve"> </w:t>
            </w:r>
            <w:r w:rsidRPr="002029AF">
              <w:t>first</w:t>
            </w:r>
            <w:r w:rsidR="000A5329" w:rsidRPr="002029AF">
              <w:t xml:space="preserve"> </w:t>
            </w:r>
            <w:r w:rsidRPr="002029AF">
              <w:t>aid</w:t>
            </w:r>
            <w:r w:rsidR="00616A34">
              <w:rPr>
                <w:rStyle w:val="FootnoteReference"/>
              </w:rPr>
              <w:footnoteReference w:id="11"/>
            </w:r>
            <w:r w:rsidR="000A5329" w:rsidRPr="002029AF">
              <w:rPr>
                <w:vertAlign w:val="superscript"/>
              </w:rPr>
              <w:t xml:space="preserve"> </w:t>
            </w:r>
            <w:r w:rsidRPr="002029AF">
              <w:t>and/or</w:t>
            </w:r>
            <w:r w:rsidR="000A5329" w:rsidRPr="002029AF">
              <w:t xml:space="preserve"> </w:t>
            </w:r>
            <w:r w:rsidRPr="002029AF">
              <w:t>further</w:t>
            </w:r>
            <w:r w:rsidR="000A5329" w:rsidRPr="002029AF">
              <w:t xml:space="preserve"> </w:t>
            </w:r>
            <w:r w:rsidRPr="002029AF">
              <w:t>medical</w:t>
            </w:r>
            <w:r w:rsidR="000A5329" w:rsidRPr="002029AF">
              <w:t xml:space="preserve"> </w:t>
            </w:r>
            <w:r w:rsidRPr="002029AF">
              <w:t>treatment</w:t>
            </w:r>
          </w:p>
        </w:tc>
        <w:tc>
          <w:tcPr>
            <w:tcW w:w="1205" w:type="dxa"/>
            <w:gridSpan w:val="2"/>
          </w:tcPr>
          <w:p w14:paraId="0F0E6FF7" w14:textId="77777777" w:rsidR="00CF72D5" w:rsidRPr="002029AF" w:rsidRDefault="00CF72D5" w:rsidP="00897193">
            <w:pPr>
              <w:pStyle w:val="ARtabletextright"/>
              <w:rPr>
                <w:highlight w:val="yellow"/>
              </w:rPr>
            </w:pPr>
            <w:r w:rsidRPr="002029AF">
              <w:t>N/A</w:t>
            </w:r>
          </w:p>
        </w:tc>
        <w:tc>
          <w:tcPr>
            <w:tcW w:w="1418" w:type="dxa"/>
            <w:gridSpan w:val="2"/>
          </w:tcPr>
          <w:p w14:paraId="37EA19DE" w14:textId="77777777" w:rsidR="00CF72D5" w:rsidRPr="002029AF" w:rsidRDefault="00CF72D5" w:rsidP="00897193">
            <w:pPr>
              <w:pStyle w:val="ARtabletextright"/>
              <w:rPr>
                <w:highlight w:val="yellow"/>
              </w:rPr>
            </w:pPr>
            <w:r w:rsidRPr="002029AF">
              <w:t>864</w:t>
            </w:r>
          </w:p>
        </w:tc>
        <w:tc>
          <w:tcPr>
            <w:tcW w:w="1502" w:type="dxa"/>
            <w:gridSpan w:val="2"/>
          </w:tcPr>
          <w:p w14:paraId="2AEF29E6" w14:textId="77777777" w:rsidR="00CF72D5" w:rsidRPr="002029AF" w:rsidRDefault="00CF72D5" w:rsidP="00897193">
            <w:pPr>
              <w:pStyle w:val="ARtabletextright"/>
              <w:rPr>
                <w:highlight w:val="yellow"/>
              </w:rPr>
            </w:pPr>
            <w:r w:rsidRPr="002029AF">
              <w:t>367</w:t>
            </w:r>
          </w:p>
        </w:tc>
      </w:tr>
      <w:tr w:rsidR="00CF72D5" w:rsidRPr="002029AF" w14:paraId="6C1C8EF7" w14:textId="77777777" w:rsidTr="00A57FDC">
        <w:trPr>
          <w:gridAfter w:val="1"/>
          <w:wAfter w:w="10" w:type="dxa"/>
          <w:cantSplit/>
        </w:trPr>
        <w:tc>
          <w:tcPr>
            <w:tcW w:w="2225" w:type="dxa"/>
            <w:gridSpan w:val="2"/>
            <w:vMerge w:val="restart"/>
          </w:tcPr>
          <w:p w14:paraId="5CB55103" w14:textId="77777777" w:rsidR="00CF72D5" w:rsidRPr="002029AF" w:rsidRDefault="00CF72D5" w:rsidP="00897193">
            <w:pPr>
              <w:pStyle w:val="ARtabletext"/>
            </w:pPr>
            <w:r w:rsidRPr="002029AF">
              <w:t>Claims</w:t>
            </w:r>
          </w:p>
        </w:tc>
        <w:tc>
          <w:tcPr>
            <w:tcW w:w="3299" w:type="dxa"/>
            <w:gridSpan w:val="2"/>
          </w:tcPr>
          <w:p w14:paraId="32F1CB17" w14:textId="5E12D0D8" w:rsidR="00CF72D5" w:rsidRPr="002029AF" w:rsidRDefault="00CF72D5" w:rsidP="00A57FDC">
            <w:pPr>
              <w:pStyle w:val="ARtabletext"/>
            </w:pPr>
            <w:r w:rsidRPr="002029AF">
              <w:t>No.</w:t>
            </w:r>
            <w:r w:rsidR="000A5329" w:rsidRPr="002029AF">
              <w:t xml:space="preserve"> </w:t>
            </w:r>
            <w:r w:rsidRPr="002029AF">
              <w:t>of</w:t>
            </w:r>
            <w:r w:rsidR="000A5329" w:rsidRPr="002029AF">
              <w:t xml:space="preserve"> </w:t>
            </w:r>
            <w:r w:rsidRPr="002029AF">
              <w:t>standard</w:t>
            </w:r>
            <w:r w:rsidR="000A5329" w:rsidRPr="002029AF">
              <w:t xml:space="preserve"> </w:t>
            </w:r>
            <w:r w:rsidRPr="002029AF">
              <w:t>claims</w:t>
            </w:r>
            <w:r w:rsidR="00616A34">
              <w:rPr>
                <w:rStyle w:val="FootnoteReference"/>
              </w:rPr>
              <w:footnoteReference w:id="12"/>
            </w:r>
          </w:p>
        </w:tc>
        <w:tc>
          <w:tcPr>
            <w:tcW w:w="1195" w:type="dxa"/>
          </w:tcPr>
          <w:p w14:paraId="0108F385" w14:textId="5916647F" w:rsidR="00CF72D5" w:rsidRPr="002029AF" w:rsidRDefault="00CF72D5" w:rsidP="00897193">
            <w:pPr>
              <w:pStyle w:val="ARtabletextright"/>
            </w:pPr>
            <w:r w:rsidRPr="002029AF">
              <w:t>273</w:t>
            </w:r>
            <w:bookmarkStart w:id="98" w:name="_Ref53241630"/>
            <w:r w:rsidR="00616A34">
              <w:rPr>
                <w:rStyle w:val="FootnoteReference"/>
              </w:rPr>
              <w:footnoteReference w:id="13"/>
            </w:r>
            <w:bookmarkEnd w:id="98"/>
          </w:p>
        </w:tc>
        <w:tc>
          <w:tcPr>
            <w:tcW w:w="1410" w:type="dxa"/>
            <w:gridSpan w:val="2"/>
          </w:tcPr>
          <w:p w14:paraId="4F72F7B4" w14:textId="6D6A3D16" w:rsidR="00CF72D5" w:rsidRPr="002029AF" w:rsidRDefault="00CF72D5" w:rsidP="00897193">
            <w:pPr>
              <w:pStyle w:val="ARtabletextright"/>
            </w:pPr>
            <w:r w:rsidRPr="002029AF">
              <w:t>259</w:t>
            </w:r>
            <w:r w:rsidR="00616A34" w:rsidRPr="00616A34">
              <w:rPr>
                <w:rStyle w:val="FootnoteReference"/>
              </w:rPr>
              <w:fldChar w:fldCharType="begin"/>
            </w:r>
            <w:r w:rsidR="00616A34" w:rsidRPr="00616A34">
              <w:rPr>
                <w:rStyle w:val="FootnoteReference"/>
              </w:rPr>
              <w:instrText xml:space="preserve"> NOTEREF _Ref53241630 \h  \* MERGEFORMAT </w:instrText>
            </w:r>
            <w:r w:rsidR="00616A34" w:rsidRPr="00616A34">
              <w:rPr>
                <w:rStyle w:val="FootnoteReference"/>
              </w:rPr>
            </w:r>
            <w:r w:rsidR="00616A34" w:rsidRPr="00616A34">
              <w:rPr>
                <w:rStyle w:val="FootnoteReference"/>
              </w:rPr>
              <w:fldChar w:fldCharType="separate"/>
            </w:r>
            <w:r w:rsidR="00F3275D">
              <w:rPr>
                <w:rStyle w:val="FootnoteReference"/>
              </w:rPr>
              <w:t>11</w:t>
            </w:r>
            <w:r w:rsidR="00616A34" w:rsidRPr="00616A34">
              <w:rPr>
                <w:rStyle w:val="FootnoteReference"/>
              </w:rPr>
              <w:fldChar w:fldCharType="end"/>
            </w:r>
          </w:p>
        </w:tc>
        <w:tc>
          <w:tcPr>
            <w:tcW w:w="1510" w:type="dxa"/>
            <w:gridSpan w:val="2"/>
          </w:tcPr>
          <w:p w14:paraId="08958BB0" w14:textId="77777777" w:rsidR="00CF72D5" w:rsidRPr="002029AF" w:rsidRDefault="00CF72D5" w:rsidP="00897193">
            <w:pPr>
              <w:pStyle w:val="ARtabletextright"/>
              <w:rPr>
                <w:sz w:val="20"/>
              </w:rPr>
            </w:pPr>
            <w:r w:rsidRPr="002029AF">
              <w:t>129</w:t>
            </w:r>
          </w:p>
        </w:tc>
      </w:tr>
      <w:tr w:rsidR="00CF72D5" w:rsidRPr="002029AF" w14:paraId="5CEAED7E" w14:textId="77777777" w:rsidTr="00A57FDC">
        <w:trPr>
          <w:gridAfter w:val="1"/>
          <w:wAfter w:w="10" w:type="dxa"/>
          <w:cantSplit/>
        </w:trPr>
        <w:tc>
          <w:tcPr>
            <w:tcW w:w="2225" w:type="dxa"/>
            <w:gridSpan w:val="2"/>
            <w:vMerge/>
          </w:tcPr>
          <w:p w14:paraId="1EA58422" w14:textId="77777777" w:rsidR="00CF72D5" w:rsidRPr="002029AF" w:rsidRDefault="00CF72D5" w:rsidP="00897193">
            <w:pPr>
              <w:pStyle w:val="ARtabletext"/>
            </w:pPr>
          </w:p>
        </w:tc>
        <w:tc>
          <w:tcPr>
            <w:tcW w:w="3299" w:type="dxa"/>
            <w:gridSpan w:val="2"/>
          </w:tcPr>
          <w:p w14:paraId="4ECABD21" w14:textId="2C2E639A" w:rsidR="00CF72D5" w:rsidRPr="002029AF" w:rsidRDefault="00CF72D5" w:rsidP="00A57FDC">
            <w:pPr>
              <w:pStyle w:val="ARtabletext"/>
            </w:pPr>
            <w:r w:rsidRPr="002029AF">
              <w:t>Rate</w:t>
            </w:r>
            <w:r w:rsidR="000A5329" w:rsidRPr="002029AF">
              <w:t xml:space="preserve"> </w:t>
            </w:r>
            <w:r w:rsidRPr="002029AF">
              <w:t>per</w:t>
            </w:r>
            <w:r w:rsidR="000A5329" w:rsidRPr="002029AF">
              <w:t xml:space="preserve"> </w:t>
            </w:r>
            <w:r w:rsidRPr="002029AF">
              <w:t>100</w:t>
            </w:r>
            <w:r w:rsidR="000A5329" w:rsidRPr="002029AF">
              <w:t xml:space="preserve"> </w:t>
            </w:r>
            <w:r w:rsidRPr="002029AF">
              <w:t>FTE</w:t>
            </w:r>
          </w:p>
        </w:tc>
        <w:tc>
          <w:tcPr>
            <w:tcW w:w="1195" w:type="dxa"/>
          </w:tcPr>
          <w:p w14:paraId="52C67E58" w14:textId="77777777" w:rsidR="00CF72D5" w:rsidRPr="002029AF" w:rsidRDefault="00CF72D5" w:rsidP="00897193">
            <w:pPr>
              <w:pStyle w:val="ARtabletextright"/>
            </w:pPr>
            <w:r w:rsidRPr="002029AF">
              <w:t>2.19</w:t>
            </w:r>
          </w:p>
        </w:tc>
        <w:tc>
          <w:tcPr>
            <w:tcW w:w="1410" w:type="dxa"/>
            <w:gridSpan w:val="2"/>
          </w:tcPr>
          <w:p w14:paraId="23E9CA44" w14:textId="77777777" w:rsidR="00CF72D5" w:rsidRPr="002029AF" w:rsidRDefault="00CF72D5" w:rsidP="00897193">
            <w:pPr>
              <w:pStyle w:val="ARtabletextright"/>
            </w:pPr>
            <w:r w:rsidRPr="002029AF">
              <w:t>2.44</w:t>
            </w:r>
          </w:p>
        </w:tc>
        <w:tc>
          <w:tcPr>
            <w:tcW w:w="1510" w:type="dxa"/>
            <w:gridSpan w:val="2"/>
          </w:tcPr>
          <w:p w14:paraId="5B015371" w14:textId="77777777" w:rsidR="00CF72D5" w:rsidRPr="002029AF" w:rsidRDefault="00CF72D5" w:rsidP="00897193">
            <w:pPr>
              <w:pStyle w:val="ARtabletextright"/>
            </w:pPr>
            <w:r w:rsidRPr="002029AF">
              <w:rPr>
                <w:lang w:eastAsia="en-US"/>
              </w:rPr>
              <w:t>1.51</w:t>
            </w:r>
          </w:p>
        </w:tc>
      </w:tr>
      <w:tr w:rsidR="00CF72D5" w:rsidRPr="002029AF" w14:paraId="1089B0B9" w14:textId="77777777" w:rsidTr="00A57FDC">
        <w:trPr>
          <w:gridAfter w:val="1"/>
          <w:wAfter w:w="10" w:type="dxa"/>
          <w:cantSplit/>
        </w:trPr>
        <w:tc>
          <w:tcPr>
            <w:tcW w:w="2225" w:type="dxa"/>
            <w:gridSpan w:val="2"/>
            <w:vMerge/>
          </w:tcPr>
          <w:p w14:paraId="3BA5D3A4" w14:textId="77777777" w:rsidR="00CF72D5" w:rsidRPr="002029AF" w:rsidRDefault="00CF72D5" w:rsidP="00897193">
            <w:pPr>
              <w:pStyle w:val="ARtabletext"/>
            </w:pPr>
          </w:p>
        </w:tc>
        <w:tc>
          <w:tcPr>
            <w:tcW w:w="3299" w:type="dxa"/>
            <w:gridSpan w:val="2"/>
          </w:tcPr>
          <w:p w14:paraId="63B4FE63" w14:textId="269C05D0" w:rsidR="00CF72D5" w:rsidRPr="002029AF" w:rsidRDefault="00CF72D5" w:rsidP="00A57FDC">
            <w:pPr>
              <w:pStyle w:val="ARtabletext"/>
            </w:pPr>
            <w:r w:rsidRPr="002029AF">
              <w:t>No.</w:t>
            </w:r>
            <w:r w:rsidR="000A5329" w:rsidRPr="002029AF">
              <w:t xml:space="preserve"> </w:t>
            </w:r>
            <w:r w:rsidRPr="002029AF">
              <w:t>of</w:t>
            </w:r>
            <w:r w:rsidR="000A5329" w:rsidRPr="002029AF">
              <w:t xml:space="preserve"> </w:t>
            </w:r>
            <w:r w:rsidRPr="002029AF">
              <w:t>lost</w:t>
            </w:r>
            <w:r w:rsidR="000A5329" w:rsidRPr="002029AF">
              <w:t xml:space="preserve"> </w:t>
            </w:r>
            <w:r w:rsidRPr="002029AF">
              <w:t>time</w:t>
            </w:r>
            <w:r w:rsidR="000A5329" w:rsidRPr="002029AF">
              <w:t xml:space="preserve"> </w:t>
            </w:r>
            <w:r w:rsidRPr="002029AF">
              <w:t>claims</w:t>
            </w:r>
          </w:p>
        </w:tc>
        <w:tc>
          <w:tcPr>
            <w:tcW w:w="1195" w:type="dxa"/>
          </w:tcPr>
          <w:p w14:paraId="31900491" w14:textId="77777777" w:rsidR="00CF72D5" w:rsidRPr="002029AF" w:rsidRDefault="00CF72D5" w:rsidP="00897193">
            <w:pPr>
              <w:pStyle w:val="ARtabletextright"/>
            </w:pPr>
            <w:r w:rsidRPr="002029AF">
              <w:t>157</w:t>
            </w:r>
          </w:p>
        </w:tc>
        <w:tc>
          <w:tcPr>
            <w:tcW w:w="1410" w:type="dxa"/>
            <w:gridSpan w:val="2"/>
          </w:tcPr>
          <w:p w14:paraId="7D0BF807" w14:textId="77777777" w:rsidR="00CF72D5" w:rsidRPr="002029AF" w:rsidRDefault="00CF72D5" w:rsidP="00897193">
            <w:pPr>
              <w:pStyle w:val="ARtabletextright"/>
            </w:pPr>
            <w:r w:rsidRPr="002029AF">
              <w:t>130</w:t>
            </w:r>
          </w:p>
        </w:tc>
        <w:tc>
          <w:tcPr>
            <w:tcW w:w="1510" w:type="dxa"/>
            <w:gridSpan w:val="2"/>
          </w:tcPr>
          <w:p w14:paraId="4F371E13" w14:textId="77777777" w:rsidR="00CF72D5" w:rsidRPr="002029AF" w:rsidRDefault="00CF72D5" w:rsidP="00897193">
            <w:pPr>
              <w:pStyle w:val="ARtabletextright"/>
            </w:pPr>
            <w:r w:rsidRPr="002029AF">
              <w:t>70</w:t>
            </w:r>
          </w:p>
        </w:tc>
      </w:tr>
      <w:tr w:rsidR="00CF72D5" w:rsidRPr="002029AF" w14:paraId="3203843A" w14:textId="77777777" w:rsidTr="00A57FDC">
        <w:trPr>
          <w:gridAfter w:val="1"/>
          <w:wAfter w:w="10" w:type="dxa"/>
          <w:cantSplit/>
        </w:trPr>
        <w:tc>
          <w:tcPr>
            <w:tcW w:w="2225" w:type="dxa"/>
            <w:gridSpan w:val="2"/>
            <w:vMerge/>
          </w:tcPr>
          <w:p w14:paraId="0D4D5950" w14:textId="77777777" w:rsidR="00CF72D5" w:rsidRPr="002029AF" w:rsidRDefault="00CF72D5" w:rsidP="00897193">
            <w:pPr>
              <w:pStyle w:val="ARtabletext"/>
            </w:pPr>
          </w:p>
        </w:tc>
        <w:tc>
          <w:tcPr>
            <w:tcW w:w="3299" w:type="dxa"/>
            <w:gridSpan w:val="2"/>
          </w:tcPr>
          <w:p w14:paraId="6B681D10" w14:textId="45571FD6" w:rsidR="00CF72D5" w:rsidRPr="002029AF" w:rsidRDefault="00CF72D5" w:rsidP="00A57FDC">
            <w:pPr>
              <w:pStyle w:val="ARtabletext"/>
            </w:pPr>
            <w:r w:rsidRPr="002029AF">
              <w:t>Rate</w:t>
            </w:r>
            <w:r w:rsidR="000A5329" w:rsidRPr="002029AF">
              <w:t xml:space="preserve"> </w:t>
            </w:r>
            <w:r w:rsidRPr="002029AF">
              <w:t>per</w:t>
            </w:r>
            <w:r w:rsidR="000A5329" w:rsidRPr="002029AF">
              <w:t xml:space="preserve"> </w:t>
            </w:r>
            <w:r w:rsidRPr="002029AF">
              <w:t>100</w:t>
            </w:r>
            <w:r w:rsidR="000A5329" w:rsidRPr="002029AF">
              <w:t xml:space="preserve"> </w:t>
            </w:r>
            <w:r w:rsidRPr="002029AF">
              <w:t>FTE</w:t>
            </w:r>
          </w:p>
        </w:tc>
        <w:tc>
          <w:tcPr>
            <w:tcW w:w="1195" w:type="dxa"/>
          </w:tcPr>
          <w:p w14:paraId="142FE833" w14:textId="77777777" w:rsidR="00CF72D5" w:rsidRPr="002029AF" w:rsidRDefault="00CF72D5" w:rsidP="00897193">
            <w:pPr>
              <w:pStyle w:val="ARtabletextright"/>
            </w:pPr>
            <w:r w:rsidRPr="002029AF">
              <w:t>1.270</w:t>
            </w:r>
          </w:p>
        </w:tc>
        <w:tc>
          <w:tcPr>
            <w:tcW w:w="1410" w:type="dxa"/>
            <w:gridSpan w:val="2"/>
          </w:tcPr>
          <w:p w14:paraId="0CEBA9E6" w14:textId="77777777" w:rsidR="00CF72D5" w:rsidRPr="002029AF" w:rsidRDefault="00CF72D5" w:rsidP="00897193">
            <w:pPr>
              <w:pStyle w:val="ARtabletextright"/>
            </w:pPr>
            <w:r w:rsidRPr="002029AF">
              <w:t>1.223</w:t>
            </w:r>
          </w:p>
        </w:tc>
        <w:tc>
          <w:tcPr>
            <w:tcW w:w="1510" w:type="dxa"/>
            <w:gridSpan w:val="2"/>
          </w:tcPr>
          <w:p w14:paraId="47E186F7" w14:textId="77777777" w:rsidR="00CF72D5" w:rsidRPr="002029AF" w:rsidRDefault="00CF72D5" w:rsidP="00897193">
            <w:pPr>
              <w:pStyle w:val="ARtabletextright"/>
            </w:pPr>
            <w:r w:rsidRPr="002029AF">
              <w:rPr>
                <w:lang w:eastAsia="en-US"/>
              </w:rPr>
              <w:t>0.817</w:t>
            </w:r>
          </w:p>
        </w:tc>
      </w:tr>
      <w:tr w:rsidR="00CF72D5" w:rsidRPr="002029AF" w14:paraId="09078E27" w14:textId="77777777" w:rsidTr="00A57FDC">
        <w:trPr>
          <w:gridAfter w:val="1"/>
          <w:wAfter w:w="10" w:type="dxa"/>
          <w:cantSplit/>
        </w:trPr>
        <w:tc>
          <w:tcPr>
            <w:tcW w:w="2225" w:type="dxa"/>
            <w:gridSpan w:val="2"/>
            <w:vMerge/>
          </w:tcPr>
          <w:p w14:paraId="4BF47E62" w14:textId="77777777" w:rsidR="00CF72D5" w:rsidRPr="002029AF" w:rsidRDefault="00CF72D5" w:rsidP="00897193">
            <w:pPr>
              <w:pStyle w:val="ARtabletext"/>
            </w:pPr>
          </w:p>
        </w:tc>
        <w:tc>
          <w:tcPr>
            <w:tcW w:w="3299" w:type="dxa"/>
            <w:gridSpan w:val="2"/>
          </w:tcPr>
          <w:p w14:paraId="7DA16338" w14:textId="32941C65" w:rsidR="00CF72D5" w:rsidRPr="002029AF" w:rsidRDefault="00CF72D5" w:rsidP="00A57FDC">
            <w:pPr>
              <w:pStyle w:val="ARtabletext"/>
            </w:pPr>
            <w:r w:rsidRPr="002029AF">
              <w:t>No.</w:t>
            </w:r>
            <w:r w:rsidR="000A5329" w:rsidRPr="002029AF">
              <w:t xml:space="preserve"> </w:t>
            </w:r>
            <w:r w:rsidRPr="002029AF">
              <w:t>of</w:t>
            </w:r>
            <w:r w:rsidR="000A5329" w:rsidRPr="002029AF">
              <w:t xml:space="preserve"> </w:t>
            </w:r>
            <w:r w:rsidRPr="002029AF">
              <w:t>claims</w:t>
            </w:r>
            <w:r w:rsidR="000A5329" w:rsidRPr="002029AF">
              <w:t xml:space="preserve"> </w:t>
            </w:r>
            <w:r w:rsidRPr="002029AF">
              <w:t>exceeding</w:t>
            </w:r>
            <w:r w:rsidR="000A5329" w:rsidRPr="002029AF">
              <w:t xml:space="preserve"> </w:t>
            </w:r>
            <w:r w:rsidRPr="002029AF">
              <w:t>13</w:t>
            </w:r>
            <w:r w:rsidR="000A5329" w:rsidRPr="002029AF">
              <w:t xml:space="preserve"> </w:t>
            </w:r>
            <w:r w:rsidRPr="002029AF">
              <w:t>weeks</w:t>
            </w:r>
            <w:r w:rsidR="00616A34">
              <w:rPr>
                <w:rStyle w:val="FootnoteReference"/>
              </w:rPr>
              <w:footnoteReference w:id="14"/>
            </w:r>
          </w:p>
        </w:tc>
        <w:tc>
          <w:tcPr>
            <w:tcW w:w="1195" w:type="dxa"/>
          </w:tcPr>
          <w:p w14:paraId="33685195" w14:textId="77777777" w:rsidR="00CF72D5" w:rsidRPr="002029AF" w:rsidRDefault="00CF72D5" w:rsidP="00897193">
            <w:pPr>
              <w:pStyle w:val="ARtabletextright"/>
            </w:pPr>
            <w:r w:rsidRPr="002029AF">
              <w:t>85</w:t>
            </w:r>
          </w:p>
        </w:tc>
        <w:tc>
          <w:tcPr>
            <w:tcW w:w="1410" w:type="dxa"/>
            <w:gridSpan w:val="2"/>
          </w:tcPr>
          <w:p w14:paraId="440E8CE2" w14:textId="77777777" w:rsidR="00CF72D5" w:rsidRPr="002029AF" w:rsidRDefault="00CF72D5" w:rsidP="00897193">
            <w:pPr>
              <w:pStyle w:val="ARtabletextright"/>
            </w:pPr>
            <w:r w:rsidRPr="002029AF">
              <w:t>69</w:t>
            </w:r>
          </w:p>
        </w:tc>
        <w:tc>
          <w:tcPr>
            <w:tcW w:w="1510" w:type="dxa"/>
            <w:gridSpan w:val="2"/>
          </w:tcPr>
          <w:p w14:paraId="7D3F8613" w14:textId="77777777" w:rsidR="00CF72D5" w:rsidRPr="002029AF" w:rsidRDefault="00CF72D5" w:rsidP="00897193">
            <w:pPr>
              <w:pStyle w:val="ARtabletextright"/>
            </w:pPr>
            <w:r w:rsidRPr="002029AF">
              <w:t>48</w:t>
            </w:r>
          </w:p>
        </w:tc>
      </w:tr>
      <w:tr w:rsidR="00CF72D5" w:rsidRPr="002029AF" w14:paraId="18D1F7BE" w14:textId="77777777" w:rsidTr="00A57FDC">
        <w:trPr>
          <w:gridAfter w:val="1"/>
          <w:wAfter w:w="10" w:type="dxa"/>
          <w:cantSplit/>
        </w:trPr>
        <w:tc>
          <w:tcPr>
            <w:tcW w:w="2225" w:type="dxa"/>
            <w:gridSpan w:val="2"/>
            <w:vMerge/>
          </w:tcPr>
          <w:p w14:paraId="01E51C67" w14:textId="77777777" w:rsidR="00CF72D5" w:rsidRPr="002029AF" w:rsidRDefault="00CF72D5" w:rsidP="00897193">
            <w:pPr>
              <w:pStyle w:val="ARtabletext"/>
            </w:pPr>
          </w:p>
        </w:tc>
        <w:tc>
          <w:tcPr>
            <w:tcW w:w="3299" w:type="dxa"/>
            <w:gridSpan w:val="2"/>
          </w:tcPr>
          <w:p w14:paraId="4D7F51AA" w14:textId="69A9B988" w:rsidR="00CF72D5" w:rsidRPr="002029AF" w:rsidRDefault="00CF72D5" w:rsidP="00A57FDC">
            <w:pPr>
              <w:pStyle w:val="ARtabletext"/>
            </w:pPr>
            <w:r w:rsidRPr="002029AF">
              <w:t>Rate</w:t>
            </w:r>
            <w:r w:rsidR="000A5329" w:rsidRPr="002029AF">
              <w:t xml:space="preserve"> </w:t>
            </w:r>
            <w:r w:rsidRPr="002029AF">
              <w:t>per</w:t>
            </w:r>
            <w:r w:rsidR="000A5329" w:rsidRPr="002029AF">
              <w:t xml:space="preserve"> </w:t>
            </w:r>
            <w:r w:rsidRPr="002029AF">
              <w:t>100</w:t>
            </w:r>
            <w:r w:rsidR="000A5329" w:rsidRPr="002029AF">
              <w:t xml:space="preserve"> </w:t>
            </w:r>
            <w:r w:rsidRPr="002029AF">
              <w:t>FTE</w:t>
            </w:r>
          </w:p>
        </w:tc>
        <w:tc>
          <w:tcPr>
            <w:tcW w:w="1195" w:type="dxa"/>
          </w:tcPr>
          <w:p w14:paraId="286CD415" w14:textId="77777777" w:rsidR="00CF72D5" w:rsidRPr="002029AF" w:rsidRDefault="00CF72D5" w:rsidP="00897193">
            <w:pPr>
              <w:pStyle w:val="ARtabletextright"/>
            </w:pPr>
            <w:r w:rsidRPr="002029AF">
              <w:t>0.682</w:t>
            </w:r>
          </w:p>
        </w:tc>
        <w:tc>
          <w:tcPr>
            <w:tcW w:w="1410" w:type="dxa"/>
            <w:gridSpan w:val="2"/>
          </w:tcPr>
          <w:p w14:paraId="7210F4A1" w14:textId="77777777" w:rsidR="00CF72D5" w:rsidRPr="002029AF" w:rsidRDefault="00CF72D5" w:rsidP="00897193">
            <w:pPr>
              <w:pStyle w:val="ARtabletextright"/>
            </w:pPr>
            <w:r w:rsidRPr="002029AF">
              <w:t>0.649</w:t>
            </w:r>
          </w:p>
        </w:tc>
        <w:tc>
          <w:tcPr>
            <w:tcW w:w="1510" w:type="dxa"/>
            <w:gridSpan w:val="2"/>
          </w:tcPr>
          <w:p w14:paraId="0F85BDE0" w14:textId="77777777" w:rsidR="00CF72D5" w:rsidRPr="002029AF" w:rsidRDefault="00CF72D5" w:rsidP="00897193">
            <w:pPr>
              <w:pStyle w:val="ARtabletextright"/>
            </w:pPr>
            <w:r w:rsidRPr="002029AF">
              <w:rPr>
                <w:lang w:eastAsia="en-US"/>
              </w:rPr>
              <w:t>0.560</w:t>
            </w:r>
          </w:p>
        </w:tc>
      </w:tr>
      <w:tr w:rsidR="00CF72D5" w:rsidRPr="002029AF" w14:paraId="6A8976EC" w14:textId="77777777" w:rsidTr="00A57FDC">
        <w:trPr>
          <w:gridAfter w:val="1"/>
          <w:wAfter w:w="10" w:type="dxa"/>
          <w:cantSplit/>
        </w:trPr>
        <w:tc>
          <w:tcPr>
            <w:tcW w:w="2225" w:type="dxa"/>
            <w:gridSpan w:val="2"/>
            <w:vMerge w:val="restart"/>
            <w:tcBorders>
              <w:top w:val="single" w:sz="4" w:space="0" w:color="auto"/>
            </w:tcBorders>
          </w:tcPr>
          <w:p w14:paraId="4A1A04CC" w14:textId="77777777" w:rsidR="00CF72D5" w:rsidRPr="002029AF" w:rsidRDefault="00CF72D5" w:rsidP="00897193">
            <w:pPr>
              <w:pStyle w:val="ARtabletext"/>
            </w:pPr>
            <w:r w:rsidRPr="002029AF">
              <w:t>Absenteeism</w:t>
            </w:r>
          </w:p>
        </w:tc>
        <w:tc>
          <w:tcPr>
            <w:tcW w:w="3299" w:type="dxa"/>
            <w:gridSpan w:val="2"/>
          </w:tcPr>
          <w:p w14:paraId="6336D89B" w14:textId="0112AFB9" w:rsidR="00CF72D5" w:rsidRPr="002029AF" w:rsidRDefault="00CF72D5" w:rsidP="00A57FDC">
            <w:pPr>
              <w:pStyle w:val="ARtabletext"/>
            </w:pPr>
            <w:r w:rsidRPr="002029AF">
              <w:t>Total</w:t>
            </w:r>
            <w:r w:rsidR="000A5329" w:rsidRPr="002029AF">
              <w:t xml:space="preserve"> </w:t>
            </w:r>
            <w:r w:rsidRPr="002029AF">
              <w:t>number</w:t>
            </w:r>
            <w:r w:rsidR="000A5329" w:rsidRPr="002029AF">
              <w:t xml:space="preserve"> </w:t>
            </w:r>
            <w:r w:rsidRPr="002029AF">
              <w:t>of</w:t>
            </w:r>
            <w:r w:rsidR="000A5329" w:rsidRPr="002029AF">
              <w:t xml:space="preserve"> </w:t>
            </w:r>
            <w:r w:rsidRPr="002029AF">
              <w:t>days</w:t>
            </w:r>
            <w:r w:rsidR="000A5329" w:rsidRPr="002029AF">
              <w:t xml:space="preserve"> </w:t>
            </w:r>
            <w:r w:rsidRPr="002029AF">
              <w:t>absence</w:t>
            </w:r>
            <w:r w:rsidR="000A5329" w:rsidRPr="002029AF">
              <w:t xml:space="preserve"> </w:t>
            </w:r>
            <w:r w:rsidRPr="002029AF">
              <w:t>due</w:t>
            </w:r>
            <w:r w:rsidR="000A5329" w:rsidRPr="002029AF">
              <w:t xml:space="preserve"> </w:t>
            </w:r>
            <w:r w:rsidRPr="002029AF">
              <w:t>to</w:t>
            </w:r>
            <w:r w:rsidR="000A5329" w:rsidRPr="002029AF">
              <w:t xml:space="preserve"> </w:t>
            </w:r>
            <w:r w:rsidRPr="002029AF">
              <w:t>injury</w:t>
            </w:r>
            <w:r w:rsidR="000A5329" w:rsidRPr="002029AF">
              <w:t xml:space="preserve"> </w:t>
            </w:r>
            <w:r w:rsidRPr="002029AF">
              <w:t>or</w:t>
            </w:r>
            <w:r w:rsidR="000A5329" w:rsidRPr="002029AF">
              <w:t xml:space="preserve"> </w:t>
            </w:r>
            <w:r w:rsidRPr="002029AF">
              <w:t>illness</w:t>
            </w:r>
          </w:p>
        </w:tc>
        <w:tc>
          <w:tcPr>
            <w:tcW w:w="1195" w:type="dxa"/>
          </w:tcPr>
          <w:p w14:paraId="4A208B9F" w14:textId="77777777" w:rsidR="00CF72D5" w:rsidRPr="002029AF" w:rsidDel="00FA770C" w:rsidRDefault="00CF72D5" w:rsidP="00897193">
            <w:pPr>
              <w:pStyle w:val="ARtabletextright"/>
            </w:pPr>
            <w:r w:rsidRPr="002029AF">
              <w:t>114,654</w:t>
            </w:r>
          </w:p>
        </w:tc>
        <w:tc>
          <w:tcPr>
            <w:tcW w:w="1410" w:type="dxa"/>
            <w:gridSpan w:val="2"/>
          </w:tcPr>
          <w:p w14:paraId="5D994061" w14:textId="77777777" w:rsidR="00CF72D5" w:rsidRPr="002029AF" w:rsidDel="00FA770C" w:rsidRDefault="00CF72D5" w:rsidP="00897193">
            <w:pPr>
              <w:pStyle w:val="ARtabletextright"/>
            </w:pPr>
            <w:r w:rsidRPr="002029AF">
              <w:t>98,835</w:t>
            </w:r>
          </w:p>
        </w:tc>
        <w:tc>
          <w:tcPr>
            <w:tcW w:w="1510" w:type="dxa"/>
            <w:gridSpan w:val="2"/>
          </w:tcPr>
          <w:p w14:paraId="5B47BF79" w14:textId="77777777" w:rsidR="00CF72D5" w:rsidRPr="002029AF" w:rsidDel="00FA770C" w:rsidRDefault="00CF72D5" w:rsidP="00897193">
            <w:pPr>
              <w:pStyle w:val="ARtabletextright"/>
            </w:pPr>
            <w:r w:rsidRPr="002029AF">
              <w:rPr>
                <w:lang w:eastAsia="en-US"/>
              </w:rPr>
              <w:t>67,596</w:t>
            </w:r>
          </w:p>
        </w:tc>
      </w:tr>
      <w:tr w:rsidR="00CF72D5" w:rsidRPr="002029AF" w14:paraId="5058BBE7" w14:textId="77777777" w:rsidTr="00A57FDC">
        <w:trPr>
          <w:gridAfter w:val="1"/>
          <w:wAfter w:w="10" w:type="dxa"/>
          <w:cantSplit/>
        </w:trPr>
        <w:tc>
          <w:tcPr>
            <w:tcW w:w="2225" w:type="dxa"/>
            <w:gridSpan w:val="2"/>
            <w:vMerge/>
          </w:tcPr>
          <w:p w14:paraId="36A42024" w14:textId="77777777" w:rsidR="00CF72D5" w:rsidRPr="002029AF" w:rsidRDefault="00CF72D5" w:rsidP="00897193">
            <w:pPr>
              <w:pStyle w:val="ARtabletext"/>
            </w:pPr>
          </w:p>
        </w:tc>
        <w:tc>
          <w:tcPr>
            <w:tcW w:w="3299" w:type="dxa"/>
            <w:gridSpan w:val="2"/>
          </w:tcPr>
          <w:p w14:paraId="5171C7D7" w14:textId="1C45D7C1" w:rsidR="00CF72D5" w:rsidRPr="002029AF" w:rsidRDefault="00CF72D5" w:rsidP="00A57FDC">
            <w:pPr>
              <w:pStyle w:val="ARtabletext"/>
            </w:pPr>
            <w:r w:rsidRPr="002029AF">
              <w:t>Rate</w:t>
            </w:r>
            <w:r w:rsidR="000A5329" w:rsidRPr="002029AF">
              <w:t xml:space="preserve"> </w:t>
            </w:r>
            <w:r w:rsidRPr="002029AF">
              <w:t>per</w:t>
            </w:r>
            <w:r w:rsidR="000A5329" w:rsidRPr="002029AF">
              <w:t xml:space="preserve"> </w:t>
            </w:r>
            <w:r w:rsidRPr="002029AF">
              <w:t>100</w:t>
            </w:r>
            <w:r w:rsidR="000A5329" w:rsidRPr="002029AF">
              <w:t xml:space="preserve"> </w:t>
            </w:r>
            <w:r w:rsidRPr="002029AF">
              <w:t>FTE</w:t>
            </w:r>
          </w:p>
        </w:tc>
        <w:tc>
          <w:tcPr>
            <w:tcW w:w="1195" w:type="dxa"/>
          </w:tcPr>
          <w:p w14:paraId="150C56E1" w14:textId="77777777" w:rsidR="00CF72D5" w:rsidRPr="002029AF" w:rsidDel="00FA770C" w:rsidRDefault="00CF72D5" w:rsidP="00897193">
            <w:pPr>
              <w:pStyle w:val="ARtabletextright"/>
            </w:pPr>
            <w:r w:rsidRPr="002029AF">
              <w:t>920</w:t>
            </w:r>
          </w:p>
        </w:tc>
        <w:tc>
          <w:tcPr>
            <w:tcW w:w="1410" w:type="dxa"/>
            <w:gridSpan w:val="2"/>
          </w:tcPr>
          <w:p w14:paraId="156DAC10" w14:textId="77777777" w:rsidR="00CF72D5" w:rsidRPr="002029AF" w:rsidDel="00FA770C" w:rsidRDefault="00CF72D5" w:rsidP="00897193">
            <w:pPr>
              <w:pStyle w:val="ARtabletextright"/>
            </w:pPr>
            <w:r w:rsidRPr="002029AF">
              <w:t>930</w:t>
            </w:r>
          </w:p>
        </w:tc>
        <w:tc>
          <w:tcPr>
            <w:tcW w:w="1510" w:type="dxa"/>
            <w:gridSpan w:val="2"/>
          </w:tcPr>
          <w:p w14:paraId="2B6EAFBD" w14:textId="77777777" w:rsidR="00CF72D5" w:rsidRPr="002029AF" w:rsidDel="00FA770C" w:rsidRDefault="00CF72D5" w:rsidP="00897193">
            <w:pPr>
              <w:pStyle w:val="ARtabletextright"/>
            </w:pPr>
            <w:r w:rsidRPr="002029AF">
              <w:rPr>
                <w:lang w:eastAsia="en-US"/>
              </w:rPr>
              <w:t>789</w:t>
            </w:r>
          </w:p>
        </w:tc>
      </w:tr>
      <w:tr w:rsidR="00CF72D5" w:rsidRPr="002029AF" w14:paraId="0CFE048A" w14:textId="77777777" w:rsidTr="00A57FDC">
        <w:trPr>
          <w:gridAfter w:val="1"/>
          <w:wAfter w:w="10" w:type="dxa"/>
          <w:cantSplit/>
        </w:trPr>
        <w:tc>
          <w:tcPr>
            <w:tcW w:w="2225" w:type="dxa"/>
            <w:gridSpan w:val="2"/>
          </w:tcPr>
          <w:p w14:paraId="772D6960" w14:textId="77777777" w:rsidR="00CF72D5" w:rsidRPr="002029AF" w:rsidRDefault="00CF72D5" w:rsidP="00897193">
            <w:pPr>
              <w:pStyle w:val="ARtabletext"/>
            </w:pPr>
            <w:r w:rsidRPr="002029AF">
              <w:t>Fatalities</w:t>
            </w:r>
          </w:p>
        </w:tc>
        <w:tc>
          <w:tcPr>
            <w:tcW w:w="3299" w:type="dxa"/>
            <w:gridSpan w:val="2"/>
          </w:tcPr>
          <w:p w14:paraId="24308DA0" w14:textId="0495AF48" w:rsidR="00CF72D5" w:rsidRPr="002029AF" w:rsidRDefault="00CF72D5" w:rsidP="00A57FDC">
            <w:pPr>
              <w:pStyle w:val="ARtabletext"/>
            </w:pPr>
            <w:r w:rsidRPr="002029AF">
              <w:t>No.</w:t>
            </w:r>
            <w:r w:rsidR="000A5329" w:rsidRPr="002029AF">
              <w:t xml:space="preserve"> </w:t>
            </w:r>
            <w:r w:rsidRPr="002029AF">
              <w:t>of</w:t>
            </w:r>
            <w:r w:rsidR="000A5329" w:rsidRPr="002029AF">
              <w:t xml:space="preserve"> </w:t>
            </w:r>
            <w:r w:rsidRPr="002029AF">
              <w:t>fatalities</w:t>
            </w:r>
          </w:p>
        </w:tc>
        <w:tc>
          <w:tcPr>
            <w:tcW w:w="1195" w:type="dxa"/>
          </w:tcPr>
          <w:p w14:paraId="75B5EF70" w14:textId="77777777" w:rsidR="00CF72D5" w:rsidRPr="002029AF" w:rsidRDefault="00CF72D5" w:rsidP="00897193">
            <w:pPr>
              <w:pStyle w:val="ARtabletextright"/>
            </w:pPr>
            <w:r w:rsidRPr="002029AF">
              <w:t>0</w:t>
            </w:r>
          </w:p>
        </w:tc>
        <w:tc>
          <w:tcPr>
            <w:tcW w:w="1410" w:type="dxa"/>
            <w:gridSpan w:val="2"/>
          </w:tcPr>
          <w:p w14:paraId="5FAFA45B" w14:textId="77777777" w:rsidR="00CF72D5" w:rsidRPr="002029AF" w:rsidRDefault="00CF72D5" w:rsidP="00897193">
            <w:pPr>
              <w:pStyle w:val="ARtabletextright"/>
            </w:pPr>
            <w:r w:rsidRPr="002029AF">
              <w:t>0</w:t>
            </w:r>
          </w:p>
        </w:tc>
        <w:tc>
          <w:tcPr>
            <w:tcW w:w="1510" w:type="dxa"/>
            <w:gridSpan w:val="2"/>
          </w:tcPr>
          <w:p w14:paraId="70411CE2" w14:textId="77777777" w:rsidR="00CF72D5" w:rsidRPr="002029AF" w:rsidRDefault="00CF72D5" w:rsidP="00897193">
            <w:pPr>
              <w:pStyle w:val="ARtabletextright"/>
            </w:pPr>
            <w:r w:rsidRPr="002029AF">
              <w:t>0</w:t>
            </w:r>
          </w:p>
        </w:tc>
      </w:tr>
      <w:tr w:rsidR="00CF72D5" w:rsidRPr="002029AF" w14:paraId="671623C8" w14:textId="77777777" w:rsidTr="00A57FDC">
        <w:trPr>
          <w:gridAfter w:val="1"/>
          <w:wAfter w:w="10" w:type="dxa"/>
          <w:cantSplit/>
        </w:trPr>
        <w:tc>
          <w:tcPr>
            <w:tcW w:w="2225" w:type="dxa"/>
            <w:gridSpan w:val="2"/>
          </w:tcPr>
          <w:p w14:paraId="0800CE1F" w14:textId="77777777" w:rsidR="00CF72D5" w:rsidRPr="002029AF" w:rsidRDefault="00CF72D5" w:rsidP="00897193">
            <w:pPr>
              <w:pStyle w:val="ARtabletext"/>
            </w:pPr>
            <w:r w:rsidRPr="002029AF">
              <w:t>Prosecutions</w:t>
            </w:r>
          </w:p>
        </w:tc>
        <w:tc>
          <w:tcPr>
            <w:tcW w:w="3299" w:type="dxa"/>
            <w:gridSpan w:val="2"/>
          </w:tcPr>
          <w:p w14:paraId="21F02047" w14:textId="3ECF54DC" w:rsidR="00CF72D5" w:rsidRPr="002029AF" w:rsidRDefault="00CF72D5" w:rsidP="00A57FDC">
            <w:pPr>
              <w:pStyle w:val="ARtabletext"/>
            </w:pPr>
            <w:r w:rsidRPr="002029AF">
              <w:t>Total</w:t>
            </w:r>
            <w:r w:rsidR="000A5329" w:rsidRPr="002029AF">
              <w:t xml:space="preserve"> </w:t>
            </w:r>
            <w:r w:rsidRPr="002029AF">
              <w:t>number</w:t>
            </w:r>
            <w:r w:rsidR="000A5329" w:rsidRPr="002029AF">
              <w:t xml:space="preserve"> </w:t>
            </w:r>
            <w:r w:rsidRPr="002029AF">
              <w:t>of</w:t>
            </w:r>
            <w:r w:rsidR="000A5329" w:rsidRPr="002029AF">
              <w:t xml:space="preserve"> </w:t>
            </w:r>
            <w:r w:rsidRPr="002029AF">
              <w:t>prosecutions</w:t>
            </w:r>
            <w:r w:rsidR="00616A34">
              <w:rPr>
                <w:rStyle w:val="FootnoteReference"/>
              </w:rPr>
              <w:footnoteReference w:id="15"/>
            </w:r>
          </w:p>
        </w:tc>
        <w:tc>
          <w:tcPr>
            <w:tcW w:w="1195" w:type="dxa"/>
          </w:tcPr>
          <w:p w14:paraId="1413134B" w14:textId="77777777" w:rsidR="00CF72D5" w:rsidRPr="002029AF" w:rsidDel="00FA770C" w:rsidRDefault="00CF72D5" w:rsidP="00897193">
            <w:pPr>
              <w:pStyle w:val="ARtabletextright"/>
            </w:pPr>
            <w:r w:rsidRPr="002029AF">
              <w:t>1</w:t>
            </w:r>
          </w:p>
        </w:tc>
        <w:tc>
          <w:tcPr>
            <w:tcW w:w="1410" w:type="dxa"/>
            <w:gridSpan w:val="2"/>
          </w:tcPr>
          <w:p w14:paraId="3AD7F35F" w14:textId="77777777" w:rsidR="00CF72D5" w:rsidRPr="002029AF" w:rsidDel="00FA770C" w:rsidRDefault="00CF72D5" w:rsidP="00897193">
            <w:pPr>
              <w:pStyle w:val="ARtabletextright"/>
            </w:pPr>
            <w:r w:rsidRPr="002029AF">
              <w:t>0</w:t>
            </w:r>
          </w:p>
        </w:tc>
        <w:tc>
          <w:tcPr>
            <w:tcW w:w="1510" w:type="dxa"/>
            <w:gridSpan w:val="2"/>
          </w:tcPr>
          <w:p w14:paraId="09A05629" w14:textId="77777777" w:rsidR="00CF72D5" w:rsidRPr="002029AF" w:rsidDel="00FA770C" w:rsidRDefault="00CF72D5" w:rsidP="00897193">
            <w:pPr>
              <w:pStyle w:val="ARtabletextright"/>
            </w:pPr>
            <w:r w:rsidRPr="002029AF">
              <w:t>0</w:t>
            </w:r>
          </w:p>
        </w:tc>
      </w:tr>
      <w:tr w:rsidR="00CF72D5" w:rsidRPr="002029AF" w14:paraId="1205C32D" w14:textId="77777777" w:rsidTr="00A57FDC">
        <w:trPr>
          <w:gridAfter w:val="1"/>
          <w:wAfter w:w="10" w:type="dxa"/>
          <w:cantSplit/>
        </w:trPr>
        <w:tc>
          <w:tcPr>
            <w:tcW w:w="2225" w:type="dxa"/>
            <w:gridSpan w:val="2"/>
          </w:tcPr>
          <w:p w14:paraId="57679508" w14:textId="63B73644" w:rsidR="00CF72D5" w:rsidRPr="002029AF" w:rsidRDefault="00CF72D5" w:rsidP="00897193">
            <w:pPr>
              <w:pStyle w:val="ARtabletext"/>
            </w:pPr>
            <w:r w:rsidRPr="002029AF">
              <w:t>Claims</w:t>
            </w:r>
            <w:r w:rsidR="000A5329" w:rsidRPr="002029AF">
              <w:t xml:space="preserve"> </w:t>
            </w:r>
            <w:r w:rsidRPr="002029AF">
              <w:t>costs</w:t>
            </w:r>
            <w:r w:rsidR="00616A34">
              <w:rPr>
                <w:rStyle w:val="FootnoteReference"/>
              </w:rPr>
              <w:footnoteReference w:id="16"/>
            </w:r>
          </w:p>
        </w:tc>
        <w:tc>
          <w:tcPr>
            <w:tcW w:w="3299" w:type="dxa"/>
            <w:gridSpan w:val="2"/>
          </w:tcPr>
          <w:p w14:paraId="3BCD4AE5" w14:textId="46B33E0A" w:rsidR="00CF72D5" w:rsidRPr="002029AF" w:rsidRDefault="00CF72D5" w:rsidP="00A57FDC">
            <w:pPr>
              <w:pStyle w:val="ARtabletext"/>
            </w:pPr>
            <w:r w:rsidRPr="002029AF">
              <w:t>Average</w:t>
            </w:r>
            <w:r w:rsidR="000A5329" w:rsidRPr="002029AF">
              <w:t xml:space="preserve"> </w:t>
            </w:r>
            <w:r w:rsidRPr="002029AF">
              <w:t>cost</w:t>
            </w:r>
            <w:r w:rsidR="000A5329" w:rsidRPr="002029AF">
              <w:t xml:space="preserve"> </w:t>
            </w:r>
            <w:r w:rsidRPr="002029AF">
              <w:t>per</w:t>
            </w:r>
            <w:r w:rsidR="000A5329" w:rsidRPr="002029AF">
              <w:t xml:space="preserve"> </w:t>
            </w:r>
            <w:r w:rsidRPr="002029AF">
              <w:t>standard</w:t>
            </w:r>
            <w:r w:rsidR="000A5329" w:rsidRPr="002029AF">
              <w:t xml:space="preserve"> </w:t>
            </w:r>
            <w:r w:rsidRPr="002029AF">
              <w:t>claim</w:t>
            </w:r>
            <w:r w:rsidR="00616A34">
              <w:rPr>
                <w:rStyle w:val="FootnoteReference"/>
              </w:rPr>
              <w:footnoteReference w:id="17"/>
            </w:r>
          </w:p>
        </w:tc>
        <w:tc>
          <w:tcPr>
            <w:tcW w:w="1195" w:type="dxa"/>
          </w:tcPr>
          <w:p w14:paraId="4DBEF7C0" w14:textId="77777777" w:rsidR="00CF72D5" w:rsidRPr="002029AF" w:rsidRDefault="00CF72D5" w:rsidP="00897193">
            <w:pPr>
              <w:pStyle w:val="ARtabletextright"/>
            </w:pPr>
            <w:r w:rsidRPr="002029AF">
              <w:t>$79,341</w:t>
            </w:r>
          </w:p>
        </w:tc>
        <w:tc>
          <w:tcPr>
            <w:tcW w:w="1410" w:type="dxa"/>
            <w:gridSpan w:val="2"/>
          </w:tcPr>
          <w:p w14:paraId="3233624F" w14:textId="77777777" w:rsidR="00CF72D5" w:rsidRPr="002029AF" w:rsidRDefault="00CF72D5" w:rsidP="00897193">
            <w:pPr>
              <w:pStyle w:val="ARtabletextright"/>
            </w:pPr>
            <w:r w:rsidRPr="002029AF">
              <w:t>$75,135</w:t>
            </w:r>
          </w:p>
        </w:tc>
        <w:tc>
          <w:tcPr>
            <w:tcW w:w="1510" w:type="dxa"/>
            <w:gridSpan w:val="2"/>
          </w:tcPr>
          <w:p w14:paraId="784F3734" w14:textId="77777777" w:rsidR="00CF72D5" w:rsidRPr="002029AF" w:rsidRDefault="00CF72D5" w:rsidP="00897193">
            <w:pPr>
              <w:pStyle w:val="ARtabletextright"/>
            </w:pPr>
            <w:r w:rsidRPr="002029AF">
              <w:t>$149,100</w:t>
            </w:r>
          </w:p>
        </w:tc>
      </w:tr>
    </w:tbl>
    <w:bookmarkEnd w:id="96"/>
    <w:p w14:paraId="021D3D70" w14:textId="26B7FF94" w:rsidR="00CF72D5" w:rsidRPr="002029AF" w:rsidRDefault="00CF72D5" w:rsidP="00897193">
      <w:pPr>
        <w:pStyle w:val="ARtablefootnote"/>
      </w:pPr>
      <w:r w:rsidRPr="002029AF">
        <w:t>FTE:</w:t>
      </w:r>
      <w:r w:rsidR="000A5329" w:rsidRPr="002029AF">
        <w:t xml:space="preserve"> </w:t>
      </w:r>
      <w:r w:rsidRPr="002029AF">
        <w:t>full-time</w:t>
      </w:r>
      <w:r w:rsidR="000A5329" w:rsidRPr="002029AF">
        <w:t xml:space="preserve"> </w:t>
      </w:r>
      <w:r w:rsidRPr="002029AF">
        <w:t>equivalent;</w:t>
      </w:r>
      <w:r w:rsidR="000A5329" w:rsidRPr="002029AF">
        <w:t xml:space="preserve"> </w:t>
      </w:r>
      <w:r w:rsidRPr="002029AF">
        <w:t>OHS:</w:t>
      </w:r>
      <w:r w:rsidR="000A5329" w:rsidRPr="002029AF">
        <w:t xml:space="preserve"> </w:t>
      </w:r>
      <w:r w:rsidRPr="002029AF">
        <w:t>occupational</w:t>
      </w:r>
      <w:r w:rsidR="000A5329" w:rsidRPr="002029AF">
        <w:t xml:space="preserve"> </w:t>
      </w:r>
      <w:r w:rsidRPr="002029AF">
        <w:t>health</w:t>
      </w:r>
      <w:r w:rsidR="000A5329" w:rsidRPr="002029AF">
        <w:t xml:space="preserve"> </w:t>
      </w:r>
      <w:r w:rsidRPr="002029AF">
        <w:t>and</w:t>
      </w:r>
      <w:r w:rsidR="000A5329" w:rsidRPr="002029AF">
        <w:t xml:space="preserve"> </w:t>
      </w:r>
      <w:r w:rsidRPr="002029AF">
        <w:t>safety.</w:t>
      </w:r>
    </w:p>
    <w:p w14:paraId="61CB2F4A" w14:textId="77777777" w:rsidR="00CF72D5" w:rsidRPr="002029AF" w:rsidRDefault="00CF72D5" w:rsidP="00B442E2">
      <w:pPr>
        <w:pStyle w:val="ARbody"/>
        <w:rPr>
          <w:highlight w:val="yellow"/>
        </w:rPr>
      </w:pPr>
      <w:r w:rsidRPr="002029AF">
        <w:rPr>
          <w:highlight w:val="yellow"/>
        </w:rPr>
        <w:br w:type="page"/>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1372"/>
        <w:gridCol w:w="2451"/>
        <w:gridCol w:w="5816"/>
      </w:tblGrid>
      <w:tr w:rsidR="00CF72D5" w:rsidRPr="002029AF" w14:paraId="31AEB5EC" w14:textId="77777777" w:rsidTr="00897193">
        <w:trPr>
          <w:cantSplit/>
          <w:tblHeader/>
        </w:trPr>
        <w:tc>
          <w:tcPr>
            <w:tcW w:w="1372" w:type="dxa"/>
            <w:vAlign w:val="bottom"/>
          </w:tcPr>
          <w:p w14:paraId="4AE22716" w14:textId="77777777" w:rsidR="00CF72D5" w:rsidRPr="002029AF" w:rsidRDefault="00CF72D5" w:rsidP="00897193">
            <w:pPr>
              <w:pStyle w:val="ARtablecolhead"/>
            </w:pPr>
            <w:r w:rsidRPr="002029AF">
              <w:lastRenderedPageBreak/>
              <w:t>Measure</w:t>
            </w:r>
          </w:p>
        </w:tc>
        <w:tc>
          <w:tcPr>
            <w:tcW w:w="2451" w:type="dxa"/>
            <w:vAlign w:val="bottom"/>
          </w:tcPr>
          <w:p w14:paraId="610264D6" w14:textId="77777777" w:rsidR="00CF72D5" w:rsidRPr="002029AF" w:rsidRDefault="00CF72D5" w:rsidP="00897193">
            <w:pPr>
              <w:pStyle w:val="ARtablecolhead"/>
            </w:pPr>
            <w:r w:rsidRPr="002029AF">
              <w:t>KPI</w:t>
            </w:r>
          </w:p>
        </w:tc>
        <w:tc>
          <w:tcPr>
            <w:tcW w:w="5816" w:type="dxa"/>
            <w:vAlign w:val="bottom"/>
          </w:tcPr>
          <w:p w14:paraId="33E34A86" w14:textId="77777777" w:rsidR="00CF72D5" w:rsidRPr="002029AF" w:rsidRDefault="00CF72D5" w:rsidP="00897193">
            <w:pPr>
              <w:pStyle w:val="ARtablecolhead"/>
            </w:pPr>
            <w:r w:rsidRPr="002029AF">
              <w:t>Performance</w:t>
            </w:r>
          </w:p>
        </w:tc>
      </w:tr>
      <w:tr w:rsidR="00CF72D5" w:rsidRPr="002029AF" w14:paraId="78F390D8" w14:textId="77777777" w:rsidTr="00897193">
        <w:trPr>
          <w:cantSplit/>
          <w:trHeight w:val="220"/>
        </w:trPr>
        <w:tc>
          <w:tcPr>
            <w:tcW w:w="1372" w:type="dxa"/>
          </w:tcPr>
          <w:p w14:paraId="1685DDE7" w14:textId="0985110B" w:rsidR="00CF72D5" w:rsidRPr="002029AF" w:rsidRDefault="00CF72D5" w:rsidP="00897193">
            <w:pPr>
              <w:pStyle w:val="ARtabletext"/>
            </w:pPr>
            <w:r w:rsidRPr="002029AF">
              <w:t>Management</w:t>
            </w:r>
            <w:r w:rsidR="000A5329" w:rsidRPr="002029AF">
              <w:t xml:space="preserve"> </w:t>
            </w:r>
            <w:r w:rsidRPr="002029AF">
              <w:t>commitment</w:t>
            </w:r>
          </w:p>
        </w:tc>
        <w:tc>
          <w:tcPr>
            <w:tcW w:w="2451" w:type="dxa"/>
          </w:tcPr>
          <w:p w14:paraId="289E9F1E" w14:textId="3087EE3A" w:rsidR="00CF72D5" w:rsidRPr="002029AF" w:rsidRDefault="00CF72D5" w:rsidP="00897193">
            <w:pPr>
              <w:pStyle w:val="ARtabletext"/>
            </w:pPr>
            <w:r w:rsidRPr="002029AF">
              <w:t>OHS</w:t>
            </w:r>
            <w:r w:rsidR="000A5329" w:rsidRPr="002029AF">
              <w:t xml:space="preserve"> </w:t>
            </w:r>
            <w:r w:rsidRPr="002029AF">
              <w:t>policy</w:t>
            </w:r>
            <w:r w:rsidR="000A5329" w:rsidRPr="002029AF">
              <w:t xml:space="preserve"> </w:t>
            </w:r>
            <w:r w:rsidRPr="002029AF">
              <w:t>statement</w:t>
            </w:r>
            <w:r w:rsidR="000A5329" w:rsidRPr="002029AF">
              <w:t xml:space="preserve"> </w:t>
            </w:r>
            <w:r w:rsidRPr="002029AF">
              <w:t>and</w:t>
            </w:r>
            <w:r w:rsidR="000A5329" w:rsidRPr="002029AF">
              <w:t xml:space="preserve"> </w:t>
            </w:r>
            <w:r w:rsidRPr="002029AF">
              <w:t>OHS</w:t>
            </w:r>
            <w:r w:rsidR="000A5329" w:rsidRPr="002029AF">
              <w:t xml:space="preserve"> </w:t>
            </w:r>
            <w:r w:rsidRPr="002029AF">
              <w:t>criteria</w:t>
            </w:r>
          </w:p>
        </w:tc>
        <w:tc>
          <w:tcPr>
            <w:tcW w:w="5816" w:type="dxa"/>
          </w:tcPr>
          <w:p w14:paraId="684AFE37" w14:textId="43A160C9" w:rsidR="00CF72D5" w:rsidRPr="002029AF" w:rsidRDefault="00CF72D5" w:rsidP="00897193">
            <w:pPr>
              <w:pStyle w:val="ARtabletext"/>
              <w:rPr>
                <w:i/>
              </w:rPr>
            </w:pP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a</w:t>
            </w:r>
            <w:r w:rsidR="000A5329" w:rsidRPr="002029AF">
              <w:t xml:space="preserve"> </w:t>
            </w:r>
            <w:r w:rsidRPr="002029AF">
              <w:rPr>
                <w:i/>
              </w:rPr>
              <w:t>Health</w:t>
            </w:r>
            <w:r w:rsidR="000A5329" w:rsidRPr="002029AF">
              <w:rPr>
                <w:i/>
              </w:rPr>
              <w:t xml:space="preserve"> </w:t>
            </w:r>
            <w:r w:rsidRPr="002029AF">
              <w:rPr>
                <w:i/>
              </w:rPr>
              <w:t>safety</w:t>
            </w:r>
            <w:r w:rsidR="000A5329" w:rsidRPr="002029AF">
              <w:rPr>
                <w:i/>
              </w:rPr>
              <w:t xml:space="preserve"> </w:t>
            </w:r>
            <w:r w:rsidRPr="002029AF">
              <w:rPr>
                <w:i/>
              </w:rPr>
              <w:t>and</w:t>
            </w:r>
            <w:r w:rsidR="000A5329" w:rsidRPr="002029AF">
              <w:rPr>
                <w:i/>
              </w:rPr>
              <w:t xml:space="preserve"> </w:t>
            </w:r>
            <w:r w:rsidRPr="002029AF">
              <w:rPr>
                <w:i/>
              </w:rPr>
              <w:t>wellbeing</w:t>
            </w:r>
            <w:r w:rsidR="000A5329" w:rsidRPr="002029AF">
              <w:rPr>
                <w:i/>
              </w:rPr>
              <w:t xml:space="preserve"> </w:t>
            </w:r>
            <w:r w:rsidRPr="002029AF">
              <w:rPr>
                <w:i/>
              </w:rPr>
              <w:t>policy</w:t>
            </w:r>
            <w:r w:rsidR="000A5329" w:rsidRPr="002029AF">
              <w:rPr>
                <w:i/>
              </w:rPr>
              <w:t xml:space="preserve"> </w:t>
            </w:r>
            <w:r w:rsidRPr="002029AF">
              <w:t>that</w:t>
            </w:r>
            <w:r w:rsidR="000A5329" w:rsidRPr="002029AF">
              <w:t xml:space="preserve"> </w:t>
            </w:r>
            <w:r w:rsidRPr="002029AF">
              <w:t>outlines</w:t>
            </w:r>
            <w:r w:rsidR="00B95D52">
              <w:t> </w:t>
            </w:r>
            <w:r w:rsidRPr="002029AF">
              <w:t>the</w:t>
            </w:r>
            <w:r w:rsidR="000A5329" w:rsidRPr="002029AF">
              <w:t xml:space="preserve"> </w:t>
            </w:r>
            <w:r w:rsidRPr="002029AF">
              <w:t>department’s</w:t>
            </w:r>
            <w:r w:rsidR="000A5329" w:rsidRPr="002029AF">
              <w:t xml:space="preserve"> </w:t>
            </w:r>
            <w:r w:rsidRPr="002029AF">
              <w:t>commitment</w:t>
            </w:r>
            <w:r w:rsidR="000A5329" w:rsidRPr="002029AF">
              <w:t xml:space="preserve"> </w:t>
            </w:r>
            <w:r w:rsidRPr="002029AF">
              <w:t>to</w:t>
            </w:r>
            <w:r w:rsidR="000A5329" w:rsidRPr="002029AF">
              <w:t xml:space="preserve"> </w:t>
            </w:r>
            <w:r w:rsidRPr="002029AF">
              <w:t>employee</w:t>
            </w:r>
            <w:r w:rsidR="000A5329" w:rsidRPr="002029AF">
              <w:t xml:space="preserve"> </w:t>
            </w:r>
            <w:r w:rsidRPr="002029AF">
              <w:t>health,</w:t>
            </w:r>
            <w:r w:rsidR="000A5329" w:rsidRPr="002029AF">
              <w:t xml:space="preserve"> </w:t>
            </w:r>
            <w:r w:rsidRPr="002029AF">
              <w:t>safety</w:t>
            </w:r>
            <w:r w:rsidR="000A5329" w:rsidRPr="002029AF">
              <w:t xml:space="preserve"> </w:t>
            </w:r>
            <w:r w:rsidRPr="002029AF">
              <w:t>and</w:t>
            </w:r>
            <w:r w:rsidR="000A5329" w:rsidRPr="002029AF">
              <w:t xml:space="preserve"> </w:t>
            </w:r>
            <w:r w:rsidRPr="002029AF">
              <w:t>wellbeing.</w:t>
            </w:r>
            <w:r w:rsidR="000A5329" w:rsidRPr="002029AF">
              <w:t xml:space="preserve"> </w:t>
            </w:r>
            <w:r w:rsidRPr="002029AF">
              <w:t>Health,</w:t>
            </w:r>
            <w:r w:rsidR="000A5329" w:rsidRPr="002029AF">
              <w:t xml:space="preserve"> </w:t>
            </w:r>
            <w:r w:rsidRPr="002029AF">
              <w:t>safety</w:t>
            </w:r>
            <w:r w:rsidR="000A5329" w:rsidRPr="002029AF">
              <w:t xml:space="preserve"> </w:t>
            </w:r>
            <w:r w:rsidRPr="002029AF">
              <w:t>and</w:t>
            </w:r>
            <w:r w:rsidR="000A5329" w:rsidRPr="002029AF">
              <w:t xml:space="preserve"> </w:t>
            </w:r>
            <w:r w:rsidRPr="002029AF">
              <w:t>wellbeing</w:t>
            </w:r>
            <w:r w:rsidR="000A5329" w:rsidRPr="002029AF">
              <w:t xml:space="preserve"> </w:t>
            </w:r>
            <w:r w:rsidRPr="002029AF">
              <w:t>accountabilities</w:t>
            </w:r>
            <w:r w:rsidR="000A5329" w:rsidRPr="002029AF">
              <w:t xml:space="preserve"> </w:t>
            </w:r>
            <w:r w:rsidRPr="002029AF">
              <w:t>were</w:t>
            </w:r>
            <w:r w:rsidR="000A5329" w:rsidRPr="002029AF">
              <w:t xml:space="preserve"> </w:t>
            </w:r>
            <w:r w:rsidRPr="002029AF">
              <w:t>included</w:t>
            </w:r>
            <w:r w:rsidR="000A5329" w:rsidRPr="002029AF">
              <w:t xml:space="preserve"> </w:t>
            </w:r>
            <w:r w:rsidRPr="002029AF">
              <w:t>in</w:t>
            </w:r>
            <w:r w:rsidR="000A5329" w:rsidRPr="002029AF">
              <w:t xml:space="preserve"> </w:t>
            </w:r>
            <w:r w:rsidRPr="002029AF">
              <w:t>all</w:t>
            </w:r>
            <w:r w:rsidR="000A5329" w:rsidRPr="002029AF">
              <w:t xml:space="preserve"> </w:t>
            </w:r>
            <w:r w:rsidRPr="002029AF">
              <w:t>executive</w:t>
            </w:r>
            <w:r w:rsidR="000A5329" w:rsidRPr="002029AF">
              <w:t xml:space="preserve"> </w:t>
            </w:r>
            <w:r w:rsidRPr="002029AF">
              <w:t>performance</w:t>
            </w:r>
            <w:r w:rsidR="000A5329" w:rsidRPr="002029AF">
              <w:t xml:space="preserve"> </w:t>
            </w:r>
            <w:r w:rsidRPr="002029AF">
              <w:t>plans</w:t>
            </w:r>
            <w:r w:rsidR="000A5329" w:rsidRPr="002029AF">
              <w:t xml:space="preserve"> </w:t>
            </w:r>
            <w:r w:rsidRPr="002029AF">
              <w:t>and</w:t>
            </w:r>
            <w:r w:rsidR="000A5329" w:rsidRPr="002029AF">
              <w:t xml:space="preserve"> </w:t>
            </w:r>
            <w:r w:rsidRPr="002029AF">
              <w:t>into</w:t>
            </w:r>
            <w:r w:rsidR="000A5329" w:rsidRPr="002029AF">
              <w:t xml:space="preserve"> </w:t>
            </w:r>
            <w:r w:rsidRPr="002029AF">
              <w:t>the</w:t>
            </w:r>
            <w:r w:rsidR="000A5329" w:rsidRPr="002029AF">
              <w:t xml:space="preserve"> </w:t>
            </w:r>
            <w:r w:rsidRPr="002029AF">
              <w:t>performance</w:t>
            </w:r>
            <w:r w:rsidR="000A5329" w:rsidRPr="002029AF">
              <w:t xml:space="preserve"> </w:t>
            </w:r>
            <w:r w:rsidRPr="002029AF">
              <w:t>and</w:t>
            </w:r>
            <w:r w:rsidR="000A5329" w:rsidRPr="002029AF">
              <w:t xml:space="preserve"> </w:t>
            </w:r>
            <w:r w:rsidRPr="002029AF">
              <w:t>development</w:t>
            </w:r>
            <w:r w:rsidR="000A5329" w:rsidRPr="002029AF">
              <w:t xml:space="preserve"> </w:t>
            </w:r>
            <w:r w:rsidRPr="002029AF">
              <w:t>plans</w:t>
            </w:r>
            <w:r w:rsidR="000A5329" w:rsidRPr="002029AF">
              <w:t xml:space="preserve"> </w:t>
            </w:r>
            <w:r w:rsidRPr="002029AF">
              <w:t>for</w:t>
            </w:r>
            <w:r w:rsidR="000A5329" w:rsidRPr="002029AF">
              <w:t xml:space="preserve"> </w:t>
            </w:r>
            <w:r w:rsidRPr="002029AF">
              <w:t>all</w:t>
            </w:r>
            <w:r w:rsidR="000A5329" w:rsidRPr="002029AF">
              <w:t xml:space="preserve"> </w:t>
            </w:r>
            <w:r w:rsidRPr="002029AF">
              <w:t>employees</w:t>
            </w:r>
            <w:r w:rsidR="000A5329" w:rsidRPr="002029AF">
              <w:t xml:space="preserve"> </w:t>
            </w:r>
            <w:r w:rsidRPr="002029AF">
              <w:t>from</w:t>
            </w:r>
            <w:r w:rsidR="000A5329" w:rsidRPr="002029AF">
              <w:t xml:space="preserve"> </w:t>
            </w:r>
            <w:r w:rsidRPr="002029AF">
              <w:t>2019–20.</w:t>
            </w:r>
          </w:p>
          <w:p w14:paraId="2007664A" w14:textId="6A1AD22F" w:rsidR="00CF72D5" w:rsidRPr="002029AF" w:rsidRDefault="00CF72D5" w:rsidP="00897193">
            <w:pPr>
              <w:pStyle w:val="ARtabletext"/>
            </w:pPr>
            <w:r w:rsidRPr="002029AF">
              <w:t>The</w:t>
            </w:r>
            <w:r w:rsidR="000A5329" w:rsidRPr="002029AF">
              <w:t xml:space="preserve"> </w:t>
            </w:r>
            <w:r w:rsidRPr="002029AF">
              <w:t>department</w:t>
            </w:r>
            <w:r w:rsidR="000A5329" w:rsidRPr="002029AF">
              <w:t xml:space="preserve"> </w:t>
            </w:r>
            <w:r w:rsidRPr="002029AF">
              <w:t>continued</w:t>
            </w:r>
            <w:r w:rsidR="000A5329" w:rsidRPr="002029AF">
              <w:t xml:space="preserve"> </w:t>
            </w:r>
            <w:r w:rsidRPr="002029AF">
              <w:t>to</w:t>
            </w:r>
            <w:r w:rsidR="000A5329" w:rsidRPr="002029AF">
              <w:t xml:space="preserve"> </w:t>
            </w:r>
            <w:r w:rsidRPr="002029AF">
              <w:t>support</w:t>
            </w:r>
            <w:r w:rsidR="000A5329" w:rsidRPr="002029AF">
              <w:t xml:space="preserve"> </w:t>
            </w:r>
            <w:r w:rsidRPr="002029AF">
              <w:t>and</w:t>
            </w:r>
            <w:r w:rsidR="000A5329" w:rsidRPr="002029AF">
              <w:t xml:space="preserve"> </w:t>
            </w:r>
            <w:r w:rsidRPr="002029AF">
              <w:t>participate</w:t>
            </w:r>
            <w:r w:rsidR="000A5329" w:rsidRPr="002029AF">
              <w:t xml:space="preserve"> </w:t>
            </w:r>
            <w:r w:rsidRPr="002029AF">
              <w:t>in</w:t>
            </w:r>
            <w:r w:rsidR="000A5329" w:rsidRPr="002029AF">
              <w:t xml:space="preserve"> </w:t>
            </w:r>
            <w:r w:rsidRPr="002029AF">
              <w:t>the</w:t>
            </w:r>
            <w:r w:rsidR="000A5329" w:rsidRPr="002029AF">
              <w:t xml:space="preserve"> </w:t>
            </w:r>
            <w:r w:rsidRPr="002029AF">
              <w:t>whole-of-government</w:t>
            </w:r>
            <w:r w:rsidR="000A5329" w:rsidRPr="002029AF">
              <w:t xml:space="preserve"> </w:t>
            </w:r>
            <w:r w:rsidRPr="002029AF">
              <w:t>OHS</w:t>
            </w:r>
            <w:r w:rsidR="000A5329" w:rsidRPr="002029AF">
              <w:t xml:space="preserve"> </w:t>
            </w:r>
            <w:r w:rsidRPr="002029AF">
              <w:t>committee</w:t>
            </w:r>
            <w:r w:rsidR="000A5329" w:rsidRPr="002029AF">
              <w:t xml:space="preserve"> </w:t>
            </w:r>
            <w:r w:rsidRPr="002029AF">
              <w:t>structure,</w:t>
            </w:r>
            <w:r w:rsidR="000A5329" w:rsidRPr="002029AF">
              <w:t xml:space="preserve"> </w:t>
            </w:r>
            <w:r w:rsidRPr="002029AF">
              <w:t>established</w:t>
            </w:r>
            <w:r w:rsidR="000A5329" w:rsidRPr="002029AF">
              <w:t xml:space="preserve"> </w:t>
            </w:r>
            <w:r w:rsidRPr="002029AF">
              <w:t>in</w:t>
            </w:r>
            <w:r w:rsidR="000A5329" w:rsidRPr="002029AF">
              <w:t xml:space="preserve"> </w:t>
            </w:r>
            <w:r w:rsidRPr="002029AF">
              <w:t>partnership</w:t>
            </w:r>
            <w:r w:rsidR="000A5329" w:rsidRPr="002029AF">
              <w:t xml:space="preserve"> </w:t>
            </w:r>
            <w:r w:rsidRPr="002029AF">
              <w:t>with</w:t>
            </w:r>
            <w:r w:rsidR="000A5329" w:rsidRPr="002029AF">
              <w:t xml:space="preserve"> </w:t>
            </w:r>
            <w:r w:rsidRPr="002029AF">
              <w:t>unions</w:t>
            </w:r>
            <w:r w:rsidR="000A5329" w:rsidRPr="002029AF">
              <w:t xml:space="preserve"> </w:t>
            </w:r>
            <w:r w:rsidRPr="002029AF">
              <w:t>and</w:t>
            </w:r>
            <w:r w:rsidR="000A5329" w:rsidRPr="002029AF">
              <w:t xml:space="preserve"> </w:t>
            </w:r>
            <w:r w:rsidRPr="002029AF">
              <w:t>WorkSafe,</w:t>
            </w:r>
            <w:r w:rsidR="000A5329" w:rsidRPr="002029AF">
              <w:t xml:space="preserve"> </w:t>
            </w:r>
            <w:r w:rsidRPr="002029AF">
              <w:t>to</w:t>
            </w:r>
            <w:r w:rsidR="000A5329" w:rsidRPr="002029AF">
              <w:t xml:space="preserve"> </w:t>
            </w:r>
            <w:r w:rsidRPr="002029AF">
              <w:t>lead</w:t>
            </w:r>
            <w:r w:rsidR="000A5329" w:rsidRPr="002029AF">
              <w:t xml:space="preserve"> </w:t>
            </w:r>
            <w:r w:rsidRPr="002029AF">
              <w:t>and</w:t>
            </w:r>
            <w:r w:rsidR="000A5329" w:rsidRPr="002029AF">
              <w:t xml:space="preserve"> </w:t>
            </w:r>
            <w:r w:rsidRPr="002029AF">
              <w:t>improve</w:t>
            </w:r>
            <w:r w:rsidR="000A5329" w:rsidRPr="002029AF">
              <w:t xml:space="preserve"> </w:t>
            </w:r>
            <w:r w:rsidRPr="002029AF">
              <w:t>OHS</w:t>
            </w:r>
            <w:r w:rsidR="000A5329" w:rsidRPr="002029AF">
              <w:t xml:space="preserve"> </w:t>
            </w:r>
            <w:r w:rsidRPr="002029AF">
              <w:t>performance</w:t>
            </w:r>
            <w:r w:rsidR="000A5329" w:rsidRPr="002029AF">
              <w:t xml:space="preserve"> </w:t>
            </w:r>
            <w:r w:rsidRPr="002029AF">
              <w:t>in</w:t>
            </w:r>
            <w:r w:rsidR="000A5329" w:rsidRPr="002029AF">
              <w:t xml:space="preserve"> </w:t>
            </w:r>
            <w:r w:rsidRPr="002029AF">
              <w:t>the</w:t>
            </w:r>
            <w:r w:rsidR="000A5329" w:rsidRPr="002029AF">
              <w:t xml:space="preserve"> </w:t>
            </w:r>
            <w:r w:rsidRPr="002029AF">
              <w:t>public</w:t>
            </w:r>
            <w:r w:rsidR="000A5329" w:rsidRPr="002029AF">
              <w:t xml:space="preserve"> </w:t>
            </w:r>
            <w:r w:rsidRPr="002029AF">
              <w:t>sector.</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contribution</w:t>
            </w:r>
            <w:r w:rsidR="000A5329" w:rsidRPr="002029AF">
              <w:t xml:space="preserve"> </w:t>
            </w:r>
            <w:r w:rsidRPr="002029AF">
              <w:t>included</w:t>
            </w:r>
            <w:r w:rsidR="000A5329" w:rsidRPr="002029AF">
              <w:t xml:space="preserve"> </w:t>
            </w:r>
            <w:r w:rsidRPr="002029AF">
              <w:t>establishment</w:t>
            </w:r>
            <w:r w:rsidR="000A5329" w:rsidRPr="002029AF">
              <w:t xml:space="preserve"> </w:t>
            </w:r>
            <w:r w:rsidRPr="002029AF">
              <w:t>and</w:t>
            </w:r>
            <w:r w:rsidR="000A5329" w:rsidRPr="002029AF">
              <w:t xml:space="preserve"> </w:t>
            </w:r>
            <w:r w:rsidRPr="002029AF">
              <w:t>leadership</w:t>
            </w:r>
            <w:r w:rsidR="000A5329" w:rsidRPr="002029AF">
              <w:t xml:space="preserve"> </w:t>
            </w:r>
            <w:r w:rsidRPr="002029AF">
              <w:t>of</w:t>
            </w:r>
            <w:r w:rsidR="000A5329" w:rsidRPr="002029AF">
              <w:t xml:space="preserve"> </w:t>
            </w:r>
            <w:r w:rsidRPr="002029AF">
              <w:t>the</w:t>
            </w:r>
            <w:r w:rsidR="000A5329" w:rsidRPr="002029AF">
              <w:t xml:space="preserve"> </w:t>
            </w:r>
            <w:r w:rsidRPr="002029AF">
              <w:t>working</w:t>
            </w:r>
            <w:r w:rsidR="000A5329" w:rsidRPr="002029AF">
              <w:t xml:space="preserve"> </w:t>
            </w:r>
            <w:r w:rsidRPr="002029AF">
              <w:t>group</w:t>
            </w:r>
            <w:r w:rsidR="000A5329" w:rsidRPr="002029AF">
              <w:t xml:space="preserve"> </w:t>
            </w:r>
            <w:r w:rsidRPr="002029AF">
              <w:t>established</w:t>
            </w:r>
            <w:r w:rsidR="000A5329" w:rsidRPr="002029AF">
              <w:t xml:space="preserve"> </w:t>
            </w:r>
            <w:r w:rsidRPr="002029AF">
              <w:t>under</w:t>
            </w:r>
            <w:r w:rsidR="000A5329" w:rsidRPr="002029AF">
              <w:t xml:space="preserve"> </w:t>
            </w:r>
            <w:r w:rsidRPr="002029AF">
              <w:t>this</w:t>
            </w:r>
            <w:r w:rsidR="000A5329" w:rsidRPr="002029AF">
              <w:t xml:space="preserve"> </w:t>
            </w:r>
            <w:r w:rsidRPr="002029AF">
              <w:t>initiative</w:t>
            </w:r>
            <w:r w:rsidR="000A5329" w:rsidRPr="002029AF">
              <w:t xml:space="preserve"> </w:t>
            </w:r>
            <w:r w:rsidRPr="002029AF">
              <w:t>to</w:t>
            </w:r>
            <w:r w:rsidR="000A5329" w:rsidRPr="002029AF">
              <w:t xml:space="preserve"> </w:t>
            </w:r>
            <w:r w:rsidRPr="002029AF">
              <w:t>improve</w:t>
            </w:r>
            <w:r w:rsidR="000A5329" w:rsidRPr="002029AF">
              <w:t xml:space="preserve"> </w:t>
            </w:r>
            <w:r w:rsidRPr="002029AF">
              <w:t>civility</w:t>
            </w:r>
            <w:r w:rsidR="000A5329" w:rsidRPr="002029AF">
              <w:t xml:space="preserve"> </w:t>
            </w:r>
            <w:r w:rsidRPr="002029AF">
              <w:t>and</w:t>
            </w:r>
            <w:r w:rsidR="000A5329" w:rsidRPr="002029AF">
              <w:t xml:space="preserve"> </w:t>
            </w:r>
            <w:r w:rsidRPr="002029AF">
              <w:t>respect</w:t>
            </w:r>
            <w:r w:rsidR="000A5329" w:rsidRPr="002029AF">
              <w:t xml:space="preserve"> </w:t>
            </w:r>
            <w:r w:rsidRPr="002029AF">
              <w:t>in</w:t>
            </w:r>
            <w:r w:rsidR="000A5329" w:rsidRPr="002029AF">
              <w:t xml:space="preserve"> </w:t>
            </w:r>
            <w:r w:rsidRPr="002029AF">
              <w:t>public</w:t>
            </w:r>
            <w:r w:rsidR="000A5329" w:rsidRPr="002029AF">
              <w:t xml:space="preserve"> </w:t>
            </w:r>
            <w:r w:rsidRPr="002029AF">
              <w:t>sector</w:t>
            </w:r>
            <w:r w:rsidR="000A5329" w:rsidRPr="002029AF">
              <w:t xml:space="preserve"> </w:t>
            </w:r>
            <w:r w:rsidRPr="002029AF">
              <w:t>workplaces.</w:t>
            </w:r>
          </w:p>
          <w:p w14:paraId="56EBE459" w14:textId="7E9D958C" w:rsidR="00CF72D5" w:rsidRPr="002029AF" w:rsidRDefault="00CF72D5" w:rsidP="00897193">
            <w:pPr>
              <w:pStyle w:val="ARtabletext"/>
            </w:pPr>
            <w:r w:rsidRPr="002029AF">
              <w:t>The</w:t>
            </w:r>
            <w:r w:rsidR="000A5329" w:rsidRPr="002029AF">
              <w:t xml:space="preserve"> </w:t>
            </w:r>
            <w:r w:rsidRPr="002029AF">
              <w:t>department’s</w:t>
            </w:r>
            <w:r w:rsidR="000A5329" w:rsidRPr="002029AF">
              <w:t xml:space="preserve"> </w:t>
            </w:r>
            <w:r w:rsidRPr="002029AF">
              <w:t>HSW</w:t>
            </w:r>
            <w:r w:rsidR="000A5329" w:rsidRPr="002029AF">
              <w:t xml:space="preserve"> </w:t>
            </w:r>
            <w:r w:rsidRPr="002029AF">
              <w:t>governance</w:t>
            </w:r>
            <w:r w:rsidR="000A5329" w:rsidRPr="002029AF">
              <w:t xml:space="preserve"> </w:t>
            </w:r>
            <w:r w:rsidRPr="002029AF">
              <w:t>arrangements</w:t>
            </w:r>
            <w:r w:rsidR="000A5329" w:rsidRPr="002029AF">
              <w:t xml:space="preserve"> </w:t>
            </w:r>
            <w:r w:rsidRPr="002029AF">
              <w:t>were</w:t>
            </w:r>
            <w:r w:rsidR="000A5329" w:rsidRPr="002029AF">
              <w:t xml:space="preserve"> </w:t>
            </w:r>
            <w:r w:rsidRPr="002029AF">
              <w:t>reviewed</w:t>
            </w:r>
            <w:r w:rsidR="000A5329" w:rsidRPr="002029AF">
              <w:t xml:space="preserve"> </w:t>
            </w:r>
            <w:r w:rsidRPr="002029AF">
              <w:t>and</w:t>
            </w:r>
            <w:r w:rsidR="000A5329" w:rsidRPr="002029AF">
              <w:t xml:space="preserve"> </w:t>
            </w:r>
            <w:r w:rsidRPr="002029AF">
              <w:t>revised</w:t>
            </w:r>
            <w:r w:rsidR="000A5329" w:rsidRPr="002029AF">
              <w:t xml:space="preserve"> </w:t>
            </w:r>
            <w:r w:rsidRPr="002029AF">
              <w:t>to</w:t>
            </w:r>
            <w:r w:rsidR="000A5329" w:rsidRPr="002029AF">
              <w:t xml:space="preserve"> </w:t>
            </w:r>
            <w:r w:rsidRPr="002029AF">
              <w:t>increase</w:t>
            </w:r>
            <w:r w:rsidR="000A5329" w:rsidRPr="002029AF">
              <w:t xml:space="preserve"> </w:t>
            </w:r>
            <w:r w:rsidRPr="002029AF">
              <w:t>the</w:t>
            </w:r>
            <w:r w:rsidR="000A5329" w:rsidRPr="002029AF">
              <w:t xml:space="preserve"> </w:t>
            </w:r>
            <w:r w:rsidRPr="002029AF">
              <w:t>focus</w:t>
            </w:r>
            <w:r w:rsidR="000A5329" w:rsidRPr="002029AF">
              <w:t xml:space="preserve"> </w:t>
            </w:r>
            <w:r w:rsidRPr="002029AF">
              <w:t>on</w:t>
            </w:r>
            <w:r w:rsidR="000A5329" w:rsidRPr="002029AF">
              <w:t xml:space="preserve"> </w:t>
            </w:r>
            <w:r w:rsidRPr="002029AF">
              <w:t>HSW</w:t>
            </w:r>
            <w:r w:rsidR="000A5329" w:rsidRPr="002029AF">
              <w:t xml:space="preserve"> </w:t>
            </w:r>
            <w:r w:rsidRPr="002029AF">
              <w:t>accountability</w:t>
            </w:r>
            <w:r w:rsidR="000A5329" w:rsidRPr="002029AF">
              <w:t xml:space="preserve"> </w:t>
            </w:r>
            <w:r w:rsidRPr="002029AF">
              <w:t>and</w:t>
            </w:r>
            <w:r w:rsidR="000A5329" w:rsidRPr="002029AF">
              <w:t xml:space="preserve"> </w:t>
            </w:r>
            <w:r w:rsidRPr="002029AF">
              <w:t>due</w:t>
            </w:r>
            <w:r w:rsidR="000A5329" w:rsidRPr="002029AF">
              <w:t xml:space="preserve"> </w:t>
            </w:r>
            <w:r w:rsidRPr="002029AF">
              <w:t>diligence,</w:t>
            </w:r>
            <w:r w:rsidR="000A5329" w:rsidRPr="002029AF">
              <w:t xml:space="preserve"> </w:t>
            </w:r>
            <w:r w:rsidRPr="002029AF">
              <w:t>including</w:t>
            </w:r>
            <w:r w:rsidR="000A5329" w:rsidRPr="002029AF">
              <w:t xml:space="preserve"> </w:t>
            </w:r>
            <w:r w:rsidRPr="002029AF">
              <w:t>greater</w:t>
            </w:r>
            <w:r w:rsidR="000A5329" w:rsidRPr="002029AF">
              <w:t xml:space="preserve"> </w:t>
            </w:r>
            <w:r w:rsidRPr="002029AF">
              <w:t>visibility</w:t>
            </w:r>
            <w:r w:rsidR="000A5329" w:rsidRPr="002029AF">
              <w:t xml:space="preserve"> </w:t>
            </w:r>
            <w:r w:rsidRPr="002029AF">
              <w:t>of</w:t>
            </w:r>
            <w:r w:rsidR="000A5329" w:rsidRPr="002029AF">
              <w:t xml:space="preserve"> </w:t>
            </w:r>
            <w:r w:rsidRPr="002029AF">
              <w:t>HSW</w:t>
            </w:r>
            <w:r w:rsidR="000A5329" w:rsidRPr="002029AF">
              <w:t xml:space="preserve"> </w:t>
            </w:r>
            <w:r w:rsidRPr="002029AF">
              <w:t>performance</w:t>
            </w:r>
            <w:r w:rsidR="000A5329" w:rsidRPr="002029AF">
              <w:t xml:space="preserve"> </w:t>
            </w:r>
            <w:r w:rsidRPr="002029AF">
              <w:t>to</w:t>
            </w:r>
            <w:r w:rsidR="000A5329" w:rsidRPr="002029AF">
              <w:t xml:space="preserve"> </w:t>
            </w:r>
            <w:r w:rsidRPr="002029AF">
              <w:t>the</w:t>
            </w:r>
            <w:r w:rsidR="000A5329" w:rsidRPr="002029AF">
              <w:t xml:space="preserve"> </w:t>
            </w:r>
            <w:r w:rsidRPr="002029AF">
              <w:t>executive</w:t>
            </w:r>
            <w:r w:rsidR="000A5329" w:rsidRPr="002029AF">
              <w:t xml:space="preserve"> </w:t>
            </w:r>
            <w:r w:rsidRPr="002029AF">
              <w:t>board.</w:t>
            </w:r>
          </w:p>
          <w:p w14:paraId="32A3FE67" w14:textId="2939AA0A" w:rsidR="00CF72D5" w:rsidRPr="002029AF" w:rsidRDefault="00CF72D5" w:rsidP="00897193">
            <w:pPr>
              <w:pStyle w:val="ARtabletext"/>
            </w:pPr>
            <w:r w:rsidRPr="002029AF">
              <w:t>Consultation</w:t>
            </w:r>
            <w:r w:rsidR="000A5329" w:rsidRPr="002029AF">
              <w:t xml:space="preserve"> </w:t>
            </w:r>
            <w:r w:rsidRPr="002029AF">
              <w:t>Committees</w:t>
            </w:r>
            <w:r w:rsidR="000A5329" w:rsidRPr="002029AF">
              <w:t xml:space="preserve"> </w:t>
            </w:r>
            <w:r w:rsidRPr="002029AF">
              <w:t>continued</w:t>
            </w:r>
            <w:r w:rsidR="000A5329" w:rsidRPr="002029AF">
              <w:t xml:space="preserve"> </w:t>
            </w:r>
            <w:r w:rsidRPr="002029AF">
              <w:t>to</w:t>
            </w:r>
            <w:r w:rsidR="000A5329" w:rsidRPr="002029AF">
              <w:t xml:space="preserve"> </w:t>
            </w:r>
            <w:r w:rsidRPr="002029AF">
              <w:t>lead</w:t>
            </w:r>
            <w:r w:rsidR="000A5329" w:rsidRPr="002029AF">
              <w:t xml:space="preserve"> </w:t>
            </w:r>
            <w:r w:rsidRPr="002029AF">
              <w:t>proactive</w:t>
            </w:r>
            <w:r w:rsidR="000A5329" w:rsidRPr="002029AF">
              <w:t xml:space="preserve"> </w:t>
            </w:r>
            <w:r w:rsidRPr="002029AF">
              <w:t>and</w:t>
            </w:r>
            <w:r w:rsidR="000A5329" w:rsidRPr="002029AF">
              <w:t xml:space="preserve"> </w:t>
            </w:r>
            <w:r w:rsidRPr="002029AF">
              <w:t>preventive</w:t>
            </w:r>
            <w:r w:rsidR="000A5329" w:rsidRPr="002029AF">
              <w:t xml:space="preserve"> </w:t>
            </w:r>
            <w:r w:rsidRPr="002029AF">
              <w:t>activity</w:t>
            </w:r>
            <w:r w:rsidR="000A5329" w:rsidRPr="002029AF">
              <w:t xml:space="preserve"> </w:t>
            </w:r>
            <w:r w:rsidRPr="002029AF">
              <w:t>to</w:t>
            </w:r>
            <w:r w:rsidR="000A5329" w:rsidRPr="002029AF">
              <w:t xml:space="preserve"> </w:t>
            </w:r>
            <w:r w:rsidRPr="002029AF">
              <w:t>protect</w:t>
            </w:r>
            <w:r w:rsidR="000A5329" w:rsidRPr="002029AF">
              <w:t xml:space="preserve"> </w:t>
            </w:r>
            <w:r w:rsidRPr="002029AF">
              <w:t>and</w:t>
            </w:r>
            <w:r w:rsidR="000A5329" w:rsidRPr="002029AF">
              <w:t xml:space="preserve"> </w:t>
            </w:r>
            <w:r w:rsidRPr="002029AF">
              <w:t>improve</w:t>
            </w:r>
            <w:r w:rsidR="000A5329" w:rsidRPr="002029AF">
              <w:t xml:space="preserve"> </w:t>
            </w:r>
            <w:r w:rsidRPr="002029AF">
              <w:t>the</w:t>
            </w:r>
            <w:r w:rsidR="000A5329" w:rsidRPr="002029AF">
              <w:t xml:space="preserve"> </w:t>
            </w:r>
            <w:r w:rsidRPr="002029AF">
              <w:t>mental</w:t>
            </w:r>
            <w:r w:rsidR="000A5329" w:rsidRPr="002029AF">
              <w:t xml:space="preserve"> </w:t>
            </w:r>
            <w:r w:rsidRPr="002029AF">
              <w:t>and</w:t>
            </w:r>
            <w:r w:rsidR="000A5329" w:rsidRPr="002029AF">
              <w:t xml:space="preserve"> </w:t>
            </w:r>
            <w:r w:rsidRPr="002029AF">
              <w:t>physical</w:t>
            </w:r>
            <w:r w:rsidR="000A5329" w:rsidRPr="002029AF">
              <w:t xml:space="preserve"> </w:t>
            </w:r>
            <w:r w:rsidRPr="002029AF">
              <w:t>health,</w:t>
            </w:r>
            <w:r w:rsidR="000A5329" w:rsidRPr="002029AF">
              <w:t xml:space="preserve"> </w:t>
            </w:r>
            <w:r w:rsidRPr="002029AF">
              <w:t>safety</w:t>
            </w:r>
            <w:r w:rsidR="000A5329" w:rsidRPr="002029AF">
              <w:t xml:space="preserve"> </w:t>
            </w:r>
            <w:r w:rsidRPr="002029AF">
              <w:t>and</w:t>
            </w:r>
            <w:r w:rsidR="000A5329" w:rsidRPr="002029AF">
              <w:t xml:space="preserve"> </w:t>
            </w:r>
            <w:r w:rsidRPr="002029AF">
              <w:t>wellbeing</w:t>
            </w:r>
            <w:r w:rsidR="000A5329" w:rsidRPr="002029AF">
              <w:t xml:space="preserve"> </w:t>
            </w:r>
            <w:r w:rsidRPr="002029AF">
              <w:t>of</w:t>
            </w:r>
            <w:r w:rsidR="000A5329" w:rsidRPr="002029AF">
              <w:t xml:space="preserve"> </w:t>
            </w:r>
            <w:r w:rsidRPr="002029AF">
              <w:t>staff.</w:t>
            </w:r>
          </w:p>
          <w:p w14:paraId="5863879D" w14:textId="352CC021" w:rsidR="00CF72D5" w:rsidRPr="002029AF" w:rsidRDefault="00CF72D5" w:rsidP="00897193">
            <w:pPr>
              <w:pStyle w:val="ARtabletext"/>
            </w:pPr>
            <w:r w:rsidRPr="002029AF">
              <w:t>Continued</w:t>
            </w:r>
            <w:r w:rsidR="000A5329" w:rsidRPr="002029AF">
              <w:t xml:space="preserve"> </w:t>
            </w:r>
            <w:r w:rsidRPr="002029AF">
              <w:t>review</w:t>
            </w:r>
            <w:r w:rsidR="000A5329" w:rsidRPr="002029AF">
              <w:t xml:space="preserve"> </w:t>
            </w:r>
            <w:r w:rsidRPr="002029AF">
              <w:t>and</w:t>
            </w:r>
            <w:r w:rsidR="000A5329" w:rsidRPr="002029AF">
              <w:t xml:space="preserve"> </w:t>
            </w:r>
            <w:r w:rsidRPr="002029AF">
              <w:t>development</w:t>
            </w:r>
            <w:r w:rsidR="000A5329" w:rsidRPr="002029AF">
              <w:t xml:space="preserve"> </w:t>
            </w:r>
            <w:r w:rsidRPr="002029AF">
              <w:t>of</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health</w:t>
            </w:r>
            <w:r w:rsidR="000A5329" w:rsidRPr="002029AF">
              <w:t xml:space="preserve"> </w:t>
            </w:r>
            <w:r w:rsidRPr="002029AF">
              <w:t>and</w:t>
            </w:r>
            <w:r w:rsidR="000A5329" w:rsidRPr="002029AF">
              <w:t xml:space="preserve"> </w:t>
            </w:r>
            <w:r w:rsidRPr="002029AF">
              <w:t>safety</w:t>
            </w:r>
            <w:r w:rsidR="000A5329" w:rsidRPr="002029AF">
              <w:t xml:space="preserve"> </w:t>
            </w:r>
            <w:r w:rsidRPr="002029AF">
              <w:t>management</w:t>
            </w:r>
            <w:r w:rsidR="000A5329" w:rsidRPr="002029AF">
              <w:t xml:space="preserve"> </w:t>
            </w:r>
            <w:r w:rsidRPr="002029AF">
              <w:t>system</w:t>
            </w:r>
            <w:r w:rsidR="000A5329" w:rsidRPr="002029AF">
              <w:t xml:space="preserve"> </w:t>
            </w:r>
            <w:r w:rsidRPr="002029AF">
              <w:t>content</w:t>
            </w:r>
            <w:r w:rsidR="000A5329" w:rsidRPr="002029AF">
              <w:t xml:space="preserve"> </w:t>
            </w:r>
            <w:r w:rsidRPr="002029AF">
              <w:t>incorporates</w:t>
            </w:r>
            <w:r w:rsidR="000A5329" w:rsidRPr="002029AF">
              <w:t xml:space="preserve"> </w:t>
            </w:r>
            <w:r w:rsidRPr="002029AF">
              <w:t>consultation</w:t>
            </w:r>
            <w:r w:rsidR="000A5329" w:rsidRPr="002029AF">
              <w:t xml:space="preserve"> </w:t>
            </w:r>
            <w:r w:rsidRPr="002029AF">
              <w:t>with</w:t>
            </w:r>
            <w:r w:rsidR="000A5329" w:rsidRPr="002029AF">
              <w:t xml:space="preserve"> </w:t>
            </w:r>
            <w:r w:rsidRPr="002029AF">
              <w:t>department</w:t>
            </w:r>
            <w:r w:rsidR="000A5329" w:rsidRPr="002029AF">
              <w:t xml:space="preserve"> </w:t>
            </w:r>
            <w:r w:rsidRPr="002029AF">
              <w:t>employees,</w:t>
            </w:r>
            <w:r w:rsidR="000A5329" w:rsidRPr="002029AF">
              <w:t xml:space="preserve"> </w:t>
            </w:r>
            <w:r w:rsidRPr="002029AF">
              <w:t>health</w:t>
            </w:r>
            <w:r w:rsidR="000A5329" w:rsidRPr="002029AF">
              <w:t xml:space="preserve"> </w:t>
            </w:r>
            <w:r w:rsidRPr="002029AF">
              <w:t>and</w:t>
            </w:r>
            <w:r w:rsidR="000A5329" w:rsidRPr="002029AF">
              <w:t xml:space="preserve"> </w:t>
            </w:r>
            <w:r w:rsidRPr="002029AF">
              <w:t>safety</w:t>
            </w:r>
            <w:r w:rsidR="000A5329" w:rsidRPr="002029AF">
              <w:t xml:space="preserve"> </w:t>
            </w:r>
            <w:r w:rsidRPr="002029AF">
              <w:t>representatives</w:t>
            </w:r>
            <w:r w:rsidR="000A5329" w:rsidRPr="002029AF">
              <w:t xml:space="preserve"> </w:t>
            </w:r>
            <w:r w:rsidRPr="002029AF">
              <w:t>and</w:t>
            </w:r>
            <w:r w:rsidR="000A5329" w:rsidRPr="002029AF">
              <w:t xml:space="preserve"> </w:t>
            </w:r>
            <w:r w:rsidRPr="002029AF">
              <w:t>senior</w:t>
            </w:r>
            <w:r w:rsidR="000A5329" w:rsidRPr="002029AF">
              <w:t xml:space="preserve"> </w:t>
            </w:r>
            <w:r w:rsidRPr="002029AF">
              <w:t>management.</w:t>
            </w:r>
          </w:p>
          <w:p w14:paraId="7D5675D6" w14:textId="4A3E1040" w:rsidR="00CF72D5" w:rsidRPr="002029AF" w:rsidRDefault="00CF72D5" w:rsidP="00897193">
            <w:pPr>
              <w:pStyle w:val="ARtabletext"/>
            </w:pPr>
            <w:r w:rsidRPr="002029AF">
              <w:t>Workers</w:t>
            </w:r>
            <w:r w:rsidR="000A5329" w:rsidRPr="002029AF">
              <w:t xml:space="preserve"> </w:t>
            </w:r>
            <w:r w:rsidRPr="002029AF">
              <w:t>compensation</w:t>
            </w:r>
            <w:r w:rsidR="000A5329" w:rsidRPr="002029AF">
              <w:t xml:space="preserve"> </w:t>
            </w:r>
            <w:r w:rsidRPr="002029AF">
              <w:t>performance</w:t>
            </w:r>
            <w:r w:rsidR="000A5329" w:rsidRPr="002029AF">
              <w:t xml:space="preserve"> </w:t>
            </w:r>
            <w:r w:rsidRPr="002029AF">
              <w:t>reports</w:t>
            </w:r>
            <w:r w:rsidR="000A5329" w:rsidRPr="002029AF">
              <w:t xml:space="preserve"> </w:t>
            </w:r>
            <w:r w:rsidRPr="002029AF">
              <w:t>are</w:t>
            </w:r>
            <w:r w:rsidR="000A5329" w:rsidRPr="002029AF">
              <w:t xml:space="preserve"> </w:t>
            </w:r>
            <w:r w:rsidRPr="002029AF">
              <w:t>provided</w:t>
            </w:r>
            <w:r w:rsidR="000A5329" w:rsidRPr="002029AF">
              <w:t xml:space="preserve"> </w:t>
            </w:r>
            <w:r w:rsidRPr="002029AF">
              <w:t>to</w:t>
            </w:r>
            <w:r w:rsidR="000A5329" w:rsidRPr="002029AF">
              <w:t xml:space="preserve"> </w:t>
            </w:r>
            <w:r w:rsidRPr="002029AF">
              <w:t>senior</w:t>
            </w:r>
            <w:r w:rsidR="000A5329" w:rsidRPr="002029AF">
              <w:t xml:space="preserve"> </w:t>
            </w:r>
            <w:r w:rsidRPr="002029AF">
              <w:t>leaders</w:t>
            </w:r>
            <w:r w:rsidR="000A5329" w:rsidRPr="002029AF">
              <w:t xml:space="preserve"> </w:t>
            </w:r>
            <w:r w:rsidRPr="002029AF">
              <w:t>on</w:t>
            </w:r>
            <w:r w:rsidR="000A5329" w:rsidRPr="002029AF">
              <w:t xml:space="preserve"> </w:t>
            </w:r>
            <w:r w:rsidRPr="002029AF">
              <w:t>a</w:t>
            </w:r>
            <w:r w:rsidR="000A5329" w:rsidRPr="002029AF">
              <w:t xml:space="preserve"> </w:t>
            </w:r>
            <w:r w:rsidRPr="002029AF">
              <w:t>monthly</w:t>
            </w:r>
            <w:r w:rsidR="000A5329" w:rsidRPr="002029AF">
              <w:t xml:space="preserve"> </w:t>
            </w:r>
            <w:r w:rsidRPr="002029AF">
              <w:t>basis.</w:t>
            </w:r>
            <w:r w:rsidR="000A5329" w:rsidRPr="002029AF">
              <w:t xml:space="preserve"> </w:t>
            </w:r>
            <w:r w:rsidRPr="002029AF">
              <w:t>Middle</w:t>
            </w:r>
            <w:r w:rsidR="000A5329" w:rsidRPr="002029AF">
              <w:t xml:space="preserve"> </w:t>
            </w:r>
            <w:r w:rsidRPr="002029AF">
              <w:t>and</w:t>
            </w:r>
            <w:r w:rsidR="000A5329" w:rsidRPr="002029AF">
              <w:t xml:space="preserve"> </w:t>
            </w:r>
            <w:r w:rsidRPr="002029AF">
              <w:t>senior</w:t>
            </w:r>
            <w:r w:rsidR="000A5329" w:rsidRPr="002029AF">
              <w:t xml:space="preserve"> </w:t>
            </w:r>
            <w:r w:rsidRPr="002029AF">
              <w:t>managers</w:t>
            </w:r>
            <w:r w:rsidR="000A5329" w:rsidRPr="002029AF">
              <w:t xml:space="preserve"> </w:t>
            </w:r>
            <w:r w:rsidRPr="002029AF">
              <w:t>have</w:t>
            </w:r>
            <w:r w:rsidR="000A5329" w:rsidRPr="002029AF">
              <w:t xml:space="preserve"> </w:t>
            </w:r>
            <w:r w:rsidRPr="002029AF">
              <w:t>desktop</w:t>
            </w:r>
            <w:r w:rsidR="000A5329" w:rsidRPr="002029AF">
              <w:t xml:space="preserve"> </w:t>
            </w:r>
            <w:r w:rsidRPr="002029AF">
              <w:t>access</w:t>
            </w:r>
            <w:r w:rsidR="000A5329" w:rsidRPr="002029AF">
              <w:t xml:space="preserve"> </w:t>
            </w:r>
            <w:r w:rsidRPr="002029AF">
              <w:t>to</w:t>
            </w:r>
            <w:r w:rsidR="000A5329" w:rsidRPr="002029AF">
              <w:t xml:space="preserve"> </w:t>
            </w:r>
            <w:r w:rsidRPr="002029AF">
              <w:t>health</w:t>
            </w:r>
            <w:r w:rsidR="000A5329" w:rsidRPr="002029AF">
              <w:t xml:space="preserve"> </w:t>
            </w:r>
            <w:r w:rsidRPr="002029AF">
              <w:t>and</w:t>
            </w:r>
            <w:r w:rsidR="000A5329" w:rsidRPr="002029AF">
              <w:t xml:space="preserve"> </w:t>
            </w:r>
            <w:r w:rsidRPr="002029AF">
              <w:t>safety</w:t>
            </w:r>
            <w:r w:rsidR="000A5329" w:rsidRPr="002029AF">
              <w:t xml:space="preserve"> </w:t>
            </w:r>
            <w:r w:rsidRPr="002029AF">
              <w:t>performance</w:t>
            </w:r>
            <w:r w:rsidR="000A5329" w:rsidRPr="002029AF">
              <w:t xml:space="preserve"> </w:t>
            </w:r>
            <w:r w:rsidRPr="002029AF">
              <w:t>reports</w:t>
            </w:r>
            <w:r w:rsidR="000A5329" w:rsidRPr="002029AF">
              <w:t xml:space="preserve"> </w:t>
            </w:r>
            <w:r w:rsidRPr="002029AF">
              <w:t>through</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corporate</w:t>
            </w:r>
            <w:r w:rsidR="000A5329" w:rsidRPr="002029AF">
              <w:t xml:space="preserve"> </w:t>
            </w:r>
            <w:r w:rsidRPr="002029AF">
              <w:t>reporting</w:t>
            </w:r>
            <w:r w:rsidR="000A5329" w:rsidRPr="002029AF">
              <w:t xml:space="preserve"> </w:t>
            </w:r>
            <w:r w:rsidRPr="002029AF">
              <w:t>tool.</w:t>
            </w:r>
          </w:p>
        </w:tc>
      </w:tr>
      <w:tr w:rsidR="00CF72D5" w:rsidRPr="002029AF" w14:paraId="4809EB9C" w14:textId="77777777" w:rsidTr="00897193">
        <w:trPr>
          <w:cantSplit/>
          <w:trHeight w:val="130"/>
        </w:trPr>
        <w:tc>
          <w:tcPr>
            <w:tcW w:w="1372" w:type="dxa"/>
          </w:tcPr>
          <w:p w14:paraId="3308A348" w14:textId="033C6DA9" w:rsidR="00CF72D5" w:rsidRPr="002029AF" w:rsidRDefault="00CF72D5" w:rsidP="00897193">
            <w:pPr>
              <w:pStyle w:val="ARtabletext"/>
            </w:pPr>
            <w:r w:rsidRPr="002029AF">
              <w:t>Consultation</w:t>
            </w:r>
            <w:r w:rsidR="000A5329" w:rsidRPr="002029AF">
              <w:t xml:space="preserve"> </w:t>
            </w:r>
            <w:r w:rsidRPr="002029AF">
              <w:t>and</w:t>
            </w:r>
            <w:r w:rsidR="000A5329" w:rsidRPr="002029AF">
              <w:t xml:space="preserve"> </w:t>
            </w:r>
            <w:r w:rsidRPr="002029AF">
              <w:t>participation</w:t>
            </w:r>
          </w:p>
        </w:tc>
        <w:tc>
          <w:tcPr>
            <w:tcW w:w="2451" w:type="dxa"/>
          </w:tcPr>
          <w:p w14:paraId="6D6CE1E3" w14:textId="7BC5E793" w:rsidR="00CF72D5" w:rsidRPr="002029AF" w:rsidRDefault="00CF72D5" w:rsidP="00897193">
            <w:pPr>
              <w:pStyle w:val="ARtabletext"/>
            </w:pPr>
            <w:r w:rsidRPr="002029AF">
              <w:t>Designated</w:t>
            </w:r>
            <w:r w:rsidR="000A5329" w:rsidRPr="002029AF">
              <w:t xml:space="preserve"> </w:t>
            </w:r>
            <w:r w:rsidRPr="002029AF">
              <w:t>work</w:t>
            </w:r>
            <w:r w:rsidR="000A5329" w:rsidRPr="002029AF">
              <w:t xml:space="preserve"> </w:t>
            </w:r>
            <w:r w:rsidRPr="002029AF">
              <w:t>group</w:t>
            </w:r>
            <w:r w:rsidR="000A5329" w:rsidRPr="002029AF">
              <w:t xml:space="preserve"> </w:t>
            </w:r>
            <w:r w:rsidRPr="002029AF">
              <w:t>structures</w:t>
            </w:r>
            <w:r w:rsidR="000A5329" w:rsidRPr="002029AF">
              <w:t xml:space="preserve"> </w:t>
            </w:r>
            <w:r w:rsidRPr="002029AF">
              <w:t>and</w:t>
            </w:r>
            <w:r w:rsidR="000A5329" w:rsidRPr="002029AF">
              <w:t xml:space="preserve"> </w:t>
            </w:r>
            <w:r w:rsidRPr="002029AF">
              <w:t>issue</w:t>
            </w:r>
            <w:r w:rsidR="000A5329" w:rsidRPr="002029AF">
              <w:t xml:space="preserve"> </w:t>
            </w:r>
            <w:r w:rsidRPr="002029AF">
              <w:t>resolution</w:t>
            </w:r>
            <w:r w:rsidR="000A5329" w:rsidRPr="002029AF">
              <w:t xml:space="preserve"> </w:t>
            </w:r>
            <w:r w:rsidRPr="002029AF">
              <w:t>procedures</w:t>
            </w:r>
          </w:p>
        </w:tc>
        <w:tc>
          <w:tcPr>
            <w:tcW w:w="5816" w:type="dxa"/>
          </w:tcPr>
          <w:p w14:paraId="0522AE6A" w14:textId="38D7D9F7" w:rsidR="00CF72D5" w:rsidRPr="002029AF" w:rsidRDefault="00CF72D5" w:rsidP="00897193">
            <w:pPr>
              <w:pStyle w:val="ARtabletext"/>
            </w:pP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in</w:t>
            </w:r>
            <w:r w:rsidR="000A5329" w:rsidRPr="002029AF">
              <w:t xml:space="preserve"> </w:t>
            </w:r>
            <w:r w:rsidRPr="002029AF">
              <w:t>place</w:t>
            </w:r>
            <w:r w:rsidR="000A5329" w:rsidRPr="002029AF">
              <w:t xml:space="preserve"> </w:t>
            </w:r>
            <w:r w:rsidRPr="002029AF">
              <w:t>a</w:t>
            </w:r>
            <w:r w:rsidR="000A5329" w:rsidRPr="002029AF">
              <w:t xml:space="preserve"> </w:t>
            </w:r>
            <w:r w:rsidRPr="002029AF">
              <w:t>comprehensive</w:t>
            </w:r>
            <w:r w:rsidR="000A5329" w:rsidRPr="002029AF">
              <w:t xml:space="preserve"> </w:t>
            </w:r>
            <w:r w:rsidRPr="002029AF">
              <w:t>cascading</w:t>
            </w:r>
            <w:r w:rsidR="000A5329" w:rsidRPr="002029AF">
              <w:t xml:space="preserve"> </w:t>
            </w:r>
            <w:r w:rsidRPr="002029AF">
              <w:t>health</w:t>
            </w:r>
            <w:r w:rsidR="000A5329" w:rsidRPr="002029AF">
              <w:t xml:space="preserve"> </w:t>
            </w:r>
            <w:r w:rsidRPr="002029AF">
              <w:t>and</w:t>
            </w:r>
            <w:r w:rsidR="000A5329" w:rsidRPr="002029AF">
              <w:t xml:space="preserve"> </w:t>
            </w:r>
            <w:r w:rsidRPr="002029AF">
              <w:t>safety</w:t>
            </w:r>
            <w:r w:rsidR="000A5329" w:rsidRPr="002029AF">
              <w:t xml:space="preserve"> </w:t>
            </w:r>
            <w:r w:rsidRPr="002029AF">
              <w:t>consultation</w:t>
            </w:r>
            <w:r w:rsidR="000A5329" w:rsidRPr="002029AF">
              <w:t xml:space="preserve"> </w:t>
            </w:r>
            <w:r w:rsidRPr="002029AF">
              <w:t>structure</w:t>
            </w:r>
            <w:r w:rsidR="000A5329" w:rsidRPr="002029AF">
              <w:t xml:space="preserve"> </w:t>
            </w:r>
            <w:r w:rsidRPr="002029AF">
              <w:t>comprising</w:t>
            </w:r>
            <w:r w:rsidR="000A5329" w:rsidRPr="002029AF">
              <w:t xml:space="preserve"> </w:t>
            </w:r>
            <w:r w:rsidRPr="002029AF">
              <w:t>committees</w:t>
            </w:r>
            <w:r w:rsidR="000A5329" w:rsidRPr="002029AF">
              <w:t xml:space="preserve"> </w:t>
            </w:r>
            <w:r w:rsidRPr="002029AF">
              <w:t>at</w:t>
            </w:r>
            <w:r w:rsidR="000A5329" w:rsidRPr="002029AF">
              <w:t xml:space="preserve"> </w:t>
            </w:r>
            <w:r w:rsidRPr="002029AF">
              <w:t>the</w:t>
            </w:r>
            <w:r w:rsidR="000A5329" w:rsidRPr="002029AF">
              <w:t xml:space="preserve"> </w:t>
            </w:r>
            <w:r w:rsidRPr="002029AF">
              <w:t>area,</w:t>
            </w:r>
            <w:r w:rsidR="000A5329" w:rsidRPr="002029AF">
              <w:t xml:space="preserve"> </w:t>
            </w:r>
            <w:r w:rsidRPr="002029AF">
              <w:t>divisional</w:t>
            </w:r>
            <w:r w:rsidR="000A5329" w:rsidRPr="002029AF">
              <w:t xml:space="preserve"> </w:t>
            </w:r>
            <w:r w:rsidRPr="002029AF">
              <w:t>and</w:t>
            </w:r>
            <w:r w:rsidR="000A5329" w:rsidRPr="002029AF">
              <w:t xml:space="preserve"> </w:t>
            </w:r>
            <w:r w:rsidRPr="002029AF">
              <w:t>statewide</w:t>
            </w:r>
            <w:r w:rsidR="000A5329" w:rsidRPr="002029AF">
              <w:t xml:space="preserve"> </w:t>
            </w:r>
            <w:r w:rsidRPr="002029AF">
              <w:t>level</w:t>
            </w:r>
            <w:r w:rsidR="000A5329" w:rsidRPr="002029AF">
              <w:t xml:space="preserve"> </w:t>
            </w:r>
            <w:r w:rsidRPr="002029AF">
              <w:t>which</w:t>
            </w:r>
            <w:r w:rsidR="000A5329" w:rsidRPr="002029AF">
              <w:t xml:space="preserve"> </w:t>
            </w:r>
            <w:r w:rsidRPr="002029AF">
              <w:t>all</w:t>
            </w:r>
            <w:r w:rsidR="000A5329" w:rsidRPr="002029AF">
              <w:t xml:space="preserve"> </w:t>
            </w:r>
            <w:r w:rsidRPr="002029AF">
              <w:t>meet</w:t>
            </w:r>
            <w:r w:rsidR="000A5329" w:rsidRPr="002029AF">
              <w:t xml:space="preserve"> </w:t>
            </w:r>
            <w:r w:rsidRPr="002029AF">
              <w:t>quarterly.</w:t>
            </w:r>
            <w:r w:rsidR="000A5329" w:rsidRPr="002029AF">
              <w:t xml:space="preserve"> </w:t>
            </w:r>
            <w:r w:rsidRPr="002029AF">
              <w:t>Committee</w:t>
            </w:r>
            <w:r w:rsidR="000A5329" w:rsidRPr="002029AF">
              <w:t xml:space="preserve"> </w:t>
            </w:r>
            <w:r w:rsidRPr="002029AF">
              <w:t>meetings</w:t>
            </w:r>
            <w:r w:rsidR="000A5329" w:rsidRPr="002029AF">
              <w:t xml:space="preserve"> </w:t>
            </w:r>
            <w:r w:rsidRPr="002029AF">
              <w:t>are</w:t>
            </w:r>
            <w:r w:rsidR="000A5329" w:rsidRPr="002029AF">
              <w:t xml:space="preserve"> </w:t>
            </w:r>
            <w:r w:rsidRPr="002029AF">
              <w:t>chaired</w:t>
            </w:r>
            <w:r w:rsidR="000A5329" w:rsidRPr="002029AF">
              <w:t xml:space="preserve"> </w:t>
            </w:r>
            <w:r w:rsidRPr="002029AF">
              <w:t>by</w:t>
            </w:r>
            <w:r w:rsidR="000A5329" w:rsidRPr="002029AF">
              <w:t xml:space="preserve"> </w:t>
            </w:r>
            <w:r w:rsidRPr="002029AF">
              <w:t>relevant</w:t>
            </w:r>
            <w:r w:rsidR="000A5329" w:rsidRPr="002029AF">
              <w:t xml:space="preserve"> </w:t>
            </w:r>
            <w:r w:rsidRPr="002029AF">
              <w:t>Deputy</w:t>
            </w:r>
            <w:r w:rsidR="000A5329" w:rsidRPr="002029AF">
              <w:t xml:space="preserve"> </w:t>
            </w:r>
            <w:r w:rsidRPr="002029AF">
              <w:t>Secretaries</w:t>
            </w:r>
            <w:r w:rsidR="000A5329" w:rsidRPr="002029AF">
              <w:t xml:space="preserve"> </w:t>
            </w:r>
            <w:r w:rsidRPr="002029AF">
              <w:t>and</w:t>
            </w:r>
            <w:r w:rsidR="000A5329" w:rsidRPr="002029AF">
              <w:t xml:space="preserve"> </w:t>
            </w:r>
            <w:r w:rsidRPr="002029AF">
              <w:t>Directors</w:t>
            </w:r>
            <w:r w:rsidR="000A5329" w:rsidRPr="002029AF">
              <w:t xml:space="preserve"> </w:t>
            </w:r>
            <w:r w:rsidRPr="002029AF">
              <w:t>and</w:t>
            </w:r>
            <w:r w:rsidR="00B95D52">
              <w:t> </w:t>
            </w:r>
            <w:r w:rsidRPr="002029AF">
              <w:t>follow</w:t>
            </w:r>
            <w:r w:rsidR="000A5329" w:rsidRPr="002029AF">
              <w:t xml:space="preserve"> </w:t>
            </w:r>
            <w:r w:rsidRPr="002029AF">
              <w:t>a</w:t>
            </w:r>
            <w:r w:rsidR="000A5329" w:rsidRPr="002029AF">
              <w:t xml:space="preserve"> </w:t>
            </w:r>
            <w:r w:rsidRPr="002029AF">
              <w:t>coordinated</w:t>
            </w:r>
            <w:r w:rsidR="000A5329" w:rsidRPr="002029AF">
              <w:t xml:space="preserve"> </w:t>
            </w:r>
            <w:r w:rsidRPr="002029AF">
              <w:t>schedule</w:t>
            </w:r>
            <w:r w:rsidR="000A5329" w:rsidRPr="002029AF">
              <w:t xml:space="preserve"> </w:t>
            </w:r>
            <w:r w:rsidRPr="002029AF">
              <w:t>to</w:t>
            </w:r>
            <w:r w:rsidR="000A5329" w:rsidRPr="002029AF">
              <w:t xml:space="preserve"> </w:t>
            </w:r>
            <w:r w:rsidRPr="002029AF">
              <w:t>ensure</w:t>
            </w:r>
            <w:r w:rsidR="000A5329" w:rsidRPr="002029AF">
              <w:t xml:space="preserve"> </w:t>
            </w:r>
            <w:r w:rsidRPr="002029AF">
              <w:t>timely</w:t>
            </w:r>
            <w:r w:rsidR="000A5329" w:rsidRPr="002029AF">
              <w:t xml:space="preserve"> </w:t>
            </w:r>
            <w:r w:rsidRPr="002029AF">
              <w:t>escalation</w:t>
            </w:r>
            <w:r w:rsidR="000A5329" w:rsidRPr="002029AF">
              <w:t xml:space="preserve"> </w:t>
            </w:r>
            <w:r w:rsidRPr="002029AF">
              <w:t>and</w:t>
            </w:r>
            <w:r w:rsidR="000A5329" w:rsidRPr="002029AF">
              <w:t xml:space="preserve"> </w:t>
            </w:r>
            <w:r w:rsidRPr="002029AF">
              <w:t>resolution</w:t>
            </w:r>
            <w:r w:rsidR="000A5329" w:rsidRPr="002029AF">
              <w:t xml:space="preserve"> </w:t>
            </w:r>
            <w:r w:rsidRPr="002029AF">
              <w:t>of</w:t>
            </w:r>
            <w:r w:rsidR="000A5329" w:rsidRPr="002029AF">
              <w:t xml:space="preserve"> </w:t>
            </w:r>
            <w:r w:rsidRPr="002029AF">
              <w:t>any</w:t>
            </w:r>
            <w:r w:rsidR="000A5329" w:rsidRPr="002029AF">
              <w:t xml:space="preserve"> </w:t>
            </w:r>
            <w:r w:rsidRPr="002029AF">
              <w:t>identified</w:t>
            </w:r>
            <w:r w:rsidR="000A5329" w:rsidRPr="002029AF">
              <w:t xml:space="preserve"> </w:t>
            </w:r>
            <w:r w:rsidRPr="002029AF">
              <w:t>issues.</w:t>
            </w:r>
          </w:p>
          <w:p w14:paraId="1E89D02F" w14:textId="5F5ABF22" w:rsidR="00CF72D5" w:rsidRPr="002029AF" w:rsidRDefault="00CF72D5" w:rsidP="00897193">
            <w:pPr>
              <w:pStyle w:val="ARtabletext"/>
            </w:pPr>
            <w:r w:rsidRPr="002029AF">
              <w:t>The</w:t>
            </w:r>
            <w:r w:rsidR="000A5329" w:rsidRPr="002029AF">
              <w:t xml:space="preserve"> </w:t>
            </w:r>
            <w:r w:rsidRPr="002029AF">
              <w:t>department</w:t>
            </w:r>
            <w:r w:rsidR="000A5329" w:rsidRPr="002029AF">
              <w:t xml:space="preserve"> </w:t>
            </w:r>
            <w:r w:rsidRPr="002029AF">
              <w:t>continues</w:t>
            </w:r>
            <w:r w:rsidR="000A5329" w:rsidRPr="002029AF">
              <w:t xml:space="preserve"> </w:t>
            </w:r>
            <w:r w:rsidRPr="002029AF">
              <w:t>to</w:t>
            </w:r>
            <w:r w:rsidR="000A5329" w:rsidRPr="002029AF">
              <w:t xml:space="preserve"> </w:t>
            </w:r>
            <w:r w:rsidRPr="002029AF">
              <w:t>maintain</w:t>
            </w:r>
            <w:r w:rsidR="000A5329" w:rsidRPr="002029AF">
              <w:t xml:space="preserve"> </w:t>
            </w:r>
            <w:r w:rsidRPr="002029AF">
              <w:t>an</w:t>
            </w:r>
            <w:r w:rsidR="000A5329" w:rsidRPr="002029AF">
              <w:t xml:space="preserve"> </w:t>
            </w:r>
            <w:r w:rsidRPr="002029AF">
              <w:t>extensive</w:t>
            </w:r>
            <w:r w:rsidR="000A5329" w:rsidRPr="002029AF">
              <w:t xml:space="preserve"> </w:t>
            </w:r>
            <w:r w:rsidRPr="002029AF">
              <w:t>network</w:t>
            </w:r>
            <w:r w:rsidR="000A5329" w:rsidRPr="002029AF">
              <w:t xml:space="preserve"> </w:t>
            </w:r>
            <w:r w:rsidRPr="002029AF">
              <w:t>of</w:t>
            </w:r>
            <w:r w:rsidR="000A5329" w:rsidRPr="002029AF">
              <w:t xml:space="preserve"> </w:t>
            </w:r>
            <w:r w:rsidRPr="002029AF">
              <w:t>181</w:t>
            </w:r>
            <w:r w:rsidR="000A5329" w:rsidRPr="002029AF">
              <w:t xml:space="preserve"> </w:t>
            </w:r>
            <w:r w:rsidRPr="002029AF">
              <w:t>designated</w:t>
            </w:r>
            <w:r w:rsidR="000A5329" w:rsidRPr="002029AF">
              <w:t xml:space="preserve"> </w:t>
            </w:r>
            <w:r w:rsidRPr="002029AF">
              <w:t>work</w:t>
            </w:r>
            <w:r w:rsidR="000A5329" w:rsidRPr="002029AF">
              <w:t xml:space="preserve"> </w:t>
            </w:r>
            <w:r w:rsidRPr="002029AF">
              <w:t>groups</w:t>
            </w:r>
            <w:r w:rsidR="000A5329" w:rsidRPr="002029AF">
              <w:t xml:space="preserve"> </w:t>
            </w:r>
            <w:r w:rsidRPr="002029AF">
              <w:t>with</w:t>
            </w:r>
            <w:r w:rsidR="000A5329" w:rsidRPr="002029AF">
              <w:t xml:space="preserve"> </w:t>
            </w:r>
            <w:r w:rsidRPr="002029AF">
              <w:t>261</w:t>
            </w:r>
            <w:r w:rsidR="000A5329" w:rsidRPr="002029AF">
              <w:t xml:space="preserve"> </w:t>
            </w:r>
            <w:r w:rsidRPr="002029AF">
              <w:t>health</w:t>
            </w:r>
            <w:r w:rsidR="000A5329" w:rsidRPr="002029AF">
              <w:t xml:space="preserve"> </w:t>
            </w:r>
            <w:r w:rsidRPr="002029AF">
              <w:t>and</w:t>
            </w:r>
            <w:r w:rsidR="000A5329" w:rsidRPr="002029AF">
              <w:t xml:space="preserve"> </w:t>
            </w:r>
            <w:r w:rsidRPr="002029AF">
              <w:t>safety</w:t>
            </w:r>
            <w:r w:rsidR="000A5329" w:rsidRPr="002029AF">
              <w:t xml:space="preserve"> </w:t>
            </w:r>
            <w:r w:rsidRPr="002029AF">
              <w:t>representatives,</w:t>
            </w:r>
            <w:r w:rsidR="000A5329" w:rsidRPr="002029AF">
              <w:t xml:space="preserve"> </w:t>
            </w:r>
            <w:r w:rsidRPr="002029AF">
              <w:t>38</w:t>
            </w:r>
            <w:r w:rsidR="00B95D52">
              <w:t> </w:t>
            </w:r>
            <w:r w:rsidRPr="002029AF">
              <w:t>deputy</w:t>
            </w:r>
            <w:r w:rsidR="000A5329" w:rsidRPr="002029AF">
              <w:t xml:space="preserve"> </w:t>
            </w:r>
            <w:r w:rsidRPr="002029AF">
              <w:t>health</w:t>
            </w:r>
            <w:r w:rsidR="000A5329" w:rsidRPr="002029AF">
              <w:t xml:space="preserve"> </w:t>
            </w:r>
            <w:r w:rsidRPr="002029AF">
              <w:t>and</w:t>
            </w:r>
            <w:r w:rsidR="000A5329" w:rsidRPr="002029AF">
              <w:t xml:space="preserve"> </w:t>
            </w:r>
            <w:r w:rsidRPr="002029AF">
              <w:t>safety</w:t>
            </w:r>
            <w:r w:rsidR="000A5329" w:rsidRPr="002029AF">
              <w:t xml:space="preserve"> </w:t>
            </w:r>
            <w:r w:rsidRPr="002029AF">
              <w:t>representatives</w:t>
            </w:r>
            <w:r w:rsidR="000A5329" w:rsidRPr="002029AF">
              <w:t xml:space="preserve"> </w:t>
            </w:r>
            <w:r w:rsidRPr="002029AF">
              <w:t>and</w:t>
            </w:r>
            <w:r w:rsidR="000A5329" w:rsidRPr="002029AF">
              <w:t xml:space="preserve"> </w:t>
            </w:r>
            <w:r w:rsidRPr="002029AF">
              <w:t>192</w:t>
            </w:r>
            <w:r w:rsidR="000A5329" w:rsidRPr="002029AF">
              <w:t xml:space="preserve"> </w:t>
            </w:r>
            <w:r w:rsidRPr="002029AF">
              <w:t>designated</w:t>
            </w:r>
            <w:r w:rsidR="000A5329" w:rsidRPr="002029AF">
              <w:t xml:space="preserve"> </w:t>
            </w:r>
            <w:r w:rsidRPr="002029AF">
              <w:t>management</w:t>
            </w:r>
            <w:r w:rsidR="000A5329" w:rsidRPr="002029AF">
              <w:t xml:space="preserve"> </w:t>
            </w:r>
            <w:r w:rsidRPr="002029AF">
              <w:t>representatives.</w:t>
            </w:r>
          </w:p>
          <w:p w14:paraId="28044CFA" w14:textId="321853A5" w:rsidR="00CF72D5" w:rsidRPr="002029AF" w:rsidRDefault="00CF72D5" w:rsidP="00897193">
            <w:pPr>
              <w:pStyle w:val="ARtabletext"/>
            </w:pP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a</w:t>
            </w:r>
            <w:r w:rsidR="000A5329" w:rsidRPr="002029AF">
              <w:t xml:space="preserve"> </w:t>
            </w:r>
            <w:r w:rsidRPr="002029AF">
              <w:t>model</w:t>
            </w:r>
            <w:r w:rsidR="000A5329" w:rsidRPr="002029AF">
              <w:t xml:space="preserve"> </w:t>
            </w:r>
            <w:r w:rsidRPr="002029AF">
              <w:t>procedure</w:t>
            </w:r>
            <w:r w:rsidR="000A5329" w:rsidRPr="002029AF">
              <w:t xml:space="preserve"> </w:t>
            </w:r>
            <w:r w:rsidRPr="002029AF">
              <w:t>for</w:t>
            </w:r>
            <w:r w:rsidR="000A5329" w:rsidRPr="002029AF">
              <w:t xml:space="preserve"> </w:t>
            </w:r>
            <w:r w:rsidRPr="002029AF">
              <w:t>managers</w:t>
            </w:r>
            <w:r w:rsidR="000A5329" w:rsidRPr="002029AF">
              <w:t xml:space="preserve"> </w:t>
            </w:r>
            <w:r w:rsidRPr="002029AF">
              <w:t>and</w:t>
            </w:r>
            <w:r w:rsidR="000A5329" w:rsidRPr="002029AF">
              <w:t xml:space="preserve"> </w:t>
            </w:r>
            <w:r w:rsidRPr="002029AF">
              <w:t>employees</w:t>
            </w:r>
            <w:r w:rsidR="000A5329" w:rsidRPr="002029AF">
              <w:t xml:space="preserve"> </w:t>
            </w:r>
            <w:r w:rsidRPr="002029AF">
              <w:t>to</w:t>
            </w:r>
            <w:r w:rsidR="000A5329" w:rsidRPr="002029AF">
              <w:t xml:space="preserve"> </w:t>
            </w:r>
            <w:r w:rsidRPr="002029AF">
              <w:t>follow</w:t>
            </w:r>
            <w:r w:rsidR="000A5329" w:rsidRPr="002029AF">
              <w:t xml:space="preserve"> </w:t>
            </w:r>
            <w:r w:rsidRPr="002029AF">
              <w:t>in</w:t>
            </w:r>
            <w:r w:rsidR="000A5329" w:rsidRPr="002029AF">
              <w:t xml:space="preserve"> </w:t>
            </w:r>
            <w:r w:rsidRPr="002029AF">
              <w:t>resolving</w:t>
            </w:r>
            <w:r w:rsidR="000A5329" w:rsidRPr="002029AF">
              <w:t xml:space="preserve"> </w:t>
            </w:r>
            <w:r w:rsidRPr="002029AF">
              <w:t>health</w:t>
            </w:r>
            <w:r w:rsidR="000A5329" w:rsidRPr="002029AF">
              <w:t xml:space="preserve"> </w:t>
            </w:r>
            <w:r w:rsidRPr="002029AF">
              <w:t>and</w:t>
            </w:r>
            <w:r w:rsidR="000A5329" w:rsidRPr="002029AF">
              <w:t xml:space="preserve"> </w:t>
            </w:r>
            <w:r w:rsidRPr="002029AF">
              <w:t>safety</w:t>
            </w:r>
            <w:r w:rsidR="000A5329" w:rsidRPr="002029AF">
              <w:t xml:space="preserve"> </w:t>
            </w:r>
            <w:r w:rsidRPr="002029AF">
              <w:t>issues</w:t>
            </w:r>
            <w:r w:rsidR="000A5329" w:rsidRPr="002029AF">
              <w:t xml:space="preserve"> </w:t>
            </w:r>
            <w:r w:rsidRPr="002029AF">
              <w:t>identified</w:t>
            </w:r>
            <w:r w:rsidR="000A5329" w:rsidRPr="002029AF">
              <w:t xml:space="preserve"> </w:t>
            </w:r>
            <w:r w:rsidRPr="002029AF">
              <w:t>in</w:t>
            </w:r>
            <w:r w:rsidR="000A5329" w:rsidRPr="002029AF">
              <w:t xml:space="preserve"> </w:t>
            </w:r>
            <w:r w:rsidRPr="002029AF">
              <w:t>department</w:t>
            </w:r>
            <w:r w:rsidR="000A5329" w:rsidRPr="002029AF">
              <w:t xml:space="preserve"> </w:t>
            </w:r>
            <w:r w:rsidRPr="002029AF">
              <w:t>workplaces.</w:t>
            </w:r>
          </w:p>
        </w:tc>
      </w:tr>
      <w:tr w:rsidR="00CF72D5" w:rsidRPr="002029AF" w14:paraId="29BEF297" w14:textId="77777777" w:rsidTr="00897193">
        <w:trPr>
          <w:cantSplit/>
          <w:trHeight w:val="340"/>
        </w:trPr>
        <w:tc>
          <w:tcPr>
            <w:tcW w:w="1372" w:type="dxa"/>
          </w:tcPr>
          <w:p w14:paraId="3FA0A2E1" w14:textId="40995822" w:rsidR="00CF72D5" w:rsidRPr="002029AF" w:rsidRDefault="00CF72D5" w:rsidP="00897193">
            <w:pPr>
              <w:pStyle w:val="ARtabletext"/>
            </w:pPr>
            <w:r w:rsidRPr="002029AF">
              <w:t>Risk</w:t>
            </w:r>
            <w:r w:rsidR="000A5329" w:rsidRPr="002029AF">
              <w:t xml:space="preserve"> </w:t>
            </w:r>
            <w:r w:rsidRPr="002029AF">
              <w:t>management</w:t>
            </w:r>
          </w:p>
        </w:tc>
        <w:tc>
          <w:tcPr>
            <w:tcW w:w="2451" w:type="dxa"/>
          </w:tcPr>
          <w:p w14:paraId="10955819" w14:textId="50BC5DEB" w:rsidR="00CF72D5" w:rsidRPr="002029AF" w:rsidRDefault="00CF72D5" w:rsidP="00897193">
            <w:pPr>
              <w:pStyle w:val="ARtabletext"/>
            </w:pPr>
            <w:r w:rsidRPr="002029AF">
              <w:t>Regular</w:t>
            </w:r>
            <w:r w:rsidR="000A5329" w:rsidRPr="002029AF">
              <w:t xml:space="preserve"> </w:t>
            </w:r>
            <w:r w:rsidRPr="002029AF">
              <w:t>internal</w:t>
            </w:r>
            <w:r w:rsidR="000A5329" w:rsidRPr="002029AF">
              <w:t xml:space="preserve"> </w:t>
            </w:r>
            <w:r w:rsidRPr="002029AF">
              <w:t>audits</w:t>
            </w:r>
            <w:r w:rsidR="000A5329" w:rsidRPr="002029AF">
              <w:t xml:space="preserve"> </w:t>
            </w:r>
            <w:r w:rsidR="00572D42" w:rsidRPr="002029AF">
              <w:t>conducted,</w:t>
            </w:r>
            <w:r w:rsidR="000A5329" w:rsidRPr="002029AF">
              <w:t xml:space="preserve"> </w:t>
            </w:r>
            <w:r w:rsidRPr="002029AF">
              <w:t>and</w:t>
            </w:r>
            <w:r w:rsidR="000A5329" w:rsidRPr="002029AF">
              <w:t xml:space="preserve"> </w:t>
            </w:r>
            <w:r w:rsidRPr="002029AF">
              <w:t>issues</w:t>
            </w:r>
            <w:r w:rsidR="000A5329" w:rsidRPr="002029AF">
              <w:t xml:space="preserve"> </w:t>
            </w:r>
            <w:r w:rsidRPr="002029AF">
              <w:t>identified</w:t>
            </w:r>
            <w:r w:rsidR="000A5329" w:rsidRPr="002029AF">
              <w:t xml:space="preserve"> </w:t>
            </w:r>
            <w:r w:rsidRPr="002029AF">
              <w:t>and</w:t>
            </w:r>
            <w:r w:rsidR="000A5329" w:rsidRPr="002029AF">
              <w:t xml:space="preserve"> </w:t>
            </w:r>
            <w:r w:rsidRPr="002029AF">
              <w:t>actioned</w:t>
            </w:r>
          </w:p>
        </w:tc>
        <w:tc>
          <w:tcPr>
            <w:tcW w:w="5816" w:type="dxa"/>
          </w:tcPr>
          <w:p w14:paraId="4C618010" w14:textId="3511962F" w:rsidR="00CF72D5" w:rsidRPr="002029AF" w:rsidRDefault="00CF72D5" w:rsidP="00897193">
            <w:pPr>
              <w:pStyle w:val="ARtabletext"/>
            </w:pP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an</w:t>
            </w:r>
            <w:r w:rsidR="000A5329" w:rsidRPr="002029AF">
              <w:t xml:space="preserve"> </w:t>
            </w:r>
            <w:r w:rsidRPr="002029AF">
              <w:t>electronic</w:t>
            </w:r>
            <w:r w:rsidR="000A5329" w:rsidRPr="002029AF">
              <w:t xml:space="preserve"> </w:t>
            </w:r>
            <w:r w:rsidRPr="002029AF">
              <w:t>employee</w:t>
            </w:r>
            <w:r w:rsidR="000A5329" w:rsidRPr="002029AF">
              <w:t xml:space="preserve"> </w:t>
            </w:r>
            <w:r w:rsidRPr="002029AF">
              <w:t>health</w:t>
            </w:r>
            <w:r w:rsidR="000A5329" w:rsidRPr="002029AF">
              <w:t xml:space="preserve"> </w:t>
            </w:r>
            <w:r w:rsidRPr="002029AF">
              <w:t>and</w:t>
            </w:r>
            <w:r w:rsidR="000A5329" w:rsidRPr="002029AF">
              <w:t xml:space="preserve"> </w:t>
            </w:r>
            <w:r w:rsidRPr="002029AF">
              <w:t>safety</w:t>
            </w:r>
            <w:r w:rsidR="000A5329" w:rsidRPr="002029AF">
              <w:t xml:space="preserve"> </w:t>
            </w:r>
            <w:r w:rsidRPr="002029AF">
              <w:t>incident</w:t>
            </w:r>
            <w:r w:rsidR="000A5329" w:rsidRPr="002029AF">
              <w:t xml:space="preserve"> </w:t>
            </w:r>
            <w:r w:rsidRPr="002029AF">
              <w:t>reporting</w:t>
            </w:r>
            <w:r w:rsidR="000A5329" w:rsidRPr="002029AF">
              <w:t xml:space="preserve"> </w:t>
            </w:r>
            <w:r w:rsidRPr="002029AF">
              <w:t>system</w:t>
            </w:r>
            <w:r w:rsidR="000A5329" w:rsidRPr="002029AF">
              <w:t xml:space="preserve"> </w:t>
            </w:r>
            <w:r w:rsidRPr="002029AF">
              <w:t>(eDINMAR)</w:t>
            </w:r>
            <w:r w:rsidR="000A5329" w:rsidRPr="002029AF">
              <w:t xml:space="preserve"> </w:t>
            </w:r>
            <w:r w:rsidRPr="002029AF">
              <w:t>in</w:t>
            </w:r>
            <w:r w:rsidR="000A5329" w:rsidRPr="002029AF">
              <w:t xml:space="preserve"> </w:t>
            </w:r>
            <w:r w:rsidRPr="002029AF">
              <w:t>all</w:t>
            </w:r>
            <w:r w:rsidR="000A5329" w:rsidRPr="002029AF">
              <w:t xml:space="preserve"> </w:t>
            </w:r>
            <w:r w:rsidRPr="002029AF">
              <w:t>locations.</w:t>
            </w:r>
            <w:r w:rsidR="000A5329" w:rsidRPr="002029AF">
              <w:t xml:space="preserve"> </w:t>
            </w:r>
            <w:r w:rsidRPr="002029AF">
              <w:t>This</w:t>
            </w:r>
            <w:r w:rsidR="000A5329" w:rsidRPr="002029AF">
              <w:t xml:space="preserve"> </w:t>
            </w:r>
            <w:r w:rsidRPr="002029AF">
              <w:t>system</w:t>
            </w:r>
            <w:r w:rsidR="000A5329" w:rsidRPr="002029AF">
              <w:t xml:space="preserve"> </w:t>
            </w:r>
            <w:r w:rsidRPr="002029AF">
              <w:t>has</w:t>
            </w:r>
            <w:r w:rsidR="000A5329" w:rsidRPr="002029AF">
              <w:t xml:space="preserve"> </w:t>
            </w:r>
            <w:r w:rsidRPr="002029AF">
              <w:t>resulted</w:t>
            </w:r>
            <w:r w:rsidR="000A5329" w:rsidRPr="002029AF">
              <w:t xml:space="preserve"> </w:t>
            </w:r>
            <w:r w:rsidRPr="002029AF">
              <w:t>in</w:t>
            </w:r>
            <w:r w:rsidR="000A5329" w:rsidRPr="002029AF">
              <w:t xml:space="preserve"> </w:t>
            </w:r>
            <w:r w:rsidRPr="002029AF">
              <w:t>increased</w:t>
            </w:r>
            <w:r w:rsidR="000A5329" w:rsidRPr="002029AF">
              <w:t xml:space="preserve"> </w:t>
            </w:r>
            <w:r w:rsidRPr="002029AF">
              <w:t>rates</w:t>
            </w:r>
            <w:r w:rsidR="000A5329" w:rsidRPr="002029AF">
              <w:t xml:space="preserve"> </w:t>
            </w:r>
            <w:r w:rsidRPr="002029AF">
              <w:t>of</w:t>
            </w:r>
            <w:r w:rsidR="000A5329" w:rsidRPr="002029AF">
              <w:t xml:space="preserve"> </w:t>
            </w:r>
            <w:r w:rsidRPr="002029AF">
              <w:t>reporting,</w:t>
            </w:r>
            <w:r w:rsidR="000A5329" w:rsidRPr="002029AF">
              <w:t xml:space="preserve"> </w:t>
            </w:r>
            <w:r w:rsidRPr="002029AF">
              <w:t>greater</w:t>
            </w:r>
            <w:r w:rsidR="000A5329" w:rsidRPr="002029AF">
              <w:t xml:space="preserve"> </w:t>
            </w:r>
            <w:r w:rsidRPr="002029AF">
              <w:t>accountability</w:t>
            </w:r>
            <w:r w:rsidR="000A5329" w:rsidRPr="002029AF">
              <w:t xml:space="preserve"> </w:t>
            </w:r>
            <w:r w:rsidRPr="002029AF">
              <w:t>and</w:t>
            </w:r>
            <w:r w:rsidR="000A5329" w:rsidRPr="002029AF">
              <w:t xml:space="preserve"> </w:t>
            </w:r>
            <w:r w:rsidRPr="002029AF">
              <w:t>timelier</w:t>
            </w:r>
            <w:r w:rsidR="000A5329" w:rsidRPr="002029AF">
              <w:t xml:space="preserve"> </w:t>
            </w:r>
            <w:r w:rsidRPr="002029AF">
              <w:t>follow-up</w:t>
            </w:r>
            <w:r w:rsidR="000A5329" w:rsidRPr="002029AF">
              <w:t xml:space="preserve"> </w:t>
            </w:r>
            <w:r w:rsidRPr="002029AF">
              <w:t>and</w:t>
            </w:r>
            <w:r w:rsidR="000A5329" w:rsidRPr="002029AF">
              <w:t xml:space="preserve"> </w:t>
            </w:r>
            <w:r w:rsidRPr="002029AF">
              <w:t>resolution</w:t>
            </w:r>
            <w:r w:rsidR="000A5329" w:rsidRPr="002029AF">
              <w:t xml:space="preserve"> </w:t>
            </w:r>
            <w:r w:rsidRPr="002029AF">
              <w:t>of</w:t>
            </w:r>
            <w:r w:rsidR="000A5329" w:rsidRPr="002029AF">
              <w:t xml:space="preserve"> </w:t>
            </w:r>
            <w:r w:rsidRPr="002029AF">
              <w:t>reported</w:t>
            </w:r>
            <w:r w:rsidR="000A5329" w:rsidRPr="002029AF">
              <w:t xml:space="preserve"> </w:t>
            </w:r>
            <w:r w:rsidRPr="002029AF">
              <w:t>hazards</w:t>
            </w:r>
            <w:r w:rsidR="000A5329" w:rsidRPr="002029AF">
              <w:t xml:space="preserve"> </w:t>
            </w:r>
            <w:r w:rsidRPr="002029AF">
              <w:t>and</w:t>
            </w:r>
            <w:r w:rsidR="000A5329" w:rsidRPr="002029AF">
              <w:t xml:space="preserve"> </w:t>
            </w:r>
            <w:r w:rsidRPr="002029AF">
              <w:t>risks.</w:t>
            </w:r>
          </w:p>
          <w:p w14:paraId="537ABC81" w14:textId="294B5DC5" w:rsidR="00CF72D5" w:rsidRPr="002029AF" w:rsidRDefault="00CF72D5" w:rsidP="00897193">
            <w:pPr>
              <w:pStyle w:val="ARtabletext"/>
            </w:pP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comprehensive</w:t>
            </w:r>
            <w:r w:rsidR="000A5329" w:rsidRPr="002029AF">
              <w:t xml:space="preserve"> </w:t>
            </w:r>
            <w:r w:rsidRPr="002029AF">
              <w:t>procedures</w:t>
            </w:r>
            <w:r w:rsidR="000A5329" w:rsidRPr="002029AF">
              <w:t xml:space="preserve"> </w:t>
            </w:r>
            <w:r w:rsidRPr="002029AF">
              <w:t>and</w:t>
            </w:r>
            <w:r w:rsidR="000A5329" w:rsidRPr="002029AF">
              <w:t xml:space="preserve"> </w:t>
            </w:r>
            <w:r w:rsidRPr="002029AF">
              <w:t>tools</w:t>
            </w:r>
            <w:r w:rsidR="000A5329" w:rsidRPr="002029AF">
              <w:t xml:space="preserve"> </w:t>
            </w:r>
            <w:r w:rsidRPr="002029AF">
              <w:t>for</w:t>
            </w:r>
            <w:r w:rsidR="000A5329" w:rsidRPr="002029AF">
              <w:t xml:space="preserve"> </w:t>
            </w:r>
            <w:r w:rsidRPr="002029AF">
              <w:t>assessing</w:t>
            </w:r>
            <w:r w:rsidR="000A5329" w:rsidRPr="002029AF">
              <w:t xml:space="preserve"> </w:t>
            </w:r>
            <w:r w:rsidRPr="002029AF">
              <w:t>and</w:t>
            </w:r>
            <w:r w:rsidR="000A5329" w:rsidRPr="002029AF">
              <w:t xml:space="preserve"> </w:t>
            </w:r>
            <w:r w:rsidRPr="002029AF">
              <w:t>managing</w:t>
            </w:r>
            <w:r w:rsidR="000A5329" w:rsidRPr="002029AF">
              <w:t xml:space="preserve"> </w:t>
            </w:r>
            <w:r w:rsidRPr="002029AF">
              <w:t>key</w:t>
            </w:r>
            <w:r w:rsidR="000A5329" w:rsidRPr="002029AF">
              <w:t xml:space="preserve"> </w:t>
            </w:r>
            <w:r w:rsidRPr="002029AF">
              <w:t>risks</w:t>
            </w:r>
            <w:r w:rsidR="000A5329" w:rsidRPr="002029AF">
              <w:t xml:space="preserve"> </w:t>
            </w:r>
            <w:r w:rsidRPr="002029AF">
              <w:t>and</w:t>
            </w:r>
            <w:r w:rsidR="000A5329" w:rsidRPr="002029AF">
              <w:t xml:space="preserve"> </w:t>
            </w:r>
            <w:r w:rsidRPr="002029AF">
              <w:t>for</w:t>
            </w:r>
            <w:r w:rsidR="000A5329" w:rsidRPr="002029AF">
              <w:t xml:space="preserve"> </w:t>
            </w:r>
            <w:r w:rsidRPr="002029AF">
              <w:t>undertaking</w:t>
            </w:r>
            <w:r w:rsidR="000A5329" w:rsidRPr="002029AF">
              <w:t xml:space="preserve"> </w:t>
            </w:r>
            <w:r w:rsidRPr="002029AF">
              <w:t>regular</w:t>
            </w:r>
            <w:r w:rsidR="000A5329" w:rsidRPr="002029AF">
              <w:t xml:space="preserve"> </w:t>
            </w:r>
            <w:r w:rsidRPr="002029AF">
              <w:t>workplace</w:t>
            </w:r>
            <w:r w:rsidR="000A5329" w:rsidRPr="002029AF">
              <w:t xml:space="preserve"> </w:t>
            </w:r>
            <w:r w:rsidRPr="002029AF">
              <w:t>inspections.</w:t>
            </w:r>
          </w:p>
          <w:p w14:paraId="269E80C6" w14:textId="1F688404" w:rsidR="00CF72D5" w:rsidRPr="002029AF" w:rsidRDefault="00CF72D5" w:rsidP="00897193">
            <w:pPr>
              <w:pStyle w:val="ARtabletext"/>
            </w:pPr>
            <w:r w:rsidRPr="002029AF">
              <w:t>WorkSafe</w:t>
            </w:r>
            <w:r w:rsidR="000A5329" w:rsidRPr="002029AF">
              <w:t xml:space="preserve"> </w:t>
            </w:r>
            <w:r w:rsidRPr="002029AF">
              <w:t>made</w:t>
            </w:r>
            <w:r w:rsidR="000A5329" w:rsidRPr="002029AF">
              <w:t xml:space="preserve"> </w:t>
            </w:r>
            <w:r w:rsidRPr="002029AF">
              <w:t>104</w:t>
            </w:r>
            <w:r w:rsidR="000A5329" w:rsidRPr="002029AF">
              <w:t xml:space="preserve"> </w:t>
            </w:r>
            <w:r w:rsidRPr="002029AF">
              <w:t>visits</w:t>
            </w:r>
            <w:r w:rsidR="000A5329" w:rsidRPr="002029AF">
              <w:t xml:space="preserve"> </w:t>
            </w:r>
            <w:r w:rsidRPr="002029AF">
              <w:t>to</w:t>
            </w:r>
            <w:r w:rsidR="000A5329" w:rsidRPr="002029AF">
              <w:t xml:space="preserve"> </w:t>
            </w:r>
            <w:r w:rsidRPr="002029AF">
              <w:t>department</w:t>
            </w:r>
            <w:r w:rsidR="000A5329" w:rsidRPr="002029AF">
              <w:t xml:space="preserve"> </w:t>
            </w:r>
            <w:r w:rsidRPr="002029AF">
              <w:t>workplaces</w:t>
            </w:r>
            <w:r w:rsidR="000A5329" w:rsidRPr="002029AF">
              <w:t xml:space="preserve"> </w:t>
            </w:r>
            <w:r w:rsidRPr="002029AF">
              <w:t>and</w:t>
            </w:r>
            <w:r w:rsidR="000A5329" w:rsidRPr="002029AF">
              <w:t xml:space="preserve"> </w:t>
            </w:r>
            <w:r w:rsidRPr="002029AF">
              <w:t>issued</w:t>
            </w:r>
            <w:r w:rsidR="000A5329" w:rsidRPr="002029AF">
              <w:t xml:space="preserve"> </w:t>
            </w:r>
            <w:r w:rsidRPr="002029AF">
              <w:t>14</w:t>
            </w:r>
            <w:r w:rsidR="00B95D52">
              <w:t> </w:t>
            </w:r>
            <w:r w:rsidRPr="002029AF">
              <w:t>improvement</w:t>
            </w:r>
            <w:r w:rsidR="000A5329" w:rsidRPr="002029AF">
              <w:t xml:space="preserve"> </w:t>
            </w:r>
            <w:r w:rsidRPr="002029AF">
              <w:t>notices.</w:t>
            </w:r>
          </w:p>
        </w:tc>
      </w:tr>
      <w:tr w:rsidR="00CF72D5" w:rsidRPr="002029AF" w14:paraId="5F15495F" w14:textId="77777777" w:rsidTr="00897193">
        <w:trPr>
          <w:cantSplit/>
          <w:trHeight w:val="402"/>
        </w:trPr>
        <w:tc>
          <w:tcPr>
            <w:tcW w:w="1372" w:type="dxa"/>
          </w:tcPr>
          <w:p w14:paraId="1D6D4959" w14:textId="77777777" w:rsidR="00CF72D5" w:rsidRPr="002029AF" w:rsidRDefault="00CF72D5" w:rsidP="00897193">
            <w:pPr>
              <w:pStyle w:val="ARtabletext"/>
            </w:pPr>
            <w:r w:rsidRPr="002029AF">
              <w:lastRenderedPageBreak/>
              <w:t>Training</w:t>
            </w:r>
          </w:p>
        </w:tc>
        <w:tc>
          <w:tcPr>
            <w:tcW w:w="2451" w:type="dxa"/>
          </w:tcPr>
          <w:p w14:paraId="04A3A18B" w14:textId="5ADCAFDA" w:rsidR="00CF72D5" w:rsidRPr="002029AF" w:rsidRDefault="00CF72D5" w:rsidP="00897193">
            <w:pPr>
              <w:pStyle w:val="ARtabletext"/>
            </w:pPr>
            <w:r w:rsidRPr="002029AF">
              <w:t>Managers,</w:t>
            </w:r>
            <w:r w:rsidR="000A5329" w:rsidRPr="002029AF">
              <w:t xml:space="preserve"> </w:t>
            </w:r>
            <w:r w:rsidRPr="002029AF">
              <w:t>health</w:t>
            </w:r>
            <w:r w:rsidR="000A5329" w:rsidRPr="002029AF">
              <w:t xml:space="preserve"> </w:t>
            </w:r>
            <w:r w:rsidRPr="002029AF">
              <w:t>and</w:t>
            </w:r>
            <w:r w:rsidR="000A5329" w:rsidRPr="002029AF">
              <w:t xml:space="preserve"> </w:t>
            </w:r>
            <w:r w:rsidRPr="002029AF">
              <w:t>safety</w:t>
            </w:r>
            <w:r w:rsidR="000A5329" w:rsidRPr="002029AF">
              <w:t xml:space="preserve"> </w:t>
            </w:r>
            <w:r w:rsidRPr="002029AF">
              <w:t>representatives</w:t>
            </w:r>
            <w:r w:rsidR="000A5329" w:rsidRPr="002029AF">
              <w:t xml:space="preserve"> </w:t>
            </w:r>
            <w:r w:rsidRPr="002029AF">
              <w:t>and</w:t>
            </w:r>
            <w:r w:rsidR="000A5329" w:rsidRPr="002029AF">
              <w:t xml:space="preserve"> </w:t>
            </w:r>
            <w:r w:rsidRPr="002029AF">
              <w:t>other</w:t>
            </w:r>
            <w:r w:rsidR="000A5329" w:rsidRPr="002029AF">
              <w:t xml:space="preserve"> </w:t>
            </w:r>
            <w:r w:rsidRPr="002029AF">
              <w:t>staff</w:t>
            </w:r>
            <w:r w:rsidR="000A5329" w:rsidRPr="002029AF">
              <w:t xml:space="preserve"> </w:t>
            </w:r>
            <w:r w:rsidRPr="002029AF">
              <w:t>trained</w:t>
            </w:r>
            <w:r w:rsidR="000A5329" w:rsidRPr="002029AF">
              <w:t xml:space="preserve"> </w:t>
            </w:r>
          </w:p>
        </w:tc>
        <w:tc>
          <w:tcPr>
            <w:tcW w:w="5816" w:type="dxa"/>
          </w:tcPr>
          <w:p w14:paraId="539D00AE" w14:textId="213C9CB2" w:rsidR="000A5329" w:rsidRPr="002029AF" w:rsidRDefault="00CF72D5" w:rsidP="00897193">
            <w:pPr>
              <w:pStyle w:val="ARtabletext"/>
            </w:pPr>
            <w:r w:rsidRPr="002029AF">
              <w:t>The</w:t>
            </w:r>
            <w:r w:rsidR="000A5329" w:rsidRPr="002029AF">
              <w:t xml:space="preserve"> </w:t>
            </w:r>
            <w:r w:rsidRPr="002029AF">
              <w:t>department</w:t>
            </w:r>
            <w:r w:rsidR="000A5329" w:rsidRPr="002029AF">
              <w:t xml:space="preserve"> </w:t>
            </w:r>
            <w:r w:rsidRPr="002029AF">
              <w:t>delivered</w:t>
            </w:r>
            <w:r w:rsidR="000A5329" w:rsidRPr="002029AF">
              <w:t xml:space="preserve"> </w:t>
            </w:r>
            <w:r w:rsidRPr="002029AF">
              <w:t>Leading</w:t>
            </w:r>
            <w:r w:rsidR="000A5329" w:rsidRPr="002029AF">
              <w:t xml:space="preserve"> </w:t>
            </w:r>
            <w:r w:rsidRPr="002029AF">
              <w:t>with</w:t>
            </w:r>
            <w:r w:rsidR="000A5329" w:rsidRPr="002029AF">
              <w:t xml:space="preserve"> </w:t>
            </w:r>
            <w:r w:rsidRPr="002029AF">
              <w:t>Respect:</w:t>
            </w:r>
            <w:r w:rsidR="000A5329" w:rsidRPr="002029AF">
              <w:t xml:space="preserve"> </w:t>
            </w:r>
            <w:r w:rsidRPr="002029AF">
              <w:t>Managing</w:t>
            </w:r>
            <w:r w:rsidR="000A5329" w:rsidRPr="002029AF">
              <w:t xml:space="preserve"> </w:t>
            </w:r>
            <w:r w:rsidRPr="002029AF">
              <w:t>for</w:t>
            </w:r>
            <w:r w:rsidR="000A5329" w:rsidRPr="002029AF">
              <w:t xml:space="preserve"> </w:t>
            </w:r>
            <w:r w:rsidRPr="002029AF">
              <w:t>team</w:t>
            </w:r>
            <w:r w:rsidR="000A5329" w:rsidRPr="002029AF">
              <w:t xml:space="preserve"> </w:t>
            </w:r>
            <w:r w:rsidRPr="002029AF">
              <w:t>wellbeing</w:t>
            </w:r>
            <w:r w:rsidR="000A5329" w:rsidRPr="002029AF">
              <w:t xml:space="preserve"> </w:t>
            </w:r>
            <w:r w:rsidRPr="002029AF">
              <w:t>programs</w:t>
            </w:r>
            <w:r w:rsidR="000A5329" w:rsidRPr="002029AF">
              <w:t xml:space="preserve"> </w:t>
            </w:r>
            <w:r w:rsidRPr="002029AF">
              <w:t>to</w:t>
            </w:r>
            <w:r w:rsidR="000A5329" w:rsidRPr="002029AF">
              <w:t xml:space="preserve"> </w:t>
            </w:r>
            <w:r w:rsidRPr="002029AF">
              <w:t>support</w:t>
            </w:r>
            <w:r w:rsidR="000A5329" w:rsidRPr="002029AF">
              <w:t xml:space="preserve"> </w:t>
            </w:r>
            <w:r w:rsidRPr="002029AF">
              <w:t>ongoing</w:t>
            </w:r>
            <w:r w:rsidR="000A5329" w:rsidRPr="002029AF">
              <w:t xml:space="preserve"> </w:t>
            </w:r>
            <w:r w:rsidRPr="002029AF">
              <w:t>implementation</w:t>
            </w:r>
            <w:r w:rsidR="000A5329" w:rsidRPr="002029AF">
              <w:t xml:space="preserve"> </w:t>
            </w:r>
            <w:r w:rsidRPr="002029AF">
              <w:t>of</w:t>
            </w:r>
            <w:r w:rsidR="000A5329" w:rsidRPr="002029AF">
              <w:t xml:space="preserve"> </w:t>
            </w:r>
            <w:r w:rsidRPr="002029AF">
              <w:t>the</w:t>
            </w:r>
            <w:r w:rsidR="000A5329" w:rsidRPr="002029AF">
              <w:t xml:space="preserve"> </w:t>
            </w:r>
            <w:r w:rsidRPr="002029AF">
              <w:t>Mental</w:t>
            </w:r>
            <w:r w:rsidR="000A5329" w:rsidRPr="002029AF">
              <w:t xml:space="preserve"> </w:t>
            </w:r>
            <w:r w:rsidRPr="002029AF">
              <w:t>Health</w:t>
            </w:r>
            <w:r w:rsidR="000A5329" w:rsidRPr="002029AF">
              <w:t xml:space="preserve"> </w:t>
            </w:r>
            <w:r w:rsidRPr="002029AF">
              <w:t>and</w:t>
            </w:r>
            <w:r w:rsidR="000A5329" w:rsidRPr="002029AF">
              <w:t xml:space="preserve"> </w:t>
            </w:r>
            <w:r w:rsidRPr="002029AF">
              <w:t>Wellbeing</w:t>
            </w:r>
            <w:r w:rsidR="000A5329" w:rsidRPr="002029AF">
              <w:t xml:space="preserve"> </w:t>
            </w:r>
            <w:r w:rsidRPr="002029AF">
              <w:t>Charter,</w:t>
            </w:r>
            <w:r w:rsidR="000A5329" w:rsidRPr="002029AF">
              <w:t xml:space="preserve"> </w:t>
            </w:r>
            <w:r w:rsidRPr="002029AF">
              <w:t>with</w:t>
            </w:r>
            <w:r w:rsidR="000A5329" w:rsidRPr="002029AF">
              <w:t xml:space="preserve"> </w:t>
            </w:r>
            <w:r w:rsidRPr="002029AF">
              <w:rPr>
                <w:color w:val="000000" w:themeColor="text1"/>
              </w:rPr>
              <w:t>a</w:t>
            </w:r>
            <w:r w:rsidR="000A5329" w:rsidRPr="002029AF">
              <w:rPr>
                <w:color w:val="000000" w:themeColor="text1"/>
              </w:rPr>
              <w:t xml:space="preserve"> </w:t>
            </w:r>
            <w:r w:rsidRPr="002029AF">
              <w:rPr>
                <w:color w:val="000000" w:themeColor="text1"/>
              </w:rPr>
              <w:t>further</w:t>
            </w:r>
            <w:r w:rsidR="000A5329" w:rsidRPr="002029AF">
              <w:rPr>
                <w:color w:val="000000" w:themeColor="text1"/>
              </w:rPr>
              <w:t xml:space="preserve"> </w:t>
            </w:r>
            <w:r w:rsidRPr="002029AF">
              <w:t>239</w:t>
            </w:r>
            <w:r w:rsidR="000A5329" w:rsidRPr="002029AF">
              <w:t xml:space="preserve"> </w:t>
            </w:r>
            <w:r w:rsidRPr="002029AF">
              <w:t>people</w:t>
            </w:r>
            <w:r w:rsidR="000A5329" w:rsidRPr="002029AF">
              <w:t xml:space="preserve"> </w:t>
            </w:r>
            <w:r w:rsidRPr="002029AF">
              <w:t>managers</w:t>
            </w:r>
            <w:r w:rsidR="000A5329" w:rsidRPr="002029AF">
              <w:t xml:space="preserve"> </w:t>
            </w:r>
            <w:r w:rsidRPr="002029AF">
              <w:t>having</w:t>
            </w:r>
            <w:r w:rsidR="000A5329" w:rsidRPr="002029AF">
              <w:t xml:space="preserve"> </w:t>
            </w:r>
            <w:r w:rsidRPr="002029AF">
              <w:t>completed</w:t>
            </w:r>
            <w:r w:rsidR="000A5329" w:rsidRPr="002029AF">
              <w:t xml:space="preserve"> </w:t>
            </w:r>
            <w:r w:rsidRPr="002029AF">
              <w:t>the</w:t>
            </w:r>
            <w:r w:rsidR="000A5329" w:rsidRPr="002029AF">
              <w:t xml:space="preserve"> </w:t>
            </w:r>
            <w:r w:rsidRPr="002029AF">
              <w:t>program</w:t>
            </w:r>
            <w:r w:rsidR="000A5329" w:rsidRPr="002029AF">
              <w:t xml:space="preserve"> </w:t>
            </w:r>
            <w:r w:rsidRPr="002029AF">
              <w:t>in</w:t>
            </w:r>
            <w:r w:rsidR="000A5329" w:rsidRPr="002029AF">
              <w:t xml:space="preserve"> </w:t>
            </w:r>
            <w:r w:rsidRPr="002029AF">
              <w:t>201</w:t>
            </w:r>
            <w:r w:rsidR="00DB53E6" w:rsidRPr="002029AF">
              <w:t>9–</w:t>
            </w:r>
            <w:r w:rsidRPr="002029AF">
              <w:t>20.</w:t>
            </w:r>
          </w:p>
          <w:p w14:paraId="02E2E912" w14:textId="55ED5164" w:rsidR="00CF72D5" w:rsidRPr="002029AF" w:rsidRDefault="00CF72D5" w:rsidP="00897193">
            <w:pPr>
              <w:pStyle w:val="ARtabletext"/>
            </w:pPr>
            <w:r w:rsidRPr="002029AF">
              <w:t>The</w:t>
            </w:r>
            <w:r w:rsidR="000A5329" w:rsidRPr="002029AF">
              <w:t xml:space="preserve"> </w:t>
            </w:r>
            <w:r w:rsidRPr="002029AF">
              <w:t>department</w:t>
            </w:r>
            <w:r w:rsidR="000A5329" w:rsidRPr="002029AF">
              <w:t xml:space="preserve"> </w:t>
            </w:r>
            <w:r w:rsidRPr="002029AF">
              <w:t>commenced</w:t>
            </w:r>
            <w:r w:rsidR="000A5329" w:rsidRPr="002029AF">
              <w:t xml:space="preserve"> </w:t>
            </w:r>
            <w:r w:rsidRPr="002029AF">
              <w:t>regular</w:t>
            </w:r>
            <w:r w:rsidR="000A5329" w:rsidRPr="002029AF">
              <w:t xml:space="preserve"> </w:t>
            </w:r>
            <w:r w:rsidRPr="002029AF">
              <w:t>delivery</w:t>
            </w:r>
            <w:r w:rsidR="000A5329" w:rsidRPr="002029AF">
              <w:t xml:space="preserve"> </w:t>
            </w:r>
            <w:r w:rsidRPr="002029AF">
              <w:t>of</w:t>
            </w:r>
            <w:r w:rsidR="000A5329" w:rsidRPr="002029AF">
              <w:t xml:space="preserve"> </w:t>
            </w:r>
            <w:r w:rsidRPr="002029AF">
              <w:t>the</w:t>
            </w:r>
            <w:r w:rsidR="000A5329" w:rsidRPr="002029AF">
              <w:t xml:space="preserve"> </w:t>
            </w:r>
            <w:r w:rsidRPr="002029AF">
              <w:t>revised</w:t>
            </w:r>
            <w:r w:rsidR="000A5329" w:rsidRPr="002029AF">
              <w:t xml:space="preserve"> </w:t>
            </w:r>
            <w:r w:rsidRPr="002029AF">
              <w:t>primary</w:t>
            </w:r>
            <w:r w:rsidR="000A5329" w:rsidRPr="002029AF">
              <w:t xml:space="preserve"> </w:t>
            </w:r>
            <w:r w:rsidRPr="002029AF">
              <w:t>prevention</w:t>
            </w:r>
            <w:r w:rsidR="000A5329" w:rsidRPr="002029AF">
              <w:t xml:space="preserve"> </w:t>
            </w:r>
            <w:r w:rsidRPr="002029AF">
              <w:t>and</w:t>
            </w:r>
            <w:r w:rsidR="000A5329" w:rsidRPr="002029AF">
              <w:t xml:space="preserve"> </w:t>
            </w:r>
            <w:r w:rsidRPr="002029AF">
              <w:t>management</w:t>
            </w:r>
            <w:r w:rsidR="000A5329" w:rsidRPr="002029AF">
              <w:t xml:space="preserve"> </w:t>
            </w:r>
            <w:r w:rsidRPr="002029AF">
              <w:t>of</w:t>
            </w:r>
            <w:r w:rsidR="000A5329" w:rsidRPr="002029AF">
              <w:t xml:space="preserve"> </w:t>
            </w:r>
            <w:r w:rsidRPr="002029AF">
              <w:t>occupational</w:t>
            </w:r>
            <w:r w:rsidR="000A5329" w:rsidRPr="002029AF">
              <w:t xml:space="preserve"> </w:t>
            </w:r>
            <w:r w:rsidRPr="002029AF">
              <w:t>violence</w:t>
            </w:r>
            <w:r w:rsidR="000A5329" w:rsidRPr="002029AF">
              <w:t xml:space="preserve"> </w:t>
            </w:r>
            <w:r w:rsidRPr="002029AF">
              <w:t>and</w:t>
            </w:r>
            <w:r w:rsidR="000A5329" w:rsidRPr="002029AF">
              <w:t xml:space="preserve"> </w:t>
            </w:r>
            <w:r w:rsidRPr="002029AF">
              <w:t>aggression</w:t>
            </w:r>
            <w:r w:rsidR="000A5329" w:rsidRPr="002029AF">
              <w:t xml:space="preserve"> </w:t>
            </w:r>
            <w:r w:rsidRPr="002029AF">
              <w:t>training</w:t>
            </w:r>
            <w:r w:rsidR="000A5329" w:rsidRPr="002029AF">
              <w:t xml:space="preserve"> </w:t>
            </w:r>
            <w:r w:rsidRPr="002029AF">
              <w:t>program,</w:t>
            </w:r>
            <w:r w:rsidR="000A5329" w:rsidRPr="002029AF">
              <w:t xml:space="preserve"> </w:t>
            </w:r>
            <w:r w:rsidRPr="002029AF">
              <w:t>Planning</w:t>
            </w:r>
            <w:r w:rsidR="000A5329" w:rsidRPr="002029AF">
              <w:t xml:space="preserve"> </w:t>
            </w:r>
            <w:r w:rsidRPr="002029AF">
              <w:t>for</w:t>
            </w:r>
            <w:r w:rsidR="000A5329" w:rsidRPr="002029AF">
              <w:t xml:space="preserve"> </w:t>
            </w:r>
            <w:r w:rsidRPr="002029AF">
              <w:t>Your</w:t>
            </w:r>
            <w:r w:rsidR="000A5329" w:rsidRPr="002029AF">
              <w:t xml:space="preserve"> </w:t>
            </w:r>
            <w:r w:rsidRPr="002029AF">
              <w:t>Safety</w:t>
            </w:r>
            <w:r w:rsidR="000A5329" w:rsidRPr="002029AF">
              <w:t xml:space="preserve"> </w:t>
            </w:r>
            <w:r w:rsidRPr="002029AF">
              <w:t>with</w:t>
            </w:r>
            <w:r w:rsidR="000A5329" w:rsidRPr="002029AF">
              <w:t xml:space="preserve"> </w:t>
            </w:r>
            <w:r w:rsidRPr="002029AF">
              <w:t>306</w:t>
            </w:r>
            <w:r w:rsidR="000A5329" w:rsidRPr="002029AF">
              <w:t xml:space="preserve"> </w:t>
            </w:r>
            <w:r w:rsidRPr="002029AF">
              <w:t>staff</w:t>
            </w:r>
            <w:r w:rsidR="000A5329" w:rsidRPr="002029AF">
              <w:t xml:space="preserve"> </w:t>
            </w:r>
            <w:r w:rsidRPr="002029AF">
              <w:t>participating</w:t>
            </w:r>
            <w:r w:rsidR="000A5329" w:rsidRPr="002029AF">
              <w:t xml:space="preserve"> </w:t>
            </w:r>
            <w:r w:rsidRPr="002029AF">
              <w:t>during</w:t>
            </w:r>
            <w:r w:rsidR="000A5329" w:rsidRPr="002029AF">
              <w:t xml:space="preserve"> </w:t>
            </w:r>
            <w:r w:rsidRPr="002029AF">
              <w:t>the</w:t>
            </w:r>
            <w:r w:rsidR="000A5329" w:rsidRPr="002029AF">
              <w:t xml:space="preserve"> </w:t>
            </w:r>
            <w:r w:rsidRPr="002029AF">
              <w:t>year.</w:t>
            </w:r>
          </w:p>
          <w:p w14:paraId="56141055" w14:textId="5250C24F" w:rsidR="00CF72D5" w:rsidRPr="002029AF" w:rsidRDefault="00CF72D5" w:rsidP="00897193">
            <w:pPr>
              <w:pStyle w:val="ARtabletext"/>
            </w:pPr>
            <w:r w:rsidRPr="002029AF">
              <w:t>All</w:t>
            </w:r>
            <w:r w:rsidR="000A5329" w:rsidRPr="002029AF">
              <w:t xml:space="preserve"> </w:t>
            </w:r>
            <w:r w:rsidRPr="002029AF">
              <w:t>health</w:t>
            </w:r>
            <w:r w:rsidR="000A5329" w:rsidRPr="002029AF">
              <w:t xml:space="preserve"> </w:t>
            </w:r>
            <w:r w:rsidRPr="002029AF">
              <w:t>and</w:t>
            </w:r>
            <w:r w:rsidR="000A5329" w:rsidRPr="002029AF">
              <w:t xml:space="preserve"> </w:t>
            </w:r>
            <w:r w:rsidRPr="002029AF">
              <w:t>safety</w:t>
            </w:r>
            <w:r w:rsidR="000A5329" w:rsidRPr="002029AF">
              <w:t xml:space="preserve"> </w:t>
            </w:r>
            <w:r w:rsidRPr="002029AF">
              <w:t>representatives</w:t>
            </w:r>
            <w:r w:rsidR="000A5329" w:rsidRPr="002029AF">
              <w:t xml:space="preserve"> </w:t>
            </w:r>
            <w:r w:rsidRPr="002029AF">
              <w:t>elected</w:t>
            </w:r>
            <w:r w:rsidR="000A5329" w:rsidRPr="002029AF">
              <w:t xml:space="preserve"> </w:t>
            </w:r>
            <w:r w:rsidRPr="002029AF">
              <w:t>were</w:t>
            </w:r>
            <w:r w:rsidR="000A5329" w:rsidRPr="002029AF">
              <w:t xml:space="preserve"> </w:t>
            </w:r>
            <w:r w:rsidRPr="002029AF">
              <w:t>encouraged</w:t>
            </w:r>
            <w:r w:rsidR="000A5329" w:rsidRPr="002029AF">
              <w:t xml:space="preserve"> </w:t>
            </w:r>
            <w:r w:rsidRPr="002029AF">
              <w:t>and</w:t>
            </w:r>
            <w:r w:rsidR="000A5329" w:rsidRPr="002029AF">
              <w:t xml:space="preserve"> </w:t>
            </w:r>
            <w:r w:rsidRPr="002029AF">
              <w:t>supported</w:t>
            </w:r>
            <w:r w:rsidR="000A5329" w:rsidRPr="002029AF">
              <w:t xml:space="preserve"> </w:t>
            </w:r>
            <w:r w:rsidRPr="002029AF">
              <w:t>by</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to</w:t>
            </w:r>
            <w:r w:rsidR="000A5329" w:rsidRPr="002029AF">
              <w:t xml:space="preserve"> </w:t>
            </w:r>
            <w:r w:rsidRPr="002029AF">
              <w:t>undertake</w:t>
            </w:r>
            <w:r w:rsidR="000A5329" w:rsidRPr="002029AF">
              <w:t xml:space="preserve"> </w:t>
            </w:r>
            <w:r w:rsidRPr="002029AF">
              <w:t>the</w:t>
            </w:r>
            <w:r w:rsidR="000A5329" w:rsidRPr="002029AF">
              <w:t xml:space="preserve"> </w:t>
            </w:r>
            <w:r w:rsidRPr="002029AF">
              <w:t>five-day</w:t>
            </w:r>
            <w:r w:rsidR="000A5329" w:rsidRPr="002029AF">
              <w:t xml:space="preserve"> </w:t>
            </w:r>
            <w:r w:rsidRPr="002029AF">
              <w:t>health</w:t>
            </w:r>
            <w:r w:rsidR="000A5329" w:rsidRPr="002029AF">
              <w:t xml:space="preserve"> </w:t>
            </w:r>
            <w:r w:rsidRPr="002029AF">
              <w:t>and</w:t>
            </w:r>
            <w:r w:rsidR="000A5329" w:rsidRPr="002029AF">
              <w:t xml:space="preserve"> </w:t>
            </w:r>
            <w:r w:rsidRPr="002029AF">
              <w:t>safety</w:t>
            </w:r>
            <w:r w:rsidR="000A5329" w:rsidRPr="002029AF">
              <w:t xml:space="preserve"> </w:t>
            </w:r>
            <w:r w:rsidRPr="002029AF">
              <w:t>representative</w:t>
            </w:r>
            <w:r w:rsidR="000A5329" w:rsidRPr="002029AF">
              <w:t xml:space="preserve"> </w:t>
            </w:r>
            <w:r w:rsidRPr="002029AF">
              <w:t>training</w:t>
            </w:r>
            <w:r w:rsidR="000A5329" w:rsidRPr="002029AF">
              <w:t xml:space="preserve"> </w:t>
            </w:r>
            <w:r w:rsidRPr="002029AF">
              <w:t>program.</w:t>
            </w:r>
          </w:p>
          <w:p w14:paraId="19369C42" w14:textId="55C2122E" w:rsidR="00CF72D5" w:rsidRPr="002029AF" w:rsidRDefault="00CF72D5" w:rsidP="00897193">
            <w:pPr>
              <w:pStyle w:val="ARtabletext"/>
            </w:pPr>
            <w:r w:rsidRPr="002029AF">
              <w:t>The</w:t>
            </w:r>
            <w:r w:rsidR="000A5329" w:rsidRPr="002029AF">
              <w:t xml:space="preserve"> </w:t>
            </w:r>
            <w:r w:rsidRPr="002029AF">
              <w:t>department</w:t>
            </w:r>
            <w:r w:rsidR="000A5329" w:rsidRPr="002029AF">
              <w:t xml:space="preserve"> </w:t>
            </w:r>
            <w:r w:rsidRPr="002029AF">
              <w:t>conducts</w:t>
            </w:r>
            <w:r w:rsidR="000A5329" w:rsidRPr="002029AF">
              <w:t xml:space="preserve"> </w:t>
            </w:r>
            <w:r w:rsidRPr="002029AF">
              <w:t>an</w:t>
            </w:r>
            <w:r w:rsidR="000A5329" w:rsidRPr="002029AF">
              <w:t xml:space="preserve"> </w:t>
            </w:r>
            <w:r w:rsidRPr="002029AF">
              <w:t>annual</w:t>
            </w:r>
            <w:r w:rsidR="000A5329" w:rsidRPr="002029AF">
              <w:t xml:space="preserve"> </w:t>
            </w:r>
            <w:r w:rsidRPr="002029AF">
              <w:t>health</w:t>
            </w:r>
            <w:r w:rsidR="000A5329" w:rsidRPr="002029AF">
              <w:t xml:space="preserve"> </w:t>
            </w:r>
            <w:r w:rsidRPr="002029AF">
              <w:t>and</w:t>
            </w:r>
            <w:r w:rsidR="000A5329" w:rsidRPr="002029AF">
              <w:t xml:space="preserve"> </w:t>
            </w:r>
            <w:r w:rsidRPr="002029AF">
              <w:t>safety</w:t>
            </w:r>
            <w:r w:rsidR="000A5329" w:rsidRPr="002029AF">
              <w:t xml:space="preserve"> </w:t>
            </w:r>
            <w:r w:rsidRPr="002029AF">
              <w:t>representative</w:t>
            </w:r>
            <w:r w:rsidR="000A5329" w:rsidRPr="002029AF">
              <w:t xml:space="preserve"> </w:t>
            </w:r>
            <w:r w:rsidRPr="002029AF">
              <w:t>forum</w:t>
            </w:r>
            <w:r w:rsidR="000A5329" w:rsidRPr="002029AF">
              <w:t xml:space="preserve"> </w:t>
            </w:r>
            <w:r w:rsidRPr="002029AF">
              <w:t>each</w:t>
            </w:r>
            <w:r w:rsidR="000A5329" w:rsidRPr="002029AF">
              <w:t xml:space="preserve"> </w:t>
            </w:r>
            <w:r w:rsidRPr="002029AF">
              <w:t>year</w:t>
            </w:r>
            <w:r w:rsidR="000A5329" w:rsidRPr="002029AF">
              <w:t xml:space="preserve"> </w:t>
            </w:r>
            <w:r w:rsidRPr="002029AF">
              <w:t>as</w:t>
            </w:r>
            <w:r w:rsidR="000A5329" w:rsidRPr="002029AF">
              <w:t xml:space="preserve"> </w:t>
            </w:r>
            <w:r w:rsidRPr="002029AF">
              <w:t>a</w:t>
            </w:r>
            <w:r w:rsidR="000A5329" w:rsidRPr="002029AF">
              <w:t xml:space="preserve"> </w:t>
            </w:r>
            <w:r w:rsidRPr="002029AF">
              <w:t>key</w:t>
            </w:r>
            <w:r w:rsidR="000A5329" w:rsidRPr="002029AF">
              <w:t xml:space="preserve"> </w:t>
            </w:r>
            <w:r w:rsidRPr="002029AF">
              <w:t>activity</w:t>
            </w:r>
            <w:r w:rsidR="000A5329" w:rsidRPr="002029AF">
              <w:t xml:space="preserve"> </w:t>
            </w:r>
            <w:r w:rsidRPr="002029AF">
              <w:t>to</w:t>
            </w:r>
            <w:r w:rsidR="000A5329" w:rsidRPr="002029AF">
              <w:t xml:space="preserve"> </w:t>
            </w:r>
            <w:r w:rsidRPr="002029AF">
              <w:t>support</w:t>
            </w:r>
            <w:r w:rsidR="000A5329" w:rsidRPr="002029AF">
              <w:t xml:space="preserve"> </w:t>
            </w:r>
            <w:r w:rsidRPr="002029AF">
              <w:t>and</w:t>
            </w:r>
            <w:r w:rsidR="000A5329" w:rsidRPr="002029AF">
              <w:t xml:space="preserve"> </w:t>
            </w:r>
            <w:r w:rsidRPr="002029AF">
              <w:t>recognise</w:t>
            </w:r>
            <w:r w:rsidR="000A5329" w:rsidRPr="002029AF">
              <w:t xml:space="preserve"> </w:t>
            </w:r>
            <w:r w:rsidRPr="002029AF">
              <w:t>our</w:t>
            </w:r>
            <w:r w:rsidR="000A5329" w:rsidRPr="002029AF">
              <w:t xml:space="preserve"> </w:t>
            </w:r>
            <w:r w:rsidRPr="002029AF">
              <w:t>elected</w:t>
            </w:r>
            <w:r w:rsidR="000A5329" w:rsidRPr="002029AF">
              <w:t xml:space="preserve"> </w:t>
            </w:r>
            <w:r w:rsidRPr="002029AF">
              <w:t>health</w:t>
            </w:r>
            <w:r w:rsidR="000A5329" w:rsidRPr="002029AF">
              <w:t xml:space="preserve"> </w:t>
            </w:r>
            <w:r w:rsidRPr="002029AF">
              <w:t>and</w:t>
            </w:r>
            <w:r w:rsidR="000A5329" w:rsidRPr="002029AF">
              <w:t xml:space="preserve"> </w:t>
            </w:r>
            <w:r w:rsidRPr="002029AF">
              <w:t>safety</w:t>
            </w:r>
            <w:r w:rsidR="000A5329" w:rsidRPr="002029AF">
              <w:t xml:space="preserve"> </w:t>
            </w:r>
            <w:r w:rsidRPr="002029AF">
              <w:t>representatives.</w:t>
            </w:r>
            <w:r w:rsidR="000A5329" w:rsidRPr="002029AF">
              <w:t xml:space="preserve"> </w:t>
            </w:r>
            <w:r w:rsidRPr="002029AF">
              <w:t>There</w:t>
            </w:r>
            <w:r w:rsidR="000A5329" w:rsidRPr="002029AF">
              <w:t xml:space="preserve"> </w:t>
            </w:r>
            <w:r w:rsidRPr="002029AF">
              <w:t>were</w:t>
            </w:r>
            <w:r w:rsidR="000A5329" w:rsidRPr="002029AF">
              <w:t xml:space="preserve"> </w:t>
            </w:r>
            <w:r w:rsidRPr="002029AF">
              <w:t>approximately</w:t>
            </w:r>
            <w:r w:rsidR="000A5329" w:rsidRPr="002029AF">
              <w:t xml:space="preserve"> </w:t>
            </w:r>
            <w:r w:rsidRPr="002029AF">
              <w:t>110</w:t>
            </w:r>
            <w:r w:rsidR="000A5329" w:rsidRPr="002029AF">
              <w:t xml:space="preserve"> </w:t>
            </w:r>
            <w:r w:rsidRPr="002029AF">
              <w:t>participants</w:t>
            </w:r>
            <w:r w:rsidR="000A5329" w:rsidRPr="002029AF">
              <w:t xml:space="preserve"> </w:t>
            </w:r>
            <w:r w:rsidRPr="002029AF">
              <w:t>at</w:t>
            </w:r>
            <w:r w:rsidR="000A5329" w:rsidRPr="002029AF">
              <w:t xml:space="preserve"> </w:t>
            </w:r>
            <w:r w:rsidRPr="002029AF">
              <w:t>the</w:t>
            </w:r>
            <w:r w:rsidR="000A5329" w:rsidRPr="002029AF">
              <w:t xml:space="preserve"> </w:t>
            </w:r>
            <w:r w:rsidRPr="002029AF">
              <w:t>2019</w:t>
            </w:r>
            <w:r w:rsidR="000A5329" w:rsidRPr="002029AF">
              <w:t xml:space="preserve"> </w:t>
            </w:r>
            <w:r w:rsidRPr="002029AF">
              <w:t>forum.</w:t>
            </w:r>
          </w:p>
        </w:tc>
      </w:tr>
    </w:tbl>
    <w:p w14:paraId="4EACA098" w14:textId="581635A5" w:rsidR="00CF72D5" w:rsidRPr="002029AF" w:rsidRDefault="00CF72D5" w:rsidP="00897193">
      <w:pPr>
        <w:pStyle w:val="ARtablefootnote"/>
      </w:pPr>
      <w:bookmarkStart w:id="99" w:name="Environmental_performance_end"/>
      <w:r w:rsidRPr="002029AF">
        <w:t>Standard</w:t>
      </w:r>
      <w:r w:rsidR="000A5329" w:rsidRPr="002029AF">
        <w:t xml:space="preserve"> </w:t>
      </w:r>
      <w:r w:rsidRPr="002029AF">
        <w:t>claims</w:t>
      </w:r>
      <w:r w:rsidR="000A5329" w:rsidRPr="002029AF">
        <w:t xml:space="preserve"> </w:t>
      </w:r>
      <w:r w:rsidRPr="002029AF">
        <w:t>are</w:t>
      </w:r>
      <w:r w:rsidR="000A5329" w:rsidRPr="002029AF">
        <w:t xml:space="preserve"> </w:t>
      </w:r>
      <w:r w:rsidRPr="002029AF">
        <w:t>those</w:t>
      </w:r>
      <w:r w:rsidR="000A5329" w:rsidRPr="002029AF">
        <w:t xml:space="preserve"> </w:t>
      </w:r>
      <w:r w:rsidRPr="002029AF">
        <w:t>that</w:t>
      </w:r>
      <w:r w:rsidR="000A5329" w:rsidRPr="002029AF">
        <w:t xml:space="preserve"> </w:t>
      </w:r>
      <w:r w:rsidRPr="002029AF">
        <w:t>have</w:t>
      </w:r>
      <w:r w:rsidR="000A5329" w:rsidRPr="002029AF">
        <w:t xml:space="preserve"> </w:t>
      </w:r>
      <w:r w:rsidRPr="002029AF">
        <w:t>exceeded</w:t>
      </w:r>
      <w:r w:rsidR="000A5329" w:rsidRPr="002029AF">
        <w:t xml:space="preserve"> </w:t>
      </w:r>
      <w:r w:rsidRPr="002029AF">
        <w:t>the</w:t>
      </w:r>
      <w:r w:rsidR="000A5329" w:rsidRPr="002029AF">
        <w:t xml:space="preserve"> </w:t>
      </w:r>
      <w:r w:rsidRPr="002029AF">
        <w:t>employer</w:t>
      </w:r>
      <w:r w:rsidR="000A5329" w:rsidRPr="002029AF">
        <w:t xml:space="preserve"> </w:t>
      </w:r>
      <w:r w:rsidRPr="002029AF">
        <w:t>excess</w:t>
      </w:r>
      <w:r w:rsidR="000A5329" w:rsidRPr="002029AF">
        <w:t xml:space="preserve"> </w:t>
      </w:r>
      <w:r w:rsidRPr="002029AF">
        <w:t>(days</w:t>
      </w:r>
      <w:r w:rsidR="000A5329" w:rsidRPr="002029AF">
        <w:t xml:space="preserve"> </w:t>
      </w:r>
      <w:r w:rsidRPr="002029AF">
        <w:t>or</w:t>
      </w:r>
      <w:r w:rsidR="000A5329" w:rsidRPr="002029AF">
        <w:t xml:space="preserve"> </w:t>
      </w:r>
      <w:r w:rsidRPr="002029AF">
        <w:t>dollars)</w:t>
      </w:r>
      <w:r w:rsidR="000A5329" w:rsidRPr="002029AF">
        <w:t xml:space="preserve"> </w:t>
      </w:r>
      <w:r w:rsidRPr="002029AF">
        <w:t>or</w:t>
      </w:r>
      <w:r w:rsidR="000A5329" w:rsidRPr="002029AF">
        <w:t xml:space="preserve"> </w:t>
      </w:r>
      <w:r w:rsidRPr="002029AF">
        <w:t>are</w:t>
      </w:r>
      <w:r w:rsidR="000A5329" w:rsidRPr="002029AF">
        <w:t xml:space="preserve"> </w:t>
      </w:r>
      <w:r w:rsidRPr="002029AF">
        <w:t>open</w:t>
      </w:r>
      <w:r w:rsidR="000A5329" w:rsidRPr="002029AF">
        <w:t xml:space="preserve"> </w:t>
      </w:r>
      <w:r w:rsidRPr="002029AF">
        <w:t>claims</w:t>
      </w:r>
      <w:r w:rsidR="000A5329" w:rsidRPr="002029AF">
        <w:t xml:space="preserve"> </w:t>
      </w:r>
      <w:r w:rsidRPr="002029AF">
        <w:t>that</w:t>
      </w:r>
      <w:r w:rsidR="000A5329" w:rsidRPr="002029AF">
        <w:t xml:space="preserve"> </w:t>
      </w:r>
      <w:r w:rsidRPr="002029AF">
        <w:t>have</w:t>
      </w:r>
      <w:r w:rsidR="000A5329" w:rsidRPr="002029AF">
        <w:t xml:space="preserve"> </w:t>
      </w:r>
      <w:r w:rsidRPr="002029AF">
        <w:t>been</w:t>
      </w:r>
      <w:r w:rsidR="000A5329" w:rsidRPr="002029AF">
        <w:t xml:space="preserve"> </w:t>
      </w:r>
      <w:r w:rsidRPr="002029AF">
        <w:t>received</w:t>
      </w:r>
      <w:r w:rsidR="000A5329" w:rsidRPr="002029AF">
        <w:t xml:space="preserve"> </w:t>
      </w:r>
      <w:r w:rsidRPr="002029AF">
        <w:t>but</w:t>
      </w:r>
      <w:r w:rsidR="000A5329" w:rsidRPr="002029AF">
        <w:t xml:space="preserve"> </w:t>
      </w:r>
      <w:r w:rsidRPr="002029AF">
        <w:t>have</w:t>
      </w:r>
      <w:r w:rsidR="000A5329" w:rsidRPr="002029AF">
        <w:t xml:space="preserve"> </w:t>
      </w:r>
      <w:r w:rsidRPr="002029AF">
        <w:t>no</w:t>
      </w:r>
      <w:r w:rsidR="000A5329" w:rsidRPr="002029AF">
        <w:t xml:space="preserve"> </w:t>
      </w:r>
      <w:r w:rsidRPr="002029AF">
        <w:t>payments</w:t>
      </w:r>
      <w:r w:rsidR="000A5329" w:rsidRPr="002029AF">
        <w:t xml:space="preserve"> </w:t>
      </w:r>
      <w:r w:rsidRPr="002029AF">
        <w:t>at</w:t>
      </w:r>
      <w:r w:rsidR="000A5329" w:rsidRPr="002029AF">
        <w:t xml:space="preserve"> </w:t>
      </w:r>
      <w:r w:rsidRPr="002029AF">
        <w:t>the</w:t>
      </w:r>
      <w:r w:rsidR="000A5329" w:rsidRPr="002029AF">
        <w:t xml:space="preserve"> </w:t>
      </w:r>
      <w:r w:rsidRPr="002029AF">
        <w:t>time</w:t>
      </w:r>
      <w:r w:rsidR="000A5329" w:rsidRPr="002029AF">
        <w:t xml:space="preserve"> </w:t>
      </w:r>
      <w:r w:rsidRPr="002029AF">
        <w:t>of</w:t>
      </w:r>
      <w:r w:rsidR="000A5329" w:rsidRPr="002029AF">
        <w:t xml:space="preserve"> </w:t>
      </w:r>
      <w:r w:rsidRPr="002029AF">
        <w:t>extraction</w:t>
      </w:r>
      <w:r w:rsidR="000A5329" w:rsidRPr="002029AF">
        <w:t xml:space="preserve"> </w:t>
      </w:r>
      <w:r w:rsidRPr="002029AF">
        <w:t>and</w:t>
      </w:r>
      <w:r w:rsidR="000A5329" w:rsidRPr="002029AF">
        <w:t xml:space="preserve"> </w:t>
      </w:r>
      <w:r w:rsidRPr="002029AF">
        <w:t>may</w:t>
      </w:r>
      <w:r w:rsidR="000A5329" w:rsidRPr="002029AF">
        <w:t xml:space="preserve"> </w:t>
      </w:r>
      <w:r w:rsidRPr="002029AF">
        <w:t>be</w:t>
      </w:r>
      <w:r w:rsidR="000A5329" w:rsidRPr="002029AF">
        <w:t xml:space="preserve"> </w:t>
      </w:r>
      <w:r w:rsidRPr="002029AF">
        <w:t>rejected.</w:t>
      </w:r>
    </w:p>
    <w:bookmarkEnd w:id="99"/>
    <w:p w14:paraId="4F99D450" w14:textId="28E312EF" w:rsidR="00CF72D5" w:rsidRPr="002029AF" w:rsidRDefault="00CF72D5" w:rsidP="00897193">
      <w:pPr>
        <w:pStyle w:val="ARtablefootnote"/>
      </w:pPr>
      <w:r w:rsidRPr="002029AF">
        <w:t>A</w:t>
      </w:r>
      <w:r w:rsidR="000A5329" w:rsidRPr="002029AF">
        <w:t xml:space="preserve"> </w:t>
      </w:r>
      <w:r w:rsidRPr="002029AF">
        <w:t>time-lost</w:t>
      </w:r>
      <w:r w:rsidR="000A5329" w:rsidRPr="002029AF">
        <w:t xml:space="preserve"> </w:t>
      </w:r>
      <w:r w:rsidRPr="002029AF">
        <w:t>claim</w:t>
      </w:r>
      <w:r w:rsidR="000A5329" w:rsidRPr="002029AF">
        <w:t xml:space="preserve"> </w:t>
      </w:r>
      <w:r w:rsidRPr="002029AF">
        <w:t>is</w:t>
      </w:r>
      <w:r w:rsidR="000A5329" w:rsidRPr="002029AF">
        <w:t xml:space="preserve"> </w:t>
      </w:r>
      <w:r w:rsidRPr="002029AF">
        <w:t>one</w:t>
      </w:r>
      <w:r w:rsidR="000A5329" w:rsidRPr="002029AF">
        <w:t xml:space="preserve"> </w:t>
      </w:r>
      <w:r w:rsidRPr="002029AF">
        <w:t>with</w:t>
      </w:r>
      <w:r w:rsidR="000A5329" w:rsidRPr="002029AF">
        <w:t xml:space="preserve"> </w:t>
      </w:r>
      <w:r w:rsidRPr="002029AF">
        <w:t>one</w:t>
      </w:r>
      <w:r w:rsidR="000A5329" w:rsidRPr="002029AF">
        <w:t xml:space="preserve"> </w:t>
      </w:r>
      <w:r w:rsidRPr="002029AF">
        <w:t>or</w:t>
      </w:r>
      <w:r w:rsidR="000A5329" w:rsidRPr="002029AF">
        <w:t xml:space="preserve"> </w:t>
      </w:r>
      <w:r w:rsidRPr="002029AF">
        <w:t>more</w:t>
      </w:r>
      <w:r w:rsidR="000A5329" w:rsidRPr="002029AF">
        <w:t xml:space="preserve"> </w:t>
      </w:r>
      <w:r w:rsidRPr="002029AF">
        <w:t>days</w:t>
      </w:r>
      <w:r w:rsidR="000A5329" w:rsidRPr="002029AF">
        <w:t xml:space="preserve"> </w:t>
      </w:r>
      <w:r w:rsidRPr="002029AF">
        <w:t>compensation</w:t>
      </w:r>
      <w:r w:rsidR="000A5329" w:rsidRPr="002029AF">
        <w:t xml:space="preserve"> </w:t>
      </w:r>
      <w:r w:rsidRPr="002029AF">
        <w:t>paid</w:t>
      </w:r>
      <w:r w:rsidR="000A5329" w:rsidRPr="002029AF">
        <w:t xml:space="preserve"> </w:t>
      </w:r>
      <w:r w:rsidRPr="002029AF">
        <w:t>by</w:t>
      </w:r>
      <w:r w:rsidR="000A5329" w:rsidRPr="002029AF">
        <w:t xml:space="preserve"> </w:t>
      </w:r>
      <w:r w:rsidRPr="002029AF">
        <w:t>the</w:t>
      </w:r>
      <w:r w:rsidR="000A5329" w:rsidRPr="002029AF">
        <w:t xml:space="preserve"> </w:t>
      </w:r>
      <w:r w:rsidRPr="002029AF">
        <w:t>Victorian</w:t>
      </w:r>
      <w:r w:rsidR="000A5329" w:rsidRPr="002029AF">
        <w:t xml:space="preserve"> </w:t>
      </w:r>
      <w:r w:rsidRPr="002029AF">
        <w:t>WorkCover</w:t>
      </w:r>
      <w:r w:rsidR="000A5329" w:rsidRPr="002029AF">
        <w:t xml:space="preserve"> </w:t>
      </w:r>
      <w:r w:rsidRPr="002029AF">
        <w:t>Authority</w:t>
      </w:r>
      <w:r w:rsidR="000A5329" w:rsidRPr="002029AF">
        <w:t xml:space="preserve"> </w:t>
      </w:r>
      <w:r w:rsidRPr="002029AF">
        <w:t>(that</w:t>
      </w:r>
      <w:r w:rsidR="000A5329" w:rsidRPr="002029AF">
        <w:t xml:space="preserve"> </w:t>
      </w:r>
      <w:r w:rsidRPr="002029AF">
        <w:t>is,</w:t>
      </w:r>
      <w:r w:rsidR="000A5329" w:rsidRPr="002029AF">
        <w:t xml:space="preserve"> </w:t>
      </w:r>
      <w:r w:rsidRPr="002029AF">
        <w:t>once</w:t>
      </w:r>
      <w:r w:rsidR="000A5329" w:rsidRPr="002029AF">
        <w:t xml:space="preserve"> </w:t>
      </w:r>
      <w:r w:rsidRPr="002029AF">
        <w:t>the</w:t>
      </w:r>
      <w:r w:rsidR="000A5329" w:rsidRPr="002029AF">
        <w:t xml:space="preserve"> </w:t>
      </w:r>
      <w:r w:rsidRPr="002029AF">
        <w:t>employer</w:t>
      </w:r>
      <w:r w:rsidR="000A5329" w:rsidRPr="002029AF">
        <w:t xml:space="preserve"> </w:t>
      </w:r>
      <w:r w:rsidRPr="002029AF">
        <w:t>has</w:t>
      </w:r>
      <w:r w:rsidR="000A5329" w:rsidRPr="002029AF">
        <w:t xml:space="preserve"> </w:t>
      </w:r>
      <w:r w:rsidRPr="002029AF">
        <w:t>paid</w:t>
      </w:r>
      <w:r w:rsidR="000A5329" w:rsidRPr="002029AF">
        <w:t xml:space="preserve"> </w:t>
      </w:r>
      <w:r w:rsidRPr="002029AF">
        <w:t>the</w:t>
      </w:r>
      <w:r w:rsidR="000A5329" w:rsidRPr="002029AF">
        <w:t xml:space="preserve"> </w:t>
      </w:r>
      <w:r w:rsidRPr="002029AF">
        <w:t>10-day</w:t>
      </w:r>
      <w:r w:rsidR="000A5329" w:rsidRPr="002029AF">
        <w:t xml:space="preserve"> </w:t>
      </w:r>
      <w:r w:rsidRPr="002029AF">
        <w:t>excess)</w:t>
      </w:r>
      <w:r w:rsidR="000A5329" w:rsidRPr="002029AF">
        <w:t xml:space="preserve"> </w:t>
      </w:r>
      <w:r w:rsidRPr="002029AF">
        <w:t>at</w:t>
      </w:r>
      <w:r w:rsidR="000A5329" w:rsidRPr="002029AF">
        <w:t xml:space="preserve"> </w:t>
      </w:r>
      <w:r w:rsidRPr="002029AF">
        <w:t>the</w:t>
      </w:r>
      <w:r w:rsidR="000A5329" w:rsidRPr="002029AF">
        <w:t xml:space="preserve"> </w:t>
      </w:r>
      <w:r w:rsidRPr="002029AF">
        <w:t>time</w:t>
      </w:r>
      <w:r w:rsidR="000A5329" w:rsidRPr="002029AF">
        <w:t xml:space="preserve"> </w:t>
      </w:r>
      <w:r w:rsidRPr="002029AF">
        <w:t>of</w:t>
      </w:r>
      <w:r w:rsidR="000A5329" w:rsidRPr="002029AF">
        <w:t xml:space="preserve"> </w:t>
      </w:r>
      <w:r w:rsidRPr="002029AF">
        <w:t>extraction.</w:t>
      </w:r>
    </w:p>
    <w:p w14:paraId="5B72ECE2" w14:textId="2347C310" w:rsidR="00CF72D5" w:rsidRPr="002029AF" w:rsidRDefault="00CF72D5" w:rsidP="00897193">
      <w:pPr>
        <w:pStyle w:val="ARtablefootnote"/>
      </w:pPr>
      <w:r w:rsidRPr="002029AF">
        <w:t>Thirteen-week</w:t>
      </w:r>
      <w:r w:rsidR="000A5329" w:rsidRPr="002029AF">
        <w:t xml:space="preserve"> </w:t>
      </w:r>
      <w:r w:rsidRPr="002029AF">
        <w:t>claims</w:t>
      </w:r>
      <w:r w:rsidR="000A5329" w:rsidRPr="002029AF">
        <w:t xml:space="preserve"> </w:t>
      </w:r>
      <w:r w:rsidRPr="002029AF">
        <w:t>are</w:t>
      </w:r>
      <w:r w:rsidR="000A5329" w:rsidRPr="002029AF">
        <w:t xml:space="preserve"> </w:t>
      </w:r>
      <w:r w:rsidRPr="002029AF">
        <w:t>claims</w:t>
      </w:r>
      <w:r w:rsidR="000A5329" w:rsidRPr="002029AF">
        <w:t xml:space="preserve"> </w:t>
      </w:r>
      <w:r w:rsidRPr="002029AF">
        <w:t>that</w:t>
      </w:r>
      <w:r w:rsidR="000A5329" w:rsidRPr="002029AF">
        <w:t xml:space="preserve"> </w:t>
      </w:r>
      <w:r w:rsidRPr="002029AF">
        <w:t>involve</w:t>
      </w:r>
      <w:r w:rsidR="000A5329" w:rsidRPr="002029AF">
        <w:t xml:space="preserve"> </w:t>
      </w:r>
      <w:r w:rsidRPr="002029AF">
        <w:t>13</w:t>
      </w:r>
      <w:r w:rsidR="000A5329" w:rsidRPr="002029AF">
        <w:t xml:space="preserve"> </w:t>
      </w:r>
      <w:r w:rsidRPr="002029AF">
        <w:t>weeks</w:t>
      </w:r>
      <w:r w:rsidR="000A5329" w:rsidRPr="002029AF">
        <w:t xml:space="preserve"> </w:t>
      </w:r>
      <w:r w:rsidRPr="002029AF">
        <w:t>or</w:t>
      </w:r>
      <w:r w:rsidR="000A5329" w:rsidRPr="002029AF">
        <w:t xml:space="preserve"> </w:t>
      </w:r>
      <w:r w:rsidRPr="002029AF">
        <w:t>more</w:t>
      </w:r>
      <w:r w:rsidR="000A5329" w:rsidRPr="002029AF">
        <w:t xml:space="preserve"> </w:t>
      </w:r>
      <w:r w:rsidRPr="002029AF">
        <w:t>of</w:t>
      </w:r>
      <w:r w:rsidR="000A5329" w:rsidRPr="002029AF">
        <w:t xml:space="preserve"> </w:t>
      </w:r>
      <w:r w:rsidRPr="002029AF">
        <w:t>weekly</w:t>
      </w:r>
      <w:r w:rsidR="000A5329" w:rsidRPr="002029AF">
        <w:t xml:space="preserve"> </w:t>
      </w:r>
      <w:r w:rsidRPr="002029AF">
        <w:t>benefits</w:t>
      </w:r>
      <w:r w:rsidR="000A5329" w:rsidRPr="002029AF">
        <w:t xml:space="preserve"> </w:t>
      </w:r>
      <w:r w:rsidRPr="002029AF">
        <w:t>paid.</w:t>
      </w:r>
      <w:r w:rsidR="000A5329" w:rsidRPr="002029AF">
        <w:t xml:space="preserve"> </w:t>
      </w:r>
      <w:r w:rsidRPr="002029AF">
        <w:t>The</w:t>
      </w:r>
      <w:r w:rsidR="000A5329" w:rsidRPr="002029AF">
        <w:t xml:space="preserve"> </w:t>
      </w:r>
      <w:r w:rsidRPr="002029AF">
        <w:t>13-week</w:t>
      </w:r>
      <w:r w:rsidR="000A5329" w:rsidRPr="002029AF">
        <w:t xml:space="preserve"> </w:t>
      </w:r>
      <w:r w:rsidRPr="002029AF">
        <w:t>measure</w:t>
      </w:r>
      <w:r w:rsidR="000A5329" w:rsidRPr="002029AF">
        <w:t xml:space="preserve"> </w:t>
      </w:r>
      <w:r w:rsidRPr="002029AF">
        <w:t>begins</w:t>
      </w:r>
      <w:r w:rsidR="000A5329" w:rsidRPr="002029AF">
        <w:t xml:space="preserve"> </w:t>
      </w:r>
      <w:r w:rsidRPr="002029AF">
        <w:t>at</w:t>
      </w:r>
      <w:r w:rsidR="000A5329" w:rsidRPr="002029AF">
        <w:t xml:space="preserve"> </w:t>
      </w:r>
      <w:r w:rsidRPr="002029AF">
        <w:t>day</w:t>
      </w:r>
      <w:r w:rsidR="000A5329" w:rsidRPr="002029AF">
        <w:t xml:space="preserve"> </w:t>
      </w:r>
      <w:r w:rsidRPr="002029AF">
        <w:t>one</w:t>
      </w:r>
      <w:r w:rsidR="000A5329" w:rsidRPr="002029AF">
        <w:t xml:space="preserve"> </w:t>
      </w:r>
      <w:r w:rsidRPr="002029AF">
        <w:t>(that</w:t>
      </w:r>
      <w:r w:rsidR="000A5329" w:rsidRPr="002029AF">
        <w:t xml:space="preserve"> </w:t>
      </w:r>
      <w:r w:rsidRPr="002029AF">
        <w:t>is,</w:t>
      </w:r>
      <w:r w:rsidR="000A5329" w:rsidRPr="002029AF">
        <w:t xml:space="preserve"> </w:t>
      </w:r>
      <w:r w:rsidRPr="002029AF">
        <w:t>employer</w:t>
      </w:r>
      <w:r w:rsidR="000A5329" w:rsidRPr="002029AF">
        <w:t xml:space="preserve"> </w:t>
      </w:r>
      <w:r w:rsidRPr="002029AF">
        <w:t>excess</w:t>
      </w:r>
      <w:r w:rsidR="000A5329" w:rsidRPr="002029AF">
        <w:t xml:space="preserve"> </w:t>
      </w:r>
      <w:r w:rsidRPr="002029AF">
        <w:t>and</w:t>
      </w:r>
      <w:r w:rsidR="000A5329" w:rsidRPr="002029AF">
        <w:t xml:space="preserve"> </w:t>
      </w:r>
      <w:r w:rsidRPr="002029AF">
        <w:t>Victorian</w:t>
      </w:r>
      <w:r w:rsidR="000A5329" w:rsidRPr="002029AF">
        <w:t xml:space="preserve"> </w:t>
      </w:r>
      <w:r w:rsidRPr="002029AF">
        <w:t>WorkCover</w:t>
      </w:r>
      <w:r w:rsidR="000A5329" w:rsidRPr="002029AF">
        <w:t xml:space="preserve"> </w:t>
      </w:r>
      <w:r w:rsidRPr="002029AF">
        <w:t>Authority</w:t>
      </w:r>
      <w:r w:rsidR="000A5329" w:rsidRPr="002029AF">
        <w:t xml:space="preserve"> </w:t>
      </w:r>
      <w:r w:rsidRPr="002029AF">
        <w:t>payments).</w:t>
      </w:r>
    </w:p>
    <w:p w14:paraId="25FB3D02" w14:textId="77777777" w:rsidR="00CF72D5" w:rsidRPr="002029AF" w:rsidRDefault="00CF72D5" w:rsidP="00897193">
      <w:pPr>
        <w:sectPr w:rsidR="00CF72D5" w:rsidRPr="002029AF" w:rsidSect="005E1789">
          <w:footnotePr>
            <w:numRestart w:val="eachPage"/>
          </w:footnotePr>
          <w:type w:val="continuous"/>
          <w:pgSz w:w="11906" w:h="16838" w:code="9"/>
          <w:pgMar w:top="1985" w:right="851" w:bottom="851" w:left="1418" w:header="510" w:footer="340" w:gutter="0"/>
          <w:cols w:space="454"/>
          <w:docGrid w:linePitch="360"/>
          <w15:footnoteColumns w:val="1"/>
        </w:sectPr>
      </w:pPr>
    </w:p>
    <w:p w14:paraId="52C4D78B" w14:textId="1494C39F" w:rsidR="00CF72D5" w:rsidRPr="002029AF" w:rsidRDefault="00CF72D5" w:rsidP="00897193">
      <w:pPr>
        <w:pStyle w:val="Heading1"/>
        <w:rPr>
          <w:rFonts w:cs="Arial"/>
        </w:rPr>
      </w:pPr>
      <w:bookmarkStart w:id="100" w:name="_Toc54690770"/>
      <w:r w:rsidRPr="002029AF">
        <w:rPr>
          <w:rFonts w:cs="Arial"/>
        </w:rPr>
        <w:lastRenderedPageBreak/>
        <w:t>Disclosures</w:t>
      </w:r>
      <w:bookmarkEnd w:id="100"/>
    </w:p>
    <w:bookmarkStart w:id="101" w:name="_Toc41961291"/>
    <w:p w14:paraId="41FB6397" w14:textId="4F70B350" w:rsidR="00B3569E" w:rsidRDefault="00492FD1">
      <w:pPr>
        <w:pStyle w:val="TOC1"/>
        <w:rPr>
          <w:rFonts w:asciiTheme="minorHAnsi" w:hAnsiTheme="minorHAnsi"/>
          <w:sz w:val="22"/>
          <w:szCs w:val="22"/>
          <w:lang w:eastAsia="en-AU"/>
        </w:rPr>
      </w:pPr>
      <w:r w:rsidRPr="002029AF">
        <w:rPr>
          <w:rFonts w:cs="Arial"/>
          <w:b/>
          <w:noProof w:val="0"/>
        </w:rPr>
        <w:fldChar w:fldCharType="begin"/>
      </w:r>
      <w:r w:rsidRPr="002029AF">
        <w:rPr>
          <w:rFonts w:cs="Arial"/>
          <w:b/>
          <w:noProof w:val="0"/>
        </w:rPr>
        <w:instrText xml:space="preserve"> TOC \b Disclosures \h \z \t "Heading 2,</w:instrText>
      </w:r>
      <w:r w:rsidR="00E3577B" w:rsidRPr="002029AF">
        <w:rPr>
          <w:rFonts w:cs="Arial"/>
          <w:b/>
          <w:noProof w:val="0"/>
        </w:rPr>
        <w:instrText>1</w:instrText>
      </w:r>
      <w:r w:rsidRPr="002029AF">
        <w:rPr>
          <w:rFonts w:cs="Arial"/>
          <w:b/>
          <w:noProof w:val="0"/>
        </w:rPr>
        <w:instrText xml:space="preserve">" </w:instrText>
      </w:r>
      <w:r w:rsidRPr="002029AF">
        <w:rPr>
          <w:rFonts w:cs="Arial"/>
          <w:b/>
          <w:noProof w:val="0"/>
        </w:rPr>
        <w:fldChar w:fldCharType="separate"/>
      </w:r>
      <w:hyperlink w:anchor="_Toc54690782" w:history="1">
        <w:r w:rsidR="00B3569E" w:rsidRPr="007C27AC">
          <w:rPr>
            <w:rStyle w:val="Hyperlink"/>
          </w:rPr>
          <w:t>Department of Health and Human Services compliance with DataVic access policy</w:t>
        </w:r>
        <w:r w:rsidR="00B3569E">
          <w:rPr>
            <w:webHidden/>
          </w:rPr>
          <w:tab/>
        </w:r>
        <w:r w:rsidR="00B3569E">
          <w:rPr>
            <w:webHidden/>
          </w:rPr>
          <w:fldChar w:fldCharType="begin"/>
        </w:r>
        <w:r w:rsidR="00B3569E">
          <w:rPr>
            <w:webHidden/>
          </w:rPr>
          <w:instrText xml:space="preserve"> PAGEREF _Toc54690782 \h </w:instrText>
        </w:r>
        <w:r w:rsidR="00B3569E">
          <w:rPr>
            <w:webHidden/>
          </w:rPr>
        </w:r>
        <w:r w:rsidR="00B3569E">
          <w:rPr>
            <w:webHidden/>
          </w:rPr>
          <w:fldChar w:fldCharType="separate"/>
        </w:r>
        <w:r w:rsidR="00F3275D">
          <w:rPr>
            <w:webHidden/>
          </w:rPr>
          <w:t>151</w:t>
        </w:r>
        <w:r w:rsidR="00B3569E">
          <w:rPr>
            <w:webHidden/>
          </w:rPr>
          <w:fldChar w:fldCharType="end"/>
        </w:r>
      </w:hyperlink>
    </w:p>
    <w:p w14:paraId="64286076" w14:textId="41F06BDC" w:rsidR="00B3569E" w:rsidRDefault="00F3275D">
      <w:pPr>
        <w:pStyle w:val="TOC1"/>
        <w:rPr>
          <w:rFonts w:asciiTheme="minorHAnsi" w:hAnsiTheme="minorHAnsi"/>
          <w:sz w:val="22"/>
          <w:szCs w:val="22"/>
          <w:lang w:eastAsia="en-AU"/>
        </w:rPr>
      </w:pPr>
      <w:hyperlink w:anchor="_Toc54690783" w:history="1">
        <w:r w:rsidR="00B3569E" w:rsidRPr="007C27AC">
          <w:rPr>
            <w:rStyle w:val="Hyperlink"/>
          </w:rPr>
          <w:t>Compliance with the Public Interest Disclosures Act 2012</w:t>
        </w:r>
        <w:r w:rsidR="00B3569E">
          <w:rPr>
            <w:webHidden/>
          </w:rPr>
          <w:tab/>
        </w:r>
        <w:r w:rsidR="00B3569E">
          <w:rPr>
            <w:webHidden/>
          </w:rPr>
          <w:fldChar w:fldCharType="begin"/>
        </w:r>
        <w:r w:rsidR="00B3569E">
          <w:rPr>
            <w:webHidden/>
          </w:rPr>
          <w:instrText xml:space="preserve"> PAGEREF _Toc54690783 \h </w:instrText>
        </w:r>
        <w:r w:rsidR="00B3569E">
          <w:rPr>
            <w:webHidden/>
          </w:rPr>
        </w:r>
        <w:r w:rsidR="00B3569E">
          <w:rPr>
            <w:webHidden/>
          </w:rPr>
          <w:fldChar w:fldCharType="separate"/>
        </w:r>
        <w:r>
          <w:rPr>
            <w:webHidden/>
          </w:rPr>
          <w:t>152</w:t>
        </w:r>
        <w:r w:rsidR="00B3569E">
          <w:rPr>
            <w:webHidden/>
          </w:rPr>
          <w:fldChar w:fldCharType="end"/>
        </w:r>
      </w:hyperlink>
    </w:p>
    <w:p w14:paraId="7C096914" w14:textId="618F5AE6" w:rsidR="00B3569E" w:rsidRDefault="00F3275D">
      <w:pPr>
        <w:pStyle w:val="TOC1"/>
        <w:rPr>
          <w:rFonts w:asciiTheme="minorHAnsi" w:hAnsiTheme="minorHAnsi"/>
          <w:sz w:val="22"/>
          <w:szCs w:val="22"/>
          <w:lang w:eastAsia="en-AU"/>
        </w:rPr>
      </w:pPr>
      <w:hyperlink w:anchor="_Toc54690784" w:history="1">
        <w:r w:rsidR="00B3569E" w:rsidRPr="007C27AC">
          <w:rPr>
            <w:rStyle w:val="Hyperlink"/>
          </w:rPr>
          <w:t>Building Act 1993</w:t>
        </w:r>
        <w:r w:rsidR="00B3569E">
          <w:rPr>
            <w:webHidden/>
          </w:rPr>
          <w:tab/>
        </w:r>
        <w:r w:rsidR="00B3569E">
          <w:rPr>
            <w:webHidden/>
          </w:rPr>
          <w:fldChar w:fldCharType="begin"/>
        </w:r>
        <w:r w:rsidR="00B3569E">
          <w:rPr>
            <w:webHidden/>
          </w:rPr>
          <w:instrText xml:space="preserve"> PAGEREF _Toc54690784 \h </w:instrText>
        </w:r>
        <w:r w:rsidR="00B3569E">
          <w:rPr>
            <w:webHidden/>
          </w:rPr>
        </w:r>
        <w:r w:rsidR="00B3569E">
          <w:rPr>
            <w:webHidden/>
          </w:rPr>
          <w:fldChar w:fldCharType="separate"/>
        </w:r>
        <w:r>
          <w:rPr>
            <w:webHidden/>
          </w:rPr>
          <w:t>153</w:t>
        </w:r>
        <w:r w:rsidR="00B3569E">
          <w:rPr>
            <w:webHidden/>
          </w:rPr>
          <w:fldChar w:fldCharType="end"/>
        </w:r>
      </w:hyperlink>
    </w:p>
    <w:p w14:paraId="101118C8" w14:textId="181B16CE" w:rsidR="00B3569E" w:rsidRDefault="00F3275D">
      <w:pPr>
        <w:pStyle w:val="TOC1"/>
        <w:rPr>
          <w:rFonts w:asciiTheme="minorHAnsi" w:hAnsiTheme="minorHAnsi"/>
          <w:sz w:val="22"/>
          <w:szCs w:val="22"/>
          <w:lang w:eastAsia="en-AU"/>
        </w:rPr>
      </w:pPr>
      <w:hyperlink w:anchor="_Toc54690785" w:history="1">
        <w:r w:rsidR="00B3569E" w:rsidRPr="007C27AC">
          <w:rPr>
            <w:rStyle w:val="Hyperlink"/>
          </w:rPr>
          <w:t>Compliance with the Carers Recognition Act 2012</w:t>
        </w:r>
        <w:r w:rsidR="00B3569E">
          <w:rPr>
            <w:webHidden/>
          </w:rPr>
          <w:tab/>
        </w:r>
        <w:r w:rsidR="00B3569E">
          <w:rPr>
            <w:webHidden/>
          </w:rPr>
          <w:fldChar w:fldCharType="begin"/>
        </w:r>
        <w:r w:rsidR="00B3569E">
          <w:rPr>
            <w:webHidden/>
          </w:rPr>
          <w:instrText xml:space="preserve"> PAGEREF _Toc54690785 \h </w:instrText>
        </w:r>
        <w:r w:rsidR="00B3569E">
          <w:rPr>
            <w:webHidden/>
          </w:rPr>
        </w:r>
        <w:r w:rsidR="00B3569E">
          <w:rPr>
            <w:webHidden/>
          </w:rPr>
          <w:fldChar w:fldCharType="separate"/>
        </w:r>
        <w:r>
          <w:rPr>
            <w:webHidden/>
          </w:rPr>
          <w:t>154</w:t>
        </w:r>
        <w:r w:rsidR="00B3569E">
          <w:rPr>
            <w:webHidden/>
          </w:rPr>
          <w:fldChar w:fldCharType="end"/>
        </w:r>
      </w:hyperlink>
    </w:p>
    <w:p w14:paraId="7AF07583" w14:textId="479404D0" w:rsidR="00B3569E" w:rsidRDefault="00F3275D">
      <w:pPr>
        <w:pStyle w:val="TOC1"/>
        <w:rPr>
          <w:rFonts w:asciiTheme="minorHAnsi" w:hAnsiTheme="minorHAnsi"/>
          <w:sz w:val="22"/>
          <w:szCs w:val="22"/>
          <w:lang w:eastAsia="en-AU"/>
        </w:rPr>
      </w:pPr>
      <w:hyperlink w:anchor="_Toc54690786" w:history="1">
        <w:r w:rsidR="00B3569E" w:rsidRPr="007C27AC">
          <w:rPr>
            <w:rStyle w:val="Hyperlink"/>
          </w:rPr>
          <w:t>National Competition Policy</w:t>
        </w:r>
        <w:r w:rsidR="00B3569E">
          <w:rPr>
            <w:webHidden/>
          </w:rPr>
          <w:tab/>
        </w:r>
        <w:r w:rsidR="00B3569E">
          <w:rPr>
            <w:webHidden/>
          </w:rPr>
          <w:fldChar w:fldCharType="begin"/>
        </w:r>
        <w:r w:rsidR="00B3569E">
          <w:rPr>
            <w:webHidden/>
          </w:rPr>
          <w:instrText xml:space="preserve"> PAGEREF _Toc54690786 \h </w:instrText>
        </w:r>
        <w:r w:rsidR="00B3569E">
          <w:rPr>
            <w:webHidden/>
          </w:rPr>
        </w:r>
        <w:r w:rsidR="00B3569E">
          <w:rPr>
            <w:webHidden/>
          </w:rPr>
          <w:fldChar w:fldCharType="separate"/>
        </w:r>
        <w:r>
          <w:rPr>
            <w:webHidden/>
          </w:rPr>
          <w:t>154</w:t>
        </w:r>
        <w:r w:rsidR="00B3569E">
          <w:rPr>
            <w:webHidden/>
          </w:rPr>
          <w:fldChar w:fldCharType="end"/>
        </w:r>
      </w:hyperlink>
    </w:p>
    <w:p w14:paraId="75D92004" w14:textId="7939D3A1" w:rsidR="00B3569E" w:rsidRDefault="00F3275D">
      <w:pPr>
        <w:pStyle w:val="TOC1"/>
        <w:rPr>
          <w:rFonts w:asciiTheme="minorHAnsi" w:hAnsiTheme="minorHAnsi"/>
          <w:sz w:val="22"/>
          <w:szCs w:val="22"/>
          <w:lang w:eastAsia="en-AU"/>
        </w:rPr>
      </w:pPr>
      <w:hyperlink w:anchor="_Toc54690787" w:history="1">
        <w:r w:rsidR="00B3569E" w:rsidRPr="007C27AC">
          <w:rPr>
            <w:rStyle w:val="Hyperlink"/>
          </w:rPr>
          <w:t>Details of consultancies</w:t>
        </w:r>
        <w:r w:rsidR="00B3569E">
          <w:rPr>
            <w:webHidden/>
          </w:rPr>
          <w:tab/>
        </w:r>
        <w:r w:rsidR="00B3569E">
          <w:rPr>
            <w:webHidden/>
          </w:rPr>
          <w:fldChar w:fldCharType="begin"/>
        </w:r>
        <w:r w:rsidR="00B3569E">
          <w:rPr>
            <w:webHidden/>
          </w:rPr>
          <w:instrText xml:space="preserve"> PAGEREF _Toc54690787 \h </w:instrText>
        </w:r>
        <w:r w:rsidR="00B3569E">
          <w:rPr>
            <w:webHidden/>
          </w:rPr>
        </w:r>
        <w:r w:rsidR="00B3569E">
          <w:rPr>
            <w:webHidden/>
          </w:rPr>
          <w:fldChar w:fldCharType="separate"/>
        </w:r>
        <w:r>
          <w:rPr>
            <w:webHidden/>
          </w:rPr>
          <w:t>155</w:t>
        </w:r>
        <w:r w:rsidR="00B3569E">
          <w:rPr>
            <w:webHidden/>
          </w:rPr>
          <w:fldChar w:fldCharType="end"/>
        </w:r>
      </w:hyperlink>
    </w:p>
    <w:p w14:paraId="25AE3C5B" w14:textId="46440677" w:rsidR="00B3569E" w:rsidRDefault="00F3275D">
      <w:pPr>
        <w:pStyle w:val="TOC1"/>
        <w:rPr>
          <w:rFonts w:asciiTheme="minorHAnsi" w:hAnsiTheme="minorHAnsi"/>
          <w:sz w:val="22"/>
          <w:szCs w:val="22"/>
          <w:lang w:eastAsia="en-AU"/>
        </w:rPr>
      </w:pPr>
      <w:hyperlink w:anchor="_Toc54690788" w:history="1">
        <w:r w:rsidR="00B3569E" w:rsidRPr="007C27AC">
          <w:rPr>
            <w:rStyle w:val="Hyperlink"/>
          </w:rPr>
          <w:t>Government advertising expenditure</w:t>
        </w:r>
        <w:r w:rsidR="00B3569E">
          <w:rPr>
            <w:webHidden/>
          </w:rPr>
          <w:tab/>
        </w:r>
        <w:r w:rsidR="00B3569E">
          <w:rPr>
            <w:webHidden/>
          </w:rPr>
          <w:fldChar w:fldCharType="begin"/>
        </w:r>
        <w:r w:rsidR="00B3569E">
          <w:rPr>
            <w:webHidden/>
          </w:rPr>
          <w:instrText xml:space="preserve"> PAGEREF _Toc54690788 \h </w:instrText>
        </w:r>
        <w:r w:rsidR="00B3569E">
          <w:rPr>
            <w:webHidden/>
          </w:rPr>
        </w:r>
        <w:r w:rsidR="00B3569E">
          <w:rPr>
            <w:webHidden/>
          </w:rPr>
          <w:fldChar w:fldCharType="separate"/>
        </w:r>
        <w:r>
          <w:rPr>
            <w:webHidden/>
          </w:rPr>
          <w:t>165</w:t>
        </w:r>
        <w:r w:rsidR="00B3569E">
          <w:rPr>
            <w:webHidden/>
          </w:rPr>
          <w:fldChar w:fldCharType="end"/>
        </w:r>
      </w:hyperlink>
    </w:p>
    <w:p w14:paraId="284E2F20" w14:textId="6061F495" w:rsidR="00B3569E" w:rsidRDefault="00F3275D">
      <w:pPr>
        <w:pStyle w:val="TOC1"/>
        <w:rPr>
          <w:rFonts w:asciiTheme="minorHAnsi" w:hAnsiTheme="minorHAnsi"/>
          <w:sz w:val="22"/>
          <w:szCs w:val="22"/>
          <w:lang w:eastAsia="en-AU"/>
        </w:rPr>
      </w:pPr>
      <w:hyperlink w:anchor="_Toc54690789" w:history="1">
        <w:r w:rsidR="00B3569E" w:rsidRPr="007C27AC">
          <w:rPr>
            <w:rStyle w:val="Hyperlink"/>
          </w:rPr>
          <w:t>Details of information and communication technology (ICT) expenditure</w:t>
        </w:r>
        <w:r w:rsidR="00B3569E">
          <w:rPr>
            <w:webHidden/>
          </w:rPr>
          <w:tab/>
        </w:r>
        <w:r w:rsidR="00B3569E">
          <w:rPr>
            <w:webHidden/>
          </w:rPr>
          <w:fldChar w:fldCharType="begin"/>
        </w:r>
        <w:r w:rsidR="00B3569E">
          <w:rPr>
            <w:webHidden/>
          </w:rPr>
          <w:instrText xml:space="preserve"> PAGEREF _Toc54690789 \h </w:instrText>
        </w:r>
        <w:r w:rsidR="00B3569E">
          <w:rPr>
            <w:webHidden/>
          </w:rPr>
        </w:r>
        <w:r w:rsidR="00B3569E">
          <w:rPr>
            <w:webHidden/>
          </w:rPr>
          <w:fldChar w:fldCharType="separate"/>
        </w:r>
        <w:r>
          <w:rPr>
            <w:webHidden/>
          </w:rPr>
          <w:t>167</w:t>
        </w:r>
        <w:r w:rsidR="00B3569E">
          <w:rPr>
            <w:webHidden/>
          </w:rPr>
          <w:fldChar w:fldCharType="end"/>
        </w:r>
      </w:hyperlink>
    </w:p>
    <w:p w14:paraId="5A729DB7" w14:textId="3A57C165" w:rsidR="00B3569E" w:rsidRDefault="00F3275D">
      <w:pPr>
        <w:pStyle w:val="TOC1"/>
        <w:rPr>
          <w:rFonts w:asciiTheme="minorHAnsi" w:hAnsiTheme="minorHAnsi"/>
          <w:sz w:val="22"/>
          <w:szCs w:val="22"/>
          <w:lang w:eastAsia="en-AU"/>
        </w:rPr>
      </w:pPr>
      <w:hyperlink w:anchor="_Toc54690790" w:history="1">
        <w:r w:rsidR="00B3569E" w:rsidRPr="007C27AC">
          <w:rPr>
            <w:rStyle w:val="Hyperlink"/>
          </w:rPr>
          <w:t>Freedom of information</w:t>
        </w:r>
        <w:r w:rsidR="00B3569E">
          <w:rPr>
            <w:webHidden/>
          </w:rPr>
          <w:tab/>
        </w:r>
        <w:r w:rsidR="00B3569E">
          <w:rPr>
            <w:webHidden/>
          </w:rPr>
          <w:fldChar w:fldCharType="begin"/>
        </w:r>
        <w:r w:rsidR="00B3569E">
          <w:rPr>
            <w:webHidden/>
          </w:rPr>
          <w:instrText xml:space="preserve"> PAGEREF _Toc54690790 \h </w:instrText>
        </w:r>
        <w:r w:rsidR="00B3569E">
          <w:rPr>
            <w:webHidden/>
          </w:rPr>
        </w:r>
        <w:r w:rsidR="00B3569E">
          <w:rPr>
            <w:webHidden/>
          </w:rPr>
          <w:fldChar w:fldCharType="separate"/>
        </w:r>
        <w:r>
          <w:rPr>
            <w:webHidden/>
          </w:rPr>
          <w:t>167</w:t>
        </w:r>
        <w:r w:rsidR="00B3569E">
          <w:rPr>
            <w:webHidden/>
          </w:rPr>
          <w:fldChar w:fldCharType="end"/>
        </w:r>
      </w:hyperlink>
    </w:p>
    <w:p w14:paraId="7A194D12" w14:textId="3250F101" w:rsidR="00B3569E" w:rsidRDefault="00F3275D">
      <w:pPr>
        <w:pStyle w:val="TOC1"/>
        <w:rPr>
          <w:rFonts w:asciiTheme="minorHAnsi" w:hAnsiTheme="minorHAnsi"/>
          <w:sz w:val="22"/>
          <w:szCs w:val="22"/>
          <w:lang w:eastAsia="en-AU"/>
        </w:rPr>
      </w:pPr>
      <w:hyperlink w:anchor="_Toc54690791" w:history="1">
        <w:r w:rsidR="00B3569E" w:rsidRPr="007C27AC">
          <w:rPr>
            <w:rStyle w:val="Hyperlink"/>
          </w:rPr>
          <w:t>Cemeteries and Crematoria Act 2003</w:t>
        </w:r>
        <w:r w:rsidR="00B3569E">
          <w:rPr>
            <w:webHidden/>
          </w:rPr>
          <w:tab/>
        </w:r>
        <w:r w:rsidR="00B3569E">
          <w:rPr>
            <w:webHidden/>
          </w:rPr>
          <w:fldChar w:fldCharType="begin"/>
        </w:r>
        <w:r w:rsidR="00B3569E">
          <w:rPr>
            <w:webHidden/>
          </w:rPr>
          <w:instrText xml:space="preserve"> PAGEREF _Toc54690791 \h </w:instrText>
        </w:r>
        <w:r w:rsidR="00B3569E">
          <w:rPr>
            <w:webHidden/>
          </w:rPr>
        </w:r>
        <w:r w:rsidR="00B3569E">
          <w:rPr>
            <w:webHidden/>
          </w:rPr>
          <w:fldChar w:fldCharType="separate"/>
        </w:r>
        <w:r>
          <w:rPr>
            <w:webHidden/>
          </w:rPr>
          <w:t>168</w:t>
        </w:r>
        <w:r w:rsidR="00B3569E">
          <w:rPr>
            <w:webHidden/>
          </w:rPr>
          <w:fldChar w:fldCharType="end"/>
        </w:r>
      </w:hyperlink>
    </w:p>
    <w:p w14:paraId="37AE9257" w14:textId="6BD55D43" w:rsidR="00B3569E" w:rsidRDefault="00F3275D">
      <w:pPr>
        <w:pStyle w:val="TOC1"/>
        <w:rPr>
          <w:rFonts w:asciiTheme="minorHAnsi" w:hAnsiTheme="minorHAnsi"/>
          <w:sz w:val="22"/>
          <w:szCs w:val="22"/>
          <w:lang w:eastAsia="en-AU"/>
        </w:rPr>
      </w:pPr>
      <w:hyperlink w:anchor="_Toc54690792" w:history="1">
        <w:r w:rsidR="00B3569E" w:rsidRPr="007C27AC">
          <w:rPr>
            <w:rStyle w:val="Hyperlink"/>
          </w:rPr>
          <w:t>Public Health and Wellbeing Act 2008</w:t>
        </w:r>
        <w:r w:rsidR="00B3569E">
          <w:rPr>
            <w:webHidden/>
          </w:rPr>
          <w:tab/>
        </w:r>
        <w:r w:rsidR="00B3569E">
          <w:rPr>
            <w:webHidden/>
          </w:rPr>
          <w:fldChar w:fldCharType="begin"/>
        </w:r>
        <w:r w:rsidR="00B3569E">
          <w:rPr>
            <w:webHidden/>
          </w:rPr>
          <w:instrText xml:space="preserve"> PAGEREF _Toc54690792 \h </w:instrText>
        </w:r>
        <w:r w:rsidR="00B3569E">
          <w:rPr>
            <w:webHidden/>
          </w:rPr>
        </w:r>
        <w:r w:rsidR="00B3569E">
          <w:rPr>
            <w:webHidden/>
          </w:rPr>
          <w:fldChar w:fldCharType="separate"/>
        </w:r>
        <w:r>
          <w:rPr>
            <w:webHidden/>
          </w:rPr>
          <w:t>169</w:t>
        </w:r>
        <w:r w:rsidR="00B3569E">
          <w:rPr>
            <w:webHidden/>
          </w:rPr>
          <w:fldChar w:fldCharType="end"/>
        </w:r>
      </w:hyperlink>
    </w:p>
    <w:p w14:paraId="3F30F58A" w14:textId="70FA6F84" w:rsidR="00B3569E" w:rsidRDefault="00F3275D">
      <w:pPr>
        <w:pStyle w:val="TOC1"/>
        <w:rPr>
          <w:rFonts w:asciiTheme="minorHAnsi" w:hAnsiTheme="minorHAnsi"/>
          <w:sz w:val="22"/>
          <w:szCs w:val="22"/>
          <w:lang w:eastAsia="en-AU"/>
        </w:rPr>
      </w:pPr>
      <w:hyperlink w:anchor="_Toc54690793" w:history="1">
        <w:r w:rsidR="00B3569E" w:rsidRPr="007C27AC">
          <w:rPr>
            <w:rStyle w:val="Hyperlink"/>
          </w:rPr>
          <w:t>Ministerial Statements of Expectations</w:t>
        </w:r>
        <w:r w:rsidR="00B3569E">
          <w:rPr>
            <w:webHidden/>
          </w:rPr>
          <w:tab/>
        </w:r>
        <w:r w:rsidR="00B3569E">
          <w:rPr>
            <w:webHidden/>
          </w:rPr>
          <w:fldChar w:fldCharType="begin"/>
        </w:r>
        <w:r w:rsidR="00B3569E">
          <w:rPr>
            <w:webHidden/>
          </w:rPr>
          <w:instrText xml:space="preserve"> PAGEREF _Toc54690793 \h </w:instrText>
        </w:r>
        <w:r w:rsidR="00B3569E">
          <w:rPr>
            <w:webHidden/>
          </w:rPr>
        </w:r>
        <w:r w:rsidR="00B3569E">
          <w:rPr>
            <w:webHidden/>
          </w:rPr>
          <w:fldChar w:fldCharType="separate"/>
        </w:r>
        <w:r>
          <w:rPr>
            <w:webHidden/>
          </w:rPr>
          <w:t>170</w:t>
        </w:r>
        <w:r w:rsidR="00B3569E">
          <w:rPr>
            <w:webHidden/>
          </w:rPr>
          <w:fldChar w:fldCharType="end"/>
        </w:r>
      </w:hyperlink>
    </w:p>
    <w:p w14:paraId="5448721E" w14:textId="38885598" w:rsidR="00B3569E" w:rsidRDefault="00F3275D">
      <w:pPr>
        <w:pStyle w:val="TOC1"/>
        <w:rPr>
          <w:rFonts w:asciiTheme="minorHAnsi" w:hAnsiTheme="minorHAnsi"/>
          <w:sz w:val="22"/>
          <w:szCs w:val="22"/>
          <w:lang w:eastAsia="en-AU"/>
        </w:rPr>
      </w:pPr>
      <w:hyperlink w:anchor="_Toc54690794" w:history="1">
        <w:r w:rsidR="00B3569E" w:rsidRPr="007C27AC">
          <w:rPr>
            <w:rStyle w:val="Hyperlink"/>
          </w:rPr>
          <w:t>Human Services Standards</w:t>
        </w:r>
        <w:r w:rsidR="00B3569E">
          <w:rPr>
            <w:webHidden/>
          </w:rPr>
          <w:tab/>
        </w:r>
        <w:r w:rsidR="00B3569E">
          <w:rPr>
            <w:webHidden/>
          </w:rPr>
          <w:fldChar w:fldCharType="begin"/>
        </w:r>
        <w:r w:rsidR="00B3569E">
          <w:rPr>
            <w:webHidden/>
          </w:rPr>
          <w:instrText xml:space="preserve"> PAGEREF _Toc54690794 \h </w:instrText>
        </w:r>
        <w:r w:rsidR="00B3569E">
          <w:rPr>
            <w:webHidden/>
          </w:rPr>
        </w:r>
        <w:r w:rsidR="00B3569E">
          <w:rPr>
            <w:webHidden/>
          </w:rPr>
          <w:fldChar w:fldCharType="separate"/>
        </w:r>
        <w:r>
          <w:rPr>
            <w:webHidden/>
          </w:rPr>
          <w:t>170</w:t>
        </w:r>
        <w:r w:rsidR="00B3569E">
          <w:rPr>
            <w:webHidden/>
          </w:rPr>
          <w:fldChar w:fldCharType="end"/>
        </w:r>
      </w:hyperlink>
    </w:p>
    <w:p w14:paraId="7A4ED192" w14:textId="3758D81C" w:rsidR="00B3569E" w:rsidRDefault="00F3275D">
      <w:pPr>
        <w:pStyle w:val="TOC1"/>
        <w:rPr>
          <w:rFonts w:asciiTheme="minorHAnsi" w:hAnsiTheme="minorHAnsi"/>
          <w:sz w:val="22"/>
          <w:szCs w:val="22"/>
          <w:lang w:eastAsia="en-AU"/>
        </w:rPr>
      </w:pPr>
      <w:hyperlink w:anchor="_Toc54690795" w:history="1">
        <w:r w:rsidR="00B3569E" w:rsidRPr="007C27AC">
          <w:rPr>
            <w:rStyle w:val="Hyperlink"/>
          </w:rPr>
          <w:t>Disability action plan</w:t>
        </w:r>
        <w:r w:rsidR="00B3569E">
          <w:rPr>
            <w:webHidden/>
          </w:rPr>
          <w:tab/>
        </w:r>
        <w:r w:rsidR="00B3569E">
          <w:rPr>
            <w:webHidden/>
          </w:rPr>
          <w:fldChar w:fldCharType="begin"/>
        </w:r>
        <w:r w:rsidR="00B3569E">
          <w:rPr>
            <w:webHidden/>
          </w:rPr>
          <w:instrText xml:space="preserve"> PAGEREF _Toc54690795 \h </w:instrText>
        </w:r>
        <w:r w:rsidR="00B3569E">
          <w:rPr>
            <w:webHidden/>
          </w:rPr>
        </w:r>
        <w:r w:rsidR="00B3569E">
          <w:rPr>
            <w:webHidden/>
          </w:rPr>
          <w:fldChar w:fldCharType="separate"/>
        </w:r>
        <w:r>
          <w:rPr>
            <w:webHidden/>
          </w:rPr>
          <w:t>171</w:t>
        </w:r>
        <w:r w:rsidR="00B3569E">
          <w:rPr>
            <w:webHidden/>
          </w:rPr>
          <w:fldChar w:fldCharType="end"/>
        </w:r>
      </w:hyperlink>
    </w:p>
    <w:p w14:paraId="3CCAC4BA" w14:textId="2D628BB4" w:rsidR="00B3569E" w:rsidRDefault="00F3275D">
      <w:pPr>
        <w:pStyle w:val="TOC1"/>
        <w:rPr>
          <w:rFonts w:asciiTheme="minorHAnsi" w:hAnsiTheme="minorHAnsi"/>
          <w:sz w:val="22"/>
          <w:szCs w:val="22"/>
          <w:lang w:eastAsia="en-AU"/>
        </w:rPr>
      </w:pPr>
      <w:hyperlink w:anchor="_Toc54690796" w:history="1">
        <w:r w:rsidR="00B3569E" w:rsidRPr="007C27AC">
          <w:rPr>
            <w:rStyle w:val="Hyperlink"/>
          </w:rPr>
          <w:t>Registered disability service providers and community service organisations</w:t>
        </w:r>
        <w:r w:rsidR="00B3569E">
          <w:rPr>
            <w:webHidden/>
          </w:rPr>
          <w:tab/>
        </w:r>
        <w:r w:rsidR="00B3569E">
          <w:rPr>
            <w:webHidden/>
          </w:rPr>
          <w:fldChar w:fldCharType="begin"/>
        </w:r>
        <w:r w:rsidR="00B3569E">
          <w:rPr>
            <w:webHidden/>
          </w:rPr>
          <w:instrText xml:space="preserve"> PAGEREF _Toc54690796 \h </w:instrText>
        </w:r>
        <w:r w:rsidR="00B3569E">
          <w:rPr>
            <w:webHidden/>
          </w:rPr>
        </w:r>
        <w:r w:rsidR="00B3569E">
          <w:rPr>
            <w:webHidden/>
          </w:rPr>
          <w:fldChar w:fldCharType="separate"/>
        </w:r>
        <w:r>
          <w:rPr>
            <w:webHidden/>
          </w:rPr>
          <w:t>171</w:t>
        </w:r>
        <w:r w:rsidR="00B3569E">
          <w:rPr>
            <w:webHidden/>
          </w:rPr>
          <w:fldChar w:fldCharType="end"/>
        </w:r>
      </w:hyperlink>
    </w:p>
    <w:p w14:paraId="49E9E29F" w14:textId="74E9CC23" w:rsidR="00B3569E" w:rsidRDefault="00F3275D">
      <w:pPr>
        <w:pStyle w:val="TOC1"/>
        <w:rPr>
          <w:rFonts w:asciiTheme="minorHAnsi" w:hAnsiTheme="minorHAnsi"/>
          <w:sz w:val="22"/>
          <w:szCs w:val="22"/>
          <w:lang w:eastAsia="en-AU"/>
        </w:rPr>
      </w:pPr>
      <w:hyperlink w:anchor="_Toc54690797" w:history="1">
        <w:r w:rsidR="00B3569E" w:rsidRPr="007C27AC">
          <w:rPr>
            <w:rStyle w:val="Hyperlink"/>
          </w:rPr>
          <w:t>Report of the Commissioner for Senior Victorians</w:t>
        </w:r>
        <w:r w:rsidR="00B3569E">
          <w:rPr>
            <w:webHidden/>
          </w:rPr>
          <w:tab/>
        </w:r>
        <w:r w:rsidR="00B3569E">
          <w:rPr>
            <w:webHidden/>
          </w:rPr>
          <w:fldChar w:fldCharType="begin"/>
        </w:r>
        <w:r w:rsidR="00B3569E">
          <w:rPr>
            <w:webHidden/>
          </w:rPr>
          <w:instrText xml:space="preserve"> PAGEREF _Toc54690797 \h </w:instrText>
        </w:r>
        <w:r w:rsidR="00B3569E">
          <w:rPr>
            <w:webHidden/>
          </w:rPr>
        </w:r>
        <w:r w:rsidR="00B3569E">
          <w:rPr>
            <w:webHidden/>
          </w:rPr>
          <w:fldChar w:fldCharType="separate"/>
        </w:r>
        <w:r>
          <w:rPr>
            <w:webHidden/>
          </w:rPr>
          <w:t>172</w:t>
        </w:r>
        <w:r w:rsidR="00B3569E">
          <w:rPr>
            <w:webHidden/>
          </w:rPr>
          <w:fldChar w:fldCharType="end"/>
        </w:r>
      </w:hyperlink>
    </w:p>
    <w:p w14:paraId="2CA7B971" w14:textId="3D85C555" w:rsidR="00B3569E" w:rsidRDefault="00F3275D">
      <w:pPr>
        <w:pStyle w:val="TOC1"/>
        <w:rPr>
          <w:rFonts w:asciiTheme="minorHAnsi" w:hAnsiTheme="minorHAnsi"/>
          <w:sz w:val="22"/>
          <w:szCs w:val="22"/>
          <w:lang w:eastAsia="en-AU"/>
        </w:rPr>
      </w:pPr>
      <w:hyperlink w:anchor="_Toc54690798" w:history="1">
        <w:r w:rsidR="00B3569E" w:rsidRPr="007C27AC">
          <w:rPr>
            <w:rStyle w:val="Hyperlink"/>
          </w:rPr>
          <w:t>Ambassador for Elder Abuse Prevention</w:t>
        </w:r>
        <w:r w:rsidR="00B3569E">
          <w:rPr>
            <w:webHidden/>
          </w:rPr>
          <w:tab/>
        </w:r>
        <w:r w:rsidR="00B3569E">
          <w:rPr>
            <w:webHidden/>
          </w:rPr>
          <w:fldChar w:fldCharType="begin"/>
        </w:r>
        <w:r w:rsidR="00B3569E">
          <w:rPr>
            <w:webHidden/>
          </w:rPr>
          <w:instrText xml:space="preserve"> PAGEREF _Toc54690798 \h </w:instrText>
        </w:r>
        <w:r w:rsidR="00B3569E">
          <w:rPr>
            <w:webHidden/>
          </w:rPr>
        </w:r>
        <w:r w:rsidR="00B3569E">
          <w:rPr>
            <w:webHidden/>
          </w:rPr>
          <w:fldChar w:fldCharType="separate"/>
        </w:r>
        <w:r>
          <w:rPr>
            <w:webHidden/>
          </w:rPr>
          <w:t>173</w:t>
        </w:r>
        <w:r w:rsidR="00B3569E">
          <w:rPr>
            <w:webHidden/>
          </w:rPr>
          <w:fldChar w:fldCharType="end"/>
        </w:r>
      </w:hyperlink>
    </w:p>
    <w:p w14:paraId="3981E90F" w14:textId="4BDA27E3" w:rsidR="00B3569E" w:rsidRDefault="00F3275D">
      <w:pPr>
        <w:pStyle w:val="TOC1"/>
        <w:rPr>
          <w:rFonts w:asciiTheme="minorHAnsi" w:hAnsiTheme="minorHAnsi"/>
          <w:sz w:val="22"/>
          <w:szCs w:val="22"/>
          <w:lang w:eastAsia="en-AU"/>
        </w:rPr>
      </w:pPr>
      <w:hyperlink w:anchor="_Toc54690799" w:history="1">
        <w:r w:rsidR="00B3569E" w:rsidRPr="007C27AC">
          <w:rPr>
            <w:rStyle w:val="Hyperlink"/>
          </w:rPr>
          <w:t>Social procurement framework</w:t>
        </w:r>
        <w:r w:rsidR="00B3569E">
          <w:rPr>
            <w:webHidden/>
          </w:rPr>
          <w:tab/>
        </w:r>
        <w:r w:rsidR="00B3569E">
          <w:rPr>
            <w:webHidden/>
          </w:rPr>
          <w:fldChar w:fldCharType="begin"/>
        </w:r>
        <w:r w:rsidR="00B3569E">
          <w:rPr>
            <w:webHidden/>
          </w:rPr>
          <w:instrText xml:space="preserve"> PAGEREF _Toc54690799 \h </w:instrText>
        </w:r>
        <w:r w:rsidR="00B3569E">
          <w:rPr>
            <w:webHidden/>
          </w:rPr>
        </w:r>
        <w:r w:rsidR="00B3569E">
          <w:rPr>
            <w:webHidden/>
          </w:rPr>
          <w:fldChar w:fldCharType="separate"/>
        </w:r>
        <w:r>
          <w:rPr>
            <w:webHidden/>
          </w:rPr>
          <w:t>173</w:t>
        </w:r>
        <w:r w:rsidR="00B3569E">
          <w:rPr>
            <w:webHidden/>
          </w:rPr>
          <w:fldChar w:fldCharType="end"/>
        </w:r>
      </w:hyperlink>
    </w:p>
    <w:p w14:paraId="47D6C974" w14:textId="24243E29" w:rsidR="00B3569E" w:rsidRDefault="00F3275D">
      <w:pPr>
        <w:pStyle w:val="TOC1"/>
        <w:rPr>
          <w:rFonts w:asciiTheme="minorHAnsi" w:hAnsiTheme="minorHAnsi"/>
          <w:sz w:val="22"/>
          <w:szCs w:val="22"/>
          <w:lang w:eastAsia="en-AU"/>
        </w:rPr>
      </w:pPr>
      <w:hyperlink w:anchor="_Toc54690800" w:history="1">
        <w:r w:rsidR="00B3569E" w:rsidRPr="007C27AC">
          <w:rPr>
            <w:rStyle w:val="Hyperlink"/>
          </w:rPr>
          <w:t>Social Housing Dwelling Stock ended 30 June 2020</w:t>
        </w:r>
        <w:r w:rsidR="00B3569E">
          <w:rPr>
            <w:webHidden/>
          </w:rPr>
          <w:tab/>
        </w:r>
        <w:r w:rsidR="00B3569E">
          <w:rPr>
            <w:webHidden/>
          </w:rPr>
          <w:fldChar w:fldCharType="begin"/>
        </w:r>
        <w:r w:rsidR="00B3569E">
          <w:rPr>
            <w:webHidden/>
          </w:rPr>
          <w:instrText xml:space="preserve"> PAGEREF _Toc54690800 \h </w:instrText>
        </w:r>
        <w:r w:rsidR="00B3569E">
          <w:rPr>
            <w:webHidden/>
          </w:rPr>
        </w:r>
        <w:r w:rsidR="00B3569E">
          <w:rPr>
            <w:webHidden/>
          </w:rPr>
          <w:fldChar w:fldCharType="separate"/>
        </w:r>
        <w:r>
          <w:rPr>
            <w:webHidden/>
          </w:rPr>
          <w:t>175</w:t>
        </w:r>
        <w:r w:rsidR="00B3569E">
          <w:rPr>
            <w:webHidden/>
          </w:rPr>
          <w:fldChar w:fldCharType="end"/>
        </w:r>
      </w:hyperlink>
    </w:p>
    <w:p w14:paraId="15FB3B4A" w14:textId="227D45D5" w:rsidR="00B3569E" w:rsidRDefault="00F3275D">
      <w:pPr>
        <w:pStyle w:val="TOC1"/>
        <w:rPr>
          <w:rFonts w:asciiTheme="minorHAnsi" w:hAnsiTheme="minorHAnsi"/>
          <w:sz w:val="22"/>
          <w:szCs w:val="22"/>
          <w:lang w:eastAsia="en-AU"/>
        </w:rPr>
      </w:pPr>
      <w:hyperlink w:anchor="_Toc54690801" w:history="1">
        <w:r w:rsidR="00B3569E" w:rsidRPr="007C27AC">
          <w:rPr>
            <w:rStyle w:val="Hyperlink"/>
          </w:rPr>
          <w:t>Environmental sustainability report</w:t>
        </w:r>
        <w:r w:rsidR="00B3569E">
          <w:rPr>
            <w:webHidden/>
          </w:rPr>
          <w:tab/>
        </w:r>
        <w:r w:rsidR="00B3569E">
          <w:rPr>
            <w:webHidden/>
          </w:rPr>
          <w:fldChar w:fldCharType="begin"/>
        </w:r>
        <w:r w:rsidR="00B3569E">
          <w:rPr>
            <w:webHidden/>
          </w:rPr>
          <w:instrText xml:space="preserve"> PAGEREF _Toc54690801 \h </w:instrText>
        </w:r>
        <w:r w:rsidR="00B3569E">
          <w:rPr>
            <w:webHidden/>
          </w:rPr>
        </w:r>
        <w:r w:rsidR="00B3569E">
          <w:rPr>
            <w:webHidden/>
          </w:rPr>
          <w:fldChar w:fldCharType="separate"/>
        </w:r>
        <w:r>
          <w:rPr>
            <w:webHidden/>
          </w:rPr>
          <w:t>176</w:t>
        </w:r>
        <w:r w:rsidR="00B3569E">
          <w:rPr>
            <w:webHidden/>
          </w:rPr>
          <w:fldChar w:fldCharType="end"/>
        </w:r>
      </w:hyperlink>
    </w:p>
    <w:p w14:paraId="47D56A04" w14:textId="621E38AF" w:rsidR="00AE3EA3" w:rsidRPr="002029AF" w:rsidRDefault="00492FD1" w:rsidP="00E3577B">
      <w:pPr>
        <w:pStyle w:val="ARbody"/>
      </w:pPr>
      <w:r w:rsidRPr="002029AF">
        <w:rPr>
          <w:color w:val="000000" w:themeColor="text1"/>
          <w:sz w:val="18"/>
          <w:u w:color="004C97"/>
        </w:rPr>
        <w:fldChar w:fldCharType="end"/>
      </w:r>
    </w:p>
    <w:p w14:paraId="11DE306D" w14:textId="77777777" w:rsidR="00492FD1" w:rsidRPr="002029AF" w:rsidRDefault="00492FD1" w:rsidP="00492FD1">
      <w:pPr>
        <w:pStyle w:val="ARbody"/>
      </w:pPr>
    </w:p>
    <w:p w14:paraId="4181A58A" w14:textId="77777777" w:rsidR="008431A6" w:rsidRPr="002029AF" w:rsidRDefault="008431A6" w:rsidP="00492FD1">
      <w:pPr>
        <w:pStyle w:val="ARbody"/>
        <w:sectPr w:rsidR="008431A6" w:rsidRPr="002029AF" w:rsidSect="003566F1">
          <w:headerReference w:type="even" r:id="rId134"/>
          <w:headerReference w:type="default" r:id="rId135"/>
          <w:pgSz w:w="11906" w:h="16838" w:code="9"/>
          <w:pgMar w:top="1985" w:right="851" w:bottom="851" w:left="1418" w:header="510" w:footer="340" w:gutter="0"/>
          <w:cols w:space="454"/>
          <w:docGrid w:linePitch="360"/>
          <w15:footnoteColumns w:val="1"/>
        </w:sectPr>
      </w:pPr>
    </w:p>
    <w:p w14:paraId="648DBFBE" w14:textId="2558D1BF" w:rsidR="00CF72D5" w:rsidRPr="002029AF" w:rsidRDefault="00CF72D5" w:rsidP="003566F1">
      <w:pPr>
        <w:pStyle w:val="Heading2"/>
        <w:spacing w:before="0"/>
        <w:rPr>
          <w:rFonts w:cs="Arial"/>
        </w:rPr>
      </w:pPr>
      <w:bookmarkStart w:id="102" w:name="_Ref52265984"/>
      <w:bookmarkStart w:id="103" w:name="_Ref52266120"/>
      <w:bookmarkStart w:id="104" w:name="_Ref52285412"/>
      <w:r w:rsidRPr="002029AF">
        <w:rPr>
          <w:rFonts w:cs="Arial"/>
        </w:rPr>
        <w:lastRenderedPageBreak/>
        <w:t>Local</w:t>
      </w:r>
      <w:r w:rsidR="000A5329" w:rsidRPr="002029AF">
        <w:rPr>
          <w:rFonts w:cs="Arial"/>
        </w:rPr>
        <w:t xml:space="preserve"> </w:t>
      </w:r>
      <w:r w:rsidRPr="002029AF">
        <w:rPr>
          <w:rFonts w:cs="Arial"/>
        </w:rPr>
        <w:t>Jobs</w:t>
      </w:r>
      <w:r w:rsidR="000A5329" w:rsidRPr="002029AF">
        <w:rPr>
          <w:rFonts w:cs="Arial"/>
        </w:rPr>
        <w:t xml:space="preserve"> </w:t>
      </w:r>
      <w:r w:rsidRPr="002029AF">
        <w:rPr>
          <w:rFonts w:cs="Arial"/>
        </w:rPr>
        <w:t>First</w:t>
      </w:r>
      <w:bookmarkStart w:id="105" w:name="Disclosures"/>
      <w:bookmarkEnd w:id="101"/>
      <w:bookmarkEnd w:id="102"/>
      <w:bookmarkEnd w:id="103"/>
      <w:bookmarkEnd w:id="104"/>
    </w:p>
    <w:p w14:paraId="4D91E9CF" w14:textId="713D5397" w:rsidR="000A5329" w:rsidRPr="002029AF" w:rsidRDefault="00CF72D5" w:rsidP="00897193">
      <w:pPr>
        <w:pStyle w:val="ARbody"/>
      </w:pPr>
      <w:r w:rsidRPr="002029AF">
        <w:t>The</w:t>
      </w:r>
      <w:r w:rsidR="000A5329" w:rsidRPr="002029AF">
        <w:t xml:space="preserve"> </w:t>
      </w:r>
      <w:r w:rsidRPr="002029AF">
        <w:rPr>
          <w:i/>
          <w:iCs/>
        </w:rPr>
        <w:t>Local</w:t>
      </w:r>
      <w:r w:rsidR="000A5329" w:rsidRPr="002029AF">
        <w:rPr>
          <w:i/>
          <w:iCs/>
        </w:rPr>
        <w:t xml:space="preserve"> </w:t>
      </w:r>
      <w:r w:rsidRPr="002029AF">
        <w:rPr>
          <w:i/>
          <w:iCs/>
        </w:rPr>
        <w:t>Jobs</w:t>
      </w:r>
      <w:r w:rsidR="000A5329" w:rsidRPr="002029AF">
        <w:rPr>
          <w:i/>
          <w:iCs/>
        </w:rPr>
        <w:t xml:space="preserve"> </w:t>
      </w:r>
      <w:r w:rsidRPr="002029AF">
        <w:rPr>
          <w:i/>
          <w:iCs/>
        </w:rPr>
        <w:t>First</w:t>
      </w:r>
      <w:r w:rsidR="000A5329" w:rsidRPr="002029AF">
        <w:rPr>
          <w:i/>
          <w:iCs/>
        </w:rPr>
        <w:t xml:space="preserve"> </w:t>
      </w:r>
      <w:r w:rsidRPr="002029AF">
        <w:rPr>
          <w:i/>
          <w:iCs/>
        </w:rPr>
        <w:t>Act</w:t>
      </w:r>
      <w:r w:rsidR="000A5329" w:rsidRPr="002029AF">
        <w:rPr>
          <w:i/>
          <w:iCs/>
        </w:rPr>
        <w:t xml:space="preserve"> </w:t>
      </w:r>
      <w:r w:rsidRPr="002029AF">
        <w:rPr>
          <w:i/>
          <w:iCs/>
        </w:rPr>
        <w:t>2003</w:t>
      </w:r>
      <w:r w:rsidR="000A5329" w:rsidRPr="002029AF">
        <w:t xml:space="preserve"> </w:t>
      </w:r>
      <w:r w:rsidR="000D148B" w:rsidRPr="002029AF">
        <w:t>(</w:t>
      </w:r>
      <w:r w:rsidR="00A250C1">
        <w:t>formerly</w:t>
      </w:r>
      <w:r w:rsidR="00A250C1" w:rsidRPr="002029AF">
        <w:t xml:space="preserve"> </w:t>
      </w:r>
      <w:r w:rsidR="0057260A" w:rsidRPr="002029AF">
        <w:t>known</w:t>
      </w:r>
      <w:r w:rsidR="000A5329" w:rsidRPr="002029AF">
        <w:t xml:space="preserve"> </w:t>
      </w:r>
      <w:r w:rsidR="0057260A" w:rsidRPr="002029AF">
        <w:t>as</w:t>
      </w:r>
      <w:r w:rsidR="000A5329" w:rsidRPr="002029AF">
        <w:t xml:space="preserve"> </w:t>
      </w:r>
      <w:r w:rsidR="000D148B" w:rsidRPr="002029AF">
        <w:t>the</w:t>
      </w:r>
      <w:r w:rsidR="000A5329" w:rsidRPr="002029AF">
        <w:t xml:space="preserve"> </w:t>
      </w:r>
      <w:r w:rsidR="000D148B" w:rsidRPr="002029AF">
        <w:rPr>
          <w:i/>
          <w:iCs/>
        </w:rPr>
        <w:t>Victorian</w:t>
      </w:r>
      <w:r w:rsidR="000A5329" w:rsidRPr="002029AF">
        <w:rPr>
          <w:i/>
          <w:iCs/>
        </w:rPr>
        <w:t xml:space="preserve"> </w:t>
      </w:r>
      <w:r w:rsidR="000D148B" w:rsidRPr="002029AF">
        <w:rPr>
          <w:i/>
          <w:iCs/>
        </w:rPr>
        <w:t>Policy</w:t>
      </w:r>
      <w:r w:rsidR="000A5329" w:rsidRPr="002029AF">
        <w:rPr>
          <w:i/>
          <w:iCs/>
        </w:rPr>
        <w:t xml:space="preserve"> </w:t>
      </w:r>
      <w:r w:rsidR="00394060">
        <w:rPr>
          <w:i/>
          <w:iCs/>
        </w:rPr>
        <w:t>A</w:t>
      </w:r>
      <w:r w:rsidR="000D148B" w:rsidRPr="002029AF">
        <w:rPr>
          <w:i/>
          <w:iCs/>
        </w:rPr>
        <w:t>ct</w:t>
      </w:r>
      <w:r w:rsidR="000A5329" w:rsidRPr="002029AF">
        <w:rPr>
          <w:i/>
          <w:iCs/>
        </w:rPr>
        <w:t xml:space="preserve"> </w:t>
      </w:r>
      <w:r w:rsidR="000D148B" w:rsidRPr="002029AF">
        <w:rPr>
          <w:i/>
          <w:iCs/>
        </w:rPr>
        <w:t>2003),</w:t>
      </w:r>
      <w:r w:rsidR="000A5329" w:rsidRPr="002029AF">
        <w:t xml:space="preserve"> </w:t>
      </w:r>
      <w:r w:rsidR="000D148B" w:rsidRPr="002029AF">
        <w:t>which</w:t>
      </w:r>
      <w:r w:rsidR="000A5329" w:rsidRPr="002029AF">
        <w:t xml:space="preserve"> </w:t>
      </w:r>
      <w:r w:rsidR="000D148B" w:rsidRPr="002029AF">
        <w:t>commenced</w:t>
      </w:r>
      <w:r w:rsidR="000A5329" w:rsidRPr="002029AF">
        <w:t xml:space="preserve"> </w:t>
      </w:r>
      <w:r w:rsidR="000D148B" w:rsidRPr="002029AF">
        <w:t>operation</w:t>
      </w:r>
      <w:r w:rsidR="000A5329" w:rsidRPr="002029AF">
        <w:t xml:space="preserve"> </w:t>
      </w:r>
      <w:r w:rsidRPr="002029AF">
        <w:t>in</w:t>
      </w:r>
      <w:r w:rsidR="000A5329" w:rsidRPr="002029AF">
        <w:t xml:space="preserve"> </w:t>
      </w:r>
      <w:r w:rsidRPr="002029AF">
        <w:t>August</w:t>
      </w:r>
      <w:r w:rsidR="000A5329" w:rsidRPr="002029AF">
        <w:t xml:space="preserve"> </w:t>
      </w:r>
      <w:r w:rsidRPr="002029AF">
        <w:t>2018</w:t>
      </w:r>
      <w:r w:rsidR="009C0A6C" w:rsidRPr="002029AF">
        <w:t>,</w:t>
      </w:r>
      <w:r w:rsidR="000A5329" w:rsidRPr="002029AF">
        <w:t xml:space="preserve"> </w:t>
      </w:r>
      <w:r w:rsidRPr="002029AF">
        <w:t>brings</w:t>
      </w:r>
      <w:r w:rsidR="000A5329" w:rsidRPr="002029AF">
        <w:t xml:space="preserve"> </w:t>
      </w:r>
      <w:r w:rsidRPr="002029AF">
        <w:t>together</w:t>
      </w:r>
      <w:r w:rsidR="000A5329" w:rsidRPr="002029AF">
        <w:t xml:space="preserve"> </w:t>
      </w:r>
      <w:r w:rsidRPr="002029AF">
        <w:t>the</w:t>
      </w:r>
      <w:r w:rsidR="000A5329" w:rsidRPr="002029AF">
        <w:t xml:space="preserve"> </w:t>
      </w:r>
      <w:r w:rsidRPr="002029AF">
        <w:t>Victorian</w:t>
      </w:r>
      <w:r w:rsidR="000A5329" w:rsidRPr="002029AF">
        <w:t xml:space="preserve"> </w:t>
      </w:r>
      <w:r w:rsidRPr="002029AF">
        <w:t>Industry</w:t>
      </w:r>
      <w:r w:rsidR="000A5329" w:rsidRPr="002029AF">
        <w:t xml:space="preserve"> </w:t>
      </w:r>
      <w:r w:rsidRPr="002029AF">
        <w:t>Participation</w:t>
      </w:r>
      <w:r w:rsidR="000A5329" w:rsidRPr="002029AF">
        <w:t xml:space="preserve"> </w:t>
      </w:r>
      <w:r w:rsidRPr="002029AF">
        <w:t>Policy</w:t>
      </w:r>
      <w:r w:rsidR="000A5329" w:rsidRPr="002029AF">
        <w:t xml:space="preserve"> </w:t>
      </w:r>
      <w:r w:rsidRPr="002029AF">
        <w:t>(VIPP)</w:t>
      </w:r>
      <w:r w:rsidR="000A5329" w:rsidRPr="002029AF">
        <w:t xml:space="preserve"> </w:t>
      </w:r>
      <w:r w:rsidRPr="002029AF">
        <w:t>and</w:t>
      </w:r>
      <w:r w:rsidR="000A5329" w:rsidRPr="002029AF">
        <w:t xml:space="preserve"> </w:t>
      </w:r>
      <w:r w:rsidRPr="002029AF">
        <w:t>Major</w:t>
      </w:r>
      <w:r w:rsidR="000A5329" w:rsidRPr="002029AF">
        <w:t xml:space="preserve"> </w:t>
      </w:r>
      <w:r w:rsidRPr="002029AF">
        <w:t>Project</w:t>
      </w:r>
      <w:r w:rsidR="000A5329" w:rsidRPr="002029AF">
        <w:t xml:space="preserve"> </w:t>
      </w:r>
      <w:r w:rsidRPr="002029AF">
        <w:t>Skills</w:t>
      </w:r>
      <w:r w:rsidR="000A5329" w:rsidRPr="002029AF">
        <w:t xml:space="preserve"> </w:t>
      </w:r>
      <w:r w:rsidRPr="002029AF">
        <w:t>Guarantee</w:t>
      </w:r>
      <w:r w:rsidR="000A5329" w:rsidRPr="002029AF">
        <w:t xml:space="preserve"> </w:t>
      </w:r>
      <w:r w:rsidRPr="002029AF">
        <w:t>(MPSG)</w:t>
      </w:r>
      <w:r w:rsidR="000A5329" w:rsidRPr="002029AF">
        <w:t xml:space="preserve"> </w:t>
      </w:r>
      <w:r w:rsidRPr="002029AF">
        <w:t>policy</w:t>
      </w:r>
      <w:r w:rsidR="00CA5FCD" w:rsidRPr="002029AF">
        <w:t>,</w:t>
      </w:r>
      <w:r w:rsidR="000A5329" w:rsidRPr="002029AF">
        <w:t xml:space="preserve"> </w:t>
      </w:r>
      <w:r w:rsidRPr="002029AF">
        <w:t>which</w:t>
      </w:r>
      <w:r w:rsidR="000A5329" w:rsidRPr="002029AF">
        <w:t xml:space="preserve"> </w:t>
      </w:r>
      <w:r w:rsidRPr="002029AF">
        <w:t>were</w:t>
      </w:r>
      <w:r w:rsidR="000A5329" w:rsidRPr="002029AF">
        <w:t xml:space="preserve"> </w:t>
      </w:r>
      <w:r w:rsidRPr="002029AF">
        <w:t>previously</w:t>
      </w:r>
      <w:r w:rsidR="000A5329" w:rsidRPr="002029AF">
        <w:t xml:space="preserve"> </w:t>
      </w:r>
      <w:r w:rsidRPr="002029AF">
        <w:t>administered</w:t>
      </w:r>
      <w:r w:rsidR="000A5329" w:rsidRPr="002029AF">
        <w:t xml:space="preserve"> </w:t>
      </w:r>
      <w:r w:rsidRPr="002029AF">
        <w:t>separately.</w:t>
      </w:r>
    </w:p>
    <w:p w14:paraId="38C12D65" w14:textId="1AEA2E40" w:rsidR="00CF72D5" w:rsidRPr="002029AF" w:rsidRDefault="00CF72D5" w:rsidP="00897193">
      <w:pPr>
        <w:pStyle w:val="ARbody"/>
      </w:pPr>
      <w:r w:rsidRPr="002029AF">
        <w:t>Departments</w:t>
      </w:r>
      <w:r w:rsidR="000A5329" w:rsidRPr="002029AF">
        <w:t xml:space="preserve"> </w:t>
      </w:r>
      <w:r w:rsidRPr="002029AF">
        <w:t>and</w:t>
      </w:r>
      <w:r w:rsidR="000A5329" w:rsidRPr="002029AF">
        <w:t xml:space="preserve"> </w:t>
      </w:r>
      <w:r w:rsidRPr="002029AF">
        <w:t>public</w:t>
      </w:r>
      <w:r w:rsidR="000A5329" w:rsidRPr="002029AF">
        <w:t xml:space="preserve"> </w:t>
      </w:r>
      <w:r w:rsidRPr="002029AF">
        <w:t>sector</w:t>
      </w:r>
      <w:r w:rsidR="000A5329" w:rsidRPr="002029AF">
        <w:t xml:space="preserve"> </w:t>
      </w:r>
      <w:r w:rsidRPr="002029AF">
        <w:t>bodies</w:t>
      </w:r>
      <w:r w:rsidR="000A5329" w:rsidRPr="002029AF">
        <w:t xml:space="preserve"> </w:t>
      </w:r>
      <w:r w:rsidRPr="002029AF">
        <w:t>are</w:t>
      </w:r>
      <w:r w:rsidR="000A5329" w:rsidRPr="002029AF">
        <w:t xml:space="preserve"> </w:t>
      </w:r>
      <w:r w:rsidRPr="002029AF">
        <w:t>required</w:t>
      </w:r>
      <w:r w:rsidR="000A5329" w:rsidRPr="002029AF">
        <w:t xml:space="preserve"> </w:t>
      </w:r>
      <w:r w:rsidRPr="002029AF">
        <w:t>to</w:t>
      </w:r>
      <w:r w:rsidR="000A5329" w:rsidRPr="002029AF">
        <w:t xml:space="preserve"> </w:t>
      </w:r>
      <w:r w:rsidRPr="002029AF">
        <w:t>apply</w:t>
      </w:r>
      <w:r w:rsidR="000A5329" w:rsidRPr="002029AF">
        <w:t xml:space="preserve"> </w:t>
      </w:r>
      <w:r w:rsidRPr="002029AF">
        <w:t>the</w:t>
      </w:r>
      <w:r w:rsidR="000A5329" w:rsidRPr="002029AF">
        <w:t xml:space="preserve"> </w:t>
      </w:r>
      <w:r w:rsidRPr="002029AF">
        <w:t>Local</w:t>
      </w:r>
      <w:r w:rsidR="000A5329" w:rsidRPr="002029AF">
        <w:t xml:space="preserve"> </w:t>
      </w:r>
      <w:r w:rsidRPr="002029AF">
        <w:t>Jobs</w:t>
      </w:r>
      <w:r w:rsidR="000A5329" w:rsidRPr="002029AF">
        <w:t xml:space="preserve"> </w:t>
      </w:r>
      <w:r w:rsidRPr="002029AF">
        <w:t>First</w:t>
      </w:r>
      <w:r w:rsidR="000A5329" w:rsidRPr="002029AF">
        <w:t xml:space="preserve"> </w:t>
      </w:r>
      <w:r w:rsidRPr="002029AF">
        <w:t>policy</w:t>
      </w:r>
      <w:r w:rsidR="000A5329" w:rsidRPr="002029AF">
        <w:t xml:space="preserve"> </w:t>
      </w:r>
      <w:r w:rsidRPr="002029AF">
        <w:t>in</w:t>
      </w:r>
      <w:r w:rsidR="000A5329" w:rsidRPr="002029AF">
        <w:t xml:space="preserve"> </w:t>
      </w:r>
      <w:r w:rsidRPr="002029AF">
        <w:t>all</w:t>
      </w:r>
      <w:r w:rsidR="000A5329" w:rsidRPr="002029AF">
        <w:t xml:space="preserve"> </w:t>
      </w:r>
      <w:r w:rsidRPr="002029AF">
        <w:t>projects</w:t>
      </w:r>
      <w:r w:rsidR="000A5329" w:rsidRPr="002029AF">
        <w:t xml:space="preserve"> </w:t>
      </w:r>
      <w:r w:rsidRPr="002029AF">
        <w:t>valued</w:t>
      </w:r>
      <w:r w:rsidR="000A5329" w:rsidRPr="002029AF">
        <w:t xml:space="preserve"> </w:t>
      </w:r>
      <w:r w:rsidRPr="002029AF">
        <w:t>at</w:t>
      </w:r>
      <w:r w:rsidR="000A5329" w:rsidRPr="002029AF">
        <w:t xml:space="preserve"> </w:t>
      </w:r>
      <w:r w:rsidRPr="002029AF">
        <w:t>$3</w:t>
      </w:r>
      <w:r w:rsidR="000A5329" w:rsidRPr="002029AF">
        <w:t xml:space="preserve"> </w:t>
      </w:r>
      <w:r w:rsidRPr="002029AF">
        <w:t>million</w:t>
      </w:r>
      <w:r w:rsidR="000A5329" w:rsidRPr="002029AF">
        <w:t xml:space="preserve"> </w:t>
      </w:r>
      <w:r w:rsidRPr="002029AF">
        <w:t>or</w:t>
      </w:r>
      <w:r w:rsidR="000A5329" w:rsidRPr="002029AF">
        <w:t xml:space="preserve"> </w:t>
      </w:r>
      <w:r w:rsidRPr="002029AF">
        <w:t>more</w:t>
      </w:r>
      <w:r w:rsidR="000A5329" w:rsidRPr="002029AF">
        <w:t xml:space="preserve"> </w:t>
      </w:r>
      <w:r w:rsidRPr="002029AF">
        <w:t>in</w:t>
      </w:r>
      <w:r w:rsidR="000A5329" w:rsidRPr="002029AF">
        <w:t xml:space="preserve"> </w:t>
      </w:r>
      <w:r w:rsidR="00DB3A46" w:rsidRPr="002029AF">
        <w:t>m</w:t>
      </w:r>
      <w:r w:rsidRPr="002029AF">
        <w:t>etropolitan</w:t>
      </w:r>
      <w:r w:rsidR="000A5329" w:rsidRPr="002029AF">
        <w:t xml:space="preserve"> </w:t>
      </w:r>
      <w:r w:rsidRPr="002029AF">
        <w:t>Melbourne</w:t>
      </w:r>
      <w:r w:rsidR="000A5329" w:rsidRPr="002029AF">
        <w:t xml:space="preserve"> </w:t>
      </w:r>
      <w:r w:rsidRPr="002029AF">
        <w:t>or</w:t>
      </w:r>
      <w:r w:rsidR="000A5329" w:rsidRPr="002029AF">
        <w:t xml:space="preserve"> </w:t>
      </w:r>
      <w:r w:rsidRPr="002029AF">
        <w:t>for</w:t>
      </w:r>
      <w:r w:rsidR="000A5329" w:rsidRPr="002029AF">
        <w:t xml:space="preserve"> </w:t>
      </w:r>
      <w:r w:rsidRPr="002029AF">
        <w:t>statewide</w:t>
      </w:r>
      <w:r w:rsidR="000A5329" w:rsidRPr="002029AF">
        <w:t xml:space="preserve"> </w:t>
      </w:r>
      <w:r w:rsidRPr="002029AF">
        <w:t>projects,</w:t>
      </w:r>
      <w:r w:rsidR="000A5329" w:rsidRPr="002029AF">
        <w:t xml:space="preserve"> </w:t>
      </w:r>
      <w:r w:rsidRPr="002029AF">
        <w:t>or</w:t>
      </w:r>
      <w:r w:rsidR="000A5329" w:rsidRPr="002029AF">
        <w:t xml:space="preserve"> </w:t>
      </w:r>
      <w:r w:rsidRPr="002029AF">
        <w:t>$1</w:t>
      </w:r>
      <w:r w:rsidR="000A5329" w:rsidRPr="002029AF">
        <w:t xml:space="preserve"> </w:t>
      </w:r>
      <w:r w:rsidRPr="002029AF">
        <w:t>million</w:t>
      </w:r>
      <w:r w:rsidR="000A5329" w:rsidRPr="002029AF">
        <w:t xml:space="preserve"> </w:t>
      </w:r>
      <w:r w:rsidRPr="002029AF">
        <w:t>or</w:t>
      </w:r>
      <w:r w:rsidR="00286264" w:rsidRPr="002029AF">
        <w:t> </w:t>
      </w:r>
      <w:r w:rsidRPr="002029AF">
        <w:t>more</w:t>
      </w:r>
      <w:r w:rsidR="000A5329" w:rsidRPr="002029AF">
        <w:t xml:space="preserve"> </w:t>
      </w:r>
      <w:r w:rsidRPr="002029AF">
        <w:t>for</w:t>
      </w:r>
      <w:r w:rsidR="000A5329" w:rsidRPr="002029AF">
        <w:t xml:space="preserve"> </w:t>
      </w:r>
      <w:r w:rsidRPr="002029AF">
        <w:t>projects</w:t>
      </w:r>
      <w:r w:rsidR="000A5329" w:rsidRPr="002029AF">
        <w:t xml:space="preserve"> </w:t>
      </w:r>
      <w:r w:rsidRPr="002029AF">
        <w:t>in</w:t>
      </w:r>
      <w:r w:rsidR="000A5329" w:rsidRPr="002029AF">
        <w:t xml:space="preserve"> </w:t>
      </w:r>
      <w:r w:rsidRPr="002029AF">
        <w:t>regional</w:t>
      </w:r>
      <w:r w:rsidR="000A5329" w:rsidRPr="002029AF">
        <w:t xml:space="preserve"> </w:t>
      </w:r>
      <w:r w:rsidRPr="002029AF">
        <w:t>Victoria.</w:t>
      </w:r>
    </w:p>
    <w:p w14:paraId="65F74053" w14:textId="1AE63C2A" w:rsidR="00CF72D5" w:rsidRPr="002029AF" w:rsidRDefault="00CF72D5" w:rsidP="00897193">
      <w:pPr>
        <w:pStyle w:val="ARbody"/>
      </w:pPr>
      <w:r w:rsidRPr="002029AF">
        <w:t>MPSG</w:t>
      </w:r>
      <w:r w:rsidR="000A5329" w:rsidRPr="002029AF">
        <w:t xml:space="preserve"> </w:t>
      </w:r>
      <w:r w:rsidRPr="002029AF">
        <w:t>applies</w:t>
      </w:r>
      <w:r w:rsidR="000A5329" w:rsidRPr="002029AF">
        <w:t xml:space="preserve"> </w:t>
      </w:r>
      <w:r w:rsidRPr="002029AF">
        <w:t>to</w:t>
      </w:r>
      <w:r w:rsidR="000A5329" w:rsidRPr="002029AF">
        <w:t xml:space="preserve"> </w:t>
      </w:r>
      <w:r w:rsidRPr="002029AF">
        <w:t>all</w:t>
      </w:r>
      <w:r w:rsidR="000A5329" w:rsidRPr="002029AF">
        <w:t xml:space="preserve"> </w:t>
      </w:r>
      <w:r w:rsidRPr="002029AF">
        <w:t>construction</w:t>
      </w:r>
      <w:r w:rsidR="000A5329" w:rsidRPr="002029AF">
        <w:t xml:space="preserve"> </w:t>
      </w:r>
      <w:r w:rsidRPr="002029AF">
        <w:t>projects</w:t>
      </w:r>
      <w:r w:rsidR="000A5329" w:rsidRPr="002029AF">
        <w:t xml:space="preserve"> </w:t>
      </w:r>
      <w:r w:rsidRPr="002029AF">
        <w:t>valued</w:t>
      </w:r>
      <w:r w:rsidR="000A5329" w:rsidRPr="002029AF">
        <w:t xml:space="preserve"> </w:t>
      </w:r>
      <w:r w:rsidRPr="002029AF">
        <w:t>at</w:t>
      </w:r>
      <w:r w:rsidR="00286264" w:rsidRPr="002029AF">
        <w:t> </w:t>
      </w:r>
      <w:r w:rsidRPr="002029AF">
        <w:t>$20</w:t>
      </w:r>
      <w:r w:rsidR="000A5329" w:rsidRPr="002029AF">
        <w:t xml:space="preserve"> </w:t>
      </w:r>
      <w:r w:rsidRPr="002029AF">
        <w:t>million</w:t>
      </w:r>
      <w:r w:rsidR="000A5329" w:rsidRPr="002029AF">
        <w:t xml:space="preserve"> </w:t>
      </w:r>
      <w:r w:rsidRPr="002029AF">
        <w:t>or</w:t>
      </w:r>
      <w:r w:rsidR="000A5329" w:rsidRPr="002029AF">
        <w:t xml:space="preserve"> </w:t>
      </w:r>
      <w:r w:rsidRPr="002029AF">
        <w:t>more.</w:t>
      </w:r>
    </w:p>
    <w:p w14:paraId="596B98AD" w14:textId="2294A049" w:rsidR="00CF72D5" w:rsidRPr="002029AF" w:rsidRDefault="00CF72D5" w:rsidP="00897193">
      <w:pPr>
        <w:pStyle w:val="ARbody"/>
      </w:pPr>
      <w:r w:rsidRPr="002029AF">
        <w:t>The</w:t>
      </w:r>
      <w:r w:rsidR="000A5329" w:rsidRPr="002029AF">
        <w:t xml:space="preserve"> </w:t>
      </w:r>
      <w:r w:rsidRPr="002029AF">
        <w:t>MPSG</w:t>
      </w:r>
      <w:r w:rsidR="000A5329" w:rsidRPr="002029AF">
        <w:t xml:space="preserve"> </w:t>
      </w:r>
      <w:r w:rsidRPr="002029AF">
        <w:t>guidelines</w:t>
      </w:r>
      <w:r w:rsidR="000A5329" w:rsidRPr="002029AF">
        <w:t xml:space="preserve"> </w:t>
      </w:r>
      <w:r w:rsidRPr="002029AF">
        <w:t>and</w:t>
      </w:r>
      <w:r w:rsidR="000A5329" w:rsidRPr="002029AF">
        <w:t xml:space="preserve"> </w:t>
      </w:r>
      <w:r w:rsidRPr="002029AF">
        <w:t>VIPP</w:t>
      </w:r>
      <w:r w:rsidR="000A5329" w:rsidRPr="002029AF">
        <w:t xml:space="preserve"> </w:t>
      </w:r>
      <w:r w:rsidRPr="002029AF">
        <w:t>guidelines</w:t>
      </w:r>
      <w:r w:rsidR="000A5329" w:rsidRPr="002029AF">
        <w:t xml:space="preserve"> </w:t>
      </w:r>
      <w:r w:rsidRPr="002029AF">
        <w:t>will</w:t>
      </w:r>
      <w:r w:rsidR="00286264" w:rsidRPr="002029AF">
        <w:t> </w:t>
      </w:r>
      <w:r w:rsidRPr="002029AF">
        <w:t>continue</w:t>
      </w:r>
      <w:r w:rsidR="000A5329" w:rsidRPr="002029AF">
        <w:t xml:space="preserve"> </w:t>
      </w:r>
      <w:r w:rsidRPr="002029AF">
        <w:t>to</w:t>
      </w:r>
      <w:r w:rsidR="000A5329" w:rsidRPr="002029AF">
        <w:t xml:space="preserve"> </w:t>
      </w:r>
      <w:r w:rsidRPr="002029AF">
        <w:t>apply</w:t>
      </w:r>
      <w:r w:rsidR="000A5329" w:rsidRPr="002029AF">
        <w:t xml:space="preserve"> </w:t>
      </w:r>
      <w:r w:rsidRPr="002029AF">
        <w:t>to</w:t>
      </w:r>
      <w:r w:rsidR="000A5329" w:rsidRPr="002029AF">
        <w:t xml:space="preserve"> </w:t>
      </w:r>
      <w:r w:rsidRPr="002029AF">
        <w:t>MPSG-applicable</w:t>
      </w:r>
      <w:r w:rsidR="000A5329" w:rsidRPr="002029AF">
        <w:t xml:space="preserve"> </w:t>
      </w:r>
      <w:r w:rsidRPr="002029AF">
        <w:t>and</w:t>
      </w:r>
      <w:r w:rsidR="000A5329" w:rsidRPr="002029AF">
        <w:t xml:space="preserve"> </w:t>
      </w:r>
      <w:r w:rsidRPr="002029AF">
        <w:t>VIPP</w:t>
      </w:r>
      <w:r w:rsidRPr="002029AF">
        <w:noBreakHyphen/>
        <w:t>applicable</w:t>
      </w:r>
      <w:r w:rsidR="000A5329" w:rsidRPr="002029AF">
        <w:t xml:space="preserve"> </w:t>
      </w:r>
      <w:r w:rsidRPr="002029AF">
        <w:t>projects</w:t>
      </w:r>
      <w:r w:rsidR="000A5329" w:rsidRPr="002029AF">
        <w:t xml:space="preserve"> </w:t>
      </w:r>
      <w:r w:rsidRPr="002029AF">
        <w:t>respectively</w:t>
      </w:r>
      <w:r w:rsidR="000A5329" w:rsidRPr="002029AF">
        <w:t xml:space="preserve"> </w:t>
      </w:r>
      <w:r w:rsidRPr="002029AF">
        <w:t>where</w:t>
      </w:r>
      <w:r w:rsidR="000A5329" w:rsidRPr="002029AF">
        <w:t xml:space="preserve"> </w:t>
      </w:r>
      <w:r w:rsidRPr="002029AF">
        <w:t>contracts</w:t>
      </w:r>
      <w:r w:rsidR="000A5329" w:rsidRPr="002029AF">
        <w:t xml:space="preserve"> </w:t>
      </w:r>
      <w:r w:rsidR="00DB4713" w:rsidRPr="002029AF">
        <w:t>were</w:t>
      </w:r>
      <w:r w:rsidR="000A5329" w:rsidRPr="002029AF">
        <w:t xml:space="preserve"> </w:t>
      </w:r>
      <w:r w:rsidRPr="002029AF">
        <w:t>entered</w:t>
      </w:r>
      <w:r w:rsidR="000A5329" w:rsidRPr="002029AF">
        <w:t xml:space="preserve"> </w:t>
      </w:r>
      <w:r w:rsidR="00DB4713" w:rsidRPr="002029AF">
        <w:t>into</w:t>
      </w:r>
      <w:r w:rsidR="000A5329" w:rsidRPr="002029AF">
        <w:t xml:space="preserve"> </w:t>
      </w:r>
      <w:r w:rsidRPr="002029AF">
        <w:t>prior</w:t>
      </w:r>
      <w:r w:rsidR="000A5329" w:rsidRPr="002029AF">
        <w:t xml:space="preserve"> </w:t>
      </w:r>
      <w:r w:rsidRPr="002029AF">
        <w:t>to</w:t>
      </w:r>
      <w:r w:rsidR="000A5329" w:rsidRPr="002029AF">
        <w:t xml:space="preserve"> </w:t>
      </w:r>
      <w:r w:rsidRPr="002029AF">
        <w:t>15</w:t>
      </w:r>
      <w:r w:rsidR="000A5329" w:rsidRPr="002029AF">
        <w:t xml:space="preserve"> </w:t>
      </w:r>
      <w:r w:rsidRPr="002029AF">
        <w:t>August</w:t>
      </w:r>
      <w:r w:rsidR="000A5329" w:rsidRPr="002029AF">
        <w:t xml:space="preserve"> </w:t>
      </w:r>
      <w:r w:rsidRPr="002029AF">
        <w:t>2018.</w:t>
      </w:r>
    </w:p>
    <w:p w14:paraId="0FCD0D9A" w14:textId="2CE8DA5D" w:rsidR="00CF72D5" w:rsidRPr="002029AF" w:rsidRDefault="00CF72D5" w:rsidP="00897193">
      <w:pPr>
        <w:pStyle w:val="Heading3"/>
        <w:rPr>
          <w:rFonts w:cs="Arial"/>
        </w:rPr>
      </w:pPr>
      <w:bookmarkStart w:id="106" w:name="_Toc41961292"/>
      <w:r w:rsidRPr="002029AF">
        <w:rPr>
          <w:rFonts w:cs="Arial"/>
        </w:rPr>
        <w:t>Projects</w:t>
      </w:r>
      <w:r w:rsidR="000A5329" w:rsidRPr="002029AF">
        <w:rPr>
          <w:rFonts w:cs="Arial"/>
        </w:rPr>
        <w:t xml:space="preserve"> </w:t>
      </w:r>
      <w:r w:rsidR="002924C2" w:rsidRPr="002029AF">
        <w:rPr>
          <w:rFonts w:cs="Arial"/>
        </w:rPr>
        <w:t>c</w:t>
      </w:r>
      <w:r w:rsidRPr="002029AF">
        <w:rPr>
          <w:rFonts w:cs="Arial"/>
        </w:rPr>
        <w:t>ommenced</w:t>
      </w:r>
      <w:r w:rsidR="000A5329" w:rsidRPr="002029AF">
        <w:rPr>
          <w:rFonts w:cs="Arial"/>
        </w:rPr>
        <w:t xml:space="preserve"> </w:t>
      </w:r>
      <w:r w:rsidRPr="002029AF">
        <w:rPr>
          <w:rFonts w:cs="Arial"/>
        </w:rPr>
        <w:t>–</w:t>
      </w:r>
      <w:r w:rsidR="000A5329" w:rsidRPr="002029AF">
        <w:rPr>
          <w:rFonts w:cs="Arial"/>
        </w:rPr>
        <w:t xml:space="preserve"> </w:t>
      </w:r>
      <w:r w:rsidRPr="002029AF">
        <w:rPr>
          <w:rFonts w:cs="Arial"/>
        </w:rPr>
        <w:t>Local</w:t>
      </w:r>
      <w:r w:rsidR="000A5329" w:rsidRPr="002029AF">
        <w:rPr>
          <w:rFonts w:cs="Arial"/>
        </w:rPr>
        <w:t xml:space="preserve"> </w:t>
      </w:r>
      <w:r w:rsidRPr="002029AF">
        <w:rPr>
          <w:rFonts w:cs="Arial"/>
        </w:rPr>
        <w:t>Jobs</w:t>
      </w:r>
      <w:r w:rsidR="000A5329" w:rsidRPr="002029AF">
        <w:rPr>
          <w:rFonts w:cs="Arial"/>
        </w:rPr>
        <w:t xml:space="preserve"> </w:t>
      </w:r>
      <w:r w:rsidRPr="002029AF">
        <w:rPr>
          <w:rFonts w:cs="Arial"/>
        </w:rPr>
        <w:t>First</w:t>
      </w:r>
      <w:r w:rsidR="000A5329" w:rsidRPr="002029AF">
        <w:rPr>
          <w:rFonts w:cs="Arial"/>
        </w:rPr>
        <w:t xml:space="preserve"> </w:t>
      </w:r>
      <w:r w:rsidR="00AD2123" w:rsidRPr="002029AF">
        <w:rPr>
          <w:rFonts w:cs="Arial"/>
        </w:rPr>
        <w:t>s</w:t>
      </w:r>
      <w:r w:rsidRPr="002029AF">
        <w:rPr>
          <w:rFonts w:cs="Arial"/>
        </w:rPr>
        <w:t>tandard</w:t>
      </w:r>
      <w:bookmarkEnd w:id="106"/>
      <w:r w:rsidR="000A5329" w:rsidRPr="002029AF">
        <w:rPr>
          <w:rFonts w:cs="Arial"/>
        </w:rPr>
        <w:t xml:space="preserve"> </w:t>
      </w:r>
      <w:r w:rsidR="00AD2123" w:rsidRPr="002029AF">
        <w:rPr>
          <w:rFonts w:cs="Arial"/>
        </w:rPr>
        <w:t>projects</w:t>
      </w:r>
    </w:p>
    <w:p w14:paraId="488F7DE0" w14:textId="4E94AEE2" w:rsidR="00CF72D5" w:rsidRPr="002029AF" w:rsidRDefault="00CF72D5" w:rsidP="00897193">
      <w:pPr>
        <w:pStyle w:val="ARbody"/>
      </w:pPr>
      <w:r w:rsidRPr="002029AF">
        <w:t>During</w:t>
      </w:r>
      <w:r w:rsidR="000A5329" w:rsidRPr="002029AF">
        <w:t xml:space="preserve"> </w:t>
      </w:r>
      <w:r w:rsidRPr="002029AF">
        <w:t>201</w:t>
      </w:r>
      <w:r w:rsidR="00DB53E6" w:rsidRPr="002029AF">
        <w:t>9–</w:t>
      </w:r>
      <w:r w:rsidRPr="002029AF">
        <w:t>20,</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commenced</w:t>
      </w:r>
      <w:r w:rsidR="000A5329" w:rsidRPr="002029AF">
        <w:t xml:space="preserve"> </w:t>
      </w:r>
      <w:r w:rsidRPr="002029AF">
        <w:t>twenty</w:t>
      </w:r>
      <w:r w:rsidR="000A5329" w:rsidRPr="002029AF">
        <w:t xml:space="preserve"> </w:t>
      </w:r>
      <w:r w:rsidRPr="002029AF">
        <w:t>Local</w:t>
      </w:r>
      <w:r w:rsidR="000A5329" w:rsidRPr="002029AF">
        <w:t xml:space="preserve"> </w:t>
      </w:r>
      <w:r w:rsidRPr="002029AF">
        <w:t>Jobs</w:t>
      </w:r>
      <w:r w:rsidR="000A5329" w:rsidRPr="002029AF">
        <w:t xml:space="preserve"> </w:t>
      </w:r>
      <w:r w:rsidRPr="002029AF">
        <w:t>First</w:t>
      </w:r>
      <w:r w:rsidR="000A5329" w:rsidRPr="002029AF">
        <w:t xml:space="preserve"> </w:t>
      </w:r>
      <w:r w:rsidR="009373F7" w:rsidRPr="002029AF">
        <w:t>s</w:t>
      </w:r>
      <w:r w:rsidRPr="002029AF">
        <w:t>tandard</w:t>
      </w:r>
      <w:r w:rsidR="000A5329" w:rsidRPr="002029AF">
        <w:t xml:space="preserve"> </w:t>
      </w:r>
      <w:r w:rsidRPr="002029AF">
        <w:t>projects</w:t>
      </w:r>
      <w:r w:rsidR="000A5329" w:rsidRPr="002029AF">
        <w:t xml:space="preserve"> </w:t>
      </w:r>
      <w:r w:rsidRPr="002029AF">
        <w:t>totalling</w:t>
      </w:r>
      <w:r w:rsidR="000A5329" w:rsidRPr="002029AF">
        <w:t xml:space="preserve"> </w:t>
      </w:r>
      <w:r w:rsidRPr="002029AF">
        <w:t>$68.27</w:t>
      </w:r>
      <w:r w:rsidR="000A5329" w:rsidRPr="002029AF">
        <w:t xml:space="preserve"> </w:t>
      </w:r>
      <w:r w:rsidRPr="002029AF">
        <w:t>million.</w:t>
      </w:r>
      <w:r w:rsidR="000A5329" w:rsidRPr="002029AF">
        <w:t xml:space="preserve"> </w:t>
      </w:r>
      <w:r w:rsidRPr="002029AF">
        <w:t>Of</w:t>
      </w:r>
      <w:r w:rsidR="000A5329" w:rsidRPr="002029AF">
        <w:t xml:space="preserve"> </w:t>
      </w:r>
      <w:r w:rsidRPr="002029AF">
        <w:t>those</w:t>
      </w:r>
      <w:r w:rsidR="000A5329" w:rsidRPr="002029AF">
        <w:t xml:space="preserve"> </w:t>
      </w:r>
      <w:r w:rsidRPr="002029AF">
        <w:t>projects,</w:t>
      </w:r>
      <w:r w:rsidR="000A5329" w:rsidRPr="002029AF">
        <w:t xml:space="preserve"> </w:t>
      </w:r>
      <w:r w:rsidRPr="002029AF">
        <w:t>ten</w:t>
      </w:r>
      <w:r w:rsidR="000A5329" w:rsidRPr="002029AF">
        <w:t xml:space="preserve"> </w:t>
      </w:r>
      <w:r w:rsidRPr="002029AF">
        <w:t>were</w:t>
      </w:r>
      <w:r w:rsidR="000A5329" w:rsidRPr="002029AF">
        <w:t xml:space="preserve"> </w:t>
      </w:r>
      <w:r w:rsidRPr="002029AF">
        <w:t>located</w:t>
      </w:r>
      <w:r w:rsidR="000A5329" w:rsidRPr="002029AF">
        <w:t xml:space="preserve"> </w:t>
      </w:r>
      <w:r w:rsidRPr="002029AF">
        <w:t>in</w:t>
      </w:r>
      <w:r w:rsidR="000A5329" w:rsidRPr="002029AF">
        <w:t xml:space="preserve"> </w:t>
      </w:r>
      <w:r w:rsidRPr="002029AF">
        <w:t>regional</w:t>
      </w:r>
      <w:r w:rsidR="000A5329" w:rsidRPr="002029AF">
        <w:t xml:space="preserve"> </w:t>
      </w:r>
      <w:r w:rsidRPr="002029AF">
        <w:t>Victoria,</w:t>
      </w:r>
      <w:r w:rsidR="000A5329" w:rsidRPr="002029AF">
        <w:t xml:space="preserve"> </w:t>
      </w:r>
      <w:r w:rsidRPr="002029AF">
        <w:t>with</w:t>
      </w:r>
      <w:r w:rsidR="000A5329" w:rsidRPr="002029AF">
        <w:t xml:space="preserve"> </w:t>
      </w:r>
      <w:r w:rsidRPr="002029AF">
        <w:t>a</w:t>
      </w:r>
      <w:r w:rsidR="000A5329" w:rsidRPr="002029AF">
        <w:t xml:space="preserve"> </w:t>
      </w:r>
      <w:r w:rsidRPr="002029AF">
        <w:t>commitment</w:t>
      </w:r>
      <w:r w:rsidR="000A5329" w:rsidRPr="002029AF">
        <w:t xml:space="preserve"> </w:t>
      </w:r>
      <w:r w:rsidRPr="002029AF">
        <w:t>of</w:t>
      </w:r>
      <w:r w:rsidR="000A5329" w:rsidRPr="002029AF">
        <w:t xml:space="preserve"> </w:t>
      </w:r>
      <w:r w:rsidRPr="002029AF">
        <w:t>99</w:t>
      </w:r>
      <w:r w:rsidR="000A5329" w:rsidRPr="002029AF">
        <w:t xml:space="preserve"> </w:t>
      </w:r>
      <w:r w:rsidRPr="002029AF">
        <w:t>per</w:t>
      </w:r>
      <w:r w:rsidR="000A5329" w:rsidRPr="002029AF">
        <w:t xml:space="preserve"> </w:t>
      </w:r>
      <w:r w:rsidRPr="002029AF">
        <w:t>cent</w:t>
      </w:r>
      <w:r w:rsidR="000A5329" w:rsidRPr="002029AF">
        <w:t xml:space="preserve"> </w:t>
      </w:r>
      <w:r w:rsidRPr="002029AF">
        <w:t>of</w:t>
      </w:r>
      <w:r w:rsidR="000A5329" w:rsidRPr="002029AF">
        <w:t xml:space="preserve"> </w:t>
      </w:r>
      <w:r w:rsidRPr="002029AF">
        <w:t>local</w:t>
      </w:r>
      <w:r w:rsidR="000A5329" w:rsidRPr="002029AF">
        <w:t xml:space="preserve"> </w:t>
      </w:r>
      <w:r w:rsidRPr="002029AF">
        <w:t>content,</w:t>
      </w:r>
      <w:r w:rsidR="000A5329" w:rsidRPr="002029AF">
        <w:t xml:space="preserve"> </w:t>
      </w:r>
      <w:r w:rsidRPr="002029AF">
        <w:t>and</w:t>
      </w:r>
      <w:r w:rsidR="000A5329" w:rsidRPr="002029AF">
        <w:t xml:space="preserve"> </w:t>
      </w:r>
      <w:r w:rsidRPr="002029AF">
        <w:t>eight</w:t>
      </w:r>
      <w:r w:rsidR="000A5329" w:rsidRPr="002029AF">
        <w:t xml:space="preserve"> </w:t>
      </w:r>
      <w:r w:rsidRPr="002029AF">
        <w:t>in</w:t>
      </w:r>
      <w:r w:rsidR="000A5329" w:rsidRPr="002029AF">
        <w:t xml:space="preserve"> </w:t>
      </w:r>
      <w:r w:rsidRPr="002029AF">
        <w:t>metropolitan</w:t>
      </w:r>
      <w:r w:rsidR="000A5329" w:rsidRPr="002029AF">
        <w:t xml:space="preserve"> </w:t>
      </w:r>
      <w:r w:rsidRPr="002029AF">
        <w:t>Melbourne,</w:t>
      </w:r>
      <w:r w:rsidR="000A5329" w:rsidRPr="002029AF">
        <w:t xml:space="preserve"> </w:t>
      </w:r>
      <w:r w:rsidRPr="002029AF">
        <w:t>with</w:t>
      </w:r>
      <w:r w:rsidR="000A5329" w:rsidRPr="002029AF">
        <w:t xml:space="preserve"> </w:t>
      </w:r>
      <w:r w:rsidRPr="002029AF">
        <w:t>an</w:t>
      </w:r>
      <w:r w:rsidR="000A5329" w:rsidRPr="002029AF">
        <w:t xml:space="preserve"> </w:t>
      </w:r>
      <w:r w:rsidRPr="002029AF">
        <w:t>average</w:t>
      </w:r>
      <w:r w:rsidR="000A5329" w:rsidRPr="002029AF">
        <w:t xml:space="preserve"> </w:t>
      </w:r>
      <w:r w:rsidRPr="002029AF">
        <w:t>commitment</w:t>
      </w:r>
      <w:r w:rsidR="000A5329" w:rsidRPr="002029AF">
        <w:t xml:space="preserve"> </w:t>
      </w:r>
      <w:r w:rsidRPr="002029AF">
        <w:t>of</w:t>
      </w:r>
      <w:r w:rsidR="000A5329" w:rsidRPr="002029AF">
        <w:t xml:space="preserve"> </w:t>
      </w:r>
      <w:r w:rsidRPr="002029AF">
        <w:t>97</w:t>
      </w:r>
      <w:r w:rsidR="000A5329" w:rsidRPr="002029AF">
        <w:t xml:space="preserve"> </w:t>
      </w:r>
      <w:r w:rsidRPr="002029AF">
        <w:t>per</w:t>
      </w:r>
      <w:r w:rsidR="000A5329" w:rsidRPr="002029AF">
        <w:t xml:space="preserve"> </w:t>
      </w:r>
      <w:r w:rsidRPr="002029AF">
        <w:t>cent</w:t>
      </w:r>
      <w:r w:rsidR="000A5329" w:rsidRPr="002029AF">
        <w:t xml:space="preserve"> </w:t>
      </w:r>
      <w:r w:rsidRPr="002029AF">
        <w:t>local</w:t>
      </w:r>
      <w:r w:rsidR="000A5329" w:rsidRPr="002029AF">
        <w:t xml:space="preserve"> </w:t>
      </w:r>
      <w:r w:rsidRPr="002029AF">
        <w:t>content.</w:t>
      </w:r>
      <w:r w:rsidR="000A5329" w:rsidRPr="002029AF">
        <w:t xml:space="preserve"> </w:t>
      </w:r>
      <w:r w:rsidRPr="002029AF">
        <w:t>Two</w:t>
      </w:r>
      <w:r w:rsidR="000A5329" w:rsidRPr="002029AF">
        <w:t xml:space="preserve"> </w:t>
      </w:r>
      <w:r w:rsidR="00DD57CE" w:rsidRPr="002029AF">
        <w:t>state</w:t>
      </w:r>
      <w:r w:rsidR="00E43BFF" w:rsidRPr="002029AF">
        <w:t>wide</w:t>
      </w:r>
      <w:r w:rsidR="000A5329" w:rsidRPr="002029AF">
        <w:t xml:space="preserve"> </w:t>
      </w:r>
      <w:r w:rsidRPr="002029AF">
        <w:t>projects</w:t>
      </w:r>
      <w:r w:rsidR="000A5329" w:rsidRPr="002029AF">
        <w:t xml:space="preserve"> </w:t>
      </w:r>
      <w:r w:rsidRPr="002029AF">
        <w:t>were</w:t>
      </w:r>
      <w:r w:rsidR="000A5329" w:rsidRPr="002029AF">
        <w:t xml:space="preserve"> </w:t>
      </w:r>
      <w:r w:rsidRPr="002029AF">
        <w:t>commenced,</w:t>
      </w:r>
      <w:r w:rsidR="000A5329" w:rsidRPr="002029AF">
        <w:t xml:space="preserve"> </w:t>
      </w:r>
      <w:r w:rsidRPr="002029AF">
        <w:t>with</w:t>
      </w:r>
      <w:r w:rsidR="000A5329" w:rsidRPr="002029AF">
        <w:t xml:space="preserve"> </w:t>
      </w:r>
      <w:r w:rsidRPr="002029AF">
        <w:t>an</w:t>
      </w:r>
      <w:r w:rsidR="000A5329" w:rsidRPr="002029AF">
        <w:t xml:space="preserve"> </w:t>
      </w:r>
      <w:r w:rsidRPr="002029AF">
        <w:t>average</w:t>
      </w:r>
      <w:r w:rsidR="000A5329" w:rsidRPr="002029AF">
        <w:t xml:space="preserve"> </w:t>
      </w:r>
      <w:r w:rsidRPr="002029AF">
        <w:t>commitment</w:t>
      </w:r>
      <w:r w:rsidR="000A5329" w:rsidRPr="002029AF">
        <w:t xml:space="preserve"> </w:t>
      </w:r>
      <w:r w:rsidRPr="002029AF">
        <w:t>of</w:t>
      </w:r>
      <w:r w:rsidR="000A5329" w:rsidRPr="002029AF">
        <w:t xml:space="preserve"> </w:t>
      </w:r>
      <w:r w:rsidRPr="002029AF">
        <w:t>98</w:t>
      </w:r>
      <w:r w:rsidR="000A5329" w:rsidRPr="002029AF">
        <w:t xml:space="preserve"> </w:t>
      </w:r>
      <w:r w:rsidRPr="002029AF">
        <w:t>per</w:t>
      </w:r>
      <w:r w:rsidR="000A5329" w:rsidRPr="002029AF">
        <w:t xml:space="preserve"> </w:t>
      </w:r>
      <w:r w:rsidRPr="002029AF">
        <w:t>cent</w:t>
      </w:r>
      <w:r w:rsidR="000A5329" w:rsidRPr="002029AF">
        <w:t xml:space="preserve"> </w:t>
      </w:r>
      <w:r w:rsidRPr="002029AF">
        <w:t>local</w:t>
      </w:r>
      <w:r w:rsidR="000A5329" w:rsidRPr="002029AF">
        <w:t xml:space="preserve"> </w:t>
      </w:r>
      <w:r w:rsidRPr="002029AF">
        <w:t>content.</w:t>
      </w:r>
      <w:r w:rsidR="000A5329" w:rsidRPr="002029AF">
        <w:t xml:space="preserve"> </w:t>
      </w:r>
      <w:r w:rsidRPr="002029AF">
        <w:t>The</w:t>
      </w:r>
      <w:r w:rsidR="000A5329" w:rsidRPr="002029AF">
        <w:t xml:space="preserve"> </w:t>
      </w:r>
      <w:r w:rsidRPr="002029AF">
        <w:t>MPSG</w:t>
      </w:r>
      <w:r w:rsidR="000A5329" w:rsidRPr="002029AF">
        <w:t xml:space="preserve"> </w:t>
      </w:r>
      <w:r w:rsidRPr="002029AF">
        <w:t>applied</w:t>
      </w:r>
      <w:r w:rsidR="000A5329" w:rsidRPr="002029AF">
        <w:t xml:space="preserve"> </w:t>
      </w:r>
      <w:r w:rsidRPr="002029AF">
        <w:t>to</w:t>
      </w:r>
      <w:r w:rsidR="000A5329" w:rsidRPr="002029AF">
        <w:t xml:space="preserve"> </w:t>
      </w:r>
      <w:r w:rsidRPr="002029AF">
        <w:t>three</w:t>
      </w:r>
      <w:r w:rsidR="000A5329" w:rsidRPr="002029AF">
        <w:t xml:space="preserve"> </w:t>
      </w:r>
      <w:r w:rsidRPr="002029AF">
        <w:t>of</w:t>
      </w:r>
      <w:r w:rsidR="000A5329" w:rsidRPr="002029AF">
        <w:t xml:space="preserve"> </w:t>
      </w:r>
      <w:r w:rsidRPr="002029AF">
        <w:t>these</w:t>
      </w:r>
      <w:r w:rsidR="000A5329" w:rsidRPr="002029AF">
        <w:t xml:space="preserve"> </w:t>
      </w:r>
      <w:r w:rsidRPr="002029AF">
        <w:t>projects.</w:t>
      </w:r>
    </w:p>
    <w:p w14:paraId="43DCC54E" w14:textId="4453D4EC" w:rsidR="00CF72D5" w:rsidRPr="002029AF" w:rsidRDefault="00F91750" w:rsidP="00897193">
      <w:pPr>
        <w:pStyle w:val="ARbody"/>
      </w:pPr>
      <w:r w:rsidRPr="002029AF">
        <w:t>According</w:t>
      </w:r>
      <w:r w:rsidR="000A5329" w:rsidRPr="002029AF">
        <w:t xml:space="preserve"> </w:t>
      </w:r>
      <w:r w:rsidRPr="002029AF">
        <w:t>to</w:t>
      </w:r>
      <w:r w:rsidR="000A5329" w:rsidRPr="002029AF">
        <w:t xml:space="preserve"> </w:t>
      </w:r>
      <w:r w:rsidRPr="002029AF">
        <w:t>the</w:t>
      </w:r>
      <w:r w:rsidR="000A5329" w:rsidRPr="002029AF">
        <w:t xml:space="preserve"> </w:t>
      </w:r>
      <w:r w:rsidRPr="002029AF">
        <w:t>commitments</w:t>
      </w:r>
      <w:r w:rsidR="000A5329" w:rsidRPr="002029AF">
        <w:t xml:space="preserve"> </w:t>
      </w:r>
      <w:r w:rsidRPr="002029AF">
        <w:t>made,</w:t>
      </w:r>
      <w:r w:rsidR="000A5329" w:rsidRPr="002029AF">
        <w:t xml:space="preserve"> </w:t>
      </w:r>
      <w:r w:rsidRPr="002029AF">
        <w:t>t</w:t>
      </w:r>
      <w:r w:rsidR="00CF72D5" w:rsidRPr="002029AF">
        <w:t>he</w:t>
      </w:r>
      <w:r w:rsidR="000A5329" w:rsidRPr="002029AF">
        <w:t xml:space="preserve"> </w:t>
      </w:r>
      <w:r w:rsidR="00CF72D5" w:rsidRPr="002029AF">
        <w:t>outcomes</w:t>
      </w:r>
      <w:r w:rsidR="000A5329" w:rsidRPr="002029AF">
        <w:t xml:space="preserve"> </w:t>
      </w:r>
      <w:r w:rsidR="00CF72D5" w:rsidRPr="002029AF">
        <w:t>expected</w:t>
      </w:r>
      <w:r w:rsidR="000A5329" w:rsidRPr="002029AF">
        <w:t xml:space="preserve"> </w:t>
      </w:r>
      <w:r w:rsidR="00CF72D5" w:rsidRPr="002029AF">
        <w:t>from</w:t>
      </w:r>
      <w:r w:rsidR="000A5329" w:rsidRPr="002029AF">
        <w:t xml:space="preserve"> </w:t>
      </w:r>
      <w:r w:rsidR="00CF72D5" w:rsidRPr="002029AF">
        <w:t>the</w:t>
      </w:r>
      <w:r w:rsidR="000A5329" w:rsidRPr="002029AF">
        <w:t xml:space="preserve"> </w:t>
      </w:r>
      <w:r w:rsidR="00CF72D5" w:rsidRPr="002029AF">
        <w:t>implementation</w:t>
      </w:r>
      <w:r w:rsidR="000A5329" w:rsidRPr="002029AF">
        <w:t xml:space="preserve"> </w:t>
      </w:r>
      <w:r w:rsidR="00CF72D5" w:rsidRPr="002029AF">
        <w:t>of</w:t>
      </w:r>
      <w:r w:rsidR="000A5329" w:rsidRPr="002029AF">
        <w:t xml:space="preserve"> </w:t>
      </w:r>
      <w:r w:rsidR="00CF72D5" w:rsidRPr="002029AF">
        <w:t>the</w:t>
      </w:r>
      <w:r w:rsidR="000A5329" w:rsidRPr="002029AF">
        <w:t xml:space="preserve"> </w:t>
      </w:r>
      <w:r w:rsidR="00CF72D5" w:rsidRPr="002029AF">
        <w:t>Local</w:t>
      </w:r>
      <w:r w:rsidR="000A5329" w:rsidRPr="002029AF">
        <w:t xml:space="preserve"> </w:t>
      </w:r>
      <w:r w:rsidR="00CF72D5" w:rsidRPr="002029AF">
        <w:t>Jobs</w:t>
      </w:r>
      <w:r w:rsidR="000A5329" w:rsidRPr="002029AF">
        <w:t xml:space="preserve"> </w:t>
      </w:r>
      <w:r w:rsidR="00CF72D5" w:rsidRPr="002029AF">
        <w:t>First</w:t>
      </w:r>
      <w:r w:rsidR="000A5329" w:rsidRPr="002029AF">
        <w:t xml:space="preserve"> </w:t>
      </w:r>
      <w:r w:rsidR="00CF72D5" w:rsidRPr="002029AF">
        <w:t>policy</w:t>
      </w:r>
      <w:r w:rsidR="000A5329" w:rsidRPr="002029AF">
        <w:t xml:space="preserve"> </w:t>
      </w:r>
      <w:r w:rsidR="00CF72D5" w:rsidRPr="002029AF">
        <w:t>to</w:t>
      </w:r>
      <w:r w:rsidR="000A5329" w:rsidRPr="002029AF">
        <w:t xml:space="preserve"> </w:t>
      </w:r>
      <w:r w:rsidR="00CF72D5" w:rsidRPr="002029AF">
        <w:t>these</w:t>
      </w:r>
      <w:r w:rsidR="000A5329" w:rsidRPr="002029AF">
        <w:t xml:space="preserve"> </w:t>
      </w:r>
      <w:r w:rsidR="00CF72D5" w:rsidRPr="002029AF">
        <w:t>projects</w:t>
      </w:r>
      <w:r w:rsidR="000A5329" w:rsidRPr="002029AF">
        <w:t xml:space="preserve"> </w:t>
      </w:r>
      <w:r w:rsidR="00CF72D5" w:rsidRPr="002029AF">
        <w:t>where</w:t>
      </w:r>
      <w:r w:rsidR="000A5329" w:rsidRPr="002029AF">
        <w:t xml:space="preserve"> </w:t>
      </w:r>
      <w:r w:rsidR="00CF72D5" w:rsidRPr="002029AF">
        <w:t>information</w:t>
      </w:r>
      <w:r w:rsidR="000A5329" w:rsidRPr="002029AF">
        <w:t xml:space="preserve"> </w:t>
      </w:r>
      <w:r w:rsidR="00CF72D5" w:rsidRPr="002029AF">
        <w:t>was</w:t>
      </w:r>
      <w:r w:rsidR="000A5329" w:rsidRPr="002029AF">
        <w:t xml:space="preserve"> </w:t>
      </w:r>
      <w:r w:rsidR="00CF72D5" w:rsidRPr="002029AF">
        <w:t>provided</w:t>
      </w:r>
      <w:r w:rsidR="000A5329" w:rsidRPr="002029AF">
        <w:t xml:space="preserve"> </w:t>
      </w:r>
      <w:r w:rsidR="00CF72D5" w:rsidRPr="002029AF">
        <w:t>are</w:t>
      </w:r>
      <w:r w:rsidR="000A5329" w:rsidRPr="002029AF">
        <w:t xml:space="preserve"> </w:t>
      </w:r>
      <w:r w:rsidR="00CF72D5" w:rsidRPr="002029AF">
        <w:t>as</w:t>
      </w:r>
      <w:r w:rsidR="000A5329" w:rsidRPr="002029AF">
        <w:t xml:space="preserve"> </w:t>
      </w:r>
      <w:r w:rsidR="00CF72D5" w:rsidRPr="002029AF">
        <w:t>follows:</w:t>
      </w:r>
    </w:p>
    <w:p w14:paraId="078A0D64" w14:textId="2690FC3C" w:rsidR="00CF72D5" w:rsidRPr="002029AF" w:rsidRDefault="00CF72D5" w:rsidP="00897193">
      <w:pPr>
        <w:pStyle w:val="ARbullet1"/>
      </w:pPr>
      <w:r w:rsidRPr="002029AF">
        <w:t>an</w:t>
      </w:r>
      <w:r w:rsidR="000A5329" w:rsidRPr="002029AF">
        <w:t xml:space="preserve"> </w:t>
      </w:r>
      <w:r w:rsidRPr="002029AF">
        <w:t>average</w:t>
      </w:r>
      <w:r w:rsidR="000A5329" w:rsidRPr="002029AF">
        <w:t xml:space="preserve"> </w:t>
      </w:r>
      <w:r w:rsidRPr="002029AF">
        <w:t>of</w:t>
      </w:r>
      <w:r w:rsidR="000A5329" w:rsidRPr="002029AF">
        <w:t xml:space="preserve"> </w:t>
      </w:r>
      <w:r w:rsidRPr="002029AF">
        <w:t>98</w:t>
      </w:r>
      <w:r w:rsidR="000A5329" w:rsidRPr="002029AF">
        <w:t xml:space="preserve"> </w:t>
      </w:r>
      <w:r w:rsidRPr="002029AF">
        <w:t>per</w:t>
      </w:r>
      <w:r w:rsidR="000A5329" w:rsidRPr="002029AF">
        <w:t xml:space="preserve"> </w:t>
      </w:r>
      <w:r w:rsidRPr="002029AF">
        <w:t>cent</w:t>
      </w:r>
      <w:r w:rsidR="000A5329" w:rsidRPr="002029AF">
        <w:t xml:space="preserve"> </w:t>
      </w:r>
      <w:r w:rsidRPr="002029AF">
        <w:t>of</w:t>
      </w:r>
      <w:r w:rsidR="000A5329" w:rsidRPr="002029AF">
        <w:t xml:space="preserve"> </w:t>
      </w:r>
      <w:r w:rsidRPr="002029AF">
        <w:t>local</w:t>
      </w:r>
      <w:r w:rsidR="000A5329" w:rsidRPr="002029AF">
        <w:t xml:space="preserve"> </w:t>
      </w:r>
      <w:r w:rsidRPr="002029AF">
        <w:t>content</w:t>
      </w:r>
      <w:r w:rsidR="000A5329" w:rsidRPr="002029AF">
        <w:t xml:space="preserve"> </w:t>
      </w:r>
      <w:r w:rsidRPr="002029AF">
        <w:t>commitment</w:t>
      </w:r>
      <w:r w:rsidR="000A5329" w:rsidRPr="002029AF">
        <w:t xml:space="preserve"> </w:t>
      </w:r>
      <w:r w:rsidRPr="002029AF">
        <w:t>was</w:t>
      </w:r>
      <w:r w:rsidR="000A5329" w:rsidRPr="002029AF">
        <w:t xml:space="preserve"> </w:t>
      </w:r>
      <w:r w:rsidRPr="002029AF">
        <w:t>made</w:t>
      </w:r>
    </w:p>
    <w:p w14:paraId="563076D0" w14:textId="39A6D2F3" w:rsidR="00CF72D5" w:rsidRPr="002029AF" w:rsidRDefault="00CF72D5" w:rsidP="00897193">
      <w:pPr>
        <w:pStyle w:val="ARbullet1"/>
      </w:pPr>
      <w:r w:rsidRPr="002029AF">
        <w:t>a</w:t>
      </w:r>
      <w:r w:rsidR="000A5329" w:rsidRPr="002029AF">
        <w:t xml:space="preserve"> </w:t>
      </w:r>
      <w:r w:rsidRPr="002029AF">
        <w:t>total</w:t>
      </w:r>
      <w:r w:rsidR="000A5329" w:rsidRPr="002029AF">
        <w:t xml:space="preserve"> </w:t>
      </w:r>
      <w:r w:rsidRPr="002029AF">
        <w:t>of</w:t>
      </w:r>
      <w:r w:rsidR="000A5329" w:rsidRPr="002029AF">
        <w:t xml:space="preserve"> </w:t>
      </w:r>
      <w:r w:rsidRPr="002029AF">
        <w:t>159</w:t>
      </w:r>
      <w:r w:rsidR="000A5329" w:rsidRPr="002029AF">
        <w:t xml:space="preserve"> </w:t>
      </w:r>
      <w:r w:rsidRPr="002029AF">
        <w:t>jobs</w:t>
      </w:r>
      <w:r w:rsidR="000A5329" w:rsidRPr="002029AF">
        <w:t xml:space="preserve"> </w:t>
      </w:r>
      <w:r w:rsidRPr="002029AF">
        <w:t>(annualised</w:t>
      </w:r>
      <w:r w:rsidR="000A5329" w:rsidRPr="002029AF">
        <w:t xml:space="preserve"> </w:t>
      </w:r>
      <w:r w:rsidRPr="002029AF">
        <w:t>employee</w:t>
      </w:r>
      <w:r w:rsidR="000A5329" w:rsidRPr="002029AF">
        <w:t xml:space="preserve"> </w:t>
      </w:r>
      <w:r w:rsidRPr="002029AF">
        <w:t>equivalent</w:t>
      </w:r>
      <w:r w:rsidR="000A5329" w:rsidRPr="002029AF">
        <w:t xml:space="preserve"> </w:t>
      </w:r>
      <w:r w:rsidRPr="002029AF">
        <w:t>(AEE)),</w:t>
      </w:r>
      <w:r w:rsidR="000A5329" w:rsidRPr="002029AF">
        <w:t xml:space="preserve"> </w:t>
      </w:r>
      <w:r w:rsidRPr="002029AF">
        <w:t>including</w:t>
      </w:r>
      <w:r w:rsidR="000A5329" w:rsidRPr="002029AF">
        <w:t xml:space="preserve"> </w:t>
      </w:r>
      <w:r w:rsidRPr="002029AF">
        <w:t>the</w:t>
      </w:r>
      <w:r w:rsidR="000A5329" w:rsidRPr="002029AF">
        <w:t xml:space="preserve"> </w:t>
      </w:r>
      <w:r w:rsidRPr="002029AF">
        <w:t>creation</w:t>
      </w:r>
      <w:r w:rsidR="000A5329" w:rsidRPr="002029AF">
        <w:t xml:space="preserve"> </w:t>
      </w:r>
      <w:r w:rsidRPr="002029AF">
        <w:t>of</w:t>
      </w:r>
      <w:r w:rsidR="000A5329" w:rsidRPr="002029AF">
        <w:t xml:space="preserve"> </w:t>
      </w:r>
      <w:r w:rsidR="00CA3F82" w:rsidRPr="002029AF">
        <w:t>31</w:t>
      </w:r>
      <w:r w:rsidR="00286264" w:rsidRPr="002029AF">
        <w:t> </w:t>
      </w:r>
      <w:r w:rsidRPr="002029AF">
        <w:t>new</w:t>
      </w:r>
      <w:r w:rsidR="000A5329" w:rsidRPr="002029AF">
        <w:t xml:space="preserve"> </w:t>
      </w:r>
      <w:r w:rsidRPr="002029AF">
        <w:t>jobs</w:t>
      </w:r>
      <w:r w:rsidR="000A5329" w:rsidRPr="002029AF">
        <w:t xml:space="preserve"> </w:t>
      </w:r>
      <w:r w:rsidRPr="002029AF">
        <w:t>and</w:t>
      </w:r>
      <w:r w:rsidR="000A5329" w:rsidRPr="002029AF">
        <w:t xml:space="preserve"> </w:t>
      </w:r>
      <w:r w:rsidRPr="002029AF">
        <w:t>the</w:t>
      </w:r>
      <w:r w:rsidR="000A5329" w:rsidRPr="002029AF">
        <w:t xml:space="preserve"> </w:t>
      </w:r>
      <w:r w:rsidRPr="002029AF">
        <w:t>retention</w:t>
      </w:r>
      <w:r w:rsidR="000A5329" w:rsidRPr="002029AF">
        <w:t xml:space="preserve"> </w:t>
      </w:r>
      <w:r w:rsidRPr="002029AF">
        <w:t>of</w:t>
      </w:r>
      <w:r w:rsidR="000A5329" w:rsidRPr="002029AF">
        <w:t xml:space="preserve"> </w:t>
      </w:r>
      <w:r w:rsidRPr="002029AF">
        <w:t>128</w:t>
      </w:r>
      <w:r w:rsidR="000A5329" w:rsidRPr="002029AF">
        <w:t xml:space="preserve"> </w:t>
      </w:r>
      <w:r w:rsidRPr="002029AF">
        <w:t>existing</w:t>
      </w:r>
      <w:r w:rsidR="000A5329" w:rsidRPr="002029AF">
        <w:t xml:space="preserve"> </w:t>
      </w:r>
      <w:r w:rsidRPr="002029AF">
        <w:t>jobs</w:t>
      </w:r>
      <w:r w:rsidR="000A5329" w:rsidRPr="002029AF">
        <w:t xml:space="preserve"> </w:t>
      </w:r>
      <w:r w:rsidRPr="002029AF">
        <w:t>(AEE)</w:t>
      </w:r>
    </w:p>
    <w:p w14:paraId="1C4B0054" w14:textId="2DCDA2EF" w:rsidR="00CF72D5" w:rsidRPr="002029AF" w:rsidRDefault="00CF72D5" w:rsidP="00897193">
      <w:pPr>
        <w:pStyle w:val="ARbullet1"/>
      </w:pPr>
      <w:r w:rsidRPr="002029AF">
        <w:t>a</w:t>
      </w:r>
      <w:r w:rsidR="000A5329" w:rsidRPr="002029AF">
        <w:t xml:space="preserve"> </w:t>
      </w:r>
      <w:r w:rsidRPr="002029AF">
        <w:t>total</w:t>
      </w:r>
      <w:r w:rsidR="000A5329" w:rsidRPr="002029AF">
        <w:t xml:space="preserve"> </w:t>
      </w:r>
      <w:r w:rsidRPr="002029AF">
        <w:t>o</w:t>
      </w:r>
      <w:r w:rsidR="00155A12" w:rsidRPr="002029AF">
        <w:t>f</w:t>
      </w:r>
      <w:r w:rsidR="000A5329" w:rsidRPr="002029AF">
        <w:t xml:space="preserve"> </w:t>
      </w:r>
      <w:r w:rsidR="00155A12" w:rsidRPr="002029AF">
        <w:t>27</w:t>
      </w:r>
      <w:r w:rsidR="000A5329" w:rsidRPr="002029AF">
        <w:t xml:space="preserve"> </w:t>
      </w:r>
      <w:r w:rsidRPr="002029AF">
        <w:t>positions</w:t>
      </w:r>
      <w:r w:rsidR="000A5329" w:rsidRPr="002029AF">
        <w:t xml:space="preserve"> </w:t>
      </w:r>
      <w:r w:rsidRPr="002029AF">
        <w:t>for</w:t>
      </w:r>
      <w:r w:rsidR="000A5329" w:rsidRPr="002029AF">
        <w:t xml:space="preserve"> </w:t>
      </w:r>
      <w:r w:rsidRPr="002029AF">
        <w:t>apprentices,</w:t>
      </w:r>
      <w:r w:rsidR="000A5329" w:rsidRPr="002029AF">
        <w:t xml:space="preserve"> </w:t>
      </w:r>
      <w:r w:rsidRPr="002029AF">
        <w:t>trainees</w:t>
      </w:r>
      <w:r w:rsidR="000A5329" w:rsidRPr="002029AF">
        <w:t xml:space="preserve"> </w:t>
      </w:r>
      <w:r w:rsidRPr="002029AF">
        <w:t>and</w:t>
      </w:r>
      <w:r w:rsidR="000A5329" w:rsidRPr="002029AF">
        <w:t xml:space="preserve"> </w:t>
      </w:r>
      <w:r w:rsidRPr="002029AF">
        <w:t>cadets,</w:t>
      </w:r>
      <w:r w:rsidR="000A5329" w:rsidRPr="002029AF">
        <w:t xml:space="preserve"> </w:t>
      </w:r>
      <w:r w:rsidRPr="002029AF">
        <w:t>including</w:t>
      </w:r>
      <w:r w:rsidR="000A5329" w:rsidRPr="002029AF">
        <w:t xml:space="preserve"> </w:t>
      </w:r>
      <w:r w:rsidRPr="002029AF">
        <w:t>the</w:t>
      </w:r>
      <w:r w:rsidR="000A5329" w:rsidRPr="002029AF">
        <w:t xml:space="preserve"> </w:t>
      </w:r>
      <w:r w:rsidRPr="002029AF">
        <w:t>creation</w:t>
      </w:r>
      <w:r w:rsidR="000A5329" w:rsidRPr="002029AF">
        <w:t xml:space="preserve"> </w:t>
      </w:r>
      <w:r w:rsidRPr="002029AF">
        <w:t>of</w:t>
      </w:r>
      <w:r w:rsidR="000A5329" w:rsidRPr="002029AF">
        <w:t xml:space="preserve"> </w:t>
      </w:r>
      <w:r w:rsidR="00155A12" w:rsidRPr="002029AF">
        <w:t>17</w:t>
      </w:r>
      <w:r w:rsidR="000A5329" w:rsidRPr="002029AF">
        <w:t xml:space="preserve"> </w:t>
      </w:r>
      <w:r w:rsidRPr="002029AF">
        <w:t>new</w:t>
      </w:r>
      <w:r w:rsidR="000A5329" w:rsidRPr="002029AF">
        <w:t xml:space="preserve"> </w:t>
      </w:r>
      <w:r w:rsidRPr="002029AF">
        <w:t>apprenticeships,</w:t>
      </w:r>
      <w:r w:rsidR="000A5329" w:rsidRPr="002029AF">
        <w:t xml:space="preserve"> </w:t>
      </w:r>
      <w:r w:rsidRPr="002029AF">
        <w:t>traineeships,</w:t>
      </w:r>
      <w:r w:rsidR="000A5329" w:rsidRPr="002029AF">
        <w:t xml:space="preserve"> </w:t>
      </w:r>
      <w:r w:rsidRPr="002029AF">
        <w:t>and</w:t>
      </w:r>
      <w:r w:rsidR="000A5329" w:rsidRPr="002029AF">
        <w:t xml:space="preserve"> </w:t>
      </w:r>
      <w:r w:rsidRPr="002029AF">
        <w:t>cadets</w:t>
      </w:r>
    </w:p>
    <w:p w14:paraId="0458462D" w14:textId="6AC8029D" w:rsidR="00CF72D5" w:rsidRPr="002029AF" w:rsidRDefault="00CF72D5" w:rsidP="00897193">
      <w:pPr>
        <w:pStyle w:val="ARbullet1"/>
      </w:pPr>
      <w:r w:rsidRPr="002029AF">
        <w:t>the</w:t>
      </w:r>
      <w:r w:rsidR="000A5329" w:rsidRPr="002029AF">
        <w:t xml:space="preserve"> </w:t>
      </w:r>
      <w:r w:rsidRPr="002029AF">
        <w:t>retention</w:t>
      </w:r>
      <w:r w:rsidR="000A5329" w:rsidRPr="002029AF">
        <w:t xml:space="preserve"> </w:t>
      </w:r>
      <w:r w:rsidRPr="002029AF">
        <w:t>of</w:t>
      </w:r>
      <w:r w:rsidR="000A5329" w:rsidRPr="002029AF">
        <w:t xml:space="preserve"> </w:t>
      </w:r>
      <w:r w:rsidRPr="002029AF">
        <w:t>the</w:t>
      </w:r>
      <w:r w:rsidR="000A5329" w:rsidRPr="002029AF">
        <w:t xml:space="preserve"> </w:t>
      </w:r>
      <w:r w:rsidRPr="002029AF">
        <w:t>remaining</w:t>
      </w:r>
      <w:r w:rsidR="000A5329" w:rsidRPr="002029AF">
        <w:t xml:space="preserve"> </w:t>
      </w:r>
      <w:r w:rsidR="00F919DA" w:rsidRPr="002029AF">
        <w:t>10</w:t>
      </w:r>
      <w:r w:rsidR="000A5329" w:rsidRPr="002029AF">
        <w:t xml:space="preserve"> </w:t>
      </w:r>
      <w:r w:rsidRPr="002029AF">
        <w:t>existing</w:t>
      </w:r>
      <w:r w:rsidR="000A5329" w:rsidRPr="002029AF">
        <w:t xml:space="preserve"> </w:t>
      </w:r>
      <w:r w:rsidRPr="002029AF">
        <w:t>apprenticeships,</w:t>
      </w:r>
      <w:r w:rsidR="000A5329" w:rsidRPr="002029AF">
        <w:t xml:space="preserve"> </w:t>
      </w:r>
      <w:r w:rsidRPr="002029AF">
        <w:t>traineeships</w:t>
      </w:r>
      <w:r w:rsidR="000A5329" w:rsidRPr="002029AF">
        <w:t xml:space="preserve"> </w:t>
      </w:r>
      <w:r w:rsidRPr="002029AF">
        <w:t>and</w:t>
      </w:r>
      <w:r w:rsidR="000A5329" w:rsidRPr="002029AF">
        <w:t xml:space="preserve"> </w:t>
      </w:r>
      <w:r w:rsidRPr="002029AF">
        <w:t>cadets</w:t>
      </w:r>
    </w:p>
    <w:p w14:paraId="4988CD8A" w14:textId="473FAA96" w:rsidR="00CF72D5" w:rsidRPr="002029AF" w:rsidRDefault="00CF72D5" w:rsidP="00897193">
      <w:pPr>
        <w:pStyle w:val="ARbullet1"/>
      </w:pPr>
      <w:r w:rsidRPr="002029AF">
        <w:t>a</w:t>
      </w:r>
      <w:r w:rsidR="000A5329" w:rsidRPr="002029AF">
        <w:t xml:space="preserve"> </w:t>
      </w:r>
      <w:r w:rsidRPr="002029AF">
        <w:t>total</w:t>
      </w:r>
      <w:r w:rsidR="000A5329" w:rsidRPr="002029AF">
        <w:t xml:space="preserve"> </w:t>
      </w:r>
      <w:r w:rsidRPr="002029AF">
        <w:t>of</w:t>
      </w:r>
      <w:r w:rsidR="000A5329" w:rsidRPr="002029AF">
        <w:t xml:space="preserve"> </w:t>
      </w:r>
      <w:r w:rsidRPr="002029AF">
        <w:t>2</w:t>
      </w:r>
      <w:r w:rsidR="002B4A38" w:rsidRPr="002029AF">
        <w:t>,</w:t>
      </w:r>
      <w:r w:rsidRPr="002029AF">
        <w:t>000</w:t>
      </w:r>
      <w:r w:rsidR="000A5329" w:rsidRPr="002029AF">
        <w:t xml:space="preserve"> </w:t>
      </w:r>
      <w:r w:rsidRPr="002029AF">
        <w:t>hours</w:t>
      </w:r>
      <w:r w:rsidR="000A5329" w:rsidRPr="002029AF">
        <w:t xml:space="preserve"> </w:t>
      </w:r>
      <w:r w:rsidRPr="002029AF">
        <w:t>to</w:t>
      </w:r>
      <w:r w:rsidR="000A5329" w:rsidRPr="002029AF">
        <w:t xml:space="preserve"> </w:t>
      </w:r>
      <w:r w:rsidRPr="002029AF">
        <w:t>apprentices,</w:t>
      </w:r>
      <w:r w:rsidR="000A5329" w:rsidRPr="002029AF">
        <w:t xml:space="preserve"> </w:t>
      </w:r>
      <w:r w:rsidRPr="002029AF">
        <w:t>trainees</w:t>
      </w:r>
      <w:r w:rsidR="000A5329" w:rsidRPr="002029AF">
        <w:t xml:space="preserve"> </w:t>
      </w:r>
      <w:r w:rsidRPr="002029AF">
        <w:t>and</w:t>
      </w:r>
      <w:r w:rsidR="000A5329" w:rsidRPr="002029AF">
        <w:t xml:space="preserve"> </w:t>
      </w:r>
      <w:r w:rsidRPr="002029AF">
        <w:t>cadets</w:t>
      </w:r>
      <w:r w:rsidR="000A5329" w:rsidRPr="002029AF">
        <w:t xml:space="preserve"> </w:t>
      </w:r>
      <w:r w:rsidRPr="002029AF">
        <w:t>and</w:t>
      </w:r>
      <w:r w:rsidR="000A5329" w:rsidRPr="002029AF">
        <w:t xml:space="preserve"> </w:t>
      </w:r>
      <w:r w:rsidR="002B4A38" w:rsidRPr="002029AF">
        <w:t>the</w:t>
      </w:r>
      <w:r w:rsidR="000A5329" w:rsidRPr="002029AF">
        <w:t xml:space="preserve"> </w:t>
      </w:r>
      <w:r w:rsidR="002B4A38" w:rsidRPr="002029AF">
        <w:t>engagement</w:t>
      </w:r>
      <w:r w:rsidR="000A5329" w:rsidRPr="002029AF">
        <w:t xml:space="preserve"> </w:t>
      </w:r>
      <w:r w:rsidR="002B4A38" w:rsidRPr="002029AF">
        <w:t>of</w:t>
      </w:r>
      <w:r w:rsidR="000A5329" w:rsidRPr="002029AF">
        <w:t xml:space="preserve"> </w:t>
      </w:r>
      <w:r w:rsidRPr="002029AF">
        <w:t>one</w:t>
      </w:r>
      <w:r w:rsidR="000A5329" w:rsidRPr="002029AF">
        <w:t xml:space="preserve"> </w:t>
      </w:r>
      <w:r w:rsidRPr="002029AF">
        <w:t>apprentice</w:t>
      </w:r>
      <w:r w:rsidR="000A5329" w:rsidRPr="002029AF">
        <w:t xml:space="preserve"> </w:t>
      </w:r>
      <w:r w:rsidR="002B4A38" w:rsidRPr="002029AF">
        <w:t>in</w:t>
      </w:r>
      <w:r w:rsidR="000A5329" w:rsidRPr="002029AF">
        <w:t xml:space="preserve"> </w:t>
      </w:r>
      <w:r w:rsidR="002B4A38" w:rsidRPr="002029AF">
        <w:t>MPSG</w:t>
      </w:r>
      <w:r w:rsidR="000A5329" w:rsidRPr="002029AF">
        <w:t xml:space="preserve"> </w:t>
      </w:r>
      <w:r w:rsidR="002B4A38" w:rsidRPr="002029AF">
        <w:t>applicable</w:t>
      </w:r>
      <w:r w:rsidR="000A5329" w:rsidRPr="002029AF">
        <w:t xml:space="preserve"> </w:t>
      </w:r>
      <w:r w:rsidR="002B4A38" w:rsidRPr="002029AF">
        <w:t>projects</w:t>
      </w:r>
      <w:r w:rsidR="00AB27A9" w:rsidRPr="002029AF">
        <w:t>.</w:t>
      </w:r>
    </w:p>
    <w:p w14:paraId="21DB2339" w14:textId="236EE0C4" w:rsidR="00CF72D5" w:rsidRPr="002029AF" w:rsidRDefault="00CF72D5" w:rsidP="00897193">
      <w:pPr>
        <w:pStyle w:val="Heading3"/>
        <w:rPr>
          <w:rFonts w:cs="Arial"/>
        </w:rPr>
      </w:pPr>
      <w:bookmarkStart w:id="107" w:name="_Toc41961293"/>
      <w:r w:rsidRPr="002029AF">
        <w:rPr>
          <w:rFonts w:cs="Arial"/>
        </w:rPr>
        <w:t>Projects</w:t>
      </w:r>
      <w:r w:rsidR="000A5329" w:rsidRPr="002029AF">
        <w:rPr>
          <w:rFonts w:cs="Arial"/>
        </w:rPr>
        <w:t xml:space="preserve"> </w:t>
      </w:r>
      <w:r w:rsidRPr="002029AF">
        <w:rPr>
          <w:rFonts w:cs="Arial"/>
        </w:rPr>
        <w:t>completed</w:t>
      </w:r>
      <w:r w:rsidR="000A5329" w:rsidRPr="002029AF">
        <w:rPr>
          <w:rFonts w:cs="Arial"/>
        </w:rPr>
        <w:t xml:space="preserve"> </w:t>
      </w:r>
      <w:r w:rsidRPr="002029AF">
        <w:rPr>
          <w:rFonts w:cs="Arial"/>
        </w:rPr>
        <w:t>–</w:t>
      </w:r>
      <w:r w:rsidR="000A5329" w:rsidRPr="002029AF">
        <w:rPr>
          <w:rFonts w:cs="Arial"/>
        </w:rPr>
        <w:t xml:space="preserve"> </w:t>
      </w:r>
      <w:r w:rsidRPr="002029AF">
        <w:rPr>
          <w:rFonts w:cs="Arial"/>
        </w:rPr>
        <w:t>Local</w:t>
      </w:r>
      <w:r w:rsidR="000A5329" w:rsidRPr="002029AF">
        <w:rPr>
          <w:rFonts w:cs="Arial"/>
        </w:rPr>
        <w:t xml:space="preserve"> </w:t>
      </w:r>
      <w:r w:rsidRPr="002029AF">
        <w:rPr>
          <w:rFonts w:cs="Arial"/>
        </w:rPr>
        <w:t>Jobs</w:t>
      </w:r>
      <w:r w:rsidR="000A5329" w:rsidRPr="002029AF">
        <w:rPr>
          <w:rFonts w:cs="Arial"/>
        </w:rPr>
        <w:t xml:space="preserve"> </w:t>
      </w:r>
      <w:r w:rsidRPr="002029AF">
        <w:rPr>
          <w:rFonts w:cs="Arial"/>
        </w:rPr>
        <w:t>First</w:t>
      </w:r>
      <w:r w:rsidR="000A5329" w:rsidRPr="002029AF">
        <w:rPr>
          <w:rFonts w:cs="Arial"/>
        </w:rPr>
        <w:t xml:space="preserve"> </w:t>
      </w:r>
      <w:r w:rsidR="00F04A10" w:rsidRPr="002029AF">
        <w:rPr>
          <w:rFonts w:cs="Arial"/>
        </w:rPr>
        <w:t>s</w:t>
      </w:r>
      <w:r w:rsidRPr="002029AF">
        <w:rPr>
          <w:rFonts w:cs="Arial"/>
        </w:rPr>
        <w:t>tandard</w:t>
      </w:r>
      <w:bookmarkEnd w:id="107"/>
      <w:r w:rsidR="000A5329" w:rsidRPr="002029AF">
        <w:rPr>
          <w:rFonts w:cs="Arial"/>
        </w:rPr>
        <w:t xml:space="preserve"> </w:t>
      </w:r>
      <w:r w:rsidR="00F04A10" w:rsidRPr="002029AF">
        <w:rPr>
          <w:rFonts w:cs="Arial"/>
        </w:rPr>
        <w:t>projects</w:t>
      </w:r>
    </w:p>
    <w:p w14:paraId="6EE3013E" w14:textId="488750FD" w:rsidR="00CF72D5" w:rsidRPr="002029AF" w:rsidRDefault="00CF72D5" w:rsidP="00897193">
      <w:pPr>
        <w:pStyle w:val="ARbody"/>
      </w:pPr>
      <w:r w:rsidRPr="002029AF">
        <w:t>During</w:t>
      </w:r>
      <w:r w:rsidR="000A5329" w:rsidRPr="002029AF">
        <w:t xml:space="preserve"> </w:t>
      </w:r>
      <w:r w:rsidRPr="002029AF">
        <w:t>201</w:t>
      </w:r>
      <w:r w:rsidR="00DB53E6" w:rsidRPr="002029AF">
        <w:t>9–</w:t>
      </w:r>
      <w:r w:rsidRPr="002029AF">
        <w:t>20,</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completed</w:t>
      </w:r>
      <w:r w:rsidR="000A5329" w:rsidRPr="002029AF">
        <w:t xml:space="preserve"> </w:t>
      </w:r>
      <w:r w:rsidR="00F04A10" w:rsidRPr="002029AF">
        <w:t>19</w:t>
      </w:r>
      <w:r w:rsidR="00286264" w:rsidRPr="002029AF">
        <w:t> </w:t>
      </w:r>
      <w:r w:rsidRPr="002029AF">
        <w:t>Local</w:t>
      </w:r>
      <w:r w:rsidR="000A5329" w:rsidRPr="002029AF">
        <w:t xml:space="preserve"> </w:t>
      </w:r>
      <w:r w:rsidRPr="002029AF">
        <w:t>Jobs</w:t>
      </w:r>
      <w:r w:rsidR="000A5329" w:rsidRPr="002029AF">
        <w:t xml:space="preserve"> </w:t>
      </w:r>
      <w:r w:rsidRPr="002029AF">
        <w:t>First</w:t>
      </w:r>
      <w:r w:rsidR="000A5329" w:rsidRPr="002029AF">
        <w:t xml:space="preserve"> </w:t>
      </w:r>
      <w:r w:rsidR="00F04A10" w:rsidRPr="002029AF">
        <w:t>s</w:t>
      </w:r>
      <w:r w:rsidRPr="002029AF">
        <w:t>tandard</w:t>
      </w:r>
      <w:r w:rsidR="000A5329" w:rsidRPr="002029AF">
        <w:t xml:space="preserve"> </w:t>
      </w:r>
      <w:r w:rsidRPr="002029AF">
        <w:t>projects,</w:t>
      </w:r>
      <w:r w:rsidR="000A5329" w:rsidRPr="002029AF">
        <w:t xml:space="preserve"> </w:t>
      </w:r>
      <w:r w:rsidRPr="002029AF">
        <w:t>totalling</w:t>
      </w:r>
      <w:r w:rsidR="000A5329" w:rsidRPr="002029AF">
        <w:t xml:space="preserve"> </w:t>
      </w:r>
      <w:r w:rsidRPr="002029AF">
        <w:t>$101.65</w:t>
      </w:r>
      <w:r w:rsidR="000A5329" w:rsidRPr="002029AF">
        <w:t xml:space="preserve"> </w:t>
      </w:r>
      <w:r w:rsidRPr="002029AF">
        <w:t>million.</w:t>
      </w:r>
      <w:r w:rsidR="000A5329" w:rsidRPr="002029AF">
        <w:t xml:space="preserve"> </w:t>
      </w:r>
      <w:r w:rsidRPr="002029AF">
        <w:t>Of</w:t>
      </w:r>
      <w:r w:rsidR="000A5329" w:rsidRPr="002029AF">
        <w:t xml:space="preserve"> </w:t>
      </w:r>
      <w:r w:rsidRPr="002029AF">
        <w:t>those</w:t>
      </w:r>
      <w:r w:rsidR="000A5329" w:rsidRPr="002029AF">
        <w:t xml:space="preserve"> </w:t>
      </w:r>
      <w:r w:rsidRPr="002029AF">
        <w:t>projects,</w:t>
      </w:r>
      <w:r w:rsidR="000A5329" w:rsidRPr="002029AF">
        <w:t xml:space="preserve"> </w:t>
      </w:r>
      <w:r w:rsidR="00EA0F55" w:rsidRPr="002029AF">
        <w:t>five</w:t>
      </w:r>
      <w:r w:rsidR="000A5329" w:rsidRPr="002029AF">
        <w:t xml:space="preserve"> </w:t>
      </w:r>
      <w:r w:rsidRPr="002029AF">
        <w:t>were</w:t>
      </w:r>
      <w:r w:rsidR="000A5329" w:rsidRPr="002029AF">
        <w:t xml:space="preserve"> </w:t>
      </w:r>
      <w:r w:rsidRPr="002029AF">
        <w:t>located</w:t>
      </w:r>
      <w:r w:rsidR="000A5329" w:rsidRPr="002029AF">
        <w:t xml:space="preserve"> </w:t>
      </w:r>
      <w:r w:rsidRPr="002029AF">
        <w:t>in</w:t>
      </w:r>
      <w:r w:rsidR="000A5329" w:rsidRPr="002029AF">
        <w:t xml:space="preserve"> </w:t>
      </w:r>
      <w:r w:rsidRPr="002029AF">
        <w:t>regional</w:t>
      </w:r>
      <w:r w:rsidR="000A5329" w:rsidRPr="002029AF">
        <w:t xml:space="preserve"> </w:t>
      </w:r>
      <w:r w:rsidRPr="002029AF">
        <w:t>Victoria,</w:t>
      </w:r>
      <w:r w:rsidR="000A5329" w:rsidRPr="002029AF">
        <w:t xml:space="preserve"> </w:t>
      </w:r>
      <w:r w:rsidRPr="002029AF">
        <w:t>with</w:t>
      </w:r>
      <w:r w:rsidR="000A5329" w:rsidRPr="002029AF">
        <w:t xml:space="preserve"> </w:t>
      </w:r>
      <w:r w:rsidRPr="002029AF">
        <w:t>a</w:t>
      </w:r>
      <w:r w:rsidR="000A5329" w:rsidRPr="002029AF">
        <w:t xml:space="preserve"> </w:t>
      </w:r>
      <w:r w:rsidRPr="002029AF">
        <w:t>commitment</w:t>
      </w:r>
      <w:r w:rsidR="000A5329" w:rsidRPr="002029AF">
        <w:t xml:space="preserve"> </w:t>
      </w:r>
      <w:r w:rsidRPr="002029AF">
        <w:t>of</w:t>
      </w:r>
      <w:r w:rsidR="000A5329" w:rsidRPr="002029AF">
        <w:t xml:space="preserve"> </w:t>
      </w:r>
      <w:r w:rsidRPr="002029AF">
        <w:t>85</w:t>
      </w:r>
      <w:r w:rsidR="000A5329" w:rsidRPr="002029AF">
        <w:t xml:space="preserve"> </w:t>
      </w:r>
      <w:r w:rsidRPr="002029AF">
        <w:t>per</w:t>
      </w:r>
      <w:r w:rsidR="000A5329" w:rsidRPr="002029AF">
        <w:t xml:space="preserve"> </w:t>
      </w:r>
      <w:r w:rsidRPr="002029AF">
        <w:t>cent</w:t>
      </w:r>
      <w:r w:rsidR="000A5329" w:rsidRPr="002029AF">
        <w:t xml:space="preserve"> </w:t>
      </w:r>
      <w:r w:rsidRPr="002029AF">
        <w:t>local</w:t>
      </w:r>
      <w:r w:rsidR="000A5329" w:rsidRPr="002029AF">
        <w:t xml:space="preserve"> </w:t>
      </w:r>
      <w:r w:rsidRPr="002029AF">
        <w:t>content,</w:t>
      </w:r>
      <w:r w:rsidR="000A5329" w:rsidRPr="002029AF">
        <w:t xml:space="preserve"> </w:t>
      </w:r>
      <w:r w:rsidRPr="002029AF">
        <w:t>and</w:t>
      </w:r>
      <w:r w:rsidR="000A5329" w:rsidRPr="002029AF">
        <w:t xml:space="preserve"> </w:t>
      </w:r>
      <w:r w:rsidRPr="002029AF">
        <w:t>12</w:t>
      </w:r>
      <w:r w:rsidR="000A5329" w:rsidRPr="002029AF">
        <w:t xml:space="preserve"> </w:t>
      </w:r>
      <w:r w:rsidRPr="002029AF">
        <w:t>in</w:t>
      </w:r>
      <w:r w:rsidR="000A5329" w:rsidRPr="002029AF">
        <w:t xml:space="preserve"> </w:t>
      </w:r>
      <w:r w:rsidRPr="002029AF">
        <w:t>metropolitan</w:t>
      </w:r>
      <w:r w:rsidR="000A5329" w:rsidRPr="002029AF">
        <w:t xml:space="preserve"> </w:t>
      </w:r>
      <w:r w:rsidRPr="002029AF">
        <w:t>Melbourne,</w:t>
      </w:r>
      <w:r w:rsidR="000A5329" w:rsidRPr="002029AF">
        <w:t xml:space="preserve"> </w:t>
      </w:r>
      <w:r w:rsidRPr="002029AF">
        <w:t>with</w:t>
      </w:r>
      <w:r w:rsidR="000A5329" w:rsidRPr="002029AF">
        <w:t xml:space="preserve"> </w:t>
      </w:r>
      <w:r w:rsidRPr="002029AF">
        <w:t>an</w:t>
      </w:r>
      <w:r w:rsidR="000A5329" w:rsidRPr="002029AF">
        <w:t xml:space="preserve"> </w:t>
      </w:r>
      <w:r w:rsidRPr="002029AF">
        <w:t>average</w:t>
      </w:r>
      <w:r w:rsidR="000A5329" w:rsidRPr="002029AF">
        <w:t xml:space="preserve"> </w:t>
      </w:r>
      <w:r w:rsidRPr="002029AF">
        <w:t>commitment</w:t>
      </w:r>
      <w:r w:rsidR="000A5329" w:rsidRPr="002029AF">
        <w:t xml:space="preserve"> </w:t>
      </w:r>
      <w:r w:rsidRPr="002029AF">
        <w:t>of</w:t>
      </w:r>
      <w:r w:rsidR="000A5329" w:rsidRPr="002029AF">
        <w:t xml:space="preserve"> </w:t>
      </w:r>
      <w:r w:rsidRPr="002029AF">
        <w:t>81</w:t>
      </w:r>
      <w:r w:rsidR="000A5329" w:rsidRPr="002029AF">
        <w:t xml:space="preserve"> </w:t>
      </w:r>
      <w:r w:rsidRPr="002029AF">
        <w:t>per</w:t>
      </w:r>
      <w:r w:rsidR="000A5329" w:rsidRPr="002029AF">
        <w:t xml:space="preserve"> </w:t>
      </w:r>
      <w:r w:rsidRPr="002029AF">
        <w:t>cent</w:t>
      </w:r>
      <w:r w:rsidR="000A5329" w:rsidRPr="002029AF">
        <w:t xml:space="preserve"> </w:t>
      </w:r>
      <w:r w:rsidRPr="002029AF">
        <w:t>local</w:t>
      </w:r>
      <w:r w:rsidR="000A5329" w:rsidRPr="002029AF">
        <w:t xml:space="preserve"> </w:t>
      </w:r>
      <w:r w:rsidRPr="002029AF">
        <w:t>content.</w:t>
      </w:r>
      <w:r w:rsidR="000A5329" w:rsidRPr="002029AF">
        <w:t xml:space="preserve"> </w:t>
      </w:r>
      <w:r w:rsidRPr="002029AF">
        <w:t>Two</w:t>
      </w:r>
      <w:r w:rsidR="000A5329" w:rsidRPr="002029AF">
        <w:t xml:space="preserve"> </w:t>
      </w:r>
      <w:r w:rsidR="00AB7630" w:rsidRPr="002029AF">
        <w:t>statewide</w:t>
      </w:r>
      <w:r w:rsidR="000A5329" w:rsidRPr="002029AF">
        <w:t xml:space="preserve"> </w:t>
      </w:r>
      <w:r w:rsidRPr="002029AF">
        <w:t>projects</w:t>
      </w:r>
      <w:r w:rsidR="000A5329" w:rsidRPr="002029AF">
        <w:t xml:space="preserve"> </w:t>
      </w:r>
      <w:r w:rsidR="004D01ED" w:rsidRPr="002029AF">
        <w:t>were</w:t>
      </w:r>
      <w:r w:rsidR="000A5329" w:rsidRPr="002029AF">
        <w:t xml:space="preserve"> </w:t>
      </w:r>
      <w:r w:rsidR="004D01ED" w:rsidRPr="002029AF">
        <w:t>completed</w:t>
      </w:r>
      <w:r w:rsidRPr="002029AF">
        <w:t>,</w:t>
      </w:r>
      <w:r w:rsidR="000A5329" w:rsidRPr="002029AF">
        <w:t xml:space="preserve"> </w:t>
      </w:r>
      <w:r w:rsidRPr="002029AF">
        <w:t>with</w:t>
      </w:r>
      <w:r w:rsidR="000A5329" w:rsidRPr="002029AF">
        <w:t xml:space="preserve"> </w:t>
      </w:r>
      <w:r w:rsidRPr="002029AF">
        <w:t>a</w:t>
      </w:r>
      <w:r w:rsidR="000A5329" w:rsidRPr="002029AF">
        <w:t xml:space="preserve"> </w:t>
      </w:r>
      <w:r w:rsidRPr="002029AF">
        <w:t>local</w:t>
      </w:r>
      <w:r w:rsidR="000A5329" w:rsidRPr="002029AF">
        <w:t xml:space="preserve"> </w:t>
      </w:r>
      <w:r w:rsidRPr="002029AF">
        <w:t>content</w:t>
      </w:r>
      <w:r w:rsidR="000A5329" w:rsidRPr="002029AF">
        <w:t xml:space="preserve"> </w:t>
      </w:r>
      <w:r w:rsidRPr="002029AF">
        <w:t>requirement</w:t>
      </w:r>
      <w:r w:rsidR="000A5329" w:rsidRPr="002029AF">
        <w:t xml:space="preserve"> </w:t>
      </w:r>
      <w:r w:rsidRPr="002029AF">
        <w:t>of</w:t>
      </w:r>
      <w:r w:rsidR="000A5329" w:rsidRPr="002029AF">
        <w:t xml:space="preserve"> </w:t>
      </w:r>
      <w:r w:rsidRPr="002029AF">
        <w:t>100</w:t>
      </w:r>
      <w:r w:rsidR="00286264" w:rsidRPr="002029AF">
        <w:t> </w:t>
      </w:r>
      <w:r w:rsidRPr="002029AF">
        <w:t>per</w:t>
      </w:r>
      <w:r w:rsidR="000A5329" w:rsidRPr="002029AF">
        <w:t xml:space="preserve"> </w:t>
      </w:r>
      <w:r w:rsidRPr="002029AF">
        <w:t>cent.</w:t>
      </w:r>
      <w:r w:rsidR="000A5329" w:rsidRPr="002029AF">
        <w:t xml:space="preserve"> </w:t>
      </w:r>
      <w:r w:rsidRPr="002029AF">
        <w:t>The</w:t>
      </w:r>
      <w:r w:rsidR="000A5329" w:rsidRPr="002029AF">
        <w:t xml:space="preserve"> </w:t>
      </w:r>
      <w:r w:rsidRPr="002029AF">
        <w:t>MPSG</w:t>
      </w:r>
      <w:r w:rsidR="000A5329" w:rsidRPr="002029AF">
        <w:t xml:space="preserve"> </w:t>
      </w:r>
      <w:r w:rsidRPr="002029AF">
        <w:t>applied</w:t>
      </w:r>
      <w:r w:rsidR="000A5329" w:rsidRPr="002029AF">
        <w:t xml:space="preserve"> </w:t>
      </w:r>
      <w:r w:rsidRPr="002029AF">
        <w:t>to</w:t>
      </w:r>
      <w:r w:rsidR="000A5329" w:rsidRPr="002029AF">
        <w:t xml:space="preserve"> </w:t>
      </w:r>
      <w:r w:rsidRPr="002029AF">
        <w:t>one</w:t>
      </w:r>
      <w:r w:rsidR="000A5329" w:rsidRPr="002029AF">
        <w:t xml:space="preserve"> </w:t>
      </w:r>
      <w:r w:rsidRPr="002029AF">
        <w:t>of</w:t>
      </w:r>
      <w:r w:rsidR="000A5329" w:rsidRPr="002029AF">
        <w:t xml:space="preserve"> </w:t>
      </w:r>
      <w:r w:rsidRPr="002029AF">
        <w:t>these</w:t>
      </w:r>
      <w:r w:rsidR="000A5329" w:rsidRPr="002029AF">
        <w:t xml:space="preserve"> </w:t>
      </w:r>
      <w:r w:rsidRPr="002029AF">
        <w:t>projects.</w:t>
      </w:r>
    </w:p>
    <w:p w14:paraId="7667F163" w14:textId="5E230A0D" w:rsidR="000A5329" w:rsidRPr="002029AF" w:rsidRDefault="00C459FC" w:rsidP="00897193">
      <w:pPr>
        <w:pStyle w:val="ARbody"/>
      </w:pPr>
      <w:r w:rsidRPr="002029AF">
        <w:t>According</w:t>
      </w:r>
      <w:r w:rsidR="000A5329" w:rsidRPr="002029AF">
        <w:t xml:space="preserve"> </w:t>
      </w:r>
      <w:r w:rsidRPr="002029AF">
        <w:t>to</w:t>
      </w:r>
      <w:r w:rsidR="000A5329" w:rsidRPr="002029AF">
        <w:t xml:space="preserve"> </w:t>
      </w:r>
      <w:r w:rsidRPr="002029AF">
        <w:t>the</w:t>
      </w:r>
      <w:r w:rsidR="000A5329" w:rsidRPr="002029AF">
        <w:t xml:space="preserve"> </w:t>
      </w:r>
      <w:r w:rsidRPr="002029AF">
        <w:t>commitments</w:t>
      </w:r>
      <w:r w:rsidR="000A5329" w:rsidRPr="002029AF">
        <w:t xml:space="preserve"> </w:t>
      </w:r>
      <w:r w:rsidRPr="002029AF">
        <w:t>made</w:t>
      </w:r>
      <w:r w:rsidR="00B3454A" w:rsidRPr="002029AF">
        <w:t>,</w:t>
      </w:r>
      <w:r w:rsidR="000A5329" w:rsidRPr="002029AF">
        <w:t xml:space="preserve"> </w:t>
      </w:r>
      <w:r w:rsidR="00B3454A" w:rsidRPr="002029AF">
        <w:t>t</w:t>
      </w:r>
      <w:r w:rsidR="00CF72D5" w:rsidRPr="002029AF">
        <w:t>he</w:t>
      </w:r>
      <w:r w:rsidR="000A5329" w:rsidRPr="002029AF">
        <w:t xml:space="preserve"> </w:t>
      </w:r>
      <w:r w:rsidR="00CF72D5" w:rsidRPr="002029AF">
        <w:t>outcomes</w:t>
      </w:r>
      <w:r w:rsidR="000A5329" w:rsidRPr="002029AF">
        <w:t xml:space="preserve"> </w:t>
      </w:r>
      <w:r w:rsidR="00CF72D5" w:rsidRPr="002029AF">
        <w:t>expected</w:t>
      </w:r>
      <w:r w:rsidR="000A5329" w:rsidRPr="002029AF">
        <w:t xml:space="preserve"> </w:t>
      </w:r>
      <w:r w:rsidR="00CF72D5" w:rsidRPr="002029AF">
        <w:t>from</w:t>
      </w:r>
      <w:r w:rsidR="000A5329" w:rsidRPr="002029AF">
        <w:t xml:space="preserve"> </w:t>
      </w:r>
      <w:r w:rsidR="00CF72D5" w:rsidRPr="002029AF">
        <w:t>the</w:t>
      </w:r>
      <w:r w:rsidR="000A5329" w:rsidRPr="002029AF">
        <w:t xml:space="preserve"> </w:t>
      </w:r>
      <w:r w:rsidR="00CF72D5" w:rsidRPr="002029AF">
        <w:t>implementation</w:t>
      </w:r>
      <w:r w:rsidR="000A5329" w:rsidRPr="002029AF">
        <w:t xml:space="preserve"> </w:t>
      </w:r>
      <w:r w:rsidR="00CF72D5" w:rsidRPr="002029AF">
        <w:t>of</w:t>
      </w:r>
      <w:r w:rsidR="000A5329" w:rsidRPr="002029AF">
        <w:t xml:space="preserve"> </w:t>
      </w:r>
      <w:r w:rsidR="00CF72D5" w:rsidRPr="002029AF">
        <w:t>the</w:t>
      </w:r>
      <w:r w:rsidR="000A5329" w:rsidRPr="002029AF">
        <w:t xml:space="preserve"> </w:t>
      </w:r>
      <w:r w:rsidR="00CF72D5" w:rsidRPr="002029AF">
        <w:t>Local</w:t>
      </w:r>
      <w:r w:rsidR="000A5329" w:rsidRPr="002029AF">
        <w:t xml:space="preserve"> </w:t>
      </w:r>
      <w:r w:rsidR="00CF72D5" w:rsidRPr="002029AF">
        <w:t>Jobs</w:t>
      </w:r>
      <w:r w:rsidR="000A5329" w:rsidRPr="002029AF">
        <w:t xml:space="preserve"> </w:t>
      </w:r>
      <w:r w:rsidR="00CF72D5" w:rsidRPr="002029AF">
        <w:t>First</w:t>
      </w:r>
      <w:r w:rsidR="000A5329" w:rsidRPr="002029AF">
        <w:t xml:space="preserve"> </w:t>
      </w:r>
      <w:r w:rsidR="00CF72D5" w:rsidRPr="002029AF">
        <w:t>policy</w:t>
      </w:r>
      <w:r w:rsidR="000A5329" w:rsidRPr="002029AF">
        <w:t xml:space="preserve"> </w:t>
      </w:r>
      <w:r w:rsidR="00CF72D5" w:rsidRPr="002029AF">
        <w:t>to</w:t>
      </w:r>
      <w:r w:rsidR="000A5329" w:rsidRPr="002029AF">
        <w:t xml:space="preserve"> </w:t>
      </w:r>
      <w:r w:rsidR="00CF72D5" w:rsidRPr="002029AF">
        <w:t>these</w:t>
      </w:r>
      <w:r w:rsidR="000A5329" w:rsidRPr="002029AF">
        <w:t xml:space="preserve"> </w:t>
      </w:r>
      <w:r w:rsidR="00CF72D5" w:rsidRPr="002029AF">
        <w:t>projects</w:t>
      </w:r>
      <w:r w:rsidR="000A5329" w:rsidRPr="002029AF">
        <w:t xml:space="preserve"> </w:t>
      </w:r>
      <w:r w:rsidR="00CF72D5" w:rsidRPr="002029AF">
        <w:t>where</w:t>
      </w:r>
      <w:r w:rsidR="000A5329" w:rsidRPr="002029AF">
        <w:t xml:space="preserve"> </w:t>
      </w:r>
      <w:r w:rsidR="00CF72D5" w:rsidRPr="002029AF">
        <w:t>information</w:t>
      </w:r>
      <w:r w:rsidR="000A5329" w:rsidRPr="002029AF">
        <w:t xml:space="preserve"> </w:t>
      </w:r>
      <w:r w:rsidR="00CF72D5" w:rsidRPr="002029AF">
        <w:t>was</w:t>
      </w:r>
      <w:r w:rsidR="000A5329" w:rsidRPr="002029AF">
        <w:t xml:space="preserve"> </w:t>
      </w:r>
      <w:r w:rsidR="00CF72D5" w:rsidRPr="002029AF">
        <w:t>provided,</w:t>
      </w:r>
      <w:r w:rsidR="000A5329" w:rsidRPr="002029AF">
        <w:t xml:space="preserve"> </w:t>
      </w:r>
      <w:r w:rsidR="00CF72D5" w:rsidRPr="002029AF">
        <w:t>were</w:t>
      </w:r>
      <w:r w:rsidR="000A5329" w:rsidRPr="002029AF">
        <w:t xml:space="preserve"> </w:t>
      </w:r>
      <w:r w:rsidR="00CF72D5" w:rsidRPr="002029AF">
        <w:t>as</w:t>
      </w:r>
      <w:r w:rsidR="000A5329" w:rsidRPr="002029AF">
        <w:t xml:space="preserve"> </w:t>
      </w:r>
      <w:r w:rsidR="00CF72D5" w:rsidRPr="002029AF">
        <w:t>follows:</w:t>
      </w:r>
    </w:p>
    <w:p w14:paraId="28645A40" w14:textId="3575E3BC" w:rsidR="00CF72D5" w:rsidRPr="002029AF" w:rsidRDefault="00CF72D5" w:rsidP="00897193">
      <w:pPr>
        <w:pStyle w:val="ARbullet1"/>
      </w:pPr>
      <w:r w:rsidRPr="002029AF">
        <w:t>an</w:t>
      </w:r>
      <w:r w:rsidR="000A5329" w:rsidRPr="002029AF">
        <w:t xml:space="preserve"> </w:t>
      </w:r>
      <w:r w:rsidRPr="002029AF">
        <w:t>average</w:t>
      </w:r>
      <w:r w:rsidR="000A5329" w:rsidRPr="002029AF">
        <w:t xml:space="preserve"> </w:t>
      </w:r>
      <w:r w:rsidRPr="002029AF">
        <w:t>of</w:t>
      </w:r>
      <w:r w:rsidR="000A5329" w:rsidRPr="002029AF">
        <w:t xml:space="preserve"> </w:t>
      </w:r>
      <w:r w:rsidRPr="002029AF">
        <w:t>84</w:t>
      </w:r>
      <w:r w:rsidR="000A5329" w:rsidRPr="002029AF">
        <w:t xml:space="preserve"> </w:t>
      </w:r>
      <w:r w:rsidRPr="002029AF">
        <w:t>per</w:t>
      </w:r>
      <w:r w:rsidR="000A5329" w:rsidRPr="002029AF">
        <w:t xml:space="preserve"> </w:t>
      </w:r>
      <w:r w:rsidRPr="002029AF">
        <w:t>cent</w:t>
      </w:r>
      <w:r w:rsidR="000A5329" w:rsidRPr="002029AF">
        <w:t xml:space="preserve"> </w:t>
      </w:r>
      <w:r w:rsidRPr="002029AF">
        <w:t>of</w:t>
      </w:r>
      <w:r w:rsidR="000A5329" w:rsidRPr="002029AF">
        <w:t xml:space="preserve"> </w:t>
      </w:r>
      <w:r w:rsidRPr="002029AF">
        <w:t>local</w:t>
      </w:r>
      <w:r w:rsidR="000A5329" w:rsidRPr="002029AF">
        <w:t xml:space="preserve"> </w:t>
      </w:r>
      <w:r w:rsidRPr="002029AF">
        <w:t>content</w:t>
      </w:r>
    </w:p>
    <w:p w14:paraId="2CE70E09" w14:textId="0DD301C5" w:rsidR="00CF72D5" w:rsidRPr="002029AF" w:rsidRDefault="00CF72D5" w:rsidP="00897193">
      <w:pPr>
        <w:pStyle w:val="ARbullet1"/>
      </w:pPr>
      <w:r w:rsidRPr="002029AF">
        <w:t>a</w:t>
      </w:r>
      <w:r w:rsidR="000A5329" w:rsidRPr="002029AF">
        <w:t xml:space="preserve"> </w:t>
      </w:r>
      <w:r w:rsidRPr="002029AF">
        <w:t>total</w:t>
      </w:r>
      <w:r w:rsidR="000A5329" w:rsidRPr="002029AF">
        <w:t xml:space="preserve"> </w:t>
      </w:r>
      <w:r w:rsidRPr="002029AF">
        <w:t>of</w:t>
      </w:r>
      <w:r w:rsidR="000A5329" w:rsidRPr="002029AF">
        <w:t xml:space="preserve"> </w:t>
      </w:r>
      <w:r w:rsidRPr="002029AF">
        <w:t>534</w:t>
      </w:r>
      <w:r w:rsidR="000A5329" w:rsidRPr="002029AF">
        <w:t xml:space="preserve"> </w:t>
      </w:r>
      <w:r w:rsidRPr="002029AF">
        <w:t>jobs</w:t>
      </w:r>
      <w:r w:rsidR="000A5329" w:rsidRPr="002029AF">
        <w:t xml:space="preserve"> </w:t>
      </w:r>
      <w:r w:rsidRPr="002029AF">
        <w:t>(AEE)</w:t>
      </w:r>
      <w:r w:rsidR="000A5329" w:rsidRPr="002029AF">
        <w:t xml:space="preserve"> </w:t>
      </w:r>
      <w:r w:rsidRPr="002029AF">
        <w:t>were</w:t>
      </w:r>
      <w:r w:rsidR="000A5329" w:rsidRPr="002029AF">
        <w:t xml:space="preserve"> </w:t>
      </w:r>
      <w:r w:rsidRPr="002029AF">
        <w:t>committed,</w:t>
      </w:r>
      <w:r w:rsidR="000A5329" w:rsidRPr="002029AF">
        <w:t xml:space="preserve"> </w:t>
      </w:r>
      <w:r w:rsidRPr="002029AF">
        <w:t>including</w:t>
      </w:r>
      <w:r w:rsidR="000A5329" w:rsidRPr="002029AF">
        <w:t xml:space="preserve"> </w:t>
      </w:r>
      <w:r w:rsidRPr="002029AF">
        <w:t>the</w:t>
      </w:r>
      <w:r w:rsidR="000A5329" w:rsidRPr="002029AF">
        <w:t xml:space="preserve"> </w:t>
      </w:r>
      <w:r w:rsidRPr="002029AF">
        <w:t>creation</w:t>
      </w:r>
      <w:r w:rsidR="000A5329" w:rsidRPr="002029AF">
        <w:t xml:space="preserve"> </w:t>
      </w:r>
      <w:r w:rsidRPr="002029AF">
        <w:t>of</w:t>
      </w:r>
      <w:r w:rsidR="000A5329" w:rsidRPr="002029AF">
        <w:t xml:space="preserve"> </w:t>
      </w:r>
      <w:r w:rsidR="00651220" w:rsidRPr="002029AF">
        <w:t>61</w:t>
      </w:r>
      <w:r w:rsidR="000A5329" w:rsidRPr="002029AF">
        <w:t xml:space="preserve"> </w:t>
      </w:r>
      <w:r w:rsidRPr="002029AF">
        <w:t>new</w:t>
      </w:r>
      <w:r w:rsidR="000A5329" w:rsidRPr="002029AF">
        <w:t xml:space="preserve"> </w:t>
      </w:r>
      <w:r w:rsidRPr="002029AF">
        <w:t>jobs</w:t>
      </w:r>
      <w:r w:rsidR="000A5329" w:rsidRPr="002029AF">
        <w:t xml:space="preserve"> </w:t>
      </w:r>
      <w:r w:rsidRPr="002029AF">
        <w:t>and</w:t>
      </w:r>
      <w:r w:rsidR="000A5329" w:rsidRPr="002029AF">
        <w:t xml:space="preserve"> </w:t>
      </w:r>
      <w:r w:rsidRPr="002029AF">
        <w:t>the</w:t>
      </w:r>
      <w:r w:rsidR="000A5329" w:rsidRPr="002029AF">
        <w:t xml:space="preserve"> </w:t>
      </w:r>
      <w:r w:rsidRPr="002029AF">
        <w:t>retention</w:t>
      </w:r>
      <w:r w:rsidR="000A5329" w:rsidRPr="002029AF">
        <w:t xml:space="preserve"> </w:t>
      </w:r>
      <w:r w:rsidRPr="002029AF">
        <w:t>of</w:t>
      </w:r>
      <w:r w:rsidR="000A5329" w:rsidRPr="002029AF">
        <w:t xml:space="preserve"> </w:t>
      </w:r>
      <w:r w:rsidRPr="002029AF">
        <w:t>473</w:t>
      </w:r>
      <w:r w:rsidR="000A5329" w:rsidRPr="002029AF">
        <w:t xml:space="preserve"> </w:t>
      </w:r>
      <w:r w:rsidRPr="002029AF">
        <w:t>existing</w:t>
      </w:r>
      <w:r w:rsidR="000A5329" w:rsidRPr="002029AF">
        <w:t xml:space="preserve"> </w:t>
      </w:r>
      <w:r w:rsidRPr="002029AF">
        <w:t>jobs</w:t>
      </w:r>
      <w:r w:rsidR="000A5329" w:rsidRPr="002029AF">
        <w:t xml:space="preserve"> </w:t>
      </w:r>
      <w:r w:rsidRPr="002029AF">
        <w:t>(AEE)</w:t>
      </w:r>
    </w:p>
    <w:p w14:paraId="37123F5E" w14:textId="2D78D0F3" w:rsidR="00CF72D5" w:rsidRPr="002029AF" w:rsidRDefault="00CF72D5" w:rsidP="00897193">
      <w:pPr>
        <w:pStyle w:val="ARbullet1"/>
      </w:pPr>
      <w:r w:rsidRPr="002029AF">
        <w:t>a</w:t>
      </w:r>
      <w:r w:rsidR="000A5329" w:rsidRPr="002029AF">
        <w:t xml:space="preserve"> </w:t>
      </w:r>
      <w:r w:rsidRPr="002029AF">
        <w:t>total</w:t>
      </w:r>
      <w:r w:rsidR="000A5329" w:rsidRPr="002029AF">
        <w:t xml:space="preserve"> </w:t>
      </w:r>
      <w:r w:rsidRPr="002029AF">
        <w:t>of</w:t>
      </w:r>
      <w:r w:rsidR="000A5329" w:rsidRPr="002029AF">
        <w:t xml:space="preserve"> </w:t>
      </w:r>
      <w:r w:rsidR="00016EA1" w:rsidRPr="002029AF">
        <w:t>96</w:t>
      </w:r>
      <w:r w:rsidR="000A5329" w:rsidRPr="002029AF">
        <w:t xml:space="preserve"> </w:t>
      </w:r>
      <w:r w:rsidRPr="002029AF">
        <w:t>positions</w:t>
      </w:r>
      <w:r w:rsidR="000A5329" w:rsidRPr="002029AF">
        <w:t xml:space="preserve"> </w:t>
      </w:r>
      <w:r w:rsidRPr="002029AF">
        <w:t>for</w:t>
      </w:r>
      <w:r w:rsidR="000A5329" w:rsidRPr="002029AF">
        <w:t xml:space="preserve"> </w:t>
      </w:r>
      <w:r w:rsidRPr="002029AF">
        <w:t>apprentices,</w:t>
      </w:r>
      <w:r w:rsidR="000A5329" w:rsidRPr="002029AF">
        <w:t xml:space="preserve"> </w:t>
      </w:r>
      <w:r w:rsidRPr="002029AF">
        <w:t>trainees</w:t>
      </w:r>
      <w:r w:rsidR="000A5329" w:rsidRPr="002029AF">
        <w:t xml:space="preserve"> </w:t>
      </w:r>
      <w:r w:rsidRPr="002029AF">
        <w:t>and</w:t>
      </w:r>
      <w:r w:rsidR="000A5329" w:rsidRPr="002029AF">
        <w:t xml:space="preserve"> </w:t>
      </w:r>
      <w:r w:rsidRPr="002029AF">
        <w:t>cadets,</w:t>
      </w:r>
      <w:r w:rsidR="000A5329" w:rsidRPr="002029AF">
        <w:t xml:space="preserve"> </w:t>
      </w:r>
      <w:r w:rsidRPr="002029AF">
        <w:t>including</w:t>
      </w:r>
      <w:r w:rsidR="000A5329" w:rsidRPr="002029AF">
        <w:t xml:space="preserve"> </w:t>
      </w:r>
      <w:r w:rsidRPr="002029AF">
        <w:t>the</w:t>
      </w:r>
      <w:r w:rsidR="000A5329" w:rsidRPr="002029AF">
        <w:t xml:space="preserve"> </w:t>
      </w:r>
      <w:r w:rsidRPr="002029AF">
        <w:t>creation</w:t>
      </w:r>
      <w:r w:rsidR="000A5329" w:rsidRPr="002029AF">
        <w:t xml:space="preserve"> </w:t>
      </w:r>
      <w:r w:rsidRPr="002029AF">
        <w:t>of</w:t>
      </w:r>
      <w:r w:rsidR="000A5329" w:rsidRPr="002029AF">
        <w:t xml:space="preserve"> </w:t>
      </w:r>
      <w:r w:rsidR="00011487" w:rsidRPr="002029AF">
        <w:t>12</w:t>
      </w:r>
      <w:r w:rsidR="000A5329" w:rsidRPr="002029AF">
        <w:t xml:space="preserve"> </w:t>
      </w:r>
      <w:r w:rsidRPr="002029AF">
        <w:t>new</w:t>
      </w:r>
      <w:r w:rsidR="000A5329" w:rsidRPr="002029AF">
        <w:t xml:space="preserve"> </w:t>
      </w:r>
      <w:r w:rsidRPr="002029AF">
        <w:t>apprenticeships,</w:t>
      </w:r>
      <w:r w:rsidR="000A5329" w:rsidRPr="002029AF">
        <w:t xml:space="preserve"> </w:t>
      </w:r>
      <w:r w:rsidRPr="002029AF">
        <w:t>traineeships</w:t>
      </w:r>
      <w:r w:rsidR="000A5329" w:rsidRPr="002029AF">
        <w:t xml:space="preserve"> </w:t>
      </w:r>
      <w:r w:rsidRPr="002029AF">
        <w:t>and</w:t>
      </w:r>
      <w:r w:rsidR="000A5329" w:rsidRPr="002029AF">
        <w:t xml:space="preserve"> </w:t>
      </w:r>
      <w:r w:rsidRPr="002029AF">
        <w:t>cadets</w:t>
      </w:r>
    </w:p>
    <w:p w14:paraId="5215D9A8" w14:textId="2C8A8462" w:rsidR="00CF72D5" w:rsidRPr="002029AF" w:rsidRDefault="00CF72D5" w:rsidP="00897193">
      <w:pPr>
        <w:pStyle w:val="ARbullet1"/>
      </w:pPr>
      <w:r w:rsidRPr="002029AF">
        <w:t>the</w:t>
      </w:r>
      <w:r w:rsidR="000A5329" w:rsidRPr="002029AF">
        <w:t xml:space="preserve"> </w:t>
      </w:r>
      <w:r w:rsidRPr="002029AF">
        <w:t>retention</w:t>
      </w:r>
      <w:r w:rsidR="000A5329" w:rsidRPr="002029AF">
        <w:t xml:space="preserve"> </w:t>
      </w:r>
      <w:r w:rsidRPr="002029AF">
        <w:t>of</w:t>
      </w:r>
      <w:r w:rsidR="000A5329" w:rsidRPr="002029AF">
        <w:t xml:space="preserve"> </w:t>
      </w:r>
      <w:r w:rsidRPr="002029AF">
        <w:t>the</w:t>
      </w:r>
      <w:r w:rsidR="000A5329" w:rsidRPr="002029AF">
        <w:t xml:space="preserve"> </w:t>
      </w:r>
      <w:r w:rsidRPr="002029AF">
        <w:t>remaining</w:t>
      </w:r>
      <w:r w:rsidR="000A5329" w:rsidRPr="002029AF">
        <w:t xml:space="preserve"> </w:t>
      </w:r>
      <w:r w:rsidR="0049341A" w:rsidRPr="002029AF">
        <w:t>84</w:t>
      </w:r>
      <w:r w:rsidR="000A5329" w:rsidRPr="002029AF">
        <w:t xml:space="preserve"> </w:t>
      </w:r>
      <w:r w:rsidRPr="002029AF">
        <w:t>existing</w:t>
      </w:r>
      <w:r w:rsidR="000A5329" w:rsidRPr="002029AF">
        <w:t xml:space="preserve"> </w:t>
      </w:r>
      <w:r w:rsidRPr="002029AF">
        <w:t>apprenticeships,</w:t>
      </w:r>
      <w:r w:rsidR="000A5329" w:rsidRPr="002029AF">
        <w:t xml:space="preserve"> </w:t>
      </w:r>
      <w:r w:rsidRPr="002029AF">
        <w:t>traineeships</w:t>
      </w:r>
      <w:r w:rsidR="000A5329" w:rsidRPr="002029AF">
        <w:t xml:space="preserve"> </w:t>
      </w:r>
      <w:r w:rsidRPr="002029AF">
        <w:t>and</w:t>
      </w:r>
      <w:r w:rsidR="000A5329" w:rsidRPr="002029AF">
        <w:t xml:space="preserve"> </w:t>
      </w:r>
      <w:r w:rsidRPr="002029AF">
        <w:t>cadets</w:t>
      </w:r>
    </w:p>
    <w:p w14:paraId="2B4BDA13" w14:textId="66F023EC" w:rsidR="00CF72D5" w:rsidRPr="002029AF" w:rsidRDefault="00CF72D5" w:rsidP="00897193">
      <w:pPr>
        <w:pStyle w:val="ARbullet1"/>
      </w:pPr>
      <w:r w:rsidRPr="002029AF">
        <w:t>a</w:t>
      </w:r>
      <w:r w:rsidR="000A5329" w:rsidRPr="002029AF">
        <w:t xml:space="preserve"> </w:t>
      </w:r>
      <w:r w:rsidRPr="002029AF">
        <w:t>total</w:t>
      </w:r>
      <w:r w:rsidR="000A5329" w:rsidRPr="002029AF">
        <w:t xml:space="preserve"> </w:t>
      </w:r>
      <w:r w:rsidRPr="002029AF">
        <w:t>of</w:t>
      </w:r>
      <w:r w:rsidR="000A5329" w:rsidRPr="002029AF">
        <w:t xml:space="preserve"> </w:t>
      </w:r>
      <w:r w:rsidRPr="002029AF">
        <w:t>158</w:t>
      </w:r>
      <w:r w:rsidR="008C0517" w:rsidRPr="002029AF">
        <w:t>,</w:t>
      </w:r>
      <w:r w:rsidRPr="002029AF">
        <w:t>000</w:t>
      </w:r>
      <w:r w:rsidR="000A5329" w:rsidRPr="002029AF">
        <w:t xml:space="preserve"> </w:t>
      </w:r>
      <w:r w:rsidRPr="002029AF">
        <w:t>hours</w:t>
      </w:r>
      <w:r w:rsidR="000A5329" w:rsidRPr="002029AF">
        <w:t xml:space="preserve"> </w:t>
      </w:r>
      <w:r w:rsidRPr="002029AF">
        <w:t>to</w:t>
      </w:r>
      <w:r w:rsidR="000A5329" w:rsidRPr="002029AF">
        <w:t xml:space="preserve"> </w:t>
      </w:r>
      <w:r w:rsidRPr="002029AF">
        <w:t>apprentices,</w:t>
      </w:r>
      <w:r w:rsidR="000A5329" w:rsidRPr="002029AF">
        <w:t xml:space="preserve"> </w:t>
      </w:r>
      <w:r w:rsidRPr="002029AF">
        <w:t>trainees,</w:t>
      </w:r>
      <w:r w:rsidR="000A5329" w:rsidRPr="002029AF">
        <w:t xml:space="preserve"> </w:t>
      </w:r>
      <w:r w:rsidRPr="002029AF">
        <w:t>cadets</w:t>
      </w:r>
      <w:r w:rsidR="000A5329" w:rsidRPr="002029AF">
        <w:t xml:space="preserve"> </w:t>
      </w:r>
      <w:r w:rsidRPr="002029AF">
        <w:t>and</w:t>
      </w:r>
      <w:r w:rsidR="000A5329" w:rsidRPr="002029AF">
        <w:t xml:space="preserve"> </w:t>
      </w:r>
      <w:r w:rsidR="009542A1" w:rsidRPr="002029AF">
        <w:t>the</w:t>
      </w:r>
      <w:r w:rsidR="000A5329" w:rsidRPr="002029AF">
        <w:t xml:space="preserve"> </w:t>
      </w:r>
      <w:r w:rsidR="009542A1" w:rsidRPr="002029AF">
        <w:t>engagement</w:t>
      </w:r>
      <w:r w:rsidR="000A5329" w:rsidRPr="002029AF">
        <w:t xml:space="preserve"> </w:t>
      </w:r>
      <w:r w:rsidR="009542A1" w:rsidRPr="002029AF">
        <w:t>of</w:t>
      </w:r>
      <w:r w:rsidR="000A5329" w:rsidRPr="002029AF">
        <w:t xml:space="preserve"> </w:t>
      </w:r>
      <w:r w:rsidRPr="002029AF">
        <w:t>80</w:t>
      </w:r>
      <w:r w:rsidR="000A5329" w:rsidRPr="002029AF">
        <w:t xml:space="preserve"> </w:t>
      </w:r>
      <w:r w:rsidRPr="002029AF">
        <w:t>apprentices,</w:t>
      </w:r>
      <w:r w:rsidR="000A5329" w:rsidRPr="002029AF">
        <w:t xml:space="preserve"> </w:t>
      </w:r>
      <w:r w:rsidRPr="002029AF">
        <w:t>trainees</w:t>
      </w:r>
      <w:r w:rsidR="000A5329" w:rsidRPr="002029AF">
        <w:t xml:space="preserve"> </w:t>
      </w:r>
      <w:r w:rsidRPr="002029AF">
        <w:t>and</w:t>
      </w:r>
      <w:r w:rsidR="000A5329" w:rsidRPr="002029AF">
        <w:t xml:space="preserve"> </w:t>
      </w:r>
      <w:r w:rsidRPr="002029AF">
        <w:t>cadets</w:t>
      </w:r>
      <w:r w:rsidR="000A5329" w:rsidRPr="002029AF">
        <w:t xml:space="preserve"> </w:t>
      </w:r>
      <w:r w:rsidR="009542A1" w:rsidRPr="002029AF">
        <w:t>in</w:t>
      </w:r>
      <w:r w:rsidR="000A5329" w:rsidRPr="002029AF">
        <w:t xml:space="preserve"> </w:t>
      </w:r>
      <w:r w:rsidR="009542A1" w:rsidRPr="002029AF">
        <w:t>MPSG</w:t>
      </w:r>
      <w:r w:rsidR="000A5329" w:rsidRPr="002029AF">
        <w:t xml:space="preserve"> </w:t>
      </w:r>
      <w:r w:rsidR="009542A1" w:rsidRPr="002029AF">
        <w:t>applicable</w:t>
      </w:r>
      <w:r w:rsidR="000A5329" w:rsidRPr="002029AF">
        <w:t xml:space="preserve"> </w:t>
      </w:r>
      <w:r w:rsidR="009542A1" w:rsidRPr="002029AF">
        <w:t>projects.</w:t>
      </w:r>
    </w:p>
    <w:p w14:paraId="17F9CECA" w14:textId="68B173FF" w:rsidR="00CF72D5" w:rsidRPr="002029AF" w:rsidRDefault="00CF72D5" w:rsidP="00897193">
      <w:pPr>
        <w:pStyle w:val="Heading3"/>
        <w:rPr>
          <w:rFonts w:cs="Arial"/>
        </w:rPr>
      </w:pPr>
      <w:bookmarkStart w:id="108" w:name="_Toc41961294"/>
      <w:r w:rsidRPr="002029AF">
        <w:rPr>
          <w:rFonts w:cs="Arial"/>
        </w:rPr>
        <w:t>Projects</w:t>
      </w:r>
      <w:r w:rsidR="000A5329" w:rsidRPr="002029AF">
        <w:rPr>
          <w:rFonts w:cs="Arial"/>
        </w:rPr>
        <w:t xml:space="preserve"> </w:t>
      </w:r>
      <w:r w:rsidRPr="002029AF">
        <w:rPr>
          <w:rFonts w:cs="Arial"/>
        </w:rPr>
        <w:t>commenced</w:t>
      </w:r>
      <w:r w:rsidR="000A5329" w:rsidRPr="002029AF">
        <w:rPr>
          <w:rFonts w:cs="Arial"/>
        </w:rPr>
        <w:t xml:space="preserve"> </w:t>
      </w:r>
      <w:r w:rsidRPr="002029AF">
        <w:rPr>
          <w:rFonts w:cs="Arial"/>
        </w:rPr>
        <w:t>–</w:t>
      </w:r>
      <w:r w:rsidR="000A5329" w:rsidRPr="002029AF">
        <w:rPr>
          <w:rFonts w:cs="Arial"/>
        </w:rPr>
        <w:t xml:space="preserve"> </w:t>
      </w:r>
      <w:r w:rsidRPr="002029AF">
        <w:rPr>
          <w:rFonts w:cs="Arial"/>
        </w:rPr>
        <w:t>Local</w:t>
      </w:r>
      <w:r w:rsidR="000A5329" w:rsidRPr="002029AF">
        <w:rPr>
          <w:rFonts w:cs="Arial"/>
        </w:rPr>
        <w:t xml:space="preserve"> </w:t>
      </w:r>
      <w:r w:rsidRPr="002029AF">
        <w:rPr>
          <w:rFonts w:cs="Arial"/>
        </w:rPr>
        <w:t>Jobs</w:t>
      </w:r>
      <w:r w:rsidR="000A5329" w:rsidRPr="002029AF">
        <w:rPr>
          <w:rFonts w:cs="Arial"/>
        </w:rPr>
        <w:t xml:space="preserve"> </w:t>
      </w:r>
      <w:r w:rsidRPr="002029AF">
        <w:rPr>
          <w:rFonts w:cs="Arial"/>
        </w:rPr>
        <w:t>First</w:t>
      </w:r>
      <w:r w:rsidR="000A5329" w:rsidRPr="002029AF">
        <w:rPr>
          <w:rFonts w:cs="Arial"/>
        </w:rPr>
        <w:t xml:space="preserve"> </w:t>
      </w:r>
      <w:r w:rsidR="00C143C1" w:rsidRPr="002029AF">
        <w:rPr>
          <w:rFonts w:cs="Arial"/>
        </w:rPr>
        <w:t>s</w:t>
      </w:r>
      <w:r w:rsidRPr="002029AF">
        <w:rPr>
          <w:rFonts w:cs="Arial"/>
        </w:rPr>
        <w:t>trategic</w:t>
      </w:r>
      <w:bookmarkEnd w:id="108"/>
      <w:r w:rsidR="000A5329" w:rsidRPr="002029AF">
        <w:rPr>
          <w:rFonts w:cs="Arial"/>
        </w:rPr>
        <w:t xml:space="preserve"> </w:t>
      </w:r>
      <w:r w:rsidR="00C143C1" w:rsidRPr="002029AF">
        <w:rPr>
          <w:rFonts w:cs="Arial"/>
        </w:rPr>
        <w:t>projects</w:t>
      </w:r>
    </w:p>
    <w:p w14:paraId="657EE496" w14:textId="4E9FD6C6" w:rsidR="00CF72D5" w:rsidRPr="002029AF" w:rsidRDefault="00CF72D5" w:rsidP="00897193">
      <w:pPr>
        <w:pStyle w:val="ARbody"/>
      </w:pPr>
      <w:r w:rsidRPr="002029AF">
        <w:t>During</w:t>
      </w:r>
      <w:r w:rsidR="000A5329" w:rsidRPr="002029AF">
        <w:t xml:space="preserve"> </w:t>
      </w:r>
      <w:r w:rsidRPr="002029AF">
        <w:t>201</w:t>
      </w:r>
      <w:r w:rsidR="00DB53E6" w:rsidRPr="002029AF">
        <w:t>9–</w:t>
      </w:r>
      <w:r w:rsidRPr="002029AF">
        <w:t>20,</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commenced</w:t>
      </w:r>
      <w:r w:rsidR="000A5329" w:rsidRPr="002029AF">
        <w:t xml:space="preserve"> </w:t>
      </w:r>
      <w:r w:rsidRPr="002029AF">
        <w:t>two</w:t>
      </w:r>
      <w:r w:rsidR="000A5329" w:rsidRPr="002029AF">
        <w:t xml:space="preserve"> </w:t>
      </w:r>
      <w:r w:rsidRPr="002029AF">
        <w:t>Local</w:t>
      </w:r>
      <w:r w:rsidR="000A5329" w:rsidRPr="002029AF">
        <w:t xml:space="preserve"> </w:t>
      </w:r>
      <w:r w:rsidRPr="002029AF">
        <w:t>Jobs</w:t>
      </w:r>
      <w:r w:rsidR="000A5329" w:rsidRPr="002029AF">
        <w:t xml:space="preserve"> </w:t>
      </w:r>
      <w:r w:rsidRPr="002029AF">
        <w:t>First</w:t>
      </w:r>
      <w:r w:rsidR="000A5329" w:rsidRPr="002029AF">
        <w:t xml:space="preserve"> </w:t>
      </w:r>
      <w:r w:rsidR="006A215F" w:rsidRPr="002029AF">
        <w:t>s</w:t>
      </w:r>
      <w:r w:rsidRPr="002029AF">
        <w:t>trategic</w:t>
      </w:r>
      <w:r w:rsidR="000A5329" w:rsidRPr="002029AF">
        <w:t xml:space="preserve"> </w:t>
      </w:r>
      <w:r w:rsidR="006A215F" w:rsidRPr="002029AF">
        <w:t>p</w:t>
      </w:r>
      <w:r w:rsidRPr="002029AF">
        <w:t>rojects,</w:t>
      </w:r>
      <w:r w:rsidR="000A5329" w:rsidRPr="002029AF">
        <w:t xml:space="preserve"> </w:t>
      </w:r>
      <w:r w:rsidRPr="002029AF">
        <w:t>valued</w:t>
      </w:r>
      <w:r w:rsidR="000A5329" w:rsidRPr="002029AF">
        <w:t xml:space="preserve"> </w:t>
      </w:r>
      <w:r w:rsidRPr="002029AF">
        <w:t>at</w:t>
      </w:r>
      <w:r w:rsidR="000A5329" w:rsidRPr="002029AF">
        <w:t xml:space="preserve"> </w:t>
      </w:r>
      <w:r w:rsidRPr="002029AF">
        <w:t>$171</w:t>
      </w:r>
      <w:r w:rsidR="000A5329" w:rsidRPr="002029AF">
        <w:t xml:space="preserve"> </w:t>
      </w:r>
      <w:r w:rsidRPr="002029AF">
        <w:t>million.</w:t>
      </w:r>
      <w:r w:rsidR="000A5329" w:rsidRPr="002029AF">
        <w:t xml:space="preserve"> </w:t>
      </w:r>
      <w:r w:rsidRPr="002029AF">
        <w:t>The</w:t>
      </w:r>
      <w:r w:rsidR="000A5329" w:rsidRPr="002029AF">
        <w:t xml:space="preserve"> </w:t>
      </w:r>
      <w:r w:rsidRPr="002029AF">
        <w:t>projects</w:t>
      </w:r>
      <w:r w:rsidR="000A5329" w:rsidRPr="002029AF">
        <w:t xml:space="preserve"> </w:t>
      </w:r>
      <w:r w:rsidRPr="002029AF">
        <w:t>were</w:t>
      </w:r>
      <w:r w:rsidR="000A5329" w:rsidRPr="002029AF">
        <w:t xml:space="preserve"> </w:t>
      </w:r>
      <w:r w:rsidRPr="002029AF">
        <w:t>based</w:t>
      </w:r>
      <w:r w:rsidR="000A5329" w:rsidRPr="002029AF">
        <w:t xml:space="preserve"> </w:t>
      </w:r>
      <w:r w:rsidRPr="002029AF">
        <w:t>in</w:t>
      </w:r>
      <w:r w:rsidR="000A5329" w:rsidRPr="002029AF">
        <w:t xml:space="preserve"> </w:t>
      </w:r>
      <w:r w:rsidRPr="002029AF">
        <w:t>metropolitan</w:t>
      </w:r>
      <w:r w:rsidR="000A5329" w:rsidRPr="002029AF">
        <w:t xml:space="preserve"> </w:t>
      </w:r>
      <w:r w:rsidRPr="002029AF">
        <w:t>Melbourne</w:t>
      </w:r>
      <w:r w:rsidR="000A5329" w:rsidRPr="002029AF">
        <w:t xml:space="preserve"> </w:t>
      </w:r>
      <w:r w:rsidRPr="002029AF">
        <w:t>representing</w:t>
      </w:r>
      <w:r w:rsidR="000A5329" w:rsidRPr="002029AF">
        <w:t xml:space="preserve"> </w:t>
      </w:r>
      <w:r w:rsidRPr="002029AF">
        <w:t>92</w:t>
      </w:r>
      <w:r w:rsidR="000A5329" w:rsidRPr="002029AF">
        <w:t xml:space="preserve"> </w:t>
      </w:r>
      <w:r w:rsidRPr="002029AF">
        <w:t>per</w:t>
      </w:r>
      <w:r w:rsidR="000A5329" w:rsidRPr="002029AF">
        <w:t xml:space="preserve"> </w:t>
      </w:r>
      <w:r w:rsidRPr="002029AF">
        <w:t>cent</w:t>
      </w:r>
      <w:r w:rsidR="000A5329" w:rsidRPr="002029AF">
        <w:t xml:space="preserve"> </w:t>
      </w:r>
      <w:r w:rsidRPr="002029AF">
        <w:t>of</w:t>
      </w:r>
      <w:r w:rsidR="000A5329" w:rsidRPr="002029AF">
        <w:t xml:space="preserve"> </w:t>
      </w:r>
      <w:r w:rsidRPr="002029AF">
        <w:t>estimated</w:t>
      </w:r>
      <w:r w:rsidR="000A5329" w:rsidRPr="002029AF">
        <w:t xml:space="preserve"> </w:t>
      </w:r>
      <w:r w:rsidRPr="002029AF">
        <w:t>local</w:t>
      </w:r>
      <w:r w:rsidR="000A5329" w:rsidRPr="002029AF">
        <w:t xml:space="preserve"> </w:t>
      </w:r>
      <w:r w:rsidRPr="002029AF">
        <w:t>content.</w:t>
      </w:r>
      <w:r w:rsidR="000A5329" w:rsidRPr="002029AF">
        <w:t xml:space="preserve"> </w:t>
      </w:r>
      <w:r w:rsidRPr="002029AF">
        <w:t>The</w:t>
      </w:r>
      <w:r w:rsidR="000A5329" w:rsidRPr="002029AF">
        <w:t xml:space="preserve"> </w:t>
      </w:r>
      <w:r w:rsidRPr="002029AF">
        <w:t>MPSG</w:t>
      </w:r>
      <w:r w:rsidR="000A5329" w:rsidRPr="002029AF">
        <w:t xml:space="preserve"> </w:t>
      </w:r>
      <w:r w:rsidRPr="002029AF">
        <w:t>applied</w:t>
      </w:r>
      <w:r w:rsidR="000A5329" w:rsidRPr="002029AF">
        <w:t xml:space="preserve"> </w:t>
      </w:r>
      <w:r w:rsidRPr="002029AF">
        <w:t>to</w:t>
      </w:r>
      <w:r w:rsidR="000A5329" w:rsidRPr="002029AF">
        <w:t xml:space="preserve"> </w:t>
      </w:r>
      <w:r w:rsidRPr="002029AF">
        <w:t>these</w:t>
      </w:r>
      <w:r w:rsidR="000A5329" w:rsidRPr="002029AF">
        <w:t xml:space="preserve"> </w:t>
      </w:r>
      <w:r w:rsidRPr="002029AF">
        <w:t>projects.</w:t>
      </w:r>
    </w:p>
    <w:p w14:paraId="50143A17" w14:textId="0E60AF1F" w:rsidR="00CF72D5" w:rsidRPr="002029AF" w:rsidRDefault="00565748" w:rsidP="00897193">
      <w:pPr>
        <w:pStyle w:val="ARbody"/>
      </w:pPr>
      <w:r w:rsidRPr="002029AF">
        <w:t>According</w:t>
      </w:r>
      <w:r w:rsidR="000A5329" w:rsidRPr="002029AF">
        <w:t xml:space="preserve"> </w:t>
      </w:r>
      <w:r w:rsidRPr="002029AF">
        <w:t>to</w:t>
      </w:r>
      <w:r w:rsidR="000A5329" w:rsidRPr="002029AF">
        <w:t xml:space="preserve"> </w:t>
      </w:r>
      <w:r w:rsidRPr="002029AF">
        <w:t>the</w:t>
      </w:r>
      <w:r w:rsidR="000A5329" w:rsidRPr="002029AF">
        <w:t xml:space="preserve"> </w:t>
      </w:r>
      <w:r w:rsidRPr="002029AF">
        <w:t>commitments</w:t>
      </w:r>
      <w:r w:rsidR="000A5329" w:rsidRPr="002029AF">
        <w:t xml:space="preserve"> </w:t>
      </w:r>
      <w:r w:rsidRPr="002029AF">
        <w:t>made,</w:t>
      </w:r>
      <w:r w:rsidR="000A5329" w:rsidRPr="002029AF">
        <w:t xml:space="preserve"> </w:t>
      </w:r>
      <w:r w:rsidRPr="002029AF">
        <w:t>t</w:t>
      </w:r>
      <w:r w:rsidR="00CF72D5" w:rsidRPr="002029AF">
        <w:t>he</w:t>
      </w:r>
      <w:r w:rsidR="000A5329" w:rsidRPr="002029AF">
        <w:t xml:space="preserve"> </w:t>
      </w:r>
      <w:r w:rsidR="00CF72D5" w:rsidRPr="002029AF">
        <w:t>outcomes</w:t>
      </w:r>
      <w:r w:rsidR="000A5329" w:rsidRPr="002029AF">
        <w:t xml:space="preserve"> </w:t>
      </w:r>
      <w:r w:rsidR="00CF72D5" w:rsidRPr="002029AF">
        <w:t>reported</w:t>
      </w:r>
      <w:r w:rsidR="000A5329" w:rsidRPr="002029AF">
        <w:t xml:space="preserve"> </w:t>
      </w:r>
      <w:r w:rsidR="00CF72D5" w:rsidRPr="002029AF">
        <w:t>from</w:t>
      </w:r>
      <w:r w:rsidR="000A5329" w:rsidRPr="002029AF">
        <w:t xml:space="preserve"> </w:t>
      </w:r>
      <w:r w:rsidR="00CF72D5" w:rsidRPr="002029AF">
        <w:t>the</w:t>
      </w:r>
      <w:r w:rsidR="000A5329" w:rsidRPr="002029AF">
        <w:t xml:space="preserve"> </w:t>
      </w:r>
      <w:r w:rsidR="00CF72D5" w:rsidRPr="002029AF">
        <w:t>implementation</w:t>
      </w:r>
      <w:r w:rsidR="000A5329" w:rsidRPr="002029AF">
        <w:t xml:space="preserve"> </w:t>
      </w:r>
      <w:r w:rsidR="00CF72D5" w:rsidRPr="002029AF">
        <w:t>of</w:t>
      </w:r>
      <w:r w:rsidR="000A5329" w:rsidRPr="002029AF">
        <w:t xml:space="preserve"> </w:t>
      </w:r>
      <w:r w:rsidR="00CF72D5" w:rsidRPr="002029AF">
        <w:t>the</w:t>
      </w:r>
      <w:r w:rsidR="000A5329" w:rsidRPr="002029AF">
        <w:t xml:space="preserve"> </w:t>
      </w:r>
      <w:r w:rsidR="00CF72D5" w:rsidRPr="002029AF">
        <w:t>policy</w:t>
      </w:r>
      <w:r w:rsidR="000A5329" w:rsidRPr="002029AF">
        <w:t xml:space="preserve"> </w:t>
      </w:r>
      <w:r w:rsidR="00CF72D5" w:rsidRPr="002029AF">
        <w:t>where</w:t>
      </w:r>
      <w:r w:rsidR="000A5329" w:rsidRPr="002029AF">
        <w:t xml:space="preserve"> </w:t>
      </w:r>
      <w:r w:rsidR="00CF72D5" w:rsidRPr="002029AF">
        <w:t>information</w:t>
      </w:r>
      <w:r w:rsidR="000A5329" w:rsidRPr="002029AF">
        <w:t xml:space="preserve"> </w:t>
      </w:r>
      <w:r w:rsidR="00CF72D5" w:rsidRPr="002029AF">
        <w:t>was</w:t>
      </w:r>
      <w:r w:rsidR="000A5329" w:rsidRPr="002029AF">
        <w:t xml:space="preserve"> </w:t>
      </w:r>
      <w:r w:rsidR="00CF72D5" w:rsidRPr="002029AF">
        <w:t>provided,</w:t>
      </w:r>
      <w:r w:rsidR="000A5329" w:rsidRPr="002029AF">
        <w:t xml:space="preserve"> </w:t>
      </w:r>
      <w:r w:rsidR="00CF72D5" w:rsidRPr="002029AF">
        <w:t>were</w:t>
      </w:r>
      <w:r w:rsidR="000A5329" w:rsidRPr="002029AF">
        <w:t xml:space="preserve"> </w:t>
      </w:r>
      <w:r w:rsidR="00CF72D5" w:rsidRPr="002029AF">
        <w:t>as</w:t>
      </w:r>
      <w:r w:rsidR="000A5329" w:rsidRPr="002029AF">
        <w:t xml:space="preserve"> </w:t>
      </w:r>
      <w:r w:rsidR="00CF72D5" w:rsidRPr="002029AF">
        <w:t>follows:</w:t>
      </w:r>
    </w:p>
    <w:p w14:paraId="330557E7" w14:textId="5A35BE41" w:rsidR="00CF72D5" w:rsidRPr="002029AF" w:rsidRDefault="00CF72D5" w:rsidP="00897193">
      <w:pPr>
        <w:pStyle w:val="ARbullet1"/>
      </w:pPr>
      <w:r w:rsidRPr="002029AF">
        <w:t>an</w:t>
      </w:r>
      <w:r w:rsidR="000A5329" w:rsidRPr="002029AF">
        <w:t xml:space="preserve"> </w:t>
      </w:r>
      <w:r w:rsidRPr="002029AF">
        <w:t>average</w:t>
      </w:r>
      <w:r w:rsidR="000A5329" w:rsidRPr="002029AF">
        <w:t xml:space="preserve"> </w:t>
      </w:r>
      <w:r w:rsidRPr="002029AF">
        <w:t>of</w:t>
      </w:r>
      <w:r w:rsidR="000A5329" w:rsidRPr="002029AF">
        <w:t xml:space="preserve"> </w:t>
      </w:r>
      <w:r w:rsidRPr="002029AF">
        <w:t>92</w:t>
      </w:r>
      <w:r w:rsidR="000A5329" w:rsidRPr="002029AF">
        <w:t xml:space="preserve"> </w:t>
      </w:r>
      <w:r w:rsidRPr="002029AF">
        <w:t>per</w:t>
      </w:r>
      <w:r w:rsidR="000A5329" w:rsidRPr="002029AF">
        <w:t xml:space="preserve"> </w:t>
      </w:r>
      <w:r w:rsidRPr="002029AF">
        <w:t>cent</w:t>
      </w:r>
      <w:r w:rsidR="000A5329" w:rsidRPr="002029AF">
        <w:t xml:space="preserve"> </w:t>
      </w:r>
      <w:r w:rsidRPr="002029AF">
        <w:t>of</w:t>
      </w:r>
      <w:r w:rsidR="000A5329" w:rsidRPr="002029AF">
        <w:t xml:space="preserve"> </w:t>
      </w:r>
      <w:r w:rsidRPr="002029AF">
        <w:t>local</w:t>
      </w:r>
      <w:r w:rsidR="000A5329" w:rsidRPr="002029AF">
        <w:t xml:space="preserve"> </w:t>
      </w:r>
      <w:r w:rsidRPr="002029AF">
        <w:t>content</w:t>
      </w:r>
      <w:r w:rsidR="000A5329" w:rsidRPr="002029AF">
        <w:t xml:space="preserve"> </w:t>
      </w:r>
      <w:r w:rsidRPr="002029AF">
        <w:t>commitment</w:t>
      </w:r>
      <w:r w:rsidR="000A5329" w:rsidRPr="002029AF">
        <w:t xml:space="preserve"> </w:t>
      </w:r>
      <w:r w:rsidRPr="002029AF">
        <w:t>was</w:t>
      </w:r>
      <w:r w:rsidR="000A5329" w:rsidRPr="002029AF">
        <w:t xml:space="preserve"> </w:t>
      </w:r>
      <w:r w:rsidRPr="002029AF">
        <w:t>made</w:t>
      </w:r>
    </w:p>
    <w:p w14:paraId="6F0A00B2" w14:textId="4E089366" w:rsidR="00CF72D5" w:rsidRPr="002029AF" w:rsidRDefault="00CF72D5" w:rsidP="00897193">
      <w:pPr>
        <w:pStyle w:val="ARbullet1"/>
      </w:pPr>
      <w:r w:rsidRPr="002029AF">
        <w:t>a</w:t>
      </w:r>
      <w:r w:rsidR="000A5329" w:rsidRPr="002029AF">
        <w:t xml:space="preserve"> </w:t>
      </w:r>
      <w:r w:rsidRPr="002029AF">
        <w:t>total</w:t>
      </w:r>
      <w:r w:rsidR="000A5329" w:rsidRPr="002029AF">
        <w:t xml:space="preserve"> </w:t>
      </w:r>
      <w:r w:rsidRPr="002029AF">
        <w:t>of</w:t>
      </w:r>
      <w:r w:rsidR="000A5329" w:rsidRPr="002029AF">
        <w:t xml:space="preserve"> </w:t>
      </w:r>
      <w:r w:rsidRPr="002029AF">
        <w:t>6</w:t>
      </w:r>
      <w:r w:rsidR="000A5329" w:rsidRPr="002029AF">
        <w:t xml:space="preserve"> </w:t>
      </w:r>
      <w:r w:rsidRPr="002029AF">
        <w:t>(AEE)</w:t>
      </w:r>
      <w:r w:rsidR="000A5329" w:rsidRPr="002029AF">
        <w:t xml:space="preserve"> </w:t>
      </w:r>
      <w:r w:rsidRPr="002029AF">
        <w:t>positions</w:t>
      </w:r>
      <w:r w:rsidR="000A5329" w:rsidRPr="002029AF">
        <w:t xml:space="preserve"> </w:t>
      </w:r>
      <w:r w:rsidRPr="002029AF">
        <w:t>were</w:t>
      </w:r>
      <w:r w:rsidR="000A5329" w:rsidRPr="002029AF">
        <w:t xml:space="preserve"> </w:t>
      </w:r>
      <w:r w:rsidRPr="002029AF">
        <w:t>committed</w:t>
      </w:r>
    </w:p>
    <w:p w14:paraId="6DC9AD50" w14:textId="7CE57EBE" w:rsidR="00CF72D5" w:rsidRPr="002029AF" w:rsidRDefault="00CF72D5" w:rsidP="00897193">
      <w:pPr>
        <w:pStyle w:val="ARbullet1"/>
      </w:pPr>
      <w:r w:rsidRPr="002029AF">
        <w:t>8</w:t>
      </w:r>
      <w:r w:rsidR="000A5329" w:rsidRPr="002029AF">
        <w:t xml:space="preserve"> </w:t>
      </w:r>
      <w:r w:rsidRPr="002029AF">
        <w:t>new</w:t>
      </w:r>
      <w:r w:rsidR="000A5329" w:rsidRPr="002029AF">
        <w:t xml:space="preserve"> </w:t>
      </w:r>
      <w:r w:rsidRPr="002029AF">
        <w:t>apprenticeships</w:t>
      </w:r>
      <w:r w:rsidR="000A5329" w:rsidRPr="002029AF">
        <w:t xml:space="preserve"> </w:t>
      </w:r>
      <w:r w:rsidRPr="002029AF">
        <w:t>and</w:t>
      </w:r>
      <w:r w:rsidR="000A5329" w:rsidRPr="002029AF">
        <w:t xml:space="preserve"> </w:t>
      </w:r>
      <w:r w:rsidRPr="002029AF">
        <w:t>traineeships</w:t>
      </w:r>
      <w:r w:rsidR="000A5329" w:rsidRPr="002029AF">
        <w:t xml:space="preserve"> </w:t>
      </w:r>
      <w:r w:rsidRPr="002029AF">
        <w:t>were</w:t>
      </w:r>
      <w:r w:rsidR="000A5329" w:rsidRPr="002029AF">
        <w:t xml:space="preserve"> </w:t>
      </w:r>
      <w:r w:rsidRPr="002029AF">
        <w:t>committed</w:t>
      </w:r>
    </w:p>
    <w:p w14:paraId="6D0AD19E" w14:textId="4BF679E1" w:rsidR="00CF72D5" w:rsidRPr="002029AF" w:rsidRDefault="00205391" w:rsidP="00897193">
      <w:pPr>
        <w:pStyle w:val="ARbullet1"/>
      </w:pPr>
      <w:r w:rsidRPr="002029AF">
        <w:lastRenderedPageBreak/>
        <w:t>Retention</w:t>
      </w:r>
      <w:r w:rsidR="000A5329" w:rsidRPr="002029AF">
        <w:t xml:space="preserve"> </w:t>
      </w:r>
      <w:r w:rsidRPr="002029AF">
        <w:t>of</w:t>
      </w:r>
      <w:r w:rsidR="000A5329" w:rsidRPr="002029AF">
        <w:t xml:space="preserve"> </w:t>
      </w:r>
      <w:r w:rsidR="00CF72D5" w:rsidRPr="002029AF">
        <w:t>11</w:t>
      </w:r>
      <w:r w:rsidR="000A5329" w:rsidRPr="002029AF">
        <w:t xml:space="preserve"> </w:t>
      </w:r>
      <w:r w:rsidR="00CF72D5" w:rsidRPr="002029AF">
        <w:t>existing</w:t>
      </w:r>
      <w:r w:rsidR="000A5329" w:rsidRPr="002029AF">
        <w:t xml:space="preserve"> </w:t>
      </w:r>
      <w:r w:rsidR="00CF72D5" w:rsidRPr="002029AF">
        <w:t>apprenticeships</w:t>
      </w:r>
      <w:r w:rsidR="000A5329" w:rsidRPr="002029AF">
        <w:t xml:space="preserve"> </w:t>
      </w:r>
      <w:r w:rsidR="00CF72D5" w:rsidRPr="002029AF">
        <w:t>and</w:t>
      </w:r>
      <w:r w:rsidR="005621AD">
        <w:t> </w:t>
      </w:r>
      <w:r w:rsidR="00CF72D5" w:rsidRPr="002029AF">
        <w:t>traineeships</w:t>
      </w:r>
    </w:p>
    <w:p w14:paraId="164CDF19" w14:textId="1C0271A0" w:rsidR="000A5329" w:rsidRPr="002029AF" w:rsidRDefault="00CF72D5" w:rsidP="00897193">
      <w:pPr>
        <w:pStyle w:val="ARbullet1"/>
      </w:pPr>
      <w:r w:rsidRPr="002029AF">
        <w:t>a</w:t>
      </w:r>
      <w:r w:rsidR="000A5329" w:rsidRPr="002029AF">
        <w:t xml:space="preserve"> </w:t>
      </w:r>
      <w:r w:rsidRPr="002029AF">
        <w:t>total</w:t>
      </w:r>
      <w:r w:rsidR="000A5329" w:rsidRPr="002029AF">
        <w:t xml:space="preserve"> </w:t>
      </w:r>
      <w:r w:rsidRPr="002029AF">
        <w:t>of</w:t>
      </w:r>
      <w:r w:rsidR="000A5329" w:rsidRPr="002029AF">
        <w:t xml:space="preserve"> </w:t>
      </w:r>
      <w:r w:rsidRPr="002029AF">
        <w:t>37</w:t>
      </w:r>
      <w:r w:rsidR="004F0220" w:rsidRPr="002029AF">
        <w:t>,</w:t>
      </w:r>
      <w:r w:rsidRPr="002029AF">
        <w:t>500</w:t>
      </w:r>
      <w:r w:rsidR="000A5329" w:rsidRPr="002029AF">
        <w:t xml:space="preserve"> </w:t>
      </w:r>
      <w:r w:rsidRPr="002029AF">
        <w:t>hours</w:t>
      </w:r>
      <w:r w:rsidR="000A5329" w:rsidRPr="002029AF">
        <w:t xml:space="preserve"> </w:t>
      </w:r>
      <w:r w:rsidRPr="002029AF">
        <w:t>to</w:t>
      </w:r>
      <w:r w:rsidR="000A5329" w:rsidRPr="002029AF">
        <w:t xml:space="preserve"> </w:t>
      </w:r>
      <w:r w:rsidRPr="002029AF">
        <w:t>apprentices,</w:t>
      </w:r>
      <w:r w:rsidR="000A5329" w:rsidRPr="002029AF">
        <w:t xml:space="preserve"> </w:t>
      </w:r>
      <w:r w:rsidRPr="002029AF">
        <w:t>trainees</w:t>
      </w:r>
      <w:r w:rsidR="005621AD">
        <w:t> </w:t>
      </w:r>
      <w:r w:rsidRPr="002029AF">
        <w:t>and</w:t>
      </w:r>
      <w:r w:rsidR="000A5329" w:rsidRPr="002029AF">
        <w:t xml:space="preserve"> </w:t>
      </w:r>
      <w:r w:rsidRPr="002029AF">
        <w:t>cadets</w:t>
      </w:r>
      <w:r w:rsidR="000A5329" w:rsidRPr="002029AF">
        <w:t xml:space="preserve"> </w:t>
      </w:r>
      <w:r w:rsidRPr="002029AF">
        <w:t>and</w:t>
      </w:r>
      <w:r w:rsidR="000A5329" w:rsidRPr="002029AF">
        <w:t xml:space="preserve"> </w:t>
      </w:r>
      <w:r w:rsidR="004F0220" w:rsidRPr="002029AF">
        <w:t>the</w:t>
      </w:r>
      <w:r w:rsidR="000A5329" w:rsidRPr="002029AF">
        <w:t xml:space="preserve"> </w:t>
      </w:r>
      <w:r w:rsidR="00930EF8" w:rsidRPr="002029AF">
        <w:t>engagement</w:t>
      </w:r>
      <w:r w:rsidR="000A5329" w:rsidRPr="002029AF">
        <w:t xml:space="preserve"> </w:t>
      </w:r>
      <w:r w:rsidR="004F0220" w:rsidRPr="002029AF">
        <w:t>of</w:t>
      </w:r>
      <w:r w:rsidR="005621AD">
        <w:t> </w:t>
      </w:r>
      <w:r w:rsidRPr="002029AF">
        <w:t>19</w:t>
      </w:r>
      <w:r w:rsidR="005621AD">
        <w:t> </w:t>
      </w:r>
      <w:r w:rsidRPr="002029AF">
        <w:t>apprentices,</w:t>
      </w:r>
      <w:r w:rsidR="000A5329" w:rsidRPr="002029AF">
        <w:t xml:space="preserve"> </w:t>
      </w:r>
      <w:r w:rsidRPr="002029AF">
        <w:t>trainees</w:t>
      </w:r>
      <w:r w:rsidR="000A5329" w:rsidRPr="002029AF">
        <w:t xml:space="preserve"> </w:t>
      </w:r>
      <w:r w:rsidRPr="002029AF">
        <w:t>and</w:t>
      </w:r>
      <w:r w:rsidR="000A5329" w:rsidRPr="002029AF">
        <w:t xml:space="preserve"> </w:t>
      </w:r>
      <w:r w:rsidRPr="002029AF">
        <w:t>cadets</w:t>
      </w:r>
      <w:r w:rsidR="000A5329" w:rsidRPr="002029AF">
        <w:t xml:space="preserve"> </w:t>
      </w:r>
      <w:r w:rsidR="004F0220" w:rsidRPr="002029AF">
        <w:t>in</w:t>
      </w:r>
      <w:r w:rsidR="000A5329" w:rsidRPr="002029AF">
        <w:t xml:space="preserve"> </w:t>
      </w:r>
      <w:r w:rsidR="004F0220" w:rsidRPr="002029AF">
        <w:t>MPSG</w:t>
      </w:r>
      <w:r w:rsidR="005621AD">
        <w:t> </w:t>
      </w:r>
      <w:r w:rsidR="004F0220" w:rsidRPr="002029AF">
        <w:t>projects.</w:t>
      </w:r>
    </w:p>
    <w:p w14:paraId="6F3836FD" w14:textId="5EACA1A5" w:rsidR="00CF72D5" w:rsidRPr="002029AF" w:rsidRDefault="00CF72D5" w:rsidP="00897193">
      <w:pPr>
        <w:pStyle w:val="Heading3"/>
        <w:rPr>
          <w:rFonts w:cs="Arial"/>
        </w:rPr>
      </w:pPr>
      <w:bookmarkStart w:id="109" w:name="_Toc41961295"/>
      <w:r w:rsidRPr="002029AF">
        <w:rPr>
          <w:rFonts w:cs="Arial"/>
        </w:rPr>
        <w:t>Projects</w:t>
      </w:r>
      <w:r w:rsidR="000A5329" w:rsidRPr="002029AF">
        <w:rPr>
          <w:rFonts w:cs="Arial"/>
        </w:rPr>
        <w:t xml:space="preserve"> </w:t>
      </w:r>
      <w:r w:rsidRPr="002029AF">
        <w:rPr>
          <w:rFonts w:cs="Arial"/>
        </w:rPr>
        <w:t>completed</w:t>
      </w:r>
      <w:r w:rsidR="000A5329" w:rsidRPr="002029AF">
        <w:rPr>
          <w:rFonts w:cs="Arial"/>
        </w:rPr>
        <w:t xml:space="preserve"> </w:t>
      </w:r>
      <w:r w:rsidRPr="002029AF">
        <w:rPr>
          <w:rFonts w:cs="Arial"/>
        </w:rPr>
        <w:t>–</w:t>
      </w:r>
      <w:r w:rsidR="000A5329" w:rsidRPr="002029AF">
        <w:rPr>
          <w:rFonts w:cs="Arial"/>
        </w:rPr>
        <w:t xml:space="preserve"> </w:t>
      </w:r>
      <w:r w:rsidRPr="002029AF">
        <w:rPr>
          <w:rFonts w:cs="Arial"/>
        </w:rPr>
        <w:t>Local</w:t>
      </w:r>
      <w:r w:rsidR="000A5329" w:rsidRPr="002029AF">
        <w:rPr>
          <w:rFonts w:cs="Arial"/>
        </w:rPr>
        <w:t xml:space="preserve"> </w:t>
      </w:r>
      <w:r w:rsidRPr="002029AF">
        <w:rPr>
          <w:rFonts w:cs="Arial"/>
        </w:rPr>
        <w:t>Jobs</w:t>
      </w:r>
      <w:r w:rsidR="000A5329" w:rsidRPr="002029AF">
        <w:rPr>
          <w:rFonts w:cs="Arial"/>
        </w:rPr>
        <w:t xml:space="preserve"> </w:t>
      </w:r>
      <w:r w:rsidRPr="002029AF">
        <w:rPr>
          <w:rFonts w:cs="Arial"/>
        </w:rPr>
        <w:t>First</w:t>
      </w:r>
      <w:r w:rsidR="000A5329" w:rsidRPr="002029AF">
        <w:rPr>
          <w:rFonts w:cs="Arial"/>
        </w:rPr>
        <w:t xml:space="preserve"> </w:t>
      </w:r>
      <w:r w:rsidR="00380905" w:rsidRPr="002029AF">
        <w:rPr>
          <w:rFonts w:cs="Arial"/>
        </w:rPr>
        <w:t>s</w:t>
      </w:r>
      <w:r w:rsidRPr="002029AF">
        <w:rPr>
          <w:rFonts w:cs="Arial"/>
        </w:rPr>
        <w:t>trategic</w:t>
      </w:r>
      <w:bookmarkEnd w:id="109"/>
      <w:r w:rsidR="000A5329" w:rsidRPr="002029AF">
        <w:rPr>
          <w:rFonts w:cs="Arial"/>
        </w:rPr>
        <w:t xml:space="preserve"> </w:t>
      </w:r>
      <w:r w:rsidR="00EF7B3A" w:rsidRPr="002029AF">
        <w:rPr>
          <w:rFonts w:cs="Arial"/>
        </w:rPr>
        <w:t>projects</w:t>
      </w:r>
    </w:p>
    <w:p w14:paraId="5AA2681E" w14:textId="1D4F292F" w:rsidR="00CF72D5" w:rsidRPr="002029AF" w:rsidRDefault="00CF72D5" w:rsidP="00897193">
      <w:pPr>
        <w:pStyle w:val="ARbody"/>
      </w:pPr>
      <w:r w:rsidRPr="002029AF">
        <w:t>During</w:t>
      </w:r>
      <w:r w:rsidR="000A5329" w:rsidRPr="002029AF">
        <w:t xml:space="preserve"> </w:t>
      </w:r>
      <w:r w:rsidRPr="002029AF">
        <w:t>201</w:t>
      </w:r>
      <w:r w:rsidR="00DB53E6" w:rsidRPr="002029AF">
        <w:t>9–</w:t>
      </w:r>
      <w:r w:rsidRPr="002029AF">
        <w:t>20,</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completed</w:t>
      </w:r>
      <w:r w:rsidR="000A5329" w:rsidRPr="002029AF">
        <w:t xml:space="preserve"> </w:t>
      </w:r>
      <w:r w:rsidRPr="002029AF">
        <w:t>one</w:t>
      </w:r>
      <w:r w:rsidR="000A5329" w:rsidRPr="002029AF">
        <w:t xml:space="preserve"> </w:t>
      </w:r>
      <w:r w:rsidRPr="002029AF">
        <w:t>Local</w:t>
      </w:r>
      <w:r w:rsidR="000A5329" w:rsidRPr="002029AF">
        <w:t xml:space="preserve"> </w:t>
      </w:r>
      <w:r w:rsidRPr="002029AF">
        <w:t>Jobs</w:t>
      </w:r>
      <w:r w:rsidR="000A5329" w:rsidRPr="002029AF">
        <w:t xml:space="preserve"> </w:t>
      </w:r>
      <w:r w:rsidRPr="002029AF">
        <w:t>First</w:t>
      </w:r>
      <w:r w:rsidR="000A5329" w:rsidRPr="002029AF">
        <w:t xml:space="preserve"> </w:t>
      </w:r>
      <w:r w:rsidR="00EF7B3A" w:rsidRPr="002029AF">
        <w:t>s</w:t>
      </w:r>
      <w:r w:rsidRPr="002029AF">
        <w:t>trategic</w:t>
      </w:r>
      <w:r w:rsidR="000A5329" w:rsidRPr="002029AF">
        <w:t xml:space="preserve"> </w:t>
      </w:r>
      <w:r w:rsidR="00EF7B3A" w:rsidRPr="002029AF">
        <w:t>p</w:t>
      </w:r>
      <w:r w:rsidRPr="002029AF">
        <w:t>roject,</w:t>
      </w:r>
      <w:r w:rsidR="000A5329" w:rsidRPr="002029AF">
        <w:t xml:space="preserve"> </w:t>
      </w:r>
      <w:r w:rsidRPr="002029AF">
        <w:t>valued</w:t>
      </w:r>
      <w:r w:rsidR="000A5329" w:rsidRPr="002029AF">
        <w:t xml:space="preserve"> </w:t>
      </w:r>
      <w:r w:rsidRPr="002029AF">
        <w:t>at</w:t>
      </w:r>
      <w:r w:rsidR="000A5329" w:rsidRPr="002029AF">
        <w:t xml:space="preserve"> </w:t>
      </w:r>
      <w:r w:rsidRPr="002029AF">
        <w:t>$135</w:t>
      </w:r>
      <w:r w:rsidR="000A5329" w:rsidRPr="002029AF">
        <w:t xml:space="preserve"> </w:t>
      </w:r>
      <w:r w:rsidRPr="002029AF">
        <w:t>million.</w:t>
      </w:r>
      <w:r w:rsidR="000A5329" w:rsidRPr="002029AF">
        <w:t xml:space="preserve"> </w:t>
      </w:r>
      <w:r w:rsidRPr="002029AF">
        <w:t>This</w:t>
      </w:r>
      <w:r w:rsidR="000A5329" w:rsidRPr="002029AF">
        <w:t xml:space="preserve"> </w:t>
      </w:r>
      <w:r w:rsidRPr="002029AF">
        <w:t>project</w:t>
      </w:r>
      <w:r w:rsidR="000A5329" w:rsidRPr="002029AF">
        <w:t xml:space="preserve"> </w:t>
      </w:r>
      <w:r w:rsidRPr="002029AF">
        <w:t>was</w:t>
      </w:r>
      <w:r w:rsidR="000A5329" w:rsidRPr="002029AF">
        <w:t xml:space="preserve"> </w:t>
      </w:r>
      <w:r w:rsidRPr="002029AF">
        <w:t>based</w:t>
      </w:r>
      <w:r w:rsidR="000A5329" w:rsidRPr="002029AF">
        <w:t xml:space="preserve"> </w:t>
      </w:r>
      <w:r w:rsidRPr="002029AF">
        <w:t>in</w:t>
      </w:r>
      <w:r w:rsidR="000A5329" w:rsidRPr="002029AF">
        <w:t xml:space="preserve"> </w:t>
      </w:r>
      <w:r w:rsidRPr="002029AF">
        <w:t>metropolitan</w:t>
      </w:r>
      <w:r w:rsidR="000A5329" w:rsidRPr="002029AF">
        <w:t xml:space="preserve"> </w:t>
      </w:r>
      <w:r w:rsidRPr="002029AF">
        <w:t>Melbourne</w:t>
      </w:r>
      <w:r w:rsidR="000A5329" w:rsidRPr="002029AF">
        <w:t xml:space="preserve"> </w:t>
      </w:r>
      <w:r w:rsidRPr="002029AF">
        <w:t>representing</w:t>
      </w:r>
      <w:r w:rsidR="000A5329" w:rsidRPr="002029AF">
        <w:t xml:space="preserve"> </w:t>
      </w:r>
      <w:r w:rsidRPr="002029AF">
        <w:t>85</w:t>
      </w:r>
      <w:r w:rsidR="000A5329" w:rsidRPr="002029AF">
        <w:t xml:space="preserve"> </w:t>
      </w:r>
      <w:r w:rsidRPr="002029AF">
        <w:t>per</w:t>
      </w:r>
      <w:r w:rsidR="000A5329" w:rsidRPr="002029AF">
        <w:t xml:space="preserve"> </w:t>
      </w:r>
      <w:r w:rsidRPr="002029AF">
        <w:t>cent</w:t>
      </w:r>
      <w:r w:rsidR="000A5329" w:rsidRPr="002029AF">
        <w:t xml:space="preserve"> </w:t>
      </w:r>
      <w:r w:rsidRPr="002029AF">
        <w:t>of</w:t>
      </w:r>
      <w:r w:rsidR="000A5329" w:rsidRPr="002029AF">
        <w:t xml:space="preserve"> </w:t>
      </w:r>
      <w:r w:rsidRPr="002029AF">
        <w:t>estimated</w:t>
      </w:r>
      <w:r w:rsidR="000A5329" w:rsidRPr="002029AF">
        <w:t xml:space="preserve"> </w:t>
      </w:r>
      <w:r w:rsidRPr="002029AF">
        <w:t>local</w:t>
      </w:r>
      <w:r w:rsidR="000A5329" w:rsidRPr="002029AF">
        <w:t xml:space="preserve"> </w:t>
      </w:r>
      <w:r w:rsidRPr="002029AF">
        <w:t>content.</w:t>
      </w:r>
      <w:r w:rsidR="000A5329" w:rsidRPr="002029AF">
        <w:t xml:space="preserve"> </w:t>
      </w:r>
      <w:r w:rsidRPr="002029AF">
        <w:t>The</w:t>
      </w:r>
      <w:r w:rsidR="000A5329" w:rsidRPr="002029AF">
        <w:t xml:space="preserve"> </w:t>
      </w:r>
      <w:r w:rsidRPr="002029AF">
        <w:t>MPSG</w:t>
      </w:r>
      <w:r w:rsidR="000A5329" w:rsidRPr="002029AF">
        <w:t xml:space="preserve"> </w:t>
      </w:r>
      <w:r w:rsidRPr="002029AF">
        <w:t>applied</w:t>
      </w:r>
      <w:r w:rsidR="000A5329" w:rsidRPr="002029AF">
        <w:t xml:space="preserve"> </w:t>
      </w:r>
      <w:r w:rsidRPr="002029AF">
        <w:t>to</w:t>
      </w:r>
      <w:r w:rsidR="000A5329" w:rsidRPr="002029AF">
        <w:t xml:space="preserve"> </w:t>
      </w:r>
      <w:r w:rsidRPr="002029AF">
        <w:t>this</w:t>
      </w:r>
      <w:r w:rsidR="000A5329" w:rsidRPr="002029AF">
        <w:t xml:space="preserve"> </w:t>
      </w:r>
      <w:r w:rsidRPr="002029AF">
        <w:t>project.</w:t>
      </w:r>
    </w:p>
    <w:p w14:paraId="1A15C549" w14:textId="2831FA78" w:rsidR="00227D05" w:rsidRPr="002029AF" w:rsidRDefault="00CF72D5" w:rsidP="004C225A">
      <w:pPr>
        <w:pStyle w:val="ARbody"/>
      </w:pPr>
      <w:r w:rsidRPr="002029AF">
        <w:t>The</w:t>
      </w:r>
      <w:r w:rsidR="000A5329" w:rsidRPr="002029AF">
        <w:t xml:space="preserve"> </w:t>
      </w:r>
      <w:r w:rsidRPr="002029AF">
        <w:t>outcomes</w:t>
      </w:r>
      <w:r w:rsidR="000A5329" w:rsidRPr="002029AF">
        <w:t xml:space="preserve"> </w:t>
      </w:r>
      <w:r w:rsidRPr="002029AF">
        <w:t>reported</w:t>
      </w:r>
      <w:r w:rsidR="000A5329" w:rsidRPr="002029AF">
        <w:t xml:space="preserve"> </w:t>
      </w:r>
      <w:r w:rsidRPr="002029AF">
        <w:t>from</w:t>
      </w:r>
      <w:r w:rsidR="000A5329" w:rsidRPr="002029AF">
        <w:t xml:space="preserve"> </w:t>
      </w:r>
      <w:r w:rsidRPr="002029AF">
        <w:t>the</w:t>
      </w:r>
      <w:r w:rsidR="000A5329" w:rsidRPr="002029AF">
        <w:t xml:space="preserve"> </w:t>
      </w:r>
      <w:r w:rsidRPr="002029AF">
        <w:t>implementation</w:t>
      </w:r>
      <w:r w:rsidR="000A5329" w:rsidRPr="002029AF">
        <w:t xml:space="preserve"> </w:t>
      </w:r>
      <w:r w:rsidRPr="002029AF">
        <w:t>of</w:t>
      </w:r>
      <w:r w:rsidR="000A5329" w:rsidRPr="002029AF">
        <w:t xml:space="preserve"> </w:t>
      </w:r>
      <w:r w:rsidRPr="002029AF">
        <w:t>the</w:t>
      </w:r>
      <w:r w:rsidR="000A5329" w:rsidRPr="002029AF">
        <w:t xml:space="preserve"> </w:t>
      </w:r>
      <w:r w:rsidRPr="002029AF">
        <w:t>policy</w:t>
      </w:r>
      <w:r w:rsidR="000A5329" w:rsidRPr="002029AF">
        <w:t xml:space="preserve"> </w:t>
      </w:r>
      <w:r w:rsidRPr="002029AF">
        <w:t>where</w:t>
      </w:r>
      <w:r w:rsidR="000A5329" w:rsidRPr="002029AF">
        <w:t xml:space="preserve"> </w:t>
      </w:r>
      <w:r w:rsidRPr="002029AF">
        <w:t>information</w:t>
      </w:r>
      <w:r w:rsidR="000A5329" w:rsidRPr="002029AF">
        <w:t xml:space="preserve"> </w:t>
      </w:r>
      <w:r w:rsidRPr="002029AF">
        <w:t>was</w:t>
      </w:r>
      <w:r w:rsidR="000A5329" w:rsidRPr="002029AF">
        <w:t xml:space="preserve"> </w:t>
      </w:r>
      <w:r w:rsidRPr="002029AF">
        <w:t>provided</w:t>
      </w:r>
      <w:r w:rsidR="000A5329" w:rsidRPr="002029AF">
        <w:t xml:space="preserve"> </w:t>
      </w:r>
      <w:r w:rsidRPr="002029AF">
        <w:t>were</w:t>
      </w:r>
      <w:r w:rsidR="000A5329" w:rsidRPr="002029AF">
        <w:t xml:space="preserve"> </w:t>
      </w:r>
      <w:r w:rsidRPr="002029AF">
        <w:t>as</w:t>
      </w:r>
      <w:r w:rsidR="000A5329" w:rsidRPr="002029AF">
        <w:t xml:space="preserve"> </w:t>
      </w:r>
      <w:r w:rsidRPr="002029AF">
        <w:t>follows:</w:t>
      </w:r>
    </w:p>
    <w:p w14:paraId="08EB33C0" w14:textId="1F21FFF3" w:rsidR="000A5329" w:rsidRPr="002029AF" w:rsidRDefault="00227D05" w:rsidP="00227D05">
      <w:pPr>
        <w:pStyle w:val="ARbullet1"/>
      </w:pPr>
      <w:r w:rsidRPr="002029AF">
        <w:t>85</w:t>
      </w:r>
      <w:r w:rsidR="000A5329" w:rsidRPr="002029AF">
        <w:t xml:space="preserve"> </w:t>
      </w:r>
      <w:r w:rsidRPr="002029AF">
        <w:t>per</w:t>
      </w:r>
      <w:r w:rsidR="000A5329" w:rsidRPr="002029AF">
        <w:t xml:space="preserve"> </w:t>
      </w:r>
      <w:r w:rsidRPr="002029AF">
        <w:t>cent</w:t>
      </w:r>
      <w:r w:rsidR="000A5329" w:rsidRPr="002029AF">
        <w:t xml:space="preserve"> </w:t>
      </w:r>
      <w:r w:rsidRPr="002029AF">
        <w:t>of</w:t>
      </w:r>
      <w:r w:rsidR="000A5329" w:rsidRPr="002029AF">
        <w:t xml:space="preserve"> </w:t>
      </w:r>
      <w:r w:rsidRPr="002029AF">
        <w:t>local</w:t>
      </w:r>
      <w:r w:rsidR="000A5329" w:rsidRPr="002029AF">
        <w:t xml:space="preserve"> </w:t>
      </w:r>
      <w:r w:rsidRPr="002029AF">
        <w:t>content</w:t>
      </w:r>
      <w:r w:rsidR="000A5329" w:rsidRPr="002029AF">
        <w:t xml:space="preserve"> </w:t>
      </w:r>
      <w:r w:rsidRPr="002029AF">
        <w:t>outcome</w:t>
      </w:r>
    </w:p>
    <w:p w14:paraId="51C7F5C1" w14:textId="05F13315" w:rsidR="000A5329" w:rsidRPr="002029AF" w:rsidRDefault="00227D05" w:rsidP="00227D05">
      <w:pPr>
        <w:pStyle w:val="ARbullet1"/>
      </w:pPr>
      <w:r w:rsidRPr="002029AF">
        <w:t>the</w:t>
      </w:r>
      <w:r w:rsidR="000A5329" w:rsidRPr="002029AF">
        <w:t xml:space="preserve"> </w:t>
      </w:r>
      <w:r w:rsidRPr="002029AF">
        <w:t>creation</w:t>
      </w:r>
      <w:r w:rsidR="000A5329" w:rsidRPr="002029AF">
        <w:t xml:space="preserve"> </w:t>
      </w:r>
      <w:r w:rsidRPr="002029AF">
        <w:t>of</w:t>
      </w:r>
      <w:r w:rsidR="000A5329" w:rsidRPr="002029AF">
        <w:t xml:space="preserve"> </w:t>
      </w:r>
      <w:r w:rsidRPr="002029AF">
        <w:t>a</w:t>
      </w:r>
      <w:r w:rsidR="000A5329" w:rsidRPr="002029AF">
        <w:t xml:space="preserve"> </w:t>
      </w:r>
      <w:r w:rsidRPr="002029AF">
        <w:t>total</w:t>
      </w:r>
      <w:r w:rsidR="000A5329" w:rsidRPr="002029AF">
        <w:t xml:space="preserve"> </w:t>
      </w:r>
      <w:r w:rsidRPr="002029AF">
        <w:t>of</w:t>
      </w:r>
      <w:r w:rsidR="000A5329" w:rsidRPr="002029AF">
        <w:t xml:space="preserve"> </w:t>
      </w:r>
      <w:r w:rsidRPr="002029AF">
        <w:t>92</w:t>
      </w:r>
      <w:r w:rsidR="000A5329" w:rsidRPr="002029AF">
        <w:t xml:space="preserve"> </w:t>
      </w:r>
      <w:r w:rsidRPr="002029AF">
        <w:t>(AEE)</w:t>
      </w:r>
      <w:r w:rsidR="000A5329" w:rsidRPr="002029AF">
        <w:t xml:space="preserve"> </w:t>
      </w:r>
      <w:r w:rsidRPr="002029AF">
        <w:t>positions</w:t>
      </w:r>
    </w:p>
    <w:p w14:paraId="4C377EED" w14:textId="0D7882D3" w:rsidR="000A5329" w:rsidRPr="002029AF" w:rsidRDefault="00227D05" w:rsidP="00227D05">
      <w:pPr>
        <w:pStyle w:val="ARbullet1"/>
      </w:pPr>
      <w:r w:rsidRPr="002029AF">
        <w:t>the</w:t>
      </w:r>
      <w:r w:rsidR="000A5329" w:rsidRPr="002029AF">
        <w:t xml:space="preserve"> </w:t>
      </w:r>
      <w:r w:rsidRPr="002029AF">
        <w:t>creation</w:t>
      </w:r>
      <w:r w:rsidR="000A5329" w:rsidRPr="002029AF">
        <w:t xml:space="preserve"> </w:t>
      </w:r>
      <w:r w:rsidRPr="002029AF">
        <w:t>of</w:t>
      </w:r>
      <w:r w:rsidR="000A5329" w:rsidRPr="002029AF">
        <w:t xml:space="preserve"> </w:t>
      </w:r>
      <w:r w:rsidRPr="002029AF">
        <w:t>five</w:t>
      </w:r>
      <w:r w:rsidR="000A5329" w:rsidRPr="002029AF">
        <w:t xml:space="preserve"> </w:t>
      </w:r>
      <w:r w:rsidRPr="002029AF">
        <w:t>new</w:t>
      </w:r>
      <w:r w:rsidR="000A5329" w:rsidRPr="002029AF">
        <w:t xml:space="preserve"> </w:t>
      </w:r>
      <w:r w:rsidRPr="002029AF">
        <w:t>apprenticeships,</w:t>
      </w:r>
      <w:r w:rsidR="000A5329" w:rsidRPr="002029AF">
        <w:t xml:space="preserve"> </w:t>
      </w:r>
      <w:r w:rsidRPr="002029AF">
        <w:t>traineeships</w:t>
      </w:r>
      <w:r w:rsidR="000A5329" w:rsidRPr="002029AF">
        <w:t xml:space="preserve"> </w:t>
      </w:r>
      <w:r w:rsidRPr="002029AF">
        <w:t>and</w:t>
      </w:r>
      <w:r w:rsidR="000A5329" w:rsidRPr="002029AF">
        <w:t xml:space="preserve"> </w:t>
      </w:r>
      <w:r w:rsidRPr="002029AF">
        <w:t>cadets</w:t>
      </w:r>
      <w:r w:rsidR="000A5329" w:rsidRPr="002029AF">
        <w:t xml:space="preserve"> </w:t>
      </w:r>
      <w:r w:rsidRPr="002029AF">
        <w:t>and</w:t>
      </w:r>
      <w:r w:rsidR="000A5329" w:rsidRPr="002029AF">
        <w:t xml:space="preserve"> </w:t>
      </w:r>
      <w:r w:rsidRPr="002029AF">
        <w:t>the</w:t>
      </w:r>
      <w:r w:rsidR="000A5329" w:rsidRPr="002029AF">
        <w:t xml:space="preserve"> </w:t>
      </w:r>
      <w:r w:rsidRPr="002029AF">
        <w:t>retention</w:t>
      </w:r>
      <w:r w:rsidR="000A5329" w:rsidRPr="002029AF">
        <w:t xml:space="preserve"> </w:t>
      </w:r>
      <w:r w:rsidRPr="002029AF">
        <w:t>of</w:t>
      </w:r>
      <w:r w:rsidR="000A5329" w:rsidRPr="002029AF">
        <w:t xml:space="preserve"> </w:t>
      </w:r>
      <w:r w:rsidRPr="002029AF">
        <w:t>16</w:t>
      </w:r>
      <w:r w:rsidR="00286264" w:rsidRPr="002029AF">
        <w:t> </w:t>
      </w:r>
      <w:r w:rsidRPr="002029AF">
        <w:t>existing</w:t>
      </w:r>
      <w:r w:rsidR="000A5329" w:rsidRPr="002029AF">
        <w:t xml:space="preserve"> </w:t>
      </w:r>
      <w:r w:rsidRPr="002029AF">
        <w:t>apprenticeships</w:t>
      </w:r>
      <w:r w:rsidR="000A5329" w:rsidRPr="002029AF">
        <w:t xml:space="preserve"> </w:t>
      </w:r>
      <w:r w:rsidRPr="002029AF">
        <w:t>and</w:t>
      </w:r>
      <w:r w:rsidR="000A5329" w:rsidRPr="002029AF">
        <w:t xml:space="preserve"> </w:t>
      </w:r>
      <w:r w:rsidRPr="002029AF">
        <w:t>traineeships</w:t>
      </w:r>
    </w:p>
    <w:p w14:paraId="13378E4E" w14:textId="320F42E6" w:rsidR="00227D05" w:rsidRPr="002029AF" w:rsidRDefault="00227D05" w:rsidP="00227D05">
      <w:pPr>
        <w:pStyle w:val="ARbullet1"/>
      </w:pPr>
      <w:r w:rsidRPr="002029AF">
        <w:t>a</w:t>
      </w:r>
      <w:r w:rsidR="000A5329" w:rsidRPr="002029AF">
        <w:t xml:space="preserve"> </w:t>
      </w:r>
      <w:r w:rsidRPr="002029AF">
        <w:t>total</w:t>
      </w:r>
      <w:r w:rsidR="000A5329" w:rsidRPr="002029AF">
        <w:t xml:space="preserve"> </w:t>
      </w:r>
      <w:r w:rsidRPr="002029AF">
        <w:t>of</w:t>
      </w:r>
      <w:r w:rsidR="000A5329" w:rsidRPr="002029AF">
        <w:t xml:space="preserve"> </w:t>
      </w:r>
      <w:r w:rsidRPr="002029AF">
        <w:t>41,500</w:t>
      </w:r>
      <w:r w:rsidR="000A5329" w:rsidRPr="002029AF">
        <w:t xml:space="preserve"> </w:t>
      </w:r>
      <w:r w:rsidRPr="002029AF">
        <w:t>hours</w:t>
      </w:r>
      <w:r w:rsidR="000A5329" w:rsidRPr="002029AF">
        <w:t xml:space="preserve"> </w:t>
      </w:r>
      <w:r w:rsidRPr="002029AF">
        <w:t>to</w:t>
      </w:r>
      <w:r w:rsidR="000A5329" w:rsidRPr="002029AF">
        <w:t xml:space="preserve"> </w:t>
      </w:r>
      <w:r w:rsidRPr="002029AF">
        <w:t>apprentices,</w:t>
      </w:r>
      <w:r w:rsidR="000A5329" w:rsidRPr="002029AF">
        <w:t xml:space="preserve"> </w:t>
      </w:r>
      <w:r w:rsidRPr="002029AF">
        <w:t>trainees,</w:t>
      </w:r>
      <w:r w:rsidR="000A5329" w:rsidRPr="002029AF">
        <w:t xml:space="preserve"> </w:t>
      </w:r>
      <w:r w:rsidRPr="002029AF">
        <w:t>and</w:t>
      </w:r>
      <w:r w:rsidR="000A5329" w:rsidRPr="002029AF">
        <w:t xml:space="preserve"> </w:t>
      </w:r>
      <w:r w:rsidRPr="002029AF">
        <w:t>cadets</w:t>
      </w:r>
      <w:r w:rsidR="000A5329" w:rsidRPr="002029AF">
        <w:t xml:space="preserve"> </w:t>
      </w:r>
      <w:r w:rsidRPr="002029AF">
        <w:t>and</w:t>
      </w:r>
      <w:r w:rsidR="000A5329" w:rsidRPr="002029AF">
        <w:t xml:space="preserve"> </w:t>
      </w:r>
      <w:r w:rsidRPr="002029AF">
        <w:t>the</w:t>
      </w:r>
      <w:r w:rsidR="000A5329" w:rsidRPr="002029AF">
        <w:t xml:space="preserve"> </w:t>
      </w:r>
      <w:r w:rsidRPr="002029AF">
        <w:t>engagement</w:t>
      </w:r>
      <w:r w:rsidR="000A5329" w:rsidRPr="002029AF">
        <w:t xml:space="preserve"> </w:t>
      </w:r>
      <w:r w:rsidRPr="002029AF">
        <w:t>of</w:t>
      </w:r>
      <w:r w:rsidR="000A5329" w:rsidRPr="002029AF">
        <w:t xml:space="preserve"> </w:t>
      </w:r>
      <w:r w:rsidRPr="002029AF">
        <w:t>21</w:t>
      </w:r>
      <w:r w:rsidR="000A5329" w:rsidRPr="002029AF">
        <w:t xml:space="preserve"> </w:t>
      </w:r>
      <w:r w:rsidRPr="002029AF">
        <w:t>apprentices,</w:t>
      </w:r>
      <w:r w:rsidR="000A5329" w:rsidRPr="002029AF">
        <w:t xml:space="preserve"> </w:t>
      </w:r>
      <w:r w:rsidRPr="002029AF">
        <w:t>trainees</w:t>
      </w:r>
      <w:r w:rsidR="000A5329" w:rsidRPr="002029AF">
        <w:t xml:space="preserve"> </w:t>
      </w:r>
      <w:r w:rsidRPr="002029AF">
        <w:t>and</w:t>
      </w:r>
      <w:r w:rsidR="000A5329" w:rsidRPr="002029AF">
        <w:t xml:space="preserve"> </w:t>
      </w:r>
      <w:r w:rsidRPr="002029AF">
        <w:t>cadets</w:t>
      </w:r>
      <w:r w:rsidR="000A5329" w:rsidRPr="002029AF">
        <w:t xml:space="preserve"> </w:t>
      </w:r>
      <w:r w:rsidRPr="002029AF">
        <w:t>in</w:t>
      </w:r>
      <w:r w:rsidR="000A5329" w:rsidRPr="002029AF">
        <w:t xml:space="preserve"> </w:t>
      </w:r>
      <w:r w:rsidRPr="002029AF">
        <w:t>MPSG-applicable</w:t>
      </w:r>
      <w:r w:rsidR="000A5329" w:rsidRPr="002029AF">
        <w:t xml:space="preserve"> </w:t>
      </w:r>
      <w:r w:rsidRPr="002029AF">
        <w:t>projects.</w:t>
      </w:r>
    </w:p>
    <w:p w14:paraId="6DA35010" w14:textId="67107BDD" w:rsidR="00143D68" w:rsidRPr="002029AF" w:rsidRDefault="00143D68" w:rsidP="00143D68">
      <w:pPr>
        <w:pStyle w:val="Heading3"/>
        <w:rPr>
          <w:rFonts w:cs="Arial"/>
        </w:rPr>
      </w:pPr>
      <w:r w:rsidRPr="002029AF">
        <w:rPr>
          <w:rFonts w:cs="Arial"/>
        </w:rPr>
        <w:t>Reporting</w:t>
      </w:r>
      <w:r w:rsidR="000A5329" w:rsidRPr="002029AF">
        <w:rPr>
          <w:rFonts w:cs="Arial"/>
        </w:rPr>
        <w:t xml:space="preserve"> </w:t>
      </w:r>
      <w:r w:rsidRPr="002029AF">
        <w:rPr>
          <w:rFonts w:cs="Arial"/>
        </w:rPr>
        <w:t>requirements</w:t>
      </w:r>
      <w:r w:rsidR="000A5329" w:rsidRPr="002029AF">
        <w:rPr>
          <w:rFonts w:cs="Arial"/>
        </w:rPr>
        <w:t xml:space="preserve"> </w:t>
      </w:r>
      <w:r w:rsidRPr="002029AF">
        <w:rPr>
          <w:rFonts w:cs="Arial"/>
        </w:rPr>
        <w:t>–</w:t>
      </w:r>
      <w:r w:rsidR="000A5329" w:rsidRPr="002029AF">
        <w:rPr>
          <w:rFonts w:cs="Arial"/>
        </w:rPr>
        <w:t xml:space="preserve"> </w:t>
      </w:r>
      <w:r w:rsidRPr="002029AF">
        <w:rPr>
          <w:rFonts w:cs="Arial"/>
        </w:rPr>
        <w:t>grants</w:t>
      </w:r>
    </w:p>
    <w:p w14:paraId="2D436622" w14:textId="24DC7C35" w:rsidR="00143D68" w:rsidRPr="002029AF" w:rsidRDefault="00143D68" w:rsidP="00143D68">
      <w:pPr>
        <w:pStyle w:val="ARbody"/>
      </w:pPr>
      <w:r w:rsidRPr="002029AF">
        <w:t>For</w:t>
      </w:r>
      <w:r w:rsidR="000A5329" w:rsidRPr="002029AF">
        <w:t xml:space="preserve"> </w:t>
      </w:r>
      <w:r w:rsidRPr="002029AF">
        <w:t>grants</w:t>
      </w:r>
      <w:r w:rsidR="000A5329" w:rsidRPr="002029AF">
        <w:t xml:space="preserve"> </w:t>
      </w:r>
      <w:r w:rsidRPr="002029AF">
        <w:t>provided</w:t>
      </w:r>
      <w:r w:rsidR="000A5329" w:rsidRPr="002029AF">
        <w:t xml:space="preserve"> </w:t>
      </w:r>
      <w:r w:rsidRPr="002029AF">
        <w:t>during</w:t>
      </w:r>
      <w:r w:rsidR="000A5329" w:rsidRPr="002029AF">
        <w:t xml:space="preserve"> </w:t>
      </w:r>
      <w:r w:rsidRPr="002029AF">
        <w:t>201</w:t>
      </w:r>
      <w:r w:rsidR="00DB53E6" w:rsidRPr="002029AF">
        <w:t>9–</w:t>
      </w:r>
      <w:r w:rsidRPr="002029AF">
        <w:t>20,</w:t>
      </w:r>
      <w:r w:rsidR="000A5329" w:rsidRPr="002029AF">
        <w:t xml:space="preserve"> </w:t>
      </w:r>
      <w:r w:rsidRPr="002029AF">
        <w:t>a</w:t>
      </w:r>
      <w:r w:rsidR="000A5329" w:rsidRPr="002029AF">
        <w:t xml:space="preserve"> </w:t>
      </w:r>
      <w:r w:rsidRPr="002029AF">
        <w:t>total</w:t>
      </w:r>
      <w:r w:rsidR="000A5329" w:rsidRPr="002029AF">
        <w:t xml:space="preserve"> </w:t>
      </w:r>
      <w:r w:rsidRPr="002029AF">
        <w:t>of</w:t>
      </w:r>
      <w:r w:rsidR="000A5329" w:rsidRPr="002029AF">
        <w:t xml:space="preserve"> </w:t>
      </w:r>
      <w:r w:rsidRPr="002029AF">
        <w:t>four</w:t>
      </w:r>
      <w:r w:rsidR="000A5329" w:rsidRPr="002029AF">
        <w:t xml:space="preserve"> </w:t>
      </w:r>
      <w:r w:rsidRPr="002029AF">
        <w:t>interaction</w:t>
      </w:r>
      <w:r w:rsidR="000A5329" w:rsidRPr="002029AF">
        <w:t xml:space="preserve"> </w:t>
      </w:r>
      <w:r w:rsidRPr="002029AF">
        <w:t>reference</w:t>
      </w:r>
      <w:r w:rsidR="000A5329" w:rsidRPr="002029AF">
        <w:t xml:space="preserve"> </w:t>
      </w:r>
      <w:r w:rsidRPr="002029AF">
        <w:t>numbers</w:t>
      </w:r>
      <w:r w:rsidR="000A5329" w:rsidRPr="002029AF">
        <w:t xml:space="preserve"> </w:t>
      </w:r>
      <w:r w:rsidRPr="002029AF">
        <w:t>were</w:t>
      </w:r>
      <w:r w:rsidR="000A5329" w:rsidRPr="002029AF">
        <w:t xml:space="preserve"> </w:t>
      </w:r>
      <w:r w:rsidRPr="002029AF">
        <w:t>required,</w:t>
      </w:r>
      <w:r w:rsidR="000A5329" w:rsidRPr="002029AF">
        <w:t xml:space="preserve"> </w:t>
      </w:r>
      <w:r w:rsidRPr="002029AF">
        <w:t>which</w:t>
      </w:r>
      <w:r w:rsidR="000A5329" w:rsidRPr="002029AF">
        <w:t xml:space="preserve"> </w:t>
      </w:r>
      <w:r w:rsidRPr="002029AF">
        <w:t>entailed</w:t>
      </w:r>
      <w:r w:rsidR="000A5329" w:rsidRPr="002029AF">
        <w:t xml:space="preserve"> </w:t>
      </w:r>
      <w:r w:rsidRPr="002029AF">
        <w:t>a</w:t>
      </w:r>
      <w:r w:rsidR="000A5329" w:rsidRPr="002029AF">
        <w:t xml:space="preserve"> </w:t>
      </w:r>
      <w:r w:rsidRPr="002029AF">
        <w:t>conversation</w:t>
      </w:r>
      <w:r w:rsidR="000A5329" w:rsidRPr="002029AF">
        <w:t xml:space="preserve"> </w:t>
      </w:r>
      <w:r w:rsidRPr="002029AF">
        <w:t>with</w:t>
      </w:r>
      <w:r w:rsidR="000A5329" w:rsidRPr="002029AF">
        <w:t xml:space="preserve"> </w:t>
      </w:r>
      <w:r w:rsidRPr="002029AF">
        <w:t>the</w:t>
      </w:r>
      <w:r w:rsidR="000A5329" w:rsidRPr="002029AF">
        <w:t xml:space="preserve"> </w:t>
      </w:r>
      <w:r w:rsidRPr="002029AF">
        <w:t>Industry</w:t>
      </w:r>
      <w:r w:rsidR="000A5329" w:rsidRPr="002029AF">
        <w:t xml:space="preserve"> </w:t>
      </w:r>
      <w:r w:rsidRPr="002029AF">
        <w:t>Capability</w:t>
      </w:r>
      <w:r w:rsidR="000A5329" w:rsidRPr="002029AF">
        <w:t xml:space="preserve"> </w:t>
      </w:r>
      <w:r w:rsidRPr="002029AF">
        <w:t>Network</w:t>
      </w:r>
      <w:r w:rsidR="000A5329" w:rsidRPr="002029AF">
        <w:t xml:space="preserve"> </w:t>
      </w:r>
      <w:r w:rsidRPr="002029AF">
        <w:t>(Victoria)</w:t>
      </w:r>
      <w:r w:rsidR="000A5329" w:rsidRPr="002029AF">
        <w:t xml:space="preserve"> </w:t>
      </w:r>
      <w:r w:rsidRPr="002029AF">
        <w:t>Ltd.</w:t>
      </w:r>
    </w:p>
    <w:p w14:paraId="555AF65D" w14:textId="02DCB4B6" w:rsidR="00227D05" w:rsidRPr="002029AF" w:rsidRDefault="00227D05" w:rsidP="00227D05">
      <w:pPr>
        <w:pStyle w:val="Heading3"/>
        <w:rPr>
          <w:rFonts w:cs="Arial"/>
        </w:rPr>
      </w:pPr>
      <w:r w:rsidRPr="002029AF">
        <w:rPr>
          <w:rFonts w:cs="Arial"/>
        </w:rPr>
        <w:t>Reporting</w:t>
      </w:r>
      <w:r w:rsidR="000A5329" w:rsidRPr="002029AF">
        <w:rPr>
          <w:rFonts w:cs="Arial"/>
        </w:rPr>
        <w:t xml:space="preserve"> </w:t>
      </w:r>
      <w:r w:rsidRPr="002029AF">
        <w:rPr>
          <w:rFonts w:cs="Arial"/>
        </w:rPr>
        <w:t>requirements</w:t>
      </w:r>
      <w:r w:rsidR="000A5329" w:rsidRPr="002029AF">
        <w:rPr>
          <w:rFonts w:cs="Arial"/>
        </w:rPr>
        <w:t xml:space="preserve"> </w:t>
      </w:r>
      <w:r w:rsidRPr="002029AF">
        <w:rPr>
          <w:rFonts w:cs="Arial"/>
        </w:rPr>
        <w:t>–</w:t>
      </w:r>
      <w:r w:rsidR="000A5329" w:rsidRPr="002029AF">
        <w:rPr>
          <w:rFonts w:cs="Arial"/>
        </w:rPr>
        <w:t xml:space="preserve"> </w:t>
      </w:r>
      <w:r w:rsidRPr="002029AF">
        <w:rPr>
          <w:rFonts w:cs="Arial"/>
        </w:rPr>
        <w:t>all</w:t>
      </w:r>
      <w:r w:rsidR="000A5329" w:rsidRPr="002029AF">
        <w:rPr>
          <w:rFonts w:cs="Arial"/>
        </w:rPr>
        <w:t xml:space="preserve"> </w:t>
      </w:r>
      <w:r w:rsidRPr="002029AF">
        <w:rPr>
          <w:rFonts w:cs="Arial"/>
        </w:rPr>
        <w:t>projects</w:t>
      </w:r>
    </w:p>
    <w:p w14:paraId="1DAA3830" w14:textId="4E98D0AC" w:rsidR="00227D05" w:rsidRPr="002029AF" w:rsidRDefault="00227D05" w:rsidP="00B442E2">
      <w:pPr>
        <w:pStyle w:val="ARbody"/>
      </w:pPr>
      <w:r w:rsidRPr="002029AF">
        <w:t>During</w:t>
      </w:r>
      <w:r w:rsidR="000A5329" w:rsidRPr="002029AF">
        <w:t xml:space="preserve"> </w:t>
      </w:r>
      <w:r w:rsidRPr="002029AF">
        <w:t>201</w:t>
      </w:r>
      <w:r w:rsidR="00DB53E6" w:rsidRPr="002029AF">
        <w:t>9–</w:t>
      </w:r>
      <w:r w:rsidRPr="002029AF">
        <w:t>20,</w:t>
      </w:r>
      <w:r w:rsidR="000A5329" w:rsidRPr="002029AF">
        <w:t xml:space="preserve"> </w:t>
      </w:r>
      <w:r w:rsidRPr="002029AF">
        <w:t>there</w:t>
      </w:r>
      <w:r w:rsidR="000A5329" w:rsidRPr="002029AF">
        <w:t xml:space="preserve"> </w:t>
      </w:r>
      <w:r w:rsidRPr="002029AF">
        <w:t>were</w:t>
      </w:r>
      <w:r w:rsidR="000A5329" w:rsidRPr="002029AF">
        <w:t xml:space="preserve"> </w:t>
      </w:r>
      <w:r w:rsidRPr="002029AF">
        <w:t>nine</w:t>
      </w:r>
      <w:r w:rsidR="000A5329" w:rsidRPr="002029AF">
        <w:t xml:space="preserve"> </w:t>
      </w:r>
      <w:r w:rsidRPr="002029AF">
        <w:t>small</w:t>
      </w:r>
      <w:r w:rsidR="000A5329" w:rsidRPr="002029AF">
        <w:t xml:space="preserve"> </w:t>
      </w:r>
      <w:r w:rsidRPr="002029AF">
        <w:t>to</w:t>
      </w:r>
      <w:r w:rsidR="000A5329" w:rsidRPr="002029AF">
        <w:t xml:space="preserve"> </w:t>
      </w:r>
      <w:r w:rsidRPr="002029AF">
        <w:t>medium-sized</w:t>
      </w:r>
      <w:r w:rsidR="000A5329" w:rsidRPr="002029AF">
        <w:t xml:space="preserve"> </w:t>
      </w:r>
      <w:r w:rsidRPr="002029AF">
        <w:t>businesses</w:t>
      </w:r>
      <w:r w:rsidR="000A5329" w:rsidRPr="002029AF">
        <w:t xml:space="preserve"> </w:t>
      </w:r>
      <w:r w:rsidRPr="002029AF">
        <w:t>that</w:t>
      </w:r>
      <w:r w:rsidR="000A5329" w:rsidRPr="002029AF">
        <w:t xml:space="preserve"> </w:t>
      </w:r>
      <w:r w:rsidRPr="002029AF">
        <w:t>prepared</w:t>
      </w:r>
      <w:r w:rsidR="000A5329" w:rsidRPr="002029AF">
        <w:t xml:space="preserve"> </w:t>
      </w:r>
      <w:r w:rsidRPr="002029AF">
        <w:t>a</w:t>
      </w:r>
      <w:r w:rsidR="000A5329" w:rsidRPr="002029AF">
        <w:t xml:space="preserve"> </w:t>
      </w:r>
      <w:r w:rsidRPr="002029AF">
        <w:t>VIPP</w:t>
      </w:r>
      <w:r w:rsidR="000A5329" w:rsidRPr="002029AF">
        <w:t xml:space="preserve"> </w:t>
      </w:r>
      <w:r w:rsidRPr="002029AF">
        <w:t>Plan</w:t>
      </w:r>
      <w:r w:rsidR="000A5329" w:rsidRPr="002029AF">
        <w:t xml:space="preserve"> </w:t>
      </w:r>
      <w:r w:rsidRPr="002029AF">
        <w:t>or</w:t>
      </w:r>
      <w:r w:rsidR="000A5329" w:rsidRPr="002029AF">
        <w:t xml:space="preserve"> </w:t>
      </w:r>
      <w:r w:rsidRPr="002029AF">
        <w:t>Local</w:t>
      </w:r>
      <w:r w:rsidR="000A5329" w:rsidRPr="002029AF">
        <w:t xml:space="preserve"> </w:t>
      </w:r>
      <w:r w:rsidRPr="002029AF">
        <w:t>Industry</w:t>
      </w:r>
      <w:r w:rsidR="000A5329" w:rsidRPr="002029AF">
        <w:t xml:space="preserve"> </w:t>
      </w:r>
      <w:r w:rsidRPr="002029AF">
        <w:t>Development</w:t>
      </w:r>
      <w:r w:rsidR="000A5329" w:rsidRPr="002029AF">
        <w:t xml:space="preserve"> </w:t>
      </w:r>
      <w:r w:rsidRPr="002029AF">
        <w:t>Plan</w:t>
      </w:r>
      <w:r w:rsidR="000A5329" w:rsidRPr="002029AF">
        <w:t xml:space="preserve"> </w:t>
      </w:r>
      <w:r w:rsidRPr="002029AF">
        <w:t>(LIDP)</w:t>
      </w:r>
      <w:r w:rsidR="000A5329" w:rsidRPr="002029AF">
        <w:t xml:space="preserve"> </w:t>
      </w:r>
      <w:r w:rsidRPr="002029AF">
        <w:t>for</w:t>
      </w:r>
      <w:r w:rsidR="000A5329" w:rsidRPr="002029AF">
        <w:t xml:space="preserve"> </w:t>
      </w:r>
      <w:r w:rsidRPr="002029AF">
        <w:t>contracts</w:t>
      </w:r>
      <w:r w:rsidR="000A5329" w:rsidRPr="002029AF">
        <w:t xml:space="preserve"> </w:t>
      </w:r>
      <w:r w:rsidRPr="002029AF">
        <w:t>and</w:t>
      </w:r>
      <w:r w:rsidR="000A5329" w:rsidRPr="002029AF">
        <w:t xml:space="preserve"> </w:t>
      </w:r>
      <w:r w:rsidRPr="002029AF">
        <w:t>were</w:t>
      </w:r>
      <w:r w:rsidR="000A5329" w:rsidRPr="002029AF">
        <w:t xml:space="preserve"> </w:t>
      </w:r>
      <w:r w:rsidRPr="002029AF">
        <w:t>successfully</w:t>
      </w:r>
      <w:r w:rsidR="000A5329" w:rsidRPr="002029AF">
        <w:t xml:space="preserve"> </w:t>
      </w:r>
      <w:r w:rsidRPr="002029AF">
        <w:t>appointed</w:t>
      </w:r>
      <w:r w:rsidR="000A5329" w:rsidRPr="002029AF">
        <w:t xml:space="preserve"> </w:t>
      </w:r>
      <w:r w:rsidRPr="002029AF">
        <w:t>as</w:t>
      </w:r>
      <w:r w:rsidR="000A5329" w:rsidRPr="002029AF">
        <w:t xml:space="preserve"> </w:t>
      </w:r>
      <w:r w:rsidRPr="002029AF">
        <w:t>principal</w:t>
      </w:r>
      <w:r w:rsidR="000A5329" w:rsidRPr="002029AF">
        <w:t xml:space="preserve"> </w:t>
      </w:r>
      <w:r w:rsidRPr="002029AF">
        <w:t>contractor.</w:t>
      </w:r>
    </w:p>
    <w:p w14:paraId="7BE63752" w14:textId="5C9A85CF" w:rsidR="000A5329" w:rsidRPr="002029AF" w:rsidRDefault="00227D05" w:rsidP="00B442E2">
      <w:pPr>
        <w:pStyle w:val="ARbody"/>
      </w:pPr>
      <w:r w:rsidRPr="002029AF">
        <w:t>One</w:t>
      </w:r>
      <w:r w:rsidR="000A5329" w:rsidRPr="002029AF">
        <w:t xml:space="preserve"> </w:t>
      </w:r>
      <w:r w:rsidRPr="002029AF">
        <w:t>hundred</w:t>
      </w:r>
      <w:r w:rsidR="000A5329" w:rsidRPr="002029AF">
        <w:t xml:space="preserve"> </w:t>
      </w:r>
      <w:r w:rsidRPr="002029AF">
        <w:t>and</w:t>
      </w:r>
      <w:r w:rsidR="000A5329" w:rsidRPr="002029AF">
        <w:t xml:space="preserve"> </w:t>
      </w:r>
      <w:r w:rsidRPr="002029AF">
        <w:t>fifty</w:t>
      </w:r>
      <w:r w:rsidR="000A5329" w:rsidRPr="002029AF">
        <w:t xml:space="preserve"> </w:t>
      </w:r>
      <w:r w:rsidRPr="002029AF">
        <w:t>small</w:t>
      </w:r>
      <w:r w:rsidR="000A5329" w:rsidRPr="002029AF">
        <w:t xml:space="preserve"> </w:t>
      </w:r>
      <w:r w:rsidRPr="002029AF">
        <w:t>to</w:t>
      </w:r>
      <w:r w:rsidR="000A5329" w:rsidRPr="002029AF">
        <w:t xml:space="preserve"> </w:t>
      </w:r>
      <w:r w:rsidRPr="002029AF">
        <w:t>medium-sized</w:t>
      </w:r>
      <w:r w:rsidR="000A5329" w:rsidRPr="002029AF">
        <w:t xml:space="preserve"> </w:t>
      </w:r>
      <w:r w:rsidRPr="002029AF">
        <w:t>businesses</w:t>
      </w:r>
      <w:r w:rsidR="000A5329" w:rsidRPr="002029AF">
        <w:t xml:space="preserve"> </w:t>
      </w:r>
      <w:r w:rsidRPr="002029AF">
        <w:t>were</w:t>
      </w:r>
      <w:r w:rsidR="000A5329" w:rsidRPr="002029AF">
        <w:t xml:space="preserve"> </w:t>
      </w:r>
      <w:r w:rsidRPr="002029AF">
        <w:t>engaged</w:t>
      </w:r>
      <w:r w:rsidR="000A5329" w:rsidRPr="002029AF">
        <w:t xml:space="preserve"> </w:t>
      </w:r>
      <w:r w:rsidRPr="002029AF">
        <w:t>during</w:t>
      </w:r>
      <w:r w:rsidR="000A5329" w:rsidRPr="002029AF">
        <w:t xml:space="preserve"> </w:t>
      </w:r>
      <w:r w:rsidRPr="002029AF">
        <w:t>201</w:t>
      </w:r>
      <w:r w:rsidR="00DB53E6" w:rsidRPr="002029AF">
        <w:t>9–</w:t>
      </w:r>
      <w:r w:rsidRPr="002029AF">
        <w:t>20</w:t>
      </w:r>
      <w:r w:rsidR="000A5329" w:rsidRPr="002029AF">
        <w:t xml:space="preserve"> </w:t>
      </w:r>
      <w:r w:rsidRPr="002029AF">
        <w:t>through</w:t>
      </w:r>
      <w:r w:rsidR="000A5329" w:rsidRPr="002029AF">
        <w:t xml:space="preserve"> </w:t>
      </w:r>
      <w:r w:rsidRPr="002029AF">
        <w:t>the</w:t>
      </w:r>
      <w:r w:rsidR="000A5329" w:rsidRPr="002029AF">
        <w:t xml:space="preserve"> </w:t>
      </w:r>
      <w:r w:rsidRPr="002029AF">
        <w:t>supply</w:t>
      </w:r>
      <w:r w:rsidR="000A5329" w:rsidRPr="002029AF">
        <w:t xml:space="preserve"> </w:t>
      </w:r>
      <w:r w:rsidRPr="002029AF">
        <w:t>chains</w:t>
      </w:r>
      <w:r w:rsidR="000A5329" w:rsidRPr="002029AF">
        <w:t xml:space="preserve"> </w:t>
      </w:r>
      <w:r w:rsidRPr="002029AF">
        <w:t>of</w:t>
      </w:r>
      <w:r w:rsidR="000A5329" w:rsidRPr="002029AF">
        <w:t xml:space="preserve"> </w:t>
      </w:r>
      <w:r w:rsidRPr="002029AF">
        <w:t>these</w:t>
      </w:r>
      <w:r w:rsidR="000A5329" w:rsidRPr="002029AF">
        <w:t xml:space="preserve"> </w:t>
      </w:r>
      <w:r w:rsidRPr="002029AF">
        <w:t>projects.</w:t>
      </w:r>
    </w:p>
    <w:p w14:paraId="22D83356" w14:textId="3B4E8867" w:rsidR="00227D05" w:rsidRPr="002029AF" w:rsidRDefault="00227D05" w:rsidP="00B442E2">
      <w:pPr>
        <w:pStyle w:val="ARbody"/>
      </w:pPr>
      <w:r w:rsidRPr="002029AF">
        <w:t>The</w:t>
      </w:r>
      <w:r w:rsidR="000A5329" w:rsidRPr="002029AF">
        <w:t xml:space="preserve"> </w:t>
      </w:r>
      <w:r w:rsidRPr="002029AF">
        <w:t>department</w:t>
      </w:r>
      <w:r w:rsidR="000A5329" w:rsidRPr="002029AF">
        <w:t xml:space="preserve"> </w:t>
      </w:r>
      <w:r w:rsidRPr="002029AF">
        <w:t>commenced</w:t>
      </w:r>
      <w:r w:rsidR="000A5329" w:rsidRPr="002029AF">
        <w:t xml:space="preserve"> </w:t>
      </w:r>
      <w:r w:rsidRPr="002029AF">
        <w:t>six</w:t>
      </w:r>
      <w:r w:rsidR="000A5329" w:rsidRPr="002029AF">
        <w:t xml:space="preserve"> </w:t>
      </w:r>
      <w:r w:rsidRPr="002029AF">
        <w:t>contracts</w:t>
      </w:r>
      <w:r w:rsidR="000A5329" w:rsidRPr="002029AF">
        <w:t xml:space="preserve"> </w:t>
      </w:r>
      <w:r w:rsidRPr="002029AF">
        <w:t>prior</w:t>
      </w:r>
      <w:r w:rsidR="000A5329" w:rsidRPr="002029AF">
        <w:t xml:space="preserve"> </w:t>
      </w:r>
      <w:r w:rsidRPr="002029AF">
        <w:t>to</w:t>
      </w:r>
      <w:r w:rsidR="003048F1">
        <w:t> </w:t>
      </w:r>
      <w:r w:rsidRPr="002029AF">
        <w:t>15</w:t>
      </w:r>
      <w:r w:rsidR="000A5329" w:rsidRPr="002029AF">
        <w:t xml:space="preserve"> </w:t>
      </w:r>
      <w:r w:rsidRPr="002029AF">
        <w:t>August</w:t>
      </w:r>
      <w:r w:rsidR="000A5329" w:rsidRPr="002029AF">
        <w:t xml:space="preserve"> </w:t>
      </w:r>
      <w:r w:rsidRPr="002029AF">
        <w:t>2019</w:t>
      </w:r>
      <w:r w:rsidR="000A5329" w:rsidRPr="002029AF">
        <w:t xml:space="preserve"> </w:t>
      </w:r>
      <w:r w:rsidRPr="002029AF">
        <w:t>with</w:t>
      </w:r>
      <w:r w:rsidR="000A5329" w:rsidRPr="002029AF">
        <w:t xml:space="preserve"> </w:t>
      </w:r>
      <w:r w:rsidRPr="002029AF">
        <w:t>a</w:t>
      </w:r>
      <w:r w:rsidR="000A5329" w:rsidRPr="002029AF">
        <w:t xml:space="preserve"> </w:t>
      </w:r>
      <w:r w:rsidRPr="002029AF">
        <w:t>total</w:t>
      </w:r>
      <w:r w:rsidR="000A5329" w:rsidRPr="002029AF">
        <w:t xml:space="preserve"> </w:t>
      </w:r>
      <w:r w:rsidRPr="002029AF">
        <w:t>of</w:t>
      </w:r>
      <w:r w:rsidR="000A5329" w:rsidRPr="002029AF">
        <w:t xml:space="preserve"> </w:t>
      </w:r>
      <w:r w:rsidRPr="002029AF">
        <w:t>99</w:t>
      </w:r>
      <w:r w:rsidR="000A5329" w:rsidRPr="002029AF">
        <w:t xml:space="preserve"> </w:t>
      </w:r>
      <w:r w:rsidRPr="002029AF">
        <w:t>per</w:t>
      </w:r>
      <w:r w:rsidR="000A5329" w:rsidRPr="002029AF">
        <w:t xml:space="preserve"> </w:t>
      </w:r>
      <w:r w:rsidRPr="002029AF">
        <w:t>cent</w:t>
      </w:r>
      <w:r w:rsidR="000A5329" w:rsidRPr="002029AF">
        <w:t xml:space="preserve"> </w:t>
      </w:r>
      <w:r w:rsidRPr="002029AF">
        <w:t>estimated</w:t>
      </w:r>
      <w:r w:rsidR="000A5329" w:rsidRPr="002029AF">
        <w:t xml:space="preserve"> </w:t>
      </w:r>
      <w:r w:rsidRPr="002029AF">
        <w:t>to</w:t>
      </w:r>
      <w:r w:rsidR="000A5329" w:rsidRPr="002029AF">
        <w:t xml:space="preserve"> </w:t>
      </w:r>
      <w:r w:rsidRPr="002029AF">
        <w:t>be</w:t>
      </w:r>
      <w:r w:rsidR="000A5329" w:rsidRPr="002029AF">
        <w:t xml:space="preserve"> </w:t>
      </w:r>
      <w:r w:rsidRPr="002029AF">
        <w:t>of</w:t>
      </w:r>
      <w:r w:rsidR="000A5329" w:rsidRPr="002029AF">
        <w:t xml:space="preserve"> </w:t>
      </w:r>
      <w:r w:rsidRPr="002029AF">
        <w:t>local</w:t>
      </w:r>
      <w:r w:rsidR="000A5329" w:rsidRPr="002029AF">
        <w:t xml:space="preserve"> </w:t>
      </w:r>
      <w:r w:rsidRPr="002029AF">
        <w:t>content</w:t>
      </w:r>
      <w:r w:rsidR="000A5329" w:rsidRPr="002029AF">
        <w:t xml:space="preserve"> </w:t>
      </w:r>
      <w:r w:rsidRPr="002029AF">
        <w:t>for</w:t>
      </w:r>
      <w:r w:rsidR="000A5329" w:rsidRPr="002029AF">
        <w:t xml:space="preserve"> </w:t>
      </w:r>
      <w:r w:rsidRPr="002029AF">
        <w:t>which</w:t>
      </w:r>
      <w:r w:rsidR="000A5329" w:rsidRPr="002029AF">
        <w:t xml:space="preserve"> </w:t>
      </w:r>
      <w:r w:rsidRPr="002029AF">
        <w:t>a</w:t>
      </w:r>
      <w:r w:rsidR="000A5329" w:rsidRPr="002029AF">
        <w:t xml:space="preserve"> </w:t>
      </w:r>
      <w:r w:rsidRPr="002029AF">
        <w:t>VIPP</w:t>
      </w:r>
      <w:r w:rsidR="000A5329" w:rsidRPr="002029AF">
        <w:t xml:space="preserve"> </w:t>
      </w:r>
      <w:r w:rsidRPr="002029AF">
        <w:t>Plan</w:t>
      </w:r>
      <w:r w:rsidR="000A5329" w:rsidRPr="002029AF">
        <w:t xml:space="preserve"> </w:t>
      </w:r>
      <w:r w:rsidRPr="002029AF">
        <w:t>or</w:t>
      </w:r>
      <w:r w:rsidR="000A5329" w:rsidRPr="002029AF">
        <w:t xml:space="preserve"> </w:t>
      </w:r>
      <w:r w:rsidRPr="002029AF">
        <w:t>LIDP</w:t>
      </w:r>
      <w:r w:rsidR="000A5329" w:rsidRPr="002029AF">
        <w:t xml:space="preserve"> </w:t>
      </w:r>
      <w:r w:rsidRPr="002029AF">
        <w:t>was</w:t>
      </w:r>
      <w:r w:rsidR="000A5329" w:rsidRPr="002029AF">
        <w:t xml:space="preserve"> </w:t>
      </w:r>
      <w:r w:rsidRPr="002029AF">
        <w:t>not</w:t>
      </w:r>
      <w:r w:rsidR="000A5329" w:rsidRPr="002029AF">
        <w:t xml:space="preserve"> </w:t>
      </w:r>
      <w:r w:rsidRPr="002029AF">
        <w:t>required,</w:t>
      </w:r>
      <w:r w:rsidR="000A5329" w:rsidRPr="002029AF">
        <w:t xml:space="preserve"> </w:t>
      </w:r>
      <w:r w:rsidRPr="002029AF">
        <w:t>as</w:t>
      </w:r>
      <w:r w:rsidR="000A5329" w:rsidRPr="002029AF">
        <w:t xml:space="preserve"> </w:t>
      </w:r>
      <w:r w:rsidRPr="002029AF">
        <w:t>the</w:t>
      </w:r>
      <w:r w:rsidR="000A5329" w:rsidRPr="002029AF">
        <w:t xml:space="preserve"> </w:t>
      </w:r>
      <w:r w:rsidRPr="002029AF">
        <w:t>procurement</w:t>
      </w:r>
      <w:r w:rsidR="000A5329" w:rsidRPr="002029AF">
        <w:t xml:space="preserve"> </w:t>
      </w:r>
      <w:r w:rsidRPr="002029AF">
        <w:t>activity</w:t>
      </w:r>
      <w:r w:rsidR="000A5329" w:rsidRPr="002029AF">
        <w:t xml:space="preserve"> </w:t>
      </w:r>
      <w:r w:rsidRPr="002029AF">
        <w:t>was</w:t>
      </w:r>
      <w:r w:rsidR="000A5329" w:rsidRPr="002029AF">
        <w:t xml:space="preserve"> </w:t>
      </w:r>
      <w:r w:rsidRPr="002029AF">
        <w:t>local</w:t>
      </w:r>
      <w:r w:rsidR="000A5329" w:rsidRPr="002029AF">
        <w:t xml:space="preserve"> </w:t>
      </w:r>
      <w:r w:rsidRPr="002029AF">
        <w:t>by</w:t>
      </w:r>
      <w:r w:rsidR="000A5329" w:rsidRPr="002029AF">
        <w:t xml:space="preserve"> </w:t>
      </w:r>
      <w:r w:rsidRPr="002029AF">
        <w:t>nature.</w:t>
      </w:r>
    </w:p>
    <w:p w14:paraId="2C05340F" w14:textId="6119C7B5" w:rsidR="00CF72D5" w:rsidRPr="002029AF" w:rsidRDefault="00183BAA" w:rsidP="00897193">
      <w:pPr>
        <w:pStyle w:val="Heading2"/>
      </w:pPr>
      <w:bookmarkStart w:id="110" w:name="_Ref492915509"/>
      <w:bookmarkStart w:id="111" w:name="_Toc54690782"/>
      <w:r w:rsidRPr="002029AF">
        <w:t>Dep</w:t>
      </w:r>
      <w:r w:rsidR="00CF72D5" w:rsidRPr="002029AF">
        <w:t>artment</w:t>
      </w:r>
      <w:r w:rsidR="000A5329" w:rsidRPr="002029AF">
        <w:t xml:space="preserve"> </w:t>
      </w:r>
      <w:r w:rsidR="00CF72D5" w:rsidRPr="002029AF">
        <w:t>of</w:t>
      </w:r>
      <w:r w:rsidR="000A5329" w:rsidRPr="002029AF">
        <w:t xml:space="preserve"> </w:t>
      </w:r>
      <w:r w:rsidR="00CF72D5" w:rsidRPr="002029AF">
        <w:t>Health</w:t>
      </w:r>
      <w:r w:rsidR="000A5329" w:rsidRPr="002029AF">
        <w:t xml:space="preserve"> </w:t>
      </w:r>
      <w:r w:rsidR="00CF72D5" w:rsidRPr="002029AF">
        <w:t>and</w:t>
      </w:r>
      <w:r w:rsidR="000A5329" w:rsidRPr="002029AF">
        <w:t xml:space="preserve"> </w:t>
      </w:r>
      <w:r w:rsidR="00CF72D5" w:rsidRPr="002029AF">
        <w:t>Human</w:t>
      </w:r>
      <w:r w:rsidR="000A5329" w:rsidRPr="002029AF">
        <w:t xml:space="preserve"> </w:t>
      </w:r>
      <w:r w:rsidR="00CF72D5" w:rsidRPr="002029AF">
        <w:t>Services</w:t>
      </w:r>
      <w:r w:rsidR="000A5329" w:rsidRPr="002029AF">
        <w:t xml:space="preserve"> </w:t>
      </w:r>
      <w:r w:rsidR="00CF72D5" w:rsidRPr="002029AF">
        <w:t>compliance</w:t>
      </w:r>
      <w:r w:rsidR="000A5329" w:rsidRPr="002029AF">
        <w:t xml:space="preserve"> </w:t>
      </w:r>
      <w:r w:rsidR="00CF72D5" w:rsidRPr="002029AF">
        <w:t>with</w:t>
      </w:r>
      <w:r w:rsidR="000A5329" w:rsidRPr="002029AF">
        <w:t xml:space="preserve"> </w:t>
      </w:r>
      <w:r w:rsidR="00CF72D5" w:rsidRPr="002029AF">
        <w:t>DataVic</w:t>
      </w:r>
      <w:r w:rsidR="000A5329" w:rsidRPr="002029AF">
        <w:t xml:space="preserve"> </w:t>
      </w:r>
      <w:r w:rsidR="00CF72D5" w:rsidRPr="002029AF">
        <w:t>access</w:t>
      </w:r>
      <w:r w:rsidR="000A5329" w:rsidRPr="002029AF">
        <w:t xml:space="preserve"> </w:t>
      </w:r>
      <w:r w:rsidR="00CF72D5" w:rsidRPr="002029AF">
        <w:t>policy</w:t>
      </w:r>
      <w:bookmarkEnd w:id="110"/>
      <w:bookmarkEnd w:id="111"/>
    </w:p>
    <w:p w14:paraId="5EAAE54F" w14:textId="6D18FF4D" w:rsidR="00CF72D5" w:rsidRPr="002029AF" w:rsidRDefault="00CF72D5" w:rsidP="00897193">
      <w:pPr>
        <w:pStyle w:val="ARbody"/>
      </w:pPr>
      <w:r w:rsidRPr="002029AF">
        <w:t>Consistent</w:t>
      </w:r>
      <w:r w:rsidR="000A5329" w:rsidRPr="002029AF">
        <w:t xml:space="preserve"> </w:t>
      </w:r>
      <w:r w:rsidRPr="002029AF">
        <w:t>with</w:t>
      </w:r>
      <w:r w:rsidR="000A5329" w:rsidRPr="002029AF">
        <w:t xml:space="preserve"> </w:t>
      </w:r>
      <w:r w:rsidRPr="002029AF">
        <w:t>the</w:t>
      </w:r>
      <w:r w:rsidR="000A5329" w:rsidRPr="002029AF">
        <w:t xml:space="preserve"> </w:t>
      </w:r>
      <w:r w:rsidRPr="002029AF">
        <w:rPr>
          <w:i/>
        </w:rPr>
        <w:t>DataVic</w:t>
      </w:r>
      <w:r w:rsidR="000A5329" w:rsidRPr="002029AF">
        <w:rPr>
          <w:i/>
        </w:rPr>
        <w:t xml:space="preserve"> </w:t>
      </w:r>
      <w:r w:rsidRPr="002029AF">
        <w:rPr>
          <w:i/>
        </w:rPr>
        <w:t>access</w:t>
      </w:r>
      <w:r w:rsidR="000A5329" w:rsidRPr="002029AF">
        <w:rPr>
          <w:i/>
        </w:rPr>
        <w:t xml:space="preserve"> </w:t>
      </w:r>
      <w:r w:rsidRPr="002029AF">
        <w:rPr>
          <w:i/>
        </w:rPr>
        <w:t>policy</w:t>
      </w:r>
      <w:r w:rsidR="000A5329" w:rsidRPr="002029AF">
        <w:t xml:space="preserve"> </w:t>
      </w:r>
      <w:r w:rsidRPr="002029AF">
        <w:t>issued</w:t>
      </w:r>
      <w:r w:rsidR="00286264" w:rsidRPr="002029AF">
        <w:t> </w:t>
      </w:r>
      <w:r w:rsidRPr="002029AF">
        <w:t>by</w:t>
      </w:r>
      <w:r w:rsidR="000A5329" w:rsidRPr="002029AF">
        <w:t xml:space="preserve"> </w:t>
      </w:r>
      <w:r w:rsidRPr="002029AF">
        <w:t>the</w:t>
      </w:r>
      <w:r w:rsidR="000A5329" w:rsidRPr="002029AF">
        <w:t xml:space="preserve"> </w:t>
      </w:r>
      <w:r w:rsidRPr="002029AF">
        <w:t>Victorian</w:t>
      </w:r>
      <w:r w:rsidR="000A5329" w:rsidRPr="002029AF">
        <w:t xml:space="preserve"> </w:t>
      </w:r>
      <w:r w:rsidRPr="002029AF">
        <w:t>Government</w:t>
      </w:r>
      <w:r w:rsidR="000A5329" w:rsidRPr="002029AF">
        <w:t xml:space="preserve"> </w:t>
      </w:r>
      <w:r w:rsidRPr="002029AF">
        <w:t>in</w:t>
      </w:r>
      <w:r w:rsidR="000A5329" w:rsidRPr="002029AF">
        <w:t xml:space="preserve"> </w:t>
      </w:r>
      <w:r w:rsidRPr="002029AF">
        <w:t>2012,</w:t>
      </w:r>
      <w:r w:rsidR="000A5329" w:rsidRPr="002029AF">
        <w:t xml:space="preserve"> </w:t>
      </w:r>
      <w:r w:rsidRPr="002029AF">
        <w:t>the</w:t>
      </w:r>
      <w:r w:rsidR="000A5329" w:rsidRPr="002029AF">
        <w:t xml:space="preserve"> </w:t>
      </w:r>
      <w:r w:rsidRPr="002029AF">
        <w:t>information</w:t>
      </w:r>
      <w:r w:rsidR="000A5329" w:rsidRPr="002029AF">
        <w:t xml:space="preserve"> </w:t>
      </w:r>
      <w:r w:rsidRPr="002029AF">
        <w:t>included</w:t>
      </w:r>
      <w:r w:rsidR="000A5329" w:rsidRPr="002029AF">
        <w:t xml:space="preserve"> </w:t>
      </w:r>
      <w:r w:rsidRPr="002029AF">
        <w:t>in</w:t>
      </w:r>
      <w:r w:rsidR="000A5329" w:rsidRPr="002029AF">
        <w:t xml:space="preserve"> </w:t>
      </w:r>
      <w:r w:rsidRPr="002029AF">
        <w:t>this</w:t>
      </w:r>
      <w:r w:rsidR="000A5329" w:rsidRPr="002029AF">
        <w:t xml:space="preserve"> </w:t>
      </w:r>
      <w:r w:rsidRPr="002029AF">
        <w:t>annual</w:t>
      </w:r>
      <w:r w:rsidR="000A5329" w:rsidRPr="002029AF">
        <w:t xml:space="preserve"> </w:t>
      </w:r>
      <w:r w:rsidRPr="002029AF">
        <w:t>report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in</w:t>
      </w:r>
      <w:r w:rsidR="000A5329" w:rsidRPr="002029AF">
        <w:t xml:space="preserve"> </w:t>
      </w:r>
      <w:r w:rsidRPr="002029AF">
        <w:t>machine</w:t>
      </w:r>
      <w:r w:rsidR="000A5329" w:rsidRPr="002029AF">
        <w:t xml:space="preserve"> </w:t>
      </w:r>
      <w:r w:rsidRPr="002029AF">
        <w:t>readable</w:t>
      </w:r>
      <w:r w:rsidR="000A5329" w:rsidRPr="002029AF">
        <w:t xml:space="preserve"> </w:t>
      </w:r>
      <w:r w:rsidRPr="002029AF">
        <w:t>format</w:t>
      </w:r>
      <w:r w:rsidR="000A5329" w:rsidRPr="002029AF">
        <w:t xml:space="preserve"> </w:t>
      </w:r>
      <w:r w:rsidRPr="002029AF">
        <w:t>at</w:t>
      </w:r>
      <w:r w:rsidR="000A5329" w:rsidRPr="002029AF">
        <w:t xml:space="preserve"> </w:t>
      </w:r>
      <w:hyperlink r:id="rId136" w:history="1">
        <w:r w:rsidRPr="002029AF">
          <w:rPr>
            <w:rStyle w:val="Hyperlink"/>
          </w:rPr>
          <w:t>Data</w:t>
        </w:r>
        <w:r w:rsidR="000A5329" w:rsidRPr="002029AF">
          <w:rPr>
            <w:rStyle w:val="Hyperlink"/>
          </w:rPr>
          <w:t xml:space="preserve"> </w:t>
        </w:r>
        <w:r w:rsidRPr="002029AF">
          <w:rPr>
            <w:rStyle w:val="Hyperlink"/>
          </w:rPr>
          <w:t>Vic</w:t>
        </w:r>
      </w:hyperlink>
      <w:r w:rsidR="000A5329" w:rsidRPr="002029AF">
        <w:t xml:space="preserve"> </w:t>
      </w:r>
      <w:r w:rsidRPr="002029AF">
        <w:t>&lt;http://www.data.vic.gov.au&gt;.</w:t>
      </w:r>
    </w:p>
    <w:p w14:paraId="7B46B0F6" w14:textId="730720BC" w:rsidR="00CF72D5" w:rsidRPr="002029AF" w:rsidRDefault="00CF72D5" w:rsidP="00897193">
      <w:pPr>
        <w:pStyle w:val="ARbody"/>
      </w:pPr>
      <w:r w:rsidRPr="002029AF">
        <w:t>An</w:t>
      </w:r>
      <w:r w:rsidR="000A5329" w:rsidRPr="002029AF">
        <w:t xml:space="preserve"> </w:t>
      </w:r>
      <w:r w:rsidRPr="002029AF">
        <w:t>extract</w:t>
      </w:r>
      <w:r w:rsidR="000A5329" w:rsidRPr="002029AF">
        <w:t xml:space="preserve"> </w:t>
      </w:r>
      <w:r w:rsidRPr="002029AF">
        <w:t>of</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information</w:t>
      </w:r>
      <w:r w:rsidR="000A5329" w:rsidRPr="002029AF">
        <w:t xml:space="preserve"> </w:t>
      </w:r>
      <w:r w:rsidRPr="002029AF">
        <w:t>asset</w:t>
      </w:r>
      <w:r w:rsidR="00BE22D9">
        <w:t> </w:t>
      </w:r>
      <w:r w:rsidRPr="002029AF">
        <w:t>register</w:t>
      </w:r>
      <w:r w:rsidR="000A5329" w:rsidRPr="002029AF">
        <w:t xml:space="preserve"> </w:t>
      </w:r>
      <w:r w:rsidRPr="002029AF">
        <w:t>is</w:t>
      </w:r>
      <w:r w:rsidR="000A5329" w:rsidRPr="002029AF">
        <w:t xml:space="preserve"> </w:t>
      </w:r>
      <w:r w:rsidRPr="002029AF">
        <w:t>published</w:t>
      </w:r>
      <w:r w:rsidR="000A5329" w:rsidRPr="002029AF">
        <w:t xml:space="preserve"> </w:t>
      </w:r>
      <w:r w:rsidRPr="002029AF">
        <w:t>on</w:t>
      </w:r>
      <w:r w:rsidR="000A5329" w:rsidRPr="002029AF">
        <w:t xml:space="preserve"> </w:t>
      </w:r>
      <w:r w:rsidRPr="002029AF">
        <w:t>the</w:t>
      </w:r>
      <w:r w:rsidR="000A5329" w:rsidRPr="002029AF">
        <w:t xml:space="preserve"> </w:t>
      </w:r>
      <w:r w:rsidRPr="00BE22D9">
        <w:t>department’s</w:t>
      </w:r>
      <w:r w:rsidR="000A5329" w:rsidRPr="00BE22D9">
        <w:t xml:space="preserve"> </w:t>
      </w:r>
      <w:r w:rsidRPr="00BE22D9">
        <w:t>website</w:t>
      </w:r>
      <w:r w:rsidR="00BE22D9">
        <w:t>:</w:t>
      </w:r>
      <w:r w:rsidR="000A5329" w:rsidRPr="002029AF">
        <w:t xml:space="preserve"> </w:t>
      </w:r>
      <w:hyperlink r:id="rId137" w:history="1">
        <w:r w:rsidR="00BE22D9" w:rsidRPr="00BE22D9">
          <w:rPr>
            <w:rStyle w:val="Hyperlink"/>
          </w:rPr>
          <w:t>Information Asset Register – public</w:t>
        </w:r>
      </w:hyperlink>
      <w:r w:rsidR="00BE22D9">
        <w:t xml:space="preserve"> </w:t>
      </w:r>
      <w:r w:rsidRPr="002029AF">
        <w:t>&lt;https://www.dhhs.vic.gov.au/department-health-and-human-services-information-asset-register-public&gt;</w:t>
      </w:r>
      <w:r w:rsidR="00BE22D9">
        <w:t>. C</w:t>
      </w:r>
      <w:r w:rsidRPr="002029AF">
        <w:t>ontact</w:t>
      </w:r>
      <w:r w:rsidR="000A5329" w:rsidRPr="002029AF">
        <w:t xml:space="preserve"> </w:t>
      </w:r>
      <w:r w:rsidRPr="002029AF">
        <w:t>details</w:t>
      </w:r>
      <w:r w:rsidR="000A5329" w:rsidRPr="002029AF">
        <w:t xml:space="preserve"> </w:t>
      </w:r>
      <w:r w:rsidRPr="002029AF">
        <w:t>for</w:t>
      </w:r>
      <w:r w:rsidR="000A5329" w:rsidRPr="002029AF">
        <w:t xml:space="preserve"> </w:t>
      </w:r>
      <w:r w:rsidRPr="002029AF">
        <w:t>requesting</w:t>
      </w:r>
      <w:r w:rsidR="000A5329" w:rsidRPr="002029AF">
        <w:t xml:space="preserve"> </w:t>
      </w:r>
      <w:r w:rsidRPr="002029AF">
        <w:t>data</w:t>
      </w:r>
      <w:r w:rsidR="000A5329" w:rsidRPr="002029AF">
        <w:t xml:space="preserve"> </w:t>
      </w:r>
      <w:r w:rsidRPr="002029AF">
        <w:t>are</w:t>
      </w:r>
      <w:r w:rsidR="000A5329" w:rsidRPr="002029AF">
        <w:t xml:space="preserve"> </w:t>
      </w:r>
      <w:r w:rsidRPr="002029AF">
        <w:t>included</w:t>
      </w:r>
      <w:r w:rsidR="000A5329" w:rsidRPr="002029AF">
        <w:t xml:space="preserve"> </w:t>
      </w:r>
      <w:r w:rsidRPr="002029AF">
        <w:t>against</w:t>
      </w:r>
      <w:r w:rsidR="000A5329" w:rsidRPr="002029AF">
        <w:t xml:space="preserve"> </w:t>
      </w:r>
      <w:r w:rsidRPr="002029AF">
        <w:t>the</w:t>
      </w:r>
      <w:r w:rsidR="000A5329" w:rsidRPr="002029AF">
        <w:t xml:space="preserve"> </w:t>
      </w:r>
      <w:r w:rsidRPr="002029AF">
        <w:t>assets.</w:t>
      </w:r>
    </w:p>
    <w:p w14:paraId="61FFBD29" w14:textId="1D0EFD6F" w:rsidR="00CF72D5" w:rsidRPr="002029AF" w:rsidRDefault="00CF72D5" w:rsidP="00897193">
      <w:pPr>
        <w:pStyle w:val="ARbody"/>
      </w:pPr>
      <w:r w:rsidRPr="002029AF">
        <w:t>Summarised</w:t>
      </w:r>
      <w:r w:rsidR="000A5329" w:rsidRPr="002029AF">
        <w:t xml:space="preserve"> </w:t>
      </w:r>
      <w:r w:rsidRPr="002029AF">
        <w:t>data</w:t>
      </w:r>
      <w:r w:rsidR="000A5329" w:rsidRPr="002029AF">
        <w:t xml:space="preserve"> </w:t>
      </w:r>
      <w:r w:rsidRPr="002029AF">
        <w:t>published</w:t>
      </w:r>
      <w:r w:rsidR="000A5329" w:rsidRPr="002029AF">
        <w:t xml:space="preserve"> </w:t>
      </w:r>
      <w:r w:rsidRPr="002029AF">
        <w:t>by</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is</w:t>
      </w:r>
      <w:r w:rsidR="000A5329" w:rsidRPr="002029AF">
        <w:t xml:space="preserve"> </w:t>
      </w:r>
      <w:r w:rsidRPr="002029AF">
        <w:t>available</w:t>
      </w:r>
      <w:r w:rsidR="000A5329" w:rsidRPr="002029AF">
        <w:t xml:space="preserve"> </w:t>
      </w:r>
      <w:r w:rsidRPr="002029AF">
        <w:t>on</w:t>
      </w:r>
      <w:r w:rsidR="000A5329" w:rsidRPr="002029AF">
        <w:t xml:space="preserve"> </w:t>
      </w:r>
      <w:r w:rsidRPr="002029AF">
        <w:t>numerous</w:t>
      </w:r>
      <w:r w:rsidR="000A5329" w:rsidRPr="002029AF">
        <w:t xml:space="preserve"> </w:t>
      </w:r>
      <w:r w:rsidRPr="002029AF">
        <w:t>pages</w:t>
      </w:r>
      <w:r w:rsidR="000A5329" w:rsidRPr="002029AF">
        <w:t xml:space="preserve"> </w:t>
      </w:r>
      <w:r w:rsidRPr="002029AF">
        <w:t>on</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website.</w:t>
      </w:r>
      <w:r w:rsidR="000A5329" w:rsidRPr="002029AF">
        <w:t xml:space="preserve"> </w:t>
      </w:r>
      <w:r w:rsidRPr="002029AF">
        <w:t>A</w:t>
      </w:r>
      <w:r w:rsidR="000A5329" w:rsidRPr="002029AF">
        <w:t xml:space="preserve"> </w:t>
      </w:r>
      <w:r w:rsidRPr="002029AF">
        <w:t>significant</w:t>
      </w:r>
      <w:r w:rsidR="000A5329" w:rsidRPr="002029AF">
        <w:t xml:space="preserve"> </w:t>
      </w:r>
      <w:r w:rsidRPr="002029AF">
        <w:t>amount</w:t>
      </w:r>
      <w:r w:rsidR="000A5329" w:rsidRPr="002029AF">
        <w:t xml:space="preserve"> </w:t>
      </w:r>
      <w:r w:rsidRPr="002029AF">
        <w:t>of</w:t>
      </w:r>
      <w:r w:rsidR="000A5329" w:rsidRPr="002029AF">
        <w:t xml:space="preserve"> </w:t>
      </w:r>
      <w:r w:rsidRPr="002029AF">
        <w:t>information</w:t>
      </w:r>
      <w:r w:rsidR="000A5329" w:rsidRPr="002029AF">
        <w:t xml:space="preserve"> </w:t>
      </w:r>
      <w:r w:rsidRPr="002029AF">
        <w:t>is</w:t>
      </w:r>
      <w:r w:rsidR="000A5329" w:rsidRPr="002029AF">
        <w:t xml:space="preserve"> </w:t>
      </w:r>
      <w:r w:rsidRPr="002029AF">
        <w:t>accessible</w:t>
      </w:r>
      <w:r w:rsidR="000A5329" w:rsidRPr="002029AF">
        <w:t xml:space="preserve"> </w:t>
      </w:r>
      <w:r w:rsidRPr="002029AF">
        <w:t>via:</w:t>
      </w:r>
    </w:p>
    <w:p w14:paraId="2B08A809" w14:textId="737FBE8F" w:rsidR="00CF72D5" w:rsidRPr="002029AF" w:rsidRDefault="00CF72D5" w:rsidP="00897193">
      <w:pPr>
        <w:pStyle w:val="ARbullet1"/>
      </w:pPr>
      <w:r w:rsidRPr="002029AF">
        <w:t>the</w:t>
      </w:r>
      <w:r w:rsidR="000A5329" w:rsidRPr="002029AF">
        <w:t xml:space="preserve"> </w:t>
      </w:r>
      <w:hyperlink r:id="rId138" w:history="1">
        <w:r w:rsidRPr="002029AF">
          <w:rPr>
            <w:rStyle w:val="Hyperlink"/>
          </w:rPr>
          <w:t>Victorian</w:t>
        </w:r>
        <w:r w:rsidR="000A5329" w:rsidRPr="002029AF">
          <w:rPr>
            <w:rStyle w:val="Hyperlink"/>
          </w:rPr>
          <w:t xml:space="preserve"> </w:t>
        </w:r>
        <w:r w:rsidRPr="002029AF">
          <w:rPr>
            <w:rStyle w:val="Hyperlink"/>
          </w:rPr>
          <w:t>Agency</w:t>
        </w:r>
        <w:r w:rsidR="000A5329" w:rsidRPr="002029AF">
          <w:rPr>
            <w:rStyle w:val="Hyperlink"/>
          </w:rPr>
          <w:t xml:space="preserve"> </w:t>
        </w:r>
        <w:r w:rsidRPr="002029AF">
          <w:rPr>
            <w:rStyle w:val="Hyperlink"/>
          </w:rPr>
          <w:t>for</w:t>
        </w:r>
        <w:r w:rsidR="000A5329" w:rsidRPr="002029AF">
          <w:rPr>
            <w:rStyle w:val="Hyperlink"/>
          </w:rPr>
          <w:t xml:space="preserve"> </w:t>
        </w:r>
        <w:r w:rsidRPr="002029AF">
          <w:rPr>
            <w:rStyle w:val="Hyperlink"/>
          </w:rPr>
          <w:t>Health</w:t>
        </w:r>
        <w:r w:rsidR="000A5329" w:rsidRPr="002029AF">
          <w:rPr>
            <w:rStyle w:val="Hyperlink"/>
          </w:rPr>
          <w:t xml:space="preserve"> </w:t>
        </w:r>
        <w:r w:rsidRPr="002029AF">
          <w:rPr>
            <w:rStyle w:val="Hyperlink"/>
          </w:rPr>
          <w:t>Information</w:t>
        </w:r>
        <w:r w:rsidR="000A5329" w:rsidRPr="002029AF">
          <w:rPr>
            <w:rStyle w:val="Hyperlink"/>
          </w:rPr>
          <w:t xml:space="preserve"> </w:t>
        </w:r>
        <w:r w:rsidRPr="002029AF">
          <w:rPr>
            <w:rStyle w:val="Hyperlink"/>
          </w:rPr>
          <w:t>–</w:t>
        </w:r>
        <w:r w:rsidR="000A5329" w:rsidRPr="002029AF">
          <w:rPr>
            <w:rStyle w:val="Hyperlink"/>
          </w:rPr>
          <w:t xml:space="preserve"> </w:t>
        </w:r>
        <w:r w:rsidRPr="002029AF">
          <w:rPr>
            <w:rStyle w:val="Hyperlink"/>
          </w:rPr>
          <w:t>Victorian</w:t>
        </w:r>
        <w:r w:rsidR="000A5329" w:rsidRPr="002029AF">
          <w:rPr>
            <w:rStyle w:val="Hyperlink"/>
          </w:rPr>
          <w:t xml:space="preserve"> </w:t>
        </w:r>
        <w:r w:rsidRPr="002029AF">
          <w:rPr>
            <w:rStyle w:val="Hyperlink"/>
          </w:rPr>
          <w:t>Health</w:t>
        </w:r>
        <w:r w:rsidR="000A5329" w:rsidRPr="002029AF">
          <w:rPr>
            <w:rStyle w:val="Hyperlink"/>
          </w:rPr>
          <w:t xml:space="preserve"> </w:t>
        </w:r>
        <w:r w:rsidRPr="002029AF">
          <w:rPr>
            <w:rStyle w:val="Hyperlink"/>
          </w:rPr>
          <w:t>Services</w:t>
        </w:r>
        <w:r w:rsidR="000A5329" w:rsidRPr="002029AF">
          <w:rPr>
            <w:rStyle w:val="Hyperlink"/>
          </w:rPr>
          <w:t xml:space="preserve"> </w:t>
        </w:r>
        <w:r w:rsidRPr="002029AF">
          <w:rPr>
            <w:rStyle w:val="Hyperlink"/>
          </w:rPr>
          <w:t>Performance</w:t>
        </w:r>
      </w:hyperlink>
      <w:r w:rsidR="000A5329" w:rsidRPr="002029AF">
        <w:t xml:space="preserve"> </w:t>
      </w:r>
      <w:r w:rsidRPr="002029AF">
        <w:t>&lt;http://performance.health.vic.gov.au&gt;</w:t>
      </w:r>
    </w:p>
    <w:p w14:paraId="06232875" w14:textId="06BE744E" w:rsidR="00CF72D5" w:rsidRPr="002029AF" w:rsidRDefault="00F3275D" w:rsidP="00897193">
      <w:pPr>
        <w:pStyle w:val="ARbullet1"/>
      </w:pPr>
      <w:hyperlink r:id="rId139" w:history="1">
        <w:r w:rsidR="00CF72D5" w:rsidRPr="002029AF">
          <w:rPr>
            <w:rStyle w:val="Hyperlink"/>
          </w:rPr>
          <w:t>health.vic</w:t>
        </w:r>
        <w:r w:rsidR="000A5329" w:rsidRPr="002029AF">
          <w:rPr>
            <w:rStyle w:val="Hyperlink"/>
          </w:rPr>
          <w:t xml:space="preserve"> </w:t>
        </w:r>
        <w:r w:rsidR="00CF72D5" w:rsidRPr="002029AF">
          <w:rPr>
            <w:rStyle w:val="Hyperlink"/>
          </w:rPr>
          <w:t>–</w:t>
        </w:r>
        <w:r w:rsidR="000A5329" w:rsidRPr="002029AF">
          <w:rPr>
            <w:rStyle w:val="Hyperlink"/>
          </w:rPr>
          <w:t xml:space="preserve"> </w:t>
        </w:r>
        <w:r w:rsidR="00CF72D5" w:rsidRPr="002029AF">
          <w:rPr>
            <w:rStyle w:val="Hyperlink"/>
          </w:rPr>
          <w:t>Reporting,</w:t>
        </w:r>
        <w:r w:rsidR="000A5329" w:rsidRPr="002029AF">
          <w:rPr>
            <w:rStyle w:val="Hyperlink"/>
          </w:rPr>
          <w:t xml:space="preserve"> </w:t>
        </w:r>
        <w:r w:rsidR="00CF72D5" w:rsidRPr="002029AF">
          <w:rPr>
            <w:rStyle w:val="Hyperlink"/>
          </w:rPr>
          <w:t>planning</w:t>
        </w:r>
        <w:r w:rsidR="000A5329" w:rsidRPr="002029AF">
          <w:rPr>
            <w:rStyle w:val="Hyperlink"/>
          </w:rPr>
          <w:t xml:space="preserve"> </w:t>
        </w:r>
        <w:r w:rsidR="00CF72D5" w:rsidRPr="002029AF">
          <w:rPr>
            <w:rStyle w:val="Hyperlink"/>
          </w:rPr>
          <w:t>and</w:t>
        </w:r>
        <w:r w:rsidR="000A5329" w:rsidRPr="002029AF">
          <w:rPr>
            <w:rStyle w:val="Hyperlink"/>
          </w:rPr>
          <w:t xml:space="preserve"> </w:t>
        </w:r>
        <w:r w:rsidR="00CF72D5" w:rsidRPr="002029AF">
          <w:rPr>
            <w:rStyle w:val="Hyperlink"/>
          </w:rPr>
          <w:t>data</w:t>
        </w:r>
      </w:hyperlink>
      <w:r w:rsidR="000A5329" w:rsidRPr="002029AF">
        <w:t xml:space="preserve"> </w:t>
      </w:r>
      <w:r w:rsidR="00CF72D5" w:rsidRPr="002029AF">
        <w:t>&lt;https://www2.health.vic.gov.au/about/reporting-planning-data&gt;</w:t>
      </w:r>
    </w:p>
    <w:p w14:paraId="0DD3B30D" w14:textId="53808DA8" w:rsidR="00CF72D5" w:rsidRPr="002029AF" w:rsidRDefault="00F3275D" w:rsidP="00897193">
      <w:pPr>
        <w:pStyle w:val="ARbullet1"/>
      </w:pPr>
      <w:hyperlink r:id="rId140" w:history="1">
        <w:r w:rsidR="00CF72D5" w:rsidRPr="002029AF">
          <w:rPr>
            <w:rStyle w:val="Hyperlink"/>
          </w:rPr>
          <w:t>health.vic</w:t>
        </w:r>
        <w:r w:rsidR="000A5329" w:rsidRPr="002029AF">
          <w:rPr>
            <w:rStyle w:val="Hyperlink"/>
          </w:rPr>
          <w:t xml:space="preserve"> </w:t>
        </w:r>
        <w:r w:rsidR="00CF72D5" w:rsidRPr="002029AF">
          <w:rPr>
            <w:rStyle w:val="Hyperlink"/>
          </w:rPr>
          <w:t>–</w:t>
        </w:r>
        <w:r w:rsidR="000A5329" w:rsidRPr="002029AF">
          <w:rPr>
            <w:rStyle w:val="Hyperlink"/>
          </w:rPr>
          <w:t xml:space="preserve"> </w:t>
        </w:r>
        <w:r w:rsidR="00CF72D5" w:rsidRPr="002029AF">
          <w:rPr>
            <w:rStyle w:val="Hyperlink"/>
          </w:rPr>
          <w:t>Public</w:t>
        </w:r>
        <w:r w:rsidR="000A5329" w:rsidRPr="002029AF">
          <w:rPr>
            <w:rStyle w:val="Hyperlink"/>
          </w:rPr>
          <w:t xml:space="preserve"> </w:t>
        </w:r>
        <w:r w:rsidR="00CF72D5" w:rsidRPr="002029AF">
          <w:rPr>
            <w:rStyle w:val="Hyperlink"/>
          </w:rPr>
          <w:t>health</w:t>
        </w:r>
      </w:hyperlink>
      <w:r w:rsidR="000A5329" w:rsidRPr="002029AF">
        <w:t xml:space="preserve"> </w:t>
      </w:r>
      <w:r w:rsidR="00CF72D5" w:rsidRPr="002029AF">
        <w:t>&lt;https://www2.health.vic.gov.au/public-health&gt;</w:t>
      </w:r>
    </w:p>
    <w:p w14:paraId="0D88A316" w14:textId="05C73E27" w:rsidR="00CF72D5" w:rsidRPr="002029AF" w:rsidRDefault="00F3275D" w:rsidP="00897193">
      <w:pPr>
        <w:pStyle w:val="ARbullet1"/>
      </w:pPr>
      <w:hyperlink r:id="rId141" w:history="1">
        <w:r w:rsidR="00CF72D5" w:rsidRPr="002029AF">
          <w:rPr>
            <w:rStyle w:val="Hyperlink"/>
          </w:rPr>
          <w:t>Health</w:t>
        </w:r>
        <w:r w:rsidR="000A5329" w:rsidRPr="002029AF">
          <w:rPr>
            <w:rStyle w:val="Hyperlink"/>
          </w:rPr>
          <w:t xml:space="preserve"> </w:t>
        </w:r>
        <w:r w:rsidR="00CF72D5" w:rsidRPr="002029AF">
          <w:rPr>
            <w:rStyle w:val="Hyperlink"/>
          </w:rPr>
          <w:t>and</w:t>
        </w:r>
        <w:r w:rsidR="000A5329" w:rsidRPr="002029AF">
          <w:rPr>
            <w:rStyle w:val="Hyperlink"/>
          </w:rPr>
          <w:t xml:space="preserve"> </w:t>
        </w:r>
        <w:r w:rsidR="00CF72D5" w:rsidRPr="002029AF">
          <w:rPr>
            <w:rStyle w:val="Hyperlink"/>
          </w:rPr>
          <w:t>Human</w:t>
        </w:r>
        <w:r w:rsidR="000A5329" w:rsidRPr="002029AF">
          <w:rPr>
            <w:rStyle w:val="Hyperlink"/>
          </w:rPr>
          <w:t xml:space="preserve"> </w:t>
        </w:r>
        <w:r w:rsidR="00CF72D5" w:rsidRPr="002029AF">
          <w:rPr>
            <w:rStyle w:val="Hyperlink"/>
          </w:rPr>
          <w:t>Services</w:t>
        </w:r>
        <w:r w:rsidR="000A5329" w:rsidRPr="002029AF">
          <w:rPr>
            <w:rStyle w:val="Hyperlink"/>
          </w:rPr>
          <w:t xml:space="preserve"> </w:t>
        </w:r>
        <w:r w:rsidR="00CF72D5" w:rsidRPr="002029AF">
          <w:rPr>
            <w:rStyle w:val="Hyperlink"/>
          </w:rPr>
          <w:t>–</w:t>
        </w:r>
        <w:r w:rsidR="000A5329" w:rsidRPr="002029AF">
          <w:rPr>
            <w:rStyle w:val="Hyperlink"/>
          </w:rPr>
          <w:t xml:space="preserve"> </w:t>
        </w:r>
        <w:r w:rsidR="00CF72D5" w:rsidRPr="002029AF">
          <w:rPr>
            <w:rStyle w:val="Hyperlink"/>
          </w:rPr>
          <w:t>Reports,</w:t>
        </w:r>
        <w:r w:rsidR="000A5329" w:rsidRPr="002029AF">
          <w:rPr>
            <w:rStyle w:val="Hyperlink"/>
          </w:rPr>
          <w:t xml:space="preserve"> </w:t>
        </w:r>
        <w:r w:rsidR="00CF72D5" w:rsidRPr="002029AF">
          <w:rPr>
            <w:rStyle w:val="Hyperlink"/>
          </w:rPr>
          <w:t>reviews</w:t>
        </w:r>
        <w:r w:rsidR="000A5329" w:rsidRPr="002029AF">
          <w:rPr>
            <w:rStyle w:val="Hyperlink"/>
          </w:rPr>
          <w:t xml:space="preserve"> </w:t>
        </w:r>
        <w:r w:rsidR="00CF72D5" w:rsidRPr="002029AF">
          <w:rPr>
            <w:rStyle w:val="Hyperlink"/>
          </w:rPr>
          <w:t>and</w:t>
        </w:r>
        <w:r w:rsidR="000A5329" w:rsidRPr="002029AF">
          <w:rPr>
            <w:rStyle w:val="Hyperlink"/>
          </w:rPr>
          <w:t xml:space="preserve"> </w:t>
        </w:r>
        <w:r w:rsidR="00CF72D5" w:rsidRPr="002029AF">
          <w:rPr>
            <w:rStyle w:val="Hyperlink"/>
          </w:rPr>
          <w:t>Data</w:t>
        </w:r>
      </w:hyperlink>
      <w:r w:rsidR="000A5329" w:rsidRPr="002029AF">
        <w:t xml:space="preserve"> </w:t>
      </w:r>
      <w:r w:rsidR="00CF72D5" w:rsidRPr="002029AF">
        <w:t>&lt;https://dhhs.vic.gov.au/publications/</w:t>
      </w:r>
      <w:r w:rsidR="00791FED">
        <w:br/>
      </w:r>
      <w:r w:rsidR="00CF72D5" w:rsidRPr="002029AF">
        <w:t>reports-reviews-data&gt;</w:t>
      </w:r>
      <w:r w:rsidR="000A5329" w:rsidRPr="002029AF">
        <w:t xml:space="preserve"> </w:t>
      </w:r>
      <w:r w:rsidR="00CF72D5" w:rsidRPr="002029AF">
        <w:t>for</w:t>
      </w:r>
      <w:r w:rsidR="000A5329" w:rsidRPr="002029AF">
        <w:t xml:space="preserve"> </w:t>
      </w:r>
      <w:r w:rsidR="00CF72D5" w:rsidRPr="002029AF">
        <w:t>corporate</w:t>
      </w:r>
      <w:r w:rsidR="000A5329" w:rsidRPr="002029AF">
        <w:t xml:space="preserve"> </w:t>
      </w:r>
      <w:r w:rsidR="00CF72D5" w:rsidRPr="002029AF">
        <w:t>and</w:t>
      </w:r>
      <w:r w:rsidR="000A5329" w:rsidRPr="002029AF">
        <w:t xml:space="preserve"> </w:t>
      </w:r>
      <w:r w:rsidR="00CF72D5" w:rsidRPr="002029AF">
        <w:t>human</w:t>
      </w:r>
      <w:r w:rsidR="000A5329" w:rsidRPr="002029AF">
        <w:t xml:space="preserve"> </w:t>
      </w:r>
      <w:r w:rsidR="00CF72D5" w:rsidRPr="002029AF">
        <w:t>services</w:t>
      </w:r>
      <w:r w:rsidR="000A5329" w:rsidRPr="002029AF">
        <w:t xml:space="preserve"> </w:t>
      </w:r>
      <w:r w:rsidR="00CF72D5" w:rsidRPr="002029AF">
        <w:t>information.</w:t>
      </w:r>
    </w:p>
    <w:p w14:paraId="4DE540A8" w14:textId="073A4481" w:rsidR="00CF72D5" w:rsidRPr="002029AF" w:rsidRDefault="00CF72D5" w:rsidP="00897193">
      <w:pPr>
        <w:pStyle w:val="ARbodyafterbullets"/>
      </w:pPr>
      <w:r w:rsidRPr="002029AF">
        <w:t>The</w:t>
      </w:r>
      <w:r w:rsidR="000A5329" w:rsidRPr="002029AF">
        <w:t xml:space="preserve"> </w:t>
      </w:r>
      <w:r w:rsidRPr="002029AF">
        <w:t>websites</w:t>
      </w:r>
      <w:r w:rsidR="000A5329" w:rsidRPr="002029AF">
        <w:t xml:space="preserve"> </w:t>
      </w:r>
      <w:r w:rsidRPr="002029AF">
        <w:t>above</w:t>
      </w:r>
      <w:r w:rsidR="000A5329" w:rsidRPr="002029AF">
        <w:t xml:space="preserve"> </w:t>
      </w:r>
      <w:r w:rsidRPr="002029AF">
        <w:t>include</w:t>
      </w:r>
      <w:r w:rsidR="000A5329" w:rsidRPr="002029AF">
        <w:t xml:space="preserve"> </w:t>
      </w:r>
      <w:r w:rsidRPr="002029AF">
        <w:t>information</w:t>
      </w:r>
      <w:r w:rsidR="000A5329" w:rsidRPr="002029AF">
        <w:t xml:space="preserve"> </w:t>
      </w:r>
      <w:r w:rsidRPr="002029AF">
        <w:t>about:</w:t>
      </w:r>
    </w:p>
    <w:p w14:paraId="6EEE59AD" w14:textId="12A50589" w:rsidR="00CF72D5" w:rsidRPr="002029AF" w:rsidRDefault="00CF72D5" w:rsidP="00897193">
      <w:pPr>
        <w:pStyle w:val="ARbullet1"/>
      </w:pPr>
      <w:r w:rsidRPr="002029AF">
        <w:t>service</w:t>
      </w:r>
      <w:r w:rsidR="000A5329" w:rsidRPr="002029AF">
        <w:t xml:space="preserve"> </w:t>
      </w:r>
      <w:r w:rsidRPr="002029AF">
        <w:t>provision</w:t>
      </w:r>
      <w:r w:rsidR="000A5329" w:rsidRPr="002029AF">
        <w:t xml:space="preserve"> </w:t>
      </w:r>
      <w:r w:rsidRPr="002029AF">
        <w:t>(including</w:t>
      </w:r>
      <w:r w:rsidR="000A5329" w:rsidRPr="002029AF">
        <w:t xml:space="preserve"> </w:t>
      </w:r>
      <w:r w:rsidRPr="002029AF">
        <w:t>health</w:t>
      </w:r>
      <w:r w:rsidR="000A5329" w:rsidRPr="002029AF">
        <w:t xml:space="preserve"> </w:t>
      </w:r>
      <w:r w:rsidRPr="002029AF">
        <w:t>service</w:t>
      </w:r>
      <w:r w:rsidR="000A5329" w:rsidRPr="002029AF">
        <w:t xml:space="preserve"> </w:t>
      </w:r>
      <w:r w:rsidRPr="002029AF">
        <w:t>performance)</w:t>
      </w:r>
    </w:p>
    <w:p w14:paraId="48F32A39" w14:textId="075B3288" w:rsidR="00CF72D5" w:rsidRPr="002029AF" w:rsidRDefault="00CF72D5" w:rsidP="00897193">
      <w:pPr>
        <w:pStyle w:val="ARbullet1"/>
      </w:pPr>
      <w:r w:rsidRPr="002029AF">
        <w:t>public</w:t>
      </w:r>
      <w:r w:rsidR="000A5329" w:rsidRPr="002029AF">
        <w:t xml:space="preserve"> </w:t>
      </w:r>
      <w:r w:rsidRPr="002029AF">
        <w:t>health</w:t>
      </w:r>
      <w:r w:rsidR="000A5329" w:rsidRPr="002029AF">
        <w:t xml:space="preserve"> </w:t>
      </w:r>
      <w:r w:rsidRPr="002029AF">
        <w:t>indicators</w:t>
      </w:r>
    </w:p>
    <w:p w14:paraId="33A7A799" w14:textId="3E497AA9" w:rsidR="00CF72D5" w:rsidRPr="002029AF" w:rsidRDefault="00CF72D5" w:rsidP="00897193">
      <w:pPr>
        <w:pStyle w:val="ARbullet1"/>
      </w:pPr>
      <w:r w:rsidRPr="002029AF">
        <w:t>infectious</w:t>
      </w:r>
      <w:r w:rsidR="000A5329" w:rsidRPr="002029AF">
        <w:t xml:space="preserve"> </w:t>
      </w:r>
      <w:r w:rsidRPr="002029AF">
        <w:t>disease</w:t>
      </w:r>
      <w:r w:rsidR="000A5329" w:rsidRPr="002029AF">
        <w:t xml:space="preserve"> </w:t>
      </w:r>
      <w:r w:rsidRPr="002029AF">
        <w:t>surveillance</w:t>
      </w:r>
    </w:p>
    <w:p w14:paraId="41D558B9" w14:textId="5FAA7E7A" w:rsidR="00CF72D5" w:rsidRPr="002029AF" w:rsidRDefault="00CF72D5" w:rsidP="00897193">
      <w:pPr>
        <w:pStyle w:val="ARbullet1"/>
      </w:pPr>
      <w:r w:rsidRPr="002029AF">
        <w:t>birth</w:t>
      </w:r>
      <w:r w:rsidR="000A5329" w:rsidRPr="002029AF">
        <w:t xml:space="preserve"> </w:t>
      </w:r>
      <w:r w:rsidRPr="002029AF">
        <w:t>and</w:t>
      </w:r>
      <w:r w:rsidR="000A5329" w:rsidRPr="002029AF">
        <w:t xml:space="preserve"> </w:t>
      </w:r>
      <w:r w:rsidRPr="002029AF">
        <w:t>birth</w:t>
      </w:r>
      <w:r w:rsidR="000A5329" w:rsidRPr="002029AF">
        <w:t xml:space="preserve"> </w:t>
      </w:r>
      <w:r w:rsidRPr="002029AF">
        <w:t>defects</w:t>
      </w:r>
    </w:p>
    <w:p w14:paraId="30B97744" w14:textId="5293B23E" w:rsidR="00CF72D5" w:rsidRPr="002029AF" w:rsidRDefault="00CF72D5" w:rsidP="00897193">
      <w:pPr>
        <w:pStyle w:val="ARbullet1"/>
      </w:pPr>
      <w:r w:rsidRPr="002029AF">
        <w:t>alcohol</w:t>
      </w:r>
      <w:r w:rsidR="000A5329" w:rsidRPr="002029AF">
        <w:t xml:space="preserve"> </w:t>
      </w:r>
      <w:r w:rsidRPr="002029AF">
        <w:t>and</w:t>
      </w:r>
      <w:r w:rsidR="000A5329" w:rsidRPr="002029AF">
        <w:t xml:space="preserve"> </w:t>
      </w:r>
      <w:r w:rsidRPr="002029AF">
        <w:t>drug</w:t>
      </w:r>
      <w:r w:rsidR="000A5329" w:rsidRPr="002029AF">
        <w:t xml:space="preserve"> </w:t>
      </w:r>
      <w:r w:rsidRPr="002029AF">
        <w:t>services</w:t>
      </w:r>
    </w:p>
    <w:p w14:paraId="56213F2C" w14:textId="77777777" w:rsidR="00CF72D5" w:rsidRPr="002029AF" w:rsidRDefault="00CF72D5" w:rsidP="00897193">
      <w:pPr>
        <w:pStyle w:val="ARbullet1"/>
      </w:pPr>
      <w:r w:rsidRPr="002029AF">
        <w:t>housing</w:t>
      </w:r>
    </w:p>
    <w:p w14:paraId="54816229" w14:textId="6D59AF5D" w:rsidR="00CF72D5" w:rsidRPr="002029AF" w:rsidRDefault="00CF72D5" w:rsidP="00897193">
      <w:pPr>
        <w:pStyle w:val="ARbullet1"/>
      </w:pPr>
      <w:r w:rsidRPr="002029AF">
        <w:t>vulnerable</w:t>
      </w:r>
      <w:r w:rsidR="000A5329" w:rsidRPr="002029AF">
        <w:t xml:space="preserve"> </w:t>
      </w:r>
      <w:r w:rsidRPr="002029AF">
        <w:t>children</w:t>
      </w:r>
    </w:p>
    <w:p w14:paraId="029F9D4F" w14:textId="77777777" w:rsidR="00CF72D5" w:rsidRPr="002029AF" w:rsidRDefault="00CF72D5" w:rsidP="00897193">
      <w:pPr>
        <w:pStyle w:val="ARbullet1"/>
      </w:pPr>
      <w:r w:rsidRPr="002029AF">
        <w:t>disability.</w:t>
      </w:r>
    </w:p>
    <w:p w14:paraId="40628E15" w14:textId="256A9166" w:rsidR="00CF72D5" w:rsidRPr="002029AF" w:rsidRDefault="00CF72D5" w:rsidP="00897193">
      <w:pPr>
        <w:pStyle w:val="ARbodyafterbullets"/>
      </w:pPr>
      <w:r w:rsidRPr="002029AF">
        <w:t>As</w:t>
      </w:r>
      <w:r w:rsidR="000A5329" w:rsidRPr="002029AF">
        <w:t xml:space="preserve"> </w:t>
      </w:r>
      <w:r w:rsidRPr="002029AF">
        <w:t>well</w:t>
      </w:r>
      <w:r w:rsidR="000A5329" w:rsidRPr="002029AF">
        <w:t xml:space="preserve"> </w:t>
      </w:r>
      <w:r w:rsidRPr="002029AF">
        <w:t>as</w:t>
      </w:r>
      <w:r w:rsidR="000A5329" w:rsidRPr="002029AF">
        <w:t xml:space="preserve"> </w:t>
      </w:r>
      <w:r w:rsidRPr="002029AF">
        <w:t>summarised</w:t>
      </w:r>
      <w:r w:rsidR="000A5329" w:rsidRPr="002029AF">
        <w:t xml:space="preserve"> </w:t>
      </w:r>
      <w:r w:rsidRPr="002029AF">
        <w:t>data,</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maintains</w:t>
      </w:r>
      <w:r w:rsidR="000A5329" w:rsidRPr="002029AF">
        <w:t xml:space="preserve"> </w:t>
      </w:r>
      <w:r w:rsidRPr="002029AF">
        <w:t>several</w:t>
      </w:r>
      <w:r w:rsidR="000A5329" w:rsidRPr="002029AF">
        <w:t xml:space="preserve"> </w:t>
      </w:r>
      <w:r w:rsidRPr="002029AF">
        <w:t>de-identified</w:t>
      </w:r>
      <w:r w:rsidR="000A5329" w:rsidRPr="002029AF">
        <w:t xml:space="preserve"> </w:t>
      </w:r>
      <w:r w:rsidRPr="002029AF">
        <w:t>datasets</w:t>
      </w:r>
      <w:r w:rsidR="000A5329" w:rsidRPr="002029AF">
        <w:t xml:space="preserve"> </w:t>
      </w:r>
      <w:r w:rsidRPr="002029AF">
        <w:t>that</w:t>
      </w:r>
      <w:r w:rsidR="000A5329" w:rsidRPr="002029AF">
        <w:t xml:space="preserve"> </w:t>
      </w:r>
      <w:r w:rsidRPr="002029AF">
        <w:t>researchers</w:t>
      </w:r>
      <w:r w:rsidR="000A5329" w:rsidRPr="002029AF">
        <w:t xml:space="preserve"> </w:t>
      </w:r>
      <w:r w:rsidRPr="002029AF">
        <w:t>can</w:t>
      </w:r>
      <w:r w:rsidR="000A5329" w:rsidRPr="002029AF">
        <w:t xml:space="preserve"> </w:t>
      </w:r>
      <w:r w:rsidRPr="002029AF">
        <w:t>access.</w:t>
      </w:r>
      <w:r w:rsidR="000A5329" w:rsidRPr="002029AF">
        <w:t xml:space="preserve"> </w:t>
      </w:r>
      <w:r w:rsidRPr="002029AF">
        <w:t>These</w:t>
      </w:r>
      <w:r w:rsidR="000A5329" w:rsidRPr="002029AF">
        <w:t xml:space="preserve"> </w:t>
      </w:r>
      <w:r w:rsidRPr="002029AF">
        <w:t>detailed</w:t>
      </w:r>
      <w:r w:rsidR="000A5329" w:rsidRPr="002029AF">
        <w:t xml:space="preserve"> </w:t>
      </w:r>
      <w:r w:rsidRPr="002029AF">
        <w:t>datasets</w:t>
      </w:r>
      <w:r w:rsidR="000A5329" w:rsidRPr="002029AF">
        <w:t xml:space="preserve"> </w:t>
      </w:r>
      <w:r w:rsidRPr="002029AF">
        <w:t>contain</w:t>
      </w:r>
      <w:r w:rsidR="000A5329" w:rsidRPr="002029AF">
        <w:t xml:space="preserve"> </w:t>
      </w:r>
      <w:r w:rsidRPr="002029AF">
        <w:t>a</w:t>
      </w:r>
      <w:r w:rsidR="000A5329" w:rsidRPr="002029AF">
        <w:t xml:space="preserve"> </w:t>
      </w:r>
      <w:r w:rsidRPr="002029AF">
        <w:t>wealth</w:t>
      </w:r>
      <w:r w:rsidR="000A5329" w:rsidRPr="002029AF">
        <w:t xml:space="preserve"> </w:t>
      </w:r>
      <w:r w:rsidRPr="002029AF">
        <w:t>of</w:t>
      </w:r>
      <w:r w:rsidR="000A5329" w:rsidRPr="002029AF">
        <w:t xml:space="preserve"> </w:t>
      </w:r>
      <w:r w:rsidRPr="002029AF">
        <w:t>information</w:t>
      </w:r>
      <w:r w:rsidR="000A5329" w:rsidRPr="002029AF">
        <w:t xml:space="preserve"> </w:t>
      </w:r>
      <w:r w:rsidRPr="002029AF">
        <w:t>to</w:t>
      </w:r>
      <w:r w:rsidR="000A5329" w:rsidRPr="002029AF">
        <w:t xml:space="preserve"> </w:t>
      </w:r>
      <w:r w:rsidRPr="002029AF">
        <w:t>support</w:t>
      </w:r>
      <w:r w:rsidR="000A5329" w:rsidRPr="002029AF">
        <w:t xml:space="preserve"> </w:t>
      </w:r>
      <w:r w:rsidRPr="002029AF">
        <w:t>better</w:t>
      </w:r>
      <w:r w:rsidR="000A5329" w:rsidRPr="002029AF">
        <w:t xml:space="preserve"> </w:t>
      </w:r>
      <w:r w:rsidRPr="002029AF">
        <w:t>understanding</w:t>
      </w:r>
      <w:r w:rsidR="000A5329" w:rsidRPr="002029AF">
        <w:t xml:space="preserve"> </w:t>
      </w:r>
      <w:r w:rsidRPr="002029AF">
        <w:t>of</w:t>
      </w:r>
      <w:r w:rsidR="000A5329" w:rsidRPr="002029AF">
        <w:t xml:space="preserve"> </w:t>
      </w:r>
      <w:r w:rsidRPr="002029AF">
        <w:t>Victoria’s</w:t>
      </w:r>
      <w:r w:rsidR="000A5329" w:rsidRPr="002029AF">
        <w:t xml:space="preserve"> </w:t>
      </w:r>
      <w:r w:rsidRPr="002029AF">
        <w:t>health</w:t>
      </w:r>
      <w:r w:rsidR="000A5329" w:rsidRPr="002029AF">
        <w:t xml:space="preserve"> </w:t>
      </w:r>
      <w:r w:rsidRPr="002029AF">
        <w:t>and</w:t>
      </w:r>
      <w:r w:rsidR="000A5329" w:rsidRPr="002029AF">
        <w:t xml:space="preserve"> </w:t>
      </w:r>
      <w:r w:rsidRPr="002029AF">
        <w:t>human</w:t>
      </w:r>
      <w:r w:rsidR="000A5329" w:rsidRPr="002029AF">
        <w:t xml:space="preserve"> </w:t>
      </w:r>
      <w:r w:rsidRPr="002029AF">
        <w:t>services.</w:t>
      </w:r>
      <w:r w:rsidR="000A5329" w:rsidRPr="002029AF">
        <w:t xml:space="preserve"> </w:t>
      </w:r>
      <w:r w:rsidRPr="002029AF">
        <w:t>Extracts</w:t>
      </w:r>
      <w:r w:rsidR="000A5329" w:rsidRPr="002029AF">
        <w:t xml:space="preserve"> </w:t>
      </w:r>
      <w:r w:rsidRPr="002029AF">
        <w:t>can</w:t>
      </w:r>
      <w:r w:rsidR="000A5329" w:rsidRPr="002029AF">
        <w:t xml:space="preserve"> </w:t>
      </w:r>
      <w:r w:rsidRPr="002029AF">
        <w:t>be</w:t>
      </w:r>
      <w:r w:rsidR="000A5329" w:rsidRPr="002029AF">
        <w:t xml:space="preserve"> </w:t>
      </w:r>
      <w:r w:rsidRPr="002029AF">
        <w:t>requested</w:t>
      </w:r>
      <w:r w:rsidR="000A5329" w:rsidRPr="002029AF">
        <w:t xml:space="preserve"> </w:t>
      </w:r>
      <w:r w:rsidRPr="002029AF">
        <w:t>through</w:t>
      </w:r>
      <w:r w:rsidR="000A5329" w:rsidRPr="002029AF">
        <w:t xml:space="preserve"> </w:t>
      </w:r>
      <w:r w:rsidRPr="002029AF">
        <w:lastRenderedPageBreak/>
        <w:t>procedures</w:t>
      </w:r>
      <w:r w:rsidR="000A5329" w:rsidRPr="002029AF">
        <w:t xml:space="preserve"> </w:t>
      </w:r>
      <w:r w:rsidRPr="002029AF">
        <w:t>that</w:t>
      </w:r>
      <w:r w:rsidR="000A5329" w:rsidRPr="002029AF">
        <w:t xml:space="preserve"> </w:t>
      </w:r>
      <w:r w:rsidRPr="002029AF">
        <w:t>ensure</w:t>
      </w:r>
      <w:r w:rsidR="000A5329" w:rsidRPr="002029AF">
        <w:t xml:space="preserve"> </w:t>
      </w:r>
      <w:r w:rsidRPr="002029AF">
        <w:t>th</w:t>
      </w:r>
      <w:r w:rsidR="0009182F" w:rsidRPr="002029AF">
        <w:t>e</w:t>
      </w:r>
      <w:r w:rsidR="000A5329" w:rsidRPr="002029AF">
        <w:t xml:space="preserve"> </w:t>
      </w:r>
      <w:r w:rsidRPr="002029AF">
        <w:t>data</w:t>
      </w:r>
      <w:r w:rsidR="000A5329" w:rsidRPr="002029AF">
        <w:t xml:space="preserve"> </w:t>
      </w:r>
      <w:r w:rsidRPr="002029AF">
        <w:t>are</w:t>
      </w:r>
      <w:r w:rsidR="000A5329" w:rsidRPr="002029AF">
        <w:t xml:space="preserve"> </w:t>
      </w:r>
      <w:r w:rsidRPr="002029AF">
        <w:t>shared</w:t>
      </w:r>
      <w:r w:rsidR="000A5329" w:rsidRPr="002029AF">
        <w:t xml:space="preserve"> </w:t>
      </w:r>
      <w:r w:rsidRPr="002029AF">
        <w:t>to</w:t>
      </w:r>
      <w:r w:rsidR="000A5329" w:rsidRPr="002029AF">
        <w:t xml:space="preserve"> </w:t>
      </w:r>
      <w:r w:rsidRPr="002029AF">
        <w:t>the</w:t>
      </w:r>
      <w:r w:rsidR="00791FED">
        <w:t> </w:t>
      </w:r>
      <w:r w:rsidRPr="002029AF">
        <w:t>maximum</w:t>
      </w:r>
      <w:r w:rsidR="000A5329" w:rsidRPr="002029AF">
        <w:t xml:space="preserve"> </w:t>
      </w:r>
      <w:r w:rsidRPr="002029AF">
        <w:t>extent</w:t>
      </w:r>
      <w:r w:rsidR="000A5329" w:rsidRPr="002029AF">
        <w:t xml:space="preserve"> </w:t>
      </w:r>
      <w:r w:rsidRPr="002029AF">
        <w:t>while</w:t>
      </w:r>
      <w:r w:rsidR="000A5329" w:rsidRPr="002029AF">
        <w:t xml:space="preserve"> </w:t>
      </w:r>
      <w:r w:rsidRPr="002029AF">
        <w:t>protecting</w:t>
      </w:r>
      <w:r w:rsidR="000A5329" w:rsidRPr="002029AF">
        <w:t xml:space="preserve"> </w:t>
      </w:r>
      <w:r w:rsidRPr="002029AF">
        <w:t>the</w:t>
      </w:r>
      <w:r w:rsidR="000A5329" w:rsidRPr="002029AF">
        <w:t xml:space="preserve"> </w:t>
      </w:r>
      <w:r w:rsidRPr="002029AF">
        <w:t>privacy</w:t>
      </w:r>
      <w:r w:rsidR="000A5329" w:rsidRPr="002029AF">
        <w:t xml:space="preserve"> </w:t>
      </w:r>
      <w:r w:rsidRPr="002029AF">
        <w:t>of</w:t>
      </w:r>
      <w:r w:rsidR="00791FED">
        <w:t> </w:t>
      </w:r>
      <w:r w:rsidRPr="002029AF">
        <w:t>individuals.</w:t>
      </w:r>
    </w:p>
    <w:p w14:paraId="1FF17FD1" w14:textId="65CF3FE0" w:rsidR="00CF72D5" w:rsidRPr="002029AF" w:rsidRDefault="00CF72D5" w:rsidP="00897193">
      <w:pPr>
        <w:pStyle w:val="ARbody"/>
        <w:keepNext/>
        <w:keepLines/>
      </w:pPr>
      <w:bookmarkStart w:id="112" w:name="Public_health_and_wellbeing_act"/>
      <w:r w:rsidRPr="002029AF">
        <w:t>They</w:t>
      </w:r>
      <w:r w:rsidR="000A5329" w:rsidRPr="002029AF">
        <w:t xml:space="preserve"> </w:t>
      </w:r>
      <w:r w:rsidRPr="002029AF">
        <w:t>include</w:t>
      </w:r>
      <w:r w:rsidR="000A5329" w:rsidRPr="002029AF">
        <w:t xml:space="preserve"> </w:t>
      </w:r>
      <w:r w:rsidRPr="002029AF">
        <w:t>the:</w:t>
      </w:r>
    </w:p>
    <w:bookmarkEnd w:id="112"/>
    <w:p w14:paraId="0EC14AA6" w14:textId="73CEF4BF" w:rsidR="00CF72D5" w:rsidRPr="002029AF" w:rsidRDefault="00CF72D5" w:rsidP="00897193">
      <w:pPr>
        <w:pStyle w:val="ARbullet1"/>
      </w:pPr>
      <w:r w:rsidRPr="002029AF">
        <w:t>Victorian</w:t>
      </w:r>
      <w:r w:rsidR="000A5329" w:rsidRPr="002029AF">
        <w:t xml:space="preserve"> </w:t>
      </w:r>
      <w:r w:rsidRPr="002029AF">
        <w:t>Admitted</w:t>
      </w:r>
      <w:r w:rsidR="000A5329" w:rsidRPr="002029AF">
        <w:t xml:space="preserve"> </w:t>
      </w:r>
      <w:r w:rsidRPr="002029AF">
        <w:t>Episodes</w:t>
      </w:r>
      <w:r w:rsidR="000A5329" w:rsidRPr="002029AF">
        <w:t xml:space="preserve"> </w:t>
      </w:r>
      <w:r w:rsidRPr="002029AF">
        <w:t>Dataset,</w:t>
      </w:r>
      <w:r w:rsidR="000A5329" w:rsidRPr="002029AF">
        <w:t xml:space="preserve"> </w:t>
      </w:r>
      <w:r w:rsidRPr="002029AF">
        <w:t>which</w:t>
      </w:r>
      <w:r w:rsidR="000A5329" w:rsidRPr="002029AF">
        <w:t xml:space="preserve"> </w:t>
      </w:r>
      <w:r w:rsidRPr="002029AF">
        <w:t>contains</w:t>
      </w:r>
      <w:r w:rsidR="000A5329" w:rsidRPr="002029AF">
        <w:t xml:space="preserve"> </w:t>
      </w:r>
      <w:r w:rsidRPr="002029AF">
        <w:t>information</w:t>
      </w:r>
      <w:r w:rsidR="000A5329" w:rsidRPr="002029AF">
        <w:t xml:space="preserve"> </w:t>
      </w:r>
      <w:r w:rsidRPr="002029AF">
        <w:t>about</w:t>
      </w:r>
      <w:r w:rsidR="000A5329" w:rsidRPr="002029AF">
        <w:t xml:space="preserve"> </w:t>
      </w:r>
      <w:r w:rsidRPr="002029AF">
        <w:t>all</w:t>
      </w:r>
      <w:r w:rsidR="000A5329" w:rsidRPr="002029AF">
        <w:t xml:space="preserve"> </w:t>
      </w:r>
      <w:r w:rsidRPr="002029AF">
        <w:t>patients</w:t>
      </w:r>
      <w:r w:rsidR="000A5329" w:rsidRPr="002029AF">
        <w:t xml:space="preserve"> </w:t>
      </w:r>
      <w:r w:rsidRPr="002029AF">
        <w:t>admitted</w:t>
      </w:r>
      <w:r w:rsidR="000A5329" w:rsidRPr="002029AF">
        <w:t xml:space="preserve"> </w:t>
      </w:r>
      <w:r w:rsidRPr="002029AF">
        <w:t>to</w:t>
      </w:r>
      <w:r w:rsidR="000A5329" w:rsidRPr="002029AF">
        <w:t xml:space="preserve"> </w:t>
      </w:r>
      <w:r w:rsidRPr="002029AF">
        <w:t>Victorian</w:t>
      </w:r>
      <w:r w:rsidR="000A5329" w:rsidRPr="002029AF">
        <w:t xml:space="preserve"> </w:t>
      </w:r>
      <w:r w:rsidRPr="002029AF">
        <w:t>hospitals</w:t>
      </w:r>
    </w:p>
    <w:p w14:paraId="28596DFD" w14:textId="183E1AF0" w:rsidR="00CF72D5" w:rsidRPr="002029AF" w:rsidRDefault="00CF72D5" w:rsidP="00897193">
      <w:pPr>
        <w:pStyle w:val="ARbullet1"/>
      </w:pPr>
      <w:r w:rsidRPr="002029AF">
        <w:t>Victorian</w:t>
      </w:r>
      <w:r w:rsidR="000A5329" w:rsidRPr="002029AF">
        <w:t xml:space="preserve"> </w:t>
      </w:r>
      <w:r w:rsidRPr="002029AF">
        <w:t>Emergency</w:t>
      </w:r>
      <w:r w:rsidR="000A5329" w:rsidRPr="002029AF">
        <w:t xml:space="preserve"> </w:t>
      </w:r>
      <w:r w:rsidRPr="002029AF">
        <w:t>Minimum</w:t>
      </w:r>
      <w:r w:rsidR="000A5329" w:rsidRPr="002029AF">
        <w:t xml:space="preserve"> </w:t>
      </w:r>
      <w:r w:rsidRPr="002029AF">
        <w:t>Dataset,</w:t>
      </w:r>
      <w:r w:rsidR="000A5329" w:rsidRPr="002029AF">
        <w:t xml:space="preserve"> </w:t>
      </w:r>
      <w:r w:rsidRPr="002029AF">
        <w:t>which</w:t>
      </w:r>
      <w:r w:rsidR="00286264" w:rsidRPr="002029AF">
        <w:t> </w:t>
      </w:r>
      <w:r w:rsidRPr="002029AF">
        <w:t>contains</w:t>
      </w:r>
      <w:r w:rsidR="000A5329" w:rsidRPr="002029AF">
        <w:t xml:space="preserve"> </w:t>
      </w:r>
      <w:r w:rsidRPr="002029AF">
        <w:t>information</w:t>
      </w:r>
      <w:r w:rsidR="000A5329" w:rsidRPr="002029AF">
        <w:t xml:space="preserve"> </w:t>
      </w:r>
      <w:r w:rsidRPr="002029AF">
        <w:t>about</w:t>
      </w:r>
      <w:r w:rsidR="000A5329" w:rsidRPr="002029AF">
        <w:t xml:space="preserve"> </w:t>
      </w:r>
      <w:r w:rsidRPr="002029AF">
        <w:t>emergency</w:t>
      </w:r>
      <w:r w:rsidR="000A5329" w:rsidRPr="002029AF">
        <w:t xml:space="preserve"> </w:t>
      </w:r>
      <w:r w:rsidRPr="002029AF">
        <w:t>presentations</w:t>
      </w:r>
      <w:r w:rsidR="000A5329" w:rsidRPr="002029AF">
        <w:t xml:space="preserve"> </w:t>
      </w:r>
      <w:r w:rsidRPr="002029AF">
        <w:t>at</w:t>
      </w:r>
      <w:r w:rsidR="000A5329" w:rsidRPr="002029AF">
        <w:t xml:space="preserve"> </w:t>
      </w:r>
      <w:r w:rsidRPr="002029AF">
        <w:t>Victorian</w:t>
      </w:r>
      <w:r w:rsidR="000A5329" w:rsidRPr="002029AF">
        <w:t xml:space="preserve"> </w:t>
      </w:r>
      <w:r w:rsidRPr="002029AF">
        <w:t>public</w:t>
      </w:r>
      <w:r w:rsidR="000A5329" w:rsidRPr="002029AF">
        <w:t xml:space="preserve"> </w:t>
      </w:r>
      <w:r w:rsidRPr="002029AF">
        <w:t>hospitals</w:t>
      </w:r>
    </w:p>
    <w:p w14:paraId="09DD58C8" w14:textId="272A4809" w:rsidR="00CF72D5" w:rsidRPr="002029AF" w:rsidRDefault="00CF72D5" w:rsidP="00897193">
      <w:pPr>
        <w:pStyle w:val="ARbullet1"/>
      </w:pPr>
      <w:r w:rsidRPr="002029AF">
        <w:t>Elective</w:t>
      </w:r>
      <w:r w:rsidR="000A5329" w:rsidRPr="002029AF">
        <w:t xml:space="preserve"> </w:t>
      </w:r>
      <w:r w:rsidRPr="002029AF">
        <w:t>Surgery</w:t>
      </w:r>
      <w:r w:rsidR="000A5329" w:rsidRPr="002029AF">
        <w:t xml:space="preserve"> </w:t>
      </w:r>
      <w:r w:rsidRPr="002029AF">
        <w:t>Information</w:t>
      </w:r>
      <w:r w:rsidR="000A5329" w:rsidRPr="002029AF">
        <w:t xml:space="preserve"> </w:t>
      </w:r>
      <w:r w:rsidRPr="002029AF">
        <w:t>System,</w:t>
      </w:r>
      <w:r w:rsidR="000A5329" w:rsidRPr="002029AF">
        <w:t xml:space="preserve"> </w:t>
      </w:r>
      <w:r w:rsidRPr="002029AF">
        <w:t>which</w:t>
      </w:r>
      <w:r w:rsidR="000A5329" w:rsidRPr="002029AF">
        <w:t xml:space="preserve"> </w:t>
      </w:r>
      <w:r w:rsidRPr="002029AF">
        <w:t>contains</w:t>
      </w:r>
      <w:r w:rsidR="000A5329" w:rsidRPr="002029AF">
        <w:t xml:space="preserve"> </w:t>
      </w:r>
      <w:r w:rsidRPr="002029AF">
        <w:t>information</w:t>
      </w:r>
      <w:r w:rsidR="000A5329" w:rsidRPr="002029AF">
        <w:t xml:space="preserve"> </w:t>
      </w:r>
      <w:r w:rsidRPr="002029AF">
        <w:t>about</w:t>
      </w:r>
      <w:r w:rsidR="000A5329" w:rsidRPr="002029AF">
        <w:t xml:space="preserve"> </w:t>
      </w:r>
      <w:r w:rsidRPr="002029AF">
        <w:t>elective</w:t>
      </w:r>
      <w:r w:rsidR="000A5329" w:rsidRPr="002029AF">
        <w:t xml:space="preserve"> </w:t>
      </w:r>
      <w:r w:rsidRPr="002029AF">
        <w:t>surgery</w:t>
      </w:r>
      <w:r w:rsidR="000A5329" w:rsidRPr="002029AF">
        <w:t xml:space="preserve"> </w:t>
      </w:r>
      <w:r w:rsidRPr="002029AF">
        <w:t>waiting</w:t>
      </w:r>
      <w:r w:rsidR="000A5329" w:rsidRPr="002029AF">
        <w:t xml:space="preserve"> </w:t>
      </w:r>
      <w:r w:rsidRPr="002029AF">
        <w:t>lists</w:t>
      </w:r>
      <w:r w:rsidR="000A5329" w:rsidRPr="002029AF">
        <w:t xml:space="preserve"> </w:t>
      </w:r>
      <w:r w:rsidRPr="002029AF">
        <w:t>from</w:t>
      </w:r>
      <w:r w:rsidR="000A5329" w:rsidRPr="002029AF">
        <w:t xml:space="preserve"> </w:t>
      </w:r>
      <w:r w:rsidRPr="002029AF">
        <w:t>the</w:t>
      </w:r>
      <w:r w:rsidR="000A5329" w:rsidRPr="002029AF">
        <w:t xml:space="preserve"> </w:t>
      </w:r>
      <w:r w:rsidRPr="002029AF">
        <w:t>major</w:t>
      </w:r>
      <w:r w:rsidR="000A5329" w:rsidRPr="002029AF">
        <w:t xml:space="preserve"> </w:t>
      </w:r>
      <w:r w:rsidRPr="002029AF">
        <w:t>Victorian</w:t>
      </w:r>
      <w:r w:rsidR="000A5329" w:rsidRPr="002029AF">
        <w:t xml:space="preserve"> </w:t>
      </w:r>
      <w:r w:rsidRPr="002029AF">
        <w:t>metropolitan</w:t>
      </w:r>
      <w:r w:rsidR="000A5329" w:rsidRPr="002029AF">
        <w:t xml:space="preserve"> </w:t>
      </w:r>
      <w:r w:rsidRPr="002029AF">
        <w:t>and</w:t>
      </w:r>
      <w:r w:rsidR="000A5329" w:rsidRPr="002029AF">
        <w:t xml:space="preserve"> </w:t>
      </w:r>
      <w:r w:rsidRPr="002029AF">
        <w:t>rural</w:t>
      </w:r>
      <w:r w:rsidR="000A5329" w:rsidRPr="002029AF">
        <w:t xml:space="preserve"> </w:t>
      </w:r>
      <w:r w:rsidRPr="002029AF">
        <w:t>public</w:t>
      </w:r>
      <w:r w:rsidR="000A5329" w:rsidRPr="002029AF">
        <w:t xml:space="preserve"> </w:t>
      </w:r>
      <w:r w:rsidRPr="002029AF">
        <w:t>hospitals</w:t>
      </w:r>
    </w:p>
    <w:p w14:paraId="0BA3AA48" w14:textId="190B1CC8" w:rsidR="00CF72D5" w:rsidRPr="002029AF" w:rsidRDefault="00CF72D5" w:rsidP="00897193">
      <w:pPr>
        <w:pStyle w:val="ARbullet1"/>
      </w:pPr>
      <w:r w:rsidRPr="002029AF">
        <w:t>Victorian</w:t>
      </w:r>
      <w:r w:rsidR="000A5329" w:rsidRPr="002029AF">
        <w:t xml:space="preserve"> </w:t>
      </w:r>
      <w:r w:rsidRPr="002029AF">
        <w:t>Perinatal</w:t>
      </w:r>
      <w:r w:rsidR="000A5329" w:rsidRPr="002029AF">
        <w:t xml:space="preserve"> </w:t>
      </w:r>
      <w:r w:rsidRPr="002029AF">
        <w:t>Data</w:t>
      </w:r>
      <w:r w:rsidR="000A5329" w:rsidRPr="002029AF">
        <w:t xml:space="preserve"> </w:t>
      </w:r>
      <w:r w:rsidRPr="002029AF">
        <w:t>Collection,</w:t>
      </w:r>
      <w:r w:rsidR="000A5329" w:rsidRPr="002029AF">
        <w:t xml:space="preserve"> </w:t>
      </w:r>
      <w:r w:rsidRPr="002029AF">
        <w:t>which</w:t>
      </w:r>
      <w:r w:rsidR="000A5329" w:rsidRPr="002029AF">
        <w:t xml:space="preserve"> </w:t>
      </w:r>
      <w:r w:rsidRPr="002029AF">
        <w:t>contains</w:t>
      </w:r>
      <w:r w:rsidR="000A5329" w:rsidRPr="002029AF">
        <w:t xml:space="preserve"> </w:t>
      </w:r>
      <w:r w:rsidRPr="002029AF">
        <w:t>information</w:t>
      </w:r>
      <w:r w:rsidR="000A5329" w:rsidRPr="002029AF">
        <w:t xml:space="preserve"> </w:t>
      </w:r>
      <w:r w:rsidRPr="002029AF">
        <w:t>about</w:t>
      </w:r>
      <w:r w:rsidR="000A5329" w:rsidRPr="002029AF">
        <w:t xml:space="preserve"> </w:t>
      </w:r>
      <w:r w:rsidRPr="002029AF">
        <w:t>mothers</w:t>
      </w:r>
      <w:r w:rsidR="000A5329" w:rsidRPr="002029AF">
        <w:t xml:space="preserve"> </w:t>
      </w:r>
      <w:r w:rsidRPr="002029AF">
        <w:t>and</w:t>
      </w:r>
      <w:r w:rsidR="000A5329" w:rsidRPr="002029AF">
        <w:t xml:space="preserve"> </w:t>
      </w:r>
      <w:r w:rsidRPr="002029AF">
        <w:t>babies</w:t>
      </w:r>
      <w:r w:rsidR="000A5329" w:rsidRPr="002029AF">
        <w:t xml:space="preserve"> </w:t>
      </w:r>
      <w:r w:rsidRPr="002029AF">
        <w:t>born</w:t>
      </w:r>
      <w:r w:rsidR="000A5329" w:rsidRPr="002029AF">
        <w:t xml:space="preserve"> </w:t>
      </w:r>
      <w:r w:rsidRPr="002029AF">
        <w:t>in</w:t>
      </w:r>
      <w:r w:rsidR="000A5329" w:rsidRPr="002029AF">
        <w:t xml:space="preserve"> </w:t>
      </w:r>
      <w:r w:rsidRPr="002029AF">
        <w:t>Victoria</w:t>
      </w:r>
    </w:p>
    <w:p w14:paraId="20C8336C" w14:textId="00A09144" w:rsidR="00CF72D5" w:rsidRPr="002029AF" w:rsidRDefault="00CF72D5" w:rsidP="00897193">
      <w:pPr>
        <w:pStyle w:val="ARbullet1"/>
      </w:pPr>
      <w:r w:rsidRPr="002029AF">
        <w:t>Victorian</w:t>
      </w:r>
      <w:r w:rsidR="000A5329" w:rsidRPr="002029AF">
        <w:t xml:space="preserve"> </w:t>
      </w:r>
      <w:r w:rsidRPr="002029AF">
        <w:t>Alcohol</w:t>
      </w:r>
      <w:r w:rsidR="000A5329" w:rsidRPr="002029AF">
        <w:t xml:space="preserve"> </w:t>
      </w:r>
      <w:r w:rsidRPr="002029AF">
        <w:t>and</w:t>
      </w:r>
      <w:r w:rsidR="000A5329" w:rsidRPr="002029AF">
        <w:t xml:space="preserve"> </w:t>
      </w:r>
      <w:r w:rsidRPr="002029AF">
        <w:t>Drug</w:t>
      </w:r>
      <w:r w:rsidR="000A5329" w:rsidRPr="002029AF">
        <w:t xml:space="preserve"> </w:t>
      </w:r>
      <w:r w:rsidR="005B61FF" w:rsidRPr="002029AF">
        <w:t>D</w:t>
      </w:r>
      <w:r w:rsidRPr="002029AF">
        <w:t>ata</w:t>
      </w:r>
      <w:r w:rsidR="000A5329" w:rsidRPr="002029AF">
        <w:t xml:space="preserve"> </w:t>
      </w:r>
      <w:r w:rsidR="005B61FF" w:rsidRPr="002029AF">
        <w:t>C</w:t>
      </w:r>
      <w:r w:rsidRPr="002029AF">
        <w:t>ollection,</w:t>
      </w:r>
      <w:r w:rsidR="000A5329" w:rsidRPr="002029AF">
        <w:t xml:space="preserve"> </w:t>
      </w:r>
      <w:r w:rsidRPr="002029AF">
        <w:t>which</w:t>
      </w:r>
      <w:r w:rsidR="000A5329" w:rsidRPr="002029AF">
        <w:t xml:space="preserve"> </w:t>
      </w:r>
      <w:r w:rsidRPr="002029AF">
        <w:t>contains</w:t>
      </w:r>
      <w:r w:rsidR="000A5329" w:rsidRPr="002029AF">
        <w:t xml:space="preserve"> </w:t>
      </w:r>
      <w:r w:rsidRPr="002029AF">
        <w:t>information</w:t>
      </w:r>
      <w:r w:rsidR="000A5329" w:rsidRPr="002029AF">
        <w:t xml:space="preserve"> </w:t>
      </w:r>
      <w:r w:rsidRPr="002029AF">
        <w:t>about</w:t>
      </w:r>
      <w:r w:rsidR="000A5329" w:rsidRPr="002029AF">
        <w:t xml:space="preserve"> </w:t>
      </w:r>
      <w:r w:rsidRPr="002029AF">
        <w:t>the</w:t>
      </w:r>
      <w:r w:rsidR="000A5329" w:rsidRPr="002029AF">
        <w:t xml:space="preserve"> </w:t>
      </w:r>
      <w:r w:rsidRPr="002029AF">
        <w:t>clients</w:t>
      </w:r>
      <w:r w:rsidR="000A5329" w:rsidRPr="002029AF">
        <w:t xml:space="preserve"> </w:t>
      </w:r>
      <w:r w:rsidRPr="002029AF">
        <w:t>and</w:t>
      </w:r>
      <w:r w:rsidR="00286264" w:rsidRPr="002029AF">
        <w:t> </w:t>
      </w:r>
      <w:r w:rsidRPr="002029AF">
        <w:t>activities</w:t>
      </w:r>
      <w:r w:rsidR="000A5329" w:rsidRPr="002029AF">
        <w:t xml:space="preserve"> </w:t>
      </w:r>
      <w:r w:rsidRPr="002029AF">
        <w:t>of</w:t>
      </w:r>
      <w:r w:rsidR="000A5329" w:rsidRPr="002029AF">
        <w:t xml:space="preserve"> </w:t>
      </w:r>
      <w:r w:rsidRPr="002029AF">
        <w:t>government</w:t>
      </w:r>
      <w:r w:rsidR="000C1CEB" w:rsidRPr="002029AF">
        <w:t>-</w:t>
      </w:r>
      <w:r w:rsidRPr="002029AF">
        <w:t>funded</w:t>
      </w:r>
      <w:r w:rsidR="000A5329" w:rsidRPr="002029AF">
        <w:t xml:space="preserve"> </w:t>
      </w:r>
      <w:r w:rsidRPr="002029AF">
        <w:t>alcohol</w:t>
      </w:r>
      <w:r w:rsidR="000A5329" w:rsidRPr="002029AF">
        <w:t xml:space="preserve"> </w:t>
      </w:r>
      <w:r w:rsidRPr="002029AF">
        <w:t>and</w:t>
      </w:r>
      <w:r w:rsidR="00286264" w:rsidRPr="002029AF">
        <w:t> </w:t>
      </w:r>
      <w:r w:rsidRPr="002029AF">
        <w:t>drug</w:t>
      </w:r>
      <w:r w:rsidR="000A5329" w:rsidRPr="002029AF">
        <w:t xml:space="preserve"> </w:t>
      </w:r>
      <w:r w:rsidRPr="002029AF">
        <w:t>treatment</w:t>
      </w:r>
      <w:r w:rsidR="000A5329" w:rsidRPr="002029AF">
        <w:t xml:space="preserve"> </w:t>
      </w:r>
      <w:r w:rsidRPr="002029AF">
        <w:t>services</w:t>
      </w:r>
    </w:p>
    <w:p w14:paraId="3B69709B" w14:textId="6917F395" w:rsidR="00CF72D5" w:rsidRPr="002029AF" w:rsidRDefault="00CF72D5" w:rsidP="00897193">
      <w:pPr>
        <w:pStyle w:val="ARbullet1"/>
      </w:pPr>
      <w:r w:rsidRPr="002029AF">
        <w:t>Victorian</w:t>
      </w:r>
      <w:r w:rsidR="000A5329" w:rsidRPr="002029AF">
        <w:t xml:space="preserve"> </w:t>
      </w:r>
      <w:r w:rsidRPr="002029AF">
        <w:t>Mental</w:t>
      </w:r>
      <w:r w:rsidR="000A5329" w:rsidRPr="002029AF">
        <w:t xml:space="preserve"> </w:t>
      </w:r>
      <w:r w:rsidRPr="002029AF">
        <w:t>Health</w:t>
      </w:r>
      <w:r w:rsidR="000A5329" w:rsidRPr="002029AF">
        <w:t xml:space="preserve"> </w:t>
      </w:r>
      <w:r w:rsidRPr="002029AF">
        <w:t>Data</w:t>
      </w:r>
      <w:r w:rsidR="000A5329" w:rsidRPr="002029AF">
        <w:t xml:space="preserve"> </w:t>
      </w:r>
      <w:r w:rsidRPr="002029AF">
        <w:t>Collection,</w:t>
      </w:r>
      <w:r w:rsidR="000A5329" w:rsidRPr="002029AF">
        <w:t xml:space="preserve"> </w:t>
      </w:r>
      <w:r w:rsidRPr="002029AF">
        <w:t>which</w:t>
      </w:r>
      <w:r w:rsidR="000A5329" w:rsidRPr="002029AF">
        <w:t xml:space="preserve"> </w:t>
      </w:r>
      <w:r w:rsidRPr="002029AF">
        <w:t>contains</w:t>
      </w:r>
      <w:r w:rsidR="000A5329" w:rsidRPr="002029AF">
        <w:t xml:space="preserve"> </w:t>
      </w:r>
      <w:r w:rsidRPr="002029AF">
        <w:t>information</w:t>
      </w:r>
      <w:r w:rsidR="000A5329" w:rsidRPr="002029AF">
        <w:t xml:space="preserve"> </w:t>
      </w:r>
      <w:r w:rsidRPr="002029AF">
        <w:t>about</w:t>
      </w:r>
      <w:r w:rsidR="000A5329" w:rsidRPr="002029AF">
        <w:t xml:space="preserve"> </w:t>
      </w:r>
      <w:r w:rsidRPr="002029AF">
        <w:t>inpatient,</w:t>
      </w:r>
      <w:r w:rsidR="000A5329" w:rsidRPr="002029AF">
        <w:t xml:space="preserve"> </w:t>
      </w:r>
      <w:r w:rsidRPr="002029AF">
        <w:t>residential,</w:t>
      </w:r>
      <w:r w:rsidR="000A5329" w:rsidRPr="002029AF">
        <w:t xml:space="preserve"> </w:t>
      </w:r>
      <w:r w:rsidRPr="002029AF">
        <w:t>and</w:t>
      </w:r>
      <w:r w:rsidR="000A5329" w:rsidRPr="002029AF">
        <w:t xml:space="preserve"> </w:t>
      </w:r>
      <w:r w:rsidRPr="002029AF">
        <w:t>ambulatory</w:t>
      </w:r>
      <w:r w:rsidR="000A5329" w:rsidRPr="002029AF">
        <w:t xml:space="preserve"> </w:t>
      </w:r>
      <w:r w:rsidRPr="002029AF">
        <w:t>community</w:t>
      </w:r>
      <w:r w:rsidR="000A5329" w:rsidRPr="002029AF">
        <w:t xml:space="preserve"> </w:t>
      </w:r>
      <w:r w:rsidRPr="002029AF">
        <w:t>care</w:t>
      </w:r>
      <w:r w:rsidR="000A5329" w:rsidRPr="002029AF">
        <w:t xml:space="preserve"> </w:t>
      </w:r>
      <w:r w:rsidRPr="002029AF">
        <w:t>provided</w:t>
      </w:r>
      <w:r w:rsidR="000A5329" w:rsidRPr="002029AF">
        <w:t xml:space="preserve"> </w:t>
      </w:r>
      <w:r w:rsidRPr="002029AF">
        <w:t>by</w:t>
      </w:r>
      <w:r w:rsidR="000A5329" w:rsidRPr="002029AF">
        <w:t xml:space="preserve"> </w:t>
      </w:r>
      <w:r w:rsidRPr="002029AF">
        <w:t>gazetted</w:t>
      </w:r>
      <w:r w:rsidR="000A5329" w:rsidRPr="002029AF">
        <w:t xml:space="preserve"> </w:t>
      </w:r>
      <w:r w:rsidRPr="002029AF">
        <w:t>mental</w:t>
      </w:r>
      <w:r w:rsidR="000A5329" w:rsidRPr="002029AF">
        <w:t xml:space="preserve"> </w:t>
      </w:r>
      <w:r w:rsidRPr="002029AF">
        <w:t>health</w:t>
      </w:r>
      <w:r w:rsidR="000A5329" w:rsidRPr="002029AF">
        <w:t xml:space="preserve"> </w:t>
      </w:r>
      <w:r w:rsidRPr="002029AF">
        <w:t>facilities,</w:t>
      </w:r>
      <w:r w:rsidR="000A5329" w:rsidRPr="002029AF">
        <w:t xml:space="preserve"> </w:t>
      </w:r>
      <w:r w:rsidRPr="002029AF">
        <w:t>and</w:t>
      </w:r>
      <w:r w:rsidR="000A5329" w:rsidRPr="002029AF">
        <w:t xml:space="preserve"> </w:t>
      </w:r>
      <w:r w:rsidRPr="002029AF">
        <w:t>associated</w:t>
      </w:r>
      <w:r w:rsidR="000A5329" w:rsidRPr="002029AF">
        <w:t xml:space="preserve"> </w:t>
      </w:r>
      <w:r w:rsidRPr="002029AF">
        <w:t>legal,</w:t>
      </w:r>
      <w:r w:rsidR="000A5329" w:rsidRPr="002029AF">
        <w:t xml:space="preserve"> </w:t>
      </w:r>
      <w:r w:rsidRPr="002029AF">
        <w:t>diagnostic</w:t>
      </w:r>
      <w:r w:rsidR="000A5329" w:rsidRPr="002029AF">
        <w:t xml:space="preserve"> </w:t>
      </w:r>
      <w:r w:rsidRPr="002029AF">
        <w:t>and</w:t>
      </w:r>
      <w:r w:rsidR="000A5329" w:rsidRPr="002029AF">
        <w:t xml:space="preserve"> </w:t>
      </w:r>
      <w:r w:rsidRPr="002029AF">
        <w:t>outcome</w:t>
      </w:r>
      <w:r w:rsidR="000A5329" w:rsidRPr="002029AF">
        <w:t xml:space="preserve"> </w:t>
      </w:r>
      <w:r w:rsidRPr="002029AF">
        <w:t>measurement</w:t>
      </w:r>
      <w:r w:rsidR="000A5329" w:rsidRPr="002029AF">
        <w:t xml:space="preserve"> </w:t>
      </w:r>
      <w:r w:rsidRPr="002029AF">
        <w:t>information</w:t>
      </w:r>
    </w:p>
    <w:p w14:paraId="5711B0E4" w14:textId="46460B64" w:rsidR="00CF72D5" w:rsidRPr="002029AF" w:rsidRDefault="00CF72D5" w:rsidP="00897193">
      <w:pPr>
        <w:pStyle w:val="ARbullet1"/>
      </w:pPr>
      <w:r w:rsidRPr="002029AF">
        <w:t>Victorian</w:t>
      </w:r>
      <w:r w:rsidR="000A5329" w:rsidRPr="002029AF">
        <w:t xml:space="preserve"> </w:t>
      </w:r>
      <w:r w:rsidRPr="002029AF">
        <w:t>Integrated</w:t>
      </w:r>
      <w:r w:rsidR="000A5329" w:rsidRPr="002029AF">
        <w:t xml:space="preserve"> </w:t>
      </w:r>
      <w:r w:rsidRPr="002029AF">
        <w:t>Non-Admitted</w:t>
      </w:r>
      <w:r w:rsidR="000A5329" w:rsidRPr="002029AF">
        <w:t xml:space="preserve"> </w:t>
      </w:r>
      <w:r w:rsidRPr="002029AF">
        <w:t>Health</w:t>
      </w:r>
      <w:r w:rsidR="000A5329" w:rsidRPr="002029AF">
        <w:t xml:space="preserve"> </w:t>
      </w:r>
      <w:r w:rsidRPr="002029AF">
        <w:t>dataset,</w:t>
      </w:r>
      <w:r w:rsidR="000A5329" w:rsidRPr="002029AF">
        <w:t xml:space="preserve"> </w:t>
      </w:r>
      <w:r w:rsidRPr="002029AF">
        <w:t>which</w:t>
      </w:r>
      <w:r w:rsidR="000A5329" w:rsidRPr="002029AF">
        <w:t xml:space="preserve"> </w:t>
      </w:r>
      <w:r w:rsidRPr="002029AF">
        <w:t>contains</w:t>
      </w:r>
      <w:r w:rsidR="000A5329" w:rsidRPr="002029AF">
        <w:t xml:space="preserve"> </w:t>
      </w:r>
      <w:r w:rsidRPr="002029AF">
        <w:t>information</w:t>
      </w:r>
      <w:r w:rsidR="000A5329" w:rsidRPr="002029AF">
        <w:t xml:space="preserve"> </w:t>
      </w:r>
      <w:r w:rsidRPr="002029AF">
        <w:t>about</w:t>
      </w:r>
      <w:r w:rsidR="000A5329" w:rsidRPr="002029AF">
        <w:t xml:space="preserve"> </w:t>
      </w:r>
      <w:r w:rsidRPr="002029AF">
        <w:t>a</w:t>
      </w:r>
      <w:r w:rsidR="000A5329" w:rsidRPr="002029AF">
        <w:t xml:space="preserve"> </w:t>
      </w:r>
      <w:r w:rsidRPr="002029AF">
        <w:t>range</w:t>
      </w:r>
      <w:r w:rsidR="000A5329" w:rsidRPr="002029AF">
        <w:t xml:space="preserve"> </w:t>
      </w:r>
      <w:r w:rsidRPr="002029AF">
        <w:t>of</w:t>
      </w:r>
      <w:r w:rsidR="000A5329" w:rsidRPr="002029AF">
        <w:t xml:space="preserve"> </w:t>
      </w:r>
      <w:r w:rsidRPr="002029AF">
        <w:t>non-admitted</w:t>
      </w:r>
      <w:r w:rsidR="000A5329" w:rsidRPr="002029AF">
        <w:t xml:space="preserve"> </w:t>
      </w:r>
      <w:r w:rsidRPr="002029AF">
        <w:t>services</w:t>
      </w:r>
      <w:r w:rsidR="000A5329" w:rsidRPr="002029AF">
        <w:t xml:space="preserve"> </w:t>
      </w:r>
      <w:r w:rsidRPr="002029AF">
        <w:t>provided</w:t>
      </w:r>
      <w:r w:rsidR="000A5329" w:rsidRPr="002029AF">
        <w:t xml:space="preserve"> </w:t>
      </w:r>
      <w:r w:rsidRPr="002029AF">
        <w:t>by</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including</w:t>
      </w:r>
      <w:r w:rsidR="000A5329" w:rsidRPr="002029AF">
        <w:t xml:space="preserve"> </w:t>
      </w:r>
      <w:r w:rsidRPr="002029AF">
        <w:t>specialist</w:t>
      </w:r>
      <w:r w:rsidR="000A5329" w:rsidRPr="002029AF">
        <w:t xml:space="preserve"> </w:t>
      </w:r>
      <w:r w:rsidRPr="002029AF">
        <w:t>clinics</w:t>
      </w:r>
      <w:r w:rsidR="000A5329" w:rsidRPr="002029AF">
        <w:t xml:space="preserve"> </w:t>
      </w:r>
      <w:r w:rsidRPr="002029AF">
        <w:t>(outpatients),</w:t>
      </w:r>
      <w:r w:rsidR="000A5329" w:rsidRPr="002029AF">
        <w:t xml:space="preserve"> </w:t>
      </w:r>
      <w:r w:rsidRPr="002029AF">
        <w:t>health</w:t>
      </w:r>
      <w:r w:rsidR="000A5329" w:rsidRPr="002029AF">
        <w:t xml:space="preserve"> </w:t>
      </w:r>
      <w:r w:rsidRPr="002029AF">
        <w:t>independence</w:t>
      </w:r>
      <w:r w:rsidR="000A5329" w:rsidRPr="002029AF">
        <w:t xml:space="preserve"> </w:t>
      </w:r>
      <w:r w:rsidRPr="002029AF">
        <w:t>programs,</w:t>
      </w:r>
      <w:r w:rsidR="000A5329" w:rsidRPr="002029AF">
        <w:t xml:space="preserve"> </w:t>
      </w:r>
      <w:r w:rsidRPr="002029AF">
        <w:t>community</w:t>
      </w:r>
      <w:r w:rsidR="000A5329" w:rsidRPr="002029AF">
        <w:t xml:space="preserve"> </w:t>
      </w:r>
      <w:r w:rsidRPr="002029AF">
        <w:t>palliative</w:t>
      </w:r>
      <w:r w:rsidR="000A5329" w:rsidRPr="002029AF">
        <w:t xml:space="preserve"> </w:t>
      </w:r>
      <w:r w:rsidRPr="002029AF">
        <w:t>care,</w:t>
      </w:r>
      <w:r w:rsidR="000A5329" w:rsidRPr="002029AF">
        <w:t xml:space="preserve"> </w:t>
      </w:r>
      <w:r w:rsidRPr="002029AF">
        <w:t>and</w:t>
      </w:r>
      <w:r w:rsidR="000A5329" w:rsidRPr="002029AF">
        <w:t xml:space="preserve"> </w:t>
      </w:r>
      <w:r w:rsidRPr="002029AF">
        <w:t>others</w:t>
      </w:r>
    </w:p>
    <w:p w14:paraId="5CBBF8B6" w14:textId="7269600A" w:rsidR="00CF72D5" w:rsidRPr="002029AF" w:rsidRDefault="00CF72D5" w:rsidP="00897193">
      <w:pPr>
        <w:pStyle w:val="ARbullet1"/>
      </w:pPr>
      <w:r w:rsidRPr="002029AF">
        <w:t>Community</w:t>
      </w:r>
      <w:r w:rsidR="000A5329" w:rsidRPr="002029AF">
        <w:t xml:space="preserve"> </w:t>
      </w:r>
      <w:r w:rsidRPr="002029AF">
        <w:t>Health</w:t>
      </w:r>
      <w:r w:rsidR="000A5329" w:rsidRPr="002029AF">
        <w:t xml:space="preserve"> </w:t>
      </w:r>
      <w:r w:rsidRPr="002029AF">
        <w:t>Minimum</w:t>
      </w:r>
      <w:r w:rsidR="000A5329" w:rsidRPr="002029AF">
        <w:t xml:space="preserve"> </w:t>
      </w:r>
      <w:r w:rsidRPr="002029AF">
        <w:t>Dataset,</w:t>
      </w:r>
      <w:r w:rsidR="000A5329" w:rsidRPr="002029AF">
        <w:t xml:space="preserve"> </w:t>
      </w:r>
      <w:r w:rsidRPr="002029AF">
        <w:t>which</w:t>
      </w:r>
      <w:r w:rsidR="000A5329" w:rsidRPr="002029AF">
        <w:t xml:space="preserve"> </w:t>
      </w:r>
      <w:r w:rsidRPr="002029AF">
        <w:t>contains</w:t>
      </w:r>
      <w:r w:rsidR="000A5329" w:rsidRPr="002029AF">
        <w:t xml:space="preserve"> </w:t>
      </w:r>
      <w:r w:rsidRPr="002029AF">
        <w:t>information</w:t>
      </w:r>
      <w:r w:rsidR="000A5329" w:rsidRPr="002029AF">
        <w:t xml:space="preserve"> </w:t>
      </w:r>
      <w:r w:rsidRPr="002029AF">
        <w:t>about</w:t>
      </w:r>
      <w:r w:rsidR="000A5329" w:rsidRPr="002029AF">
        <w:t xml:space="preserve"> </w:t>
      </w:r>
      <w:r w:rsidRPr="002029AF">
        <w:t>clients</w:t>
      </w:r>
      <w:r w:rsidR="000A5329" w:rsidRPr="002029AF">
        <w:t xml:space="preserve"> </w:t>
      </w:r>
      <w:r w:rsidRPr="002029AF">
        <w:t>receiving</w:t>
      </w:r>
      <w:r w:rsidR="000A5329" w:rsidRPr="002029AF">
        <w:t xml:space="preserve"> </w:t>
      </w:r>
      <w:r w:rsidRPr="002029AF">
        <w:t>government</w:t>
      </w:r>
      <w:r w:rsidR="00961A3A" w:rsidRPr="002029AF">
        <w:t>-</w:t>
      </w:r>
      <w:r w:rsidRPr="002029AF">
        <w:t>funded</w:t>
      </w:r>
      <w:r w:rsidR="000A5329" w:rsidRPr="002029AF">
        <w:t xml:space="preserve"> </w:t>
      </w:r>
      <w:r w:rsidRPr="002029AF">
        <w:t>community</w:t>
      </w:r>
      <w:r w:rsidR="000A5329" w:rsidRPr="002029AF">
        <w:t xml:space="preserve"> </w:t>
      </w:r>
      <w:r w:rsidRPr="002029AF">
        <w:t>health</w:t>
      </w:r>
      <w:r w:rsidR="000A5329" w:rsidRPr="002029AF">
        <w:t xml:space="preserve"> </w:t>
      </w:r>
      <w:r w:rsidRPr="002029AF">
        <w:t>services</w:t>
      </w:r>
    </w:p>
    <w:p w14:paraId="32414ECF" w14:textId="54B8375F" w:rsidR="00CF72D5" w:rsidRPr="002029AF" w:rsidRDefault="00CF72D5" w:rsidP="00897193">
      <w:pPr>
        <w:pStyle w:val="ARbullet1"/>
      </w:pPr>
      <w:r w:rsidRPr="002029AF">
        <w:t>Dental</w:t>
      </w:r>
      <w:r w:rsidR="000A5329" w:rsidRPr="002029AF">
        <w:t xml:space="preserve"> </w:t>
      </w:r>
      <w:r w:rsidRPr="002029AF">
        <w:t>Health</w:t>
      </w:r>
      <w:r w:rsidR="000A5329" w:rsidRPr="002029AF">
        <w:t xml:space="preserve"> </w:t>
      </w:r>
      <w:r w:rsidRPr="002029AF">
        <w:t>Program</w:t>
      </w:r>
      <w:r w:rsidR="000A5329" w:rsidRPr="002029AF">
        <w:t xml:space="preserve"> </w:t>
      </w:r>
      <w:r w:rsidRPr="002029AF">
        <w:t>Dataset,</w:t>
      </w:r>
      <w:r w:rsidR="000A5329" w:rsidRPr="002029AF">
        <w:t xml:space="preserve"> </w:t>
      </w:r>
      <w:r w:rsidRPr="002029AF">
        <w:t>which</w:t>
      </w:r>
      <w:r w:rsidR="000A5329" w:rsidRPr="002029AF">
        <w:t xml:space="preserve"> </w:t>
      </w:r>
      <w:r w:rsidRPr="002029AF">
        <w:t>contains</w:t>
      </w:r>
      <w:r w:rsidR="000A5329" w:rsidRPr="002029AF">
        <w:t xml:space="preserve"> </w:t>
      </w:r>
      <w:r w:rsidRPr="002029AF">
        <w:t>information</w:t>
      </w:r>
      <w:r w:rsidR="000A5329" w:rsidRPr="002029AF">
        <w:t xml:space="preserve"> </w:t>
      </w:r>
      <w:r w:rsidRPr="002029AF">
        <w:t>about</w:t>
      </w:r>
      <w:r w:rsidR="000A5329" w:rsidRPr="002029AF">
        <w:t xml:space="preserve"> </w:t>
      </w:r>
      <w:r w:rsidRPr="002029AF">
        <w:t>services</w:t>
      </w:r>
      <w:r w:rsidR="000A5329" w:rsidRPr="002029AF">
        <w:t xml:space="preserve"> </w:t>
      </w:r>
      <w:r w:rsidRPr="002029AF">
        <w:t>provided</w:t>
      </w:r>
      <w:r w:rsidR="000A5329" w:rsidRPr="002029AF">
        <w:t xml:space="preserve"> </w:t>
      </w:r>
      <w:r w:rsidRPr="002029AF">
        <w:t>by</w:t>
      </w:r>
      <w:r w:rsidR="000A5329" w:rsidRPr="002029AF">
        <w:t xml:space="preserve"> </w:t>
      </w:r>
      <w:r w:rsidRPr="002029AF">
        <w:t>public</w:t>
      </w:r>
      <w:r w:rsidR="000A5329" w:rsidRPr="002029AF">
        <w:t xml:space="preserve"> </w:t>
      </w:r>
      <w:r w:rsidRPr="002029AF">
        <w:t>dental</w:t>
      </w:r>
      <w:r w:rsidR="000A5329" w:rsidRPr="002029AF">
        <w:t xml:space="preserve"> </w:t>
      </w:r>
      <w:r w:rsidRPr="002029AF">
        <w:t>agencies,</w:t>
      </w:r>
      <w:r w:rsidR="000A5329" w:rsidRPr="002029AF">
        <w:t xml:space="preserve"> </w:t>
      </w:r>
      <w:r w:rsidRPr="002029AF">
        <w:t>including</w:t>
      </w:r>
      <w:r w:rsidR="000A5329" w:rsidRPr="002029AF">
        <w:t xml:space="preserve"> </w:t>
      </w:r>
      <w:r w:rsidRPr="002029AF">
        <w:t>clients,</w:t>
      </w:r>
      <w:r w:rsidR="000A5329" w:rsidRPr="002029AF">
        <w:t xml:space="preserve"> </w:t>
      </w:r>
      <w:r w:rsidRPr="002029AF">
        <w:t>treatments,</w:t>
      </w:r>
      <w:r w:rsidR="000A5329" w:rsidRPr="002029AF">
        <w:t xml:space="preserve"> </w:t>
      </w:r>
      <w:r w:rsidRPr="002029AF">
        <w:t>referrals,</w:t>
      </w:r>
      <w:r w:rsidR="000A5329" w:rsidRPr="002029AF">
        <w:t xml:space="preserve"> </w:t>
      </w:r>
      <w:r w:rsidRPr="002029AF">
        <w:t>and</w:t>
      </w:r>
      <w:r w:rsidR="000A5329" w:rsidRPr="002029AF">
        <w:t xml:space="preserve"> </w:t>
      </w:r>
      <w:r w:rsidRPr="002029AF">
        <w:t>waiting</w:t>
      </w:r>
      <w:r w:rsidR="000A5329" w:rsidRPr="002029AF">
        <w:t xml:space="preserve"> </w:t>
      </w:r>
      <w:r w:rsidRPr="002029AF">
        <w:t>lists</w:t>
      </w:r>
    </w:p>
    <w:p w14:paraId="5C0885E3" w14:textId="129489C8" w:rsidR="00CF72D5" w:rsidRPr="002029AF" w:rsidRDefault="00CF72D5" w:rsidP="00AE3EA3">
      <w:pPr>
        <w:pStyle w:val="ARbullet1"/>
      </w:pPr>
      <w:r w:rsidRPr="002029AF">
        <w:t>Notifiable</w:t>
      </w:r>
      <w:r w:rsidR="000A5329" w:rsidRPr="002029AF">
        <w:t xml:space="preserve"> </w:t>
      </w:r>
      <w:r w:rsidRPr="002029AF">
        <w:t>Infectious</w:t>
      </w:r>
      <w:r w:rsidR="000A5329" w:rsidRPr="002029AF">
        <w:t xml:space="preserve"> </w:t>
      </w:r>
      <w:r w:rsidRPr="002029AF">
        <w:t>Diseases</w:t>
      </w:r>
      <w:r w:rsidR="000A5329" w:rsidRPr="002029AF">
        <w:t xml:space="preserve"> </w:t>
      </w:r>
      <w:r w:rsidR="003060F4" w:rsidRPr="002029AF">
        <w:t>Data</w:t>
      </w:r>
      <w:r w:rsidR="001B0B19" w:rsidRPr="002029AF">
        <w:t>,</w:t>
      </w:r>
      <w:r w:rsidR="000A5329" w:rsidRPr="002029AF">
        <w:t xml:space="preserve"> </w:t>
      </w:r>
      <w:r w:rsidR="003060F4" w:rsidRPr="002029AF">
        <w:t>which</w:t>
      </w:r>
      <w:r w:rsidR="000A5329" w:rsidRPr="002029AF">
        <w:t xml:space="preserve"> </w:t>
      </w:r>
      <w:r w:rsidR="003060F4" w:rsidRPr="002029AF">
        <w:t>contains</w:t>
      </w:r>
      <w:r w:rsidR="000A5329" w:rsidRPr="002029AF">
        <w:t xml:space="preserve"> </w:t>
      </w:r>
      <w:r w:rsidR="003060F4" w:rsidRPr="002029AF">
        <w:t>information</w:t>
      </w:r>
      <w:r w:rsidR="000A5329" w:rsidRPr="002029AF">
        <w:t xml:space="preserve"> </w:t>
      </w:r>
      <w:r w:rsidRPr="002029AF">
        <w:t>on</w:t>
      </w:r>
      <w:r w:rsidR="000A5329" w:rsidRPr="002029AF">
        <w:t xml:space="preserve"> </w:t>
      </w:r>
      <w:r w:rsidRPr="002029AF">
        <w:t>conditions</w:t>
      </w:r>
      <w:r w:rsidR="000A5329" w:rsidRPr="002029AF">
        <w:t xml:space="preserve"> </w:t>
      </w:r>
      <w:r w:rsidRPr="002029AF">
        <w:t>that</w:t>
      </w:r>
      <w:r w:rsidR="000A5329" w:rsidRPr="002029AF">
        <w:t xml:space="preserve"> </w:t>
      </w:r>
      <w:r w:rsidRPr="002029AF">
        <w:t>must</w:t>
      </w:r>
      <w:r w:rsidR="000A5329" w:rsidRPr="002029AF">
        <w:t xml:space="preserve"> </w:t>
      </w:r>
      <w:r w:rsidRPr="002029AF">
        <w:t>be</w:t>
      </w:r>
      <w:r w:rsidR="00286264" w:rsidRPr="002029AF">
        <w:t> </w:t>
      </w:r>
      <w:r w:rsidRPr="002029AF">
        <w:t>reported</w:t>
      </w:r>
      <w:r w:rsidR="000A5329" w:rsidRPr="002029AF">
        <w:t xml:space="preserve"> </w:t>
      </w:r>
      <w:r w:rsidRPr="002029AF">
        <w:t>to</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under</w:t>
      </w:r>
      <w:r w:rsidR="000A5329" w:rsidRPr="002029AF">
        <w:t xml:space="preserve"> </w:t>
      </w:r>
      <w:r w:rsidRPr="002029AF">
        <w:t>the</w:t>
      </w:r>
      <w:r w:rsidR="000A5329" w:rsidRPr="002029AF">
        <w:t xml:space="preserve"> </w:t>
      </w:r>
      <w:r w:rsidRPr="002029AF">
        <w:rPr>
          <w:i/>
        </w:rPr>
        <w:t>Public</w:t>
      </w:r>
      <w:r w:rsidR="000A5329" w:rsidRPr="002029AF">
        <w:rPr>
          <w:i/>
        </w:rPr>
        <w:t xml:space="preserve"> </w:t>
      </w:r>
      <w:r w:rsidRPr="002029AF">
        <w:rPr>
          <w:i/>
        </w:rPr>
        <w:t>Health</w:t>
      </w:r>
      <w:r w:rsidR="000A5329" w:rsidRPr="002029AF">
        <w:rPr>
          <w:i/>
        </w:rPr>
        <w:t xml:space="preserve"> </w:t>
      </w:r>
      <w:r w:rsidRPr="002029AF">
        <w:rPr>
          <w:i/>
        </w:rPr>
        <w:t>and</w:t>
      </w:r>
      <w:r w:rsidR="000A5329" w:rsidRPr="002029AF">
        <w:rPr>
          <w:i/>
        </w:rPr>
        <w:t xml:space="preserve"> </w:t>
      </w:r>
      <w:r w:rsidRPr="002029AF">
        <w:rPr>
          <w:i/>
        </w:rPr>
        <w:t>Wellbeing</w:t>
      </w:r>
      <w:r w:rsidR="000A5329" w:rsidRPr="002029AF">
        <w:rPr>
          <w:i/>
        </w:rPr>
        <w:t xml:space="preserve"> </w:t>
      </w:r>
      <w:r w:rsidRPr="002029AF">
        <w:rPr>
          <w:i/>
        </w:rPr>
        <w:t>Act</w:t>
      </w:r>
      <w:r w:rsidR="000A5329" w:rsidRPr="002029AF">
        <w:rPr>
          <w:i/>
        </w:rPr>
        <w:t xml:space="preserve"> </w:t>
      </w:r>
      <w:r w:rsidRPr="002029AF">
        <w:rPr>
          <w:i/>
        </w:rPr>
        <w:t>2008</w:t>
      </w:r>
      <w:r w:rsidRPr="002029AF">
        <w:t>.</w:t>
      </w:r>
    </w:p>
    <w:p w14:paraId="4E05493B" w14:textId="78018164" w:rsidR="00CF72D5" w:rsidRPr="002029AF" w:rsidRDefault="00CF72D5" w:rsidP="001E768A">
      <w:pPr>
        <w:pStyle w:val="ARbodyafterbullets"/>
      </w:pPr>
      <w:r w:rsidRPr="002029AF">
        <w:t>Researchers</w:t>
      </w:r>
      <w:r w:rsidR="000A5329" w:rsidRPr="002029AF">
        <w:t xml:space="preserve"> </w:t>
      </w:r>
      <w:r w:rsidRPr="002029AF">
        <w:t>can</w:t>
      </w:r>
      <w:r w:rsidR="000A5329" w:rsidRPr="002029AF">
        <w:t xml:space="preserve"> </w:t>
      </w:r>
      <w:r w:rsidRPr="002029AF">
        <w:t>request</w:t>
      </w:r>
      <w:r w:rsidR="000A5329" w:rsidRPr="002029AF">
        <w:t xml:space="preserve"> </w:t>
      </w:r>
      <w:r w:rsidRPr="002029AF">
        <w:t>access</w:t>
      </w:r>
      <w:r w:rsidR="000A5329" w:rsidRPr="002029AF">
        <w:t xml:space="preserve"> </w:t>
      </w:r>
      <w:r w:rsidRPr="002029AF">
        <w:t>to</w:t>
      </w:r>
      <w:r w:rsidR="000A5329" w:rsidRPr="002029AF">
        <w:t xml:space="preserve"> </w:t>
      </w:r>
      <w:r w:rsidRPr="002029AF">
        <w:t>data</w:t>
      </w:r>
      <w:r w:rsidR="000A5329" w:rsidRPr="002029AF">
        <w:t xml:space="preserve"> </w:t>
      </w:r>
      <w:r w:rsidRPr="002029AF">
        <w:t>via:</w:t>
      </w:r>
    </w:p>
    <w:p w14:paraId="3BD72843" w14:textId="47A802A8" w:rsidR="00CF72D5" w:rsidRPr="002029AF" w:rsidRDefault="00CF72D5" w:rsidP="00897193">
      <w:pPr>
        <w:pStyle w:val="ARbullet1"/>
      </w:pPr>
      <w:r w:rsidRPr="002029AF">
        <w:t>the</w:t>
      </w:r>
      <w:r w:rsidR="000A5329" w:rsidRPr="002029AF">
        <w:t xml:space="preserve"> </w:t>
      </w:r>
      <w:hyperlink r:id="rId142" w:history="1">
        <w:r w:rsidRPr="002029AF">
          <w:rPr>
            <w:rStyle w:val="Hyperlink"/>
          </w:rPr>
          <w:t>VAHI</w:t>
        </w:r>
        <w:r w:rsidR="000A5329" w:rsidRPr="002029AF">
          <w:rPr>
            <w:rStyle w:val="Hyperlink"/>
          </w:rPr>
          <w:t xml:space="preserve"> </w:t>
        </w:r>
        <w:r w:rsidRPr="002029AF">
          <w:rPr>
            <w:rStyle w:val="Hyperlink"/>
          </w:rPr>
          <w:t>Data</w:t>
        </w:r>
        <w:r w:rsidR="000A5329" w:rsidRPr="002029AF">
          <w:rPr>
            <w:rStyle w:val="Hyperlink"/>
          </w:rPr>
          <w:t xml:space="preserve"> </w:t>
        </w:r>
        <w:r w:rsidRPr="002029AF">
          <w:rPr>
            <w:rStyle w:val="Hyperlink"/>
          </w:rPr>
          <w:t>Request</w:t>
        </w:r>
        <w:r w:rsidR="000A5329" w:rsidRPr="002029AF">
          <w:rPr>
            <w:rStyle w:val="Hyperlink"/>
          </w:rPr>
          <w:t xml:space="preserve"> </w:t>
        </w:r>
        <w:r w:rsidRPr="002029AF">
          <w:rPr>
            <w:rStyle w:val="Hyperlink"/>
          </w:rPr>
          <w:t>Hub</w:t>
        </w:r>
      </w:hyperlink>
      <w:r w:rsidR="000A5329" w:rsidRPr="002029AF">
        <w:t xml:space="preserve"> </w:t>
      </w:r>
      <w:r w:rsidRPr="002029AF">
        <w:t>&lt;https://vahi.freshdesk.com/support/home&gt;</w:t>
      </w:r>
    </w:p>
    <w:p w14:paraId="48306549" w14:textId="137AD27B" w:rsidR="00CF72D5" w:rsidRPr="002029AF" w:rsidRDefault="00286264" w:rsidP="00897193">
      <w:pPr>
        <w:pStyle w:val="ARbullet1"/>
      </w:pPr>
      <w:r w:rsidRPr="002029AF">
        <w:br w:type="column"/>
      </w:r>
      <w:r w:rsidR="00CF72D5" w:rsidRPr="002029AF">
        <w:t>the</w:t>
      </w:r>
      <w:r w:rsidR="000A5329" w:rsidRPr="002029AF">
        <w:t xml:space="preserve"> </w:t>
      </w:r>
      <w:hyperlink r:id="rId143" w:history="1">
        <w:r w:rsidR="00CF72D5" w:rsidRPr="002029AF">
          <w:rPr>
            <w:rStyle w:val="Hyperlink"/>
          </w:rPr>
          <w:t>Centre</w:t>
        </w:r>
        <w:r w:rsidR="000A5329" w:rsidRPr="002029AF">
          <w:rPr>
            <w:rStyle w:val="Hyperlink"/>
          </w:rPr>
          <w:t xml:space="preserve"> </w:t>
        </w:r>
        <w:r w:rsidR="00CF72D5" w:rsidRPr="002029AF">
          <w:rPr>
            <w:rStyle w:val="Hyperlink"/>
          </w:rPr>
          <w:t>for</w:t>
        </w:r>
        <w:r w:rsidR="000A5329" w:rsidRPr="002029AF">
          <w:rPr>
            <w:rStyle w:val="Hyperlink"/>
          </w:rPr>
          <w:t xml:space="preserve"> </w:t>
        </w:r>
        <w:r w:rsidR="00CF72D5" w:rsidRPr="002029AF">
          <w:rPr>
            <w:rStyle w:val="Hyperlink"/>
          </w:rPr>
          <w:t>Victorian</w:t>
        </w:r>
        <w:r w:rsidR="000A5329" w:rsidRPr="002029AF">
          <w:rPr>
            <w:rStyle w:val="Hyperlink"/>
          </w:rPr>
          <w:t xml:space="preserve"> </w:t>
        </w:r>
        <w:r w:rsidR="00CF72D5" w:rsidRPr="002029AF">
          <w:rPr>
            <w:rStyle w:val="Hyperlink"/>
          </w:rPr>
          <w:t>Data</w:t>
        </w:r>
        <w:r w:rsidR="000A5329" w:rsidRPr="002029AF">
          <w:rPr>
            <w:rStyle w:val="Hyperlink"/>
          </w:rPr>
          <w:t xml:space="preserve"> </w:t>
        </w:r>
        <w:r w:rsidR="00CF72D5" w:rsidRPr="002029AF">
          <w:rPr>
            <w:rStyle w:val="Hyperlink"/>
          </w:rPr>
          <w:t>Linkages</w:t>
        </w:r>
        <w:r w:rsidR="000A5329" w:rsidRPr="002029AF">
          <w:rPr>
            <w:rStyle w:val="Hyperlink"/>
          </w:rPr>
          <w:t xml:space="preserve"> </w:t>
        </w:r>
        <w:r w:rsidR="00CF72D5" w:rsidRPr="002029AF">
          <w:rPr>
            <w:rStyle w:val="Hyperlink"/>
          </w:rPr>
          <w:t>(linked</w:t>
        </w:r>
        <w:r w:rsidR="000A5329" w:rsidRPr="002029AF">
          <w:rPr>
            <w:rStyle w:val="Hyperlink"/>
          </w:rPr>
          <w:t xml:space="preserve"> </w:t>
        </w:r>
        <w:r w:rsidR="00CF72D5" w:rsidRPr="002029AF">
          <w:rPr>
            <w:rStyle w:val="Hyperlink"/>
          </w:rPr>
          <w:t>data</w:t>
        </w:r>
        <w:r w:rsidR="000A5329" w:rsidRPr="002029AF">
          <w:rPr>
            <w:rStyle w:val="Hyperlink"/>
          </w:rPr>
          <w:t xml:space="preserve"> </w:t>
        </w:r>
        <w:r w:rsidR="00CF72D5" w:rsidRPr="002029AF">
          <w:rPr>
            <w:rStyle w:val="Hyperlink"/>
          </w:rPr>
          <w:t>only)</w:t>
        </w:r>
      </w:hyperlink>
      <w:r w:rsidR="000A5329" w:rsidRPr="002029AF">
        <w:t xml:space="preserve"> </w:t>
      </w:r>
      <w:r w:rsidR="00CF72D5" w:rsidRPr="002029AF">
        <w:t>&lt;https://www2.health.vic.gov.au/</w:t>
      </w:r>
      <w:r w:rsidR="00791FED">
        <w:br/>
      </w:r>
      <w:r w:rsidR="00CF72D5" w:rsidRPr="002029AF">
        <w:t>about/reporting-planning-data/the-centre-for-victorian-data-linkage/for-researchers&gt;</w:t>
      </w:r>
    </w:p>
    <w:p w14:paraId="03AA7E49" w14:textId="69E97E4A" w:rsidR="00CF72D5" w:rsidRPr="002029AF" w:rsidRDefault="00CF72D5" w:rsidP="00897193">
      <w:pPr>
        <w:pStyle w:val="ARbullet1"/>
      </w:pPr>
      <w:r w:rsidRPr="002029AF">
        <w:t>the</w:t>
      </w:r>
      <w:r w:rsidR="000A5329" w:rsidRPr="002029AF">
        <w:t xml:space="preserve"> </w:t>
      </w:r>
      <w:hyperlink r:id="rId144" w:history="1">
        <w:r w:rsidRPr="002029AF">
          <w:rPr>
            <w:rStyle w:val="Hyperlink"/>
          </w:rPr>
          <w:t>Centre</w:t>
        </w:r>
        <w:r w:rsidR="000A5329" w:rsidRPr="002029AF">
          <w:rPr>
            <w:rStyle w:val="Hyperlink"/>
          </w:rPr>
          <w:t xml:space="preserve"> </w:t>
        </w:r>
        <w:r w:rsidRPr="002029AF">
          <w:rPr>
            <w:rStyle w:val="Hyperlink"/>
          </w:rPr>
          <w:t>for</w:t>
        </w:r>
        <w:r w:rsidR="000A5329" w:rsidRPr="002029AF">
          <w:rPr>
            <w:rStyle w:val="Hyperlink"/>
          </w:rPr>
          <w:t xml:space="preserve"> </w:t>
        </w:r>
        <w:r w:rsidRPr="002029AF">
          <w:rPr>
            <w:rStyle w:val="Hyperlink"/>
          </w:rPr>
          <w:t>Evaluation</w:t>
        </w:r>
        <w:r w:rsidR="000A5329" w:rsidRPr="002029AF">
          <w:rPr>
            <w:rStyle w:val="Hyperlink"/>
          </w:rPr>
          <w:t xml:space="preserve"> </w:t>
        </w:r>
        <w:r w:rsidRPr="002029AF">
          <w:rPr>
            <w:rStyle w:val="Hyperlink"/>
          </w:rPr>
          <w:t>and</w:t>
        </w:r>
        <w:r w:rsidR="000A5329" w:rsidRPr="002029AF">
          <w:rPr>
            <w:rStyle w:val="Hyperlink"/>
          </w:rPr>
          <w:t xml:space="preserve"> </w:t>
        </w:r>
        <w:r w:rsidRPr="002029AF">
          <w:rPr>
            <w:rStyle w:val="Hyperlink"/>
          </w:rPr>
          <w:t>Research</w:t>
        </w:r>
        <w:r w:rsidR="000A5329" w:rsidRPr="002029AF">
          <w:rPr>
            <w:rStyle w:val="Hyperlink"/>
          </w:rPr>
          <w:t xml:space="preserve"> </w:t>
        </w:r>
        <w:r w:rsidRPr="002029AF">
          <w:rPr>
            <w:rStyle w:val="Hyperlink"/>
          </w:rPr>
          <w:t>(human</w:t>
        </w:r>
        <w:r w:rsidR="00286264" w:rsidRPr="002029AF">
          <w:rPr>
            <w:rStyle w:val="Hyperlink"/>
          </w:rPr>
          <w:t> </w:t>
        </w:r>
        <w:r w:rsidRPr="002029AF">
          <w:rPr>
            <w:rStyle w:val="Hyperlink"/>
          </w:rPr>
          <w:t>services</w:t>
        </w:r>
        <w:r w:rsidR="000A5329" w:rsidRPr="002029AF">
          <w:rPr>
            <w:rStyle w:val="Hyperlink"/>
          </w:rPr>
          <w:t xml:space="preserve"> </w:t>
        </w:r>
        <w:r w:rsidRPr="002029AF">
          <w:rPr>
            <w:rStyle w:val="Hyperlink"/>
          </w:rPr>
          <w:t>data)</w:t>
        </w:r>
      </w:hyperlink>
      <w:r w:rsidR="000A5329" w:rsidRPr="002029AF">
        <w:t xml:space="preserve"> </w:t>
      </w:r>
      <w:r w:rsidRPr="002029AF">
        <w:t>&lt;https://www.dhhs.</w:t>
      </w:r>
      <w:r w:rsidR="00791FED">
        <w:br/>
      </w:r>
      <w:r w:rsidRPr="002029AF">
        <w:t>vic.gov.au/research-applications-external-organisations-and-individuals&gt;</w:t>
      </w:r>
    </w:p>
    <w:p w14:paraId="3EBB650D" w14:textId="208D2323" w:rsidR="00CF72D5" w:rsidRPr="002029AF" w:rsidRDefault="00CF72D5" w:rsidP="00897193">
      <w:pPr>
        <w:pStyle w:val="ARbullet1"/>
      </w:pPr>
      <w:r w:rsidRPr="002029AF">
        <w:t>the</w:t>
      </w:r>
      <w:r w:rsidR="000A5329" w:rsidRPr="002029AF">
        <w:t xml:space="preserve"> </w:t>
      </w:r>
      <w:r w:rsidRPr="002029AF">
        <w:t>key</w:t>
      </w:r>
      <w:r w:rsidR="000A5329" w:rsidRPr="002029AF">
        <w:t xml:space="preserve"> </w:t>
      </w:r>
      <w:r w:rsidRPr="002029AF">
        <w:t>contact</w:t>
      </w:r>
      <w:r w:rsidR="000A5329" w:rsidRPr="002029AF">
        <w:t xml:space="preserve"> </w:t>
      </w:r>
      <w:r w:rsidRPr="002029AF">
        <w:t>or</w:t>
      </w:r>
      <w:r w:rsidR="000A5329" w:rsidRPr="002029AF">
        <w:t xml:space="preserve"> </w:t>
      </w:r>
      <w:r w:rsidRPr="002029AF">
        <w:t>information</w:t>
      </w:r>
      <w:r w:rsidR="000A5329" w:rsidRPr="002029AF">
        <w:t xml:space="preserve"> </w:t>
      </w:r>
      <w:r w:rsidRPr="002029AF">
        <w:t>administrator</w:t>
      </w:r>
      <w:r w:rsidR="000A5329" w:rsidRPr="002029AF">
        <w:t xml:space="preserve"> </w:t>
      </w:r>
      <w:r w:rsidRPr="002029AF">
        <w:t>recorded</w:t>
      </w:r>
      <w:r w:rsidR="000A5329" w:rsidRPr="002029AF">
        <w:t xml:space="preserve"> </w:t>
      </w:r>
      <w:r w:rsidRPr="002029AF">
        <w:t>against</w:t>
      </w:r>
      <w:r w:rsidR="000A5329" w:rsidRPr="002029AF">
        <w:t xml:space="preserve"> </w:t>
      </w:r>
      <w:r w:rsidRPr="002029AF">
        <w:t>the</w:t>
      </w:r>
      <w:r w:rsidR="000A5329" w:rsidRPr="002029AF">
        <w:t xml:space="preserve"> </w:t>
      </w:r>
      <w:r w:rsidRPr="002029AF">
        <w:t>dataset</w:t>
      </w:r>
      <w:r w:rsidR="000A5329" w:rsidRPr="002029AF">
        <w:t xml:space="preserve"> </w:t>
      </w:r>
      <w:r w:rsidRPr="002029AF">
        <w:t>in</w:t>
      </w:r>
      <w:r w:rsidR="000A5329" w:rsidRPr="002029AF">
        <w:t xml:space="preserve"> </w:t>
      </w:r>
      <w:r w:rsidRPr="002029AF">
        <w:t>the</w:t>
      </w:r>
      <w:r w:rsidR="000A5329" w:rsidRPr="002029AF">
        <w:t xml:space="preserve"> </w:t>
      </w:r>
      <w:r w:rsidRPr="002029AF">
        <w:t>Information</w:t>
      </w:r>
      <w:r w:rsidR="000A5329" w:rsidRPr="002029AF">
        <w:t xml:space="preserve"> </w:t>
      </w:r>
      <w:r w:rsidRPr="002029AF">
        <w:t>Asset</w:t>
      </w:r>
      <w:r w:rsidR="000A5329" w:rsidRPr="002029AF">
        <w:t xml:space="preserve"> </w:t>
      </w:r>
      <w:r w:rsidRPr="002029AF">
        <w:t>Register.</w:t>
      </w:r>
    </w:p>
    <w:p w14:paraId="362075D8" w14:textId="75B572E4" w:rsidR="00CF72D5" w:rsidRPr="002029AF" w:rsidRDefault="00CF72D5" w:rsidP="00897193">
      <w:pPr>
        <w:pStyle w:val="ARbodyafterbullets"/>
      </w:pPr>
      <w:r w:rsidRPr="002029AF">
        <w:t>Victorian</w:t>
      </w:r>
      <w:r w:rsidR="000A5329" w:rsidRPr="002029AF">
        <w:t xml:space="preserve"> </w:t>
      </w:r>
      <w:r w:rsidRPr="002029AF">
        <w:t>health</w:t>
      </w:r>
      <w:r w:rsidR="000A5329" w:rsidRPr="002029AF">
        <w:t xml:space="preserve"> </w:t>
      </w:r>
      <w:r w:rsidRPr="002029AF">
        <w:t>and</w:t>
      </w:r>
      <w:r w:rsidR="000A5329" w:rsidRPr="002029AF">
        <w:t xml:space="preserve"> </w:t>
      </w:r>
      <w:r w:rsidRPr="002029AF">
        <w:t>human</w:t>
      </w:r>
      <w:r w:rsidR="000A5329" w:rsidRPr="002029AF">
        <w:t xml:space="preserve"> </w:t>
      </w:r>
      <w:r w:rsidRPr="002029AF">
        <w:t>services</w:t>
      </w:r>
      <w:r w:rsidR="000A5329" w:rsidRPr="002029AF">
        <w:t xml:space="preserve"> </w:t>
      </w:r>
      <w:r w:rsidRPr="002029AF">
        <w:t>data</w:t>
      </w:r>
      <w:r w:rsidR="000A5329" w:rsidRPr="002029AF">
        <w:t xml:space="preserve"> </w:t>
      </w:r>
      <w:r w:rsidR="000343EC" w:rsidRPr="002029AF">
        <w:t>are</w:t>
      </w:r>
      <w:r w:rsidR="000A5329" w:rsidRPr="002029AF">
        <w:t xml:space="preserve"> </w:t>
      </w:r>
      <w:r w:rsidRPr="002029AF">
        <w:t>also</w:t>
      </w:r>
      <w:r w:rsidR="000A5329" w:rsidRPr="002029AF">
        <w:t xml:space="preserve"> </w:t>
      </w:r>
      <w:r w:rsidRPr="002029AF">
        <w:t>made</w:t>
      </w:r>
      <w:r w:rsidR="000A5329" w:rsidRPr="002029AF">
        <w:t xml:space="preserve"> </w:t>
      </w:r>
      <w:r w:rsidRPr="002029AF">
        <w:t>available</w:t>
      </w:r>
      <w:r w:rsidR="000A5329" w:rsidRPr="002029AF">
        <w:t xml:space="preserve"> </w:t>
      </w:r>
      <w:r w:rsidRPr="002029AF">
        <w:t>by</w:t>
      </w:r>
      <w:r w:rsidR="000A5329" w:rsidRPr="002029AF">
        <w:t xml:space="preserve"> </w:t>
      </w:r>
      <w:r w:rsidRPr="002029AF">
        <w:t>other</w:t>
      </w:r>
      <w:r w:rsidR="000A5329" w:rsidRPr="002029AF">
        <w:t xml:space="preserve"> </w:t>
      </w:r>
      <w:r w:rsidRPr="002029AF">
        <w:t>agencies,</w:t>
      </w:r>
      <w:r w:rsidR="000A5329" w:rsidRPr="002029AF">
        <w:t xml:space="preserve"> </w:t>
      </w:r>
      <w:r w:rsidRPr="002029AF">
        <w:t>such</w:t>
      </w:r>
      <w:r w:rsidR="000A5329" w:rsidRPr="002029AF">
        <w:t xml:space="preserve"> </w:t>
      </w:r>
      <w:r w:rsidRPr="002029AF">
        <w:t>as:</w:t>
      </w:r>
    </w:p>
    <w:p w14:paraId="1655BC4F" w14:textId="3D9ED345" w:rsidR="00CF72D5" w:rsidRPr="002029AF" w:rsidRDefault="00F3275D" w:rsidP="00897193">
      <w:pPr>
        <w:pStyle w:val="ARbullet1"/>
      </w:pPr>
      <w:hyperlink r:id="rId145" w:history="1">
        <w:r w:rsidR="00CF72D5" w:rsidRPr="002029AF">
          <w:rPr>
            <w:rStyle w:val="Hyperlink"/>
          </w:rPr>
          <w:t>Cancer</w:t>
        </w:r>
        <w:r w:rsidR="000A5329" w:rsidRPr="002029AF">
          <w:rPr>
            <w:rStyle w:val="Hyperlink"/>
          </w:rPr>
          <w:t xml:space="preserve"> </w:t>
        </w:r>
        <w:r w:rsidR="00CF72D5" w:rsidRPr="002029AF">
          <w:rPr>
            <w:rStyle w:val="Hyperlink"/>
          </w:rPr>
          <w:t>Council</w:t>
        </w:r>
        <w:r w:rsidR="000A5329" w:rsidRPr="002029AF">
          <w:rPr>
            <w:rStyle w:val="Hyperlink"/>
          </w:rPr>
          <w:t xml:space="preserve"> </w:t>
        </w:r>
        <w:r w:rsidR="00CF72D5" w:rsidRPr="002029AF">
          <w:rPr>
            <w:rStyle w:val="Hyperlink"/>
          </w:rPr>
          <w:t>Victoria</w:t>
        </w:r>
      </w:hyperlink>
      <w:r w:rsidR="000A5329" w:rsidRPr="002029AF">
        <w:t xml:space="preserve"> </w:t>
      </w:r>
      <w:r w:rsidR="00CF72D5" w:rsidRPr="002029AF">
        <w:t>&lt;http://www.cancervic.org.au/research/</w:t>
      </w:r>
      <w:r w:rsidR="00CF72D5" w:rsidRPr="002029AF">
        <w:br/>
        <w:t>registry-statistics/statistics-data&gt;</w:t>
      </w:r>
    </w:p>
    <w:p w14:paraId="7225D832" w14:textId="742B3178" w:rsidR="00CF72D5" w:rsidRPr="002029AF" w:rsidRDefault="00F3275D" w:rsidP="00897193">
      <w:pPr>
        <w:pStyle w:val="ARbullet1"/>
      </w:pPr>
      <w:hyperlink r:id="rId146" w:history="1">
        <w:r w:rsidR="00CF72D5" w:rsidRPr="002029AF">
          <w:rPr>
            <w:rStyle w:val="Hyperlink"/>
          </w:rPr>
          <w:t>Australian</w:t>
        </w:r>
        <w:r w:rsidR="000A5329" w:rsidRPr="002029AF">
          <w:rPr>
            <w:rStyle w:val="Hyperlink"/>
          </w:rPr>
          <w:t xml:space="preserve"> </w:t>
        </w:r>
        <w:r w:rsidR="00CF72D5" w:rsidRPr="002029AF">
          <w:rPr>
            <w:rStyle w:val="Hyperlink"/>
          </w:rPr>
          <w:t>Institute</w:t>
        </w:r>
        <w:r w:rsidR="000A5329" w:rsidRPr="002029AF">
          <w:rPr>
            <w:rStyle w:val="Hyperlink"/>
          </w:rPr>
          <w:t xml:space="preserve"> </w:t>
        </w:r>
        <w:r w:rsidR="00CF72D5" w:rsidRPr="002029AF">
          <w:rPr>
            <w:rStyle w:val="Hyperlink"/>
          </w:rPr>
          <w:t>of</w:t>
        </w:r>
        <w:r w:rsidR="000A5329" w:rsidRPr="002029AF">
          <w:rPr>
            <w:rStyle w:val="Hyperlink"/>
          </w:rPr>
          <w:t xml:space="preserve"> </w:t>
        </w:r>
        <w:r w:rsidR="00CF72D5" w:rsidRPr="002029AF">
          <w:rPr>
            <w:rStyle w:val="Hyperlink"/>
          </w:rPr>
          <w:t>Health</w:t>
        </w:r>
        <w:r w:rsidR="000A5329" w:rsidRPr="002029AF">
          <w:rPr>
            <w:rStyle w:val="Hyperlink"/>
          </w:rPr>
          <w:t xml:space="preserve"> </w:t>
        </w:r>
        <w:r w:rsidR="00CF72D5" w:rsidRPr="002029AF">
          <w:rPr>
            <w:rStyle w:val="Hyperlink"/>
          </w:rPr>
          <w:t>and</w:t>
        </w:r>
        <w:r w:rsidR="000A5329" w:rsidRPr="002029AF">
          <w:rPr>
            <w:rStyle w:val="Hyperlink"/>
          </w:rPr>
          <w:t xml:space="preserve"> </w:t>
        </w:r>
        <w:r w:rsidR="00CF72D5" w:rsidRPr="002029AF">
          <w:rPr>
            <w:rStyle w:val="Hyperlink"/>
          </w:rPr>
          <w:t>Welfare</w:t>
        </w:r>
      </w:hyperlink>
      <w:r w:rsidR="000A5329" w:rsidRPr="002029AF">
        <w:t xml:space="preserve"> </w:t>
      </w:r>
      <w:r w:rsidR="00CF72D5" w:rsidRPr="002029AF">
        <w:t>&lt;http://www.aihw.gov.au/data&gt;</w:t>
      </w:r>
      <w:r w:rsidR="000A5329" w:rsidRPr="002029AF">
        <w:t xml:space="preserve"> </w:t>
      </w:r>
      <w:r w:rsidR="00CF72D5" w:rsidRPr="002029AF">
        <w:t>and</w:t>
      </w:r>
      <w:r w:rsidR="000A5329" w:rsidRPr="002029AF">
        <w:t xml:space="preserve"> </w:t>
      </w:r>
      <w:hyperlink r:id="rId147" w:history="1">
        <w:r w:rsidR="00CF72D5" w:rsidRPr="002029AF">
          <w:rPr>
            <w:rStyle w:val="Hyperlink"/>
          </w:rPr>
          <w:t>MyHospitals</w:t>
        </w:r>
      </w:hyperlink>
      <w:r w:rsidR="000A5329" w:rsidRPr="002029AF">
        <w:t xml:space="preserve"> </w:t>
      </w:r>
      <w:r w:rsidR="00CF72D5" w:rsidRPr="002029AF">
        <w:t>&lt;http://www.myhospitals.gov.au&gt;.</w:t>
      </w:r>
    </w:p>
    <w:p w14:paraId="32A91A54" w14:textId="205A958F" w:rsidR="00CF72D5" w:rsidRPr="002029AF" w:rsidRDefault="00CF72D5" w:rsidP="00AE3EA3">
      <w:pPr>
        <w:pStyle w:val="Heading2"/>
      </w:pPr>
      <w:bookmarkStart w:id="113" w:name="_Ref21956761"/>
      <w:bookmarkStart w:id="114" w:name="_Toc54690783"/>
      <w:bookmarkStart w:id="115" w:name="_Ref492895162"/>
      <w:r w:rsidRPr="002029AF">
        <w:t>Compliance</w:t>
      </w:r>
      <w:r w:rsidR="000A5329" w:rsidRPr="002029AF">
        <w:t xml:space="preserve"> </w:t>
      </w:r>
      <w:r w:rsidRPr="002029AF">
        <w:t>with</w:t>
      </w:r>
      <w:r w:rsidR="000A5329" w:rsidRPr="002029AF">
        <w:t xml:space="preserve"> </w:t>
      </w:r>
      <w:r w:rsidRPr="002029AF">
        <w:t>the</w:t>
      </w:r>
      <w:r w:rsidR="000A5329" w:rsidRPr="002029AF">
        <w:t xml:space="preserve"> </w:t>
      </w:r>
      <w:r w:rsidRPr="002029AF">
        <w:t>Public</w:t>
      </w:r>
      <w:r w:rsidR="000A5329" w:rsidRPr="002029AF">
        <w:t xml:space="preserve"> </w:t>
      </w:r>
      <w:r w:rsidRPr="002029AF">
        <w:t>Interest</w:t>
      </w:r>
      <w:r w:rsidR="000A5329" w:rsidRPr="002029AF">
        <w:t xml:space="preserve"> </w:t>
      </w:r>
      <w:r w:rsidRPr="002029AF">
        <w:t>Disclosures</w:t>
      </w:r>
      <w:r w:rsidR="000A5329" w:rsidRPr="002029AF">
        <w:t xml:space="preserve"> </w:t>
      </w:r>
      <w:r w:rsidRPr="002029AF">
        <w:t>Act</w:t>
      </w:r>
      <w:r w:rsidR="000A5329" w:rsidRPr="002029AF">
        <w:t xml:space="preserve"> </w:t>
      </w:r>
      <w:r w:rsidRPr="002029AF">
        <w:t>2012</w:t>
      </w:r>
      <w:bookmarkEnd w:id="113"/>
      <w:bookmarkEnd w:id="114"/>
    </w:p>
    <w:p w14:paraId="1C63E7D4" w14:textId="6EEE6A59" w:rsidR="00CF72D5" w:rsidRPr="002029AF" w:rsidRDefault="00CF72D5" w:rsidP="00897193">
      <w:pPr>
        <w:pStyle w:val="ARbody"/>
      </w:pPr>
      <w:r w:rsidRPr="002029AF">
        <w:t>The</w:t>
      </w:r>
      <w:r w:rsidR="000A5329" w:rsidRPr="002029AF">
        <w:t xml:space="preserve"> </w:t>
      </w:r>
      <w:r w:rsidRPr="002029AF">
        <w:rPr>
          <w:i/>
          <w:iCs/>
        </w:rPr>
        <w:t>Public</w:t>
      </w:r>
      <w:r w:rsidR="000A5329" w:rsidRPr="002029AF">
        <w:rPr>
          <w:i/>
          <w:iCs/>
        </w:rPr>
        <w:t xml:space="preserve"> </w:t>
      </w:r>
      <w:r w:rsidRPr="002029AF">
        <w:rPr>
          <w:i/>
          <w:iCs/>
        </w:rPr>
        <w:t>Interest</w:t>
      </w:r>
      <w:r w:rsidR="000A5329" w:rsidRPr="002029AF">
        <w:rPr>
          <w:i/>
          <w:iCs/>
        </w:rPr>
        <w:t xml:space="preserve"> </w:t>
      </w:r>
      <w:r w:rsidRPr="002029AF">
        <w:rPr>
          <w:i/>
          <w:iCs/>
        </w:rPr>
        <w:t>Disclosures</w:t>
      </w:r>
      <w:r w:rsidR="000A5329" w:rsidRPr="002029AF">
        <w:rPr>
          <w:i/>
          <w:iCs/>
        </w:rPr>
        <w:t xml:space="preserve"> </w:t>
      </w:r>
      <w:r w:rsidRPr="002029AF">
        <w:rPr>
          <w:i/>
          <w:iCs/>
        </w:rPr>
        <w:t>Act</w:t>
      </w:r>
      <w:r w:rsidR="000A5329" w:rsidRPr="002029AF">
        <w:rPr>
          <w:i/>
          <w:iCs/>
        </w:rPr>
        <w:t xml:space="preserve"> </w:t>
      </w:r>
      <w:r w:rsidRPr="002029AF">
        <w:rPr>
          <w:i/>
          <w:iCs/>
        </w:rPr>
        <w:t>2012</w:t>
      </w:r>
      <w:r w:rsidR="000A5329" w:rsidRPr="002029AF">
        <w:t xml:space="preserve"> </w:t>
      </w:r>
      <w:r w:rsidRPr="002029AF">
        <w:t>encourages</w:t>
      </w:r>
      <w:r w:rsidR="000A5329" w:rsidRPr="002029AF">
        <w:t xml:space="preserve"> </w:t>
      </w:r>
      <w:r w:rsidRPr="002029AF">
        <w:t>and</w:t>
      </w:r>
      <w:r w:rsidR="000A5329" w:rsidRPr="002029AF">
        <w:t xml:space="preserve"> </w:t>
      </w:r>
      <w:r w:rsidRPr="002029AF">
        <w:t>assists</w:t>
      </w:r>
      <w:r w:rsidR="000A5329" w:rsidRPr="002029AF">
        <w:t xml:space="preserve"> </w:t>
      </w:r>
      <w:r w:rsidRPr="002029AF">
        <w:t>people</w:t>
      </w:r>
      <w:r w:rsidR="000A5329" w:rsidRPr="002029AF">
        <w:t xml:space="preserve"> </w:t>
      </w:r>
      <w:r w:rsidRPr="002029AF">
        <w:t>in</w:t>
      </w:r>
      <w:r w:rsidR="000A5329" w:rsidRPr="002029AF">
        <w:t xml:space="preserve"> </w:t>
      </w:r>
      <w:r w:rsidRPr="002029AF">
        <w:t>making</w:t>
      </w:r>
      <w:r w:rsidR="000A5329" w:rsidRPr="002029AF">
        <w:t xml:space="preserve"> </w:t>
      </w:r>
      <w:r w:rsidRPr="002029AF">
        <w:t>disclosures</w:t>
      </w:r>
      <w:r w:rsidR="000A5329" w:rsidRPr="002029AF">
        <w:t xml:space="preserve"> </w:t>
      </w:r>
      <w:r w:rsidRPr="002029AF">
        <w:t>of</w:t>
      </w:r>
      <w:r w:rsidR="000A5329" w:rsidRPr="002029AF">
        <w:t xml:space="preserve"> </w:t>
      </w:r>
      <w:r w:rsidRPr="002029AF">
        <w:t>improper</w:t>
      </w:r>
      <w:r w:rsidR="000A5329" w:rsidRPr="002029AF">
        <w:t xml:space="preserve"> </w:t>
      </w:r>
      <w:r w:rsidRPr="002029AF">
        <w:t>conduct</w:t>
      </w:r>
      <w:r w:rsidR="000A5329" w:rsidRPr="002029AF">
        <w:t xml:space="preserve"> </w:t>
      </w:r>
      <w:r w:rsidRPr="002029AF">
        <w:t>by</w:t>
      </w:r>
      <w:r w:rsidR="000A5329" w:rsidRPr="002029AF">
        <w:t xml:space="preserve"> </w:t>
      </w:r>
      <w:r w:rsidRPr="002029AF">
        <w:t>public</w:t>
      </w:r>
      <w:r w:rsidR="000A5329" w:rsidRPr="002029AF">
        <w:t xml:space="preserve"> </w:t>
      </w:r>
      <w:r w:rsidRPr="002029AF">
        <w:t>officers</w:t>
      </w:r>
      <w:r w:rsidR="000A5329" w:rsidRPr="002029AF">
        <w:t xml:space="preserve"> </w:t>
      </w:r>
      <w:r w:rsidRPr="002029AF">
        <w:t>and</w:t>
      </w:r>
      <w:r w:rsidR="000A5329" w:rsidRPr="002029AF">
        <w:t xml:space="preserve"> </w:t>
      </w:r>
      <w:r w:rsidRPr="002029AF">
        <w:t>public</w:t>
      </w:r>
      <w:r w:rsidR="000A5329" w:rsidRPr="002029AF">
        <w:t xml:space="preserve"> </w:t>
      </w:r>
      <w:r w:rsidRPr="002029AF">
        <w:t>bodies.</w:t>
      </w:r>
      <w:r w:rsidR="000A5329" w:rsidRPr="002029AF">
        <w:t xml:space="preserve"> </w:t>
      </w:r>
      <w:r w:rsidRPr="002029AF">
        <w:t>The</w:t>
      </w:r>
      <w:r w:rsidR="000A5329" w:rsidRPr="002029AF">
        <w:t xml:space="preserve"> </w:t>
      </w:r>
      <w:r w:rsidRPr="002029AF">
        <w:t>Act</w:t>
      </w:r>
      <w:r w:rsidR="000A5329" w:rsidRPr="002029AF">
        <w:t xml:space="preserve"> </w:t>
      </w:r>
      <w:r w:rsidRPr="002029AF">
        <w:t>provides</w:t>
      </w:r>
      <w:r w:rsidR="000A5329" w:rsidRPr="002029AF">
        <w:t xml:space="preserve"> </w:t>
      </w:r>
      <w:r w:rsidRPr="002029AF">
        <w:t>protection</w:t>
      </w:r>
      <w:r w:rsidR="000A5329" w:rsidRPr="002029AF">
        <w:t xml:space="preserve"> </w:t>
      </w:r>
      <w:r w:rsidRPr="002029AF">
        <w:t>to</w:t>
      </w:r>
      <w:r w:rsidR="000A5329" w:rsidRPr="002029AF">
        <w:t xml:space="preserve"> </w:t>
      </w:r>
      <w:r w:rsidRPr="002029AF">
        <w:t>people</w:t>
      </w:r>
      <w:r w:rsidR="000A5329" w:rsidRPr="002029AF">
        <w:t xml:space="preserve"> </w:t>
      </w:r>
      <w:r w:rsidRPr="002029AF">
        <w:t>who</w:t>
      </w:r>
      <w:r w:rsidR="000A5329" w:rsidRPr="002029AF">
        <w:t xml:space="preserve"> </w:t>
      </w:r>
      <w:r w:rsidRPr="002029AF">
        <w:t>make</w:t>
      </w:r>
      <w:r w:rsidR="000A5329" w:rsidRPr="002029AF">
        <w:t xml:space="preserve"> </w:t>
      </w:r>
      <w:r w:rsidRPr="002029AF">
        <w:t>disclosures</w:t>
      </w:r>
      <w:r w:rsidR="000A5329" w:rsidRPr="002029AF">
        <w:t xml:space="preserve"> </w:t>
      </w:r>
      <w:r w:rsidRPr="002029AF">
        <w:t>in</w:t>
      </w:r>
      <w:r w:rsidR="000A5329" w:rsidRPr="002029AF">
        <w:t xml:space="preserve"> </w:t>
      </w:r>
      <w:r w:rsidRPr="002029AF">
        <w:t>accordance</w:t>
      </w:r>
      <w:r w:rsidR="000A5329" w:rsidRPr="002029AF">
        <w:t xml:space="preserve"> </w:t>
      </w:r>
      <w:r w:rsidRPr="002029AF">
        <w:t>with</w:t>
      </w:r>
      <w:r w:rsidR="000A5329" w:rsidRPr="002029AF">
        <w:t xml:space="preserve"> </w:t>
      </w:r>
      <w:r w:rsidRPr="002029AF">
        <w:t>the</w:t>
      </w:r>
      <w:r w:rsidR="000A5329" w:rsidRPr="002029AF">
        <w:t xml:space="preserve"> </w:t>
      </w:r>
      <w:r w:rsidRPr="002029AF">
        <w:t>Act</w:t>
      </w:r>
      <w:r w:rsidR="000A5329" w:rsidRPr="002029AF">
        <w:t xml:space="preserve"> </w:t>
      </w:r>
      <w:r w:rsidRPr="002029AF">
        <w:t>and</w:t>
      </w:r>
      <w:r w:rsidR="000A5329" w:rsidRPr="002029AF">
        <w:t xml:space="preserve"> </w:t>
      </w:r>
      <w:r w:rsidRPr="002029AF">
        <w:t>establishes</w:t>
      </w:r>
      <w:r w:rsidR="000A5329" w:rsidRPr="002029AF">
        <w:t xml:space="preserve"> </w:t>
      </w:r>
      <w:r w:rsidRPr="002029AF">
        <w:t>a</w:t>
      </w:r>
      <w:r w:rsidR="000A5329" w:rsidRPr="002029AF">
        <w:t xml:space="preserve"> </w:t>
      </w:r>
      <w:r w:rsidRPr="002029AF">
        <w:t>system</w:t>
      </w:r>
      <w:r w:rsidR="000A5329" w:rsidRPr="002029AF">
        <w:t xml:space="preserve"> </w:t>
      </w:r>
      <w:r w:rsidRPr="002029AF">
        <w:t>for</w:t>
      </w:r>
      <w:r w:rsidR="000A5329" w:rsidRPr="002029AF">
        <w:t xml:space="preserve"> </w:t>
      </w:r>
      <w:r w:rsidRPr="002029AF">
        <w:t>the</w:t>
      </w:r>
      <w:r w:rsidR="000A5329" w:rsidRPr="002029AF">
        <w:t xml:space="preserve"> </w:t>
      </w:r>
      <w:r w:rsidRPr="002029AF">
        <w:t>matters</w:t>
      </w:r>
      <w:r w:rsidR="000A5329" w:rsidRPr="002029AF">
        <w:t xml:space="preserve"> </w:t>
      </w:r>
      <w:r w:rsidRPr="002029AF">
        <w:t>disclosed</w:t>
      </w:r>
      <w:r w:rsidR="000A5329" w:rsidRPr="002029AF">
        <w:t xml:space="preserve"> </w:t>
      </w:r>
      <w:r w:rsidRPr="002029AF">
        <w:t>to</w:t>
      </w:r>
      <w:r w:rsidR="000A5329" w:rsidRPr="002029AF">
        <w:t xml:space="preserve"> </w:t>
      </w:r>
      <w:r w:rsidRPr="002029AF">
        <w:t>be</w:t>
      </w:r>
      <w:r w:rsidR="000A5329" w:rsidRPr="002029AF">
        <w:t xml:space="preserve"> </w:t>
      </w:r>
      <w:r w:rsidRPr="002029AF">
        <w:t>investigated</w:t>
      </w:r>
      <w:r w:rsidR="000A5329" w:rsidRPr="002029AF">
        <w:t xml:space="preserve"> </w:t>
      </w:r>
      <w:r w:rsidRPr="002029AF">
        <w:t>and</w:t>
      </w:r>
      <w:r w:rsidR="000A5329" w:rsidRPr="002029AF">
        <w:t xml:space="preserve"> </w:t>
      </w:r>
      <w:r w:rsidRPr="002029AF">
        <w:t>rectifying</w:t>
      </w:r>
      <w:r w:rsidR="000A5329" w:rsidRPr="002029AF">
        <w:t xml:space="preserve"> </w:t>
      </w:r>
      <w:r w:rsidRPr="002029AF">
        <w:t>action</w:t>
      </w:r>
      <w:r w:rsidR="000A5329" w:rsidRPr="002029AF">
        <w:t xml:space="preserve"> </w:t>
      </w:r>
      <w:r w:rsidRPr="002029AF">
        <w:t>to</w:t>
      </w:r>
      <w:r w:rsidR="00286264" w:rsidRPr="002029AF">
        <w:t> </w:t>
      </w:r>
      <w:r w:rsidRPr="002029AF">
        <w:t>be</w:t>
      </w:r>
      <w:r w:rsidR="000A5329" w:rsidRPr="002029AF">
        <w:t xml:space="preserve"> </w:t>
      </w:r>
      <w:r w:rsidRPr="002029AF">
        <w:t>taken.</w:t>
      </w:r>
    </w:p>
    <w:p w14:paraId="3FC1654A" w14:textId="29CB6653" w:rsidR="00CF72D5" w:rsidRPr="002029AF" w:rsidRDefault="00CF72D5" w:rsidP="00897193">
      <w:pPr>
        <w:pStyle w:val="ARbody"/>
      </w:pPr>
      <w:r w:rsidRPr="002029AF">
        <w:t>The</w:t>
      </w:r>
      <w:r w:rsidR="000A5329" w:rsidRPr="002029AF">
        <w:t xml:space="preserve"> </w:t>
      </w:r>
      <w:r w:rsidRPr="002029AF">
        <w:t>department</w:t>
      </w:r>
      <w:r w:rsidR="000A5329" w:rsidRPr="002029AF">
        <w:t xml:space="preserve"> </w:t>
      </w:r>
      <w:r w:rsidRPr="002029AF">
        <w:t>does</w:t>
      </w:r>
      <w:r w:rsidR="000A5329" w:rsidRPr="002029AF">
        <w:t xml:space="preserve"> </w:t>
      </w:r>
      <w:r w:rsidRPr="002029AF">
        <w:t>not</w:t>
      </w:r>
      <w:r w:rsidR="000A5329" w:rsidRPr="002029AF">
        <w:t xml:space="preserve"> </w:t>
      </w:r>
      <w:r w:rsidRPr="002029AF">
        <w:t>tolerate</w:t>
      </w:r>
      <w:r w:rsidR="000A5329" w:rsidRPr="002029AF">
        <w:t xml:space="preserve"> </w:t>
      </w:r>
      <w:r w:rsidRPr="002029AF">
        <w:t>improper</w:t>
      </w:r>
      <w:r w:rsidR="000A5329" w:rsidRPr="002029AF">
        <w:t xml:space="preserve"> </w:t>
      </w:r>
      <w:r w:rsidRPr="002029AF">
        <w:t>conduct</w:t>
      </w:r>
      <w:r w:rsidR="000A5329" w:rsidRPr="002029AF">
        <w:t xml:space="preserve"> </w:t>
      </w:r>
      <w:r w:rsidRPr="002029AF">
        <w:t>by</w:t>
      </w:r>
      <w:r w:rsidR="000A5329" w:rsidRPr="002029AF">
        <w:t xml:space="preserve"> </w:t>
      </w:r>
      <w:r w:rsidRPr="002029AF">
        <w:t>employees,</w:t>
      </w:r>
      <w:r w:rsidR="000A5329" w:rsidRPr="002029AF">
        <w:t xml:space="preserve"> </w:t>
      </w:r>
      <w:r w:rsidRPr="002029AF">
        <w:t>nor</w:t>
      </w:r>
      <w:r w:rsidR="000A5329" w:rsidRPr="002029AF">
        <w:t xml:space="preserve"> </w:t>
      </w:r>
      <w:r w:rsidRPr="002029AF">
        <w:t>the</w:t>
      </w:r>
      <w:r w:rsidR="000A5329" w:rsidRPr="002029AF">
        <w:t xml:space="preserve"> </w:t>
      </w:r>
      <w:r w:rsidRPr="002029AF">
        <w:t>taking</w:t>
      </w:r>
      <w:r w:rsidR="000A5329" w:rsidRPr="002029AF">
        <w:t xml:space="preserve"> </w:t>
      </w:r>
      <w:r w:rsidRPr="002029AF">
        <w:t>of</w:t>
      </w:r>
      <w:r w:rsidR="000A5329" w:rsidRPr="002029AF">
        <w:t xml:space="preserve"> </w:t>
      </w:r>
      <w:r w:rsidRPr="002029AF">
        <w:t>reprisals</w:t>
      </w:r>
      <w:r w:rsidR="000A5329" w:rsidRPr="002029AF">
        <w:t xml:space="preserve"> </w:t>
      </w:r>
      <w:r w:rsidRPr="002029AF">
        <w:t>against</w:t>
      </w:r>
      <w:r w:rsidR="000A5329" w:rsidRPr="002029AF">
        <w:t xml:space="preserve"> </w:t>
      </w:r>
      <w:r w:rsidRPr="002029AF">
        <w:t>those</w:t>
      </w:r>
      <w:r w:rsidR="000A5329" w:rsidRPr="002029AF">
        <w:t xml:space="preserve"> </w:t>
      </w:r>
      <w:r w:rsidRPr="002029AF">
        <w:t>who</w:t>
      </w:r>
      <w:r w:rsidR="000A5329" w:rsidRPr="002029AF">
        <w:t xml:space="preserve"> </w:t>
      </w:r>
      <w:r w:rsidRPr="002029AF">
        <w:t>come</w:t>
      </w:r>
      <w:r w:rsidR="000A5329" w:rsidRPr="002029AF">
        <w:t xml:space="preserve"> </w:t>
      </w:r>
      <w:r w:rsidRPr="002029AF">
        <w:t>forward</w:t>
      </w:r>
      <w:r w:rsidR="000A5329" w:rsidRPr="002029AF">
        <w:t xml:space="preserve"> </w:t>
      </w:r>
      <w:r w:rsidRPr="002029AF">
        <w:t>to</w:t>
      </w:r>
      <w:r w:rsidR="000A5329" w:rsidRPr="002029AF">
        <w:t xml:space="preserve"> </w:t>
      </w:r>
      <w:r w:rsidRPr="002029AF">
        <w:t>disclose</w:t>
      </w:r>
      <w:r w:rsidR="000A5329" w:rsidRPr="002029AF">
        <w:t xml:space="preserve"> </w:t>
      </w:r>
      <w:r w:rsidRPr="002029AF">
        <w:t>such</w:t>
      </w:r>
      <w:r w:rsidR="000A5329" w:rsidRPr="002029AF">
        <w:t xml:space="preserve"> </w:t>
      </w:r>
      <w:r w:rsidRPr="002029AF">
        <w:t>conduct.</w:t>
      </w:r>
      <w:r w:rsidR="000A5329" w:rsidRPr="002029AF">
        <w:t xml:space="preserve"> </w:t>
      </w:r>
      <w:r w:rsidRPr="002029AF">
        <w:t>It</w:t>
      </w:r>
      <w:r w:rsidR="000A5329" w:rsidRPr="002029AF">
        <w:t xml:space="preserve"> </w:t>
      </w:r>
      <w:r w:rsidRPr="002029AF">
        <w:t>is</w:t>
      </w:r>
      <w:r w:rsidR="000A5329" w:rsidRPr="002029AF">
        <w:t xml:space="preserve"> </w:t>
      </w:r>
      <w:r w:rsidRPr="002029AF">
        <w:t>committed</w:t>
      </w:r>
      <w:r w:rsidR="000A5329" w:rsidRPr="002029AF">
        <w:t xml:space="preserve"> </w:t>
      </w:r>
      <w:r w:rsidRPr="002029AF">
        <w:t>to</w:t>
      </w:r>
      <w:r w:rsidR="000A5329" w:rsidRPr="002029AF">
        <w:t xml:space="preserve"> </w:t>
      </w:r>
      <w:r w:rsidRPr="002029AF">
        <w:t>ensuring</w:t>
      </w:r>
      <w:r w:rsidR="000A5329" w:rsidRPr="002029AF">
        <w:t xml:space="preserve"> </w:t>
      </w:r>
      <w:r w:rsidRPr="002029AF">
        <w:t>transparency</w:t>
      </w:r>
      <w:r w:rsidR="000A5329" w:rsidRPr="002029AF">
        <w:t xml:space="preserve"> </w:t>
      </w:r>
      <w:r w:rsidRPr="002029AF">
        <w:t>and</w:t>
      </w:r>
      <w:r w:rsidR="000A5329" w:rsidRPr="002029AF">
        <w:t xml:space="preserve"> </w:t>
      </w:r>
      <w:r w:rsidRPr="002029AF">
        <w:t>accountability</w:t>
      </w:r>
      <w:r w:rsidR="000A5329" w:rsidRPr="002029AF">
        <w:t xml:space="preserve"> </w:t>
      </w:r>
      <w:r w:rsidRPr="002029AF">
        <w:t>in</w:t>
      </w:r>
      <w:r w:rsidR="000A5329" w:rsidRPr="002029AF">
        <w:t xml:space="preserve"> </w:t>
      </w:r>
      <w:r w:rsidRPr="002029AF">
        <w:t>its</w:t>
      </w:r>
      <w:r w:rsidR="000A5329" w:rsidRPr="002029AF">
        <w:t xml:space="preserve"> </w:t>
      </w:r>
      <w:r w:rsidRPr="002029AF">
        <w:t>administrative</w:t>
      </w:r>
      <w:r w:rsidR="000A5329" w:rsidRPr="002029AF">
        <w:t xml:space="preserve"> </w:t>
      </w:r>
      <w:r w:rsidRPr="002029AF">
        <w:t>and</w:t>
      </w:r>
      <w:r w:rsidR="000A5329" w:rsidRPr="002029AF">
        <w:t xml:space="preserve"> </w:t>
      </w:r>
      <w:r w:rsidRPr="002029AF">
        <w:t>management</w:t>
      </w:r>
      <w:r w:rsidR="000A5329" w:rsidRPr="002029AF">
        <w:t xml:space="preserve"> </w:t>
      </w:r>
      <w:r w:rsidRPr="002029AF">
        <w:t>practices</w:t>
      </w:r>
      <w:r w:rsidR="000A5329" w:rsidRPr="002029AF">
        <w:t xml:space="preserve"> </w:t>
      </w:r>
      <w:r w:rsidRPr="002029AF">
        <w:t>and</w:t>
      </w:r>
      <w:r w:rsidR="000A5329" w:rsidRPr="002029AF">
        <w:t xml:space="preserve"> </w:t>
      </w:r>
      <w:r w:rsidRPr="002029AF">
        <w:t>supports</w:t>
      </w:r>
      <w:r w:rsidR="000A5329" w:rsidRPr="002029AF">
        <w:t xml:space="preserve"> </w:t>
      </w:r>
      <w:r w:rsidRPr="002029AF">
        <w:t>the</w:t>
      </w:r>
      <w:r w:rsidR="000A5329" w:rsidRPr="002029AF">
        <w:t xml:space="preserve"> </w:t>
      </w:r>
      <w:r w:rsidRPr="002029AF">
        <w:t>making</w:t>
      </w:r>
      <w:r w:rsidR="000A5329" w:rsidRPr="002029AF">
        <w:t xml:space="preserve"> </w:t>
      </w:r>
      <w:r w:rsidRPr="002029AF">
        <w:t>of</w:t>
      </w:r>
      <w:r w:rsidR="000A5329" w:rsidRPr="002029AF">
        <w:t xml:space="preserve"> </w:t>
      </w:r>
      <w:r w:rsidRPr="002029AF">
        <w:t>disclosures</w:t>
      </w:r>
      <w:r w:rsidR="000A5329" w:rsidRPr="002029AF">
        <w:t xml:space="preserve"> </w:t>
      </w:r>
      <w:r w:rsidRPr="002029AF">
        <w:t>that</w:t>
      </w:r>
      <w:r w:rsidR="000A5329" w:rsidRPr="002029AF">
        <w:t xml:space="preserve"> </w:t>
      </w:r>
      <w:r w:rsidRPr="002029AF">
        <w:t>reveal</w:t>
      </w:r>
      <w:r w:rsidR="000A5329" w:rsidRPr="002029AF">
        <w:t xml:space="preserve"> </w:t>
      </w:r>
      <w:r w:rsidRPr="002029AF">
        <w:t>corrupt</w:t>
      </w:r>
      <w:r w:rsidR="000A5329" w:rsidRPr="002029AF">
        <w:t xml:space="preserve"> </w:t>
      </w:r>
      <w:r w:rsidRPr="002029AF">
        <w:t>conduct,</w:t>
      </w:r>
      <w:r w:rsidR="000A5329" w:rsidRPr="002029AF">
        <w:t xml:space="preserve"> </w:t>
      </w:r>
      <w:r w:rsidRPr="002029AF">
        <w:t>conduct</w:t>
      </w:r>
      <w:r w:rsidR="000A5329" w:rsidRPr="002029AF">
        <w:t xml:space="preserve"> </w:t>
      </w:r>
      <w:r w:rsidRPr="002029AF">
        <w:t>involving</w:t>
      </w:r>
      <w:r w:rsidR="000A5329" w:rsidRPr="002029AF">
        <w:t xml:space="preserve"> </w:t>
      </w:r>
      <w:r w:rsidRPr="002029AF">
        <w:t>a</w:t>
      </w:r>
      <w:r w:rsidR="000A5329" w:rsidRPr="002029AF">
        <w:t xml:space="preserve"> </w:t>
      </w:r>
      <w:r w:rsidRPr="002029AF">
        <w:t>substantial</w:t>
      </w:r>
      <w:r w:rsidR="000A5329" w:rsidRPr="002029AF">
        <w:t xml:space="preserve"> </w:t>
      </w:r>
      <w:r w:rsidRPr="002029AF">
        <w:t>mismanagement</w:t>
      </w:r>
      <w:r w:rsidR="000A5329" w:rsidRPr="002029AF">
        <w:t xml:space="preserve"> </w:t>
      </w:r>
      <w:r w:rsidRPr="002029AF">
        <w:t>of</w:t>
      </w:r>
      <w:r w:rsidR="000A5329" w:rsidRPr="002029AF">
        <w:t xml:space="preserve"> </w:t>
      </w:r>
      <w:r w:rsidRPr="002029AF">
        <w:t>public</w:t>
      </w:r>
      <w:r w:rsidR="000A5329" w:rsidRPr="002029AF">
        <w:t xml:space="preserve"> </w:t>
      </w:r>
      <w:r w:rsidRPr="002029AF">
        <w:t>resources,</w:t>
      </w:r>
      <w:r w:rsidR="000A5329" w:rsidRPr="002029AF">
        <w:t xml:space="preserve"> </w:t>
      </w:r>
      <w:r w:rsidRPr="002029AF">
        <w:t>or</w:t>
      </w:r>
      <w:r w:rsidR="000A5329" w:rsidRPr="002029AF">
        <w:t xml:space="preserve"> </w:t>
      </w:r>
      <w:r w:rsidRPr="002029AF">
        <w:t>conduct</w:t>
      </w:r>
      <w:r w:rsidR="000A5329" w:rsidRPr="002029AF">
        <w:t xml:space="preserve"> </w:t>
      </w:r>
      <w:r w:rsidRPr="002029AF">
        <w:t>involving</w:t>
      </w:r>
      <w:r w:rsidR="000A5329" w:rsidRPr="002029AF">
        <w:t xml:space="preserve"> </w:t>
      </w:r>
      <w:r w:rsidRPr="002029AF">
        <w:t>a</w:t>
      </w:r>
      <w:r w:rsidR="000A5329" w:rsidRPr="002029AF">
        <w:t xml:space="preserve"> </w:t>
      </w:r>
      <w:r w:rsidRPr="002029AF">
        <w:t>substantial</w:t>
      </w:r>
      <w:r w:rsidR="000A5329" w:rsidRPr="002029AF">
        <w:t xml:space="preserve"> </w:t>
      </w:r>
      <w:r w:rsidRPr="002029AF">
        <w:t>risk</w:t>
      </w:r>
      <w:r w:rsidR="000A5329" w:rsidRPr="002029AF">
        <w:t xml:space="preserve"> </w:t>
      </w:r>
      <w:r w:rsidRPr="002029AF">
        <w:t>to</w:t>
      </w:r>
      <w:r w:rsidR="000A5329" w:rsidRPr="002029AF">
        <w:t xml:space="preserve"> </w:t>
      </w:r>
      <w:r w:rsidRPr="002029AF">
        <w:t>public</w:t>
      </w:r>
      <w:r w:rsidR="000A5329" w:rsidRPr="002029AF">
        <w:t xml:space="preserve"> </w:t>
      </w:r>
      <w:r w:rsidRPr="002029AF">
        <w:t>health</w:t>
      </w:r>
      <w:r w:rsidR="000A5329" w:rsidRPr="002029AF">
        <w:t xml:space="preserve"> </w:t>
      </w:r>
      <w:r w:rsidRPr="002029AF">
        <w:t>and</w:t>
      </w:r>
      <w:r w:rsidR="000A5329" w:rsidRPr="002029AF">
        <w:t xml:space="preserve"> </w:t>
      </w:r>
      <w:r w:rsidRPr="002029AF">
        <w:t>safety</w:t>
      </w:r>
      <w:r w:rsidR="000A5329" w:rsidRPr="002029AF">
        <w:t xml:space="preserve"> </w:t>
      </w:r>
      <w:r w:rsidRPr="002029AF">
        <w:t>or</w:t>
      </w:r>
      <w:r w:rsidR="000A5329" w:rsidRPr="002029AF">
        <w:t xml:space="preserve"> </w:t>
      </w:r>
      <w:r w:rsidRPr="002029AF">
        <w:t>the</w:t>
      </w:r>
      <w:r w:rsidR="000A5329" w:rsidRPr="002029AF">
        <w:t xml:space="preserve"> </w:t>
      </w:r>
      <w:r w:rsidRPr="002029AF">
        <w:t>environment.</w:t>
      </w:r>
    </w:p>
    <w:p w14:paraId="7957A757" w14:textId="43707598" w:rsidR="00CF72D5" w:rsidRPr="002029AF" w:rsidRDefault="00CF72D5" w:rsidP="00897193">
      <w:pPr>
        <w:pStyle w:val="ARbody"/>
      </w:pPr>
      <w:r w:rsidRPr="002029AF">
        <w:t>The</w:t>
      </w:r>
      <w:r w:rsidR="000A5329" w:rsidRPr="002029AF">
        <w:t xml:space="preserve"> </w:t>
      </w:r>
      <w:r w:rsidRPr="002029AF">
        <w:t>department</w:t>
      </w:r>
      <w:r w:rsidR="000A5329" w:rsidRPr="002029AF">
        <w:t xml:space="preserve"> </w:t>
      </w:r>
      <w:r w:rsidRPr="002029AF">
        <w:t>will</w:t>
      </w:r>
      <w:r w:rsidR="000A5329" w:rsidRPr="002029AF">
        <w:t xml:space="preserve"> </w:t>
      </w:r>
      <w:r w:rsidRPr="002029AF">
        <w:t>take</w:t>
      </w:r>
      <w:r w:rsidR="000A5329" w:rsidRPr="002029AF">
        <w:t xml:space="preserve"> </w:t>
      </w:r>
      <w:r w:rsidRPr="002029AF">
        <w:t>all</w:t>
      </w:r>
      <w:r w:rsidR="000A5329" w:rsidRPr="002029AF">
        <w:t xml:space="preserve"> </w:t>
      </w:r>
      <w:r w:rsidRPr="002029AF">
        <w:t>reasonable</w:t>
      </w:r>
      <w:r w:rsidR="000A5329" w:rsidRPr="002029AF">
        <w:t xml:space="preserve"> </w:t>
      </w:r>
      <w:r w:rsidRPr="002029AF">
        <w:t>steps</w:t>
      </w:r>
      <w:r w:rsidR="000A5329" w:rsidRPr="002029AF">
        <w:t xml:space="preserve"> </w:t>
      </w:r>
      <w:r w:rsidRPr="002029AF">
        <w:t>to</w:t>
      </w:r>
      <w:r w:rsidR="000A5329" w:rsidRPr="002029AF">
        <w:t xml:space="preserve"> </w:t>
      </w:r>
      <w:r w:rsidRPr="002029AF">
        <w:t>protect</w:t>
      </w:r>
      <w:r w:rsidR="000A5329" w:rsidRPr="002029AF">
        <w:t xml:space="preserve"> </w:t>
      </w:r>
      <w:r w:rsidRPr="002029AF">
        <w:t>people</w:t>
      </w:r>
      <w:r w:rsidR="000A5329" w:rsidRPr="002029AF">
        <w:t xml:space="preserve"> </w:t>
      </w:r>
      <w:r w:rsidRPr="002029AF">
        <w:t>who</w:t>
      </w:r>
      <w:r w:rsidR="000A5329" w:rsidRPr="002029AF">
        <w:t xml:space="preserve"> </w:t>
      </w:r>
      <w:r w:rsidRPr="002029AF">
        <w:t>make</w:t>
      </w:r>
      <w:r w:rsidR="000A5329" w:rsidRPr="002029AF">
        <w:t xml:space="preserve"> </w:t>
      </w:r>
      <w:r w:rsidRPr="002029AF">
        <w:t>such</w:t>
      </w:r>
      <w:r w:rsidR="000A5329" w:rsidRPr="002029AF">
        <w:t xml:space="preserve"> </w:t>
      </w:r>
      <w:r w:rsidRPr="002029AF">
        <w:t>disclosures</w:t>
      </w:r>
      <w:r w:rsidR="000A5329" w:rsidRPr="002029AF">
        <w:t xml:space="preserve"> </w:t>
      </w:r>
      <w:r w:rsidRPr="002029AF">
        <w:t>from</w:t>
      </w:r>
      <w:r w:rsidR="000A5329" w:rsidRPr="002029AF">
        <w:t xml:space="preserve"> </w:t>
      </w:r>
      <w:r w:rsidRPr="002029AF">
        <w:t>any</w:t>
      </w:r>
      <w:r w:rsidR="000A5329" w:rsidRPr="002029AF">
        <w:t xml:space="preserve"> </w:t>
      </w:r>
      <w:r w:rsidRPr="002029AF">
        <w:t>detrimental</w:t>
      </w:r>
      <w:r w:rsidR="000A5329" w:rsidRPr="002029AF">
        <w:t xml:space="preserve"> </w:t>
      </w:r>
      <w:r w:rsidRPr="002029AF">
        <w:t>action</w:t>
      </w:r>
      <w:r w:rsidR="000A5329" w:rsidRPr="002029AF">
        <w:t xml:space="preserve"> </w:t>
      </w:r>
      <w:r w:rsidRPr="002029AF">
        <w:t>in</w:t>
      </w:r>
      <w:r w:rsidR="000A5329" w:rsidRPr="002029AF">
        <w:t xml:space="preserve"> </w:t>
      </w:r>
      <w:r w:rsidRPr="002029AF">
        <w:t>reprisal</w:t>
      </w:r>
      <w:r w:rsidR="000A5329" w:rsidRPr="002029AF">
        <w:t xml:space="preserve"> </w:t>
      </w:r>
      <w:r w:rsidRPr="002029AF">
        <w:t>for</w:t>
      </w:r>
      <w:r w:rsidR="000A5329" w:rsidRPr="002029AF">
        <w:t xml:space="preserve"> </w:t>
      </w:r>
      <w:r w:rsidRPr="002029AF">
        <w:t>making</w:t>
      </w:r>
      <w:r w:rsidR="000A5329" w:rsidRPr="002029AF">
        <w:t xml:space="preserve"> </w:t>
      </w:r>
      <w:r w:rsidRPr="002029AF">
        <w:t>the</w:t>
      </w:r>
      <w:r w:rsidR="000A5329" w:rsidRPr="002029AF">
        <w:t xml:space="preserve"> </w:t>
      </w:r>
      <w:r w:rsidRPr="002029AF">
        <w:t>disclosure.</w:t>
      </w:r>
      <w:r w:rsidR="000A5329" w:rsidRPr="002029AF">
        <w:t xml:space="preserve"> </w:t>
      </w:r>
      <w:r w:rsidRPr="002029AF">
        <w:t>It</w:t>
      </w:r>
      <w:r w:rsidR="000A5329" w:rsidRPr="002029AF">
        <w:t xml:space="preserve"> </w:t>
      </w:r>
      <w:r w:rsidRPr="002029AF">
        <w:t>will</w:t>
      </w:r>
      <w:r w:rsidR="000A5329" w:rsidRPr="002029AF">
        <w:t xml:space="preserve"> </w:t>
      </w:r>
      <w:r w:rsidRPr="002029AF">
        <w:t>also</w:t>
      </w:r>
      <w:r w:rsidR="000A5329" w:rsidRPr="002029AF">
        <w:t xml:space="preserve"> </w:t>
      </w:r>
      <w:r w:rsidRPr="002029AF">
        <w:t>afford</w:t>
      </w:r>
      <w:r w:rsidR="000A5329" w:rsidRPr="002029AF">
        <w:t xml:space="preserve"> </w:t>
      </w:r>
      <w:r w:rsidRPr="002029AF">
        <w:t>natural</w:t>
      </w:r>
      <w:r w:rsidR="000A5329" w:rsidRPr="002029AF">
        <w:t xml:space="preserve"> </w:t>
      </w:r>
      <w:r w:rsidRPr="002029AF">
        <w:t>justice</w:t>
      </w:r>
      <w:r w:rsidR="000A5329" w:rsidRPr="002029AF">
        <w:t xml:space="preserve"> </w:t>
      </w:r>
      <w:r w:rsidRPr="002029AF">
        <w:t>to</w:t>
      </w:r>
      <w:r w:rsidR="000A5329" w:rsidRPr="002029AF">
        <w:t xml:space="preserve"> </w:t>
      </w:r>
      <w:r w:rsidRPr="002029AF">
        <w:t>the</w:t>
      </w:r>
      <w:r w:rsidR="000A5329" w:rsidRPr="002029AF">
        <w:t xml:space="preserve"> </w:t>
      </w:r>
      <w:r w:rsidRPr="002029AF">
        <w:t>person</w:t>
      </w:r>
      <w:r w:rsidR="000A5329" w:rsidRPr="002029AF">
        <w:t xml:space="preserve"> </w:t>
      </w:r>
      <w:r w:rsidRPr="002029AF">
        <w:t>who</w:t>
      </w:r>
      <w:r w:rsidR="000A5329" w:rsidRPr="002029AF">
        <w:t xml:space="preserve"> </w:t>
      </w:r>
      <w:r w:rsidRPr="002029AF">
        <w:t>is</w:t>
      </w:r>
      <w:r w:rsidR="000A5329" w:rsidRPr="002029AF">
        <w:t xml:space="preserve"> </w:t>
      </w:r>
      <w:r w:rsidRPr="002029AF">
        <w:t>the</w:t>
      </w:r>
      <w:r w:rsidR="000A5329" w:rsidRPr="002029AF">
        <w:t xml:space="preserve"> </w:t>
      </w:r>
      <w:r w:rsidRPr="002029AF">
        <w:t>subject</w:t>
      </w:r>
      <w:r w:rsidR="000A5329" w:rsidRPr="002029AF">
        <w:t xml:space="preserve"> </w:t>
      </w:r>
      <w:r w:rsidRPr="002029AF">
        <w:t>of</w:t>
      </w:r>
      <w:r w:rsidR="000A5329" w:rsidRPr="002029AF">
        <w:t xml:space="preserve"> </w:t>
      </w:r>
      <w:r w:rsidRPr="002029AF">
        <w:t>the</w:t>
      </w:r>
      <w:r w:rsidR="000A5329" w:rsidRPr="002029AF">
        <w:t xml:space="preserve"> </w:t>
      </w:r>
      <w:r w:rsidRPr="002029AF">
        <w:t>disclosure</w:t>
      </w:r>
      <w:r w:rsidR="000A5329" w:rsidRPr="002029AF">
        <w:t xml:space="preserve"> </w:t>
      </w:r>
      <w:r w:rsidRPr="002029AF">
        <w:t>to</w:t>
      </w:r>
      <w:r w:rsidR="000A5329" w:rsidRPr="002029AF">
        <w:t xml:space="preserve"> </w:t>
      </w:r>
      <w:r w:rsidRPr="002029AF">
        <w:t>the</w:t>
      </w:r>
      <w:r w:rsidR="000A5329" w:rsidRPr="002029AF">
        <w:t xml:space="preserve"> </w:t>
      </w:r>
      <w:r w:rsidRPr="002029AF">
        <w:t>extent</w:t>
      </w:r>
      <w:r w:rsidR="000A5329" w:rsidRPr="002029AF">
        <w:t xml:space="preserve"> </w:t>
      </w:r>
      <w:r w:rsidRPr="002029AF">
        <w:t>it</w:t>
      </w:r>
      <w:r w:rsidR="000A5329" w:rsidRPr="002029AF">
        <w:t xml:space="preserve"> </w:t>
      </w:r>
      <w:r w:rsidRPr="002029AF">
        <w:t>is</w:t>
      </w:r>
      <w:r w:rsidR="000A5329" w:rsidRPr="002029AF">
        <w:t xml:space="preserve"> </w:t>
      </w:r>
      <w:r w:rsidRPr="002029AF">
        <w:t>legally</w:t>
      </w:r>
      <w:r w:rsidR="000A5329" w:rsidRPr="002029AF">
        <w:t xml:space="preserve"> </w:t>
      </w:r>
      <w:r w:rsidRPr="002029AF">
        <w:t>possible.</w:t>
      </w:r>
    </w:p>
    <w:p w14:paraId="1A398B42" w14:textId="77777777" w:rsidR="00286264" w:rsidRPr="002029AF" w:rsidRDefault="00286264" w:rsidP="00286264">
      <w:pPr>
        <w:pStyle w:val="ARbody"/>
      </w:pPr>
      <w:r w:rsidRPr="002029AF">
        <w:br w:type="page"/>
      </w:r>
    </w:p>
    <w:p w14:paraId="32BB9E2E" w14:textId="2D54687F" w:rsidR="00CF72D5" w:rsidRPr="002029AF" w:rsidRDefault="00CF72D5" w:rsidP="00897193">
      <w:pPr>
        <w:pStyle w:val="Heading3"/>
      </w:pPr>
      <w:r w:rsidRPr="002029AF">
        <w:lastRenderedPageBreak/>
        <w:t>Reporting</w:t>
      </w:r>
      <w:r w:rsidR="000A5329" w:rsidRPr="002029AF">
        <w:t xml:space="preserve"> </w:t>
      </w:r>
      <w:r w:rsidRPr="002029AF">
        <w:t>procedures</w:t>
      </w:r>
    </w:p>
    <w:p w14:paraId="62B02200" w14:textId="5BD46864" w:rsidR="00CF72D5" w:rsidRPr="002029AF" w:rsidRDefault="00CF72D5" w:rsidP="00897193">
      <w:pPr>
        <w:pStyle w:val="ARbody"/>
      </w:pPr>
      <w:r w:rsidRPr="002029AF">
        <w:t>Disclosures</w:t>
      </w:r>
      <w:r w:rsidR="000A5329" w:rsidRPr="002029AF">
        <w:t xml:space="preserve"> </w:t>
      </w:r>
      <w:r w:rsidRPr="002029AF">
        <w:t>of</w:t>
      </w:r>
      <w:r w:rsidR="000A5329" w:rsidRPr="002029AF">
        <w:t xml:space="preserve"> </w:t>
      </w:r>
      <w:r w:rsidRPr="002029AF">
        <w:t>improper</w:t>
      </w:r>
      <w:r w:rsidR="000A5329" w:rsidRPr="002029AF">
        <w:t xml:space="preserve"> </w:t>
      </w:r>
      <w:r w:rsidRPr="002029AF">
        <w:t>conduct</w:t>
      </w:r>
      <w:r w:rsidR="000A5329" w:rsidRPr="002029AF">
        <w:t xml:space="preserve"> </w:t>
      </w:r>
      <w:r w:rsidRPr="002029AF">
        <w:t>or</w:t>
      </w:r>
      <w:r w:rsidR="000A5329" w:rsidRPr="002029AF">
        <w:t xml:space="preserve"> </w:t>
      </w:r>
      <w:r w:rsidRPr="002029AF">
        <w:t>detrimental</w:t>
      </w:r>
      <w:r w:rsidR="000A5329" w:rsidRPr="002029AF">
        <w:t xml:space="preserve"> </w:t>
      </w:r>
      <w:r w:rsidRPr="002029AF">
        <w:t>action</w:t>
      </w:r>
      <w:r w:rsidR="000A5329" w:rsidRPr="002029AF">
        <w:t xml:space="preserve"> </w:t>
      </w:r>
      <w:r w:rsidRPr="002029AF">
        <w:t>by</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or</w:t>
      </w:r>
      <w:r w:rsidR="000A5329" w:rsidRPr="002029AF">
        <w:t xml:space="preserve"> </w:t>
      </w:r>
      <w:r w:rsidRPr="002029AF">
        <w:t>any</w:t>
      </w:r>
      <w:r w:rsidR="000A5329" w:rsidRPr="002029AF">
        <w:t xml:space="preserve"> </w:t>
      </w:r>
      <w:r w:rsidRPr="002029AF">
        <w:t>of</w:t>
      </w:r>
      <w:r w:rsidR="000A5329" w:rsidRPr="002029AF">
        <w:t xml:space="preserve"> </w:t>
      </w:r>
      <w:r w:rsidRPr="002029AF">
        <w:t>its</w:t>
      </w:r>
      <w:r w:rsidR="000A5329" w:rsidRPr="002029AF">
        <w:t xml:space="preserve"> </w:t>
      </w:r>
      <w:r w:rsidRPr="002029AF">
        <w:t>employees</w:t>
      </w:r>
      <w:r w:rsidR="000A5329" w:rsidRPr="002029AF">
        <w:t xml:space="preserve"> </w:t>
      </w:r>
      <w:r w:rsidRPr="002029AF">
        <w:t>may</w:t>
      </w:r>
      <w:r w:rsidR="000A5329" w:rsidRPr="002029AF">
        <w:t xml:space="preserve"> </w:t>
      </w:r>
      <w:r w:rsidRPr="002029AF">
        <w:t>be</w:t>
      </w:r>
      <w:r w:rsidR="000A5329" w:rsidRPr="002029AF">
        <w:t xml:space="preserve"> </w:t>
      </w:r>
      <w:r w:rsidRPr="002029AF">
        <w:t>made</w:t>
      </w:r>
      <w:r w:rsidR="000A5329" w:rsidRPr="002029AF">
        <w:t xml:space="preserve"> </w:t>
      </w:r>
      <w:r w:rsidRPr="002029AF">
        <w:t>to</w:t>
      </w:r>
      <w:r w:rsidR="000A5329" w:rsidRPr="002029AF">
        <w:t xml:space="preserve"> </w:t>
      </w:r>
      <w:r w:rsidRPr="002029AF">
        <w:t>any</w:t>
      </w:r>
      <w:r w:rsidR="000A5329" w:rsidRPr="002029AF">
        <w:t xml:space="preserve"> </w:t>
      </w:r>
      <w:r w:rsidRPr="002029AF">
        <w:t>of</w:t>
      </w:r>
      <w:r w:rsidR="000A5329" w:rsidRPr="002029AF">
        <w:t xml:space="preserve"> </w:t>
      </w:r>
      <w:r w:rsidRPr="002029AF">
        <w:t>the</w:t>
      </w:r>
      <w:r w:rsidR="000A5329" w:rsidRPr="002029AF">
        <w:t xml:space="preserve"> </w:t>
      </w:r>
      <w:r w:rsidRPr="002029AF">
        <w:t>following</w:t>
      </w:r>
      <w:r w:rsidR="000A5329" w:rsidRPr="002029AF">
        <w:t xml:space="preserve"> </w:t>
      </w:r>
      <w:r w:rsidRPr="002029AF">
        <w:t>department</w:t>
      </w:r>
      <w:r w:rsidR="000A5329" w:rsidRPr="002029AF">
        <w:t xml:space="preserve"> </w:t>
      </w:r>
      <w:r w:rsidRPr="002029AF">
        <w:t>personnel:</w:t>
      </w:r>
    </w:p>
    <w:p w14:paraId="1A154B4B" w14:textId="1ACEEEC9" w:rsidR="00CF72D5" w:rsidRPr="002029AF" w:rsidRDefault="00ED2AD5" w:rsidP="00897193">
      <w:pPr>
        <w:pStyle w:val="ARbullet1"/>
      </w:pPr>
      <w:r w:rsidRPr="002029AF">
        <w:t>The</w:t>
      </w:r>
      <w:r w:rsidR="000A5329" w:rsidRPr="002029AF">
        <w:t xml:space="preserve"> </w:t>
      </w:r>
      <w:r w:rsidR="00CF72D5" w:rsidRPr="002029AF">
        <w:t>Secretary</w:t>
      </w:r>
    </w:p>
    <w:p w14:paraId="7AFF1CBE" w14:textId="27192827" w:rsidR="000A5329" w:rsidRPr="002029AF" w:rsidRDefault="00CF72D5" w:rsidP="00897193">
      <w:pPr>
        <w:pStyle w:val="ARbullet1"/>
      </w:pPr>
      <w:r w:rsidRPr="002029AF">
        <w:t>public</w:t>
      </w:r>
      <w:r w:rsidR="000A5329" w:rsidRPr="002029AF">
        <w:t xml:space="preserve"> </w:t>
      </w:r>
      <w:r w:rsidRPr="002029AF">
        <w:t>interest</w:t>
      </w:r>
      <w:r w:rsidR="000A5329" w:rsidRPr="002029AF">
        <w:t xml:space="preserve"> </w:t>
      </w:r>
      <w:r w:rsidRPr="002029AF">
        <w:t>disclosure</w:t>
      </w:r>
      <w:r w:rsidR="000A5329" w:rsidRPr="002029AF">
        <w:t xml:space="preserve"> </w:t>
      </w:r>
      <w:r w:rsidRPr="002029AF">
        <w:t>coordinators</w:t>
      </w:r>
    </w:p>
    <w:p w14:paraId="2C407376" w14:textId="6DEEB68A" w:rsidR="00CF72D5" w:rsidRPr="002029AF" w:rsidRDefault="00CF72D5" w:rsidP="00897193">
      <w:pPr>
        <w:pStyle w:val="ARbullet1"/>
      </w:pPr>
      <w:r w:rsidRPr="002029AF">
        <w:t>manager</w:t>
      </w:r>
      <w:r w:rsidR="000A5329" w:rsidRPr="002029AF">
        <w:t xml:space="preserve"> </w:t>
      </w:r>
      <w:r w:rsidRPr="002029AF">
        <w:t>or</w:t>
      </w:r>
      <w:r w:rsidR="000A5329" w:rsidRPr="002029AF">
        <w:t xml:space="preserve"> </w:t>
      </w:r>
      <w:r w:rsidRPr="002029AF">
        <w:t>supervisor</w:t>
      </w:r>
      <w:r w:rsidR="000A5329" w:rsidRPr="002029AF">
        <w:t xml:space="preserve"> </w:t>
      </w:r>
      <w:r w:rsidRPr="002029AF">
        <w:t>of</w:t>
      </w:r>
      <w:r w:rsidR="000A5329" w:rsidRPr="002029AF">
        <w:t xml:space="preserve"> </w:t>
      </w:r>
      <w:r w:rsidRPr="002029AF">
        <w:t>the</w:t>
      </w:r>
      <w:r w:rsidR="000A5329" w:rsidRPr="002029AF">
        <w:t xml:space="preserve"> </w:t>
      </w:r>
      <w:r w:rsidRPr="002029AF">
        <w:t>discloser</w:t>
      </w:r>
    </w:p>
    <w:p w14:paraId="3F9A4644" w14:textId="0A4ABC56" w:rsidR="00CF72D5" w:rsidRPr="002029AF" w:rsidRDefault="00CF72D5" w:rsidP="00897193">
      <w:pPr>
        <w:pStyle w:val="ARbullet1"/>
      </w:pPr>
      <w:r w:rsidRPr="002029AF">
        <w:t>manager</w:t>
      </w:r>
      <w:r w:rsidR="000A5329" w:rsidRPr="002029AF">
        <w:t xml:space="preserve"> </w:t>
      </w:r>
      <w:r w:rsidRPr="002029AF">
        <w:t>or</w:t>
      </w:r>
      <w:r w:rsidR="000A5329" w:rsidRPr="002029AF">
        <w:t xml:space="preserve"> </w:t>
      </w:r>
      <w:r w:rsidRPr="002029AF">
        <w:t>supervisor</w:t>
      </w:r>
      <w:r w:rsidR="000A5329" w:rsidRPr="002029AF">
        <w:t xml:space="preserve"> </w:t>
      </w:r>
      <w:r w:rsidRPr="002029AF">
        <w:t>of</w:t>
      </w:r>
      <w:r w:rsidR="000A5329" w:rsidRPr="002029AF">
        <w:t xml:space="preserve"> </w:t>
      </w:r>
      <w:r w:rsidRPr="002029AF">
        <w:t>the</w:t>
      </w:r>
      <w:r w:rsidR="000A5329" w:rsidRPr="002029AF">
        <w:t xml:space="preserve"> </w:t>
      </w:r>
      <w:r w:rsidRPr="002029AF">
        <w:t>person</w:t>
      </w:r>
      <w:r w:rsidR="000A5329" w:rsidRPr="002029AF">
        <w:t xml:space="preserve"> </w:t>
      </w:r>
      <w:r w:rsidRPr="002029AF">
        <w:t>who</w:t>
      </w:r>
      <w:r w:rsidR="000A5329" w:rsidRPr="002029AF">
        <w:t xml:space="preserve"> </w:t>
      </w:r>
      <w:r w:rsidRPr="002029AF">
        <w:t>is</w:t>
      </w:r>
      <w:r w:rsidR="00286264" w:rsidRPr="002029AF">
        <w:t> </w:t>
      </w:r>
      <w:r w:rsidRPr="002029AF">
        <w:t>the</w:t>
      </w:r>
      <w:r w:rsidR="00286264" w:rsidRPr="002029AF">
        <w:t> </w:t>
      </w:r>
      <w:r w:rsidRPr="002029AF">
        <w:t>subject</w:t>
      </w:r>
      <w:r w:rsidR="000A5329" w:rsidRPr="002029AF">
        <w:t xml:space="preserve"> </w:t>
      </w:r>
      <w:r w:rsidRPr="002029AF">
        <w:t>of</w:t>
      </w:r>
      <w:r w:rsidR="000A5329" w:rsidRPr="002029AF">
        <w:t xml:space="preserve"> </w:t>
      </w:r>
      <w:r w:rsidRPr="002029AF">
        <w:t>the</w:t>
      </w:r>
      <w:r w:rsidR="000A5329" w:rsidRPr="002029AF">
        <w:t xml:space="preserve"> </w:t>
      </w:r>
      <w:r w:rsidRPr="002029AF">
        <w:t>disclosure.</w:t>
      </w:r>
    </w:p>
    <w:p w14:paraId="1C8674B9" w14:textId="450F0011" w:rsidR="00CF72D5" w:rsidRPr="002029AF" w:rsidRDefault="00CF72D5" w:rsidP="00897193">
      <w:pPr>
        <w:pStyle w:val="ARbodyafterbullets"/>
      </w:pPr>
      <w:r w:rsidRPr="002029AF">
        <w:t>Alternatively,</w:t>
      </w:r>
      <w:r w:rsidR="000A5329" w:rsidRPr="002029AF">
        <w:t xml:space="preserve"> </w:t>
      </w:r>
      <w:r w:rsidRPr="002029AF">
        <w:t>disclosures</w:t>
      </w:r>
      <w:r w:rsidR="000A5329" w:rsidRPr="002029AF">
        <w:t xml:space="preserve"> </w:t>
      </w:r>
      <w:r w:rsidRPr="002029AF">
        <w:t>may</w:t>
      </w:r>
      <w:r w:rsidR="000A5329" w:rsidRPr="002029AF">
        <w:t xml:space="preserve"> </w:t>
      </w:r>
      <w:r w:rsidRPr="002029AF">
        <w:t>also</w:t>
      </w:r>
      <w:r w:rsidR="000A5329" w:rsidRPr="002029AF">
        <w:t xml:space="preserve"> </w:t>
      </w:r>
      <w:r w:rsidRPr="002029AF">
        <w:t>be</w:t>
      </w:r>
      <w:r w:rsidR="000A5329" w:rsidRPr="002029AF">
        <w:t xml:space="preserve"> </w:t>
      </w:r>
      <w:r w:rsidRPr="002029AF">
        <w:t>made</w:t>
      </w:r>
      <w:r w:rsidR="000A5329" w:rsidRPr="002029AF">
        <w:t xml:space="preserve"> </w:t>
      </w:r>
      <w:r w:rsidRPr="002029AF">
        <w:t>directly</w:t>
      </w:r>
      <w:r w:rsidR="00286264" w:rsidRPr="002029AF">
        <w:t> </w:t>
      </w:r>
      <w:r w:rsidRPr="002029AF">
        <w:t>to</w:t>
      </w:r>
      <w:r w:rsidR="000A5329" w:rsidRPr="002029AF">
        <w:t xml:space="preserve"> </w:t>
      </w:r>
      <w:r w:rsidRPr="002029AF">
        <w:t>the</w:t>
      </w:r>
      <w:r w:rsidR="000A5329" w:rsidRPr="002029AF">
        <w:t xml:space="preserve"> </w:t>
      </w:r>
      <w:r w:rsidRPr="002029AF">
        <w:t>Independent</w:t>
      </w:r>
      <w:r w:rsidR="000A5329" w:rsidRPr="002029AF">
        <w:t xml:space="preserve"> </w:t>
      </w:r>
      <w:r w:rsidRPr="002029AF">
        <w:t>Broad-based</w:t>
      </w:r>
      <w:r w:rsidR="000A5329" w:rsidRPr="002029AF">
        <w:t xml:space="preserve"> </w:t>
      </w:r>
      <w:r w:rsidRPr="002029AF">
        <w:br/>
        <w:t>Anti-corruption</w:t>
      </w:r>
      <w:r w:rsidR="000A5329" w:rsidRPr="002029AF">
        <w:t xml:space="preserve"> </w:t>
      </w:r>
      <w:r w:rsidRPr="002029AF">
        <w:t>Commission:</w:t>
      </w:r>
    </w:p>
    <w:p w14:paraId="6D38A4C3" w14:textId="336C7265" w:rsidR="00CF72D5" w:rsidRPr="002029AF" w:rsidRDefault="00CF72D5">
      <w:pPr>
        <w:pStyle w:val="ARbody"/>
      </w:pPr>
      <w:r w:rsidRPr="002029AF">
        <w:t>Level</w:t>
      </w:r>
      <w:r w:rsidR="000A5329" w:rsidRPr="002029AF">
        <w:t xml:space="preserve"> </w:t>
      </w:r>
      <w:r w:rsidRPr="002029AF">
        <w:t>1,</w:t>
      </w:r>
      <w:r w:rsidR="000A5329" w:rsidRPr="002029AF">
        <w:t xml:space="preserve"> </w:t>
      </w:r>
      <w:r w:rsidRPr="002029AF">
        <w:t>North</w:t>
      </w:r>
      <w:r w:rsidR="000A5329" w:rsidRPr="002029AF">
        <w:t xml:space="preserve"> </w:t>
      </w:r>
      <w:r w:rsidRPr="002029AF">
        <w:t>Tower,</w:t>
      </w:r>
      <w:r w:rsidR="000A5329" w:rsidRPr="002029AF">
        <w:t xml:space="preserve"> </w:t>
      </w:r>
      <w:r w:rsidRPr="002029AF">
        <w:t>459</w:t>
      </w:r>
      <w:r w:rsidR="000A5329" w:rsidRPr="002029AF">
        <w:t xml:space="preserve"> </w:t>
      </w:r>
      <w:r w:rsidRPr="002029AF">
        <w:t>Collins</w:t>
      </w:r>
      <w:r w:rsidR="000A5329" w:rsidRPr="002029AF">
        <w:t xml:space="preserve"> </w:t>
      </w:r>
      <w:r w:rsidRPr="002029AF">
        <w:t>Street</w:t>
      </w:r>
      <w:r w:rsidRPr="002029AF">
        <w:br/>
        <w:t>Melbourne</w:t>
      </w:r>
      <w:r w:rsidR="000A5329" w:rsidRPr="002029AF">
        <w:t xml:space="preserve"> </w:t>
      </w:r>
      <w:r w:rsidRPr="002029AF">
        <w:t>VIC</w:t>
      </w:r>
      <w:r w:rsidR="000A5329" w:rsidRPr="002029AF">
        <w:t xml:space="preserve"> </w:t>
      </w:r>
      <w:r w:rsidRPr="002029AF">
        <w:t>3000</w:t>
      </w:r>
      <w:r w:rsidRPr="002029AF">
        <w:br/>
        <w:t>Phone:</w:t>
      </w:r>
      <w:r w:rsidR="000A5329" w:rsidRPr="002029AF">
        <w:t xml:space="preserve"> </w:t>
      </w:r>
      <w:r w:rsidRPr="002029AF">
        <w:t>1300</w:t>
      </w:r>
      <w:r w:rsidR="000A5329" w:rsidRPr="002029AF">
        <w:t xml:space="preserve"> </w:t>
      </w:r>
      <w:r w:rsidRPr="002029AF">
        <w:t>735</w:t>
      </w:r>
      <w:r w:rsidR="000A5329" w:rsidRPr="002029AF">
        <w:t xml:space="preserve"> </w:t>
      </w:r>
      <w:r w:rsidRPr="002029AF">
        <w:t>135</w:t>
      </w:r>
      <w:r w:rsidRPr="002029AF">
        <w:br/>
        <w:t>Internet:</w:t>
      </w:r>
      <w:r w:rsidR="000A5329" w:rsidRPr="002029AF">
        <w:t xml:space="preserve"> </w:t>
      </w:r>
      <w:hyperlink r:id="rId148">
        <w:r w:rsidRPr="002029AF">
          <w:rPr>
            <w:rStyle w:val="Hyperlink"/>
          </w:rPr>
          <w:t>Broad-based</w:t>
        </w:r>
        <w:r w:rsidR="000A5329" w:rsidRPr="002029AF">
          <w:rPr>
            <w:rStyle w:val="Hyperlink"/>
          </w:rPr>
          <w:t xml:space="preserve"> </w:t>
        </w:r>
        <w:r w:rsidRPr="002029AF">
          <w:rPr>
            <w:rStyle w:val="Hyperlink"/>
          </w:rPr>
          <w:t>Anti-corruption</w:t>
        </w:r>
        <w:r w:rsidR="000A5329" w:rsidRPr="002029AF">
          <w:rPr>
            <w:rStyle w:val="Hyperlink"/>
          </w:rPr>
          <w:t xml:space="preserve"> </w:t>
        </w:r>
        <w:r w:rsidRPr="002029AF">
          <w:rPr>
            <w:rStyle w:val="Hyperlink"/>
          </w:rPr>
          <w:t>Commission</w:t>
        </w:r>
      </w:hyperlink>
      <w:r w:rsidR="000A5329" w:rsidRPr="002029AF">
        <w:t xml:space="preserve"> </w:t>
      </w:r>
      <w:r w:rsidRPr="002029AF">
        <w:t>&lt;https://www.ibac.vic.gov.au/&gt;</w:t>
      </w:r>
      <w:r w:rsidRPr="002029AF">
        <w:br/>
      </w:r>
      <w:hyperlink r:id="rId149">
        <w:r w:rsidRPr="002029AF">
          <w:rPr>
            <w:rStyle w:val="Hyperlink"/>
          </w:rPr>
          <w:t>Email</w:t>
        </w:r>
        <w:r w:rsidR="000A5329" w:rsidRPr="002029AF">
          <w:rPr>
            <w:rStyle w:val="Hyperlink"/>
          </w:rPr>
          <w:t xml:space="preserve"> </w:t>
        </w:r>
        <w:r w:rsidRPr="002029AF">
          <w:rPr>
            <w:rStyle w:val="Hyperlink"/>
          </w:rPr>
          <w:t>IBAC</w:t>
        </w:r>
      </w:hyperlink>
      <w:r w:rsidR="000A5329" w:rsidRPr="002029AF">
        <w:t xml:space="preserve"> </w:t>
      </w:r>
      <w:r w:rsidRPr="002029AF">
        <w:t>&lt;</w:t>
      </w:r>
      <w:r w:rsidR="000A5329" w:rsidRPr="002029AF">
        <w:t xml:space="preserve"> </w:t>
      </w:r>
      <w:r w:rsidRPr="0068615A">
        <w:rPr>
          <w:sz w:val="21"/>
          <w:szCs w:val="21"/>
        </w:rPr>
        <w:t>info@ibac.vic.gov.au</w:t>
      </w:r>
      <w:r w:rsidRPr="002029AF">
        <w:t>&gt;.</w:t>
      </w:r>
    </w:p>
    <w:p w14:paraId="3115B897" w14:textId="0A74D68C" w:rsidR="00CF72D5" w:rsidRPr="002029AF" w:rsidRDefault="00CF72D5" w:rsidP="00897193">
      <w:pPr>
        <w:pStyle w:val="Heading3"/>
      </w:pPr>
      <w:r w:rsidRPr="002029AF">
        <w:t>Further</w:t>
      </w:r>
      <w:r w:rsidR="000A5329" w:rsidRPr="002029AF">
        <w:t xml:space="preserve"> </w:t>
      </w:r>
      <w:r w:rsidRPr="002029AF">
        <w:t>information</w:t>
      </w:r>
    </w:p>
    <w:p w14:paraId="29573420" w14:textId="15B87BD0" w:rsidR="00CF72D5" w:rsidRPr="002029AF" w:rsidRDefault="00CF72D5" w:rsidP="00897193">
      <w:pPr>
        <w:pStyle w:val="ARbody"/>
      </w:pPr>
      <w:r w:rsidRPr="002029AF">
        <w:t>The</w:t>
      </w:r>
      <w:r w:rsidR="000A5329" w:rsidRPr="002029AF">
        <w:t xml:space="preserve"> </w:t>
      </w:r>
      <w:r w:rsidRPr="002029AF">
        <w:t>public</w:t>
      </w:r>
      <w:r w:rsidR="000A5329" w:rsidRPr="002029AF">
        <w:t xml:space="preserve"> </w:t>
      </w:r>
      <w:r w:rsidRPr="002029AF">
        <w:t>interest</w:t>
      </w:r>
      <w:r w:rsidR="000A5329" w:rsidRPr="002029AF">
        <w:t xml:space="preserve"> </w:t>
      </w:r>
      <w:r w:rsidR="000343EC" w:rsidRPr="002029AF">
        <w:t>disclosures</w:t>
      </w:r>
      <w:r w:rsidR="000A5329" w:rsidRPr="002029AF">
        <w:t xml:space="preserve"> </w:t>
      </w:r>
      <w:r w:rsidR="000343EC" w:rsidRPr="002029AF">
        <w:t>policy</w:t>
      </w:r>
      <w:r w:rsidR="000A5329" w:rsidRPr="002029AF">
        <w:t xml:space="preserve"> </w:t>
      </w:r>
      <w:r w:rsidRPr="002029AF">
        <w:t>and</w:t>
      </w:r>
      <w:r w:rsidR="000A5329" w:rsidRPr="002029AF">
        <w:t xml:space="preserve"> </w:t>
      </w:r>
      <w:r w:rsidRPr="002029AF">
        <w:t>procedures,</w:t>
      </w:r>
      <w:r w:rsidR="000A5329" w:rsidRPr="002029AF">
        <w:t xml:space="preserve"> </w:t>
      </w:r>
      <w:r w:rsidRPr="002029AF">
        <w:t>which</w:t>
      </w:r>
      <w:r w:rsidR="000A5329" w:rsidRPr="002029AF">
        <w:t xml:space="preserve"> </w:t>
      </w:r>
      <w:r w:rsidRPr="002029AF">
        <w:t>outline</w:t>
      </w:r>
      <w:r w:rsidR="000A5329" w:rsidRPr="002029AF">
        <w:t xml:space="preserve"> </w:t>
      </w:r>
      <w:r w:rsidRPr="002029AF">
        <w:t>the</w:t>
      </w:r>
      <w:r w:rsidR="000A5329" w:rsidRPr="002029AF">
        <w:t xml:space="preserve"> </w:t>
      </w:r>
      <w:r w:rsidRPr="002029AF">
        <w:t>system</w:t>
      </w:r>
      <w:r w:rsidR="000A5329" w:rsidRPr="002029AF">
        <w:t xml:space="preserve"> </w:t>
      </w:r>
      <w:r w:rsidRPr="002029AF">
        <w:t>for</w:t>
      </w:r>
      <w:r w:rsidR="000A5329" w:rsidRPr="002029AF">
        <w:t xml:space="preserve"> </w:t>
      </w:r>
      <w:r w:rsidRPr="002029AF">
        <w:t>reporting</w:t>
      </w:r>
      <w:r w:rsidR="000A5329" w:rsidRPr="002029AF">
        <w:t xml:space="preserve"> </w:t>
      </w:r>
      <w:r w:rsidRPr="002029AF">
        <w:t>disclosures</w:t>
      </w:r>
      <w:r w:rsidR="000A5329" w:rsidRPr="002029AF">
        <w:t xml:space="preserve"> </w:t>
      </w:r>
      <w:r w:rsidRPr="002029AF">
        <w:t>of</w:t>
      </w:r>
      <w:r w:rsidR="000A5329" w:rsidRPr="002029AF">
        <w:t xml:space="preserve"> </w:t>
      </w:r>
      <w:r w:rsidRPr="002029AF">
        <w:t>improper</w:t>
      </w:r>
      <w:r w:rsidR="000A5329" w:rsidRPr="002029AF">
        <w:t xml:space="preserve"> </w:t>
      </w:r>
      <w:r w:rsidRPr="002029AF">
        <w:t>conduct</w:t>
      </w:r>
      <w:r w:rsidR="000A5329" w:rsidRPr="002029AF">
        <w:t xml:space="preserve"> </w:t>
      </w:r>
      <w:r w:rsidRPr="002029AF">
        <w:t>or</w:t>
      </w:r>
      <w:r w:rsidR="000A5329" w:rsidRPr="002029AF">
        <w:t xml:space="preserve"> </w:t>
      </w:r>
      <w:r w:rsidRPr="002029AF">
        <w:t>detrimental</w:t>
      </w:r>
      <w:r w:rsidR="000A5329" w:rsidRPr="002029AF">
        <w:t xml:space="preserve"> </w:t>
      </w:r>
      <w:r w:rsidRPr="002029AF">
        <w:t>action</w:t>
      </w:r>
      <w:r w:rsidR="000A5329" w:rsidRPr="002029AF">
        <w:t xml:space="preserve"> </w:t>
      </w:r>
      <w:r w:rsidRPr="002029AF">
        <w:t>by</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or</w:t>
      </w:r>
      <w:r w:rsidR="000A5329" w:rsidRPr="002029AF">
        <w:t xml:space="preserve"> </w:t>
      </w:r>
      <w:r w:rsidRPr="002029AF">
        <w:t>any</w:t>
      </w:r>
      <w:r w:rsidR="000A5329" w:rsidRPr="002029AF">
        <w:t xml:space="preserve"> </w:t>
      </w:r>
      <w:r w:rsidRPr="002029AF">
        <w:t>of</w:t>
      </w:r>
      <w:r w:rsidR="000A5329" w:rsidRPr="002029AF">
        <w:t xml:space="preserve"> </w:t>
      </w:r>
      <w:r w:rsidRPr="002029AF">
        <w:t>its</w:t>
      </w:r>
      <w:r w:rsidR="000A5329" w:rsidRPr="002029AF">
        <w:t xml:space="preserve"> </w:t>
      </w:r>
      <w:r w:rsidRPr="002029AF">
        <w:t>employees</w:t>
      </w:r>
      <w:r w:rsidR="000A5329" w:rsidRPr="002029AF">
        <w:t xml:space="preserve"> </w:t>
      </w:r>
      <w:r w:rsidRPr="002029AF">
        <w:t>and/or</w:t>
      </w:r>
      <w:r w:rsidR="000A5329" w:rsidRPr="002029AF">
        <w:t xml:space="preserve"> </w:t>
      </w:r>
      <w:r w:rsidRPr="002029AF">
        <w:t>officers,</w:t>
      </w:r>
      <w:r w:rsidR="000A5329" w:rsidRPr="002029AF">
        <w:t xml:space="preserve"> </w:t>
      </w:r>
      <w:r w:rsidRPr="002029AF">
        <w:t>are</w:t>
      </w:r>
      <w:r w:rsidR="000A5329" w:rsidRPr="002029AF">
        <w:t xml:space="preserve"> </w:t>
      </w:r>
      <w:r w:rsidRPr="002029AF">
        <w:t>available:</w:t>
      </w:r>
    </w:p>
    <w:p w14:paraId="11777D1B" w14:textId="626D6D7F" w:rsidR="00CF72D5" w:rsidRPr="002029AF" w:rsidRDefault="00CF72D5" w:rsidP="00897193">
      <w:pPr>
        <w:pStyle w:val="ARbullet1"/>
        <w:ind w:right="-229"/>
        <w:rPr>
          <w:rFonts w:asciiTheme="minorHAnsi" w:eastAsiaTheme="minorEastAsia" w:hAnsiTheme="minorHAnsi" w:cstheme="minorBidi"/>
        </w:rPr>
      </w:pPr>
      <w:r w:rsidRPr="002029AF">
        <w:t>on</w:t>
      </w:r>
      <w:r w:rsidR="000A5329" w:rsidRPr="002029AF">
        <w:t xml:space="preserve"> </w:t>
      </w:r>
      <w:r w:rsidRPr="002029AF">
        <w:t>the</w:t>
      </w:r>
      <w:r w:rsidR="000A5329" w:rsidRPr="002029AF">
        <w:t xml:space="preserve"> </w:t>
      </w:r>
      <w:r w:rsidRPr="002029AF">
        <w:t>department’s</w:t>
      </w:r>
      <w:r w:rsidR="000A5329" w:rsidRPr="002029AF">
        <w:t xml:space="preserve"> </w:t>
      </w:r>
      <w:hyperlink r:id="rId150" w:history="1">
        <w:r w:rsidRPr="002029AF">
          <w:rPr>
            <w:rStyle w:val="Hyperlink"/>
          </w:rPr>
          <w:t>public</w:t>
        </w:r>
        <w:r w:rsidR="000A5329" w:rsidRPr="002029AF">
          <w:rPr>
            <w:rStyle w:val="Hyperlink"/>
          </w:rPr>
          <w:t xml:space="preserve"> </w:t>
        </w:r>
        <w:r w:rsidRPr="002029AF">
          <w:rPr>
            <w:rStyle w:val="Hyperlink"/>
          </w:rPr>
          <w:t>interest</w:t>
        </w:r>
        <w:r w:rsidR="000A5329" w:rsidRPr="002029AF">
          <w:rPr>
            <w:rStyle w:val="Hyperlink"/>
          </w:rPr>
          <w:t xml:space="preserve"> </w:t>
        </w:r>
        <w:r w:rsidRPr="002029AF">
          <w:rPr>
            <w:rStyle w:val="Hyperlink"/>
          </w:rPr>
          <w:t>disclosures</w:t>
        </w:r>
        <w:r w:rsidR="000A5329" w:rsidRPr="002029AF">
          <w:rPr>
            <w:rStyle w:val="Hyperlink"/>
          </w:rPr>
          <w:t xml:space="preserve"> </w:t>
        </w:r>
        <w:r w:rsidRPr="002029AF">
          <w:rPr>
            <w:rStyle w:val="Hyperlink"/>
          </w:rPr>
          <w:t>web</w:t>
        </w:r>
        <w:r w:rsidR="00286264" w:rsidRPr="002029AF">
          <w:rPr>
            <w:rStyle w:val="Hyperlink"/>
          </w:rPr>
          <w:t xml:space="preserve"> </w:t>
        </w:r>
        <w:r w:rsidR="000343EC" w:rsidRPr="002029AF">
          <w:rPr>
            <w:rStyle w:val="Hyperlink"/>
          </w:rPr>
          <w:t>page</w:t>
        </w:r>
      </w:hyperlink>
      <w:r w:rsidR="000A5329" w:rsidRPr="002029AF">
        <w:t xml:space="preserve"> </w:t>
      </w:r>
      <w:r w:rsidR="000343EC" w:rsidRPr="002029AF">
        <w:t>&lt;</w:t>
      </w:r>
      <w:r w:rsidRPr="002029AF">
        <w:t>https://providers.dhhs.vic.gov.au/public-interest-disclosure&gt;</w:t>
      </w:r>
    </w:p>
    <w:p w14:paraId="3007213E" w14:textId="1B0E950E" w:rsidR="00CF72D5" w:rsidRPr="002029AF" w:rsidRDefault="00CF72D5" w:rsidP="00AE3EA3">
      <w:pPr>
        <w:pStyle w:val="ARbullet1"/>
        <w:rPr>
          <w:lang w:eastAsia="en-AU"/>
        </w:rPr>
      </w:pPr>
      <w:r w:rsidRPr="002029AF">
        <w:t>by</w:t>
      </w:r>
      <w:r w:rsidR="000A5329" w:rsidRPr="002029AF">
        <w:t xml:space="preserve"> </w:t>
      </w:r>
      <w:hyperlink r:id="rId151" w:history="1">
        <w:r w:rsidRPr="002029AF">
          <w:rPr>
            <w:rStyle w:val="Hyperlink"/>
          </w:rPr>
          <w:t>emailing</w:t>
        </w:r>
        <w:r w:rsidR="000A5329" w:rsidRPr="002029AF">
          <w:rPr>
            <w:rStyle w:val="Hyperlink"/>
          </w:rPr>
          <w:t xml:space="preserve"> </w:t>
        </w:r>
        <w:r w:rsidRPr="002029AF">
          <w:rPr>
            <w:rStyle w:val="Hyperlink"/>
          </w:rPr>
          <w:t>the</w:t>
        </w:r>
        <w:r w:rsidR="000A5329" w:rsidRPr="002029AF">
          <w:rPr>
            <w:rStyle w:val="Hyperlink"/>
          </w:rPr>
          <w:t xml:space="preserve"> </w:t>
        </w:r>
        <w:r w:rsidRPr="002029AF">
          <w:rPr>
            <w:rStyle w:val="Hyperlink"/>
          </w:rPr>
          <w:t>public</w:t>
        </w:r>
        <w:r w:rsidR="000A5329" w:rsidRPr="002029AF">
          <w:rPr>
            <w:rStyle w:val="Hyperlink"/>
          </w:rPr>
          <w:t xml:space="preserve"> </w:t>
        </w:r>
        <w:r w:rsidRPr="002029AF">
          <w:rPr>
            <w:rStyle w:val="Hyperlink"/>
          </w:rPr>
          <w:t>interest</w:t>
        </w:r>
        <w:r w:rsidR="000A5329" w:rsidRPr="002029AF">
          <w:rPr>
            <w:rStyle w:val="Hyperlink"/>
          </w:rPr>
          <w:t xml:space="preserve"> </w:t>
        </w:r>
        <w:r w:rsidRPr="002029AF">
          <w:rPr>
            <w:rStyle w:val="Hyperlink"/>
          </w:rPr>
          <w:t>disclosure</w:t>
        </w:r>
        <w:r w:rsidR="000A5329" w:rsidRPr="002029AF">
          <w:rPr>
            <w:rStyle w:val="Hyperlink"/>
          </w:rPr>
          <w:t xml:space="preserve"> </w:t>
        </w:r>
        <w:r w:rsidRPr="002029AF">
          <w:rPr>
            <w:rStyle w:val="Hyperlink"/>
          </w:rPr>
          <w:t>coordinators</w:t>
        </w:r>
      </w:hyperlink>
      <w:r w:rsidR="000A5329" w:rsidRPr="002029AF">
        <w:t xml:space="preserve"> </w:t>
      </w:r>
      <w:r w:rsidRPr="002029AF">
        <w:t>&lt;public.interest.disclosures@</w:t>
      </w:r>
      <w:r w:rsidR="00791FED">
        <w:br/>
      </w:r>
      <w:r w:rsidRPr="002029AF">
        <w:t>dhhs.vic.gov.au&gt;</w:t>
      </w:r>
    </w:p>
    <w:p w14:paraId="1C93165A" w14:textId="67E8D321" w:rsidR="00CF72D5" w:rsidRPr="002029AF" w:rsidRDefault="00CF72D5" w:rsidP="00897193">
      <w:pPr>
        <w:pStyle w:val="ARbullet1"/>
        <w:spacing w:after="240"/>
        <w:rPr>
          <w:rFonts w:asciiTheme="minorHAnsi" w:eastAsiaTheme="minorEastAsia" w:hAnsiTheme="minorHAnsi" w:cstheme="minorBidi"/>
        </w:rPr>
      </w:pPr>
      <w:r w:rsidRPr="002029AF">
        <w:t>by</w:t>
      </w:r>
      <w:r w:rsidR="000A5329" w:rsidRPr="002029AF">
        <w:t xml:space="preserve"> </w:t>
      </w:r>
      <w:r w:rsidRPr="002029AF">
        <w:t>phoning</w:t>
      </w:r>
      <w:r w:rsidR="000A5329" w:rsidRPr="002029AF">
        <w:t xml:space="preserve"> </w:t>
      </w:r>
      <w:r w:rsidRPr="002029AF">
        <w:t>a</w:t>
      </w:r>
      <w:r w:rsidR="000A5329" w:rsidRPr="002029AF">
        <w:t xml:space="preserve"> </w:t>
      </w:r>
      <w:r w:rsidRPr="002029AF">
        <w:t>department</w:t>
      </w:r>
      <w:r w:rsidR="000A5329" w:rsidRPr="002029AF">
        <w:t xml:space="preserve"> </w:t>
      </w:r>
      <w:r w:rsidRPr="002029AF">
        <w:t>public</w:t>
      </w:r>
      <w:r w:rsidR="000A5329" w:rsidRPr="002029AF">
        <w:t xml:space="preserve"> </w:t>
      </w:r>
      <w:r w:rsidRPr="002029AF">
        <w:t>interest</w:t>
      </w:r>
      <w:r w:rsidR="000A5329" w:rsidRPr="002029AF">
        <w:t xml:space="preserve"> </w:t>
      </w:r>
      <w:r w:rsidRPr="002029AF">
        <w:t>disclosure</w:t>
      </w:r>
      <w:r w:rsidR="000A5329" w:rsidRPr="002029AF">
        <w:t xml:space="preserve"> </w:t>
      </w:r>
      <w:r w:rsidRPr="002029AF">
        <w:t>coordinator</w:t>
      </w:r>
      <w:r w:rsidR="000A5329" w:rsidRPr="002029AF">
        <w:t xml:space="preserve"> </w:t>
      </w:r>
      <w:r w:rsidRPr="002029AF">
        <w:t>on</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integrity</w:t>
      </w:r>
      <w:r w:rsidR="000A5329" w:rsidRPr="002029AF">
        <w:t xml:space="preserve"> </w:t>
      </w:r>
      <w:r w:rsidRPr="002029AF">
        <w:t>hotline:</w:t>
      </w:r>
      <w:r w:rsidR="000A5329" w:rsidRPr="002029AF">
        <w:t xml:space="preserve"> </w:t>
      </w:r>
      <w:r w:rsidRPr="002029AF">
        <w:t>1300</w:t>
      </w:r>
      <w:r w:rsidR="000A5329" w:rsidRPr="002029AF">
        <w:t xml:space="preserve"> </w:t>
      </w:r>
      <w:r w:rsidRPr="002029AF">
        <w:t>131</w:t>
      </w:r>
      <w:r w:rsidR="000A5329" w:rsidRPr="002029AF">
        <w:t xml:space="preserve"> </w:t>
      </w:r>
      <w:r w:rsidRPr="002029AF">
        <w:t>431</w:t>
      </w:r>
      <w:r w:rsidR="00E30F62" w:rsidRPr="002029AF">
        <w:t>.</w:t>
      </w:r>
    </w:p>
    <w:tbl>
      <w:tblPr>
        <w:tblW w:w="4593" w:type="dxa"/>
        <w:tblBorders>
          <w:bottom w:val="single" w:sz="4" w:space="0" w:color="auto"/>
          <w:insideH w:val="single" w:sz="4" w:space="0" w:color="auto"/>
        </w:tblBorders>
        <w:tblCellMar>
          <w:left w:w="0" w:type="dxa"/>
        </w:tblCellMar>
        <w:tblLook w:val="0020" w:firstRow="1" w:lastRow="0" w:firstColumn="0" w:lastColumn="0" w:noHBand="0" w:noVBand="0"/>
      </w:tblPr>
      <w:tblGrid>
        <w:gridCol w:w="2115"/>
        <w:gridCol w:w="826"/>
        <w:gridCol w:w="826"/>
        <w:gridCol w:w="826"/>
      </w:tblGrid>
      <w:tr w:rsidR="00CF72D5" w:rsidRPr="002029AF" w14:paraId="158FB8DC" w14:textId="77777777" w:rsidTr="00457506">
        <w:trPr>
          <w:cantSplit/>
          <w:trHeight w:val="974"/>
          <w:tblHeader/>
        </w:trPr>
        <w:tc>
          <w:tcPr>
            <w:tcW w:w="2552" w:type="dxa"/>
            <w:shd w:val="clear" w:color="auto" w:fill="auto"/>
            <w:vAlign w:val="bottom"/>
          </w:tcPr>
          <w:p w14:paraId="51CD3178" w14:textId="27256DF9" w:rsidR="00CF72D5" w:rsidRPr="002029AF" w:rsidRDefault="00AE3EA3" w:rsidP="00897193">
            <w:pPr>
              <w:pStyle w:val="ARtablecolhead"/>
              <w:rPr>
                <w:i/>
                <w:iCs/>
              </w:rPr>
            </w:pPr>
            <w:r w:rsidRPr="002029AF">
              <w:br w:type="column"/>
            </w:r>
            <w:r w:rsidR="00CF72D5" w:rsidRPr="002029AF">
              <w:t>Disclosures</w:t>
            </w:r>
            <w:r w:rsidR="000A5329" w:rsidRPr="002029AF">
              <w:t xml:space="preserve"> </w:t>
            </w:r>
            <w:r w:rsidR="00CF72D5" w:rsidRPr="002029AF">
              <w:t>under</w:t>
            </w:r>
            <w:r w:rsidR="000A5329" w:rsidRPr="002029AF">
              <w:t xml:space="preserve"> </w:t>
            </w:r>
            <w:r w:rsidR="00CF72D5" w:rsidRPr="002029AF">
              <w:t>the</w:t>
            </w:r>
            <w:r w:rsidR="00457506" w:rsidRPr="002029AF">
              <w:t> </w:t>
            </w:r>
            <w:r w:rsidR="00CF72D5" w:rsidRPr="002029AF">
              <w:rPr>
                <w:i/>
                <w:iCs/>
              </w:rPr>
              <w:t>Public</w:t>
            </w:r>
            <w:r w:rsidR="000A5329" w:rsidRPr="002029AF">
              <w:rPr>
                <w:i/>
                <w:iCs/>
              </w:rPr>
              <w:t xml:space="preserve"> </w:t>
            </w:r>
            <w:r w:rsidR="00CF72D5" w:rsidRPr="002029AF">
              <w:rPr>
                <w:i/>
                <w:iCs/>
              </w:rPr>
              <w:t>Interest</w:t>
            </w:r>
            <w:r w:rsidR="000A5329" w:rsidRPr="002029AF">
              <w:rPr>
                <w:i/>
                <w:iCs/>
              </w:rPr>
              <w:t xml:space="preserve"> </w:t>
            </w:r>
            <w:r w:rsidR="00CF72D5" w:rsidRPr="002029AF">
              <w:rPr>
                <w:i/>
                <w:iCs/>
              </w:rPr>
              <w:t>Disclosures</w:t>
            </w:r>
            <w:r w:rsidR="000A5329" w:rsidRPr="002029AF">
              <w:rPr>
                <w:i/>
                <w:iCs/>
              </w:rPr>
              <w:t xml:space="preserve"> </w:t>
            </w:r>
            <w:r w:rsidR="00CF72D5" w:rsidRPr="002029AF">
              <w:rPr>
                <w:i/>
                <w:iCs/>
              </w:rPr>
              <w:t>Act</w:t>
            </w:r>
            <w:r w:rsidR="000A5329" w:rsidRPr="002029AF">
              <w:rPr>
                <w:i/>
                <w:iCs/>
              </w:rPr>
              <w:t xml:space="preserve"> </w:t>
            </w:r>
            <w:r w:rsidR="00CF72D5" w:rsidRPr="002029AF">
              <w:rPr>
                <w:i/>
                <w:iCs/>
              </w:rPr>
              <w:t>201</w:t>
            </w:r>
            <w:r w:rsidR="00CF72D5" w:rsidRPr="002029AF">
              <w:t>2</w:t>
            </w:r>
            <w:r w:rsidR="000A5329" w:rsidRPr="002029AF">
              <w:t xml:space="preserve"> </w:t>
            </w:r>
            <w:r w:rsidR="00CF72D5" w:rsidRPr="002029AF">
              <w:t>(formerly</w:t>
            </w:r>
            <w:r w:rsidR="000A5329" w:rsidRPr="002029AF">
              <w:t xml:space="preserve"> </w:t>
            </w:r>
            <w:r w:rsidR="00CF72D5" w:rsidRPr="002029AF">
              <w:rPr>
                <w:i/>
                <w:iCs/>
              </w:rPr>
              <w:t>the</w:t>
            </w:r>
            <w:r w:rsidR="000A5329" w:rsidRPr="002029AF">
              <w:rPr>
                <w:i/>
                <w:iCs/>
              </w:rPr>
              <w:t xml:space="preserve"> </w:t>
            </w:r>
            <w:r w:rsidR="00CF72D5" w:rsidRPr="002029AF">
              <w:rPr>
                <w:i/>
                <w:iCs/>
              </w:rPr>
              <w:t>Protected</w:t>
            </w:r>
            <w:r w:rsidR="000A5329" w:rsidRPr="002029AF">
              <w:rPr>
                <w:i/>
                <w:iCs/>
              </w:rPr>
              <w:t xml:space="preserve"> </w:t>
            </w:r>
            <w:r w:rsidR="00CF72D5" w:rsidRPr="002029AF">
              <w:rPr>
                <w:i/>
                <w:iCs/>
              </w:rPr>
              <w:t>Disclosure</w:t>
            </w:r>
            <w:r w:rsidR="000A5329" w:rsidRPr="002029AF">
              <w:rPr>
                <w:i/>
                <w:iCs/>
              </w:rPr>
              <w:t xml:space="preserve"> </w:t>
            </w:r>
            <w:r w:rsidR="00CF72D5" w:rsidRPr="002029AF">
              <w:rPr>
                <w:i/>
                <w:iCs/>
              </w:rPr>
              <w:t>Act</w:t>
            </w:r>
            <w:r w:rsidR="000A5329" w:rsidRPr="002029AF">
              <w:rPr>
                <w:i/>
                <w:iCs/>
              </w:rPr>
              <w:t xml:space="preserve"> </w:t>
            </w:r>
            <w:r w:rsidR="00CF72D5" w:rsidRPr="002029AF">
              <w:rPr>
                <w:i/>
                <w:iCs/>
              </w:rPr>
              <w:t>2012)</w:t>
            </w:r>
          </w:p>
        </w:tc>
        <w:tc>
          <w:tcPr>
            <w:tcW w:w="851" w:type="dxa"/>
            <w:shd w:val="clear" w:color="auto" w:fill="auto"/>
            <w:vAlign w:val="bottom"/>
          </w:tcPr>
          <w:p w14:paraId="47EF99F7" w14:textId="4EEA4E66" w:rsidR="00CF72D5" w:rsidRPr="002029AF" w:rsidRDefault="00CF72D5" w:rsidP="00897193">
            <w:pPr>
              <w:pStyle w:val="ARtablecolheadright"/>
            </w:pPr>
            <w:r w:rsidRPr="002029AF">
              <w:t>2018–19</w:t>
            </w:r>
            <w:r w:rsidR="000A5329" w:rsidRPr="002029AF">
              <w:t xml:space="preserve"> </w:t>
            </w:r>
            <w:r w:rsidRPr="002029AF">
              <w:t>number</w:t>
            </w:r>
          </w:p>
        </w:tc>
        <w:tc>
          <w:tcPr>
            <w:tcW w:w="851" w:type="dxa"/>
            <w:shd w:val="clear" w:color="auto" w:fill="auto"/>
            <w:vAlign w:val="bottom"/>
          </w:tcPr>
          <w:p w14:paraId="4DF27C9C" w14:textId="46F7C43B" w:rsidR="00CF72D5" w:rsidRPr="002029AF" w:rsidRDefault="00CF72D5" w:rsidP="00897193">
            <w:pPr>
              <w:pStyle w:val="ARtablecolheadright"/>
            </w:pPr>
            <w:r w:rsidRPr="002029AF">
              <w:t>2017–18</w:t>
            </w:r>
            <w:r w:rsidR="000A5329" w:rsidRPr="002029AF">
              <w:t xml:space="preserve"> </w:t>
            </w:r>
            <w:r w:rsidRPr="002029AF">
              <w:t>number</w:t>
            </w:r>
          </w:p>
        </w:tc>
        <w:tc>
          <w:tcPr>
            <w:tcW w:w="851" w:type="dxa"/>
            <w:shd w:val="clear" w:color="auto" w:fill="auto"/>
            <w:vAlign w:val="bottom"/>
          </w:tcPr>
          <w:p w14:paraId="6AA34B61" w14:textId="0B92538F" w:rsidR="00CF72D5" w:rsidRPr="002029AF" w:rsidRDefault="00CF72D5">
            <w:pPr>
              <w:pStyle w:val="ARtablecolheadright"/>
            </w:pPr>
            <w:r w:rsidRPr="002029AF">
              <w:t>2019–20</w:t>
            </w:r>
            <w:r w:rsidR="000A5329" w:rsidRPr="002029AF">
              <w:t xml:space="preserve"> </w:t>
            </w:r>
            <w:r w:rsidRPr="002029AF">
              <w:t>number</w:t>
            </w:r>
          </w:p>
        </w:tc>
      </w:tr>
      <w:tr w:rsidR="00CF72D5" w:rsidRPr="002029AF" w14:paraId="05632515" w14:textId="77777777" w:rsidTr="00457506">
        <w:trPr>
          <w:cantSplit/>
          <w:trHeight w:val="1401"/>
        </w:trPr>
        <w:tc>
          <w:tcPr>
            <w:tcW w:w="2552" w:type="dxa"/>
            <w:shd w:val="clear" w:color="auto" w:fill="auto"/>
          </w:tcPr>
          <w:p w14:paraId="45B3839F" w14:textId="4E1E4CD7" w:rsidR="00CF72D5" w:rsidRPr="002029AF" w:rsidRDefault="00CF72D5" w:rsidP="00897193">
            <w:pPr>
              <w:pStyle w:val="ARtabletext"/>
            </w:pPr>
            <w:r w:rsidRPr="002029AF">
              <w:t>The</w:t>
            </w:r>
            <w:r w:rsidR="000A5329" w:rsidRPr="002029AF">
              <w:t xml:space="preserve"> </w:t>
            </w:r>
            <w:r w:rsidRPr="002029AF">
              <w:t>number</w:t>
            </w:r>
            <w:r w:rsidR="000A5329" w:rsidRPr="002029AF">
              <w:t xml:space="preserve"> </w:t>
            </w:r>
            <w:r w:rsidRPr="002029AF">
              <w:t>of</w:t>
            </w:r>
            <w:r w:rsidR="000A5329" w:rsidRPr="002029AF">
              <w:t xml:space="preserve"> </w:t>
            </w:r>
            <w:r w:rsidRPr="002029AF">
              <w:t>disclosures</w:t>
            </w:r>
            <w:r w:rsidR="000A5329" w:rsidRPr="002029AF">
              <w:t xml:space="preserve"> </w:t>
            </w:r>
            <w:r w:rsidRPr="002029AF">
              <w:t>made</w:t>
            </w:r>
            <w:r w:rsidR="000A5329" w:rsidRPr="002029AF">
              <w:t xml:space="preserve"> </w:t>
            </w:r>
            <w:r w:rsidRPr="002029AF">
              <w:t>by</w:t>
            </w:r>
            <w:r w:rsidR="000A5329" w:rsidRPr="002029AF">
              <w:t xml:space="preserve"> </w:t>
            </w:r>
            <w:r w:rsidRPr="002029AF">
              <w:t>an</w:t>
            </w:r>
            <w:r w:rsidR="000A5329" w:rsidRPr="002029AF">
              <w:t xml:space="preserve"> </w:t>
            </w:r>
            <w:r w:rsidRPr="002029AF">
              <w:t>individual</w:t>
            </w:r>
            <w:r w:rsidR="000A5329" w:rsidRPr="002029AF">
              <w:t xml:space="preserve"> </w:t>
            </w:r>
            <w:r w:rsidRPr="002029AF">
              <w:t>to</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and</w:t>
            </w:r>
            <w:r w:rsidR="000A5329" w:rsidRPr="002029AF">
              <w:t xml:space="preserve"> </w:t>
            </w:r>
            <w:r w:rsidRPr="002029AF">
              <w:t>notified</w:t>
            </w:r>
            <w:r w:rsidR="000A5329" w:rsidRPr="002029AF">
              <w:t xml:space="preserve"> </w:t>
            </w:r>
            <w:r w:rsidRPr="002029AF">
              <w:t>to</w:t>
            </w:r>
            <w:r w:rsidR="000A5329" w:rsidRPr="002029AF">
              <w:t xml:space="preserve"> </w:t>
            </w:r>
            <w:r w:rsidRPr="002029AF">
              <w:t>the</w:t>
            </w:r>
            <w:r w:rsidR="000A5329" w:rsidRPr="002029AF">
              <w:t xml:space="preserve"> </w:t>
            </w:r>
            <w:r w:rsidRPr="002029AF">
              <w:t>Independent</w:t>
            </w:r>
            <w:r w:rsidR="000A5329" w:rsidRPr="002029AF">
              <w:t xml:space="preserve"> </w:t>
            </w:r>
            <w:r w:rsidRPr="002029AF">
              <w:t>Broad-based</w:t>
            </w:r>
            <w:r w:rsidR="000A5329" w:rsidRPr="002029AF">
              <w:t xml:space="preserve"> </w:t>
            </w:r>
            <w:r w:rsidRPr="002029AF">
              <w:t>Anti-Corruption</w:t>
            </w:r>
            <w:r w:rsidR="000A5329" w:rsidRPr="002029AF">
              <w:t xml:space="preserve"> </w:t>
            </w:r>
            <w:r w:rsidRPr="002029AF">
              <w:t>Commission</w:t>
            </w:r>
          </w:p>
        </w:tc>
        <w:tc>
          <w:tcPr>
            <w:tcW w:w="851" w:type="dxa"/>
            <w:shd w:val="clear" w:color="auto" w:fill="auto"/>
          </w:tcPr>
          <w:p w14:paraId="12CD5157" w14:textId="77777777" w:rsidR="00CF72D5" w:rsidRPr="002029AF" w:rsidRDefault="00CF72D5" w:rsidP="00897193">
            <w:pPr>
              <w:pStyle w:val="ARtabletextright"/>
            </w:pPr>
            <w:r w:rsidRPr="002029AF">
              <w:t>1</w:t>
            </w:r>
          </w:p>
        </w:tc>
        <w:tc>
          <w:tcPr>
            <w:tcW w:w="851" w:type="dxa"/>
            <w:shd w:val="clear" w:color="auto" w:fill="auto"/>
          </w:tcPr>
          <w:p w14:paraId="69B643A1" w14:textId="77777777" w:rsidR="00CF72D5" w:rsidRPr="002029AF" w:rsidRDefault="00CF72D5" w:rsidP="00897193">
            <w:pPr>
              <w:pStyle w:val="ARtabletextright"/>
            </w:pPr>
            <w:r w:rsidRPr="002029AF">
              <w:t>7</w:t>
            </w:r>
          </w:p>
        </w:tc>
        <w:tc>
          <w:tcPr>
            <w:tcW w:w="851" w:type="dxa"/>
            <w:shd w:val="clear" w:color="auto" w:fill="auto"/>
          </w:tcPr>
          <w:p w14:paraId="104D6D34" w14:textId="77777777" w:rsidR="00CF72D5" w:rsidRPr="002029AF" w:rsidRDefault="00CF72D5" w:rsidP="00897193">
            <w:pPr>
              <w:pStyle w:val="ARtabletextright"/>
            </w:pPr>
            <w:r w:rsidRPr="002029AF">
              <w:t>4</w:t>
            </w:r>
          </w:p>
        </w:tc>
      </w:tr>
    </w:tbl>
    <w:p w14:paraId="5259FDAB" w14:textId="06F549A3" w:rsidR="00CF72D5" w:rsidRPr="002029AF" w:rsidRDefault="00D015AF" w:rsidP="00D015AF">
      <w:pPr>
        <w:pStyle w:val="Heading3"/>
        <w:spacing w:before="0"/>
      </w:pPr>
      <w:bookmarkStart w:id="116" w:name="_Toc462654058"/>
      <w:bookmarkStart w:id="117" w:name="_Toc462577209"/>
      <w:bookmarkStart w:id="118" w:name="_Toc463776640"/>
      <w:bookmarkStart w:id="119" w:name="_Ref492894547"/>
      <w:bookmarkEnd w:id="115"/>
      <w:bookmarkEnd w:id="116"/>
      <w:bookmarkEnd w:id="117"/>
      <w:bookmarkEnd w:id="118"/>
      <w:bookmarkEnd w:id="119"/>
      <w:r w:rsidRPr="002029AF">
        <w:br w:type="column"/>
      </w:r>
      <w:r w:rsidR="00CF72D5" w:rsidRPr="002029AF">
        <w:t>Family</w:t>
      </w:r>
      <w:r w:rsidR="000A5329" w:rsidRPr="002029AF">
        <w:t xml:space="preserve"> </w:t>
      </w:r>
      <w:r w:rsidR="00CF72D5" w:rsidRPr="002029AF">
        <w:t>Safety</w:t>
      </w:r>
      <w:r w:rsidR="000A5329" w:rsidRPr="002029AF">
        <w:t xml:space="preserve"> </w:t>
      </w:r>
      <w:r w:rsidR="00CF72D5" w:rsidRPr="002029AF">
        <w:t>Victoria</w:t>
      </w:r>
      <w:r w:rsidR="0072293A" w:rsidRPr="002029AF">
        <w:t xml:space="preserve"> – </w:t>
      </w:r>
      <w:r w:rsidR="00EB4D1D" w:rsidRPr="002029AF">
        <w:t>p</w:t>
      </w:r>
      <w:r w:rsidR="00CF72D5" w:rsidRPr="002029AF">
        <w:t>ublic</w:t>
      </w:r>
      <w:r w:rsidR="000A5329" w:rsidRPr="002029AF">
        <w:t xml:space="preserve"> </w:t>
      </w:r>
      <w:r w:rsidR="00EB4D1D" w:rsidRPr="002029AF">
        <w:t>i</w:t>
      </w:r>
      <w:r w:rsidR="00CF72D5" w:rsidRPr="002029AF">
        <w:t>nterest</w:t>
      </w:r>
      <w:r w:rsidR="000A5329" w:rsidRPr="002029AF">
        <w:t xml:space="preserve"> </w:t>
      </w:r>
      <w:r w:rsidR="00EB4D1D" w:rsidRPr="002029AF">
        <w:t>d</w:t>
      </w:r>
      <w:r w:rsidR="00CF72D5" w:rsidRPr="002029AF">
        <w:t>isclosure</w:t>
      </w:r>
      <w:r w:rsidR="000A5329" w:rsidRPr="002029AF">
        <w:t xml:space="preserve"> </w:t>
      </w:r>
      <w:r w:rsidR="00EB4D1D" w:rsidRPr="002029AF">
        <w:t>p</w:t>
      </w:r>
      <w:r w:rsidR="00CF72D5" w:rsidRPr="002029AF">
        <w:t>rocedure</w:t>
      </w:r>
    </w:p>
    <w:p w14:paraId="6165758A" w14:textId="59860F35" w:rsidR="00CF72D5" w:rsidRPr="002029AF" w:rsidRDefault="00CF72D5" w:rsidP="00AE3EA3">
      <w:pPr>
        <w:pStyle w:val="ARbody"/>
      </w:pPr>
      <w:r w:rsidRPr="002029AF">
        <w:t>For</w:t>
      </w:r>
      <w:r w:rsidR="000A5329" w:rsidRPr="002029AF">
        <w:t xml:space="preserve"> </w:t>
      </w:r>
      <w:r w:rsidRPr="002029AF">
        <w:t>public</w:t>
      </w:r>
      <w:r w:rsidR="000A5329" w:rsidRPr="002029AF">
        <w:t xml:space="preserve"> </w:t>
      </w:r>
      <w:r w:rsidRPr="002029AF">
        <w:t>interest</w:t>
      </w:r>
      <w:r w:rsidR="000A5329" w:rsidRPr="002029AF">
        <w:t xml:space="preserve"> </w:t>
      </w:r>
      <w:r w:rsidRPr="002029AF">
        <w:t>disclosures</w:t>
      </w:r>
      <w:r w:rsidR="000A5329" w:rsidRPr="002029AF">
        <w:t xml:space="preserve"> </w:t>
      </w:r>
      <w:r w:rsidRPr="002029AF">
        <w:t>relating</w:t>
      </w:r>
      <w:r w:rsidR="000A5329" w:rsidRPr="002029AF">
        <w:t xml:space="preserve"> </w:t>
      </w:r>
      <w:r w:rsidRPr="002029AF">
        <w:t>to</w:t>
      </w:r>
      <w:r w:rsidR="000A5329" w:rsidRPr="002029AF">
        <w:t xml:space="preserve"> </w:t>
      </w:r>
      <w:r w:rsidRPr="002029AF">
        <w:t>Family</w:t>
      </w:r>
      <w:r w:rsidR="000A5329" w:rsidRPr="002029AF">
        <w:t xml:space="preserve"> </w:t>
      </w:r>
      <w:r w:rsidRPr="002029AF">
        <w:t>Safety</w:t>
      </w:r>
      <w:r w:rsidR="000A5329" w:rsidRPr="002029AF">
        <w:t xml:space="preserve"> </w:t>
      </w:r>
      <w:r w:rsidRPr="002029AF">
        <w:t>Victoria,</w:t>
      </w:r>
      <w:r w:rsidR="000A5329" w:rsidRPr="002029AF">
        <w:t xml:space="preserve"> </w:t>
      </w:r>
      <w:r w:rsidRPr="002029AF">
        <w:t>information</w:t>
      </w:r>
      <w:r w:rsidR="000A5329" w:rsidRPr="002029AF">
        <w:t xml:space="preserve"> </w:t>
      </w:r>
      <w:r w:rsidRPr="002029AF">
        <w:t>can</w:t>
      </w:r>
      <w:r w:rsidR="000A5329" w:rsidRPr="002029AF">
        <w:t xml:space="preserve"> </w:t>
      </w:r>
      <w:r w:rsidRPr="002029AF">
        <w:t>be</w:t>
      </w:r>
      <w:r w:rsidR="000A5329" w:rsidRPr="002029AF">
        <w:t xml:space="preserve"> </w:t>
      </w:r>
      <w:r w:rsidRPr="002029AF">
        <w:t>located</w:t>
      </w:r>
      <w:r w:rsidR="000A5329" w:rsidRPr="002029AF">
        <w:t xml:space="preserve"> </w:t>
      </w:r>
      <w:r w:rsidRPr="002029AF">
        <w:t>on</w:t>
      </w:r>
      <w:r w:rsidR="000A5329" w:rsidRPr="002029AF">
        <w:t xml:space="preserve"> </w:t>
      </w:r>
      <w:r w:rsidRPr="002029AF">
        <w:t>the</w:t>
      </w:r>
      <w:r w:rsidR="000A5329" w:rsidRPr="002029AF">
        <w:t xml:space="preserve"> </w:t>
      </w:r>
      <w:hyperlink r:id="rId152" w:history="1">
        <w:r w:rsidRPr="002029AF">
          <w:rPr>
            <w:rStyle w:val="Hyperlink"/>
          </w:rPr>
          <w:t>Family</w:t>
        </w:r>
        <w:r w:rsidR="000A5329" w:rsidRPr="002029AF">
          <w:rPr>
            <w:rStyle w:val="Hyperlink"/>
          </w:rPr>
          <w:t xml:space="preserve"> </w:t>
        </w:r>
        <w:r w:rsidRPr="002029AF">
          <w:rPr>
            <w:rStyle w:val="Hyperlink"/>
          </w:rPr>
          <w:t>Safety</w:t>
        </w:r>
        <w:r w:rsidR="000A5329" w:rsidRPr="002029AF">
          <w:rPr>
            <w:rStyle w:val="Hyperlink"/>
          </w:rPr>
          <w:t xml:space="preserve"> </w:t>
        </w:r>
        <w:r w:rsidRPr="002029AF">
          <w:rPr>
            <w:rStyle w:val="Hyperlink"/>
          </w:rPr>
          <w:t>Victoria</w:t>
        </w:r>
        <w:r w:rsidR="000A5329" w:rsidRPr="002029AF">
          <w:rPr>
            <w:rStyle w:val="Hyperlink"/>
          </w:rPr>
          <w:t xml:space="preserve"> </w:t>
        </w:r>
        <w:r w:rsidR="0038272A" w:rsidRPr="002029AF">
          <w:rPr>
            <w:rStyle w:val="Hyperlink"/>
          </w:rPr>
          <w:t>p</w:t>
        </w:r>
        <w:r w:rsidRPr="002029AF">
          <w:rPr>
            <w:rStyle w:val="Hyperlink"/>
          </w:rPr>
          <w:t>ublic</w:t>
        </w:r>
        <w:r w:rsidR="000A5329" w:rsidRPr="002029AF">
          <w:rPr>
            <w:rStyle w:val="Hyperlink"/>
          </w:rPr>
          <w:t xml:space="preserve"> </w:t>
        </w:r>
        <w:r w:rsidR="0038272A" w:rsidRPr="002029AF">
          <w:rPr>
            <w:rStyle w:val="Hyperlink"/>
          </w:rPr>
          <w:t>i</w:t>
        </w:r>
        <w:r w:rsidRPr="002029AF">
          <w:rPr>
            <w:rStyle w:val="Hyperlink"/>
          </w:rPr>
          <w:t>nterest</w:t>
        </w:r>
        <w:r w:rsidR="000A5329" w:rsidRPr="002029AF">
          <w:rPr>
            <w:rStyle w:val="Hyperlink"/>
          </w:rPr>
          <w:t xml:space="preserve"> </w:t>
        </w:r>
        <w:r w:rsidR="0038272A" w:rsidRPr="002029AF">
          <w:rPr>
            <w:rStyle w:val="Hyperlink"/>
          </w:rPr>
          <w:t>d</w:t>
        </w:r>
        <w:r w:rsidRPr="002029AF">
          <w:rPr>
            <w:rStyle w:val="Hyperlink"/>
          </w:rPr>
          <w:t>isclosure</w:t>
        </w:r>
        <w:r w:rsidR="000A5329" w:rsidRPr="002029AF">
          <w:rPr>
            <w:rStyle w:val="Hyperlink"/>
          </w:rPr>
          <w:t xml:space="preserve"> </w:t>
        </w:r>
        <w:r w:rsidR="001E28D5" w:rsidRPr="002029AF">
          <w:rPr>
            <w:rStyle w:val="Hyperlink"/>
          </w:rPr>
          <w:t>p</w:t>
        </w:r>
        <w:r w:rsidRPr="002029AF">
          <w:rPr>
            <w:rStyle w:val="Hyperlink"/>
          </w:rPr>
          <w:t>rocedure</w:t>
        </w:r>
        <w:r w:rsidR="000A5329" w:rsidRPr="002029AF">
          <w:rPr>
            <w:rStyle w:val="Hyperlink"/>
          </w:rPr>
          <w:t xml:space="preserve"> </w:t>
        </w:r>
        <w:r w:rsidRPr="002029AF">
          <w:rPr>
            <w:rStyle w:val="Hyperlink"/>
          </w:rPr>
          <w:t>webpage</w:t>
        </w:r>
      </w:hyperlink>
      <w:r w:rsidR="000A5329" w:rsidRPr="002029AF">
        <w:t xml:space="preserve"> </w:t>
      </w:r>
      <w:r w:rsidRPr="002029AF">
        <w:t>&lt;</w:t>
      </w:r>
      <w:hyperlink r:id="rId153" w:history="1">
        <w:r w:rsidRPr="002029AF">
          <w:t>https://www.vic.gov.au/</w:t>
        </w:r>
        <w:r w:rsidR="003048F1">
          <w:br/>
        </w:r>
        <w:r w:rsidRPr="002029AF">
          <w:t>family-safety-victoria-public-interest-disclosure-procedure</w:t>
        </w:r>
      </w:hyperlink>
      <w:r w:rsidRPr="002029AF">
        <w:t>&gt;</w:t>
      </w:r>
      <w:r w:rsidR="000A5329" w:rsidRPr="002029AF">
        <w:t xml:space="preserve"> </w:t>
      </w:r>
      <w:r w:rsidRPr="002029AF">
        <w:t>or</w:t>
      </w:r>
      <w:r w:rsidR="000A5329" w:rsidRPr="002029AF">
        <w:t xml:space="preserve"> </w:t>
      </w:r>
      <w:r w:rsidRPr="002029AF">
        <w:t>by</w:t>
      </w:r>
      <w:r w:rsidR="000A5329" w:rsidRPr="002029AF">
        <w:t xml:space="preserve"> </w:t>
      </w:r>
      <w:hyperlink r:id="rId154" w:history="1">
        <w:r w:rsidRPr="002029AF">
          <w:rPr>
            <w:rStyle w:val="Hyperlink"/>
          </w:rPr>
          <w:t>emailing</w:t>
        </w:r>
        <w:r w:rsidR="000A5329" w:rsidRPr="002029AF">
          <w:rPr>
            <w:rStyle w:val="Hyperlink"/>
          </w:rPr>
          <w:t xml:space="preserve"> </w:t>
        </w:r>
        <w:r w:rsidRPr="002029AF">
          <w:rPr>
            <w:rStyle w:val="Hyperlink"/>
          </w:rPr>
          <w:t>the</w:t>
        </w:r>
        <w:r w:rsidR="000A5329" w:rsidRPr="002029AF">
          <w:rPr>
            <w:rStyle w:val="Hyperlink"/>
          </w:rPr>
          <w:t xml:space="preserve"> </w:t>
        </w:r>
        <w:r w:rsidRPr="002029AF">
          <w:rPr>
            <w:rStyle w:val="Hyperlink"/>
          </w:rPr>
          <w:t>public</w:t>
        </w:r>
        <w:r w:rsidR="000A5329" w:rsidRPr="002029AF">
          <w:rPr>
            <w:rStyle w:val="Hyperlink"/>
          </w:rPr>
          <w:t xml:space="preserve"> </w:t>
        </w:r>
        <w:r w:rsidRPr="002029AF">
          <w:rPr>
            <w:rStyle w:val="Hyperlink"/>
          </w:rPr>
          <w:t>interest</w:t>
        </w:r>
        <w:r w:rsidR="000A5329" w:rsidRPr="002029AF">
          <w:rPr>
            <w:rStyle w:val="Hyperlink"/>
          </w:rPr>
          <w:t xml:space="preserve"> </w:t>
        </w:r>
        <w:r w:rsidRPr="002029AF">
          <w:rPr>
            <w:rStyle w:val="Hyperlink"/>
          </w:rPr>
          <w:t>disclosure</w:t>
        </w:r>
        <w:r w:rsidR="000A5329" w:rsidRPr="002029AF">
          <w:rPr>
            <w:rStyle w:val="Hyperlink"/>
          </w:rPr>
          <w:t xml:space="preserve"> </w:t>
        </w:r>
        <w:r w:rsidRPr="002029AF">
          <w:rPr>
            <w:rStyle w:val="Hyperlink"/>
          </w:rPr>
          <w:t>coordinator</w:t>
        </w:r>
      </w:hyperlink>
      <w:r w:rsidR="000A5329" w:rsidRPr="002029AF">
        <w:t xml:space="preserve"> </w:t>
      </w:r>
      <w:hyperlink r:id="rId155" w:history="1">
        <w:r w:rsidRPr="002029AF">
          <w:t>fsv.protected.</w:t>
        </w:r>
        <w:r w:rsidR="00286264" w:rsidRPr="002029AF">
          <w:br/>
        </w:r>
        <w:r w:rsidRPr="002029AF">
          <w:t>disclosures@familysafety.vic.gov.au</w:t>
        </w:r>
      </w:hyperlink>
      <w:r w:rsidRPr="002029AF">
        <w:t>&gt;</w:t>
      </w:r>
    </w:p>
    <w:p w14:paraId="3D280CB1" w14:textId="093CABFC" w:rsidR="00CF72D5" w:rsidRPr="002029AF" w:rsidRDefault="00CF72D5" w:rsidP="00897193">
      <w:pPr>
        <w:pStyle w:val="Heading2"/>
      </w:pPr>
      <w:bookmarkStart w:id="120" w:name="_Ref21956605"/>
      <w:bookmarkStart w:id="121" w:name="_Toc54690784"/>
      <w:bookmarkStart w:id="122" w:name="_Ref492895235"/>
      <w:r w:rsidRPr="002029AF">
        <w:t>Building</w:t>
      </w:r>
      <w:r w:rsidR="000A5329" w:rsidRPr="002029AF">
        <w:t xml:space="preserve"> </w:t>
      </w:r>
      <w:r w:rsidRPr="002029AF">
        <w:t>Act</w:t>
      </w:r>
      <w:r w:rsidR="000A5329" w:rsidRPr="002029AF">
        <w:t xml:space="preserve"> </w:t>
      </w:r>
      <w:r w:rsidRPr="002029AF">
        <w:t>1993</w:t>
      </w:r>
      <w:bookmarkEnd w:id="120"/>
      <w:bookmarkEnd w:id="121"/>
    </w:p>
    <w:p w14:paraId="447BB70B" w14:textId="0BB2E511" w:rsidR="00CF72D5" w:rsidRPr="002029AF" w:rsidRDefault="00CF72D5" w:rsidP="00897193">
      <w:pPr>
        <w:pStyle w:val="ARbody"/>
      </w:pPr>
      <w:r w:rsidRPr="002029AF">
        <w:t>The</w:t>
      </w:r>
      <w:r w:rsidR="000A5329" w:rsidRPr="002029AF">
        <w:t xml:space="preserve"> </w:t>
      </w:r>
      <w:r w:rsidRPr="002029AF">
        <w:t>department</w:t>
      </w:r>
      <w:r w:rsidR="000A5329" w:rsidRPr="002029AF">
        <w:t xml:space="preserve"> </w:t>
      </w:r>
      <w:r w:rsidRPr="002029AF">
        <w:t>requires</w:t>
      </w:r>
      <w:r w:rsidR="000A5329" w:rsidRPr="002029AF">
        <w:t xml:space="preserve"> </w:t>
      </w:r>
      <w:r w:rsidRPr="002029AF">
        <w:t>that</w:t>
      </w:r>
      <w:r w:rsidR="000A5329" w:rsidRPr="002029AF">
        <w:t xml:space="preserve"> </w:t>
      </w:r>
      <w:r w:rsidRPr="002029AF">
        <w:t>appropriately</w:t>
      </w:r>
      <w:r w:rsidR="000A5329" w:rsidRPr="002029AF">
        <w:t xml:space="preserve"> </w:t>
      </w:r>
      <w:r w:rsidRPr="002029AF">
        <w:t>qualified</w:t>
      </w:r>
      <w:r w:rsidR="000A5329" w:rsidRPr="002029AF">
        <w:t xml:space="preserve"> </w:t>
      </w:r>
      <w:r w:rsidRPr="002029AF">
        <w:t>consultants</w:t>
      </w:r>
      <w:r w:rsidR="000A5329" w:rsidRPr="002029AF">
        <w:t xml:space="preserve"> </w:t>
      </w:r>
      <w:r w:rsidRPr="002029AF">
        <w:t>and</w:t>
      </w:r>
      <w:r w:rsidR="000A5329" w:rsidRPr="002029AF">
        <w:t xml:space="preserve"> </w:t>
      </w:r>
      <w:r w:rsidRPr="002029AF">
        <w:t>contractors</w:t>
      </w:r>
      <w:r w:rsidR="000A5329" w:rsidRPr="002029AF">
        <w:t xml:space="preserve"> </w:t>
      </w:r>
      <w:r w:rsidRPr="002029AF">
        <w:t>are</w:t>
      </w:r>
      <w:r w:rsidR="000A5329" w:rsidRPr="002029AF">
        <w:t xml:space="preserve"> </w:t>
      </w:r>
      <w:r w:rsidRPr="002029AF">
        <w:t>engaged</w:t>
      </w:r>
      <w:r w:rsidR="000A5329" w:rsidRPr="002029AF">
        <w:t xml:space="preserve"> </w:t>
      </w:r>
      <w:r w:rsidRPr="002029AF">
        <w:t>for</w:t>
      </w:r>
      <w:r w:rsidR="000A5329" w:rsidRPr="002029AF">
        <w:t xml:space="preserve"> </w:t>
      </w:r>
      <w:r w:rsidRPr="002029AF">
        <w:t>all</w:t>
      </w:r>
      <w:r w:rsidR="000A5329" w:rsidRPr="002029AF">
        <w:t xml:space="preserve"> </w:t>
      </w:r>
      <w:r w:rsidRPr="002029AF">
        <w:t>proposed</w:t>
      </w:r>
      <w:r w:rsidR="000A5329" w:rsidRPr="002029AF">
        <w:t xml:space="preserve"> </w:t>
      </w:r>
      <w:r w:rsidRPr="002029AF">
        <w:t>works</w:t>
      </w:r>
      <w:r w:rsidR="000A5329" w:rsidRPr="002029AF">
        <w:t xml:space="preserve"> </w:t>
      </w:r>
      <w:r w:rsidRPr="002029AF">
        <w:t>on</w:t>
      </w:r>
      <w:r w:rsidR="000A5329" w:rsidRPr="002029AF">
        <w:t xml:space="preserve"> </w:t>
      </w:r>
      <w:r w:rsidRPr="002029AF">
        <w:t>land</w:t>
      </w:r>
      <w:r w:rsidR="000A5329" w:rsidRPr="002029AF">
        <w:t xml:space="preserve"> </w:t>
      </w:r>
      <w:r w:rsidRPr="002029AF">
        <w:t>controlled</w:t>
      </w:r>
      <w:r w:rsidR="000A5329" w:rsidRPr="002029AF">
        <w:t xml:space="preserve"> </w:t>
      </w:r>
      <w:r w:rsidRPr="002029AF">
        <w:t>by</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or</w:t>
      </w:r>
      <w:r w:rsidR="000A5329" w:rsidRPr="002029AF">
        <w:t xml:space="preserve"> </w:t>
      </w:r>
      <w:r w:rsidRPr="002029AF">
        <w:t>a</w:t>
      </w:r>
      <w:r w:rsidR="000A5329" w:rsidRPr="002029AF">
        <w:t xml:space="preserve"> </w:t>
      </w:r>
      <w:r w:rsidRPr="002029AF">
        <w:t>health</w:t>
      </w:r>
      <w:r w:rsidR="000A5329" w:rsidRPr="002029AF">
        <w:t xml:space="preserve"> </w:t>
      </w:r>
      <w:r w:rsidRPr="002029AF">
        <w:t>service</w:t>
      </w:r>
      <w:r w:rsidR="000A5329" w:rsidRPr="002029AF">
        <w:t xml:space="preserve"> </w:t>
      </w:r>
      <w:r w:rsidRPr="002029AF">
        <w:t>agency,</w:t>
      </w:r>
      <w:r w:rsidR="000A5329" w:rsidRPr="002029AF">
        <w:t xml:space="preserve"> </w:t>
      </w:r>
      <w:r w:rsidRPr="002029AF">
        <w:t>and</w:t>
      </w:r>
      <w:r w:rsidR="000A5329" w:rsidRPr="002029AF">
        <w:t xml:space="preserve"> </w:t>
      </w:r>
      <w:r w:rsidRPr="002029AF">
        <w:t>that</w:t>
      </w:r>
      <w:r w:rsidR="000A5329" w:rsidRPr="002029AF">
        <w:t xml:space="preserve"> </w:t>
      </w:r>
      <w:r w:rsidRPr="002029AF">
        <w:t>their</w:t>
      </w:r>
      <w:r w:rsidR="000A5329" w:rsidRPr="002029AF">
        <w:t xml:space="preserve"> </w:t>
      </w:r>
      <w:r w:rsidRPr="002029AF">
        <w:t>work</w:t>
      </w:r>
      <w:r w:rsidR="000A5329" w:rsidRPr="002029AF">
        <w:t xml:space="preserve"> </w:t>
      </w:r>
      <w:r w:rsidRPr="002029AF">
        <w:t>and</w:t>
      </w:r>
      <w:r w:rsidR="000A5329" w:rsidRPr="002029AF">
        <w:t xml:space="preserve"> </w:t>
      </w:r>
      <w:r w:rsidRPr="002029AF">
        <w:t>services</w:t>
      </w:r>
      <w:r w:rsidR="000A5329" w:rsidRPr="002029AF">
        <w:t xml:space="preserve"> </w:t>
      </w:r>
      <w:r w:rsidRPr="002029AF">
        <w:t>comply</w:t>
      </w:r>
      <w:r w:rsidR="000A5329" w:rsidRPr="002029AF">
        <w:t xml:space="preserve"> </w:t>
      </w:r>
      <w:r w:rsidRPr="002029AF">
        <w:t>with</w:t>
      </w:r>
      <w:r w:rsidR="000A5329" w:rsidRPr="002029AF">
        <w:t xml:space="preserve"> </w:t>
      </w:r>
      <w:r w:rsidRPr="002029AF">
        <w:t>current</w:t>
      </w:r>
      <w:r w:rsidR="000A5329" w:rsidRPr="002029AF">
        <w:t xml:space="preserve"> </w:t>
      </w:r>
      <w:r w:rsidRPr="002029AF">
        <w:t>building</w:t>
      </w:r>
      <w:r w:rsidR="000A5329" w:rsidRPr="002029AF">
        <w:t xml:space="preserve"> </w:t>
      </w:r>
      <w:r w:rsidRPr="002029AF">
        <w:t>standards.</w:t>
      </w:r>
      <w:r w:rsidR="000A5329" w:rsidRPr="002029AF">
        <w:t xml:space="preserve"> </w:t>
      </w:r>
      <w:r w:rsidRPr="002029AF">
        <w:t>All</w:t>
      </w:r>
      <w:r w:rsidR="000A5329" w:rsidRPr="002029AF">
        <w:t xml:space="preserve"> </w:t>
      </w:r>
      <w:r w:rsidRPr="002029AF">
        <w:t>such</w:t>
      </w:r>
      <w:r w:rsidR="000A5329" w:rsidRPr="002029AF">
        <w:t xml:space="preserve"> </w:t>
      </w:r>
      <w:r w:rsidRPr="002029AF">
        <w:t>consultants</w:t>
      </w:r>
      <w:r w:rsidR="000A5329" w:rsidRPr="002029AF">
        <w:t xml:space="preserve"> </w:t>
      </w:r>
      <w:r w:rsidRPr="002029AF">
        <w:t>and</w:t>
      </w:r>
      <w:r w:rsidR="000A5329" w:rsidRPr="002029AF">
        <w:t xml:space="preserve"> </w:t>
      </w:r>
      <w:r w:rsidRPr="002029AF">
        <w:t>contractors</w:t>
      </w:r>
      <w:r w:rsidR="000A5329" w:rsidRPr="002029AF">
        <w:t xml:space="preserve"> </w:t>
      </w:r>
      <w:r w:rsidRPr="002029AF">
        <w:t>are</w:t>
      </w:r>
      <w:r w:rsidR="003048F1">
        <w:t> </w:t>
      </w:r>
      <w:r w:rsidRPr="002029AF">
        <w:t>expected</w:t>
      </w:r>
      <w:r w:rsidR="000A5329" w:rsidRPr="002029AF">
        <w:t xml:space="preserve"> </w:t>
      </w:r>
      <w:r w:rsidRPr="002029AF">
        <w:t>to</w:t>
      </w:r>
      <w:r w:rsidR="000A5329" w:rsidRPr="002029AF">
        <w:t xml:space="preserve"> </w:t>
      </w:r>
      <w:r w:rsidRPr="002029AF">
        <w:t>have</w:t>
      </w:r>
      <w:r w:rsidR="000A5329" w:rsidRPr="002029AF">
        <w:t xml:space="preserve"> </w:t>
      </w:r>
      <w:r w:rsidRPr="002029AF">
        <w:t>appropriate</w:t>
      </w:r>
      <w:r w:rsidR="000A5329" w:rsidRPr="002029AF">
        <w:t xml:space="preserve"> </w:t>
      </w:r>
      <w:r w:rsidRPr="002029AF">
        <w:t>mechanisms</w:t>
      </w:r>
      <w:r w:rsidR="000A5329" w:rsidRPr="002029AF">
        <w:t xml:space="preserve"> </w:t>
      </w:r>
      <w:r w:rsidRPr="002029AF">
        <w:t>in</w:t>
      </w:r>
      <w:r w:rsidR="000A5329" w:rsidRPr="002029AF">
        <w:t xml:space="preserve"> </w:t>
      </w:r>
      <w:r w:rsidRPr="002029AF">
        <w:t>place</w:t>
      </w:r>
      <w:r w:rsidR="000A5329" w:rsidRPr="002029AF">
        <w:t xml:space="preserve"> </w:t>
      </w:r>
      <w:r w:rsidRPr="002029AF">
        <w:t>to</w:t>
      </w:r>
      <w:r w:rsidR="000A5329" w:rsidRPr="002029AF">
        <w:t xml:space="preserve"> </w:t>
      </w:r>
      <w:r w:rsidRPr="002029AF">
        <w:t>ensure</w:t>
      </w:r>
      <w:r w:rsidR="000A5329" w:rsidRPr="002029AF">
        <w:t xml:space="preserve"> </w:t>
      </w:r>
      <w:r w:rsidRPr="002029AF">
        <w:t>compliance</w:t>
      </w:r>
      <w:r w:rsidR="000A5329" w:rsidRPr="002029AF">
        <w:t xml:space="preserve"> </w:t>
      </w:r>
      <w:r w:rsidRPr="002029AF">
        <w:t>with</w:t>
      </w:r>
      <w:r w:rsidR="000A5329" w:rsidRPr="002029AF">
        <w:t xml:space="preserve"> </w:t>
      </w:r>
      <w:r w:rsidRPr="002029AF">
        <w:t>the</w:t>
      </w:r>
      <w:r w:rsidR="000A5329" w:rsidRPr="002029AF">
        <w:t xml:space="preserve"> </w:t>
      </w:r>
      <w:r w:rsidRPr="002029AF">
        <w:t>building</w:t>
      </w:r>
      <w:r w:rsidR="000A5329" w:rsidRPr="002029AF">
        <w:t xml:space="preserve"> </w:t>
      </w:r>
      <w:r w:rsidRPr="002029AF">
        <w:t>and</w:t>
      </w:r>
      <w:r w:rsidR="000A5329" w:rsidRPr="002029AF">
        <w:t xml:space="preserve"> </w:t>
      </w:r>
      <w:r w:rsidRPr="002029AF">
        <w:t>maintenance</w:t>
      </w:r>
      <w:r w:rsidR="000A5329" w:rsidRPr="002029AF">
        <w:t xml:space="preserve"> </w:t>
      </w:r>
      <w:r w:rsidRPr="002029AF">
        <w:t>provisions</w:t>
      </w:r>
      <w:r w:rsidR="000A5329" w:rsidRPr="002029AF">
        <w:t xml:space="preserve"> </w:t>
      </w:r>
      <w:r w:rsidRPr="002029AF">
        <w:t>of</w:t>
      </w:r>
      <w:r w:rsidR="000A5329" w:rsidRPr="002029AF">
        <w:t xml:space="preserve"> </w:t>
      </w:r>
      <w:r w:rsidRPr="002029AF">
        <w:t>the</w:t>
      </w:r>
      <w:r w:rsidR="000A5329" w:rsidRPr="002029AF">
        <w:t xml:space="preserve"> </w:t>
      </w:r>
      <w:r w:rsidRPr="002029AF">
        <w:rPr>
          <w:i/>
          <w:iCs/>
        </w:rPr>
        <w:t>Building</w:t>
      </w:r>
      <w:r w:rsidR="000A5329" w:rsidRPr="002029AF">
        <w:rPr>
          <w:i/>
          <w:iCs/>
        </w:rPr>
        <w:t xml:space="preserve"> </w:t>
      </w:r>
      <w:r w:rsidRPr="002029AF">
        <w:rPr>
          <w:i/>
          <w:iCs/>
        </w:rPr>
        <w:t>Act</w:t>
      </w:r>
      <w:r w:rsidR="000A5329" w:rsidRPr="002029AF">
        <w:rPr>
          <w:i/>
          <w:iCs/>
        </w:rPr>
        <w:t xml:space="preserve"> </w:t>
      </w:r>
      <w:r w:rsidRPr="002029AF">
        <w:rPr>
          <w:i/>
          <w:iCs/>
        </w:rPr>
        <w:t>1993</w:t>
      </w:r>
      <w:r w:rsidRPr="002029AF">
        <w:t>.</w:t>
      </w:r>
    </w:p>
    <w:p w14:paraId="6DAE240E" w14:textId="08DA279B" w:rsidR="000A5329" w:rsidRPr="002029AF" w:rsidRDefault="00CF72D5" w:rsidP="00897193">
      <w:pPr>
        <w:pStyle w:val="ARbody"/>
      </w:pPr>
      <w:r w:rsidRPr="002029AF">
        <w:t>In</w:t>
      </w:r>
      <w:r w:rsidR="000A5329" w:rsidRPr="002029AF">
        <w:t xml:space="preserve"> </w:t>
      </w:r>
      <w:r w:rsidRPr="002029AF">
        <w:t>relation</w:t>
      </w:r>
      <w:r w:rsidR="000A5329" w:rsidRPr="002029AF">
        <w:t xml:space="preserve"> </w:t>
      </w:r>
      <w:r w:rsidRPr="002029AF">
        <w:t>to</w:t>
      </w:r>
      <w:r w:rsidR="000A5329" w:rsidRPr="002029AF">
        <w:t xml:space="preserve"> </w:t>
      </w:r>
      <w:r w:rsidRPr="002029AF">
        <w:t>existing</w:t>
      </w:r>
      <w:r w:rsidR="000A5329" w:rsidRPr="002029AF">
        <w:t xml:space="preserve"> </w:t>
      </w:r>
      <w:r w:rsidRPr="002029AF">
        <w:t>buildings,</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is</w:t>
      </w:r>
      <w:r w:rsidR="00286264" w:rsidRPr="002029AF">
        <w:t> </w:t>
      </w:r>
      <w:r w:rsidRPr="002029AF">
        <w:t>responsible</w:t>
      </w:r>
      <w:r w:rsidR="000A5329" w:rsidRPr="002029AF">
        <w:t xml:space="preserve"> </w:t>
      </w:r>
      <w:r w:rsidRPr="002029AF">
        <w:t>for</w:t>
      </w:r>
      <w:r w:rsidR="000A5329" w:rsidRPr="002029AF">
        <w:t xml:space="preserve"> </w:t>
      </w:r>
      <w:r w:rsidRPr="002029AF">
        <w:t>the</w:t>
      </w:r>
      <w:r w:rsidR="000A5329" w:rsidRPr="002029AF">
        <w:t xml:space="preserve"> </w:t>
      </w:r>
      <w:r w:rsidRPr="002029AF">
        <w:t>mandatory</w:t>
      </w:r>
      <w:r w:rsidR="000A5329" w:rsidRPr="002029AF">
        <w:t xml:space="preserve"> </w:t>
      </w:r>
      <w:r w:rsidRPr="002029AF">
        <w:t>testing</w:t>
      </w:r>
      <w:r w:rsidR="000A5329" w:rsidRPr="002029AF">
        <w:t xml:space="preserve"> </w:t>
      </w:r>
      <w:r w:rsidRPr="002029AF">
        <w:t>of</w:t>
      </w:r>
      <w:r w:rsidR="000A5329" w:rsidRPr="002029AF">
        <w:t xml:space="preserve"> </w:t>
      </w:r>
      <w:r w:rsidRPr="002029AF">
        <w:t>all</w:t>
      </w:r>
      <w:r w:rsidR="000A5329" w:rsidRPr="002029AF">
        <w:t xml:space="preserve"> </w:t>
      </w:r>
      <w:r w:rsidRPr="002029AF">
        <w:t>essential</w:t>
      </w:r>
      <w:r w:rsidR="000A5329" w:rsidRPr="002029AF">
        <w:t xml:space="preserve"> </w:t>
      </w:r>
      <w:r w:rsidRPr="002029AF">
        <w:t>safety</w:t>
      </w:r>
      <w:r w:rsidR="000A5329" w:rsidRPr="002029AF">
        <w:t xml:space="preserve"> </w:t>
      </w:r>
      <w:r w:rsidRPr="002029AF">
        <w:t>measures</w:t>
      </w:r>
      <w:r w:rsidR="000A5329" w:rsidRPr="002029AF">
        <w:t xml:space="preserve"> </w:t>
      </w:r>
      <w:r w:rsidRPr="002029AF">
        <w:t>to</w:t>
      </w:r>
      <w:r w:rsidR="000A5329" w:rsidRPr="002029AF">
        <w:t xml:space="preserve"> </w:t>
      </w:r>
      <w:r w:rsidRPr="002029AF">
        <w:t>comply</w:t>
      </w:r>
      <w:r w:rsidR="000A5329" w:rsidRPr="002029AF">
        <w:t xml:space="preserve"> </w:t>
      </w:r>
      <w:r w:rsidRPr="002029AF">
        <w:t>with</w:t>
      </w:r>
      <w:r w:rsidR="000A5329" w:rsidRPr="002029AF">
        <w:t xml:space="preserve"> </w:t>
      </w:r>
      <w:r w:rsidRPr="002029AF">
        <w:t>the</w:t>
      </w:r>
      <w:r w:rsidR="000A5329" w:rsidRPr="002029AF">
        <w:t xml:space="preserve"> </w:t>
      </w:r>
      <w:r w:rsidRPr="002029AF">
        <w:t>requirements</w:t>
      </w:r>
      <w:r w:rsidR="000A5329" w:rsidRPr="002029AF">
        <w:t xml:space="preserve"> </w:t>
      </w:r>
      <w:r w:rsidRPr="002029AF">
        <w:t>of</w:t>
      </w:r>
      <w:r w:rsidR="000A5329" w:rsidRPr="002029AF">
        <w:t xml:space="preserve"> </w:t>
      </w:r>
      <w:r w:rsidRPr="002029AF">
        <w:t>Australian</w:t>
      </w:r>
      <w:r w:rsidR="000A5329" w:rsidRPr="002029AF">
        <w:t xml:space="preserve"> </w:t>
      </w:r>
      <w:r w:rsidRPr="002029AF">
        <w:t>Standard</w:t>
      </w:r>
      <w:r w:rsidR="000A5329" w:rsidRPr="002029AF">
        <w:t xml:space="preserve"> </w:t>
      </w:r>
      <w:r w:rsidRPr="002029AF">
        <w:t>1851.</w:t>
      </w:r>
      <w:r w:rsidR="000A5329" w:rsidRPr="002029AF">
        <w:t xml:space="preserve"> </w:t>
      </w:r>
      <w:r w:rsidRPr="002029AF">
        <w:t>Testing</w:t>
      </w:r>
      <w:r w:rsidR="000A5329" w:rsidRPr="002029AF">
        <w:t xml:space="preserve"> </w:t>
      </w:r>
      <w:r w:rsidRPr="002029AF">
        <w:t>of</w:t>
      </w:r>
      <w:r w:rsidR="000A5329" w:rsidRPr="002029AF">
        <w:t xml:space="preserve"> </w:t>
      </w:r>
      <w:r w:rsidRPr="002029AF">
        <w:t>emergency</w:t>
      </w:r>
      <w:r w:rsidR="000A5329" w:rsidRPr="002029AF">
        <w:t xml:space="preserve"> </w:t>
      </w:r>
      <w:r w:rsidRPr="002029AF">
        <w:t>and</w:t>
      </w:r>
      <w:r w:rsidR="000A5329" w:rsidRPr="002029AF">
        <w:t xml:space="preserve"> </w:t>
      </w:r>
      <w:r w:rsidRPr="002029AF">
        <w:t>exit</w:t>
      </w:r>
      <w:r w:rsidR="000A5329" w:rsidRPr="002029AF">
        <w:t xml:space="preserve"> </w:t>
      </w:r>
      <w:r w:rsidRPr="002029AF">
        <w:t>lights,</w:t>
      </w:r>
      <w:r w:rsidR="000A5329" w:rsidRPr="002029AF">
        <w:t xml:space="preserve"> </w:t>
      </w:r>
      <w:r w:rsidRPr="002029AF">
        <w:t>sprinklers,</w:t>
      </w:r>
      <w:r w:rsidR="000A5329" w:rsidRPr="002029AF">
        <w:t xml:space="preserve"> </w:t>
      </w:r>
      <w:r w:rsidRPr="002029AF">
        <w:t>detection</w:t>
      </w:r>
      <w:r w:rsidR="000A5329" w:rsidRPr="002029AF">
        <w:t xml:space="preserve"> </w:t>
      </w:r>
      <w:r w:rsidRPr="002029AF">
        <w:t>and</w:t>
      </w:r>
      <w:r w:rsidR="000A5329" w:rsidRPr="002029AF">
        <w:t xml:space="preserve"> </w:t>
      </w:r>
      <w:r w:rsidRPr="002029AF">
        <w:t>other</w:t>
      </w:r>
      <w:r w:rsidR="000A5329" w:rsidRPr="002029AF">
        <w:t xml:space="preserve"> </w:t>
      </w:r>
      <w:r w:rsidRPr="002029AF">
        <w:t>essential</w:t>
      </w:r>
      <w:r w:rsidR="000A5329" w:rsidRPr="002029AF">
        <w:t xml:space="preserve"> </w:t>
      </w:r>
      <w:r w:rsidRPr="002029AF">
        <w:t>safety</w:t>
      </w:r>
      <w:r w:rsidR="000A5329" w:rsidRPr="002029AF">
        <w:t xml:space="preserve"> </w:t>
      </w:r>
      <w:r w:rsidRPr="002029AF">
        <w:t>measures</w:t>
      </w:r>
      <w:r w:rsidR="000A5329" w:rsidRPr="002029AF">
        <w:t xml:space="preserve"> </w:t>
      </w:r>
      <w:r w:rsidRPr="002029AF">
        <w:t>form</w:t>
      </w:r>
      <w:r w:rsidR="000A5329" w:rsidRPr="002029AF">
        <w:t xml:space="preserve"> </w:t>
      </w:r>
      <w:r w:rsidRPr="002029AF">
        <w:t>part</w:t>
      </w:r>
      <w:r w:rsidR="000A5329" w:rsidRPr="002029AF">
        <w:t xml:space="preserve"> </w:t>
      </w:r>
      <w:r w:rsidRPr="002029AF">
        <w:t>of</w:t>
      </w:r>
      <w:r w:rsidR="000A5329" w:rsidRPr="002029AF">
        <w:t xml:space="preserve"> </w:t>
      </w:r>
      <w:r w:rsidRPr="002029AF">
        <w:t>this</w:t>
      </w:r>
      <w:r w:rsidR="000A5329" w:rsidRPr="002029AF">
        <w:t xml:space="preserve"> </w:t>
      </w:r>
      <w:r w:rsidRPr="002029AF">
        <w:t>routine</w:t>
      </w:r>
      <w:r w:rsidR="000A5329" w:rsidRPr="002029AF">
        <w:t xml:space="preserve"> </w:t>
      </w:r>
      <w:r w:rsidRPr="002029AF">
        <w:t>preventative</w:t>
      </w:r>
      <w:r w:rsidR="000A5329" w:rsidRPr="002029AF">
        <w:t xml:space="preserve"> </w:t>
      </w:r>
      <w:r w:rsidRPr="002029AF">
        <w:t>maintenance</w:t>
      </w:r>
      <w:r w:rsidR="000A5329" w:rsidRPr="002029AF">
        <w:t xml:space="preserve"> </w:t>
      </w:r>
      <w:r w:rsidRPr="002029AF">
        <w:t>with</w:t>
      </w:r>
      <w:r w:rsidR="000A5329" w:rsidRPr="002029AF">
        <w:t xml:space="preserve"> </w:t>
      </w:r>
      <w:r w:rsidRPr="002029AF">
        <w:t>responsive</w:t>
      </w:r>
      <w:r w:rsidR="000A5329" w:rsidRPr="002029AF">
        <w:t xml:space="preserve"> </w:t>
      </w:r>
      <w:r w:rsidRPr="002029AF">
        <w:t>works</w:t>
      </w:r>
      <w:r w:rsidR="000A5329" w:rsidRPr="002029AF">
        <w:t xml:space="preserve"> </w:t>
      </w:r>
      <w:r w:rsidRPr="002029AF">
        <w:t>actioned</w:t>
      </w:r>
      <w:r w:rsidR="000A5329" w:rsidRPr="002029AF">
        <w:t xml:space="preserve"> </w:t>
      </w:r>
      <w:r w:rsidRPr="002029AF">
        <w:t>through</w:t>
      </w:r>
      <w:r w:rsidR="000A5329" w:rsidRPr="002029AF">
        <w:t xml:space="preserve"> </w:t>
      </w:r>
      <w:r w:rsidRPr="002029AF">
        <w:t>existing</w:t>
      </w:r>
      <w:r w:rsidR="000A5329" w:rsidRPr="002029AF">
        <w:t xml:space="preserve"> </w:t>
      </w:r>
      <w:r w:rsidRPr="002029AF">
        <w:t>maintenance</w:t>
      </w:r>
      <w:r w:rsidR="000A5329" w:rsidRPr="002029AF">
        <w:t xml:space="preserve"> </w:t>
      </w:r>
      <w:r w:rsidRPr="002029AF">
        <w:t>contracts.</w:t>
      </w:r>
    </w:p>
    <w:p w14:paraId="3D09B893" w14:textId="6AC08BEF" w:rsidR="00CF72D5" w:rsidRPr="002029AF" w:rsidRDefault="00CF72D5" w:rsidP="00897193">
      <w:pPr>
        <w:pStyle w:val="ARbody"/>
      </w:pPr>
      <w:r w:rsidRPr="002029AF">
        <w:t>The</w:t>
      </w:r>
      <w:r w:rsidR="000A5329" w:rsidRPr="002029AF">
        <w:t xml:space="preserve"> </w:t>
      </w:r>
      <w:r w:rsidRPr="002029AF">
        <w:t>department</w:t>
      </w:r>
      <w:r w:rsidR="000A5329" w:rsidRPr="002029AF">
        <w:t xml:space="preserve"> </w:t>
      </w:r>
      <w:r w:rsidRPr="002029AF">
        <w:t>continues</w:t>
      </w:r>
      <w:r w:rsidR="000A5329" w:rsidRPr="002029AF">
        <w:t xml:space="preserve"> </w:t>
      </w:r>
      <w:r w:rsidRPr="002029AF">
        <w:t>to</w:t>
      </w:r>
      <w:r w:rsidR="000A5329" w:rsidRPr="002029AF">
        <w:t xml:space="preserve"> </w:t>
      </w:r>
      <w:r w:rsidRPr="002029AF">
        <w:t>liaise</w:t>
      </w:r>
      <w:r w:rsidR="000A5329" w:rsidRPr="002029AF">
        <w:t xml:space="preserve"> </w:t>
      </w:r>
      <w:r w:rsidR="00432A68" w:rsidRPr="002029AF">
        <w:t>with</w:t>
      </w:r>
      <w:r w:rsidR="000A5329" w:rsidRPr="002029AF">
        <w:t xml:space="preserve"> </w:t>
      </w:r>
      <w:r w:rsidRPr="002029AF">
        <w:t>and</w:t>
      </w:r>
      <w:r w:rsidR="000A5329" w:rsidRPr="002029AF">
        <w:t xml:space="preserve"> </w:t>
      </w:r>
      <w:r w:rsidRPr="002029AF">
        <w:t>contribute</w:t>
      </w:r>
      <w:r w:rsidR="000A5329" w:rsidRPr="002029AF">
        <w:t xml:space="preserve"> </w:t>
      </w:r>
      <w:r w:rsidRPr="002029AF">
        <w:t>to</w:t>
      </w:r>
      <w:r w:rsidR="000A5329" w:rsidRPr="002029AF">
        <w:t xml:space="preserve"> </w:t>
      </w:r>
      <w:r w:rsidRPr="002029AF">
        <w:t>the</w:t>
      </w:r>
      <w:r w:rsidR="000A5329" w:rsidRPr="002029AF">
        <w:t xml:space="preserve"> </w:t>
      </w:r>
      <w:r w:rsidRPr="002029AF">
        <w:t>progress</w:t>
      </w:r>
      <w:r w:rsidR="000A5329" w:rsidRPr="002029AF">
        <w:t xml:space="preserve"> </w:t>
      </w:r>
      <w:r w:rsidRPr="002029AF">
        <w:t>and</w:t>
      </w:r>
      <w:r w:rsidR="000A5329" w:rsidRPr="002029AF">
        <w:t xml:space="preserve"> </w:t>
      </w:r>
      <w:r w:rsidRPr="002029AF">
        <w:t>outcomes</w:t>
      </w:r>
      <w:r w:rsidR="000A5329" w:rsidRPr="002029AF">
        <w:t xml:space="preserve"> </w:t>
      </w:r>
      <w:r w:rsidRPr="002029AF">
        <w:t>of</w:t>
      </w:r>
      <w:r w:rsidR="000A5329" w:rsidRPr="002029AF">
        <w:t xml:space="preserve"> </w:t>
      </w:r>
      <w:r w:rsidRPr="002029AF">
        <w:t>Cladding</w:t>
      </w:r>
      <w:r w:rsidR="000A5329" w:rsidRPr="002029AF">
        <w:t xml:space="preserve"> </w:t>
      </w:r>
      <w:r w:rsidRPr="002029AF">
        <w:t>Safety</w:t>
      </w:r>
      <w:r w:rsidR="000A5329" w:rsidRPr="002029AF">
        <w:t xml:space="preserve"> </w:t>
      </w:r>
      <w:r w:rsidRPr="002029AF">
        <w:t>Victoria</w:t>
      </w:r>
      <w:r w:rsidR="000A5329" w:rsidRPr="002029AF">
        <w:t xml:space="preserve"> </w:t>
      </w:r>
      <w:r w:rsidRPr="002029AF">
        <w:t>for</w:t>
      </w:r>
      <w:r w:rsidR="000A5329" w:rsidRPr="002029AF">
        <w:t xml:space="preserve"> </w:t>
      </w:r>
      <w:r w:rsidRPr="002029AF">
        <w:t>department-owned</w:t>
      </w:r>
      <w:r w:rsidR="000A5329" w:rsidRPr="002029AF">
        <w:t xml:space="preserve"> </w:t>
      </w:r>
      <w:r w:rsidRPr="002029AF">
        <w:t>buildings.</w:t>
      </w:r>
      <w:r w:rsidR="000A5329" w:rsidRPr="002029AF">
        <w:t xml:space="preserve"> </w:t>
      </w:r>
      <w:r w:rsidRPr="002029AF">
        <w:t>Relevant</w:t>
      </w:r>
      <w:r w:rsidR="000A5329" w:rsidRPr="002029AF">
        <w:t xml:space="preserve"> </w:t>
      </w:r>
      <w:r w:rsidRPr="002029AF">
        <w:t>buildings</w:t>
      </w:r>
      <w:r w:rsidR="000A5329" w:rsidRPr="002029AF">
        <w:t xml:space="preserve"> </w:t>
      </w:r>
      <w:r w:rsidRPr="002029AF">
        <w:t>owned</w:t>
      </w:r>
      <w:r w:rsidR="000A5329" w:rsidRPr="002029AF">
        <w:t xml:space="preserve"> </w:t>
      </w:r>
      <w:r w:rsidRPr="002029AF">
        <w:t>by</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have</w:t>
      </w:r>
      <w:r w:rsidR="000A5329" w:rsidRPr="002029AF">
        <w:t xml:space="preserve"> </w:t>
      </w:r>
      <w:r w:rsidRPr="002029AF">
        <w:t>been</w:t>
      </w:r>
      <w:r w:rsidR="000A5329" w:rsidRPr="002029AF">
        <w:t xml:space="preserve"> </w:t>
      </w:r>
      <w:r w:rsidRPr="002029AF">
        <w:t>audited</w:t>
      </w:r>
      <w:r w:rsidR="000A5329" w:rsidRPr="002029AF">
        <w:t xml:space="preserve"> </w:t>
      </w:r>
      <w:r w:rsidRPr="002029AF">
        <w:t>against</w:t>
      </w:r>
      <w:r w:rsidR="000A5329" w:rsidRPr="002029AF">
        <w:t xml:space="preserve"> </w:t>
      </w:r>
      <w:r w:rsidRPr="002029AF">
        <w:t>the</w:t>
      </w:r>
      <w:r w:rsidR="000A5329" w:rsidRPr="002029AF">
        <w:t xml:space="preserve"> </w:t>
      </w:r>
      <w:r w:rsidRPr="002029AF">
        <w:t>risk</w:t>
      </w:r>
      <w:r w:rsidR="000A5329" w:rsidRPr="002029AF">
        <w:t xml:space="preserve"> </w:t>
      </w:r>
      <w:r w:rsidRPr="002029AF">
        <w:t>framework</w:t>
      </w:r>
      <w:r w:rsidR="000A5329" w:rsidRPr="002029AF">
        <w:t xml:space="preserve"> </w:t>
      </w:r>
      <w:r w:rsidRPr="002029AF">
        <w:t>originally</w:t>
      </w:r>
      <w:r w:rsidR="000A5329" w:rsidRPr="002029AF">
        <w:t xml:space="preserve"> </w:t>
      </w:r>
      <w:r w:rsidRPr="002029AF">
        <w:t>developed</w:t>
      </w:r>
      <w:r w:rsidR="000A5329" w:rsidRPr="002029AF">
        <w:t xml:space="preserve"> </w:t>
      </w:r>
      <w:r w:rsidRPr="002029AF">
        <w:t>by</w:t>
      </w:r>
      <w:r w:rsidR="000A5329" w:rsidRPr="002029AF">
        <w:t xml:space="preserve"> </w:t>
      </w:r>
      <w:r w:rsidRPr="002029AF">
        <w:t>the</w:t>
      </w:r>
      <w:r w:rsidR="000A5329" w:rsidRPr="002029AF">
        <w:t xml:space="preserve"> </w:t>
      </w:r>
      <w:r w:rsidRPr="002029AF">
        <w:t>Victorian</w:t>
      </w:r>
      <w:r w:rsidR="000A5329" w:rsidRPr="002029AF">
        <w:t xml:space="preserve"> </w:t>
      </w:r>
      <w:r w:rsidRPr="002029AF">
        <w:t>Cladding</w:t>
      </w:r>
      <w:r w:rsidR="000A5329" w:rsidRPr="002029AF">
        <w:t xml:space="preserve"> </w:t>
      </w:r>
      <w:r w:rsidRPr="002029AF">
        <w:t>Taskforce</w:t>
      </w:r>
      <w:r w:rsidR="000A5329" w:rsidRPr="002029AF">
        <w:t xml:space="preserve"> </w:t>
      </w:r>
      <w:r w:rsidRPr="002029AF">
        <w:t>and</w:t>
      </w:r>
      <w:r w:rsidR="000A5329" w:rsidRPr="002029AF">
        <w:t xml:space="preserve"> </w:t>
      </w:r>
      <w:r w:rsidRPr="002029AF">
        <w:t>where</w:t>
      </w:r>
      <w:r w:rsidR="000A5329" w:rsidRPr="002029AF">
        <w:t xml:space="preserve"> </w:t>
      </w:r>
      <w:r w:rsidRPr="002029AF">
        <w:t>non-compliant</w:t>
      </w:r>
      <w:r w:rsidR="000A5329" w:rsidRPr="002029AF">
        <w:t xml:space="preserve"> </w:t>
      </w:r>
      <w:r w:rsidRPr="002029AF">
        <w:t>cladding</w:t>
      </w:r>
      <w:r w:rsidR="000A5329" w:rsidRPr="002029AF">
        <w:t xml:space="preserve"> </w:t>
      </w:r>
      <w:r w:rsidRPr="002029AF">
        <w:t>has</w:t>
      </w:r>
      <w:r w:rsidR="000A5329" w:rsidRPr="002029AF">
        <w:t xml:space="preserve"> </w:t>
      </w:r>
      <w:r w:rsidRPr="002029AF">
        <w:t>been</w:t>
      </w:r>
      <w:r w:rsidR="000A5329" w:rsidRPr="002029AF">
        <w:t xml:space="preserve"> </w:t>
      </w:r>
      <w:r w:rsidRPr="002029AF">
        <w:t>discovered,</w:t>
      </w:r>
      <w:r w:rsidR="000A5329" w:rsidRPr="002029AF">
        <w:t xml:space="preserve"> </w:t>
      </w:r>
      <w:r w:rsidRPr="002029AF">
        <w:t>assessed</w:t>
      </w:r>
      <w:r w:rsidR="000A5329" w:rsidRPr="002029AF">
        <w:t xml:space="preserve"> </w:t>
      </w:r>
      <w:r w:rsidRPr="002029AF">
        <w:t>against</w:t>
      </w:r>
      <w:r w:rsidR="000A5329" w:rsidRPr="002029AF">
        <w:t xml:space="preserve"> </w:t>
      </w:r>
      <w:r w:rsidRPr="002029AF">
        <w:t>that</w:t>
      </w:r>
      <w:r w:rsidR="000A5329" w:rsidRPr="002029AF">
        <w:t xml:space="preserve"> </w:t>
      </w:r>
      <w:r w:rsidRPr="002029AF">
        <w:t>framework</w:t>
      </w:r>
      <w:r w:rsidR="000A5329" w:rsidRPr="002029AF">
        <w:t xml:space="preserve"> </w:t>
      </w:r>
      <w:r w:rsidR="00A917E7" w:rsidRPr="002029AF">
        <w:t>for</w:t>
      </w:r>
      <w:r w:rsidR="000A5329" w:rsidRPr="002029AF">
        <w:t xml:space="preserve"> </w:t>
      </w:r>
      <w:r w:rsidR="00A917E7" w:rsidRPr="002029AF">
        <w:t>a</w:t>
      </w:r>
      <w:r w:rsidR="000A5329" w:rsidRPr="002029AF">
        <w:t xml:space="preserve"> </w:t>
      </w:r>
      <w:r w:rsidR="00A917E7" w:rsidRPr="002029AF">
        <w:t>risk</w:t>
      </w:r>
      <w:r w:rsidR="000A5329" w:rsidRPr="002029AF">
        <w:t xml:space="preserve"> </w:t>
      </w:r>
      <w:r w:rsidR="00A917E7" w:rsidRPr="002029AF">
        <w:t>rating</w:t>
      </w:r>
      <w:r w:rsidR="000A5329" w:rsidRPr="002029AF">
        <w:t xml:space="preserve"> </w:t>
      </w:r>
      <w:r w:rsidRPr="002029AF">
        <w:t>derive</w:t>
      </w:r>
      <w:r w:rsidR="00A917E7" w:rsidRPr="002029AF">
        <w:t>d</w:t>
      </w:r>
      <w:r w:rsidR="000A5329" w:rsidRPr="002029AF">
        <w:t xml:space="preserve"> </w:t>
      </w:r>
      <w:r w:rsidR="00A917E7" w:rsidRPr="002029AF">
        <w:t>from</w:t>
      </w:r>
      <w:r w:rsidR="000A5329" w:rsidRPr="002029AF">
        <w:t xml:space="preserve"> </w:t>
      </w:r>
      <w:r w:rsidRPr="002029AF">
        <w:t>one</w:t>
      </w:r>
      <w:r w:rsidR="000A5329" w:rsidRPr="002029AF">
        <w:t xml:space="preserve"> </w:t>
      </w:r>
      <w:r w:rsidRPr="002029AF">
        <w:t>of</w:t>
      </w:r>
      <w:r w:rsidR="000A5329" w:rsidRPr="002029AF">
        <w:t xml:space="preserve"> </w:t>
      </w:r>
      <w:r w:rsidRPr="002029AF">
        <w:t>the</w:t>
      </w:r>
      <w:r w:rsidR="000A5329" w:rsidRPr="002029AF">
        <w:t xml:space="preserve"> </w:t>
      </w:r>
      <w:r w:rsidRPr="002029AF">
        <w:t>four</w:t>
      </w:r>
      <w:r w:rsidR="000A5329" w:rsidRPr="002029AF">
        <w:t xml:space="preserve"> </w:t>
      </w:r>
      <w:r w:rsidRPr="002029AF">
        <w:t>risk</w:t>
      </w:r>
      <w:r w:rsidR="000A5329" w:rsidRPr="002029AF">
        <w:t xml:space="preserve"> </w:t>
      </w:r>
      <w:r w:rsidRPr="002029AF">
        <w:t>categories.</w:t>
      </w:r>
    </w:p>
    <w:p w14:paraId="38FABA84" w14:textId="198C137E" w:rsidR="00CF72D5" w:rsidRPr="002029AF" w:rsidRDefault="00CF72D5" w:rsidP="00897193">
      <w:pPr>
        <w:pStyle w:val="ARbody"/>
      </w:pPr>
      <w:r w:rsidRPr="002029AF">
        <w:t>These</w:t>
      </w:r>
      <w:r w:rsidR="000A5329" w:rsidRPr="002029AF">
        <w:t xml:space="preserve"> </w:t>
      </w:r>
      <w:r w:rsidRPr="002029AF">
        <w:t>buildings</w:t>
      </w:r>
      <w:r w:rsidR="000A5329" w:rsidRPr="002029AF">
        <w:t xml:space="preserve"> </w:t>
      </w:r>
      <w:r w:rsidRPr="002029AF">
        <w:t>are</w:t>
      </w:r>
      <w:r w:rsidR="000A5329" w:rsidRPr="002029AF">
        <w:t xml:space="preserve"> </w:t>
      </w:r>
      <w:r w:rsidRPr="002029AF">
        <w:t>now</w:t>
      </w:r>
      <w:r w:rsidR="000A5329" w:rsidRPr="002029AF">
        <w:t xml:space="preserve"> </w:t>
      </w:r>
      <w:r w:rsidRPr="002029AF">
        <w:t>being</w:t>
      </w:r>
      <w:r w:rsidR="000A5329" w:rsidRPr="002029AF">
        <w:t xml:space="preserve"> </w:t>
      </w:r>
      <w:r w:rsidRPr="002029AF">
        <w:t>progressively</w:t>
      </w:r>
      <w:r w:rsidR="000A5329" w:rsidRPr="002029AF">
        <w:t xml:space="preserve"> </w:t>
      </w:r>
      <w:r w:rsidRPr="002029AF">
        <w:t>rectified</w:t>
      </w:r>
      <w:r w:rsidR="000A5329" w:rsidRPr="002029AF">
        <w:t xml:space="preserve"> </w:t>
      </w:r>
      <w:r w:rsidRPr="002029AF">
        <w:t>and/or</w:t>
      </w:r>
      <w:r w:rsidR="000A5329" w:rsidRPr="002029AF">
        <w:t xml:space="preserve"> </w:t>
      </w:r>
      <w:r w:rsidRPr="002029AF">
        <w:t>remediated</w:t>
      </w:r>
      <w:r w:rsidR="000A5329" w:rsidRPr="002029AF">
        <w:t xml:space="preserve"> </w:t>
      </w:r>
      <w:r w:rsidRPr="002029AF">
        <w:t>in</w:t>
      </w:r>
      <w:r w:rsidR="000A5329" w:rsidRPr="002029AF">
        <w:t xml:space="preserve"> </w:t>
      </w:r>
      <w:r w:rsidRPr="002029AF">
        <w:t>accordance</w:t>
      </w:r>
      <w:r w:rsidR="000A5329" w:rsidRPr="002029AF">
        <w:t xml:space="preserve"> </w:t>
      </w:r>
      <w:r w:rsidRPr="002029AF">
        <w:t>with</w:t>
      </w:r>
      <w:r w:rsidR="000A5329" w:rsidRPr="002029AF">
        <w:t xml:space="preserve"> </w:t>
      </w:r>
      <w:r w:rsidRPr="002029AF">
        <w:t>that</w:t>
      </w:r>
      <w:r w:rsidR="000A5329" w:rsidRPr="002029AF">
        <w:t xml:space="preserve"> </w:t>
      </w:r>
      <w:r w:rsidRPr="002029AF">
        <w:t>risk</w:t>
      </w:r>
      <w:r w:rsidR="000A5329" w:rsidRPr="002029AF">
        <w:t xml:space="preserve"> </w:t>
      </w:r>
      <w:r w:rsidRPr="002029AF">
        <w:t>ranking</w:t>
      </w:r>
      <w:r w:rsidR="000A5329" w:rsidRPr="002029AF">
        <w:t xml:space="preserve"> </w:t>
      </w:r>
      <w:r w:rsidRPr="002029AF">
        <w:t>and</w:t>
      </w:r>
      <w:r w:rsidR="000A5329" w:rsidRPr="002029AF">
        <w:t xml:space="preserve"> </w:t>
      </w:r>
      <w:r w:rsidRPr="002029AF">
        <w:t>as</w:t>
      </w:r>
      <w:r w:rsidR="000A5329" w:rsidRPr="002029AF">
        <w:t xml:space="preserve"> </w:t>
      </w:r>
      <w:r w:rsidRPr="002029AF">
        <w:t>resources</w:t>
      </w:r>
      <w:r w:rsidR="000A5329" w:rsidRPr="002029AF">
        <w:t xml:space="preserve"> </w:t>
      </w:r>
      <w:r w:rsidRPr="002029AF">
        <w:t>and</w:t>
      </w:r>
      <w:r w:rsidR="000A5329" w:rsidRPr="002029AF">
        <w:t xml:space="preserve"> </w:t>
      </w:r>
      <w:r w:rsidRPr="002029AF">
        <w:t>funding</w:t>
      </w:r>
      <w:r w:rsidR="000A5329" w:rsidRPr="002029AF">
        <w:t xml:space="preserve"> </w:t>
      </w:r>
      <w:r w:rsidRPr="002029AF">
        <w:t>allows.</w:t>
      </w:r>
    </w:p>
    <w:p w14:paraId="05D22F00" w14:textId="5602648C" w:rsidR="00CF72D5" w:rsidRPr="002029AF" w:rsidRDefault="00CF72D5" w:rsidP="00897193">
      <w:pPr>
        <w:pStyle w:val="ARbody"/>
      </w:pPr>
      <w:r w:rsidRPr="002029AF">
        <w:t>The</w:t>
      </w:r>
      <w:r w:rsidR="000A5329" w:rsidRPr="002029AF">
        <w:t xml:space="preserve"> </w:t>
      </w:r>
      <w:r w:rsidRPr="002029AF">
        <w:t>department</w:t>
      </w:r>
      <w:r w:rsidR="000A5329" w:rsidRPr="002029AF">
        <w:t xml:space="preserve"> </w:t>
      </w:r>
      <w:r w:rsidRPr="002029AF">
        <w:t>undertook</w:t>
      </w:r>
      <w:r w:rsidR="000A5329" w:rsidRPr="002029AF">
        <w:t xml:space="preserve"> </w:t>
      </w:r>
      <w:r w:rsidRPr="002029AF">
        <w:t>391</w:t>
      </w:r>
      <w:r w:rsidR="000A5329" w:rsidRPr="002029AF">
        <w:t xml:space="preserve"> </w:t>
      </w:r>
      <w:r w:rsidRPr="002029AF">
        <w:t>major</w:t>
      </w:r>
      <w:r w:rsidR="000A5329" w:rsidRPr="002029AF">
        <w:t xml:space="preserve"> </w:t>
      </w:r>
      <w:r w:rsidRPr="002029AF">
        <w:t>works</w:t>
      </w:r>
      <w:r w:rsidR="000A5329" w:rsidRPr="002029AF">
        <w:t xml:space="preserve"> </w:t>
      </w:r>
      <w:r w:rsidRPr="002029AF">
        <w:t>projects</w:t>
      </w:r>
      <w:r w:rsidR="000A5329" w:rsidRPr="002029AF">
        <w:t xml:space="preserve"> </w:t>
      </w:r>
      <w:r w:rsidRPr="002029AF">
        <w:t>in</w:t>
      </w:r>
      <w:r w:rsidR="000A5329" w:rsidRPr="002029AF">
        <w:t xml:space="preserve"> </w:t>
      </w:r>
      <w:r w:rsidRPr="002029AF">
        <w:t>201</w:t>
      </w:r>
      <w:r w:rsidR="00DB53E6" w:rsidRPr="002029AF">
        <w:t>9–</w:t>
      </w:r>
      <w:r w:rsidRPr="002029AF">
        <w:t>20,</w:t>
      </w:r>
      <w:r w:rsidR="000A5329" w:rsidRPr="002029AF">
        <w:t xml:space="preserve"> </w:t>
      </w:r>
      <w:r w:rsidRPr="002029AF">
        <w:t>was</w:t>
      </w:r>
      <w:r w:rsidR="000A5329" w:rsidRPr="002029AF">
        <w:t xml:space="preserve"> </w:t>
      </w:r>
      <w:r w:rsidRPr="002029AF">
        <w:t>issued</w:t>
      </w:r>
      <w:r w:rsidR="000A5329" w:rsidRPr="002029AF">
        <w:t xml:space="preserve"> </w:t>
      </w:r>
      <w:r w:rsidRPr="002029AF">
        <w:t>with</w:t>
      </w:r>
      <w:r w:rsidR="000A5329" w:rsidRPr="002029AF">
        <w:t xml:space="preserve"> </w:t>
      </w:r>
      <w:r w:rsidRPr="002029AF">
        <w:t>10</w:t>
      </w:r>
      <w:r w:rsidR="000A5329" w:rsidRPr="002029AF">
        <w:t xml:space="preserve"> </w:t>
      </w:r>
      <w:r w:rsidRPr="002029AF">
        <w:t>emergency</w:t>
      </w:r>
      <w:r w:rsidR="000A5329" w:rsidRPr="002029AF">
        <w:t xml:space="preserve"> </w:t>
      </w:r>
      <w:r w:rsidRPr="002029AF">
        <w:t>orders,</w:t>
      </w:r>
      <w:r w:rsidR="000A5329" w:rsidRPr="002029AF">
        <w:t xml:space="preserve"> </w:t>
      </w:r>
      <w:r w:rsidR="006477EC" w:rsidRPr="002029AF">
        <w:t>and</w:t>
      </w:r>
      <w:r w:rsidR="000A5329" w:rsidRPr="002029AF">
        <w:t xml:space="preserve"> </w:t>
      </w:r>
      <w:r w:rsidRPr="002029AF">
        <w:t>secured</w:t>
      </w:r>
      <w:r w:rsidR="000A5329" w:rsidRPr="002029AF">
        <w:t xml:space="preserve"> </w:t>
      </w:r>
      <w:r w:rsidRPr="002029AF">
        <w:t>140</w:t>
      </w:r>
      <w:r w:rsidR="000A5329" w:rsidRPr="002029AF">
        <w:t xml:space="preserve"> </w:t>
      </w:r>
      <w:r w:rsidRPr="002029AF">
        <w:t>building</w:t>
      </w:r>
      <w:r w:rsidR="000A5329" w:rsidRPr="002029AF">
        <w:t xml:space="preserve"> </w:t>
      </w:r>
      <w:r w:rsidRPr="002029AF">
        <w:t>permits,</w:t>
      </w:r>
      <w:r w:rsidR="000A5329" w:rsidRPr="002029AF">
        <w:t xml:space="preserve"> </w:t>
      </w:r>
      <w:r w:rsidR="0061026B" w:rsidRPr="002029AF">
        <w:t>eight</w:t>
      </w:r>
      <w:r w:rsidR="000A5329" w:rsidRPr="002029AF">
        <w:t xml:space="preserve"> </w:t>
      </w:r>
      <w:r w:rsidRPr="002029AF">
        <w:t>certificates</w:t>
      </w:r>
      <w:r w:rsidR="000A5329" w:rsidRPr="002029AF">
        <w:t xml:space="preserve"> </w:t>
      </w:r>
      <w:r w:rsidRPr="002029AF">
        <w:t>of</w:t>
      </w:r>
      <w:r w:rsidR="000A5329" w:rsidRPr="002029AF">
        <w:t xml:space="preserve"> </w:t>
      </w:r>
      <w:r w:rsidRPr="002029AF">
        <w:t>occupancy</w:t>
      </w:r>
      <w:r w:rsidR="000A5329" w:rsidRPr="002029AF">
        <w:t xml:space="preserve"> </w:t>
      </w:r>
      <w:r w:rsidRPr="002029AF">
        <w:t>and</w:t>
      </w:r>
      <w:r w:rsidR="000A5329" w:rsidRPr="002029AF">
        <w:t xml:space="preserve"> </w:t>
      </w:r>
      <w:r w:rsidRPr="002029AF">
        <w:t>381</w:t>
      </w:r>
      <w:r w:rsidR="000A5329" w:rsidRPr="002029AF">
        <w:t xml:space="preserve"> </w:t>
      </w:r>
      <w:r w:rsidRPr="002029AF">
        <w:t>certificates</w:t>
      </w:r>
      <w:r w:rsidR="000A5329" w:rsidRPr="002029AF">
        <w:t xml:space="preserve"> </w:t>
      </w:r>
      <w:r w:rsidRPr="002029AF">
        <w:t>of</w:t>
      </w:r>
      <w:r w:rsidR="000A5329" w:rsidRPr="002029AF">
        <w:t xml:space="preserve"> </w:t>
      </w:r>
      <w:r w:rsidRPr="002029AF">
        <w:t>final</w:t>
      </w:r>
      <w:r w:rsidR="000A5329" w:rsidRPr="002029AF">
        <w:t xml:space="preserve"> </w:t>
      </w:r>
      <w:r w:rsidRPr="002029AF">
        <w:t>inspection.</w:t>
      </w:r>
      <w:bookmarkEnd w:id="122"/>
    </w:p>
    <w:p w14:paraId="21F69D43" w14:textId="401FA905" w:rsidR="00CF72D5" w:rsidRPr="002029AF" w:rsidRDefault="00CF72D5" w:rsidP="00897193">
      <w:pPr>
        <w:pStyle w:val="Heading2"/>
      </w:pPr>
      <w:bookmarkStart w:id="123" w:name="_Ref21956652"/>
      <w:bookmarkStart w:id="124" w:name="_Toc54690785"/>
      <w:r w:rsidRPr="002029AF">
        <w:lastRenderedPageBreak/>
        <w:t>Compliance</w:t>
      </w:r>
      <w:r w:rsidR="000A5329" w:rsidRPr="002029AF">
        <w:t xml:space="preserve"> </w:t>
      </w:r>
      <w:r w:rsidRPr="002029AF">
        <w:t>with</w:t>
      </w:r>
      <w:r w:rsidR="000A5329" w:rsidRPr="002029AF">
        <w:t xml:space="preserve"> </w:t>
      </w:r>
      <w:r w:rsidRPr="002029AF">
        <w:t>the</w:t>
      </w:r>
      <w:r w:rsidR="000A5329" w:rsidRPr="002029AF">
        <w:t xml:space="preserve"> </w:t>
      </w:r>
      <w:r w:rsidRPr="002029AF">
        <w:t>Carers</w:t>
      </w:r>
      <w:r w:rsidR="000A5329" w:rsidRPr="002029AF">
        <w:t xml:space="preserve"> </w:t>
      </w:r>
      <w:r w:rsidRPr="002029AF">
        <w:t>Recognition</w:t>
      </w:r>
      <w:r w:rsidR="000A5329" w:rsidRPr="002029AF">
        <w:t xml:space="preserve"> </w:t>
      </w:r>
      <w:r w:rsidRPr="002029AF">
        <w:t>Act</w:t>
      </w:r>
      <w:r w:rsidR="000A5329" w:rsidRPr="002029AF">
        <w:t xml:space="preserve"> </w:t>
      </w:r>
      <w:r w:rsidRPr="002029AF">
        <w:t>2012</w:t>
      </w:r>
      <w:bookmarkEnd w:id="123"/>
      <w:bookmarkEnd w:id="124"/>
    </w:p>
    <w:p w14:paraId="0CFBC9AB" w14:textId="68B8BA56" w:rsidR="00CF72D5" w:rsidRPr="002029AF" w:rsidRDefault="00CF72D5" w:rsidP="00897193">
      <w:pPr>
        <w:pStyle w:val="ARbody"/>
      </w:pPr>
      <w:bookmarkStart w:id="125" w:name="_Ref492895171"/>
      <w:bookmarkStart w:id="126" w:name="_Ref525048051"/>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taken</w:t>
      </w:r>
      <w:r w:rsidR="000A5329" w:rsidRPr="002029AF">
        <w:t xml:space="preserve"> </w:t>
      </w:r>
      <w:r w:rsidRPr="002029AF">
        <w:t>all</w:t>
      </w:r>
      <w:r w:rsidR="000A5329" w:rsidRPr="002029AF">
        <w:t xml:space="preserve"> </w:t>
      </w:r>
      <w:r w:rsidRPr="002029AF">
        <w:t>practical</w:t>
      </w:r>
      <w:r w:rsidR="000A5329" w:rsidRPr="002029AF">
        <w:t xml:space="preserve"> </w:t>
      </w:r>
      <w:r w:rsidRPr="002029AF">
        <w:t>measures</w:t>
      </w:r>
      <w:r w:rsidR="000A5329" w:rsidRPr="002029AF">
        <w:t xml:space="preserve"> </w:t>
      </w:r>
      <w:r w:rsidRPr="002029AF">
        <w:t>to</w:t>
      </w:r>
      <w:r w:rsidR="00286264" w:rsidRPr="002029AF">
        <w:t> </w:t>
      </w:r>
      <w:r w:rsidRPr="002029AF">
        <w:t>comply</w:t>
      </w:r>
      <w:r w:rsidR="000A5329" w:rsidRPr="002029AF">
        <w:t xml:space="preserve"> </w:t>
      </w:r>
      <w:r w:rsidRPr="002029AF">
        <w:t>with</w:t>
      </w:r>
      <w:r w:rsidR="000A5329" w:rsidRPr="002029AF">
        <w:t xml:space="preserve"> </w:t>
      </w:r>
      <w:r w:rsidRPr="002029AF">
        <w:t>its</w:t>
      </w:r>
      <w:r w:rsidR="000A5329" w:rsidRPr="002029AF">
        <w:t xml:space="preserve"> </w:t>
      </w:r>
      <w:r w:rsidRPr="002029AF">
        <w:t>obligations</w:t>
      </w:r>
      <w:r w:rsidR="000A5329" w:rsidRPr="002029AF">
        <w:t xml:space="preserve"> </w:t>
      </w:r>
      <w:r w:rsidRPr="002029AF">
        <w:t>under</w:t>
      </w:r>
      <w:r w:rsidR="000A5329" w:rsidRPr="002029AF">
        <w:t xml:space="preserve"> </w:t>
      </w:r>
      <w:r w:rsidRPr="002029AF">
        <w:t>the</w:t>
      </w:r>
      <w:r w:rsidR="000A5329" w:rsidRPr="002029AF">
        <w:t xml:space="preserve"> </w:t>
      </w:r>
      <w:r w:rsidR="00776D7C" w:rsidRPr="002029AF">
        <w:rPr>
          <w:i/>
          <w:iCs/>
        </w:rPr>
        <w:t>Carers</w:t>
      </w:r>
      <w:r w:rsidR="000A5329" w:rsidRPr="002029AF">
        <w:rPr>
          <w:i/>
          <w:iCs/>
        </w:rPr>
        <w:t xml:space="preserve"> </w:t>
      </w:r>
      <w:r w:rsidR="005C01ED" w:rsidRPr="002029AF">
        <w:rPr>
          <w:i/>
          <w:iCs/>
        </w:rPr>
        <w:t>Recognition</w:t>
      </w:r>
      <w:r w:rsidR="000A5329" w:rsidRPr="002029AF">
        <w:rPr>
          <w:i/>
          <w:iCs/>
        </w:rPr>
        <w:t xml:space="preserve"> </w:t>
      </w:r>
      <w:r w:rsidRPr="002029AF">
        <w:rPr>
          <w:i/>
          <w:iCs/>
        </w:rPr>
        <w:t>Act</w:t>
      </w:r>
      <w:r w:rsidR="000A5329" w:rsidRPr="002029AF">
        <w:rPr>
          <w:i/>
          <w:iCs/>
        </w:rPr>
        <w:t xml:space="preserve"> </w:t>
      </w:r>
      <w:r w:rsidR="005C01ED" w:rsidRPr="002029AF">
        <w:rPr>
          <w:i/>
          <w:iCs/>
        </w:rPr>
        <w:t>2012</w:t>
      </w:r>
      <w:r w:rsidRPr="002029AF">
        <w:t>.</w:t>
      </w:r>
      <w:r w:rsidR="000A5329" w:rsidRPr="002029AF">
        <w:t xml:space="preserve"> </w:t>
      </w:r>
      <w:r w:rsidRPr="002029AF">
        <w:t>These</w:t>
      </w:r>
      <w:r w:rsidR="000A5329" w:rsidRPr="002029AF">
        <w:t xml:space="preserve"> </w:t>
      </w:r>
      <w:r w:rsidRPr="002029AF">
        <w:t>include:</w:t>
      </w:r>
    </w:p>
    <w:p w14:paraId="32744CAF" w14:textId="75979821" w:rsidR="00CF72D5" w:rsidRPr="002029AF" w:rsidRDefault="00CF72D5" w:rsidP="00897193">
      <w:pPr>
        <w:pStyle w:val="ARbullet1"/>
      </w:pPr>
      <w:r w:rsidRPr="002029AF">
        <w:t>providing</w:t>
      </w:r>
      <w:r w:rsidR="000A5329" w:rsidRPr="002029AF">
        <w:t xml:space="preserve"> </w:t>
      </w:r>
      <w:r w:rsidRPr="002029AF">
        <w:t>online</w:t>
      </w:r>
      <w:r w:rsidR="000A5329" w:rsidRPr="002029AF">
        <w:t xml:space="preserve"> </w:t>
      </w:r>
      <w:r w:rsidRPr="002029AF">
        <w:t>and</w:t>
      </w:r>
      <w:r w:rsidR="000A5329" w:rsidRPr="002029AF">
        <w:t xml:space="preserve"> </w:t>
      </w:r>
      <w:r w:rsidRPr="002029AF">
        <w:t>written</w:t>
      </w:r>
      <w:r w:rsidR="000A5329" w:rsidRPr="002029AF">
        <w:t xml:space="preserve"> </w:t>
      </w:r>
      <w:r w:rsidRPr="002029AF">
        <w:t>information</w:t>
      </w:r>
      <w:r w:rsidR="000A5329" w:rsidRPr="002029AF">
        <w:t xml:space="preserve"> </w:t>
      </w:r>
      <w:r w:rsidRPr="002029AF">
        <w:t>on</w:t>
      </w:r>
      <w:r w:rsidR="000A5329" w:rsidRPr="002029AF">
        <w:t xml:space="preserve"> </w:t>
      </w:r>
      <w:r w:rsidRPr="002029AF">
        <w:t>the</w:t>
      </w:r>
      <w:r w:rsidR="000A5329" w:rsidRPr="002029AF">
        <w:t xml:space="preserve"> </w:t>
      </w:r>
      <w:r w:rsidRPr="002029AF">
        <w:t>principles</w:t>
      </w:r>
      <w:r w:rsidR="000A5329" w:rsidRPr="002029AF">
        <w:t xml:space="preserve"> </w:t>
      </w:r>
      <w:r w:rsidRPr="002029AF">
        <w:t>of</w:t>
      </w:r>
      <w:r w:rsidR="000A5329" w:rsidRPr="002029AF">
        <w:t xml:space="preserve"> </w:t>
      </w:r>
      <w:r w:rsidRPr="002029AF">
        <w:t>the</w:t>
      </w:r>
      <w:r w:rsidR="000A5329" w:rsidRPr="002029AF">
        <w:t xml:space="preserve"> </w:t>
      </w:r>
      <w:r w:rsidRPr="002029AF">
        <w:t>Act</w:t>
      </w:r>
      <w:r w:rsidR="000A5329" w:rsidRPr="002029AF">
        <w:t xml:space="preserve"> </w:t>
      </w:r>
      <w:r w:rsidRPr="002029AF">
        <w:t>and</w:t>
      </w:r>
      <w:r w:rsidR="000A5329" w:rsidRPr="002029AF">
        <w:t xml:space="preserve"> </w:t>
      </w:r>
      <w:r w:rsidRPr="002029AF">
        <w:t>their</w:t>
      </w:r>
      <w:r w:rsidR="000A5329" w:rsidRPr="002029AF">
        <w:t xml:space="preserve"> </w:t>
      </w:r>
      <w:r w:rsidRPr="002029AF">
        <w:t>application</w:t>
      </w:r>
    </w:p>
    <w:p w14:paraId="32AEABD1" w14:textId="52F75A93" w:rsidR="00CF72D5" w:rsidRPr="002029AF" w:rsidRDefault="00CF72D5" w:rsidP="00897193">
      <w:pPr>
        <w:pStyle w:val="ARbullet1"/>
      </w:pPr>
      <w:r w:rsidRPr="002029AF">
        <w:t>promoting</w:t>
      </w:r>
      <w:r w:rsidR="000A5329" w:rsidRPr="002029AF">
        <w:t xml:space="preserve"> </w:t>
      </w:r>
      <w:r w:rsidRPr="002029AF">
        <w:t>the</w:t>
      </w:r>
      <w:r w:rsidR="000A5329" w:rsidRPr="002029AF">
        <w:t xml:space="preserve"> </w:t>
      </w:r>
      <w:r w:rsidRPr="002029AF">
        <w:t>principles</w:t>
      </w:r>
      <w:r w:rsidR="000A5329" w:rsidRPr="002029AF">
        <w:t xml:space="preserve"> </w:t>
      </w:r>
      <w:r w:rsidRPr="002029AF">
        <w:t>of</w:t>
      </w:r>
      <w:r w:rsidR="000A5329" w:rsidRPr="002029AF">
        <w:t xml:space="preserve"> </w:t>
      </w:r>
      <w:r w:rsidRPr="002029AF">
        <w:t>the</w:t>
      </w:r>
      <w:r w:rsidR="000A5329" w:rsidRPr="002029AF">
        <w:t xml:space="preserve"> </w:t>
      </w:r>
      <w:r w:rsidRPr="002029AF">
        <w:t>Act</w:t>
      </w:r>
      <w:r w:rsidR="000A5329" w:rsidRPr="002029AF">
        <w:t xml:space="preserve"> </w:t>
      </w:r>
      <w:r w:rsidRPr="002029AF">
        <w:t>to</w:t>
      </w:r>
      <w:r w:rsidR="000A5329" w:rsidRPr="002029AF">
        <w:t xml:space="preserve"> </w:t>
      </w:r>
      <w:r w:rsidRPr="002029AF">
        <w:t>people</w:t>
      </w:r>
      <w:r w:rsidR="000A5329" w:rsidRPr="002029AF">
        <w:t xml:space="preserve"> </w:t>
      </w:r>
      <w:r w:rsidRPr="002029AF">
        <w:t>in</w:t>
      </w:r>
      <w:r w:rsidR="000A5329" w:rsidRPr="002029AF">
        <w:t xml:space="preserve"> </w:t>
      </w:r>
      <w:r w:rsidRPr="002029AF">
        <w:t>care</w:t>
      </w:r>
      <w:r w:rsidR="000A5329" w:rsidRPr="002029AF">
        <w:t xml:space="preserve"> </w:t>
      </w:r>
      <w:r w:rsidRPr="002029AF">
        <w:t>relationships</w:t>
      </w:r>
      <w:r w:rsidR="000A5329" w:rsidRPr="002029AF">
        <w:t xml:space="preserve"> </w:t>
      </w:r>
      <w:r w:rsidRPr="002029AF">
        <w:t>who</w:t>
      </w:r>
      <w:r w:rsidR="000A5329" w:rsidRPr="002029AF">
        <w:t xml:space="preserve"> </w:t>
      </w:r>
      <w:r w:rsidRPr="002029AF">
        <w:t>receive</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services</w:t>
      </w:r>
      <w:r w:rsidR="000A5329" w:rsidRPr="002029AF">
        <w:t xml:space="preserve"> </w:t>
      </w:r>
      <w:r w:rsidRPr="002029AF">
        <w:t>and</w:t>
      </w:r>
      <w:r w:rsidR="000A5329" w:rsidRPr="002029AF">
        <w:t xml:space="preserve"> </w:t>
      </w:r>
      <w:r w:rsidRPr="002029AF">
        <w:t>to</w:t>
      </w:r>
      <w:r w:rsidR="000A5329" w:rsidRPr="002029AF">
        <w:t xml:space="preserve"> </w:t>
      </w:r>
      <w:r w:rsidRPr="002029AF">
        <w:t>the</w:t>
      </w:r>
      <w:r w:rsidR="000A5329" w:rsidRPr="002029AF">
        <w:t xml:space="preserve"> </w:t>
      </w:r>
      <w:r w:rsidRPr="002029AF">
        <w:t>wider</w:t>
      </w:r>
      <w:r w:rsidR="000A5329" w:rsidRPr="002029AF">
        <w:t xml:space="preserve"> </w:t>
      </w:r>
      <w:r w:rsidRPr="002029AF">
        <w:t>community,</w:t>
      </w:r>
      <w:r w:rsidR="000A5329" w:rsidRPr="002029AF">
        <w:t xml:space="preserve"> </w:t>
      </w:r>
      <w:r w:rsidRPr="002029AF">
        <w:t>such</w:t>
      </w:r>
      <w:r w:rsidR="000A5329" w:rsidRPr="002029AF">
        <w:t xml:space="preserve"> </w:t>
      </w:r>
      <w:r w:rsidRPr="002029AF">
        <w:t>as:</w:t>
      </w:r>
    </w:p>
    <w:p w14:paraId="72024D62" w14:textId="6D6B4487" w:rsidR="00CF72D5" w:rsidRPr="002029AF" w:rsidRDefault="00CF72D5" w:rsidP="00897193">
      <w:pPr>
        <w:pStyle w:val="ARbullet2"/>
      </w:pPr>
      <w:r w:rsidRPr="002029AF">
        <w:t>distributing</w:t>
      </w:r>
      <w:r w:rsidR="000A5329" w:rsidRPr="002029AF">
        <w:t xml:space="preserve"> </w:t>
      </w:r>
      <w:r w:rsidRPr="002029AF">
        <w:t>printed</w:t>
      </w:r>
      <w:r w:rsidR="000A5329" w:rsidRPr="002029AF">
        <w:t xml:space="preserve"> </w:t>
      </w:r>
      <w:r w:rsidRPr="002029AF">
        <w:t>material</w:t>
      </w:r>
      <w:r w:rsidR="000A5329" w:rsidRPr="002029AF">
        <w:t xml:space="preserve"> </w:t>
      </w:r>
      <w:r w:rsidRPr="002029AF">
        <w:t>about</w:t>
      </w:r>
      <w:r w:rsidR="000A5329" w:rsidRPr="002029AF">
        <w:t xml:space="preserve"> </w:t>
      </w:r>
      <w:r w:rsidRPr="002029AF">
        <w:t>the</w:t>
      </w:r>
      <w:r w:rsidR="000A5329" w:rsidRPr="002029AF">
        <w:t xml:space="preserve"> </w:t>
      </w:r>
      <w:r w:rsidRPr="002029AF">
        <w:t>Act</w:t>
      </w:r>
      <w:r w:rsidR="000A5329" w:rsidRPr="002029AF">
        <w:t xml:space="preserve"> </w:t>
      </w:r>
      <w:r w:rsidRPr="002029AF">
        <w:t>at</w:t>
      </w:r>
      <w:r w:rsidR="000A5329" w:rsidRPr="002029AF">
        <w:t xml:space="preserve"> </w:t>
      </w:r>
      <w:r w:rsidRPr="002029AF">
        <w:t>community</w:t>
      </w:r>
      <w:r w:rsidR="000A5329" w:rsidRPr="002029AF">
        <w:t xml:space="preserve"> </w:t>
      </w:r>
      <w:r w:rsidRPr="002029AF">
        <w:t>events</w:t>
      </w:r>
      <w:r w:rsidR="000A5329" w:rsidRPr="002029AF">
        <w:t xml:space="preserve"> </w:t>
      </w:r>
      <w:r w:rsidRPr="002029AF">
        <w:t>or</w:t>
      </w:r>
      <w:r w:rsidR="000A5329" w:rsidRPr="002029AF">
        <w:t xml:space="preserve"> </w:t>
      </w:r>
      <w:r w:rsidRPr="002029AF">
        <w:t>service</w:t>
      </w:r>
      <w:r w:rsidR="000A5329" w:rsidRPr="002029AF">
        <w:t xml:space="preserve"> </w:t>
      </w:r>
      <w:r w:rsidRPr="002029AF">
        <w:t>points</w:t>
      </w:r>
    </w:p>
    <w:p w14:paraId="5D5FAE59" w14:textId="2367893B" w:rsidR="00CF72D5" w:rsidRPr="002029AF" w:rsidRDefault="00CF72D5" w:rsidP="00897193">
      <w:pPr>
        <w:pStyle w:val="ARbullet2"/>
      </w:pPr>
      <w:r w:rsidRPr="002029AF">
        <w:t>providing</w:t>
      </w:r>
      <w:r w:rsidR="000A5329" w:rsidRPr="002029AF">
        <w:t xml:space="preserve"> </w:t>
      </w:r>
      <w:r w:rsidRPr="002029AF">
        <w:t>links</w:t>
      </w:r>
      <w:r w:rsidR="000A5329" w:rsidRPr="002029AF">
        <w:t xml:space="preserve"> </w:t>
      </w:r>
      <w:r w:rsidRPr="002029AF">
        <w:t>to</w:t>
      </w:r>
      <w:r w:rsidR="000A5329" w:rsidRPr="002029AF">
        <w:t xml:space="preserve"> </w:t>
      </w:r>
      <w:r w:rsidRPr="002029AF">
        <w:t>state</w:t>
      </w:r>
      <w:r w:rsidR="000A5329" w:rsidRPr="002029AF">
        <w:t xml:space="preserve"> </w:t>
      </w:r>
      <w:r w:rsidRPr="002029AF">
        <w:t>government</w:t>
      </w:r>
      <w:r w:rsidR="000A5329" w:rsidRPr="002029AF">
        <w:t xml:space="preserve"> </w:t>
      </w:r>
      <w:r w:rsidRPr="002029AF">
        <w:t>resource</w:t>
      </w:r>
      <w:r w:rsidR="000A5329" w:rsidRPr="002029AF">
        <w:t xml:space="preserve"> </w:t>
      </w:r>
      <w:r w:rsidRPr="002029AF">
        <w:t>materials</w:t>
      </w:r>
      <w:r w:rsidR="000A5329" w:rsidRPr="002029AF">
        <w:t xml:space="preserve"> </w:t>
      </w:r>
      <w:r w:rsidRPr="002029AF">
        <w:t>on</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website</w:t>
      </w:r>
    </w:p>
    <w:p w14:paraId="3AB06F03" w14:textId="0F72729A" w:rsidR="00CF72D5" w:rsidRPr="002029AF" w:rsidRDefault="00CF72D5" w:rsidP="00897193">
      <w:pPr>
        <w:pStyle w:val="ARbullet2"/>
      </w:pPr>
      <w:r w:rsidRPr="002029AF">
        <w:t>providing</w:t>
      </w:r>
      <w:r w:rsidR="000A5329" w:rsidRPr="002029AF">
        <w:t xml:space="preserve"> </w:t>
      </w:r>
      <w:r w:rsidRPr="002029AF">
        <w:t>digital</w:t>
      </w:r>
      <w:r w:rsidR="000A5329" w:rsidRPr="002029AF">
        <w:t xml:space="preserve"> </w:t>
      </w:r>
      <w:r w:rsidRPr="002029AF">
        <w:t>and/or</w:t>
      </w:r>
      <w:r w:rsidR="000A5329" w:rsidRPr="002029AF">
        <w:t xml:space="preserve"> </w:t>
      </w:r>
      <w:r w:rsidRPr="002029AF">
        <w:t>printed</w:t>
      </w:r>
      <w:r w:rsidR="000A5329" w:rsidRPr="002029AF">
        <w:t xml:space="preserve"> </w:t>
      </w:r>
      <w:r w:rsidRPr="002029AF">
        <w:t>information</w:t>
      </w:r>
      <w:r w:rsidR="000A5329" w:rsidRPr="002029AF">
        <w:t xml:space="preserve"> </w:t>
      </w:r>
      <w:r w:rsidRPr="002029AF">
        <w:t>about</w:t>
      </w:r>
      <w:r w:rsidR="000A5329" w:rsidRPr="002029AF">
        <w:t xml:space="preserve"> </w:t>
      </w:r>
      <w:r w:rsidRPr="002029AF">
        <w:t>the</w:t>
      </w:r>
      <w:r w:rsidR="000A5329" w:rsidRPr="002029AF">
        <w:t xml:space="preserve"> </w:t>
      </w:r>
      <w:r w:rsidRPr="002029AF">
        <w:t>Act</w:t>
      </w:r>
      <w:r w:rsidR="000A5329" w:rsidRPr="002029AF">
        <w:t xml:space="preserve"> </w:t>
      </w:r>
      <w:r w:rsidRPr="002029AF">
        <w:t>to</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partner</w:t>
      </w:r>
      <w:r w:rsidR="000A5329" w:rsidRPr="002029AF">
        <w:t xml:space="preserve"> </w:t>
      </w:r>
      <w:r w:rsidRPr="002029AF">
        <w:t>organisations</w:t>
      </w:r>
      <w:r w:rsidR="00062A90" w:rsidRPr="002029AF">
        <w:t>.</w:t>
      </w:r>
    </w:p>
    <w:p w14:paraId="1D9FA866" w14:textId="421BF557" w:rsidR="00CF72D5" w:rsidRPr="002029AF" w:rsidRDefault="00CF72D5" w:rsidP="00897193">
      <w:pPr>
        <w:pStyle w:val="ARbullet1"/>
      </w:pPr>
      <w:r w:rsidRPr="002029AF">
        <w:t>supporting</w:t>
      </w:r>
      <w:r w:rsidR="000A5329" w:rsidRPr="002029AF">
        <w:t xml:space="preserve"> </w:t>
      </w:r>
      <w:r w:rsidRPr="002029AF">
        <w:t>application</w:t>
      </w:r>
      <w:r w:rsidR="000A5329" w:rsidRPr="002029AF">
        <w:t xml:space="preserve"> </w:t>
      </w:r>
      <w:r w:rsidRPr="002029AF">
        <w:t>of</w:t>
      </w:r>
      <w:r w:rsidR="000A5329" w:rsidRPr="002029AF">
        <w:t xml:space="preserve"> </w:t>
      </w:r>
      <w:r w:rsidRPr="002029AF">
        <w:t>the</w:t>
      </w:r>
      <w:r w:rsidR="000A5329" w:rsidRPr="002029AF">
        <w:t xml:space="preserve"> </w:t>
      </w:r>
      <w:r w:rsidRPr="002029AF">
        <w:t>Act’s</w:t>
      </w:r>
      <w:r w:rsidR="000A5329" w:rsidRPr="002029AF">
        <w:t xml:space="preserve"> </w:t>
      </w:r>
      <w:r w:rsidRPr="002029AF">
        <w:t>principles</w:t>
      </w:r>
      <w:r w:rsidR="000A5329" w:rsidRPr="002029AF">
        <w:t xml:space="preserve"> </w:t>
      </w:r>
      <w:r w:rsidRPr="002029AF">
        <w:t>through</w:t>
      </w:r>
      <w:r w:rsidR="000A5329" w:rsidRPr="002029AF">
        <w:t xml:space="preserve"> </w:t>
      </w:r>
      <w:r w:rsidRPr="002029AF">
        <w:t>Victorian</w:t>
      </w:r>
      <w:r w:rsidR="000A5329" w:rsidRPr="002029AF">
        <w:t xml:space="preserve"> </w:t>
      </w:r>
      <w:r w:rsidRPr="002029AF">
        <w:t>Support</w:t>
      </w:r>
      <w:r w:rsidR="000A5329" w:rsidRPr="002029AF">
        <w:t xml:space="preserve"> </w:t>
      </w:r>
      <w:r w:rsidRPr="002029AF">
        <w:t>for</w:t>
      </w:r>
      <w:r w:rsidR="000A5329" w:rsidRPr="002029AF">
        <w:t xml:space="preserve"> </w:t>
      </w:r>
      <w:r w:rsidRPr="002029AF">
        <w:t>Carers</w:t>
      </w:r>
      <w:r w:rsidR="000A5329" w:rsidRPr="002029AF">
        <w:t xml:space="preserve"> </w:t>
      </w:r>
      <w:r w:rsidRPr="002029AF">
        <w:t>Program</w:t>
      </w:r>
      <w:r w:rsidR="000A5329" w:rsidRPr="002029AF">
        <w:t xml:space="preserve"> </w:t>
      </w:r>
      <w:r w:rsidRPr="002029AF">
        <w:t>service</w:t>
      </w:r>
      <w:r w:rsidR="000A5329" w:rsidRPr="002029AF">
        <w:t xml:space="preserve"> </w:t>
      </w:r>
      <w:r w:rsidRPr="002029AF">
        <w:t>providers,</w:t>
      </w:r>
      <w:r w:rsidR="000A5329" w:rsidRPr="002029AF">
        <w:t xml:space="preserve"> </w:t>
      </w:r>
      <w:r w:rsidRPr="002029AF">
        <w:t>ensuring</w:t>
      </w:r>
      <w:r w:rsidR="000A5329" w:rsidRPr="002029AF">
        <w:t xml:space="preserve"> </w:t>
      </w:r>
      <w:r w:rsidRPr="002029AF">
        <w:t>carers</w:t>
      </w:r>
      <w:r w:rsidR="000A5329" w:rsidRPr="002029AF">
        <w:t xml:space="preserve"> </w:t>
      </w:r>
      <w:r w:rsidRPr="002029AF">
        <w:t>have</w:t>
      </w:r>
      <w:r w:rsidR="000A5329" w:rsidRPr="002029AF">
        <w:t xml:space="preserve"> </w:t>
      </w:r>
      <w:r w:rsidRPr="002029AF">
        <w:t>an</w:t>
      </w:r>
      <w:r w:rsidR="000A5329" w:rsidRPr="002029AF">
        <w:t xml:space="preserve"> </w:t>
      </w:r>
      <w:r w:rsidRPr="002029AF">
        <w:t>awareness</w:t>
      </w:r>
      <w:r w:rsidR="000A5329" w:rsidRPr="002029AF">
        <w:t xml:space="preserve"> </w:t>
      </w:r>
      <w:r w:rsidRPr="002029AF">
        <w:t>and</w:t>
      </w:r>
      <w:r w:rsidR="000A5329" w:rsidRPr="002029AF">
        <w:t xml:space="preserve"> </w:t>
      </w:r>
      <w:r w:rsidRPr="002029AF">
        <w:t>understanding</w:t>
      </w:r>
      <w:r w:rsidR="000A5329" w:rsidRPr="002029AF">
        <w:t xml:space="preserve"> </w:t>
      </w:r>
      <w:r w:rsidRPr="002029AF">
        <w:t>of</w:t>
      </w:r>
      <w:r w:rsidR="000A5329" w:rsidRPr="002029AF">
        <w:t xml:space="preserve"> </w:t>
      </w:r>
      <w:r w:rsidRPr="002029AF">
        <w:t>the</w:t>
      </w:r>
      <w:r w:rsidR="000A5329" w:rsidRPr="002029AF">
        <w:t xml:space="preserve"> </w:t>
      </w:r>
      <w:r w:rsidRPr="002029AF">
        <w:t>care</w:t>
      </w:r>
      <w:r w:rsidR="000A5329" w:rsidRPr="002029AF">
        <w:t xml:space="preserve"> </w:t>
      </w:r>
      <w:r w:rsidRPr="002029AF">
        <w:t>relationship</w:t>
      </w:r>
      <w:r w:rsidR="000A5329" w:rsidRPr="002029AF">
        <w:t xml:space="preserve"> </w:t>
      </w:r>
      <w:r w:rsidRPr="002029AF">
        <w:t>principles</w:t>
      </w:r>
      <w:r w:rsidR="000A5329" w:rsidRPr="002029AF">
        <w:t xml:space="preserve"> </w:t>
      </w:r>
      <w:r w:rsidRPr="002029AF">
        <w:t>set</w:t>
      </w:r>
      <w:r w:rsidR="000A5329" w:rsidRPr="002029AF">
        <w:t xml:space="preserve"> </w:t>
      </w:r>
      <w:r w:rsidRPr="002029AF">
        <w:t>out</w:t>
      </w:r>
      <w:r w:rsidR="000A5329" w:rsidRPr="002029AF">
        <w:t xml:space="preserve"> </w:t>
      </w:r>
      <w:r w:rsidRPr="002029AF">
        <w:t>in</w:t>
      </w:r>
      <w:r w:rsidR="000A5329" w:rsidRPr="002029AF">
        <w:t xml:space="preserve"> </w:t>
      </w:r>
      <w:r w:rsidRPr="002029AF">
        <w:t>the</w:t>
      </w:r>
      <w:r w:rsidR="000A5329" w:rsidRPr="002029AF">
        <w:t xml:space="preserve"> </w:t>
      </w:r>
      <w:r w:rsidRPr="002029AF">
        <w:t>Act</w:t>
      </w:r>
      <w:r w:rsidR="000A5329" w:rsidRPr="002029AF">
        <w:t xml:space="preserve"> </w:t>
      </w:r>
      <w:r w:rsidRPr="002029AF">
        <w:t>and</w:t>
      </w:r>
      <w:r w:rsidR="000A5329" w:rsidRPr="002029AF">
        <w:t xml:space="preserve"> </w:t>
      </w:r>
      <w:r w:rsidRPr="002029AF">
        <w:t>what</w:t>
      </w:r>
      <w:r w:rsidR="000A5329" w:rsidRPr="002029AF">
        <w:t xml:space="preserve"> </w:t>
      </w:r>
      <w:r w:rsidRPr="002029AF">
        <w:t>they</w:t>
      </w:r>
      <w:r w:rsidR="000A5329" w:rsidRPr="002029AF">
        <w:t xml:space="preserve"> </w:t>
      </w:r>
      <w:r w:rsidRPr="002029AF">
        <w:t>mean</w:t>
      </w:r>
      <w:r w:rsidR="000A5329" w:rsidRPr="002029AF">
        <w:t xml:space="preserve"> </w:t>
      </w:r>
      <w:r w:rsidRPr="002029AF">
        <w:t>for</w:t>
      </w:r>
      <w:r w:rsidR="000A5329" w:rsidRPr="002029AF">
        <w:t xml:space="preserve"> </w:t>
      </w:r>
      <w:r w:rsidRPr="002029AF">
        <w:t>carers,</w:t>
      </w:r>
      <w:r w:rsidR="000A5329" w:rsidRPr="002029AF">
        <w:t xml:space="preserve"> </w:t>
      </w:r>
      <w:r w:rsidRPr="002029AF">
        <w:t>and</w:t>
      </w:r>
      <w:r w:rsidR="000A5329" w:rsidRPr="002029AF">
        <w:t xml:space="preserve"> </w:t>
      </w:r>
      <w:r w:rsidRPr="002029AF">
        <w:t>that</w:t>
      </w:r>
      <w:r w:rsidR="000A5329" w:rsidRPr="002029AF">
        <w:t xml:space="preserve"> </w:t>
      </w:r>
      <w:r w:rsidRPr="002029AF">
        <w:t>carers</w:t>
      </w:r>
      <w:r w:rsidR="000A5329" w:rsidRPr="002029AF">
        <w:t xml:space="preserve"> </w:t>
      </w:r>
      <w:r w:rsidRPr="002029AF">
        <w:t>provide</w:t>
      </w:r>
      <w:r w:rsidR="000A5329" w:rsidRPr="002029AF">
        <w:t xml:space="preserve"> </w:t>
      </w:r>
      <w:r w:rsidRPr="002029AF">
        <w:t>input</w:t>
      </w:r>
      <w:r w:rsidR="000A5329" w:rsidRPr="002029AF">
        <w:t xml:space="preserve"> </w:t>
      </w:r>
      <w:r w:rsidRPr="002029AF">
        <w:t>on</w:t>
      </w:r>
      <w:r w:rsidR="000A5329" w:rsidRPr="002029AF">
        <w:t xml:space="preserve"> </w:t>
      </w:r>
      <w:r w:rsidRPr="002029AF">
        <w:t>improving</w:t>
      </w:r>
      <w:r w:rsidR="000A5329" w:rsidRPr="002029AF">
        <w:t xml:space="preserve"> </w:t>
      </w:r>
      <w:r w:rsidRPr="002029AF">
        <w:t>processes,</w:t>
      </w:r>
      <w:r w:rsidR="000A5329" w:rsidRPr="002029AF">
        <w:t xml:space="preserve"> </w:t>
      </w:r>
      <w:r w:rsidRPr="002029AF">
        <w:t>systems</w:t>
      </w:r>
      <w:r w:rsidR="000A5329" w:rsidRPr="002029AF">
        <w:t xml:space="preserve"> </w:t>
      </w:r>
      <w:r w:rsidRPr="002029AF">
        <w:t>and</w:t>
      </w:r>
      <w:r w:rsidR="000A5329" w:rsidRPr="002029AF">
        <w:t xml:space="preserve"> </w:t>
      </w:r>
      <w:r w:rsidRPr="002029AF">
        <w:t>services</w:t>
      </w:r>
      <w:r w:rsidR="000A5329" w:rsidRPr="002029AF">
        <w:t xml:space="preserve"> </w:t>
      </w:r>
      <w:r w:rsidRPr="002029AF">
        <w:t>to</w:t>
      </w:r>
      <w:r w:rsidR="000A5329" w:rsidRPr="002029AF">
        <w:t xml:space="preserve"> </w:t>
      </w:r>
      <w:r w:rsidRPr="002029AF">
        <w:t>better</w:t>
      </w:r>
      <w:r w:rsidR="000A5329" w:rsidRPr="002029AF">
        <w:t xml:space="preserve"> </w:t>
      </w:r>
      <w:r w:rsidRPr="002029AF">
        <w:t>support</w:t>
      </w:r>
      <w:r w:rsidR="000A5329" w:rsidRPr="002029AF">
        <w:t xml:space="preserve"> </w:t>
      </w:r>
      <w:r w:rsidRPr="002029AF">
        <w:t>them</w:t>
      </w:r>
    </w:p>
    <w:p w14:paraId="110C1086" w14:textId="26328609" w:rsidR="00CF72D5" w:rsidRPr="002029AF" w:rsidRDefault="00CF72D5" w:rsidP="00897193">
      <w:pPr>
        <w:pStyle w:val="ARbullet1"/>
      </w:pPr>
      <w:r w:rsidRPr="002029AF">
        <w:t>considering</w:t>
      </w:r>
      <w:r w:rsidR="000A5329" w:rsidRPr="002029AF">
        <w:t xml:space="preserve"> </w:t>
      </w:r>
      <w:r w:rsidRPr="002029AF">
        <w:t>the</w:t>
      </w:r>
      <w:r w:rsidR="000A5329" w:rsidRPr="002029AF">
        <w:t xml:space="preserve"> </w:t>
      </w:r>
      <w:r w:rsidRPr="002029AF">
        <w:t>care</w:t>
      </w:r>
      <w:r w:rsidR="000A5329" w:rsidRPr="002029AF">
        <w:t xml:space="preserve"> </w:t>
      </w:r>
      <w:r w:rsidRPr="002029AF">
        <w:t>relationship</w:t>
      </w:r>
      <w:r w:rsidR="000A5329" w:rsidRPr="002029AF">
        <w:t xml:space="preserve"> </w:t>
      </w:r>
      <w:r w:rsidRPr="002029AF">
        <w:t>principles</w:t>
      </w:r>
      <w:r w:rsidR="000A5329" w:rsidRPr="002029AF">
        <w:t xml:space="preserve"> </w:t>
      </w:r>
      <w:r w:rsidRPr="002029AF">
        <w:t>set</w:t>
      </w:r>
      <w:r w:rsidR="00286264" w:rsidRPr="002029AF">
        <w:t> </w:t>
      </w:r>
      <w:r w:rsidRPr="002029AF">
        <w:t>out</w:t>
      </w:r>
      <w:r w:rsidR="000A5329" w:rsidRPr="002029AF">
        <w:t xml:space="preserve"> </w:t>
      </w:r>
      <w:r w:rsidRPr="002029AF">
        <w:t>in</w:t>
      </w:r>
      <w:r w:rsidR="000A5329" w:rsidRPr="002029AF">
        <w:t xml:space="preserve"> </w:t>
      </w:r>
      <w:r w:rsidRPr="002029AF">
        <w:t>the</w:t>
      </w:r>
      <w:r w:rsidR="000A5329" w:rsidRPr="002029AF">
        <w:t xml:space="preserve"> </w:t>
      </w:r>
      <w:r w:rsidRPr="002029AF">
        <w:t>Act</w:t>
      </w:r>
      <w:r w:rsidR="000A5329" w:rsidRPr="002029AF">
        <w:t xml:space="preserve"> </w:t>
      </w:r>
      <w:r w:rsidRPr="002029AF">
        <w:t>when</w:t>
      </w:r>
      <w:r w:rsidR="000A5329" w:rsidRPr="002029AF">
        <w:t xml:space="preserve"> </w:t>
      </w:r>
      <w:r w:rsidRPr="002029AF">
        <w:t>setting</w:t>
      </w:r>
      <w:r w:rsidR="000A5329" w:rsidRPr="002029AF">
        <w:t xml:space="preserve"> </w:t>
      </w:r>
      <w:r w:rsidRPr="002029AF">
        <w:t>policies</w:t>
      </w:r>
      <w:r w:rsidR="000A5329" w:rsidRPr="002029AF">
        <w:t xml:space="preserve"> </w:t>
      </w:r>
      <w:r w:rsidRPr="002029AF">
        <w:t>and</w:t>
      </w:r>
      <w:r w:rsidR="000A5329" w:rsidRPr="002029AF">
        <w:t xml:space="preserve"> </w:t>
      </w:r>
      <w:r w:rsidRPr="002029AF">
        <w:t>providing</w:t>
      </w:r>
      <w:r w:rsidR="000A5329" w:rsidRPr="002029AF">
        <w:t xml:space="preserve"> </w:t>
      </w:r>
      <w:r w:rsidRPr="002029AF">
        <w:t>services.</w:t>
      </w:r>
      <w:r w:rsidR="000A5329" w:rsidRPr="002029AF">
        <w:t xml:space="preserve"> </w:t>
      </w:r>
      <w:r w:rsidRPr="002029AF">
        <w:t>This</w:t>
      </w:r>
      <w:r w:rsidR="000A5329" w:rsidRPr="002029AF">
        <w:t xml:space="preserve"> </w:t>
      </w:r>
      <w:r w:rsidRPr="002029AF">
        <w:t>is</w:t>
      </w:r>
      <w:r w:rsidR="000A5329" w:rsidRPr="002029AF">
        <w:t xml:space="preserve"> </w:t>
      </w:r>
      <w:r w:rsidRPr="002029AF">
        <w:t>done</w:t>
      </w:r>
      <w:r w:rsidR="000A5329" w:rsidRPr="002029AF">
        <w:t xml:space="preserve"> </w:t>
      </w:r>
      <w:r w:rsidRPr="002029AF">
        <w:t>by</w:t>
      </w:r>
      <w:r w:rsidR="000A5329" w:rsidRPr="002029AF">
        <w:t xml:space="preserve"> </w:t>
      </w:r>
      <w:r w:rsidRPr="002029AF">
        <w:t>reviewing</w:t>
      </w:r>
      <w:r w:rsidR="000A5329" w:rsidRPr="002029AF">
        <w:t xml:space="preserve"> </w:t>
      </w:r>
      <w:r w:rsidRPr="002029AF">
        <w:t>employment</w:t>
      </w:r>
      <w:r w:rsidR="000A5329" w:rsidRPr="002029AF">
        <w:t xml:space="preserve"> </w:t>
      </w:r>
      <w:r w:rsidRPr="002029AF">
        <w:t>policies</w:t>
      </w:r>
      <w:r w:rsidR="000A5329" w:rsidRPr="002029AF">
        <w:t xml:space="preserve"> </w:t>
      </w:r>
      <w:r w:rsidRPr="002029AF">
        <w:t>such</w:t>
      </w:r>
      <w:r w:rsidR="000A5329" w:rsidRPr="002029AF">
        <w:t xml:space="preserve"> </w:t>
      </w:r>
      <w:r w:rsidRPr="002029AF">
        <w:t>as</w:t>
      </w:r>
      <w:r w:rsidR="000A5329" w:rsidRPr="002029AF">
        <w:t xml:space="preserve"> </w:t>
      </w:r>
      <w:r w:rsidRPr="002029AF">
        <w:t>flexible</w:t>
      </w:r>
      <w:r w:rsidR="000A5329" w:rsidRPr="002029AF">
        <w:t xml:space="preserve"> </w:t>
      </w:r>
      <w:r w:rsidRPr="002029AF">
        <w:t>working</w:t>
      </w:r>
      <w:r w:rsidR="000A5329" w:rsidRPr="002029AF">
        <w:t xml:space="preserve"> </w:t>
      </w:r>
      <w:r w:rsidRPr="002029AF">
        <w:t>arrangements</w:t>
      </w:r>
      <w:r w:rsidR="000A5329" w:rsidRPr="002029AF">
        <w:t xml:space="preserve"> </w:t>
      </w:r>
      <w:r w:rsidRPr="002029AF">
        <w:t>and</w:t>
      </w:r>
      <w:r w:rsidR="000A5329" w:rsidRPr="002029AF">
        <w:t xml:space="preserve"> </w:t>
      </w:r>
      <w:r w:rsidRPr="002029AF">
        <w:t>leave</w:t>
      </w:r>
      <w:r w:rsidR="000A5329" w:rsidRPr="002029AF">
        <w:t xml:space="preserve"> </w:t>
      </w:r>
      <w:r w:rsidRPr="002029AF">
        <w:t>provisions</w:t>
      </w:r>
      <w:r w:rsidR="000A5329" w:rsidRPr="002029AF">
        <w:t xml:space="preserve"> </w:t>
      </w:r>
      <w:r w:rsidRPr="002029AF">
        <w:t>to</w:t>
      </w:r>
      <w:r w:rsidR="000A5329" w:rsidRPr="002029AF">
        <w:t xml:space="preserve"> </w:t>
      </w:r>
      <w:r w:rsidRPr="002029AF">
        <w:t>ensure</w:t>
      </w:r>
      <w:r w:rsidR="000A5329" w:rsidRPr="002029AF">
        <w:t xml:space="preserve"> </w:t>
      </w:r>
      <w:r w:rsidRPr="002029AF">
        <w:t>that</w:t>
      </w:r>
      <w:r w:rsidR="000A5329" w:rsidRPr="002029AF">
        <w:t xml:space="preserve"> </w:t>
      </w:r>
      <w:r w:rsidRPr="002029AF">
        <w:t>these</w:t>
      </w:r>
      <w:r w:rsidR="000A5329" w:rsidRPr="002029AF">
        <w:t xml:space="preserve"> </w:t>
      </w:r>
      <w:r w:rsidRPr="002029AF">
        <w:t>comply</w:t>
      </w:r>
      <w:r w:rsidR="000A5329" w:rsidRPr="002029AF">
        <w:t xml:space="preserve"> </w:t>
      </w:r>
      <w:r w:rsidRPr="002029AF">
        <w:t>with</w:t>
      </w:r>
      <w:r w:rsidR="000A5329" w:rsidRPr="002029AF">
        <w:t xml:space="preserve"> </w:t>
      </w:r>
      <w:r w:rsidRPr="002029AF">
        <w:t>the</w:t>
      </w:r>
      <w:r w:rsidR="000A5329" w:rsidRPr="002029AF">
        <w:t xml:space="preserve"> </w:t>
      </w:r>
      <w:r w:rsidRPr="002029AF">
        <w:t>statement</w:t>
      </w:r>
      <w:r w:rsidR="000A5329" w:rsidRPr="002029AF">
        <w:t xml:space="preserve"> </w:t>
      </w:r>
      <w:r w:rsidRPr="002029AF">
        <w:t>of</w:t>
      </w:r>
      <w:r w:rsidR="000A5329" w:rsidRPr="002029AF">
        <w:t xml:space="preserve"> </w:t>
      </w:r>
      <w:r w:rsidRPr="002029AF">
        <w:t>principles</w:t>
      </w:r>
      <w:r w:rsidR="000A5329" w:rsidRPr="002029AF">
        <w:t xml:space="preserve"> </w:t>
      </w:r>
      <w:r w:rsidRPr="002029AF">
        <w:t>in</w:t>
      </w:r>
      <w:r w:rsidR="000A5329" w:rsidRPr="002029AF">
        <w:t xml:space="preserve"> </w:t>
      </w:r>
      <w:r w:rsidRPr="002029AF">
        <w:t>the</w:t>
      </w:r>
      <w:r w:rsidR="000A5329" w:rsidRPr="002029AF">
        <w:t xml:space="preserve"> </w:t>
      </w:r>
      <w:r w:rsidRPr="002029AF">
        <w:t>Act,</w:t>
      </w:r>
      <w:r w:rsidR="000A5329" w:rsidRPr="002029AF">
        <w:t xml:space="preserve"> </w:t>
      </w:r>
      <w:r w:rsidRPr="002029AF">
        <w:t>and</w:t>
      </w:r>
      <w:r w:rsidR="000A5329" w:rsidRPr="002029AF">
        <w:t xml:space="preserve"> </w:t>
      </w:r>
      <w:r w:rsidRPr="002029AF">
        <w:t>developing</w:t>
      </w:r>
      <w:r w:rsidR="000A5329" w:rsidRPr="002029AF">
        <w:t xml:space="preserve"> </w:t>
      </w:r>
      <w:r w:rsidRPr="002029AF">
        <w:t>a</w:t>
      </w:r>
      <w:r w:rsidR="000A5329" w:rsidRPr="002029AF">
        <w:t xml:space="preserve"> </w:t>
      </w:r>
      <w:r w:rsidRPr="002029AF">
        <w:t>satisfaction</w:t>
      </w:r>
      <w:r w:rsidR="000A5329" w:rsidRPr="002029AF">
        <w:t xml:space="preserve"> </w:t>
      </w:r>
      <w:r w:rsidRPr="002029AF">
        <w:t>survey</w:t>
      </w:r>
      <w:r w:rsidR="000A5329" w:rsidRPr="002029AF">
        <w:t xml:space="preserve"> </w:t>
      </w:r>
      <w:r w:rsidRPr="002029AF">
        <w:t>for</w:t>
      </w:r>
      <w:r w:rsidR="000A5329" w:rsidRPr="002029AF">
        <w:t xml:space="preserve"> </w:t>
      </w:r>
      <w:r w:rsidRPr="002029AF">
        <w:t>distribution</w:t>
      </w:r>
      <w:r w:rsidR="000A5329" w:rsidRPr="002029AF">
        <w:t xml:space="preserve"> </w:t>
      </w:r>
      <w:r w:rsidRPr="002029AF">
        <w:t>at</w:t>
      </w:r>
      <w:r w:rsidR="000A5329" w:rsidRPr="002029AF">
        <w:t xml:space="preserve"> </w:t>
      </w:r>
      <w:r w:rsidRPr="002029AF">
        <w:t>assessment</w:t>
      </w:r>
      <w:r w:rsidR="000A5329" w:rsidRPr="002029AF">
        <w:t xml:space="preserve"> </w:t>
      </w:r>
      <w:r w:rsidRPr="002029AF">
        <w:t>and</w:t>
      </w:r>
      <w:r w:rsidR="000A5329" w:rsidRPr="002029AF">
        <w:t xml:space="preserve"> </w:t>
      </w:r>
      <w:r w:rsidRPr="002029AF">
        <w:t>review</w:t>
      </w:r>
      <w:r w:rsidR="000A5329" w:rsidRPr="002029AF">
        <w:t xml:space="preserve"> </w:t>
      </w:r>
      <w:r w:rsidRPr="002029AF">
        <w:t>meetings</w:t>
      </w:r>
      <w:r w:rsidR="000A5329" w:rsidRPr="002029AF">
        <w:t xml:space="preserve"> </w:t>
      </w:r>
      <w:r w:rsidRPr="002029AF">
        <w:t>between</w:t>
      </w:r>
      <w:r w:rsidR="000A5329" w:rsidRPr="002029AF">
        <w:t xml:space="preserve"> </w:t>
      </w:r>
      <w:r w:rsidRPr="002029AF">
        <w:t>workers,</w:t>
      </w:r>
      <w:r w:rsidR="000A5329" w:rsidRPr="002029AF">
        <w:t xml:space="preserve"> </w:t>
      </w:r>
      <w:r w:rsidRPr="002029AF">
        <w:t>carers</w:t>
      </w:r>
      <w:r w:rsidR="000A5329" w:rsidRPr="002029AF">
        <w:t xml:space="preserve"> </w:t>
      </w:r>
      <w:r w:rsidRPr="002029AF">
        <w:t>and</w:t>
      </w:r>
      <w:r w:rsidR="000A5329" w:rsidRPr="002029AF">
        <w:t xml:space="preserve"> </w:t>
      </w:r>
      <w:r w:rsidRPr="002029AF">
        <w:t>those</w:t>
      </w:r>
      <w:r w:rsidR="000A5329" w:rsidRPr="002029AF">
        <w:t xml:space="preserve"> </w:t>
      </w:r>
      <w:r w:rsidRPr="002029AF">
        <w:t>receiving</w:t>
      </w:r>
      <w:r w:rsidR="000A5329" w:rsidRPr="002029AF">
        <w:t xml:space="preserve"> </w:t>
      </w:r>
      <w:r w:rsidRPr="002029AF">
        <w:t>care</w:t>
      </w:r>
    </w:p>
    <w:p w14:paraId="16E29264" w14:textId="1C70BE52" w:rsidR="00CF72D5" w:rsidRPr="002029AF" w:rsidRDefault="00CF72D5" w:rsidP="00897193">
      <w:pPr>
        <w:pStyle w:val="ARbullet1"/>
      </w:pPr>
      <w:r w:rsidRPr="002029AF">
        <w:t>launching</w:t>
      </w:r>
      <w:r w:rsidR="000A5329" w:rsidRPr="002029AF">
        <w:t xml:space="preserve"> </w:t>
      </w:r>
      <w:r w:rsidRPr="002029AF">
        <w:rPr>
          <w:i/>
        </w:rPr>
        <w:t>Recognising</w:t>
      </w:r>
      <w:r w:rsidR="000A5329" w:rsidRPr="002029AF">
        <w:rPr>
          <w:i/>
        </w:rPr>
        <w:t xml:space="preserve"> </w:t>
      </w:r>
      <w:r w:rsidRPr="002029AF">
        <w:rPr>
          <w:i/>
        </w:rPr>
        <w:t>and</w:t>
      </w:r>
      <w:r w:rsidR="000A5329" w:rsidRPr="002029AF">
        <w:rPr>
          <w:i/>
        </w:rPr>
        <w:t xml:space="preserve"> </w:t>
      </w:r>
      <w:r w:rsidRPr="002029AF">
        <w:rPr>
          <w:i/>
        </w:rPr>
        <w:t>supporting</w:t>
      </w:r>
      <w:r w:rsidR="000A5329" w:rsidRPr="002029AF">
        <w:rPr>
          <w:i/>
        </w:rPr>
        <w:t xml:space="preserve"> </w:t>
      </w:r>
      <w:r w:rsidRPr="002029AF">
        <w:rPr>
          <w:i/>
        </w:rPr>
        <w:t>Victoria’s</w:t>
      </w:r>
      <w:r w:rsidR="000A5329" w:rsidRPr="002029AF">
        <w:rPr>
          <w:i/>
        </w:rPr>
        <w:t xml:space="preserve"> </w:t>
      </w:r>
      <w:r w:rsidRPr="002029AF">
        <w:rPr>
          <w:i/>
        </w:rPr>
        <w:t>carers:</w:t>
      </w:r>
      <w:r w:rsidR="000A5329" w:rsidRPr="002029AF">
        <w:rPr>
          <w:i/>
        </w:rPr>
        <w:t xml:space="preserve"> </w:t>
      </w:r>
      <w:r w:rsidRPr="002029AF">
        <w:rPr>
          <w:i/>
        </w:rPr>
        <w:t>Victorian</w:t>
      </w:r>
      <w:r w:rsidR="000A5329" w:rsidRPr="002029AF">
        <w:rPr>
          <w:i/>
        </w:rPr>
        <w:t xml:space="preserve"> </w:t>
      </w:r>
      <w:r w:rsidRPr="002029AF">
        <w:rPr>
          <w:i/>
        </w:rPr>
        <w:t>carer</w:t>
      </w:r>
      <w:r w:rsidR="000A5329" w:rsidRPr="002029AF">
        <w:rPr>
          <w:i/>
        </w:rPr>
        <w:t xml:space="preserve"> </w:t>
      </w:r>
      <w:r w:rsidRPr="002029AF">
        <w:rPr>
          <w:i/>
        </w:rPr>
        <w:t>strategy</w:t>
      </w:r>
      <w:r w:rsidR="000A5329" w:rsidRPr="002029AF">
        <w:rPr>
          <w:i/>
        </w:rPr>
        <w:t xml:space="preserve"> </w:t>
      </w:r>
      <w:r w:rsidRPr="002029AF">
        <w:rPr>
          <w:i/>
        </w:rPr>
        <w:t>2018–22</w:t>
      </w:r>
      <w:r w:rsidR="000A5329" w:rsidRPr="002029AF">
        <w:t xml:space="preserve"> </w:t>
      </w:r>
      <w:r w:rsidRPr="002029AF">
        <w:t>in</w:t>
      </w:r>
      <w:r w:rsidR="000A5329" w:rsidRPr="002029AF">
        <w:t xml:space="preserve"> </w:t>
      </w:r>
      <w:r w:rsidRPr="002029AF">
        <w:t>July</w:t>
      </w:r>
      <w:r w:rsidR="000A5329" w:rsidRPr="002029AF">
        <w:t xml:space="preserve"> </w:t>
      </w:r>
      <w:r w:rsidRPr="002029AF">
        <w:t>2018.</w:t>
      </w:r>
      <w:r w:rsidR="000A5329" w:rsidRPr="002029AF">
        <w:t xml:space="preserve"> </w:t>
      </w:r>
      <w:r w:rsidRPr="002029AF">
        <w:t>In</w:t>
      </w:r>
      <w:r w:rsidR="000A5329" w:rsidRPr="002029AF">
        <w:t xml:space="preserve"> </w:t>
      </w:r>
      <w:r w:rsidRPr="002029AF">
        <w:t>line</w:t>
      </w:r>
      <w:r w:rsidR="000A5329" w:rsidRPr="002029AF">
        <w:t xml:space="preserve"> </w:t>
      </w:r>
      <w:r w:rsidRPr="002029AF">
        <w:t>with</w:t>
      </w:r>
      <w:r w:rsidR="000A5329" w:rsidRPr="002029AF">
        <w:t xml:space="preserve"> </w:t>
      </w:r>
      <w:r w:rsidRPr="002029AF">
        <w:t>the</w:t>
      </w:r>
      <w:r w:rsidR="000A5329" w:rsidRPr="002029AF">
        <w:t xml:space="preserve"> </w:t>
      </w:r>
      <w:r w:rsidRPr="002029AF">
        <w:t>Act,</w:t>
      </w:r>
      <w:r w:rsidR="000A5329" w:rsidRPr="002029AF">
        <w:t xml:space="preserve"> </w:t>
      </w:r>
      <w:r w:rsidRPr="002029AF">
        <w:t>priority</w:t>
      </w:r>
      <w:r w:rsidR="000A5329" w:rsidRPr="002029AF">
        <w:t xml:space="preserve"> </w:t>
      </w:r>
      <w:r w:rsidR="0028683D" w:rsidRPr="002029AF">
        <w:t>five</w:t>
      </w:r>
      <w:r w:rsidRPr="002029AF">
        <w:t>:</w:t>
      </w:r>
      <w:r w:rsidR="000A5329" w:rsidRPr="002029AF">
        <w:t xml:space="preserve"> </w:t>
      </w:r>
      <w:r w:rsidRPr="002029AF">
        <w:t>carers</w:t>
      </w:r>
      <w:r w:rsidR="000A5329" w:rsidRPr="002029AF">
        <w:t xml:space="preserve"> </w:t>
      </w:r>
      <w:r w:rsidRPr="002029AF">
        <w:t>are</w:t>
      </w:r>
      <w:r w:rsidR="000A5329" w:rsidRPr="002029AF">
        <w:t xml:space="preserve"> </w:t>
      </w:r>
      <w:r w:rsidRPr="002029AF">
        <w:t>recognised,</w:t>
      </w:r>
      <w:r w:rsidR="000A5329" w:rsidRPr="002029AF">
        <w:t xml:space="preserve"> </w:t>
      </w:r>
      <w:r w:rsidRPr="002029AF">
        <w:t>acknowledged</w:t>
      </w:r>
      <w:r w:rsidR="000A5329" w:rsidRPr="002029AF">
        <w:t xml:space="preserve"> </w:t>
      </w:r>
      <w:r w:rsidRPr="002029AF">
        <w:t>and</w:t>
      </w:r>
      <w:r w:rsidR="000A5329" w:rsidRPr="002029AF">
        <w:t xml:space="preserve"> </w:t>
      </w:r>
      <w:r w:rsidRPr="002029AF">
        <w:t>respected,</w:t>
      </w:r>
      <w:r w:rsidR="000A5329" w:rsidRPr="002029AF">
        <w:t xml:space="preserve"> </w:t>
      </w:r>
      <w:r w:rsidRPr="002029AF">
        <w:t>focuses</w:t>
      </w:r>
      <w:r w:rsidR="000A5329" w:rsidRPr="002029AF">
        <w:t xml:space="preserve"> </w:t>
      </w:r>
      <w:r w:rsidRPr="002029AF">
        <w:t>on:</w:t>
      </w:r>
    </w:p>
    <w:p w14:paraId="0D16B22A" w14:textId="6ED5947F" w:rsidR="00CF72D5" w:rsidRPr="002029AF" w:rsidRDefault="00CF72D5" w:rsidP="00897193">
      <w:pPr>
        <w:pStyle w:val="ARbullet2"/>
      </w:pPr>
      <w:r w:rsidRPr="002029AF">
        <w:t>acknowledgement</w:t>
      </w:r>
      <w:r w:rsidR="000A5329" w:rsidRPr="002029AF">
        <w:t xml:space="preserve"> </w:t>
      </w:r>
      <w:r w:rsidRPr="002029AF">
        <w:t>and</w:t>
      </w:r>
      <w:r w:rsidR="000A5329" w:rsidRPr="002029AF">
        <w:t xml:space="preserve"> </w:t>
      </w:r>
      <w:r w:rsidRPr="002029AF">
        <w:t>recognition</w:t>
      </w:r>
      <w:r w:rsidR="000A5329" w:rsidRPr="002029AF">
        <w:t xml:space="preserve"> </w:t>
      </w:r>
      <w:r w:rsidRPr="002029AF">
        <w:t>of</w:t>
      </w:r>
      <w:r w:rsidR="000A5329" w:rsidRPr="002029AF">
        <w:t xml:space="preserve"> </w:t>
      </w:r>
      <w:r w:rsidRPr="002029AF">
        <w:t>carers</w:t>
      </w:r>
      <w:r w:rsidR="000A5329" w:rsidRPr="002029AF">
        <w:t xml:space="preserve"> </w:t>
      </w:r>
      <w:r w:rsidRPr="002029AF">
        <w:t>across</w:t>
      </w:r>
      <w:r w:rsidR="000A5329" w:rsidRPr="002029AF">
        <w:t xml:space="preserve"> </w:t>
      </w:r>
      <w:r w:rsidRPr="002029AF">
        <w:t>Victorian</w:t>
      </w:r>
      <w:r w:rsidR="000A5329" w:rsidRPr="002029AF">
        <w:t xml:space="preserve"> </w:t>
      </w:r>
      <w:r w:rsidRPr="002029AF">
        <w:t>communities</w:t>
      </w:r>
    </w:p>
    <w:p w14:paraId="3ABDB2B3" w14:textId="0E78F426" w:rsidR="00CF72D5" w:rsidRPr="002029AF" w:rsidRDefault="00D4061F" w:rsidP="00897193">
      <w:pPr>
        <w:pStyle w:val="ARbullet2"/>
      </w:pPr>
      <w:r w:rsidRPr="002029AF">
        <w:t>better</w:t>
      </w:r>
      <w:r w:rsidR="000A5329" w:rsidRPr="002029AF">
        <w:t xml:space="preserve"> </w:t>
      </w:r>
      <w:r w:rsidRPr="002029AF">
        <w:t>opportunities</w:t>
      </w:r>
      <w:r w:rsidR="000A5329" w:rsidRPr="002029AF">
        <w:t xml:space="preserve"> </w:t>
      </w:r>
      <w:r w:rsidRPr="002029AF">
        <w:t>for</w:t>
      </w:r>
      <w:r w:rsidR="000A5329" w:rsidRPr="002029AF">
        <w:t xml:space="preserve"> </w:t>
      </w:r>
      <w:r w:rsidR="00CF72D5" w:rsidRPr="002029AF">
        <w:t>hidden</w:t>
      </w:r>
      <w:r w:rsidR="000A5329" w:rsidRPr="002029AF">
        <w:t xml:space="preserve"> </w:t>
      </w:r>
      <w:r w:rsidR="00CF72D5" w:rsidRPr="002029AF">
        <w:t>carers</w:t>
      </w:r>
      <w:r w:rsidR="000A5329" w:rsidRPr="002029AF">
        <w:t xml:space="preserve"> </w:t>
      </w:r>
      <w:r w:rsidR="00CF72D5" w:rsidRPr="002029AF">
        <w:t>to</w:t>
      </w:r>
      <w:r w:rsidR="000A5329" w:rsidRPr="002029AF">
        <w:t xml:space="preserve"> </w:t>
      </w:r>
      <w:r w:rsidR="00CF72D5" w:rsidRPr="002029AF">
        <w:t>access</w:t>
      </w:r>
      <w:r w:rsidR="000A5329" w:rsidRPr="002029AF">
        <w:t xml:space="preserve"> </w:t>
      </w:r>
      <w:r w:rsidR="00CF72D5" w:rsidRPr="002029AF">
        <w:t>support</w:t>
      </w:r>
      <w:r w:rsidR="000A5329" w:rsidRPr="002029AF">
        <w:t xml:space="preserve"> </w:t>
      </w:r>
      <w:r w:rsidR="00CF72D5" w:rsidRPr="002029AF">
        <w:t>and</w:t>
      </w:r>
      <w:r w:rsidR="000A5329" w:rsidRPr="002029AF">
        <w:t xml:space="preserve"> </w:t>
      </w:r>
      <w:r w:rsidR="00CF72D5" w:rsidRPr="002029AF">
        <w:t>services</w:t>
      </w:r>
      <w:r w:rsidR="000A5329" w:rsidRPr="002029AF">
        <w:t xml:space="preserve"> </w:t>
      </w:r>
      <w:r w:rsidR="00CF72D5" w:rsidRPr="002029AF">
        <w:t>that</w:t>
      </w:r>
      <w:r w:rsidR="000A5329" w:rsidRPr="002029AF">
        <w:t xml:space="preserve"> </w:t>
      </w:r>
      <w:r w:rsidR="00CF72D5" w:rsidRPr="002029AF">
        <w:t>meet</w:t>
      </w:r>
      <w:r w:rsidR="000A5329" w:rsidRPr="002029AF">
        <w:t xml:space="preserve"> </w:t>
      </w:r>
      <w:r w:rsidR="00CF72D5" w:rsidRPr="002029AF">
        <w:t>their</w:t>
      </w:r>
      <w:r w:rsidR="000A5329" w:rsidRPr="002029AF">
        <w:t xml:space="preserve"> </w:t>
      </w:r>
      <w:r w:rsidR="00CF72D5" w:rsidRPr="002029AF">
        <w:t>needs</w:t>
      </w:r>
    </w:p>
    <w:p w14:paraId="5529D7F1" w14:textId="5D0AF2D3" w:rsidR="00CF72D5" w:rsidRPr="002029AF" w:rsidRDefault="00CF72D5" w:rsidP="00AE3EA3">
      <w:pPr>
        <w:pStyle w:val="ARbullet2"/>
      </w:pPr>
      <w:r w:rsidRPr="002029AF">
        <w:t>better</w:t>
      </w:r>
      <w:r w:rsidR="000A5329" w:rsidRPr="002029AF">
        <w:t xml:space="preserve"> </w:t>
      </w:r>
      <w:r w:rsidRPr="002029AF">
        <w:t>involvement</w:t>
      </w:r>
      <w:r w:rsidR="000A5329" w:rsidRPr="002029AF">
        <w:t xml:space="preserve"> </w:t>
      </w:r>
      <w:r w:rsidRPr="002029AF">
        <w:t>of</w:t>
      </w:r>
      <w:r w:rsidR="000A5329" w:rsidRPr="002029AF">
        <w:t xml:space="preserve"> </w:t>
      </w:r>
      <w:r w:rsidRPr="002029AF">
        <w:t>carers</w:t>
      </w:r>
      <w:r w:rsidR="000A5329" w:rsidRPr="002029AF">
        <w:t xml:space="preserve"> </w:t>
      </w:r>
      <w:r w:rsidRPr="002029AF">
        <w:t>in</w:t>
      </w:r>
      <w:r w:rsidR="000A5329" w:rsidRPr="002029AF">
        <w:t xml:space="preserve"> </w:t>
      </w:r>
      <w:r w:rsidRPr="002029AF">
        <w:t>decision</w:t>
      </w:r>
      <w:r w:rsidR="000A5329" w:rsidRPr="002029AF">
        <w:t xml:space="preserve"> </w:t>
      </w:r>
      <w:r w:rsidRPr="002029AF">
        <w:t>making</w:t>
      </w:r>
      <w:r w:rsidR="000A5329" w:rsidRPr="002029AF">
        <w:t xml:space="preserve"> </w:t>
      </w:r>
      <w:r w:rsidRPr="002029AF">
        <w:t>about</w:t>
      </w:r>
      <w:r w:rsidR="000A5329" w:rsidRPr="002029AF">
        <w:t xml:space="preserve"> </w:t>
      </w:r>
      <w:r w:rsidRPr="002029AF">
        <w:t>services</w:t>
      </w:r>
      <w:r w:rsidR="000A5329" w:rsidRPr="002029AF">
        <w:t xml:space="preserve"> </w:t>
      </w:r>
      <w:r w:rsidRPr="002029AF">
        <w:t>and</w:t>
      </w:r>
      <w:r w:rsidR="000A5329" w:rsidRPr="002029AF">
        <w:t xml:space="preserve"> </w:t>
      </w:r>
      <w:r w:rsidRPr="002029AF">
        <w:t>programs</w:t>
      </w:r>
      <w:r w:rsidR="000A5329" w:rsidRPr="002029AF">
        <w:t xml:space="preserve"> </w:t>
      </w:r>
      <w:r w:rsidRPr="002029AF">
        <w:t>for</w:t>
      </w:r>
      <w:r w:rsidR="000A5329" w:rsidRPr="002029AF">
        <w:t xml:space="preserve"> </w:t>
      </w:r>
      <w:r w:rsidRPr="002029AF">
        <w:t>the</w:t>
      </w:r>
      <w:r w:rsidR="00286264" w:rsidRPr="002029AF">
        <w:t> </w:t>
      </w:r>
      <w:r w:rsidRPr="002029AF">
        <w:t>people</w:t>
      </w:r>
      <w:r w:rsidR="000A5329" w:rsidRPr="002029AF">
        <w:t xml:space="preserve"> </w:t>
      </w:r>
      <w:r w:rsidRPr="002029AF">
        <w:t>for</w:t>
      </w:r>
      <w:r w:rsidR="000A5329" w:rsidRPr="002029AF">
        <w:t xml:space="preserve"> </w:t>
      </w:r>
      <w:r w:rsidRPr="002029AF">
        <w:t>whom</w:t>
      </w:r>
      <w:r w:rsidR="000A5329" w:rsidRPr="002029AF">
        <w:t xml:space="preserve"> </w:t>
      </w:r>
      <w:r w:rsidRPr="002029AF">
        <w:t>they</w:t>
      </w:r>
      <w:r w:rsidR="000A5329" w:rsidRPr="002029AF">
        <w:t xml:space="preserve"> </w:t>
      </w:r>
      <w:r w:rsidRPr="002029AF">
        <w:t>care.</w:t>
      </w:r>
      <w:bookmarkEnd w:id="125"/>
      <w:bookmarkEnd w:id="126"/>
    </w:p>
    <w:p w14:paraId="6B1E9842" w14:textId="2E89BB15" w:rsidR="00CF72D5" w:rsidRPr="002029AF" w:rsidRDefault="00286264" w:rsidP="00AE3EA3">
      <w:pPr>
        <w:pStyle w:val="ARbullet1"/>
      </w:pPr>
      <w:r w:rsidRPr="002029AF">
        <w:br w:type="column"/>
      </w:r>
      <w:r w:rsidR="00CF72D5" w:rsidRPr="002029AF">
        <w:t>The</w:t>
      </w:r>
      <w:r w:rsidR="000A5329" w:rsidRPr="002029AF">
        <w:t xml:space="preserve"> </w:t>
      </w:r>
      <w:r w:rsidR="00CF72D5" w:rsidRPr="002029AF">
        <w:t>department</w:t>
      </w:r>
      <w:r w:rsidR="000A5329" w:rsidRPr="002029AF">
        <w:t xml:space="preserve"> </w:t>
      </w:r>
      <w:r w:rsidR="00CF72D5" w:rsidRPr="002029AF">
        <w:t>has</w:t>
      </w:r>
      <w:r w:rsidR="000A5329" w:rsidRPr="002029AF">
        <w:t xml:space="preserve"> </w:t>
      </w:r>
      <w:r w:rsidR="00CF72D5" w:rsidRPr="002029AF">
        <w:t>continued</w:t>
      </w:r>
      <w:r w:rsidR="000A5329" w:rsidRPr="002029AF">
        <w:t xml:space="preserve"> </w:t>
      </w:r>
      <w:r w:rsidR="00CF72D5" w:rsidRPr="002029AF">
        <w:t>to</w:t>
      </w:r>
      <w:r w:rsidR="000A5329" w:rsidRPr="002029AF">
        <w:t xml:space="preserve"> </w:t>
      </w:r>
      <w:r w:rsidR="00CF72D5" w:rsidRPr="002029AF">
        <w:t>support</w:t>
      </w:r>
      <w:r w:rsidR="000A5329" w:rsidRPr="002029AF">
        <w:t xml:space="preserve"> </w:t>
      </w:r>
      <w:r w:rsidR="00CF72D5" w:rsidRPr="002029AF">
        <w:t>the</w:t>
      </w:r>
      <w:r w:rsidR="000A5329" w:rsidRPr="002029AF">
        <w:t xml:space="preserve"> </w:t>
      </w:r>
      <w:r w:rsidR="00CF72D5" w:rsidRPr="002029AF">
        <w:t>Act’s</w:t>
      </w:r>
      <w:r w:rsidR="000A5329" w:rsidRPr="002029AF">
        <w:t xml:space="preserve"> </w:t>
      </w:r>
      <w:r w:rsidR="00CF72D5" w:rsidRPr="002029AF">
        <w:t>principles</w:t>
      </w:r>
      <w:r w:rsidR="000A5329" w:rsidRPr="002029AF">
        <w:t xml:space="preserve"> </w:t>
      </w:r>
      <w:r w:rsidR="00CF72D5" w:rsidRPr="002029AF">
        <w:t>through</w:t>
      </w:r>
      <w:r w:rsidR="000A5329" w:rsidRPr="002029AF">
        <w:t xml:space="preserve"> </w:t>
      </w:r>
      <w:r w:rsidR="00CF72D5" w:rsidRPr="002029AF">
        <w:t>additional</w:t>
      </w:r>
      <w:r w:rsidR="000A5329" w:rsidRPr="002029AF">
        <w:t xml:space="preserve"> </w:t>
      </w:r>
      <w:r w:rsidR="00CF72D5" w:rsidRPr="002029AF">
        <w:t>one-off</w:t>
      </w:r>
      <w:r w:rsidR="000A5329" w:rsidRPr="002029AF">
        <w:t xml:space="preserve"> </w:t>
      </w:r>
      <w:r w:rsidR="00CF72D5" w:rsidRPr="002029AF">
        <w:t>funding</w:t>
      </w:r>
      <w:r w:rsidR="000A5329" w:rsidRPr="002029AF">
        <w:t xml:space="preserve"> </w:t>
      </w:r>
      <w:r w:rsidR="00CF72D5" w:rsidRPr="002029AF">
        <w:t>for</w:t>
      </w:r>
      <w:r w:rsidR="000A5329" w:rsidRPr="002029AF">
        <w:t xml:space="preserve"> </w:t>
      </w:r>
      <w:r w:rsidR="00CF72D5" w:rsidRPr="002029AF">
        <w:t>respite</w:t>
      </w:r>
      <w:r w:rsidR="000A5329" w:rsidRPr="002029AF">
        <w:t xml:space="preserve"> </w:t>
      </w:r>
      <w:r w:rsidR="00CF72D5" w:rsidRPr="002029AF">
        <w:t>in</w:t>
      </w:r>
      <w:r w:rsidR="000A5329" w:rsidRPr="002029AF">
        <w:t xml:space="preserve"> </w:t>
      </w:r>
      <w:r w:rsidR="00CF72D5" w:rsidRPr="002029AF">
        <w:t>the</w:t>
      </w:r>
      <w:r w:rsidR="000A5329" w:rsidRPr="002029AF">
        <w:t xml:space="preserve"> </w:t>
      </w:r>
      <w:r w:rsidR="00CF72D5" w:rsidRPr="002029AF">
        <w:t>Support</w:t>
      </w:r>
      <w:r w:rsidR="000A5329" w:rsidRPr="002029AF">
        <w:t xml:space="preserve"> </w:t>
      </w:r>
      <w:r w:rsidR="00CF72D5" w:rsidRPr="002029AF">
        <w:t>for</w:t>
      </w:r>
      <w:r w:rsidR="000A5329" w:rsidRPr="002029AF">
        <w:t xml:space="preserve"> </w:t>
      </w:r>
      <w:r w:rsidR="00CF72D5" w:rsidRPr="002029AF">
        <w:t>Carers</w:t>
      </w:r>
      <w:r w:rsidR="000A5329" w:rsidRPr="002029AF">
        <w:t xml:space="preserve"> </w:t>
      </w:r>
      <w:r w:rsidR="00CF72D5" w:rsidRPr="002029AF">
        <w:t>Program</w:t>
      </w:r>
      <w:r w:rsidR="000A5329" w:rsidRPr="002029AF">
        <w:t xml:space="preserve"> </w:t>
      </w:r>
      <w:r w:rsidR="00CF72D5" w:rsidRPr="002029AF">
        <w:t>and</w:t>
      </w:r>
      <w:r w:rsidR="000A5329" w:rsidRPr="002029AF">
        <w:t xml:space="preserve"> </w:t>
      </w:r>
      <w:r w:rsidR="00CF72D5" w:rsidRPr="002029AF">
        <w:t>two</w:t>
      </w:r>
      <w:r w:rsidR="000A5329" w:rsidRPr="002029AF">
        <w:t xml:space="preserve"> </w:t>
      </w:r>
      <w:r w:rsidR="00CF72D5" w:rsidRPr="002029AF">
        <w:t>grants</w:t>
      </w:r>
      <w:r w:rsidR="000A5329" w:rsidRPr="002029AF">
        <w:t xml:space="preserve"> </w:t>
      </w:r>
      <w:r w:rsidR="00CF72D5" w:rsidRPr="002029AF">
        <w:t>programs:</w:t>
      </w:r>
      <w:r w:rsidR="000A5329" w:rsidRPr="002029AF">
        <w:t xml:space="preserve"> </w:t>
      </w:r>
      <w:r w:rsidR="00CF72D5" w:rsidRPr="002029AF">
        <w:t>Statewide</w:t>
      </w:r>
      <w:r w:rsidR="000A5329" w:rsidRPr="002029AF">
        <w:t xml:space="preserve"> </w:t>
      </w:r>
      <w:r w:rsidR="00CF72D5" w:rsidRPr="002029AF">
        <w:t>Partnerships</w:t>
      </w:r>
      <w:r w:rsidR="000A5329" w:rsidRPr="002029AF">
        <w:t xml:space="preserve"> </w:t>
      </w:r>
      <w:r w:rsidR="00CF72D5" w:rsidRPr="002029AF">
        <w:t>Grants</w:t>
      </w:r>
      <w:r w:rsidR="000A5329" w:rsidRPr="002029AF">
        <w:t xml:space="preserve"> </w:t>
      </w:r>
      <w:r w:rsidR="00CF72D5" w:rsidRPr="002029AF">
        <w:t>for</w:t>
      </w:r>
      <w:r w:rsidR="000A5329" w:rsidRPr="002029AF">
        <w:t xml:space="preserve"> </w:t>
      </w:r>
      <w:r w:rsidR="00CF72D5" w:rsidRPr="002029AF">
        <w:t>initiatives</w:t>
      </w:r>
      <w:r w:rsidR="000A5329" w:rsidRPr="002029AF">
        <w:t xml:space="preserve"> </w:t>
      </w:r>
      <w:r w:rsidR="00CF72D5" w:rsidRPr="002029AF">
        <w:t>supporting</w:t>
      </w:r>
      <w:r w:rsidR="000A5329" w:rsidRPr="002029AF">
        <w:t xml:space="preserve"> </w:t>
      </w:r>
      <w:r w:rsidR="00CF72D5" w:rsidRPr="002029AF">
        <w:t>carers,</w:t>
      </w:r>
      <w:r w:rsidR="000A5329" w:rsidRPr="002029AF">
        <w:t xml:space="preserve"> </w:t>
      </w:r>
      <w:r w:rsidR="00CF72D5" w:rsidRPr="002029AF">
        <w:t>and</w:t>
      </w:r>
      <w:r w:rsidR="000A5329" w:rsidRPr="002029AF">
        <w:t xml:space="preserve"> </w:t>
      </w:r>
      <w:r w:rsidR="00CF72D5" w:rsidRPr="002029AF">
        <w:t>Supporting</w:t>
      </w:r>
      <w:r w:rsidR="000A5329" w:rsidRPr="002029AF">
        <w:t xml:space="preserve"> </w:t>
      </w:r>
      <w:r w:rsidR="00CF72D5" w:rsidRPr="002029AF">
        <w:t>Carers</w:t>
      </w:r>
      <w:r w:rsidR="000A5329" w:rsidRPr="002029AF">
        <w:t xml:space="preserve"> </w:t>
      </w:r>
      <w:r w:rsidR="00CF72D5" w:rsidRPr="002029AF">
        <w:t>Locally</w:t>
      </w:r>
      <w:r w:rsidR="000A5329" w:rsidRPr="002029AF">
        <w:t xml:space="preserve"> </w:t>
      </w:r>
      <w:r w:rsidR="00CF72D5" w:rsidRPr="002029AF">
        <w:t>Grants</w:t>
      </w:r>
      <w:r w:rsidR="000A5329" w:rsidRPr="002029AF">
        <w:t xml:space="preserve"> </w:t>
      </w:r>
      <w:r w:rsidR="00CF72D5" w:rsidRPr="002029AF">
        <w:t>for</w:t>
      </w:r>
      <w:r w:rsidRPr="002029AF">
        <w:t> </w:t>
      </w:r>
      <w:r w:rsidR="00CF72D5" w:rsidRPr="002029AF">
        <w:t>local</w:t>
      </w:r>
      <w:r w:rsidR="000A5329" w:rsidRPr="002029AF">
        <w:t xml:space="preserve"> </w:t>
      </w:r>
      <w:r w:rsidR="00CF72D5" w:rsidRPr="002029AF">
        <w:t>carers’</w:t>
      </w:r>
      <w:r w:rsidR="000A5329" w:rsidRPr="002029AF">
        <w:t xml:space="preserve"> </w:t>
      </w:r>
      <w:r w:rsidR="00CF72D5" w:rsidRPr="002029AF">
        <w:t>networking</w:t>
      </w:r>
      <w:r w:rsidR="000A5329" w:rsidRPr="002029AF">
        <w:t xml:space="preserve"> </w:t>
      </w:r>
      <w:r w:rsidR="00CF72D5" w:rsidRPr="002029AF">
        <w:t>and</w:t>
      </w:r>
      <w:r w:rsidR="000A5329" w:rsidRPr="002029AF">
        <w:t xml:space="preserve"> </w:t>
      </w:r>
      <w:r w:rsidR="00CF72D5" w:rsidRPr="002029AF">
        <w:t>support</w:t>
      </w:r>
    </w:p>
    <w:p w14:paraId="0FC3FD9D" w14:textId="594B2CE8" w:rsidR="00CF72D5" w:rsidRPr="002029AF" w:rsidRDefault="00CF72D5" w:rsidP="00897193">
      <w:pPr>
        <w:pStyle w:val="ARbullet1"/>
      </w:pPr>
      <w:r w:rsidRPr="002029AF">
        <w:t>Victoria’s</w:t>
      </w:r>
      <w:r w:rsidR="000A5329" w:rsidRPr="002029AF">
        <w:t xml:space="preserve"> </w:t>
      </w:r>
      <w:r w:rsidRPr="002029AF">
        <w:t>Support</w:t>
      </w:r>
      <w:r w:rsidR="000A5329" w:rsidRPr="002029AF">
        <w:t xml:space="preserve"> </w:t>
      </w:r>
      <w:r w:rsidRPr="002029AF">
        <w:t>for</w:t>
      </w:r>
      <w:r w:rsidR="000A5329" w:rsidRPr="002029AF">
        <w:t xml:space="preserve"> </w:t>
      </w:r>
      <w:r w:rsidRPr="002029AF">
        <w:t>Carers</w:t>
      </w:r>
      <w:r w:rsidR="000A5329" w:rsidRPr="002029AF">
        <w:t xml:space="preserve"> </w:t>
      </w:r>
      <w:r w:rsidRPr="002029AF">
        <w:t>Program</w:t>
      </w:r>
      <w:r w:rsidR="000A5329" w:rsidRPr="002029AF">
        <w:t xml:space="preserve"> </w:t>
      </w:r>
      <w:r w:rsidRPr="002029AF">
        <w:t>service</w:t>
      </w:r>
      <w:r w:rsidR="000A5329" w:rsidRPr="002029AF">
        <w:t xml:space="preserve"> </w:t>
      </w:r>
      <w:r w:rsidRPr="002029AF">
        <w:t>providers</w:t>
      </w:r>
      <w:r w:rsidR="000A5329" w:rsidRPr="002029AF">
        <w:t xml:space="preserve"> </w:t>
      </w:r>
      <w:r w:rsidRPr="002029AF">
        <w:t>have</w:t>
      </w:r>
      <w:r w:rsidR="000A5329" w:rsidRPr="002029AF">
        <w:t xml:space="preserve"> </w:t>
      </w:r>
      <w:r w:rsidRPr="002029AF">
        <w:t>adapted</w:t>
      </w:r>
      <w:r w:rsidR="000A5329" w:rsidRPr="002029AF">
        <w:t xml:space="preserve"> </w:t>
      </w:r>
      <w:r w:rsidRPr="002029AF">
        <w:t>services</w:t>
      </w:r>
      <w:r w:rsidR="000A5329" w:rsidRPr="002029AF">
        <w:t xml:space="preserve"> </w:t>
      </w:r>
      <w:r w:rsidRPr="002029AF">
        <w:t>to</w:t>
      </w:r>
      <w:r w:rsidR="000A5329" w:rsidRPr="002029AF">
        <w:t xml:space="preserve"> </w:t>
      </w:r>
      <w:r w:rsidRPr="002029AF">
        <w:t>respond</w:t>
      </w:r>
      <w:r w:rsidR="000A5329" w:rsidRPr="002029AF">
        <w:t xml:space="preserve"> </w:t>
      </w:r>
      <w:r w:rsidRPr="002029AF">
        <w:t>to</w:t>
      </w:r>
      <w:r w:rsidR="000A5329" w:rsidRPr="002029AF">
        <w:t xml:space="preserve"> </w:t>
      </w:r>
      <w:r w:rsidRPr="002029AF">
        <w:t>carers’</w:t>
      </w:r>
      <w:r w:rsidR="000A5329" w:rsidRPr="002029AF">
        <w:t xml:space="preserve"> </w:t>
      </w:r>
      <w:r w:rsidRPr="002029AF">
        <w:t>needs</w:t>
      </w:r>
      <w:r w:rsidR="000A5329" w:rsidRPr="002029AF">
        <w:t xml:space="preserve"> </w:t>
      </w:r>
      <w:r w:rsidRPr="002029AF">
        <w:t>through</w:t>
      </w:r>
      <w:r w:rsidR="000A5329" w:rsidRPr="002029AF">
        <w:t xml:space="preserve"> </w:t>
      </w:r>
      <w:r w:rsidR="00FA2FBA" w:rsidRPr="002029AF">
        <w:t>c</w:t>
      </w:r>
      <w:r w:rsidRPr="002029AF">
        <w:t>oronavirus</w:t>
      </w:r>
      <w:r w:rsidR="000A5329" w:rsidRPr="002029AF">
        <w:t xml:space="preserve"> </w:t>
      </w:r>
      <w:r w:rsidRPr="002029AF">
        <w:t>(COVID-19).</w:t>
      </w:r>
      <w:r w:rsidR="000A5329" w:rsidRPr="002029AF">
        <w:t xml:space="preserve"> </w:t>
      </w:r>
      <w:r w:rsidRPr="002029AF">
        <w:t>Service</w:t>
      </w:r>
      <w:r w:rsidR="000A5329" w:rsidRPr="002029AF">
        <w:t xml:space="preserve"> </w:t>
      </w:r>
      <w:r w:rsidRPr="002029AF">
        <w:t>providers</w:t>
      </w:r>
      <w:r w:rsidR="000A5329" w:rsidRPr="002029AF">
        <w:t xml:space="preserve"> </w:t>
      </w:r>
      <w:r w:rsidRPr="002029AF">
        <w:t>have</w:t>
      </w:r>
      <w:r w:rsidR="000A5329" w:rsidRPr="002029AF">
        <w:t xml:space="preserve"> </w:t>
      </w:r>
      <w:r w:rsidRPr="002029AF">
        <w:t>connected</w:t>
      </w:r>
      <w:r w:rsidR="000A5329" w:rsidRPr="002029AF">
        <w:t xml:space="preserve"> </w:t>
      </w:r>
      <w:r w:rsidRPr="002029AF">
        <w:t>with</w:t>
      </w:r>
      <w:r w:rsidR="000A5329" w:rsidRPr="002029AF">
        <w:t xml:space="preserve"> </w:t>
      </w:r>
      <w:r w:rsidRPr="002029AF">
        <w:t>carers</w:t>
      </w:r>
      <w:r w:rsidR="000A5329" w:rsidRPr="002029AF">
        <w:t xml:space="preserve"> </w:t>
      </w:r>
      <w:r w:rsidRPr="002029AF">
        <w:t>through</w:t>
      </w:r>
      <w:r w:rsidR="000A5329" w:rsidRPr="002029AF">
        <w:t xml:space="preserve"> </w:t>
      </w:r>
      <w:r w:rsidRPr="002029AF">
        <w:t>social</w:t>
      </w:r>
      <w:r w:rsidR="000A5329" w:rsidRPr="002029AF">
        <w:t xml:space="preserve"> </w:t>
      </w:r>
      <w:r w:rsidRPr="002029AF">
        <w:t>media,</w:t>
      </w:r>
      <w:r w:rsidR="000A5329" w:rsidRPr="002029AF">
        <w:t xml:space="preserve"> </w:t>
      </w:r>
      <w:r w:rsidRPr="002029AF">
        <w:t>supporting</w:t>
      </w:r>
      <w:r w:rsidR="000A5329" w:rsidRPr="002029AF">
        <w:t xml:space="preserve"> </w:t>
      </w:r>
      <w:r w:rsidRPr="002029AF">
        <w:t>carers</w:t>
      </w:r>
      <w:r w:rsidR="000A5329" w:rsidRPr="002029AF">
        <w:t xml:space="preserve"> </w:t>
      </w:r>
      <w:r w:rsidRPr="002029AF">
        <w:t>to</w:t>
      </w:r>
      <w:r w:rsidR="000A5329" w:rsidRPr="002029AF">
        <w:t xml:space="preserve"> </w:t>
      </w:r>
      <w:r w:rsidRPr="002029AF">
        <w:t>access</w:t>
      </w:r>
      <w:r w:rsidR="000A5329" w:rsidRPr="002029AF">
        <w:t xml:space="preserve"> </w:t>
      </w:r>
      <w:r w:rsidRPr="002029AF">
        <w:t>and</w:t>
      </w:r>
      <w:r w:rsidR="000A5329" w:rsidRPr="002029AF">
        <w:t xml:space="preserve"> </w:t>
      </w:r>
      <w:r w:rsidRPr="002029AF">
        <w:t>use</w:t>
      </w:r>
      <w:r w:rsidR="000A5329" w:rsidRPr="002029AF">
        <w:t xml:space="preserve"> </w:t>
      </w:r>
      <w:r w:rsidRPr="002029AF">
        <w:t>technology</w:t>
      </w:r>
      <w:r w:rsidR="000A5329" w:rsidRPr="002029AF">
        <w:t xml:space="preserve"> </w:t>
      </w:r>
      <w:r w:rsidRPr="002029AF">
        <w:t>that</w:t>
      </w:r>
      <w:r w:rsidR="000A5329" w:rsidRPr="002029AF">
        <w:t xml:space="preserve"> </w:t>
      </w:r>
      <w:r w:rsidRPr="002029AF">
        <w:t>keeps</w:t>
      </w:r>
      <w:r w:rsidR="000A5329" w:rsidRPr="002029AF">
        <w:t xml:space="preserve"> </w:t>
      </w:r>
      <w:r w:rsidRPr="002029AF">
        <w:t>carers</w:t>
      </w:r>
      <w:r w:rsidR="000A5329" w:rsidRPr="002029AF">
        <w:t xml:space="preserve"> </w:t>
      </w:r>
      <w:r w:rsidRPr="002029AF">
        <w:t>connected</w:t>
      </w:r>
      <w:r w:rsidR="000A5329" w:rsidRPr="002029AF">
        <w:t xml:space="preserve"> </w:t>
      </w:r>
      <w:r w:rsidRPr="002029AF">
        <w:t>to</w:t>
      </w:r>
      <w:r w:rsidR="000A5329" w:rsidRPr="002029AF">
        <w:t xml:space="preserve"> </w:t>
      </w:r>
      <w:r w:rsidRPr="002029AF">
        <w:t>services,</w:t>
      </w:r>
      <w:r w:rsidR="000A5329" w:rsidRPr="002029AF">
        <w:t xml:space="preserve"> </w:t>
      </w:r>
      <w:r w:rsidRPr="002029AF">
        <w:t>each</w:t>
      </w:r>
      <w:r w:rsidR="000A5329" w:rsidRPr="002029AF">
        <w:t xml:space="preserve"> </w:t>
      </w:r>
      <w:r w:rsidRPr="002029AF">
        <w:t>other</w:t>
      </w:r>
      <w:r w:rsidR="000A5329" w:rsidRPr="002029AF">
        <w:t xml:space="preserve"> </w:t>
      </w:r>
      <w:r w:rsidRPr="002029AF">
        <w:t>and</w:t>
      </w:r>
      <w:r w:rsidR="000A5329" w:rsidRPr="002029AF">
        <w:t xml:space="preserve"> </w:t>
      </w:r>
      <w:r w:rsidRPr="002029AF">
        <w:t>their</w:t>
      </w:r>
      <w:r w:rsidR="000A5329" w:rsidRPr="002029AF">
        <w:t xml:space="preserve"> </w:t>
      </w:r>
      <w:r w:rsidRPr="002029AF">
        <w:t>families</w:t>
      </w:r>
      <w:r w:rsidR="000A5329" w:rsidRPr="002029AF">
        <w:t xml:space="preserve"> </w:t>
      </w:r>
      <w:r w:rsidRPr="002029AF">
        <w:t>and</w:t>
      </w:r>
      <w:r w:rsidR="000A5329" w:rsidRPr="002029AF">
        <w:t xml:space="preserve"> </w:t>
      </w:r>
      <w:r w:rsidRPr="002029AF">
        <w:t>friends.</w:t>
      </w:r>
      <w:r w:rsidR="000A5329" w:rsidRPr="002029AF">
        <w:t xml:space="preserve"> </w:t>
      </w:r>
      <w:r w:rsidRPr="002029AF">
        <w:t>Support</w:t>
      </w:r>
      <w:r w:rsidR="000A5329" w:rsidRPr="002029AF">
        <w:t xml:space="preserve"> </w:t>
      </w:r>
      <w:r w:rsidRPr="002029AF">
        <w:t>to</w:t>
      </w:r>
      <w:r w:rsidR="000A5329" w:rsidRPr="002029AF">
        <w:t xml:space="preserve"> </w:t>
      </w:r>
      <w:r w:rsidRPr="002029AF">
        <w:t>carers</w:t>
      </w:r>
      <w:r w:rsidR="000A5329" w:rsidRPr="002029AF">
        <w:t xml:space="preserve"> </w:t>
      </w:r>
      <w:r w:rsidRPr="002029AF">
        <w:t>has</w:t>
      </w:r>
      <w:r w:rsidR="000A5329" w:rsidRPr="002029AF">
        <w:t xml:space="preserve"> </w:t>
      </w:r>
      <w:r w:rsidRPr="002029AF">
        <w:t>included</w:t>
      </w:r>
      <w:r w:rsidR="000A5329" w:rsidRPr="002029AF">
        <w:t xml:space="preserve"> </w:t>
      </w:r>
      <w:r w:rsidRPr="002029AF">
        <w:t>regular</w:t>
      </w:r>
      <w:r w:rsidR="000A5329" w:rsidRPr="002029AF">
        <w:t xml:space="preserve"> </w:t>
      </w:r>
      <w:r w:rsidRPr="002029AF">
        <w:t>welfare</w:t>
      </w:r>
      <w:r w:rsidR="000A5329" w:rsidRPr="002029AF">
        <w:t xml:space="preserve"> </w:t>
      </w:r>
      <w:r w:rsidRPr="002029AF">
        <w:t>checks</w:t>
      </w:r>
      <w:r w:rsidR="000A5329" w:rsidRPr="002029AF">
        <w:t xml:space="preserve"> </w:t>
      </w:r>
      <w:r w:rsidRPr="002029AF">
        <w:t>on</w:t>
      </w:r>
      <w:r w:rsidR="000A5329" w:rsidRPr="002029AF">
        <w:t xml:space="preserve"> </w:t>
      </w:r>
      <w:r w:rsidRPr="002029AF">
        <w:t>social</w:t>
      </w:r>
      <w:r w:rsidR="000A5329" w:rsidRPr="002029AF">
        <w:t xml:space="preserve"> </w:t>
      </w:r>
      <w:r w:rsidRPr="002029AF">
        <w:t>media,</w:t>
      </w:r>
      <w:r w:rsidR="000A5329" w:rsidRPr="002029AF">
        <w:t xml:space="preserve"> </w:t>
      </w:r>
      <w:r w:rsidRPr="002029AF">
        <w:t>food</w:t>
      </w:r>
      <w:r w:rsidR="000A5329" w:rsidRPr="002029AF">
        <w:t xml:space="preserve"> </w:t>
      </w:r>
      <w:r w:rsidRPr="002029AF">
        <w:t>and</w:t>
      </w:r>
      <w:r w:rsidR="000A5329" w:rsidRPr="002029AF">
        <w:t xml:space="preserve"> </w:t>
      </w:r>
      <w:r w:rsidRPr="002029AF">
        <w:t>medication</w:t>
      </w:r>
      <w:r w:rsidR="000A5329" w:rsidRPr="002029AF">
        <w:t xml:space="preserve"> </w:t>
      </w:r>
      <w:r w:rsidRPr="002029AF">
        <w:t>supplies,</w:t>
      </w:r>
      <w:r w:rsidR="000A5329" w:rsidRPr="002029AF">
        <w:t xml:space="preserve"> </w:t>
      </w:r>
      <w:r w:rsidRPr="002029AF">
        <w:t>carer</w:t>
      </w:r>
      <w:r w:rsidR="000A5329" w:rsidRPr="002029AF">
        <w:t xml:space="preserve"> </w:t>
      </w:r>
      <w:r w:rsidRPr="002029AF">
        <w:t>pamper</w:t>
      </w:r>
      <w:r w:rsidR="000A5329" w:rsidRPr="002029AF">
        <w:t xml:space="preserve"> </w:t>
      </w:r>
      <w:r w:rsidRPr="002029AF">
        <w:t>packs</w:t>
      </w:r>
      <w:r w:rsidR="000A5329" w:rsidRPr="002029AF">
        <w:t xml:space="preserve"> </w:t>
      </w:r>
      <w:r w:rsidRPr="002029AF">
        <w:t>and</w:t>
      </w:r>
      <w:r w:rsidR="000A5329" w:rsidRPr="002029AF">
        <w:t xml:space="preserve"> </w:t>
      </w:r>
      <w:r w:rsidRPr="002029AF">
        <w:t>online</w:t>
      </w:r>
      <w:r w:rsidR="000A5329" w:rsidRPr="002029AF">
        <w:t xml:space="preserve"> </w:t>
      </w:r>
      <w:r w:rsidRPr="002029AF">
        <w:t>entertainment</w:t>
      </w:r>
      <w:r w:rsidR="000A5329" w:rsidRPr="002029AF">
        <w:t xml:space="preserve"> </w:t>
      </w:r>
      <w:r w:rsidRPr="002029AF">
        <w:t>access,</w:t>
      </w:r>
      <w:r w:rsidR="000A5329" w:rsidRPr="002029AF">
        <w:t xml:space="preserve"> </w:t>
      </w:r>
      <w:r w:rsidRPr="002029AF">
        <w:t>access</w:t>
      </w:r>
      <w:r w:rsidR="000A5329" w:rsidRPr="002029AF">
        <w:t xml:space="preserve"> </w:t>
      </w:r>
      <w:r w:rsidRPr="002029AF">
        <w:t>to</w:t>
      </w:r>
      <w:r w:rsidR="000A5329" w:rsidRPr="002029AF">
        <w:t xml:space="preserve"> </w:t>
      </w:r>
      <w:r w:rsidRPr="002029AF">
        <w:t>health</w:t>
      </w:r>
      <w:r w:rsidR="000A5329" w:rsidRPr="002029AF">
        <w:t xml:space="preserve"> </w:t>
      </w:r>
      <w:r w:rsidRPr="002029AF">
        <w:t>professionals,</w:t>
      </w:r>
      <w:r w:rsidR="000A5329" w:rsidRPr="002029AF">
        <w:t xml:space="preserve"> </w:t>
      </w:r>
      <w:r w:rsidRPr="002029AF">
        <w:t>assistance</w:t>
      </w:r>
      <w:r w:rsidR="000A5329" w:rsidRPr="002029AF">
        <w:t xml:space="preserve"> </w:t>
      </w:r>
      <w:r w:rsidRPr="002029AF">
        <w:t>with</w:t>
      </w:r>
      <w:r w:rsidR="000A5329" w:rsidRPr="002029AF">
        <w:t xml:space="preserve"> </w:t>
      </w:r>
      <w:r w:rsidRPr="002029AF">
        <w:t>utility</w:t>
      </w:r>
      <w:r w:rsidR="000A5329" w:rsidRPr="002029AF">
        <w:t xml:space="preserve"> </w:t>
      </w:r>
      <w:r w:rsidRPr="002029AF">
        <w:t>bills,</w:t>
      </w:r>
      <w:r w:rsidR="000A5329" w:rsidRPr="002029AF">
        <w:t xml:space="preserve"> </w:t>
      </w:r>
      <w:r w:rsidRPr="002029AF">
        <w:t>online</w:t>
      </w:r>
      <w:r w:rsidR="000A5329" w:rsidRPr="002029AF">
        <w:t xml:space="preserve"> </w:t>
      </w:r>
      <w:r w:rsidRPr="002029AF">
        <w:t>group</w:t>
      </w:r>
      <w:r w:rsidR="000A5329" w:rsidRPr="002029AF">
        <w:t xml:space="preserve"> </w:t>
      </w:r>
      <w:r w:rsidRPr="002029AF">
        <w:t>education,</w:t>
      </w:r>
      <w:r w:rsidR="000A5329" w:rsidRPr="002029AF">
        <w:t xml:space="preserve"> </w:t>
      </w:r>
      <w:r w:rsidRPr="002029AF">
        <w:t>training</w:t>
      </w:r>
      <w:r w:rsidR="000A5329" w:rsidRPr="002029AF">
        <w:t xml:space="preserve"> </w:t>
      </w:r>
      <w:r w:rsidRPr="002029AF">
        <w:t>and</w:t>
      </w:r>
      <w:r w:rsidR="000A5329" w:rsidRPr="002029AF">
        <w:t xml:space="preserve"> </w:t>
      </w:r>
      <w:r w:rsidRPr="002029AF">
        <w:t>carer</w:t>
      </w:r>
      <w:r w:rsidR="000A5329" w:rsidRPr="002029AF">
        <w:t xml:space="preserve"> </w:t>
      </w:r>
      <w:r w:rsidRPr="002029AF">
        <w:t>networking,</w:t>
      </w:r>
      <w:r w:rsidR="000A5329" w:rsidRPr="002029AF">
        <w:t xml:space="preserve"> </w:t>
      </w:r>
      <w:r w:rsidRPr="002029AF">
        <w:t>and</w:t>
      </w:r>
      <w:r w:rsidR="000A5329" w:rsidRPr="002029AF">
        <w:t xml:space="preserve"> </w:t>
      </w:r>
      <w:r w:rsidRPr="002029AF">
        <w:t>online</w:t>
      </w:r>
      <w:r w:rsidR="000A5329" w:rsidRPr="002029AF">
        <w:t xml:space="preserve"> </w:t>
      </w:r>
      <w:r w:rsidRPr="002029AF">
        <w:t>clubs</w:t>
      </w:r>
      <w:r w:rsidR="000A5329" w:rsidRPr="002029AF">
        <w:t xml:space="preserve"> </w:t>
      </w:r>
      <w:r w:rsidRPr="002029AF">
        <w:t>to</w:t>
      </w:r>
      <w:r w:rsidR="000A5329" w:rsidRPr="002029AF">
        <w:t xml:space="preserve"> </w:t>
      </w:r>
      <w:r w:rsidRPr="002029AF">
        <w:t>meet</w:t>
      </w:r>
      <w:r w:rsidR="000A5329" w:rsidRPr="002029AF">
        <w:t xml:space="preserve"> </w:t>
      </w:r>
      <w:r w:rsidRPr="002029AF">
        <w:t>specific</w:t>
      </w:r>
      <w:r w:rsidR="000A5329" w:rsidRPr="002029AF">
        <w:t xml:space="preserve"> </w:t>
      </w:r>
      <w:r w:rsidRPr="002029AF">
        <w:t>needs</w:t>
      </w:r>
      <w:r w:rsidR="000A5329" w:rsidRPr="002029AF">
        <w:t xml:space="preserve"> </w:t>
      </w:r>
      <w:r w:rsidRPr="002029AF">
        <w:t>of</w:t>
      </w:r>
      <w:r w:rsidR="000A5329" w:rsidRPr="002029AF">
        <w:t xml:space="preserve"> </w:t>
      </w:r>
      <w:r w:rsidRPr="002029AF">
        <w:t>diverse</w:t>
      </w:r>
      <w:r w:rsidR="000A5329" w:rsidRPr="002029AF">
        <w:t xml:space="preserve"> </w:t>
      </w:r>
      <w:r w:rsidRPr="002029AF">
        <w:t>carers</w:t>
      </w:r>
      <w:r w:rsidR="000A5329" w:rsidRPr="002029AF">
        <w:t xml:space="preserve"> </w:t>
      </w:r>
      <w:r w:rsidRPr="002029AF">
        <w:t>and</w:t>
      </w:r>
      <w:r w:rsidR="000A5329" w:rsidRPr="002029AF">
        <w:t xml:space="preserve"> </w:t>
      </w:r>
      <w:r w:rsidRPr="002029AF">
        <w:t>of</w:t>
      </w:r>
      <w:r w:rsidR="000A5329" w:rsidRPr="002029AF">
        <w:t xml:space="preserve"> </w:t>
      </w:r>
      <w:r w:rsidRPr="002029AF">
        <w:t>those</w:t>
      </w:r>
      <w:r w:rsidR="000A5329" w:rsidRPr="002029AF">
        <w:t xml:space="preserve"> </w:t>
      </w:r>
      <w:r w:rsidRPr="002029AF">
        <w:t>receiving</w:t>
      </w:r>
      <w:r w:rsidR="000A5329" w:rsidRPr="002029AF">
        <w:t xml:space="preserve"> </w:t>
      </w:r>
      <w:r w:rsidRPr="002029AF">
        <w:t>care.</w:t>
      </w:r>
    </w:p>
    <w:p w14:paraId="69964FCF" w14:textId="560F7C03" w:rsidR="00CF72D5" w:rsidRPr="002029AF" w:rsidRDefault="00CF72D5" w:rsidP="00897193">
      <w:pPr>
        <w:pStyle w:val="Heading2"/>
      </w:pPr>
      <w:bookmarkStart w:id="127" w:name="_Ref21956612"/>
      <w:bookmarkStart w:id="128" w:name="_Toc54690786"/>
      <w:r w:rsidRPr="002029AF">
        <w:t>National</w:t>
      </w:r>
      <w:r w:rsidR="000A5329" w:rsidRPr="002029AF">
        <w:t xml:space="preserve"> </w:t>
      </w:r>
      <w:r w:rsidRPr="002029AF">
        <w:t>Competition</w:t>
      </w:r>
      <w:r w:rsidR="000A5329" w:rsidRPr="002029AF">
        <w:t xml:space="preserve"> </w:t>
      </w:r>
      <w:r w:rsidRPr="002029AF">
        <w:t>Policy</w:t>
      </w:r>
      <w:bookmarkEnd w:id="127"/>
      <w:bookmarkEnd w:id="128"/>
    </w:p>
    <w:p w14:paraId="4680A3A5" w14:textId="17610049" w:rsidR="00CF72D5" w:rsidRPr="002029AF" w:rsidRDefault="00CF72D5" w:rsidP="00897193">
      <w:pPr>
        <w:pStyle w:val="ARbody"/>
      </w:pPr>
      <w:r w:rsidRPr="002029AF">
        <w:t>Competitive</w:t>
      </w:r>
      <w:r w:rsidR="000A5329" w:rsidRPr="002029AF">
        <w:t xml:space="preserve"> </w:t>
      </w:r>
      <w:r w:rsidRPr="002029AF">
        <w:t>neutrality</w:t>
      </w:r>
      <w:r w:rsidR="000A5329" w:rsidRPr="002029AF">
        <w:t xml:space="preserve"> </w:t>
      </w:r>
      <w:r w:rsidRPr="002029AF">
        <w:t>requires</w:t>
      </w:r>
      <w:r w:rsidR="000A5329" w:rsidRPr="002029AF">
        <w:t xml:space="preserve"> </w:t>
      </w:r>
      <w:r w:rsidRPr="002029AF">
        <w:t>government</w:t>
      </w:r>
      <w:r w:rsidR="000A5329" w:rsidRPr="002029AF">
        <w:t xml:space="preserve"> </w:t>
      </w:r>
      <w:r w:rsidRPr="002029AF">
        <w:t>businesses</w:t>
      </w:r>
      <w:r w:rsidR="000A5329" w:rsidRPr="002029AF">
        <w:t xml:space="preserve"> </w:t>
      </w:r>
      <w:r w:rsidRPr="002029AF">
        <w:t>to</w:t>
      </w:r>
      <w:r w:rsidR="000A5329" w:rsidRPr="002029AF">
        <w:t xml:space="preserve"> </w:t>
      </w:r>
      <w:r w:rsidRPr="002029AF">
        <w:t>ensure</w:t>
      </w:r>
      <w:r w:rsidR="000A5329" w:rsidRPr="002029AF">
        <w:t xml:space="preserve"> </w:t>
      </w:r>
      <w:r w:rsidRPr="002029AF">
        <w:t>where</w:t>
      </w:r>
      <w:r w:rsidR="000A5329" w:rsidRPr="002029AF">
        <w:t xml:space="preserve"> </w:t>
      </w:r>
      <w:r w:rsidRPr="002029AF">
        <w:t>services</w:t>
      </w:r>
      <w:r w:rsidR="000A5329" w:rsidRPr="002029AF">
        <w:t xml:space="preserve"> </w:t>
      </w:r>
      <w:r w:rsidRPr="002029AF">
        <w:t>compete,</w:t>
      </w:r>
      <w:r w:rsidR="000A5329" w:rsidRPr="002029AF">
        <w:t xml:space="preserve"> </w:t>
      </w:r>
      <w:r w:rsidRPr="002029AF">
        <w:t>or</w:t>
      </w:r>
      <w:r w:rsidR="00286264" w:rsidRPr="002029AF">
        <w:t> </w:t>
      </w:r>
      <w:r w:rsidRPr="002029AF">
        <w:t>potentially</w:t>
      </w:r>
      <w:r w:rsidR="000A5329" w:rsidRPr="002029AF">
        <w:t xml:space="preserve"> </w:t>
      </w:r>
      <w:r w:rsidRPr="002029AF">
        <w:t>compete,</w:t>
      </w:r>
      <w:r w:rsidR="000A5329" w:rsidRPr="002029AF">
        <w:t xml:space="preserve"> </w:t>
      </w:r>
      <w:r w:rsidRPr="002029AF">
        <w:t>with</w:t>
      </w:r>
      <w:r w:rsidR="000A5329" w:rsidRPr="002029AF">
        <w:t xml:space="preserve"> </w:t>
      </w:r>
      <w:r w:rsidRPr="002029AF">
        <w:t>the</w:t>
      </w:r>
      <w:r w:rsidR="000A5329" w:rsidRPr="002029AF">
        <w:t xml:space="preserve"> </w:t>
      </w:r>
      <w:r w:rsidRPr="002029AF">
        <w:t>private</w:t>
      </w:r>
      <w:r w:rsidR="000A5329" w:rsidRPr="002029AF">
        <w:t xml:space="preserve"> </w:t>
      </w:r>
      <w:r w:rsidRPr="002029AF">
        <w:t>sector,</w:t>
      </w:r>
      <w:r w:rsidR="000A5329" w:rsidRPr="002029AF">
        <w:t xml:space="preserve"> </w:t>
      </w:r>
      <w:r w:rsidRPr="002029AF">
        <w:t>any</w:t>
      </w:r>
      <w:r w:rsidR="000A5329" w:rsidRPr="002029AF">
        <w:t xml:space="preserve"> </w:t>
      </w:r>
      <w:r w:rsidRPr="002029AF">
        <w:t>advantage</w:t>
      </w:r>
      <w:r w:rsidR="000A5329" w:rsidRPr="002029AF">
        <w:t xml:space="preserve"> </w:t>
      </w:r>
      <w:r w:rsidRPr="002029AF">
        <w:t>arising</w:t>
      </w:r>
      <w:r w:rsidR="000A5329" w:rsidRPr="002029AF">
        <w:t xml:space="preserve"> </w:t>
      </w:r>
      <w:r w:rsidRPr="002029AF">
        <w:t>solely</w:t>
      </w:r>
      <w:r w:rsidR="000A5329" w:rsidRPr="002029AF">
        <w:t xml:space="preserve"> </w:t>
      </w:r>
      <w:r w:rsidRPr="002029AF">
        <w:t>from</w:t>
      </w:r>
      <w:r w:rsidR="000A5329" w:rsidRPr="002029AF">
        <w:t xml:space="preserve"> </w:t>
      </w:r>
      <w:r w:rsidRPr="002029AF">
        <w:t>their</w:t>
      </w:r>
      <w:r w:rsidR="000A5329" w:rsidRPr="002029AF">
        <w:t xml:space="preserve"> </w:t>
      </w:r>
      <w:r w:rsidRPr="002029AF">
        <w:t>government</w:t>
      </w:r>
      <w:r w:rsidR="000A5329" w:rsidRPr="002029AF">
        <w:t xml:space="preserve"> </w:t>
      </w:r>
      <w:r w:rsidRPr="002029AF">
        <w:t>ownership</w:t>
      </w:r>
      <w:r w:rsidR="000A5329" w:rsidRPr="002029AF">
        <w:t xml:space="preserve"> </w:t>
      </w:r>
      <w:r w:rsidRPr="002029AF">
        <w:t>be</w:t>
      </w:r>
      <w:r w:rsidR="000A5329" w:rsidRPr="002029AF">
        <w:t xml:space="preserve"> </w:t>
      </w:r>
      <w:r w:rsidRPr="002029AF">
        <w:t>removed</w:t>
      </w:r>
      <w:r w:rsidR="000A5329" w:rsidRPr="002029AF">
        <w:t xml:space="preserve"> </w:t>
      </w:r>
      <w:r w:rsidRPr="002029AF">
        <w:t>if</w:t>
      </w:r>
      <w:r w:rsidR="000A5329" w:rsidRPr="002029AF">
        <w:t xml:space="preserve"> </w:t>
      </w:r>
      <w:r w:rsidRPr="002029AF">
        <w:t>it</w:t>
      </w:r>
      <w:r w:rsidR="000A5329" w:rsidRPr="002029AF">
        <w:t xml:space="preserve"> </w:t>
      </w:r>
      <w:r w:rsidRPr="002029AF">
        <w:t>is</w:t>
      </w:r>
      <w:r w:rsidR="000A5329" w:rsidRPr="002029AF">
        <w:t xml:space="preserve"> </w:t>
      </w:r>
      <w:r w:rsidRPr="002029AF">
        <w:t>not</w:t>
      </w:r>
      <w:r w:rsidR="000A5329" w:rsidRPr="002029AF">
        <w:t xml:space="preserve"> </w:t>
      </w:r>
      <w:r w:rsidRPr="002029AF">
        <w:t>in</w:t>
      </w:r>
      <w:r w:rsidR="000A5329" w:rsidRPr="002029AF">
        <w:t xml:space="preserve"> </w:t>
      </w:r>
      <w:r w:rsidRPr="002029AF">
        <w:t>the</w:t>
      </w:r>
      <w:r w:rsidR="000A5329" w:rsidRPr="002029AF">
        <w:t xml:space="preserve"> </w:t>
      </w:r>
      <w:r w:rsidRPr="002029AF">
        <w:t>public</w:t>
      </w:r>
      <w:r w:rsidR="000A5329" w:rsidRPr="002029AF">
        <w:t xml:space="preserve"> </w:t>
      </w:r>
      <w:r w:rsidRPr="002029AF">
        <w:t>interest.</w:t>
      </w:r>
    </w:p>
    <w:p w14:paraId="5012DCEA" w14:textId="71518F32" w:rsidR="00CF72D5" w:rsidRPr="002029AF" w:rsidRDefault="00CF72D5" w:rsidP="00897193">
      <w:pPr>
        <w:pStyle w:val="ARbody"/>
      </w:pPr>
      <w:r w:rsidRPr="002029AF">
        <w:t>Government</w:t>
      </w:r>
      <w:r w:rsidR="000A5329" w:rsidRPr="002029AF">
        <w:t xml:space="preserve"> </w:t>
      </w:r>
      <w:r w:rsidRPr="002029AF">
        <w:t>businesses</w:t>
      </w:r>
      <w:r w:rsidR="000A5329" w:rsidRPr="002029AF">
        <w:t xml:space="preserve"> </w:t>
      </w:r>
      <w:r w:rsidRPr="002029AF">
        <w:t>are</w:t>
      </w:r>
      <w:r w:rsidR="000A5329" w:rsidRPr="002029AF">
        <w:t xml:space="preserve"> </w:t>
      </w:r>
      <w:r w:rsidRPr="002029AF">
        <w:t>required</w:t>
      </w:r>
      <w:r w:rsidR="000A5329" w:rsidRPr="002029AF">
        <w:t xml:space="preserve"> </w:t>
      </w:r>
      <w:r w:rsidRPr="002029AF">
        <w:t>to</w:t>
      </w:r>
      <w:r w:rsidR="000A5329" w:rsidRPr="002029AF">
        <w:t xml:space="preserve"> </w:t>
      </w:r>
      <w:r w:rsidRPr="002029AF">
        <w:t>cost</w:t>
      </w:r>
      <w:r w:rsidR="000A5329" w:rsidRPr="002029AF">
        <w:t xml:space="preserve"> </w:t>
      </w:r>
      <w:r w:rsidRPr="002029AF">
        <w:t>and</w:t>
      </w:r>
      <w:r w:rsidR="00286264" w:rsidRPr="002029AF">
        <w:t> </w:t>
      </w:r>
      <w:r w:rsidRPr="002029AF">
        <w:t>price</w:t>
      </w:r>
      <w:r w:rsidR="000A5329" w:rsidRPr="002029AF">
        <w:t xml:space="preserve"> </w:t>
      </w:r>
      <w:r w:rsidRPr="002029AF">
        <w:t>these</w:t>
      </w:r>
      <w:r w:rsidR="000A5329" w:rsidRPr="002029AF">
        <w:t xml:space="preserve"> </w:t>
      </w:r>
      <w:r w:rsidRPr="002029AF">
        <w:t>services</w:t>
      </w:r>
      <w:r w:rsidR="000A5329" w:rsidRPr="002029AF">
        <w:t xml:space="preserve"> </w:t>
      </w:r>
      <w:r w:rsidRPr="002029AF">
        <w:t>as</w:t>
      </w:r>
      <w:r w:rsidR="000A5329" w:rsidRPr="002029AF">
        <w:t xml:space="preserve"> </w:t>
      </w:r>
      <w:r w:rsidRPr="002029AF">
        <w:t>if</w:t>
      </w:r>
      <w:r w:rsidR="000A5329" w:rsidRPr="002029AF">
        <w:t xml:space="preserve"> </w:t>
      </w:r>
      <w:r w:rsidRPr="002029AF">
        <w:t>they</w:t>
      </w:r>
      <w:r w:rsidR="000A5329" w:rsidRPr="002029AF">
        <w:t xml:space="preserve"> </w:t>
      </w:r>
      <w:r w:rsidRPr="002029AF">
        <w:t>were</w:t>
      </w:r>
      <w:r w:rsidR="000A5329" w:rsidRPr="002029AF">
        <w:t xml:space="preserve"> </w:t>
      </w:r>
      <w:r w:rsidRPr="002029AF">
        <w:t>privately</w:t>
      </w:r>
      <w:r w:rsidR="000A5329" w:rsidRPr="002029AF">
        <w:t xml:space="preserve"> </w:t>
      </w:r>
      <w:r w:rsidRPr="002029AF">
        <w:t>owned.</w:t>
      </w:r>
      <w:r w:rsidR="000A5329" w:rsidRPr="002029AF">
        <w:t xml:space="preserve"> </w:t>
      </w:r>
      <w:r w:rsidRPr="002029AF">
        <w:t>Competitive</w:t>
      </w:r>
      <w:r w:rsidR="000A5329" w:rsidRPr="002029AF">
        <w:t xml:space="preserve"> </w:t>
      </w:r>
      <w:r w:rsidRPr="002029AF">
        <w:t>neutrality</w:t>
      </w:r>
      <w:r w:rsidR="000A5329" w:rsidRPr="002029AF">
        <w:t xml:space="preserve"> </w:t>
      </w:r>
      <w:r w:rsidRPr="002029AF">
        <w:t>policy</w:t>
      </w:r>
      <w:r w:rsidR="000A5329" w:rsidRPr="002029AF">
        <w:t xml:space="preserve"> </w:t>
      </w:r>
      <w:r w:rsidRPr="002029AF">
        <w:t>supports</w:t>
      </w:r>
      <w:r w:rsidR="000A5329" w:rsidRPr="002029AF">
        <w:t xml:space="preserve"> </w:t>
      </w:r>
      <w:r w:rsidRPr="002029AF">
        <w:t>fair</w:t>
      </w:r>
      <w:r w:rsidR="000A5329" w:rsidRPr="002029AF">
        <w:t xml:space="preserve"> </w:t>
      </w:r>
      <w:r w:rsidRPr="002029AF">
        <w:t>competition</w:t>
      </w:r>
      <w:r w:rsidR="000A5329" w:rsidRPr="002029AF">
        <w:t xml:space="preserve"> </w:t>
      </w:r>
      <w:r w:rsidRPr="002029AF">
        <w:t>between</w:t>
      </w:r>
      <w:r w:rsidR="000A5329" w:rsidRPr="002029AF">
        <w:t xml:space="preserve"> </w:t>
      </w:r>
      <w:r w:rsidRPr="002029AF">
        <w:t>public</w:t>
      </w:r>
      <w:r w:rsidR="000A5329" w:rsidRPr="002029AF">
        <w:t xml:space="preserve"> </w:t>
      </w:r>
      <w:r w:rsidRPr="002029AF">
        <w:t>and</w:t>
      </w:r>
      <w:r w:rsidR="000A5329" w:rsidRPr="002029AF">
        <w:t xml:space="preserve"> </w:t>
      </w:r>
      <w:r w:rsidRPr="002029AF">
        <w:t>private</w:t>
      </w:r>
      <w:r w:rsidR="000A5329" w:rsidRPr="002029AF">
        <w:t xml:space="preserve"> </w:t>
      </w:r>
      <w:r w:rsidRPr="002029AF">
        <w:t>businesses</w:t>
      </w:r>
      <w:r w:rsidR="000A5329" w:rsidRPr="002029AF">
        <w:t xml:space="preserve"> </w:t>
      </w:r>
      <w:r w:rsidRPr="002029AF">
        <w:t>and</w:t>
      </w:r>
      <w:r w:rsidR="000A5329" w:rsidRPr="002029AF">
        <w:t xml:space="preserve"> </w:t>
      </w:r>
      <w:r w:rsidRPr="002029AF">
        <w:t>provides</w:t>
      </w:r>
      <w:r w:rsidR="000A5329" w:rsidRPr="002029AF">
        <w:t xml:space="preserve"> </w:t>
      </w:r>
      <w:r w:rsidRPr="002029AF">
        <w:t>government</w:t>
      </w:r>
      <w:r w:rsidR="000A5329" w:rsidRPr="002029AF">
        <w:t xml:space="preserve"> </w:t>
      </w:r>
      <w:r w:rsidRPr="002029AF">
        <w:t>businesses</w:t>
      </w:r>
      <w:r w:rsidR="000A5329" w:rsidRPr="002029AF">
        <w:t xml:space="preserve"> </w:t>
      </w:r>
      <w:r w:rsidRPr="002029AF">
        <w:t>with</w:t>
      </w:r>
      <w:r w:rsidR="000A5329" w:rsidRPr="002029AF">
        <w:t xml:space="preserve"> </w:t>
      </w:r>
      <w:r w:rsidRPr="002029AF">
        <w:t>a</w:t>
      </w:r>
      <w:r w:rsidR="000A5329" w:rsidRPr="002029AF">
        <w:t xml:space="preserve"> </w:t>
      </w:r>
      <w:r w:rsidRPr="002029AF">
        <w:t>tool</w:t>
      </w:r>
      <w:r w:rsidR="000A5329" w:rsidRPr="002029AF">
        <w:t xml:space="preserve"> </w:t>
      </w:r>
      <w:r w:rsidRPr="002029AF">
        <w:t>to</w:t>
      </w:r>
      <w:r w:rsidR="000A5329" w:rsidRPr="002029AF">
        <w:t xml:space="preserve"> </w:t>
      </w:r>
      <w:r w:rsidRPr="002029AF">
        <w:t>enhance</w:t>
      </w:r>
      <w:r w:rsidR="000A5329" w:rsidRPr="002029AF">
        <w:t xml:space="preserve"> </w:t>
      </w:r>
      <w:r w:rsidRPr="002029AF">
        <w:t>decisions</w:t>
      </w:r>
      <w:r w:rsidR="000A5329" w:rsidRPr="002029AF">
        <w:t xml:space="preserve"> </w:t>
      </w:r>
      <w:r w:rsidRPr="002029AF">
        <w:t>on</w:t>
      </w:r>
      <w:r w:rsidR="000A5329" w:rsidRPr="002029AF">
        <w:t xml:space="preserve"> </w:t>
      </w:r>
      <w:r w:rsidRPr="002029AF">
        <w:t>resource</w:t>
      </w:r>
      <w:r w:rsidR="000A5329" w:rsidRPr="002029AF">
        <w:t xml:space="preserve"> </w:t>
      </w:r>
      <w:r w:rsidRPr="002029AF">
        <w:t>allocation.</w:t>
      </w:r>
      <w:r w:rsidR="000A5329" w:rsidRPr="002029AF">
        <w:t xml:space="preserve"> </w:t>
      </w:r>
      <w:r w:rsidRPr="002029AF">
        <w:t>This</w:t>
      </w:r>
      <w:r w:rsidR="000A5329" w:rsidRPr="002029AF">
        <w:t xml:space="preserve"> </w:t>
      </w:r>
      <w:r w:rsidRPr="002029AF">
        <w:t>policy</w:t>
      </w:r>
      <w:r w:rsidR="000A5329" w:rsidRPr="002029AF">
        <w:t xml:space="preserve"> </w:t>
      </w:r>
      <w:r w:rsidRPr="002029AF">
        <w:t>does</w:t>
      </w:r>
      <w:r w:rsidR="000A5329" w:rsidRPr="002029AF">
        <w:t xml:space="preserve"> </w:t>
      </w:r>
      <w:r w:rsidRPr="002029AF">
        <w:t>not</w:t>
      </w:r>
      <w:r w:rsidR="000A5329" w:rsidRPr="002029AF">
        <w:t xml:space="preserve"> </w:t>
      </w:r>
      <w:r w:rsidRPr="002029AF">
        <w:t>override</w:t>
      </w:r>
      <w:r w:rsidR="000A5329" w:rsidRPr="002029AF">
        <w:t xml:space="preserve"> </w:t>
      </w:r>
      <w:r w:rsidRPr="002029AF">
        <w:t>other</w:t>
      </w:r>
      <w:r w:rsidR="000A5329" w:rsidRPr="002029AF">
        <w:t xml:space="preserve"> </w:t>
      </w:r>
      <w:r w:rsidRPr="002029AF">
        <w:t>policy</w:t>
      </w:r>
      <w:r w:rsidR="000A5329" w:rsidRPr="002029AF">
        <w:t xml:space="preserve"> </w:t>
      </w:r>
      <w:r w:rsidRPr="002029AF">
        <w:t>objectives</w:t>
      </w:r>
      <w:r w:rsidR="000A5329" w:rsidRPr="002029AF">
        <w:t xml:space="preserve"> </w:t>
      </w:r>
      <w:r w:rsidRPr="002029AF">
        <w:t>of</w:t>
      </w:r>
      <w:r w:rsidR="000A5329" w:rsidRPr="002029AF">
        <w:t xml:space="preserve"> </w:t>
      </w:r>
      <w:r w:rsidRPr="002029AF">
        <w:t>government</w:t>
      </w:r>
      <w:r w:rsidR="000A5329" w:rsidRPr="002029AF">
        <w:t xml:space="preserve"> </w:t>
      </w:r>
      <w:r w:rsidRPr="002029AF">
        <w:t>and</w:t>
      </w:r>
      <w:r w:rsidR="000A5329" w:rsidRPr="002029AF">
        <w:t xml:space="preserve"> </w:t>
      </w:r>
      <w:r w:rsidRPr="002029AF">
        <w:t>focuses</w:t>
      </w:r>
      <w:r w:rsidR="000A5329" w:rsidRPr="002029AF">
        <w:t xml:space="preserve"> </w:t>
      </w:r>
      <w:r w:rsidRPr="002029AF">
        <w:t>on</w:t>
      </w:r>
      <w:r w:rsidR="000A5329" w:rsidRPr="002029AF">
        <w:t xml:space="preserve"> </w:t>
      </w:r>
      <w:r w:rsidRPr="002029AF">
        <w:t>efficiency</w:t>
      </w:r>
      <w:r w:rsidR="000A5329" w:rsidRPr="002029AF">
        <w:t xml:space="preserve"> </w:t>
      </w:r>
      <w:r w:rsidRPr="002029AF">
        <w:t>in</w:t>
      </w:r>
      <w:r w:rsidR="000A5329" w:rsidRPr="002029AF">
        <w:t xml:space="preserve"> </w:t>
      </w:r>
      <w:r w:rsidRPr="002029AF">
        <w:t>the</w:t>
      </w:r>
      <w:r w:rsidR="000A5329" w:rsidRPr="002029AF">
        <w:t xml:space="preserve"> </w:t>
      </w:r>
      <w:r w:rsidRPr="002029AF">
        <w:t>provision</w:t>
      </w:r>
      <w:r w:rsidR="000A5329" w:rsidRPr="002029AF">
        <w:t xml:space="preserve"> </w:t>
      </w:r>
      <w:r w:rsidRPr="002029AF">
        <w:t>of</w:t>
      </w:r>
      <w:r w:rsidR="000A5329" w:rsidRPr="002029AF">
        <w:t xml:space="preserve"> </w:t>
      </w:r>
      <w:r w:rsidRPr="002029AF">
        <w:t>service.</w:t>
      </w:r>
    </w:p>
    <w:p w14:paraId="664700AE" w14:textId="03B8AE2A" w:rsidR="00CF72D5" w:rsidRPr="002029AF" w:rsidRDefault="00CF72D5" w:rsidP="00833BF0">
      <w:pPr>
        <w:pStyle w:val="ARbody"/>
        <w:rPr>
          <w:iCs/>
        </w:rPr>
      </w:pPr>
      <w:r w:rsidRPr="002029AF">
        <w:t>The</w:t>
      </w:r>
      <w:r w:rsidR="000A5329" w:rsidRPr="002029AF">
        <w:t xml:space="preserve"> </w:t>
      </w:r>
      <w:r w:rsidRPr="002029AF">
        <w:t>department</w:t>
      </w:r>
      <w:r w:rsidR="000A5329" w:rsidRPr="002029AF">
        <w:t xml:space="preserve"> </w:t>
      </w:r>
      <w:r w:rsidRPr="002029AF">
        <w:t>is</w:t>
      </w:r>
      <w:r w:rsidR="000A5329" w:rsidRPr="002029AF">
        <w:t xml:space="preserve"> </w:t>
      </w:r>
      <w:r w:rsidRPr="002029AF">
        <w:t>working</w:t>
      </w:r>
      <w:r w:rsidR="000A5329" w:rsidRPr="002029AF">
        <w:t xml:space="preserve"> </w:t>
      </w:r>
      <w:r w:rsidRPr="002029AF">
        <w:t>to</w:t>
      </w:r>
      <w:r w:rsidR="000A5329" w:rsidRPr="002029AF">
        <w:t xml:space="preserve"> </w:t>
      </w:r>
      <w:r w:rsidRPr="002029AF">
        <w:t>ensure</w:t>
      </w:r>
      <w:r w:rsidR="000A5329" w:rsidRPr="002029AF">
        <w:t xml:space="preserve"> </w:t>
      </w:r>
      <w:r w:rsidRPr="002029AF">
        <w:t>Victoria</w:t>
      </w:r>
      <w:r w:rsidR="000A5329" w:rsidRPr="002029AF">
        <w:t xml:space="preserve"> </w:t>
      </w:r>
      <w:r w:rsidRPr="002029AF">
        <w:t>fulfils</w:t>
      </w:r>
      <w:r w:rsidR="000A5329" w:rsidRPr="002029AF">
        <w:t xml:space="preserve"> </w:t>
      </w:r>
      <w:r w:rsidRPr="002029AF">
        <w:t>its</w:t>
      </w:r>
      <w:r w:rsidR="000A5329" w:rsidRPr="002029AF">
        <w:t xml:space="preserve"> </w:t>
      </w:r>
      <w:r w:rsidRPr="002029AF">
        <w:t>requirements</w:t>
      </w:r>
      <w:r w:rsidR="000A5329" w:rsidRPr="002029AF">
        <w:t xml:space="preserve"> </w:t>
      </w:r>
      <w:r w:rsidRPr="002029AF">
        <w:t>on</w:t>
      </w:r>
      <w:r w:rsidR="000A5329" w:rsidRPr="002029AF">
        <w:t xml:space="preserve"> </w:t>
      </w:r>
      <w:r w:rsidRPr="002029AF">
        <w:t>competitive</w:t>
      </w:r>
      <w:r w:rsidR="000A5329" w:rsidRPr="002029AF">
        <w:t xml:space="preserve"> </w:t>
      </w:r>
      <w:r w:rsidRPr="002029AF">
        <w:t>neutrality</w:t>
      </w:r>
      <w:r w:rsidR="000A5329" w:rsidRPr="002029AF">
        <w:t xml:space="preserve"> </w:t>
      </w:r>
      <w:r w:rsidRPr="002029AF">
        <w:t>reporting</w:t>
      </w:r>
      <w:r w:rsidR="000A5329" w:rsidRPr="002029AF">
        <w:t xml:space="preserve"> </w:t>
      </w:r>
      <w:r w:rsidRPr="002029AF">
        <w:t>as</w:t>
      </w:r>
      <w:r w:rsidR="000A5329" w:rsidRPr="002029AF">
        <w:t xml:space="preserve"> </w:t>
      </w:r>
      <w:r w:rsidRPr="002029AF">
        <w:t>required</w:t>
      </w:r>
      <w:r w:rsidR="000A5329" w:rsidRPr="002029AF">
        <w:t xml:space="preserve"> </w:t>
      </w:r>
      <w:r w:rsidRPr="002029AF">
        <w:t>under</w:t>
      </w:r>
      <w:r w:rsidR="000A5329" w:rsidRPr="002029AF">
        <w:t xml:space="preserve"> </w:t>
      </w:r>
      <w:r w:rsidRPr="002029AF">
        <w:t>the</w:t>
      </w:r>
      <w:r w:rsidR="000A5329" w:rsidRPr="002029AF">
        <w:t xml:space="preserve"> </w:t>
      </w:r>
      <w:r w:rsidRPr="002029AF">
        <w:rPr>
          <w:iCs/>
        </w:rPr>
        <w:t>Competition</w:t>
      </w:r>
      <w:r w:rsidR="000A5329" w:rsidRPr="002029AF">
        <w:rPr>
          <w:iCs/>
        </w:rPr>
        <w:t xml:space="preserve"> </w:t>
      </w:r>
      <w:r w:rsidRPr="002029AF">
        <w:rPr>
          <w:iCs/>
        </w:rPr>
        <w:t>Principles</w:t>
      </w:r>
      <w:r w:rsidR="000A5329" w:rsidRPr="002029AF">
        <w:rPr>
          <w:iCs/>
        </w:rPr>
        <w:t xml:space="preserve"> </w:t>
      </w:r>
      <w:r w:rsidRPr="002029AF">
        <w:rPr>
          <w:iCs/>
        </w:rPr>
        <w:t>Agreement</w:t>
      </w:r>
      <w:r w:rsidR="000A5329" w:rsidRPr="002029AF">
        <w:rPr>
          <w:iCs/>
        </w:rPr>
        <w:t xml:space="preserve"> </w:t>
      </w:r>
      <w:r w:rsidRPr="002029AF">
        <w:rPr>
          <w:iCs/>
        </w:rPr>
        <w:t>and</w:t>
      </w:r>
      <w:r w:rsidR="000A5329" w:rsidRPr="002029AF">
        <w:rPr>
          <w:iCs/>
        </w:rPr>
        <w:t xml:space="preserve"> </w:t>
      </w:r>
      <w:r w:rsidRPr="002029AF">
        <w:rPr>
          <w:iCs/>
        </w:rPr>
        <w:t>Competition</w:t>
      </w:r>
      <w:r w:rsidR="000A5329" w:rsidRPr="002029AF">
        <w:rPr>
          <w:iCs/>
        </w:rPr>
        <w:t xml:space="preserve"> </w:t>
      </w:r>
      <w:r w:rsidRPr="002029AF">
        <w:rPr>
          <w:iCs/>
        </w:rPr>
        <w:t>and</w:t>
      </w:r>
      <w:r w:rsidR="000A5329" w:rsidRPr="002029AF">
        <w:rPr>
          <w:iCs/>
        </w:rPr>
        <w:t xml:space="preserve"> </w:t>
      </w:r>
      <w:r w:rsidRPr="002029AF">
        <w:rPr>
          <w:iCs/>
        </w:rPr>
        <w:t>Infrastructure</w:t>
      </w:r>
      <w:r w:rsidR="000A5329" w:rsidRPr="002029AF">
        <w:rPr>
          <w:iCs/>
        </w:rPr>
        <w:t xml:space="preserve"> </w:t>
      </w:r>
      <w:r w:rsidRPr="002029AF">
        <w:rPr>
          <w:iCs/>
        </w:rPr>
        <w:t>Reform</w:t>
      </w:r>
      <w:r w:rsidR="000A5329" w:rsidRPr="002029AF">
        <w:rPr>
          <w:iCs/>
        </w:rPr>
        <w:t xml:space="preserve"> </w:t>
      </w:r>
      <w:r w:rsidRPr="002029AF">
        <w:rPr>
          <w:iCs/>
        </w:rPr>
        <w:t>Agreement.</w:t>
      </w:r>
      <w:bookmarkStart w:id="129" w:name="_Ref492895256"/>
      <w:bookmarkStart w:id="130" w:name="_Ref492904920"/>
      <w:bookmarkStart w:id="131" w:name="_Ref492895394"/>
      <w:bookmarkEnd w:id="129"/>
      <w:bookmarkEnd w:id="130"/>
      <w:bookmarkEnd w:id="131"/>
    </w:p>
    <w:p w14:paraId="751CB52E" w14:textId="77777777" w:rsidR="00AE3EA3" w:rsidRPr="002029AF" w:rsidRDefault="00AE3EA3" w:rsidP="00AE3EA3">
      <w:pPr>
        <w:pStyle w:val="ARbody"/>
      </w:pPr>
      <w:bookmarkStart w:id="132" w:name="Government_advertising_expenditure_end"/>
      <w:bookmarkStart w:id="133" w:name="_Ref21862226"/>
      <w:bookmarkEnd w:id="132"/>
      <w:r w:rsidRPr="002029AF">
        <w:br w:type="page"/>
      </w:r>
    </w:p>
    <w:p w14:paraId="35F342A7" w14:textId="11EB5B2F" w:rsidR="00CF72D5" w:rsidRPr="002029AF" w:rsidRDefault="00CF72D5" w:rsidP="00897193">
      <w:pPr>
        <w:pStyle w:val="Heading2"/>
      </w:pPr>
      <w:bookmarkStart w:id="134" w:name="_Ref52285882"/>
      <w:bookmarkStart w:id="135" w:name="_Toc54690787"/>
      <w:r w:rsidRPr="002029AF">
        <w:lastRenderedPageBreak/>
        <w:t>Details</w:t>
      </w:r>
      <w:r w:rsidR="000A5329" w:rsidRPr="002029AF">
        <w:t xml:space="preserve"> </w:t>
      </w:r>
      <w:r w:rsidRPr="002029AF">
        <w:t>of</w:t>
      </w:r>
      <w:r w:rsidR="000A5329" w:rsidRPr="002029AF">
        <w:t xml:space="preserve"> </w:t>
      </w:r>
      <w:r w:rsidRPr="002029AF">
        <w:t>consultancies</w:t>
      </w:r>
      <w:bookmarkEnd w:id="134"/>
      <w:bookmarkEnd w:id="135"/>
    </w:p>
    <w:p w14:paraId="5050CB25" w14:textId="411AEBBE" w:rsidR="00CF72D5" w:rsidRPr="002029AF" w:rsidRDefault="00CF72D5">
      <w:pPr>
        <w:pStyle w:val="ARbody"/>
      </w:pPr>
      <w:r w:rsidRPr="002029AF">
        <w:t>In</w:t>
      </w:r>
      <w:r w:rsidR="000A5329" w:rsidRPr="002029AF">
        <w:t xml:space="preserve"> </w:t>
      </w:r>
      <w:r w:rsidRPr="002029AF">
        <w:t>2019–20,</w:t>
      </w:r>
      <w:r w:rsidR="000A5329" w:rsidRPr="002029AF">
        <w:t xml:space="preserve"> </w:t>
      </w:r>
      <w:r w:rsidRPr="002029AF">
        <w:t>there</w:t>
      </w:r>
      <w:r w:rsidR="000A5329" w:rsidRPr="002029AF">
        <w:t xml:space="preserve"> </w:t>
      </w:r>
      <w:r w:rsidRPr="002029AF">
        <w:t>were</w:t>
      </w:r>
      <w:r w:rsidR="000A5329" w:rsidRPr="002029AF">
        <w:t xml:space="preserve"> </w:t>
      </w:r>
      <w:r w:rsidRPr="002029AF">
        <w:t>102</w:t>
      </w:r>
      <w:r w:rsidR="000A5329" w:rsidRPr="002029AF">
        <w:t xml:space="preserve"> </w:t>
      </w:r>
      <w:r w:rsidRPr="002029AF">
        <w:t>consultancies</w:t>
      </w:r>
      <w:r w:rsidR="000A5329" w:rsidRPr="002029AF">
        <w:t xml:space="preserve"> </w:t>
      </w:r>
      <w:r w:rsidRPr="002029AF">
        <w:t>where</w:t>
      </w:r>
      <w:r w:rsidR="000A5329" w:rsidRPr="002029AF">
        <w:t xml:space="preserve"> </w:t>
      </w:r>
      <w:r w:rsidRPr="002029AF">
        <w:t>the</w:t>
      </w:r>
      <w:r w:rsidR="000A5329" w:rsidRPr="002029AF">
        <w:t xml:space="preserve"> </w:t>
      </w:r>
      <w:r w:rsidRPr="002029AF">
        <w:t>total</w:t>
      </w:r>
      <w:r w:rsidR="000A5329" w:rsidRPr="002029AF">
        <w:t xml:space="preserve"> </w:t>
      </w:r>
      <w:r w:rsidRPr="002029AF">
        <w:t>fees</w:t>
      </w:r>
      <w:r w:rsidR="000A5329" w:rsidRPr="002029AF">
        <w:t xml:space="preserve"> </w:t>
      </w:r>
      <w:r w:rsidRPr="002029AF">
        <w:t>payable</w:t>
      </w:r>
      <w:r w:rsidR="000A5329" w:rsidRPr="002029AF">
        <w:t xml:space="preserve"> </w:t>
      </w:r>
      <w:r w:rsidRPr="002029AF">
        <w:t>to</w:t>
      </w:r>
      <w:r w:rsidR="000A5329" w:rsidRPr="002029AF">
        <w:t xml:space="preserve"> </w:t>
      </w:r>
      <w:r w:rsidRPr="002029AF">
        <w:t>the</w:t>
      </w:r>
      <w:r w:rsidR="000A5329" w:rsidRPr="002029AF">
        <w:t xml:space="preserve"> </w:t>
      </w:r>
      <w:r w:rsidRPr="002029AF">
        <w:t>consultants</w:t>
      </w:r>
      <w:r w:rsidR="000A5329" w:rsidRPr="002029AF">
        <w:t xml:space="preserve"> </w:t>
      </w:r>
      <w:r w:rsidRPr="002029AF">
        <w:t>were</w:t>
      </w:r>
      <w:r w:rsidR="000A5329" w:rsidRPr="002029AF">
        <w:t xml:space="preserve"> </w:t>
      </w:r>
      <w:r w:rsidRPr="002029AF">
        <w:t>$10,000</w:t>
      </w:r>
      <w:r w:rsidR="000A5329" w:rsidRPr="002029AF">
        <w:t xml:space="preserve"> </w:t>
      </w:r>
      <w:r w:rsidRPr="002029AF">
        <w:t>or</w:t>
      </w:r>
      <w:r w:rsidR="000A5329" w:rsidRPr="002029AF">
        <w:t xml:space="preserve"> </w:t>
      </w:r>
      <w:r w:rsidRPr="002029AF">
        <w:t>greater.</w:t>
      </w:r>
      <w:r w:rsidR="000A5329" w:rsidRPr="002029AF">
        <w:t xml:space="preserve"> </w:t>
      </w:r>
      <w:r w:rsidRPr="002029AF">
        <w:t>The</w:t>
      </w:r>
      <w:r w:rsidR="000A5329" w:rsidRPr="002029AF">
        <w:t xml:space="preserve"> </w:t>
      </w:r>
      <w:r w:rsidRPr="002029AF">
        <w:t>total</w:t>
      </w:r>
      <w:r w:rsidR="000A5329" w:rsidRPr="002029AF">
        <w:t xml:space="preserve"> </w:t>
      </w:r>
      <w:r w:rsidRPr="002029AF">
        <w:t>expenditure</w:t>
      </w:r>
      <w:r w:rsidR="000A5329" w:rsidRPr="002029AF">
        <w:t xml:space="preserve"> </w:t>
      </w:r>
      <w:r w:rsidRPr="002029AF">
        <w:t>incurred</w:t>
      </w:r>
      <w:r w:rsidR="000A5329" w:rsidRPr="002029AF">
        <w:t xml:space="preserve"> </w:t>
      </w:r>
      <w:r w:rsidRPr="002029AF">
        <w:t>during</w:t>
      </w:r>
      <w:r w:rsidR="000A5329" w:rsidRPr="002029AF">
        <w:t xml:space="preserve"> </w:t>
      </w:r>
      <w:r w:rsidRPr="002029AF">
        <w:t>2019–20</w:t>
      </w:r>
      <w:r w:rsidR="000A5329" w:rsidRPr="002029AF">
        <w:t xml:space="preserve"> </w:t>
      </w:r>
      <w:r w:rsidRPr="002029AF">
        <w:t>in</w:t>
      </w:r>
      <w:r w:rsidR="000A5329" w:rsidRPr="002029AF">
        <w:t xml:space="preserve"> </w:t>
      </w:r>
      <w:r w:rsidRPr="002029AF">
        <w:t>relation</w:t>
      </w:r>
      <w:r w:rsidR="000A5329" w:rsidRPr="002029AF">
        <w:t xml:space="preserve"> </w:t>
      </w:r>
      <w:r w:rsidRPr="002029AF">
        <w:t>to</w:t>
      </w:r>
      <w:r w:rsidR="000A5329" w:rsidRPr="002029AF">
        <w:t xml:space="preserve"> </w:t>
      </w:r>
      <w:r w:rsidRPr="002029AF">
        <w:t>these</w:t>
      </w:r>
      <w:r w:rsidR="000A5329" w:rsidRPr="002029AF">
        <w:t xml:space="preserve"> </w:t>
      </w:r>
      <w:r w:rsidRPr="002029AF">
        <w:t>consultancies</w:t>
      </w:r>
      <w:r w:rsidR="000A5329" w:rsidRPr="002029AF">
        <w:t xml:space="preserve"> </w:t>
      </w:r>
      <w:r w:rsidRPr="002029AF">
        <w:t>is</w:t>
      </w:r>
      <w:r w:rsidR="000A5329" w:rsidRPr="002029AF">
        <w:t xml:space="preserve"> </w:t>
      </w:r>
      <w:r w:rsidRPr="002029AF">
        <w:t>$29,630,986</w:t>
      </w:r>
      <w:r w:rsidR="000A5329" w:rsidRPr="002029AF">
        <w:t xml:space="preserve"> </w:t>
      </w:r>
      <w:r w:rsidRPr="002029AF">
        <w:t>(excluding</w:t>
      </w:r>
      <w:r w:rsidR="000A5329" w:rsidRPr="002029AF">
        <w:t xml:space="preserve"> </w:t>
      </w:r>
      <w:r w:rsidRPr="002029AF">
        <w:t>GST).</w:t>
      </w:r>
    </w:p>
    <w:p w14:paraId="468E3969" w14:textId="6373AAA5" w:rsidR="00CF72D5" w:rsidRPr="002029AF" w:rsidRDefault="00CF72D5">
      <w:pPr>
        <w:pStyle w:val="ARbody"/>
      </w:pPr>
      <w:r w:rsidRPr="002029AF">
        <w:t>In</w:t>
      </w:r>
      <w:r w:rsidR="000A5329" w:rsidRPr="002029AF">
        <w:t xml:space="preserve"> </w:t>
      </w:r>
      <w:r w:rsidRPr="002029AF">
        <w:t>order</w:t>
      </w:r>
      <w:r w:rsidR="000A5329" w:rsidRPr="002029AF">
        <w:t xml:space="preserve"> </w:t>
      </w:r>
      <w:r w:rsidRPr="002029AF">
        <w:t>to</w:t>
      </w:r>
      <w:r w:rsidR="000A5329" w:rsidRPr="002029AF">
        <w:t xml:space="preserve"> </w:t>
      </w:r>
      <w:r w:rsidRPr="002029AF">
        <w:t>increase</w:t>
      </w:r>
      <w:r w:rsidR="000A5329" w:rsidRPr="002029AF">
        <w:t xml:space="preserve"> </w:t>
      </w:r>
      <w:r w:rsidRPr="002029AF">
        <w:t>transparency,</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presented</w:t>
      </w:r>
      <w:r w:rsidR="000A5329" w:rsidRPr="002029AF">
        <w:t xml:space="preserve"> </w:t>
      </w:r>
      <w:r w:rsidRPr="002029AF">
        <w:t>the</w:t>
      </w:r>
      <w:r w:rsidR="000A5329" w:rsidRPr="002029AF">
        <w:t xml:space="preserve"> </w:t>
      </w:r>
      <w:r w:rsidRPr="002029AF">
        <w:t>information</w:t>
      </w:r>
      <w:r w:rsidR="000A5329" w:rsidRPr="002029AF">
        <w:t xml:space="preserve"> </w:t>
      </w:r>
      <w:r w:rsidRPr="002029AF">
        <w:t>under</w:t>
      </w:r>
      <w:r w:rsidR="000A5329" w:rsidRPr="002029AF">
        <w:t xml:space="preserve"> </w:t>
      </w:r>
      <w:r w:rsidRPr="002029AF">
        <w:t>six</w:t>
      </w:r>
      <w:r w:rsidR="000A5329" w:rsidRPr="002029AF">
        <w:t xml:space="preserve"> </w:t>
      </w:r>
      <w:r w:rsidRPr="002029AF">
        <w:t>categories:</w:t>
      </w:r>
    </w:p>
    <w:p w14:paraId="593D4B5B" w14:textId="3E4F5004" w:rsidR="00CF72D5" w:rsidRPr="002029AF" w:rsidRDefault="00CF72D5" w:rsidP="00897193">
      <w:pPr>
        <w:pStyle w:val="ARbullet1"/>
        <w:rPr>
          <w:rStyle w:val="Heading3Char"/>
          <w:bCs w:val="0"/>
          <w:color w:val="000000" w:themeColor="text1"/>
          <w:sz w:val="20"/>
          <w:szCs w:val="20"/>
        </w:rPr>
      </w:pPr>
      <w:r w:rsidRPr="002029AF">
        <w:rPr>
          <w:rStyle w:val="Heading3Char"/>
          <w:color w:val="000000" w:themeColor="text1"/>
          <w:sz w:val="20"/>
          <w:szCs w:val="20"/>
        </w:rPr>
        <w:t>capital,</w:t>
      </w:r>
      <w:r w:rsidR="000A5329" w:rsidRPr="002029AF">
        <w:rPr>
          <w:rStyle w:val="Heading3Char"/>
          <w:color w:val="000000" w:themeColor="text1"/>
          <w:sz w:val="20"/>
          <w:szCs w:val="20"/>
        </w:rPr>
        <w:t xml:space="preserve"> </w:t>
      </w:r>
      <w:r w:rsidRPr="002029AF">
        <w:rPr>
          <w:rStyle w:val="Heading3Char"/>
          <w:color w:val="000000" w:themeColor="text1"/>
          <w:sz w:val="20"/>
          <w:szCs w:val="20"/>
        </w:rPr>
        <w:t>business</w:t>
      </w:r>
      <w:r w:rsidR="000A5329" w:rsidRPr="002029AF">
        <w:rPr>
          <w:rStyle w:val="Heading3Char"/>
          <w:color w:val="000000" w:themeColor="text1"/>
          <w:sz w:val="20"/>
          <w:szCs w:val="20"/>
        </w:rPr>
        <w:t xml:space="preserve"> </w:t>
      </w:r>
      <w:r w:rsidRPr="002029AF">
        <w:rPr>
          <w:rStyle w:val="Heading3Char"/>
          <w:color w:val="000000" w:themeColor="text1"/>
          <w:sz w:val="20"/>
          <w:szCs w:val="20"/>
        </w:rPr>
        <w:t>and</w:t>
      </w:r>
      <w:r w:rsidR="000A5329" w:rsidRPr="002029AF">
        <w:rPr>
          <w:rStyle w:val="Heading3Char"/>
          <w:color w:val="000000" w:themeColor="text1"/>
          <w:sz w:val="20"/>
          <w:szCs w:val="20"/>
        </w:rPr>
        <w:t xml:space="preserve"> </w:t>
      </w:r>
      <w:r w:rsidRPr="002029AF">
        <w:rPr>
          <w:rStyle w:val="Heading3Char"/>
          <w:color w:val="000000" w:themeColor="text1"/>
          <w:sz w:val="20"/>
          <w:szCs w:val="20"/>
        </w:rPr>
        <w:t>planning</w:t>
      </w:r>
    </w:p>
    <w:p w14:paraId="1F80D693" w14:textId="74F0DAF5" w:rsidR="00CF72D5" w:rsidRPr="002029AF" w:rsidRDefault="00CF72D5" w:rsidP="00897193">
      <w:pPr>
        <w:pStyle w:val="ARbullet1"/>
        <w:rPr>
          <w:rStyle w:val="Heading3Char"/>
          <w:bCs w:val="0"/>
          <w:color w:val="000000" w:themeColor="text1"/>
          <w:sz w:val="20"/>
          <w:szCs w:val="20"/>
        </w:rPr>
      </w:pPr>
      <w:r w:rsidRPr="002029AF">
        <w:rPr>
          <w:rStyle w:val="Heading3Char"/>
          <w:color w:val="000000" w:themeColor="text1"/>
          <w:sz w:val="20"/>
          <w:szCs w:val="20"/>
        </w:rPr>
        <w:t>information,</w:t>
      </w:r>
      <w:r w:rsidR="000A5329" w:rsidRPr="002029AF">
        <w:rPr>
          <w:rStyle w:val="Heading3Char"/>
          <w:color w:val="000000" w:themeColor="text1"/>
          <w:sz w:val="20"/>
          <w:szCs w:val="20"/>
        </w:rPr>
        <w:t xml:space="preserve"> </w:t>
      </w:r>
      <w:r w:rsidRPr="002029AF">
        <w:rPr>
          <w:rStyle w:val="Heading3Char"/>
          <w:color w:val="000000" w:themeColor="text1"/>
          <w:sz w:val="20"/>
          <w:szCs w:val="20"/>
        </w:rPr>
        <w:t>data</w:t>
      </w:r>
      <w:r w:rsidR="000A5329" w:rsidRPr="002029AF">
        <w:rPr>
          <w:rStyle w:val="Heading3Char"/>
          <w:color w:val="000000" w:themeColor="text1"/>
          <w:sz w:val="20"/>
          <w:szCs w:val="20"/>
        </w:rPr>
        <w:t xml:space="preserve"> </w:t>
      </w:r>
      <w:r w:rsidRPr="002029AF">
        <w:rPr>
          <w:rStyle w:val="Heading3Char"/>
          <w:color w:val="000000" w:themeColor="text1"/>
          <w:sz w:val="20"/>
          <w:szCs w:val="20"/>
        </w:rPr>
        <w:t>and</w:t>
      </w:r>
      <w:r w:rsidR="000A5329" w:rsidRPr="002029AF">
        <w:rPr>
          <w:rStyle w:val="Heading3Char"/>
          <w:color w:val="000000" w:themeColor="text1"/>
          <w:sz w:val="20"/>
          <w:szCs w:val="20"/>
        </w:rPr>
        <w:t xml:space="preserve"> </w:t>
      </w:r>
      <w:r w:rsidRPr="002029AF">
        <w:rPr>
          <w:rStyle w:val="Heading3Char"/>
          <w:color w:val="000000" w:themeColor="text1"/>
          <w:sz w:val="20"/>
          <w:szCs w:val="20"/>
        </w:rPr>
        <w:t>technology</w:t>
      </w:r>
    </w:p>
    <w:p w14:paraId="2CB48A30" w14:textId="26EE7EDB" w:rsidR="00CF72D5" w:rsidRPr="002029AF" w:rsidRDefault="00CF72D5" w:rsidP="00897193">
      <w:pPr>
        <w:pStyle w:val="ARbullet1"/>
        <w:rPr>
          <w:rStyle w:val="Heading3Char"/>
          <w:bCs w:val="0"/>
          <w:color w:val="000000" w:themeColor="text1"/>
          <w:sz w:val="20"/>
          <w:szCs w:val="20"/>
        </w:rPr>
      </w:pPr>
      <w:r w:rsidRPr="002029AF">
        <w:rPr>
          <w:rStyle w:val="Heading3Char"/>
          <w:color w:val="000000" w:themeColor="text1"/>
          <w:sz w:val="20"/>
          <w:szCs w:val="20"/>
        </w:rPr>
        <w:t>policy/program</w:t>
      </w:r>
      <w:r w:rsidR="000A5329" w:rsidRPr="002029AF">
        <w:rPr>
          <w:rStyle w:val="Heading3Char"/>
          <w:color w:val="000000" w:themeColor="text1"/>
          <w:sz w:val="20"/>
          <w:szCs w:val="20"/>
        </w:rPr>
        <w:t xml:space="preserve"> </w:t>
      </w:r>
      <w:r w:rsidRPr="002029AF">
        <w:rPr>
          <w:rStyle w:val="Heading3Char"/>
          <w:color w:val="000000" w:themeColor="text1"/>
          <w:sz w:val="20"/>
          <w:szCs w:val="20"/>
        </w:rPr>
        <w:t>advice</w:t>
      </w:r>
      <w:r w:rsidR="000A5329" w:rsidRPr="002029AF">
        <w:rPr>
          <w:rStyle w:val="Heading3Char"/>
          <w:color w:val="000000" w:themeColor="text1"/>
          <w:sz w:val="20"/>
          <w:szCs w:val="20"/>
        </w:rPr>
        <w:t xml:space="preserve"> </w:t>
      </w:r>
      <w:r w:rsidRPr="002029AF">
        <w:rPr>
          <w:rStyle w:val="Heading3Char"/>
          <w:color w:val="000000" w:themeColor="text1"/>
          <w:sz w:val="20"/>
          <w:szCs w:val="20"/>
        </w:rPr>
        <w:t>and</w:t>
      </w:r>
      <w:r w:rsidR="000A5329" w:rsidRPr="002029AF">
        <w:rPr>
          <w:rStyle w:val="Heading3Char"/>
          <w:color w:val="000000" w:themeColor="text1"/>
          <w:sz w:val="20"/>
          <w:szCs w:val="20"/>
        </w:rPr>
        <w:t xml:space="preserve"> </w:t>
      </w:r>
      <w:r w:rsidRPr="002029AF">
        <w:rPr>
          <w:rStyle w:val="Heading3Char"/>
          <w:color w:val="000000" w:themeColor="text1"/>
          <w:sz w:val="20"/>
          <w:szCs w:val="20"/>
        </w:rPr>
        <w:t>delivery</w:t>
      </w:r>
    </w:p>
    <w:p w14:paraId="2526238A" w14:textId="29820426" w:rsidR="00CF72D5" w:rsidRPr="002029AF" w:rsidRDefault="00CF72D5" w:rsidP="00897193">
      <w:pPr>
        <w:pStyle w:val="ARbullet1"/>
        <w:rPr>
          <w:rStyle w:val="Heading3Char"/>
          <w:bCs w:val="0"/>
          <w:color w:val="000000" w:themeColor="text1"/>
          <w:sz w:val="20"/>
          <w:szCs w:val="20"/>
        </w:rPr>
      </w:pPr>
      <w:r w:rsidRPr="002029AF">
        <w:rPr>
          <w:rStyle w:val="Heading3Char"/>
          <w:color w:val="000000" w:themeColor="text1"/>
          <w:sz w:val="20"/>
          <w:szCs w:val="20"/>
        </w:rPr>
        <w:t>probity,</w:t>
      </w:r>
      <w:r w:rsidR="000A5329" w:rsidRPr="002029AF">
        <w:rPr>
          <w:rStyle w:val="Heading3Char"/>
          <w:color w:val="000000" w:themeColor="text1"/>
          <w:sz w:val="20"/>
          <w:szCs w:val="20"/>
        </w:rPr>
        <w:t xml:space="preserve"> </w:t>
      </w:r>
      <w:r w:rsidRPr="002029AF">
        <w:rPr>
          <w:rStyle w:val="Heading3Char"/>
          <w:color w:val="000000" w:themeColor="text1"/>
          <w:sz w:val="20"/>
          <w:szCs w:val="20"/>
        </w:rPr>
        <w:t>data</w:t>
      </w:r>
      <w:r w:rsidR="000A5329" w:rsidRPr="002029AF">
        <w:rPr>
          <w:rStyle w:val="Heading3Char"/>
          <w:color w:val="000000" w:themeColor="text1"/>
          <w:sz w:val="20"/>
          <w:szCs w:val="20"/>
        </w:rPr>
        <w:t xml:space="preserve"> </w:t>
      </w:r>
      <w:r w:rsidRPr="002029AF">
        <w:rPr>
          <w:rStyle w:val="Heading3Char"/>
          <w:color w:val="000000" w:themeColor="text1"/>
          <w:sz w:val="20"/>
          <w:szCs w:val="20"/>
        </w:rPr>
        <w:t>integrity</w:t>
      </w:r>
      <w:r w:rsidR="000A5329" w:rsidRPr="002029AF">
        <w:rPr>
          <w:rStyle w:val="Heading3Char"/>
          <w:color w:val="000000" w:themeColor="text1"/>
          <w:sz w:val="20"/>
          <w:szCs w:val="20"/>
        </w:rPr>
        <w:t xml:space="preserve"> </w:t>
      </w:r>
      <w:r w:rsidRPr="002029AF">
        <w:rPr>
          <w:rStyle w:val="Heading3Char"/>
          <w:color w:val="000000" w:themeColor="text1"/>
          <w:sz w:val="20"/>
          <w:szCs w:val="20"/>
        </w:rPr>
        <w:t>and</w:t>
      </w:r>
      <w:r w:rsidR="000A5329" w:rsidRPr="002029AF">
        <w:rPr>
          <w:rStyle w:val="Heading3Char"/>
          <w:color w:val="000000" w:themeColor="text1"/>
          <w:sz w:val="20"/>
          <w:szCs w:val="20"/>
        </w:rPr>
        <w:t xml:space="preserve"> </w:t>
      </w:r>
      <w:r w:rsidRPr="002029AF">
        <w:rPr>
          <w:rStyle w:val="Heading3Char"/>
          <w:color w:val="000000" w:themeColor="text1"/>
          <w:sz w:val="20"/>
          <w:szCs w:val="20"/>
        </w:rPr>
        <w:t>audit</w:t>
      </w:r>
    </w:p>
    <w:p w14:paraId="432E1F47" w14:textId="22757821" w:rsidR="00CF72D5" w:rsidRPr="002029AF" w:rsidRDefault="00CF72D5" w:rsidP="00897193">
      <w:pPr>
        <w:pStyle w:val="ARbullet1"/>
        <w:rPr>
          <w:rStyle w:val="Heading3Char"/>
          <w:bCs w:val="0"/>
          <w:color w:val="000000" w:themeColor="text1"/>
          <w:sz w:val="20"/>
          <w:szCs w:val="20"/>
        </w:rPr>
      </w:pPr>
      <w:r w:rsidRPr="002029AF">
        <w:rPr>
          <w:rStyle w:val="Heading3Char"/>
          <w:color w:val="000000" w:themeColor="text1"/>
          <w:sz w:val="20"/>
          <w:szCs w:val="20"/>
        </w:rPr>
        <w:t>program</w:t>
      </w:r>
      <w:r w:rsidR="000A5329" w:rsidRPr="002029AF">
        <w:rPr>
          <w:rStyle w:val="Heading3Char"/>
          <w:color w:val="000000" w:themeColor="text1"/>
          <w:sz w:val="20"/>
          <w:szCs w:val="20"/>
        </w:rPr>
        <w:t xml:space="preserve"> </w:t>
      </w:r>
      <w:r w:rsidRPr="002029AF">
        <w:rPr>
          <w:rStyle w:val="Heading3Char"/>
          <w:color w:val="000000" w:themeColor="text1"/>
          <w:sz w:val="20"/>
          <w:szCs w:val="20"/>
        </w:rPr>
        <w:t>assessment</w:t>
      </w:r>
      <w:r w:rsidR="000A5329" w:rsidRPr="002029AF">
        <w:rPr>
          <w:rStyle w:val="Heading3Char"/>
          <w:color w:val="000000" w:themeColor="text1"/>
          <w:sz w:val="20"/>
          <w:szCs w:val="20"/>
        </w:rPr>
        <w:t xml:space="preserve"> </w:t>
      </w:r>
      <w:r w:rsidRPr="002029AF">
        <w:rPr>
          <w:rStyle w:val="Heading3Char"/>
          <w:color w:val="000000" w:themeColor="text1"/>
          <w:sz w:val="20"/>
          <w:szCs w:val="20"/>
        </w:rPr>
        <w:t>and</w:t>
      </w:r>
      <w:r w:rsidR="000A5329" w:rsidRPr="002029AF">
        <w:rPr>
          <w:rStyle w:val="Heading3Char"/>
          <w:color w:val="000000" w:themeColor="text1"/>
          <w:sz w:val="20"/>
          <w:szCs w:val="20"/>
        </w:rPr>
        <w:t xml:space="preserve"> </w:t>
      </w:r>
      <w:r w:rsidRPr="002029AF">
        <w:rPr>
          <w:rStyle w:val="Heading3Char"/>
          <w:color w:val="000000" w:themeColor="text1"/>
          <w:sz w:val="20"/>
          <w:szCs w:val="20"/>
        </w:rPr>
        <w:t>evaluation</w:t>
      </w:r>
    </w:p>
    <w:p w14:paraId="5B72BED5" w14:textId="61DE0D1D" w:rsidR="00CF72D5" w:rsidRPr="002029AF" w:rsidRDefault="00CF72D5" w:rsidP="00897193">
      <w:pPr>
        <w:pStyle w:val="ARbullet1"/>
        <w:rPr>
          <w:rStyle w:val="Heading3Char"/>
          <w:bCs w:val="0"/>
          <w:color w:val="000000" w:themeColor="text1"/>
          <w:sz w:val="20"/>
          <w:szCs w:val="20"/>
        </w:rPr>
      </w:pPr>
      <w:r w:rsidRPr="002029AF">
        <w:rPr>
          <w:rStyle w:val="Heading3Char"/>
          <w:color w:val="000000" w:themeColor="text1"/>
          <w:sz w:val="20"/>
          <w:szCs w:val="20"/>
        </w:rPr>
        <w:t>workforce</w:t>
      </w:r>
      <w:r w:rsidR="000A5329" w:rsidRPr="002029AF">
        <w:rPr>
          <w:rStyle w:val="Heading3Char"/>
          <w:color w:val="000000" w:themeColor="text1"/>
          <w:sz w:val="20"/>
          <w:szCs w:val="20"/>
        </w:rPr>
        <w:t xml:space="preserve"> </w:t>
      </w:r>
      <w:r w:rsidRPr="002029AF">
        <w:rPr>
          <w:rStyle w:val="Heading3Char"/>
          <w:color w:val="000000" w:themeColor="text1"/>
          <w:sz w:val="20"/>
          <w:szCs w:val="20"/>
        </w:rPr>
        <w:t>support.</w:t>
      </w:r>
    </w:p>
    <w:p w14:paraId="5C0FDBA0" w14:textId="68F84761" w:rsidR="00CF72D5" w:rsidRPr="002029AF" w:rsidRDefault="004A171B" w:rsidP="00897193">
      <w:pPr>
        <w:pStyle w:val="ARbullet1"/>
        <w:rPr>
          <w:rStyle w:val="Heading3Char"/>
          <w:bCs w:val="0"/>
          <w:color w:val="000000" w:themeColor="text1"/>
          <w:sz w:val="20"/>
          <w:szCs w:val="20"/>
        </w:rPr>
      </w:pPr>
      <w:r w:rsidRPr="002029AF">
        <w:rPr>
          <w:rStyle w:val="Heading3Char"/>
          <w:color w:val="000000" w:themeColor="text1"/>
          <w:sz w:val="20"/>
          <w:szCs w:val="20"/>
        </w:rPr>
        <w:t>d</w:t>
      </w:r>
      <w:r w:rsidR="00CF72D5" w:rsidRPr="002029AF">
        <w:rPr>
          <w:rStyle w:val="Heading3Char"/>
          <w:color w:val="000000" w:themeColor="text1"/>
          <w:sz w:val="20"/>
          <w:szCs w:val="20"/>
        </w:rPr>
        <w:t>etails</w:t>
      </w:r>
      <w:r w:rsidR="000A5329" w:rsidRPr="002029AF">
        <w:rPr>
          <w:rStyle w:val="Heading3Char"/>
          <w:color w:val="000000" w:themeColor="text1"/>
          <w:sz w:val="20"/>
          <w:szCs w:val="20"/>
        </w:rPr>
        <w:t xml:space="preserve"> </w:t>
      </w:r>
      <w:r w:rsidR="00CF72D5" w:rsidRPr="002029AF">
        <w:rPr>
          <w:rStyle w:val="Heading3Char"/>
          <w:color w:val="000000" w:themeColor="text1"/>
          <w:sz w:val="20"/>
          <w:szCs w:val="20"/>
        </w:rPr>
        <w:t>of</w:t>
      </w:r>
      <w:r w:rsidR="000A5329" w:rsidRPr="002029AF">
        <w:rPr>
          <w:rStyle w:val="Heading3Char"/>
          <w:color w:val="000000" w:themeColor="text1"/>
          <w:sz w:val="20"/>
          <w:szCs w:val="20"/>
        </w:rPr>
        <w:t xml:space="preserve"> </w:t>
      </w:r>
      <w:r w:rsidR="00CF72D5" w:rsidRPr="002029AF">
        <w:rPr>
          <w:rStyle w:val="Heading3Char"/>
          <w:color w:val="000000" w:themeColor="text1"/>
          <w:sz w:val="20"/>
          <w:szCs w:val="20"/>
        </w:rPr>
        <w:t>consultancies</w:t>
      </w:r>
      <w:r w:rsidR="000A5329" w:rsidRPr="002029AF">
        <w:rPr>
          <w:rStyle w:val="Heading3Char"/>
          <w:color w:val="000000" w:themeColor="text1"/>
          <w:sz w:val="20"/>
          <w:szCs w:val="20"/>
        </w:rPr>
        <w:t xml:space="preserve"> </w:t>
      </w:r>
      <w:r w:rsidR="00CF72D5" w:rsidRPr="002029AF">
        <w:rPr>
          <w:rStyle w:val="Heading3Char"/>
          <w:color w:val="000000" w:themeColor="text1"/>
          <w:sz w:val="20"/>
          <w:szCs w:val="20"/>
        </w:rPr>
        <w:t>under</w:t>
      </w:r>
      <w:r w:rsidR="000A5329" w:rsidRPr="002029AF">
        <w:rPr>
          <w:rStyle w:val="Heading3Char"/>
          <w:color w:val="000000" w:themeColor="text1"/>
          <w:sz w:val="20"/>
          <w:szCs w:val="20"/>
        </w:rPr>
        <w:t xml:space="preserve"> </w:t>
      </w:r>
      <w:r w:rsidR="00CF72D5" w:rsidRPr="002029AF">
        <w:rPr>
          <w:rStyle w:val="Heading3Char"/>
          <w:color w:val="000000" w:themeColor="text1"/>
          <w:sz w:val="20"/>
          <w:szCs w:val="20"/>
        </w:rPr>
        <w:t>$10,000</w:t>
      </w:r>
      <w:r w:rsidRPr="002029AF">
        <w:rPr>
          <w:rStyle w:val="Heading3Char"/>
          <w:color w:val="000000" w:themeColor="text1"/>
          <w:sz w:val="20"/>
          <w:szCs w:val="20"/>
        </w:rPr>
        <w:t>.</w:t>
      </w:r>
    </w:p>
    <w:p w14:paraId="544809E6" w14:textId="186A6479" w:rsidR="00CF72D5" w:rsidRPr="002029AF" w:rsidRDefault="00CF72D5" w:rsidP="00AE3EA3">
      <w:pPr>
        <w:pStyle w:val="ARbodyafterbullets"/>
      </w:pPr>
      <w:r w:rsidRPr="002029AF">
        <w:t>In</w:t>
      </w:r>
      <w:r w:rsidR="000A5329" w:rsidRPr="002029AF">
        <w:t xml:space="preserve"> </w:t>
      </w:r>
      <w:r w:rsidRPr="002029AF">
        <w:t>2019–20,</w:t>
      </w:r>
      <w:r w:rsidR="000A5329" w:rsidRPr="002029AF">
        <w:t xml:space="preserve"> </w:t>
      </w:r>
      <w:r w:rsidRPr="002029AF">
        <w:t>there</w:t>
      </w:r>
      <w:r w:rsidR="000A5329" w:rsidRPr="002029AF">
        <w:t xml:space="preserve"> </w:t>
      </w:r>
      <w:r w:rsidRPr="002029AF">
        <w:t>were</w:t>
      </w:r>
      <w:r w:rsidR="000A5329" w:rsidRPr="002029AF">
        <w:t xml:space="preserve"> </w:t>
      </w:r>
      <w:r w:rsidRPr="002029AF">
        <w:t>10</w:t>
      </w:r>
      <w:r w:rsidR="000A5329" w:rsidRPr="002029AF">
        <w:t xml:space="preserve"> </w:t>
      </w:r>
      <w:r w:rsidRPr="002029AF">
        <w:t>consultancies</w:t>
      </w:r>
      <w:r w:rsidR="000A5329" w:rsidRPr="002029AF">
        <w:t xml:space="preserve"> </w:t>
      </w:r>
      <w:r w:rsidRPr="002029AF">
        <w:t>engaged</w:t>
      </w:r>
      <w:r w:rsidR="000A5329" w:rsidRPr="002029AF">
        <w:t xml:space="preserve"> </w:t>
      </w:r>
      <w:r w:rsidRPr="002029AF">
        <w:t>during</w:t>
      </w:r>
      <w:r w:rsidR="000A5329" w:rsidRPr="002029AF">
        <w:t xml:space="preserve"> </w:t>
      </w:r>
      <w:r w:rsidRPr="002029AF">
        <w:t>the</w:t>
      </w:r>
      <w:r w:rsidR="000A5329" w:rsidRPr="002029AF">
        <w:t xml:space="preserve"> </w:t>
      </w:r>
      <w:r w:rsidRPr="002029AF">
        <w:t>year,</w:t>
      </w:r>
      <w:r w:rsidR="000A5329" w:rsidRPr="002029AF">
        <w:t xml:space="preserve"> </w:t>
      </w:r>
      <w:r w:rsidRPr="002029AF">
        <w:t>where</w:t>
      </w:r>
      <w:r w:rsidR="000A5329" w:rsidRPr="002029AF">
        <w:t xml:space="preserve"> </w:t>
      </w:r>
      <w:r w:rsidRPr="002029AF">
        <w:t>the</w:t>
      </w:r>
      <w:r w:rsidR="000A5329" w:rsidRPr="002029AF">
        <w:t xml:space="preserve"> </w:t>
      </w:r>
      <w:r w:rsidRPr="002029AF">
        <w:t>total</w:t>
      </w:r>
      <w:r w:rsidR="000A5329" w:rsidRPr="002029AF">
        <w:t xml:space="preserve"> </w:t>
      </w:r>
      <w:r w:rsidRPr="002029AF">
        <w:t>fees</w:t>
      </w:r>
      <w:r w:rsidR="000A5329" w:rsidRPr="002029AF">
        <w:t xml:space="preserve"> </w:t>
      </w:r>
      <w:r w:rsidRPr="002029AF">
        <w:t>payable</w:t>
      </w:r>
      <w:r w:rsidR="000A5329" w:rsidRPr="002029AF">
        <w:t xml:space="preserve"> </w:t>
      </w:r>
      <w:r w:rsidRPr="002029AF">
        <w:t>to</w:t>
      </w:r>
      <w:r w:rsidR="000A5329" w:rsidRPr="002029AF">
        <w:t xml:space="preserve"> </w:t>
      </w:r>
      <w:r w:rsidRPr="002029AF">
        <w:t>the</w:t>
      </w:r>
      <w:r w:rsidR="000A5329" w:rsidRPr="002029AF">
        <w:t xml:space="preserve"> </w:t>
      </w:r>
      <w:r w:rsidRPr="002029AF">
        <w:t>individual</w:t>
      </w:r>
      <w:r w:rsidR="000A5329" w:rsidRPr="002029AF">
        <w:t xml:space="preserve"> </w:t>
      </w:r>
      <w:r w:rsidRPr="002029AF">
        <w:t>consultancies</w:t>
      </w:r>
      <w:r w:rsidR="000A5329" w:rsidRPr="002029AF">
        <w:t xml:space="preserve"> </w:t>
      </w:r>
      <w:r w:rsidRPr="002029AF">
        <w:t>were</w:t>
      </w:r>
      <w:r w:rsidR="000A5329" w:rsidRPr="002029AF">
        <w:t xml:space="preserve"> </w:t>
      </w:r>
      <w:r w:rsidRPr="002029AF">
        <w:t>less</w:t>
      </w:r>
      <w:r w:rsidR="000A5329" w:rsidRPr="002029AF">
        <w:t xml:space="preserve"> </w:t>
      </w:r>
      <w:r w:rsidRPr="002029AF">
        <w:t>than</w:t>
      </w:r>
      <w:r w:rsidR="000A5329" w:rsidRPr="002029AF">
        <w:t xml:space="preserve"> </w:t>
      </w:r>
      <w:r w:rsidRPr="002029AF">
        <w:t>$10,000.</w:t>
      </w:r>
      <w:r w:rsidR="000A5329" w:rsidRPr="002029AF">
        <w:t xml:space="preserve"> </w:t>
      </w:r>
      <w:r w:rsidRPr="002029AF">
        <w:t>The</w:t>
      </w:r>
      <w:r w:rsidR="000A5329" w:rsidRPr="002029AF">
        <w:t xml:space="preserve"> </w:t>
      </w:r>
      <w:r w:rsidRPr="002029AF">
        <w:t>total</w:t>
      </w:r>
      <w:r w:rsidR="000A5329" w:rsidRPr="002029AF">
        <w:t xml:space="preserve"> </w:t>
      </w:r>
      <w:r w:rsidRPr="002029AF">
        <w:t>expenditure</w:t>
      </w:r>
      <w:r w:rsidR="000A5329" w:rsidRPr="002029AF">
        <w:t xml:space="preserve"> </w:t>
      </w:r>
      <w:r w:rsidRPr="002029AF">
        <w:t>incurred</w:t>
      </w:r>
      <w:r w:rsidR="000A5329" w:rsidRPr="002029AF">
        <w:t xml:space="preserve"> </w:t>
      </w:r>
      <w:r w:rsidRPr="002029AF">
        <w:t>during</w:t>
      </w:r>
      <w:r w:rsidR="000A5329" w:rsidRPr="002029AF">
        <w:t xml:space="preserve"> </w:t>
      </w:r>
      <w:r w:rsidRPr="002029AF">
        <w:t>2019–20</w:t>
      </w:r>
      <w:r w:rsidR="000A5329" w:rsidRPr="002029AF">
        <w:t xml:space="preserve"> </w:t>
      </w:r>
      <w:r w:rsidRPr="002029AF">
        <w:t>in</w:t>
      </w:r>
      <w:r w:rsidR="000A5329" w:rsidRPr="002029AF">
        <w:t xml:space="preserve"> </w:t>
      </w:r>
      <w:r w:rsidRPr="002029AF">
        <w:t>relation</w:t>
      </w:r>
      <w:r w:rsidR="000A5329" w:rsidRPr="002029AF">
        <w:t xml:space="preserve"> </w:t>
      </w:r>
      <w:r w:rsidRPr="002029AF">
        <w:t>to</w:t>
      </w:r>
      <w:r w:rsidR="000A5329" w:rsidRPr="002029AF">
        <w:t xml:space="preserve"> </w:t>
      </w:r>
      <w:r w:rsidRPr="002029AF">
        <w:t>these</w:t>
      </w:r>
      <w:r w:rsidR="000A5329" w:rsidRPr="002029AF">
        <w:t xml:space="preserve"> </w:t>
      </w:r>
      <w:r w:rsidRPr="002029AF">
        <w:t>consultancies</w:t>
      </w:r>
      <w:r w:rsidR="000A5329" w:rsidRPr="002029AF">
        <w:t xml:space="preserve"> </w:t>
      </w:r>
      <w:r w:rsidRPr="002029AF">
        <w:t>was</w:t>
      </w:r>
      <w:r w:rsidR="000A5329" w:rsidRPr="002029AF">
        <w:t xml:space="preserve"> </w:t>
      </w:r>
      <w:r w:rsidRPr="002029AF">
        <w:t>$42,360</w:t>
      </w:r>
      <w:r w:rsidR="000A5329" w:rsidRPr="002029AF">
        <w:t xml:space="preserve"> </w:t>
      </w:r>
      <w:r w:rsidRPr="002029AF">
        <w:t>(excluding</w:t>
      </w:r>
      <w:r w:rsidR="000A5329" w:rsidRPr="002029AF">
        <w:t xml:space="preserve"> </w:t>
      </w:r>
      <w:r w:rsidRPr="002029AF">
        <w:t>GST).</w:t>
      </w:r>
    </w:p>
    <w:p w14:paraId="6AB09019" w14:textId="4B316B00" w:rsidR="00CF72D5" w:rsidRPr="002029AF" w:rsidRDefault="00CF72D5">
      <w:pPr>
        <w:pStyle w:val="Heading3"/>
        <w:rPr>
          <w:rStyle w:val="Heading3Char"/>
          <w:bCs/>
        </w:rPr>
      </w:pPr>
      <w:bookmarkStart w:id="136" w:name="_Ref52281961"/>
      <w:r w:rsidRPr="002029AF">
        <w:rPr>
          <w:rStyle w:val="Heading3Char"/>
        </w:rPr>
        <w:t>Disclosure</w:t>
      </w:r>
      <w:r w:rsidR="000A5329" w:rsidRPr="002029AF">
        <w:rPr>
          <w:rStyle w:val="Heading3Char"/>
        </w:rPr>
        <w:t xml:space="preserve"> </w:t>
      </w:r>
      <w:r w:rsidRPr="002029AF">
        <w:rPr>
          <w:rStyle w:val="Heading3Char"/>
        </w:rPr>
        <w:t>of</w:t>
      </w:r>
      <w:r w:rsidR="000A5329" w:rsidRPr="002029AF">
        <w:rPr>
          <w:rStyle w:val="Heading3Char"/>
        </w:rPr>
        <w:t xml:space="preserve"> </w:t>
      </w:r>
      <w:r w:rsidRPr="002029AF">
        <w:rPr>
          <w:rStyle w:val="Heading3Char"/>
        </w:rPr>
        <w:t>major</w:t>
      </w:r>
      <w:r w:rsidR="000A5329" w:rsidRPr="002029AF">
        <w:rPr>
          <w:rStyle w:val="Heading3Char"/>
        </w:rPr>
        <w:t xml:space="preserve"> </w:t>
      </w:r>
      <w:r w:rsidRPr="002029AF">
        <w:rPr>
          <w:rStyle w:val="Heading3Char"/>
        </w:rPr>
        <w:t>contracts</w:t>
      </w:r>
      <w:bookmarkEnd w:id="136"/>
    </w:p>
    <w:p w14:paraId="1294FD3B" w14:textId="070259E5" w:rsidR="00CF72D5" w:rsidRPr="002029AF" w:rsidRDefault="00CF72D5">
      <w:pPr>
        <w:pStyle w:val="ARbody"/>
      </w:pP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disclosed,</w:t>
      </w:r>
      <w:r w:rsidR="000A5329" w:rsidRPr="002029AF">
        <w:t xml:space="preserve"> </w:t>
      </w:r>
      <w:r w:rsidRPr="002029AF">
        <w:t>in</w:t>
      </w:r>
      <w:r w:rsidR="000A5329" w:rsidRPr="002029AF">
        <w:t xml:space="preserve"> </w:t>
      </w:r>
      <w:r w:rsidRPr="002029AF">
        <w:t>accordance</w:t>
      </w:r>
      <w:r w:rsidR="000A5329" w:rsidRPr="002029AF">
        <w:t xml:space="preserve"> </w:t>
      </w:r>
      <w:r w:rsidRPr="002029AF">
        <w:t>with</w:t>
      </w:r>
      <w:r w:rsidR="00286264" w:rsidRPr="002029AF">
        <w:t> </w:t>
      </w:r>
      <w:r w:rsidRPr="002029AF">
        <w:t>the</w:t>
      </w:r>
      <w:r w:rsidR="000A5329" w:rsidRPr="002029AF">
        <w:t xml:space="preserve"> </w:t>
      </w:r>
      <w:r w:rsidRPr="002029AF">
        <w:t>requirements</w:t>
      </w:r>
      <w:r w:rsidR="000A5329" w:rsidRPr="002029AF">
        <w:t xml:space="preserve"> </w:t>
      </w:r>
      <w:r w:rsidRPr="002029AF">
        <w:t>of</w:t>
      </w:r>
      <w:r w:rsidR="000A5329" w:rsidRPr="002029AF">
        <w:t xml:space="preserve"> </w:t>
      </w:r>
      <w:r w:rsidRPr="002029AF">
        <w:t>government</w:t>
      </w:r>
      <w:r w:rsidR="000A5329" w:rsidRPr="002029AF">
        <w:t xml:space="preserve"> </w:t>
      </w:r>
      <w:r w:rsidRPr="002029AF">
        <w:t>policy</w:t>
      </w:r>
      <w:r w:rsidR="000A5329" w:rsidRPr="002029AF">
        <w:t xml:space="preserve"> </w:t>
      </w:r>
      <w:r w:rsidRPr="002029AF">
        <w:t>and</w:t>
      </w:r>
      <w:r w:rsidR="000A5329" w:rsidRPr="002029AF">
        <w:t xml:space="preserve"> </w:t>
      </w:r>
      <w:r w:rsidRPr="002029AF">
        <w:t>accompanying</w:t>
      </w:r>
      <w:r w:rsidR="000A5329" w:rsidRPr="002029AF">
        <w:t xml:space="preserve"> </w:t>
      </w:r>
      <w:r w:rsidRPr="002029AF">
        <w:t>guidelines,</w:t>
      </w:r>
      <w:r w:rsidR="000A5329" w:rsidRPr="002029AF">
        <w:t xml:space="preserve"> </w:t>
      </w:r>
      <w:r w:rsidRPr="002029AF">
        <w:t>all</w:t>
      </w:r>
      <w:r w:rsidR="000A5329" w:rsidRPr="002029AF">
        <w:t xml:space="preserve"> </w:t>
      </w:r>
      <w:r w:rsidRPr="002029AF">
        <w:t>contracts</w:t>
      </w:r>
      <w:r w:rsidR="000A5329" w:rsidRPr="002029AF">
        <w:t xml:space="preserve"> </w:t>
      </w:r>
      <w:r w:rsidRPr="002029AF">
        <w:t>greater</w:t>
      </w:r>
      <w:r w:rsidR="000A5329" w:rsidRPr="002029AF">
        <w:t xml:space="preserve"> </w:t>
      </w:r>
      <w:r w:rsidRPr="002029AF">
        <w:t>than</w:t>
      </w:r>
      <w:r w:rsidR="000A5329" w:rsidRPr="002029AF">
        <w:t xml:space="preserve"> </w:t>
      </w:r>
      <w:r w:rsidRPr="002029AF">
        <w:t>$10</w:t>
      </w:r>
      <w:r w:rsidR="000A5329" w:rsidRPr="002029AF">
        <w:t xml:space="preserve"> </w:t>
      </w:r>
      <w:r w:rsidRPr="002029AF">
        <w:t>million</w:t>
      </w:r>
      <w:r w:rsidR="000A5329" w:rsidRPr="002029AF">
        <w:t xml:space="preserve"> </w:t>
      </w:r>
      <w:r w:rsidRPr="002029AF">
        <w:t>in</w:t>
      </w:r>
      <w:r w:rsidR="000A5329" w:rsidRPr="002029AF">
        <w:t xml:space="preserve"> </w:t>
      </w:r>
      <w:r w:rsidRPr="002029AF">
        <w:t>value</w:t>
      </w:r>
      <w:r w:rsidR="000A5329" w:rsidRPr="002029AF">
        <w:t xml:space="preserve"> </w:t>
      </w:r>
      <w:r w:rsidRPr="002029AF">
        <w:t>entered</w:t>
      </w:r>
      <w:r w:rsidR="000A5329" w:rsidRPr="002029AF">
        <w:t xml:space="preserve"> </w:t>
      </w:r>
      <w:r w:rsidRPr="002029AF">
        <w:t>into</w:t>
      </w:r>
      <w:r w:rsidR="000A5329" w:rsidRPr="002029AF">
        <w:t xml:space="preserve"> </w:t>
      </w:r>
      <w:r w:rsidRPr="002029AF">
        <w:t>during</w:t>
      </w:r>
      <w:r w:rsidR="000A5329" w:rsidRPr="002029AF">
        <w:t xml:space="preserve"> </w:t>
      </w:r>
      <w:r w:rsidRPr="002029AF">
        <w:t>the</w:t>
      </w:r>
      <w:r w:rsidR="000A5329" w:rsidRPr="002029AF">
        <w:t xml:space="preserve"> </w:t>
      </w:r>
      <w:r w:rsidRPr="002029AF">
        <w:t>year</w:t>
      </w:r>
      <w:r w:rsidR="000A5329" w:rsidRPr="002029AF">
        <w:t xml:space="preserve"> </w:t>
      </w:r>
      <w:r w:rsidRPr="002029AF">
        <w:t>ended</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r w:rsidR="000A5329" w:rsidRPr="002029AF">
        <w:t xml:space="preserve"> </w:t>
      </w:r>
      <w:r w:rsidRPr="002029AF">
        <w:t>Details</w:t>
      </w:r>
      <w:r w:rsidR="000A5329" w:rsidRPr="002029AF">
        <w:t xml:space="preserve"> </w:t>
      </w:r>
      <w:r w:rsidRPr="002029AF">
        <w:t>of</w:t>
      </w:r>
      <w:r w:rsidR="000A5329" w:rsidRPr="002029AF">
        <w:t xml:space="preserve"> </w:t>
      </w:r>
      <w:r w:rsidRPr="002029AF">
        <w:t>contracts</w:t>
      </w:r>
      <w:r w:rsidR="000A5329" w:rsidRPr="002029AF">
        <w:t xml:space="preserve"> </w:t>
      </w:r>
      <w:r w:rsidRPr="002029AF">
        <w:t>that</w:t>
      </w:r>
      <w:r w:rsidR="000A5329" w:rsidRPr="002029AF">
        <w:t xml:space="preserve"> </w:t>
      </w:r>
      <w:r w:rsidRPr="002029AF">
        <w:t>have</w:t>
      </w:r>
      <w:r w:rsidR="00286264" w:rsidRPr="002029AF">
        <w:t> </w:t>
      </w:r>
      <w:r w:rsidRPr="002029AF">
        <w:t>been</w:t>
      </w:r>
      <w:r w:rsidR="000A5329" w:rsidRPr="002029AF">
        <w:t xml:space="preserve"> </w:t>
      </w:r>
      <w:r w:rsidRPr="002029AF">
        <w:t>disclosed</w:t>
      </w:r>
      <w:r w:rsidR="000A5329" w:rsidRPr="002029AF">
        <w:t xml:space="preserve"> </w:t>
      </w:r>
      <w:r w:rsidRPr="002029AF">
        <w:t>in</w:t>
      </w:r>
      <w:r w:rsidR="000A5329" w:rsidRPr="002029AF">
        <w:t xml:space="preserve"> </w:t>
      </w:r>
      <w:r w:rsidRPr="002029AF">
        <w:t>the</w:t>
      </w:r>
      <w:r w:rsidR="000A5329" w:rsidRPr="002029AF">
        <w:t xml:space="preserve"> </w:t>
      </w:r>
      <w:r w:rsidRPr="002029AF">
        <w:t>Victorian</w:t>
      </w:r>
      <w:r w:rsidR="000A5329" w:rsidRPr="002029AF">
        <w:t xml:space="preserve"> </w:t>
      </w:r>
      <w:r w:rsidRPr="002029AF">
        <w:t>Government</w:t>
      </w:r>
      <w:r w:rsidR="000A5329" w:rsidRPr="002029AF">
        <w:t xml:space="preserve"> </w:t>
      </w:r>
      <w:r w:rsidRPr="002029AF">
        <w:t>contracts</w:t>
      </w:r>
      <w:r w:rsidR="000A5329" w:rsidRPr="002029AF">
        <w:t xml:space="preserve"> </w:t>
      </w:r>
      <w:r w:rsidRPr="002029AF">
        <w:t>publishing</w:t>
      </w:r>
      <w:r w:rsidR="000A5329" w:rsidRPr="002029AF">
        <w:t xml:space="preserve"> </w:t>
      </w:r>
      <w:r w:rsidRPr="002029AF">
        <w:t>system</w:t>
      </w:r>
      <w:r w:rsidR="000A5329" w:rsidRPr="002029AF">
        <w:t xml:space="preserve"> </w:t>
      </w:r>
      <w:r w:rsidRPr="002029AF">
        <w:t>can</w:t>
      </w:r>
      <w:r w:rsidR="000A5329" w:rsidRPr="002029AF">
        <w:t xml:space="preserve"> </w:t>
      </w:r>
      <w:r w:rsidRPr="002029AF">
        <w:t>be</w:t>
      </w:r>
      <w:r w:rsidR="000A5329" w:rsidRPr="002029AF">
        <w:t xml:space="preserve"> </w:t>
      </w:r>
      <w:r w:rsidRPr="002029AF">
        <w:t>viewed</w:t>
      </w:r>
      <w:r w:rsidR="000A5329" w:rsidRPr="002029AF">
        <w:t xml:space="preserve"> </w:t>
      </w:r>
      <w:r w:rsidRPr="002029AF">
        <w:t>at</w:t>
      </w:r>
      <w:r w:rsidR="000A5329" w:rsidRPr="002029AF">
        <w:t xml:space="preserve"> </w:t>
      </w:r>
      <w:hyperlink r:id="rId156" w:history="1">
        <w:r w:rsidRPr="002029AF">
          <w:rPr>
            <w:rStyle w:val="Hyperlink"/>
          </w:rPr>
          <w:t>Victorian</w:t>
        </w:r>
        <w:r w:rsidR="000A5329" w:rsidRPr="002029AF">
          <w:rPr>
            <w:rStyle w:val="Hyperlink"/>
          </w:rPr>
          <w:t xml:space="preserve"> </w:t>
        </w:r>
        <w:r w:rsidRPr="002029AF">
          <w:rPr>
            <w:rStyle w:val="Hyperlink"/>
          </w:rPr>
          <w:t>Government</w:t>
        </w:r>
        <w:r w:rsidR="000A5329" w:rsidRPr="002029AF">
          <w:rPr>
            <w:rStyle w:val="Hyperlink"/>
          </w:rPr>
          <w:t xml:space="preserve"> </w:t>
        </w:r>
        <w:r w:rsidRPr="002029AF">
          <w:rPr>
            <w:rStyle w:val="Hyperlink"/>
          </w:rPr>
          <w:t>Purchasing</w:t>
        </w:r>
        <w:r w:rsidR="000A5329" w:rsidRPr="002029AF">
          <w:rPr>
            <w:rStyle w:val="Hyperlink"/>
          </w:rPr>
          <w:t xml:space="preserve"> </w:t>
        </w:r>
        <w:r w:rsidRPr="002029AF">
          <w:rPr>
            <w:rStyle w:val="Hyperlink"/>
          </w:rPr>
          <w:t>Board</w:t>
        </w:r>
      </w:hyperlink>
      <w:r w:rsidR="000A5329" w:rsidRPr="002029AF">
        <w:t xml:space="preserve"> </w:t>
      </w:r>
      <w:r w:rsidR="003048F1">
        <w:br/>
      </w:r>
      <w:r w:rsidRPr="002029AF">
        <w:t>&lt;www.</w:t>
      </w:r>
      <w:r w:rsidR="007E5A7E" w:rsidRPr="007E5A7E">
        <w:t>buyingforvic.</w:t>
      </w:r>
      <w:r w:rsidRPr="002029AF">
        <w:t>gov.au&gt;.</w:t>
      </w:r>
    </w:p>
    <w:p w14:paraId="78C3745B" w14:textId="1AA00B31" w:rsidR="00CF72D5" w:rsidRPr="002029AF" w:rsidRDefault="00CF72D5">
      <w:pPr>
        <w:pStyle w:val="ARbody"/>
      </w:pPr>
      <w:r w:rsidRPr="002029AF">
        <w:t>Contractual</w:t>
      </w:r>
      <w:r w:rsidR="000A5329" w:rsidRPr="002029AF">
        <w:t xml:space="preserve"> </w:t>
      </w:r>
      <w:r w:rsidRPr="002029AF">
        <w:t>details</w:t>
      </w:r>
      <w:r w:rsidR="000A5329" w:rsidRPr="002029AF">
        <w:t xml:space="preserve"> </w:t>
      </w:r>
      <w:r w:rsidRPr="002029AF">
        <w:t>have</w:t>
      </w:r>
      <w:r w:rsidR="000A5329" w:rsidRPr="002029AF">
        <w:t xml:space="preserve"> </w:t>
      </w:r>
      <w:r w:rsidRPr="002029AF">
        <w:t>not</w:t>
      </w:r>
      <w:r w:rsidR="000A5329" w:rsidRPr="002029AF">
        <w:t xml:space="preserve"> </w:t>
      </w:r>
      <w:r w:rsidRPr="002029AF">
        <w:t>been</w:t>
      </w:r>
      <w:r w:rsidR="000A5329" w:rsidRPr="002029AF">
        <w:t xml:space="preserve"> </w:t>
      </w:r>
      <w:r w:rsidRPr="002029AF">
        <w:t>disclosed</w:t>
      </w:r>
      <w:r w:rsidR="000A5329" w:rsidRPr="002029AF">
        <w:t xml:space="preserve"> </w:t>
      </w:r>
      <w:r w:rsidRPr="002029AF">
        <w:t>for</w:t>
      </w:r>
      <w:r w:rsidR="000A5329" w:rsidRPr="002029AF">
        <w:t xml:space="preserve"> </w:t>
      </w:r>
      <w:r w:rsidRPr="002029AF">
        <w:t>contracts</w:t>
      </w:r>
      <w:r w:rsidR="000A5329" w:rsidRPr="002029AF">
        <w:t xml:space="preserve"> </w:t>
      </w:r>
      <w:r w:rsidRPr="002029AF">
        <w:t>where</w:t>
      </w:r>
      <w:r w:rsidR="000A5329" w:rsidRPr="002029AF">
        <w:t xml:space="preserve"> </w:t>
      </w:r>
      <w:r w:rsidRPr="002029AF">
        <w:t>disclosure</w:t>
      </w:r>
      <w:r w:rsidR="000A5329" w:rsidRPr="002029AF">
        <w:t xml:space="preserve"> </w:t>
      </w:r>
      <w:r w:rsidRPr="002029AF">
        <w:t>is</w:t>
      </w:r>
      <w:r w:rsidR="000A5329" w:rsidRPr="002029AF">
        <w:t xml:space="preserve"> </w:t>
      </w:r>
      <w:r w:rsidRPr="002029AF">
        <w:t>exempted</w:t>
      </w:r>
      <w:r w:rsidR="000A5329" w:rsidRPr="002029AF">
        <w:t xml:space="preserve"> </w:t>
      </w:r>
      <w:r w:rsidRPr="002029AF">
        <w:t>under</w:t>
      </w:r>
      <w:r w:rsidR="000A5329" w:rsidRPr="002029AF">
        <w:t xml:space="preserve"> </w:t>
      </w:r>
      <w:r w:rsidRPr="002029AF">
        <w:t>the</w:t>
      </w:r>
      <w:r w:rsidR="00286264" w:rsidRPr="002029AF">
        <w:t> </w:t>
      </w:r>
      <w:r w:rsidRPr="002029AF">
        <w:t>Freedom</w:t>
      </w:r>
      <w:r w:rsidR="000A5329" w:rsidRPr="002029AF">
        <w:t xml:space="preserve"> </w:t>
      </w:r>
      <w:r w:rsidRPr="002029AF">
        <w:t>of</w:t>
      </w:r>
      <w:r w:rsidR="000A5329" w:rsidRPr="002029AF">
        <w:t xml:space="preserve"> </w:t>
      </w:r>
      <w:r w:rsidRPr="002029AF">
        <w:t>Information</w:t>
      </w:r>
      <w:r w:rsidR="000A5329" w:rsidRPr="002029AF">
        <w:t xml:space="preserve"> </w:t>
      </w:r>
      <w:r w:rsidRPr="002029AF">
        <w:t>Act</w:t>
      </w:r>
      <w:r w:rsidR="000A5329" w:rsidRPr="002029AF">
        <w:t xml:space="preserve"> </w:t>
      </w:r>
      <w:r w:rsidRPr="002029AF">
        <w:t>1982</w:t>
      </w:r>
      <w:r w:rsidR="000A5329" w:rsidRPr="002029AF">
        <w:t xml:space="preserve"> </w:t>
      </w:r>
      <w:r w:rsidRPr="002029AF">
        <w:t>and/or</w:t>
      </w:r>
      <w:r w:rsidR="000A5329" w:rsidRPr="002029AF">
        <w:t xml:space="preserve"> </w:t>
      </w:r>
      <w:r w:rsidRPr="002029AF">
        <w:t>government</w:t>
      </w:r>
      <w:r w:rsidR="000A5329" w:rsidRPr="002029AF">
        <w:t xml:space="preserve"> </w:t>
      </w:r>
      <w:r w:rsidRPr="002029AF">
        <w:t>guidelines.</w:t>
      </w:r>
    </w:p>
    <w:p w14:paraId="7D53C289" w14:textId="147F6945" w:rsidR="00CF72D5" w:rsidRPr="002029AF" w:rsidRDefault="00CF72D5" w:rsidP="00A952A7">
      <w:pPr>
        <w:pStyle w:val="Heading3"/>
        <w:spacing w:before="0"/>
        <w:rPr>
          <w:rStyle w:val="Heading3Char"/>
          <w:bCs/>
        </w:rPr>
      </w:pPr>
      <w:r w:rsidRPr="002029AF">
        <w:rPr>
          <w:rStyle w:val="Heading3Char"/>
          <w:rFonts w:asciiTheme="minorHAnsi" w:hAnsiTheme="minorHAnsi" w:cstheme="minorBidi"/>
          <w:color w:val="000000" w:themeColor="text1"/>
          <w:sz w:val="20"/>
          <w:szCs w:val="20"/>
        </w:rPr>
        <w:br w:type="column"/>
      </w:r>
      <w:r w:rsidRPr="002029AF">
        <w:rPr>
          <w:rStyle w:val="Heading3Char"/>
        </w:rPr>
        <w:t>Improving</w:t>
      </w:r>
      <w:r w:rsidR="000A5329" w:rsidRPr="002029AF">
        <w:rPr>
          <w:rStyle w:val="Heading3Char"/>
        </w:rPr>
        <w:t xml:space="preserve"> </w:t>
      </w:r>
      <w:r w:rsidRPr="002029AF">
        <w:rPr>
          <w:rStyle w:val="Heading3Char"/>
        </w:rPr>
        <w:t>procurement</w:t>
      </w:r>
      <w:r w:rsidR="000A5329" w:rsidRPr="002029AF">
        <w:rPr>
          <w:rStyle w:val="Heading3Char"/>
        </w:rPr>
        <w:t xml:space="preserve"> </w:t>
      </w:r>
      <w:r w:rsidRPr="002029AF">
        <w:rPr>
          <w:rStyle w:val="Heading3Char"/>
        </w:rPr>
        <w:t>practice</w:t>
      </w:r>
    </w:p>
    <w:p w14:paraId="115B0F2A" w14:textId="54D2D6F7" w:rsidR="00CF72D5" w:rsidRPr="002029AF" w:rsidRDefault="00CF72D5">
      <w:pPr>
        <w:pStyle w:val="ARbody"/>
      </w:pPr>
      <w:r w:rsidRPr="002029AF">
        <w:t>The</w:t>
      </w:r>
      <w:r w:rsidR="000A5329" w:rsidRPr="002029AF">
        <w:t xml:space="preserve"> </w:t>
      </w:r>
      <w:r w:rsidRPr="002029AF">
        <w:t>department</w:t>
      </w:r>
      <w:r w:rsidR="000A5329" w:rsidRPr="002029AF">
        <w:t xml:space="preserve"> </w:t>
      </w:r>
      <w:r w:rsidRPr="002029AF">
        <w:t>is</w:t>
      </w:r>
      <w:r w:rsidR="000A5329" w:rsidRPr="002029AF">
        <w:t xml:space="preserve"> </w:t>
      </w:r>
      <w:r w:rsidRPr="002029AF">
        <w:t>undertaking</w:t>
      </w:r>
      <w:r w:rsidR="000A5329" w:rsidRPr="002029AF">
        <w:t xml:space="preserve"> </w:t>
      </w:r>
      <w:r w:rsidRPr="002029AF">
        <w:t>a</w:t>
      </w:r>
      <w:r w:rsidR="000A5329" w:rsidRPr="002029AF">
        <w:t xml:space="preserve"> </w:t>
      </w:r>
      <w:r w:rsidRPr="002029AF">
        <w:t>number</w:t>
      </w:r>
      <w:r w:rsidR="000A5329" w:rsidRPr="002029AF">
        <w:t xml:space="preserve"> </w:t>
      </w:r>
      <w:r w:rsidRPr="002029AF">
        <w:t>of</w:t>
      </w:r>
      <w:r w:rsidR="000A5329" w:rsidRPr="002029AF">
        <w:t xml:space="preserve"> </w:t>
      </w:r>
      <w:r w:rsidRPr="002029AF">
        <w:t>activities</w:t>
      </w:r>
      <w:r w:rsidR="000A5329" w:rsidRPr="002029AF">
        <w:t xml:space="preserve"> </w:t>
      </w:r>
      <w:r w:rsidRPr="002029AF">
        <w:t>to</w:t>
      </w:r>
      <w:r w:rsidR="000A5329" w:rsidRPr="002029AF">
        <w:t xml:space="preserve"> </w:t>
      </w:r>
      <w:r w:rsidRPr="002029AF">
        <w:t>reduce</w:t>
      </w:r>
      <w:r w:rsidR="000A5329" w:rsidRPr="002029AF">
        <w:t xml:space="preserve"> </w:t>
      </w:r>
      <w:r w:rsidRPr="002029AF">
        <w:t>reliance</w:t>
      </w:r>
      <w:r w:rsidR="000A5329" w:rsidRPr="002029AF">
        <w:t xml:space="preserve"> </w:t>
      </w:r>
      <w:r w:rsidRPr="002029AF">
        <w:t>on</w:t>
      </w:r>
      <w:r w:rsidR="000A5329" w:rsidRPr="002029AF">
        <w:t xml:space="preserve"> </w:t>
      </w:r>
      <w:r w:rsidRPr="002029AF">
        <w:t>consultancies,</w:t>
      </w:r>
      <w:r w:rsidR="000A5329" w:rsidRPr="002029AF">
        <w:t xml:space="preserve"> </w:t>
      </w:r>
      <w:r w:rsidRPr="002029AF">
        <w:t>including</w:t>
      </w:r>
      <w:r w:rsidR="000A5329" w:rsidRPr="002029AF">
        <w:t xml:space="preserve"> </w:t>
      </w:r>
      <w:r w:rsidRPr="002029AF">
        <w:t>building</w:t>
      </w:r>
      <w:r w:rsidR="000A5329" w:rsidRPr="002029AF">
        <w:t xml:space="preserve"> </w:t>
      </w:r>
      <w:r w:rsidRPr="002029AF">
        <w:t>internal</w:t>
      </w:r>
      <w:r w:rsidR="000A5329" w:rsidRPr="002029AF">
        <w:t xml:space="preserve"> </w:t>
      </w:r>
      <w:r w:rsidRPr="002029AF">
        <w:t>capabilities</w:t>
      </w:r>
      <w:r w:rsidR="000A5329" w:rsidRPr="002029AF">
        <w:t xml:space="preserve"> </w:t>
      </w:r>
      <w:r w:rsidRPr="002029AF">
        <w:t>and</w:t>
      </w:r>
      <w:r w:rsidR="000A5329" w:rsidRPr="002029AF">
        <w:t xml:space="preserve"> </w:t>
      </w:r>
      <w:r w:rsidRPr="002029AF">
        <w:t>improvements</w:t>
      </w:r>
      <w:r w:rsidR="000A5329" w:rsidRPr="002029AF">
        <w:t xml:space="preserve"> </w:t>
      </w:r>
      <w:r w:rsidRPr="002029AF">
        <w:t>to</w:t>
      </w:r>
      <w:r w:rsidR="000A5329" w:rsidRPr="002029AF">
        <w:t xml:space="preserve"> </w:t>
      </w:r>
      <w:r w:rsidRPr="002029AF">
        <w:t>procurement</w:t>
      </w:r>
      <w:r w:rsidR="000A5329" w:rsidRPr="002029AF">
        <w:t xml:space="preserve"> </w:t>
      </w:r>
      <w:r w:rsidRPr="002029AF">
        <w:t>processes.</w:t>
      </w:r>
    </w:p>
    <w:p w14:paraId="6D616871" w14:textId="060E49DC" w:rsidR="00CF72D5" w:rsidRPr="002029AF" w:rsidRDefault="00CF72D5">
      <w:pPr>
        <w:pStyle w:val="ARbody"/>
      </w:pPr>
      <w:r w:rsidRPr="002029AF">
        <w:t>During</w:t>
      </w:r>
      <w:r w:rsidR="000A5329" w:rsidRPr="002029AF">
        <w:t xml:space="preserve"> </w:t>
      </w:r>
      <w:r w:rsidRPr="002029AF">
        <w:t>2019–20,</w:t>
      </w:r>
      <w:r w:rsidR="000A5329" w:rsidRPr="002029AF">
        <w:t xml:space="preserve"> </w:t>
      </w:r>
      <w:r w:rsidRPr="002029AF">
        <w:t>the</w:t>
      </w:r>
      <w:r w:rsidR="000A5329" w:rsidRPr="002029AF">
        <w:t xml:space="preserve"> </w:t>
      </w:r>
      <w:r w:rsidRPr="002029AF">
        <w:t>department:</w:t>
      </w:r>
    </w:p>
    <w:p w14:paraId="4CF09B01" w14:textId="348BE0A2" w:rsidR="00CF72D5" w:rsidRPr="002029AF" w:rsidRDefault="00CF72D5" w:rsidP="00897193">
      <w:pPr>
        <w:pStyle w:val="ARbullet1"/>
        <w:rPr>
          <w:rStyle w:val="Heading3Char"/>
          <w:color w:val="000000" w:themeColor="text1"/>
          <w:sz w:val="20"/>
          <w:szCs w:val="20"/>
        </w:rPr>
      </w:pPr>
      <w:r w:rsidRPr="002029AF">
        <w:rPr>
          <w:rStyle w:val="Heading3Char"/>
          <w:color w:val="000000" w:themeColor="text1"/>
          <w:sz w:val="20"/>
          <w:szCs w:val="20"/>
        </w:rPr>
        <w:t>continued</w:t>
      </w:r>
      <w:r w:rsidR="000A5329" w:rsidRPr="002029AF">
        <w:rPr>
          <w:rStyle w:val="Heading3Char"/>
          <w:color w:val="000000" w:themeColor="text1"/>
          <w:sz w:val="20"/>
          <w:szCs w:val="20"/>
        </w:rPr>
        <w:t xml:space="preserve"> </w:t>
      </w:r>
      <w:r w:rsidRPr="002029AF">
        <w:rPr>
          <w:rStyle w:val="Heading3Char"/>
          <w:color w:val="000000" w:themeColor="text1"/>
          <w:sz w:val="20"/>
          <w:szCs w:val="20"/>
        </w:rPr>
        <w:t>strong</w:t>
      </w:r>
      <w:r w:rsidR="000A5329" w:rsidRPr="002029AF">
        <w:rPr>
          <w:rStyle w:val="Heading3Char"/>
          <w:color w:val="000000" w:themeColor="text1"/>
          <w:sz w:val="20"/>
          <w:szCs w:val="20"/>
        </w:rPr>
        <w:t xml:space="preserve"> </w:t>
      </w:r>
      <w:r w:rsidRPr="002029AF">
        <w:rPr>
          <w:rStyle w:val="Heading3Char"/>
          <w:color w:val="000000" w:themeColor="text1"/>
          <w:sz w:val="20"/>
          <w:szCs w:val="20"/>
        </w:rPr>
        <w:t>management</w:t>
      </w:r>
      <w:r w:rsidR="000A5329" w:rsidRPr="002029AF">
        <w:rPr>
          <w:rStyle w:val="Heading3Char"/>
          <w:color w:val="000000" w:themeColor="text1"/>
          <w:sz w:val="20"/>
          <w:szCs w:val="20"/>
        </w:rPr>
        <w:t xml:space="preserve"> </w:t>
      </w:r>
      <w:r w:rsidRPr="002029AF">
        <w:rPr>
          <w:rStyle w:val="Heading3Char"/>
          <w:color w:val="000000" w:themeColor="text1"/>
          <w:sz w:val="20"/>
          <w:szCs w:val="20"/>
        </w:rPr>
        <w:t>of</w:t>
      </w:r>
      <w:r w:rsidR="000A5329" w:rsidRPr="002029AF">
        <w:rPr>
          <w:rStyle w:val="Heading3Char"/>
          <w:color w:val="000000" w:themeColor="text1"/>
          <w:sz w:val="20"/>
          <w:szCs w:val="20"/>
        </w:rPr>
        <w:t xml:space="preserve"> </w:t>
      </w:r>
      <w:r w:rsidRPr="002029AF">
        <w:rPr>
          <w:rStyle w:val="Heading3Char"/>
          <w:color w:val="000000" w:themeColor="text1"/>
          <w:sz w:val="20"/>
          <w:szCs w:val="20"/>
        </w:rPr>
        <w:t>consultant</w:t>
      </w:r>
      <w:r w:rsidR="000A5329" w:rsidRPr="002029AF">
        <w:rPr>
          <w:rStyle w:val="Heading3Char"/>
          <w:color w:val="000000" w:themeColor="text1"/>
          <w:sz w:val="20"/>
          <w:szCs w:val="20"/>
        </w:rPr>
        <w:t xml:space="preserve"> </w:t>
      </w:r>
      <w:r w:rsidRPr="002029AF">
        <w:rPr>
          <w:rStyle w:val="Heading3Char"/>
          <w:color w:val="000000" w:themeColor="text1"/>
          <w:sz w:val="20"/>
          <w:szCs w:val="20"/>
        </w:rPr>
        <w:t>engagements</w:t>
      </w:r>
      <w:r w:rsidR="000A5329" w:rsidRPr="002029AF">
        <w:rPr>
          <w:rStyle w:val="Heading3Char"/>
          <w:color w:val="000000" w:themeColor="text1"/>
          <w:sz w:val="20"/>
          <w:szCs w:val="20"/>
        </w:rPr>
        <w:t xml:space="preserve"> </w:t>
      </w:r>
      <w:r w:rsidRPr="002029AF">
        <w:rPr>
          <w:rStyle w:val="Heading3Char"/>
          <w:color w:val="000000" w:themeColor="text1"/>
          <w:sz w:val="20"/>
          <w:szCs w:val="20"/>
        </w:rPr>
        <w:t>through</w:t>
      </w:r>
      <w:r w:rsidR="000A5329" w:rsidRPr="002029AF">
        <w:rPr>
          <w:rStyle w:val="Heading3Char"/>
          <w:color w:val="000000" w:themeColor="text1"/>
          <w:sz w:val="20"/>
          <w:szCs w:val="20"/>
        </w:rPr>
        <w:t xml:space="preserve"> </w:t>
      </w:r>
      <w:r w:rsidRPr="002029AF">
        <w:rPr>
          <w:rStyle w:val="Heading3Char"/>
          <w:color w:val="000000" w:themeColor="text1"/>
          <w:sz w:val="20"/>
          <w:szCs w:val="20"/>
        </w:rPr>
        <w:t>the</w:t>
      </w:r>
      <w:r w:rsidR="000A5329" w:rsidRPr="002029AF">
        <w:rPr>
          <w:rStyle w:val="Heading3Char"/>
          <w:color w:val="000000" w:themeColor="text1"/>
          <w:sz w:val="20"/>
          <w:szCs w:val="20"/>
        </w:rPr>
        <w:t xml:space="preserve"> </w:t>
      </w:r>
      <w:r w:rsidRPr="002029AF">
        <w:rPr>
          <w:rStyle w:val="Heading3Char"/>
          <w:color w:val="000000" w:themeColor="text1"/>
          <w:sz w:val="20"/>
          <w:szCs w:val="20"/>
        </w:rPr>
        <w:t>department’s</w:t>
      </w:r>
      <w:r w:rsidR="000A5329" w:rsidRPr="002029AF">
        <w:rPr>
          <w:rStyle w:val="Heading3Char"/>
          <w:color w:val="000000" w:themeColor="text1"/>
          <w:sz w:val="20"/>
          <w:szCs w:val="20"/>
        </w:rPr>
        <w:t xml:space="preserve"> </w:t>
      </w:r>
      <w:r w:rsidRPr="002029AF">
        <w:rPr>
          <w:rStyle w:val="Heading3Char"/>
          <w:color w:val="000000" w:themeColor="text1"/>
          <w:sz w:val="20"/>
          <w:szCs w:val="20"/>
        </w:rPr>
        <w:t>Strategic</w:t>
      </w:r>
      <w:r w:rsidR="000A5329" w:rsidRPr="002029AF">
        <w:rPr>
          <w:rStyle w:val="Heading3Char"/>
          <w:color w:val="000000" w:themeColor="text1"/>
          <w:sz w:val="20"/>
          <w:szCs w:val="20"/>
        </w:rPr>
        <w:t xml:space="preserve"> </w:t>
      </w:r>
      <w:r w:rsidRPr="002029AF">
        <w:rPr>
          <w:rStyle w:val="Heading3Char"/>
          <w:color w:val="000000" w:themeColor="text1"/>
          <w:sz w:val="20"/>
          <w:szCs w:val="20"/>
        </w:rPr>
        <w:t>Alliance</w:t>
      </w:r>
      <w:r w:rsidR="000A5329" w:rsidRPr="002029AF">
        <w:rPr>
          <w:rStyle w:val="Heading3Char"/>
          <w:color w:val="000000" w:themeColor="text1"/>
          <w:sz w:val="20"/>
          <w:szCs w:val="20"/>
        </w:rPr>
        <w:t xml:space="preserve"> </w:t>
      </w:r>
      <w:r w:rsidRPr="002029AF">
        <w:rPr>
          <w:rStyle w:val="Heading3Char"/>
          <w:color w:val="000000" w:themeColor="text1"/>
          <w:sz w:val="20"/>
          <w:szCs w:val="20"/>
        </w:rPr>
        <w:t>framework</w:t>
      </w:r>
      <w:r w:rsidR="000A5329" w:rsidRPr="002029AF">
        <w:rPr>
          <w:rStyle w:val="Heading3Char"/>
          <w:color w:val="000000" w:themeColor="text1"/>
          <w:sz w:val="20"/>
          <w:szCs w:val="20"/>
        </w:rPr>
        <w:t xml:space="preserve"> </w:t>
      </w:r>
      <w:r w:rsidRPr="002029AF">
        <w:rPr>
          <w:rStyle w:val="Heading3Char"/>
          <w:color w:val="000000" w:themeColor="text1"/>
          <w:sz w:val="20"/>
          <w:szCs w:val="20"/>
        </w:rPr>
        <w:t>with</w:t>
      </w:r>
      <w:r w:rsidR="000A5329" w:rsidRPr="002029AF">
        <w:rPr>
          <w:rStyle w:val="Heading3Char"/>
          <w:color w:val="000000" w:themeColor="text1"/>
          <w:sz w:val="20"/>
          <w:szCs w:val="20"/>
        </w:rPr>
        <w:t xml:space="preserve"> </w:t>
      </w:r>
      <w:r w:rsidRPr="002029AF">
        <w:rPr>
          <w:rStyle w:val="Heading3Char"/>
          <w:color w:val="000000" w:themeColor="text1"/>
          <w:sz w:val="20"/>
          <w:szCs w:val="20"/>
        </w:rPr>
        <w:t>the</w:t>
      </w:r>
      <w:r w:rsidR="000A5329" w:rsidRPr="002029AF">
        <w:rPr>
          <w:rStyle w:val="Heading3Char"/>
          <w:color w:val="000000" w:themeColor="text1"/>
          <w:sz w:val="20"/>
          <w:szCs w:val="20"/>
        </w:rPr>
        <w:t xml:space="preserve"> </w:t>
      </w:r>
      <w:r w:rsidRPr="002029AF">
        <w:rPr>
          <w:rStyle w:val="Heading3Char"/>
          <w:color w:val="000000" w:themeColor="text1"/>
          <w:sz w:val="20"/>
          <w:szCs w:val="20"/>
        </w:rPr>
        <w:t>five</w:t>
      </w:r>
      <w:r w:rsidR="000A5329" w:rsidRPr="002029AF">
        <w:rPr>
          <w:rStyle w:val="Heading3Char"/>
          <w:color w:val="000000" w:themeColor="text1"/>
          <w:sz w:val="20"/>
          <w:szCs w:val="20"/>
        </w:rPr>
        <w:t xml:space="preserve"> </w:t>
      </w:r>
      <w:r w:rsidRPr="002029AF">
        <w:rPr>
          <w:rStyle w:val="Heading3Char"/>
          <w:color w:val="000000" w:themeColor="text1"/>
          <w:sz w:val="20"/>
          <w:szCs w:val="20"/>
        </w:rPr>
        <w:t>third-party</w:t>
      </w:r>
      <w:r w:rsidR="000A5329" w:rsidRPr="002029AF">
        <w:rPr>
          <w:rStyle w:val="Heading3Char"/>
          <w:color w:val="000000" w:themeColor="text1"/>
          <w:sz w:val="20"/>
          <w:szCs w:val="20"/>
        </w:rPr>
        <w:t xml:space="preserve"> </w:t>
      </w:r>
      <w:r w:rsidRPr="002029AF">
        <w:rPr>
          <w:rStyle w:val="Heading3Char"/>
          <w:color w:val="000000" w:themeColor="text1"/>
          <w:sz w:val="20"/>
          <w:szCs w:val="20"/>
        </w:rPr>
        <w:t>providers</w:t>
      </w:r>
      <w:r w:rsidR="000A5329" w:rsidRPr="002029AF">
        <w:rPr>
          <w:rStyle w:val="Heading3Char"/>
          <w:color w:val="000000" w:themeColor="text1"/>
          <w:sz w:val="20"/>
          <w:szCs w:val="20"/>
        </w:rPr>
        <w:t xml:space="preserve"> </w:t>
      </w:r>
      <w:r w:rsidRPr="002029AF">
        <w:rPr>
          <w:rStyle w:val="Heading3Char"/>
          <w:color w:val="000000" w:themeColor="text1"/>
          <w:sz w:val="20"/>
          <w:szCs w:val="20"/>
        </w:rPr>
        <w:t>across</w:t>
      </w:r>
      <w:r w:rsidR="000A5329" w:rsidRPr="002029AF">
        <w:rPr>
          <w:rStyle w:val="Heading3Char"/>
          <w:color w:val="000000" w:themeColor="text1"/>
          <w:sz w:val="20"/>
          <w:szCs w:val="20"/>
        </w:rPr>
        <w:t xml:space="preserve"> </w:t>
      </w:r>
      <w:r w:rsidRPr="002029AF">
        <w:rPr>
          <w:rStyle w:val="Heading3Char"/>
          <w:color w:val="000000" w:themeColor="text1"/>
          <w:sz w:val="20"/>
          <w:szCs w:val="20"/>
        </w:rPr>
        <w:t>the</w:t>
      </w:r>
      <w:r w:rsidR="000A5329" w:rsidRPr="002029AF">
        <w:rPr>
          <w:rStyle w:val="Heading3Char"/>
          <w:color w:val="000000" w:themeColor="text1"/>
          <w:sz w:val="20"/>
          <w:szCs w:val="20"/>
        </w:rPr>
        <w:t xml:space="preserve"> </w:t>
      </w:r>
      <w:r w:rsidRPr="002029AF">
        <w:rPr>
          <w:rStyle w:val="Heading3Char"/>
          <w:color w:val="000000" w:themeColor="text1"/>
          <w:sz w:val="20"/>
          <w:szCs w:val="20"/>
        </w:rPr>
        <w:t>health,</w:t>
      </w:r>
      <w:r w:rsidR="000A5329" w:rsidRPr="002029AF">
        <w:rPr>
          <w:rStyle w:val="Heading3Char"/>
          <w:color w:val="000000" w:themeColor="text1"/>
          <w:sz w:val="20"/>
          <w:szCs w:val="20"/>
        </w:rPr>
        <w:t xml:space="preserve"> </w:t>
      </w:r>
      <w:r w:rsidRPr="002029AF">
        <w:rPr>
          <w:rStyle w:val="Heading3Char"/>
          <w:color w:val="000000" w:themeColor="text1"/>
          <w:sz w:val="20"/>
          <w:szCs w:val="20"/>
        </w:rPr>
        <w:t>community</w:t>
      </w:r>
      <w:r w:rsidR="000A5329" w:rsidRPr="002029AF">
        <w:rPr>
          <w:rStyle w:val="Heading3Char"/>
          <w:color w:val="000000" w:themeColor="text1"/>
          <w:sz w:val="20"/>
          <w:szCs w:val="20"/>
        </w:rPr>
        <w:t xml:space="preserve"> </w:t>
      </w:r>
      <w:r w:rsidRPr="002029AF">
        <w:rPr>
          <w:rStyle w:val="Heading3Char"/>
          <w:color w:val="000000" w:themeColor="text1"/>
          <w:sz w:val="20"/>
          <w:szCs w:val="20"/>
        </w:rPr>
        <w:t>services</w:t>
      </w:r>
      <w:r w:rsidR="000A5329" w:rsidRPr="002029AF">
        <w:rPr>
          <w:rStyle w:val="Heading3Char"/>
          <w:color w:val="000000" w:themeColor="text1"/>
          <w:sz w:val="20"/>
          <w:szCs w:val="20"/>
        </w:rPr>
        <w:t xml:space="preserve"> </w:t>
      </w:r>
      <w:r w:rsidRPr="002029AF">
        <w:rPr>
          <w:rStyle w:val="Heading3Char"/>
          <w:color w:val="000000" w:themeColor="text1"/>
          <w:sz w:val="20"/>
          <w:szCs w:val="20"/>
        </w:rPr>
        <w:t>and</w:t>
      </w:r>
      <w:r w:rsidR="000A5329" w:rsidRPr="002029AF">
        <w:rPr>
          <w:rStyle w:val="Heading3Char"/>
          <w:color w:val="000000" w:themeColor="text1"/>
          <w:sz w:val="20"/>
          <w:szCs w:val="20"/>
        </w:rPr>
        <w:t xml:space="preserve"> </w:t>
      </w:r>
      <w:r w:rsidRPr="002029AF">
        <w:rPr>
          <w:rStyle w:val="Heading3Char"/>
          <w:color w:val="000000" w:themeColor="text1"/>
          <w:sz w:val="20"/>
          <w:szCs w:val="20"/>
        </w:rPr>
        <w:t>organisational</w:t>
      </w:r>
      <w:r w:rsidR="000A5329" w:rsidRPr="002029AF">
        <w:rPr>
          <w:rStyle w:val="Heading3Char"/>
          <w:color w:val="000000" w:themeColor="text1"/>
          <w:sz w:val="20"/>
          <w:szCs w:val="20"/>
        </w:rPr>
        <w:t xml:space="preserve"> </w:t>
      </w:r>
      <w:r w:rsidRPr="002029AF">
        <w:rPr>
          <w:rStyle w:val="Heading3Char"/>
          <w:color w:val="000000" w:themeColor="text1"/>
          <w:sz w:val="20"/>
          <w:szCs w:val="20"/>
        </w:rPr>
        <w:t>improvement</w:t>
      </w:r>
      <w:r w:rsidR="000A5329" w:rsidRPr="002029AF">
        <w:rPr>
          <w:rStyle w:val="Heading3Char"/>
          <w:color w:val="000000" w:themeColor="text1"/>
          <w:sz w:val="20"/>
          <w:szCs w:val="20"/>
        </w:rPr>
        <w:t xml:space="preserve"> </w:t>
      </w:r>
      <w:r w:rsidRPr="002029AF">
        <w:rPr>
          <w:rStyle w:val="Heading3Char"/>
          <w:color w:val="000000" w:themeColor="text1"/>
          <w:sz w:val="20"/>
          <w:szCs w:val="20"/>
        </w:rPr>
        <w:t>domains</w:t>
      </w:r>
      <w:r w:rsidR="000A5329" w:rsidRPr="002029AF">
        <w:rPr>
          <w:rStyle w:val="Heading3Char"/>
          <w:color w:val="000000" w:themeColor="text1"/>
          <w:sz w:val="20"/>
          <w:szCs w:val="20"/>
        </w:rPr>
        <w:t xml:space="preserve"> </w:t>
      </w:r>
      <w:r w:rsidRPr="002029AF">
        <w:rPr>
          <w:rStyle w:val="Heading3Char"/>
          <w:color w:val="000000" w:themeColor="text1"/>
          <w:sz w:val="20"/>
          <w:szCs w:val="20"/>
        </w:rPr>
        <w:t>originally</w:t>
      </w:r>
      <w:r w:rsidR="000A5329" w:rsidRPr="002029AF">
        <w:rPr>
          <w:rStyle w:val="Heading3Char"/>
          <w:color w:val="000000" w:themeColor="text1"/>
          <w:sz w:val="20"/>
          <w:szCs w:val="20"/>
        </w:rPr>
        <w:t xml:space="preserve"> </w:t>
      </w:r>
      <w:r w:rsidRPr="002029AF">
        <w:rPr>
          <w:rStyle w:val="Heading3Char"/>
          <w:color w:val="000000" w:themeColor="text1"/>
          <w:sz w:val="20"/>
          <w:szCs w:val="20"/>
        </w:rPr>
        <w:t>contracted</w:t>
      </w:r>
      <w:r w:rsidR="000A5329" w:rsidRPr="002029AF">
        <w:rPr>
          <w:rStyle w:val="Heading3Char"/>
          <w:color w:val="000000" w:themeColor="text1"/>
          <w:sz w:val="20"/>
          <w:szCs w:val="20"/>
        </w:rPr>
        <w:t xml:space="preserve"> </w:t>
      </w:r>
      <w:r w:rsidRPr="002029AF">
        <w:rPr>
          <w:rStyle w:val="Heading3Char"/>
          <w:color w:val="000000" w:themeColor="text1"/>
          <w:sz w:val="20"/>
          <w:szCs w:val="20"/>
        </w:rPr>
        <w:t>in</w:t>
      </w:r>
      <w:r w:rsidR="000A5329" w:rsidRPr="002029AF">
        <w:rPr>
          <w:rStyle w:val="Heading3Char"/>
          <w:color w:val="000000" w:themeColor="text1"/>
          <w:sz w:val="20"/>
          <w:szCs w:val="20"/>
        </w:rPr>
        <w:t xml:space="preserve"> </w:t>
      </w:r>
      <w:r w:rsidRPr="002029AF">
        <w:rPr>
          <w:rStyle w:val="Heading3Char"/>
          <w:color w:val="000000" w:themeColor="text1"/>
          <w:sz w:val="20"/>
          <w:szCs w:val="20"/>
        </w:rPr>
        <w:t>the</w:t>
      </w:r>
      <w:r w:rsidR="000A5329" w:rsidRPr="002029AF">
        <w:rPr>
          <w:rStyle w:val="Heading3Char"/>
          <w:color w:val="000000" w:themeColor="text1"/>
          <w:sz w:val="20"/>
          <w:szCs w:val="20"/>
        </w:rPr>
        <w:t xml:space="preserve"> </w:t>
      </w:r>
      <w:r w:rsidRPr="002029AF">
        <w:rPr>
          <w:rStyle w:val="Heading3Char"/>
          <w:color w:val="000000" w:themeColor="text1"/>
          <w:sz w:val="20"/>
          <w:szCs w:val="20"/>
        </w:rPr>
        <w:t>previous</w:t>
      </w:r>
      <w:r w:rsidR="000A5329" w:rsidRPr="002029AF">
        <w:rPr>
          <w:rStyle w:val="Heading3Char"/>
          <w:color w:val="000000" w:themeColor="text1"/>
          <w:sz w:val="20"/>
          <w:szCs w:val="20"/>
        </w:rPr>
        <w:t xml:space="preserve"> </w:t>
      </w:r>
      <w:r w:rsidRPr="002029AF">
        <w:rPr>
          <w:rStyle w:val="Heading3Char"/>
          <w:color w:val="000000" w:themeColor="text1"/>
          <w:sz w:val="20"/>
          <w:szCs w:val="20"/>
        </w:rPr>
        <w:t>financial</w:t>
      </w:r>
      <w:r w:rsidR="000A5329" w:rsidRPr="002029AF">
        <w:rPr>
          <w:rStyle w:val="Heading3Char"/>
          <w:color w:val="000000" w:themeColor="text1"/>
          <w:sz w:val="20"/>
          <w:szCs w:val="20"/>
        </w:rPr>
        <w:t xml:space="preserve"> </w:t>
      </w:r>
      <w:r w:rsidRPr="002029AF">
        <w:rPr>
          <w:rStyle w:val="Heading3Char"/>
          <w:color w:val="000000" w:themeColor="text1"/>
          <w:sz w:val="20"/>
          <w:szCs w:val="20"/>
        </w:rPr>
        <w:t>year.</w:t>
      </w:r>
      <w:r w:rsidR="000A5329" w:rsidRPr="002029AF">
        <w:rPr>
          <w:rStyle w:val="Heading3Char"/>
          <w:color w:val="000000" w:themeColor="text1"/>
          <w:sz w:val="20"/>
          <w:szCs w:val="20"/>
        </w:rPr>
        <w:t xml:space="preserve"> </w:t>
      </w:r>
      <w:r w:rsidRPr="002029AF">
        <w:rPr>
          <w:rStyle w:val="Heading3Char"/>
          <w:color w:val="000000" w:themeColor="text1"/>
          <w:sz w:val="20"/>
          <w:szCs w:val="20"/>
        </w:rPr>
        <w:t>The</w:t>
      </w:r>
      <w:r w:rsidR="000A5329" w:rsidRPr="002029AF">
        <w:rPr>
          <w:rStyle w:val="Heading3Char"/>
          <w:color w:val="000000" w:themeColor="text1"/>
          <w:sz w:val="20"/>
          <w:szCs w:val="20"/>
        </w:rPr>
        <w:t xml:space="preserve"> </w:t>
      </w:r>
      <w:r w:rsidRPr="002029AF">
        <w:rPr>
          <w:rStyle w:val="Heading3Char"/>
          <w:color w:val="000000" w:themeColor="text1"/>
          <w:sz w:val="20"/>
          <w:szCs w:val="20"/>
        </w:rPr>
        <w:t>details</w:t>
      </w:r>
      <w:r w:rsidR="000A5329" w:rsidRPr="002029AF">
        <w:rPr>
          <w:rStyle w:val="Heading3Char"/>
          <w:color w:val="000000" w:themeColor="text1"/>
          <w:sz w:val="20"/>
          <w:szCs w:val="20"/>
        </w:rPr>
        <w:t xml:space="preserve"> </w:t>
      </w:r>
      <w:r w:rsidRPr="002029AF">
        <w:rPr>
          <w:rStyle w:val="Heading3Char"/>
          <w:color w:val="000000" w:themeColor="text1"/>
          <w:sz w:val="20"/>
          <w:szCs w:val="20"/>
        </w:rPr>
        <w:t>of</w:t>
      </w:r>
      <w:r w:rsidR="000A5329" w:rsidRPr="002029AF">
        <w:rPr>
          <w:rStyle w:val="Heading3Char"/>
          <w:color w:val="000000" w:themeColor="text1"/>
          <w:sz w:val="20"/>
          <w:szCs w:val="20"/>
        </w:rPr>
        <w:t xml:space="preserve"> </w:t>
      </w:r>
      <w:r w:rsidRPr="002029AF">
        <w:rPr>
          <w:rStyle w:val="Heading3Char"/>
          <w:color w:val="000000" w:themeColor="text1"/>
          <w:sz w:val="20"/>
          <w:szCs w:val="20"/>
        </w:rPr>
        <w:t>work</w:t>
      </w:r>
      <w:r w:rsidR="000A5329" w:rsidRPr="002029AF">
        <w:rPr>
          <w:rStyle w:val="Heading3Char"/>
          <w:color w:val="000000" w:themeColor="text1"/>
          <w:sz w:val="20"/>
          <w:szCs w:val="20"/>
        </w:rPr>
        <w:t xml:space="preserve"> </w:t>
      </w:r>
      <w:r w:rsidRPr="002029AF">
        <w:rPr>
          <w:rStyle w:val="Heading3Char"/>
          <w:color w:val="000000" w:themeColor="text1"/>
          <w:sz w:val="20"/>
          <w:szCs w:val="20"/>
        </w:rPr>
        <w:t>undertaken</w:t>
      </w:r>
      <w:r w:rsidR="000A5329" w:rsidRPr="002029AF">
        <w:rPr>
          <w:rStyle w:val="Heading3Char"/>
          <w:color w:val="000000" w:themeColor="text1"/>
          <w:sz w:val="20"/>
          <w:szCs w:val="20"/>
        </w:rPr>
        <w:t xml:space="preserve"> </w:t>
      </w:r>
      <w:r w:rsidRPr="002029AF">
        <w:rPr>
          <w:rStyle w:val="Heading3Char"/>
          <w:color w:val="000000" w:themeColor="text1"/>
          <w:sz w:val="20"/>
          <w:szCs w:val="20"/>
        </w:rPr>
        <w:t>through</w:t>
      </w:r>
      <w:r w:rsidR="000A5329" w:rsidRPr="002029AF">
        <w:rPr>
          <w:rStyle w:val="Heading3Char"/>
          <w:color w:val="000000" w:themeColor="text1"/>
          <w:sz w:val="20"/>
          <w:szCs w:val="20"/>
        </w:rPr>
        <w:t xml:space="preserve"> </w:t>
      </w:r>
      <w:r w:rsidRPr="002029AF">
        <w:rPr>
          <w:rStyle w:val="Heading3Char"/>
          <w:color w:val="000000" w:themeColor="text1"/>
          <w:sz w:val="20"/>
          <w:szCs w:val="20"/>
        </w:rPr>
        <w:t>the</w:t>
      </w:r>
      <w:r w:rsidR="000A5329" w:rsidRPr="002029AF">
        <w:rPr>
          <w:rStyle w:val="Heading3Char"/>
          <w:color w:val="000000" w:themeColor="text1"/>
          <w:sz w:val="20"/>
          <w:szCs w:val="20"/>
        </w:rPr>
        <w:t xml:space="preserve"> </w:t>
      </w:r>
      <w:r w:rsidRPr="002029AF">
        <w:rPr>
          <w:rStyle w:val="Heading3Char"/>
          <w:color w:val="000000" w:themeColor="text1"/>
          <w:sz w:val="20"/>
          <w:szCs w:val="20"/>
        </w:rPr>
        <w:t>framework</w:t>
      </w:r>
      <w:r w:rsidR="000A5329" w:rsidRPr="002029AF">
        <w:rPr>
          <w:rStyle w:val="Heading3Char"/>
          <w:color w:val="000000" w:themeColor="text1"/>
          <w:sz w:val="20"/>
          <w:szCs w:val="20"/>
        </w:rPr>
        <w:t xml:space="preserve"> </w:t>
      </w:r>
      <w:r w:rsidRPr="002029AF">
        <w:rPr>
          <w:rStyle w:val="Heading3Char"/>
          <w:color w:val="000000" w:themeColor="text1"/>
          <w:sz w:val="20"/>
          <w:szCs w:val="20"/>
        </w:rPr>
        <w:t>and</w:t>
      </w:r>
      <w:r w:rsidR="000A5329" w:rsidRPr="002029AF">
        <w:rPr>
          <w:rStyle w:val="Heading3Char"/>
          <w:color w:val="000000" w:themeColor="text1"/>
          <w:sz w:val="20"/>
          <w:szCs w:val="20"/>
        </w:rPr>
        <w:t xml:space="preserve"> </w:t>
      </w:r>
      <w:r w:rsidRPr="002029AF">
        <w:rPr>
          <w:rStyle w:val="Heading3Char"/>
          <w:color w:val="000000" w:themeColor="text1"/>
          <w:sz w:val="20"/>
          <w:szCs w:val="20"/>
        </w:rPr>
        <w:t>payments</w:t>
      </w:r>
      <w:r w:rsidR="000A5329" w:rsidRPr="002029AF">
        <w:rPr>
          <w:rStyle w:val="Heading3Char"/>
          <w:color w:val="000000" w:themeColor="text1"/>
          <w:sz w:val="20"/>
          <w:szCs w:val="20"/>
        </w:rPr>
        <w:t xml:space="preserve"> </w:t>
      </w:r>
      <w:r w:rsidRPr="002029AF">
        <w:rPr>
          <w:rStyle w:val="Heading3Char"/>
          <w:color w:val="000000" w:themeColor="text1"/>
          <w:sz w:val="20"/>
          <w:szCs w:val="20"/>
        </w:rPr>
        <w:t>made</w:t>
      </w:r>
      <w:r w:rsidR="000A5329" w:rsidRPr="002029AF">
        <w:rPr>
          <w:rStyle w:val="Heading3Char"/>
          <w:color w:val="000000" w:themeColor="text1"/>
          <w:sz w:val="20"/>
          <w:szCs w:val="20"/>
        </w:rPr>
        <w:t xml:space="preserve"> </w:t>
      </w:r>
      <w:r w:rsidRPr="002029AF">
        <w:rPr>
          <w:rStyle w:val="Heading3Char"/>
          <w:color w:val="000000" w:themeColor="text1"/>
          <w:sz w:val="20"/>
          <w:szCs w:val="20"/>
        </w:rPr>
        <w:t>in</w:t>
      </w:r>
      <w:r w:rsidR="000A5329" w:rsidRPr="002029AF">
        <w:rPr>
          <w:rStyle w:val="Heading3Char"/>
          <w:color w:val="000000" w:themeColor="text1"/>
          <w:sz w:val="20"/>
          <w:szCs w:val="20"/>
        </w:rPr>
        <w:t xml:space="preserve"> </w:t>
      </w:r>
      <w:r w:rsidRPr="002029AF">
        <w:rPr>
          <w:rStyle w:val="Heading3Char"/>
          <w:color w:val="000000" w:themeColor="text1"/>
          <w:sz w:val="20"/>
          <w:szCs w:val="20"/>
        </w:rPr>
        <w:t>2019–20</w:t>
      </w:r>
      <w:r w:rsidR="000A5329" w:rsidRPr="002029AF">
        <w:rPr>
          <w:rStyle w:val="Heading3Char"/>
          <w:color w:val="000000" w:themeColor="text1"/>
          <w:sz w:val="20"/>
          <w:szCs w:val="20"/>
        </w:rPr>
        <w:t xml:space="preserve"> </w:t>
      </w:r>
      <w:r w:rsidRPr="002029AF">
        <w:rPr>
          <w:rStyle w:val="Heading3Char"/>
          <w:color w:val="000000" w:themeColor="text1"/>
          <w:sz w:val="20"/>
          <w:szCs w:val="20"/>
        </w:rPr>
        <w:t>are</w:t>
      </w:r>
      <w:r w:rsidR="000A5329" w:rsidRPr="002029AF">
        <w:rPr>
          <w:rStyle w:val="Heading3Char"/>
          <w:color w:val="000000" w:themeColor="text1"/>
          <w:sz w:val="20"/>
          <w:szCs w:val="20"/>
        </w:rPr>
        <w:t xml:space="preserve"> </w:t>
      </w:r>
      <w:r w:rsidRPr="002029AF">
        <w:rPr>
          <w:rStyle w:val="Heading3Char"/>
          <w:color w:val="000000" w:themeColor="text1"/>
          <w:sz w:val="20"/>
          <w:szCs w:val="20"/>
        </w:rPr>
        <w:t>included</w:t>
      </w:r>
      <w:r w:rsidR="000A5329" w:rsidRPr="002029AF">
        <w:rPr>
          <w:rStyle w:val="Heading3Char"/>
          <w:color w:val="000000" w:themeColor="text1"/>
          <w:sz w:val="20"/>
          <w:szCs w:val="20"/>
        </w:rPr>
        <w:t xml:space="preserve"> </w:t>
      </w:r>
      <w:r w:rsidRPr="002029AF">
        <w:rPr>
          <w:rStyle w:val="Heading3Char"/>
          <w:color w:val="000000" w:themeColor="text1"/>
          <w:sz w:val="20"/>
          <w:szCs w:val="20"/>
        </w:rPr>
        <w:t>in</w:t>
      </w:r>
      <w:r w:rsidR="000A5329" w:rsidRPr="002029AF">
        <w:rPr>
          <w:rStyle w:val="Heading3Char"/>
          <w:color w:val="000000" w:themeColor="text1"/>
          <w:sz w:val="20"/>
          <w:szCs w:val="20"/>
        </w:rPr>
        <w:t xml:space="preserve"> </w:t>
      </w:r>
      <w:r w:rsidRPr="002029AF">
        <w:rPr>
          <w:rStyle w:val="Heading3Char"/>
          <w:color w:val="000000" w:themeColor="text1"/>
          <w:sz w:val="20"/>
          <w:szCs w:val="20"/>
        </w:rPr>
        <w:t>the</w:t>
      </w:r>
      <w:r w:rsidR="000A5329" w:rsidRPr="002029AF">
        <w:rPr>
          <w:rStyle w:val="Heading3Char"/>
          <w:color w:val="000000" w:themeColor="text1"/>
          <w:sz w:val="20"/>
          <w:szCs w:val="20"/>
        </w:rPr>
        <w:t xml:space="preserve"> </w:t>
      </w:r>
      <w:r w:rsidRPr="002029AF">
        <w:rPr>
          <w:rStyle w:val="Heading3Char"/>
          <w:color w:val="000000" w:themeColor="text1"/>
          <w:sz w:val="20"/>
          <w:szCs w:val="20"/>
        </w:rPr>
        <w:t>first</w:t>
      </w:r>
      <w:r w:rsidR="000A5329" w:rsidRPr="002029AF">
        <w:rPr>
          <w:rStyle w:val="Heading3Char"/>
          <w:color w:val="000000" w:themeColor="text1"/>
          <w:sz w:val="20"/>
          <w:szCs w:val="20"/>
        </w:rPr>
        <w:t xml:space="preserve"> </w:t>
      </w:r>
      <w:r w:rsidRPr="002029AF">
        <w:rPr>
          <w:rStyle w:val="Heading3Char"/>
          <w:color w:val="000000" w:themeColor="text1"/>
          <w:sz w:val="20"/>
          <w:szCs w:val="20"/>
        </w:rPr>
        <w:t>part</w:t>
      </w:r>
      <w:r w:rsidR="000A5329" w:rsidRPr="002029AF">
        <w:rPr>
          <w:rStyle w:val="Heading3Char"/>
          <w:color w:val="000000" w:themeColor="text1"/>
          <w:sz w:val="20"/>
          <w:szCs w:val="20"/>
        </w:rPr>
        <w:t xml:space="preserve"> </w:t>
      </w:r>
      <w:r w:rsidRPr="002029AF">
        <w:rPr>
          <w:rStyle w:val="Heading3Char"/>
          <w:color w:val="000000" w:themeColor="text1"/>
          <w:sz w:val="20"/>
          <w:szCs w:val="20"/>
        </w:rPr>
        <w:t>of</w:t>
      </w:r>
      <w:r w:rsidR="000A5329" w:rsidRPr="002029AF">
        <w:rPr>
          <w:rStyle w:val="Heading3Char"/>
          <w:color w:val="000000" w:themeColor="text1"/>
          <w:sz w:val="20"/>
          <w:szCs w:val="20"/>
        </w:rPr>
        <w:t xml:space="preserve"> </w:t>
      </w:r>
      <w:r w:rsidRPr="002029AF">
        <w:rPr>
          <w:rStyle w:val="Heading3Char"/>
          <w:color w:val="000000" w:themeColor="text1"/>
          <w:sz w:val="20"/>
          <w:szCs w:val="20"/>
        </w:rPr>
        <w:t>the</w:t>
      </w:r>
      <w:r w:rsidR="000A5329" w:rsidRPr="002029AF">
        <w:rPr>
          <w:rStyle w:val="Heading3Char"/>
          <w:color w:val="000000" w:themeColor="text1"/>
          <w:sz w:val="20"/>
          <w:szCs w:val="20"/>
        </w:rPr>
        <w:t xml:space="preserve"> </w:t>
      </w:r>
      <w:r w:rsidRPr="002029AF">
        <w:rPr>
          <w:rStyle w:val="Heading3Char"/>
          <w:color w:val="000000" w:themeColor="text1"/>
          <w:sz w:val="20"/>
          <w:szCs w:val="20"/>
        </w:rPr>
        <w:t>report</w:t>
      </w:r>
      <w:r w:rsidR="000A5329" w:rsidRPr="002029AF">
        <w:rPr>
          <w:rStyle w:val="Heading3Char"/>
          <w:color w:val="000000" w:themeColor="text1"/>
          <w:sz w:val="20"/>
          <w:szCs w:val="20"/>
        </w:rPr>
        <w:t xml:space="preserve"> </w:t>
      </w:r>
      <w:r w:rsidRPr="002029AF">
        <w:rPr>
          <w:rStyle w:val="Heading3Char"/>
          <w:color w:val="000000" w:themeColor="text1"/>
          <w:sz w:val="20"/>
          <w:szCs w:val="20"/>
        </w:rPr>
        <w:t>below.</w:t>
      </w:r>
      <w:r w:rsidR="000A5329" w:rsidRPr="002029AF">
        <w:rPr>
          <w:rStyle w:val="Heading3Char"/>
          <w:color w:val="000000" w:themeColor="text1"/>
          <w:sz w:val="20"/>
          <w:szCs w:val="20"/>
        </w:rPr>
        <w:t xml:space="preserve"> </w:t>
      </w:r>
      <w:r w:rsidRPr="002029AF">
        <w:rPr>
          <w:rStyle w:val="Heading3Char"/>
          <w:color w:val="000000" w:themeColor="text1"/>
          <w:sz w:val="20"/>
          <w:szCs w:val="20"/>
        </w:rPr>
        <w:t>These</w:t>
      </w:r>
      <w:r w:rsidR="000A5329" w:rsidRPr="002029AF">
        <w:rPr>
          <w:rStyle w:val="Heading3Char"/>
          <w:color w:val="000000" w:themeColor="text1"/>
          <w:sz w:val="20"/>
          <w:szCs w:val="20"/>
        </w:rPr>
        <w:t xml:space="preserve"> </w:t>
      </w:r>
      <w:r w:rsidRPr="002029AF">
        <w:rPr>
          <w:rStyle w:val="Heading3Char"/>
          <w:color w:val="000000" w:themeColor="text1"/>
          <w:sz w:val="20"/>
          <w:szCs w:val="20"/>
        </w:rPr>
        <w:t>strategic</w:t>
      </w:r>
      <w:r w:rsidR="000A5329" w:rsidRPr="002029AF">
        <w:rPr>
          <w:rStyle w:val="Heading3Char"/>
          <w:color w:val="000000" w:themeColor="text1"/>
          <w:sz w:val="20"/>
          <w:szCs w:val="20"/>
        </w:rPr>
        <w:t xml:space="preserve"> </w:t>
      </w:r>
      <w:r w:rsidRPr="002029AF">
        <w:rPr>
          <w:rStyle w:val="Heading3Char"/>
          <w:color w:val="000000" w:themeColor="text1"/>
          <w:sz w:val="20"/>
          <w:szCs w:val="20"/>
        </w:rPr>
        <w:t>consultancy</w:t>
      </w:r>
      <w:r w:rsidR="000A5329" w:rsidRPr="002029AF">
        <w:rPr>
          <w:rStyle w:val="Heading3Char"/>
          <w:color w:val="000000" w:themeColor="text1"/>
          <w:sz w:val="20"/>
          <w:szCs w:val="20"/>
        </w:rPr>
        <w:t xml:space="preserve"> </w:t>
      </w:r>
      <w:r w:rsidRPr="002029AF">
        <w:rPr>
          <w:rStyle w:val="Heading3Char"/>
          <w:color w:val="000000" w:themeColor="text1"/>
          <w:sz w:val="20"/>
          <w:szCs w:val="20"/>
        </w:rPr>
        <w:t>relationships</w:t>
      </w:r>
      <w:r w:rsidR="000A5329" w:rsidRPr="002029AF">
        <w:rPr>
          <w:rStyle w:val="Heading3Char"/>
          <w:color w:val="000000" w:themeColor="text1"/>
          <w:sz w:val="20"/>
          <w:szCs w:val="20"/>
        </w:rPr>
        <w:t xml:space="preserve"> </w:t>
      </w:r>
      <w:r w:rsidRPr="002029AF">
        <w:rPr>
          <w:rStyle w:val="Heading3Char"/>
          <w:color w:val="000000" w:themeColor="text1"/>
          <w:sz w:val="20"/>
          <w:szCs w:val="20"/>
        </w:rPr>
        <w:t>were</w:t>
      </w:r>
      <w:r w:rsidR="000A5329" w:rsidRPr="002029AF">
        <w:rPr>
          <w:rStyle w:val="Heading3Char"/>
          <w:color w:val="000000" w:themeColor="text1"/>
          <w:sz w:val="20"/>
          <w:szCs w:val="20"/>
        </w:rPr>
        <w:t xml:space="preserve"> </w:t>
      </w:r>
      <w:r w:rsidRPr="002029AF">
        <w:rPr>
          <w:rStyle w:val="Heading3Char"/>
          <w:color w:val="000000" w:themeColor="text1"/>
          <w:sz w:val="20"/>
          <w:szCs w:val="20"/>
        </w:rPr>
        <w:t>leveraged</w:t>
      </w:r>
      <w:r w:rsidR="000A5329" w:rsidRPr="002029AF">
        <w:rPr>
          <w:rStyle w:val="Heading3Char"/>
          <w:color w:val="000000" w:themeColor="text1"/>
          <w:sz w:val="20"/>
          <w:szCs w:val="20"/>
        </w:rPr>
        <w:t xml:space="preserve"> </w:t>
      </w:r>
      <w:r w:rsidRPr="002029AF">
        <w:rPr>
          <w:rStyle w:val="Heading3Char"/>
          <w:color w:val="000000" w:themeColor="text1"/>
          <w:sz w:val="20"/>
          <w:szCs w:val="20"/>
        </w:rPr>
        <w:t>to</w:t>
      </w:r>
      <w:r w:rsidR="000A5329" w:rsidRPr="002029AF">
        <w:rPr>
          <w:rStyle w:val="Heading3Char"/>
          <w:color w:val="000000" w:themeColor="text1"/>
          <w:sz w:val="20"/>
          <w:szCs w:val="20"/>
        </w:rPr>
        <w:t xml:space="preserve"> </w:t>
      </w:r>
      <w:r w:rsidRPr="002029AF">
        <w:rPr>
          <w:rStyle w:val="Heading3Char"/>
          <w:color w:val="000000" w:themeColor="text1"/>
          <w:sz w:val="20"/>
          <w:szCs w:val="20"/>
        </w:rPr>
        <w:t>support</w:t>
      </w:r>
      <w:r w:rsidR="000A5329" w:rsidRPr="002029AF">
        <w:rPr>
          <w:rStyle w:val="Heading3Char"/>
          <w:color w:val="000000" w:themeColor="text1"/>
          <w:sz w:val="20"/>
          <w:szCs w:val="20"/>
        </w:rPr>
        <w:t xml:space="preserve"> </w:t>
      </w:r>
      <w:r w:rsidRPr="002029AF">
        <w:rPr>
          <w:rStyle w:val="Heading3Char"/>
          <w:color w:val="000000" w:themeColor="text1"/>
          <w:sz w:val="20"/>
          <w:szCs w:val="20"/>
        </w:rPr>
        <w:t>capability</w:t>
      </w:r>
      <w:r w:rsidR="000A5329" w:rsidRPr="002029AF">
        <w:rPr>
          <w:rStyle w:val="Heading3Char"/>
          <w:color w:val="000000" w:themeColor="text1"/>
          <w:sz w:val="20"/>
          <w:szCs w:val="20"/>
        </w:rPr>
        <w:t xml:space="preserve"> </w:t>
      </w:r>
      <w:r w:rsidRPr="002029AF">
        <w:rPr>
          <w:rStyle w:val="Heading3Char"/>
          <w:color w:val="000000" w:themeColor="text1"/>
          <w:sz w:val="20"/>
          <w:szCs w:val="20"/>
        </w:rPr>
        <w:t>uplift</w:t>
      </w:r>
      <w:r w:rsidR="000A5329" w:rsidRPr="002029AF">
        <w:rPr>
          <w:rStyle w:val="Heading3Char"/>
          <w:color w:val="000000" w:themeColor="text1"/>
          <w:sz w:val="20"/>
          <w:szCs w:val="20"/>
        </w:rPr>
        <w:t xml:space="preserve"> </w:t>
      </w:r>
      <w:r w:rsidRPr="002029AF">
        <w:rPr>
          <w:rStyle w:val="Heading3Char"/>
          <w:color w:val="000000" w:themeColor="text1"/>
          <w:sz w:val="20"/>
          <w:szCs w:val="20"/>
        </w:rPr>
        <w:t>of</w:t>
      </w:r>
      <w:r w:rsidR="000A5329" w:rsidRPr="002029AF">
        <w:rPr>
          <w:rStyle w:val="Heading3Char"/>
          <w:color w:val="000000" w:themeColor="text1"/>
          <w:sz w:val="20"/>
          <w:szCs w:val="20"/>
        </w:rPr>
        <w:t xml:space="preserve"> </w:t>
      </w:r>
      <w:r w:rsidRPr="002029AF">
        <w:rPr>
          <w:rStyle w:val="Heading3Char"/>
          <w:color w:val="000000" w:themeColor="text1"/>
          <w:sz w:val="20"/>
          <w:szCs w:val="20"/>
        </w:rPr>
        <w:t>our</w:t>
      </w:r>
      <w:r w:rsidR="000A5329" w:rsidRPr="002029AF">
        <w:rPr>
          <w:rStyle w:val="Heading3Char"/>
          <w:color w:val="000000" w:themeColor="text1"/>
          <w:sz w:val="20"/>
          <w:szCs w:val="20"/>
        </w:rPr>
        <w:t xml:space="preserve"> </w:t>
      </w:r>
      <w:r w:rsidRPr="002029AF">
        <w:rPr>
          <w:rStyle w:val="Heading3Char"/>
          <w:color w:val="000000" w:themeColor="text1"/>
          <w:sz w:val="20"/>
          <w:szCs w:val="20"/>
        </w:rPr>
        <w:t>people</w:t>
      </w:r>
      <w:r w:rsidR="000A5329" w:rsidRPr="002029AF">
        <w:rPr>
          <w:rStyle w:val="Heading3Char"/>
          <w:color w:val="000000" w:themeColor="text1"/>
          <w:sz w:val="20"/>
          <w:szCs w:val="20"/>
        </w:rPr>
        <w:t xml:space="preserve"> </w:t>
      </w:r>
      <w:r w:rsidRPr="002029AF">
        <w:rPr>
          <w:rStyle w:val="Heading3Char"/>
          <w:color w:val="000000" w:themeColor="text1"/>
          <w:sz w:val="20"/>
          <w:szCs w:val="20"/>
        </w:rPr>
        <w:t>and</w:t>
      </w:r>
      <w:r w:rsidR="000A5329" w:rsidRPr="002029AF">
        <w:rPr>
          <w:rStyle w:val="Heading3Char"/>
          <w:color w:val="000000" w:themeColor="text1"/>
          <w:sz w:val="20"/>
          <w:szCs w:val="20"/>
        </w:rPr>
        <w:t xml:space="preserve"> </w:t>
      </w:r>
      <w:r w:rsidRPr="002029AF">
        <w:rPr>
          <w:rStyle w:val="Heading3Char"/>
          <w:color w:val="000000" w:themeColor="text1"/>
          <w:sz w:val="20"/>
          <w:szCs w:val="20"/>
        </w:rPr>
        <w:t>the</w:t>
      </w:r>
      <w:r w:rsidR="000A5329" w:rsidRPr="002029AF">
        <w:rPr>
          <w:rStyle w:val="Heading3Char"/>
          <w:color w:val="000000" w:themeColor="text1"/>
          <w:sz w:val="20"/>
          <w:szCs w:val="20"/>
        </w:rPr>
        <w:t xml:space="preserve"> </w:t>
      </w:r>
      <w:r w:rsidRPr="002029AF">
        <w:rPr>
          <w:rStyle w:val="Heading3Char"/>
          <w:color w:val="000000" w:themeColor="text1"/>
          <w:sz w:val="20"/>
          <w:szCs w:val="20"/>
        </w:rPr>
        <w:t>transformational</w:t>
      </w:r>
      <w:r w:rsidR="000A5329" w:rsidRPr="002029AF">
        <w:rPr>
          <w:rStyle w:val="Heading3Char"/>
          <w:color w:val="000000" w:themeColor="text1"/>
          <w:sz w:val="20"/>
          <w:szCs w:val="20"/>
        </w:rPr>
        <w:t xml:space="preserve"> </w:t>
      </w:r>
      <w:r w:rsidRPr="002029AF">
        <w:rPr>
          <w:rStyle w:val="Heading3Char"/>
          <w:color w:val="000000" w:themeColor="text1"/>
          <w:sz w:val="20"/>
          <w:szCs w:val="20"/>
        </w:rPr>
        <w:t>change</w:t>
      </w:r>
      <w:r w:rsidR="000A5329" w:rsidRPr="002029AF">
        <w:rPr>
          <w:rStyle w:val="Heading3Char"/>
          <w:color w:val="000000" w:themeColor="text1"/>
          <w:sz w:val="20"/>
          <w:szCs w:val="20"/>
        </w:rPr>
        <w:t xml:space="preserve"> </w:t>
      </w:r>
      <w:r w:rsidRPr="002029AF">
        <w:rPr>
          <w:rStyle w:val="Heading3Char"/>
          <w:color w:val="000000" w:themeColor="text1"/>
          <w:sz w:val="20"/>
          <w:szCs w:val="20"/>
        </w:rPr>
        <w:t>of</w:t>
      </w:r>
      <w:r w:rsidR="000A5329" w:rsidRPr="002029AF">
        <w:rPr>
          <w:rStyle w:val="Heading3Char"/>
          <w:color w:val="000000" w:themeColor="text1"/>
          <w:sz w:val="20"/>
          <w:szCs w:val="20"/>
        </w:rPr>
        <w:t xml:space="preserve"> </w:t>
      </w:r>
      <w:r w:rsidRPr="002029AF">
        <w:rPr>
          <w:rStyle w:val="Heading3Char"/>
          <w:color w:val="000000" w:themeColor="text1"/>
          <w:sz w:val="20"/>
          <w:szCs w:val="20"/>
        </w:rPr>
        <w:t>the</w:t>
      </w:r>
      <w:r w:rsidR="000A5329" w:rsidRPr="002029AF">
        <w:rPr>
          <w:rStyle w:val="Heading3Char"/>
          <w:color w:val="000000" w:themeColor="text1"/>
          <w:sz w:val="20"/>
          <w:szCs w:val="20"/>
        </w:rPr>
        <w:t xml:space="preserve"> </w:t>
      </w:r>
      <w:r w:rsidRPr="002029AF">
        <w:rPr>
          <w:rStyle w:val="Heading3Char"/>
          <w:color w:val="000000" w:themeColor="text1"/>
          <w:sz w:val="20"/>
          <w:szCs w:val="20"/>
        </w:rPr>
        <w:t>department</w:t>
      </w:r>
      <w:r w:rsidR="000A5329" w:rsidRPr="002029AF">
        <w:rPr>
          <w:rStyle w:val="Heading3Char"/>
          <w:color w:val="000000" w:themeColor="text1"/>
          <w:sz w:val="20"/>
          <w:szCs w:val="20"/>
        </w:rPr>
        <w:t xml:space="preserve"> </w:t>
      </w:r>
      <w:r w:rsidRPr="002029AF">
        <w:rPr>
          <w:rStyle w:val="Heading3Char"/>
          <w:color w:val="000000" w:themeColor="text1"/>
          <w:sz w:val="20"/>
          <w:szCs w:val="20"/>
        </w:rPr>
        <w:t>and</w:t>
      </w:r>
      <w:r w:rsidR="00286264" w:rsidRPr="002029AF">
        <w:rPr>
          <w:rStyle w:val="Heading3Char"/>
          <w:color w:val="000000" w:themeColor="text1"/>
          <w:sz w:val="20"/>
          <w:szCs w:val="20"/>
        </w:rPr>
        <w:t> </w:t>
      </w:r>
      <w:r w:rsidRPr="002029AF">
        <w:rPr>
          <w:rStyle w:val="Heading3Char"/>
          <w:color w:val="000000" w:themeColor="text1"/>
          <w:sz w:val="20"/>
          <w:szCs w:val="20"/>
        </w:rPr>
        <w:t>our</w:t>
      </w:r>
      <w:r w:rsidR="000A5329" w:rsidRPr="002029AF">
        <w:rPr>
          <w:rStyle w:val="Heading3Char"/>
          <w:color w:val="000000" w:themeColor="text1"/>
          <w:sz w:val="20"/>
          <w:szCs w:val="20"/>
        </w:rPr>
        <w:t xml:space="preserve"> </w:t>
      </w:r>
      <w:r w:rsidRPr="002029AF">
        <w:rPr>
          <w:rStyle w:val="Heading3Char"/>
          <w:color w:val="000000" w:themeColor="text1"/>
          <w:sz w:val="20"/>
          <w:szCs w:val="20"/>
        </w:rPr>
        <w:t>services,</w:t>
      </w:r>
      <w:r w:rsidR="000A5329" w:rsidRPr="002029AF">
        <w:rPr>
          <w:rStyle w:val="Heading3Char"/>
          <w:color w:val="000000" w:themeColor="text1"/>
          <w:sz w:val="20"/>
          <w:szCs w:val="20"/>
        </w:rPr>
        <w:t xml:space="preserve"> </w:t>
      </w:r>
      <w:r w:rsidRPr="002029AF">
        <w:rPr>
          <w:rStyle w:val="Heading3Char"/>
          <w:color w:val="000000" w:themeColor="text1"/>
          <w:sz w:val="20"/>
          <w:szCs w:val="20"/>
        </w:rPr>
        <w:t>as</w:t>
      </w:r>
      <w:r w:rsidR="000A5329" w:rsidRPr="002029AF">
        <w:rPr>
          <w:rStyle w:val="Heading3Char"/>
          <w:color w:val="000000" w:themeColor="text1"/>
          <w:sz w:val="20"/>
          <w:szCs w:val="20"/>
        </w:rPr>
        <w:t xml:space="preserve"> </w:t>
      </w:r>
      <w:r w:rsidRPr="002029AF">
        <w:rPr>
          <w:rStyle w:val="Heading3Char"/>
          <w:color w:val="000000" w:themeColor="text1"/>
          <w:sz w:val="20"/>
          <w:szCs w:val="20"/>
        </w:rPr>
        <w:t>well</w:t>
      </w:r>
      <w:r w:rsidR="000A5329" w:rsidRPr="002029AF">
        <w:rPr>
          <w:rStyle w:val="Heading3Char"/>
          <w:color w:val="000000" w:themeColor="text1"/>
          <w:sz w:val="20"/>
          <w:szCs w:val="20"/>
        </w:rPr>
        <w:t xml:space="preserve"> </w:t>
      </w:r>
      <w:r w:rsidRPr="002029AF">
        <w:rPr>
          <w:rStyle w:val="Heading3Char"/>
          <w:color w:val="000000" w:themeColor="text1"/>
          <w:sz w:val="20"/>
          <w:szCs w:val="20"/>
        </w:rPr>
        <w:t>as</w:t>
      </w:r>
      <w:r w:rsidR="000A5329" w:rsidRPr="002029AF">
        <w:rPr>
          <w:rStyle w:val="Heading3Char"/>
          <w:color w:val="000000" w:themeColor="text1"/>
          <w:sz w:val="20"/>
          <w:szCs w:val="20"/>
        </w:rPr>
        <w:t xml:space="preserve"> </w:t>
      </w:r>
      <w:r w:rsidRPr="002029AF">
        <w:rPr>
          <w:rStyle w:val="Heading3Char"/>
          <w:color w:val="000000" w:themeColor="text1"/>
          <w:sz w:val="20"/>
          <w:szCs w:val="20"/>
        </w:rPr>
        <w:t>to</w:t>
      </w:r>
      <w:r w:rsidR="000A5329" w:rsidRPr="002029AF">
        <w:rPr>
          <w:rStyle w:val="Heading3Char"/>
          <w:color w:val="000000" w:themeColor="text1"/>
          <w:sz w:val="20"/>
          <w:szCs w:val="20"/>
        </w:rPr>
        <w:t xml:space="preserve"> </w:t>
      </w:r>
      <w:r w:rsidRPr="002029AF">
        <w:rPr>
          <w:rStyle w:val="Heading3Char"/>
          <w:color w:val="000000" w:themeColor="text1"/>
          <w:sz w:val="20"/>
          <w:szCs w:val="20"/>
        </w:rPr>
        <w:t>improve</w:t>
      </w:r>
      <w:r w:rsidR="000A5329" w:rsidRPr="002029AF">
        <w:rPr>
          <w:rStyle w:val="Heading3Char"/>
          <w:color w:val="000000" w:themeColor="text1"/>
          <w:sz w:val="20"/>
          <w:szCs w:val="20"/>
        </w:rPr>
        <w:t xml:space="preserve"> </w:t>
      </w:r>
      <w:r w:rsidRPr="002029AF">
        <w:rPr>
          <w:rStyle w:val="Heading3Char"/>
          <w:color w:val="000000" w:themeColor="text1"/>
          <w:sz w:val="20"/>
          <w:szCs w:val="20"/>
        </w:rPr>
        <w:t>the</w:t>
      </w:r>
      <w:r w:rsidR="000A5329" w:rsidRPr="002029AF">
        <w:rPr>
          <w:rStyle w:val="Heading3Char"/>
          <w:color w:val="000000" w:themeColor="text1"/>
          <w:sz w:val="20"/>
          <w:szCs w:val="20"/>
        </w:rPr>
        <w:t xml:space="preserve"> </w:t>
      </w:r>
      <w:r w:rsidRPr="002029AF">
        <w:rPr>
          <w:rStyle w:val="Heading3Char"/>
          <w:color w:val="000000" w:themeColor="text1"/>
          <w:sz w:val="20"/>
          <w:szCs w:val="20"/>
        </w:rPr>
        <w:t>quality</w:t>
      </w:r>
      <w:r w:rsidR="000A5329" w:rsidRPr="002029AF">
        <w:rPr>
          <w:rStyle w:val="Heading3Char"/>
          <w:color w:val="000000" w:themeColor="text1"/>
          <w:sz w:val="20"/>
          <w:szCs w:val="20"/>
        </w:rPr>
        <w:t xml:space="preserve"> </w:t>
      </w:r>
      <w:r w:rsidRPr="002029AF">
        <w:rPr>
          <w:rStyle w:val="Heading3Char"/>
          <w:color w:val="000000" w:themeColor="text1"/>
          <w:sz w:val="20"/>
          <w:szCs w:val="20"/>
        </w:rPr>
        <w:t>of</w:t>
      </w:r>
      <w:r w:rsidR="000A5329" w:rsidRPr="002029AF">
        <w:rPr>
          <w:rStyle w:val="Heading3Char"/>
          <w:color w:val="000000" w:themeColor="text1"/>
          <w:sz w:val="20"/>
          <w:szCs w:val="20"/>
        </w:rPr>
        <w:t xml:space="preserve"> </w:t>
      </w:r>
      <w:r w:rsidRPr="002029AF">
        <w:rPr>
          <w:rStyle w:val="Heading3Char"/>
          <w:color w:val="000000" w:themeColor="text1"/>
          <w:sz w:val="20"/>
          <w:szCs w:val="20"/>
        </w:rPr>
        <w:t>the</w:t>
      </w:r>
      <w:r w:rsidR="000A5329" w:rsidRPr="002029AF">
        <w:rPr>
          <w:rStyle w:val="Heading3Char"/>
          <w:color w:val="000000" w:themeColor="text1"/>
          <w:sz w:val="20"/>
          <w:szCs w:val="20"/>
        </w:rPr>
        <w:t xml:space="preserve"> </w:t>
      </w:r>
      <w:r w:rsidRPr="002029AF">
        <w:rPr>
          <w:rStyle w:val="Heading3Char"/>
          <w:color w:val="000000" w:themeColor="text1"/>
          <w:sz w:val="20"/>
          <w:szCs w:val="20"/>
        </w:rPr>
        <w:t>strategic</w:t>
      </w:r>
      <w:r w:rsidR="000A5329" w:rsidRPr="002029AF">
        <w:rPr>
          <w:rStyle w:val="Heading3Char"/>
          <w:color w:val="000000" w:themeColor="text1"/>
          <w:sz w:val="20"/>
          <w:szCs w:val="20"/>
        </w:rPr>
        <w:t xml:space="preserve"> </w:t>
      </w:r>
      <w:r w:rsidRPr="002029AF">
        <w:rPr>
          <w:rStyle w:val="Heading3Char"/>
          <w:color w:val="000000" w:themeColor="text1"/>
          <w:sz w:val="20"/>
          <w:szCs w:val="20"/>
        </w:rPr>
        <w:t>advice</w:t>
      </w:r>
      <w:r w:rsidR="000A5329" w:rsidRPr="002029AF">
        <w:rPr>
          <w:rStyle w:val="Heading3Char"/>
          <w:color w:val="000000" w:themeColor="text1"/>
          <w:sz w:val="20"/>
          <w:szCs w:val="20"/>
        </w:rPr>
        <w:t xml:space="preserve"> </w:t>
      </w:r>
      <w:r w:rsidRPr="002029AF">
        <w:rPr>
          <w:rStyle w:val="Heading3Char"/>
          <w:color w:val="000000" w:themeColor="text1"/>
          <w:sz w:val="20"/>
          <w:szCs w:val="20"/>
        </w:rPr>
        <w:t>we</w:t>
      </w:r>
      <w:r w:rsidR="000A5329" w:rsidRPr="002029AF">
        <w:rPr>
          <w:rStyle w:val="Heading3Char"/>
          <w:color w:val="000000" w:themeColor="text1"/>
          <w:sz w:val="20"/>
          <w:szCs w:val="20"/>
        </w:rPr>
        <w:t xml:space="preserve"> </w:t>
      </w:r>
      <w:r w:rsidRPr="002029AF">
        <w:rPr>
          <w:rStyle w:val="Heading3Char"/>
          <w:color w:val="000000" w:themeColor="text1"/>
          <w:sz w:val="20"/>
          <w:szCs w:val="20"/>
        </w:rPr>
        <w:t>received</w:t>
      </w:r>
    </w:p>
    <w:p w14:paraId="45775B31" w14:textId="43FC630D" w:rsidR="00CF72D5" w:rsidRPr="002029AF" w:rsidRDefault="00CF72D5">
      <w:pPr>
        <w:pStyle w:val="ARbullet1"/>
        <w:rPr>
          <w:rStyle w:val="Heading3Char"/>
          <w:color w:val="000000" w:themeColor="text1"/>
          <w:sz w:val="20"/>
          <w:szCs w:val="20"/>
        </w:rPr>
      </w:pPr>
      <w:r w:rsidRPr="002029AF">
        <w:rPr>
          <w:rStyle w:val="Heading3Char"/>
          <w:color w:val="000000" w:themeColor="text1"/>
          <w:sz w:val="20"/>
          <w:szCs w:val="20"/>
        </w:rPr>
        <w:t>established</w:t>
      </w:r>
      <w:r w:rsidR="000A5329" w:rsidRPr="002029AF">
        <w:rPr>
          <w:rStyle w:val="Heading3Char"/>
          <w:color w:val="000000" w:themeColor="text1"/>
          <w:sz w:val="20"/>
          <w:szCs w:val="20"/>
        </w:rPr>
        <w:t xml:space="preserve"> </w:t>
      </w:r>
      <w:r w:rsidRPr="002029AF">
        <w:rPr>
          <w:rStyle w:val="Heading3Char"/>
          <w:color w:val="000000" w:themeColor="text1"/>
          <w:sz w:val="20"/>
          <w:szCs w:val="20"/>
        </w:rPr>
        <w:t>a</w:t>
      </w:r>
      <w:r w:rsidR="000A5329" w:rsidRPr="002029AF">
        <w:rPr>
          <w:rStyle w:val="Heading3Char"/>
          <w:color w:val="000000" w:themeColor="text1"/>
          <w:sz w:val="20"/>
          <w:szCs w:val="20"/>
        </w:rPr>
        <w:t xml:space="preserve"> </w:t>
      </w:r>
      <w:r w:rsidRPr="002029AF">
        <w:rPr>
          <w:rStyle w:val="Heading3Char"/>
          <w:color w:val="000000" w:themeColor="text1"/>
          <w:sz w:val="20"/>
          <w:szCs w:val="20"/>
        </w:rPr>
        <w:t>number</w:t>
      </w:r>
      <w:r w:rsidR="000A5329" w:rsidRPr="002029AF">
        <w:rPr>
          <w:rStyle w:val="Heading3Char"/>
          <w:color w:val="000000" w:themeColor="text1"/>
          <w:sz w:val="20"/>
          <w:szCs w:val="20"/>
        </w:rPr>
        <w:t xml:space="preserve"> </w:t>
      </w:r>
      <w:r w:rsidRPr="002029AF">
        <w:rPr>
          <w:rStyle w:val="Heading3Char"/>
          <w:color w:val="000000" w:themeColor="text1"/>
          <w:sz w:val="20"/>
          <w:szCs w:val="20"/>
        </w:rPr>
        <w:t>of</w:t>
      </w:r>
      <w:r w:rsidR="000A5329" w:rsidRPr="002029AF">
        <w:rPr>
          <w:rStyle w:val="Heading3Char"/>
          <w:color w:val="000000" w:themeColor="text1"/>
          <w:sz w:val="20"/>
          <w:szCs w:val="20"/>
        </w:rPr>
        <w:t xml:space="preserve"> </w:t>
      </w:r>
      <w:r w:rsidRPr="002029AF">
        <w:rPr>
          <w:rStyle w:val="Heading3Char"/>
          <w:color w:val="000000" w:themeColor="text1"/>
          <w:sz w:val="20"/>
          <w:szCs w:val="20"/>
        </w:rPr>
        <w:t>‘free</w:t>
      </w:r>
      <w:r w:rsidR="000A5329" w:rsidRPr="002029AF">
        <w:rPr>
          <w:rStyle w:val="Heading3Char"/>
          <w:color w:val="000000" w:themeColor="text1"/>
          <w:sz w:val="20"/>
          <w:szCs w:val="20"/>
        </w:rPr>
        <w:t xml:space="preserve"> </w:t>
      </w:r>
      <w:r w:rsidRPr="002029AF">
        <w:rPr>
          <w:rStyle w:val="Heading3Char"/>
          <w:color w:val="000000" w:themeColor="text1"/>
          <w:sz w:val="20"/>
          <w:szCs w:val="20"/>
        </w:rPr>
        <w:t>agent’</w:t>
      </w:r>
      <w:r w:rsidR="000A5329" w:rsidRPr="002029AF">
        <w:rPr>
          <w:rStyle w:val="Heading3Char"/>
          <w:color w:val="000000" w:themeColor="text1"/>
          <w:sz w:val="20"/>
          <w:szCs w:val="20"/>
        </w:rPr>
        <w:t xml:space="preserve"> </w:t>
      </w:r>
      <w:r w:rsidRPr="002029AF">
        <w:rPr>
          <w:rStyle w:val="Heading3Char"/>
          <w:color w:val="000000" w:themeColor="text1"/>
          <w:sz w:val="20"/>
          <w:szCs w:val="20"/>
        </w:rPr>
        <w:t>DHHS</w:t>
      </w:r>
      <w:r w:rsidR="000A5329" w:rsidRPr="002029AF">
        <w:rPr>
          <w:rStyle w:val="Heading3Char"/>
          <w:color w:val="000000" w:themeColor="text1"/>
          <w:sz w:val="20"/>
          <w:szCs w:val="20"/>
        </w:rPr>
        <w:t xml:space="preserve"> </w:t>
      </w:r>
      <w:r w:rsidRPr="002029AF">
        <w:rPr>
          <w:rStyle w:val="Heading3Char"/>
          <w:color w:val="000000" w:themeColor="text1"/>
          <w:sz w:val="20"/>
          <w:szCs w:val="20"/>
        </w:rPr>
        <w:t>staff</w:t>
      </w:r>
      <w:r w:rsidR="000A5329" w:rsidRPr="002029AF">
        <w:rPr>
          <w:rStyle w:val="Heading3Char"/>
          <w:color w:val="000000" w:themeColor="text1"/>
          <w:sz w:val="20"/>
          <w:szCs w:val="20"/>
        </w:rPr>
        <w:t xml:space="preserve"> </w:t>
      </w:r>
      <w:r w:rsidRPr="002029AF">
        <w:rPr>
          <w:rStyle w:val="Heading3Char"/>
          <w:color w:val="000000" w:themeColor="text1"/>
          <w:sz w:val="20"/>
          <w:szCs w:val="20"/>
        </w:rPr>
        <w:t>who</w:t>
      </w:r>
      <w:r w:rsidR="000A5329" w:rsidRPr="002029AF">
        <w:rPr>
          <w:rStyle w:val="Heading3Char"/>
          <w:color w:val="000000" w:themeColor="text1"/>
          <w:sz w:val="20"/>
          <w:szCs w:val="20"/>
        </w:rPr>
        <w:t xml:space="preserve"> </w:t>
      </w:r>
      <w:r w:rsidRPr="002029AF">
        <w:rPr>
          <w:rStyle w:val="Heading3Char"/>
          <w:color w:val="000000" w:themeColor="text1"/>
          <w:sz w:val="20"/>
          <w:szCs w:val="20"/>
        </w:rPr>
        <w:t>have</w:t>
      </w:r>
      <w:r w:rsidR="000A5329" w:rsidRPr="002029AF">
        <w:rPr>
          <w:rStyle w:val="Heading3Char"/>
          <w:color w:val="000000" w:themeColor="text1"/>
          <w:sz w:val="20"/>
          <w:szCs w:val="20"/>
        </w:rPr>
        <w:t xml:space="preserve"> </w:t>
      </w:r>
      <w:r w:rsidRPr="002029AF">
        <w:rPr>
          <w:rStyle w:val="Heading3Char"/>
          <w:color w:val="000000" w:themeColor="text1"/>
          <w:sz w:val="20"/>
          <w:szCs w:val="20"/>
        </w:rPr>
        <w:t>been</w:t>
      </w:r>
      <w:r w:rsidR="000A5329" w:rsidRPr="002029AF">
        <w:rPr>
          <w:rStyle w:val="Heading3Char"/>
          <w:color w:val="000000" w:themeColor="text1"/>
          <w:sz w:val="20"/>
          <w:szCs w:val="20"/>
        </w:rPr>
        <w:t xml:space="preserve"> </w:t>
      </w:r>
      <w:r w:rsidRPr="002029AF">
        <w:rPr>
          <w:rStyle w:val="Heading3Char"/>
          <w:color w:val="000000" w:themeColor="text1"/>
          <w:sz w:val="20"/>
          <w:szCs w:val="20"/>
        </w:rPr>
        <w:t>deployed</w:t>
      </w:r>
      <w:r w:rsidR="000A5329" w:rsidRPr="002029AF">
        <w:rPr>
          <w:rStyle w:val="Heading3Char"/>
          <w:color w:val="000000" w:themeColor="text1"/>
          <w:sz w:val="20"/>
          <w:szCs w:val="20"/>
        </w:rPr>
        <w:t xml:space="preserve"> </w:t>
      </w:r>
      <w:r w:rsidRPr="002029AF">
        <w:rPr>
          <w:rStyle w:val="Heading3Char"/>
          <w:color w:val="000000" w:themeColor="text1"/>
          <w:sz w:val="20"/>
          <w:szCs w:val="20"/>
        </w:rPr>
        <w:t>to</w:t>
      </w:r>
      <w:r w:rsidR="000A5329" w:rsidRPr="002029AF">
        <w:rPr>
          <w:rStyle w:val="Heading3Char"/>
          <w:color w:val="000000" w:themeColor="text1"/>
          <w:sz w:val="20"/>
          <w:szCs w:val="20"/>
        </w:rPr>
        <w:t xml:space="preserve"> </w:t>
      </w:r>
      <w:r w:rsidRPr="002029AF">
        <w:rPr>
          <w:rStyle w:val="Heading3Char"/>
          <w:color w:val="000000" w:themeColor="text1"/>
          <w:sz w:val="20"/>
          <w:szCs w:val="20"/>
        </w:rPr>
        <w:t>support</w:t>
      </w:r>
      <w:r w:rsidR="000A5329" w:rsidRPr="002029AF">
        <w:rPr>
          <w:rStyle w:val="Heading3Char"/>
          <w:color w:val="000000" w:themeColor="text1"/>
          <w:sz w:val="20"/>
          <w:szCs w:val="20"/>
        </w:rPr>
        <w:t xml:space="preserve"> </w:t>
      </w:r>
      <w:r w:rsidRPr="002029AF">
        <w:rPr>
          <w:rStyle w:val="Heading3Char"/>
          <w:color w:val="000000" w:themeColor="text1"/>
          <w:sz w:val="20"/>
          <w:szCs w:val="20"/>
        </w:rPr>
        <w:t>a</w:t>
      </w:r>
      <w:r w:rsidR="000A5329" w:rsidRPr="002029AF">
        <w:rPr>
          <w:rStyle w:val="Heading3Char"/>
          <w:color w:val="000000" w:themeColor="text1"/>
          <w:sz w:val="20"/>
          <w:szCs w:val="20"/>
        </w:rPr>
        <w:t xml:space="preserve"> </w:t>
      </w:r>
      <w:r w:rsidRPr="002029AF">
        <w:rPr>
          <w:rStyle w:val="Heading3Char"/>
          <w:color w:val="000000" w:themeColor="text1"/>
          <w:sz w:val="20"/>
          <w:szCs w:val="20"/>
        </w:rPr>
        <w:t>range</w:t>
      </w:r>
      <w:r w:rsidR="000A5329" w:rsidRPr="002029AF">
        <w:rPr>
          <w:rStyle w:val="Heading3Char"/>
          <w:color w:val="000000" w:themeColor="text1"/>
          <w:sz w:val="20"/>
          <w:szCs w:val="20"/>
        </w:rPr>
        <w:t xml:space="preserve"> </w:t>
      </w:r>
      <w:r w:rsidRPr="002029AF">
        <w:rPr>
          <w:rStyle w:val="Heading3Char"/>
          <w:color w:val="000000" w:themeColor="text1"/>
          <w:sz w:val="20"/>
          <w:szCs w:val="20"/>
        </w:rPr>
        <w:t>of</w:t>
      </w:r>
      <w:r w:rsidR="000A5329" w:rsidRPr="002029AF">
        <w:rPr>
          <w:rStyle w:val="Heading3Char"/>
          <w:color w:val="000000" w:themeColor="text1"/>
          <w:sz w:val="20"/>
          <w:szCs w:val="20"/>
        </w:rPr>
        <w:t xml:space="preserve"> </w:t>
      </w:r>
      <w:r w:rsidRPr="002029AF">
        <w:rPr>
          <w:rStyle w:val="Heading3Char"/>
          <w:color w:val="000000" w:themeColor="text1"/>
          <w:sz w:val="20"/>
          <w:szCs w:val="20"/>
        </w:rPr>
        <w:t>projects,</w:t>
      </w:r>
      <w:r w:rsidR="000A5329" w:rsidRPr="002029AF">
        <w:rPr>
          <w:rStyle w:val="Heading3Char"/>
          <w:color w:val="000000" w:themeColor="text1"/>
          <w:sz w:val="20"/>
          <w:szCs w:val="20"/>
        </w:rPr>
        <w:t xml:space="preserve"> </w:t>
      </w:r>
      <w:r w:rsidRPr="002029AF">
        <w:rPr>
          <w:rStyle w:val="Heading3Char"/>
          <w:color w:val="000000" w:themeColor="text1"/>
          <w:sz w:val="20"/>
          <w:szCs w:val="20"/>
        </w:rPr>
        <w:t>initiatives</w:t>
      </w:r>
      <w:r w:rsidR="000A5329" w:rsidRPr="002029AF">
        <w:rPr>
          <w:rStyle w:val="Heading3Char"/>
          <w:color w:val="000000" w:themeColor="text1"/>
          <w:sz w:val="20"/>
          <w:szCs w:val="20"/>
        </w:rPr>
        <w:t xml:space="preserve"> </w:t>
      </w:r>
      <w:r w:rsidRPr="002029AF">
        <w:rPr>
          <w:rStyle w:val="Heading3Char"/>
          <w:color w:val="000000" w:themeColor="text1"/>
          <w:sz w:val="20"/>
          <w:szCs w:val="20"/>
        </w:rPr>
        <w:t>or</w:t>
      </w:r>
      <w:r w:rsidR="000A5329" w:rsidRPr="002029AF">
        <w:rPr>
          <w:rStyle w:val="Heading3Char"/>
          <w:color w:val="000000" w:themeColor="text1"/>
          <w:sz w:val="20"/>
          <w:szCs w:val="20"/>
        </w:rPr>
        <w:t xml:space="preserve"> </w:t>
      </w:r>
      <w:r w:rsidRPr="002029AF">
        <w:rPr>
          <w:rStyle w:val="Heading3Char"/>
          <w:color w:val="000000" w:themeColor="text1"/>
          <w:sz w:val="20"/>
          <w:szCs w:val="20"/>
        </w:rPr>
        <w:t>priority</w:t>
      </w:r>
      <w:r w:rsidR="000A5329" w:rsidRPr="002029AF">
        <w:rPr>
          <w:rStyle w:val="Heading3Char"/>
          <w:color w:val="000000" w:themeColor="text1"/>
          <w:sz w:val="20"/>
          <w:szCs w:val="20"/>
        </w:rPr>
        <w:t xml:space="preserve"> </w:t>
      </w:r>
      <w:r w:rsidRPr="002029AF">
        <w:rPr>
          <w:rStyle w:val="Heading3Char"/>
          <w:color w:val="000000" w:themeColor="text1"/>
          <w:sz w:val="20"/>
          <w:szCs w:val="20"/>
        </w:rPr>
        <w:t>programs,</w:t>
      </w:r>
      <w:r w:rsidR="000A5329" w:rsidRPr="002029AF">
        <w:rPr>
          <w:rStyle w:val="Heading3Char"/>
          <w:color w:val="000000" w:themeColor="text1"/>
          <w:sz w:val="20"/>
          <w:szCs w:val="20"/>
        </w:rPr>
        <w:t xml:space="preserve"> </w:t>
      </w:r>
      <w:r w:rsidRPr="002029AF">
        <w:rPr>
          <w:rStyle w:val="Heading3Char"/>
          <w:color w:val="000000" w:themeColor="text1"/>
          <w:sz w:val="20"/>
          <w:szCs w:val="20"/>
        </w:rPr>
        <w:t>instead</w:t>
      </w:r>
      <w:r w:rsidR="000A5329" w:rsidRPr="002029AF">
        <w:rPr>
          <w:rStyle w:val="Heading3Char"/>
          <w:color w:val="000000" w:themeColor="text1"/>
          <w:sz w:val="20"/>
          <w:szCs w:val="20"/>
        </w:rPr>
        <w:t xml:space="preserve"> </w:t>
      </w:r>
      <w:r w:rsidRPr="002029AF">
        <w:rPr>
          <w:rStyle w:val="Heading3Char"/>
          <w:color w:val="000000" w:themeColor="text1"/>
          <w:sz w:val="20"/>
          <w:szCs w:val="20"/>
        </w:rPr>
        <w:t>of</w:t>
      </w:r>
      <w:r w:rsidR="000A5329" w:rsidRPr="002029AF">
        <w:rPr>
          <w:rStyle w:val="Heading3Char"/>
          <w:color w:val="000000" w:themeColor="text1"/>
          <w:sz w:val="20"/>
          <w:szCs w:val="20"/>
        </w:rPr>
        <w:t xml:space="preserve"> </w:t>
      </w:r>
      <w:r w:rsidRPr="002029AF">
        <w:rPr>
          <w:rStyle w:val="Heading3Char"/>
          <w:color w:val="000000" w:themeColor="text1"/>
          <w:sz w:val="20"/>
          <w:szCs w:val="20"/>
        </w:rPr>
        <w:t>using</w:t>
      </w:r>
      <w:r w:rsidR="000A5329" w:rsidRPr="002029AF">
        <w:rPr>
          <w:rStyle w:val="Heading3Char"/>
          <w:color w:val="000000" w:themeColor="text1"/>
          <w:sz w:val="20"/>
          <w:szCs w:val="20"/>
        </w:rPr>
        <w:t xml:space="preserve"> </w:t>
      </w:r>
      <w:r w:rsidRPr="002029AF">
        <w:rPr>
          <w:rStyle w:val="Heading3Char"/>
          <w:color w:val="000000" w:themeColor="text1"/>
          <w:sz w:val="20"/>
          <w:szCs w:val="20"/>
        </w:rPr>
        <w:t>consultants</w:t>
      </w:r>
    </w:p>
    <w:p w14:paraId="0EF23AE0" w14:textId="5AF531F1" w:rsidR="00CF72D5" w:rsidRPr="002029AF" w:rsidRDefault="00CF72D5">
      <w:pPr>
        <w:pStyle w:val="ARbullet1"/>
        <w:rPr>
          <w:rStyle w:val="Heading3Char"/>
          <w:color w:val="000000" w:themeColor="text1"/>
          <w:sz w:val="20"/>
          <w:szCs w:val="20"/>
        </w:rPr>
      </w:pPr>
      <w:r w:rsidRPr="002029AF">
        <w:rPr>
          <w:rStyle w:val="Heading3Char"/>
          <w:color w:val="000000" w:themeColor="text1"/>
          <w:sz w:val="20"/>
          <w:szCs w:val="20"/>
        </w:rPr>
        <w:t>developed</w:t>
      </w:r>
      <w:r w:rsidR="000A5329" w:rsidRPr="002029AF">
        <w:rPr>
          <w:rStyle w:val="Heading3Char"/>
          <w:color w:val="000000" w:themeColor="text1"/>
          <w:sz w:val="20"/>
          <w:szCs w:val="20"/>
        </w:rPr>
        <w:t xml:space="preserve"> </w:t>
      </w:r>
      <w:r w:rsidRPr="002029AF">
        <w:rPr>
          <w:rStyle w:val="Heading3Char"/>
          <w:color w:val="000000" w:themeColor="text1"/>
          <w:sz w:val="20"/>
          <w:szCs w:val="20"/>
        </w:rPr>
        <w:t>internal</w:t>
      </w:r>
      <w:r w:rsidR="000A5329" w:rsidRPr="002029AF">
        <w:rPr>
          <w:rStyle w:val="Heading3Char"/>
          <w:color w:val="000000" w:themeColor="text1"/>
          <w:sz w:val="20"/>
          <w:szCs w:val="20"/>
        </w:rPr>
        <w:t xml:space="preserve"> </w:t>
      </w:r>
      <w:r w:rsidRPr="002029AF">
        <w:rPr>
          <w:rStyle w:val="Heading3Char"/>
          <w:color w:val="000000" w:themeColor="text1"/>
          <w:sz w:val="20"/>
          <w:szCs w:val="20"/>
        </w:rPr>
        <w:t>capability</w:t>
      </w:r>
      <w:r w:rsidR="000A5329" w:rsidRPr="002029AF">
        <w:rPr>
          <w:rStyle w:val="Heading3Char"/>
          <w:color w:val="000000" w:themeColor="text1"/>
          <w:sz w:val="20"/>
          <w:szCs w:val="20"/>
        </w:rPr>
        <w:t xml:space="preserve"> </w:t>
      </w:r>
      <w:r w:rsidRPr="002029AF">
        <w:rPr>
          <w:rStyle w:val="Heading3Char"/>
          <w:color w:val="000000" w:themeColor="text1"/>
          <w:sz w:val="20"/>
          <w:szCs w:val="20"/>
        </w:rPr>
        <w:t>through</w:t>
      </w:r>
      <w:r w:rsidR="000A5329" w:rsidRPr="002029AF">
        <w:rPr>
          <w:rStyle w:val="Heading3Char"/>
          <w:color w:val="000000" w:themeColor="text1"/>
          <w:sz w:val="20"/>
          <w:szCs w:val="20"/>
        </w:rPr>
        <w:t xml:space="preserve"> </w:t>
      </w:r>
      <w:r w:rsidRPr="002029AF">
        <w:rPr>
          <w:rStyle w:val="Heading3Char"/>
          <w:color w:val="000000" w:themeColor="text1"/>
          <w:sz w:val="20"/>
          <w:szCs w:val="20"/>
        </w:rPr>
        <w:t>knowledge</w:t>
      </w:r>
      <w:r w:rsidR="000A5329" w:rsidRPr="002029AF">
        <w:rPr>
          <w:rStyle w:val="Heading3Char"/>
          <w:color w:val="000000" w:themeColor="text1"/>
          <w:sz w:val="20"/>
          <w:szCs w:val="20"/>
        </w:rPr>
        <w:t xml:space="preserve"> </w:t>
      </w:r>
      <w:r w:rsidRPr="002029AF">
        <w:rPr>
          <w:rStyle w:val="Heading3Char"/>
          <w:color w:val="000000" w:themeColor="text1"/>
          <w:sz w:val="20"/>
          <w:szCs w:val="20"/>
        </w:rPr>
        <w:t>sharing</w:t>
      </w:r>
      <w:r w:rsidR="000A5329" w:rsidRPr="002029AF">
        <w:rPr>
          <w:rStyle w:val="Heading3Char"/>
          <w:color w:val="000000" w:themeColor="text1"/>
          <w:sz w:val="20"/>
          <w:szCs w:val="20"/>
        </w:rPr>
        <w:t xml:space="preserve"> </w:t>
      </w:r>
      <w:r w:rsidRPr="002029AF">
        <w:rPr>
          <w:rStyle w:val="Heading3Char"/>
          <w:color w:val="000000" w:themeColor="text1"/>
          <w:sz w:val="20"/>
          <w:szCs w:val="20"/>
        </w:rPr>
        <w:t>with</w:t>
      </w:r>
      <w:r w:rsidR="000A5329" w:rsidRPr="002029AF">
        <w:rPr>
          <w:rStyle w:val="Heading3Char"/>
          <w:color w:val="000000" w:themeColor="text1"/>
          <w:sz w:val="20"/>
          <w:szCs w:val="20"/>
        </w:rPr>
        <w:t xml:space="preserve"> </w:t>
      </w:r>
      <w:r w:rsidRPr="002029AF">
        <w:rPr>
          <w:rStyle w:val="Heading3Char"/>
          <w:color w:val="000000" w:themeColor="text1"/>
          <w:sz w:val="20"/>
          <w:szCs w:val="20"/>
        </w:rPr>
        <w:t>DHHS</w:t>
      </w:r>
      <w:r w:rsidR="000A5329" w:rsidRPr="002029AF">
        <w:rPr>
          <w:rStyle w:val="Heading3Char"/>
          <w:color w:val="000000" w:themeColor="text1"/>
          <w:sz w:val="20"/>
          <w:szCs w:val="20"/>
        </w:rPr>
        <w:t xml:space="preserve"> </w:t>
      </w:r>
      <w:r w:rsidRPr="002029AF">
        <w:rPr>
          <w:rStyle w:val="Heading3Char"/>
          <w:color w:val="000000" w:themeColor="text1"/>
          <w:sz w:val="20"/>
          <w:szCs w:val="20"/>
        </w:rPr>
        <w:t>staff</w:t>
      </w:r>
      <w:r w:rsidR="000A5329" w:rsidRPr="002029AF">
        <w:rPr>
          <w:rStyle w:val="Heading3Char"/>
          <w:color w:val="000000" w:themeColor="text1"/>
          <w:sz w:val="20"/>
          <w:szCs w:val="20"/>
        </w:rPr>
        <w:t xml:space="preserve"> </w:t>
      </w:r>
      <w:r w:rsidRPr="002029AF">
        <w:rPr>
          <w:rStyle w:val="Heading3Char"/>
          <w:color w:val="000000" w:themeColor="text1"/>
          <w:sz w:val="20"/>
          <w:szCs w:val="20"/>
        </w:rPr>
        <w:t>involved</w:t>
      </w:r>
      <w:r w:rsidR="000A5329" w:rsidRPr="002029AF">
        <w:rPr>
          <w:rStyle w:val="Heading3Char"/>
          <w:color w:val="000000" w:themeColor="text1"/>
          <w:sz w:val="20"/>
          <w:szCs w:val="20"/>
        </w:rPr>
        <w:t xml:space="preserve"> </w:t>
      </w:r>
      <w:r w:rsidRPr="002029AF">
        <w:rPr>
          <w:rStyle w:val="Heading3Char"/>
          <w:color w:val="000000" w:themeColor="text1"/>
          <w:sz w:val="20"/>
          <w:szCs w:val="20"/>
        </w:rPr>
        <w:t>in</w:t>
      </w:r>
      <w:r w:rsidR="000A5329" w:rsidRPr="002029AF">
        <w:rPr>
          <w:rStyle w:val="Heading3Char"/>
          <w:color w:val="000000" w:themeColor="text1"/>
          <w:sz w:val="20"/>
          <w:szCs w:val="20"/>
        </w:rPr>
        <w:t xml:space="preserve"> </w:t>
      </w:r>
      <w:r w:rsidRPr="002029AF">
        <w:rPr>
          <w:rStyle w:val="Heading3Char"/>
          <w:color w:val="000000" w:themeColor="text1"/>
          <w:sz w:val="20"/>
          <w:szCs w:val="20"/>
        </w:rPr>
        <w:t>Strategic</w:t>
      </w:r>
      <w:r w:rsidR="000A5329" w:rsidRPr="002029AF">
        <w:rPr>
          <w:rStyle w:val="Heading3Char"/>
          <w:color w:val="000000" w:themeColor="text1"/>
          <w:sz w:val="20"/>
          <w:szCs w:val="20"/>
        </w:rPr>
        <w:t xml:space="preserve"> </w:t>
      </w:r>
      <w:r w:rsidRPr="002029AF">
        <w:rPr>
          <w:rStyle w:val="Heading3Char"/>
          <w:color w:val="000000" w:themeColor="text1"/>
          <w:sz w:val="20"/>
          <w:szCs w:val="20"/>
        </w:rPr>
        <w:t>Alliance</w:t>
      </w:r>
      <w:r w:rsidR="000A5329" w:rsidRPr="002029AF">
        <w:rPr>
          <w:rStyle w:val="Heading3Char"/>
          <w:color w:val="000000" w:themeColor="text1"/>
          <w:sz w:val="20"/>
          <w:szCs w:val="20"/>
        </w:rPr>
        <w:t xml:space="preserve"> </w:t>
      </w:r>
      <w:r w:rsidRPr="002029AF">
        <w:rPr>
          <w:rStyle w:val="Heading3Char"/>
          <w:color w:val="000000" w:themeColor="text1"/>
          <w:sz w:val="20"/>
          <w:szCs w:val="20"/>
        </w:rPr>
        <w:t>projects</w:t>
      </w:r>
      <w:r w:rsidR="000A5329" w:rsidRPr="002029AF">
        <w:rPr>
          <w:rStyle w:val="Heading3Char"/>
          <w:color w:val="000000" w:themeColor="text1"/>
          <w:sz w:val="20"/>
          <w:szCs w:val="20"/>
        </w:rPr>
        <w:t xml:space="preserve"> </w:t>
      </w:r>
      <w:r w:rsidRPr="002029AF">
        <w:rPr>
          <w:rStyle w:val="Heading3Char"/>
          <w:color w:val="000000" w:themeColor="text1"/>
          <w:sz w:val="20"/>
          <w:szCs w:val="20"/>
        </w:rPr>
        <w:t>as</w:t>
      </w:r>
      <w:r w:rsidR="000A5329" w:rsidRPr="002029AF">
        <w:rPr>
          <w:rStyle w:val="Heading3Char"/>
          <w:color w:val="000000" w:themeColor="text1"/>
          <w:sz w:val="20"/>
          <w:szCs w:val="20"/>
        </w:rPr>
        <w:t xml:space="preserve"> </w:t>
      </w:r>
      <w:r w:rsidRPr="002029AF">
        <w:rPr>
          <w:rStyle w:val="Heading3Char"/>
          <w:color w:val="000000" w:themeColor="text1"/>
          <w:sz w:val="20"/>
          <w:szCs w:val="20"/>
        </w:rPr>
        <w:t>well</w:t>
      </w:r>
      <w:r w:rsidR="000A5329" w:rsidRPr="002029AF">
        <w:rPr>
          <w:rStyle w:val="Heading3Char"/>
          <w:color w:val="000000" w:themeColor="text1"/>
          <w:sz w:val="20"/>
          <w:szCs w:val="20"/>
        </w:rPr>
        <w:t xml:space="preserve"> </w:t>
      </w:r>
      <w:r w:rsidRPr="002029AF">
        <w:rPr>
          <w:rStyle w:val="Heading3Char"/>
          <w:color w:val="000000" w:themeColor="text1"/>
          <w:sz w:val="20"/>
          <w:szCs w:val="20"/>
        </w:rPr>
        <w:t>as</w:t>
      </w:r>
      <w:r w:rsidR="000A5329" w:rsidRPr="002029AF">
        <w:rPr>
          <w:rStyle w:val="Heading3Char"/>
          <w:color w:val="000000" w:themeColor="text1"/>
          <w:sz w:val="20"/>
          <w:szCs w:val="20"/>
        </w:rPr>
        <w:t xml:space="preserve"> </w:t>
      </w:r>
      <w:r w:rsidRPr="002029AF">
        <w:rPr>
          <w:rStyle w:val="Heading3Char"/>
          <w:color w:val="000000" w:themeColor="text1"/>
          <w:sz w:val="20"/>
          <w:szCs w:val="20"/>
        </w:rPr>
        <w:t>dedicated</w:t>
      </w:r>
      <w:r w:rsidR="000A5329" w:rsidRPr="002029AF">
        <w:rPr>
          <w:rStyle w:val="Heading3Char"/>
          <w:color w:val="000000" w:themeColor="text1"/>
          <w:sz w:val="20"/>
          <w:szCs w:val="20"/>
        </w:rPr>
        <w:t xml:space="preserve"> </w:t>
      </w:r>
      <w:r w:rsidRPr="002029AF">
        <w:rPr>
          <w:rStyle w:val="Heading3Char"/>
          <w:color w:val="000000" w:themeColor="text1"/>
          <w:sz w:val="20"/>
          <w:szCs w:val="20"/>
        </w:rPr>
        <w:t>internal</w:t>
      </w:r>
      <w:r w:rsidR="000A5329" w:rsidRPr="002029AF">
        <w:rPr>
          <w:rStyle w:val="Heading3Char"/>
          <w:color w:val="000000" w:themeColor="text1"/>
          <w:sz w:val="20"/>
          <w:szCs w:val="20"/>
        </w:rPr>
        <w:t xml:space="preserve"> </w:t>
      </w:r>
      <w:r w:rsidRPr="002029AF">
        <w:rPr>
          <w:rStyle w:val="Heading3Char"/>
          <w:color w:val="000000" w:themeColor="text1"/>
          <w:sz w:val="20"/>
          <w:szCs w:val="20"/>
        </w:rPr>
        <w:t>consulting,</w:t>
      </w:r>
      <w:r w:rsidR="000A5329" w:rsidRPr="002029AF">
        <w:rPr>
          <w:rStyle w:val="Heading3Char"/>
          <w:color w:val="000000" w:themeColor="text1"/>
          <w:sz w:val="20"/>
          <w:szCs w:val="20"/>
        </w:rPr>
        <w:t xml:space="preserve"> </w:t>
      </w:r>
      <w:r w:rsidRPr="002029AF">
        <w:rPr>
          <w:rStyle w:val="Heading3Char"/>
          <w:color w:val="000000" w:themeColor="text1"/>
          <w:sz w:val="20"/>
          <w:szCs w:val="20"/>
        </w:rPr>
        <w:t>advisory</w:t>
      </w:r>
      <w:r w:rsidR="000A5329" w:rsidRPr="002029AF">
        <w:rPr>
          <w:rStyle w:val="Heading3Char"/>
          <w:color w:val="000000" w:themeColor="text1"/>
          <w:sz w:val="20"/>
          <w:szCs w:val="20"/>
        </w:rPr>
        <w:t xml:space="preserve"> </w:t>
      </w:r>
      <w:r w:rsidRPr="002029AF">
        <w:rPr>
          <w:rStyle w:val="Heading3Char"/>
          <w:color w:val="000000" w:themeColor="text1"/>
          <w:sz w:val="20"/>
          <w:szCs w:val="20"/>
        </w:rPr>
        <w:t>and</w:t>
      </w:r>
      <w:r w:rsidR="000A5329" w:rsidRPr="002029AF">
        <w:rPr>
          <w:rStyle w:val="Heading3Char"/>
          <w:color w:val="000000" w:themeColor="text1"/>
          <w:sz w:val="20"/>
          <w:szCs w:val="20"/>
        </w:rPr>
        <w:t xml:space="preserve"> </w:t>
      </w:r>
      <w:r w:rsidRPr="002029AF">
        <w:rPr>
          <w:rStyle w:val="Heading3Char"/>
          <w:color w:val="000000" w:themeColor="text1"/>
          <w:sz w:val="20"/>
          <w:szCs w:val="20"/>
        </w:rPr>
        <w:t>project-based</w:t>
      </w:r>
      <w:r w:rsidR="000A5329" w:rsidRPr="002029AF">
        <w:rPr>
          <w:rStyle w:val="Heading3Char"/>
          <w:color w:val="000000" w:themeColor="text1"/>
          <w:sz w:val="20"/>
          <w:szCs w:val="20"/>
        </w:rPr>
        <w:t xml:space="preserve"> </w:t>
      </w:r>
      <w:r w:rsidRPr="002029AF">
        <w:rPr>
          <w:rStyle w:val="Heading3Char"/>
          <w:color w:val="000000" w:themeColor="text1"/>
          <w:sz w:val="20"/>
          <w:szCs w:val="20"/>
        </w:rPr>
        <w:t>programs</w:t>
      </w:r>
      <w:r w:rsidR="000A5329" w:rsidRPr="002029AF">
        <w:rPr>
          <w:rStyle w:val="Heading3Char"/>
          <w:color w:val="000000" w:themeColor="text1"/>
          <w:sz w:val="20"/>
          <w:szCs w:val="20"/>
        </w:rPr>
        <w:t xml:space="preserve"> </w:t>
      </w:r>
      <w:r w:rsidRPr="002029AF">
        <w:rPr>
          <w:rStyle w:val="Heading3Char"/>
          <w:color w:val="000000" w:themeColor="text1"/>
          <w:sz w:val="20"/>
          <w:szCs w:val="20"/>
        </w:rPr>
        <w:t>to</w:t>
      </w:r>
      <w:r w:rsidR="000A5329" w:rsidRPr="002029AF">
        <w:rPr>
          <w:rStyle w:val="Heading3Char"/>
          <w:color w:val="000000" w:themeColor="text1"/>
          <w:sz w:val="20"/>
          <w:szCs w:val="20"/>
        </w:rPr>
        <w:t xml:space="preserve"> </w:t>
      </w:r>
      <w:r w:rsidRPr="002029AF">
        <w:rPr>
          <w:rStyle w:val="Heading3Char"/>
          <w:color w:val="000000" w:themeColor="text1"/>
          <w:sz w:val="20"/>
          <w:szCs w:val="20"/>
        </w:rPr>
        <w:t>improve</w:t>
      </w:r>
      <w:r w:rsidR="000A5329" w:rsidRPr="002029AF">
        <w:rPr>
          <w:rStyle w:val="Heading3Char"/>
          <w:color w:val="000000" w:themeColor="text1"/>
          <w:sz w:val="20"/>
          <w:szCs w:val="20"/>
        </w:rPr>
        <w:t xml:space="preserve"> </w:t>
      </w:r>
      <w:r w:rsidRPr="002029AF">
        <w:rPr>
          <w:rStyle w:val="Heading3Char"/>
          <w:color w:val="000000" w:themeColor="text1"/>
          <w:sz w:val="20"/>
          <w:szCs w:val="20"/>
        </w:rPr>
        <w:t>policy</w:t>
      </w:r>
      <w:r w:rsidR="000A5329" w:rsidRPr="002029AF">
        <w:rPr>
          <w:rStyle w:val="Heading3Char"/>
          <w:color w:val="000000" w:themeColor="text1"/>
          <w:sz w:val="20"/>
          <w:szCs w:val="20"/>
        </w:rPr>
        <w:t xml:space="preserve"> </w:t>
      </w:r>
      <w:r w:rsidRPr="002029AF">
        <w:rPr>
          <w:rStyle w:val="Heading3Char"/>
          <w:color w:val="000000" w:themeColor="text1"/>
          <w:sz w:val="20"/>
          <w:szCs w:val="20"/>
        </w:rPr>
        <w:t>and</w:t>
      </w:r>
      <w:r w:rsidR="000A5329" w:rsidRPr="002029AF">
        <w:rPr>
          <w:rStyle w:val="Heading3Char"/>
          <w:color w:val="000000" w:themeColor="text1"/>
          <w:sz w:val="20"/>
          <w:szCs w:val="20"/>
        </w:rPr>
        <w:t xml:space="preserve"> </w:t>
      </w:r>
      <w:r w:rsidRPr="002029AF">
        <w:rPr>
          <w:rStyle w:val="Heading3Char"/>
          <w:color w:val="000000" w:themeColor="text1"/>
          <w:sz w:val="20"/>
          <w:szCs w:val="20"/>
        </w:rPr>
        <w:t>program</w:t>
      </w:r>
      <w:r w:rsidR="000A5329" w:rsidRPr="002029AF">
        <w:rPr>
          <w:rStyle w:val="Heading3Char"/>
          <w:color w:val="000000" w:themeColor="text1"/>
          <w:sz w:val="20"/>
          <w:szCs w:val="20"/>
        </w:rPr>
        <w:t xml:space="preserve"> </w:t>
      </w:r>
      <w:r w:rsidRPr="002029AF">
        <w:rPr>
          <w:rStyle w:val="Heading3Char"/>
          <w:color w:val="000000" w:themeColor="text1"/>
          <w:sz w:val="20"/>
          <w:szCs w:val="20"/>
        </w:rPr>
        <w:t>delivery</w:t>
      </w:r>
    </w:p>
    <w:p w14:paraId="7DC94F34" w14:textId="4A0D41B9" w:rsidR="00CF72D5" w:rsidRPr="002029AF" w:rsidRDefault="00CF72D5">
      <w:pPr>
        <w:pStyle w:val="ARbullet1"/>
        <w:rPr>
          <w:rStyle w:val="Heading3Char"/>
          <w:color w:val="000000" w:themeColor="text1"/>
          <w:sz w:val="20"/>
          <w:szCs w:val="20"/>
        </w:rPr>
      </w:pPr>
      <w:r w:rsidRPr="002029AF">
        <w:rPr>
          <w:rStyle w:val="Heading3Char"/>
          <w:color w:val="000000" w:themeColor="text1"/>
          <w:sz w:val="20"/>
          <w:szCs w:val="20"/>
        </w:rPr>
        <w:t>continued</w:t>
      </w:r>
      <w:r w:rsidR="000A5329" w:rsidRPr="002029AF">
        <w:rPr>
          <w:rStyle w:val="Heading3Char"/>
          <w:color w:val="000000" w:themeColor="text1"/>
          <w:sz w:val="20"/>
          <w:szCs w:val="20"/>
        </w:rPr>
        <w:t xml:space="preserve"> </w:t>
      </w:r>
      <w:r w:rsidRPr="002029AF">
        <w:rPr>
          <w:rStyle w:val="Heading3Char"/>
          <w:color w:val="000000" w:themeColor="text1"/>
          <w:sz w:val="20"/>
          <w:szCs w:val="20"/>
        </w:rPr>
        <w:t>arrangements</w:t>
      </w:r>
      <w:r w:rsidR="000A5329" w:rsidRPr="002029AF">
        <w:rPr>
          <w:rStyle w:val="Heading3Char"/>
          <w:color w:val="000000" w:themeColor="text1"/>
          <w:sz w:val="20"/>
          <w:szCs w:val="20"/>
        </w:rPr>
        <w:t xml:space="preserve"> </w:t>
      </w:r>
      <w:r w:rsidRPr="002029AF">
        <w:rPr>
          <w:rStyle w:val="Heading3Char"/>
          <w:color w:val="000000" w:themeColor="text1"/>
          <w:sz w:val="20"/>
          <w:szCs w:val="20"/>
        </w:rPr>
        <w:t>to</w:t>
      </w:r>
      <w:r w:rsidR="000A5329" w:rsidRPr="002029AF">
        <w:rPr>
          <w:rStyle w:val="Heading3Char"/>
          <w:color w:val="000000" w:themeColor="text1"/>
          <w:sz w:val="20"/>
          <w:szCs w:val="20"/>
        </w:rPr>
        <w:t xml:space="preserve"> </w:t>
      </w:r>
      <w:r w:rsidRPr="002029AF">
        <w:rPr>
          <w:rStyle w:val="Heading3Char"/>
          <w:color w:val="000000" w:themeColor="text1"/>
          <w:sz w:val="20"/>
          <w:szCs w:val="20"/>
        </w:rPr>
        <w:t>ensure</w:t>
      </w:r>
      <w:r w:rsidR="000A5329" w:rsidRPr="002029AF">
        <w:rPr>
          <w:rStyle w:val="Heading3Char"/>
          <w:color w:val="000000" w:themeColor="text1"/>
          <w:sz w:val="20"/>
          <w:szCs w:val="20"/>
        </w:rPr>
        <w:t xml:space="preserve"> </w:t>
      </w:r>
      <w:r w:rsidRPr="002029AF">
        <w:rPr>
          <w:rStyle w:val="Heading3Char"/>
          <w:color w:val="000000" w:themeColor="text1"/>
          <w:sz w:val="20"/>
          <w:szCs w:val="20"/>
        </w:rPr>
        <w:t>that</w:t>
      </w:r>
      <w:r w:rsidR="000A5329" w:rsidRPr="002029AF">
        <w:rPr>
          <w:rStyle w:val="Heading3Char"/>
          <w:color w:val="000000" w:themeColor="text1"/>
          <w:sz w:val="20"/>
          <w:szCs w:val="20"/>
        </w:rPr>
        <w:t xml:space="preserve"> </w:t>
      </w:r>
      <w:r w:rsidRPr="002029AF">
        <w:rPr>
          <w:rStyle w:val="Heading3Char"/>
          <w:color w:val="000000" w:themeColor="text1"/>
          <w:sz w:val="20"/>
          <w:szCs w:val="20"/>
        </w:rPr>
        <w:t>all</w:t>
      </w:r>
      <w:r w:rsidR="000A5329" w:rsidRPr="002029AF">
        <w:rPr>
          <w:rStyle w:val="Heading3Char"/>
          <w:color w:val="000000" w:themeColor="text1"/>
          <w:sz w:val="20"/>
          <w:szCs w:val="20"/>
        </w:rPr>
        <w:t xml:space="preserve"> </w:t>
      </w:r>
      <w:r w:rsidRPr="002029AF">
        <w:rPr>
          <w:rStyle w:val="Heading3Char"/>
          <w:color w:val="000000" w:themeColor="text1"/>
          <w:sz w:val="20"/>
          <w:szCs w:val="20"/>
        </w:rPr>
        <w:t>consultant</w:t>
      </w:r>
      <w:r w:rsidR="000A5329" w:rsidRPr="002029AF">
        <w:rPr>
          <w:rStyle w:val="Heading3Char"/>
          <w:color w:val="000000" w:themeColor="text1"/>
          <w:sz w:val="20"/>
          <w:szCs w:val="20"/>
        </w:rPr>
        <w:t xml:space="preserve"> </w:t>
      </w:r>
      <w:r w:rsidRPr="002029AF">
        <w:rPr>
          <w:rStyle w:val="Heading3Char"/>
          <w:color w:val="000000" w:themeColor="text1"/>
          <w:sz w:val="20"/>
          <w:szCs w:val="20"/>
        </w:rPr>
        <w:t>engagements</w:t>
      </w:r>
      <w:r w:rsidR="000A5329" w:rsidRPr="002029AF">
        <w:rPr>
          <w:rStyle w:val="Heading3Char"/>
          <w:color w:val="000000" w:themeColor="text1"/>
          <w:sz w:val="20"/>
          <w:szCs w:val="20"/>
        </w:rPr>
        <w:t xml:space="preserve"> </w:t>
      </w:r>
      <w:r w:rsidRPr="002029AF">
        <w:rPr>
          <w:rStyle w:val="Heading3Char"/>
          <w:color w:val="000000" w:themeColor="text1"/>
          <w:sz w:val="20"/>
          <w:szCs w:val="20"/>
        </w:rPr>
        <w:t>are</w:t>
      </w:r>
      <w:r w:rsidR="000A5329" w:rsidRPr="002029AF">
        <w:rPr>
          <w:rStyle w:val="Heading3Char"/>
          <w:color w:val="000000" w:themeColor="text1"/>
          <w:sz w:val="20"/>
          <w:szCs w:val="20"/>
        </w:rPr>
        <w:t xml:space="preserve"> </w:t>
      </w:r>
      <w:r w:rsidRPr="002029AF">
        <w:rPr>
          <w:rStyle w:val="Heading3Char"/>
          <w:color w:val="000000" w:themeColor="text1"/>
          <w:sz w:val="20"/>
          <w:szCs w:val="20"/>
        </w:rPr>
        <w:t>considered</w:t>
      </w:r>
      <w:r w:rsidR="000A5329" w:rsidRPr="002029AF">
        <w:rPr>
          <w:rStyle w:val="Heading3Char"/>
          <w:color w:val="000000" w:themeColor="text1"/>
          <w:sz w:val="20"/>
          <w:szCs w:val="20"/>
        </w:rPr>
        <w:t xml:space="preserve"> </w:t>
      </w:r>
      <w:r w:rsidRPr="002029AF">
        <w:rPr>
          <w:rStyle w:val="Heading3Char"/>
          <w:color w:val="000000" w:themeColor="text1"/>
          <w:sz w:val="20"/>
          <w:szCs w:val="20"/>
        </w:rPr>
        <w:t>and</w:t>
      </w:r>
      <w:r w:rsidR="000A5329" w:rsidRPr="002029AF">
        <w:rPr>
          <w:rStyle w:val="Heading3Char"/>
          <w:color w:val="000000" w:themeColor="text1"/>
          <w:sz w:val="20"/>
          <w:szCs w:val="20"/>
        </w:rPr>
        <w:t xml:space="preserve"> </w:t>
      </w:r>
      <w:r w:rsidRPr="002029AF">
        <w:rPr>
          <w:rStyle w:val="Heading3Char"/>
          <w:color w:val="000000" w:themeColor="text1"/>
          <w:sz w:val="20"/>
          <w:szCs w:val="20"/>
        </w:rPr>
        <w:t>approved</w:t>
      </w:r>
      <w:r w:rsidR="000A5329" w:rsidRPr="002029AF">
        <w:rPr>
          <w:rStyle w:val="Heading3Char"/>
          <w:color w:val="000000" w:themeColor="text1"/>
          <w:sz w:val="20"/>
          <w:szCs w:val="20"/>
        </w:rPr>
        <w:t xml:space="preserve"> </w:t>
      </w:r>
      <w:r w:rsidRPr="002029AF">
        <w:rPr>
          <w:rStyle w:val="Heading3Char"/>
          <w:color w:val="000000" w:themeColor="text1"/>
          <w:sz w:val="20"/>
          <w:szCs w:val="20"/>
        </w:rPr>
        <w:t>by</w:t>
      </w:r>
      <w:r w:rsidR="000A5329" w:rsidRPr="002029AF">
        <w:rPr>
          <w:rStyle w:val="Heading3Char"/>
          <w:color w:val="000000" w:themeColor="text1"/>
          <w:sz w:val="20"/>
          <w:szCs w:val="20"/>
        </w:rPr>
        <w:t xml:space="preserve"> </w:t>
      </w:r>
      <w:r w:rsidRPr="002029AF">
        <w:rPr>
          <w:rStyle w:val="Heading3Char"/>
          <w:color w:val="000000" w:themeColor="text1"/>
          <w:sz w:val="20"/>
          <w:szCs w:val="20"/>
        </w:rPr>
        <w:t>the</w:t>
      </w:r>
      <w:r w:rsidR="000A5329" w:rsidRPr="002029AF">
        <w:rPr>
          <w:rStyle w:val="Heading3Char"/>
          <w:color w:val="000000" w:themeColor="text1"/>
          <w:sz w:val="20"/>
          <w:szCs w:val="20"/>
        </w:rPr>
        <w:t xml:space="preserve"> </w:t>
      </w:r>
      <w:r w:rsidRPr="002029AF">
        <w:rPr>
          <w:rStyle w:val="Heading3Char"/>
          <w:color w:val="000000" w:themeColor="text1"/>
          <w:sz w:val="20"/>
          <w:szCs w:val="20"/>
        </w:rPr>
        <w:t>Secretary.</w:t>
      </w:r>
    </w:p>
    <w:p w14:paraId="2EF0880F" w14:textId="4B4FE503" w:rsidR="00CF72D5" w:rsidRPr="002029AF" w:rsidRDefault="00CF72D5" w:rsidP="00AE3EA3">
      <w:pPr>
        <w:pStyle w:val="ARbodyafterbullets"/>
      </w:pPr>
      <w:r w:rsidRPr="002029AF">
        <w:t>Improvements</w:t>
      </w:r>
      <w:r w:rsidR="000A5329" w:rsidRPr="002029AF">
        <w:t xml:space="preserve"> </w:t>
      </w:r>
      <w:r w:rsidRPr="002029AF">
        <w:t>to</w:t>
      </w:r>
      <w:r w:rsidR="000A5329" w:rsidRPr="002029AF">
        <w:t xml:space="preserve"> </w:t>
      </w:r>
      <w:r w:rsidRPr="002029AF">
        <w:t>procurement</w:t>
      </w:r>
      <w:r w:rsidR="000A5329" w:rsidRPr="002029AF">
        <w:t xml:space="preserve"> </w:t>
      </w:r>
      <w:r w:rsidRPr="002029AF">
        <w:t>processes</w:t>
      </w:r>
      <w:r w:rsidR="000A5329" w:rsidRPr="002029AF">
        <w:t xml:space="preserve"> </w:t>
      </w:r>
      <w:r w:rsidRPr="002029AF">
        <w:t>ensured</w:t>
      </w:r>
      <w:r w:rsidR="000A5329" w:rsidRPr="002029AF">
        <w:t xml:space="preserve"> </w:t>
      </w:r>
      <w:r w:rsidRPr="002029AF">
        <w:t>that</w:t>
      </w:r>
      <w:r w:rsidR="000A5329" w:rsidRPr="002029AF">
        <w:t xml:space="preserve"> </w:t>
      </w:r>
      <w:r w:rsidRPr="002029AF">
        <w:t>contracted</w:t>
      </w:r>
      <w:r w:rsidR="000A5329" w:rsidRPr="002029AF">
        <w:t xml:space="preserve"> </w:t>
      </w:r>
      <w:r w:rsidRPr="002029AF">
        <w:t>solutions</w:t>
      </w:r>
      <w:r w:rsidR="000A5329" w:rsidRPr="002029AF">
        <w:t xml:space="preserve"> </w:t>
      </w:r>
      <w:r w:rsidRPr="002029AF">
        <w:t>were</w:t>
      </w:r>
      <w:r w:rsidR="000A5329" w:rsidRPr="002029AF">
        <w:t xml:space="preserve"> </w:t>
      </w:r>
      <w:r w:rsidRPr="002029AF">
        <w:t>competitive,</w:t>
      </w:r>
      <w:r w:rsidR="000A5329" w:rsidRPr="002029AF">
        <w:t xml:space="preserve"> </w:t>
      </w:r>
      <w:r w:rsidRPr="002029AF">
        <w:t>used</w:t>
      </w:r>
      <w:r w:rsidR="000A5329" w:rsidRPr="002029AF">
        <w:t xml:space="preserve"> </w:t>
      </w:r>
      <w:r w:rsidRPr="002029AF">
        <w:t>government</w:t>
      </w:r>
      <w:r w:rsidR="000A5329" w:rsidRPr="002029AF">
        <w:t xml:space="preserve"> </w:t>
      </w:r>
      <w:r w:rsidRPr="002029AF">
        <w:t>and</w:t>
      </w:r>
      <w:r w:rsidR="000A5329" w:rsidRPr="002029AF">
        <w:t xml:space="preserve"> </w:t>
      </w:r>
      <w:r w:rsidRPr="002029AF">
        <w:t>department</w:t>
      </w:r>
      <w:r w:rsidR="000A5329" w:rsidRPr="002029AF">
        <w:t xml:space="preserve"> </w:t>
      </w:r>
      <w:r w:rsidRPr="002029AF">
        <w:t>panel</w:t>
      </w:r>
      <w:r w:rsidR="000A5329" w:rsidRPr="002029AF">
        <w:t xml:space="preserve"> </w:t>
      </w:r>
      <w:r w:rsidRPr="002029AF">
        <w:t>contracts</w:t>
      </w:r>
      <w:r w:rsidR="000A5329" w:rsidRPr="002029AF">
        <w:t xml:space="preserve"> </w:t>
      </w:r>
      <w:r w:rsidRPr="002029AF">
        <w:t>where</w:t>
      </w:r>
      <w:r w:rsidR="000A5329" w:rsidRPr="002029AF">
        <w:t xml:space="preserve"> </w:t>
      </w:r>
      <w:r w:rsidRPr="002029AF">
        <w:t>appropriate,</w:t>
      </w:r>
      <w:r w:rsidR="000A5329" w:rsidRPr="002029AF">
        <w:t xml:space="preserve"> </w:t>
      </w:r>
      <w:r w:rsidRPr="002029AF">
        <w:t>and</w:t>
      </w:r>
      <w:r w:rsidR="000A5329" w:rsidRPr="002029AF">
        <w:t xml:space="preserve"> </w:t>
      </w:r>
      <w:r w:rsidRPr="002029AF">
        <w:t>undertook</w:t>
      </w:r>
      <w:r w:rsidR="000A5329" w:rsidRPr="002029AF">
        <w:t xml:space="preserve"> </w:t>
      </w:r>
      <w:r w:rsidRPr="002029AF">
        <w:t>meaningful</w:t>
      </w:r>
      <w:r w:rsidR="000A5329" w:rsidRPr="002029AF">
        <w:t xml:space="preserve"> </w:t>
      </w:r>
      <w:r w:rsidRPr="002029AF">
        <w:t>contract</w:t>
      </w:r>
      <w:r w:rsidR="000A5329" w:rsidRPr="002029AF">
        <w:t xml:space="preserve"> </w:t>
      </w:r>
      <w:r w:rsidRPr="002029AF">
        <w:t>review</w:t>
      </w:r>
      <w:r w:rsidR="000A5329" w:rsidRPr="002029AF">
        <w:t xml:space="preserve"> </w:t>
      </w:r>
      <w:r w:rsidRPr="002029AF">
        <w:t>processes</w:t>
      </w:r>
      <w:r w:rsidR="000A5329" w:rsidRPr="002029AF">
        <w:t xml:space="preserve"> </w:t>
      </w:r>
      <w:r w:rsidRPr="002029AF">
        <w:t>to</w:t>
      </w:r>
      <w:r w:rsidR="000A5329" w:rsidRPr="002029AF">
        <w:t xml:space="preserve"> </w:t>
      </w:r>
      <w:r w:rsidRPr="002029AF">
        <w:t>inform</w:t>
      </w:r>
      <w:r w:rsidR="000A5329" w:rsidRPr="002029AF">
        <w:t xml:space="preserve"> </w:t>
      </w:r>
      <w:r w:rsidRPr="002029AF">
        <w:t>decisions</w:t>
      </w:r>
      <w:r w:rsidR="000A5329" w:rsidRPr="002029AF">
        <w:t xml:space="preserve"> </w:t>
      </w:r>
      <w:r w:rsidRPr="002029AF">
        <w:t>on</w:t>
      </w:r>
      <w:r w:rsidR="000A5329" w:rsidRPr="002029AF">
        <w:t xml:space="preserve"> </w:t>
      </w:r>
      <w:r w:rsidRPr="002029AF">
        <w:t>future</w:t>
      </w:r>
      <w:r w:rsidR="000A5329" w:rsidRPr="002029AF">
        <w:t xml:space="preserve"> </w:t>
      </w:r>
      <w:r w:rsidRPr="002029AF">
        <w:t>engagements.</w:t>
      </w:r>
    </w:p>
    <w:p w14:paraId="5CA07F30" w14:textId="164CF598" w:rsidR="00CF72D5" w:rsidRPr="002029AF" w:rsidRDefault="00CF72D5" w:rsidP="00897193">
      <w:pPr>
        <w:pStyle w:val="ARbody"/>
      </w:pPr>
      <w:r w:rsidRPr="002029AF">
        <w:t>These</w:t>
      </w:r>
      <w:r w:rsidR="000A5329" w:rsidRPr="002029AF">
        <w:t xml:space="preserve"> </w:t>
      </w:r>
      <w:r w:rsidRPr="002029AF">
        <w:t>arrangements</w:t>
      </w:r>
      <w:r w:rsidR="000A5329" w:rsidRPr="002029AF">
        <w:t xml:space="preserve"> </w:t>
      </w:r>
      <w:r w:rsidRPr="002029AF">
        <w:t>continued</w:t>
      </w:r>
      <w:r w:rsidR="000A5329" w:rsidRPr="002029AF">
        <w:t xml:space="preserve"> </w:t>
      </w:r>
      <w:r w:rsidRPr="002029AF">
        <w:t>to</w:t>
      </w:r>
      <w:r w:rsidR="000A5329" w:rsidRPr="002029AF">
        <w:t xml:space="preserve"> </w:t>
      </w:r>
      <w:r w:rsidRPr="002029AF">
        <w:t>drive</w:t>
      </w:r>
      <w:r w:rsidR="000A5329" w:rsidRPr="002029AF">
        <w:t xml:space="preserve"> </w:t>
      </w:r>
      <w:r w:rsidRPr="002029AF">
        <w:t>value</w:t>
      </w:r>
      <w:r w:rsidR="000A5329" w:rsidRPr="002029AF">
        <w:t xml:space="preserve"> </w:t>
      </w:r>
      <w:r w:rsidRPr="002029AF">
        <w:t>for</w:t>
      </w:r>
      <w:r w:rsidR="000A5329" w:rsidRPr="002029AF">
        <w:t xml:space="preserve"> </w:t>
      </w:r>
      <w:r w:rsidRPr="002029AF">
        <w:t>money,</w:t>
      </w:r>
      <w:r w:rsidR="000A5329" w:rsidRPr="002029AF">
        <w:t xml:space="preserve"> </w:t>
      </w:r>
      <w:r w:rsidRPr="002029AF">
        <w:t>with</w:t>
      </w:r>
      <w:r w:rsidR="000A5329" w:rsidRPr="002029AF">
        <w:t xml:space="preserve"> </w:t>
      </w:r>
      <w:r w:rsidRPr="002029AF">
        <w:t>a</w:t>
      </w:r>
      <w:r w:rsidR="000A5329" w:rsidRPr="002029AF">
        <w:t xml:space="preserve"> </w:t>
      </w:r>
      <w:r w:rsidRPr="002029AF">
        <w:t>focus</w:t>
      </w:r>
      <w:r w:rsidR="000A5329" w:rsidRPr="002029AF">
        <w:t xml:space="preserve"> </w:t>
      </w:r>
      <w:r w:rsidRPr="002029AF">
        <w:t>on</w:t>
      </w:r>
      <w:r w:rsidR="000A5329" w:rsidRPr="002029AF">
        <w:t xml:space="preserve"> </w:t>
      </w:r>
      <w:r w:rsidRPr="002029AF">
        <w:t>ensuring</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used</w:t>
      </w:r>
      <w:r w:rsidR="000A5329" w:rsidRPr="002029AF">
        <w:t xml:space="preserve"> </w:t>
      </w:r>
      <w:r w:rsidRPr="002029AF">
        <w:t>consultants</w:t>
      </w:r>
      <w:r w:rsidR="000A5329" w:rsidRPr="002029AF">
        <w:t xml:space="preserve"> </w:t>
      </w:r>
      <w:r w:rsidRPr="002029AF">
        <w:t>and</w:t>
      </w:r>
      <w:r w:rsidR="000A5329" w:rsidRPr="002029AF">
        <w:t xml:space="preserve"> </w:t>
      </w:r>
      <w:r w:rsidRPr="002029AF">
        <w:t>contracts</w:t>
      </w:r>
      <w:r w:rsidR="000A5329" w:rsidRPr="002029AF">
        <w:t xml:space="preserve"> </w:t>
      </w:r>
      <w:r w:rsidRPr="002029AF">
        <w:t>appropriately</w:t>
      </w:r>
      <w:r w:rsidR="000A5329" w:rsidRPr="002029AF">
        <w:t xml:space="preserve"> </w:t>
      </w:r>
      <w:r w:rsidRPr="002029AF">
        <w:t>and</w:t>
      </w:r>
      <w:r w:rsidR="000A5329" w:rsidRPr="002029AF">
        <w:t xml:space="preserve"> </w:t>
      </w:r>
      <w:r w:rsidRPr="002029AF">
        <w:t>effectively.</w:t>
      </w:r>
    </w:p>
    <w:p w14:paraId="143C492E" w14:textId="77777777" w:rsidR="00CF72D5" w:rsidRPr="002029AF" w:rsidRDefault="00CF72D5" w:rsidP="00AE3EA3">
      <w:pPr>
        <w:pStyle w:val="ARbody"/>
      </w:pPr>
    </w:p>
    <w:p w14:paraId="67D01D09" w14:textId="77777777" w:rsidR="00CF72D5" w:rsidRPr="002029AF" w:rsidRDefault="00CF72D5" w:rsidP="00AE3EA3">
      <w:pPr>
        <w:pStyle w:val="ARbody"/>
        <w:sectPr w:rsidR="00CF72D5" w:rsidRPr="002029AF" w:rsidSect="00492FD1">
          <w:headerReference w:type="even" r:id="rId157"/>
          <w:headerReference w:type="default" r:id="rId158"/>
          <w:footerReference w:type="default" r:id="rId159"/>
          <w:headerReference w:type="first" r:id="rId160"/>
          <w:footerReference w:type="first" r:id="rId161"/>
          <w:pgSz w:w="11906" w:h="16838" w:code="9"/>
          <w:pgMar w:top="1985" w:right="851" w:bottom="851" w:left="1418" w:header="510" w:footer="340" w:gutter="0"/>
          <w:cols w:num="2" w:space="454"/>
          <w:docGrid w:linePitch="360"/>
          <w15:footnoteColumns w:val="1"/>
        </w:sectPr>
      </w:pPr>
    </w:p>
    <w:p w14:paraId="6DDA3ACA" w14:textId="19DDF011" w:rsidR="009E5882" w:rsidRPr="009E5882" w:rsidRDefault="00CF72D5" w:rsidP="009E5882">
      <w:pPr>
        <w:pStyle w:val="Heading3"/>
        <w:spacing w:before="0"/>
      </w:pPr>
      <w:bookmarkStart w:id="137" w:name="_Ref52270507"/>
      <w:r w:rsidRPr="002029AF">
        <w:lastRenderedPageBreak/>
        <w:t>Consultancies</w:t>
      </w:r>
      <w:r w:rsidR="000A5329" w:rsidRPr="002029AF">
        <w:t xml:space="preserve"> </w:t>
      </w:r>
      <w:r w:rsidRPr="002029AF">
        <w:t>(valued</w:t>
      </w:r>
      <w:r w:rsidR="000A5329" w:rsidRPr="002029AF">
        <w:t xml:space="preserve"> </w:t>
      </w:r>
      <w:r w:rsidRPr="002029AF">
        <w:t>at</w:t>
      </w:r>
      <w:r w:rsidR="000A5329" w:rsidRPr="002029AF">
        <w:t xml:space="preserve"> </w:t>
      </w:r>
      <w:r w:rsidRPr="002029AF">
        <w:t>$10,000</w:t>
      </w:r>
      <w:r w:rsidR="000A5329" w:rsidRPr="002029AF">
        <w:t xml:space="preserve"> </w:t>
      </w:r>
      <w:r w:rsidRPr="002029AF">
        <w:t>or</w:t>
      </w:r>
      <w:r w:rsidR="000A5329" w:rsidRPr="002029AF">
        <w:t xml:space="preserve"> </w:t>
      </w:r>
      <w:r w:rsidRPr="002029AF">
        <w:t>greater)</w:t>
      </w:r>
      <w:bookmarkEnd w:id="137"/>
    </w:p>
    <w:tbl>
      <w:tblPr>
        <w:tblStyle w:val="TableGrid"/>
        <w:tblW w:w="14005" w:type="dxa"/>
        <w:tblLayout w:type="fixed"/>
        <w:tblLook w:val="06A0" w:firstRow="1" w:lastRow="0" w:firstColumn="1" w:lastColumn="0" w:noHBand="1" w:noVBand="1"/>
      </w:tblPr>
      <w:tblGrid>
        <w:gridCol w:w="2147"/>
        <w:gridCol w:w="2146"/>
        <w:gridCol w:w="3286"/>
        <w:gridCol w:w="2146"/>
        <w:gridCol w:w="2146"/>
        <w:gridCol w:w="2134"/>
      </w:tblGrid>
      <w:tr w:rsidR="00CF72D5" w:rsidRPr="002029AF" w14:paraId="1583D405" w14:textId="77777777" w:rsidTr="005E6692">
        <w:trPr>
          <w:cnfStyle w:val="100000000000" w:firstRow="1" w:lastRow="0" w:firstColumn="0" w:lastColumn="0" w:oddVBand="0" w:evenVBand="0" w:oddHBand="0" w:evenHBand="0" w:firstRowFirstColumn="0" w:firstRowLastColumn="0" w:lastRowFirstColumn="0" w:lastRowLastColumn="0"/>
          <w:tblHeader/>
        </w:trPr>
        <w:tc>
          <w:tcPr>
            <w:tcW w:w="767" w:type="pct"/>
            <w:hideMark/>
          </w:tcPr>
          <w:p w14:paraId="580B13C7" w14:textId="77777777" w:rsidR="00CF72D5" w:rsidRPr="002029AF" w:rsidRDefault="00CF72D5" w:rsidP="00897193">
            <w:pPr>
              <w:pStyle w:val="ARtablecolhead"/>
            </w:pPr>
            <w:r w:rsidRPr="002029AF">
              <w:t>Category</w:t>
            </w:r>
          </w:p>
        </w:tc>
        <w:tc>
          <w:tcPr>
            <w:tcW w:w="766" w:type="pct"/>
            <w:hideMark/>
          </w:tcPr>
          <w:p w14:paraId="3C02AD22" w14:textId="77777777" w:rsidR="00CF72D5" w:rsidRPr="002029AF" w:rsidRDefault="00CF72D5" w:rsidP="00897193">
            <w:pPr>
              <w:pStyle w:val="ARtablecolhead"/>
            </w:pPr>
            <w:r w:rsidRPr="002029AF">
              <w:t>Consultant</w:t>
            </w:r>
          </w:p>
        </w:tc>
        <w:tc>
          <w:tcPr>
            <w:tcW w:w="1173" w:type="pct"/>
            <w:hideMark/>
          </w:tcPr>
          <w:p w14:paraId="4DB8C426" w14:textId="525CF956" w:rsidR="00CF72D5" w:rsidRPr="002029AF" w:rsidRDefault="00CF72D5" w:rsidP="00897193">
            <w:pPr>
              <w:pStyle w:val="ARtablecolhead"/>
            </w:pPr>
            <w:r w:rsidRPr="002029AF">
              <w:t>Purpose</w:t>
            </w:r>
            <w:r w:rsidR="000A5329" w:rsidRPr="002029AF">
              <w:t xml:space="preserve"> </w:t>
            </w:r>
            <w:r w:rsidRPr="002029AF">
              <w:t>of</w:t>
            </w:r>
            <w:r w:rsidR="000A5329" w:rsidRPr="002029AF">
              <w:t xml:space="preserve"> </w:t>
            </w:r>
            <w:r w:rsidRPr="002029AF">
              <w:br/>
              <w:t>consultancy</w:t>
            </w:r>
          </w:p>
        </w:tc>
        <w:tc>
          <w:tcPr>
            <w:tcW w:w="766" w:type="pct"/>
            <w:hideMark/>
          </w:tcPr>
          <w:p w14:paraId="4449B4A1" w14:textId="1CD08151" w:rsidR="00CF72D5" w:rsidRPr="002029AF" w:rsidRDefault="00CF72D5" w:rsidP="00897193">
            <w:pPr>
              <w:pStyle w:val="ARtablecolheadright"/>
            </w:pPr>
            <w:r w:rsidRPr="002029AF">
              <w:t>Total</w:t>
            </w:r>
            <w:r w:rsidR="000A5329" w:rsidRPr="002029AF">
              <w:t xml:space="preserve"> </w:t>
            </w:r>
            <w:r w:rsidRPr="002029AF">
              <w:t>approved</w:t>
            </w:r>
            <w:r w:rsidR="000A5329" w:rsidRPr="002029AF">
              <w:t xml:space="preserve"> </w:t>
            </w:r>
            <w:r w:rsidRPr="002029AF">
              <w:t>project</w:t>
            </w:r>
            <w:r w:rsidR="000A5329" w:rsidRPr="002029AF">
              <w:t xml:space="preserve"> </w:t>
            </w:r>
            <w:r w:rsidRPr="002029AF">
              <w:t>fee</w:t>
            </w:r>
            <w:r w:rsidR="000A5329" w:rsidRPr="002029AF">
              <w:t xml:space="preserve"> </w:t>
            </w:r>
            <w:r w:rsidRPr="002029AF">
              <w:t>excl.</w:t>
            </w:r>
            <w:r w:rsidR="000A5329" w:rsidRPr="002029AF">
              <w:t xml:space="preserve"> </w:t>
            </w:r>
            <w:r w:rsidRPr="002029AF">
              <w:t>GST</w:t>
            </w:r>
          </w:p>
        </w:tc>
        <w:tc>
          <w:tcPr>
            <w:tcW w:w="766" w:type="pct"/>
            <w:hideMark/>
          </w:tcPr>
          <w:p w14:paraId="5AA3619F" w14:textId="50E4C9DF" w:rsidR="00CF72D5" w:rsidRPr="002029AF" w:rsidRDefault="00CF72D5" w:rsidP="00897193">
            <w:pPr>
              <w:pStyle w:val="ARtablecolheadright"/>
            </w:pPr>
            <w:r w:rsidRPr="002029AF">
              <w:t>Expenditure</w:t>
            </w:r>
            <w:r w:rsidR="000A5329" w:rsidRPr="002029AF">
              <w:t xml:space="preserve"> </w:t>
            </w:r>
            <w:r w:rsidRPr="002029AF">
              <w:t>201</w:t>
            </w:r>
            <w:r w:rsidR="008C3E77" w:rsidRPr="002029AF">
              <w:t>9</w:t>
            </w:r>
            <w:r w:rsidRPr="002029AF">
              <w:t>–</w:t>
            </w:r>
            <w:r w:rsidR="008C3E77" w:rsidRPr="002029AF">
              <w:t>20</w:t>
            </w:r>
            <w:r w:rsidR="000A5329" w:rsidRPr="002029AF">
              <w:t xml:space="preserve"> </w:t>
            </w:r>
            <w:r w:rsidRPr="002029AF">
              <w:t>excl.</w:t>
            </w:r>
            <w:r w:rsidR="000A5329" w:rsidRPr="002029AF">
              <w:t xml:space="preserve"> </w:t>
            </w:r>
            <w:r w:rsidRPr="002029AF">
              <w:t>GST</w:t>
            </w:r>
          </w:p>
        </w:tc>
        <w:tc>
          <w:tcPr>
            <w:tcW w:w="762" w:type="pct"/>
            <w:hideMark/>
          </w:tcPr>
          <w:p w14:paraId="48E5087F" w14:textId="1F0470CF" w:rsidR="00CF72D5" w:rsidRPr="002029AF" w:rsidRDefault="00CF72D5" w:rsidP="00897193">
            <w:pPr>
              <w:pStyle w:val="ARtablecolheadright"/>
              <w:ind w:right="-103"/>
            </w:pPr>
            <w:r w:rsidRPr="002029AF">
              <w:t>Future</w:t>
            </w:r>
            <w:r w:rsidR="000A5329" w:rsidRPr="002029AF">
              <w:t xml:space="preserve"> </w:t>
            </w:r>
            <w:r w:rsidRPr="002029AF">
              <w:t>expenditure</w:t>
            </w:r>
            <w:r w:rsidR="000A5329" w:rsidRPr="002029AF">
              <w:t xml:space="preserve"> </w:t>
            </w:r>
            <w:r w:rsidRPr="002029AF">
              <w:t>excl.</w:t>
            </w:r>
            <w:r w:rsidR="00457506" w:rsidRPr="002029AF">
              <w:t> </w:t>
            </w:r>
            <w:r w:rsidRPr="002029AF">
              <w:t>GST</w:t>
            </w:r>
          </w:p>
        </w:tc>
      </w:tr>
      <w:tr w:rsidR="00CF72D5" w:rsidRPr="002029AF" w14:paraId="20E93FFB" w14:textId="77777777" w:rsidTr="00457506">
        <w:tc>
          <w:tcPr>
            <w:tcW w:w="767" w:type="pct"/>
          </w:tcPr>
          <w:p w14:paraId="7D697C29" w14:textId="78CADE86"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val="restart"/>
          </w:tcPr>
          <w:p w14:paraId="52CD2183" w14:textId="139A0987" w:rsidR="00CF72D5" w:rsidRPr="002029AF" w:rsidRDefault="00CF72D5" w:rsidP="0097339F">
            <w:pPr>
              <w:pStyle w:val="ARtabletext"/>
            </w:pPr>
            <w:r w:rsidRPr="002029AF">
              <w:t>Ernst</w:t>
            </w:r>
            <w:r w:rsidR="000A5329" w:rsidRPr="002029AF">
              <w:t xml:space="preserve"> </w:t>
            </w:r>
            <w:r w:rsidRPr="002029AF">
              <w:t>&amp;</w:t>
            </w:r>
            <w:r w:rsidR="000A5329" w:rsidRPr="002029AF">
              <w:t xml:space="preserve"> </w:t>
            </w:r>
            <w:r w:rsidRPr="002029AF">
              <w:t>Young</w:t>
            </w:r>
            <w:r w:rsidR="000A5329" w:rsidRPr="002029AF">
              <w:t xml:space="preserve"> </w:t>
            </w:r>
            <w:r w:rsidRPr="002029AF">
              <w:t>Services</w:t>
            </w:r>
            <w:r w:rsidR="000A5329" w:rsidRPr="002029AF">
              <w:t xml:space="preserve"> </w:t>
            </w:r>
            <w:r w:rsidRPr="002029AF">
              <w:t>Pty</w:t>
            </w:r>
            <w:r w:rsidR="000A5329" w:rsidRPr="002029AF">
              <w:t xml:space="preserve"> </w:t>
            </w:r>
            <w:r w:rsidRPr="002029AF">
              <w:t>Ltd</w:t>
            </w:r>
          </w:p>
        </w:tc>
        <w:tc>
          <w:tcPr>
            <w:tcW w:w="1173" w:type="pct"/>
          </w:tcPr>
          <w:p w14:paraId="228B78BB" w14:textId="5F91109F" w:rsidR="00CF72D5" w:rsidRPr="002029AF" w:rsidRDefault="00CF72D5" w:rsidP="0097339F">
            <w:pPr>
              <w:pStyle w:val="ARtabletextbold"/>
            </w:pPr>
            <w:r w:rsidRPr="002029AF">
              <w:t>Strategic</w:t>
            </w:r>
            <w:r w:rsidR="000A5329" w:rsidRPr="002029AF">
              <w:t xml:space="preserve"> </w:t>
            </w:r>
            <w:r w:rsidRPr="002029AF">
              <w:t>Alliance</w:t>
            </w:r>
            <w:r w:rsidR="000A5329" w:rsidRPr="002029AF">
              <w:t xml:space="preserve"> </w:t>
            </w:r>
            <w:r w:rsidRPr="002029AF">
              <w:t>(Community</w:t>
            </w:r>
            <w:r w:rsidR="000A5329" w:rsidRPr="002029AF">
              <w:t xml:space="preserve"> </w:t>
            </w:r>
            <w:r w:rsidRPr="002029AF">
              <w:t>Services)</w:t>
            </w:r>
            <w:r w:rsidR="000A5329" w:rsidRPr="002029AF">
              <w:t xml:space="preserve"> </w:t>
            </w:r>
            <w:r w:rsidRPr="002029AF">
              <w:t>included</w:t>
            </w:r>
            <w:r w:rsidR="000A5329" w:rsidRPr="002029AF">
              <w:t xml:space="preserve"> </w:t>
            </w:r>
            <w:r w:rsidRPr="002029AF">
              <w:t>the</w:t>
            </w:r>
            <w:r w:rsidR="000A5329" w:rsidRPr="002029AF">
              <w:t xml:space="preserve"> </w:t>
            </w:r>
            <w:r w:rsidRPr="002029AF">
              <w:t>following</w:t>
            </w:r>
            <w:r w:rsidR="000A5329" w:rsidRPr="002029AF">
              <w:t xml:space="preserve"> </w:t>
            </w:r>
            <w:r w:rsidRPr="002029AF">
              <w:t>project</w:t>
            </w:r>
            <w:r w:rsidR="000A5329" w:rsidRPr="002029AF">
              <w:t xml:space="preserve"> </w:t>
            </w:r>
            <w:r w:rsidRPr="002029AF">
              <w:t>payments</w:t>
            </w:r>
            <w:r w:rsidR="000A5329" w:rsidRPr="002029AF">
              <w:t xml:space="preserve"> </w:t>
            </w:r>
            <w:r w:rsidRPr="002029AF">
              <w:t>in</w:t>
            </w:r>
            <w:r w:rsidR="000A5329" w:rsidRPr="002029AF">
              <w:t xml:space="preserve"> </w:t>
            </w:r>
            <w:r w:rsidR="41DDD1E7" w:rsidRPr="002029AF">
              <w:t>201</w:t>
            </w:r>
            <w:r w:rsidR="00DB53E6" w:rsidRPr="002029AF">
              <w:t>9–</w:t>
            </w:r>
            <w:r w:rsidR="41DDD1E7" w:rsidRPr="002029AF">
              <w:t>20:</w:t>
            </w:r>
          </w:p>
        </w:tc>
        <w:tc>
          <w:tcPr>
            <w:tcW w:w="766" w:type="pct"/>
          </w:tcPr>
          <w:p w14:paraId="5BA3651D" w14:textId="3E280FE4" w:rsidR="00CF72D5" w:rsidRPr="002029AF" w:rsidRDefault="00CF72D5" w:rsidP="00A57FDC">
            <w:pPr>
              <w:pStyle w:val="ARtabletextright"/>
            </w:pPr>
            <w:r w:rsidRPr="002029AF">
              <w:t>8,181,818</w:t>
            </w:r>
            <w:bookmarkStart w:id="138" w:name="_Ref53241075"/>
            <w:r w:rsidR="009E5882" w:rsidRPr="009E5882">
              <w:footnoteReference w:id="18"/>
            </w:r>
            <w:bookmarkEnd w:id="138"/>
          </w:p>
        </w:tc>
        <w:tc>
          <w:tcPr>
            <w:tcW w:w="766" w:type="pct"/>
          </w:tcPr>
          <w:p w14:paraId="266AF8CE" w14:textId="77777777" w:rsidR="00CF72D5" w:rsidRPr="002029AF" w:rsidRDefault="00CF72D5" w:rsidP="00A57FDC">
            <w:pPr>
              <w:pStyle w:val="ARtabletextright"/>
            </w:pPr>
            <w:r w:rsidRPr="002029AF">
              <w:t>1,608,594</w:t>
            </w:r>
          </w:p>
        </w:tc>
        <w:tc>
          <w:tcPr>
            <w:tcW w:w="762" w:type="pct"/>
          </w:tcPr>
          <w:p w14:paraId="70D7C68F" w14:textId="258211F7" w:rsidR="00CF72D5" w:rsidRPr="002029AF" w:rsidRDefault="00CF72D5" w:rsidP="00A57FDC">
            <w:pPr>
              <w:pStyle w:val="ARtabletextright"/>
            </w:pPr>
            <w:r w:rsidRPr="002029AF">
              <w:t>4,380,819</w:t>
            </w:r>
            <w:r w:rsidR="008667C8" w:rsidRPr="008667C8">
              <w:fldChar w:fldCharType="begin"/>
            </w:r>
            <w:r w:rsidR="008667C8" w:rsidRPr="008667C8">
              <w:instrText xml:space="preserve"> NOTEREF _Ref53241075 \h </w:instrText>
            </w:r>
            <w:r w:rsidR="008667C8" w:rsidRPr="008667C8">
              <w:fldChar w:fldCharType="separate"/>
            </w:r>
            <w:r w:rsidR="00F3275D">
              <w:t>*</w:t>
            </w:r>
            <w:r w:rsidR="008667C8" w:rsidRPr="008667C8">
              <w:fldChar w:fldCharType="end"/>
            </w:r>
          </w:p>
        </w:tc>
      </w:tr>
      <w:tr w:rsidR="00CF72D5" w:rsidRPr="002029AF" w14:paraId="5D84872E" w14:textId="77777777" w:rsidTr="00457506">
        <w:tc>
          <w:tcPr>
            <w:tcW w:w="767" w:type="pct"/>
          </w:tcPr>
          <w:p w14:paraId="2F48468B" w14:textId="6BDD192E"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02C70B7B" w14:textId="77777777" w:rsidR="00CF72D5" w:rsidRPr="002029AF" w:rsidRDefault="00CF72D5" w:rsidP="00897193">
            <w:pPr>
              <w:pStyle w:val="ARtablecolhead"/>
              <w:rPr>
                <w:b w:val="0"/>
                <w:bCs/>
              </w:rPr>
            </w:pPr>
          </w:p>
        </w:tc>
        <w:tc>
          <w:tcPr>
            <w:tcW w:w="1173" w:type="pct"/>
          </w:tcPr>
          <w:p w14:paraId="29101E04" w14:textId="4AC0F2CD" w:rsidR="00CF72D5" w:rsidRPr="002029AF" w:rsidRDefault="00CF72D5" w:rsidP="0097339F">
            <w:pPr>
              <w:pStyle w:val="ARtabletext"/>
            </w:pPr>
            <w:r w:rsidRPr="002029AF">
              <w:t>Dashboard</w:t>
            </w:r>
            <w:r w:rsidR="000A5329" w:rsidRPr="002029AF">
              <w:t xml:space="preserve"> </w:t>
            </w:r>
            <w:r w:rsidRPr="002029AF">
              <w:t>development,</w:t>
            </w:r>
            <w:r w:rsidR="000A5329" w:rsidRPr="002029AF">
              <w:t xml:space="preserve"> </w:t>
            </w:r>
            <w:r w:rsidRPr="002029AF">
              <w:t>Social</w:t>
            </w:r>
            <w:r w:rsidR="000A5329" w:rsidRPr="002029AF">
              <w:t xml:space="preserve"> </w:t>
            </w:r>
            <w:r w:rsidRPr="002029AF">
              <w:t>Landlord</w:t>
            </w:r>
            <w:r w:rsidR="000A5329" w:rsidRPr="002029AF">
              <w:t xml:space="preserve"> </w:t>
            </w:r>
            <w:r w:rsidRPr="002029AF">
              <w:t>Framework</w:t>
            </w:r>
          </w:p>
        </w:tc>
        <w:tc>
          <w:tcPr>
            <w:tcW w:w="766" w:type="pct"/>
          </w:tcPr>
          <w:p w14:paraId="6A5C3900" w14:textId="77777777" w:rsidR="00CF72D5" w:rsidRPr="002029AF" w:rsidRDefault="00CF72D5" w:rsidP="00A57FDC">
            <w:pPr>
              <w:pStyle w:val="ARtabletextright"/>
            </w:pPr>
            <w:r w:rsidRPr="002029AF">
              <w:t>69,245</w:t>
            </w:r>
          </w:p>
        </w:tc>
        <w:tc>
          <w:tcPr>
            <w:tcW w:w="766" w:type="pct"/>
          </w:tcPr>
          <w:p w14:paraId="6F0392A8" w14:textId="77777777" w:rsidR="00CF72D5" w:rsidRPr="002029AF" w:rsidRDefault="00CF72D5" w:rsidP="00A57FDC">
            <w:pPr>
              <w:pStyle w:val="ARtabletextright"/>
            </w:pPr>
            <w:r w:rsidRPr="002029AF">
              <w:t>69,245</w:t>
            </w:r>
          </w:p>
        </w:tc>
        <w:tc>
          <w:tcPr>
            <w:tcW w:w="762" w:type="pct"/>
          </w:tcPr>
          <w:p w14:paraId="771E392E" w14:textId="77777777" w:rsidR="00CF72D5" w:rsidRPr="002029AF" w:rsidRDefault="00CF72D5" w:rsidP="00A57FDC">
            <w:pPr>
              <w:pStyle w:val="ARtabletextright"/>
            </w:pPr>
            <w:r w:rsidRPr="002029AF">
              <w:t>0</w:t>
            </w:r>
          </w:p>
        </w:tc>
      </w:tr>
      <w:tr w:rsidR="00CF72D5" w:rsidRPr="002029AF" w14:paraId="0E18C4DB" w14:textId="77777777" w:rsidTr="00457506">
        <w:tc>
          <w:tcPr>
            <w:tcW w:w="767" w:type="pct"/>
          </w:tcPr>
          <w:p w14:paraId="4042D816" w14:textId="574725B1"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5F689ECE" w14:textId="77777777" w:rsidR="00CF72D5" w:rsidRPr="002029AF" w:rsidRDefault="00CF72D5" w:rsidP="00897193">
            <w:pPr>
              <w:pStyle w:val="ARtablecolhead"/>
              <w:rPr>
                <w:b w:val="0"/>
                <w:bCs/>
              </w:rPr>
            </w:pPr>
          </w:p>
        </w:tc>
        <w:tc>
          <w:tcPr>
            <w:tcW w:w="1173" w:type="pct"/>
          </w:tcPr>
          <w:p w14:paraId="4BA1245E" w14:textId="4924C9F8" w:rsidR="00CF72D5" w:rsidRPr="002029AF" w:rsidRDefault="00CF72D5" w:rsidP="0097339F">
            <w:pPr>
              <w:pStyle w:val="ARtabletext"/>
            </w:pPr>
            <w:r w:rsidRPr="002029AF">
              <w:t>Forensic</w:t>
            </w:r>
            <w:r w:rsidR="000A5329" w:rsidRPr="002029AF">
              <w:t xml:space="preserve"> </w:t>
            </w:r>
            <w:r w:rsidRPr="002029AF">
              <w:t>Disability</w:t>
            </w:r>
            <w:r w:rsidR="000A5329" w:rsidRPr="002029AF">
              <w:t xml:space="preserve"> </w:t>
            </w:r>
            <w:r w:rsidRPr="002029AF">
              <w:t>System</w:t>
            </w:r>
            <w:r w:rsidR="000A5329" w:rsidRPr="002029AF">
              <w:t xml:space="preserve"> </w:t>
            </w:r>
            <w:r w:rsidRPr="002029AF">
              <w:t>Design</w:t>
            </w:r>
            <w:r w:rsidR="000A5329" w:rsidRPr="002029AF">
              <w:t xml:space="preserve"> </w:t>
            </w:r>
            <w:r w:rsidRPr="002029AF">
              <w:t>Project</w:t>
            </w:r>
          </w:p>
        </w:tc>
        <w:tc>
          <w:tcPr>
            <w:tcW w:w="766" w:type="pct"/>
          </w:tcPr>
          <w:p w14:paraId="7FFD1AB0" w14:textId="77777777" w:rsidR="00CF72D5" w:rsidRPr="002029AF" w:rsidRDefault="00CF72D5" w:rsidP="00A57FDC">
            <w:pPr>
              <w:pStyle w:val="ARtabletextright"/>
            </w:pPr>
            <w:r w:rsidRPr="002029AF">
              <w:t>227,273</w:t>
            </w:r>
          </w:p>
        </w:tc>
        <w:tc>
          <w:tcPr>
            <w:tcW w:w="766" w:type="pct"/>
          </w:tcPr>
          <w:p w14:paraId="2BF5CB66" w14:textId="77777777" w:rsidR="00CF72D5" w:rsidRPr="002029AF" w:rsidRDefault="00CF72D5" w:rsidP="00A57FDC">
            <w:pPr>
              <w:pStyle w:val="ARtabletextright"/>
            </w:pPr>
            <w:r w:rsidRPr="002029AF">
              <w:t>227,273</w:t>
            </w:r>
          </w:p>
        </w:tc>
        <w:tc>
          <w:tcPr>
            <w:tcW w:w="762" w:type="pct"/>
          </w:tcPr>
          <w:p w14:paraId="0F88CC78" w14:textId="77777777" w:rsidR="00CF72D5" w:rsidRPr="002029AF" w:rsidRDefault="00CF72D5" w:rsidP="00A57FDC">
            <w:pPr>
              <w:pStyle w:val="ARtabletextright"/>
            </w:pPr>
            <w:r w:rsidRPr="002029AF">
              <w:t>0</w:t>
            </w:r>
          </w:p>
        </w:tc>
      </w:tr>
      <w:tr w:rsidR="00CF72D5" w:rsidRPr="002029AF" w14:paraId="3D8E5344" w14:textId="77777777" w:rsidTr="00457506">
        <w:tc>
          <w:tcPr>
            <w:tcW w:w="767" w:type="pct"/>
          </w:tcPr>
          <w:p w14:paraId="6744ADF1" w14:textId="3D9F1605"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50D1F315" w14:textId="77777777" w:rsidR="00CF72D5" w:rsidRPr="002029AF" w:rsidRDefault="00CF72D5" w:rsidP="00897193">
            <w:pPr>
              <w:pStyle w:val="ARtablecolhead"/>
              <w:rPr>
                <w:b w:val="0"/>
                <w:bCs/>
              </w:rPr>
            </w:pPr>
          </w:p>
        </w:tc>
        <w:tc>
          <w:tcPr>
            <w:tcW w:w="1173" w:type="pct"/>
          </w:tcPr>
          <w:p w14:paraId="21674220" w14:textId="051C004A" w:rsidR="00CF72D5" w:rsidRPr="002029AF" w:rsidRDefault="00CF72D5" w:rsidP="0097339F">
            <w:pPr>
              <w:pStyle w:val="ARtabletext"/>
            </w:pPr>
            <w:r w:rsidRPr="002029AF">
              <w:t>Legislative</w:t>
            </w:r>
            <w:r w:rsidR="000A5329" w:rsidRPr="002029AF">
              <w:t xml:space="preserve"> </w:t>
            </w:r>
            <w:r w:rsidRPr="002029AF">
              <w:t>impact</w:t>
            </w:r>
            <w:r w:rsidR="000A5329" w:rsidRPr="002029AF">
              <w:t xml:space="preserve"> </w:t>
            </w:r>
            <w:r w:rsidRPr="002029AF">
              <w:t>assessment,</w:t>
            </w:r>
            <w:r w:rsidR="000A5329" w:rsidRPr="002029AF">
              <w:t xml:space="preserve"> </w:t>
            </w:r>
            <w:r w:rsidRPr="002029AF">
              <w:t>Reforms</w:t>
            </w:r>
            <w:r w:rsidR="000A5329" w:rsidRPr="002029AF">
              <w:t xml:space="preserve"> </w:t>
            </w:r>
            <w:r w:rsidRPr="002029AF">
              <w:t>to</w:t>
            </w:r>
            <w:r w:rsidR="000A5329" w:rsidRPr="002029AF">
              <w:t xml:space="preserve"> </w:t>
            </w:r>
            <w:r w:rsidRPr="002029AF">
              <w:t>Social</w:t>
            </w:r>
            <w:r w:rsidR="000A5329" w:rsidRPr="002029AF">
              <w:t xml:space="preserve"> </w:t>
            </w:r>
            <w:r w:rsidRPr="002029AF">
              <w:t>Services</w:t>
            </w:r>
            <w:r w:rsidR="000A5329" w:rsidRPr="002029AF">
              <w:t xml:space="preserve"> </w:t>
            </w:r>
            <w:r w:rsidRPr="002029AF">
              <w:t>Regulations</w:t>
            </w:r>
          </w:p>
        </w:tc>
        <w:tc>
          <w:tcPr>
            <w:tcW w:w="766" w:type="pct"/>
          </w:tcPr>
          <w:p w14:paraId="116082C5" w14:textId="77777777" w:rsidR="00CF72D5" w:rsidRPr="002029AF" w:rsidRDefault="00CF72D5" w:rsidP="00A57FDC">
            <w:pPr>
              <w:pStyle w:val="ARtabletextright"/>
            </w:pPr>
            <w:r w:rsidRPr="002029AF">
              <w:t>300,010</w:t>
            </w:r>
          </w:p>
        </w:tc>
        <w:tc>
          <w:tcPr>
            <w:tcW w:w="766" w:type="pct"/>
          </w:tcPr>
          <w:p w14:paraId="3E857B6F" w14:textId="77777777" w:rsidR="00CF72D5" w:rsidRPr="002029AF" w:rsidRDefault="00CF72D5" w:rsidP="00A57FDC">
            <w:pPr>
              <w:pStyle w:val="ARtabletextright"/>
            </w:pPr>
            <w:r w:rsidRPr="002029AF">
              <w:t>199,980</w:t>
            </w:r>
          </w:p>
        </w:tc>
        <w:tc>
          <w:tcPr>
            <w:tcW w:w="762" w:type="pct"/>
          </w:tcPr>
          <w:p w14:paraId="21DD3030" w14:textId="77777777" w:rsidR="00CF72D5" w:rsidRPr="002029AF" w:rsidRDefault="00CF72D5" w:rsidP="00A57FDC">
            <w:pPr>
              <w:pStyle w:val="ARtabletextright"/>
            </w:pPr>
            <w:r w:rsidRPr="002029AF">
              <w:t>100,030</w:t>
            </w:r>
          </w:p>
        </w:tc>
      </w:tr>
      <w:tr w:rsidR="00CF72D5" w:rsidRPr="002029AF" w14:paraId="4E787E4B" w14:textId="77777777" w:rsidTr="00457506">
        <w:tc>
          <w:tcPr>
            <w:tcW w:w="767" w:type="pct"/>
          </w:tcPr>
          <w:p w14:paraId="181D2987" w14:textId="21262178"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31CEE102" w14:textId="77777777" w:rsidR="00CF72D5" w:rsidRPr="002029AF" w:rsidRDefault="00CF72D5" w:rsidP="00897193">
            <w:pPr>
              <w:pStyle w:val="ARtablecolhead"/>
              <w:rPr>
                <w:b w:val="0"/>
                <w:bCs/>
              </w:rPr>
            </w:pPr>
          </w:p>
        </w:tc>
        <w:tc>
          <w:tcPr>
            <w:tcW w:w="1173" w:type="pct"/>
          </w:tcPr>
          <w:p w14:paraId="689ACFB5" w14:textId="2C0A82AE" w:rsidR="00CF72D5" w:rsidRPr="002029AF" w:rsidRDefault="00CF72D5" w:rsidP="0097339F">
            <w:pPr>
              <w:pStyle w:val="ARtabletext"/>
            </w:pPr>
            <w:r w:rsidRPr="002029AF">
              <w:t>Implementation,</w:t>
            </w:r>
            <w:r w:rsidR="000A5329" w:rsidRPr="002029AF">
              <w:t xml:space="preserve"> </w:t>
            </w:r>
            <w:r w:rsidRPr="002029AF">
              <w:t>Three</w:t>
            </w:r>
            <w:r w:rsidR="000A5329" w:rsidRPr="002029AF">
              <w:t xml:space="preserve"> </w:t>
            </w:r>
            <w:r w:rsidRPr="002029AF">
              <w:t>Pathways</w:t>
            </w:r>
          </w:p>
        </w:tc>
        <w:tc>
          <w:tcPr>
            <w:tcW w:w="766" w:type="pct"/>
          </w:tcPr>
          <w:p w14:paraId="161F459F" w14:textId="77777777" w:rsidR="00CF72D5" w:rsidRPr="002029AF" w:rsidRDefault="00CF72D5" w:rsidP="00A57FDC">
            <w:pPr>
              <w:pStyle w:val="ARtabletextright"/>
            </w:pPr>
            <w:r w:rsidRPr="002029AF">
              <w:t>309,000</w:t>
            </w:r>
          </w:p>
        </w:tc>
        <w:tc>
          <w:tcPr>
            <w:tcW w:w="766" w:type="pct"/>
          </w:tcPr>
          <w:p w14:paraId="48BEA9B2" w14:textId="77777777" w:rsidR="00CF72D5" w:rsidRPr="002029AF" w:rsidRDefault="00CF72D5" w:rsidP="00A57FDC">
            <w:pPr>
              <w:pStyle w:val="ARtabletextright"/>
            </w:pPr>
            <w:r w:rsidRPr="002029AF">
              <w:t>308,180</w:t>
            </w:r>
          </w:p>
        </w:tc>
        <w:tc>
          <w:tcPr>
            <w:tcW w:w="762" w:type="pct"/>
          </w:tcPr>
          <w:p w14:paraId="5580EFB3" w14:textId="77777777" w:rsidR="00CF72D5" w:rsidRPr="002029AF" w:rsidRDefault="00CF72D5" w:rsidP="00A57FDC">
            <w:pPr>
              <w:pStyle w:val="ARtabletextright"/>
            </w:pPr>
            <w:r w:rsidRPr="002029AF">
              <w:t>820</w:t>
            </w:r>
          </w:p>
        </w:tc>
      </w:tr>
      <w:tr w:rsidR="00CF72D5" w:rsidRPr="002029AF" w14:paraId="4DFEFD3B" w14:textId="77777777" w:rsidTr="00457506">
        <w:tc>
          <w:tcPr>
            <w:tcW w:w="767" w:type="pct"/>
          </w:tcPr>
          <w:p w14:paraId="7F91DC08" w14:textId="36F6451B"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19B3287A" w14:textId="77777777" w:rsidR="00CF72D5" w:rsidRPr="002029AF" w:rsidRDefault="00CF72D5" w:rsidP="00897193">
            <w:pPr>
              <w:pStyle w:val="ARtablecolhead"/>
              <w:rPr>
                <w:b w:val="0"/>
                <w:bCs/>
              </w:rPr>
            </w:pPr>
          </w:p>
        </w:tc>
        <w:tc>
          <w:tcPr>
            <w:tcW w:w="1173" w:type="pct"/>
          </w:tcPr>
          <w:p w14:paraId="092496AF" w14:textId="480127F1" w:rsidR="00CF72D5" w:rsidRPr="002029AF" w:rsidRDefault="00CF72D5" w:rsidP="0097339F">
            <w:pPr>
              <w:pStyle w:val="ARtabletext"/>
            </w:pPr>
            <w:r w:rsidRPr="002029AF">
              <w:t>Continuing</w:t>
            </w:r>
            <w:r w:rsidR="000A5329" w:rsidRPr="002029AF">
              <w:t xml:space="preserve"> </w:t>
            </w:r>
            <w:r w:rsidRPr="002029AF">
              <w:t>Disability</w:t>
            </w:r>
            <w:r w:rsidR="000A5329" w:rsidRPr="002029AF">
              <w:t xml:space="preserve"> </w:t>
            </w:r>
            <w:r w:rsidRPr="002029AF">
              <w:t>and</w:t>
            </w:r>
            <w:r w:rsidR="000A5329" w:rsidRPr="002029AF">
              <w:t xml:space="preserve"> </w:t>
            </w:r>
            <w:r w:rsidRPr="002029AF">
              <w:t>Community</w:t>
            </w:r>
            <w:r w:rsidR="000A5329" w:rsidRPr="002029AF">
              <w:t xml:space="preserve"> </w:t>
            </w:r>
            <w:r w:rsidRPr="002029AF">
              <w:t>Care</w:t>
            </w:r>
          </w:p>
        </w:tc>
        <w:tc>
          <w:tcPr>
            <w:tcW w:w="766" w:type="pct"/>
          </w:tcPr>
          <w:p w14:paraId="5BB55A31" w14:textId="77777777" w:rsidR="00CF72D5" w:rsidRPr="002029AF" w:rsidRDefault="00CF72D5" w:rsidP="00A57FDC">
            <w:pPr>
              <w:pStyle w:val="ARtabletextright"/>
            </w:pPr>
            <w:r w:rsidRPr="002029AF">
              <w:t>199,980</w:t>
            </w:r>
          </w:p>
        </w:tc>
        <w:tc>
          <w:tcPr>
            <w:tcW w:w="766" w:type="pct"/>
          </w:tcPr>
          <w:p w14:paraId="5751E07E" w14:textId="77777777" w:rsidR="00CF72D5" w:rsidRPr="002029AF" w:rsidRDefault="00CF72D5" w:rsidP="00A57FDC">
            <w:pPr>
              <w:pStyle w:val="ARtabletextright"/>
            </w:pPr>
            <w:r w:rsidRPr="002029AF">
              <w:t>86,908</w:t>
            </w:r>
          </w:p>
        </w:tc>
        <w:tc>
          <w:tcPr>
            <w:tcW w:w="762" w:type="pct"/>
          </w:tcPr>
          <w:p w14:paraId="7B1E21AE" w14:textId="77777777" w:rsidR="00CF72D5" w:rsidRPr="002029AF" w:rsidRDefault="00CF72D5" w:rsidP="00A57FDC">
            <w:pPr>
              <w:pStyle w:val="ARtabletextright"/>
            </w:pPr>
            <w:r w:rsidRPr="002029AF">
              <w:t>113,073</w:t>
            </w:r>
          </w:p>
        </w:tc>
      </w:tr>
      <w:tr w:rsidR="00CF72D5" w:rsidRPr="002029AF" w14:paraId="13A17726" w14:textId="77777777" w:rsidTr="00457506">
        <w:tc>
          <w:tcPr>
            <w:tcW w:w="767" w:type="pct"/>
          </w:tcPr>
          <w:p w14:paraId="4A45A55D" w14:textId="578438FE"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6CE5ADF5" w14:textId="77777777" w:rsidR="00CF72D5" w:rsidRPr="002029AF" w:rsidRDefault="00CF72D5" w:rsidP="00897193">
            <w:pPr>
              <w:pStyle w:val="ARtablecolhead"/>
              <w:rPr>
                <w:b w:val="0"/>
                <w:bCs/>
              </w:rPr>
            </w:pPr>
          </w:p>
        </w:tc>
        <w:tc>
          <w:tcPr>
            <w:tcW w:w="1173" w:type="pct"/>
          </w:tcPr>
          <w:p w14:paraId="424F93A7" w14:textId="01EBD675" w:rsidR="00CF72D5" w:rsidRPr="002029AF" w:rsidRDefault="00CF72D5" w:rsidP="0097339F">
            <w:pPr>
              <w:pStyle w:val="ARtabletext"/>
            </w:pPr>
            <w:r w:rsidRPr="002029AF">
              <w:t>Child</w:t>
            </w:r>
            <w:r w:rsidR="000A5329" w:rsidRPr="002029AF">
              <w:t xml:space="preserve"> </w:t>
            </w:r>
            <w:r w:rsidRPr="002029AF">
              <w:t>Protection</w:t>
            </w:r>
            <w:r w:rsidR="000A5329" w:rsidRPr="002029AF">
              <w:t xml:space="preserve"> </w:t>
            </w:r>
            <w:r w:rsidRPr="002029AF">
              <w:t>Futures,</w:t>
            </w:r>
            <w:r w:rsidR="000A5329" w:rsidRPr="002029AF">
              <w:t xml:space="preserve"> </w:t>
            </w:r>
            <w:r w:rsidRPr="002029AF">
              <w:t>Phase</w:t>
            </w:r>
            <w:r w:rsidR="000A5329" w:rsidRPr="002029AF">
              <w:t xml:space="preserve"> </w:t>
            </w:r>
            <w:r w:rsidRPr="002029AF">
              <w:t>2</w:t>
            </w:r>
          </w:p>
        </w:tc>
        <w:tc>
          <w:tcPr>
            <w:tcW w:w="766" w:type="pct"/>
          </w:tcPr>
          <w:p w14:paraId="01E04D0E" w14:textId="77777777" w:rsidR="00CF72D5" w:rsidRPr="002029AF" w:rsidRDefault="00CF72D5" w:rsidP="00A57FDC">
            <w:pPr>
              <w:pStyle w:val="ARtabletextright"/>
            </w:pPr>
            <w:r w:rsidRPr="002029AF">
              <w:t>353,372</w:t>
            </w:r>
          </w:p>
        </w:tc>
        <w:tc>
          <w:tcPr>
            <w:tcW w:w="766" w:type="pct"/>
          </w:tcPr>
          <w:p w14:paraId="14F8CE55" w14:textId="77777777" w:rsidR="00CF72D5" w:rsidRPr="002029AF" w:rsidRDefault="00CF72D5" w:rsidP="00A57FDC">
            <w:pPr>
              <w:pStyle w:val="ARtabletextright"/>
            </w:pPr>
            <w:r w:rsidRPr="002029AF">
              <w:t>353,372</w:t>
            </w:r>
          </w:p>
        </w:tc>
        <w:tc>
          <w:tcPr>
            <w:tcW w:w="762" w:type="pct"/>
          </w:tcPr>
          <w:p w14:paraId="281047DB" w14:textId="77777777" w:rsidR="00CF72D5" w:rsidRPr="002029AF" w:rsidRDefault="00CF72D5" w:rsidP="00A57FDC">
            <w:pPr>
              <w:pStyle w:val="ARtabletextright"/>
            </w:pPr>
            <w:r w:rsidRPr="002029AF">
              <w:t>0</w:t>
            </w:r>
          </w:p>
        </w:tc>
      </w:tr>
      <w:tr w:rsidR="00CF72D5" w:rsidRPr="002029AF" w14:paraId="41551F01" w14:textId="77777777" w:rsidTr="00457506">
        <w:tc>
          <w:tcPr>
            <w:tcW w:w="767" w:type="pct"/>
          </w:tcPr>
          <w:p w14:paraId="3464B76F" w14:textId="6A4E1582"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16DDF3DF" w14:textId="77777777" w:rsidR="00CF72D5" w:rsidRPr="002029AF" w:rsidRDefault="00CF72D5" w:rsidP="00897193">
            <w:pPr>
              <w:pStyle w:val="ARtablecolhead"/>
              <w:rPr>
                <w:b w:val="0"/>
                <w:bCs/>
              </w:rPr>
            </w:pPr>
          </w:p>
        </w:tc>
        <w:tc>
          <w:tcPr>
            <w:tcW w:w="1173" w:type="pct"/>
          </w:tcPr>
          <w:p w14:paraId="5BE15D9E" w14:textId="29C985D8" w:rsidR="00CF72D5" w:rsidRPr="002029AF" w:rsidRDefault="00CF72D5" w:rsidP="0097339F">
            <w:pPr>
              <w:pStyle w:val="ARtabletext"/>
            </w:pPr>
            <w:r w:rsidRPr="002029AF">
              <w:t>Disability</w:t>
            </w:r>
            <w:r w:rsidR="000A5329" w:rsidRPr="002029AF">
              <w:t xml:space="preserve"> </w:t>
            </w:r>
            <w:r w:rsidRPr="002029AF">
              <w:t>Worker</w:t>
            </w:r>
            <w:r w:rsidR="000A5329" w:rsidRPr="002029AF">
              <w:t xml:space="preserve"> </w:t>
            </w:r>
            <w:r w:rsidRPr="002029AF">
              <w:t>Regulations</w:t>
            </w:r>
          </w:p>
        </w:tc>
        <w:tc>
          <w:tcPr>
            <w:tcW w:w="766" w:type="pct"/>
          </w:tcPr>
          <w:p w14:paraId="6FD16BA9" w14:textId="77777777" w:rsidR="00CF72D5" w:rsidRPr="002029AF" w:rsidRDefault="00CF72D5" w:rsidP="00A57FDC">
            <w:pPr>
              <w:pStyle w:val="ARtabletextright"/>
            </w:pPr>
            <w:r w:rsidRPr="002029AF">
              <w:t>363,636</w:t>
            </w:r>
          </w:p>
        </w:tc>
        <w:tc>
          <w:tcPr>
            <w:tcW w:w="766" w:type="pct"/>
          </w:tcPr>
          <w:p w14:paraId="501C1680" w14:textId="77777777" w:rsidR="00CF72D5" w:rsidRPr="002029AF" w:rsidRDefault="00CF72D5" w:rsidP="00A57FDC">
            <w:pPr>
              <w:pStyle w:val="ARtabletextright"/>
            </w:pPr>
            <w:r w:rsidRPr="002029AF">
              <w:t>363,636</w:t>
            </w:r>
          </w:p>
        </w:tc>
        <w:tc>
          <w:tcPr>
            <w:tcW w:w="762" w:type="pct"/>
          </w:tcPr>
          <w:p w14:paraId="6097F9C0" w14:textId="77777777" w:rsidR="00CF72D5" w:rsidRPr="002029AF" w:rsidRDefault="00CF72D5" w:rsidP="00A57FDC">
            <w:pPr>
              <w:pStyle w:val="ARtabletextright"/>
            </w:pPr>
            <w:r w:rsidRPr="002029AF">
              <w:t>0</w:t>
            </w:r>
          </w:p>
        </w:tc>
      </w:tr>
      <w:tr w:rsidR="00CF72D5" w:rsidRPr="002029AF" w14:paraId="0FD52F0A" w14:textId="77777777" w:rsidTr="00457506">
        <w:tc>
          <w:tcPr>
            <w:tcW w:w="767" w:type="pct"/>
          </w:tcPr>
          <w:p w14:paraId="7993448C" w14:textId="56ED7692"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val="restart"/>
          </w:tcPr>
          <w:p w14:paraId="21B9B13D" w14:textId="4319C5E7" w:rsidR="00CF72D5" w:rsidRPr="00430524" w:rsidRDefault="00CF72D5" w:rsidP="002210F5">
            <w:pPr>
              <w:pStyle w:val="ARtabletext"/>
            </w:pPr>
            <w:r w:rsidRPr="00430524">
              <w:t>Nous</w:t>
            </w:r>
            <w:r w:rsidR="000A5329" w:rsidRPr="00430524">
              <w:t xml:space="preserve"> </w:t>
            </w:r>
            <w:r w:rsidRPr="00430524">
              <w:t>Group</w:t>
            </w:r>
            <w:r w:rsidR="000A5329" w:rsidRPr="00430524">
              <w:t xml:space="preserve"> </w:t>
            </w:r>
            <w:r w:rsidRPr="00430524">
              <w:t>Pty</w:t>
            </w:r>
            <w:r w:rsidR="000A5329" w:rsidRPr="00430524">
              <w:t xml:space="preserve"> </w:t>
            </w:r>
            <w:r w:rsidRPr="00430524">
              <w:t>Ltd</w:t>
            </w:r>
          </w:p>
        </w:tc>
        <w:tc>
          <w:tcPr>
            <w:tcW w:w="1173" w:type="pct"/>
          </w:tcPr>
          <w:p w14:paraId="6BD126BB" w14:textId="2569C831" w:rsidR="00CF72D5" w:rsidRPr="002029AF" w:rsidRDefault="00CF72D5" w:rsidP="00457506">
            <w:pPr>
              <w:pStyle w:val="ARtabletextbold"/>
            </w:pPr>
            <w:r w:rsidRPr="002029AF">
              <w:t>Strategic</w:t>
            </w:r>
            <w:r w:rsidR="000A5329" w:rsidRPr="002029AF">
              <w:t xml:space="preserve"> </w:t>
            </w:r>
            <w:r w:rsidRPr="002029AF">
              <w:t>Alliance</w:t>
            </w:r>
            <w:r w:rsidR="000A5329" w:rsidRPr="002029AF">
              <w:t xml:space="preserve"> </w:t>
            </w:r>
            <w:r w:rsidRPr="002029AF">
              <w:t>(Community</w:t>
            </w:r>
            <w:r w:rsidR="000A5329" w:rsidRPr="002029AF">
              <w:t xml:space="preserve"> </w:t>
            </w:r>
            <w:r w:rsidRPr="002029AF">
              <w:t>Services)</w:t>
            </w:r>
            <w:r w:rsidR="000A5329" w:rsidRPr="002029AF">
              <w:t xml:space="preserve"> </w:t>
            </w:r>
            <w:r w:rsidRPr="002029AF">
              <w:t>included</w:t>
            </w:r>
            <w:r w:rsidR="000A5329" w:rsidRPr="002029AF">
              <w:t xml:space="preserve"> </w:t>
            </w:r>
            <w:r w:rsidRPr="002029AF">
              <w:t>the</w:t>
            </w:r>
            <w:r w:rsidR="000A5329" w:rsidRPr="002029AF">
              <w:t xml:space="preserve"> </w:t>
            </w:r>
            <w:r w:rsidRPr="002029AF">
              <w:t>following</w:t>
            </w:r>
            <w:r w:rsidR="000A5329" w:rsidRPr="002029AF">
              <w:t xml:space="preserve"> </w:t>
            </w:r>
            <w:r w:rsidRPr="002029AF">
              <w:t>project</w:t>
            </w:r>
            <w:r w:rsidR="000A5329" w:rsidRPr="002029AF">
              <w:t xml:space="preserve"> </w:t>
            </w:r>
            <w:r w:rsidRPr="002029AF">
              <w:t>payments</w:t>
            </w:r>
            <w:r w:rsidR="000A5329" w:rsidRPr="002029AF">
              <w:t xml:space="preserve"> </w:t>
            </w:r>
            <w:r w:rsidR="000343EC" w:rsidRPr="002029AF">
              <w:t>in</w:t>
            </w:r>
            <w:r w:rsidR="000A5329" w:rsidRPr="002029AF">
              <w:t xml:space="preserve"> </w:t>
            </w:r>
            <w:r w:rsidR="000343EC" w:rsidRPr="002029AF">
              <w:t>201</w:t>
            </w:r>
            <w:r w:rsidR="00DB53E6" w:rsidRPr="002029AF">
              <w:t>9–</w:t>
            </w:r>
            <w:r w:rsidR="7802A288" w:rsidRPr="002029AF">
              <w:t>20:</w:t>
            </w:r>
          </w:p>
        </w:tc>
        <w:tc>
          <w:tcPr>
            <w:tcW w:w="766" w:type="pct"/>
          </w:tcPr>
          <w:p w14:paraId="51C7CF44" w14:textId="08871993" w:rsidR="00CF72D5" w:rsidRPr="002029AF" w:rsidRDefault="00CF72D5" w:rsidP="00A57FDC">
            <w:pPr>
              <w:pStyle w:val="ARtabletextright"/>
            </w:pPr>
            <w:r w:rsidRPr="002029AF">
              <w:t>2,727,273</w:t>
            </w:r>
            <w:r w:rsidR="008667C8" w:rsidRPr="008667C8">
              <w:fldChar w:fldCharType="begin"/>
            </w:r>
            <w:r w:rsidR="008667C8" w:rsidRPr="008667C8">
              <w:instrText xml:space="preserve"> NOTEREF _Ref53241075 \h </w:instrText>
            </w:r>
            <w:r w:rsidR="008667C8" w:rsidRPr="008667C8">
              <w:fldChar w:fldCharType="separate"/>
            </w:r>
            <w:r w:rsidR="00F3275D">
              <w:t>*</w:t>
            </w:r>
            <w:r w:rsidR="008667C8" w:rsidRPr="008667C8">
              <w:fldChar w:fldCharType="end"/>
            </w:r>
          </w:p>
        </w:tc>
        <w:tc>
          <w:tcPr>
            <w:tcW w:w="766" w:type="pct"/>
          </w:tcPr>
          <w:p w14:paraId="79673CF1" w14:textId="77777777" w:rsidR="00CF72D5" w:rsidRPr="002029AF" w:rsidRDefault="00CF72D5" w:rsidP="00A57FDC">
            <w:pPr>
              <w:pStyle w:val="ARtabletextright"/>
            </w:pPr>
            <w:r w:rsidRPr="002029AF">
              <w:t>242,838</w:t>
            </w:r>
          </w:p>
        </w:tc>
        <w:tc>
          <w:tcPr>
            <w:tcW w:w="762" w:type="pct"/>
          </w:tcPr>
          <w:p w14:paraId="0899D035" w14:textId="32A836AA" w:rsidR="00CF72D5" w:rsidRPr="002029AF" w:rsidRDefault="00CF72D5" w:rsidP="00A57FDC">
            <w:pPr>
              <w:pStyle w:val="ARtabletextright"/>
            </w:pPr>
            <w:r w:rsidRPr="002029AF">
              <w:t>1,536,587</w:t>
            </w:r>
            <w:r w:rsidR="008667C8" w:rsidRPr="008667C8">
              <w:fldChar w:fldCharType="begin"/>
            </w:r>
            <w:r w:rsidR="008667C8" w:rsidRPr="008667C8">
              <w:instrText xml:space="preserve"> NOTEREF _Ref53241075 \h </w:instrText>
            </w:r>
            <w:r w:rsidR="008667C8" w:rsidRPr="008667C8">
              <w:fldChar w:fldCharType="separate"/>
            </w:r>
            <w:r w:rsidR="00F3275D">
              <w:t>*</w:t>
            </w:r>
            <w:r w:rsidR="008667C8" w:rsidRPr="008667C8">
              <w:fldChar w:fldCharType="end"/>
            </w:r>
          </w:p>
        </w:tc>
      </w:tr>
      <w:tr w:rsidR="00CF72D5" w:rsidRPr="002029AF" w14:paraId="63BA88B4" w14:textId="77777777" w:rsidTr="00457506">
        <w:tc>
          <w:tcPr>
            <w:tcW w:w="767" w:type="pct"/>
          </w:tcPr>
          <w:p w14:paraId="007A4570" w14:textId="10866E0B"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6DC69301" w14:textId="77777777" w:rsidR="00CF72D5" w:rsidRPr="002029AF" w:rsidRDefault="00CF72D5" w:rsidP="00897193">
            <w:pPr>
              <w:pStyle w:val="ARtablecolhead"/>
              <w:rPr>
                <w:b w:val="0"/>
                <w:bCs/>
              </w:rPr>
            </w:pPr>
          </w:p>
        </w:tc>
        <w:tc>
          <w:tcPr>
            <w:tcW w:w="1173" w:type="pct"/>
          </w:tcPr>
          <w:p w14:paraId="76028BD7" w14:textId="3C1E1D56" w:rsidR="00CF72D5" w:rsidRPr="002029AF" w:rsidRDefault="00CF72D5" w:rsidP="0097339F">
            <w:pPr>
              <w:pStyle w:val="ARtabletext"/>
            </w:pPr>
            <w:r w:rsidRPr="002029AF">
              <w:t>DHHS</w:t>
            </w:r>
            <w:r w:rsidR="000A5329" w:rsidRPr="002029AF">
              <w:t xml:space="preserve"> </w:t>
            </w:r>
            <w:r w:rsidRPr="002029AF">
              <w:t>Regulation</w:t>
            </w:r>
            <w:r w:rsidR="000A5329" w:rsidRPr="002029AF">
              <w:t xml:space="preserve"> </w:t>
            </w:r>
            <w:r w:rsidRPr="002029AF">
              <w:t>Model</w:t>
            </w:r>
            <w:r w:rsidR="000A5329" w:rsidRPr="002029AF">
              <w:t xml:space="preserve"> </w:t>
            </w:r>
            <w:r w:rsidRPr="002029AF">
              <w:t>Options</w:t>
            </w:r>
          </w:p>
        </w:tc>
        <w:tc>
          <w:tcPr>
            <w:tcW w:w="766" w:type="pct"/>
          </w:tcPr>
          <w:p w14:paraId="5ABBB3DC" w14:textId="77777777" w:rsidR="00CF72D5" w:rsidRPr="002029AF" w:rsidRDefault="00CF72D5" w:rsidP="00A57FDC">
            <w:pPr>
              <w:pStyle w:val="ARtabletextright"/>
            </w:pPr>
            <w:r w:rsidRPr="002029AF">
              <w:t>90,909</w:t>
            </w:r>
          </w:p>
        </w:tc>
        <w:tc>
          <w:tcPr>
            <w:tcW w:w="766" w:type="pct"/>
          </w:tcPr>
          <w:p w14:paraId="6DEFE964" w14:textId="77777777" w:rsidR="00CF72D5" w:rsidRPr="002029AF" w:rsidRDefault="00CF72D5" w:rsidP="00A57FDC">
            <w:pPr>
              <w:pStyle w:val="ARtabletextright"/>
            </w:pPr>
            <w:r w:rsidRPr="002029AF">
              <w:t>53,859</w:t>
            </w:r>
          </w:p>
        </w:tc>
        <w:tc>
          <w:tcPr>
            <w:tcW w:w="762" w:type="pct"/>
          </w:tcPr>
          <w:p w14:paraId="27D9A5CE" w14:textId="77777777" w:rsidR="00CF72D5" w:rsidRPr="002029AF" w:rsidRDefault="00CF72D5" w:rsidP="00A57FDC">
            <w:pPr>
              <w:pStyle w:val="ARtabletextright"/>
            </w:pPr>
            <w:r w:rsidRPr="002029AF">
              <w:t>37,050</w:t>
            </w:r>
          </w:p>
        </w:tc>
      </w:tr>
      <w:tr w:rsidR="00CF72D5" w:rsidRPr="002029AF" w14:paraId="2B2B456F" w14:textId="77777777" w:rsidTr="00457506">
        <w:tc>
          <w:tcPr>
            <w:tcW w:w="767" w:type="pct"/>
          </w:tcPr>
          <w:p w14:paraId="061B5C6D" w14:textId="7490EAFA"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62B57ED0" w14:textId="77777777" w:rsidR="00CF72D5" w:rsidRPr="002029AF" w:rsidRDefault="00CF72D5" w:rsidP="00897193">
            <w:pPr>
              <w:pStyle w:val="ARtablecolhead"/>
              <w:rPr>
                <w:b w:val="0"/>
                <w:bCs/>
              </w:rPr>
            </w:pPr>
          </w:p>
        </w:tc>
        <w:tc>
          <w:tcPr>
            <w:tcW w:w="1173" w:type="pct"/>
          </w:tcPr>
          <w:p w14:paraId="67CEDAC2" w14:textId="14B334AA" w:rsidR="00CF72D5" w:rsidRPr="002029AF" w:rsidRDefault="00CF72D5" w:rsidP="0097339F">
            <w:pPr>
              <w:pStyle w:val="ARtabletext"/>
            </w:pPr>
            <w:r w:rsidRPr="002029AF">
              <w:t>Human</w:t>
            </w:r>
            <w:r w:rsidR="000A5329" w:rsidRPr="002029AF">
              <w:t xml:space="preserve"> </w:t>
            </w:r>
            <w:r w:rsidRPr="002029AF">
              <w:t>Services</w:t>
            </w:r>
            <w:r w:rsidR="000A5329" w:rsidRPr="002029AF">
              <w:t xml:space="preserve"> </w:t>
            </w:r>
            <w:r w:rsidRPr="002029AF">
              <w:t>Standards</w:t>
            </w:r>
          </w:p>
        </w:tc>
        <w:tc>
          <w:tcPr>
            <w:tcW w:w="766" w:type="pct"/>
          </w:tcPr>
          <w:p w14:paraId="05AB4595" w14:textId="77777777" w:rsidR="00CF72D5" w:rsidRPr="002029AF" w:rsidRDefault="00CF72D5" w:rsidP="00A57FDC">
            <w:pPr>
              <w:pStyle w:val="ARtabletextright"/>
            </w:pPr>
            <w:r w:rsidRPr="002029AF">
              <w:t>45,455</w:t>
            </w:r>
          </w:p>
        </w:tc>
        <w:tc>
          <w:tcPr>
            <w:tcW w:w="766" w:type="pct"/>
          </w:tcPr>
          <w:p w14:paraId="16991755" w14:textId="77777777" w:rsidR="00CF72D5" w:rsidRPr="002029AF" w:rsidRDefault="00CF72D5" w:rsidP="00A57FDC">
            <w:pPr>
              <w:pStyle w:val="ARtabletextright"/>
            </w:pPr>
            <w:r w:rsidRPr="002029AF">
              <w:t>45,455</w:t>
            </w:r>
          </w:p>
        </w:tc>
        <w:tc>
          <w:tcPr>
            <w:tcW w:w="762" w:type="pct"/>
          </w:tcPr>
          <w:p w14:paraId="0A20E62F" w14:textId="77777777" w:rsidR="00CF72D5" w:rsidRPr="002029AF" w:rsidRDefault="00CF72D5" w:rsidP="00A57FDC">
            <w:pPr>
              <w:pStyle w:val="ARtabletextright"/>
            </w:pPr>
            <w:r w:rsidRPr="002029AF">
              <w:t>0</w:t>
            </w:r>
          </w:p>
        </w:tc>
      </w:tr>
      <w:tr w:rsidR="00CF72D5" w:rsidRPr="002029AF" w14:paraId="41CBCC47" w14:textId="77777777" w:rsidTr="00457506">
        <w:tc>
          <w:tcPr>
            <w:tcW w:w="767" w:type="pct"/>
          </w:tcPr>
          <w:p w14:paraId="36137B2E" w14:textId="4F4005F8" w:rsidR="00CF72D5" w:rsidRPr="002029AF" w:rsidRDefault="00CF72D5" w:rsidP="0097339F">
            <w:pPr>
              <w:pStyle w:val="ARtabletext"/>
            </w:pPr>
            <w:r w:rsidRPr="002029AF">
              <w:lastRenderedPageBreak/>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246974F8" w14:textId="77777777" w:rsidR="00CF72D5" w:rsidRPr="002029AF" w:rsidRDefault="00CF72D5" w:rsidP="00897193">
            <w:pPr>
              <w:pStyle w:val="ARtablecolhead"/>
              <w:rPr>
                <w:b w:val="0"/>
                <w:bCs/>
              </w:rPr>
            </w:pPr>
          </w:p>
        </w:tc>
        <w:tc>
          <w:tcPr>
            <w:tcW w:w="1173" w:type="pct"/>
          </w:tcPr>
          <w:p w14:paraId="7CB91F16" w14:textId="27E7B647" w:rsidR="00CF72D5" w:rsidRPr="002029AF" w:rsidRDefault="00CF72D5" w:rsidP="0097339F">
            <w:pPr>
              <w:pStyle w:val="ARtabletext"/>
            </w:pPr>
            <w:r w:rsidRPr="002029AF">
              <w:t>Assessment,</w:t>
            </w:r>
            <w:r w:rsidR="000A5329" w:rsidRPr="002029AF">
              <w:t xml:space="preserve"> </w:t>
            </w:r>
            <w:r w:rsidRPr="002029AF">
              <w:t>Financial</w:t>
            </w:r>
            <w:r w:rsidR="000A5329" w:rsidRPr="002029AF">
              <w:t xml:space="preserve"> </w:t>
            </w:r>
            <w:r w:rsidRPr="002029AF">
              <w:t>Viability,</w:t>
            </w:r>
            <w:r w:rsidR="000A5329" w:rsidRPr="002029AF">
              <w:t xml:space="preserve"> </w:t>
            </w:r>
            <w:r w:rsidRPr="002029AF">
              <w:t>Supported</w:t>
            </w:r>
            <w:r w:rsidR="000A5329" w:rsidRPr="002029AF">
              <w:t xml:space="preserve"> </w:t>
            </w:r>
            <w:r w:rsidRPr="002029AF">
              <w:t>Residential</w:t>
            </w:r>
            <w:r w:rsidR="000A5329" w:rsidRPr="002029AF">
              <w:t xml:space="preserve"> </w:t>
            </w:r>
            <w:r w:rsidRPr="002029AF">
              <w:t>Services</w:t>
            </w:r>
          </w:p>
        </w:tc>
        <w:tc>
          <w:tcPr>
            <w:tcW w:w="766" w:type="pct"/>
          </w:tcPr>
          <w:p w14:paraId="64EA9CC1" w14:textId="77777777" w:rsidR="00CF72D5" w:rsidRPr="002029AF" w:rsidRDefault="00CF72D5" w:rsidP="00A57FDC">
            <w:pPr>
              <w:pStyle w:val="ARtabletextright"/>
            </w:pPr>
            <w:r w:rsidRPr="002029AF">
              <w:t>22,727</w:t>
            </w:r>
          </w:p>
        </w:tc>
        <w:tc>
          <w:tcPr>
            <w:tcW w:w="766" w:type="pct"/>
          </w:tcPr>
          <w:p w14:paraId="178C8B6E" w14:textId="77777777" w:rsidR="00CF72D5" w:rsidRPr="002029AF" w:rsidRDefault="00CF72D5" w:rsidP="00A57FDC">
            <w:pPr>
              <w:pStyle w:val="ARtabletextright"/>
            </w:pPr>
            <w:r w:rsidRPr="002029AF">
              <w:t>22,727</w:t>
            </w:r>
          </w:p>
        </w:tc>
        <w:tc>
          <w:tcPr>
            <w:tcW w:w="762" w:type="pct"/>
          </w:tcPr>
          <w:p w14:paraId="05CDC358" w14:textId="77777777" w:rsidR="00CF72D5" w:rsidRPr="002029AF" w:rsidRDefault="00CF72D5" w:rsidP="00A57FDC">
            <w:pPr>
              <w:pStyle w:val="ARtabletextright"/>
            </w:pPr>
            <w:r w:rsidRPr="002029AF">
              <w:t>0</w:t>
            </w:r>
          </w:p>
        </w:tc>
      </w:tr>
      <w:tr w:rsidR="00CF72D5" w:rsidRPr="002029AF" w14:paraId="61C26A74" w14:textId="77777777" w:rsidTr="00457506">
        <w:tc>
          <w:tcPr>
            <w:tcW w:w="767" w:type="pct"/>
          </w:tcPr>
          <w:p w14:paraId="42689A4E" w14:textId="159DF628"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41F48C5C" w14:textId="77777777" w:rsidR="00CF72D5" w:rsidRPr="002029AF" w:rsidRDefault="00CF72D5" w:rsidP="00897193">
            <w:pPr>
              <w:pStyle w:val="ARtablecolhead"/>
              <w:rPr>
                <w:b w:val="0"/>
                <w:bCs/>
              </w:rPr>
            </w:pPr>
          </w:p>
        </w:tc>
        <w:tc>
          <w:tcPr>
            <w:tcW w:w="1173" w:type="pct"/>
          </w:tcPr>
          <w:p w14:paraId="5DB98015" w14:textId="58EA443A" w:rsidR="00CF72D5" w:rsidRPr="002029AF" w:rsidRDefault="00CF72D5" w:rsidP="0097339F">
            <w:pPr>
              <w:pStyle w:val="ARtabletext"/>
            </w:pPr>
            <w:r w:rsidRPr="002029AF">
              <w:t>Support,</w:t>
            </w:r>
            <w:r w:rsidR="000A5329" w:rsidRPr="002029AF">
              <w:t xml:space="preserve"> </w:t>
            </w:r>
            <w:r w:rsidRPr="002029AF">
              <w:t>Regulation</w:t>
            </w:r>
            <w:r w:rsidR="000A5329" w:rsidRPr="002029AF">
              <w:t xml:space="preserve"> </w:t>
            </w:r>
            <w:r w:rsidRPr="002029AF">
              <w:t>reform</w:t>
            </w:r>
          </w:p>
        </w:tc>
        <w:tc>
          <w:tcPr>
            <w:tcW w:w="766" w:type="pct"/>
          </w:tcPr>
          <w:p w14:paraId="30739D97" w14:textId="77777777" w:rsidR="00CF72D5" w:rsidRPr="002029AF" w:rsidRDefault="00CF72D5" w:rsidP="00A57FDC">
            <w:pPr>
              <w:pStyle w:val="ARtabletextright"/>
            </w:pPr>
            <w:r w:rsidRPr="002029AF">
              <w:t>103,600</w:t>
            </w:r>
          </w:p>
        </w:tc>
        <w:tc>
          <w:tcPr>
            <w:tcW w:w="766" w:type="pct"/>
          </w:tcPr>
          <w:p w14:paraId="5E717C46" w14:textId="77777777" w:rsidR="00CF72D5" w:rsidRPr="002029AF" w:rsidRDefault="00CF72D5" w:rsidP="00A57FDC">
            <w:pPr>
              <w:pStyle w:val="ARtabletextright"/>
            </w:pPr>
            <w:r w:rsidRPr="002029AF">
              <w:t>36,272</w:t>
            </w:r>
          </w:p>
        </w:tc>
        <w:tc>
          <w:tcPr>
            <w:tcW w:w="762" w:type="pct"/>
          </w:tcPr>
          <w:p w14:paraId="42B98224" w14:textId="77777777" w:rsidR="00CF72D5" w:rsidRPr="002029AF" w:rsidRDefault="00CF72D5" w:rsidP="00A57FDC">
            <w:pPr>
              <w:pStyle w:val="ARtabletextright"/>
            </w:pPr>
            <w:r w:rsidRPr="002029AF">
              <w:t>67,328</w:t>
            </w:r>
          </w:p>
        </w:tc>
      </w:tr>
      <w:tr w:rsidR="00CF72D5" w:rsidRPr="002029AF" w14:paraId="63E33F86" w14:textId="77777777" w:rsidTr="00457506">
        <w:tc>
          <w:tcPr>
            <w:tcW w:w="767" w:type="pct"/>
          </w:tcPr>
          <w:p w14:paraId="7A7ADA00" w14:textId="4676071F"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560A277D" w14:textId="77777777" w:rsidR="00CF72D5" w:rsidRPr="002029AF" w:rsidRDefault="00CF72D5" w:rsidP="00897193">
            <w:pPr>
              <w:pStyle w:val="ARtablecolhead"/>
              <w:rPr>
                <w:b w:val="0"/>
                <w:bCs/>
              </w:rPr>
            </w:pPr>
          </w:p>
        </w:tc>
        <w:tc>
          <w:tcPr>
            <w:tcW w:w="1173" w:type="pct"/>
          </w:tcPr>
          <w:p w14:paraId="5E99B90E" w14:textId="1612EDF9" w:rsidR="00CF72D5" w:rsidRPr="002029AF" w:rsidRDefault="00CF72D5" w:rsidP="0097339F">
            <w:pPr>
              <w:pStyle w:val="ARtabletext"/>
            </w:pPr>
            <w:r w:rsidRPr="002029AF">
              <w:t>Regulatory</w:t>
            </w:r>
            <w:r w:rsidR="000A5329" w:rsidRPr="002029AF">
              <w:t xml:space="preserve"> </w:t>
            </w:r>
            <w:r w:rsidRPr="002029AF">
              <w:t>reform</w:t>
            </w:r>
            <w:r w:rsidR="000A5329" w:rsidRPr="002029AF">
              <w:t xml:space="preserve"> </w:t>
            </w:r>
            <w:r w:rsidRPr="002029AF">
              <w:t>phase</w:t>
            </w:r>
            <w:r w:rsidR="000A5329" w:rsidRPr="002029AF">
              <w:t xml:space="preserve"> </w:t>
            </w:r>
            <w:r w:rsidRPr="002029AF">
              <w:t>2</w:t>
            </w:r>
            <w:r w:rsidR="0072293A" w:rsidRPr="002029AF">
              <w:t xml:space="preserve"> – </w:t>
            </w:r>
            <w:r w:rsidRPr="002029AF">
              <w:t>Information</w:t>
            </w:r>
            <w:r w:rsidR="000A5329" w:rsidRPr="002029AF">
              <w:t xml:space="preserve"> </w:t>
            </w:r>
            <w:r w:rsidRPr="002029AF">
              <w:t>Sharing</w:t>
            </w:r>
            <w:r w:rsidR="000A5329" w:rsidRPr="002029AF">
              <w:t xml:space="preserve"> </w:t>
            </w:r>
            <w:r w:rsidRPr="002029AF">
              <w:t>and</w:t>
            </w:r>
            <w:r w:rsidR="000A5329" w:rsidRPr="002029AF">
              <w:t xml:space="preserve"> </w:t>
            </w:r>
            <w:r w:rsidRPr="002029AF">
              <w:t>Mutual</w:t>
            </w:r>
            <w:r w:rsidR="000A5329" w:rsidRPr="002029AF">
              <w:t xml:space="preserve"> </w:t>
            </w:r>
            <w:r w:rsidRPr="002029AF">
              <w:t>Recognition</w:t>
            </w:r>
          </w:p>
        </w:tc>
        <w:tc>
          <w:tcPr>
            <w:tcW w:w="766" w:type="pct"/>
          </w:tcPr>
          <w:p w14:paraId="4A5D3556" w14:textId="77777777" w:rsidR="00CF72D5" w:rsidRPr="002029AF" w:rsidRDefault="00CF72D5" w:rsidP="00A57FDC">
            <w:pPr>
              <w:pStyle w:val="ARtabletextright"/>
            </w:pPr>
            <w:r w:rsidRPr="002029AF">
              <w:t>54,545</w:t>
            </w:r>
          </w:p>
        </w:tc>
        <w:tc>
          <w:tcPr>
            <w:tcW w:w="766" w:type="pct"/>
          </w:tcPr>
          <w:p w14:paraId="74D4099E" w14:textId="77777777" w:rsidR="00CF72D5" w:rsidRPr="002029AF" w:rsidRDefault="00CF72D5" w:rsidP="00A57FDC">
            <w:pPr>
              <w:pStyle w:val="ARtabletextright"/>
            </w:pPr>
            <w:r w:rsidRPr="002029AF">
              <w:t>52,707</w:t>
            </w:r>
          </w:p>
        </w:tc>
        <w:tc>
          <w:tcPr>
            <w:tcW w:w="762" w:type="pct"/>
          </w:tcPr>
          <w:p w14:paraId="0581E963" w14:textId="77777777" w:rsidR="00CF72D5" w:rsidRPr="002029AF" w:rsidRDefault="00CF72D5" w:rsidP="00A57FDC">
            <w:pPr>
              <w:pStyle w:val="ARtabletextright"/>
            </w:pPr>
            <w:r w:rsidRPr="002029AF">
              <w:t>1,839</w:t>
            </w:r>
          </w:p>
        </w:tc>
      </w:tr>
      <w:tr w:rsidR="00CF72D5" w:rsidRPr="002029AF" w14:paraId="525DDE24" w14:textId="77777777" w:rsidTr="00457506">
        <w:tc>
          <w:tcPr>
            <w:tcW w:w="767" w:type="pct"/>
          </w:tcPr>
          <w:p w14:paraId="2008D93D" w14:textId="0194AC9A"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0E82BFAC" w14:textId="77777777" w:rsidR="00CF72D5" w:rsidRPr="002029AF" w:rsidRDefault="00CF72D5" w:rsidP="00897193">
            <w:pPr>
              <w:pStyle w:val="ARtablecolhead"/>
              <w:rPr>
                <w:b w:val="0"/>
                <w:bCs/>
              </w:rPr>
            </w:pPr>
          </w:p>
        </w:tc>
        <w:tc>
          <w:tcPr>
            <w:tcW w:w="1173" w:type="pct"/>
          </w:tcPr>
          <w:p w14:paraId="48FFDA0A" w14:textId="779F44DA" w:rsidR="00CF72D5" w:rsidRPr="002029AF" w:rsidRDefault="00CF72D5" w:rsidP="0097339F">
            <w:pPr>
              <w:pStyle w:val="ARtabletext"/>
            </w:pPr>
            <w:r w:rsidRPr="002029AF">
              <w:t>Legislative</w:t>
            </w:r>
            <w:r w:rsidR="000A5329" w:rsidRPr="002029AF">
              <w:t xml:space="preserve"> </w:t>
            </w:r>
            <w:r w:rsidRPr="002029AF">
              <w:t>mapping</w:t>
            </w:r>
            <w:r w:rsidR="000A5329" w:rsidRPr="002029AF">
              <w:t xml:space="preserve"> </w:t>
            </w:r>
            <w:r w:rsidRPr="002029AF">
              <w:t>and</w:t>
            </w:r>
            <w:r w:rsidR="000A5329" w:rsidRPr="002029AF">
              <w:t xml:space="preserve"> </w:t>
            </w:r>
            <w:r w:rsidRPr="002029AF">
              <w:t>analysis</w:t>
            </w:r>
          </w:p>
        </w:tc>
        <w:tc>
          <w:tcPr>
            <w:tcW w:w="766" w:type="pct"/>
          </w:tcPr>
          <w:p w14:paraId="1A5C8016" w14:textId="77777777" w:rsidR="00CF72D5" w:rsidRPr="002029AF" w:rsidRDefault="00CF72D5" w:rsidP="00A57FDC">
            <w:pPr>
              <w:pStyle w:val="ARtabletextright"/>
            </w:pPr>
            <w:r w:rsidRPr="002029AF">
              <w:t>31,818</w:t>
            </w:r>
          </w:p>
        </w:tc>
        <w:tc>
          <w:tcPr>
            <w:tcW w:w="766" w:type="pct"/>
          </w:tcPr>
          <w:p w14:paraId="69AA8649" w14:textId="77777777" w:rsidR="00CF72D5" w:rsidRPr="002029AF" w:rsidRDefault="00CF72D5" w:rsidP="00A57FDC">
            <w:pPr>
              <w:pStyle w:val="ARtabletextright"/>
            </w:pPr>
            <w:r w:rsidRPr="002029AF">
              <w:t>31,818</w:t>
            </w:r>
          </w:p>
        </w:tc>
        <w:tc>
          <w:tcPr>
            <w:tcW w:w="762" w:type="pct"/>
          </w:tcPr>
          <w:p w14:paraId="4DEE847F" w14:textId="77777777" w:rsidR="00CF72D5" w:rsidRPr="002029AF" w:rsidRDefault="00CF72D5" w:rsidP="00A57FDC">
            <w:pPr>
              <w:pStyle w:val="ARtabletextright"/>
            </w:pPr>
            <w:r w:rsidRPr="002029AF">
              <w:t>0</w:t>
            </w:r>
          </w:p>
        </w:tc>
      </w:tr>
      <w:tr w:rsidR="00CF72D5" w:rsidRPr="002029AF" w14:paraId="1A993046" w14:textId="77777777" w:rsidTr="00457506">
        <w:tc>
          <w:tcPr>
            <w:tcW w:w="767" w:type="pct"/>
          </w:tcPr>
          <w:p w14:paraId="761FFB65" w14:textId="58C0C636"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val="restart"/>
          </w:tcPr>
          <w:p w14:paraId="43FC363F" w14:textId="77777777" w:rsidR="00CF72D5" w:rsidRPr="002029AF" w:rsidRDefault="00CF72D5" w:rsidP="0097339F">
            <w:pPr>
              <w:pStyle w:val="ARtabletext"/>
            </w:pPr>
            <w:r w:rsidRPr="002029AF">
              <w:t>KPMG</w:t>
            </w:r>
          </w:p>
        </w:tc>
        <w:tc>
          <w:tcPr>
            <w:tcW w:w="1173" w:type="pct"/>
          </w:tcPr>
          <w:p w14:paraId="3DB9DFBC" w14:textId="7A81E1D4" w:rsidR="00CF72D5" w:rsidRPr="002029AF" w:rsidRDefault="00CF72D5" w:rsidP="0097339F">
            <w:pPr>
              <w:pStyle w:val="ARtabletextbold"/>
            </w:pPr>
            <w:r w:rsidRPr="002029AF">
              <w:t>Strategic</w:t>
            </w:r>
            <w:r w:rsidR="000A5329" w:rsidRPr="002029AF">
              <w:t xml:space="preserve"> </w:t>
            </w:r>
            <w:r w:rsidRPr="002029AF">
              <w:t>Alliance</w:t>
            </w:r>
            <w:r w:rsidR="000A5329" w:rsidRPr="002029AF">
              <w:t xml:space="preserve"> </w:t>
            </w:r>
            <w:r w:rsidRPr="002029AF">
              <w:t>(Health)</w:t>
            </w:r>
            <w:r w:rsidR="000A5329" w:rsidRPr="002029AF">
              <w:t xml:space="preserve"> </w:t>
            </w:r>
            <w:r w:rsidRPr="002029AF">
              <w:t>included</w:t>
            </w:r>
            <w:r w:rsidR="000A5329" w:rsidRPr="002029AF">
              <w:t xml:space="preserve"> </w:t>
            </w:r>
            <w:r w:rsidRPr="002029AF">
              <w:t>the</w:t>
            </w:r>
            <w:r w:rsidR="000A5329" w:rsidRPr="002029AF">
              <w:t xml:space="preserve"> </w:t>
            </w:r>
            <w:r w:rsidRPr="002029AF">
              <w:t>following</w:t>
            </w:r>
            <w:r w:rsidR="000A5329" w:rsidRPr="002029AF">
              <w:t xml:space="preserve"> </w:t>
            </w:r>
            <w:r w:rsidRPr="002029AF">
              <w:t>project</w:t>
            </w:r>
            <w:r w:rsidR="000A5329" w:rsidRPr="002029AF">
              <w:t xml:space="preserve"> </w:t>
            </w:r>
            <w:r w:rsidRPr="002029AF">
              <w:t>payments</w:t>
            </w:r>
            <w:r w:rsidR="000A5329" w:rsidRPr="002029AF">
              <w:t xml:space="preserve"> </w:t>
            </w:r>
            <w:r w:rsidRPr="002029AF">
              <w:t>in</w:t>
            </w:r>
            <w:r w:rsidR="000A5329" w:rsidRPr="002029AF">
              <w:t xml:space="preserve"> </w:t>
            </w:r>
            <w:r w:rsidRPr="002029AF">
              <w:t>2019</w:t>
            </w:r>
            <w:r w:rsidR="0097339F" w:rsidRPr="002029AF">
              <w:t>–</w:t>
            </w:r>
            <w:r w:rsidRPr="002029AF">
              <w:t>20:</w:t>
            </w:r>
          </w:p>
        </w:tc>
        <w:tc>
          <w:tcPr>
            <w:tcW w:w="766" w:type="pct"/>
          </w:tcPr>
          <w:p w14:paraId="1EC908C3" w14:textId="44994F42" w:rsidR="00CF72D5" w:rsidRPr="002029AF" w:rsidRDefault="00CF72D5" w:rsidP="00A57FDC">
            <w:pPr>
              <w:pStyle w:val="ARtabletextright"/>
            </w:pPr>
            <w:r w:rsidRPr="002029AF">
              <w:t>9,090,909</w:t>
            </w:r>
            <w:bookmarkStart w:id="139" w:name="_Ref53241147"/>
            <w:r w:rsidR="008667C8" w:rsidRPr="009E5882">
              <w:footnoteReference w:id="19"/>
            </w:r>
            <w:bookmarkEnd w:id="139"/>
          </w:p>
        </w:tc>
        <w:tc>
          <w:tcPr>
            <w:tcW w:w="766" w:type="pct"/>
          </w:tcPr>
          <w:p w14:paraId="2161F609" w14:textId="77777777" w:rsidR="00CF72D5" w:rsidRPr="002029AF" w:rsidRDefault="00CF72D5" w:rsidP="00A57FDC">
            <w:pPr>
              <w:pStyle w:val="ARtabletextright"/>
            </w:pPr>
            <w:r w:rsidRPr="002029AF">
              <w:t>3,615,069</w:t>
            </w:r>
          </w:p>
        </w:tc>
        <w:tc>
          <w:tcPr>
            <w:tcW w:w="762" w:type="pct"/>
          </w:tcPr>
          <w:p w14:paraId="46287EE7" w14:textId="672479D5" w:rsidR="00CF72D5" w:rsidRPr="002029AF" w:rsidRDefault="00CF72D5" w:rsidP="00A57FDC">
            <w:pPr>
              <w:pStyle w:val="ARtabletextright"/>
            </w:pPr>
            <w:r w:rsidRPr="002029AF">
              <w:t>4,199,185</w:t>
            </w:r>
            <w:r w:rsidR="008667C8">
              <w:fldChar w:fldCharType="begin"/>
            </w:r>
            <w:r w:rsidR="008667C8">
              <w:instrText xml:space="preserve"> NOTEREF _Ref53241147 \h </w:instrText>
            </w:r>
            <w:r w:rsidR="008667C8">
              <w:fldChar w:fldCharType="separate"/>
            </w:r>
            <w:r w:rsidR="00F3275D">
              <w:t>*</w:t>
            </w:r>
            <w:r w:rsidR="008667C8">
              <w:fldChar w:fldCharType="end"/>
            </w:r>
          </w:p>
        </w:tc>
      </w:tr>
      <w:tr w:rsidR="00CF72D5" w:rsidRPr="002029AF" w14:paraId="730FB468" w14:textId="77777777" w:rsidTr="00457506">
        <w:tc>
          <w:tcPr>
            <w:tcW w:w="767" w:type="pct"/>
          </w:tcPr>
          <w:p w14:paraId="01DDA46E" w14:textId="0BA78AC3"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2EF9CFE0" w14:textId="77777777" w:rsidR="00CF72D5" w:rsidRPr="002029AF" w:rsidRDefault="00CF72D5" w:rsidP="00897193">
            <w:pPr>
              <w:pStyle w:val="ARtablecolhead"/>
              <w:rPr>
                <w:b w:val="0"/>
                <w:bCs/>
              </w:rPr>
            </w:pPr>
          </w:p>
        </w:tc>
        <w:tc>
          <w:tcPr>
            <w:tcW w:w="1173" w:type="pct"/>
          </w:tcPr>
          <w:p w14:paraId="40A89BE5" w14:textId="74023BEF" w:rsidR="00CF72D5" w:rsidRPr="002029AF" w:rsidRDefault="00CF72D5" w:rsidP="0097339F">
            <w:pPr>
              <w:pStyle w:val="ARtabletext"/>
            </w:pPr>
            <w:r w:rsidRPr="002029AF">
              <w:t>Sector</w:t>
            </w:r>
            <w:r w:rsidR="000A5329" w:rsidRPr="002029AF">
              <w:t xml:space="preserve"> </w:t>
            </w:r>
            <w:r w:rsidRPr="002029AF">
              <w:t>Leadership,</w:t>
            </w:r>
            <w:r w:rsidR="000A5329" w:rsidRPr="002029AF">
              <w:t xml:space="preserve"> </w:t>
            </w:r>
            <w:r w:rsidRPr="002029AF">
              <w:t>Talent</w:t>
            </w:r>
            <w:r w:rsidR="000A5329" w:rsidRPr="002029AF">
              <w:t xml:space="preserve"> </w:t>
            </w:r>
            <w:r w:rsidRPr="002029AF">
              <w:t>Management</w:t>
            </w:r>
            <w:r w:rsidR="000A5329" w:rsidRPr="002029AF">
              <w:t xml:space="preserve"> </w:t>
            </w:r>
            <w:r w:rsidRPr="002029AF">
              <w:t>and</w:t>
            </w:r>
            <w:r w:rsidR="000A5329" w:rsidRPr="002029AF">
              <w:t xml:space="preserve"> </w:t>
            </w:r>
            <w:r w:rsidRPr="002029AF">
              <w:t>Succession</w:t>
            </w:r>
            <w:r w:rsidR="000A5329" w:rsidRPr="002029AF">
              <w:t xml:space="preserve"> </w:t>
            </w:r>
            <w:r w:rsidRPr="002029AF">
              <w:t>Planning</w:t>
            </w:r>
          </w:p>
        </w:tc>
        <w:tc>
          <w:tcPr>
            <w:tcW w:w="766" w:type="pct"/>
          </w:tcPr>
          <w:p w14:paraId="1F7170AB" w14:textId="77777777" w:rsidR="00CF72D5" w:rsidRPr="002029AF" w:rsidRDefault="00CF72D5" w:rsidP="00A57FDC">
            <w:pPr>
              <w:pStyle w:val="ARtabletextright"/>
            </w:pPr>
            <w:r w:rsidRPr="002029AF">
              <w:t>483,772</w:t>
            </w:r>
          </w:p>
        </w:tc>
        <w:tc>
          <w:tcPr>
            <w:tcW w:w="766" w:type="pct"/>
          </w:tcPr>
          <w:p w14:paraId="5DFC06BE" w14:textId="77777777" w:rsidR="00CF72D5" w:rsidRPr="002029AF" w:rsidRDefault="00CF72D5" w:rsidP="00A57FDC">
            <w:pPr>
              <w:pStyle w:val="ARtabletextright"/>
            </w:pPr>
            <w:r w:rsidRPr="002029AF">
              <w:t>310,632</w:t>
            </w:r>
          </w:p>
        </w:tc>
        <w:tc>
          <w:tcPr>
            <w:tcW w:w="762" w:type="pct"/>
          </w:tcPr>
          <w:p w14:paraId="289B90D3" w14:textId="77777777" w:rsidR="00CF72D5" w:rsidRPr="002029AF" w:rsidRDefault="00CF72D5" w:rsidP="00A57FDC">
            <w:pPr>
              <w:pStyle w:val="ARtabletextright"/>
            </w:pPr>
            <w:r w:rsidRPr="002029AF">
              <w:t>173,140</w:t>
            </w:r>
          </w:p>
        </w:tc>
      </w:tr>
      <w:tr w:rsidR="00CF72D5" w:rsidRPr="002029AF" w14:paraId="191C6063" w14:textId="77777777" w:rsidTr="00457506">
        <w:tc>
          <w:tcPr>
            <w:tcW w:w="767" w:type="pct"/>
          </w:tcPr>
          <w:p w14:paraId="3C88FE1B" w14:textId="181DA780"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6E892341" w14:textId="77777777" w:rsidR="00CF72D5" w:rsidRPr="002029AF" w:rsidRDefault="00CF72D5" w:rsidP="00897193">
            <w:pPr>
              <w:pStyle w:val="ARtablecolhead"/>
              <w:rPr>
                <w:b w:val="0"/>
                <w:bCs/>
              </w:rPr>
            </w:pPr>
          </w:p>
        </w:tc>
        <w:tc>
          <w:tcPr>
            <w:tcW w:w="1173" w:type="pct"/>
          </w:tcPr>
          <w:p w14:paraId="1E1A5F77" w14:textId="1123D83D" w:rsidR="00CF72D5" w:rsidRPr="002029AF" w:rsidRDefault="00CF72D5" w:rsidP="0097339F">
            <w:pPr>
              <w:pStyle w:val="ARtabletext"/>
            </w:pPr>
            <w:r w:rsidRPr="002029AF">
              <w:t>Strategy,</w:t>
            </w:r>
            <w:r w:rsidR="000A5329" w:rsidRPr="002029AF">
              <w:t xml:space="preserve"> </w:t>
            </w:r>
            <w:r w:rsidRPr="002029AF">
              <w:t>Public</w:t>
            </w:r>
            <w:r w:rsidR="000A5329" w:rsidRPr="002029AF">
              <w:t xml:space="preserve"> </w:t>
            </w:r>
            <w:r w:rsidRPr="002029AF">
              <w:t>Health</w:t>
            </w:r>
            <w:r w:rsidR="000A5329" w:rsidRPr="002029AF">
              <w:t xml:space="preserve"> </w:t>
            </w:r>
            <w:r w:rsidRPr="002029AF">
              <w:t>Workforce</w:t>
            </w:r>
          </w:p>
        </w:tc>
        <w:tc>
          <w:tcPr>
            <w:tcW w:w="766" w:type="pct"/>
          </w:tcPr>
          <w:p w14:paraId="74CD0C9A" w14:textId="77777777" w:rsidR="00CF72D5" w:rsidRPr="002029AF" w:rsidRDefault="00CF72D5" w:rsidP="00A57FDC">
            <w:pPr>
              <w:pStyle w:val="ARtabletextright"/>
            </w:pPr>
            <w:r w:rsidRPr="002029AF">
              <w:t>212,805</w:t>
            </w:r>
          </w:p>
        </w:tc>
        <w:tc>
          <w:tcPr>
            <w:tcW w:w="766" w:type="pct"/>
          </w:tcPr>
          <w:p w14:paraId="79696EDF" w14:textId="77777777" w:rsidR="00CF72D5" w:rsidRPr="002029AF" w:rsidRDefault="00CF72D5" w:rsidP="00A57FDC">
            <w:pPr>
              <w:pStyle w:val="ARtabletextright"/>
            </w:pPr>
            <w:r w:rsidRPr="002029AF">
              <w:t>84,381</w:t>
            </w:r>
          </w:p>
        </w:tc>
        <w:tc>
          <w:tcPr>
            <w:tcW w:w="762" w:type="pct"/>
          </w:tcPr>
          <w:p w14:paraId="5CCF55D3" w14:textId="77777777" w:rsidR="00CF72D5" w:rsidRPr="002029AF" w:rsidRDefault="00CF72D5" w:rsidP="00A57FDC">
            <w:pPr>
              <w:pStyle w:val="ARtabletextright"/>
            </w:pPr>
            <w:r w:rsidRPr="002029AF">
              <w:t>128,425</w:t>
            </w:r>
          </w:p>
        </w:tc>
      </w:tr>
      <w:tr w:rsidR="00CF72D5" w:rsidRPr="002029AF" w14:paraId="1624630A" w14:textId="77777777" w:rsidTr="00457506">
        <w:tc>
          <w:tcPr>
            <w:tcW w:w="767" w:type="pct"/>
          </w:tcPr>
          <w:p w14:paraId="70AA7C8B" w14:textId="6495A51D"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5778E4BE" w14:textId="77777777" w:rsidR="00CF72D5" w:rsidRPr="002029AF" w:rsidRDefault="00CF72D5" w:rsidP="00897193">
            <w:pPr>
              <w:pStyle w:val="ARtablecolhead"/>
              <w:rPr>
                <w:b w:val="0"/>
                <w:bCs/>
              </w:rPr>
            </w:pPr>
          </w:p>
        </w:tc>
        <w:tc>
          <w:tcPr>
            <w:tcW w:w="1173" w:type="pct"/>
          </w:tcPr>
          <w:p w14:paraId="53EC3DCA" w14:textId="18A0F974" w:rsidR="00CF72D5" w:rsidRPr="002029AF" w:rsidRDefault="00CF72D5" w:rsidP="0097339F">
            <w:pPr>
              <w:pStyle w:val="ARtabletext"/>
            </w:pPr>
            <w:r w:rsidRPr="002029AF">
              <w:t>Review,</w:t>
            </w:r>
            <w:r w:rsidR="000A5329" w:rsidRPr="002029AF">
              <w:t xml:space="preserve"> </w:t>
            </w:r>
            <w:r w:rsidRPr="002029AF">
              <w:t>Regulatory</w:t>
            </w:r>
            <w:r w:rsidR="000A5329" w:rsidRPr="002029AF">
              <w:t xml:space="preserve"> </w:t>
            </w:r>
            <w:r w:rsidRPr="002029AF">
              <w:t>Role</w:t>
            </w:r>
          </w:p>
        </w:tc>
        <w:tc>
          <w:tcPr>
            <w:tcW w:w="766" w:type="pct"/>
          </w:tcPr>
          <w:p w14:paraId="290B5663" w14:textId="77777777" w:rsidR="00CF72D5" w:rsidRPr="002029AF" w:rsidRDefault="00CF72D5" w:rsidP="00A57FDC">
            <w:pPr>
              <w:pStyle w:val="ARtabletextright"/>
            </w:pPr>
            <w:r w:rsidRPr="002029AF">
              <w:t>152,628</w:t>
            </w:r>
          </w:p>
        </w:tc>
        <w:tc>
          <w:tcPr>
            <w:tcW w:w="766" w:type="pct"/>
          </w:tcPr>
          <w:p w14:paraId="32FDCBF0" w14:textId="77777777" w:rsidR="00CF72D5" w:rsidRPr="002029AF" w:rsidRDefault="00CF72D5" w:rsidP="00A57FDC">
            <w:pPr>
              <w:pStyle w:val="ARtabletextright"/>
            </w:pPr>
            <w:r w:rsidRPr="002029AF">
              <w:t>61,729</w:t>
            </w:r>
          </w:p>
        </w:tc>
        <w:tc>
          <w:tcPr>
            <w:tcW w:w="762" w:type="pct"/>
          </w:tcPr>
          <w:p w14:paraId="4D8583F6" w14:textId="77777777" w:rsidR="00CF72D5" w:rsidRPr="002029AF" w:rsidRDefault="00CF72D5" w:rsidP="00A57FDC">
            <w:pPr>
              <w:pStyle w:val="ARtabletextright"/>
            </w:pPr>
            <w:r w:rsidRPr="002029AF">
              <w:t>90,899</w:t>
            </w:r>
          </w:p>
        </w:tc>
      </w:tr>
      <w:tr w:rsidR="00CF72D5" w:rsidRPr="002029AF" w14:paraId="7992BB5F" w14:textId="77777777" w:rsidTr="00457506">
        <w:tc>
          <w:tcPr>
            <w:tcW w:w="767" w:type="pct"/>
          </w:tcPr>
          <w:p w14:paraId="0CF834FA" w14:textId="30185962"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29151318" w14:textId="77777777" w:rsidR="00CF72D5" w:rsidRPr="002029AF" w:rsidRDefault="00CF72D5" w:rsidP="00897193">
            <w:pPr>
              <w:pStyle w:val="ARtablecolhead"/>
              <w:rPr>
                <w:b w:val="0"/>
                <w:bCs/>
              </w:rPr>
            </w:pPr>
          </w:p>
        </w:tc>
        <w:tc>
          <w:tcPr>
            <w:tcW w:w="1173" w:type="pct"/>
          </w:tcPr>
          <w:p w14:paraId="288A4302" w14:textId="17188E3E" w:rsidR="00CF72D5" w:rsidRPr="002029AF" w:rsidRDefault="00CF72D5" w:rsidP="0097339F">
            <w:pPr>
              <w:pStyle w:val="ARtabletext"/>
            </w:pPr>
            <w:r w:rsidRPr="002029AF">
              <w:t>Digital</w:t>
            </w:r>
            <w:r w:rsidR="000A5329" w:rsidRPr="002029AF">
              <w:t xml:space="preserve"> </w:t>
            </w:r>
            <w:r w:rsidRPr="002029AF">
              <w:t>Health</w:t>
            </w:r>
            <w:r w:rsidR="000A5329" w:rsidRPr="002029AF">
              <w:t xml:space="preserve"> </w:t>
            </w:r>
            <w:r w:rsidRPr="002029AF">
              <w:t>Investment</w:t>
            </w:r>
            <w:r w:rsidR="000A5329" w:rsidRPr="002029AF">
              <w:t xml:space="preserve"> </w:t>
            </w:r>
            <w:r w:rsidRPr="002029AF">
              <w:t>Roadmap</w:t>
            </w:r>
          </w:p>
        </w:tc>
        <w:tc>
          <w:tcPr>
            <w:tcW w:w="766" w:type="pct"/>
          </w:tcPr>
          <w:p w14:paraId="5B395B8C" w14:textId="77777777" w:rsidR="00CF72D5" w:rsidRPr="002029AF" w:rsidRDefault="00CF72D5" w:rsidP="00A57FDC">
            <w:pPr>
              <w:pStyle w:val="ARtabletextright"/>
            </w:pPr>
            <w:r w:rsidRPr="002029AF">
              <w:t>176,281</w:t>
            </w:r>
          </w:p>
        </w:tc>
        <w:tc>
          <w:tcPr>
            <w:tcW w:w="766" w:type="pct"/>
          </w:tcPr>
          <w:p w14:paraId="4279F010" w14:textId="77777777" w:rsidR="00CF72D5" w:rsidRPr="002029AF" w:rsidRDefault="00CF72D5" w:rsidP="00A57FDC">
            <w:pPr>
              <w:pStyle w:val="ARtabletextright"/>
            </w:pPr>
            <w:r w:rsidRPr="002029AF">
              <w:t>134,111</w:t>
            </w:r>
          </w:p>
        </w:tc>
        <w:tc>
          <w:tcPr>
            <w:tcW w:w="762" w:type="pct"/>
          </w:tcPr>
          <w:p w14:paraId="5AFB665C" w14:textId="77777777" w:rsidR="00CF72D5" w:rsidRPr="002029AF" w:rsidRDefault="00CF72D5" w:rsidP="00A57FDC">
            <w:pPr>
              <w:pStyle w:val="ARtabletextright"/>
            </w:pPr>
            <w:r w:rsidRPr="002029AF">
              <w:t>42,170</w:t>
            </w:r>
          </w:p>
        </w:tc>
      </w:tr>
      <w:tr w:rsidR="00CF72D5" w:rsidRPr="002029AF" w14:paraId="51D6D86D" w14:textId="77777777" w:rsidTr="00457506">
        <w:tc>
          <w:tcPr>
            <w:tcW w:w="767" w:type="pct"/>
          </w:tcPr>
          <w:p w14:paraId="0D2B378E" w14:textId="510DBFE2"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4DFF08CB" w14:textId="77777777" w:rsidR="00CF72D5" w:rsidRPr="002029AF" w:rsidRDefault="00CF72D5" w:rsidP="00897193">
            <w:pPr>
              <w:pStyle w:val="ARtablecolhead"/>
              <w:rPr>
                <w:b w:val="0"/>
                <w:bCs/>
              </w:rPr>
            </w:pPr>
          </w:p>
        </w:tc>
        <w:tc>
          <w:tcPr>
            <w:tcW w:w="1173" w:type="pct"/>
          </w:tcPr>
          <w:p w14:paraId="4C013527" w14:textId="31F55B37" w:rsidR="00CF72D5" w:rsidRPr="002029AF" w:rsidRDefault="00CF72D5" w:rsidP="0097339F">
            <w:pPr>
              <w:pStyle w:val="ARtabletext"/>
            </w:pPr>
            <w:r w:rsidRPr="002029AF">
              <w:t>Sleep</w:t>
            </w:r>
            <w:r w:rsidR="000A5329" w:rsidRPr="002029AF">
              <w:t xml:space="preserve"> </w:t>
            </w:r>
            <w:r w:rsidRPr="002029AF">
              <w:t>and</w:t>
            </w:r>
            <w:r w:rsidR="000A5329" w:rsidRPr="002029AF">
              <w:t xml:space="preserve"> </w:t>
            </w:r>
            <w:r w:rsidRPr="002029AF">
              <w:t>Settling</w:t>
            </w:r>
            <w:r w:rsidR="000A5329" w:rsidRPr="002029AF">
              <w:t xml:space="preserve"> </w:t>
            </w:r>
            <w:r w:rsidRPr="002029AF">
              <w:t>Continuum</w:t>
            </w:r>
            <w:r w:rsidR="000A5329" w:rsidRPr="002029AF">
              <w:t xml:space="preserve"> </w:t>
            </w:r>
            <w:r w:rsidRPr="002029AF">
              <w:t>of</w:t>
            </w:r>
            <w:r w:rsidR="000A5329" w:rsidRPr="002029AF">
              <w:t xml:space="preserve"> </w:t>
            </w:r>
            <w:r w:rsidRPr="002029AF">
              <w:t>Support</w:t>
            </w:r>
          </w:p>
        </w:tc>
        <w:tc>
          <w:tcPr>
            <w:tcW w:w="766" w:type="pct"/>
          </w:tcPr>
          <w:p w14:paraId="6560F81A" w14:textId="77777777" w:rsidR="00CF72D5" w:rsidRPr="002029AF" w:rsidRDefault="00CF72D5" w:rsidP="00A57FDC">
            <w:pPr>
              <w:pStyle w:val="ARtabletextright"/>
            </w:pPr>
            <w:r w:rsidRPr="002029AF">
              <w:t>85,758</w:t>
            </w:r>
          </w:p>
        </w:tc>
        <w:tc>
          <w:tcPr>
            <w:tcW w:w="766" w:type="pct"/>
          </w:tcPr>
          <w:p w14:paraId="541ADC9A" w14:textId="77777777" w:rsidR="00CF72D5" w:rsidRPr="002029AF" w:rsidRDefault="00CF72D5" w:rsidP="00A57FDC">
            <w:pPr>
              <w:pStyle w:val="ARtabletextright"/>
            </w:pPr>
            <w:r w:rsidRPr="002029AF">
              <w:t>85,758</w:t>
            </w:r>
          </w:p>
        </w:tc>
        <w:tc>
          <w:tcPr>
            <w:tcW w:w="762" w:type="pct"/>
          </w:tcPr>
          <w:p w14:paraId="258DF403" w14:textId="77777777" w:rsidR="00CF72D5" w:rsidRPr="002029AF" w:rsidRDefault="00CF72D5" w:rsidP="00A57FDC">
            <w:pPr>
              <w:pStyle w:val="ARtabletextright"/>
            </w:pPr>
            <w:r w:rsidRPr="002029AF">
              <w:t>0</w:t>
            </w:r>
          </w:p>
        </w:tc>
      </w:tr>
      <w:tr w:rsidR="00CF72D5" w:rsidRPr="002029AF" w14:paraId="18E58114" w14:textId="77777777" w:rsidTr="00457506">
        <w:tc>
          <w:tcPr>
            <w:tcW w:w="767" w:type="pct"/>
          </w:tcPr>
          <w:p w14:paraId="3A39B66C" w14:textId="58E9638A"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53182B7E" w14:textId="77777777" w:rsidR="00CF72D5" w:rsidRPr="002029AF" w:rsidRDefault="00CF72D5" w:rsidP="00897193">
            <w:pPr>
              <w:pStyle w:val="ARtablecolhead"/>
              <w:rPr>
                <w:b w:val="0"/>
                <w:bCs/>
              </w:rPr>
            </w:pPr>
          </w:p>
        </w:tc>
        <w:tc>
          <w:tcPr>
            <w:tcW w:w="1173" w:type="pct"/>
          </w:tcPr>
          <w:p w14:paraId="61496DF1" w14:textId="03030D2D" w:rsidR="00CF72D5" w:rsidRPr="002029AF" w:rsidRDefault="00CF72D5" w:rsidP="0097339F">
            <w:pPr>
              <w:pStyle w:val="ARtabletext"/>
            </w:pPr>
            <w:r w:rsidRPr="002029AF">
              <w:t>Productivity</w:t>
            </w:r>
            <w:r w:rsidR="000A5329" w:rsidRPr="002029AF">
              <w:t xml:space="preserve"> </w:t>
            </w:r>
            <w:r w:rsidRPr="002029AF">
              <w:t>in</w:t>
            </w:r>
            <w:r w:rsidR="000A5329" w:rsidRPr="002029AF">
              <w:t xml:space="preserve"> </w:t>
            </w:r>
            <w:r w:rsidRPr="002029AF">
              <w:t>the</w:t>
            </w:r>
            <w:r w:rsidR="000A5329" w:rsidRPr="002029AF">
              <w:t xml:space="preserve"> </w:t>
            </w:r>
            <w:r w:rsidRPr="002029AF">
              <w:t>Victorian</w:t>
            </w:r>
            <w:r w:rsidR="000A5329" w:rsidRPr="002029AF">
              <w:t xml:space="preserve"> </w:t>
            </w:r>
            <w:r w:rsidRPr="002029AF">
              <w:t>Acute</w:t>
            </w:r>
            <w:r w:rsidR="000A5329" w:rsidRPr="002029AF">
              <w:t xml:space="preserve"> </w:t>
            </w:r>
            <w:r w:rsidRPr="002029AF">
              <w:t>Health</w:t>
            </w:r>
            <w:r w:rsidR="000A5329" w:rsidRPr="002029AF">
              <w:t xml:space="preserve"> </w:t>
            </w:r>
            <w:r w:rsidRPr="002029AF">
              <w:t>System</w:t>
            </w:r>
          </w:p>
        </w:tc>
        <w:tc>
          <w:tcPr>
            <w:tcW w:w="766" w:type="pct"/>
          </w:tcPr>
          <w:p w14:paraId="590BA957" w14:textId="77777777" w:rsidR="00CF72D5" w:rsidRPr="002029AF" w:rsidRDefault="00CF72D5" w:rsidP="00A57FDC">
            <w:pPr>
              <w:pStyle w:val="ARtabletextright"/>
            </w:pPr>
            <w:r w:rsidRPr="002029AF">
              <w:t>137,280</w:t>
            </w:r>
          </w:p>
        </w:tc>
        <w:tc>
          <w:tcPr>
            <w:tcW w:w="766" w:type="pct"/>
          </w:tcPr>
          <w:p w14:paraId="2F6C52F0" w14:textId="77777777" w:rsidR="00CF72D5" w:rsidRPr="002029AF" w:rsidRDefault="00CF72D5" w:rsidP="00A57FDC">
            <w:pPr>
              <w:pStyle w:val="ARtabletextright"/>
            </w:pPr>
            <w:r w:rsidRPr="002029AF">
              <w:t>137,280</w:t>
            </w:r>
          </w:p>
        </w:tc>
        <w:tc>
          <w:tcPr>
            <w:tcW w:w="762" w:type="pct"/>
          </w:tcPr>
          <w:p w14:paraId="69B67CFA" w14:textId="77777777" w:rsidR="00CF72D5" w:rsidRPr="002029AF" w:rsidRDefault="00CF72D5" w:rsidP="00A57FDC">
            <w:pPr>
              <w:pStyle w:val="ARtabletextright"/>
            </w:pPr>
            <w:r w:rsidRPr="002029AF">
              <w:t>0</w:t>
            </w:r>
          </w:p>
        </w:tc>
      </w:tr>
      <w:tr w:rsidR="00CF72D5" w:rsidRPr="002029AF" w14:paraId="133C1974" w14:textId="77777777" w:rsidTr="00457506">
        <w:tc>
          <w:tcPr>
            <w:tcW w:w="767" w:type="pct"/>
          </w:tcPr>
          <w:p w14:paraId="37959237" w14:textId="0744C210"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0017196F" w14:textId="77777777" w:rsidR="00CF72D5" w:rsidRPr="002029AF" w:rsidRDefault="00CF72D5" w:rsidP="00897193">
            <w:pPr>
              <w:pStyle w:val="ARtablecolhead"/>
              <w:rPr>
                <w:b w:val="0"/>
                <w:bCs/>
              </w:rPr>
            </w:pPr>
          </w:p>
        </w:tc>
        <w:tc>
          <w:tcPr>
            <w:tcW w:w="1173" w:type="pct"/>
          </w:tcPr>
          <w:p w14:paraId="11375573" w14:textId="390AF860" w:rsidR="00CF72D5" w:rsidRPr="002029AF" w:rsidRDefault="00CF72D5" w:rsidP="0097339F">
            <w:pPr>
              <w:pStyle w:val="ARtabletext"/>
            </w:pPr>
            <w:r w:rsidRPr="002029AF">
              <w:t>Advice,</w:t>
            </w:r>
            <w:r w:rsidR="000A5329" w:rsidRPr="002029AF">
              <w:t xml:space="preserve"> </w:t>
            </w:r>
            <w:r w:rsidRPr="002029AF">
              <w:t>Prevention</w:t>
            </w:r>
            <w:r w:rsidR="000A5329" w:rsidRPr="002029AF">
              <w:t xml:space="preserve"> </w:t>
            </w:r>
            <w:r w:rsidRPr="002029AF">
              <w:t>and</w:t>
            </w:r>
            <w:r w:rsidR="000A5329" w:rsidRPr="002029AF">
              <w:t xml:space="preserve"> </w:t>
            </w:r>
            <w:r w:rsidRPr="002029AF">
              <w:t>Population</w:t>
            </w:r>
            <w:r w:rsidR="000A5329" w:rsidRPr="002029AF">
              <w:t xml:space="preserve"> </w:t>
            </w:r>
            <w:r w:rsidRPr="002029AF">
              <w:t>Health</w:t>
            </w:r>
          </w:p>
        </w:tc>
        <w:tc>
          <w:tcPr>
            <w:tcW w:w="766" w:type="pct"/>
          </w:tcPr>
          <w:p w14:paraId="12D5D102" w14:textId="77777777" w:rsidR="00CF72D5" w:rsidRPr="002029AF" w:rsidRDefault="00CF72D5" w:rsidP="00A57FDC">
            <w:pPr>
              <w:pStyle w:val="ARtabletextright"/>
            </w:pPr>
            <w:r w:rsidRPr="002029AF">
              <w:t>19,815</w:t>
            </w:r>
          </w:p>
        </w:tc>
        <w:tc>
          <w:tcPr>
            <w:tcW w:w="766" w:type="pct"/>
          </w:tcPr>
          <w:p w14:paraId="2FBFEBA6" w14:textId="77777777" w:rsidR="00CF72D5" w:rsidRPr="002029AF" w:rsidRDefault="00CF72D5" w:rsidP="00A57FDC">
            <w:pPr>
              <w:pStyle w:val="ARtabletextright"/>
            </w:pPr>
            <w:r w:rsidRPr="002029AF">
              <w:t>19,815</w:t>
            </w:r>
          </w:p>
        </w:tc>
        <w:tc>
          <w:tcPr>
            <w:tcW w:w="762" w:type="pct"/>
          </w:tcPr>
          <w:p w14:paraId="70C0103E" w14:textId="77777777" w:rsidR="00CF72D5" w:rsidRPr="002029AF" w:rsidRDefault="00CF72D5" w:rsidP="00A57FDC">
            <w:pPr>
              <w:pStyle w:val="ARtabletextright"/>
            </w:pPr>
            <w:r w:rsidRPr="002029AF">
              <w:t>0</w:t>
            </w:r>
          </w:p>
        </w:tc>
      </w:tr>
      <w:tr w:rsidR="00CF72D5" w:rsidRPr="002029AF" w14:paraId="1B3CC96F" w14:textId="77777777" w:rsidTr="00457506">
        <w:tc>
          <w:tcPr>
            <w:tcW w:w="767" w:type="pct"/>
          </w:tcPr>
          <w:p w14:paraId="03A94598" w14:textId="4548E3E5" w:rsidR="00CF72D5" w:rsidRPr="002029AF" w:rsidRDefault="00CF72D5" w:rsidP="0097339F">
            <w:pPr>
              <w:pStyle w:val="ARtabletext"/>
            </w:pPr>
            <w:r w:rsidRPr="002029AF">
              <w:lastRenderedPageBreak/>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0FDF9284" w14:textId="77777777" w:rsidR="00CF72D5" w:rsidRPr="002029AF" w:rsidRDefault="00CF72D5" w:rsidP="00897193">
            <w:pPr>
              <w:pStyle w:val="ARtablecolhead"/>
              <w:rPr>
                <w:b w:val="0"/>
                <w:bCs/>
              </w:rPr>
            </w:pPr>
          </w:p>
        </w:tc>
        <w:tc>
          <w:tcPr>
            <w:tcW w:w="1173" w:type="pct"/>
          </w:tcPr>
          <w:p w14:paraId="0F049192" w14:textId="24ECD5F2" w:rsidR="00CF72D5" w:rsidRPr="002029AF" w:rsidRDefault="00CF72D5" w:rsidP="0097339F">
            <w:pPr>
              <w:pStyle w:val="ARtabletext"/>
            </w:pPr>
            <w:r w:rsidRPr="002029AF">
              <w:t>Review,</w:t>
            </w:r>
            <w:r w:rsidR="000A5329" w:rsidRPr="002029AF">
              <w:t xml:space="preserve"> </w:t>
            </w:r>
            <w:r w:rsidRPr="002029AF">
              <w:t>Aged</w:t>
            </w:r>
            <w:r w:rsidR="000A5329" w:rsidRPr="002029AF">
              <w:t xml:space="preserve"> </w:t>
            </w:r>
            <w:r w:rsidRPr="002029AF">
              <w:t>Care</w:t>
            </w:r>
            <w:r w:rsidR="000A5329" w:rsidRPr="002029AF">
              <w:t xml:space="preserve"> </w:t>
            </w:r>
            <w:r w:rsidRPr="002029AF">
              <w:t>Medication</w:t>
            </w:r>
          </w:p>
        </w:tc>
        <w:tc>
          <w:tcPr>
            <w:tcW w:w="766" w:type="pct"/>
          </w:tcPr>
          <w:p w14:paraId="3D5149AF" w14:textId="77777777" w:rsidR="00CF72D5" w:rsidRPr="002029AF" w:rsidRDefault="00CF72D5" w:rsidP="00A57FDC">
            <w:pPr>
              <w:pStyle w:val="ARtabletextright"/>
            </w:pPr>
            <w:r w:rsidRPr="002029AF">
              <w:t>189,735</w:t>
            </w:r>
          </w:p>
        </w:tc>
        <w:tc>
          <w:tcPr>
            <w:tcW w:w="766" w:type="pct"/>
          </w:tcPr>
          <w:p w14:paraId="72848887" w14:textId="77777777" w:rsidR="00CF72D5" w:rsidRPr="002029AF" w:rsidRDefault="00CF72D5" w:rsidP="00A57FDC">
            <w:pPr>
              <w:pStyle w:val="ARtabletextright"/>
            </w:pPr>
            <w:r w:rsidRPr="002029AF">
              <w:t>87,735</w:t>
            </w:r>
          </w:p>
        </w:tc>
        <w:tc>
          <w:tcPr>
            <w:tcW w:w="762" w:type="pct"/>
          </w:tcPr>
          <w:p w14:paraId="61768798" w14:textId="77777777" w:rsidR="00CF72D5" w:rsidRPr="002029AF" w:rsidRDefault="00CF72D5" w:rsidP="00A57FDC">
            <w:pPr>
              <w:pStyle w:val="ARtabletextright"/>
            </w:pPr>
            <w:r w:rsidRPr="002029AF">
              <w:t>102,000</w:t>
            </w:r>
          </w:p>
        </w:tc>
      </w:tr>
      <w:tr w:rsidR="00CF72D5" w:rsidRPr="002029AF" w14:paraId="2D83B57F" w14:textId="77777777" w:rsidTr="00457506">
        <w:tc>
          <w:tcPr>
            <w:tcW w:w="767" w:type="pct"/>
          </w:tcPr>
          <w:p w14:paraId="06085A6E" w14:textId="5A4FC43C"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0981DCCB" w14:textId="77777777" w:rsidR="00CF72D5" w:rsidRPr="002029AF" w:rsidRDefault="00CF72D5" w:rsidP="00897193">
            <w:pPr>
              <w:pStyle w:val="ARtablecolhead"/>
              <w:rPr>
                <w:b w:val="0"/>
                <w:bCs/>
              </w:rPr>
            </w:pPr>
          </w:p>
        </w:tc>
        <w:tc>
          <w:tcPr>
            <w:tcW w:w="1173" w:type="pct"/>
          </w:tcPr>
          <w:p w14:paraId="56001F60" w14:textId="71993309" w:rsidR="00CF72D5" w:rsidRPr="002029AF" w:rsidRDefault="00CF72D5" w:rsidP="0097339F">
            <w:pPr>
              <w:pStyle w:val="ARtabletext"/>
            </w:pPr>
            <w:r w:rsidRPr="002029AF">
              <w:t>Review,</w:t>
            </w:r>
            <w:r w:rsidR="000A5329" w:rsidRPr="002029AF">
              <w:t xml:space="preserve"> </w:t>
            </w:r>
            <w:r w:rsidRPr="002029AF">
              <w:t>Aboriginal</w:t>
            </w:r>
            <w:r w:rsidR="000A5329" w:rsidRPr="002029AF">
              <w:t xml:space="preserve"> </w:t>
            </w:r>
            <w:r w:rsidRPr="002029AF">
              <w:t>Health</w:t>
            </w:r>
          </w:p>
        </w:tc>
        <w:tc>
          <w:tcPr>
            <w:tcW w:w="766" w:type="pct"/>
          </w:tcPr>
          <w:p w14:paraId="5DC09897" w14:textId="77777777" w:rsidR="00CF72D5" w:rsidRPr="002029AF" w:rsidRDefault="00CF72D5" w:rsidP="00A57FDC">
            <w:pPr>
              <w:pStyle w:val="ARtabletextright"/>
            </w:pPr>
            <w:r w:rsidRPr="002029AF">
              <w:t>75,167</w:t>
            </w:r>
          </w:p>
        </w:tc>
        <w:tc>
          <w:tcPr>
            <w:tcW w:w="766" w:type="pct"/>
          </w:tcPr>
          <w:p w14:paraId="40AAB637" w14:textId="77777777" w:rsidR="00CF72D5" w:rsidRPr="002029AF" w:rsidRDefault="00CF72D5" w:rsidP="00A57FDC">
            <w:pPr>
              <w:pStyle w:val="ARtabletextright"/>
            </w:pPr>
            <w:r w:rsidRPr="002029AF">
              <w:t>75,167</w:t>
            </w:r>
          </w:p>
        </w:tc>
        <w:tc>
          <w:tcPr>
            <w:tcW w:w="762" w:type="pct"/>
          </w:tcPr>
          <w:p w14:paraId="701D4241" w14:textId="77777777" w:rsidR="00CF72D5" w:rsidRPr="002029AF" w:rsidRDefault="00CF72D5" w:rsidP="00A57FDC">
            <w:pPr>
              <w:pStyle w:val="ARtabletextright"/>
            </w:pPr>
            <w:r w:rsidRPr="002029AF">
              <w:t>0</w:t>
            </w:r>
          </w:p>
        </w:tc>
      </w:tr>
      <w:tr w:rsidR="00CF72D5" w:rsidRPr="002029AF" w14:paraId="0614AFE2" w14:textId="77777777" w:rsidTr="00457506">
        <w:tc>
          <w:tcPr>
            <w:tcW w:w="767" w:type="pct"/>
          </w:tcPr>
          <w:p w14:paraId="30D6829C" w14:textId="6B9624CE"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305D5A5D" w14:textId="77777777" w:rsidR="00CF72D5" w:rsidRPr="002029AF" w:rsidRDefault="00CF72D5" w:rsidP="00897193">
            <w:pPr>
              <w:pStyle w:val="ARtablecolhead"/>
              <w:rPr>
                <w:b w:val="0"/>
                <w:bCs/>
              </w:rPr>
            </w:pPr>
          </w:p>
        </w:tc>
        <w:tc>
          <w:tcPr>
            <w:tcW w:w="1173" w:type="pct"/>
          </w:tcPr>
          <w:p w14:paraId="08606466" w14:textId="2EEDE783" w:rsidR="00CF72D5" w:rsidRPr="002029AF" w:rsidRDefault="00CF72D5" w:rsidP="0097339F">
            <w:pPr>
              <w:pStyle w:val="ARtabletext"/>
            </w:pPr>
            <w:r w:rsidRPr="002029AF">
              <w:t>Productivity</w:t>
            </w:r>
            <w:r w:rsidR="000A5329" w:rsidRPr="002029AF">
              <w:t xml:space="preserve"> </w:t>
            </w:r>
            <w:r w:rsidRPr="002029AF">
              <w:t>in</w:t>
            </w:r>
            <w:r w:rsidR="000A5329" w:rsidRPr="002029AF">
              <w:t xml:space="preserve"> </w:t>
            </w:r>
            <w:r w:rsidRPr="002029AF">
              <w:t>Victorian</w:t>
            </w:r>
            <w:r w:rsidR="000A5329" w:rsidRPr="002029AF">
              <w:t xml:space="preserve"> </w:t>
            </w:r>
            <w:r w:rsidRPr="002029AF">
              <w:t>Acute</w:t>
            </w:r>
            <w:r w:rsidR="000A5329" w:rsidRPr="002029AF">
              <w:t xml:space="preserve"> </w:t>
            </w:r>
            <w:r w:rsidRPr="002029AF">
              <w:t>Health</w:t>
            </w:r>
          </w:p>
        </w:tc>
        <w:tc>
          <w:tcPr>
            <w:tcW w:w="766" w:type="pct"/>
          </w:tcPr>
          <w:p w14:paraId="74F862E3" w14:textId="28F1F534" w:rsidR="00983E98" w:rsidRPr="002029AF" w:rsidRDefault="00CF72D5" w:rsidP="00A57FDC">
            <w:pPr>
              <w:pStyle w:val="ARtabletextright"/>
            </w:pPr>
            <w:r w:rsidRPr="002029AF">
              <w:t>114,112</w:t>
            </w:r>
          </w:p>
        </w:tc>
        <w:tc>
          <w:tcPr>
            <w:tcW w:w="766" w:type="pct"/>
          </w:tcPr>
          <w:p w14:paraId="77F68364" w14:textId="77777777" w:rsidR="00CF72D5" w:rsidRPr="002029AF" w:rsidRDefault="00CF72D5" w:rsidP="00A57FDC">
            <w:pPr>
              <w:pStyle w:val="ARtabletextright"/>
            </w:pPr>
            <w:r w:rsidRPr="002029AF">
              <w:t>114,112</w:t>
            </w:r>
          </w:p>
        </w:tc>
        <w:tc>
          <w:tcPr>
            <w:tcW w:w="762" w:type="pct"/>
          </w:tcPr>
          <w:p w14:paraId="471B86F1" w14:textId="77777777" w:rsidR="00CF72D5" w:rsidRPr="002029AF" w:rsidRDefault="00CF72D5" w:rsidP="00A57FDC">
            <w:pPr>
              <w:pStyle w:val="ARtabletextright"/>
            </w:pPr>
            <w:r w:rsidRPr="002029AF">
              <w:t>0</w:t>
            </w:r>
          </w:p>
        </w:tc>
      </w:tr>
      <w:tr w:rsidR="00CF72D5" w:rsidRPr="002029AF" w14:paraId="39AF2847" w14:textId="77777777" w:rsidTr="00457506">
        <w:tc>
          <w:tcPr>
            <w:tcW w:w="767" w:type="pct"/>
          </w:tcPr>
          <w:p w14:paraId="62AC2CE4" w14:textId="448C5C3F"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02432516" w14:textId="77777777" w:rsidR="00CF72D5" w:rsidRPr="002029AF" w:rsidRDefault="00CF72D5" w:rsidP="00897193">
            <w:pPr>
              <w:pStyle w:val="ARtablecolhead"/>
              <w:rPr>
                <w:b w:val="0"/>
                <w:bCs/>
              </w:rPr>
            </w:pPr>
          </w:p>
        </w:tc>
        <w:tc>
          <w:tcPr>
            <w:tcW w:w="1173" w:type="pct"/>
          </w:tcPr>
          <w:p w14:paraId="64F272F0" w14:textId="0891BAC9" w:rsidR="00CF72D5" w:rsidRPr="002029AF" w:rsidRDefault="00CF72D5" w:rsidP="0097339F">
            <w:pPr>
              <w:pStyle w:val="ARtabletext"/>
            </w:pPr>
            <w:r w:rsidRPr="002029AF">
              <w:t>Royal</w:t>
            </w:r>
            <w:r w:rsidR="000A5329" w:rsidRPr="002029AF">
              <w:t xml:space="preserve"> </w:t>
            </w:r>
            <w:r w:rsidRPr="002029AF">
              <w:t>Commission</w:t>
            </w:r>
            <w:r w:rsidR="0072293A" w:rsidRPr="002029AF">
              <w:t xml:space="preserve"> – </w:t>
            </w:r>
            <w:r w:rsidRPr="002029AF">
              <w:t>Mental</w:t>
            </w:r>
            <w:r w:rsidR="000A5329" w:rsidRPr="002029AF">
              <w:t xml:space="preserve"> </w:t>
            </w:r>
            <w:r w:rsidRPr="002029AF">
              <w:t>Health</w:t>
            </w:r>
            <w:r w:rsidR="000A5329" w:rsidRPr="002029AF">
              <w:t xml:space="preserve"> </w:t>
            </w:r>
            <w:r w:rsidRPr="002029AF">
              <w:t>System</w:t>
            </w:r>
          </w:p>
        </w:tc>
        <w:tc>
          <w:tcPr>
            <w:tcW w:w="766" w:type="pct"/>
          </w:tcPr>
          <w:p w14:paraId="44305900" w14:textId="4A57E4D1" w:rsidR="00983E98" w:rsidRPr="002029AF" w:rsidRDefault="00CF72D5" w:rsidP="00A57FDC">
            <w:pPr>
              <w:pStyle w:val="ARtabletextright"/>
            </w:pPr>
            <w:r w:rsidRPr="002029AF">
              <w:t>181,818</w:t>
            </w:r>
          </w:p>
        </w:tc>
        <w:tc>
          <w:tcPr>
            <w:tcW w:w="766" w:type="pct"/>
          </w:tcPr>
          <w:p w14:paraId="0DD3307E" w14:textId="77777777" w:rsidR="00CF72D5" w:rsidRPr="002029AF" w:rsidRDefault="00CF72D5" w:rsidP="00A57FDC">
            <w:pPr>
              <w:pStyle w:val="ARtabletextright"/>
            </w:pPr>
            <w:r w:rsidRPr="002029AF">
              <w:t>40,374</w:t>
            </w:r>
          </w:p>
        </w:tc>
        <w:tc>
          <w:tcPr>
            <w:tcW w:w="762" w:type="pct"/>
          </w:tcPr>
          <w:p w14:paraId="79F7FCEE" w14:textId="77777777" w:rsidR="00CF72D5" w:rsidRPr="002029AF" w:rsidRDefault="00CF72D5" w:rsidP="00A57FDC">
            <w:pPr>
              <w:pStyle w:val="ARtabletextright"/>
            </w:pPr>
            <w:r w:rsidRPr="002029AF">
              <w:t>141,444</w:t>
            </w:r>
          </w:p>
        </w:tc>
      </w:tr>
      <w:tr w:rsidR="00CF72D5" w:rsidRPr="002029AF" w14:paraId="65812E6B" w14:textId="77777777" w:rsidTr="00457506">
        <w:tc>
          <w:tcPr>
            <w:tcW w:w="767" w:type="pct"/>
          </w:tcPr>
          <w:p w14:paraId="0FA90257" w14:textId="1D1531E2"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61CB6F36" w14:textId="77777777" w:rsidR="00CF72D5" w:rsidRPr="002029AF" w:rsidRDefault="00CF72D5" w:rsidP="00897193">
            <w:pPr>
              <w:pStyle w:val="ARtablecolhead"/>
              <w:rPr>
                <w:b w:val="0"/>
                <w:bCs/>
              </w:rPr>
            </w:pPr>
          </w:p>
        </w:tc>
        <w:tc>
          <w:tcPr>
            <w:tcW w:w="1173" w:type="pct"/>
          </w:tcPr>
          <w:p w14:paraId="54765FE1" w14:textId="5CE178A8" w:rsidR="00CF72D5" w:rsidRPr="002029AF" w:rsidRDefault="00CF72D5" w:rsidP="0097339F">
            <w:pPr>
              <w:pStyle w:val="ARtabletext"/>
            </w:pPr>
            <w:r w:rsidRPr="002029AF">
              <w:t>Review,</w:t>
            </w:r>
            <w:r w:rsidR="000A5329" w:rsidRPr="002029AF">
              <w:t xml:space="preserve"> </w:t>
            </w:r>
            <w:r w:rsidRPr="002029AF">
              <w:t>Western</w:t>
            </w:r>
            <w:r w:rsidR="000A5329" w:rsidRPr="002029AF">
              <w:t xml:space="preserve"> </w:t>
            </w:r>
            <w:r w:rsidRPr="002029AF">
              <w:t>Health</w:t>
            </w:r>
          </w:p>
        </w:tc>
        <w:tc>
          <w:tcPr>
            <w:tcW w:w="766" w:type="pct"/>
          </w:tcPr>
          <w:p w14:paraId="5C491ED7" w14:textId="77777777" w:rsidR="00CF72D5" w:rsidRPr="002029AF" w:rsidRDefault="00CF72D5" w:rsidP="00A57FDC">
            <w:pPr>
              <w:pStyle w:val="ARtabletextright"/>
            </w:pPr>
            <w:r w:rsidRPr="002029AF">
              <w:t>80,892</w:t>
            </w:r>
          </w:p>
        </w:tc>
        <w:tc>
          <w:tcPr>
            <w:tcW w:w="766" w:type="pct"/>
          </w:tcPr>
          <w:p w14:paraId="7C3111B7" w14:textId="77777777" w:rsidR="00CF72D5" w:rsidRPr="002029AF" w:rsidRDefault="00CF72D5" w:rsidP="00A57FDC">
            <w:pPr>
              <w:pStyle w:val="ARtabletextright"/>
            </w:pPr>
            <w:r w:rsidRPr="002029AF">
              <w:t>80,892</w:t>
            </w:r>
          </w:p>
        </w:tc>
        <w:tc>
          <w:tcPr>
            <w:tcW w:w="762" w:type="pct"/>
          </w:tcPr>
          <w:p w14:paraId="0181A41A" w14:textId="77777777" w:rsidR="00CF72D5" w:rsidRPr="002029AF" w:rsidRDefault="00CF72D5" w:rsidP="00A57FDC">
            <w:pPr>
              <w:pStyle w:val="ARtabletextright"/>
            </w:pPr>
            <w:r w:rsidRPr="002029AF">
              <w:t>0</w:t>
            </w:r>
          </w:p>
        </w:tc>
      </w:tr>
      <w:tr w:rsidR="00CF72D5" w:rsidRPr="002029AF" w14:paraId="6EBD2FE9" w14:textId="77777777" w:rsidTr="00457506">
        <w:tc>
          <w:tcPr>
            <w:tcW w:w="767" w:type="pct"/>
          </w:tcPr>
          <w:p w14:paraId="27DEA8D3" w14:textId="0BC44FB9"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23FF5F73" w14:textId="77777777" w:rsidR="00CF72D5" w:rsidRPr="002029AF" w:rsidRDefault="00CF72D5" w:rsidP="00897193">
            <w:pPr>
              <w:pStyle w:val="ARtablecolhead"/>
              <w:rPr>
                <w:b w:val="0"/>
                <w:bCs/>
              </w:rPr>
            </w:pPr>
          </w:p>
        </w:tc>
        <w:tc>
          <w:tcPr>
            <w:tcW w:w="1173" w:type="pct"/>
          </w:tcPr>
          <w:p w14:paraId="16FD8C7B" w14:textId="443CFB0B" w:rsidR="00CF72D5" w:rsidRPr="002029AF" w:rsidRDefault="00CF72D5" w:rsidP="0097339F">
            <w:pPr>
              <w:pStyle w:val="ARtabletext"/>
            </w:pPr>
            <w:r w:rsidRPr="002029AF">
              <w:t>Service</w:t>
            </w:r>
            <w:r w:rsidR="000A5329" w:rsidRPr="002029AF">
              <w:t xml:space="preserve"> </w:t>
            </w:r>
            <w:r w:rsidRPr="002029AF">
              <w:t>Plan,</w:t>
            </w:r>
            <w:r w:rsidR="000A5329" w:rsidRPr="002029AF">
              <w:t xml:space="preserve"> </w:t>
            </w:r>
            <w:r w:rsidRPr="002029AF">
              <w:t>Barwon</w:t>
            </w:r>
            <w:r w:rsidR="000A5329" w:rsidRPr="002029AF">
              <w:t xml:space="preserve"> </w:t>
            </w:r>
            <w:r w:rsidRPr="002029AF">
              <w:t>Locality</w:t>
            </w:r>
            <w:r w:rsidR="000A5329" w:rsidRPr="002029AF">
              <w:t xml:space="preserve"> </w:t>
            </w:r>
            <w:r w:rsidRPr="002029AF">
              <w:t>Health</w:t>
            </w:r>
          </w:p>
        </w:tc>
        <w:tc>
          <w:tcPr>
            <w:tcW w:w="766" w:type="pct"/>
          </w:tcPr>
          <w:p w14:paraId="18030C06" w14:textId="77777777" w:rsidR="00CF72D5" w:rsidRPr="002029AF" w:rsidRDefault="00CF72D5" w:rsidP="00A57FDC">
            <w:pPr>
              <w:pStyle w:val="ARtabletextright"/>
            </w:pPr>
            <w:r w:rsidRPr="002029AF">
              <w:t>192,901</w:t>
            </w:r>
          </w:p>
        </w:tc>
        <w:tc>
          <w:tcPr>
            <w:tcW w:w="766" w:type="pct"/>
          </w:tcPr>
          <w:p w14:paraId="47F104A4" w14:textId="77777777" w:rsidR="00CF72D5" w:rsidRPr="002029AF" w:rsidRDefault="00CF72D5" w:rsidP="00A57FDC">
            <w:pPr>
              <w:pStyle w:val="ARtabletextright"/>
            </w:pPr>
            <w:r w:rsidRPr="002029AF">
              <w:t>189,668</w:t>
            </w:r>
          </w:p>
        </w:tc>
        <w:tc>
          <w:tcPr>
            <w:tcW w:w="762" w:type="pct"/>
          </w:tcPr>
          <w:p w14:paraId="044BE5D8" w14:textId="77777777" w:rsidR="00CF72D5" w:rsidRPr="002029AF" w:rsidRDefault="00CF72D5" w:rsidP="00A57FDC">
            <w:pPr>
              <w:pStyle w:val="ARtabletextright"/>
            </w:pPr>
            <w:r w:rsidRPr="002029AF">
              <w:t>3,233</w:t>
            </w:r>
          </w:p>
        </w:tc>
      </w:tr>
      <w:tr w:rsidR="00CF72D5" w:rsidRPr="002029AF" w14:paraId="1F329E29" w14:textId="77777777" w:rsidTr="00457506">
        <w:tc>
          <w:tcPr>
            <w:tcW w:w="767" w:type="pct"/>
          </w:tcPr>
          <w:p w14:paraId="6AE3F06F" w14:textId="1EC6E972"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458BB6A7" w14:textId="77777777" w:rsidR="00CF72D5" w:rsidRPr="002029AF" w:rsidRDefault="00CF72D5" w:rsidP="00897193">
            <w:pPr>
              <w:pStyle w:val="ARtablecolhead"/>
              <w:rPr>
                <w:b w:val="0"/>
                <w:bCs/>
              </w:rPr>
            </w:pPr>
          </w:p>
        </w:tc>
        <w:tc>
          <w:tcPr>
            <w:tcW w:w="1173" w:type="pct"/>
          </w:tcPr>
          <w:p w14:paraId="1BEB06E7" w14:textId="4A1B1FBE" w:rsidR="00CF72D5" w:rsidRPr="002029AF" w:rsidRDefault="00CF72D5" w:rsidP="0097339F">
            <w:pPr>
              <w:pStyle w:val="ARtabletext"/>
            </w:pPr>
            <w:r w:rsidRPr="002029AF">
              <w:t>Funding</w:t>
            </w:r>
            <w:r w:rsidR="000A5329" w:rsidRPr="002029AF">
              <w:t xml:space="preserve"> </w:t>
            </w:r>
            <w:r w:rsidRPr="002029AF">
              <w:t>Model,</w:t>
            </w:r>
            <w:r w:rsidR="000A5329" w:rsidRPr="002029AF">
              <w:t xml:space="preserve"> </w:t>
            </w:r>
            <w:r w:rsidRPr="002029AF">
              <w:t>Community</w:t>
            </w:r>
            <w:r w:rsidR="000A5329" w:rsidRPr="002029AF">
              <w:t xml:space="preserve"> </w:t>
            </w:r>
            <w:r w:rsidRPr="002029AF">
              <w:t>Health</w:t>
            </w:r>
            <w:r w:rsidR="000A5329" w:rsidRPr="002029AF">
              <w:t xml:space="preserve"> </w:t>
            </w:r>
            <w:r w:rsidRPr="002029AF">
              <w:t>Dental</w:t>
            </w:r>
            <w:r w:rsidR="000A5329" w:rsidRPr="002029AF">
              <w:t xml:space="preserve"> </w:t>
            </w:r>
            <w:r w:rsidRPr="002029AF">
              <w:t>Service</w:t>
            </w:r>
          </w:p>
        </w:tc>
        <w:tc>
          <w:tcPr>
            <w:tcW w:w="766" w:type="pct"/>
          </w:tcPr>
          <w:p w14:paraId="2274846B" w14:textId="77777777" w:rsidR="00CF72D5" w:rsidRPr="002029AF" w:rsidRDefault="00CF72D5" w:rsidP="00A57FDC">
            <w:pPr>
              <w:pStyle w:val="ARtabletextright"/>
            </w:pPr>
            <w:r w:rsidRPr="002029AF">
              <w:t>362,365</w:t>
            </w:r>
          </w:p>
        </w:tc>
        <w:tc>
          <w:tcPr>
            <w:tcW w:w="766" w:type="pct"/>
          </w:tcPr>
          <w:p w14:paraId="6B08AEB2" w14:textId="77777777" w:rsidR="00CF72D5" w:rsidRPr="002029AF" w:rsidRDefault="00CF72D5" w:rsidP="00A57FDC">
            <w:pPr>
              <w:pStyle w:val="ARtabletextright"/>
            </w:pPr>
            <w:r w:rsidRPr="002029AF">
              <w:t>217,501</w:t>
            </w:r>
          </w:p>
        </w:tc>
        <w:tc>
          <w:tcPr>
            <w:tcW w:w="762" w:type="pct"/>
          </w:tcPr>
          <w:p w14:paraId="4722DAD9" w14:textId="77777777" w:rsidR="00CF72D5" w:rsidRPr="002029AF" w:rsidRDefault="00CF72D5" w:rsidP="00A57FDC">
            <w:pPr>
              <w:pStyle w:val="ARtabletextright"/>
            </w:pPr>
            <w:r w:rsidRPr="002029AF">
              <w:t>144,864</w:t>
            </w:r>
          </w:p>
        </w:tc>
      </w:tr>
      <w:tr w:rsidR="00CF72D5" w:rsidRPr="002029AF" w14:paraId="36ADDD3F" w14:textId="77777777" w:rsidTr="00457506">
        <w:tc>
          <w:tcPr>
            <w:tcW w:w="767" w:type="pct"/>
          </w:tcPr>
          <w:p w14:paraId="73EA50E0" w14:textId="58101669"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7F2D943D" w14:textId="77777777" w:rsidR="00CF72D5" w:rsidRPr="002029AF" w:rsidRDefault="00CF72D5" w:rsidP="00897193">
            <w:pPr>
              <w:pStyle w:val="ARtablecolhead"/>
              <w:rPr>
                <w:b w:val="0"/>
                <w:bCs/>
              </w:rPr>
            </w:pPr>
          </w:p>
        </w:tc>
        <w:tc>
          <w:tcPr>
            <w:tcW w:w="1173" w:type="pct"/>
          </w:tcPr>
          <w:p w14:paraId="129CD389" w14:textId="1C3DBD5D" w:rsidR="00CF72D5" w:rsidRPr="002029AF" w:rsidRDefault="00CF72D5" w:rsidP="0097339F">
            <w:pPr>
              <w:pStyle w:val="ARtabletext"/>
            </w:pPr>
            <w:r w:rsidRPr="002029AF">
              <w:t>Review,</w:t>
            </w:r>
            <w:r w:rsidR="000A5329" w:rsidRPr="002029AF">
              <w:t xml:space="preserve"> </w:t>
            </w:r>
            <w:r w:rsidRPr="002029AF">
              <w:t>Primary</w:t>
            </w:r>
            <w:r w:rsidR="000A5329" w:rsidRPr="002029AF">
              <w:t xml:space="preserve"> </w:t>
            </w:r>
            <w:r w:rsidRPr="002029AF">
              <w:t>Care</w:t>
            </w:r>
            <w:r w:rsidR="000A5329" w:rsidRPr="002029AF">
              <w:t xml:space="preserve"> </w:t>
            </w:r>
            <w:r w:rsidRPr="002029AF">
              <w:t>Partnerships</w:t>
            </w:r>
            <w:r w:rsidR="000A5329" w:rsidRPr="002029AF">
              <w:t xml:space="preserve"> </w:t>
            </w:r>
            <w:r w:rsidRPr="002029AF">
              <w:t>Program</w:t>
            </w:r>
            <w:r w:rsidR="000A5329" w:rsidRPr="002029AF">
              <w:t xml:space="preserve"> </w:t>
            </w:r>
            <w:r w:rsidRPr="002029AF">
              <w:t>Model</w:t>
            </w:r>
          </w:p>
        </w:tc>
        <w:tc>
          <w:tcPr>
            <w:tcW w:w="766" w:type="pct"/>
          </w:tcPr>
          <w:p w14:paraId="256BED7D" w14:textId="77777777" w:rsidR="00CF72D5" w:rsidRPr="002029AF" w:rsidRDefault="00CF72D5" w:rsidP="00A57FDC">
            <w:pPr>
              <w:pStyle w:val="ARtabletextright"/>
            </w:pPr>
            <w:r w:rsidRPr="002029AF">
              <w:t>140,371</w:t>
            </w:r>
          </w:p>
        </w:tc>
        <w:tc>
          <w:tcPr>
            <w:tcW w:w="766" w:type="pct"/>
          </w:tcPr>
          <w:p w14:paraId="38828929" w14:textId="77777777" w:rsidR="00CF72D5" w:rsidRPr="002029AF" w:rsidRDefault="00CF72D5" w:rsidP="00A57FDC">
            <w:pPr>
              <w:pStyle w:val="ARtabletextright"/>
            </w:pPr>
            <w:r w:rsidRPr="002029AF">
              <w:t>140,371</w:t>
            </w:r>
          </w:p>
        </w:tc>
        <w:tc>
          <w:tcPr>
            <w:tcW w:w="762" w:type="pct"/>
          </w:tcPr>
          <w:p w14:paraId="02D4BEF1" w14:textId="77777777" w:rsidR="00CF72D5" w:rsidRPr="002029AF" w:rsidRDefault="00CF72D5" w:rsidP="00A57FDC">
            <w:pPr>
              <w:pStyle w:val="ARtabletextright"/>
            </w:pPr>
            <w:r w:rsidRPr="002029AF">
              <w:t>0</w:t>
            </w:r>
          </w:p>
        </w:tc>
      </w:tr>
      <w:tr w:rsidR="00CF72D5" w:rsidRPr="002029AF" w14:paraId="4D5DE748" w14:textId="77777777" w:rsidTr="00457506">
        <w:tc>
          <w:tcPr>
            <w:tcW w:w="767" w:type="pct"/>
          </w:tcPr>
          <w:p w14:paraId="470D8E7C" w14:textId="75864E12"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6E1FF84C" w14:textId="77777777" w:rsidR="00CF72D5" w:rsidRPr="002029AF" w:rsidRDefault="00CF72D5" w:rsidP="00897193">
            <w:pPr>
              <w:pStyle w:val="ARtablecolhead"/>
              <w:rPr>
                <w:b w:val="0"/>
                <w:bCs/>
              </w:rPr>
            </w:pPr>
          </w:p>
        </w:tc>
        <w:tc>
          <w:tcPr>
            <w:tcW w:w="1173" w:type="pct"/>
          </w:tcPr>
          <w:p w14:paraId="5B855FDD" w14:textId="52236775" w:rsidR="00CF72D5" w:rsidRPr="002029AF" w:rsidRDefault="00CF72D5" w:rsidP="0097339F">
            <w:pPr>
              <w:pStyle w:val="ARtabletext"/>
            </w:pPr>
            <w:r w:rsidRPr="002029AF">
              <w:t>Analysis,</w:t>
            </w:r>
            <w:r w:rsidR="000A5329" w:rsidRPr="002029AF">
              <w:t xml:space="preserve"> </w:t>
            </w:r>
            <w:r w:rsidRPr="002029AF">
              <w:t>Health</w:t>
            </w:r>
            <w:r w:rsidR="000A5329" w:rsidRPr="002029AF">
              <w:t xml:space="preserve"> </w:t>
            </w:r>
            <w:r w:rsidRPr="002029AF">
              <w:t>Technology</w:t>
            </w:r>
            <w:r w:rsidR="000A5329" w:rsidRPr="002029AF">
              <w:t xml:space="preserve"> </w:t>
            </w:r>
            <w:r w:rsidRPr="002029AF">
              <w:t>Solutions</w:t>
            </w:r>
            <w:r w:rsidR="000A5329" w:rsidRPr="002029AF">
              <w:t xml:space="preserve"> </w:t>
            </w:r>
            <w:r w:rsidRPr="002029AF">
              <w:t>and</w:t>
            </w:r>
            <w:r w:rsidR="000A5329" w:rsidRPr="002029AF">
              <w:t xml:space="preserve"> </w:t>
            </w:r>
            <w:r w:rsidRPr="002029AF">
              <w:t>IT</w:t>
            </w:r>
            <w:r w:rsidR="000A5329" w:rsidRPr="002029AF">
              <w:t xml:space="preserve"> </w:t>
            </w:r>
            <w:r w:rsidRPr="002029AF">
              <w:t>Operating</w:t>
            </w:r>
            <w:r w:rsidR="000A5329" w:rsidRPr="002029AF">
              <w:t xml:space="preserve"> </w:t>
            </w:r>
            <w:r w:rsidRPr="002029AF">
              <w:t>Model</w:t>
            </w:r>
          </w:p>
        </w:tc>
        <w:tc>
          <w:tcPr>
            <w:tcW w:w="766" w:type="pct"/>
          </w:tcPr>
          <w:p w14:paraId="26BB7CA0" w14:textId="77777777" w:rsidR="00CF72D5" w:rsidRPr="002029AF" w:rsidRDefault="00CF72D5" w:rsidP="00A57FDC">
            <w:pPr>
              <w:pStyle w:val="ARtabletextright"/>
            </w:pPr>
            <w:r w:rsidRPr="002029AF">
              <w:t>148,000</w:t>
            </w:r>
          </w:p>
        </w:tc>
        <w:tc>
          <w:tcPr>
            <w:tcW w:w="766" w:type="pct"/>
          </w:tcPr>
          <w:p w14:paraId="01A8C9B7" w14:textId="77777777" w:rsidR="00CF72D5" w:rsidRPr="002029AF" w:rsidRDefault="00CF72D5" w:rsidP="00A57FDC">
            <w:pPr>
              <w:pStyle w:val="ARtabletextright"/>
            </w:pPr>
            <w:r w:rsidRPr="002029AF">
              <w:t>134,145</w:t>
            </w:r>
          </w:p>
        </w:tc>
        <w:tc>
          <w:tcPr>
            <w:tcW w:w="762" w:type="pct"/>
          </w:tcPr>
          <w:p w14:paraId="434F1ED0" w14:textId="77777777" w:rsidR="00CF72D5" w:rsidRPr="002029AF" w:rsidRDefault="00CF72D5" w:rsidP="00A57FDC">
            <w:pPr>
              <w:pStyle w:val="ARtabletextright"/>
            </w:pPr>
            <w:r w:rsidRPr="002029AF">
              <w:t>13,855</w:t>
            </w:r>
          </w:p>
        </w:tc>
      </w:tr>
      <w:tr w:rsidR="00CF72D5" w:rsidRPr="002029AF" w14:paraId="4FD1F6B7" w14:textId="77777777" w:rsidTr="00457506">
        <w:tc>
          <w:tcPr>
            <w:tcW w:w="767" w:type="pct"/>
          </w:tcPr>
          <w:p w14:paraId="267E92AB" w14:textId="13B81370"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60CD77F8" w14:textId="77777777" w:rsidR="00CF72D5" w:rsidRPr="002029AF" w:rsidRDefault="00CF72D5" w:rsidP="00897193">
            <w:pPr>
              <w:pStyle w:val="ARtablecolhead"/>
              <w:rPr>
                <w:b w:val="0"/>
                <w:bCs/>
              </w:rPr>
            </w:pPr>
          </w:p>
        </w:tc>
        <w:tc>
          <w:tcPr>
            <w:tcW w:w="1173" w:type="pct"/>
          </w:tcPr>
          <w:p w14:paraId="45805ABB" w14:textId="56904229" w:rsidR="00CF72D5" w:rsidRPr="002029AF" w:rsidRDefault="00CF72D5" w:rsidP="0097339F">
            <w:pPr>
              <w:pStyle w:val="ARtabletext"/>
            </w:pPr>
            <w:r w:rsidRPr="002029AF">
              <w:t>Service</w:t>
            </w:r>
            <w:r w:rsidR="000A5329" w:rsidRPr="002029AF">
              <w:t xml:space="preserve"> </w:t>
            </w:r>
            <w:r w:rsidRPr="002029AF">
              <w:t>plan,</w:t>
            </w:r>
            <w:r w:rsidR="000A5329" w:rsidRPr="002029AF">
              <w:t xml:space="preserve"> </w:t>
            </w:r>
            <w:r w:rsidRPr="002029AF">
              <w:t>Mildura</w:t>
            </w:r>
            <w:r w:rsidR="000A5329" w:rsidRPr="002029AF">
              <w:t xml:space="preserve"> </w:t>
            </w:r>
            <w:r w:rsidRPr="002029AF">
              <w:t>and</w:t>
            </w:r>
            <w:r w:rsidR="000A5329" w:rsidRPr="002029AF">
              <w:t xml:space="preserve"> </w:t>
            </w:r>
            <w:r w:rsidRPr="002029AF">
              <w:t>Northern</w:t>
            </w:r>
            <w:r w:rsidR="000A5329" w:rsidRPr="002029AF">
              <w:t xml:space="preserve"> </w:t>
            </w:r>
            <w:r w:rsidRPr="002029AF">
              <w:t>Mallee</w:t>
            </w:r>
          </w:p>
        </w:tc>
        <w:tc>
          <w:tcPr>
            <w:tcW w:w="766" w:type="pct"/>
          </w:tcPr>
          <w:p w14:paraId="68259884" w14:textId="77777777" w:rsidR="00CF72D5" w:rsidRPr="002029AF" w:rsidRDefault="00CF72D5" w:rsidP="00A57FDC">
            <w:pPr>
              <w:pStyle w:val="ARtabletextright"/>
            </w:pPr>
            <w:r w:rsidRPr="002029AF">
              <w:t>257,843</w:t>
            </w:r>
          </w:p>
        </w:tc>
        <w:tc>
          <w:tcPr>
            <w:tcW w:w="766" w:type="pct"/>
          </w:tcPr>
          <w:p w14:paraId="0558DEF7" w14:textId="77777777" w:rsidR="00CF72D5" w:rsidRPr="002029AF" w:rsidRDefault="00CF72D5" w:rsidP="00A57FDC">
            <w:pPr>
              <w:pStyle w:val="ARtabletextright"/>
            </w:pPr>
            <w:r w:rsidRPr="002029AF">
              <w:t>62,461</w:t>
            </w:r>
          </w:p>
        </w:tc>
        <w:tc>
          <w:tcPr>
            <w:tcW w:w="762" w:type="pct"/>
          </w:tcPr>
          <w:p w14:paraId="3D6E697F" w14:textId="77777777" w:rsidR="00CF72D5" w:rsidRPr="002029AF" w:rsidRDefault="00CF72D5" w:rsidP="00A57FDC">
            <w:pPr>
              <w:pStyle w:val="ARtabletextright"/>
            </w:pPr>
            <w:r w:rsidRPr="002029AF">
              <w:t>195,382</w:t>
            </w:r>
          </w:p>
        </w:tc>
      </w:tr>
      <w:tr w:rsidR="00CF72D5" w:rsidRPr="002029AF" w14:paraId="1D0B3179" w14:textId="77777777" w:rsidTr="00457506">
        <w:tc>
          <w:tcPr>
            <w:tcW w:w="767" w:type="pct"/>
          </w:tcPr>
          <w:p w14:paraId="44F2B28E" w14:textId="09F3DD85"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2DB8D6E4" w14:textId="77777777" w:rsidR="00CF72D5" w:rsidRPr="002029AF" w:rsidRDefault="00CF72D5" w:rsidP="00897193">
            <w:pPr>
              <w:pStyle w:val="ARtablecolhead"/>
              <w:rPr>
                <w:b w:val="0"/>
                <w:bCs/>
              </w:rPr>
            </w:pPr>
          </w:p>
        </w:tc>
        <w:tc>
          <w:tcPr>
            <w:tcW w:w="1173" w:type="pct"/>
          </w:tcPr>
          <w:p w14:paraId="2718B27C" w14:textId="00131FF8" w:rsidR="00CF72D5" w:rsidRPr="002029AF" w:rsidRDefault="00CF72D5" w:rsidP="0097339F">
            <w:pPr>
              <w:pStyle w:val="ARtabletext"/>
            </w:pPr>
            <w:r w:rsidRPr="002029AF">
              <w:t>Statewide</w:t>
            </w:r>
            <w:r w:rsidR="000A5329" w:rsidRPr="002029AF">
              <w:t xml:space="preserve"> </w:t>
            </w:r>
            <w:r w:rsidRPr="002029AF">
              <w:t>Mental</w:t>
            </w:r>
            <w:r w:rsidR="000A5329" w:rsidRPr="002029AF">
              <w:t xml:space="preserve"> </w:t>
            </w:r>
            <w:r w:rsidRPr="002029AF">
              <w:t>Health</w:t>
            </w:r>
            <w:r w:rsidR="000A5329" w:rsidRPr="002029AF">
              <w:t xml:space="preserve"> </w:t>
            </w:r>
            <w:r w:rsidRPr="002029AF">
              <w:t>Demand</w:t>
            </w:r>
            <w:r w:rsidR="000A5329" w:rsidRPr="002029AF">
              <w:t xml:space="preserve"> </w:t>
            </w:r>
            <w:r w:rsidRPr="002029AF">
              <w:t>Modelling</w:t>
            </w:r>
          </w:p>
        </w:tc>
        <w:tc>
          <w:tcPr>
            <w:tcW w:w="766" w:type="pct"/>
          </w:tcPr>
          <w:p w14:paraId="798407B9" w14:textId="77777777" w:rsidR="00CF72D5" w:rsidRPr="002029AF" w:rsidRDefault="00CF72D5" w:rsidP="00A57FDC">
            <w:pPr>
              <w:pStyle w:val="ARtabletextright"/>
            </w:pPr>
            <w:r w:rsidRPr="002029AF">
              <w:t>91,740</w:t>
            </w:r>
          </w:p>
        </w:tc>
        <w:tc>
          <w:tcPr>
            <w:tcW w:w="766" w:type="pct"/>
          </w:tcPr>
          <w:p w14:paraId="59294BC0" w14:textId="77777777" w:rsidR="00CF72D5" w:rsidRPr="002029AF" w:rsidRDefault="00CF72D5" w:rsidP="00A57FDC">
            <w:pPr>
              <w:pStyle w:val="ARtabletextright"/>
            </w:pPr>
            <w:r w:rsidRPr="002029AF">
              <w:t>83,400</w:t>
            </w:r>
          </w:p>
        </w:tc>
        <w:tc>
          <w:tcPr>
            <w:tcW w:w="762" w:type="pct"/>
          </w:tcPr>
          <w:p w14:paraId="204BF538" w14:textId="77777777" w:rsidR="00CF72D5" w:rsidRPr="002029AF" w:rsidRDefault="00CF72D5" w:rsidP="00A57FDC">
            <w:pPr>
              <w:pStyle w:val="ARtabletextright"/>
            </w:pPr>
            <w:r w:rsidRPr="002029AF">
              <w:t>8,340</w:t>
            </w:r>
          </w:p>
        </w:tc>
      </w:tr>
      <w:tr w:rsidR="00CF72D5" w:rsidRPr="002029AF" w14:paraId="2AA74056" w14:textId="77777777" w:rsidTr="00457506">
        <w:tc>
          <w:tcPr>
            <w:tcW w:w="767" w:type="pct"/>
          </w:tcPr>
          <w:p w14:paraId="5175B769" w14:textId="16572FBC"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2C0A29C9" w14:textId="77777777" w:rsidR="00CF72D5" w:rsidRPr="002029AF" w:rsidRDefault="00CF72D5" w:rsidP="00897193">
            <w:pPr>
              <w:pStyle w:val="ARtablecolhead"/>
              <w:rPr>
                <w:b w:val="0"/>
                <w:bCs/>
              </w:rPr>
            </w:pPr>
          </w:p>
        </w:tc>
        <w:tc>
          <w:tcPr>
            <w:tcW w:w="1173" w:type="pct"/>
          </w:tcPr>
          <w:p w14:paraId="1CF1DA6A" w14:textId="3ACCA78A" w:rsidR="00CF72D5" w:rsidRPr="002029AF" w:rsidRDefault="00CF72D5" w:rsidP="0097339F">
            <w:pPr>
              <w:pStyle w:val="ARtabletext"/>
            </w:pPr>
            <w:r w:rsidRPr="002029AF">
              <w:t>Financial</w:t>
            </w:r>
            <w:r w:rsidR="000A5329" w:rsidRPr="002029AF">
              <w:t xml:space="preserve"> </w:t>
            </w:r>
            <w:r w:rsidRPr="002029AF">
              <w:t>review,</w:t>
            </w:r>
            <w:r w:rsidR="000A5329" w:rsidRPr="002029AF">
              <w:t xml:space="preserve"> </w:t>
            </w:r>
            <w:r w:rsidRPr="002029AF">
              <w:t>Victorian</w:t>
            </w:r>
            <w:r w:rsidR="000A5329" w:rsidRPr="002029AF">
              <w:t xml:space="preserve"> </w:t>
            </w:r>
            <w:r w:rsidRPr="002029AF">
              <w:t>Public</w:t>
            </w:r>
            <w:r w:rsidR="000A5329" w:rsidRPr="002029AF">
              <w:t xml:space="preserve"> </w:t>
            </w:r>
            <w:r w:rsidRPr="002029AF">
              <w:t>Hospitals</w:t>
            </w:r>
            <w:r w:rsidR="000A5329" w:rsidRPr="002029AF">
              <w:t xml:space="preserve"> </w:t>
            </w:r>
            <w:r w:rsidRPr="002029AF">
              <w:t>Impacted</w:t>
            </w:r>
            <w:r w:rsidR="000A5329" w:rsidRPr="002029AF">
              <w:t xml:space="preserve"> </w:t>
            </w:r>
            <w:r w:rsidRPr="002029AF">
              <w:t>by</w:t>
            </w:r>
            <w:r w:rsidR="000A5329" w:rsidRPr="002029AF">
              <w:t xml:space="preserve"> </w:t>
            </w:r>
            <w:r w:rsidRPr="002029AF">
              <w:t>COVID-19</w:t>
            </w:r>
          </w:p>
        </w:tc>
        <w:tc>
          <w:tcPr>
            <w:tcW w:w="766" w:type="pct"/>
          </w:tcPr>
          <w:p w14:paraId="0554D88C" w14:textId="77777777" w:rsidR="00CF72D5" w:rsidRPr="002029AF" w:rsidRDefault="00CF72D5" w:rsidP="00A57FDC">
            <w:pPr>
              <w:pStyle w:val="ARtabletextright"/>
            </w:pPr>
            <w:r w:rsidRPr="002029AF">
              <w:t>490,000</w:t>
            </w:r>
          </w:p>
        </w:tc>
        <w:tc>
          <w:tcPr>
            <w:tcW w:w="766" w:type="pct"/>
          </w:tcPr>
          <w:p w14:paraId="230423A4" w14:textId="77777777" w:rsidR="00CF72D5" w:rsidRPr="002029AF" w:rsidRDefault="00CF72D5" w:rsidP="00A57FDC">
            <w:pPr>
              <w:pStyle w:val="ARtabletextright"/>
            </w:pPr>
            <w:r w:rsidRPr="002029AF">
              <w:t>255,853</w:t>
            </w:r>
          </w:p>
        </w:tc>
        <w:tc>
          <w:tcPr>
            <w:tcW w:w="762" w:type="pct"/>
          </w:tcPr>
          <w:p w14:paraId="70D80791" w14:textId="77777777" w:rsidR="00CF72D5" w:rsidRPr="002029AF" w:rsidRDefault="00CF72D5" w:rsidP="00A57FDC">
            <w:pPr>
              <w:pStyle w:val="ARtabletextright"/>
            </w:pPr>
            <w:r w:rsidRPr="002029AF">
              <w:t>234,148</w:t>
            </w:r>
          </w:p>
        </w:tc>
      </w:tr>
      <w:tr w:rsidR="00CF72D5" w:rsidRPr="002029AF" w14:paraId="2BD8D5CD" w14:textId="77777777" w:rsidTr="00457506">
        <w:tc>
          <w:tcPr>
            <w:tcW w:w="767" w:type="pct"/>
          </w:tcPr>
          <w:p w14:paraId="6D5BE40D" w14:textId="04E3BB62"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7948CB7E" w14:textId="77777777" w:rsidR="00CF72D5" w:rsidRPr="002029AF" w:rsidRDefault="00CF72D5" w:rsidP="00897193">
            <w:pPr>
              <w:pStyle w:val="ARtablecolhead"/>
              <w:rPr>
                <w:b w:val="0"/>
                <w:bCs/>
              </w:rPr>
            </w:pPr>
          </w:p>
        </w:tc>
        <w:tc>
          <w:tcPr>
            <w:tcW w:w="1173" w:type="pct"/>
          </w:tcPr>
          <w:p w14:paraId="78B39BE1" w14:textId="7B76F544" w:rsidR="00CF72D5" w:rsidRPr="002029AF" w:rsidRDefault="00CF72D5" w:rsidP="0097339F">
            <w:pPr>
              <w:pStyle w:val="ARtabletext"/>
            </w:pPr>
            <w:r w:rsidRPr="002029AF">
              <w:t>Health</w:t>
            </w:r>
            <w:r w:rsidR="000A5329" w:rsidRPr="002029AF">
              <w:t xml:space="preserve"> </w:t>
            </w:r>
            <w:r w:rsidRPr="002029AF">
              <w:t>Prevention</w:t>
            </w:r>
            <w:r w:rsidR="000A5329" w:rsidRPr="002029AF">
              <w:t xml:space="preserve"> </w:t>
            </w:r>
            <w:r w:rsidRPr="002029AF">
              <w:t>Program</w:t>
            </w:r>
            <w:r w:rsidR="000A5329" w:rsidRPr="002029AF">
              <w:t xml:space="preserve"> </w:t>
            </w:r>
            <w:r w:rsidRPr="002029AF">
              <w:t>Development</w:t>
            </w:r>
            <w:r w:rsidR="000A5329" w:rsidRPr="002029AF">
              <w:t xml:space="preserve"> </w:t>
            </w:r>
            <w:r w:rsidRPr="002029AF">
              <w:t>Support</w:t>
            </w:r>
            <w:r w:rsidR="000A5329" w:rsidRPr="002029AF">
              <w:t xml:space="preserve"> </w:t>
            </w:r>
            <w:r w:rsidRPr="002029AF">
              <w:t>Project</w:t>
            </w:r>
          </w:p>
        </w:tc>
        <w:tc>
          <w:tcPr>
            <w:tcW w:w="766" w:type="pct"/>
          </w:tcPr>
          <w:p w14:paraId="1D6FF15D" w14:textId="77777777" w:rsidR="00CF72D5" w:rsidRPr="002029AF" w:rsidRDefault="00CF72D5" w:rsidP="00A57FDC">
            <w:pPr>
              <w:pStyle w:val="ARtabletextright"/>
            </w:pPr>
            <w:r w:rsidRPr="002029AF">
              <w:t>138,979</w:t>
            </w:r>
          </w:p>
        </w:tc>
        <w:tc>
          <w:tcPr>
            <w:tcW w:w="766" w:type="pct"/>
          </w:tcPr>
          <w:p w14:paraId="6A8B428B" w14:textId="77777777" w:rsidR="00CF72D5" w:rsidRPr="002029AF" w:rsidRDefault="00CF72D5" w:rsidP="00A57FDC">
            <w:pPr>
              <w:pStyle w:val="ARtabletextright"/>
            </w:pPr>
            <w:r w:rsidRPr="002029AF">
              <w:t>41,694</w:t>
            </w:r>
          </w:p>
        </w:tc>
        <w:tc>
          <w:tcPr>
            <w:tcW w:w="762" w:type="pct"/>
          </w:tcPr>
          <w:p w14:paraId="7B84AC74" w14:textId="77777777" w:rsidR="00CF72D5" w:rsidRPr="002029AF" w:rsidRDefault="00CF72D5" w:rsidP="00A57FDC">
            <w:pPr>
              <w:pStyle w:val="ARtabletextright"/>
            </w:pPr>
            <w:r w:rsidRPr="002029AF">
              <w:t>97,285</w:t>
            </w:r>
          </w:p>
        </w:tc>
      </w:tr>
      <w:tr w:rsidR="00CF72D5" w:rsidRPr="002029AF" w14:paraId="0E010547" w14:textId="77777777" w:rsidTr="00457506">
        <w:tc>
          <w:tcPr>
            <w:tcW w:w="767" w:type="pct"/>
          </w:tcPr>
          <w:p w14:paraId="388EF676" w14:textId="7B12635E"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5F91D04D" w14:textId="77777777" w:rsidR="00CF72D5" w:rsidRPr="002029AF" w:rsidRDefault="00CF72D5" w:rsidP="00897193">
            <w:pPr>
              <w:pStyle w:val="ARtablecolhead"/>
              <w:rPr>
                <w:b w:val="0"/>
                <w:bCs/>
              </w:rPr>
            </w:pPr>
          </w:p>
        </w:tc>
        <w:tc>
          <w:tcPr>
            <w:tcW w:w="1173" w:type="pct"/>
          </w:tcPr>
          <w:p w14:paraId="77F10617" w14:textId="1AB084DA" w:rsidR="00CF72D5" w:rsidRPr="002029AF" w:rsidRDefault="00CF72D5" w:rsidP="0097339F">
            <w:pPr>
              <w:pStyle w:val="ARtabletext"/>
            </w:pPr>
            <w:r w:rsidRPr="002029AF">
              <w:t>Advisory</w:t>
            </w:r>
            <w:r w:rsidR="000A5329" w:rsidRPr="002029AF">
              <w:t xml:space="preserve"> </w:t>
            </w:r>
            <w:r w:rsidRPr="002029AF">
              <w:t>services,</w:t>
            </w:r>
            <w:r w:rsidR="000A5329" w:rsidRPr="002029AF">
              <w:t xml:space="preserve"> </w:t>
            </w:r>
            <w:r w:rsidRPr="002029AF">
              <w:t>Private</w:t>
            </w:r>
            <w:r w:rsidR="000A5329" w:rsidRPr="002029AF">
              <w:t xml:space="preserve"> </w:t>
            </w:r>
            <w:r w:rsidRPr="002029AF">
              <w:t>Health</w:t>
            </w:r>
            <w:r w:rsidR="000A5329" w:rsidRPr="002029AF">
              <w:t xml:space="preserve"> </w:t>
            </w:r>
            <w:r w:rsidRPr="002029AF">
              <w:t>Sector,</w:t>
            </w:r>
            <w:r w:rsidR="000A5329" w:rsidRPr="002029AF">
              <w:t xml:space="preserve"> </w:t>
            </w:r>
            <w:r w:rsidRPr="002029AF">
              <w:t>COVID-19</w:t>
            </w:r>
          </w:p>
        </w:tc>
        <w:tc>
          <w:tcPr>
            <w:tcW w:w="766" w:type="pct"/>
          </w:tcPr>
          <w:p w14:paraId="7483A4AD" w14:textId="77777777" w:rsidR="00CF72D5" w:rsidRPr="002029AF" w:rsidRDefault="00CF72D5" w:rsidP="00A57FDC">
            <w:pPr>
              <w:pStyle w:val="ARtabletextright"/>
            </w:pPr>
            <w:r w:rsidRPr="002029AF">
              <w:t>4,000,000</w:t>
            </w:r>
          </w:p>
        </w:tc>
        <w:tc>
          <w:tcPr>
            <w:tcW w:w="766" w:type="pct"/>
          </w:tcPr>
          <w:p w14:paraId="795178A8" w14:textId="77777777" w:rsidR="00CF72D5" w:rsidRPr="002029AF" w:rsidRDefault="00CF72D5" w:rsidP="00A57FDC">
            <w:pPr>
              <w:pStyle w:val="ARtabletextright"/>
            </w:pPr>
            <w:r w:rsidRPr="002029AF">
              <w:t>1,257,990</w:t>
            </w:r>
          </w:p>
        </w:tc>
        <w:tc>
          <w:tcPr>
            <w:tcW w:w="762" w:type="pct"/>
          </w:tcPr>
          <w:p w14:paraId="458EAFF4" w14:textId="77777777" w:rsidR="00CF72D5" w:rsidRPr="002029AF" w:rsidRDefault="00CF72D5" w:rsidP="00A57FDC">
            <w:pPr>
              <w:pStyle w:val="ARtabletextright"/>
            </w:pPr>
            <w:r w:rsidRPr="002029AF">
              <w:t>2,742,010</w:t>
            </w:r>
          </w:p>
        </w:tc>
      </w:tr>
      <w:tr w:rsidR="00CF72D5" w:rsidRPr="002029AF" w14:paraId="3D1C2D93" w14:textId="77777777" w:rsidTr="00457506">
        <w:tc>
          <w:tcPr>
            <w:tcW w:w="767" w:type="pct"/>
          </w:tcPr>
          <w:p w14:paraId="58341BE8" w14:textId="2505C913" w:rsidR="00CF72D5" w:rsidRPr="002029AF" w:rsidRDefault="00CF72D5" w:rsidP="0097339F">
            <w:pPr>
              <w:pStyle w:val="ARtabletext"/>
            </w:pPr>
            <w:r w:rsidRPr="002029AF">
              <w:lastRenderedPageBreak/>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val="restart"/>
          </w:tcPr>
          <w:p w14:paraId="621F6613" w14:textId="0FA11C23" w:rsidR="00CF72D5" w:rsidRPr="002029AF" w:rsidRDefault="00CF72D5" w:rsidP="0097339F">
            <w:pPr>
              <w:pStyle w:val="ARtabletext"/>
            </w:pPr>
            <w:r w:rsidRPr="002029AF">
              <w:t>Boston</w:t>
            </w:r>
            <w:r w:rsidR="000A5329" w:rsidRPr="002029AF">
              <w:t xml:space="preserve"> </w:t>
            </w:r>
            <w:r w:rsidRPr="002029AF">
              <w:t>Consulting</w:t>
            </w:r>
            <w:r w:rsidR="000A5329" w:rsidRPr="002029AF">
              <w:t xml:space="preserve"> </w:t>
            </w:r>
            <w:r w:rsidRPr="002029AF">
              <w:t>Group</w:t>
            </w:r>
          </w:p>
        </w:tc>
        <w:tc>
          <w:tcPr>
            <w:tcW w:w="1173" w:type="pct"/>
          </w:tcPr>
          <w:p w14:paraId="699BDC17" w14:textId="2CD174FD" w:rsidR="00CF72D5" w:rsidRPr="002029AF" w:rsidRDefault="00CF72D5" w:rsidP="00457506">
            <w:pPr>
              <w:pStyle w:val="ARtabletextbold"/>
            </w:pPr>
            <w:r w:rsidRPr="002029AF">
              <w:t>Strategic</w:t>
            </w:r>
            <w:r w:rsidR="000A5329" w:rsidRPr="002029AF">
              <w:t xml:space="preserve"> </w:t>
            </w:r>
            <w:r w:rsidRPr="002029AF">
              <w:t>Alliance</w:t>
            </w:r>
            <w:r w:rsidR="000A5329" w:rsidRPr="002029AF">
              <w:t xml:space="preserve"> </w:t>
            </w:r>
            <w:r w:rsidRPr="002029AF">
              <w:t>(Health)</w:t>
            </w:r>
            <w:r w:rsidR="000A5329" w:rsidRPr="002029AF">
              <w:t xml:space="preserve"> </w:t>
            </w:r>
            <w:r w:rsidRPr="002029AF">
              <w:t>included</w:t>
            </w:r>
            <w:r w:rsidR="000A5329" w:rsidRPr="002029AF">
              <w:t xml:space="preserve"> </w:t>
            </w:r>
            <w:r w:rsidRPr="002029AF">
              <w:t>the</w:t>
            </w:r>
            <w:r w:rsidR="000A5329" w:rsidRPr="002029AF">
              <w:t xml:space="preserve"> </w:t>
            </w:r>
            <w:r w:rsidRPr="002029AF">
              <w:t>following</w:t>
            </w:r>
            <w:r w:rsidR="000A5329" w:rsidRPr="002029AF">
              <w:t xml:space="preserve"> </w:t>
            </w:r>
            <w:r w:rsidRPr="002029AF">
              <w:t>project</w:t>
            </w:r>
            <w:r w:rsidR="000A5329" w:rsidRPr="002029AF">
              <w:t xml:space="preserve"> </w:t>
            </w:r>
            <w:r w:rsidRPr="002029AF">
              <w:t>payments</w:t>
            </w:r>
            <w:r w:rsidR="000A5329" w:rsidRPr="002029AF">
              <w:t xml:space="preserve"> </w:t>
            </w:r>
            <w:r w:rsidRPr="002029AF">
              <w:t>in</w:t>
            </w:r>
            <w:r w:rsidR="000A5329" w:rsidRPr="002029AF">
              <w:t xml:space="preserve"> </w:t>
            </w:r>
            <w:r w:rsidRPr="002029AF">
              <w:t>2019</w:t>
            </w:r>
            <w:r w:rsidR="0097339F" w:rsidRPr="002029AF">
              <w:t>–</w:t>
            </w:r>
            <w:r w:rsidRPr="002029AF">
              <w:t>20:</w:t>
            </w:r>
          </w:p>
        </w:tc>
        <w:tc>
          <w:tcPr>
            <w:tcW w:w="766" w:type="pct"/>
          </w:tcPr>
          <w:p w14:paraId="1B573B7E" w14:textId="510ADE8D" w:rsidR="00CF72D5" w:rsidRPr="002029AF" w:rsidRDefault="00CF72D5" w:rsidP="00A57FDC">
            <w:pPr>
              <w:pStyle w:val="ARtabletextright"/>
            </w:pPr>
            <w:r w:rsidRPr="002029AF">
              <w:t>9,090,909</w:t>
            </w:r>
            <w:bookmarkStart w:id="140" w:name="_Ref53241195"/>
            <w:r w:rsidR="008667C8" w:rsidRPr="009E5882">
              <w:footnoteReference w:id="20"/>
            </w:r>
            <w:bookmarkEnd w:id="140"/>
          </w:p>
        </w:tc>
        <w:tc>
          <w:tcPr>
            <w:tcW w:w="766" w:type="pct"/>
          </w:tcPr>
          <w:p w14:paraId="7C922224" w14:textId="77777777" w:rsidR="00CF72D5" w:rsidRPr="002029AF" w:rsidRDefault="00CF72D5" w:rsidP="00A57FDC">
            <w:pPr>
              <w:pStyle w:val="ARtabletextright"/>
            </w:pPr>
            <w:r w:rsidRPr="002029AF">
              <w:t>5,676,196</w:t>
            </w:r>
          </w:p>
        </w:tc>
        <w:tc>
          <w:tcPr>
            <w:tcW w:w="762" w:type="pct"/>
          </w:tcPr>
          <w:p w14:paraId="0D34C953" w14:textId="511B762B" w:rsidR="00CF72D5" w:rsidRPr="002029AF" w:rsidRDefault="00CF72D5" w:rsidP="00A57FDC">
            <w:pPr>
              <w:pStyle w:val="ARtabletextright"/>
            </w:pPr>
            <w:r w:rsidRPr="002029AF">
              <w:t>1,135,550</w:t>
            </w:r>
            <w:r w:rsidR="008667C8">
              <w:fldChar w:fldCharType="begin"/>
            </w:r>
            <w:r w:rsidR="008667C8">
              <w:instrText xml:space="preserve"> NOTEREF _Ref53241195 \h </w:instrText>
            </w:r>
            <w:r w:rsidR="008667C8">
              <w:fldChar w:fldCharType="separate"/>
            </w:r>
            <w:r w:rsidR="00F3275D">
              <w:t>*</w:t>
            </w:r>
            <w:r w:rsidR="008667C8">
              <w:fldChar w:fldCharType="end"/>
            </w:r>
          </w:p>
        </w:tc>
      </w:tr>
      <w:tr w:rsidR="00CF72D5" w:rsidRPr="002029AF" w14:paraId="0B40EE1D" w14:textId="77777777" w:rsidTr="00457506">
        <w:tc>
          <w:tcPr>
            <w:tcW w:w="767" w:type="pct"/>
          </w:tcPr>
          <w:p w14:paraId="7D0D319F" w14:textId="30A3A1F2"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7E359D10" w14:textId="77777777" w:rsidR="00CF72D5" w:rsidRPr="002029AF" w:rsidRDefault="00CF72D5" w:rsidP="00897193">
            <w:pPr>
              <w:pStyle w:val="ARtablecolhead"/>
              <w:rPr>
                <w:b w:val="0"/>
                <w:bCs/>
              </w:rPr>
            </w:pPr>
          </w:p>
        </w:tc>
        <w:tc>
          <w:tcPr>
            <w:tcW w:w="1173" w:type="pct"/>
          </w:tcPr>
          <w:p w14:paraId="69D77C33" w14:textId="505C35E0" w:rsidR="00CF72D5" w:rsidRPr="002029AF" w:rsidRDefault="00CF72D5" w:rsidP="0097339F">
            <w:pPr>
              <w:pStyle w:val="ARtabletext"/>
            </w:pPr>
            <w:r w:rsidRPr="002029AF">
              <w:t>Improved</w:t>
            </w:r>
            <w:r w:rsidR="000A5329" w:rsidRPr="002029AF">
              <w:t xml:space="preserve"> </w:t>
            </w:r>
            <w:r w:rsidRPr="002029AF">
              <w:t>Health</w:t>
            </w:r>
            <w:r w:rsidR="000A5329" w:rsidRPr="002029AF">
              <w:t xml:space="preserve"> </w:t>
            </w:r>
            <w:r w:rsidRPr="002029AF">
              <w:t>Service,</w:t>
            </w:r>
            <w:r w:rsidR="000A5329" w:rsidRPr="002029AF">
              <w:t xml:space="preserve"> </w:t>
            </w:r>
            <w:r w:rsidRPr="002029AF">
              <w:t>Efficiency,</w:t>
            </w:r>
            <w:r w:rsidR="000A5329" w:rsidRPr="002029AF">
              <w:t xml:space="preserve"> </w:t>
            </w:r>
            <w:r w:rsidRPr="002029AF">
              <w:t>Safety</w:t>
            </w:r>
            <w:r w:rsidR="000A5329" w:rsidRPr="002029AF">
              <w:t xml:space="preserve"> </w:t>
            </w:r>
            <w:r w:rsidRPr="002029AF">
              <w:t>and</w:t>
            </w:r>
            <w:r w:rsidR="000A5329" w:rsidRPr="002029AF">
              <w:t xml:space="preserve"> </w:t>
            </w:r>
            <w:r w:rsidRPr="002029AF">
              <w:t>Quality</w:t>
            </w:r>
          </w:p>
        </w:tc>
        <w:tc>
          <w:tcPr>
            <w:tcW w:w="766" w:type="pct"/>
          </w:tcPr>
          <w:p w14:paraId="0AC4A771" w14:textId="77777777" w:rsidR="00CF72D5" w:rsidRPr="002029AF" w:rsidRDefault="00CF72D5" w:rsidP="00A57FDC">
            <w:pPr>
              <w:pStyle w:val="ARtabletextright"/>
            </w:pPr>
            <w:r w:rsidRPr="002029AF">
              <w:t>5,481,196</w:t>
            </w:r>
          </w:p>
        </w:tc>
        <w:tc>
          <w:tcPr>
            <w:tcW w:w="766" w:type="pct"/>
          </w:tcPr>
          <w:p w14:paraId="355857A5" w14:textId="77777777" w:rsidR="00CF72D5" w:rsidRPr="002029AF" w:rsidRDefault="00CF72D5" w:rsidP="00A57FDC">
            <w:pPr>
              <w:pStyle w:val="ARtabletextright"/>
            </w:pPr>
            <w:r w:rsidRPr="002029AF">
              <w:t>5,481,196</w:t>
            </w:r>
          </w:p>
        </w:tc>
        <w:tc>
          <w:tcPr>
            <w:tcW w:w="762" w:type="pct"/>
          </w:tcPr>
          <w:p w14:paraId="19271442" w14:textId="77777777" w:rsidR="00CF72D5" w:rsidRPr="002029AF" w:rsidRDefault="00CF72D5" w:rsidP="00A57FDC">
            <w:pPr>
              <w:pStyle w:val="ARtabletextright"/>
            </w:pPr>
            <w:r w:rsidRPr="002029AF">
              <w:t>0</w:t>
            </w:r>
          </w:p>
        </w:tc>
      </w:tr>
      <w:tr w:rsidR="00CF72D5" w:rsidRPr="002029AF" w14:paraId="1A3A2BED" w14:textId="77777777" w:rsidTr="00457506">
        <w:tc>
          <w:tcPr>
            <w:tcW w:w="767" w:type="pct"/>
          </w:tcPr>
          <w:p w14:paraId="54FB829C" w14:textId="61099A28"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4FCE7DBA" w14:textId="77777777" w:rsidR="00CF72D5" w:rsidRPr="002029AF" w:rsidRDefault="00CF72D5" w:rsidP="00897193">
            <w:pPr>
              <w:pStyle w:val="ARtablecolhead"/>
              <w:rPr>
                <w:b w:val="0"/>
                <w:bCs/>
              </w:rPr>
            </w:pPr>
          </w:p>
        </w:tc>
        <w:tc>
          <w:tcPr>
            <w:tcW w:w="1173" w:type="pct"/>
          </w:tcPr>
          <w:p w14:paraId="3FBA275B" w14:textId="6BB51F5E" w:rsidR="00CF72D5" w:rsidRPr="002029AF" w:rsidRDefault="00CF72D5" w:rsidP="0097339F">
            <w:pPr>
              <w:pStyle w:val="ARtabletext"/>
            </w:pPr>
            <w:r w:rsidRPr="002029AF">
              <w:t>Health</w:t>
            </w:r>
            <w:r w:rsidR="000A5329" w:rsidRPr="002029AF">
              <w:t xml:space="preserve"> </w:t>
            </w:r>
            <w:r w:rsidRPr="002029AF">
              <w:t>Reform</w:t>
            </w:r>
          </w:p>
        </w:tc>
        <w:tc>
          <w:tcPr>
            <w:tcW w:w="766" w:type="pct"/>
          </w:tcPr>
          <w:p w14:paraId="63849F47" w14:textId="77777777" w:rsidR="00CF72D5" w:rsidRPr="002029AF" w:rsidRDefault="00CF72D5" w:rsidP="00A57FDC">
            <w:pPr>
              <w:pStyle w:val="ARtabletextright"/>
            </w:pPr>
            <w:r w:rsidRPr="002029AF">
              <w:t>195,000</w:t>
            </w:r>
          </w:p>
        </w:tc>
        <w:tc>
          <w:tcPr>
            <w:tcW w:w="766" w:type="pct"/>
          </w:tcPr>
          <w:p w14:paraId="71DF6319" w14:textId="77777777" w:rsidR="00CF72D5" w:rsidRPr="002029AF" w:rsidRDefault="00CF72D5" w:rsidP="00A57FDC">
            <w:pPr>
              <w:pStyle w:val="ARtabletextright"/>
            </w:pPr>
            <w:r w:rsidRPr="002029AF">
              <w:t>195,000</w:t>
            </w:r>
          </w:p>
        </w:tc>
        <w:tc>
          <w:tcPr>
            <w:tcW w:w="762" w:type="pct"/>
          </w:tcPr>
          <w:p w14:paraId="21E99D09" w14:textId="77777777" w:rsidR="00CF72D5" w:rsidRPr="002029AF" w:rsidRDefault="00CF72D5" w:rsidP="00A57FDC">
            <w:pPr>
              <w:pStyle w:val="ARtabletextright"/>
            </w:pPr>
            <w:r w:rsidRPr="002029AF">
              <w:t>0</w:t>
            </w:r>
          </w:p>
        </w:tc>
      </w:tr>
      <w:tr w:rsidR="00CF72D5" w:rsidRPr="002029AF" w14:paraId="1C504235" w14:textId="77777777" w:rsidTr="00457506">
        <w:tc>
          <w:tcPr>
            <w:tcW w:w="767" w:type="pct"/>
          </w:tcPr>
          <w:p w14:paraId="44B3EBC7" w14:textId="1951BF93"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val="restart"/>
          </w:tcPr>
          <w:p w14:paraId="4569127A" w14:textId="3E3B746F" w:rsidR="00CF72D5" w:rsidRPr="002029AF" w:rsidRDefault="00CF72D5" w:rsidP="0097339F">
            <w:pPr>
              <w:pStyle w:val="ARtabletext"/>
            </w:pPr>
            <w:r w:rsidRPr="002029AF">
              <w:t>Third</w:t>
            </w:r>
            <w:r w:rsidR="000A5329" w:rsidRPr="002029AF">
              <w:t xml:space="preserve"> </w:t>
            </w:r>
            <w:r w:rsidRPr="002029AF">
              <w:t>Horizon</w:t>
            </w:r>
            <w:r w:rsidR="000A5329" w:rsidRPr="002029AF">
              <w:t xml:space="preserve"> </w:t>
            </w:r>
            <w:r w:rsidRPr="002029AF">
              <w:t>Consulting</w:t>
            </w:r>
            <w:r w:rsidR="000A5329" w:rsidRPr="002029AF">
              <w:t xml:space="preserve"> </w:t>
            </w:r>
            <w:r w:rsidRPr="002029AF">
              <w:t>Pty</w:t>
            </w:r>
            <w:r w:rsidR="000A5329" w:rsidRPr="002029AF">
              <w:t xml:space="preserve"> </w:t>
            </w:r>
            <w:r w:rsidRPr="002029AF">
              <w:t>Ltd</w:t>
            </w:r>
          </w:p>
        </w:tc>
        <w:tc>
          <w:tcPr>
            <w:tcW w:w="1173" w:type="pct"/>
          </w:tcPr>
          <w:p w14:paraId="6AF69C59" w14:textId="08688560" w:rsidR="00CF72D5" w:rsidRPr="002029AF" w:rsidRDefault="00CF72D5" w:rsidP="0097339F">
            <w:pPr>
              <w:pStyle w:val="ARtabletextbold"/>
            </w:pPr>
            <w:r w:rsidRPr="002029AF">
              <w:t>Strategic</w:t>
            </w:r>
            <w:r w:rsidR="000A5329" w:rsidRPr="002029AF">
              <w:t xml:space="preserve"> </w:t>
            </w:r>
            <w:r w:rsidRPr="002029AF">
              <w:t>Alliance</w:t>
            </w:r>
            <w:r w:rsidR="000A5329" w:rsidRPr="002029AF">
              <w:t xml:space="preserve"> </w:t>
            </w:r>
            <w:r w:rsidRPr="002029AF">
              <w:t>(Organisational</w:t>
            </w:r>
            <w:r w:rsidR="000A5329" w:rsidRPr="002029AF">
              <w:t xml:space="preserve"> </w:t>
            </w:r>
            <w:r w:rsidRPr="002029AF">
              <w:t>Improvement)</w:t>
            </w:r>
            <w:r w:rsidR="000A5329" w:rsidRPr="002029AF">
              <w:t xml:space="preserve"> </w:t>
            </w:r>
            <w:r w:rsidRPr="002029AF">
              <w:t>included</w:t>
            </w:r>
            <w:r w:rsidR="000A5329" w:rsidRPr="002029AF">
              <w:t xml:space="preserve"> </w:t>
            </w:r>
            <w:r w:rsidRPr="002029AF">
              <w:t>the</w:t>
            </w:r>
            <w:r w:rsidR="000A5329" w:rsidRPr="002029AF">
              <w:t xml:space="preserve"> </w:t>
            </w:r>
            <w:r w:rsidRPr="002029AF">
              <w:t>following</w:t>
            </w:r>
            <w:r w:rsidR="000A5329" w:rsidRPr="002029AF">
              <w:t xml:space="preserve"> </w:t>
            </w:r>
            <w:r w:rsidRPr="002029AF">
              <w:t>project</w:t>
            </w:r>
            <w:r w:rsidR="000A5329" w:rsidRPr="002029AF">
              <w:t xml:space="preserve"> </w:t>
            </w:r>
            <w:r w:rsidRPr="002029AF">
              <w:t>payments</w:t>
            </w:r>
            <w:r w:rsidR="000A5329" w:rsidRPr="002029AF">
              <w:t xml:space="preserve"> </w:t>
            </w:r>
            <w:r w:rsidRPr="002029AF">
              <w:t>in</w:t>
            </w:r>
            <w:r w:rsidR="000A5329" w:rsidRPr="002029AF">
              <w:t xml:space="preserve"> </w:t>
            </w:r>
            <w:r w:rsidRPr="002029AF">
              <w:t>2019</w:t>
            </w:r>
            <w:r w:rsidR="0097339F" w:rsidRPr="002029AF">
              <w:t>–</w:t>
            </w:r>
            <w:r w:rsidRPr="002029AF">
              <w:t>20:</w:t>
            </w:r>
          </w:p>
        </w:tc>
        <w:tc>
          <w:tcPr>
            <w:tcW w:w="766" w:type="pct"/>
          </w:tcPr>
          <w:p w14:paraId="11D8EDDB" w14:textId="4DE1DAAD" w:rsidR="00CF72D5" w:rsidRPr="002029AF" w:rsidRDefault="00CF72D5" w:rsidP="00A57FDC">
            <w:pPr>
              <w:pStyle w:val="ARtabletextright"/>
            </w:pPr>
            <w:r w:rsidRPr="002029AF">
              <w:t>9,090,909</w:t>
            </w:r>
            <w:r w:rsidR="008667C8">
              <w:fldChar w:fldCharType="begin"/>
            </w:r>
            <w:r w:rsidR="008667C8">
              <w:instrText xml:space="preserve"> NOTEREF _Ref53241195 \h </w:instrText>
            </w:r>
            <w:r w:rsidR="008667C8">
              <w:fldChar w:fldCharType="separate"/>
            </w:r>
            <w:r w:rsidR="00F3275D">
              <w:t>*</w:t>
            </w:r>
            <w:r w:rsidR="008667C8">
              <w:fldChar w:fldCharType="end"/>
            </w:r>
          </w:p>
        </w:tc>
        <w:tc>
          <w:tcPr>
            <w:tcW w:w="766" w:type="pct"/>
          </w:tcPr>
          <w:p w14:paraId="4A29B736" w14:textId="77777777" w:rsidR="00CF72D5" w:rsidRPr="002029AF" w:rsidRDefault="00CF72D5" w:rsidP="00A57FDC">
            <w:pPr>
              <w:pStyle w:val="ARtabletextright"/>
            </w:pPr>
            <w:r w:rsidRPr="002029AF">
              <w:t>2,502,313</w:t>
            </w:r>
          </w:p>
        </w:tc>
        <w:tc>
          <w:tcPr>
            <w:tcW w:w="762" w:type="pct"/>
          </w:tcPr>
          <w:p w14:paraId="3D66657D" w14:textId="43B38BF0" w:rsidR="00CF72D5" w:rsidRPr="002029AF" w:rsidRDefault="00CF72D5" w:rsidP="00A57FDC">
            <w:pPr>
              <w:pStyle w:val="ARtabletextright"/>
            </w:pPr>
            <w:r w:rsidRPr="002029AF">
              <w:t>3,444,975</w:t>
            </w:r>
            <w:r w:rsidR="008667C8">
              <w:fldChar w:fldCharType="begin"/>
            </w:r>
            <w:r w:rsidR="008667C8">
              <w:instrText xml:space="preserve"> NOTEREF _Ref53241195 \h </w:instrText>
            </w:r>
            <w:r w:rsidR="008667C8">
              <w:fldChar w:fldCharType="separate"/>
            </w:r>
            <w:r w:rsidR="00F3275D">
              <w:t>*</w:t>
            </w:r>
            <w:r w:rsidR="008667C8">
              <w:fldChar w:fldCharType="end"/>
            </w:r>
            <w:r w:rsidR="00616A34">
              <w:t>g</w:t>
            </w:r>
          </w:p>
        </w:tc>
      </w:tr>
      <w:tr w:rsidR="00CF72D5" w:rsidRPr="002029AF" w14:paraId="7CE536CE" w14:textId="77777777" w:rsidTr="00457506">
        <w:tc>
          <w:tcPr>
            <w:tcW w:w="767" w:type="pct"/>
          </w:tcPr>
          <w:p w14:paraId="4E089DE8" w14:textId="115C002D"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3B9E9F07" w14:textId="77777777" w:rsidR="00CF72D5" w:rsidRPr="002029AF" w:rsidRDefault="00CF72D5" w:rsidP="00897193">
            <w:pPr>
              <w:pStyle w:val="ARtablecolhead"/>
              <w:rPr>
                <w:b w:val="0"/>
                <w:bCs/>
              </w:rPr>
            </w:pPr>
          </w:p>
        </w:tc>
        <w:tc>
          <w:tcPr>
            <w:tcW w:w="1173" w:type="pct"/>
          </w:tcPr>
          <w:p w14:paraId="4F47AFE6" w14:textId="4FF30696" w:rsidR="00CF72D5" w:rsidRPr="002029AF" w:rsidRDefault="00CF72D5" w:rsidP="0097339F">
            <w:pPr>
              <w:pStyle w:val="ARtabletext"/>
            </w:pPr>
            <w:r w:rsidRPr="002029AF">
              <w:t>Support,</w:t>
            </w:r>
            <w:r w:rsidR="000A5329" w:rsidRPr="002029AF">
              <w:t xml:space="preserve"> </w:t>
            </w:r>
            <w:r w:rsidRPr="002029AF">
              <w:t>Operating</w:t>
            </w:r>
            <w:r w:rsidR="000A5329" w:rsidRPr="002029AF">
              <w:t xml:space="preserve"> </w:t>
            </w:r>
            <w:r w:rsidRPr="002029AF">
              <w:t>Model</w:t>
            </w:r>
            <w:r w:rsidR="000A5329" w:rsidRPr="002029AF">
              <w:t xml:space="preserve"> </w:t>
            </w:r>
            <w:r w:rsidRPr="002029AF">
              <w:t>Design</w:t>
            </w:r>
          </w:p>
        </w:tc>
        <w:tc>
          <w:tcPr>
            <w:tcW w:w="766" w:type="pct"/>
          </w:tcPr>
          <w:p w14:paraId="0C33FB07" w14:textId="77777777" w:rsidR="00CF72D5" w:rsidRPr="002029AF" w:rsidRDefault="00CF72D5" w:rsidP="00A57FDC">
            <w:pPr>
              <w:pStyle w:val="ARtabletextright"/>
            </w:pPr>
            <w:r w:rsidRPr="002029AF">
              <w:t>1,665,263</w:t>
            </w:r>
          </w:p>
        </w:tc>
        <w:tc>
          <w:tcPr>
            <w:tcW w:w="766" w:type="pct"/>
          </w:tcPr>
          <w:p w14:paraId="4131E14F" w14:textId="77777777" w:rsidR="00CF72D5" w:rsidRPr="002029AF" w:rsidRDefault="00CF72D5" w:rsidP="00A57FDC">
            <w:pPr>
              <w:pStyle w:val="ARtabletextright"/>
            </w:pPr>
            <w:r w:rsidRPr="002029AF">
              <w:t>854,421</w:t>
            </w:r>
          </w:p>
        </w:tc>
        <w:tc>
          <w:tcPr>
            <w:tcW w:w="762" w:type="pct"/>
          </w:tcPr>
          <w:p w14:paraId="319D5C28" w14:textId="77777777" w:rsidR="00CF72D5" w:rsidRPr="002029AF" w:rsidRDefault="00CF72D5" w:rsidP="00A57FDC">
            <w:pPr>
              <w:pStyle w:val="ARtabletextright"/>
            </w:pPr>
            <w:r w:rsidRPr="002029AF">
              <w:t>810,842</w:t>
            </w:r>
          </w:p>
        </w:tc>
      </w:tr>
      <w:tr w:rsidR="00CF72D5" w:rsidRPr="002029AF" w14:paraId="670E6617" w14:textId="77777777" w:rsidTr="00457506">
        <w:tc>
          <w:tcPr>
            <w:tcW w:w="767" w:type="pct"/>
          </w:tcPr>
          <w:p w14:paraId="00747999" w14:textId="553DAED6"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0F698055" w14:textId="77777777" w:rsidR="00CF72D5" w:rsidRPr="002029AF" w:rsidRDefault="00CF72D5" w:rsidP="00897193">
            <w:pPr>
              <w:pStyle w:val="ARtablecolhead"/>
              <w:rPr>
                <w:b w:val="0"/>
                <w:bCs/>
              </w:rPr>
            </w:pPr>
          </w:p>
        </w:tc>
        <w:tc>
          <w:tcPr>
            <w:tcW w:w="1173" w:type="pct"/>
          </w:tcPr>
          <w:p w14:paraId="5D6CF4A0" w14:textId="7A4D4842" w:rsidR="00CF72D5" w:rsidRPr="002029AF" w:rsidRDefault="00CF72D5" w:rsidP="0097339F">
            <w:pPr>
              <w:pStyle w:val="ARtabletext"/>
            </w:pPr>
            <w:r w:rsidRPr="002029AF">
              <w:t>Development,</w:t>
            </w:r>
            <w:r w:rsidR="000A5329" w:rsidRPr="002029AF">
              <w:t xml:space="preserve"> </w:t>
            </w:r>
            <w:r w:rsidRPr="002029AF">
              <w:t>Master</w:t>
            </w:r>
            <w:r w:rsidR="000A5329" w:rsidRPr="002029AF">
              <w:t xml:space="preserve"> </w:t>
            </w:r>
            <w:r w:rsidRPr="002029AF">
              <w:t>Plan</w:t>
            </w:r>
            <w:r w:rsidR="000A5329" w:rsidRPr="002029AF">
              <w:t xml:space="preserve"> </w:t>
            </w:r>
            <w:r w:rsidRPr="002029AF">
              <w:t>and</w:t>
            </w:r>
            <w:r w:rsidR="000A5329" w:rsidRPr="002029AF">
              <w:t xml:space="preserve"> </w:t>
            </w:r>
            <w:r w:rsidRPr="002029AF">
              <w:t>Roadmap</w:t>
            </w:r>
            <w:r w:rsidR="000A5329" w:rsidRPr="002029AF">
              <w:t xml:space="preserve"> </w:t>
            </w:r>
            <w:r w:rsidRPr="002029AF">
              <w:t>support</w:t>
            </w:r>
          </w:p>
        </w:tc>
        <w:tc>
          <w:tcPr>
            <w:tcW w:w="766" w:type="pct"/>
          </w:tcPr>
          <w:p w14:paraId="37F188DC" w14:textId="77777777" w:rsidR="00CF72D5" w:rsidRPr="002029AF" w:rsidRDefault="00CF72D5" w:rsidP="00A57FDC">
            <w:pPr>
              <w:pStyle w:val="ARtabletextright"/>
            </w:pPr>
            <w:r w:rsidRPr="002029AF">
              <w:t>148,509</w:t>
            </w:r>
          </w:p>
        </w:tc>
        <w:tc>
          <w:tcPr>
            <w:tcW w:w="766" w:type="pct"/>
          </w:tcPr>
          <w:p w14:paraId="481C4347" w14:textId="77777777" w:rsidR="00CF72D5" w:rsidRPr="002029AF" w:rsidRDefault="00CF72D5" w:rsidP="00A57FDC">
            <w:pPr>
              <w:pStyle w:val="ARtabletextright"/>
            </w:pPr>
            <w:r w:rsidRPr="002029AF">
              <w:t>19,680</w:t>
            </w:r>
          </w:p>
        </w:tc>
        <w:tc>
          <w:tcPr>
            <w:tcW w:w="762" w:type="pct"/>
          </w:tcPr>
          <w:p w14:paraId="7F4DCF15" w14:textId="77777777" w:rsidR="00CF72D5" w:rsidRPr="002029AF" w:rsidRDefault="00CF72D5" w:rsidP="00A57FDC">
            <w:pPr>
              <w:pStyle w:val="ARtabletextright"/>
            </w:pPr>
            <w:r w:rsidRPr="002029AF">
              <w:t>128,829</w:t>
            </w:r>
          </w:p>
        </w:tc>
      </w:tr>
      <w:tr w:rsidR="00CF72D5" w:rsidRPr="002029AF" w14:paraId="28DDC145" w14:textId="77777777" w:rsidTr="00457506">
        <w:tc>
          <w:tcPr>
            <w:tcW w:w="767" w:type="pct"/>
          </w:tcPr>
          <w:p w14:paraId="2E6F7E29" w14:textId="6467B6F4"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0647C3C3" w14:textId="77777777" w:rsidR="00CF72D5" w:rsidRPr="002029AF" w:rsidRDefault="00CF72D5" w:rsidP="00897193">
            <w:pPr>
              <w:pStyle w:val="ARtablecolhead"/>
              <w:rPr>
                <w:b w:val="0"/>
                <w:bCs/>
              </w:rPr>
            </w:pPr>
          </w:p>
        </w:tc>
        <w:tc>
          <w:tcPr>
            <w:tcW w:w="1173" w:type="pct"/>
          </w:tcPr>
          <w:p w14:paraId="0A2DD3A7" w14:textId="1EF00FE3" w:rsidR="00CF72D5" w:rsidRPr="002029AF" w:rsidRDefault="00CF72D5" w:rsidP="0097339F">
            <w:pPr>
              <w:pStyle w:val="ARtabletext"/>
            </w:pPr>
            <w:r w:rsidRPr="002029AF">
              <w:t>Organisational</w:t>
            </w:r>
            <w:r w:rsidR="000A5329" w:rsidRPr="002029AF">
              <w:t xml:space="preserve"> </w:t>
            </w:r>
            <w:r w:rsidRPr="002029AF">
              <w:t>Structure</w:t>
            </w:r>
            <w:r w:rsidR="000A5329" w:rsidRPr="002029AF">
              <w:t xml:space="preserve"> </w:t>
            </w:r>
            <w:r w:rsidRPr="002029AF">
              <w:t>Development</w:t>
            </w:r>
          </w:p>
        </w:tc>
        <w:tc>
          <w:tcPr>
            <w:tcW w:w="766" w:type="pct"/>
          </w:tcPr>
          <w:p w14:paraId="1B1D6FE8" w14:textId="77777777" w:rsidR="00CF72D5" w:rsidRPr="002029AF" w:rsidRDefault="00CF72D5" w:rsidP="00A57FDC">
            <w:pPr>
              <w:pStyle w:val="ARtabletextright"/>
            </w:pPr>
            <w:r w:rsidRPr="002029AF">
              <w:t>155,855</w:t>
            </w:r>
          </w:p>
        </w:tc>
        <w:tc>
          <w:tcPr>
            <w:tcW w:w="766" w:type="pct"/>
          </w:tcPr>
          <w:p w14:paraId="535AE0A3" w14:textId="77777777" w:rsidR="00CF72D5" w:rsidRPr="002029AF" w:rsidRDefault="00CF72D5" w:rsidP="00A57FDC">
            <w:pPr>
              <w:pStyle w:val="ARtabletextright"/>
            </w:pPr>
            <w:r w:rsidRPr="002029AF">
              <w:t>72,633</w:t>
            </w:r>
          </w:p>
        </w:tc>
        <w:tc>
          <w:tcPr>
            <w:tcW w:w="762" w:type="pct"/>
          </w:tcPr>
          <w:p w14:paraId="6068A062" w14:textId="77777777" w:rsidR="00CF72D5" w:rsidRPr="002029AF" w:rsidRDefault="00CF72D5" w:rsidP="00A57FDC">
            <w:pPr>
              <w:pStyle w:val="ARtabletextright"/>
            </w:pPr>
            <w:r w:rsidRPr="002029AF">
              <w:t>83,221</w:t>
            </w:r>
          </w:p>
        </w:tc>
      </w:tr>
      <w:tr w:rsidR="00CF72D5" w:rsidRPr="002029AF" w14:paraId="2A61C039" w14:textId="77777777" w:rsidTr="00457506">
        <w:tc>
          <w:tcPr>
            <w:tcW w:w="767" w:type="pct"/>
          </w:tcPr>
          <w:p w14:paraId="5E4C3C98" w14:textId="5BE8A3E7"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2DBD8CD4" w14:textId="77777777" w:rsidR="00CF72D5" w:rsidRPr="002029AF" w:rsidRDefault="00CF72D5" w:rsidP="00897193">
            <w:pPr>
              <w:pStyle w:val="ARtablecolhead"/>
              <w:rPr>
                <w:b w:val="0"/>
                <w:bCs/>
              </w:rPr>
            </w:pPr>
          </w:p>
        </w:tc>
        <w:tc>
          <w:tcPr>
            <w:tcW w:w="1173" w:type="pct"/>
          </w:tcPr>
          <w:p w14:paraId="5BD07349" w14:textId="0F235EDE" w:rsidR="00CF72D5" w:rsidRPr="002029AF" w:rsidRDefault="00CF72D5" w:rsidP="0097339F">
            <w:pPr>
              <w:pStyle w:val="ARtabletext"/>
            </w:pPr>
            <w:r w:rsidRPr="002029AF">
              <w:t>Business</w:t>
            </w:r>
            <w:r w:rsidR="000A5329" w:rsidRPr="002029AF">
              <w:t xml:space="preserve"> </w:t>
            </w:r>
            <w:r w:rsidRPr="002029AF">
              <w:t>Case</w:t>
            </w:r>
            <w:r w:rsidR="000A5329" w:rsidRPr="002029AF">
              <w:t xml:space="preserve"> </w:t>
            </w:r>
            <w:r w:rsidRPr="002029AF">
              <w:t>Development,</w:t>
            </w:r>
            <w:r w:rsidR="000A5329" w:rsidRPr="002029AF">
              <w:t xml:space="preserve"> </w:t>
            </w:r>
            <w:r w:rsidRPr="002029AF">
              <w:t>Contact</w:t>
            </w:r>
            <w:r w:rsidR="000A5329" w:rsidRPr="002029AF">
              <w:t xml:space="preserve"> </w:t>
            </w:r>
            <w:r w:rsidRPr="002029AF">
              <w:t>Centre</w:t>
            </w:r>
          </w:p>
        </w:tc>
        <w:tc>
          <w:tcPr>
            <w:tcW w:w="766" w:type="pct"/>
          </w:tcPr>
          <w:p w14:paraId="66E3A24A" w14:textId="77777777" w:rsidR="00CF72D5" w:rsidRPr="002029AF" w:rsidRDefault="00CF72D5" w:rsidP="00A57FDC">
            <w:pPr>
              <w:pStyle w:val="ARtabletextright"/>
            </w:pPr>
            <w:r w:rsidRPr="002029AF">
              <w:t>340,857</w:t>
            </w:r>
          </w:p>
        </w:tc>
        <w:tc>
          <w:tcPr>
            <w:tcW w:w="766" w:type="pct"/>
          </w:tcPr>
          <w:p w14:paraId="45D5EADE" w14:textId="77777777" w:rsidR="00CF72D5" w:rsidRPr="002029AF" w:rsidRDefault="00CF72D5" w:rsidP="00A57FDC">
            <w:pPr>
              <w:pStyle w:val="ARtabletextright"/>
            </w:pPr>
            <w:r w:rsidRPr="002029AF">
              <w:t>340,857</w:t>
            </w:r>
          </w:p>
        </w:tc>
        <w:tc>
          <w:tcPr>
            <w:tcW w:w="762" w:type="pct"/>
          </w:tcPr>
          <w:p w14:paraId="3AA01566" w14:textId="77777777" w:rsidR="00CF72D5" w:rsidRPr="002029AF" w:rsidRDefault="00CF72D5" w:rsidP="00A57FDC">
            <w:pPr>
              <w:pStyle w:val="ARtabletextright"/>
            </w:pPr>
            <w:r w:rsidRPr="002029AF">
              <w:t>0</w:t>
            </w:r>
          </w:p>
        </w:tc>
      </w:tr>
      <w:tr w:rsidR="00CF72D5" w:rsidRPr="002029AF" w14:paraId="356CFF36" w14:textId="77777777" w:rsidTr="00457506">
        <w:tc>
          <w:tcPr>
            <w:tcW w:w="767" w:type="pct"/>
          </w:tcPr>
          <w:p w14:paraId="03182034" w14:textId="2B98AE05"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4F982808" w14:textId="77777777" w:rsidR="00CF72D5" w:rsidRPr="002029AF" w:rsidRDefault="00CF72D5" w:rsidP="00897193">
            <w:pPr>
              <w:pStyle w:val="ARtablecolhead"/>
              <w:rPr>
                <w:b w:val="0"/>
                <w:bCs/>
              </w:rPr>
            </w:pPr>
          </w:p>
        </w:tc>
        <w:tc>
          <w:tcPr>
            <w:tcW w:w="1173" w:type="pct"/>
          </w:tcPr>
          <w:p w14:paraId="1B449D24" w14:textId="204365F8" w:rsidR="00CF72D5" w:rsidRPr="002029AF" w:rsidRDefault="00CF72D5" w:rsidP="0097339F">
            <w:pPr>
              <w:pStyle w:val="ARtabletext"/>
            </w:pPr>
            <w:r w:rsidRPr="002029AF">
              <w:t>Develop</w:t>
            </w:r>
            <w:r w:rsidR="000A5329" w:rsidRPr="002029AF">
              <w:t xml:space="preserve"> </w:t>
            </w:r>
            <w:r w:rsidRPr="002029AF">
              <w:t>Corporate</w:t>
            </w:r>
            <w:r w:rsidR="000A5329" w:rsidRPr="002029AF">
              <w:t xml:space="preserve"> </w:t>
            </w:r>
            <w:r w:rsidRPr="002029AF">
              <w:t>Sizing</w:t>
            </w:r>
            <w:r w:rsidR="000A5329" w:rsidRPr="002029AF">
              <w:t xml:space="preserve"> </w:t>
            </w:r>
            <w:r w:rsidRPr="002029AF">
              <w:t>Insights</w:t>
            </w:r>
          </w:p>
        </w:tc>
        <w:tc>
          <w:tcPr>
            <w:tcW w:w="766" w:type="pct"/>
          </w:tcPr>
          <w:p w14:paraId="324D3D94" w14:textId="77777777" w:rsidR="00CF72D5" w:rsidRPr="002029AF" w:rsidRDefault="00CF72D5" w:rsidP="00A57FDC">
            <w:pPr>
              <w:pStyle w:val="ARtabletextright"/>
            </w:pPr>
            <w:r w:rsidRPr="002029AF">
              <w:t>219,418</w:t>
            </w:r>
          </w:p>
        </w:tc>
        <w:tc>
          <w:tcPr>
            <w:tcW w:w="766" w:type="pct"/>
          </w:tcPr>
          <w:p w14:paraId="584025E4" w14:textId="77777777" w:rsidR="00CF72D5" w:rsidRPr="002029AF" w:rsidRDefault="00CF72D5" w:rsidP="00A57FDC">
            <w:pPr>
              <w:pStyle w:val="ARtabletextright"/>
            </w:pPr>
            <w:r w:rsidRPr="002029AF">
              <w:t>213,789</w:t>
            </w:r>
          </w:p>
        </w:tc>
        <w:tc>
          <w:tcPr>
            <w:tcW w:w="762" w:type="pct"/>
          </w:tcPr>
          <w:p w14:paraId="2FFA6E7A" w14:textId="77777777" w:rsidR="00CF72D5" w:rsidRPr="002029AF" w:rsidRDefault="00CF72D5" w:rsidP="00A57FDC">
            <w:pPr>
              <w:pStyle w:val="ARtabletextright"/>
            </w:pPr>
            <w:r w:rsidRPr="002029AF">
              <w:t>5,629</w:t>
            </w:r>
          </w:p>
        </w:tc>
      </w:tr>
      <w:tr w:rsidR="00CF72D5" w:rsidRPr="002029AF" w14:paraId="6876C03F" w14:textId="77777777" w:rsidTr="00457506">
        <w:tc>
          <w:tcPr>
            <w:tcW w:w="767" w:type="pct"/>
          </w:tcPr>
          <w:p w14:paraId="318779A2" w14:textId="520EE9E0"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35520C7A" w14:textId="77777777" w:rsidR="00CF72D5" w:rsidRPr="002029AF" w:rsidRDefault="00CF72D5" w:rsidP="00897193">
            <w:pPr>
              <w:pStyle w:val="ARtablecolhead"/>
              <w:rPr>
                <w:b w:val="0"/>
                <w:bCs/>
              </w:rPr>
            </w:pPr>
          </w:p>
        </w:tc>
        <w:tc>
          <w:tcPr>
            <w:tcW w:w="1173" w:type="pct"/>
          </w:tcPr>
          <w:p w14:paraId="27B568E2" w14:textId="31281A60" w:rsidR="00CF72D5" w:rsidRPr="002029AF" w:rsidRDefault="00CF72D5" w:rsidP="0097339F">
            <w:pPr>
              <w:pStyle w:val="ARtabletext"/>
            </w:pPr>
            <w:r w:rsidRPr="002029AF">
              <w:t>Detailed</w:t>
            </w:r>
            <w:r w:rsidR="000A5329" w:rsidRPr="002029AF">
              <w:t xml:space="preserve"> </w:t>
            </w:r>
            <w:r w:rsidRPr="002029AF">
              <w:t>design,</w:t>
            </w:r>
            <w:r w:rsidR="000A5329" w:rsidRPr="002029AF">
              <w:t xml:space="preserve"> </w:t>
            </w:r>
            <w:r w:rsidRPr="002029AF">
              <w:t>Corporate</w:t>
            </w:r>
            <w:r w:rsidR="000A5329" w:rsidRPr="002029AF">
              <w:t xml:space="preserve"> </w:t>
            </w:r>
            <w:r w:rsidRPr="002029AF">
              <w:t>Services</w:t>
            </w:r>
          </w:p>
        </w:tc>
        <w:tc>
          <w:tcPr>
            <w:tcW w:w="766" w:type="pct"/>
          </w:tcPr>
          <w:p w14:paraId="7585614B" w14:textId="77777777" w:rsidR="00CF72D5" w:rsidRPr="002029AF" w:rsidRDefault="00CF72D5" w:rsidP="00A57FDC">
            <w:pPr>
              <w:pStyle w:val="ARtabletextright"/>
            </w:pPr>
            <w:r w:rsidRPr="002029AF">
              <w:t>283,645</w:t>
            </w:r>
          </w:p>
        </w:tc>
        <w:tc>
          <w:tcPr>
            <w:tcW w:w="766" w:type="pct"/>
          </w:tcPr>
          <w:p w14:paraId="18F2671F" w14:textId="77777777" w:rsidR="00CF72D5" w:rsidRPr="002029AF" w:rsidRDefault="00CF72D5" w:rsidP="00A57FDC">
            <w:pPr>
              <w:pStyle w:val="ARtabletextright"/>
            </w:pPr>
            <w:r w:rsidRPr="002029AF">
              <w:t>240,661</w:t>
            </w:r>
          </w:p>
        </w:tc>
        <w:tc>
          <w:tcPr>
            <w:tcW w:w="762" w:type="pct"/>
          </w:tcPr>
          <w:p w14:paraId="266AC0E4" w14:textId="77777777" w:rsidR="00CF72D5" w:rsidRPr="002029AF" w:rsidRDefault="00CF72D5" w:rsidP="00A57FDC">
            <w:pPr>
              <w:pStyle w:val="ARtabletextright"/>
            </w:pPr>
            <w:r w:rsidRPr="002029AF">
              <w:t>42,984</w:t>
            </w:r>
          </w:p>
        </w:tc>
      </w:tr>
      <w:tr w:rsidR="00CF72D5" w:rsidRPr="002029AF" w14:paraId="7E4239F7" w14:textId="77777777" w:rsidTr="00457506">
        <w:tc>
          <w:tcPr>
            <w:tcW w:w="767" w:type="pct"/>
          </w:tcPr>
          <w:p w14:paraId="2EBA0D6D" w14:textId="455FD5B5"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32A1CE96" w14:textId="77777777" w:rsidR="00CF72D5" w:rsidRPr="002029AF" w:rsidRDefault="00CF72D5" w:rsidP="00897193">
            <w:pPr>
              <w:pStyle w:val="ARtablecolhead"/>
              <w:rPr>
                <w:b w:val="0"/>
                <w:bCs/>
              </w:rPr>
            </w:pPr>
          </w:p>
        </w:tc>
        <w:tc>
          <w:tcPr>
            <w:tcW w:w="1173" w:type="pct"/>
          </w:tcPr>
          <w:p w14:paraId="047F2EFB" w14:textId="36AB64DF" w:rsidR="00CF72D5" w:rsidRPr="002029AF" w:rsidRDefault="00CF72D5" w:rsidP="0097339F">
            <w:pPr>
              <w:pStyle w:val="ARtabletext"/>
            </w:pPr>
            <w:r w:rsidRPr="002029AF">
              <w:t>Operating</w:t>
            </w:r>
            <w:r w:rsidR="000A5329" w:rsidRPr="002029AF">
              <w:t xml:space="preserve"> </w:t>
            </w:r>
            <w:r w:rsidRPr="002029AF">
              <w:t>model,</w:t>
            </w:r>
            <w:r w:rsidR="000A5329" w:rsidRPr="002029AF">
              <w:t xml:space="preserve"> </w:t>
            </w:r>
            <w:r w:rsidRPr="002029AF">
              <w:t>Information,</w:t>
            </w:r>
            <w:r w:rsidR="000A5329" w:rsidRPr="002029AF">
              <w:t xml:space="preserve"> </w:t>
            </w:r>
            <w:r w:rsidRPr="002029AF">
              <w:t>Communications</w:t>
            </w:r>
            <w:r w:rsidR="000A5329" w:rsidRPr="002029AF">
              <w:t xml:space="preserve"> </w:t>
            </w:r>
            <w:r w:rsidRPr="002029AF">
              <w:t>and</w:t>
            </w:r>
            <w:r w:rsidR="000A5329" w:rsidRPr="002029AF">
              <w:t xml:space="preserve"> </w:t>
            </w:r>
            <w:r w:rsidRPr="002029AF">
              <w:t>Technology</w:t>
            </w:r>
          </w:p>
        </w:tc>
        <w:tc>
          <w:tcPr>
            <w:tcW w:w="766" w:type="pct"/>
          </w:tcPr>
          <w:p w14:paraId="1E3A0889" w14:textId="77777777" w:rsidR="00CF72D5" w:rsidRPr="002029AF" w:rsidRDefault="00CF72D5" w:rsidP="00A57FDC">
            <w:pPr>
              <w:pStyle w:val="ARtabletextright"/>
            </w:pPr>
            <w:r w:rsidRPr="002029AF">
              <w:t>262,675</w:t>
            </w:r>
          </w:p>
        </w:tc>
        <w:tc>
          <w:tcPr>
            <w:tcW w:w="766" w:type="pct"/>
          </w:tcPr>
          <w:p w14:paraId="33662FD6" w14:textId="77777777" w:rsidR="00CF72D5" w:rsidRPr="002029AF" w:rsidRDefault="00CF72D5" w:rsidP="00A57FDC">
            <w:pPr>
              <w:pStyle w:val="ARtabletextright"/>
            </w:pPr>
            <w:r w:rsidRPr="002029AF">
              <w:t>261,149</w:t>
            </w:r>
          </w:p>
        </w:tc>
        <w:tc>
          <w:tcPr>
            <w:tcW w:w="762" w:type="pct"/>
          </w:tcPr>
          <w:p w14:paraId="7245E3D4" w14:textId="77777777" w:rsidR="00CF72D5" w:rsidRPr="002029AF" w:rsidRDefault="00CF72D5" w:rsidP="00A57FDC">
            <w:pPr>
              <w:pStyle w:val="ARtabletextright"/>
            </w:pPr>
            <w:r w:rsidRPr="002029AF">
              <w:t>1,525</w:t>
            </w:r>
          </w:p>
        </w:tc>
      </w:tr>
      <w:tr w:rsidR="00CF72D5" w:rsidRPr="002029AF" w14:paraId="3199255E" w14:textId="77777777" w:rsidTr="00457506">
        <w:tc>
          <w:tcPr>
            <w:tcW w:w="767" w:type="pct"/>
          </w:tcPr>
          <w:p w14:paraId="4DB6C5F8" w14:textId="6E10AF8D"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77D5A411" w14:textId="77777777" w:rsidR="00CF72D5" w:rsidRPr="002029AF" w:rsidRDefault="00CF72D5" w:rsidP="00897193">
            <w:pPr>
              <w:pStyle w:val="ARtablecolhead"/>
              <w:rPr>
                <w:b w:val="0"/>
                <w:bCs/>
              </w:rPr>
            </w:pPr>
          </w:p>
        </w:tc>
        <w:tc>
          <w:tcPr>
            <w:tcW w:w="1173" w:type="pct"/>
          </w:tcPr>
          <w:p w14:paraId="5A040C5F" w14:textId="5DBDED38" w:rsidR="00CF72D5" w:rsidRPr="002029AF" w:rsidRDefault="00CF72D5" w:rsidP="0097339F">
            <w:pPr>
              <w:pStyle w:val="ARtabletext"/>
            </w:pPr>
            <w:r w:rsidRPr="002029AF">
              <w:t>Design</w:t>
            </w:r>
            <w:r w:rsidR="000A5329" w:rsidRPr="002029AF">
              <w:t xml:space="preserve"> </w:t>
            </w:r>
            <w:r w:rsidRPr="002029AF">
              <w:t>support,</w:t>
            </w:r>
            <w:r w:rsidR="000A5329" w:rsidRPr="002029AF">
              <w:t xml:space="preserve"> </w:t>
            </w:r>
            <w:r w:rsidRPr="002029AF">
              <w:t>Rural</w:t>
            </w:r>
            <w:r w:rsidR="000A5329" w:rsidRPr="002029AF">
              <w:t xml:space="preserve"> </w:t>
            </w:r>
            <w:r w:rsidRPr="002029AF">
              <w:t>Health</w:t>
            </w:r>
          </w:p>
        </w:tc>
        <w:tc>
          <w:tcPr>
            <w:tcW w:w="766" w:type="pct"/>
          </w:tcPr>
          <w:p w14:paraId="685B7D70" w14:textId="77777777" w:rsidR="00CF72D5" w:rsidRPr="002029AF" w:rsidRDefault="00CF72D5" w:rsidP="00A57FDC">
            <w:pPr>
              <w:pStyle w:val="ARtabletextright"/>
            </w:pPr>
            <w:r w:rsidRPr="002029AF">
              <w:t>200,000</w:t>
            </w:r>
          </w:p>
        </w:tc>
        <w:tc>
          <w:tcPr>
            <w:tcW w:w="766" w:type="pct"/>
          </w:tcPr>
          <w:p w14:paraId="18E8253B" w14:textId="77777777" w:rsidR="00CF72D5" w:rsidRPr="002029AF" w:rsidRDefault="00CF72D5" w:rsidP="00A57FDC">
            <w:pPr>
              <w:pStyle w:val="ARtabletextright"/>
            </w:pPr>
            <w:r w:rsidRPr="002029AF">
              <w:t>135,945</w:t>
            </w:r>
          </w:p>
        </w:tc>
        <w:tc>
          <w:tcPr>
            <w:tcW w:w="762" w:type="pct"/>
          </w:tcPr>
          <w:p w14:paraId="1CE8FF5C" w14:textId="77777777" w:rsidR="00CF72D5" w:rsidRPr="002029AF" w:rsidRDefault="00CF72D5" w:rsidP="00A57FDC">
            <w:pPr>
              <w:pStyle w:val="ARtabletextright"/>
            </w:pPr>
            <w:r w:rsidRPr="002029AF">
              <w:t>64,055</w:t>
            </w:r>
          </w:p>
        </w:tc>
      </w:tr>
      <w:tr w:rsidR="00CF72D5" w:rsidRPr="002029AF" w14:paraId="5CD014CF" w14:textId="77777777" w:rsidTr="00457506">
        <w:tc>
          <w:tcPr>
            <w:tcW w:w="767" w:type="pct"/>
          </w:tcPr>
          <w:p w14:paraId="5B3B62C9" w14:textId="171A4FD7" w:rsidR="00CF72D5" w:rsidRPr="002029AF" w:rsidRDefault="00CF72D5" w:rsidP="0097339F">
            <w:pPr>
              <w:pStyle w:val="ARtabletext"/>
            </w:pPr>
            <w:r w:rsidRPr="002029AF">
              <w:lastRenderedPageBreak/>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1049987B" w14:textId="77777777" w:rsidR="00CF72D5" w:rsidRPr="002029AF" w:rsidRDefault="00CF72D5" w:rsidP="00897193">
            <w:pPr>
              <w:pStyle w:val="ARtablecolhead"/>
              <w:rPr>
                <w:b w:val="0"/>
                <w:bCs/>
              </w:rPr>
            </w:pPr>
          </w:p>
        </w:tc>
        <w:tc>
          <w:tcPr>
            <w:tcW w:w="1173" w:type="pct"/>
          </w:tcPr>
          <w:p w14:paraId="726B69E4" w14:textId="3B73A796" w:rsidR="00CF72D5" w:rsidRPr="002029AF" w:rsidRDefault="00CF72D5" w:rsidP="0097339F">
            <w:pPr>
              <w:pStyle w:val="ARtabletext"/>
            </w:pPr>
            <w:r w:rsidRPr="002029AF">
              <w:t>Design,</w:t>
            </w:r>
            <w:r w:rsidR="000A5329" w:rsidRPr="002029AF">
              <w:t xml:space="preserve"> </w:t>
            </w:r>
            <w:r w:rsidRPr="002029AF">
              <w:t>Audit</w:t>
            </w:r>
            <w:r w:rsidR="000A5329" w:rsidRPr="002029AF">
              <w:t xml:space="preserve"> </w:t>
            </w:r>
            <w:r w:rsidRPr="002029AF">
              <w:t>and</w:t>
            </w:r>
            <w:r w:rsidR="000A5329" w:rsidRPr="002029AF">
              <w:t xml:space="preserve"> </w:t>
            </w:r>
            <w:r w:rsidRPr="002029AF">
              <w:t>Risk</w:t>
            </w:r>
          </w:p>
        </w:tc>
        <w:tc>
          <w:tcPr>
            <w:tcW w:w="766" w:type="pct"/>
          </w:tcPr>
          <w:p w14:paraId="1DCA4D69" w14:textId="77777777" w:rsidR="00CF72D5" w:rsidRPr="002029AF" w:rsidRDefault="00CF72D5" w:rsidP="00A57FDC">
            <w:pPr>
              <w:pStyle w:val="ARtabletextright"/>
            </w:pPr>
            <w:r w:rsidRPr="002029AF">
              <w:t>45,769</w:t>
            </w:r>
          </w:p>
        </w:tc>
        <w:tc>
          <w:tcPr>
            <w:tcW w:w="766" w:type="pct"/>
          </w:tcPr>
          <w:p w14:paraId="7508791A" w14:textId="77777777" w:rsidR="00CF72D5" w:rsidRPr="002029AF" w:rsidRDefault="00CF72D5" w:rsidP="00A57FDC">
            <w:pPr>
              <w:pStyle w:val="ARtabletextright"/>
            </w:pPr>
            <w:r w:rsidRPr="002029AF">
              <w:t>45,769</w:t>
            </w:r>
          </w:p>
        </w:tc>
        <w:tc>
          <w:tcPr>
            <w:tcW w:w="762" w:type="pct"/>
          </w:tcPr>
          <w:p w14:paraId="611AD0FB" w14:textId="77777777" w:rsidR="00CF72D5" w:rsidRPr="002029AF" w:rsidRDefault="00CF72D5" w:rsidP="00A57FDC">
            <w:pPr>
              <w:pStyle w:val="ARtabletextright"/>
            </w:pPr>
            <w:r w:rsidRPr="002029AF">
              <w:t>0</w:t>
            </w:r>
          </w:p>
        </w:tc>
      </w:tr>
      <w:tr w:rsidR="00CF72D5" w:rsidRPr="002029AF" w14:paraId="156FE4C1" w14:textId="77777777" w:rsidTr="00457506">
        <w:tc>
          <w:tcPr>
            <w:tcW w:w="767" w:type="pct"/>
          </w:tcPr>
          <w:p w14:paraId="35BB2B0E" w14:textId="28CB28B7"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686F9A77" w14:textId="77777777" w:rsidR="00CF72D5" w:rsidRPr="002029AF" w:rsidRDefault="00CF72D5" w:rsidP="00897193">
            <w:pPr>
              <w:pStyle w:val="ARtablecolhead"/>
              <w:rPr>
                <w:b w:val="0"/>
                <w:bCs/>
              </w:rPr>
            </w:pPr>
          </w:p>
        </w:tc>
        <w:tc>
          <w:tcPr>
            <w:tcW w:w="1173" w:type="pct"/>
          </w:tcPr>
          <w:p w14:paraId="1C85B407" w14:textId="7077C9D7" w:rsidR="00CF72D5" w:rsidRPr="002029AF" w:rsidRDefault="00CF72D5" w:rsidP="0097339F">
            <w:pPr>
              <w:pStyle w:val="ARtabletext"/>
            </w:pPr>
            <w:r w:rsidRPr="002029AF">
              <w:t>Operating</w:t>
            </w:r>
            <w:r w:rsidR="000A5329" w:rsidRPr="002029AF">
              <w:t xml:space="preserve"> </w:t>
            </w:r>
            <w:r w:rsidRPr="002029AF">
              <w:t>model,</w:t>
            </w:r>
            <w:r w:rsidR="000A5329" w:rsidRPr="002029AF">
              <w:t xml:space="preserve"> </w:t>
            </w:r>
            <w:r w:rsidRPr="002029AF">
              <w:t>Service</w:t>
            </w:r>
            <w:r w:rsidR="000A5329" w:rsidRPr="002029AF">
              <w:t xml:space="preserve"> </w:t>
            </w:r>
            <w:r w:rsidRPr="002029AF">
              <w:t>Delivery</w:t>
            </w:r>
            <w:r w:rsidR="000A5329" w:rsidRPr="002029AF">
              <w:t xml:space="preserve"> </w:t>
            </w:r>
            <w:r w:rsidRPr="002029AF">
              <w:t>Reform</w:t>
            </w:r>
          </w:p>
        </w:tc>
        <w:tc>
          <w:tcPr>
            <w:tcW w:w="766" w:type="pct"/>
          </w:tcPr>
          <w:p w14:paraId="5058407E" w14:textId="77777777" w:rsidR="00CF72D5" w:rsidRPr="002029AF" w:rsidRDefault="00CF72D5" w:rsidP="00A57FDC">
            <w:pPr>
              <w:pStyle w:val="ARtabletextright"/>
            </w:pPr>
            <w:r w:rsidRPr="002029AF">
              <w:t>49,783</w:t>
            </w:r>
          </w:p>
        </w:tc>
        <w:tc>
          <w:tcPr>
            <w:tcW w:w="766" w:type="pct"/>
          </w:tcPr>
          <w:p w14:paraId="64AEF458" w14:textId="77777777" w:rsidR="00CF72D5" w:rsidRPr="002029AF" w:rsidRDefault="00CF72D5" w:rsidP="00A57FDC">
            <w:pPr>
              <w:pStyle w:val="ARtabletextright"/>
            </w:pPr>
            <w:r w:rsidRPr="002029AF">
              <w:t>22,544</w:t>
            </w:r>
          </w:p>
        </w:tc>
        <w:tc>
          <w:tcPr>
            <w:tcW w:w="762" w:type="pct"/>
          </w:tcPr>
          <w:p w14:paraId="26E0B441" w14:textId="77777777" w:rsidR="00CF72D5" w:rsidRPr="002029AF" w:rsidRDefault="00CF72D5" w:rsidP="00A57FDC">
            <w:pPr>
              <w:pStyle w:val="ARtabletextright"/>
            </w:pPr>
            <w:r w:rsidRPr="002029AF">
              <w:t>27,239</w:t>
            </w:r>
          </w:p>
        </w:tc>
      </w:tr>
      <w:tr w:rsidR="00CF72D5" w:rsidRPr="002029AF" w14:paraId="5B6E7548" w14:textId="77777777" w:rsidTr="00457506">
        <w:tc>
          <w:tcPr>
            <w:tcW w:w="767" w:type="pct"/>
          </w:tcPr>
          <w:p w14:paraId="00A76A01" w14:textId="7E2E12DB"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319A4A15" w14:textId="77777777" w:rsidR="00CF72D5" w:rsidRPr="002029AF" w:rsidRDefault="00CF72D5" w:rsidP="00897193">
            <w:pPr>
              <w:pStyle w:val="ARtablecolhead"/>
              <w:rPr>
                <w:b w:val="0"/>
                <w:bCs/>
              </w:rPr>
            </w:pPr>
          </w:p>
        </w:tc>
        <w:tc>
          <w:tcPr>
            <w:tcW w:w="1173" w:type="pct"/>
          </w:tcPr>
          <w:p w14:paraId="0718D76F" w14:textId="085ACD28" w:rsidR="00CF72D5" w:rsidRPr="002029AF" w:rsidRDefault="00CF72D5" w:rsidP="0097339F">
            <w:pPr>
              <w:pStyle w:val="ARtabletext"/>
            </w:pPr>
            <w:r w:rsidRPr="002029AF">
              <w:t>Contact</w:t>
            </w:r>
            <w:r w:rsidR="000A5329" w:rsidRPr="002029AF">
              <w:t xml:space="preserve"> </w:t>
            </w:r>
            <w:r w:rsidRPr="002029AF">
              <w:t>strategy</w:t>
            </w:r>
            <w:r w:rsidR="000A5329" w:rsidRPr="002029AF">
              <w:t xml:space="preserve"> </w:t>
            </w:r>
            <w:r w:rsidRPr="002029AF">
              <w:t>initiatives,</w:t>
            </w:r>
            <w:r w:rsidR="000A5329" w:rsidRPr="002029AF">
              <w:t xml:space="preserve"> </w:t>
            </w:r>
            <w:r w:rsidRPr="002029AF">
              <w:t>Development</w:t>
            </w:r>
            <w:r w:rsidR="000A5329" w:rsidRPr="002029AF">
              <w:t xml:space="preserve"> </w:t>
            </w:r>
            <w:r w:rsidRPr="002029AF">
              <w:t>and</w:t>
            </w:r>
            <w:r w:rsidR="000A5329" w:rsidRPr="002029AF">
              <w:t xml:space="preserve"> </w:t>
            </w:r>
            <w:r w:rsidRPr="002029AF">
              <w:t>State</w:t>
            </w:r>
            <w:r w:rsidR="000A5329" w:rsidRPr="002029AF">
              <w:t xml:space="preserve"> </w:t>
            </w:r>
            <w:r w:rsidRPr="002029AF">
              <w:t>Administration</w:t>
            </w:r>
            <w:r w:rsidR="000A5329" w:rsidRPr="002029AF">
              <w:t xml:space="preserve"> </w:t>
            </w:r>
            <w:r w:rsidRPr="002029AF">
              <w:t>Unit</w:t>
            </w:r>
          </w:p>
        </w:tc>
        <w:tc>
          <w:tcPr>
            <w:tcW w:w="766" w:type="pct"/>
          </w:tcPr>
          <w:p w14:paraId="5F0D6718" w14:textId="77777777" w:rsidR="00CF72D5" w:rsidRPr="002029AF" w:rsidRDefault="00CF72D5" w:rsidP="00A57FDC">
            <w:pPr>
              <w:pStyle w:val="ARtabletextright"/>
            </w:pPr>
            <w:r w:rsidRPr="002029AF">
              <w:t>122,727</w:t>
            </w:r>
          </w:p>
        </w:tc>
        <w:tc>
          <w:tcPr>
            <w:tcW w:w="766" w:type="pct"/>
          </w:tcPr>
          <w:p w14:paraId="2038FAE5" w14:textId="77777777" w:rsidR="00CF72D5" w:rsidRPr="002029AF" w:rsidRDefault="00CF72D5" w:rsidP="00A57FDC">
            <w:pPr>
              <w:pStyle w:val="ARtabletextright"/>
            </w:pPr>
            <w:r w:rsidRPr="002029AF">
              <w:t>120,627</w:t>
            </w:r>
          </w:p>
        </w:tc>
        <w:tc>
          <w:tcPr>
            <w:tcW w:w="762" w:type="pct"/>
          </w:tcPr>
          <w:p w14:paraId="44FDE607" w14:textId="77777777" w:rsidR="00CF72D5" w:rsidRPr="002029AF" w:rsidRDefault="00CF72D5" w:rsidP="00A57FDC">
            <w:pPr>
              <w:pStyle w:val="ARtabletextright"/>
            </w:pPr>
            <w:r w:rsidRPr="002029AF">
              <w:t>2,100</w:t>
            </w:r>
          </w:p>
        </w:tc>
      </w:tr>
      <w:tr w:rsidR="00CF72D5" w:rsidRPr="002029AF" w14:paraId="57ABD243" w14:textId="77777777" w:rsidTr="00457506">
        <w:tc>
          <w:tcPr>
            <w:tcW w:w="767" w:type="pct"/>
          </w:tcPr>
          <w:p w14:paraId="379623B9" w14:textId="6C776343"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15E53E83" w14:textId="77777777" w:rsidR="00CF72D5" w:rsidRPr="002029AF" w:rsidRDefault="00CF72D5" w:rsidP="00897193">
            <w:pPr>
              <w:pStyle w:val="ARtablecolhead"/>
              <w:rPr>
                <w:b w:val="0"/>
                <w:bCs/>
              </w:rPr>
            </w:pPr>
          </w:p>
        </w:tc>
        <w:tc>
          <w:tcPr>
            <w:tcW w:w="1173" w:type="pct"/>
          </w:tcPr>
          <w:p w14:paraId="169BD3F3" w14:textId="67538F7B" w:rsidR="00CF72D5" w:rsidRPr="002029AF" w:rsidRDefault="00CF72D5" w:rsidP="0097339F">
            <w:pPr>
              <w:pStyle w:val="ARtabletext"/>
            </w:pPr>
            <w:r w:rsidRPr="002029AF">
              <w:t>Review,</w:t>
            </w:r>
            <w:r w:rsidR="000A5329" w:rsidRPr="002029AF">
              <w:t xml:space="preserve"> </w:t>
            </w:r>
            <w:r w:rsidRPr="002029AF">
              <w:t>Organisation</w:t>
            </w:r>
            <w:r w:rsidR="000A5329" w:rsidRPr="002029AF">
              <w:t xml:space="preserve"> </w:t>
            </w:r>
            <w:r w:rsidRPr="002029AF">
              <w:t>Transformation</w:t>
            </w:r>
          </w:p>
        </w:tc>
        <w:tc>
          <w:tcPr>
            <w:tcW w:w="766" w:type="pct"/>
          </w:tcPr>
          <w:p w14:paraId="731ED921" w14:textId="77777777" w:rsidR="00CF72D5" w:rsidRPr="002029AF" w:rsidRDefault="00CF72D5" w:rsidP="00A57FDC">
            <w:pPr>
              <w:pStyle w:val="ARtabletextright"/>
            </w:pPr>
            <w:r w:rsidRPr="002029AF">
              <w:t>71,818</w:t>
            </w:r>
          </w:p>
        </w:tc>
        <w:tc>
          <w:tcPr>
            <w:tcW w:w="766" w:type="pct"/>
          </w:tcPr>
          <w:p w14:paraId="017CCE9D" w14:textId="77777777" w:rsidR="00CF72D5" w:rsidRPr="002029AF" w:rsidRDefault="00CF72D5" w:rsidP="00A57FDC">
            <w:pPr>
              <w:pStyle w:val="ARtabletextright"/>
            </w:pPr>
            <w:r w:rsidRPr="002029AF">
              <w:t>69,846</w:t>
            </w:r>
          </w:p>
        </w:tc>
        <w:tc>
          <w:tcPr>
            <w:tcW w:w="762" w:type="pct"/>
          </w:tcPr>
          <w:p w14:paraId="2C0F07D2" w14:textId="77777777" w:rsidR="00CF72D5" w:rsidRPr="002029AF" w:rsidRDefault="00CF72D5" w:rsidP="00A57FDC">
            <w:pPr>
              <w:pStyle w:val="ARtabletextright"/>
            </w:pPr>
            <w:r w:rsidRPr="002029AF">
              <w:t>1,972</w:t>
            </w:r>
          </w:p>
        </w:tc>
      </w:tr>
      <w:tr w:rsidR="00CF72D5" w:rsidRPr="002029AF" w14:paraId="5B09E76D" w14:textId="77777777" w:rsidTr="00457506">
        <w:tc>
          <w:tcPr>
            <w:tcW w:w="767" w:type="pct"/>
          </w:tcPr>
          <w:p w14:paraId="75AE4AE9" w14:textId="6567E889"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3A7CCAD3" w14:textId="77777777" w:rsidR="00CF72D5" w:rsidRPr="002029AF" w:rsidRDefault="00CF72D5" w:rsidP="00897193">
            <w:pPr>
              <w:pStyle w:val="ARtablecolhead"/>
              <w:rPr>
                <w:b w:val="0"/>
                <w:bCs/>
              </w:rPr>
            </w:pPr>
          </w:p>
        </w:tc>
        <w:tc>
          <w:tcPr>
            <w:tcW w:w="1173" w:type="pct"/>
          </w:tcPr>
          <w:p w14:paraId="607DD5FE" w14:textId="6FC475CA" w:rsidR="00CF72D5" w:rsidRPr="002029AF" w:rsidRDefault="00CF72D5" w:rsidP="0097339F">
            <w:pPr>
              <w:pStyle w:val="ARtabletext"/>
            </w:pPr>
            <w:r w:rsidRPr="002029AF">
              <w:t>Coordination</w:t>
            </w:r>
            <w:r w:rsidR="000A5329" w:rsidRPr="002029AF">
              <w:t xml:space="preserve"> </w:t>
            </w:r>
            <w:r w:rsidRPr="002029AF">
              <w:t>support,</w:t>
            </w:r>
            <w:r w:rsidR="000A5329" w:rsidRPr="002029AF">
              <w:t xml:space="preserve"> </w:t>
            </w:r>
            <w:r w:rsidRPr="002029AF">
              <w:t>Organisational</w:t>
            </w:r>
            <w:r w:rsidR="000A5329" w:rsidRPr="002029AF">
              <w:t xml:space="preserve"> </w:t>
            </w:r>
            <w:r w:rsidRPr="002029AF">
              <w:t>Change</w:t>
            </w:r>
          </w:p>
        </w:tc>
        <w:tc>
          <w:tcPr>
            <w:tcW w:w="766" w:type="pct"/>
          </w:tcPr>
          <w:p w14:paraId="56876D34" w14:textId="77777777" w:rsidR="00CF72D5" w:rsidRPr="002029AF" w:rsidRDefault="00CF72D5" w:rsidP="00A57FDC">
            <w:pPr>
              <w:pStyle w:val="ARtabletextright"/>
            </w:pPr>
            <w:r w:rsidRPr="002029AF">
              <w:t>65,650</w:t>
            </w:r>
          </w:p>
        </w:tc>
        <w:tc>
          <w:tcPr>
            <w:tcW w:w="766" w:type="pct"/>
          </w:tcPr>
          <w:p w14:paraId="24754E5E" w14:textId="77777777" w:rsidR="00CF72D5" w:rsidRPr="002029AF" w:rsidRDefault="00CF72D5" w:rsidP="00A57FDC">
            <w:pPr>
              <w:pStyle w:val="ARtabletextright"/>
            </w:pPr>
            <w:r w:rsidRPr="002029AF">
              <w:t>63,545</w:t>
            </w:r>
          </w:p>
        </w:tc>
        <w:tc>
          <w:tcPr>
            <w:tcW w:w="762" w:type="pct"/>
          </w:tcPr>
          <w:p w14:paraId="434C23E5" w14:textId="77777777" w:rsidR="00CF72D5" w:rsidRPr="002029AF" w:rsidRDefault="00CF72D5" w:rsidP="00A57FDC">
            <w:pPr>
              <w:pStyle w:val="ARtabletextright"/>
            </w:pPr>
            <w:r w:rsidRPr="002029AF">
              <w:t>2,105</w:t>
            </w:r>
          </w:p>
        </w:tc>
      </w:tr>
      <w:tr w:rsidR="00CF72D5" w:rsidRPr="002029AF" w14:paraId="352F3C91" w14:textId="77777777" w:rsidTr="00457506">
        <w:tc>
          <w:tcPr>
            <w:tcW w:w="767" w:type="pct"/>
          </w:tcPr>
          <w:p w14:paraId="26001545" w14:textId="634D563A"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6C3CB548" w14:textId="77777777" w:rsidR="00CF72D5" w:rsidRPr="002029AF" w:rsidRDefault="00CF72D5" w:rsidP="00897193">
            <w:pPr>
              <w:pStyle w:val="ARtablecolhead"/>
              <w:rPr>
                <w:b w:val="0"/>
                <w:bCs/>
              </w:rPr>
            </w:pPr>
          </w:p>
        </w:tc>
        <w:tc>
          <w:tcPr>
            <w:tcW w:w="1173" w:type="pct"/>
          </w:tcPr>
          <w:p w14:paraId="7003745A" w14:textId="0E39ECD2" w:rsidR="00CF72D5" w:rsidRPr="002029AF" w:rsidRDefault="00CF72D5" w:rsidP="0097339F">
            <w:pPr>
              <w:pStyle w:val="ARtabletext"/>
            </w:pPr>
            <w:r w:rsidRPr="002029AF">
              <w:t>Coordination</w:t>
            </w:r>
            <w:r w:rsidR="000A5329" w:rsidRPr="002029AF">
              <w:t xml:space="preserve"> </w:t>
            </w:r>
            <w:r w:rsidRPr="002029AF">
              <w:t>support,</w:t>
            </w:r>
            <w:r w:rsidR="000A5329" w:rsidRPr="002029AF">
              <w:t xml:space="preserve"> </w:t>
            </w:r>
            <w:r w:rsidRPr="002029AF">
              <w:t>Future</w:t>
            </w:r>
            <w:r w:rsidR="000A5329" w:rsidRPr="002029AF">
              <w:t xml:space="preserve"> </w:t>
            </w:r>
            <w:r w:rsidRPr="002029AF">
              <w:t>of</w:t>
            </w:r>
            <w:r w:rsidR="000A5329" w:rsidRPr="002029AF">
              <w:t xml:space="preserve"> </w:t>
            </w:r>
            <w:r w:rsidRPr="002029AF">
              <w:t>the</w:t>
            </w:r>
            <w:r w:rsidR="000A5329" w:rsidRPr="002029AF">
              <w:t xml:space="preserve"> </w:t>
            </w:r>
            <w:r w:rsidRPr="002029AF">
              <w:t>Organisational</w:t>
            </w:r>
            <w:r w:rsidR="000A5329" w:rsidRPr="002029AF">
              <w:t xml:space="preserve"> </w:t>
            </w:r>
            <w:r w:rsidRPr="002029AF">
              <w:t>Transformation</w:t>
            </w:r>
            <w:r w:rsidR="000A5329" w:rsidRPr="002029AF">
              <w:t xml:space="preserve"> </w:t>
            </w:r>
            <w:r w:rsidRPr="002029AF">
              <w:t>Division</w:t>
            </w:r>
          </w:p>
        </w:tc>
        <w:tc>
          <w:tcPr>
            <w:tcW w:w="766" w:type="pct"/>
          </w:tcPr>
          <w:p w14:paraId="4F93A1CC" w14:textId="77777777" w:rsidR="00CF72D5" w:rsidRPr="002029AF" w:rsidRDefault="00CF72D5" w:rsidP="00A57FDC">
            <w:pPr>
              <w:pStyle w:val="ARtabletextright"/>
            </w:pPr>
            <w:r w:rsidRPr="002029AF">
              <w:t>36,563</w:t>
            </w:r>
          </w:p>
        </w:tc>
        <w:tc>
          <w:tcPr>
            <w:tcW w:w="766" w:type="pct"/>
          </w:tcPr>
          <w:p w14:paraId="6DB2E7BF" w14:textId="77777777" w:rsidR="00CF72D5" w:rsidRPr="002029AF" w:rsidRDefault="00CF72D5" w:rsidP="00A57FDC">
            <w:pPr>
              <w:pStyle w:val="ARtabletextright"/>
            </w:pPr>
            <w:r w:rsidRPr="002029AF">
              <w:t>26,325</w:t>
            </w:r>
          </w:p>
        </w:tc>
        <w:tc>
          <w:tcPr>
            <w:tcW w:w="762" w:type="pct"/>
          </w:tcPr>
          <w:p w14:paraId="03718606" w14:textId="77777777" w:rsidR="00CF72D5" w:rsidRPr="002029AF" w:rsidRDefault="00CF72D5" w:rsidP="00A57FDC">
            <w:pPr>
              <w:pStyle w:val="ARtabletextright"/>
            </w:pPr>
            <w:r w:rsidRPr="002029AF">
              <w:t>10,237</w:t>
            </w:r>
          </w:p>
        </w:tc>
      </w:tr>
      <w:tr w:rsidR="00CF72D5" w:rsidRPr="002029AF" w14:paraId="2ECB1524" w14:textId="77777777" w:rsidTr="00457506">
        <w:tc>
          <w:tcPr>
            <w:tcW w:w="767" w:type="pct"/>
          </w:tcPr>
          <w:p w14:paraId="70335CD7" w14:textId="39AE2450" w:rsidR="00CF72D5" w:rsidRPr="002029AF" w:rsidRDefault="00CF72D5" w:rsidP="0097339F">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vMerge/>
          </w:tcPr>
          <w:p w14:paraId="7D7D9FF5" w14:textId="77777777" w:rsidR="00CF72D5" w:rsidRPr="002029AF" w:rsidRDefault="00CF72D5" w:rsidP="00897193">
            <w:pPr>
              <w:pStyle w:val="ARtablecolhead"/>
              <w:rPr>
                <w:b w:val="0"/>
                <w:bCs/>
              </w:rPr>
            </w:pPr>
          </w:p>
        </w:tc>
        <w:tc>
          <w:tcPr>
            <w:tcW w:w="1173" w:type="pct"/>
          </w:tcPr>
          <w:p w14:paraId="576E83F2" w14:textId="3CDDD8A3" w:rsidR="00CF72D5" w:rsidRPr="002029AF" w:rsidRDefault="00CF72D5" w:rsidP="0097339F">
            <w:pPr>
              <w:pStyle w:val="ARtabletext"/>
            </w:pPr>
            <w:r w:rsidRPr="002029AF">
              <w:t>Organisational</w:t>
            </w:r>
            <w:r w:rsidR="000A5329" w:rsidRPr="002029AF">
              <w:t xml:space="preserve"> </w:t>
            </w:r>
            <w:r w:rsidRPr="002029AF">
              <w:t>Transformation</w:t>
            </w:r>
            <w:r w:rsidR="000A5329" w:rsidRPr="002029AF">
              <w:t xml:space="preserve"> </w:t>
            </w:r>
            <w:r w:rsidRPr="002029AF">
              <w:t>Leadership</w:t>
            </w:r>
          </w:p>
        </w:tc>
        <w:tc>
          <w:tcPr>
            <w:tcW w:w="766" w:type="pct"/>
          </w:tcPr>
          <w:p w14:paraId="45C8C430" w14:textId="77777777" w:rsidR="00CF72D5" w:rsidRPr="002029AF" w:rsidRDefault="00CF72D5" w:rsidP="00A57FDC">
            <w:pPr>
              <w:pStyle w:val="ARtabletextright"/>
            </w:pPr>
            <w:r w:rsidRPr="002029AF">
              <w:t>53,411</w:t>
            </w:r>
          </w:p>
        </w:tc>
        <w:tc>
          <w:tcPr>
            <w:tcW w:w="766" w:type="pct"/>
          </w:tcPr>
          <w:p w14:paraId="421B4725" w14:textId="77777777" w:rsidR="00CF72D5" w:rsidRPr="002029AF" w:rsidRDefault="00CF72D5" w:rsidP="00A57FDC">
            <w:pPr>
              <w:pStyle w:val="ARtabletextright"/>
            </w:pPr>
            <w:r w:rsidRPr="002029AF">
              <w:t>14,520</w:t>
            </w:r>
          </w:p>
        </w:tc>
        <w:tc>
          <w:tcPr>
            <w:tcW w:w="762" w:type="pct"/>
          </w:tcPr>
          <w:p w14:paraId="2B852AE3" w14:textId="77777777" w:rsidR="00CF72D5" w:rsidRPr="002029AF" w:rsidRDefault="00CF72D5" w:rsidP="00A57FDC">
            <w:pPr>
              <w:pStyle w:val="ARtabletextright"/>
            </w:pPr>
            <w:r w:rsidRPr="002029AF">
              <w:t>38,891</w:t>
            </w:r>
          </w:p>
        </w:tc>
      </w:tr>
      <w:tr w:rsidR="00CF72D5" w:rsidRPr="002029AF" w14:paraId="57BE908A" w14:textId="77777777" w:rsidTr="00457506">
        <w:tc>
          <w:tcPr>
            <w:tcW w:w="767" w:type="pct"/>
          </w:tcPr>
          <w:p w14:paraId="3FF6D547" w14:textId="18AC08B6" w:rsidR="00CF72D5" w:rsidRPr="002029AF" w:rsidRDefault="00CF72D5" w:rsidP="00A57FDC">
            <w:pPr>
              <w:pStyle w:val="ARtabletext"/>
            </w:pPr>
            <w:r w:rsidRPr="002029AF">
              <w:t>Capital</w:t>
            </w:r>
            <w:r w:rsidR="000A5329" w:rsidRPr="002029AF">
              <w:t xml:space="preserve"> </w:t>
            </w:r>
            <w:r w:rsidRPr="002029AF">
              <w:t>Business</w:t>
            </w:r>
            <w:r w:rsidR="000A5329" w:rsidRPr="002029AF">
              <w:t xml:space="preserve"> </w:t>
            </w:r>
            <w:r w:rsidRPr="002029AF">
              <w:t>Case</w:t>
            </w:r>
            <w:r w:rsidR="000A5329" w:rsidRPr="002029AF">
              <w:t xml:space="preserve"> </w:t>
            </w:r>
            <w:r w:rsidRPr="002029AF">
              <w:t>&amp;</w:t>
            </w:r>
            <w:r w:rsidR="000A5329" w:rsidRPr="002029AF">
              <w:t xml:space="preserve"> </w:t>
            </w:r>
            <w:r w:rsidRPr="002029AF">
              <w:t>Planning</w:t>
            </w:r>
          </w:p>
        </w:tc>
        <w:tc>
          <w:tcPr>
            <w:tcW w:w="766" w:type="pct"/>
          </w:tcPr>
          <w:p w14:paraId="7B60DE67" w14:textId="40D29DDD" w:rsidR="00CF72D5" w:rsidRPr="002029AF" w:rsidRDefault="00CF72D5" w:rsidP="00A57FDC">
            <w:pPr>
              <w:pStyle w:val="ARtabletext"/>
            </w:pPr>
            <w:r w:rsidRPr="002029AF">
              <w:t>Ernst</w:t>
            </w:r>
            <w:r w:rsidR="000A5329" w:rsidRPr="002029AF">
              <w:t xml:space="preserve"> </w:t>
            </w:r>
            <w:r w:rsidRPr="002029AF">
              <w:t>&amp;</w:t>
            </w:r>
            <w:r w:rsidR="000A5329" w:rsidRPr="002029AF">
              <w:t xml:space="preserve"> </w:t>
            </w:r>
            <w:r w:rsidRPr="002029AF">
              <w:t>Young</w:t>
            </w:r>
            <w:r w:rsidR="000A5329" w:rsidRPr="002029AF">
              <w:t xml:space="preserve"> </w:t>
            </w:r>
            <w:r w:rsidRPr="002029AF">
              <w:t>Services</w:t>
            </w:r>
            <w:r w:rsidR="000A5329" w:rsidRPr="002029AF">
              <w:t xml:space="preserve"> </w:t>
            </w:r>
            <w:r w:rsidRPr="002029AF">
              <w:t>Pty</w:t>
            </w:r>
            <w:r w:rsidR="000A5329" w:rsidRPr="002029AF">
              <w:t xml:space="preserve"> </w:t>
            </w:r>
            <w:r w:rsidRPr="002029AF">
              <w:t>Ltd</w:t>
            </w:r>
          </w:p>
        </w:tc>
        <w:tc>
          <w:tcPr>
            <w:tcW w:w="1173" w:type="pct"/>
          </w:tcPr>
          <w:p w14:paraId="4E411EE9" w14:textId="231371F5" w:rsidR="00CF72D5" w:rsidRPr="002029AF" w:rsidRDefault="00CF72D5" w:rsidP="00A57FDC">
            <w:pPr>
              <w:pStyle w:val="ARtabletext"/>
            </w:pPr>
            <w:r w:rsidRPr="002029AF">
              <w:t>Business</w:t>
            </w:r>
            <w:r w:rsidR="000A5329" w:rsidRPr="002029AF">
              <w:t xml:space="preserve"> </w:t>
            </w:r>
            <w:r w:rsidRPr="002029AF">
              <w:t>Case,</w:t>
            </w:r>
            <w:r w:rsidR="000A5329" w:rsidRPr="002029AF">
              <w:t xml:space="preserve"> </w:t>
            </w:r>
            <w:r w:rsidRPr="002029AF">
              <w:t>Sustainable</w:t>
            </w:r>
            <w:r w:rsidR="000A5329" w:rsidRPr="002029AF">
              <w:t xml:space="preserve"> </w:t>
            </w:r>
            <w:r w:rsidRPr="002029AF">
              <w:t>Central</w:t>
            </w:r>
            <w:r w:rsidR="000A5329" w:rsidRPr="002029AF">
              <w:t xml:space="preserve"> </w:t>
            </w:r>
            <w:r w:rsidRPr="002029AF">
              <w:t>Information</w:t>
            </w:r>
            <w:r w:rsidR="000A5329" w:rsidRPr="002029AF">
              <w:t xml:space="preserve"> </w:t>
            </w:r>
            <w:r w:rsidRPr="002029AF">
              <w:t>Point</w:t>
            </w:r>
          </w:p>
        </w:tc>
        <w:tc>
          <w:tcPr>
            <w:tcW w:w="766" w:type="pct"/>
          </w:tcPr>
          <w:p w14:paraId="334BB679" w14:textId="77777777" w:rsidR="00CF72D5" w:rsidRPr="002029AF" w:rsidRDefault="00CF72D5" w:rsidP="00A57FDC">
            <w:pPr>
              <w:pStyle w:val="ARtabletextright"/>
            </w:pPr>
            <w:r w:rsidRPr="002029AF">
              <w:t>1,703,382</w:t>
            </w:r>
          </w:p>
        </w:tc>
        <w:tc>
          <w:tcPr>
            <w:tcW w:w="766" w:type="pct"/>
          </w:tcPr>
          <w:p w14:paraId="7AA41406" w14:textId="77777777" w:rsidR="00CF72D5" w:rsidRPr="002029AF" w:rsidRDefault="00CF72D5" w:rsidP="00A57FDC">
            <w:pPr>
              <w:pStyle w:val="ARtabletextright"/>
            </w:pPr>
            <w:r w:rsidRPr="002029AF">
              <w:t>1,621,327</w:t>
            </w:r>
          </w:p>
        </w:tc>
        <w:tc>
          <w:tcPr>
            <w:tcW w:w="762" w:type="pct"/>
          </w:tcPr>
          <w:p w14:paraId="03A122BE" w14:textId="77777777" w:rsidR="00CF72D5" w:rsidRPr="002029AF" w:rsidRDefault="00CF72D5" w:rsidP="00A57FDC">
            <w:pPr>
              <w:pStyle w:val="ARtabletextright"/>
            </w:pPr>
            <w:r w:rsidRPr="002029AF">
              <w:t>0</w:t>
            </w:r>
          </w:p>
        </w:tc>
      </w:tr>
      <w:tr w:rsidR="00CF72D5" w:rsidRPr="002029AF" w14:paraId="572923C4" w14:textId="77777777" w:rsidTr="00457506">
        <w:tc>
          <w:tcPr>
            <w:tcW w:w="767" w:type="pct"/>
          </w:tcPr>
          <w:p w14:paraId="44BBDCD8" w14:textId="5D54C47F" w:rsidR="00CF72D5" w:rsidRPr="002029AF" w:rsidRDefault="00CF72D5" w:rsidP="00A57FDC">
            <w:pPr>
              <w:pStyle w:val="ARtabletext"/>
            </w:pPr>
            <w:r w:rsidRPr="002029AF">
              <w:t>Capital</w:t>
            </w:r>
            <w:r w:rsidR="000A5329" w:rsidRPr="002029AF">
              <w:t xml:space="preserve"> </w:t>
            </w:r>
            <w:r w:rsidRPr="002029AF">
              <w:t>Business</w:t>
            </w:r>
            <w:r w:rsidR="000A5329" w:rsidRPr="002029AF">
              <w:t xml:space="preserve"> </w:t>
            </w:r>
            <w:r w:rsidRPr="002029AF">
              <w:t>Case</w:t>
            </w:r>
            <w:r w:rsidR="000A5329" w:rsidRPr="002029AF">
              <w:t xml:space="preserve"> </w:t>
            </w:r>
            <w:r w:rsidRPr="002029AF">
              <w:t>&amp;</w:t>
            </w:r>
            <w:r w:rsidR="000A5329" w:rsidRPr="002029AF">
              <w:t xml:space="preserve"> </w:t>
            </w:r>
            <w:r w:rsidRPr="002029AF">
              <w:t>Planning</w:t>
            </w:r>
          </w:p>
        </w:tc>
        <w:tc>
          <w:tcPr>
            <w:tcW w:w="766" w:type="pct"/>
          </w:tcPr>
          <w:p w14:paraId="761414B8" w14:textId="4C7CC651" w:rsidR="00CF72D5" w:rsidRPr="002029AF" w:rsidRDefault="00CF72D5" w:rsidP="00A57FDC">
            <w:pPr>
              <w:pStyle w:val="ARtabletext"/>
            </w:pPr>
            <w:r w:rsidRPr="002029AF">
              <w:t>Data</w:t>
            </w:r>
            <w:r w:rsidR="000A5329" w:rsidRPr="002029AF">
              <w:t xml:space="preserve"> </w:t>
            </w:r>
            <w:r w:rsidRPr="002029AF">
              <w:t>Agility</w:t>
            </w:r>
          </w:p>
        </w:tc>
        <w:tc>
          <w:tcPr>
            <w:tcW w:w="1173" w:type="pct"/>
          </w:tcPr>
          <w:p w14:paraId="7B6BD744" w14:textId="6D73C10E" w:rsidR="00CF72D5" w:rsidRPr="002029AF" w:rsidRDefault="00CF72D5" w:rsidP="00A57FDC">
            <w:pPr>
              <w:pStyle w:val="ARtabletext"/>
            </w:pPr>
            <w:r w:rsidRPr="002029AF">
              <w:t>Business</w:t>
            </w:r>
            <w:r w:rsidR="000A5329" w:rsidRPr="002029AF">
              <w:t xml:space="preserve"> </w:t>
            </w:r>
            <w:r w:rsidRPr="002029AF">
              <w:t>Case,</w:t>
            </w:r>
            <w:r w:rsidR="000A5329" w:rsidRPr="002029AF">
              <w:t xml:space="preserve"> </w:t>
            </w:r>
            <w:r w:rsidRPr="002029AF">
              <w:t>Genomics</w:t>
            </w:r>
            <w:r w:rsidR="000A5329" w:rsidRPr="002029AF">
              <w:t xml:space="preserve"> </w:t>
            </w:r>
            <w:r w:rsidRPr="002029AF">
              <w:t>System</w:t>
            </w:r>
            <w:r w:rsidR="000A5329" w:rsidRPr="002029AF">
              <w:t xml:space="preserve"> </w:t>
            </w:r>
            <w:r w:rsidRPr="002029AF">
              <w:t>Replacement</w:t>
            </w:r>
          </w:p>
        </w:tc>
        <w:tc>
          <w:tcPr>
            <w:tcW w:w="766" w:type="pct"/>
          </w:tcPr>
          <w:p w14:paraId="732E58CA" w14:textId="77777777" w:rsidR="00CF72D5" w:rsidRPr="002029AF" w:rsidRDefault="00CF72D5" w:rsidP="00A57FDC">
            <w:pPr>
              <w:pStyle w:val="ARtabletextright"/>
            </w:pPr>
            <w:r w:rsidRPr="002029AF">
              <w:t>254,345</w:t>
            </w:r>
          </w:p>
        </w:tc>
        <w:tc>
          <w:tcPr>
            <w:tcW w:w="766" w:type="pct"/>
          </w:tcPr>
          <w:p w14:paraId="54113EC8" w14:textId="77777777" w:rsidR="00CF72D5" w:rsidRPr="002029AF" w:rsidRDefault="00CF72D5" w:rsidP="00A57FDC">
            <w:pPr>
              <w:pStyle w:val="ARtabletextright"/>
            </w:pPr>
            <w:r w:rsidRPr="002029AF">
              <w:t>127,000</w:t>
            </w:r>
          </w:p>
        </w:tc>
        <w:tc>
          <w:tcPr>
            <w:tcW w:w="762" w:type="pct"/>
          </w:tcPr>
          <w:p w14:paraId="34A2732C" w14:textId="77777777" w:rsidR="00CF72D5" w:rsidRPr="002029AF" w:rsidRDefault="00CF72D5" w:rsidP="00A57FDC">
            <w:pPr>
              <w:pStyle w:val="ARtabletextright"/>
            </w:pPr>
            <w:r w:rsidRPr="002029AF">
              <w:t>127,345</w:t>
            </w:r>
          </w:p>
        </w:tc>
      </w:tr>
      <w:tr w:rsidR="00CF72D5" w:rsidRPr="002029AF" w14:paraId="09262453" w14:textId="77777777" w:rsidTr="00457506">
        <w:tc>
          <w:tcPr>
            <w:tcW w:w="767" w:type="pct"/>
          </w:tcPr>
          <w:p w14:paraId="604E0CAA" w14:textId="24174416" w:rsidR="00CF72D5" w:rsidRPr="002029AF" w:rsidRDefault="00CF72D5" w:rsidP="00A57FDC">
            <w:pPr>
              <w:pStyle w:val="ARtabletext"/>
            </w:pPr>
            <w:r w:rsidRPr="002029AF">
              <w:t>Capital</w:t>
            </w:r>
            <w:r w:rsidR="000A5329" w:rsidRPr="002029AF">
              <w:t xml:space="preserve"> </w:t>
            </w:r>
            <w:r w:rsidRPr="002029AF">
              <w:t>Business</w:t>
            </w:r>
            <w:r w:rsidR="000A5329" w:rsidRPr="002029AF">
              <w:t xml:space="preserve"> </w:t>
            </w:r>
            <w:r w:rsidRPr="002029AF">
              <w:t>Case</w:t>
            </w:r>
            <w:r w:rsidR="000A5329" w:rsidRPr="002029AF">
              <w:t xml:space="preserve"> </w:t>
            </w:r>
            <w:r w:rsidRPr="002029AF">
              <w:t>&amp;</w:t>
            </w:r>
            <w:r w:rsidR="000A5329" w:rsidRPr="002029AF">
              <w:t xml:space="preserve"> </w:t>
            </w:r>
            <w:r w:rsidRPr="002029AF">
              <w:t>Planning</w:t>
            </w:r>
          </w:p>
        </w:tc>
        <w:tc>
          <w:tcPr>
            <w:tcW w:w="766" w:type="pct"/>
          </w:tcPr>
          <w:p w14:paraId="2D48B644" w14:textId="609F4386" w:rsidR="00CF72D5" w:rsidRPr="002029AF" w:rsidRDefault="00CF72D5" w:rsidP="00A57FDC">
            <w:pPr>
              <w:pStyle w:val="ARtabletext"/>
            </w:pPr>
            <w:r w:rsidRPr="002029AF">
              <w:t>Boston</w:t>
            </w:r>
            <w:r w:rsidR="000A5329" w:rsidRPr="002029AF">
              <w:t xml:space="preserve"> </w:t>
            </w:r>
            <w:r w:rsidRPr="002029AF">
              <w:t>Consulting</w:t>
            </w:r>
            <w:r w:rsidR="000A5329" w:rsidRPr="002029AF">
              <w:t xml:space="preserve"> </w:t>
            </w:r>
            <w:r w:rsidRPr="002029AF">
              <w:t>Group</w:t>
            </w:r>
          </w:p>
        </w:tc>
        <w:tc>
          <w:tcPr>
            <w:tcW w:w="1173" w:type="pct"/>
          </w:tcPr>
          <w:p w14:paraId="598526BE" w14:textId="437A4545" w:rsidR="00CF72D5" w:rsidRPr="002029AF" w:rsidRDefault="00CF72D5" w:rsidP="00A57FDC">
            <w:pPr>
              <w:pStyle w:val="ARtabletext"/>
            </w:pPr>
            <w:r w:rsidRPr="002029AF">
              <w:t>Investment</w:t>
            </w:r>
            <w:r w:rsidR="000A5329" w:rsidRPr="002029AF">
              <w:t xml:space="preserve"> </w:t>
            </w:r>
            <w:r w:rsidRPr="002029AF">
              <w:t>modelling,</w:t>
            </w:r>
            <w:r w:rsidR="000A5329" w:rsidRPr="002029AF">
              <w:t xml:space="preserve"> </w:t>
            </w:r>
            <w:r w:rsidRPr="002029AF">
              <w:t>Housing</w:t>
            </w:r>
            <w:r w:rsidR="000A5329" w:rsidRPr="002029AF">
              <w:t xml:space="preserve"> </w:t>
            </w:r>
            <w:r w:rsidRPr="002029AF">
              <w:t>directions</w:t>
            </w:r>
          </w:p>
        </w:tc>
        <w:tc>
          <w:tcPr>
            <w:tcW w:w="766" w:type="pct"/>
          </w:tcPr>
          <w:p w14:paraId="642C3145" w14:textId="77777777" w:rsidR="00CF72D5" w:rsidRPr="002029AF" w:rsidRDefault="00CF72D5" w:rsidP="00A57FDC">
            <w:pPr>
              <w:pStyle w:val="ARtabletextright"/>
            </w:pPr>
            <w:r w:rsidRPr="002029AF">
              <w:t>295,500</w:t>
            </w:r>
          </w:p>
        </w:tc>
        <w:tc>
          <w:tcPr>
            <w:tcW w:w="766" w:type="pct"/>
          </w:tcPr>
          <w:p w14:paraId="0E6B13A3" w14:textId="77777777" w:rsidR="00CF72D5" w:rsidRPr="002029AF" w:rsidRDefault="00CF72D5" w:rsidP="00A57FDC">
            <w:pPr>
              <w:pStyle w:val="ARtabletextright"/>
            </w:pPr>
            <w:r w:rsidRPr="002029AF">
              <w:t>302,539</w:t>
            </w:r>
          </w:p>
        </w:tc>
        <w:tc>
          <w:tcPr>
            <w:tcW w:w="762" w:type="pct"/>
          </w:tcPr>
          <w:p w14:paraId="3CDD1973" w14:textId="77777777" w:rsidR="00CF72D5" w:rsidRPr="002029AF" w:rsidRDefault="00CF72D5" w:rsidP="00A57FDC">
            <w:pPr>
              <w:pStyle w:val="ARtabletextright"/>
            </w:pPr>
            <w:r w:rsidRPr="002029AF">
              <w:t>0</w:t>
            </w:r>
          </w:p>
        </w:tc>
      </w:tr>
      <w:tr w:rsidR="00CF72D5" w:rsidRPr="002029AF" w14:paraId="5D13B0D3" w14:textId="77777777" w:rsidTr="00457506">
        <w:tc>
          <w:tcPr>
            <w:tcW w:w="767" w:type="pct"/>
          </w:tcPr>
          <w:p w14:paraId="174C4BF0" w14:textId="47504298" w:rsidR="00CF72D5" w:rsidRPr="002029AF" w:rsidRDefault="00CF72D5" w:rsidP="00A57FDC">
            <w:pPr>
              <w:pStyle w:val="ARtabletext"/>
            </w:pPr>
            <w:r w:rsidRPr="002029AF">
              <w:t>Capital</w:t>
            </w:r>
            <w:r w:rsidR="000A5329" w:rsidRPr="002029AF">
              <w:t xml:space="preserve"> </w:t>
            </w:r>
            <w:r w:rsidRPr="002029AF">
              <w:t>Business</w:t>
            </w:r>
            <w:r w:rsidR="000A5329" w:rsidRPr="002029AF">
              <w:t xml:space="preserve"> </w:t>
            </w:r>
            <w:r w:rsidRPr="002029AF">
              <w:t>Case</w:t>
            </w:r>
            <w:r w:rsidR="000A5329" w:rsidRPr="002029AF">
              <w:t xml:space="preserve"> </w:t>
            </w:r>
            <w:r w:rsidRPr="002029AF">
              <w:t>&amp;</w:t>
            </w:r>
            <w:r w:rsidR="000A5329" w:rsidRPr="002029AF">
              <w:t xml:space="preserve"> </w:t>
            </w:r>
            <w:r w:rsidRPr="002029AF">
              <w:t>Planning</w:t>
            </w:r>
          </w:p>
        </w:tc>
        <w:tc>
          <w:tcPr>
            <w:tcW w:w="766" w:type="pct"/>
          </w:tcPr>
          <w:p w14:paraId="6509EA1C" w14:textId="524818A5" w:rsidR="00CF72D5" w:rsidRPr="002029AF" w:rsidRDefault="00CF72D5" w:rsidP="00A57FDC">
            <w:pPr>
              <w:pStyle w:val="ARtabletext"/>
            </w:pPr>
            <w:r w:rsidRPr="002029AF">
              <w:t>Deloitte</w:t>
            </w:r>
            <w:r w:rsidR="000A5329" w:rsidRPr="002029AF">
              <w:t xml:space="preserve"> </w:t>
            </w:r>
            <w:r w:rsidRPr="002029AF">
              <w:t>Touche</w:t>
            </w:r>
            <w:r w:rsidR="000A5329" w:rsidRPr="002029AF">
              <w:t xml:space="preserve"> </w:t>
            </w:r>
            <w:r w:rsidRPr="002029AF">
              <w:t>Tohmatsu</w:t>
            </w:r>
          </w:p>
        </w:tc>
        <w:tc>
          <w:tcPr>
            <w:tcW w:w="1173" w:type="pct"/>
          </w:tcPr>
          <w:p w14:paraId="48672FA7" w14:textId="36BFBFCD" w:rsidR="00CF72D5" w:rsidRPr="002029AF" w:rsidRDefault="00CF72D5" w:rsidP="00A57FDC">
            <w:pPr>
              <w:pStyle w:val="ARtabletext"/>
            </w:pPr>
            <w:r w:rsidRPr="002029AF">
              <w:t>Capital</w:t>
            </w:r>
            <w:r w:rsidR="000A5329" w:rsidRPr="002029AF">
              <w:t xml:space="preserve"> </w:t>
            </w:r>
            <w:r w:rsidRPr="002029AF">
              <w:t>planning,</w:t>
            </w:r>
            <w:r w:rsidR="000A5329" w:rsidRPr="002029AF">
              <w:t xml:space="preserve"> </w:t>
            </w:r>
            <w:r w:rsidRPr="002029AF">
              <w:t>Victorian</w:t>
            </w:r>
            <w:r w:rsidR="000A5329" w:rsidRPr="002029AF">
              <w:t xml:space="preserve"> </w:t>
            </w:r>
            <w:r w:rsidRPr="002029AF">
              <w:t>Health</w:t>
            </w:r>
            <w:r w:rsidR="000A5329" w:rsidRPr="002029AF">
              <w:t xml:space="preserve"> </w:t>
            </w:r>
            <w:r w:rsidRPr="002029AF">
              <w:t>and</w:t>
            </w:r>
            <w:r w:rsidR="000A5329" w:rsidRPr="002029AF">
              <w:t xml:space="preserve"> </w:t>
            </w:r>
            <w:r w:rsidRPr="002029AF">
              <w:t>Human</w:t>
            </w:r>
            <w:r w:rsidR="000A5329" w:rsidRPr="002029AF">
              <w:t xml:space="preserve"> </w:t>
            </w:r>
            <w:r w:rsidRPr="002029AF">
              <w:t>Services</w:t>
            </w:r>
            <w:r w:rsidR="000A5329" w:rsidRPr="002029AF">
              <w:t xml:space="preserve"> </w:t>
            </w:r>
            <w:r w:rsidRPr="002029AF">
              <w:t>Building</w:t>
            </w:r>
            <w:r w:rsidR="000A5329" w:rsidRPr="002029AF">
              <w:t xml:space="preserve"> </w:t>
            </w:r>
            <w:r w:rsidRPr="002029AF">
              <w:t>Authority</w:t>
            </w:r>
          </w:p>
        </w:tc>
        <w:tc>
          <w:tcPr>
            <w:tcW w:w="766" w:type="pct"/>
          </w:tcPr>
          <w:p w14:paraId="399C00B2" w14:textId="77777777" w:rsidR="00CF72D5" w:rsidRPr="002029AF" w:rsidRDefault="00CF72D5" w:rsidP="00A57FDC">
            <w:pPr>
              <w:pStyle w:val="ARtabletextright"/>
            </w:pPr>
            <w:r w:rsidRPr="002029AF">
              <w:t>209,261</w:t>
            </w:r>
          </w:p>
        </w:tc>
        <w:tc>
          <w:tcPr>
            <w:tcW w:w="766" w:type="pct"/>
          </w:tcPr>
          <w:p w14:paraId="30D37D23" w14:textId="77777777" w:rsidR="00CF72D5" w:rsidRPr="002029AF" w:rsidRDefault="00CF72D5" w:rsidP="00A57FDC">
            <w:pPr>
              <w:pStyle w:val="ARtabletextright"/>
            </w:pPr>
            <w:r w:rsidRPr="002029AF">
              <w:t>18,472</w:t>
            </w:r>
          </w:p>
        </w:tc>
        <w:tc>
          <w:tcPr>
            <w:tcW w:w="762" w:type="pct"/>
          </w:tcPr>
          <w:p w14:paraId="3C7484B4" w14:textId="77777777" w:rsidR="00CF72D5" w:rsidRPr="002029AF" w:rsidRDefault="00CF72D5" w:rsidP="00A57FDC">
            <w:pPr>
              <w:pStyle w:val="ARtabletextright"/>
            </w:pPr>
            <w:r w:rsidRPr="002029AF">
              <w:t>0</w:t>
            </w:r>
          </w:p>
        </w:tc>
      </w:tr>
      <w:tr w:rsidR="00CF72D5" w:rsidRPr="002029AF" w14:paraId="7C3BC23C" w14:textId="77777777" w:rsidTr="00457506">
        <w:tc>
          <w:tcPr>
            <w:tcW w:w="767" w:type="pct"/>
          </w:tcPr>
          <w:p w14:paraId="57737AC6" w14:textId="1C7D243C" w:rsidR="00CF72D5" w:rsidRPr="002029AF" w:rsidRDefault="00CF72D5" w:rsidP="00A57FDC">
            <w:pPr>
              <w:pStyle w:val="ARtabletext"/>
            </w:pPr>
            <w:r w:rsidRPr="002029AF">
              <w:t>Capital</w:t>
            </w:r>
            <w:r w:rsidR="000A5329" w:rsidRPr="002029AF">
              <w:t xml:space="preserve"> </w:t>
            </w:r>
            <w:r w:rsidRPr="002029AF">
              <w:t>Business</w:t>
            </w:r>
            <w:r w:rsidR="000A5329" w:rsidRPr="002029AF">
              <w:t xml:space="preserve"> </w:t>
            </w:r>
            <w:r w:rsidRPr="002029AF">
              <w:t>Case</w:t>
            </w:r>
            <w:r w:rsidR="000A5329" w:rsidRPr="002029AF">
              <w:t xml:space="preserve"> </w:t>
            </w:r>
            <w:r w:rsidRPr="002029AF">
              <w:t>&amp;</w:t>
            </w:r>
            <w:r w:rsidR="000A5329" w:rsidRPr="002029AF">
              <w:t xml:space="preserve"> </w:t>
            </w:r>
            <w:r w:rsidRPr="002029AF">
              <w:t>Planning</w:t>
            </w:r>
          </w:p>
        </w:tc>
        <w:tc>
          <w:tcPr>
            <w:tcW w:w="766" w:type="pct"/>
          </w:tcPr>
          <w:p w14:paraId="0439DBE5" w14:textId="4BF9533A" w:rsidR="00CF72D5" w:rsidRPr="002029AF" w:rsidRDefault="00CF72D5" w:rsidP="00A57FDC">
            <w:pPr>
              <w:pStyle w:val="ARtabletext"/>
            </w:pPr>
            <w:r w:rsidRPr="002029AF">
              <w:t>Solomon</w:t>
            </w:r>
            <w:r w:rsidR="000A5329" w:rsidRPr="002029AF">
              <w:t xml:space="preserve"> </w:t>
            </w:r>
            <w:r w:rsidRPr="002029AF">
              <w:t>Advisory</w:t>
            </w:r>
          </w:p>
        </w:tc>
        <w:tc>
          <w:tcPr>
            <w:tcW w:w="1173" w:type="pct"/>
          </w:tcPr>
          <w:p w14:paraId="3AB58B20" w14:textId="4FD64EBC" w:rsidR="00CF72D5" w:rsidRPr="002029AF" w:rsidRDefault="00CF72D5" w:rsidP="00A57FDC">
            <w:pPr>
              <w:pStyle w:val="ARtabletext"/>
            </w:pPr>
            <w:r w:rsidRPr="002029AF">
              <w:t>Mental</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Strategy</w:t>
            </w:r>
            <w:r w:rsidR="000A5329" w:rsidRPr="002029AF">
              <w:t xml:space="preserve"> </w:t>
            </w:r>
            <w:r w:rsidR="008667C8">
              <w:br/>
            </w:r>
            <w:r w:rsidRPr="002029AF">
              <w:t>201</w:t>
            </w:r>
            <w:r w:rsidR="00DB53E6" w:rsidRPr="002029AF">
              <w:t>8–</w:t>
            </w:r>
            <w:r w:rsidRPr="002029AF">
              <w:t>23,</w:t>
            </w:r>
            <w:r w:rsidR="000A5329" w:rsidRPr="002029AF">
              <w:t xml:space="preserve"> </w:t>
            </w:r>
            <w:r w:rsidRPr="002029AF">
              <w:t>Funding</w:t>
            </w:r>
            <w:r w:rsidR="000A5329" w:rsidRPr="002029AF">
              <w:t xml:space="preserve"> </w:t>
            </w:r>
            <w:r w:rsidRPr="002029AF">
              <w:t>Reform</w:t>
            </w:r>
          </w:p>
        </w:tc>
        <w:tc>
          <w:tcPr>
            <w:tcW w:w="766" w:type="pct"/>
          </w:tcPr>
          <w:p w14:paraId="61A72789" w14:textId="77777777" w:rsidR="00CF72D5" w:rsidRPr="002029AF" w:rsidRDefault="00CF72D5" w:rsidP="00A57FDC">
            <w:pPr>
              <w:pStyle w:val="ARtabletextright"/>
            </w:pPr>
            <w:r w:rsidRPr="002029AF">
              <w:t>228,760</w:t>
            </w:r>
          </w:p>
        </w:tc>
        <w:tc>
          <w:tcPr>
            <w:tcW w:w="766" w:type="pct"/>
          </w:tcPr>
          <w:p w14:paraId="64A49599" w14:textId="77777777" w:rsidR="00CF72D5" w:rsidRPr="002029AF" w:rsidRDefault="00CF72D5" w:rsidP="00A57FDC">
            <w:pPr>
              <w:pStyle w:val="ARtabletextright"/>
            </w:pPr>
            <w:r w:rsidRPr="002029AF">
              <w:t>128,884</w:t>
            </w:r>
          </w:p>
        </w:tc>
        <w:tc>
          <w:tcPr>
            <w:tcW w:w="762" w:type="pct"/>
          </w:tcPr>
          <w:p w14:paraId="190BFED4" w14:textId="77777777" w:rsidR="00CF72D5" w:rsidRPr="002029AF" w:rsidRDefault="00CF72D5" w:rsidP="00A57FDC">
            <w:pPr>
              <w:pStyle w:val="ARtabletextright"/>
            </w:pPr>
            <w:r w:rsidRPr="002029AF">
              <w:t>0</w:t>
            </w:r>
          </w:p>
        </w:tc>
      </w:tr>
      <w:tr w:rsidR="00CF72D5" w:rsidRPr="002029AF" w14:paraId="7EF5DFC9" w14:textId="77777777" w:rsidTr="00457506">
        <w:tc>
          <w:tcPr>
            <w:tcW w:w="767" w:type="pct"/>
          </w:tcPr>
          <w:p w14:paraId="1B9772FB" w14:textId="75145EDE" w:rsidR="00CF72D5" w:rsidRPr="002029AF" w:rsidRDefault="00CF72D5" w:rsidP="00A57FDC">
            <w:pPr>
              <w:pStyle w:val="ARtabletext"/>
            </w:pPr>
            <w:r w:rsidRPr="002029AF">
              <w:t>Information,</w:t>
            </w:r>
            <w:r w:rsidR="000A5329" w:rsidRPr="002029AF">
              <w:t xml:space="preserve"> </w:t>
            </w:r>
            <w:r w:rsidRPr="002029AF">
              <w:t>Data</w:t>
            </w:r>
            <w:r w:rsidR="000A5329" w:rsidRPr="002029AF">
              <w:t xml:space="preserve"> </w:t>
            </w:r>
            <w:r w:rsidRPr="002029AF">
              <w:t>&amp;</w:t>
            </w:r>
            <w:r w:rsidR="000A5329" w:rsidRPr="002029AF">
              <w:t xml:space="preserve"> </w:t>
            </w:r>
            <w:r w:rsidRPr="002029AF">
              <w:t>Technology</w:t>
            </w:r>
          </w:p>
        </w:tc>
        <w:tc>
          <w:tcPr>
            <w:tcW w:w="766" w:type="pct"/>
          </w:tcPr>
          <w:p w14:paraId="1C22D257" w14:textId="5C190EE8" w:rsidR="00CF72D5" w:rsidRPr="002029AF" w:rsidRDefault="00CF72D5" w:rsidP="00A57FDC">
            <w:pPr>
              <w:pStyle w:val="ARtabletext"/>
            </w:pPr>
            <w:r w:rsidRPr="002029AF">
              <w:t>Third</w:t>
            </w:r>
            <w:r w:rsidR="000A5329" w:rsidRPr="002029AF">
              <w:t xml:space="preserve"> </w:t>
            </w:r>
            <w:r w:rsidRPr="002029AF">
              <w:t>Horizon</w:t>
            </w:r>
            <w:r w:rsidR="000A5329" w:rsidRPr="002029AF">
              <w:t xml:space="preserve"> </w:t>
            </w:r>
            <w:r w:rsidRPr="002029AF">
              <w:t>Consulting</w:t>
            </w:r>
            <w:r w:rsidR="000A5329" w:rsidRPr="002029AF">
              <w:t xml:space="preserve"> </w:t>
            </w:r>
            <w:r w:rsidRPr="002029AF">
              <w:t>Pty</w:t>
            </w:r>
            <w:r w:rsidR="000A5329" w:rsidRPr="002029AF">
              <w:t xml:space="preserve"> </w:t>
            </w:r>
            <w:r w:rsidRPr="002029AF">
              <w:t>Ltd</w:t>
            </w:r>
          </w:p>
        </w:tc>
        <w:tc>
          <w:tcPr>
            <w:tcW w:w="1173" w:type="pct"/>
          </w:tcPr>
          <w:p w14:paraId="7EEC0E32" w14:textId="350CC99F" w:rsidR="00CF72D5" w:rsidRPr="002029AF" w:rsidRDefault="00CF72D5" w:rsidP="00A57FDC">
            <w:pPr>
              <w:pStyle w:val="ARtabletext"/>
            </w:pPr>
            <w:r w:rsidRPr="002029AF">
              <w:t>Development,</w:t>
            </w:r>
            <w:r w:rsidR="000A5329" w:rsidRPr="002029AF">
              <w:t xml:space="preserve"> </w:t>
            </w:r>
            <w:r w:rsidRPr="002029AF">
              <w:t>SAP</w:t>
            </w:r>
            <w:r w:rsidR="000A5329" w:rsidRPr="002029AF">
              <w:t xml:space="preserve"> </w:t>
            </w:r>
            <w:r w:rsidRPr="002029AF">
              <w:t>Future</w:t>
            </w:r>
            <w:r w:rsidR="000A5329" w:rsidRPr="002029AF">
              <w:t xml:space="preserve"> </w:t>
            </w:r>
            <w:r w:rsidRPr="002029AF">
              <w:t>Directions</w:t>
            </w:r>
            <w:r w:rsidR="000A5329" w:rsidRPr="002029AF">
              <w:t xml:space="preserve"> </w:t>
            </w:r>
            <w:r w:rsidRPr="002029AF">
              <w:t>Strategy</w:t>
            </w:r>
            <w:r w:rsidR="000A5329" w:rsidRPr="002029AF">
              <w:t xml:space="preserve"> </w:t>
            </w:r>
            <w:r w:rsidRPr="002029AF">
              <w:t>Project</w:t>
            </w:r>
          </w:p>
        </w:tc>
        <w:tc>
          <w:tcPr>
            <w:tcW w:w="766" w:type="pct"/>
          </w:tcPr>
          <w:p w14:paraId="40E99604" w14:textId="77777777" w:rsidR="00CF72D5" w:rsidRPr="002029AF" w:rsidRDefault="00CF72D5" w:rsidP="00A57FDC">
            <w:pPr>
              <w:pStyle w:val="ARtabletextright"/>
            </w:pPr>
            <w:r w:rsidRPr="002029AF">
              <w:t>279,024</w:t>
            </w:r>
          </w:p>
        </w:tc>
        <w:tc>
          <w:tcPr>
            <w:tcW w:w="766" w:type="pct"/>
          </w:tcPr>
          <w:p w14:paraId="5C2CE90C" w14:textId="77777777" w:rsidR="00CF72D5" w:rsidRPr="002029AF" w:rsidRDefault="00CF72D5" w:rsidP="00A57FDC">
            <w:pPr>
              <w:pStyle w:val="ARtabletextright"/>
            </w:pPr>
            <w:r w:rsidRPr="002029AF">
              <w:t>120,224</w:t>
            </w:r>
          </w:p>
        </w:tc>
        <w:tc>
          <w:tcPr>
            <w:tcW w:w="762" w:type="pct"/>
          </w:tcPr>
          <w:p w14:paraId="41F56A25" w14:textId="77777777" w:rsidR="00CF72D5" w:rsidRPr="002029AF" w:rsidRDefault="00CF72D5" w:rsidP="00A57FDC">
            <w:pPr>
              <w:pStyle w:val="ARtabletextright"/>
            </w:pPr>
            <w:r w:rsidRPr="002029AF">
              <w:t>0</w:t>
            </w:r>
          </w:p>
        </w:tc>
      </w:tr>
      <w:tr w:rsidR="00CF72D5" w:rsidRPr="002029AF" w14:paraId="17C0F839" w14:textId="77777777" w:rsidTr="00457506">
        <w:tc>
          <w:tcPr>
            <w:tcW w:w="767" w:type="pct"/>
          </w:tcPr>
          <w:p w14:paraId="399713C3" w14:textId="7EA0674C" w:rsidR="00CF72D5" w:rsidRPr="002029AF" w:rsidRDefault="00CF72D5" w:rsidP="00A57FDC">
            <w:pPr>
              <w:pStyle w:val="ARtabletext"/>
            </w:pPr>
            <w:r w:rsidRPr="002029AF">
              <w:lastRenderedPageBreak/>
              <w:t>Information,</w:t>
            </w:r>
            <w:r w:rsidR="000A5329" w:rsidRPr="002029AF">
              <w:t xml:space="preserve"> </w:t>
            </w:r>
            <w:r w:rsidRPr="002029AF">
              <w:t>Data</w:t>
            </w:r>
            <w:r w:rsidR="000A5329" w:rsidRPr="002029AF">
              <w:t xml:space="preserve"> </w:t>
            </w:r>
            <w:r w:rsidRPr="002029AF">
              <w:t>&amp;</w:t>
            </w:r>
            <w:r w:rsidR="000A5329" w:rsidRPr="002029AF">
              <w:t xml:space="preserve"> </w:t>
            </w:r>
            <w:r w:rsidRPr="002029AF">
              <w:t>Technology</w:t>
            </w:r>
          </w:p>
        </w:tc>
        <w:tc>
          <w:tcPr>
            <w:tcW w:w="766" w:type="pct"/>
          </w:tcPr>
          <w:p w14:paraId="73DDEF7C" w14:textId="545E2C3B" w:rsidR="00CF72D5" w:rsidRPr="002029AF" w:rsidRDefault="00CF72D5" w:rsidP="00A57FDC">
            <w:pPr>
              <w:pStyle w:val="ARtabletext"/>
            </w:pPr>
            <w:r w:rsidRPr="002029AF">
              <w:t>Ernst</w:t>
            </w:r>
            <w:r w:rsidR="000A5329" w:rsidRPr="002029AF">
              <w:t xml:space="preserve"> </w:t>
            </w:r>
            <w:r w:rsidRPr="002029AF">
              <w:t>&amp;</w:t>
            </w:r>
            <w:r w:rsidR="000A5329" w:rsidRPr="002029AF">
              <w:t xml:space="preserve"> </w:t>
            </w:r>
            <w:r w:rsidRPr="002029AF">
              <w:t>Young</w:t>
            </w:r>
            <w:r w:rsidR="000A5329" w:rsidRPr="002029AF">
              <w:t xml:space="preserve"> </w:t>
            </w:r>
            <w:r w:rsidRPr="002029AF">
              <w:t>Services</w:t>
            </w:r>
            <w:r w:rsidR="000A5329" w:rsidRPr="002029AF">
              <w:t xml:space="preserve"> </w:t>
            </w:r>
            <w:r w:rsidRPr="002029AF">
              <w:t>Pty</w:t>
            </w:r>
            <w:r w:rsidR="000A5329" w:rsidRPr="002029AF">
              <w:t xml:space="preserve"> </w:t>
            </w:r>
            <w:r w:rsidRPr="002029AF">
              <w:t>Ltd</w:t>
            </w:r>
          </w:p>
        </w:tc>
        <w:tc>
          <w:tcPr>
            <w:tcW w:w="1173" w:type="pct"/>
          </w:tcPr>
          <w:p w14:paraId="24396B79" w14:textId="4F07A256" w:rsidR="00CF72D5" w:rsidRPr="002029AF" w:rsidRDefault="00CF72D5" w:rsidP="00A57FDC">
            <w:pPr>
              <w:pStyle w:val="ARtabletext"/>
            </w:pPr>
            <w:r w:rsidRPr="002029AF">
              <w:t>Review,</w:t>
            </w:r>
            <w:r w:rsidR="000A5329" w:rsidRPr="002029AF">
              <w:t xml:space="preserve"> </w:t>
            </w:r>
            <w:r w:rsidRPr="002029AF">
              <w:t>Housing</w:t>
            </w:r>
            <w:r w:rsidR="000A5329" w:rsidRPr="002029AF">
              <w:t xml:space="preserve"> </w:t>
            </w:r>
            <w:r w:rsidRPr="002029AF">
              <w:t>Financial</w:t>
            </w:r>
            <w:r w:rsidR="000A5329" w:rsidRPr="002029AF">
              <w:t xml:space="preserve"> </w:t>
            </w:r>
            <w:r w:rsidRPr="002029AF">
              <w:t>Systems</w:t>
            </w:r>
            <w:r w:rsidR="000A5329" w:rsidRPr="002029AF">
              <w:t xml:space="preserve"> </w:t>
            </w:r>
            <w:r w:rsidRPr="002029AF">
              <w:t>and</w:t>
            </w:r>
            <w:r w:rsidR="000A5329" w:rsidRPr="002029AF">
              <w:t xml:space="preserve"> </w:t>
            </w:r>
            <w:r w:rsidRPr="002029AF">
              <w:t>Management</w:t>
            </w:r>
          </w:p>
        </w:tc>
        <w:tc>
          <w:tcPr>
            <w:tcW w:w="766" w:type="pct"/>
          </w:tcPr>
          <w:p w14:paraId="49DCCB83" w14:textId="77777777" w:rsidR="00CF72D5" w:rsidRPr="002029AF" w:rsidRDefault="00CF72D5" w:rsidP="00A57FDC">
            <w:pPr>
              <w:pStyle w:val="ARtabletextright"/>
            </w:pPr>
            <w:r w:rsidRPr="002029AF">
              <w:t>228,800</w:t>
            </w:r>
          </w:p>
        </w:tc>
        <w:tc>
          <w:tcPr>
            <w:tcW w:w="766" w:type="pct"/>
          </w:tcPr>
          <w:p w14:paraId="3678302A" w14:textId="77777777" w:rsidR="00CF72D5" w:rsidRPr="002029AF" w:rsidRDefault="00CF72D5" w:rsidP="00A57FDC">
            <w:pPr>
              <w:pStyle w:val="ARtabletextright"/>
            </w:pPr>
            <w:r w:rsidRPr="002029AF">
              <w:t>101,400</w:t>
            </w:r>
          </w:p>
        </w:tc>
        <w:tc>
          <w:tcPr>
            <w:tcW w:w="762" w:type="pct"/>
          </w:tcPr>
          <w:p w14:paraId="3BDC915A" w14:textId="77777777" w:rsidR="00CF72D5" w:rsidRPr="002029AF" w:rsidRDefault="00CF72D5" w:rsidP="00A57FDC">
            <w:pPr>
              <w:pStyle w:val="ARtabletextright"/>
            </w:pPr>
            <w:r w:rsidRPr="002029AF">
              <w:t>127,400</w:t>
            </w:r>
          </w:p>
        </w:tc>
      </w:tr>
      <w:tr w:rsidR="00CF72D5" w:rsidRPr="002029AF" w14:paraId="4C1DBF41" w14:textId="77777777" w:rsidTr="00457506">
        <w:tc>
          <w:tcPr>
            <w:tcW w:w="767" w:type="pct"/>
          </w:tcPr>
          <w:p w14:paraId="60FF63F8" w14:textId="3FC01262" w:rsidR="00CF72D5" w:rsidRPr="002029AF" w:rsidRDefault="00CF72D5" w:rsidP="00A57FDC">
            <w:pPr>
              <w:pStyle w:val="ARtabletext"/>
            </w:pPr>
            <w:r w:rsidRPr="002029AF">
              <w:t>Information,</w:t>
            </w:r>
            <w:r w:rsidR="000A5329" w:rsidRPr="002029AF">
              <w:t xml:space="preserve"> </w:t>
            </w:r>
            <w:r w:rsidRPr="002029AF">
              <w:t>Data</w:t>
            </w:r>
            <w:r w:rsidR="000A5329" w:rsidRPr="002029AF">
              <w:t xml:space="preserve"> </w:t>
            </w:r>
            <w:r w:rsidRPr="002029AF">
              <w:t>&amp;</w:t>
            </w:r>
            <w:r w:rsidR="000A5329" w:rsidRPr="002029AF">
              <w:t xml:space="preserve"> </w:t>
            </w:r>
            <w:r w:rsidRPr="002029AF">
              <w:t>Technology</w:t>
            </w:r>
          </w:p>
        </w:tc>
        <w:tc>
          <w:tcPr>
            <w:tcW w:w="766" w:type="pct"/>
          </w:tcPr>
          <w:p w14:paraId="40AB02F3" w14:textId="6753D4D2" w:rsidR="00CF72D5" w:rsidRPr="002029AF" w:rsidRDefault="00CF72D5" w:rsidP="00A57FDC">
            <w:pPr>
              <w:pStyle w:val="ARtabletext"/>
            </w:pPr>
            <w:r w:rsidRPr="002029AF">
              <w:t>Ernst</w:t>
            </w:r>
            <w:r w:rsidR="000A5329" w:rsidRPr="002029AF">
              <w:t xml:space="preserve"> </w:t>
            </w:r>
            <w:r w:rsidRPr="002029AF">
              <w:t>&amp;</w:t>
            </w:r>
            <w:r w:rsidR="000A5329" w:rsidRPr="002029AF">
              <w:t xml:space="preserve"> </w:t>
            </w:r>
            <w:r w:rsidRPr="002029AF">
              <w:t>Young</w:t>
            </w:r>
            <w:r w:rsidR="000A5329" w:rsidRPr="002029AF">
              <w:t xml:space="preserve"> </w:t>
            </w:r>
            <w:r w:rsidRPr="002029AF">
              <w:t>Services</w:t>
            </w:r>
            <w:r w:rsidR="000A5329" w:rsidRPr="002029AF">
              <w:t xml:space="preserve"> </w:t>
            </w:r>
            <w:r w:rsidRPr="002029AF">
              <w:t>Pty</w:t>
            </w:r>
            <w:r w:rsidR="000A5329" w:rsidRPr="002029AF">
              <w:t xml:space="preserve"> </w:t>
            </w:r>
            <w:r w:rsidRPr="002029AF">
              <w:t>Ltd</w:t>
            </w:r>
          </w:p>
        </w:tc>
        <w:tc>
          <w:tcPr>
            <w:tcW w:w="1173" w:type="pct"/>
          </w:tcPr>
          <w:p w14:paraId="7B9D06A8" w14:textId="43C738C5" w:rsidR="00CF72D5" w:rsidRPr="002029AF" w:rsidRDefault="00CF72D5" w:rsidP="00A57FDC">
            <w:pPr>
              <w:pStyle w:val="ARtabletext"/>
            </w:pPr>
            <w:r w:rsidRPr="002029AF">
              <w:t>Strategy,</w:t>
            </w:r>
            <w:r w:rsidR="000A5329" w:rsidRPr="002029AF">
              <w:t xml:space="preserve"> </w:t>
            </w:r>
            <w:r w:rsidRPr="002029AF">
              <w:t>IT</w:t>
            </w:r>
            <w:r w:rsidR="000A5329" w:rsidRPr="002029AF">
              <w:t xml:space="preserve"> </w:t>
            </w:r>
            <w:r w:rsidRPr="002029AF">
              <w:t>Resilience</w:t>
            </w:r>
          </w:p>
        </w:tc>
        <w:tc>
          <w:tcPr>
            <w:tcW w:w="766" w:type="pct"/>
          </w:tcPr>
          <w:p w14:paraId="521547D4" w14:textId="77777777" w:rsidR="00CF72D5" w:rsidRPr="002029AF" w:rsidRDefault="00CF72D5" w:rsidP="00A57FDC">
            <w:pPr>
              <w:pStyle w:val="ARtabletextright"/>
            </w:pPr>
            <w:r w:rsidRPr="002029AF">
              <w:t>550,000</w:t>
            </w:r>
          </w:p>
        </w:tc>
        <w:tc>
          <w:tcPr>
            <w:tcW w:w="766" w:type="pct"/>
          </w:tcPr>
          <w:p w14:paraId="15715FF8" w14:textId="77777777" w:rsidR="00CF72D5" w:rsidRPr="002029AF" w:rsidRDefault="00CF72D5" w:rsidP="00A57FDC">
            <w:pPr>
              <w:pStyle w:val="ARtabletextright"/>
            </w:pPr>
            <w:r w:rsidRPr="002029AF">
              <w:t>285,581</w:t>
            </w:r>
          </w:p>
        </w:tc>
        <w:tc>
          <w:tcPr>
            <w:tcW w:w="762" w:type="pct"/>
          </w:tcPr>
          <w:p w14:paraId="397B594D" w14:textId="77777777" w:rsidR="00CF72D5" w:rsidRPr="002029AF" w:rsidRDefault="00CF72D5" w:rsidP="00A57FDC">
            <w:pPr>
              <w:pStyle w:val="ARtabletextright"/>
            </w:pPr>
            <w:r w:rsidRPr="002029AF">
              <w:t>264,419</w:t>
            </w:r>
          </w:p>
        </w:tc>
      </w:tr>
      <w:tr w:rsidR="00CF72D5" w:rsidRPr="002029AF" w14:paraId="33AC9DDB" w14:textId="77777777" w:rsidTr="00457506">
        <w:tc>
          <w:tcPr>
            <w:tcW w:w="767" w:type="pct"/>
          </w:tcPr>
          <w:p w14:paraId="2C3F0A1D" w14:textId="2D767CDC" w:rsidR="00CF72D5" w:rsidRPr="002029AF" w:rsidRDefault="00CF72D5" w:rsidP="00A57FDC">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tcPr>
          <w:p w14:paraId="0973CAC9" w14:textId="5BBB6EEF" w:rsidR="00CF72D5" w:rsidRPr="002029AF" w:rsidRDefault="00CF72D5" w:rsidP="00A57FDC">
            <w:pPr>
              <w:pStyle w:val="ARtabletext"/>
            </w:pPr>
            <w:r w:rsidRPr="002029AF">
              <w:t>Christopher</w:t>
            </w:r>
            <w:r w:rsidR="000A5329" w:rsidRPr="002029AF">
              <w:t xml:space="preserve"> </w:t>
            </w:r>
            <w:r w:rsidRPr="002029AF">
              <w:t>William</w:t>
            </w:r>
            <w:r w:rsidR="000A5329" w:rsidRPr="002029AF">
              <w:t xml:space="preserve"> </w:t>
            </w:r>
            <w:r w:rsidRPr="002029AF">
              <w:t>Brook</w:t>
            </w:r>
          </w:p>
        </w:tc>
        <w:tc>
          <w:tcPr>
            <w:tcW w:w="1173" w:type="pct"/>
          </w:tcPr>
          <w:p w14:paraId="3A37491A" w14:textId="7ADD8124" w:rsidR="00CF72D5" w:rsidRPr="002029AF" w:rsidRDefault="00CF72D5" w:rsidP="00A57FDC">
            <w:pPr>
              <w:pStyle w:val="ARtabletext"/>
            </w:pPr>
            <w:r w:rsidRPr="002029AF">
              <w:t>Advisory</w:t>
            </w:r>
            <w:r w:rsidR="000A5329" w:rsidRPr="002029AF">
              <w:t xml:space="preserve"> </w:t>
            </w:r>
            <w:r w:rsidRPr="002029AF">
              <w:t>services,</w:t>
            </w:r>
            <w:r w:rsidR="000A5329" w:rsidRPr="002029AF">
              <w:t xml:space="preserve"> </w:t>
            </w:r>
            <w:r w:rsidRPr="002029AF">
              <w:t>Health</w:t>
            </w:r>
            <w:r w:rsidR="000A5329" w:rsidRPr="002029AF">
              <w:t xml:space="preserve"> </w:t>
            </w:r>
            <w:r w:rsidRPr="002029AF">
              <w:t>systems</w:t>
            </w:r>
          </w:p>
        </w:tc>
        <w:tc>
          <w:tcPr>
            <w:tcW w:w="766" w:type="pct"/>
          </w:tcPr>
          <w:p w14:paraId="75FC3A3E" w14:textId="77777777" w:rsidR="00CF72D5" w:rsidRPr="002029AF" w:rsidRDefault="00CF72D5" w:rsidP="00A57FDC">
            <w:pPr>
              <w:pStyle w:val="ARtabletextright"/>
            </w:pPr>
            <w:r w:rsidRPr="002029AF">
              <w:t>160,255</w:t>
            </w:r>
          </w:p>
        </w:tc>
        <w:tc>
          <w:tcPr>
            <w:tcW w:w="766" w:type="pct"/>
          </w:tcPr>
          <w:p w14:paraId="68534785" w14:textId="77777777" w:rsidR="00CF72D5" w:rsidRPr="002029AF" w:rsidRDefault="00CF72D5" w:rsidP="00A57FDC">
            <w:pPr>
              <w:pStyle w:val="ARtabletextright"/>
            </w:pPr>
            <w:r w:rsidRPr="002029AF">
              <w:t>47,768</w:t>
            </w:r>
          </w:p>
        </w:tc>
        <w:tc>
          <w:tcPr>
            <w:tcW w:w="762" w:type="pct"/>
          </w:tcPr>
          <w:p w14:paraId="5DEBA1D7" w14:textId="77777777" w:rsidR="00CF72D5" w:rsidRPr="002029AF" w:rsidRDefault="00CF72D5" w:rsidP="00A57FDC">
            <w:pPr>
              <w:pStyle w:val="ARtabletextright"/>
            </w:pPr>
            <w:r w:rsidRPr="002029AF">
              <w:t>46,227</w:t>
            </w:r>
          </w:p>
        </w:tc>
      </w:tr>
      <w:tr w:rsidR="00CF72D5" w:rsidRPr="002029AF" w14:paraId="64A307C1" w14:textId="77777777" w:rsidTr="00457506">
        <w:tc>
          <w:tcPr>
            <w:tcW w:w="767" w:type="pct"/>
          </w:tcPr>
          <w:p w14:paraId="0030B1DB" w14:textId="57D4BACA" w:rsidR="00CF72D5" w:rsidRPr="002029AF" w:rsidRDefault="00CF72D5" w:rsidP="00A57FDC">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tcPr>
          <w:p w14:paraId="6723C31F" w14:textId="1367A87D" w:rsidR="00CF72D5" w:rsidRPr="002029AF" w:rsidRDefault="00CF72D5" w:rsidP="00A57FDC">
            <w:pPr>
              <w:pStyle w:val="ARtabletext"/>
            </w:pPr>
            <w:r w:rsidRPr="002029AF">
              <w:t>Tim</w:t>
            </w:r>
            <w:r w:rsidR="000A5329" w:rsidRPr="002029AF">
              <w:t xml:space="preserve"> </w:t>
            </w:r>
            <w:r w:rsidRPr="002029AF">
              <w:t>Bamford</w:t>
            </w:r>
            <w:r w:rsidR="000A5329" w:rsidRPr="002029AF">
              <w:t xml:space="preserve"> </w:t>
            </w:r>
            <w:r w:rsidRPr="002029AF">
              <w:t>Consulting</w:t>
            </w:r>
            <w:r w:rsidR="000A5329" w:rsidRPr="002029AF">
              <w:t xml:space="preserve"> </w:t>
            </w:r>
            <w:r w:rsidRPr="002029AF">
              <w:t>Pty</w:t>
            </w:r>
            <w:r w:rsidR="000A5329" w:rsidRPr="002029AF">
              <w:t xml:space="preserve"> </w:t>
            </w:r>
            <w:r w:rsidRPr="002029AF">
              <w:t>Ltd</w:t>
            </w:r>
          </w:p>
        </w:tc>
        <w:tc>
          <w:tcPr>
            <w:tcW w:w="1173" w:type="pct"/>
          </w:tcPr>
          <w:p w14:paraId="62016EAD" w14:textId="3001E6B5" w:rsidR="00CF72D5" w:rsidRPr="002029AF" w:rsidRDefault="00CF72D5" w:rsidP="00A57FDC">
            <w:pPr>
              <w:pStyle w:val="ARtabletext"/>
            </w:pPr>
            <w:r w:rsidRPr="002029AF">
              <w:t>Advisory</w:t>
            </w:r>
            <w:r w:rsidR="000A5329" w:rsidRPr="002029AF">
              <w:t xml:space="preserve"> </w:t>
            </w:r>
            <w:r w:rsidRPr="002029AF">
              <w:t>services,</w:t>
            </w:r>
            <w:r w:rsidR="000A5329" w:rsidRPr="002029AF">
              <w:t xml:space="preserve"> </w:t>
            </w:r>
            <w:r w:rsidRPr="002029AF">
              <w:t>Health</w:t>
            </w:r>
            <w:r w:rsidR="000A5329" w:rsidRPr="002029AF">
              <w:t xml:space="preserve"> </w:t>
            </w:r>
            <w:r w:rsidRPr="002029AF">
              <w:t>and</w:t>
            </w:r>
            <w:r w:rsidR="000A5329" w:rsidRPr="002029AF">
              <w:t xml:space="preserve"> </w:t>
            </w:r>
            <w:r w:rsidRPr="002029AF">
              <w:t>Human</w:t>
            </w:r>
            <w:r w:rsidR="000A5329" w:rsidRPr="002029AF">
              <w:t xml:space="preserve"> </w:t>
            </w:r>
            <w:r w:rsidRPr="002029AF">
              <w:t>Services</w:t>
            </w:r>
            <w:r w:rsidR="000A5329" w:rsidRPr="002029AF">
              <w:t xml:space="preserve"> </w:t>
            </w:r>
            <w:r w:rsidRPr="002029AF">
              <w:t>Building</w:t>
            </w:r>
            <w:r w:rsidR="000A5329" w:rsidRPr="002029AF">
              <w:t xml:space="preserve"> </w:t>
            </w:r>
            <w:r w:rsidRPr="002029AF">
              <w:t>Authority</w:t>
            </w:r>
            <w:r w:rsidR="000A5329" w:rsidRPr="002029AF">
              <w:t xml:space="preserve"> </w:t>
            </w:r>
          </w:p>
        </w:tc>
        <w:tc>
          <w:tcPr>
            <w:tcW w:w="766" w:type="pct"/>
          </w:tcPr>
          <w:p w14:paraId="6BFFD915" w14:textId="77777777" w:rsidR="00CF72D5" w:rsidRPr="002029AF" w:rsidRDefault="00CF72D5" w:rsidP="00A57FDC">
            <w:pPr>
              <w:pStyle w:val="ARtabletextright"/>
            </w:pPr>
            <w:r w:rsidRPr="002029AF">
              <w:t>147,840</w:t>
            </w:r>
          </w:p>
        </w:tc>
        <w:tc>
          <w:tcPr>
            <w:tcW w:w="766" w:type="pct"/>
          </w:tcPr>
          <w:p w14:paraId="5137EC98" w14:textId="77777777" w:rsidR="00CF72D5" w:rsidRPr="002029AF" w:rsidRDefault="00CF72D5" w:rsidP="00A57FDC">
            <w:pPr>
              <w:pStyle w:val="ARtabletextright"/>
            </w:pPr>
            <w:r w:rsidRPr="002029AF">
              <w:t>11,550</w:t>
            </w:r>
          </w:p>
        </w:tc>
        <w:tc>
          <w:tcPr>
            <w:tcW w:w="762" w:type="pct"/>
          </w:tcPr>
          <w:p w14:paraId="697C67B2" w14:textId="77777777" w:rsidR="00CF72D5" w:rsidRPr="002029AF" w:rsidRDefault="00CF72D5" w:rsidP="00A57FDC">
            <w:pPr>
              <w:pStyle w:val="ARtabletextright"/>
            </w:pPr>
            <w:r w:rsidRPr="002029AF">
              <w:t>136,290</w:t>
            </w:r>
          </w:p>
        </w:tc>
      </w:tr>
      <w:tr w:rsidR="00CF72D5" w:rsidRPr="002029AF" w14:paraId="62846A26" w14:textId="77777777" w:rsidTr="00457506">
        <w:tc>
          <w:tcPr>
            <w:tcW w:w="767" w:type="pct"/>
          </w:tcPr>
          <w:p w14:paraId="5D6D6D20" w14:textId="62D4DD7F" w:rsidR="00CF72D5" w:rsidRPr="002029AF" w:rsidRDefault="00CF72D5" w:rsidP="00A57FDC">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tcPr>
          <w:p w14:paraId="4A0041B0" w14:textId="5CAC19BE" w:rsidR="00CF72D5" w:rsidRPr="002029AF" w:rsidRDefault="00CF72D5" w:rsidP="00A57FDC">
            <w:pPr>
              <w:pStyle w:val="ARtabletext"/>
            </w:pPr>
            <w:r w:rsidRPr="002029AF">
              <w:t>Ernst</w:t>
            </w:r>
            <w:r w:rsidR="000A5329" w:rsidRPr="002029AF">
              <w:t xml:space="preserve"> </w:t>
            </w:r>
            <w:r w:rsidRPr="002029AF">
              <w:t>&amp;</w:t>
            </w:r>
            <w:r w:rsidR="000A5329" w:rsidRPr="002029AF">
              <w:t xml:space="preserve"> </w:t>
            </w:r>
            <w:r w:rsidRPr="002029AF">
              <w:t>Young</w:t>
            </w:r>
            <w:r w:rsidR="000A5329" w:rsidRPr="002029AF">
              <w:t xml:space="preserve"> </w:t>
            </w:r>
            <w:r w:rsidRPr="002029AF">
              <w:t>Services</w:t>
            </w:r>
            <w:r w:rsidR="000A5329" w:rsidRPr="002029AF">
              <w:t xml:space="preserve"> </w:t>
            </w:r>
            <w:r w:rsidRPr="002029AF">
              <w:t>Pty</w:t>
            </w:r>
            <w:r w:rsidR="000A5329" w:rsidRPr="002029AF">
              <w:t xml:space="preserve"> </w:t>
            </w:r>
            <w:r w:rsidRPr="002029AF">
              <w:t>Ltd</w:t>
            </w:r>
          </w:p>
        </w:tc>
        <w:tc>
          <w:tcPr>
            <w:tcW w:w="1173" w:type="pct"/>
          </w:tcPr>
          <w:p w14:paraId="06E4C758" w14:textId="31B8A2FB" w:rsidR="00CF72D5" w:rsidRPr="002029AF" w:rsidRDefault="00CF72D5" w:rsidP="00A57FDC">
            <w:pPr>
              <w:pStyle w:val="ARtabletext"/>
            </w:pPr>
            <w:r w:rsidRPr="002029AF">
              <w:t>Review</w:t>
            </w:r>
            <w:r w:rsidR="000A5329" w:rsidRPr="002029AF">
              <w:t xml:space="preserve"> </w:t>
            </w:r>
            <w:r w:rsidRPr="002029AF">
              <w:t>and</w:t>
            </w:r>
            <w:r w:rsidR="000A5329" w:rsidRPr="002029AF">
              <w:t xml:space="preserve"> </w:t>
            </w:r>
            <w:r w:rsidRPr="002029AF">
              <w:t>support</w:t>
            </w:r>
            <w:r w:rsidR="000A5329" w:rsidRPr="002029AF">
              <w:t xml:space="preserve"> </w:t>
            </w:r>
            <w:r w:rsidRPr="002029AF">
              <w:t>for</w:t>
            </w:r>
            <w:r w:rsidR="000A5329" w:rsidRPr="002029AF">
              <w:t xml:space="preserve"> </w:t>
            </w:r>
            <w:r w:rsidRPr="002029AF">
              <w:t>Koori</w:t>
            </w:r>
            <w:r w:rsidR="000A5329" w:rsidRPr="002029AF">
              <w:t xml:space="preserve"> </w:t>
            </w:r>
            <w:r w:rsidRPr="002029AF">
              <w:t>Youth</w:t>
            </w:r>
            <w:r w:rsidR="000A5329" w:rsidRPr="002029AF">
              <w:t xml:space="preserve"> </w:t>
            </w:r>
            <w:r w:rsidRPr="002029AF">
              <w:t>Justice</w:t>
            </w:r>
            <w:r w:rsidR="000A5329" w:rsidRPr="002029AF">
              <w:t xml:space="preserve"> </w:t>
            </w:r>
            <w:r w:rsidRPr="002029AF">
              <w:t>Taskforce</w:t>
            </w:r>
          </w:p>
        </w:tc>
        <w:tc>
          <w:tcPr>
            <w:tcW w:w="766" w:type="pct"/>
          </w:tcPr>
          <w:p w14:paraId="11C03C9C" w14:textId="77777777" w:rsidR="00CF72D5" w:rsidRPr="002029AF" w:rsidRDefault="00CF72D5" w:rsidP="00A57FDC">
            <w:pPr>
              <w:pStyle w:val="ARtabletextright"/>
            </w:pPr>
            <w:r w:rsidRPr="002029AF">
              <w:t>60,928</w:t>
            </w:r>
          </w:p>
        </w:tc>
        <w:tc>
          <w:tcPr>
            <w:tcW w:w="766" w:type="pct"/>
          </w:tcPr>
          <w:p w14:paraId="16E1E4A5" w14:textId="77777777" w:rsidR="00CF72D5" w:rsidRPr="002029AF" w:rsidRDefault="00CF72D5" w:rsidP="00A57FDC">
            <w:pPr>
              <w:pStyle w:val="ARtabletextright"/>
            </w:pPr>
            <w:r w:rsidRPr="002029AF">
              <w:t>58,969</w:t>
            </w:r>
          </w:p>
        </w:tc>
        <w:tc>
          <w:tcPr>
            <w:tcW w:w="762" w:type="pct"/>
          </w:tcPr>
          <w:p w14:paraId="730D5BB7" w14:textId="77777777" w:rsidR="00CF72D5" w:rsidRPr="002029AF" w:rsidRDefault="00CF72D5" w:rsidP="00A57FDC">
            <w:pPr>
              <w:pStyle w:val="ARtabletextright"/>
            </w:pPr>
            <w:r w:rsidRPr="002029AF">
              <w:t>1,959</w:t>
            </w:r>
          </w:p>
        </w:tc>
      </w:tr>
      <w:tr w:rsidR="00CF72D5" w:rsidRPr="002029AF" w14:paraId="0E3A03EA" w14:textId="77777777" w:rsidTr="00457506">
        <w:tc>
          <w:tcPr>
            <w:tcW w:w="767" w:type="pct"/>
          </w:tcPr>
          <w:p w14:paraId="0CE91896" w14:textId="01FEC22A" w:rsidR="00CF72D5" w:rsidRPr="002029AF" w:rsidRDefault="00CF72D5" w:rsidP="00A57FDC">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tcPr>
          <w:p w14:paraId="6560F1BB" w14:textId="77777777" w:rsidR="00CF72D5" w:rsidRPr="002029AF" w:rsidRDefault="00CF72D5" w:rsidP="00A57FDC">
            <w:pPr>
              <w:pStyle w:val="ARtabletext"/>
            </w:pPr>
            <w:r w:rsidRPr="002029AF">
              <w:t>KPMG</w:t>
            </w:r>
          </w:p>
        </w:tc>
        <w:tc>
          <w:tcPr>
            <w:tcW w:w="1173" w:type="pct"/>
          </w:tcPr>
          <w:p w14:paraId="53267876" w14:textId="16D7E19F" w:rsidR="00CF72D5" w:rsidRPr="002029AF" w:rsidRDefault="00CF72D5" w:rsidP="00A57FDC">
            <w:pPr>
              <w:pStyle w:val="ARtabletext"/>
            </w:pPr>
            <w:r w:rsidRPr="002029AF">
              <w:t>Family</w:t>
            </w:r>
            <w:r w:rsidR="000A5329" w:rsidRPr="002029AF">
              <w:t xml:space="preserve"> </w:t>
            </w:r>
            <w:r w:rsidRPr="002029AF">
              <w:t>Violence</w:t>
            </w:r>
            <w:r w:rsidR="000A5329" w:rsidRPr="002029AF">
              <w:t xml:space="preserve"> </w:t>
            </w:r>
            <w:r w:rsidRPr="002029AF">
              <w:t>Sector</w:t>
            </w:r>
            <w:r w:rsidR="000A5329" w:rsidRPr="002029AF">
              <w:t xml:space="preserve"> </w:t>
            </w:r>
            <w:r w:rsidRPr="002029AF">
              <w:t>Reform</w:t>
            </w:r>
            <w:r w:rsidR="000A5329" w:rsidRPr="002029AF">
              <w:t xml:space="preserve"> </w:t>
            </w:r>
            <w:r w:rsidRPr="002029AF">
              <w:t>Narrative</w:t>
            </w:r>
          </w:p>
        </w:tc>
        <w:tc>
          <w:tcPr>
            <w:tcW w:w="766" w:type="pct"/>
          </w:tcPr>
          <w:p w14:paraId="05E8256E" w14:textId="77777777" w:rsidR="00CF72D5" w:rsidRPr="002029AF" w:rsidRDefault="00CF72D5" w:rsidP="00A57FDC">
            <w:pPr>
              <w:pStyle w:val="ARtabletextright"/>
            </w:pPr>
            <w:r w:rsidRPr="002029AF">
              <w:t>136,255</w:t>
            </w:r>
          </w:p>
        </w:tc>
        <w:tc>
          <w:tcPr>
            <w:tcW w:w="766" w:type="pct"/>
          </w:tcPr>
          <w:p w14:paraId="35F0A947" w14:textId="77777777" w:rsidR="00CF72D5" w:rsidRPr="002029AF" w:rsidRDefault="00CF72D5" w:rsidP="00A57FDC">
            <w:pPr>
              <w:pStyle w:val="ARtabletextright"/>
            </w:pPr>
            <w:r w:rsidRPr="002029AF">
              <w:t>102,192</w:t>
            </w:r>
          </w:p>
        </w:tc>
        <w:tc>
          <w:tcPr>
            <w:tcW w:w="762" w:type="pct"/>
          </w:tcPr>
          <w:p w14:paraId="6C9AEB19" w14:textId="77777777" w:rsidR="00CF72D5" w:rsidRPr="002029AF" w:rsidRDefault="00CF72D5" w:rsidP="00A57FDC">
            <w:pPr>
              <w:pStyle w:val="ARtabletextright"/>
            </w:pPr>
            <w:r w:rsidRPr="002029AF">
              <w:t>0</w:t>
            </w:r>
          </w:p>
        </w:tc>
      </w:tr>
      <w:tr w:rsidR="00CF72D5" w:rsidRPr="002029AF" w14:paraId="0F142B9F" w14:textId="77777777" w:rsidTr="00457506">
        <w:tc>
          <w:tcPr>
            <w:tcW w:w="767" w:type="pct"/>
          </w:tcPr>
          <w:p w14:paraId="62B4D5CA" w14:textId="0CA2DAFE" w:rsidR="00CF72D5" w:rsidRPr="002029AF" w:rsidRDefault="00CF72D5" w:rsidP="00A57FDC">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tcPr>
          <w:p w14:paraId="4E7A7F8C" w14:textId="753E5B20" w:rsidR="00CF72D5" w:rsidRPr="002029AF" w:rsidRDefault="00CF72D5" w:rsidP="00A57FDC">
            <w:pPr>
              <w:pStyle w:val="ARtabletext"/>
            </w:pPr>
            <w:r w:rsidRPr="002029AF">
              <w:t>Centre</w:t>
            </w:r>
            <w:r w:rsidR="000A5329" w:rsidRPr="002029AF">
              <w:t xml:space="preserve"> </w:t>
            </w:r>
            <w:r w:rsidRPr="002029AF">
              <w:t>for</w:t>
            </w:r>
            <w:r w:rsidR="000A5329" w:rsidRPr="002029AF">
              <w:t xml:space="preserve"> </w:t>
            </w:r>
            <w:r w:rsidRPr="002029AF">
              <w:t>Evidence</w:t>
            </w:r>
            <w:r w:rsidR="000A5329" w:rsidRPr="002029AF">
              <w:t xml:space="preserve"> </w:t>
            </w:r>
            <w:r w:rsidRPr="002029AF">
              <w:t>and</w:t>
            </w:r>
            <w:r w:rsidR="000A5329" w:rsidRPr="002029AF">
              <w:t xml:space="preserve"> </w:t>
            </w:r>
            <w:r w:rsidRPr="002029AF">
              <w:t>Implementation</w:t>
            </w:r>
          </w:p>
        </w:tc>
        <w:tc>
          <w:tcPr>
            <w:tcW w:w="1173" w:type="pct"/>
          </w:tcPr>
          <w:p w14:paraId="4C7BFD8B" w14:textId="08E8A0E6" w:rsidR="00CF72D5" w:rsidRPr="002029AF" w:rsidRDefault="00CF72D5" w:rsidP="00A57FDC">
            <w:pPr>
              <w:pStyle w:val="ARtabletext"/>
            </w:pPr>
            <w:r w:rsidRPr="002029AF">
              <w:t>Development,</w:t>
            </w:r>
            <w:r w:rsidR="000A5329" w:rsidRPr="002029AF">
              <w:t xml:space="preserve"> </w:t>
            </w:r>
            <w:r w:rsidRPr="002029AF">
              <w:t>Core</w:t>
            </w:r>
            <w:r w:rsidR="000A5329" w:rsidRPr="002029AF">
              <w:t xml:space="preserve"> </w:t>
            </w:r>
            <w:r w:rsidRPr="002029AF">
              <w:t>Practice</w:t>
            </w:r>
            <w:r w:rsidR="000A5329" w:rsidRPr="002029AF">
              <w:t xml:space="preserve"> </w:t>
            </w:r>
            <w:r w:rsidRPr="002029AF">
              <w:t>Elements</w:t>
            </w:r>
            <w:r w:rsidR="000A5329" w:rsidRPr="002029AF">
              <w:t xml:space="preserve"> </w:t>
            </w:r>
            <w:r w:rsidRPr="002029AF">
              <w:t>in</w:t>
            </w:r>
            <w:r w:rsidR="000A5329" w:rsidRPr="002029AF">
              <w:t xml:space="preserve"> </w:t>
            </w:r>
            <w:r w:rsidRPr="002029AF">
              <w:t>Children</w:t>
            </w:r>
            <w:r w:rsidR="000A5329" w:rsidRPr="002029AF">
              <w:t xml:space="preserve"> </w:t>
            </w:r>
            <w:r w:rsidRPr="002029AF">
              <w:t>and</w:t>
            </w:r>
            <w:r w:rsidR="000A5329" w:rsidRPr="002029AF">
              <w:t xml:space="preserve"> </w:t>
            </w:r>
            <w:r w:rsidRPr="002029AF">
              <w:t>Families</w:t>
            </w:r>
            <w:r w:rsidR="000A5329" w:rsidRPr="002029AF">
              <w:t xml:space="preserve"> </w:t>
            </w:r>
            <w:r w:rsidRPr="002029AF">
              <w:t>Services</w:t>
            </w:r>
          </w:p>
        </w:tc>
        <w:tc>
          <w:tcPr>
            <w:tcW w:w="766" w:type="pct"/>
          </w:tcPr>
          <w:p w14:paraId="4BBA959D" w14:textId="77777777" w:rsidR="00CF72D5" w:rsidRPr="002029AF" w:rsidRDefault="00CF72D5" w:rsidP="00A57FDC">
            <w:pPr>
              <w:pStyle w:val="ARtabletextright"/>
            </w:pPr>
            <w:r w:rsidRPr="002029AF">
              <w:t>1,508,948</w:t>
            </w:r>
          </w:p>
        </w:tc>
        <w:tc>
          <w:tcPr>
            <w:tcW w:w="766" w:type="pct"/>
          </w:tcPr>
          <w:p w14:paraId="500A72E3" w14:textId="77777777" w:rsidR="00CF72D5" w:rsidRPr="002029AF" w:rsidRDefault="00CF72D5" w:rsidP="00A57FDC">
            <w:pPr>
              <w:pStyle w:val="ARtabletextright"/>
            </w:pPr>
            <w:r w:rsidRPr="002029AF">
              <w:t>224,939</w:t>
            </w:r>
          </w:p>
        </w:tc>
        <w:tc>
          <w:tcPr>
            <w:tcW w:w="762" w:type="pct"/>
          </w:tcPr>
          <w:p w14:paraId="3BE659EA" w14:textId="77777777" w:rsidR="00CF72D5" w:rsidRPr="002029AF" w:rsidRDefault="00CF72D5" w:rsidP="00A57FDC">
            <w:pPr>
              <w:pStyle w:val="ARtabletextright"/>
            </w:pPr>
            <w:r w:rsidRPr="002029AF">
              <w:t>525,158</w:t>
            </w:r>
          </w:p>
        </w:tc>
      </w:tr>
      <w:tr w:rsidR="00CF72D5" w:rsidRPr="002029AF" w14:paraId="5944FFF8" w14:textId="77777777" w:rsidTr="00457506">
        <w:tc>
          <w:tcPr>
            <w:tcW w:w="767" w:type="pct"/>
          </w:tcPr>
          <w:p w14:paraId="13DA1C6D" w14:textId="187D3F52" w:rsidR="00CF72D5" w:rsidRPr="002029AF" w:rsidRDefault="00CF72D5" w:rsidP="00A57FDC">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tcPr>
          <w:p w14:paraId="318134C6" w14:textId="1F2FE45E" w:rsidR="00CF72D5" w:rsidRPr="002029AF" w:rsidRDefault="00CF72D5" w:rsidP="00A57FDC">
            <w:pPr>
              <w:pStyle w:val="ARtabletext"/>
            </w:pPr>
            <w:r w:rsidRPr="002029AF">
              <w:t>Centre</w:t>
            </w:r>
            <w:r w:rsidR="000A5329" w:rsidRPr="002029AF">
              <w:t xml:space="preserve"> </w:t>
            </w:r>
            <w:r w:rsidRPr="002029AF">
              <w:t>for</w:t>
            </w:r>
            <w:r w:rsidR="000A5329" w:rsidRPr="002029AF">
              <w:t xml:space="preserve"> </w:t>
            </w:r>
            <w:r w:rsidRPr="002029AF">
              <w:t>Evidence</w:t>
            </w:r>
            <w:r w:rsidR="000A5329" w:rsidRPr="002029AF">
              <w:t xml:space="preserve"> </w:t>
            </w:r>
            <w:r w:rsidRPr="002029AF">
              <w:t>and</w:t>
            </w:r>
            <w:r w:rsidR="000A5329" w:rsidRPr="002029AF">
              <w:t xml:space="preserve"> </w:t>
            </w:r>
            <w:r w:rsidRPr="002029AF">
              <w:t>Implementation</w:t>
            </w:r>
          </w:p>
        </w:tc>
        <w:tc>
          <w:tcPr>
            <w:tcW w:w="1173" w:type="pct"/>
          </w:tcPr>
          <w:p w14:paraId="44D26C17" w14:textId="2D6B7614" w:rsidR="00CF72D5" w:rsidRPr="002029AF" w:rsidRDefault="00CF72D5" w:rsidP="00A57FDC">
            <w:pPr>
              <w:pStyle w:val="ARtabletext"/>
            </w:pPr>
            <w:r w:rsidRPr="002029AF">
              <w:t>Development,</w:t>
            </w:r>
            <w:r w:rsidR="000A5329" w:rsidRPr="002029AF">
              <w:t xml:space="preserve"> </w:t>
            </w:r>
            <w:r w:rsidRPr="002029AF">
              <w:t>Technical</w:t>
            </w:r>
            <w:r w:rsidR="000A5329" w:rsidRPr="002029AF">
              <w:t xml:space="preserve"> </w:t>
            </w:r>
            <w:r w:rsidRPr="002029AF">
              <w:t>Specifications</w:t>
            </w:r>
            <w:r w:rsidR="000A5329" w:rsidRPr="002029AF">
              <w:t xml:space="preserve"> </w:t>
            </w:r>
            <w:r w:rsidRPr="002029AF">
              <w:t>for</w:t>
            </w:r>
            <w:r w:rsidR="000A5329" w:rsidRPr="002029AF">
              <w:t xml:space="preserve"> </w:t>
            </w:r>
            <w:r w:rsidRPr="002029AF">
              <w:t>the</w:t>
            </w:r>
            <w:r w:rsidR="000A5329" w:rsidRPr="002029AF">
              <w:t xml:space="preserve"> </w:t>
            </w:r>
            <w:r w:rsidRPr="002029AF">
              <w:t>Menu</w:t>
            </w:r>
            <w:r w:rsidR="000A5329" w:rsidRPr="002029AF">
              <w:t xml:space="preserve"> </w:t>
            </w:r>
            <w:r w:rsidRPr="002029AF">
              <w:t>of</w:t>
            </w:r>
            <w:r w:rsidR="000A5329" w:rsidRPr="002029AF">
              <w:t xml:space="preserve"> </w:t>
            </w:r>
            <w:r w:rsidRPr="002029AF">
              <w:t>Evidence-Informed</w:t>
            </w:r>
            <w:r w:rsidR="000A5329" w:rsidRPr="002029AF">
              <w:t xml:space="preserve"> </w:t>
            </w:r>
            <w:r w:rsidRPr="002029AF">
              <w:t>Practices</w:t>
            </w:r>
            <w:r w:rsidR="000A5329" w:rsidRPr="002029AF">
              <w:t xml:space="preserve"> </w:t>
            </w:r>
            <w:r w:rsidRPr="002029AF">
              <w:t>and</w:t>
            </w:r>
            <w:r w:rsidR="000A5329" w:rsidRPr="002029AF">
              <w:t xml:space="preserve"> </w:t>
            </w:r>
            <w:r w:rsidRPr="002029AF">
              <w:t>Programs</w:t>
            </w:r>
          </w:p>
        </w:tc>
        <w:tc>
          <w:tcPr>
            <w:tcW w:w="766" w:type="pct"/>
          </w:tcPr>
          <w:p w14:paraId="5789983A" w14:textId="77777777" w:rsidR="00CF72D5" w:rsidRPr="002029AF" w:rsidRDefault="00CF72D5" w:rsidP="00A57FDC">
            <w:pPr>
              <w:pStyle w:val="ARtabletextright"/>
            </w:pPr>
            <w:r w:rsidRPr="002029AF">
              <w:t>169,075</w:t>
            </w:r>
          </w:p>
        </w:tc>
        <w:tc>
          <w:tcPr>
            <w:tcW w:w="766" w:type="pct"/>
          </w:tcPr>
          <w:p w14:paraId="54A1DC29" w14:textId="77777777" w:rsidR="00CF72D5" w:rsidRPr="002029AF" w:rsidRDefault="00CF72D5" w:rsidP="00A57FDC">
            <w:pPr>
              <w:pStyle w:val="ARtabletextright"/>
            </w:pPr>
            <w:r w:rsidRPr="002029AF">
              <w:t>11,460</w:t>
            </w:r>
          </w:p>
        </w:tc>
        <w:tc>
          <w:tcPr>
            <w:tcW w:w="762" w:type="pct"/>
          </w:tcPr>
          <w:p w14:paraId="6087EABB" w14:textId="77777777" w:rsidR="00CF72D5" w:rsidRPr="002029AF" w:rsidRDefault="00CF72D5" w:rsidP="00A57FDC">
            <w:pPr>
              <w:pStyle w:val="ARtabletextright"/>
            </w:pPr>
            <w:r w:rsidRPr="002029AF">
              <w:t>0</w:t>
            </w:r>
          </w:p>
        </w:tc>
      </w:tr>
      <w:tr w:rsidR="00CF72D5" w:rsidRPr="002029AF" w14:paraId="0D7CD872" w14:textId="77777777" w:rsidTr="00457506">
        <w:tc>
          <w:tcPr>
            <w:tcW w:w="767" w:type="pct"/>
          </w:tcPr>
          <w:p w14:paraId="471CA67C" w14:textId="182930D5" w:rsidR="00CF72D5" w:rsidRPr="002029AF" w:rsidRDefault="00CF72D5" w:rsidP="00A57FDC">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tcPr>
          <w:p w14:paraId="312BB146" w14:textId="5829BEE3" w:rsidR="00CF72D5" w:rsidRPr="002029AF" w:rsidRDefault="00CF72D5" w:rsidP="00A57FDC">
            <w:pPr>
              <w:pStyle w:val="ARtabletext"/>
            </w:pPr>
            <w:r w:rsidRPr="002029AF">
              <w:t>Ernst</w:t>
            </w:r>
            <w:r w:rsidR="000A5329" w:rsidRPr="002029AF">
              <w:t xml:space="preserve"> </w:t>
            </w:r>
            <w:r w:rsidRPr="002029AF">
              <w:t>&amp;</w:t>
            </w:r>
            <w:r w:rsidR="000A5329" w:rsidRPr="002029AF">
              <w:t xml:space="preserve"> </w:t>
            </w:r>
            <w:r w:rsidRPr="002029AF">
              <w:t>Young</w:t>
            </w:r>
            <w:r w:rsidR="000A5329" w:rsidRPr="002029AF">
              <w:t xml:space="preserve"> </w:t>
            </w:r>
            <w:r w:rsidRPr="002029AF">
              <w:t>Services</w:t>
            </w:r>
            <w:r w:rsidR="000A5329" w:rsidRPr="002029AF">
              <w:t xml:space="preserve"> </w:t>
            </w:r>
            <w:r w:rsidRPr="002029AF">
              <w:t>Pty</w:t>
            </w:r>
            <w:r w:rsidR="000A5329" w:rsidRPr="002029AF">
              <w:t xml:space="preserve"> </w:t>
            </w:r>
            <w:r w:rsidRPr="002029AF">
              <w:t>Ltd</w:t>
            </w:r>
          </w:p>
        </w:tc>
        <w:tc>
          <w:tcPr>
            <w:tcW w:w="1173" w:type="pct"/>
          </w:tcPr>
          <w:p w14:paraId="743C962E" w14:textId="6A73CA63" w:rsidR="00CF72D5" w:rsidRPr="002029AF" w:rsidRDefault="00CF72D5" w:rsidP="00A57FDC">
            <w:pPr>
              <w:pStyle w:val="ARtabletext"/>
            </w:pPr>
            <w:r w:rsidRPr="002029AF">
              <w:t>Establishment</w:t>
            </w:r>
            <w:r w:rsidR="000A5329" w:rsidRPr="002029AF">
              <w:t xml:space="preserve"> </w:t>
            </w:r>
            <w:r w:rsidRPr="002029AF">
              <w:t>of</w:t>
            </w:r>
            <w:r w:rsidR="000A5329" w:rsidRPr="002029AF">
              <w:t xml:space="preserve"> </w:t>
            </w:r>
            <w:r w:rsidRPr="002029AF">
              <w:t>Project</w:t>
            </w:r>
            <w:r w:rsidR="000A5329" w:rsidRPr="002029AF">
              <w:t xml:space="preserve"> </w:t>
            </w:r>
            <w:r w:rsidRPr="002029AF">
              <w:t>Management</w:t>
            </w:r>
            <w:r w:rsidR="000A5329" w:rsidRPr="002029AF">
              <w:t xml:space="preserve"> </w:t>
            </w:r>
            <w:r w:rsidRPr="002029AF">
              <w:t>Office</w:t>
            </w:r>
          </w:p>
        </w:tc>
        <w:tc>
          <w:tcPr>
            <w:tcW w:w="766" w:type="pct"/>
          </w:tcPr>
          <w:p w14:paraId="535A550D" w14:textId="77777777" w:rsidR="00CF72D5" w:rsidRPr="002029AF" w:rsidRDefault="00CF72D5" w:rsidP="00A57FDC">
            <w:pPr>
              <w:pStyle w:val="ARtabletextright"/>
            </w:pPr>
            <w:r w:rsidRPr="002029AF">
              <w:t>5,232,000</w:t>
            </w:r>
          </w:p>
        </w:tc>
        <w:tc>
          <w:tcPr>
            <w:tcW w:w="766" w:type="pct"/>
          </w:tcPr>
          <w:p w14:paraId="4B7DB4C1" w14:textId="77777777" w:rsidR="00CF72D5" w:rsidRPr="002029AF" w:rsidRDefault="00CF72D5" w:rsidP="00A57FDC">
            <w:pPr>
              <w:pStyle w:val="ARtabletextright"/>
            </w:pPr>
            <w:r w:rsidRPr="002029AF">
              <w:t>2,359,256</w:t>
            </w:r>
          </w:p>
        </w:tc>
        <w:tc>
          <w:tcPr>
            <w:tcW w:w="762" w:type="pct"/>
          </w:tcPr>
          <w:p w14:paraId="308C3292" w14:textId="77777777" w:rsidR="00CF72D5" w:rsidRPr="002029AF" w:rsidRDefault="00CF72D5" w:rsidP="00A57FDC">
            <w:pPr>
              <w:pStyle w:val="ARtabletextright"/>
            </w:pPr>
            <w:r w:rsidRPr="002029AF">
              <w:t>613,454</w:t>
            </w:r>
          </w:p>
        </w:tc>
      </w:tr>
      <w:tr w:rsidR="00CF72D5" w:rsidRPr="002029AF" w14:paraId="4D2641A1" w14:textId="77777777" w:rsidTr="00457506">
        <w:tc>
          <w:tcPr>
            <w:tcW w:w="767" w:type="pct"/>
          </w:tcPr>
          <w:p w14:paraId="098832E2" w14:textId="2CBC9A9A" w:rsidR="00CF72D5" w:rsidRPr="002029AF" w:rsidRDefault="00CF72D5" w:rsidP="00A57FDC">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tcPr>
          <w:p w14:paraId="4914B4AF" w14:textId="3F4B5EAA" w:rsidR="00CF72D5" w:rsidRPr="002029AF" w:rsidRDefault="00CF72D5" w:rsidP="00A57FDC">
            <w:pPr>
              <w:pStyle w:val="ARtabletext"/>
            </w:pPr>
            <w:r w:rsidRPr="002029AF">
              <w:t>Jacobs</w:t>
            </w:r>
            <w:r w:rsidR="000A5329" w:rsidRPr="002029AF">
              <w:t xml:space="preserve"> </w:t>
            </w:r>
            <w:r w:rsidRPr="002029AF">
              <w:t>Group</w:t>
            </w:r>
            <w:r w:rsidR="000A5329" w:rsidRPr="002029AF">
              <w:t xml:space="preserve"> </w:t>
            </w:r>
            <w:r w:rsidRPr="002029AF">
              <w:t>Australia</w:t>
            </w:r>
            <w:r w:rsidR="000A5329" w:rsidRPr="002029AF">
              <w:t xml:space="preserve"> </w:t>
            </w:r>
            <w:r w:rsidRPr="002029AF">
              <w:t>Pty</w:t>
            </w:r>
            <w:r w:rsidR="000A5329" w:rsidRPr="002029AF">
              <w:t xml:space="preserve"> </w:t>
            </w:r>
            <w:r w:rsidRPr="002029AF">
              <w:t>Ltd</w:t>
            </w:r>
          </w:p>
        </w:tc>
        <w:tc>
          <w:tcPr>
            <w:tcW w:w="1173" w:type="pct"/>
          </w:tcPr>
          <w:p w14:paraId="3A647A56" w14:textId="6CB6A0E0" w:rsidR="00CF72D5" w:rsidRPr="002029AF" w:rsidRDefault="00CF72D5" w:rsidP="00A57FDC">
            <w:pPr>
              <w:pStyle w:val="ARtabletext"/>
            </w:pPr>
            <w:r w:rsidRPr="002029AF">
              <w:t>Asset</w:t>
            </w:r>
            <w:r w:rsidR="000A5329" w:rsidRPr="002029AF">
              <w:t xml:space="preserve"> </w:t>
            </w:r>
            <w:r w:rsidRPr="002029AF">
              <w:t>Management</w:t>
            </w:r>
            <w:r w:rsidR="000A5329" w:rsidRPr="002029AF">
              <w:t xml:space="preserve"> </w:t>
            </w:r>
            <w:r w:rsidRPr="002029AF">
              <w:t>Accountability</w:t>
            </w:r>
            <w:r w:rsidR="000A5329" w:rsidRPr="002029AF">
              <w:t xml:space="preserve"> </w:t>
            </w:r>
            <w:r w:rsidRPr="002029AF">
              <w:t>Framework</w:t>
            </w:r>
            <w:r w:rsidR="0072293A" w:rsidRPr="002029AF">
              <w:t xml:space="preserve"> – </w:t>
            </w:r>
            <w:r w:rsidRPr="002029AF">
              <w:t>Stage</w:t>
            </w:r>
            <w:r w:rsidR="000A5329" w:rsidRPr="002029AF">
              <w:t xml:space="preserve"> </w:t>
            </w:r>
            <w:r w:rsidRPr="002029AF">
              <w:t>2</w:t>
            </w:r>
          </w:p>
        </w:tc>
        <w:tc>
          <w:tcPr>
            <w:tcW w:w="766" w:type="pct"/>
          </w:tcPr>
          <w:p w14:paraId="3BB60A23" w14:textId="77777777" w:rsidR="00CF72D5" w:rsidRPr="002029AF" w:rsidRDefault="00CF72D5" w:rsidP="00A57FDC">
            <w:pPr>
              <w:pStyle w:val="ARtabletextright"/>
            </w:pPr>
            <w:r w:rsidRPr="002029AF">
              <w:t>253,088</w:t>
            </w:r>
          </w:p>
        </w:tc>
        <w:tc>
          <w:tcPr>
            <w:tcW w:w="766" w:type="pct"/>
          </w:tcPr>
          <w:p w14:paraId="51AFB2D6" w14:textId="77777777" w:rsidR="00CF72D5" w:rsidRPr="002029AF" w:rsidRDefault="00CF72D5" w:rsidP="00A57FDC">
            <w:pPr>
              <w:pStyle w:val="ARtabletextright"/>
            </w:pPr>
            <w:r w:rsidRPr="002029AF">
              <w:t>63,075</w:t>
            </w:r>
          </w:p>
        </w:tc>
        <w:tc>
          <w:tcPr>
            <w:tcW w:w="762" w:type="pct"/>
          </w:tcPr>
          <w:p w14:paraId="5C6C9894" w14:textId="77777777" w:rsidR="00CF72D5" w:rsidRPr="002029AF" w:rsidRDefault="00CF72D5" w:rsidP="00A57FDC">
            <w:pPr>
              <w:pStyle w:val="ARtabletextright"/>
            </w:pPr>
            <w:r w:rsidRPr="002029AF">
              <w:t>190,012</w:t>
            </w:r>
          </w:p>
        </w:tc>
      </w:tr>
      <w:tr w:rsidR="00CF72D5" w:rsidRPr="002029AF" w14:paraId="06DE56EB" w14:textId="77777777" w:rsidTr="00457506">
        <w:tc>
          <w:tcPr>
            <w:tcW w:w="767" w:type="pct"/>
          </w:tcPr>
          <w:p w14:paraId="4FB08B7D" w14:textId="21444301" w:rsidR="00CF72D5" w:rsidRPr="002029AF" w:rsidRDefault="00CF72D5" w:rsidP="00A57FDC">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tcPr>
          <w:p w14:paraId="42E4179F" w14:textId="3B714EF1" w:rsidR="00CF72D5" w:rsidRPr="002029AF" w:rsidRDefault="00CF72D5" w:rsidP="00A57FDC">
            <w:pPr>
              <w:pStyle w:val="ARtabletext"/>
            </w:pPr>
            <w:r w:rsidRPr="002029AF">
              <w:t>Deloitte</w:t>
            </w:r>
            <w:r w:rsidR="000A5329" w:rsidRPr="002029AF">
              <w:t xml:space="preserve"> </w:t>
            </w:r>
            <w:r w:rsidRPr="002029AF">
              <w:t>Consulting</w:t>
            </w:r>
            <w:r w:rsidR="000A5329" w:rsidRPr="002029AF">
              <w:t xml:space="preserve"> </w:t>
            </w:r>
            <w:r w:rsidRPr="002029AF">
              <w:t>Pty</w:t>
            </w:r>
            <w:r w:rsidR="000A5329" w:rsidRPr="002029AF">
              <w:t xml:space="preserve"> </w:t>
            </w:r>
            <w:r w:rsidRPr="002029AF">
              <w:t>Ltd</w:t>
            </w:r>
          </w:p>
        </w:tc>
        <w:tc>
          <w:tcPr>
            <w:tcW w:w="1173" w:type="pct"/>
          </w:tcPr>
          <w:p w14:paraId="436B071A" w14:textId="34561CD0" w:rsidR="00CF72D5" w:rsidRPr="002029AF" w:rsidRDefault="00CF72D5" w:rsidP="00A57FDC">
            <w:pPr>
              <w:pStyle w:val="ARtabletext"/>
            </w:pPr>
            <w:r w:rsidRPr="002029AF">
              <w:t>Development,</w:t>
            </w:r>
            <w:r w:rsidR="000A5329" w:rsidRPr="002029AF">
              <w:t xml:space="preserve"> </w:t>
            </w:r>
            <w:r w:rsidRPr="002029AF">
              <w:t>Victorian</w:t>
            </w:r>
            <w:r w:rsidR="000A5329" w:rsidRPr="002029AF">
              <w:t xml:space="preserve"> </w:t>
            </w:r>
            <w:r w:rsidRPr="002029AF">
              <w:t>Early</w:t>
            </w:r>
            <w:r w:rsidR="000A5329" w:rsidRPr="002029AF">
              <w:t xml:space="preserve"> </w:t>
            </w:r>
            <w:r w:rsidRPr="002029AF">
              <w:t>Parenting</w:t>
            </w:r>
            <w:r w:rsidR="000A5329" w:rsidRPr="002029AF">
              <w:t xml:space="preserve"> </w:t>
            </w:r>
            <w:r w:rsidRPr="002029AF">
              <w:t>Centres</w:t>
            </w:r>
            <w:r w:rsidR="000A5329" w:rsidRPr="002029AF">
              <w:t xml:space="preserve"> </w:t>
            </w:r>
            <w:r w:rsidRPr="002029AF">
              <w:t>Service</w:t>
            </w:r>
            <w:r w:rsidR="000A5329" w:rsidRPr="002029AF">
              <w:t xml:space="preserve"> </w:t>
            </w:r>
            <w:r w:rsidRPr="002029AF">
              <w:t>Expansion</w:t>
            </w:r>
          </w:p>
        </w:tc>
        <w:tc>
          <w:tcPr>
            <w:tcW w:w="766" w:type="pct"/>
          </w:tcPr>
          <w:p w14:paraId="7BFC5033" w14:textId="77777777" w:rsidR="00CF72D5" w:rsidRPr="002029AF" w:rsidRDefault="00CF72D5" w:rsidP="00A57FDC">
            <w:pPr>
              <w:pStyle w:val="ARtabletextright"/>
            </w:pPr>
            <w:r w:rsidRPr="002029AF">
              <w:t>233,137</w:t>
            </w:r>
          </w:p>
        </w:tc>
        <w:tc>
          <w:tcPr>
            <w:tcW w:w="766" w:type="pct"/>
          </w:tcPr>
          <w:p w14:paraId="199DB9FA" w14:textId="77777777" w:rsidR="00CF72D5" w:rsidRPr="002029AF" w:rsidRDefault="00CF72D5" w:rsidP="00A57FDC">
            <w:pPr>
              <w:pStyle w:val="ARtabletextright"/>
            </w:pPr>
            <w:r w:rsidRPr="002029AF">
              <w:t>233,137</w:t>
            </w:r>
          </w:p>
        </w:tc>
        <w:tc>
          <w:tcPr>
            <w:tcW w:w="762" w:type="pct"/>
          </w:tcPr>
          <w:p w14:paraId="52F472A0" w14:textId="77777777" w:rsidR="00CF72D5" w:rsidRPr="002029AF" w:rsidRDefault="00CF72D5" w:rsidP="00A57FDC">
            <w:pPr>
              <w:pStyle w:val="ARtabletextright"/>
            </w:pPr>
            <w:r w:rsidRPr="002029AF">
              <w:t>0</w:t>
            </w:r>
          </w:p>
        </w:tc>
      </w:tr>
      <w:tr w:rsidR="00CF72D5" w:rsidRPr="002029AF" w14:paraId="2D2E6B36" w14:textId="77777777" w:rsidTr="00457506">
        <w:tc>
          <w:tcPr>
            <w:tcW w:w="767" w:type="pct"/>
          </w:tcPr>
          <w:p w14:paraId="1AB93357" w14:textId="10158FBA" w:rsidR="00CF72D5" w:rsidRPr="002029AF" w:rsidRDefault="00CF72D5" w:rsidP="00A57FDC">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tcPr>
          <w:p w14:paraId="4DF34C66" w14:textId="616B5267" w:rsidR="00CF72D5" w:rsidRPr="002029AF" w:rsidRDefault="00CF72D5" w:rsidP="00A57FDC">
            <w:pPr>
              <w:pStyle w:val="ARtabletext"/>
            </w:pPr>
            <w:r w:rsidRPr="002029AF">
              <w:t>Institute</w:t>
            </w:r>
            <w:r w:rsidR="000A5329" w:rsidRPr="002029AF">
              <w:t xml:space="preserve"> </w:t>
            </w:r>
            <w:r w:rsidRPr="002029AF">
              <w:t>for</w:t>
            </w:r>
            <w:r w:rsidR="000A5329" w:rsidRPr="002029AF">
              <w:t xml:space="preserve"> </w:t>
            </w:r>
            <w:r w:rsidRPr="002029AF">
              <w:t>Healthcare</w:t>
            </w:r>
            <w:r w:rsidR="000A5329" w:rsidRPr="002029AF">
              <w:t xml:space="preserve"> </w:t>
            </w:r>
            <w:r w:rsidRPr="002029AF">
              <w:t>Improvement</w:t>
            </w:r>
          </w:p>
        </w:tc>
        <w:tc>
          <w:tcPr>
            <w:tcW w:w="1173" w:type="pct"/>
          </w:tcPr>
          <w:p w14:paraId="09C6BCF3" w14:textId="59F4F4B9" w:rsidR="00CF72D5" w:rsidRPr="002029AF" w:rsidRDefault="00CF72D5" w:rsidP="00A57FDC">
            <w:pPr>
              <w:pStyle w:val="ARtabletext"/>
            </w:pPr>
            <w:r w:rsidRPr="002029AF">
              <w:t>Development,</w:t>
            </w:r>
            <w:r w:rsidR="000A5329" w:rsidRPr="002029AF">
              <w:t xml:space="preserve"> </w:t>
            </w:r>
            <w:r w:rsidRPr="002029AF">
              <w:t>Community</w:t>
            </w:r>
            <w:r w:rsidR="000A5329" w:rsidRPr="002029AF">
              <w:t xml:space="preserve"> </w:t>
            </w:r>
            <w:r w:rsidRPr="002029AF">
              <w:t>Services</w:t>
            </w:r>
            <w:r w:rsidR="000A5329" w:rsidRPr="002029AF">
              <w:t xml:space="preserve"> </w:t>
            </w:r>
            <w:r w:rsidRPr="002029AF">
              <w:t>improvement</w:t>
            </w:r>
          </w:p>
        </w:tc>
        <w:tc>
          <w:tcPr>
            <w:tcW w:w="766" w:type="pct"/>
          </w:tcPr>
          <w:p w14:paraId="284B6C3A" w14:textId="77777777" w:rsidR="00CF72D5" w:rsidRPr="002029AF" w:rsidRDefault="00CF72D5" w:rsidP="00A57FDC">
            <w:pPr>
              <w:pStyle w:val="ARtabletextright"/>
            </w:pPr>
            <w:r w:rsidRPr="002029AF">
              <w:t>1,361,416</w:t>
            </w:r>
          </w:p>
        </w:tc>
        <w:tc>
          <w:tcPr>
            <w:tcW w:w="766" w:type="pct"/>
          </w:tcPr>
          <w:p w14:paraId="7083BE84" w14:textId="77777777" w:rsidR="00CF72D5" w:rsidRPr="002029AF" w:rsidRDefault="00CF72D5" w:rsidP="00A57FDC">
            <w:pPr>
              <w:pStyle w:val="ARtabletextright"/>
            </w:pPr>
            <w:r w:rsidRPr="002029AF">
              <w:t>350,000</w:t>
            </w:r>
          </w:p>
        </w:tc>
        <w:tc>
          <w:tcPr>
            <w:tcW w:w="762" w:type="pct"/>
          </w:tcPr>
          <w:p w14:paraId="0930B8CE" w14:textId="77777777" w:rsidR="00CF72D5" w:rsidRPr="002029AF" w:rsidRDefault="00CF72D5" w:rsidP="00A57FDC">
            <w:pPr>
              <w:pStyle w:val="ARtabletextright"/>
            </w:pPr>
            <w:r w:rsidRPr="002029AF">
              <w:t>1,011,416</w:t>
            </w:r>
          </w:p>
        </w:tc>
      </w:tr>
      <w:tr w:rsidR="00CF72D5" w:rsidRPr="002029AF" w14:paraId="61BF0936" w14:textId="77777777" w:rsidTr="00457506">
        <w:tc>
          <w:tcPr>
            <w:tcW w:w="767" w:type="pct"/>
          </w:tcPr>
          <w:p w14:paraId="68D3CF2E" w14:textId="15A6755D" w:rsidR="00CF72D5" w:rsidRPr="002029AF" w:rsidRDefault="00CF72D5" w:rsidP="00A57FDC">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tcPr>
          <w:p w14:paraId="20C00C60" w14:textId="3B3A2A20" w:rsidR="00CF72D5" w:rsidRPr="002029AF" w:rsidRDefault="00CF72D5" w:rsidP="00A57FDC">
            <w:pPr>
              <w:pStyle w:val="ARtabletext"/>
            </w:pPr>
            <w:r w:rsidRPr="002029AF">
              <w:t>The</w:t>
            </w:r>
            <w:r w:rsidR="000A5329" w:rsidRPr="002029AF">
              <w:t xml:space="preserve"> </w:t>
            </w:r>
            <w:r w:rsidRPr="002029AF">
              <w:t>Shannon</w:t>
            </w:r>
            <w:r w:rsidR="000A5329" w:rsidRPr="002029AF">
              <w:t xml:space="preserve"> </w:t>
            </w:r>
            <w:r w:rsidRPr="002029AF">
              <w:t>Company</w:t>
            </w:r>
          </w:p>
        </w:tc>
        <w:tc>
          <w:tcPr>
            <w:tcW w:w="1173" w:type="pct"/>
          </w:tcPr>
          <w:p w14:paraId="02A7919A" w14:textId="67264D7D" w:rsidR="00CF72D5" w:rsidRPr="002029AF" w:rsidRDefault="00CF72D5" w:rsidP="00A57FDC">
            <w:pPr>
              <w:pStyle w:val="ARtabletext"/>
            </w:pPr>
            <w:r w:rsidRPr="002029AF">
              <w:t>Development,</w:t>
            </w:r>
            <w:r w:rsidR="000A5329" w:rsidRPr="002029AF">
              <w:t xml:space="preserve"> </w:t>
            </w:r>
            <w:r w:rsidRPr="002029AF">
              <w:t>Communications</w:t>
            </w:r>
            <w:r w:rsidR="000A5329" w:rsidRPr="002029AF">
              <w:t xml:space="preserve"> </w:t>
            </w:r>
            <w:r w:rsidRPr="002029AF">
              <w:t>approach,</w:t>
            </w:r>
            <w:r w:rsidR="000A5329" w:rsidRPr="002029AF">
              <w:t xml:space="preserve"> </w:t>
            </w:r>
            <w:r w:rsidRPr="002029AF">
              <w:t>Health</w:t>
            </w:r>
            <w:r w:rsidR="000A5329" w:rsidRPr="002029AF">
              <w:t xml:space="preserve"> </w:t>
            </w:r>
            <w:r w:rsidRPr="002029AF">
              <w:t>reform</w:t>
            </w:r>
            <w:r w:rsidR="000A5329" w:rsidRPr="002029AF">
              <w:t xml:space="preserve"> </w:t>
            </w:r>
            <w:r w:rsidRPr="002029AF">
              <w:t>initiatives</w:t>
            </w:r>
          </w:p>
        </w:tc>
        <w:tc>
          <w:tcPr>
            <w:tcW w:w="766" w:type="pct"/>
          </w:tcPr>
          <w:p w14:paraId="71896270" w14:textId="77777777" w:rsidR="00CF72D5" w:rsidRPr="002029AF" w:rsidRDefault="00CF72D5" w:rsidP="00A57FDC">
            <w:pPr>
              <w:pStyle w:val="ARtabletextright"/>
            </w:pPr>
            <w:r w:rsidRPr="002029AF">
              <w:t>50,500</w:t>
            </w:r>
          </w:p>
        </w:tc>
        <w:tc>
          <w:tcPr>
            <w:tcW w:w="766" w:type="pct"/>
          </w:tcPr>
          <w:p w14:paraId="3E9243F2" w14:textId="77777777" w:rsidR="00CF72D5" w:rsidRPr="002029AF" w:rsidRDefault="00CF72D5" w:rsidP="00A57FDC">
            <w:pPr>
              <w:pStyle w:val="ARtabletextright"/>
            </w:pPr>
            <w:r w:rsidRPr="002029AF">
              <w:t>50,500</w:t>
            </w:r>
          </w:p>
        </w:tc>
        <w:tc>
          <w:tcPr>
            <w:tcW w:w="762" w:type="pct"/>
          </w:tcPr>
          <w:p w14:paraId="0C4582FE" w14:textId="77777777" w:rsidR="00CF72D5" w:rsidRPr="002029AF" w:rsidRDefault="00CF72D5" w:rsidP="00A57FDC">
            <w:pPr>
              <w:pStyle w:val="ARtabletextright"/>
            </w:pPr>
            <w:r w:rsidRPr="002029AF">
              <w:t>0</w:t>
            </w:r>
          </w:p>
        </w:tc>
      </w:tr>
      <w:tr w:rsidR="00CF72D5" w:rsidRPr="002029AF" w14:paraId="58894621" w14:textId="77777777" w:rsidTr="00457506">
        <w:tc>
          <w:tcPr>
            <w:tcW w:w="767" w:type="pct"/>
          </w:tcPr>
          <w:p w14:paraId="78D14CA2" w14:textId="514B7D0E" w:rsidR="00CF72D5" w:rsidRPr="002029AF" w:rsidRDefault="00CF72D5" w:rsidP="00A57FDC">
            <w:pPr>
              <w:pStyle w:val="ARtabletext"/>
            </w:pPr>
            <w:r w:rsidRPr="002029AF">
              <w:lastRenderedPageBreak/>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tcPr>
          <w:p w14:paraId="1075D1E6" w14:textId="7C8828B4" w:rsidR="00CF72D5" w:rsidRPr="002029AF" w:rsidRDefault="00CF72D5" w:rsidP="00A57FDC">
            <w:pPr>
              <w:pStyle w:val="ARtabletext"/>
            </w:pPr>
            <w:r w:rsidRPr="002029AF">
              <w:t>Infection</w:t>
            </w:r>
            <w:r w:rsidR="000A5329" w:rsidRPr="002029AF">
              <w:t xml:space="preserve"> </w:t>
            </w:r>
            <w:r w:rsidRPr="002029AF">
              <w:t>Contrology</w:t>
            </w:r>
          </w:p>
        </w:tc>
        <w:tc>
          <w:tcPr>
            <w:tcW w:w="1173" w:type="pct"/>
          </w:tcPr>
          <w:p w14:paraId="13021F87" w14:textId="192C3412" w:rsidR="00CF72D5" w:rsidRPr="002029AF" w:rsidRDefault="00CF72D5" w:rsidP="00A57FDC">
            <w:pPr>
              <w:pStyle w:val="ARtabletext"/>
            </w:pPr>
            <w:r w:rsidRPr="002029AF">
              <w:t>Development,</w:t>
            </w:r>
            <w:r w:rsidR="000A5329" w:rsidRPr="002029AF">
              <w:t xml:space="preserve"> </w:t>
            </w:r>
            <w:r w:rsidRPr="002029AF">
              <w:t>Infection,</w:t>
            </w:r>
            <w:r w:rsidR="000A5329" w:rsidRPr="002029AF">
              <w:t xml:space="preserve"> </w:t>
            </w:r>
            <w:r w:rsidRPr="002029AF">
              <w:t>prevention</w:t>
            </w:r>
            <w:r w:rsidR="000A5329" w:rsidRPr="002029AF">
              <w:t xml:space="preserve"> </w:t>
            </w:r>
            <w:r w:rsidRPr="002029AF">
              <w:t>and</w:t>
            </w:r>
            <w:r w:rsidR="008667C8">
              <w:t> </w:t>
            </w:r>
            <w:r w:rsidRPr="002029AF">
              <w:t>controls,</w:t>
            </w:r>
            <w:r w:rsidR="000A5329" w:rsidRPr="002029AF">
              <w:t xml:space="preserve"> </w:t>
            </w:r>
            <w:r w:rsidRPr="002029AF">
              <w:t>high</w:t>
            </w:r>
            <w:r w:rsidR="000A5329" w:rsidRPr="002029AF">
              <w:t xml:space="preserve"> </w:t>
            </w:r>
            <w:r w:rsidRPr="002029AF">
              <w:t>risk</w:t>
            </w:r>
            <w:r w:rsidR="000A5329" w:rsidRPr="002029AF">
              <w:t xml:space="preserve"> </w:t>
            </w:r>
            <w:r w:rsidRPr="002029AF">
              <w:t>workplaces</w:t>
            </w:r>
          </w:p>
        </w:tc>
        <w:tc>
          <w:tcPr>
            <w:tcW w:w="766" w:type="pct"/>
          </w:tcPr>
          <w:p w14:paraId="53802FA5" w14:textId="77777777" w:rsidR="00CF72D5" w:rsidRPr="002029AF" w:rsidRDefault="00CF72D5" w:rsidP="00A57FDC">
            <w:pPr>
              <w:pStyle w:val="ARtabletextright"/>
            </w:pPr>
            <w:r w:rsidRPr="002029AF">
              <w:t>44,000</w:t>
            </w:r>
          </w:p>
        </w:tc>
        <w:tc>
          <w:tcPr>
            <w:tcW w:w="766" w:type="pct"/>
          </w:tcPr>
          <w:p w14:paraId="77B0B038" w14:textId="77777777" w:rsidR="00CF72D5" w:rsidRPr="002029AF" w:rsidRDefault="00CF72D5" w:rsidP="00A57FDC">
            <w:pPr>
              <w:pStyle w:val="ARtabletextright"/>
            </w:pPr>
            <w:r w:rsidRPr="002029AF">
              <w:t>44,000</w:t>
            </w:r>
          </w:p>
        </w:tc>
        <w:tc>
          <w:tcPr>
            <w:tcW w:w="762" w:type="pct"/>
          </w:tcPr>
          <w:p w14:paraId="50654808" w14:textId="77777777" w:rsidR="00CF72D5" w:rsidRPr="002029AF" w:rsidRDefault="00CF72D5" w:rsidP="00A57FDC">
            <w:pPr>
              <w:pStyle w:val="ARtabletextright"/>
            </w:pPr>
            <w:r w:rsidRPr="002029AF">
              <w:t>0</w:t>
            </w:r>
          </w:p>
        </w:tc>
      </w:tr>
      <w:tr w:rsidR="00CF72D5" w:rsidRPr="002029AF" w14:paraId="7132E7F9" w14:textId="77777777" w:rsidTr="00457506">
        <w:tc>
          <w:tcPr>
            <w:tcW w:w="767" w:type="pct"/>
          </w:tcPr>
          <w:p w14:paraId="2554370F" w14:textId="773830DF" w:rsidR="00CF72D5" w:rsidRPr="002029AF" w:rsidRDefault="00CF72D5" w:rsidP="00A57FDC">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tcPr>
          <w:p w14:paraId="2AD0F079" w14:textId="71921921" w:rsidR="00CF72D5" w:rsidRPr="002029AF" w:rsidRDefault="00CF72D5" w:rsidP="00A57FDC">
            <w:pPr>
              <w:pStyle w:val="ARtabletext"/>
            </w:pPr>
            <w:r w:rsidRPr="002029AF">
              <w:t>Boston</w:t>
            </w:r>
            <w:r w:rsidR="000A5329" w:rsidRPr="002029AF">
              <w:t xml:space="preserve"> </w:t>
            </w:r>
            <w:r w:rsidRPr="002029AF">
              <w:t>Consulting</w:t>
            </w:r>
            <w:r w:rsidR="000A5329" w:rsidRPr="002029AF">
              <w:t xml:space="preserve"> </w:t>
            </w:r>
            <w:r w:rsidRPr="002029AF">
              <w:t>Group</w:t>
            </w:r>
          </w:p>
        </w:tc>
        <w:tc>
          <w:tcPr>
            <w:tcW w:w="1173" w:type="pct"/>
          </w:tcPr>
          <w:p w14:paraId="2CA62A60" w14:textId="70C1F7C2" w:rsidR="00CF72D5" w:rsidRPr="002029AF" w:rsidRDefault="00CF72D5" w:rsidP="00A57FDC">
            <w:pPr>
              <w:pStyle w:val="ARtabletext"/>
            </w:pPr>
            <w:r w:rsidRPr="002029AF">
              <w:t>Modelling,</w:t>
            </w:r>
            <w:r w:rsidR="000A5329" w:rsidRPr="002029AF">
              <w:t xml:space="preserve"> </w:t>
            </w:r>
            <w:r w:rsidRPr="002029AF">
              <w:t>Housing</w:t>
            </w:r>
            <w:r w:rsidR="000A5329" w:rsidRPr="002029AF">
              <w:t xml:space="preserve"> </w:t>
            </w:r>
            <w:r w:rsidRPr="002029AF">
              <w:t>Financials</w:t>
            </w:r>
          </w:p>
        </w:tc>
        <w:tc>
          <w:tcPr>
            <w:tcW w:w="766" w:type="pct"/>
          </w:tcPr>
          <w:p w14:paraId="7DB4653C" w14:textId="77777777" w:rsidR="00CF72D5" w:rsidRPr="002029AF" w:rsidRDefault="00CF72D5" w:rsidP="00A57FDC">
            <w:pPr>
              <w:pStyle w:val="ARtabletextright"/>
            </w:pPr>
            <w:r w:rsidRPr="002029AF">
              <w:t>2,468,100</w:t>
            </w:r>
          </w:p>
        </w:tc>
        <w:tc>
          <w:tcPr>
            <w:tcW w:w="766" w:type="pct"/>
          </w:tcPr>
          <w:p w14:paraId="0C9CB020" w14:textId="77777777" w:rsidR="00CF72D5" w:rsidRPr="002029AF" w:rsidRDefault="00CF72D5" w:rsidP="00A57FDC">
            <w:pPr>
              <w:pStyle w:val="ARtabletextright"/>
            </w:pPr>
            <w:r w:rsidRPr="002029AF">
              <w:t>2,168,100</w:t>
            </w:r>
          </w:p>
        </w:tc>
        <w:tc>
          <w:tcPr>
            <w:tcW w:w="762" w:type="pct"/>
          </w:tcPr>
          <w:p w14:paraId="721D82E1" w14:textId="77777777" w:rsidR="00CF72D5" w:rsidRPr="002029AF" w:rsidRDefault="00CF72D5" w:rsidP="00A57FDC">
            <w:pPr>
              <w:pStyle w:val="ARtabletextright"/>
            </w:pPr>
            <w:r w:rsidRPr="002029AF">
              <w:t>300,000</w:t>
            </w:r>
          </w:p>
        </w:tc>
      </w:tr>
      <w:tr w:rsidR="00CF72D5" w:rsidRPr="002029AF" w14:paraId="2CB2519F" w14:textId="77777777" w:rsidTr="00457506">
        <w:tc>
          <w:tcPr>
            <w:tcW w:w="767" w:type="pct"/>
          </w:tcPr>
          <w:p w14:paraId="48FA2D93" w14:textId="420CBC14" w:rsidR="00CF72D5" w:rsidRPr="002029AF" w:rsidRDefault="00CF72D5" w:rsidP="00A57FDC">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tcPr>
          <w:p w14:paraId="40B32C74" w14:textId="14FC3ECA" w:rsidR="00CF72D5" w:rsidRPr="002029AF" w:rsidRDefault="00CF72D5" w:rsidP="00A57FDC">
            <w:pPr>
              <w:pStyle w:val="ARtabletext"/>
            </w:pPr>
            <w:r w:rsidRPr="002029AF">
              <w:t>Deloitte</w:t>
            </w:r>
            <w:r w:rsidR="000A5329" w:rsidRPr="002029AF">
              <w:t xml:space="preserve"> </w:t>
            </w:r>
            <w:r w:rsidRPr="002029AF">
              <w:t>Touche</w:t>
            </w:r>
            <w:r w:rsidR="000A5329" w:rsidRPr="002029AF">
              <w:t xml:space="preserve"> </w:t>
            </w:r>
            <w:r w:rsidRPr="002029AF">
              <w:t>Tohmatsu</w:t>
            </w:r>
          </w:p>
        </w:tc>
        <w:tc>
          <w:tcPr>
            <w:tcW w:w="1173" w:type="pct"/>
          </w:tcPr>
          <w:p w14:paraId="34BD45FE" w14:textId="099D5185" w:rsidR="00CF72D5" w:rsidRPr="002029AF" w:rsidRDefault="00CF72D5" w:rsidP="00A57FDC">
            <w:pPr>
              <w:pStyle w:val="ARtabletext"/>
            </w:pPr>
            <w:r w:rsidRPr="002029AF">
              <w:t>Financial</w:t>
            </w:r>
            <w:r w:rsidR="000A5329" w:rsidRPr="002029AF">
              <w:t xml:space="preserve"> </w:t>
            </w:r>
            <w:r w:rsidRPr="002029AF">
              <w:t>and</w:t>
            </w:r>
            <w:r w:rsidR="000A5329" w:rsidRPr="002029AF">
              <w:t xml:space="preserve"> </w:t>
            </w:r>
            <w:r w:rsidRPr="002029AF">
              <w:t>operating</w:t>
            </w:r>
            <w:r w:rsidR="000A5329" w:rsidRPr="002029AF">
              <w:t xml:space="preserve"> </w:t>
            </w:r>
            <w:r w:rsidRPr="002029AF">
              <w:t>models,</w:t>
            </w:r>
            <w:r w:rsidR="000A5329" w:rsidRPr="002029AF">
              <w:t xml:space="preserve"> </w:t>
            </w:r>
            <w:r w:rsidRPr="002029AF">
              <w:t>National</w:t>
            </w:r>
            <w:r w:rsidR="000A5329" w:rsidRPr="002029AF">
              <w:t xml:space="preserve"> </w:t>
            </w:r>
            <w:r w:rsidRPr="002029AF">
              <w:t>Disability</w:t>
            </w:r>
            <w:r w:rsidR="000A5329" w:rsidRPr="002029AF">
              <w:t xml:space="preserve"> </w:t>
            </w:r>
            <w:r w:rsidRPr="002029AF">
              <w:t>Insurance</w:t>
            </w:r>
            <w:r w:rsidR="000A5329" w:rsidRPr="002029AF">
              <w:t xml:space="preserve"> </w:t>
            </w:r>
            <w:r w:rsidRPr="002029AF">
              <w:t>Scheme</w:t>
            </w:r>
          </w:p>
        </w:tc>
        <w:tc>
          <w:tcPr>
            <w:tcW w:w="766" w:type="pct"/>
          </w:tcPr>
          <w:p w14:paraId="5C32F1AC" w14:textId="77777777" w:rsidR="00CF72D5" w:rsidRPr="002029AF" w:rsidRDefault="00CF72D5" w:rsidP="00A57FDC">
            <w:pPr>
              <w:pStyle w:val="ARtabletextright"/>
            </w:pPr>
            <w:r w:rsidRPr="002029AF">
              <w:t>5,733,188</w:t>
            </w:r>
          </w:p>
        </w:tc>
        <w:tc>
          <w:tcPr>
            <w:tcW w:w="766" w:type="pct"/>
          </w:tcPr>
          <w:p w14:paraId="296E2981" w14:textId="77777777" w:rsidR="00CF72D5" w:rsidRPr="002029AF" w:rsidRDefault="00CF72D5" w:rsidP="00A57FDC">
            <w:pPr>
              <w:pStyle w:val="ARtabletextright"/>
            </w:pPr>
            <w:r w:rsidRPr="002029AF">
              <w:t>1,146,582</w:t>
            </w:r>
          </w:p>
        </w:tc>
        <w:tc>
          <w:tcPr>
            <w:tcW w:w="762" w:type="pct"/>
          </w:tcPr>
          <w:p w14:paraId="023B016D" w14:textId="77777777" w:rsidR="00CF72D5" w:rsidRPr="002029AF" w:rsidRDefault="00CF72D5" w:rsidP="00A57FDC">
            <w:pPr>
              <w:pStyle w:val="ARtabletextright"/>
            </w:pPr>
            <w:r w:rsidRPr="002029AF">
              <w:t>443,451</w:t>
            </w:r>
          </w:p>
        </w:tc>
      </w:tr>
      <w:tr w:rsidR="00CF72D5" w:rsidRPr="002029AF" w14:paraId="6D7D3E3B" w14:textId="77777777" w:rsidTr="00457506">
        <w:tc>
          <w:tcPr>
            <w:tcW w:w="767" w:type="pct"/>
          </w:tcPr>
          <w:p w14:paraId="4FF1FBE2" w14:textId="049D574A" w:rsidR="00CF72D5" w:rsidRPr="002029AF" w:rsidRDefault="00CF72D5" w:rsidP="00A57FDC">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tcPr>
          <w:p w14:paraId="1158E3A6" w14:textId="2AD5DF3C" w:rsidR="00CF72D5" w:rsidRPr="002029AF" w:rsidRDefault="00CF72D5" w:rsidP="00A57FDC">
            <w:pPr>
              <w:pStyle w:val="ARtabletext"/>
            </w:pPr>
            <w:r w:rsidRPr="002029AF">
              <w:t>Porter</w:t>
            </w:r>
            <w:r w:rsidR="000A5329" w:rsidRPr="002029AF">
              <w:t xml:space="preserve"> </w:t>
            </w:r>
            <w:r w:rsidRPr="002029AF">
              <w:t>Novelli</w:t>
            </w:r>
          </w:p>
        </w:tc>
        <w:tc>
          <w:tcPr>
            <w:tcW w:w="1173" w:type="pct"/>
          </w:tcPr>
          <w:p w14:paraId="1A2202EA" w14:textId="0C4C6210" w:rsidR="00CF72D5" w:rsidRPr="002029AF" w:rsidRDefault="00CF72D5" w:rsidP="00A57FDC">
            <w:pPr>
              <w:pStyle w:val="ARtabletext"/>
            </w:pPr>
            <w:r w:rsidRPr="002029AF">
              <w:t>Strategic</w:t>
            </w:r>
            <w:r w:rsidR="000A5329" w:rsidRPr="002029AF">
              <w:t xml:space="preserve"> </w:t>
            </w:r>
            <w:r w:rsidRPr="002029AF">
              <w:t>Communications,</w:t>
            </w:r>
            <w:r w:rsidR="000A5329" w:rsidRPr="002029AF">
              <w:t xml:space="preserve"> </w:t>
            </w:r>
            <w:r w:rsidRPr="002029AF">
              <w:t>Mildura</w:t>
            </w:r>
            <w:r w:rsidR="000A5329" w:rsidRPr="002029AF">
              <w:t xml:space="preserve"> </w:t>
            </w:r>
            <w:r w:rsidRPr="002029AF">
              <w:t>Base</w:t>
            </w:r>
            <w:r w:rsidR="000A5329" w:rsidRPr="002029AF">
              <w:t xml:space="preserve"> </w:t>
            </w:r>
            <w:r w:rsidRPr="002029AF">
              <w:t>Hospital</w:t>
            </w:r>
            <w:r w:rsidR="000A5329" w:rsidRPr="002029AF">
              <w:t xml:space="preserve"> </w:t>
            </w:r>
            <w:r w:rsidRPr="002029AF">
              <w:t>Transition</w:t>
            </w:r>
          </w:p>
        </w:tc>
        <w:tc>
          <w:tcPr>
            <w:tcW w:w="766" w:type="pct"/>
          </w:tcPr>
          <w:p w14:paraId="25D699E9" w14:textId="77777777" w:rsidR="00CF72D5" w:rsidRPr="002029AF" w:rsidRDefault="00CF72D5" w:rsidP="00A57FDC">
            <w:pPr>
              <w:pStyle w:val="ARtabletextright"/>
            </w:pPr>
            <w:r w:rsidRPr="002029AF">
              <w:t>151,500</w:t>
            </w:r>
          </w:p>
        </w:tc>
        <w:tc>
          <w:tcPr>
            <w:tcW w:w="766" w:type="pct"/>
          </w:tcPr>
          <w:p w14:paraId="34DB3D63" w14:textId="77777777" w:rsidR="00CF72D5" w:rsidRPr="002029AF" w:rsidRDefault="00CF72D5" w:rsidP="00A57FDC">
            <w:pPr>
              <w:pStyle w:val="ARtabletextright"/>
            </w:pPr>
            <w:r w:rsidRPr="002029AF">
              <w:t>31,482</w:t>
            </w:r>
          </w:p>
        </w:tc>
        <w:tc>
          <w:tcPr>
            <w:tcW w:w="762" w:type="pct"/>
          </w:tcPr>
          <w:p w14:paraId="59CECC37" w14:textId="77777777" w:rsidR="00CF72D5" w:rsidRPr="002029AF" w:rsidRDefault="00CF72D5" w:rsidP="00A57FDC">
            <w:pPr>
              <w:pStyle w:val="ARtabletextright"/>
            </w:pPr>
            <w:r w:rsidRPr="002029AF">
              <w:t>120,018</w:t>
            </w:r>
          </w:p>
        </w:tc>
      </w:tr>
      <w:tr w:rsidR="00CF72D5" w:rsidRPr="002029AF" w14:paraId="13C01A2B" w14:textId="77777777" w:rsidTr="00457506">
        <w:tc>
          <w:tcPr>
            <w:tcW w:w="767" w:type="pct"/>
          </w:tcPr>
          <w:p w14:paraId="78C95EFB" w14:textId="0557BBF9" w:rsidR="00CF72D5" w:rsidRPr="002029AF" w:rsidRDefault="00CF72D5" w:rsidP="00A57FDC">
            <w:pPr>
              <w:pStyle w:val="ARtabletext"/>
            </w:pPr>
            <w:r w:rsidRPr="002029AF">
              <w:t>Policy/Program</w:t>
            </w:r>
            <w:r w:rsidR="000A5329" w:rsidRPr="002029AF">
              <w:t xml:space="preserve"> </w:t>
            </w:r>
            <w:r w:rsidRPr="002029AF">
              <w:t>Advice</w:t>
            </w:r>
            <w:r w:rsidR="000A5329" w:rsidRPr="002029AF">
              <w:t xml:space="preserve"> </w:t>
            </w:r>
            <w:r w:rsidRPr="002029AF">
              <w:t>&amp;</w:t>
            </w:r>
            <w:r w:rsidR="000A5329" w:rsidRPr="002029AF">
              <w:t xml:space="preserve"> </w:t>
            </w:r>
            <w:r w:rsidRPr="002029AF">
              <w:t>Delivery</w:t>
            </w:r>
          </w:p>
        </w:tc>
        <w:tc>
          <w:tcPr>
            <w:tcW w:w="766" w:type="pct"/>
          </w:tcPr>
          <w:p w14:paraId="604DC5A2" w14:textId="72811A02" w:rsidR="00CF72D5" w:rsidRPr="002029AF" w:rsidRDefault="00CF72D5" w:rsidP="00A57FDC">
            <w:pPr>
              <w:pStyle w:val="ARtabletext"/>
            </w:pPr>
            <w:r w:rsidRPr="002029AF">
              <w:t>Deloitte</w:t>
            </w:r>
            <w:r w:rsidR="000A5329" w:rsidRPr="002029AF">
              <w:t xml:space="preserve"> </w:t>
            </w:r>
            <w:r w:rsidRPr="002029AF">
              <w:t>Touche</w:t>
            </w:r>
            <w:r w:rsidR="000A5329" w:rsidRPr="002029AF">
              <w:t xml:space="preserve"> </w:t>
            </w:r>
            <w:r w:rsidRPr="002029AF">
              <w:t>Tohmatsu</w:t>
            </w:r>
          </w:p>
        </w:tc>
        <w:tc>
          <w:tcPr>
            <w:tcW w:w="1173" w:type="pct"/>
          </w:tcPr>
          <w:p w14:paraId="22A3BAD5" w14:textId="77CB3FEC" w:rsidR="00CF72D5" w:rsidRPr="002029AF" w:rsidRDefault="00CF72D5" w:rsidP="00A57FDC">
            <w:pPr>
              <w:pStyle w:val="ARtabletext"/>
            </w:pPr>
            <w:r w:rsidRPr="002029AF">
              <w:t>Negotiation,</w:t>
            </w:r>
            <w:r w:rsidR="000A5329" w:rsidRPr="002029AF">
              <w:t xml:space="preserve"> </w:t>
            </w:r>
            <w:r w:rsidRPr="002029AF">
              <w:t>Mildura</w:t>
            </w:r>
            <w:r w:rsidR="000A5329" w:rsidRPr="002029AF">
              <w:t xml:space="preserve"> </w:t>
            </w:r>
            <w:r w:rsidRPr="002029AF">
              <w:t>Base</w:t>
            </w:r>
            <w:r w:rsidR="000A5329" w:rsidRPr="002029AF">
              <w:t xml:space="preserve"> </w:t>
            </w:r>
            <w:r w:rsidRPr="002029AF">
              <w:t>Hospital</w:t>
            </w:r>
          </w:p>
        </w:tc>
        <w:tc>
          <w:tcPr>
            <w:tcW w:w="766" w:type="pct"/>
          </w:tcPr>
          <w:p w14:paraId="7E435531" w14:textId="77777777" w:rsidR="00CF72D5" w:rsidRPr="002029AF" w:rsidRDefault="00CF72D5" w:rsidP="00A57FDC">
            <w:pPr>
              <w:pStyle w:val="ARtabletextright"/>
            </w:pPr>
            <w:r w:rsidRPr="002029AF">
              <w:t>724,567</w:t>
            </w:r>
          </w:p>
        </w:tc>
        <w:tc>
          <w:tcPr>
            <w:tcW w:w="766" w:type="pct"/>
          </w:tcPr>
          <w:p w14:paraId="78283481" w14:textId="77777777" w:rsidR="00CF72D5" w:rsidRPr="002029AF" w:rsidRDefault="00CF72D5" w:rsidP="00A57FDC">
            <w:pPr>
              <w:pStyle w:val="ARtabletextright"/>
            </w:pPr>
            <w:r w:rsidRPr="002029AF">
              <w:t>491,713</w:t>
            </w:r>
          </w:p>
        </w:tc>
        <w:tc>
          <w:tcPr>
            <w:tcW w:w="762" w:type="pct"/>
          </w:tcPr>
          <w:p w14:paraId="397334DF" w14:textId="77777777" w:rsidR="00CF72D5" w:rsidRPr="002029AF" w:rsidRDefault="00CF72D5" w:rsidP="00A57FDC">
            <w:pPr>
              <w:pStyle w:val="ARtabletextright"/>
            </w:pPr>
            <w:r w:rsidRPr="002029AF">
              <w:t>232,854</w:t>
            </w:r>
          </w:p>
        </w:tc>
      </w:tr>
      <w:tr w:rsidR="00CF72D5" w:rsidRPr="002029AF" w14:paraId="2454282E" w14:textId="77777777" w:rsidTr="00457506">
        <w:tc>
          <w:tcPr>
            <w:tcW w:w="767" w:type="pct"/>
          </w:tcPr>
          <w:p w14:paraId="4BB89E37" w14:textId="617135B4" w:rsidR="00CF72D5" w:rsidRPr="002029AF" w:rsidRDefault="00CF72D5" w:rsidP="00A57FDC">
            <w:pPr>
              <w:pStyle w:val="ARtabletext"/>
            </w:pPr>
            <w:r w:rsidRPr="002029AF">
              <w:t>Probity</w:t>
            </w:r>
            <w:r w:rsidR="000A5329" w:rsidRPr="002029AF">
              <w:t xml:space="preserve"> </w:t>
            </w:r>
            <w:r w:rsidRPr="002029AF">
              <w:t>&amp;</w:t>
            </w:r>
            <w:r w:rsidR="000A5329" w:rsidRPr="002029AF">
              <w:t xml:space="preserve"> </w:t>
            </w:r>
            <w:r w:rsidRPr="002029AF">
              <w:t>Data</w:t>
            </w:r>
            <w:r w:rsidR="000A5329" w:rsidRPr="002029AF">
              <w:t xml:space="preserve"> </w:t>
            </w:r>
            <w:r w:rsidRPr="002029AF">
              <w:t>Integrity</w:t>
            </w:r>
            <w:r w:rsidR="000A5329" w:rsidRPr="002029AF">
              <w:t xml:space="preserve"> </w:t>
            </w:r>
            <w:r w:rsidRPr="002029AF">
              <w:t>Audit</w:t>
            </w:r>
          </w:p>
        </w:tc>
        <w:tc>
          <w:tcPr>
            <w:tcW w:w="766" w:type="pct"/>
          </w:tcPr>
          <w:p w14:paraId="049A7F79" w14:textId="77777777" w:rsidR="00CF72D5" w:rsidRPr="002029AF" w:rsidRDefault="00CF72D5" w:rsidP="00A57FDC">
            <w:pPr>
              <w:pStyle w:val="ARtabletext"/>
            </w:pPr>
            <w:r w:rsidRPr="002029AF">
              <w:t>KPMG</w:t>
            </w:r>
          </w:p>
        </w:tc>
        <w:tc>
          <w:tcPr>
            <w:tcW w:w="1173" w:type="pct"/>
          </w:tcPr>
          <w:p w14:paraId="3618F01E" w14:textId="3ED5C2D7" w:rsidR="00CF72D5" w:rsidRPr="002029AF" w:rsidRDefault="00CF72D5" w:rsidP="00A57FDC">
            <w:pPr>
              <w:pStyle w:val="ARtabletext"/>
            </w:pPr>
            <w:r w:rsidRPr="002029AF">
              <w:t>Data</w:t>
            </w:r>
            <w:r w:rsidR="000A5329" w:rsidRPr="002029AF">
              <w:t xml:space="preserve"> </w:t>
            </w:r>
            <w:r w:rsidRPr="002029AF">
              <w:t>integrity</w:t>
            </w:r>
            <w:r w:rsidR="000A5329" w:rsidRPr="002029AF">
              <w:t xml:space="preserve"> </w:t>
            </w:r>
            <w:r w:rsidRPr="002029AF">
              <w:t>audits,</w:t>
            </w:r>
            <w:r w:rsidR="000A5329" w:rsidRPr="002029AF">
              <w:t xml:space="preserve"> </w:t>
            </w:r>
            <w:r w:rsidRPr="002029AF">
              <w:t>Victorian</w:t>
            </w:r>
            <w:r w:rsidR="000A5329" w:rsidRPr="002029AF">
              <w:t xml:space="preserve"> </w:t>
            </w:r>
            <w:r w:rsidRPr="002029AF">
              <w:t>admitted</w:t>
            </w:r>
            <w:r w:rsidR="000A5329" w:rsidRPr="002029AF">
              <w:t xml:space="preserve"> </w:t>
            </w:r>
            <w:r w:rsidRPr="002029AF">
              <w:t>episodes</w:t>
            </w:r>
            <w:r w:rsidR="000A5329" w:rsidRPr="002029AF">
              <w:t xml:space="preserve"> </w:t>
            </w:r>
            <w:r w:rsidRPr="002029AF">
              <w:t>dataset</w:t>
            </w:r>
          </w:p>
        </w:tc>
        <w:tc>
          <w:tcPr>
            <w:tcW w:w="766" w:type="pct"/>
          </w:tcPr>
          <w:p w14:paraId="75C07A59" w14:textId="77777777" w:rsidR="00CF72D5" w:rsidRPr="002029AF" w:rsidRDefault="00CF72D5" w:rsidP="00A57FDC">
            <w:pPr>
              <w:pStyle w:val="ARtabletextright"/>
            </w:pPr>
            <w:r w:rsidRPr="002029AF">
              <w:t>2,943,112</w:t>
            </w:r>
          </w:p>
        </w:tc>
        <w:tc>
          <w:tcPr>
            <w:tcW w:w="766" w:type="pct"/>
          </w:tcPr>
          <w:p w14:paraId="7422A529" w14:textId="77777777" w:rsidR="00CF72D5" w:rsidRPr="002029AF" w:rsidRDefault="00CF72D5" w:rsidP="00A57FDC">
            <w:pPr>
              <w:pStyle w:val="ARtabletextright"/>
            </w:pPr>
            <w:r w:rsidRPr="002029AF">
              <w:t>436,198</w:t>
            </w:r>
          </w:p>
        </w:tc>
        <w:tc>
          <w:tcPr>
            <w:tcW w:w="762" w:type="pct"/>
          </w:tcPr>
          <w:p w14:paraId="70270769" w14:textId="77777777" w:rsidR="00CF72D5" w:rsidRPr="002029AF" w:rsidRDefault="00CF72D5" w:rsidP="00A57FDC">
            <w:pPr>
              <w:pStyle w:val="ARtabletextright"/>
            </w:pPr>
            <w:r w:rsidRPr="002029AF">
              <w:t>453,563</w:t>
            </w:r>
          </w:p>
        </w:tc>
      </w:tr>
      <w:tr w:rsidR="00CF72D5" w:rsidRPr="002029AF" w14:paraId="45FA3EDA" w14:textId="77777777" w:rsidTr="00457506">
        <w:tc>
          <w:tcPr>
            <w:tcW w:w="767" w:type="pct"/>
          </w:tcPr>
          <w:p w14:paraId="4B9628E1" w14:textId="63BB5932" w:rsidR="00CF72D5" w:rsidRPr="002029AF" w:rsidRDefault="00CF72D5" w:rsidP="00A57FDC">
            <w:pPr>
              <w:pStyle w:val="ARtabletext"/>
            </w:pPr>
            <w:r w:rsidRPr="002029AF">
              <w:t>Probity</w:t>
            </w:r>
            <w:r w:rsidR="000A5329" w:rsidRPr="002029AF">
              <w:t xml:space="preserve"> </w:t>
            </w:r>
            <w:r w:rsidRPr="002029AF">
              <w:t>&amp;</w:t>
            </w:r>
            <w:r w:rsidR="000A5329" w:rsidRPr="002029AF">
              <w:t xml:space="preserve"> </w:t>
            </w:r>
            <w:r w:rsidRPr="002029AF">
              <w:t>Data</w:t>
            </w:r>
            <w:r w:rsidR="000A5329" w:rsidRPr="002029AF">
              <w:t xml:space="preserve"> </w:t>
            </w:r>
            <w:r w:rsidRPr="002029AF">
              <w:t>Integrity</w:t>
            </w:r>
            <w:r w:rsidR="000A5329" w:rsidRPr="002029AF">
              <w:t xml:space="preserve"> </w:t>
            </w:r>
            <w:r w:rsidRPr="002029AF">
              <w:t>Audit</w:t>
            </w:r>
          </w:p>
        </w:tc>
        <w:tc>
          <w:tcPr>
            <w:tcW w:w="766" w:type="pct"/>
          </w:tcPr>
          <w:p w14:paraId="5AAB141B" w14:textId="4B973C41" w:rsidR="00CF72D5" w:rsidRPr="002029AF" w:rsidRDefault="00CF72D5" w:rsidP="00A57FDC">
            <w:pPr>
              <w:pStyle w:val="ARtabletext"/>
            </w:pPr>
            <w:r w:rsidRPr="002029AF">
              <w:t>Deloitte</w:t>
            </w:r>
            <w:r w:rsidR="000A5329" w:rsidRPr="002029AF">
              <w:t xml:space="preserve"> </w:t>
            </w:r>
            <w:r w:rsidRPr="002029AF">
              <w:t>Touche</w:t>
            </w:r>
            <w:r w:rsidR="000A5329" w:rsidRPr="002029AF">
              <w:t xml:space="preserve"> </w:t>
            </w:r>
            <w:r w:rsidRPr="002029AF">
              <w:t>Tohmatsu</w:t>
            </w:r>
          </w:p>
        </w:tc>
        <w:tc>
          <w:tcPr>
            <w:tcW w:w="1173" w:type="pct"/>
          </w:tcPr>
          <w:p w14:paraId="702F3DE0" w14:textId="6BBBF325" w:rsidR="00CF72D5" w:rsidRPr="002029AF" w:rsidRDefault="00CF72D5" w:rsidP="00A57FDC">
            <w:pPr>
              <w:pStyle w:val="ARtabletext"/>
            </w:pPr>
            <w:r w:rsidRPr="002029AF">
              <w:t>Due</w:t>
            </w:r>
            <w:r w:rsidR="000A5329" w:rsidRPr="002029AF">
              <w:t xml:space="preserve"> </w:t>
            </w:r>
            <w:r w:rsidRPr="002029AF">
              <w:t>Diligence,</w:t>
            </w:r>
            <w:r w:rsidR="000A5329" w:rsidRPr="002029AF">
              <w:t xml:space="preserve"> </w:t>
            </w:r>
            <w:r w:rsidRPr="002029AF">
              <w:t>Mildura</w:t>
            </w:r>
            <w:r w:rsidR="000A5329" w:rsidRPr="002029AF">
              <w:t xml:space="preserve"> </w:t>
            </w:r>
            <w:r w:rsidRPr="002029AF">
              <w:t>Base</w:t>
            </w:r>
            <w:r w:rsidR="000A5329" w:rsidRPr="002029AF">
              <w:t xml:space="preserve"> </w:t>
            </w:r>
            <w:r w:rsidRPr="002029AF">
              <w:t>Hospital</w:t>
            </w:r>
          </w:p>
        </w:tc>
        <w:tc>
          <w:tcPr>
            <w:tcW w:w="766" w:type="pct"/>
          </w:tcPr>
          <w:p w14:paraId="5F65B40F" w14:textId="77777777" w:rsidR="00CF72D5" w:rsidRPr="002029AF" w:rsidRDefault="00CF72D5" w:rsidP="00A57FDC">
            <w:pPr>
              <w:pStyle w:val="ARtabletextright"/>
            </w:pPr>
            <w:r w:rsidRPr="002029AF">
              <w:t>477,138</w:t>
            </w:r>
          </w:p>
        </w:tc>
        <w:tc>
          <w:tcPr>
            <w:tcW w:w="766" w:type="pct"/>
          </w:tcPr>
          <w:p w14:paraId="5BB97CB0" w14:textId="77777777" w:rsidR="00CF72D5" w:rsidRPr="002029AF" w:rsidRDefault="00CF72D5" w:rsidP="00A57FDC">
            <w:pPr>
              <w:pStyle w:val="ARtabletextright"/>
            </w:pPr>
            <w:r w:rsidRPr="002029AF">
              <w:t>464,866</w:t>
            </w:r>
          </w:p>
        </w:tc>
        <w:tc>
          <w:tcPr>
            <w:tcW w:w="762" w:type="pct"/>
          </w:tcPr>
          <w:p w14:paraId="75F15296" w14:textId="77777777" w:rsidR="00CF72D5" w:rsidRPr="002029AF" w:rsidRDefault="00CF72D5" w:rsidP="00A57FDC">
            <w:pPr>
              <w:pStyle w:val="ARtabletextright"/>
            </w:pPr>
            <w:r w:rsidRPr="002029AF">
              <w:t>12,272</w:t>
            </w:r>
          </w:p>
        </w:tc>
      </w:tr>
      <w:tr w:rsidR="00CF72D5" w:rsidRPr="002029AF" w14:paraId="49F8CE29" w14:textId="77777777" w:rsidTr="00457506">
        <w:tc>
          <w:tcPr>
            <w:tcW w:w="767" w:type="pct"/>
          </w:tcPr>
          <w:p w14:paraId="2C49FC80" w14:textId="053E93CA" w:rsidR="00CF72D5" w:rsidRPr="002029AF" w:rsidRDefault="00CF72D5" w:rsidP="00A57FDC">
            <w:pPr>
              <w:pStyle w:val="ARtabletext"/>
            </w:pPr>
            <w:r w:rsidRPr="002029AF">
              <w:t>Probity</w:t>
            </w:r>
            <w:r w:rsidR="000A5329" w:rsidRPr="002029AF">
              <w:t xml:space="preserve"> </w:t>
            </w:r>
            <w:r w:rsidRPr="002029AF">
              <w:t>&amp;</w:t>
            </w:r>
            <w:r w:rsidR="000A5329" w:rsidRPr="002029AF">
              <w:t xml:space="preserve"> </w:t>
            </w:r>
            <w:r w:rsidRPr="002029AF">
              <w:t>Data</w:t>
            </w:r>
            <w:r w:rsidR="000A5329" w:rsidRPr="002029AF">
              <w:t xml:space="preserve"> </w:t>
            </w:r>
            <w:r w:rsidRPr="002029AF">
              <w:t>Integrity</w:t>
            </w:r>
            <w:r w:rsidR="000A5329" w:rsidRPr="002029AF">
              <w:t xml:space="preserve"> </w:t>
            </w:r>
            <w:r w:rsidRPr="002029AF">
              <w:t>Audit</w:t>
            </w:r>
          </w:p>
        </w:tc>
        <w:tc>
          <w:tcPr>
            <w:tcW w:w="766" w:type="pct"/>
          </w:tcPr>
          <w:p w14:paraId="2D688308" w14:textId="1F3519AF" w:rsidR="00CF72D5" w:rsidRPr="002029AF" w:rsidRDefault="00CF72D5" w:rsidP="00A57FDC">
            <w:pPr>
              <w:pStyle w:val="ARtabletext"/>
            </w:pPr>
            <w:r w:rsidRPr="002029AF">
              <w:t>Jenny</w:t>
            </w:r>
            <w:r w:rsidR="000A5329" w:rsidRPr="002029AF">
              <w:t xml:space="preserve"> </w:t>
            </w:r>
            <w:r w:rsidRPr="002029AF">
              <w:t>Dwyer</w:t>
            </w:r>
            <w:r w:rsidR="000A5329" w:rsidRPr="002029AF">
              <w:t xml:space="preserve"> </w:t>
            </w:r>
            <w:r w:rsidRPr="002029AF">
              <w:t>Associates</w:t>
            </w:r>
          </w:p>
        </w:tc>
        <w:tc>
          <w:tcPr>
            <w:tcW w:w="1173" w:type="pct"/>
          </w:tcPr>
          <w:p w14:paraId="1D779D27" w14:textId="656C9DFB" w:rsidR="00CF72D5" w:rsidRPr="002029AF" w:rsidRDefault="00CF72D5" w:rsidP="00A57FDC">
            <w:pPr>
              <w:pStyle w:val="ARtabletext"/>
            </w:pPr>
            <w:r w:rsidRPr="002029AF">
              <w:t>Inquiry,</w:t>
            </w:r>
            <w:r w:rsidR="000A5329" w:rsidRPr="002029AF">
              <w:t xml:space="preserve"> </w:t>
            </w:r>
            <w:r w:rsidRPr="002029AF">
              <w:t>Services</w:t>
            </w:r>
            <w:r w:rsidR="000A5329" w:rsidRPr="002029AF">
              <w:t xml:space="preserve"> </w:t>
            </w:r>
            <w:r w:rsidRPr="002029AF">
              <w:t>delivered</w:t>
            </w:r>
            <w:r w:rsidR="000A5329" w:rsidRPr="002029AF">
              <w:t xml:space="preserve"> </w:t>
            </w:r>
            <w:r w:rsidRPr="002029AF">
              <w:t>by</w:t>
            </w:r>
            <w:r w:rsidR="000A5329" w:rsidRPr="002029AF">
              <w:t xml:space="preserve"> </w:t>
            </w:r>
            <w:r w:rsidRPr="002029AF">
              <w:t>government</w:t>
            </w:r>
          </w:p>
        </w:tc>
        <w:tc>
          <w:tcPr>
            <w:tcW w:w="766" w:type="pct"/>
          </w:tcPr>
          <w:p w14:paraId="10D4B371" w14:textId="77777777" w:rsidR="00CF72D5" w:rsidRPr="002029AF" w:rsidRDefault="00CF72D5" w:rsidP="00A57FDC">
            <w:pPr>
              <w:pStyle w:val="ARtabletextright"/>
            </w:pPr>
            <w:r w:rsidRPr="002029AF">
              <w:t>72,682</w:t>
            </w:r>
          </w:p>
        </w:tc>
        <w:tc>
          <w:tcPr>
            <w:tcW w:w="766" w:type="pct"/>
          </w:tcPr>
          <w:p w14:paraId="4AF4BA76" w14:textId="77777777" w:rsidR="00CF72D5" w:rsidRPr="002029AF" w:rsidRDefault="00CF72D5" w:rsidP="00A57FDC">
            <w:pPr>
              <w:pStyle w:val="ARtabletextright"/>
            </w:pPr>
            <w:r w:rsidRPr="002029AF">
              <w:t>72,000</w:t>
            </w:r>
          </w:p>
        </w:tc>
        <w:tc>
          <w:tcPr>
            <w:tcW w:w="762" w:type="pct"/>
          </w:tcPr>
          <w:p w14:paraId="29A2147D" w14:textId="77777777" w:rsidR="00CF72D5" w:rsidRPr="002029AF" w:rsidRDefault="00CF72D5" w:rsidP="00A57FDC">
            <w:pPr>
              <w:pStyle w:val="ARtabletextright"/>
            </w:pPr>
            <w:r w:rsidRPr="002029AF">
              <w:t>682</w:t>
            </w:r>
          </w:p>
        </w:tc>
      </w:tr>
      <w:tr w:rsidR="00CF72D5" w:rsidRPr="002029AF" w14:paraId="3154C70A" w14:textId="77777777" w:rsidTr="00457506">
        <w:tc>
          <w:tcPr>
            <w:tcW w:w="767" w:type="pct"/>
          </w:tcPr>
          <w:p w14:paraId="6909D10F" w14:textId="65E4EC60" w:rsidR="00CF72D5" w:rsidRPr="002029AF" w:rsidRDefault="00CF72D5" w:rsidP="00A57FDC">
            <w:pPr>
              <w:pStyle w:val="ARtabletext"/>
            </w:pPr>
            <w:r w:rsidRPr="002029AF">
              <w:t>Probity</w:t>
            </w:r>
            <w:r w:rsidR="000A5329" w:rsidRPr="002029AF">
              <w:t xml:space="preserve"> </w:t>
            </w:r>
            <w:r w:rsidRPr="002029AF">
              <w:t>&amp;</w:t>
            </w:r>
            <w:r w:rsidR="000A5329" w:rsidRPr="002029AF">
              <w:t xml:space="preserve"> </w:t>
            </w:r>
            <w:r w:rsidRPr="002029AF">
              <w:t>Data</w:t>
            </w:r>
            <w:r w:rsidR="000A5329" w:rsidRPr="002029AF">
              <w:t xml:space="preserve"> </w:t>
            </w:r>
            <w:r w:rsidRPr="002029AF">
              <w:t>Integrity</w:t>
            </w:r>
            <w:r w:rsidR="000A5329" w:rsidRPr="002029AF">
              <w:t xml:space="preserve"> </w:t>
            </w:r>
            <w:r w:rsidRPr="002029AF">
              <w:t>Audit</w:t>
            </w:r>
          </w:p>
        </w:tc>
        <w:tc>
          <w:tcPr>
            <w:tcW w:w="766" w:type="pct"/>
          </w:tcPr>
          <w:p w14:paraId="38A6284E" w14:textId="545E6A03" w:rsidR="00CF72D5" w:rsidRPr="002029AF" w:rsidRDefault="00CF72D5" w:rsidP="00A57FDC">
            <w:pPr>
              <w:pStyle w:val="ARtabletext"/>
            </w:pPr>
            <w:r w:rsidRPr="002029AF">
              <w:t>Holly</w:t>
            </w:r>
            <w:r w:rsidR="000A5329" w:rsidRPr="002029AF">
              <w:t xml:space="preserve"> </w:t>
            </w:r>
            <w:r w:rsidRPr="002029AF">
              <w:t>Charles</w:t>
            </w:r>
            <w:r w:rsidR="000A5329" w:rsidRPr="002029AF">
              <w:t xml:space="preserve"> </w:t>
            </w:r>
            <w:r w:rsidRPr="002029AF">
              <w:t>Ireland</w:t>
            </w:r>
          </w:p>
        </w:tc>
        <w:tc>
          <w:tcPr>
            <w:tcW w:w="1173" w:type="pct"/>
          </w:tcPr>
          <w:p w14:paraId="59651BD7" w14:textId="1722104F" w:rsidR="00CF72D5" w:rsidRPr="002029AF" w:rsidRDefault="00CF72D5" w:rsidP="00A57FDC">
            <w:pPr>
              <w:pStyle w:val="ARtabletext"/>
            </w:pPr>
            <w:r w:rsidRPr="002029AF">
              <w:t>Inquiry,</w:t>
            </w:r>
            <w:r w:rsidR="000A5329" w:rsidRPr="002029AF">
              <w:t xml:space="preserve"> </w:t>
            </w:r>
            <w:r w:rsidRPr="002029AF">
              <w:t>Services</w:t>
            </w:r>
            <w:r w:rsidR="000A5329" w:rsidRPr="002029AF">
              <w:t xml:space="preserve"> </w:t>
            </w:r>
            <w:r w:rsidRPr="002029AF">
              <w:t>delivered</w:t>
            </w:r>
            <w:r w:rsidR="000A5329" w:rsidRPr="002029AF">
              <w:t xml:space="preserve"> </w:t>
            </w:r>
            <w:r w:rsidRPr="002029AF">
              <w:t>by</w:t>
            </w:r>
            <w:r w:rsidR="000A5329" w:rsidRPr="002029AF">
              <w:t xml:space="preserve"> </w:t>
            </w:r>
            <w:r w:rsidRPr="002029AF">
              <w:t>government</w:t>
            </w:r>
          </w:p>
        </w:tc>
        <w:tc>
          <w:tcPr>
            <w:tcW w:w="766" w:type="pct"/>
          </w:tcPr>
          <w:p w14:paraId="16E9E957" w14:textId="77777777" w:rsidR="00CF72D5" w:rsidRPr="002029AF" w:rsidRDefault="00CF72D5" w:rsidP="00A57FDC">
            <w:pPr>
              <w:pStyle w:val="ARtabletextright"/>
            </w:pPr>
            <w:r w:rsidRPr="002029AF">
              <w:t>26,260</w:t>
            </w:r>
          </w:p>
        </w:tc>
        <w:tc>
          <w:tcPr>
            <w:tcW w:w="766" w:type="pct"/>
          </w:tcPr>
          <w:p w14:paraId="26A9671A" w14:textId="77777777" w:rsidR="00CF72D5" w:rsidRPr="002029AF" w:rsidRDefault="00CF72D5" w:rsidP="00A57FDC">
            <w:pPr>
              <w:pStyle w:val="ARtabletextright"/>
            </w:pPr>
            <w:r w:rsidRPr="002029AF">
              <w:t>25,510</w:t>
            </w:r>
          </w:p>
        </w:tc>
        <w:tc>
          <w:tcPr>
            <w:tcW w:w="762" w:type="pct"/>
          </w:tcPr>
          <w:p w14:paraId="4BE528A3" w14:textId="77777777" w:rsidR="00CF72D5" w:rsidRPr="002029AF" w:rsidRDefault="00CF72D5" w:rsidP="00A57FDC">
            <w:pPr>
              <w:pStyle w:val="ARtabletextright"/>
            </w:pPr>
            <w:r w:rsidRPr="002029AF">
              <w:t>750</w:t>
            </w:r>
          </w:p>
        </w:tc>
      </w:tr>
      <w:tr w:rsidR="00CF72D5" w:rsidRPr="002029AF" w14:paraId="774014A6" w14:textId="77777777" w:rsidTr="00457506">
        <w:tc>
          <w:tcPr>
            <w:tcW w:w="767" w:type="pct"/>
          </w:tcPr>
          <w:p w14:paraId="1C648B99" w14:textId="69963FFC" w:rsidR="00CF72D5" w:rsidRPr="002029AF" w:rsidRDefault="00CF72D5" w:rsidP="00A57FDC">
            <w:pPr>
              <w:pStyle w:val="ARtabletext"/>
            </w:pPr>
            <w:r w:rsidRPr="002029AF">
              <w:t>Probity</w:t>
            </w:r>
            <w:r w:rsidR="000A5329" w:rsidRPr="002029AF">
              <w:t xml:space="preserve"> </w:t>
            </w:r>
            <w:r w:rsidRPr="002029AF">
              <w:t>&amp;</w:t>
            </w:r>
            <w:r w:rsidR="000A5329" w:rsidRPr="002029AF">
              <w:t xml:space="preserve"> </w:t>
            </w:r>
            <w:r w:rsidRPr="002029AF">
              <w:t>Data</w:t>
            </w:r>
            <w:r w:rsidR="000A5329" w:rsidRPr="002029AF">
              <w:t xml:space="preserve"> </w:t>
            </w:r>
            <w:r w:rsidRPr="002029AF">
              <w:t>Integrity</w:t>
            </w:r>
            <w:r w:rsidR="000A5329" w:rsidRPr="002029AF">
              <w:t xml:space="preserve"> </w:t>
            </w:r>
            <w:r w:rsidRPr="002029AF">
              <w:t>Audit</w:t>
            </w:r>
          </w:p>
        </w:tc>
        <w:tc>
          <w:tcPr>
            <w:tcW w:w="766" w:type="pct"/>
          </w:tcPr>
          <w:p w14:paraId="584C3290" w14:textId="55D49592" w:rsidR="00CF72D5" w:rsidRPr="002029AF" w:rsidRDefault="00CF72D5" w:rsidP="00A57FDC">
            <w:pPr>
              <w:pStyle w:val="ARtabletext"/>
            </w:pPr>
            <w:r w:rsidRPr="002029AF">
              <w:t>AMCOSH</w:t>
            </w:r>
            <w:r w:rsidR="000A5329" w:rsidRPr="002029AF">
              <w:t xml:space="preserve"> </w:t>
            </w:r>
            <w:r w:rsidRPr="002029AF">
              <w:t>Pty</w:t>
            </w:r>
            <w:r w:rsidR="000A5329" w:rsidRPr="002029AF">
              <w:t xml:space="preserve"> </w:t>
            </w:r>
            <w:r w:rsidRPr="002029AF">
              <w:t>Ltd</w:t>
            </w:r>
          </w:p>
        </w:tc>
        <w:tc>
          <w:tcPr>
            <w:tcW w:w="1173" w:type="pct"/>
          </w:tcPr>
          <w:p w14:paraId="7E3CB12D" w14:textId="277AFC61" w:rsidR="00CF72D5" w:rsidRPr="002029AF" w:rsidRDefault="00CF72D5" w:rsidP="00A57FDC">
            <w:pPr>
              <w:pStyle w:val="ARtabletext"/>
            </w:pPr>
            <w:r w:rsidRPr="002029AF">
              <w:t>Lead</w:t>
            </w:r>
            <w:r w:rsidR="000A5329" w:rsidRPr="002029AF">
              <w:t xml:space="preserve"> </w:t>
            </w:r>
            <w:r w:rsidRPr="002029AF">
              <w:t>Environmental</w:t>
            </w:r>
            <w:r w:rsidR="000A5329" w:rsidRPr="002029AF">
              <w:t xml:space="preserve"> </w:t>
            </w:r>
            <w:r w:rsidRPr="002029AF">
              <w:t>Investigations</w:t>
            </w:r>
          </w:p>
        </w:tc>
        <w:tc>
          <w:tcPr>
            <w:tcW w:w="766" w:type="pct"/>
          </w:tcPr>
          <w:p w14:paraId="7965F6A4" w14:textId="77777777" w:rsidR="00CF72D5" w:rsidRPr="002029AF" w:rsidRDefault="00CF72D5" w:rsidP="00A57FDC">
            <w:pPr>
              <w:pStyle w:val="ARtabletextright"/>
            </w:pPr>
            <w:r w:rsidRPr="002029AF">
              <w:t>43,636</w:t>
            </w:r>
          </w:p>
        </w:tc>
        <w:tc>
          <w:tcPr>
            <w:tcW w:w="766" w:type="pct"/>
          </w:tcPr>
          <w:p w14:paraId="57B3F5FA" w14:textId="77777777" w:rsidR="00CF72D5" w:rsidRPr="002029AF" w:rsidRDefault="00CF72D5" w:rsidP="00A57FDC">
            <w:pPr>
              <w:pStyle w:val="ARtabletextright"/>
            </w:pPr>
            <w:r w:rsidRPr="002029AF">
              <w:t>21,325</w:t>
            </w:r>
          </w:p>
        </w:tc>
        <w:tc>
          <w:tcPr>
            <w:tcW w:w="762" w:type="pct"/>
          </w:tcPr>
          <w:p w14:paraId="2DF0502A" w14:textId="77777777" w:rsidR="00CF72D5" w:rsidRPr="002029AF" w:rsidRDefault="00CF72D5" w:rsidP="00A57FDC">
            <w:pPr>
              <w:pStyle w:val="ARtabletextright"/>
            </w:pPr>
            <w:r w:rsidRPr="002029AF">
              <w:t>14,557</w:t>
            </w:r>
          </w:p>
        </w:tc>
      </w:tr>
      <w:tr w:rsidR="00CF72D5" w:rsidRPr="002029AF" w14:paraId="5CE72E3B" w14:textId="77777777" w:rsidTr="00457506">
        <w:tc>
          <w:tcPr>
            <w:tcW w:w="767" w:type="pct"/>
          </w:tcPr>
          <w:p w14:paraId="706529C0" w14:textId="0E61B4D0" w:rsidR="00CF72D5" w:rsidRPr="002029AF" w:rsidRDefault="00CF72D5" w:rsidP="00A57FDC">
            <w:pPr>
              <w:pStyle w:val="ARtabletext"/>
            </w:pPr>
            <w:r w:rsidRPr="002029AF">
              <w:t>Probity</w:t>
            </w:r>
            <w:r w:rsidR="000A5329" w:rsidRPr="002029AF">
              <w:t xml:space="preserve"> </w:t>
            </w:r>
            <w:r w:rsidRPr="002029AF">
              <w:t>&amp;</w:t>
            </w:r>
            <w:r w:rsidR="000A5329" w:rsidRPr="002029AF">
              <w:t xml:space="preserve"> </w:t>
            </w:r>
            <w:r w:rsidRPr="002029AF">
              <w:t>Data</w:t>
            </w:r>
            <w:r w:rsidR="000A5329" w:rsidRPr="002029AF">
              <w:t xml:space="preserve"> </w:t>
            </w:r>
            <w:r w:rsidRPr="002029AF">
              <w:t>Integrity</w:t>
            </w:r>
            <w:r w:rsidR="000A5329" w:rsidRPr="002029AF">
              <w:t xml:space="preserve"> </w:t>
            </w:r>
            <w:r w:rsidRPr="002029AF">
              <w:t>Audit</w:t>
            </w:r>
          </w:p>
        </w:tc>
        <w:tc>
          <w:tcPr>
            <w:tcW w:w="766" w:type="pct"/>
          </w:tcPr>
          <w:p w14:paraId="73FF97EB" w14:textId="51574BD8" w:rsidR="00CF72D5" w:rsidRPr="002029AF" w:rsidRDefault="00CF72D5" w:rsidP="00A57FDC">
            <w:pPr>
              <w:pStyle w:val="ARtabletext"/>
            </w:pPr>
            <w:r w:rsidRPr="002029AF">
              <w:t>Due</w:t>
            </w:r>
            <w:r w:rsidR="000A5329" w:rsidRPr="002029AF">
              <w:t xml:space="preserve"> </w:t>
            </w:r>
            <w:r w:rsidRPr="002029AF">
              <w:t>Diligence</w:t>
            </w:r>
            <w:r w:rsidR="000A5329" w:rsidRPr="002029AF">
              <w:t xml:space="preserve"> </w:t>
            </w:r>
            <w:r w:rsidRPr="002029AF">
              <w:t>Consultants</w:t>
            </w:r>
            <w:r w:rsidR="000A5329" w:rsidRPr="002029AF">
              <w:t xml:space="preserve"> </w:t>
            </w:r>
            <w:r w:rsidRPr="002029AF">
              <w:t>Pty</w:t>
            </w:r>
            <w:r w:rsidR="000A5329" w:rsidRPr="002029AF">
              <w:t xml:space="preserve"> </w:t>
            </w:r>
            <w:r w:rsidRPr="002029AF">
              <w:t>Ltd</w:t>
            </w:r>
          </w:p>
        </w:tc>
        <w:tc>
          <w:tcPr>
            <w:tcW w:w="1173" w:type="pct"/>
          </w:tcPr>
          <w:p w14:paraId="2F74053D" w14:textId="35046714" w:rsidR="00CF72D5" w:rsidRPr="002029AF" w:rsidRDefault="00CF72D5" w:rsidP="00A57FDC">
            <w:pPr>
              <w:pStyle w:val="ARtabletext"/>
            </w:pPr>
            <w:r w:rsidRPr="002029AF">
              <w:t>Due</w:t>
            </w:r>
            <w:r w:rsidR="000A5329" w:rsidRPr="002029AF">
              <w:t xml:space="preserve"> </w:t>
            </w:r>
            <w:r w:rsidRPr="002029AF">
              <w:t>Diligence</w:t>
            </w:r>
            <w:r w:rsidR="000A5329" w:rsidRPr="002029AF">
              <w:t xml:space="preserve"> </w:t>
            </w:r>
            <w:r w:rsidRPr="002029AF">
              <w:t>Reporting</w:t>
            </w:r>
          </w:p>
        </w:tc>
        <w:tc>
          <w:tcPr>
            <w:tcW w:w="766" w:type="pct"/>
          </w:tcPr>
          <w:p w14:paraId="10F9BA2C" w14:textId="77777777" w:rsidR="00CF72D5" w:rsidRPr="002029AF" w:rsidRDefault="00CF72D5" w:rsidP="00A57FDC">
            <w:pPr>
              <w:pStyle w:val="ARtabletextright"/>
            </w:pPr>
            <w:r w:rsidRPr="002029AF">
              <w:t>169,275</w:t>
            </w:r>
          </w:p>
        </w:tc>
        <w:tc>
          <w:tcPr>
            <w:tcW w:w="766" w:type="pct"/>
          </w:tcPr>
          <w:p w14:paraId="5767E8A0" w14:textId="77777777" w:rsidR="00CF72D5" w:rsidRPr="002029AF" w:rsidRDefault="00CF72D5" w:rsidP="00A57FDC">
            <w:pPr>
              <w:pStyle w:val="ARtabletextright"/>
            </w:pPr>
            <w:r w:rsidRPr="002029AF">
              <w:t>30,159</w:t>
            </w:r>
          </w:p>
        </w:tc>
        <w:tc>
          <w:tcPr>
            <w:tcW w:w="762" w:type="pct"/>
          </w:tcPr>
          <w:p w14:paraId="48541645" w14:textId="77777777" w:rsidR="00CF72D5" w:rsidRPr="002029AF" w:rsidRDefault="00CF72D5" w:rsidP="00A57FDC">
            <w:pPr>
              <w:pStyle w:val="ARtabletextright"/>
            </w:pPr>
            <w:r w:rsidRPr="002029AF">
              <w:t>65,576</w:t>
            </w:r>
          </w:p>
        </w:tc>
      </w:tr>
      <w:tr w:rsidR="00CF72D5" w:rsidRPr="002029AF" w14:paraId="48D38A21" w14:textId="77777777" w:rsidTr="00457506">
        <w:tc>
          <w:tcPr>
            <w:tcW w:w="767" w:type="pct"/>
          </w:tcPr>
          <w:p w14:paraId="2BE56D1E" w14:textId="3286B9A7" w:rsidR="00CF72D5" w:rsidRPr="002029AF" w:rsidRDefault="00CF72D5" w:rsidP="00A57FDC">
            <w:pPr>
              <w:pStyle w:val="ARtabletext"/>
            </w:pPr>
            <w:r w:rsidRPr="002029AF">
              <w:t>Program</w:t>
            </w:r>
            <w:r w:rsidR="000A5329" w:rsidRPr="002029AF">
              <w:t xml:space="preserve"> </w:t>
            </w:r>
            <w:r w:rsidRPr="002029AF">
              <w:t>Assessment</w:t>
            </w:r>
            <w:r w:rsidR="000A5329" w:rsidRPr="002029AF">
              <w:t xml:space="preserve"> </w:t>
            </w:r>
            <w:r w:rsidRPr="002029AF">
              <w:t>&amp;</w:t>
            </w:r>
            <w:r w:rsidR="000A5329" w:rsidRPr="002029AF">
              <w:t xml:space="preserve"> </w:t>
            </w:r>
            <w:r w:rsidRPr="002029AF">
              <w:t>Evaluation</w:t>
            </w:r>
          </w:p>
        </w:tc>
        <w:tc>
          <w:tcPr>
            <w:tcW w:w="766" w:type="pct"/>
          </w:tcPr>
          <w:p w14:paraId="1B97F004" w14:textId="1F8BA78A" w:rsidR="00CF72D5" w:rsidRPr="002029AF" w:rsidRDefault="00CF72D5" w:rsidP="00A57FDC">
            <w:pPr>
              <w:pStyle w:val="ARtabletext"/>
            </w:pPr>
            <w:r w:rsidRPr="002029AF">
              <w:t>HDAA</w:t>
            </w:r>
            <w:r w:rsidR="000A5329" w:rsidRPr="002029AF">
              <w:t xml:space="preserve"> </w:t>
            </w:r>
            <w:r w:rsidRPr="002029AF">
              <w:t>Australia</w:t>
            </w:r>
            <w:r w:rsidR="000A5329" w:rsidRPr="002029AF">
              <w:t xml:space="preserve"> </w:t>
            </w:r>
            <w:r w:rsidRPr="002029AF">
              <w:t>Pty</w:t>
            </w:r>
            <w:r w:rsidR="000A5329" w:rsidRPr="002029AF">
              <w:t xml:space="preserve"> </w:t>
            </w:r>
            <w:r w:rsidRPr="002029AF">
              <w:t>Ltd</w:t>
            </w:r>
          </w:p>
        </w:tc>
        <w:tc>
          <w:tcPr>
            <w:tcW w:w="1173" w:type="pct"/>
          </w:tcPr>
          <w:p w14:paraId="2EDF944F" w14:textId="23357904" w:rsidR="00CF72D5" w:rsidRPr="002029AF" w:rsidRDefault="00CF72D5" w:rsidP="00A57FDC">
            <w:pPr>
              <w:pStyle w:val="ARtabletext"/>
            </w:pPr>
            <w:r w:rsidRPr="002029AF">
              <w:t>Standards</w:t>
            </w:r>
            <w:r w:rsidR="000A5329" w:rsidRPr="002029AF">
              <w:t xml:space="preserve"> </w:t>
            </w:r>
            <w:r w:rsidRPr="002029AF">
              <w:t>Audit,</w:t>
            </w:r>
            <w:r w:rsidR="000A5329" w:rsidRPr="002029AF">
              <w:t xml:space="preserve"> </w:t>
            </w:r>
            <w:r w:rsidRPr="002029AF">
              <w:t>Human</w:t>
            </w:r>
            <w:r w:rsidR="000A5329" w:rsidRPr="002029AF">
              <w:t xml:space="preserve"> </w:t>
            </w:r>
            <w:r w:rsidRPr="002029AF">
              <w:t>Services</w:t>
            </w:r>
            <w:r w:rsidR="000A5329" w:rsidRPr="002029AF">
              <w:t xml:space="preserve"> </w:t>
            </w:r>
            <w:r w:rsidRPr="002029AF">
              <w:t>Independent</w:t>
            </w:r>
            <w:r w:rsidR="000A5329" w:rsidRPr="002029AF">
              <w:t xml:space="preserve"> </w:t>
            </w:r>
            <w:r w:rsidRPr="002029AF">
              <w:t>Monitoring</w:t>
            </w:r>
            <w:r w:rsidR="000A5329" w:rsidRPr="002029AF">
              <w:t xml:space="preserve"> </w:t>
            </w:r>
            <w:r w:rsidRPr="002029AF">
              <w:t>(North</w:t>
            </w:r>
            <w:r w:rsidR="000A5329" w:rsidRPr="002029AF">
              <w:t xml:space="preserve"> </w:t>
            </w:r>
            <w:r w:rsidRPr="002029AF">
              <w:t>Division)</w:t>
            </w:r>
          </w:p>
        </w:tc>
        <w:tc>
          <w:tcPr>
            <w:tcW w:w="766" w:type="pct"/>
          </w:tcPr>
          <w:p w14:paraId="52495FC8" w14:textId="77777777" w:rsidR="00CF72D5" w:rsidRPr="002029AF" w:rsidRDefault="00CF72D5" w:rsidP="00A57FDC">
            <w:pPr>
              <w:pStyle w:val="ARtabletextright"/>
            </w:pPr>
            <w:r w:rsidRPr="002029AF">
              <w:t>112,883</w:t>
            </w:r>
          </w:p>
        </w:tc>
        <w:tc>
          <w:tcPr>
            <w:tcW w:w="766" w:type="pct"/>
          </w:tcPr>
          <w:p w14:paraId="63EC67A0" w14:textId="77777777" w:rsidR="00CF72D5" w:rsidRPr="002029AF" w:rsidRDefault="00CF72D5" w:rsidP="00A57FDC">
            <w:pPr>
              <w:pStyle w:val="ARtabletextright"/>
            </w:pPr>
            <w:r w:rsidRPr="002029AF">
              <w:t>32,325</w:t>
            </w:r>
          </w:p>
        </w:tc>
        <w:tc>
          <w:tcPr>
            <w:tcW w:w="762" w:type="pct"/>
          </w:tcPr>
          <w:p w14:paraId="7F505B82" w14:textId="77777777" w:rsidR="00CF72D5" w:rsidRPr="002029AF" w:rsidRDefault="00CF72D5" w:rsidP="00A57FDC">
            <w:pPr>
              <w:pStyle w:val="ARtabletextright"/>
            </w:pPr>
            <w:r w:rsidRPr="002029AF">
              <w:t>743</w:t>
            </w:r>
          </w:p>
        </w:tc>
      </w:tr>
      <w:tr w:rsidR="00CF72D5" w:rsidRPr="002029AF" w14:paraId="4C1D1580" w14:textId="77777777" w:rsidTr="00457506">
        <w:tc>
          <w:tcPr>
            <w:tcW w:w="767" w:type="pct"/>
          </w:tcPr>
          <w:p w14:paraId="7666F039" w14:textId="67095F64" w:rsidR="00CF72D5" w:rsidRPr="002029AF" w:rsidRDefault="00CF72D5" w:rsidP="00A57FDC">
            <w:pPr>
              <w:pStyle w:val="ARtabletext"/>
            </w:pPr>
            <w:r w:rsidRPr="002029AF">
              <w:t>Program</w:t>
            </w:r>
            <w:r w:rsidR="000A5329" w:rsidRPr="002029AF">
              <w:t xml:space="preserve"> </w:t>
            </w:r>
            <w:r w:rsidRPr="002029AF">
              <w:t>Assessment</w:t>
            </w:r>
            <w:r w:rsidR="000A5329" w:rsidRPr="002029AF">
              <w:t xml:space="preserve"> </w:t>
            </w:r>
            <w:r w:rsidRPr="002029AF">
              <w:t>&amp;</w:t>
            </w:r>
            <w:r w:rsidR="000A5329" w:rsidRPr="002029AF">
              <w:t xml:space="preserve"> </w:t>
            </w:r>
            <w:r w:rsidRPr="002029AF">
              <w:t>Evaluation</w:t>
            </w:r>
          </w:p>
        </w:tc>
        <w:tc>
          <w:tcPr>
            <w:tcW w:w="766" w:type="pct"/>
          </w:tcPr>
          <w:p w14:paraId="661AAB8C" w14:textId="3DD3D76D" w:rsidR="00CF72D5" w:rsidRPr="002029AF" w:rsidRDefault="00CF72D5" w:rsidP="00A57FDC">
            <w:pPr>
              <w:pStyle w:val="ARtabletext"/>
            </w:pPr>
            <w:r w:rsidRPr="002029AF">
              <w:t>HDAA</w:t>
            </w:r>
            <w:r w:rsidR="000A5329" w:rsidRPr="002029AF">
              <w:t xml:space="preserve"> </w:t>
            </w:r>
            <w:r w:rsidRPr="002029AF">
              <w:t>Australia</w:t>
            </w:r>
            <w:r w:rsidR="000A5329" w:rsidRPr="002029AF">
              <w:t xml:space="preserve"> </w:t>
            </w:r>
            <w:r w:rsidRPr="002029AF">
              <w:t>Pty</w:t>
            </w:r>
            <w:r w:rsidR="000A5329" w:rsidRPr="002029AF">
              <w:t xml:space="preserve"> </w:t>
            </w:r>
            <w:r w:rsidRPr="002029AF">
              <w:t>Ltd</w:t>
            </w:r>
          </w:p>
        </w:tc>
        <w:tc>
          <w:tcPr>
            <w:tcW w:w="1173" w:type="pct"/>
          </w:tcPr>
          <w:p w14:paraId="283408FB" w14:textId="7A6C7B23" w:rsidR="00CF72D5" w:rsidRPr="002029AF" w:rsidRDefault="00CF72D5" w:rsidP="00A57FDC">
            <w:pPr>
              <w:pStyle w:val="ARtabletext"/>
            </w:pPr>
            <w:r w:rsidRPr="002029AF">
              <w:t>Standards</w:t>
            </w:r>
            <w:r w:rsidR="000A5329" w:rsidRPr="002029AF">
              <w:t xml:space="preserve"> </w:t>
            </w:r>
            <w:r w:rsidRPr="002029AF">
              <w:t>Audit,</w:t>
            </w:r>
            <w:r w:rsidR="000A5329" w:rsidRPr="002029AF">
              <w:t xml:space="preserve"> </w:t>
            </w:r>
            <w:r w:rsidRPr="002029AF">
              <w:t>Human</w:t>
            </w:r>
            <w:r w:rsidR="000A5329" w:rsidRPr="002029AF">
              <w:t xml:space="preserve"> </w:t>
            </w:r>
            <w:r w:rsidRPr="002029AF">
              <w:t>Services</w:t>
            </w:r>
            <w:r w:rsidR="000A5329" w:rsidRPr="002029AF">
              <w:t xml:space="preserve"> </w:t>
            </w:r>
            <w:r w:rsidRPr="002029AF">
              <w:t>Independent</w:t>
            </w:r>
            <w:r w:rsidR="000A5329" w:rsidRPr="002029AF">
              <w:t xml:space="preserve"> </w:t>
            </w:r>
            <w:r w:rsidRPr="002029AF">
              <w:t>Monitoring</w:t>
            </w:r>
            <w:r w:rsidR="000A5329" w:rsidRPr="002029AF">
              <w:t xml:space="preserve"> </w:t>
            </w:r>
            <w:r w:rsidRPr="002029AF">
              <w:t>(South</w:t>
            </w:r>
            <w:r w:rsidR="000A5329" w:rsidRPr="002029AF">
              <w:t xml:space="preserve"> </w:t>
            </w:r>
            <w:r w:rsidRPr="002029AF">
              <w:t>Division)</w:t>
            </w:r>
          </w:p>
        </w:tc>
        <w:tc>
          <w:tcPr>
            <w:tcW w:w="766" w:type="pct"/>
          </w:tcPr>
          <w:p w14:paraId="6F4946F8" w14:textId="77777777" w:rsidR="00CF72D5" w:rsidRPr="002029AF" w:rsidRDefault="00CF72D5" w:rsidP="00A57FDC">
            <w:pPr>
              <w:pStyle w:val="ARtabletextright"/>
            </w:pPr>
            <w:r w:rsidRPr="002029AF">
              <w:t>107,195</w:t>
            </w:r>
          </w:p>
        </w:tc>
        <w:tc>
          <w:tcPr>
            <w:tcW w:w="766" w:type="pct"/>
          </w:tcPr>
          <w:p w14:paraId="6934845D" w14:textId="77777777" w:rsidR="00CF72D5" w:rsidRPr="002029AF" w:rsidRDefault="00CF72D5" w:rsidP="00A57FDC">
            <w:pPr>
              <w:pStyle w:val="ARtabletextright"/>
            </w:pPr>
            <w:r w:rsidRPr="002029AF">
              <w:t>28,021</w:t>
            </w:r>
          </w:p>
        </w:tc>
        <w:tc>
          <w:tcPr>
            <w:tcW w:w="762" w:type="pct"/>
          </w:tcPr>
          <w:p w14:paraId="1EC6CFC2" w14:textId="77777777" w:rsidR="00CF72D5" w:rsidRPr="002029AF" w:rsidRDefault="00CF72D5" w:rsidP="00A57FDC">
            <w:pPr>
              <w:pStyle w:val="ARtabletextright"/>
            </w:pPr>
            <w:r w:rsidRPr="002029AF">
              <w:t>79,173</w:t>
            </w:r>
          </w:p>
        </w:tc>
      </w:tr>
      <w:tr w:rsidR="00CF72D5" w:rsidRPr="002029AF" w14:paraId="4D784120" w14:textId="77777777" w:rsidTr="00457506">
        <w:tc>
          <w:tcPr>
            <w:tcW w:w="767" w:type="pct"/>
          </w:tcPr>
          <w:p w14:paraId="12CEA90B" w14:textId="7AE9924E" w:rsidR="00CF72D5" w:rsidRPr="002029AF" w:rsidRDefault="00CF72D5" w:rsidP="00A57FDC">
            <w:pPr>
              <w:pStyle w:val="ARtabletext"/>
            </w:pPr>
            <w:r w:rsidRPr="002029AF">
              <w:lastRenderedPageBreak/>
              <w:t>Program</w:t>
            </w:r>
            <w:r w:rsidR="000A5329" w:rsidRPr="002029AF">
              <w:t xml:space="preserve"> </w:t>
            </w:r>
            <w:r w:rsidRPr="002029AF">
              <w:t>Assessment</w:t>
            </w:r>
            <w:r w:rsidR="000A5329" w:rsidRPr="002029AF">
              <w:t xml:space="preserve"> </w:t>
            </w:r>
            <w:r w:rsidRPr="002029AF">
              <w:t>&amp;</w:t>
            </w:r>
            <w:r w:rsidR="000A5329" w:rsidRPr="002029AF">
              <w:t xml:space="preserve"> </w:t>
            </w:r>
            <w:r w:rsidRPr="002029AF">
              <w:t>Evaluation</w:t>
            </w:r>
          </w:p>
        </w:tc>
        <w:tc>
          <w:tcPr>
            <w:tcW w:w="766" w:type="pct"/>
          </w:tcPr>
          <w:p w14:paraId="1D37C0CC" w14:textId="37FACCCB" w:rsidR="00CF72D5" w:rsidRPr="002029AF" w:rsidRDefault="00CF72D5" w:rsidP="00A57FDC">
            <w:pPr>
              <w:pStyle w:val="ARtabletext"/>
            </w:pPr>
            <w:r w:rsidRPr="002029AF">
              <w:t>HDAA</w:t>
            </w:r>
            <w:r w:rsidR="000A5329" w:rsidRPr="002029AF">
              <w:t xml:space="preserve"> </w:t>
            </w:r>
            <w:r w:rsidRPr="002029AF">
              <w:t>Australia</w:t>
            </w:r>
            <w:r w:rsidR="000A5329" w:rsidRPr="002029AF">
              <w:t xml:space="preserve"> </w:t>
            </w:r>
            <w:r w:rsidRPr="002029AF">
              <w:t>Pty</w:t>
            </w:r>
            <w:r w:rsidR="000A5329" w:rsidRPr="002029AF">
              <w:t xml:space="preserve"> </w:t>
            </w:r>
            <w:r w:rsidRPr="002029AF">
              <w:t>Ltd</w:t>
            </w:r>
          </w:p>
        </w:tc>
        <w:tc>
          <w:tcPr>
            <w:tcW w:w="1173" w:type="pct"/>
          </w:tcPr>
          <w:p w14:paraId="7EEC159E" w14:textId="022E5691" w:rsidR="00CF72D5" w:rsidRPr="002029AF" w:rsidRDefault="00CF72D5" w:rsidP="00A57FDC">
            <w:pPr>
              <w:pStyle w:val="ARtabletext"/>
            </w:pPr>
            <w:r w:rsidRPr="002029AF">
              <w:t>Standards</w:t>
            </w:r>
            <w:r w:rsidR="000A5329" w:rsidRPr="002029AF">
              <w:t xml:space="preserve"> </w:t>
            </w:r>
            <w:r w:rsidRPr="002029AF">
              <w:t>Audit,</w:t>
            </w:r>
            <w:r w:rsidR="000A5329" w:rsidRPr="002029AF">
              <w:t xml:space="preserve"> </w:t>
            </w:r>
            <w:r w:rsidRPr="002029AF">
              <w:t>Human</w:t>
            </w:r>
            <w:r w:rsidR="000A5329" w:rsidRPr="002029AF">
              <w:t xml:space="preserve"> </w:t>
            </w:r>
            <w:r w:rsidRPr="002029AF">
              <w:t>Services</w:t>
            </w:r>
            <w:r w:rsidR="000A5329" w:rsidRPr="002029AF">
              <w:t xml:space="preserve"> </w:t>
            </w:r>
            <w:r w:rsidRPr="002029AF">
              <w:t>Independent</w:t>
            </w:r>
            <w:r w:rsidR="000A5329" w:rsidRPr="002029AF">
              <w:t xml:space="preserve"> </w:t>
            </w:r>
            <w:r w:rsidRPr="002029AF">
              <w:t>Monitoring</w:t>
            </w:r>
            <w:r w:rsidR="000A5329" w:rsidRPr="002029AF">
              <w:t xml:space="preserve"> </w:t>
            </w:r>
            <w:r w:rsidRPr="002029AF">
              <w:t>(East</w:t>
            </w:r>
            <w:r w:rsidR="000A5329" w:rsidRPr="002029AF">
              <w:t xml:space="preserve"> </w:t>
            </w:r>
            <w:r w:rsidRPr="002029AF">
              <w:t>Division)</w:t>
            </w:r>
          </w:p>
        </w:tc>
        <w:tc>
          <w:tcPr>
            <w:tcW w:w="766" w:type="pct"/>
          </w:tcPr>
          <w:p w14:paraId="4206417D" w14:textId="77777777" w:rsidR="00CF72D5" w:rsidRPr="002029AF" w:rsidRDefault="00CF72D5" w:rsidP="00A57FDC">
            <w:pPr>
              <w:pStyle w:val="ARtabletextright"/>
            </w:pPr>
            <w:r w:rsidRPr="002029AF">
              <w:t>103,077</w:t>
            </w:r>
          </w:p>
        </w:tc>
        <w:tc>
          <w:tcPr>
            <w:tcW w:w="766" w:type="pct"/>
          </w:tcPr>
          <w:p w14:paraId="050B3241" w14:textId="77777777" w:rsidR="00CF72D5" w:rsidRPr="002029AF" w:rsidRDefault="00CF72D5" w:rsidP="00A57FDC">
            <w:pPr>
              <w:pStyle w:val="ARtabletextright"/>
            </w:pPr>
            <w:r w:rsidRPr="002029AF">
              <w:t>30,923</w:t>
            </w:r>
          </w:p>
        </w:tc>
        <w:tc>
          <w:tcPr>
            <w:tcW w:w="762" w:type="pct"/>
          </w:tcPr>
          <w:p w14:paraId="199392ED" w14:textId="77777777" w:rsidR="00CF72D5" w:rsidRPr="002029AF" w:rsidRDefault="00CF72D5" w:rsidP="00A57FDC">
            <w:pPr>
              <w:pStyle w:val="ARtabletextright"/>
            </w:pPr>
            <w:r w:rsidRPr="002029AF">
              <w:t>0</w:t>
            </w:r>
          </w:p>
        </w:tc>
      </w:tr>
      <w:tr w:rsidR="00CF72D5" w:rsidRPr="002029AF" w14:paraId="632BDDED" w14:textId="77777777" w:rsidTr="00457506">
        <w:tc>
          <w:tcPr>
            <w:tcW w:w="767" w:type="pct"/>
          </w:tcPr>
          <w:p w14:paraId="196736DA" w14:textId="60A7ACB4" w:rsidR="00CF72D5" w:rsidRPr="002029AF" w:rsidRDefault="00CF72D5" w:rsidP="00A57FDC">
            <w:pPr>
              <w:pStyle w:val="ARtabletext"/>
            </w:pPr>
            <w:r w:rsidRPr="002029AF">
              <w:t>Program</w:t>
            </w:r>
            <w:r w:rsidR="000A5329" w:rsidRPr="002029AF">
              <w:t xml:space="preserve"> </w:t>
            </w:r>
            <w:r w:rsidRPr="002029AF">
              <w:t>Assessment</w:t>
            </w:r>
            <w:r w:rsidR="000A5329" w:rsidRPr="002029AF">
              <w:t xml:space="preserve"> </w:t>
            </w:r>
            <w:r w:rsidRPr="002029AF">
              <w:t>&amp;</w:t>
            </w:r>
            <w:r w:rsidR="000A5329" w:rsidRPr="002029AF">
              <w:t xml:space="preserve"> </w:t>
            </w:r>
            <w:r w:rsidRPr="002029AF">
              <w:t>Evaluation</w:t>
            </w:r>
          </w:p>
        </w:tc>
        <w:tc>
          <w:tcPr>
            <w:tcW w:w="766" w:type="pct"/>
          </w:tcPr>
          <w:p w14:paraId="27B014F3" w14:textId="05B50CD4" w:rsidR="00CF72D5" w:rsidRPr="002029AF" w:rsidRDefault="00CF72D5" w:rsidP="00A57FDC">
            <w:pPr>
              <w:pStyle w:val="ARtabletext"/>
            </w:pPr>
            <w:r w:rsidRPr="002029AF">
              <w:t>Victorian</w:t>
            </w:r>
            <w:r w:rsidR="000A5329" w:rsidRPr="002029AF">
              <w:t xml:space="preserve"> </w:t>
            </w:r>
            <w:r w:rsidRPr="002029AF">
              <w:t>Aboriginal</w:t>
            </w:r>
            <w:r w:rsidR="000A5329" w:rsidRPr="002029AF">
              <w:t xml:space="preserve"> </w:t>
            </w:r>
            <w:r w:rsidRPr="002029AF">
              <w:t>Child</w:t>
            </w:r>
            <w:r w:rsidR="000A5329" w:rsidRPr="002029AF">
              <w:t xml:space="preserve"> </w:t>
            </w:r>
            <w:r w:rsidRPr="002029AF">
              <w:t>Care</w:t>
            </w:r>
            <w:r w:rsidR="000A5329" w:rsidRPr="002029AF">
              <w:t xml:space="preserve"> </w:t>
            </w:r>
            <w:r w:rsidRPr="002029AF">
              <w:t>Agency</w:t>
            </w:r>
            <w:r w:rsidR="000A5329" w:rsidRPr="002029AF">
              <w:t xml:space="preserve"> </w:t>
            </w:r>
            <w:r w:rsidRPr="002029AF">
              <w:t>Co-Op</w:t>
            </w:r>
            <w:r w:rsidR="000A5329" w:rsidRPr="002029AF">
              <w:t xml:space="preserve"> </w:t>
            </w:r>
            <w:r w:rsidRPr="002029AF">
              <w:t>Ltd</w:t>
            </w:r>
          </w:p>
        </w:tc>
        <w:tc>
          <w:tcPr>
            <w:tcW w:w="1173" w:type="pct"/>
          </w:tcPr>
          <w:p w14:paraId="29207A42" w14:textId="030FB89A" w:rsidR="00CF72D5" w:rsidRPr="002029AF" w:rsidRDefault="00CF72D5" w:rsidP="00A57FDC">
            <w:pPr>
              <w:pStyle w:val="ARtabletext"/>
            </w:pPr>
            <w:r w:rsidRPr="002029AF">
              <w:t>Development,</w:t>
            </w:r>
            <w:r w:rsidR="000A5329" w:rsidRPr="002029AF">
              <w:t xml:space="preserve"> </w:t>
            </w:r>
            <w:r w:rsidRPr="002029AF">
              <w:t>Aboriginal</w:t>
            </w:r>
            <w:r w:rsidR="000A5329" w:rsidRPr="002029AF">
              <w:t xml:space="preserve"> </w:t>
            </w:r>
            <w:r w:rsidRPr="002029AF">
              <w:t>Health,</w:t>
            </w:r>
            <w:r w:rsidR="000A5329" w:rsidRPr="002029AF">
              <w:t xml:space="preserve"> </w:t>
            </w:r>
            <w:r w:rsidRPr="002029AF">
              <w:t>Wellbeing</w:t>
            </w:r>
            <w:r w:rsidR="000A5329" w:rsidRPr="002029AF">
              <w:t xml:space="preserve"> </w:t>
            </w:r>
            <w:r w:rsidRPr="002029AF">
              <w:t>and</w:t>
            </w:r>
            <w:r w:rsidR="000A5329" w:rsidRPr="002029AF">
              <w:t xml:space="preserve"> </w:t>
            </w:r>
            <w:r w:rsidRPr="002029AF">
              <w:t>Safety</w:t>
            </w:r>
            <w:r w:rsidR="000A5329" w:rsidRPr="002029AF">
              <w:t xml:space="preserve"> </w:t>
            </w:r>
            <w:r w:rsidRPr="002029AF">
              <w:t>Research</w:t>
            </w:r>
            <w:r w:rsidR="000A5329" w:rsidRPr="002029AF">
              <w:t xml:space="preserve"> </w:t>
            </w:r>
            <w:r w:rsidRPr="002029AF">
              <w:t>and</w:t>
            </w:r>
            <w:r w:rsidR="000A5329" w:rsidRPr="002029AF">
              <w:t xml:space="preserve"> </w:t>
            </w:r>
            <w:r w:rsidRPr="002029AF">
              <w:t>Evaluation</w:t>
            </w:r>
            <w:r w:rsidR="000A5329" w:rsidRPr="002029AF">
              <w:t xml:space="preserve"> </w:t>
            </w:r>
            <w:r w:rsidRPr="002029AF">
              <w:t>Framework</w:t>
            </w:r>
          </w:p>
        </w:tc>
        <w:tc>
          <w:tcPr>
            <w:tcW w:w="766" w:type="pct"/>
          </w:tcPr>
          <w:p w14:paraId="5DFEF07E" w14:textId="77777777" w:rsidR="00CF72D5" w:rsidRPr="002029AF" w:rsidRDefault="00CF72D5" w:rsidP="00A57FDC">
            <w:pPr>
              <w:pStyle w:val="ARtabletextright"/>
            </w:pPr>
            <w:r w:rsidRPr="002029AF">
              <w:t>605,905</w:t>
            </w:r>
          </w:p>
        </w:tc>
        <w:tc>
          <w:tcPr>
            <w:tcW w:w="766" w:type="pct"/>
          </w:tcPr>
          <w:p w14:paraId="185D0CA9" w14:textId="77777777" w:rsidR="00CF72D5" w:rsidRPr="002029AF" w:rsidRDefault="00CF72D5" w:rsidP="00A57FDC">
            <w:pPr>
              <w:pStyle w:val="ARtabletextright"/>
            </w:pPr>
            <w:r w:rsidRPr="002029AF">
              <w:t>316,097</w:t>
            </w:r>
          </w:p>
        </w:tc>
        <w:tc>
          <w:tcPr>
            <w:tcW w:w="762" w:type="pct"/>
          </w:tcPr>
          <w:p w14:paraId="44BB5EAD" w14:textId="77777777" w:rsidR="00CF72D5" w:rsidRPr="002029AF" w:rsidRDefault="00CF72D5" w:rsidP="00A57FDC">
            <w:pPr>
              <w:pStyle w:val="ARtabletextright"/>
            </w:pPr>
            <w:r w:rsidRPr="002029AF">
              <w:t>0</w:t>
            </w:r>
          </w:p>
        </w:tc>
      </w:tr>
      <w:tr w:rsidR="00CF72D5" w:rsidRPr="002029AF" w14:paraId="4F84D5FE" w14:textId="77777777" w:rsidTr="00457506">
        <w:tc>
          <w:tcPr>
            <w:tcW w:w="767" w:type="pct"/>
          </w:tcPr>
          <w:p w14:paraId="24EDA717" w14:textId="6ED642DD" w:rsidR="00CF72D5" w:rsidRPr="002029AF" w:rsidRDefault="00CF72D5" w:rsidP="00A57FDC">
            <w:pPr>
              <w:pStyle w:val="ARtabletext"/>
            </w:pPr>
            <w:r w:rsidRPr="002029AF">
              <w:t>Program</w:t>
            </w:r>
            <w:r w:rsidR="000A5329" w:rsidRPr="002029AF">
              <w:t xml:space="preserve"> </w:t>
            </w:r>
            <w:r w:rsidRPr="002029AF">
              <w:t>Assessment</w:t>
            </w:r>
            <w:r w:rsidR="000A5329" w:rsidRPr="002029AF">
              <w:t xml:space="preserve"> </w:t>
            </w:r>
            <w:r w:rsidRPr="002029AF">
              <w:t>&amp;</w:t>
            </w:r>
            <w:r w:rsidR="000A5329" w:rsidRPr="002029AF">
              <w:t xml:space="preserve"> </w:t>
            </w:r>
            <w:r w:rsidRPr="002029AF">
              <w:t>Evaluation</w:t>
            </w:r>
          </w:p>
        </w:tc>
        <w:tc>
          <w:tcPr>
            <w:tcW w:w="766" w:type="pct"/>
          </w:tcPr>
          <w:p w14:paraId="4C2FD69A" w14:textId="77777777" w:rsidR="00CF72D5" w:rsidRPr="002029AF" w:rsidRDefault="00CF72D5" w:rsidP="00A57FDC">
            <w:pPr>
              <w:pStyle w:val="ARtabletext"/>
            </w:pPr>
            <w:r w:rsidRPr="002029AF">
              <w:t>CSIRO</w:t>
            </w:r>
          </w:p>
        </w:tc>
        <w:tc>
          <w:tcPr>
            <w:tcW w:w="1173" w:type="pct"/>
          </w:tcPr>
          <w:p w14:paraId="6248A317" w14:textId="5333ADE5" w:rsidR="00CF72D5" w:rsidRPr="002029AF" w:rsidRDefault="00CF72D5" w:rsidP="00A57FDC">
            <w:pPr>
              <w:pStyle w:val="ARtabletext"/>
            </w:pPr>
            <w:r w:rsidRPr="002029AF">
              <w:t>Evaluation,</w:t>
            </w:r>
            <w:r w:rsidR="000A5329" w:rsidRPr="002029AF">
              <w:t xml:space="preserve"> </w:t>
            </w:r>
            <w:r w:rsidRPr="002029AF">
              <w:t>HealthLinks,</w:t>
            </w:r>
            <w:r w:rsidR="000A5329" w:rsidRPr="002029AF">
              <w:t xml:space="preserve"> </w:t>
            </w:r>
            <w:r w:rsidRPr="002029AF">
              <w:t>Chronic</w:t>
            </w:r>
            <w:r w:rsidR="000A5329" w:rsidRPr="002029AF">
              <w:t xml:space="preserve"> </w:t>
            </w:r>
            <w:r w:rsidRPr="002029AF">
              <w:t>Care</w:t>
            </w:r>
          </w:p>
        </w:tc>
        <w:tc>
          <w:tcPr>
            <w:tcW w:w="766" w:type="pct"/>
          </w:tcPr>
          <w:p w14:paraId="17A59EB2" w14:textId="77777777" w:rsidR="00CF72D5" w:rsidRPr="002029AF" w:rsidRDefault="00CF72D5" w:rsidP="00A57FDC">
            <w:pPr>
              <w:pStyle w:val="ARtabletextright"/>
            </w:pPr>
            <w:r w:rsidRPr="002029AF">
              <w:t>1,667,387</w:t>
            </w:r>
          </w:p>
        </w:tc>
        <w:tc>
          <w:tcPr>
            <w:tcW w:w="766" w:type="pct"/>
          </w:tcPr>
          <w:p w14:paraId="47C5D760" w14:textId="77777777" w:rsidR="00CF72D5" w:rsidRPr="002029AF" w:rsidRDefault="00CF72D5" w:rsidP="00A57FDC">
            <w:pPr>
              <w:pStyle w:val="ARtabletextright"/>
            </w:pPr>
            <w:r w:rsidRPr="002029AF">
              <w:t>269,047</w:t>
            </w:r>
          </w:p>
        </w:tc>
        <w:tc>
          <w:tcPr>
            <w:tcW w:w="762" w:type="pct"/>
          </w:tcPr>
          <w:p w14:paraId="0BE44702" w14:textId="77777777" w:rsidR="00CF72D5" w:rsidRPr="002029AF" w:rsidRDefault="00CF72D5" w:rsidP="00A57FDC">
            <w:pPr>
              <w:pStyle w:val="ARtabletextright"/>
            </w:pPr>
            <w:r w:rsidRPr="002029AF">
              <w:t>176,020</w:t>
            </w:r>
          </w:p>
        </w:tc>
      </w:tr>
      <w:tr w:rsidR="00CF72D5" w:rsidRPr="002029AF" w14:paraId="015B299A" w14:textId="77777777" w:rsidTr="00457506">
        <w:tc>
          <w:tcPr>
            <w:tcW w:w="767" w:type="pct"/>
          </w:tcPr>
          <w:p w14:paraId="361248F1" w14:textId="7784576C" w:rsidR="00CF72D5" w:rsidRPr="002029AF" w:rsidRDefault="00CF72D5" w:rsidP="00A57FDC">
            <w:pPr>
              <w:pStyle w:val="ARtabletext"/>
            </w:pPr>
            <w:r w:rsidRPr="002029AF">
              <w:t>Program</w:t>
            </w:r>
            <w:r w:rsidR="000A5329" w:rsidRPr="002029AF">
              <w:t xml:space="preserve"> </w:t>
            </w:r>
            <w:r w:rsidRPr="002029AF">
              <w:t>Assessment</w:t>
            </w:r>
            <w:r w:rsidR="000A5329" w:rsidRPr="002029AF">
              <w:t xml:space="preserve"> </w:t>
            </w:r>
            <w:r w:rsidRPr="002029AF">
              <w:t>&amp;</w:t>
            </w:r>
            <w:r w:rsidR="000A5329" w:rsidRPr="002029AF">
              <w:t xml:space="preserve"> </w:t>
            </w:r>
            <w:r w:rsidRPr="002029AF">
              <w:t>Evaluation</w:t>
            </w:r>
          </w:p>
        </w:tc>
        <w:tc>
          <w:tcPr>
            <w:tcW w:w="766" w:type="pct"/>
          </w:tcPr>
          <w:p w14:paraId="76850CF4" w14:textId="42C02369" w:rsidR="00CF72D5" w:rsidRPr="002029AF" w:rsidRDefault="00CF72D5" w:rsidP="00A57FDC">
            <w:pPr>
              <w:pStyle w:val="ARtabletext"/>
            </w:pPr>
            <w:r w:rsidRPr="002029AF">
              <w:t>Deloitte</w:t>
            </w:r>
            <w:r w:rsidR="000A5329" w:rsidRPr="002029AF">
              <w:t xml:space="preserve"> </w:t>
            </w:r>
            <w:r w:rsidRPr="002029AF">
              <w:t>Touche</w:t>
            </w:r>
            <w:r w:rsidR="000A5329" w:rsidRPr="002029AF">
              <w:t xml:space="preserve"> </w:t>
            </w:r>
            <w:r w:rsidRPr="002029AF">
              <w:t>Tohmatsu</w:t>
            </w:r>
          </w:p>
        </w:tc>
        <w:tc>
          <w:tcPr>
            <w:tcW w:w="1173" w:type="pct"/>
          </w:tcPr>
          <w:p w14:paraId="694EF0D0" w14:textId="228CDE0C" w:rsidR="00CF72D5" w:rsidRPr="002029AF" w:rsidRDefault="00CF72D5" w:rsidP="00A57FDC">
            <w:pPr>
              <w:pStyle w:val="ARtabletext"/>
            </w:pPr>
            <w:r w:rsidRPr="002029AF">
              <w:t>Evaluation,</w:t>
            </w:r>
            <w:r w:rsidR="000A5329" w:rsidRPr="002029AF">
              <w:t xml:space="preserve"> </w:t>
            </w:r>
            <w:r w:rsidRPr="002029AF">
              <w:t>Latrobe</w:t>
            </w:r>
            <w:r w:rsidR="000A5329" w:rsidRPr="002029AF">
              <w:t xml:space="preserve"> </w:t>
            </w:r>
            <w:r w:rsidRPr="002029AF">
              <w:t>Valley</w:t>
            </w:r>
            <w:r w:rsidR="000A5329" w:rsidRPr="002029AF">
              <w:t xml:space="preserve"> </w:t>
            </w:r>
            <w:r w:rsidRPr="002029AF">
              <w:t>actions</w:t>
            </w:r>
            <w:r w:rsidR="000A5329" w:rsidRPr="002029AF">
              <w:t xml:space="preserve"> </w:t>
            </w:r>
            <w:r w:rsidRPr="002029AF">
              <w:t>framework</w:t>
            </w:r>
            <w:r w:rsidR="000A5329" w:rsidRPr="002029AF">
              <w:t xml:space="preserve"> </w:t>
            </w:r>
            <w:r w:rsidRPr="002029AF">
              <w:t>(Hazelwood)</w:t>
            </w:r>
          </w:p>
        </w:tc>
        <w:tc>
          <w:tcPr>
            <w:tcW w:w="766" w:type="pct"/>
          </w:tcPr>
          <w:p w14:paraId="1479454A" w14:textId="77777777" w:rsidR="00CF72D5" w:rsidRPr="002029AF" w:rsidRDefault="00CF72D5" w:rsidP="00A57FDC">
            <w:pPr>
              <w:pStyle w:val="ARtabletextright"/>
            </w:pPr>
            <w:r w:rsidRPr="002029AF">
              <w:t>726,850</w:t>
            </w:r>
          </w:p>
        </w:tc>
        <w:tc>
          <w:tcPr>
            <w:tcW w:w="766" w:type="pct"/>
          </w:tcPr>
          <w:p w14:paraId="0B63E6AD" w14:textId="77777777" w:rsidR="00CF72D5" w:rsidRPr="002029AF" w:rsidRDefault="00CF72D5" w:rsidP="00A57FDC">
            <w:pPr>
              <w:pStyle w:val="ARtabletextright"/>
            </w:pPr>
            <w:r w:rsidRPr="002029AF">
              <w:t>219,611</w:t>
            </w:r>
          </w:p>
        </w:tc>
        <w:tc>
          <w:tcPr>
            <w:tcW w:w="762" w:type="pct"/>
          </w:tcPr>
          <w:p w14:paraId="12953692" w14:textId="77777777" w:rsidR="00CF72D5" w:rsidRPr="002029AF" w:rsidRDefault="00CF72D5" w:rsidP="00A57FDC">
            <w:pPr>
              <w:pStyle w:val="ARtabletextright"/>
            </w:pPr>
            <w:r w:rsidRPr="002029AF">
              <w:t>253,334</w:t>
            </w:r>
          </w:p>
        </w:tc>
      </w:tr>
      <w:tr w:rsidR="00CF72D5" w:rsidRPr="002029AF" w14:paraId="57CFF7A0" w14:textId="77777777" w:rsidTr="00457506">
        <w:tc>
          <w:tcPr>
            <w:tcW w:w="767" w:type="pct"/>
          </w:tcPr>
          <w:p w14:paraId="2157B304" w14:textId="4D7591C0" w:rsidR="00CF72D5" w:rsidRPr="002029AF" w:rsidRDefault="00CF72D5" w:rsidP="00A57FDC">
            <w:pPr>
              <w:pStyle w:val="ARtabletext"/>
            </w:pPr>
            <w:r w:rsidRPr="002029AF">
              <w:t>Program</w:t>
            </w:r>
            <w:r w:rsidR="000A5329" w:rsidRPr="002029AF">
              <w:t xml:space="preserve"> </w:t>
            </w:r>
            <w:r w:rsidRPr="002029AF">
              <w:t>Assessment</w:t>
            </w:r>
            <w:r w:rsidR="000A5329" w:rsidRPr="002029AF">
              <w:t xml:space="preserve"> </w:t>
            </w:r>
            <w:r w:rsidRPr="002029AF">
              <w:t>&amp;</w:t>
            </w:r>
            <w:r w:rsidR="000A5329" w:rsidRPr="002029AF">
              <w:t xml:space="preserve"> </w:t>
            </w:r>
            <w:r w:rsidRPr="002029AF">
              <w:t>Evaluation</w:t>
            </w:r>
          </w:p>
        </w:tc>
        <w:tc>
          <w:tcPr>
            <w:tcW w:w="766" w:type="pct"/>
          </w:tcPr>
          <w:p w14:paraId="3C7B7187" w14:textId="77777777" w:rsidR="00CF72D5" w:rsidRPr="002029AF" w:rsidRDefault="00CF72D5" w:rsidP="00A57FDC">
            <w:pPr>
              <w:pStyle w:val="ARtabletext"/>
            </w:pPr>
            <w:r w:rsidRPr="002029AF">
              <w:t>Healthconsult</w:t>
            </w:r>
          </w:p>
        </w:tc>
        <w:tc>
          <w:tcPr>
            <w:tcW w:w="1173" w:type="pct"/>
          </w:tcPr>
          <w:p w14:paraId="66BF1B8C" w14:textId="791FF73B" w:rsidR="00CF72D5" w:rsidRPr="002029AF" w:rsidRDefault="00CF72D5" w:rsidP="00A57FDC">
            <w:pPr>
              <w:pStyle w:val="ARtabletext"/>
            </w:pPr>
            <w:r w:rsidRPr="002029AF">
              <w:t>Evaluation,</w:t>
            </w:r>
            <w:r w:rsidR="000A5329" w:rsidRPr="002029AF">
              <w:t xml:space="preserve"> </w:t>
            </w:r>
            <w:r w:rsidRPr="002029AF">
              <w:t>Integrated</w:t>
            </w:r>
            <w:r w:rsidR="000A5329" w:rsidRPr="002029AF">
              <w:t xml:space="preserve"> </w:t>
            </w:r>
            <w:r w:rsidRPr="002029AF">
              <w:t>model</w:t>
            </w:r>
            <w:r w:rsidR="000A5329" w:rsidRPr="002029AF">
              <w:t xml:space="preserve"> </w:t>
            </w:r>
            <w:r w:rsidRPr="002029AF">
              <w:t>of</w:t>
            </w:r>
            <w:r w:rsidR="000A5329" w:rsidRPr="002029AF">
              <w:t xml:space="preserve"> </w:t>
            </w:r>
            <w:r w:rsidRPr="002029AF">
              <w:t>care</w:t>
            </w:r>
            <w:r w:rsidR="000A5329" w:rsidRPr="002029AF">
              <w:t xml:space="preserve"> </w:t>
            </w:r>
            <w:r w:rsidRPr="002029AF">
              <w:t>trial,</w:t>
            </w:r>
            <w:r w:rsidR="000A5329" w:rsidRPr="002029AF">
              <w:t xml:space="preserve"> </w:t>
            </w:r>
            <w:r w:rsidRPr="002029AF">
              <w:t>responding</w:t>
            </w:r>
            <w:r w:rsidR="000A5329" w:rsidRPr="002029AF">
              <w:t xml:space="preserve"> </w:t>
            </w:r>
            <w:r w:rsidRPr="002029AF">
              <w:t>to</w:t>
            </w:r>
            <w:r w:rsidR="000A5329" w:rsidRPr="002029AF">
              <w:t xml:space="preserve"> </w:t>
            </w:r>
            <w:r w:rsidRPr="002029AF">
              <w:t>suspected</w:t>
            </w:r>
            <w:r w:rsidR="000A5329" w:rsidRPr="002029AF">
              <w:t xml:space="preserve"> </w:t>
            </w:r>
            <w:r w:rsidRPr="002029AF">
              <w:t>elder</w:t>
            </w:r>
            <w:r w:rsidR="000A5329" w:rsidRPr="002029AF">
              <w:t xml:space="preserve"> </w:t>
            </w:r>
            <w:r w:rsidRPr="002029AF">
              <w:t>abuse</w:t>
            </w:r>
          </w:p>
        </w:tc>
        <w:tc>
          <w:tcPr>
            <w:tcW w:w="766" w:type="pct"/>
          </w:tcPr>
          <w:p w14:paraId="4C90C7BD" w14:textId="77777777" w:rsidR="00CF72D5" w:rsidRPr="002029AF" w:rsidRDefault="00CF72D5" w:rsidP="00A57FDC">
            <w:pPr>
              <w:pStyle w:val="ARtabletextright"/>
            </w:pPr>
            <w:r w:rsidRPr="002029AF">
              <w:t>257,522</w:t>
            </w:r>
          </w:p>
        </w:tc>
        <w:tc>
          <w:tcPr>
            <w:tcW w:w="766" w:type="pct"/>
          </w:tcPr>
          <w:p w14:paraId="694B7D7E" w14:textId="77777777" w:rsidR="00CF72D5" w:rsidRPr="002029AF" w:rsidRDefault="00CF72D5" w:rsidP="00A57FDC">
            <w:pPr>
              <w:pStyle w:val="ARtabletextright"/>
            </w:pPr>
            <w:r w:rsidRPr="002029AF">
              <w:t>51,504</w:t>
            </w:r>
          </w:p>
        </w:tc>
        <w:tc>
          <w:tcPr>
            <w:tcW w:w="762" w:type="pct"/>
          </w:tcPr>
          <w:p w14:paraId="101A30D4" w14:textId="77777777" w:rsidR="00CF72D5" w:rsidRPr="002029AF" w:rsidRDefault="00CF72D5" w:rsidP="00A57FDC">
            <w:pPr>
              <w:pStyle w:val="ARtabletextright"/>
            </w:pPr>
            <w:r w:rsidRPr="002029AF">
              <w:t>0</w:t>
            </w:r>
          </w:p>
        </w:tc>
      </w:tr>
      <w:tr w:rsidR="00CF72D5" w:rsidRPr="002029AF" w14:paraId="5E1B9448" w14:textId="77777777" w:rsidTr="00457506">
        <w:tc>
          <w:tcPr>
            <w:tcW w:w="767" w:type="pct"/>
          </w:tcPr>
          <w:p w14:paraId="605BA152" w14:textId="5C608155" w:rsidR="00CF72D5" w:rsidRPr="002029AF" w:rsidRDefault="00CF72D5" w:rsidP="00A57FDC">
            <w:pPr>
              <w:pStyle w:val="ARtabletext"/>
            </w:pPr>
            <w:r w:rsidRPr="002029AF">
              <w:t>Program</w:t>
            </w:r>
            <w:r w:rsidR="000A5329" w:rsidRPr="002029AF">
              <w:t xml:space="preserve"> </w:t>
            </w:r>
            <w:r w:rsidRPr="002029AF">
              <w:t>Assessment</w:t>
            </w:r>
            <w:r w:rsidR="000A5329" w:rsidRPr="002029AF">
              <w:t xml:space="preserve"> </w:t>
            </w:r>
            <w:r w:rsidRPr="002029AF">
              <w:t>&amp;</w:t>
            </w:r>
            <w:r w:rsidR="000A5329" w:rsidRPr="002029AF">
              <w:t xml:space="preserve"> </w:t>
            </w:r>
            <w:r w:rsidRPr="002029AF">
              <w:t>Evaluation</w:t>
            </w:r>
          </w:p>
        </w:tc>
        <w:tc>
          <w:tcPr>
            <w:tcW w:w="766" w:type="pct"/>
          </w:tcPr>
          <w:p w14:paraId="3648ABB8" w14:textId="4904659F" w:rsidR="00CF72D5" w:rsidRPr="002029AF" w:rsidRDefault="00CF72D5" w:rsidP="00A57FDC">
            <w:pPr>
              <w:pStyle w:val="ARtabletext"/>
            </w:pPr>
            <w:r w:rsidRPr="002029AF">
              <w:t>Social</w:t>
            </w:r>
            <w:r w:rsidR="000A5329" w:rsidRPr="002029AF">
              <w:t xml:space="preserve"> </w:t>
            </w:r>
            <w:r w:rsidRPr="002029AF">
              <w:t>Compass</w:t>
            </w:r>
          </w:p>
        </w:tc>
        <w:tc>
          <w:tcPr>
            <w:tcW w:w="1173" w:type="pct"/>
          </w:tcPr>
          <w:p w14:paraId="1CF07F06" w14:textId="3697D406" w:rsidR="00CF72D5" w:rsidRPr="002029AF" w:rsidRDefault="00CF72D5" w:rsidP="00A57FDC">
            <w:pPr>
              <w:pStyle w:val="ARtabletext"/>
            </w:pPr>
            <w:r w:rsidRPr="002029AF">
              <w:t>Evaluation,</w:t>
            </w:r>
            <w:r w:rsidR="000A5329" w:rsidRPr="002029AF">
              <w:t xml:space="preserve"> </w:t>
            </w:r>
            <w:r w:rsidRPr="002029AF">
              <w:t>Improving</w:t>
            </w:r>
            <w:r w:rsidR="000A5329" w:rsidRPr="002029AF">
              <w:t xml:space="preserve"> </w:t>
            </w:r>
            <w:r w:rsidRPr="002029AF">
              <w:t>Mental</w:t>
            </w:r>
            <w:r w:rsidR="000A5329" w:rsidRPr="002029AF">
              <w:t xml:space="preserve"> </w:t>
            </w:r>
            <w:r w:rsidRPr="002029AF">
              <w:t>Health</w:t>
            </w:r>
            <w:r w:rsidR="000A5329" w:rsidRPr="002029AF">
              <w:t xml:space="preserve"> </w:t>
            </w:r>
            <w:r w:rsidRPr="002029AF">
              <w:t>Treatment</w:t>
            </w:r>
            <w:r w:rsidR="000A5329" w:rsidRPr="002029AF">
              <w:t xml:space="preserve"> </w:t>
            </w:r>
            <w:r w:rsidRPr="002029AF">
              <w:t>Outcomes</w:t>
            </w:r>
            <w:r w:rsidR="000A5329" w:rsidRPr="002029AF">
              <w:t xml:space="preserve"> </w:t>
            </w:r>
            <w:r w:rsidRPr="002029AF">
              <w:t>for</w:t>
            </w:r>
            <w:r w:rsidR="000A5329" w:rsidRPr="002029AF">
              <w:t xml:space="preserve"> </w:t>
            </w:r>
            <w:r w:rsidRPr="002029AF">
              <w:t>Aboriginal</w:t>
            </w:r>
            <w:r w:rsidR="000A5329" w:rsidRPr="002029AF">
              <w:t xml:space="preserve"> </w:t>
            </w:r>
            <w:r w:rsidRPr="002029AF">
              <w:t>and</w:t>
            </w:r>
            <w:r w:rsidR="000A5329" w:rsidRPr="002029AF">
              <w:t xml:space="preserve"> </w:t>
            </w:r>
            <w:r w:rsidRPr="002029AF">
              <w:t>Torres</w:t>
            </w:r>
            <w:r w:rsidR="000A5329" w:rsidRPr="002029AF">
              <w:t xml:space="preserve"> </w:t>
            </w:r>
            <w:r w:rsidRPr="002029AF">
              <w:t>Strait</w:t>
            </w:r>
            <w:r w:rsidR="000A5329" w:rsidRPr="002029AF">
              <w:t xml:space="preserve"> </w:t>
            </w:r>
            <w:r w:rsidRPr="002029AF">
              <w:t>Islander</w:t>
            </w:r>
            <w:r w:rsidR="000A5329" w:rsidRPr="002029AF">
              <w:t xml:space="preserve"> </w:t>
            </w:r>
            <w:r w:rsidRPr="002029AF">
              <w:t>People</w:t>
            </w:r>
          </w:p>
        </w:tc>
        <w:tc>
          <w:tcPr>
            <w:tcW w:w="766" w:type="pct"/>
          </w:tcPr>
          <w:p w14:paraId="5145C01A" w14:textId="77777777" w:rsidR="00CF72D5" w:rsidRPr="002029AF" w:rsidRDefault="00CF72D5" w:rsidP="00A57FDC">
            <w:pPr>
              <w:pStyle w:val="ARtabletextright"/>
            </w:pPr>
            <w:r w:rsidRPr="002029AF">
              <w:t>183,000</w:t>
            </w:r>
          </w:p>
        </w:tc>
        <w:tc>
          <w:tcPr>
            <w:tcW w:w="766" w:type="pct"/>
          </w:tcPr>
          <w:p w14:paraId="7BE784C0" w14:textId="77777777" w:rsidR="00CF72D5" w:rsidRPr="002029AF" w:rsidRDefault="00CF72D5" w:rsidP="00A57FDC">
            <w:pPr>
              <w:pStyle w:val="ARtabletextright"/>
            </w:pPr>
            <w:r w:rsidRPr="002029AF">
              <w:t>10,025</w:t>
            </w:r>
          </w:p>
        </w:tc>
        <w:tc>
          <w:tcPr>
            <w:tcW w:w="762" w:type="pct"/>
          </w:tcPr>
          <w:p w14:paraId="7BDCBBBF" w14:textId="77777777" w:rsidR="00CF72D5" w:rsidRPr="002029AF" w:rsidRDefault="00CF72D5" w:rsidP="00A57FDC">
            <w:pPr>
              <w:pStyle w:val="ARtabletextright"/>
            </w:pPr>
            <w:r w:rsidRPr="002029AF">
              <w:t>0</w:t>
            </w:r>
          </w:p>
        </w:tc>
      </w:tr>
      <w:tr w:rsidR="00CF72D5" w:rsidRPr="002029AF" w14:paraId="516F8F1B" w14:textId="77777777" w:rsidTr="00457506">
        <w:tc>
          <w:tcPr>
            <w:tcW w:w="767" w:type="pct"/>
          </w:tcPr>
          <w:p w14:paraId="63147EC6" w14:textId="051B1F2D" w:rsidR="00CF72D5" w:rsidRPr="002029AF" w:rsidRDefault="00CF72D5" w:rsidP="00A57FDC">
            <w:pPr>
              <w:pStyle w:val="ARtabletext"/>
            </w:pPr>
            <w:r w:rsidRPr="002029AF">
              <w:t>Program</w:t>
            </w:r>
            <w:r w:rsidR="000A5329" w:rsidRPr="002029AF">
              <w:t xml:space="preserve"> </w:t>
            </w:r>
            <w:r w:rsidRPr="002029AF">
              <w:t>Assessment</w:t>
            </w:r>
            <w:r w:rsidR="000A5329" w:rsidRPr="002029AF">
              <w:t xml:space="preserve"> </w:t>
            </w:r>
            <w:r w:rsidRPr="002029AF">
              <w:t>&amp;</w:t>
            </w:r>
            <w:r w:rsidR="000A5329" w:rsidRPr="002029AF">
              <w:t xml:space="preserve"> </w:t>
            </w:r>
            <w:r w:rsidRPr="002029AF">
              <w:t>Evaluation</w:t>
            </w:r>
          </w:p>
        </w:tc>
        <w:tc>
          <w:tcPr>
            <w:tcW w:w="766" w:type="pct"/>
          </w:tcPr>
          <w:p w14:paraId="24504BFF" w14:textId="1D01C224" w:rsidR="00CF72D5" w:rsidRPr="002029AF" w:rsidRDefault="00CF72D5" w:rsidP="00A57FDC">
            <w:pPr>
              <w:pStyle w:val="ARtabletext"/>
            </w:pPr>
            <w:r w:rsidRPr="002029AF">
              <w:t>Deloitte</w:t>
            </w:r>
            <w:r w:rsidR="000A5329" w:rsidRPr="002029AF">
              <w:t xml:space="preserve"> </w:t>
            </w:r>
            <w:r w:rsidRPr="002029AF">
              <w:t>Touche</w:t>
            </w:r>
            <w:r w:rsidR="000A5329" w:rsidRPr="002029AF">
              <w:t xml:space="preserve"> </w:t>
            </w:r>
            <w:r w:rsidRPr="002029AF">
              <w:t>Tohmatsu</w:t>
            </w:r>
          </w:p>
        </w:tc>
        <w:tc>
          <w:tcPr>
            <w:tcW w:w="1173" w:type="pct"/>
          </w:tcPr>
          <w:p w14:paraId="378035DA" w14:textId="66BD8E79" w:rsidR="00CF72D5" w:rsidRPr="002029AF" w:rsidRDefault="00CF72D5" w:rsidP="00A57FDC">
            <w:pPr>
              <w:pStyle w:val="ARtabletext"/>
            </w:pPr>
            <w:r w:rsidRPr="002029AF">
              <w:t>Evaluation,</w:t>
            </w:r>
            <w:r w:rsidR="000A5329" w:rsidRPr="002029AF">
              <w:t xml:space="preserve"> </w:t>
            </w:r>
            <w:r w:rsidRPr="002029AF">
              <w:t>New</w:t>
            </w:r>
            <w:r w:rsidR="000A5329" w:rsidRPr="002029AF">
              <w:t xml:space="preserve"> </w:t>
            </w:r>
            <w:r w:rsidRPr="002029AF">
              <w:t>Community</w:t>
            </w:r>
            <w:r w:rsidR="000A5329" w:rsidRPr="002029AF">
              <w:t xml:space="preserve"> </w:t>
            </w:r>
            <w:r w:rsidRPr="002029AF">
              <w:t>Based</w:t>
            </w:r>
            <w:r w:rsidR="000A5329" w:rsidRPr="002029AF">
              <w:t xml:space="preserve"> </w:t>
            </w:r>
            <w:r w:rsidRPr="002029AF">
              <w:t>Perpetrator</w:t>
            </w:r>
            <w:r w:rsidR="000A5329" w:rsidRPr="002029AF">
              <w:t xml:space="preserve"> </w:t>
            </w:r>
            <w:r w:rsidRPr="002029AF">
              <w:t>Interventions</w:t>
            </w:r>
            <w:r w:rsidR="000A5329" w:rsidRPr="002029AF">
              <w:t xml:space="preserve"> </w:t>
            </w:r>
            <w:r w:rsidRPr="002029AF">
              <w:t>and</w:t>
            </w:r>
            <w:r w:rsidR="000A5329" w:rsidRPr="002029AF">
              <w:t xml:space="preserve"> </w:t>
            </w:r>
            <w:r w:rsidRPr="002029AF">
              <w:t>Case</w:t>
            </w:r>
            <w:r w:rsidR="000A5329" w:rsidRPr="002029AF">
              <w:t xml:space="preserve"> </w:t>
            </w:r>
            <w:r w:rsidRPr="002029AF">
              <w:t>Management</w:t>
            </w:r>
            <w:r w:rsidR="000A5329" w:rsidRPr="002029AF">
              <w:t xml:space="preserve"> </w:t>
            </w:r>
            <w:r w:rsidRPr="002029AF">
              <w:t>Trials</w:t>
            </w:r>
          </w:p>
        </w:tc>
        <w:tc>
          <w:tcPr>
            <w:tcW w:w="766" w:type="pct"/>
          </w:tcPr>
          <w:p w14:paraId="4C9EB939" w14:textId="77777777" w:rsidR="00CF72D5" w:rsidRPr="002029AF" w:rsidRDefault="00CF72D5" w:rsidP="00A57FDC">
            <w:pPr>
              <w:pStyle w:val="ARtabletextright"/>
            </w:pPr>
            <w:r w:rsidRPr="002029AF">
              <w:t>394,245</w:t>
            </w:r>
          </w:p>
        </w:tc>
        <w:tc>
          <w:tcPr>
            <w:tcW w:w="766" w:type="pct"/>
          </w:tcPr>
          <w:p w14:paraId="00348F0F" w14:textId="77777777" w:rsidR="00CF72D5" w:rsidRPr="002029AF" w:rsidRDefault="00CF72D5" w:rsidP="00A57FDC">
            <w:pPr>
              <w:pStyle w:val="ARtabletextright"/>
            </w:pPr>
            <w:r w:rsidRPr="002029AF">
              <w:t>321,983</w:t>
            </w:r>
          </w:p>
        </w:tc>
        <w:tc>
          <w:tcPr>
            <w:tcW w:w="762" w:type="pct"/>
          </w:tcPr>
          <w:p w14:paraId="7B60F3A2" w14:textId="77777777" w:rsidR="00CF72D5" w:rsidRPr="002029AF" w:rsidRDefault="00CF72D5" w:rsidP="00A57FDC">
            <w:pPr>
              <w:pStyle w:val="ARtabletextright"/>
            </w:pPr>
            <w:r w:rsidRPr="002029AF">
              <w:t>0</w:t>
            </w:r>
          </w:p>
        </w:tc>
      </w:tr>
      <w:tr w:rsidR="00CF72D5" w:rsidRPr="002029AF" w14:paraId="22BF893C" w14:textId="77777777" w:rsidTr="00457506">
        <w:tc>
          <w:tcPr>
            <w:tcW w:w="767" w:type="pct"/>
          </w:tcPr>
          <w:p w14:paraId="3FD1CD69" w14:textId="3A808A55" w:rsidR="00CF72D5" w:rsidRPr="002029AF" w:rsidRDefault="00CF72D5" w:rsidP="00A57FDC">
            <w:pPr>
              <w:pStyle w:val="ARtabletext"/>
            </w:pPr>
            <w:r w:rsidRPr="002029AF">
              <w:t>Program</w:t>
            </w:r>
            <w:r w:rsidR="000A5329" w:rsidRPr="002029AF">
              <w:t xml:space="preserve"> </w:t>
            </w:r>
            <w:r w:rsidRPr="002029AF">
              <w:t>Assessment</w:t>
            </w:r>
            <w:r w:rsidR="000A5329" w:rsidRPr="002029AF">
              <w:t xml:space="preserve"> </w:t>
            </w:r>
            <w:r w:rsidRPr="002029AF">
              <w:t>&amp;</w:t>
            </w:r>
            <w:r w:rsidR="000A5329" w:rsidRPr="002029AF">
              <w:t xml:space="preserve"> </w:t>
            </w:r>
            <w:r w:rsidRPr="002029AF">
              <w:t>Evaluation</w:t>
            </w:r>
          </w:p>
        </w:tc>
        <w:tc>
          <w:tcPr>
            <w:tcW w:w="766" w:type="pct"/>
          </w:tcPr>
          <w:p w14:paraId="6EC1FD5F" w14:textId="097248EF" w:rsidR="00CF72D5" w:rsidRPr="002029AF" w:rsidRDefault="00CF72D5" w:rsidP="00A57FDC">
            <w:pPr>
              <w:pStyle w:val="ARtabletext"/>
            </w:pPr>
            <w:r w:rsidRPr="002029AF">
              <w:t>Cube</w:t>
            </w:r>
            <w:r w:rsidR="000A5329" w:rsidRPr="002029AF">
              <w:t xml:space="preserve"> </w:t>
            </w:r>
            <w:r w:rsidRPr="002029AF">
              <w:t>Group</w:t>
            </w:r>
          </w:p>
        </w:tc>
        <w:tc>
          <w:tcPr>
            <w:tcW w:w="1173" w:type="pct"/>
          </w:tcPr>
          <w:p w14:paraId="2322299D" w14:textId="794FA8D7" w:rsidR="00CF72D5" w:rsidRPr="002029AF" w:rsidRDefault="00CF72D5" w:rsidP="00A57FDC">
            <w:pPr>
              <w:pStyle w:val="ARtabletext"/>
            </w:pPr>
            <w:r w:rsidRPr="002029AF">
              <w:t>Evaluation,</w:t>
            </w:r>
            <w:r w:rsidR="000A5329" w:rsidRPr="002029AF">
              <w:t xml:space="preserve"> </w:t>
            </w:r>
            <w:r w:rsidRPr="002029AF">
              <w:t>Multi-Agency</w:t>
            </w:r>
            <w:r w:rsidR="000A5329" w:rsidRPr="002029AF">
              <w:t xml:space="preserve"> </w:t>
            </w:r>
            <w:r w:rsidRPr="002029AF">
              <w:t>Risk</w:t>
            </w:r>
            <w:r w:rsidR="000A5329" w:rsidRPr="002029AF">
              <w:t xml:space="preserve"> </w:t>
            </w:r>
            <w:r w:rsidRPr="002029AF">
              <w:t>and</w:t>
            </w:r>
            <w:r w:rsidR="008667C8">
              <w:t> </w:t>
            </w:r>
            <w:r w:rsidRPr="002029AF">
              <w:t>Management</w:t>
            </w:r>
            <w:r w:rsidR="000A5329" w:rsidRPr="002029AF">
              <w:t xml:space="preserve"> </w:t>
            </w:r>
            <w:r w:rsidRPr="002029AF">
              <w:t>Framework</w:t>
            </w:r>
            <w:r w:rsidR="000A5329" w:rsidRPr="002029AF">
              <w:t xml:space="preserve"> </w:t>
            </w:r>
            <w:r w:rsidRPr="002029AF">
              <w:t>implementation</w:t>
            </w:r>
          </w:p>
        </w:tc>
        <w:tc>
          <w:tcPr>
            <w:tcW w:w="766" w:type="pct"/>
          </w:tcPr>
          <w:p w14:paraId="70A32880" w14:textId="77777777" w:rsidR="00CF72D5" w:rsidRPr="002029AF" w:rsidRDefault="00CF72D5" w:rsidP="00A57FDC">
            <w:pPr>
              <w:pStyle w:val="ARtabletextright"/>
            </w:pPr>
            <w:r w:rsidRPr="002029AF">
              <w:t>426,750</w:t>
            </w:r>
          </w:p>
        </w:tc>
        <w:tc>
          <w:tcPr>
            <w:tcW w:w="766" w:type="pct"/>
          </w:tcPr>
          <w:p w14:paraId="3E55A6BE" w14:textId="77777777" w:rsidR="00CF72D5" w:rsidRPr="002029AF" w:rsidRDefault="00CF72D5" w:rsidP="00A57FDC">
            <w:pPr>
              <w:pStyle w:val="ARtabletextright"/>
            </w:pPr>
            <w:r w:rsidRPr="002029AF">
              <w:t>229,150</w:t>
            </w:r>
          </w:p>
        </w:tc>
        <w:tc>
          <w:tcPr>
            <w:tcW w:w="762" w:type="pct"/>
          </w:tcPr>
          <w:p w14:paraId="76EAA4C1" w14:textId="77777777" w:rsidR="00CF72D5" w:rsidRPr="002029AF" w:rsidRDefault="00CF72D5" w:rsidP="00A57FDC">
            <w:pPr>
              <w:pStyle w:val="ARtabletextright"/>
            </w:pPr>
            <w:r w:rsidRPr="002029AF">
              <w:t>61,750</w:t>
            </w:r>
          </w:p>
        </w:tc>
      </w:tr>
      <w:tr w:rsidR="00CF72D5" w:rsidRPr="002029AF" w14:paraId="48347514" w14:textId="77777777" w:rsidTr="00457506">
        <w:tc>
          <w:tcPr>
            <w:tcW w:w="767" w:type="pct"/>
          </w:tcPr>
          <w:p w14:paraId="290085DC" w14:textId="0A2568D3" w:rsidR="00CF72D5" w:rsidRPr="002029AF" w:rsidRDefault="00CF72D5" w:rsidP="00A57FDC">
            <w:pPr>
              <w:pStyle w:val="ARtabletext"/>
            </w:pPr>
            <w:r w:rsidRPr="002029AF">
              <w:t>Program</w:t>
            </w:r>
            <w:r w:rsidR="000A5329" w:rsidRPr="002029AF">
              <w:t xml:space="preserve"> </w:t>
            </w:r>
            <w:r w:rsidRPr="002029AF">
              <w:t>Assessment</w:t>
            </w:r>
            <w:r w:rsidR="000A5329" w:rsidRPr="002029AF">
              <w:t xml:space="preserve"> </w:t>
            </w:r>
            <w:r w:rsidRPr="002029AF">
              <w:t>&amp;</w:t>
            </w:r>
            <w:r w:rsidR="000A5329" w:rsidRPr="002029AF">
              <w:t xml:space="preserve"> </w:t>
            </w:r>
            <w:r w:rsidRPr="002029AF">
              <w:t>Evaluation</w:t>
            </w:r>
          </w:p>
        </w:tc>
        <w:tc>
          <w:tcPr>
            <w:tcW w:w="766" w:type="pct"/>
          </w:tcPr>
          <w:p w14:paraId="141C1234" w14:textId="1B60F377" w:rsidR="00CF72D5" w:rsidRPr="002029AF" w:rsidRDefault="00CF72D5" w:rsidP="00A57FDC">
            <w:pPr>
              <w:pStyle w:val="ARtabletext"/>
            </w:pPr>
            <w:r w:rsidRPr="002029AF">
              <w:t>Pretty</w:t>
            </w:r>
            <w:r w:rsidR="000A5329" w:rsidRPr="002029AF">
              <w:t xml:space="preserve"> </w:t>
            </w:r>
            <w:r w:rsidRPr="002029AF">
              <w:t>Neat</w:t>
            </w:r>
            <w:r w:rsidR="000A5329" w:rsidRPr="002029AF">
              <w:t xml:space="preserve"> </w:t>
            </w:r>
            <w:r w:rsidRPr="002029AF">
              <w:t>Pty</w:t>
            </w:r>
            <w:r w:rsidR="000A5329" w:rsidRPr="002029AF">
              <w:t xml:space="preserve"> </w:t>
            </w:r>
            <w:r w:rsidRPr="002029AF">
              <w:t>Ltd</w:t>
            </w:r>
          </w:p>
        </w:tc>
        <w:tc>
          <w:tcPr>
            <w:tcW w:w="1173" w:type="pct"/>
          </w:tcPr>
          <w:p w14:paraId="13F32119" w14:textId="57D0A5B6" w:rsidR="00CF72D5" w:rsidRPr="002029AF" w:rsidRDefault="00CF72D5" w:rsidP="00A57FDC">
            <w:pPr>
              <w:pStyle w:val="ARtabletext"/>
            </w:pPr>
            <w:r w:rsidRPr="002029AF">
              <w:t>Evaluation,</w:t>
            </w:r>
            <w:r w:rsidR="000A5329" w:rsidRPr="002029AF">
              <w:t xml:space="preserve"> </w:t>
            </w:r>
            <w:r w:rsidRPr="002029AF">
              <w:t>Homelessness</w:t>
            </w:r>
            <w:r w:rsidR="000A5329" w:rsidRPr="002029AF">
              <w:t xml:space="preserve"> </w:t>
            </w:r>
            <w:r w:rsidRPr="002029AF">
              <w:t>program</w:t>
            </w:r>
          </w:p>
        </w:tc>
        <w:tc>
          <w:tcPr>
            <w:tcW w:w="766" w:type="pct"/>
          </w:tcPr>
          <w:p w14:paraId="71496524" w14:textId="77777777" w:rsidR="00CF72D5" w:rsidRPr="002029AF" w:rsidRDefault="00CF72D5" w:rsidP="00A57FDC">
            <w:pPr>
              <w:pStyle w:val="ARtabletextright"/>
            </w:pPr>
            <w:r w:rsidRPr="002029AF">
              <w:t>19,865</w:t>
            </w:r>
          </w:p>
        </w:tc>
        <w:tc>
          <w:tcPr>
            <w:tcW w:w="766" w:type="pct"/>
          </w:tcPr>
          <w:p w14:paraId="27BA0499" w14:textId="77777777" w:rsidR="00CF72D5" w:rsidRPr="002029AF" w:rsidRDefault="00CF72D5" w:rsidP="00A57FDC">
            <w:pPr>
              <w:pStyle w:val="ARtabletextright"/>
            </w:pPr>
            <w:r w:rsidRPr="002029AF">
              <w:t>19,183</w:t>
            </w:r>
          </w:p>
        </w:tc>
        <w:tc>
          <w:tcPr>
            <w:tcW w:w="762" w:type="pct"/>
          </w:tcPr>
          <w:p w14:paraId="264F386D" w14:textId="77777777" w:rsidR="00CF72D5" w:rsidRPr="002029AF" w:rsidRDefault="00CF72D5" w:rsidP="00A57FDC">
            <w:pPr>
              <w:pStyle w:val="ARtabletextright"/>
            </w:pPr>
            <w:r w:rsidRPr="002029AF">
              <w:t>0</w:t>
            </w:r>
          </w:p>
        </w:tc>
      </w:tr>
      <w:tr w:rsidR="00CF72D5" w:rsidRPr="002029AF" w14:paraId="0596F15F" w14:textId="77777777" w:rsidTr="00457506">
        <w:tc>
          <w:tcPr>
            <w:tcW w:w="767" w:type="pct"/>
          </w:tcPr>
          <w:p w14:paraId="1F7C650C" w14:textId="1126CB99" w:rsidR="00CF72D5" w:rsidRPr="002029AF" w:rsidRDefault="00CF72D5" w:rsidP="00A57FDC">
            <w:pPr>
              <w:pStyle w:val="ARtabletext"/>
            </w:pPr>
            <w:r w:rsidRPr="002029AF">
              <w:t>Program</w:t>
            </w:r>
            <w:r w:rsidR="000A5329" w:rsidRPr="002029AF">
              <w:t xml:space="preserve"> </w:t>
            </w:r>
            <w:r w:rsidRPr="002029AF">
              <w:t>Assessment</w:t>
            </w:r>
            <w:r w:rsidR="000A5329" w:rsidRPr="002029AF">
              <w:t xml:space="preserve"> </w:t>
            </w:r>
            <w:r w:rsidRPr="002029AF">
              <w:t>&amp;</w:t>
            </w:r>
            <w:r w:rsidR="000A5329" w:rsidRPr="002029AF">
              <w:t xml:space="preserve"> </w:t>
            </w:r>
            <w:r w:rsidRPr="002029AF">
              <w:t>Evaluation</w:t>
            </w:r>
          </w:p>
        </w:tc>
        <w:tc>
          <w:tcPr>
            <w:tcW w:w="766" w:type="pct"/>
          </w:tcPr>
          <w:p w14:paraId="023D3C9A" w14:textId="3C5FAD09" w:rsidR="00CF72D5" w:rsidRPr="002029AF" w:rsidRDefault="00CF72D5" w:rsidP="00A57FDC">
            <w:pPr>
              <w:pStyle w:val="ARtabletext"/>
            </w:pPr>
            <w:r w:rsidRPr="002029AF">
              <w:t>The</w:t>
            </w:r>
            <w:r w:rsidR="000A5329" w:rsidRPr="002029AF">
              <w:t xml:space="preserve"> </w:t>
            </w:r>
            <w:r w:rsidRPr="002029AF">
              <w:t>Systems</w:t>
            </w:r>
            <w:r w:rsidR="000A5329" w:rsidRPr="002029AF">
              <w:t xml:space="preserve"> </w:t>
            </w:r>
            <w:r w:rsidRPr="002029AF">
              <w:t>School</w:t>
            </w:r>
          </w:p>
        </w:tc>
        <w:tc>
          <w:tcPr>
            <w:tcW w:w="1173" w:type="pct"/>
          </w:tcPr>
          <w:p w14:paraId="024A9F1D" w14:textId="661B2F06" w:rsidR="00CF72D5" w:rsidRPr="002029AF" w:rsidRDefault="00CF72D5" w:rsidP="00A57FDC">
            <w:pPr>
              <w:pStyle w:val="ARtabletext"/>
            </w:pPr>
            <w:r w:rsidRPr="002029AF">
              <w:t>System</w:t>
            </w:r>
            <w:r w:rsidR="000A5329" w:rsidRPr="002029AF">
              <w:t xml:space="preserve"> </w:t>
            </w:r>
            <w:r w:rsidRPr="002029AF">
              <w:t>Expert,</w:t>
            </w:r>
            <w:r w:rsidR="000A5329" w:rsidRPr="002029AF">
              <w:t xml:space="preserve"> </w:t>
            </w:r>
            <w:r w:rsidRPr="002029AF">
              <w:t>Homelessness</w:t>
            </w:r>
            <w:r w:rsidR="000A5329" w:rsidRPr="002029AF">
              <w:t xml:space="preserve"> </w:t>
            </w:r>
            <w:r w:rsidRPr="002029AF">
              <w:t>Evaluation</w:t>
            </w:r>
          </w:p>
        </w:tc>
        <w:tc>
          <w:tcPr>
            <w:tcW w:w="766" w:type="pct"/>
          </w:tcPr>
          <w:p w14:paraId="03C6D3BD" w14:textId="77777777" w:rsidR="00CF72D5" w:rsidRPr="002029AF" w:rsidRDefault="00CF72D5" w:rsidP="00A57FDC">
            <w:pPr>
              <w:pStyle w:val="ARtabletextright"/>
            </w:pPr>
            <w:r w:rsidRPr="002029AF">
              <w:t>77,273</w:t>
            </w:r>
          </w:p>
        </w:tc>
        <w:tc>
          <w:tcPr>
            <w:tcW w:w="766" w:type="pct"/>
          </w:tcPr>
          <w:p w14:paraId="7DB5A69C" w14:textId="77777777" w:rsidR="00CF72D5" w:rsidRPr="002029AF" w:rsidRDefault="00CF72D5" w:rsidP="00A57FDC">
            <w:pPr>
              <w:pStyle w:val="ARtabletextright"/>
            </w:pPr>
            <w:r w:rsidRPr="002029AF">
              <w:t>25,167</w:t>
            </w:r>
          </w:p>
        </w:tc>
        <w:tc>
          <w:tcPr>
            <w:tcW w:w="762" w:type="pct"/>
          </w:tcPr>
          <w:p w14:paraId="3CC5A6A6" w14:textId="77777777" w:rsidR="00CF72D5" w:rsidRPr="002029AF" w:rsidRDefault="00CF72D5" w:rsidP="00A57FDC">
            <w:pPr>
              <w:pStyle w:val="ARtabletextright"/>
            </w:pPr>
            <w:r w:rsidRPr="002029AF">
              <w:t>52,106</w:t>
            </w:r>
          </w:p>
        </w:tc>
      </w:tr>
      <w:tr w:rsidR="00CF72D5" w:rsidRPr="002029AF" w14:paraId="360054B6" w14:textId="77777777" w:rsidTr="00457506">
        <w:tc>
          <w:tcPr>
            <w:tcW w:w="767" w:type="pct"/>
          </w:tcPr>
          <w:p w14:paraId="0AB66C6F" w14:textId="5A2C5029" w:rsidR="00CF72D5" w:rsidRPr="002029AF" w:rsidRDefault="00CF72D5" w:rsidP="00A57FDC">
            <w:pPr>
              <w:pStyle w:val="ARtabletext"/>
            </w:pPr>
            <w:r w:rsidRPr="002029AF">
              <w:t>Program</w:t>
            </w:r>
            <w:r w:rsidR="000A5329" w:rsidRPr="002029AF">
              <w:t xml:space="preserve"> </w:t>
            </w:r>
            <w:r w:rsidRPr="002029AF">
              <w:t>Assessment</w:t>
            </w:r>
            <w:r w:rsidR="000A5329" w:rsidRPr="002029AF">
              <w:t xml:space="preserve"> </w:t>
            </w:r>
            <w:r w:rsidRPr="002029AF">
              <w:t>&amp;</w:t>
            </w:r>
            <w:r w:rsidR="000A5329" w:rsidRPr="002029AF">
              <w:t xml:space="preserve"> </w:t>
            </w:r>
            <w:r w:rsidRPr="002029AF">
              <w:t>Evaluation</w:t>
            </w:r>
          </w:p>
        </w:tc>
        <w:tc>
          <w:tcPr>
            <w:tcW w:w="766" w:type="pct"/>
          </w:tcPr>
          <w:p w14:paraId="136A842B" w14:textId="4D23EB1B" w:rsidR="00CF72D5" w:rsidRPr="002029AF" w:rsidRDefault="00CF72D5" w:rsidP="00A57FDC">
            <w:pPr>
              <w:pStyle w:val="ARtabletext"/>
            </w:pPr>
            <w:r w:rsidRPr="002029AF">
              <w:t>Institute</w:t>
            </w:r>
            <w:r w:rsidR="000A5329" w:rsidRPr="002029AF">
              <w:t xml:space="preserve"> </w:t>
            </w:r>
            <w:r w:rsidRPr="002029AF">
              <w:t>for</w:t>
            </w:r>
            <w:r w:rsidR="000A5329" w:rsidRPr="002029AF">
              <w:t xml:space="preserve"> </w:t>
            </w:r>
            <w:r w:rsidRPr="002029AF">
              <w:t>Healthcare</w:t>
            </w:r>
            <w:r w:rsidR="000A5329" w:rsidRPr="002029AF">
              <w:t xml:space="preserve"> </w:t>
            </w:r>
            <w:r w:rsidRPr="002029AF">
              <w:t>Improvement</w:t>
            </w:r>
          </w:p>
        </w:tc>
        <w:tc>
          <w:tcPr>
            <w:tcW w:w="1173" w:type="pct"/>
          </w:tcPr>
          <w:p w14:paraId="785D0EAE" w14:textId="36C337B1" w:rsidR="00CF72D5" w:rsidRPr="002029AF" w:rsidRDefault="00CF72D5" w:rsidP="00A57FDC">
            <w:pPr>
              <w:pStyle w:val="ARtabletext"/>
            </w:pPr>
            <w:r w:rsidRPr="002029AF">
              <w:t>Victorian</w:t>
            </w:r>
            <w:r w:rsidR="000A5329" w:rsidRPr="002029AF">
              <w:t xml:space="preserve"> </w:t>
            </w:r>
            <w:r w:rsidRPr="002029AF">
              <w:t>Patient</w:t>
            </w:r>
            <w:r w:rsidR="000A5329" w:rsidRPr="002029AF">
              <w:t xml:space="preserve"> </w:t>
            </w:r>
            <w:r w:rsidRPr="002029AF">
              <w:t>Safety</w:t>
            </w:r>
            <w:r w:rsidR="000A5329" w:rsidRPr="002029AF">
              <w:t xml:space="preserve"> </w:t>
            </w:r>
            <w:r w:rsidRPr="002029AF">
              <w:t>Program</w:t>
            </w:r>
          </w:p>
        </w:tc>
        <w:tc>
          <w:tcPr>
            <w:tcW w:w="766" w:type="pct"/>
          </w:tcPr>
          <w:p w14:paraId="250917BB" w14:textId="77777777" w:rsidR="00CF72D5" w:rsidRPr="002029AF" w:rsidRDefault="00CF72D5" w:rsidP="00A57FDC">
            <w:pPr>
              <w:pStyle w:val="ARtabletextright"/>
            </w:pPr>
            <w:r w:rsidRPr="002029AF">
              <w:t>10,207,681</w:t>
            </w:r>
          </w:p>
        </w:tc>
        <w:tc>
          <w:tcPr>
            <w:tcW w:w="766" w:type="pct"/>
          </w:tcPr>
          <w:p w14:paraId="68E037C6" w14:textId="77777777" w:rsidR="00CF72D5" w:rsidRPr="002029AF" w:rsidRDefault="00CF72D5" w:rsidP="00A57FDC">
            <w:pPr>
              <w:pStyle w:val="ARtabletextright"/>
            </w:pPr>
            <w:r w:rsidRPr="002029AF">
              <w:t>2,713,638</w:t>
            </w:r>
          </w:p>
        </w:tc>
        <w:tc>
          <w:tcPr>
            <w:tcW w:w="762" w:type="pct"/>
          </w:tcPr>
          <w:p w14:paraId="7CC894C5" w14:textId="77777777" w:rsidR="00CF72D5" w:rsidRPr="002029AF" w:rsidRDefault="00CF72D5" w:rsidP="00A57FDC">
            <w:pPr>
              <w:pStyle w:val="ARtabletextright"/>
            </w:pPr>
            <w:r w:rsidRPr="002029AF">
              <w:t>3,545,168</w:t>
            </w:r>
          </w:p>
        </w:tc>
      </w:tr>
      <w:tr w:rsidR="00CF72D5" w:rsidRPr="002029AF" w14:paraId="74CC3846" w14:textId="77777777" w:rsidTr="00457506">
        <w:tc>
          <w:tcPr>
            <w:tcW w:w="767" w:type="pct"/>
          </w:tcPr>
          <w:p w14:paraId="45BE896E" w14:textId="0DAB67B3" w:rsidR="00CF72D5" w:rsidRPr="002029AF" w:rsidRDefault="00CF72D5" w:rsidP="00A57FDC">
            <w:pPr>
              <w:pStyle w:val="ARtabletext"/>
            </w:pPr>
            <w:r w:rsidRPr="002029AF">
              <w:t>Program</w:t>
            </w:r>
            <w:r w:rsidR="000A5329" w:rsidRPr="002029AF">
              <w:t xml:space="preserve"> </w:t>
            </w:r>
            <w:r w:rsidRPr="002029AF">
              <w:t>Assessment</w:t>
            </w:r>
            <w:r w:rsidR="000A5329" w:rsidRPr="002029AF">
              <w:t xml:space="preserve"> </w:t>
            </w:r>
            <w:r w:rsidRPr="002029AF">
              <w:t>&amp;</w:t>
            </w:r>
            <w:r w:rsidR="000A5329" w:rsidRPr="002029AF">
              <w:t xml:space="preserve"> </w:t>
            </w:r>
            <w:r w:rsidRPr="002029AF">
              <w:t>Evaluation</w:t>
            </w:r>
          </w:p>
        </w:tc>
        <w:tc>
          <w:tcPr>
            <w:tcW w:w="766" w:type="pct"/>
          </w:tcPr>
          <w:p w14:paraId="39AB2D75" w14:textId="78127B9B" w:rsidR="00CF72D5" w:rsidRPr="002029AF" w:rsidRDefault="00CF72D5" w:rsidP="00A57FDC">
            <w:pPr>
              <w:pStyle w:val="ARtabletext"/>
            </w:pPr>
            <w:r w:rsidRPr="002029AF">
              <w:t>Monash</w:t>
            </w:r>
            <w:r w:rsidR="000A5329" w:rsidRPr="002029AF">
              <w:t xml:space="preserve"> </w:t>
            </w:r>
            <w:r w:rsidRPr="002029AF">
              <w:t>University</w:t>
            </w:r>
          </w:p>
        </w:tc>
        <w:tc>
          <w:tcPr>
            <w:tcW w:w="1173" w:type="pct"/>
          </w:tcPr>
          <w:p w14:paraId="76FBBBF0" w14:textId="1AD59195" w:rsidR="00CF72D5" w:rsidRPr="002029AF" w:rsidRDefault="00CF72D5" w:rsidP="00A57FDC">
            <w:pPr>
              <w:pStyle w:val="ARtabletext"/>
            </w:pPr>
            <w:r w:rsidRPr="002029AF">
              <w:t>Review,</w:t>
            </w:r>
            <w:r w:rsidR="000A5329" w:rsidRPr="002029AF">
              <w:t xml:space="preserve"> </w:t>
            </w:r>
            <w:r w:rsidRPr="002029AF">
              <w:t>Family</w:t>
            </w:r>
            <w:r w:rsidR="000A5329" w:rsidRPr="002029AF">
              <w:t xml:space="preserve"> </w:t>
            </w:r>
            <w:r w:rsidRPr="002029AF">
              <w:t>violence</w:t>
            </w:r>
            <w:r w:rsidR="000A5329" w:rsidRPr="002029AF">
              <w:t xml:space="preserve"> </w:t>
            </w:r>
            <w:r w:rsidRPr="002029AF">
              <w:t>information</w:t>
            </w:r>
            <w:r w:rsidR="000A5329" w:rsidRPr="002029AF">
              <w:t xml:space="preserve"> </w:t>
            </w:r>
            <w:r w:rsidRPr="002029AF">
              <w:t>sharing</w:t>
            </w:r>
            <w:r w:rsidR="000A5329" w:rsidRPr="002029AF">
              <w:t xml:space="preserve"> </w:t>
            </w:r>
            <w:r w:rsidRPr="002029AF">
              <w:t>scheme</w:t>
            </w:r>
          </w:p>
        </w:tc>
        <w:tc>
          <w:tcPr>
            <w:tcW w:w="766" w:type="pct"/>
          </w:tcPr>
          <w:p w14:paraId="3265EF9B" w14:textId="77777777" w:rsidR="00CF72D5" w:rsidRPr="002029AF" w:rsidRDefault="00CF72D5" w:rsidP="00A57FDC">
            <w:pPr>
              <w:pStyle w:val="ARtabletextright"/>
            </w:pPr>
            <w:r w:rsidRPr="002029AF">
              <w:t>427,475</w:t>
            </w:r>
          </w:p>
        </w:tc>
        <w:tc>
          <w:tcPr>
            <w:tcW w:w="766" w:type="pct"/>
          </w:tcPr>
          <w:p w14:paraId="0BA5EC3F" w14:textId="77777777" w:rsidR="00CF72D5" w:rsidRPr="002029AF" w:rsidRDefault="00CF72D5" w:rsidP="00A57FDC">
            <w:pPr>
              <w:pStyle w:val="ARtabletextright"/>
            </w:pPr>
            <w:r w:rsidRPr="002029AF">
              <w:t>173,879</w:t>
            </w:r>
          </w:p>
        </w:tc>
        <w:tc>
          <w:tcPr>
            <w:tcW w:w="762" w:type="pct"/>
          </w:tcPr>
          <w:p w14:paraId="7764E5AE" w14:textId="77777777" w:rsidR="00CF72D5" w:rsidRPr="002029AF" w:rsidRDefault="00CF72D5" w:rsidP="00A57FDC">
            <w:pPr>
              <w:pStyle w:val="ARtabletextright"/>
            </w:pPr>
            <w:r w:rsidRPr="002029AF">
              <w:t>0</w:t>
            </w:r>
          </w:p>
        </w:tc>
      </w:tr>
      <w:tr w:rsidR="00CF72D5" w:rsidRPr="002029AF" w14:paraId="6A5E159E" w14:textId="77777777" w:rsidTr="00457506">
        <w:tc>
          <w:tcPr>
            <w:tcW w:w="767" w:type="pct"/>
          </w:tcPr>
          <w:p w14:paraId="5997BD34" w14:textId="43A179C5" w:rsidR="00CF72D5" w:rsidRPr="002029AF" w:rsidRDefault="00CF72D5" w:rsidP="00A57FDC">
            <w:pPr>
              <w:pStyle w:val="ARtabletext"/>
            </w:pPr>
            <w:r w:rsidRPr="002029AF">
              <w:lastRenderedPageBreak/>
              <w:t>Program</w:t>
            </w:r>
            <w:r w:rsidR="000A5329" w:rsidRPr="002029AF">
              <w:t xml:space="preserve"> </w:t>
            </w:r>
            <w:r w:rsidRPr="002029AF">
              <w:t>Assessment</w:t>
            </w:r>
            <w:r w:rsidR="000A5329" w:rsidRPr="002029AF">
              <w:t xml:space="preserve"> </w:t>
            </w:r>
            <w:r w:rsidRPr="002029AF">
              <w:t>&amp;</w:t>
            </w:r>
            <w:r w:rsidR="000A5329" w:rsidRPr="002029AF">
              <w:t xml:space="preserve"> </w:t>
            </w:r>
            <w:r w:rsidRPr="002029AF">
              <w:t>Evaluation</w:t>
            </w:r>
          </w:p>
        </w:tc>
        <w:tc>
          <w:tcPr>
            <w:tcW w:w="766" w:type="pct"/>
          </w:tcPr>
          <w:p w14:paraId="2D4263C3" w14:textId="355B0882" w:rsidR="00CF72D5" w:rsidRPr="002029AF" w:rsidRDefault="00CF72D5" w:rsidP="00A57FDC">
            <w:pPr>
              <w:pStyle w:val="ARtabletext"/>
            </w:pPr>
            <w:r w:rsidRPr="002029AF">
              <w:t>K</w:t>
            </w:r>
            <w:r w:rsidR="000A5329" w:rsidRPr="002029AF">
              <w:t xml:space="preserve"> </w:t>
            </w:r>
            <w:r w:rsidRPr="002029AF">
              <w:t>Murray</w:t>
            </w:r>
            <w:r w:rsidR="000A5329" w:rsidRPr="002029AF">
              <w:t xml:space="preserve"> </w:t>
            </w:r>
            <w:r w:rsidRPr="002029AF">
              <w:t>Consulting</w:t>
            </w:r>
          </w:p>
        </w:tc>
        <w:tc>
          <w:tcPr>
            <w:tcW w:w="1173" w:type="pct"/>
          </w:tcPr>
          <w:p w14:paraId="66F9EA95" w14:textId="3D4C4C7C" w:rsidR="00CF72D5" w:rsidRPr="002029AF" w:rsidRDefault="00CF72D5" w:rsidP="00A57FDC">
            <w:pPr>
              <w:pStyle w:val="ARtabletext"/>
            </w:pPr>
            <w:r w:rsidRPr="002029AF">
              <w:t>Review,</w:t>
            </w:r>
            <w:r w:rsidR="000A5329" w:rsidRPr="002029AF">
              <w:t xml:space="preserve"> </w:t>
            </w:r>
            <w:r w:rsidRPr="002029AF">
              <w:t>Administration</w:t>
            </w:r>
            <w:r w:rsidR="000A5329" w:rsidRPr="002029AF">
              <w:t xml:space="preserve"> </w:t>
            </w:r>
            <w:r w:rsidRPr="002029AF">
              <w:t>of</w:t>
            </w:r>
            <w:r w:rsidR="000A5329" w:rsidRPr="002029AF">
              <w:t xml:space="preserve"> </w:t>
            </w:r>
            <w:r w:rsidRPr="002029AF">
              <w:t>the</w:t>
            </w:r>
            <w:r w:rsidR="000A5329" w:rsidRPr="002029AF">
              <w:t xml:space="preserve"> </w:t>
            </w:r>
            <w:r w:rsidRPr="002029AF">
              <w:rPr>
                <w:i/>
                <w:iCs/>
              </w:rPr>
              <w:t>Working</w:t>
            </w:r>
            <w:r w:rsidR="000A5329" w:rsidRPr="002029AF">
              <w:rPr>
                <w:i/>
                <w:iCs/>
              </w:rPr>
              <w:t xml:space="preserve"> </w:t>
            </w:r>
            <w:r w:rsidRPr="002029AF">
              <w:rPr>
                <w:i/>
                <w:iCs/>
              </w:rPr>
              <w:t>with</w:t>
            </w:r>
            <w:r w:rsidR="000A5329" w:rsidRPr="002029AF">
              <w:rPr>
                <w:i/>
                <w:iCs/>
              </w:rPr>
              <w:t xml:space="preserve"> </w:t>
            </w:r>
            <w:r w:rsidRPr="002029AF">
              <w:rPr>
                <w:i/>
                <w:iCs/>
              </w:rPr>
              <w:t>Children</w:t>
            </w:r>
            <w:r w:rsidR="000A5329" w:rsidRPr="002029AF">
              <w:rPr>
                <w:i/>
                <w:iCs/>
              </w:rPr>
              <w:t xml:space="preserve"> </w:t>
            </w:r>
            <w:r w:rsidRPr="002029AF">
              <w:rPr>
                <w:i/>
                <w:iCs/>
              </w:rPr>
              <w:t>Act</w:t>
            </w:r>
            <w:r w:rsidR="000A5329" w:rsidRPr="002029AF">
              <w:rPr>
                <w:i/>
                <w:iCs/>
              </w:rPr>
              <w:t xml:space="preserve"> </w:t>
            </w:r>
            <w:r w:rsidRPr="002029AF">
              <w:rPr>
                <w:i/>
                <w:iCs/>
              </w:rPr>
              <w:t>2005</w:t>
            </w:r>
          </w:p>
        </w:tc>
        <w:tc>
          <w:tcPr>
            <w:tcW w:w="766" w:type="pct"/>
          </w:tcPr>
          <w:p w14:paraId="1CA93F8E" w14:textId="77777777" w:rsidR="00CF72D5" w:rsidRPr="002029AF" w:rsidRDefault="00CF72D5" w:rsidP="00A57FDC">
            <w:pPr>
              <w:pStyle w:val="ARtabletextright"/>
            </w:pPr>
            <w:r w:rsidRPr="002029AF">
              <w:t>68,000</w:t>
            </w:r>
          </w:p>
        </w:tc>
        <w:tc>
          <w:tcPr>
            <w:tcW w:w="766" w:type="pct"/>
          </w:tcPr>
          <w:p w14:paraId="23F7F3DE" w14:textId="77777777" w:rsidR="00CF72D5" w:rsidRPr="002029AF" w:rsidRDefault="00CF72D5" w:rsidP="00A57FDC">
            <w:pPr>
              <w:pStyle w:val="ARtabletextright"/>
            </w:pPr>
            <w:r w:rsidRPr="002029AF">
              <w:t>45,050</w:t>
            </w:r>
          </w:p>
        </w:tc>
        <w:tc>
          <w:tcPr>
            <w:tcW w:w="762" w:type="pct"/>
          </w:tcPr>
          <w:p w14:paraId="7A5357D9" w14:textId="77777777" w:rsidR="00CF72D5" w:rsidRPr="002029AF" w:rsidRDefault="00CF72D5" w:rsidP="00A57FDC">
            <w:pPr>
              <w:pStyle w:val="ARtabletextright"/>
            </w:pPr>
            <w:r w:rsidRPr="002029AF">
              <w:t>0</w:t>
            </w:r>
          </w:p>
        </w:tc>
      </w:tr>
      <w:tr w:rsidR="00CF72D5" w:rsidRPr="002029AF" w14:paraId="5388B0D5" w14:textId="77777777" w:rsidTr="00457506">
        <w:tc>
          <w:tcPr>
            <w:tcW w:w="767" w:type="pct"/>
          </w:tcPr>
          <w:p w14:paraId="36703CEB" w14:textId="58C1F6DA" w:rsidR="00CF72D5" w:rsidRPr="002029AF" w:rsidRDefault="00CF72D5" w:rsidP="00A57FDC">
            <w:pPr>
              <w:pStyle w:val="ARtabletext"/>
            </w:pPr>
            <w:r w:rsidRPr="002029AF">
              <w:t>Program</w:t>
            </w:r>
            <w:r w:rsidR="000A5329" w:rsidRPr="002029AF">
              <w:t xml:space="preserve"> </w:t>
            </w:r>
            <w:r w:rsidRPr="002029AF">
              <w:t>Assessment</w:t>
            </w:r>
            <w:r w:rsidR="000A5329" w:rsidRPr="002029AF">
              <w:t xml:space="preserve"> </w:t>
            </w:r>
            <w:r w:rsidRPr="002029AF">
              <w:t>&amp;</w:t>
            </w:r>
            <w:r w:rsidR="000A5329" w:rsidRPr="002029AF">
              <w:t xml:space="preserve"> </w:t>
            </w:r>
            <w:r w:rsidRPr="002029AF">
              <w:t>Evaluation</w:t>
            </w:r>
          </w:p>
        </w:tc>
        <w:tc>
          <w:tcPr>
            <w:tcW w:w="766" w:type="pct"/>
          </w:tcPr>
          <w:p w14:paraId="0ADDDA24" w14:textId="0C7C3A4B" w:rsidR="00CF72D5" w:rsidRPr="002029AF" w:rsidRDefault="00CF72D5" w:rsidP="00A57FDC">
            <w:pPr>
              <w:pStyle w:val="ARtabletext"/>
            </w:pPr>
            <w:r w:rsidRPr="002029AF">
              <w:t>Lyn</w:t>
            </w:r>
            <w:r w:rsidR="000A5329" w:rsidRPr="002029AF">
              <w:t xml:space="preserve"> </w:t>
            </w:r>
            <w:r w:rsidRPr="002029AF">
              <w:t>Walker</w:t>
            </w:r>
            <w:r w:rsidR="000A5329" w:rsidRPr="002029AF">
              <w:t xml:space="preserve"> </w:t>
            </w:r>
            <w:r w:rsidRPr="002029AF">
              <w:t>and</w:t>
            </w:r>
            <w:r w:rsidR="000A5329" w:rsidRPr="002029AF">
              <w:t xml:space="preserve"> </w:t>
            </w:r>
            <w:r w:rsidRPr="002029AF">
              <w:t>Associates</w:t>
            </w:r>
          </w:p>
        </w:tc>
        <w:tc>
          <w:tcPr>
            <w:tcW w:w="1173" w:type="pct"/>
          </w:tcPr>
          <w:p w14:paraId="7C065797" w14:textId="5CC009F2" w:rsidR="00CF72D5" w:rsidRPr="002029AF" w:rsidRDefault="00CF72D5" w:rsidP="00A57FDC">
            <w:pPr>
              <w:pStyle w:val="ARtabletext"/>
            </w:pPr>
            <w:r w:rsidRPr="002029AF">
              <w:t>Review,</w:t>
            </w:r>
            <w:r w:rsidR="000A5329" w:rsidRPr="002029AF">
              <w:t xml:space="preserve"> </w:t>
            </w:r>
            <w:r w:rsidRPr="002029AF">
              <w:t>Victorian</w:t>
            </w:r>
            <w:r w:rsidR="000A5329" w:rsidRPr="002029AF">
              <w:t xml:space="preserve"> </w:t>
            </w:r>
            <w:r w:rsidRPr="002029AF">
              <w:t>Family</w:t>
            </w:r>
            <w:r w:rsidR="000A5329" w:rsidRPr="002029AF">
              <w:t xml:space="preserve"> </w:t>
            </w:r>
            <w:r w:rsidRPr="002029AF">
              <w:t>Violence</w:t>
            </w:r>
            <w:r w:rsidR="000A5329" w:rsidRPr="002029AF">
              <w:t xml:space="preserve"> </w:t>
            </w:r>
            <w:r w:rsidRPr="002029AF">
              <w:t>and</w:t>
            </w:r>
            <w:r w:rsidR="000A5329" w:rsidRPr="002029AF">
              <w:t xml:space="preserve"> </w:t>
            </w:r>
            <w:r w:rsidRPr="002029AF">
              <w:t>Violence</w:t>
            </w:r>
            <w:r w:rsidR="000A5329" w:rsidRPr="002029AF">
              <w:t xml:space="preserve"> </w:t>
            </w:r>
            <w:r w:rsidRPr="002029AF">
              <w:t>Against</w:t>
            </w:r>
            <w:r w:rsidR="000A5329" w:rsidRPr="002029AF">
              <w:t xml:space="preserve"> </w:t>
            </w:r>
            <w:r w:rsidRPr="002029AF">
              <w:t>Women</w:t>
            </w:r>
            <w:r w:rsidR="000A5329" w:rsidRPr="002029AF">
              <w:t xml:space="preserve"> </w:t>
            </w:r>
            <w:r w:rsidRPr="002029AF">
              <w:t>Prevention</w:t>
            </w:r>
            <w:r w:rsidR="000A5329" w:rsidRPr="002029AF">
              <w:t xml:space="preserve"> </w:t>
            </w:r>
            <w:r w:rsidRPr="002029AF">
              <w:t>Activity</w:t>
            </w:r>
            <w:r w:rsidR="000A5329" w:rsidRPr="002029AF">
              <w:t xml:space="preserve"> </w:t>
            </w:r>
            <w:r w:rsidRPr="002029AF">
              <w:t>(Phase</w:t>
            </w:r>
            <w:r w:rsidR="000A5329" w:rsidRPr="002029AF">
              <w:t xml:space="preserve"> </w:t>
            </w:r>
            <w:r w:rsidRPr="002029AF">
              <w:t>1)</w:t>
            </w:r>
          </w:p>
        </w:tc>
        <w:tc>
          <w:tcPr>
            <w:tcW w:w="766" w:type="pct"/>
          </w:tcPr>
          <w:p w14:paraId="1A5B24C2" w14:textId="77777777" w:rsidR="00CF72D5" w:rsidRPr="002029AF" w:rsidRDefault="00CF72D5" w:rsidP="00A57FDC">
            <w:pPr>
              <w:pStyle w:val="ARtabletextright"/>
            </w:pPr>
            <w:r w:rsidRPr="002029AF">
              <w:t>70,000</w:t>
            </w:r>
          </w:p>
        </w:tc>
        <w:tc>
          <w:tcPr>
            <w:tcW w:w="766" w:type="pct"/>
          </w:tcPr>
          <w:p w14:paraId="359DE558" w14:textId="77777777" w:rsidR="00CF72D5" w:rsidRPr="002029AF" w:rsidRDefault="00CF72D5" w:rsidP="00A57FDC">
            <w:pPr>
              <w:pStyle w:val="ARtabletextright"/>
            </w:pPr>
            <w:r w:rsidRPr="002029AF">
              <w:t>31,818</w:t>
            </w:r>
          </w:p>
        </w:tc>
        <w:tc>
          <w:tcPr>
            <w:tcW w:w="762" w:type="pct"/>
          </w:tcPr>
          <w:p w14:paraId="057423A9" w14:textId="77777777" w:rsidR="00CF72D5" w:rsidRPr="002029AF" w:rsidRDefault="00CF72D5" w:rsidP="00A57FDC">
            <w:pPr>
              <w:pStyle w:val="ARtabletextright"/>
            </w:pPr>
            <w:r w:rsidRPr="002029AF">
              <w:t>0</w:t>
            </w:r>
          </w:p>
        </w:tc>
      </w:tr>
      <w:tr w:rsidR="00CF72D5" w:rsidRPr="002029AF" w14:paraId="10E875B3" w14:textId="77777777" w:rsidTr="00457506">
        <w:tc>
          <w:tcPr>
            <w:tcW w:w="767" w:type="pct"/>
          </w:tcPr>
          <w:p w14:paraId="3DF4BC30" w14:textId="112C8E65" w:rsidR="00CF72D5" w:rsidRPr="002029AF" w:rsidRDefault="00CF72D5" w:rsidP="00A57FDC">
            <w:pPr>
              <w:pStyle w:val="ARtabletext"/>
            </w:pPr>
            <w:r w:rsidRPr="002029AF">
              <w:t>Program</w:t>
            </w:r>
            <w:r w:rsidR="000A5329" w:rsidRPr="002029AF">
              <w:t xml:space="preserve"> </w:t>
            </w:r>
            <w:r w:rsidRPr="002029AF">
              <w:t>Assessment</w:t>
            </w:r>
            <w:r w:rsidR="000A5329" w:rsidRPr="002029AF">
              <w:t xml:space="preserve"> </w:t>
            </w:r>
            <w:r w:rsidRPr="002029AF">
              <w:t>&amp;</w:t>
            </w:r>
            <w:r w:rsidR="000A5329" w:rsidRPr="002029AF">
              <w:t xml:space="preserve"> </w:t>
            </w:r>
            <w:r w:rsidRPr="002029AF">
              <w:t>Evaluation</w:t>
            </w:r>
          </w:p>
        </w:tc>
        <w:tc>
          <w:tcPr>
            <w:tcW w:w="766" w:type="pct"/>
          </w:tcPr>
          <w:p w14:paraId="70E44AFC" w14:textId="500B7B9B" w:rsidR="00CF72D5" w:rsidRPr="002029AF" w:rsidRDefault="00CF72D5" w:rsidP="00A57FDC">
            <w:pPr>
              <w:pStyle w:val="ARtabletext"/>
            </w:pPr>
            <w:r w:rsidRPr="002029AF">
              <w:t>Professor</w:t>
            </w:r>
            <w:r w:rsidR="000A5329" w:rsidRPr="002029AF">
              <w:t xml:space="preserve"> </w:t>
            </w:r>
            <w:r w:rsidRPr="002029AF">
              <w:t>David</w:t>
            </w:r>
            <w:r w:rsidR="000A5329" w:rsidRPr="002029AF">
              <w:t xml:space="preserve"> </w:t>
            </w:r>
            <w:r w:rsidRPr="002029AF">
              <w:t>A</w:t>
            </w:r>
            <w:r w:rsidR="000A5329" w:rsidRPr="002029AF">
              <w:t xml:space="preserve"> </w:t>
            </w:r>
            <w:r w:rsidRPr="002029AF">
              <w:t>K</w:t>
            </w:r>
            <w:r w:rsidR="000A5329" w:rsidRPr="002029AF">
              <w:t xml:space="preserve"> </w:t>
            </w:r>
            <w:r w:rsidRPr="002029AF">
              <w:t>Watters</w:t>
            </w:r>
          </w:p>
        </w:tc>
        <w:tc>
          <w:tcPr>
            <w:tcW w:w="1173" w:type="pct"/>
          </w:tcPr>
          <w:p w14:paraId="011DA5AE" w14:textId="2F6B54FC" w:rsidR="00CF72D5" w:rsidRPr="002029AF" w:rsidRDefault="00CF72D5" w:rsidP="00A57FDC">
            <w:pPr>
              <w:pStyle w:val="ARtabletext"/>
            </w:pPr>
            <w:r w:rsidRPr="002029AF">
              <w:t>Review,</w:t>
            </w:r>
            <w:r w:rsidR="000A5329" w:rsidRPr="002029AF">
              <w:t xml:space="preserve"> </w:t>
            </w:r>
            <w:r w:rsidRPr="002029AF">
              <w:t>Managing</w:t>
            </w:r>
            <w:r w:rsidR="000A5329" w:rsidRPr="002029AF">
              <w:t xml:space="preserve"> </w:t>
            </w:r>
            <w:r w:rsidRPr="002029AF">
              <w:t>Private</w:t>
            </w:r>
            <w:r w:rsidR="000A5329" w:rsidRPr="002029AF">
              <w:t xml:space="preserve"> </w:t>
            </w:r>
            <w:r w:rsidRPr="002029AF">
              <w:t>Medical</w:t>
            </w:r>
            <w:r w:rsidR="000A5329" w:rsidRPr="002029AF">
              <w:t xml:space="preserve"> </w:t>
            </w:r>
            <w:r w:rsidRPr="002029AF">
              <w:t>Practice</w:t>
            </w:r>
            <w:r w:rsidR="000A5329" w:rsidRPr="002029AF">
              <w:t xml:space="preserve"> </w:t>
            </w:r>
            <w:r w:rsidRPr="002029AF">
              <w:t>in</w:t>
            </w:r>
            <w:r w:rsidR="000A5329" w:rsidRPr="002029AF">
              <w:t xml:space="preserve"> </w:t>
            </w:r>
            <w:r w:rsidRPr="002029AF">
              <w:t>Public</w:t>
            </w:r>
            <w:r w:rsidR="000A5329" w:rsidRPr="002029AF">
              <w:t xml:space="preserve"> </w:t>
            </w:r>
            <w:r w:rsidRPr="002029AF">
              <w:t>Hospitals</w:t>
            </w:r>
          </w:p>
        </w:tc>
        <w:tc>
          <w:tcPr>
            <w:tcW w:w="766" w:type="pct"/>
          </w:tcPr>
          <w:p w14:paraId="6969A8B3" w14:textId="77777777" w:rsidR="00CF72D5" w:rsidRPr="002029AF" w:rsidRDefault="00CF72D5" w:rsidP="00A57FDC">
            <w:pPr>
              <w:pStyle w:val="ARtabletextright"/>
            </w:pPr>
            <w:r w:rsidRPr="002029AF">
              <w:t>82,000</w:t>
            </w:r>
          </w:p>
        </w:tc>
        <w:tc>
          <w:tcPr>
            <w:tcW w:w="766" w:type="pct"/>
          </w:tcPr>
          <w:p w14:paraId="1579C67B" w14:textId="77777777" w:rsidR="00CF72D5" w:rsidRPr="002029AF" w:rsidRDefault="00CF72D5" w:rsidP="00A57FDC">
            <w:pPr>
              <w:pStyle w:val="ARtabletextright"/>
            </w:pPr>
            <w:r w:rsidRPr="002029AF">
              <w:t>31,000</w:t>
            </w:r>
          </w:p>
        </w:tc>
        <w:tc>
          <w:tcPr>
            <w:tcW w:w="762" w:type="pct"/>
          </w:tcPr>
          <w:p w14:paraId="7BC00764" w14:textId="77777777" w:rsidR="00CF72D5" w:rsidRPr="002029AF" w:rsidRDefault="00CF72D5" w:rsidP="00A57FDC">
            <w:pPr>
              <w:pStyle w:val="ARtabletextright"/>
            </w:pPr>
            <w:r w:rsidRPr="002029AF">
              <w:t>51,000</w:t>
            </w:r>
          </w:p>
        </w:tc>
      </w:tr>
      <w:tr w:rsidR="00CF72D5" w:rsidRPr="002029AF" w14:paraId="3D584005" w14:textId="77777777" w:rsidTr="00457506">
        <w:tc>
          <w:tcPr>
            <w:tcW w:w="767" w:type="pct"/>
          </w:tcPr>
          <w:p w14:paraId="40F81CEF" w14:textId="5636440E" w:rsidR="00CF72D5" w:rsidRPr="002029AF" w:rsidRDefault="00CF72D5" w:rsidP="00A57FDC">
            <w:pPr>
              <w:pStyle w:val="ARtabletext"/>
            </w:pPr>
            <w:r w:rsidRPr="002029AF">
              <w:t>Program</w:t>
            </w:r>
            <w:r w:rsidR="000A5329" w:rsidRPr="002029AF">
              <w:t xml:space="preserve"> </w:t>
            </w:r>
            <w:r w:rsidRPr="002029AF">
              <w:t>Assessment</w:t>
            </w:r>
            <w:r w:rsidR="000A5329" w:rsidRPr="002029AF">
              <w:t xml:space="preserve"> </w:t>
            </w:r>
            <w:r w:rsidRPr="002029AF">
              <w:t>&amp;</w:t>
            </w:r>
            <w:r w:rsidR="000A5329" w:rsidRPr="002029AF">
              <w:t xml:space="preserve"> </w:t>
            </w:r>
            <w:r w:rsidRPr="002029AF">
              <w:t>Evaluation</w:t>
            </w:r>
          </w:p>
        </w:tc>
        <w:tc>
          <w:tcPr>
            <w:tcW w:w="766" w:type="pct"/>
          </w:tcPr>
          <w:p w14:paraId="097ACC8D" w14:textId="28AC51FB" w:rsidR="00CF72D5" w:rsidRPr="002029AF" w:rsidRDefault="00CF72D5" w:rsidP="00A57FDC">
            <w:pPr>
              <w:pStyle w:val="ARtabletext"/>
            </w:pPr>
            <w:r w:rsidRPr="002029AF">
              <w:t>Paxton</w:t>
            </w:r>
            <w:r w:rsidR="000A5329" w:rsidRPr="002029AF">
              <w:t xml:space="preserve"> </w:t>
            </w:r>
            <w:r w:rsidRPr="002029AF">
              <w:t>Partners</w:t>
            </w:r>
          </w:p>
        </w:tc>
        <w:tc>
          <w:tcPr>
            <w:tcW w:w="1173" w:type="pct"/>
          </w:tcPr>
          <w:p w14:paraId="4705FAE3" w14:textId="750CB491" w:rsidR="00CF72D5" w:rsidRPr="002029AF" w:rsidRDefault="00CF72D5" w:rsidP="00A57FDC">
            <w:pPr>
              <w:pStyle w:val="ARtabletext"/>
            </w:pPr>
            <w:r w:rsidRPr="002029AF">
              <w:t>Development</w:t>
            </w:r>
            <w:r w:rsidR="000A5329" w:rsidRPr="002029AF">
              <w:t xml:space="preserve"> </w:t>
            </w:r>
            <w:r w:rsidRPr="002029AF">
              <w:t>and</w:t>
            </w:r>
            <w:r w:rsidR="000A5329" w:rsidRPr="002029AF">
              <w:t xml:space="preserve"> </w:t>
            </w:r>
            <w:r w:rsidRPr="002029AF">
              <w:t>review,</w:t>
            </w:r>
            <w:r w:rsidR="000A5329" w:rsidRPr="002029AF">
              <w:t xml:space="preserve"> </w:t>
            </w:r>
            <w:r w:rsidRPr="002029AF">
              <w:t>Public</w:t>
            </w:r>
            <w:r w:rsidR="000A5329" w:rsidRPr="002029AF">
              <w:t xml:space="preserve"> </w:t>
            </w:r>
            <w:r w:rsidRPr="002029AF">
              <w:t>health</w:t>
            </w:r>
            <w:r w:rsidR="000A5329" w:rsidRPr="002029AF">
              <w:t xml:space="preserve"> </w:t>
            </w:r>
            <w:r w:rsidRPr="002029AF">
              <w:t>microbiology</w:t>
            </w:r>
            <w:r w:rsidR="000A5329" w:rsidRPr="002029AF">
              <w:t xml:space="preserve"> </w:t>
            </w:r>
            <w:r w:rsidRPr="002029AF">
              <w:t>reference</w:t>
            </w:r>
            <w:r w:rsidR="000A5329" w:rsidRPr="002029AF">
              <w:t xml:space="preserve"> </w:t>
            </w:r>
            <w:r w:rsidRPr="002029AF">
              <w:t>laboratory</w:t>
            </w:r>
          </w:p>
        </w:tc>
        <w:tc>
          <w:tcPr>
            <w:tcW w:w="766" w:type="pct"/>
          </w:tcPr>
          <w:p w14:paraId="4B76C31C" w14:textId="77777777" w:rsidR="00CF72D5" w:rsidRPr="002029AF" w:rsidRDefault="00CF72D5" w:rsidP="00A57FDC">
            <w:pPr>
              <w:pStyle w:val="ARtabletextright"/>
            </w:pPr>
            <w:r w:rsidRPr="002029AF">
              <w:t>32,448</w:t>
            </w:r>
          </w:p>
        </w:tc>
        <w:tc>
          <w:tcPr>
            <w:tcW w:w="766" w:type="pct"/>
          </w:tcPr>
          <w:p w14:paraId="2627F18D" w14:textId="77777777" w:rsidR="00CF72D5" w:rsidRPr="002029AF" w:rsidRDefault="00CF72D5" w:rsidP="00A57FDC">
            <w:pPr>
              <w:pStyle w:val="ARtabletextright"/>
            </w:pPr>
            <w:r w:rsidRPr="002029AF">
              <w:t>30,788</w:t>
            </w:r>
          </w:p>
        </w:tc>
        <w:tc>
          <w:tcPr>
            <w:tcW w:w="762" w:type="pct"/>
          </w:tcPr>
          <w:p w14:paraId="656A62AC" w14:textId="77777777" w:rsidR="00CF72D5" w:rsidRPr="002029AF" w:rsidRDefault="00CF72D5" w:rsidP="00A57FDC">
            <w:pPr>
              <w:pStyle w:val="ARtabletextright"/>
            </w:pPr>
            <w:r w:rsidRPr="002029AF">
              <w:t>1,660</w:t>
            </w:r>
          </w:p>
        </w:tc>
      </w:tr>
      <w:tr w:rsidR="00CF72D5" w:rsidRPr="002029AF" w14:paraId="1E65BD2D" w14:textId="77777777" w:rsidTr="00457506">
        <w:tc>
          <w:tcPr>
            <w:tcW w:w="767" w:type="pct"/>
          </w:tcPr>
          <w:p w14:paraId="7D9CC9FE" w14:textId="54858ECE" w:rsidR="00CF72D5" w:rsidRPr="002029AF" w:rsidRDefault="00CF72D5" w:rsidP="00A57FDC">
            <w:pPr>
              <w:pStyle w:val="ARtabletext"/>
            </w:pPr>
            <w:r w:rsidRPr="002029AF">
              <w:t>Program</w:t>
            </w:r>
            <w:r w:rsidR="000A5329" w:rsidRPr="002029AF">
              <w:t xml:space="preserve"> </w:t>
            </w:r>
            <w:r w:rsidRPr="002029AF">
              <w:t>Assessment</w:t>
            </w:r>
            <w:r w:rsidR="000A5329" w:rsidRPr="002029AF">
              <w:t xml:space="preserve"> </w:t>
            </w:r>
            <w:r w:rsidRPr="002029AF">
              <w:t>&amp;</w:t>
            </w:r>
            <w:r w:rsidR="000A5329" w:rsidRPr="002029AF">
              <w:t xml:space="preserve"> </w:t>
            </w:r>
            <w:r w:rsidRPr="002029AF">
              <w:t>Evaluation</w:t>
            </w:r>
          </w:p>
        </w:tc>
        <w:tc>
          <w:tcPr>
            <w:tcW w:w="766" w:type="pct"/>
          </w:tcPr>
          <w:p w14:paraId="02FE0EBC" w14:textId="72A4730D" w:rsidR="00CF72D5" w:rsidRPr="002029AF" w:rsidRDefault="00CF72D5" w:rsidP="00A57FDC">
            <w:pPr>
              <w:pStyle w:val="ARtabletext"/>
            </w:pPr>
            <w:r w:rsidRPr="002029AF">
              <w:t>Ernst</w:t>
            </w:r>
            <w:r w:rsidR="000A5329" w:rsidRPr="002029AF">
              <w:t xml:space="preserve"> </w:t>
            </w:r>
            <w:r w:rsidRPr="002029AF">
              <w:t>&amp;</w:t>
            </w:r>
            <w:r w:rsidR="000A5329" w:rsidRPr="002029AF">
              <w:t xml:space="preserve"> </w:t>
            </w:r>
            <w:r w:rsidRPr="002029AF">
              <w:t>Young</w:t>
            </w:r>
            <w:r w:rsidR="000A5329" w:rsidRPr="002029AF">
              <w:t xml:space="preserve"> </w:t>
            </w:r>
            <w:r w:rsidRPr="002029AF">
              <w:t>Services</w:t>
            </w:r>
            <w:r w:rsidR="000A5329" w:rsidRPr="002029AF">
              <w:t xml:space="preserve"> </w:t>
            </w:r>
            <w:r w:rsidRPr="002029AF">
              <w:t>Pty</w:t>
            </w:r>
            <w:r w:rsidR="000A5329" w:rsidRPr="002029AF">
              <w:t xml:space="preserve"> </w:t>
            </w:r>
            <w:r w:rsidRPr="002029AF">
              <w:t>Ltd</w:t>
            </w:r>
          </w:p>
        </w:tc>
        <w:tc>
          <w:tcPr>
            <w:tcW w:w="1173" w:type="pct"/>
          </w:tcPr>
          <w:p w14:paraId="678806B4" w14:textId="509755CA" w:rsidR="00CF72D5" w:rsidRPr="002029AF" w:rsidRDefault="00CF72D5" w:rsidP="00A57FDC">
            <w:pPr>
              <w:pStyle w:val="ARtabletext"/>
            </w:pPr>
            <w:r w:rsidRPr="002029AF">
              <w:t>Strategy,</w:t>
            </w:r>
            <w:r w:rsidR="000A5329" w:rsidRPr="002029AF">
              <w:t xml:space="preserve"> </w:t>
            </w:r>
            <w:r w:rsidRPr="002029AF">
              <w:t>Budget</w:t>
            </w:r>
            <w:r w:rsidR="000A5329" w:rsidRPr="002029AF">
              <w:t xml:space="preserve"> </w:t>
            </w:r>
            <w:r w:rsidRPr="002029AF">
              <w:t>Strategy</w:t>
            </w:r>
            <w:r w:rsidR="000A5329" w:rsidRPr="002029AF">
              <w:t xml:space="preserve"> </w:t>
            </w:r>
            <w:r w:rsidRPr="002029AF">
              <w:t>Development</w:t>
            </w:r>
          </w:p>
        </w:tc>
        <w:tc>
          <w:tcPr>
            <w:tcW w:w="766" w:type="pct"/>
          </w:tcPr>
          <w:p w14:paraId="68762160" w14:textId="77777777" w:rsidR="00CF72D5" w:rsidRPr="002029AF" w:rsidRDefault="00CF72D5" w:rsidP="00A57FDC">
            <w:pPr>
              <w:pStyle w:val="ARtabletextright"/>
            </w:pPr>
            <w:r w:rsidRPr="002029AF">
              <w:t>136,000</w:t>
            </w:r>
          </w:p>
        </w:tc>
        <w:tc>
          <w:tcPr>
            <w:tcW w:w="766" w:type="pct"/>
          </w:tcPr>
          <w:p w14:paraId="16EB45A1" w14:textId="77777777" w:rsidR="00CF72D5" w:rsidRPr="002029AF" w:rsidRDefault="00CF72D5" w:rsidP="00A57FDC">
            <w:pPr>
              <w:pStyle w:val="ARtabletextright"/>
            </w:pPr>
            <w:r w:rsidRPr="002029AF">
              <w:t>136,000</w:t>
            </w:r>
          </w:p>
        </w:tc>
        <w:tc>
          <w:tcPr>
            <w:tcW w:w="762" w:type="pct"/>
          </w:tcPr>
          <w:p w14:paraId="5ADAFE97" w14:textId="77777777" w:rsidR="00CF72D5" w:rsidRPr="002029AF" w:rsidRDefault="00CF72D5" w:rsidP="00A57FDC">
            <w:pPr>
              <w:pStyle w:val="ARtabletextright"/>
            </w:pPr>
            <w:r w:rsidRPr="002029AF">
              <w:t>0</w:t>
            </w:r>
          </w:p>
        </w:tc>
      </w:tr>
      <w:tr w:rsidR="00CF72D5" w:rsidRPr="002029AF" w14:paraId="51DF2A9F" w14:textId="77777777" w:rsidTr="00457506">
        <w:tc>
          <w:tcPr>
            <w:tcW w:w="767" w:type="pct"/>
          </w:tcPr>
          <w:p w14:paraId="4017246A" w14:textId="4D1FEE8A" w:rsidR="00CF72D5" w:rsidRPr="002029AF" w:rsidRDefault="00CF72D5" w:rsidP="00A57FDC">
            <w:pPr>
              <w:pStyle w:val="ARtabletext"/>
            </w:pPr>
            <w:r w:rsidRPr="002029AF">
              <w:t>Workforce</w:t>
            </w:r>
            <w:r w:rsidR="000A5329" w:rsidRPr="002029AF">
              <w:t xml:space="preserve"> </w:t>
            </w:r>
            <w:r w:rsidRPr="002029AF">
              <w:t>Support</w:t>
            </w:r>
          </w:p>
        </w:tc>
        <w:tc>
          <w:tcPr>
            <w:tcW w:w="766" w:type="pct"/>
          </w:tcPr>
          <w:p w14:paraId="52DCD1C5" w14:textId="2088FCC4" w:rsidR="00CF72D5" w:rsidRPr="002029AF" w:rsidRDefault="00CF72D5" w:rsidP="00A57FDC">
            <w:pPr>
              <w:pStyle w:val="ARtabletext"/>
            </w:pPr>
            <w:r w:rsidRPr="002029AF">
              <w:t>Wise</w:t>
            </w:r>
            <w:r w:rsidR="000A5329" w:rsidRPr="002029AF">
              <w:t xml:space="preserve"> </w:t>
            </w:r>
            <w:r w:rsidRPr="002029AF">
              <w:t>Workplace</w:t>
            </w:r>
            <w:r w:rsidR="000A5329" w:rsidRPr="002029AF">
              <w:t xml:space="preserve"> </w:t>
            </w:r>
            <w:r w:rsidRPr="002029AF">
              <w:t>Solutions</w:t>
            </w:r>
          </w:p>
        </w:tc>
        <w:tc>
          <w:tcPr>
            <w:tcW w:w="1173" w:type="pct"/>
          </w:tcPr>
          <w:p w14:paraId="7C68558B" w14:textId="7F1FD236" w:rsidR="00CF72D5" w:rsidRPr="002029AF" w:rsidRDefault="00CF72D5" w:rsidP="00A57FDC">
            <w:pPr>
              <w:pStyle w:val="ARtabletext"/>
            </w:pPr>
            <w:r w:rsidRPr="002029AF">
              <w:t>Bullying</w:t>
            </w:r>
            <w:r w:rsidR="000A5329" w:rsidRPr="002029AF">
              <w:t xml:space="preserve"> </w:t>
            </w:r>
            <w:r w:rsidRPr="002029AF">
              <w:t>and</w:t>
            </w:r>
            <w:r w:rsidR="000A5329" w:rsidRPr="002029AF">
              <w:t xml:space="preserve"> </w:t>
            </w:r>
            <w:r w:rsidRPr="002029AF">
              <w:t>Harassment</w:t>
            </w:r>
            <w:r w:rsidR="000A5329" w:rsidRPr="002029AF">
              <w:t xml:space="preserve"> </w:t>
            </w:r>
            <w:r w:rsidRPr="002029AF">
              <w:t>Independent</w:t>
            </w:r>
            <w:r w:rsidR="000A5329" w:rsidRPr="002029AF">
              <w:t xml:space="preserve"> </w:t>
            </w:r>
            <w:r w:rsidRPr="002029AF">
              <w:t>Expert</w:t>
            </w:r>
            <w:r w:rsidR="000A5329" w:rsidRPr="002029AF">
              <w:t xml:space="preserve"> </w:t>
            </w:r>
            <w:r w:rsidRPr="002029AF">
              <w:t>Panel</w:t>
            </w:r>
          </w:p>
        </w:tc>
        <w:tc>
          <w:tcPr>
            <w:tcW w:w="766" w:type="pct"/>
          </w:tcPr>
          <w:p w14:paraId="49A6B3AD" w14:textId="77777777" w:rsidR="00CF72D5" w:rsidRPr="002029AF" w:rsidRDefault="00CF72D5" w:rsidP="00A57FDC">
            <w:pPr>
              <w:pStyle w:val="ARtabletextright"/>
            </w:pPr>
            <w:r w:rsidRPr="002029AF">
              <w:t>181,818</w:t>
            </w:r>
          </w:p>
        </w:tc>
        <w:tc>
          <w:tcPr>
            <w:tcW w:w="766" w:type="pct"/>
          </w:tcPr>
          <w:p w14:paraId="1B47C932" w14:textId="77777777" w:rsidR="00CF72D5" w:rsidRPr="002029AF" w:rsidRDefault="00CF72D5" w:rsidP="00A57FDC">
            <w:pPr>
              <w:pStyle w:val="ARtabletextright"/>
            </w:pPr>
            <w:r w:rsidRPr="002029AF">
              <w:t>38,061</w:t>
            </w:r>
          </w:p>
        </w:tc>
        <w:tc>
          <w:tcPr>
            <w:tcW w:w="762" w:type="pct"/>
          </w:tcPr>
          <w:p w14:paraId="2BFE325F" w14:textId="77777777" w:rsidR="00CF72D5" w:rsidRPr="002029AF" w:rsidRDefault="00CF72D5" w:rsidP="00A57FDC">
            <w:pPr>
              <w:pStyle w:val="ARtabletextright"/>
            </w:pPr>
            <w:r w:rsidRPr="002029AF">
              <w:t>142,872</w:t>
            </w:r>
          </w:p>
        </w:tc>
      </w:tr>
      <w:tr w:rsidR="00CF72D5" w:rsidRPr="002029AF" w14:paraId="0BFE0E55" w14:textId="77777777" w:rsidTr="00457506">
        <w:tc>
          <w:tcPr>
            <w:tcW w:w="767" w:type="pct"/>
          </w:tcPr>
          <w:p w14:paraId="7972F3DE" w14:textId="0C5FE868" w:rsidR="00CF72D5" w:rsidRPr="002029AF" w:rsidRDefault="00CF72D5" w:rsidP="00A57FDC">
            <w:pPr>
              <w:pStyle w:val="ARtabletext"/>
            </w:pPr>
            <w:bookmarkStart w:id="141" w:name="Consultancies_lessthan10k_end"/>
            <w:r w:rsidRPr="002029AF">
              <w:t>Workforce</w:t>
            </w:r>
            <w:r w:rsidR="000A5329" w:rsidRPr="002029AF">
              <w:t xml:space="preserve"> </w:t>
            </w:r>
            <w:r w:rsidRPr="002029AF">
              <w:t>Support</w:t>
            </w:r>
          </w:p>
        </w:tc>
        <w:tc>
          <w:tcPr>
            <w:tcW w:w="766" w:type="pct"/>
          </w:tcPr>
          <w:p w14:paraId="4A02913F" w14:textId="0F11412D" w:rsidR="00CF72D5" w:rsidRPr="002029AF" w:rsidRDefault="00CF72D5" w:rsidP="00A57FDC">
            <w:pPr>
              <w:pStyle w:val="ARtabletext"/>
            </w:pPr>
            <w:r w:rsidRPr="002029AF">
              <w:t>Integrated</w:t>
            </w:r>
            <w:r w:rsidR="000A5329" w:rsidRPr="002029AF">
              <w:t xml:space="preserve"> </w:t>
            </w:r>
            <w:r w:rsidRPr="002029AF">
              <w:t>Global</w:t>
            </w:r>
            <w:r w:rsidR="000A5329" w:rsidRPr="002029AF">
              <w:t xml:space="preserve"> </w:t>
            </w:r>
            <w:r w:rsidRPr="002029AF">
              <w:t>Partners</w:t>
            </w:r>
          </w:p>
        </w:tc>
        <w:tc>
          <w:tcPr>
            <w:tcW w:w="1173" w:type="pct"/>
          </w:tcPr>
          <w:p w14:paraId="5F8AF2A1" w14:textId="2AFDCE56" w:rsidR="00CF72D5" w:rsidRPr="002029AF" w:rsidRDefault="00CF72D5" w:rsidP="00A57FDC">
            <w:pPr>
              <w:pStyle w:val="ARtabletext"/>
            </w:pPr>
            <w:r w:rsidRPr="002029AF">
              <w:t>Capability</w:t>
            </w:r>
            <w:r w:rsidR="000A5329" w:rsidRPr="002029AF">
              <w:t xml:space="preserve"> </w:t>
            </w:r>
            <w:r w:rsidRPr="002029AF">
              <w:t>Review</w:t>
            </w:r>
            <w:r w:rsidR="000A5329" w:rsidRPr="002029AF">
              <w:t xml:space="preserve"> </w:t>
            </w:r>
            <w:r w:rsidRPr="002029AF">
              <w:t>–</w:t>
            </w:r>
            <w:r w:rsidR="000A5329" w:rsidRPr="002029AF">
              <w:t xml:space="preserve"> </w:t>
            </w:r>
            <w:r w:rsidRPr="002029AF">
              <w:t>Victorian</w:t>
            </w:r>
            <w:r w:rsidR="000A5329" w:rsidRPr="002029AF">
              <w:t xml:space="preserve"> </w:t>
            </w:r>
            <w:r w:rsidRPr="002029AF">
              <w:t>Health</w:t>
            </w:r>
            <w:r w:rsidR="000A5329" w:rsidRPr="002029AF">
              <w:t xml:space="preserve"> </w:t>
            </w:r>
            <w:r w:rsidRPr="002029AF">
              <w:t>and</w:t>
            </w:r>
            <w:r w:rsidR="000A5329" w:rsidRPr="002029AF">
              <w:t xml:space="preserve"> </w:t>
            </w:r>
            <w:r w:rsidRPr="002029AF">
              <w:t>Human</w:t>
            </w:r>
            <w:r w:rsidR="000A5329" w:rsidRPr="002029AF">
              <w:t xml:space="preserve"> </w:t>
            </w:r>
            <w:r w:rsidRPr="002029AF">
              <w:t>Services</w:t>
            </w:r>
            <w:r w:rsidR="000A5329" w:rsidRPr="002029AF">
              <w:t xml:space="preserve"> </w:t>
            </w:r>
            <w:r w:rsidRPr="002029AF">
              <w:t>Building</w:t>
            </w:r>
            <w:r w:rsidR="000A5329" w:rsidRPr="002029AF">
              <w:t xml:space="preserve"> </w:t>
            </w:r>
            <w:r w:rsidRPr="002029AF">
              <w:t>Authority</w:t>
            </w:r>
          </w:p>
        </w:tc>
        <w:tc>
          <w:tcPr>
            <w:tcW w:w="766" w:type="pct"/>
          </w:tcPr>
          <w:p w14:paraId="708AF509" w14:textId="77777777" w:rsidR="00CF72D5" w:rsidRPr="002029AF" w:rsidRDefault="00CF72D5" w:rsidP="00A57FDC">
            <w:pPr>
              <w:pStyle w:val="ARtabletextright"/>
            </w:pPr>
            <w:r w:rsidRPr="002029AF">
              <w:t>82,500</w:t>
            </w:r>
          </w:p>
        </w:tc>
        <w:tc>
          <w:tcPr>
            <w:tcW w:w="766" w:type="pct"/>
          </w:tcPr>
          <w:p w14:paraId="1DE73F5A" w14:textId="77777777" w:rsidR="00CF72D5" w:rsidRPr="002029AF" w:rsidRDefault="00CF72D5" w:rsidP="00A57FDC">
            <w:pPr>
              <w:pStyle w:val="ARtabletextright"/>
            </w:pPr>
            <w:r w:rsidRPr="002029AF">
              <w:t>82,500</w:t>
            </w:r>
          </w:p>
        </w:tc>
        <w:tc>
          <w:tcPr>
            <w:tcW w:w="762" w:type="pct"/>
          </w:tcPr>
          <w:p w14:paraId="4B761485" w14:textId="77777777" w:rsidR="00CF72D5" w:rsidRPr="002029AF" w:rsidRDefault="00CF72D5" w:rsidP="00A57FDC">
            <w:pPr>
              <w:pStyle w:val="ARtabletextright"/>
            </w:pPr>
            <w:r w:rsidRPr="002029AF">
              <w:t>0</w:t>
            </w:r>
          </w:p>
        </w:tc>
      </w:tr>
    </w:tbl>
    <w:p w14:paraId="696D2449" w14:textId="77777777" w:rsidR="009C7B7D" w:rsidRPr="002029AF" w:rsidRDefault="009C7B7D" w:rsidP="00457506">
      <w:pPr>
        <w:pStyle w:val="ARbody"/>
      </w:pPr>
      <w:bookmarkStart w:id="142" w:name="_Ref525048256"/>
      <w:bookmarkEnd w:id="133"/>
      <w:bookmarkEnd w:id="141"/>
      <w:r w:rsidRPr="002029AF">
        <w:br w:type="page"/>
      </w:r>
    </w:p>
    <w:p w14:paraId="503FCE43" w14:textId="1E455477" w:rsidR="00CF72D5" w:rsidRPr="002029AF" w:rsidRDefault="00CF72D5" w:rsidP="001E768A">
      <w:pPr>
        <w:pStyle w:val="Heading2"/>
      </w:pPr>
      <w:bookmarkStart w:id="143" w:name="_Toc54690788"/>
      <w:r w:rsidRPr="002029AF">
        <w:lastRenderedPageBreak/>
        <w:t>Government</w:t>
      </w:r>
      <w:r w:rsidR="000A5329" w:rsidRPr="002029AF">
        <w:t xml:space="preserve"> </w:t>
      </w:r>
      <w:r w:rsidRPr="002029AF">
        <w:t>advertising</w:t>
      </w:r>
      <w:r w:rsidR="000A5329" w:rsidRPr="002029AF">
        <w:t xml:space="preserve"> </w:t>
      </w:r>
      <w:r w:rsidRPr="002029AF">
        <w:t>expenditure</w:t>
      </w:r>
      <w:bookmarkEnd w:id="143"/>
    </w:p>
    <w:p w14:paraId="36537052" w14:textId="44B9D3DC" w:rsidR="000A5329" w:rsidRPr="002029AF" w:rsidRDefault="00CF72D5" w:rsidP="00897193">
      <w:pPr>
        <w:pStyle w:val="ARbody"/>
      </w:pPr>
      <w:r w:rsidRPr="002029AF">
        <w:t>For</w:t>
      </w:r>
      <w:r w:rsidR="000A5329" w:rsidRPr="002029AF">
        <w:t xml:space="preserve"> </w:t>
      </w:r>
      <w:r w:rsidRPr="002029AF">
        <w:t>the</w:t>
      </w:r>
      <w:r w:rsidR="000A5329" w:rsidRPr="002029AF">
        <w:t xml:space="preserve"> </w:t>
      </w:r>
      <w:r w:rsidRPr="002029AF">
        <w:t>2019–20</w:t>
      </w:r>
      <w:r w:rsidR="000A5329" w:rsidRPr="002029AF">
        <w:t xml:space="preserve"> </w:t>
      </w:r>
      <w:r w:rsidRPr="002029AF">
        <w:t>reporting</w:t>
      </w:r>
      <w:r w:rsidR="000A5329" w:rsidRPr="002029AF">
        <w:t xml:space="preserve"> </w:t>
      </w:r>
      <w:r w:rsidRPr="002029AF">
        <w:t>period,</w:t>
      </w:r>
      <w:r w:rsidR="000A5329" w:rsidRPr="002029AF">
        <w:t xml:space="preserve"> </w:t>
      </w:r>
      <w:r w:rsidRPr="002029AF">
        <w:t>there</w:t>
      </w:r>
      <w:r w:rsidR="000A5329" w:rsidRPr="002029AF">
        <w:t xml:space="preserve"> </w:t>
      </w:r>
      <w:r w:rsidRPr="002029AF">
        <w:t>were</w:t>
      </w:r>
      <w:r w:rsidR="000A5329" w:rsidRPr="002029AF">
        <w:t xml:space="preserve"> </w:t>
      </w:r>
      <w:r w:rsidR="00303E6A" w:rsidRPr="002029AF">
        <w:t>seven</w:t>
      </w:r>
      <w:r w:rsidR="000A5329" w:rsidRPr="002029AF">
        <w:t xml:space="preserve"> </w:t>
      </w:r>
      <w:r w:rsidRPr="002029AF">
        <w:t>government</w:t>
      </w:r>
      <w:r w:rsidR="000A5329" w:rsidRPr="002029AF">
        <w:t xml:space="preserve"> </w:t>
      </w:r>
      <w:r w:rsidRPr="002029AF">
        <w:t>advertising</w:t>
      </w:r>
      <w:r w:rsidR="000A5329" w:rsidRPr="002029AF">
        <w:t xml:space="preserve"> </w:t>
      </w:r>
      <w:r w:rsidRPr="002029AF">
        <w:t>campaigns</w:t>
      </w:r>
      <w:r w:rsidR="000A5329" w:rsidRPr="002029AF">
        <w:t xml:space="preserve"> </w:t>
      </w:r>
      <w:r w:rsidRPr="002029AF">
        <w:t>with</w:t>
      </w:r>
      <w:r w:rsidR="000A5329" w:rsidRPr="002029AF">
        <w:t xml:space="preserve"> </w:t>
      </w:r>
      <w:r w:rsidRPr="002029AF">
        <w:t>total</w:t>
      </w:r>
      <w:r w:rsidR="000A5329" w:rsidRPr="002029AF">
        <w:t xml:space="preserve"> </w:t>
      </w:r>
      <w:r w:rsidRPr="002029AF">
        <w:t>media</w:t>
      </w:r>
      <w:r w:rsidR="000A5329" w:rsidRPr="002029AF">
        <w:t xml:space="preserve"> </w:t>
      </w:r>
      <w:r w:rsidRPr="002029AF">
        <w:t>spend</w:t>
      </w:r>
      <w:r w:rsidR="000A5329" w:rsidRPr="002029AF">
        <w:t xml:space="preserve"> </w:t>
      </w:r>
      <w:r w:rsidRPr="002029AF">
        <w:t>of</w:t>
      </w:r>
      <w:r w:rsidR="000A5329" w:rsidRPr="002029AF">
        <w:t xml:space="preserve"> </w:t>
      </w:r>
      <w:r w:rsidRPr="002029AF">
        <w:t>$100</w:t>
      </w:r>
      <w:r w:rsidR="00457506" w:rsidRPr="002029AF">
        <w:t>,</w:t>
      </w:r>
      <w:r w:rsidRPr="002029AF">
        <w:t>000</w:t>
      </w:r>
      <w:r w:rsidR="000A5329" w:rsidRPr="002029AF">
        <w:t xml:space="preserve"> </w:t>
      </w:r>
      <w:r w:rsidRPr="002029AF">
        <w:t>or</w:t>
      </w:r>
      <w:r w:rsidR="000A5329" w:rsidRPr="002029AF">
        <w:t xml:space="preserve"> </w:t>
      </w:r>
      <w:r w:rsidRPr="002029AF">
        <w:t>greater</w:t>
      </w:r>
      <w:r w:rsidR="000A5329" w:rsidRPr="002029AF">
        <w:t xml:space="preserve"> </w:t>
      </w:r>
      <w:r w:rsidRPr="002029AF">
        <w:t>(exclusive</w:t>
      </w:r>
      <w:r w:rsidR="000A5329" w:rsidRPr="002029AF">
        <w:t xml:space="preserve"> </w:t>
      </w:r>
      <w:r w:rsidRPr="002029AF">
        <w:t>of</w:t>
      </w:r>
      <w:r w:rsidR="000A5329" w:rsidRPr="002029AF">
        <w:t xml:space="preserve"> </w:t>
      </w:r>
      <w:r w:rsidRPr="002029AF">
        <w:t>GST).</w:t>
      </w:r>
      <w:r w:rsidR="000A5329" w:rsidRPr="002029AF">
        <w:t xml:space="preserve"> </w:t>
      </w:r>
      <w:r w:rsidRPr="002029AF">
        <w:t>The</w:t>
      </w:r>
      <w:r w:rsidR="00B95D52">
        <w:t> </w:t>
      </w:r>
      <w:r w:rsidRPr="002029AF">
        <w:t>details</w:t>
      </w:r>
      <w:r w:rsidR="000A5329" w:rsidRPr="002029AF">
        <w:t xml:space="preserve"> </w:t>
      </w:r>
      <w:r w:rsidRPr="002029AF">
        <w:t>of</w:t>
      </w:r>
      <w:r w:rsidR="000A5329" w:rsidRPr="002029AF">
        <w:t xml:space="preserve"> </w:t>
      </w:r>
      <w:r w:rsidRPr="002029AF">
        <w:t>each</w:t>
      </w:r>
      <w:r w:rsidR="000A5329" w:rsidRPr="002029AF">
        <w:t xml:space="preserve"> </w:t>
      </w:r>
      <w:r w:rsidRPr="002029AF">
        <w:t>campaign</w:t>
      </w:r>
      <w:r w:rsidR="000A5329" w:rsidRPr="002029AF">
        <w:t xml:space="preserve"> </w:t>
      </w:r>
      <w:r w:rsidRPr="002029AF">
        <w:t>are</w:t>
      </w:r>
      <w:r w:rsidR="000A5329" w:rsidRPr="002029AF">
        <w:t xml:space="preserve"> </w:t>
      </w:r>
      <w:r w:rsidRPr="002029AF">
        <w:t>outlined</w:t>
      </w:r>
      <w:r w:rsidR="000A5329" w:rsidRPr="002029AF">
        <w:t xml:space="preserve"> </w:t>
      </w:r>
      <w:r w:rsidRPr="002029AF">
        <w:t>below.</w:t>
      </w:r>
    </w:p>
    <w:p w14:paraId="27402A53" w14:textId="12D99369" w:rsidR="00CF72D5" w:rsidRPr="002029AF" w:rsidRDefault="00CF72D5" w:rsidP="0097339F">
      <w:pPr>
        <w:pStyle w:val="ARtablecaption"/>
      </w:pPr>
      <w:r w:rsidRPr="002029AF">
        <w:t>Details</w:t>
      </w:r>
      <w:r w:rsidR="000A5329" w:rsidRPr="002029AF">
        <w:t xml:space="preserve"> </w:t>
      </w:r>
      <w:r w:rsidRPr="002029AF">
        <w:t>of</w:t>
      </w:r>
      <w:r w:rsidR="000A5329" w:rsidRPr="002029AF">
        <w:t xml:space="preserve"> </w:t>
      </w:r>
      <w:r w:rsidRPr="002029AF">
        <w:t>government</w:t>
      </w:r>
      <w:r w:rsidR="000A5329" w:rsidRPr="002029AF">
        <w:t xml:space="preserve"> </w:t>
      </w:r>
      <w:r w:rsidRPr="002029AF">
        <w:t>advertising</w:t>
      </w:r>
      <w:r w:rsidR="000A5329" w:rsidRPr="002029AF">
        <w:t xml:space="preserve"> </w:t>
      </w:r>
      <w:r w:rsidRPr="002029AF">
        <w:t>expenditure</w:t>
      </w:r>
      <w:r w:rsidR="000A5329" w:rsidRPr="002029AF">
        <w:t xml:space="preserve"> </w:t>
      </w:r>
      <w:r w:rsidRPr="002029AF">
        <w:t>for</w:t>
      </w:r>
      <w:r w:rsidR="000A5329" w:rsidRPr="002029AF">
        <w:t xml:space="preserve"> </w:t>
      </w:r>
      <w:r w:rsidRPr="002029AF">
        <w:t>2019–20</w:t>
      </w:r>
      <w:r w:rsidR="000A5329" w:rsidRPr="002029AF">
        <w:t xml:space="preserve"> </w:t>
      </w:r>
      <w:r w:rsidRPr="002029AF">
        <w:t>(campaigns</w:t>
      </w:r>
      <w:r w:rsidR="000A5329" w:rsidRPr="002029AF">
        <w:t xml:space="preserve"> </w:t>
      </w:r>
      <w:r w:rsidRPr="002029AF">
        <w:t>with</w:t>
      </w:r>
      <w:r w:rsidR="000A5329" w:rsidRPr="002029AF">
        <w:t xml:space="preserve"> </w:t>
      </w:r>
      <w:r w:rsidRPr="002029AF">
        <w:t>a</w:t>
      </w:r>
      <w:r w:rsidR="000A5329" w:rsidRPr="002029AF">
        <w:t xml:space="preserve"> </w:t>
      </w:r>
      <w:r w:rsidRPr="002029AF">
        <w:t>media</w:t>
      </w:r>
      <w:r w:rsidR="000A5329" w:rsidRPr="002029AF">
        <w:t xml:space="preserve"> </w:t>
      </w:r>
      <w:r w:rsidRPr="002029AF">
        <w:t>spend</w:t>
      </w:r>
      <w:r w:rsidR="000A5329" w:rsidRPr="002029AF">
        <w:t xml:space="preserve"> </w:t>
      </w:r>
      <w:r w:rsidRPr="002029AF">
        <w:t>of</w:t>
      </w:r>
      <w:r w:rsidR="000A5329" w:rsidRPr="002029AF">
        <w:t xml:space="preserve"> </w:t>
      </w:r>
      <w:r w:rsidRPr="002029AF">
        <w:t>$100,000</w:t>
      </w:r>
      <w:r w:rsidR="000A5329" w:rsidRPr="002029AF">
        <w:t xml:space="preserve"> </w:t>
      </w:r>
      <w:r w:rsidRPr="002029AF">
        <w:t>or</w:t>
      </w:r>
      <w:r w:rsidR="000A5329" w:rsidRPr="002029AF">
        <w:t xml:space="preserve"> </w:t>
      </w:r>
      <w:r w:rsidRPr="002029AF">
        <w:t>greater)</w:t>
      </w:r>
      <w:bookmarkEnd w:id="142"/>
      <w:r w:rsidR="000A5329" w:rsidRPr="002029AF">
        <w:t xml:space="preserve"> </w:t>
      </w:r>
      <w:r w:rsidRPr="002029AF">
        <w:t>($</w:t>
      </w:r>
      <w:r w:rsidR="000A5329" w:rsidRPr="002029AF">
        <w:t xml:space="preserve"> </w:t>
      </w:r>
      <w:r w:rsidRPr="002029AF">
        <w:t>thousand)</w:t>
      </w:r>
    </w:p>
    <w:tbl>
      <w:tblPr>
        <w:tblStyle w:val="TableGrid"/>
        <w:tblW w:w="14005" w:type="dxa"/>
        <w:tblInd w:w="5" w:type="dxa"/>
        <w:tblLook w:val="0620" w:firstRow="1" w:lastRow="0" w:firstColumn="0" w:lastColumn="0" w:noHBand="1" w:noVBand="1"/>
      </w:tblPr>
      <w:tblGrid>
        <w:gridCol w:w="1262"/>
        <w:gridCol w:w="3265"/>
        <w:gridCol w:w="2612"/>
        <w:gridCol w:w="1129"/>
        <w:gridCol w:w="1293"/>
        <w:gridCol w:w="1186"/>
        <w:gridCol w:w="1177"/>
        <w:gridCol w:w="1172"/>
        <w:gridCol w:w="909"/>
      </w:tblGrid>
      <w:tr w:rsidR="00CF72D5" w:rsidRPr="002029AF" w14:paraId="6F3E70FA" w14:textId="77777777" w:rsidTr="006F2C99">
        <w:trPr>
          <w:cnfStyle w:val="100000000000" w:firstRow="1" w:lastRow="0" w:firstColumn="0" w:lastColumn="0" w:oddVBand="0" w:evenVBand="0" w:oddHBand="0" w:evenHBand="0" w:firstRowFirstColumn="0" w:firstRowLastColumn="0" w:lastRowFirstColumn="0" w:lastRowLastColumn="0"/>
          <w:tblHeader/>
        </w:trPr>
        <w:tc>
          <w:tcPr>
            <w:tcW w:w="1262" w:type="dxa"/>
          </w:tcPr>
          <w:p w14:paraId="63A47CA1" w14:textId="31AFC1E8" w:rsidR="00CF72D5" w:rsidRPr="002029AF" w:rsidRDefault="00CF72D5" w:rsidP="00897193">
            <w:pPr>
              <w:pStyle w:val="ARtablecolhead"/>
            </w:pPr>
            <w:r w:rsidRPr="002029AF">
              <w:t>Name</w:t>
            </w:r>
            <w:r w:rsidR="000A5329" w:rsidRPr="002029AF">
              <w:t xml:space="preserve"> </w:t>
            </w:r>
            <w:r w:rsidRPr="002029AF">
              <w:t>of</w:t>
            </w:r>
            <w:r w:rsidR="000A5329" w:rsidRPr="002029AF">
              <w:t xml:space="preserve"> </w:t>
            </w:r>
            <w:r w:rsidRPr="002029AF">
              <w:t>campaign</w:t>
            </w:r>
          </w:p>
        </w:tc>
        <w:tc>
          <w:tcPr>
            <w:tcW w:w="3265" w:type="dxa"/>
          </w:tcPr>
          <w:p w14:paraId="384E1B75" w14:textId="4CEF0CBB" w:rsidR="00CF72D5" w:rsidRPr="002029AF" w:rsidRDefault="00CF72D5" w:rsidP="00897193">
            <w:pPr>
              <w:pStyle w:val="ARtablecolhead"/>
            </w:pPr>
            <w:r w:rsidRPr="002029AF">
              <w:t>Campaign</w:t>
            </w:r>
            <w:r w:rsidR="000A5329" w:rsidRPr="002029AF">
              <w:t xml:space="preserve"> </w:t>
            </w:r>
            <w:r w:rsidRPr="002029AF">
              <w:t>summary</w:t>
            </w:r>
          </w:p>
        </w:tc>
        <w:tc>
          <w:tcPr>
            <w:tcW w:w="2612" w:type="dxa"/>
          </w:tcPr>
          <w:p w14:paraId="278031B8" w14:textId="62E61E60" w:rsidR="00CF72D5" w:rsidRPr="002029AF" w:rsidRDefault="00CF72D5" w:rsidP="00897193">
            <w:pPr>
              <w:pStyle w:val="ARtablecolhead"/>
            </w:pPr>
            <w:r w:rsidRPr="002029AF">
              <w:t>Start/end</w:t>
            </w:r>
            <w:r w:rsidR="000A5329" w:rsidRPr="002029AF">
              <w:t xml:space="preserve"> </w:t>
            </w:r>
            <w:r w:rsidRPr="002029AF">
              <w:t>date</w:t>
            </w:r>
          </w:p>
        </w:tc>
        <w:tc>
          <w:tcPr>
            <w:tcW w:w="1129" w:type="dxa"/>
          </w:tcPr>
          <w:p w14:paraId="7C002DFE" w14:textId="39D4C607" w:rsidR="00CF72D5" w:rsidRPr="002029AF" w:rsidRDefault="00CF72D5" w:rsidP="00897193">
            <w:pPr>
              <w:pStyle w:val="ARtablecolheadright"/>
            </w:pPr>
            <w:r w:rsidRPr="002029AF">
              <w:t>Advertising</w:t>
            </w:r>
            <w:r w:rsidR="000A5329" w:rsidRPr="002029AF">
              <w:t xml:space="preserve"> </w:t>
            </w:r>
            <w:r w:rsidRPr="002029AF">
              <w:t>(media)</w:t>
            </w:r>
            <w:r w:rsidR="000A5329" w:rsidRPr="002029AF">
              <w:t xml:space="preserve"> </w:t>
            </w:r>
            <w:r w:rsidRPr="002029AF">
              <w:t>expenditure</w:t>
            </w:r>
            <w:r w:rsidRPr="002029AF">
              <w:br/>
              <w:t>(excl.</w:t>
            </w:r>
            <w:r w:rsidR="000A5329" w:rsidRPr="002029AF">
              <w:t xml:space="preserve"> </w:t>
            </w:r>
            <w:r w:rsidRPr="002029AF">
              <w:t>GST)</w:t>
            </w:r>
          </w:p>
        </w:tc>
        <w:tc>
          <w:tcPr>
            <w:tcW w:w="0" w:type="auto"/>
          </w:tcPr>
          <w:p w14:paraId="2DF1546C" w14:textId="618CF5A2" w:rsidR="00CF72D5" w:rsidRPr="002029AF" w:rsidRDefault="00CF72D5" w:rsidP="00897193">
            <w:pPr>
              <w:pStyle w:val="ARtablecolheadright"/>
            </w:pPr>
            <w:r w:rsidRPr="002029AF">
              <w:t>Creative</w:t>
            </w:r>
            <w:r w:rsidR="000A5329" w:rsidRPr="002029AF">
              <w:t xml:space="preserve"> </w:t>
            </w:r>
            <w:r w:rsidRPr="002029AF">
              <w:t>and</w:t>
            </w:r>
            <w:r w:rsidR="000A5329" w:rsidRPr="002029AF">
              <w:t xml:space="preserve"> </w:t>
            </w:r>
            <w:r w:rsidRPr="002029AF">
              <w:t>campaign</w:t>
            </w:r>
            <w:r w:rsidR="000A5329" w:rsidRPr="002029AF">
              <w:t xml:space="preserve"> </w:t>
            </w:r>
            <w:r w:rsidRPr="002029AF">
              <w:t>development</w:t>
            </w:r>
            <w:r w:rsidR="000A5329" w:rsidRPr="002029AF">
              <w:t xml:space="preserve"> </w:t>
            </w:r>
            <w:r w:rsidRPr="002029AF">
              <w:t>expenditure</w:t>
            </w:r>
            <w:r w:rsidR="000A5329" w:rsidRPr="002029AF">
              <w:t xml:space="preserve"> </w:t>
            </w:r>
            <w:r w:rsidRPr="002029AF">
              <w:t>(excl.</w:t>
            </w:r>
            <w:r w:rsidR="000A5329" w:rsidRPr="002029AF">
              <w:t xml:space="preserve"> </w:t>
            </w:r>
            <w:r w:rsidRPr="002029AF">
              <w:t>GST)</w:t>
            </w:r>
          </w:p>
        </w:tc>
        <w:tc>
          <w:tcPr>
            <w:tcW w:w="0" w:type="auto"/>
          </w:tcPr>
          <w:p w14:paraId="1E40837C" w14:textId="12579883" w:rsidR="00CF72D5" w:rsidRPr="002029AF" w:rsidRDefault="00CF72D5" w:rsidP="00897193">
            <w:pPr>
              <w:pStyle w:val="ARtablecolheadright"/>
            </w:pPr>
            <w:r w:rsidRPr="002029AF">
              <w:t>Research</w:t>
            </w:r>
            <w:r w:rsidR="000A5329" w:rsidRPr="002029AF">
              <w:t xml:space="preserve"> </w:t>
            </w:r>
            <w:r w:rsidRPr="002029AF">
              <w:t>and</w:t>
            </w:r>
            <w:r w:rsidR="000A5329" w:rsidRPr="002029AF">
              <w:t xml:space="preserve"> </w:t>
            </w:r>
            <w:r w:rsidRPr="002029AF">
              <w:t>evaluation</w:t>
            </w:r>
            <w:r w:rsidR="000A5329" w:rsidRPr="002029AF">
              <w:t xml:space="preserve"> </w:t>
            </w:r>
            <w:r w:rsidRPr="002029AF">
              <w:t>expenditure</w:t>
            </w:r>
            <w:r w:rsidR="000A5329" w:rsidRPr="002029AF">
              <w:t xml:space="preserve"> </w:t>
            </w:r>
            <w:r w:rsidRPr="002029AF">
              <w:t>(excl.</w:t>
            </w:r>
            <w:r w:rsidR="000A5329" w:rsidRPr="002029AF">
              <w:t xml:space="preserve"> </w:t>
            </w:r>
            <w:r w:rsidRPr="002029AF">
              <w:t>GST)</w:t>
            </w:r>
          </w:p>
        </w:tc>
        <w:tc>
          <w:tcPr>
            <w:tcW w:w="0" w:type="auto"/>
          </w:tcPr>
          <w:p w14:paraId="2C00F421" w14:textId="791274ED" w:rsidR="00CF72D5" w:rsidRPr="002029AF" w:rsidRDefault="00CF72D5" w:rsidP="00897193">
            <w:pPr>
              <w:pStyle w:val="ARtablecolheadright"/>
            </w:pPr>
            <w:r w:rsidRPr="002029AF">
              <w:t>Print</w:t>
            </w:r>
            <w:r w:rsidR="000A5329" w:rsidRPr="002029AF">
              <w:t xml:space="preserve"> </w:t>
            </w:r>
            <w:r w:rsidRPr="002029AF">
              <w:t>and</w:t>
            </w:r>
            <w:r w:rsidR="000A5329" w:rsidRPr="002029AF">
              <w:t xml:space="preserve"> </w:t>
            </w:r>
            <w:r w:rsidRPr="002029AF">
              <w:t>collateral</w:t>
            </w:r>
            <w:r w:rsidR="000A5329" w:rsidRPr="002029AF">
              <w:t xml:space="preserve"> </w:t>
            </w:r>
            <w:r w:rsidRPr="002029AF">
              <w:t>expenditure</w:t>
            </w:r>
            <w:r w:rsidR="000A5329" w:rsidRPr="002029AF">
              <w:t xml:space="preserve"> </w:t>
            </w:r>
            <w:r w:rsidRPr="002029AF">
              <w:t>(excl.</w:t>
            </w:r>
            <w:r w:rsidR="000A5329" w:rsidRPr="002029AF">
              <w:t xml:space="preserve"> </w:t>
            </w:r>
            <w:r w:rsidRPr="002029AF">
              <w:t>GST)</w:t>
            </w:r>
          </w:p>
        </w:tc>
        <w:tc>
          <w:tcPr>
            <w:tcW w:w="0" w:type="auto"/>
          </w:tcPr>
          <w:p w14:paraId="3BA265CA" w14:textId="433EC2C4" w:rsidR="00CF72D5" w:rsidRPr="002029AF" w:rsidRDefault="00CF72D5" w:rsidP="00897193">
            <w:pPr>
              <w:pStyle w:val="ARtablecolheadright"/>
            </w:pPr>
            <w:r w:rsidRPr="002029AF">
              <w:t>Other</w:t>
            </w:r>
            <w:r w:rsidR="000A5329" w:rsidRPr="002029AF">
              <w:t xml:space="preserve"> </w:t>
            </w:r>
            <w:r w:rsidRPr="002029AF">
              <w:t>campaign</w:t>
            </w:r>
            <w:r w:rsidR="000A5329" w:rsidRPr="002029AF">
              <w:t xml:space="preserve"> </w:t>
            </w:r>
            <w:r w:rsidRPr="002029AF">
              <w:t>expenditure</w:t>
            </w:r>
            <w:r w:rsidR="000A5329" w:rsidRPr="002029AF">
              <w:t xml:space="preserve"> </w:t>
            </w:r>
            <w:r w:rsidRPr="002029AF">
              <w:t>(excl.</w:t>
            </w:r>
            <w:r w:rsidR="000A5329" w:rsidRPr="002029AF">
              <w:t xml:space="preserve"> </w:t>
            </w:r>
            <w:r w:rsidRPr="002029AF">
              <w:t>GST)</w:t>
            </w:r>
          </w:p>
        </w:tc>
        <w:tc>
          <w:tcPr>
            <w:tcW w:w="0" w:type="auto"/>
          </w:tcPr>
          <w:p w14:paraId="6027BB04" w14:textId="77777777" w:rsidR="00CF72D5" w:rsidRPr="002029AF" w:rsidRDefault="00CF72D5" w:rsidP="00897193">
            <w:pPr>
              <w:pStyle w:val="ARtablecolheadright"/>
            </w:pPr>
            <w:r w:rsidRPr="002029AF">
              <w:t>Total</w:t>
            </w:r>
          </w:p>
        </w:tc>
      </w:tr>
      <w:tr w:rsidR="00CF72D5" w:rsidRPr="002029AF" w14:paraId="68D5FC63" w14:textId="77777777" w:rsidTr="00897193">
        <w:tc>
          <w:tcPr>
            <w:tcW w:w="1262" w:type="dxa"/>
          </w:tcPr>
          <w:p w14:paraId="49810F92" w14:textId="77777777" w:rsidR="00CF72D5" w:rsidRPr="002029AF" w:rsidRDefault="00CF72D5" w:rsidP="00457506">
            <w:pPr>
              <w:pStyle w:val="ARtabletext"/>
            </w:pPr>
            <w:r w:rsidRPr="002029AF">
              <w:t>SafeScript</w:t>
            </w:r>
          </w:p>
        </w:tc>
        <w:tc>
          <w:tcPr>
            <w:tcW w:w="3265" w:type="dxa"/>
          </w:tcPr>
          <w:p w14:paraId="773F2B7A" w14:textId="661170D5" w:rsidR="00CF72D5" w:rsidRPr="002029AF" w:rsidRDefault="00CF72D5" w:rsidP="00457506">
            <w:pPr>
              <w:pStyle w:val="ARtabletext"/>
            </w:pPr>
            <w:r w:rsidRPr="002029AF">
              <w:t>Promote</w:t>
            </w:r>
            <w:r w:rsidR="000A5329" w:rsidRPr="002029AF">
              <w:t xml:space="preserve"> </w:t>
            </w:r>
            <w:r w:rsidRPr="002029AF">
              <w:t>community</w:t>
            </w:r>
            <w:r w:rsidR="000A5329" w:rsidRPr="002029AF">
              <w:t xml:space="preserve"> </w:t>
            </w:r>
            <w:r w:rsidRPr="002029AF">
              <w:t>awareness</w:t>
            </w:r>
            <w:r w:rsidR="000A5329" w:rsidRPr="002029AF">
              <w:t xml:space="preserve"> </w:t>
            </w:r>
            <w:r w:rsidRPr="002029AF">
              <w:t>of</w:t>
            </w:r>
            <w:r w:rsidR="000A5329" w:rsidRPr="002029AF">
              <w:t xml:space="preserve"> </w:t>
            </w:r>
            <w:r w:rsidRPr="002029AF">
              <w:t>the</w:t>
            </w:r>
            <w:r w:rsidR="000A5329" w:rsidRPr="002029AF">
              <w:t xml:space="preserve"> </w:t>
            </w:r>
            <w:r w:rsidRPr="002029AF">
              <w:t>SafeScript</w:t>
            </w:r>
            <w:r w:rsidR="000A5329" w:rsidRPr="002029AF">
              <w:t xml:space="preserve"> </w:t>
            </w:r>
            <w:r w:rsidRPr="002029AF">
              <w:t>real-time</w:t>
            </w:r>
            <w:r w:rsidR="000A5329" w:rsidRPr="002029AF">
              <w:t xml:space="preserve"> </w:t>
            </w:r>
            <w:r w:rsidRPr="002029AF">
              <w:t>prescription</w:t>
            </w:r>
            <w:r w:rsidR="000A5329" w:rsidRPr="002029AF">
              <w:t xml:space="preserve"> </w:t>
            </w:r>
            <w:r w:rsidRPr="002029AF">
              <w:t>monitoring</w:t>
            </w:r>
            <w:r w:rsidR="000A5329" w:rsidRPr="002029AF">
              <w:t xml:space="preserve"> </w:t>
            </w:r>
            <w:r w:rsidRPr="002029AF">
              <w:t>system.</w:t>
            </w:r>
          </w:p>
        </w:tc>
        <w:tc>
          <w:tcPr>
            <w:tcW w:w="2612" w:type="dxa"/>
          </w:tcPr>
          <w:p w14:paraId="4D73E68C" w14:textId="0E719557" w:rsidR="00CF72D5" w:rsidRPr="002029AF" w:rsidRDefault="00CF72D5" w:rsidP="00457506">
            <w:pPr>
              <w:pStyle w:val="ARtabletext"/>
            </w:pPr>
            <w:r w:rsidRPr="002029AF">
              <w:t>1</w:t>
            </w:r>
            <w:r w:rsidR="000A5329" w:rsidRPr="002029AF">
              <w:t xml:space="preserve"> </w:t>
            </w:r>
            <w:r w:rsidRPr="002029AF">
              <w:t>March</w:t>
            </w:r>
            <w:r w:rsidR="000A5329" w:rsidRPr="002029AF">
              <w:t xml:space="preserve"> </w:t>
            </w:r>
            <w:r w:rsidRPr="002029AF">
              <w:t>2020</w:t>
            </w:r>
            <w:r w:rsidR="000A5329" w:rsidRPr="002029AF">
              <w:t xml:space="preserve"> </w:t>
            </w:r>
            <w:r w:rsidRPr="002029AF">
              <w:t>to</w:t>
            </w:r>
            <w:r w:rsidR="000A5329" w:rsidRPr="002029AF">
              <w:t xml:space="preserve"> </w:t>
            </w:r>
            <w:r w:rsidRPr="002029AF">
              <w:t>17</w:t>
            </w:r>
            <w:r w:rsidR="000A5329" w:rsidRPr="002029AF">
              <w:t xml:space="preserve"> </w:t>
            </w:r>
            <w:r w:rsidRPr="002029AF">
              <w:t>May</w:t>
            </w:r>
            <w:r w:rsidR="000A5329" w:rsidRPr="002029AF">
              <w:t xml:space="preserve"> </w:t>
            </w:r>
            <w:r w:rsidRPr="002029AF">
              <w:t>2020</w:t>
            </w:r>
            <w:r w:rsidR="000A5329" w:rsidRPr="002029AF">
              <w:t xml:space="preserve"> </w:t>
            </w:r>
          </w:p>
        </w:tc>
        <w:tc>
          <w:tcPr>
            <w:tcW w:w="1129" w:type="dxa"/>
          </w:tcPr>
          <w:p w14:paraId="7260732E" w14:textId="77777777" w:rsidR="00CF72D5" w:rsidRPr="002029AF" w:rsidRDefault="00CF72D5" w:rsidP="00457506">
            <w:pPr>
              <w:pStyle w:val="ARtabletextright"/>
            </w:pPr>
            <w:r w:rsidRPr="002029AF">
              <w:t>$299.28</w:t>
            </w:r>
          </w:p>
        </w:tc>
        <w:tc>
          <w:tcPr>
            <w:tcW w:w="0" w:type="auto"/>
          </w:tcPr>
          <w:p w14:paraId="792FA23F" w14:textId="77777777" w:rsidR="00CF72D5" w:rsidRPr="002029AF" w:rsidRDefault="00CF72D5" w:rsidP="00457506">
            <w:pPr>
              <w:pStyle w:val="ARtabletextright"/>
            </w:pPr>
            <w:r w:rsidRPr="002029AF">
              <w:t>$3.64</w:t>
            </w:r>
          </w:p>
        </w:tc>
        <w:tc>
          <w:tcPr>
            <w:tcW w:w="0" w:type="auto"/>
          </w:tcPr>
          <w:p w14:paraId="33703283" w14:textId="77777777" w:rsidR="00CF72D5" w:rsidRPr="002029AF" w:rsidRDefault="00CF72D5" w:rsidP="00457506">
            <w:pPr>
              <w:pStyle w:val="ARtabletextright"/>
            </w:pPr>
            <w:r w:rsidRPr="002029AF">
              <w:t>N/A</w:t>
            </w:r>
          </w:p>
        </w:tc>
        <w:tc>
          <w:tcPr>
            <w:tcW w:w="0" w:type="auto"/>
          </w:tcPr>
          <w:p w14:paraId="724EAD85" w14:textId="77777777" w:rsidR="00CF72D5" w:rsidRPr="002029AF" w:rsidRDefault="00CF72D5" w:rsidP="00457506">
            <w:pPr>
              <w:pStyle w:val="ARtabletextright"/>
            </w:pPr>
            <w:r w:rsidRPr="002029AF">
              <w:t>N/A</w:t>
            </w:r>
          </w:p>
        </w:tc>
        <w:tc>
          <w:tcPr>
            <w:tcW w:w="0" w:type="auto"/>
          </w:tcPr>
          <w:p w14:paraId="4F63B0AA" w14:textId="0E43B97F" w:rsidR="00CF72D5" w:rsidRPr="002029AF" w:rsidRDefault="00CF72D5" w:rsidP="00457506">
            <w:pPr>
              <w:pStyle w:val="ARtabletextright"/>
            </w:pPr>
            <w:r w:rsidRPr="002029AF">
              <w:t>$21.94</w:t>
            </w:r>
            <w:r w:rsidR="000A5329" w:rsidRPr="002029AF">
              <w:t xml:space="preserve"> </w:t>
            </w:r>
          </w:p>
        </w:tc>
        <w:tc>
          <w:tcPr>
            <w:tcW w:w="0" w:type="auto"/>
          </w:tcPr>
          <w:p w14:paraId="3E7D5295" w14:textId="77777777" w:rsidR="00CF72D5" w:rsidRPr="002029AF" w:rsidRDefault="00CF72D5" w:rsidP="00457506">
            <w:pPr>
              <w:pStyle w:val="ARtabletextright"/>
            </w:pPr>
            <w:r w:rsidRPr="002029AF">
              <w:t>$324.86</w:t>
            </w:r>
          </w:p>
        </w:tc>
      </w:tr>
      <w:tr w:rsidR="00CF72D5" w:rsidRPr="002029AF" w14:paraId="02E1AAAA" w14:textId="77777777" w:rsidTr="00897193">
        <w:tc>
          <w:tcPr>
            <w:tcW w:w="1262" w:type="dxa"/>
          </w:tcPr>
          <w:p w14:paraId="74404F22" w14:textId="3ABBB7DE" w:rsidR="00CF72D5" w:rsidRPr="002029AF" w:rsidRDefault="00CF72D5" w:rsidP="00457506">
            <w:pPr>
              <w:pStyle w:val="ARtabletext"/>
            </w:pPr>
            <w:r w:rsidRPr="002029AF">
              <w:t>School</w:t>
            </w:r>
            <w:r w:rsidR="000A5329" w:rsidRPr="002029AF">
              <w:t xml:space="preserve"> </w:t>
            </w:r>
            <w:r w:rsidRPr="002029AF">
              <w:t>Dental</w:t>
            </w:r>
            <w:r w:rsidR="000A5329" w:rsidRPr="002029AF">
              <w:t xml:space="preserve"> </w:t>
            </w:r>
            <w:r w:rsidRPr="002029AF">
              <w:t>Program</w:t>
            </w:r>
          </w:p>
        </w:tc>
        <w:tc>
          <w:tcPr>
            <w:tcW w:w="3265" w:type="dxa"/>
          </w:tcPr>
          <w:p w14:paraId="6228BE24" w14:textId="2A14E909" w:rsidR="00CF72D5" w:rsidRPr="002029AF" w:rsidRDefault="00CF72D5" w:rsidP="00457506">
            <w:pPr>
              <w:pStyle w:val="ARtabletext"/>
            </w:pPr>
            <w:r w:rsidRPr="002029AF">
              <w:t>Develop</w:t>
            </w:r>
            <w:r w:rsidR="000A5329" w:rsidRPr="002029AF">
              <w:t xml:space="preserve"> </w:t>
            </w:r>
            <w:r w:rsidRPr="002029AF">
              <w:t>brand</w:t>
            </w:r>
            <w:r w:rsidR="000A5329" w:rsidRPr="002029AF">
              <w:t xml:space="preserve"> </w:t>
            </w:r>
            <w:r w:rsidRPr="002029AF">
              <w:t>and</w:t>
            </w:r>
            <w:r w:rsidR="000A5329" w:rsidRPr="002029AF">
              <w:t xml:space="preserve"> </w:t>
            </w:r>
            <w:r w:rsidRPr="002029AF">
              <w:t>imagery</w:t>
            </w:r>
            <w:r w:rsidR="000A5329" w:rsidRPr="002029AF">
              <w:t xml:space="preserve"> </w:t>
            </w:r>
            <w:r w:rsidRPr="002029AF">
              <w:t>for</w:t>
            </w:r>
            <w:r w:rsidR="000A5329" w:rsidRPr="002029AF">
              <w:t xml:space="preserve"> </w:t>
            </w:r>
            <w:r w:rsidRPr="002029AF">
              <w:t>Smile</w:t>
            </w:r>
            <w:r w:rsidR="000A5329" w:rsidRPr="002029AF">
              <w:t xml:space="preserve"> </w:t>
            </w:r>
            <w:r w:rsidRPr="002029AF">
              <w:t>Squad</w:t>
            </w:r>
            <w:r w:rsidR="000A5329" w:rsidRPr="002029AF">
              <w:t xml:space="preserve"> </w:t>
            </w:r>
            <w:r w:rsidRPr="002029AF">
              <w:t>school</w:t>
            </w:r>
            <w:r w:rsidR="000A5329" w:rsidRPr="002029AF">
              <w:t xml:space="preserve"> </w:t>
            </w:r>
            <w:r w:rsidRPr="002029AF">
              <w:t>dental</w:t>
            </w:r>
            <w:r w:rsidR="000A5329" w:rsidRPr="002029AF">
              <w:t xml:space="preserve"> </w:t>
            </w:r>
            <w:r w:rsidRPr="002029AF">
              <w:t>program</w:t>
            </w:r>
            <w:r w:rsidR="000A5329" w:rsidRPr="002029AF">
              <w:t xml:space="preserve"> </w:t>
            </w:r>
            <w:r w:rsidRPr="002029AF">
              <w:t>election</w:t>
            </w:r>
            <w:r w:rsidR="000A5329" w:rsidRPr="002029AF">
              <w:t xml:space="preserve"> </w:t>
            </w:r>
            <w:r w:rsidRPr="002029AF">
              <w:t>commitment</w:t>
            </w:r>
            <w:r w:rsidR="000A5329" w:rsidRPr="002029AF">
              <w:t xml:space="preserve"> </w:t>
            </w:r>
            <w:r w:rsidRPr="002029AF">
              <w:t>and</w:t>
            </w:r>
            <w:r w:rsidR="000A5329" w:rsidRPr="002029AF">
              <w:t xml:space="preserve"> </w:t>
            </w:r>
            <w:r w:rsidRPr="002029AF">
              <w:t>build</w:t>
            </w:r>
            <w:r w:rsidR="000A5329" w:rsidRPr="002029AF">
              <w:t xml:space="preserve"> </w:t>
            </w:r>
            <w:r w:rsidRPr="002029AF">
              <w:t>community</w:t>
            </w:r>
            <w:r w:rsidR="000A5329" w:rsidRPr="002029AF">
              <w:t xml:space="preserve"> </w:t>
            </w:r>
            <w:r w:rsidRPr="002029AF">
              <w:t>awareness</w:t>
            </w:r>
            <w:r w:rsidR="000A5329" w:rsidRPr="002029AF">
              <w:t xml:space="preserve"> </w:t>
            </w:r>
            <w:r w:rsidRPr="002029AF">
              <w:t>in</w:t>
            </w:r>
            <w:r w:rsidR="000A5329" w:rsidRPr="002029AF">
              <w:t xml:space="preserve"> </w:t>
            </w:r>
            <w:r w:rsidRPr="002029AF">
              <w:t>advance</w:t>
            </w:r>
            <w:r w:rsidR="000A5329" w:rsidRPr="002029AF">
              <w:t xml:space="preserve"> </w:t>
            </w:r>
            <w:r w:rsidRPr="002029AF">
              <w:t>of</w:t>
            </w:r>
            <w:r w:rsidR="000A5329" w:rsidRPr="002029AF">
              <w:t xml:space="preserve"> </w:t>
            </w:r>
            <w:r w:rsidRPr="002029AF">
              <w:t>January</w:t>
            </w:r>
            <w:r w:rsidR="000A5329" w:rsidRPr="002029AF">
              <w:t xml:space="preserve"> </w:t>
            </w:r>
            <w:r w:rsidRPr="002029AF">
              <w:t>2020</w:t>
            </w:r>
            <w:r w:rsidR="000A5329" w:rsidRPr="002029AF">
              <w:t xml:space="preserve"> </w:t>
            </w:r>
            <w:r w:rsidRPr="002029AF">
              <w:t>commencement</w:t>
            </w:r>
          </w:p>
        </w:tc>
        <w:tc>
          <w:tcPr>
            <w:tcW w:w="2612" w:type="dxa"/>
          </w:tcPr>
          <w:p w14:paraId="50134F68" w14:textId="58D89C76" w:rsidR="00CF72D5" w:rsidRPr="002029AF" w:rsidRDefault="00CF72D5" w:rsidP="00457506">
            <w:pPr>
              <w:pStyle w:val="ARtabletext"/>
            </w:pPr>
            <w:r w:rsidRPr="002029AF">
              <w:t>31</w:t>
            </w:r>
            <w:r w:rsidR="000A5329" w:rsidRPr="002029AF">
              <w:t xml:space="preserve"> </w:t>
            </w:r>
            <w:r w:rsidRPr="002029AF">
              <w:t>May</w:t>
            </w:r>
            <w:r w:rsidR="000A5329" w:rsidRPr="002029AF">
              <w:t xml:space="preserve"> </w:t>
            </w:r>
            <w:r w:rsidRPr="002029AF">
              <w:t>2019</w:t>
            </w:r>
            <w:r w:rsidR="000A5329" w:rsidRPr="002029AF">
              <w:t xml:space="preserve"> </w:t>
            </w:r>
            <w:r w:rsidRPr="002029AF">
              <w:t>to</w:t>
            </w:r>
            <w:r w:rsidR="000A5329" w:rsidRPr="002029AF">
              <w:t xml:space="preserve"> </w:t>
            </w:r>
            <w:r w:rsidRPr="002029AF">
              <w:t>31</w:t>
            </w:r>
            <w:r w:rsidR="000A5329" w:rsidRPr="002029AF">
              <w:t xml:space="preserve"> </w:t>
            </w:r>
            <w:r w:rsidRPr="002029AF">
              <w:t>March</w:t>
            </w:r>
            <w:r w:rsidR="000A5329" w:rsidRPr="002029AF">
              <w:t xml:space="preserve"> </w:t>
            </w:r>
            <w:r w:rsidRPr="002029AF">
              <w:t>2020</w:t>
            </w:r>
          </w:p>
        </w:tc>
        <w:tc>
          <w:tcPr>
            <w:tcW w:w="1129" w:type="dxa"/>
          </w:tcPr>
          <w:p w14:paraId="0FDA2AF1" w14:textId="77777777" w:rsidR="00CF72D5" w:rsidRPr="002029AF" w:rsidRDefault="00CF72D5" w:rsidP="00457506">
            <w:pPr>
              <w:pStyle w:val="ARtabletextright"/>
            </w:pPr>
            <w:r w:rsidRPr="002029AF">
              <w:t>$291.43</w:t>
            </w:r>
          </w:p>
        </w:tc>
        <w:tc>
          <w:tcPr>
            <w:tcW w:w="0" w:type="auto"/>
          </w:tcPr>
          <w:p w14:paraId="3FAE1114" w14:textId="77777777" w:rsidR="00CF72D5" w:rsidRPr="002029AF" w:rsidRDefault="00CF72D5" w:rsidP="00457506">
            <w:pPr>
              <w:pStyle w:val="ARtabletextright"/>
            </w:pPr>
            <w:r w:rsidRPr="002029AF">
              <w:t>$278.35</w:t>
            </w:r>
          </w:p>
        </w:tc>
        <w:tc>
          <w:tcPr>
            <w:tcW w:w="0" w:type="auto"/>
          </w:tcPr>
          <w:p w14:paraId="13D20895" w14:textId="77777777" w:rsidR="00CF72D5" w:rsidRPr="002029AF" w:rsidRDefault="00CF72D5" w:rsidP="00457506">
            <w:pPr>
              <w:pStyle w:val="ARtabletextright"/>
            </w:pPr>
            <w:r w:rsidRPr="002029AF">
              <w:t>N/A</w:t>
            </w:r>
          </w:p>
        </w:tc>
        <w:tc>
          <w:tcPr>
            <w:tcW w:w="0" w:type="auto"/>
          </w:tcPr>
          <w:p w14:paraId="7B9FE736" w14:textId="77777777" w:rsidR="00CF72D5" w:rsidRPr="002029AF" w:rsidRDefault="00CF72D5" w:rsidP="00457506">
            <w:pPr>
              <w:pStyle w:val="ARtabletextright"/>
            </w:pPr>
            <w:r w:rsidRPr="002029AF">
              <w:t>$4.70</w:t>
            </w:r>
          </w:p>
        </w:tc>
        <w:tc>
          <w:tcPr>
            <w:tcW w:w="0" w:type="auto"/>
          </w:tcPr>
          <w:p w14:paraId="4075ED77" w14:textId="77777777" w:rsidR="00CF72D5" w:rsidRPr="002029AF" w:rsidRDefault="00CF72D5" w:rsidP="00457506">
            <w:pPr>
              <w:pStyle w:val="ARtabletextright"/>
            </w:pPr>
            <w:r w:rsidRPr="002029AF">
              <w:t>$3.42</w:t>
            </w:r>
          </w:p>
        </w:tc>
        <w:tc>
          <w:tcPr>
            <w:tcW w:w="0" w:type="auto"/>
          </w:tcPr>
          <w:p w14:paraId="0723C8F9" w14:textId="77777777" w:rsidR="00CF72D5" w:rsidRPr="002029AF" w:rsidRDefault="00CF72D5" w:rsidP="00457506">
            <w:pPr>
              <w:pStyle w:val="ARtabletextright"/>
            </w:pPr>
            <w:r w:rsidRPr="002029AF">
              <w:t>$577.90</w:t>
            </w:r>
          </w:p>
        </w:tc>
      </w:tr>
      <w:tr w:rsidR="00CF72D5" w:rsidRPr="002029AF" w14:paraId="19B50307" w14:textId="77777777" w:rsidTr="00897193">
        <w:tc>
          <w:tcPr>
            <w:tcW w:w="1262" w:type="dxa"/>
          </w:tcPr>
          <w:p w14:paraId="265CE3B2" w14:textId="0F06F16C" w:rsidR="00CF72D5" w:rsidRPr="002029AF" w:rsidRDefault="00CF72D5" w:rsidP="00457506">
            <w:pPr>
              <w:pStyle w:val="ARtabletext"/>
            </w:pPr>
            <w:r w:rsidRPr="002029AF">
              <w:t>SuperCare</w:t>
            </w:r>
            <w:r w:rsidR="000A5329" w:rsidRPr="002029AF">
              <w:t xml:space="preserve"> </w:t>
            </w:r>
            <w:r w:rsidRPr="002029AF">
              <w:t>Pharmacies</w:t>
            </w:r>
          </w:p>
        </w:tc>
        <w:tc>
          <w:tcPr>
            <w:tcW w:w="3265" w:type="dxa"/>
          </w:tcPr>
          <w:p w14:paraId="5497F663" w14:textId="2AB7721E" w:rsidR="00CF72D5" w:rsidRPr="002029AF" w:rsidRDefault="00CF72D5" w:rsidP="00457506">
            <w:pPr>
              <w:pStyle w:val="ARtabletext"/>
            </w:pPr>
            <w:r w:rsidRPr="002029AF">
              <w:t>Promote</w:t>
            </w:r>
            <w:r w:rsidR="000A5329" w:rsidRPr="002029AF">
              <w:t xml:space="preserve"> </w:t>
            </w:r>
            <w:r w:rsidRPr="002029AF">
              <w:t>community</w:t>
            </w:r>
            <w:r w:rsidR="000A5329" w:rsidRPr="002029AF">
              <w:t xml:space="preserve"> </w:t>
            </w:r>
            <w:r w:rsidRPr="002029AF">
              <w:t>awareness</w:t>
            </w:r>
            <w:r w:rsidR="000A5329" w:rsidRPr="002029AF">
              <w:t xml:space="preserve"> </w:t>
            </w:r>
            <w:r w:rsidRPr="002029AF">
              <w:t>of</w:t>
            </w:r>
            <w:r w:rsidR="000A5329" w:rsidRPr="002029AF">
              <w:t xml:space="preserve"> </w:t>
            </w:r>
            <w:r w:rsidRPr="002029AF">
              <w:t>SuperCare</w:t>
            </w:r>
            <w:r w:rsidR="000A5329" w:rsidRPr="002029AF">
              <w:t xml:space="preserve"> </w:t>
            </w:r>
            <w:r w:rsidRPr="002029AF">
              <w:t>Pharmacy</w:t>
            </w:r>
            <w:r w:rsidR="000A5329" w:rsidRPr="002029AF">
              <w:t xml:space="preserve"> </w:t>
            </w:r>
            <w:r w:rsidRPr="002029AF">
              <w:t>locations,</w:t>
            </w:r>
            <w:r w:rsidR="000A5329" w:rsidRPr="002029AF">
              <w:t xml:space="preserve"> </w:t>
            </w:r>
            <w:r w:rsidRPr="002029AF">
              <w:t>opening</w:t>
            </w:r>
            <w:r w:rsidR="000A5329" w:rsidRPr="002029AF">
              <w:t xml:space="preserve"> </w:t>
            </w:r>
            <w:r w:rsidRPr="002029AF">
              <w:t>hours</w:t>
            </w:r>
            <w:r w:rsidR="000A5329" w:rsidRPr="002029AF">
              <w:t xml:space="preserve"> </w:t>
            </w:r>
            <w:r w:rsidRPr="002029AF">
              <w:t>and</w:t>
            </w:r>
            <w:r w:rsidR="000A5329" w:rsidRPr="002029AF">
              <w:t xml:space="preserve"> </w:t>
            </w:r>
            <w:r w:rsidRPr="002029AF">
              <w:t>services</w:t>
            </w:r>
            <w:r w:rsidR="000A5329" w:rsidRPr="002029AF">
              <w:t xml:space="preserve"> </w:t>
            </w:r>
            <w:r w:rsidRPr="002029AF">
              <w:t>provided</w:t>
            </w:r>
          </w:p>
        </w:tc>
        <w:tc>
          <w:tcPr>
            <w:tcW w:w="2612" w:type="dxa"/>
          </w:tcPr>
          <w:p w14:paraId="64D412D2" w14:textId="5819546B" w:rsidR="00CF72D5" w:rsidRPr="002029AF" w:rsidRDefault="00CF72D5" w:rsidP="00457506">
            <w:pPr>
              <w:pStyle w:val="ARtabletext"/>
            </w:pPr>
            <w:r w:rsidRPr="002029AF">
              <w:t>1</w:t>
            </w:r>
            <w:r w:rsidR="000A5329" w:rsidRPr="002029AF">
              <w:t xml:space="preserve"> </w:t>
            </w:r>
            <w:r w:rsidRPr="002029AF">
              <w:t>July</w:t>
            </w:r>
            <w:r w:rsidR="000A5329" w:rsidRPr="002029AF">
              <w:t xml:space="preserve"> </w:t>
            </w:r>
            <w:r w:rsidRPr="002029AF">
              <w:t>2019</w:t>
            </w:r>
            <w:r w:rsidR="000A5329" w:rsidRPr="002029AF">
              <w:t xml:space="preserve"> </w:t>
            </w:r>
            <w:r w:rsidRPr="002029AF">
              <w:t>to</w:t>
            </w:r>
            <w:r w:rsidR="000A5329" w:rsidRPr="002029AF">
              <w:t xml:space="preserve"> </w:t>
            </w:r>
            <w:r w:rsidRPr="002029AF">
              <w:t>15</w:t>
            </w:r>
            <w:r w:rsidR="000A5329" w:rsidRPr="002029AF">
              <w:t xml:space="preserve"> </w:t>
            </w:r>
            <w:r w:rsidRPr="002029AF">
              <w:t>October</w:t>
            </w:r>
            <w:r w:rsidR="000A5329" w:rsidRPr="002029AF">
              <w:t xml:space="preserve"> </w:t>
            </w:r>
            <w:r w:rsidRPr="002029AF">
              <w:t>2019</w:t>
            </w:r>
          </w:p>
        </w:tc>
        <w:tc>
          <w:tcPr>
            <w:tcW w:w="1129" w:type="dxa"/>
          </w:tcPr>
          <w:p w14:paraId="36E300D8" w14:textId="77777777" w:rsidR="00CF72D5" w:rsidRPr="002029AF" w:rsidRDefault="00CF72D5" w:rsidP="00457506">
            <w:pPr>
              <w:pStyle w:val="ARtabletextright"/>
            </w:pPr>
            <w:r w:rsidRPr="002029AF">
              <w:t>$129.35</w:t>
            </w:r>
          </w:p>
        </w:tc>
        <w:tc>
          <w:tcPr>
            <w:tcW w:w="0" w:type="auto"/>
          </w:tcPr>
          <w:p w14:paraId="3DA4304A" w14:textId="77777777" w:rsidR="00CF72D5" w:rsidRPr="002029AF" w:rsidRDefault="00CF72D5" w:rsidP="00457506">
            <w:pPr>
              <w:pStyle w:val="ARtabletextright"/>
            </w:pPr>
            <w:r w:rsidRPr="002029AF">
              <w:t>N/A</w:t>
            </w:r>
          </w:p>
        </w:tc>
        <w:tc>
          <w:tcPr>
            <w:tcW w:w="0" w:type="auto"/>
          </w:tcPr>
          <w:p w14:paraId="5EDD6E35" w14:textId="77777777" w:rsidR="00CF72D5" w:rsidRPr="002029AF" w:rsidRDefault="00CF72D5" w:rsidP="00457506">
            <w:pPr>
              <w:pStyle w:val="ARtabletextright"/>
            </w:pPr>
            <w:r w:rsidRPr="002029AF">
              <w:t>N/A</w:t>
            </w:r>
          </w:p>
        </w:tc>
        <w:tc>
          <w:tcPr>
            <w:tcW w:w="0" w:type="auto"/>
          </w:tcPr>
          <w:p w14:paraId="6FD9D399" w14:textId="77777777" w:rsidR="00CF72D5" w:rsidRPr="002029AF" w:rsidRDefault="00CF72D5" w:rsidP="00457506">
            <w:pPr>
              <w:pStyle w:val="ARtabletextright"/>
            </w:pPr>
            <w:r w:rsidRPr="002029AF">
              <w:t>N/A</w:t>
            </w:r>
          </w:p>
        </w:tc>
        <w:tc>
          <w:tcPr>
            <w:tcW w:w="0" w:type="auto"/>
          </w:tcPr>
          <w:p w14:paraId="12978773" w14:textId="77777777" w:rsidR="00CF72D5" w:rsidRPr="002029AF" w:rsidRDefault="00CF72D5" w:rsidP="00457506">
            <w:pPr>
              <w:pStyle w:val="ARtabletextright"/>
            </w:pPr>
            <w:r w:rsidRPr="002029AF">
              <w:t>N/A</w:t>
            </w:r>
          </w:p>
        </w:tc>
        <w:tc>
          <w:tcPr>
            <w:tcW w:w="0" w:type="auto"/>
          </w:tcPr>
          <w:p w14:paraId="5A340BC9" w14:textId="77777777" w:rsidR="00CF72D5" w:rsidRPr="002029AF" w:rsidRDefault="00CF72D5" w:rsidP="00457506">
            <w:pPr>
              <w:pStyle w:val="ARtabletextright"/>
            </w:pPr>
            <w:r w:rsidRPr="002029AF">
              <w:t>$129.35</w:t>
            </w:r>
          </w:p>
        </w:tc>
      </w:tr>
      <w:tr w:rsidR="00CF72D5" w:rsidRPr="002029AF" w14:paraId="5CEBFFE0" w14:textId="77777777" w:rsidTr="00897193">
        <w:tc>
          <w:tcPr>
            <w:tcW w:w="1262" w:type="dxa"/>
          </w:tcPr>
          <w:p w14:paraId="5041D153" w14:textId="27B9CECC" w:rsidR="00CF72D5" w:rsidRPr="002029AF" w:rsidRDefault="00CF72D5" w:rsidP="00457506">
            <w:pPr>
              <w:pStyle w:val="ARtabletext"/>
            </w:pPr>
            <w:r w:rsidRPr="002029AF">
              <w:t>Survive</w:t>
            </w:r>
            <w:r w:rsidR="000A5329" w:rsidRPr="002029AF">
              <w:t xml:space="preserve"> </w:t>
            </w:r>
            <w:r w:rsidRPr="002029AF">
              <w:t>the</w:t>
            </w:r>
            <w:r w:rsidR="000A5329" w:rsidRPr="002029AF">
              <w:t xml:space="preserve"> </w:t>
            </w:r>
            <w:r w:rsidRPr="002029AF">
              <w:t>Heat</w:t>
            </w:r>
            <w:r w:rsidR="000A5329" w:rsidRPr="002029AF">
              <w:t xml:space="preserve"> </w:t>
            </w:r>
            <w:r w:rsidRPr="002029AF">
              <w:t>in</w:t>
            </w:r>
            <w:r w:rsidR="000A5329" w:rsidRPr="002029AF">
              <w:t xml:space="preserve"> </w:t>
            </w:r>
            <w:r w:rsidRPr="002029AF">
              <w:t>Summer</w:t>
            </w:r>
          </w:p>
        </w:tc>
        <w:tc>
          <w:tcPr>
            <w:tcW w:w="3265" w:type="dxa"/>
          </w:tcPr>
          <w:p w14:paraId="08083652" w14:textId="4DE5BE26" w:rsidR="00CF72D5" w:rsidRPr="002029AF" w:rsidRDefault="00CF72D5" w:rsidP="00457506">
            <w:pPr>
              <w:pStyle w:val="ARtabletext"/>
            </w:pPr>
            <w:r w:rsidRPr="002029AF">
              <w:t>Promote</w:t>
            </w:r>
            <w:r w:rsidR="000A5329" w:rsidRPr="002029AF">
              <w:t xml:space="preserve"> </w:t>
            </w:r>
            <w:r w:rsidRPr="002029AF">
              <w:t>community</w:t>
            </w:r>
            <w:r w:rsidR="000A5329" w:rsidRPr="002029AF">
              <w:t xml:space="preserve"> </w:t>
            </w:r>
            <w:r w:rsidRPr="002029AF">
              <w:t>awareness</w:t>
            </w:r>
            <w:r w:rsidR="000A5329" w:rsidRPr="002029AF">
              <w:t xml:space="preserve"> </w:t>
            </w:r>
            <w:r w:rsidRPr="002029AF">
              <w:t>of</w:t>
            </w:r>
            <w:r w:rsidR="000A5329" w:rsidRPr="002029AF">
              <w:t xml:space="preserve"> </w:t>
            </w:r>
            <w:r w:rsidRPr="002029AF">
              <w:t>health</w:t>
            </w:r>
            <w:r w:rsidR="000A5329" w:rsidRPr="002029AF">
              <w:t xml:space="preserve"> </w:t>
            </w:r>
            <w:r w:rsidRPr="002029AF">
              <w:t>impacts</w:t>
            </w:r>
            <w:r w:rsidR="000A5329" w:rsidRPr="002029AF">
              <w:t xml:space="preserve"> </w:t>
            </w:r>
            <w:r w:rsidRPr="002029AF">
              <w:t>of</w:t>
            </w:r>
            <w:r w:rsidR="000A5329" w:rsidRPr="002029AF">
              <w:t xml:space="preserve"> </w:t>
            </w:r>
            <w:r w:rsidRPr="002029AF">
              <w:t>extreme</w:t>
            </w:r>
            <w:r w:rsidR="000A5329" w:rsidRPr="002029AF">
              <w:t xml:space="preserve"> </w:t>
            </w:r>
            <w:r w:rsidRPr="002029AF">
              <w:t>heat</w:t>
            </w:r>
            <w:r w:rsidR="000A5329" w:rsidRPr="002029AF">
              <w:t xml:space="preserve"> </w:t>
            </w:r>
            <w:r w:rsidRPr="002029AF">
              <w:t>and</w:t>
            </w:r>
            <w:r w:rsidR="000A5329" w:rsidRPr="002029AF">
              <w:t xml:space="preserve"> </w:t>
            </w:r>
            <w:r w:rsidRPr="002029AF">
              <w:t>behaviour</w:t>
            </w:r>
            <w:r w:rsidR="000A5329" w:rsidRPr="002029AF">
              <w:t xml:space="preserve"> </w:t>
            </w:r>
            <w:r w:rsidRPr="002029AF">
              <w:t>change</w:t>
            </w:r>
            <w:r w:rsidR="000A5329" w:rsidRPr="002029AF">
              <w:t xml:space="preserve"> </w:t>
            </w:r>
            <w:r w:rsidRPr="002029AF">
              <w:t>to</w:t>
            </w:r>
            <w:r w:rsidR="000A5329" w:rsidRPr="002029AF">
              <w:t xml:space="preserve"> </w:t>
            </w:r>
            <w:r w:rsidRPr="002029AF">
              <w:t>reduce</w:t>
            </w:r>
            <w:r w:rsidR="000A5329" w:rsidRPr="002029AF">
              <w:t xml:space="preserve"> </w:t>
            </w:r>
            <w:r w:rsidRPr="002029AF">
              <w:t>risks</w:t>
            </w:r>
            <w:r w:rsidR="000A5329" w:rsidRPr="002029AF">
              <w:t xml:space="preserve"> </w:t>
            </w:r>
            <w:r w:rsidRPr="002029AF">
              <w:t>to</w:t>
            </w:r>
            <w:r w:rsidR="000A5329" w:rsidRPr="002029AF">
              <w:t xml:space="preserve"> </w:t>
            </w:r>
            <w:r w:rsidRPr="002029AF">
              <w:t>vulnerable</w:t>
            </w:r>
            <w:r w:rsidR="000A5329" w:rsidRPr="002029AF">
              <w:t xml:space="preserve"> </w:t>
            </w:r>
            <w:r w:rsidRPr="002029AF">
              <w:t>community</w:t>
            </w:r>
            <w:r w:rsidR="000A5329" w:rsidRPr="002029AF">
              <w:t xml:space="preserve"> </w:t>
            </w:r>
            <w:r w:rsidRPr="002029AF">
              <w:t>members.</w:t>
            </w:r>
          </w:p>
        </w:tc>
        <w:tc>
          <w:tcPr>
            <w:tcW w:w="2612" w:type="dxa"/>
          </w:tcPr>
          <w:p w14:paraId="3E18A11C" w14:textId="24539ECA" w:rsidR="00CF72D5" w:rsidRPr="002029AF" w:rsidRDefault="00CF72D5" w:rsidP="00457506">
            <w:pPr>
              <w:pStyle w:val="ARtabletext"/>
            </w:pPr>
            <w:r w:rsidRPr="002029AF">
              <w:t>1</w:t>
            </w:r>
            <w:r w:rsidR="000A5329" w:rsidRPr="002029AF">
              <w:t xml:space="preserve"> </w:t>
            </w:r>
            <w:r w:rsidRPr="002029AF">
              <w:t>December</w:t>
            </w:r>
            <w:r w:rsidR="000A5329" w:rsidRPr="002029AF">
              <w:t xml:space="preserve"> </w:t>
            </w:r>
            <w:r w:rsidRPr="002029AF">
              <w:t>2019</w:t>
            </w:r>
            <w:r w:rsidR="000A5329" w:rsidRPr="002029AF">
              <w:t xml:space="preserve"> </w:t>
            </w:r>
            <w:r w:rsidRPr="002029AF">
              <w:t>to</w:t>
            </w:r>
            <w:r w:rsidR="000A5329" w:rsidRPr="002029AF">
              <w:t xml:space="preserve"> </w:t>
            </w:r>
            <w:r w:rsidR="005348BD" w:rsidRPr="002029AF">
              <w:t>31</w:t>
            </w:r>
            <w:r w:rsidR="000A5329" w:rsidRPr="002029AF">
              <w:t xml:space="preserve"> </w:t>
            </w:r>
            <w:r w:rsidR="005348BD" w:rsidRPr="002029AF">
              <w:t>March</w:t>
            </w:r>
            <w:r w:rsidR="000A5329" w:rsidRPr="002029AF">
              <w:t xml:space="preserve"> </w:t>
            </w:r>
            <w:r w:rsidRPr="002029AF">
              <w:t>2020</w:t>
            </w:r>
          </w:p>
        </w:tc>
        <w:tc>
          <w:tcPr>
            <w:tcW w:w="1129" w:type="dxa"/>
          </w:tcPr>
          <w:p w14:paraId="51E98749" w14:textId="77777777" w:rsidR="00CF72D5" w:rsidRPr="002029AF" w:rsidRDefault="00CF72D5" w:rsidP="00457506">
            <w:pPr>
              <w:pStyle w:val="ARtabletextright"/>
            </w:pPr>
            <w:r w:rsidRPr="002029AF">
              <w:t>$489.23</w:t>
            </w:r>
          </w:p>
        </w:tc>
        <w:tc>
          <w:tcPr>
            <w:tcW w:w="0" w:type="auto"/>
          </w:tcPr>
          <w:p w14:paraId="06F7ECBD" w14:textId="77777777" w:rsidR="00CF72D5" w:rsidRPr="002029AF" w:rsidRDefault="00CF72D5" w:rsidP="00457506">
            <w:pPr>
              <w:pStyle w:val="ARtabletextright"/>
            </w:pPr>
            <w:r w:rsidRPr="002029AF">
              <w:t>N/A</w:t>
            </w:r>
          </w:p>
        </w:tc>
        <w:tc>
          <w:tcPr>
            <w:tcW w:w="0" w:type="auto"/>
          </w:tcPr>
          <w:p w14:paraId="7041D3BE" w14:textId="77777777" w:rsidR="00CF72D5" w:rsidRPr="002029AF" w:rsidRDefault="00CF72D5" w:rsidP="00457506">
            <w:pPr>
              <w:pStyle w:val="ARtabletextright"/>
            </w:pPr>
            <w:r w:rsidRPr="002029AF">
              <w:t>N/A</w:t>
            </w:r>
          </w:p>
        </w:tc>
        <w:tc>
          <w:tcPr>
            <w:tcW w:w="0" w:type="auto"/>
          </w:tcPr>
          <w:p w14:paraId="28650BFF" w14:textId="77777777" w:rsidR="00CF72D5" w:rsidRPr="002029AF" w:rsidRDefault="00CF72D5" w:rsidP="00457506">
            <w:pPr>
              <w:pStyle w:val="ARtabletextright"/>
            </w:pPr>
            <w:r w:rsidRPr="002029AF">
              <w:t>$4.24</w:t>
            </w:r>
          </w:p>
        </w:tc>
        <w:tc>
          <w:tcPr>
            <w:tcW w:w="0" w:type="auto"/>
          </w:tcPr>
          <w:p w14:paraId="478A05BC" w14:textId="77777777" w:rsidR="00CF72D5" w:rsidRPr="002029AF" w:rsidRDefault="00CF72D5" w:rsidP="00457506">
            <w:pPr>
              <w:pStyle w:val="ARtabletextright"/>
            </w:pPr>
            <w:r w:rsidRPr="002029AF">
              <w:t>$9.19</w:t>
            </w:r>
          </w:p>
        </w:tc>
        <w:tc>
          <w:tcPr>
            <w:tcW w:w="0" w:type="auto"/>
          </w:tcPr>
          <w:p w14:paraId="150ADDCF" w14:textId="77777777" w:rsidR="00CF72D5" w:rsidRPr="002029AF" w:rsidRDefault="00CF72D5" w:rsidP="00457506">
            <w:pPr>
              <w:pStyle w:val="ARtabletextright"/>
            </w:pPr>
            <w:r w:rsidRPr="002029AF">
              <w:t>$502.66</w:t>
            </w:r>
          </w:p>
        </w:tc>
      </w:tr>
      <w:tr w:rsidR="00CF72D5" w:rsidRPr="002029AF" w14:paraId="7F3B29D8" w14:textId="77777777" w:rsidTr="00897193">
        <w:tc>
          <w:tcPr>
            <w:tcW w:w="1262" w:type="dxa"/>
          </w:tcPr>
          <w:p w14:paraId="64C41E9F" w14:textId="12777EEB" w:rsidR="00CF72D5" w:rsidRPr="002029AF" w:rsidRDefault="00CF72D5" w:rsidP="00457506">
            <w:pPr>
              <w:pStyle w:val="ARtabletext"/>
            </w:pPr>
            <w:r w:rsidRPr="002029AF">
              <w:t>Seasonal</w:t>
            </w:r>
            <w:r w:rsidR="000A5329" w:rsidRPr="002029AF">
              <w:t xml:space="preserve"> </w:t>
            </w:r>
            <w:r w:rsidRPr="002029AF">
              <w:t>Influenza</w:t>
            </w:r>
            <w:r w:rsidR="000A5329" w:rsidRPr="002029AF">
              <w:t xml:space="preserve"> </w:t>
            </w:r>
            <w:r w:rsidRPr="002029AF">
              <w:t>Campaign</w:t>
            </w:r>
          </w:p>
        </w:tc>
        <w:tc>
          <w:tcPr>
            <w:tcW w:w="3265" w:type="dxa"/>
          </w:tcPr>
          <w:p w14:paraId="52D7A954" w14:textId="32368A94" w:rsidR="00CF72D5" w:rsidRPr="002029AF" w:rsidRDefault="00CF72D5" w:rsidP="00457506">
            <w:pPr>
              <w:pStyle w:val="ARtabletext"/>
            </w:pPr>
            <w:r w:rsidRPr="002029AF">
              <w:t>Promote</w:t>
            </w:r>
            <w:r w:rsidR="000A5329" w:rsidRPr="002029AF">
              <w:t xml:space="preserve"> </w:t>
            </w:r>
            <w:r w:rsidRPr="002029AF">
              <w:t>seasonal</w:t>
            </w:r>
            <w:r w:rsidR="000A5329" w:rsidRPr="002029AF">
              <w:t xml:space="preserve"> </w:t>
            </w:r>
            <w:r w:rsidRPr="002029AF">
              <w:t>flu</w:t>
            </w:r>
            <w:r w:rsidR="000A5329" w:rsidRPr="002029AF">
              <w:t xml:space="preserve"> </w:t>
            </w:r>
            <w:r w:rsidRPr="002029AF">
              <w:t>immunisation</w:t>
            </w:r>
            <w:r w:rsidR="000A5329" w:rsidRPr="002029AF">
              <w:t xml:space="preserve"> </w:t>
            </w:r>
            <w:r w:rsidRPr="002029AF">
              <w:t>and</w:t>
            </w:r>
            <w:r w:rsidR="000A5329" w:rsidRPr="002029AF">
              <w:t xml:space="preserve"> </w:t>
            </w:r>
            <w:r w:rsidRPr="002029AF">
              <w:t>other</w:t>
            </w:r>
            <w:r w:rsidR="000A5329" w:rsidRPr="002029AF">
              <w:t xml:space="preserve"> </w:t>
            </w:r>
            <w:r w:rsidRPr="002029AF">
              <w:t>prevention</w:t>
            </w:r>
            <w:r w:rsidR="000A5329" w:rsidRPr="002029AF">
              <w:t xml:space="preserve"> </w:t>
            </w:r>
            <w:r w:rsidRPr="002029AF">
              <w:t>measures</w:t>
            </w:r>
            <w:r w:rsidR="000A5329" w:rsidRPr="002029AF">
              <w:t xml:space="preserve"> </w:t>
            </w:r>
            <w:r w:rsidRPr="002029AF">
              <w:t>to</w:t>
            </w:r>
            <w:r w:rsidR="000A5329" w:rsidRPr="002029AF">
              <w:t xml:space="preserve"> </w:t>
            </w:r>
            <w:r w:rsidRPr="002029AF">
              <w:t>help</w:t>
            </w:r>
            <w:r w:rsidR="000A5329" w:rsidRPr="002029AF">
              <w:t xml:space="preserve"> </w:t>
            </w:r>
            <w:r w:rsidRPr="002029AF">
              <w:t>reduce</w:t>
            </w:r>
            <w:r w:rsidR="000A5329" w:rsidRPr="002029AF">
              <w:t xml:space="preserve"> </w:t>
            </w:r>
            <w:r w:rsidRPr="002029AF">
              <w:t>the</w:t>
            </w:r>
            <w:r w:rsidR="000A5329" w:rsidRPr="002029AF">
              <w:t xml:space="preserve"> </w:t>
            </w:r>
            <w:r w:rsidRPr="002029AF">
              <w:t>impacts</w:t>
            </w:r>
            <w:r w:rsidR="000A5329" w:rsidRPr="002029AF">
              <w:t xml:space="preserve"> </w:t>
            </w:r>
            <w:r w:rsidRPr="002029AF">
              <w:t>of</w:t>
            </w:r>
            <w:r w:rsidR="000A5329" w:rsidRPr="002029AF">
              <w:t xml:space="preserve"> </w:t>
            </w:r>
            <w:r w:rsidRPr="002029AF">
              <w:t>seasonal</w:t>
            </w:r>
            <w:r w:rsidR="000A5329" w:rsidRPr="002029AF">
              <w:t xml:space="preserve"> </w:t>
            </w:r>
            <w:r w:rsidRPr="002029AF">
              <w:t>influenza.</w:t>
            </w:r>
          </w:p>
        </w:tc>
        <w:tc>
          <w:tcPr>
            <w:tcW w:w="2612" w:type="dxa"/>
          </w:tcPr>
          <w:p w14:paraId="3687E71D" w14:textId="64257615" w:rsidR="00CF72D5" w:rsidRPr="002029AF" w:rsidRDefault="00CF72D5" w:rsidP="00457506">
            <w:pPr>
              <w:pStyle w:val="ARtabletext"/>
            </w:pPr>
            <w:r w:rsidRPr="002029AF">
              <w:t>1</w:t>
            </w:r>
            <w:r w:rsidR="000A5329" w:rsidRPr="002029AF">
              <w:t xml:space="preserve"> </w:t>
            </w:r>
            <w:r w:rsidRPr="002029AF">
              <w:t>July</w:t>
            </w:r>
            <w:r w:rsidR="000A5329" w:rsidRPr="002029AF">
              <w:t xml:space="preserve"> </w:t>
            </w:r>
            <w:r w:rsidRPr="002029AF">
              <w:t>2019</w:t>
            </w:r>
            <w:r w:rsidR="000A5329" w:rsidRPr="002029AF">
              <w:t xml:space="preserve"> </w:t>
            </w:r>
            <w:r w:rsidRPr="002029AF">
              <w:t>to</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p>
        </w:tc>
        <w:tc>
          <w:tcPr>
            <w:tcW w:w="1129" w:type="dxa"/>
          </w:tcPr>
          <w:p w14:paraId="16BA1715" w14:textId="77777777" w:rsidR="00CF72D5" w:rsidRPr="002029AF" w:rsidRDefault="00CF72D5" w:rsidP="00457506">
            <w:pPr>
              <w:pStyle w:val="ARtabletextright"/>
            </w:pPr>
            <w:r w:rsidRPr="002029AF">
              <w:t>$486.88</w:t>
            </w:r>
          </w:p>
        </w:tc>
        <w:tc>
          <w:tcPr>
            <w:tcW w:w="0" w:type="auto"/>
          </w:tcPr>
          <w:p w14:paraId="7C144868" w14:textId="77777777" w:rsidR="00CF72D5" w:rsidRPr="002029AF" w:rsidRDefault="00CF72D5" w:rsidP="00457506">
            <w:pPr>
              <w:pStyle w:val="ARtabletextright"/>
            </w:pPr>
            <w:r w:rsidRPr="002029AF">
              <w:t>$28.35</w:t>
            </w:r>
          </w:p>
        </w:tc>
        <w:tc>
          <w:tcPr>
            <w:tcW w:w="0" w:type="auto"/>
          </w:tcPr>
          <w:p w14:paraId="312ABE6F" w14:textId="77777777" w:rsidR="00CF72D5" w:rsidRPr="002029AF" w:rsidRDefault="00CF72D5" w:rsidP="00457506">
            <w:pPr>
              <w:pStyle w:val="ARtabletextright"/>
            </w:pPr>
            <w:r w:rsidRPr="002029AF">
              <w:t>N/A</w:t>
            </w:r>
          </w:p>
        </w:tc>
        <w:tc>
          <w:tcPr>
            <w:tcW w:w="0" w:type="auto"/>
          </w:tcPr>
          <w:p w14:paraId="4FD87D84" w14:textId="77777777" w:rsidR="00CF72D5" w:rsidRPr="002029AF" w:rsidRDefault="00CF72D5" w:rsidP="00457506">
            <w:pPr>
              <w:pStyle w:val="ARtabletextright"/>
            </w:pPr>
            <w:r w:rsidRPr="002029AF">
              <w:t>$111.96</w:t>
            </w:r>
          </w:p>
        </w:tc>
        <w:tc>
          <w:tcPr>
            <w:tcW w:w="0" w:type="auto"/>
          </w:tcPr>
          <w:p w14:paraId="3F541EF3" w14:textId="77777777" w:rsidR="00CF72D5" w:rsidRPr="002029AF" w:rsidRDefault="00CF72D5" w:rsidP="00457506">
            <w:pPr>
              <w:pStyle w:val="ARtabletextright"/>
            </w:pPr>
            <w:r w:rsidRPr="002029AF">
              <w:t>$60.63</w:t>
            </w:r>
          </w:p>
        </w:tc>
        <w:tc>
          <w:tcPr>
            <w:tcW w:w="0" w:type="auto"/>
          </w:tcPr>
          <w:p w14:paraId="19341CA2" w14:textId="77777777" w:rsidR="00CF72D5" w:rsidRPr="002029AF" w:rsidRDefault="00CF72D5" w:rsidP="00457506">
            <w:pPr>
              <w:pStyle w:val="ARtabletextright"/>
            </w:pPr>
            <w:r w:rsidRPr="002029AF">
              <w:t>$687.81</w:t>
            </w:r>
          </w:p>
        </w:tc>
      </w:tr>
      <w:tr w:rsidR="00CF72D5" w:rsidRPr="002029AF" w14:paraId="49F1FC60" w14:textId="77777777" w:rsidTr="00897193">
        <w:tc>
          <w:tcPr>
            <w:tcW w:w="1262" w:type="dxa"/>
          </w:tcPr>
          <w:p w14:paraId="1BC1501D" w14:textId="4F3E5A4A" w:rsidR="00CF72D5" w:rsidRPr="002029AF" w:rsidRDefault="00CF72D5" w:rsidP="00457506">
            <w:pPr>
              <w:pStyle w:val="ARtabletext"/>
            </w:pPr>
            <w:r w:rsidRPr="002029AF">
              <w:lastRenderedPageBreak/>
              <w:t>Disability</w:t>
            </w:r>
            <w:r w:rsidR="000A5329" w:rsidRPr="002029AF">
              <w:t xml:space="preserve"> </w:t>
            </w:r>
            <w:r w:rsidRPr="002029AF">
              <w:t>Worker</w:t>
            </w:r>
            <w:r w:rsidR="000A5329" w:rsidRPr="002029AF">
              <w:t xml:space="preserve"> </w:t>
            </w:r>
            <w:r w:rsidRPr="002029AF">
              <w:t>Regulation</w:t>
            </w:r>
            <w:r w:rsidR="000A5329" w:rsidRPr="002029AF">
              <w:t xml:space="preserve"> </w:t>
            </w:r>
            <w:r w:rsidRPr="002029AF">
              <w:t>Scheme</w:t>
            </w:r>
            <w:r w:rsidR="000A5329" w:rsidRPr="002029AF">
              <w:t xml:space="preserve"> </w:t>
            </w:r>
            <w:r w:rsidRPr="002029AF">
              <w:t>Public</w:t>
            </w:r>
            <w:r w:rsidR="000A5329" w:rsidRPr="002029AF">
              <w:t xml:space="preserve"> </w:t>
            </w:r>
            <w:r w:rsidRPr="002029AF">
              <w:t>awareness</w:t>
            </w:r>
            <w:r w:rsidR="000A5329" w:rsidRPr="002029AF">
              <w:t xml:space="preserve"> </w:t>
            </w:r>
            <w:r w:rsidRPr="002029AF">
              <w:t>campaign</w:t>
            </w:r>
          </w:p>
        </w:tc>
        <w:tc>
          <w:tcPr>
            <w:tcW w:w="3265" w:type="dxa"/>
          </w:tcPr>
          <w:p w14:paraId="622B19C3" w14:textId="65303286" w:rsidR="00CF72D5" w:rsidRPr="002029AF" w:rsidRDefault="00CF72D5" w:rsidP="00457506">
            <w:pPr>
              <w:pStyle w:val="ARtabletext"/>
            </w:pPr>
            <w:r w:rsidRPr="002029AF">
              <w:t>Promote</w:t>
            </w:r>
            <w:r w:rsidR="000A5329" w:rsidRPr="002029AF">
              <w:t xml:space="preserve"> </w:t>
            </w:r>
            <w:r w:rsidRPr="002029AF">
              <w:t>the</w:t>
            </w:r>
            <w:r w:rsidR="000A5329" w:rsidRPr="002029AF">
              <w:t xml:space="preserve"> </w:t>
            </w:r>
            <w:r w:rsidRPr="002029AF">
              <w:t>new</w:t>
            </w:r>
            <w:r w:rsidR="000A5329" w:rsidRPr="002029AF">
              <w:t xml:space="preserve"> </w:t>
            </w:r>
            <w:r w:rsidRPr="002029AF">
              <w:t>regulations</w:t>
            </w:r>
            <w:r w:rsidR="000A5329" w:rsidRPr="002029AF">
              <w:t xml:space="preserve"> </w:t>
            </w:r>
            <w:r w:rsidRPr="002029AF">
              <w:t>including</w:t>
            </w:r>
            <w:r w:rsidR="000A5329" w:rsidRPr="002029AF">
              <w:t xml:space="preserve"> </w:t>
            </w:r>
            <w:r w:rsidRPr="002029AF">
              <w:t>compliance</w:t>
            </w:r>
            <w:r w:rsidR="000A5329" w:rsidRPr="002029AF">
              <w:t xml:space="preserve"> </w:t>
            </w:r>
            <w:r w:rsidRPr="002029AF">
              <w:t>obligations</w:t>
            </w:r>
            <w:r w:rsidR="000A5329" w:rsidRPr="002029AF">
              <w:t xml:space="preserve"> </w:t>
            </w:r>
            <w:r w:rsidRPr="002029AF">
              <w:t>for</w:t>
            </w:r>
            <w:r w:rsidR="000A5329" w:rsidRPr="002029AF">
              <w:t xml:space="preserve"> </w:t>
            </w:r>
            <w:r w:rsidRPr="002029AF">
              <w:t>Victorian</w:t>
            </w:r>
            <w:r w:rsidR="000A5329" w:rsidRPr="002029AF">
              <w:t xml:space="preserve"> </w:t>
            </w:r>
            <w:r w:rsidRPr="002029AF">
              <w:t>disability</w:t>
            </w:r>
            <w:r w:rsidR="000A5329" w:rsidRPr="002029AF">
              <w:t xml:space="preserve"> </w:t>
            </w:r>
            <w:r w:rsidRPr="002029AF">
              <w:t>workers</w:t>
            </w:r>
            <w:r w:rsidR="000A5329" w:rsidRPr="002029AF">
              <w:t xml:space="preserve"> </w:t>
            </w:r>
            <w:r w:rsidRPr="002029AF">
              <w:t>commencing</w:t>
            </w:r>
            <w:r w:rsidR="000A5329" w:rsidRPr="002029AF">
              <w:t xml:space="preserve"> </w:t>
            </w:r>
            <w:r w:rsidRPr="002029AF">
              <w:t>1</w:t>
            </w:r>
            <w:r w:rsidR="000A5329" w:rsidRPr="002029AF">
              <w:t xml:space="preserve"> </w:t>
            </w:r>
            <w:r w:rsidRPr="002029AF">
              <w:t>July</w:t>
            </w:r>
            <w:r w:rsidR="000A5329" w:rsidRPr="002029AF">
              <w:t xml:space="preserve"> </w:t>
            </w:r>
            <w:r w:rsidRPr="002029AF">
              <w:t>2020</w:t>
            </w:r>
          </w:p>
        </w:tc>
        <w:tc>
          <w:tcPr>
            <w:tcW w:w="2612" w:type="dxa"/>
          </w:tcPr>
          <w:p w14:paraId="2A8834A5" w14:textId="0EAB9BB1" w:rsidR="00CF72D5" w:rsidRPr="002029AF" w:rsidRDefault="00CF72D5" w:rsidP="00457506">
            <w:pPr>
              <w:pStyle w:val="ARtabletext"/>
            </w:pPr>
            <w:r w:rsidRPr="002029AF">
              <w:t>5</w:t>
            </w:r>
            <w:r w:rsidR="000A5329" w:rsidRPr="002029AF">
              <w:t xml:space="preserve"> </w:t>
            </w:r>
            <w:r w:rsidRPr="002029AF">
              <w:t>June</w:t>
            </w:r>
            <w:r w:rsidR="000A5329" w:rsidRPr="002029AF">
              <w:t xml:space="preserve"> </w:t>
            </w:r>
            <w:r w:rsidRPr="002029AF">
              <w:t>to</w:t>
            </w:r>
            <w:r w:rsidR="000A5329" w:rsidRPr="002029AF">
              <w:t xml:space="preserve"> </w:t>
            </w:r>
            <w:r w:rsidRPr="002029AF">
              <w:t>30</w:t>
            </w:r>
            <w:r w:rsidR="000A5329" w:rsidRPr="002029AF">
              <w:t xml:space="preserve"> </w:t>
            </w:r>
            <w:r w:rsidRPr="002029AF">
              <w:t>June</w:t>
            </w:r>
          </w:p>
        </w:tc>
        <w:tc>
          <w:tcPr>
            <w:tcW w:w="1129" w:type="dxa"/>
          </w:tcPr>
          <w:p w14:paraId="46585982" w14:textId="77777777" w:rsidR="00CF72D5" w:rsidRPr="002029AF" w:rsidRDefault="00CF72D5" w:rsidP="00457506">
            <w:pPr>
              <w:pStyle w:val="ARtabletextright"/>
            </w:pPr>
            <w:r w:rsidRPr="002029AF">
              <w:t>$310.00</w:t>
            </w:r>
          </w:p>
        </w:tc>
        <w:tc>
          <w:tcPr>
            <w:tcW w:w="0" w:type="auto"/>
          </w:tcPr>
          <w:p w14:paraId="466EB993" w14:textId="77777777" w:rsidR="00CF72D5" w:rsidRPr="002029AF" w:rsidRDefault="00CF72D5" w:rsidP="00457506">
            <w:pPr>
              <w:pStyle w:val="ARtabletextright"/>
            </w:pPr>
            <w:r w:rsidRPr="002029AF">
              <w:t>$214.05</w:t>
            </w:r>
          </w:p>
        </w:tc>
        <w:tc>
          <w:tcPr>
            <w:tcW w:w="0" w:type="auto"/>
          </w:tcPr>
          <w:p w14:paraId="20D22514" w14:textId="77777777" w:rsidR="00CF72D5" w:rsidRPr="002029AF" w:rsidRDefault="00CF72D5" w:rsidP="00457506">
            <w:pPr>
              <w:pStyle w:val="ARtabletextright"/>
            </w:pPr>
            <w:r w:rsidRPr="002029AF">
              <w:t>$12.35</w:t>
            </w:r>
          </w:p>
        </w:tc>
        <w:tc>
          <w:tcPr>
            <w:tcW w:w="0" w:type="auto"/>
          </w:tcPr>
          <w:p w14:paraId="38E54097" w14:textId="77777777" w:rsidR="00CF72D5" w:rsidRPr="002029AF" w:rsidRDefault="00CF72D5" w:rsidP="00457506">
            <w:pPr>
              <w:pStyle w:val="ARtabletextright"/>
            </w:pPr>
            <w:r w:rsidRPr="002029AF">
              <w:t>N/A</w:t>
            </w:r>
          </w:p>
        </w:tc>
        <w:tc>
          <w:tcPr>
            <w:tcW w:w="0" w:type="auto"/>
          </w:tcPr>
          <w:p w14:paraId="4DEBAFE7" w14:textId="77777777" w:rsidR="00CF72D5" w:rsidRPr="002029AF" w:rsidRDefault="00CF72D5" w:rsidP="00457506">
            <w:pPr>
              <w:pStyle w:val="ARtabletextright"/>
            </w:pPr>
            <w:r w:rsidRPr="002029AF">
              <w:t>N/A</w:t>
            </w:r>
          </w:p>
        </w:tc>
        <w:tc>
          <w:tcPr>
            <w:tcW w:w="0" w:type="auto"/>
          </w:tcPr>
          <w:p w14:paraId="65C822F5" w14:textId="77777777" w:rsidR="00CF72D5" w:rsidRPr="002029AF" w:rsidRDefault="00CF72D5" w:rsidP="00457506">
            <w:pPr>
              <w:pStyle w:val="ARtabletextright"/>
            </w:pPr>
            <w:r w:rsidRPr="002029AF">
              <w:t>$536.40</w:t>
            </w:r>
          </w:p>
        </w:tc>
      </w:tr>
      <w:tr w:rsidR="00CF72D5" w:rsidRPr="002029AF" w14:paraId="485D43C6" w14:textId="77777777" w:rsidTr="00897193">
        <w:tc>
          <w:tcPr>
            <w:tcW w:w="1262" w:type="dxa"/>
          </w:tcPr>
          <w:p w14:paraId="636BD3E0" w14:textId="084953A2" w:rsidR="00CF72D5" w:rsidRPr="002029AF" w:rsidRDefault="00CF72D5" w:rsidP="00457506">
            <w:pPr>
              <w:pStyle w:val="ARtabletext"/>
            </w:pPr>
            <w:r w:rsidRPr="002029AF">
              <w:t>Coronavirus</w:t>
            </w:r>
            <w:r w:rsidR="000A5329" w:rsidRPr="002029AF">
              <w:t xml:space="preserve"> </w:t>
            </w:r>
            <w:r w:rsidRPr="002029AF">
              <w:t>(COVID-19)</w:t>
            </w:r>
            <w:r w:rsidR="000A5329" w:rsidRPr="002029AF">
              <w:t xml:space="preserve"> </w:t>
            </w:r>
            <w:r w:rsidRPr="002029AF">
              <w:t>Managing</w:t>
            </w:r>
            <w:r w:rsidR="000A5329" w:rsidRPr="002029AF">
              <w:t xml:space="preserve"> </w:t>
            </w:r>
            <w:r w:rsidRPr="002029AF">
              <w:t>This</w:t>
            </w:r>
            <w:r w:rsidR="000A5329" w:rsidRPr="002029AF">
              <w:t xml:space="preserve"> </w:t>
            </w:r>
            <w:r w:rsidRPr="002029AF">
              <w:t>Together</w:t>
            </w:r>
            <w:r w:rsidR="000A5329" w:rsidRPr="002029AF">
              <w:t xml:space="preserve"> </w:t>
            </w:r>
            <w:r w:rsidRPr="002029AF">
              <w:t>Campaign</w:t>
            </w:r>
          </w:p>
        </w:tc>
        <w:tc>
          <w:tcPr>
            <w:tcW w:w="3265" w:type="dxa"/>
          </w:tcPr>
          <w:p w14:paraId="3AAC32E2" w14:textId="63C16CA3" w:rsidR="00CF72D5" w:rsidRPr="002029AF" w:rsidRDefault="00CF72D5" w:rsidP="00457506">
            <w:pPr>
              <w:pStyle w:val="ARtabletext"/>
            </w:pPr>
            <w:r w:rsidRPr="002029AF">
              <w:t>In</w:t>
            </w:r>
            <w:r w:rsidR="000A5329" w:rsidRPr="002029AF">
              <w:t xml:space="preserve"> </w:t>
            </w:r>
            <w:r w:rsidRPr="002029AF">
              <w:t>response</w:t>
            </w:r>
            <w:r w:rsidR="000A5329" w:rsidRPr="002029AF">
              <w:t xml:space="preserve"> </w:t>
            </w:r>
            <w:r w:rsidRPr="002029AF">
              <w:t>to</w:t>
            </w:r>
            <w:r w:rsidR="000A5329" w:rsidRPr="002029AF">
              <w:t xml:space="preserve"> </w:t>
            </w:r>
            <w:r w:rsidRPr="002029AF">
              <w:t>the</w:t>
            </w:r>
            <w:r w:rsidR="000A5329" w:rsidRPr="002029AF">
              <w:t xml:space="preserve"> </w:t>
            </w:r>
            <w:r w:rsidRPr="002029AF">
              <w:t>coronavirus</w:t>
            </w:r>
            <w:r w:rsidR="000A5329" w:rsidRPr="002029AF">
              <w:t xml:space="preserve"> </w:t>
            </w:r>
            <w:r w:rsidRPr="002029AF">
              <w:t>pandemic,</w:t>
            </w:r>
            <w:r w:rsidR="000A5329" w:rsidRPr="002029AF">
              <w:t xml:space="preserve"> </w:t>
            </w:r>
            <w:r w:rsidRPr="002029AF">
              <w:t>the</w:t>
            </w:r>
            <w:r w:rsidR="000A5329" w:rsidRPr="002029AF">
              <w:t xml:space="preserve"> </w:t>
            </w:r>
            <w:r w:rsidRPr="002029AF">
              <w:t>‘Managing</w:t>
            </w:r>
            <w:r w:rsidR="000A5329" w:rsidRPr="002029AF">
              <w:t xml:space="preserve"> </w:t>
            </w:r>
            <w:r w:rsidRPr="002029AF">
              <w:t>This</w:t>
            </w:r>
            <w:r w:rsidR="000A5329" w:rsidRPr="002029AF">
              <w:t xml:space="preserve"> </w:t>
            </w:r>
            <w:r w:rsidRPr="002029AF">
              <w:t>Together’</w:t>
            </w:r>
            <w:r w:rsidR="000A5329" w:rsidRPr="002029AF">
              <w:t xml:space="preserve"> </w:t>
            </w:r>
            <w:r w:rsidRPr="002029AF">
              <w:t>campaign</w:t>
            </w:r>
            <w:r w:rsidR="000A5329" w:rsidRPr="002029AF">
              <w:t xml:space="preserve"> </w:t>
            </w:r>
            <w:r w:rsidRPr="002029AF">
              <w:t>helped</w:t>
            </w:r>
            <w:r w:rsidR="000A5329" w:rsidRPr="002029AF">
              <w:t xml:space="preserve"> </w:t>
            </w:r>
            <w:r w:rsidRPr="002029AF">
              <w:t>people</w:t>
            </w:r>
            <w:r w:rsidR="000A5329" w:rsidRPr="002029AF">
              <w:t xml:space="preserve"> </w:t>
            </w:r>
            <w:r w:rsidRPr="002029AF">
              <w:t>understand</w:t>
            </w:r>
            <w:r w:rsidR="000A5329" w:rsidRPr="002029AF">
              <w:t xml:space="preserve"> </w:t>
            </w:r>
            <w:r w:rsidRPr="002029AF">
              <w:t>the</w:t>
            </w:r>
            <w:r w:rsidR="000A5329" w:rsidRPr="002029AF">
              <w:t xml:space="preserve"> </w:t>
            </w:r>
            <w:r w:rsidRPr="002029AF">
              <w:t>crucial</w:t>
            </w:r>
            <w:r w:rsidR="000A5329" w:rsidRPr="002029AF">
              <w:t xml:space="preserve"> </w:t>
            </w:r>
            <w:r w:rsidRPr="002029AF">
              <w:t>behaviours</w:t>
            </w:r>
            <w:r w:rsidR="000A5329" w:rsidRPr="002029AF">
              <w:t xml:space="preserve"> </w:t>
            </w:r>
            <w:r w:rsidRPr="002029AF">
              <w:t>required</w:t>
            </w:r>
            <w:r w:rsidR="000A5329" w:rsidRPr="002029AF">
              <w:t xml:space="preserve"> </w:t>
            </w:r>
            <w:r w:rsidRPr="002029AF">
              <w:t>to</w:t>
            </w:r>
            <w:r w:rsidR="000A5329" w:rsidRPr="002029AF">
              <w:t xml:space="preserve"> </w:t>
            </w:r>
            <w:r w:rsidRPr="002029AF">
              <w:t>protect</w:t>
            </w:r>
            <w:r w:rsidR="000A5329" w:rsidRPr="002029AF">
              <w:t xml:space="preserve"> </w:t>
            </w:r>
            <w:r w:rsidRPr="002029AF">
              <w:t>themselves</w:t>
            </w:r>
            <w:r w:rsidR="000A5329" w:rsidRPr="002029AF">
              <w:t xml:space="preserve"> </w:t>
            </w:r>
            <w:r w:rsidRPr="002029AF">
              <w:t>and</w:t>
            </w:r>
            <w:r w:rsidR="000A5329" w:rsidRPr="002029AF">
              <w:t xml:space="preserve"> </w:t>
            </w:r>
            <w:r w:rsidRPr="002029AF">
              <w:t>the</w:t>
            </w:r>
            <w:r w:rsidR="000A5329" w:rsidRPr="002029AF">
              <w:t xml:space="preserve"> </w:t>
            </w:r>
            <w:r w:rsidRPr="002029AF">
              <w:t>community</w:t>
            </w:r>
            <w:r w:rsidR="000A5329" w:rsidRPr="002029AF">
              <w:t xml:space="preserve"> </w:t>
            </w:r>
            <w:r w:rsidRPr="002029AF">
              <w:t>during</w:t>
            </w:r>
            <w:r w:rsidR="000A5329" w:rsidRPr="002029AF">
              <w:t xml:space="preserve"> </w:t>
            </w:r>
            <w:r w:rsidRPr="002029AF">
              <w:t>the</w:t>
            </w:r>
            <w:r w:rsidR="000A5329" w:rsidRPr="002029AF">
              <w:t xml:space="preserve"> </w:t>
            </w:r>
            <w:r w:rsidRPr="002029AF">
              <w:t>pandemic.</w:t>
            </w:r>
          </w:p>
        </w:tc>
        <w:tc>
          <w:tcPr>
            <w:tcW w:w="2612" w:type="dxa"/>
          </w:tcPr>
          <w:p w14:paraId="7B28E143" w14:textId="2B1AEDDA" w:rsidR="00CF72D5" w:rsidRPr="002029AF" w:rsidRDefault="00CF72D5" w:rsidP="00457506">
            <w:pPr>
              <w:pStyle w:val="ARtabletext"/>
            </w:pPr>
            <w:r w:rsidRPr="002029AF">
              <w:t>21</w:t>
            </w:r>
            <w:r w:rsidR="000A5329" w:rsidRPr="002029AF">
              <w:t xml:space="preserve"> </w:t>
            </w:r>
            <w:r w:rsidRPr="002029AF">
              <w:t>March</w:t>
            </w:r>
            <w:r w:rsidR="000A5329" w:rsidRPr="002029AF">
              <w:t xml:space="preserve"> </w:t>
            </w:r>
            <w:r w:rsidRPr="002029AF">
              <w:t>2020</w:t>
            </w:r>
            <w:r w:rsidR="000A5329" w:rsidRPr="002029AF">
              <w:t xml:space="preserve"> </w:t>
            </w:r>
            <w:r w:rsidRPr="002029AF">
              <w:t>to</w:t>
            </w:r>
            <w:r w:rsidR="000A5329" w:rsidRPr="002029AF">
              <w:t xml:space="preserve"> </w:t>
            </w:r>
            <w:r w:rsidRPr="002029AF">
              <w:t>10</w:t>
            </w:r>
            <w:r w:rsidR="000A5329" w:rsidRPr="002029AF">
              <w:t xml:space="preserve"> </w:t>
            </w:r>
            <w:r w:rsidRPr="002029AF">
              <w:t>May</w:t>
            </w:r>
            <w:r w:rsidR="000A5329" w:rsidRPr="002029AF">
              <w:t xml:space="preserve"> </w:t>
            </w:r>
            <w:r w:rsidRPr="002029AF">
              <w:t>2020</w:t>
            </w:r>
          </w:p>
        </w:tc>
        <w:tc>
          <w:tcPr>
            <w:tcW w:w="1129" w:type="dxa"/>
          </w:tcPr>
          <w:p w14:paraId="6A56CD62" w14:textId="240E8360" w:rsidR="00CF72D5" w:rsidRPr="002029AF" w:rsidRDefault="00CF72D5" w:rsidP="00457506">
            <w:pPr>
              <w:pStyle w:val="ARtabletextright"/>
            </w:pPr>
            <w:r w:rsidRPr="002029AF">
              <w:t>$4,</w:t>
            </w:r>
            <w:r w:rsidR="00DF5032" w:rsidRPr="002029AF">
              <w:t>134.48</w:t>
            </w:r>
          </w:p>
        </w:tc>
        <w:tc>
          <w:tcPr>
            <w:tcW w:w="0" w:type="auto"/>
          </w:tcPr>
          <w:p w14:paraId="1F122728" w14:textId="5BD2C088" w:rsidR="00CF72D5" w:rsidRPr="002029AF" w:rsidRDefault="00CF72D5" w:rsidP="00457506">
            <w:pPr>
              <w:pStyle w:val="ARtabletextright"/>
            </w:pPr>
            <w:r w:rsidRPr="002029AF">
              <w:t>$1,</w:t>
            </w:r>
            <w:r w:rsidR="00DF5032" w:rsidRPr="002029AF">
              <w:t>854.43</w:t>
            </w:r>
          </w:p>
        </w:tc>
        <w:tc>
          <w:tcPr>
            <w:tcW w:w="0" w:type="auto"/>
          </w:tcPr>
          <w:p w14:paraId="1674FB5B" w14:textId="3F310643" w:rsidR="00CF72D5" w:rsidRPr="002029AF" w:rsidRDefault="00DF5032" w:rsidP="00457506">
            <w:pPr>
              <w:pStyle w:val="ARtabletextright"/>
            </w:pPr>
            <w:r w:rsidRPr="002029AF">
              <w:t>$17.00</w:t>
            </w:r>
          </w:p>
        </w:tc>
        <w:tc>
          <w:tcPr>
            <w:tcW w:w="0" w:type="auto"/>
          </w:tcPr>
          <w:p w14:paraId="20DB9306" w14:textId="56C9FE8C" w:rsidR="00CF72D5" w:rsidRPr="002029AF" w:rsidRDefault="00DF5032" w:rsidP="00457506">
            <w:pPr>
              <w:pStyle w:val="ARtabletextright"/>
            </w:pPr>
            <w:r w:rsidRPr="002029AF">
              <w:t>$15.07</w:t>
            </w:r>
          </w:p>
        </w:tc>
        <w:tc>
          <w:tcPr>
            <w:tcW w:w="0" w:type="auto"/>
          </w:tcPr>
          <w:p w14:paraId="22A4132A" w14:textId="77777777" w:rsidR="00CF72D5" w:rsidRPr="002029AF" w:rsidRDefault="00CF72D5" w:rsidP="00457506">
            <w:pPr>
              <w:pStyle w:val="ARtabletextright"/>
            </w:pPr>
            <w:r w:rsidRPr="002029AF">
              <w:t>N/A</w:t>
            </w:r>
          </w:p>
        </w:tc>
        <w:tc>
          <w:tcPr>
            <w:tcW w:w="0" w:type="auto"/>
          </w:tcPr>
          <w:p w14:paraId="0B7FFEC3" w14:textId="442A69A3" w:rsidR="00CF72D5" w:rsidRPr="002029AF" w:rsidRDefault="00CF72D5" w:rsidP="00457506">
            <w:pPr>
              <w:pStyle w:val="ARtabletextright"/>
            </w:pPr>
            <w:r w:rsidRPr="002029AF">
              <w:t>$</w:t>
            </w:r>
            <w:r w:rsidR="00DF5032" w:rsidRPr="002029AF">
              <w:t>6</w:t>
            </w:r>
            <w:r w:rsidRPr="002029AF">
              <w:t>,</w:t>
            </w:r>
            <w:r w:rsidR="00DF5032" w:rsidRPr="002029AF">
              <w:t>020.98</w:t>
            </w:r>
          </w:p>
        </w:tc>
      </w:tr>
    </w:tbl>
    <w:p w14:paraId="3CFDE0F7" w14:textId="6622909B" w:rsidR="00CF72D5" w:rsidRPr="002029AF" w:rsidRDefault="00CF72D5" w:rsidP="00897193">
      <w:pPr>
        <w:pStyle w:val="ARtabletext"/>
      </w:pPr>
      <w:r w:rsidRPr="002029AF">
        <w:t>*</w:t>
      </w:r>
      <w:r w:rsidR="000A5329" w:rsidRPr="002029AF">
        <w:t xml:space="preserve"> </w:t>
      </w:r>
      <w:r w:rsidRPr="002029AF">
        <w:t>Emergency</w:t>
      </w:r>
      <w:r w:rsidR="000A5329" w:rsidRPr="002029AF">
        <w:t xml:space="preserve"> </w:t>
      </w:r>
      <w:r w:rsidRPr="002029AF">
        <w:t>advertising</w:t>
      </w:r>
      <w:r w:rsidR="000A5329" w:rsidRPr="002029AF">
        <w:t xml:space="preserve"> </w:t>
      </w:r>
      <w:r w:rsidRPr="002029AF">
        <w:t>for</w:t>
      </w:r>
      <w:r w:rsidR="000A5329" w:rsidRPr="002029AF">
        <w:t xml:space="preserve"> </w:t>
      </w:r>
      <w:r w:rsidRPr="002029AF">
        <w:t>heat</w:t>
      </w:r>
      <w:r w:rsidR="000A5329" w:rsidRPr="002029AF">
        <w:t xml:space="preserve"> </w:t>
      </w:r>
      <w:r w:rsidRPr="002029AF">
        <w:t>health</w:t>
      </w:r>
      <w:r w:rsidR="000A5329" w:rsidRPr="002029AF">
        <w:t xml:space="preserve"> </w:t>
      </w:r>
      <w:r w:rsidRPr="002029AF">
        <w:t>alerts</w:t>
      </w:r>
      <w:r w:rsidR="000A5329" w:rsidRPr="002029AF">
        <w:t xml:space="preserve"> </w:t>
      </w:r>
      <w:r w:rsidRPr="002029AF">
        <w:t>may</w:t>
      </w:r>
      <w:r w:rsidR="000A5329" w:rsidRPr="002029AF">
        <w:t xml:space="preserve"> </w:t>
      </w:r>
      <w:r w:rsidRPr="002029AF">
        <w:t>be</w:t>
      </w:r>
      <w:r w:rsidR="000A5329" w:rsidRPr="002029AF">
        <w:t xml:space="preserve"> </w:t>
      </w:r>
      <w:r w:rsidRPr="002029AF">
        <w:t>booked</w:t>
      </w:r>
      <w:r w:rsidR="000A5329" w:rsidRPr="002029AF">
        <w:t xml:space="preserve"> </w:t>
      </w:r>
      <w:r w:rsidRPr="002029AF">
        <w:t>in</w:t>
      </w:r>
      <w:r w:rsidR="000A5329" w:rsidRPr="002029AF">
        <w:t xml:space="preserve"> </w:t>
      </w:r>
      <w:r w:rsidRPr="002029AF">
        <w:t>March</w:t>
      </w:r>
      <w:r w:rsidR="000A5329" w:rsidRPr="002029AF">
        <w:t xml:space="preserve"> </w:t>
      </w:r>
      <w:r w:rsidRPr="002029AF">
        <w:t>weather</w:t>
      </w:r>
      <w:r w:rsidR="000A5329" w:rsidRPr="002029AF">
        <w:t xml:space="preserve"> </w:t>
      </w:r>
      <w:r w:rsidRPr="002029AF">
        <w:t>depending.</w:t>
      </w:r>
    </w:p>
    <w:p w14:paraId="72AC3BFE" w14:textId="77777777" w:rsidR="00CF72D5" w:rsidRPr="002029AF" w:rsidRDefault="00CF72D5"/>
    <w:p w14:paraId="54867E6D" w14:textId="77777777" w:rsidR="00CF72D5" w:rsidRPr="002029AF" w:rsidRDefault="00CF72D5" w:rsidP="00897193">
      <w:pPr>
        <w:sectPr w:rsidR="00CF72D5" w:rsidRPr="002029AF" w:rsidSect="005E6692">
          <w:headerReference w:type="even" r:id="rId162"/>
          <w:headerReference w:type="default" r:id="rId163"/>
          <w:footerReference w:type="even" r:id="rId164"/>
          <w:headerReference w:type="first" r:id="rId165"/>
          <w:footerReference w:type="first" r:id="rId166"/>
          <w:footnotePr>
            <w:numFmt w:val="chicago"/>
            <w:numRestart w:val="eachPage"/>
          </w:footnotePr>
          <w:pgSz w:w="16838" w:h="11906" w:orient="landscape" w:code="9"/>
          <w:pgMar w:top="1418" w:right="1985" w:bottom="1418" w:left="851" w:header="851" w:footer="851" w:gutter="0"/>
          <w:cols w:space="454"/>
          <w:docGrid w:linePitch="360"/>
          <w15:footnoteColumns w:val="1"/>
        </w:sectPr>
      </w:pPr>
    </w:p>
    <w:p w14:paraId="46ACFEE1" w14:textId="3C75123B" w:rsidR="00CF72D5" w:rsidRPr="002029AF" w:rsidRDefault="00CF72D5" w:rsidP="00D015AF">
      <w:pPr>
        <w:pStyle w:val="Heading2"/>
        <w:spacing w:before="0"/>
      </w:pPr>
      <w:bookmarkStart w:id="144" w:name="_Ref21956847"/>
      <w:bookmarkStart w:id="145" w:name="_Toc54690789"/>
      <w:r w:rsidRPr="002029AF">
        <w:lastRenderedPageBreak/>
        <w:t>Details</w:t>
      </w:r>
      <w:r w:rsidR="000A5329" w:rsidRPr="002029AF">
        <w:t xml:space="preserve"> </w:t>
      </w:r>
      <w:r w:rsidRPr="002029AF">
        <w:t>of</w:t>
      </w:r>
      <w:r w:rsidR="000A5329" w:rsidRPr="002029AF">
        <w:t xml:space="preserve"> </w:t>
      </w:r>
      <w:r w:rsidRPr="002029AF">
        <w:t>information</w:t>
      </w:r>
      <w:r w:rsidR="000A5329" w:rsidRPr="002029AF">
        <w:t xml:space="preserve"> </w:t>
      </w:r>
      <w:r w:rsidRPr="002029AF">
        <w:t>and</w:t>
      </w:r>
      <w:r w:rsidR="000A5329" w:rsidRPr="002029AF">
        <w:t xml:space="preserve"> </w:t>
      </w:r>
      <w:r w:rsidRPr="002029AF">
        <w:t>communication</w:t>
      </w:r>
      <w:r w:rsidR="000A5329" w:rsidRPr="002029AF">
        <w:t xml:space="preserve"> </w:t>
      </w:r>
      <w:r w:rsidRPr="002029AF">
        <w:t>technology</w:t>
      </w:r>
      <w:r w:rsidR="000A5329" w:rsidRPr="002029AF">
        <w:t xml:space="preserve"> </w:t>
      </w:r>
      <w:r w:rsidRPr="002029AF">
        <w:t>(ICT)</w:t>
      </w:r>
      <w:r w:rsidR="000A5329" w:rsidRPr="002029AF">
        <w:t xml:space="preserve"> </w:t>
      </w:r>
      <w:r w:rsidRPr="002029AF">
        <w:t>expenditure</w:t>
      </w:r>
      <w:bookmarkEnd w:id="144"/>
      <w:bookmarkEnd w:id="145"/>
    </w:p>
    <w:p w14:paraId="75BACB10" w14:textId="07DE600C" w:rsidR="00CF72D5" w:rsidRPr="002029AF" w:rsidRDefault="00CF72D5" w:rsidP="00897193">
      <w:pPr>
        <w:pStyle w:val="ARbody"/>
      </w:pPr>
      <w:r w:rsidRPr="002029AF">
        <w:t>For</w:t>
      </w:r>
      <w:r w:rsidR="000A5329" w:rsidRPr="002029AF">
        <w:t xml:space="preserve"> </w:t>
      </w:r>
      <w:r w:rsidRPr="002029AF">
        <w:t>the</w:t>
      </w:r>
      <w:r w:rsidR="000A5329" w:rsidRPr="002029AF">
        <w:t xml:space="preserve"> </w:t>
      </w:r>
      <w:r w:rsidRPr="002029AF">
        <w:t>2019–20</w:t>
      </w:r>
      <w:r w:rsidR="000A5329" w:rsidRPr="002029AF">
        <w:t xml:space="preserve"> </w:t>
      </w:r>
      <w:r w:rsidRPr="002029AF">
        <w:t>reporting</w:t>
      </w:r>
      <w:r w:rsidR="000A5329" w:rsidRPr="002029AF">
        <w:t xml:space="preserve"> </w:t>
      </w:r>
      <w:r w:rsidRPr="002029AF">
        <w:t>period,</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had</w:t>
      </w:r>
      <w:r w:rsidR="000A5329" w:rsidRPr="002029AF">
        <w:t xml:space="preserve"> </w:t>
      </w:r>
      <w:r w:rsidRPr="002029AF">
        <w:t>a</w:t>
      </w:r>
      <w:r w:rsidR="000A5329" w:rsidRPr="002029AF">
        <w:t xml:space="preserve"> </w:t>
      </w:r>
      <w:r w:rsidRPr="002029AF">
        <w:t>total</w:t>
      </w:r>
      <w:r w:rsidR="000A5329" w:rsidRPr="002029AF">
        <w:t xml:space="preserve"> </w:t>
      </w:r>
      <w:r w:rsidRPr="002029AF">
        <w:t>ICT</w:t>
      </w:r>
      <w:r w:rsidR="000A5329" w:rsidRPr="002029AF">
        <w:t xml:space="preserve"> </w:t>
      </w:r>
      <w:r w:rsidRPr="002029AF">
        <w:t>expenditure</w:t>
      </w:r>
      <w:r w:rsidR="000A5329" w:rsidRPr="002029AF">
        <w:t xml:space="preserve"> </w:t>
      </w:r>
      <w:r w:rsidRPr="002029AF">
        <w:t>of</w:t>
      </w:r>
      <w:r w:rsidR="000A5329" w:rsidRPr="002029AF">
        <w:t xml:space="preserve"> </w:t>
      </w:r>
      <w:r w:rsidRPr="002029AF">
        <w:t>$428,014,093.</w:t>
      </w:r>
      <w:r w:rsidR="000A5329" w:rsidRPr="002029AF">
        <w:t xml:space="preserve"> </w:t>
      </w:r>
      <w:r w:rsidRPr="002029AF">
        <w:t>The</w:t>
      </w:r>
      <w:r w:rsidR="000A5329" w:rsidRPr="002029AF">
        <w:t xml:space="preserve"> </w:t>
      </w:r>
      <w:r w:rsidRPr="002029AF">
        <w:t>details</w:t>
      </w:r>
      <w:r w:rsidR="000A5329" w:rsidRPr="002029AF">
        <w:t xml:space="preserve"> </w:t>
      </w:r>
      <w:r w:rsidRPr="002029AF">
        <w:t>are</w:t>
      </w:r>
      <w:r w:rsidR="000A5329" w:rsidRPr="002029AF">
        <w:t xml:space="preserve"> </w:t>
      </w:r>
      <w:r w:rsidRPr="002029AF">
        <w:t>shown</w:t>
      </w:r>
      <w:r w:rsidR="000A5329" w:rsidRPr="002029AF">
        <w:t xml:space="preserve"> </w:t>
      </w:r>
      <w:r w:rsidRPr="002029AF">
        <w:t>below.</w:t>
      </w:r>
    </w:p>
    <w:tbl>
      <w:tblPr>
        <w:tblW w:w="967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600" w:firstRow="0" w:lastRow="0" w:firstColumn="0" w:lastColumn="0" w:noHBand="1" w:noVBand="1"/>
      </w:tblPr>
      <w:tblGrid>
        <w:gridCol w:w="2474"/>
        <w:gridCol w:w="2450"/>
        <w:gridCol w:w="2449"/>
        <w:gridCol w:w="2306"/>
      </w:tblGrid>
      <w:tr w:rsidR="00CF72D5" w:rsidRPr="002029AF" w14:paraId="13759F81" w14:textId="77777777" w:rsidTr="006F2C99">
        <w:trPr>
          <w:cantSplit/>
          <w:tblHeader/>
        </w:trPr>
        <w:tc>
          <w:tcPr>
            <w:tcW w:w="2474" w:type="dxa"/>
            <w:shd w:val="clear" w:color="auto" w:fill="FFFFFF" w:themeFill="background1"/>
            <w:noWrap/>
            <w:vAlign w:val="bottom"/>
          </w:tcPr>
          <w:p w14:paraId="1A0D100A" w14:textId="77777777" w:rsidR="00CF72D5" w:rsidRPr="002029AF" w:rsidRDefault="00CF72D5" w:rsidP="00897193">
            <w:pPr>
              <w:pStyle w:val="ARtablecolhead"/>
              <w:rPr>
                <w:i/>
                <w:color w:val="FFFFFF" w:themeColor="background1"/>
                <w:lang w:eastAsia="en-AU"/>
              </w:rPr>
            </w:pPr>
          </w:p>
        </w:tc>
        <w:tc>
          <w:tcPr>
            <w:tcW w:w="7205" w:type="dxa"/>
            <w:gridSpan w:val="3"/>
            <w:shd w:val="clear" w:color="auto" w:fill="FFFFFF" w:themeFill="background1"/>
            <w:noWrap/>
            <w:vAlign w:val="bottom"/>
          </w:tcPr>
          <w:p w14:paraId="022D006A" w14:textId="77777777" w:rsidR="00CF72D5" w:rsidRPr="002029AF" w:rsidRDefault="00CF72D5" w:rsidP="00897193">
            <w:pPr>
              <w:pStyle w:val="ARtablecolhead"/>
              <w:jc w:val="right"/>
              <w:rPr>
                <w:lang w:eastAsia="en-AU"/>
              </w:rPr>
            </w:pPr>
            <w:r w:rsidRPr="002029AF">
              <w:rPr>
                <w:lang w:eastAsia="en-AU"/>
              </w:rPr>
              <w:t>($’000)</w:t>
            </w:r>
          </w:p>
        </w:tc>
      </w:tr>
      <w:tr w:rsidR="00CF72D5" w:rsidRPr="002029AF" w14:paraId="29A84B92" w14:textId="77777777" w:rsidTr="006F2C99">
        <w:trPr>
          <w:cantSplit/>
          <w:tblHeader/>
        </w:trPr>
        <w:tc>
          <w:tcPr>
            <w:tcW w:w="2474" w:type="dxa"/>
            <w:shd w:val="clear" w:color="auto" w:fill="FFFFFF" w:themeFill="background1"/>
            <w:noWrap/>
            <w:vAlign w:val="bottom"/>
          </w:tcPr>
          <w:p w14:paraId="2274C5CC" w14:textId="3A5A0D6E" w:rsidR="00CF72D5" w:rsidRPr="002029AF" w:rsidRDefault="00CF72D5" w:rsidP="00897193">
            <w:pPr>
              <w:pStyle w:val="ARtablecolhead"/>
            </w:pPr>
            <w:r w:rsidRPr="002029AF">
              <w:t>All</w:t>
            </w:r>
            <w:r w:rsidR="000A5329" w:rsidRPr="002029AF">
              <w:t xml:space="preserve"> </w:t>
            </w:r>
            <w:r w:rsidRPr="002029AF">
              <w:t>operational</w:t>
            </w:r>
            <w:r w:rsidR="000A5329" w:rsidRPr="002029AF">
              <w:t xml:space="preserve"> </w:t>
            </w:r>
            <w:r w:rsidRPr="002029AF">
              <w:t>ICT</w:t>
            </w:r>
            <w:r w:rsidR="000A5329" w:rsidRPr="002029AF">
              <w:t xml:space="preserve"> </w:t>
            </w:r>
            <w:r w:rsidRPr="002029AF">
              <w:t>expenditure</w:t>
            </w:r>
          </w:p>
        </w:tc>
        <w:tc>
          <w:tcPr>
            <w:tcW w:w="7205" w:type="dxa"/>
            <w:gridSpan w:val="3"/>
            <w:shd w:val="clear" w:color="auto" w:fill="FFFFFF" w:themeFill="background1"/>
            <w:noWrap/>
            <w:vAlign w:val="bottom"/>
          </w:tcPr>
          <w:p w14:paraId="74D4FAD9" w14:textId="2E56E756" w:rsidR="00CF72D5" w:rsidRPr="002029AF" w:rsidRDefault="00CF72D5" w:rsidP="00897193">
            <w:pPr>
              <w:pStyle w:val="ARtablecolheadright"/>
            </w:pPr>
            <w:r w:rsidRPr="002029AF">
              <w:t>ICT</w:t>
            </w:r>
            <w:r w:rsidR="000A5329" w:rsidRPr="002029AF">
              <w:t xml:space="preserve"> </w:t>
            </w:r>
            <w:r w:rsidRPr="002029AF">
              <w:t>expenditure</w:t>
            </w:r>
            <w:r w:rsidR="000A5329" w:rsidRPr="002029AF">
              <w:t xml:space="preserve"> </w:t>
            </w:r>
            <w:r w:rsidRPr="002029AF">
              <w:t>related</w:t>
            </w:r>
            <w:r w:rsidR="000A5329" w:rsidRPr="002029AF">
              <w:t xml:space="preserve"> </w:t>
            </w:r>
            <w:r w:rsidRPr="002029AF">
              <w:t>to</w:t>
            </w:r>
            <w:r w:rsidR="000A5329" w:rsidRPr="002029AF">
              <w:t xml:space="preserve"> </w:t>
            </w:r>
            <w:r w:rsidRPr="002029AF">
              <w:t>projects</w:t>
            </w:r>
            <w:r w:rsidR="000A5329" w:rsidRPr="002029AF">
              <w:t xml:space="preserve"> </w:t>
            </w:r>
            <w:r w:rsidRPr="002029AF">
              <w:t>to</w:t>
            </w:r>
            <w:r w:rsidR="000A5329" w:rsidRPr="002029AF">
              <w:t xml:space="preserve"> </w:t>
            </w:r>
            <w:r w:rsidRPr="002029AF">
              <w:t>create</w:t>
            </w:r>
            <w:r w:rsidR="000A5329" w:rsidRPr="002029AF">
              <w:t xml:space="preserve"> </w:t>
            </w:r>
            <w:r w:rsidRPr="002029AF">
              <w:t>or</w:t>
            </w:r>
            <w:r w:rsidR="000A5329" w:rsidRPr="002029AF">
              <w:t xml:space="preserve"> </w:t>
            </w:r>
            <w:r w:rsidRPr="002029AF">
              <w:t>enhance</w:t>
            </w:r>
            <w:r w:rsidR="000A5329" w:rsidRPr="002029AF">
              <w:t xml:space="preserve"> </w:t>
            </w:r>
            <w:r w:rsidRPr="002029AF">
              <w:t>ICT</w:t>
            </w:r>
            <w:r w:rsidR="000A5329" w:rsidRPr="002029AF">
              <w:t xml:space="preserve"> </w:t>
            </w:r>
            <w:r w:rsidRPr="002029AF">
              <w:t>capabilities</w:t>
            </w:r>
          </w:p>
        </w:tc>
      </w:tr>
      <w:tr w:rsidR="00CF72D5" w:rsidRPr="002029AF" w14:paraId="4760D664" w14:textId="77777777" w:rsidTr="006F2C99">
        <w:trPr>
          <w:cantSplit/>
          <w:tblHeader/>
        </w:trPr>
        <w:tc>
          <w:tcPr>
            <w:tcW w:w="2474" w:type="dxa"/>
            <w:shd w:val="clear" w:color="auto" w:fill="FFFFFF" w:themeFill="background1"/>
            <w:noWrap/>
            <w:vAlign w:val="bottom"/>
          </w:tcPr>
          <w:p w14:paraId="3867F9E1" w14:textId="71AA7C7D" w:rsidR="00CF72D5" w:rsidRPr="002029AF" w:rsidRDefault="00CF72D5" w:rsidP="00897193">
            <w:pPr>
              <w:pStyle w:val="ARtablecolhead"/>
            </w:pPr>
            <w:r w:rsidRPr="002029AF">
              <w:t>Business</w:t>
            </w:r>
            <w:r w:rsidR="000A5329" w:rsidRPr="002029AF">
              <w:t xml:space="preserve"> </w:t>
            </w:r>
            <w:r w:rsidRPr="002029AF">
              <w:t>as</w:t>
            </w:r>
            <w:r w:rsidR="000A5329" w:rsidRPr="002029AF">
              <w:t xml:space="preserve"> </w:t>
            </w:r>
            <w:r w:rsidRPr="002029AF">
              <w:t>usual</w:t>
            </w:r>
            <w:r w:rsidR="000A5329" w:rsidRPr="002029AF">
              <w:t xml:space="preserve"> </w:t>
            </w:r>
            <w:r w:rsidRPr="002029AF">
              <w:t>(BAU)</w:t>
            </w:r>
            <w:r w:rsidR="000A5329" w:rsidRPr="002029AF">
              <w:t xml:space="preserve"> </w:t>
            </w:r>
            <w:r w:rsidRPr="002029AF">
              <w:t>ICT</w:t>
            </w:r>
            <w:r w:rsidR="000A5329" w:rsidRPr="002029AF">
              <w:t xml:space="preserve"> </w:t>
            </w:r>
            <w:r w:rsidRPr="002029AF">
              <w:t>expenditure</w:t>
            </w:r>
          </w:p>
        </w:tc>
        <w:tc>
          <w:tcPr>
            <w:tcW w:w="2450" w:type="dxa"/>
            <w:shd w:val="clear" w:color="auto" w:fill="FFFFFF" w:themeFill="background1"/>
            <w:noWrap/>
            <w:vAlign w:val="bottom"/>
          </w:tcPr>
          <w:p w14:paraId="07E9FE6A" w14:textId="0B8E761B" w:rsidR="00CF72D5" w:rsidRPr="002029AF" w:rsidRDefault="00CF72D5" w:rsidP="00897193">
            <w:pPr>
              <w:pStyle w:val="ARtablecolheadright"/>
            </w:pPr>
            <w:r w:rsidRPr="002029AF">
              <w:t>Non-business</w:t>
            </w:r>
            <w:r w:rsidR="000A5329" w:rsidRPr="002029AF">
              <w:t xml:space="preserve"> </w:t>
            </w:r>
            <w:r w:rsidRPr="002029AF">
              <w:t>as</w:t>
            </w:r>
            <w:r w:rsidR="000A5329" w:rsidRPr="002029AF">
              <w:t xml:space="preserve"> </w:t>
            </w:r>
            <w:r w:rsidRPr="002029AF">
              <w:t>usual</w:t>
            </w:r>
            <w:r w:rsidR="000A5329" w:rsidRPr="002029AF">
              <w:t xml:space="preserve"> </w:t>
            </w:r>
            <w:r w:rsidRPr="002029AF">
              <w:t>(BAU)</w:t>
            </w:r>
            <w:r w:rsidR="000A5329" w:rsidRPr="002029AF">
              <w:t xml:space="preserve"> </w:t>
            </w:r>
            <w:r w:rsidRPr="002029AF">
              <w:t>ICT</w:t>
            </w:r>
            <w:r w:rsidR="000A5329" w:rsidRPr="002029AF">
              <w:t xml:space="preserve"> </w:t>
            </w:r>
            <w:r w:rsidRPr="002029AF">
              <w:t>expenditure</w:t>
            </w:r>
          </w:p>
        </w:tc>
        <w:tc>
          <w:tcPr>
            <w:tcW w:w="2449" w:type="dxa"/>
            <w:shd w:val="clear" w:color="auto" w:fill="FFFFFF" w:themeFill="background1"/>
            <w:noWrap/>
            <w:vAlign w:val="bottom"/>
          </w:tcPr>
          <w:p w14:paraId="36D1DB89" w14:textId="35B3B460" w:rsidR="00CF72D5" w:rsidRPr="002029AF" w:rsidRDefault="00CF72D5" w:rsidP="00897193">
            <w:pPr>
              <w:pStyle w:val="ARtablecolheadright"/>
            </w:pPr>
            <w:r w:rsidRPr="002029AF">
              <w:t>Operational</w:t>
            </w:r>
            <w:r w:rsidR="000A5329" w:rsidRPr="002029AF">
              <w:t xml:space="preserve"> </w:t>
            </w:r>
            <w:r w:rsidRPr="002029AF">
              <w:br/>
              <w:t>expenditure</w:t>
            </w:r>
          </w:p>
        </w:tc>
        <w:tc>
          <w:tcPr>
            <w:tcW w:w="2306" w:type="dxa"/>
            <w:shd w:val="clear" w:color="auto" w:fill="FFFFFF" w:themeFill="background1"/>
            <w:noWrap/>
            <w:vAlign w:val="bottom"/>
          </w:tcPr>
          <w:p w14:paraId="2BDFE4FF" w14:textId="1EBDF781" w:rsidR="00CF72D5" w:rsidRPr="002029AF" w:rsidRDefault="00CF72D5" w:rsidP="00897193">
            <w:pPr>
              <w:pStyle w:val="ARtablecolheadright"/>
            </w:pPr>
            <w:r w:rsidRPr="002029AF">
              <w:t>Capital</w:t>
            </w:r>
            <w:r w:rsidR="000A5329" w:rsidRPr="002029AF">
              <w:t xml:space="preserve"> </w:t>
            </w:r>
            <w:r w:rsidRPr="002029AF">
              <w:br/>
              <w:t>expenditure</w:t>
            </w:r>
          </w:p>
        </w:tc>
      </w:tr>
      <w:tr w:rsidR="00CF72D5" w:rsidRPr="002029AF" w14:paraId="33ABEF8A" w14:textId="77777777" w:rsidTr="006F2C99">
        <w:trPr>
          <w:cantSplit/>
          <w:tblHeader/>
        </w:trPr>
        <w:tc>
          <w:tcPr>
            <w:tcW w:w="2474" w:type="dxa"/>
            <w:shd w:val="clear" w:color="auto" w:fill="auto"/>
            <w:noWrap/>
            <w:vAlign w:val="bottom"/>
            <w:hideMark/>
          </w:tcPr>
          <w:p w14:paraId="690D864E" w14:textId="77777777" w:rsidR="00CF72D5" w:rsidRPr="002029AF" w:rsidRDefault="00CF72D5" w:rsidP="00897193">
            <w:pPr>
              <w:pStyle w:val="ARtabletextright"/>
            </w:pPr>
            <w:r w:rsidRPr="002029AF">
              <w:t>(Total)</w:t>
            </w:r>
          </w:p>
        </w:tc>
        <w:tc>
          <w:tcPr>
            <w:tcW w:w="2450" w:type="dxa"/>
            <w:shd w:val="clear" w:color="auto" w:fill="auto"/>
            <w:noWrap/>
            <w:vAlign w:val="bottom"/>
            <w:hideMark/>
          </w:tcPr>
          <w:p w14:paraId="46E63F38" w14:textId="549D5D1E" w:rsidR="00CF72D5" w:rsidRPr="002029AF" w:rsidRDefault="00CF72D5" w:rsidP="00897193">
            <w:pPr>
              <w:pStyle w:val="ARtabletextright"/>
            </w:pPr>
            <w:r w:rsidRPr="002029AF">
              <w:t>(Total</w:t>
            </w:r>
            <w:r w:rsidR="000A5329" w:rsidRPr="002029AF">
              <w:t xml:space="preserve"> </w:t>
            </w:r>
            <w:r w:rsidRPr="002029AF">
              <w:t>=</w:t>
            </w:r>
            <w:r w:rsidR="000A5329" w:rsidRPr="002029AF">
              <w:t xml:space="preserve"> </w:t>
            </w:r>
            <w:r w:rsidRPr="002029AF">
              <w:t>operational</w:t>
            </w:r>
            <w:r w:rsidR="000A5329" w:rsidRPr="002029AF">
              <w:t xml:space="preserve"> </w:t>
            </w:r>
            <w:r w:rsidRPr="002029AF">
              <w:t>expenditure</w:t>
            </w:r>
            <w:r w:rsidR="000A5329" w:rsidRPr="002029AF">
              <w:t xml:space="preserve"> </w:t>
            </w:r>
            <w:r w:rsidRPr="002029AF">
              <w:t>and</w:t>
            </w:r>
            <w:r w:rsidR="000A5329" w:rsidRPr="002029AF">
              <w:t xml:space="preserve"> </w:t>
            </w:r>
            <w:r w:rsidRPr="002029AF">
              <w:t>capital</w:t>
            </w:r>
            <w:r w:rsidR="000A5329" w:rsidRPr="002029AF">
              <w:t xml:space="preserve"> </w:t>
            </w:r>
            <w:r w:rsidRPr="002029AF">
              <w:t>expenditure)</w:t>
            </w:r>
          </w:p>
        </w:tc>
        <w:tc>
          <w:tcPr>
            <w:tcW w:w="2449" w:type="dxa"/>
            <w:shd w:val="clear" w:color="auto" w:fill="auto"/>
            <w:noWrap/>
            <w:vAlign w:val="bottom"/>
            <w:hideMark/>
          </w:tcPr>
          <w:p w14:paraId="0A141BDE" w14:textId="77777777" w:rsidR="00CF72D5" w:rsidRPr="002029AF" w:rsidRDefault="00CF72D5" w:rsidP="00897193">
            <w:pPr>
              <w:pStyle w:val="ARtabletextright"/>
              <w:rPr>
                <w:b/>
              </w:rPr>
            </w:pPr>
          </w:p>
        </w:tc>
        <w:tc>
          <w:tcPr>
            <w:tcW w:w="2306" w:type="dxa"/>
            <w:shd w:val="clear" w:color="auto" w:fill="auto"/>
            <w:noWrap/>
            <w:vAlign w:val="bottom"/>
            <w:hideMark/>
          </w:tcPr>
          <w:p w14:paraId="407DC2EE" w14:textId="77777777" w:rsidR="00CF72D5" w:rsidRPr="002029AF" w:rsidRDefault="00CF72D5" w:rsidP="00897193">
            <w:pPr>
              <w:pStyle w:val="ARtabletextright"/>
              <w:rPr>
                <w:b/>
              </w:rPr>
            </w:pPr>
          </w:p>
        </w:tc>
      </w:tr>
      <w:tr w:rsidR="00CF72D5" w:rsidRPr="002029AF" w14:paraId="30FB71B9" w14:textId="77777777" w:rsidTr="006F2C99">
        <w:trPr>
          <w:cantSplit/>
          <w:trHeight w:val="300"/>
        </w:trPr>
        <w:tc>
          <w:tcPr>
            <w:tcW w:w="2474" w:type="dxa"/>
            <w:shd w:val="clear" w:color="auto" w:fill="auto"/>
            <w:noWrap/>
            <w:hideMark/>
          </w:tcPr>
          <w:p w14:paraId="66115B1F" w14:textId="77777777" w:rsidR="00CF72D5" w:rsidRPr="002029AF" w:rsidRDefault="00CF72D5" w:rsidP="00897193">
            <w:pPr>
              <w:pStyle w:val="ARtabletextright"/>
            </w:pPr>
            <w:r w:rsidRPr="002029AF">
              <w:t>$186,088</w:t>
            </w:r>
          </w:p>
        </w:tc>
        <w:tc>
          <w:tcPr>
            <w:tcW w:w="2450" w:type="dxa"/>
            <w:shd w:val="clear" w:color="auto" w:fill="auto"/>
            <w:noWrap/>
            <w:hideMark/>
          </w:tcPr>
          <w:p w14:paraId="42E193DF" w14:textId="6686B3B5" w:rsidR="00CF72D5" w:rsidRPr="002029AF" w:rsidRDefault="00CF72D5" w:rsidP="00897193">
            <w:pPr>
              <w:pStyle w:val="ARtabletextright"/>
            </w:pPr>
            <w:r w:rsidRPr="002029AF">
              <w:t>$241,926</w:t>
            </w:r>
            <w:r w:rsidRPr="00020FE5">
              <w:rPr>
                <w:rStyle w:val="Superscript"/>
              </w:rPr>
              <w:t>(1)</w:t>
            </w:r>
          </w:p>
        </w:tc>
        <w:tc>
          <w:tcPr>
            <w:tcW w:w="2449" w:type="dxa"/>
            <w:shd w:val="clear" w:color="auto" w:fill="auto"/>
            <w:noWrap/>
            <w:hideMark/>
          </w:tcPr>
          <w:p w14:paraId="62F2A328" w14:textId="77777777" w:rsidR="00CF72D5" w:rsidRPr="002029AF" w:rsidRDefault="00CF72D5" w:rsidP="00897193">
            <w:pPr>
              <w:pStyle w:val="ARtabletextright"/>
            </w:pPr>
            <w:r w:rsidRPr="002029AF">
              <w:t>$61,777</w:t>
            </w:r>
          </w:p>
        </w:tc>
        <w:tc>
          <w:tcPr>
            <w:tcW w:w="2306" w:type="dxa"/>
            <w:shd w:val="clear" w:color="auto" w:fill="auto"/>
            <w:noWrap/>
            <w:hideMark/>
          </w:tcPr>
          <w:p w14:paraId="116A2ADF" w14:textId="77777777" w:rsidR="00CF72D5" w:rsidRPr="002029AF" w:rsidRDefault="00CF72D5" w:rsidP="00897193">
            <w:pPr>
              <w:pStyle w:val="ARtabletextright"/>
            </w:pPr>
            <w:r w:rsidRPr="002029AF">
              <w:t>$180,149</w:t>
            </w:r>
          </w:p>
        </w:tc>
      </w:tr>
    </w:tbl>
    <w:p w14:paraId="39468F56" w14:textId="1354E908" w:rsidR="00CF72D5" w:rsidRPr="002029AF" w:rsidRDefault="00CF72D5" w:rsidP="00B442E2">
      <w:pPr>
        <w:pStyle w:val="ARtablefootnote"/>
      </w:pPr>
      <w:r w:rsidRPr="002029AF">
        <w:t>ICT</w:t>
      </w:r>
      <w:r w:rsidR="000A5329" w:rsidRPr="002029AF">
        <w:t xml:space="preserve"> </w:t>
      </w:r>
      <w:r w:rsidRPr="002029AF">
        <w:t>expenditure</w:t>
      </w:r>
      <w:r w:rsidR="000A5329" w:rsidRPr="002029AF">
        <w:t xml:space="preserve"> </w:t>
      </w:r>
      <w:r w:rsidRPr="002029AF">
        <w:t>refers</w:t>
      </w:r>
      <w:r w:rsidR="000A5329" w:rsidRPr="002029AF">
        <w:t xml:space="preserve"> </w:t>
      </w:r>
      <w:r w:rsidRPr="002029AF">
        <w:t>to</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costs</w:t>
      </w:r>
      <w:r w:rsidR="000A5329" w:rsidRPr="002029AF">
        <w:t xml:space="preserve"> </w:t>
      </w:r>
      <w:r w:rsidRPr="002029AF">
        <w:t>in</w:t>
      </w:r>
      <w:r w:rsidR="000A5329" w:rsidRPr="002029AF">
        <w:t xml:space="preserve"> </w:t>
      </w:r>
      <w:r w:rsidRPr="002029AF">
        <w:t>providing</w:t>
      </w:r>
      <w:r w:rsidR="000A5329" w:rsidRPr="002029AF">
        <w:t xml:space="preserve"> </w:t>
      </w:r>
      <w:r w:rsidRPr="002029AF">
        <w:t>business-enabling</w:t>
      </w:r>
      <w:r w:rsidR="000A5329" w:rsidRPr="002029AF">
        <w:t xml:space="preserve"> </w:t>
      </w:r>
      <w:r w:rsidRPr="002029AF">
        <w:t>ICT</w:t>
      </w:r>
      <w:r w:rsidR="000A5329" w:rsidRPr="002029AF">
        <w:t xml:space="preserve"> </w:t>
      </w:r>
      <w:r w:rsidRPr="002029AF">
        <w:t>services</w:t>
      </w:r>
      <w:r w:rsidR="000A5329" w:rsidRPr="002029AF">
        <w:t xml:space="preserve"> </w:t>
      </w:r>
      <w:r w:rsidRPr="002029AF">
        <w:t>within</w:t>
      </w:r>
      <w:r w:rsidR="000A5329" w:rsidRPr="002029AF">
        <w:t xml:space="preserve"> </w:t>
      </w:r>
      <w:r w:rsidRPr="002029AF">
        <w:t>the</w:t>
      </w:r>
      <w:r w:rsidR="000A5329" w:rsidRPr="002029AF">
        <w:t xml:space="preserve"> </w:t>
      </w:r>
      <w:r w:rsidRPr="002029AF">
        <w:t>current</w:t>
      </w:r>
      <w:r w:rsidR="000A5329" w:rsidRPr="002029AF">
        <w:t xml:space="preserve"> </w:t>
      </w:r>
      <w:r w:rsidRPr="002029AF">
        <w:t>reporting</w:t>
      </w:r>
      <w:r w:rsidR="000A5329" w:rsidRPr="002029AF">
        <w:t xml:space="preserve"> </w:t>
      </w:r>
      <w:r w:rsidRPr="002029AF">
        <w:t>period.</w:t>
      </w:r>
      <w:r w:rsidR="000A5329" w:rsidRPr="002029AF">
        <w:t xml:space="preserve"> </w:t>
      </w:r>
      <w:r w:rsidRPr="002029AF">
        <w:t>It</w:t>
      </w:r>
      <w:r w:rsidR="00020FE5">
        <w:t> </w:t>
      </w:r>
      <w:r w:rsidRPr="002029AF">
        <w:t>comprises</w:t>
      </w:r>
      <w:r w:rsidR="000A5329" w:rsidRPr="002029AF">
        <w:t xml:space="preserve"> </w:t>
      </w:r>
      <w:r w:rsidRPr="002029AF">
        <w:t>business</w:t>
      </w:r>
      <w:r w:rsidR="000A5329" w:rsidRPr="002029AF">
        <w:t xml:space="preserve"> </w:t>
      </w:r>
      <w:r w:rsidRPr="002029AF">
        <w:t>as</w:t>
      </w:r>
      <w:r w:rsidR="000A5329" w:rsidRPr="002029AF">
        <w:t xml:space="preserve"> </w:t>
      </w:r>
      <w:r w:rsidRPr="002029AF">
        <w:t>usual</w:t>
      </w:r>
      <w:r w:rsidR="000A5329" w:rsidRPr="002029AF">
        <w:t xml:space="preserve"> </w:t>
      </w:r>
      <w:r w:rsidRPr="002029AF">
        <w:t>(BAU)</w:t>
      </w:r>
      <w:r w:rsidR="000A5329" w:rsidRPr="002029AF">
        <w:t xml:space="preserve"> </w:t>
      </w:r>
      <w:r w:rsidRPr="002029AF">
        <w:t>ICT</w:t>
      </w:r>
      <w:r w:rsidR="000A5329" w:rsidRPr="002029AF">
        <w:t xml:space="preserve"> </w:t>
      </w:r>
      <w:r w:rsidRPr="002029AF">
        <w:t>expenditure</w:t>
      </w:r>
      <w:r w:rsidR="000A5329" w:rsidRPr="002029AF">
        <w:t xml:space="preserve"> </w:t>
      </w:r>
      <w:r w:rsidRPr="002029AF">
        <w:t>and</w:t>
      </w:r>
      <w:r w:rsidR="000A5329" w:rsidRPr="002029AF">
        <w:t xml:space="preserve"> </w:t>
      </w:r>
      <w:r w:rsidRPr="002029AF">
        <w:t>non-business</w:t>
      </w:r>
      <w:r w:rsidR="000A5329" w:rsidRPr="002029AF">
        <w:t xml:space="preserve"> </w:t>
      </w:r>
      <w:r w:rsidRPr="002029AF">
        <w:t>as</w:t>
      </w:r>
      <w:r w:rsidR="000A5329" w:rsidRPr="002029AF">
        <w:t xml:space="preserve"> </w:t>
      </w:r>
      <w:r w:rsidRPr="002029AF">
        <w:t>usual</w:t>
      </w:r>
      <w:r w:rsidR="000A5329" w:rsidRPr="002029AF">
        <w:t xml:space="preserve"> </w:t>
      </w:r>
      <w:r w:rsidRPr="002029AF">
        <w:t>(non-BAU)</w:t>
      </w:r>
      <w:r w:rsidR="000A5329" w:rsidRPr="002029AF">
        <w:t xml:space="preserve"> </w:t>
      </w:r>
      <w:r w:rsidRPr="002029AF">
        <w:t>ICT</w:t>
      </w:r>
      <w:r w:rsidR="000A5329" w:rsidRPr="002029AF">
        <w:t xml:space="preserve"> </w:t>
      </w:r>
      <w:r w:rsidRPr="002029AF">
        <w:t>expenditure.</w:t>
      </w:r>
    </w:p>
    <w:p w14:paraId="62F5BADE" w14:textId="6A90488C" w:rsidR="00CF72D5" w:rsidRPr="002029AF" w:rsidRDefault="00CF72D5" w:rsidP="00B442E2">
      <w:pPr>
        <w:pStyle w:val="ARtablefootnote"/>
      </w:pPr>
      <w:r w:rsidRPr="002029AF">
        <w:t>Non-BAU</w:t>
      </w:r>
      <w:r w:rsidR="000A5329" w:rsidRPr="002029AF">
        <w:t xml:space="preserve"> </w:t>
      </w:r>
      <w:r w:rsidRPr="002029AF">
        <w:t>ICT</w:t>
      </w:r>
      <w:r w:rsidR="000A5329" w:rsidRPr="002029AF">
        <w:t xml:space="preserve"> </w:t>
      </w:r>
      <w:r w:rsidRPr="002029AF">
        <w:t>expenditure</w:t>
      </w:r>
      <w:r w:rsidR="000A5329" w:rsidRPr="002029AF">
        <w:t xml:space="preserve"> </w:t>
      </w:r>
      <w:r w:rsidRPr="002029AF">
        <w:t>relates</w:t>
      </w:r>
      <w:r w:rsidR="000A5329" w:rsidRPr="002029AF">
        <w:t xml:space="preserve"> </w:t>
      </w:r>
      <w:r w:rsidRPr="002029AF">
        <w:t>to</w:t>
      </w:r>
      <w:r w:rsidR="000A5329" w:rsidRPr="002029AF">
        <w:t xml:space="preserve"> </w:t>
      </w:r>
      <w:r w:rsidRPr="002029AF">
        <w:t>extending</w:t>
      </w:r>
      <w:r w:rsidR="000A5329" w:rsidRPr="002029AF">
        <w:t xml:space="preserve"> </w:t>
      </w:r>
      <w:r w:rsidRPr="002029AF">
        <w:t>or</w:t>
      </w:r>
      <w:r w:rsidR="000A5329" w:rsidRPr="002029AF">
        <w:t xml:space="preserve"> </w:t>
      </w:r>
      <w:r w:rsidRPr="002029AF">
        <w:t>enhancing</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current</w:t>
      </w:r>
      <w:r w:rsidR="000A5329" w:rsidRPr="002029AF">
        <w:t xml:space="preserve"> </w:t>
      </w:r>
      <w:r w:rsidRPr="002029AF">
        <w:t>ICT</w:t>
      </w:r>
      <w:r w:rsidR="000A5329" w:rsidRPr="002029AF">
        <w:t xml:space="preserve"> </w:t>
      </w:r>
      <w:r w:rsidRPr="002029AF">
        <w:t>capabilities.</w:t>
      </w:r>
    </w:p>
    <w:p w14:paraId="080ED4AE" w14:textId="5689607C" w:rsidR="00CF72D5" w:rsidRPr="002029AF" w:rsidRDefault="00CF72D5" w:rsidP="00B442E2">
      <w:pPr>
        <w:pStyle w:val="ARtablefootnote"/>
      </w:pPr>
      <w:r w:rsidRPr="002029AF">
        <w:t>BAU</w:t>
      </w:r>
      <w:r w:rsidR="000A5329" w:rsidRPr="002029AF">
        <w:t xml:space="preserve"> </w:t>
      </w:r>
      <w:r w:rsidRPr="002029AF">
        <w:t>ICT</w:t>
      </w:r>
      <w:r w:rsidR="000A5329" w:rsidRPr="002029AF">
        <w:t xml:space="preserve"> </w:t>
      </w:r>
      <w:r w:rsidRPr="002029AF">
        <w:t>expenditure</w:t>
      </w:r>
      <w:r w:rsidR="000A5329" w:rsidRPr="002029AF">
        <w:t xml:space="preserve"> </w:t>
      </w:r>
      <w:r w:rsidRPr="002029AF">
        <w:t>is</w:t>
      </w:r>
      <w:r w:rsidR="000A5329" w:rsidRPr="002029AF">
        <w:t xml:space="preserve"> </w:t>
      </w:r>
      <w:r w:rsidRPr="002029AF">
        <w:t>all</w:t>
      </w:r>
      <w:r w:rsidR="000A5329" w:rsidRPr="002029AF">
        <w:t xml:space="preserve"> </w:t>
      </w:r>
      <w:r w:rsidRPr="002029AF">
        <w:t>remaining</w:t>
      </w:r>
      <w:r w:rsidR="000A5329" w:rsidRPr="002029AF">
        <w:t xml:space="preserve"> </w:t>
      </w:r>
      <w:r w:rsidRPr="002029AF">
        <w:t>ICT</w:t>
      </w:r>
      <w:r w:rsidR="000A5329" w:rsidRPr="002029AF">
        <w:t xml:space="preserve"> </w:t>
      </w:r>
      <w:r w:rsidRPr="002029AF">
        <w:t>expenditure,</w:t>
      </w:r>
      <w:r w:rsidR="000A5329" w:rsidRPr="002029AF">
        <w:t xml:space="preserve"> </w:t>
      </w:r>
      <w:r w:rsidRPr="002029AF">
        <w:t>which</w:t>
      </w:r>
      <w:r w:rsidR="000A5329" w:rsidRPr="002029AF">
        <w:t xml:space="preserve"> </w:t>
      </w:r>
      <w:r w:rsidRPr="002029AF">
        <w:t>primarily</w:t>
      </w:r>
      <w:r w:rsidR="000A5329" w:rsidRPr="002029AF">
        <w:t xml:space="preserve"> </w:t>
      </w:r>
      <w:r w:rsidRPr="002029AF">
        <w:t>relates</w:t>
      </w:r>
      <w:r w:rsidR="000A5329" w:rsidRPr="002029AF">
        <w:t xml:space="preserve"> </w:t>
      </w:r>
      <w:r w:rsidRPr="002029AF">
        <w:t>to</w:t>
      </w:r>
      <w:r w:rsidR="000A5329" w:rsidRPr="002029AF">
        <w:t xml:space="preserve"> </w:t>
      </w:r>
      <w:r w:rsidRPr="002029AF">
        <w:t>ongoing</w:t>
      </w:r>
      <w:r w:rsidR="000A5329" w:rsidRPr="002029AF">
        <w:t xml:space="preserve"> </w:t>
      </w:r>
      <w:r w:rsidRPr="002029AF">
        <w:t>activities</w:t>
      </w:r>
      <w:r w:rsidR="000A5329" w:rsidRPr="002029AF">
        <w:t xml:space="preserve"> </w:t>
      </w:r>
      <w:r w:rsidRPr="002029AF">
        <w:t>to</w:t>
      </w:r>
      <w:r w:rsidR="000A5329" w:rsidRPr="002029AF">
        <w:t xml:space="preserve"> </w:t>
      </w:r>
      <w:r w:rsidRPr="002029AF">
        <w:t>operate</w:t>
      </w:r>
      <w:r w:rsidR="000A5329" w:rsidRPr="002029AF">
        <w:t xml:space="preserve"> </w:t>
      </w:r>
      <w:r w:rsidRPr="002029AF">
        <w:t>and</w:t>
      </w:r>
      <w:r w:rsidR="000A5329" w:rsidRPr="002029AF">
        <w:t xml:space="preserve"> </w:t>
      </w:r>
      <w:r w:rsidRPr="002029AF">
        <w:t>maintain</w:t>
      </w:r>
      <w:r w:rsidR="000A5329" w:rsidRPr="002029AF">
        <w:t xml:space="preserve"> </w:t>
      </w:r>
      <w:r w:rsidRPr="002029AF">
        <w:t>the</w:t>
      </w:r>
      <w:r w:rsidR="000A5329" w:rsidRPr="002029AF">
        <w:t xml:space="preserve"> </w:t>
      </w:r>
      <w:r w:rsidRPr="002029AF">
        <w:t>current</w:t>
      </w:r>
      <w:r w:rsidR="000A5329" w:rsidRPr="002029AF">
        <w:t xml:space="preserve"> </w:t>
      </w:r>
      <w:r w:rsidRPr="002029AF">
        <w:t>ICT</w:t>
      </w:r>
      <w:r w:rsidR="000A5329" w:rsidRPr="002029AF">
        <w:t xml:space="preserve"> </w:t>
      </w:r>
      <w:r w:rsidRPr="002029AF">
        <w:t>capability.</w:t>
      </w:r>
    </w:p>
    <w:p w14:paraId="2EC63136" w14:textId="577B8A4D" w:rsidR="00CF72D5" w:rsidRPr="002029AF" w:rsidRDefault="00CF72D5" w:rsidP="00B442E2">
      <w:pPr>
        <w:pStyle w:val="ARtablefootnote"/>
      </w:pPr>
      <w:r w:rsidRPr="002029AF">
        <w:t>Note</w:t>
      </w:r>
      <w:r w:rsidR="009C7B7D" w:rsidRPr="002029AF">
        <w:t>:</w:t>
      </w:r>
    </w:p>
    <w:p w14:paraId="045AA7FB" w14:textId="7119B01F" w:rsidR="00CF72D5" w:rsidRPr="002029AF" w:rsidRDefault="00CF72D5" w:rsidP="00FF3CAB">
      <w:pPr>
        <w:pStyle w:val="ARtablefootnotenumbered"/>
        <w:numPr>
          <w:ilvl w:val="0"/>
          <w:numId w:val="20"/>
        </w:numPr>
      </w:pPr>
      <w:r w:rsidRPr="002029AF">
        <w:t>ICT</w:t>
      </w:r>
      <w:r w:rsidR="000A5329" w:rsidRPr="002029AF">
        <w:t xml:space="preserve"> </w:t>
      </w:r>
      <w:r w:rsidRPr="002029AF">
        <w:t>expenditure</w:t>
      </w:r>
      <w:r w:rsidR="000A5329" w:rsidRPr="002029AF">
        <w:t xml:space="preserve"> </w:t>
      </w:r>
      <w:r w:rsidRPr="002029AF">
        <w:t>for</w:t>
      </w:r>
      <w:r w:rsidR="000A5329" w:rsidRPr="002029AF">
        <w:t xml:space="preserve"> </w:t>
      </w:r>
      <w:r w:rsidRPr="002029AF">
        <w:t>the</w:t>
      </w:r>
      <w:r w:rsidR="000A5329" w:rsidRPr="002029AF">
        <w:t xml:space="preserve"> </w:t>
      </w:r>
      <w:r w:rsidRPr="002029AF">
        <w:t>201</w:t>
      </w:r>
      <w:r w:rsidR="00DB53E6" w:rsidRPr="002029AF">
        <w:t>9–</w:t>
      </w:r>
      <w:r w:rsidRPr="002029AF">
        <w:t>20</w:t>
      </w:r>
      <w:r w:rsidR="000A5329" w:rsidRPr="002029AF">
        <w:t xml:space="preserve"> </w:t>
      </w:r>
      <w:r w:rsidRPr="002029AF">
        <w:t>reporting</w:t>
      </w:r>
      <w:r w:rsidR="000A5329" w:rsidRPr="002029AF">
        <w:t xml:space="preserve"> </w:t>
      </w:r>
      <w:r w:rsidRPr="002029AF">
        <w:t>period</w:t>
      </w:r>
      <w:r w:rsidR="000A5329" w:rsidRPr="002029AF">
        <w:t xml:space="preserve"> </w:t>
      </w:r>
      <w:r w:rsidRPr="002029AF">
        <w:t>included</w:t>
      </w:r>
      <w:r w:rsidR="000A5329" w:rsidRPr="002029AF">
        <w:t xml:space="preserve"> </w:t>
      </w:r>
      <w:r w:rsidRPr="002029AF">
        <w:t>significant</w:t>
      </w:r>
      <w:r w:rsidR="000A5329" w:rsidRPr="002029AF">
        <w:t xml:space="preserve"> </w:t>
      </w:r>
      <w:r w:rsidRPr="002029AF">
        <w:t>expenditure</w:t>
      </w:r>
      <w:r w:rsidR="000A5329" w:rsidRPr="002029AF">
        <w:t xml:space="preserve"> </w:t>
      </w:r>
      <w:r w:rsidRPr="002029AF">
        <w:t>associated</w:t>
      </w:r>
      <w:r w:rsidR="000A5329" w:rsidRPr="002029AF">
        <w:t xml:space="preserve"> </w:t>
      </w:r>
      <w:r w:rsidRPr="002029AF">
        <w:t>with</w:t>
      </w:r>
      <w:r w:rsidR="000A5329" w:rsidRPr="002029AF">
        <w:t xml:space="preserve"> </w:t>
      </w:r>
      <w:r w:rsidRPr="002029AF">
        <w:t>Health</w:t>
      </w:r>
      <w:r w:rsidR="000A5329" w:rsidRPr="002029AF">
        <w:t xml:space="preserve"> </w:t>
      </w:r>
      <w:r w:rsidRPr="002029AF">
        <w:t>Sector</w:t>
      </w:r>
      <w:r w:rsidR="000A5329" w:rsidRPr="002029AF">
        <w:t xml:space="preserve"> </w:t>
      </w:r>
      <w:r w:rsidRPr="002029AF">
        <w:t>projects.</w:t>
      </w:r>
      <w:r w:rsidR="000A5329" w:rsidRPr="002029AF">
        <w:t xml:space="preserve"> </w:t>
      </w:r>
      <w:r w:rsidRPr="002029AF">
        <w:t>This</w:t>
      </w:r>
      <w:r w:rsidR="000A5329" w:rsidRPr="002029AF">
        <w:t xml:space="preserve"> </w:t>
      </w:r>
      <w:r w:rsidRPr="002029AF">
        <w:t>has</w:t>
      </w:r>
      <w:r w:rsidR="000A5329" w:rsidRPr="002029AF">
        <w:t xml:space="preserve"> </w:t>
      </w:r>
      <w:r w:rsidRPr="002029AF">
        <w:t>been</w:t>
      </w:r>
      <w:r w:rsidR="000A5329" w:rsidRPr="002029AF">
        <w:t xml:space="preserve"> </w:t>
      </w:r>
      <w:r w:rsidRPr="002029AF">
        <w:t>classified</w:t>
      </w:r>
      <w:r w:rsidR="000A5329" w:rsidRPr="002029AF">
        <w:t xml:space="preserve"> </w:t>
      </w:r>
      <w:r w:rsidRPr="002029AF">
        <w:t>as</w:t>
      </w:r>
      <w:r w:rsidR="000A5329" w:rsidRPr="002029AF">
        <w:t xml:space="preserve"> </w:t>
      </w:r>
      <w:r w:rsidRPr="002029AF">
        <w:t>capital</w:t>
      </w:r>
      <w:r w:rsidR="000A5329" w:rsidRPr="002029AF">
        <w:t xml:space="preserve"> </w:t>
      </w:r>
      <w:r w:rsidRPr="002029AF">
        <w:t>expenditure.</w:t>
      </w:r>
    </w:p>
    <w:p w14:paraId="24EB06FA" w14:textId="77777777" w:rsidR="00CF72D5" w:rsidRPr="002029AF" w:rsidRDefault="00CF72D5" w:rsidP="00457506">
      <w:pPr>
        <w:pStyle w:val="ARbody"/>
      </w:pPr>
    </w:p>
    <w:p w14:paraId="67776089" w14:textId="77777777" w:rsidR="00CF72D5" w:rsidRPr="002029AF" w:rsidRDefault="00CF72D5" w:rsidP="00457506">
      <w:pPr>
        <w:pStyle w:val="ARbody"/>
        <w:sectPr w:rsidR="00CF72D5" w:rsidRPr="002029AF" w:rsidSect="00983E98">
          <w:headerReference w:type="even" r:id="rId167"/>
          <w:headerReference w:type="default" r:id="rId168"/>
          <w:footerReference w:type="even" r:id="rId169"/>
          <w:headerReference w:type="first" r:id="rId170"/>
          <w:footerReference w:type="first" r:id="rId171"/>
          <w:pgSz w:w="11906" w:h="16838" w:code="9"/>
          <w:pgMar w:top="1985" w:right="851" w:bottom="851" w:left="1418" w:header="510" w:footer="340" w:gutter="0"/>
          <w:cols w:space="454"/>
          <w:docGrid w:linePitch="360"/>
          <w15:footnoteColumns w:val="1"/>
        </w:sectPr>
      </w:pPr>
    </w:p>
    <w:p w14:paraId="69BF5F0E" w14:textId="0A998271" w:rsidR="00CF72D5" w:rsidRPr="002029AF" w:rsidRDefault="00CF72D5" w:rsidP="001E768A">
      <w:pPr>
        <w:pStyle w:val="Heading2"/>
      </w:pPr>
      <w:bookmarkStart w:id="146" w:name="_Ref492895142"/>
      <w:bookmarkStart w:id="147" w:name="_Toc54690790"/>
      <w:r w:rsidRPr="002029AF">
        <w:t>Freedom</w:t>
      </w:r>
      <w:r w:rsidR="000A5329" w:rsidRPr="002029AF">
        <w:t xml:space="preserve"> </w:t>
      </w:r>
      <w:r w:rsidRPr="002029AF">
        <w:t>of</w:t>
      </w:r>
      <w:r w:rsidR="000A5329" w:rsidRPr="002029AF">
        <w:t xml:space="preserve"> </w:t>
      </w:r>
      <w:r w:rsidRPr="002029AF">
        <w:t>information</w:t>
      </w:r>
      <w:bookmarkEnd w:id="146"/>
      <w:bookmarkEnd w:id="147"/>
    </w:p>
    <w:p w14:paraId="6DAE7C84" w14:textId="15C4E1AA" w:rsidR="00CF72D5" w:rsidRPr="002029AF" w:rsidRDefault="00CF72D5" w:rsidP="00897193">
      <w:pPr>
        <w:pStyle w:val="ARbody"/>
      </w:pPr>
      <w:r w:rsidRPr="002029AF">
        <w:t>The</w:t>
      </w:r>
      <w:r w:rsidR="000A5329" w:rsidRPr="002029AF">
        <w:t xml:space="preserve"> </w:t>
      </w:r>
      <w:r w:rsidRPr="002029AF">
        <w:rPr>
          <w:i/>
          <w:iCs/>
        </w:rPr>
        <w:t>Freedom</w:t>
      </w:r>
      <w:r w:rsidR="000A5329" w:rsidRPr="002029AF">
        <w:rPr>
          <w:i/>
          <w:iCs/>
        </w:rPr>
        <w:t xml:space="preserve"> </w:t>
      </w:r>
      <w:r w:rsidRPr="002029AF">
        <w:rPr>
          <w:i/>
          <w:iCs/>
        </w:rPr>
        <w:t>of</w:t>
      </w:r>
      <w:r w:rsidR="000A5329" w:rsidRPr="002029AF">
        <w:rPr>
          <w:i/>
          <w:iCs/>
        </w:rPr>
        <w:t xml:space="preserve"> </w:t>
      </w:r>
      <w:r w:rsidRPr="002029AF">
        <w:rPr>
          <w:i/>
          <w:iCs/>
        </w:rPr>
        <w:t>Information</w:t>
      </w:r>
      <w:r w:rsidR="000A5329" w:rsidRPr="002029AF">
        <w:rPr>
          <w:i/>
          <w:iCs/>
        </w:rPr>
        <w:t xml:space="preserve"> </w:t>
      </w:r>
      <w:r w:rsidRPr="002029AF">
        <w:rPr>
          <w:i/>
          <w:iCs/>
        </w:rPr>
        <w:t>Act</w:t>
      </w:r>
      <w:r w:rsidR="000A5329" w:rsidRPr="002029AF">
        <w:rPr>
          <w:i/>
          <w:iCs/>
        </w:rPr>
        <w:t xml:space="preserve"> </w:t>
      </w:r>
      <w:r w:rsidRPr="002029AF">
        <w:rPr>
          <w:i/>
          <w:iCs/>
        </w:rPr>
        <w:t>1982</w:t>
      </w:r>
      <w:r w:rsidR="000A5329" w:rsidRPr="002029AF">
        <w:t xml:space="preserve"> </w:t>
      </w:r>
      <w:r w:rsidRPr="002029AF">
        <w:t>aims</w:t>
      </w:r>
      <w:r w:rsidR="000A5329" w:rsidRPr="002029AF">
        <w:t xml:space="preserve"> </w:t>
      </w:r>
      <w:r w:rsidRPr="002029AF">
        <w:t>to</w:t>
      </w:r>
      <w:r w:rsidR="000A5329" w:rsidRPr="002029AF">
        <w:t xml:space="preserve"> </w:t>
      </w:r>
      <w:r w:rsidRPr="002029AF">
        <w:t>extend</w:t>
      </w:r>
      <w:r w:rsidR="000A5329" w:rsidRPr="002029AF">
        <w:t xml:space="preserve"> </w:t>
      </w:r>
      <w:r w:rsidRPr="002029AF">
        <w:t>as</w:t>
      </w:r>
      <w:r w:rsidR="000A5329" w:rsidRPr="002029AF">
        <w:t xml:space="preserve"> </w:t>
      </w:r>
      <w:r w:rsidRPr="002029AF">
        <w:t>far</w:t>
      </w:r>
      <w:r w:rsidR="000A5329" w:rsidRPr="002029AF">
        <w:t xml:space="preserve"> </w:t>
      </w:r>
      <w:r w:rsidRPr="002029AF">
        <w:t>as</w:t>
      </w:r>
      <w:r w:rsidR="000A5329" w:rsidRPr="002029AF">
        <w:t xml:space="preserve"> </w:t>
      </w:r>
      <w:r w:rsidRPr="002029AF">
        <w:t>possible</w:t>
      </w:r>
      <w:r w:rsidR="000A5329" w:rsidRPr="002029AF">
        <w:t xml:space="preserve"> </w:t>
      </w:r>
      <w:r w:rsidRPr="002029AF">
        <w:t>the</w:t>
      </w:r>
      <w:r w:rsidR="000A5329" w:rsidRPr="002029AF">
        <w:t xml:space="preserve"> </w:t>
      </w:r>
      <w:r w:rsidRPr="002029AF">
        <w:t>right</w:t>
      </w:r>
      <w:r w:rsidR="000A5329" w:rsidRPr="002029AF">
        <w:t xml:space="preserve"> </w:t>
      </w:r>
      <w:r w:rsidRPr="002029AF">
        <w:t>of</w:t>
      </w:r>
      <w:r w:rsidR="000A5329" w:rsidRPr="002029AF">
        <w:t xml:space="preserve"> </w:t>
      </w:r>
      <w:r w:rsidRPr="002029AF">
        <w:t>the</w:t>
      </w:r>
      <w:r w:rsidR="000A5329" w:rsidRPr="002029AF">
        <w:t xml:space="preserve"> </w:t>
      </w:r>
      <w:r w:rsidRPr="002029AF">
        <w:t>community</w:t>
      </w:r>
      <w:r w:rsidR="000A5329" w:rsidRPr="002029AF">
        <w:t xml:space="preserve"> </w:t>
      </w:r>
      <w:r w:rsidRPr="002029AF">
        <w:t>to</w:t>
      </w:r>
      <w:r w:rsidR="000A5329" w:rsidRPr="002029AF">
        <w:t xml:space="preserve"> </w:t>
      </w:r>
      <w:r w:rsidRPr="002029AF">
        <w:t>access</w:t>
      </w:r>
      <w:r w:rsidR="000A5329" w:rsidRPr="002029AF">
        <w:t xml:space="preserve"> </w:t>
      </w:r>
      <w:r w:rsidRPr="002029AF">
        <w:t>information</w:t>
      </w:r>
      <w:r w:rsidR="000A5329" w:rsidRPr="002029AF">
        <w:t xml:space="preserve"> </w:t>
      </w:r>
      <w:r w:rsidRPr="002029AF">
        <w:t>held</w:t>
      </w:r>
      <w:r w:rsidR="000A5329" w:rsidRPr="002029AF">
        <w:t xml:space="preserve"> </w:t>
      </w:r>
      <w:r w:rsidRPr="002029AF">
        <w:t>by</w:t>
      </w:r>
      <w:r w:rsidR="000A5329" w:rsidRPr="002029AF">
        <w:t xml:space="preserve"> </w:t>
      </w:r>
      <w:r w:rsidRPr="002029AF">
        <w:t>the</w:t>
      </w:r>
      <w:r w:rsidR="000A5329" w:rsidRPr="002029AF">
        <w:t xml:space="preserve"> </w:t>
      </w:r>
      <w:r w:rsidRPr="002029AF">
        <w:t>Victorian</w:t>
      </w:r>
      <w:r w:rsidR="000A5329" w:rsidRPr="002029AF">
        <w:t xml:space="preserve"> </w:t>
      </w:r>
      <w:r w:rsidRPr="002029AF">
        <w:t>Government</w:t>
      </w:r>
      <w:r w:rsidR="000A5329" w:rsidRPr="002029AF">
        <w:t xml:space="preserve"> </w:t>
      </w:r>
      <w:r w:rsidRPr="002029AF">
        <w:t>and</w:t>
      </w:r>
      <w:r w:rsidR="000A5329" w:rsidRPr="002029AF">
        <w:t xml:space="preserve"> </w:t>
      </w:r>
      <w:r w:rsidRPr="002029AF">
        <w:t>other</w:t>
      </w:r>
      <w:r w:rsidR="000A5329" w:rsidRPr="002029AF">
        <w:t xml:space="preserve"> </w:t>
      </w:r>
      <w:r w:rsidRPr="002029AF">
        <w:t>bodies</w:t>
      </w:r>
      <w:r w:rsidR="000A5329" w:rsidRPr="002029AF">
        <w:t xml:space="preserve"> </w:t>
      </w:r>
      <w:r w:rsidRPr="002029AF">
        <w:t>subject</w:t>
      </w:r>
      <w:r w:rsidR="000A5329" w:rsidRPr="002029AF">
        <w:t xml:space="preserve"> </w:t>
      </w:r>
      <w:r w:rsidRPr="002029AF">
        <w:t>to</w:t>
      </w:r>
      <w:r w:rsidR="000A5329" w:rsidRPr="002029AF">
        <w:t xml:space="preserve"> </w:t>
      </w:r>
      <w:r w:rsidRPr="002029AF">
        <w:t>the</w:t>
      </w:r>
      <w:r w:rsidR="000A5329" w:rsidRPr="002029AF">
        <w:t xml:space="preserve"> </w:t>
      </w:r>
      <w:r w:rsidRPr="002029AF">
        <w:t>Act.</w:t>
      </w:r>
    </w:p>
    <w:p w14:paraId="59EBCB63" w14:textId="4C544F62" w:rsidR="00CF72D5" w:rsidRPr="002029AF" w:rsidRDefault="00CF72D5" w:rsidP="00897193">
      <w:pPr>
        <w:pStyle w:val="ARbody"/>
      </w:pPr>
      <w:r w:rsidRPr="002029AF">
        <w:t>The</w:t>
      </w:r>
      <w:r w:rsidR="000A5329" w:rsidRPr="002029AF">
        <w:t xml:space="preserve"> </w:t>
      </w:r>
      <w:r w:rsidRPr="002029AF">
        <w:t>Act</w:t>
      </w:r>
      <w:r w:rsidR="000A5329" w:rsidRPr="002029AF">
        <w:t xml:space="preserve"> </w:t>
      </w:r>
      <w:r w:rsidRPr="002029AF">
        <w:t>allows</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to</w:t>
      </w:r>
      <w:r w:rsidR="000A5329" w:rsidRPr="002029AF">
        <w:t xml:space="preserve"> </w:t>
      </w:r>
      <w:r w:rsidRPr="002029AF">
        <w:t>refuse</w:t>
      </w:r>
      <w:r w:rsidR="000A5329" w:rsidRPr="002029AF">
        <w:t xml:space="preserve"> </w:t>
      </w:r>
      <w:r w:rsidRPr="002029AF">
        <w:t>access,</w:t>
      </w:r>
      <w:r w:rsidR="000A5329" w:rsidRPr="002029AF">
        <w:t xml:space="preserve"> </w:t>
      </w:r>
      <w:r w:rsidRPr="002029AF">
        <w:t>either</w:t>
      </w:r>
      <w:r w:rsidR="000A5329" w:rsidRPr="002029AF">
        <w:t xml:space="preserve"> </w:t>
      </w:r>
      <w:r w:rsidRPr="002029AF">
        <w:t>fully</w:t>
      </w:r>
      <w:r w:rsidR="000A5329" w:rsidRPr="002029AF">
        <w:t xml:space="preserve"> </w:t>
      </w:r>
      <w:r w:rsidRPr="002029AF">
        <w:t>or</w:t>
      </w:r>
      <w:r w:rsidR="000A5329" w:rsidRPr="002029AF">
        <w:t xml:space="preserve"> </w:t>
      </w:r>
      <w:r w:rsidRPr="002029AF">
        <w:t>partially,</w:t>
      </w:r>
      <w:r w:rsidR="000A5329" w:rsidRPr="002029AF">
        <w:t xml:space="preserve"> </w:t>
      </w:r>
      <w:r w:rsidRPr="002029AF">
        <w:t>to</w:t>
      </w:r>
      <w:r w:rsidR="000A5329" w:rsidRPr="002029AF">
        <w:t xml:space="preserve"> </w:t>
      </w:r>
      <w:r w:rsidRPr="002029AF">
        <w:t>certain</w:t>
      </w:r>
      <w:r w:rsidR="000A5329" w:rsidRPr="002029AF">
        <w:t xml:space="preserve"> </w:t>
      </w:r>
      <w:r w:rsidRPr="002029AF">
        <w:t>documents</w:t>
      </w:r>
      <w:r w:rsidR="000A5329" w:rsidRPr="002029AF">
        <w:t xml:space="preserve"> </w:t>
      </w:r>
      <w:r w:rsidRPr="002029AF">
        <w:t>or</w:t>
      </w:r>
      <w:r w:rsidR="000A5329" w:rsidRPr="002029AF">
        <w:t xml:space="preserve"> </w:t>
      </w:r>
      <w:r w:rsidRPr="002029AF">
        <w:t>information.</w:t>
      </w:r>
      <w:r w:rsidR="000A5329" w:rsidRPr="002029AF">
        <w:t xml:space="preserve"> </w:t>
      </w:r>
      <w:r w:rsidRPr="002029AF">
        <w:t>Examples</w:t>
      </w:r>
      <w:r w:rsidR="000A5329" w:rsidRPr="002029AF">
        <w:t xml:space="preserve"> </w:t>
      </w:r>
      <w:r w:rsidRPr="002029AF">
        <w:t>of</w:t>
      </w:r>
      <w:r w:rsidR="000A5329" w:rsidRPr="002029AF">
        <w:t xml:space="preserve"> </w:t>
      </w:r>
      <w:r w:rsidRPr="002029AF">
        <w:t>documents</w:t>
      </w:r>
      <w:r w:rsidR="000A5329" w:rsidRPr="002029AF">
        <w:t xml:space="preserve"> </w:t>
      </w:r>
      <w:r w:rsidRPr="002029AF">
        <w:t>that</w:t>
      </w:r>
      <w:r w:rsidR="000A5329" w:rsidRPr="002029AF">
        <w:t xml:space="preserve"> </w:t>
      </w:r>
      <w:r w:rsidRPr="002029AF">
        <w:t>may</w:t>
      </w:r>
      <w:r w:rsidR="000A5329" w:rsidRPr="002029AF">
        <w:t xml:space="preserve"> </w:t>
      </w:r>
      <w:r w:rsidRPr="002029AF">
        <w:t>not</w:t>
      </w:r>
      <w:r w:rsidR="000A5329" w:rsidRPr="002029AF">
        <w:t xml:space="preserve"> </w:t>
      </w:r>
      <w:r w:rsidRPr="002029AF">
        <w:t>be</w:t>
      </w:r>
      <w:r w:rsidR="000A5329" w:rsidRPr="002029AF">
        <w:t xml:space="preserve"> </w:t>
      </w:r>
      <w:r w:rsidRPr="002029AF">
        <w:t>accessed</w:t>
      </w:r>
      <w:r w:rsidR="000A5329" w:rsidRPr="002029AF">
        <w:t xml:space="preserve"> </w:t>
      </w:r>
      <w:r w:rsidR="00EF559F" w:rsidRPr="002029AF">
        <w:t>include</w:t>
      </w:r>
      <w:r w:rsidR="000A5329" w:rsidRPr="002029AF">
        <w:t xml:space="preserve"> </w:t>
      </w:r>
      <w:r w:rsidRPr="002029AF">
        <w:t>cabinet</w:t>
      </w:r>
      <w:r w:rsidR="000A5329" w:rsidRPr="002029AF">
        <w:t xml:space="preserve"> </w:t>
      </w:r>
      <w:r w:rsidRPr="002029AF">
        <w:t>documents;</w:t>
      </w:r>
      <w:r w:rsidR="000A5329" w:rsidRPr="002029AF">
        <w:t xml:space="preserve"> </w:t>
      </w:r>
      <w:r w:rsidRPr="002029AF">
        <w:t>some</w:t>
      </w:r>
      <w:r w:rsidR="000A5329" w:rsidRPr="002029AF">
        <w:t xml:space="preserve"> </w:t>
      </w:r>
      <w:r w:rsidRPr="002029AF">
        <w:t>internal</w:t>
      </w:r>
      <w:r w:rsidR="000A5329" w:rsidRPr="002029AF">
        <w:t xml:space="preserve"> </w:t>
      </w:r>
      <w:r w:rsidRPr="002029AF">
        <w:t>working</w:t>
      </w:r>
      <w:r w:rsidR="000A5329" w:rsidRPr="002029AF">
        <w:t xml:space="preserve"> </w:t>
      </w:r>
      <w:r w:rsidRPr="002029AF">
        <w:t>documents;</w:t>
      </w:r>
      <w:r w:rsidR="000A5329" w:rsidRPr="002029AF">
        <w:t xml:space="preserve"> </w:t>
      </w:r>
      <w:r w:rsidRPr="002029AF">
        <w:t>law</w:t>
      </w:r>
      <w:r w:rsidR="000A5329" w:rsidRPr="002029AF">
        <w:t xml:space="preserve"> </w:t>
      </w:r>
      <w:r w:rsidRPr="002029AF">
        <w:t>enforcement</w:t>
      </w:r>
      <w:r w:rsidR="000A5329" w:rsidRPr="002029AF">
        <w:t xml:space="preserve"> </w:t>
      </w:r>
      <w:r w:rsidRPr="002029AF">
        <w:t>documents;</w:t>
      </w:r>
      <w:r w:rsidR="000A5329" w:rsidRPr="002029AF">
        <w:t xml:space="preserve"> </w:t>
      </w:r>
      <w:r w:rsidRPr="002029AF">
        <w:t>documents</w:t>
      </w:r>
      <w:r w:rsidR="000A5329" w:rsidRPr="002029AF">
        <w:t xml:space="preserve"> </w:t>
      </w:r>
      <w:r w:rsidRPr="002029AF">
        <w:t>covered</w:t>
      </w:r>
      <w:r w:rsidR="000A5329" w:rsidRPr="002029AF">
        <w:t xml:space="preserve"> </w:t>
      </w:r>
      <w:r w:rsidRPr="002029AF">
        <w:t>by</w:t>
      </w:r>
      <w:r w:rsidR="000A5329" w:rsidRPr="002029AF">
        <w:t xml:space="preserve"> </w:t>
      </w:r>
      <w:r w:rsidRPr="002029AF">
        <w:t>legal</w:t>
      </w:r>
      <w:r w:rsidR="000A5329" w:rsidRPr="002029AF">
        <w:t xml:space="preserve"> </w:t>
      </w:r>
      <w:r w:rsidRPr="002029AF">
        <w:t>professional</w:t>
      </w:r>
      <w:r w:rsidR="000A5329" w:rsidRPr="002029AF">
        <w:t xml:space="preserve"> </w:t>
      </w:r>
      <w:r w:rsidRPr="002029AF">
        <w:t>privilege,</w:t>
      </w:r>
      <w:r w:rsidR="000A5329" w:rsidRPr="002029AF">
        <w:t xml:space="preserve"> </w:t>
      </w:r>
      <w:r w:rsidRPr="002029AF">
        <w:t>such</w:t>
      </w:r>
      <w:r w:rsidR="000A5329" w:rsidRPr="002029AF">
        <w:t xml:space="preserve"> </w:t>
      </w:r>
      <w:r w:rsidRPr="002029AF">
        <w:t>as</w:t>
      </w:r>
      <w:r w:rsidR="000A5329" w:rsidRPr="002029AF">
        <w:t xml:space="preserve"> </w:t>
      </w:r>
      <w:r w:rsidRPr="002029AF">
        <w:t>legal</w:t>
      </w:r>
      <w:r w:rsidR="000A5329" w:rsidRPr="002029AF">
        <w:t xml:space="preserve"> </w:t>
      </w:r>
      <w:r w:rsidRPr="002029AF">
        <w:t>advice;</w:t>
      </w:r>
      <w:r w:rsidR="000A5329" w:rsidRPr="002029AF">
        <w:t xml:space="preserve"> </w:t>
      </w:r>
      <w:r w:rsidRPr="002029AF">
        <w:t>personal</w:t>
      </w:r>
      <w:r w:rsidR="000A5329" w:rsidRPr="002029AF">
        <w:t xml:space="preserve"> </w:t>
      </w:r>
      <w:r w:rsidRPr="002029AF">
        <w:t>information</w:t>
      </w:r>
      <w:r w:rsidR="000A5329" w:rsidRPr="002029AF">
        <w:t xml:space="preserve"> </w:t>
      </w:r>
      <w:r w:rsidRPr="002029AF">
        <w:t>about</w:t>
      </w:r>
      <w:r w:rsidR="000A5329" w:rsidRPr="002029AF">
        <w:t xml:space="preserve"> </w:t>
      </w:r>
      <w:r w:rsidRPr="002029AF">
        <w:t>other</w:t>
      </w:r>
      <w:r w:rsidR="000A5329" w:rsidRPr="002029AF">
        <w:t xml:space="preserve"> </w:t>
      </w:r>
      <w:r w:rsidRPr="002029AF">
        <w:t>people;</w:t>
      </w:r>
      <w:r w:rsidR="000A5329" w:rsidRPr="002029AF">
        <w:t xml:space="preserve"> </w:t>
      </w:r>
      <w:r w:rsidRPr="002029AF">
        <w:t>and</w:t>
      </w:r>
      <w:r w:rsidR="000A5329" w:rsidRPr="002029AF">
        <w:t xml:space="preserve"> </w:t>
      </w:r>
      <w:r w:rsidRPr="002029AF">
        <w:t>documents</w:t>
      </w:r>
      <w:r w:rsidR="000A5329" w:rsidRPr="002029AF">
        <w:t xml:space="preserve"> </w:t>
      </w:r>
      <w:r w:rsidRPr="002029AF">
        <w:t>relating</w:t>
      </w:r>
      <w:r w:rsidR="000A5329" w:rsidRPr="002029AF">
        <w:t xml:space="preserve"> </w:t>
      </w:r>
      <w:r w:rsidRPr="002029AF">
        <w:t>to</w:t>
      </w:r>
      <w:r w:rsidR="000A5329" w:rsidRPr="002029AF">
        <w:t xml:space="preserve"> </w:t>
      </w:r>
      <w:r w:rsidRPr="002029AF">
        <w:t>trade</w:t>
      </w:r>
      <w:r w:rsidR="000A5329" w:rsidRPr="002029AF">
        <w:t xml:space="preserve"> </w:t>
      </w:r>
      <w:r w:rsidRPr="002029AF">
        <w:t>secrets.</w:t>
      </w:r>
    </w:p>
    <w:p w14:paraId="45E6837C" w14:textId="36EDD479" w:rsidR="00CF72D5" w:rsidRPr="002029AF" w:rsidRDefault="00CF72D5" w:rsidP="00897193">
      <w:pPr>
        <w:pStyle w:val="ARbody"/>
      </w:pPr>
      <w:r w:rsidRPr="002029AF">
        <w:t>The</w:t>
      </w:r>
      <w:r w:rsidR="000A5329" w:rsidRPr="002029AF">
        <w:t xml:space="preserve"> </w:t>
      </w:r>
      <w:r w:rsidRPr="002029AF">
        <w:t>Act</w:t>
      </w:r>
      <w:r w:rsidR="000A5329" w:rsidRPr="002029AF">
        <w:t xml:space="preserve"> </w:t>
      </w:r>
      <w:r w:rsidRPr="002029AF">
        <w:t>provides</w:t>
      </w:r>
      <w:r w:rsidR="000A5329" w:rsidRPr="002029AF">
        <w:t xml:space="preserve"> </w:t>
      </w:r>
      <w:r w:rsidRPr="002029AF">
        <w:t>a</w:t>
      </w:r>
      <w:r w:rsidR="000A5329" w:rsidRPr="002029AF">
        <w:t xml:space="preserve"> </w:t>
      </w:r>
      <w:r w:rsidRPr="002029AF">
        <w:t>30-day</w:t>
      </w:r>
      <w:r w:rsidR="000A5329" w:rsidRPr="002029AF">
        <w:t xml:space="preserve"> </w:t>
      </w:r>
      <w:r w:rsidRPr="002029AF">
        <w:t>period</w:t>
      </w:r>
      <w:r w:rsidR="000A5329" w:rsidRPr="002029AF">
        <w:t xml:space="preserve"> </w:t>
      </w:r>
      <w:r w:rsidRPr="002029AF">
        <w:t>for</w:t>
      </w:r>
      <w:r w:rsidR="000A5329" w:rsidRPr="002029AF">
        <w:t xml:space="preserve"> </w:t>
      </w:r>
      <w:r w:rsidRPr="002029AF">
        <w:t>processing</w:t>
      </w:r>
      <w:r w:rsidR="000A5329" w:rsidRPr="002029AF">
        <w:t xml:space="preserve"> </w:t>
      </w:r>
      <w:r w:rsidRPr="002029AF">
        <w:t>requests.</w:t>
      </w:r>
      <w:r w:rsidR="000A5329" w:rsidRPr="002029AF">
        <w:t xml:space="preserve"> </w:t>
      </w:r>
      <w:r w:rsidRPr="002029AF">
        <w:t>This</w:t>
      </w:r>
      <w:r w:rsidR="000A5329" w:rsidRPr="002029AF">
        <w:t xml:space="preserve"> </w:t>
      </w:r>
      <w:r w:rsidRPr="002029AF">
        <w:t>time</w:t>
      </w:r>
      <w:r w:rsidR="000A5329" w:rsidRPr="002029AF">
        <w:t xml:space="preserve"> </w:t>
      </w:r>
      <w:r w:rsidRPr="002029AF">
        <w:t>may</w:t>
      </w:r>
      <w:r w:rsidR="000A5329" w:rsidRPr="002029AF">
        <w:t xml:space="preserve"> </w:t>
      </w:r>
      <w:r w:rsidRPr="002029AF">
        <w:t>be</w:t>
      </w:r>
      <w:r w:rsidR="000A5329" w:rsidRPr="002029AF">
        <w:t xml:space="preserve"> </w:t>
      </w:r>
      <w:r w:rsidRPr="002029AF">
        <w:t>extended</w:t>
      </w:r>
      <w:r w:rsidR="000A5329" w:rsidRPr="002029AF">
        <w:t xml:space="preserve"> </w:t>
      </w:r>
      <w:r w:rsidRPr="002029AF">
        <w:t>where</w:t>
      </w:r>
      <w:r w:rsidR="000A5329" w:rsidRPr="002029AF">
        <w:t xml:space="preserve"> </w:t>
      </w:r>
      <w:r w:rsidRPr="002029AF">
        <w:t>consultation</w:t>
      </w:r>
      <w:r w:rsidR="000A5329" w:rsidRPr="002029AF">
        <w:t xml:space="preserve"> </w:t>
      </w:r>
      <w:r w:rsidRPr="002029AF">
        <w:t>is</w:t>
      </w:r>
      <w:r w:rsidR="000A5329" w:rsidRPr="002029AF">
        <w:t xml:space="preserve"> </w:t>
      </w:r>
      <w:r w:rsidRPr="002029AF">
        <w:t>required</w:t>
      </w:r>
      <w:r w:rsidR="000A5329" w:rsidRPr="002029AF">
        <w:t xml:space="preserve"> </w:t>
      </w:r>
      <w:r w:rsidRPr="002029AF">
        <w:t>and</w:t>
      </w:r>
      <w:r w:rsidR="000A5329" w:rsidRPr="002029AF">
        <w:t xml:space="preserve"> </w:t>
      </w:r>
      <w:r w:rsidRPr="002029AF">
        <w:t>by</w:t>
      </w:r>
      <w:r w:rsidR="000A5329" w:rsidRPr="002029AF">
        <w:t xml:space="preserve"> </w:t>
      </w:r>
      <w:r w:rsidRPr="002029AF">
        <w:t>agreement</w:t>
      </w:r>
      <w:r w:rsidR="000A5329" w:rsidRPr="002029AF">
        <w:t xml:space="preserve"> </w:t>
      </w:r>
      <w:r w:rsidRPr="002029AF">
        <w:t>with</w:t>
      </w:r>
      <w:r w:rsidR="000A5329" w:rsidRPr="002029AF">
        <w:t xml:space="preserve"> </w:t>
      </w:r>
      <w:r w:rsidRPr="002029AF">
        <w:t>the</w:t>
      </w:r>
      <w:r w:rsidR="006F2C99" w:rsidRPr="002029AF">
        <w:t> </w:t>
      </w:r>
      <w:r w:rsidRPr="002029AF">
        <w:t>applicant.</w:t>
      </w:r>
    </w:p>
    <w:p w14:paraId="374F02D1" w14:textId="3C19D173" w:rsidR="00CF72D5" w:rsidRPr="002029AF" w:rsidRDefault="00CF72D5" w:rsidP="00897193">
      <w:pPr>
        <w:pStyle w:val="ARbody"/>
      </w:pPr>
      <w:r w:rsidRPr="002029AF">
        <w:t>If</w:t>
      </w:r>
      <w:r w:rsidR="000A5329" w:rsidRPr="002029AF">
        <w:t xml:space="preserve"> </w:t>
      </w:r>
      <w:r w:rsidRPr="002029AF">
        <w:t>an</w:t>
      </w:r>
      <w:r w:rsidR="000A5329" w:rsidRPr="002029AF">
        <w:t xml:space="preserve"> </w:t>
      </w:r>
      <w:r w:rsidRPr="002029AF">
        <w:t>applicant</w:t>
      </w:r>
      <w:r w:rsidR="000A5329" w:rsidRPr="002029AF">
        <w:t xml:space="preserve"> </w:t>
      </w:r>
      <w:r w:rsidRPr="002029AF">
        <w:t>is</w:t>
      </w:r>
      <w:r w:rsidR="000A5329" w:rsidRPr="002029AF">
        <w:t xml:space="preserve"> </w:t>
      </w:r>
      <w:r w:rsidRPr="002029AF">
        <w:t>not</w:t>
      </w:r>
      <w:r w:rsidR="000A5329" w:rsidRPr="002029AF">
        <w:t xml:space="preserve"> </w:t>
      </w:r>
      <w:r w:rsidRPr="002029AF">
        <w:t>satisfied</w:t>
      </w:r>
      <w:r w:rsidR="000A5329" w:rsidRPr="002029AF">
        <w:t xml:space="preserve"> </w:t>
      </w:r>
      <w:r w:rsidRPr="002029AF">
        <w:t>with</w:t>
      </w:r>
      <w:r w:rsidR="000A5329" w:rsidRPr="002029AF">
        <w:t xml:space="preserve"> </w:t>
      </w:r>
      <w:r w:rsidRPr="002029AF">
        <w:t>a</w:t>
      </w:r>
      <w:r w:rsidR="000A5329" w:rsidRPr="002029AF">
        <w:t xml:space="preserve"> </w:t>
      </w:r>
      <w:r w:rsidRPr="002029AF">
        <w:t>decision</w:t>
      </w:r>
      <w:r w:rsidR="000A5329" w:rsidRPr="002029AF">
        <w:t xml:space="preserve"> </w:t>
      </w:r>
      <w:r w:rsidRPr="002029AF">
        <w:t>made</w:t>
      </w:r>
      <w:r w:rsidR="000A5329" w:rsidRPr="002029AF">
        <w:t xml:space="preserve"> </w:t>
      </w:r>
      <w:r w:rsidRPr="002029AF">
        <w:t>by</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including</w:t>
      </w:r>
      <w:r w:rsidR="000A5329" w:rsidRPr="002029AF">
        <w:t xml:space="preserve"> </w:t>
      </w:r>
      <w:r w:rsidRPr="002029AF">
        <w:t>a</w:t>
      </w:r>
      <w:r w:rsidR="000A5329" w:rsidRPr="002029AF">
        <w:t xml:space="preserve"> </w:t>
      </w:r>
      <w:r w:rsidRPr="002029AF">
        <w:t>decision</w:t>
      </w:r>
      <w:r w:rsidR="000A5329" w:rsidRPr="002029AF">
        <w:t xml:space="preserve"> </w:t>
      </w:r>
      <w:r w:rsidRPr="002029AF">
        <w:t>regarding</w:t>
      </w:r>
      <w:r w:rsidR="000A5329" w:rsidRPr="002029AF">
        <w:t xml:space="preserve"> </w:t>
      </w:r>
      <w:r w:rsidRPr="002029AF">
        <w:t>whether</w:t>
      </w:r>
      <w:r w:rsidR="000A5329" w:rsidRPr="002029AF">
        <w:t xml:space="preserve"> </w:t>
      </w:r>
      <w:r w:rsidRPr="002029AF">
        <w:t>the</w:t>
      </w:r>
      <w:r w:rsidR="000A5329" w:rsidRPr="002029AF">
        <w:t xml:space="preserve"> </w:t>
      </w:r>
      <w:r w:rsidRPr="002029AF">
        <w:t>application</w:t>
      </w:r>
      <w:r w:rsidR="000A5329" w:rsidRPr="002029AF">
        <w:t xml:space="preserve"> </w:t>
      </w:r>
      <w:r w:rsidRPr="002029AF">
        <w:t>fee</w:t>
      </w:r>
      <w:r w:rsidR="000A5329" w:rsidRPr="002029AF">
        <w:t xml:space="preserve"> </w:t>
      </w:r>
      <w:r w:rsidRPr="002029AF">
        <w:t>is</w:t>
      </w:r>
      <w:r w:rsidR="000A5329" w:rsidRPr="002029AF">
        <w:t xml:space="preserve"> </w:t>
      </w:r>
      <w:r w:rsidRPr="002029AF">
        <w:t>to</w:t>
      </w:r>
      <w:r w:rsidR="000A5329" w:rsidRPr="002029AF">
        <w:t xml:space="preserve"> </w:t>
      </w:r>
      <w:r w:rsidRPr="002029AF">
        <w:t>be</w:t>
      </w:r>
      <w:r w:rsidR="000A5329" w:rsidRPr="002029AF">
        <w:t xml:space="preserve"> </w:t>
      </w:r>
      <w:r w:rsidRPr="002029AF">
        <w:t>waived,</w:t>
      </w:r>
      <w:r w:rsidR="000A5329" w:rsidRPr="002029AF">
        <w:t xml:space="preserve"> </w:t>
      </w:r>
      <w:r w:rsidRPr="002029AF">
        <w:t>the</w:t>
      </w:r>
      <w:r w:rsidR="000A5329" w:rsidRPr="002029AF">
        <w:t xml:space="preserve"> </w:t>
      </w:r>
      <w:r w:rsidRPr="002029AF">
        <w:t>applicant</w:t>
      </w:r>
      <w:r w:rsidR="000A5329" w:rsidRPr="002029AF">
        <w:t xml:space="preserve"> </w:t>
      </w:r>
      <w:r w:rsidRPr="002029AF">
        <w:t>has</w:t>
      </w:r>
      <w:r w:rsidR="000A5329" w:rsidRPr="002029AF">
        <w:t xml:space="preserve"> </w:t>
      </w:r>
      <w:r w:rsidRPr="002029AF">
        <w:t>the</w:t>
      </w:r>
      <w:r w:rsidR="000A5329" w:rsidRPr="002029AF">
        <w:t xml:space="preserve"> </w:t>
      </w:r>
      <w:r w:rsidRPr="002029AF">
        <w:t>right</w:t>
      </w:r>
      <w:r w:rsidR="000A5329" w:rsidRPr="002029AF">
        <w:t xml:space="preserve"> </w:t>
      </w:r>
      <w:r w:rsidRPr="002029AF">
        <w:t>to</w:t>
      </w:r>
      <w:r w:rsidR="000A5329" w:rsidRPr="002029AF">
        <w:t xml:space="preserve"> </w:t>
      </w:r>
      <w:r w:rsidRPr="002029AF">
        <w:t>seek</w:t>
      </w:r>
      <w:r w:rsidR="000A5329" w:rsidRPr="002029AF">
        <w:t xml:space="preserve"> </w:t>
      </w:r>
      <w:r w:rsidRPr="002029AF">
        <w:t>a</w:t>
      </w:r>
      <w:r w:rsidR="000A5329" w:rsidRPr="002029AF">
        <w:t xml:space="preserve"> </w:t>
      </w:r>
      <w:r w:rsidRPr="002029AF">
        <w:t>review</w:t>
      </w:r>
      <w:r w:rsidR="000A5329" w:rsidRPr="002029AF">
        <w:t xml:space="preserve"> </w:t>
      </w:r>
      <w:r w:rsidRPr="002029AF">
        <w:t>by</w:t>
      </w:r>
      <w:r w:rsidR="000A5329" w:rsidRPr="002029AF">
        <w:t xml:space="preserve"> </w:t>
      </w:r>
      <w:r w:rsidRPr="002029AF">
        <w:t>the</w:t>
      </w:r>
      <w:r w:rsidR="000A5329" w:rsidRPr="002029AF">
        <w:t xml:space="preserve"> </w:t>
      </w:r>
      <w:r w:rsidRPr="002029AF">
        <w:t>Office</w:t>
      </w:r>
      <w:r w:rsidR="000A5329" w:rsidRPr="002029AF">
        <w:t xml:space="preserve"> </w:t>
      </w:r>
      <w:r w:rsidRPr="002029AF">
        <w:t>of</w:t>
      </w:r>
      <w:r w:rsidR="000A5329" w:rsidRPr="002029AF">
        <w:t xml:space="preserve"> </w:t>
      </w:r>
      <w:r w:rsidRPr="002029AF">
        <w:t>the</w:t>
      </w:r>
      <w:r w:rsidR="000A5329" w:rsidRPr="002029AF">
        <w:t xml:space="preserve"> </w:t>
      </w:r>
      <w:r w:rsidRPr="002029AF">
        <w:t>Victorian</w:t>
      </w:r>
      <w:r w:rsidR="000A5329" w:rsidRPr="002029AF">
        <w:t xml:space="preserve"> </w:t>
      </w:r>
      <w:r w:rsidRPr="002029AF">
        <w:t>Information</w:t>
      </w:r>
      <w:r w:rsidR="000A5329" w:rsidRPr="002029AF">
        <w:t xml:space="preserve"> </w:t>
      </w:r>
      <w:r w:rsidRPr="002029AF">
        <w:t>Commissioner</w:t>
      </w:r>
      <w:r w:rsidR="000A5329" w:rsidRPr="002029AF">
        <w:t xml:space="preserve"> </w:t>
      </w:r>
      <w:r w:rsidRPr="002029AF">
        <w:t>within</w:t>
      </w:r>
      <w:r w:rsidR="000A5329" w:rsidRPr="002029AF">
        <w:t xml:space="preserve"> </w:t>
      </w:r>
      <w:r w:rsidRPr="002029AF">
        <w:t>28</w:t>
      </w:r>
      <w:r w:rsidR="000A5329" w:rsidRPr="002029AF">
        <w:t xml:space="preserve"> </w:t>
      </w:r>
      <w:r w:rsidRPr="002029AF">
        <w:t>days</w:t>
      </w:r>
      <w:r w:rsidR="000A5329" w:rsidRPr="002029AF">
        <w:t xml:space="preserve"> </w:t>
      </w:r>
      <w:r w:rsidRPr="002029AF">
        <w:t>of</w:t>
      </w:r>
      <w:r w:rsidR="000A5329" w:rsidRPr="002029AF">
        <w:t xml:space="preserve"> </w:t>
      </w:r>
      <w:r w:rsidRPr="002029AF">
        <w:t>receiving</w:t>
      </w:r>
      <w:r w:rsidR="000A5329" w:rsidRPr="002029AF">
        <w:t xml:space="preserve"> </w:t>
      </w:r>
      <w:r w:rsidRPr="002029AF">
        <w:t>a</w:t>
      </w:r>
      <w:r w:rsidR="000A5329" w:rsidRPr="002029AF">
        <w:t xml:space="preserve"> </w:t>
      </w:r>
      <w:r w:rsidRPr="002029AF">
        <w:t>decision</w:t>
      </w:r>
      <w:r w:rsidR="000A5329" w:rsidRPr="002029AF">
        <w:t xml:space="preserve"> </w:t>
      </w:r>
      <w:r w:rsidRPr="002029AF">
        <w:t>letter.</w:t>
      </w:r>
    </w:p>
    <w:p w14:paraId="6D2BCC70" w14:textId="63519B8F" w:rsidR="00CF72D5" w:rsidRPr="002029AF" w:rsidRDefault="00CF72D5" w:rsidP="00897193">
      <w:pPr>
        <w:pStyle w:val="Heading3"/>
      </w:pPr>
      <w:r w:rsidRPr="002029AF">
        <w:t>Making</w:t>
      </w:r>
      <w:r w:rsidR="000A5329" w:rsidRPr="002029AF">
        <w:t xml:space="preserve"> </w:t>
      </w:r>
      <w:r w:rsidRPr="002029AF">
        <w:t>a</w:t>
      </w:r>
      <w:r w:rsidR="000A5329" w:rsidRPr="002029AF">
        <w:t xml:space="preserve"> </w:t>
      </w:r>
      <w:r w:rsidRPr="002029AF">
        <w:t>request</w:t>
      </w:r>
    </w:p>
    <w:p w14:paraId="444ECD96" w14:textId="77B7A282" w:rsidR="00CF72D5" w:rsidRPr="002029AF" w:rsidRDefault="00CF72D5" w:rsidP="00897193">
      <w:pPr>
        <w:pStyle w:val="ARbody"/>
        <w:rPr>
          <w:lang w:eastAsia="en-AU"/>
        </w:rPr>
      </w:pPr>
      <w:r w:rsidRPr="002029AF">
        <w:rPr>
          <w:lang w:eastAsia="en-AU"/>
        </w:rPr>
        <w:t>Access</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documents</w:t>
      </w:r>
      <w:r w:rsidR="000A5329" w:rsidRPr="002029AF">
        <w:rPr>
          <w:lang w:eastAsia="en-AU"/>
        </w:rPr>
        <w:t xml:space="preserve"> </w:t>
      </w:r>
      <w:r w:rsidRPr="002029AF">
        <w:rPr>
          <w:lang w:eastAsia="en-AU"/>
        </w:rPr>
        <w:t>may</w:t>
      </w:r>
      <w:r w:rsidR="000A5329" w:rsidRPr="002029AF">
        <w:rPr>
          <w:lang w:eastAsia="en-AU"/>
        </w:rPr>
        <w:t xml:space="preserve"> </w:t>
      </w:r>
      <w:r w:rsidRPr="002029AF">
        <w:rPr>
          <w:lang w:eastAsia="en-AU"/>
        </w:rPr>
        <w:t>be</w:t>
      </w:r>
      <w:r w:rsidR="000A5329" w:rsidRPr="002029AF">
        <w:rPr>
          <w:lang w:eastAsia="en-AU"/>
        </w:rPr>
        <w:t xml:space="preserve"> </w:t>
      </w:r>
      <w:r w:rsidRPr="002029AF">
        <w:rPr>
          <w:lang w:eastAsia="en-AU"/>
        </w:rPr>
        <w:t>obtained</w:t>
      </w:r>
      <w:r w:rsidR="000A5329" w:rsidRPr="002029AF">
        <w:rPr>
          <w:lang w:eastAsia="en-AU"/>
        </w:rPr>
        <w:t xml:space="preserve"> </w:t>
      </w:r>
      <w:r w:rsidRPr="002029AF">
        <w:rPr>
          <w:lang w:eastAsia="en-AU"/>
        </w:rPr>
        <w:t>through</w:t>
      </w:r>
      <w:r w:rsidR="000A5329" w:rsidRPr="002029AF">
        <w:rPr>
          <w:lang w:eastAsia="en-AU"/>
        </w:rPr>
        <w:t xml:space="preserve"> </w:t>
      </w:r>
      <w:r w:rsidRPr="002029AF">
        <w:rPr>
          <w:lang w:eastAsia="en-AU"/>
        </w:rPr>
        <w:t>written</w:t>
      </w:r>
      <w:r w:rsidR="000A5329" w:rsidRPr="002029AF">
        <w:rPr>
          <w:lang w:eastAsia="en-AU"/>
        </w:rPr>
        <w:t xml:space="preserve"> </w:t>
      </w:r>
      <w:r w:rsidRPr="002029AF">
        <w:rPr>
          <w:lang w:eastAsia="en-AU"/>
        </w:rPr>
        <w:t>request</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department’s</w:t>
      </w:r>
      <w:r w:rsidR="000A5329" w:rsidRPr="002029AF">
        <w:rPr>
          <w:lang w:eastAsia="en-AU"/>
        </w:rPr>
        <w:t xml:space="preserve"> </w:t>
      </w:r>
      <w:r w:rsidRPr="002029AF">
        <w:rPr>
          <w:lang w:eastAsia="en-AU"/>
        </w:rPr>
        <w:t>Freedom</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Information</w:t>
      </w:r>
      <w:r w:rsidR="000A5329" w:rsidRPr="002029AF">
        <w:rPr>
          <w:lang w:eastAsia="en-AU"/>
        </w:rPr>
        <w:t xml:space="preserve"> </w:t>
      </w:r>
      <w:r w:rsidRPr="002029AF">
        <w:rPr>
          <w:lang w:eastAsia="en-AU"/>
        </w:rPr>
        <w:t>Unit,</w:t>
      </w:r>
      <w:r w:rsidR="000A5329" w:rsidRPr="002029AF">
        <w:rPr>
          <w:lang w:eastAsia="en-AU"/>
        </w:rPr>
        <w:t xml:space="preserve"> </w:t>
      </w:r>
      <w:r w:rsidRPr="002029AF">
        <w:rPr>
          <w:lang w:eastAsia="en-AU"/>
        </w:rPr>
        <w:t>pursuant</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s.</w:t>
      </w:r>
      <w:r w:rsidR="000A5329" w:rsidRPr="002029AF">
        <w:rPr>
          <w:lang w:eastAsia="en-AU"/>
        </w:rPr>
        <w:t xml:space="preserve"> </w:t>
      </w:r>
      <w:r w:rsidRPr="002029AF">
        <w:rPr>
          <w:lang w:eastAsia="en-AU"/>
        </w:rPr>
        <w:t>17</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Act.</w:t>
      </w:r>
    </w:p>
    <w:p w14:paraId="1E31D8B9" w14:textId="721BD933" w:rsidR="00CF72D5" w:rsidRPr="002029AF" w:rsidRDefault="00CF72D5" w:rsidP="00897193">
      <w:pPr>
        <w:pStyle w:val="ARbody"/>
        <w:rPr>
          <w:lang w:eastAsia="en-AU"/>
        </w:rPr>
      </w:pPr>
      <w:r w:rsidRPr="002029AF">
        <w:rPr>
          <w:lang w:eastAsia="en-AU"/>
        </w:rPr>
        <w:t>In</w:t>
      </w:r>
      <w:r w:rsidR="000A5329" w:rsidRPr="002029AF">
        <w:rPr>
          <w:lang w:eastAsia="en-AU"/>
        </w:rPr>
        <w:t xml:space="preserve"> </w:t>
      </w:r>
      <w:r w:rsidRPr="002029AF">
        <w:rPr>
          <w:lang w:eastAsia="en-AU"/>
        </w:rPr>
        <w:t>summary,</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requirements</w:t>
      </w:r>
      <w:r w:rsidR="000A5329" w:rsidRPr="002029AF">
        <w:rPr>
          <w:lang w:eastAsia="en-AU"/>
        </w:rPr>
        <w:t xml:space="preserve"> </w:t>
      </w:r>
      <w:r w:rsidRPr="002029AF">
        <w:rPr>
          <w:lang w:eastAsia="en-AU"/>
        </w:rPr>
        <w:t>for</w:t>
      </w:r>
      <w:r w:rsidR="000A5329" w:rsidRPr="002029AF">
        <w:rPr>
          <w:lang w:eastAsia="en-AU"/>
        </w:rPr>
        <w:t xml:space="preserve"> </w:t>
      </w:r>
      <w:r w:rsidRPr="002029AF">
        <w:rPr>
          <w:lang w:eastAsia="en-AU"/>
        </w:rPr>
        <w:t>making</w:t>
      </w:r>
      <w:r w:rsidR="000A5329" w:rsidRPr="002029AF">
        <w:rPr>
          <w:lang w:eastAsia="en-AU"/>
        </w:rPr>
        <w:t xml:space="preserve"> </w:t>
      </w:r>
      <w:r w:rsidRPr="002029AF">
        <w:rPr>
          <w:lang w:eastAsia="en-AU"/>
        </w:rPr>
        <w:t>a</w:t>
      </w:r>
      <w:r w:rsidR="000A5329" w:rsidRPr="002029AF">
        <w:rPr>
          <w:lang w:eastAsia="en-AU"/>
        </w:rPr>
        <w:t xml:space="preserve"> </w:t>
      </w:r>
      <w:r w:rsidRPr="002029AF">
        <w:rPr>
          <w:lang w:eastAsia="en-AU"/>
        </w:rPr>
        <w:t>request</w:t>
      </w:r>
      <w:r w:rsidR="006F2C99" w:rsidRPr="002029AF">
        <w:rPr>
          <w:lang w:eastAsia="en-AU"/>
        </w:rPr>
        <w:t> </w:t>
      </w:r>
      <w:r w:rsidRPr="002029AF">
        <w:rPr>
          <w:lang w:eastAsia="en-AU"/>
        </w:rPr>
        <w:t>are:</w:t>
      </w:r>
    </w:p>
    <w:p w14:paraId="7953F3E4" w14:textId="41656EBF" w:rsidR="00CF72D5" w:rsidRPr="002029AF" w:rsidRDefault="00CF72D5" w:rsidP="00897193">
      <w:pPr>
        <w:pStyle w:val="ARbullet1"/>
        <w:rPr>
          <w:lang w:eastAsia="en-AU"/>
        </w:rPr>
      </w:pPr>
      <w:r w:rsidRPr="002029AF">
        <w:rPr>
          <w:lang w:eastAsia="en-AU"/>
        </w:rPr>
        <w:t>it</w:t>
      </w:r>
      <w:r w:rsidR="000A5329" w:rsidRPr="002029AF">
        <w:rPr>
          <w:lang w:eastAsia="en-AU"/>
        </w:rPr>
        <w:t xml:space="preserve"> </w:t>
      </w:r>
      <w:r w:rsidRPr="002029AF">
        <w:rPr>
          <w:lang w:eastAsia="en-AU"/>
        </w:rPr>
        <w:t>must</w:t>
      </w:r>
      <w:r w:rsidR="000A5329" w:rsidRPr="002029AF">
        <w:rPr>
          <w:lang w:eastAsia="en-AU"/>
        </w:rPr>
        <w:t xml:space="preserve"> </w:t>
      </w:r>
      <w:r w:rsidRPr="002029AF">
        <w:rPr>
          <w:lang w:eastAsia="en-AU"/>
        </w:rPr>
        <w:t>be</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writing</w:t>
      </w:r>
    </w:p>
    <w:p w14:paraId="24C064FF" w14:textId="61D7538C" w:rsidR="00CF72D5" w:rsidRPr="002029AF" w:rsidRDefault="00CF72D5" w:rsidP="00897193">
      <w:pPr>
        <w:pStyle w:val="ARbullet1"/>
        <w:rPr>
          <w:lang w:eastAsia="en-AU"/>
        </w:rPr>
      </w:pPr>
      <w:r w:rsidRPr="002029AF">
        <w:rPr>
          <w:lang w:eastAsia="en-AU"/>
        </w:rPr>
        <w:t>it</w:t>
      </w:r>
      <w:r w:rsidR="000A5329" w:rsidRPr="002029AF">
        <w:rPr>
          <w:lang w:eastAsia="en-AU"/>
        </w:rPr>
        <w:t xml:space="preserve"> </w:t>
      </w:r>
      <w:r w:rsidRPr="002029AF">
        <w:rPr>
          <w:lang w:eastAsia="en-AU"/>
        </w:rPr>
        <w:t>should</w:t>
      </w:r>
      <w:r w:rsidR="000A5329" w:rsidRPr="002029AF">
        <w:rPr>
          <w:lang w:eastAsia="en-AU"/>
        </w:rPr>
        <w:t xml:space="preserve"> </w:t>
      </w:r>
      <w:r w:rsidRPr="002029AF">
        <w:rPr>
          <w:lang w:eastAsia="en-AU"/>
        </w:rPr>
        <w:t>provide</w:t>
      </w:r>
      <w:r w:rsidR="000A5329" w:rsidRPr="002029AF">
        <w:rPr>
          <w:lang w:eastAsia="en-AU"/>
        </w:rPr>
        <w:t xml:space="preserve"> </w:t>
      </w:r>
      <w:r w:rsidRPr="002029AF">
        <w:rPr>
          <w:lang w:eastAsia="en-AU"/>
        </w:rPr>
        <w:t>such</w:t>
      </w:r>
      <w:r w:rsidR="000A5329" w:rsidRPr="002029AF">
        <w:rPr>
          <w:lang w:eastAsia="en-AU"/>
        </w:rPr>
        <w:t xml:space="preserve"> </w:t>
      </w:r>
      <w:r w:rsidRPr="002029AF">
        <w:rPr>
          <w:lang w:eastAsia="en-AU"/>
        </w:rPr>
        <w:t>information</w:t>
      </w:r>
      <w:r w:rsidR="000A5329" w:rsidRPr="002029AF">
        <w:rPr>
          <w:lang w:eastAsia="en-AU"/>
        </w:rPr>
        <w:t xml:space="preserve"> </w:t>
      </w:r>
      <w:r w:rsidRPr="002029AF">
        <w:rPr>
          <w:lang w:eastAsia="en-AU"/>
        </w:rPr>
        <w:t>concerning</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document</w:t>
      </w:r>
      <w:r w:rsidR="000A5329" w:rsidRPr="002029AF">
        <w:rPr>
          <w:lang w:eastAsia="en-AU"/>
        </w:rPr>
        <w:t xml:space="preserve"> </w:t>
      </w:r>
      <w:r w:rsidRPr="002029AF">
        <w:rPr>
          <w:lang w:eastAsia="en-AU"/>
        </w:rPr>
        <w:t>as</w:t>
      </w:r>
      <w:r w:rsidR="000A5329" w:rsidRPr="002029AF">
        <w:rPr>
          <w:lang w:eastAsia="en-AU"/>
        </w:rPr>
        <w:t xml:space="preserve"> </w:t>
      </w:r>
      <w:r w:rsidRPr="002029AF">
        <w:rPr>
          <w:lang w:eastAsia="en-AU"/>
        </w:rPr>
        <w:t>is</w:t>
      </w:r>
      <w:r w:rsidR="000A5329" w:rsidRPr="002029AF">
        <w:rPr>
          <w:lang w:eastAsia="en-AU"/>
        </w:rPr>
        <w:t xml:space="preserve"> </w:t>
      </w:r>
      <w:r w:rsidRPr="002029AF">
        <w:rPr>
          <w:lang w:eastAsia="en-AU"/>
        </w:rPr>
        <w:t>reasonably</w:t>
      </w:r>
      <w:r w:rsidR="000A5329" w:rsidRPr="002029AF">
        <w:rPr>
          <w:lang w:eastAsia="en-AU"/>
        </w:rPr>
        <w:t xml:space="preserve"> </w:t>
      </w:r>
      <w:r w:rsidRPr="002029AF">
        <w:rPr>
          <w:lang w:eastAsia="en-AU"/>
        </w:rPr>
        <w:t>necessary</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enable</w:t>
      </w:r>
      <w:r w:rsidR="000A5329" w:rsidRPr="002029AF">
        <w:rPr>
          <w:lang w:eastAsia="en-AU"/>
        </w:rPr>
        <w:t xml:space="preserve"> </w:t>
      </w:r>
      <w:r w:rsidRPr="002029AF">
        <w:rPr>
          <w:lang w:eastAsia="en-AU"/>
        </w:rPr>
        <w:t>identification</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document</w:t>
      </w:r>
    </w:p>
    <w:p w14:paraId="03EF4529" w14:textId="050B2818" w:rsidR="00CF72D5" w:rsidRPr="002029AF" w:rsidRDefault="00CF72D5" w:rsidP="00897193">
      <w:pPr>
        <w:pStyle w:val="ARbullet1"/>
        <w:rPr>
          <w:lang w:eastAsia="en-AU"/>
        </w:rPr>
      </w:pPr>
      <w:r w:rsidRPr="002029AF">
        <w:rPr>
          <w:lang w:eastAsia="en-AU"/>
        </w:rPr>
        <w:t>it</w:t>
      </w:r>
      <w:r w:rsidR="000A5329" w:rsidRPr="002029AF">
        <w:rPr>
          <w:lang w:eastAsia="en-AU"/>
        </w:rPr>
        <w:t xml:space="preserve"> </w:t>
      </w:r>
      <w:r w:rsidRPr="002029AF">
        <w:rPr>
          <w:lang w:eastAsia="en-AU"/>
        </w:rPr>
        <w:t>should</w:t>
      </w:r>
      <w:r w:rsidR="000A5329" w:rsidRPr="002029AF">
        <w:rPr>
          <w:lang w:eastAsia="en-AU"/>
        </w:rPr>
        <w:t xml:space="preserve"> </w:t>
      </w:r>
      <w:r w:rsidRPr="002029AF">
        <w:rPr>
          <w:lang w:eastAsia="en-AU"/>
        </w:rPr>
        <w:t>be</w:t>
      </w:r>
      <w:r w:rsidR="000A5329" w:rsidRPr="002029AF">
        <w:rPr>
          <w:lang w:eastAsia="en-AU"/>
        </w:rPr>
        <w:t xml:space="preserve"> </w:t>
      </w:r>
      <w:r w:rsidRPr="002029AF">
        <w:rPr>
          <w:lang w:eastAsia="en-AU"/>
        </w:rPr>
        <w:t>accompanied</w:t>
      </w:r>
      <w:r w:rsidR="000A5329" w:rsidRPr="002029AF">
        <w:rPr>
          <w:lang w:eastAsia="en-AU"/>
        </w:rPr>
        <w:t xml:space="preserve"> </w:t>
      </w:r>
      <w:r w:rsidRPr="002029AF">
        <w:rPr>
          <w:lang w:eastAsia="en-AU"/>
        </w:rPr>
        <w:t>by</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application</w:t>
      </w:r>
      <w:r w:rsidR="000A5329" w:rsidRPr="002029AF">
        <w:rPr>
          <w:lang w:eastAsia="en-AU"/>
        </w:rPr>
        <w:t xml:space="preserve"> </w:t>
      </w:r>
      <w:r w:rsidRPr="002029AF">
        <w:rPr>
          <w:lang w:eastAsia="en-AU"/>
        </w:rPr>
        <w:t>fee</w:t>
      </w:r>
      <w:r w:rsidR="003048F1">
        <w:rPr>
          <w:lang w:eastAsia="en-AU"/>
        </w:rPr>
        <w:t> </w:t>
      </w:r>
      <w:r w:rsidRPr="002029AF">
        <w:rPr>
          <w:lang w:eastAsia="en-AU"/>
        </w:rPr>
        <w:t>of</w:t>
      </w:r>
      <w:r w:rsidR="000A5329" w:rsidRPr="002029AF">
        <w:rPr>
          <w:lang w:eastAsia="en-AU"/>
        </w:rPr>
        <w:t xml:space="preserve"> </w:t>
      </w:r>
      <w:r w:rsidRPr="002029AF">
        <w:rPr>
          <w:lang w:eastAsia="en-AU"/>
        </w:rPr>
        <w:t>$29.60</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fee</w:t>
      </w:r>
      <w:r w:rsidR="000A5329" w:rsidRPr="002029AF">
        <w:rPr>
          <w:lang w:eastAsia="en-AU"/>
        </w:rPr>
        <w:t xml:space="preserve"> </w:t>
      </w:r>
      <w:r w:rsidRPr="002029AF">
        <w:rPr>
          <w:lang w:eastAsia="en-AU"/>
        </w:rPr>
        <w:t>may</w:t>
      </w:r>
      <w:r w:rsidR="000A5329" w:rsidRPr="002029AF">
        <w:rPr>
          <w:lang w:eastAsia="en-AU"/>
        </w:rPr>
        <w:t xml:space="preserve"> </w:t>
      </w:r>
      <w:r w:rsidRPr="002029AF">
        <w:rPr>
          <w:lang w:eastAsia="en-AU"/>
        </w:rPr>
        <w:t>be</w:t>
      </w:r>
      <w:r w:rsidR="000A5329" w:rsidRPr="002029AF">
        <w:rPr>
          <w:lang w:eastAsia="en-AU"/>
        </w:rPr>
        <w:t xml:space="preserve"> </w:t>
      </w:r>
      <w:r w:rsidRPr="002029AF">
        <w:rPr>
          <w:lang w:eastAsia="en-AU"/>
        </w:rPr>
        <w:t>waived</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certain</w:t>
      </w:r>
      <w:r w:rsidR="000A5329" w:rsidRPr="002029AF">
        <w:rPr>
          <w:lang w:eastAsia="en-AU"/>
        </w:rPr>
        <w:t xml:space="preserve"> </w:t>
      </w:r>
      <w:r w:rsidRPr="002029AF">
        <w:rPr>
          <w:lang w:eastAsia="en-AU"/>
        </w:rPr>
        <w:t>circumstances).</w:t>
      </w:r>
    </w:p>
    <w:p w14:paraId="0D3CE40E" w14:textId="6B68FE53" w:rsidR="00CF72D5" w:rsidRPr="002029AF" w:rsidRDefault="00CF72D5" w:rsidP="00897193">
      <w:pPr>
        <w:pStyle w:val="ARbodyafterbullets"/>
        <w:rPr>
          <w:lang w:eastAsia="en-AU"/>
        </w:rPr>
      </w:pPr>
      <w:r w:rsidRPr="002029AF">
        <w:rPr>
          <w:lang w:eastAsia="en-AU"/>
        </w:rPr>
        <w:t>Requests</w:t>
      </w:r>
      <w:r w:rsidR="000A5329" w:rsidRPr="002029AF">
        <w:rPr>
          <w:lang w:eastAsia="en-AU"/>
        </w:rPr>
        <w:t xml:space="preserve"> </w:t>
      </w:r>
      <w:r w:rsidRPr="002029AF">
        <w:rPr>
          <w:lang w:eastAsia="en-AU"/>
        </w:rPr>
        <w:t>for</w:t>
      </w:r>
      <w:r w:rsidR="000A5329" w:rsidRPr="002029AF">
        <w:rPr>
          <w:lang w:eastAsia="en-AU"/>
        </w:rPr>
        <w:t xml:space="preserve"> </w:t>
      </w:r>
      <w:r w:rsidRPr="002029AF">
        <w:rPr>
          <w:lang w:eastAsia="en-AU"/>
        </w:rPr>
        <w:t>documents</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possession</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department</w:t>
      </w:r>
      <w:r w:rsidR="000A5329" w:rsidRPr="002029AF">
        <w:rPr>
          <w:lang w:eastAsia="en-AU"/>
        </w:rPr>
        <w:t xml:space="preserve"> </w:t>
      </w:r>
      <w:r w:rsidRPr="002029AF">
        <w:rPr>
          <w:lang w:eastAsia="en-AU"/>
        </w:rPr>
        <w:t>should</w:t>
      </w:r>
      <w:r w:rsidR="000A5329" w:rsidRPr="002029AF">
        <w:rPr>
          <w:lang w:eastAsia="en-AU"/>
        </w:rPr>
        <w:t xml:space="preserve"> </w:t>
      </w:r>
      <w:r w:rsidRPr="002029AF">
        <w:rPr>
          <w:lang w:eastAsia="en-AU"/>
        </w:rPr>
        <w:t>be</w:t>
      </w:r>
      <w:r w:rsidR="000A5329" w:rsidRPr="002029AF">
        <w:rPr>
          <w:lang w:eastAsia="en-AU"/>
        </w:rPr>
        <w:t xml:space="preserve"> </w:t>
      </w:r>
      <w:r w:rsidRPr="002029AF">
        <w:rPr>
          <w:lang w:eastAsia="en-AU"/>
        </w:rPr>
        <w:t>addressed</w:t>
      </w:r>
      <w:r w:rsidR="000A5329" w:rsidRPr="002029AF">
        <w:rPr>
          <w:lang w:eastAsia="en-AU"/>
        </w:rPr>
        <w:t xml:space="preserve"> </w:t>
      </w:r>
      <w:r w:rsidRPr="002029AF">
        <w:rPr>
          <w:lang w:eastAsia="en-AU"/>
        </w:rPr>
        <w:t>to:</w:t>
      </w:r>
    </w:p>
    <w:p w14:paraId="74059C5D" w14:textId="66D298B6" w:rsidR="00CF72D5" w:rsidRPr="002029AF" w:rsidRDefault="00CF72D5" w:rsidP="00897193">
      <w:pPr>
        <w:pStyle w:val="ARbodynospace"/>
      </w:pPr>
      <w:r w:rsidRPr="002029AF">
        <w:t>Freedom</w:t>
      </w:r>
      <w:r w:rsidR="000A5329" w:rsidRPr="002029AF">
        <w:t xml:space="preserve"> </w:t>
      </w:r>
      <w:r w:rsidRPr="002029AF">
        <w:t>of</w:t>
      </w:r>
      <w:r w:rsidR="000A5329" w:rsidRPr="002029AF">
        <w:t xml:space="preserve"> </w:t>
      </w:r>
      <w:r w:rsidRPr="002029AF">
        <w:t>Information</w:t>
      </w:r>
      <w:r w:rsidR="000A5329" w:rsidRPr="002029AF">
        <w:t xml:space="preserve"> </w:t>
      </w:r>
      <w:r w:rsidRPr="002029AF">
        <w:t>Unit</w:t>
      </w:r>
    </w:p>
    <w:p w14:paraId="164C8D3B" w14:textId="455056FB" w:rsidR="00CF72D5" w:rsidRPr="002029AF" w:rsidRDefault="00CF72D5" w:rsidP="00897193">
      <w:pPr>
        <w:pStyle w:val="ARbodynospace"/>
      </w:pPr>
      <w:r w:rsidRPr="002029AF">
        <w:t>Department</w:t>
      </w:r>
      <w:r w:rsidR="000A5329" w:rsidRPr="002029AF">
        <w:t xml:space="preserve"> </w:t>
      </w:r>
      <w:r w:rsidRPr="002029AF">
        <w:t>of</w:t>
      </w:r>
      <w:r w:rsidR="000A5329" w:rsidRPr="002029AF">
        <w:t xml:space="preserve"> </w:t>
      </w:r>
      <w:r w:rsidRPr="002029AF">
        <w:t>Health</w:t>
      </w:r>
      <w:r w:rsidR="000A5329" w:rsidRPr="002029AF">
        <w:t xml:space="preserve"> </w:t>
      </w:r>
      <w:r w:rsidRPr="002029AF">
        <w:t>and</w:t>
      </w:r>
      <w:r w:rsidR="000A5329" w:rsidRPr="002029AF">
        <w:t xml:space="preserve"> </w:t>
      </w:r>
      <w:r w:rsidRPr="002029AF">
        <w:t>Human</w:t>
      </w:r>
      <w:r w:rsidR="000A5329" w:rsidRPr="002029AF">
        <w:t xml:space="preserve"> </w:t>
      </w:r>
      <w:r w:rsidRPr="002029AF">
        <w:t>Services</w:t>
      </w:r>
    </w:p>
    <w:p w14:paraId="11D2C436" w14:textId="7562EF05" w:rsidR="00CF72D5" w:rsidRPr="002029AF" w:rsidRDefault="00CF72D5" w:rsidP="00897193">
      <w:pPr>
        <w:pStyle w:val="ARbodynospace"/>
      </w:pPr>
      <w:r w:rsidRPr="002029AF">
        <w:t>GPO</w:t>
      </w:r>
      <w:r w:rsidR="000A5329" w:rsidRPr="002029AF">
        <w:t xml:space="preserve"> </w:t>
      </w:r>
      <w:r w:rsidRPr="002029AF">
        <w:t>Box</w:t>
      </w:r>
      <w:r w:rsidR="000A5329" w:rsidRPr="002029AF">
        <w:t xml:space="preserve"> </w:t>
      </w:r>
      <w:r w:rsidRPr="002029AF">
        <w:t>4057</w:t>
      </w:r>
    </w:p>
    <w:p w14:paraId="5DBE12CC" w14:textId="075A7A13" w:rsidR="00CF72D5" w:rsidRPr="002029AF" w:rsidRDefault="00CF72D5" w:rsidP="00897193">
      <w:pPr>
        <w:pStyle w:val="ARbody"/>
      </w:pPr>
      <w:r w:rsidRPr="002029AF">
        <w:t>Melbourne</w:t>
      </w:r>
      <w:r w:rsidR="000A5329" w:rsidRPr="002029AF">
        <w:t xml:space="preserve"> </w:t>
      </w:r>
      <w:r w:rsidRPr="002029AF">
        <w:t>VIC</w:t>
      </w:r>
      <w:r w:rsidR="000A5329" w:rsidRPr="002029AF">
        <w:t xml:space="preserve"> </w:t>
      </w:r>
      <w:r w:rsidRPr="002029AF">
        <w:t>3001</w:t>
      </w:r>
    </w:p>
    <w:p w14:paraId="5FE40B60" w14:textId="7FB16BF5" w:rsidR="00CF72D5" w:rsidRPr="002029AF" w:rsidRDefault="00AE20EC" w:rsidP="00B95D52">
      <w:pPr>
        <w:pStyle w:val="ARbody"/>
        <w:rPr>
          <w:b/>
        </w:rPr>
      </w:pPr>
      <w:r w:rsidRPr="002029AF">
        <w:br w:type="column"/>
      </w:r>
      <w:r w:rsidR="00CF72D5" w:rsidRPr="002029AF">
        <w:lastRenderedPageBreak/>
        <w:t>Requests</w:t>
      </w:r>
      <w:r w:rsidR="000A5329" w:rsidRPr="002029AF">
        <w:t xml:space="preserve"> </w:t>
      </w:r>
      <w:r w:rsidR="00CF72D5" w:rsidRPr="002029AF">
        <w:t>and</w:t>
      </w:r>
      <w:r w:rsidR="000A5329" w:rsidRPr="002029AF">
        <w:t xml:space="preserve"> </w:t>
      </w:r>
      <w:r w:rsidR="00CF72D5" w:rsidRPr="002029AF">
        <w:t>payment</w:t>
      </w:r>
      <w:r w:rsidR="000A5329" w:rsidRPr="002029AF">
        <w:t xml:space="preserve"> </w:t>
      </w:r>
      <w:r w:rsidR="00CF72D5" w:rsidRPr="002029AF">
        <w:t>of</w:t>
      </w:r>
      <w:r w:rsidR="000A5329" w:rsidRPr="002029AF">
        <w:t xml:space="preserve"> </w:t>
      </w:r>
      <w:r w:rsidR="00CF72D5" w:rsidRPr="002029AF">
        <w:t>the</w:t>
      </w:r>
      <w:r w:rsidR="000A5329" w:rsidRPr="002029AF">
        <w:t xml:space="preserve"> </w:t>
      </w:r>
      <w:r w:rsidR="00CF72D5" w:rsidRPr="002029AF">
        <w:t>application</w:t>
      </w:r>
      <w:r w:rsidR="000A5329" w:rsidRPr="002029AF">
        <w:t xml:space="preserve"> </w:t>
      </w:r>
      <w:r w:rsidR="00CF72D5" w:rsidRPr="002029AF">
        <w:t>fee</w:t>
      </w:r>
      <w:r w:rsidR="000A5329" w:rsidRPr="002029AF">
        <w:t xml:space="preserve"> </w:t>
      </w:r>
      <w:r w:rsidR="00CF72D5" w:rsidRPr="002029AF">
        <w:t>can</w:t>
      </w:r>
      <w:r w:rsidR="006F2C99" w:rsidRPr="002029AF">
        <w:t> </w:t>
      </w:r>
      <w:r w:rsidR="00CF72D5" w:rsidRPr="002029AF">
        <w:t>also</w:t>
      </w:r>
      <w:r w:rsidR="000A5329" w:rsidRPr="002029AF">
        <w:t xml:space="preserve"> </w:t>
      </w:r>
      <w:r w:rsidR="00CF72D5" w:rsidRPr="002029AF">
        <w:t>be</w:t>
      </w:r>
      <w:r w:rsidR="000A5329" w:rsidRPr="002029AF">
        <w:t xml:space="preserve"> </w:t>
      </w:r>
      <w:r w:rsidR="00CF72D5" w:rsidRPr="002029AF">
        <w:t>lodged</w:t>
      </w:r>
      <w:r w:rsidR="000A5329" w:rsidRPr="002029AF">
        <w:t xml:space="preserve"> </w:t>
      </w:r>
      <w:r w:rsidR="00CF72D5" w:rsidRPr="002029AF">
        <w:t>online</w:t>
      </w:r>
      <w:r w:rsidR="000A5329" w:rsidRPr="002029AF">
        <w:t xml:space="preserve"> </w:t>
      </w:r>
      <w:r w:rsidR="00CF72D5" w:rsidRPr="002029AF">
        <w:t>with</w:t>
      </w:r>
      <w:r w:rsidR="000A5329" w:rsidRPr="002029AF">
        <w:t xml:space="preserve"> </w:t>
      </w:r>
      <w:r w:rsidR="00CF72D5" w:rsidRPr="002029AF">
        <w:t>the</w:t>
      </w:r>
      <w:r w:rsidR="000A5329" w:rsidRPr="002029AF">
        <w:t xml:space="preserve"> </w:t>
      </w:r>
      <w:hyperlink r:id="rId172" w:history="1">
        <w:r w:rsidR="00CF72D5" w:rsidRPr="002029AF">
          <w:rPr>
            <w:rStyle w:val="Hyperlink"/>
            <w:szCs w:val="20"/>
          </w:rPr>
          <w:t>Office</w:t>
        </w:r>
        <w:r w:rsidR="000A5329" w:rsidRPr="002029AF">
          <w:rPr>
            <w:rStyle w:val="Hyperlink"/>
            <w:szCs w:val="20"/>
          </w:rPr>
          <w:t xml:space="preserve"> </w:t>
        </w:r>
        <w:r w:rsidR="00CF72D5" w:rsidRPr="002029AF">
          <w:rPr>
            <w:rStyle w:val="Hyperlink"/>
            <w:szCs w:val="20"/>
          </w:rPr>
          <w:t>of</w:t>
        </w:r>
        <w:r w:rsidR="000A5329" w:rsidRPr="002029AF">
          <w:rPr>
            <w:rStyle w:val="Hyperlink"/>
            <w:szCs w:val="20"/>
          </w:rPr>
          <w:t xml:space="preserve"> </w:t>
        </w:r>
        <w:r w:rsidR="00CF72D5" w:rsidRPr="002029AF">
          <w:rPr>
            <w:rStyle w:val="Hyperlink"/>
            <w:szCs w:val="20"/>
          </w:rPr>
          <w:t>the</w:t>
        </w:r>
        <w:r w:rsidR="000A5329" w:rsidRPr="002029AF">
          <w:rPr>
            <w:rStyle w:val="Hyperlink"/>
            <w:szCs w:val="20"/>
          </w:rPr>
          <w:t xml:space="preserve"> </w:t>
        </w:r>
        <w:r w:rsidR="00CF72D5" w:rsidRPr="002029AF">
          <w:rPr>
            <w:rStyle w:val="Hyperlink"/>
            <w:szCs w:val="20"/>
          </w:rPr>
          <w:t>Victorian</w:t>
        </w:r>
        <w:r w:rsidR="000A5329" w:rsidRPr="002029AF">
          <w:rPr>
            <w:rStyle w:val="Hyperlink"/>
            <w:szCs w:val="20"/>
          </w:rPr>
          <w:t xml:space="preserve"> </w:t>
        </w:r>
        <w:r w:rsidR="00CF72D5" w:rsidRPr="002029AF">
          <w:rPr>
            <w:rStyle w:val="Hyperlink"/>
            <w:szCs w:val="20"/>
          </w:rPr>
          <w:t>Information</w:t>
        </w:r>
        <w:r w:rsidR="000A5329" w:rsidRPr="002029AF">
          <w:rPr>
            <w:rStyle w:val="Hyperlink"/>
            <w:szCs w:val="20"/>
          </w:rPr>
          <w:t xml:space="preserve"> </w:t>
        </w:r>
        <w:r w:rsidR="00CF72D5" w:rsidRPr="002029AF">
          <w:rPr>
            <w:rStyle w:val="Hyperlink"/>
            <w:szCs w:val="20"/>
          </w:rPr>
          <w:t>Commissioner</w:t>
        </w:r>
      </w:hyperlink>
      <w:r w:rsidR="000A5329" w:rsidRPr="002029AF">
        <w:t xml:space="preserve"> </w:t>
      </w:r>
      <w:r w:rsidR="00CF72D5" w:rsidRPr="002029AF">
        <w:t>&lt;https://ovic.vic.gov.au/&gt;.</w:t>
      </w:r>
    </w:p>
    <w:p w14:paraId="4A9557F6" w14:textId="7694D9D2" w:rsidR="00CF72D5" w:rsidRPr="00B95D52" w:rsidRDefault="00CF72D5" w:rsidP="00B95D52">
      <w:pPr>
        <w:pStyle w:val="ARbody"/>
      </w:pPr>
      <w:r w:rsidRPr="002029AF">
        <w:t>Telephone</w:t>
      </w:r>
      <w:r w:rsidR="000A5329" w:rsidRPr="002029AF">
        <w:t xml:space="preserve"> </w:t>
      </w:r>
      <w:r w:rsidRPr="00B95D52">
        <w:t>enquiries</w:t>
      </w:r>
      <w:r w:rsidR="000A5329" w:rsidRPr="00B95D52">
        <w:t xml:space="preserve"> </w:t>
      </w:r>
      <w:r w:rsidRPr="00B95D52">
        <w:t>can</w:t>
      </w:r>
      <w:r w:rsidR="000A5329" w:rsidRPr="00B95D52">
        <w:t xml:space="preserve"> </w:t>
      </w:r>
      <w:r w:rsidRPr="00B95D52">
        <w:t>be</w:t>
      </w:r>
      <w:r w:rsidR="000A5329" w:rsidRPr="00B95D52">
        <w:t xml:space="preserve"> </w:t>
      </w:r>
      <w:r w:rsidRPr="00B95D52">
        <w:t>made</w:t>
      </w:r>
      <w:r w:rsidR="000A5329" w:rsidRPr="00B95D52">
        <w:t xml:space="preserve"> </w:t>
      </w:r>
      <w:r w:rsidRPr="00B95D52">
        <w:t>by</w:t>
      </w:r>
      <w:r w:rsidR="000A5329" w:rsidRPr="00B95D52">
        <w:t xml:space="preserve"> </w:t>
      </w:r>
      <w:r w:rsidRPr="00B95D52">
        <w:t>calling</w:t>
      </w:r>
      <w:r w:rsidR="000A5329" w:rsidRPr="00B95D52">
        <w:t xml:space="preserve"> </w:t>
      </w:r>
      <w:r w:rsidRPr="00B95D52">
        <w:t>03</w:t>
      </w:r>
      <w:r w:rsidR="006F2C99" w:rsidRPr="00B95D52">
        <w:t> </w:t>
      </w:r>
      <w:r w:rsidRPr="00B95D52">
        <w:t>9096</w:t>
      </w:r>
      <w:r w:rsidR="000A5329" w:rsidRPr="00B95D52">
        <w:t xml:space="preserve"> </w:t>
      </w:r>
      <w:r w:rsidRPr="00B95D52">
        <w:t>8449.</w:t>
      </w:r>
    </w:p>
    <w:p w14:paraId="5E5C5C65" w14:textId="7650B8CD" w:rsidR="00CF72D5" w:rsidRPr="002029AF" w:rsidRDefault="00CF72D5" w:rsidP="00B95D52">
      <w:pPr>
        <w:pStyle w:val="ARbody"/>
        <w:rPr>
          <w:b/>
        </w:rPr>
      </w:pPr>
      <w:r w:rsidRPr="00B95D52">
        <w:t>Access</w:t>
      </w:r>
      <w:r w:rsidR="000A5329" w:rsidRPr="00B95D52">
        <w:t xml:space="preserve"> </w:t>
      </w:r>
      <w:r w:rsidRPr="00B95D52">
        <w:t>charges</w:t>
      </w:r>
      <w:r w:rsidR="000A5329" w:rsidRPr="00B95D52">
        <w:t xml:space="preserve"> </w:t>
      </w:r>
      <w:r w:rsidRPr="00B95D52">
        <w:t>for</w:t>
      </w:r>
      <w:r w:rsidR="000A5329" w:rsidRPr="002029AF">
        <w:t xml:space="preserve"> </w:t>
      </w:r>
      <w:r w:rsidRPr="002029AF">
        <w:t>photocopying</w:t>
      </w:r>
      <w:r w:rsidR="000A5329" w:rsidRPr="002029AF">
        <w:t xml:space="preserve"> </w:t>
      </w:r>
      <w:r w:rsidRPr="002029AF">
        <w:t>and</w:t>
      </w:r>
      <w:r w:rsidR="000A5329" w:rsidRPr="002029AF">
        <w:t xml:space="preserve"> </w:t>
      </w:r>
      <w:r w:rsidRPr="002029AF">
        <w:t>search</w:t>
      </w:r>
      <w:r w:rsidR="000A5329" w:rsidRPr="002029AF">
        <w:t xml:space="preserve"> </w:t>
      </w:r>
      <w:r w:rsidRPr="002029AF">
        <w:t>retrieval</w:t>
      </w:r>
      <w:r w:rsidR="000A5329" w:rsidRPr="002029AF">
        <w:t xml:space="preserve"> </w:t>
      </w:r>
      <w:r w:rsidRPr="002029AF">
        <w:t>may</w:t>
      </w:r>
      <w:r w:rsidR="000A5329" w:rsidRPr="002029AF">
        <w:t xml:space="preserve"> </w:t>
      </w:r>
      <w:r w:rsidRPr="002029AF">
        <w:t>also</w:t>
      </w:r>
      <w:r w:rsidR="000A5329" w:rsidRPr="002029AF">
        <w:t xml:space="preserve"> </w:t>
      </w:r>
      <w:r w:rsidRPr="002029AF">
        <w:t>apply</w:t>
      </w:r>
      <w:r w:rsidR="000A5329" w:rsidRPr="002029AF">
        <w:t xml:space="preserve"> </w:t>
      </w:r>
      <w:r w:rsidRPr="002029AF">
        <w:t>once</w:t>
      </w:r>
      <w:r w:rsidR="000A5329" w:rsidRPr="002029AF">
        <w:t xml:space="preserve"> </w:t>
      </w:r>
      <w:r w:rsidRPr="002029AF">
        <w:t>the</w:t>
      </w:r>
      <w:r w:rsidR="000A5329" w:rsidRPr="002029AF">
        <w:t xml:space="preserve"> </w:t>
      </w:r>
      <w:r w:rsidRPr="002029AF">
        <w:t>request</w:t>
      </w:r>
      <w:r w:rsidR="000A5329" w:rsidRPr="002029AF">
        <w:t xml:space="preserve"> </w:t>
      </w:r>
      <w:r w:rsidRPr="002029AF">
        <w:t>has</w:t>
      </w:r>
      <w:r w:rsidR="000A5329" w:rsidRPr="002029AF">
        <w:t xml:space="preserve"> </w:t>
      </w:r>
      <w:r w:rsidRPr="002029AF">
        <w:t>been</w:t>
      </w:r>
      <w:r w:rsidR="006F2C99" w:rsidRPr="002029AF">
        <w:t> </w:t>
      </w:r>
      <w:r w:rsidRPr="002029AF">
        <w:t>finalised.</w:t>
      </w:r>
    </w:p>
    <w:p w14:paraId="18517B57" w14:textId="328D1345" w:rsidR="00CF72D5" w:rsidRPr="002029AF" w:rsidRDefault="00CF72D5" w:rsidP="00897193">
      <w:pPr>
        <w:pStyle w:val="Heading3"/>
      </w:pPr>
      <w:r w:rsidRPr="002029AF">
        <w:t>FOI</w:t>
      </w:r>
      <w:r w:rsidR="000A5329" w:rsidRPr="002029AF">
        <w:t xml:space="preserve"> </w:t>
      </w:r>
      <w:r w:rsidRPr="002029AF">
        <w:t>statistics/timeliness</w:t>
      </w:r>
    </w:p>
    <w:p w14:paraId="7CBD5AE9" w14:textId="0CD27835" w:rsidR="000A5329" w:rsidRPr="002029AF" w:rsidRDefault="00CF72D5" w:rsidP="00897193">
      <w:pPr>
        <w:pStyle w:val="ARbody"/>
      </w:pPr>
      <w:r w:rsidRPr="002029AF">
        <w:t>During</w:t>
      </w:r>
      <w:r w:rsidR="000A5329" w:rsidRPr="002029AF">
        <w:t xml:space="preserve"> </w:t>
      </w:r>
      <w:r w:rsidRPr="002029AF">
        <w:t>2019–20,</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received</w:t>
      </w:r>
      <w:r w:rsidR="000A5329" w:rsidRPr="002029AF">
        <w:t xml:space="preserve"> </w:t>
      </w:r>
      <w:r w:rsidRPr="002029AF">
        <w:t>2,125</w:t>
      </w:r>
      <w:r w:rsidR="000A5329" w:rsidRPr="002029AF">
        <w:t xml:space="preserve"> </w:t>
      </w:r>
      <w:r w:rsidRPr="002029AF">
        <w:t>applications.</w:t>
      </w:r>
      <w:r w:rsidR="000A5329" w:rsidRPr="002029AF">
        <w:t xml:space="preserve"> </w:t>
      </w:r>
      <w:r w:rsidRPr="002029AF">
        <w:t>Of</w:t>
      </w:r>
      <w:r w:rsidR="000A5329" w:rsidRPr="002029AF">
        <w:t xml:space="preserve"> </w:t>
      </w:r>
      <w:r w:rsidRPr="002029AF">
        <w:t>these</w:t>
      </w:r>
      <w:r w:rsidR="000A5329" w:rsidRPr="002029AF">
        <w:t xml:space="preserve"> </w:t>
      </w:r>
      <w:r w:rsidRPr="002029AF">
        <w:t>requests,</w:t>
      </w:r>
      <w:r w:rsidR="000A5329" w:rsidRPr="002029AF">
        <w:t xml:space="preserve"> </w:t>
      </w:r>
      <w:r w:rsidRPr="002029AF">
        <w:t>52</w:t>
      </w:r>
      <w:r w:rsidR="000A5329" w:rsidRPr="002029AF">
        <w:t xml:space="preserve"> </w:t>
      </w:r>
      <w:r w:rsidRPr="002029AF">
        <w:t>were</w:t>
      </w:r>
      <w:r w:rsidR="000A5329" w:rsidRPr="002029AF">
        <w:t xml:space="preserve"> </w:t>
      </w:r>
      <w:r w:rsidRPr="002029AF">
        <w:t>from</w:t>
      </w:r>
      <w:r w:rsidR="000A5329" w:rsidRPr="002029AF">
        <w:t xml:space="preserve"> </w:t>
      </w:r>
      <w:r w:rsidRPr="002029AF">
        <w:t>Members</w:t>
      </w:r>
      <w:r w:rsidR="000A5329" w:rsidRPr="002029AF">
        <w:t xml:space="preserve"> </w:t>
      </w:r>
      <w:r w:rsidRPr="002029AF">
        <w:t>of</w:t>
      </w:r>
      <w:r w:rsidR="000A5329" w:rsidRPr="002029AF">
        <w:t xml:space="preserve"> </w:t>
      </w:r>
      <w:r w:rsidRPr="002029AF">
        <w:t>Parliament,</w:t>
      </w:r>
      <w:r w:rsidR="000A5329" w:rsidRPr="002029AF">
        <w:t xml:space="preserve"> </w:t>
      </w:r>
      <w:r w:rsidRPr="002029AF">
        <w:t>31</w:t>
      </w:r>
      <w:r w:rsidR="000A5329" w:rsidRPr="002029AF">
        <w:t xml:space="preserve"> </w:t>
      </w:r>
      <w:r w:rsidRPr="002029AF">
        <w:t>from</w:t>
      </w:r>
      <w:r w:rsidR="000A5329" w:rsidRPr="002029AF">
        <w:t xml:space="preserve"> </w:t>
      </w:r>
      <w:r w:rsidRPr="002029AF">
        <w:t>the</w:t>
      </w:r>
      <w:r w:rsidR="000A5329" w:rsidRPr="002029AF">
        <w:t xml:space="preserve"> </w:t>
      </w:r>
      <w:r w:rsidRPr="002029AF">
        <w:t>media,</w:t>
      </w:r>
      <w:r w:rsidR="000A5329" w:rsidRPr="002029AF">
        <w:t xml:space="preserve"> </w:t>
      </w:r>
      <w:r w:rsidRPr="002029AF">
        <w:t>and</w:t>
      </w:r>
      <w:r w:rsidR="006F2C99" w:rsidRPr="002029AF">
        <w:t> </w:t>
      </w:r>
      <w:r w:rsidRPr="002029AF">
        <w:t>the</w:t>
      </w:r>
      <w:r w:rsidR="006F2C99" w:rsidRPr="002029AF">
        <w:t> </w:t>
      </w:r>
      <w:r w:rsidRPr="002029AF">
        <w:t>remainder</w:t>
      </w:r>
      <w:r w:rsidR="000A5329" w:rsidRPr="002029AF">
        <w:t xml:space="preserve"> </w:t>
      </w:r>
      <w:r w:rsidRPr="002029AF">
        <w:t>from</w:t>
      </w:r>
      <w:r w:rsidR="000A5329" w:rsidRPr="002029AF">
        <w:t xml:space="preserve"> </w:t>
      </w:r>
      <w:r w:rsidRPr="002029AF">
        <w:t>the</w:t>
      </w:r>
      <w:r w:rsidR="000A5329" w:rsidRPr="002029AF">
        <w:t xml:space="preserve"> </w:t>
      </w:r>
      <w:r w:rsidRPr="002029AF">
        <w:t>general</w:t>
      </w:r>
      <w:r w:rsidR="000A5329" w:rsidRPr="002029AF">
        <w:t xml:space="preserve"> </w:t>
      </w:r>
      <w:r w:rsidRPr="002029AF">
        <w:t>public.</w:t>
      </w:r>
    </w:p>
    <w:p w14:paraId="7A9460D2" w14:textId="0073859B" w:rsidR="000A5329" w:rsidRPr="002029AF" w:rsidRDefault="00CF72D5" w:rsidP="00897193">
      <w:pPr>
        <w:pStyle w:val="ARbody"/>
      </w:pPr>
      <w:r w:rsidRPr="002029AF">
        <w:t>The</w:t>
      </w:r>
      <w:r w:rsidR="000A5329" w:rsidRPr="002029AF">
        <w:t xml:space="preserve"> </w:t>
      </w:r>
      <w:r w:rsidRPr="002029AF">
        <w:t>department</w:t>
      </w:r>
      <w:r w:rsidR="000A5329" w:rsidRPr="002029AF">
        <w:t xml:space="preserve"> </w:t>
      </w:r>
      <w:r w:rsidRPr="002029AF">
        <w:t>made</w:t>
      </w:r>
      <w:r w:rsidR="000A5329" w:rsidRPr="002029AF">
        <w:t xml:space="preserve"> </w:t>
      </w:r>
      <w:r w:rsidRPr="002029AF">
        <w:t>1,722</w:t>
      </w:r>
      <w:r w:rsidR="000A5329" w:rsidRPr="002029AF">
        <w:t xml:space="preserve"> </w:t>
      </w:r>
      <w:r w:rsidRPr="002029AF">
        <w:t>FOI</w:t>
      </w:r>
      <w:r w:rsidR="000A5329" w:rsidRPr="002029AF">
        <w:t xml:space="preserve"> </w:t>
      </w:r>
      <w:r w:rsidRPr="002029AF">
        <w:t>decisions</w:t>
      </w:r>
      <w:r w:rsidR="000A5329" w:rsidRPr="002029AF">
        <w:t xml:space="preserve"> </w:t>
      </w:r>
      <w:r w:rsidRPr="002029AF">
        <w:t>and</w:t>
      </w:r>
      <w:r w:rsidR="000A5329" w:rsidRPr="002029AF">
        <w:t xml:space="preserve"> </w:t>
      </w:r>
      <w:r w:rsidRPr="002029AF">
        <w:t>processed</w:t>
      </w:r>
      <w:r w:rsidR="000A5329" w:rsidRPr="002029AF">
        <w:t xml:space="preserve"> </w:t>
      </w:r>
      <w:r w:rsidRPr="002029AF">
        <w:t>89</w:t>
      </w:r>
      <w:r w:rsidR="000A5329" w:rsidRPr="002029AF">
        <w:t xml:space="preserve"> </w:t>
      </w:r>
      <w:r w:rsidRPr="002029AF">
        <w:t>per</w:t>
      </w:r>
      <w:r w:rsidR="000A5329" w:rsidRPr="002029AF">
        <w:t xml:space="preserve"> </w:t>
      </w:r>
      <w:r w:rsidRPr="002029AF">
        <w:t>cent</w:t>
      </w:r>
      <w:r w:rsidR="000A5329" w:rsidRPr="002029AF">
        <w:t xml:space="preserve"> </w:t>
      </w:r>
      <w:r w:rsidRPr="002029AF">
        <w:t>of</w:t>
      </w:r>
      <w:r w:rsidR="000A5329" w:rsidRPr="002029AF">
        <w:t xml:space="preserve"> </w:t>
      </w:r>
      <w:r w:rsidRPr="002029AF">
        <w:t>requests</w:t>
      </w:r>
      <w:r w:rsidR="000A5329" w:rsidRPr="002029AF">
        <w:t xml:space="preserve"> </w:t>
      </w:r>
      <w:r w:rsidRPr="002029AF">
        <w:t>within</w:t>
      </w:r>
      <w:r w:rsidR="000A5329" w:rsidRPr="002029AF">
        <w:t xml:space="preserve"> </w:t>
      </w:r>
      <w:r w:rsidRPr="002029AF">
        <w:t>the</w:t>
      </w:r>
      <w:r w:rsidR="000A5329" w:rsidRPr="002029AF">
        <w:t xml:space="preserve"> </w:t>
      </w:r>
      <w:r w:rsidRPr="002029AF">
        <w:t>statutory</w:t>
      </w:r>
      <w:r w:rsidR="000A5329" w:rsidRPr="002029AF">
        <w:t xml:space="preserve"> </w:t>
      </w:r>
      <w:r w:rsidRPr="002029AF">
        <w:t>time</w:t>
      </w:r>
      <w:r w:rsidR="000A5329" w:rsidRPr="002029AF">
        <w:t xml:space="preserve"> </w:t>
      </w:r>
      <w:r w:rsidRPr="002029AF">
        <w:t>period.</w:t>
      </w:r>
      <w:r w:rsidR="000A5329" w:rsidRPr="002029AF">
        <w:t xml:space="preserve"> </w:t>
      </w:r>
      <w:r w:rsidRPr="002029AF">
        <w:t>Of</w:t>
      </w:r>
      <w:r w:rsidR="000A5329" w:rsidRPr="002029AF">
        <w:t xml:space="preserve"> </w:t>
      </w:r>
      <w:r w:rsidRPr="002029AF">
        <w:t>the</w:t>
      </w:r>
      <w:r w:rsidR="000A5329" w:rsidRPr="002029AF">
        <w:t xml:space="preserve"> </w:t>
      </w:r>
      <w:r w:rsidRPr="002029AF">
        <w:t>requests</w:t>
      </w:r>
      <w:r w:rsidR="000A5329" w:rsidRPr="002029AF">
        <w:t xml:space="preserve"> </w:t>
      </w:r>
      <w:r w:rsidRPr="002029AF">
        <w:t>finalised,</w:t>
      </w:r>
      <w:r w:rsidR="000A5329" w:rsidRPr="002029AF">
        <w:t xml:space="preserve"> </w:t>
      </w:r>
      <w:r w:rsidRPr="002029AF">
        <w:t>69</w:t>
      </w:r>
      <w:r w:rsidR="006F2C99" w:rsidRPr="002029AF">
        <w:t> </w:t>
      </w:r>
      <w:r w:rsidRPr="002029AF">
        <w:t>per</w:t>
      </w:r>
      <w:r w:rsidR="000A5329" w:rsidRPr="002029AF">
        <w:t xml:space="preserve"> </w:t>
      </w:r>
      <w:r w:rsidRPr="002029AF">
        <w:t>cent</w:t>
      </w:r>
      <w:r w:rsidR="000A5329" w:rsidRPr="002029AF">
        <w:t xml:space="preserve"> </w:t>
      </w:r>
      <w:r w:rsidRPr="002029AF">
        <w:t>were</w:t>
      </w:r>
      <w:r w:rsidR="000A5329" w:rsidRPr="002029AF">
        <w:t xml:space="preserve"> </w:t>
      </w:r>
      <w:r w:rsidRPr="002029AF">
        <w:t>granted</w:t>
      </w:r>
      <w:r w:rsidR="000A5329" w:rsidRPr="002029AF">
        <w:t xml:space="preserve"> </w:t>
      </w:r>
      <w:r w:rsidRPr="002029AF">
        <w:t>in</w:t>
      </w:r>
      <w:r w:rsidR="000A5329" w:rsidRPr="002029AF">
        <w:t xml:space="preserve"> </w:t>
      </w:r>
      <w:r w:rsidRPr="002029AF">
        <w:t>full</w:t>
      </w:r>
      <w:r w:rsidR="000A5329" w:rsidRPr="002029AF">
        <w:t xml:space="preserve"> </w:t>
      </w:r>
      <w:r w:rsidRPr="002029AF">
        <w:t>or</w:t>
      </w:r>
      <w:r w:rsidR="000A5329" w:rsidRPr="002029AF">
        <w:t xml:space="preserve"> </w:t>
      </w:r>
      <w:r w:rsidRPr="002029AF">
        <w:t>in</w:t>
      </w:r>
      <w:r w:rsidR="000A5329" w:rsidRPr="002029AF">
        <w:t xml:space="preserve"> </w:t>
      </w:r>
      <w:r w:rsidRPr="002029AF">
        <w:t>part.</w:t>
      </w:r>
    </w:p>
    <w:p w14:paraId="508C8759" w14:textId="458422E7" w:rsidR="00CF72D5" w:rsidRPr="002029AF" w:rsidRDefault="00CF72D5" w:rsidP="00AE20EC">
      <w:pPr>
        <w:pStyle w:val="ARbody"/>
      </w:pPr>
      <w:r w:rsidRPr="002029AF">
        <w:t>During</w:t>
      </w:r>
      <w:r w:rsidR="000A5329" w:rsidRPr="002029AF">
        <w:t xml:space="preserve"> </w:t>
      </w:r>
      <w:r w:rsidRPr="002029AF">
        <w:t>2019–20,</w:t>
      </w:r>
      <w:r w:rsidR="000A5329" w:rsidRPr="002029AF">
        <w:t xml:space="preserve"> </w:t>
      </w:r>
      <w:r w:rsidRPr="002029AF">
        <w:t>59</w:t>
      </w:r>
      <w:r w:rsidR="000A5329" w:rsidRPr="002029AF">
        <w:t xml:space="preserve"> </w:t>
      </w:r>
      <w:r w:rsidRPr="002029AF">
        <w:t>decisions</w:t>
      </w:r>
      <w:r w:rsidR="000A5329" w:rsidRPr="002029AF">
        <w:t xml:space="preserve"> </w:t>
      </w:r>
      <w:r w:rsidRPr="002029AF">
        <w:t>were</w:t>
      </w:r>
      <w:r w:rsidR="000A5329" w:rsidRPr="002029AF">
        <w:t xml:space="preserve"> </w:t>
      </w:r>
      <w:r w:rsidRPr="002029AF">
        <w:t>subject</w:t>
      </w:r>
      <w:r w:rsidR="000A5329" w:rsidRPr="002029AF">
        <w:t xml:space="preserve"> </w:t>
      </w:r>
      <w:r w:rsidRPr="002029AF">
        <w:t>to</w:t>
      </w:r>
      <w:r w:rsidR="000A5329" w:rsidRPr="002029AF">
        <w:t xml:space="preserve"> </w:t>
      </w:r>
      <w:r w:rsidRPr="002029AF">
        <w:t>review</w:t>
      </w:r>
      <w:r w:rsidR="000A5329" w:rsidRPr="002029AF">
        <w:t xml:space="preserve"> </w:t>
      </w:r>
      <w:r w:rsidRPr="002029AF">
        <w:t>by</w:t>
      </w:r>
      <w:r w:rsidR="000A5329" w:rsidRPr="002029AF">
        <w:t xml:space="preserve"> </w:t>
      </w:r>
      <w:r w:rsidRPr="002029AF">
        <w:t>the</w:t>
      </w:r>
      <w:r w:rsidR="000A5329" w:rsidRPr="002029AF">
        <w:t xml:space="preserve"> </w:t>
      </w:r>
      <w:r w:rsidRPr="002029AF">
        <w:t>Office</w:t>
      </w:r>
      <w:r w:rsidR="000A5329" w:rsidRPr="002029AF">
        <w:t xml:space="preserve"> </w:t>
      </w:r>
      <w:r w:rsidRPr="002029AF">
        <w:t>of</w:t>
      </w:r>
      <w:r w:rsidR="000A5329" w:rsidRPr="002029AF">
        <w:t xml:space="preserve"> </w:t>
      </w:r>
      <w:r w:rsidRPr="002029AF">
        <w:t>the</w:t>
      </w:r>
      <w:r w:rsidR="000A5329" w:rsidRPr="002029AF">
        <w:t xml:space="preserve"> </w:t>
      </w:r>
      <w:r w:rsidRPr="002029AF">
        <w:t>Victorian</w:t>
      </w:r>
      <w:r w:rsidR="000A5329" w:rsidRPr="002029AF">
        <w:t xml:space="preserve"> </w:t>
      </w:r>
      <w:r w:rsidRPr="002029AF">
        <w:t>Information</w:t>
      </w:r>
      <w:r w:rsidR="000A5329" w:rsidRPr="002029AF">
        <w:t xml:space="preserve"> </w:t>
      </w:r>
      <w:r w:rsidRPr="002029AF">
        <w:t>Commissioner</w:t>
      </w:r>
      <w:r w:rsidR="000A5329" w:rsidRPr="002029AF">
        <w:t xml:space="preserve"> </w:t>
      </w:r>
      <w:r w:rsidRPr="002029AF">
        <w:t>and</w:t>
      </w:r>
      <w:r w:rsidR="000A5329" w:rsidRPr="002029AF">
        <w:t xml:space="preserve"> </w:t>
      </w:r>
      <w:r w:rsidRPr="002029AF">
        <w:t>seven</w:t>
      </w:r>
      <w:r w:rsidR="000A5329" w:rsidRPr="002029AF">
        <w:t xml:space="preserve"> </w:t>
      </w:r>
      <w:r w:rsidRPr="002029AF">
        <w:t>appeals</w:t>
      </w:r>
      <w:r w:rsidR="000A5329" w:rsidRPr="002029AF">
        <w:t xml:space="preserve"> </w:t>
      </w:r>
      <w:r w:rsidRPr="002029AF">
        <w:t>were</w:t>
      </w:r>
      <w:r w:rsidR="000A5329" w:rsidRPr="002029AF">
        <w:t xml:space="preserve"> </w:t>
      </w:r>
      <w:r w:rsidRPr="002029AF">
        <w:t>made</w:t>
      </w:r>
      <w:r w:rsidR="000A5329" w:rsidRPr="002029AF">
        <w:t xml:space="preserve"> </w:t>
      </w:r>
      <w:r w:rsidRPr="002029AF">
        <w:t>to</w:t>
      </w:r>
      <w:r w:rsidR="000A5329" w:rsidRPr="002029AF">
        <w:t xml:space="preserve"> </w:t>
      </w:r>
      <w:r w:rsidRPr="002029AF">
        <w:t>the</w:t>
      </w:r>
      <w:r w:rsidR="000A5329" w:rsidRPr="002029AF">
        <w:t xml:space="preserve"> </w:t>
      </w:r>
      <w:r w:rsidRPr="002029AF">
        <w:t>Victorian</w:t>
      </w:r>
      <w:r w:rsidR="000A5329" w:rsidRPr="002029AF">
        <w:t xml:space="preserve"> </w:t>
      </w:r>
      <w:r w:rsidRPr="002029AF">
        <w:t>Civil</w:t>
      </w:r>
      <w:r w:rsidR="000A5329" w:rsidRPr="002029AF">
        <w:t xml:space="preserve"> </w:t>
      </w:r>
      <w:r w:rsidRPr="002029AF">
        <w:t>and</w:t>
      </w:r>
      <w:r w:rsidR="000A5329" w:rsidRPr="002029AF">
        <w:t xml:space="preserve"> </w:t>
      </w:r>
      <w:r w:rsidRPr="002029AF">
        <w:t>Administrative</w:t>
      </w:r>
      <w:r w:rsidR="000A5329" w:rsidRPr="002029AF">
        <w:t xml:space="preserve"> </w:t>
      </w:r>
      <w:r w:rsidRPr="002029AF">
        <w:t>Tribunal.</w:t>
      </w:r>
    </w:p>
    <w:p w14:paraId="3A31346E" w14:textId="5D107A25" w:rsidR="00CF72D5" w:rsidRPr="002029AF" w:rsidRDefault="00CF72D5" w:rsidP="00897193">
      <w:pPr>
        <w:pStyle w:val="Heading3"/>
      </w:pPr>
      <w:bookmarkStart w:id="148" w:name="_Ref52282040"/>
      <w:r w:rsidRPr="002029AF">
        <w:t>Requests</w:t>
      </w:r>
      <w:r w:rsidR="000A5329" w:rsidRPr="002029AF">
        <w:t xml:space="preserve"> </w:t>
      </w:r>
      <w:r w:rsidRPr="002029AF">
        <w:t>for</w:t>
      </w:r>
      <w:r w:rsidR="000A5329" w:rsidRPr="002029AF">
        <w:t xml:space="preserve"> </w:t>
      </w:r>
      <w:r w:rsidRPr="002029AF">
        <w:t>Family</w:t>
      </w:r>
      <w:r w:rsidR="000A5329" w:rsidRPr="002029AF">
        <w:t xml:space="preserve"> </w:t>
      </w:r>
      <w:r w:rsidRPr="002029AF">
        <w:t>Safety</w:t>
      </w:r>
      <w:r w:rsidR="000A5329" w:rsidRPr="002029AF">
        <w:t xml:space="preserve"> </w:t>
      </w:r>
      <w:r w:rsidRPr="002029AF">
        <w:t>Victoria</w:t>
      </w:r>
      <w:r w:rsidR="006F2C99" w:rsidRPr="002029AF">
        <w:t> </w:t>
      </w:r>
      <w:r w:rsidRPr="002029AF">
        <w:t>documents</w:t>
      </w:r>
      <w:bookmarkEnd w:id="148"/>
    </w:p>
    <w:p w14:paraId="0CB5244D" w14:textId="5487A365" w:rsidR="00CF72D5" w:rsidRPr="002029AF" w:rsidRDefault="00CF72D5" w:rsidP="00791FED">
      <w:pPr>
        <w:pStyle w:val="ARbody"/>
      </w:pPr>
      <w:r w:rsidRPr="002029AF">
        <w:t>Requests</w:t>
      </w:r>
      <w:r w:rsidR="000A5329" w:rsidRPr="002029AF">
        <w:t xml:space="preserve"> </w:t>
      </w:r>
      <w:r w:rsidRPr="002029AF">
        <w:t>for</w:t>
      </w:r>
      <w:r w:rsidR="000A5329" w:rsidRPr="002029AF">
        <w:t xml:space="preserve"> </w:t>
      </w:r>
      <w:r w:rsidRPr="002029AF">
        <w:t>documents</w:t>
      </w:r>
      <w:r w:rsidR="000A5329" w:rsidRPr="002029AF">
        <w:t xml:space="preserve"> </w:t>
      </w:r>
      <w:r w:rsidRPr="002029AF">
        <w:t>in</w:t>
      </w:r>
      <w:r w:rsidR="000A5329" w:rsidRPr="002029AF">
        <w:t xml:space="preserve"> </w:t>
      </w:r>
      <w:r w:rsidRPr="002029AF">
        <w:t>possession</w:t>
      </w:r>
      <w:r w:rsidR="000A5329" w:rsidRPr="002029AF">
        <w:t xml:space="preserve"> </w:t>
      </w:r>
      <w:r w:rsidRPr="002029AF">
        <w:t>of</w:t>
      </w:r>
      <w:r w:rsidR="000A5329" w:rsidRPr="002029AF">
        <w:t xml:space="preserve"> </w:t>
      </w:r>
      <w:r w:rsidRPr="002029AF">
        <w:t>Family</w:t>
      </w:r>
      <w:r w:rsidR="006F2C99" w:rsidRPr="002029AF">
        <w:t> </w:t>
      </w:r>
      <w:r w:rsidRPr="002029AF">
        <w:t>Safety</w:t>
      </w:r>
      <w:r w:rsidR="000A5329" w:rsidRPr="002029AF">
        <w:t xml:space="preserve"> </w:t>
      </w:r>
      <w:r w:rsidRPr="002029AF">
        <w:t>Victoria</w:t>
      </w:r>
      <w:r w:rsidR="000A5329" w:rsidRPr="002029AF">
        <w:t xml:space="preserve"> </w:t>
      </w:r>
      <w:r w:rsidRPr="002029AF">
        <w:t>should</w:t>
      </w:r>
      <w:r w:rsidR="000A5329" w:rsidRPr="002029AF">
        <w:t xml:space="preserve"> </w:t>
      </w:r>
      <w:r w:rsidRPr="002029AF">
        <w:t>be</w:t>
      </w:r>
      <w:r w:rsidR="000A5329" w:rsidRPr="002029AF">
        <w:t xml:space="preserve"> </w:t>
      </w:r>
      <w:r w:rsidRPr="002029AF">
        <w:t>addressed</w:t>
      </w:r>
      <w:r w:rsidR="000A5329" w:rsidRPr="002029AF">
        <w:t xml:space="preserve"> </w:t>
      </w:r>
      <w:r w:rsidRPr="002029AF">
        <w:t>to</w:t>
      </w:r>
      <w:r w:rsidR="000A5329" w:rsidRPr="002029AF">
        <w:t xml:space="preserve"> </w:t>
      </w:r>
      <w:r w:rsidRPr="002029AF">
        <w:t>the</w:t>
      </w:r>
      <w:r w:rsidR="000A5329" w:rsidRPr="002029AF">
        <w:t xml:space="preserve"> </w:t>
      </w:r>
      <w:r w:rsidRPr="002029AF">
        <w:t>Freedom</w:t>
      </w:r>
      <w:r w:rsidR="000A5329" w:rsidRPr="002029AF">
        <w:t xml:space="preserve"> </w:t>
      </w:r>
      <w:r w:rsidRPr="002029AF">
        <w:t>of</w:t>
      </w:r>
      <w:r w:rsidR="000A5329" w:rsidRPr="002029AF">
        <w:t xml:space="preserve"> </w:t>
      </w:r>
      <w:r w:rsidRPr="002029AF">
        <w:t>Information</w:t>
      </w:r>
      <w:r w:rsidR="000A5329" w:rsidRPr="002029AF">
        <w:t xml:space="preserve"> </w:t>
      </w:r>
      <w:r w:rsidRPr="002029AF">
        <w:t>Officer,</w:t>
      </w:r>
      <w:r w:rsidR="000A5329" w:rsidRPr="002029AF">
        <w:t xml:space="preserve"> </w:t>
      </w:r>
      <w:r w:rsidRPr="002029AF">
        <w:t>Family</w:t>
      </w:r>
      <w:r w:rsidR="000A5329" w:rsidRPr="002029AF">
        <w:t xml:space="preserve"> </w:t>
      </w:r>
      <w:r w:rsidRPr="002029AF">
        <w:t>Safety</w:t>
      </w:r>
      <w:r w:rsidR="000A5329" w:rsidRPr="002029AF">
        <w:t xml:space="preserve"> </w:t>
      </w:r>
      <w:r w:rsidRPr="002029AF">
        <w:t>Victoria</w:t>
      </w:r>
      <w:r w:rsidR="000A5329" w:rsidRPr="002029AF">
        <w:t xml:space="preserve"> </w:t>
      </w:r>
      <w:r w:rsidRPr="002029AF">
        <w:t>at</w:t>
      </w:r>
      <w:r w:rsidR="000A5329" w:rsidRPr="002029AF">
        <w:t xml:space="preserve"> </w:t>
      </w:r>
      <w:r w:rsidRPr="002029AF">
        <w:t>the</w:t>
      </w:r>
      <w:r w:rsidR="000A5329" w:rsidRPr="002029AF">
        <w:t xml:space="preserve"> </w:t>
      </w:r>
      <w:r w:rsidRPr="002029AF">
        <w:t>same</w:t>
      </w:r>
      <w:r w:rsidR="000A5329" w:rsidRPr="002029AF">
        <w:t xml:space="preserve"> </w:t>
      </w:r>
      <w:r w:rsidRPr="002029AF">
        <w:t>postal</w:t>
      </w:r>
      <w:r w:rsidR="000A5329" w:rsidRPr="002029AF">
        <w:t xml:space="preserve"> </w:t>
      </w:r>
      <w:r w:rsidRPr="002029AF">
        <w:t>address,</w:t>
      </w:r>
      <w:r w:rsidR="000A5329" w:rsidRPr="002029AF">
        <w:t xml:space="preserve"> </w:t>
      </w:r>
      <w:r w:rsidRPr="002029AF">
        <w:t>or</w:t>
      </w:r>
      <w:r w:rsidR="000A5329" w:rsidRPr="002029AF">
        <w:t xml:space="preserve"> </w:t>
      </w:r>
      <w:r w:rsidRPr="002029AF">
        <w:t>can</w:t>
      </w:r>
      <w:r w:rsidR="000A5329" w:rsidRPr="002029AF">
        <w:t xml:space="preserve"> </w:t>
      </w:r>
      <w:r w:rsidRPr="002029AF">
        <w:t>be</w:t>
      </w:r>
      <w:r w:rsidR="000A5329" w:rsidRPr="002029AF">
        <w:t xml:space="preserve"> </w:t>
      </w:r>
      <w:hyperlink r:id="rId173" w:history="1">
        <w:r w:rsidR="00791FED" w:rsidRPr="00791FED">
          <w:rPr>
            <w:rStyle w:val="Hyperlink"/>
          </w:rPr>
          <w:t>emailed to Freedom of Information – Family Safety Victoria</w:t>
        </w:r>
      </w:hyperlink>
      <w:r w:rsidR="000A5329" w:rsidRPr="002029AF">
        <w:t xml:space="preserve"> </w:t>
      </w:r>
      <w:r w:rsidR="00791FED">
        <w:t>&lt;</w:t>
      </w:r>
      <w:r w:rsidRPr="00791FED">
        <w:t>foi@familysafety.vic.gov.au</w:t>
      </w:r>
      <w:r w:rsidR="00791FED">
        <w:t>&gt;</w:t>
      </w:r>
      <w:r w:rsidRPr="002029AF">
        <w:t>.</w:t>
      </w:r>
      <w:r w:rsidR="000A5329" w:rsidRPr="002029AF">
        <w:t xml:space="preserve"> </w:t>
      </w:r>
      <w:r w:rsidRPr="002029AF">
        <w:t>Telephone</w:t>
      </w:r>
      <w:r w:rsidR="000A5329" w:rsidRPr="002029AF">
        <w:t xml:space="preserve"> </w:t>
      </w:r>
      <w:r w:rsidRPr="002029AF">
        <w:t>enquiries</w:t>
      </w:r>
      <w:r w:rsidR="000A5329" w:rsidRPr="002029AF">
        <w:t xml:space="preserve"> </w:t>
      </w:r>
      <w:r w:rsidRPr="002029AF">
        <w:t>can</w:t>
      </w:r>
      <w:r w:rsidR="000A5329" w:rsidRPr="002029AF">
        <w:t xml:space="preserve"> </w:t>
      </w:r>
      <w:r w:rsidRPr="002029AF">
        <w:t>be</w:t>
      </w:r>
      <w:r w:rsidR="000A5329" w:rsidRPr="002029AF">
        <w:t xml:space="preserve"> </w:t>
      </w:r>
      <w:r w:rsidRPr="002029AF">
        <w:t>made</w:t>
      </w:r>
      <w:r w:rsidR="000A5329" w:rsidRPr="002029AF">
        <w:t xml:space="preserve"> </w:t>
      </w:r>
      <w:r w:rsidRPr="002029AF">
        <w:t>to</w:t>
      </w:r>
      <w:r w:rsidR="000A5329" w:rsidRPr="002029AF">
        <w:t xml:space="preserve"> </w:t>
      </w:r>
      <w:r w:rsidRPr="002029AF">
        <w:t>(03)</w:t>
      </w:r>
      <w:r w:rsidR="000A5329" w:rsidRPr="002029AF">
        <w:t xml:space="preserve"> </w:t>
      </w:r>
      <w:r w:rsidRPr="002029AF">
        <w:t>9194</w:t>
      </w:r>
      <w:r w:rsidR="000A5329" w:rsidRPr="002029AF">
        <w:t xml:space="preserve"> </w:t>
      </w:r>
      <w:r w:rsidRPr="002029AF">
        <w:t>3447.</w:t>
      </w:r>
    </w:p>
    <w:p w14:paraId="0B21AB7A" w14:textId="39254A1E" w:rsidR="00AE20EC" w:rsidRPr="002029AF" w:rsidRDefault="00CF72D5" w:rsidP="00AE20EC">
      <w:pPr>
        <w:pStyle w:val="ARbody"/>
      </w:pPr>
      <w:r w:rsidRPr="002029AF">
        <w:t>For</w:t>
      </w:r>
      <w:r w:rsidR="000A5329" w:rsidRPr="002029AF">
        <w:t xml:space="preserve"> </w:t>
      </w:r>
      <w:r w:rsidRPr="002029AF">
        <w:t>public</w:t>
      </w:r>
      <w:r w:rsidR="000A5329" w:rsidRPr="002029AF">
        <w:t xml:space="preserve"> </w:t>
      </w:r>
      <w:r w:rsidRPr="002029AF">
        <w:t>interest</w:t>
      </w:r>
      <w:r w:rsidR="000A5329" w:rsidRPr="002029AF">
        <w:t xml:space="preserve"> </w:t>
      </w:r>
      <w:r w:rsidRPr="002029AF">
        <w:t>disclosures</w:t>
      </w:r>
      <w:r w:rsidR="000A5329" w:rsidRPr="002029AF">
        <w:t xml:space="preserve"> </w:t>
      </w:r>
      <w:r w:rsidRPr="002029AF">
        <w:t>relating</w:t>
      </w:r>
      <w:r w:rsidR="000A5329" w:rsidRPr="002029AF">
        <w:t xml:space="preserve"> </w:t>
      </w:r>
      <w:r w:rsidRPr="002029AF">
        <w:t>to</w:t>
      </w:r>
      <w:r w:rsidR="000A5329" w:rsidRPr="002029AF">
        <w:t xml:space="preserve"> </w:t>
      </w:r>
      <w:r w:rsidRPr="002029AF">
        <w:t>Family</w:t>
      </w:r>
      <w:r w:rsidR="000A5329" w:rsidRPr="002029AF">
        <w:t xml:space="preserve"> </w:t>
      </w:r>
      <w:r w:rsidRPr="002029AF">
        <w:t>Safety</w:t>
      </w:r>
      <w:r w:rsidR="000A5329" w:rsidRPr="002029AF">
        <w:t xml:space="preserve"> </w:t>
      </w:r>
      <w:r w:rsidRPr="002029AF">
        <w:t>Victoria,</w:t>
      </w:r>
      <w:r w:rsidR="000A5329" w:rsidRPr="002029AF">
        <w:t xml:space="preserve"> </w:t>
      </w:r>
      <w:r w:rsidRPr="002029AF">
        <w:t>information</w:t>
      </w:r>
      <w:r w:rsidR="000A5329" w:rsidRPr="002029AF">
        <w:t xml:space="preserve"> </w:t>
      </w:r>
      <w:r w:rsidRPr="002029AF">
        <w:t>can</w:t>
      </w:r>
      <w:r w:rsidR="000A5329" w:rsidRPr="002029AF">
        <w:t xml:space="preserve"> </w:t>
      </w:r>
      <w:r w:rsidRPr="002029AF">
        <w:t>be</w:t>
      </w:r>
      <w:r w:rsidR="000A5329" w:rsidRPr="002029AF">
        <w:t xml:space="preserve"> </w:t>
      </w:r>
      <w:r w:rsidRPr="002029AF">
        <w:t>located</w:t>
      </w:r>
      <w:r w:rsidR="000A5329" w:rsidRPr="002029AF">
        <w:t xml:space="preserve"> </w:t>
      </w:r>
      <w:r w:rsidRPr="002029AF">
        <w:t>on</w:t>
      </w:r>
      <w:r w:rsidR="000A5329" w:rsidRPr="002029AF">
        <w:t xml:space="preserve"> </w:t>
      </w:r>
      <w:r w:rsidRPr="002029AF">
        <w:t>the</w:t>
      </w:r>
      <w:r w:rsidR="000A5329" w:rsidRPr="002029AF">
        <w:t xml:space="preserve"> </w:t>
      </w:r>
      <w:hyperlink r:id="rId174" w:history="1">
        <w:r w:rsidRPr="002029AF">
          <w:rPr>
            <w:rStyle w:val="Hyperlink"/>
          </w:rPr>
          <w:t>Family</w:t>
        </w:r>
        <w:r w:rsidR="000A5329" w:rsidRPr="002029AF">
          <w:rPr>
            <w:rStyle w:val="Hyperlink"/>
          </w:rPr>
          <w:t xml:space="preserve"> </w:t>
        </w:r>
        <w:r w:rsidRPr="002029AF">
          <w:rPr>
            <w:rStyle w:val="Hyperlink"/>
          </w:rPr>
          <w:t>Safety</w:t>
        </w:r>
        <w:r w:rsidR="000A5329" w:rsidRPr="002029AF">
          <w:rPr>
            <w:rStyle w:val="Hyperlink"/>
          </w:rPr>
          <w:t xml:space="preserve"> </w:t>
        </w:r>
        <w:r w:rsidRPr="002029AF">
          <w:rPr>
            <w:rStyle w:val="Hyperlink"/>
          </w:rPr>
          <w:t>Victoria</w:t>
        </w:r>
        <w:r w:rsidR="000A5329" w:rsidRPr="002029AF">
          <w:rPr>
            <w:rStyle w:val="Hyperlink"/>
          </w:rPr>
          <w:t xml:space="preserve"> </w:t>
        </w:r>
        <w:r w:rsidRPr="002029AF">
          <w:rPr>
            <w:rStyle w:val="Hyperlink"/>
          </w:rPr>
          <w:t>Public</w:t>
        </w:r>
        <w:r w:rsidR="000A5329" w:rsidRPr="002029AF">
          <w:rPr>
            <w:rStyle w:val="Hyperlink"/>
          </w:rPr>
          <w:t xml:space="preserve"> </w:t>
        </w:r>
        <w:r w:rsidRPr="002029AF">
          <w:rPr>
            <w:rStyle w:val="Hyperlink"/>
          </w:rPr>
          <w:t>Interest</w:t>
        </w:r>
        <w:r w:rsidR="000A5329" w:rsidRPr="002029AF">
          <w:rPr>
            <w:rStyle w:val="Hyperlink"/>
          </w:rPr>
          <w:t xml:space="preserve"> </w:t>
        </w:r>
        <w:r w:rsidRPr="002029AF">
          <w:rPr>
            <w:rStyle w:val="Hyperlink"/>
          </w:rPr>
          <w:t>Disclosure</w:t>
        </w:r>
        <w:r w:rsidR="000A5329" w:rsidRPr="002029AF">
          <w:rPr>
            <w:rStyle w:val="Hyperlink"/>
          </w:rPr>
          <w:t xml:space="preserve"> </w:t>
        </w:r>
        <w:r w:rsidRPr="002029AF">
          <w:rPr>
            <w:rStyle w:val="Hyperlink"/>
          </w:rPr>
          <w:t>Procedure</w:t>
        </w:r>
        <w:r w:rsidR="000A5329" w:rsidRPr="002029AF">
          <w:rPr>
            <w:rStyle w:val="Hyperlink"/>
          </w:rPr>
          <w:t xml:space="preserve"> </w:t>
        </w:r>
        <w:r w:rsidRPr="002029AF">
          <w:rPr>
            <w:rStyle w:val="Hyperlink"/>
          </w:rPr>
          <w:t>webpage</w:t>
        </w:r>
      </w:hyperlink>
      <w:r w:rsidR="000A5329" w:rsidRPr="002029AF">
        <w:t xml:space="preserve"> </w:t>
      </w:r>
      <w:r w:rsidR="001B0574" w:rsidRPr="002029AF">
        <w:t>&lt;</w:t>
      </w:r>
      <w:r w:rsidRPr="002029AF">
        <w:t>https://www.vic.gov.au/</w:t>
      </w:r>
      <w:r w:rsidR="006F2C99" w:rsidRPr="002029AF">
        <w:br/>
      </w:r>
      <w:r w:rsidRPr="002029AF">
        <w:t>family-safety-victoria-public-interest-disclosure-procedure</w:t>
      </w:r>
      <w:r w:rsidR="001B0574" w:rsidRPr="002029AF">
        <w:t>&gt;</w:t>
      </w:r>
      <w:r w:rsidR="000A5329" w:rsidRPr="002029AF">
        <w:t xml:space="preserve"> </w:t>
      </w:r>
      <w:r w:rsidRPr="002029AF">
        <w:t>or</w:t>
      </w:r>
      <w:r w:rsidR="000A5329" w:rsidRPr="002029AF">
        <w:t xml:space="preserve"> </w:t>
      </w:r>
      <w:r w:rsidRPr="002029AF">
        <w:t>by</w:t>
      </w:r>
      <w:r w:rsidR="000A5329" w:rsidRPr="002029AF">
        <w:t xml:space="preserve"> </w:t>
      </w:r>
      <w:hyperlink r:id="rId175" w:history="1">
        <w:r w:rsidRPr="002029AF">
          <w:rPr>
            <w:rStyle w:val="Hyperlink"/>
          </w:rPr>
          <w:t>emailing</w:t>
        </w:r>
        <w:r w:rsidR="000A5329" w:rsidRPr="002029AF">
          <w:rPr>
            <w:rStyle w:val="Hyperlink"/>
          </w:rPr>
          <w:t xml:space="preserve"> </w:t>
        </w:r>
        <w:r w:rsidRPr="002029AF">
          <w:rPr>
            <w:rStyle w:val="Hyperlink"/>
          </w:rPr>
          <w:t>the</w:t>
        </w:r>
        <w:r w:rsidR="000A5329" w:rsidRPr="002029AF">
          <w:rPr>
            <w:rStyle w:val="Hyperlink"/>
          </w:rPr>
          <w:t xml:space="preserve"> </w:t>
        </w:r>
        <w:r w:rsidRPr="002029AF">
          <w:rPr>
            <w:rStyle w:val="Hyperlink"/>
          </w:rPr>
          <w:t>public</w:t>
        </w:r>
        <w:r w:rsidR="000A5329" w:rsidRPr="002029AF">
          <w:rPr>
            <w:rStyle w:val="Hyperlink"/>
          </w:rPr>
          <w:t xml:space="preserve"> </w:t>
        </w:r>
        <w:r w:rsidRPr="002029AF">
          <w:rPr>
            <w:rStyle w:val="Hyperlink"/>
          </w:rPr>
          <w:t>interest</w:t>
        </w:r>
        <w:r w:rsidR="000A5329" w:rsidRPr="002029AF">
          <w:rPr>
            <w:rStyle w:val="Hyperlink"/>
          </w:rPr>
          <w:t xml:space="preserve"> </w:t>
        </w:r>
        <w:r w:rsidRPr="002029AF">
          <w:rPr>
            <w:rStyle w:val="Hyperlink"/>
          </w:rPr>
          <w:t>disclosure</w:t>
        </w:r>
        <w:r w:rsidR="000A5329" w:rsidRPr="002029AF">
          <w:rPr>
            <w:rStyle w:val="Hyperlink"/>
          </w:rPr>
          <w:t xml:space="preserve"> </w:t>
        </w:r>
        <w:r w:rsidRPr="002029AF">
          <w:rPr>
            <w:rStyle w:val="Hyperlink"/>
          </w:rPr>
          <w:t>coordinator</w:t>
        </w:r>
      </w:hyperlink>
      <w:r w:rsidR="000A5329" w:rsidRPr="002029AF">
        <w:t xml:space="preserve"> </w:t>
      </w:r>
      <w:r w:rsidR="001B0574" w:rsidRPr="002029AF">
        <w:t>&lt;</w:t>
      </w:r>
      <w:r w:rsidRPr="002029AF">
        <w:t>fsv.protected.disclosures</w:t>
      </w:r>
      <w:r w:rsidR="006F2C99" w:rsidRPr="002029AF">
        <w:br/>
      </w:r>
      <w:r w:rsidRPr="002029AF">
        <w:t>@familysafety.vic.gov.au</w:t>
      </w:r>
      <w:r w:rsidR="001B0574" w:rsidRPr="002029AF">
        <w:t>&gt;.</w:t>
      </w:r>
      <w:bookmarkStart w:id="149" w:name="_Ref21960028"/>
      <w:bookmarkStart w:id="150" w:name="_Ref525208155"/>
    </w:p>
    <w:p w14:paraId="4E9D9A3C" w14:textId="3B9CB9AA" w:rsidR="00CF72D5" w:rsidRPr="002029AF" w:rsidRDefault="00861C86" w:rsidP="00C81A0B">
      <w:pPr>
        <w:pStyle w:val="Heading2"/>
        <w:spacing w:before="0"/>
      </w:pPr>
      <w:r w:rsidRPr="002029AF">
        <w:br w:type="column"/>
      </w:r>
      <w:bookmarkStart w:id="151" w:name="_Toc54690791"/>
      <w:r w:rsidR="00CF72D5" w:rsidRPr="002029AF">
        <w:t>Cemeteries</w:t>
      </w:r>
      <w:r w:rsidR="000A5329" w:rsidRPr="002029AF">
        <w:t xml:space="preserve"> </w:t>
      </w:r>
      <w:r w:rsidR="00CF72D5" w:rsidRPr="002029AF">
        <w:t>and</w:t>
      </w:r>
      <w:r w:rsidR="000A5329" w:rsidRPr="002029AF">
        <w:t xml:space="preserve"> </w:t>
      </w:r>
      <w:r w:rsidR="00CF72D5" w:rsidRPr="002029AF">
        <w:t>Crematoria</w:t>
      </w:r>
      <w:r w:rsidR="000A5329" w:rsidRPr="002029AF">
        <w:t xml:space="preserve"> </w:t>
      </w:r>
      <w:r w:rsidR="00CF72D5" w:rsidRPr="002029AF">
        <w:t>Act</w:t>
      </w:r>
      <w:r w:rsidR="006F2C99" w:rsidRPr="002029AF">
        <w:t> </w:t>
      </w:r>
      <w:r w:rsidR="00CF72D5" w:rsidRPr="002029AF">
        <w:t>2003</w:t>
      </w:r>
      <w:bookmarkEnd w:id="149"/>
      <w:bookmarkEnd w:id="151"/>
    </w:p>
    <w:p w14:paraId="0F32D088" w14:textId="2F0A6987" w:rsidR="00CF72D5" w:rsidRPr="002029AF" w:rsidRDefault="00CF72D5" w:rsidP="00897193">
      <w:pPr>
        <w:pStyle w:val="ARbody"/>
      </w:pPr>
      <w:r w:rsidRPr="002029AF">
        <w:t>In</w:t>
      </w:r>
      <w:r w:rsidR="000A5329" w:rsidRPr="002029AF">
        <w:t xml:space="preserve"> </w:t>
      </w:r>
      <w:r w:rsidRPr="002029AF">
        <w:t>2009</w:t>
      </w:r>
      <w:r w:rsidR="000A5329" w:rsidRPr="002029AF">
        <w:t xml:space="preserve"> </w:t>
      </w:r>
      <w:r w:rsidRPr="002029AF">
        <w:t>the</w:t>
      </w:r>
      <w:r w:rsidR="000A5329" w:rsidRPr="002029AF">
        <w:t xml:space="preserve"> </w:t>
      </w:r>
      <w:r w:rsidRPr="002029AF">
        <w:rPr>
          <w:i/>
        </w:rPr>
        <w:t>Cemeteries</w:t>
      </w:r>
      <w:r w:rsidR="000A5329" w:rsidRPr="002029AF">
        <w:rPr>
          <w:i/>
        </w:rPr>
        <w:t xml:space="preserve"> </w:t>
      </w:r>
      <w:r w:rsidRPr="002029AF">
        <w:rPr>
          <w:i/>
        </w:rPr>
        <w:t>and</w:t>
      </w:r>
      <w:r w:rsidR="000A5329" w:rsidRPr="002029AF">
        <w:rPr>
          <w:i/>
        </w:rPr>
        <w:t xml:space="preserve"> </w:t>
      </w:r>
      <w:r w:rsidRPr="002029AF">
        <w:rPr>
          <w:i/>
        </w:rPr>
        <w:t>Crematoria</w:t>
      </w:r>
      <w:r w:rsidR="000A5329" w:rsidRPr="002029AF">
        <w:rPr>
          <w:i/>
        </w:rPr>
        <w:t xml:space="preserve"> </w:t>
      </w:r>
      <w:r w:rsidRPr="002029AF">
        <w:rPr>
          <w:i/>
        </w:rPr>
        <w:t>Act</w:t>
      </w:r>
      <w:r w:rsidR="000A5329" w:rsidRPr="002029AF">
        <w:rPr>
          <w:i/>
        </w:rPr>
        <w:t xml:space="preserve"> </w:t>
      </w:r>
      <w:r w:rsidRPr="002029AF">
        <w:rPr>
          <w:i/>
        </w:rPr>
        <w:t>2003</w:t>
      </w:r>
      <w:r w:rsidR="000A5329" w:rsidRPr="002029AF">
        <w:rPr>
          <w:i/>
        </w:rPr>
        <w:t xml:space="preserve"> </w:t>
      </w:r>
      <w:r w:rsidRPr="002029AF">
        <w:t>was</w:t>
      </w:r>
      <w:r w:rsidR="000A5329" w:rsidRPr="002029AF">
        <w:t xml:space="preserve"> </w:t>
      </w:r>
      <w:r w:rsidRPr="002029AF">
        <w:t>amended</w:t>
      </w:r>
      <w:r w:rsidR="000A5329" w:rsidRPr="002029AF">
        <w:t xml:space="preserve"> </w:t>
      </w:r>
      <w:r w:rsidRPr="002029AF">
        <w:t>to</w:t>
      </w:r>
      <w:r w:rsidR="000A5329" w:rsidRPr="002029AF">
        <w:t xml:space="preserve"> </w:t>
      </w:r>
      <w:r w:rsidRPr="002029AF">
        <w:t>require</w:t>
      </w:r>
      <w:r w:rsidR="000A5329" w:rsidRPr="002029AF">
        <w:t xml:space="preserve"> </w:t>
      </w:r>
      <w:r w:rsidRPr="002029AF">
        <w:t>Class</w:t>
      </w:r>
      <w:r w:rsidR="000A5329" w:rsidRPr="002029AF">
        <w:t xml:space="preserve"> </w:t>
      </w:r>
      <w:r w:rsidRPr="002029AF">
        <w:t>A</w:t>
      </w:r>
      <w:r w:rsidR="000A5329" w:rsidRPr="002029AF">
        <w:t xml:space="preserve"> </w:t>
      </w:r>
      <w:r w:rsidRPr="002029AF">
        <w:t>cemetery</w:t>
      </w:r>
      <w:r w:rsidR="000A5329" w:rsidRPr="002029AF">
        <w:t xml:space="preserve"> </w:t>
      </w:r>
      <w:r w:rsidRPr="002029AF">
        <w:t>trusts</w:t>
      </w:r>
      <w:r w:rsidR="000A5329" w:rsidRPr="002029AF">
        <w:t xml:space="preserve"> </w:t>
      </w:r>
      <w:r w:rsidRPr="002029AF">
        <w:t>to</w:t>
      </w:r>
      <w:r w:rsidR="006F2C99" w:rsidRPr="002029AF">
        <w:t> </w:t>
      </w:r>
      <w:r w:rsidRPr="002029AF">
        <w:t>pay</w:t>
      </w:r>
      <w:r w:rsidR="000A5329" w:rsidRPr="002029AF">
        <w:t xml:space="preserve"> </w:t>
      </w:r>
      <w:r w:rsidRPr="002029AF">
        <w:t>a</w:t>
      </w:r>
      <w:r w:rsidR="000A5329" w:rsidRPr="002029AF">
        <w:t xml:space="preserve"> </w:t>
      </w:r>
      <w:r w:rsidRPr="002029AF">
        <w:t>levy.</w:t>
      </w:r>
      <w:r w:rsidR="000A5329" w:rsidRPr="002029AF">
        <w:t xml:space="preserve"> </w:t>
      </w:r>
      <w:r w:rsidRPr="002029AF">
        <w:t>The</w:t>
      </w:r>
      <w:r w:rsidR="000A5329" w:rsidRPr="002029AF">
        <w:t xml:space="preserve"> </w:t>
      </w:r>
      <w:r w:rsidRPr="002029AF">
        <w:t>levy</w:t>
      </w:r>
      <w:r w:rsidR="000A5329" w:rsidRPr="002029AF">
        <w:t xml:space="preserve"> </w:t>
      </w:r>
      <w:r w:rsidRPr="002029AF">
        <w:t>is</w:t>
      </w:r>
      <w:r w:rsidR="000A5329" w:rsidRPr="002029AF">
        <w:t xml:space="preserve"> </w:t>
      </w:r>
      <w:r w:rsidRPr="002029AF">
        <w:t>intended</w:t>
      </w:r>
      <w:r w:rsidR="000A5329" w:rsidRPr="002029AF">
        <w:t xml:space="preserve"> </w:t>
      </w:r>
      <w:r w:rsidRPr="002029AF">
        <w:t>to</w:t>
      </w:r>
      <w:r w:rsidR="000A5329" w:rsidRPr="002029AF">
        <w:t xml:space="preserve"> </w:t>
      </w:r>
      <w:r w:rsidRPr="002029AF">
        <w:t>assist</w:t>
      </w:r>
      <w:r w:rsidR="000A5329" w:rsidRPr="002029AF">
        <w:t xml:space="preserve"> </w:t>
      </w:r>
      <w:r w:rsidRPr="002029AF">
        <w:t>in</w:t>
      </w:r>
      <w:r w:rsidR="000A5329" w:rsidRPr="002029AF">
        <w:t xml:space="preserve"> </w:t>
      </w:r>
      <w:r w:rsidRPr="002029AF">
        <w:t>defraying</w:t>
      </w:r>
      <w:r w:rsidR="000A5329" w:rsidRPr="002029AF">
        <w:t xml:space="preserve"> </w:t>
      </w:r>
      <w:r w:rsidRPr="002029AF">
        <w:t>the</w:t>
      </w:r>
      <w:r w:rsidR="000A5329" w:rsidRPr="002029AF">
        <w:t xml:space="preserve"> </w:t>
      </w:r>
      <w:r w:rsidRPr="002029AF">
        <w:t>cost</w:t>
      </w:r>
      <w:r w:rsidR="000A5329" w:rsidRPr="002029AF">
        <w:t xml:space="preserve"> </w:t>
      </w:r>
      <w:r w:rsidRPr="002029AF">
        <w:t>of</w:t>
      </w:r>
      <w:r w:rsidR="000A5329" w:rsidRPr="002029AF">
        <w:t xml:space="preserve"> </w:t>
      </w:r>
      <w:r w:rsidRPr="002029AF">
        <w:t>administering</w:t>
      </w:r>
      <w:r w:rsidR="000A5329" w:rsidRPr="002029AF">
        <w:t xml:space="preserve"> </w:t>
      </w:r>
      <w:r w:rsidRPr="002029AF">
        <w:t>the</w:t>
      </w:r>
      <w:r w:rsidR="000A5329" w:rsidRPr="002029AF">
        <w:t xml:space="preserve"> </w:t>
      </w:r>
      <w:r w:rsidRPr="002029AF">
        <w:t>Act,</w:t>
      </w:r>
      <w:r w:rsidR="000A5329" w:rsidRPr="002029AF">
        <w:t xml:space="preserve"> </w:t>
      </w:r>
      <w:r w:rsidRPr="002029AF">
        <w:t>make</w:t>
      </w:r>
      <w:r w:rsidR="000A5329" w:rsidRPr="002029AF">
        <w:t xml:space="preserve"> </w:t>
      </w:r>
      <w:r w:rsidRPr="002029AF">
        <w:t>improvements</w:t>
      </w:r>
      <w:r w:rsidR="000A5329" w:rsidRPr="002029AF">
        <w:t xml:space="preserve"> </w:t>
      </w:r>
      <w:r w:rsidRPr="002029AF">
        <w:t>to</w:t>
      </w:r>
      <w:r w:rsidR="000A5329" w:rsidRPr="002029AF">
        <w:t xml:space="preserve"> </w:t>
      </w:r>
      <w:r w:rsidRPr="002029AF">
        <w:t>cemetery</w:t>
      </w:r>
      <w:r w:rsidR="000A5329" w:rsidRPr="002029AF">
        <w:t xml:space="preserve"> </w:t>
      </w:r>
      <w:r w:rsidRPr="002029AF">
        <w:t>trust</w:t>
      </w:r>
      <w:r w:rsidR="000A5329" w:rsidRPr="002029AF">
        <w:t xml:space="preserve"> </w:t>
      </w:r>
      <w:r w:rsidRPr="002029AF">
        <w:t>governance</w:t>
      </w:r>
      <w:r w:rsidR="000A5329" w:rsidRPr="002029AF">
        <w:t xml:space="preserve"> </w:t>
      </w:r>
      <w:r w:rsidRPr="002029AF">
        <w:t>and</w:t>
      </w:r>
      <w:r w:rsidR="000A5329" w:rsidRPr="002029AF">
        <w:t xml:space="preserve"> </w:t>
      </w:r>
      <w:r w:rsidRPr="002029AF">
        <w:t>administration,</w:t>
      </w:r>
      <w:r w:rsidR="000A5329" w:rsidRPr="002029AF">
        <w:t xml:space="preserve"> </w:t>
      </w:r>
      <w:r w:rsidRPr="002029AF">
        <w:t>and</w:t>
      </w:r>
      <w:r w:rsidR="000A5329" w:rsidRPr="002029AF">
        <w:t xml:space="preserve"> </w:t>
      </w:r>
      <w:r w:rsidRPr="002029AF">
        <w:t>to</w:t>
      </w:r>
      <w:r w:rsidR="000A5329" w:rsidRPr="002029AF">
        <w:t xml:space="preserve"> </w:t>
      </w:r>
      <w:r w:rsidRPr="002029AF">
        <w:t>provide</w:t>
      </w:r>
      <w:r w:rsidR="000A5329" w:rsidRPr="002029AF">
        <w:t xml:space="preserve"> </w:t>
      </w:r>
      <w:r w:rsidRPr="002029AF">
        <w:t>services</w:t>
      </w:r>
      <w:r w:rsidR="000A5329" w:rsidRPr="002029AF">
        <w:t xml:space="preserve"> </w:t>
      </w:r>
      <w:r w:rsidRPr="002029AF">
        <w:t>to</w:t>
      </w:r>
      <w:r w:rsidR="000A5329" w:rsidRPr="002029AF">
        <w:t xml:space="preserve"> </w:t>
      </w:r>
      <w:r w:rsidRPr="002029AF">
        <w:t>the</w:t>
      </w:r>
      <w:r w:rsidR="000A5329" w:rsidRPr="002029AF">
        <w:t xml:space="preserve"> </w:t>
      </w:r>
      <w:r w:rsidRPr="002029AF">
        <w:t>community.</w:t>
      </w:r>
    </w:p>
    <w:p w14:paraId="2B76B7FE" w14:textId="51BA68DB" w:rsidR="00CF72D5" w:rsidRPr="002029AF" w:rsidRDefault="00CF72D5" w:rsidP="00897193">
      <w:pPr>
        <w:pStyle w:val="ARbodybeforetable"/>
      </w:pPr>
      <w:r w:rsidRPr="002029AF">
        <w:t>The</w:t>
      </w:r>
      <w:r w:rsidR="000A5329" w:rsidRPr="002029AF">
        <w:t xml:space="preserve"> </w:t>
      </w:r>
      <w:r w:rsidRPr="002029AF">
        <w:t>levy</w:t>
      </w:r>
      <w:r w:rsidR="000A5329" w:rsidRPr="002029AF">
        <w:t xml:space="preserve"> </w:t>
      </w:r>
      <w:r w:rsidRPr="002029AF">
        <w:t>is</w:t>
      </w:r>
      <w:r w:rsidR="000A5329" w:rsidRPr="002029AF">
        <w:t xml:space="preserve"> </w:t>
      </w:r>
      <w:r w:rsidRPr="002029AF">
        <w:t>set</w:t>
      </w:r>
      <w:r w:rsidR="000A5329" w:rsidRPr="002029AF">
        <w:t xml:space="preserve"> </w:t>
      </w:r>
      <w:r w:rsidRPr="002029AF">
        <w:t>at</w:t>
      </w:r>
      <w:r w:rsidR="000A5329" w:rsidRPr="002029AF">
        <w:t xml:space="preserve"> </w:t>
      </w:r>
      <w:r w:rsidR="004B17C0" w:rsidRPr="002029AF">
        <w:t>three</w:t>
      </w:r>
      <w:r w:rsidR="000A5329" w:rsidRPr="002029AF">
        <w:t xml:space="preserve"> </w:t>
      </w:r>
      <w:r w:rsidRPr="002029AF">
        <w:t>per</w:t>
      </w:r>
      <w:r w:rsidR="000A5329" w:rsidRPr="002029AF">
        <w:t xml:space="preserve"> </w:t>
      </w:r>
      <w:r w:rsidRPr="002029AF">
        <w:t>cent,</w:t>
      </w:r>
      <w:r w:rsidR="000A5329" w:rsidRPr="002029AF">
        <w:t xml:space="preserve"> </w:t>
      </w:r>
      <w:r w:rsidRPr="002029AF">
        <w:t>or</w:t>
      </w:r>
      <w:r w:rsidR="000A5329" w:rsidRPr="002029AF">
        <w:t xml:space="preserve"> </w:t>
      </w:r>
      <w:r w:rsidRPr="002029AF">
        <w:t>a</w:t>
      </w:r>
      <w:r w:rsidR="000A5329" w:rsidRPr="002029AF">
        <w:t xml:space="preserve"> </w:t>
      </w:r>
      <w:r w:rsidRPr="002029AF">
        <w:t>rate</w:t>
      </w:r>
      <w:r w:rsidR="000A5329" w:rsidRPr="002029AF">
        <w:t xml:space="preserve"> </w:t>
      </w:r>
      <w:r w:rsidRPr="002029AF">
        <w:t>determined</w:t>
      </w:r>
      <w:r w:rsidR="000A5329" w:rsidRPr="002029AF">
        <w:t xml:space="preserve"> </w:t>
      </w:r>
      <w:r w:rsidRPr="002029AF">
        <w:t>by</w:t>
      </w:r>
      <w:r w:rsidR="000A5329" w:rsidRPr="002029AF">
        <w:t xml:space="preserve"> </w:t>
      </w:r>
      <w:r w:rsidRPr="002029AF">
        <w:t>the</w:t>
      </w:r>
      <w:r w:rsidR="000A5329" w:rsidRPr="002029AF">
        <w:t xml:space="preserve"> </w:t>
      </w:r>
      <w:r w:rsidRPr="002029AF">
        <w:t>Minister</w:t>
      </w:r>
      <w:r w:rsidR="000A5329" w:rsidRPr="002029AF">
        <w:t xml:space="preserve"> </w:t>
      </w:r>
      <w:r w:rsidRPr="002029AF">
        <w:t>for</w:t>
      </w:r>
      <w:r w:rsidR="000A5329" w:rsidRPr="002029AF">
        <w:t xml:space="preserve"> </w:t>
      </w:r>
      <w:r w:rsidRPr="002029AF">
        <w:t>Health</w:t>
      </w:r>
      <w:r w:rsidR="000A5329" w:rsidRPr="002029AF">
        <w:t xml:space="preserve"> </w:t>
      </w:r>
      <w:r w:rsidRPr="002029AF">
        <w:t>up</w:t>
      </w:r>
      <w:r w:rsidR="000A5329" w:rsidRPr="002029AF">
        <w:t xml:space="preserve"> </w:t>
      </w:r>
      <w:r w:rsidRPr="002029AF">
        <w:t>to</w:t>
      </w:r>
      <w:r w:rsidR="000A5329" w:rsidRPr="002029AF">
        <w:t xml:space="preserve"> </w:t>
      </w:r>
      <w:r w:rsidRPr="002029AF">
        <w:t>a</w:t>
      </w:r>
      <w:r w:rsidR="000A5329" w:rsidRPr="002029AF">
        <w:t xml:space="preserve"> </w:t>
      </w:r>
      <w:r w:rsidRPr="002029AF">
        <w:t>maximum</w:t>
      </w:r>
      <w:r w:rsidR="000A5329" w:rsidRPr="002029AF">
        <w:t xml:space="preserve"> </w:t>
      </w:r>
      <w:r w:rsidRPr="002029AF">
        <w:t>of</w:t>
      </w:r>
      <w:r w:rsidR="000A5329" w:rsidRPr="002029AF">
        <w:t xml:space="preserve"> </w:t>
      </w:r>
      <w:r w:rsidR="004B17C0" w:rsidRPr="002029AF">
        <w:t>five</w:t>
      </w:r>
      <w:r w:rsidR="000A5329" w:rsidRPr="002029AF">
        <w:t xml:space="preserve"> </w:t>
      </w:r>
      <w:r w:rsidRPr="002029AF">
        <w:t>per</w:t>
      </w:r>
      <w:r w:rsidR="000A5329" w:rsidRPr="002029AF">
        <w:t xml:space="preserve"> </w:t>
      </w:r>
      <w:r w:rsidRPr="002029AF">
        <w:t>cent,</w:t>
      </w:r>
      <w:r w:rsidR="000A5329" w:rsidRPr="002029AF">
        <w:t xml:space="preserve"> </w:t>
      </w:r>
      <w:r w:rsidRPr="002029AF">
        <w:t>of</w:t>
      </w:r>
      <w:r w:rsidR="000A5329" w:rsidRPr="002029AF">
        <w:t xml:space="preserve"> </w:t>
      </w:r>
      <w:r w:rsidRPr="002029AF">
        <w:t>each</w:t>
      </w:r>
      <w:r w:rsidR="000A5329" w:rsidRPr="002029AF">
        <w:t xml:space="preserve"> </w:t>
      </w:r>
      <w:r w:rsidRPr="002029AF">
        <w:t>Class</w:t>
      </w:r>
      <w:r w:rsidR="000A5329" w:rsidRPr="002029AF">
        <w:t xml:space="preserve"> </w:t>
      </w:r>
      <w:r w:rsidRPr="002029AF">
        <w:t>A</w:t>
      </w:r>
      <w:r w:rsidR="000A5329" w:rsidRPr="002029AF">
        <w:t xml:space="preserve"> </w:t>
      </w:r>
      <w:r w:rsidRPr="002029AF">
        <w:t>cemetery</w:t>
      </w:r>
      <w:r w:rsidR="000A5329" w:rsidRPr="002029AF">
        <w:t xml:space="preserve"> </w:t>
      </w:r>
      <w:r w:rsidRPr="002029AF">
        <w:t>trust’s</w:t>
      </w:r>
      <w:r w:rsidR="000A5329" w:rsidRPr="002029AF">
        <w:t xml:space="preserve"> </w:t>
      </w:r>
      <w:r w:rsidRPr="002029AF">
        <w:t>gross</w:t>
      </w:r>
      <w:r w:rsidR="000A5329" w:rsidRPr="002029AF">
        <w:t xml:space="preserve"> </w:t>
      </w:r>
      <w:r w:rsidRPr="002029AF">
        <w:t>earnings</w:t>
      </w:r>
      <w:r w:rsidR="000A5329" w:rsidRPr="002029AF">
        <w:t xml:space="preserve"> </w:t>
      </w:r>
      <w:r w:rsidRPr="002029AF">
        <w:t>from</w:t>
      </w:r>
      <w:r w:rsidR="000A5329" w:rsidRPr="002029AF">
        <w:t xml:space="preserve"> </w:t>
      </w:r>
      <w:r w:rsidRPr="002029AF">
        <w:t>the</w:t>
      </w:r>
      <w:r w:rsidR="000A5329" w:rsidRPr="002029AF">
        <w:t xml:space="preserve"> </w:t>
      </w:r>
      <w:r w:rsidRPr="002029AF">
        <w:t>previous</w:t>
      </w:r>
      <w:r w:rsidR="000A5329" w:rsidRPr="002029AF">
        <w:t xml:space="preserve"> </w:t>
      </w:r>
      <w:r w:rsidRPr="002029AF">
        <w:t>financial</w:t>
      </w:r>
      <w:r w:rsidR="000A5329" w:rsidRPr="002029AF">
        <w:t xml:space="preserve"> </w:t>
      </w:r>
      <w:r w:rsidRPr="002029AF">
        <w:t>year.</w:t>
      </w:r>
      <w:r w:rsidR="000A5329" w:rsidRPr="002029AF">
        <w:t xml:space="preserve"> </w:t>
      </w:r>
      <w:r w:rsidRPr="002029AF">
        <w:t>The</w:t>
      </w:r>
      <w:r w:rsidR="000A5329" w:rsidRPr="002029AF">
        <w:t xml:space="preserve"> </w:t>
      </w:r>
      <w:r w:rsidRPr="002029AF">
        <w:t>following</w:t>
      </w:r>
      <w:r w:rsidR="000A5329" w:rsidRPr="002029AF">
        <w:t xml:space="preserve"> </w:t>
      </w:r>
      <w:r w:rsidRPr="002029AF">
        <w:t>table</w:t>
      </w:r>
      <w:r w:rsidR="000A5329" w:rsidRPr="002029AF">
        <w:t xml:space="preserve"> </w:t>
      </w:r>
      <w:r w:rsidRPr="002029AF">
        <w:t>details</w:t>
      </w:r>
      <w:r w:rsidR="000A5329" w:rsidRPr="002029AF">
        <w:t xml:space="preserve"> </w:t>
      </w:r>
      <w:r w:rsidRPr="002029AF">
        <w:t>the</w:t>
      </w:r>
      <w:r w:rsidR="000A5329" w:rsidRPr="002029AF">
        <w:t xml:space="preserve"> </w:t>
      </w:r>
      <w:r w:rsidRPr="002029AF">
        <w:t>amount</w:t>
      </w:r>
      <w:r w:rsidR="000A5329" w:rsidRPr="002029AF">
        <w:t xml:space="preserve"> </w:t>
      </w:r>
      <w:r w:rsidRPr="002029AF">
        <w:t>paid</w:t>
      </w:r>
      <w:r w:rsidR="000A5329" w:rsidRPr="002029AF">
        <w:t xml:space="preserve"> </w:t>
      </w:r>
      <w:r w:rsidRPr="002029AF">
        <w:t>as</w:t>
      </w:r>
      <w:r w:rsidR="000A5329" w:rsidRPr="002029AF">
        <w:t xml:space="preserve"> </w:t>
      </w:r>
      <w:r w:rsidRPr="002029AF">
        <w:t>levy,</w:t>
      </w:r>
      <w:r w:rsidR="000A5329" w:rsidRPr="002029AF">
        <w:t xml:space="preserve"> </w:t>
      </w:r>
      <w:r w:rsidRPr="002029AF">
        <w:t>the</w:t>
      </w:r>
      <w:r w:rsidR="000A5329" w:rsidRPr="002029AF">
        <w:t xml:space="preserve"> </w:t>
      </w:r>
      <w:r w:rsidRPr="002029AF">
        <w:t>amount</w:t>
      </w:r>
      <w:r w:rsidR="000A5329" w:rsidRPr="002029AF">
        <w:t xml:space="preserve"> </w:t>
      </w:r>
      <w:r w:rsidRPr="002029AF">
        <w:t>appropriated</w:t>
      </w:r>
      <w:r w:rsidR="000A5329" w:rsidRPr="002029AF">
        <w:t xml:space="preserve"> </w:t>
      </w:r>
      <w:r w:rsidRPr="002029AF">
        <w:t>and</w:t>
      </w:r>
      <w:r w:rsidR="006F2C99" w:rsidRPr="002029AF">
        <w:t> </w:t>
      </w:r>
      <w:r w:rsidRPr="002029AF">
        <w:t>the</w:t>
      </w:r>
      <w:r w:rsidR="000A5329" w:rsidRPr="002029AF">
        <w:t xml:space="preserve"> </w:t>
      </w:r>
      <w:r w:rsidRPr="002029AF">
        <w:t>matters</w:t>
      </w:r>
      <w:r w:rsidR="000A5329" w:rsidRPr="002029AF">
        <w:t xml:space="preserve"> </w:t>
      </w:r>
      <w:r w:rsidRPr="002029AF">
        <w:t>on</w:t>
      </w:r>
      <w:r w:rsidR="000A5329" w:rsidRPr="002029AF">
        <w:t xml:space="preserve"> </w:t>
      </w:r>
      <w:r w:rsidRPr="002029AF">
        <w:t>which</w:t>
      </w:r>
      <w:r w:rsidR="000A5329" w:rsidRPr="002029AF">
        <w:t xml:space="preserve"> </w:t>
      </w:r>
      <w:r w:rsidRPr="002029AF">
        <w:t>the</w:t>
      </w:r>
      <w:r w:rsidR="000A5329" w:rsidRPr="002029AF">
        <w:t xml:space="preserve"> </w:t>
      </w:r>
      <w:r w:rsidRPr="002029AF">
        <w:t>appropriated</w:t>
      </w:r>
      <w:r w:rsidR="000A5329" w:rsidRPr="002029AF">
        <w:t xml:space="preserve"> </w:t>
      </w:r>
      <w:r w:rsidRPr="002029AF">
        <w:t>money</w:t>
      </w:r>
      <w:r w:rsidR="000A5329" w:rsidRPr="002029AF">
        <w:t xml:space="preserve"> </w:t>
      </w:r>
      <w:r w:rsidRPr="002029AF">
        <w:t>was</w:t>
      </w:r>
      <w:r w:rsidR="000A5329" w:rsidRPr="002029AF">
        <w:t xml:space="preserve"> </w:t>
      </w:r>
      <w:r w:rsidRPr="002029AF">
        <w:t>expended.</w:t>
      </w:r>
    </w:p>
    <w:tbl>
      <w:tblPr>
        <w:tblW w:w="4593" w:type="dxa"/>
        <w:tblBorders>
          <w:left w:val="single" w:sz="8" w:space="0" w:color="FFFFFF"/>
          <w:bottom w:val="single" w:sz="4" w:space="0" w:color="auto"/>
          <w:right w:val="single" w:sz="8" w:space="0" w:color="FFFFFF"/>
          <w:insideH w:val="single" w:sz="4" w:space="0" w:color="auto"/>
          <w:insideV w:val="single" w:sz="8" w:space="0" w:color="FFFFFF"/>
        </w:tblBorders>
        <w:tblCellMar>
          <w:left w:w="0" w:type="dxa"/>
          <w:right w:w="0" w:type="dxa"/>
        </w:tblCellMar>
        <w:tblLook w:val="04A0" w:firstRow="1" w:lastRow="0" w:firstColumn="1" w:lastColumn="0" w:noHBand="0" w:noVBand="1"/>
      </w:tblPr>
      <w:tblGrid>
        <w:gridCol w:w="2522"/>
        <w:gridCol w:w="2071"/>
      </w:tblGrid>
      <w:tr w:rsidR="00CF72D5" w:rsidRPr="002029AF" w14:paraId="2798E7B9" w14:textId="77777777" w:rsidTr="00897193">
        <w:trPr>
          <w:cantSplit/>
          <w:tblHeader/>
        </w:trPr>
        <w:tc>
          <w:tcPr>
            <w:tcW w:w="2522" w:type="dxa"/>
            <w:tcMar>
              <w:top w:w="0" w:type="dxa"/>
              <w:left w:w="0" w:type="dxa"/>
              <w:bottom w:w="0" w:type="dxa"/>
              <w:right w:w="108" w:type="dxa"/>
            </w:tcMar>
            <w:vAlign w:val="bottom"/>
            <w:hideMark/>
          </w:tcPr>
          <w:p w14:paraId="047D42CD" w14:textId="29E7B1C4" w:rsidR="00CF72D5" w:rsidRPr="002029AF" w:rsidRDefault="00CF72D5">
            <w:pPr>
              <w:pStyle w:val="ARtablecolhead"/>
              <w:keepNext/>
              <w:rPr>
                <w:rFonts w:eastAsiaTheme="minorHAnsi"/>
              </w:rPr>
            </w:pPr>
            <w:r w:rsidRPr="002029AF">
              <w:t>Collection</w:t>
            </w:r>
            <w:r w:rsidR="000A5329" w:rsidRPr="002029AF">
              <w:t xml:space="preserve"> </w:t>
            </w:r>
            <w:r w:rsidRPr="002029AF">
              <w:t>of</w:t>
            </w:r>
            <w:r w:rsidR="000A5329" w:rsidRPr="002029AF">
              <w:t xml:space="preserve"> </w:t>
            </w:r>
            <w:r w:rsidRPr="002029AF">
              <w:t>levy</w:t>
            </w:r>
          </w:p>
        </w:tc>
        <w:tc>
          <w:tcPr>
            <w:tcW w:w="2071" w:type="dxa"/>
            <w:tcMar>
              <w:top w:w="0" w:type="dxa"/>
              <w:left w:w="0" w:type="dxa"/>
              <w:bottom w:w="0" w:type="dxa"/>
              <w:right w:w="108" w:type="dxa"/>
            </w:tcMar>
            <w:vAlign w:val="bottom"/>
            <w:hideMark/>
          </w:tcPr>
          <w:p w14:paraId="54785670" w14:textId="77777777" w:rsidR="00CF72D5" w:rsidRPr="002029AF" w:rsidRDefault="00CF72D5">
            <w:pPr>
              <w:pStyle w:val="ARtablecolheadright"/>
            </w:pPr>
            <w:r w:rsidRPr="002029AF">
              <w:t>2019–20</w:t>
            </w:r>
          </w:p>
        </w:tc>
      </w:tr>
      <w:tr w:rsidR="00CF72D5" w:rsidRPr="002029AF" w14:paraId="2B7629B4" w14:textId="77777777" w:rsidTr="00897193">
        <w:trPr>
          <w:cantSplit/>
        </w:trPr>
        <w:tc>
          <w:tcPr>
            <w:tcW w:w="2522" w:type="dxa"/>
            <w:tcMar>
              <w:top w:w="0" w:type="dxa"/>
              <w:left w:w="0" w:type="dxa"/>
              <w:bottom w:w="0" w:type="dxa"/>
              <w:right w:w="108" w:type="dxa"/>
            </w:tcMar>
            <w:hideMark/>
          </w:tcPr>
          <w:p w14:paraId="2FFE604D" w14:textId="400DB5B4" w:rsidR="00CF72D5" w:rsidRPr="002029AF" w:rsidRDefault="00CF72D5">
            <w:pPr>
              <w:pStyle w:val="ARtabletext"/>
            </w:pPr>
            <w:r w:rsidRPr="002029AF">
              <w:t>Metropolitan</w:t>
            </w:r>
            <w:r w:rsidR="000A5329" w:rsidRPr="002029AF">
              <w:t xml:space="preserve"> </w:t>
            </w:r>
            <w:r w:rsidRPr="002029AF">
              <w:t>trusts</w:t>
            </w:r>
          </w:p>
        </w:tc>
        <w:tc>
          <w:tcPr>
            <w:tcW w:w="2071" w:type="dxa"/>
            <w:tcMar>
              <w:top w:w="0" w:type="dxa"/>
              <w:left w:w="0" w:type="dxa"/>
              <w:bottom w:w="0" w:type="dxa"/>
              <w:right w:w="108" w:type="dxa"/>
            </w:tcMar>
            <w:hideMark/>
          </w:tcPr>
          <w:p w14:paraId="4CC13760" w14:textId="7DE0FE29" w:rsidR="00CF72D5" w:rsidRPr="002029AF" w:rsidRDefault="00CF72D5">
            <w:pPr>
              <w:pStyle w:val="ARtabletextright"/>
            </w:pPr>
            <w:r w:rsidRPr="002029AF">
              <w:t>$</w:t>
            </w:r>
            <w:r w:rsidRPr="002029AF">
              <w:rPr>
                <w:b/>
                <w:bCs/>
                <w:color w:val="000000"/>
              </w:rPr>
              <w:t>4,479,000</w:t>
            </w:r>
          </w:p>
        </w:tc>
      </w:tr>
      <w:tr w:rsidR="00CF72D5" w:rsidRPr="002029AF" w14:paraId="2219B469" w14:textId="77777777" w:rsidTr="00897193">
        <w:trPr>
          <w:cantSplit/>
        </w:trPr>
        <w:tc>
          <w:tcPr>
            <w:tcW w:w="2522" w:type="dxa"/>
            <w:tcMar>
              <w:top w:w="0" w:type="dxa"/>
              <w:left w:w="0" w:type="dxa"/>
              <w:bottom w:w="0" w:type="dxa"/>
              <w:right w:w="108" w:type="dxa"/>
            </w:tcMar>
            <w:hideMark/>
          </w:tcPr>
          <w:p w14:paraId="6F2AB155" w14:textId="50B8B8CA" w:rsidR="00CF72D5" w:rsidRPr="002029AF" w:rsidRDefault="00CF72D5">
            <w:pPr>
              <w:pStyle w:val="ARtabletext"/>
            </w:pPr>
            <w:r w:rsidRPr="002029AF">
              <w:t>Rural</w:t>
            </w:r>
            <w:r w:rsidR="000A5329" w:rsidRPr="002029AF">
              <w:t xml:space="preserve"> </w:t>
            </w:r>
            <w:r w:rsidRPr="002029AF">
              <w:t>trusts</w:t>
            </w:r>
          </w:p>
        </w:tc>
        <w:tc>
          <w:tcPr>
            <w:tcW w:w="2071" w:type="dxa"/>
            <w:tcMar>
              <w:top w:w="0" w:type="dxa"/>
              <w:left w:w="0" w:type="dxa"/>
              <w:bottom w:w="0" w:type="dxa"/>
              <w:right w:w="108" w:type="dxa"/>
            </w:tcMar>
            <w:hideMark/>
          </w:tcPr>
          <w:p w14:paraId="53E20D01" w14:textId="3B835897" w:rsidR="00CF72D5" w:rsidRPr="002029AF" w:rsidRDefault="00CF72D5">
            <w:pPr>
              <w:pStyle w:val="ARtabletextright"/>
            </w:pPr>
            <w:r w:rsidRPr="002029AF">
              <w:rPr>
                <w:b/>
                <w:bCs/>
                <w:color w:val="000000"/>
              </w:rPr>
              <w:t>$351,466</w:t>
            </w:r>
          </w:p>
        </w:tc>
      </w:tr>
      <w:tr w:rsidR="00CF72D5" w:rsidRPr="002029AF" w14:paraId="5C266CA3" w14:textId="77777777" w:rsidTr="00897193">
        <w:trPr>
          <w:cantSplit/>
        </w:trPr>
        <w:tc>
          <w:tcPr>
            <w:tcW w:w="2522" w:type="dxa"/>
            <w:tcMar>
              <w:top w:w="0" w:type="dxa"/>
              <w:left w:w="0" w:type="dxa"/>
              <w:bottom w:w="0" w:type="dxa"/>
              <w:right w:w="108" w:type="dxa"/>
            </w:tcMar>
            <w:hideMark/>
          </w:tcPr>
          <w:p w14:paraId="4F2AD9D7" w14:textId="0DBD36E2" w:rsidR="00CF72D5" w:rsidRPr="002029AF" w:rsidRDefault="00CF72D5">
            <w:pPr>
              <w:pStyle w:val="ARtabletextbold"/>
            </w:pPr>
            <w:r w:rsidRPr="002029AF">
              <w:t>Total</w:t>
            </w:r>
            <w:r w:rsidR="000A5329" w:rsidRPr="002029AF">
              <w:t xml:space="preserve"> </w:t>
            </w:r>
            <w:r w:rsidRPr="002029AF">
              <w:t>amount</w:t>
            </w:r>
            <w:r w:rsidR="000A5329" w:rsidRPr="002029AF">
              <w:t xml:space="preserve"> </w:t>
            </w:r>
            <w:r w:rsidRPr="002029AF">
              <w:t>collected</w:t>
            </w:r>
          </w:p>
        </w:tc>
        <w:tc>
          <w:tcPr>
            <w:tcW w:w="2071" w:type="dxa"/>
            <w:tcMar>
              <w:top w:w="0" w:type="dxa"/>
              <w:left w:w="0" w:type="dxa"/>
              <w:bottom w:w="0" w:type="dxa"/>
              <w:right w:w="108" w:type="dxa"/>
            </w:tcMar>
            <w:hideMark/>
          </w:tcPr>
          <w:p w14:paraId="39F3E1B3" w14:textId="38EA6FB3" w:rsidR="00CF72D5" w:rsidRPr="002029AF" w:rsidRDefault="00CF72D5">
            <w:pPr>
              <w:pStyle w:val="ARtabletextright"/>
              <w:rPr>
                <w:b/>
                <w:bCs/>
              </w:rPr>
            </w:pPr>
            <w:r w:rsidRPr="002029AF">
              <w:rPr>
                <w:b/>
                <w:bCs/>
                <w:color w:val="000000"/>
              </w:rPr>
              <w:t>$4,830,466</w:t>
            </w:r>
          </w:p>
        </w:tc>
      </w:tr>
    </w:tbl>
    <w:p w14:paraId="49229689" w14:textId="77777777" w:rsidR="00CF72D5" w:rsidRPr="002029AF" w:rsidRDefault="00CF72D5" w:rsidP="00897193">
      <w:pPr>
        <w:pStyle w:val="ARbody"/>
      </w:pPr>
    </w:p>
    <w:tbl>
      <w:tblPr>
        <w:tblW w:w="4593" w:type="dxa"/>
        <w:tblBorders>
          <w:left w:val="single" w:sz="8" w:space="0" w:color="FFFFFF"/>
          <w:bottom w:val="single" w:sz="4" w:space="0" w:color="auto"/>
          <w:right w:val="single" w:sz="8" w:space="0" w:color="FFFFFF"/>
          <w:insideH w:val="single" w:sz="4" w:space="0" w:color="auto"/>
          <w:insideV w:val="single" w:sz="8" w:space="0" w:color="FFFFFF"/>
        </w:tblBorders>
        <w:tblCellMar>
          <w:left w:w="0" w:type="dxa"/>
          <w:right w:w="0" w:type="dxa"/>
        </w:tblCellMar>
        <w:tblLook w:val="04A0" w:firstRow="1" w:lastRow="0" w:firstColumn="1" w:lastColumn="0" w:noHBand="0" w:noVBand="1"/>
      </w:tblPr>
      <w:tblGrid>
        <w:gridCol w:w="2873"/>
        <w:gridCol w:w="1720"/>
      </w:tblGrid>
      <w:tr w:rsidR="00CF72D5" w:rsidRPr="002029AF" w14:paraId="40482F98" w14:textId="77777777" w:rsidTr="00897193">
        <w:trPr>
          <w:cantSplit/>
          <w:tblHeader/>
        </w:trPr>
        <w:tc>
          <w:tcPr>
            <w:tcW w:w="2873" w:type="dxa"/>
            <w:tcMar>
              <w:top w:w="0" w:type="dxa"/>
              <w:left w:w="0" w:type="dxa"/>
              <w:bottom w:w="0" w:type="dxa"/>
              <w:right w:w="108" w:type="dxa"/>
            </w:tcMar>
            <w:vAlign w:val="bottom"/>
            <w:hideMark/>
          </w:tcPr>
          <w:p w14:paraId="4EF5E022" w14:textId="43654D49" w:rsidR="00CF72D5" w:rsidRPr="002029AF" w:rsidRDefault="00CF72D5">
            <w:pPr>
              <w:pStyle w:val="ARtablecolhead"/>
            </w:pPr>
            <w:r w:rsidRPr="002029AF">
              <w:t>Departmental</w:t>
            </w:r>
            <w:r w:rsidR="000A5329" w:rsidRPr="002029AF">
              <w:t xml:space="preserve"> </w:t>
            </w:r>
            <w:r w:rsidRPr="002029AF">
              <w:t>expenditure</w:t>
            </w:r>
            <w:r w:rsidR="000A5329" w:rsidRPr="002029AF">
              <w:t xml:space="preserve"> </w:t>
            </w:r>
            <w:r w:rsidRPr="002029AF">
              <w:t>(category)</w:t>
            </w:r>
          </w:p>
        </w:tc>
        <w:tc>
          <w:tcPr>
            <w:tcW w:w="1720" w:type="dxa"/>
            <w:tcMar>
              <w:top w:w="0" w:type="dxa"/>
              <w:left w:w="0" w:type="dxa"/>
              <w:bottom w:w="0" w:type="dxa"/>
              <w:right w:w="108" w:type="dxa"/>
            </w:tcMar>
            <w:vAlign w:val="bottom"/>
            <w:hideMark/>
          </w:tcPr>
          <w:p w14:paraId="49A45470" w14:textId="52DC2AC8" w:rsidR="00CF72D5" w:rsidRPr="002029AF" w:rsidRDefault="00CF72D5">
            <w:pPr>
              <w:pStyle w:val="ARtablecolheadright"/>
            </w:pPr>
            <w:r w:rsidRPr="002029AF">
              <w:t>201</w:t>
            </w:r>
            <w:r w:rsidR="00DB53E6" w:rsidRPr="002029AF">
              <w:t>9–</w:t>
            </w:r>
            <w:r w:rsidRPr="002029AF">
              <w:t>20</w:t>
            </w:r>
          </w:p>
        </w:tc>
      </w:tr>
      <w:tr w:rsidR="00CF72D5" w:rsidRPr="002029AF" w14:paraId="1A065CC6" w14:textId="77777777" w:rsidTr="00897193">
        <w:trPr>
          <w:cantSplit/>
        </w:trPr>
        <w:tc>
          <w:tcPr>
            <w:tcW w:w="2873" w:type="dxa"/>
            <w:tcMar>
              <w:top w:w="0" w:type="dxa"/>
              <w:left w:w="0" w:type="dxa"/>
              <w:bottom w:w="0" w:type="dxa"/>
              <w:right w:w="108" w:type="dxa"/>
            </w:tcMar>
            <w:hideMark/>
          </w:tcPr>
          <w:p w14:paraId="2C56AB11" w14:textId="6AB9C3E1" w:rsidR="00CF72D5" w:rsidRPr="002029AF" w:rsidRDefault="00CF72D5">
            <w:pPr>
              <w:pStyle w:val="ARtabletext"/>
            </w:pPr>
            <w:r w:rsidRPr="002029AF">
              <w:t>Sector</w:t>
            </w:r>
            <w:r w:rsidR="000A5329" w:rsidRPr="002029AF">
              <w:t xml:space="preserve"> </w:t>
            </w:r>
            <w:r w:rsidRPr="002029AF">
              <w:t>reform</w:t>
            </w:r>
            <w:r w:rsidR="000A5329" w:rsidRPr="002029AF">
              <w:t xml:space="preserve"> </w:t>
            </w:r>
            <w:r w:rsidRPr="002029AF">
              <w:t>initiatives</w:t>
            </w:r>
          </w:p>
        </w:tc>
        <w:tc>
          <w:tcPr>
            <w:tcW w:w="1720" w:type="dxa"/>
            <w:tcMar>
              <w:top w:w="0" w:type="dxa"/>
              <w:left w:w="0" w:type="dxa"/>
              <w:bottom w:w="0" w:type="dxa"/>
              <w:right w:w="108" w:type="dxa"/>
            </w:tcMar>
            <w:hideMark/>
          </w:tcPr>
          <w:p w14:paraId="13ED84A5" w14:textId="77777777" w:rsidR="00CF72D5" w:rsidRPr="002029AF" w:rsidRDefault="00CF72D5">
            <w:pPr>
              <w:pStyle w:val="ARtabletextright"/>
            </w:pPr>
            <w:r w:rsidRPr="002029AF">
              <w:t>$0</w:t>
            </w:r>
          </w:p>
        </w:tc>
      </w:tr>
      <w:tr w:rsidR="00CF72D5" w:rsidRPr="002029AF" w14:paraId="571E4E1E" w14:textId="77777777" w:rsidTr="00897193">
        <w:trPr>
          <w:cantSplit/>
        </w:trPr>
        <w:tc>
          <w:tcPr>
            <w:tcW w:w="2873" w:type="dxa"/>
            <w:tcMar>
              <w:top w:w="0" w:type="dxa"/>
              <w:left w:w="0" w:type="dxa"/>
              <w:bottom w:w="0" w:type="dxa"/>
              <w:right w:w="108" w:type="dxa"/>
            </w:tcMar>
            <w:hideMark/>
          </w:tcPr>
          <w:p w14:paraId="0121DF91" w14:textId="5533671B" w:rsidR="00CF72D5" w:rsidRPr="002029AF" w:rsidRDefault="00CF72D5">
            <w:pPr>
              <w:pStyle w:val="ARtabletext"/>
            </w:pPr>
            <w:r w:rsidRPr="002029AF">
              <w:t>Governance</w:t>
            </w:r>
            <w:r w:rsidR="000A5329" w:rsidRPr="002029AF">
              <w:t xml:space="preserve"> </w:t>
            </w:r>
            <w:r w:rsidRPr="002029AF">
              <w:t>support</w:t>
            </w:r>
          </w:p>
        </w:tc>
        <w:tc>
          <w:tcPr>
            <w:tcW w:w="1720" w:type="dxa"/>
            <w:tcMar>
              <w:top w:w="0" w:type="dxa"/>
              <w:left w:w="0" w:type="dxa"/>
              <w:bottom w:w="0" w:type="dxa"/>
              <w:right w:w="108" w:type="dxa"/>
            </w:tcMar>
            <w:hideMark/>
          </w:tcPr>
          <w:p w14:paraId="0B8A63AB" w14:textId="77777777" w:rsidR="00CF72D5" w:rsidRPr="002029AF" w:rsidRDefault="00CF72D5">
            <w:pPr>
              <w:pStyle w:val="ARtabletextright"/>
            </w:pPr>
            <w:r w:rsidRPr="002029AF">
              <w:t>$1,144,626</w:t>
            </w:r>
          </w:p>
        </w:tc>
      </w:tr>
      <w:tr w:rsidR="00CF72D5" w:rsidRPr="002029AF" w14:paraId="1663E046" w14:textId="77777777" w:rsidTr="00897193">
        <w:trPr>
          <w:cantSplit/>
        </w:trPr>
        <w:tc>
          <w:tcPr>
            <w:tcW w:w="2873" w:type="dxa"/>
            <w:tcMar>
              <w:top w:w="0" w:type="dxa"/>
              <w:left w:w="0" w:type="dxa"/>
              <w:bottom w:w="0" w:type="dxa"/>
              <w:right w:w="108" w:type="dxa"/>
            </w:tcMar>
            <w:hideMark/>
          </w:tcPr>
          <w:p w14:paraId="40A7C6AD" w14:textId="2471392F" w:rsidR="00CF72D5" w:rsidRPr="002029AF" w:rsidRDefault="00CF72D5">
            <w:pPr>
              <w:pStyle w:val="ARtabletext"/>
            </w:pPr>
            <w:r w:rsidRPr="002029AF">
              <w:t>Sector</w:t>
            </w:r>
            <w:r w:rsidR="000A5329" w:rsidRPr="002029AF">
              <w:t xml:space="preserve"> </w:t>
            </w:r>
            <w:r w:rsidRPr="002029AF">
              <w:t>grants</w:t>
            </w:r>
          </w:p>
        </w:tc>
        <w:tc>
          <w:tcPr>
            <w:tcW w:w="1720" w:type="dxa"/>
            <w:tcMar>
              <w:top w:w="0" w:type="dxa"/>
              <w:left w:w="0" w:type="dxa"/>
              <w:bottom w:w="0" w:type="dxa"/>
              <w:right w:w="108" w:type="dxa"/>
            </w:tcMar>
            <w:hideMark/>
          </w:tcPr>
          <w:p w14:paraId="7F7DC10C" w14:textId="77777777" w:rsidR="00CF72D5" w:rsidRPr="002029AF" w:rsidRDefault="00CF72D5">
            <w:pPr>
              <w:pStyle w:val="ARtabletextright"/>
            </w:pPr>
            <w:r w:rsidRPr="002029AF">
              <w:t>$2,438,517</w:t>
            </w:r>
          </w:p>
        </w:tc>
      </w:tr>
      <w:tr w:rsidR="00CF72D5" w:rsidRPr="002029AF" w14:paraId="6B98DC28" w14:textId="77777777" w:rsidTr="00897193">
        <w:trPr>
          <w:cantSplit/>
        </w:trPr>
        <w:tc>
          <w:tcPr>
            <w:tcW w:w="2873" w:type="dxa"/>
            <w:tcMar>
              <w:top w:w="0" w:type="dxa"/>
              <w:left w:w="0" w:type="dxa"/>
              <w:bottom w:w="0" w:type="dxa"/>
              <w:right w:w="108" w:type="dxa"/>
            </w:tcMar>
            <w:hideMark/>
          </w:tcPr>
          <w:p w14:paraId="109F9B19" w14:textId="2808927E" w:rsidR="00CF72D5" w:rsidRPr="002029AF" w:rsidRDefault="00CF72D5">
            <w:pPr>
              <w:pStyle w:val="ARtabletext"/>
            </w:pPr>
            <w:r w:rsidRPr="002029AF">
              <w:t>Sector</w:t>
            </w:r>
            <w:r w:rsidR="000A5329" w:rsidRPr="002029AF">
              <w:t xml:space="preserve"> </w:t>
            </w:r>
            <w:r w:rsidRPr="002029AF">
              <w:t>policy,</w:t>
            </w:r>
            <w:r w:rsidR="000A5329" w:rsidRPr="002029AF">
              <w:t xml:space="preserve"> </w:t>
            </w:r>
            <w:r w:rsidRPr="002029AF">
              <w:t>development</w:t>
            </w:r>
            <w:r w:rsidR="000A5329" w:rsidRPr="002029AF">
              <w:t xml:space="preserve"> </w:t>
            </w:r>
            <w:r w:rsidRPr="002029AF">
              <w:t>and</w:t>
            </w:r>
            <w:r w:rsidR="000A5329" w:rsidRPr="002029AF">
              <w:t xml:space="preserve"> </w:t>
            </w:r>
            <w:r w:rsidRPr="002029AF">
              <w:t>coordination</w:t>
            </w:r>
          </w:p>
        </w:tc>
        <w:tc>
          <w:tcPr>
            <w:tcW w:w="1720" w:type="dxa"/>
            <w:tcMar>
              <w:top w:w="0" w:type="dxa"/>
              <w:left w:w="0" w:type="dxa"/>
              <w:bottom w:w="0" w:type="dxa"/>
              <w:right w:w="108" w:type="dxa"/>
            </w:tcMar>
            <w:hideMark/>
          </w:tcPr>
          <w:p w14:paraId="560DD45D" w14:textId="77777777" w:rsidR="00CF72D5" w:rsidRPr="002029AF" w:rsidRDefault="00CF72D5">
            <w:pPr>
              <w:pStyle w:val="ARtabletextright"/>
            </w:pPr>
            <w:r w:rsidRPr="002029AF">
              <w:t>$381,542</w:t>
            </w:r>
          </w:p>
        </w:tc>
      </w:tr>
      <w:tr w:rsidR="00CF72D5" w:rsidRPr="002029AF" w14:paraId="4B830710" w14:textId="77777777" w:rsidTr="003048F1">
        <w:trPr>
          <w:cantSplit/>
        </w:trPr>
        <w:tc>
          <w:tcPr>
            <w:tcW w:w="2873" w:type="dxa"/>
            <w:tcBorders>
              <w:bottom w:val="single" w:sz="4" w:space="0" w:color="auto"/>
            </w:tcBorders>
            <w:tcMar>
              <w:top w:w="0" w:type="dxa"/>
              <w:left w:w="0" w:type="dxa"/>
              <w:bottom w:w="0" w:type="dxa"/>
              <w:right w:w="108" w:type="dxa"/>
            </w:tcMar>
            <w:hideMark/>
          </w:tcPr>
          <w:p w14:paraId="6242EBB5" w14:textId="084D67CA" w:rsidR="00CF72D5" w:rsidRPr="002029AF" w:rsidRDefault="00CF72D5">
            <w:pPr>
              <w:pStyle w:val="ARtabletext"/>
            </w:pPr>
            <w:r w:rsidRPr="002029AF">
              <w:t>Insurance</w:t>
            </w:r>
            <w:r w:rsidR="000A5329" w:rsidRPr="002029AF">
              <w:t xml:space="preserve"> </w:t>
            </w:r>
            <w:r w:rsidRPr="002029AF">
              <w:t>premiums</w:t>
            </w:r>
            <w:r w:rsidR="000A5329" w:rsidRPr="002029AF">
              <w:t xml:space="preserve"> </w:t>
            </w:r>
            <w:r w:rsidRPr="002029AF">
              <w:t>and</w:t>
            </w:r>
            <w:r w:rsidR="000A5329" w:rsidRPr="002029AF">
              <w:t xml:space="preserve"> </w:t>
            </w:r>
            <w:r w:rsidRPr="002029AF">
              <w:t>claims</w:t>
            </w:r>
          </w:p>
        </w:tc>
        <w:tc>
          <w:tcPr>
            <w:tcW w:w="1720" w:type="dxa"/>
            <w:tcBorders>
              <w:bottom w:val="single" w:sz="4" w:space="0" w:color="auto"/>
            </w:tcBorders>
            <w:tcMar>
              <w:top w:w="0" w:type="dxa"/>
              <w:left w:w="0" w:type="dxa"/>
              <w:bottom w:w="0" w:type="dxa"/>
              <w:right w:w="108" w:type="dxa"/>
            </w:tcMar>
            <w:hideMark/>
          </w:tcPr>
          <w:p w14:paraId="3C595E4A" w14:textId="77777777" w:rsidR="00CF72D5" w:rsidRPr="002029AF" w:rsidRDefault="00CF72D5">
            <w:pPr>
              <w:pStyle w:val="ARtabletextright"/>
            </w:pPr>
            <w:r w:rsidRPr="002029AF">
              <w:t>$1,675,569</w:t>
            </w:r>
          </w:p>
        </w:tc>
      </w:tr>
      <w:tr w:rsidR="00CF72D5" w:rsidRPr="002029AF" w14:paraId="6EAABAD5" w14:textId="77777777" w:rsidTr="003048F1">
        <w:trPr>
          <w:cantSplit/>
        </w:trPr>
        <w:tc>
          <w:tcPr>
            <w:tcW w:w="2873" w:type="dxa"/>
            <w:tcBorders>
              <w:top w:val="single" w:sz="4" w:space="0" w:color="auto"/>
              <w:bottom w:val="single" w:sz="4" w:space="0" w:color="auto"/>
            </w:tcBorders>
            <w:tcMar>
              <w:top w:w="0" w:type="dxa"/>
              <w:left w:w="0" w:type="dxa"/>
              <w:bottom w:w="0" w:type="dxa"/>
              <w:right w:w="108" w:type="dxa"/>
            </w:tcMar>
            <w:hideMark/>
          </w:tcPr>
          <w:p w14:paraId="7CB2C3E8" w14:textId="5CEC4648" w:rsidR="00CF72D5" w:rsidRPr="002029AF" w:rsidRDefault="00CF72D5">
            <w:pPr>
              <w:pStyle w:val="ARtabletextbold"/>
            </w:pPr>
            <w:r w:rsidRPr="002029AF">
              <w:t>Total</w:t>
            </w:r>
            <w:r w:rsidR="000A5329" w:rsidRPr="002029AF">
              <w:t xml:space="preserve"> </w:t>
            </w:r>
            <w:r w:rsidRPr="002029AF">
              <w:t>expenditure</w:t>
            </w:r>
          </w:p>
        </w:tc>
        <w:tc>
          <w:tcPr>
            <w:tcW w:w="1720" w:type="dxa"/>
            <w:tcBorders>
              <w:top w:val="single" w:sz="4" w:space="0" w:color="auto"/>
              <w:bottom w:val="single" w:sz="4" w:space="0" w:color="auto"/>
            </w:tcBorders>
            <w:tcMar>
              <w:top w:w="0" w:type="dxa"/>
              <w:left w:w="0" w:type="dxa"/>
              <w:bottom w:w="0" w:type="dxa"/>
              <w:right w:w="108" w:type="dxa"/>
            </w:tcMar>
            <w:hideMark/>
          </w:tcPr>
          <w:p w14:paraId="711285FA" w14:textId="77777777" w:rsidR="00CF72D5" w:rsidRPr="002029AF" w:rsidRDefault="00CF72D5">
            <w:pPr>
              <w:pStyle w:val="ARtabletextright"/>
              <w:rPr>
                <w:b/>
                <w:bCs/>
              </w:rPr>
            </w:pPr>
            <w:r w:rsidRPr="002029AF">
              <w:rPr>
                <w:b/>
                <w:bCs/>
              </w:rPr>
              <w:t>$5,640,254</w:t>
            </w:r>
          </w:p>
        </w:tc>
      </w:tr>
    </w:tbl>
    <w:p w14:paraId="60971B01" w14:textId="4E08C977" w:rsidR="00861C86" w:rsidRPr="002029AF" w:rsidRDefault="00861C86" w:rsidP="006F2C99">
      <w:pPr>
        <w:pStyle w:val="ARbody"/>
      </w:pPr>
      <w:bookmarkStart w:id="152" w:name="_Ref525207539"/>
      <w:bookmarkStart w:id="153" w:name="_Ref21960989"/>
      <w:bookmarkEnd w:id="150"/>
      <w:bookmarkEnd w:id="152"/>
      <w:r w:rsidRPr="002029AF">
        <w:br w:type="page"/>
      </w:r>
    </w:p>
    <w:p w14:paraId="3A8BF9CB" w14:textId="1C9FB226" w:rsidR="00CF72D5" w:rsidRPr="002029AF" w:rsidRDefault="00CF72D5" w:rsidP="00897193">
      <w:pPr>
        <w:pStyle w:val="Heading2"/>
      </w:pPr>
      <w:bookmarkStart w:id="154" w:name="_Toc54690792"/>
      <w:r w:rsidRPr="002029AF">
        <w:lastRenderedPageBreak/>
        <w:t>Public</w:t>
      </w:r>
      <w:r w:rsidR="000A5329" w:rsidRPr="002029AF">
        <w:t xml:space="preserve"> </w:t>
      </w:r>
      <w:r w:rsidRPr="002029AF">
        <w:t>Health</w:t>
      </w:r>
      <w:r w:rsidR="000A5329" w:rsidRPr="002029AF">
        <w:t xml:space="preserve"> </w:t>
      </w:r>
      <w:r w:rsidRPr="002029AF">
        <w:t>and</w:t>
      </w:r>
      <w:r w:rsidR="000A5329" w:rsidRPr="002029AF">
        <w:t xml:space="preserve"> </w:t>
      </w:r>
      <w:r w:rsidRPr="002029AF">
        <w:t>Wellbeing</w:t>
      </w:r>
      <w:r w:rsidR="000A5329" w:rsidRPr="002029AF">
        <w:t xml:space="preserve"> </w:t>
      </w:r>
      <w:r w:rsidRPr="002029AF">
        <w:t>Act</w:t>
      </w:r>
      <w:r w:rsidR="006F2C99" w:rsidRPr="002029AF">
        <w:t> </w:t>
      </w:r>
      <w:r w:rsidRPr="002029AF">
        <w:t>2008</w:t>
      </w:r>
      <w:bookmarkEnd w:id="153"/>
      <w:bookmarkEnd w:id="154"/>
    </w:p>
    <w:p w14:paraId="26FAAEC0" w14:textId="150069D9" w:rsidR="00CF72D5" w:rsidRPr="002029AF" w:rsidRDefault="00CF72D5" w:rsidP="00897193">
      <w:pPr>
        <w:pStyle w:val="ARbody"/>
      </w:pPr>
      <w:r w:rsidRPr="002029AF">
        <w:t>The</w:t>
      </w:r>
      <w:r w:rsidR="000A5329" w:rsidRPr="002029AF">
        <w:t xml:space="preserve"> </w:t>
      </w:r>
      <w:r w:rsidRPr="002029AF">
        <w:rPr>
          <w:i/>
        </w:rPr>
        <w:t>Public</w:t>
      </w:r>
      <w:r w:rsidR="000A5329" w:rsidRPr="002029AF">
        <w:rPr>
          <w:i/>
        </w:rPr>
        <w:t xml:space="preserve"> </w:t>
      </w:r>
      <w:r w:rsidRPr="002029AF">
        <w:rPr>
          <w:i/>
        </w:rPr>
        <w:t>Health</w:t>
      </w:r>
      <w:r w:rsidR="000A5329" w:rsidRPr="002029AF">
        <w:rPr>
          <w:i/>
        </w:rPr>
        <w:t xml:space="preserve"> </w:t>
      </w:r>
      <w:r w:rsidRPr="002029AF">
        <w:rPr>
          <w:i/>
        </w:rPr>
        <w:t>and</w:t>
      </w:r>
      <w:r w:rsidR="000A5329" w:rsidRPr="002029AF">
        <w:rPr>
          <w:i/>
        </w:rPr>
        <w:t xml:space="preserve"> </w:t>
      </w:r>
      <w:r w:rsidRPr="002029AF">
        <w:rPr>
          <w:i/>
        </w:rPr>
        <w:t>Wellbeing</w:t>
      </w:r>
      <w:r w:rsidR="000A5329" w:rsidRPr="002029AF">
        <w:rPr>
          <w:i/>
        </w:rPr>
        <w:t xml:space="preserve"> </w:t>
      </w:r>
      <w:r w:rsidRPr="002029AF">
        <w:rPr>
          <w:i/>
        </w:rPr>
        <w:t>Act</w:t>
      </w:r>
      <w:r w:rsidR="000A5329" w:rsidRPr="002029AF">
        <w:rPr>
          <w:i/>
        </w:rPr>
        <w:t xml:space="preserve"> </w:t>
      </w:r>
      <w:r w:rsidRPr="002029AF">
        <w:rPr>
          <w:i/>
        </w:rPr>
        <w:t>2008</w:t>
      </w:r>
      <w:r w:rsidR="000A5329" w:rsidRPr="002029AF">
        <w:rPr>
          <w:i/>
        </w:rPr>
        <w:t xml:space="preserve"> </w:t>
      </w:r>
      <w:r w:rsidRPr="002029AF">
        <w:t>(the</w:t>
      </w:r>
      <w:r w:rsidR="000A5329" w:rsidRPr="002029AF">
        <w:t xml:space="preserve"> </w:t>
      </w:r>
      <w:r w:rsidRPr="002029AF">
        <w:t>Act)</w:t>
      </w:r>
      <w:r w:rsidR="000A5329" w:rsidRPr="002029AF">
        <w:rPr>
          <w:i/>
        </w:rPr>
        <w:t xml:space="preserve"> </w:t>
      </w:r>
      <w:r w:rsidRPr="002029AF">
        <w:t>and</w:t>
      </w:r>
      <w:r w:rsidR="000A5329" w:rsidRPr="002029AF">
        <w:t xml:space="preserve"> </w:t>
      </w:r>
      <w:r w:rsidRPr="002029AF">
        <w:t>the</w:t>
      </w:r>
      <w:r w:rsidR="000A5329" w:rsidRPr="002029AF">
        <w:rPr>
          <w:i/>
        </w:rPr>
        <w:t xml:space="preserve"> </w:t>
      </w:r>
      <w:r w:rsidRPr="002029AF">
        <w:t>Public</w:t>
      </w:r>
      <w:r w:rsidR="000A5329" w:rsidRPr="002029AF">
        <w:t xml:space="preserve"> </w:t>
      </w:r>
      <w:r w:rsidRPr="002029AF">
        <w:t>Health</w:t>
      </w:r>
      <w:r w:rsidR="000A5329" w:rsidRPr="002029AF">
        <w:t xml:space="preserve"> </w:t>
      </w:r>
      <w:r w:rsidRPr="002029AF">
        <w:t>and</w:t>
      </w:r>
      <w:r w:rsidR="000A5329" w:rsidRPr="002029AF">
        <w:t xml:space="preserve"> </w:t>
      </w:r>
      <w:r w:rsidRPr="002029AF">
        <w:t>Wellbeing</w:t>
      </w:r>
      <w:r w:rsidR="000A5329" w:rsidRPr="002029AF">
        <w:t xml:space="preserve"> </w:t>
      </w:r>
      <w:r w:rsidRPr="002029AF">
        <w:t>Regulations</w:t>
      </w:r>
      <w:r w:rsidR="000A5329" w:rsidRPr="002029AF">
        <w:t xml:space="preserve"> </w:t>
      </w:r>
      <w:r w:rsidRPr="002029AF">
        <w:t>2009</w:t>
      </w:r>
      <w:r w:rsidR="000A5329" w:rsidRPr="002029AF">
        <w:t xml:space="preserve"> </w:t>
      </w:r>
      <w:r w:rsidRPr="002029AF">
        <w:t>came</w:t>
      </w:r>
      <w:r w:rsidR="000A5329" w:rsidRPr="002029AF">
        <w:t xml:space="preserve"> </w:t>
      </w:r>
      <w:r w:rsidRPr="002029AF">
        <w:t>into</w:t>
      </w:r>
      <w:r w:rsidR="000A5329" w:rsidRPr="002029AF">
        <w:t xml:space="preserve"> </w:t>
      </w:r>
      <w:r w:rsidRPr="002029AF">
        <w:t>effect</w:t>
      </w:r>
      <w:r w:rsidR="000A5329" w:rsidRPr="002029AF">
        <w:t xml:space="preserve"> </w:t>
      </w:r>
      <w:r w:rsidRPr="002029AF">
        <w:t>on</w:t>
      </w:r>
      <w:r w:rsidR="000A5329" w:rsidRPr="002029AF">
        <w:t xml:space="preserve"> </w:t>
      </w:r>
      <w:r w:rsidRPr="002029AF">
        <w:t>1</w:t>
      </w:r>
      <w:r w:rsidR="000A5329" w:rsidRPr="002029AF">
        <w:t xml:space="preserve"> </w:t>
      </w:r>
      <w:r w:rsidRPr="002029AF">
        <w:t>January</w:t>
      </w:r>
      <w:r w:rsidR="000A5329" w:rsidRPr="002029AF">
        <w:t xml:space="preserve"> </w:t>
      </w:r>
      <w:r w:rsidRPr="002029AF">
        <w:t>2010.</w:t>
      </w:r>
    </w:p>
    <w:p w14:paraId="7A0EB298" w14:textId="0287DCB1" w:rsidR="00CF72D5" w:rsidRPr="002029AF" w:rsidRDefault="00CF72D5" w:rsidP="00897193">
      <w:pPr>
        <w:pStyle w:val="ARbody"/>
      </w:pPr>
      <w:r w:rsidRPr="002029AF">
        <w:t>The</w:t>
      </w:r>
      <w:r w:rsidR="000A5329" w:rsidRPr="002029AF">
        <w:t xml:space="preserve"> </w:t>
      </w:r>
      <w:r w:rsidRPr="002029AF">
        <w:t>Act</w:t>
      </w:r>
      <w:r w:rsidR="000A5329" w:rsidRPr="002029AF">
        <w:t xml:space="preserve"> </w:t>
      </w:r>
      <w:r w:rsidRPr="002029AF">
        <w:t>promotes</w:t>
      </w:r>
      <w:r w:rsidR="000A5329" w:rsidRPr="002029AF">
        <w:t xml:space="preserve"> </w:t>
      </w:r>
      <w:r w:rsidRPr="002029AF">
        <w:t>and</w:t>
      </w:r>
      <w:r w:rsidR="000A5329" w:rsidRPr="002029AF">
        <w:t xml:space="preserve"> </w:t>
      </w:r>
      <w:r w:rsidRPr="002029AF">
        <w:t>protects</w:t>
      </w:r>
      <w:r w:rsidR="000A5329" w:rsidRPr="002029AF">
        <w:t xml:space="preserve"> </w:t>
      </w:r>
      <w:r w:rsidRPr="002029AF">
        <w:t>public</w:t>
      </w:r>
      <w:r w:rsidR="000A5329" w:rsidRPr="002029AF">
        <w:t xml:space="preserve"> </w:t>
      </w:r>
      <w:r w:rsidRPr="002029AF">
        <w:t>health</w:t>
      </w:r>
      <w:r w:rsidR="000A5329" w:rsidRPr="002029AF">
        <w:t xml:space="preserve"> </w:t>
      </w:r>
      <w:r w:rsidRPr="002029AF">
        <w:t>and</w:t>
      </w:r>
      <w:r w:rsidR="000A5329" w:rsidRPr="002029AF">
        <w:t xml:space="preserve"> </w:t>
      </w:r>
      <w:r w:rsidRPr="002029AF">
        <w:t>wellbeing</w:t>
      </w:r>
      <w:r w:rsidR="000A5329" w:rsidRPr="002029AF">
        <w:t xml:space="preserve"> </w:t>
      </w:r>
      <w:r w:rsidRPr="002029AF">
        <w:t>in</w:t>
      </w:r>
      <w:r w:rsidR="000A5329" w:rsidRPr="002029AF">
        <w:t xml:space="preserve"> </w:t>
      </w:r>
      <w:r w:rsidRPr="002029AF">
        <w:t>Victoria.</w:t>
      </w:r>
    </w:p>
    <w:p w14:paraId="20E66FED" w14:textId="28832B21" w:rsidR="00CF72D5" w:rsidRPr="002029AF" w:rsidRDefault="00CF72D5" w:rsidP="00897193">
      <w:pPr>
        <w:pStyle w:val="ARbody"/>
      </w:pPr>
      <w:r w:rsidRPr="002029AF">
        <w:t>Under</w:t>
      </w:r>
      <w:r w:rsidR="000A5329" w:rsidRPr="002029AF">
        <w:t xml:space="preserve"> </w:t>
      </w:r>
      <w:r w:rsidRPr="002029AF">
        <w:t>s.</w:t>
      </w:r>
      <w:r w:rsidR="000A5329" w:rsidRPr="002029AF">
        <w:t xml:space="preserve"> </w:t>
      </w:r>
      <w:r w:rsidRPr="002029AF">
        <w:t>21</w:t>
      </w:r>
      <w:r w:rsidR="000A5329" w:rsidRPr="002029AF">
        <w:t xml:space="preserve"> </w:t>
      </w:r>
      <w:r w:rsidRPr="002029AF">
        <w:t>of</w:t>
      </w:r>
      <w:r w:rsidR="000A5329" w:rsidRPr="002029AF">
        <w:t xml:space="preserve"> </w:t>
      </w:r>
      <w:r w:rsidRPr="002029AF">
        <w:t>the</w:t>
      </w:r>
      <w:r w:rsidR="000A5329" w:rsidRPr="002029AF">
        <w:t xml:space="preserve"> </w:t>
      </w:r>
      <w:r w:rsidRPr="002029AF">
        <w:t>Act,</w:t>
      </w:r>
      <w:r w:rsidR="000A5329" w:rsidRPr="002029AF">
        <w:t xml:space="preserve"> </w:t>
      </w:r>
      <w:r w:rsidRPr="002029AF">
        <w:t>the</w:t>
      </w:r>
      <w:r w:rsidR="000A5329" w:rsidRPr="002029AF">
        <w:t xml:space="preserve"> </w:t>
      </w:r>
      <w:r w:rsidRPr="002029AF">
        <w:t>Chief</w:t>
      </w:r>
      <w:r w:rsidR="000A5329" w:rsidRPr="002029AF">
        <w:t xml:space="preserve"> </w:t>
      </w:r>
      <w:r w:rsidRPr="002029AF">
        <w:t>Health</w:t>
      </w:r>
      <w:r w:rsidR="000A5329" w:rsidRPr="002029AF">
        <w:t xml:space="preserve"> </w:t>
      </w:r>
      <w:r w:rsidRPr="002029AF">
        <w:t>Officer</w:t>
      </w:r>
      <w:r w:rsidR="000A5329" w:rsidRPr="002029AF">
        <w:t xml:space="preserve"> </w:t>
      </w:r>
      <w:r w:rsidRPr="002029AF">
        <w:t>has</w:t>
      </w:r>
      <w:r w:rsidR="000A5329" w:rsidRPr="002029AF">
        <w:t xml:space="preserve"> </w:t>
      </w:r>
      <w:r w:rsidRPr="002029AF">
        <w:t>a</w:t>
      </w:r>
      <w:r w:rsidR="000A5329" w:rsidRPr="002029AF">
        <w:t xml:space="preserve"> </w:t>
      </w:r>
      <w:r w:rsidRPr="002029AF">
        <w:t>number</w:t>
      </w:r>
      <w:r w:rsidR="000A5329" w:rsidRPr="002029AF">
        <w:t xml:space="preserve"> </w:t>
      </w:r>
      <w:r w:rsidRPr="002029AF">
        <w:t>of</w:t>
      </w:r>
      <w:r w:rsidR="000A5329" w:rsidRPr="002029AF">
        <w:t xml:space="preserve"> </w:t>
      </w:r>
      <w:r w:rsidRPr="002029AF">
        <w:t>functions</w:t>
      </w:r>
      <w:r w:rsidR="000A5329" w:rsidRPr="002029AF">
        <w:t xml:space="preserve"> </w:t>
      </w:r>
      <w:r w:rsidRPr="002029AF">
        <w:t>and</w:t>
      </w:r>
      <w:r w:rsidR="000A5329" w:rsidRPr="002029AF">
        <w:t xml:space="preserve"> </w:t>
      </w:r>
      <w:r w:rsidRPr="002029AF">
        <w:t>powers.</w:t>
      </w:r>
      <w:r w:rsidR="000A5329" w:rsidRPr="002029AF">
        <w:t xml:space="preserve"> </w:t>
      </w:r>
      <w:r w:rsidRPr="002029AF">
        <w:t>These</w:t>
      </w:r>
      <w:r w:rsidR="000A5329" w:rsidRPr="002029AF">
        <w:t xml:space="preserve"> </w:t>
      </w:r>
      <w:r w:rsidRPr="002029AF">
        <w:t>include:</w:t>
      </w:r>
    </w:p>
    <w:p w14:paraId="43609091" w14:textId="3AF7C50B" w:rsidR="00CF72D5" w:rsidRPr="002029AF" w:rsidRDefault="00CF72D5" w:rsidP="00897193">
      <w:pPr>
        <w:pStyle w:val="ARbullet1"/>
      </w:pPr>
      <w:r w:rsidRPr="002029AF">
        <w:t>to</w:t>
      </w:r>
      <w:r w:rsidR="000A5329" w:rsidRPr="002029AF">
        <w:t xml:space="preserve"> </w:t>
      </w:r>
      <w:r w:rsidRPr="002029AF">
        <w:t>develop</w:t>
      </w:r>
      <w:r w:rsidR="000A5329" w:rsidRPr="002029AF">
        <w:t xml:space="preserve"> </w:t>
      </w:r>
      <w:r w:rsidRPr="002029AF">
        <w:t>and</w:t>
      </w:r>
      <w:r w:rsidR="000A5329" w:rsidRPr="002029AF">
        <w:t xml:space="preserve"> </w:t>
      </w:r>
      <w:r w:rsidRPr="002029AF">
        <w:t>implement</w:t>
      </w:r>
      <w:r w:rsidR="000A5329" w:rsidRPr="002029AF">
        <w:t xml:space="preserve"> </w:t>
      </w:r>
      <w:r w:rsidRPr="002029AF">
        <w:t>strategies</w:t>
      </w:r>
      <w:r w:rsidR="000A5329" w:rsidRPr="002029AF">
        <w:t xml:space="preserve"> </w:t>
      </w:r>
      <w:r w:rsidRPr="002029AF">
        <w:t>to</w:t>
      </w:r>
      <w:r w:rsidR="000A5329" w:rsidRPr="002029AF">
        <w:t xml:space="preserve"> </w:t>
      </w:r>
      <w:r w:rsidRPr="002029AF">
        <w:t>promote</w:t>
      </w:r>
      <w:r w:rsidR="000A5329" w:rsidRPr="002029AF">
        <w:t xml:space="preserve"> </w:t>
      </w:r>
      <w:r w:rsidRPr="002029AF">
        <w:t>and</w:t>
      </w:r>
      <w:r w:rsidR="000A5329" w:rsidRPr="002029AF">
        <w:t xml:space="preserve"> </w:t>
      </w:r>
      <w:r w:rsidRPr="002029AF">
        <w:t>protect</w:t>
      </w:r>
      <w:r w:rsidR="000A5329" w:rsidRPr="002029AF">
        <w:t xml:space="preserve"> </w:t>
      </w:r>
      <w:r w:rsidRPr="002029AF">
        <w:t>public</w:t>
      </w:r>
      <w:r w:rsidR="000A5329" w:rsidRPr="002029AF">
        <w:t xml:space="preserve"> </w:t>
      </w:r>
      <w:r w:rsidRPr="002029AF">
        <w:t>health</w:t>
      </w:r>
      <w:r w:rsidR="000A5329" w:rsidRPr="002029AF">
        <w:t xml:space="preserve"> </w:t>
      </w:r>
      <w:r w:rsidRPr="002029AF">
        <w:t>and</w:t>
      </w:r>
      <w:r w:rsidR="000A5329" w:rsidRPr="002029AF">
        <w:t xml:space="preserve"> </w:t>
      </w:r>
      <w:r w:rsidRPr="002029AF">
        <w:t>wellbeing</w:t>
      </w:r>
    </w:p>
    <w:p w14:paraId="6A96F0BA" w14:textId="5FC09E62" w:rsidR="00CF72D5" w:rsidRPr="002029AF" w:rsidRDefault="00CF72D5" w:rsidP="00897193">
      <w:pPr>
        <w:pStyle w:val="ARbullet1"/>
      </w:pPr>
      <w:r w:rsidRPr="002029AF">
        <w:t>to</w:t>
      </w:r>
      <w:r w:rsidR="000A5329" w:rsidRPr="002029AF">
        <w:t xml:space="preserve"> </w:t>
      </w:r>
      <w:r w:rsidRPr="002029AF">
        <w:t>provide</w:t>
      </w:r>
      <w:r w:rsidR="000A5329" w:rsidRPr="002029AF">
        <w:t xml:space="preserve"> </w:t>
      </w:r>
      <w:r w:rsidRPr="002029AF">
        <w:t>advice</w:t>
      </w:r>
      <w:r w:rsidR="000A5329" w:rsidRPr="002029AF">
        <w:t xml:space="preserve"> </w:t>
      </w:r>
      <w:r w:rsidRPr="002029AF">
        <w:t>to</w:t>
      </w:r>
      <w:r w:rsidR="000A5329" w:rsidRPr="002029AF">
        <w:t xml:space="preserve"> </w:t>
      </w:r>
      <w:r w:rsidRPr="002029AF">
        <w:t>the</w:t>
      </w:r>
      <w:r w:rsidR="000A5329" w:rsidRPr="002029AF">
        <w:t xml:space="preserve"> </w:t>
      </w:r>
      <w:r w:rsidRPr="002029AF">
        <w:t>Minister</w:t>
      </w:r>
      <w:r w:rsidR="000A5329" w:rsidRPr="002029AF">
        <w:t xml:space="preserve"> </w:t>
      </w:r>
      <w:r w:rsidRPr="002029AF">
        <w:t>for</w:t>
      </w:r>
      <w:r w:rsidR="000A5329" w:rsidRPr="002029AF">
        <w:t xml:space="preserve"> </w:t>
      </w:r>
      <w:r w:rsidRPr="002029AF">
        <w:t>Health</w:t>
      </w:r>
      <w:r w:rsidR="000A5329" w:rsidRPr="002029AF">
        <w:t xml:space="preserve"> </w:t>
      </w:r>
      <w:r w:rsidRPr="002029AF">
        <w:t>or</w:t>
      </w:r>
      <w:r w:rsidR="000A5329" w:rsidRPr="002029AF">
        <w:t xml:space="preserve"> </w:t>
      </w:r>
      <w:r w:rsidRPr="002029AF">
        <w:t>the</w:t>
      </w:r>
      <w:r w:rsidR="000A5329" w:rsidRPr="002029AF">
        <w:t xml:space="preserve"> </w:t>
      </w:r>
      <w:r w:rsidRPr="002029AF">
        <w:t>Secretary</w:t>
      </w:r>
      <w:r w:rsidR="000A5329" w:rsidRPr="002029AF">
        <w:t xml:space="preserve"> </w:t>
      </w:r>
      <w:r w:rsidRPr="002029AF">
        <w:t>on</w:t>
      </w:r>
      <w:r w:rsidR="000A5329" w:rsidRPr="002029AF">
        <w:t xml:space="preserve"> </w:t>
      </w:r>
      <w:r w:rsidRPr="002029AF">
        <w:t>matters</w:t>
      </w:r>
      <w:r w:rsidR="000A5329" w:rsidRPr="002029AF">
        <w:t xml:space="preserve"> </w:t>
      </w:r>
      <w:r w:rsidRPr="002029AF">
        <w:t>relating</w:t>
      </w:r>
      <w:r w:rsidR="000A5329" w:rsidRPr="002029AF">
        <w:t xml:space="preserve"> </w:t>
      </w:r>
      <w:r w:rsidRPr="002029AF">
        <w:t>to</w:t>
      </w:r>
      <w:r w:rsidR="000A5329" w:rsidRPr="002029AF">
        <w:t xml:space="preserve"> </w:t>
      </w:r>
      <w:r w:rsidRPr="002029AF">
        <w:t>public</w:t>
      </w:r>
      <w:r w:rsidR="000A5329" w:rsidRPr="002029AF">
        <w:t xml:space="preserve"> </w:t>
      </w:r>
      <w:r w:rsidRPr="002029AF">
        <w:t>health</w:t>
      </w:r>
      <w:r w:rsidR="000A5329" w:rsidRPr="002029AF">
        <w:t xml:space="preserve"> </w:t>
      </w:r>
      <w:r w:rsidRPr="002029AF">
        <w:t>and</w:t>
      </w:r>
      <w:r w:rsidR="000A5329" w:rsidRPr="002029AF">
        <w:t xml:space="preserve"> </w:t>
      </w:r>
      <w:r w:rsidRPr="002029AF">
        <w:t>wellbeing</w:t>
      </w:r>
    </w:p>
    <w:p w14:paraId="3B9DF88C" w14:textId="789AEC4F" w:rsidR="00CF72D5" w:rsidRPr="002029AF" w:rsidRDefault="00CF72D5" w:rsidP="00897193">
      <w:pPr>
        <w:pStyle w:val="ARbullet1"/>
      </w:pPr>
      <w:r w:rsidRPr="002029AF">
        <w:t>to</w:t>
      </w:r>
      <w:r w:rsidR="000A5329" w:rsidRPr="002029AF">
        <w:t xml:space="preserve"> </w:t>
      </w:r>
      <w:r w:rsidRPr="002029AF">
        <w:t>publish</w:t>
      </w:r>
      <w:r w:rsidR="000A5329" w:rsidRPr="002029AF">
        <w:t xml:space="preserve"> </w:t>
      </w:r>
      <w:r w:rsidRPr="002029AF">
        <w:t>on</w:t>
      </w:r>
      <w:r w:rsidR="000A5329" w:rsidRPr="002029AF">
        <w:t xml:space="preserve"> </w:t>
      </w:r>
      <w:r w:rsidRPr="002029AF">
        <w:t>a</w:t>
      </w:r>
      <w:r w:rsidR="000A5329" w:rsidRPr="002029AF">
        <w:t xml:space="preserve"> </w:t>
      </w:r>
      <w:r w:rsidRPr="002029AF">
        <w:t>biennial</w:t>
      </w:r>
      <w:r w:rsidR="000A5329" w:rsidRPr="002029AF">
        <w:t xml:space="preserve"> </w:t>
      </w:r>
      <w:r w:rsidRPr="002029AF">
        <w:t>basis</w:t>
      </w:r>
      <w:r w:rsidR="000A5329" w:rsidRPr="002029AF">
        <w:t xml:space="preserve"> </w:t>
      </w:r>
      <w:r w:rsidRPr="002029AF">
        <w:t>and</w:t>
      </w:r>
      <w:r w:rsidR="000A5329" w:rsidRPr="002029AF">
        <w:t xml:space="preserve"> </w:t>
      </w:r>
      <w:r w:rsidRPr="002029AF">
        <w:t>make</w:t>
      </w:r>
      <w:r w:rsidR="000A5329" w:rsidRPr="002029AF">
        <w:t xml:space="preserve"> </w:t>
      </w:r>
      <w:r w:rsidRPr="002029AF">
        <w:t>available</w:t>
      </w:r>
      <w:r w:rsidR="000A5329" w:rsidRPr="002029AF">
        <w:t xml:space="preserve"> </w:t>
      </w:r>
      <w:r w:rsidRPr="002029AF">
        <w:t>in</w:t>
      </w:r>
      <w:r w:rsidR="000A5329" w:rsidRPr="002029AF">
        <w:t xml:space="preserve"> </w:t>
      </w:r>
      <w:r w:rsidRPr="002029AF">
        <w:t>an</w:t>
      </w:r>
      <w:r w:rsidR="000A5329" w:rsidRPr="002029AF">
        <w:t xml:space="preserve"> </w:t>
      </w:r>
      <w:r w:rsidRPr="002029AF">
        <w:t>accessible</w:t>
      </w:r>
      <w:r w:rsidR="000A5329" w:rsidRPr="002029AF">
        <w:t xml:space="preserve"> </w:t>
      </w:r>
      <w:r w:rsidRPr="002029AF">
        <w:t>manner</w:t>
      </w:r>
      <w:r w:rsidR="000A5329" w:rsidRPr="002029AF">
        <w:t xml:space="preserve"> </w:t>
      </w:r>
      <w:r w:rsidRPr="002029AF">
        <w:t>to</w:t>
      </w:r>
      <w:r w:rsidR="000A5329" w:rsidRPr="002029AF">
        <w:t xml:space="preserve"> </w:t>
      </w:r>
      <w:r w:rsidRPr="002029AF">
        <w:t>members</w:t>
      </w:r>
      <w:r w:rsidR="000A5329" w:rsidRPr="002029AF">
        <w:t xml:space="preserve"> </w:t>
      </w:r>
      <w:r w:rsidRPr="002029AF">
        <w:t>of</w:t>
      </w:r>
      <w:r w:rsidR="000A5329" w:rsidRPr="002029AF">
        <w:t xml:space="preserve"> </w:t>
      </w:r>
      <w:r w:rsidRPr="002029AF">
        <w:t>the</w:t>
      </w:r>
      <w:r w:rsidR="000A5329" w:rsidRPr="002029AF">
        <w:t xml:space="preserve"> </w:t>
      </w:r>
      <w:r w:rsidRPr="002029AF">
        <w:t>public</w:t>
      </w:r>
      <w:r w:rsidR="000A5329" w:rsidRPr="002029AF">
        <w:t xml:space="preserve"> </w:t>
      </w:r>
      <w:r w:rsidRPr="002029AF">
        <w:t>a</w:t>
      </w:r>
      <w:r w:rsidR="000A5329" w:rsidRPr="002029AF">
        <w:t xml:space="preserve"> </w:t>
      </w:r>
      <w:r w:rsidRPr="002029AF">
        <w:t>comprehensive</w:t>
      </w:r>
      <w:r w:rsidR="000A5329" w:rsidRPr="002029AF">
        <w:t xml:space="preserve"> </w:t>
      </w:r>
      <w:r w:rsidRPr="002029AF">
        <w:t>report</w:t>
      </w:r>
      <w:r w:rsidR="000A5329" w:rsidRPr="002029AF">
        <w:t xml:space="preserve"> </w:t>
      </w:r>
      <w:r w:rsidRPr="002029AF">
        <w:t>on</w:t>
      </w:r>
      <w:r w:rsidR="000A5329" w:rsidRPr="002029AF">
        <w:t xml:space="preserve"> </w:t>
      </w:r>
      <w:r w:rsidRPr="002029AF">
        <w:t>public</w:t>
      </w:r>
      <w:r w:rsidR="000A5329" w:rsidRPr="002029AF">
        <w:t xml:space="preserve"> </w:t>
      </w:r>
      <w:r w:rsidRPr="002029AF">
        <w:t>health</w:t>
      </w:r>
      <w:r w:rsidR="000A5329" w:rsidRPr="002029AF">
        <w:t xml:space="preserve"> </w:t>
      </w:r>
      <w:r w:rsidRPr="002029AF">
        <w:t>and</w:t>
      </w:r>
      <w:r w:rsidR="000A5329" w:rsidRPr="002029AF">
        <w:t xml:space="preserve"> </w:t>
      </w:r>
      <w:r w:rsidRPr="002029AF">
        <w:t>wellbeing</w:t>
      </w:r>
      <w:r w:rsidR="000A5329" w:rsidRPr="002029AF">
        <w:t xml:space="preserve"> </w:t>
      </w:r>
      <w:r w:rsidRPr="002029AF">
        <w:t>in</w:t>
      </w:r>
      <w:r w:rsidR="000A5329" w:rsidRPr="002029AF">
        <w:t xml:space="preserve"> </w:t>
      </w:r>
      <w:r w:rsidRPr="002029AF">
        <w:t>Victoria</w:t>
      </w:r>
    </w:p>
    <w:p w14:paraId="3654D8B2" w14:textId="40FD1200" w:rsidR="00CF72D5" w:rsidRPr="002029AF" w:rsidRDefault="00CF72D5" w:rsidP="00897193">
      <w:pPr>
        <w:pStyle w:val="ARbullet1"/>
      </w:pPr>
      <w:r w:rsidRPr="002029AF">
        <w:t>to</w:t>
      </w:r>
      <w:r w:rsidR="000A5329" w:rsidRPr="002029AF">
        <w:t xml:space="preserve"> </w:t>
      </w:r>
      <w:r w:rsidRPr="002029AF">
        <w:t>perform</w:t>
      </w:r>
      <w:r w:rsidR="000A5329" w:rsidRPr="002029AF">
        <w:t xml:space="preserve"> </w:t>
      </w:r>
      <w:r w:rsidRPr="002029AF">
        <w:t>any</w:t>
      </w:r>
      <w:r w:rsidR="000A5329" w:rsidRPr="002029AF">
        <w:t xml:space="preserve"> </w:t>
      </w:r>
      <w:r w:rsidRPr="002029AF">
        <w:t>other</w:t>
      </w:r>
      <w:r w:rsidR="000A5329" w:rsidRPr="002029AF">
        <w:t xml:space="preserve"> </w:t>
      </w:r>
      <w:r w:rsidRPr="002029AF">
        <w:t>functions</w:t>
      </w:r>
      <w:r w:rsidR="000A5329" w:rsidRPr="002029AF">
        <w:t xml:space="preserve"> </w:t>
      </w:r>
      <w:r w:rsidRPr="002029AF">
        <w:t>or</w:t>
      </w:r>
      <w:r w:rsidR="000A5329" w:rsidRPr="002029AF">
        <w:t xml:space="preserve"> </w:t>
      </w:r>
      <w:r w:rsidRPr="002029AF">
        <w:t>exercise</w:t>
      </w:r>
      <w:r w:rsidR="000A5329" w:rsidRPr="002029AF">
        <w:t xml:space="preserve"> </w:t>
      </w:r>
      <w:r w:rsidRPr="002029AF">
        <w:t>any</w:t>
      </w:r>
      <w:r w:rsidR="000A5329" w:rsidRPr="002029AF">
        <w:t xml:space="preserve"> </w:t>
      </w:r>
      <w:r w:rsidRPr="002029AF">
        <w:t>powers</w:t>
      </w:r>
      <w:r w:rsidR="000A5329" w:rsidRPr="002029AF">
        <w:t xml:space="preserve"> </w:t>
      </w:r>
      <w:r w:rsidRPr="002029AF">
        <w:t>specified</w:t>
      </w:r>
      <w:r w:rsidR="000A5329" w:rsidRPr="002029AF">
        <w:t xml:space="preserve"> </w:t>
      </w:r>
      <w:r w:rsidRPr="002029AF">
        <w:t>under</w:t>
      </w:r>
      <w:r w:rsidR="000A5329" w:rsidRPr="002029AF">
        <w:t xml:space="preserve"> </w:t>
      </w:r>
      <w:r w:rsidRPr="002029AF">
        <w:t>this</w:t>
      </w:r>
      <w:r w:rsidR="000A5329" w:rsidRPr="002029AF">
        <w:t xml:space="preserve"> </w:t>
      </w:r>
      <w:r w:rsidRPr="002029AF">
        <w:t>Act</w:t>
      </w:r>
      <w:r w:rsidR="000A5329" w:rsidRPr="002029AF">
        <w:t xml:space="preserve"> </w:t>
      </w:r>
      <w:r w:rsidRPr="002029AF">
        <w:t>or</w:t>
      </w:r>
      <w:r w:rsidR="000A5329" w:rsidRPr="002029AF">
        <w:t xml:space="preserve"> </w:t>
      </w:r>
      <w:r w:rsidRPr="002029AF">
        <w:t>any</w:t>
      </w:r>
      <w:r w:rsidR="000A5329" w:rsidRPr="002029AF">
        <w:t xml:space="preserve"> </w:t>
      </w:r>
      <w:r w:rsidRPr="002029AF">
        <w:t>other</w:t>
      </w:r>
      <w:r w:rsidR="000A5329" w:rsidRPr="002029AF">
        <w:t xml:space="preserve"> </w:t>
      </w:r>
      <w:r w:rsidRPr="002029AF">
        <w:t>Act</w:t>
      </w:r>
      <w:r w:rsidR="000A5329" w:rsidRPr="002029AF">
        <w:t xml:space="preserve"> </w:t>
      </w:r>
      <w:r w:rsidRPr="002029AF">
        <w:t>or</w:t>
      </w:r>
      <w:r w:rsidR="000A5329" w:rsidRPr="002029AF">
        <w:t xml:space="preserve"> </w:t>
      </w:r>
      <w:r w:rsidRPr="002029AF">
        <w:t>under</w:t>
      </w:r>
      <w:r w:rsidR="000A5329" w:rsidRPr="002029AF">
        <w:t xml:space="preserve"> </w:t>
      </w:r>
      <w:r w:rsidRPr="002029AF">
        <w:t>any</w:t>
      </w:r>
      <w:r w:rsidR="000A5329" w:rsidRPr="002029AF">
        <w:t xml:space="preserve"> </w:t>
      </w:r>
      <w:r w:rsidRPr="002029AF">
        <w:t>regulations</w:t>
      </w:r>
      <w:r w:rsidR="000A5329" w:rsidRPr="002029AF">
        <w:t xml:space="preserve"> </w:t>
      </w:r>
      <w:r w:rsidRPr="002029AF">
        <w:t>made</w:t>
      </w:r>
      <w:r w:rsidR="000A5329" w:rsidRPr="002029AF">
        <w:t xml:space="preserve"> </w:t>
      </w:r>
      <w:r w:rsidRPr="002029AF">
        <w:t>under</w:t>
      </w:r>
      <w:r w:rsidR="000A5329" w:rsidRPr="002029AF">
        <w:t xml:space="preserve"> </w:t>
      </w:r>
      <w:r w:rsidRPr="002029AF">
        <w:t>this</w:t>
      </w:r>
      <w:r w:rsidR="000A5329" w:rsidRPr="002029AF">
        <w:t xml:space="preserve"> </w:t>
      </w:r>
      <w:r w:rsidRPr="002029AF">
        <w:t>or</w:t>
      </w:r>
      <w:r w:rsidR="000A5329" w:rsidRPr="002029AF">
        <w:t xml:space="preserve"> </w:t>
      </w:r>
      <w:r w:rsidRPr="002029AF">
        <w:t>any</w:t>
      </w:r>
      <w:r w:rsidR="000A5329" w:rsidRPr="002029AF">
        <w:t xml:space="preserve"> </w:t>
      </w:r>
      <w:r w:rsidRPr="002029AF">
        <w:t>other</w:t>
      </w:r>
      <w:r w:rsidR="000A5329" w:rsidRPr="002029AF">
        <w:t xml:space="preserve"> </w:t>
      </w:r>
      <w:r w:rsidRPr="002029AF">
        <w:t>Act.</w:t>
      </w:r>
    </w:p>
    <w:p w14:paraId="7009E33A" w14:textId="35EF0489" w:rsidR="00CF72D5" w:rsidRPr="002029AF" w:rsidRDefault="00CF72D5" w:rsidP="00897193">
      <w:pPr>
        <w:pStyle w:val="ARbodyafterbullets"/>
      </w:pPr>
      <w:r w:rsidRPr="002029AF">
        <w:t>Under</w:t>
      </w:r>
      <w:r w:rsidR="000A5329" w:rsidRPr="002029AF">
        <w:t xml:space="preserve"> </w:t>
      </w:r>
      <w:r w:rsidRPr="002029AF">
        <w:t>the</w:t>
      </w:r>
      <w:r w:rsidR="000A5329" w:rsidRPr="002029AF">
        <w:t xml:space="preserve"> </w:t>
      </w:r>
      <w:r w:rsidRPr="002029AF">
        <w:t>Act,</w:t>
      </w:r>
      <w:r w:rsidR="000A5329" w:rsidRPr="002029AF">
        <w:t xml:space="preserve"> </w:t>
      </w:r>
      <w:r w:rsidRPr="002029AF">
        <w:t>the</w:t>
      </w:r>
      <w:r w:rsidR="000A5329" w:rsidRPr="002029AF">
        <w:t xml:space="preserve"> </w:t>
      </w:r>
      <w:r w:rsidRPr="002029AF">
        <w:t>Chief</w:t>
      </w:r>
      <w:r w:rsidR="000A5329" w:rsidRPr="002029AF">
        <w:t xml:space="preserve"> </w:t>
      </w:r>
      <w:r w:rsidRPr="002029AF">
        <w:t>Health</w:t>
      </w:r>
      <w:r w:rsidR="000A5329" w:rsidRPr="002029AF">
        <w:t xml:space="preserve"> </w:t>
      </w:r>
      <w:r w:rsidRPr="002029AF">
        <w:t>Officer</w:t>
      </w:r>
      <w:r w:rsidR="000A5329" w:rsidRPr="002029AF">
        <w:t xml:space="preserve"> </w:t>
      </w:r>
      <w:r w:rsidRPr="002029AF">
        <w:t>is</w:t>
      </w:r>
      <w:r w:rsidR="000A5329" w:rsidRPr="002029AF">
        <w:t xml:space="preserve"> </w:t>
      </w:r>
      <w:r w:rsidRPr="002029AF">
        <w:t>also</w:t>
      </w:r>
      <w:r w:rsidR="000A5329" w:rsidRPr="002029AF">
        <w:t xml:space="preserve"> </w:t>
      </w:r>
      <w:r w:rsidRPr="002029AF">
        <w:t>empowered</w:t>
      </w:r>
      <w:r w:rsidR="000A5329" w:rsidRPr="002029AF">
        <w:t xml:space="preserve"> </w:t>
      </w:r>
      <w:r w:rsidRPr="002029AF">
        <w:t>to</w:t>
      </w:r>
      <w:r w:rsidR="000A5329" w:rsidRPr="002029AF">
        <w:t xml:space="preserve"> </w:t>
      </w:r>
      <w:r w:rsidRPr="002029AF">
        <w:t>make</w:t>
      </w:r>
      <w:r w:rsidR="000A5329" w:rsidRPr="002029AF">
        <w:t xml:space="preserve"> </w:t>
      </w:r>
      <w:r w:rsidRPr="002029AF">
        <w:t>certain</w:t>
      </w:r>
      <w:r w:rsidR="000A5329" w:rsidRPr="002029AF">
        <w:t xml:space="preserve"> </w:t>
      </w:r>
      <w:r w:rsidRPr="002029AF">
        <w:t>orders</w:t>
      </w:r>
      <w:r w:rsidR="000A5329" w:rsidRPr="002029AF">
        <w:t xml:space="preserve"> </w:t>
      </w:r>
      <w:r w:rsidRPr="002029AF">
        <w:t>that</w:t>
      </w:r>
      <w:r w:rsidR="000A5329" w:rsidRPr="002029AF">
        <w:t xml:space="preserve"> </w:t>
      </w:r>
      <w:r w:rsidRPr="002029AF">
        <w:t>may</w:t>
      </w:r>
      <w:r w:rsidR="000A5329" w:rsidRPr="002029AF">
        <w:t xml:space="preserve"> </w:t>
      </w:r>
      <w:r w:rsidRPr="002029AF">
        <w:t>impact</w:t>
      </w:r>
      <w:r w:rsidR="000A5329" w:rsidRPr="002029AF">
        <w:t xml:space="preserve"> </w:t>
      </w:r>
      <w:r w:rsidRPr="002029AF">
        <w:t>on</w:t>
      </w:r>
      <w:r w:rsidR="000A5329" w:rsidRPr="002029AF">
        <w:t xml:space="preserve"> </w:t>
      </w:r>
      <w:r w:rsidRPr="002029AF">
        <w:t>individuals</w:t>
      </w:r>
      <w:r w:rsidR="000A5329" w:rsidRPr="002029AF">
        <w:t xml:space="preserve"> </w:t>
      </w:r>
      <w:r w:rsidRPr="002029AF">
        <w:t>in</w:t>
      </w:r>
      <w:r w:rsidR="000A5329" w:rsidRPr="002029AF">
        <w:t xml:space="preserve"> </w:t>
      </w:r>
      <w:r w:rsidRPr="002029AF">
        <w:t>order</w:t>
      </w:r>
      <w:r w:rsidR="000A5329" w:rsidRPr="002029AF">
        <w:t xml:space="preserve"> </w:t>
      </w:r>
      <w:r w:rsidRPr="002029AF">
        <w:t>to</w:t>
      </w:r>
      <w:r w:rsidR="000A5329" w:rsidRPr="002029AF">
        <w:t xml:space="preserve"> </w:t>
      </w:r>
      <w:r w:rsidRPr="002029AF">
        <w:t>protect</w:t>
      </w:r>
      <w:r w:rsidR="000A5329" w:rsidRPr="002029AF">
        <w:t xml:space="preserve"> </w:t>
      </w:r>
      <w:r w:rsidRPr="002029AF">
        <w:t>the</w:t>
      </w:r>
      <w:r w:rsidR="000A5329" w:rsidRPr="002029AF">
        <w:t xml:space="preserve"> </w:t>
      </w:r>
      <w:r w:rsidRPr="002029AF">
        <w:t>community</w:t>
      </w:r>
      <w:r w:rsidR="000A5329" w:rsidRPr="002029AF">
        <w:t xml:space="preserve"> </w:t>
      </w:r>
      <w:r w:rsidRPr="002029AF">
        <w:t>from</w:t>
      </w:r>
      <w:r w:rsidR="000A5329" w:rsidRPr="002029AF">
        <w:t xml:space="preserve"> </w:t>
      </w:r>
      <w:r w:rsidRPr="002029AF">
        <w:t>infectious</w:t>
      </w:r>
      <w:r w:rsidR="000A5329" w:rsidRPr="002029AF">
        <w:t xml:space="preserve"> </w:t>
      </w:r>
      <w:r w:rsidRPr="002029AF">
        <w:t>diseases.</w:t>
      </w:r>
      <w:r w:rsidR="000A5329" w:rsidRPr="002029AF">
        <w:t xml:space="preserve"> </w:t>
      </w:r>
      <w:r w:rsidRPr="002029AF">
        <w:t>These</w:t>
      </w:r>
      <w:r w:rsidR="000A5329" w:rsidRPr="002029AF">
        <w:t xml:space="preserve"> </w:t>
      </w:r>
      <w:r w:rsidRPr="002029AF">
        <w:t>include</w:t>
      </w:r>
      <w:r w:rsidR="000A5329" w:rsidRPr="002029AF">
        <w:t xml:space="preserve"> </w:t>
      </w:r>
      <w:r w:rsidRPr="002029AF">
        <w:t>orders</w:t>
      </w:r>
      <w:r w:rsidR="000A5329" w:rsidRPr="002029AF">
        <w:t xml:space="preserve"> </w:t>
      </w:r>
      <w:r w:rsidRPr="002029AF">
        <w:t>to</w:t>
      </w:r>
      <w:r w:rsidR="000A5329" w:rsidRPr="002029AF">
        <w:t xml:space="preserve"> </w:t>
      </w:r>
      <w:r w:rsidRPr="002029AF">
        <w:t>compel</w:t>
      </w:r>
      <w:r w:rsidR="000A5329" w:rsidRPr="002029AF">
        <w:t xml:space="preserve"> </w:t>
      </w:r>
      <w:r w:rsidRPr="002029AF">
        <w:t>a</w:t>
      </w:r>
      <w:r w:rsidR="000A5329" w:rsidRPr="002029AF">
        <w:t xml:space="preserve"> </w:t>
      </w:r>
      <w:r w:rsidRPr="002029AF">
        <w:t>person</w:t>
      </w:r>
      <w:r w:rsidR="000A5329" w:rsidRPr="002029AF">
        <w:t xml:space="preserve"> </w:t>
      </w:r>
      <w:r w:rsidRPr="002029AF">
        <w:t>to</w:t>
      </w:r>
      <w:r w:rsidR="000A5329" w:rsidRPr="002029AF">
        <w:t xml:space="preserve"> </w:t>
      </w:r>
      <w:r w:rsidRPr="002029AF">
        <w:t>be</w:t>
      </w:r>
      <w:r w:rsidR="000A5329" w:rsidRPr="002029AF">
        <w:t xml:space="preserve"> </w:t>
      </w:r>
      <w:r w:rsidRPr="002029AF">
        <w:t>examined</w:t>
      </w:r>
      <w:r w:rsidR="000A5329" w:rsidRPr="002029AF">
        <w:t xml:space="preserve"> </w:t>
      </w:r>
      <w:r w:rsidRPr="002029AF">
        <w:t>or</w:t>
      </w:r>
      <w:r w:rsidR="000A5329" w:rsidRPr="002029AF">
        <w:t xml:space="preserve"> </w:t>
      </w:r>
      <w:r w:rsidRPr="002029AF">
        <w:t>tested</w:t>
      </w:r>
      <w:r w:rsidR="000A5329" w:rsidRPr="002029AF">
        <w:t xml:space="preserve"> </w:t>
      </w:r>
      <w:r w:rsidRPr="002029AF">
        <w:t>for</w:t>
      </w:r>
      <w:r w:rsidR="000A5329" w:rsidRPr="002029AF">
        <w:t xml:space="preserve"> </w:t>
      </w:r>
      <w:r w:rsidRPr="002029AF">
        <w:t>an</w:t>
      </w:r>
      <w:r w:rsidR="000A5329" w:rsidRPr="002029AF">
        <w:t xml:space="preserve"> </w:t>
      </w:r>
      <w:r w:rsidRPr="002029AF">
        <w:t>infectious</w:t>
      </w:r>
      <w:r w:rsidR="000A5329" w:rsidRPr="002029AF">
        <w:t xml:space="preserve"> </w:t>
      </w:r>
      <w:r w:rsidRPr="002029AF">
        <w:t>disease</w:t>
      </w:r>
      <w:r w:rsidR="000A5329" w:rsidRPr="002029AF">
        <w:t xml:space="preserve"> </w:t>
      </w:r>
      <w:r w:rsidRPr="002029AF">
        <w:t>or</w:t>
      </w:r>
      <w:r w:rsidR="000A5329" w:rsidRPr="002029AF">
        <w:t xml:space="preserve"> </w:t>
      </w:r>
      <w:r w:rsidRPr="002029AF">
        <w:t>to</w:t>
      </w:r>
      <w:r w:rsidR="000A5329" w:rsidRPr="002029AF">
        <w:t xml:space="preserve"> </w:t>
      </w:r>
      <w:r w:rsidRPr="002029AF">
        <w:t>refrain</w:t>
      </w:r>
      <w:r w:rsidR="000A5329" w:rsidRPr="002029AF">
        <w:t xml:space="preserve"> </w:t>
      </w:r>
      <w:r w:rsidRPr="002029AF">
        <w:t>from</w:t>
      </w:r>
      <w:r w:rsidR="000A5329" w:rsidRPr="002029AF">
        <w:t xml:space="preserve"> </w:t>
      </w:r>
      <w:r w:rsidRPr="002029AF">
        <w:t>certain</w:t>
      </w:r>
      <w:r w:rsidR="000A5329" w:rsidRPr="002029AF">
        <w:t xml:space="preserve"> </w:t>
      </w:r>
      <w:r w:rsidRPr="002029AF">
        <w:t>activities</w:t>
      </w:r>
      <w:r w:rsidR="000A5329" w:rsidRPr="002029AF">
        <w:t xml:space="preserve"> </w:t>
      </w:r>
      <w:r w:rsidRPr="002029AF">
        <w:t>that</w:t>
      </w:r>
      <w:r w:rsidR="000A5329" w:rsidRPr="002029AF">
        <w:t xml:space="preserve"> </w:t>
      </w:r>
      <w:r w:rsidRPr="002029AF">
        <w:t>may</w:t>
      </w:r>
      <w:r w:rsidR="000A5329" w:rsidRPr="002029AF">
        <w:t xml:space="preserve"> </w:t>
      </w:r>
      <w:r w:rsidRPr="002029AF">
        <w:t>pose</w:t>
      </w:r>
      <w:r w:rsidR="000A5329" w:rsidRPr="002029AF">
        <w:t xml:space="preserve"> </w:t>
      </w:r>
      <w:r w:rsidRPr="002029AF">
        <w:t>a</w:t>
      </w:r>
      <w:r w:rsidR="000A5329" w:rsidRPr="002029AF">
        <w:t xml:space="preserve"> </w:t>
      </w:r>
      <w:r w:rsidRPr="002029AF">
        <w:t>serious</w:t>
      </w:r>
      <w:r w:rsidR="000A5329" w:rsidRPr="002029AF">
        <w:t xml:space="preserve"> </w:t>
      </w:r>
      <w:r w:rsidRPr="002029AF">
        <w:t>risk</w:t>
      </w:r>
      <w:r w:rsidR="000A5329" w:rsidRPr="002029AF">
        <w:t xml:space="preserve"> </w:t>
      </w:r>
      <w:r w:rsidRPr="002029AF">
        <w:t>to</w:t>
      </w:r>
      <w:r w:rsidR="000A5329" w:rsidRPr="002029AF">
        <w:t xml:space="preserve"> </w:t>
      </w:r>
      <w:r w:rsidRPr="002029AF">
        <w:t>public</w:t>
      </w:r>
      <w:r w:rsidR="000A5329" w:rsidRPr="002029AF">
        <w:t xml:space="preserve"> </w:t>
      </w:r>
      <w:r w:rsidRPr="002029AF">
        <w:t>health.</w:t>
      </w:r>
    </w:p>
    <w:p w14:paraId="465F1B9C" w14:textId="5E3A403A" w:rsidR="00CF72D5" w:rsidRPr="002029AF" w:rsidRDefault="00CF72D5" w:rsidP="00897193">
      <w:pPr>
        <w:pStyle w:val="ARbody"/>
      </w:pPr>
      <w:r w:rsidRPr="002029AF">
        <w:t>The</w:t>
      </w:r>
      <w:r w:rsidR="000A5329" w:rsidRPr="002029AF">
        <w:t xml:space="preserve"> </w:t>
      </w:r>
      <w:r w:rsidRPr="002029AF">
        <w:t>limited</w:t>
      </w:r>
      <w:r w:rsidR="000A5329" w:rsidRPr="002029AF">
        <w:t xml:space="preserve"> </w:t>
      </w:r>
      <w:r w:rsidRPr="002029AF">
        <w:t>circumstances</w:t>
      </w:r>
      <w:r w:rsidR="000A5329" w:rsidRPr="002029AF">
        <w:t xml:space="preserve"> </w:t>
      </w:r>
      <w:r w:rsidRPr="002029AF">
        <w:t>in</w:t>
      </w:r>
      <w:r w:rsidR="000A5329" w:rsidRPr="002029AF">
        <w:t xml:space="preserve"> </w:t>
      </w:r>
      <w:r w:rsidRPr="002029AF">
        <w:t>which</w:t>
      </w:r>
      <w:r w:rsidR="000A5329" w:rsidRPr="002029AF">
        <w:t xml:space="preserve"> </w:t>
      </w:r>
      <w:r w:rsidRPr="002029AF">
        <w:t>these</w:t>
      </w:r>
      <w:r w:rsidR="000A5329" w:rsidRPr="002029AF">
        <w:t xml:space="preserve"> </w:t>
      </w:r>
      <w:r w:rsidRPr="002029AF">
        <w:t>orders</w:t>
      </w:r>
      <w:r w:rsidR="000A5329" w:rsidRPr="002029AF">
        <w:t xml:space="preserve"> </w:t>
      </w:r>
      <w:r w:rsidRPr="002029AF">
        <w:t>may</w:t>
      </w:r>
      <w:r w:rsidR="000A5329" w:rsidRPr="002029AF">
        <w:t xml:space="preserve"> </w:t>
      </w:r>
      <w:r w:rsidRPr="002029AF">
        <w:t>be</w:t>
      </w:r>
      <w:r w:rsidR="000A5329" w:rsidRPr="002029AF">
        <w:t xml:space="preserve"> </w:t>
      </w:r>
      <w:r w:rsidRPr="002029AF">
        <w:t>made</w:t>
      </w:r>
      <w:r w:rsidR="000A5329" w:rsidRPr="002029AF">
        <w:t xml:space="preserve"> </w:t>
      </w:r>
      <w:r w:rsidRPr="002029AF">
        <w:t>are</w:t>
      </w:r>
      <w:r w:rsidR="000A5329" w:rsidRPr="002029AF">
        <w:t xml:space="preserve"> </w:t>
      </w:r>
      <w:r w:rsidRPr="002029AF">
        <w:t>clearly</w:t>
      </w:r>
      <w:r w:rsidR="000A5329" w:rsidRPr="002029AF">
        <w:t xml:space="preserve"> </w:t>
      </w:r>
      <w:r w:rsidRPr="002029AF">
        <w:t>set</w:t>
      </w:r>
      <w:r w:rsidR="000A5329" w:rsidRPr="002029AF">
        <w:t xml:space="preserve"> </w:t>
      </w:r>
      <w:r w:rsidRPr="002029AF">
        <w:t>out</w:t>
      </w:r>
      <w:r w:rsidR="000A5329" w:rsidRPr="002029AF">
        <w:t xml:space="preserve"> </w:t>
      </w:r>
      <w:r w:rsidRPr="002029AF">
        <w:t>in</w:t>
      </w:r>
      <w:r w:rsidR="000A5329" w:rsidRPr="002029AF">
        <w:t xml:space="preserve"> </w:t>
      </w:r>
      <w:r w:rsidRPr="002029AF">
        <w:t>the</w:t>
      </w:r>
      <w:r w:rsidR="000A5329" w:rsidRPr="002029AF">
        <w:t xml:space="preserve"> </w:t>
      </w:r>
      <w:r w:rsidRPr="002029AF">
        <w:t>legislation</w:t>
      </w:r>
      <w:r w:rsidR="000A5329" w:rsidRPr="002029AF">
        <w:t xml:space="preserve"> </w:t>
      </w:r>
      <w:r w:rsidRPr="002029AF">
        <w:t>and</w:t>
      </w:r>
      <w:r w:rsidR="000A5329" w:rsidRPr="002029AF">
        <w:t xml:space="preserve"> </w:t>
      </w:r>
      <w:r w:rsidRPr="002029AF">
        <w:t>there</w:t>
      </w:r>
      <w:r w:rsidR="000A5329" w:rsidRPr="002029AF">
        <w:t xml:space="preserve"> </w:t>
      </w:r>
      <w:r w:rsidRPr="002029AF">
        <w:t>are</w:t>
      </w:r>
      <w:r w:rsidR="000A5329" w:rsidRPr="002029AF">
        <w:t xml:space="preserve"> </w:t>
      </w:r>
      <w:r w:rsidRPr="002029AF">
        <w:t>extensive</w:t>
      </w:r>
      <w:r w:rsidR="000A5329" w:rsidRPr="002029AF">
        <w:t xml:space="preserve"> </w:t>
      </w:r>
      <w:r w:rsidRPr="002029AF">
        <w:t>human</w:t>
      </w:r>
      <w:r w:rsidR="000A5329" w:rsidRPr="002029AF">
        <w:t xml:space="preserve"> </w:t>
      </w:r>
      <w:r w:rsidRPr="002029AF">
        <w:t>rights</w:t>
      </w:r>
      <w:r w:rsidR="000A5329" w:rsidRPr="002029AF">
        <w:t xml:space="preserve"> </w:t>
      </w:r>
      <w:r w:rsidRPr="002029AF">
        <w:t>protections</w:t>
      </w:r>
      <w:r w:rsidR="000A5329" w:rsidRPr="002029AF">
        <w:t xml:space="preserve"> </w:t>
      </w:r>
      <w:r w:rsidRPr="002029AF">
        <w:t>including</w:t>
      </w:r>
      <w:r w:rsidR="000A5329" w:rsidRPr="002029AF">
        <w:t xml:space="preserve"> </w:t>
      </w:r>
      <w:r w:rsidRPr="002029AF">
        <w:t>rights</w:t>
      </w:r>
      <w:r w:rsidR="000A5329" w:rsidRPr="002029AF">
        <w:t xml:space="preserve"> </w:t>
      </w:r>
      <w:r w:rsidRPr="002029AF">
        <w:t>to</w:t>
      </w:r>
      <w:r w:rsidR="000A5329" w:rsidRPr="002029AF">
        <w:t xml:space="preserve"> </w:t>
      </w:r>
      <w:r w:rsidRPr="002029AF">
        <w:t>internal</w:t>
      </w:r>
      <w:r w:rsidR="000A5329" w:rsidRPr="002029AF">
        <w:t xml:space="preserve"> </w:t>
      </w:r>
      <w:r w:rsidRPr="002029AF">
        <w:t>and</w:t>
      </w:r>
      <w:r w:rsidR="000A5329" w:rsidRPr="002029AF">
        <w:t xml:space="preserve"> </w:t>
      </w:r>
      <w:r w:rsidRPr="002029AF">
        <w:t>external</w:t>
      </w:r>
      <w:r w:rsidR="000A5329" w:rsidRPr="002029AF">
        <w:t xml:space="preserve"> </w:t>
      </w:r>
      <w:r w:rsidRPr="002029AF">
        <w:t>review.</w:t>
      </w:r>
    </w:p>
    <w:p w14:paraId="49B30D1B" w14:textId="5BD2D4D5" w:rsidR="00CF72D5" w:rsidRPr="002029AF" w:rsidRDefault="00CF72D5" w:rsidP="00897193">
      <w:pPr>
        <w:pStyle w:val="ARbody"/>
      </w:pPr>
      <w:r w:rsidRPr="002029AF">
        <w:t>The</w:t>
      </w:r>
      <w:r w:rsidR="000A5329" w:rsidRPr="002029AF">
        <w:t xml:space="preserve"> </w:t>
      </w:r>
      <w:r w:rsidRPr="002029AF">
        <w:t>following</w:t>
      </w:r>
      <w:r w:rsidR="000A5329" w:rsidRPr="002029AF">
        <w:t xml:space="preserve"> </w:t>
      </w:r>
      <w:r w:rsidRPr="002029AF">
        <w:t>table</w:t>
      </w:r>
      <w:r w:rsidR="000A5329" w:rsidRPr="002029AF">
        <w:t xml:space="preserve"> </w:t>
      </w:r>
      <w:r w:rsidRPr="002029AF">
        <w:t>reports</w:t>
      </w:r>
      <w:r w:rsidR="000A5329" w:rsidRPr="002029AF">
        <w:t xml:space="preserve"> </w:t>
      </w:r>
      <w:r w:rsidRPr="002029AF">
        <w:t>the</w:t>
      </w:r>
      <w:r w:rsidR="000A5329" w:rsidRPr="002029AF">
        <w:t xml:space="preserve"> </w:t>
      </w:r>
      <w:r w:rsidRPr="002029AF">
        <w:t>number</w:t>
      </w:r>
      <w:r w:rsidR="000A5329" w:rsidRPr="002029AF">
        <w:t xml:space="preserve"> </w:t>
      </w:r>
      <w:r w:rsidRPr="002029AF">
        <w:t>of</w:t>
      </w:r>
      <w:r w:rsidR="000A5329" w:rsidRPr="002029AF">
        <w:t xml:space="preserve"> </w:t>
      </w:r>
      <w:r w:rsidRPr="002029AF">
        <w:t>orders</w:t>
      </w:r>
      <w:r w:rsidR="000A5329" w:rsidRPr="002029AF">
        <w:t xml:space="preserve"> </w:t>
      </w:r>
      <w:r w:rsidRPr="002029AF">
        <w:t>made,</w:t>
      </w:r>
      <w:r w:rsidR="000A5329" w:rsidRPr="002029AF">
        <w:t xml:space="preserve"> </w:t>
      </w:r>
      <w:r w:rsidRPr="002029AF">
        <w:t>and</w:t>
      </w:r>
      <w:r w:rsidR="000A5329" w:rsidRPr="002029AF">
        <w:t xml:space="preserve"> </w:t>
      </w:r>
      <w:r w:rsidRPr="002029AF">
        <w:t>reasons</w:t>
      </w:r>
      <w:r w:rsidR="000A5329" w:rsidRPr="002029AF">
        <w:t xml:space="preserve"> </w:t>
      </w:r>
      <w:r w:rsidRPr="002029AF">
        <w:t>for</w:t>
      </w:r>
      <w:r w:rsidR="000A5329" w:rsidRPr="002029AF">
        <w:t xml:space="preserve"> </w:t>
      </w:r>
      <w:r w:rsidRPr="002029AF">
        <w:t>making</w:t>
      </w:r>
      <w:r w:rsidR="000A5329" w:rsidRPr="002029AF">
        <w:t xml:space="preserve"> </w:t>
      </w:r>
      <w:r w:rsidRPr="002029AF">
        <w:t>them,</w:t>
      </w:r>
      <w:r w:rsidR="000A5329" w:rsidRPr="002029AF">
        <w:t xml:space="preserve"> </w:t>
      </w:r>
      <w:r w:rsidRPr="002029AF">
        <w:t>as</w:t>
      </w:r>
      <w:r w:rsidR="000A5329" w:rsidRPr="002029AF">
        <w:t xml:space="preserve"> </w:t>
      </w:r>
      <w:r w:rsidRPr="002029AF">
        <w:t>outlined</w:t>
      </w:r>
      <w:r w:rsidR="000A5329" w:rsidRPr="002029AF">
        <w:t xml:space="preserve"> </w:t>
      </w:r>
      <w:r w:rsidRPr="002029AF">
        <w:t>in</w:t>
      </w:r>
      <w:r w:rsidR="006F2C99" w:rsidRPr="002029AF">
        <w:t> </w:t>
      </w:r>
      <w:r w:rsidRPr="002029AF">
        <w:t>s.</w:t>
      </w:r>
      <w:r w:rsidR="000A5329" w:rsidRPr="002029AF">
        <w:t xml:space="preserve"> </w:t>
      </w:r>
      <w:r w:rsidRPr="002029AF">
        <w:t>143</w:t>
      </w:r>
      <w:r w:rsidR="000A5329" w:rsidRPr="002029AF">
        <w:t xml:space="preserve"> </w:t>
      </w:r>
      <w:r w:rsidRPr="002029AF">
        <w:t>of</w:t>
      </w:r>
      <w:r w:rsidR="000A5329" w:rsidRPr="002029AF">
        <w:t xml:space="preserve"> </w:t>
      </w:r>
      <w:r w:rsidRPr="002029AF">
        <w:t>the</w:t>
      </w:r>
      <w:r w:rsidR="000A5329" w:rsidRPr="002029AF">
        <w:t xml:space="preserve"> </w:t>
      </w:r>
      <w:r w:rsidRPr="002029AF">
        <w:t>Act.</w:t>
      </w:r>
    </w:p>
    <w:p w14:paraId="750AB20D" w14:textId="0CEAC0C4" w:rsidR="00CF72D5" w:rsidRPr="002029AF" w:rsidRDefault="009A76B8" w:rsidP="0028134C">
      <w:pPr>
        <w:pStyle w:val="ARtablecaption"/>
        <w:spacing w:before="0"/>
      </w:pPr>
      <w:r w:rsidRPr="002029AF">
        <w:br w:type="column"/>
      </w:r>
      <w:r w:rsidR="00CF72D5" w:rsidRPr="002029AF">
        <w:t>Orders</w:t>
      </w:r>
      <w:r w:rsidR="000A5329" w:rsidRPr="002029AF">
        <w:t xml:space="preserve"> </w:t>
      </w:r>
      <w:r w:rsidR="00CF72D5" w:rsidRPr="002029AF">
        <w:t>made</w:t>
      </w:r>
      <w:r w:rsidR="000A5329" w:rsidRPr="002029AF">
        <w:t xml:space="preserve"> </w:t>
      </w:r>
      <w:r w:rsidR="00CF72D5" w:rsidRPr="002029AF">
        <w:t>by</w:t>
      </w:r>
      <w:r w:rsidR="000A5329" w:rsidRPr="002029AF">
        <w:t xml:space="preserve"> </w:t>
      </w:r>
      <w:r w:rsidR="00CF72D5" w:rsidRPr="002029AF">
        <w:t>the</w:t>
      </w:r>
      <w:r w:rsidR="000A5329" w:rsidRPr="002029AF">
        <w:t xml:space="preserve"> </w:t>
      </w:r>
      <w:r w:rsidR="00CF72D5" w:rsidRPr="002029AF">
        <w:t>Chief</w:t>
      </w:r>
      <w:r w:rsidR="000A5329" w:rsidRPr="002029AF">
        <w:t xml:space="preserve"> </w:t>
      </w:r>
      <w:r w:rsidR="00CF72D5" w:rsidRPr="002029AF">
        <w:t>Health</w:t>
      </w:r>
      <w:r w:rsidR="000A5329" w:rsidRPr="002029AF">
        <w:t xml:space="preserve"> </w:t>
      </w:r>
      <w:r w:rsidR="00CF72D5" w:rsidRPr="002029AF">
        <w:t>Officer</w:t>
      </w:r>
      <w:r w:rsidR="000A5329" w:rsidRPr="002029AF">
        <w:t xml:space="preserve"> </w:t>
      </w:r>
      <w:r w:rsidR="00CF72D5" w:rsidRPr="002029AF">
        <w:t>from</w:t>
      </w:r>
      <w:r w:rsidR="000A5329" w:rsidRPr="002029AF">
        <w:t xml:space="preserve"> </w:t>
      </w:r>
      <w:r w:rsidR="00CF72D5" w:rsidRPr="002029AF">
        <w:t>1</w:t>
      </w:r>
      <w:r w:rsidR="006F2C99" w:rsidRPr="002029AF">
        <w:t> </w:t>
      </w:r>
      <w:r w:rsidR="00CF72D5" w:rsidRPr="002029AF">
        <w:t>July</w:t>
      </w:r>
      <w:r w:rsidR="000A5329" w:rsidRPr="002029AF">
        <w:t xml:space="preserve"> </w:t>
      </w:r>
      <w:r w:rsidR="00CF72D5" w:rsidRPr="002029AF">
        <w:t>2019</w:t>
      </w:r>
      <w:r w:rsidR="000A5329" w:rsidRPr="002029AF">
        <w:t xml:space="preserve"> </w:t>
      </w:r>
      <w:r w:rsidR="00CF72D5" w:rsidRPr="002029AF">
        <w:t>–</w:t>
      </w:r>
      <w:r w:rsidR="000A5329" w:rsidRPr="002029AF">
        <w:t xml:space="preserve"> </w:t>
      </w:r>
      <w:r w:rsidR="00CF72D5" w:rsidRPr="002029AF">
        <w:t>30</w:t>
      </w:r>
      <w:r w:rsidR="000A5329" w:rsidRPr="002029AF">
        <w:t xml:space="preserve"> </w:t>
      </w:r>
      <w:r w:rsidR="00CF72D5" w:rsidRPr="002029AF">
        <w:t>June</w:t>
      </w:r>
      <w:r w:rsidR="000A5329" w:rsidRPr="002029AF">
        <w:t xml:space="preserve"> </w:t>
      </w:r>
      <w:r w:rsidR="00CF72D5" w:rsidRPr="002029AF">
        <w:t>2020</w:t>
      </w:r>
    </w:p>
    <w:tbl>
      <w:tblPr>
        <w:tblW w:w="4593"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20" w:firstRow="1" w:lastRow="0" w:firstColumn="0" w:lastColumn="0" w:noHBand="0" w:noVBand="0"/>
      </w:tblPr>
      <w:tblGrid>
        <w:gridCol w:w="786"/>
        <w:gridCol w:w="1460"/>
        <w:gridCol w:w="789"/>
        <w:gridCol w:w="1558"/>
      </w:tblGrid>
      <w:tr w:rsidR="00CF72D5" w:rsidRPr="002029AF" w14:paraId="4248BDA8" w14:textId="77777777" w:rsidTr="00897193">
        <w:trPr>
          <w:cantSplit/>
          <w:tblHeader/>
        </w:trPr>
        <w:tc>
          <w:tcPr>
            <w:tcW w:w="0" w:type="auto"/>
            <w:shd w:val="clear" w:color="auto" w:fill="auto"/>
            <w:vAlign w:val="bottom"/>
          </w:tcPr>
          <w:p w14:paraId="365D967B" w14:textId="77777777" w:rsidR="00CF72D5" w:rsidRPr="002029AF" w:rsidRDefault="00CF72D5" w:rsidP="00897193">
            <w:pPr>
              <w:pStyle w:val="ARtablecolhead"/>
            </w:pPr>
            <w:r w:rsidRPr="002029AF">
              <w:t>Section</w:t>
            </w:r>
          </w:p>
        </w:tc>
        <w:tc>
          <w:tcPr>
            <w:tcW w:w="1460" w:type="dxa"/>
            <w:shd w:val="clear" w:color="auto" w:fill="auto"/>
            <w:vAlign w:val="bottom"/>
          </w:tcPr>
          <w:p w14:paraId="3F62CCF8" w14:textId="7DF86F02" w:rsidR="00CF72D5" w:rsidRPr="002029AF" w:rsidRDefault="00CF72D5" w:rsidP="00897193">
            <w:pPr>
              <w:pStyle w:val="ARtablecolhead"/>
            </w:pPr>
            <w:r w:rsidRPr="002029AF">
              <w:t>Order</w:t>
            </w:r>
            <w:r w:rsidR="000A5329" w:rsidRPr="002029AF">
              <w:t xml:space="preserve"> </w:t>
            </w:r>
            <w:r w:rsidRPr="002029AF">
              <w:t>type</w:t>
            </w:r>
          </w:p>
        </w:tc>
        <w:tc>
          <w:tcPr>
            <w:tcW w:w="789" w:type="dxa"/>
            <w:shd w:val="clear" w:color="auto" w:fill="auto"/>
            <w:vAlign w:val="bottom"/>
          </w:tcPr>
          <w:p w14:paraId="4C5E093B" w14:textId="77777777" w:rsidR="00CF72D5" w:rsidRPr="002029AF" w:rsidRDefault="00CF72D5" w:rsidP="00897193">
            <w:pPr>
              <w:pStyle w:val="ARtablecolhead"/>
              <w:jc w:val="center"/>
            </w:pPr>
            <w:r w:rsidRPr="002029AF">
              <w:t>Number</w:t>
            </w:r>
          </w:p>
        </w:tc>
        <w:tc>
          <w:tcPr>
            <w:tcW w:w="1558" w:type="dxa"/>
            <w:shd w:val="clear" w:color="auto" w:fill="auto"/>
            <w:vAlign w:val="bottom"/>
          </w:tcPr>
          <w:p w14:paraId="4E94ECAE" w14:textId="77777777" w:rsidR="00CF72D5" w:rsidRPr="002029AF" w:rsidRDefault="00CF72D5" w:rsidP="00897193">
            <w:pPr>
              <w:pStyle w:val="ARtablecolhead"/>
            </w:pPr>
            <w:r w:rsidRPr="002029AF">
              <w:t>Reason</w:t>
            </w:r>
          </w:p>
        </w:tc>
      </w:tr>
      <w:tr w:rsidR="00CF72D5" w:rsidRPr="002029AF" w14:paraId="1075E150" w14:textId="77777777" w:rsidTr="00897193">
        <w:trPr>
          <w:cantSplit/>
        </w:trPr>
        <w:tc>
          <w:tcPr>
            <w:tcW w:w="0" w:type="auto"/>
            <w:shd w:val="clear" w:color="auto" w:fill="auto"/>
          </w:tcPr>
          <w:p w14:paraId="7BA0A5D4" w14:textId="77777777" w:rsidR="00CF72D5" w:rsidRPr="002029AF" w:rsidRDefault="00CF72D5" w:rsidP="00897193">
            <w:pPr>
              <w:pStyle w:val="ARtabletext"/>
            </w:pPr>
            <w:r w:rsidRPr="002029AF">
              <w:t>113</w:t>
            </w:r>
          </w:p>
        </w:tc>
        <w:tc>
          <w:tcPr>
            <w:tcW w:w="1460" w:type="dxa"/>
            <w:shd w:val="clear" w:color="auto" w:fill="auto"/>
          </w:tcPr>
          <w:p w14:paraId="5D06A103" w14:textId="2C8554C5" w:rsidR="00CF72D5" w:rsidRPr="002029AF" w:rsidRDefault="00CF72D5" w:rsidP="00897193">
            <w:pPr>
              <w:pStyle w:val="ARtabletext"/>
            </w:pPr>
            <w:r w:rsidRPr="002029AF">
              <w:t>Examination</w:t>
            </w:r>
            <w:r w:rsidR="000A5329" w:rsidRPr="002029AF">
              <w:t xml:space="preserve"> </w:t>
            </w:r>
            <w:r w:rsidRPr="002029AF">
              <w:t>and</w:t>
            </w:r>
            <w:r w:rsidR="000A5329" w:rsidRPr="002029AF">
              <w:t xml:space="preserve"> </w:t>
            </w:r>
            <w:r w:rsidRPr="002029AF">
              <w:t>testing</w:t>
            </w:r>
            <w:r w:rsidR="000A5329" w:rsidRPr="002029AF">
              <w:t xml:space="preserve"> </w:t>
            </w:r>
            <w:r w:rsidRPr="002029AF">
              <w:t>order</w:t>
            </w:r>
          </w:p>
        </w:tc>
        <w:tc>
          <w:tcPr>
            <w:tcW w:w="789" w:type="dxa"/>
            <w:shd w:val="clear" w:color="auto" w:fill="auto"/>
          </w:tcPr>
          <w:p w14:paraId="625BD89D" w14:textId="77777777" w:rsidR="00CF72D5" w:rsidRPr="002029AF" w:rsidRDefault="00CF72D5" w:rsidP="00897193">
            <w:pPr>
              <w:pStyle w:val="ARtabletextright"/>
              <w:jc w:val="center"/>
            </w:pPr>
            <w:r w:rsidRPr="002029AF">
              <w:t>0</w:t>
            </w:r>
          </w:p>
        </w:tc>
        <w:tc>
          <w:tcPr>
            <w:tcW w:w="1558" w:type="dxa"/>
            <w:shd w:val="clear" w:color="auto" w:fill="auto"/>
          </w:tcPr>
          <w:p w14:paraId="7891E7C8" w14:textId="77777777" w:rsidR="00CF72D5" w:rsidRPr="002029AF" w:rsidRDefault="00CF72D5" w:rsidP="00897193">
            <w:pPr>
              <w:pStyle w:val="ARtabletext"/>
            </w:pPr>
          </w:p>
        </w:tc>
      </w:tr>
      <w:tr w:rsidR="00CF72D5" w:rsidRPr="002029AF" w14:paraId="526C4C19" w14:textId="77777777" w:rsidTr="00897193">
        <w:trPr>
          <w:cantSplit/>
        </w:trPr>
        <w:tc>
          <w:tcPr>
            <w:tcW w:w="0" w:type="auto"/>
            <w:shd w:val="clear" w:color="auto" w:fill="auto"/>
          </w:tcPr>
          <w:p w14:paraId="15518512" w14:textId="77777777" w:rsidR="00CF72D5" w:rsidRPr="002029AF" w:rsidRDefault="00CF72D5" w:rsidP="00897193">
            <w:pPr>
              <w:pStyle w:val="ARtabletext"/>
            </w:pPr>
            <w:r w:rsidRPr="002029AF">
              <w:t>117</w:t>
            </w:r>
          </w:p>
        </w:tc>
        <w:tc>
          <w:tcPr>
            <w:tcW w:w="1460" w:type="dxa"/>
            <w:shd w:val="clear" w:color="auto" w:fill="auto"/>
          </w:tcPr>
          <w:p w14:paraId="736AB032" w14:textId="004BFD9D" w:rsidR="00CF72D5" w:rsidRPr="002029AF" w:rsidRDefault="00CF72D5" w:rsidP="00897193">
            <w:pPr>
              <w:pStyle w:val="ARtabletext"/>
            </w:pPr>
            <w:r w:rsidRPr="002029AF">
              <w:t>Public</w:t>
            </w:r>
            <w:r w:rsidR="000A5329" w:rsidRPr="002029AF">
              <w:t xml:space="preserve"> </w:t>
            </w:r>
            <w:r w:rsidRPr="002029AF">
              <w:t>health</w:t>
            </w:r>
            <w:r w:rsidR="000A5329" w:rsidRPr="002029AF">
              <w:t xml:space="preserve"> </w:t>
            </w:r>
            <w:r w:rsidRPr="002029AF">
              <w:t>order</w:t>
            </w:r>
          </w:p>
        </w:tc>
        <w:tc>
          <w:tcPr>
            <w:tcW w:w="789" w:type="dxa"/>
            <w:shd w:val="clear" w:color="auto" w:fill="auto"/>
          </w:tcPr>
          <w:p w14:paraId="5EF651E4" w14:textId="77777777" w:rsidR="00CF72D5" w:rsidRPr="002029AF" w:rsidRDefault="00CF72D5" w:rsidP="00897193">
            <w:pPr>
              <w:pStyle w:val="ARtabletextright"/>
              <w:jc w:val="center"/>
            </w:pPr>
            <w:r w:rsidRPr="002029AF">
              <w:t>0</w:t>
            </w:r>
          </w:p>
        </w:tc>
        <w:tc>
          <w:tcPr>
            <w:tcW w:w="1558" w:type="dxa"/>
            <w:shd w:val="clear" w:color="auto" w:fill="auto"/>
          </w:tcPr>
          <w:p w14:paraId="2AB08F0A" w14:textId="24BAA165" w:rsidR="00CF72D5" w:rsidRPr="002029AF" w:rsidRDefault="00CF72D5" w:rsidP="00897193">
            <w:pPr>
              <w:pStyle w:val="ARtabletext"/>
            </w:pPr>
            <w:r w:rsidRPr="002029AF">
              <w:t>To</w:t>
            </w:r>
            <w:r w:rsidR="000A5329" w:rsidRPr="002029AF">
              <w:t xml:space="preserve"> </w:t>
            </w:r>
            <w:r w:rsidRPr="002029AF">
              <w:t>eliminate</w:t>
            </w:r>
            <w:r w:rsidR="000A5329" w:rsidRPr="002029AF">
              <w:t xml:space="preserve"> </w:t>
            </w:r>
            <w:r w:rsidRPr="002029AF">
              <w:t>or</w:t>
            </w:r>
            <w:r w:rsidR="000A5329" w:rsidRPr="002029AF">
              <w:t xml:space="preserve"> </w:t>
            </w:r>
            <w:r w:rsidRPr="002029AF">
              <w:t>reduce</w:t>
            </w:r>
            <w:r w:rsidR="000A5329" w:rsidRPr="002029AF">
              <w:t xml:space="preserve"> </w:t>
            </w:r>
            <w:r w:rsidRPr="002029AF">
              <w:t>the</w:t>
            </w:r>
            <w:r w:rsidR="000A5329" w:rsidRPr="002029AF">
              <w:t xml:space="preserve"> </w:t>
            </w:r>
            <w:r w:rsidRPr="002029AF">
              <w:t>risk</w:t>
            </w:r>
            <w:r w:rsidR="000A5329" w:rsidRPr="002029AF">
              <w:t xml:space="preserve"> </w:t>
            </w:r>
            <w:r w:rsidRPr="002029AF">
              <w:t>of</w:t>
            </w:r>
            <w:r w:rsidR="000A5329" w:rsidRPr="002029AF">
              <w:t xml:space="preserve"> </w:t>
            </w:r>
            <w:r w:rsidRPr="002029AF">
              <w:t>a</w:t>
            </w:r>
            <w:r w:rsidR="000A5329" w:rsidRPr="002029AF">
              <w:t xml:space="preserve"> </w:t>
            </w:r>
            <w:r w:rsidRPr="002029AF">
              <w:t>person</w:t>
            </w:r>
            <w:r w:rsidR="000A5329" w:rsidRPr="002029AF">
              <w:t xml:space="preserve"> </w:t>
            </w:r>
            <w:r w:rsidRPr="002029AF">
              <w:t>causing</w:t>
            </w:r>
            <w:r w:rsidR="000A5329" w:rsidRPr="002029AF">
              <w:t xml:space="preserve"> </w:t>
            </w:r>
            <w:r w:rsidRPr="002029AF">
              <w:t>a</w:t>
            </w:r>
            <w:r w:rsidR="000A5329" w:rsidRPr="002029AF">
              <w:t xml:space="preserve"> </w:t>
            </w:r>
            <w:r w:rsidRPr="002029AF">
              <w:t>serious</w:t>
            </w:r>
            <w:r w:rsidR="000A5329" w:rsidRPr="002029AF">
              <w:t xml:space="preserve"> </w:t>
            </w:r>
            <w:r w:rsidRPr="002029AF">
              <w:t>risk</w:t>
            </w:r>
            <w:r w:rsidR="000A5329" w:rsidRPr="002029AF">
              <w:t xml:space="preserve"> </w:t>
            </w:r>
            <w:r w:rsidRPr="002029AF">
              <w:t>to</w:t>
            </w:r>
            <w:r w:rsidR="000A5329" w:rsidRPr="002029AF">
              <w:t xml:space="preserve"> </w:t>
            </w:r>
            <w:r w:rsidRPr="002029AF">
              <w:t>public</w:t>
            </w:r>
            <w:r w:rsidR="000A5329" w:rsidRPr="002029AF">
              <w:t xml:space="preserve"> </w:t>
            </w:r>
            <w:r w:rsidRPr="002029AF">
              <w:t>health</w:t>
            </w:r>
          </w:p>
        </w:tc>
      </w:tr>
      <w:tr w:rsidR="00CF72D5" w:rsidRPr="002029AF" w14:paraId="7D064E7D" w14:textId="77777777" w:rsidTr="00897193">
        <w:trPr>
          <w:cantSplit/>
        </w:trPr>
        <w:tc>
          <w:tcPr>
            <w:tcW w:w="0" w:type="auto"/>
            <w:shd w:val="clear" w:color="auto" w:fill="auto"/>
          </w:tcPr>
          <w:p w14:paraId="1FB03047" w14:textId="5564BE44" w:rsidR="00CF72D5" w:rsidRPr="002029AF" w:rsidRDefault="00CF72D5" w:rsidP="00897193">
            <w:pPr>
              <w:pStyle w:val="ARtabletext"/>
            </w:pPr>
            <w:r w:rsidRPr="002029AF">
              <w:t>118</w:t>
            </w:r>
            <w:r w:rsidR="000A5329" w:rsidRPr="002029AF">
              <w:t xml:space="preserve"> </w:t>
            </w:r>
          </w:p>
        </w:tc>
        <w:tc>
          <w:tcPr>
            <w:tcW w:w="1460" w:type="dxa"/>
            <w:shd w:val="clear" w:color="auto" w:fill="auto"/>
          </w:tcPr>
          <w:p w14:paraId="4538DB6D" w14:textId="2F30C0E3" w:rsidR="00CF72D5" w:rsidRPr="002029AF" w:rsidRDefault="00CF72D5" w:rsidP="00897193">
            <w:pPr>
              <w:pStyle w:val="ARtabletext"/>
            </w:pPr>
            <w:r w:rsidRPr="002029AF">
              <w:t>Extension</w:t>
            </w:r>
            <w:r w:rsidR="000A5329" w:rsidRPr="002029AF">
              <w:t xml:space="preserve"> </w:t>
            </w:r>
            <w:r w:rsidRPr="002029AF">
              <w:t>of</w:t>
            </w:r>
            <w:r w:rsidR="000A5329" w:rsidRPr="002029AF">
              <w:t xml:space="preserve"> </w:t>
            </w:r>
            <w:r w:rsidRPr="002029AF">
              <w:t>public</w:t>
            </w:r>
            <w:r w:rsidR="000A5329" w:rsidRPr="002029AF">
              <w:t xml:space="preserve"> </w:t>
            </w:r>
            <w:r w:rsidRPr="002029AF">
              <w:t>health</w:t>
            </w:r>
            <w:r w:rsidR="000A5329" w:rsidRPr="002029AF">
              <w:t xml:space="preserve"> </w:t>
            </w:r>
            <w:r w:rsidRPr="002029AF">
              <w:t>order</w:t>
            </w:r>
          </w:p>
        </w:tc>
        <w:tc>
          <w:tcPr>
            <w:tcW w:w="789" w:type="dxa"/>
            <w:shd w:val="clear" w:color="auto" w:fill="auto"/>
          </w:tcPr>
          <w:p w14:paraId="3146B0F3" w14:textId="77777777" w:rsidR="00CF72D5" w:rsidRPr="002029AF" w:rsidRDefault="00CF72D5" w:rsidP="00897193">
            <w:pPr>
              <w:pStyle w:val="ARtabletextright"/>
              <w:jc w:val="center"/>
            </w:pPr>
            <w:r w:rsidRPr="002029AF">
              <w:t>2</w:t>
            </w:r>
          </w:p>
        </w:tc>
        <w:tc>
          <w:tcPr>
            <w:tcW w:w="1558" w:type="dxa"/>
            <w:shd w:val="clear" w:color="auto" w:fill="auto"/>
          </w:tcPr>
          <w:p w14:paraId="7FFF37A2" w14:textId="513D0F04" w:rsidR="00CF72D5" w:rsidRPr="002029AF" w:rsidRDefault="00CF72D5" w:rsidP="00897193">
            <w:pPr>
              <w:pStyle w:val="ARtabletext"/>
            </w:pPr>
            <w:r w:rsidRPr="002029AF">
              <w:rPr>
                <w:lang w:eastAsia="en-US"/>
              </w:rPr>
              <w:t>To</w:t>
            </w:r>
            <w:r w:rsidR="000A5329" w:rsidRPr="002029AF">
              <w:rPr>
                <w:lang w:eastAsia="en-US"/>
              </w:rPr>
              <w:t xml:space="preserve"> </w:t>
            </w:r>
            <w:r w:rsidRPr="002029AF">
              <w:rPr>
                <w:lang w:eastAsia="en-US"/>
              </w:rPr>
              <w:t>continue</w:t>
            </w:r>
            <w:r w:rsidR="000A5329" w:rsidRPr="002029AF">
              <w:rPr>
                <w:lang w:eastAsia="en-US"/>
              </w:rPr>
              <w:t xml:space="preserve"> </w:t>
            </w:r>
            <w:r w:rsidRPr="002029AF">
              <w:rPr>
                <w:lang w:eastAsia="en-US"/>
              </w:rPr>
              <w:t>to</w:t>
            </w:r>
            <w:r w:rsidR="000A5329" w:rsidRPr="002029AF">
              <w:rPr>
                <w:lang w:eastAsia="en-US"/>
              </w:rPr>
              <w:t xml:space="preserve"> </w:t>
            </w:r>
            <w:r w:rsidRPr="002029AF">
              <w:rPr>
                <w:lang w:eastAsia="en-US"/>
              </w:rPr>
              <w:t>eliminate</w:t>
            </w:r>
            <w:r w:rsidR="000A5329" w:rsidRPr="002029AF">
              <w:rPr>
                <w:lang w:eastAsia="en-US"/>
              </w:rPr>
              <w:t xml:space="preserve"> </w:t>
            </w:r>
            <w:r w:rsidRPr="002029AF">
              <w:rPr>
                <w:lang w:eastAsia="en-US"/>
              </w:rPr>
              <w:t>or</w:t>
            </w:r>
            <w:r w:rsidR="000A5329" w:rsidRPr="002029AF">
              <w:rPr>
                <w:lang w:eastAsia="en-US"/>
              </w:rPr>
              <w:t xml:space="preserve"> </w:t>
            </w:r>
            <w:r w:rsidRPr="002029AF">
              <w:rPr>
                <w:lang w:eastAsia="en-US"/>
              </w:rPr>
              <w:t>reduce</w:t>
            </w:r>
            <w:r w:rsidR="000A5329" w:rsidRPr="002029AF">
              <w:rPr>
                <w:lang w:eastAsia="en-US"/>
              </w:rPr>
              <w:t xml:space="preserve"> </w:t>
            </w:r>
            <w:r w:rsidRPr="002029AF">
              <w:rPr>
                <w:lang w:eastAsia="en-US"/>
              </w:rPr>
              <w:t>the</w:t>
            </w:r>
            <w:r w:rsidR="000A5329" w:rsidRPr="002029AF">
              <w:rPr>
                <w:lang w:eastAsia="en-US"/>
              </w:rPr>
              <w:t xml:space="preserve"> </w:t>
            </w:r>
            <w:r w:rsidRPr="002029AF">
              <w:rPr>
                <w:lang w:eastAsia="en-US"/>
              </w:rPr>
              <w:t>risk</w:t>
            </w:r>
            <w:r w:rsidR="000A5329" w:rsidRPr="002029AF">
              <w:rPr>
                <w:lang w:eastAsia="en-US"/>
              </w:rPr>
              <w:t xml:space="preserve"> </w:t>
            </w:r>
            <w:r w:rsidRPr="002029AF">
              <w:rPr>
                <w:lang w:eastAsia="en-US"/>
              </w:rPr>
              <w:t>of</w:t>
            </w:r>
            <w:r w:rsidR="000A5329" w:rsidRPr="002029AF">
              <w:rPr>
                <w:lang w:eastAsia="en-US"/>
              </w:rPr>
              <w:t xml:space="preserve"> </w:t>
            </w:r>
            <w:r w:rsidRPr="002029AF">
              <w:rPr>
                <w:lang w:eastAsia="en-US"/>
              </w:rPr>
              <w:t>a</w:t>
            </w:r>
            <w:r w:rsidR="000A5329" w:rsidRPr="002029AF">
              <w:rPr>
                <w:lang w:eastAsia="en-US"/>
              </w:rPr>
              <w:t xml:space="preserve"> </w:t>
            </w:r>
            <w:r w:rsidRPr="002029AF">
              <w:rPr>
                <w:lang w:eastAsia="en-US"/>
              </w:rPr>
              <w:t>person</w:t>
            </w:r>
            <w:r w:rsidR="000A5329" w:rsidRPr="002029AF">
              <w:rPr>
                <w:lang w:eastAsia="en-US"/>
              </w:rPr>
              <w:t xml:space="preserve"> </w:t>
            </w:r>
            <w:r w:rsidRPr="002029AF">
              <w:rPr>
                <w:lang w:eastAsia="en-US"/>
              </w:rPr>
              <w:t>causing</w:t>
            </w:r>
            <w:r w:rsidR="000A5329" w:rsidRPr="002029AF">
              <w:rPr>
                <w:lang w:eastAsia="en-US"/>
              </w:rPr>
              <w:t xml:space="preserve"> </w:t>
            </w:r>
            <w:r w:rsidRPr="002029AF">
              <w:rPr>
                <w:lang w:eastAsia="en-US"/>
              </w:rPr>
              <w:t>a</w:t>
            </w:r>
            <w:r w:rsidR="000A5329" w:rsidRPr="002029AF">
              <w:rPr>
                <w:lang w:eastAsia="en-US"/>
              </w:rPr>
              <w:t xml:space="preserve"> </w:t>
            </w:r>
            <w:r w:rsidRPr="002029AF">
              <w:rPr>
                <w:lang w:eastAsia="en-US"/>
              </w:rPr>
              <w:t>serious</w:t>
            </w:r>
            <w:r w:rsidR="000A5329" w:rsidRPr="002029AF">
              <w:rPr>
                <w:lang w:eastAsia="en-US"/>
              </w:rPr>
              <w:t xml:space="preserve"> </w:t>
            </w:r>
            <w:r w:rsidRPr="002029AF">
              <w:rPr>
                <w:lang w:eastAsia="en-US"/>
              </w:rPr>
              <w:t>risk</w:t>
            </w:r>
            <w:r w:rsidR="000A5329" w:rsidRPr="002029AF">
              <w:rPr>
                <w:lang w:eastAsia="en-US"/>
              </w:rPr>
              <w:t xml:space="preserve"> </w:t>
            </w:r>
            <w:r w:rsidRPr="002029AF">
              <w:rPr>
                <w:lang w:eastAsia="en-US"/>
              </w:rPr>
              <w:t>to</w:t>
            </w:r>
            <w:r w:rsidR="000A5329" w:rsidRPr="002029AF">
              <w:rPr>
                <w:lang w:eastAsia="en-US"/>
              </w:rPr>
              <w:t xml:space="preserve"> </w:t>
            </w:r>
            <w:r w:rsidRPr="002029AF">
              <w:rPr>
                <w:lang w:eastAsia="en-US"/>
              </w:rPr>
              <w:t>public</w:t>
            </w:r>
            <w:r w:rsidR="000A5329" w:rsidRPr="002029AF">
              <w:rPr>
                <w:lang w:eastAsia="en-US"/>
              </w:rPr>
              <w:t xml:space="preserve"> </w:t>
            </w:r>
            <w:r w:rsidRPr="002029AF">
              <w:rPr>
                <w:lang w:eastAsia="en-US"/>
              </w:rPr>
              <w:t>health</w:t>
            </w:r>
          </w:p>
        </w:tc>
      </w:tr>
      <w:tr w:rsidR="00CF72D5" w:rsidRPr="002029AF" w14:paraId="12B057E6" w14:textId="77777777" w:rsidTr="00897193">
        <w:trPr>
          <w:cantSplit/>
        </w:trPr>
        <w:tc>
          <w:tcPr>
            <w:tcW w:w="0" w:type="auto"/>
            <w:shd w:val="clear" w:color="auto" w:fill="auto"/>
          </w:tcPr>
          <w:p w14:paraId="75FE0F5D" w14:textId="77777777" w:rsidR="00CF72D5" w:rsidRPr="002029AF" w:rsidRDefault="00CF72D5" w:rsidP="00897193">
            <w:pPr>
              <w:pStyle w:val="ARtabletext"/>
            </w:pPr>
            <w:r w:rsidRPr="002029AF">
              <w:t>134</w:t>
            </w:r>
          </w:p>
        </w:tc>
        <w:tc>
          <w:tcPr>
            <w:tcW w:w="1460" w:type="dxa"/>
            <w:shd w:val="clear" w:color="auto" w:fill="auto"/>
          </w:tcPr>
          <w:p w14:paraId="2EA049AA" w14:textId="099B8491" w:rsidR="00CF72D5" w:rsidRPr="002029AF" w:rsidRDefault="00CF72D5" w:rsidP="00897193">
            <w:pPr>
              <w:pStyle w:val="ARtabletext"/>
            </w:pPr>
            <w:r w:rsidRPr="002029AF">
              <w:t>Orders</w:t>
            </w:r>
            <w:r w:rsidR="000A5329" w:rsidRPr="002029AF">
              <w:t xml:space="preserve"> </w:t>
            </w:r>
            <w:r w:rsidRPr="002029AF">
              <w:t>for</w:t>
            </w:r>
            <w:r w:rsidR="000A5329" w:rsidRPr="002029AF">
              <w:t xml:space="preserve"> </w:t>
            </w:r>
            <w:r w:rsidRPr="002029AF">
              <w:t>tests</w:t>
            </w:r>
            <w:r w:rsidR="000A5329" w:rsidRPr="002029AF">
              <w:t xml:space="preserve"> </w:t>
            </w:r>
            <w:r w:rsidRPr="002029AF">
              <w:t>if</w:t>
            </w:r>
            <w:r w:rsidR="000A5329" w:rsidRPr="002029AF">
              <w:t xml:space="preserve"> </w:t>
            </w:r>
            <w:r w:rsidRPr="002029AF">
              <w:t>an</w:t>
            </w:r>
            <w:r w:rsidR="000A5329" w:rsidRPr="002029AF">
              <w:t xml:space="preserve"> </w:t>
            </w:r>
            <w:r w:rsidRPr="002029AF">
              <w:t>incident</w:t>
            </w:r>
            <w:r w:rsidR="000A5329" w:rsidRPr="002029AF">
              <w:t xml:space="preserve"> </w:t>
            </w:r>
            <w:r w:rsidRPr="002029AF">
              <w:t>has</w:t>
            </w:r>
            <w:r w:rsidR="000A5329" w:rsidRPr="002029AF">
              <w:t xml:space="preserve"> </w:t>
            </w:r>
            <w:r w:rsidRPr="002029AF">
              <w:t>occurred</w:t>
            </w:r>
          </w:p>
        </w:tc>
        <w:tc>
          <w:tcPr>
            <w:tcW w:w="789" w:type="dxa"/>
            <w:shd w:val="clear" w:color="auto" w:fill="auto"/>
          </w:tcPr>
          <w:p w14:paraId="5636C15E" w14:textId="77777777" w:rsidR="00CF72D5" w:rsidRPr="002029AF" w:rsidRDefault="00CF72D5" w:rsidP="00897193">
            <w:pPr>
              <w:pStyle w:val="ARtabletextright"/>
              <w:jc w:val="center"/>
            </w:pPr>
            <w:r w:rsidRPr="002029AF">
              <w:t>0</w:t>
            </w:r>
          </w:p>
        </w:tc>
        <w:tc>
          <w:tcPr>
            <w:tcW w:w="1558" w:type="dxa"/>
            <w:shd w:val="clear" w:color="auto" w:fill="auto"/>
          </w:tcPr>
          <w:p w14:paraId="0DA51F59" w14:textId="77777777" w:rsidR="00CF72D5" w:rsidRPr="002029AF" w:rsidRDefault="00CF72D5" w:rsidP="00897193">
            <w:pPr>
              <w:pStyle w:val="ARtabletext"/>
            </w:pPr>
          </w:p>
        </w:tc>
      </w:tr>
    </w:tbl>
    <w:p w14:paraId="3E3480A4" w14:textId="77777777" w:rsidR="00DE6F17" w:rsidRPr="002029AF" w:rsidRDefault="00DE6F17" w:rsidP="00457506">
      <w:pPr>
        <w:pStyle w:val="ARbody"/>
      </w:pPr>
      <w:r w:rsidRPr="002029AF">
        <w:br w:type="page"/>
      </w:r>
    </w:p>
    <w:p w14:paraId="5A5BD1A7" w14:textId="6D3782DA" w:rsidR="00CF72D5" w:rsidRPr="002029AF" w:rsidRDefault="00CF72D5" w:rsidP="00897193">
      <w:pPr>
        <w:pStyle w:val="Heading2"/>
      </w:pPr>
      <w:bookmarkStart w:id="155" w:name="_Ref52279543"/>
      <w:bookmarkStart w:id="156" w:name="_Ref52279687"/>
      <w:bookmarkStart w:id="157" w:name="_Toc54690793"/>
      <w:r w:rsidRPr="002029AF">
        <w:lastRenderedPageBreak/>
        <w:t>Ministerial</w:t>
      </w:r>
      <w:r w:rsidR="000A5329" w:rsidRPr="002029AF">
        <w:t xml:space="preserve"> </w:t>
      </w:r>
      <w:r w:rsidRPr="002029AF">
        <w:t>Statements</w:t>
      </w:r>
      <w:r w:rsidR="000A5329" w:rsidRPr="002029AF">
        <w:t xml:space="preserve"> </w:t>
      </w:r>
      <w:r w:rsidRPr="002029AF">
        <w:t>of</w:t>
      </w:r>
      <w:r w:rsidR="006F2C99" w:rsidRPr="002029AF">
        <w:t> </w:t>
      </w:r>
      <w:r w:rsidRPr="002029AF">
        <w:t>Expectations</w:t>
      </w:r>
      <w:bookmarkEnd w:id="155"/>
      <w:bookmarkEnd w:id="156"/>
      <w:bookmarkEnd w:id="157"/>
    </w:p>
    <w:p w14:paraId="0F86CF4F" w14:textId="3F01DE47" w:rsidR="00CF72D5" w:rsidRPr="002029AF" w:rsidRDefault="00CF72D5" w:rsidP="00897193">
      <w:pPr>
        <w:pStyle w:val="ARbody"/>
      </w:pPr>
      <w:bookmarkStart w:id="158" w:name="_Ref493061906"/>
      <w:r w:rsidRPr="002029AF">
        <w:t>Ministerial</w:t>
      </w:r>
      <w:r w:rsidR="000A5329" w:rsidRPr="002029AF">
        <w:t xml:space="preserve"> </w:t>
      </w:r>
      <w:r w:rsidRPr="002029AF">
        <w:t>Statements</w:t>
      </w:r>
      <w:r w:rsidR="000A5329" w:rsidRPr="002029AF">
        <w:t xml:space="preserve"> </w:t>
      </w:r>
      <w:r w:rsidRPr="002029AF">
        <w:t>of</w:t>
      </w:r>
      <w:r w:rsidR="000A5329" w:rsidRPr="002029AF">
        <w:t xml:space="preserve"> </w:t>
      </w:r>
      <w:r w:rsidRPr="002029AF">
        <w:t>Expectations</w:t>
      </w:r>
      <w:r w:rsidR="000A5329" w:rsidRPr="002029AF">
        <w:t xml:space="preserve"> </w:t>
      </w:r>
      <w:r w:rsidRPr="002029AF">
        <w:t>for</w:t>
      </w:r>
      <w:r w:rsidR="000A5329" w:rsidRPr="002029AF">
        <w:t xml:space="preserve"> </w:t>
      </w:r>
      <w:r w:rsidRPr="002029AF">
        <w:t>regulators</w:t>
      </w:r>
      <w:r w:rsidR="000A5329" w:rsidRPr="002029AF">
        <w:t xml:space="preserve"> </w:t>
      </w:r>
      <w:r w:rsidRPr="002029AF">
        <w:t>articulate</w:t>
      </w:r>
      <w:r w:rsidR="000A5329" w:rsidRPr="002029AF">
        <w:t xml:space="preserve"> </w:t>
      </w:r>
      <w:r w:rsidRPr="002029AF">
        <w:t>the</w:t>
      </w:r>
      <w:r w:rsidR="000A5329" w:rsidRPr="002029AF">
        <w:t xml:space="preserve"> </w:t>
      </w:r>
      <w:r w:rsidRPr="002029AF">
        <w:t>Victorian</w:t>
      </w:r>
      <w:r w:rsidR="000A5329" w:rsidRPr="002029AF">
        <w:t xml:space="preserve"> </w:t>
      </w:r>
      <w:r w:rsidRPr="002029AF">
        <w:t>Government’s</w:t>
      </w:r>
      <w:r w:rsidR="000A5329" w:rsidRPr="002029AF">
        <w:t xml:space="preserve"> </w:t>
      </w:r>
      <w:r w:rsidRPr="002029AF">
        <w:t>regulatory</w:t>
      </w:r>
      <w:r w:rsidR="000A5329" w:rsidRPr="002029AF">
        <w:t xml:space="preserve"> </w:t>
      </w:r>
      <w:r w:rsidRPr="002029AF">
        <w:t>functions</w:t>
      </w:r>
      <w:r w:rsidR="000A5329" w:rsidRPr="002029AF">
        <w:t xml:space="preserve"> </w:t>
      </w:r>
      <w:r w:rsidRPr="002029AF">
        <w:t>and</w:t>
      </w:r>
      <w:r w:rsidR="000A5329" w:rsidRPr="002029AF">
        <w:t xml:space="preserve"> </w:t>
      </w:r>
      <w:r w:rsidRPr="002029AF">
        <w:t>priorities</w:t>
      </w:r>
      <w:r w:rsidR="000A5329" w:rsidRPr="002029AF">
        <w:t xml:space="preserve"> </w:t>
      </w:r>
      <w:r w:rsidRPr="002029AF">
        <w:t>within</w:t>
      </w:r>
      <w:r w:rsidR="000A5329" w:rsidRPr="002029AF">
        <w:t xml:space="preserve"> </w:t>
      </w:r>
      <w:r w:rsidRPr="002029AF">
        <w:t>each</w:t>
      </w:r>
      <w:r w:rsidR="000A5329" w:rsidRPr="002029AF">
        <w:t xml:space="preserve"> </w:t>
      </w:r>
      <w:r w:rsidRPr="002029AF">
        <w:t>government</w:t>
      </w:r>
      <w:r w:rsidR="000A5329" w:rsidRPr="002029AF">
        <w:t xml:space="preserve"> </w:t>
      </w:r>
      <w:r w:rsidRPr="002029AF">
        <w:t>department.</w:t>
      </w:r>
      <w:r w:rsidR="000A5329" w:rsidRPr="002029AF">
        <w:t xml:space="preserve"> </w:t>
      </w:r>
      <w:r w:rsidRPr="002029AF">
        <w:t>The</w:t>
      </w:r>
      <w:r w:rsidR="000A5329" w:rsidRPr="002029AF">
        <w:t xml:space="preserve"> </w:t>
      </w:r>
      <w:r w:rsidRPr="002029AF">
        <w:t>statements</w:t>
      </w:r>
      <w:r w:rsidR="000A5329" w:rsidRPr="002029AF">
        <w:t xml:space="preserve"> </w:t>
      </w:r>
      <w:r w:rsidRPr="002029AF">
        <w:t>are</w:t>
      </w:r>
      <w:r w:rsidR="000A5329" w:rsidRPr="002029AF">
        <w:t xml:space="preserve"> </w:t>
      </w:r>
      <w:r w:rsidRPr="002029AF">
        <w:t>issued</w:t>
      </w:r>
      <w:r w:rsidR="000A5329" w:rsidRPr="002029AF">
        <w:t xml:space="preserve"> </w:t>
      </w:r>
      <w:r w:rsidRPr="002029AF">
        <w:t>by</w:t>
      </w:r>
      <w:r w:rsidR="000A5329" w:rsidRPr="002029AF">
        <w:t xml:space="preserve"> </w:t>
      </w:r>
      <w:r w:rsidRPr="002029AF">
        <w:t>the</w:t>
      </w:r>
      <w:r w:rsidR="000A5329" w:rsidRPr="002029AF">
        <w:t xml:space="preserve"> </w:t>
      </w:r>
      <w:r w:rsidRPr="002029AF">
        <w:t>responsible</w:t>
      </w:r>
      <w:r w:rsidR="000A5329" w:rsidRPr="002029AF">
        <w:t xml:space="preserve"> </w:t>
      </w:r>
      <w:r w:rsidRPr="002029AF">
        <w:t>minister</w:t>
      </w:r>
      <w:r w:rsidR="000A5329" w:rsidRPr="002029AF">
        <w:t xml:space="preserve"> </w:t>
      </w:r>
      <w:r w:rsidRPr="002029AF">
        <w:t>and</w:t>
      </w:r>
      <w:r w:rsidR="000A5329" w:rsidRPr="002029AF">
        <w:t xml:space="preserve"> </w:t>
      </w:r>
      <w:r w:rsidRPr="002029AF">
        <w:t>aim</w:t>
      </w:r>
      <w:r w:rsidR="000A5329" w:rsidRPr="002029AF">
        <w:t xml:space="preserve"> </w:t>
      </w:r>
      <w:r w:rsidRPr="002029AF">
        <w:t>to</w:t>
      </w:r>
      <w:r w:rsidR="000A5329" w:rsidRPr="002029AF">
        <w:t xml:space="preserve"> </w:t>
      </w:r>
      <w:r w:rsidRPr="002029AF">
        <w:t>establish</w:t>
      </w:r>
      <w:r w:rsidR="000A5329" w:rsidRPr="002029AF">
        <w:t xml:space="preserve"> </w:t>
      </w:r>
      <w:r w:rsidRPr="002029AF">
        <w:t>clear</w:t>
      </w:r>
      <w:r w:rsidR="000A5329" w:rsidRPr="002029AF">
        <w:t xml:space="preserve"> </w:t>
      </w:r>
      <w:r w:rsidRPr="002029AF">
        <w:t>expectations</w:t>
      </w:r>
      <w:r w:rsidR="000A5329" w:rsidRPr="002029AF">
        <w:t xml:space="preserve"> </w:t>
      </w:r>
      <w:r w:rsidRPr="002029AF">
        <w:t>for</w:t>
      </w:r>
      <w:r w:rsidR="000A5329" w:rsidRPr="002029AF">
        <w:t xml:space="preserve"> </w:t>
      </w:r>
      <w:r w:rsidRPr="002029AF">
        <w:t>regulator</w:t>
      </w:r>
      <w:r w:rsidR="000A5329" w:rsidRPr="002029AF">
        <w:t xml:space="preserve"> </w:t>
      </w:r>
      <w:r w:rsidRPr="002029AF">
        <w:t>performance</w:t>
      </w:r>
      <w:r w:rsidR="000A5329" w:rsidRPr="002029AF">
        <w:t xml:space="preserve"> </w:t>
      </w:r>
      <w:r w:rsidRPr="002029AF">
        <w:t>and</w:t>
      </w:r>
      <w:r w:rsidR="000A5329" w:rsidRPr="002029AF">
        <w:t xml:space="preserve"> </w:t>
      </w:r>
      <w:r w:rsidRPr="002029AF">
        <w:t>improvements.</w:t>
      </w:r>
    </w:p>
    <w:p w14:paraId="41CBC2CB" w14:textId="163242A4" w:rsidR="00CF72D5" w:rsidRPr="002029AF" w:rsidRDefault="00CF72D5" w:rsidP="00897193">
      <w:pPr>
        <w:pStyle w:val="ARbody"/>
      </w:pPr>
      <w:r w:rsidRPr="002029AF">
        <w:t>The</w:t>
      </w:r>
      <w:r w:rsidR="000A5329" w:rsidRPr="002029AF">
        <w:t xml:space="preserve"> </w:t>
      </w:r>
      <w:r w:rsidRPr="002029AF">
        <w:t>statements</w:t>
      </w:r>
      <w:r w:rsidR="000A5329" w:rsidRPr="002029AF">
        <w:t xml:space="preserve"> </w:t>
      </w:r>
      <w:r w:rsidRPr="002029AF">
        <w:t>apply</w:t>
      </w:r>
      <w:r w:rsidR="000A5329" w:rsidRPr="002029AF">
        <w:t xml:space="preserve"> </w:t>
      </w:r>
      <w:r w:rsidRPr="002029AF">
        <w:t>to</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regulators</w:t>
      </w:r>
      <w:r w:rsidR="000A5329" w:rsidRPr="002029AF">
        <w:t xml:space="preserve"> </w:t>
      </w:r>
      <w:r w:rsidRPr="002029AF">
        <w:t>and</w:t>
      </w:r>
      <w:r w:rsidR="000A5329" w:rsidRPr="002029AF">
        <w:t xml:space="preserve"> </w:t>
      </w:r>
      <w:r w:rsidRPr="002029AF">
        <w:t>statutory</w:t>
      </w:r>
      <w:r w:rsidR="000A5329" w:rsidRPr="002029AF">
        <w:t xml:space="preserve"> </w:t>
      </w:r>
      <w:r w:rsidRPr="002029AF">
        <w:t>authorities.</w:t>
      </w:r>
      <w:r w:rsidR="000A5329" w:rsidRPr="002029AF">
        <w:t xml:space="preserve"> </w:t>
      </w:r>
      <w:r w:rsidRPr="002029AF">
        <w:t>They</w:t>
      </w:r>
      <w:r w:rsidR="000A5329" w:rsidRPr="002029AF">
        <w:t xml:space="preserve"> </w:t>
      </w:r>
      <w:r w:rsidRPr="002029AF">
        <w:t>relate</w:t>
      </w:r>
      <w:r w:rsidR="000A5329" w:rsidRPr="002029AF">
        <w:t xml:space="preserve"> </w:t>
      </w:r>
      <w:r w:rsidRPr="002029AF">
        <w:t>to</w:t>
      </w:r>
      <w:r w:rsidR="000A5329" w:rsidRPr="002029AF">
        <w:t xml:space="preserve"> </w:t>
      </w:r>
      <w:r w:rsidRPr="002029AF">
        <w:t>areas</w:t>
      </w:r>
      <w:r w:rsidR="000A5329" w:rsidRPr="002029AF">
        <w:t xml:space="preserve"> </w:t>
      </w:r>
      <w:r w:rsidRPr="002029AF">
        <w:t>such</w:t>
      </w:r>
      <w:r w:rsidR="000A5329" w:rsidRPr="002029AF">
        <w:t xml:space="preserve"> </w:t>
      </w:r>
      <w:r w:rsidRPr="002029AF">
        <w:t>as</w:t>
      </w:r>
      <w:r w:rsidR="000A5329" w:rsidRPr="002029AF">
        <w:t xml:space="preserve"> </w:t>
      </w:r>
      <w:r w:rsidRPr="002029AF">
        <w:t>medicines</w:t>
      </w:r>
      <w:r w:rsidR="000A5329" w:rsidRPr="002029AF">
        <w:t xml:space="preserve"> </w:t>
      </w:r>
      <w:r w:rsidRPr="002029AF">
        <w:t>and</w:t>
      </w:r>
      <w:r w:rsidR="000A5329" w:rsidRPr="002029AF">
        <w:t xml:space="preserve"> </w:t>
      </w:r>
      <w:r w:rsidRPr="002029AF">
        <w:t>poisons,</w:t>
      </w:r>
      <w:r w:rsidR="000A5329" w:rsidRPr="002029AF">
        <w:t xml:space="preserve"> </w:t>
      </w:r>
      <w:r w:rsidRPr="002029AF">
        <w:t>food</w:t>
      </w:r>
      <w:r w:rsidR="000A5329" w:rsidRPr="002029AF">
        <w:t xml:space="preserve"> </w:t>
      </w:r>
      <w:r w:rsidRPr="002029AF">
        <w:t>safety,</w:t>
      </w:r>
      <w:r w:rsidR="000A5329" w:rsidRPr="002029AF">
        <w:t xml:space="preserve"> </w:t>
      </w:r>
      <w:r w:rsidRPr="002029AF">
        <w:t>tobacco</w:t>
      </w:r>
      <w:r w:rsidR="000A5329" w:rsidRPr="002029AF">
        <w:t xml:space="preserve"> </w:t>
      </w:r>
      <w:r w:rsidRPr="002029AF">
        <w:t>control,</w:t>
      </w:r>
      <w:r w:rsidR="000A5329" w:rsidRPr="002029AF">
        <w:t xml:space="preserve"> </w:t>
      </w:r>
      <w:r w:rsidRPr="002029AF">
        <w:t>radiation</w:t>
      </w:r>
      <w:r w:rsidR="000A5329" w:rsidRPr="002029AF">
        <w:t xml:space="preserve"> </w:t>
      </w:r>
      <w:r w:rsidRPr="002029AF">
        <w:t>safety,</w:t>
      </w:r>
      <w:r w:rsidR="000A5329" w:rsidRPr="002029AF">
        <w:t xml:space="preserve"> </w:t>
      </w:r>
      <w:r w:rsidRPr="002029AF">
        <w:t>safe</w:t>
      </w:r>
      <w:r w:rsidR="000A5329" w:rsidRPr="002029AF">
        <w:t xml:space="preserve"> </w:t>
      </w:r>
      <w:r w:rsidRPr="002029AF">
        <w:t>drinking</w:t>
      </w:r>
      <w:r w:rsidR="000A5329" w:rsidRPr="002029AF">
        <w:t xml:space="preserve"> </w:t>
      </w:r>
      <w:r w:rsidRPr="002029AF">
        <w:t>water</w:t>
      </w:r>
      <w:r w:rsidR="000A5329" w:rsidRPr="002029AF">
        <w:t xml:space="preserve"> </w:t>
      </w:r>
      <w:r w:rsidRPr="002029AF">
        <w:t>and</w:t>
      </w:r>
      <w:r w:rsidR="000A5329" w:rsidRPr="002029AF">
        <w:t xml:space="preserve"> </w:t>
      </w:r>
      <w:r w:rsidRPr="002029AF">
        <w:t>services</w:t>
      </w:r>
      <w:r w:rsidR="000A5329" w:rsidRPr="002029AF">
        <w:t xml:space="preserve"> </w:t>
      </w:r>
      <w:r w:rsidRPr="002029AF">
        <w:t>provided</w:t>
      </w:r>
      <w:r w:rsidR="000A5329" w:rsidRPr="002029AF">
        <w:t xml:space="preserve"> </w:t>
      </w:r>
      <w:r w:rsidRPr="002029AF">
        <w:t>and</w:t>
      </w:r>
      <w:r w:rsidR="000A5329" w:rsidRPr="002029AF">
        <w:t xml:space="preserve"> </w:t>
      </w:r>
      <w:r w:rsidRPr="002029AF">
        <w:t>registered</w:t>
      </w:r>
      <w:r w:rsidR="000A5329" w:rsidRPr="002029AF">
        <w:t xml:space="preserve"> </w:t>
      </w:r>
      <w:r w:rsidRPr="002029AF">
        <w:t>under</w:t>
      </w:r>
      <w:r w:rsidR="000A5329" w:rsidRPr="002029AF">
        <w:t xml:space="preserve"> </w:t>
      </w:r>
      <w:r w:rsidRPr="002029AF">
        <w:t>the</w:t>
      </w:r>
      <w:r w:rsidR="000A5329" w:rsidRPr="002029AF">
        <w:t xml:space="preserve"> </w:t>
      </w:r>
      <w:r w:rsidRPr="002029AF">
        <w:rPr>
          <w:i/>
        </w:rPr>
        <w:t>Children,</w:t>
      </w:r>
      <w:r w:rsidR="000A5329" w:rsidRPr="002029AF">
        <w:rPr>
          <w:i/>
        </w:rPr>
        <w:t xml:space="preserve"> </w:t>
      </w:r>
      <w:r w:rsidRPr="002029AF">
        <w:rPr>
          <w:i/>
        </w:rPr>
        <w:t>Youth</w:t>
      </w:r>
      <w:r w:rsidR="000A5329" w:rsidRPr="002029AF">
        <w:rPr>
          <w:i/>
        </w:rPr>
        <w:t xml:space="preserve"> </w:t>
      </w:r>
      <w:r w:rsidRPr="002029AF">
        <w:rPr>
          <w:i/>
        </w:rPr>
        <w:t>and</w:t>
      </w:r>
      <w:r w:rsidR="000A5329" w:rsidRPr="002029AF">
        <w:rPr>
          <w:i/>
        </w:rPr>
        <w:t xml:space="preserve"> </w:t>
      </w:r>
      <w:r w:rsidRPr="002029AF">
        <w:rPr>
          <w:i/>
        </w:rPr>
        <w:t>Families</w:t>
      </w:r>
      <w:r w:rsidR="000A5329" w:rsidRPr="002029AF">
        <w:rPr>
          <w:i/>
        </w:rPr>
        <w:t xml:space="preserve"> </w:t>
      </w:r>
      <w:r w:rsidRPr="002029AF">
        <w:rPr>
          <w:i/>
        </w:rPr>
        <w:t>Act</w:t>
      </w:r>
      <w:r w:rsidR="000A5329" w:rsidRPr="002029AF">
        <w:rPr>
          <w:i/>
        </w:rPr>
        <w:t xml:space="preserve"> </w:t>
      </w:r>
      <w:r w:rsidRPr="002029AF">
        <w:rPr>
          <w:i/>
        </w:rPr>
        <w:t>2005,</w:t>
      </w:r>
      <w:r w:rsidR="000A5329" w:rsidRPr="002029AF">
        <w:rPr>
          <w:i/>
        </w:rPr>
        <w:t xml:space="preserve"> </w:t>
      </w:r>
      <w:r w:rsidRPr="002029AF">
        <w:rPr>
          <w:iCs/>
        </w:rPr>
        <w:t>the</w:t>
      </w:r>
      <w:r w:rsidR="000A5329" w:rsidRPr="002029AF">
        <w:rPr>
          <w:i/>
        </w:rPr>
        <w:t xml:space="preserve"> </w:t>
      </w:r>
      <w:r w:rsidRPr="002029AF">
        <w:rPr>
          <w:i/>
        </w:rPr>
        <w:t>Disability</w:t>
      </w:r>
      <w:r w:rsidR="000A5329" w:rsidRPr="002029AF">
        <w:rPr>
          <w:i/>
        </w:rPr>
        <w:t xml:space="preserve"> </w:t>
      </w:r>
      <w:r w:rsidRPr="002029AF">
        <w:rPr>
          <w:i/>
        </w:rPr>
        <w:t>Act</w:t>
      </w:r>
      <w:r w:rsidR="000A5329" w:rsidRPr="002029AF">
        <w:rPr>
          <w:i/>
        </w:rPr>
        <w:t xml:space="preserve"> </w:t>
      </w:r>
      <w:r w:rsidRPr="002029AF">
        <w:rPr>
          <w:i/>
        </w:rPr>
        <w:t>2006</w:t>
      </w:r>
      <w:r w:rsidR="000A5329" w:rsidRPr="002029AF">
        <w:t xml:space="preserve"> </w:t>
      </w:r>
      <w:r w:rsidRPr="002029AF">
        <w:t>and</w:t>
      </w:r>
      <w:r w:rsidR="000A5329" w:rsidRPr="002029AF">
        <w:rPr>
          <w:i/>
        </w:rPr>
        <w:t xml:space="preserve"> </w:t>
      </w:r>
      <w:r w:rsidRPr="002029AF">
        <w:rPr>
          <w:iCs/>
        </w:rPr>
        <w:t>the</w:t>
      </w:r>
      <w:r w:rsidR="000A5329" w:rsidRPr="002029AF">
        <w:rPr>
          <w:i/>
        </w:rPr>
        <w:t xml:space="preserve"> </w:t>
      </w:r>
      <w:r w:rsidRPr="002029AF">
        <w:rPr>
          <w:i/>
        </w:rPr>
        <w:t>S</w:t>
      </w:r>
      <w:r w:rsidRPr="002029AF">
        <w:rPr>
          <w:i/>
          <w:iCs/>
        </w:rPr>
        <w:t>upported</w:t>
      </w:r>
      <w:r w:rsidR="000A5329" w:rsidRPr="002029AF">
        <w:rPr>
          <w:i/>
          <w:iCs/>
        </w:rPr>
        <w:t xml:space="preserve"> </w:t>
      </w:r>
      <w:r w:rsidRPr="002029AF">
        <w:rPr>
          <w:i/>
          <w:iCs/>
        </w:rPr>
        <w:t>Residential</w:t>
      </w:r>
      <w:r w:rsidR="000A5329" w:rsidRPr="002029AF">
        <w:rPr>
          <w:i/>
          <w:iCs/>
        </w:rPr>
        <w:t xml:space="preserve"> </w:t>
      </w:r>
      <w:r w:rsidRPr="002029AF">
        <w:rPr>
          <w:i/>
          <w:iCs/>
        </w:rPr>
        <w:t>Services</w:t>
      </w:r>
      <w:r w:rsidR="000A5329" w:rsidRPr="002029AF">
        <w:rPr>
          <w:i/>
          <w:iCs/>
        </w:rPr>
        <w:t xml:space="preserve"> </w:t>
      </w:r>
      <w:r w:rsidRPr="002029AF">
        <w:rPr>
          <w:i/>
          <w:iCs/>
        </w:rPr>
        <w:t>(Private</w:t>
      </w:r>
      <w:r w:rsidR="000A5329" w:rsidRPr="002029AF">
        <w:rPr>
          <w:i/>
          <w:iCs/>
        </w:rPr>
        <w:t xml:space="preserve"> </w:t>
      </w:r>
      <w:r w:rsidRPr="002029AF">
        <w:rPr>
          <w:i/>
          <w:iCs/>
        </w:rPr>
        <w:t>Proprietors)</w:t>
      </w:r>
      <w:r w:rsidR="000A5329" w:rsidRPr="002029AF">
        <w:rPr>
          <w:i/>
          <w:iCs/>
        </w:rPr>
        <w:t xml:space="preserve"> </w:t>
      </w:r>
      <w:r w:rsidRPr="002029AF">
        <w:rPr>
          <w:i/>
          <w:iCs/>
        </w:rPr>
        <w:t>Act</w:t>
      </w:r>
      <w:r w:rsidR="000A5329" w:rsidRPr="002029AF">
        <w:rPr>
          <w:i/>
          <w:iCs/>
        </w:rPr>
        <w:t xml:space="preserve"> </w:t>
      </w:r>
      <w:r w:rsidRPr="002029AF">
        <w:rPr>
          <w:i/>
          <w:iCs/>
        </w:rPr>
        <w:t>2010.</w:t>
      </w:r>
    </w:p>
    <w:p w14:paraId="40FCCF52" w14:textId="6699205C" w:rsidR="00CF72D5" w:rsidRPr="002029AF" w:rsidRDefault="00CF72D5" w:rsidP="00897193">
      <w:pPr>
        <w:pStyle w:val="ARbody"/>
      </w:pPr>
      <w:r w:rsidRPr="002029AF">
        <w:t>Statements</w:t>
      </w:r>
      <w:r w:rsidR="000A5329" w:rsidRPr="002029AF">
        <w:t xml:space="preserve"> </w:t>
      </w:r>
      <w:r w:rsidRPr="002029AF">
        <w:t>of</w:t>
      </w:r>
      <w:r w:rsidR="000A5329" w:rsidRPr="002029AF">
        <w:t xml:space="preserve"> </w:t>
      </w:r>
      <w:r w:rsidRPr="002029AF">
        <w:t>expectations</w:t>
      </w:r>
      <w:r w:rsidR="000A5329" w:rsidRPr="002029AF">
        <w:t xml:space="preserve"> </w:t>
      </w:r>
      <w:r w:rsidRPr="002029AF">
        <w:t>for</w:t>
      </w:r>
      <w:r w:rsidR="000A5329" w:rsidRPr="002029AF">
        <w:t xml:space="preserve"> </w:t>
      </w:r>
      <w:r w:rsidRPr="002029AF">
        <w:t>the</w:t>
      </w:r>
      <w:r w:rsidR="000A5329" w:rsidRPr="002029AF">
        <w:t xml:space="preserve"> </w:t>
      </w:r>
      <w:r w:rsidRPr="002029AF">
        <w:t>period</w:t>
      </w:r>
      <w:r w:rsidR="000A5329" w:rsidRPr="002029AF">
        <w:t xml:space="preserve"> </w:t>
      </w:r>
      <w:r w:rsidRPr="002029AF">
        <w:t>1</w:t>
      </w:r>
      <w:r w:rsidR="000A5329" w:rsidRPr="002029AF">
        <w:t xml:space="preserve"> </w:t>
      </w:r>
      <w:r w:rsidRPr="002029AF">
        <w:t>July</w:t>
      </w:r>
      <w:r w:rsidR="000A5329" w:rsidRPr="002029AF">
        <w:t xml:space="preserve"> </w:t>
      </w:r>
      <w:r w:rsidRPr="002029AF">
        <w:t>2019</w:t>
      </w:r>
      <w:r w:rsidR="000A5329" w:rsidRPr="002029AF">
        <w:t xml:space="preserve"> </w:t>
      </w:r>
      <w:r w:rsidRPr="002029AF">
        <w:t>to</w:t>
      </w:r>
      <w:r w:rsidR="000A5329" w:rsidRPr="002029AF">
        <w:t xml:space="preserve"> </w:t>
      </w:r>
      <w:r w:rsidRPr="002029AF">
        <w:t>30</w:t>
      </w:r>
      <w:r w:rsidR="000A5329" w:rsidRPr="002029AF">
        <w:t xml:space="preserve"> </w:t>
      </w:r>
      <w:r w:rsidRPr="002029AF">
        <w:t>June</w:t>
      </w:r>
      <w:r w:rsidR="000A5329" w:rsidRPr="002029AF">
        <w:t xml:space="preserve"> </w:t>
      </w:r>
      <w:r w:rsidRPr="002029AF">
        <w:t>2021</w:t>
      </w:r>
      <w:r w:rsidR="000A5329" w:rsidRPr="002029AF">
        <w:t xml:space="preserve"> </w:t>
      </w:r>
      <w:r w:rsidRPr="002029AF">
        <w:t>are</w:t>
      </w:r>
      <w:r w:rsidR="000A5329" w:rsidRPr="002029AF">
        <w:t xml:space="preserve"> </w:t>
      </w:r>
      <w:r w:rsidRPr="002029AF">
        <w:t>published</w:t>
      </w:r>
      <w:r w:rsidR="000A5329" w:rsidRPr="002029AF">
        <w:t xml:space="preserve"> </w:t>
      </w:r>
      <w:r w:rsidRPr="002029AF">
        <w:t>on</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website:</w:t>
      </w:r>
      <w:r w:rsidR="000A5329" w:rsidRPr="002029AF">
        <w:t xml:space="preserve"> </w:t>
      </w:r>
      <w:hyperlink r:id="rId176" w:history="1">
        <w:r w:rsidRPr="002029AF">
          <w:rPr>
            <w:rStyle w:val="Hyperlink"/>
          </w:rPr>
          <w:t>Ministerial</w:t>
        </w:r>
        <w:r w:rsidR="000A5329" w:rsidRPr="002029AF">
          <w:rPr>
            <w:rStyle w:val="Hyperlink"/>
          </w:rPr>
          <w:t xml:space="preserve"> </w:t>
        </w:r>
        <w:r w:rsidRPr="002029AF">
          <w:rPr>
            <w:rStyle w:val="Hyperlink"/>
          </w:rPr>
          <w:t>Statements</w:t>
        </w:r>
        <w:r w:rsidR="000A5329" w:rsidRPr="002029AF">
          <w:rPr>
            <w:rStyle w:val="Hyperlink"/>
          </w:rPr>
          <w:t xml:space="preserve"> </w:t>
        </w:r>
        <w:r w:rsidRPr="002029AF">
          <w:rPr>
            <w:rStyle w:val="Hyperlink"/>
          </w:rPr>
          <w:t>of</w:t>
        </w:r>
        <w:r w:rsidR="000A5329" w:rsidRPr="002029AF">
          <w:rPr>
            <w:rStyle w:val="Hyperlink"/>
          </w:rPr>
          <w:t xml:space="preserve"> </w:t>
        </w:r>
        <w:r w:rsidRPr="002029AF">
          <w:rPr>
            <w:rStyle w:val="Hyperlink"/>
          </w:rPr>
          <w:t>Expectations</w:t>
        </w:r>
      </w:hyperlink>
      <w:r w:rsidR="000A5329" w:rsidRPr="002029AF">
        <w:t xml:space="preserve"> </w:t>
      </w:r>
      <w:r w:rsidRPr="002029AF">
        <w:t>&lt;https://dhhs.vic.gov.au/ministerial-statements-expectations-regulators&gt;.</w:t>
      </w:r>
    </w:p>
    <w:p w14:paraId="3DAA5402" w14:textId="0888C207" w:rsidR="00CF72D5" w:rsidRPr="002029AF" w:rsidRDefault="00CF72D5" w:rsidP="00897193">
      <w:pPr>
        <w:pStyle w:val="ARbody"/>
      </w:pPr>
      <w:r w:rsidRPr="002029AF">
        <w:t>The</w:t>
      </w:r>
      <w:r w:rsidR="000A5329" w:rsidRPr="002029AF">
        <w:t xml:space="preserve"> </w:t>
      </w:r>
      <w:r w:rsidRPr="002029AF">
        <w:t>department</w:t>
      </w:r>
      <w:r w:rsidR="000A5329" w:rsidRPr="002029AF">
        <w:t xml:space="preserve"> </w:t>
      </w:r>
      <w:r w:rsidRPr="002029AF">
        <w:t>will</w:t>
      </w:r>
      <w:r w:rsidR="000A5329" w:rsidRPr="002029AF">
        <w:t xml:space="preserve"> </w:t>
      </w:r>
      <w:r w:rsidRPr="002029AF">
        <w:t>report</w:t>
      </w:r>
      <w:r w:rsidR="000A5329" w:rsidRPr="002029AF">
        <w:t xml:space="preserve"> </w:t>
      </w:r>
      <w:r w:rsidRPr="002029AF">
        <w:t>on</w:t>
      </w:r>
      <w:r w:rsidR="000A5329" w:rsidRPr="002029AF">
        <w:t xml:space="preserve"> </w:t>
      </w:r>
      <w:r w:rsidRPr="002029AF">
        <w:t>progress</w:t>
      </w:r>
      <w:r w:rsidR="000A5329" w:rsidRPr="002029AF">
        <w:t xml:space="preserve"> </w:t>
      </w:r>
      <w:r w:rsidRPr="002029AF">
        <w:t>to</w:t>
      </w:r>
      <w:r w:rsidR="000A5329" w:rsidRPr="002029AF">
        <w:t xml:space="preserve"> </w:t>
      </w:r>
      <w:r w:rsidRPr="002029AF">
        <w:t>achieve</w:t>
      </w:r>
      <w:r w:rsidR="000A5329" w:rsidRPr="002029AF">
        <w:t xml:space="preserve"> </w:t>
      </w:r>
      <w:r w:rsidRPr="002029AF">
        <w:t>regulatory</w:t>
      </w:r>
      <w:r w:rsidR="000A5329" w:rsidRPr="002029AF">
        <w:t xml:space="preserve"> </w:t>
      </w:r>
      <w:r w:rsidRPr="002029AF">
        <w:t>improvements</w:t>
      </w:r>
      <w:r w:rsidR="000A5329" w:rsidRPr="002029AF">
        <w:t xml:space="preserve"> </w:t>
      </w:r>
      <w:r w:rsidRPr="002029AF">
        <w:t>on</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website.</w:t>
      </w:r>
    </w:p>
    <w:p w14:paraId="1D72BDA6" w14:textId="1F2C1D55" w:rsidR="00CF72D5" w:rsidRPr="002029AF" w:rsidRDefault="00CF72D5" w:rsidP="00897193">
      <w:pPr>
        <w:pStyle w:val="Heading2"/>
      </w:pPr>
      <w:bookmarkStart w:id="159" w:name="_Toc54690794"/>
      <w:bookmarkEnd w:id="158"/>
      <w:r w:rsidRPr="002029AF">
        <w:t>Human</w:t>
      </w:r>
      <w:r w:rsidR="000A5329" w:rsidRPr="002029AF">
        <w:t xml:space="preserve"> </w:t>
      </w:r>
      <w:r w:rsidRPr="002029AF">
        <w:t>Services</w:t>
      </w:r>
      <w:r w:rsidR="000A5329" w:rsidRPr="002029AF">
        <w:t xml:space="preserve"> </w:t>
      </w:r>
      <w:r w:rsidRPr="002029AF">
        <w:t>Standards</w:t>
      </w:r>
      <w:bookmarkEnd w:id="159"/>
    </w:p>
    <w:p w14:paraId="55E25D39" w14:textId="217E35A3" w:rsidR="00CF72D5" w:rsidRPr="002029AF" w:rsidRDefault="00CF72D5" w:rsidP="00897193">
      <w:pPr>
        <w:pStyle w:val="ARbody"/>
      </w:pPr>
      <w:r w:rsidRPr="002029AF">
        <w:t>The</w:t>
      </w:r>
      <w:r w:rsidR="000A5329" w:rsidRPr="002029AF">
        <w:t xml:space="preserve"> </w:t>
      </w:r>
      <w:r w:rsidRPr="002029AF">
        <w:t>Human</w:t>
      </w:r>
      <w:r w:rsidR="000A5329" w:rsidRPr="002029AF">
        <w:t xml:space="preserve"> </w:t>
      </w:r>
      <w:r w:rsidRPr="002029AF">
        <w:t>Services</w:t>
      </w:r>
      <w:r w:rsidR="000A5329" w:rsidRPr="002029AF">
        <w:t xml:space="preserve"> </w:t>
      </w:r>
      <w:r w:rsidRPr="002029AF">
        <w:t>Standards</w:t>
      </w:r>
      <w:r w:rsidR="000A5329" w:rsidRPr="002029AF">
        <w:t xml:space="preserve"> </w:t>
      </w:r>
      <w:r w:rsidRPr="002029AF">
        <w:t>(gazetted</w:t>
      </w:r>
      <w:r w:rsidR="000A5329" w:rsidRPr="002029AF">
        <w:t xml:space="preserve"> </w:t>
      </w:r>
      <w:r w:rsidRPr="002029AF">
        <w:t>as</w:t>
      </w:r>
      <w:r w:rsidR="000A5329" w:rsidRPr="002029AF">
        <w:t xml:space="preserve"> </w:t>
      </w:r>
      <w:r w:rsidRPr="002029AF">
        <w:t>Department</w:t>
      </w:r>
      <w:r w:rsidR="000A5329" w:rsidRPr="002029AF">
        <w:t xml:space="preserve"> </w:t>
      </w:r>
      <w:r w:rsidRPr="002029AF">
        <w:t>of</w:t>
      </w:r>
      <w:r w:rsidR="000A5329" w:rsidRPr="002029AF">
        <w:t xml:space="preserve"> </w:t>
      </w:r>
      <w:r w:rsidRPr="002029AF">
        <w:t>Health</w:t>
      </w:r>
      <w:r w:rsidR="000A5329" w:rsidRPr="002029AF">
        <w:t xml:space="preserve"> </w:t>
      </w:r>
      <w:r w:rsidRPr="002029AF">
        <w:t>and</w:t>
      </w:r>
      <w:r w:rsidR="000A5329" w:rsidRPr="002029AF">
        <w:t xml:space="preserve"> </w:t>
      </w:r>
      <w:r w:rsidRPr="002029AF">
        <w:t>Human</w:t>
      </w:r>
      <w:r w:rsidR="000A5329" w:rsidRPr="002029AF">
        <w:t xml:space="preserve"> </w:t>
      </w:r>
      <w:r w:rsidRPr="002029AF">
        <w:t>Services</w:t>
      </w:r>
      <w:r w:rsidR="000A5329" w:rsidRPr="002029AF">
        <w:t xml:space="preserve"> </w:t>
      </w:r>
      <w:r w:rsidRPr="002029AF">
        <w:t>Standards)</w:t>
      </w:r>
      <w:r w:rsidR="000A5329" w:rsidRPr="002029AF">
        <w:t xml:space="preserve"> </w:t>
      </w:r>
      <w:r w:rsidRPr="002029AF">
        <w:t>apply</w:t>
      </w:r>
      <w:r w:rsidR="000A5329" w:rsidRPr="002029AF">
        <w:t xml:space="preserve"> </w:t>
      </w:r>
      <w:r w:rsidRPr="002029AF">
        <w:t>to</w:t>
      </w:r>
      <w:r w:rsidR="000A5329" w:rsidRPr="002029AF">
        <w:t xml:space="preserve"> </w:t>
      </w:r>
      <w:r w:rsidRPr="002029AF">
        <w:t>the</w:t>
      </w:r>
      <w:r w:rsidR="000A5329" w:rsidRPr="002029AF">
        <w:t xml:space="preserve"> </w:t>
      </w:r>
      <w:r w:rsidRPr="002029AF">
        <w:t>direct–client</w:t>
      </w:r>
      <w:r w:rsidR="000A5329" w:rsidRPr="002029AF">
        <w:t xml:space="preserve"> </w:t>
      </w:r>
      <w:r w:rsidRPr="002029AF">
        <w:t>contact</w:t>
      </w:r>
      <w:r w:rsidR="000A5329" w:rsidRPr="002029AF">
        <w:t xml:space="preserve"> </w:t>
      </w:r>
      <w:r w:rsidRPr="002029AF">
        <w:t>human</w:t>
      </w:r>
      <w:r w:rsidR="000A5329" w:rsidRPr="002029AF">
        <w:t xml:space="preserve"> </w:t>
      </w:r>
      <w:r w:rsidRPr="002029AF">
        <w:t>services</w:t>
      </w:r>
      <w:r w:rsidR="000A5329" w:rsidRPr="002029AF">
        <w:t xml:space="preserve"> </w:t>
      </w:r>
      <w:r w:rsidRPr="002029AF">
        <w:t>activities</w:t>
      </w:r>
      <w:r w:rsidR="000A5329" w:rsidRPr="002029AF">
        <w:t xml:space="preserve"> </w:t>
      </w:r>
      <w:r w:rsidRPr="002029AF">
        <w:t>(children,</w:t>
      </w:r>
      <w:r w:rsidR="000A5329" w:rsidRPr="002029AF">
        <w:t xml:space="preserve"> </w:t>
      </w:r>
      <w:r w:rsidRPr="002029AF">
        <w:t>youth</w:t>
      </w:r>
      <w:r w:rsidR="000A5329" w:rsidRPr="002029AF">
        <w:t xml:space="preserve"> </w:t>
      </w:r>
      <w:r w:rsidRPr="002029AF">
        <w:t>and</w:t>
      </w:r>
      <w:r w:rsidR="000A5329" w:rsidRPr="002029AF">
        <w:t xml:space="preserve"> </w:t>
      </w:r>
      <w:r w:rsidRPr="002029AF">
        <w:t>families,</w:t>
      </w:r>
      <w:r w:rsidR="000A5329" w:rsidRPr="002029AF">
        <w:t xml:space="preserve"> </w:t>
      </w:r>
      <w:r w:rsidRPr="002029AF">
        <w:t>disability</w:t>
      </w:r>
      <w:r w:rsidR="000A5329" w:rsidRPr="002029AF">
        <w:t xml:space="preserve"> </w:t>
      </w:r>
      <w:r w:rsidRPr="002029AF">
        <w:t>services,</w:t>
      </w:r>
      <w:r w:rsidR="000A5329" w:rsidRPr="002029AF">
        <w:t xml:space="preserve"> </w:t>
      </w:r>
      <w:r w:rsidRPr="002029AF">
        <w:t>homelessness</w:t>
      </w:r>
      <w:r w:rsidR="000A5329" w:rsidRPr="002029AF">
        <w:t xml:space="preserve"> </w:t>
      </w:r>
      <w:r w:rsidRPr="002029AF">
        <w:t>services,</w:t>
      </w:r>
      <w:r w:rsidR="000A5329" w:rsidRPr="002029AF">
        <w:t xml:space="preserve"> </w:t>
      </w:r>
      <w:r w:rsidRPr="002029AF">
        <w:t>family</w:t>
      </w:r>
      <w:r w:rsidR="000A5329" w:rsidRPr="002029AF">
        <w:t xml:space="preserve"> </w:t>
      </w:r>
      <w:r w:rsidRPr="002029AF">
        <w:t>violence</w:t>
      </w:r>
      <w:r w:rsidR="000A5329" w:rsidRPr="002029AF">
        <w:t xml:space="preserve"> </w:t>
      </w:r>
      <w:r w:rsidRPr="002029AF">
        <w:t>and</w:t>
      </w:r>
      <w:r w:rsidR="000A5329" w:rsidRPr="002029AF">
        <w:t xml:space="preserve"> </w:t>
      </w:r>
      <w:r w:rsidRPr="002029AF">
        <w:t>sexual</w:t>
      </w:r>
      <w:r w:rsidR="000A5329" w:rsidRPr="002029AF">
        <w:t xml:space="preserve"> </w:t>
      </w:r>
      <w:r w:rsidRPr="002029AF">
        <w:t>assault</w:t>
      </w:r>
      <w:r w:rsidR="000A5329" w:rsidRPr="002029AF">
        <w:t xml:space="preserve"> </w:t>
      </w:r>
      <w:r w:rsidRPr="002029AF">
        <w:t>services).</w:t>
      </w:r>
    </w:p>
    <w:p w14:paraId="681F3E54" w14:textId="31EAEA52" w:rsidR="00CF72D5" w:rsidRPr="002029AF" w:rsidRDefault="00CF72D5" w:rsidP="00897193">
      <w:pPr>
        <w:pStyle w:val="ARbody"/>
      </w:pPr>
      <w:r w:rsidRPr="002029AF">
        <w:t>Compliance</w:t>
      </w:r>
      <w:r w:rsidR="000A5329" w:rsidRPr="002029AF">
        <w:t xml:space="preserve"> </w:t>
      </w:r>
      <w:r w:rsidRPr="002029AF">
        <w:t>with</w:t>
      </w:r>
      <w:r w:rsidR="000A5329" w:rsidRPr="002029AF">
        <w:t xml:space="preserve"> </w:t>
      </w:r>
      <w:r w:rsidRPr="002029AF">
        <w:t>the</w:t>
      </w:r>
      <w:r w:rsidR="000A5329" w:rsidRPr="002029AF">
        <w:t xml:space="preserve"> </w:t>
      </w:r>
      <w:r w:rsidRPr="002029AF">
        <w:t>Standards</w:t>
      </w:r>
      <w:r w:rsidR="000A5329" w:rsidRPr="002029AF">
        <w:t xml:space="preserve"> </w:t>
      </w:r>
      <w:r w:rsidRPr="002029AF">
        <w:t>is</w:t>
      </w:r>
      <w:r w:rsidR="000A5329" w:rsidRPr="002029AF">
        <w:t xml:space="preserve"> </w:t>
      </w:r>
      <w:r w:rsidRPr="002029AF">
        <w:t>an</w:t>
      </w:r>
      <w:r w:rsidR="000A5329" w:rsidRPr="002029AF">
        <w:t xml:space="preserve"> </w:t>
      </w:r>
      <w:r w:rsidRPr="002029AF">
        <w:t>obligation</w:t>
      </w:r>
      <w:r w:rsidR="000A5329" w:rsidRPr="002029AF">
        <w:t xml:space="preserve"> </w:t>
      </w:r>
      <w:r w:rsidRPr="002029AF">
        <w:t>of</w:t>
      </w:r>
      <w:r w:rsidR="006F2C99" w:rsidRPr="002029AF">
        <w:t> </w:t>
      </w:r>
      <w:r w:rsidRPr="002029AF">
        <w:t>the</w:t>
      </w:r>
      <w:r w:rsidR="000A5329" w:rsidRPr="002029AF">
        <w:t xml:space="preserve"> </w:t>
      </w:r>
      <w:r w:rsidRPr="002029AF">
        <w:t>Service</w:t>
      </w:r>
      <w:r w:rsidR="000A5329" w:rsidRPr="002029AF">
        <w:t xml:space="preserve"> </w:t>
      </w:r>
      <w:r w:rsidRPr="002029AF">
        <w:t>Agreement</w:t>
      </w:r>
      <w:r w:rsidR="000A5329" w:rsidRPr="002029AF">
        <w:t xml:space="preserve"> </w:t>
      </w:r>
      <w:r w:rsidRPr="002029AF">
        <w:t>with</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a</w:t>
      </w:r>
      <w:r w:rsidR="006F2C99" w:rsidRPr="002029AF">
        <w:t> </w:t>
      </w:r>
      <w:r w:rsidRPr="002029AF">
        <w:t>requirement</w:t>
      </w:r>
      <w:r w:rsidR="000A5329" w:rsidRPr="002029AF">
        <w:t xml:space="preserve"> </w:t>
      </w:r>
      <w:r w:rsidRPr="002029AF">
        <w:t>of</w:t>
      </w:r>
      <w:r w:rsidR="000A5329" w:rsidRPr="002029AF">
        <w:t xml:space="preserve"> </w:t>
      </w:r>
      <w:r w:rsidRPr="002029AF">
        <w:t>registration</w:t>
      </w:r>
      <w:r w:rsidR="000A5329" w:rsidRPr="002029AF">
        <w:t xml:space="preserve"> </w:t>
      </w:r>
      <w:r w:rsidRPr="002029AF">
        <w:t>for</w:t>
      </w:r>
      <w:r w:rsidR="000A5329" w:rsidRPr="002029AF">
        <w:t xml:space="preserve"> </w:t>
      </w:r>
      <w:r w:rsidRPr="002029AF">
        <w:t>organisations</w:t>
      </w:r>
      <w:r w:rsidR="000A5329" w:rsidRPr="002029AF">
        <w:t xml:space="preserve"> </w:t>
      </w:r>
      <w:r w:rsidRPr="002029AF">
        <w:t>registered</w:t>
      </w:r>
      <w:r w:rsidR="000A5329" w:rsidRPr="002029AF">
        <w:t xml:space="preserve"> </w:t>
      </w:r>
      <w:r w:rsidRPr="002029AF">
        <w:t>under</w:t>
      </w:r>
      <w:r w:rsidR="000A5329" w:rsidRPr="002029AF">
        <w:t xml:space="preserve"> </w:t>
      </w:r>
      <w:r w:rsidRPr="002029AF">
        <w:t>the</w:t>
      </w:r>
      <w:r w:rsidR="000A5329" w:rsidRPr="002029AF">
        <w:t xml:space="preserve"> </w:t>
      </w:r>
      <w:r w:rsidRPr="002029AF">
        <w:rPr>
          <w:i/>
        </w:rPr>
        <w:t>Children,</w:t>
      </w:r>
      <w:r w:rsidR="000A5329" w:rsidRPr="002029AF">
        <w:rPr>
          <w:i/>
        </w:rPr>
        <w:t xml:space="preserve"> </w:t>
      </w:r>
      <w:r w:rsidRPr="002029AF">
        <w:rPr>
          <w:i/>
        </w:rPr>
        <w:t>Youth</w:t>
      </w:r>
      <w:r w:rsidR="000A5329" w:rsidRPr="002029AF">
        <w:rPr>
          <w:i/>
        </w:rPr>
        <w:t xml:space="preserve"> </w:t>
      </w:r>
      <w:r w:rsidRPr="002029AF">
        <w:rPr>
          <w:i/>
        </w:rPr>
        <w:t>and</w:t>
      </w:r>
      <w:r w:rsidR="000A5329" w:rsidRPr="002029AF">
        <w:rPr>
          <w:i/>
        </w:rPr>
        <w:t xml:space="preserve"> </w:t>
      </w:r>
      <w:r w:rsidRPr="002029AF">
        <w:rPr>
          <w:i/>
        </w:rPr>
        <w:t>Families</w:t>
      </w:r>
      <w:r w:rsidR="000A5329" w:rsidRPr="002029AF">
        <w:rPr>
          <w:i/>
        </w:rPr>
        <w:t xml:space="preserve"> </w:t>
      </w:r>
      <w:r w:rsidRPr="002029AF">
        <w:rPr>
          <w:i/>
        </w:rPr>
        <w:t>Act</w:t>
      </w:r>
      <w:r w:rsidR="000A5329" w:rsidRPr="002029AF">
        <w:rPr>
          <w:i/>
        </w:rPr>
        <w:t xml:space="preserve"> </w:t>
      </w:r>
      <w:r w:rsidRPr="002029AF">
        <w:rPr>
          <w:i/>
        </w:rPr>
        <w:t>2005</w:t>
      </w:r>
      <w:r w:rsidR="000A5329" w:rsidRPr="002029AF">
        <w:t xml:space="preserve"> </w:t>
      </w:r>
      <w:r w:rsidRPr="002029AF">
        <w:t>or</w:t>
      </w:r>
      <w:r w:rsidR="000A5329" w:rsidRPr="002029AF">
        <w:t xml:space="preserve"> </w:t>
      </w:r>
      <w:r w:rsidRPr="002029AF">
        <w:t>the</w:t>
      </w:r>
      <w:r w:rsidR="000A5329" w:rsidRPr="002029AF">
        <w:t xml:space="preserve"> </w:t>
      </w:r>
      <w:r w:rsidRPr="002029AF">
        <w:rPr>
          <w:i/>
        </w:rPr>
        <w:t>Disability</w:t>
      </w:r>
      <w:r w:rsidR="000A5329" w:rsidRPr="002029AF">
        <w:rPr>
          <w:i/>
        </w:rPr>
        <w:t xml:space="preserve"> </w:t>
      </w:r>
      <w:r w:rsidRPr="002029AF">
        <w:rPr>
          <w:i/>
        </w:rPr>
        <w:t>Act</w:t>
      </w:r>
      <w:r w:rsidR="000A5329" w:rsidRPr="002029AF">
        <w:rPr>
          <w:i/>
        </w:rPr>
        <w:t xml:space="preserve"> </w:t>
      </w:r>
      <w:r w:rsidRPr="002029AF">
        <w:rPr>
          <w:i/>
        </w:rPr>
        <w:t>2006</w:t>
      </w:r>
      <w:r w:rsidRPr="002029AF">
        <w:t>,</w:t>
      </w:r>
      <w:r w:rsidR="000A5329" w:rsidRPr="002029AF">
        <w:t xml:space="preserve"> </w:t>
      </w:r>
      <w:r w:rsidRPr="002029AF">
        <w:t>or</w:t>
      </w:r>
      <w:r w:rsidR="000A5329" w:rsidRPr="002029AF">
        <w:t xml:space="preserve"> </w:t>
      </w:r>
      <w:r w:rsidRPr="002029AF">
        <w:t>both.</w:t>
      </w:r>
    </w:p>
    <w:p w14:paraId="11A70891" w14:textId="654D5BEA" w:rsidR="00CF72D5" w:rsidRPr="002029AF" w:rsidRDefault="00CF72D5" w:rsidP="00897193">
      <w:pPr>
        <w:pStyle w:val="ARbody"/>
      </w:pPr>
      <w:r w:rsidRPr="002029AF">
        <w:t>The</w:t>
      </w:r>
      <w:r w:rsidR="000A5329" w:rsidRPr="002029AF">
        <w:t xml:space="preserve"> </w:t>
      </w:r>
      <w:r w:rsidRPr="002029AF">
        <w:t>implementation</w:t>
      </w:r>
      <w:r w:rsidR="000A5329" w:rsidRPr="002029AF">
        <w:t xml:space="preserve"> </w:t>
      </w:r>
      <w:r w:rsidRPr="002029AF">
        <w:t>of</w:t>
      </w:r>
      <w:r w:rsidR="000A5329" w:rsidRPr="002029AF">
        <w:t xml:space="preserve"> </w:t>
      </w:r>
      <w:r w:rsidRPr="002029AF">
        <w:t>the</w:t>
      </w:r>
      <w:r w:rsidR="000A5329" w:rsidRPr="002029AF">
        <w:t xml:space="preserve"> </w:t>
      </w:r>
      <w:r w:rsidRPr="002029AF">
        <w:t>Standards</w:t>
      </w:r>
      <w:r w:rsidR="000A5329" w:rsidRPr="002029AF">
        <w:t xml:space="preserve"> </w:t>
      </w:r>
      <w:r w:rsidRPr="002029AF">
        <w:t>includes</w:t>
      </w:r>
      <w:r w:rsidR="000A5329" w:rsidRPr="002029AF">
        <w:t xml:space="preserve"> </w:t>
      </w:r>
      <w:r w:rsidRPr="002029AF">
        <w:t>a</w:t>
      </w:r>
      <w:r w:rsidR="006F2C99" w:rsidRPr="002029AF">
        <w:t> </w:t>
      </w:r>
      <w:r w:rsidRPr="002029AF">
        <w:t>range</w:t>
      </w:r>
      <w:r w:rsidR="000A5329" w:rsidRPr="002029AF">
        <w:t xml:space="preserve"> </w:t>
      </w:r>
      <w:r w:rsidRPr="002029AF">
        <w:t>of</w:t>
      </w:r>
      <w:r w:rsidR="000A5329" w:rsidRPr="002029AF">
        <w:t xml:space="preserve"> </w:t>
      </w:r>
      <w:r w:rsidRPr="002029AF">
        <w:t>quality</w:t>
      </w:r>
      <w:r w:rsidR="000A5329" w:rsidRPr="002029AF">
        <w:t xml:space="preserve"> </w:t>
      </w:r>
      <w:r w:rsidRPr="002029AF">
        <w:t>assurance</w:t>
      </w:r>
      <w:r w:rsidR="000A5329" w:rsidRPr="002029AF">
        <w:t xml:space="preserve"> </w:t>
      </w:r>
      <w:r w:rsidRPr="002029AF">
        <w:t>activities</w:t>
      </w:r>
      <w:r w:rsidR="000A5329" w:rsidRPr="002029AF">
        <w:t xml:space="preserve"> </w:t>
      </w:r>
      <w:r w:rsidRPr="002029AF">
        <w:t>including</w:t>
      </w:r>
      <w:r w:rsidR="000A5329" w:rsidRPr="002029AF">
        <w:t xml:space="preserve"> </w:t>
      </w:r>
      <w:r w:rsidRPr="002029AF">
        <w:t>self-assessment,</w:t>
      </w:r>
      <w:r w:rsidR="000A5329" w:rsidRPr="002029AF">
        <w:t xml:space="preserve"> </w:t>
      </w:r>
      <w:r w:rsidRPr="002029AF">
        <w:t>independent</w:t>
      </w:r>
      <w:r w:rsidR="000A5329" w:rsidRPr="002029AF">
        <w:t xml:space="preserve"> </w:t>
      </w:r>
      <w:r w:rsidRPr="002029AF">
        <w:t>review</w:t>
      </w:r>
      <w:r w:rsidR="000A5329" w:rsidRPr="002029AF">
        <w:t xml:space="preserve"> </w:t>
      </w:r>
      <w:r w:rsidRPr="002029AF">
        <w:t>and</w:t>
      </w:r>
      <w:r w:rsidR="000A5329" w:rsidRPr="002029AF">
        <w:t xml:space="preserve"> </w:t>
      </w:r>
      <w:r w:rsidRPr="002029AF">
        <w:t>external</w:t>
      </w:r>
      <w:r w:rsidR="000A5329" w:rsidRPr="002029AF">
        <w:t xml:space="preserve"> </w:t>
      </w:r>
      <w:r w:rsidRPr="002029AF">
        <w:t>accreditation/certification.</w:t>
      </w:r>
    </w:p>
    <w:p w14:paraId="5000534E" w14:textId="7351EACD" w:rsidR="00CF72D5" w:rsidRPr="002029AF" w:rsidRDefault="006F2C99" w:rsidP="00897193">
      <w:pPr>
        <w:pStyle w:val="ARbody"/>
      </w:pPr>
      <w:r w:rsidRPr="002029AF">
        <w:br w:type="column"/>
      </w:r>
      <w:r w:rsidR="00CF72D5" w:rsidRPr="002029AF">
        <w:t>To</w:t>
      </w:r>
      <w:r w:rsidR="000A5329" w:rsidRPr="002029AF">
        <w:t xml:space="preserve"> </w:t>
      </w:r>
      <w:r w:rsidR="00CF72D5" w:rsidRPr="002029AF">
        <w:t>assure</w:t>
      </w:r>
      <w:r w:rsidR="000A5329" w:rsidRPr="002029AF">
        <w:t xml:space="preserve"> </w:t>
      </w:r>
      <w:r w:rsidR="00CF72D5" w:rsidRPr="002029AF">
        <w:t>compliance</w:t>
      </w:r>
      <w:r w:rsidR="000A5329" w:rsidRPr="002029AF">
        <w:t xml:space="preserve"> </w:t>
      </w:r>
      <w:r w:rsidR="00CF72D5" w:rsidRPr="002029AF">
        <w:t>with</w:t>
      </w:r>
      <w:r w:rsidR="000A5329" w:rsidRPr="002029AF">
        <w:t xml:space="preserve"> </w:t>
      </w:r>
      <w:r w:rsidR="00CF72D5" w:rsidRPr="002029AF">
        <w:t>the</w:t>
      </w:r>
      <w:r w:rsidR="000A5329" w:rsidRPr="002029AF">
        <w:t xml:space="preserve"> </w:t>
      </w:r>
      <w:r w:rsidR="00CF72D5" w:rsidRPr="002029AF">
        <w:t>Standards,</w:t>
      </w:r>
      <w:r w:rsidR="000A5329" w:rsidRPr="002029AF">
        <w:t xml:space="preserve"> </w:t>
      </w:r>
      <w:r w:rsidR="00CF72D5" w:rsidRPr="002029AF">
        <w:t>service</w:t>
      </w:r>
      <w:r w:rsidRPr="002029AF">
        <w:t> </w:t>
      </w:r>
      <w:r w:rsidR="00CF72D5" w:rsidRPr="002029AF">
        <w:t>providers</w:t>
      </w:r>
      <w:r w:rsidR="000A5329" w:rsidRPr="002029AF">
        <w:t xml:space="preserve"> </w:t>
      </w:r>
      <w:r w:rsidR="00CF72D5" w:rsidRPr="002029AF">
        <w:t>need</w:t>
      </w:r>
      <w:r w:rsidR="000A5329" w:rsidRPr="002029AF">
        <w:t xml:space="preserve"> </w:t>
      </w:r>
      <w:r w:rsidR="00CF72D5" w:rsidRPr="002029AF">
        <w:t>to:</w:t>
      </w:r>
    </w:p>
    <w:p w14:paraId="3788ACC1" w14:textId="731F72F6" w:rsidR="00CF72D5" w:rsidRPr="002029AF" w:rsidRDefault="00CF72D5" w:rsidP="00897193">
      <w:pPr>
        <w:pStyle w:val="ARbullet1"/>
      </w:pPr>
      <w:r w:rsidRPr="002029AF">
        <w:t>demonstrate</w:t>
      </w:r>
      <w:r w:rsidR="000A5329" w:rsidRPr="002029AF">
        <w:t xml:space="preserve"> </w:t>
      </w:r>
      <w:r w:rsidRPr="002029AF">
        <w:t>compliance</w:t>
      </w:r>
      <w:r w:rsidR="000A5329" w:rsidRPr="002029AF">
        <w:t xml:space="preserve"> </w:t>
      </w:r>
      <w:r w:rsidRPr="002029AF">
        <w:t>with</w:t>
      </w:r>
      <w:r w:rsidR="000A5329" w:rsidRPr="002029AF">
        <w:t xml:space="preserve"> </w:t>
      </w:r>
      <w:r w:rsidRPr="002029AF">
        <w:t>the</w:t>
      </w:r>
      <w:r w:rsidR="000A5329" w:rsidRPr="002029AF">
        <w:t xml:space="preserve"> </w:t>
      </w:r>
      <w:r w:rsidRPr="002029AF">
        <w:t>Standards</w:t>
      </w:r>
      <w:r w:rsidR="000A5329" w:rsidRPr="002029AF">
        <w:t xml:space="preserve"> </w:t>
      </w:r>
      <w:r w:rsidRPr="002029AF">
        <w:t>and</w:t>
      </w:r>
      <w:r w:rsidR="000A5329" w:rsidRPr="002029AF">
        <w:t xml:space="preserve"> </w:t>
      </w:r>
      <w:r w:rsidRPr="002029AF">
        <w:t>the</w:t>
      </w:r>
      <w:r w:rsidR="000A5329" w:rsidRPr="002029AF">
        <w:t xml:space="preserve"> </w:t>
      </w:r>
      <w:r w:rsidRPr="002029AF">
        <w:t>governance</w:t>
      </w:r>
      <w:r w:rsidR="000A5329" w:rsidRPr="002029AF">
        <w:t xml:space="preserve"> </w:t>
      </w:r>
      <w:r w:rsidRPr="002029AF">
        <w:t>and</w:t>
      </w:r>
      <w:r w:rsidR="000A5329" w:rsidRPr="002029AF">
        <w:t xml:space="preserve"> </w:t>
      </w:r>
      <w:r w:rsidRPr="002029AF">
        <w:t>management</w:t>
      </w:r>
      <w:r w:rsidR="000A5329" w:rsidRPr="002029AF">
        <w:t xml:space="preserve"> </w:t>
      </w:r>
      <w:r w:rsidRPr="002029AF">
        <w:t>standards</w:t>
      </w:r>
      <w:r w:rsidR="000A5329" w:rsidRPr="002029AF">
        <w:t xml:space="preserve"> </w:t>
      </w:r>
      <w:r w:rsidRPr="002029AF">
        <w:t>of</w:t>
      </w:r>
      <w:r w:rsidR="000A5329" w:rsidRPr="002029AF">
        <w:t xml:space="preserve"> </w:t>
      </w:r>
      <w:r w:rsidRPr="002029AF">
        <w:t>a</w:t>
      </w:r>
      <w:r w:rsidR="000A5329" w:rsidRPr="002029AF">
        <w:t xml:space="preserve"> </w:t>
      </w:r>
      <w:r w:rsidRPr="002029AF">
        <w:t>department-endorsed</w:t>
      </w:r>
      <w:r w:rsidR="000A5329" w:rsidRPr="002029AF">
        <w:t xml:space="preserve"> </w:t>
      </w:r>
      <w:r w:rsidRPr="002029AF">
        <w:t>independent</w:t>
      </w:r>
      <w:r w:rsidR="000A5329" w:rsidRPr="002029AF">
        <w:t xml:space="preserve"> </w:t>
      </w:r>
      <w:r w:rsidRPr="002029AF">
        <w:t>review</w:t>
      </w:r>
      <w:r w:rsidR="000A5329" w:rsidRPr="002029AF">
        <w:t xml:space="preserve"> </w:t>
      </w:r>
      <w:r w:rsidRPr="002029AF">
        <w:t>body</w:t>
      </w:r>
    </w:p>
    <w:p w14:paraId="115844A7" w14:textId="1FEC676D" w:rsidR="00CF72D5" w:rsidRPr="002029AF" w:rsidRDefault="00CF72D5" w:rsidP="00897193">
      <w:pPr>
        <w:pStyle w:val="ARbullet1"/>
      </w:pPr>
      <w:r w:rsidRPr="002029AF">
        <w:t>be</w:t>
      </w:r>
      <w:r w:rsidR="000A5329" w:rsidRPr="002029AF">
        <w:t xml:space="preserve"> </w:t>
      </w:r>
      <w:r w:rsidRPr="002029AF">
        <w:t>independently</w:t>
      </w:r>
      <w:r w:rsidR="000A5329" w:rsidRPr="002029AF">
        <w:t xml:space="preserve"> </w:t>
      </w:r>
      <w:r w:rsidRPr="002029AF">
        <w:t>reviewed</w:t>
      </w:r>
      <w:r w:rsidR="000A5329" w:rsidRPr="002029AF">
        <w:t xml:space="preserve"> </w:t>
      </w:r>
      <w:r w:rsidRPr="002029AF">
        <w:t>by</w:t>
      </w:r>
      <w:r w:rsidR="000A5329" w:rsidRPr="002029AF">
        <w:t xml:space="preserve"> </w:t>
      </w:r>
      <w:r w:rsidRPr="002029AF">
        <w:t>a</w:t>
      </w:r>
      <w:r w:rsidR="000A5329" w:rsidRPr="002029AF">
        <w:t xml:space="preserve"> </w:t>
      </w:r>
      <w:r w:rsidRPr="002029AF">
        <w:t>department-endorsed</w:t>
      </w:r>
      <w:r w:rsidR="000A5329" w:rsidRPr="002029AF">
        <w:t xml:space="preserve"> </w:t>
      </w:r>
      <w:r w:rsidRPr="002029AF">
        <w:t>independent</w:t>
      </w:r>
      <w:r w:rsidR="000A5329" w:rsidRPr="002029AF">
        <w:t xml:space="preserve"> </w:t>
      </w:r>
      <w:r w:rsidRPr="002029AF">
        <w:t>review</w:t>
      </w:r>
      <w:r w:rsidR="000A5329" w:rsidRPr="002029AF">
        <w:t xml:space="preserve"> </w:t>
      </w:r>
      <w:r w:rsidRPr="002029AF">
        <w:t>body</w:t>
      </w:r>
      <w:r w:rsidR="000A5329" w:rsidRPr="002029AF">
        <w:t xml:space="preserve"> </w:t>
      </w:r>
      <w:r w:rsidRPr="002029AF">
        <w:t>once</w:t>
      </w:r>
      <w:r w:rsidR="000A5329" w:rsidRPr="002029AF">
        <w:t xml:space="preserve"> </w:t>
      </w:r>
      <w:r w:rsidRPr="002029AF">
        <w:t>every</w:t>
      </w:r>
      <w:r w:rsidR="000A5329" w:rsidRPr="002029AF">
        <w:t xml:space="preserve"> </w:t>
      </w:r>
      <w:r w:rsidRPr="002029AF">
        <w:t>three</w:t>
      </w:r>
      <w:r w:rsidR="000A5329" w:rsidRPr="002029AF">
        <w:t xml:space="preserve"> </w:t>
      </w:r>
      <w:r w:rsidRPr="002029AF">
        <w:t>years</w:t>
      </w:r>
    </w:p>
    <w:p w14:paraId="024E7AA9" w14:textId="58332932" w:rsidR="00CF72D5" w:rsidRPr="002029AF" w:rsidRDefault="00CF72D5" w:rsidP="00897193">
      <w:pPr>
        <w:pStyle w:val="ARbullet1"/>
      </w:pPr>
      <w:r w:rsidRPr="002029AF">
        <w:t>gain</w:t>
      </w:r>
      <w:r w:rsidR="000A5329" w:rsidRPr="002029AF">
        <w:t xml:space="preserve"> </w:t>
      </w:r>
      <w:r w:rsidRPr="002029AF">
        <w:t>and</w:t>
      </w:r>
      <w:r w:rsidR="000A5329" w:rsidRPr="002029AF">
        <w:t xml:space="preserve"> </w:t>
      </w:r>
      <w:r w:rsidRPr="002029AF">
        <w:t>maintain</w:t>
      </w:r>
      <w:r w:rsidR="000A5329" w:rsidRPr="002029AF">
        <w:t xml:space="preserve"> </w:t>
      </w:r>
      <w:r w:rsidRPr="002029AF">
        <w:t>their</w:t>
      </w:r>
      <w:r w:rsidR="000A5329" w:rsidRPr="002029AF">
        <w:t xml:space="preserve"> </w:t>
      </w:r>
      <w:r w:rsidRPr="002029AF">
        <w:t>accreditation/certification</w:t>
      </w:r>
      <w:r w:rsidR="000A5329" w:rsidRPr="002029AF">
        <w:t xml:space="preserve"> </w:t>
      </w:r>
      <w:r w:rsidRPr="002029AF">
        <w:t>with</w:t>
      </w:r>
      <w:r w:rsidR="000A5329" w:rsidRPr="002029AF">
        <w:t xml:space="preserve"> </w:t>
      </w:r>
      <w:r w:rsidRPr="002029AF">
        <w:t>their</w:t>
      </w:r>
      <w:r w:rsidR="000A5329" w:rsidRPr="002029AF">
        <w:t xml:space="preserve"> </w:t>
      </w:r>
      <w:r w:rsidRPr="002029AF">
        <w:t>independent</w:t>
      </w:r>
      <w:r w:rsidR="000A5329" w:rsidRPr="002029AF">
        <w:t xml:space="preserve"> </w:t>
      </w:r>
      <w:r w:rsidRPr="002029AF">
        <w:t>review</w:t>
      </w:r>
      <w:r w:rsidR="000A5329" w:rsidRPr="002029AF">
        <w:t xml:space="preserve"> </w:t>
      </w:r>
      <w:r w:rsidRPr="002029AF">
        <w:t>body.</w:t>
      </w:r>
    </w:p>
    <w:p w14:paraId="17C45D85" w14:textId="0AB1467F" w:rsidR="00CF72D5" w:rsidRPr="002029AF" w:rsidRDefault="00CF72D5" w:rsidP="00897193">
      <w:pPr>
        <w:pStyle w:val="ARbodyafterbullets"/>
      </w:pPr>
      <w:r w:rsidRPr="002029AF">
        <w:t>In</w:t>
      </w:r>
      <w:r w:rsidR="000A5329" w:rsidRPr="002029AF">
        <w:t xml:space="preserve"> </w:t>
      </w:r>
      <w:r w:rsidRPr="002029AF">
        <w:t>some</w:t>
      </w:r>
      <w:r w:rsidR="000A5329" w:rsidRPr="002029AF">
        <w:t xml:space="preserve"> </w:t>
      </w:r>
      <w:r w:rsidRPr="002029AF">
        <w:t>circumstances,</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may</w:t>
      </w:r>
      <w:r w:rsidR="000A5329" w:rsidRPr="002029AF">
        <w:t xml:space="preserve"> </w:t>
      </w:r>
      <w:r w:rsidRPr="002029AF">
        <w:t>exempt</w:t>
      </w:r>
      <w:r w:rsidR="000A5329" w:rsidRPr="002029AF">
        <w:t xml:space="preserve"> </w:t>
      </w:r>
      <w:r w:rsidRPr="002029AF">
        <w:t>a</w:t>
      </w:r>
      <w:r w:rsidR="000A5329" w:rsidRPr="002029AF">
        <w:t xml:space="preserve"> </w:t>
      </w:r>
      <w:r w:rsidRPr="002029AF">
        <w:t>service</w:t>
      </w:r>
      <w:r w:rsidR="000A5329" w:rsidRPr="002029AF">
        <w:t xml:space="preserve"> </w:t>
      </w:r>
      <w:r w:rsidRPr="002029AF">
        <w:t>provider</w:t>
      </w:r>
      <w:r w:rsidR="000A5329" w:rsidRPr="002029AF">
        <w:t xml:space="preserve"> </w:t>
      </w:r>
      <w:r w:rsidRPr="002029AF">
        <w:t>from</w:t>
      </w:r>
      <w:r w:rsidR="000A5329" w:rsidRPr="002029AF">
        <w:t xml:space="preserve"> </w:t>
      </w:r>
      <w:r w:rsidRPr="002029AF">
        <w:t>independent</w:t>
      </w:r>
      <w:r w:rsidR="000A5329" w:rsidRPr="002029AF">
        <w:t xml:space="preserve"> </w:t>
      </w:r>
      <w:r w:rsidRPr="002029AF">
        <w:t>review</w:t>
      </w:r>
      <w:r w:rsidR="000A5329" w:rsidRPr="002029AF">
        <w:t xml:space="preserve"> </w:t>
      </w:r>
      <w:r w:rsidRPr="002029AF">
        <w:t>and</w:t>
      </w:r>
      <w:r w:rsidR="000A5329" w:rsidRPr="002029AF">
        <w:t xml:space="preserve"> </w:t>
      </w:r>
      <w:r w:rsidRPr="002029AF">
        <w:t>instead</w:t>
      </w:r>
      <w:r w:rsidR="000A5329" w:rsidRPr="002029AF">
        <w:t xml:space="preserve"> </w:t>
      </w:r>
      <w:r w:rsidRPr="002029AF">
        <w:t>require</w:t>
      </w:r>
      <w:r w:rsidR="000A5329" w:rsidRPr="002029AF">
        <w:t xml:space="preserve"> </w:t>
      </w:r>
      <w:r w:rsidRPr="002029AF">
        <w:t>a</w:t>
      </w:r>
      <w:r w:rsidR="000A5329" w:rsidRPr="002029AF">
        <w:t xml:space="preserve"> </w:t>
      </w:r>
      <w:r w:rsidRPr="002029AF">
        <w:t>self-assessment</w:t>
      </w:r>
      <w:r w:rsidR="000A5329" w:rsidRPr="002029AF">
        <w:t xml:space="preserve"> </w:t>
      </w:r>
      <w:r w:rsidRPr="002029AF">
        <w:t>process</w:t>
      </w:r>
      <w:r w:rsidR="000A5329" w:rsidRPr="002029AF">
        <w:t xml:space="preserve"> </w:t>
      </w:r>
      <w:r w:rsidRPr="002029AF">
        <w:t>be</w:t>
      </w:r>
      <w:r w:rsidR="000A5329" w:rsidRPr="002029AF">
        <w:t xml:space="preserve"> </w:t>
      </w:r>
      <w:r w:rsidRPr="002029AF">
        <w:t>undertaken.</w:t>
      </w:r>
      <w:r w:rsidR="000A5329" w:rsidRPr="002029AF">
        <w:t xml:space="preserve"> </w:t>
      </w:r>
      <w:r w:rsidRPr="002029AF">
        <w:t>A</w:t>
      </w:r>
      <w:r w:rsidR="000A5329" w:rsidRPr="002029AF">
        <w:t xml:space="preserve"> </w:t>
      </w:r>
      <w:r w:rsidRPr="002029AF">
        <w:t>range</w:t>
      </w:r>
      <w:r w:rsidR="000A5329" w:rsidRPr="002029AF">
        <w:t xml:space="preserve"> </w:t>
      </w:r>
      <w:r w:rsidRPr="002029AF">
        <w:t>of</w:t>
      </w:r>
      <w:r w:rsidR="000A5329" w:rsidRPr="002029AF">
        <w:t xml:space="preserve"> </w:t>
      </w:r>
      <w:r w:rsidRPr="002029AF">
        <w:t>criteria</w:t>
      </w:r>
      <w:r w:rsidR="000A5329" w:rsidRPr="002029AF">
        <w:t xml:space="preserve"> </w:t>
      </w:r>
      <w:r w:rsidRPr="002029AF">
        <w:t>is</w:t>
      </w:r>
      <w:r w:rsidR="000A5329" w:rsidRPr="002029AF">
        <w:t xml:space="preserve"> </w:t>
      </w:r>
      <w:r w:rsidRPr="002029AF">
        <w:t>considered</w:t>
      </w:r>
      <w:r w:rsidR="000A5329" w:rsidRPr="002029AF">
        <w:t xml:space="preserve"> </w:t>
      </w:r>
      <w:r w:rsidRPr="002029AF">
        <w:t>to</w:t>
      </w:r>
      <w:r w:rsidR="000A5329" w:rsidRPr="002029AF">
        <w:t xml:space="preserve"> </w:t>
      </w:r>
      <w:r w:rsidRPr="002029AF">
        <w:t>determine</w:t>
      </w:r>
      <w:r w:rsidR="000A5329" w:rsidRPr="002029AF">
        <w:t xml:space="preserve"> </w:t>
      </w:r>
      <w:r w:rsidRPr="002029AF">
        <w:t>whether</w:t>
      </w:r>
      <w:r w:rsidR="000A5329" w:rsidRPr="002029AF">
        <w:t xml:space="preserve"> </w:t>
      </w:r>
      <w:r w:rsidRPr="002029AF">
        <w:t>the</w:t>
      </w:r>
      <w:r w:rsidR="000A5329" w:rsidRPr="002029AF">
        <w:t xml:space="preserve"> </w:t>
      </w:r>
      <w:r w:rsidRPr="002029AF">
        <w:t>benefits</w:t>
      </w:r>
      <w:r w:rsidR="000A5329" w:rsidRPr="002029AF">
        <w:t xml:space="preserve"> </w:t>
      </w:r>
      <w:r w:rsidRPr="002029AF">
        <w:t>of</w:t>
      </w:r>
      <w:r w:rsidR="000A5329" w:rsidRPr="002029AF">
        <w:t xml:space="preserve"> </w:t>
      </w:r>
      <w:r w:rsidRPr="002029AF">
        <w:t>the</w:t>
      </w:r>
      <w:r w:rsidR="000A5329" w:rsidRPr="002029AF">
        <w:t xml:space="preserve"> </w:t>
      </w:r>
      <w:r w:rsidRPr="002029AF">
        <w:t>review</w:t>
      </w:r>
      <w:r w:rsidR="000A5329" w:rsidRPr="002029AF">
        <w:t xml:space="preserve"> </w:t>
      </w:r>
      <w:r w:rsidRPr="002029AF">
        <w:t>process</w:t>
      </w:r>
      <w:r w:rsidR="000A5329" w:rsidRPr="002029AF">
        <w:t xml:space="preserve"> </w:t>
      </w:r>
      <w:r w:rsidRPr="002029AF">
        <w:t>outweigh</w:t>
      </w:r>
      <w:r w:rsidR="000A5329" w:rsidRPr="002029AF">
        <w:t xml:space="preserve"> </w:t>
      </w:r>
      <w:r w:rsidRPr="002029AF">
        <w:t>the</w:t>
      </w:r>
      <w:r w:rsidR="000A5329" w:rsidRPr="002029AF">
        <w:t xml:space="preserve"> </w:t>
      </w:r>
      <w:r w:rsidRPr="002029AF">
        <w:t>costs</w:t>
      </w:r>
      <w:r w:rsidR="000A5329" w:rsidRPr="002029AF">
        <w:t xml:space="preserve"> </w:t>
      </w:r>
      <w:r w:rsidRPr="002029AF">
        <w:t>of</w:t>
      </w:r>
      <w:r w:rsidR="000A5329" w:rsidRPr="002029AF">
        <w:t xml:space="preserve"> </w:t>
      </w:r>
      <w:r w:rsidRPr="002029AF">
        <w:t>the</w:t>
      </w:r>
      <w:r w:rsidR="000A5329" w:rsidRPr="002029AF">
        <w:t xml:space="preserve"> </w:t>
      </w:r>
      <w:r w:rsidRPr="002029AF">
        <w:t>review.</w:t>
      </w:r>
    </w:p>
    <w:p w14:paraId="63446CAA" w14:textId="01D90D58" w:rsidR="00CF72D5" w:rsidRPr="002029AF" w:rsidRDefault="00CF72D5" w:rsidP="00897193">
      <w:pPr>
        <w:pStyle w:val="ARtablecaption"/>
      </w:pPr>
      <w:r w:rsidRPr="002029AF">
        <w:t>Number</w:t>
      </w:r>
      <w:r w:rsidR="000A5329" w:rsidRPr="002029AF">
        <w:t xml:space="preserve"> </w:t>
      </w:r>
      <w:r w:rsidRPr="002029AF">
        <w:t>of</w:t>
      </w:r>
      <w:r w:rsidR="000A5329" w:rsidRPr="002029AF">
        <w:t xml:space="preserve"> </w:t>
      </w:r>
      <w:r w:rsidRPr="002029AF">
        <w:t>service</w:t>
      </w:r>
      <w:r w:rsidR="000A5329" w:rsidRPr="002029AF">
        <w:t xml:space="preserve"> </w:t>
      </w:r>
      <w:r w:rsidRPr="002029AF">
        <w:t>providers</w:t>
      </w:r>
    </w:p>
    <w:tbl>
      <w:tblPr>
        <w:tblW w:w="4593"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3549"/>
        <w:gridCol w:w="1044"/>
      </w:tblGrid>
      <w:tr w:rsidR="00CF72D5" w:rsidRPr="002029AF" w14:paraId="5427BB11" w14:textId="77777777" w:rsidTr="00897193">
        <w:trPr>
          <w:cantSplit/>
          <w:tblHeader/>
        </w:trPr>
        <w:tc>
          <w:tcPr>
            <w:tcW w:w="3549" w:type="dxa"/>
            <w:vAlign w:val="bottom"/>
          </w:tcPr>
          <w:p w14:paraId="5309B330" w14:textId="77777777" w:rsidR="00CF72D5" w:rsidRPr="002029AF" w:rsidRDefault="00CF72D5" w:rsidP="00897193">
            <w:pPr>
              <w:pStyle w:val="ARtablecolhead"/>
            </w:pPr>
            <w:r w:rsidRPr="002029AF">
              <w:rPr>
                <w:spacing w:val="-15"/>
              </w:rPr>
              <w:t>T</w:t>
            </w:r>
            <w:r w:rsidRPr="002029AF">
              <w:t>ype</w:t>
            </w:r>
          </w:p>
        </w:tc>
        <w:tc>
          <w:tcPr>
            <w:tcW w:w="1044" w:type="dxa"/>
            <w:vAlign w:val="bottom"/>
          </w:tcPr>
          <w:p w14:paraId="362C14D3" w14:textId="77777777" w:rsidR="00CF72D5" w:rsidRPr="002029AF" w:rsidRDefault="00CF72D5" w:rsidP="00897193">
            <w:pPr>
              <w:pStyle w:val="ARtablecolheadright"/>
            </w:pPr>
            <w:r w:rsidRPr="002029AF">
              <w:t>Number</w:t>
            </w:r>
          </w:p>
        </w:tc>
      </w:tr>
      <w:tr w:rsidR="00CF72D5" w:rsidRPr="002029AF" w14:paraId="0B666636" w14:textId="77777777" w:rsidTr="00897193">
        <w:trPr>
          <w:cantSplit/>
        </w:trPr>
        <w:tc>
          <w:tcPr>
            <w:tcW w:w="3549" w:type="dxa"/>
          </w:tcPr>
          <w:p w14:paraId="134061E8" w14:textId="3498CFC6" w:rsidR="00CF72D5" w:rsidRPr="002029AF" w:rsidRDefault="00CF72D5" w:rsidP="00897193">
            <w:pPr>
              <w:pStyle w:val="ARtabletext"/>
            </w:pPr>
            <w:r w:rsidRPr="002029AF">
              <w:t>Organisations</w:t>
            </w:r>
            <w:r w:rsidR="000A5329" w:rsidRPr="002029AF">
              <w:rPr>
                <w:spacing w:val="4"/>
              </w:rPr>
              <w:t xml:space="preserve"> </w:t>
            </w:r>
            <w:r w:rsidRPr="002029AF">
              <w:t>exempt</w:t>
            </w:r>
            <w:r w:rsidR="000A5329" w:rsidRPr="002029AF">
              <w:rPr>
                <w:spacing w:val="5"/>
              </w:rPr>
              <w:t xml:space="preserve"> </w:t>
            </w:r>
            <w:r w:rsidRPr="002029AF">
              <w:t>from</w:t>
            </w:r>
            <w:r w:rsidR="000A5329" w:rsidRPr="002029AF">
              <w:t xml:space="preserve"> </w:t>
            </w:r>
            <w:r w:rsidRPr="002029AF">
              <w:t>independent</w:t>
            </w:r>
            <w:r w:rsidR="000A5329" w:rsidRPr="002029AF">
              <w:rPr>
                <w:spacing w:val="4"/>
              </w:rPr>
              <w:t xml:space="preserve"> </w:t>
            </w:r>
            <w:r w:rsidRPr="002029AF">
              <w:t>review</w:t>
            </w:r>
            <w:r w:rsidR="000A5329" w:rsidRPr="002029AF">
              <w:rPr>
                <w:spacing w:val="4"/>
              </w:rPr>
              <w:t xml:space="preserve"> </w:t>
            </w:r>
            <w:r w:rsidRPr="002029AF">
              <w:t>and</w:t>
            </w:r>
            <w:r w:rsidR="000A5329" w:rsidRPr="002029AF">
              <w:t xml:space="preserve"> </w:t>
            </w:r>
            <w:r w:rsidRPr="002029AF">
              <w:t>self-assessment</w:t>
            </w:r>
          </w:p>
        </w:tc>
        <w:tc>
          <w:tcPr>
            <w:tcW w:w="1044" w:type="dxa"/>
          </w:tcPr>
          <w:p w14:paraId="27F8B5E2" w14:textId="77777777" w:rsidR="00CF72D5" w:rsidRPr="002029AF" w:rsidRDefault="00CF72D5" w:rsidP="00897193">
            <w:pPr>
              <w:pStyle w:val="ARtabletextright"/>
            </w:pPr>
            <w:r w:rsidRPr="002029AF">
              <w:t>30</w:t>
            </w:r>
          </w:p>
        </w:tc>
      </w:tr>
      <w:tr w:rsidR="00CF72D5" w:rsidRPr="002029AF" w14:paraId="5FC68DB0" w14:textId="77777777" w:rsidTr="00897193">
        <w:trPr>
          <w:cantSplit/>
        </w:trPr>
        <w:tc>
          <w:tcPr>
            <w:tcW w:w="3549" w:type="dxa"/>
          </w:tcPr>
          <w:p w14:paraId="726BE78D" w14:textId="0745D8CC" w:rsidR="00CF72D5" w:rsidRPr="002029AF" w:rsidRDefault="00CF72D5" w:rsidP="00897193">
            <w:pPr>
              <w:pStyle w:val="ARtabletext"/>
            </w:pPr>
            <w:r w:rsidRPr="002029AF">
              <w:t>Organisations</w:t>
            </w:r>
            <w:r w:rsidR="000A5329" w:rsidRPr="002029AF">
              <w:rPr>
                <w:spacing w:val="3"/>
              </w:rPr>
              <w:t xml:space="preserve"> </w:t>
            </w:r>
            <w:r w:rsidRPr="002029AF">
              <w:t>required</w:t>
            </w:r>
            <w:r w:rsidR="000A5329" w:rsidRPr="002029AF">
              <w:rPr>
                <w:spacing w:val="3"/>
              </w:rPr>
              <w:t xml:space="preserve"> </w:t>
            </w:r>
            <w:r w:rsidRPr="002029AF">
              <w:t>to</w:t>
            </w:r>
            <w:r w:rsidR="000A5329" w:rsidRPr="002029AF">
              <w:t xml:space="preserve"> </w:t>
            </w:r>
            <w:r w:rsidRPr="002029AF">
              <w:t>complete</w:t>
            </w:r>
            <w:r w:rsidR="000A5329" w:rsidRPr="002029AF">
              <w:rPr>
                <w:spacing w:val="4"/>
              </w:rPr>
              <w:t xml:space="preserve"> </w:t>
            </w:r>
            <w:r w:rsidRPr="002029AF">
              <w:rPr>
                <w:spacing w:val="4"/>
              </w:rPr>
              <w:br/>
            </w:r>
            <w:r w:rsidRPr="002029AF">
              <w:t>a</w:t>
            </w:r>
            <w:r w:rsidR="000A5329" w:rsidRPr="002029AF">
              <w:rPr>
                <w:spacing w:val="5"/>
              </w:rPr>
              <w:t xml:space="preserve"> </w:t>
            </w:r>
            <w:r w:rsidRPr="002029AF">
              <w:t>self-assessment</w:t>
            </w:r>
          </w:p>
        </w:tc>
        <w:tc>
          <w:tcPr>
            <w:tcW w:w="1044" w:type="dxa"/>
          </w:tcPr>
          <w:p w14:paraId="309F066F" w14:textId="77777777" w:rsidR="00CF72D5" w:rsidRPr="002029AF" w:rsidRDefault="00CF72D5" w:rsidP="00897193">
            <w:pPr>
              <w:pStyle w:val="ARtabletextright"/>
            </w:pPr>
            <w:r w:rsidRPr="002029AF">
              <w:t>16</w:t>
            </w:r>
          </w:p>
        </w:tc>
      </w:tr>
      <w:tr w:rsidR="00CF72D5" w:rsidRPr="002029AF" w14:paraId="3D56515F" w14:textId="77777777" w:rsidTr="00897193">
        <w:trPr>
          <w:cantSplit/>
        </w:trPr>
        <w:tc>
          <w:tcPr>
            <w:tcW w:w="3549" w:type="dxa"/>
          </w:tcPr>
          <w:p w14:paraId="5F369012" w14:textId="1938494F" w:rsidR="00CF72D5" w:rsidRPr="002029AF" w:rsidRDefault="00CF72D5" w:rsidP="00897193">
            <w:pPr>
              <w:pStyle w:val="ARtabletext"/>
            </w:pPr>
            <w:r w:rsidRPr="002029AF">
              <w:t>Organisations</w:t>
            </w:r>
            <w:r w:rsidR="000A5329" w:rsidRPr="002029AF">
              <w:rPr>
                <w:spacing w:val="3"/>
              </w:rPr>
              <w:t xml:space="preserve"> </w:t>
            </w:r>
            <w:r w:rsidRPr="002029AF">
              <w:t>required</w:t>
            </w:r>
            <w:r w:rsidR="000A5329" w:rsidRPr="002029AF">
              <w:rPr>
                <w:spacing w:val="4"/>
              </w:rPr>
              <w:t xml:space="preserve"> </w:t>
            </w:r>
            <w:r w:rsidRPr="002029AF">
              <w:rPr>
                <w:spacing w:val="4"/>
              </w:rPr>
              <w:t>to</w:t>
            </w:r>
            <w:r w:rsidR="000A5329" w:rsidRPr="002029AF">
              <w:rPr>
                <w:spacing w:val="4"/>
              </w:rPr>
              <w:t xml:space="preserve"> </w:t>
            </w:r>
            <w:r w:rsidRPr="002029AF">
              <w:rPr>
                <w:spacing w:val="4"/>
              </w:rPr>
              <w:t>under</w:t>
            </w:r>
            <w:r w:rsidRPr="002029AF">
              <w:t>take</w:t>
            </w:r>
            <w:r w:rsidR="000A5329" w:rsidRPr="002029AF">
              <w:t xml:space="preserve"> </w:t>
            </w:r>
            <w:r w:rsidRPr="002029AF">
              <w:t>an</w:t>
            </w:r>
            <w:r w:rsidR="000A5329" w:rsidRPr="002029AF">
              <w:rPr>
                <w:spacing w:val="5"/>
              </w:rPr>
              <w:t xml:space="preserve"> </w:t>
            </w:r>
            <w:r w:rsidRPr="002029AF">
              <w:rPr>
                <w:spacing w:val="5"/>
              </w:rPr>
              <w:t>i</w:t>
            </w:r>
            <w:r w:rsidRPr="002029AF">
              <w:t>ndependent</w:t>
            </w:r>
            <w:r w:rsidR="000A5329" w:rsidRPr="002029AF">
              <w:rPr>
                <w:spacing w:val="4"/>
              </w:rPr>
              <w:t xml:space="preserve"> </w:t>
            </w:r>
            <w:r w:rsidRPr="002029AF">
              <w:t>review</w:t>
            </w:r>
          </w:p>
        </w:tc>
        <w:tc>
          <w:tcPr>
            <w:tcW w:w="1044" w:type="dxa"/>
          </w:tcPr>
          <w:p w14:paraId="4B41FB66" w14:textId="77777777" w:rsidR="00CF72D5" w:rsidRPr="002029AF" w:rsidRDefault="00CF72D5" w:rsidP="00897193">
            <w:pPr>
              <w:pStyle w:val="ARtabletextright"/>
            </w:pPr>
            <w:r w:rsidRPr="002029AF">
              <w:t>383</w:t>
            </w:r>
          </w:p>
        </w:tc>
      </w:tr>
    </w:tbl>
    <w:p w14:paraId="337C70C5" w14:textId="217A8E84" w:rsidR="00CF72D5" w:rsidRPr="002029AF" w:rsidRDefault="00CF72D5" w:rsidP="00B442E2">
      <w:pPr>
        <w:pStyle w:val="ARtablefootnote"/>
      </w:pPr>
      <w:r w:rsidRPr="002029AF">
        <w:t>Includes</w:t>
      </w:r>
      <w:r w:rsidR="000A5329" w:rsidRPr="002029AF">
        <w:t xml:space="preserve"> </w:t>
      </w:r>
      <w:r w:rsidRPr="002029AF">
        <w:t>organisations</w:t>
      </w:r>
      <w:r w:rsidR="000A5329" w:rsidRPr="002029AF">
        <w:t xml:space="preserve"> </w:t>
      </w:r>
      <w:r w:rsidRPr="002029AF">
        <w:t>registered</w:t>
      </w:r>
      <w:r w:rsidR="000A5329" w:rsidRPr="002029AF">
        <w:t xml:space="preserve"> </w:t>
      </w:r>
      <w:r w:rsidRPr="002029AF">
        <w:t>under</w:t>
      </w:r>
      <w:r w:rsidR="000A5329" w:rsidRPr="002029AF">
        <w:t xml:space="preserve"> </w:t>
      </w:r>
      <w:r w:rsidRPr="002029AF">
        <w:t>the</w:t>
      </w:r>
      <w:r w:rsidR="000A5329" w:rsidRPr="002029AF">
        <w:t xml:space="preserve"> </w:t>
      </w:r>
      <w:r w:rsidRPr="002029AF">
        <w:rPr>
          <w:i/>
          <w:iCs/>
        </w:rPr>
        <w:t>Disability</w:t>
      </w:r>
      <w:r w:rsidR="000A5329" w:rsidRPr="002029AF">
        <w:rPr>
          <w:i/>
          <w:iCs/>
        </w:rPr>
        <w:t xml:space="preserve"> </w:t>
      </w:r>
      <w:r w:rsidRPr="002029AF">
        <w:rPr>
          <w:i/>
          <w:iCs/>
        </w:rPr>
        <w:t>Act</w:t>
      </w:r>
      <w:r w:rsidR="000A5329" w:rsidRPr="002029AF">
        <w:rPr>
          <w:i/>
          <w:iCs/>
        </w:rPr>
        <w:t xml:space="preserve"> </w:t>
      </w:r>
      <w:r w:rsidRPr="002029AF">
        <w:rPr>
          <w:i/>
          <w:iCs/>
        </w:rPr>
        <w:t>2006</w:t>
      </w:r>
      <w:r w:rsidR="000A5329" w:rsidRPr="002029AF">
        <w:t xml:space="preserve"> </w:t>
      </w:r>
      <w:r w:rsidRPr="002029AF">
        <w:t>that</w:t>
      </w:r>
      <w:r w:rsidR="000A5329" w:rsidRPr="002029AF">
        <w:t xml:space="preserve"> </w:t>
      </w:r>
      <w:r w:rsidRPr="002029AF">
        <w:t>have</w:t>
      </w:r>
      <w:r w:rsidR="000A5329" w:rsidRPr="002029AF">
        <w:t xml:space="preserve"> </w:t>
      </w:r>
      <w:r w:rsidRPr="002029AF">
        <w:t>not</w:t>
      </w:r>
      <w:r w:rsidR="000A5329" w:rsidRPr="002029AF">
        <w:t xml:space="preserve"> </w:t>
      </w:r>
      <w:r w:rsidRPr="002029AF">
        <w:t>yet</w:t>
      </w:r>
      <w:r w:rsidR="000A5329" w:rsidRPr="002029AF">
        <w:t xml:space="preserve"> </w:t>
      </w:r>
      <w:r w:rsidRPr="002029AF">
        <w:t>transitioned</w:t>
      </w:r>
      <w:r w:rsidR="000A5329" w:rsidRPr="002029AF">
        <w:t xml:space="preserve"> </w:t>
      </w:r>
      <w:r w:rsidRPr="002029AF">
        <w:t>to</w:t>
      </w:r>
      <w:r w:rsidR="000A5329" w:rsidRPr="002029AF">
        <w:t xml:space="preserve"> </w:t>
      </w:r>
      <w:r w:rsidRPr="002029AF">
        <w:t>the</w:t>
      </w:r>
      <w:r w:rsidR="000A5329" w:rsidRPr="002029AF">
        <w:t xml:space="preserve"> </w:t>
      </w:r>
      <w:r w:rsidRPr="002029AF">
        <w:t>National</w:t>
      </w:r>
      <w:r w:rsidR="000A5329" w:rsidRPr="002029AF">
        <w:t xml:space="preserve"> </w:t>
      </w:r>
      <w:r w:rsidRPr="002029AF">
        <w:t>Disability</w:t>
      </w:r>
      <w:r w:rsidR="000A5329" w:rsidRPr="002029AF">
        <w:t xml:space="preserve"> </w:t>
      </w:r>
      <w:r w:rsidRPr="002029AF">
        <w:t>Insurance</w:t>
      </w:r>
      <w:r w:rsidR="000A5329" w:rsidRPr="002029AF">
        <w:t xml:space="preserve"> </w:t>
      </w:r>
      <w:r w:rsidRPr="002029AF">
        <w:t>Scheme.</w:t>
      </w:r>
    </w:p>
    <w:p w14:paraId="47FF0571" w14:textId="0277A119" w:rsidR="00CF72D5" w:rsidRPr="002029AF" w:rsidRDefault="00CF72D5" w:rsidP="00897193">
      <w:pPr>
        <w:pStyle w:val="ARtablecaption"/>
      </w:pPr>
      <w:r w:rsidRPr="002029AF">
        <w:t>Reviews</w:t>
      </w:r>
      <w:r w:rsidR="000A5329" w:rsidRPr="002029AF">
        <w:t xml:space="preserve"> </w:t>
      </w:r>
      <w:r w:rsidRPr="002029AF">
        <w:t>completed</w:t>
      </w:r>
      <w:r w:rsidR="000A5329" w:rsidRPr="002029AF">
        <w:t xml:space="preserve"> </w:t>
      </w:r>
      <w:r w:rsidRPr="002029AF">
        <w:t>2019–20</w:t>
      </w:r>
    </w:p>
    <w:tbl>
      <w:tblPr>
        <w:tblW w:w="0" w:type="auto"/>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3549"/>
        <w:gridCol w:w="1028"/>
      </w:tblGrid>
      <w:tr w:rsidR="00CF72D5" w:rsidRPr="002029AF" w14:paraId="5E441DA9" w14:textId="77777777" w:rsidTr="00897193">
        <w:trPr>
          <w:cantSplit/>
          <w:tblHeader/>
        </w:trPr>
        <w:tc>
          <w:tcPr>
            <w:tcW w:w="3549" w:type="dxa"/>
            <w:vAlign w:val="bottom"/>
          </w:tcPr>
          <w:p w14:paraId="1D808BA8" w14:textId="77777777" w:rsidR="00CF72D5" w:rsidRPr="002029AF" w:rsidRDefault="00CF72D5" w:rsidP="00897193">
            <w:pPr>
              <w:pStyle w:val="ARtablecolhead"/>
            </w:pPr>
            <w:r w:rsidRPr="002029AF">
              <w:rPr>
                <w:spacing w:val="-15"/>
              </w:rPr>
              <w:t>T</w:t>
            </w:r>
            <w:r w:rsidRPr="002029AF">
              <w:t>ype</w:t>
            </w:r>
          </w:p>
        </w:tc>
        <w:tc>
          <w:tcPr>
            <w:tcW w:w="1028" w:type="dxa"/>
            <w:vAlign w:val="bottom"/>
          </w:tcPr>
          <w:p w14:paraId="677A6A12" w14:textId="77777777" w:rsidR="00CF72D5" w:rsidRPr="002029AF" w:rsidRDefault="00CF72D5" w:rsidP="00897193">
            <w:pPr>
              <w:pStyle w:val="ARtablecolhead"/>
              <w:jc w:val="right"/>
            </w:pPr>
            <w:r w:rsidRPr="002029AF">
              <w:t>Number</w:t>
            </w:r>
          </w:p>
        </w:tc>
      </w:tr>
      <w:tr w:rsidR="00CF72D5" w:rsidRPr="002029AF" w14:paraId="5F8034EF" w14:textId="77777777" w:rsidTr="00897193">
        <w:trPr>
          <w:cantSplit/>
        </w:trPr>
        <w:tc>
          <w:tcPr>
            <w:tcW w:w="3549" w:type="dxa"/>
          </w:tcPr>
          <w:p w14:paraId="7632D686" w14:textId="7E5B52A5" w:rsidR="00CF72D5" w:rsidRPr="002029AF" w:rsidRDefault="00CF72D5" w:rsidP="00897193">
            <w:pPr>
              <w:pStyle w:val="ARtabletext"/>
            </w:pPr>
            <w:r w:rsidRPr="002029AF">
              <w:t>Number</w:t>
            </w:r>
            <w:r w:rsidR="000A5329" w:rsidRPr="002029AF">
              <w:t xml:space="preserve"> </w:t>
            </w:r>
            <w:r w:rsidRPr="002029AF">
              <w:t>of</w:t>
            </w:r>
            <w:r w:rsidR="000A5329" w:rsidRPr="002029AF">
              <w:t xml:space="preserve"> </w:t>
            </w:r>
            <w:r w:rsidRPr="002029AF">
              <w:t>independent</w:t>
            </w:r>
            <w:r w:rsidR="000A5329" w:rsidRPr="002029AF">
              <w:t xml:space="preserve"> </w:t>
            </w:r>
            <w:r w:rsidRPr="002029AF">
              <w:t>reviews</w:t>
            </w:r>
            <w:r w:rsidR="000A5329" w:rsidRPr="002029AF">
              <w:t xml:space="preserve"> </w:t>
            </w:r>
            <w:r w:rsidRPr="002029AF">
              <w:t>successfully</w:t>
            </w:r>
            <w:r w:rsidR="000A5329" w:rsidRPr="002029AF">
              <w:t xml:space="preserve"> </w:t>
            </w:r>
            <w:r w:rsidRPr="002029AF">
              <w:t>completed</w:t>
            </w:r>
          </w:p>
        </w:tc>
        <w:tc>
          <w:tcPr>
            <w:tcW w:w="1028" w:type="dxa"/>
          </w:tcPr>
          <w:p w14:paraId="175CD5BB" w14:textId="77777777" w:rsidR="00CF72D5" w:rsidRPr="002029AF" w:rsidRDefault="00CF72D5" w:rsidP="00897193">
            <w:pPr>
              <w:pStyle w:val="ARtabletextright"/>
            </w:pPr>
            <w:r w:rsidRPr="002029AF">
              <w:t>208</w:t>
            </w:r>
          </w:p>
        </w:tc>
      </w:tr>
      <w:tr w:rsidR="00CF72D5" w:rsidRPr="002029AF" w14:paraId="0861AF6F" w14:textId="77777777" w:rsidTr="00897193">
        <w:trPr>
          <w:cantSplit/>
        </w:trPr>
        <w:tc>
          <w:tcPr>
            <w:tcW w:w="3549" w:type="dxa"/>
          </w:tcPr>
          <w:p w14:paraId="547B9209" w14:textId="1D5A9FDC" w:rsidR="00CF72D5" w:rsidRPr="002029AF" w:rsidRDefault="00CF72D5" w:rsidP="00897193">
            <w:pPr>
              <w:pStyle w:val="ARtabletext"/>
            </w:pPr>
            <w:r w:rsidRPr="002029AF">
              <w:t>Number</w:t>
            </w:r>
            <w:r w:rsidR="000A5329" w:rsidRPr="002029AF">
              <w:t xml:space="preserve"> </w:t>
            </w:r>
            <w:r w:rsidRPr="002029AF">
              <w:t>of</w:t>
            </w:r>
            <w:r w:rsidR="000A5329" w:rsidRPr="002029AF">
              <w:t xml:space="preserve"> </w:t>
            </w:r>
            <w:r w:rsidRPr="002029AF">
              <w:t>independent</w:t>
            </w:r>
            <w:r w:rsidR="000A5329" w:rsidRPr="002029AF">
              <w:rPr>
                <w:spacing w:val="3"/>
              </w:rPr>
              <w:t xml:space="preserve"> </w:t>
            </w:r>
            <w:r w:rsidRPr="002029AF">
              <w:t>reviews</w:t>
            </w:r>
            <w:r w:rsidR="000A5329" w:rsidRPr="002029AF">
              <w:t xml:space="preserve"> </w:t>
            </w:r>
            <w:r w:rsidRPr="002029AF">
              <w:t>not</w:t>
            </w:r>
            <w:r w:rsidR="000A5329" w:rsidRPr="002029AF">
              <w:t xml:space="preserve"> </w:t>
            </w:r>
            <w:r w:rsidRPr="002029AF">
              <w:t>successfully</w:t>
            </w:r>
            <w:r w:rsidR="000A5329" w:rsidRPr="002029AF">
              <w:t xml:space="preserve"> </w:t>
            </w:r>
            <w:r w:rsidRPr="002029AF">
              <w:t>completed,</w:t>
            </w:r>
            <w:r w:rsidR="000A5329" w:rsidRPr="002029AF">
              <w:t xml:space="preserve"> </w:t>
            </w:r>
            <w:r w:rsidRPr="002029AF">
              <w:t>or</w:t>
            </w:r>
            <w:r w:rsidR="000A5329" w:rsidRPr="002029AF">
              <w:t xml:space="preserve"> </w:t>
            </w:r>
            <w:r w:rsidRPr="002029AF">
              <w:t>certification</w:t>
            </w:r>
            <w:r w:rsidR="000A5329" w:rsidRPr="002029AF">
              <w:t xml:space="preserve"> </w:t>
            </w:r>
            <w:r w:rsidRPr="002029AF">
              <w:t>withdrawn</w:t>
            </w:r>
          </w:p>
        </w:tc>
        <w:tc>
          <w:tcPr>
            <w:tcW w:w="1028" w:type="dxa"/>
          </w:tcPr>
          <w:p w14:paraId="239E3B9D" w14:textId="77777777" w:rsidR="00CF72D5" w:rsidRPr="002029AF" w:rsidRDefault="00CF72D5" w:rsidP="00897193">
            <w:pPr>
              <w:pStyle w:val="ARtabletextright"/>
            </w:pPr>
            <w:r w:rsidRPr="002029AF">
              <w:t>1</w:t>
            </w:r>
          </w:p>
        </w:tc>
      </w:tr>
    </w:tbl>
    <w:p w14:paraId="2693EE0C" w14:textId="6416E91B" w:rsidR="00CF72D5" w:rsidRPr="002029AF" w:rsidRDefault="00CF72D5" w:rsidP="00897193">
      <w:pPr>
        <w:pStyle w:val="ARtablefootnote"/>
      </w:pPr>
      <w:r w:rsidRPr="002029AF">
        <w:t>Note:</w:t>
      </w:r>
      <w:r w:rsidR="000A5329" w:rsidRPr="002029AF">
        <w:t xml:space="preserve"> </w:t>
      </w:r>
      <w:r w:rsidRPr="002029AF">
        <w:t>Transition</w:t>
      </w:r>
      <w:r w:rsidR="000A5329" w:rsidRPr="002029AF">
        <w:t xml:space="preserve"> </w:t>
      </w:r>
      <w:r w:rsidRPr="002029AF">
        <w:t>of</w:t>
      </w:r>
      <w:r w:rsidR="000A5329" w:rsidRPr="002029AF">
        <w:t xml:space="preserve"> </w:t>
      </w:r>
      <w:r w:rsidRPr="002029AF">
        <w:t>organisations</w:t>
      </w:r>
      <w:r w:rsidR="000A5329" w:rsidRPr="002029AF">
        <w:t xml:space="preserve"> </w:t>
      </w:r>
      <w:r w:rsidRPr="002029AF">
        <w:t>to</w:t>
      </w:r>
      <w:r w:rsidR="000A5329" w:rsidRPr="002029AF">
        <w:t xml:space="preserve"> </w:t>
      </w:r>
      <w:r w:rsidRPr="002029AF">
        <w:t>the</w:t>
      </w:r>
      <w:r w:rsidR="000A5329" w:rsidRPr="002029AF">
        <w:t xml:space="preserve"> </w:t>
      </w:r>
      <w:r w:rsidRPr="002029AF">
        <w:t>National</w:t>
      </w:r>
      <w:r w:rsidR="000A5329" w:rsidRPr="002029AF">
        <w:t xml:space="preserve"> </w:t>
      </w:r>
      <w:r w:rsidRPr="002029AF">
        <w:t>Disability</w:t>
      </w:r>
      <w:r w:rsidR="000A5329" w:rsidRPr="002029AF">
        <w:t xml:space="preserve"> </w:t>
      </w:r>
      <w:r w:rsidRPr="002029AF">
        <w:t>Insurance</w:t>
      </w:r>
      <w:r w:rsidR="000A5329" w:rsidRPr="002029AF">
        <w:t xml:space="preserve"> </w:t>
      </w:r>
      <w:r w:rsidRPr="002029AF">
        <w:t>Scheme</w:t>
      </w:r>
      <w:r w:rsidR="000A5329" w:rsidRPr="002029AF">
        <w:t xml:space="preserve"> </w:t>
      </w:r>
      <w:r w:rsidRPr="002029AF">
        <w:t>has</w:t>
      </w:r>
      <w:r w:rsidR="000A5329" w:rsidRPr="002029AF">
        <w:t xml:space="preserve"> </w:t>
      </w:r>
      <w:r w:rsidRPr="002029AF">
        <w:t>resulted</w:t>
      </w:r>
      <w:r w:rsidR="000A5329" w:rsidRPr="002029AF">
        <w:t xml:space="preserve"> </w:t>
      </w:r>
      <w:r w:rsidRPr="002029AF">
        <w:t>in</w:t>
      </w:r>
      <w:r w:rsidR="000A5329" w:rsidRPr="002029AF">
        <w:t xml:space="preserve"> </w:t>
      </w:r>
      <w:r w:rsidRPr="002029AF">
        <w:t>fewer</w:t>
      </w:r>
      <w:r w:rsidR="000A5329" w:rsidRPr="002029AF">
        <w:t xml:space="preserve"> </w:t>
      </w:r>
      <w:r w:rsidRPr="002029AF">
        <w:t>organisations</w:t>
      </w:r>
      <w:r w:rsidR="000A5329" w:rsidRPr="002029AF">
        <w:t xml:space="preserve"> </w:t>
      </w:r>
      <w:r w:rsidRPr="002029AF">
        <w:t>being</w:t>
      </w:r>
      <w:r w:rsidR="000A5329" w:rsidRPr="002029AF">
        <w:t xml:space="preserve"> </w:t>
      </w:r>
      <w:r w:rsidRPr="002029AF">
        <w:t>required</w:t>
      </w:r>
      <w:r w:rsidR="000A5329" w:rsidRPr="002029AF">
        <w:t xml:space="preserve"> </w:t>
      </w:r>
      <w:r w:rsidRPr="002029AF">
        <w:t>to</w:t>
      </w:r>
      <w:r w:rsidR="000A5329" w:rsidRPr="002029AF">
        <w:t xml:space="preserve"> </w:t>
      </w:r>
      <w:r w:rsidRPr="002029AF">
        <w:t>undertake</w:t>
      </w:r>
      <w:r w:rsidR="000A5329" w:rsidRPr="002029AF">
        <w:t xml:space="preserve"> </w:t>
      </w:r>
      <w:r w:rsidRPr="002029AF">
        <w:t>an</w:t>
      </w:r>
      <w:r w:rsidR="000A5329" w:rsidRPr="002029AF">
        <w:t xml:space="preserve"> </w:t>
      </w:r>
      <w:r w:rsidRPr="002029AF">
        <w:t>independent</w:t>
      </w:r>
      <w:r w:rsidR="000A5329" w:rsidRPr="002029AF">
        <w:t xml:space="preserve"> </w:t>
      </w:r>
      <w:r w:rsidRPr="002029AF">
        <w:t>review</w:t>
      </w:r>
      <w:r w:rsidR="000A5329" w:rsidRPr="002029AF">
        <w:t xml:space="preserve"> </w:t>
      </w:r>
      <w:r w:rsidRPr="002029AF">
        <w:t>compared</w:t>
      </w:r>
      <w:r w:rsidR="000A5329" w:rsidRPr="002029AF">
        <w:t xml:space="preserve"> </w:t>
      </w:r>
      <w:r w:rsidRPr="002029AF">
        <w:t>to</w:t>
      </w:r>
      <w:r w:rsidR="000A5329" w:rsidRPr="002029AF">
        <w:t xml:space="preserve"> </w:t>
      </w:r>
      <w:r w:rsidRPr="002029AF">
        <w:t>the</w:t>
      </w:r>
      <w:r w:rsidR="000A5329" w:rsidRPr="002029AF">
        <w:t xml:space="preserve"> </w:t>
      </w:r>
      <w:r w:rsidRPr="002029AF">
        <w:t>previous</w:t>
      </w:r>
      <w:r w:rsidR="000A5329" w:rsidRPr="002029AF">
        <w:t xml:space="preserve"> </w:t>
      </w:r>
      <w:r w:rsidRPr="002029AF">
        <w:t>year</w:t>
      </w:r>
      <w:r w:rsidR="000A5329" w:rsidRPr="002029AF">
        <w:t xml:space="preserve"> </w:t>
      </w:r>
      <w:r w:rsidRPr="002029AF">
        <w:t>(201</w:t>
      </w:r>
      <w:r w:rsidR="00DB53E6" w:rsidRPr="002029AF">
        <w:t>8–</w:t>
      </w:r>
      <w:r w:rsidRPr="002029AF">
        <w:t>19).</w:t>
      </w:r>
    </w:p>
    <w:p w14:paraId="68B26356" w14:textId="77777777" w:rsidR="00DE6F17" w:rsidRPr="002029AF" w:rsidRDefault="00DE6F17" w:rsidP="006F2C99">
      <w:pPr>
        <w:pStyle w:val="ARbody"/>
      </w:pPr>
      <w:bookmarkStart w:id="160" w:name="_Ref21960035"/>
      <w:r w:rsidRPr="002029AF">
        <w:br w:type="page"/>
      </w:r>
    </w:p>
    <w:p w14:paraId="2C09A32E" w14:textId="548D4A39" w:rsidR="00CF72D5" w:rsidRPr="002029AF" w:rsidRDefault="00CF72D5" w:rsidP="00AE20EC">
      <w:pPr>
        <w:pStyle w:val="Heading2"/>
      </w:pPr>
      <w:bookmarkStart w:id="161" w:name="_Ref52279042"/>
      <w:bookmarkStart w:id="162" w:name="_Toc54690795"/>
      <w:r w:rsidRPr="002029AF">
        <w:lastRenderedPageBreak/>
        <w:t>Disability</w:t>
      </w:r>
      <w:r w:rsidR="000A5329" w:rsidRPr="002029AF">
        <w:t xml:space="preserve"> </w:t>
      </w:r>
      <w:r w:rsidRPr="002029AF">
        <w:t>action</w:t>
      </w:r>
      <w:r w:rsidR="000A5329" w:rsidRPr="002029AF">
        <w:t xml:space="preserve"> </w:t>
      </w:r>
      <w:r w:rsidRPr="002029AF">
        <w:t>plan</w:t>
      </w:r>
      <w:bookmarkEnd w:id="160"/>
      <w:bookmarkEnd w:id="161"/>
      <w:bookmarkEnd w:id="162"/>
    </w:p>
    <w:p w14:paraId="08C5DDCD" w14:textId="6EB339DD" w:rsidR="00CF72D5" w:rsidRPr="002029AF" w:rsidRDefault="00CF72D5" w:rsidP="00897193">
      <w:pPr>
        <w:pStyle w:val="ARbody"/>
      </w:pPr>
      <w:r w:rsidRPr="002029AF">
        <w:t>The</w:t>
      </w:r>
      <w:r w:rsidR="000A5329" w:rsidRPr="002029AF">
        <w:t xml:space="preserve"> </w:t>
      </w:r>
      <w:r w:rsidRPr="002029AF">
        <w:rPr>
          <w:i/>
        </w:rPr>
        <w:t>Disability</w:t>
      </w:r>
      <w:r w:rsidR="000A5329" w:rsidRPr="002029AF">
        <w:rPr>
          <w:i/>
        </w:rPr>
        <w:t xml:space="preserve"> </w:t>
      </w:r>
      <w:r w:rsidRPr="002029AF">
        <w:rPr>
          <w:i/>
        </w:rPr>
        <w:t>Act</w:t>
      </w:r>
      <w:r w:rsidR="000A5329" w:rsidRPr="002029AF">
        <w:rPr>
          <w:i/>
        </w:rPr>
        <w:t xml:space="preserve"> </w:t>
      </w:r>
      <w:r w:rsidRPr="002029AF">
        <w:rPr>
          <w:i/>
        </w:rPr>
        <w:t>2006</w:t>
      </w:r>
      <w:r w:rsidR="000A5329" w:rsidRPr="002029AF">
        <w:t xml:space="preserve"> </w:t>
      </w:r>
      <w:r w:rsidRPr="002029AF">
        <w:t>requires</w:t>
      </w:r>
      <w:r w:rsidR="000A5329" w:rsidRPr="002029AF">
        <w:t xml:space="preserve"> </w:t>
      </w:r>
      <w:r w:rsidRPr="002029AF">
        <w:t>Victorian</w:t>
      </w:r>
      <w:r w:rsidR="000A5329" w:rsidRPr="002029AF">
        <w:t xml:space="preserve"> </w:t>
      </w:r>
      <w:r w:rsidRPr="002029AF">
        <w:t>agencies</w:t>
      </w:r>
      <w:r w:rsidR="000A5329" w:rsidRPr="002029AF">
        <w:t xml:space="preserve"> </w:t>
      </w:r>
      <w:r w:rsidRPr="002029AF">
        <w:t>to</w:t>
      </w:r>
      <w:r w:rsidR="000A5329" w:rsidRPr="002029AF">
        <w:t xml:space="preserve"> </w:t>
      </w:r>
      <w:r w:rsidRPr="002029AF">
        <w:t>develop</w:t>
      </w:r>
      <w:r w:rsidR="000A5329" w:rsidRPr="002029AF">
        <w:t xml:space="preserve"> </w:t>
      </w:r>
      <w:r w:rsidRPr="002029AF">
        <w:t>a</w:t>
      </w:r>
      <w:r w:rsidR="000A5329" w:rsidRPr="002029AF">
        <w:t xml:space="preserve"> </w:t>
      </w:r>
      <w:r w:rsidRPr="002029AF">
        <w:t>disability</w:t>
      </w:r>
      <w:r w:rsidR="000A5329" w:rsidRPr="002029AF">
        <w:t xml:space="preserve"> </w:t>
      </w:r>
      <w:r w:rsidRPr="002029AF">
        <w:t>action</w:t>
      </w:r>
      <w:r w:rsidR="000A5329" w:rsidRPr="002029AF">
        <w:t xml:space="preserve"> </w:t>
      </w:r>
      <w:r w:rsidRPr="002029AF">
        <w:t>plan</w:t>
      </w:r>
      <w:r w:rsidR="000A5329" w:rsidRPr="002029AF">
        <w:t xml:space="preserve"> </w:t>
      </w:r>
      <w:r w:rsidRPr="002029AF">
        <w:t>to</w:t>
      </w:r>
      <w:r w:rsidR="000A5329" w:rsidRPr="002029AF">
        <w:t xml:space="preserve"> </w:t>
      </w:r>
      <w:r w:rsidRPr="002029AF">
        <w:t>reduce</w:t>
      </w:r>
      <w:r w:rsidR="000A5329" w:rsidRPr="002029AF">
        <w:t xml:space="preserve"> </w:t>
      </w:r>
      <w:r w:rsidRPr="002029AF">
        <w:t>barriers</w:t>
      </w:r>
      <w:r w:rsidR="000A5329" w:rsidRPr="002029AF">
        <w:t xml:space="preserve"> </w:t>
      </w:r>
      <w:r w:rsidRPr="002029AF">
        <w:t>and</w:t>
      </w:r>
      <w:r w:rsidR="000A5329" w:rsidRPr="002029AF">
        <w:t xml:space="preserve"> </w:t>
      </w:r>
      <w:r w:rsidRPr="002029AF">
        <w:t>enhance</w:t>
      </w:r>
      <w:r w:rsidR="000A5329" w:rsidRPr="002029AF">
        <w:t xml:space="preserve"> </w:t>
      </w:r>
      <w:r w:rsidRPr="002029AF">
        <w:t>opportunities</w:t>
      </w:r>
      <w:r w:rsidR="000A5329" w:rsidRPr="002029AF">
        <w:t xml:space="preserve"> </w:t>
      </w:r>
      <w:r w:rsidRPr="002029AF">
        <w:t>for</w:t>
      </w:r>
      <w:r w:rsidR="000A5329" w:rsidRPr="002029AF">
        <w:t xml:space="preserve"> </w:t>
      </w:r>
      <w:r w:rsidRPr="002029AF">
        <w:t>people</w:t>
      </w:r>
      <w:r w:rsidR="000A5329" w:rsidRPr="002029AF">
        <w:t xml:space="preserve"> </w:t>
      </w:r>
      <w:r w:rsidRPr="002029AF">
        <w:t>with</w:t>
      </w:r>
      <w:r w:rsidR="000A5329" w:rsidRPr="002029AF">
        <w:t xml:space="preserve"> </w:t>
      </w:r>
      <w:r w:rsidRPr="002029AF">
        <w:t>disability.</w:t>
      </w:r>
    </w:p>
    <w:p w14:paraId="29DABCE4" w14:textId="0FE48DC5" w:rsidR="00CF72D5" w:rsidRPr="002029AF" w:rsidRDefault="00CF72D5" w:rsidP="00897193">
      <w:pPr>
        <w:pStyle w:val="ARbody"/>
      </w:pPr>
      <w:r w:rsidRPr="002029AF">
        <w:t>The</w:t>
      </w:r>
      <w:r w:rsidR="000A5329" w:rsidRPr="002029AF">
        <w:t xml:space="preserve"> </w:t>
      </w:r>
      <w:r w:rsidRPr="002029AF">
        <w:t>inaugural</w:t>
      </w:r>
      <w:r w:rsidR="000A5329" w:rsidRPr="002029AF">
        <w:t xml:space="preserve"> </w:t>
      </w:r>
      <w:r w:rsidRPr="002029AF">
        <w:rPr>
          <w:i/>
        </w:rPr>
        <w:t>Department</w:t>
      </w:r>
      <w:r w:rsidR="000A5329" w:rsidRPr="002029AF">
        <w:rPr>
          <w:i/>
        </w:rPr>
        <w:t xml:space="preserve"> </w:t>
      </w:r>
      <w:r w:rsidRPr="002029AF">
        <w:rPr>
          <w:i/>
        </w:rPr>
        <w:t>of</w:t>
      </w:r>
      <w:r w:rsidR="000A5329" w:rsidRPr="002029AF">
        <w:rPr>
          <w:i/>
        </w:rPr>
        <w:t xml:space="preserve"> </w:t>
      </w:r>
      <w:r w:rsidRPr="002029AF">
        <w:rPr>
          <w:i/>
        </w:rPr>
        <w:t>Health</w:t>
      </w:r>
      <w:r w:rsidR="000A5329" w:rsidRPr="002029AF">
        <w:rPr>
          <w:i/>
        </w:rPr>
        <w:t xml:space="preserve"> </w:t>
      </w:r>
      <w:r w:rsidRPr="002029AF">
        <w:rPr>
          <w:i/>
        </w:rPr>
        <w:t>and</w:t>
      </w:r>
      <w:r w:rsidR="000A5329" w:rsidRPr="002029AF">
        <w:rPr>
          <w:i/>
        </w:rPr>
        <w:t xml:space="preserve"> </w:t>
      </w:r>
      <w:r w:rsidRPr="002029AF">
        <w:rPr>
          <w:i/>
        </w:rPr>
        <w:t>Human</w:t>
      </w:r>
      <w:r w:rsidR="006F2C99" w:rsidRPr="002029AF">
        <w:rPr>
          <w:i/>
        </w:rPr>
        <w:t> </w:t>
      </w:r>
      <w:r w:rsidRPr="002029AF">
        <w:rPr>
          <w:i/>
        </w:rPr>
        <w:t>Services</w:t>
      </w:r>
      <w:r w:rsidR="000A5329" w:rsidRPr="002029AF">
        <w:rPr>
          <w:i/>
        </w:rPr>
        <w:t xml:space="preserve"> </w:t>
      </w:r>
      <w:r w:rsidRPr="002029AF">
        <w:rPr>
          <w:i/>
        </w:rPr>
        <w:t>disability</w:t>
      </w:r>
      <w:r w:rsidR="000A5329" w:rsidRPr="002029AF">
        <w:rPr>
          <w:i/>
        </w:rPr>
        <w:t xml:space="preserve"> </w:t>
      </w:r>
      <w:r w:rsidRPr="002029AF">
        <w:rPr>
          <w:i/>
        </w:rPr>
        <w:t>action</w:t>
      </w:r>
      <w:r w:rsidR="000A5329" w:rsidRPr="002029AF">
        <w:rPr>
          <w:i/>
        </w:rPr>
        <w:t xml:space="preserve"> </w:t>
      </w:r>
      <w:r w:rsidRPr="002029AF">
        <w:rPr>
          <w:i/>
        </w:rPr>
        <w:t>plan</w:t>
      </w:r>
      <w:r w:rsidR="000A5329" w:rsidRPr="002029AF">
        <w:rPr>
          <w:i/>
        </w:rPr>
        <w:t xml:space="preserve"> </w:t>
      </w:r>
      <w:r w:rsidRPr="002029AF">
        <w:rPr>
          <w:i/>
        </w:rPr>
        <w:t>2018–2020</w:t>
      </w:r>
      <w:r w:rsidR="000A5329" w:rsidRPr="002029AF">
        <w:rPr>
          <w:i/>
        </w:rPr>
        <w:t xml:space="preserve"> </w:t>
      </w:r>
      <w:r w:rsidRPr="002029AF">
        <w:t>(the</w:t>
      </w:r>
      <w:r w:rsidR="000A5329" w:rsidRPr="002029AF">
        <w:t xml:space="preserve"> </w:t>
      </w:r>
      <w:r w:rsidRPr="002029AF">
        <w:t>plan)</w:t>
      </w:r>
      <w:r w:rsidR="000A5329" w:rsidRPr="002029AF">
        <w:t xml:space="preserve"> </w:t>
      </w:r>
      <w:r w:rsidRPr="002029AF">
        <w:t>sets</w:t>
      </w:r>
      <w:r w:rsidR="000A5329" w:rsidRPr="002029AF">
        <w:t xml:space="preserve"> </w:t>
      </w:r>
      <w:r w:rsidRPr="002029AF">
        <w:t>the</w:t>
      </w:r>
      <w:r w:rsidR="000A5329" w:rsidRPr="002029AF">
        <w:t xml:space="preserve"> </w:t>
      </w:r>
      <w:r w:rsidRPr="002029AF">
        <w:t>standard</w:t>
      </w:r>
      <w:r w:rsidR="000A5329" w:rsidRPr="002029AF">
        <w:t xml:space="preserve"> </w:t>
      </w:r>
      <w:r w:rsidRPr="002029AF">
        <w:t>for</w:t>
      </w:r>
      <w:r w:rsidR="000A5329" w:rsidRPr="002029AF">
        <w:t xml:space="preserve"> </w:t>
      </w:r>
      <w:r w:rsidRPr="002029AF">
        <w:t>how</w:t>
      </w:r>
      <w:r w:rsidR="000A5329" w:rsidRPr="002029AF">
        <w:t xml:space="preserve"> </w:t>
      </w:r>
      <w:r w:rsidRPr="002029AF">
        <w:t>we</w:t>
      </w:r>
      <w:r w:rsidR="000A5329" w:rsidRPr="002029AF">
        <w:t xml:space="preserve"> </w:t>
      </w:r>
      <w:r w:rsidRPr="002029AF">
        <w:t>want</w:t>
      </w:r>
      <w:r w:rsidR="000A5329" w:rsidRPr="002029AF">
        <w:t xml:space="preserve"> </w:t>
      </w:r>
      <w:r w:rsidRPr="002029AF">
        <w:t>to</w:t>
      </w:r>
      <w:r w:rsidR="000A5329" w:rsidRPr="002029AF">
        <w:t xml:space="preserve"> </w:t>
      </w:r>
      <w:r w:rsidRPr="002029AF">
        <w:t>operate</w:t>
      </w:r>
      <w:r w:rsidR="000A5329" w:rsidRPr="002029AF">
        <w:t xml:space="preserve"> </w:t>
      </w:r>
      <w:r w:rsidRPr="002029AF">
        <w:t>as</w:t>
      </w:r>
      <w:r w:rsidR="000A5329" w:rsidRPr="002029AF">
        <w:t xml:space="preserve"> </w:t>
      </w:r>
      <w:r w:rsidRPr="002029AF">
        <w:t>a</w:t>
      </w:r>
      <w:r w:rsidR="000A5329" w:rsidRPr="002029AF">
        <w:t xml:space="preserve"> </w:t>
      </w:r>
      <w:r w:rsidRPr="002029AF">
        <w:t>truly</w:t>
      </w:r>
      <w:r w:rsidR="000A5329" w:rsidRPr="002029AF">
        <w:t xml:space="preserve"> </w:t>
      </w:r>
      <w:r w:rsidRPr="002029AF">
        <w:t>inclusive</w:t>
      </w:r>
      <w:r w:rsidR="000A5329" w:rsidRPr="002029AF">
        <w:t xml:space="preserve"> </w:t>
      </w:r>
      <w:r w:rsidRPr="002029AF">
        <w:t>work,</w:t>
      </w:r>
      <w:r w:rsidR="000A5329" w:rsidRPr="002029AF">
        <w:t xml:space="preserve"> </w:t>
      </w:r>
      <w:r w:rsidRPr="002029AF">
        <w:t>policy,</w:t>
      </w:r>
      <w:r w:rsidR="000A5329" w:rsidRPr="002029AF">
        <w:t xml:space="preserve"> </w:t>
      </w:r>
      <w:r w:rsidRPr="002029AF">
        <w:t>and</w:t>
      </w:r>
      <w:r w:rsidR="000A5329" w:rsidRPr="002029AF">
        <w:t xml:space="preserve"> </w:t>
      </w:r>
      <w:r w:rsidRPr="002029AF">
        <w:t>service</w:t>
      </w:r>
      <w:r w:rsidR="000A5329" w:rsidRPr="002029AF">
        <w:t xml:space="preserve"> </w:t>
      </w:r>
      <w:r w:rsidRPr="002029AF">
        <w:t>environment.</w:t>
      </w:r>
      <w:r w:rsidR="000A5329" w:rsidRPr="002029AF">
        <w:t xml:space="preserve"> </w:t>
      </w:r>
      <w:r w:rsidRPr="002029AF">
        <w:t>The</w:t>
      </w:r>
      <w:r w:rsidR="000A5329" w:rsidRPr="002029AF">
        <w:t xml:space="preserve"> </w:t>
      </w:r>
      <w:r w:rsidRPr="002029AF">
        <w:t>plan</w:t>
      </w:r>
      <w:r w:rsidR="000A5329" w:rsidRPr="002029AF">
        <w:t xml:space="preserve"> </w:t>
      </w:r>
      <w:r w:rsidRPr="002029AF">
        <w:t>provides</w:t>
      </w:r>
      <w:r w:rsidR="000A5329" w:rsidRPr="002029AF">
        <w:t xml:space="preserve"> </w:t>
      </w:r>
      <w:r w:rsidRPr="002029AF">
        <w:t>a</w:t>
      </w:r>
      <w:r w:rsidR="000A5329" w:rsidRPr="002029AF">
        <w:t xml:space="preserve"> </w:t>
      </w:r>
      <w:r w:rsidRPr="002029AF">
        <w:t>three-year</w:t>
      </w:r>
      <w:r w:rsidR="000A5329" w:rsidRPr="002029AF">
        <w:t xml:space="preserve"> </w:t>
      </w:r>
      <w:r w:rsidRPr="002029AF">
        <w:t>framework</w:t>
      </w:r>
      <w:r w:rsidR="000A5329" w:rsidRPr="002029AF">
        <w:t xml:space="preserve"> </w:t>
      </w:r>
      <w:r w:rsidRPr="002029AF">
        <w:t>for</w:t>
      </w:r>
      <w:r w:rsidR="000A5329" w:rsidRPr="002029AF">
        <w:t xml:space="preserve"> </w:t>
      </w:r>
      <w:r w:rsidRPr="002029AF">
        <w:t>change,</w:t>
      </w:r>
      <w:r w:rsidR="000A5329" w:rsidRPr="002029AF">
        <w:t xml:space="preserve"> </w:t>
      </w:r>
      <w:r w:rsidRPr="002029AF">
        <w:t>with</w:t>
      </w:r>
      <w:r w:rsidR="000A5329" w:rsidRPr="002029AF">
        <w:t xml:space="preserve"> </w:t>
      </w:r>
      <w:r w:rsidRPr="002029AF">
        <w:t>publicly</w:t>
      </w:r>
      <w:r w:rsidR="000A5329" w:rsidRPr="002029AF">
        <w:t xml:space="preserve"> </w:t>
      </w:r>
      <w:r w:rsidRPr="002029AF">
        <w:t>available</w:t>
      </w:r>
      <w:r w:rsidR="000A5329" w:rsidRPr="002029AF">
        <w:t xml:space="preserve"> </w:t>
      </w:r>
      <w:r w:rsidRPr="002029AF">
        <w:t>annual</w:t>
      </w:r>
      <w:r w:rsidR="000A5329" w:rsidRPr="002029AF">
        <w:t xml:space="preserve"> </w:t>
      </w:r>
      <w:r w:rsidRPr="002029AF">
        <w:t>implementation</w:t>
      </w:r>
      <w:r w:rsidR="000A5329" w:rsidRPr="002029AF">
        <w:t xml:space="preserve"> </w:t>
      </w:r>
      <w:r w:rsidRPr="002029AF">
        <w:t>plans</w:t>
      </w:r>
      <w:r w:rsidR="000A5329" w:rsidRPr="002029AF">
        <w:t xml:space="preserve"> </w:t>
      </w:r>
      <w:r w:rsidRPr="002029AF">
        <w:t>aligned</w:t>
      </w:r>
      <w:r w:rsidR="000A5329" w:rsidRPr="002029AF">
        <w:t xml:space="preserve"> </w:t>
      </w:r>
      <w:r w:rsidRPr="002029AF">
        <w:t>to</w:t>
      </w:r>
      <w:r w:rsidR="000A5329" w:rsidRPr="002029AF">
        <w:t xml:space="preserve"> </w:t>
      </w:r>
      <w:r w:rsidRPr="002029AF">
        <w:t>financial</w:t>
      </w:r>
      <w:r w:rsidR="000A5329" w:rsidRPr="002029AF">
        <w:t xml:space="preserve"> </w:t>
      </w:r>
      <w:r w:rsidRPr="002029AF">
        <w:t>years,</w:t>
      </w:r>
      <w:r w:rsidR="000A5329" w:rsidRPr="002029AF">
        <w:t xml:space="preserve"> </w:t>
      </w:r>
      <w:r w:rsidRPr="002029AF">
        <w:t>to</w:t>
      </w:r>
      <w:r w:rsidR="000A5329" w:rsidRPr="002029AF">
        <w:t xml:space="preserve"> </w:t>
      </w:r>
      <w:r w:rsidRPr="002029AF">
        <w:t>maintain</w:t>
      </w:r>
      <w:r w:rsidR="000A5329" w:rsidRPr="002029AF">
        <w:t xml:space="preserve"> </w:t>
      </w:r>
      <w:r w:rsidRPr="002029AF">
        <w:t>momentum.</w:t>
      </w:r>
      <w:r w:rsidR="000A5329" w:rsidRPr="002029AF">
        <w:t xml:space="preserve"> </w:t>
      </w:r>
      <w:r w:rsidRPr="002029AF">
        <w:t>The</w:t>
      </w:r>
      <w:r w:rsidR="000A5329" w:rsidRPr="002029AF">
        <w:t xml:space="preserve"> </w:t>
      </w:r>
      <w:r w:rsidRPr="002029AF">
        <w:rPr>
          <w:i/>
        </w:rPr>
        <w:t>Department</w:t>
      </w:r>
      <w:r w:rsidR="000A5329" w:rsidRPr="002029AF">
        <w:rPr>
          <w:i/>
        </w:rPr>
        <w:t xml:space="preserve"> </w:t>
      </w:r>
      <w:r w:rsidRPr="002029AF">
        <w:rPr>
          <w:i/>
        </w:rPr>
        <w:t>of</w:t>
      </w:r>
      <w:r w:rsidR="000A5329" w:rsidRPr="002029AF">
        <w:rPr>
          <w:i/>
        </w:rPr>
        <w:t xml:space="preserve"> </w:t>
      </w:r>
      <w:r w:rsidRPr="002029AF">
        <w:rPr>
          <w:i/>
        </w:rPr>
        <w:t>Health</w:t>
      </w:r>
      <w:r w:rsidR="000A5329" w:rsidRPr="002029AF">
        <w:rPr>
          <w:i/>
        </w:rPr>
        <w:t xml:space="preserve"> </w:t>
      </w:r>
      <w:r w:rsidRPr="002029AF">
        <w:rPr>
          <w:i/>
        </w:rPr>
        <w:t>and</w:t>
      </w:r>
      <w:r w:rsidR="000A5329" w:rsidRPr="002029AF">
        <w:rPr>
          <w:i/>
        </w:rPr>
        <w:t xml:space="preserve"> </w:t>
      </w:r>
      <w:r w:rsidRPr="002029AF">
        <w:rPr>
          <w:i/>
        </w:rPr>
        <w:t>Human</w:t>
      </w:r>
      <w:r w:rsidR="000A5329" w:rsidRPr="002029AF">
        <w:rPr>
          <w:i/>
        </w:rPr>
        <w:t xml:space="preserve"> </w:t>
      </w:r>
      <w:r w:rsidRPr="002029AF">
        <w:rPr>
          <w:i/>
        </w:rPr>
        <w:t>Services</w:t>
      </w:r>
      <w:r w:rsidR="000A5329" w:rsidRPr="002029AF">
        <w:rPr>
          <w:i/>
        </w:rPr>
        <w:t xml:space="preserve"> </w:t>
      </w:r>
      <w:r w:rsidRPr="002029AF">
        <w:rPr>
          <w:i/>
        </w:rPr>
        <w:t>disability</w:t>
      </w:r>
      <w:r w:rsidR="000A5329" w:rsidRPr="002029AF">
        <w:rPr>
          <w:i/>
        </w:rPr>
        <w:t xml:space="preserve"> </w:t>
      </w:r>
      <w:r w:rsidRPr="002029AF">
        <w:rPr>
          <w:i/>
        </w:rPr>
        <w:t>action</w:t>
      </w:r>
      <w:r w:rsidR="000A5329" w:rsidRPr="002029AF">
        <w:rPr>
          <w:i/>
        </w:rPr>
        <w:t xml:space="preserve"> </w:t>
      </w:r>
      <w:r w:rsidRPr="002029AF">
        <w:rPr>
          <w:i/>
        </w:rPr>
        <w:t>plan</w:t>
      </w:r>
      <w:r w:rsidR="000A5329" w:rsidRPr="002029AF">
        <w:rPr>
          <w:i/>
        </w:rPr>
        <w:t xml:space="preserve"> </w:t>
      </w:r>
      <w:r w:rsidRPr="002029AF">
        <w:rPr>
          <w:i/>
        </w:rPr>
        <w:t>2018–2020:</w:t>
      </w:r>
      <w:r w:rsidR="000A5329" w:rsidRPr="002029AF">
        <w:rPr>
          <w:i/>
        </w:rPr>
        <w:t xml:space="preserve"> </w:t>
      </w:r>
      <w:r w:rsidRPr="002029AF">
        <w:rPr>
          <w:i/>
        </w:rPr>
        <w:t>2019–2020</w:t>
      </w:r>
      <w:r w:rsidR="000A5329" w:rsidRPr="002029AF">
        <w:rPr>
          <w:i/>
        </w:rPr>
        <w:t xml:space="preserve"> </w:t>
      </w:r>
      <w:r w:rsidRPr="002029AF">
        <w:rPr>
          <w:i/>
        </w:rPr>
        <w:t>implementation</w:t>
      </w:r>
      <w:r w:rsidR="000A5329" w:rsidRPr="002029AF">
        <w:rPr>
          <w:i/>
        </w:rPr>
        <w:t xml:space="preserve"> </w:t>
      </w:r>
      <w:r w:rsidRPr="002029AF">
        <w:rPr>
          <w:i/>
        </w:rPr>
        <w:t>plan</w:t>
      </w:r>
      <w:r w:rsidR="000A5329" w:rsidRPr="002029AF">
        <w:rPr>
          <w:i/>
        </w:rPr>
        <w:t xml:space="preserve"> </w:t>
      </w:r>
      <w:r w:rsidRPr="002029AF">
        <w:t>sets</w:t>
      </w:r>
      <w:r w:rsidR="000A5329" w:rsidRPr="002029AF">
        <w:t xml:space="preserve"> </w:t>
      </w:r>
      <w:r w:rsidRPr="002029AF">
        <w:t>out</w:t>
      </w:r>
      <w:r w:rsidR="000A5329" w:rsidRPr="002029AF">
        <w:t xml:space="preserve"> </w:t>
      </w:r>
      <w:r w:rsidRPr="002029AF">
        <w:t>year</w:t>
      </w:r>
      <w:r w:rsidR="000A5329" w:rsidRPr="002029AF">
        <w:t xml:space="preserve"> </w:t>
      </w:r>
      <w:r w:rsidR="00C5181C" w:rsidRPr="002029AF">
        <w:t>two</w:t>
      </w:r>
      <w:r w:rsidR="000A5329" w:rsidRPr="002029AF">
        <w:t xml:space="preserve"> </w:t>
      </w:r>
      <w:r w:rsidRPr="002029AF">
        <w:t>actions</w:t>
      </w:r>
      <w:r w:rsidR="000A5329" w:rsidRPr="002029AF">
        <w:t xml:space="preserve"> </w:t>
      </w:r>
      <w:r w:rsidRPr="002029AF">
        <w:t>and</w:t>
      </w:r>
      <w:r w:rsidR="000A5329" w:rsidRPr="002029AF">
        <w:t xml:space="preserve"> </w:t>
      </w:r>
      <w:r w:rsidRPr="002029AF">
        <w:t>includes</w:t>
      </w:r>
      <w:r w:rsidR="000A5329" w:rsidRPr="002029AF">
        <w:t xml:space="preserve"> </w:t>
      </w:r>
      <w:r w:rsidRPr="002029AF">
        <w:t>progress</w:t>
      </w:r>
      <w:r w:rsidR="000A5329" w:rsidRPr="002029AF">
        <w:t xml:space="preserve"> </w:t>
      </w:r>
      <w:r w:rsidRPr="002029AF">
        <w:t>reports</w:t>
      </w:r>
      <w:r w:rsidR="000A5329" w:rsidRPr="002029AF">
        <w:t xml:space="preserve"> </w:t>
      </w:r>
      <w:r w:rsidRPr="002029AF">
        <w:t>against</w:t>
      </w:r>
      <w:r w:rsidR="000A5329" w:rsidRPr="002029AF">
        <w:t xml:space="preserve"> </w:t>
      </w:r>
      <w:r w:rsidRPr="002029AF">
        <w:t>2018–19</w:t>
      </w:r>
      <w:r w:rsidR="000A5329" w:rsidRPr="002029AF">
        <w:t xml:space="preserve"> </w:t>
      </w:r>
      <w:r w:rsidRPr="002029AF">
        <w:t>implementation</w:t>
      </w:r>
      <w:r w:rsidR="000A5329" w:rsidRPr="002029AF">
        <w:t xml:space="preserve"> </w:t>
      </w:r>
      <w:r w:rsidRPr="002029AF">
        <w:t>plan</w:t>
      </w:r>
      <w:r w:rsidR="000A5329" w:rsidRPr="002029AF">
        <w:t xml:space="preserve"> </w:t>
      </w:r>
      <w:r w:rsidRPr="002029AF">
        <w:t>(year</w:t>
      </w:r>
      <w:r w:rsidR="000A5329" w:rsidRPr="002029AF">
        <w:t xml:space="preserve"> </w:t>
      </w:r>
      <w:r w:rsidR="00EE1D0D" w:rsidRPr="002029AF">
        <w:t>one</w:t>
      </w:r>
      <w:r w:rsidRPr="002029AF">
        <w:t>)</w:t>
      </w:r>
      <w:r w:rsidR="000A5329" w:rsidRPr="002029AF">
        <w:t xml:space="preserve"> </w:t>
      </w:r>
      <w:r w:rsidRPr="002029AF">
        <w:t>actions.</w:t>
      </w:r>
    </w:p>
    <w:p w14:paraId="478D523E" w14:textId="4083BB21" w:rsidR="00CF72D5" w:rsidRPr="002029AF" w:rsidRDefault="00CF72D5" w:rsidP="00897193">
      <w:pPr>
        <w:pStyle w:val="ARbody"/>
      </w:pP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had</w:t>
      </w:r>
      <w:r w:rsidR="000A5329" w:rsidRPr="002029AF">
        <w:t xml:space="preserve"> </w:t>
      </w:r>
      <w:r w:rsidRPr="002029AF">
        <w:t>to</w:t>
      </w:r>
      <w:r w:rsidR="000A5329" w:rsidRPr="002029AF">
        <w:t xml:space="preserve"> </w:t>
      </w:r>
      <w:r w:rsidRPr="002029AF">
        <w:t>put</w:t>
      </w:r>
      <w:r w:rsidR="000A5329" w:rsidRPr="002029AF">
        <w:t xml:space="preserve"> </w:t>
      </w:r>
      <w:r w:rsidRPr="002029AF">
        <w:t>disability</w:t>
      </w:r>
      <w:r w:rsidR="000A5329" w:rsidRPr="002029AF">
        <w:t xml:space="preserve"> </w:t>
      </w:r>
      <w:r w:rsidRPr="002029AF">
        <w:t>action</w:t>
      </w:r>
      <w:r w:rsidR="000A5329" w:rsidRPr="002029AF">
        <w:t xml:space="preserve"> </w:t>
      </w:r>
      <w:r w:rsidRPr="002029AF">
        <w:t>plan</w:t>
      </w:r>
      <w:r w:rsidR="000A5329" w:rsidRPr="002029AF">
        <w:t xml:space="preserve"> </w:t>
      </w:r>
      <w:r w:rsidRPr="002029AF">
        <w:t>reporting</w:t>
      </w:r>
      <w:r w:rsidR="000A5329" w:rsidRPr="002029AF">
        <w:t xml:space="preserve"> </w:t>
      </w:r>
      <w:r w:rsidRPr="002029AF">
        <w:t>on</w:t>
      </w:r>
      <w:r w:rsidR="000A5329" w:rsidRPr="002029AF">
        <w:t xml:space="preserve"> </w:t>
      </w:r>
      <w:r w:rsidRPr="002029AF">
        <w:t>hold</w:t>
      </w:r>
      <w:r w:rsidR="000A5329" w:rsidRPr="002029AF">
        <w:t xml:space="preserve"> </w:t>
      </w:r>
      <w:r w:rsidRPr="002029AF">
        <w:t>to</w:t>
      </w:r>
      <w:r w:rsidR="000A5329" w:rsidRPr="002029AF">
        <w:t xml:space="preserve"> </w:t>
      </w:r>
      <w:r w:rsidRPr="002029AF">
        <w:t>focus</w:t>
      </w:r>
      <w:r w:rsidR="000A5329" w:rsidRPr="002029AF">
        <w:t xml:space="preserve"> </w:t>
      </w:r>
      <w:r w:rsidRPr="002029AF">
        <w:t>its</w:t>
      </w:r>
      <w:r w:rsidR="000A5329" w:rsidRPr="002029AF">
        <w:t xml:space="preserve"> </w:t>
      </w:r>
      <w:r w:rsidRPr="002029AF">
        <w:t>effort</w:t>
      </w:r>
      <w:r w:rsidR="000A5329" w:rsidRPr="002029AF">
        <w:t xml:space="preserve"> </w:t>
      </w:r>
      <w:r w:rsidRPr="002029AF">
        <w:t>on</w:t>
      </w:r>
      <w:r w:rsidR="000A5329" w:rsidRPr="002029AF">
        <w:t xml:space="preserve"> </w:t>
      </w:r>
      <w:r w:rsidRPr="002029AF">
        <w:t>the</w:t>
      </w:r>
      <w:r w:rsidR="000A5329" w:rsidRPr="002029AF">
        <w:t xml:space="preserve"> </w:t>
      </w:r>
      <w:r w:rsidRPr="002029AF">
        <w:t>needs</w:t>
      </w:r>
      <w:r w:rsidR="000A5329" w:rsidRPr="002029AF">
        <w:t xml:space="preserve"> </w:t>
      </w:r>
      <w:r w:rsidRPr="002029AF">
        <w:t>of</w:t>
      </w:r>
      <w:r w:rsidR="000A5329" w:rsidRPr="002029AF">
        <w:t xml:space="preserve"> </w:t>
      </w:r>
      <w:r w:rsidRPr="002029AF">
        <w:t>people</w:t>
      </w:r>
      <w:r w:rsidR="000A5329" w:rsidRPr="002029AF">
        <w:t xml:space="preserve"> </w:t>
      </w:r>
      <w:r w:rsidRPr="002029AF">
        <w:t>with</w:t>
      </w:r>
      <w:r w:rsidR="000A5329" w:rsidRPr="002029AF">
        <w:t xml:space="preserve"> </w:t>
      </w:r>
      <w:r w:rsidRPr="002029AF">
        <w:t>disability</w:t>
      </w:r>
      <w:r w:rsidR="000A5329" w:rsidRPr="002029AF">
        <w:t xml:space="preserve"> </w:t>
      </w:r>
      <w:r w:rsidRPr="002029AF">
        <w:t>during</w:t>
      </w:r>
      <w:r w:rsidR="000A5329" w:rsidRPr="002029AF">
        <w:t xml:space="preserve"> </w:t>
      </w:r>
      <w:r w:rsidRPr="002029AF">
        <w:t>the</w:t>
      </w:r>
      <w:r w:rsidR="000A5329" w:rsidRPr="002029AF">
        <w:t xml:space="preserve"> </w:t>
      </w:r>
      <w:r w:rsidRPr="002029AF">
        <w:t>COVID-19</w:t>
      </w:r>
      <w:r w:rsidR="000A5329" w:rsidRPr="002029AF">
        <w:t xml:space="preserve"> </w:t>
      </w:r>
      <w:r w:rsidRPr="002029AF">
        <w:t>public</w:t>
      </w:r>
      <w:r w:rsidR="000A5329" w:rsidRPr="002029AF">
        <w:t xml:space="preserve"> </w:t>
      </w:r>
      <w:r w:rsidRPr="002029AF">
        <w:t>health</w:t>
      </w:r>
      <w:r w:rsidR="000A5329" w:rsidRPr="002029AF">
        <w:t xml:space="preserve"> </w:t>
      </w:r>
      <w:r w:rsidRPr="002029AF">
        <w:t>emergency.</w:t>
      </w:r>
      <w:r w:rsidR="000A5329" w:rsidRPr="002029AF">
        <w:t xml:space="preserve"> </w:t>
      </w:r>
      <w:r w:rsidRPr="002029AF">
        <w:t>However,</w:t>
      </w:r>
      <w:r w:rsidR="000A5329" w:rsidRPr="002029AF">
        <w:t xml:space="preserve"> </w:t>
      </w:r>
      <w:r w:rsidRPr="002029AF">
        <w:t>many</w:t>
      </w:r>
      <w:r w:rsidR="000A5329" w:rsidRPr="002029AF">
        <w:t xml:space="preserve"> </w:t>
      </w:r>
      <w:r w:rsidRPr="002029AF">
        <w:t>of</w:t>
      </w:r>
      <w:r w:rsidR="000A5329" w:rsidRPr="002029AF">
        <w:t xml:space="preserve"> </w:t>
      </w:r>
      <w:r w:rsidRPr="002029AF">
        <w:t>the</w:t>
      </w:r>
      <w:r w:rsidR="000A5329" w:rsidRPr="002029AF">
        <w:t xml:space="preserve"> </w:t>
      </w:r>
      <w:r w:rsidRPr="002029AF">
        <w:t>disability</w:t>
      </w:r>
      <w:r w:rsidR="000A5329" w:rsidRPr="002029AF">
        <w:t xml:space="preserve"> </w:t>
      </w:r>
      <w:r w:rsidRPr="002029AF">
        <w:t>action</w:t>
      </w:r>
      <w:r w:rsidR="000A5329" w:rsidRPr="002029AF">
        <w:t xml:space="preserve"> </w:t>
      </w:r>
      <w:r w:rsidRPr="002029AF">
        <w:t>plan</w:t>
      </w:r>
      <w:r w:rsidR="000A5329" w:rsidRPr="002029AF">
        <w:t xml:space="preserve"> </w:t>
      </w:r>
      <w:r w:rsidRPr="002029AF">
        <w:t>actions</w:t>
      </w:r>
      <w:r w:rsidR="000A5329" w:rsidRPr="002029AF">
        <w:t xml:space="preserve"> </w:t>
      </w:r>
      <w:r w:rsidRPr="002029AF">
        <w:t>have</w:t>
      </w:r>
      <w:r w:rsidR="000A5329" w:rsidRPr="002029AF">
        <w:t xml:space="preserve"> </w:t>
      </w:r>
      <w:r w:rsidRPr="002029AF">
        <w:t>continued</w:t>
      </w:r>
      <w:r w:rsidR="000A5329" w:rsidRPr="002029AF">
        <w:t xml:space="preserve"> </w:t>
      </w:r>
      <w:r w:rsidRPr="002029AF">
        <w:t>and/or</w:t>
      </w:r>
      <w:r w:rsidR="000A5329" w:rsidRPr="002029AF">
        <w:t xml:space="preserve"> </w:t>
      </w:r>
      <w:r w:rsidRPr="002029AF">
        <w:t>are</w:t>
      </w:r>
      <w:r w:rsidR="000A5329" w:rsidRPr="002029AF">
        <w:t xml:space="preserve"> </w:t>
      </w:r>
      <w:r w:rsidRPr="002029AF">
        <w:t>embedded</w:t>
      </w:r>
      <w:r w:rsidR="000A5329" w:rsidRPr="002029AF">
        <w:t xml:space="preserve"> </w:t>
      </w:r>
      <w:r w:rsidRPr="002029AF">
        <w:t>in</w:t>
      </w:r>
      <w:r w:rsidR="000A5329" w:rsidRPr="002029AF">
        <w:t xml:space="preserve"> </w:t>
      </w:r>
      <w:r w:rsidRPr="002029AF">
        <w:t>department</w:t>
      </w:r>
      <w:r w:rsidR="000A5329" w:rsidRPr="002029AF">
        <w:t xml:space="preserve"> </w:t>
      </w:r>
      <w:r w:rsidRPr="002029AF">
        <w:t>practice,</w:t>
      </w:r>
      <w:r w:rsidR="000A5329" w:rsidRPr="002029AF">
        <w:t xml:space="preserve"> </w:t>
      </w:r>
      <w:r w:rsidRPr="002029AF">
        <w:t>such</w:t>
      </w:r>
      <w:r w:rsidR="000A5329" w:rsidRPr="002029AF">
        <w:t xml:space="preserve"> </w:t>
      </w:r>
      <w:r w:rsidRPr="002029AF">
        <w:t>as:</w:t>
      </w:r>
    </w:p>
    <w:p w14:paraId="1398DF15" w14:textId="195A6536" w:rsidR="00CF72D5" w:rsidRPr="002029AF" w:rsidRDefault="00CF72D5" w:rsidP="006F2C99">
      <w:pPr>
        <w:pStyle w:val="ARbullet1"/>
      </w:pPr>
      <w:r w:rsidRPr="002029AF">
        <w:t>the</w:t>
      </w:r>
      <w:r w:rsidR="000A5329" w:rsidRPr="002029AF">
        <w:t xml:space="preserve"> </w:t>
      </w:r>
      <w:r w:rsidRPr="002029AF">
        <w:t>extension</w:t>
      </w:r>
      <w:r w:rsidR="000A5329" w:rsidRPr="002029AF">
        <w:t xml:space="preserve"> </w:t>
      </w:r>
      <w:r w:rsidRPr="002029AF">
        <w:t>of</w:t>
      </w:r>
      <w:r w:rsidR="000A5329" w:rsidRPr="002029AF">
        <w:t xml:space="preserve"> </w:t>
      </w:r>
      <w:r w:rsidRPr="002029AF">
        <w:t>the</w:t>
      </w:r>
      <w:r w:rsidR="000A5329" w:rsidRPr="002029AF">
        <w:t xml:space="preserve"> </w:t>
      </w:r>
      <w:r w:rsidRPr="002029AF">
        <w:t>People</w:t>
      </w:r>
      <w:r w:rsidR="000A5329" w:rsidRPr="002029AF">
        <w:t xml:space="preserve"> </w:t>
      </w:r>
      <w:r w:rsidRPr="002029AF">
        <w:t>with</w:t>
      </w:r>
      <w:r w:rsidR="000A5329" w:rsidRPr="002029AF">
        <w:t xml:space="preserve"> </w:t>
      </w:r>
      <w:r w:rsidRPr="002029AF">
        <w:t>Disability</w:t>
      </w:r>
      <w:r w:rsidR="000A5329" w:rsidRPr="002029AF">
        <w:t xml:space="preserve"> </w:t>
      </w:r>
      <w:r w:rsidRPr="002029AF">
        <w:t>on</w:t>
      </w:r>
      <w:r w:rsidR="006F2C99" w:rsidRPr="002029AF">
        <w:t> </w:t>
      </w:r>
      <w:r w:rsidRPr="002029AF">
        <w:t>Victorian</w:t>
      </w:r>
      <w:r w:rsidR="000A5329" w:rsidRPr="002029AF">
        <w:t xml:space="preserve"> </w:t>
      </w:r>
      <w:r w:rsidRPr="002029AF">
        <w:t>Public</w:t>
      </w:r>
      <w:r w:rsidR="000A5329" w:rsidRPr="002029AF">
        <w:t xml:space="preserve"> </w:t>
      </w:r>
      <w:r w:rsidRPr="002029AF">
        <w:t>Sector</w:t>
      </w:r>
      <w:r w:rsidR="000A5329" w:rsidRPr="002029AF">
        <w:t xml:space="preserve"> </w:t>
      </w:r>
      <w:r w:rsidRPr="002029AF">
        <w:t>boards</w:t>
      </w:r>
      <w:r w:rsidR="000A5329" w:rsidRPr="002029AF">
        <w:t xml:space="preserve"> </w:t>
      </w:r>
      <w:r w:rsidRPr="002029AF">
        <w:t>initiative</w:t>
      </w:r>
    </w:p>
    <w:p w14:paraId="6AB2D1D6" w14:textId="3D9F4BAE" w:rsidR="00CF72D5" w:rsidRPr="002029AF" w:rsidRDefault="00CF72D5" w:rsidP="006F2C99">
      <w:pPr>
        <w:pStyle w:val="ARbullet1"/>
      </w:pPr>
      <w:r w:rsidRPr="002029AF">
        <w:t>initiatives</w:t>
      </w:r>
      <w:r w:rsidR="000A5329" w:rsidRPr="002029AF">
        <w:t xml:space="preserve"> </w:t>
      </w:r>
      <w:r w:rsidRPr="002029AF">
        <w:t>focussed</w:t>
      </w:r>
      <w:r w:rsidR="000A5329" w:rsidRPr="002029AF">
        <w:t xml:space="preserve"> </w:t>
      </w:r>
      <w:r w:rsidRPr="002029AF">
        <w:t>on</w:t>
      </w:r>
      <w:r w:rsidR="000A5329" w:rsidRPr="002029AF">
        <w:t xml:space="preserve"> </w:t>
      </w:r>
      <w:r w:rsidRPr="002029AF">
        <w:t>changing</w:t>
      </w:r>
      <w:r w:rsidR="000A5329" w:rsidRPr="002029AF">
        <w:t xml:space="preserve"> </w:t>
      </w:r>
      <w:r w:rsidRPr="002029AF">
        <w:t>community</w:t>
      </w:r>
      <w:r w:rsidR="000A5329" w:rsidRPr="002029AF">
        <w:t xml:space="preserve"> </w:t>
      </w:r>
      <w:r w:rsidRPr="002029AF">
        <w:t>attitudes</w:t>
      </w:r>
      <w:r w:rsidR="000A5329" w:rsidRPr="002029AF">
        <w:t xml:space="preserve"> </w:t>
      </w:r>
      <w:r w:rsidRPr="002029AF">
        <w:t>towards</w:t>
      </w:r>
      <w:r w:rsidR="000A5329" w:rsidRPr="002029AF">
        <w:t xml:space="preserve"> </w:t>
      </w:r>
      <w:r w:rsidRPr="002029AF">
        <w:t>disability</w:t>
      </w:r>
    </w:p>
    <w:p w14:paraId="7B1DE69F" w14:textId="26147333" w:rsidR="000A5329" w:rsidRPr="002029AF" w:rsidRDefault="00CF72D5" w:rsidP="006F2C99">
      <w:pPr>
        <w:pStyle w:val="ARbullet1"/>
      </w:pPr>
      <w:r w:rsidRPr="002029AF">
        <w:t>projects</w:t>
      </w:r>
      <w:r w:rsidR="000A5329" w:rsidRPr="002029AF">
        <w:t xml:space="preserve"> </w:t>
      </w:r>
      <w:r w:rsidRPr="002029AF">
        <w:t>aimed</w:t>
      </w:r>
      <w:r w:rsidR="000A5329" w:rsidRPr="002029AF">
        <w:t xml:space="preserve"> </w:t>
      </w:r>
      <w:r w:rsidRPr="002029AF">
        <w:t>at</w:t>
      </w:r>
      <w:r w:rsidR="000A5329" w:rsidRPr="002029AF">
        <w:t xml:space="preserve"> </w:t>
      </w:r>
      <w:r w:rsidRPr="002029AF">
        <w:t>supporting</w:t>
      </w:r>
      <w:r w:rsidR="000A5329" w:rsidRPr="002029AF">
        <w:t xml:space="preserve"> </w:t>
      </w:r>
      <w:r w:rsidRPr="002029AF">
        <w:t>LGBTIQ</w:t>
      </w:r>
      <w:r w:rsidR="000A5329" w:rsidRPr="002029AF">
        <w:t xml:space="preserve"> </w:t>
      </w:r>
      <w:r w:rsidRPr="002029AF">
        <w:t>people</w:t>
      </w:r>
      <w:r w:rsidR="000A5329" w:rsidRPr="002029AF">
        <w:t xml:space="preserve"> </w:t>
      </w:r>
      <w:r w:rsidRPr="002029AF">
        <w:t>with</w:t>
      </w:r>
      <w:r w:rsidR="000A5329" w:rsidRPr="002029AF">
        <w:t xml:space="preserve"> </w:t>
      </w:r>
      <w:r w:rsidRPr="002029AF">
        <w:t>disability.</w:t>
      </w:r>
    </w:p>
    <w:p w14:paraId="6439A20D" w14:textId="1B7B63DB" w:rsidR="00CF72D5" w:rsidRPr="002029AF" w:rsidRDefault="00CF72D5" w:rsidP="006F2C99">
      <w:pPr>
        <w:pStyle w:val="ARbodyafterbullets"/>
      </w:pPr>
      <w:r w:rsidRPr="002029AF">
        <w:t>To</w:t>
      </w:r>
      <w:r w:rsidR="000A5329" w:rsidRPr="002029AF">
        <w:t xml:space="preserve"> </w:t>
      </w:r>
      <w:r w:rsidRPr="002029AF">
        <w:t>find</w:t>
      </w:r>
      <w:r w:rsidR="000A5329" w:rsidRPr="002029AF">
        <w:t xml:space="preserve"> </w:t>
      </w:r>
      <w:r w:rsidRPr="002029AF">
        <w:t>out</w:t>
      </w:r>
      <w:r w:rsidR="000A5329" w:rsidRPr="002029AF">
        <w:t xml:space="preserve"> </w:t>
      </w:r>
      <w:r w:rsidRPr="002029AF">
        <w:t>more</w:t>
      </w:r>
      <w:r w:rsidR="000A5329" w:rsidRPr="002029AF">
        <w:t xml:space="preserve"> </w:t>
      </w:r>
      <w:r w:rsidRPr="002029AF">
        <w:t>and</w:t>
      </w:r>
      <w:r w:rsidR="000A5329" w:rsidRPr="002029AF">
        <w:t xml:space="preserve"> </w:t>
      </w:r>
      <w:r w:rsidRPr="002029AF">
        <w:t>access</w:t>
      </w:r>
      <w:r w:rsidR="000A5329" w:rsidRPr="002029AF">
        <w:t xml:space="preserve"> </w:t>
      </w:r>
      <w:r w:rsidRPr="002029AF">
        <w:t>annual</w:t>
      </w:r>
      <w:r w:rsidR="000A5329" w:rsidRPr="002029AF">
        <w:t xml:space="preserve"> </w:t>
      </w:r>
      <w:r w:rsidRPr="002029AF">
        <w:t>implementation</w:t>
      </w:r>
      <w:r w:rsidR="000A5329" w:rsidRPr="002029AF">
        <w:t xml:space="preserve"> </w:t>
      </w:r>
      <w:r w:rsidRPr="002029AF">
        <w:t>plans,</w:t>
      </w:r>
      <w:r w:rsidR="000A5329" w:rsidRPr="002029AF">
        <w:t xml:space="preserve"> </w:t>
      </w:r>
      <w:r w:rsidRPr="002029AF">
        <w:t>visit</w:t>
      </w:r>
      <w:r w:rsidR="000A5329" w:rsidRPr="002029AF">
        <w:t xml:space="preserve"> </w:t>
      </w:r>
      <w:r w:rsidRPr="002029AF">
        <w:t>the</w:t>
      </w:r>
      <w:r w:rsidR="000A5329" w:rsidRPr="002029AF">
        <w:t xml:space="preserve"> </w:t>
      </w:r>
      <w:r w:rsidRPr="00791FED">
        <w:t>department’s</w:t>
      </w:r>
      <w:r w:rsidR="000A5329" w:rsidRPr="00791FED">
        <w:t xml:space="preserve"> </w:t>
      </w:r>
      <w:r w:rsidRPr="00791FED">
        <w:t>website</w:t>
      </w:r>
      <w:r w:rsidRPr="002029AF">
        <w:t>:</w:t>
      </w:r>
      <w:r w:rsidR="000A5329" w:rsidRPr="002029AF">
        <w:t xml:space="preserve"> </w:t>
      </w:r>
      <w:hyperlink r:id="rId177" w:history="1">
        <w:r w:rsidR="00791FED" w:rsidRPr="00791FED">
          <w:rPr>
            <w:rStyle w:val="Hyperlink"/>
          </w:rPr>
          <w:t>Disability Action Plan 2018–2020</w:t>
        </w:r>
      </w:hyperlink>
      <w:r w:rsidR="00791FED">
        <w:t xml:space="preserve"> </w:t>
      </w:r>
      <w:r w:rsidRPr="002029AF">
        <w:t>&lt;https://www.dhhs.vic.gov.au/publications/disability-action-plan-2018-2020&gt;.</w:t>
      </w:r>
    </w:p>
    <w:p w14:paraId="3535BFD2" w14:textId="2D11CCEA" w:rsidR="00CF72D5" w:rsidRPr="002029AF" w:rsidRDefault="00CF72D5" w:rsidP="00897193">
      <w:pPr>
        <w:pStyle w:val="Heading2"/>
      </w:pPr>
      <w:bookmarkStart w:id="163" w:name="_Ref525207598"/>
      <w:bookmarkStart w:id="164" w:name="_Toc54690796"/>
      <w:r w:rsidRPr="002029AF">
        <w:t>Registered</w:t>
      </w:r>
      <w:r w:rsidR="000A5329" w:rsidRPr="002029AF">
        <w:t xml:space="preserve"> </w:t>
      </w:r>
      <w:r w:rsidRPr="002029AF">
        <w:t>disability</w:t>
      </w:r>
      <w:r w:rsidR="000A5329" w:rsidRPr="002029AF">
        <w:t xml:space="preserve"> </w:t>
      </w:r>
      <w:r w:rsidRPr="002029AF">
        <w:t>service</w:t>
      </w:r>
      <w:r w:rsidR="000A5329" w:rsidRPr="002029AF">
        <w:t xml:space="preserve"> </w:t>
      </w:r>
      <w:r w:rsidRPr="002029AF">
        <w:t>providers</w:t>
      </w:r>
      <w:r w:rsidR="000A5329" w:rsidRPr="002029AF">
        <w:t xml:space="preserve"> </w:t>
      </w:r>
      <w:r w:rsidRPr="002029AF">
        <w:t>and</w:t>
      </w:r>
      <w:r w:rsidR="000A5329" w:rsidRPr="002029AF">
        <w:t xml:space="preserve"> </w:t>
      </w:r>
      <w:r w:rsidRPr="002029AF">
        <w:t>community</w:t>
      </w:r>
      <w:r w:rsidR="000A5329" w:rsidRPr="002029AF">
        <w:t xml:space="preserve"> </w:t>
      </w:r>
      <w:r w:rsidRPr="002029AF">
        <w:t>service</w:t>
      </w:r>
      <w:r w:rsidR="000A5329" w:rsidRPr="002029AF">
        <w:t xml:space="preserve"> </w:t>
      </w:r>
      <w:r w:rsidRPr="002029AF">
        <w:t>organisations</w:t>
      </w:r>
      <w:bookmarkEnd w:id="163"/>
      <w:bookmarkEnd w:id="164"/>
    </w:p>
    <w:p w14:paraId="6A0CA1B8" w14:textId="1343A858" w:rsidR="00CF72D5" w:rsidRPr="002029AF" w:rsidRDefault="00CF72D5" w:rsidP="00897193">
      <w:pPr>
        <w:pStyle w:val="ARbody"/>
      </w:pPr>
      <w:r w:rsidRPr="002029AF">
        <w:t>Registration</w:t>
      </w:r>
      <w:r w:rsidR="000A5329" w:rsidRPr="002029AF">
        <w:t xml:space="preserve"> </w:t>
      </w:r>
      <w:r w:rsidRPr="002029AF">
        <w:t>under</w:t>
      </w:r>
      <w:r w:rsidR="000A5329" w:rsidRPr="002029AF">
        <w:t xml:space="preserve"> </w:t>
      </w:r>
      <w:r w:rsidRPr="002029AF">
        <w:t>the</w:t>
      </w:r>
      <w:r w:rsidR="000A5329" w:rsidRPr="002029AF">
        <w:t xml:space="preserve"> </w:t>
      </w:r>
      <w:r w:rsidRPr="002029AF">
        <w:rPr>
          <w:i/>
        </w:rPr>
        <w:t>Disability</w:t>
      </w:r>
      <w:r w:rsidR="000A5329" w:rsidRPr="002029AF">
        <w:rPr>
          <w:i/>
        </w:rPr>
        <w:t xml:space="preserve"> </w:t>
      </w:r>
      <w:r w:rsidRPr="002029AF">
        <w:rPr>
          <w:i/>
        </w:rPr>
        <w:t>Act</w:t>
      </w:r>
      <w:r w:rsidR="000A5329" w:rsidRPr="002029AF">
        <w:rPr>
          <w:i/>
        </w:rPr>
        <w:t xml:space="preserve"> </w:t>
      </w:r>
      <w:r w:rsidRPr="002029AF">
        <w:rPr>
          <w:i/>
        </w:rPr>
        <w:t>2006</w:t>
      </w:r>
      <w:r w:rsidR="000A5329" w:rsidRPr="002029AF">
        <w:t xml:space="preserve"> </w:t>
      </w:r>
      <w:r w:rsidRPr="002029AF">
        <w:t>and</w:t>
      </w:r>
      <w:r w:rsidR="000A5329" w:rsidRPr="002029AF">
        <w:t xml:space="preserve"> </w:t>
      </w:r>
      <w:r w:rsidRPr="002029AF">
        <w:t>the</w:t>
      </w:r>
      <w:r w:rsidR="000A5329" w:rsidRPr="002029AF">
        <w:t xml:space="preserve"> </w:t>
      </w:r>
      <w:r w:rsidRPr="002029AF">
        <w:rPr>
          <w:i/>
        </w:rPr>
        <w:t>Children,</w:t>
      </w:r>
      <w:r w:rsidR="000A5329" w:rsidRPr="002029AF">
        <w:rPr>
          <w:i/>
        </w:rPr>
        <w:t xml:space="preserve"> </w:t>
      </w:r>
      <w:r w:rsidRPr="002029AF">
        <w:rPr>
          <w:i/>
        </w:rPr>
        <w:t>Youth</w:t>
      </w:r>
      <w:r w:rsidR="000A5329" w:rsidRPr="002029AF">
        <w:rPr>
          <w:i/>
        </w:rPr>
        <w:t xml:space="preserve"> </w:t>
      </w:r>
      <w:r w:rsidRPr="002029AF">
        <w:rPr>
          <w:i/>
        </w:rPr>
        <w:t>and</w:t>
      </w:r>
      <w:r w:rsidR="000A5329" w:rsidRPr="002029AF">
        <w:rPr>
          <w:i/>
        </w:rPr>
        <w:t xml:space="preserve"> </w:t>
      </w:r>
      <w:r w:rsidRPr="002029AF">
        <w:rPr>
          <w:i/>
        </w:rPr>
        <w:t>Families</w:t>
      </w:r>
      <w:r w:rsidR="000A5329" w:rsidRPr="002029AF">
        <w:rPr>
          <w:i/>
        </w:rPr>
        <w:t xml:space="preserve"> </w:t>
      </w:r>
      <w:r w:rsidRPr="002029AF">
        <w:rPr>
          <w:i/>
        </w:rPr>
        <w:t>Act</w:t>
      </w:r>
      <w:r w:rsidR="000A5329" w:rsidRPr="002029AF">
        <w:rPr>
          <w:i/>
        </w:rPr>
        <w:t xml:space="preserve"> </w:t>
      </w:r>
      <w:r w:rsidRPr="002029AF">
        <w:rPr>
          <w:i/>
        </w:rPr>
        <w:t>2005</w:t>
      </w:r>
      <w:r w:rsidR="000A5329" w:rsidRPr="002029AF">
        <w:t xml:space="preserve"> </w:t>
      </w:r>
      <w:r w:rsidRPr="002029AF">
        <w:t>is</w:t>
      </w:r>
      <w:r w:rsidR="000A5329" w:rsidRPr="002029AF">
        <w:t xml:space="preserve"> </w:t>
      </w:r>
      <w:r w:rsidRPr="002029AF">
        <w:t>managed</w:t>
      </w:r>
      <w:r w:rsidR="000A5329" w:rsidRPr="002029AF">
        <w:t xml:space="preserve"> </w:t>
      </w:r>
      <w:r w:rsidRPr="002029AF">
        <w:t>by</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of</w:t>
      </w:r>
      <w:r w:rsidR="000A5329" w:rsidRPr="002029AF">
        <w:t xml:space="preserve"> </w:t>
      </w:r>
      <w:r w:rsidRPr="002029AF">
        <w:t>Health</w:t>
      </w:r>
      <w:r w:rsidR="000A5329" w:rsidRPr="002029AF">
        <w:t xml:space="preserve"> </w:t>
      </w:r>
      <w:r w:rsidRPr="002029AF">
        <w:t>and</w:t>
      </w:r>
      <w:r w:rsidR="000A5329" w:rsidRPr="002029AF">
        <w:t xml:space="preserve"> </w:t>
      </w:r>
      <w:r w:rsidRPr="002029AF">
        <w:t>Human</w:t>
      </w:r>
      <w:r w:rsidR="000A5329" w:rsidRPr="002029AF">
        <w:t xml:space="preserve"> </w:t>
      </w:r>
      <w:r w:rsidRPr="002029AF">
        <w:t>Services’</w:t>
      </w:r>
      <w:r w:rsidR="000A5329" w:rsidRPr="002029AF">
        <w:t xml:space="preserve"> </w:t>
      </w:r>
      <w:r w:rsidRPr="002029AF">
        <w:t>Human</w:t>
      </w:r>
      <w:r w:rsidR="000A5329" w:rsidRPr="002029AF">
        <w:t xml:space="preserve"> </w:t>
      </w:r>
      <w:r w:rsidRPr="002029AF">
        <w:t>Services</w:t>
      </w:r>
      <w:r w:rsidR="000A5329" w:rsidRPr="002029AF">
        <w:t xml:space="preserve"> </w:t>
      </w:r>
      <w:r w:rsidRPr="002029AF">
        <w:t>Regulator</w:t>
      </w:r>
      <w:r w:rsidR="000A5329" w:rsidRPr="002029AF">
        <w:t xml:space="preserve"> </w:t>
      </w:r>
      <w:r w:rsidRPr="002029AF">
        <w:t>unit,</w:t>
      </w:r>
      <w:r w:rsidR="000A5329" w:rsidRPr="002029AF">
        <w:t xml:space="preserve"> </w:t>
      </w:r>
      <w:r w:rsidRPr="002029AF">
        <w:t>which</w:t>
      </w:r>
      <w:r w:rsidR="000A5329" w:rsidRPr="002029AF">
        <w:t xml:space="preserve"> </w:t>
      </w:r>
      <w:r w:rsidRPr="002029AF">
        <w:t>acts</w:t>
      </w:r>
      <w:r w:rsidR="000A5329" w:rsidRPr="002029AF">
        <w:t xml:space="preserve"> </w:t>
      </w:r>
      <w:r w:rsidRPr="002029AF">
        <w:t>as</w:t>
      </w:r>
      <w:r w:rsidR="000A5329" w:rsidRPr="002029AF">
        <w:t xml:space="preserve"> </w:t>
      </w:r>
      <w:r w:rsidRPr="002029AF">
        <w:t>an</w:t>
      </w:r>
      <w:r w:rsidR="000A5329" w:rsidRPr="002029AF">
        <w:t xml:space="preserve"> </w:t>
      </w:r>
      <w:r w:rsidRPr="002029AF">
        <w:t>independent</w:t>
      </w:r>
      <w:r w:rsidR="000A5329" w:rsidRPr="002029AF">
        <w:t xml:space="preserve"> </w:t>
      </w:r>
      <w:r w:rsidRPr="002029AF">
        <w:t>regulator</w:t>
      </w:r>
      <w:r w:rsidR="000A5329" w:rsidRPr="002029AF">
        <w:t xml:space="preserve"> </w:t>
      </w:r>
      <w:r w:rsidRPr="002029AF">
        <w:t>within</w:t>
      </w:r>
      <w:r w:rsidR="000A5329" w:rsidRPr="002029AF">
        <w:t xml:space="preserve"> </w:t>
      </w:r>
      <w:r w:rsidRPr="002029AF">
        <w:t>the</w:t>
      </w:r>
      <w:r w:rsidR="000A5329" w:rsidRPr="002029AF">
        <w:t xml:space="preserve"> </w:t>
      </w:r>
      <w:r w:rsidRPr="002029AF">
        <w:t>department.</w:t>
      </w:r>
    </w:p>
    <w:p w14:paraId="01A50629" w14:textId="256756EA" w:rsidR="00CF72D5" w:rsidRPr="002029AF" w:rsidRDefault="00CF72D5" w:rsidP="00897193">
      <w:pPr>
        <w:pStyle w:val="ARbody"/>
      </w:pPr>
      <w:r w:rsidRPr="002029AF">
        <w:t>The</w:t>
      </w:r>
      <w:r w:rsidR="000A5329" w:rsidRPr="002029AF">
        <w:t xml:space="preserve"> </w:t>
      </w:r>
      <w:r w:rsidRPr="002029AF">
        <w:t>launch</w:t>
      </w:r>
      <w:r w:rsidR="000A5329" w:rsidRPr="002029AF">
        <w:t xml:space="preserve"> </w:t>
      </w:r>
      <w:r w:rsidRPr="002029AF">
        <w:t>of</w:t>
      </w:r>
      <w:r w:rsidR="000A5329" w:rsidRPr="002029AF">
        <w:t xml:space="preserve"> </w:t>
      </w:r>
      <w:r w:rsidRPr="002029AF">
        <w:t>the</w:t>
      </w:r>
      <w:r w:rsidR="000A5329" w:rsidRPr="002029AF">
        <w:t xml:space="preserve"> </w:t>
      </w:r>
      <w:r w:rsidRPr="002029AF">
        <w:t>National</w:t>
      </w:r>
      <w:r w:rsidR="000A5329" w:rsidRPr="002029AF">
        <w:t xml:space="preserve"> </w:t>
      </w:r>
      <w:r w:rsidRPr="002029AF">
        <w:t>Disability</w:t>
      </w:r>
      <w:r w:rsidR="000A5329" w:rsidRPr="002029AF">
        <w:t xml:space="preserve"> </w:t>
      </w:r>
      <w:r w:rsidRPr="002029AF">
        <w:t>Insurance</w:t>
      </w:r>
      <w:r w:rsidR="000A5329" w:rsidRPr="002029AF">
        <w:t xml:space="preserve"> </w:t>
      </w:r>
      <w:r w:rsidRPr="002029AF">
        <w:t>Scheme</w:t>
      </w:r>
      <w:r w:rsidR="000A5329" w:rsidRPr="002029AF">
        <w:t xml:space="preserve"> </w:t>
      </w:r>
      <w:r w:rsidRPr="002029AF">
        <w:t>saw</w:t>
      </w:r>
      <w:r w:rsidR="000A5329" w:rsidRPr="002029AF">
        <w:t xml:space="preserve"> </w:t>
      </w:r>
      <w:r w:rsidRPr="002029AF">
        <w:t>an</w:t>
      </w:r>
      <w:r w:rsidR="000A5329" w:rsidRPr="002029AF">
        <w:t xml:space="preserve"> </w:t>
      </w:r>
      <w:r w:rsidRPr="002029AF">
        <w:t>agreement</w:t>
      </w:r>
      <w:r w:rsidR="000A5329" w:rsidRPr="002029AF">
        <w:t xml:space="preserve"> </w:t>
      </w:r>
      <w:r w:rsidRPr="002029AF">
        <w:t>between</w:t>
      </w:r>
      <w:r w:rsidR="000A5329" w:rsidRPr="002029AF">
        <w:t xml:space="preserve"> </w:t>
      </w:r>
      <w:r w:rsidRPr="002029AF">
        <w:t>the</w:t>
      </w:r>
      <w:r w:rsidR="000A5329" w:rsidRPr="002029AF">
        <w:t xml:space="preserve"> </w:t>
      </w:r>
      <w:r w:rsidRPr="002029AF">
        <w:t>Commonwealth</w:t>
      </w:r>
      <w:r w:rsidR="000A5329" w:rsidRPr="002029AF">
        <w:t xml:space="preserve"> </w:t>
      </w:r>
      <w:r w:rsidRPr="002029AF">
        <w:t>and</w:t>
      </w:r>
      <w:r w:rsidR="000A5329" w:rsidRPr="002029AF">
        <w:t xml:space="preserve"> </w:t>
      </w:r>
      <w:r w:rsidRPr="002029AF">
        <w:t>the</w:t>
      </w:r>
      <w:r w:rsidR="000A5329" w:rsidRPr="002029AF">
        <w:t xml:space="preserve"> </w:t>
      </w:r>
      <w:r w:rsidRPr="002029AF">
        <w:t>Victorian</w:t>
      </w:r>
      <w:r w:rsidR="000A5329" w:rsidRPr="002029AF">
        <w:t xml:space="preserve"> </w:t>
      </w:r>
      <w:r w:rsidRPr="002029AF">
        <w:t>Government</w:t>
      </w:r>
      <w:r w:rsidR="000A5329" w:rsidRPr="002029AF">
        <w:t xml:space="preserve"> </w:t>
      </w:r>
      <w:r w:rsidRPr="002029AF">
        <w:t>for</w:t>
      </w:r>
      <w:r w:rsidR="000A5329" w:rsidRPr="002029AF">
        <w:t xml:space="preserve"> </w:t>
      </w:r>
      <w:r w:rsidRPr="002029AF">
        <w:t>the</w:t>
      </w:r>
      <w:r w:rsidR="000A5329" w:rsidRPr="002029AF">
        <w:t xml:space="preserve"> </w:t>
      </w:r>
      <w:r w:rsidRPr="002029AF">
        <w:t>existing</w:t>
      </w:r>
      <w:r w:rsidR="000A5329" w:rsidRPr="002029AF">
        <w:t xml:space="preserve"> </w:t>
      </w:r>
      <w:r w:rsidRPr="002029AF">
        <w:t>quality</w:t>
      </w:r>
      <w:r w:rsidR="000A5329" w:rsidRPr="002029AF">
        <w:t xml:space="preserve"> </w:t>
      </w:r>
      <w:r w:rsidRPr="002029AF">
        <w:t>assurance</w:t>
      </w:r>
      <w:r w:rsidR="000A5329" w:rsidRPr="002029AF">
        <w:t xml:space="preserve"> </w:t>
      </w:r>
      <w:r w:rsidRPr="002029AF">
        <w:t>and</w:t>
      </w:r>
      <w:r w:rsidR="000A5329" w:rsidRPr="002029AF">
        <w:t xml:space="preserve"> </w:t>
      </w:r>
      <w:r w:rsidRPr="002029AF">
        <w:t>safeguards</w:t>
      </w:r>
      <w:r w:rsidR="000A5329" w:rsidRPr="002029AF">
        <w:t xml:space="preserve"> </w:t>
      </w:r>
      <w:r w:rsidRPr="002029AF">
        <w:t>of</w:t>
      </w:r>
      <w:r w:rsidR="000A5329" w:rsidRPr="002029AF">
        <w:t xml:space="preserve"> </w:t>
      </w:r>
      <w:r w:rsidRPr="002029AF">
        <w:t>the</w:t>
      </w:r>
      <w:r w:rsidR="000A5329" w:rsidRPr="002029AF">
        <w:t xml:space="preserve"> </w:t>
      </w:r>
      <w:r w:rsidRPr="002029AF">
        <w:t>State</w:t>
      </w:r>
      <w:r w:rsidR="000A5329" w:rsidRPr="002029AF">
        <w:t xml:space="preserve"> </w:t>
      </w:r>
      <w:r w:rsidRPr="002029AF">
        <w:t>of</w:t>
      </w:r>
      <w:r w:rsidR="000A5329" w:rsidRPr="002029AF">
        <w:t xml:space="preserve"> </w:t>
      </w:r>
      <w:r w:rsidRPr="002029AF">
        <w:t>Victoria</w:t>
      </w:r>
      <w:r w:rsidR="000A5329" w:rsidRPr="002029AF">
        <w:t xml:space="preserve"> </w:t>
      </w:r>
      <w:r w:rsidRPr="002029AF">
        <w:t>to</w:t>
      </w:r>
      <w:r w:rsidR="000A5329" w:rsidRPr="002029AF">
        <w:t xml:space="preserve"> </w:t>
      </w:r>
      <w:r w:rsidRPr="002029AF">
        <w:t>remain</w:t>
      </w:r>
      <w:r w:rsidR="000A5329" w:rsidRPr="002029AF">
        <w:t xml:space="preserve"> </w:t>
      </w:r>
      <w:r w:rsidRPr="002029AF">
        <w:t>in</w:t>
      </w:r>
      <w:r w:rsidR="000A5329" w:rsidRPr="002029AF">
        <w:t xml:space="preserve"> </w:t>
      </w:r>
      <w:r w:rsidRPr="002029AF">
        <w:t>place</w:t>
      </w:r>
      <w:r w:rsidR="000A5329" w:rsidRPr="002029AF">
        <w:t xml:space="preserve"> </w:t>
      </w:r>
      <w:r w:rsidRPr="002029AF">
        <w:t>until</w:t>
      </w:r>
      <w:r w:rsidR="000A5329" w:rsidRPr="002029AF">
        <w:t xml:space="preserve"> </w:t>
      </w:r>
      <w:r w:rsidRPr="002029AF">
        <w:t>the</w:t>
      </w:r>
      <w:r w:rsidR="000A5329" w:rsidRPr="002029AF">
        <w:t xml:space="preserve"> </w:t>
      </w:r>
      <w:r w:rsidRPr="002029AF">
        <w:t>National</w:t>
      </w:r>
      <w:r w:rsidR="000A5329" w:rsidRPr="002029AF">
        <w:t xml:space="preserve"> </w:t>
      </w:r>
      <w:r w:rsidRPr="002029AF">
        <w:t>Disability</w:t>
      </w:r>
      <w:r w:rsidR="000A5329" w:rsidRPr="002029AF">
        <w:t xml:space="preserve"> </w:t>
      </w:r>
      <w:r w:rsidRPr="002029AF">
        <w:t>Insurance</w:t>
      </w:r>
      <w:r w:rsidR="000A5329" w:rsidRPr="002029AF">
        <w:t xml:space="preserve"> </w:t>
      </w:r>
      <w:r w:rsidRPr="002029AF">
        <w:t>Scheme</w:t>
      </w:r>
      <w:r w:rsidR="000A5329" w:rsidRPr="002029AF">
        <w:t xml:space="preserve"> </w:t>
      </w:r>
      <w:r w:rsidRPr="002029AF">
        <w:t>Quality</w:t>
      </w:r>
      <w:r w:rsidR="000A5329" w:rsidRPr="002029AF">
        <w:t xml:space="preserve"> </w:t>
      </w:r>
      <w:r w:rsidRPr="002029AF">
        <w:t>and</w:t>
      </w:r>
      <w:r w:rsidR="000A5329" w:rsidRPr="002029AF">
        <w:t xml:space="preserve"> </w:t>
      </w:r>
      <w:r w:rsidRPr="002029AF">
        <w:t>Safeguards</w:t>
      </w:r>
      <w:r w:rsidR="000A5329" w:rsidRPr="002029AF">
        <w:t xml:space="preserve"> </w:t>
      </w:r>
      <w:r w:rsidRPr="002029AF">
        <w:t>Commission</w:t>
      </w:r>
      <w:r w:rsidR="000A5329" w:rsidRPr="002029AF">
        <w:t xml:space="preserve"> </w:t>
      </w:r>
      <w:r w:rsidRPr="002029AF">
        <w:t>commenced</w:t>
      </w:r>
      <w:r w:rsidR="000A5329" w:rsidRPr="002029AF">
        <w:t xml:space="preserve"> </w:t>
      </w:r>
      <w:r w:rsidRPr="002029AF">
        <w:t>on</w:t>
      </w:r>
      <w:r w:rsidR="000A5329" w:rsidRPr="002029AF">
        <w:t xml:space="preserve"> </w:t>
      </w:r>
      <w:r w:rsidRPr="002029AF">
        <w:t>1</w:t>
      </w:r>
      <w:r w:rsidR="000A5329" w:rsidRPr="002029AF">
        <w:t xml:space="preserve"> </w:t>
      </w:r>
      <w:r w:rsidRPr="002029AF">
        <w:t>July</w:t>
      </w:r>
      <w:r w:rsidR="000A5329" w:rsidRPr="002029AF">
        <w:t xml:space="preserve"> </w:t>
      </w:r>
      <w:r w:rsidRPr="002029AF">
        <w:t>2019.</w:t>
      </w:r>
      <w:r w:rsidR="000A5329" w:rsidRPr="002029AF">
        <w:t xml:space="preserve"> </w:t>
      </w:r>
      <w:r w:rsidRPr="002029AF">
        <w:t>Up</w:t>
      </w:r>
      <w:r w:rsidR="000A5329" w:rsidRPr="002029AF">
        <w:t xml:space="preserve"> </w:t>
      </w:r>
      <w:r w:rsidRPr="002029AF">
        <w:t>to</w:t>
      </w:r>
      <w:r w:rsidR="000A5329" w:rsidRPr="002029AF">
        <w:t xml:space="preserve"> </w:t>
      </w:r>
      <w:r w:rsidRPr="002029AF">
        <w:t>30</w:t>
      </w:r>
      <w:r w:rsidR="000A5329" w:rsidRPr="002029AF">
        <w:t xml:space="preserve"> </w:t>
      </w:r>
      <w:r w:rsidRPr="002029AF">
        <w:t>June</w:t>
      </w:r>
      <w:r w:rsidR="000A5329" w:rsidRPr="002029AF">
        <w:t xml:space="preserve"> </w:t>
      </w:r>
      <w:r w:rsidRPr="002029AF">
        <w:t>2019,</w:t>
      </w:r>
      <w:r w:rsidR="000A5329" w:rsidRPr="002029AF">
        <w:t xml:space="preserve"> </w:t>
      </w:r>
      <w:r w:rsidRPr="002029AF">
        <w:t>some</w:t>
      </w:r>
      <w:r w:rsidR="000A5329" w:rsidRPr="002029AF">
        <w:t xml:space="preserve"> </w:t>
      </w:r>
      <w:r w:rsidRPr="002029AF">
        <w:t>organisations</w:t>
      </w:r>
      <w:r w:rsidR="000A5329" w:rsidRPr="002029AF">
        <w:t xml:space="preserve"> </w:t>
      </w:r>
      <w:r w:rsidRPr="002029AF">
        <w:t>providing</w:t>
      </w:r>
      <w:r w:rsidR="000A5329" w:rsidRPr="002029AF">
        <w:t xml:space="preserve"> </w:t>
      </w:r>
      <w:r w:rsidRPr="002029AF">
        <w:t>services</w:t>
      </w:r>
      <w:r w:rsidR="000A5329" w:rsidRPr="002029AF">
        <w:t xml:space="preserve"> </w:t>
      </w:r>
      <w:r w:rsidRPr="002029AF">
        <w:t>for</w:t>
      </w:r>
      <w:r w:rsidR="000A5329" w:rsidRPr="002029AF">
        <w:t xml:space="preserve"> </w:t>
      </w:r>
      <w:r w:rsidRPr="002029AF">
        <w:t>the</w:t>
      </w:r>
      <w:r w:rsidR="000A5329" w:rsidRPr="002029AF">
        <w:t xml:space="preserve"> </w:t>
      </w:r>
      <w:r w:rsidRPr="002029AF">
        <w:t>National</w:t>
      </w:r>
      <w:r w:rsidR="000A5329" w:rsidRPr="002029AF">
        <w:t xml:space="preserve"> </w:t>
      </w:r>
      <w:r w:rsidRPr="002029AF">
        <w:t>Disability</w:t>
      </w:r>
      <w:r w:rsidR="000A5329" w:rsidRPr="002029AF">
        <w:t xml:space="preserve"> </w:t>
      </w:r>
      <w:r w:rsidRPr="002029AF">
        <w:t>Insurance</w:t>
      </w:r>
      <w:r w:rsidR="000A5329" w:rsidRPr="002029AF">
        <w:t xml:space="preserve"> </w:t>
      </w:r>
      <w:r w:rsidRPr="002029AF">
        <w:t>Agency</w:t>
      </w:r>
      <w:r w:rsidR="000A5329" w:rsidRPr="002029AF">
        <w:t xml:space="preserve"> </w:t>
      </w:r>
      <w:r w:rsidRPr="002029AF">
        <w:t>were</w:t>
      </w:r>
      <w:r w:rsidR="000A5329" w:rsidRPr="002029AF">
        <w:t xml:space="preserve"> </w:t>
      </w:r>
      <w:r w:rsidRPr="002029AF">
        <w:t>required</w:t>
      </w:r>
      <w:r w:rsidR="000A5329" w:rsidRPr="002029AF">
        <w:t xml:space="preserve"> </w:t>
      </w:r>
      <w:r w:rsidRPr="002029AF">
        <w:t>to</w:t>
      </w:r>
      <w:r w:rsidR="000A5329" w:rsidRPr="002029AF">
        <w:t xml:space="preserve"> </w:t>
      </w:r>
      <w:r w:rsidRPr="002029AF">
        <w:t>be</w:t>
      </w:r>
      <w:r w:rsidR="000A5329" w:rsidRPr="002029AF">
        <w:t xml:space="preserve"> </w:t>
      </w:r>
      <w:r w:rsidRPr="002029AF">
        <w:t>registered</w:t>
      </w:r>
      <w:r w:rsidR="000A5329" w:rsidRPr="002029AF">
        <w:t xml:space="preserve"> </w:t>
      </w:r>
      <w:r w:rsidRPr="002029AF">
        <w:t>with</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and</w:t>
      </w:r>
      <w:r w:rsidR="000A5329" w:rsidRPr="002029AF">
        <w:t xml:space="preserve"> </w:t>
      </w:r>
      <w:r w:rsidRPr="002029AF">
        <w:t>operate</w:t>
      </w:r>
      <w:r w:rsidR="000A5329" w:rsidRPr="002029AF">
        <w:t xml:space="preserve"> </w:t>
      </w:r>
      <w:r w:rsidRPr="002029AF">
        <w:t>in</w:t>
      </w:r>
      <w:r w:rsidR="000A5329" w:rsidRPr="002029AF">
        <w:t xml:space="preserve"> </w:t>
      </w:r>
      <w:r w:rsidRPr="002029AF">
        <w:t>accordance</w:t>
      </w:r>
      <w:r w:rsidR="000A5329" w:rsidRPr="002029AF">
        <w:t xml:space="preserve"> </w:t>
      </w:r>
      <w:r w:rsidRPr="002029AF">
        <w:t>with</w:t>
      </w:r>
      <w:r w:rsidR="000A5329" w:rsidRPr="002029AF">
        <w:t xml:space="preserve"> </w:t>
      </w:r>
      <w:r w:rsidRPr="002029AF">
        <w:t>the</w:t>
      </w:r>
      <w:r w:rsidR="000A5329" w:rsidRPr="002029AF">
        <w:t xml:space="preserve"> </w:t>
      </w:r>
      <w:r w:rsidRPr="002029AF">
        <w:t>Disability</w:t>
      </w:r>
      <w:r w:rsidR="000A5329" w:rsidRPr="002029AF">
        <w:t xml:space="preserve"> </w:t>
      </w:r>
      <w:r w:rsidRPr="002029AF">
        <w:t>Act.</w:t>
      </w:r>
      <w:r w:rsidR="000A5329" w:rsidRPr="002029AF">
        <w:t xml:space="preserve"> </w:t>
      </w:r>
      <w:r w:rsidRPr="002029AF">
        <w:t>This</w:t>
      </w:r>
      <w:r w:rsidR="000A5329" w:rsidRPr="002029AF">
        <w:t xml:space="preserve"> </w:t>
      </w:r>
      <w:r w:rsidRPr="002029AF">
        <w:t>included</w:t>
      </w:r>
      <w:r w:rsidR="000A5329" w:rsidRPr="002029AF">
        <w:t xml:space="preserve"> </w:t>
      </w:r>
      <w:r w:rsidRPr="002029AF">
        <w:t>complying</w:t>
      </w:r>
      <w:r w:rsidR="000A5329" w:rsidRPr="002029AF">
        <w:t xml:space="preserve"> </w:t>
      </w:r>
      <w:r w:rsidRPr="002029AF">
        <w:t>with</w:t>
      </w:r>
      <w:r w:rsidR="000A5329" w:rsidRPr="002029AF">
        <w:t xml:space="preserve"> </w:t>
      </w:r>
      <w:r w:rsidRPr="002029AF">
        <w:t>the</w:t>
      </w:r>
      <w:r w:rsidR="000A5329" w:rsidRPr="002029AF">
        <w:t xml:space="preserve"> </w:t>
      </w:r>
      <w:r w:rsidRPr="002029AF">
        <w:t>Human</w:t>
      </w:r>
      <w:r w:rsidR="000A5329" w:rsidRPr="002029AF">
        <w:t xml:space="preserve"> </w:t>
      </w:r>
      <w:r w:rsidRPr="002029AF">
        <w:t>Services</w:t>
      </w:r>
      <w:r w:rsidR="000A5329" w:rsidRPr="002029AF">
        <w:t xml:space="preserve"> </w:t>
      </w:r>
      <w:r w:rsidRPr="002029AF">
        <w:t>Standards</w:t>
      </w:r>
      <w:r w:rsidR="000A5329" w:rsidRPr="002029AF">
        <w:t xml:space="preserve"> </w:t>
      </w:r>
      <w:r w:rsidRPr="002029AF">
        <w:t>(gazetted</w:t>
      </w:r>
      <w:r w:rsidR="000A5329" w:rsidRPr="002029AF">
        <w:t xml:space="preserve"> </w:t>
      </w:r>
      <w:r w:rsidRPr="002029AF">
        <w:t>as</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of</w:t>
      </w:r>
      <w:r w:rsidR="000A5329" w:rsidRPr="002029AF">
        <w:t xml:space="preserve"> </w:t>
      </w:r>
      <w:r w:rsidRPr="002029AF">
        <w:t>Health</w:t>
      </w:r>
      <w:r w:rsidR="000A5329" w:rsidRPr="002029AF">
        <w:t xml:space="preserve"> </w:t>
      </w:r>
      <w:r w:rsidRPr="002029AF">
        <w:t>and</w:t>
      </w:r>
      <w:r w:rsidR="000A5329" w:rsidRPr="002029AF">
        <w:t xml:space="preserve"> </w:t>
      </w:r>
      <w:r w:rsidRPr="002029AF">
        <w:t>Human</w:t>
      </w:r>
      <w:r w:rsidR="000A5329" w:rsidRPr="002029AF">
        <w:t xml:space="preserve"> </w:t>
      </w:r>
      <w:r w:rsidRPr="002029AF">
        <w:t>Services</w:t>
      </w:r>
      <w:r w:rsidR="000A5329" w:rsidRPr="002029AF">
        <w:t xml:space="preserve"> </w:t>
      </w:r>
      <w:r w:rsidRPr="002029AF">
        <w:t>Standards)</w:t>
      </w:r>
      <w:r w:rsidR="000A5329" w:rsidRPr="002029AF">
        <w:t xml:space="preserve"> </w:t>
      </w:r>
      <w:r w:rsidRPr="002029AF">
        <w:t>and</w:t>
      </w:r>
      <w:r w:rsidR="000A5329" w:rsidRPr="002029AF">
        <w:t xml:space="preserve"> </w:t>
      </w:r>
      <w:r w:rsidRPr="002029AF">
        <w:t>where</w:t>
      </w:r>
      <w:r w:rsidR="000A5329" w:rsidRPr="002029AF">
        <w:t xml:space="preserve"> </w:t>
      </w:r>
      <w:r w:rsidRPr="002029AF">
        <w:t>required,</w:t>
      </w:r>
      <w:r w:rsidR="000A5329" w:rsidRPr="002029AF">
        <w:t xml:space="preserve"> </w:t>
      </w:r>
      <w:r w:rsidRPr="002029AF">
        <w:t>providing</w:t>
      </w:r>
      <w:r w:rsidR="000A5329" w:rsidRPr="002029AF">
        <w:t xml:space="preserve"> </w:t>
      </w:r>
      <w:r w:rsidRPr="002029AF">
        <w:t>information</w:t>
      </w:r>
      <w:r w:rsidR="000A5329" w:rsidRPr="002029AF">
        <w:t xml:space="preserve"> </w:t>
      </w:r>
      <w:r w:rsidRPr="002029AF">
        <w:t>to</w:t>
      </w:r>
      <w:r w:rsidR="000A5329" w:rsidRPr="002029AF">
        <w:t xml:space="preserve"> </w:t>
      </w:r>
      <w:r w:rsidRPr="002029AF">
        <w:t>the</w:t>
      </w:r>
      <w:r w:rsidR="000A5329" w:rsidRPr="002029AF">
        <w:t xml:space="preserve"> </w:t>
      </w:r>
      <w:r w:rsidRPr="002029AF">
        <w:t>Disability</w:t>
      </w:r>
      <w:r w:rsidR="000A5329" w:rsidRPr="002029AF">
        <w:t xml:space="preserve"> </w:t>
      </w:r>
      <w:r w:rsidRPr="002029AF">
        <w:t>Services</w:t>
      </w:r>
      <w:r w:rsidR="000A5329" w:rsidRPr="002029AF">
        <w:t xml:space="preserve"> </w:t>
      </w:r>
      <w:r w:rsidRPr="002029AF">
        <w:t>Commissioner</w:t>
      </w:r>
      <w:r w:rsidR="000A5329" w:rsidRPr="002029AF">
        <w:t xml:space="preserve"> </w:t>
      </w:r>
      <w:r w:rsidRPr="002029AF">
        <w:t>and</w:t>
      </w:r>
      <w:r w:rsidR="000A5329" w:rsidRPr="002029AF">
        <w:t xml:space="preserve"> </w:t>
      </w:r>
      <w:r w:rsidRPr="002029AF">
        <w:t>the</w:t>
      </w:r>
      <w:r w:rsidR="000A5329" w:rsidRPr="002029AF">
        <w:t xml:space="preserve"> </w:t>
      </w:r>
      <w:r w:rsidRPr="002029AF">
        <w:t>Senior</w:t>
      </w:r>
      <w:r w:rsidR="000A5329" w:rsidRPr="002029AF">
        <w:t xml:space="preserve"> </w:t>
      </w:r>
      <w:r w:rsidRPr="002029AF">
        <w:t>Practitioner.</w:t>
      </w:r>
    </w:p>
    <w:p w14:paraId="32E9FF1A" w14:textId="54F8496D" w:rsidR="00CF72D5" w:rsidRPr="002029AF" w:rsidRDefault="00CF72D5" w:rsidP="00897193">
      <w:pPr>
        <w:pStyle w:val="Heading3"/>
      </w:pPr>
      <w:bookmarkStart w:id="165" w:name="_Ref525207588"/>
      <w:r w:rsidRPr="002029AF">
        <w:t>Register</w:t>
      </w:r>
      <w:r w:rsidR="000A5329" w:rsidRPr="002029AF">
        <w:t xml:space="preserve"> </w:t>
      </w:r>
      <w:r w:rsidRPr="002029AF">
        <w:t>of</w:t>
      </w:r>
      <w:r w:rsidR="000A5329" w:rsidRPr="002029AF">
        <w:t xml:space="preserve"> </w:t>
      </w:r>
      <w:r w:rsidRPr="002029AF">
        <w:t>disability</w:t>
      </w:r>
      <w:r w:rsidR="000A5329" w:rsidRPr="002029AF">
        <w:t xml:space="preserve"> </w:t>
      </w:r>
      <w:r w:rsidRPr="002029AF">
        <w:t>service</w:t>
      </w:r>
      <w:r w:rsidR="000A5329" w:rsidRPr="002029AF">
        <w:t xml:space="preserve"> </w:t>
      </w:r>
      <w:r w:rsidRPr="002029AF">
        <w:t>providers</w:t>
      </w:r>
      <w:bookmarkEnd w:id="165"/>
    </w:p>
    <w:p w14:paraId="55EC68BA" w14:textId="088F47C8" w:rsidR="00CF72D5" w:rsidRPr="002029AF" w:rsidRDefault="00CF72D5" w:rsidP="00897193">
      <w:pPr>
        <w:pStyle w:val="ARbody"/>
        <w:rPr>
          <w:lang w:eastAsia="en-AU"/>
        </w:rPr>
      </w:pPr>
      <w:r w:rsidRPr="002029AF">
        <w:rPr>
          <w:lang w:eastAsia="en-AU"/>
        </w:rPr>
        <w:t>Section</w:t>
      </w:r>
      <w:r w:rsidR="000A5329" w:rsidRPr="002029AF">
        <w:rPr>
          <w:lang w:eastAsia="en-AU"/>
        </w:rPr>
        <w:t xml:space="preserve"> </w:t>
      </w:r>
      <w:r w:rsidRPr="002029AF">
        <w:rPr>
          <w:lang w:eastAsia="en-AU"/>
        </w:rPr>
        <w:t>46</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Disability</w:t>
      </w:r>
      <w:r w:rsidR="000A5329" w:rsidRPr="002029AF">
        <w:rPr>
          <w:lang w:eastAsia="en-AU"/>
        </w:rPr>
        <w:t xml:space="preserve"> </w:t>
      </w:r>
      <w:r w:rsidRPr="002029AF">
        <w:rPr>
          <w:lang w:eastAsia="en-AU"/>
        </w:rPr>
        <w:t>Act</w:t>
      </w:r>
      <w:r w:rsidR="000A5329" w:rsidRPr="002029AF">
        <w:rPr>
          <w:lang w:eastAsia="en-AU"/>
        </w:rPr>
        <w:t xml:space="preserve"> </w:t>
      </w:r>
      <w:r w:rsidRPr="002029AF">
        <w:rPr>
          <w:lang w:eastAsia="en-AU"/>
        </w:rPr>
        <w:t>requires</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Secretary</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department</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keep</w:t>
      </w:r>
      <w:r w:rsidR="000A5329" w:rsidRPr="002029AF">
        <w:rPr>
          <w:lang w:eastAsia="en-AU"/>
        </w:rPr>
        <w:t xml:space="preserve"> </w:t>
      </w:r>
      <w:r w:rsidRPr="002029AF">
        <w:rPr>
          <w:lang w:eastAsia="en-AU"/>
        </w:rPr>
        <w:t>a</w:t>
      </w:r>
      <w:r w:rsidR="000A5329" w:rsidRPr="002029AF">
        <w:rPr>
          <w:lang w:eastAsia="en-AU"/>
        </w:rPr>
        <w:t xml:space="preserve"> </w:t>
      </w:r>
      <w:r w:rsidRPr="002029AF">
        <w:rPr>
          <w:lang w:eastAsia="en-AU"/>
        </w:rPr>
        <w:t>register</w:t>
      </w:r>
      <w:r w:rsidR="000A5329" w:rsidRPr="002029AF">
        <w:rPr>
          <w:lang w:eastAsia="en-AU"/>
        </w:rPr>
        <w:t xml:space="preserve"> </w:t>
      </w:r>
      <w:r w:rsidRPr="002029AF">
        <w:rPr>
          <w:lang w:eastAsia="en-AU"/>
        </w:rPr>
        <w:t>and</w:t>
      </w:r>
      <w:r w:rsidR="006F2C99" w:rsidRPr="002029AF">
        <w:rPr>
          <w:lang w:eastAsia="en-AU"/>
        </w:rPr>
        <w:t> </w:t>
      </w:r>
      <w:r w:rsidRPr="002029AF">
        <w:rPr>
          <w:lang w:eastAsia="en-AU"/>
        </w:rPr>
        <w:t>make</w:t>
      </w:r>
      <w:r w:rsidR="000A5329" w:rsidRPr="002029AF">
        <w:rPr>
          <w:lang w:eastAsia="en-AU"/>
        </w:rPr>
        <w:t xml:space="preserve"> </w:t>
      </w:r>
      <w:r w:rsidRPr="002029AF">
        <w:rPr>
          <w:lang w:eastAsia="en-AU"/>
        </w:rPr>
        <w:t>available</w:t>
      </w:r>
      <w:r w:rsidR="000A5329" w:rsidRPr="002029AF">
        <w:rPr>
          <w:lang w:eastAsia="en-AU"/>
        </w:rPr>
        <w:t xml:space="preserve"> </w:t>
      </w:r>
      <w:r w:rsidRPr="002029AF">
        <w:rPr>
          <w:lang w:eastAsia="en-AU"/>
        </w:rPr>
        <w:t>for</w:t>
      </w:r>
      <w:r w:rsidR="000A5329" w:rsidRPr="002029AF">
        <w:rPr>
          <w:lang w:eastAsia="en-AU"/>
        </w:rPr>
        <w:t xml:space="preserve"> </w:t>
      </w:r>
      <w:r w:rsidRPr="002029AF">
        <w:rPr>
          <w:lang w:eastAsia="en-AU"/>
        </w:rPr>
        <w:t>public</w:t>
      </w:r>
      <w:r w:rsidR="000A5329" w:rsidRPr="002029AF">
        <w:rPr>
          <w:lang w:eastAsia="en-AU"/>
        </w:rPr>
        <w:t xml:space="preserve"> </w:t>
      </w:r>
      <w:r w:rsidRPr="002029AF">
        <w:rPr>
          <w:lang w:eastAsia="en-AU"/>
        </w:rPr>
        <w:t>inspection</w:t>
      </w:r>
      <w:r w:rsidR="000A5329" w:rsidRPr="002029AF">
        <w:rPr>
          <w:lang w:eastAsia="en-AU"/>
        </w:rPr>
        <w:t xml:space="preserve"> </w:t>
      </w:r>
      <w:r w:rsidRPr="002029AF">
        <w:rPr>
          <w:lang w:eastAsia="en-AU"/>
        </w:rPr>
        <w:t>a</w:t>
      </w:r>
      <w:r w:rsidR="000A5329" w:rsidRPr="002029AF">
        <w:rPr>
          <w:lang w:eastAsia="en-AU"/>
        </w:rPr>
        <w:t xml:space="preserve"> </w:t>
      </w:r>
      <w:r w:rsidRPr="002029AF">
        <w:rPr>
          <w:lang w:eastAsia="en-AU"/>
        </w:rPr>
        <w:t>list</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disability</w:t>
      </w:r>
      <w:r w:rsidR="000A5329" w:rsidRPr="002029AF">
        <w:rPr>
          <w:lang w:eastAsia="en-AU"/>
        </w:rPr>
        <w:t xml:space="preserve"> </w:t>
      </w:r>
      <w:r w:rsidRPr="002029AF">
        <w:rPr>
          <w:lang w:eastAsia="en-AU"/>
        </w:rPr>
        <w:t>service</w:t>
      </w:r>
      <w:r w:rsidR="000A5329" w:rsidRPr="002029AF">
        <w:rPr>
          <w:lang w:eastAsia="en-AU"/>
        </w:rPr>
        <w:t xml:space="preserve"> </w:t>
      </w:r>
      <w:r w:rsidRPr="002029AF">
        <w:rPr>
          <w:lang w:eastAsia="en-AU"/>
        </w:rPr>
        <w:t>providers.</w:t>
      </w:r>
      <w:r w:rsidR="000A5329" w:rsidRPr="002029AF">
        <w:rPr>
          <w:lang w:eastAsia="en-AU"/>
        </w:rPr>
        <w:t xml:space="preserve"> </w:t>
      </w:r>
      <w:r w:rsidRPr="002029AF">
        <w:rPr>
          <w:lang w:eastAsia="en-AU"/>
        </w:rPr>
        <w:t>Funded</w:t>
      </w:r>
      <w:r w:rsidR="000A5329" w:rsidRPr="002029AF">
        <w:rPr>
          <w:lang w:eastAsia="en-AU"/>
        </w:rPr>
        <w:t xml:space="preserve"> </w:t>
      </w:r>
      <w:r w:rsidRPr="002029AF">
        <w:rPr>
          <w:lang w:eastAsia="en-AU"/>
        </w:rPr>
        <w:t>organisations</w:t>
      </w:r>
      <w:r w:rsidR="000A5329" w:rsidRPr="002029AF">
        <w:rPr>
          <w:lang w:eastAsia="en-AU"/>
        </w:rPr>
        <w:t xml:space="preserve"> </w:t>
      </w:r>
      <w:r w:rsidRPr="002029AF">
        <w:rPr>
          <w:lang w:eastAsia="en-AU"/>
        </w:rPr>
        <w:t>that</w:t>
      </w:r>
      <w:r w:rsidR="000A5329" w:rsidRPr="002029AF">
        <w:rPr>
          <w:lang w:eastAsia="en-AU"/>
        </w:rPr>
        <w:t xml:space="preserve"> </w:t>
      </w:r>
      <w:r w:rsidRPr="002029AF">
        <w:rPr>
          <w:lang w:eastAsia="en-AU"/>
        </w:rPr>
        <w:t>deliver</w:t>
      </w:r>
      <w:r w:rsidR="000A5329" w:rsidRPr="002029AF">
        <w:rPr>
          <w:lang w:eastAsia="en-AU"/>
        </w:rPr>
        <w:t xml:space="preserve"> </w:t>
      </w:r>
      <w:r w:rsidRPr="002029AF">
        <w:rPr>
          <w:lang w:eastAsia="en-AU"/>
        </w:rPr>
        <w:t>disability</w:t>
      </w:r>
      <w:r w:rsidR="000A5329" w:rsidRPr="002029AF">
        <w:rPr>
          <w:lang w:eastAsia="en-AU"/>
        </w:rPr>
        <w:t xml:space="preserve"> </w:t>
      </w:r>
      <w:r w:rsidRPr="002029AF">
        <w:rPr>
          <w:lang w:eastAsia="en-AU"/>
        </w:rPr>
        <w:t>services</w:t>
      </w:r>
      <w:r w:rsidR="000A5329" w:rsidRPr="002029AF">
        <w:rPr>
          <w:lang w:eastAsia="en-AU"/>
        </w:rPr>
        <w:t xml:space="preserve"> </w:t>
      </w:r>
      <w:r w:rsidRPr="002029AF">
        <w:rPr>
          <w:lang w:eastAsia="en-AU"/>
        </w:rPr>
        <w:t>are</w:t>
      </w:r>
      <w:r w:rsidR="000A5329" w:rsidRPr="002029AF">
        <w:rPr>
          <w:lang w:eastAsia="en-AU"/>
        </w:rPr>
        <w:t xml:space="preserve"> </w:t>
      </w:r>
      <w:r w:rsidRPr="002029AF">
        <w:rPr>
          <w:lang w:eastAsia="en-AU"/>
        </w:rPr>
        <w:t>required</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be</w:t>
      </w:r>
      <w:r w:rsidR="000A5329" w:rsidRPr="002029AF">
        <w:rPr>
          <w:lang w:eastAsia="en-AU"/>
        </w:rPr>
        <w:t xml:space="preserve"> </w:t>
      </w:r>
      <w:r w:rsidRPr="002029AF">
        <w:rPr>
          <w:lang w:eastAsia="en-AU"/>
        </w:rPr>
        <w:t>registered</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comply</w:t>
      </w:r>
      <w:r w:rsidR="000A5329" w:rsidRPr="002029AF">
        <w:rPr>
          <w:lang w:eastAsia="en-AU"/>
        </w:rPr>
        <w:t xml:space="preserve"> </w:t>
      </w:r>
      <w:r w:rsidRPr="002029AF">
        <w:rPr>
          <w:lang w:eastAsia="en-AU"/>
        </w:rPr>
        <w:t>with</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Human</w:t>
      </w:r>
      <w:r w:rsidR="000A5329" w:rsidRPr="002029AF">
        <w:rPr>
          <w:lang w:eastAsia="en-AU"/>
        </w:rPr>
        <w:t xml:space="preserve"> </w:t>
      </w:r>
      <w:r w:rsidRPr="002029AF">
        <w:rPr>
          <w:lang w:eastAsia="en-AU"/>
        </w:rPr>
        <w:t>Services</w:t>
      </w:r>
      <w:r w:rsidR="000A5329" w:rsidRPr="002029AF">
        <w:rPr>
          <w:lang w:eastAsia="en-AU"/>
        </w:rPr>
        <w:t xml:space="preserve"> </w:t>
      </w:r>
      <w:r w:rsidRPr="002029AF">
        <w:rPr>
          <w:lang w:eastAsia="en-AU"/>
        </w:rPr>
        <w:t>Standards.</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addition,</w:t>
      </w:r>
      <w:r w:rsidR="000A5329" w:rsidRPr="002029AF">
        <w:rPr>
          <w:lang w:eastAsia="en-AU"/>
        </w:rPr>
        <w:t xml:space="preserve"> </w:t>
      </w:r>
      <w:r w:rsidRPr="002029AF">
        <w:rPr>
          <w:lang w:eastAsia="en-AU"/>
        </w:rPr>
        <w:t>organisations</w:t>
      </w:r>
      <w:r w:rsidR="000A5329" w:rsidRPr="002029AF">
        <w:rPr>
          <w:lang w:eastAsia="en-AU"/>
        </w:rPr>
        <w:t xml:space="preserve"> </w:t>
      </w:r>
      <w:r w:rsidRPr="002029AF">
        <w:rPr>
          <w:lang w:eastAsia="en-AU"/>
        </w:rPr>
        <w:t>that</w:t>
      </w:r>
      <w:r w:rsidR="000A5329" w:rsidRPr="002029AF">
        <w:rPr>
          <w:lang w:eastAsia="en-AU"/>
        </w:rPr>
        <w:t xml:space="preserve"> </w:t>
      </w:r>
      <w:r w:rsidRPr="002029AF">
        <w:rPr>
          <w:lang w:eastAsia="en-AU"/>
        </w:rPr>
        <w:t>were</w:t>
      </w:r>
      <w:r w:rsidR="000A5329" w:rsidRPr="002029AF">
        <w:rPr>
          <w:lang w:eastAsia="en-AU"/>
        </w:rPr>
        <w:t xml:space="preserve"> </w:t>
      </w:r>
      <w:r w:rsidRPr="002029AF">
        <w:rPr>
          <w:lang w:eastAsia="en-AU"/>
        </w:rPr>
        <w:t>registered</w:t>
      </w:r>
      <w:r w:rsidR="000A5329" w:rsidRPr="002029AF">
        <w:rPr>
          <w:lang w:eastAsia="en-AU"/>
        </w:rPr>
        <w:t xml:space="preserve"> </w:t>
      </w:r>
      <w:r w:rsidRPr="002029AF">
        <w:rPr>
          <w:lang w:eastAsia="en-AU"/>
        </w:rPr>
        <w:t>for</w:t>
      </w:r>
      <w:r w:rsidR="000A5329" w:rsidRPr="002029AF">
        <w:rPr>
          <w:lang w:eastAsia="en-AU"/>
        </w:rPr>
        <w:t xml:space="preserve"> </w:t>
      </w:r>
      <w:r w:rsidRPr="002029AF">
        <w:rPr>
          <w:lang w:eastAsia="en-AU"/>
        </w:rPr>
        <w:t>National</w:t>
      </w:r>
      <w:r w:rsidR="000A5329" w:rsidRPr="002029AF">
        <w:rPr>
          <w:lang w:eastAsia="en-AU"/>
        </w:rPr>
        <w:t xml:space="preserve"> </w:t>
      </w:r>
      <w:r w:rsidRPr="002029AF">
        <w:rPr>
          <w:lang w:eastAsia="en-AU"/>
        </w:rPr>
        <w:t>Disability</w:t>
      </w:r>
      <w:r w:rsidR="000A5329" w:rsidRPr="002029AF">
        <w:rPr>
          <w:lang w:eastAsia="en-AU"/>
        </w:rPr>
        <w:t xml:space="preserve"> </w:t>
      </w:r>
      <w:r w:rsidRPr="002029AF">
        <w:rPr>
          <w:lang w:eastAsia="en-AU"/>
        </w:rPr>
        <w:t>Insurance</w:t>
      </w:r>
      <w:r w:rsidR="000A5329" w:rsidRPr="002029AF">
        <w:rPr>
          <w:lang w:eastAsia="en-AU"/>
        </w:rPr>
        <w:t xml:space="preserve"> </w:t>
      </w:r>
      <w:r w:rsidRPr="002029AF">
        <w:rPr>
          <w:lang w:eastAsia="en-AU"/>
        </w:rPr>
        <w:t>Scheme</w:t>
      </w:r>
      <w:r w:rsidR="000A5329" w:rsidRPr="002029AF">
        <w:rPr>
          <w:lang w:eastAsia="en-AU"/>
        </w:rPr>
        <w:t xml:space="preserve"> </w:t>
      </w:r>
      <w:r w:rsidRPr="002029AF">
        <w:rPr>
          <w:lang w:eastAsia="en-AU"/>
        </w:rPr>
        <w:t>purposes</w:t>
      </w:r>
      <w:r w:rsidR="000A5329" w:rsidRPr="002029AF">
        <w:rPr>
          <w:lang w:eastAsia="en-AU"/>
        </w:rPr>
        <w:t xml:space="preserve"> </w:t>
      </w:r>
      <w:r w:rsidRPr="002029AF">
        <w:rPr>
          <w:lang w:eastAsia="en-AU"/>
        </w:rPr>
        <w:t>were</w:t>
      </w:r>
      <w:r w:rsidR="000A5329" w:rsidRPr="002029AF">
        <w:rPr>
          <w:lang w:eastAsia="en-AU"/>
        </w:rPr>
        <w:t xml:space="preserve"> </w:t>
      </w:r>
      <w:r w:rsidRPr="002029AF">
        <w:rPr>
          <w:lang w:eastAsia="en-AU"/>
        </w:rPr>
        <w:t>also</w:t>
      </w:r>
      <w:r w:rsidR="000A5329" w:rsidRPr="002029AF">
        <w:rPr>
          <w:lang w:eastAsia="en-AU"/>
        </w:rPr>
        <w:t xml:space="preserve"> </w:t>
      </w:r>
      <w:r w:rsidRPr="002029AF">
        <w:rPr>
          <w:lang w:eastAsia="en-AU"/>
        </w:rPr>
        <w:t>required</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comply</w:t>
      </w:r>
      <w:r w:rsidR="000A5329" w:rsidRPr="002029AF">
        <w:rPr>
          <w:lang w:eastAsia="en-AU"/>
        </w:rPr>
        <w:t xml:space="preserve"> </w:t>
      </w:r>
      <w:r w:rsidRPr="002029AF">
        <w:rPr>
          <w:lang w:eastAsia="en-AU"/>
        </w:rPr>
        <w:t>with</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Human</w:t>
      </w:r>
      <w:r w:rsidR="000A5329" w:rsidRPr="002029AF">
        <w:rPr>
          <w:lang w:eastAsia="en-AU"/>
        </w:rPr>
        <w:t xml:space="preserve"> </w:t>
      </w:r>
      <w:r w:rsidRPr="002029AF">
        <w:rPr>
          <w:lang w:eastAsia="en-AU"/>
        </w:rPr>
        <w:t>Services</w:t>
      </w:r>
      <w:r w:rsidR="000A5329" w:rsidRPr="002029AF">
        <w:rPr>
          <w:lang w:eastAsia="en-AU"/>
        </w:rPr>
        <w:t xml:space="preserve"> </w:t>
      </w:r>
      <w:r w:rsidRPr="002029AF">
        <w:rPr>
          <w:lang w:eastAsia="en-AU"/>
        </w:rPr>
        <w:t>Standards.</w:t>
      </w:r>
    </w:p>
    <w:p w14:paraId="697A9C92" w14:textId="67B29AC1" w:rsidR="00CF72D5" w:rsidRPr="002029AF" w:rsidRDefault="00CF72D5" w:rsidP="00897193">
      <w:pPr>
        <w:pStyle w:val="ARbody"/>
        <w:rPr>
          <w:lang w:eastAsia="en-AU"/>
        </w:rPr>
      </w:pPr>
      <w:r w:rsidRPr="002029AF">
        <w:rPr>
          <w:lang w:eastAsia="en-AU"/>
        </w:rPr>
        <w:t>The</w:t>
      </w:r>
      <w:r w:rsidR="000A5329" w:rsidRPr="002029AF">
        <w:rPr>
          <w:lang w:eastAsia="en-AU"/>
        </w:rPr>
        <w:t xml:space="preserve"> </w:t>
      </w:r>
      <w:r w:rsidRPr="002029AF">
        <w:rPr>
          <w:lang w:eastAsia="en-AU"/>
        </w:rPr>
        <w:t>register</w:t>
      </w:r>
      <w:r w:rsidR="000A5329" w:rsidRPr="002029AF">
        <w:rPr>
          <w:lang w:eastAsia="en-AU"/>
        </w:rPr>
        <w:t xml:space="preserve"> </w:t>
      </w:r>
      <w:r w:rsidRPr="002029AF">
        <w:rPr>
          <w:lang w:eastAsia="en-AU"/>
        </w:rPr>
        <w:t>can</w:t>
      </w:r>
      <w:r w:rsidR="000A5329" w:rsidRPr="002029AF">
        <w:rPr>
          <w:lang w:eastAsia="en-AU"/>
        </w:rPr>
        <w:t xml:space="preserve"> </w:t>
      </w:r>
      <w:r w:rsidRPr="002029AF">
        <w:rPr>
          <w:lang w:eastAsia="en-AU"/>
        </w:rPr>
        <w:t>be</w:t>
      </w:r>
      <w:r w:rsidR="000A5329" w:rsidRPr="002029AF">
        <w:rPr>
          <w:lang w:eastAsia="en-AU"/>
        </w:rPr>
        <w:t xml:space="preserve"> </w:t>
      </w:r>
      <w:r w:rsidRPr="002029AF">
        <w:rPr>
          <w:lang w:eastAsia="en-AU"/>
        </w:rPr>
        <w:t>found</w:t>
      </w:r>
      <w:r w:rsidR="000A5329" w:rsidRPr="002029AF">
        <w:rPr>
          <w:lang w:eastAsia="en-AU"/>
        </w:rPr>
        <w:t xml:space="preserve"> </w:t>
      </w:r>
      <w:r w:rsidRPr="002029AF">
        <w:rPr>
          <w:lang w:eastAsia="en-AU"/>
        </w:rPr>
        <w:t>on</w:t>
      </w:r>
      <w:r w:rsidR="000A5329" w:rsidRPr="002029AF">
        <w:rPr>
          <w:lang w:eastAsia="en-AU"/>
        </w:rPr>
        <w:t xml:space="preserve"> </w:t>
      </w:r>
      <w:r w:rsidRPr="002029AF">
        <w:rPr>
          <w:lang w:eastAsia="en-AU"/>
        </w:rPr>
        <w:t>the</w:t>
      </w:r>
      <w:r w:rsidR="000A5329" w:rsidRPr="002029AF">
        <w:rPr>
          <w:lang w:eastAsia="en-AU"/>
        </w:rPr>
        <w:t xml:space="preserve"> </w:t>
      </w:r>
      <w:r w:rsidRPr="00791FED">
        <w:t>department’s</w:t>
      </w:r>
      <w:r w:rsidR="000A5329" w:rsidRPr="00791FED">
        <w:t xml:space="preserve"> </w:t>
      </w:r>
      <w:r w:rsidRPr="00791FED">
        <w:t>website</w:t>
      </w:r>
      <w:r w:rsidR="00791FED">
        <w:t>:</w:t>
      </w:r>
      <w:r w:rsidR="000A5329" w:rsidRPr="002029AF">
        <w:rPr>
          <w:lang w:eastAsia="en-AU"/>
        </w:rPr>
        <w:t xml:space="preserve"> </w:t>
      </w:r>
      <w:hyperlink r:id="rId178" w:history="1">
        <w:r w:rsidR="00791FED" w:rsidRPr="00791FED">
          <w:rPr>
            <w:rStyle w:val="Hyperlink"/>
          </w:rPr>
          <w:t>Registration requirements for disability service providers</w:t>
        </w:r>
      </w:hyperlink>
      <w:r w:rsidR="00791FED">
        <w:t xml:space="preserve"> </w:t>
      </w:r>
      <w:r w:rsidRPr="002029AF">
        <w:rPr>
          <w:lang w:eastAsia="en-AU"/>
        </w:rPr>
        <w:t>&lt;https://providers.dhhs.vic.</w:t>
      </w:r>
      <w:r w:rsidR="00791FED">
        <w:rPr>
          <w:lang w:eastAsia="en-AU"/>
        </w:rPr>
        <w:br/>
      </w:r>
      <w:r w:rsidRPr="002029AF">
        <w:rPr>
          <w:lang w:eastAsia="en-AU"/>
        </w:rPr>
        <w:t>gov.au/registration-requirements-disability-service-providers&gt;.</w:t>
      </w:r>
    </w:p>
    <w:p w14:paraId="1FD56BE7" w14:textId="5AC55D61" w:rsidR="00CF72D5" w:rsidRPr="002029AF" w:rsidRDefault="00CF72D5" w:rsidP="00897193">
      <w:pPr>
        <w:pStyle w:val="Heading3"/>
      </w:pPr>
      <w:bookmarkStart w:id="166" w:name="_Ref525207582"/>
      <w:r w:rsidRPr="002029AF">
        <w:t>Register</w:t>
      </w:r>
      <w:r w:rsidR="000A5329" w:rsidRPr="002029AF">
        <w:t xml:space="preserve"> </w:t>
      </w:r>
      <w:r w:rsidRPr="002029AF">
        <w:t>of</w:t>
      </w:r>
      <w:r w:rsidR="000A5329" w:rsidRPr="002029AF">
        <w:t xml:space="preserve"> </w:t>
      </w:r>
      <w:r w:rsidRPr="002029AF">
        <w:t>community</w:t>
      </w:r>
      <w:r w:rsidR="000A5329" w:rsidRPr="002029AF">
        <w:t xml:space="preserve"> </w:t>
      </w:r>
      <w:r w:rsidRPr="002029AF">
        <w:t>services</w:t>
      </w:r>
      <w:bookmarkEnd w:id="166"/>
    </w:p>
    <w:p w14:paraId="59992EBE" w14:textId="4726CEFB" w:rsidR="00CF72D5" w:rsidRPr="002029AF" w:rsidRDefault="00CF72D5" w:rsidP="00897193">
      <w:pPr>
        <w:pStyle w:val="ARbody"/>
      </w:pPr>
      <w:r w:rsidRPr="002029AF">
        <w:t>The</w:t>
      </w:r>
      <w:r w:rsidR="000A5329" w:rsidRPr="002029AF">
        <w:t xml:space="preserve"> </w:t>
      </w:r>
      <w:r w:rsidRPr="002029AF">
        <w:rPr>
          <w:i/>
          <w:iCs/>
        </w:rPr>
        <w:t>Children,</w:t>
      </w:r>
      <w:r w:rsidR="000A5329" w:rsidRPr="002029AF">
        <w:rPr>
          <w:i/>
          <w:iCs/>
        </w:rPr>
        <w:t xml:space="preserve"> </w:t>
      </w:r>
      <w:r w:rsidRPr="002029AF">
        <w:rPr>
          <w:i/>
          <w:iCs/>
        </w:rPr>
        <w:t>Youth</w:t>
      </w:r>
      <w:r w:rsidR="000A5329" w:rsidRPr="002029AF">
        <w:rPr>
          <w:i/>
          <w:iCs/>
        </w:rPr>
        <w:t xml:space="preserve"> </w:t>
      </w:r>
      <w:r w:rsidRPr="002029AF">
        <w:rPr>
          <w:i/>
          <w:iCs/>
        </w:rPr>
        <w:t>and</w:t>
      </w:r>
      <w:r w:rsidR="000A5329" w:rsidRPr="002029AF">
        <w:rPr>
          <w:i/>
          <w:iCs/>
        </w:rPr>
        <w:t xml:space="preserve"> </w:t>
      </w:r>
      <w:r w:rsidRPr="002029AF">
        <w:rPr>
          <w:i/>
          <w:iCs/>
        </w:rPr>
        <w:t>Families</w:t>
      </w:r>
      <w:r w:rsidR="000A5329" w:rsidRPr="002029AF">
        <w:rPr>
          <w:i/>
          <w:iCs/>
        </w:rPr>
        <w:t xml:space="preserve"> </w:t>
      </w:r>
      <w:r w:rsidRPr="002029AF">
        <w:rPr>
          <w:i/>
          <w:iCs/>
        </w:rPr>
        <w:t>Act</w:t>
      </w:r>
      <w:r w:rsidR="000A5329" w:rsidRPr="002029AF">
        <w:t xml:space="preserve"> </w:t>
      </w:r>
      <w:r w:rsidRPr="002029AF">
        <w:t>provides</w:t>
      </w:r>
      <w:r w:rsidR="000A5329" w:rsidRPr="002029AF">
        <w:t xml:space="preserve"> </w:t>
      </w:r>
      <w:r w:rsidRPr="002029AF">
        <w:t>a</w:t>
      </w:r>
      <w:r w:rsidR="000A5329" w:rsidRPr="002029AF">
        <w:t xml:space="preserve"> </w:t>
      </w:r>
      <w:r w:rsidRPr="002029AF">
        <w:t>strong</w:t>
      </w:r>
      <w:r w:rsidR="000A5329" w:rsidRPr="002029AF">
        <w:t xml:space="preserve"> </w:t>
      </w:r>
      <w:r w:rsidRPr="002029AF">
        <w:t>focus</w:t>
      </w:r>
      <w:r w:rsidR="000A5329" w:rsidRPr="002029AF">
        <w:t xml:space="preserve"> </w:t>
      </w:r>
      <w:r w:rsidRPr="002029AF">
        <w:t>on</w:t>
      </w:r>
      <w:r w:rsidR="000A5329" w:rsidRPr="002029AF">
        <w:t xml:space="preserve"> </w:t>
      </w:r>
      <w:r w:rsidRPr="002029AF">
        <w:t>the</w:t>
      </w:r>
      <w:r w:rsidR="000A5329" w:rsidRPr="002029AF">
        <w:t xml:space="preserve"> </w:t>
      </w:r>
      <w:r w:rsidRPr="002029AF">
        <w:t>quality</w:t>
      </w:r>
      <w:r w:rsidR="000A5329" w:rsidRPr="002029AF">
        <w:t xml:space="preserve"> </w:t>
      </w:r>
      <w:r w:rsidRPr="002029AF">
        <w:t>of</w:t>
      </w:r>
      <w:r w:rsidR="000A5329" w:rsidRPr="002029AF">
        <w:t xml:space="preserve"> </w:t>
      </w:r>
      <w:r w:rsidRPr="002029AF">
        <w:t>services</w:t>
      </w:r>
      <w:r w:rsidR="000A5329" w:rsidRPr="002029AF">
        <w:t xml:space="preserve"> </w:t>
      </w:r>
      <w:r w:rsidRPr="002029AF">
        <w:t>delivered</w:t>
      </w:r>
      <w:r w:rsidR="000A5329" w:rsidRPr="002029AF">
        <w:t xml:space="preserve"> </w:t>
      </w:r>
      <w:r w:rsidRPr="002029AF">
        <w:t>to</w:t>
      </w:r>
      <w:r w:rsidR="006F2C99" w:rsidRPr="002029AF">
        <w:t> </w:t>
      </w:r>
      <w:r w:rsidRPr="002029AF">
        <w:t>children,</w:t>
      </w:r>
      <w:r w:rsidR="000A5329" w:rsidRPr="002029AF">
        <w:t xml:space="preserve"> </w:t>
      </w:r>
      <w:r w:rsidRPr="002029AF">
        <w:t>young</w:t>
      </w:r>
      <w:r w:rsidR="000A5329" w:rsidRPr="002029AF">
        <w:t xml:space="preserve"> </w:t>
      </w:r>
      <w:r w:rsidRPr="002029AF">
        <w:t>people</w:t>
      </w:r>
      <w:r w:rsidR="000A5329" w:rsidRPr="002029AF">
        <w:t xml:space="preserve"> </w:t>
      </w:r>
      <w:r w:rsidRPr="002029AF">
        <w:t>and</w:t>
      </w:r>
      <w:r w:rsidR="000A5329" w:rsidRPr="002029AF">
        <w:t xml:space="preserve"> </w:t>
      </w:r>
      <w:r w:rsidRPr="002029AF">
        <w:t>families.</w:t>
      </w:r>
      <w:r w:rsidR="000A5329" w:rsidRPr="002029AF">
        <w:t xml:space="preserve"> </w:t>
      </w:r>
      <w:r w:rsidRPr="002029AF">
        <w:t>Funded</w:t>
      </w:r>
      <w:r w:rsidR="000A5329" w:rsidRPr="002029AF">
        <w:t xml:space="preserve"> </w:t>
      </w:r>
      <w:r w:rsidRPr="002029AF">
        <w:t>organisations</w:t>
      </w:r>
      <w:r w:rsidR="000A5329" w:rsidRPr="002029AF">
        <w:t xml:space="preserve"> </w:t>
      </w:r>
      <w:r w:rsidRPr="002029AF">
        <w:t>that</w:t>
      </w:r>
      <w:r w:rsidR="000A5329" w:rsidRPr="002029AF">
        <w:t xml:space="preserve"> </w:t>
      </w:r>
      <w:r w:rsidRPr="002029AF">
        <w:t>deliver</w:t>
      </w:r>
      <w:r w:rsidR="000A5329" w:rsidRPr="002029AF">
        <w:t xml:space="preserve"> </w:t>
      </w:r>
      <w:r w:rsidRPr="002029AF">
        <w:t>family</w:t>
      </w:r>
      <w:r w:rsidR="000A5329" w:rsidRPr="002029AF">
        <w:t xml:space="preserve"> </w:t>
      </w:r>
      <w:r w:rsidRPr="002029AF">
        <w:t>and</w:t>
      </w:r>
      <w:r w:rsidR="000A5329" w:rsidRPr="002029AF">
        <w:t xml:space="preserve"> </w:t>
      </w:r>
      <w:r w:rsidRPr="002029AF">
        <w:t>out-of-home</w:t>
      </w:r>
      <w:r w:rsidR="000A5329" w:rsidRPr="002029AF">
        <w:t xml:space="preserve"> </w:t>
      </w:r>
      <w:r w:rsidRPr="002029AF">
        <w:t>care</w:t>
      </w:r>
      <w:r w:rsidR="000A5329" w:rsidRPr="002029AF">
        <w:t xml:space="preserve"> </w:t>
      </w:r>
      <w:r w:rsidRPr="002029AF">
        <w:t>services</w:t>
      </w:r>
      <w:r w:rsidR="000A5329" w:rsidRPr="002029AF">
        <w:t xml:space="preserve"> </w:t>
      </w:r>
      <w:r w:rsidRPr="002029AF">
        <w:t>are</w:t>
      </w:r>
      <w:r w:rsidR="000A5329" w:rsidRPr="002029AF">
        <w:t xml:space="preserve"> </w:t>
      </w:r>
      <w:r w:rsidRPr="002029AF">
        <w:t>required</w:t>
      </w:r>
      <w:r w:rsidR="000A5329" w:rsidRPr="002029AF">
        <w:t xml:space="preserve"> </w:t>
      </w:r>
      <w:r w:rsidRPr="002029AF">
        <w:t>to</w:t>
      </w:r>
      <w:r w:rsidR="000A5329" w:rsidRPr="002029AF">
        <w:t xml:space="preserve"> </w:t>
      </w:r>
      <w:r w:rsidRPr="002029AF">
        <w:t>be</w:t>
      </w:r>
      <w:r w:rsidR="000A5329" w:rsidRPr="002029AF">
        <w:t xml:space="preserve"> </w:t>
      </w:r>
      <w:r w:rsidRPr="002029AF">
        <w:t>registered</w:t>
      </w:r>
      <w:r w:rsidR="000A5329" w:rsidRPr="002029AF">
        <w:t xml:space="preserve"> </w:t>
      </w:r>
      <w:r w:rsidRPr="002029AF">
        <w:t>and</w:t>
      </w:r>
      <w:r w:rsidR="000A5329" w:rsidRPr="002029AF">
        <w:t xml:space="preserve"> </w:t>
      </w:r>
      <w:r w:rsidRPr="002029AF">
        <w:t>comply</w:t>
      </w:r>
      <w:r w:rsidR="000A5329" w:rsidRPr="002029AF">
        <w:t xml:space="preserve"> </w:t>
      </w:r>
      <w:r w:rsidRPr="002029AF">
        <w:t>with</w:t>
      </w:r>
      <w:r w:rsidR="000A5329" w:rsidRPr="002029AF">
        <w:t xml:space="preserve"> </w:t>
      </w:r>
      <w:r w:rsidRPr="002029AF">
        <w:t>the</w:t>
      </w:r>
      <w:r w:rsidR="000A5329" w:rsidRPr="002029AF">
        <w:t xml:space="preserve"> </w:t>
      </w:r>
      <w:r w:rsidRPr="002029AF">
        <w:t>Human</w:t>
      </w:r>
      <w:r w:rsidR="000A5329" w:rsidRPr="002029AF">
        <w:t xml:space="preserve"> </w:t>
      </w:r>
      <w:r w:rsidRPr="002029AF">
        <w:t>Services</w:t>
      </w:r>
      <w:r w:rsidR="000A5329" w:rsidRPr="002029AF">
        <w:t xml:space="preserve"> </w:t>
      </w:r>
      <w:r w:rsidRPr="002029AF">
        <w:t>Standards.</w:t>
      </w:r>
    </w:p>
    <w:p w14:paraId="64A32735" w14:textId="31C70095" w:rsidR="00CF72D5" w:rsidRPr="002029AF" w:rsidRDefault="00CF72D5" w:rsidP="00897193">
      <w:pPr>
        <w:pStyle w:val="ARbody"/>
      </w:pPr>
      <w:r w:rsidRPr="002029AF">
        <w:t>Section</w:t>
      </w:r>
      <w:r w:rsidR="000A5329" w:rsidRPr="002029AF">
        <w:t xml:space="preserve"> </w:t>
      </w:r>
      <w:r w:rsidRPr="002029AF">
        <w:t>54</w:t>
      </w:r>
      <w:r w:rsidR="000A5329" w:rsidRPr="002029AF">
        <w:t xml:space="preserve"> </w:t>
      </w:r>
      <w:r w:rsidRPr="002029AF">
        <w:t>of</w:t>
      </w:r>
      <w:r w:rsidR="000A5329" w:rsidRPr="002029AF">
        <w:t xml:space="preserve"> </w:t>
      </w:r>
      <w:r w:rsidRPr="002029AF">
        <w:t>the</w:t>
      </w:r>
      <w:r w:rsidR="000A5329" w:rsidRPr="002029AF">
        <w:t xml:space="preserve"> </w:t>
      </w:r>
      <w:r w:rsidRPr="002029AF">
        <w:rPr>
          <w:i/>
          <w:iCs/>
        </w:rPr>
        <w:t>Children,</w:t>
      </w:r>
      <w:r w:rsidR="000A5329" w:rsidRPr="002029AF">
        <w:rPr>
          <w:i/>
          <w:iCs/>
        </w:rPr>
        <w:t xml:space="preserve"> </w:t>
      </w:r>
      <w:r w:rsidRPr="002029AF">
        <w:rPr>
          <w:i/>
          <w:iCs/>
        </w:rPr>
        <w:t>Youth</w:t>
      </w:r>
      <w:r w:rsidR="000A5329" w:rsidRPr="002029AF">
        <w:rPr>
          <w:i/>
          <w:iCs/>
        </w:rPr>
        <w:t xml:space="preserve"> </w:t>
      </w:r>
      <w:r w:rsidRPr="002029AF">
        <w:rPr>
          <w:i/>
          <w:iCs/>
        </w:rPr>
        <w:t>and</w:t>
      </w:r>
      <w:r w:rsidR="000A5329" w:rsidRPr="002029AF">
        <w:rPr>
          <w:i/>
          <w:iCs/>
        </w:rPr>
        <w:t xml:space="preserve"> </w:t>
      </w:r>
      <w:r w:rsidRPr="002029AF">
        <w:rPr>
          <w:i/>
          <w:iCs/>
        </w:rPr>
        <w:t>Families</w:t>
      </w:r>
      <w:r w:rsidR="000A5329" w:rsidRPr="002029AF">
        <w:rPr>
          <w:i/>
          <w:iCs/>
        </w:rPr>
        <w:t xml:space="preserve"> </w:t>
      </w:r>
      <w:r w:rsidRPr="002029AF">
        <w:rPr>
          <w:i/>
          <w:iCs/>
        </w:rPr>
        <w:t>Act</w:t>
      </w:r>
      <w:r w:rsidR="000A5329" w:rsidRPr="002029AF">
        <w:t xml:space="preserve"> </w:t>
      </w:r>
      <w:r w:rsidRPr="002029AF">
        <w:t>requires</w:t>
      </w:r>
      <w:r w:rsidR="000A5329" w:rsidRPr="002029AF">
        <w:t xml:space="preserve"> </w:t>
      </w:r>
      <w:r w:rsidRPr="002029AF">
        <w:t>the</w:t>
      </w:r>
      <w:r w:rsidR="000A5329" w:rsidRPr="002029AF">
        <w:t xml:space="preserve"> </w:t>
      </w:r>
      <w:r w:rsidRPr="002029AF">
        <w:t>Secretary</w:t>
      </w:r>
      <w:r w:rsidR="000A5329" w:rsidRPr="002029AF">
        <w:t xml:space="preserve"> </w:t>
      </w:r>
      <w:r w:rsidRPr="002029AF">
        <w:t>of</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to</w:t>
      </w:r>
      <w:r w:rsidR="000A5329" w:rsidRPr="002029AF">
        <w:t xml:space="preserve"> </w:t>
      </w:r>
      <w:r w:rsidRPr="002029AF">
        <w:t>keep</w:t>
      </w:r>
      <w:r w:rsidR="000A5329" w:rsidRPr="002029AF">
        <w:t xml:space="preserve"> </w:t>
      </w:r>
      <w:r w:rsidRPr="002029AF">
        <w:t>a</w:t>
      </w:r>
      <w:r w:rsidR="000A5329" w:rsidRPr="002029AF">
        <w:t xml:space="preserve"> </w:t>
      </w:r>
      <w:r w:rsidRPr="002029AF">
        <w:t>register</w:t>
      </w:r>
      <w:r w:rsidR="000A5329" w:rsidRPr="002029AF">
        <w:t xml:space="preserve"> </w:t>
      </w:r>
      <w:r w:rsidRPr="002029AF">
        <w:t>of</w:t>
      </w:r>
      <w:r w:rsidR="000A5329" w:rsidRPr="002029AF">
        <w:t xml:space="preserve"> </w:t>
      </w:r>
      <w:r w:rsidRPr="002029AF">
        <w:t>community</w:t>
      </w:r>
      <w:r w:rsidR="000A5329" w:rsidRPr="002029AF">
        <w:t xml:space="preserve"> </w:t>
      </w:r>
      <w:r w:rsidRPr="002029AF">
        <w:t>services.</w:t>
      </w:r>
      <w:r w:rsidR="000A5329" w:rsidRPr="002029AF">
        <w:t xml:space="preserve"> </w:t>
      </w:r>
      <w:r w:rsidRPr="002029AF">
        <w:t>Section</w:t>
      </w:r>
      <w:r w:rsidR="000A5329" w:rsidRPr="002029AF">
        <w:t xml:space="preserve"> </w:t>
      </w:r>
      <w:r w:rsidRPr="002029AF">
        <w:t>57</w:t>
      </w:r>
      <w:r w:rsidR="000A5329" w:rsidRPr="002029AF">
        <w:t xml:space="preserve"> </w:t>
      </w:r>
      <w:r w:rsidRPr="002029AF">
        <w:t>of</w:t>
      </w:r>
      <w:r w:rsidR="000A5329" w:rsidRPr="002029AF">
        <w:t xml:space="preserve"> </w:t>
      </w:r>
      <w:r w:rsidRPr="002029AF">
        <w:t>the</w:t>
      </w:r>
      <w:r w:rsidR="000A5329" w:rsidRPr="002029AF">
        <w:t xml:space="preserve"> </w:t>
      </w:r>
      <w:r w:rsidRPr="002029AF">
        <w:t>Act</w:t>
      </w:r>
      <w:r w:rsidR="000A5329" w:rsidRPr="002029AF">
        <w:t xml:space="preserve"> </w:t>
      </w:r>
      <w:r w:rsidRPr="002029AF">
        <w:t>requires</w:t>
      </w:r>
      <w:r w:rsidR="000A5329" w:rsidRPr="002029AF">
        <w:t xml:space="preserve"> </w:t>
      </w:r>
      <w:r w:rsidRPr="002029AF">
        <w:t>that</w:t>
      </w:r>
      <w:r w:rsidR="000A5329" w:rsidRPr="002029AF">
        <w:t xml:space="preserve"> </w:t>
      </w:r>
      <w:r w:rsidRPr="002029AF">
        <w:t>the</w:t>
      </w:r>
      <w:r w:rsidR="000A5329" w:rsidRPr="002029AF">
        <w:t xml:space="preserve"> </w:t>
      </w:r>
      <w:r w:rsidRPr="002029AF">
        <w:t>Secretary</w:t>
      </w:r>
      <w:r w:rsidR="000A5329" w:rsidRPr="002029AF">
        <w:t xml:space="preserve"> </w:t>
      </w:r>
      <w:r w:rsidRPr="002029AF">
        <w:t>must</w:t>
      </w:r>
      <w:r w:rsidR="000A5329" w:rsidRPr="002029AF">
        <w:t xml:space="preserve"> </w:t>
      </w:r>
      <w:r w:rsidRPr="002029AF">
        <w:t>make</w:t>
      </w:r>
      <w:r w:rsidR="000A5329" w:rsidRPr="002029AF">
        <w:t xml:space="preserve"> </w:t>
      </w:r>
      <w:r w:rsidRPr="002029AF">
        <w:t>a</w:t>
      </w:r>
      <w:r w:rsidR="000A5329" w:rsidRPr="002029AF">
        <w:t xml:space="preserve"> </w:t>
      </w:r>
      <w:r w:rsidRPr="002029AF">
        <w:t>copy</w:t>
      </w:r>
      <w:r w:rsidR="000A5329" w:rsidRPr="002029AF">
        <w:t xml:space="preserve"> </w:t>
      </w:r>
      <w:r w:rsidRPr="002029AF">
        <w:t>of</w:t>
      </w:r>
      <w:r w:rsidR="000A5329" w:rsidRPr="002029AF">
        <w:t xml:space="preserve"> </w:t>
      </w:r>
      <w:r w:rsidRPr="002029AF">
        <w:t>the</w:t>
      </w:r>
      <w:r w:rsidR="000A5329" w:rsidRPr="002029AF">
        <w:t xml:space="preserve"> </w:t>
      </w:r>
      <w:r w:rsidRPr="002029AF">
        <w:t>register</w:t>
      </w:r>
      <w:r w:rsidR="000A5329" w:rsidRPr="002029AF">
        <w:t xml:space="preserve"> </w:t>
      </w:r>
      <w:r w:rsidRPr="002029AF">
        <w:t>of</w:t>
      </w:r>
      <w:r w:rsidR="000A5329" w:rsidRPr="002029AF">
        <w:t xml:space="preserve"> </w:t>
      </w:r>
      <w:r w:rsidRPr="002029AF">
        <w:t>community</w:t>
      </w:r>
      <w:r w:rsidR="000A5329" w:rsidRPr="002029AF">
        <w:t xml:space="preserve"> </w:t>
      </w:r>
      <w:r w:rsidRPr="002029AF">
        <w:t>services</w:t>
      </w:r>
      <w:r w:rsidR="000A5329" w:rsidRPr="002029AF">
        <w:t xml:space="preserve"> </w:t>
      </w:r>
      <w:r w:rsidRPr="002029AF">
        <w:t>available</w:t>
      </w:r>
      <w:r w:rsidR="000A5329" w:rsidRPr="002029AF">
        <w:t xml:space="preserve"> </w:t>
      </w:r>
      <w:r w:rsidRPr="002029AF">
        <w:t>for</w:t>
      </w:r>
      <w:r w:rsidR="000A5329" w:rsidRPr="002029AF">
        <w:t xml:space="preserve"> </w:t>
      </w:r>
      <w:r w:rsidRPr="002029AF">
        <w:t>inspection</w:t>
      </w:r>
      <w:r w:rsidR="000A5329" w:rsidRPr="002029AF">
        <w:t xml:space="preserve"> </w:t>
      </w:r>
      <w:r w:rsidRPr="002029AF">
        <w:t>on</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internet</w:t>
      </w:r>
      <w:r w:rsidR="000A5329" w:rsidRPr="002029AF">
        <w:t xml:space="preserve"> </w:t>
      </w:r>
      <w:r w:rsidRPr="002029AF">
        <w:t>site.</w:t>
      </w:r>
    </w:p>
    <w:p w14:paraId="0268E329" w14:textId="49E7C1EB" w:rsidR="00262CBF" w:rsidRPr="002029AF" w:rsidRDefault="00CF72D5" w:rsidP="00897193">
      <w:pPr>
        <w:pStyle w:val="ARbody"/>
        <w:sectPr w:rsidR="00262CBF" w:rsidRPr="002029AF" w:rsidSect="00AE20EC">
          <w:headerReference w:type="even" r:id="rId179"/>
          <w:headerReference w:type="default" r:id="rId180"/>
          <w:footerReference w:type="default" r:id="rId181"/>
          <w:headerReference w:type="first" r:id="rId182"/>
          <w:footerReference w:type="first" r:id="rId183"/>
          <w:type w:val="continuous"/>
          <w:pgSz w:w="11906" w:h="16838"/>
          <w:pgMar w:top="1985" w:right="851" w:bottom="851" w:left="1418" w:header="510" w:footer="340" w:gutter="0"/>
          <w:cols w:num="2" w:space="454"/>
          <w:docGrid w:linePitch="360"/>
          <w15:footnoteColumns w:val="1"/>
        </w:sectPr>
      </w:pPr>
      <w:r w:rsidRPr="002029AF">
        <w:t>The</w:t>
      </w:r>
      <w:r w:rsidR="000A5329" w:rsidRPr="002029AF">
        <w:t xml:space="preserve"> </w:t>
      </w:r>
      <w:r w:rsidRPr="002029AF">
        <w:t>register</w:t>
      </w:r>
      <w:r w:rsidR="000A5329" w:rsidRPr="002029AF">
        <w:t xml:space="preserve"> </w:t>
      </w:r>
      <w:r w:rsidRPr="002029AF">
        <w:t>can</w:t>
      </w:r>
      <w:r w:rsidR="000A5329" w:rsidRPr="002029AF">
        <w:t xml:space="preserve"> </w:t>
      </w:r>
      <w:r w:rsidRPr="002029AF">
        <w:t>be</w:t>
      </w:r>
      <w:r w:rsidR="000A5329" w:rsidRPr="002029AF">
        <w:t xml:space="preserve"> </w:t>
      </w:r>
      <w:r w:rsidRPr="002029AF">
        <w:t>found</w:t>
      </w:r>
      <w:r w:rsidR="000A5329" w:rsidRPr="002029AF">
        <w:t xml:space="preserve"> </w:t>
      </w:r>
      <w:r w:rsidRPr="002029AF">
        <w:t>on</w:t>
      </w:r>
      <w:r w:rsidR="000A5329" w:rsidRPr="002029AF">
        <w:t xml:space="preserve"> </w:t>
      </w:r>
      <w:r w:rsidRPr="002029AF">
        <w:t>the</w:t>
      </w:r>
      <w:r w:rsidR="000A5329" w:rsidRPr="002029AF">
        <w:t xml:space="preserve"> </w:t>
      </w:r>
      <w:r w:rsidRPr="00791FED">
        <w:t>department’s</w:t>
      </w:r>
      <w:r w:rsidR="000A5329" w:rsidRPr="00791FED">
        <w:t xml:space="preserve"> </w:t>
      </w:r>
      <w:r w:rsidRPr="00791FED">
        <w:t>website</w:t>
      </w:r>
      <w:r w:rsidR="00791FED">
        <w:t>:</w:t>
      </w:r>
      <w:r w:rsidR="000A5329" w:rsidRPr="002029AF">
        <w:t xml:space="preserve"> </w:t>
      </w:r>
      <w:hyperlink r:id="rId184" w:history="1">
        <w:r w:rsidR="00791FED" w:rsidRPr="00791FED">
          <w:rPr>
            <w:rStyle w:val="Hyperlink"/>
          </w:rPr>
          <w:t>Registration requirements for</w:t>
        </w:r>
        <w:r w:rsidR="00791FED">
          <w:rPr>
            <w:rStyle w:val="Hyperlink"/>
          </w:rPr>
          <w:t xml:space="preserve"> community services</w:t>
        </w:r>
      </w:hyperlink>
      <w:r w:rsidRPr="002029AF">
        <w:t>&lt;https://providers.dhhs.vic.gov.au/register-community-services&gt;.</w:t>
      </w:r>
    </w:p>
    <w:p w14:paraId="1AAA311D" w14:textId="676C1FE5" w:rsidR="00CF72D5" w:rsidRPr="002029AF" w:rsidRDefault="00CF72D5" w:rsidP="002D3BED">
      <w:pPr>
        <w:pStyle w:val="Heading3"/>
        <w:spacing w:before="0"/>
      </w:pPr>
      <w:bookmarkStart w:id="167" w:name="_Ref525207621"/>
      <w:r w:rsidRPr="002029AF">
        <w:lastRenderedPageBreak/>
        <w:t>Registration</w:t>
      </w:r>
      <w:r w:rsidR="000A5329" w:rsidRPr="002029AF">
        <w:t xml:space="preserve"> </w:t>
      </w:r>
      <w:r w:rsidRPr="002029AF">
        <w:t>activity</w:t>
      </w:r>
      <w:bookmarkEnd w:id="167"/>
    </w:p>
    <w:p w14:paraId="3AE261BD" w14:textId="77777777" w:rsidR="009C18FC" w:rsidRPr="002029AF" w:rsidRDefault="00CF72D5" w:rsidP="00897193">
      <w:pPr>
        <w:pStyle w:val="ARbody"/>
        <w:rPr>
          <w:lang w:eastAsia="en-AU"/>
        </w:rPr>
      </w:pPr>
      <w:r w:rsidRPr="002029AF">
        <w:rPr>
          <w:lang w:eastAsia="en-AU"/>
        </w:rPr>
        <w:t>During</w:t>
      </w:r>
      <w:r w:rsidR="000A5329" w:rsidRPr="002029AF">
        <w:rPr>
          <w:lang w:eastAsia="en-AU"/>
        </w:rPr>
        <w:t xml:space="preserve"> </w:t>
      </w:r>
      <w:r w:rsidRPr="002029AF">
        <w:rPr>
          <w:lang w:eastAsia="en-AU"/>
        </w:rPr>
        <w:t>2019–20,</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department</w:t>
      </w:r>
      <w:r w:rsidR="000A5329" w:rsidRPr="002029AF">
        <w:rPr>
          <w:lang w:eastAsia="en-AU"/>
        </w:rPr>
        <w:t xml:space="preserve"> </w:t>
      </w:r>
      <w:r w:rsidRPr="002029AF">
        <w:rPr>
          <w:lang w:eastAsia="en-AU"/>
        </w:rPr>
        <w:t>revoked</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registration</w:t>
      </w:r>
      <w:r w:rsidR="000A5329" w:rsidRPr="002029AF">
        <w:rPr>
          <w:lang w:eastAsia="en-AU"/>
        </w:rPr>
        <w:t xml:space="preserve"> </w:t>
      </w:r>
      <w:r w:rsidRPr="002029AF">
        <w:rPr>
          <w:lang w:eastAsia="en-AU"/>
        </w:rPr>
        <w:t>for</w:t>
      </w:r>
      <w:r w:rsidR="000A5329" w:rsidRPr="002029AF">
        <w:rPr>
          <w:lang w:eastAsia="en-AU"/>
        </w:rPr>
        <w:t xml:space="preserve"> </w:t>
      </w:r>
      <w:r w:rsidRPr="002029AF">
        <w:rPr>
          <w:lang w:eastAsia="en-AU"/>
        </w:rPr>
        <w:t>a</w:t>
      </w:r>
      <w:r w:rsidR="000A5329" w:rsidRPr="002029AF">
        <w:rPr>
          <w:lang w:eastAsia="en-AU"/>
        </w:rPr>
        <w:t xml:space="preserve"> </w:t>
      </w:r>
      <w:r w:rsidRPr="002029AF">
        <w:rPr>
          <w:lang w:eastAsia="en-AU"/>
        </w:rPr>
        <w:t>number</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organisations</w:t>
      </w:r>
      <w:r w:rsidR="000A5329" w:rsidRPr="002029AF">
        <w:rPr>
          <w:lang w:eastAsia="en-AU"/>
        </w:rPr>
        <w:t xml:space="preserve"> </w:t>
      </w:r>
      <w:r w:rsidRPr="002029AF">
        <w:rPr>
          <w:lang w:eastAsia="en-AU"/>
        </w:rPr>
        <w:t>under</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Disability</w:t>
      </w:r>
      <w:r w:rsidR="000A5329" w:rsidRPr="002029AF">
        <w:rPr>
          <w:lang w:eastAsia="en-AU"/>
        </w:rPr>
        <w:t xml:space="preserve"> </w:t>
      </w:r>
      <w:r w:rsidRPr="002029AF">
        <w:rPr>
          <w:lang w:eastAsia="en-AU"/>
        </w:rPr>
        <w:t>Act</w:t>
      </w:r>
      <w:r w:rsidR="000A5329" w:rsidRPr="002029AF">
        <w:rPr>
          <w:lang w:eastAsia="en-AU"/>
        </w:rPr>
        <w:t xml:space="preserve"> </w:t>
      </w:r>
      <w:r w:rsidRPr="002029AF">
        <w:rPr>
          <w:lang w:eastAsia="en-AU"/>
        </w:rPr>
        <w:t>due</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organisations</w:t>
      </w:r>
      <w:r w:rsidR="000A5329" w:rsidRPr="002029AF">
        <w:rPr>
          <w:lang w:eastAsia="en-AU"/>
        </w:rPr>
        <w:t xml:space="preserve"> </w:t>
      </w:r>
      <w:r w:rsidRPr="002029AF">
        <w:rPr>
          <w:lang w:eastAsia="en-AU"/>
        </w:rPr>
        <w:t>transitioning</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National</w:t>
      </w:r>
      <w:r w:rsidR="000A5329" w:rsidRPr="002029AF">
        <w:rPr>
          <w:lang w:eastAsia="en-AU"/>
        </w:rPr>
        <w:t xml:space="preserve"> </w:t>
      </w:r>
      <w:r w:rsidRPr="002029AF">
        <w:rPr>
          <w:lang w:eastAsia="en-AU"/>
        </w:rPr>
        <w:t>Disability</w:t>
      </w:r>
      <w:r w:rsidR="000A5329" w:rsidRPr="002029AF">
        <w:rPr>
          <w:lang w:eastAsia="en-AU"/>
        </w:rPr>
        <w:t xml:space="preserve"> </w:t>
      </w:r>
      <w:r w:rsidRPr="002029AF">
        <w:rPr>
          <w:lang w:eastAsia="en-AU"/>
        </w:rPr>
        <w:t>Insurance</w:t>
      </w:r>
      <w:r w:rsidR="000A5329" w:rsidRPr="002029AF">
        <w:rPr>
          <w:lang w:eastAsia="en-AU"/>
        </w:rPr>
        <w:t xml:space="preserve"> </w:t>
      </w:r>
      <w:r w:rsidRPr="002029AF">
        <w:rPr>
          <w:lang w:eastAsia="en-AU"/>
        </w:rPr>
        <w:t>Scheme.</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following</w:t>
      </w:r>
      <w:r w:rsidR="000A5329" w:rsidRPr="002029AF">
        <w:rPr>
          <w:lang w:eastAsia="en-AU"/>
        </w:rPr>
        <w:t xml:space="preserve"> </w:t>
      </w:r>
      <w:r w:rsidRPr="002029AF">
        <w:rPr>
          <w:lang w:eastAsia="en-AU"/>
        </w:rPr>
        <w:t>registration</w:t>
      </w:r>
      <w:r w:rsidR="000A5329" w:rsidRPr="002029AF">
        <w:rPr>
          <w:lang w:eastAsia="en-AU"/>
        </w:rPr>
        <w:t xml:space="preserve"> </w:t>
      </w:r>
      <w:r w:rsidRPr="002029AF">
        <w:rPr>
          <w:lang w:eastAsia="en-AU"/>
        </w:rPr>
        <w:t>activities</w:t>
      </w:r>
      <w:r w:rsidR="000A5329" w:rsidRPr="002029AF">
        <w:rPr>
          <w:lang w:eastAsia="en-AU"/>
        </w:rPr>
        <w:t xml:space="preserve"> </w:t>
      </w:r>
      <w:r w:rsidRPr="002029AF">
        <w:rPr>
          <w:lang w:eastAsia="en-AU"/>
        </w:rPr>
        <w:t>occurred.</w:t>
      </w:r>
    </w:p>
    <w:tbl>
      <w:tblPr>
        <w:tblW w:w="5000" w:type="pct"/>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6A0" w:firstRow="1" w:lastRow="0" w:firstColumn="1" w:lastColumn="0" w:noHBand="1" w:noVBand="1"/>
      </w:tblPr>
      <w:tblGrid>
        <w:gridCol w:w="3031"/>
        <w:gridCol w:w="935"/>
        <w:gridCol w:w="1780"/>
        <w:gridCol w:w="1189"/>
        <w:gridCol w:w="1333"/>
        <w:gridCol w:w="1353"/>
      </w:tblGrid>
      <w:tr w:rsidR="009C18FC" w:rsidRPr="002029AF" w14:paraId="3C60E255" w14:textId="77777777" w:rsidTr="00427191">
        <w:trPr>
          <w:cantSplit/>
          <w:tblHeader/>
        </w:trPr>
        <w:tc>
          <w:tcPr>
            <w:tcW w:w="1575" w:type="pct"/>
            <w:vAlign w:val="bottom"/>
          </w:tcPr>
          <w:p w14:paraId="73645E66" w14:textId="7401FD87" w:rsidR="009C18FC" w:rsidRPr="002029AF" w:rsidRDefault="009C18FC" w:rsidP="00427191">
            <w:pPr>
              <w:pStyle w:val="ARtablecolhead"/>
            </w:pPr>
            <w:r w:rsidRPr="002029AF">
              <w:t>Registration</w:t>
            </w:r>
            <w:r w:rsidR="000A5329" w:rsidRPr="002029AF">
              <w:rPr>
                <w:spacing w:val="-6"/>
              </w:rPr>
              <w:t xml:space="preserve"> </w:t>
            </w:r>
            <w:r w:rsidRPr="002029AF">
              <w:t>type</w:t>
            </w:r>
          </w:p>
        </w:tc>
        <w:tc>
          <w:tcPr>
            <w:tcW w:w="1411" w:type="pct"/>
            <w:gridSpan w:val="2"/>
            <w:vAlign w:val="bottom"/>
          </w:tcPr>
          <w:p w14:paraId="6C865AFD" w14:textId="666CB8DA" w:rsidR="009C18FC" w:rsidRPr="002029AF" w:rsidRDefault="009C18FC" w:rsidP="00427191">
            <w:pPr>
              <w:pStyle w:val="ARtablecolhead"/>
              <w:jc w:val="right"/>
            </w:pPr>
            <w:r w:rsidRPr="002029AF">
              <w:t>New</w:t>
            </w:r>
            <w:r w:rsidR="000A5329" w:rsidRPr="002029AF">
              <w:t xml:space="preserve"> </w:t>
            </w:r>
            <w:r w:rsidRPr="002029AF">
              <w:t>registrations</w:t>
            </w:r>
            <w:r w:rsidR="000A5329" w:rsidRPr="002029AF">
              <w:t xml:space="preserve"> </w:t>
            </w:r>
            <w:r w:rsidRPr="002029AF">
              <w:br/>
              <w:t>processed</w:t>
            </w:r>
            <w:r w:rsidR="000A5329" w:rsidRPr="002029AF">
              <w:t xml:space="preserve"> </w:t>
            </w:r>
            <w:r w:rsidRPr="002029AF">
              <w:br/>
              <w:t>201</w:t>
            </w:r>
            <w:r w:rsidR="00DB53E6" w:rsidRPr="002029AF">
              <w:t>9–</w:t>
            </w:r>
            <w:r w:rsidRPr="002029AF">
              <w:t>20</w:t>
            </w:r>
          </w:p>
        </w:tc>
        <w:tc>
          <w:tcPr>
            <w:tcW w:w="618" w:type="pct"/>
            <w:vAlign w:val="bottom"/>
          </w:tcPr>
          <w:p w14:paraId="795D7BBE" w14:textId="1246BE7A" w:rsidR="009C18FC" w:rsidRPr="002029AF" w:rsidRDefault="009C18FC" w:rsidP="00427191">
            <w:pPr>
              <w:pStyle w:val="ARtablecolhead"/>
              <w:jc w:val="right"/>
            </w:pPr>
            <w:r w:rsidRPr="002029AF">
              <w:t>Renewals/</w:t>
            </w:r>
            <w:r w:rsidRPr="002029AF">
              <w:br/>
              <w:t>extensions</w:t>
            </w:r>
            <w:r w:rsidR="000A5329" w:rsidRPr="002029AF">
              <w:t xml:space="preserve"> </w:t>
            </w:r>
            <w:r w:rsidRPr="002029AF">
              <w:t>processed</w:t>
            </w:r>
            <w:r w:rsidR="000A5329" w:rsidRPr="002029AF">
              <w:t xml:space="preserve"> </w:t>
            </w:r>
            <w:r w:rsidRPr="002029AF">
              <w:t>201</w:t>
            </w:r>
            <w:r w:rsidR="00DB53E6" w:rsidRPr="002029AF">
              <w:t>9–</w:t>
            </w:r>
            <w:r w:rsidRPr="002029AF">
              <w:t>20</w:t>
            </w:r>
          </w:p>
        </w:tc>
        <w:tc>
          <w:tcPr>
            <w:tcW w:w="693" w:type="pct"/>
            <w:vAlign w:val="bottom"/>
          </w:tcPr>
          <w:p w14:paraId="12610E27" w14:textId="47229D9A" w:rsidR="009C18FC" w:rsidRPr="002029AF" w:rsidRDefault="009C18FC" w:rsidP="00427191">
            <w:pPr>
              <w:pStyle w:val="ARtablecolhead"/>
              <w:jc w:val="right"/>
            </w:pPr>
            <w:r w:rsidRPr="002029AF">
              <w:t>Registrations</w:t>
            </w:r>
            <w:r w:rsidR="000A5329" w:rsidRPr="002029AF">
              <w:t xml:space="preserve"> </w:t>
            </w:r>
            <w:r w:rsidRPr="002029AF">
              <w:t>lapsed/</w:t>
            </w:r>
            <w:r w:rsidR="000A5329" w:rsidRPr="002029AF">
              <w:t xml:space="preserve"> </w:t>
            </w:r>
            <w:r w:rsidRPr="002029AF">
              <w:t>revoked</w:t>
            </w:r>
            <w:r w:rsidR="000A5329" w:rsidRPr="002029AF">
              <w:t xml:space="preserve"> </w:t>
            </w:r>
            <w:r w:rsidRPr="002029AF">
              <w:br/>
              <w:t>201</w:t>
            </w:r>
            <w:r w:rsidR="00DB53E6" w:rsidRPr="002029AF">
              <w:t>9–</w:t>
            </w:r>
            <w:r w:rsidRPr="002029AF">
              <w:t>20</w:t>
            </w:r>
          </w:p>
        </w:tc>
        <w:tc>
          <w:tcPr>
            <w:tcW w:w="703" w:type="pct"/>
            <w:vAlign w:val="bottom"/>
          </w:tcPr>
          <w:p w14:paraId="3068B7D3" w14:textId="045B5665" w:rsidR="009C18FC" w:rsidRPr="002029AF" w:rsidRDefault="009C18FC" w:rsidP="00427191">
            <w:pPr>
              <w:pStyle w:val="ARtablecolhead"/>
              <w:jc w:val="right"/>
            </w:pPr>
            <w:r w:rsidRPr="002029AF">
              <w:rPr>
                <w:spacing w:val="-15"/>
              </w:rPr>
              <w:t>T</w:t>
            </w:r>
            <w:r w:rsidRPr="002029AF">
              <w:t>otal</w:t>
            </w:r>
            <w:r w:rsidR="000A5329" w:rsidRPr="002029AF">
              <w:rPr>
                <w:spacing w:val="-5"/>
              </w:rPr>
              <w:t xml:space="preserve"> </w:t>
            </w:r>
            <w:r w:rsidRPr="002029AF">
              <w:t>number</w:t>
            </w:r>
            <w:r w:rsidR="000A5329" w:rsidRPr="002029AF">
              <w:rPr>
                <w:w w:val="99"/>
              </w:rPr>
              <w:t xml:space="preserve"> </w:t>
            </w:r>
            <w:r w:rsidRPr="002029AF">
              <w:t>registered</w:t>
            </w:r>
            <w:r w:rsidR="000A5329" w:rsidRPr="002029AF">
              <w:rPr>
                <w:spacing w:val="4"/>
              </w:rPr>
              <w:t xml:space="preserve"> </w:t>
            </w:r>
            <w:r w:rsidRPr="002029AF">
              <w:t>at</w:t>
            </w:r>
            <w:r w:rsidR="000A5329" w:rsidRPr="002029AF">
              <w:rPr>
                <w:spacing w:val="2"/>
              </w:rPr>
              <w:t xml:space="preserve"> </w:t>
            </w:r>
            <w:r w:rsidRPr="002029AF">
              <w:rPr>
                <w:spacing w:val="2"/>
              </w:rPr>
              <w:br/>
            </w:r>
            <w:r w:rsidRPr="002029AF">
              <w:t>30</w:t>
            </w:r>
            <w:r w:rsidR="000A5329" w:rsidRPr="002029AF">
              <w:rPr>
                <w:spacing w:val="3"/>
              </w:rPr>
              <w:t xml:space="preserve"> </w:t>
            </w:r>
            <w:r w:rsidRPr="002029AF">
              <w:t>June</w:t>
            </w:r>
            <w:r w:rsidR="000A5329" w:rsidRPr="002029AF">
              <w:t xml:space="preserve"> </w:t>
            </w:r>
            <w:r w:rsidRPr="002029AF">
              <w:t>2020</w:t>
            </w:r>
          </w:p>
        </w:tc>
      </w:tr>
      <w:tr w:rsidR="009C18FC" w:rsidRPr="002029AF" w14:paraId="26074C42" w14:textId="77777777" w:rsidTr="009F655F">
        <w:trPr>
          <w:cantSplit/>
        </w:trPr>
        <w:tc>
          <w:tcPr>
            <w:tcW w:w="2061" w:type="pct"/>
            <w:gridSpan w:val="2"/>
            <w:tcBorders>
              <w:bottom w:val="single" w:sz="4" w:space="0" w:color="auto"/>
            </w:tcBorders>
          </w:tcPr>
          <w:p w14:paraId="6BD7B80F" w14:textId="0C4C9253" w:rsidR="009C18FC" w:rsidRPr="002029AF" w:rsidRDefault="009C18FC" w:rsidP="00427191">
            <w:pPr>
              <w:pStyle w:val="ARtabletext"/>
              <w:rPr>
                <w:i/>
              </w:rPr>
            </w:pPr>
            <w:r w:rsidRPr="002029AF">
              <w:t>Registration</w:t>
            </w:r>
            <w:r w:rsidR="000A5329" w:rsidRPr="002029AF">
              <w:t xml:space="preserve"> </w:t>
            </w:r>
            <w:r w:rsidRPr="002029AF">
              <w:t>under</w:t>
            </w:r>
            <w:r w:rsidR="000A5329" w:rsidRPr="002029AF">
              <w:t xml:space="preserve"> </w:t>
            </w:r>
            <w:r w:rsidRPr="002029AF">
              <w:t>the</w:t>
            </w:r>
            <w:r w:rsidR="000A5329" w:rsidRPr="002029AF">
              <w:t xml:space="preserve"> </w:t>
            </w:r>
            <w:r w:rsidRPr="002029AF">
              <w:rPr>
                <w:i/>
              </w:rPr>
              <w:t>Disability</w:t>
            </w:r>
            <w:r w:rsidR="000A5329" w:rsidRPr="002029AF">
              <w:rPr>
                <w:i/>
              </w:rPr>
              <w:t xml:space="preserve"> </w:t>
            </w:r>
            <w:r w:rsidRPr="002029AF">
              <w:rPr>
                <w:i/>
              </w:rPr>
              <w:t>Act</w:t>
            </w:r>
            <w:r w:rsidR="000A5329" w:rsidRPr="002029AF">
              <w:rPr>
                <w:i/>
              </w:rPr>
              <w:t xml:space="preserve"> </w:t>
            </w:r>
            <w:r w:rsidRPr="002029AF">
              <w:rPr>
                <w:i/>
              </w:rPr>
              <w:t>2006</w:t>
            </w:r>
          </w:p>
        </w:tc>
        <w:tc>
          <w:tcPr>
            <w:tcW w:w="925" w:type="pct"/>
            <w:tcBorders>
              <w:bottom w:val="single" w:sz="4" w:space="0" w:color="auto"/>
            </w:tcBorders>
          </w:tcPr>
          <w:p w14:paraId="4DBD07D7" w14:textId="77777777" w:rsidR="009C18FC" w:rsidRPr="002029AF" w:rsidRDefault="009C18FC" w:rsidP="00427191">
            <w:pPr>
              <w:pStyle w:val="ARtabletextright"/>
            </w:pPr>
            <w:r w:rsidRPr="002029AF">
              <w:t>1</w:t>
            </w:r>
          </w:p>
        </w:tc>
        <w:tc>
          <w:tcPr>
            <w:tcW w:w="618" w:type="pct"/>
            <w:tcBorders>
              <w:bottom w:val="single" w:sz="4" w:space="0" w:color="auto"/>
            </w:tcBorders>
          </w:tcPr>
          <w:p w14:paraId="67E2AEA0" w14:textId="77777777" w:rsidR="009C18FC" w:rsidRPr="002029AF" w:rsidRDefault="009C18FC" w:rsidP="00427191">
            <w:pPr>
              <w:pStyle w:val="ARtabletextright"/>
            </w:pPr>
            <w:r w:rsidRPr="002029AF">
              <w:t>12</w:t>
            </w:r>
          </w:p>
        </w:tc>
        <w:tc>
          <w:tcPr>
            <w:tcW w:w="693" w:type="pct"/>
            <w:tcBorders>
              <w:bottom w:val="single" w:sz="4" w:space="0" w:color="auto"/>
            </w:tcBorders>
          </w:tcPr>
          <w:p w14:paraId="7E522310" w14:textId="77777777" w:rsidR="009C18FC" w:rsidRPr="002029AF" w:rsidRDefault="009C18FC" w:rsidP="00427191">
            <w:pPr>
              <w:pStyle w:val="ARtabletextright"/>
            </w:pPr>
            <w:r w:rsidRPr="002029AF">
              <w:t>491</w:t>
            </w:r>
          </w:p>
        </w:tc>
        <w:tc>
          <w:tcPr>
            <w:tcW w:w="703" w:type="pct"/>
            <w:tcBorders>
              <w:bottom w:val="single" w:sz="4" w:space="0" w:color="auto"/>
            </w:tcBorders>
          </w:tcPr>
          <w:p w14:paraId="30180F14" w14:textId="77777777" w:rsidR="009C18FC" w:rsidRPr="002029AF" w:rsidRDefault="009C18FC" w:rsidP="00427191">
            <w:pPr>
              <w:pStyle w:val="ARtabletextright"/>
            </w:pPr>
            <w:r w:rsidRPr="002029AF">
              <w:t>242</w:t>
            </w:r>
          </w:p>
        </w:tc>
      </w:tr>
      <w:tr w:rsidR="009C18FC" w:rsidRPr="002029AF" w14:paraId="3CA53077" w14:textId="77777777" w:rsidTr="009F655F">
        <w:trPr>
          <w:cantSplit/>
        </w:trPr>
        <w:tc>
          <w:tcPr>
            <w:tcW w:w="2061" w:type="pct"/>
            <w:gridSpan w:val="2"/>
            <w:tcBorders>
              <w:top w:val="single" w:sz="4" w:space="0" w:color="auto"/>
              <w:bottom w:val="single" w:sz="4" w:space="0" w:color="auto"/>
            </w:tcBorders>
          </w:tcPr>
          <w:p w14:paraId="0105393A" w14:textId="51030BD7" w:rsidR="009C18FC" w:rsidRPr="002029AF" w:rsidRDefault="009C18FC" w:rsidP="00427191">
            <w:pPr>
              <w:pStyle w:val="ARtabletext"/>
              <w:rPr>
                <w:i/>
              </w:rPr>
            </w:pPr>
            <w:r w:rsidRPr="002029AF">
              <w:t>Registration</w:t>
            </w:r>
            <w:r w:rsidR="000A5329" w:rsidRPr="002029AF">
              <w:t xml:space="preserve"> </w:t>
            </w:r>
            <w:r w:rsidRPr="002029AF">
              <w:t>under</w:t>
            </w:r>
            <w:r w:rsidR="000A5329" w:rsidRPr="002029AF">
              <w:t xml:space="preserve"> </w:t>
            </w:r>
            <w:r w:rsidRPr="002029AF">
              <w:t>the</w:t>
            </w:r>
            <w:r w:rsidR="000A5329" w:rsidRPr="002029AF">
              <w:t xml:space="preserve"> </w:t>
            </w:r>
            <w:r w:rsidRPr="002029AF">
              <w:rPr>
                <w:i/>
              </w:rPr>
              <w:t>Children,</w:t>
            </w:r>
            <w:r w:rsidR="000A5329" w:rsidRPr="002029AF">
              <w:rPr>
                <w:i/>
              </w:rPr>
              <w:t xml:space="preserve"> </w:t>
            </w:r>
            <w:r w:rsidRPr="002029AF">
              <w:rPr>
                <w:i/>
              </w:rPr>
              <w:t>Youth</w:t>
            </w:r>
            <w:r w:rsidR="000A5329" w:rsidRPr="002029AF">
              <w:rPr>
                <w:i/>
              </w:rPr>
              <w:t xml:space="preserve"> </w:t>
            </w:r>
            <w:r w:rsidRPr="002029AF">
              <w:rPr>
                <w:i/>
              </w:rPr>
              <w:t>and</w:t>
            </w:r>
            <w:r w:rsidR="000A5329" w:rsidRPr="002029AF">
              <w:rPr>
                <w:i/>
              </w:rPr>
              <w:t xml:space="preserve"> </w:t>
            </w:r>
            <w:r w:rsidRPr="002029AF">
              <w:rPr>
                <w:i/>
                <w:color w:val="231F20"/>
              </w:rPr>
              <w:t>Families</w:t>
            </w:r>
            <w:r w:rsidR="000A5329" w:rsidRPr="002029AF">
              <w:rPr>
                <w:i/>
                <w:color w:val="231F20"/>
              </w:rPr>
              <w:t xml:space="preserve"> </w:t>
            </w:r>
            <w:r w:rsidRPr="002029AF">
              <w:rPr>
                <w:i/>
                <w:color w:val="231F20"/>
              </w:rPr>
              <w:t>Act</w:t>
            </w:r>
            <w:r w:rsidR="000A5329" w:rsidRPr="002029AF">
              <w:rPr>
                <w:i/>
                <w:color w:val="231F20"/>
              </w:rPr>
              <w:t xml:space="preserve"> </w:t>
            </w:r>
            <w:r w:rsidRPr="002029AF">
              <w:rPr>
                <w:i/>
                <w:color w:val="231F20"/>
              </w:rPr>
              <w:t>2005</w:t>
            </w:r>
          </w:p>
        </w:tc>
        <w:tc>
          <w:tcPr>
            <w:tcW w:w="925" w:type="pct"/>
            <w:tcBorders>
              <w:top w:val="single" w:sz="4" w:space="0" w:color="auto"/>
              <w:bottom w:val="single" w:sz="4" w:space="0" w:color="auto"/>
            </w:tcBorders>
          </w:tcPr>
          <w:p w14:paraId="407110DB" w14:textId="77777777" w:rsidR="009C18FC" w:rsidRPr="002029AF" w:rsidRDefault="009C18FC" w:rsidP="00427191">
            <w:pPr>
              <w:pStyle w:val="ARtabletextright"/>
            </w:pPr>
            <w:r w:rsidRPr="002029AF">
              <w:t>5</w:t>
            </w:r>
          </w:p>
        </w:tc>
        <w:tc>
          <w:tcPr>
            <w:tcW w:w="618" w:type="pct"/>
            <w:tcBorders>
              <w:top w:val="single" w:sz="4" w:space="0" w:color="auto"/>
              <w:bottom w:val="single" w:sz="4" w:space="0" w:color="auto"/>
            </w:tcBorders>
          </w:tcPr>
          <w:p w14:paraId="4CA07089" w14:textId="77777777" w:rsidR="009C18FC" w:rsidRPr="002029AF" w:rsidRDefault="009C18FC" w:rsidP="00427191">
            <w:pPr>
              <w:pStyle w:val="ARtabletextright"/>
            </w:pPr>
            <w:r w:rsidRPr="002029AF">
              <w:t>12</w:t>
            </w:r>
          </w:p>
        </w:tc>
        <w:tc>
          <w:tcPr>
            <w:tcW w:w="693" w:type="pct"/>
            <w:tcBorders>
              <w:top w:val="single" w:sz="4" w:space="0" w:color="auto"/>
              <w:bottom w:val="single" w:sz="4" w:space="0" w:color="auto"/>
            </w:tcBorders>
          </w:tcPr>
          <w:p w14:paraId="420A07F1" w14:textId="77777777" w:rsidR="009C18FC" w:rsidRPr="002029AF" w:rsidRDefault="009C18FC" w:rsidP="00427191">
            <w:pPr>
              <w:pStyle w:val="ARtabletextright"/>
            </w:pPr>
            <w:r w:rsidRPr="002029AF">
              <w:t>12</w:t>
            </w:r>
          </w:p>
        </w:tc>
        <w:tc>
          <w:tcPr>
            <w:tcW w:w="703" w:type="pct"/>
            <w:tcBorders>
              <w:top w:val="single" w:sz="4" w:space="0" w:color="auto"/>
              <w:bottom w:val="single" w:sz="4" w:space="0" w:color="auto"/>
            </w:tcBorders>
          </w:tcPr>
          <w:p w14:paraId="15DF9008" w14:textId="77777777" w:rsidR="009C18FC" w:rsidRPr="002029AF" w:rsidRDefault="009C18FC" w:rsidP="00427191">
            <w:pPr>
              <w:pStyle w:val="ARtabletextright"/>
            </w:pPr>
            <w:r w:rsidRPr="002029AF">
              <w:t>154</w:t>
            </w:r>
          </w:p>
        </w:tc>
      </w:tr>
    </w:tbl>
    <w:p w14:paraId="732914D5" w14:textId="77777777" w:rsidR="009C18FC" w:rsidRPr="002029AF" w:rsidRDefault="009C18FC" w:rsidP="00457506">
      <w:pPr>
        <w:pStyle w:val="ARbody"/>
      </w:pPr>
    </w:p>
    <w:p w14:paraId="0109D328" w14:textId="77777777" w:rsidR="009F655F" w:rsidRPr="002029AF" w:rsidRDefault="009F655F" w:rsidP="00457506">
      <w:pPr>
        <w:pStyle w:val="Heading2"/>
        <w:spacing w:before="0"/>
        <w:sectPr w:rsidR="009F655F" w:rsidRPr="002029AF" w:rsidSect="009F655F">
          <w:headerReference w:type="even" r:id="rId185"/>
          <w:headerReference w:type="default" r:id="rId186"/>
          <w:endnotePr>
            <w:numFmt w:val="decimal"/>
          </w:endnotePr>
          <w:pgSz w:w="11900" w:h="16840" w:code="9"/>
          <w:pgMar w:top="1985" w:right="851" w:bottom="851" w:left="1418" w:header="510" w:footer="340" w:gutter="0"/>
          <w:cols w:space="454"/>
          <w:docGrid w:linePitch="326"/>
          <w15:footnoteColumns w:val="1"/>
        </w:sectPr>
      </w:pPr>
    </w:p>
    <w:p w14:paraId="268D4972" w14:textId="311BDF86" w:rsidR="00262CBF" w:rsidRPr="002029AF" w:rsidRDefault="00262CBF" w:rsidP="00457506">
      <w:pPr>
        <w:pStyle w:val="Heading2"/>
        <w:spacing w:before="0"/>
      </w:pPr>
      <w:bookmarkStart w:id="168" w:name="_Toc54690797"/>
      <w:r w:rsidRPr="002029AF">
        <w:t>Report</w:t>
      </w:r>
      <w:r w:rsidR="000A5329" w:rsidRPr="002029AF">
        <w:t xml:space="preserve"> </w:t>
      </w:r>
      <w:r w:rsidRPr="002029AF">
        <w:t>of</w:t>
      </w:r>
      <w:r w:rsidR="000A5329" w:rsidRPr="002029AF">
        <w:t xml:space="preserve"> </w:t>
      </w:r>
      <w:r w:rsidRPr="002029AF">
        <w:t>the</w:t>
      </w:r>
      <w:r w:rsidR="000A5329" w:rsidRPr="002029AF">
        <w:t xml:space="preserve"> </w:t>
      </w:r>
      <w:r w:rsidRPr="002029AF">
        <w:t>Commissioner</w:t>
      </w:r>
      <w:r w:rsidR="000A5329" w:rsidRPr="002029AF">
        <w:t xml:space="preserve"> </w:t>
      </w:r>
      <w:r w:rsidRPr="002029AF">
        <w:t>for</w:t>
      </w:r>
      <w:r w:rsidR="006F2C99" w:rsidRPr="002029AF">
        <w:t> </w:t>
      </w:r>
      <w:r w:rsidRPr="002029AF">
        <w:t>Senior</w:t>
      </w:r>
      <w:r w:rsidR="000A5329" w:rsidRPr="002029AF">
        <w:t xml:space="preserve"> </w:t>
      </w:r>
      <w:r w:rsidRPr="002029AF">
        <w:t>Victorians</w:t>
      </w:r>
      <w:bookmarkEnd w:id="168"/>
    </w:p>
    <w:p w14:paraId="1547639F" w14:textId="6C41B105" w:rsidR="00262CBF" w:rsidRPr="002029AF" w:rsidRDefault="00262CBF" w:rsidP="00262CBF">
      <w:pPr>
        <w:pStyle w:val="ARbody"/>
      </w:pPr>
      <w:r w:rsidRPr="002029AF">
        <w:t>The</w:t>
      </w:r>
      <w:r w:rsidR="000A5329" w:rsidRPr="002029AF">
        <w:t xml:space="preserve"> </w:t>
      </w:r>
      <w:r w:rsidRPr="002029AF">
        <w:t>Commissioner</w:t>
      </w:r>
      <w:r w:rsidR="000A5329" w:rsidRPr="002029AF">
        <w:t xml:space="preserve"> </w:t>
      </w:r>
      <w:r w:rsidRPr="002029AF">
        <w:t>for</w:t>
      </w:r>
      <w:r w:rsidR="000A5329" w:rsidRPr="002029AF">
        <w:t xml:space="preserve"> </w:t>
      </w:r>
      <w:r w:rsidRPr="002029AF">
        <w:t>Senior</w:t>
      </w:r>
      <w:r w:rsidR="000A5329" w:rsidRPr="002029AF">
        <w:t xml:space="preserve"> </w:t>
      </w:r>
      <w:r w:rsidRPr="002029AF">
        <w:t>Victorians,</w:t>
      </w:r>
      <w:r w:rsidR="000A5329" w:rsidRPr="002029AF">
        <w:t xml:space="preserve"> </w:t>
      </w:r>
      <w:r w:rsidRPr="002029AF">
        <w:t>Gerard</w:t>
      </w:r>
      <w:r w:rsidR="000A5329" w:rsidRPr="002029AF">
        <w:t xml:space="preserve"> </w:t>
      </w:r>
      <w:r w:rsidRPr="002029AF">
        <w:t>Mansour,</w:t>
      </w:r>
      <w:r w:rsidR="000A5329" w:rsidRPr="002029AF">
        <w:t xml:space="preserve"> </w:t>
      </w:r>
      <w:r w:rsidRPr="002029AF">
        <w:t>provides</w:t>
      </w:r>
      <w:r w:rsidR="000A5329" w:rsidRPr="002029AF">
        <w:t xml:space="preserve"> </w:t>
      </w:r>
      <w:r w:rsidRPr="002029AF">
        <w:t>policy</w:t>
      </w:r>
      <w:r w:rsidR="000A5329" w:rsidRPr="002029AF">
        <w:t xml:space="preserve"> </w:t>
      </w:r>
      <w:r w:rsidRPr="002029AF">
        <w:t>advice</w:t>
      </w:r>
      <w:r w:rsidR="000A5329" w:rsidRPr="002029AF">
        <w:t xml:space="preserve"> </w:t>
      </w:r>
      <w:r w:rsidRPr="002029AF">
        <w:t>to</w:t>
      </w:r>
      <w:r w:rsidR="000A5329" w:rsidRPr="002029AF">
        <w:t xml:space="preserve"> </w:t>
      </w:r>
      <w:r w:rsidRPr="002029AF">
        <w:t>the</w:t>
      </w:r>
      <w:r w:rsidR="000A5329" w:rsidRPr="002029AF">
        <w:t xml:space="preserve"> </w:t>
      </w:r>
      <w:r w:rsidRPr="002029AF">
        <w:t>Victorian</w:t>
      </w:r>
      <w:r w:rsidR="000A5329" w:rsidRPr="002029AF">
        <w:t xml:space="preserve"> </w:t>
      </w:r>
      <w:r w:rsidRPr="002029AF">
        <w:t>Government</w:t>
      </w:r>
      <w:r w:rsidR="000A5329" w:rsidRPr="002029AF">
        <w:t xml:space="preserve"> </w:t>
      </w:r>
      <w:r w:rsidRPr="002029AF">
        <w:t>through</w:t>
      </w:r>
      <w:r w:rsidR="000A5329" w:rsidRPr="002029AF">
        <w:t xml:space="preserve"> </w:t>
      </w:r>
      <w:r w:rsidRPr="002029AF">
        <w:t>the</w:t>
      </w:r>
      <w:r w:rsidR="000A5329" w:rsidRPr="002029AF">
        <w:t xml:space="preserve"> </w:t>
      </w:r>
      <w:r w:rsidRPr="002029AF">
        <w:t>Minister</w:t>
      </w:r>
      <w:r w:rsidR="000A5329" w:rsidRPr="002029AF">
        <w:t xml:space="preserve"> </w:t>
      </w:r>
      <w:r w:rsidRPr="002029AF">
        <w:t>for</w:t>
      </w:r>
      <w:r w:rsidR="000A5329" w:rsidRPr="002029AF">
        <w:t xml:space="preserve"> </w:t>
      </w:r>
      <w:r w:rsidRPr="002029AF">
        <w:t>Disability,</w:t>
      </w:r>
      <w:r w:rsidR="000A5329" w:rsidRPr="002029AF">
        <w:t xml:space="preserve"> </w:t>
      </w:r>
      <w:r w:rsidRPr="002029AF">
        <w:t>Ageing</w:t>
      </w:r>
      <w:r w:rsidR="000A5329" w:rsidRPr="002029AF">
        <w:t xml:space="preserve"> </w:t>
      </w:r>
      <w:r w:rsidRPr="002029AF">
        <w:t>and</w:t>
      </w:r>
      <w:r w:rsidR="000A5329" w:rsidRPr="002029AF">
        <w:t xml:space="preserve"> </w:t>
      </w:r>
      <w:r w:rsidRPr="002029AF">
        <w:t>Carers</w:t>
      </w:r>
      <w:r w:rsidR="000A5329" w:rsidRPr="002029AF">
        <w:t xml:space="preserve"> </w:t>
      </w:r>
      <w:r w:rsidRPr="002029AF">
        <w:t>on</w:t>
      </w:r>
      <w:r w:rsidR="000A5329" w:rsidRPr="002029AF">
        <w:t xml:space="preserve"> </w:t>
      </w:r>
      <w:r w:rsidRPr="002029AF">
        <w:t>key</w:t>
      </w:r>
      <w:r w:rsidR="000A5329" w:rsidRPr="002029AF">
        <w:t xml:space="preserve"> </w:t>
      </w:r>
      <w:r w:rsidRPr="002029AF">
        <w:t>issues</w:t>
      </w:r>
      <w:r w:rsidR="000A5329" w:rsidRPr="002029AF">
        <w:t xml:space="preserve"> </w:t>
      </w:r>
      <w:r w:rsidRPr="002029AF">
        <w:t>for</w:t>
      </w:r>
      <w:r w:rsidR="000A5329" w:rsidRPr="002029AF">
        <w:t xml:space="preserve"> </w:t>
      </w:r>
      <w:r w:rsidRPr="002029AF">
        <w:t>senior</w:t>
      </w:r>
      <w:r w:rsidR="000A5329" w:rsidRPr="002029AF">
        <w:t xml:space="preserve"> </w:t>
      </w:r>
      <w:r w:rsidRPr="002029AF">
        <w:t>Victorians</w:t>
      </w:r>
      <w:r w:rsidR="000A5329" w:rsidRPr="002029AF">
        <w:t xml:space="preserve"> </w:t>
      </w:r>
      <w:r w:rsidRPr="002029AF">
        <w:t>such</w:t>
      </w:r>
      <w:r w:rsidR="000A5329" w:rsidRPr="002029AF">
        <w:t xml:space="preserve"> </w:t>
      </w:r>
      <w:r w:rsidRPr="002029AF">
        <w:t>as</w:t>
      </w:r>
      <w:r w:rsidR="000A5329" w:rsidRPr="002029AF">
        <w:t xml:space="preserve"> </w:t>
      </w:r>
      <w:r w:rsidRPr="002029AF">
        <w:t>prevention</w:t>
      </w:r>
      <w:r w:rsidR="000A5329" w:rsidRPr="002029AF">
        <w:t xml:space="preserve"> </w:t>
      </w:r>
      <w:r w:rsidRPr="002029AF">
        <w:t>of</w:t>
      </w:r>
      <w:r w:rsidR="000A5329" w:rsidRPr="002029AF">
        <w:t xml:space="preserve"> </w:t>
      </w:r>
      <w:r w:rsidRPr="002029AF">
        <w:t>elder</w:t>
      </w:r>
      <w:r w:rsidR="000A5329" w:rsidRPr="002029AF">
        <w:t xml:space="preserve"> </w:t>
      </w:r>
      <w:r w:rsidRPr="002029AF">
        <w:t>abuse,</w:t>
      </w:r>
      <w:r w:rsidR="000A5329" w:rsidRPr="002029AF">
        <w:t xml:space="preserve"> </w:t>
      </w:r>
      <w:r w:rsidRPr="002029AF">
        <w:t>end</w:t>
      </w:r>
      <w:r w:rsidR="006F2C99" w:rsidRPr="002029AF">
        <w:t> </w:t>
      </w:r>
      <w:r w:rsidRPr="002029AF">
        <w:t>of</w:t>
      </w:r>
      <w:r w:rsidR="000A5329" w:rsidRPr="002029AF">
        <w:t xml:space="preserve"> </w:t>
      </w:r>
      <w:r w:rsidRPr="002029AF">
        <w:t>life</w:t>
      </w:r>
      <w:r w:rsidR="000A5329" w:rsidRPr="002029AF">
        <w:t xml:space="preserve"> </w:t>
      </w:r>
      <w:r w:rsidRPr="002029AF">
        <w:t>planning,</w:t>
      </w:r>
      <w:r w:rsidR="000A5329" w:rsidRPr="002029AF">
        <w:t xml:space="preserve"> </w:t>
      </w:r>
      <w:r w:rsidRPr="002029AF">
        <w:t>ageing</w:t>
      </w:r>
      <w:r w:rsidR="000A5329" w:rsidRPr="002029AF">
        <w:t xml:space="preserve"> </w:t>
      </w:r>
      <w:r w:rsidRPr="002029AF">
        <w:t>well,</w:t>
      </w:r>
      <w:r w:rsidR="000A5329" w:rsidRPr="002029AF">
        <w:t xml:space="preserve"> </w:t>
      </w:r>
      <w:r w:rsidRPr="002029AF">
        <w:t>volunteering</w:t>
      </w:r>
      <w:r w:rsidR="000A5329" w:rsidRPr="002029AF">
        <w:t xml:space="preserve"> </w:t>
      </w:r>
      <w:r w:rsidRPr="002029AF">
        <w:t>and</w:t>
      </w:r>
      <w:r w:rsidR="006F2C99" w:rsidRPr="002029AF">
        <w:t> </w:t>
      </w:r>
      <w:r w:rsidRPr="002029AF">
        <w:t>carer</w:t>
      </w:r>
      <w:r w:rsidR="000A5329" w:rsidRPr="002029AF">
        <w:t xml:space="preserve"> </w:t>
      </w:r>
      <w:r w:rsidRPr="002029AF">
        <w:t>needs.</w:t>
      </w:r>
    </w:p>
    <w:p w14:paraId="6EC58FFE" w14:textId="063ADCAC" w:rsidR="00262CBF" w:rsidRPr="002029AF" w:rsidRDefault="00262CBF" w:rsidP="00262CBF">
      <w:pPr>
        <w:pStyle w:val="ARbody"/>
      </w:pPr>
      <w:r w:rsidRPr="002029AF">
        <w:t>The</w:t>
      </w:r>
      <w:r w:rsidR="000A5329" w:rsidRPr="002029AF">
        <w:t xml:space="preserve"> </w:t>
      </w:r>
      <w:r w:rsidRPr="002029AF">
        <w:t>Commissioner</w:t>
      </w:r>
      <w:r w:rsidR="000A5329" w:rsidRPr="002029AF">
        <w:t xml:space="preserve"> </w:t>
      </w:r>
      <w:r w:rsidRPr="002029AF">
        <w:t>met</w:t>
      </w:r>
      <w:r w:rsidR="000A5329" w:rsidRPr="002029AF">
        <w:t xml:space="preserve"> </w:t>
      </w:r>
      <w:r w:rsidRPr="002029AF">
        <w:t>regularly</w:t>
      </w:r>
      <w:r w:rsidR="000A5329" w:rsidRPr="002029AF">
        <w:t xml:space="preserve"> </w:t>
      </w:r>
      <w:r w:rsidRPr="002029AF">
        <w:t>with</w:t>
      </w:r>
      <w:r w:rsidR="000A5329" w:rsidRPr="002029AF">
        <w:t xml:space="preserve"> </w:t>
      </w:r>
      <w:r w:rsidRPr="002029AF">
        <w:t>the</w:t>
      </w:r>
      <w:r w:rsidR="000A5329" w:rsidRPr="002029AF">
        <w:t xml:space="preserve"> </w:t>
      </w:r>
      <w:r w:rsidRPr="002029AF">
        <w:t>Minister</w:t>
      </w:r>
      <w:r w:rsidR="000A5329" w:rsidRPr="002029AF">
        <w:t xml:space="preserve"> </w:t>
      </w:r>
      <w:r w:rsidRPr="002029AF">
        <w:t>for</w:t>
      </w:r>
      <w:r w:rsidR="000A5329" w:rsidRPr="002029AF">
        <w:t xml:space="preserve"> </w:t>
      </w:r>
      <w:r w:rsidRPr="002029AF">
        <w:t>Disability,</w:t>
      </w:r>
      <w:r w:rsidR="000A5329" w:rsidRPr="002029AF">
        <w:t xml:space="preserve"> </w:t>
      </w:r>
      <w:r w:rsidRPr="002029AF">
        <w:t>Ageing</w:t>
      </w:r>
      <w:r w:rsidR="000A5329" w:rsidRPr="002029AF">
        <w:t xml:space="preserve"> </w:t>
      </w:r>
      <w:r w:rsidRPr="002029AF">
        <w:t>and</w:t>
      </w:r>
      <w:r w:rsidR="000A5329" w:rsidRPr="002029AF">
        <w:t xml:space="preserve"> </w:t>
      </w:r>
      <w:r w:rsidRPr="002029AF">
        <w:t>Carers,</w:t>
      </w:r>
      <w:r w:rsidR="000A5329" w:rsidRPr="002029AF">
        <w:t xml:space="preserve"> </w:t>
      </w:r>
      <w:r w:rsidRPr="002029AF">
        <w:t>the</w:t>
      </w:r>
      <w:r w:rsidR="000A5329" w:rsidRPr="002029AF">
        <w:t xml:space="preserve"> </w:t>
      </w:r>
      <w:r w:rsidRPr="002029AF">
        <w:t>Minister</w:t>
      </w:r>
      <w:r w:rsidR="000A5329" w:rsidRPr="002029AF">
        <w:t xml:space="preserve"> </w:t>
      </w:r>
      <w:r w:rsidRPr="002029AF">
        <w:t>for</w:t>
      </w:r>
      <w:r w:rsidR="000A5329" w:rsidRPr="002029AF">
        <w:t xml:space="preserve"> </w:t>
      </w:r>
      <w:r w:rsidRPr="002029AF">
        <w:t>Prevention</w:t>
      </w:r>
      <w:r w:rsidR="000A5329" w:rsidRPr="002029AF">
        <w:t xml:space="preserve"> </w:t>
      </w:r>
      <w:r w:rsidRPr="002029AF">
        <w:t>of</w:t>
      </w:r>
      <w:r w:rsidR="000A5329" w:rsidRPr="002029AF">
        <w:t xml:space="preserve"> </w:t>
      </w:r>
      <w:r w:rsidRPr="002029AF">
        <w:t>Family</w:t>
      </w:r>
      <w:r w:rsidR="000A5329" w:rsidRPr="002029AF">
        <w:t xml:space="preserve"> </w:t>
      </w:r>
      <w:r w:rsidRPr="002029AF">
        <w:t>Violence,</w:t>
      </w:r>
      <w:r w:rsidR="000A5329" w:rsidRPr="002029AF">
        <w:t xml:space="preserve"> </w:t>
      </w:r>
      <w:r w:rsidRPr="002029AF">
        <w:t>the</w:t>
      </w:r>
      <w:r w:rsidR="000A5329" w:rsidRPr="002029AF">
        <w:t xml:space="preserve"> </w:t>
      </w:r>
      <w:r w:rsidRPr="002029AF">
        <w:t>Parliamentary</w:t>
      </w:r>
      <w:r w:rsidR="000A5329" w:rsidRPr="002029AF">
        <w:t xml:space="preserve"> </w:t>
      </w:r>
      <w:r w:rsidRPr="002029AF">
        <w:t>Secretary</w:t>
      </w:r>
      <w:r w:rsidR="000A5329" w:rsidRPr="002029AF">
        <w:t xml:space="preserve"> </w:t>
      </w:r>
      <w:r w:rsidRPr="002029AF">
        <w:t>for</w:t>
      </w:r>
      <w:r w:rsidR="000A5329" w:rsidRPr="002029AF">
        <w:t xml:space="preserve"> </w:t>
      </w:r>
      <w:r w:rsidRPr="002029AF">
        <w:t>Carers</w:t>
      </w:r>
      <w:r w:rsidR="000A5329" w:rsidRPr="002029AF">
        <w:t xml:space="preserve"> </w:t>
      </w:r>
      <w:r w:rsidRPr="002029AF">
        <w:t>and</w:t>
      </w:r>
      <w:r w:rsidR="000A5329" w:rsidRPr="002029AF">
        <w:t xml:space="preserve"> </w:t>
      </w:r>
      <w:r w:rsidRPr="002029AF">
        <w:t>Volunteers</w:t>
      </w:r>
      <w:r w:rsidR="000A5329" w:rsidRPr="002029AF">
        <w:t xml:space="preserve"> </w:t>
      </w:r>
      <w:r w:rsidRPr="002029AF">
        <w:t>and</w:t>
      </w:r>
      <w:r w:rsidR="000A5329" w:rsidRPr="002029AF">
        <w:t xml:space="preserve"> </w:t>
      </w:r>
      <w:r w:rsidRPr="002029AF">
        <w:t>senior</w:t>
      </w:r>
      <w:r w:rsidR="000A5329" w:rsidRPr="002029AF">
        <w:t xml:space="preserve"> </w:t>
      </w:r>
      <w:r w:rsidRPr="002029AF">
        <w:t>departmental</w:t>
      </w:r>
      <w:r w:rsidR="000A5329" w:rsidRPr="002029AF">
        <w:t xml:space="preserve"> </w:t>
      </w:r>
      <w:r w:rsidRPr="002029AF">
        <w:t>executives</w:t>
      </w:r>
      <w:r w:rsidR="000A5329" w:rsidRPr="002029AF">
        <w:t xml:space="preserve"> </w:t>
      </w:r>
      <w:r w:rsidRPr="002029AF">
        <w:t>on</w:t>
      </w:r>
      <w:r w:rsidR="000A5329" w:rsidRPr="002029AF">
        <w:t xml:space="preserve"> </w:t>
      </w:r>
      <w:r w:rsidRPr="002029AF">
        <w:t>issues</w:t>
      </w:r>
      <w:r w:rsidR="000A5329" w:rsidRPr="002029AF">
        <w:t xml:space="preserve"> </w:t>
      </w:r>
      <w:r w:rsidRPr="002029AF">
        <w:t>of</w:t>
      </w:r>
      <w:r w:rsidR="000A5329" w:rsidRPr="002029AF">
        <w:t xml:space="preserve"> </w:t>
      </w:r>
      <w:r w:rsidRPr="002029AF">
        <w:t>importance</w:t>
      </w:r>
      <w:r w:rsidR="000A5329" w:rsidRPr="002029AF">
        <w:t xml:space="preserve"> </w:t>
      </w:r>
      <w:r w:rsidRPr="002029AF">
        <w:t>to</w:t>
      </w:r>
      <w:r w:rsidR="006F2C99" w:rsidRPr="002029AF">
        <w:t> </w:t>
      </w:r>
      <w:r w:rsidRPr="002029AF">
        <w:t>older</w:t>
      </w:r>
      <w:r w:rsidR="000A5329" w:rsidRPr="002029AF">
        <w:t xml:space="preserve"> </w:t>
      </w:r>
      <w:r w:rsidRPr="002029AF">
        <w:t>people.</w:t>
      </w:r>
    </w:p>
    <w:p w14:paraId="2C31FD2F" w14:textId="19FCF8BD" w:rsidR="00262CBF" w:rsidRPr="002029AF" w:rsidRDefault="00262CBF" w:rsidP="00262CBF">
      <w:pPr>
        <w:pStyle w:val="ARbody"/>
      </w:pPr>
      <w:r w:rsidRPr="002029AF">
        <w:t>The</w:t>
      </w:r>
      <w:r w:rsidR="000A5329" w:rsidRPr="002029AF">
        <w:t xml:space="preserve"> </w:t>
      </w:r>
      <w:r w:rsidRPr="002029AF">
        <w:t>Commissioner</w:t>
      </w:r>
      <w:r w:rsidR="000A5329" w:rsidRPr="002029AF">
        <w:t xml:space="preserve"> </w:t>
      </w:r>
      <w:r w:rsidRPr="002029AF">
        <w:t>attended</w:t>
      </w:r>
      <w:r w:rsidR="000A5329" w:rsidRPr="002029AF">
        <w:t xml:space="preserve"> </w:t>
      </w:r>
      <w:r w:rsidRPr="002029AF">
        <w:t>regular</w:t>
      </w:r>
      <w:r w:rsidR="000A5329" w:rsidRPr="002029AF">
        <w:t xml:space="preserve"> </w:t>
      </w:r>
      <w:r w:rsidRPr="002029AF">
        <w:t>meetings</w:t>
      </w:r>
      <w:r w:rsidR="000A5329" w:rsidRPr="002029AF">
        <w:t xml:space="preserve"> </w:t>
      </w:r>
      <w:r w:rsidRPr="002029AF">
        <w:t>to</w:t>
      </w:r>
      <w:r w:rsidR="000A5329" w:rsidRPr="002029AF">
        <w:t xml:space="preserve"> </w:t>
      </w:r>
      <w:r w:rsidRPr="002029AF">
        <w:t>discuss</w:t>
      </w:r>
      <w:r w:rsidR="000A5329" w:rsidRPr="002029AF">
        <w:t xml:space="preserve"> </w:t>
      </w:r>
      <w:r w:rsidRPr="002029AF">
        <w:t>the</w:t>
      </w:r>
      <w:r w:rsidR="000A5329" w:rsidRPr="002029AF">
        <w:t xml:space="preserve"> </w:t>
      </w:r>
      <w:r w:rsidRPr="002029AF">
        <w:t>participation</w:t>
      </w:r>
      <w:r w:rsidR="000A5329" w:rsidRPr="002029AF">
        <w:t xml:space="preserve"> </w:t>
      </w:r>
      <w:r w:rsidRPr="002029AF">
        <w:t>of</w:t>
      </w:r>
      <w:r w:rsidR="000A5329" w:rsidRPr="002029AF">
        <w:t xml:space="preserve"> </w:t>
      </w:r>
      <w:r w:rsidRPr="002029AF">
        <w:t>seniors</w:t>
      </w:r>
      <w:r w:rsidR="000A5329" w:rsidRPr="002029AF">
        <w:t xml:space="preserve"> </w:t>
      </w:r>
      <w:r w:rsidRPr="002029AF">
        <w:t>and</w:t>
      </w:r>
      <w:r w:rsidR="000A5329" w:rsidRPr="002029AF">
        <w:t xml:space="preserve"> </w:t>
      </w:r>
      <w:r w:rsidRPr="002029AF">
        <w:t>the</w:t>
      </w:r>
      <w:r w:rsidR="000A5329" w:rsidRPr="002029AF">
        <w:t xml:space="preserve"> </w:t>
      </w:r>
      <w:r w:rsidRPr="002029AF">
        <w:t>rights</w:t>
      </w:r>
      <w:r w:rsidR="000A5329" w:rsidRPr="002029AF">
        <w:t xml:space="preserve"> </w:t>
      </w:r>
      <w:r w:rsidRPr="002029AF">
        <w:t>of</w:t>
      </w:r>
      <w:r w:rsidR="000A5329" w:rsidRPr="002029AF">
        <w:t xml:space="preserve"> </w:t>
      </w:r>
      <w:r w:rsidRPr="002029AF">
        <w:t>older</w:t>
      </w:r>
      <w:r w:rsidR="000A5329" w:rsidRPr="002029AF">
        <w:t xml:space="preserve"> </w:t>
      </w:r>
      <w:r w:rsidRPr="002029AF">
        <w:t>people</w:t>
      </w:r>
      <w:r w:rsidR="000A5329" w:rsidRPr="002029AF">
        <w:t xml:space="preserve"> </w:t>
      </w:r>
      <w:r w:rsidRPr="002029AF">
        <w:t>with</w:t>
      </w:r>
      <w:r w:rsidR="000A5329" w:rsidRPr="002029AF">
        <w:t xml:space="preserve"> </w:t>
      </w:r>
      <w:r w:rsidRPr="002029AF">
        <w:t>the</w:t>
      </w:r>
      <w:r w:rsidR="000A5329" w:rsidRPr="002029AF">
        <w:t xml:space="preserve"> </w:t>
      </w:r>
      <w:r w:rsidRPr="002029AF">
        <w:t>Victorian</w:t>
      </w:r>
      <w:r w:rsidR="000A5329" w:rsidRPr="002029AF">
        <w:t xml:space="preserve"> </w:t>
      </w:r>
      <w:r w:rsidRPr="002029AF">
        <w:t>Equal</w:t>
      </w:r>
      <w:r w:rsidR="000A5329" w:rsidRPr="002029AF">
        <w:t xml:space="preserve"> </w:t>
      </w:r>
      <w:r w:rsidRPr="002029AF">
        <w:t>Opportunities</w:t>
      </w:r>
      <w:r w:rsidR="000A5329" w:rsidRPr="002029AF">
        <w:t xml:space="preserve"> </w:t>
      </w:r>
      <w:r w:rsidRPr="002029AF">
        <w:t>and</w:t>
      </w:r>
      <w:r w:rsidR="000A5329" w:rsidRPr="002029AF">
        <w:t xml:space="preserve"> </w:t>
      </w:r>
      <w:r w:rsidRPr="002029AF">
        <w:t>Human</w:t>
      </w:r>
      <w:r w:rsidR="000A5329" w:rsidRPr="002029AF">
        <w:t xml:space="preserve"> </w:t>
      </w:r>
      <w:r w:rsidRPr="002029AF">
        <w:t>Rights</w:t>
      </w:r>
      <w:r w:rsidR="000A5329" w:rsidRPr="002029AF">
        <w:t xml:space="preserve"> </w:t>
      </w:r>
      <w:r w:rsidRPr="002029AF">
        <w:t>Commissioner,</w:t>
      </w:r>
      <w:r w:rsidR="000A5329" w:rsidRPr="002029AF">
        <w:t xml:space="preserve"> </w:t>
      </w:r>
      <w:r w:rsidRPr="002029AF">
        <w:t>Disability</w:t>
      </w:r>
      <w:r w:rsidR="000A5329" w:rsidRPr="002029AF">
        <w:t xml:space="preserve"> </w:t>
      </w:r>
      <w:r w:rsidRPr="002029AF">
        <w:t>Services</w:t>
      </w:r>
      <w:r w:rsidR="000A5329" w:rsidRPr="002029AF">
        <w:t xml:space="preserve"> </w:t>
      </w:r>
      <w:r w:rsidRPr="002029AF">
        <w:t>Commissioner,</w:t>
      </w:r>
      <w:r w:rsidR="000A5329" w:rsidRPr="002029AF">
        <w:t xml:space="preserve"> </w:t>
      </w:r>
      <w:r w:rsidRPr="002029AF">
        <w:t>Chairperson</w:t>
      </w:r>
      <w:r w:rsidR="000A5329" w:rsidRPr="002029AF">
        <w:t xml:space="preserve"> </w:t>
      </w:r>
      <w:r w:rsidRPr="002029AF">
        <w:t>of</w:t>
      </w:r>
      <w:r w:rsidR="000A5329" w:rsidRPr="002029AF">
        <w:t xml:space="preserve"> </w:t>
      </w:r>
      <w:r w:rsidRPr="002029AF">
        <w:t>the</w:t>
      </w:r>
      <w:r w:rsidR="000A5329" w:rsidRPr="002029AF">
        <w:t xml:space="preserve"> </w:t>
      </w:r>
      <w:r w:rsidRPr="002029AF">
        <w:t>Victorian</w:t>
      </w:r>
      <w:r w:rsidR="000A5329" w:rsidRPr="002029AF">
        <w:t xml:space="preserve"> </w:t>
      </w:r>
      <w:r w:rsidRPr="002029AF">
        <w:t>Multicultural</w:t>
      </w:r>
      <w:r w:rsidR="000A5329" w:rsidRPr="002029AF">
        <w:t xml:space="preserve"> </w:t>
      </w:r>
      <w:r w:rsidRPr="002029AF">
        <w:t>Commission,</w:t>
      </w:r>
      <w:r w:rsidR="000A5329" w:rsidRPr="002029AF">
        <w:t xml:space="preserve"> </w:t>
      </w:r>
      <w:r w:rsidRPr="002029AF">
        <w:t>Victorian</w:t>
      </w:r>
      <w:r w:rsidR="000A5329" w:rsidRPr="002029AF">
        <w:t xml:space="preserve"> </w:t>
      </w:r>
      <w:r w:rsidRPr="002029AF">
        <w:t>Treaty</w:t>
      </w:r>
      <w:r w:rsidR="006F2C99" w:rsidRPr="002029AF">
        <w:t> </w:t>
      </w:r>
      <w:r w:rsidRPr="002029AF">
        <w:t>Advancement</w:t>
      </w:r>
      <w:r w:rsidR="000A5329" w:rsidRPr="002029AF">
        <w:t xml:space="preserve"> </w:t>
      </w:r>
      <w:r w:rsidRPr="002029AF">
        <w:t>Commissioner,</w:t>
      </w:r>
      <w:r w:rsidR="000A5329" w:rsidRPr="002029AF">
        <w:t xml:space="preserve"> </w:t>
      </w:r>
      <w:r w:rsidRPr="002029AF">
        <w:t>Gender</w:t>
      </w:r>
      <w:r w:rsidR="000A5329" w:rsidRPr="002029AF">
        <w:t xml:space="preserve"> </w:t>
      </w:r>
      <w:r w:rsidRPr="002029AF">
        <w:t>and</w:t>
      </w:r>
      <w:r w:rsidR="006F2C99" w:rsidRPr="002029AF">
        <w:t> </w:t>
      </w:r>
      <w:r w:rsidRPr="002029AF">
        <w:t>Sexuality</w:t>
      </w:r>
      <w:r w:rsidR="000A5329" w:rsidRPr="002029AF">
        <w:t xml:space="preserve"> </w:t>
      </w:r>
      <w:r w:rsidRPr="002029AF">
        <w:t>Commissioner,</w:t>
      </w:r>
      <w:r w:rsidR="000A5329" w:rsidRPr="002029AF">
        <w:t xml:space="preserve"> </w:t>
      </w:r>
      <w:r w:rsidRPr="002029AF">
        <w:t>the</w:t>
      </w:r>
      <w:r w:rsidR="000A5329" w:rsidRPr="002029AF">
        <w:t xml:space="preserve"> </w:t>
      </w:r>
      <w:r w:rsidRPr="002029AF">
        <w:t>Victorian</w:t>
      </w:r>
      <w:r w:rsidR="000A5329" w:rsidRPr="002029AF">
        <w:t xml:space="preserve"> </w:t>
      </w:r>
      <w:r w:rsidRPr="002029AF">
        <w:t>Public</w:t>
      </w:r>
      <w:r w:rsidR="000A5329" w:rsidRPr="002029AF">
        <w:t xml:space="preserve"> </w:t>
      </w:r>
      <w:r w:rsidRPr="002029AF">
        <w:t>Advocate,</w:t>
      </w:r>
      <w:r w:rsidR="000A5329" w:rsidRPr="002029AF">
        <w:t xml:space="preserve"> </w:t>
      </w:r>
      <w:r w:rsidRPr="002029AF">
        <w:t>Mental</w:t>
      </w:r>
      <w:r w:rsidR="000A5329" w:rsidRPr="002029AF">
        <w:t xml:space="preserve"> </w:t>
      </w:r>
      <w:r w:rsidRPr="002029AF">
        <w:t>Health</w:t>
      </w:r>
      <w:r w:rsidR="000A5329" w:rsidRPr="002029AF">
        <w:t xml:space="preserve"> </w:t>
      </w:r>
      <w:r w:rsidRPr="002029AF">
        <w:t>Complaints</w:t>
      </w:r>
      <w:r w:rsidR="000A5329" w:rsidRPr="002029AF">
        <w:t xml:space="preserve"> </w:t>
      </w:r>
      <w:r w:rsidRPr="002029AF">
        <w:t>Commissioner</w:t>
      </w:r>
      <w:r w:rsidR="000A5329" w:rsidRPr="002029AF">
        <w:t xml:space="preserve"> </w:t>
      </w:r>
      <w:r w:rsidRPr="002029AF">
        <w:t>and</w:t>
      </w:r>
      <w:r w:rsidR="000A5329" w:rsidRPr="002029AF">
        <w:t xml:space="preserve"> </w:t>
      </w:r>
      <w:r w:rsidRPr="002029AF">
        <w:t>is</w:t>
      </w:r>
      <w:r w:rsidR="000A5329" w:rsidRPr="002029AF">
        <w:t xml:space="preserve"> </w:t>
      </w:r>
      <w:r w:rsidRPr="002029AF">
        <w:t>member</w:t>
      </w:r>
      <w:r w:rsidR="000A5329" w:rsidRPr="002029AF">
        <w:t xml:space="preserve"> </w:t>
      </w:r>
      <w:r w:rsidRPr="002029AF">
        <w:t>of</w:t>
      </w:r>
      <w:r w:rsidR="000A5329" w:rsidRPr="002029AF">
        <w:t xml:space="preserve"> </w:t>
      </w:r>
      <w:r w:rsidRPr="002029AF">
        <w:t>the</w:t>
      </w:r>
      <w:r w:rsidR="000A5329" w:rsidRPr="002029AF">
        <w:t xml:space="preserve"> </w:t>
      </w:r>
      <w:r w:rsidRPr="002029AF">
        <w:t>Commercial</w:t>
      </w:r>
      <w:r w:rsidR="000A5329" w:rsidRPr="002029AF">
        <w:t xml:space="preserve"> </w:t>
      </w:r>
      <w:r w:rsidRPr="002029AF">
        <w:t>Passenger</w:t>
      </w:r>
      <w:r w:rsidR="000A5329" w:rsidRPr="002029AF">
        <w:t xml:space="preserve"> </w:t>
      </w:r>
      <w:r w:rsidRPr="002029AF">
        <w:t>Vehicles</w:t>
      </w:r>
      <w:r w:rsidR="000A5329" w:rsidRPr="002029AF">
        <w:t xml:space="preserve"> </w:t>
      </w:r>
      <w:r w:rsidRPr="002029AF">
        <w:t>Victoria</w:t>
      </w:r>
      <w:r w:rsidR="000A5329" w:rsidRPr="002029AF">
        <w:t xml:space="preserve"> </w:t>
      </w:r>
      <w:r w:rsidRPr="002029AF">
        <w:t>Disability</w:t>
      </w:r>
      <w:r w:rsidR="000A5329" w:rsidRPr="002029AF">
        <w:t xml:space="preserve"> </w:t>
      </w:r>
      <w:r w:rsidRPr="002029AF">
        <w:t>and</w:t>
      </w:r>
      <w:r w:rsidR="000A5329" w:rsidRPr="002029AF">
        <w:t xml:space="preserve"> </w:t>
      </w:r>
      <w:r w:rsidRPr="002029AF">
        <w:t>Accessibility</w:t>
      </w:r>
      <w:r w:rsidR="000A5329" w:rsidRPr="002029AF">
        <w:t xml:space="preserve"> </w:t>
      </w:r>
      <w:r w:rsidRPr="002029AF">
        <w:t>Forum</w:t>
      </w:r>
      <w:r w:rsidR="006F2C99" w:rsidRPr="002029AF">
        <w:t> </w:t>
      </w:r>
      <w:r w:rsidRPr="002029AF">
        <w:t>201</w:t>
      </w:r>
      <w:r w:rsidR="00DB53E6" w:rsidRPr="002029AF">
        <w:t>9–</w:t>
      </w:r>
      <w:r w:rsidRPr="002029AF">
        <w:t>20.</w:t>
      </w:r>
    </w:p>
    <w:p w14:paraId="4509BF9D" w14:textId="3283BB3C" w:rsidR="000A5329" w:rsidRPr="002029AF" w:rsidRDefault="00262CBF" w:rsidP="00262CBF">
      <w:pPr>
        <w:pStyle w:val="ARbody"/>
      </w:pPr>
      <w:r w:rsidRPr="002029AF">
        <w:t>The</w:t>
      </w:r>
      <w:r w:rsidR="000A5329" w:rsidRPr="002029AF">
        <w:t xml:space="preserve"> </w:t>
      </w:r>
      <w:r w:rsidRPr="002029AF">
        <w:t>Commissioner</w:t>
      </w:r>
      <w:r w:rsidR="000A5329" w:rsidRPr="002029AF">
        <w:t xml:space="preserve"> </w:t>
      </w:r>
      <w:r w:rsidRPr="002029AF">
        <w:t>works</w:t>
      </w:r>
      <w:r w:rsidR="000A5329" w:rsidRPr="002029AF">
        <w:t xml:space="preserve"> </w:t>
      </w:r>
      <w:r w:rsidRPr="002029AF">
        <w:t>with</w:t>
      </w:r>
      <w:r w:rsidR="000A5329" w:rsidRPr="002029AF">
        <w:t xml:space="preserve"> </w:t>
      </w:r>
      <w:r w:rsidRPr="002029AF">
        <w:t>a</w:t>
      </w:r>
      <w:r w:rsidR="000A5329" w:rsidRPr="002029AF">
        <w:t xml:space="preserve"> </w:t>
      </w:r>
      <w:r w:rsidRPr="002029AF">
        <w:t>range</w:t>
      </w:r>
      <w:r w:rsidR="000A5329" w:rsidRPr="002029AF">
        <w:t xml:space="preserve"> </w:t>
      </w:r>
      <w:r w:rsidRPr="002029AF">
        <w:t>of</w:t>
      </w:r>
      <w:r w:rsidR="000A5329" w:rsidRPr="002029AF">
        <w:t xml:space="preserve"> </w:t>
      </w:r>
      <w:r w:rsidRPr="002029AF">
        <w:t>peak</w:t>
      </w:r>
      <w:r w:rsidR="000A5329" w:rsidRPr="002029AF">
        <w:t xml:space="preserve"> </w:t>
      </w:r>
      <w:r w:rsidRPr="002029AF">
        <w:t>bodies</w:t>
      </w:r>
      <w:r w:rsidR="000A5329" w:rsidRPr="002029AF">
        <w:t xml:space="preserve"> </w:t>
      </w:r>
      <w:r w:rsidRPr="002029AF">
        <w:t>supporting</w:t>
      </w:r>
      <w:r w:rsidR="000A5329" w:rsidRPr="002029AF">
        <w:t xml:space="preserve"> </w:t>
      </w:r>
      <w:r w:rsidRPr="002029AF">
        <w:t>the</w:t>
      </w:r>
      <w:r w:rsidR="000A5329" w:rsidRPr="002029AF">
        <w:t xml:space="preserve"> </w:t>
      </w:r>
      <w:r w:rsidRPr="002029AF">
        <w:t>interests</w:t>
      </w:r>
      <w:r w:rsidR="000A5329" w:rsidRPr="002029AF">
        <w:t xml:space="preserve"> </w:t>
      </w:r>
      <w:r w:rsidRPr="002029AF">
        <w:t>of</w:t>
      </w:r>
      <w:r w:rsidR="000A5329" w:rsidRPr="002029AF">
        <w:t xml:space="preserve"> </w:t>
      </w:r>
      <w:r w:rsidRPr="002029AF">
        <w:t>older</w:t>
      </w:r>
      <w:r w:rsidR="000A5329" w:rsidRPr="002029AF">
        <w:t xml:space="preserve"> </w:t>
      </w:r>
      <w:r w:rsidRPr="002029AF">
        <w:t>people.</w:t>
      </w:r>
      <w:r w:rsidR="000A5329" w:rsidRPr="002029AF">
        <w:t xml:space="preserve"> </w:t>
      </w:r>
      <w:r w:rsidRPr="002029AF">
        <w:t>These</w:t>
      </w:r>
      <w:r w:rsidR="000A5329" w:rsidRPr="002029AF">
        <w:t xml:space="preserve"> </w:t>
      </w:r>
      <w:r w:rsidRPr="002029AF">
        <w:t>include</w:t>
      </w:r>
      <w:r w:rsidR="000A5329" w:rsidRPr="002029AF">
        <w:t xml:space="preserve"> </w:t>
      </w:r>
      <w:r w:rsidRPr="002029AF">
        <w:t>COTA</w:t>
      </w:r>
      <w:r w:rsidR="000A5329" w:rsidRPr="002029AF">
        <w:t xml:space="preserve"> </w:t>
      </w:r>
      <w:r w:rsidRPr="002029AF">
        <w:t>Victoria,</w:t>
      </w:r>
      <w:r w:rsidR="000A5329" w:rsidRPr="002029AF">
        <w:t xml:space="preserve"> </w:t>
      </w:r>
      <w:r w:rsidRPr="002029AF">
        <w:t>the</w:t>
      </w:r>
      <w:r w:rsidR="000A5329" w:rsidRPr="002029AF">
        <w:t xml:space="preserve"> </w:t>
      </w:r>
      <w:r w:rsidRPr="002029AF">
        <w:t>Ethnic</w:t>
      </w:r>
      <w:r w:rsidR="000A5329" w:rsidRPr="002029AF">
        <w:t xml:space="preserve"> </w:t>
      </w:r>
      <w:r w:rsidRPr="002029AF">
        <w:t>Communities</w:t>
      </w:r>
      <w:r w:rsidR="000A5329" w:rsidRPr="002029AF">
        <w:t xml:space="preserve"> </w:t>
      </w:r>
      <w:r w:rsidRPr="002029AF">
        <w:t>Council</w:t>
      </w:r>
      <w:r w:rsidR="000A5329" w:rsidRPr="002029AF">
        <w:t xml:space="preserve"> </w:t>
      </w:r>
      <w:r w:rsidRPr="002029AF">
        <w:t>of</w:t>
      </w:r>
      <w:r w:rsidR="000A5329" w:rsidRPr="002029AF">
        <w:t xml:space="preserve"> </w:t>
      </w:r>
      <w:r w:rsidRPr="002029AF">
        <w:t>Victoria,</w:t>
      </w:r>
      <w:r w:rsidR="000A5329" w:rsidRPr="002029AF">
        <w:t xml:space="preserve"> </w:t>
      </w:r>
      <w:r w:rsidRPr="002029AF">
        <w:t>U3A</w:t>
      </w:r>
      <w:r w:rsidR="000A5329" w:rsidRPr="002029AF">
        <w:t xml:space="preserve"> </w:t>
      </w:r>
      <w:r w:rsidRPr="002029AF">
        <w:t>Network</w:t>
      </w:r>
      <w:r w:rsidR="000A5329" w:rsidRPr="002029AF">
        <w:t xml:space="preserve"> </w:t>
      </w:r>
      <w:r w:rsidRPr="002029AF">
        <w:t>Victoria,</w:t>
      </w:r>
      <w:r w:rsidR="000A5329" w:rsidRPr="002029AF">
        <w:t xml:space="preserve"> </w:t>
      </w:r>
      <w:r w:rsidRPr="002029AF">
        <w:t>Men’s</w:t>
      </w:r>
      <w:r w:rsidR="000A5329" w:rsidRPr="002029AF">
        <w:t xml:space="preserve"> </w:t>
      </w:r>
      <w:r w:rsidRPr="002029AF">
        <w:t>Sheds</w:t>
      </w:r>
      <w:r w:rsidR="000A5329" w:rsidRPr="002029AF">
        <w:t xml:space="preserve"> </w:t>
      </w:r>
      <w:r w:rsidRPr="002029AF">
        <w:t>Victoria,</w:t>
      </w:r>
      <w:r w:rsidR="000A5329" w:rsidRPr="002029AF">
        <w:t xml:space="preserve"> </w:t>
      </w:r>
      <w:r w:rsidRPr="002029AF">
        <w:t>the</w:t>
      </w:r>
      <w:r w:rsidR="000A5329" w:rsidRPr="002029AF">
        <w:t xml:space="preserve"> </w:t>
      </w:r>
      <w:r w:rsidRPr="002029AF">
        <w:t>Municipal</w:t>
      </w:r>
      <w:r w:rsidR="000A5329" w:rsidRPr="002029AF">
        <w:t xml:space="preserve"> </w:t>
      </w:r>
      <w:r w:rsidRPr="002029AF">
        <w:t>Association</w:t>
      </w:r>
      <w:r w:rsidR="000A5329" w:rsidRPr="002029AF">
        <w:t xml:space="preserve"> </w:t>
      </w:r>
      <w:r w:rsidRPr="002029AF">
        <w:t>of</w:t>
      </w:r>
      <w:r w:rsidR="000A5329" w:rsidRPr="002029AF">
        <w:t xml:space="preserve"> </w:t>
      </w:r>
      <w:r w:rsidRPr="002029AF">
        <w:t>Victoria,</w:t>
      </w:r>
      <w:r w:rsidR="000A5329" w:rsidRPr="002029AF">
        <w:t xml:space="preserve"> </w:t>
      </w:r>
      <w:r w:rsidRPr="002029AF">
        <w:t>Leading</w:t>
      </w:r>
      <w:r w:rsidR="000A5329" w:rsidRPr="002029AF">
        <w:t xml:space="preserve"> </w:t>
      </w:r>
      <w:r w:rsidRPr="002029AF">
        <w:t>Age</w:t>
      </w:r>
      <w:r w:rsidR="000A5329" w:rsidRPr="002029AF">
        <w:t xml:space="preserve"> </w:t>
      </w:r>
      <w:r w:rsidRPr="002029AF">
        <w:t>Services</w:t>
      </w:r>
      <w:r w:rsidR="000A5329" w:rsidRPr="002029AF">
        <w:t xml:space="preserve"> </w:t>
      </w:r>
      <w:r w:rsidRPr="002029AF">
        <w:t>Australia</w:t>
      </w:r>
      <w:r w:rsidR="000A5329" w:rsidRPr="002029AF">
        <w:t xml:space="preserve"> </w:t>
      </w:r>
      <w:r w:rsidRPr="002029AF">
        <w:t>and</w:t>
      </w:r>
      <w:r w:rsidR="000A5329" w:rsidRPr="002029AF">
        <w:t xml:space="preserve"> </w:t>
      </w:r>
      <w:r w:rsidRPr="002029AF">
        <w:t>Aged</w:t>
      </w:r>
      <w:r w:rsidR="000A5329" w:rsidRPr="002029AF">
        <w:t xml:space="preserve"> </w:t>
      </w:r>
      <w:r w:rsidRPr="002029AF">
        <w:t>and</w:t>
      </w:r>
      <w:r w:rsidR="000A5329" w:rsidRPr="002029AF">
        <w:t xml:space="preserve"> </w:t>
      </w:r>
      <w:r w:rsidRPr="002029AF">
        <w:t>Community</w:t>
      </w:r>
      <w:r w:rsidR="000A5329" w:rsidRPr="002029AF">
        <w:t xml:space="preserve"> </w:t>
      </w:r>
      <w:r w:rsidRPr="002029AF">
        <w:t>Services</w:t>
      </w:r>
      <w:r w:rsidR="000A5329" w:rsidRPr="002029AF">
        <w:t xml:space="preserve"> </w:t>
      </w:r>
      <w:r w:rsidRPr="002029AF">
        <w:t>Australia.</w:t>
      </w:r>
    </w:p>
    <w:p w14:paraId="40987AB8" w14:textId="6A3949F1" w:rsidR="00262CBF" w:rsidRPr="002029AF" w:rsidRDefault="006F2C99" w:rsidP="00262CBF">
      <w:pPr>
        <w:pStyle w:val="ARbody"/>
      </w:pPr>
      <w:r w:rsidRPr="002029AF">
        <w:br w:type="column"/>
      </w:r>
      <w:r w:rsidR="00262CBF" w:rsidRPr="002029AF">
        <w:t>In</w:t>
      </w:r>
      <w:r w:rsidR="000A5329" w:rsidRPr="002029AF">
        <w:t xml:space="preserve"> </w:t>
      </w:r>
      <w:r w:rsidR="00262CBF" w:rsidRPr="002029AF">
        <w:t>response</w:t>
      </w:r>
      <w:r w:rsidR="000A5329" w:rsidRPr="002029AF">
        <w:t xml:space="preserve"> </w:t>
      </w:r>
      <w:r w:rsidR="00262CBF" w:rsidRPr="002029AF">
        <w:t>to</w:t>
      </w:r>
      <w:r w:rsidR="000A5329" w:rsidRPr="002029AF">
        <w:t xml:space="preserve"> </w:t>
      </w:r>
      <w:r w:rsidR="00262CBF" w:rsidRPr="002029AF">
        <w:t>a</w:t>
      </w:r>
      <w:r w:rsidR="000A5329" w:rsidRPr="002029AF">
        <w:t xml:space="preserve"> </w:t>
      </w:r>
      <w:r w:rsidR="00262CBF" w:rsidRPr="002029AF">
        <w:t>request</w:t>
      </w:r>
      <w:r w:rsidR="000A5329" w:rsidRPr="002029AF">
        <w:t xml:space="preserve"> </w:t>
      </w:r>
      <w:r w:rsidR="00262CBF" w:rsidRPr="002029AF">
        <w:t>from</w:t>
      </w:r>
      <w:r w:rsidR="000A5329" w:rsidRPr="002029AF">
        <w:t xml:space="preserve"> </w:t>
      </w:r>
      <w:r w:rsidR="00262CBF" w:rsidRPr="002029AF">
        <w:t>the</w:t>
      </w:r>
      <w:r w:rsidR="000A5329" w:rsidRPr="002029AF">
        <w:t xml:space="preserve"> </w:t>
      </w:r>
      <w:r w:rsidR="00262CBF" w:rsidRPr="002029AF">
        <w:t>Department</w:t>
      </w:r>
      <w:r w:rsidR="000A5329" w:rsidRPr="002029AF">
        <w:t xml:space="preserve"> </w:t>
      </w:r>
      <w:r w:rsidR="00262CBF" w:rsidRPr="002029AF">
        <w:t>of</w:t>
      </w:r>
      <w:r w:rsidR="000A5329" w:rsidRPr="002029AF">
        <w:t xml:space="preserve"> </w:t>
      </w:r>
      <w:r w:rsidR="00262CBF" w:rsidRPr="002029AF">
        <w:t>Health</w:t>
      </w:r>
      <w:r w:rsidR="000A5329" w:rsidRPr="002029AF">
        <w:t xml:space="preserve"> </w:t>
      </w:r>
      <w:r w:rsidR="00262CBF" w:rsidRPr="002029AF">
        <w:t>and</w:t>
      </w:r>
      <w:r w:rsidR="000A5329" w:rsidRPr="002029AF">
        <w:t xml:space="preserve"> </w:t>
      </w:r>
      <w:r w:rsidR="00262CBF" w:rsidRPr="002029AF">
        <w:t>Human</w:t>
      </w:r>
      <w:r w:rsidR="000A5329" w:rsidRPr="002029AF">
        <w:t xml:space="preserve"> </w:t>
      </w:r>
      <w:r w:rsidR="00262CBF" w:rsidRPr="002029AF">
        <w:t>Services</w:t>
      </w:r>
      <w:r w:rsidR="000A5329" w:rsidRPr="002029AF">
        <w:t xml:space="preserve"> </w:t>
      </w:r>
      <w:r w:rsidR="00262CBF" w:rsidRPr="002029AF">
        <w:t>to</w:t>
      </w:r>
      <w:r w:rsidR="000A5329" w:rsidRPr="002029AF">
        <w:t xml:space="preserve"> </w:t>
      </w:r>
      <w:r w:rsidR="00262CBF" w:rsidRPr="002029AF">
        <w:t>provide</w:t>
      </w:r>
      <w:r w:rsidR="000A5329" w:rsidRPr="002029AF">
        <w:t xml:space="preserve"> </w:t>
      </w:r>
      <w:r w:rsidR="00262CBF" w:rsidRPr="002029AF">
        <w:t>advice</w:t>
      </w:r>
      <w:r w:rsidR="000A5329" w:rsidRPr="002029AF">
        <w:t xml:space="preserve"> </w:t>
      </w:r>
      <w:r w:rsidR="00262CBF" w:rsidRPr="002029AF">
        <w:t>on</w:t>
      </w:r>
      <w:r w:rsidRPr="002029AF">
        <w:t> </w:t>
      </w:r>
      <w:r w:rsidR="00262CBF" w:rsidRPr="002029AF">
        <w:t>what</w:t>
      </w:r>
      <w:r w:rsidR="000A5329" w:rsidRPr="002029AF">
        <w:t xml:space="preserve"> </w:t>
      </w:r>
      <w:r w:rsidR="00262CBF" w:rsidRPr="002029AF">
        <w:t>it</w:t>
      </w:r>
      <w:r w:rsidR="000A5329" w:rsidRPr="002029AF">
        <w:t xml:space="preserve"> </w:t>
      </w:r>
      <w:r w:rsidR="00262CBF" w:rsidRPr="002029AF">
        <w:t>means</w:t>
      </w:r>
      <w:r w:rsidR="000A5329" w:rsidRPr="002029AF">
        <w:t xml:space="preserve"> </w:t>
      </w:r>
      <w:r w:rsidR="00262CBF" w:rsidRPr="002029AF">
        <w:t>to</w:t>
      </w:r>
      <w:r w:rsidR="000A5329" w:rsidRPr="002029AF">
        <w:t xml:space="preserve"> </w:t>
      </w:r>
      <w:r w:rsidR="00262CBF" w:rsidRPr="002029AF">
        <w:t>‘age</w:t>
      </w:r>
      <w:r w:rsidR="000A5329" w:rsidRPr="002029AF">
        <w:t xml:space="preserve"> </w:t>
      </w:r>
      <w:r w:rsidR="00262CBF" w:rsidRPr="002029AF">
        <w:t>well’</w:t>
      </w:r>
      <w:r w:rsidR="000A5329" w:rsidRPr="002029AF">
        <w:t xml:space="preserve"> </w:t>
      </w:r>
      <w:r w:rsidR="00262CBF" w:rsidRPr="002029AF">
        <w:t>in</w:t>
      </w:r>
      <w:r w:rsidR="000A5329" w:rsidRPr="002029AF">
        <w:t xml:space="preserve"> </w:t>
      </w:r>
      <w:r w:rsidR="00262CBF" w:rsidRPr="002029AF">
        <w:t>Victoria,</w:t>
      </w:r>
      <w:r w:rsidR="000A5329" w:rsidRPr="002029AF">
        <w:t xml:space="preserve"> </w:t>
      </w:r>
      <w:r w:rsidR="00262CBF" w:rsidRPr="002029AF">
        <w:t>the</w:t>
      </w:r>
      <w:r w:rsidR="000A5329" w:rsidRPr="002029AF">
        <w:t xml:space="preserve"> </w:t>
      </w:r>
      <w:r w:rsidR="00262CBF" w:rsidRPr="002029AF">
        <w:t>Commissioner</w:t>
      </w:r>
      <w:r w:rsidR="000A5329" w:rsidRPr="002029AF">
        <w:t xml:space="preserve"> </w:t>
      </w:r>
      <w:r w:rsidR="00262CBF" w:rsidRPr="002029AF">
        <w:t>sought</w:t>
      </w:r>
      <w:r w:rsidR="000A5329" w:rsidRPr="002029AF">
        <w:t xml:space="preserve"> </w:t>
      </w:r>
      <w:r w:rsidR="00262CBF" w:rsidRPr="002029AF">
        <w:t>feedback</w:t>
      </w:r>
      <w:r w:rsidR="000A5329" w:rsidRPr="002029AF">
        <w:t xml:space="preserve"> </w:t>
      </w:r>
      <w:r w:rsidR="00262CBF" w:rsidRPr="002029AF">
        <w:t>from</w:t>
      </w:r>
      <w:r w:rsidR="000A5329" w:rsidRPr="002029AF">
        <w:t xml:space="preserve"> </w:t>
      </w:r>
      <w:r w:rsidR="00262CBF" w:rsidRPr="002029AF">
        <w:t>seniors</w:t>
      </w:r>
      <w:r w:rsidR="000A5329" w:rsidRPr="002029AF">
        <w:t xml:space="preserve"> </w:t>
      </w:r>
      <w:r w:rsidR="00262CBF" w:rsidRPr="002029AF">
        <w:t>in</w:t>
      </w:r>
      <w:r w:rsidRPr="002029AF">
        <w:t> </w:t>
      </w:r>
      <w:r w:rsidR="00262CBF" w:rsidRPr="002029AF">
        <w:t>the</w:t>
      </w:r>
      <w:r w:rsidRPr="002029AF">
        <w:t> </w:t>
      </w:r>
      <w:r w:rsidR="00262CBF" w:rsidRPr="002029AF">
        <w:t>community.</w:t>
      </w:r>
    </w:p>
    <w:p w14:paraId="34A8B5D8" w14:textId="6ECCDC2E" w:rsidR="00262CBF" w:rsidRPr="002029AF" w:rsidRDefault="00262CBF" w:rsidP="00262CBF">
      <w:pPr>
        <w:pStyle w:val="ARbody"/>
      </w:pPr>
      <w:r w:rsidRPr="002029AF">
        <w:t>Senior</w:t>
      </w:r>
      <w:r w:rsidR="000A5329" w:rsidRPr="002029AF">
        <w:t xml:space="preserve"> </w:t>
      </w:r>
      <w:r w:rsidRPr="002029AF">
        <w:t>Victorians</w:t>
      </w:r>
      <w:r w:rsidR="000A5329" w:rsidRPr="002029AF">
        <w:t xml:space="preserve"> </w:t>
      </w:r>
      <w:r w:rsidRPr="002029AF">
        <w:t>from</w:t>
      </w:r>
      <w:r w:rsidR="000A5329" w:rsidRPr="002029AF">
        <w:t xml:space="preserve"> </w:t>
      </w:r>
      <w:r w:rsidRPr="002029AF">
        <w:t>27</w:t>
      </w:r>
      <w:r w:rsidR="000A5329" w:rsidRPr="002029AF">
        <w:t xml:space="preserve"> </w:t>
      </w:r>
      <w:r w:rsidRPr="002029AF">
        <w:t>Local</w:t>
      </w:r>
      <w:r w:rsidR="000A5329" w:rsidRPr="002029AF">
        <w:t xml:space="preserve"> </w:t>
      </w:r>
      <w:r w:rsidRPr="002029AF">
        <w:t>Government</w:t>
      </w:r>
      <w:r w:rsidR="000A5329" w:rsidRPr="002029AF">
        <w:t xml:space="preserve"> </w:t>
      </w:r>
      <w:r w:rsidRPr="002029AF">
        <w:t>Areas</w:t>
      </w:r>
      <w:r w:rsidR="006F2C99" w:rsidRPr="002029AF">
        <w:t> </w:t>
      </w:r>
      <w:r w:rsidRPr="002029AF">
        <w:t>were</w:t>
      </w:r>
      <w:r w:rsidR="000A5329" w:rsidRPr="002029AF">
        <w:t xml:space="preserve"> </w:t>
      </w:r>
      <w:r w:rsidRPr="002029AF">
        <w:t>invited</w:t>
      </w:r>
      <w:r w:rsidR="000A5329" w:rsidRPr="002029AF">
        <w:t xml:space="preserve"> </w:t>
      </w:r>
      <w:r w:rsidRPr="002029AF">
        <w:t>to</w:t>
      </w:r>
      <w:r w:rsidR="000A5329" w:rsidRPr="002029AF">
        <w:t xml:space="preserve"> </w:t>
      </w:r>
      <w:r w:rsidRPr="002029AF">
        <w:t>take</w:t>
      </w:r>
      <w:r w:rsidR="000A5329" w:rsidRPr="002029AF">
        <w:t xml:space="preserve"> </w:t>
      </w:r>
      <w:r w:rsidRPr="002029AF">
        <w:t>part</w:t>
      </w:r>
      <w:r w:rsidR="000A5329" w:rsidRPr="002029AF">
        <w:t xml:space="preserve"> </w:t>
      </w:r>
      <w:r w:rsidRPr="002029AF">
        <w:t>in</w:t>
      </w:r>
      <w:r w:rsidR="000A5329" w:rsidRPr="002029AF">
        <w:t xml:space="preserve"> </w:t>
      </w:r>
      <w:r w:rsidRPr="002029AF">
        <w:t>one</w:t>
      </w:r>
      <w:r w:rsidR="000A5329" w:rsidRPr="002029AF">
        <w:t xml:space="preserve"> </w:t>
      </w:r>
      <w:r w:rsidRPr="002029AF">
        <w:t>of</w:t>
      </w:r>
      <w:r w:rsidR="000A5329" w:rsidRPr="002029AF">
        <w:t xml:space="preserve"> </w:t>
      </w:r>
      <w:r w:rsidRPr="002029AF">
        <w:t>four</w:t>
      </w:r>
      <w:r w:rsidR="000A5329" w:rsidRPr="002029AF">
        <w:t xml:space="preserve"> </w:t>
      </w:r>
      <w:r w:rsidRPr="002029AF">
        <w:t>regional</w:t>
      </w:r>
      <w:r w:rsidR="000A5329" w:rsidRPr="002029AF">
        <w:t xml:space="preserve"> </w:t>
      </w:r>
      <w:r w:rsidRPr="002029AF">
        <w:t>community</w:t>
      </w:r>
      <w:r w:rsidR="000A5329" w:rsidRPr="002029AF">
        <w:t xml:space="preserve"> </w:t>
      </w:r>
      <w:r w:rsidRPr="002029AF">
        <w:t>consultations</w:t>
      </w:r>
      <w:r w:rsidR="000A5329" w:rsidRPr="002029AF">
        <w:t xml:space="preserve"> </w:t>
      </w:r>
      <w:r w:rsidRPr="002029AF">
        <w:t>held</w:t>
      </w:r>
      <w:r w:rsidR="000A5329" w:rsidRPr="002029AF">
        <w:t xml:space="preserve"> </w:t>
      </w:r>
      <w:r w:rsidRPr="002029AF">
        <w:t>in</w:t>
      </w:r>
      <w:r w:rsidR="000A5329" w:rsidRPr="002029AF">
        <w:t xml:space="preserve"> </w:t>
      </w:r>
      <w:r w:rsidRPr="002029AF">
        <w:t>August</w:t>
      </w:r>
      <w:r w:rsidR="000A5329" w:rsidRPr="002029AF">
        <w:t xml:space="preserve"> </w:t>
      </w:r>
      <w:r w:rsidRPr="002029AF">
        <w:t>2019.</w:t>
      </w:r>
      <w:r w:rsidR="000A5329" w:rsidRPr="002029AF">
        <w:t xml:space="preserve"> </w:t>
      </w:r>
      <w:r w:rsidRPr="002029AF">
        <w:t>A</w:t>
      </w:r>
      <w:r w:rsidR="000A5329" w:rsidRPr="002029AF">
        <w:t xml:space="preserve"> </w:t>
      </w:r>
      <w:r w:rsidRPr="002029AF">
        <w:t>total</w:t>
      </w:r>
      <w:r w:rsidR="000A5329" w:rsidRPr="002029AF">
        <w:t xml:space="preserve"> </w:t>
      </w:r>
      <w:r w:rsidRPr="002029AF">
        <w:t>of</w:t>
      </w:r>
      <w:r w:rsidR="000A5329" w:rsidRPr="002029AF">
        <w:t xml:space="preserve"> </w:t>
      </w:r>
      <w:r w:rsidRPr="002029AF">
        <w:t>231</w:t>
      </w:r>
      <w:r w:rsidR="000A5329" w:rsidRPr="002029AF">
        <w:t xml:space="preserve"> </w:t>
      </w:r>
      <w:r w:rsidRPr="002029AF">
        <w:t>older</w:t>
      </w:r>
      <w:r w:rsidR="000A5329" w:rsidRPr="002029AF">
        <w:t xml:space="preserve"> </w:t>
      </w:r>
      <w:r w:rsidRPr="002029AF">
        <w:t>people</w:t>
      </w:r>
      <w:r w:rsidR="000A5329" w:rsidRPr="002029AF">
        <w:t xml:space="preserve"> </w:t>
      </w:r>
      <w:r w:rsidRPr="002029AF">
        <w:t>attended</w:t>
      </w:r>
      <w:r w:rsidR="000A5329" w:rsidRPr="002029AF">
        <w:t xml:space="preserve"> </w:t>
      </w:r>
      <w:r w:rsidRPr="002029AF">
        <w:t>the</w:t>
      </w:r>
      <w:r w:rsidR="000A5329" w:rsidRPr="002029AF">
        <w:t xml:space="preserve"> </w:t>
      </w:r>
      <w:r w:rsidRPr="002029AF">
        <w:t>consultations,</w:t>
      </w:r>
      <w:r w:rsidR="000A5329" w:rsidRPr="002029AF">
        <w:t xml:space="preserve"> </w:t>
      </w:r>
      <w:r w:rsidRPr="002029AF">
        <w:t>which</w:t>
      </w:r>
      <w:r w:rsidR="000A5329" w:rsidRPr="002029AF">
        <w:t xml:space="preserve"> </w:t>
      </w:r>
      <w:r w:rsidRPr="002029AF">
        <w:t>were</w:t>
      </w:r>
      <w:r w:rsidR="000A5329" w:rsidRPr="002029AF">
        <w:t xml:space="preserve"> </w:t>
      </w:r>
      <w:r w:rsidRPr="002029AF">
        <w:t>organised</w:t>
      </w:r>
      <w:r w:rsidR="000A5329" w:rsidRPr="002029AF">
        <w:t xml:space="preserve"> </w:t>
      </w:r>
      <w:r w:rsidRPr="002029AF">
        <w:t>in</w:t>
      </w:r>
      <w:r w:rsidR="000A5329" w:rsidRPr="002029AF">
        <w:t xml:space="preserve"> </w:t>
      </w:r>
      <w:r w:rsidRPr="002029AF">
        <w:t>partnership</w:t>
      </w:r>
      <w:r w:rsidR="000A5329" w:rsidRPr="002029AF">
        <w:t xml:space="preserve"> </w:t>
      </w:r>
      <w:r w:rsidRPr="002029AF">
        <w:t>with</w:t>
      </w:r>
      <w:r w:rsidR="000A5329" w:rsidRPr="002029AF">
        <w:t xml:space="preserve"> </w:t>
      </w:r>
      <w:r w:rsidRPr="002029AF">
        <w:t>Greater</w:t>
      </w:r>
      <w:r w:rsidR="000A5329" w:rsidRPr="002029AF">
        <w:t xml:space="preserve"> </w:t>
      </w:r>
      <w:r w:rsidRPr="002029AF">
        <w:t>Geelong,</w:t>
      </w:r>
      <w:r w:rsidR="000A5329" w:rsidRPr="002029AF">
        <w:t xml:space="preserve"> </w:t>
      </w:r>
      <w:r w:rsidRPr="002029AF">
        <w:t>Greater</w:t>
      </w:r>
      <w:r w:rsidR="000A5329" w:rsidRPr="002029AF">
        <w:t xml:space="preserve"> </w:t>
      </w:r>
      <w:r w:rsidRPr="002029AF">
        <w:t>Shepparton,</w:t>
      </w:r>
      <w:r w:rsidR="000A5329" w:rsidRPr="002029AF">
        <w:t xml:space="preserve"> </w:t>
      </w:r>
      <w:r w:rsidRPr="002029AF">
        <w:t>Manningham</w:t>
      </w:r>
      <w:r w:rsidR="000A5329" w:rsidRPr="002029AF">
        <w:t xml:space="preserve"> </w:t>
      </w:r>
      <w:r w:rsidRPr="002029AF">
        <w:t>and</w:t>
      </w:r>
      <w:r w:rsidR="000A5329" w:rsidRPr="002029AF">
        <w:t xml:space="preserve"> </w:t>
      </w:r>
      <w:r w:rsidRPr="002029AF">
        <w:t>Maribyrnong</w:t>
      </w:r>
      <w:r w:rsidR="000A5329" w:rsidRPr="002029AF">
        <w:t xml:space="preserve"> </w:t>
      </w:r>
      <w:r w:rsidRPr="002029AF">
        <w:t>local</w:t>
      </w:r>
      <w:r w:rsidR="000A5329" w:rsidRPr="002029AF">
        <w:t xml:space="preserve"> </w:t>
      </w:r>
      <w:r w:rsidRPr="002029AF">
        <w:t>councils.</w:t>
      </w:r>
      <w:r w:rsidR="000A5329" w:rsidRPr="002029AF">
        <w:t xml:space="preserve"> </w:t>
      </w:r>
      <w:r w:rsidRPr="002029AF">
        <w:t>The</w:t>
      </w:r>
      <w:r w:rsidR="000A5329" w:rsidRPr="002029AF">
        <w:t xml:space="preserve"> </w:t>
      </w:r>
      <w:r w:rsidRPr="002029AF">
        <w:t>Commissioner</w:t>
      </w:r>
      <w:r w:rsidR="000A5329" w:rsidRPr="002029AF">
        <w:t xml:space="preserve"> </w:t>
      </w:r>
      <w:r w:rsidRPr="002029AF">
        <w:t>also</w:t>
      </w:r>
      <w:r w:rsidR="000A5329" w:rsidRPr="002029AF">
        <w:t xml:space="preserve"> </w:t>
      </w:r>
      <w:r w:rsidRPr="002029AF">
        <w:t>met</w:t>
      </w:r>
      <w:r w:rsidR="000A5329" w:rsidRPr="002029AF">
        <w:t xml:space="preserve"> </w:t>
      </w:r>
      <w:r w:rsidRPr="002029AF">
        <w:t>with</w:t>
      </w:r>
      <w:r w:rsidR="000A5329" w:rsidRPr="002029AF">
        <w:t xml:space="preserve"> </w:t>
      </w:r>
      <w:r w:rsidRPr="002029AF">
        <w:t>Aboriginal</w:t>
      </w:r>
      <w:r w:rsidR="000A5329" w:rsidRPr="002029AF">
        <w:t xml:space="preserve"> </w:t>
      </w:r>
      <w:r w:rsidRPr="002029AF">
        <w:t>and</w:t>
      </w:r>
      <w:r w:rsidR="000A5329" w:rsidRPr="002029AF">
        <w:t xml:space="preserve"> </w:t>
      </w:r>
      <w:r w:rsidRPr="002029AF">
        <w:t>Torres</w:t>
      </w:r>
      <w:r w:rsidR="000A5329" w:rsidRPr="002029AF">
        <w:t xml:space="preserve"> </w:t>
      </w:r>
      <w:r w:rsidRPr="002029AF">
        <w:t>Strait</w:t>
      </w:r>
      <w:r w:rsidR="000A5329" w:rsidRPr="002029AF">
        <w:t xml:space="preserve"> </w:t>
      </w:r>
      <w:r w:rsidRPr="002029AF">
        <w:t>Island</w:t>
      </w:r>
      <w:r w:rsidR="000A5329" w:rsidRPr="002029AF">
        <w:t xml:space="preserve"> </w:t>
      </w:r>
      <w:r w:rsidRPr="002029AF">
        <w:t>elders</w:t>
      </w:r>
      <w:r w:rsidR="000A5329" w:rsidRPr="002029AF">
        <w:t xml:space="preserve"> </w:t>
      </w:r>
      <w:r w:rsidRPr="002029AF">
        <w:t>at</w:t>
      </w:r>
      <w:r w:rsidR="000A5329" w:rsidRPr="002029AF">
        <w:t xml:space="preserve"> </w:t>
      </w:r>
      <w:r w:rsidRPr="002029AF">
        <w:t>the</w:t>
      </w:r>
      <w:r w:rsidR="000A5329" w:rsidRPr="002029AF">
        <w:t xml:space="preserve"> </w:t>
      </w:r>
      <w:r w:rsidRPr="002029AF">
        <w:t>Aboriginal</w:t>
      </w:r>
      <w:r w:rsidR="000A5329" w:rsidRPr="002029AF">
        <w:t xml:space="preserve"> </w:t>
      </w:r>
      <w:r w:rsidRPr="002029AF">
        <w:t>Community</w:t>
      </w:r>
      <w:r w:rsidR="000A5329" w:rsidRPr="002029AF">
        <w:t xml:space="preserve"> </w:t>
      </w:r>
      <w:r w:rsidRPr="002029AF">
        <w:t>Elders</w:t>
      </w:r>
      <w:r w:rsidR="000A5329" w:rsidRPr="002029AF">
        <w:t xml:space="preserve"> </w:t>
      </w:r>
      <w:r w:rsidRPr="002029AF">
        <w:t>Service</w:t>
      </w:r>
      <w:r w:rsidR="000A5329" w:rsidRPr="002029AF">
        <w:t xml:space="preserve"> </w:t>
      </w:r>
      <w:r w:rsidRPr="002029AF">
        <w:t>and</w:t>
      </w:r>
      <w:r w:rsidR="000A5329" w:rsidRPr="002029AF">
        <w:t xml:space="preserve"> </w:t>
      </w:r>
      <w:r w:rsidRPr="002029AF">
        <w:t>discussed</w:t>
      </w:r>
      <w:r w:rsidR="000A5329" w:rsidRPr="002029AF">
        <w:t xml:space="preserve"> </w:t>
      </w:r>
      <w:r w:rsidRPr="002029AF">
        <w:t>needs</w:t>
      </w:r>
      <w:r w:rsidR="000A5329" w:rsidRPr="002029AF">
        <w:t xml:space="preserve"> </w:t>
      </w:r>
      <w:r w:rsidRPr="002029AF">
        <w:t>of</w:t>
      </w:r>
      <w:r w:rsidR="000A5329" w:rsidRPr="002029AF">
        <w:t xml:space="preserve"> </w:t>
      </w:r>
      <w:r w:rsidRPr="002029AF">
        <w:t>seniors</w:t>
      </w:r>
      <w:r w:rsidR="000A5329" w:rsidRPr="002029AF">
        <w:t xml:space="preserve"> </w:t>
      </w:r>
      <w:r w:rsidRPr="002029AF">
        <w:t>from</w:t>
      </w:r>
      <w:r w:rsidR="000A5329" w:rsidRPr="002029AF">
        <w:t xml:space="preserve"> </w:t>
      </w:r>
      <w:r w:rsidRPr="002029AF">
        <w:t>culturally</w:t>
      </w:r>
      <w:r w:rsidR="000A5329" w:rsidRPr="002029AF">
        <w:t xml:space="preserve"> </w:t>
      </w:r>
      <w:r w:rsidRPr="002029AF">
        <w:t>diverse</w:t>
      </w:r>
      <w:r w:rsidR="000A5329" w:rsidRPr="002029AF">
        <w:t xml:space="preserve"> </w:t>
      </w:r>
      <w:r w:rsidRPr="002029AF">
        <w:t>communities</w:t>
      </w:r>
      <w:r w:rsidR="000A5329" w:rsidRPr="002029AF">
        <w:t xml:space="preserve"> </w:t>
      </w:r>
      <w:r w:rsidRPr="002029AF">
        <w:t>with</w:t>
      </w:r>
      <w:r w:rsidR="000A5329" w:rsidRPr="002029AF">
        <w:t xml:space="preserve"> </w:t>
      </w:r>
      <w:r w:rsidRPr="002029AF">
        <w:t>the</w:t>
      </w:r>
      <w:r w:rsidR="000A5329" w:rsidRPr="002029AF">
        <w:t xml:space="preserve"> </w:t>
      </w:r>
      <w:r w:rsidRPr="002029AF">
        <w:t>Chairperson</w:t>
      </w:r>
      <w:r w:rsidR="000A5329" w:rsidRPr="002029AF">
        <w:t xml:space="preserve"> </w:t>
      </w:r>
      <w:r w:rsidRPr="002029AF">
        <w:t>of</w:t>
      </w:r>
      <w:r w:rsidR="000A5329" w:rsidRPr="002029AF">
        <w:t xml:space="preserve"> </w:t>
      </w:r>
      <w:r w:rsidRPr="002029AF">
        <w:t>the</w:t>
      </w:r>
      <w:r w:rsidR="000A5329" w:rsidRPr="002029AF">
        <w:t xml:space="preserve"> </w:t>
      </w:r>
      <w:r w:rsidRPr="002029AF">
        <w:t>Victorian</w:t>
      </w:r>
      <w:r w:rsidR="000A5329" w:rsidRPr="002029AF">
        <w:t xml:space="preserve"> </w:t>
      </w:r>
      <w:r w:rsidRPr="002029AF">
        <w:t>Multicultural</w:t>
      </w:r>
      <w:r w:rsidR="000A5329" w:rsidRPr="002029AF">
        <w:t xml:space="preserve"> </w:t>
      </w:r>
      <w:r w:rsidRPr="002029AF">
        <w:t>Commission.</w:t>
      </w:r>
    </w:p>
    <w:p w14:paraId="46774CBA" w14:textId="44758A8D" w:rsidR="000A5329" w:rsidRPr="002029AF" w:rsidRDefault="00262CBF" w:rsidP="00262CBF">
      <w:pPr>
        <w:pStyle w:val="ARbody"/>
      </w:pPr>
      <w:r w:rsidRPr="002029AF">
        <w:t>In</w:t>
      </w:r>
      <w:r w:rsidR="000A5329" w:rsidRPr="002029AF">
        <w:t xml:space="preserve"> </w:t>
      </w:r>
      <w:r w:rsidRPr="002029AF">
        <w:t>addition,</w:t>
      </w:r>
      <w:r w:rsidR="000A5329" w:rsidRPr="002029AF">
        <w:t xml:space="preserve"> </w:t>
      </w:r>
      <w:r w:rsidRPr="002029AF">
        <w:t>4,726</w:t>
      </w:r>
      <w:r w:rsidR="000A5329" w:rsidRPr="002029AF">
        <w:t xml:space="preserve"> </w:t>
      </w:r>
      <w:r w:rsidRPr="002029AF">
        <w:t>seniors</w:t>
      </w:r>
      <w:r w:rsidR="000A5329" w:rsidRPr="002029AF">
        <w:t xml:space="preserve"> </w:t>
      </w:r>
      <w:r w:rsidRPr="002029AF">
        <w:t>completed</w:t>
      </w:r>
      <w:r w:rsidR="000A5329" w:rsidRPr="002029AF">
        <w:t xml:space="preserve"> </w:t>
      </w:r>
      <w:r w:rsidRPr="002029AF">
        <w:t>an</w:t>
      </w:r>
      <w:r w:rsidR="000A5329" w:rsidRPr="002029AF">
        <w:t xml:space="preserve"> </w:t>
      </w:r>
      <w:r w:rsidRPr="002029AF">
        <w:t>online</w:t>
      </w:r>
      <w:r w:rsidR="000A5329" w:rsidRPr="002029AF">
        <w:t xml:space="preserve"> </w:t>
      </w:r>
      <w:r w:rsidRPr="002029AF">
        <w:t>survey,</w:t>
      </w:r>
      <w:r w:rsidR="000A5329" w:rsidRPr="002029AF">
        <w:t xml:space="preserve"> </w:t>
      </w:r>
      <w:r w:rsidRPr="002029AF">
        <w:t>with</w:t>
      </w:r>
      <w:r w:rsidR="000A5329" w:rsidRPr="002029AF">
        <w:t xml:space="preserve"> </w:t>
      </w:r>
      <w:r w:rsidRPr="002029AF">
        <w:t>support</w:t>
      </w:r>
      <w:r w:rsidR="000A5329" w:rsidRPr="002029AF">
        <w:t xml:space="preserve"> </w:t>
      </w:r>
      <w:r w:rsidRPr="002029AF">
        <w:t>provided</w:t>
      </w:r>
      <w:r w:rsidR="000A5329" w:rsidRPr="002029AF">
        <w:t xml:space="preserve"> </w:t>
      </w:r>
      <w:r w:rsidRPr="002029AF">
        <w:t>to</w:t>
      </w:r>
      <w:r w:rsidR="000A5329" w:rsidRPr="002029AF">
        <w:t xml:space="preserve"> </w:t>
      </w:r>
      <w:r w:rsidRPr="002029AF">
        <w:t>complete</w:t>
      </w:r>
      <w:r w:rsidR="000A5329" w:rsidRPr="002029AF">
        <w:t xml:space="preserve"> </w:t>
      </w:r>
      <w:r w:rsidRPr="002029AF">
        <w:t>the</w:t>
      </w:r>
      <w:r w:rsidR="000A5329" w:rsidRPr="002029AF">
        <w:t xml:space="preserve"> </w:t>
      </w:r>
      <w:r w:rsidRPr="002029AF">
        <w:t>survey</w:t>
      </w:r>
      <w:r w:rsidR="000A5329" w:rsidRPr="002029AF">
        <w:t xml:space="preserve"> </w:t>
      </w:r>
      <w:r w:rsidRPr="002029AF">
        <w:t>by</w:t>
      </w:r>
      <w:r w:rsidR="000A5329" w:rsidRPr="002029AF">
        <w:t xml:space="preserve"> </w:t>
      </w:r>
      <w:r w:rsidRPr="002029AF">
        <w:t>local</w:t>
      </w:r>
      <w:r w:rsidR="000A5329" w:rsidRPr="002029AF">
        <w:t xml:space="preserve"> </w:t>
      </w:r>
      <w:r w:rsidRPr="002029AF">
        <w:t>libraries</w:t>
      </w:r>
      <w:r w:rsidR="000A5329" w:rsidRPr="002029AF">
        <w:t xml:space="preserve"> </w:t>
      </w:r>
      <w:r w:rsidRPr="002029AF">
        <w:t>and</w:t>
      </w:r>
      <w:r w:rsidR="000A5329" w:rsidRPr="002029AF">
        <w:t xml:space="preserve"> </w:t>
      </w:r>
      <w:r w:rsidRPr="002029AF">
        <w:t>neighbourhood</w:t>
      </w:r>
      <w:r w:rsidR="000A5329" w:rsidRPr="002029AF">
        <w:t xml:space="preserve"> </w:t>
      </w:r>
      <w:r w:rsidRPr="002029AF">
        <w:t>houses</w:t>
      </w:r>
      <w:r w:rsidR="006F2C99" w:rsidRPr="002029AF">
        <w:t> </w:t>
      </w:r>
      <w:r w:rsidRPr="002029AF">
        <w:t>if</w:t>
      </w:r>
      <w:r w:rsidR="000A5329" w:rsidRPr="002029AF">
        <w:t xml:space="preserve"> </w:t>
      </w:r>
      <w:r w:rsidRPr="002029AF">
        <w:t>required.</w:t>
      </w:r>
    </w:p>
    <w:p w14:paraId="1E35A82E" w14:textId="19D3D62B" w:rsidR="00262CBF" w:rsidRPr="002029AF" w:rsidRDefault="00262CBF" w:rsidP="00262CBF">
      <w:pPr>
        <w:pStyle w:val="ARbody"/>
      </w:pPr>
      <w:r w:rsidRPr="002029AF">
        <w:t>His</w:t>
      </w:r>
      <w:r w:rsidR="000A5329" w:rsidRPr="002029AF">
        <w:t xml:space="preserve"> </w:t>
      </w:r>
      <w:r w:rsidRPr="002029AF">
        <w:t>report,</w:t>
      </w:r>
      <w:r w:rsidR="000A5329" w:rsidRPr="002029AF">
        <w:t xml:space="preserve"> </w:t>
      </w:r>
      <w:r w:rsidRPr="002029AF">
        <w:rPr>
          <w:i/>
          <w:iCs/>
        </w:rPr>
        <w:t>Ageing</w:t>
      </w:r>
      <w:r w:rsidR="000A5329" w:rsidRPr="002029AF">
        <w:rPr>
          <w:i/>
          <w:iCs/>
        </w:rPr>
        <w:t xml:space="preserve"> </w:t>
      </w:r>
      <w:r w:rsidRPr="002029AF">
        <w:rPr>
          <w:i/>
          <w:iCs/>
        </w:rPr>
        <w:t>well</w:t>
      </w:r>
      <w:r w:rsidR="000A5329" w:rsidRPr="002029AF">
        <w:rPr>
          <w:i/>
          <w:iCs/>
        </w:rPr>
        <w:t xml:space="preserve"> </w:t>
      </w:r>
      <w:r w:rsidRPr="002029AF">
        <w:rPr>
          <w:i/>
          <w:iCs/>
        </w:rPr>
        <w:t>in</w:t>
      </w:r>
      <w:r w:rsidR="000A5329" w:rsidRPr="002029AF">
        <w:rPr>
          <w:i/>
          <w:iCs/>
        </w:rPr>
        <w:t xml:space="preserve"> </w:t>
      </w:r>
      <w:r w:rsidRPr="002029AF">
        <w:rPr>
          <w:i/>
          <w:iCs/>
        </w:rPr>
        <w:t>a</w:t>
      </w:r>
      <w:r w:rsidR="000A5329" w:rsidRPr="002029AF">
        <w:rPr>
          <w:i/>
          <w:iCs/>
        </w:rPr>
        <w:t xml:space="preserve"> </w:t>
      </w:r>
      <w:r w:rsidRPr="002029AF">
        <w:rPr>
          <w:i/>
          <w:iCs/>
        </w:rPr>
        <w:t>changing</w:t>
      </w:r>
      <w:r w:rsidR="000A5329" w:rsidRPr="002029AF">
        <w:rPr>
          <w:i/>
          <w:iCs/>
        </w:rPr>
        <w:t xml:space="preserve"> </w:t>
      </w:r>
      <w:r w:rsidRPr="002029AF">
        <w:rPr>
          <w:i/>
          <w:iCs/>
        </w:rPr>
        <w:t>world</w:t>
      </w:r>
      <w:r w:rsidRPr="002029AF">
        <w:t>,</w:t>
      </w:r>
      <w:r w:rsidR="000A5329" w:rsidRPr="002029AF">
        <w:t xml:space="preserve"> </w:t>
      </w:r>
      <w:r w:rsidRPr="002029AF">
        <w:t>will</w:t>
      </w:r>
      <w:r w:rsidR="006F2C99" w:rsidRPr="002029AF">
        <w:t> </w:t>
      </w:r>
      <w:r w:rsidRPr="002029AF">
        <w:t>be</w:t>
      </w:r>
      <w:r w:rsidR="006F2C99" w:rsidRPr="002029AF">
        <w:t> </w:t>
      </w:r>
      <w:r w:rsidRPr="002029AF">
        <w:t>released</w:t>
      </w:r>
      <w:r w:rsidR="000A5329" w:rsidRPr="002029AF">
        <w:t xml:space="preserve"> </w:t>
      </w:r>
      <w:r w:rsidRPr="002029AF">
        <w:t>later</w:t>
      </w:r>
      <w:r w:rsidR="000A5329" w:rsidRPr="002029AF">
        <w:t xml:space="preserve"> </w:t>
      </w:r>
      <w:r w:rsidRPr="002029AF">
        <w:t>in</w:t>
      </w:r>
      <w:r w:rsidR="000A5329" w:rsidRPr="002029AF">
        <w:t xml:space="preserve"> </w:t>
      </w:r>
      <w:r w:rsidRPr="002029AF">
        <w:t>2020.</w:t>
      </w:r>
    </w:p>
    <w:p w14:paraId="0B81B518" w14:textId="35089CE8" w:rsidR="00262CBF" w:rsidRPr="002029AF" w:rsidRDefault="00262CBF" w:rsidP="00262CBF">
      <w:pPr>
        <w:pStyle w:val="ARbody"/>
      </w:pPr>
      <w:r w:rsidRPr="002029AF">
        <w:t>The</w:t>
      </w:r>
      <w:r w:rsidR="000A5329" w:rsidRPr="002029AF">
        <w:t xml:space="preserve"> </w:t>
      </w:r>
      <w:r w:rsidRPr="002029AF">
        <w:t>Commissioner</w:t>
      </w:r>
      <w:r w:rsidR="000A5329" w:rsidRPr="002029AF">
        <w:t xml:space="preserve"> </w:t>
      </w:r>
      <w:r w:rsidRPr="002029AF">
        <w:t>chaired</w:t>
      </w:r>
      <w:r w:rsidR="000A5329" w:rsidRPr="002029AF">
        <w:t xml:space="preserve"> </w:t>
      </w:r>
      <w:r w:rsidRPr="002029AF">
        <w:t>the</w:t>
      </w:r>
      <w:r w:rsidR="000A5329" w:rsidRPr="002029AF">
        <w:t xml:space="preserve"> </w:t>
      </w:r>
      <w:r w:rsidRPr="002029AF">
        <w:t>selection</w:t>
      </w:r>
      <w:r w:rsidR="000A5329" w:rsidRPr="002029AF">
        <w:t xml:space="preserve"> </w:t>
      </w:r>
      <w:r w:rsidRPr="002029AF">
        <w:t>panel</w:t>
      </w:r>
      <w:r w:rsidR="000A5329" w:rsidRPr="002029AF">
        <w:t xml:space="preserve"> </w:t>
      </w:r>
      <w:r w:rsidRPr="002029AF">
        <w:t>for</w:t>
      </w:r>
      <w:r w:rsidR="000A5329" w:rsidRPr="002029AF">
        <w:t xml:space="preserve"> </w:t>
      </w:r>
      <w:r w:rsidRPr="002029AF">
        <w:t>the</w:t>
      </w:r>
      <w:r w:rsidR="000A5329" w:rsidRPr="002029AF">
        <w:t xml:space="preserve"> </w:t>
      </w:r>
      <w:r w:rsidRPr="002029AF">
        <w:t>2019</w:t>
      </w:r>
      <w:r w:rsidR="000A5329" w:rsidRPr="002029AF">
        <w:t xml:space="preserve"> </w:t>
      </w:r>
      <w:r w:rsidRPr="002029AF">
        <w:t>Victorian</w:t>
      </w:r>
      <w:r w:rsidR="000A5329" w:rsidRPr="002029AF">
        <w:t xml:space="preserve"> </w:t>
      </w:r>
      <w:r w:rsidRPr="002029AF">
        <w:t>Senior</w:t>
      </w:r>
      <w:r w:rsidR="000A5329" w:rsidRPr="002029AF">
        <w:t xml:space="preserve"> </w:t>
      </w:r>
      <w:r w:rsidRPr="002029AF">
        <w:t>of</w:t>
      </w:r>
      <w:r w:rsidR="000A5329" w:rsidRPr="002029AF">
        <w:t xml:space="preserve"> </w:t>
      </w:r>
      <w:r w:rsidRPr="002029AF">
        <w:t>the</w:t>
      </w:r>
      <w:r w:rsidR="000A5329" w:rsidRPr="002029AF">
        <w:t xml:space="preserve"> </w:t>
      </w:r>
      <w:r w:rsidRPr="002029AF">
        <w:t>Year</w:t>
      </w:r>
      <w:r w:rsidR="000A5329" w:rsidRPr="002029AF">
        <w:t xml:space="preserve"> </w:t>
      </w:r>
      <w:r w:rsidRPr="002029AF">
        <w:t>Awards</w:t>
      </w:r>
      <w:r w:rsidR="000A5329" w:rsidRPr="002029AF">
        <w:t xml:space="preserve"> </w:t>
      </w:r>
      <w:r w:rsidRPr="002029AF">
        <w:t>and</w:t>
      </w:r>
      <w:r w:rsidR="000A5329" w:rsidRPr="002029AF">
        <w:t xml:space="preserve"> </w:t>
      </w:r>
      <w:r w:rsidRPr="002029AF">
        <w:t>participated</w:t>
      </w:r>
      <w:r w:rsidR="000A5329" w:rsidRPr="002029AF">
        <w:t xml:space="preserve"> </w:t>
      </w:r>
      <w:r w:rsidRPr="002029AF">
        <w:t>in</w:t>
      </w:r>
      <w:r w:rsidR="000A5329" w:rsidRPr="002029AF">
        <w:t xml:space="preserve"> </w:t>
      </w:r>
      <w:r w:rsidRPr="002029AF">
        <w:t>the</w:t>
      </w:r>
      <w:r w:rsidR="000A5329" w:rsidRPr="002029AF">
        <w:t xml:space="preserve"> </w:t>
      </w:r>
      <w:r w:rsidRPr="002029AF">
        <w:t>2019</w:t>
      </w:r>
      <w:r w:rsidR="000A5329" w:rsidRPr="002029AF">
        <w:t xml:space="preserve"> </w:t>
      </w:r>
      <w:r w:rsidRPr="002029AF">
        <w:t>Victorian</w:t>
      </w:r>
      <w:r w:rsidR="000A5329" w:rsidRPr="002029AF">
        <w:t xml:space="preserve"> </w:t>
      </w:r>
      <w:r w:rsidRPr="002029AF">
        <w:t>Seniors</w:t>
      </w:r>
      <w:r w:rsidR="000A5329" w:rsidRPr="002029AF">
        <w:t xml:space="preserve"> </w:t>
      </w:r>
      <w:r w:rsidRPr="002029AF">
        <w:t>Festival</w:t>
      </w:r>
      <w:r w:rsidR="000A5329" w:rsidRPr="002029AF">
        <w:t xml:space="preserve"> </w:t>
      </w:r>
      <w:r w:rsidRPr="002029AF">
        <w:t>in</w:t>
      </w:r>
      <w:r w:rsidR="000A5329" w:rsidRPr="002029AF">
        <w:t xml:space="preserve"> </w:t>
      </w:r>
      <w:r w:rsidRPr="002029AF">
        <w:t>events</w:t>
      </w:r>
      <w:r w:rsidR="000A5329" w:rsidRPr="002029AF">
        <w:t xml:space="preserve"> </w:t>
      </w:r>
      <w:r w:rsidRPr="002029AF">
        <w:t>including</w:t>
      </w:r>
      <w:r w:rsidR="000A5329" w:rsidRPr="002029AF">
        <w:t xml:space="preserve"> </w:t>
      </w:r>
      <w:r w:rsidRPr="002029AF">
        <w:t>a</w:t>
      </w:r>
      <w:r w:rsidR="000A5329" w:rsidRPr="002029AF">
        <w:t xml:space="preserve"> </w:t>
      </w:r>
      <w:r w:rsidRPr="002029AF">
        <w:t>Social</w:t>
      </w:r>
      <w:r w:rsidR="000A5329" w:rsidRPr="002029AF">
        <w:t xml:space="preserve"> </w:t>
      </w:r>
      <w:r w:rsidRPr="002029AF">
        <w:t>Isolation</w:t>
      </w:r>
      <w:r w:rsidR="000A5329" w:rsidRPr="002029AF">
        <w:t xml:space="preserve"> </w:t>
      </w:r>
      <w:r w:rsidRPr="002029AF">
        <w:t>in</w:t>
      </w:r>
      <w:r w:rsidR="000A5329" w:rsidRPr="002029AF">
        <w:t xml:space="preserve"> </w:t>
      </w:r>
      <w:r w:rsidRPr="002029AF">
        <w:t>our</w:t>
      </w:r>
      <w:r w:rsidR="000A5329" w:rsidRPr="002029AF">
        <w:t xml:space="preserve"> </w:t>
      </w:r>
      <w:r w:rsidRPr="002029AF">
        <w:t>Ageing</w:t>
      </w:r>
      <w:r w:rsidR="000A5329" w:rsidRPr="002029AF">
        <w:t xml:space="preserve"> </w:t>
      </w:r>
      <w:r w:rsidRPr="002029AF">
        <w:t>Communities,</w:t>
      </w:r>
      <w:r w:rsidR="000A5329" w:rsidRPr="002029AF">
        <w:t xml:space="preserve"> </w:t>
      </w:r>
      <w:r w:rsidRPr="002029AF">
        <w:t>Causes</w:t>
      </w:r>
      <w:r w:rsidR="000A5329" w:rsidRPr="002029AF">
        <w:t xml:space="preserve"> </w:t>
      </w:r>
      <w:r w:rsidRPr="002029AF">
        <w:t>and</w:t>
      </w:r>
      <w:r w:rsidR="000A5329" w:rsidRPr="002029AF">
        <w:t xml:space="preserve"> </w:t>
      </w:r>
      <w:r w:rsidRPr="002029AF">
        <w:t>Responses</w:t>
      </w:r>
      <w:r w:rsidR="000A5329" w:rsidRPr="002029AF">
        <w:t xml:space="preserve"> </w:t>
      </w:r>
      <w:r w:rsidRPr="002029AF">
        <w:t>discussion</w:t>
      </w:r>
      <w:r w:rsidR="000A5329" w:rsidRPr="002029AF">
        <w:t xml:space="preserve"> </w:t>
      </w:r>
      <w:r w:rsidRPr="002029AF">
        <w:t>by</w:t>
      </w:r>
      <w:r w:rsidR="000A5329" w:rsidRPr="002029AF">
        <w:t xml:space="preserve"> </w:t>
      </w:r>
      <w:r w:rsidRPr="002029AF">
        <w:t>the</w:t>
      </w:r>
      <w:r w:rsidR="000A5329" w:rsidRPr="002029AF">
        <w:t xml:space="preserve"> </w:t>
      </w:r>
      <w:r w:rsidRPr="002029AF">
        <w:t>Country</w:t>
      </w:r>
      <w:r w:rsidR="000A5329" w:rsidRPr="002029AF">
        <w:t xml:space="preserve"> </w:t>
      </w:r>
      <w:r w:rsidRPr="002029AF">
        <w:t>Women’s</w:t>
      </w:r>
      <w:r w:rsidR="000A5329" w:rsidRPr="002029AF">
        <w:t xml:space="preserve"> </w:t>
      </w:r>
      <w:r w:rsidRPr="002029AF">
        <w:t>Association</w:t>
      </w:r>
      <w:r w:rsidR="000A5329" w:rsidRPr="002029AF">
        <w:t xml:space="preserve"> </w:t>
      </w:r>
      <w:r w:rsidRPr="002029AF">
        <w:t>of</w:t>
      </w:r>
      <w:r w:rsidR="000A5329" w:rsidRPr="002029AF">
        <w:t xml:space="preserve"> </w:t>
      </w:r>
      <w:r w:rsidRPr="002029AF">
        <w:t>Victoria</w:t>
      </w:r>
      <w:r w:rsidR="000A5329" w:rsidRPr="002029AF">
        <w:t xml:space="preserve"> </w:t>
      </w:r>
      <w:r w:rsidRPr="002029AF">
        <w:t>Social</w:t>
      </w:r>
      <w:r w:rsidR="000A5329" w:rsidRPr="002029AF">
        <w:t xml:space="preserve"> </w:t>
      </w:r>
      <w:r w:rsidRPr="002029AF">
        <w:t>Issues</w:t>
      </w:r>
      <w:r w:rsidR="000A5329" w:rsidRPr="002029AF">
        <w:t xml:space="preserve"> </w:t>
      </w:r>
      <w:r w:rsidRPr="002029AF">
        <w:t>Committee</w:t>
      </w:r>
      <w:r w:rsidR="000A5329" w:rsidRPr="002029AF">
        <w:t xml:space="preserve"> </w:t>
      </w:r>
      <w:r w:rsidRPr="002029AF">
        <w:t>and</w:t>
      </w:r>
      <w:r w:rsidR="000A5329" w:rsidRPr="002029AF">
        <w:t xml:space="preserve"> </w:t>
      </w:r>
      <w:r w:rsidRPr="002029AF">
        <w:t>a</w:t>
      </w:r>
      <w:r w:rsidR="000A5329" w:rsidRPr="002029AF">
        <w:t xml:space="preserve"> </w:t>
      </w:r>
      <w:r w:rsidRPr="002029AF">
        <w:t>U3A</w:t>
      </w:r>
      <w:r w:rsidR="000A5329" w:rsidRPr="002029AF">
        <w:t xml:space="preserve"> </w:t>
      </w:r>
      <w:r w:rsidRPr="002029AF">
        <w:t>Port</w:t>
      </w:r>
      <w:r w:rsidR="000A5329" w:rsidRPr="002029AF">
        <w:t xml:space="preserve"> </w:t>
      </w:r>
      <w:r w:rsidRPr="002029AF">
        <w:t>Phillip</w:t>
      </w:r>
      <w:r w:rsidR="000A5329" w:rsidRPr="002029AF">
        <w:t xml:space="preserve"> </w:t>
      </w:r>
      <w:r w:rsidRPr="002029AF">
        <w:t>Community</w:t>
      </w:r>
      <w:r w:rsidR="000A5329" w:rsidRPr="002029AF">
        <w:t xml:space="preserve"> </w:t>
      </w:r>
      <w:r w:rsidRPr="002029AF">
        <w:t>Forum</w:t>
      </w:r>
      <w:r w:rsidR="000A5329" w:rsidRPr="002029AF">
        <w:t xml:space="preserve"> </w:t>
      </w:r>
      <w:r w:rsidRPr="002029AF">
        <w:t>with</w:t>
      </w:r>
      <w:r w:rsidR="000A5329" w:rsidRPr="002029AF">
        <w:t xml:space="preserve"> </w:t>
      </w:r>
      <w:r w:rsidRPr="002029AF">
        <w:t>the</w:t>
      </w:r>
      <w:r w:rsidR="000A5329" w:rsidRPr="002029AF">
        <w:t xml:space="preserve"> </w:t>
      </w:r>
      <w:r w:rsidRPr="002029AF">
        <w:t>Minister</w:t>
      </w:r>
      <w:r w:rsidR="000A5329" w:rsidRPr="002029AF">
        <w:t xml:space="preserve"> </w:t>
      </w:r>
      <w:r w:rsidRPr="002029AF">
        <w:t>for</w:t>
      </w:r>
      <w:r w:rsidR="000A5329" w:rsidRPr="002029AF">
        <w:t xml:space="preserve"> </w:t>
      </w:r>
      <w:r w:rsidRPr="002029AF">
        <w:t>Ageing,</w:t>
      </w:r>
      <w:r w:rsidR="000A5329" w:rsidRPr="002029AF">
        <w:t xml:space="preserve"> </w:t>
      </w:r>
      <w:r w:rsidRPr="002029AF">
        <w:t>Disability</w:t>
      </w:r>
      <w:r w:rsidR="000A5329" w:rsidRPr="002029AF">
        <w:t xml:space="preserve"> </w:t>
      </w:r>
      <w:r w:rsidRPr="002029AF">
        <w:t>and</w:t>
      </w:r>
      <w:r w:rsidR="000A5329" w:rsidRPr="002029AF">
        <w:t xml:space="preserve"> </w:t>
      </w:r>
      <w:r w:rsidRPr="002029AF">
        <w:t>Carers.</w:t>
      </w:r>
    </w:p>
    <w:p w14:paraId="514FEEB1" w14:textId="77777777" w:rsidR="003048F1" w:rsidRPr="003048F1" w:rsidRDefault="003048F1" w:rsidP="003048F1">
      <w:pPr>
        <w:pStyle w:val="ARbody"/>
      </w:pPr>
      <w:r w:rsidRPr="003048F1">
        <w:br w:type="page"/>
      </w:r>
    </w:p>
    <w:p w14:paraId="0A0D1F08" w14:textId="2CDDBAB1" w:rsidR="00262CBF" w:rsidRPr="002029AF" w:rsidRDefault="00262CBF" w:rsidP="00262CBF">
      <w:pPr>
        <w:pStyle w:val="ARbody"/>
      </w:pPr>
      <w:r w:rsidRPr="002029AF">
        <w:lastRenderedPageBreak/>
        <w:t>The</w:t>
      </w:r>
      <w:r w:rsidR="000A5329" w:rsidRPr="002029AF">
        <w:t xml:space="preserve"> </w:t>
      </w:r>
      <w:r w:rsidRPr="002029AF">
        <w:t>Commissioner</w:t>
      </w:r>
      <w:r w:rsidR="000A5329" w:rsidRPr="002029AF">
        <w:t xml:space="preserve"> </w:t>
      </w:r>
      <w:r w:rsidRPr="002029AF">
        <w:t>was</w:t>
      </w:r>
      <w:r w:rsidR="000A5329" w:rsidRPr="002029AF">
        <w:t xml:space="preserve"> </w:t>
      </w:r>
      <w:r w:rsidRPr="002029AF">
        <w:t>a</w:t>
      </w:r>
      <w:r w:rsidR="000A5329" w:rsidRPr="002029AF">
        <w:t xml:space="preserve"> </w:t>
      </w:r>
      <w:r w:rsidRPr="002029AF">
        <w:t>member</w:t>
      </w:r>
      <w:r w:rsidR="000A5329" w:rsidRPr="002029AF">
        <w:t xml:space="preserve"> </w:t>
      </w:r>
      <w:r w:rsidRPr="002029AF">
        <w:t>of</w:t>
      </w:r>
      <w:r w:rsidR="000A5329" w:rsidRPr="002029AF">
        <w:t xml:space="preserve"> </w:t>
      </w:r>
      <w:r w:rsidRPr="002029AF">
        <w:t>the</w:t>
      </w:r>
      <w:r w:rsidR="000A5329" w:rsidRPr="002029AF">
        <w:t xml:space="preserve"> </w:t>
      </w:r>
      <w:r w:rsidRPr="002029AF">
        <w:t>selection</w:t>
      </w:r>
      <w:r w:rsidR="000A5329" w:rsidRPr="002029AF">
        <w:t xml:space="preserve"> </w:t>
      </w:r>
      <w:r w:rsidRPr="002029AF">
        <w:t>panel</w:t>
      </w:r>
      <w:r w:rsidR="000A5329" w:rsidRPr="002029AF">
        <w:t xml:space="preserve"> </w:t>
      </w:r>
      <w:r w:rsidRPr="002029AF">
        <w:t>for</w:t>
      </w:r>
      <w:r w:rsidR="000A5329" w:rsidRPr="002029AF">
        <w:t xml:space="preserve"> </w:t>
      </w:r>
      <w:r w:rsidRPr="002029AF">
        <w:t>the</w:t>
      </w:r>
      <w:r w:rsidR="000A5329" w:rsidRPr="002029AF">
        <w:t xml:space="preserve"> </w:t>
      </w:r>
      <w:r w:rsidRPr="002029AF">
        <w:t>2019</w:t>
      </w:r>
      <w:r w:rsidR="000A5329" w:rsidRPr="002029AF">
        <w:t xml:space="preserve"> </w:t>
      </w:r>
      <w:r w:rsidRPr="002029AF">
        <w:t>Victorian</w:t>
      </w:r>
      <w:r w:rsidR="000A5329" w:rsidRPr="002029AF">
        <w:t xml:space="preserve"> </w:t>
      </w:r>
      <w:r w:rsidRPr="002029AF">
        <w:t>Volunteer</w:t>
      </w:r>
      <w:r w:rsidR="000A5329" w:rsidRPr="002029AF">
        <w:t xml:space="preserve"> </w:t>
      </w:r>
      <w:r w:rsidRPr="002029AF">
        <w:t>of</w:t>
      </w:r>
      <w:r w:rsidR="000A5329" w:rsidRPr="002029AF">
        <w:t xml:space="preserve"> </w:t>
      </w:r>
      <w:r w:rsidRPr="002029AF">
        <w:t>the</w:t>
      </w:r>
      <w:r w:rsidR="000A5329" w:rsidRPr="002029AF">
        <w:t xml:space="preserve"> </w:t>
      </w:r>
      <w:r w:rsidRPr="002029AF">
        <w:t>Year</w:t>
      </w:r>
      <w:r w:rsidR="000A5329" w:rsidRPr="002029AF">
        <w:t xml:space="preserve"> </w:t>
      </w:r>
      <w:r w:rsidRPr="002029AF">
        <w:t>Awards</w:t>
      </w:r>
      <w:r w:rsidR="000A5329" w:rsidRPr="002029AF">
        <w:t xml:space="preserve"> </w:t>
      </w:r>
      <w:r w:rsidRPr="002029AF">
        <w:t>and</w:t>
      </w:r>
      <w:r w:rsidR="000A5329" w:rsidRPr="002029AF">
        <w:t xml:space="preserve"> </w:t>
      </w:r>
      <w:r w:rsidRPr="002029AF">
        <w:t>facilitated</w:t>
      </w:r>
      <w:r w:rsidR="000A5329" w:rsidRPr="002029AF">
        <w:t xml:space="preserve"> </w:t>
      </w:r>
      <w:r w:rsidRPr="002029AF">
        <w:t>discussion</w:t>
      </w:r>
      <w:r w:rsidR="000A5329" w:rsidRPr="002029AF">
        <w:t xml:space="preserve"> </w:t>
      </w:r>
      <w:r w:rsidRPr="002029AF">
        <w:t>at</w:t>
      </w:r>
      <w:r w:rsidR="000A5329" w:rsidRPr="002029AF">
        <w:t xml:space="preserve"> </w:t>
      </w:r>
      <w:r w:rsidRPr="002029AF">
        <w:t>a</w:t>
      </w:r>
      <w:r w:rsidR="000A5329" w:rsidRPr="002029AF">
        <w:t xml:space="preserve"> </w:t>
      </w:r>
      <w:r w:rsidRPr="002029AF">
        <w:t>workshop</w:t>
      </w:r>
      <w:r w:rsidR="000A5329" w:rsidRPr="002029AF">
        <w:t xml:space="preserve"> </w:t>
      </w:r>
      <w:r w:rsidRPr="002029AF">
        <w:t>in</w:t>
      </w:r>
      <w:r w:rsidR="000A5329" w:rsidRPr="002029AF">
        <w:t xml:space="preserve"> </w:t>
      </w:r>
      <w:r w:rsidRPr="002029AF">
        <w:t>Ballarat</w:t>
      </w:r>
      <w:r w:rsidR="000A5329" w:rsidRPr="002029AF">
        <w:t xml:space="preserve"> </w:t>
      </w:r>
      <w:r w:rsidRPr="002029AF">
        <w:t>in</w:t>
      </w:r>
      <w:r w:rsidR="000A5329" w:rsidRPr="002029AF">
        <w:t xml:space="preserve"> </w:t>
      </w:r>
      <w:r w:rsidRPr="002029AF">
        <w:t>early</w:t>
      </w:r>
      <w:r w:rsidR="000A5329" w:rsidRPr="002029AF">
        <w:t xml:space="preserve"> </w:t>
      </w:r>
      <w:r w:rsidRPr="002029AF">
        <w:t>2020</w:t>
      </w:r>
      <w:r w:rsidR="000A5329" w:rsidRPr="002029AF">
        <w:t xml:space="preserve"> </w:t>
      </w:r>
      <w:r w:rsidRPr="002029AF">
        <w:t>as</w:t>
      </w:r>
      <w:r w:rsidR="000A5329" w:rsidRPr="002029AF">
        <w:t xml:space="preserve"> </w:t>
      </w:r>
      <w:r w:rsidRPr="002029AF">
        <w:t>part</w:t>
      </w:r>
      <w:r w:rsidR="000A5329" w:rsidRPr="002029AF">
        <w:t xml:space="preserve"> </w:t>
      </w:r>
      <w:r w:rsidRPr="002029AF">
        <w:t>of</w:t>
      </w:r>
      <w:r w:rsidR="000A5329" w:rsidRPr="002029AF">
        <w:t xml:space="preserve"> </w:t>
      </w:r>
      <w:r w:rsidRPr="002029AF">
        <w:t>consultations</w:t>
      </w:r>
      <w:r w:rsidR="000A5329" w:rsidRPr="002029AF">
        <w:t xml:space="preserve"> </w:t>
      </w:r>
      <w:r w:rsidRPr="002029AF">
        <w:t>to</w:t>
      </w:r>
      <w:r w:rsidR="000A5329" w:rsidRPr="002029AF">
        <w:t xml:space="preserve"> </w:t>
      </w:r>
      <w:r w:rsidRPr="002029AF">
        <w:t>inform</w:t>
      </w:r>
      <w:r w:rsidR="000A5329" w:rsidRPr="002029AF">
        <w:t xml:space="preserve"> </w:t>
      </w:r>
      <w:r w:rsidRPr="002029AF">
        <w:t>the</w:t>
      </w:r>
      <w:r w:rsidR="000A5329" w:rsidRPr="002029AF">
        <w:t xml:space="preserve"> </w:t>
      </w:r>
      <w:r w:rsidRPr="002029AF">
        <w:t>Victorian</w:t>
      </w:r>
      <w:r w:rsidR="000A5329" w:rsidRPr="002029AF">
        <w:t xml:space="preserve"> </w:t>
      </w:r>
      <w:r w:rsidRPr="002029AF">
        <w:t>Volunteer</w:t>
      </w:r>
      <w:r w:rsidR="000A5329" w:rsidRPr="002029AF">
        <w:t xml:space="preserve"> </w:t>
      </w:r>
      <w:r w:rsidRPr="002029AF">
        <w:t>Strategy.</w:t>
      </w:r>
    </w:p>
    <w:p w14:paraId="346C2A0F" w14:textId="3F93382B" w:rsidR="00262CBF" w:rsidRPr="002029AF" w:rsidRDefault="00262CBF" w:rsidP="00262CBF">
      <w:pPr>
        <w:pStyle w:val="ARbody"/>
      </w:pPr>
      <w:r w:rsidRPr="002029AF">
        <w:t>The</w:t>
      </w:r>
      <w:r w:rsidR="000A5329" w:rsidRPr="002029AF">
        <w:t xml:space="preserve"> </w:t>
      </w:r>
      <w:r w:rsidRPr="002029AF">
        <w:t>Commissioner</w:t>
      </w:r>
      <w:r w:rsidR="000A5329" w:rsidRPr="002029AF">
        <w:t xml:space="preserve"> </w:t>
      </w:r>
      <w:r w:rsidRPr="002029AF">
        <w:t>presented</w:t>
      </w:r>
      <w:r w:rsidR="000A5329" w:rsidRPr="002029AF">
        <w:t xml:space="preserve"> </w:t>
      </w:r>
      <w:r w:rsidRPr="002029AF">
        <w:t>to</w:t>
      </w:r>
      <w:r w:rsidR="000A5329" w:rsidRPr="002029AF">
        <w:t xml:space="preserve"> </w:t>
      </w:r>
      <w:r w:rsidRPr="002029AF">
        <w:t>the</w:t>
      </w:r>
      <w:r w:rsidR="000A5329" w:rsidRPr="002029AF">
        <w:t xml:space="preserve"> </w:t>
      </w:r>
      <w:r w:rsidRPr="002029AF">
        <w:t>2019</w:t>
      </w:r>
      <w:r w:rsidR="000A5329" w:rsidRPr="002029AF">
        <w:t xml:space="preserve"> </w:t>
      </w:r>
      <w:r w:rsidRPr="002029AF">
        <w:t>Victorian</w:t>
      </w:r>
      <w:r w:rsidR="000A5329" w:rsidRPr="002029AF">
        <w:t xml:space="preserve"> </w:t>
      </w:r>
      <w:r w:rsidRPr="002029AF">
        <w:t>Coroners</w:t>
      </w:r>
      <w:r w:rsidR="000A5329" w:rsidRPr="002029AF">
        <w:t xml:space="preserve"> </w:t>
      </w:r>
      <w:r w:rsidRPr="002029AF">
        <w:t>Conference,</w:t>
      </w:r>
      <w:r w:rsidR="000A5329" w:rsidRPr="002029AF">
        <w:t xml:space="preserve"> </w:t>
      </w:r>
      <w:r w:rsidRPr="002029AF">
        <w:t>Ageing</w:t>
      </w:r>
      <w:r w:rsidR="000A5329" w:rsidRPr="002029AF">
        <w:t xml:space="preserve"> </w:t>
      </w:r>
      <w:r w:rsidRPr="002029AF">
        <w:t>and</w:t>
      </w:r>
      <w:r w:rsidR="000A5329" w:rsidRPr="002029AF">
        <w:t xml:space="preserve"> </w:t>
      </w:r>
      <w:r w:rsidRPr="002029AF">
        <w:t>Mental</w:t>
      </w:r>
      <w:r w:rsidR="000A5329" w:rsidRPr="002029AF">
        <w:t xml:space="preserve"> </w:t>
      </w:r>
      <w:r w:rsidRPr="002029AF">
        <w:t>Health</w:t>
      </w:r>
      <w:r w:rsidR="000A5329" w:rsidRPr="002029AF">
        <w:t xml:space="preserve"> </w:t>
      </w:r>
      <w:r w:rsidRPr="002029AF">
        <w:t>Summit</w:t>
      </w:r>
      <w:r w:rsidR="000A5329" w:rsidRPr="002029AF">
        <w:t xml:space="preserve"> </w:t>
      </w:r>
      <w:r w:rsidRPr="002029AF">
        <w:t>2019</w:t>
      </w:r>
      <w:r w:rsidR="000A5329" w:rsidRPr="002029AF">
        <w:t xml:space="preserve"> </w:t>
      </w:r>
      <w:r w:rsidRPr="002029AF">
        <w:t>and</w:t>
      </w:r>
      <w:r w:rsidR="000A5329" w:rsidRPr="002029AF">
        <w:t xml:space="preserve"> </w:t>
      </w:r>
      <w:r w:rsidRPr="002029AF">
        <w:t>the</w:t>
      </w:r>
      <w:r w:rsidR="000A5329" w:rsidRPr="002029AF">
        <w:t xml:space="preserve"> </w:t>
      </w:r>
      <w:r w:rsidRPr="002029AF">
        <w:t>Chief</w:t>
      </w:r>
      <w:r w:rsidR="000A5329" w:rsidRPr="002029AF">
        <w:t xml:space="preserve"> </w:t>
      </w:r>
      <w:r w:rsidRPr="002029AF">
        <w:t>Psychiatrist’s</w:t>
      </w:r>
      <w:r w:rsidR="000A5329" w:rsidRPr="002029AF">
        <w:t xml:space="preserve"> </w:t>
      </w:r>
      <w:r w:rsidRPr="002029AF">
        <w:t>Forum</w:t>
      </w:r>
      <w:r w:rsidR="000A5329" w:rsidRPr="002029AF">
        <w:t xml:space="preserve"> </w:t>
      </w:r>
      <w:r w:rsidRPr="002029AF">
        <w:t>on</w:t>
      </w:r>
      <w:r w:rsidR="003048F1">
        <w:t> </w:t>
      </w:r>
      <w:r w:rsidRPr="002029AF">
        <w:t>Mental</w:t>
      </w:r>
      <w:r w:rsidR="000A5329" w:rsidRPr="002029AF">
        <w:t xml:space="preserve"> </w:t>
      </w:r>
      <w:r w:rsidRPr="002029AF">
        <w:t>Health</w:t>
      </w:r>
      <w:r w:rsidR="000A5329" w:rsidRPr="002029AF">
        <w:t xml:space="preserve"> </w:t>
      </w:r>
      <w:r w:rsidRPr="002029AF">
        <w:t>and</w:t>
      </w:r>
      <w:r w:rsidR="000A5329" w:rsidRPr="002029AF">
        <w:t xml:space="preserve"> </w:t>
      </w:r>
      <w:r w:rsidRPr="002029AF">
        <w:t>Ageing.</w:t>
      </w:r>
    </w:p>
    <w:p w14:paraId="3496451C" w14:textId="56804785" w:rsidR="00262CBF" w:rsidRPr="002029AF" w:rsidRDefault="00262CBF" w:rsidP="00262CBF">
      <w:pPr>
        <w:pStyle w:val="ARbody"/>
      </w:pPr>
      <w:r w:rsidRPr="002029AF">
        <w:t>The</w:t>
      </w:r>
      <w:r w:rsidR="000A5329" w:rsidRPr="002029AF">
        <w:t xml:space="preserve"> </w:t>
      </w:r>
      <w:r w:rsidRPr="002029AF">
        <w:t>Commissioner</w:t>
      </w:r>
      <w:r w:rsidR="000A5329" w:rsidRPr="002029AF">
        <w:t xml:space="preserve"> </w:t>
      </w:r>
      <w:r w:rsidRPr="002029AF">
        <w:t>contributed</w:t>
      </w:r>
      <w:r w:rsidR="000A5329" w:rsidRPr="002029AF">
        <w:t xml:space="preserve"> </w:t>
      </w:r>
      <w:r w:rsidRPr="002029AF">
        <w:t>to</w:t>
      </w:r>
      <w:r w:rsidR="000A5329" w:rsidRPr="002029AF">
        <w:t xml:space="preserve"> </w:t>
      </w:r>
      <w:r w:rsidRPr="002029AF">
        <w:t>a</w:t>
      </w:r>
      <w:r w:rsidR="000A5329" w:rsidRPr="002029AF">
        <w:t xml:space="preserve"> </w:t>
      </w:r>
      <w:r w:rsidRPr="002029AF">
        <w:t>Mental</w:t>
      </w:r>
      <w:r w:rsidR="000A5329" w:rsidRPr="002029AF">
        <w:t xml:space="preserve"> </w:t>
      </w:r>
      <w:r w:rsidRPr="002029AF">
        <w:t>health</w:t>
      </w:r>
      <w:r w:rsidR="000A5329" w:rsidRPr="002029AF">
        <w:t xml:space="preserve"> </w:t>
      </w:r>
      <w:r w:rsidRPr="002029AF">
        <w:t>and</w:t>
      </w:r>
      <w:r w:rsidR="000A5329" w:rsidRPr="002029AF">
        <w:t xml:space="preserve"> </w:t>
      </w:r>
      <w:r w:rsidRPr="002029AF">
        <w:t>older</w:t>
      </w:r>
      <w:r w:rsidR="000A5329" w:rsidRPr="002029AF">
        <w:t xml:space="preserve"> </w:t>
      </w:r>
      <w:r w:rsidRPr="002029AF">
        <w:t>people</w:t>
      </w:r>
      <w:r w:rsidR="000A5329" w:rsidRPr="002029AF">
        <w:t xml:space="preserve"> </w:t>
      </w:r>
      <w:r w:rsidRPr="002029AF">
        <w:t>workshop</w:t>
      </w:r>
      <w:r w:rsidR="000A5329" w:rsidRPr="002029AF">
        <w:t xml:space="preserve"> </w:t>
      </w:r>
      <w:r w:rsidRPr="002029AF">
        <w:t>organised</w:t>
      </w:r>
      <w:r w:rsidR="000A5329" w:rsidRPr="002029AF">
        <w:t xml:space="preserve"> </w:t>
      </w:r>
      <w:r w:rsidRPr="002029AF">
        <w:t>and</w:t>
      </w:r>
      <w:r w:rsidR="000A5329" w:rsidRPr="002029AF">
        <w:t xml:space="preserve"> </w:t>
      </w:r>
      <w:r w:rsidRPr="002029AF">
        <w:t>attended</w:t>
      </w:r>
      <w:r w:rsidR="000A5329" w:rsidRPr="002029AF">
        <w:t xml:space="preserve"> </w:t>
      </w:r>
      <w:r w:rsidRPr="002029AF">
        <w:t>by</w:t>
      </w:r>
      <w:r w:rsidR="000A5329" w:rsidRPr="002029AF">
        <w:t xml:space="preserve"> </w:t>
      </w:r>
      <w:r w:rsidRPr="002029AF">
        <w:t>Commissioners</w:t>
      </w:r>
      <w:r w:rsidR="000A5329" w:rsidRPr="002029AF">
        <w:t xml:space="preserve"> </w:t>
      </w:r>
      <w:r w:rsidRPr="002029AF">
        <w:t>from</w:t>
      </w:r>
      <w:r w:rsidR="000A5329" w:rsidRPr="002029AF">
        <w:t xml:space="preserve"> </w:t>
      </w:r>
      <w:r w:rsidRPr="002029AF">
        <w:t>the</w:t>
      </w:r>
      <w:r w:rsidR="000A5329" w:rsidRPr="002029AF">
        <w:t xml:space="preserve"> </w:t>
      </w:r>
      <w:r w:rsidRPr="002029AF">
        <w:t>Mental</w:t>
      </w:r>
      <w:r w:rsidR="000A5329" w:rsidRPr="002029AF">
        <w:t xml:space="preserve"> </w:t>
      </w:r>
      <w:r w:rsidRPr="002029AF">
        <w:t>Health</w:t>
      </w:r>
      <w:r w:rsidR="000A5329" w:rsidRPr="002029AF">
        <w:t xml:space="preserve"> </w:t>
      </w:r>
      <w:r w:rsidRPr="002029AF">
        <w:t>Royal</w:t>
      </w:r>
      <w:r w:rsidR="000A5329" w:rsidRPr="002029AF">
        <w:t xml:space="preserve"> </w:t>
      </w:r>
      <w:r w:rsidRPr="002029AF">
        <w:t>Commission</w:t>
      </w:r>
      <w:r w:rsidR="000A5329" w:rsidRPr="002029AF">
        <w:t xml:space="preserve"> </w:t>
      </w:r>
      <w:r w:rsidRPr="002029AF">
        <w:t>and</w:t>
      </w:r>
      <w:r w:rsidR="000A5329" w:rsidRPr="002029AF">
        <w:t xml:space="preserve"> </w:t>
      </w:r>
      <w:r w:rsidRPr="002029AF">
        <w:t>attended</w:t>
      </w:r>
      <w:r w:rsidR="000A5329" w:rsidRPr="002029AF">
        <w:t xml:space="preserve"> </w:t>
      </w:r>
      <w:r w:rsidRPr="002029AF">
        <w:t>a</w:t>
      </w:r>
      <w:r w:rsidR="000A5329" w:rsidRPr="002029AF">
        <w:t xml:space="preserve"> </w:t>
      </w:r>
      <w:r w:rsidRPr="002029AF">
        <w:t>follow-up</w:t>
      </w:r>
      <w:r w:rsidR="000A5329" w:rsidRPr="002029AF">
        <w:t xml:space="preserve"> </w:t>
      </w:r>
      <w:r w:rsidRPr="002029AF">
        <w:t>one-on-one</w:t>
      </w:r>
      <w:r w:rsidR="000A5329" w:rsidRPr="002029AF">
        <w:t xml:space="preserve"> </w:t>
      </w:r>
      <w:r w:rsidRPr="002029AF">
        <w:t>meeting</w:t>
      </w:r>
      <w:r w:rsidR="000A5329" w:rsidRPr="002029AF">
        <w:t xml:space="preserve"> </w:t>
      </w:r>
      <w:r w:rsidRPr="002029AF">
        <w:t>with</w:t>
      </w:r>
      <w:r w:rsidR="000A5329" w:rsidRPr="002029AF">
        <w:t xml:space="preserve"> </w:t>
      </w:r>
      <w:r w:rsidRPr="002029AF">
        <w:t>the</w:t>
      </w:r>
      <w:r w:rsidR="000A5329" w:rsidRPr="002029AF">
        <w:t xml:space="preserve"> </w:t>
      </w:r>
      <w:r w:rsidRPr="002029AF">
        <w:t>Royal</w:t>
      </w:r>
      <w:r w:rsidR="000A5329" w:rsidRPr="002029AF">
        <w:t xml:space="preserve"> </w:t>
      </w:r>
      <w:r w:rsidRPr="002029AF">
        <w:t>Commissioners.</w:t>
      </w:r>
    </w:p>
    <w:p w14:paraId="1EB453DD" w14:textId="404B1C2A" w:rsidR="000A5329" w:rsidRPr="002029AF" w:rsidRDefault="00262CBF" w:rsidP="00262CBF">
      <w:pPr>
        <w:pStyle w:val="ARbody"/>
      </w:pPr>
      <w:r w:rsidRPr="002029AF">
        <w:t>The</w:t>
      </w:r>
      <w:r w:rsidR="000A5329" w:rsidRPr="002029AF">
        <w:t xml:space="preserve"> </w:t>
      </w:r>
      <w:r w:rsidRPr="002029AF">
        <w:t>Commissioner</w:t>
      </w:r>
      <w:r w:rsidR="000A5329" w:rsidRPr="002029AF">
        <w:t xml:space="preserve"> </w:t>
      </w:r>
      <w:r w:rsidRPr="002029AF">
        <w:t>speaks</w:t>
      </w:r>
      <w:r w:rsidR="000A5329" w:rsidRPr="002029AF">
        <w:t xml:space="preserve"> </w:t>
      </w:r>
      <w:r w:rsidRPr="002029AF">
        <w:t>regularly</w:t>
      </w:r>
      <w:r w:rsidR="000A5329" w:rsidRPr="002029AF">
        <w:t xml:space="preserve"> </w:t>
      </w:r>
      <w:r w:rsidRPr="002029AF">
        <w:t>on</w:t>
      </w:r>
      <w:r w:rsidR="000A5329" w:rsidRPr="002029AF">
        <w:t xml:space="preserve"> </w:t>
      </w:r>
      <w:r w:rsidRPr="002029AF">
        <w:t>Golden</w:t>
      </w:r>
      <w:r w:rsidR="000A5329" w:rsidRPr="002029AF">
        <w:t xml:space="preserve"> </w:t>
      </w:r>
      <w:r w:rsidRPr="002029AF">
        <w:t>Days</w:t>
      </w:r>
      <w:r w:rsidR="000A5329" w:rsidRPr="002029AF">
        <w:t xml:space="preserve"> </w:t>
      </w:r>
      <w:r w:rsidRPr="002029AF">
        <w:t>Radio</w:t>
      </w:r>
      <w:r w:rsidR="000A5329" w:rsidRPr="002029AF">
        <w:t xml:space="preserve"> </w:t>
      </w:r>
      <w:r w:rsidRPr="002029AF">
        <w:t>and</w:t>
      </w:r>
      <w:r w:rsidR="000A5329" w:rsidRPr="002029AF">
        <w:t xml:space="preserve"> </w:t>
      </w:r>
      <w:r w:rsidRPr="002029AF">
        <w:t>continues</w:t>
      </w:r>
      <w:r w:rsidR="000A5329" w:rsidRPr="002029AF">
        <w:t xml:space="preserve"> </w:t>
      </w:r>
      <w:r w:rsidRPr="002029AF">
        <w:t>to</w:t>
      </w:r>
      <w:r w:rsidR="000A5329" w:rsidRPr="002029AF">
        <w:t xml:space="preserve"> </w:t>
      </w:r>
      <w:r w:rsidRPr="002029AF">
        <w:t>engage</w:t>
      </w:r>
      <w:r w:rsidR="000A5329" w:rsidRPr="002029AF">
        <w:t xml:space="preserve"> </w:t>
      </w:r>
      <w:r w:rsidRPr="002029AF">
        <w:t>with</w:t>
      </w:r>
      <w:r w:rsidR="000A5329" w:rsidRPr="002029AF">
        <w:t xml:space="preserve"> </w:t>
      </w:r>
      <w:r w:rsidRPr="002029AF">
        <w:t>seniors</w:t>
      </w:r>
      <w:r w:rsidR="000A5329" w:rsidRPr="002029AF">
        <w:t xml:space="preserve"> </w:t>
      </w:r>
      <w:r w:rsidRPr="002029AF">
        <w:t>through</w:t>
      </w:r>
      <w:r w:rsidR="000A5329" w:rsidRPr="002029AF">
        <w:t xml:space="preserve"> </w:t>
      </w:r>
      <w:r w:rsidRPr="002029AF">
        <w:t>social</w:t>
      </w:r>
      <w:r w:rsidR="000A5329" w:rsidRPr="002029AF">
        <w:t xml:space="preserve"> </w:t>
      </w:r>
      <w:r w:rsidRPr="002029AF">
        <w:t>media.</w:t>
      </w:r>
    </w:p>
    <w:p w14:paraId="2E136C57" w14:textId="1202AF99" w:rsidR="00262CBF" w:rsidRPr="002029AF" w:rsidRDefault="00262CBF" w:rsidP="00262CBF">
      <w:pPr>
        <w:pStyle w:val="ARbody"/>
      </w:pPr>
      <w:r w:rsidRPr="002029AF">
        <w:t>During</w:t>
      </w:r>
      <w:r w:rsidR="000A5329" w:rsidRPr="002029AF">
        <w:t xml:space="preserve"> </w:t>
      </w:r>
      <w:r w:rsidRPr="002029AF">
        <w:t>201</w:t>
      </w:r>
      <w:r w:rsidR="00DB53E6" w:rsidRPr="002029AF">
        <w:t>9–</w:t>
      </w:r>
      <w:r w:rsidRPr="002029AF">
        <w:t>20,</w:t>
      </w:r>
      <w:r w:rsidR="000A5329" w:rsidRPr="002029AF">
        <w:t xml:space="preserve"> </w:t>
      </w:r>
      <w:r w:rsidRPr="002029AF">
        <w:t>his</w:t>
      </w:r>
      <w:r w:rsidR="000A5329" w:rsidRPr="002029AF">
        <w:t xml:space="preserve"> </w:t>
      </w:r>
      <w:r w:rsidRPr="002029AF">
        <w:t>Facebook</w:t>
      </w:r>
      <w:r w:rsidR="000A5329" w:rsidRPr="002029AF">
        <w:t xml:space="preserve"> </w:t>
      </w:r>
      <w:r w:rsidRPr="002029AF">
        <w:t>audience</w:t>
      </w:r>
      <w:r w:rsidR="000A5329" w:rsidRPr="002029AF">
        <w:t xml:space="preserve"> </w:t>
      </w:r>
      <w:r w:rsidRPr="002029AF">
        <w:t>‘likes’</w:t>
      </w:r>
      <w:r w:rsidR="000A5329" w:rsidRPr="002029AF">
        <w:t xml:space="preserve"> </w:t>
      </w:r>
      <w:r w:rsidRPr="002029AF">
        <w:t>increased</w:t>
      </w:r>
      <w:r w:rsidR="000A5329" w:rsidRPr="002029AF">
        <w:t xml:space="preserve"> </w:t>
      </w:r>
      <w:r w:rsidRPr="002029AF">
        <w:t>33</w:t>
      </w:r>
      <w:r w:rsidR="000A5329" w:rsidRPr="002029AF">
        <w:t xml:space="preserve"> </w:t>
      </w:r>
      <w:r w:rsidRPr="002029AF">
        <w:t>per</w:t>
      </w:r>
      <w:r w:rsidR="000A5329" w:rsidRPr="002029AF">
        <w:t xml:space="preserve"> </w:t>
      </w:r>
      <w:r w:rsidRPr="002029AF">
        <w:t>cent</w:t>
      </w:r>
      <w:r w:rsidR="000A5329" w:rsidRPr="002029AF">
        <w:t xml:space="preserve"> </w:t>
      </w:r>
      <w:r w:rsidRPr="002029AF">
        <w:t>from</w:t>
      </w:r>
      <w:r w:rsidR="000A5329" w:rsidRPr="002029AF">
        <w:t xml:space="preserve"> </w:t>
      </w:r>
      <w:r w:rsidRPr="002029AF">
        <w:t>871</w:t>
      </w:r>
      <w:r w:rsidR="000A5329" w:rsidRPr="002029AF">
        <w:t xml:space="preserve"> </w:t>
      </w:r>
      <w:r w:rsidRPr="002029AF">
        <w:t>to</w:t>
      </w:r>
      <w:r w:rsidR="000A5329" w:rsidRPr="002029AF">
        <w:t xml:space="preserve"> </w:t>
      </w:r>
      <w:r w:rsidRPr="002029AF">
        <w:t>1,308</w:t>
      </w:r>
      <w:r w:rsidR="000A5329" w:rsidRPr="002029AF">
        <w:t xml:space="preserve"> </w:t>
      </w:r>
      <w:r w:rsidRPr="002029AF">
        <w:t>likes,</w:t>
      </w:r>
      <w:r w:rsidR="000A5329" w:rsidRPr="002029AF">
        <w:t xml:space="preserve"> </w:t>
      </w:r>
      <w:r w:rsidRPr="002029AF">
        <w:t>with</w:t>
      </w:r>
      <w:r w:rsidR="000A5329" w:rsidRPr="002029AF">
        <w:t xml:space="preserve"> </w:t>
      </w:r>
      <w:r w:rsidRPr="002029AF">
        <w:t>‘follows’</w:t>
      </w:r>
      <w:r w:rsidR="000A5329" w:rsidRPr="002029AF">
        <w:t xml:space="preserve"> </w:t>
      </w:r>
      <w:r w:rsidRPr="002029AF">
        <w:t>increasing</w:t>
      </w:r>
      <w:r w:rsidR="000A5329" w:rsidRPr="002029AF">
        <w:t xml:space="preserve"> </w:t>
      </w:r>
      <w:r w:rsidRPr="002029AF">
        <w:t>by</w:t>
      </w:r>
      <w:r w:rsidR="000A5329" w:rsidRPr="002029AF">
        <w:t xml:space="preserve"> </w:t>
      </w:r>
      <w:r w:rsidRPr="002029AF">
        <w:t>22</w:t>
      </w:r>
      <w:r w:rsidR="000A5329" w:rsidRPr="002029AF">
        <w:t xml:space="preserve"> </w:t>
      </w:r>
      <w:r w:rsidRPr="002029AF">
        <w:t>per</w:t>
      </w:r>
      <w:r w:rsidR="000A5329" w:rsidRPr="002029AF">
        <w:t xml:space="preserve"> </w:t>
      </w:r>
      <w:r w:rsidRPr="002029AF">
        <w:t>cent</w:t>
      </w:r>
      <w:r w:rsidR="000A5329" w:rsidRPr="002029AF">
        <w:t xml:space="preserve"> </w:t>
      </w:r>
      <w:r w:rsidRPr="002029AF">
        <w:t>from</w:t>
      </w:r>
      <w:r w:rsidR="000A5329" w:rsidRPr="002029AF">
        <w:t xml:space="preserve"> </w:t>
      </w:r>
      <w:r w:rsidRPr="002029AF">
        <w:t>1,354</w:t>
      </w:r>
      <w:r w:rsidR="000A5329" w:rsidRPr="002029AF">
        <w:t xml:space="preserve"> </w:t>
      </w:r>
      <w:r w:rsidRPr="002029AF">
        <w:t>to</w:t>
      </w:r>
      <w:r w:rsidR="000A5329" w:rsidRPr="002029AF">
        <w:t xml:space="preserve"> </w:t>
      </w:r>
      <w:r w:rsidRPr="002029AF">
        <w:t>1,745</w:t>
      </w:r>
      <w:r w:rsidR="000A5329" w:rsidRPr="002029AF">
        <w:t xml:space="preserve"> </w:t>
      </w:r>
      <w:r w:rsidRPr="002029AF">
        <w:t>follows.</w:t>
      </w:r>
      <w:r w:rsidR="000A5329" w:rsidRPr="002029AF">
        <w:t xml:space="preserve"> </w:t>
      </w:r>
      <w:r w:rsidRPr="002029AF">
        <w:t>Followers</w:t>
      </w:r>
      <w:r w:rsidR="000A5329" w:rsidRPr="002029AF">
        <w:t xml:space="preserve"> </w:t>
      </w:r>
      <w:r w:rsidRPr="002029AF">
        <w:t>on</w:t>
      </w:r>
      <w:r w:rsidR="000A5329" w:rsidRPr="002029AF">
        <w:t xml:space="preserve"> </w:t>
      </w:r>
      <w:r w:rsidRPr="002029AF">
        <w:t>LinkedIn</w:t>
      </w:r>
      <w:r w:rsidR="000A5329" w:rsidRPr="002029AF">
        <w:t xml:space="preserve"> </w:t>
      </w:r>
      <w:r w:rsidRPr="002029AF">
        <w:t>increased</w:t>
      </w:r>
      <w:r w:rsidR="000A5329" w:rsidRPr="002029AF">
        <w:t xml:space="preserve"> </w:t>
      </w:r>
      <w:r w:rsidRPr="002029AF">
        <w:t>by</w:t>
      </w:r>
      <w:r w:rsidR="000A5329" w:rsidRPr="002029AF">
        <w:t xml:space="preserve"> </w:t>
      </w:r>
      <w:r w:rsidRPr="002029AF">
        <w:t>82</w:t>
      </w:r>
      <w:r w:rsidR="000A5329" w:rsidRPr="002029AF">
        <w:t xml:space="preserve"> </w:t>
      </w:r>
      <w:r w:rsidRPr="002029AF">
        <w:t>per</w:t>
      </w:r>
      <w:r w:rsidR="000A5329" w:rsidRPr="002029AF">
        <w:t xml:space="preserve"> </w:t>
      </w:r>
      <w:r w:rsidRPr="002029AF">
        <w:t>cent</w:t>
      </w:r>
      <w:r w:rsidR="000A5329" w:rsidRPr="002029AF">
        <w:t xml:space="preserve"> </w:t>
      </w:r>
      <w:r w:rsidRPr="002029AF">
        <w:t>from</w:t>
      </w:r>
      <w:r w:rsidR="000A5329" w:rsidRPr="002029AF">
        <w:t xml:space="preserve"> </w:t>
      </w:r>
      <w:r w:rsidRPr="002029AF">
        <w:t>2,308</w:t>
      </w:r>
      <w:r w:rsidR="000A5329" w:rsidRPr="002029AF">
        <w:t xml:space="preserve"> </w:t>
      </w:r>
      <w:r w:rsidRPr="002029AF">
        <w:t>to</w:t>
      </w:r>
      <w:r w:rsidR="000A5329" w:rsidRPr="002029AF">
        <w:t xml:space="preserve"> </w:t>
      </w:r>
      <w:r w:rsidRPr="002029AF">
        <w:t>4,200.</w:t>
      </w:r>
      <w:r w:rsidR="000A5329" w:rsidRPr="002029AF">
        <w:t xml:space="preserve"> </w:t>
      </w:r>
      <w:r w:rsidRPr="002029AF">
        <w:t>In</w:t>
      </w:r>
      <w:r w:rsidR="000A5329" w:rsidRPr="002029AF">
        <w:t xml:space="preserve"> </w:t>
      </w:r>
      <w:r w:rsidRPr="002029AF">
        <w:t>August</w:t>
      </w:r>
      <w:r w:rsidR="000A5329" w:rsidRPr="002029AF">
        <w:t xml:space="preserve"> </w:t>
      </w:r>
      <w:r w:rsidRPr="002029AF">
        <w:t>2019,</w:t>
      </w:r>
      <w:r w:rsidR="000A5329" w:rsidRPr="002029AF">
        <w:t xml:space="preserve"> </w:t>
      </w:r>
      <w:r w:rsidRPr="002029AF">
        <w:t>the</w:t>
      </w:r>
      <w:r w:rsidR="000A5329" w:rsidRPr="002029AF">
        <w:t xml:space="preserve"> </w:t>
      </w:r>
      <w:r w:rsidRPr="002029AF">
        <w:t>Commissioner’s</w:t>
      </w:r>
      <w:r w:rsidR="000A5329" w:rsidRPr="002029AF">
        <w:t xml:space="preserve"> </w:t>
      </w:r>
      <w:r w:rsidRPr="002029AF">
        <w:t>inaugural</w:t>
      </w:r>
      <w:r w:rsidR="000A5329" w:rsidRPr="002029AF">
        <w:t xml:space="preserve"> </w:t>
      </w:r>
      <w:r w:rsidRPr="002029AF">
        <w:t>newsletter</w:t>
      </w:r>
      <w:r w:rsidR="000A5329" w:rsidRPr="002029AF">
        <w:t xml:space="preserve"> </w:t>
      </w:r>
      <w:r w:rsidRPr="002029AF">
        <w:t>was</w:t>
      </w:r>
      <w:r w:rsidR="000A5329" w:rsidRPr="002029AF">
        <w:t xml:space="preserve"> </w:t>
      </w:r>
      <w:r w:rsidRPr="002029AF">
        <w:t>distributed</w:t>
      </w:r>
      <w:r w:rsidR="000A5329" w:rsidRPr="002029AF">
        <w:t xml:space="preserve"> </w:t>
      </w:r>
      <w:r w:rsidRPr="002029AF">
        <w:t>through</w:t>
      </w:r>
      <w:r w:rsidR="000A5329" w:rsidRPr="002029AF">
        <w:t xml:space="preserve"> </w:t>
      </w:r>
      <w:r w:rsidRPr="002029AF">
        <w:t>public</w:t>
      </w:r>
      <w:r w:rsidR="000A5329" w:rsidRPr="002029AF">
        <w:t xml:space="preserve"> </w:t>
      </w:r>
      <w:r w:rsidRPr="002029AF">
        <w:t>libraries</w:t>
      </w:r>
      <w:r w:rsidR="000A5329" w:rsidRPr="002029AF">
        <w:t xml:space="preserve"> </w:t>
      </w:r>
      <w:r w:rsidRPr="002029AF">
        <w:t>and</w:t>
      </w:r>
      <w:r w:rsidR="000A5329" w:rsidRPr="002029AF">
        <w:t xml:space="preserve"> </w:t>
      </w:r>
      <w:r w:rsidRPr="002029AF">
        <w:t>mailed</w:t>
      </w:r>
      <w:r w:rsidR="000A5329" w:rsidRPr="002029AF">
        <w:t xml:space="preserve"> </w:t>
      </w:r>
      <w:r w:rsidRPr="002029AF">
        <w:t>to</w:t>
      </w:r>
      <w:r w:rsidR="000A5329" w:rsidRPr="002029AF">
        <w:t xml:space="preserve"> </w:t>
      </w:r>
      <w:r w:rsidRPr="002029AF">
        <w:t>seniors’</w:t>
      </w:r>
      <w:r w:rsidR="000A5329" w:rsidRPr="002029AF">
        <w:t xml:space="preserve"> </w:t>
      </w:r>
      <w:r w:rsidRPr="002029AF">
        <w:t>community</w:t>
      </w:r>
      <w:r w:rsidR="000A5329" w:rsidRPr="002029AF">
        <w:t xml:space="preserve"> </w:t>
      </w:r>
      <w:r w:rsidRPr="002029AF">
        <w:t>organisations.</w:t>
      </w:r>
    </w:p>
    <w:p w14:paraId="3A301807" w14:textId="1A850FC2" w:rsidR="00262CBF" w:rsidRPr="002029AF" w:rsidRDefault="00262CBF" w:rsidP="00262CBF">
      <w:pPr>
        <w:pStyle w:val="ARbody"/>
      </w:pPr>
      <w:r w:rsidRPr="002029AF">
        <w:t>The</w:t>
      </w:r>
      <w:r w:rsidR="000A5329" w:rsidRPr="002029AF">
        <w:t xml:space="preserve"> </w:t>
      </w:r>
      <w:r w:rsidRPr="002029AF">
        <w:t>Commissioner’s</w:t>
      </w:r>
      <w:r w:rsidR="000A5329" w:rsidRPr="002029AF">
        <w:t xml:space="preserve"> </w:t>
      </w:r>
      <w:r w:rsidRPr="002029AF">
        <w:t>face-to-face</w:t>
      </w:r>
      <w:r w:rsidR="000A5329" w:rsidRPr="002029AF">
        <w:t xml:space="preserve"> </w:t>
      </w:r>
      <w:r w:rsidRPr="002029AF">
        <w:t>community</w:t>
      </w:r>
      <w:r w:rsidR="000A5329" w:rsidRPr="002029AF">
        <w:t xml:space="preserve"> </w:t>
      </w:r>
      <w:r w:rsidRPr="002029AF">
        <w:t>engagement</w:t>
      </w:r>
      <w:r w:rsidR="000A5329" w:rsidRPr="002029AF">
        <w:t xml:space="preserve"> </w:t>
      </w:r>
      <w:r w:rsidRPr="002029AF">
        <w:t>activities</w:t>
      </w:r>
      <w:r w:rsidR="000A5329" w:rsidRPr="002029AF">
        <w:t xml:space="preserve"> </w:t>
      </w:r>
      <w:r w:rsidRPr="002029AF">
        <w:t>in</w:t>
      </w:r>
      <w:r w:rsidR="000A5329" w:rsidRPr="002029AF">
        <w:t xml:space="preserve"> </w:t>
      </w:r>
      <w:r w:rsidRPr="002029AF">
        <w:t>2020</w:t>
      </w:r>
      <w:r w:rsidR="000A5329" w:rsidRPr="002029AF">
        <w:t xml:space="preserve"> </w:t>
      </w:r>
      <w:r w:rsidRPr="002029AF">
        <w:t>ceased</w:t>
      </w:r>
      <w:r w:rsidR="000A5329" w:rsidRPr="002029AF">
        <w:t xml:space="preserve"> </w:t>
      </w:r>
      <w:r w:rsidRPr="002029AF">
        <w:t>in</w:t>
      </w:r>
      <w:r w:rsidR="000A5329" w:rsidRPr="002029AF">
        <w:t xml:space="preserve"> </w:t>
      </w:r>
      <w:r w:rsidRPr="002029AF">
        <w:t>line</w:t>
      </w:r>
      <w:r w:rsidR="000A5329" w:rsidRPr="002029AF">
        <w:t xml:space="preserve"> </w:t>
      </w:r>
      <w:r w:rsidRPr="002029AF">
        <w:t>with</w:t>
      </w:r>
      <w:r w:rsidR="000A5329" w:rsidRPr="002029AF">
        <w:t xml:space="preserve"> </w:t>
      </w:r>
      <w:r w:rsidRPr="002029AF">
        <w:t>public</w:t>
      </w:r>
      <w:r w:rsidR="000A5329" w:rsidRPr="002029AF">
        <w:t xml:space="preserve"> </w:t>
      </w:r>
      <w:r w:rsidRPr="002029AF">
        <w:t>health</w:t>
      </w:r>
      <w:r w:rsidR="000A5329" w:rsidRPr="002029AF">
        <w:t xml:space="preserve"> </w:t>
      </w:r>
      <w:r w:rsidRPr="002029AF">
        <w:t>restrictions</w:t>
      </w:r>
      <w:r w:rsidR="000A5329" w:rsidRPr="002029AF">
        <w:t xml:space="preserve"> </w:t>
      </w:r>
      <w:r w:rsidRPr="002029AF">
        <w:t>to</w:t>
      </w:r>
      <w:r w:rsidR="000A5329" w:rsidRPr="002029AF">
        <w:t xml:space="preserve"> </w:t>
      </w:r>
      <w:r w:rsidRPr="002029AF">
        <w:t>stop</w:t>
      </w:r>
      <w:r w:rsidR="000A5329" w:rsidRPr="002029AF">
        <w:t xml:space="preserve"> </w:t>
      </w:r>
      <w:r w:rsidRPr="002029AF">
        <w:t>the</w:t>
      </w:r>
      <w:r w:rsidR="000A5329" w:rsidRPr="002029AF">
        <w:t xml:space="preserve"> </w:t>
      </w:r>
      <w:r w:rsidRPr="002029AF">
        <w:t>spread</w:t>
      </w:r>
      <w:r w:rsidR="000A5329" w:rsidRPr="002029AF">
        <w:t xml:space="preserve"> </w:t>
      </w:r>
      <w:r w:rsidRPr="002029AF">
        <w:t>of</w:t>
      </w:r>
      <w:r w:rsidR="000A5329" w:rsidRPr="002029AF">
        <w:t xml:space="preserve"> </w:t>
      </w:r>
      <w:r w:rsidRPr="002029AF">
        <w:t>coronavirus</w:t>
      </w:r>
      <w:r w:rsidR="000A5329" w:rsidRPr="002029AF">
        <w:t xml:space="preserve"> </w:t>
      </w:r>
      <w:r w:rsidRPr="002029AF">
        <w:t>(COVID-19).</w:t>
      </w:r>
    </w:p>
    <w:p w14:paraId="72B6B6BE" w14:textId="12767CBC" w:rsidR="000A5329" w:rsidRPr="002029AF" w:rsidRDefault="00262CBF" w:rsidP="00262CBF">
      <w:pPr>
        <w:pStyle w:val="ARbody"/>
      </w:pPr>
      <w:r w:rsidRPr="002029AF">
        <w:t>To</w:t>
      </w:r>
      <w:r w:rsidR="000A5329" w:rsidRPr="002029AF">
        <w:t xml:space="preserve"> </w:t>
      </w:r>
      <w:r w:rsidRPr="002029AF">
        <w:t>provide</w:t>
      </w:r>
      <w:r w:rsidR="000A5329" w:rsidRPr="002029AF">
        <w:t xml:space="preserve"> </w:t>
      </w:r>
      <w:r w:rsidRPr="002029AF">
        <w:t>information</w:t>
      </w:r>
      <w:r w:rsidR="000A5329" w:rsidRPr="002029AF">
        <w:t xml:space="preserve"> </w:t>
      </w:r>
      <w:r w:rsidRPr="002029AF">
        <w:t>and</w:t>
      </w:r>
      <w:r w:rsidR="000A5329" w:rsidRPr="002029AF">
        <w:t xml:space="preserve"> </w:t>
      </w:r>
      <w:r w:rsidRPr="002029AF">
        <w:t>respond</w:t>
      </w:r>
      <w:r w:rsidR="000A5329" w:rsidRPr="002029AF">
        <w:t xml:space="preserve"> </w:t>
      </w:r>
      <w:r w:rsidRPr="002029AF">
        <w:t>to</w:t>
      </w:r>
      <w:r w:rsidR="000A5329" w:rsidRPr="002029AF">
        <w:t xml:space="preserve"> </w:t>
      </w:r>
      <w:r w:rsidRPr="002029AF">
        <w:t>questions</w:t>
      </w:r>
      <w:r w:rsidR="000A5329" w:rsidRPr="002029AF">
        <w:t xml:space="preserve"> </w:t>
      </w:r>
      <w:r w:rsidRPr="002029AF">
        <w:t>posed</w:t>
      </w:r>
      <w:r w:rsidR="000A5329" w:rsidRPr="002029AF">
        <w:t xml:space="preserve"> </w:t>
      </w:r>
      <w:r w:rsidRPr="002029AF">
        <w:t>by</w:t>
      </w:r>
      <w:r w:rsidR="000A5329" w:rsidRPr="002029AF">
        <w:t xml:space="preserve"> </w:t>
      </w:r>
      <w:r w:rsidRPr="002029AF">
        <w:t>senior</w:t>
      </w:r>
      <w:r w:rsidR="000A5329" w:rsidRPr="002029AF">
        <w:t xml:space="preserve"> </w:t>
      </w:r>
      <w:r w:rsidRPr="002029AF">
        <w:t>Victorians</w:t>
      </w:r>
      <w:r w:rsidR="000A5329" w:rsidRPr="002029AF">
        <w:t xml:space="preserve"> </w:t>
      </w:r>
      <w:r w:rsidRPr="002029AF">
        <w:t>to</w:t>
      </w:r>
      <w:r w:rsidR="000A5329" w:rsidRPr="002029AF">
        <w:t xml:space="preserve"> </w:t>
      </w:r>
      <w:r w:rsidRPr="002029AF">
        <w:t>seniors</w:t>
      </w:r>
      <w:r w:rsidR="000A5329" w:rsidRPr="002029AF">
        <w:t xml:space="preserve"> </w:t>
      </w:r>
      <w:r w:rsidRPr="002029AF">
        <w:t>during</w:t>
      </w:r>
      <w:r w:rsidR="000A5329" w:rsidRPr="002029AF">
        <w:t xml:space="preserve"> </w:t>
      </w:r>
      <w:r w:rsidRPr="002029AF">
        <w:t>the</w:t>
      </w:r>
      <w:r w:rsidR="000A5329" w:rsidRPr="002029AF">
        <w:t xml:space="preserve"> </w:t>
      </w:r>
      <w:r w:rsidRPr="002029AF">
        <w:t>pandemic,</w:t>
      </w:r>
      <w:r w:rsidR="000A5329" w:rsidRPr="002029AF">
        <w:t xml:space="preserve"> </w:t>
      </w:r>
      <w:r w:rsidRPr="002029AF">
        <w:t>a</w:t>
      </w:r>
      <w:r w:rsidR="000A5329" w:rsidRPr="002029AF">
        <w:t xml:space="preserve"> </w:t>
      </w:r>
      <w:r w:rsidRPr="002029AF">
        <w:t>Seniors</w:t>
      </w:r>
      <w:r w:rsidR="000A5329" w:rsidRPr="002029AF">
        <w:t xml:space="preserve"> </w:t>
      </w:r>
      <w:r w:rsidRPr="002029AF">
        <w:t>and</w:t>
      </w:r>
      <w:r w:rsidR="000A5329" w:rsidRPr="002029AF">
        <w:t xml:space="preserve"> </w:t>
      </w:r>
      <w:r w:rsidRPr="002029AF">
        <w:t>coronavirus</w:t>
      </w:r>
      <w:r w:rsidR="000A5329" w:rsidRPr="002029AF">
        <w:t xml:space="preserve"> </w:t>
      </w:r>
      <w:r w:rsidRPr="002029AF">
        <w:t>–</w:t>
      </w:r>
      <w:r w:rsidR="000A5329" w:rsidRPr="002029AF">
        <w:t xml:space="preserve"> </w:t>
      </w:r>
      <w:r w:rsidRPr="002029AF">
        <w:t>is</w:t>
      </w:r>
      <w:r w:rsidR="000A5329" w:rsidRPr="002029AF">
        <w:t xml:space="preserve"> </w:t>
      </w:r>
      <w:r w:rsidRPr="002029AF">
        <w:t>it</w:t>
      </w:r>
      <w:r w:rsidR="000A5329" w:rsidRPr="002029AF">
        <w:t xml:space="preserve"> </w:t>
      </w:r>
      <w:r w:rsidRPr="002029AF">
        <w:t>return</w:t>
      </w:r>
      <w:r w:rsidR="000A5329" w:rsidRPr="002029AF">
        <w:t xml:space="preserve"> </w:t>
      </w:r>
      <w:r w:rsidRPr="002029AF">
        <w:t>to</w:t>
      </w:r>
      <w:r w:rsidR="000A5329" w:rsidRPr="002029AF">
        <w:t xml:space="preserve"> </w:t>
      </w:r>
      <w:r w:rsidRPr="002029AF">
        <w:t>normal?</w:t>
      </w:r>
      <w:r w:rsidR="000A5329" w:rsidRPr="002029AF">
        <w:t xml:space="preserve"> </w:t>
      </w:r>
      <w:r w:rsidRPr="002029AF">
        <w:t>webinar</w:t>
      </w:r>
      <w:r w:rsidR="000A5329" w:rsidRPr="002029AF">
        <w:t xml:space="preserve"> </w:t>
      </w:r>
      <w:r w:rsidRPr="002029AF">
        <w:t>was</w:t>
      </w:r>
      <w:r w:rsidR="000A5329" w:rsidRPr="002029AF">
        <w:t xml:space="preserve"> </w:t>
      </w:r>
      <w:r w:rsidRPr="002029AF">
        <w:t>held</w:t>
      </w:r>
      <w:r w:rsidR="000A5329" w:rsidRPr="002029AF">
        <w:t xml:space="preserve"> </w:t>
      </w:r>
      <w:r w:rsidRPr="002029AF">
        <w:t>with</w:t>
      </w:r>
      <w:r w:rsidR="000A5329" w:rsidRPr="002029AF">
        <w:t xml:space="preserve"> </w:t>
      </w:r>
      <w:r w:rsidRPr="002029AF">
        <w:t>the</w:t>
      </w:r>
      <w:r w:rsidR="000A5329" w:rsidRPr="002029AF">
        <w:t xml:space="preserve"> </w:t>
      </w:r>
      <w:r w:rsidRPr="002029AF">
        <w:t>Minister</w:t>
      </w:r>
      <w:r w:rsidR="000A5329" w:rsidRPr="002029AF">
        <w:t xml:space="preserve"> </w:t>
      </w:r>
      <w:r w:rsidRPr="002029AF">
        <w:t>for</w:t>
      </w:r>
      <w:r w:rsidR="000A5329" w:rsidRPr="002029AF">
        <w:t xml:space="preserve"> </w:t>
      </w:r>
      <w:r w:rsidRPr="002029AF">
        <w:t>Disability,</w:t>
      </w:r>
      <w:r w:rsidR="000A5329" w:rsidRPr="002029AF">
        <w:t xml:space="preserve"> </w:t>
      </w:r>
      <w:r w:rsidRPr="002029AF">
        <w:t>Ageing</w:t>
      </w:r>
      <w:r w:rsidR="000A5329" w:rsidRPr="002029AF">
        <w:t xml:space="preserve"> </w:t>
      </w:r>
      <w:r w:rsidRPr="002029AF">
        <w:t>and</w:t>
      </w:r>
      <w:r w:rsidR="000A5329" w:rsidRPr="002029AF">
        <w:t xml:space="preserve"> </w:t>
      </w:r>
      <w:r w:rsidRPr="002029AF">
        <w:t>Carers.</w:t>
      </w:r>
      <w:r w:rsidR="000A5329" w:rsidRPr="002029AF">
        <w:t xml:space="preserve"> </w:t>
      </w:r>
      <w:r w:rsidRPr="002029AF">
        <w:t>More</w:t>
      </w:r>
      <w:r w:rsidR="000A5329" w:rsidRPr="002029AF">
        <w:t xml:space="preserve"> </w:t>
      </w:r>
      <w:r w:rsidRPr="002029AF">
        <w:t>than</w:t>
      </w:r>
      <w:r w:rsidR="000A5329" w:rsidRPr="002029AF">
        <w:t xml:space="preserve"> </w:t>
      </w:r>
      <w:r w:rsidRPr="002029AF">
        <w:t>360</w:t>
      </w:r>
      <w:r w:rsidR="000A5329" w:rsidRPr="002029AF">
        <w:t xml:space="preserve"> </w:t>
      </w:r>
      <w:r w:rsidRPr="002029AF">
        <w:t>participants</w:t>
      </w:r>
      <w:r w:rsidR="000A5329" w:rsidRPr="002029AF">
        <w:t xml:space="preserve"> </w:t>
      </w:r>
      <w:r w:rsidRPr="002029AF">
        <w:t>registered</w:t>
      </w:r>
      <w:r w:rsidR="000A5329" w:rsidRPr="002029AF">
        <w:t xml:space="preserve"> </w:t>
      </w:r>
      <w:r w:rsidRPr="002029AF">
        <w:t>for</w:t>
      </w:r>
      <w:r w:rsidR="000A5329" w:rsidRPr="002029AF">
        <w:t xml:space="preserve"> </w:t>
      </w:r>
      <w:r w:rsidRPr="002029AF">
        <w:t>the</w:t>
      </w:r>
      <w:r w:rsidR="000A5329" w:rsidRPr="002029AF">
        <w:t xml:space="preserve"> </w:t>
      </w:r>
      <w:r w:rsidRPr="002029AF">
        <w:t>live</w:t>
      </w:r>
      <w:r w:rsidR="000A5329" w:rsidRPr="002029AF">
        <w:t xml:space="preserve"> </w:t>
      </w:r>
      <w:r w:rsidRPr="002029AF">
        <w:t>webinar,</w:t>
      </w:r>
      <w:r w:rsidR="000A5329" w:rsidRPr="002029AF">
        <w:t xml:space="preserve"> </w:t>
      </w:r>
      <w:r w:rsidRPr="002029AF">
        <w:t>which</w:t>
      </w:r>
      <w:r w:rsidR="000A5329" w:rsidRPr="002029AF">
        <w:t xml:space="preserve"> </w:t>
      </w:r>
      <w:r w:rsidRPr="002029AF">
        <w:t>was</w:t>
      </w:r>
      <w:r w:rsidR="000A5329" w:rsidRPr="002029AF">
        <w:t xml:space="preserve"> </w:t>
      </w:r>
      <w:r w:rsidRPr="002029AF">
        <w:t>viewed</w:t>
      </w:r>
      <w:r w:rsidR="000A5329" w:rsidRPr="002029AF">
        <w:t xml:space="preserve"> </w:t>
      </w:r>
      <w:r w:rsidRPr="002029AF">
        <w:t>more</w:t>
      </w:r>
      <w:r w:rsidR="000A5329" w:rsidRPr="002029AF">
        <w:t xml:space="preserve"> </w:t>
      </w:r>
      <w:r w:rsidRPr="002029AF">
        <w:t>than</w:t>
      </w:r>
      <w:r w:rsidR="000A5329" w:rsidRPr="002029AF">
        <w:t xml:space="preserve"> </w:t>
      </w:r>
      <w:r w:rsidRPr="002029AF">
        <w:t>950</w:t>
      </w:r>
      <w:r w:rsidR="000A5329" w:rsidRPr="002029AF">
        <w:t xml:space="preserve"> </w:t>
      </w:r>
      <w:r w:rsidRPr="002029AF">
        <w:t>times</w:t>
      </w:r>
      <w:r w:rsidR="000A5329" w:rsidRPr="002029AF">
        <w:t xml:space="preserve"> </w:t>
      </w:r>
      <w:r w:rsidRPr="002029AF">
        <w:t>online</w:t>
      </w:r>
      <w:r w:rsidR="000A5329" w:rsidRPr="002029AF">
        <w:t xml:space="preserve"> </w:t>
      </w:r>
      <w:r w:rsidRPr="002029AF">
        <w:t>after</w:t>
      </w:r>
      <w:r w:rsidR="000A5329" w:rsidRPr="002029AF">
        <w:t xml:space="preserve"> </w:t>
      </w:r>
      <w:r w:rsidRPr="002029AF">
        <w:t>the</w:t>
      </w:r>
      <w:r w:rsidR="000A5329" w:rsidRPr="002029AF">
        <w:t xml:space="preserve"> </w:t>
      </w:r>
      <w:r w:rsidRPr="002029AF">
        <w:t>event.</w:t>
      </w:r>
    </w:p>
    <w:p w14:paraId="17A77435" w14:textId="1C478B55" w:rsidR="00262CBF" w:rsidRPr="002029AF" w:rsidRDefault="00262CBF" w:rsidP="00262CBF">
      <w:pPr>
        <w:pStyle w:val="ARbody"/>
      </w:pPr>
      <w:r w:rsidRPr="002029AF">
        <w:t>The</w:t>
      </w:r>
      <w:r w:rsidR="000A5329" w:rsidRPr="002029AF">
        <w:t xml:space="preserve"> </w:t>
      </w:r>
      <w:r w:rsidRPr="002029AF">
        <w:t>Commissioner</w:t>
      </w:r>
      <w:r w:rsidR="000A5329" w:rsidRPr="002029AF">
        <w:t xml:space="preserve"> </w:t>
      </w:r>
      <w:r w:rsidRPr="002029AF">
        <w:t>assisted</w:t>
      </w:r>
      <w:r w:rsidR="000A5329" w:rsidRPr="002029AF">
        <w:t xml:space="preserve"> </w:t>
      </w:r>
      <w:r w:rsidRPr="002029AF">
        <w:t>with</w:t>
      </w:r>
      <w:r w:rsidR="000A5329" w:rsidRPr="002029AF">
        <w:t xml:space="preserve"> </w:t>
      </w:r>
      <w:r w:rsidRPr="002029AF">
        <w:t>promoting</w:t>
      </w:r>
      <w:r w:rsidR="000A5329" w:rsidRPr="002029AF">
        <w:t xml:space="preserve"> </w:t>
      </w:r>
      <w:r w:rsidRPr="002029AF">
        <w:t>an</w:t>
      </w:r>
      <w:r w:rsidR="000A5329" w:rsidRPr="002029AF">
        <w:t xml:space="preserve"> </w:t>
      </w:r>
      <w:r w:rsidRPr="002029AF">
        <w:t>in-reach</w:t>
      </w:r>
      <w:r w:rsidR="000A5329" w:rsidRPr="002029AF">
        <w:t xml:space="preserve"> </w:t>
      </w:r>
      <w:r w:rsidRPr="002029AF">
        <w:t>program</w:t>
      </w:r>
      <w:r w:rsidR="000A5329" w:rsidRPr="002029AF">
        <w:t xml:space="preserve"> </w:t>
      </w:r>
      <w:r w:rsidRPr="002029AF">
        <w:t>of</w:t>
      </w:r>
      <w:r w:rsidR="000A5329" w:rsidRPr="002029AF">
        <w:t xml:space="preserve"> </w:t>
      </w:r>
      <w:r w:rsidRPr="002029AF">
        <w:t>entertainment</w:t>
      </w:r>
      <w:r w:rsidR="000A5329" w:rsidRPr="002029AF">
        <w:t xml:space="preserve"> </w:t>
      </w:r>
      <w:r w:rsidRPr="002029AF">
        <w:t>including</w:t>
      </w:r>
      <w:r w:rsidR="000A5329" w:rsidRPr="002029AF">
        <w:t xml:space="preserve"> </w:t>
      </w:r>
      <w:r w:rsidRPr="002029AF">
        <w:t>streamed</w:t>
      </w:r>
      <w:r w:rsidR="000A5329" w:rsidRPr="002029AF">
        <w:t xml:space="preserve"> </w:t>
      </w:r>
      <w:r w:rsidRPr="002029AF">
        <w:t>video</w:t>
      </w:r>
      <w:r w:rsidR="000A5329" w:rsidRPr="002029AF">
        <w:t xml:space="preserve"> </w:t>
      </w:r>
      <w:r w:rsidRPr="002029AF">
        <w:t>and</w:t>
      </w:r>
      <w:r w:rsidR="000A5329" w:rsidRPr="002029AF">
        <w:t xml:space="preserve"> </w:t>
      </w:r>
      <w:r w:rsidRPr="002029AF">
        <w:t>radio</w:t>
      </w:r>
      <w:r w:rsidR="000A5329" w:rsidRPr="002029AF">
        <w:t xml:space="preserve"> </w:t>
      </w:r>
      <w:r w:rsidRPr="002029AF">
        <w:t>offerings</w:t>
      </w:r>
      <w:r w:rsidR="000A5329" w:rsidRPr="002029AF">
        <w:t xml:space="preserve"> </w:t>
      </w:r>
      <w:r w:rsidRPr="002029AF">
        <w:t>as</w:t>
      </w:r>
      <w:r w:rsidR="000A5329" w:rsidRPr="002029AF">
        <w:t xml:space="preserve"> </w:t>
      </w:r>
      <w:r w:rsidRPr="002029AF">
        <w:t>part</w:t>
      </w:r>
      <w:r w:rsidR="000A5329" w:rsidRPr="002029AF">
        <w:t xml:space="preserve"> </w:t>
      </w:r>
      <w:r w:rsidRPr="002029AF">
        <w:t>of</w:t>
      </w:r>
      <w:r w:rsidR="000A5329" w:rsidRPr="002029AF">
        <w:t xml:space="preserve"> </w:t>
      </w:r>
      <w:r w:rsidRPr="002029AF">
        <w:t>the</w:t>
      </w:r>
      <w:r w:rsidR="000A5329" w:rsidRPr="002029AF">
        <w:t xml:space="preserve"> </w:t>
      </w:r>
      <w:r w:rsidRPr="002029AF">
        <w:t>Victorian</w:t>
      </w:r>
      <w:r w:rsidR="000A5329" w:rsidRPr="002029AF">
        <w:t xml:space="preserve"> </w:t>
      </w:r>
      <w:r w:rsidRPr="002029AF">
        <w:t>Seniors</w:t>
      </w:r>
      <w:r w:rsidR="000A5329" w:rsidRPr="002029AF">
        <w:t xml:space="preserve"> </w:t>
      </w:r>
      <w:r w:rsidRPr="002029AF">
        <w:t>Festival</w:t>
      </w:r>
      <w:r w:rsidR="000A5329" w:rsidRPr="002029AF">
        <w:t xml:space="preserve"> </w:t>
      </w:r>
      <w:r w:rsidRPr="002029AF">
        <w:t>Reimagined.</w:t>
      </w:r>
      <w:r w:rsidR="000A5329" w:rsidRPr="002029AF">
        <w:t xml:space="preserve"> </w:t>
      </w:r>
      <w:r w:rsidRPr="002029AF">
        <w:t>This</w:t>
      </w:r>
      <w:r w:rsidR="000A5329" w:rsidRPr="002029AF">
        <w:t xml:space="preserve"> </w:t>
      </w:r>
      <w:r w:rsidRPr="002029AF">
        <w:t>included</w:t>
      </w:r>
      <w:r w:rsidR="000A5329" w:rsidRPr="002029AF">
        <w:t xml:space="preserve"> </w:t>
      </w:r>
      <w:r w:rsidRPr="002029AF">
        <w:t>hosting</w:t>
      </w:r>
      <w:r w:rsidR="000A5329" w:rsidRPr="002029AF">
        <w:t xml:space="preserve"> </w:t>
      </w:r>
      <w:r w:rsidRPr="002029AF">
        <w:t>meetings</w:t>
      </w:r>
      <w:r w:rsidR="000A5329" w:rsidRPr="002029AF">
        <w:t xml:space="preserve"> </w:t>
      </w:r>
      <w:r w:rsidRPr="002029AF">
        <w:t>with</w:t>
      </w:r>
      <w:r w:rsidR="000A5329" w:rsidRPr="002029AF">
        <w:t xml:space="preserve"> </w:t>
      </w:r>
      <w:r w:rsidRPr="002029AF">
        <w:t>aged</w:t>
      </w:r>
      <w:r w:rsidR="000A5329" w:rsidRPr="002029AF">
        <w:t xml:space="preserve"> </w:t>
      </w:r>
      <w:r w:rsidRPr="002029AF">
        <w:t>care</w:t>
      </w:r>
      <w:r w:rsidR="000A5329" w:rsidRPr="002029AF">
        <w:t xml:space="preserve"> </w:t>
      </w:r>
      <w:r w:rsidRPr="002029AF">
        <w:t>providers</w:t>
      </w:r>
      <w:r w:rsidR="000A5329" w:rsidRPr="002029AF">
        <w:t xml:space="preserve"> </w:t>
      </w:r>
      <w:r w:rsidRPr="002029AF">
        <w:t>to</w:t>
      </w:r>
      <w:r w:rsidR="000A5329" w:rsidRPr="002029AF">
        <w:t xml:space="preserve"> </w:t>
      </w:r>
      <w:r w:rsidRPr="002029AF">
        <w:t>encourage</w:t>
      </w:r>
      <w:r w:rsidR="000A5329" w:rsidRPr="002029AF">
        <w:t xml:space="preserve"> </w:t>
      </w:r>
      <w:r w:rsidRPr="002029AF">
        <w:t>inclusion</w:t>
      </w:r>
      <w:r w:rsidR="000A5329" w:rsidRPr="002029AF">
        <w:t xml:space="preserve"> </w:t>
      </w:r>
      <w:r w:rsidRPr="002029AF">
        <w:t>of</w:t>
      </w:r>
      <w:r w:rsidR="000A5329" w:rsidRPr="002029AF">
        <w:t xml:space="preserve"> </w:t>
      </w:r>
      <w:r w:rsidRPr="002029AF">
        <w:t>the</w:t>
      </w:r>
      <w:r w:rsidR="000A5329" w:rsidRPr="002029AF">
        <w:t xml:space="preserve"> </w:t>
      </w:r>
      <w:r w:rsidRPr="002029AF">
        <w:t>streamed</w:t>
      </w:r>
      <w:r w:rsidR="000A5329" w:rsidRPr="002029AF">
        <w:t xml:space="preserve"> </w:t>
      </w:r>
      <w:r w:rsidRPr="002029AF">
        <w:t>programs</w:t>
      </w:r>
      <w:r w:rsidR="000A5329" w:rsidRPr="002029AF">
        <w:t xml:space="preserve"> </w:t>
      </w:r>
      <w:r w:rsidRPr="002029AF">
        <w:t>as</w:t>
      </w:r>
      <w:r w:rsidR="000A5329" w:rsidRPr="002029AF">
        <w:t xml:space="preserve"> </w:t>
      </w:r>
      <w:r w:rsidRPr="002029AF">
        <w:t>options</w:t>
      </w:r>
      <w:r w:rsidR="000A5329" w:rsidRPr="002029AF">
        <w:t xml:space="preserve"> </w:t>
      </w:r>
      <w:r w:rsidRPr="002029AF">
        <w:t>for</w:t>
      </w:r>
      <w:r w:rsidR="000A5329" w:rsidRPr="002029AF">
        <w:t xml:space="preserve"> </w:t>
      </w:r>
      <w:r w:rsidRPr="002029AF">
        <w:t>aged</w:t>
      </w:r>
      <w:r w:rsidR="000A5329" w:rsidRPr="002029AF">
        <w:t xml:space="preserve"> </w:t>
      </w:r>
      <w:r w:rsidRPr="002029AF">
        <w:t>care</w:t>
      </w:r>
      <w:r w:rsidR="000A5329" w:rsidRPr="002029AF">
        <w:t xml:space="preserve"> </w:t>
      </w:r>
      <w:r w:rsidRPr="002029AF">
        <w:t>residents.</w:t>
      </w:r>
    </w:p>
    <w:p w14:paraId="0E21E4C2" w14:textId="230FB700" w:rsidR="00262CBF" w:rsidRPr="002029AF" w:rsidRDefault="00262CBF" w:rsidP="00262CBF">
      <w:pPr>
        <w:pStyle w:val="ARbody"/>
      </w:pPr>
      <w:r w:rsidRPr="002029AF">
        <w:t>The</w:t>
      </w:r>
      <w:r w:rsidR="000A5329" w:rsidRPr="002029AF">
        <w:t xml:space="preserve"> </w:t>
      </w:r>
      <w:r w:rsidRPr="002029AF">
        <w:t>Commissioner</w:t>
      </w:r>
      <w:r w:rsidR="000A5329" w:rsidRPr="002029AF">
        <w:t xml:space="preserve"> </w:t>
      </w:r>
      <w:r w:rsidRPr="002029AF">
        <w:t>successfully</w:t>
      </w:r>
      <w:r w:rsidR="000A5329" w:rsidRPr="002029AF">
        <w:t xml:space="preserve"> </w:t>
      </w:r>
      <w:r w:rsidRPr="002029AF">
        <w:t>advocated</w:t>
      </w:r>
      <w:r w:rsidR="000A5329" w:rsidRPr="002029AF">
        <w:t xml:space="preserve"> </w:t>
      </w:r>
      <w:r w:rsidRPr="002029AF">
        <w:t>to</w:t>
      </w:r>
      <w:r w:rsidR="000A5329" w:rsidRPr="002029AF">
        <w:t xml:space="preserve"> </w:t>
      </w:r>
      <w:r w:rsidRPr="002029AF">
        <w:t>the</w:t>
      </w:r>
      <w:r w:rsidR="006F2C99" w:rsidRPr="002029AF">
        <w:t> </w:t>
      </w:r>
      <w:r w:rsidRPr="002029AF">
        <w:t>Victorian</w:t>
      </w:r>
      <w:r w:rsidR="000A5329" w:rsidRPr="002029AF">
        <w:t xml:space="preserve"> </w:t>
      </w:r>
      <w:r w:rsidRPr="002029AF">
        <w:t>Government</w:t>
      </w:r>
      <w:r w:rsidR="000A5329" w:rsidRPr="002029AF">
        <w:t xml:space="preserve"> </w:t>
      </w:r>
      <w:r w:rsidRPr="002029AF">
        <w:t>for</w:t>
      </w:r>
      <w:r w:rsidR="000A5329" w:rsidRPr="002029AF">
        <w:t xml:space="preserve"> </w:t>
      </w:r>
      <w:r w:rsidRPr="002029AF">
        <w:t>funding</w:t>
      </w:r>
      <w:r w:rsidR="000A5329" w:rsidRPr="002029AF">
        <w:t xml:space="preserve"> </w:t>
      </w:r>
      <w:r w:rsidRPr="002029AF">
        <w:t>to</w:t>
      </w:r>
      <w:r w:rsidR="000A5329" w:rsidRPr="002029AF">
        <w:t xml:space="preserve"> </w:t>
      </w:r>
      <w:r w:rsidRPr="002029AF">
        <w:t>support</w:t>
      </w:r>
      <w:r w:rsidR="000A5329" w:rsidRPr="002029AF">
        <w:t xml:space="preserve"> </w:t>
      </w:r>
      <w:r w:rsidRPr="002029AF">
        <w:t>community</w:t>
      </w:r>
      <w:r w:rsidR="000A5329" w:rsidRPr="002029AF">
        <w:t xml:space="preserve"> </w:t>
      </w:r>
      <w:r w:rsidRPr="002029AF">
        <w:t>TV</w:t>
      </w:r>
      <w:r w:rsidR="000A5329" w:rsidRPr="002029AF">
        <w:t xml:space="preserve"> </w:t>
      </w:r>
      <w:r w:rsidRPr="002029AF">
        <w:t>Channel</w:t>
      </w:r>
      <w:r w:rsidR="000A5329" w:rsidRPr="002029AF">
        <w:t xml:space="preserve"> </w:t>
      </w:r>
      <w:r w:rsidRPr="002029AF">
        <w:t>31</w:t>
      </w:r>
      <w:r w:rsidR="000A5329" w:rsidRPr="002029AF">
        <w:t xml:space="preserve"> </w:t>
      </w:r>
      <w:r w:rsidRPr="002029AF">
        <w:t>to</w:t>
      </w:r>
      <w:r w:rsidR="000A5329" w:rsidRPr="002029AF">
        <w:t xml:space="preserve"> </w:t>
      </w:r>
      <w:r w:rsidRPr="002029AF">
        <w:t>continue</w:t>
      </w:r>
      <w:r w:rsidR="000A5329" w:rsidRPr="002029AF">
        <w:t xml:space="preserve"> </w:t>
      </w:r>
      <w:r w:rsidRPr="002029AF">
        <w:t>operating</w:t>
      </w:r>
      <w:r w:rsidR="000A5329" w:rsidRPr="002029AF">
        <w:t xml:space="preserve"> </w:t>
      </w:r>
      <w:r w:rsidRPr="002029AF">
        <w:t>and</w:t>
      </w:r>
      <w:r w:rsidR="000A5329" w:rsidRPr="002029AF">
        <w:t xml:space="preserve"> </w:t>
      </w:r>
      <w:r w:rsidRPr="002029AF">
        <w:t>to</w:t>
      </w:r>
      <w:r w:rsidR="000A5329" w:rsidRPr="002029AF">
        <w:t xml:space="preserve"> </w:t>
      </w:r>
      <w:r w:rsidRPr="002029AF">
        <w:t>broadcast</w:t>
      </w:r>
      <w:r w:rsidR="000A5329" w:rsidRPr="002029AF">
        <w:t xml:space="preserve"> </w:t>
      </w:r>
      <w:r w:rsidRPr="002029AF">
        <w:t>messages</w:t>
      </w:r>
      <w:r w:rsidR="000A5329" w:rsidRPr="002029AF">
        <w:t xml:space="preserve"> </w:t>
      </w:r>
      <w:r w:rsidRPr="002029AF">
        <w:t>about</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particularly</w:t>
      </w:r>
      <w:r w:rsidR="000A5329" w:rsidRPr="002029AF">
        <w:t xml:space="preserve"> </w:t>
      </w:r>
      <w:r w:rsidRPr="002029AF">
        <w:t>to</w:t>
      </w:r>
      <w:r w:rsidR="000A5329" w:rsidRPr="002029AF">
        <w:t xml:space="preserve"> </w:t>
      </w:r>
      <w:r w:rsidRPr="002029AF">
        <w:t>senior</w:t>
      </w:r>
      <w:r w:rsidR="000A5329" w:rsidRPr="002029AF">
        <w:t xml:space="preserve"> </w:t>
      </w:r>
      <w:r w:rsidRPr="002029AF">
        <w:t>Victorians</w:t>
      </w:r>
      <w:r w:rsidR="000A5329" w:rsidRPr="002029AF">
        <w:t xml:space="preserve"> </w:t>
      </w:r>
      <w:r w:rsidRPr="002029AF">
        <w:t>from</w:t>
      </w:r>
      <w:r w:rsidR="000A5329" w:rsidRPr="002029AF">
        <w:t xml:space="preserve"> </w:t>
      </w:r>
      <w:r w:rsidRPr="002029AF">
        <w:t>culturally</w:t>
      </w:r>
      <w:r w:rsidR="000A5329" w:rsidRPr="002029AF">
        <w:t xml:space="preserve"> </w:t>
      </w:r>
      <w:r w:rsidRPr="002029AF">
        <w:t>diverse</w:t>
      </w:r>
      <w:r w:rsidR="000A5329" w:rsidRPr="002029AF">
        <w:t xml:space="preserve"> </w:t>
      </w:r>
      <w:r w:rsidRPr="002029AF">
        <w:t>communities.</w:t>
      </w:r>
    </w:p>
    <w:p w14:paraId="45518F3D" w14:textId="5CC1B428" w:rsidR="00262CBF" w:rsidRPr="002029AF" w:rsidRDefault="00262CBF" w:rsidP="00262CBF">
      <w:pPr>
        <w:pStyle w:val="Heading2"/>
        <w:rPr>
          <w:rFonts w:eastAsia="Times"/>
        </w:rPr>
      </w:pPr>
      <w:bookmarkStart w:id="169" w:name="_Toc54690798"/>
      <w:r w:rsidRPr="002029AF">
        <w:t>Ambassador</w:t>
      </w:r>
      <w:r w:rsidR="000A5329" w:rsidRPr="002029AF">
        <w:t xml:space="preserve"> </w:t>
      </w:r>
      <w:r w:rsidRPr="002029AF">
        <w:t>for</w:t>
      </w:r>
      <w:r w:rsidR="000A5329" w:rsidRPr="002029AF">
        <w:t xml:space="preserve"> </w:t>
      </w:r>
      <w:r w:rsidRPr="002029AF">
        <w:t>Elder</w:t>
      </w:r>
      <w:r w:rsidR="000A5329" w:rsidRPr="002029AF">
        <w:t xml:space="preserve"> </w:t>
      </w:r>
      <w:r w:rsidRPr="002029AF">
        <w:t>Abuse</w:t>
      </w:r>
      <w:r w:rsidR="00B95D52">
        <w:t> </w:t>
      </w:r>
      <w:r w:rsidRPr="002029AF">
        <w:t>Prevention</w:t>
      </w:r>
      <w:bookmarkEnd w:id="169"/>
    </w:p>
    <w:p w14:paraId="64F0E9CE" w14:textId="1C0DED97" w:rsidR="00262CBF" w:rsidRPr="002029AF" w:rsidRDefault="00262CBF" w:rsidP="00262CBF">
      <w:pPr>
        <w:pStyle w:val="ARbody"/>
      </w:pPr>
      <w:r w:rsidRPr="002029AF">
        <w:t>The</w:t>
      </w:r>
      <w:r w:rsidR="000A5329" w:rsidRPr="002029AF">
        <w:t xml:space="preserve"> </w:t>
      </w:r>
      <w:r w:rsidRPr="002029AF">
        <w:t>Commissioner</w:t>
      </w:r>
      <w:r w:rsidR="000A5329" w:rsidRPr="002029AF">
        <w:t xml:space="preserve"> </w:t>
      </w:r>
      <w:r w:rsidRPr="002029AF">
        <w:t>spoke</w:t>
      </w:r>
      <w:r w:rsidR="000A5329" w:rsidRPr="002029AF">
        <w:t xml:space="preserve"> </w:t>
      </w:r>
      <w:r w:rsidRPr="002029AF">
        <w:t>at</w:t>
      </w:r>
      <w:r w:rsidR="000A5329" w:rsidRPr="002029AF">
        <w:t xml:space="preserve"> </w:t>
      </w:r>
      <w:r w:rsidRPr="002029AF">
        <w:t>the</w:t>
      </w:r>
      <w:r w:rsidR="000A5329" w:rsidRPr="002029AF">
        <w:t xml:space="preserve"> </w:t>
      </w:r>
      <w:r w:rsidRPr="002029AF">
        <w:t>2020</w:t>
      </w:r>
      <w:r w:rsidR="000A5329" w:rsidRPr="002029AF">
        <w:t xml:space="preserve"> </w:t>
      </w:r>
      <w:r w:rsidRPr="002029AF">
        <w:t>World</w:t>
      </w:r>
      <w:r w:rsidR="000A5329" w:rsidRPr="002029AF">
        <w:t xml:space="preserve"> </w:t>
      </w:r>
      <w:r w:rsidRPr="002029AF">
        <w:t>Elder</w:t>
      </w:r>
      <w:r w:rsidR="000A5329" w:rsidRPr="002029AF">
        <w:t xml:space="preserve"> </w:t>
      </w:r>
      <w:r w:rsidRPr="002029AF">
        <w:t>Abuse</w:t>
      </w:r>
      <w:r w:rsidR="000A5329" w:rsidRPr="002029AF">
        <w:t xml:space="preserve"> </w:t>
      </w:r>
      <w:r w:rsidRPr="002029AF">
        <w:t>Awareness</w:t>
      </w:r>
      <w:r w:rsidR="000A5329" w:rsidRPr="002029AF">
        <w:t xml:space="preserve"> </w:t>
      </w:r>
      <w:r w:rsidRPr="002029AF">
        <w:t>Day</w:t>
      </w:r>
      <w:r w:rsidR="000A5329" w:rsidRPr="002029AF">
        <w:t xml:space="preserve"> </w:t>
      </w:r>
      <w:r w:rsidRPr="002029AF">
        <w:t>webinar</w:t>
      </w:r>
      <w:r w:rsidR="000A5329" w:rsidRPr="002029AF">
        <w:t xml:space="preserve"> </w:t>
      </w:r>
      <w:r w:rsidRPr="002029AF">
        <w:t>on</w:t>
      </w:r>
      <w:r w:rsidR="000A5329" w:rsidRPr="002029AF">
        <w:t xml:space="preserve"> </w:t>
      </w:r>
      <w:r w:rsidRPr="002029AF">
        <w:t>preventing</w:t>
      </w:r>
      <w:r w:rsidR="000A5329" w:rsidRPr="002029AF">
        <w:t xml:space="preserve"> </w:t>
      </w:r>
      <w:r w:rsidRPr="002029AF">
        <w:t>and</w:t>
      </w:r>
      <w:r w:rsidR="000A5329" w:rsidRPr="002029AF">
        <w:t xml:space="preserve"> </w:t>
      </w:r>
      <w:r w:rsidRPr="002029AF">
        <w:t>responding</w:t>
      </w:r>
      <w:r w:rsidR="000A5329" w:rsidRPr="002029AF">
        <w:t xml:space="preserve"> </w:t>
      </w:r>
      <w:r w:rsidRPr="002029AF">
        <w:t>to</w:t>
      </w:r>
      <w:r w:rsidR="000A5329" w:rsidRPr="002029AF">
        <w:t xml:space="preserve"> </w:t>
      </w:r>
      <w:r w:rsidRPr="002029AF">
        <w:t>elder</w:t>
      </w:r>
      <w:r w:rsidR="000A5329" w:rsidRPr="002029AF">
        <w:t xml:space="preserve"> </w:t>
      </w:r>
      <w:r w:rsidRPr="002029AF">
        <w:t>abuse</w:t>
      </w:r>
      <w:r w:rsidR="000A5329" w:rsidRPr="002029AF">
        <w:t xml:space="preserve"> </w:t>
      </w:r>
      <w:r w:rsidRPr="002029AF">
        <w:t>during</w:t>
      </w:r>
      <w:r w:rsidR="000A5329" w:rsidRPr="002029AF">
        <w:t xml:space="preserve"> </w:t>
      </w:r>
      <w:r w:rsidRPr="002029AF">
        <w:t>and</w:t>
      </w:r>
      <w:r w:rsidR="000A5329" w:rsidRPr="002029AF">
        <w:t xml:space="preserve"> </w:t>
      </w:r>
      <w:r w:rsidRPr="002029AF">
        <w:t>post</w:t>
      </w:r>
      <w:r w:rsidR="000A5329" w:rsidRPr="002029AF">
        <w:t xml:space="preserve"> </w:t>
      </w:r>
      <w:r w:rsidRPr="002029AF">
        <w:t>the</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pandemic</w:t>
      </w:r>
      <w:r w:rsidR="000A5329" w:rsidRPr="002029AF">
        <w:t xml:space="preserve"> </w:t>
      </w:r>
      <w:r w:rsidRPr="002029AF">
        <w:t>organised</w:t>
      </w:r>
      <w:r w:rsidR="000A5329" w:rsidRPr="002029AF">
        <w:t xml:space="preserve"> </w:t>
      </w:r>
      <w:r w:rsidRPr="002029AF">
        <w:t>by</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of</w:t>
      </w:r>
      <w:r w:rsidR="000A5329" w:rsidRPr="002029AF">
        <w:t xml:space="preserve"> </w:t>
      </w:r>
      <w:r w:rsidRPr="002029AF">
        <w:t>Health</w:t>
      </w:r>
      <w:r w:rsidR="000A5329" w:rsidRPr="002029AF">
        <w:t xml:space="preserve"> </w:t>
      </w:r>
      <w:r w:rsidRPr="002029AF">
        <w:t>and</w:t>
      </w:r>
      <w:r w:rsidR="000A5329" w:rsidRPr="002029AF">
        <w:t xml:space="preserve"> </w:t>
      </w:r>
      <w:r w:rsidRPr="002029AF">
        <w:t>Human</w:t>
      </w:r>
      <w:r w:rsidR="000A5329" w:rsidRPr="002029AF">
        <w:t xml:space="preserve"> </w:t>
      </w:r>
      <w:r w:rsidRPr="002029AF">
        <w:t>Services</w:t>
      </w:r>
      <w:r w:rsidR="000A5329" w:rsidRPr="002029AF">
        <w:t xml:space="preserve"> </w:t>
      </w:r>
      <w:r w:rsidRPr="002029AF">
        <w:t>and</w:t>
      </w:r>
      <w:r w:rsidR="000A5329" w:rsidRPr="002029AF">
        <w:t xml:space="preserve"> </w:t>
      </w:r>
      <w:r w:rsidRPr="002029AF">
        <w:t>Seniors</w:t>
      </w:r>
      <w:r w:rsidR="000A5329" w:rsidRPr="002029AF">
        <w:t xml:space="preserve"> </w:t>
      </w:r>
      <w:r w:rsidRPr="002029AF">
        <w:t>Rights</w:t>
      </w:r>
      <w:r w:rsidR="000A5329" w:rsidRPr="002029AF">
        <w:t xml:space="preserve"> </w:t>
      </w:r>
      <w:r w:rsidRPr="002029AF">
        <w:t>Victoria.</w:t>
      </w:r>
      <w:r w:rsidR="000A5329" w:rsidRPr="002029AF">
        <w:t xml:space="preserve"> </w:t>
      </w:r>
      <w:r w:rsidRPr="002029AF">
        <w:t>The</w:t>
      </w:r>
      <w:r w:rsidR="000A5329" w:rsidRPr="002029AF">
        <w:t xml:space="preserve"> </w:t>
      </w:r>
      <w:r w:rsidRPr="002029AF">
        <w:t>Commissioner</w:t>
      </w:r>
      <w:r w:rsidR="000A5329" w:rsidRPr="002029AF">
        <w:t xml:space="preserve"> </w:t>
      </w:r>
      <w:r w:rsidRPr="002029AF">
        <w:t>also</w:t>
      </w:r>
      <w:r w:rsidR="000A5329" w:rsidRPr="002029AF">
        <w:t xml:space="preserve"> </w:t>
      </w:r>
      <w:r w:rsidRPr="002029AF">
        <w:t>participated</w:t>
      </w:r>
      <w:r w:rsidR="000A5329" w:rsidRPr="002029AF">
        <w:t xml:space="preserve"> </w:t>
      </w:r>
      <w:r w:rsidRPr="002029AF">
        <w:t>in</w:t>
      </w:r>
      <w:r w:rsidR="000A5329" w:rsidRPr="002029AF">
        <w:t xml:space="preserve"> </w:t>
      </w:r>
      <w:r w:rsidRPr="002029AF">
        <w:t>the</w:t>
      </w:r>
      <w:r w:rsidR="000A5329" w:rsidRPr="002029AF">
        <w:t xml:space="preserve"> </w:t>
      </w:r>
      <w:r w:rsidRPr="002029AF">
        <w:t>Seniors</w:t>
      </w:r>
      <w:r w:rsidR="000A5329" w:rsidRPr="002029AF">
        <w:t xml:space="preserve"> </w:t>
      </w:r>
      <w:r w:rsidRPr="002029AF">
        <w:t>Rights</w:t>
      </w:r>
      <w:r w:rsidR="000A5329" w:rsidRPr="002029AF">
        <w:t xml:space="preserve"> </w:t>
      </w:r>
      <w:r w:rsidRPr="002029AF">
        <w:t>Victoria</w:t>
      </w:r>
      <w:r w:rsidR="000A5329" w:rsidRPr="002029AF">
        <w:t xml:space="preserve"> </w:t>
      </w:r>
      <w:r w:rsidRPr="002029AF">
        <w:t>online</w:t>
      </w:r>
      <w:r w:rsidR="000A5329" w:rsidRPr="002029AF">
        <w:t xml:space="preserve"> </w:t>
      </w:r>
      <w:r w:rsidRPr="002029AF">
        <w:t>Purple</w:t>
      </w:r>
      <w:r w:rsidR="000A5329" w:rsidRPr="002029AF">
        <w:t xml:space="preserve"> </w:t>
      </w:r>
      <w:r w:rsidRPr="002029AF">
        <w:t>Tea:</w:t>
      </w:r>
      <w:r w:rsidR="000A5329" w:rsidRPr="002029AF">
        <w:t xml:space="preserve"> </w:t>
      </w:r>
      <w:r w:rsidRPr="002029AF">
        <w:t>Stir</w:t>
      </w:r>
      <w:r w:rsidR="000A5329" w:rsidRPr="002029AF">
        <w:t xml:space="preserve"> </w:t>
      </w:r>
      <w:r w:rsidRPr="002029AF">
        <w:t>A</w:t>
      </w:r>
      <w:r w:rsidR="000A5329" w:rsidRPr="002029AF">
        <w:t xml:space="preserve"> </w:t>
      </w:r>
      <w:r w:rsidRPr="002029AF">
        <w:t>Cuppa</w:t>
      </w:r>
      <w:r w:rsidR="000A5329" w:rsidRPr="002029AF">
        <w:t xml:space="preserve"> </w:t>
      </w:r>
      <w:r w:rsidRPr="002029AF">
        <w:t>for</w:t>
      </w:r>
      <w:r w:rsidR="000A5329" w:rsidRPr="002029AF">
        <w:t xml:space="preserve"> </w:t>
      </w:r>
      <w:r w:rsidRPr="002029AF">
        <w:t>Seniors.</w:t>
      </w:r>
      <w:r w:rsidR="000A5329" w:rsidRPr="002029AF">
        <w:t xml:space="preserve"> </w:t>
      </w:r>
      <w:r w:rsidRPr="002029AF">
        <w:t>The</w:t>
      </w:r>
      <w:r w:rsidR="000A5329" w:rsidRPr="002029AF">
        <w:t xml:space="preserve"> </w:t>
      </w:r>
      <w:r w:rsidRPr="002029AF">
        <w:t>Commissioner</w:t>
      </w:r>
      <w:r w:rsidR="000A5329" w:rsidRPr="002029AF">
        <w:t xml:space="preserve"> </w:t>
      </w:r>
      <w:r w:rsidRPr="002029AF">
        <w:t>contributed</w:t>
      </w:r>
      <w:r w:rsidR="000A5329" w:rsidRPr="002029AF">
        <w:t xml:space="preserve"> </w:t>
      </w:r>
      <w:r w:rsidRPr="002029AF">
        <w:t>to</w:t>
      </w:r>
      <w:r w:rsidR="000A5329" w:rsidRPr="002029AF">
        <w:t xml:space="preserve"> </w:t>
      </w:r>
      <w:r w:rsidRPr="002029AF">
        <w:t>the</w:t>
      </w:r>
      <w:r w:rsidR="000A5329" w:rsidRPr="002029AF">
        <w:t xml:space="preserve"> </w:t>
      </w:r>
      <w:r w:rsidRPr="002029AF">
        <w:t>Rotary</w:t>
      </w:r>
      <w:r w:rsidR="000A5329" w:rsidRPr="002029AF">
        <w:t xml:space="preserve"> </w:t>
      </w:r>
      <w:r w:rsidRPr="002029AF">
        <w:t>Safe</w:t>
      </w:r>
      <w:r w:rsidR="000A5329" w:rsidRPr="002029AF">
        <w:t xml:space="preserve"> </w:t>
      </w:r>
      <w:r w:rsidRPr="002029AF">
        <w:t>Families</w:t>
      </w:r>
      <w:r w:rsidR="000A5329" w:rsidRPr="002029AF">
        <w:t xml:space="preserve"> </w:t>
      </w:r>
      <w:r w:rsidRPr="002029AF">
        <w:t>initiative</w:t>
      </w:r>
      <w:r w:rsidR="000A5329" w:rsidRPr="002029AF">
        <w:t xml:space="preserve"> </w:t>
      </w:r>
      <w:r w:rsidRPr="002029AF">
        <w:t>and</w:t>
      </w:r>
      <w:r w:rsidR="000A5329" w:rsidRPr="002029AF">
        <w:t xml:space="preserve"> </w:t>
      </w:r>
      <w:r w:rsidRPr="002029AF">
        <w:t>features</w:t>
      </w:r>
      <w:r w:rsidR="000A5329" w:rsidRPr="002029AF">
        <w:t xml:space="preserve"> </w:t>
      </w:r>
      <w:r w:rsidRPr="002029AF">
        <w:t>on</w:t>
      </w:r>
      <w:r w:rsidR="000A5329" w:rsidRPr="002029AF">
        <w:t xml:space="preserve"> </w:t>
      </w:r>
      <w:r w:rsidRPr="002029AF">
        <w:t>the</w:t>
      </w:r>
      <w:r w:rsidR="000A5329" w:rsidRPr="002029AF">
        <w:t xml:space="preserve"> </w:t>
      </w:r>
      <w:r w:rsidRPr="002029AF">
        <w:t>associated</w:t>
      </w:r>
      <w:r w:rsidR="000A5329" w:rsidRPr="002029AF">
        <w:t xml:space="preserve"> </w:t>
      </w:r>
      <w:r w:rsidRPr="002029AF">
        <w:t>video</w:t>
      </w:r>
      <w:r w:rsidR="000A5329" w:rsidRPr="002029AF">
        <w:t xml:space="preserve"> </w:t>
      </w:r>
      <w:r w:rsidRPr="002029AF">
        <w:t>that</w:t>
      </w:r>
      <w:r w:rsidR="000A5329" w:rsidRPr="002029AF">
        <w:t xml:space="preserve"> </w:t>
      </w:r>
      <w:r w:rsidRPr="002029AF">
        <w:t>discusses</w:t>
      </w:r>
      <w:r w:rsidR="000A5329" w:rsidRPr="002029AF">
        <w:t xml:space="preserve"> </w:t>
      </w:r>
      <w:r w:rsidRPr="002029AF">
        <w:t>elder</w:t>
      </w:r>
      <w:r w:rsidR="000A5329" w:rsidRPr="002029AF">
        <w:t xml:space="preserve"> </w:t>
      </w:r>
      <w:r w:rsidRPr="002029AF">
        <w:t>abuse.</w:t>
      </w:r>
    </w:p>
    <w:p w14:paraId="09466B17" w14:textId="2EAF8FD8" w:rsidR="00262CBF" w:rsidRPr="002029AF" w:rsidRDefault="00262CBF" w:rsidP="00262CBF">
      <w:pPr>
        <w:pStyle w:val="ARbody"/>
      </w:pPr>
      <w:r w:rsidRPr="002029AF">
        <w:t>Other</w:t>
      </w:r>
      <w:r w:rsidR="000A5329" w:rsidRPr="002029AF">
        <w:t xml:space="preserve"> </w:t>
      </w:r>
      <w:r w:rsidRPr="002029AF">
        <w:t>speaking</w:t>
      </w:r>
      <w:r w:rsidR="000A5329" w:rsidRPr="002029AF">
        <w:t xml:space="preserve"> </w:t>
      </w:r>
      <w:r w:rsidRPr="002029AF">
        <w:t>engagements</w:t>
      </w:r>
      <w:r w:rsidR="000A5329" w:rsidRPr="002029AF">
        <w:t xml:space="preserve"> </w:t>
      </w:r>
      <w:r w:rsidRPr="002029AF">
        <w:t>included</w:t>
      </w:r>
      <w:r w:rsidR="000A5329" w:rsidRPr="002029AF">
        <w:t xml:space="preserve"> </w:t>
      </w:r>
      <w:r w:rsidRPr="002029AF">
        <w:t>the</w:t>
      </w:r>
      <w:r w:rsidR="000A5329" w:rsidRPr="002029AF">
        <w:t xml:space="preserve"> </w:t>
      </w:r>
      <w:r w:rsidRPr="002029AF">
        <w:t>2019</w:t>
      </w:r>
      <w:r w:rsidR="000A5329" w:rsidRPr="002029AF">
        <w:t xml:space="preserve"> </w:t>
      </w:r>
      <w:r w:rsidRPr="002029AF">
        <w:t>National</w:t>
      </w:r>
      <w:r w:rsidR="000A5329" w:rsidRPr="002029AF">
        <w:t xml:space="preserve"> </w:t>
      </w:r>
      <w:r w:rsidRPr="002029AF">
        <w:t>Elder</w:t>
      </w:r>
      <w:r w:rsidR="000A5329" w:rsidRPr="002029AF">
        <w:t xml:space="preserve"> </w:t>
      </w:r>
      <w:r w:rsidRPr="002029AF">
        <w:t>Abuse</w:t>
      </w:r>
      <w:r w:rsidR="000A5329" w:rsidRPr="002029AF">
        <w:t xml:space="preserve"> </w:t>
      </w:r>
      <w:r w:rsidRPr="002029AF">
        <w:t>Conference,</w:t>
      </w:r>
      <w:r w:rsidR="000A5329" w:rsidRPr="002029AF">
        <w:t xml:space="preserve"> </w:t>
      </w:r>
      <w:r w:rsidRPr="002029AF">
        <w:t>Rock</w:t>
      </w:r>
      <w:r w:rsidR="000A5329" w:rsidRPr="002029AF">
        <w:t xml:space="preserve"> </w:t>
      </w:r>
      <w:r w:rsidRPr="002029AF">
        <w:t>the</w:t>
      </w:r>
      <w:r w:rsidR="000A5329" w:rsidRPr="002029AF">
        <w:t xml:space="preserve"> </w:t>
      </w:r>
      <w:r w:rsidRPr="002029AF">
        <w:t>Boat,</w:t>
      </w:r>
      <w:r w:rsidR="000A5329" w:rsidRPr="002029AF">
        <w:t xml:space="preserve"> </w:t>
      </w:r>
      <w:r w:rsidRPr="002029AF">
        <w:t>Older</w:t>
      </w:r>
      <w:r w:rsidR="000A5329" w:rsidRPr="002029AF">
        <w:t xml:space="preserve"> </w:t>
      </w:r>
      <w:r w:rsidRPr="002029AF">
        <w:t>Wiser</w:t>
      </w:r>
      <w:r w:rsidR="000A5329" w:rsidRPr="002029AF">
        <w:t xml:space="preserve"> </w:t>
      </w:r>
      <w:r w:rsidRPr="002029AF">
        <w:t>Know</w:t>
      </w:r>
      <w:r w:rsidR="000A5329" w:rsidRPr="002029AF">
        <w:t xml:space="preserve"> </w:t>
      </w:r>
      <w:r w:rsidRPr="002029AF">
        <w:t>Your</w:t>
      </w:r>
      <w:r w:rsidR="000A5329" w:rsidRPr="002029AF">
        <w:t xml:space="preserve"> </w:t>
      </w:r>
      <w:r w:rsidRPr="002029AF">
        <w:t>Rights</w:t>
      </w:r>
      <w:r w:rsidR="000A5329" w:rsidRPr="002029AF">
        <w:t xml:space="preserve"> </w:t>
      </w:r>
      <w:r w:rsidRPr="002029AF">
        <w:t>Forum</w:t>
      </w:r>
      <w:r w:rsidR="000A5329" w:rsidRPr="002029AF">
        <w:t xml:space="preserve"> </w:t>
      </w:r>
      <w:r w:rsidRPr="002029AF">
        <w:t>Colac</w:t>
      </w:r>
      <w:r w:rsidR="000A5329" w:rsidRPr="002029AF">
        <w:t xml:space="preserve"> </w:t>
      </w:r>
      <w:r w:rsidRPr="002029AF">
        <w:t>and</w:t>
      </w:r>
      <w:r w:rsidR="000A5329" w:rsidRPr="002029AF">
        <w:t xml:space="preserve"> </w:t>
      </w:r>
      <w:r w:rsidRPr="002029AF">
        <w:t>the</w:t>
      </w:r>
      <w:r w:rsidR="000A5329" w:rsidRPr="002029AF">
        <w:t xml:space="preserve"> </w:t>
      </w:r>
      <w:r w:rsidRPr="002029AF">
        <w:t>Side</w:t>
      </w:r>
      <w:r w:rsidR="000A5329" w:rsidRPr="002029AF">
        <w:t xml:space="preserve"> </w:t>
      </w:r>
      <w:r w:rsidRPr="002029AF">
        <w:t>Door</w:t>
      </w:r>
      <w:r w:rsidR="000A5329" w:rsidRPr="002029AF">
        <w:t xml:space="preserve"> </w:t>
      </w:r>
      <w:r w:rsidRPr="002029AF">
        <w:t>Social</w:t>
      </w:r>
      <w:r w:rsidR="000A5329" w:rsidRPr="002029AF">
        <w:t xml:space="preserve"> </w:t>
      </w:r>
      <w:r w:rsidRPr="002029AF">
        <w:t>Justice</w:t>
      </w:r>
      <w:r w:rsidR="000A5329" w:rsidRPr="002029AF">
        <w:t xml:space="preserve"> </w:t>
      </w:r>
      <w:r w:rsidRPr="002029AF">
        <w:t>Hub</w:t>
      </w:r>
      <w:r w:rsidR="000A5329" w:rsidRPr="002029AF">
        <w:t xml:space="preserve"> </w:t>
      </w:r>
      <w:r w:rsidRPr="002029AF">
        <w:t>Elsternwick.</w:t>
      </w:r>
    </w:p>
    <w:p w14:paraId="5C68F1DC" w14:textId="7B256D25" w:rsidR="000A5329" w:rsidRPr="002029AF" w:rsidRDefault="00262CBF" w:rsidP="00262CBF">
      <w:pPr>
        <w:pStyle w:val="ARbody"/>
      </w:pPr>
      <w:r w:rsidRPr="002029AF">
        <w:t>The</w:t>
      </w:r>
      <w:r w:rsidR="000A5329" w:rsidRPr="002029AF">
        <w:t xml:space="preserve"> </w:t>
      </w:r>
      <w:r w:rsidRPr="002029AF">
        <w:t>Commissioner</w:t>
      </w:r>
      <w:r w:rsidR="000A5329" w:rsidRPr="002029AF">
        <w:t xml:space="preserve"> </w:t>
      </w:r>
      <w:r w:rsidRPr="002029AF">
        <w:t>is</w:t>
      </w:r>
      <w:r w:rsidR="000A5329" w:rsidRPr="002029AF">
        <w:t xml:space="preserve"> </w:t>
      </w:r>
      <w:r w:rsidRPr="002029AF">
        <w:t>deputy</w:t>
      </w:r>
      <w:r w:rsidR="000A5329" w:rsidRPr="002029AF">
        <w:t xml:space="preserve"> </w:t>
      </w:r>
      <w:r w:rsidRPr="002029AF">
        <w:t>chair</w:t>
      </w:r>
      <w:r w:rsidR="000A5329" w:rsidRPr="002029AF">
        <w:t xml:space="preserve"> </w:t>
      </w:r>
      <w:r w:rsidRPr="002029AF">
        <w:t>of</w:t>
      </w:r>
      <w:r w:rsidR="000A5329" w:rsidRPr="002029AF">
        <w:t xml:space="preserve"> </w:t>
      </w:r>
      <w:r w:rsidRPr="002029AF">
        <w:t>the</w:t>
      </w:r>
      <w:r w:rsidR="000A5329" w:rsidRPr="002029AF">
        <w:t xml:space="preserve"> </w:t>
      </w:r>
      <w:r w:rsidRPr="002029AF">
        <w:t>Elder</w:t>
      </w:r>
      <w:r w:rsidR="000A5329" w:rsidRPr="002029AF">
        <w:t xml:space="preserve"> </w:t>
      </w:r>
      <w:r w:rsidRPr="002029AF">
        <w:t>Abuse</w:t>
      </w:r>
      <w:r w:rsidR="000A5329" w:rsidRPr="002029AF">
        <w:t xml:space="preserve"> </w:t>
      </w:r>
      <w:r w:rsidRPr="002029AF">
        <w:t>and</w:t>
      </w:r>
      <w:r w:rsidR="000A5329" w:rsidRPr="002029AF">
        <w:t xml:space="preserve"> </w:t>
      </w:r>
      <w:r w:rsidRPr="002029AF">
        <w:t>Safeguarding</w:t>
      </w:r>
      <w:r w:rsidR="000A5329" w:rsidRPr="002029AF">
        <w:t xml:space="preserve"> </w:t>
      </w:r>
      <w:r w:rsidRPr="002029AF">
        <w:t>Advisory</w:t>
      </w:r>
      <w:r w:rsidR="000A5329" w:rsidRPr="002029AF">
        <w:t xml:space="preserve"> </w:t>
      </w:r>
      <w:r w:rsidRPr="002029AF">
        <w:t>Group</w:t>
      </w:r>
      <w:r w:rsidR="000A5329" w:rsidRPr="002029AF">
        <w:t xml:space="preserve"> </w:t>
      </w:r>
      <w:r w:rsidRPr="002029AF">
        <w:t>and</w:t>
      </w:r>
      <w:r w:rsidR="000A5329" w:rsidRPr="002029AF">
        <w:t xml:space="preserve"> </w:t>
      </w:r>
      <w:r w:rsidRPr="002029AF">
        <w:t>was</w:t>
      </w:r>
      <w:r w:rsidR="000A5329" w:rsidRPr="002029AF">
        <w:t xml:space="preserve"> </w:t>
      </w:r>
      <w:r w:rsidRPr="002029AF">
        <w:t>a</w:t>
      </w:r>
      <w:r w:rsidR="000A5329" w:rsidRPr="002029AF">
        <w:t xml:space="preserve"> </w:t>
      </w:r>
      <w:r w:rsidRPr="002029AF">
        <w:t>member</w:t>
      </w:r>
      <w:r w:rsidR="000A5329" w:rsidRPr="002029AF">
        <w:t xml:space="preserve"> </w:t>
      </w:r>
      <w:r w:rsidRPr="002029AF">
        <w:t>of</w:t>
      </w:r>
      <w:r w:rsidR="000A5329" w:rsidRPr="002029AF">
        <w:t xml:space="preserve"> </w:t>
      </w:r>
      <w:r w:rsidRPr="002029AF">
        <w:t>the</w:t>
      </w:r>
      <w:r w:rsidR="000A5329" w:rsidRPr="002029AF">
        <w:t xml:space="preserve"> </w:t>
      </w:r>
      <w:r w:rsidRPr="002029AF">
        <w:t>Family</w:t>
      </w:r>
      <w:r w:rsidR="000A5329" w:rsidRPr="002029AF">
        <w:t xml:space="preserve"> </w:t>
      </w:r>
      <w:r w:rsidRPr="002029AF">
        <w:t>Safety</w:t>
      </w:r>
      <w:r w:rsidR="000A5329" w:rsidRPr="002029AF">
        <w:t xml:space="preserve"> </w:t>
      </w:r>
      <w:r w:rsidRPr="002029AF">
        <w:t>Victoria</w:t>
      </w:r>
      <w:r w:rsidR="000A5329" w:rsidRPr="002029AF">
        <w:t xml:space="preserve"> </w:t>
      </w:r>
      <w:r w:rsidRPr="002029AF">
        <w:t>Diverse</w:t>
      </w:r>
      <w:r w:rsidR="000A5329" w:rsidRPr="002029AF">
        <w:t xml:space="preserve"> </w:t>
      </w:r>
      <w:r w:rsidRPr="002029AF">
        <w:t>Communities</w:t>
      </w:r>
      <w:r w:rsidR="000A5329" w:rsidRPr="002029AF">
        <w:t xml:space="preserve"> </w:t>
      </w:r>
      <w:r w:rsidRPr="002029AF">
        <w:t>and</w:t>
      </w:r>
      <w:r w:rsidR="000A5329" w:rsidRPr="002029AF">
        <w:t xml:space="preserve"> </w:t>
      </w:r>
      <w:r w:rsidRPr="002029AF">
        <w:t>Intersectionality</w:t>
      </w:r>
      <w:r w:rsidR="000A5329" w:rsidRPr="002029AF">
        <w:t xml:space="preserve"> </w:t>
      </w:r>
      <w:r w:rsidRPr="002029AF">
        <w:t>Working</w:t>
      </w:r>
      <w:r w:rsidR="000A5329" w:rsidRPr="002029AF">
        <w:t xml:space="preserve"> </w:t>
      </w:r>
      <w:r w:rsidRPr="002029AF">
        <w:t>Group</w:t>
      </w:r>
      <w:r w:rsidR="000A5329" w:rsidRPr="002029AF">
        <w:t xml:space="preserve"> </w:t>
      </w:r>
      <w:r w:rsidRPr="002029AF">
        <w:t>and</w:t>
      </w:r>
      <w:r w:rsidR="000A5329" w:rsidRPr="002029AF">
        <w:t xml:space="preserve"> </w:t>
      </w:r>
      <w:r w:rsidRPr="002029AF">
        <w:t>the</w:t>
      </w:r>
      <w:r w:rsidR="000A5329" w:rsidRPr="002029AF">
        <w:t xml:space="preserve"> </w:t>
      </w:r>
      <w:r w:rsidRPr="002029AF">
        <w:t>Victoria</w:t>
      </w:r>
      <w:r w:rsidR="000A5329" w:rsidRPr="002029AF">
        <w:t xml:space="preserve"> </w:t>
      </w:r>
      <w:r w:rsidRPr="002029AF">
        <w:t>Police</w:t>
      </w:r>
      <w:r w:rsidR="000A5329" w:rsidRPr="002029AF">
        <w:t xml:space="preserve"> </w:t>
      </w:r>
      <w:r w:rsidRPr="002029AF">
        <w:t>Human</w:t>
      </w:r>
      <w:r w:rsidR="000A5329" w:rsidRPr="002029AF">
        <w:t xml:space="preserve"> </w:t>
      </w:r>
      <w:r w:rsidRPr="002029AF">
        <w:t>Rights</w:t>
      </w:r>
      <w:r w:rsidR="000A5329" w:rsidRPr="002029AF">
        <w:t xml:space="preserve"> </w:t>
      </w:r>
      <w:r w:rsidRPr="002029AF">
        <w:t>Strategic</w:t>
      </w:r>
      <w:r w:rsidR="000A5329" w:rsidRPr="002029AF">
        <w:t xml:space="preserve"> </w:t>
      </w:r>
      <w:r w:rsidRPr="002029AF">
        <w:t>Advisory</w:t>
      </w:r>
      <w:r w:rsidR="000A5329" w:rsidRPr="002029AF">
        <w:t xml:space="preserve"> </w:t>
      </w:r>
      <w:r w:rsidRPr="002029AF">
        <w:t>Committee.</w:t>
      </w:r>
    </w:p>
    <w:p w14:paraId="1DAF4C47" w14:textId="66556BC3" w:rsidR="00262CBF" w:rsidRPr="002029AF" w:rsidRDefault="00262CBF" w:rsidP="00262CBF">
      <w:pPr>
        <w:pStyle w:val="Heading2"/>
      </w:pPr>
      <w:bookmarkStart w:id="170" w:name="_Toc54690799"/>
      <w:r w:rsidRPr="002029AF">
        <w:t>Social</w:t>
      </w:r>
      <w:r w:rsidR="000A5329" w:rsidRPr="002029AF">
        <w:t xml:space="preserve"> </w:t>
      </w:r>
      <w:r w:rsidRPr="002029AF">
        <w:t>procurement</w:t>
      </w:r>
      <w:r w:rsidR="000A5329" w:rsidRPr="002029AF">
        <w:t xml:space="preserve"> </w:t>
      </w:r>
      <w:r w:rsidRPr="002029AF">
        <w:t>framework</w:t>
      </w:r>
      <w:bookmarkEnd w:id="170"/>
    </w:p>
    <w:p w14:paraId="690DFB0F" w14:textId="5D525C13" w:rsidR="00262CBF" w:rsidRPr="002029AF" w:rsidRDefault="00262CBF" w:rsidP="00262CBF">
      <w:pPr>
        <w:pStyle w:val="ARbody"/>
      </w:pPr>
      <w:r w:rsidRPr="002029AF">
        <w:t>Social</w:t>
      </w:r>
      <w:r w:rsidR="000A5329" w:rsidRPr="002029AF">
        <w:t xml:space="preserve"> </w:t>
      </w:r>
      <w:r w:rsidRPr="002029AF">
        <w:t>procurement</w:t>
      </w:r>
      <w:r w:rsidR="000A5329" w:rsidRPr="002029AF">
        <w:t xml:space="preserve"> </w:t>
      </w:r>
      <w:r w:rsidRPr="002029AF">
        <w:t>achievements</w:t>
      </w:r>
      <w:r w:rsidR="000A5329" w:rsidRPr="002029AF">
        <w:t xml:space="preserve"> </w:t>
      </w:r>
      <w:r w:rsidRPr="002029AF">
        <w:t>in</w:t>
      </w:r>
      <w:r w:rsidR="000A5329" w:rsidRPr="002029AF">
        <w:t xml:space="preserve"> </w:t>
      </w:r>
      <w:r w:rsidRPr="002029AF">
        <w:t>2019–20</w:t>
      </w:r>
      <w:r w:rsidR="000A5329" w:rsidRPr="002029AF">
        <w:t xml:space="preserve"> </w:t>
      </w:r>
      <w:r w:rsidRPr="002029AF">
        <w:t>included:</w:t>
      </w:r>
    </w:p>
    <w:p w14:paraId="5865624A" w14:textId="1607A893" w:rsidR="00262CBF" w:rsidRPr="002029AF" w:rsidRDefault="00262CBF" w:rsidP="00262CBF">
      <w:pPr>
        <w:pStyle w:val="ARbullet1"/>
      </w:pPr>
      <w:r w:rsidRPr="002029AF">
        <w:t>Coordinated</w:t>
      </w:r>
      <w:r w:rsidR="000A5329" w:rsidRPr="002029AF">
        <w:t xml:space="preserve"> </w:t>
      </w:r>
      <w:r w:rsidRPr="002029AF">
        <w:t>the</w:t>
      </w:r>
      <w:r w:rsidR="000A5329" w:rsidRPr="002029AF">
        <w:t xml:space="preserve"> </w:t>
      </w:r>
      <w:r w:rsidRPr="002029AF">
        <w:t>Social</w:t>
      </w:r>
      <w:r w:rsidR="000A5329" w:rsidRPr="002029AF">
        <w:t xml:space="preserve"> </w:t>
      </w:r>
      <w:r w:rsidRPr="002029AF">
        <w:t>Procurement</w:t>
      </w:r>
      <w:r w:rsidR="000A5329" w:rsidRPr="002029AF">
        <w:t xml:space="preserve"> </w:t>
      </w:r>
      <w:r w:rsidRPr="002029AF">
        <w:t>Strategy</w:t>
      </w:r>
      <w:r w:rsidR="000A5329" w:rsidRPr="002029AF">
        <w:t xml:space="preserve"> </w:t>
      </w:r>
      <w:r w:rsidRPr="002029AF">
        <w:t>Working</w:t>
      </w:r>
      <w:r w:rsidR="000A5329" w:rsidRPr="002029AF">
        <w:t xml:space="preserve"> </w:t>
      </w:r>
      <w:r w:rsidRPr="002029AF">
        <w:t>Group</w:t>
      </w:r>
      <w:r w:rsidR="000A5329" w:rsidRPr="002029AF">
        <w:t xml:space="preserve"> </w:t>
      </w:r>
      <w:r w:rsidRPr="002029AF">
        <w:t>and</w:t>
      </w:r>
      <w:r w:rsidR="000A5329" w:rsidRPr="002029AF">
        <w:t xml:space="preserve"> </w:t>
      </w:r>
      <w:r w:rsidRPr="002029AF">
        <w:t>the</w:t>
      </w:r>
      <w:r w:rsidR="000A5329" w:rsidRPr="002029AF">
        <w:t xml:space="preserve"> </w:t>
      </w:r>
      <w:r w:rsidRPr="002029AF">
        <w:t>Subject</w:t>
      </w:r>
      <w:r w:rsidR="000A5329" w:rsidRPr="002029AF">
        <w:t xml:space="preserve"> </w:t>
      </w:r>
      <w:r w:rsidRPr="002029AF">
        <w:t>Expertise</w:t>
      </w:r>
      <w:r w:rsidR="000A5329" w:rsidRPr="002029AF">
        <w:t xml:space="preserve"> </w:t>
      </w:r>
      <w:r w:rsidRPr="002029AF">
        <w:t>Network</w:t>
      </w:r>
    </w:p>
    <w:p w14:paraId="447883AE" w14:textId="1DC4A0C3" w:rsidR="00262CBF" w:rsidRPr="002029AF" w:rsidRDefault="00262CBF" w:rsidP="00262CBF">
      <w:pPr>
        <w:pStyle w:val="ARbullet1"/>
      </w:pPr>
      <w:r w:rsidRPr="002029AF">
        <w:t>Facilitated</w:t>
      </w:r>
      <w:r w:rsidR="000A5329" w:rsidRPr="002029AF">
        <w:t xml:space="preserve"> </w:t>
      </w:r>
      <w:r w:rsidRPr="002029AF">
        <w:t>development</w:t>
      </w:r>
      <w:r w:rsidR="000A5329" w:rsidRPr="002029AF">
        <w:t xml:space="preserve"> </w:t>
      </w:r>
      <w:r w:rsidRPr="002029AF">
        <w:t>of</w:t>
      </w:r>
      <w:r w:rsidR="000A5329" w:rsidRPr="002029AF">
        <w:t xml:space="preserve"> </w:t>
      </w:r>
      <w:r w:rsidRPr="002029AF">
        <w:t>the</w:t>
      </w:r>
      <w:r w:rsidR="000A5329" w:rsidRPr="002029AF">
        <w:t xml:space="preserve"> </w:t>
      </w:r>
      <w:r w:rsidRPr="002029AF">
        <w:t>Social</w:t>
      </w:r>
      <w:r w:rsidR="000A5329" w:rsidRPr="002029AF">
        <w:t xml:space="preserve"> </w:t>
      </w:r>
      <w:r w:rsidRPr="002029AF">
        <w:t>Procurement</w:t>
      </w:r>
      <w:r w:rsidR="000A5329" w:rsidRPr="002029AF">
        <w:t xml:space="preserve"> </w:t>
      </w:r>
      <w:r w:rsidRPr="002029AF">
        <w:t>Strategy,</w:t>
      </w:r>
      <w:r w:rsidR="000A5329" w:rsidRPr="002029AF">
        <w:t xml:space="preserve"> </w:t>
      </w:r>
      <w:r w:rsidRPr="002029AF">
        <w:t>Victorian</w:t>
      </w:r>
      <w:r w:rsidR="000A5329" w:rsidRPr="002029AF">
        <w:t xml:space="preserve"> </w:t>
      </w:r>
      <w:r w:rsidRPr="002029AF">
        <w:t>Aboriginal</w:t>
      </w:r>
      <w:r w:rsidR="000A5329" w:rsidRPr="002029AF">
        <w:t xml:space="preserve"> </w:t>
      </w:r>
      <w:r w:rsidRPr="002029AF">
        <w:t>Procurement</w:t>
      </w:r>
      <w:r w:rsidR="000A5329" w:rsidRPr="002029AF">
        <w:t xml:space="preserve"> </w:t>
      </w:r>
      <w:r w:rsidRPr="002029AF">
        <w:t>Target</w:t>
      </w:r>
      <w:r w:rsidR="000A5329" w:rsidRPr="002029AF">
        <w:t xml:space="preserve"> </w:t>
      </w:r>
      <w:r w:rsidRPr="002029AF">
        <w:t>201</w:t>
      </w:r>
      <w:r w:rsidR="00DB53E6" w:rsidRPr="002029AF">
        <w:t>9–</w:t>
      </w:r>
      <w:r w:rsidRPr="002029AF">
        <w:t>20</w:t>
      </w:r>
      <w:r w:rsidR="000A5329" w:rsidRPr="002029AF">
        <w:t xml:space="preserve"> </w:t>
      </w:r>
      <w:r w:rsidRPr="002029AF">
        <w:t>Implementation</w:t>
      </w:r>
      <w:r w:rsidR="000A5329" w:rsidRPr="002029AF">
        <w:t xml:space="preserve"> </w:t>
      </w:r>
      <w:r w:rsidRPr="002029AF">
        <w:t>Plan</w:t>
      </w:r>
      <w:r w:rsidR="000A5329" w:rsidRPr="002029AF">
        <w:t xml:space="preserve"> </w:t>
      </w:r>
      <w:r w:rsidRPr="002029AF">
        <w:t>and</w:t>
      </w:r>
      <w:r w:rsidR="000A5329" w:rsidRPr="002029AF">
        <w:t xml:space="preserve"> </w:t>
      </w:r>
      <w:r w:rsidRPr="002029AF">
        <w:t>related</w:t>
      </w:r>
      <w:r w:rsidR="000A5329" w:rsidRPr="002029AF">
        <w:t xml:space="preserve"> </w:t>
      </w:r>
      <w:r w:rsidRPr="002029AF">
        <w:t>documents</w:t>
      </w:r>
    </w:p>
    <w:p w14:paraId="5E607909" w14:textId="29F22889" w:rsidR="00262CBF" w:rsidRPr="002029AF" w:rsidRDefault="00262CBF" w:rsidP="00262CBF">
      <w:pPr>
        <w:pStyle w:val="ARbullet1"/>
      </w:pPr>
      <w:r w:rsidRPr="002029AF">
        <w:t>Established</w:t>
      </w:r>
      <w:r w:rsidR="000A5329" w:rsidRPr="002029AF">
        <w:t xml:space="preserve"> </w:t>
      </w:r>
      <w:r w:rsidRPr="002029AF">
        <w:t>procurement</w:t>
      </w:r>
      <w:r w:rsidR="000A5329" w:rsidRPr="002029AF">
        <w:t xml:space="preserve"> </w:t>
      </w:r>
      <w:r w:rsidRPr="002029AF">
        <w:t>targets</w:t>
      </w:r>
      <w:r w:rsidR="000A5329" w:rsidRPr="002029AF">
        <w:t xml:space="preserve"> </w:t>
      </w:r>
      <w:r w:rsidRPr="002029AF">
        <w:t>for</w:t>
      </w:r>
      <w:r w:rsidR="000A5329" w:rsidRPr="002029AF">
        <w:t xml:space="preserve"> </w:t>
      </w:r>
      <w:r w:rsidRPr="002029AF">
        <w:t>the</w:t>
      </w:r>
      <w:r w:rsidR="000A5329" w:rsidRPr="002029AF">
        <w:t xml:space="preserve"> </w:t>
      </w:r>
      <w:r w:rsidRPr="002029AF">
        <w:t>Procurement,</w:t>
      </w:r>
      <w:r w:rsidR="000A5329" w:rsidRPr="002029AF">
        <w:t xml:space="preserve"> </w:t>
      </w:r>
      <w:r w:rsidRPr="002029AF">
        <w:t>Contract</w:t>
      </w:r>
      <w:r w:rsidR="000A5329" w:rsidRPr="002029AF">
        <w:t xml:space="preserve"> </w:t>
      </w:r>
      <w:r w:rsidRPr="002029AF">
        <w:t>and</w:t>
      </w:r>
      <w:r w:rsidR="000A5329" w:rsidRPr="002029AF">
        <w:t xml:space="preserve"> </w:t>
      </w:r>
      <w:r w:rsidRPr="002029AF">
        <w:t>Business</w:t>
      </w:r>
      <w:r w:rsidR="000A5329" w:rsidRPr="002029AF">
        <w:t xml:space="preserve"> </w:t>
      </w:r>
      <w:r w:rsidRPr="002029AF">
        <w:t>Services</w:t>
      </w:r>
      <w:r w:rsidR="000A5329" w:rsidRPr="002029AF">
        <w:t xml:space="preserve"> </w:t>
      </w:r>
      <w:r w:rsidRPr="002029AF">
        <w:t>Branch,</w:t>
      </w:r>
      <w:r w:rsidR="000A5329" w:rsidRPr="002029AF">
        <w:t xml:space="preserve"> </w:t>
      </w:r>
      <w:r w:rsidRPr="002029AF">
        <w:t>Property</w:t>
      </w:r>
      <w:r w:rsidR="000A5329" w:rsidRPr="002029AF">
        <w:t xml:space="preserve"> </w:t>
      </w:r>
      <w:r w:rsidRPr="002029AF">
        <w:t>and</w:t>
      </w:r>
      <w:r w:rsidR="000A5329" w:rsidRPr="002029AF">
        <w:t xml:space="preserve"> </w:t>
      </w:r>
      <w:r w:rsidRPr="002029AF">
        <w:t>Asset</w:t>
      </w:r>
      <w:r w:rsidR="000A5329" w:rsidRPr="002029AF">
        <w:t xml:space="preserve"> </w:t>
      </w:r>
      <w:r w:rsidRPr="002029AF">
        <w:t>Services</w:t>
      </w:r>
      <w:r w:rsidR="000A5329" w:rsidRPr="002029AF">
        <w:t xml:space="preserve"> </w:t>
      </w:r>
      <w:r w:rsidRPr="002029AF">
        <w:t>Branch</w:t>
      </w:r>
      <w:r w:rsidR="000A5329" w:rsidRPr="002029AF">
        <w:t xml:space="preserve"> </w:t>
      </w:r>
      <w:r w:rsidRPr="002029AF">
        <w:t>and</w:t>
      </w:r>
      <w:r w:rsidR="000A5329" w:rsidRPr="002029AF">
        <w:t xml:space="preserve"> </w:t>
      </w:r>
      <w:r w:rsidRPr="002029AF">
        <w:t>Child,</w:t>
      </w:r>
      <w:r w:rsidR="000A5329" w:rsidRPr="002029AF">
        <w:t xml:space="preserve"> </w:t>
      </w:r>
      <w:r w:rsidRPr="002029AF">
        <w:t>Family</w:t>
      </w:r>
      <w:r w:rsidR="000A5329" w:rsidRPr="002029AF">
        <w:t xml:space="preserve"> </w:t>
      </w:r>
      <w:r w:rsidRPr="002029AF">
        <w:t>and</w:t>
      </w:r>
      <w:r w:rsidR="000A5329" w:rsidRPr="002029AF">
        <w:t xml:space="preserve"> </w:t>
      </w:r>
      <w:r w:rsidRPr="002029AF">
        <w:t>Community</w:t>
      </w:r>
      <w:r w:rsidR="000A5329" w:rsidRPr="002029AF">
        <w:t xml:space="preserve"> </w:t>
      </w:r>
      <w:r w:rsidRPr="002029AF">
        <w:t>Health</w:t>
      </w:r>
      <w:r w:rsidR="000A5329" w:rsidRPr="002029AF">
        <w:t xml:space="preserve"> </w:t>
      </w:r>
      <w:r w:rsidRPr="002029AF">
        <w:t>Branch</w:t>
      </w:r>
      <w:r w:rsidR="000A5329" w:rsidRPr="002029AF">
        <w:t xml:space="preserve"> </w:t>
      </w:r>
      <w:r w:rsidRPr="002029AF">
        <w:t>and</w:t>
      </w:r>
      <w:r w:rsidR="000A5329" w:rsidRPr="002029AF">
        <w:t xml:space="preserve"> </w:t>
      </w:r>
      <w:r w:rsidRPr="002029AF">
        <w:t>the</w:t>
      </w:r>
      <w:r w:rsidR="000A5329" w:rsidRPr="002029AF">
        <w:t xml:space="preserve"> </w:t>
      </w:r>
      <w:r w:rsidRPr="002029AF">
        <w:t>Victorian</w:t>
      </w:r>
      <w:r w:rsidR="000A5329" w:rsidRPr="002029AF">
        <w:t xml:space="preserve"> </w:t>
      </w:r>
      <w:r w:rsidRPr="002029AF">
        <w:t>Health</w:t>
      </w:r>
      <w:r w:rsidR="000A5329" w:rsidRPr="002029AF">
        <w:t xml:space="preserve"> </w:t>
      </w:r>
      <w:r w:rsidRPr="002029AF">
        <w:t>and</w:t>
      </w:r>
      <w:r w:rsidR="000A5329" w:rsidRPr="002029AF">
        <w:t xml:space="preserve"> </w:t>
      </w:r>
      <w:r w:rsidRPr="002029AF">
        <w:t>Human</w:t>
      </w:r>
      <w:r w:rsidR="000A5329" w:rsidRPr="002029AF">
        <w:t xml:space="preserve"> </w:t>
      </w:r>
      <w:r w:rsidRPr="002029AF">
        <w:t>Services</w:t>
      </w:r>
      <w:r w:rsidR="000A5329" w:rsidRPr="002029AF">
        <w:t xml:space="preserve"> </w:t>
      </w:r>
      <w:r w:rsidRPr="002029AF">
        <w:t>Building</w:t>
      </w:r>
      <w:r w:rsidR="000A5329" w:rsidRPr="002029AF">
        <w:t xml:space="preserve"> </w:t>
      </w:r>
      <w:r w:rsidRPr="002029AF">
        <w:t>Authority</w:t>
      </w:r>
      <w:r w:rsidR="000A5329" w:rsidRPr="002029AF">
        <w:t xml:space="preserve"> </w:t>
      </w:r>
      <w:r w:rsidRPr="002029AF">
        <w:t>(VHHSBA)</w:t>
      </w:r>
    </w:p>
    <w:p w14:paraId="36102B68" w14:textId="6EA8D08F" w:rsidR="00262CBF" w:rsidRPr="002029AF" w:rsidRDefault="00262CBF" w:rsidP="00262CBF">
      <w:pPr>
        <w:pStyle w:val="ARbullet1"/>
      </w:pPr>
      <w:r w:rsidRPr="002029AF">
        <w:t>Completed</w:t>
      </w:r>
      <w:r w:rsidR="000A5329" w:rsidRPr="002029AF">
        <w:t xml:space="preserve"> </w:t>
      </w:r>
      <w:r w:rsidRPr="002029AF">
        <w:t>the</w:t>
      </w:r>
      <w:r w:rsidR="000A5329" w:rsidRPr="002029AF">
        <w:t xml:space="preserve"> </w:t>
      </w:r>
      <w:r w:rsidRPr="002029AF">
        <w:t>annual</w:t>
      </w:r>
      <w:r w:rsidR="000A5329" w:rsidRPr="002029AF">
        <w:t xml:space="preserve"> </w:t>
      </w:r>
      <w:r w:rsidRPr="002029AF">
        <w:t>Social</w:t>
      </w:r>
      <w:r w:rsidR="000A5329" w:rsidRPr="002029AF">
        <w:t xml:space="preserve"> </w:t>
      </w:r>
      <w:r w:rsidRPr="002029AF">
        <w:t>Procurement</w:t>
      </w:r>
      <w:r w:rsidR="000A5329" w:rsidRPr="002029AF">
        <w:t xml:space="preserve"> </w:t>
      </w:r>
      <w:r w:rsidRPr="002029AF">
        <w:br/>
        <w:t>Self-Assessment</w:t>
      </w:r>
    </w:p>
    <w:p w14:paraId="255E0628" w14:textId="27E45377" w:rsidR="00262CBF" w:rsidRPr="002029AF" w:rsidRDefault="00262CBF" w:rsidP="00262CBF">
      <w:pPr>
        <w:pStyle w:val="ARbullet1"/>
      </w:pPr>
      <w:r w:rsidRPr="002029AF">
        <w:t>Produced</w:t>
      </w:r>
      <w:r w:rsidR="000A5329" w:rsidRPr="002029AF">
        <w:t xml:space="preserve"> </w:t>
      </w:r>
      <w:r w:rsidRPr="002029AF">
        <w:t>and</w:t>
      </w:r>
      <w:r w:rsidR="000A5329" w:rsidRPr="002029AF">
        <w:t xml:space="preserve"> </w:t>
      </w:r>
      <w:r w:rsidRPr="002029AF">
        <w:t>updated</w:t>
      </w:r>
      <w:r w:rsidR="000A5329" w:rsidRPr="002029AF">
        <w:t xml:space="preserve"> </w:t>
      </w:r>
      <w:r w:rsidRPr="002029AF">
        <w:t>the</w:t>
      </w:r>
      <w:r w:rsidR="000A5329" w:rsidRPr="002029AF">
        <w:t xml:space="preserve"> </w:t>
      </w:r>
      <w:r w:rsidRPr="002029AF">
        <w:t>Social</w:t>
      </w:r>
      <w:r w:rsidR="000A5329" w:rsidRPr="002029AF">
        <w:t xml:space="preserve"> </w:t>
      </w:r>
      <w:r w:rsidRPr="002029AF">
        <w:t>Procurement</w:t>
      </w:r>
      <w:r w:rsidR="000A5329" w:rsidRPr="002029AF">
        <w:t xml:space="preserve"> </w:t>
      </w:r>
      <w:r w:rsidRPr="002029AF">
        <w:t>Strategy</w:t>
      </w:r>
      <w:r w:rsidR="000A5329" w:rsidRPr="002029AF">
        <w:t xml:space="preserve"> </w:t>
      </w:r>
      <w:r w:rsidRPr="002029AF">
        <w:t>Implementation</w:t>
      </w:r>
      <w:r w:rsidR="000A5329" w:rsidRPr="002029AF">
        <w:t xml:space="preserve"> </w:t>
      </w:r>
      <w:r w:rsidRPr="002029AF">
        <w:t>Plan</w:t>
      </w:r>
      <w:r w:rsidR="000A5329" w:rsidRPr="002029AF">
        <w:t xml:space="preserve"> </w:t>
      </w:r>
      <w:r w:rsidRPr="002029AF">
        <w:t>and</w:t>
      </w:r>
      <w:r w:rsidR="000A5329" w:rsidRPr="002029AF">
        <w:t xml:space="preserve"> </w:t>
      </w:r>
      <w:r w:rsidRPr="002029AF">
        <w:t>Record</w:t>
      </w:r>
    </w:p>
    <w:p w14:paraId="231EEA0D" w14:textId="47BAC8BD" w:rsidR="00262CBF" w:rsidRPr="002029AF" w:rsidRDefault="00262CBF" w:rsidP="00262CBF">
      <w:pPr>
        <w:pStyle w:val="ARbullet1"/>
      </w:pPr>
      <w:r w:rsidRPr="002029AF">
        <w:t>Facilitated</w:t>
      </w:r>
      <w:r w:rsidR="000A5329" w:rsidRPr="002029AF">
        <w:t xml:space="preserve"> </w:t>
      </w:r>
      <w:r w:rsidRPr="002029AF">
        <w:t>use</w:t>
      </w:r>
      <w:r w:rsidR="000A5329" w:rsidRPr="002029AF">
        <w:t xml:space="preserve"> </w:t>
      </w:r>
      <w:r w:rsidRPr="002029AF">
        <w:t>of</w:t>
      </w:r>
      <w:r w:rsidR="000A5329" w:rsidRPr="002029AF">
        <w:t xml:space="preserve"> </w:t>
      </w:r>
      <w:r w:rsidRPr="002029AF">
        <w:t>Local</w:t>
      </w:r>
      <w:r w:rsidR="000A5329" w:rsidRPr="002029AF">
        <w:t xml:space="preserve"> </w:t>
      </w:r>
      <w:r w:rsidRPr="002029AF">
        <w:t>Jobs</w:t>
      </w:r>
      <w:r w:rsidR="000A5329" w:rsidRPr="002029AF">
        <w:t xml:space="preserve"> </w:t>
      </w:r>
      <w:r w:rsidRPr="002029AF">
        <w:t>First</w:t>
      </w:r>
      <w:r w:rsidR="000A5329" w:rsidRPr="002029AF">
        <w:t xml:space="preserve"> </w:t>
      </w:r>
      <w:r w:rsidRPr="002029AF">
        <w:t>mandated</w:t>
      </w:r>
      <w:r w:rsidR="000A5329" w:rsidRPr="002029AF">
        <w:t xml:space="preserve"> </w:t>
      </w:r>
      <w:r w:rsidRPr="002029AF">
        <w:t>templates</w:t>
      </w:r>
      <w:r w:rsidR="000A5329" w:rsidRPr="002029AF">
        <w:t xml:space="preserve"> </w:t>
      </w:r>
      <w:r w:rsidRPr="002029AF">
        <w:t>and</w:t>
      </w:r>
      <w:r w:rsidR="000A5329" w:rsidRPr="002029AF">
        <w:t xml:space="preserve"> </w:t>
      </w:r>
      <w:r w:rsidRPr="002029AF">
        <w:t>processes</w:t>
      </w:r>
    </w:p>
    <w:p w14:paraId="7405AD11" w14:textId="7E942F66" w:rsidR="00262CBF" w:rsidRPr="002029AF" w:rsidRDefault="00262CBF" w:rsidP="00262CBF">
      <w:pPr>
        <w:pStyle w:val="ARbullet1"/>
      </w:pPr>
      <w:r w:rsidRPr="002029AF">
        <w:t>Developed</w:t>
      </w:r>
      <w:r w:rsidR="000A5329" w:rsidRPr="002029AF">
        <w:t xml:space="preserve"> </w:t>
      </w:r>
      <w:r w:rsidRPr="002029AF">
        <w:t>and</w:t>
      </w:r>
      <w:r w:rsidR="000A5329" w:rsidRPr="002029AF">
        <w:t xml:space="preserve"> </w:t>
      </w:r>
      <w:r w:rsidRPr="002029AF">
        <w:t>supported</w:t>
      </w:r>
      <w:r w:rsidR="000A5329" w:rsidRPr="002029AF">
        <w:t xml:space="preserve"> </w:t>
      </w:r>
      <w:r w:rsidRPr="002029AF">
        <w:t>internal</w:t>
      </w:r>
      <w:r w:rsidR="000A5329" w:rsidRPr="002029AF">
        <w:t xml:space="preserve"> </w:t>
      </w:r>
      <w:r w:rsidRPr="002029AF">
        <w:t>communications,</w:t>
      </w:r>
      <w:r w:rsidR="000A5329" w:rsidRPr="002029AF">
        <w:t xml:space="preserve"> </w:t>
      </w:r>
      <w:r w:rsidRPr="002029AF">
        <w:t>supplier</w:t>
      </w:r>
      <w:r w:rsidR="000A5329" w:rsidRPr="002029AF">
        <w:t xml:space="preserve"> </w:t>
      </w:r>
      <w:r w:rsidRPr="002029AF">
        <w:t>engagement,</w:t>
      </w:r>
      <w:r w:rsidR="000A5329" w:rsidRPr="002029AF">
        <w:t xml:space="preserve"> </w:t>
      </w:r>
      <w:r w:rsidRPr="002029AF">
        <w:t>staff</w:t>
      </w:r>
      <w:r w:rsidR="006F2C99" w:rsidRPr="002029AF">
        <w:t> </w:t>
      </w:r>
      <w:r w:rsidRPr="002029AF">
        <w:t>training</w:t>
      </w:r>
      <w:r w:rsidR="000A5329" w:rsidRPr="002029AF">
        <w:t xml:space="preserve"> </w:t>
      </w:r>
      <w:r w:rsidRPr="002029AF">
        <w:t>and</w:t>
      </w:r>
      <w:r w:rsidR="000A5329" w:rsidRPr="002029AF">
        <w:t xml:space="preserve"> </w:t>
      </w:r>
      <w:r w:rsidRPr="002029AF">
        <w:t>capability</w:t>
      </w:r>
      <w:r w:rsidR="000A5329" w:rsidRPr="002029AF">
        <w:t xml:space="preserve"> </w:t>
      </w:r>
      <w:r w:rsidRPr="002029AF">
        <w:t>development</w:t>
      </w:r>
    </w:p>
    <w:p w14:paraId="18CD55CC" w14:textId="4B62F7DD" w:rsidR="00262CBF" w:rsidRPr="002029AF" w:rsidRDefault="00262CBF" w:rsidP="00262CBF">
      <w:pPr>
        <w:pStyle w:val="ARbullet1"/>
      </w:pPr>
      <w:r w:rsidRPr="002029AF">
        <w:lastRenderedPageBreak/>
        <w:t>Facilitated</w:t>
      </w:r>
      <w:r w:rsidR="000A5329" w:rsidRPr="002029AF">
        <w:t xml:space="preserve"> </w:t>
      </w:r>
      <w:r w:rsidRPr="002029AF">
        <w:t>data</w:t>
      </w:r>
      <w:r w:rsidR="000A5329" w:rsidRPr="002029AF">
        <w:t xml:space="preserve"> </w:t>
      </w:r>
      <w:r w:rsidRPr="002029AF">
        <w:t>collection</w:t>
      </w:r>
      <w:r w:rsidR="000A5329" w:rsidRPr="002029AF">
        <w:t xml:space="preserve"> </w:t>
      </w:r>
      <w:r w:rsidRPr="002029AF">
        <w:t>and</w:t>
      </w:r>
      <w:r w:rsidR="000A5329" w:rsidRPr="002029AF">
        <w:t xml:space="preserve"> </w:t>
      </w:r>
      <w:r w:rsidRPr="002029AF">
        <w:t>reporting</w:t>
      </w:r>
    </w:p>
    <w:p w14:paraId="186126E3" w14:textId="02B486A0" w:rsidR="00262CBF" w:rsidRPr="002029AF" w:rsidRDefault="00262CBF" w:rsidP="00262CBF">
      <w:pPr>
        <w:pStyle w:val="ARbullet1"/>
      </w:pPr>
      <w:r w:rsidRPr="002029AF">
        <w:t>Maintained</w:t>
      </w:r>
      <w:r w:rsidR="000A5329" w:rsidRPr="002029AF">
        <w:t xml:space="preserve"> </w:t>
      </w:r>
      <w:r w:rsidRPr="002029AF">
        <w:t>current</w:t>
      </w:r>
      <w:r w:rsidR="000A5329" w:rsidRPr="002029AF">
        <w:t xml:space="preserve"> </w:t>
      </w:r>
      <w:r w:rsidRPr="002029AF">
        <w:t>procurement</w:t>
      </w:r>
      <w:r w:rsidR="000A5329" w:rsidRPr="002029AF">
        <w:t xml:space="preserve"> </w:t>
      </w:r>
      <w:r w:rsidRPr="002029AF">
        <w:t>policies,</w:t>
      </w:r>
      <w:r w:rsidR="000A5329" w:rsidRPr="002029AF">
        <w:t xml:space="preserve"> </w:t>
      </w:r>
      <w:r w:rsidRPr="002029AF">
        <w:t>processes,</w:t>
      </w:r>
      <w:r w:rsidR="000A5329" w:rsidRPr="002029AF">
        <w:t xml:space="preserve"> </w:t>
      </w:r>
      <w:r w:rsidRPr="002029AF">
        <w:t>templates</w:t>
      </w:r>
      <w:r w:rsidR="000A5329" w:rsidRPr="002029AF">
        <w:t xml:space="preserve"> </w:t>
      </w:r>
      <w:r w:rsidRPr="002029AF">
        <w:t>and</w:t>
      </w:r>
      <w:r w:rsidR="000A5329" w:rsidRPr="002029AF">
        <w:t xml:space="preserve"> </w:t>
      </w:r>
      <w:r w:rsidRPr="002029AF">
        <w:t>contracts</w:t>
      </w:r>
      <w:r w:rsidR="000A5329" w:rsidRPr="002029AF">
        <w:t xml:space="preserve"> </w:t>
      </w:r>
      <w:r w:rsidRPr="002029AF">
        <w:t>on</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intranet</w:t>
      </w:r>
      <w:r w:rsidR="000A5329" w:rsidRPr="002029AF">
        <w:t xml:space="preserve"> </w:t>
      </w:r>
      <w:r w:rsidRPr="002029AF">
        <w:t>to</w:t>
      </w:r>
      <w:r w:rsidR="000A5329" w:rsidRPr="002029AF">
        <w:t xml:space="preserve"> </w:t>
      </w:r>
      <w:r w:rsidRPr="002029AF">
        <w:t>support</w:t>
      </w:r>
      <w:r w:rsidR="000A5329" w:rsidRPr="002029AF">
        <w:t xml:space="preserve"> </w:t>
      </w:r>
      <w:r w:rsidRPr="002029AF">
        <w:t>social</w:t>
      </w:r>
      <w:r w:rsidR="000A5329" w:rsidRPr="002029AF">
        <w:t xml:space="preserve"> </w:t>
      </w:r>
      <w:r w:rsidRPr="002029AF">
        <w:t>procurement.</w:t>
      </w:r>
    </w:p>
    <w:p w14:paraId="6A9B6877" w14:textId="70F66405" w:rsidR="00CF72D5" w:rsidRPr="002029AF" w:rsidRDefault="009F655F" w:rsidP="00B95D52">
      <w:pPr>
        <w:pStyle w:val="Heading3"/>
        <w:spacing w:before="0"/>
      </w:pPr>
      <w:r w:rsidRPr="002029AF">
        <w:br w:type="column"/>
      </w:r>
      <w:r w:rsidR="00CF72D5" w:rsidRPr="002029AF">
        <w:t>Indirect</w:t>
      </w:r>
      <w:r w:rsidR="000A5329" w:rsidRPr="002029AF">
        <w:t xml:space="preserve"> </w:t>
      </w:r>
      <w:r w:rsidR="00CF72D5" w:rsidRPr="002029AF">
        <w:t>procurement</w:t>
      </w:r>
    </w:p>
    <w:p w14:paraId="248553FA" w14:textId="0CCAC5A9" w:rsidR="009F655F" w:rsidRPr="002029AF" w:rsidRDefault="00CF72D5" w:rsidP="00897193">
      <w:pPr>
        <w:pStyle w:val="ARbody"/>
      </w:pPr>
      <w:r w:rsidRPr="002029AF">
        <w:t>There</w:t>
      </w:r>
      <w:r w:rsidR="000A5329" w:rsidRPr="002029AF">
        <w:t xml:space="preserve"> </w:t>
      </w:r>
      <w:r w:rsidRPr="002029AF">
        <w:t>were</w:t>
      </w:r>
      <w:r w:rsidR="000A5329" w:rsidRPr="002029AF">
        <w:t xml:space="preserve"> </w:t>
      </w:r>
      <w:r w:rsidRPr="002029AF">
        <w:t>nine</w:t>
      </w:r>
      <w:r w:rsidR="000A5329" w:rsidRPr="002029AF">
        <w:t xml:space="preserve"> </w:t>
      </w:r>
      <w:r w:rsidRPr="002029AF">
        <w:t>suppliers</w:t>
      </w:r>
      <w:r w:rsidR="000A5329" w:rsidRPr="002029AF">
        <w:t xml:space="preserve"> </w:t>
      </w:r>
      <w:r w:rsidRPr="002029AF">
        <w:t>engaged</w:t>
      </w:r>
      <w:r w:rsidR="000A5329" w:rsidRPr="002029AF">
        <w:t xml:space="preserve"> </w:t>
      </w:r>
      <w:r w:rsidRPr="002029AF">
        <w:t>by</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during</w:t>
      </w:r>
      <w:r w:rsidR="000A5329" w:rsidRPr="002029AF">
        <w:t xml:space="preserve"> </w:t>
      </w:r>
      <w:r w:rsidRPr="002029AF">
        <w:t>the</w:t>
      </w:r>
      <w:r w:rsidR="000A5329" w:rsidRPr="002029AF">
        <w:t xml:space="preserve"> </w:t>
      </w:r>
      <w:r w:rsidRPr="002029AF">
        <w:t>reporting</w:t>
      </w:r>
      <w:r w:rsidR="000A5329" w:rsidRPr="002029AF">
        <w:t xml:space="preserve"> </w:t>
      </w:r>
      <w:r w:rsidRPr="002029AF">
        <w:t>period,</w:t>
      </w:r>
      <w:r w:rsidR="000A5329" w:rsidRPr="002029AF">
        <w:t xml:space="preserve"> </w:t>
      </w:r>
      <w:r w:rsidRPr="002029AF">
        <w:t>which</w:t>
      </w:r>
      <w:r w:rsidR="000A5329" w:rsidRPr="002029AF">
        <w:t xml:space="preserve"> </w:t>
      </w:r>
      <w:r w:rsidRPr="002029AF">
        <w:t>are</w:t>
      </w:r>
      <w:r w:rsidR="000A5329" w:rsidRPr="002029AF">
        <w:t xml:space="preserve"> </w:t>
      </w:r>
      <w:r w:rsidRPr="002029AF">
        <w:t>not</w:t>
      </w:r>
      <w:r w:rsidR="000A5329" w:rsidRPr="002029AF">
        <w:t xml:space="preserve"> </w:t>
      </w:r>
      <w:r w:rsidRPr="002029AF">
        <w:t>social</w:t>
      </w:r>
      <w:r w:rsidR="000A5329" w:rsidRPr="002029AF">
        <w:t xml:space="preserve"> </w:t>
      </w:r>
      <w:r w:rsidRPr="002029AF">
        <w:t>benefit</w:t>
      </w:r>
      <w:r w:rsidR="000A5329" w:rsidRPr="002029AF">
        <w:t xml:space="preserve"> </w:t>
      </w:r>
      <w:r w:rsidRPr="002029AF">
        <w:t>suppliers,</w:t>
      </w:r>
      <w:r w:rsidR="000A5329" w:rsidRPr="002029AF">
        <w:t xml:space="preserve"> </w:t>
      </w:r>
      <w:r w:rsidRPr="002029AF">
        <w:t>that</w:t>
      </w:r>
      <w:r w:rsidR="000A5329" w:rsidRPr="002029AF">
        <w:t xml:space="preserve"> </w:t>
      </w:r>
      <w:r w:rsidRPr="002029AF">
        <w:t>have</w:t>
      </w:r>
      <w:r w:rsidR="000A5329" w:rsidRPr="002029AF">
        <w:t xml:space="preserve"> </w:t>
      </w:r>
      <w:r w:rsidRPr="002029AF">
        <w:t>made</w:t>
      </w:r>
      <w:r w:rsidR="000A5329" w:rsidRPr="002029AF">
        <w:t xml:space="preserve"> </w:t>
      </w:r>
      <w:r w:rsidRPr="002029AF">
        <w:t>social</w:t>
      </w:r>
      <w:r w:rsidR="000A5329" w:rsidRPr="002029AF">
        <w:t xml:space="preserve"> </w:t>
      </w:r>
      <w:r w:rsidRPr="002029AF">
        <w:t>procurement</w:t>
      </w:r>
      <w:r w:rsidR="000A5329" w:rsidRPr="002029AF">
        <w:t xml:space="preserve"> </w:t>
      </w:r>
      <w:r w:rsidRPr="002029AF">
        <w:t>commitments</w:t>
      </w:r>
      <w:r w:rsidR="000A5329" w:rsidRPr="002029AF">
        <w:t xml:space="preserve"> </w:t>
      </w:r>
      <w:r w:rsidRPr="002029AF">
        <w:t>in</w:t>
      </w:r>
      <w:r w:rsidR="000A5329" w:rsidRPr="002029AF">
        <w:t xml:space="preserve"> </w:t>
      </w:r>
      <w:r w:rsidRPr="002029AF">
        <w:t>their</w:t>
      </w:r>
      <w:r w:rsidR="000A5329" w:rsidRPr="002029AF">
        <w:t xml:space="preserve"> </w:t>
      </w:r>
      <w:r w:rsidRPr="002029AF">
        <w:t>procurement</w:t>
      </w:r>
      <w:r w:rsidR="000A5329" w:rsidRPr="002029AF">
        <w:t xml:space="preserve"> </w:t>
      </w:r>
      <w:r w:rsidRPr="002029AF">
        <w:t>contracts.</w:t>
      </w:r>
    </w:p>
    <w:p w14:paraId="775D1873" w14:textId="77777777" w:rsidR="009F655F" w:rsidRPr="002029AF" w:rsidRDefault="009F655F" w:rsidP="002D3BED">
      <w:pPr>
        <w:pStyle w:val="Heading3"/>
        <w:sectPr w:rsidR="009F655F" w:rsidRPr="002029AF" w:rsidSect="009F655F">
          <w:endnotePr>
            <w:numFmt w:val="decimal"/>
          </w:endnotePr>
          <w:type w:val="continuous"/>
          <w:pgSz w:w="11900" w:h="16840" w:code="9"/>
          <w:pgMar w:top="1985" w:right="851" w:bottom="851" w:left="1418" w:header="510" w:footer="340" w:gutter="0"/>
          <w:cols w:num="2" w:space="454"/>
          <w:docGrid w:linePitch="326"/>
          <w15:footnoteColumns w:val="1"/>
        </w:sectPr>
      </w:pPr>
    </w:p>
    <w:p w14:paraId="28856CED" w14:textId="29F356FE" w:rsidR="002D3BED" w:rsidRPr="002029AF" w:rsidRDefault="002D3BED" w:rsidP="00816004">
      <w:pPr>
        <w:pStyle w:val="Heading3"/>
        <w:spacing w:before="300"/>
      </w:pPr>
      <w:r w:rsidRPr="002029AF">
        <w:t>Overall</w:t>
      </w:r>
      <w:r w:rsidR="000A5329" w:rsidRPr="002029AF">
        <w:t xml:space="preserve"> </w:t>
      </w:r>
      <w:r w:rsidRPr="002029AF">
        <w:t>social</w:t>
      </w:r>
      <w:r w:rsidR="000A5329" w:rsidRPr="002029AF">
        <w:t xml:space="preserve"> </w:t>
      </w:r>
      <w:r w:rsidRPr="002029AF">
        <w:t>procurement</w:t>
      </w:r>
      <w:r w:rsidR="000A5329" w:rsidRPr="002029AF">
        <w:t xml:space="preserve"> </w:t>
      </w:r>
      <w:r w:rsidRPr="002029AF">
        <w:t>activities</w:t>
      </w:r>
    </w:p>
    <w:tbl>
      <w:tblPr>
        <w:tblStyle w:val="TableGrid"/>
        <w:tblW w:w="5000" w:type="pct"/>
        <w:tblLook w:val="0620" w:firstRow="1" w:lastRow="0" w:firstColumn="0" w:lastColumn="0" w:noHBand="1" w:noVBand="1"/>
      </w:tblPr>
      <w:tblGrid>
        <w:gridCol w:w="4809"/>
        <w:gridCol w:w="4812"/>
      </w:tblGrid>
      <w:tr w:rsidR="00066FA3" w:rsidRPr="002029AF" w14:paraId="300DB75F" w14:textId="77777777" w:rsidTr="001E768A">
        <w:trPr>
          <w:cnfStyle w:val="100000000000" w:firstRow="1" w:lastRow="0" w:firstColumn="0" w:lastColumn="0" w:oddVBand="0" w:evenVBand="0" w:oddHBand="0" w:evenHBand="0" w:firstRowFirstColumn="0" w:firstRowLastColumn="0" w:lastRowFirstColumn="0" w:lastRowLastColumn="0"/>
          <w:tblHeader/>
        </w:trPr>
        <w:tc>
          <w:tcPr>
            <w:tcW w:w="2499" w:type="pct"/>
          </w:tcPr>
          <w:p w14:paraId="09C88B13" w14:textId="614EAA12" w:rsidR="00066FA3" w:rsidRPr="002029AF" w:rsidRDefault="00066FA3" w:rsidP="00860E95">
            <w:pPr>
              <w:pStyle w:val="ARtablecolheadright"/>
            </w:pPr>
            <w:r w:rsidRPr="002029AF">
              <w:t>Total</w:t>
            </w:r>
            <w:r w:rsidR="000A5329" w:rsidRPr="002029AF">
              <w:t xml:space="preserve"> </w:t>
            </w:r>
            <w:r w:rsidRPr="002029AF">
              <w:t>amount</w:t>
            </w:r>
            <w:r w:rsidR="000A5329" w:rsidRPr="002029AF">
              <w:t xml:space="preserve"> </w:t>
            </w:r>
            <w:r w:rsidRPr="002029AF">
              <w:t>spent</w:t>
            </w:r>
            <w:r w:rsidR="000A5329" w:rsidRPr="002029AF">
              <w:t xml:space="preserve"> </w:t>
            </w:r>
            <w:r w:rsidRPr="002029AF">
              <w:t>with</w:t>
            </w:r>
            <w:r w:rsidR="000A5329" w:rsidRPr="002029AF">
              <w:t xml:space="preserve"> </w:t>
            </w:r>
            <w:r w:rsidRPr="002029AF">
              <w:t>social</w:t>
            </w:r>
            <w:r w:rsidR="000A5329" w:rsidRPr="002029AF">
              <w:t xml:space="preserve"> </w:t>
            </w:r>
            <w:r w:rsidRPr="002029AF">
              <w:t>benefit</w:t>
            </w:r>
            <w:r w:rsidR="000A5329" w:rsidRPr="002029AF">
              <w:t xml:space="preserve"> </w:t>
            </w:r>
            <w:r w:rsidR="002D3BED" w:rsidRPr="002029AF">
              <w:br/>
            </w:r>
            <w:r w:rsidRPr="002029AF">
              <w:t>suppliers</w:t>
            </w:r>
            <w:r w:rsidR="000A5329" w:rsidRPr="002029AF">
              <w:t xml:space="preserve"> </w:t>
            </w:r>
            <w:r w:rsidRPr="002029AF">
              <w:t>during</w:t>
            </w:r>
            <w:r w:rsidR="000A5329" w:rsidRPr="002029AF">
              <w:t xml:space="preserve"> </w:t>
            </w:r>
            <w:r w:rsidRPr="002029AF">
              <w:t>the</w:t>
            </w:r>
            <w:r w:rsidR="000A5329" w:rsidRPr="002029AF">
              <w:t xml:space="preserve"> </w:t>
            </w:r>
            <w:r w:rsidRPr="002029AF">
              <w:t>reporting</w:t>
            </w:r>
            <w:r w:rsidR="000A5329" w:rsidRPr="002029AF">
              <w:t xml:space="preserve"> </w:t>
            </w:r>
            <w:r w:rsidRPr="002029AF">
              <w:t>period</w:t>
            </w:r>
          </w:p>
        </w:tc>
        <w:tc>
          <w:tcPr>
            <w:tcW w:w="2501" w:type="pct"/>
          </w:tcPr>
          <w:p w14:paraId="6D8C07A2" w14:textId="7B540591" w:rsidR="00066FA3" w:rsidRPr="002029AF" w:rsidRDefault="00066FA3" w:rsidP="00860E95">
            <w:pPr>
              <w:pStyle w:val="ARtablecolheadright"/>
            </w:pPr>
            <w:r w:rsidRPr="002029AF">
              <w:t>Number</w:t>
            </w:r>
            <w:r w:rsidR="000A5329" w:rsidRPr="002029AF">
              <w:t xml:space="preserve"> </w:t>
            </w:r>
            <w:r w:rsidRPr="002029AF">
              <w:t>of</w:t>
            </w:r>
            <w:r w:rsidR="000A5329" w:rsidRPr="002029AF">
              <w:t xml:space="preserve"> </w:t>
            </w:r>
            <w:r w:rsidRPr="002029AF">
              <w:t>social</w:t>
            </w:r>
            <w:r w:rsidR="000A5329" w:rsidRPr="002029AF">
              <w:t xml:space="preserve"> </w:t>
            </w:r>
            <w:r w:rsidRPr="002029AF">
              <w:t>benefit</w:t>
            </w:r>
            <w:r w:rsidR="000A5329" w:rsidRPr="002029AF">
              <w:t xml:space="preserve"> </w:t>
            </w:r>
            <w:r w:rsidRPr="002029AF">
              <w:t>suppliers</w:t>
            </w:r>
            <w:r w:rsidR="000A5329" w:rsidRPr="002029AF">
              <w:t xml:space="preserve"> </w:t>
            </w:r>
            <w:r w:rsidR="002D3BED" w:rsidRPr="002029AF">
              <w:br/>
            </w:r>
            <w:r w:rsidRPr="002029AF">
              <w:t>engaged</w:t>
            </w:r>
            <w:r w:rsidR="000A5329" w:rsidRPr="002029AF">
              <w:t xml:space="preserve"> </w:t>
            </w:r>
            <w:r w:rsidRPr="002029AF">
              <w:t>during</w:t>
            </w:r>
            <w:r w:rsidR="000A5329" w:rsidRPr="002029AF">
              <w:t xml:space="preserve"> </w:t>
            </w:r>
            <w:r w:rsidRPr="002029AF">
              <w:t>the</w:t>
            </w:r>
            <w:r w:rsidR="000A5329" w:rsidRPr="002029AF">
              <w:t xml:space="preserve"> </w:t>
            </w:r>
            <w:r w:rsidRPr="002029AF">
              <w:t>reporting</w:t>
            </w:r>
            <w:r w:rsidR="000A5329" w:rsidRPr="002029AF">
              <w:t xml:space="preserve"> </w:t>
            </w:r>
            <w:r w:rsidRPr="002029AF">
              <w:t>period</w:t>
            </w:r>
          </w:p>
        </w:tc>
      </w:tr>
      <w:tr w:rsidR="00066FA3" w:rsidRPr="002029AF" w14:paraId="3A7A35D9" w14:textId="77777777" w:rsidTr="001E768A">
        <w:tc>
          <w:tcPr>
            <w:tcW w:w="2499" w:type="pct"/>
          </w:tcPr>
          <w:p w14:paraId="194086DD" w14:textId="77777777" w:rsidR="00066FA3" w:rsidRPr="002029AF" w:rsidRDefault="00066FA3" w:rsidP="00860E95">
            <w:pPr>
              <w:pStyle w:val="ARtabletextright"/>
            </w:pPr>
            <w:r w:rsidRPr="002029AF">
              <w:t>$9,006,740</w:t>
            </w:r>
          </w:p>
        </w:tc>
        <w:tc>
          <w:tcPr>
            <w:tcW w:w="2501" w:type="pct"/>
          </w:tcPr>
          <w:p w14:paraId="5B828D79" w14:textId="77777777" w:rsidR="00066FA3" w:rsidRPr="002029AF" w:rsidRDefault="00066FA3" w:rsidP="00860E95">
            <w:pPr>
              <w:pStyle w:val="ARtabletextright"/>
            </w:pPr>
            <w:r w:rsidRPr="002029AF">
              <w:t>173</w:t>
            </w:r>
          </w:p>
        </w:tc>
      </w:tr>
    </w:tbl>
    <w:p w14:paraId="1404CDD7" w14:textId="126F88AF" w:rsidR="005E5CC1" w:rsidRPr="002029AF" w:rsidRDefault="005E5CC1" w:rsidP="001E768A">
      <w:pPr>
        <w:pStyle w:val="Heading3"/>
      </w:pPr>
      <w:r w:rsidRPr="002029AF">
        <w:t>Reporting</w:t>
      </w:r>
      <w:r w:rsidR="000A5329" w:rsidRPr="002029AF">
        <w:t xml:space="preserve"> </w:t>
      </w:r>
      <w:r w:rsidRPr="002029AF">
        <w:t>against</w:t>
      </w:r>
      <w:r w:rsidR="000A5329" w:rsidRPr="002029AF">
        <w:t xml:space="preserve"> </w:t>
      </w:r>
      <w:r w:rsidRPr="002029AF">
        <w:t>2019–20</w:t>
      </w:r>
      <w:r w:rsidR="000A5329" w:rsidRPr="002029AF">
        <w:t xml:space="preserve"> </w:t>
      </w:r>
      <w:r w:rsidRPr="002029AF">
        <w:t>specified</w:t>
      </w:r>
      <w:r w:rsidR="000A5329" w:rsidRPr="002029AF">
        <w:t xml:space="preserve"> </w:t>
      </w:r>
      <w:r w:rsidRPr="002029AF">
        <w:t>metrics</w:t>
      </w:r>
    </w:p>
    <w:tbl>
      <w:tblPr>
        <w:tblStyle w:val="TableGrid"/>
        <w:tblW w:w="9639" w:type="dxa"/>
        <w:tblLook w:val="04A0" w:firstRow="1" w:lastRow="0" w:firstColumn="1" w:lastColumn="0" w:noHBand="0" w:noVBand="1"/>
      </w:tblPr>
      <w:tblGrid>
        <w:gridCol w:w="2154"/>
        <w:gridCol w:w="3742"/>
        <w:gridCol w:w="3743"/>
      </w:tblGrid>
      <w:tr w:rsidR="005E5CC1" w:rsidRPr="002029AF" w14:paraId="771E59B2" w14:textId="77777777" w:rsidTr="006F2C99">
        <w:trPr>
          <w:cnfStyle w:val="100000000000" w:firstRow="1" w:lastRow="0" w:firstColumn="0" w:lastColumn="0" w:oddVBand="0" w:evenVBand="0" w:oddHBand="0" w:evenHBand="0" w:firstRowFirstColumn="0" w:firstRowLastColumn="0" w:lastRowFirstColumn="0" w:lastRowLastColumn="0"/>
          <w:tblHeader/>
        </w:trPr>
        <w:tc>
          <w:tcPr>
            <w:tcW w:w="2122" w:type="dxa"/>
          </w:tcPr>
          <w:p w14:paraId="17596449" w14:textId="3E6E5AC1" w:rsidR="005E5CC1" w:rsidRPr="002029AF" w:rsidRDefault="005E5CC1" w:rsidP="00C66321">
            <w:pPr>
              <w:pStyle w:val="ARtablecolhead"/>
              <w:spacing w:before="60"/>
            </w:pPr>
            <w:r w:rsidRPr="002029AF">
              <w:t>Social</w:t>
            </w:r>
            <w:r w:rsidR="000A5329" w:rsidRPr="002029AF">
              <w:t xml:space="preserve"> </w:t>
            </w:r>
            <w:r w:rsidRPr="002029AF">
              <w:t>procurement</w:t>
            </w:r>
            <w:r w:rsidR="000A5329" w:rsidRPr="002029AF">
              <w:t xml:space="preserve"> </w:t>
            </w:r>
            <w:r w:rsidRPr="002029AF">
              <w:t>framework</w:t>
            </w:r>
            <w:r w:rsidR="000A5329" w:rsidRPr="002029AF">
              <w:t xml:space="preserve"> </w:t>
            </w:r>
            <w:r w:rsidRPr="002029AF">
              <w:t>objective</w:t>
            </w:r>
          </w:p>
        </w:tc>
        <w:tc>
          <w:tcPr>
            <w:tcW w:w="3685" w:type="dxa"/>
          </w:tcPr>
          <w:p w14:paraId="5B68FA51" w14:textId="77777777" w:rsidR="005E5CC1" w:rsidRPr="002029AF" w:rsidRDefault="005E5CC1" w:rsidP="00C66321">
            <w:pPr>
              <w:pStyle w:val="ARtablecolhead"/>
              <w:spacing w:before="60"/>
            </w:pPr>
            <w:r w:rsidRPr="002029AF">
              <w:t>Outcome</w:t>
            </w:r>
          </w:p>
        </w:tc>
        <w:tc>
          <w:tcPr>
            <w:tcW w:w="3686" w:type="dxa"/>
          </w:tcPr>
          <w:p w14:paraId="6557DF4C" w14:textId="77777777" w:rsidR="005E5CC1" w:rsidRPr="002029AF" w:rsidRDefault="005E5CC1" w:rsidP="00C66321">
            <w:pPr>
              <w:pStyle w:val="ARtablecolhead"/>
              <w:spacing w:before="60"/>
            </w:pPr>
            <w:r w:rsidRPr="002029AF">
              <w:t>Metric</w:t>
            </w:r>
          </w:p>
        </w:tc>
      </w:tr>
      <w:tr w:rsidR="005E5CC1" w:rsidRPr="002029AF" w14:paraId="2EC67725" w14:textId="77777777" w:rsidTr="00860E95">
        <w:trPr>
          <w:cantSplit w:val="0"/>
        </w:trPr>
        <w:tc>
          <w:tcPr>
            <w:tcW w:w="2122" w:type="dxa"/>
          </w:tcPr>
          <w:p w14:paraId="626401DD" w14:textId="35BD41B3" w:rsidR="005E5CC1" w:rsidRPr="002029AF" w:rsidRDefault="005E5CC1" w:rsidP="00C66321">
            <w:pPr>
              <w:pStyle w:val="ARtabletext"/>
              <w:spacing w:before="60"/>
            </w:pPr>
            <w:r w:rsidRPr="002029AF">
              <w:t>Opportunities</w:t>
            </w:r>
            <w:r w:rsidR="000A5329" w:rsidRPr="002029AF">
              <w:t xml:space="preserve"> </w:t>
            </w:r>
            <w:r w:rsidRPr="002029AF">
              <w:t>for</w:t>
            </w:r>
            <w:r w:rsidR="000A5329" w:rsidRPr="002029AF">
              <w:t xml:space="preserve"> </w:t>
            </w:r>
            <w:r w:rsidRPr="002029AF">
              <w:t>Victorian</w:t>
            </w:r>
            <w:r w:rsidR="000A5329" w:rsidRPr="002029AF">
              <w:t xml:space="preserve"> </w:t>
            </w:r>
            <w:r w:rsidRPr="002029AF">
              <w:t>Aboriginal</w:t>
            </w:r>
            <w:r w:rsidR="000A5329" w:rsidRPr="002029AF">
              <w:t xml:space="preserve"> </w:t>
            </w:r>
            <w:r w:rsidRPr="002029AF">
              <w:t>people</w:t>
            </w:r>
          </w:p>
        </w:tc>
        <w:tc>
          <w:tcPr>
            <w:tcW w:w="3685" w:type="dxa"/>
          </w:tcPr>
          <w:p w14:paraId="31A87365" w14:textId="026AACF9" w:rsidR="005E5CC1" w:rsidRPr="002029AF" w:rsidRDefault="005E5CC1" w:rsidP="00C66321">
            <w:pPr>
              <w:pStyle w:val="ARtabletext"/>
              <w:spacing w:before="60"/>
            </w:pPr>
            <w:r w:rsidRPr="002029AF">
              <w:t>Purchasing</w:t>
            </w:r>
            <w:r w:rsidR="000A5329" w:rsidRPr="002029AF">
              <w:t xml:space="preserve"> </w:t>
            </w:r>
            <w:r w:rsidRPr="002029AF">
              <w:t>from</w:t>
            </w:r>
            <w:r w:rsidR="000A5329" w:rsidRPr="002029AF">
              <w:t xml:space="preserve"> </w:t>
            </w:r>
            <w:r w:rsidRPr="002029AF">
              <w:t>Victorian</w:t>
            </w:r>
            <w:r w:rsidR="000A5329" w:rsidRPr="002029AF">
              <w:t xml:space="preserve"> </w:t>
            </w:r>
            <w:r w:rsidRPr="002029AF">
              <w:t>Aboriginal</w:t>
            </w:r>
            <w:r w:rsidR="000A5329" w:rsidRPr="002029AF">
              <w:t xml:space="preserve"> </w:t>
            </w:r>
            <w:r w:rsidRPr="002029AF">
              <w:t>businesses</w:t>
            </w:r>
          </w:p>
        </w:tc>
        <w:tc>
          <w:tcPr>
            <w:tcW w:w="3686" w:type="dxa"/>
          </w:tcPr>
          <w:p w14:paraId="265FCA0D" w14:textId="746DB23B" w:rsidR="005E5CC1" w:rsidRPr="002029AF" w:rsidRDefault="005E5CC1" w:rsidP="00C66321">
            <w:pPr>
              <w:pStyle w:val="ARtablenumberalpha"/>
              <w:spacing w:before="60"/>
              <w:rPr>
                <w:lang w:val="en-AU"/>
              </w:rPr>
            </w:pPr>
            <w:r w:rsidRPr="002029AF">
              <w:rPr>
                <w:b/>
                <w:bCs/>
                <w:lang w:val="en-AU"/>
              </w:rPr>
              <w:t>$914,886</w:t>
            </w:r>
            <w:r w:rsidR="000A5329" w:rsidRPr="002029AF">
              <w:rPr>
                <w:lang w:val="en-AU"/>
              </w:rPr>
              <w:t xml:space="preserve"> </w:t>
            </w:r>
            <w:r w:rsidRPr="002029AF">
              <w:rPr>
                <w:lang w:val="en-AU"/>
              </w:rPr>
              <w:t>spent</w:t>
            </w:r>
            <w:r w:rsidR="000A5329" w:rsidRPr="002029AF">
              <w:rPr>
                <w:lang w:val="en-AU"/>
              </w:rPr>
              <w:t xml:space="preserve"> </w:t>
            </w:r>
            <w:r w:rsidRPr="002029AF">
              <w:rPr>
                <w:lang w:val="en-AU"/>
              </w:rPr>
              <w:t>with</w:t>
            </w:r>
            <w:r w:rsidR="000A5329" w:rsidRPr="002029AF">
              <w:rPr>
                <w:lang w:val="en-AU"/>
              </w:rPr>
              <w:t xml:space="preserve"> </w:t>
            </w:r>
            <w:r w:rsidRPr="002029AF">
              <w:rPr>
                <w:lang w:val="en-AU"/>
              </w:rPr>
              <w:t>Victorian</w:t>
            </w:r>
            <w:r w:rsidR="000A5329" w:rsidRPr="002029AF">
              <w:rPr>
                <w:lang w:val="en-AU"/>
              </w:rPr>
              <w:t xml:space="preserve"> </w:t>
            </w:r>
            <w:r w:rsidRPr="002029AF">
              <w:rPr>
                <w:lang w:val="en-AU"/>
              </w:rPr>
              <w:t>Aboriginal</w:t>
            </w:r>
            <w:bookmarkStart w:id="171" w:name="_Ref53242064"/>
            <w:r w:rsidR="00816004">
              <w:rPr>
                <w:rStyle w:val="FootnoteReference"/>
                <w:lang w:val="en-AU"/>
              </w:rPr>
              <w:footnoteReference w:id="21"/>
            </w:r>
            <w:bookmarkEnd w:id="171"/>
            <w:r w:rsidR="000A5329" w:rsidRPr="002029AF">
              <w:rPr>
                <w:lang w:val="en-AU"/>
              </w:rPr>
              <w:t xml:space="preserve"> </w:t>
            </w:r>
            <w:r w:rsidRPr="002029AF">
              <w:rPr>
                <w:lang w:val="en-AU"/>
              </w:rPr>
              <w:t>suppliers</w:t>
            </w:r>
          </w:p>
          <w:p w14:paraId="43D71ED4" w14:textId="7B77198D" w:rsidR="005E5CC1" w:rsidRPr="002029AF" w:rsidRDefault="005E5CC1" w:rsidP="00C66321">
            <w:pPr>
              <w:pStyle w:val="ARtablenumberalpha"/>
              <w:spacing w:before="60"/>
              <w:rPr>
                <w:lang w:val="en-AU"/>
              </w:rPr>
            </w:pPr>
            <w:r w:rsidRPr="002029AF">
              <w:rPr>
                <w:lang w:val="en-AU"/>
              </w:rPr>
              <w:t>50</w:t>
            </w:r>
            <w:r w:rsidR="000A5329" w:rsidRPr="002029AF">
              <w:rPr>
                <w:lang w:val="en-AU"/>
              </w:rPr>
              <w:t xml:space="preserve"> </w:t>
            </w:r>
            <w:r w:rsidRPr="002029AF">
              <w:rPr>
                <w:lang w:val="en-AU"/>
              </w:rPr>
              <w:t>Victorian</w:t>
            </w:r>
            <w:r w:rsidR="000A5329" w:rsidRPr="002029AF">
              <w:rPr>
                <w:lang w:val="en-AU"/>
              </w:rPr>
              <w:t xml:space="preserve"> </w:t>
            </w:r>
            <w:r w:rsidRPr="002029AF">
              <w:rPr>
                <w:lang w:val="en-AU"/>
              </w:rPr>
              <w:t>Aboriginal</w:t>
            </w:r>
            <w:r w:rsidR="000A5329" w:rsidRPr="002029AF">
              <w:rPr>
                <w:lang w:val="en-AU"/>
              </w:rPr>
              <w:t xml:space="preserve"> </w:t>
            </w:r>
            <w:r w:rsidRPr="002029AF">
              <w:rPr>
                <w:lang w:val="en-AU"/>
              </w:rPr>
              <w:t>suppliers</w:t>
            </w:r>
            <w:r w:rsidR="000A5329" w:rsidRPr="002029AF">
              <w:rPr>
                <w:lang w:val="en-AU"/>
              </w:rPr>
              <w:t xml:space="preserve"> </w:t>
            </w:r>
            <w:r w:rsidRPr="002029AF">
              <w:rPr>
                <w:lang w:val="en-AU"/>
              </w:rPr>
              <w:t>engaged.</w:t>
            </w:r>
          </w:p>
        </w:tc>
      </w:tr>
      <w:tr w:rsidR="005E5CC1" w:rsidRPr="002029AF" w14:paraId="1B75F3E0" w14:textId="77777777" w:rsidTr="00860E95">
        <w:trPr>
          <w:cantSplit w:val="0"/>
        </w:trPr>
        <w:tc>
          <w:tcPr>
            <w:tcW w:w="2122" w:type="dxa"/>
          </w:tcPr>
          <w:p w14:paraId="0ED58EE7" w14:textId="76F4E50A" w:rsidR="005E5CC1" w:rsidRPr="002029AF" w:rsidRDefault="005E5CC1" w:rsidP="00C66321">
            <w:pPr>
              <w:pStyle w:val="ARtabletext"/>
              <w:spacing w:before="60"/>
            </w:pPr>
            <w:r w:rsidRPr="002029AF">
              <w:t>Opportunities</w:t>
            </w:r>
            <w:r w:rsidR="000A5329" w:rsidRPr="002029AF">
              <w:t xml:space="preserve"> </w:t>
            </w:r>
            <w:r w:rsidRPr="002029AF">
              <w:t>for</w:t>
            </w:r>
            <w:r w:rsidR="000A5329" w:rsidRPr="002029AF">
              <w:t xml:space="preserve"> </w:t>
            </w:r>
            <w:r w:rsidRPr="002029AF">
              <w:t>Victorians</w:t>
            </w:r>
            <w:r w:rsidR="000A5329" w:rsidRPr="002029AF">
              <w:t xml:space="preserve"> </w:t>
            </w:r>
            <w:r w:rsidRPr="002029AF">
              <w:t>with</w:t>
            </w:r>
            <w:r w:rsidR="000A5329" w:rsidRPr="002029AF">
              <w:t xml:space="preserve"> </w:t>
            </w:r>
            <w:r w:rsidRPr="002029AF">
              <w:t>disability</w:t>
            </w:r>
          </w:p>
        </w:tc>
        <w:tc>
          <w:tcPr>
            <w:tcW w:w="3685" w:type="dxa"/>
          </w:tcPr>
          <w:p w14:paraId="31D7D9D5" w14:textId="77E3AA2C" w:rsidR="005E5CC1" w:rsidRPr="002029AF" w:rsidRDefault="005E5CC1" w:rsidP="00C66321">
            <w:pPr>
              <w:pStyle w:val="ARtabletext"/>
              <w:spacing w:before="60"/>
            </w:pPr>
            <w:r w:rsidRPr="002029AF">
              <w:t>Purchasing</w:t>
            </w:r>
            <w:r w:rsidR="000A5329" w:rsidRPr="002029AF">
              <w:t xml:space="preserve"> </w:t>
            </w:r>
            <w:r w:rsidRPr="002029AF">
              <w:t>from</w:t>
            </w:r>
            <w:r w:rsidR="000A5329" w:rsidRPr="002029AF">
              <w:t xml:space="preserve"> </w:t>
            </w:r>
            <w:r w:rsidRPr="002029AF">
              <w:t>Victorian</w:t>
            </w:r>
            <w:r w:rsidR="000A5329" w:rsidRPr="002029AF">
              <w:t xml:space="preserve"> </w:t>
            </w:r>
            <w:r w:rsidRPr="002029AF">
              <w:t>social</w:t>
            </w:r>
            <w:r w:rsidR="000A5329" w:rsidRPr="002029AF">
              <w:t xml:space="preserve"> </w:t>
            </w:r>
            <w:r w:rsidRPr="002029AF">
              <w:t>enterprises</w:t>
            </w:r>
            <w:r w:rsidR="000A5329" w:rsidRPr="002029AF">
              <w:t xml:space="preserve"> </w:t>
            </w:r>
            <w:r w:rsidRPr="002029AF">
              <w:t>and</w:t>
            </w:r>
            <w:r w:rsidR="000A5329" w:rsidRPr="002029AF">
              <w:t xml:space="preserve"> </w:t>
            </w:r>
            <w:r w:rsidRPr="002029AF">
              <w:t>Australian</w:t>
            </w:r>
            <w:r w:rsidR="000A5329" w:rsidRPr="002029AF">
              <w:t xml:space="preserve"> </w:t>
            </w:r>
            <w:r w:rsidRPr="002029AF">
              <w:t>disability</w:t>
            </w:r>
            <w:r w:rsidR="000A5329" w:rsidRPr="002029AF">
              <w:t xml:space="preserve"> </w:t>
            </w:r>
            <w:r w:rsidRPr="002029AF">
              <w:t>enterprises</w:t>
            </w:r>
          </w:p>
        </w:tc>
        <w:tc>
          <w:tcPr>
            <w:tcW w:w="3686" w:type="dxa"/>
          </w:tcPr>
          <w:p w14:paraId="40CC96C6" w14:textId="20F15097" w:rsidR="005E5CC1" w:rsidRPr="002029AF" w:rsidRDefault="005E5CC1" w:rsidP="00FF3CAB">
            <w:pPr>
              <w:pStyle w:val="ARtablenumberalpha"/>
              <w:numPr>
                <w:ilvl w:val="0"/>
                <w:numId w:val="36"/>
              </w:numPr>
              <w:spacing w:before="60"/>
              <w:rPr>
                <w:lang w:val="en-AU"/>
              </w:rPr>
            </w:pPr>
            <w:r w:rsidRPr="002029AF">
              <w:rPr>
                <w:b/>
                <w:bCs/>
                <w:lang w:val="en-AU"/>
              </w:rPr>
              <w:t>$1,669,599</w:t>
            </w:r>
            <w:r w:rsidR="000A5329" w:rsidRPr="002029AF">
              <w:rPr>
                <w:lang w:val="en-AU"/>
              </w:rPr>
              <w:t xml:space="preserve"> </w:t>
            </w:r>
            <w:r w:rsidRPr="002029AF">
              <w:rPr>
                <w:lang w:val="en-AU"/>
              </w:rPr>
              <w:t>spent</w:t>
            </w:r>
            <w:r w:rsidR="000A5329" w:rsidRPr="002029AF">
              <w:rPr>
                <w:lang w:val="en-AU"/>
              </w:rPr>
              <w:t xml:space="preserve"> </w:t>
            </w:r>
            <w:r w:rsidRPr="002029AF">
              <w:rPr>
                <w:lang w:val="en-AU"/>
              </w:rPr>
              <w:t>with</w:t>
            </w:r>
            <w:r w:rsidR="000A5329" w:rsidRPr="002029AF">
              <w:rPr>
                <w:lang w:val="en-AU"/>
              </w:rPr>
              <w:t xml:space="preserve"> </w:t>
            </w:r>
            <w:r w:rsidRPr="002029AF">
              <w:rPr>
                <w:lang w:val="en-AU"/>
              </w:rPr>
              <w:t>Victorian</w:t>
            </w:r>
            <w:r w:rsidR="000A5329" w:rsidRPr="002029AF">
              <w:rPr>
                <w:lang w:val="en-AU"/>
              </w:rPr>
              <w:t xml:space="preserve"> </w:t>
            </w:r>
            <w:r w:rsidRPr="002029AF">
              <w:rPr>
                <w:lang w:val="en-AU"/>
              </w:rPr>
              <w:t>social</w:t>
            </w:r>
            <w:r w:rsidR="000A5329" w:rsidRPr="002029AF">
              <w:rPr>
                <w:lang w:val="en-AU"/>
              </w:rPr>
              <w:t xml:space="preserve"> </w:t>
            </w:r>
            <w:r w:rsidRPr="002029AF">
              <w:rPr>
                <w:lang w:val="en-AU"/>
              </w:rPr>
              <w:t>enterprises</w:t>
            </w:r>
            <w:r w:rsidR="000A5329" w:rsidRPr="002029AF">
              <w:rPr>
                <w:lang w:val="en-AU"/>
              </w:rPr>
              <w:t xml:space="preserve"> </w:t>
            </w:r>
            <w:r w:rsidRPr="002029AF">
              <w:rPr>
                <w:lang w:val="en-AU"/>
              </w:rPr>
              <w:t>led</w:t>
            </w:r>
            <w:r w:rsidR="000A5329" w:rsidRPr="002029AF">
              <w:rPr>
                <w:lang w:val="en-AU"/>
              </w:rPr>
              <w:t xml:space="preserve"> </w:t>
            </w:r>
            <w:r w:rsidRPr="002029AF">
              <w:rPr>
                <w:lang w:val="en-AU"/>
              </w:rPr>
              <w:t>by</w:t>
            </w:r>
            <w:r w:rsidR="000A5329" w:rsidRPr="002029AF">
              <w:rPr>
                <w:lang w:val="en-AU"/>
              </w:rPr>
              <w:t xml:space="preserve"> </w:t>
            </w:r>
            <w:r w:rsidRPr="002029AF">
              <w:rPr>
                <w:lang w:val="en-AU"/>
              </w:rPr>
              <w:t>a</w:t>
            </w:r>
            <w:r w:rsidR="000A5329" w:rsidRPr="002029AF">
              <w:rPr>
                <w:lang w:val="en-AU"/>
              </w:rPr>
              <w:t xml:space="preserve"> </w:t>
            </w:r>
            <w:r w:rsidRPr="002029AF">
              <w:rPr>
                <w:lang w:val="en-AU"/>
              </w:rPr>
              <w:t>mission</w:t>
            </w:r>
            <w:r w:rsidR="000A5329" w:rsidRPr="002029AF">
              <w:rPr>
                <w:lang w:val="en-AU"/>
              </w:rPr>
              <w:t xml:space="preserve"> </w:t>
            </w:r>
            <w:r w:rsidRPr="002029AF">
              <w:rPr>
                <w:lang w:val="en-AU"/>
              </w:rPr>
              <w:t>for</w:t>
            </w:r>
            <w:r w:rsidR="000A5329" w:rsidRPr="002029AF">
              <w:rPr>
                <w:lang w:val="en-AU"/>
              </w:rPr>
              <w:t xml:space="preserve"> </w:t>
            </w:r>
            <w:r w:rsidRPr="002029AF">
              <w:rPr>
                <w:lang w:val="en-AU"/>
              </w:rPr>
              <w:t>people</w:t>
            </w:r>
            <w:r w:rsidR="000A5329" w:rsidRPr="002029AF">
              <w:rPr>
                <w:lang w:val="en-AU"/>
              </w:rPr>
              <w:t xml:space="preserve"> </w:t>
            </w:r>
            <w:r w:rsidRPr="002029AF">
              <w:rPr>
                <w:lang w:val="en-AU"/>
              </w:rPr>
              <w:t>with</w:t>
            </w:r>
            <w:r w:rsidR="000A5329" w:rsidRPr="002029AF">
              <w:rPr>
                <w:lang w:val="en-AU"/>
              </w:rPr>
              <w:t xml:space="preserve"> </w:t>
            </w:r>
            <w:r w:rsidRPr="002029AF">
              <w:rPr>
                <w:lang w:val="en-AU"/>
              </w:rPr>
              <w:t>disability</w:t>
            </w:r>
            <w:bookmarkStart w:id="172" w:name="_Ref53242173"/>
            <w:r w:rsidR="00C66321">
              <w:rPr>
                <w:rStyle w:val="FootnoteReference"/>
                <w:lang w:val="en-AU"/>
              </w:rPr>
              <w:footnoteReference w:id="22"/>
            </w:r>
            <w:bookmarkEnd w:id="172"/>
            <w:r w:rsidR="000A5329" w:rsidRPr="002029AF">
              <w:rPr>
                <w:lang w:val="en-AU"/>
              </w:rPr>
              <w:t xml:space="preserve"> </w:t>
            </w:r>
            <w:r w:rsidRPr="002029AF">
              <w:rPr>
                <w:lang w:val="en-AU"/>
              </w:rPr>
              <w:t>and</w:t>
            </w:r>
            <w:r w:rsidR="000A5329" w:rsidRPr="002029AF">
              <w:rPr>
                <w:lang w:val="en-AU"/>
              </w:rPr>
              <w:t xml:space="preserve"> </w:t>
            </w:r>
            <w:r w:rsidRPr="002029AF">
              <w:rPr>
                <w:lang w:val="en-AU"/>
              </w:rPr>
              <w:t>Australian</w:t>
            </w:r>
            <w:r w:rsidR="000A5329" w:rsidRPr="002029AF">
              <w:rPr>
                <w:lang w:val="en-AU"/>
              </w:rPr>
              <w:t xml:space="preserve"> </w:t>
            </w:r>
            <w:r w:rsidRPr="002029AF">
              <w:rPr>
                <w:lang w:val="en-AU"/>
              </w:rPr>
              <w:t>Disability</w:t>
            </w:r>
            <w:r w:rsidR="000A5329" w:rsidRPr="002029AF">
              <w:rPr>
                <w:lang w:val="en-AU"/>
              </w:rPr>
              <w:t xml:space="preserve"> </w:t>
            </w:r>
            <w:r w:rsidRPr="002029AF">
              <w:rPr>
                <w:lang w:val="en-AU"/>
              </w:rPr>
              <w:t>Enterprises</w:t>
            </w:r>
            <w:r w:rsidR="000A5329" w:rsidRPr="002029AF">
              <w:rPr>
                <w:lang w:val="en-AU"/>
              </w:rPr>
              <w:t xml:space="preserve"> </w:t>
            </w:r>
            <w:r w:rsidRPr="002029AF">
              <w:rPr>
                <w:lang w:val="en-AU"/>
              </w:rPr>
              <w:t>(ADEs)</w:t>
            </w:r>
          </w:p>
          <w:p w14:paraId="03C0EDF8" w14:textId="5877A3F0" w:rsidR="005E5CC1" w:rsidRPr="002029AF" w:rsidRDefault="005E5CC1" w:rsidP="00C66321">
            <w:pPr>
              <w:pStyle w:val="ARtablenumberalpha"/>
              <w:spacing w:before="60"/>
              <w:rPr>
                <w:lang w:val="en-AU"/>
              </w:rPr>
            </w:pPr>
            <w:r w:rsidRPr="002029AF">
              <w:rPr>
                <w:lang w:val="en-AU"/>
              </w:rPr>
              <w:t>37</w:t>
            </w:r>
            <w:r w:rsidR="000A5329" w:rsidRPr="002029AF">
              <w:rPr>
                <w:lang w:val="en-AU"/>
              </w:rPr>
              <w:t xml:space="preserve"> </w:t>
            </w:r>
            <w:r w:rsidRPr="002029AF">
              <w:rPr>
                <w:lang w:val="en-AU"/>
              </w:rPr>
              <w:t>Victorian</w:t>
            </w:r>
            <w:r w:rsidR="000A5329" w:rsidRPr="002029AF">
              <w:rPr>
                <w:lang w:val="en-AU"/>
              </w:rPr>
              <w:t xml:space="preserve"> </w:t>
            </w:r>
            <w:r w:rsidRPr="002029AF">
              <w:rPr>
                <w:lang w:val="en-AU"/>
              </w:rPr>
              <w:t>social</w:t>
            </w:r>
            <w:r w:rsidR="000A5329" w:rsidRPr="002029AF">
              <w:rPr>
                <w:lang w:val="en-AU"/>
              </w:rPr>
              <w:t xml:space="preserve"> </w:t>
            </w:r>
            <w:r w:rsidRPr="002029AF">
              <w:rPr>
                <w:lang w:val="en-AU"/>
              </w:rPr>
              <w:t>enterprises</w:t>
            </w:r>
            <w:r w:rsidR="000A5329" w:rsidRPr="002029AF">
              <w:rPr>
                <w:lang w:val="en-AU"/>
              </w:rPr>
              <w:t xml:space="preserve"> </w:t>
            </w:r>
            <w:r w:rsidRPr="002029AF">
              <w:rPr>
                <w:lang w:val="en-AU"/>
              </w:rPr>
              <w:t>led</w:t>
            </w:r>
            <w:r w:rsidR="000A5329" w:rsidRPr="002029AF">
              <w:rPr>
                <w:lang w:val="en-AU"/>
              </w:rPr>
              <w:t xml:space="preserve"> </w:t>
            </w:r>
            <w:r w:rsidRPr="002029AF">
              <w:rPr>
                <w:lang w:val="en-AU"/>
              </w:rPr>
              <w:t>by</w:t>
            </w:r>
            <w:r w:rsidR="000A5329" w:rsidRPr="002029AF">
              <w:rPr>
                <w:lang w:val="en-AU"/>
              </w:rPr>
              <w:t xml:space="preserve"> </w:t>
            </w:r>
            <w:r w:rsidRPr="002029AF">
              <w:rPr>
                <w:lang w:val="en-AU"/>
              </w:rPr>
              <w:t>a</w:t>
            </w:r>
            <w:r w:rsidR="000A5329" w:rsidRPr="002029AF">
              <w:rPr>
                <w:lang w:val="en-AU"/>
              </w:rPr>
              <w:t xml:space="preserve"> </w:t>
            </w:r>
            <w:r w:rsidRPr="002029AF">
              <w:rPr>
                <w:lang w:val="en-AU"/>
              </w:rPr>
              <w:t>mission</w:t>
            </w:r>
            <w:r w:rsidR="000A5329" w:rsidRPr="002029AF">
              <w:rPr>
                <w:lang w:val="en-AU"/>
              </w:rPr>
              <w:t xml:space="preserve"> </w:t>
            </w:r>
            <w:r w:rsidRPr="002029AF">
              <w:rPr>
                <w:lang w:val="en-AU"/>
              </w:rPr>
              <w:t>for</w:t>
            </w:r>
            <w:r w:rsidR="000A5329" w:rsidRPr="002029AF">
              <w:rPr>
                <w:lang w:val="en-AU"/>
              </w:rPr>
              <w:t xml:space="preserve"> </w:t>
            </w:r>
            <w:r w:rsidRPr="002029AF">
              <w:rPr>
                <w:lang w:val="en-AU"/>
              </w:rPr>
              <w:t>people</w:t>
            </w:r>
            <w:r w:rsidR="000A5329" w:rsidRPr="002029AF">
              <w:rPr>
                <w:lang w:val="en-AU"/>
              </w:rPr>
              <w:t xml:space="preserve"> </w:t>
            </w:r>
            <w:r w:rsidRPr="002029AF">
              <w:rPr>
                <w:lang w:val="en-AU"/>
              </w:rPr>
              <w:t>with</w:t>
            </w:r>
            <w:r w:rsidR="000A5329" w:rsidRPr="002029AF">
              <w:rPr>
                <w:lang w:val="en-AU"/>
              </w:rPr>
              <w:t xml:space="preserve"> </w:t>
            </w:r>
            <w:r w:rsidRPr="002029AF">
              <w:rPr>
                <w:lang w:val="en-AU"/>
              </w:rPr>
              <w:t>disability</w:t>
            </w:r>
            <w:r w:rsidR="000A5329" w:rsidRPr="002029AF">
              <w:rPr>
                <w:lang w:val="en-AU"/>
              </w:rPr>
              <w:t xml:space="preserve"> </w:t>
            </w:r>
            <w:r w:rsidRPr="002029AF">
              <w:rPr>
                <w:lang w:val="en-AU"/>
              </w:rPr>
              <w:t>and</w:t>
            </w:r>
            <w:r w:rsidR="000A5329" w:rsidRPr="002029AF">
              <w:rPr>
                <w:lang w:val="en-AU"/>
              </w:rPr>
              <w:t xml:space="preserve"> </w:t>
            </w:r>
            <w:r w:rsidRPr="002029AF">
              <w:rPr>
                <w:lang w:val="en-AU"/>
              </w:rPr>
              <w:t>Australian</w:t>
            </w:r>
            <w:r w:rsidR="000A5329" w:rsidRPr="002029AF">
              <w:rPr>
                <w:lang w:val="en-AU"/>
              </w:rPr>
              <w:t xml:space="preserve"> </w:t>
            </w:r>
            <w:r w:rsidRPr="002029AF">
              <w:rPr>
                <w:lang w:val="en-AU"/>
              </w:rPr>
              <w:t>Disability</w:t>
            </w:r>
            <w:r w:rsidR="000A5329" w:rsidRPr="002029AF">
              <w:rPr>
                <w:lang w:val="en-AU"/>
              </w:rPr>
              <w:t xml:space="preserve"> </w:t>
            </w:r>
            <w:r w:rsidRPr="002029AF">
              <w:rPr>
                <w:lang w:val="en-AU"/>
              </w:rPr>
              <w:t>Enterprises</w:t>
            </w:r>
            <w:r w:rsidR="000A5329" w:rsidRPr="002029AF">
              <w:rPr>
                <w:lang w:val="en-AU"/>
              </w:rPr>
              <w:t xml:space="preserve"> </w:t>
            </w:r>
            <w:r w:rsidRPr="002029AF">
              <w:rPr>
                <w:lang w:val="en-AU"/>
              </w:rPr>
              <w:t>engaged.</w:t>
            </w:r>
          </w:p>
        </w:tc>
      </w:tr>
      <w:tr w:rsidR="005E5CC1" w:rsidRPr="002029AF" w14:paraId="67C6BD07" w14:textId="77777777" w:rsidTr="00860E95">
        <w:trPr>
          <w:cantSplit w:val="0"/>
        </w:trPr>
        <w:tc>
          <w:tcPr>
            <w:tcW w:w="2122" w:type="dxa"/>
          </w:tcPr>
          <w:p w14:paraId="1719955F" w14:textId="3AB81B3F" w:rsidR="005E5CC1" w:rsidRPr="002029AF" w:rsidRDefault="005E5CC1" w:rsidP="00C66321">
            <w:pPr>
              <w:pStyle w:val="ARtabletext"/>
              <w:spacing w:before="60"/>
            </w:pPr>
            <w:r w:rsidRPr="002029AF">
              <w:t>Opportunities</w:t>
            </w:r>
            <w:r w:rsidR="000A5329" w:rsidRPr="002029AF">
              <w:t xml:space="preserve"> </w:t>
            </w:r>
            <w:r w:rsidRPr="002029AF">
              <w:t>for</w:t>
            </w:r>
            <w:r w:rsidR="000A5329" w:rsidRPr="002029AF">
              <w:t xml:space="preserve"> </w:t>
            </w:r>
            <w:r w:rsidRPr="002029AF">
              <w:t>disadvantaged</w:t>
            </w:r>
            <w:r w:rsidR="000A5329" w:rsidRPr="002029AF">
              <w:t xml:space="preserve"> </w:t>
            </w:r>
            <w:r w:rsidRPr="002029AF">
              <w:t>Victorians</w:t>
            </w:r>
          </w:p>
        </w:tc>
        <w:tc>
          <w:tcPr>
            <w:tcW w:w="3685" w:type="dxa"/>
          </w:tcPr>
          <w:p w14:paraId="4B840B71" w14:textId="5A4710B3" w:rsidR="005E5CC1" w:rsidRPr="002029AF" w:rsidRDefault="005E5CC1" w:rsidP="00C66321">
            <w:pPr>
              <w:pStyle w:val="ARtabletext"/>
              <w:spacing w:before="60"/>
            </w:pPr>
            <w:r w:rsidRPr="002029AF">
              <w:t>Purchasing</w:t>
            </w:r>
            <w:r w:rsidR="000A5329" w:rsidRPr="002029AF">
              <w:t xml:space="preserve"> </w:t>
            </w:r>
            <w:r w:rsidRPr="002029AF">
              <w:t>from</w:t>
            </w:r>
            <w:r w:rsidR="000A5329" w:rsidRPr="002029AF">
              <w:t xml:space="preserve"> </w:t>
            </w:r>
            <w:r w:rsidRPr="002029AF">
              <w:t>Victorian</w:t>
            </w:r>
            <w:r w:rsidR="000A5329" w:rsidRPr="002029AF">
              <w:t xml:space="preserve"> </w:t>
            </w:r>
            <w:r w:rsidRPr="002029AF">
              <w:t>social</w:t>
            </w:r>
            <w:r w:rsidR="000A5329" w:rsidRPr="002029AF">
              <w:t xml:space="preserve"> </w:t>
            </w:r>
            <w:r w:rsidRPr="002029AF">
              <w:t>enterprises</w:t>
            </w:r>
            <w:r w:rsidR="000A5329" w:rsidRPr="002029AF">
              <w:t xml:space="preserve"> </w:t>
            </w:r>
            <w:r w:rsidRPr="002029AF">
              <w:t>providing</w:t>
            </w:r>
            <w:r w:rsidR="000A5329" w:rsidRPr="002029AF">
              <w:t xml:space="preserve"> </w:t>
            </w:r>
            <w:r w:rsidRPr="002029AF">
              <w:t>job</w:t>
            </w:r>
            <w:r w:rsidR="000A5329" w:rsidRPr="002029AF">
              <w:t xml:space="preserve"> </w:t>
            </w:r>
            <w:r w:rsidRPr="002029AF">
              <w:t>readiness</w:t>
            </w:r>
            <w:r w:rsidR="000A5329" w:rsidRPr="002029AF">
              <w:t xml:space="preserve"> </w:t>
            </w:r>
            <w:r w:rsidRPr="002029AF">
              <w:t>and</w:t>
            </w:r>
            <w:r w:rsidR="000A5329" w:rsidRPr="002029AF">
              <w:t xml:space="preserve"> </w:t>
            </w:r>
            <w:r w:rsidRPr="002029AF">
              <w:t>employment</w:t>
            </w:r>
            <w:r w:rsidR="000A5329" w:rsidRPr="002029AF">
              <w:t xml:space="preserve"> </w:t>
            </w:r>
            <w:r w:rsidRPr="002029AF">
              <w:t>for</w:t>
            </w:r>
            <w:r w:rsidR="000A5329" w:rsidRPr="002029AF">
              <w:t xml:space="preserve"> </w:t>
            </w:r>
            <w:r w:rsidRPr="002029AF">
              <w:t>one</w:t>
            </w:r>
            <w:r w:rsidR="000A5329" w:rsidRPr="002029AF">
              <w:t xml:space="preserve"> </w:t>
            </w:r>
            <w:r w:rsidRPr="002029AF">
              <w:t>of</w:t>
            </w:r>
            <w:r w:rsidR="000A5329" w:rsidRPr="002029AF">
              <w:t xml:space="preserve"> </w:t>
            </w:r>
            <w:r w:rsidRPr="002029AF">
              <w:t>the</w:t>
            </w:r>
            <w:r w:rsidR="000A5329" w:rsidRPr="002029AF">
              <w:t xml:space="preserve"> </w:t>
            </w:r>
            <w:r w:rsidRPr="002029AF">
              <w:t>following:</w:t>
            </w:r>
          </w:p>
          <w:p w14:paraId="23B7D527" w14:textId="1D04C3FA" w:rsidR="005E5CC1" w:rsidRPr="002029AF" w:rsidRDefault="005E5CC1" w:rsidP="00FF3CAB">
            <w:pPr>
              <w:pStyle w:val="ARtablenumberalpha"/>
              <w:numPr>
                <w:ilvl w:val="0"/>
                <w:numId w:val="38"/>
              </w:numPr>
              <w:spacing w:before="60"/>
              <w:rPr>
                <w:lang w:val="en-AU"/>
              </w:rPr>
            </w:pPr>
            <w:r w:rsidRPr="002029AF">
              <w:rPr>
                <w:lang w:val="en-AU"/>
              </w:rPr>
              <w:t>long-term</w:t>
            </w:r>
            <w:r w:rsidR="000A5329" w:rsidRPr="002029AF">
              <w:rPr>
                <w:lang w:val="en-AU"/>
              </w:rPr>
              <w:t xml:space="preserve"> </w:t>
            </w:r>
            <w:r w:rsidRPr="002029AF">
              <w:rPr>
                <w:lang w:val="en-AU"/>
              </w:rPr>
              <w:t>unemployed</w:t>
            </w:r>
            <w:r w:rsidR="000A5329" w:rsidRPr="002029AF">
              <w:rPr>
                <w:lang w:val="en-AU"/>
              </w:rPr>
              <w:t xml:space="preserve"> </w:t>
            </w:r>
            <w:r w:rsidRPr="002029AF">
              <w:rPr>
                <w:lang w:val="en-AU"/>
              </w:rPr>
              <w:t>people</w:t>
            </w:r>
          </w:p>
          <w:p w14:paraId="5E79109C" w14:textId="38D14BD1" w:rsidR="005E5CC1" w:rsidRPr="002029AF" w:rsidRDefault="005E5CC1" w:rsidP="00C66321">
            <w:pPr>
              <w:pStyle w:val="ARtablenumberalpha"/>
              <w:spacing w:before="60"/>
              <w:rPr>
                <w:lang w:val="en-AU"/>
              </w:rPr>
            </w:pPr>
            <w:r w:rsidRPr="002029AF">
              <w:rPr>
                <w:lang w:val="en-AU"/>
              </w:rPr>
              <w:t>disengaged</w:t>
            </w:r>
            <w:r w:rsidR="000A5329" w:rsidRPr="002029AF">
              <w:rPr>
                <w:lang w:val="en-AU"/>
              </w:rPr>
              <w:t xml:space="preserve"> </w:t>
            </w:r>
            <w:r w:rsidRPr="002029AF">
              <w:rPr>
                <w:lang w:val="en-AU"/>
              </w:rPr>
              <w:t>youth</w:t>
            </w:r>
          </w:p>
          <w:p w14:paraId="657F0989" w14:textId="1C174C3A" w:rsidR="005E5CC1" w:rsidRPr="002029AF" w:rsidRDefault="005E5CC1" w:rsidP="00C66321">
            <w:pPr>
              <w:pStyle w:val="ARtablenumberalpha"/>
              <w:spacing w:before="60"/>
              <w:rPr>
                <w:lang w:val="en-AU"/>
              </w:rPr>
            </w:pPr>
            <w:r w:rsidRPr="002029AF">
              <w:rPr>
                <w:lang w:val="en-AU"/>
              </w:rPr>
              <w:t>single</w:t>
            </w:r>
            <w:r w:rsidR="000A5329" w:rsidRPr="002029AF">
              <w:rPr>
                <w:lang w:val="en-AU"/>
              </w:rPr>
              <w:t xml:space="preserve"> </w:t>
            </w:r>
            <w:r w:rsidRPr="002029AF">
              <w:rPr>
                <w:lang w:val="en-AU"/>
              </w:rPr>
              <w:t>parents</w:t>
            </w:r>
          </w:p>
          <w:p w14:paraId="559DB6F1" w14:textId="77777777" w:rsidR="005E5CC1" w:rsidRPr="002029AF" w:rsidRDefault="005E5CC1" w:rsidP="00C66321">
            <w:pPr>
              <w:pStyle w:val="ARtablenumberalpha"/>
              <w:spacing w:before="60"/>
              <w:rPr>
                <w:lang w:val="en-AU"/>
              </w:rPr>
            </w:pPr>
            <w:r w:rsidRPr="002029AF">
              <w:rPr>
                <w:lang w:val="en-AU"/>
              </w:rPr>
              <w:t>migrants</w:t>
            </w:r>
          </w:p>
          <w:p w14:paraId="1E802427" w14:textId="69F91D8E" w:rsidR="005E5CC1" w:rsidRPr="002029AF" w:rsidRDefault="005E5CC1" w:rsidP="00C66321">
            <w:pPr>
              <w:pStyle w:val="ARtablenumberalpha"/>
              <w:spacing w:before="60"/>
              <w:rPr>
                <w:lang w:val="en-AU"/>
              </w:rPr>
            </w:pPr>
            <w:r w:rsidRPr="002029AF">
              <w:rPr>
                <w:lang w:val="en-AU"/>
              </w:rPr>
              <w:t>refugees</w:t>
            </w:r>
            <w:r w:rsidR="000A5329" w:rsidRPr="002029AF">
              <w:rPr>
                <w:lang w:val="en-AU"/>
              </w:rPr>
              <w:t xml:space="preserve"> </w:t>
            </w:r>
            <w:r w:rsidRPr="002029AF">
              <w:rPr>
                <w:lang w:val="en-AU"/>
              </w:rPr>
              <w:t>and</w:t>
            </w:r>
            <w:r w:rsidR="000A5329" w:rsidRPr="002029AF">
              <w:rPr>
                <w:lang w:val="en-AU"/>
              </w:rPr>
              <w:t xml:space="preserve"> </w:t>
            </w:r>
            <w:r w:rsidRPr="002029AF">
              <w:rPr>
                <w:lang w:val="en-AU"/>
              </w:rPr>
              <w:t>asylum</w:t>
            </w:r>
            <w:r w:rsidR="000A5329" w:rsidRPr="002029AF">
              <w:rPr>
                <w:lang w:val="en-AU"/>
              </w:rPr>
              <w:t xml:space="preserve"> </w:t>
            </w:r>
            <w:r w:rsidRPr="002029AF">
              <w:rPr>
                <w:lang w:val="en-AU"/>
              </w:rPr>
              <w:t>seekers</w:t>
            </w:r>
          </w:p>
          <w:p w14:paraId="34F7B586" w14:textId="4CBF91C7" w:rsidR="005E5CC1" w:rsidRPr="002029AF" w:rsidRDefault="005E5CC1" w:rsidP="00C66321">
            <w:pPr>
              <w:pStyle w:val="ARtablenumberalpha"/>
              <w:spacing w:before="60"/>
              <w:rPr>
                <w:lang w:val="en-AU"/>
              </w:rPr>
            </w:pPr>
            <w:r w:rsidRPr="002029AF">
              <w:rPr>
                <w:lang w:val="en-AU"/>
              </w:rPr>
              <w:t>workers</w:t>
            </w:r>
            <w:r w:rsidR="000A5329" w:rsidRPr="002029AF">
              <w:rPr>
                <w:lang w:val="en-AU"/>
              </w:rPr>
              <w:t xml:space="preserve"> </w:t>
            </w:r>
            <w:r w:rsidRPr="002029AF">
              <w:rPr>
                <w:lang w:val="en-AU"/>
              </w:rPr>
              <w:t>in</w:t>
            </w:r>
            <w:r w:rsidR="000A5329" w:rsidRPr="002029AF">
              <w:rPr>
                <w:lang w:val="en-AU"/>
              </w:rPr>
              <w:t xml:space="preserve"> </w:t>
            </w:r>
            <w:r w:rsidRPr="002029AF">
              <w:rPr>
                <w:lang w:val="en-AU"/>
              </w:rPr>
              <w:t>transition</w:t>
            </w:r>
          </w:p>
        </w:tc>
        <w:tc>
          <w:tcPr>
            <w:tcW w:w="3686" w:type="dxa"/>
          </w:tcPr>
          <w:p w14:paraId="1DFBA8DA" w14:textId="24F3F364" w:rsidR="005E5CC1" w:rsidRPr="002029AF" w:rsidRDefault="005E5CC1" w:rsidP="00FF3CAB">
            <w:pPr>
              <w:pStyle w:val="ARtablenumberalpha"/>
              <w:numPr>
                <w:ilvl w:val="0"/>
                <w:numId w:val="37"/>
              </w:numPr>
              <w:spacing w:before="60"/>
              <w:rPr>
                <w:lang w:val="en-AU"/>
              </w:rPr>
            </w:pPr>
            <w:r w:rsidRPr="002029AF">
              <w:rPr>
                <w:b/>
                <w:bCs/>
                <w:lang w:val="en-AU"/>
              </w:rPr>
              <w:t>$1,806,150</w:t>
            </w:r>
            <w:r w:rsidR="000A5329" w:rsidRPr="002029AF">
              <w:rPr>
                <w:b/>
                <w:bCs/>
                <w:lang w:val="en-AU"/>
              </w:rPr>
              <w:t xml:space="preserve"> </w:t>
            </w:r>
            <w:r w:rsidRPr="002029AF">
              <w:rPr>
                <w:lang w:val="en-AU"/>
              </w:rPr>
              <w:t>spent</w:t>
            </w:r>
            <w:r w:rsidR="000A5329" w:rsidRPr="002029AF">
              <w:rPr>
                <w:lang w:val="en-AU"/>
              </w:rPr>
              <w:t xml:space="preserve"> </w:t>
            </w:r>
            <w:r w:rsidRPr="002029AF">
              <w:rPr>
                <w:lang w:val="en-AU"/>
              </w:rPr>
              <w:t>with</w:t>
            </w:r>
            <w:r w:rsidR="000A5329" w:rsidRPr="002029AF">
              <w:rPr>
                <w:lang w:val="en-AU"/>
              </w:rPr>
              <w:t xml:space="preserve"> </w:t>
            </w:r>
            <w:r w:rsidRPr="002029AF">
              <w:rPr>
                <w:lang w:val="en-AU"/>
              </w:rPr>
              <w:t>Victorian</w:t>
            </w:r>
            <w:r w:rsidR="000A5329" w:rsidRPr="002029AF">
              <w:rPr>
                <w:lang w:val="en-AU"/>
              </w:rPr>
              <w:t xml:space="preserve"> </w:t>
            </w:r>
            <w:r w:rsidRPr="002029AF">
              <w:rPr>
                <w:lang w:val="en-AU"/>
              </w:rPr>
              <w:t>social</w:t>
            </w:r>
            <w:r w:rsidR="000A5329" w:rsidRPr="002029AF">
              <w:rPr>
                <w:lang w:val="en-AU"/>
              </w:rPr>
              <w:t xml:space="preserve"> </w:t>
            </w:r>
            <w:r w:rsidRPr="002029AF">
              <w:rPr>
                <w:lang w:val="en-AU"/>
              </w:rPr>
              <w:t>enterprises</w:t>
            </w:r>
            <w:r w:rsidR="000A5329" w:rsidRPr="002029AF">
              <w:rPr>
                <w:lang w:val="en-AU"/>
              </w:rPr>
              <w:t xml:space="preserve"> </w:t>
            </w:r>
            <w:r w:rsidRPr="002029AF">
              <w:rPr>
                <w:lang w:val="en-AU"/>
              </w:rPr>
              <w:t>led</w:t>
            </w:r>
            <w:r w:rsidR="000A5329" w:rsidRPr="002029AF">
              <w:rPr>
                <w:lang w:val="en-AU"/>
              </w:rPr>
              <w:t xml:space="preserve"> </w:t>
            </w:r>
            <w:r w:rsidRPr="002029AF">
              <w:rPr>
                <w:lang w:val="en-AU"/>
              </w:rPr>
              <w:t>by</w:t>
            </w:r>
            <w:r w:rsidR="000A5329" w:rsidRPr="002029AF">
              <w:rPr>
                <w:lang w:val="en-AU"/>
              </w:rPr>
              <w:t xml:space="preserve"> </w:t>
            </w:r>
            <w:r w:rsidRPr="002029AF">
              <w:rPr>
                <w:lang w:val="en-AU"/>
              </w:rPr>
              <w:t>a</w:t>
            </w:r>
            <w:r w:rsidR="000A5329" w:rsidRPr="002029AF">
              <w:rPr>
                <w:lang w:val="en-AU"/>
              </w:rPr>
              <w:t xml:space="preserve"> </w:t>
            </w:r>
            <w:r w:rsidRPr="002029AF">
              <w:rPr>
                <w:lang w:val="en-AU"/>
              </w:rPr>
              <w:t>mission</w:t>
            </w:r>
            <w:r w:rsidR="000A5329" w:rsidRPr="002029AF">
              <w:rPr>
                <w:lang w:val="en-AU"/>
              </w:rPr>
              <w:t xml:space="preserve"> </w:t>
            </w:r>
            <w:r w:rsidRPr="002029AF">
              <w:rPr>
                <w:lang w:val="en-AU"/>
              </w:rPr>
              <w:t>for</w:t>
            </w:r>
            <w:r w:rsidR="000A5329" w:rsidRPr="002029AF">
              <w:rPr>
                <w:lang w:val="en-AU"/>
              </w:rPr>
              <w:t xml:space="preserve"> </w:t>
            </w:r>
            <w:r w:rsidRPr="002029AF">
              <w:rPr>
                <w:lang w:val="en-AU"/>
              </w:rPr>
              <w:t>the</w:t>
            </w:r>
            <w:r w:rsidR="000A5329" w:rsidRPr="002029AF">
              <w:rPr>
                <w:lang w:val="en-AU"/>
              </w:rPr>
              <w:t xml:space="preserve"> </w:t>
            </w:r>
            <w:r w:rsidRPr="002029AF">
              <w:rPr>
                <w:lang w:val="en-AU"/>
              </w:rPr>
              <w:t>disadvantaged</w:t>
            </w:r>
            <w:r w:rsidR="00C66321" w:rsidRPr="00C66321">
              <w:rPr>
                <w:rStyle w:val="FootnoteReference"/>
              </w:rPr>
              <w:fldChar w:fldCharType="begin"/>
            </w:r>
            <w:r w:rsidR="00C66321" w:rsidRPr="00C66321">
              <w:rPr>
                <w:rStyle w:val="FootnoteReference"/>
              </w:rPr>
              <w:instrText xml:space="preserve"> NOTEREF _Ref53242173 \h </w:instrText>
            </w:r>
            <w:r w:rsidR="00C66321">
              <w:rPr>
                <w:rStyle w:val="FootnoteReference"/>
              </w:rPr>
              <w:instrText xml:space="preserve"> \* MERGEFORMAT </w:instrText>
            </w:r>
            <w:r w:rsidR="00C66321" w:rsidRPr="00C66321">
              <w:rPr>
                <w:rStyle w:val="FootnoteReference"/>
              </w:rPr>
            </w:r>
            <w:r w:rsidR="00C66321" w:rsidRPr="00C66321">
              <w:rPr>
                <w:rStyle w:val="FootnoteReference"/>
              </w:rPr>
              <w:fldChar w:fldCharType="separate"/>
            </w:r>
            <w:r w:rsidR="00F3275D">
              <w:rPr>
                <w:rStyle w:val="FootnoteReference"/>
              </w:rPr>
              <w:t>1</w:t>
            </w:r>
            <w:r w:rsidR="00C66321" w:rsidRPr="00C66321">
              <w:rPr>
                <w:rStyle w:val="FootnoteReference"/>
              </w:rPr>
              <w:fldChar w:fldCharType="end"/>
            </w:r>
          </w:p>
          <w:p w14:paraId="5A897E7F" w14:textId="39937E93" w:rsidR="005E5CC1" w:rsidRPr="002029AF" w:rsidRDefault="005E5CC1" w:rsidP="00C66321">
            <w:pPr>
              <w:pStyle w:val="ARtablenumberalpha"/>
              <w:spacing w:before="60"/>
              <w:rPr>
                <w:lang w:val="en-AU"/>
              </w:rPr>
            </w:pPr>
            <w:r w:rsidRPr="002029AF">
              <w:rPr>
                <w:lang w:val="en-AU"/>
              </w:rPr>
              <w:t>30</w:t>
            </w:r>
            <w:r w:rsidR="000A5329" w:rsidRPr="002029AF">
              <w:rPr>
                <w:lang w:val="en-AU"/>
              </w:rPr>
              <w:t xml:space="preserve"> </w:t>
            </w:r>
            <w:r w:rsidRPr="002029AF">
              <w:rPr>
                <w:lang w:val="en-AU"/>
              </w:rPr>
              <w:t>Victorian</w:t>
            </w:r>
            <w:r w:rsidR="000A5329" w:rsidRPr="002029AF">
              <w:rPr>
                <w:lang w:val="en-AU"/>
              </w:rPr>
              <w:t xml:space="preserve"> </w:t>
            </w:r>
            <w:r w:rsidRPr="002029AF">
              <w:rPr>
                <w:lang w:val="en-AU"/>
              </w:rPr>
              <w:t>social</w:t>
            </w:r>
            <w:r w:rsidR="000A5329" w:rsidRPr="002029AF">
              <w:rPr>
                <w:lang w:val="en-AU"/>
              </w:rPr>
              <w:t xml:space="preserve"> </w:t>
            </w:r>
            <w:r w:rsidRPr="002029AF">
              <w:rPr>
                <w:lang w:val="en-AU"/>
              </w:rPr>
              <w:t>enterprises</w:t>
            </w:r>
            <w:r w:rsidR="000A5329" w:rsidRPr="002029AF">
              <w:rPr>
                <w:lang w:val="en-AU"/>
              </w:rPr>
              <w:t xml:space="preserve"> </w:t>
            </w:r>
            <w:r w:rsidRPr="002029AF">
              <w:rPr>
                <w:lang w:val="en-AU"/>
              </w:rPr>
              <w:t>led</w:t>
            </w:r>
            <w:r w:rsidR="000A5329" w:rsidRPr="002029AF">
              <w:rPr>
                <w:lang w:val="en-AU"/>
              </w:rPr>
              <w:t xml:space="preserve"> </w:t>
            </w:r>
            <w:r w:rsidRPr="002029AF">
              <w:rPr>
                <w:lang w:val="en-AU"/>
              </w:rPr>
              <w:t>by</w:t>
            </w:r>
            <w:r w:rsidR="000A5329" w:rsidRPr="002029AF">
              <w:rPr>
                <w:lang w:val="en-AU"/>
              </w:rPr>
              <w:t xml:space="preserve"> </w:t>
            </w:r>
            <w:r w:rsidRPr="002029AF">
              <w:rPr>
                <w:lang w:val="en-AU"/>
              </w:rPr>
              <w:t>a</w:t>
            </w:r>
            <w:r w:rsidR="000A5329" w:rsidRPr="002029AF">
              <w:rPr>
                <w:lang w:val="en-AU"/>
              </w:rPr>
              <w:t xml:space="preserve"> </w:t>
            </w:r>
            <w:r w:rsidRPr="002029AF">
              <w:rPr>
                <w:lang w:val="en-AU"/>
              </w:rPr>
              <w:t>mission</w:t>
            </w:r>
            <w:r w:rsidR="000A5329" w:rsidRPr="002029AF">
              <w:rPr>
                <w:lang w:val="en-AU"/>
              </w:rPr>
              <w:t xml:space="preserve"> </w:t>
            </w:r>
            <w:r w:rsidRPr="002029AF">
              <w:rPr>
                <w:lang w:val="en-AU"/>
              </w:rPr>
              <w:t>for</w:t>
            </w:r>
            <w:r w:rsidR="000A5329" w:rsidRPr="002029AF">
              <w:rPr>
                <w:lang w:val="en-AU"/>
              </w:rPr>
              <w:t xml:space="preserve"> </w:t>
            </w:r>
            <w:r w:rsidRPr="002029AF">
              <w:rPr>
                <w:lang w:val="en-AU"/>
              </w:rPr>
              <w:t>the</w:t>
            </w:r>
            <w:r w:rsidR="000A5329" w:rsidRPr="002029AF">
              <w:rPr>
                <w:lang w:val="en-AU"/>
              </w:rPr>
              <w:t xml:space="preserve"> </w:t>
            </w:r>
            <w:r w:rsidRPr="002029AF">
              <w:rPr>
                <w:lang w:val="en-AU"/>
              </w:rPr>
              <w:t>disadvantaged</w:t>
            </w:r>
            <w:r w:rsidR="000A5329" w:rsidRPr="002029AF">
              <w:rPr>
                <w:lang w:val="en-AU"/>
              </w:rPr>
              <w:t xml:space="preserve"> </w:t>
            </w:r>
            <w:r w:rsidRPr="002029AF">
              <w:rPr>
                <w:lang w:val="en-AU"/>
              </w:rPr>
              <w:t>engaged.</w:t>
            </w:r>
          </w:p>
        </w:tc>
      </w:tr>
      <w:tr w:rsidR="005E5CC1" w:rsidRPr="002029AF" w14:paraId="1649CA41" w14:textId="77777777" w:rsidTr="00860E95">
        <w:trPr>
          <w:cantSplit w:val="0"/>
        </w:trPr>
        <w:tc>
          <w:tcPr>
            <w:tcW w:w="2122" w:type="dxa"/>
          </w:tcPr>
          <w:p w14:paraId="4E4EAF27" w14:textId="2D76D79C" w:rsidR="005E5CC1" w:rsidRPr="002029AF" w:rsidRDefault="005E5CC1" w:rsidP="00C66321">
            <w:pPr>
              <w:pStyle w:val="ARtabletext"/>
              <w:spacing w:before="60"/>
            </w:pPr>
            <w:r w:rsidRPr="002029AF">
              <w:t>Sustainable</w:t>
            </w:r>
            <w:r w:rsidR="000A5329" w:rsidRPr="002029AF">
              <w:t xml:space="preserve"> </w:t>
            </w:r>
            <w:r w:rsidRPr="002029AF">
              <w:t>Victorian</w:t>
            </w:r>
            <w:r w:rsidR="000A5329" w:rsidRPr="002029AF">
              <w:t xml:space="preserve"> </w:t>
            </w:r>
            <w:r w:rsidRPr="002029AF">
              <w:t>social</w:t>
            </w:r>
            <w:r w:rsidR="000A5329" w:rsidRPr="002029AF">
              <w:t xml:space="preserve"> </w:t>
            </w:r>
            <w:r w:rsidRPr="002029AF">
              <w:t>enterprises</w:t>
            </w:r>
            <w:r w:rsidR="000A5329" w:rsidRPr="002029AF">
              <w:t xml:space="preserve"> </w:t>
            </w:r>
            <w:r w:rsidRPr="002029AF">
              <w:t>and</w:t>
            </w:r>
            <w:r w:rsidR="000A5329" w:rsidRPr="002029AF">
              <w:t xml:space="preserve"> </w:t>
            </w:r>
            <w:r w:rsidRPr="002029AF">
              <w:t>Aboriginal</w:t>
            </w:r>
            <w:r w:rsidR="000A5329" w:rsidRPr="002029AF">
              <w:t xml:space="preserve"> </w:t>
            </w:r>
            <w:r w:rsidRPr="002029AF">
              <w:t>business</w:t>
            </w:r>
            <w:r w:rsidR="000A5329" w:rsidRPr="002029AF">
              <w:t xml:space="preserve"> </w:t>
            </w:r>
            <w:r w:rsidRPr="002029AF">
              <w:t>sectors</w:t>
            </w:r>
          </w:p>
        </w:tc>
        <w:tc>
          <w:tcPr>
            <w:tcW w:w="3685" w:type="dxa"/>
          </w:tcPr>
          <w:p w14:paraId="3BA23D71" w14:textId="594C0389" w:rsidR="005E5CC1" w:rsidRPr="002029AF" w:rsidRDefault="005E5CC1" w:rsidP="00C66321">
            <w:pPr>
              <w:pStyle w:val="ARtabletext"/>
              <w:spacing w:before="60"/>
            </w:pPr>
            <w:r w:rsidRPr="002029AF">
              <w:t>Purchasing</w:t>
            </w:r>
            <w:r w:rsidR="000A5329" w:rsidRPr="002029AF">
              <w:t xml:space="preserve"> </w:t>
            </w:r>
            <w:r w:rsidRPr="002029AF">
              <w:t>from</w:t>
            </w:r>
            <w:r w:rsidR="000A5329" w:rsidRPr="002029AF">
              <w:t xml:space="preserve"> </w:t>
            </w:r>
            <w:r w:rsidRPr="002029AF">
              <w:t>Victorian</w:t>
            </w:r>
            <w:r w:rsidR="000A5329" w:rsidRPr="002029AF">
              <w:t xml:space="preserve"> </w:t>
            </w:r>
            <w:r w:rsidRPr="002029AF">
              <w:t>social</w:t>
            </w:r>
            <w:r w:rsidR="000A5329" w:rsidRPr="002029AF">
              <w:t xml:space="preserve"> </w:t>
            </w:r>
            <w:r w:rsidRPr="002029AF">
              <w:t>enterprises</w:t>
            </w:r>
            <w:r w:rsidR="000A5329" w:rsidRPr="002029AF">
              <w:t xml:space="preserve"> </w:t>
            </w:r>
            <w:r w:rsidRPr="002029AF">
              <w:t>and</w:t>
            </w:r>
            <w:r w:rsidR="000A5329" w:rsidRPr="002029AF">
              <w:t xml:space="preserve"> </w:t>
            </w:r>
            <w:r w:rsidRPr="002029AF">
              <w:t>Aboriginal</w:t>
            </w:r>
            <w:r w:rsidR="000A5329" w:rsidRPr="002029AF">
              <w:t xml:space="preserve"> </w:t>
            </w:r>
            <w:r w:rsidRPr="002029AF">
              <w:t>businesses</w:t>
            </w:r>
          </w:p>
        </w:tc>
        <w:tc>
          <w:tcPr>
            <w:tcW w:w="3686" w:type="dxa"/>
          </w:tcPr>
          <w:p w14:paraId="5A1BDC76" w14:textId="7CC8BB9F" w:rsidR="005E5CC1" w:rsidRPr="002029AF" w:rsidRDefault="005E5CC1" w:rsidP="00FF3CAB">
            <w:pPr>
              <w:pStyle w:val="ARtablenumberalpha"/>
              <w:numPr>
                <w:ilvl w:val="0"/>
                <w:numId w:val="39"/>
              </w:numPr>
              <w:spacing w:before="60"/>
              <w:rPr>
                <w:lang w:val="en-AU"/>
              </w:rPr>
            </w:pPr>
            <w:r w:rsidRPr="002029AF">
              <w:rPr>
                <w:b/>
                <w:bCs/>
                <w:lang w:val="en-AU"/>
              </w:rPr>
              <w:t>$914,886</w:t>
            </w:r>
            <w:r w:rsidR="000A5329" w:rsidRPr="002029AF">
              <w:rPr>
                <w:b/>
                <w:bCs/>
                <w:lang w:val="en-AU"/>
              </w:rPr>
              <w:t xml:space="preserve"> </w:t>
            </w:r>
            <w:r w:rsidRPr="002029AF">
              <w:rPr>
                <w:lang w:val="en-AU"/>
              </w:rPr>
              <w:t>spent</w:t>
            </w:r>
            <w:r w:rsidR="000A5329" w:rsidRPr="002029AF">
              <w:rPr>
                <w:lang w:val="en-AU"/>
              </w:rPr>
              <w:t xml:space="preserve"> </w:t>
            </w:r>
            <w:r w:rsidRPr="002029AF">
              <w:rPr>
                <w:lang w:val="en-AU"/>
              </w:rPr>
              <w:t>with</w:t>
            </w:r>
            <w:r w:rsidR="000A5329" w:rsidRPr="002029AF">
              <w:rPr>
                <w:lang w:val="en-AU"/>
              </w:rPr>
              <w:t xml:space="preserve"> </w:t>
            </w:r>
            <w:r w:rsidRPr="002029AF">
              <w:rPr>
                <w:lang w:val="en-AU"/>
              </w:rPr>
              <w:t>Victorian</w:t>
            </w:r>
            <w:r w:rsidR="000A5329" w:rsidRPr="002029AF">
              <w:rPr>
                <w:lang w:val="en-AU"/>
              </w:rPr>
              <w:t xml:space="preserve"> </w:t>
            </w:r>
            <w:r w:rsidRPr="002029AF">
              <w:rPr>
                <w:lang w:val="en-AU"/>
              </w:rPr>
              <w:t>Aboriginal</w:t>
            </w:r>
            <w:r w:rsidR="00C66321" w:rsidRPr="00C66321">
              <w:rPr>
                <w:rStyle w:val="FootnoteReference"/>
              </w:rPr>
              <w:fldChar w:fldCharType="begin"/>
            </w:r>
            <w:r w:rsidR="00C66321" w:rsidRPr="00C66321">
              <w:rPr>
                <w:rStyle w:val="FootnoteReference"/>
              </w:rPr>
              <w:instrText xml:space="preserve"> NOTEREF _Ref53242064 \h </w:instrText>
            </w:r>
            <w:r w:rsidR="00C66321">
              <w:rPr>
                <w:rStyle w:val="FootnoteReference"/>
              </w:rPr>
              <w:instrText xml:space="preserve"> \* MERGEFORMAT </w:instrText>
            </w:r>
            <w:r w:rsidR="00C66321" w:rsidRPr="00C66321">
              <w:rPr>
                <w:rStyle w:val="FootnoteReference"/>
              </w:rPr>
            </w:r>
            <w:r w:rsidR="00C66321" w:rsidRPr="00C66321">
              <w:rPr>
                <w:rStyle w:val="FootnoteReference"/>
              </w:rPr>
              <w:fldChar w:fldCharType="separate"/>
            </w:r>
            <w:r w:rsidR="00F3275D">
              <w:rPr>
                <w:rStyle w:val="FootnoteReference"/>
              </w:rPr>
              <w:t>1</w:t>
            </w:r>
            <w:r w:rsidR="00C66321" w:rsidRPr="00C66321">
              <w:rPr>
                <w:rStyle w:val="FootnoteReference"/>
              </w:rPr>
              <w:fldChar w:fldCharType="end"/>
            </w:r>
            <w:r w:rsidR="000A5329" w:rsidRPr="002029AF">
              <w:rPr>
                <w:vertAlign w:val="superscript"/>
                <w:lang w:val="en-AU"/>
              </w:rPr>
              <w:t xml:space="preserve"> </w:t>
            </w:r>
            <w:r w:rsidRPr="002029AF">
              <w:rPr>
                <w:lang w:val="en-AU"/>
              </w:rPr>
              <w:t>suppliers</w:t>
            </w:r>
          </w:p>
          <w:p w14:paraId="79E56E7C" w14:textId="58E96598" w:rsidR="005E5CC1" w:rsidRPr="002029AF" w:rsidRDefault="005E5CC1" w:rsidP="00C66321">
            <w:pPr>
              <w:pStyle w:val="ARtablenumberalpha"/>
              <w:spacing w:before="60"/>
              <w:rPr>
                <w:lang w:val="en-AU"/>
              </w:rPr>
            </w:pPr>
            <w:r w:rsidRPr="002029AF">
              <w:rPr>
                <w:lang w:val="en-AU"/>
              </w:rPr>
              <w:t>50</w:t>
            </w:r>
            <w:r w:rsidR="000A5329" w:rsidRPr="002029AF">
              <w:rPr>
                <w:lang w:val="en-AU"/>
              </w:rPr>
              <w:t xml:space="preserve"> </w:t>
            </w:r>
            <w:r w:rsidRPr="002029AF">
              <w:rPr>
                <w:lang w:val="en-AU"/>
              </w:rPr>
              <w:t>Victorian</w:t>
            </w:r>
            <w:r w:rsidR="000A5329" w:rsidRPr="002029AF">
              <w:rPr>
                <w:lang w:val="en-AU"/>
              </w:rPr>
              <w:t xml:space="preserve"> </w:t>
            </w:r>
            <w:r w:rsidRPr="002029AF">
              <w:rPr>
                <w:lang w:val="en-AU"/>
              </w:rPr>
              <w:t>Aboriginal</w:t>
            </w:r>
            <w:r w:rsidR="000A5329" w:rsidRPr="002029AF">
              <w:rPr>
                <w:lang w:val="en-AU"/>
              </w:rPr>
              <w:t xml:space="preserve"> </w:t>
            </w:r>
            <w:r w:rsidRPr="002029AF">
              <w:rPr>
                <w:lang w:val="en-AU"/>
              </w:rPr>
              <w:t>suppliers</w:t>
            </w:r>
            <w:r w:rsidR="000A5329" w:rsidRPr="002029AF">
              <w:rPr>
                <w:lang w:val="en-AU"/>
              </w:rPr>
              <w:t xml:space="preserve"> </w:t>
            </w:r>
            <w:r w:rsidRPr="002029AF">
              <w:rPr>
                <w:lang w:val="en-AU"/>
              </w:rPr>
              <w:t>engaged</w:t>
            </w:r>
          </w:p>
          <w:p w14:paraId="71CC8028" w14:textId="1FE7ED06" w:rsidR="005E5CC1" w:rsidRPr="002029AF" w:rsidRDefault="005E5CC1" w:rsidP="00C66321">
            <w:pPr>
              <w:pStyle w:val="ARtablenumberalpha"/>
              <w:spacing w:before="60"/>
              <w:rPr>
                <w:lang w:val="en-AU"/>
              </w:rPr>
            </w:pPr>
            <w:r w:rsidRPr="002029AF">
              <w:rPr>
                <w:b/>
                <w:bCs/>
                <w:lang w:val="en-AU"/>
              </w:rPr>
              <w:t>$7,959,924</w:t>
            </w:r>
            <w:r w:rsidR="000A5329" w:rsidRPr="002029AF">
              <w:rPr>
                <w:lang w:val="en-AU"/>
              </w:rPr>
              <w:t xml:space="preserve"> </w:t>
            </w:r>
            <w:r w:rsidRPr="002029AF">
              <w:rPr>
                <w:lang w:val="en-AU"/>
              </w:rPr>
              <w:t>spent</w:t>
            </w:r>
            <w:r w:rsidR="000A5329" w:rsidRPr="002029AF">
              <w:rPr>
                <w:lang w:val="en-AU"/>
              </w:rPr>
              <w:t xml:space="preserve"> </w:t>
            </w:r>
            <w:r w:rsidRPr="002029AF">
              <w:rPr>
                <w:lang w:val="en-AU"/>
              </w:rPr>
              <w:t>with</w:t>
            </w:r>
            <w:r w:rsidR="000A5329" w:rsidRPr="002029AF">
              <w:rPr>
                <w:lang w:val="en-AU"/>
              </w:rPr>
              <w:t xml:space="preserve"> </w:t>
            </w:r>
            <w:r w:rsidRPr="002029AF">
              <w:rPr>
                <w:lang w:val="en-AU"/>
              </w:rPr>
              <w:t>Victorian</w:t>
            </w:r>
            <w:r w:rsidR="000A5329" w:rsidRPr="002029AF">
              <w:rPr>
                <w:lang w:val="en-AU"/>
              </w:rPr>
              <w:t xml:space="preserve"> </w:t>
            </w:r>
            <w:r w:rsidRPr="002029AF">
              <w:rPr>
                <w:lang w:val="en-AU"/>
              </w:rPr>
              <w:t>social</w:t>
            </w:r>
            <w:r w:rsidR="000A5329" w:rsidRPr="002029AF">
              <w:rPr>
                <w:lang w:val="en-AU"/>
              </w:rPr>
              <w:t xml:space="preserve"> </w:t>
            </w:r>
            <w:r w:rsidRPr="002029AF">
              <w:rPr>
                <w:lang w:val="en-AU"/>
              </w:rPr>
              <w:t>enterprises</w:t>
            </w:r>
            <w:r w:rsidR="00C66321">
              <w:rPr>
                <w:rStyle w:val="FootnoteReference"/>
                <w:lang w:val="en-AU"/>
              </w:rPr>
              <w:footnoteReference w:id="23"/>
            </w:r>
          </w:p>
          <w:p w14:paraId="4D5D7B23" w14:textId="0525A5CC" w:rsidR="005E5CC1" w:rsidRPr="002029AF" w:rsidRDefault="005E5CC1" w:rsidP="00C66321">
            <w:pPr>
              <w:pStyle w:val="ARtablenumberalpha"/>
              <w:spacing w:before="60"/>
              <w:rPr>
                <w:lang w:val="en-AU"/>
              </w:rPr>
            </w:pPr>
            <w:r w:rsidRPr="002029AF">
              <w:rPr>
                <w:lang w:val="en-AU"/>
              </w:rPr>
              <w:t>112</w:t>
            </w:r>
            <w:r w:rsidR="000A5329" w:rsidRPr="002029AF">
              <w:rPr>
                <w:lang w:val="en-AU"/>
              </w:rPr>
              <w:t xml:space="preserve"> </w:t>
            </w:r>
            <w:r w:rsidRPr="002029AF">
              <w:rPr>
                <w:lang w:val="en-AU"/>
              </w:rPr>
              <w:t>Victorian</w:t>
            </w:r>
            <w:r w:rsidR="000A5329" w:rsidRPr="002029AF">
              <w:rPr>
                <w:lang w:val="en-AU"/>
              </w:rPr>
              <w:t xml:space="preserve"> </w:t>
            </w:r>
            <w:r w:rsidRPr="002029AF">
              <w:rPr>
                <w:lang w:val="en-AU"/>
              </w:rPr>
              <w:t>social</w:t>
            </w:r>
            <w:r w:rsidR="000A5329" w:rsidRPr="002029AF">
              <w:rPr>
                <w:lang w:val="en-AU"/>
              </w:rPr>
              <w:t xml:space="preserve"> </w:t>
            </w:r>
            <w:r w:rsidRPr="002029AF">
              <w:rPr>
                <w:lang w:val="en-AU"/>
              </w:rPr>
              <w:t>enterprises</w:t>
            </w:r>
            <w:r w:rsidR="000A5329" w:rsidRPr="002029AF">
              <w:rPr>
                <w:lang w:val="en-AU"/>
              </w:rPr>
              <w:t xml:space="preserve"> </w:t>
            </w:r>
            <w:r w:rsidRPr="002029AF">
              <w:rPr>
                <w:lang w:val="en-AU"/>
              </w:rPr>
              <w:t>engaged.</w:t>
            </w:r>
          </w:p>
        </w:tc>
      </w:tr>
    </w:tbl>
    <w:p w14:paraId="024A58AD" w14:textId="6439FE91" w:rsidR="005E5CC1" w:rsidRPr="002029AF" w:rsidRDefault="005E5CC1" w:rsidP="00C66321">
      <w:pPr>
        <w:pStyle w:val="ARbody"/>
      </w:pPr>
    </w:p>
    <w:p w14:paraId="3BAEB6BC" w14:textId="77777777" w:rsidR="00CF72D5" w:rsidRPr="002029AF" w:rsidRDefault="00CF72D5" w:rsidP="00897193">
      <w:pPr>
        <w:sectPr w:rsidR="00CF72D5" w:rsidRPr="002029AF" w:rsidSect="00BD0AF1">
          <w:footnotePr>
            <w:numRestart w:val="eachPage"/>
          </w:footnotePr>
          <w:endnotePr>
            <w:numFmt w:val="decimal"/>
          </w:endnotePr>
          <w:type w:val="continuous"/>
          <w:pgSz w:w="11900" w:h="16840" w:code="9"/>
          <w:pgMar w:top="1985" w:right="851" w:bottom="851" w:left="1418" w:header="510" w:footer="340" w:gutter="0"/>
          <w:cols w:space="454"/>
          <w:docGrid w:linePitch="326"/>
          <w15:footnoteColumns w:val="1"/>
        </w:sectPr>
      </w:pPr>
    </w:p>
    <w:p w14:paraId="38A51AFF" w14:textId="7D3123C3" w:rsidR="00CF72D5" w:rsidRPr="002029AF" w:rsidRDefault="00CF72D5" w:rsidP="00897193">
      <w:pPr>
        <w:pStyle w:val="Heading2"/>
        <w:spacing w:before="0"/>
      </w:pPr>
      <w:bookmarkStart w:id="173" w:name="_Toc520974732"/>
      <w:bookmarkStart w:id="174" w:name="_Toc493164812"/>
      <w:bookmarkStart w:id="175" w:name="_Toc54690800"/>
      <w:bookmarkStart w:id="176" w:name="_Toc462577199"/>
      <w:bookmarkStart w:id="177" w:name="_Toc520974721"/>
      <w:r w:rsidRPr="002029AF">
        <w:lastRenderedPageBreak/>
        <w:t>Social</w:t>
      </w:r>
      <w:r w:rsidR="000A5329" w:rsidRPr="002029AF">
        <w:t xml:space="preserve"> </w:t>
      </w:r>
      <w:r w:rsidRPr="002029AF">
        <w:t>Housing</w:t>
      </w:r>
      <w:r w:rsidR="000A5329" w:rsidRPr="002029AF">
        <w:t xml:space="preserve"> </w:t>
      </w:r>
      <w:r w:rsidRPr="002029AF">
        <w:t>Dwelling</w:t>
      </w:r>
      <w:r w:rsidR="000A5329" w:rsidRPr="002029AF">
        <w:t xml:space="preserve"> </w:t>
      </w:r>
      <w:r w:rsidRPr="002029AF">
        <w:t>Stock</w:t>
      </w:r>
      <w:r w:rsidR="000A5329" w:rsidRPr="002029AF">
        <w:t xml:space="preserve"> </w:t>
      </w:r>
      <w:r w:rsidRPr="002029AF">
        <w:t>ended</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bookmarkEnd w:id="173"/>
      <w:bookmarkEnd w:id="174"/>
      <w:bookmarkEnd w:id="175"/>
    </w:p>
    <w:p w14:paraId="52BA4CB1" w14:textId="645B4B17" w:rsidR="00CF72D5" w:rsidRPr="002029AF" w:rsidRDefault="00CF72D5" w:rsidP="001E768A">
      <w:pPr>
        <w:pStyle w:val="Heading3"/>
      </w:pPr>
      <w:r w:rsidRPr="002029AF">
        <w:t>Summary</w:t>
      </w:r>
      <w:r w:rsidR="000A5329" w:rsidRPr="002029AF">
        <w:t xml:space="preserve"> </w:t>
      </w:r>
      <w:r w:rsidRPr="002029AF">
        <w:t>of</w:t>
      </w:r>
      <w:r w:rsidR="000A5329" w:rsidRPr="002029AF">
        <w:t xml:space="preserve"> </w:t>
      </w:r>
      <w:r w:rsidRPr="002029AF">
        <w:t>changes</w:t>
      </w:r>
      <w:r w:rsidR="000A5329" w:rsidRPr="002029AF">
        <w:t xml:space="preserve"> </w:t>
      </w:r>
      <w:r w:rsidRPr="002029AF">
        <w:t>to</w:t>
      </w:r>
      <w:r w:rsidR="000A5329" w:rsidRPr="002029AF">
        <w:t xml:space="preserve"> </w:t>
      </w:r>
      <w:r w:rsidRPr="002029AF">
        <w:t>Social</w:t>
      </w:r>
      <w:r w:rsidR="000A5329" w:rsidRPr="002029AF">
        <w:t xml:space="preserve"> </w:t>
      </w:r>
      <w:r w:rsidRPr="002029AF">
        <w:t>Housing</w:t>
      </w:r>
      <w:r w:rsidR="000A5329" w:rsidRPr="002029AF">
        <w:t xml:space="preserve"> </w:t>
      </w:r>
      <w:r w:rsidRPr="002029AF">
        <w:t>Dwellings</w:t>
      </w:r>
      <w:r w:rsidR="000A5329" w:rsidRPr="002029AF">
        <w:t xml:space="preserve"> </w:t>
      </w:r>
      <w:r w:rsidRPr="002029AF">
        <w:t>for</w:t>
      </w:r>
      <w:r w:rsidR="000A5329" w:rsidRPr="002029AF">
        <w:t xml:space="preserve"> </w:t>
      </w:r>
      <w:r w:rsidRPr="002029AF">
        <w:t>2019–20</w:t>
      </w:r>
    </w:p>
    <w:tbl>
      <w:tblPr>
        <w:tblStyle w:val="TableGrid"/>
        <w:tblW w:w="9639" w:type="dxa"/>
        <w:tblLayout w:type="fixed"/>
        <w:tblLook w:val="00A0" w:firstRow="1" w:lastRow="0" w:firstColumn="1" w:lastColumn="0" w:noHBand="0" w:noVBand="0"/>
      </w:tblPr>
      <w:tblGrid>
        <w:gridCol w:w="3770"/>
        <w:gridCol w:w="5869"/>
      </w:tblGrid>
      <w:tr w:rsidR="00CF72D5" w:rsidRPr="002029AF" w14:paraId="06D63AD3" w14:textId="77777777" w:rsidTr="2B634061">
        <w:trPr>
          <w:cnfStyle w:val="100000000000" w:firstRow="1" w:lastRow="0" w:firstColumn="0" w:lastColumn="0" w:oddVBand="0" w:evenVBand="0" w:oddHBand="0" w:evenHBand="0" w:firstRowFirstColumn="0" w:firstRowLastColumn="0" w:lastRowFirstColumn="0" w:lastRowLastColumn="0"/>
          <w:tblHeader/>
        </w:trPr>
        <w:tc>
          <w:tcPr>
            <w:tcW w:w="3656" w:type="dxa"/>
          </w:tcPr>
          <w:p w14:paraId="501D0F8C" w14:textId="77777777" w:rsidR="00CF72D5" w:rsidRPr="002029AF" w:rsidRDefault="00CF72D5" w:rsidP="00CA2DE6">
            <w:pPr>
              <w:pStyle w:val="ARtablecolhead"/>
            </w:pPr>
            <w:r w:rsidRPr="002029AF">
              <w:t>Description</w:t>
            </w:r>
          </w:p>
        </w:tc>
        <w:tc>
          <w:tcPr>
            <w:tcW w:w="5692" w:type="dxa"/>
          </w:tcPr>
          <w:p w14:paraId="05EA4142" w14:textId="77777777" w:rsidR="00CF72D5" w:rsidRPr="002029AF" w:rsidRDefault="00CF72D5" w:rsidP="00CA2DE6">
            <w:pPr>
              <w:pStyle w:val="ARtablecolheadright"/>
            </w:pPr>
            <w:r w:rsidRPr="002029AF">
              <w:t>Units</w:t>
            </w:r>
          </w:p>
        </w:tc>
      </w:tr>
      <w:tr w:rsidR="00CF72D5" w:rsidRPr="002029AF" w14:paraId="1549831B" w14:textId="77777777" w:rsidTr="2B634061">
        <w:tc>
          <w:tcPr>
            <w:tcW w:w="3656" w:type="dxa"/>
          </w:tcPr>
          <w:p w14:paraId="639B6CD1" w14:textId="0BEA7199" w:rsidR="00CF72D5" w:rsidRPr="002029AF" w:rsidRDefault="00CF72D5" w:rsidP="00CA2DE6">
            <w:pPr>
              <w:pStyle w:val="ARtabletextbold"/>
            </w:pPr>
            <w:r w:rsidRPr="002029AF">
              <w:t>Stock</w:t>
            </w:r>
            <w:r w:rsidR="000A5329" w:rsidRPr="002029AF">
              <w:t xml:space="preserve"> </w:t>
            </w:r>
            <w:r w:rsidRPr="002029AF">
              <w:t>at</w:t>
            </w:r>
            <w:r w:rsidR="000A5329" w:rsidRPr="002029AF">
              <w:t xml:space="preserve"> </w:t>
            </w:r>
            <w:r w:rsidRPr="002029AF">
              <w:t>30</w:t>
            </w:r>
            <w:r w:rsidR="000A5329" w:rsidRPr="002029AF">
              <w:t xml:space="preserve"> </w:t>
            </w:r>
            <w:r w:rsidRPr="002029AF">
              <w:t>June</w:t>
            </w:r>
            <w:r w:rsidR="000A5329" w:rsidRPr="002029AF">
              <w:t xml:space="preserve"> </w:t>
            </w:r>
            <w:r w:rsidRPr="002029AF">
              <w:t>2019</w:t>
            </w:r>
          </w:p>
        </w:tc>
        <w:tc>
          <w:tcPr>
            <w:tcW w:w="5692" w:type="dxa"/>
          </w:tcPr>
          <w:p w14:paraId="5CAA88A8" w14:textId="680088B8" w:rsidR="00CF72D5" w:rsidRPr="002029AF" w:rsidRDefault="00CF72D5" w:rsidP="00CA2DE6">
            <w:pPr>
              <w:pStyle w:val="ARtabletextrightbold"/>
            </w:pPr>
            <w:r>
              <w:t>85</w:t>
            </w:r>
            <w:r w:rsidR="276052A5">
              <w:t>,</w:t>
            </w:r>
            <w:r>
              <w:t>626</w:t>
            </w:r>
          </w:p>
        </w:tc>
      </w:tr>
      <w:tr w:rsidR="00CF72D5" w:rsidRPr="002029AF" w14:paraId="6F8434B3" w14:textId="77777777" w:rsidTr="2B634061">
        <w:tc>
          <w:tcPr>
            <w:tcW w:w="3656" w:type="dxa"/>
            <w:tcBorders>
              <w:bottom w:val="single" w:sz="4" w:space="0" w:color="auto"/>
            </w:tcBorders>
          </w:tcPr>
          <w:p w14:paraId="40374FC4" w14:textId="7F2D349E" w:rsidR="00CF72D5" w:rsidRPr="002029AF" w:rsidRDefault="00CF72D5" w:rsidP="00CA2DE6">
            <w:pPr>
              <w:pStyle w:val="ARtabletextbold"/>
            </w:pPr>
            <w:r w:rsidRPr="002029AF">
              <w:t>Additions</w:t>
            </w:r>
            <w:r w:rsidR="000A5329" w:rsidRPr="002029AF">
              <w:t xml:space="preserve"> </w:t>
            </w:r>
            <w:r w:rsidRPr="002029AF">
              <w:t>Total</w:t>
            </w:r>
          </w:p>
        </w:tc>
        <w:tc>
          <w:tcPr>
            <w:tcW w:w="5692" w:type="dxa"/>
            <w:tcBorders>
              <w:bottom w:val="single" w:sz="4" w:space="0" w:color="auto"/>
            </w:tcBorders>
          </w:tcPr>
          <w:p w14:paraId="24FBEB72" w14:textId="27058E15" w:rsidR="00CF72D5" w:rsidRPr="002029AF" w:rsidRDefault="00CF72D5" w:rsidP="00CA2DE6">
            <w:pPr>
              <w:pStyle w:val="ARtabletextrightbold"/>
            </w:pPr>
            <w:r w:rsidRPr="002029AF">
              <w:t>1</w:t>
            </w:r>
            <w:r w:rsidR="00CA2DE6" w:rsidRPr="002029AF">
              <w:t>,</w:t>
            </w:r>
            <w:r w:rsidRPr="002029AF">
              <w:t>097</w:t>
            </w:r>
          </w:p>
        </w:tc>
      </w:tr>
      <w:tr w:rsidR="00CF72D5" w:rsidRPr="002029AF" w14:paraId="07D4959A" w14:textId="77777777" w:rsidTr="2B634061">
        <w:tc>
          <w:tcPr>
            <w:tcW w:w="3656" w:type="dxa"/>
            <w:tcBorders>
              <w:top w:val="single" w:sz="4" w:space="0" w:color="auto"/>
              <w:bottom w:val="single" w:sz="4" w:space="0" w:color="BFBFBF" w:themeColor="background1" w:themeShade="BF"/>
            </w:tcBorders>
          </w:tcPr>
          <w:p w14:paraId="3DE6B163" w14:textId="714B3891" w:rsidR="00CF72D5" w:rsidRPr="002029AF" w:rsidRDefault="00CF72D5" w:rsidP="00CA2DE6">
            <w:pPr>
              <w:pStyle w:val="ARtabletext"/>
            </w:pPr>
            <w:r w:rsidRPr="002029AF">
              <w:t>New</w:t>
            </w:r>
            <w:r w:rsidR="000A5329" w:rsidRPr="002029AF">
              <w:t xml:space="preserve"> </w:t>
            </w:r>
            <w:r w:rsidRPr="002029AF">
              <w:t>handovers</w:t>
            </w:r>
          </w:p>
        </w:tc>
        <w:tc>
          <w:tcPr>
            <w:tcW w:w="5692" w:type="dxa"/>
            <w:tcBorders>
              <w:top w:val="single" w:sz="4" w:space="0" w:color="auto"/>
              <w:bottom w:val="single" w:sz="4" w:space="0" w:color="BFBFBF" w:themeColor="background1" w:themeShade="BF"/>
            </w:tcBorders>
          </w:tcPr>
          <w:p w14:paraId="562FEE44" w14:textId="77777777" w:rsidR="00CF72D5" w:rsidRPr="002029AF" w:rsidRDefault="00CF72D5" w:rsidP="00CA2DE6">
            <w:pPr>
              <w:pStyle w:val="ARtabletextright"/>
            </w:pPr>
            <w:r w:rsidRPr="002029AF">
              <w:t>521</w:t>
            </w:r>
          </w:p>
        </w:tc>
      </w:tr>
      <w:tr w:rsidR="00CF72D5" w:rsidRPr="002029AF" w14:paraId="17155F4C" w14:textId="77777777" w:rsidTr="2B634061">
        <w:tc>
          <w:tcPr>
            <w:tcW w:w="3656" w:type="dxa"/>
            <w:tcBorders>
              <w:top w:val="single" w:sz="4" w:space="0" w:color="BFBFBF" w:themeColor="background1" w:themeShade="BF"/>
              <w:bottom w:val="single" w:sz="4" w:space="0" w:color="BFBFBF" w:themeColor="background1" w:themeShade="BF"/>
            </w:tcBorders>
          </w:tcPr>
          <w:p w14:paraId="017BE1D5" w14:textId="5FC41675" w:rsidR="00CF72D5" w:rsidRPr="002029AF" w:rsidRDefault="00CF72D5" w:rsidP="00CA2DE6">
            <w:pPr>
              <w:pStyle w:val="ARtabletext"/>
            </w:pPr>
            <w:r w:rsidRPr="002029AF">
              <w:t>Spot</w:t>
            </w:r>
            <w:r w:rsidR="000A5329" w:rsidRPr="002029AF">
              <w:t xml:space="preserve"> </w:t>
            </w:r>
            <w:r w:rsidRPr="002029AF">
              <w:t>Purchase</w:t>
            </w:r>
          </w:p>
        </w:tc>
        <w:tc>
          <w:tcPr>
            <w:tcW w:w="5692" w:type="dxa"/>
            <w:tcBorders>
              <w:top w:val="single" w:sz="4" w:space="0" w:color="BFBFBF" w:themeColor="background1" w:themeShade="BF"/>
              <w:bottom w:val="single" w:sz="4" w:space="0" w:color="BFBFBF" w:themeColor="background1" w:themeShade="BF"/>
            </w:tcBorders>
          </w:tcPr>
          <w:p w14:paraId="0893544A" w14:textId="77777777" w:rsidR="00CF72D5" w:rsidRPr="002029AF" w:rsidRDefault="00CF72D5" w:rsidP="00CA2DE6">
            <w:pPr>
              <w:pStyle w:val="ARtabletextright"/>
            </w:pPr>
            <w:r w:rsidRPr="002029AF">
              <w:t>66</w:t>
            </w:r>
          </w:p>
        </w:tc>
      </w:tr>
      <w:tr w:rsidR="00CF72D5" w:rsidRPr="002029AF" w14:paraId="5D3AEF70" w14:textId="77777777" w:rsidTr="2B634061">
        <w:tc>
          <w:tcPr>
            <w:tcW w:w="3656" w:type="dxa"/>
            <w:tcBorders>
              <w:top w:val="single" w:sz="4" w:space="0" w:color="BFBFBF" w:themeColor="background1" w:themeShade="BF"/>
              <w:bottom w:val="single" w:sz="4" w:space="0" w:color="BFBFBF" w:themeColor="background1" w:themeShade="BF"/>
            </w:tcBorders>
          </w:tcPr>
          <w:p w14:paraId="29F59F5F" w14:textId="48923354" w:rsidR="00CF72D5" w:rsidRPr="002029AF" w:rsidRDefault="00CF72D5" w:rsidP="00CA2DE6">
            <w:pPr>
              <w:pStyle w:val="ARtabletext"/>
            </w:pPr>
            <w:r w:rsidRPr="002029AF">
              <w:t>New</w:t>
            </w:r>
            <w:r w:rsidR="000A5329" w:rsidRPr="002029AF">
              <w:t xml:space="preserve"> </w:t>
            </w:r>
            <w:r w:rsidRPr="002029AF">
              <w:t>short-term</w:t>
            </w:r>
            <w:r w:rsidR="000A5329" w:rsidRPr="002029AF">
              <w:t xml:space="preserve"> </w:t>
            </w:r>
            <w:r w:rsidRPr="002029AF">
              <w:t>leases</w:t>
            </w:r>
          </w:p>
        </w:tc>
        <w:tc>
          <w:tcPr>
            <w:tcW w:w="5692" w:type="dxa"/>
            <w:tcBorders>
              <w:top w:val="single" w:sz="4" w:space="0" w:color="BFBFBF" w:themeColor="background1" w:themeShade="BF"/>
              <w:bottom w:val="single" w:sz="4" w:space="0" w:color="BFBFBF" w:themeColor="background1" w:themeShade="BF"/>
            </w:tcBorders>
          </w:tcPr>
          <w:p w14:paraId="4EEFB68C" w14:textId="77777777" w:rsidR="00CF72D5" w:rsidRPr="002029AF" w:rsidRDefault="00CF72D5" w:rsidP="00CA2DE6">
            <w:pPr>
              <w:pStyle w:val="ARtabletextright"/>
            </w:pPr>
            <w:r w:rsidRPr="002029AF">
              <w:t>293</w:t>
            </w:r>
          </w:p>
        </w:tc>
      </w:tr>
      <w:tr w:rsidR="00CF72D5" w:rsidRPr="002029AF" w14:paraId="1CDDFB55" w14:textId="77777777" w:rsidTr="2B634061">
        <w:tc>
          <w:tcPr>
            <w:tcW w:w="3656" w:type="dxa"/>
            <w:tcBorders>
              <w:top w:val="single" w:sz="4" w:space="0" w:color="BFBFBF" w:themeColor="background1" w:themeShade="BF"/>
              <w:bottom w:val="single" w:sz="4" w:space="0" w:color="BFBFBF" w:themeColor="background1" w:themeShade="BF"/>
            </w:tcBorders>
          </w:tcPr>
          <w:p w14:paraId="3900844A" w14:textId="2F66A6E2" w:rsidR="00CF72D5" w:rsidRPr="002029AF" w:rsidRDefault="00CF72D5" w:rsidP="00CA2DE6">
            <w:pPr>
              <w:pStyle w:val="ARtabletext"/>
            </w:pPr>
            <w:r w:rsidRPr="002029AF">
              <w:t>Stock</w:t>
            </w:r>
            <w:r w:rsidR="000A5329" w:rsidRPr="002029AF">
              <w:t xml:space="preserve"> </w:t>
            </w:r>
            <w:r w:rsidRPr="002029AF">
              <w:t>online</w:t>
            </w:r>
          </w:p>
        </w:tc>
        <w:tc>
          <w:tcPr>
            <w:tcW w:w="5692" w:type="dxa"/>
            <w:tcBorders>
              <w:top w:val="single" w:sz="4" w:space="0" w:color="BFBFBF" w:themeColor="background1" w:themeShade="BF"/>
              <w:bottom w:val="single" w:sz="4" w:space="0" w:color="BFBFBF" w:themeColor="background1" w:themeShade="BF"/>
            </w:tcBorders>
          </w:tcPr>
          <w:p w14:paraId="63DFD43C" w14:textId="77777777" w:rsidR="00CF72D5" w:rsidRPr="002029AF" w:rsidRDefault="00CF72D5" w:rsidP="00CA2DE6">
            <w:pPr>
              <w:pStyle w:val="ARtabletextright"/>
            </w:pPr>
            <w:r w:rsidRPr="002029AF">
              <w:t>210</w:t>
            </w:r>
          </w:p>
        </w:tc>
      </w:tr>
      <w:tr w:rsidR="00CF72D5" w:rsidRPr="002029AF" w14:paraId="588B638E" w14:textId="77777777" w:rsidTr="2B634061">
        <w:tc>
          <w:tcPr>
            <w:tcW w:w="3656" w:type="dxa"/>
            <w:tcBorders>
              <w:top w:val="single" w:sz="4" w:space="0" w:color="BFBFBF" w:themeColor="background1" w:themeShade="BF"/>
            </w:tcBorders>
          </w:tcPr>
          <w:p w14:paraId="0AFFB72F" w14:textId="77777777" w:rsidR="00CF72D5" w:rsidRPr="002029AF" w:rsidRDefault="00CF72D5" w:rsidP="00CA2DE6">
            <w:pPr>
              <w:pStyle w:val="ARtabletext"/>
            </w:pPr>
            <w:r w:rsidRPr="002029AF">
              <w:t>Transfers</w:t>
            </w:r>
          </w:p>
        </w:tc>
        <w:tc>
          <w:tcPr>
            <w:tcW w:w="5692" w:type="dxa"/>
            <w:tcBorders>
              <w:top w:val="single" w:sz="4" w:space="0" w:color="BFBFBF" w:themeColor="background1" w:themeShade="BF"/>
            </w:tcBorders>
          </w:tcPr>
          <w:p w14:paraId="0F234E9C" w14:textId="77777777" w:rsidR="00CF72D5" w:rsidRPr="002029AF" w:rsidRDefault="00CF72D5" w:rsidP="00CA2DE6">
            <w:pPr>
              <w:pStyle w:val="ARtabletextright"/>
            </w:pPr>
            <w:r w:rsidRPr="002029AF">
              <w:t>7</w:t>
            </w:r>
          </w:p>
        </w:tc>
      </w:tr>
      <w:tr w:rsidR="00CF72D5" w:rsidRPr="002029AF" w14:paraId="1EEA6C93" w14:textId="77777777" w:rsidTr="2B634061">
        <w:tc>
          <w:tcPr>
            <w:tcW w:w="3656" w:type="dxa"/>
            <w:tcBorders>
              <w:bottom w:val="single" w:sz="4" w:space="0" w:color="auto"/>
            </w:tcBorders>
          </w:tcPr>
          <w:p w14:paraId="767710DB" w14:textId="3FF91415" w:rsidR="00CF72D5" w:rsidRPr="002029AF" w:rsidRDefault="00CF72D5" w:rsidP="00CA2DE6">
            <w:pPr>
              <w:pStyle w:val="ARtabletextbold"/>
            </w:pPr>
            <w:r w:rsidRPr="002029AF">
              <w:t>Subtractions</w:t>
            </w:r>
            <w:r w:rsidR="000A5329" w:rsidRPr="002029AF">
              <w:t xml:space="preserve"> </w:t>
            </w:r>
            <w:r w:rsidRPr="002029AF">
              <w:t>Total</w:t>
            </w:r>
          </w:p>
        </w:tc>
        <w:tc>
          <w:tcPr>
            <w:tcW w:w="5692" w:type="dxa"/>
            <w:tcBorders>
              <w:bottom w:val="single" w:sz="4" w:space="0" w:color="auto"/>
            </w:tcBorders>
          </w:tcPr>
          <w:p w14:paraId="50CE8C55" w14:textId="7DFDF9A5" w:rsidR="00CF72D5" w:rsidRPr="002029AF" w:rsidRDefault="00CF72D5" w:rsidP="00CA2DE6">
            <w:pPr>
              <w:pStyle w:val="ARtabletextrightbold"/>
            </w:pPr>
            <w:r w:rsidRPr="002029AF">
              <w:t>1</w:t>
            </w:r>
            <w:r w:rsidR="00CA2DE6" w:rsidRPr="002029AF">
              <w:t>,</w:t>
            </w:r>
            <w:r w:rsidRPr="002029AF">
              <w:t>612</w:t>
            </w:r>
          </w:p>
        </w:tc>
      </w:tr>
      <w:tr w:rsidR="00CF72D5" w:rsidRPr="002029AF" w14:paraId="39978891" w14:textId="77777777" w:rsidTr="2B634061">
        <w:tc>
          <w:tcPr>
            <w:tcW w:w="3656" w:type="dxa"/>
            <w:tcBorders>
              <w:top w:val="single" w:sz="4" w:space="0" w:color="auto"/>
              <w:bottom w:val="single" w:sz="4" w:space="0" w:color="BFBFBF" w:themeColor="background1" w:themeShade="BF"/>
            </w:tcBorders>
          </w:tcPr>
          <w:p w14:paraId="2254191F" w14:textId="77777777" w:rsidR="00CF72D5" w:rsidRPr="002029AF" w:rsidRDefault="00CF72D5" w:rsidP="00CA2DE6">
            <w:pPr>
              <w:pStyle w:val="ARtabletext"/>
            </w:pPr>
            <w:r w:rsidRPr="002029AF">
              <w:t>Sales</w:t>
            </w:r>
          </w:p>
        </w:tc>
        <w:tc>
          <w:tcPr>
            <w:tcW w:w="5692" w:type="dxa"/>
            <w:tcBorders>
              <w:top w:val="single" w:sz="4" w:space="0" w:color="auto"/>
              <w:bottom w:val="single" w:sz="4" w:space="0" w:color="BFBFBF" w:themeColor="background1" w:themeShade="BF"/>
            </w:tcBorders>
          </w:tcPr>
          <w:p w14:paraId="0F548C50" w14:textId="77777777" w:rsidR="00CF72D5" w:rsidRPr="002029AF" w:rsidRDefault="00CF72D5" w:rsidP="00CA2DE6">
            <w:pPr>
              <w:pStyle w:val="ARtabletextright"/>
            </w:pPr>
            <w:r w:rsidRPr="002029AF">
              <w:t>62</w:t>
            </w:r>
          </w:p>
        </w:tc>
      </w:tr>
      <w:tr w:rsidR="00CF72D5" w:rsidRPr="002029AF" w14:paraId="7AE02F8C" w14:textId="77777777" w:rsidTr="2B634061">
        <w:tc>
          <w:tcPr>
            <w:tcW w:w="3656" w:type="dxa"/>
            <w:tcBorders>
              <w:top w:val="single" w:sz="4" w:space="0" w:color="BFBFBF" w:themeColor="background1" w:themeShade="BF"/>
              <w:bottom w:val="single" w:sz="4" w:space="0" w:color="BFBFBF" w:themeColor="background1" w:themeShade="BF"/>
            </w:tcBorders>
          </w:tcPr>
          <w:p w14:paraId="055F02AA" w14:textId="77777777" w:rsidR="00CF72D5" w:rsidRPr="002029AF" w:rsidRDefault="00CF72D5" w:rsidP="00CA2DE6">
            <w:pPr>
              <w:pStyle w:val="ARtabletext"/>
            </w:pPr>
            <w:r w:rsidRPr="002029AF">
              <w:t>Demolitions</w:t>
            </w:r>
          </w:p>
        </w:tc>
        <w:tc>
          <w:tcPr>
            <w:tcW w:w="5692" w:type="dxa"/>
            <w:tcBorders>
              <w:top w:val="single" w:sz="4" w:space="0" w:color="BFBFBF" w:themeColor="background1" w:themeShade="BF"/>
              <w:bottom w:val="single" w:sz="4" w:space="0" w:color="BFBFBF" w:themeColor="background1" w:themeShade="BF"/>
            </w:tcBorders>
          </w:tcPr>
          <w:p w14:paraId="28F5DB06" w14:textId="77777777" w:rsidR="00CF72D5" w:rsidRPr="002029AF" w:rsidRDefault="00CF72D5" w:rsidP="00CA2DE6">
            <w:pPr>
              <w:pStyle w:val="ARtabletextright"/>
            </w:pPr>
            <w:r w:rsidRPr="002029AF">
              <w:t>538</w:t>
            </w:r>
          </w:p>
        </w:tc>
      </w:tr>
      <w:tr w:rsidR="00CF72D5" w:rsidRPr="002029AF" w14:paraId="6E3BD946" w14:textId="77777777" w:rsidTr="2B634061">
        <w:tc>
          <w:tcPr>
            <w:tcW w:w="3656" w:type="dxa"/>
            <w:tcBorders>
              <w:top w:val="single" w:sz="4" w:space="0" w:color="BFBFBF" w:themeColor="background1" w:themeShade="BF"/>
              <w:bottom w:val="single" w:sz="4" w:space="0" w:color="BFBFBF" w:themeColor="background1" w:themeShade="BF"/>
            </w:tcBorders>
          </w:tcPr>
          <w:p w14:paraId="058CFACF" w14:textId="1F192B03" w:rsidR="00CF72D5" w:rsidRPr="002029AF" w:rsidRDefault="00CF72D5" w:rsidP="00CA2DE6">
            <w:pPr>
              <w:pStyle w:val="ARtabletext"/>
            </w:pPr>
            <w:r w:rsidRPr="002029AF">
              <w:t>Short-term</w:t>
            </w:r>
            <w:r w:rsidR="000A5329" w:rsidRPr="002029AF">
              <w:t xml:space="preserve"> </w:t>
            </w:r>
            <w:r w:rsidRPr="002029AF">
              <w:t>lease</w:t>
            </w:r>
            <w:r w:rsidR="000A5329" w:rsidRPr="002029AF">
              <w:t xml:space="preserve"> </w:t>
            </w:r>
            <w:r w:rsidRPr="002029AF">
              <w:t>hand</w:t>
            </w:r>
            <w:r w:rsidR="000A5329" w:rsidRPr="002029AF">
              <w:t xml:space="preserve"> </w:t>
            </w:r>
            <w:r w:rsidRPr="002029AF">
              <w:t>backs</w:t>
            </w:r>
          </w:p>
        </w:tc>
        <w:tc>
          <w:tcPr>
            <w:tcW w:w="5692" w:type="dxa"/>
            <w:tcBorders>
              <w:top w:val="single" w:sz="4" w:space="0" w:color="BFBFBF" w:themeColor="background1" w:themeShade="BF"/>
              <w:bottom w:val="single" w:sz="4" w:space="0" w:color="BFBFBF" w:themeColor="background1" w:themeShade="BF"/>
            </w:tcBorders>
          </w:tcPr>
          <w:p w14:paraId="0C7E8EE0" w14:textId="77777777" w:rsidR="00CF72D5" w:rsidRPr="002029AF" w:rsidRDefault="00CF72D5" w:rsidP="00CA2DE6">
            <w:pPr>
              <w:pStyle w:val="ARtabletextright"/>
            </w:pPr>
            <w:r w:rsidRPr="002029AF">
              <w:t>140</w:t>
            </w:r>
          </w:p>
        </w:tc>
      </w:tr>
      <w:tr w:rsidR="00CF72D5" w:rsidRPr="002029AF" w14:paraId="14C11D79" w14:textId="77777777" w:rsidTr="2B634061">
        <w:tc>
          <w:tcPr>
            <w:tcW w:w="3656" w:type="dxa"/>
            <w:tcBorders>
              <w:top w:val="single" w:sz="4" w:space="0" w:color="BFBFBF" w:themeColor="background1" w:themeShade="BF"/>
              <w:bottom w:val="single" w:sz="4" w:space="0" w:color="BFBFBF" w:themeColor="background1" w:themeShade="BF"/>
            </w:tcBorders>
          </w:tcPr>
          <w:p w14:paraId="090B5196" w14:textId="7BA108B5" w:rsidR="00CF72D5" w:rsidRPr="002029AF" w:rsidRDefault="00CF72D5" w:rsidP="00CA2DE6">
            <w:pPr>
              <w:pStyle w:val="ARtabletext"/>
            </w:pPr>
            <w:r w:rsidRPr="002029AF">
              <w:t>Stock</w:t>
            </w:r>
            <w:r w:rsidR="000A5329" w:rsidRPr="002029AF">
              <w:t xml:space="preserve"> </w:t>
            </w:r>
            <w:r w:rsidRPr="002029AF">
              <w:t>offline</w:t>
            </w:r>
          </w:p>
        </w:tc>
        <w:tc>
          <w:tcPr>
            <w:tcW w:w="5692" w:type="dxa"/>
            <w:tcBorders>
              <w:top w:val="single" w:sz="4" w:space="0" w:color="BFBFBF" w:themeColor="background1" w:themeShade="BF"/>
              <w:bottom w:val="single" w:sz="4" w:space="0" w:color="BFBFBF" w:themeColor="background1" w:themeShade="BF"/>
            </w:tcBorders>
          </w:tcPr>
          <w:p w14:paraId="1245A469" w14:textId="77777777" w:rsidR="00CF72D5" w:rsidRPr="002029AF" w:rsidRDefault="00CF72D5" w:rsidP="00CA2DE6">
            <w:pPr>
              <w:pStyle w:val="ARtabletextright"/>
            </w:pPr>
            <w:r w:rsidRPr="002029AF">
              <w:t>554</w:t>
            </w:r>
          </w:p>
        </w:tc>
      </w:tr>
      <w:tr w:rsidR="00CF72D5" w:rsidRPr="002029AF" w14:paraId="6AAB9BA8" w14:textId="77777777" w:rsidTr="2B634061">
        <w:tc>
          <w:tcPr>
            <w:tcW w:w="3656" w:type="dxa"/>
            <w:tcBorders>
              <w:top w:val="single" w:sz="4" w:space="0" w:color="BFBFBF" w:themeColor="background1" w:themeShade="BF"/>
              <w:bottom w:val="single" w:sz="4" w:space="0" w:color="BFBFBF" w:themeColor="background1" w:themeShade="BF"/>
            </w:tcBorders>
          </w:tcPr>
          <w:p w14:paraId="4F946FD1" w14:textId="0665970A" w:rsidR="00CF72D5" w:rsidRPr="002029AF" w:rsidRDefault="00CF72D5" w:rsidP="00CA2DE6">
            <w:pPr>
              <w:pStyle w:val="ARtabletext"/>
            </w:pPr>
            <w:r w:rsidRPr="002029AF">
              <w:t>Stock</w:t>
            </w:r>
            <w:r w:rsidR="000A5329" w:rsidRPr="002029AF">
              <w:t xml:space="preserve"> </w:t>
            </w:r>
            <w:r w:rsidRPr="002029AF">
              <w:t>conversion</w:t>
            </w:r>
            <w:r w:rsidR="000A5329" w:rsidRPr="002029AF">
              <w:t xml:space="preserve"> </w:t>
            </w:r>
            <w:r w:rsidRPr="002029AF">
              <w:t>reductions</w:t>
            </w:r>
          </w:p>
        </w:tc>
        <w:tc>
          <w:tcPr>
            <w:tcW w:w="5692" w:type="dxa"/>
            <w:tcBorders>
              <w:top w:val="single" w:sz="4" w:space="0" w:color="BFBFBF" w:themeColor="background1" w:themeShade="BF"/>
              <w:bottom w:val="single" w:sz="4" w:space="0" w:color="BFBFBF" w:themeColor="background1" w:themeShade="BF"/>
            </w:tcBorders>
          </w:tcPr>
          <w:p w14:paraId="0C927BFF" w14:textId="77777777" w:rsidR="00CF72D5" w:rsidRPr="002029AF" w:rsidRDefault="00CF72D5" w:rsidP="00CA2DE6">
            <w:pPr>
              <w:pStyle w:val="ARtabletextright"/>
            </w:pPr>
            <w:r w:rsidRPr="002029AF">
              <w:t>4</w:t>
            </w:r>
          </w:p>
        </w:tc>
      </w:tr>
      <w:tr w:rsidR="00CF72D5" w:rsidRPr="002029AF" w14:paraId="7A2F880F" w14:textId="77777777" w:rsidTr="2B634061">
        <w:tc>
          <w:tcPr>
            <w:tcW w:w="3656" w:type="dxa"/>
            <w:tcBorders>
              <w:top w:val="single" w:sz="4" w:space="0" w:color="BFBFBF" w:themeColor="background1" w:themeShade="BF"/>
            </w:tcBorders>
          </w:tcPr>
          <w:p w14:paraId="547F7ACF" w14:textId="77777777" w:rsidR="00CF72D5" w:rsidRPr="002029AF" w:rsidRDefault="00CF72D5" w:rsidP="00CA2DE6">
            <w:pPr>
              <w:pStyle w:val="ARtabletext"/>
            </w:pPr>
            <w:r w:rsidRPr="002029AF">
              <w:t>Transferred</w:t>
            </w:r>
          </w:p>
        </w:tc>
        <w:tc>
          <w:tcPr>
            <w:tcW w:w="5692" w:type="dxa"/>
            <w:tcBorders>
              <w:top w:val="single" w:sz="4" w:space="0" w:color="BFBFBF" w:themeColor="background1" w:themeShade="BF"/>
            </w:tcBorders>
          </w:tcPr>
          <w:p w14:paraId="39973DED" w14:textId="77777777" w:rsidR="00CF72D5" w:rsidRPr="002029AF" w:rsidRDefault="00CF72D5" w:rsidP="00CA2DE6">
            <w:pPr>
              <w:pStyle w:val="ARtabletextright"/>
            </w:pPr>
            <w:r w:rsidRPr="002029AF">
              <w:t>314</w:t>
            </w:r>
          </w:p>
        </w:tc>
      </w:tr>
      <w:tr w:rsidR="00CF72D5" w:rsidRPr="002029AF" w14:paraId="03D1F134" w14:textId="77777777" w:rsidTr="2B634061">
        <w:tc>
          <w:tcPr>
            <w:tcW w:w="3656" w:type="dxa"/>
          </w:tcPr>
          <w:p w14:paraId="0C8394EC" w14:textId="10C30031" w:rsidR="00CF72D5" w:rsidRPr="002029AF" w:rsidRDefault="00CF72D5" w:rsidP="00CA2DE6">
            <w:pPr>
              <w:pStyle w:val="ARtabletextbold"/>
            </w:pPr>
            <w:r w:rsidRPr="002029AF">
              <w:t>Stock</w:t>
            </w:r>
            <w:r w:rsidR="000A5329" w:rsidRPr="002029AF">
              <w:t xml:space="preserve"> </w:t>
            </w:r>
            <w:r w:rsidRPr="002029AF">
              <w:t>at</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p>
        </w:tc>
        <w:tc>
          <w:tcPr>
            <w:tcW w:w="5692" w:type="dxa"/>
          </w:tcPr>
          <w:p w14:paraId="2EF4E3BF" w14:textId="426A552D" w:rsidR="00CF72D5" w:rsidRPr="002029AF" w:rsidRDefault="00CF72D5" w:rsidP="00CA2DE6">
            <w:pPr>
              <w:pStyle w:val="ARtabletextrightbold"/>
            </w:pPr>
            <w:r w:rsidRPr="002029AF">
              <w:t>85</w:t>
            </w:r>
            <w:r w:rsidR="00CA2DE6" w:rsidRPr="002029AF">
              <w:t>,</w:t>
            </w:r>
            <w:r w:rsidRPr="002029AF">
              <w:t>111</w:t>
            </w:r>
          </w:p>
        </w:tc>
      </w:tr>
    </w:tbl>
    <w:p w14:paraId="4ADE5CFE" w14:textId="29BB5C29" w:rsidR="00CF72D5" w:rsidRPr="002029AF" w:rsidRDefault="00CF72D5" w:rsidP="00CA2DE6">
      <w:pPr>
        <w:pStyle w:val="ARtablefootnote"/>
      </w:pPr>
      <w:r w:rsidRPr="002029AF">
        <w:t>Data</w:t>
      </w:r>
      <w:r w:rsidR="000A5329" w:rsidRPr="002029AF">
        <w:t xml:space="preserve"> </w:t>
      </w:r>
      <w:r w:rsidRPr="002029AF">
        <w:t>includes</w:t>
      </w:r>
      <w:r w:rsidR="000A5329" w:rsidRPr="002029AF">
        <w:t xml:space="preserve"> </w:t>
      </w:r>
      <w:r w:rsidRPr="002029AF">
        <w:t>Director</w:t>
      </w:r>
      <w:r w:rsidR="000A5329" w:rsidRPr="002029AF">
        <w:t xml:space="preserve"> </w:t>
      </w:r>
      <w:r w:rsidRPr="002029AF">
        <w:t>owned</w:t>
      </w:r>
      <w:r w:rsidR="000A5329" w:rsidRPr="002029AF">
        <w:t xml:space="preserve"> </w:t>
      </w:r>
      <w:r w:rsidRPr="002029AF">
        <w:t>units</w:t>
      </w:r>
      <w:r w:rsidR="000A5329" w:rsidRPr="002029AF">
        <w:t xml:space="preserve"> </w:t>
      </w:r>
      <w:r w:rsidRPr="002029AF">
        <w:t>(including</w:t>
      </w:r>
      <w:r w:rsidR="000A5329" w:rsidRPr="002029AF">
        <w:t xml:space="preserve"> </w:t>
      </w:r>
      <w:r w:rsidRPr="002029AF">
        <w:t>leases</w:t>
      </w:r>
      <w:r w:rsidR="000A5329" w:rsidRPr="002029AF">
        <w:t xml:space="preserve"> </w:t>
      </w:r>
      <w:r w:rsidRPr="002029AF">
        <w:t>and</w:t>
      </w:r>
      <w:r w:rsidR="000A5329" w:rsidRPr="002029AF">
        <w:t xml:space="preserve"> </w:t>
      </w:r>
      <w:r w:rsidRPr="002029AF">
        <w:t>other</w:t>
      </w:r>
      <w:r w:rsidR="000A5329" w:rsidRPr="002029AF">
        <w:t xml:space="preserve"> </w:t>
      </w:r>
      <w:r w:rsidRPr="002029AF">
        <w:t>Director</w:t>
      </w:r>
      <w:r w:rsidR="000A5329" w:rsidRPr="002029AF">
        <w:t xml:space="preserve"> </w:t>
      </w:r>
      <w:r w:rsidRPr="002029AF">
        <w:t>managed</w:t>
      </w:r>
      <w:r w:rsidR="000A5329" w:rsidRPr="002029AF">
        <w:t xml:space="preserve"> </w:t>
      </w:r>
      <w:r w:rsidRPr="002029AF">
        <w:t>units)</w:t>
      </w:r>
      <w:r w:rsidR="000A5329" w:rsidRPr="002029AF">
        <w:t xml:space="preserve"> </w:t>
      </w:r>
      <w:r w:rsidRPr="002029AF">
        <w:t>and</w:t>
      </w:r>
      <w:r w:rsidR="000A5329" w:rsidRPr="002029AF">
        <w:t xml:space="preserve"> </w:t>
      </w:r>
      <w:r w:rsidRPr="002029AF">
        <w:t>community</w:t>
      </w:r>
      <w:r w:rsidR="000A5329" w:rsidRPr="002029AF">
        <w:t xml:space="preserve"> </w:t>
      </w:r>
      <w:r w:rsidRPr="002029AF">
        <w:t>owned</w:t>
      </w:r>
      <w:r w:rsidR="000A5329" w:rsidRPr="002029AF">
        <w:t xml:space="preserve"> </w:t>
      </w:r>
      <w:r w:rsidRPr="002029AF">
        <w:t>units.</w:t>
      </w:r>
    </w:p>
    <w:p w14:paraId="4F3CB50A" w14:textId="41A2A549" w:rsidR="00E75420" w:rsidRPr="002029AF" w:rsidRDefault="00E75420" w:rsidP="00897193">
      <w:pPr>
        <w:pStyle w:val="ARbody"/>
        <w:sectPr w:rsidR="00E75420" w:rsidRPr="002029AF" w:rsidSect="0037374F">
          <w:headerReference w:type="even" r:id="rId187"/>
          <w:headerReference w:type="default" r:id="rId188"/>
          <w:headerReference w:type="first" r:id="rId189"/>
          <w:footerReference w:type="first" r:id="rId190"/>
          <w:endnotePr>
            <w:numFmt w:val="decimal"/>
          </w:endnotePr>
          <w:pgSz w:w="11900" w:h="16840" w:code="9"/>
          <w:pgMar w:top="1985" w:right="851" w:bottom="851" w:left="1418" w:header="510" w:footer="340" w:gutter="0"/>
          <w:cols w:space="454"/>
          <w15:footnoteColumns w:val="1"/>
        </w:sectPr>
      </w:pPr>
    </w:p>
    <w:p w14:paraId="11989D9A" w14:textId="77777777" w:rsidR="0067555D" w:rsidRPr="002029AF" w:rsidRDefault="00CF72D5" w:rsidP="00E3577B">
      <w:pPr>
        <w:pStyle w:val="Heading2"/>
        <w:spacing w:before="0"/>
      </w:pPr>
      <w:bookmarkStart w:id="178" w:name="_Ref492905722"/>
      <w:bookmarkStart w:id="179" w:name="_Toc21682724"/>
      <w:bookmarkStart w:id="180" w:name="_Toc54690801"/>
      <w:bookmarkEnd w:id="176"/>
      <w:bookmarkEnd w:id="177"/>
      <w:r w:rsidRPr="002029AF">
        <w:lastRenderedPageBreak/>
        <w:t>Environmental</w:t>
      </w:r>
      <w:r w:rsidR="000A5329" w:rsidRPr="002029AF">
        <w:t xml:space="preserve"> </w:t>
      </w:r>
      <w:r w:rsidRPr="002029AF">
        <w:t>sustainability</w:t>
      </w:r>
      <w:r w:rsidR="000A5329" w:rsidRPr="002029AF">
        <w:t xml:space="preserve"> </w:t>
      </w:r>
      <w:r w:rsidRPr="002029AF">
        <w:t>report</w:t>
      </w:r>
      <w:bookmarkEnd w:id="178"/>
      <w:bookmarkEnd w:id="179"/>
      <w:bookmarkEnd w:id="180"/>
    </w:p>
    <w:p w14:paraId="4DC9A0E7" w14:textId="186C62E0" w:rsidR="00CF72D5" w:rsidRPr="002029AF" w:rsidRDefault="00CF72D5" w:rsidP="006F2C99">
      <w:pPr>
        <w:pStyle w:val="Heading3"/>
      </w:pPr>
      <w:bookmarkStart w:id="181" w:name="_Ref492895460"/>
      <w:r w:rsidRPr="002029AF">
        <w:t>Environmental</w:t>
      </w:r>
      <w:r w:rsidR="000A5329" w:rsidRPr="002029AF">
        <w:t xml:space="preserve"> </w:t>
      </w:r>
      <w:r w:rsidRPr="002029AF">
        <w:t>performance</w:t>
      </w:r>
      <w:r w:rsidR="000A5329" w:rsidRPr="002029AF">
        <w:t xml:space="preserve"> </w:t>
      </w:r>
      <w:r w:rsidRPr="002029AF">
        <w:t>and</w:t>
      </w:r>
      <w:r w:rsidR="000A5329" w:rsidRPr="002029AF">
        <w:t xml:space="preserve"> </w:t>
      </w:r>
      <w:r w:rsidRPr="002029AF">
        <w:t>impacts</w:t>
      </w:r>
    </w:p>
    <w:bookmarkEnd w:id="181"/>
    <w:p w14:paraId="4B2E9AC1" w14:textId="33FE51D2" w:rsidR="00CF72D5" w:rsidRPr="002029AF" w:rsidRDefault="00CF72D5" w:rsidP="00693FBF">
      <w:pPr>
        <w:pStyle w:val="ARbody"/>
      </w:pPr>
      <w:r w:rsidRPr="002029AF">
        <w:t>In</w:t>
      </w:r>
      <w:r w:rsidR="000A5329" w:rsidRPr="002029AF">
        <w:t xml:space="preserve"> </w:t>
      </w:r>
      <w:r w:rsidRPr="002029AF">
        <w:t>2019–20,</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made</w:t>
      </w:r>
      <w:r w:rsidR="000A5329" w:rsidRPr="002029AF">
        <w:t xml:space="preserve"> </w:t>
      </w:r>
      <w:r w:rsidRPr="002029AF">
        <w:t>progress</w:t>
      </w:r>
      <w:r w:rsidR="000A5329" w:rsidRPr="002029AF">
        <w:t xml:space="preserve"> </w:t>
      </w:r>
      <w:r w:rsidRPr="002029AF">
        <w:t>on</w:t>
      </w:r>
      <w:r w:rsidR="000A5329" w:rsidRPr="002029AF">
        <w:t xml:space="preserve"> </w:t>
      </w:r>
      <w:r w:rsidRPr="002029AF">
        <w:t>reducing</w:t>
      </w:r>
      <w:r w:rsidR="000A5329" w:rsidRPr="002029AF">
        <w:t xml:space="preserve"> </w:t>
      </w:r>
      <w:r w:rsidRPr="002029AF">
        <w:t>its</w:t>
      </w:r>
      <w:r w:rsidR="000A5329" w:rsidRPr="002029AF">
        <w:t xml:space="preserve"> </w:t>
      </w:r>
      <w:r w:rsidRPr="002029AF">
        <w:t>environmental</w:t>
      </w:r>
      <w:r w:rsidR="000A5329" w:rsidRPr="002029AF">
        <w:t xml:space="preserve"> </w:t>
      </w:r>
      <w:r w:rsidRPr="002029AF">
        <w:t>footprint</w:t>
      </w:r>
      <w:r w:rsidR="000A5329" w:rsidRPr="002029AF">
        <w:t xml:space="preserve"> </w:t>
      </w:r>
      <w:r w:rsidRPr="002029AF">
        <w:t>and</w:t>
      </w:r>
      <w:r w:rsidR="000A5329" w:rsidRPr="002029AF">
        <w:t xml:space="preserve"> </w:t>
      </w:r>
      <w:r w:rsidRPr="002029AF">
        <w:t>managing</w:t>
      </w:r>
      <w:r w:rsidR="000A5329" w:rsidRPr="002029AF">
        <w:t xml:space="preserve"> </w:t>
      </w:r>
      <w:r w:rsidRPr="002029AF">
        <w:t>climate</w:t>
      </w:r>
      <w:r w:rsidR="000A5329" w:rsidRPr="002029AF">
        <w:t xml:space="preserve"> </w:t>
      </w:r>
      <w:r w:rsidRPr="002029AF">
        <w:t>change</w:t>
      </w:r>
      <w:r w:rsidR="000A5329" w:rsidRPr="002029AF">
        <w:t xml:space="preserve"> </w:t>
      </w:r>
      <w:r w:rsidRPr="002029AF">
        <w:t>risks</w:t>
      </w:r>
      <w:r w:rsidR="000A5329" w:rsidRPr="002029AF">
        <w:t xml:space="preserve"> </w:t>
      </w:r>
      <w:r w:rsidRPr="002029AF">
        <w:t>across</w:t>
      </w:r>
      <w:r w:rsidR="000A5329" w:rsidRPr="002029AF">
        <w:t xml:space="preserve"> </w:t>
      </w:r>
      <w:r w:rsidRPr="002029AF">
        <w:t>the</w:t>
      </w:r>
      <w:r w:rsidR="000A5329" w:rsidRPr="002029AF">
        <w:t xml:space="preserve"> </w:t>
      </w:r>
      <w:r w:rsidRPr="002029AF">
        <w:t>sector</w:t>
      </w:r>
      <w:r w:rsidR="000A5329" w:rsidRPr="002029AF">
        <w:t xml:space="preserve"> </w:t>
      </w:r>
      <w:r w:rsidRPr="002029AF">
        <w:t>despite</w:t>
      </w:r>
      <w:r w:rsidR="000A5329" w:rsidRPr="002029AF">
        <w:t xml:space="preserve"> </w:t>
      </w:r>
      <w:r w:rsidRPr="002029AF">
        <w:t>significant</w:t>
      </w:r>
      <w:r w:rsidR="000A5329" w:rsidRPr="002029AF">
        <w:t xml:space="preserve"> </w:t>
      </w:r>
      <w:r w:rsidRPr="002029AF">
        <w:t>challenges</w:t>
      </w:r>
      <w:r w:rsidR="000A5329" w:rsidRPr="002029AF">
        <w:t xml:space="preserve"> </w:t>
      </w:r>
      <w:r w:rsidRPr="002029AF">
        <w:t>caused</w:t>
      </w:r>
      <w:r w:rsidR="000A5329" w:rsidRPr="002029AF">
        <w:t xml:space="preserve"> </w:t>
      </w:r>
      <w:r w:rsidRPr="002029AF">
        <w:t>by</w:t>
      </w:r>
      <w:r w:rsidR="000A5329" w:rsidRPr="002029AF">
        <w:t xml:space="preserve"> </w:t>
      </w:r>
      <w:r w:rsidRPr="002029AF">
        <w:t>COVID-19.</w:t>
      </w:r>
    </w:p>
    <w:p w14:paraId="55F3B9F9" w14:textId="2E73F7E1" w:rsidR="00CF72D5" w:rsidRPr="002029AF" w:rsidRDefault="00CF72D5" w:rsidP="00693FBF">
      <w:pPr>
        <w:pStyle w:val="ARbody"/>
      </w:pPr>
      <w:r w:rsidRPr="002029AF">
        <w:t>In</w:t>
      </w:r>
      <w:r w:rsidR="000A5329" w:rsidRPr="002029AF">
        <w:t xml:space="preserve"> </w:t>
      </w:r>
      <w:r w:rsidRPr="002029AF">
        <w:t>particular,</w:t>
      </w:r>
      <w:r w:rsidR="000A5329" w:rsidRPr="002029AF">
        <w:t xml:space="preserve"> </w:t>
      </w:r>
      <w:r w:rsidRPr="002029AF">
        <w:t>the</w:t>
      </w:r>
      <w:r w:rsidR="000A5329" w:rsidRPr="002029AF">
        <w:t xml:space="preserve"> </w:t>
      </w:r>
      <w:r w:rsidRPr="002029AF">
        <w:t>collection</w:t>
      </w:r>
      <w:r w:rsidR="000A5329" w:rsidRPr="002029AF">
        <w:t xml:space="preserve"> </w:t>
      </w:r>
      <w:r w:rsidRPr="002029AF">
        <w:t>of</w:t>
      </w:r>
      <w:r w:rsidR="000A5329" w:rsidRPr="002029AF">
        <w:t xml:space="preserve"> </w:t>
      </w:r>
      <w:r w:rsidRPr="002029AF">
        <w:t>some</w:t>
      </w:r>
      <w:r w:rsidR="000A5329" w:rsidRPr="002029AF">
        <w:t xml:space="preserve"> </w:t>
      </w:r>
      <w:r w:rsidRPr="002029AF">
        <w:t>environmental</w:t>
      </w:r>
      <w:r w:rsidR="000A5329" w:rsidRPr="002029AF">
        <w:t xml:space="preserve"> </w:t>
      </w:r>
      <w:r w:rsidRPr="002029AF">
        <w:t>datasets</w:t>
      </w:r>
      <w:r w:rsidR="000A5329" w:rsidRPr="002029AF">
        <w:t xml:space="preserve"> </w:t>
      </w:r>
      <w:r w:rsidRPr="002029AF">
        <w:t>and</w:t>
      </w:r>
      <w:r w:rsidR="000A5329" w:rsidRPr="002029AF">
        <w:t xml:space="preserve"> </w:t>
      </w:r>
      <w:r w:rsidRPr="002029AF">
        <w:t>the</w:t>
      </w:r>
      <w:r w:rsidR="000A5329" w:rsidRPr="002029AF">
        <w:t xml:space="preserve"> </w:t>
      </w:r>
      <w:r w:rsidRPr="002029AF">
        <w:t>completion</w:t>
      </w:r>
      <w:r w:rsidR="000A5329" w:rsidRPr="002029AF">
        <w:t xml:space="preserve"> </w:t>
      </w:r>
      <w:r w:rsidRPr="002029AF">
        <w:t>of</w:t>
      </w:r>
      <w:r w:rsidR="000A5329" w:rsidRPr="002029AF">
        <w:t xml:space="preserve"> </w:t>
      </w:r>
      <w:r w:rsidRPr="002029AF">
        <w:t>environmental</w:t>
      </w:r>
      <w:r w:rsidR="000A5329" w:rsidRPr="002029AF">
        <w:t xml:space="preserve"> </w:t>
      </w:r>
      <w:r w:rsidRPr="002029AF">
        <w:t>targets</w:t>
      </w:r>
      <w:r w:rsidR="000A5329" w:rsidRPr="002029AF">
        <w:t xml:space="preserve"> </w:t>
      </w:r>
      <w:r w:rsidRPr="002029AF">
        <w:t>were</w:t>
      </w:r>
      <w:r w:rsidR="000A5329" w:rsidRPr="002029AF">
        <w:t xml:space="preserve"> </w:t>
      </w:r>
      <w:r w:rsidRPr="002029AF">
        <w:t>impacted</w:t>
      </w:r>
      <w:r w:rsidR="000A5329" w:rsidRPr="002029AF">
        <w:t xml:space="preserve"> </w:t>
      </w:r>
      <w:r w:rsidRPr="002029AF">
        <w:t>by</w:t>
      </w:r>
      <w:r w:rsidR="000A5329" w:rsidRPr="002029AF">
        <w:t xml:space="preserve"> </w:t>
      </w:r>
      <w:r w:rsidRPr="002029AF">
        <w:t>the</w:t>
      </w:r>
      <w:r w:rsidR="000A5329" w:rsidRPr="002029AF">
        <w:t xml:space="preserve"> </w:t>
      </w:r>
      <w:r w:rsidRPr="002029AF">
        <w:t>unprecedented</w:t>
      </w:r>
      <w:r w:rsidR="000A5329" w:rsidRPr="002029AF">
        <w:t xml:space="preserve"> </w:t>
      </w:r>
      <w:r w:rsidRPr="002029AF">
        <w:t>disruptions</w:t>
      </w:r>
      <w:r w:rsidR="000A5329" w:rsidRPr="002029AF">
        <w:t xml:space="preserve"> </w:t>
      </w:r>
      <w:r w:rsidRPr="002029AF">
        <w:t>to</w:t>
      </w:r>
      <w:r w:rsidR="000A5329" w:rsidRPr="002029AF">
        <w:t xml:space="preserve"> </w:t>
      </w:r>
      <w:r w:rsidRPr="002029AF">
        <w:t>workplace</w:t>
      </w:r>
      <w:r w:rsidR="000A5329" w:rsidRPr="002029AF">
        <w:t xml:space="preserve"> </w:t>
      </w:r>
      <w:r w:rsidRPr="002029AF">
        <w:t>activities</w:t>
      </w:r>
      <w:r w:rsidR="000A5329" w:rsidRPr="002029AF">
        <w:t xml:space="preserve"> </w:t>
      </w:r>
      <w:r w:rsidRPr="002029AF">
        <w:t>and</w:t>
      </w:r>
      <w:r w:rsidR="000A5329" w:rsidRPr="002029AF">
        <w:t xml:space="preserve"> </w:t>
      </w:r>
      <w:r w:rsidRPr="002029AF">
        <w:t>service</w:t>
      </w:r>
      <w:r w:rsidR="000A5329" w:rsidRPr="002029AF">
        <w:t xml:space="preserve"> </w:t>
      </w:r>
      <w:r w:rsidRPr="002029AF">
        <w:t>delivery.</w:t>
      </w:r>
      <w:r w:rsidR="000A5329" w:rsidRPr="002029AF">
        <w:t xml:space="preserve"> </w:t>
      </w:r>
      <w:r w:rsidRPr="002029AF">
        <w:t>Environmental</w:t>
      </w:r>
      <w:r w:rsidR="000A5329" w:rsidRPr="002029AF">
        <w:t xml:space="preserve"> </w:t>
      </w:r>
      <w:r w:rsidRPr="002029AF">
        <w:t>performance</w:t>
      </w:r>
      <w:r w:rsidR="000A5329" w:rsidRPr="002029AF">
        <w:t xml:space="preserve"> </w:t>
      </w:r>
      <w:r w:rsidRPr="002029AF">
        <w:t>indicators</w:t>
      </w:r>
      <w:r w:rsidR="000A5329" w:rsidRPr="002029AF">
        <w:t xml:space="preserve"> </w:t>
      </w:r>
      <w:r w:rsidRPr="002029AF">
        <w:t>for</w:t>
      </w:r>
      <w:r w:rsidR="000A5329" w:rsidRPr="002029AF">
        <w:t xml:space="preserve"> </w:t>
      </w:r>
      <w:r w:rsidRPr="002029AF">
        <w:t>energy,</w:t>
      </w:r>
      <w:r w:rsidR="000A5329" w:rsidRPr="002029AF">
        <w:t xml:space="preserve"> </w:t>
      </w:r>
      <w:r w:rsidRPr="002029AF">
        <w:t>paper</w:t>
      </w:r>
      <w:r w:rsidR="000A5329" w:rsidRPr="002029AF">
        <w:t xml:space="preserve"> </w:t>
      </w:r>
      <w:r w:rsidRPr="002029AF">
        <w:t>and</w:t>
      </w:r>
      <w:r w:rsidR="000A5329" w:rsidRPr="002029AF">
        <w:t xml:space="preserve"> </w:t>
      </w:r>
      <w:r w:rsidRPr="002029AF">
        <w:t>transportation</w:t>
      </w:r>
      <w:r w:rsidR="000A5329" w:rsidRPr="002029AF">
        <w:t xml:space="preserve"> </w:t>
      </w:r>
      <w:r w:rsidRPr="002029AF">
        <w:t>were</w:t>
      </w:r>
      <w:r w:rsidR="000A5329" w:rsidRPr="002029AF">
        <w:t xml:space="preserve"> </w:t>
      </w:r>
      <w:r w:rsidRPr="002029AF">
        <w:t>also</w:t>
      </w:r>
      <w:r w:rsidR="000A5329" w:rsidRPr="002029AF">
        <w:t xml:space="preserve"> </w:t>
      </w:r>
      <w:r w:rsidRPr="002029AF">
        <w:t>affected</w:t>
      </w:r>
      <w:r w:rsidR="000A5329" w:rsidRPr="002029AF">
        <w:t xml:space="preserve"> </w:t>
      </w:r>
      <w:r w:rsidRPr="002029AF">
        <w:t>by</w:t>
      </w:r>
      <w:r w:rsidR="000A5329" w:rsidRPr="002029AF">
        <w:t xml:space="preserve"> </w:t>
      </w:r>
      <w:r w:rsidRPr="002029AF">
        <w:t>restricted</w:t>
      </w:r>
      <w:r w:rsidR="000A5329" w:rsidRPr="002029AF">
        <w:t xml:space="preserve"> </w:t>
      </w:r>
      <w:r w:rsidRPr="002029AF">
        <w:t>access</w:t>
      </w:r>
      <w:r w:rsidR="000A5329" w:rsidRPr="002029AF">
        <w:t xml:space="preserve"> </w:t>
      </w:r>
      <w:r w:rsidRPr="002029AF">
        <w:t>to</w:t>
      </w:r>
      <w:r w:rsidR="000A5329" w:rsidRPr="002029AF">
        <w:t xml:space="preserve"> </w:t>
      </w:r>
      <w:r w:rsidRPr="002029AF">
        <w:t>office-based</w:t>
      </w:r>
      <w:r w:rsidR="000A5329" w:rsidRPr="002029AF">
        <w:t xml:space="preserve"> </w:t>
      </w:r>
      <w:r w:rsidRPr="002029AF">
        <w:t>workplaces</w:t>
      </w:r>
      <w:r w:rsidR="000A5329" w:rsidRPr="002029AF">
        <w:t xml:space="preserve"> </w:t>
      </w:r>
      <w:r w:rsidRPr="002029AF">
        <w:t>and</w:t>
      </w:r>
      <w:r w:rsidR="000A5329" w:rsidRPr="002029AF">
        <w:t xml:space="preserve"> </w:t>
      </w:r>
      <w:r w:rsidRPr="002029AF">
        <w:t>the</w:t>
      </w:r>
      <w:r w:rsidR="000A5329" w:rsidRPr="002029AF">
        <w:t xml:space="preserve"> </w:t>
      </w:r>
      <w:r w:rsidRPr="002029AF">
        <w:t>department-wide</w:t>
      </w:r>
      <w:r w:rsidR="000A5329" w:rsidRPr="002029AF">
        <w:t xml:space="preserve"> </w:t>
      </w:r>
      <w:r w:rsidRPr="002029AF">
        <w:t>shift</w:t>
      </w:r>
      <w:r w:rsidR="000A5329" w:rsidRPr="002029AF">
        <w:t xml:space="preserve"> </w:t>
      </w:r>
      <w:r w:rsidRPr="002029AF">
        <w:t>to</w:t>
      </w:r>
      <w:r w:rsidR="000A5329" w:rsidRPr="002029AF">
        <w:t xml:space="preserve"> </w:t>
      </w:r>
      <w:r w:rsidRPr="002029AF">
        <w:t>remote</w:t>
      </w:r>
      <w:r w:rsidR="000A5329" w:rsidRPr="002029AF">
        <w:t xml:space="preserve"> </w:t>
      </w:r>
      <w:r w:rsidRPr="002029AF">
        <w:t>working</w:t>
      </w:r>
      <w:r w:rsidR="000A5329" w:rsidRPr="002029AF">
        <w:t xml:space="preserve"> </w:t>
      </w:r>
      <w:r w:rsidRPr="002029AF">
        <w:t>during</w:t>
      </w:r>
      <w:r w:rsidR="000A5329" w:rsidRPr="002029AF">
        <w:t xml:space="preserve"> </w:t>
      </w:r>
      <w:r w:rsidRPr="002029AF">
        <w:t>the</w:t>
      </w:r>
      <w:r w:rsidR="000A5329" w:rsidRPr="002029AF">
        <w:t xml:space="preserve"> </w:t>
      </w:r>
      <w:r w:rsidRPr="002029AF">
        <w:t>year.</w:t>
      </w:r>
    </w:p>
    <w:p w14:paraId="023279D3" w14:textId="143E3948" w:rsidR="00CF72D5" w:rsidRPr="002029AF" w:rsidRDefault="00CF72D5" w:rsidP="006F2C99">
      <w:pPr>
        <w:pStyle w:val="Heading4"/>
      </w:pPr>
      <w:r w:rsidRPr="002029AF">
        <w:t>Highlights</w:t>
      </w:r>
    </w:p>
    <w:p w14:paraId="39C670BF" w14:textId="77777777" w:rsidR="007E76C5" w:rsidRPr="002029AF" w:rsidRDefault="007E76C5" w:rsidP="00DC6F5C">
      <w:pPr>
        <w:pStyle w:val="ARbody"/>
        <w:sectPr w:rsidR="007E76C5" w:rsidRPr="002029AF" w:rsidSect="006C7588">
          <w:footerReference w:type="default" r:id="rId191"/>
          <w:endnotePr>
            <w:numFmt w:val="decimal"/>
          </w:endnotePr>
          <w:pgSz w:w="11900" w:h="16840" w:code="9"/>
          <w:pgMar w:top="1985" w:right="851" w:bottom="851" w:left="1418" w:header="510" w:footer="340" w:gutter="0"/>
          <w:cols w:space="454"/>
          <w15:footnoteColumns w:val="1"/>
        </w:sectPr>
      </w:pPr>
    </w:p>
    <w:p w14:paraId="65784A7F" w14:textId="09F010EF" w:rsidR="00CF72D5" w:rsidRPr="002029AF" w:rsidRDefault="00CF72D5" w:rsidP="00DC6F5C">
      <w:pPr>
        <w:pStyle w:val="ARbody"/>
      </w:pPr>
      <w:r w:rsidRPr="002029AF">
        <w:t>Highlights</w:t>
      </w:r>
      <w:r w:rsidR="000A5329" w:rsidRPr="002029AF">
        <w:t xml:space="preserve"> </w:t>
      </w:r>
      <w:r w:rsidRPr="002029AF">
        <w:t>for</w:t>
      </w:r>
      <w:r w:rsidR="000A5329" w:rsidRPr="002029AF">
        <w:t xml:space="preserve"> </w:t>
      </w:r>
      <w:r w:rsidRPr="002029AF">
        <w:t>the</w:t>
      </w:r>
      <w:r w:rsidR="000A5329" w:rsidRPr="002029AF">
        <w:t xml:space="preserve"> </w:t>
      </w:r>
      <w:r w:rsidRPr="002029AF">
        <w:t>period</w:t>
      </w:r>
      <w:r w:rsidR="000A5329" w:rsidRPr="002029AF">
        <w:t xml:space="preserve"> </w:t>
      </w:r>
      <w:r w:rsidRPr="002029AF">
        <w:t>included:</w:t>
      </w:r>
    </w:p>
    <w:p w14:paraId="52CEE8D8" w14:textId="4B84A56F" w:rsidR="00CF72D5" w:rsidRPr="002029AF" w:rsidRDefault="00CF72D5" w:rsidP="00DC6F5C">
      <w:pPr>
        <w:pStyle w:val="ARbullet1"/>
      </w:pPr>
      <w:r w:rsidRPr="002029AF">
        <w:t>reducing</w:t>
      </w:r>
      <w:r w:rsidR="000A5329" w:rsidRPr="002029AF">
        <w:t xml:space="preserve"> </w:t>
      </w:r>
      <w:r w:rsidRPr="002029AF">
        <w:t>annual</w:t>
      </w:r>
      <w:r w:rsidR="000A5329" w:rsidRPr="002029AF">
        <w:t xml:space="preserve"> </w:t>
      </w:r>
      <w:r w:rsidRPr="002029AF">
        <w:t>reported</w:t>
      </w:r>
      <w:r w:rsidR="000A5329" w:rsidRPr="002029AF">
        <w:t xml:space="preserve"> </w:t>
      </w:r>
      <w:r w:rsidRPr="002029AF">
        <w:t>greenhouse</w:t>
      </w:r>
      <w:r w:rsidR="000A5329" w:rsidRPr="002029AF">
        <w:t xml:space="preserve"> </w:t>
      </w:r>
      <w:r w:rsidRPr="002029AF">
        <w:t>gas</w:t>
      </w:r>
      <w:r w:rsidR="003048F1">
        <w:t> </w:t>
      </w:r>
      <w:r w:rsidRPr="002029AF">
        <w:t>emissions</w:t>
      </w:r>
      <w:r w:rsidR="000A5329" w:rsidRPr="002029AF">
        <w:t xml:space="preserve"> </w:t>
      </w:r>
      <w:r w:rsidRPr="002029AF">
        <w:t>in</w:t>
      </w:r>
      <w:r w:rsidR="000A5329" w:rsidRPr="002029AF">
        <w:t xml:space="preserve"> </w:t>
      </w:r>
      <w:r w:rsidRPr="002029AF">
        <w:t>the</w:t>
      </w:r>
      <w:r w:rsidR="000A5329" w:rsidRPr="002029AF">
        <w:t xml:space="preserve"> </w:t>
      </w:r>
      <w:r w:rsidRPr="002029AF">
        <w:t>public</w:t>
      </w:r>
      <w:r w:rsidR="000A5329" w:rsidRPr="002029AF">
        <w:t xml:space="preserve"> </w:t>
      </w:r>
      <w:r w:rsidRPr="002029AF">
        <w:t>health</w:t>
      </w:r>
      <w:r w:rsidR="000A5329" w:rsidRPr="002029AF">
        <w:t xml:space="preserve"> </w:t>
      </w:r>
      <w:r w:rsidRPr="002029AF">
        <w:t>sector</w:t>
      </w:r>
      <w:r w:rsidR="000A5329" w:rsidRPr="002029AF">
        <w:t xml:space="preserve"> </w:t>
      </w:r>
      <w:r w:rsidRPr="002029AF">
        <w:t>by</w:t>
      </w:r>
      <w:r w:rsidR="000A5329" w:rsidRPr="002029AF">
        <w:t xml:space="preserve"> </w:t>
      </w:r>
      <w:r w:rsidRPr="002029AF">
        <w:t>5.8</w:t>
      </w:r>
      <w:r w:rsidR="003048F1">
        <w:t> </w:t>
      </w:r>
      <w:r w:rsidRPr="002029AF">
        <w:t>per</w:t>
      </w:r>
      <w:r w:rsidR="003048F1">
        <w:t> </w:t>
      </w:r>
      <w:r w:rsidRPr="002029AF">
        <w:t>cent</w:t>
      </w:r>
      <w:r w:rsidR="000A5329" w:rsidRPr="002029AF">
        <w:t xml:space="preserve"> </w:t>
      </w:r>
      <w:r w:rsidRPr="002029AF">
        <w:t>or</w:t>
      </w:r>
      <w:r w:rsidR="000A5329" w:rsidRPr="002029AF">
        <w:t xml:space="preserve"> </w:t>
      </w:r>
      <w:r w:rsidRPr="002029AF">
        <w:t>50,139</w:t>
      </w:r>
      <w:r w:rsidR="000A5329" w:rsidRPr="002029AF">
        <w:t xml:space="preserve"> </w:t>
      </w:r>
      <w:r w:rsidRPr="002029AF">
        <w:t>tonnes</w:t>
      </w:r>
      <w:r w:rsidR="000A5329" w:rsidRPr="002029AF">
        <w:t xml:space="preserve"> </w:t>
      </w:r>
      <w:r w:rsidRPr="002029AF">
        <w:t>of</w:t>
      </w:r>
      <w:r w:rsidR="000A5329" w:rsidRPr="002029AF">
        <w:t xml:space="preserve"> </w:t>
      </w:r>
      <w:r w:rsidRPr="002029AF">
        <w:t>carbon-dioxide</w:t>
      </w:r>
      <w:r w:rsidR="000A5329" w:rsidRPr="002029AF">
        <w:t xml:space="preserve"> </w:t>
      </w:r>
      <w:r w:rsidRPr="002029AF">
        <w:t>equivalent</w:t>
      </w:r>
      <w:r w:rsidR="000A5329" w:rsidRPr="002029AF">
        <w:t xml:space="preserve"> </w:t>
      </w:r>
      <w:r w:rsidRPr="002029AF">
        <w:t>(CO</w:t>
      </w:r>
      <w:r w:rsidRPr="002029AF">
        <w:rPr>
          <w:vertAlign w:val="subscript"/>
        </w:rPr>
        <w:t>2</w:t>
      </w:r>
      <w:r w:rsidRPr="002029AF">
        <w:t>-e)</w:t>
      </w:r>
    </w:p>
    <w:p w14:paraId="20C23E05" w14:textId="2D3B1C71" w:rsidR="000A5329" w:rsidRPr="002029AF" w:rsidRDefault="00CF72D5" w:rsidP="00693FBF">
      <w:pPr>
        <w:pStyle w:val="ARbullet1"/>
      </w:pPr>
      <w:r w:rsidRPr="002029AF">
        <w:t>contributing</w:t>
      </w:r>
      <w:r w:rsidR="000A5329" w:rsidRPr="002029AF">
        <w:t xml:space="preserve"> </w:t>
      </w:r>
      <w:r w:rsidRPr="002029AF">
        <w:t>to</w:t>
      </w:r>
      <w:r w:rsidR="000A5329" w:rsidRPr="002029AF">
        <w:t xml:space="preserve"> </w:t>
      </w:r>
      <w:r w:rsidRPr="002029AF">
        <w:t>the</w:t>
      </w:r>
      <w:r w:rsidR="000A5329" w:rsidRPr="002029AF">
        <w:t xml:space="preserve"> </w:t>
      </w:r>
      <w:r w:rsidRPr="002029AF">
        <w:t>whole</w:t>
      </w:r>
      <w:r w:rsidR="000A5329" w:rsidRPr="002029AF">
        <w:t xml:space="preserve"> </w:t>
      </w:r>
      <w:r w:rsidRPr="002029AF">
        <w:t>of</w:t>
      </w:r>
      <w:r w:rsidR="000A5329" w:rsidRPr="002029AF">
        <w:t xml:space="preserve"> </w:t>
      </w:r>
      <w:r w:rsidRPr="002029AF">
        <w:t>Victorian</w:t>
      </w:r>
      <w:r w:rsidR="000A5329" w:rsidRPr="002029AF">
        <w:t xml:space="preserve"> </w:t>
      </w:r>
      <w:r w:rsidRPr="002029AF">
        <w:t>Government</w:t>
      </w:r>
      <w:r w:rsidR="000A5329" w:rsidRPr="002029AF">
        <w:t xml:space="preserve"> </w:t>
      </w:r>
      <w:r w:rsidRPr="002029AF">
        <w:t>TAKE2</w:t>
      </w:r>
      <w:r w:rsidR="000A5329" w:rsidRPr="002029AF">
        <w:t xml:space="preserve"> </w:t>
      </w:r>
      <w:r w:rsidRPr="002029AF">
        <w:t>emissions</w:t>
      </w:r>
      <w:r w:rsidR="000A5329" w:rsidRPr="002029AF">
        <w:t xml:space="preserve"> </w:t>
      </w:r>
      <w:r w:rsidRPr="002029AF">
        <w:t>reduction</w:t>
      </w:r>
      <w:r w:rsidR="000A5329" w:rsidRPr="002029AF">
        <w:t xml:space="preserve"> </w:t>
      </w:r>
      <w:r w:rsidRPr="002029AF">
        <w:t>target,</w:t>
      </w:r>
      <w:r w:rsidR="000A5329" w:rsidRPr="002029AF">
        <w:t xml:space="preserve"> </w:t>
      </w:r>
      <w:r w:rsidRPr="002029AF">
        <w:t>reducing</w:t>
      </w:r>
      <w:r w:rsidR="000A5329" w:rsidRPr="002029AF">
        <w:t xml:space="preserve"> </w:t>
      </w:r>
      <w:r w:rsidRPr="002029AF">
        <w:t>our</w:t>
      </w:r>
      <w:r w:rsidR="000A5329" w:rsidRPr="002029AF">
        <w:t xml:space="preserve"> </w:t>
      </w:r>
      <w:r w:rsidRPr="002029AF">
        <w:t>greenhouse</w:t>
      </w:r>
      <w:r w:rsidR="000A5329" w:rsidRPr="002029AF">
        <w:t xml:space="preserve"> </w:t>
      </w:r>
      <w:r w:rsidRPr="002029AF">
        <w:t>gas</w:t>
      </w:r>
      <w:r w:rsidR="000A5329" w:rsidRPr="002029AF">
        <w:t xml:space="preserve"> </w:t>
      </w:r>
      <w:r w:rsidRPr="002029AF">
        <w:t>emissions</w:t>
      </w:r>
      <w:r w:rsidR="000A5329" w:rsidRPr="002029AF">
        <w:t xml:space="preserve"> </w:t>
      </w:r>
      <w:r w:rsidRPr="002029AF">
        <w:t>from</w:t>
      </w:r>
      <w:r w:rsidR="000A5329" w:rsidRPr="002029AF">
        <w:t xml:space="preserve"> </w:t>
      </w:r>
      <w:r w:rsidRPr="002029AF">
        <w:t>office-based</w:t>
      </w:r>
      <w:r w:rsidR="000A5329" w:rsidRPr="002029AF">
        <w:t xml:space="preserve"> </w:t>
      </w:r>
      <w:r w:rsidRPr="002029AF">
        <w:t>sources</w:t>
      </w:r>
      <w:r w:rsidR="000A5329" w:rsidRPr="002029AF">
        <w:t xml:space="preserve"> </w:t>
      </w:r>
      <w:r w:rsidRPr="002029AF">
        <w:t>by</w:t>
      </w:r>
      <w:r w:rsidR="000A5329" w:rsidRPr="002029AF">
        <w:t xml:space="preserve"> </w:t>
      </w:r>
      <w:r w:rsidRPr="002029AF">
        <w:t>20</w:t>
      </w:r>
      <w:r w:rsidR="000A5329" w:rsidRPr="002029AF">
        <w:t xml:space="preserve"> </w:t>
      </w:r>
      <w:r w:rsidRPr="002029AF">
        <w:t>per</w:t>
      </w:r>
      <w:r w:rsidR="000A5329" w:rsidRPr="002029AF">
        <w:t xml:space="preserve"> </w:t>
      </w:r>
      <w:r w:rsidRPr="002029AF">
        <w:t>cent</w:t>
      </w:r>
      <w:r w:rsidR="000A5329" w:rsidRPr="002029AF">
        <w:t xml:space="preserve"> </w:t>
      </w:r>
      <w:r w:rsidRPr="002029AF">
        <w:t>year-on-year.</w:t>
      </w:r>
      <w:r w:rsidR="000A5329" w:rsidRPr="002029AF">
        <w:t xml:space="preserve"> </w:t>
      </w:r>
      <w:r w:rsidRPr="002029AF">
        <w:t>Over</w:t>
      </w:r>
      <w:r w:rsidR="000A5329" w:rsidRPr="002029AF">
        <w:t xml:space="preserve"> </w:t>
      </w:r>
      <w:r w:rsidRPr="002029AF">
        <w:t>the</w:t>
      </w:r>
      <w:r w:rsidR="000A5329" w:rsidRPr="002029AF">
        <w:t xml:space="preserve"> </w:t>
      </w:r>
      <w:r w:rsidRPr="002029AF">
        <w:t>life</w:t>
      </w:r>
      <w:r w:rsidR="000A5329" w:rsidRPr="002029AF">
        <w:t xml:space="preserve"> </w:t>
      </w:r>
      <w:r w:rsidRPr="002029AF">
        <w:t>of</w:t>
      </w:r>
      <w:r w:rsidR="000A5329" w:rsidRPr="002029AF">
        <w:t xml:space="preserve"> </w:t>
      </w:r>
      <w:r w:rsidRPr="002029AF">
        <w:t>the</w:t>
      </w:r>
      <w:r w:rsidR="000A5329" w:rsidRPr="002029AF">
        <w:t xml:space="preserve"> </w:t>
      </w:r>
      <w:r w:rsidR="00EF65BF" w:rsidRPr="002029AF">
        <w:t>five</w:t>
      </w:r>
      <w:r w:rsidRPr="002029AF">
        <w:t>-year</w:t>
      </w:r>
      <w:r w:rsidR="000A5329" w:rsidRPr="002029AF">
        <w:t xml:space="preserve"> </w:t>
      </w:r>
      <w:r w:rsidRPr="002029AF">
        <w:t>emissions</w:t>
      </w:r>
      <w:r w:rsidR="000A5329" w:rsidRPr="002029AF">
        <w:t xml:space="preserve"> </w:t>
      </w:r>
      <w:r w:rsidRPr="002029AF">
        <w:t>reduction</w:t>
      </w:r>
      <w:r w:rsidR="000A5329" w:rsidRPr="002029AF">
        <w:t xml:space="preserve"> </w:t>
      </w:r>
      <w:r w:rsidRPr="002029AF">
        <w:t>target,</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reduced</w:t>
      </w:r>
      <w:r w:rsidR="000A5329" w:rsidRPr="002029AF">
        <w:t xml:space="preserve"> </w:t>
      </w:r>
      <w:r w:rsidRPr="002029AF">
        <w:t>its</w:t>
      </w:r>
      <w:r w:rsidR="000A5329" w:rsidRPr="002029AF">
        <w:t xml:space="preserve"> </w:t>
      </w:r>
      <w:r w:rsidRPr="002029AF">
        <w:t>annual</w:t>
      </w:r>
      <w:r w:rsidR="000A5329" w:rsidRPr="002029AF">
        <w:t xml:space="preserve"> </w:t>
      </w:r>
      <w:r w:rsidRPr="002029AF">
        <w:t>office-based</w:t>
      </w:r>
      <w:r w:rsidR="000A5329" w:rsidRPr="002029AF">
        <w:t xml:space="preserve"> </w:t>
      </w:r>
      <w:r w:rsidRPr="002029AF">
        <w:t>emissions</w:t>
      </w:r>
      <w:r w:rsidR="000A5329" w:rsidRPr="002029AF">
        <w:t xml:space="preserve"> </w:t>
      </w:r>
      <w:r w:rsidRPr="002029AF">
        <w:t>by</w:t>
      </w:r>
      <w:r w:rsidR="000A5329" w:rsidRPr="002029AF">
        <w:t xml:space="preserve"> </w:t>
      </w:r>
      <w:r w:rsidRPr="002029AF">
        <w:t>24</w:t>
      </w:r>
      <w:r w:rsidR="000A5329" w:rsidRPr="002029AF">
        <w:t xml:space="preserve"> </w:t>
      </w:r>
      <w:r w:rsidRPr="002029AF">
        <w:t>per</w:t>
      </w:r>
      <w:r w:rsidR="000A5329" w:rsidRPr="002029AF">
        <w:t xml:space="preserve"> </w:t>
      </w:r>
      <w:r w:rsidRPr="002029AF">
        <w:t>cent</w:t>
      </w:r>
      <w:r w:rsidR="000A5329" w:rsidRPr="002029AF">
        <w:t xml:space="preserve"> </w:t>
      </w:r>
      <w:r w:rsidRPr="002029AF">
        <w:t>or</w:t>
      </w:r>
      <w:r w:rsidR="000A5329" w:rsidRPr="002029AF">
        <w:t xml:space="preserve"> </w:t>
      </w:r>
      <w:r w:rsidRPr="002029AF">
        <w:t>7,125</w:t>
      </w:r>
      <w:r w:rsidR="000A5329" w:rsidRPr="002029AF">
        <w:t xml:space="preserve"> </w:t>
      </w:r>
      <w:r w:rsidRPr="002029AF">
        <w:t>tonnes</w:t>
      </w:r>
      <w:r w:rsidR="000A5329" w:rsidRPr="002029AF">
        <w:t xml:space="preserve"> </w:t>
      </w:r>
      <w:r w:rsidRPr="002029AF">
        <w:t>CO</w:t>
      </w:r>
      <w:r w:rsidR="002A5CF0" w:rsidRPr="002029AF">
        <w:rPr>
          <w:vertAlign w:val="subscript"/>
        </w:rPr>
        <w:t>2</w:t>
      </w:r>
      <w:r w:rsidRPr="002029AF">
        <w:t>-e</w:t>
      </w:r>
      <w:r w:rsidR="000A5329" w:rsidRPr="002029AF">
        <w:t xml:space="preserve"> </w:t>
      </w:r>
      <w:r w:rsidRPr="002029AF">
        <w:t>from</w:t>
      </w:r>
      <w:r w:rsidR="000A5329" w:rsidRPr="002029AF">
        <w:t xml:space="preserve"> </w:t>
      </w:r>
      <w:r w:rsidRPr="002029AF">
        <w:t>the</w:t>
      </w:r>
      <w:r w:rsidR="000A5329" w:rsidRPr="002029AF">
        <w:t xml:space="preserve"> </w:t>
      </w:r>
      <w:r w:rsidRPr="002029AF">
        <w:t>201</w:t>
      </w:r>
      <w:r w:rsidR="00DB53E6" w:rsidRPr="002029AF">
        <w:t>4–</w:t>
      </w:r>
      <w:r w:rsidRPr="002029AF">
        <w:t>15</w:t>
      </w:r>
      <w:r w:rsidR="000A5329" w:rsidRPr="002029AF">
        <w:t xml:space="preserve"> </w:t>
      </w:r>
      <w:r w:rsidRPr="002029AF">
        <w:t>baseline</w:t>
      </w:r>
    </w:p>
    <w:p w14:paraId="0D27F8AB" w14:textId="513889BA" w:rsidR="00CF72D5" w:rsidRPr="002029AF" w:rsidRDefault="00CF72D5" w:rsidP="00693FBF">
      <w:pPr>
        <w:pStyle w:val="ARbullet1"/>
      </w:pPr>
      <w:r w:rsidRPr="002029AF">
        <w:t>completing</w:t>
      </w:r>
      <w:r w:rsidR="000A5329" w:rsidRPr="002029AF">
        <w:t xml:space="preserve"> </w:t>
      </w:r>
      <w:r w:rsidRPr="002029AF">
        <w:t>delivery</w:t>
      </w:r>
      <w:r w:rsidR="000A5329" w:rsidRPr="002029AF">
        <w:t xml:space="preserve"> </w:t>
      </w:r>
      <w:r w:rsidRPr="002029AF">
        <w:t>of</w:t>
      </w:r>
      <w:r w:rsidR="000A5329" w:rsidRPr="002029AF">
        <w:t xml:space="preserve"> </w:t>
      </w:r>
      <w:r w:rsidRPr="002029AF">
        <w:t>energy-efficiency</w:t>
      </w:r>
      <w:r w:rsidR="000A5329" w:rsidRPr="002029AF">
        <w:t xml:space="preserve"> </w:t>
      </w:r>
      <w:r w:rsidRPr="002029AF">
        <w:t>upgrades</w:t>
      </w:r>
      <w:r w:rsidR="000A5329" w:rsidRPr="002029AF">
        <w:t xml:space="preserve"> </w:t>
      </w:r>
      <w:r w:rsidRPr="002029AF">
        <w:t>to</w:t>
      </w:r>
      <w:r w:rsidR="000A5329" w:rsidRPr="002029AF">
        <w:t xml:space="preserve"> </w:t>
      </w:r>
      <w:r w:rsidRPr="002029AF">
        <w:t>1,500</w:t>
      </w:r>
      <w:r w:rsidR="000A5329" w:rsidRPr="002029AF">
        <w:t xml:space="preserve"> </w:t>
      </w:r>
      <w:r w:rsidRPr="002029AF">
        <w:t>low-rise</w:t>
      </w:r>
      <w:r w:rsidR="000A5329" w:rsidRPr="002029AF">
        <w:t xml:space="preserve"> </w:t>
      </w:r>
      <w:r w:rsidRPr="002029AF">
        <w:t>public</w:t>
      </w:r>
      <w:r w:rsidR="000A5329" w:rsidRPr="002029AF">
        <w:t xml:space="preserve"> </w:t>
      </w:r>
      <w:r w:rsidRPr="002029AF">
        <w:t>housing</w:t>
      </w:r>
      <w:r w:rsidR="000A5329" w:rsidRPr="002029AF">
        <w:t xml:space="preserve"> </w:t>
      </w:r>
      <w:r w:rsidRPr="002029AF">
        <w:t>properties</w:t>
      </w:r>
      <w:r w:rsidR="000A5329" w:rsidRPr="002029AF">
        <w:t xml:space="preserve"> </w:t>
      </w:r>
      <w:r w:rsidRPr="002029AF">
        <w:t>under</w:t>
      </w:r>
      <w:r w:rsidR="000A5329" w:rsidRPr="002029AF">
        <w:t xml:space="preserve"> </w:t>
      </w:r>
      <w:r w:rsidRPr="002029AF">
        <w:t>the</w:t>
      </w:r>
      <w:r w:rsidR="000A5329" w:rsidRPr="002029AF">
        <w:t xml:space="preserve"> </w:t>
      </w:r>
      <w:r w:rsidRPr="002029AF">
        <w:t>EnergySmart</w:t>
      </w:r>
      <w:r w:rsidR="000A5329" w:rsidRPr="002029AF">
        <w:t xml:space="preserve"> </w:t>
      </w:r>
      <w:r w:rsidRPr="002029AF">
        <w:t>Public</w:t>
      </w:r>
      <w:r w:rsidR="000A5329" w:rsidRPr="002029AF">
        <w:t xml:space="preserve"> </w:t>
      </w:r>
      <w:r w:rsidRPr="002029AF">
        <w:t>Housing</w:t>
      </w:r>
      <w:r w:rsidR="000A5329" w:rsidRPr="002029AF">
        <w:t xml:space="preserve"> </w:t>
      </w:r>
      <w:r w:rsidRPr="002029AF">
        <w:t>program.</w:t>
      </w:r>
      <w:r w:rsidR="000A5329" w:rsidRPr="002029AF">
        <w:t xml:space="preserve"> </w:t>
      </w:r>
      <w:r w:rsidRPr="002029AF">
        <w:t>The</w:t>
      </w:r>
      <w:r w:rsidR="000A5329" w:rsidRPr="002029AF">
        <w:t xml:space="preserve"> </w:t>
      </w:r>
      <w:r w:rsidRPr="002029AF">
        <w:t>program</w:t>
      </w:r>
      <w:r w:rsidR="000A5329" w:rsidRPr="002029AF">
        <w:t xml:space="preserve"> </w:t>
      </w:r>
      <w:r w:rsidRPr="002029AF">
        <w:t>aimed</w:t>
      </w:r>
      <w:r w:rsidR="000A5329" w:rsidRPr="002029AF">
        <w:t xml:space="preserve"> </w:t>
      </w:r>
      <w:r w:rsidRPr="002029AF">
        <w:t>to</w:t>
      </w:r>
      <w:r w:rsidR="000A5329" w:rsidRPr="002029AF">
        <w:t xml:space="preserve"> </w:t>
      </w:r>
      <w:r w:rsidRPr="002029AF">
        <w:t>reduce</w:t>
      </w:r>
      <w:r w:rsidR="000A5329" w:rsidRPr="002029AF">
        <w:t xml:space="preserve"> </w:t>
      </w:r>
      <w:r w:rsidRPr="002029AF">
        <w:t>energy</w:t>
      </w:r>
      <w:r w:rsidR="000A5329" w:rsidRPr="002029AF">
        <w:t xml:space="preserve"> </w:t>
      </w:r>
      <w:r w:rsidRPr="002029AF">
        <w:t>costs</w:t>
      </w:r>
      <w:r w:rsidR="000A5329" w:rsidRPr="002029AF">
        <w:t xml:space="preserve"> </w:t>
      </w:r>
      <w:r w:rsidRPr="002029AF">
        <w:t>and</w:t>
      </w:r>
      <w:r w:rsidR="000A5329" w:rsidRPr="002029AF">
        <w:t xml:space="preserve"> </w:t>
      </w:r>
      <w:r w:rsidRPr="002029AF">
        <w:t>improve</w:t>
      </w:r>
      <w:r w:rsidR="000A5329" w:rsidRPr="002029AF">
        <w:t xml:space="preserve"> </w:t>
      </w:r>
      <w:r w:rsidRPr="002029AF">
        <w:t>thermal</w:t>
      </w:r>
      <w:r w:rsidR="000A5329" w:rsidRPr="002029AF">
        <w:t xml:space="preserve"> </w:t>
      </w:r>
      <w:r w:rsidRPr="002029AF">
        <w:t>comfort</w:t>
      </w:r>
      <w:r w:rsidR="000A5329" w:rsidRPr="002029AF">
        <w:t xml:space="preserve"> </w:t>
      </w:r>
      <w:r w:rsidRPr="002029AF">
        <w:t>for</w:t>
      </w:r>
      <w:r w:rsidR="000A5329" w:rsidRPr="002029AF">
        <w:t xml:space="preserve"> </w:t>
      </w:r>
      <w:r w:rsidRPr="002029AF">
        <w:t>participating</w:t>
      </w:r>
      <w:r w:rsidR="000A5329" w:rsidRPr="002029AF">
        <w:t xml:space="preserve"> </w:t>
      </w:r>
      <w:r w:rsidRPr="002029AF">
        <w:t>public</w:t>
      </w:r>
      <w:r w:rsidR="000A5329" w:rsidRPr="002029AF">
        <w:t xml:space="preserve"> </w:t>
      </w:r>
      <w:r w:rsidRPr="002029AF">
        <w:t>housing</w:t>
      </w:r>
      <w:r w:rsidR="000A5329" w:rsidRPr="002029AF">
        <w:t xml:space="preserve"> </w:t>
      </w:r>
      <w:r w:rsidRPr="002029AF">
        <w:t>tenants.</w:t>
      </w:r>
      <w:r w:rsidR="000A5329" w:rsidRPr="002029AF">
        <w:t xml:space="preserve"> </w:t>
      </w:r>
      <w:r w:rsidRPr="002029AF">
        <w:t>Initial</w:t>
      </w:r>
      <w:r w:rsidR="000A5329" w:rsidRPr="002029AF">
        <w:t xml:space="preserve"> </w:t>
      </w:r>
      <w:r w:rsidRPr="002029AF">
        <w:t>evaluation</w:t>
      </w:r>
      <w:r w:rsidR="000A5329" w:rsidRPr="002029AF">
        <w:t xml:space="preserve"> </w:t>
      </w:r>
      <w:r w:rsidRPr="002029AF">
        <w:t>of</w:t>
      </w:r>
      <w:r w:rsidR="000A5329" w:rsidRPr="002029AF">
        <w:t xml:space="preserve"> </w:t>
      </w:r>
      <w:r w:rsidRPr="002029AF">
        <w:t>the</w:t>
      </w:r>
      <w:r w:rsidR="000A5329" w:rsidRPr="002029AF">
        <w:t xml:space="preserve"> </w:t>
      </w:r>
      <w:r w:rsidRPr="002029AF">
        <w:t>project</w:t>
      </w:r>
      <w:r w:rsidR="000A5329" w:rsidRPr="002029AF">
        <w:t xml:space="preserve"> </w:t>
      </w:r>
      <w:r w:rsidRPr="002029AF">
        <w:t>outcomes</w:t>
      </w:r>
      <w:r w:rsidR="000A5329" w:rsidRPr="002029AF">
        <w:t xml:space="preserve"> </w:t>
      </w:r>
      <w:r w:rsidRPr="002029AF">
        <w:t>showed</w:t>
      </w:r>
      <w:r w:rsidR="000A5329" w:rsidRPr="002029AF">
        <w:t xml:space="preserve"> </w:t>
      </w:r>
      <w:r w:rsidRPr="002029AF">
        <w:t>that</w:t>
      </w:r>
      <w:r w:rsidR="000A5329" w:rsidRPr="002029AF">
        <w:t xml:space="preserve"> </w:t>
      </w:r>
      <w:r w:rsidRPr="002029AF">
        <w:t>participants</w:t>
      </w:r>
      <w:r w:rsidR="000A5329" w:rsidRPr="002029AF">
        <w:t xml:space="preserve"> </w:t>
      </w:r>
      <w:r w:rsidRPr="002029AF">
        <w:t>experienced</w:t>
      </w:r>
      <w:r w:rsidR="000A5329" w:rsidRPr="002029AF">
        <w:t xml:space="preserve"> </w:t>
      </w:r>
      <w:r w:rsidRPr="002029AF">
        <w:t>reductions</w:t>
      </w:r>
      <w:r w:rsidR="000A5329" w:rsidRPr="002029AF">
        <w:t xml:space="preserve"> </w:t>
      </w:r>
      <w:r w:rsidRPr="002029AF">
        <w:t>to</w:t>
      </w:r>
      <w:r w:rsidR="000A5329" w:rsidRPr="002029AF">
        <w:t xml:space="preserve"> </w:t>
      </w:r>
      <w:r w:rsidRPr="002029AF">
        <w:t>their</w:t>
      </w:r>
      <w:r w:rsidR="000A5329" w:rsidRPr="002029AF">
        <w:t xml:space="preserve"> </w:t>
      </w:r>
      <w:r w:rsidRPr="002029AF">
        <w:t>energy</w:t>
      </w:r>
      <w:r w:rsidR="000A5329" w:rsidRPr="002029AF">
        <w:t xml:space="preserve"> </w:t>
      </w:r>
      <w:r w:rsidRPr="002029AF">
        <w:t>consumption</w:t>
      </w:r>
      <w:r w:rsidR="000A5329" w:rsidRPr="002029AF">
        <w:t xml:space="preserve"> </w:t>
      </w:r>
      <w:r w:rsidRPr="002029AF">
        <w:t>and</w:t>
      </w:r>
      <w:r w:rsidR="000A5329" w:rsidRPr="002029AF">
        <w:t xml:space="preserve"> </w:t>
      </w:r>
      <w:r w:rsidRPr="002029AF">
        <w:t>costs</w:t>
      </w:r>
      <w:r w:rsidR="000A5329" w:rsidRPr="002029AF">
        <w:t xml:space="preserve"> </w:t>
      </w:r>
      <w:r w:rsidRPr="002029AF">
        <w:t>through</w:t>
      </w:r>
      <w:r w:rsidR="000A5329" w:rsidRPr="002029AF">
        <w:t xml:space="preserve"> </w:t>
      </w:r>
      <w:r w:rsidRPr="002029AF">
        <w:t>the</w:t>
      </w:r>
      <w:r w:rsidR="000A5329" w:rsidRPr="002029AF">
        <w:t xml:space="preserve"> </w:t>
      </w:r>
      <w:r w:rsidRPr="002029AF">
        <w:t>upgrades</w:t>
      </w:r>
      <w:r w:rsidR="000A5329" w:rsidRPr="002029AF">
        <w:t xml:space="preserve"> </w:t>
      </w:r>
      <w:r w:rsidRPr="002029AF">
        <w:t>to</w:t>
      </w:r>
      <w:r w:rsidR="000A5329" w:rsidRPr="002029AF">
        <w:t xml:space="preserve"> </w:t>
      </w:r>
      <w:r w:rsidRPr="002029AF">
        <w:t>their</w:t>
      </w:r>
      <w:r w:rsidR="000A5329" w:rsidRPr="002029AF">
        <w:t xml:space="preserve"> </w:t>
      </w:r>
      <w:r w:rsidRPr="002029AF">
        <w:t>homes</w:t>
      </w:r>
    </w:p>
    <w:p w14:paraId="09DDFB99" w14:textId="786EA464" w:rsidR="00CF72D5" w:rsidRPr="002029AF" w:rsidRDefault="00E3577B" w:rsidP="00B3042E">
      <w:pPr>
        <w:pStyle w:val="ARbullet1"/>
      </w:pPr>
      <w:r w:rsidRPr="002029AF">
        <w:br w:type="column"/>
      </w:r>
      <w:r w:rsidR="00CF72D5" w:rsidRPr="002029AF">
        <w:t>continuing</w:t>
      </w:r>
      <w:r w:rsidR="000A5329" w:rsidRPr="002029AF">
        <w:t xml:space="preserve"> </w:t>
      </w:r>
      <w:r w:rsidR="00CF72D5" w:rsidRPr="002029AF">
        <w:t>the</w:t>
      </w:r>
      <w:r w:rsidR="000A5329" w:rsidRPr="002029AF">
        <w:t xml:space="preserve"> </w:t>
      </w:r>
      <w:r w:rsidR="00CF72D5" w:rsidRPr="002029AF">
        <w:t>implementation</w:t>
      </w:r>
      <w:r w:rsidR="000A5329" w:rsidRPr="002029AF">
        <w:t xml:space="preserve"> </w:t>
      </w:r>
      <w:r w:rsidR="00CF72D5" w:rsidRPr="002029AF">
        <w:t>of</w:t>
      </w:r>
      <w:r w:rsidR="000A5329" w:rsidRPr="002029AF">
        <w:t xml:space="preserve"> </w:t>
      </w:r>
      <w:r w:rsidR="00CF72D5" w:rsidRPr="002029AF">
        <w:t>the</w:t>
      </w:r>
      <w:r w:rsidR="000A5329" w:rsidRPr="002029AF">
        <w:t xml:space="preserve"> </w:t>
      </w:r>
      <w:r w:rsidR="00CF72D5" w:rsidRPr="002029AF">
        <w:t>Regional</w:t>
      </w:r>
      <w:r w:rsidR="000A5329" w:rsidRPr="002029AF">
        <w:t xml:space="preserve"> </w:t>
      </w:r>
      <w:r w:rsidR="00CF72D5" w:rsidRPr="002029AF">
        <w:t>Health</w:t>
      </w:r>
      <w:r w:rsidR="000A5329" w:rsidRPr="002029AF">
        <w:t xml:space="preserve"> </w:t>
      </w:r>
      <w:r w:rsidR="00CF72D5" w:rsidRPr="002029AF">
        <w:t>Solar</w:t>
      </w:r>
      <w:r w:rsidR="000A5329" w:rsidRPr="002029AF">
        <w:t xml:space="preserve"> </w:t>
      </w:r>
      <w:r w:rsidR="00CF72D5" w:rsidRPr="002029AF">
        <w:t>Program.</w:t>
      </w:r>
      <w:r w:rsidR="000A5329" w:rsidRPr="002029AF">
        <w:t xml:space="preserve"> </w:t>
      </w:r>
      <w:r w:rsidR="00CF72D5" w:rsidRPr="002029AF">
        <w:t>This</w:t>
      </w:r>
      <w:r w:rsidR="000A5329" w:rsidRPr="002029AF">
        <w:t xml:space="preserve"> </w:t>
      </w:r>
      <w:r w:rsidR="00CF72D5" w:rsidRPr="002029AF">
        <w:t>included</w:t>
      </w:r>
      <w:r w:rsidR="000A5329" w:rsidRPr="002029AF">
        <w:t xml:space="preserve"> </w:t>
      </w:r>
      <w:r w:rsidR="00CF72D5" w:rsidRPr="002029AF">
        <w:t>installation</w:t>
      </w:r>
      <w:r w:rsidR="000A5329" w:rsidRPr="002029AF">
        <w:t xml:space="preserve"> </w:t>
      </w:r>
      <w:r w:rsidR="00CF72D5" w:rsidRPr="002029AF">
        <w:t>of</w:t>
      </w:r>
      <w:r w:rsidR="000A5329" w:rsidRPr="002029AF">
        <w:t xml:space="preserve"> </w:t>
      </w:r>
      <w:r w:rsidR="00CF72D5" w:rsidRPr="002029AF">
        <w:t>3,364</w:t>
      </w:r>
      <w:r w:rsidR="000A5329" w:rsidRPr="002029AF">
        <w:t xml:space="preserve"> </w:t>
      </w:r>
      <w:r w:rsidR="00CF72D5" w:rsidRPr="002029AF">
        <w:t>kW</w:t>
      </w:r>
      <w:r w:rsidR="000A5329" w:rsidRPr="002029AF">
        <w:t xml:space="preserve"> </w:t>
      </w:r>
      <w:r w:rsidR="00CF72D5" w:rsidRPr="002029AF">
        <w:t>of</w:t>
      </w:r>
      <w:r w:rsidR="000A5329" w:rsidRPr="002029AF">
        <w:t xml:space="preserve"> </w:t>
      </w:r>
      <w:r w:rsidR="00CF72D5" w:rsidRPr="002029AF">
        <w:t>solar</w:t>
      </w:r>
      <w:r w:rsidR="000A5329" w:rsidRPr="002029AF">
        <w:t xml:space="preserve"> </w:t>
      </w:r>
      <w:r w:rsidR="00CF72D5" w:rsidRPr="002029AF">
        <w:t>panels</w:t>
      </w:r>
      <w:r w:rsidR="000A5329" w:rsidRPr="002029AF">
        <w:t xml:space="preserve"> </w:t>
      </w:r>
      <w:r w:rsidR="00CF72D5" w:rsidRPr="002029AF">
        <w:t>at</w:t>
      </w:r>
      <w:r w:rsidR="000A5329" w:rsidRPr="002029AF">
        <w:t xml:space="preserve"> </w:t>
      </w:r>
      <w:r w:rsidR="00CF72D5" w:rsidRPr="002029AF">
        <w:t>35</w:t>
      </w:r>
      <w:r w:rsidR="000A5329" w:rsidRPr="002029AF">
        <w:t xml:space="preserve"> </w:t>
      </w:r>
      <w:r w:rsidR="00CF72D5" w:rsidRPr="002029AF">
        <w:t>health</w:t>
      </w:r>
      <w:r w:rsidR="000A5329" w:rsidRPr="002029AF">
        <w:t xml:space="preserve"> </w:t>
      </w:r>
      <w:r w:rsidR="00CF72D5" w:rsidRPr="002029AF">
        <w:t>facilities</w:t>
      </w:r>
      <w:r w:rsidR="000A5329" w:rsidRPr="002029AF">
        <w:t xml:space="preserve"> </w:t>
      </w:r>
      <w:r w:rsidR="00CF72D5" w:rsidRPr="002029AF">
        <w:t>across</w:t>
      </w:r>
      <w:r w:rsidR="000A5329" w:rsidRPr="002029AF">
        <w:t xml:space="preserve"> </w:t>
      </w:r>
      <w:r w:rsidR="00CF72D5" w:rsidRPr="002029AF">
        <w:t>the</w:t>
      </w:r>
      <w:r w:rsidR="000A5329" w:rsidRPr="002029AF">
        <w:t xml:space="preserve"> </w:t>
      </w:r>
      <w:r w:rsidR="00CF72D5" w:rsidRPr="002029AF">
        <w:t>Hume,</w:t>
      </w:r>
      <w:r w:rsidR="000A5329" w:rsidRPr="002029AF">
        <w:t xml:space="preserve"> </w:t>
      </w:r>
      <w:r w:rsidR="00CF72D5" w:rsidRPr="002029AF">
        <w:t>Loddon-Mallee</w:t>
      </w:r>
      <w:r w:rsidR="000A5329" w:rsidRPr="002029AF">
        <w:t xml:space="preserve"> </w:t>
      </w:r>
      <w:r w:rsidR="00CF72D5" w:rsidRPr="002029AF">
        <w:t>and</w:t>
      </w:r>
      <w:r w:rsidR="000A5329" w:rsidRPr="002029AF">
        <w:t xml:space="preserve"> </w:t>
      </w:r>
      <w:r w:rsidR="00CF72D5" w:rsidRPr="002029AF">
        <w:t>Grampians</w:t>
      </w:r>
      <w:r w:rsidR="000A5329" w:rsidRPr="002029AF">
        <w:t xml:space="preserve"> </w:t>
      </w:r>
      <w:r w:rsidR="00CF72D5" w:rsidRPr="002029AF">
        <w:t>regions.</w:t>
      </w:r>
      <w:r w:rsidR="000A5329" w:rsidRPr="002029AF">
        <w:t xml:space="preserve"> </w:t>
      </w:r>
      <w:r w:rsidR="00CF72D5" w:rsidRPr="002029AF">
        <w:t>Once</w:t>
      </w:r>
      <w:r w:rsidR="000A5329" w:rsidRPr="002029AF">
        <w:t xml:space="preserve"> </w:t>
      </w:r>
      <w:r w:rsidR="00CF72D5" w:rsidRPr="002029AF">
        <w:t>completed,</w:t>
      </w:r>
      <w:r w:rsidR="000A5329" w:rsidRPr="002029AF">
        <w:t xml:space="preserve"> </w:t>
      </w:r>
      <w:r w:rsidR="00CF72D5" w:rsidRPr="002029AF">
        <w:t>estimates</w:t>
      </w:r>
      <w:r w:rsidR="000A5329" w:rsidRPr="002029AF">
        <w:t xml:space="preserve"> </w:t>
      </w:r>
      <w:r w:rsidR="00CF72D5" w:rsidRPr="002029AF">
        <w:t>show</w:t>
      </w:r>
      <w:r w:rsidR="000A5329" w:rsidRPr="002029AF">
        <w:t xml:space="preserve"> </w:t>
      </w:r>
      <w:r w:rsidR="00CF72D5" w:rsidRPr="002029AF">
        <w:t>that</w:t>
      </w:r>
      <w:r w:rsidR="000A5329" w:rsidRPr="002029AF">
        <w:t xml:space="preserve"> </w:t>
      </w:r>
      <w:r w:rsidR="00CF72D5" w:rsidRPr="002029AF">
        <w:t>these</w:t>
      </w:r>
      <w:r w:rsidR="000A5329" w:rsidRPr="002029AF">
        <w:t xml:space="preserve"> </w:t>
      </w:r>
      <w:r w:rsidR="00CF72D5" w:rsidRPr="002029AF">
        <w:t>arrays</w:t>
      </w:r>
      <w:r w:rsidR="000A5329" w:rsidRPr="002029AF">
        <w:t xml:space="preserve"> </w:t>
      </w:r>
      <w:r w:rsidR="00CF72D5" w:rsidRPr="002029AF">
        <w:t>will</w:t>
      </w:r>
      <w:r w:rsidR="000A5329" w:rsidRPr="002029AF">
        <w:t xml:space="preserve"> </w:t>
      </w:r>
      <w:r w:rsidR="00CF72D5" w:rsidRPr="002029AF">
        <w:t>generate</w:t>
      </w:r>
      <w:r w:rsidR="000A5329" w:rsidRPr="002029AF">
        <w:t xml:space="preserve"> </w:t>
      </w:r>
      <w:r w:rsidR="00CF72D5" w:rsidRPr="002029AF">
        <w:t>around</w:t>
      </w:r>
      <w:r w:rsidR="000A5329" w:rsidRPr="002029AF">
        <w:t xml:space="preserve"> </w:t>
      </w:r>
      <w:r w:rsidR="00CF72D5" w:rsidRPr="002029AF">
        <w:t>5,000</w:t>
      </w:r>
      <w:r w:rsidR="000A5329" w:rsidRPr="002029AF">
        <w:t xml:space="preserve"> </w:t>
      </w:r>
      <w:r w:rsidR="00CF72D5" w:rsidRPr="002029AF">
        <w:t>MWh</w:t>
      </w:r>
      <w:r w:rsidR="000A5329" w:rsidRPr="002029AF">
        <w:t xml:space="preserve"> </w:t>
      </w:r>
      <w:r w:rsidR="00CF72D5" w:rsidRPr="002029AF">
        <w:t>of</w:t>
      </w:r>
      <w:r w:rsidR="000A5329" w:rsidRPr="002029AF">
        <w:t xml:space="preserve"> </w:t>
      </w:r>
      <w:r w:rsidR="00CF72D5" w:rsidRPr="002029AF">
        <w:t>electricity</w:t>
      </w:r>
      <w:r w:rsidR="000A5329" w:rsidRPr="002029AF">
        <w:t xml:space="preserve"> </w:t>
      </w:r>
      <w:r w:rsidR="00CF72D5" w:rsidRPr="002029AF">
        <w:t>per</w:t>
      </w:r>
      <w:r w:rsidR="000A5329" w:rsidRPr="002029AF">
        <w:t xml:space="preserve"> </w:t>
      </w:r>
      <w:r w:rsidR="00CF72D5" w:rsidRPr="002029AF">
        <w:t>annum</w:t>
      </w:r>
      <w:r w:rsidR="000A5329" w:rsidRPr="002029AF">
        <w:t xml:space="preserve"> </w:t>
      </w:r>
      <w:r w:rsidR="00CF72D5" w:rsidRPr="002029AF">
        <w:t>and</w:t>
      </w:r>
      <w:r w:rsidR="000A5329" w:rsidRPr="002029AF">
        <w:t xml:space="preserve"> </w:t>
      </w:r>
      <w:r w:rsidR="00CF72D5" w:rsidRPr="002029AF">
        <w:t>reduce</w:t>
      </w:r>
      <w:r w:rsidR="000A5329" w:rsidRPr="002029AF">
        <w:t xml:space="preserve"> </w:t>
      </w:r>
      <w:r w:rsidR="00CF72D5" w:rsidRPr="002029AF">
        <w:t>emissions</w:t>
      </w:r>
      <w:r w:rsidR="000A5329" w:rsidRPr="002029AF">
        <w:t xml:space="preserve"> </w:t>
      </w:r>
      <w:r w:rsidR="00CF72D5" w:rsidRPr="002029AF">
        <w:t>by</w:t>
      </w:r>
      <w:r w:rsidR="000A5329" w:rsidRPr="002029AF">
        <w:t xml:space="preserve"> </w:t>
      </w:r>
      <w:r w:rsidR="00CF72D5" w:rsidRPr="002029AF">
        <w:t>5,150</w:t>
      </w:r>
      <w:r w:rsidR="000A5329" w:rsidRPr="002029AF">
        <w:t xml:space="preserve"> </w:t>
      </w:r>
      <w:r w:rsidR="00CF72D5" w:rsidRPr="002029AF">
        <w:t>tonnes</w:t>
      </w:r>
      <w:r w:rsidR="000A5329" w:rsidRPr="002029AF">
        <w:t xml:space="preserve"> </w:t>
      </w:r>
      <w:r w:rsidR="00CF72D5" w:rsidRPr="002029AF">
        <w:t>CO</w:t>
      </w:r>
      <w:r w:rsidR="002A5CF0" w:rsidRPr="008F6DD3">
        <w:rPr>
          <w:vertAlign w:val="subscript"/>
        </w:rPr>
        <w:t>2</w:t>
      </w:r>
      <w:r w:rsidR="00CF72D5" w:rsidRPr="002029AF">
        <w:t>-e</w:t>
      </w:r>
    </w:p>
    <w:p w14:paraId="1DED52D7" w14:textId="29EB2D23" w:rsidR="00E3577B" w:rsidRPr="002029AF" w:rsidRDefault="00CF72D5" w:rsidP="00E3577B">
      <w:pPr>
        <w:pStyle w:val="ARbullet1"/>
      </w:pPr>
      <w:r w:rsidRPr="002029AF">
        <w:t>working</w:t>
      </w:r>
      <w:r w:rsidR="000A5329" w:rsidRPr="002029AF">
        <w:t xml:space="preserve"> </w:t>
      </w:r>
      <w:r w:rsidRPr="002029AF">
        <w:t>with</w:t>
      </w:r>
      <w:r w:rsidR="000A5329" w:rsidRPr="002029AF">
        <w:t xml:space="preserve"> </w:t>
      </w:r>
      <w:r w:rsidRPr="002029AF">
        <w:t>the</w:t>
      </w:r>
      <w:r w:rsidR="000A5329" w:rsidRPr="002029AF">
        <w:t xml:space="preserve"> </w:t>
      </w:r>
      <w:r w:rsidRPr="002029AF">
        <w:t>office</w:t>
      </w:r>
      <w:r w:rsidR="000A5329" w:rsidRPr="002029AF">
        <w:t xml:space="preserve"> </w:t>
      </w:r>
      <w:r w:rsidRPr="002029AF">
        <w:t>landlord</w:t>
      </w:r>
      <w:r w:rsidR="000A5329" w:rsidRPr="002029AF">
        <w:t xml:space="preserve"> </w:t>
      </w:r>
      <w:r w:rsidRPr="002029AF">
        <w:t>at</w:t>
      </w:r>
      <w:r w:rsidR="000A5329" w:rsidRPr="002029AF">
        <w:t xml:space="preserve"> </w:t>
      </w:r>
      <w:r w:rsidRPr="002029AF">
        <w:t>71</w:t>
      </w:r>
      <w:r w:rsidR="000A5329" w:rsidRPr="002029AF">
        <w:t xml:space="preserve"> </w:t>
      </w:r>
      <w:r w:rsidRPr="002029AF">
        <w:t>Moreland</w:t>
      </w:r>
      <w:r w:rsidR="000A5329" w:rsidRPr="002029AF">
        <w:t xml:space="preserve"> </w:t>
      </w:r>
      <w:r w:rsidRPr="002029AF">
        <w:t>St,</w:t>
      </w:r>
      <w:r w:rsidR="000A5329" w:rsidRPr="002029AF">
        <w:t xml:space="preserve"> </w:t>
      </w:r>
      <w:r w:rsidRPr="002029AF">
        <w:t>Footscray</w:t>
      </w:r>
      <w:r w:rsidR="000A5329" w:rsidRPr="002029AF">
        <w:t xml:space="preserve"> </w:t>
      </w:r>
      <w:r w:rsidRPr="002029AF">
        <w:t>to</w:t>
      </w:r>
      <w:r w:rsidR="000A5329" w:rsidRPr="002029AF">
        <w:t xml:space="preserve"> </w:t>
      </w:r>
      <w:r w:rsidRPr="002029AF">
        <w:t>support</w:t>
      </w:r>
      <w:r w:rsidR="000A5329" w:rsidRPr="002029AF">
        <w:t xml:space="preserve"> </w:t>
      </w:r>
      <w:r w:rsidRPr="002029AF">
        <w:t>building</w:t>
      </w:r>
      <w:r w:rsidR="000A5329" w:rsidRPr="002029AF">
        <w:t xml:space="preserve"> </w:t>
      </w:r>
      <w:r w:rsidRPr="002029AF">
        <w:t>upgrades</w:t>
      </w:r>
      <w:r w:rsidR="000A5329" w:rsidRPr="002029AF">
        <w:t xml:space="preserve"> </w:t>
      </w:r>
      <w:r w:rsidRPr="002029AF">
        <w:t>including</w:t>
      </w:r>
      <w:r w:rsidR="000A5329" w:rsidRPr="002029AF">
        <w:t xml:space="preserve"> </w:t>
      </w:r>
      <w:r w:rsidRPr="002029AF">
        <w:t>the</w:t>
      </w:r>
      <w:r w:rsidR="000A5329" w:rsidRPr="002029AF">
        <w:t xml:space="preserve"> </w:t>
      </w:r>
      <w:r w:rsidRPr="002029AF">
        <w:t>installation</w:t>
      </w:r>
      <w:r w:rsidR="000A5329" w:rsidRPr="002029AF">
        <w:t xml:space="preserve"> </w:t>
      </w:r>
      <w:r w:rsidRPr="002029AF">
        <w:t>of</w:t>
      </w:r>
      <w:r w:rsidR="000A5329" w:rsidRPr="002029AF">
        <w:t xml:space="preserve"> </w:t>
      </w:r>
      <w:r w:rsidRPr="002029AF">
        <w:t>a</w:t>
      </w:r>
      <w:r w:rsidR="000A5329" w:rsidRPr="002029AF">
        <w:t xml:space="preserve"> </w:t>
      </w:r>
      <w:r w:rsidR="00EF559F" w:rsidRPr="002029AF">
        <w:t>100-kW</w:t>
      </w:r>
      <w:r w:rsidR="000A5329" w:rsidRPr="002029AF">
        <w:t xml:space="preserve"> </w:t>
      </w:r>
      <w:r w:rsidRPr="002029AF">
        <w:t>solar</w:t>
      </w:r>
      <w:r w:rsidR="000A5329" w:rsidRPr="002029AF">
        <w:t xml:space="preserve"> </w:t>
      </w:r>
      <w:r w:rsidRPr="002029AF">
        <w:t>PV</w:t>
      </w:r>
      <w:r w:rsidR="003048F1">
        <w:t> </w:t>
      </w:r>
      <w:r w:rsidRPr="002029AF">
        <w:t>array</w:t>
      </w:r>
      <w:r w:rsidR="000A5329" w:rsidRPr="002029AF">
        <w:t xml:space="preserve"> </w:t>
      </w:r>
      <w:r w:rsidRPr="002029AF">
        <w:t>for</w:t>
      </w:r>
      <w:r w:rsidR="000A5329" w:rsidRPr="002029AF">
        <w:t xml:space="preserve"> </w:t>
      </w:r>
      <w:r w:rsidRPr="002029AF">
        <w:t>use</w:t>
      </w:r>
      <w:r w:rsidR="000A5329" w:rsidRPr="002029AF">
        <w:t xml:space="preserve"> </w:t>
      </w:r>
      <w:r w:rsidRPr="002029AF">
        <w:t>by</w:t>
      </w:r>
      <w:r w:rsidR="000A5329" w:rsidRPr="002029AF">
        <w:t xml:space="preserve"> </w:t>
      </w:r>
      <w:r w:rsidRPr="002029AF">
        <w:t>the</w:t>
      </w:r>
      <w:r w:rsidR="000A5329" w:rsidRPr="002029AF">
        <w:t xml:space="preserve"> </w:t>
      </w:r>
      <w:r w:rsidRPr="002029AF">
        <w:t>tenancy.</w:t>
      </w:r>
      <w:r w:rsidR="000A5329" w:rsidRPr="002029AF">
        <w:t xml:space="preserve"> </w:t>
      </w:r>
      <w:r w:rsidRPr="002029AF">
        <w:t>The</w:t>
      </w:r>
      <w:r w:rsidR="000A5329" w:rsidRPr="002029AF">
        <w:t xml:space="preserve"> </w:t>
      </w:r>
      <w:r w:rsidRPr="002029AF">
        <w:t>solar</w:t>
      </w:r>
      <w:r w:rsidR="000A5329" w:rsidRPr="002029AF">
        <w:t xml:space="preserve"> </w:t>
      </w:r>
      <w:r w:rsidRPr="002029AF">
        <w:t>installation</w:t>
      </w:r>
      <w:r w:rsidR="000A5329" w:rsidRPr="002029AF">
        <w:t xml:space="preserve"> </w:t>
      </w:r>
      <w:r w:rsidRPr="002029AF">
        <w:t>is</w:t>
      </w:r>
      <w:r w:rsidR="000A5329" w:rsidRPr="002029AF">
        <w:t xml:space="preserve"> </w:t>
      </w:r>
      <w:r w:rsidRPr="002029AF">
        <w:t>projected</w:t>
      </w:r>
      <w:r w:rsidR="000A5329" w:rsidRPr="002029AF">
        <w:t xml:space="preserve"> </w:t>
      </w:r>
      <w:r w:rsidRPr="002029AF">
        <w:t>to</w:t>
      </w:r>
      <w:r w:rsidR="000A5329" w:rsidRPr="002029AF">
        <w:t xml:space="preserve"> </w:t>
      </w:r>
      <w:r w:rsidRPr="002029AF">
        <w:t>generate</w:t>
      </w:r>
      <w:r w:rsidR="000A5329" w:rsidRPr="002029AF">
        <w:t xml:space="preserve"> </w:t>
      </w:r>
      <w:r w:rsidRPr="002029AF">
        <w:t>106</w:t>
      </w:r>
      <w:r w:rsidR="000A5329" w:rsidRPr="002029AF">
        <w:t xml:space="preserve"> </w:t>
      </w:r>
      <w:r w:rsidRPr="002029AF">
        <w:t>MWh</w:t>
      </w:r>
      <w:r w:rsidR="000A5329" w:rsidRPr="002029AF">
        <w:t xml:space="preserve"> </w:t>
      </w:r>
      <w:r w:rsidRPr="002029AF">
        <w:t>per</w:t>
      </w:r>
      <w:r w:rsidR="000A5329" w:rsidRPr="002029AF">
        <w:t xml:space="preserve"> </w:t>
      </w:r>
      <w:r w:rsidRPr="002029AF">
        <w:t>annum</w:t>
      </w:r>
      <w:r w:rsidR="000A5329" w:rsidRPr="002029AF">
        <w:t xml:space="preserve"> </w:t>
      </w:r>
      <w:r w:rsidRPr="002029AF">
        <w:t>and</w:t>
      </w:r>
      <w:r w:rsidR="000A5329" w:rsidRPr="002029AF">
        <w:t xml:space="preserve"> </w:t>
      </w:r>
      <w:r w:rsidRPr="002029AF">
        <w:t>reduce</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emissions</w:t>
      </w:r>
      <w:r w:rsidR="000A5329" w:rsidRPr="002029AF">
        <w:t xml:space="preserve"> </w:t>
      </w:r>
      <w:r w:rsidRPr="002029AF">
        <w:t>by</w:t>
      </w:r>
      <w:r w:rsidR="000A5329" w:rsidRPr="002029AF">
        <w:t xml:space="preserve"> </w:t>
      </w:r>
      <w:r w:rsidRPr="002029AF">
        <w:t>119</w:t>
      </w:r>
      <w:r w:rsidR="000A5329" w:rsidRPr="002029AF">
        <w:t xml:space="preserve"> </w:t>
      </w:r>
      <w:r w:rsidRPr="002029AF">
        <w:t>tonnes</w:t>
      </w:r>
      <w:r w:rsidR="000A5329" w:rsidRPr="002029AF">
        <w:t xml:space="preserve"> </w:t>
      </w:r>
      <w:r w:rsidRPr="002029AF">
        <w:t>CO</w:t>
      </w:r>
      <w:r w:rsidR="002A5CF0" w:rsidRPr="002029AF">
        <w:rPr>
          <w:vertAlign w:val="subscript"/>
        </w:rPr>
        <w:t>2</w:t>
      </w:r>
      <w:r w:rsidRPr="002029AF">
        <w:t>-e.</w:t>
      </w:r>
    </w:p>
    <w:p w14:paraId="1F6040E3" w14:textId="77777777" w:rsidR="00883CDE" w:rsidRPr="002029AF" w:rsidRDefault="00883CDE" w:rsidP="00D233AE">
      <w:pPr>
        <w:pStyle w:val="ARbody"/>
      </w:pPr>
      <w:r w:rsidRPr="002029AF">
        <w:br w:type="page"/>
      </w:r>
    </w:p>
    <w:p w14:paraId="28A4D3EE" w14:textId="3C279853" w:rsidR="00CF72D5" w:rsidRPr="002029AF" w:rsidRDefault="00CF72D5" w:rsidP="00961519">
      <w:pPr>
        <w:pStyle w:val="Heading4"/>
        <w:rPr>
          <w:rFonts w:eastAsia="Times"/>
        </w:rPr>
      </w:pPr>
      <w:r w:rsidRPr="002029AF">
        <w:lastRenderedPageBreak/>
        <w:t>Energy</w:t>
      </w:r>
    </w:p>
    <w:p w14:paraId="56632C7F" w14:textId="08AA4A51" w:rsidR="00CF72D5" w:rsidRPr="002029AF" w:rsidRDefault="00CF72D5" w:rsidP="00693FBF">
      <w:pPr>
        <w:pStyle w:val="ARbody"/>
      </w:pPr>
      <w:r w:rsidRPr="002029AF">
        <w:t>The</w:t>
      </w:r>
      <w:r w:rsidR="000A5329" w:rsidRPr="002029AF">
        <w:t xml:space="preserve"> </w:t>
      </w:r>
      <w:r w:rsidRPr="002029AF">
        <w:t>department</w:t>
      </w:r>
      <w:r w:rsidR="000A5329" w:rsidRPr="002029AF">
        <w:t xml:space="preserve"> </w:t>
      </w:r>
      <w:r w:rsidRPr="002029AF">
        <w:t>is</w:t>
      </w:r>
      <w:r w:rsidR="000A5329" w:rsidRPr="002029AF">
        <w:t xml:space="preserve"> </w:t>
      </w:r>
      <w:r w:rsidRPr="002029AF">
        <w:t>committed</w:t>
      </w:r>
      <w:r w:rsidR="000A5329" w:rsidRPr="002029AF">
        <w:t xml:space="preserve"> </w:t>
      </w:r>
      <w:r w:rsidRPr="002029AF">
        <w:t>to</w:t>
      </w:r>
      <w:r w:rsidR="000A5329" w:rsidRPr="002029AF">
        <w:t xml:space="preserve"> </w:t>
      </w:r>
      <w:r w:rsidRPr="002029AF">
        <w:t>reducing</w:t>
      </w:r>
      <w:r w:rsidR="000A5329" w:rsidRPr="002029AF">
        <w:t xml:space="preserve"> </w:t>
      </w:r>
      <w:r w:rsidRPr="002029AF">
        <w:t>energy</w:t>
      </w:r>
      <w:r w:rsidR="000A5329" w:rsidRPr="002029AF">
        <w:t xml:space="preserve"> </w:t>
      </w:r>
      <w:r w:rsidRPr="002029AF">
        <w:t>consumption</w:t>
      </w:r>
      <w:r w:rsidR="000A5329" w:rsidRPr="002029AF">
        <w:t xml:space="preserve"> </w:t>
      </w:r>
      <w:r w:rsidRPr="002029AF">
        <w:t>across</w:t>
      </w:r>
      <w:r w:rsidR="000A5329" w:rsidRPr="002029AF">
        <w:t xml:space="preserve"> </w:t>
      </w:r>
      <w:r w:rsidRPr="002029AF">
        <w:t>its</w:t>
      </w:r>
      <w:r w:rsidR="000A5329" w:rsidRPr="002029AF">
        <w:t xml:space="preserve"> </w:t>
      </w:r>
      <w:r w:rsidRPr="002029AF">
        <w:t>operations</w:t>
      </w:r>
      <w:r w:rsidR="000A5329" w:rsidRPr="002029AF">
        <w:t xml:space="preserve"> </w:t>
      </w:r>
      <w:r w:rsidRPr="002029AF">
        <w:t>and</w:t>
      </w:r>
      <w:r w:rsidR="000A5329" w:rsidRPr="002029AF">
        <w:t xml:space="preserve"> </w:t>
      </w:r>
      <w:r w:rsidRPr="002029AF">
        <w:t>to</w:t>
      </w:r>
      <w:r w:rsidR="000A5329" w:rsidRPr="002029AF">
        <w:t xml:space="preserve"> </w:t>
      </w:r>
      <w:r w:rsidRPr="002029AF">
        <w:t>assisting</w:t>
      </w:r>
      <w:r w:rsidR="000A5329" w:rsidRPr="002029AF">
        <w:t xml:space="preserve"> </w:t>
      </w:r>
      <w:r w:rsidRPr="002029AF">
        <w:t>our</w:t>
      </w:r>
      <w:r w:rsidR="000A5329" w:rsidRPr="002029AF">
        <w:t xml:space="preserve"> </w:t>
      </w:r>
      <w:r w:rsidRPr="002029AF">
        <w:t>clients</w:t>
      </w:r>
      <w:r w:rsidR="000A5329" w:rsidRPr="002029AF">
        <w:t xml:space="preserve"> </w:t>
      </w:r>
      <w:r w:rsidRPr="002029AF">
        <w:t>to</w:t>
      </w:r>
      <w:r w:rsidR="000A5329" w:rsidRPr="002029AF">
        <w:t xml:space="preserve"> </w:t>
      </w:r>
      <w:r w:rsidRPr="002029AF">
        <w:t>reduce</w:t>
      </w:r>
      <w:r w:rsidR="000A5329" w:rsidRPr="002029AF">
        <w:t xml:space="preserve"> </w:t>
      </w:r>
      <w:r w:rsidRPr="002029AF">
        <w:t>their</w:t>
      </w:r>
      <w:r w:rsidR="000A5329" w:rsidRPr="002029AF">
        <w:t xml:space="preserve"> </w:t>
      </w:r>
      <w:r w:rsidRPr="002029AF">
        <w:t>own</w:t>
      </w:r>
      <w:r w:rsidR="000A5329" w:rsidRPr="002029AF">
        <w:t xml:space="preserve"> </w:t>
      </w:r>
      <w:r w:rsidRPr="002029AF">
        <w:t>energy</w:t>
      </w:r>
      <w:r w:rsidR="000A5329" w:rsidRPr="002029AF">
        <w:t xml:space="preserve"> </w:t>
      </w:r>
      <w:r w:rsidRPr="002029AF">
        <w:t>use.</w:t>
      </w:r>
    </w:p>
    <w:p w14:paraId="35AEF894" w14:textId="58CA2A07" w:rsidR="00CF72D5" w:rsidRPr="002029AF" w:rsidRDefault="00CF72D5" w:rsidP="00693FBF">
      <w:pPr>
        <w:pStyle w:val="ARbody"/>
      </w:pPr>
      <w:r w:rsidRPr="002029AF">
        <w:t>In</w:t>
      </w:r>
      <w:r w:rsidR="000A5329" w:rsidRPr="002029AF">
        <w:t xml:space="preserve"> </w:t>
      </w:r>
      <w:r w:rsidRPr="002029AF">
        <w:t>2019–20,</w:t>
      </w:r>
      <w:r w:rsidR="000A5329" w:rsidRPr="002029AF">
        <w:t xml:space="preserve"> </w:t>
      </w:r>
      <w:r w:rsidRPr="002029AF">
        <w:t>the</w:t>
      </w:r>
      <w:r w:rsidR="000A5329" w:rsidRPr="002029AF">
        <w:t xml:space="preserve"> </w:t>
      </w:r>
      <w:r w:rsidRPr="002029AF">
        <w:t>department:</w:t>
      </w:r>
    </w:p>
    <w:p w14:paraId="53F03A67" w14:textId="390AE520" w:rsidR="000A5329" w:rsidRPr="002029AF" w:rsidRDefault="00CF72D5" w:rsidP="00693FBF">
      <w:pPr>
        <w:pStyle w:val="ARbullet1"/>
      </w:pPr>
      <w:r w:rsidRPr="002029AF">
        <w:t>completed</w:t>
      </w:r>
      <w:r w:rsidR="000A5329" w:rsidRPr="002029AF">
        <w:t xml:space="preserve"> </w:t>
      </w:r>
      <w:r w:rsidRPr="002029AF">
        <w:t>implementation</w:t>
      </w:r>
      <w:r w:rsidR="000A5329" w:rsidRPr="002029AF">
        <w:t xml:space="preserve"> </w:t>
      </w:r>
      <w:r w:rsidRPr="002029AF">
        <w:t>of</w:t>
      </w:r>
      <w:r w:rsidR="000A5329" w:rsidRPr="002029AF">
        <w:t xml:space="preserve"> </w:t>
      </w:r>
      <w:r w:rsidRPr="002029AF">
        <w:t>an</w:t>
      </w:r>
      <w:r w:rsidR="000A5329" w:rsidRPr="002029AF">
        <w:t xml:space="preserve"> </w:t>
      </w:r>
      <w:r w:rsidRPr="002029AF">
        <w:t>automatic</w:t>
      </w:r>
      <w:r w:rsidR="000A5329" w:rsidRPr="002029AF">
        <w:t xml:space="preserve"> </w:t>
      </w:r>
      <w:r w:rsidRPr="002029AF">
        <w:t>computer</w:t>
      </w:r>
      <w:r w:rsidR="000A5329" w:rsidRPr="002029AF">
        <w:t xml:space="preserve"> </w:t>
      </w:r>
      <w:r w:rsidRPr="002029AF">
        <w:t>sleep-mode</w:t>
      </w:r>
      <w:r w:rsidR="000A5329" w:rsidRPr="002029AF">
        <w:t xml:space="preserve"> </w:t>
      </w:r>
      <w:r w:rsidRPr="002029AF">
        <w:t>for</w:t>
      </w:r>
      <w:r w:rsidR="000A5329" w:rsidRPr="002029AF">
        <w:t xml:space="preserve"> </w:t>
      </w:r>
      <w:r w:rsidRPr="002029AF">
        <w:t>all</w:t>
      </w:r>
      <w:r w:rsidR="000A5329" w:rsidRPr="002029AF">
        <w:t xml:space="preserve"> </w:t>
      </w:r>
      <w:r w:rsidRPr="002029AF">
        <w:t>office-based</w:t>
      </w:r>
      <w:r w:rsidR="000A5329" w:rsidRPr="002029AF">
        <w:t xml:space="preserve"> </w:t>
      </w:r>
      <w:r w:rsidRPr="002029AF">
        <w:t>computers</w:t>
      </w:r>
      <w:r w:rsidR="000A5329" w:rsidRPr="002029AF">
        <w:t xml:space="preserve"> </w:t>
      </w:r>
      <w:r w:rsidRPr="002029AF">
        <w:t>and</w:t>
      </w:r>
      <w:r w:rsidR="000A5329" w:rsidRPr="002029AF">
        <w:t xml:space="preserve"> </w:t>
      </w:r>
      <w:r w:rsidRPr="002029AF">
        <w:t>laptops.</w:t>
      </w:r>
      <w:r w:rsidR="000A5329" w:rsidRPr="002029AF">
        <w:t xml:space="preserve"> </w:t>
      </w:r>
      <w:r w:rsidRPr="002029AF">
        <w:t>Departmental</w:t>
      </w:r>
      <w:r w:rsidR="000A5329" w:rsidRPr="002029AF">
        <w:t xml:space="preserve"> </w:t>
      </w:r>
      <w:r w:rsidRPr="002029AF">
        <w:t>computers</w:t>
      </w:r>
      <w:r w:rsidR="000A5329" w:rsidRPr="002029AF">
        <w:t xml:space="preserve"> </w:t>
      </w:r>
      <w:r w:rsidRPr="002029AF">
        <w:t>will</w:t>
      </w:r>
      <w:r w:rsidR="000A5329" w:rsidRPr="002029AF">
        <w:t xml:space="preserve"> </w:t>
      </w:r>
      <w:r w:rsidRPr="002029AF">
        <w:t>now</w:t>
      </w:r>
      <w:r w:rsidR="000A5329" w:rsidRPr="002029AF">
        <w:t xml:space="preserve"> </w:t>
      </w:r>
      <w:r w:rsidRPr="002029AF">
        <w:t>automatically</w:t>
      </w:r>
      <w:r w:rsidR="000A5329" w:rsidRPr="002029AF">
        <w:t xml:space="preserve"> </w:t>
      </w:r>
      <w:r w:rsidRPr="002029AF">
        <w:t>sleep</w:t>
      </w:r>
      <w:r w:rsidR="000A5329" w:rsidRPr="002029AF">
        <w:t xml:space="preserve"> </w:t>
      </w:r>
      <w:r w:rsidRPr="002029AF">
        <w:t>after</w:t>
      </w:r>
      <w:r w:rsidR="000A5329" w:rsidRPr="002029AF">
        <w:t xml:space="preserve"> </w:t>
      </w:r>
      <w:r w:rsidRPr="002029AF">
        <w:t>two</w:t>
      </w:r>
      <w:r w:rsidR="000A5329" w:rsidRPr="002029AF">
        <w:t xml:space="preserve"> </w:t>
      </w:r>
      <w:r w:rsidRPr="002029AF">
        <w:t>hours</w:t>
      </w:r>
      <w:r w:rsidR="000A5329" w:rsidRPr="002029AF">
        <w:t xml:space="preserve"> </w:t>
      </w:r>
      <w:r w:rsidRPr="002029AF">
        <w:t>of</w:t>
      </w:r>
      <w:r w:rsidR="000A5329" w:rsidRPr="002029AF">
        <w:t xml:space="preserve"> </w:t>
      </w:r>
      <w:r w:rsidRPr="002029AF">
        <w:t>inactivity</w:t>
      </w:r>
      <w:r w:rsidR="000A5329" w:rsidRPr="002029AF">
        <w:t xml:space="preserve"> </w:t>
      </w:r>
      <w:r w:rsidRPr="002029AF">
        <w:t>while</w:t>
      </w:r>
      <w:r w:rsidR="000A5329" w:rsidRPr="002029AF">
        <w:t xml:space="preserve"> </w:t>
      </w:r>
      <w:r w:rsidRPr="002029AF">
        <w:t>preserving</w:t>
      </w:r>
      <w:r w:rsidR="000A5329" w:rsidRPr="002029AF">
        <w:t xml:space="preserve"> </w:t>
      </w:r>
      <w:r w:rsidRPr="002029AF">
        <w:t>a</w:t>
      </w:r>
      <w:r w:rsidR="000A5329" w:rsidRPr="002029AF">
        <w:t xml:space="preserve"> </w:t>
      </w:r>
      <w:r w:rsidRPr="002029AF">
        <w:t>user</w:t>
      </w:r>
      <w:r w:rsidR="005F298C">
        <w:t>’</w:t>
      </w:r>
      <w:r w:rsidRPr="002029AF">
        <w:t>s</w:t>
      </w:r>
      <w:r w:rsidR="000A5329" w:rsidRPr="002029AF">
        <w:t xml:space="preserve"> </w:t>
      </w:r>
      <w:r w:rsidRPr="002029AF">
        <w:t>open</w:t>
      </w:r>
      <w:r w:rsidR="000A5329" w:rsidRPr="002029AF">
        <w:t xml:space="preserve"> </w:t>
      </w:r>
      <w:r w:rsidRPr="002029AF">
        <w:t>work</w:t>
      </w:r>
      <w:r w:rsidR="000A5329" w:rsidRPr="002029AF">
        <w:t xml:space="preserve"> </w:t>
      </w:r>
      <w:r w:rsidRPr="002029AF">
        <w:t>and</w:t>
      </w:r>
      <w:r w:rsidR="000A5329" w:rsidRPr="002029AF">
        <w:t xml:space="preserve"> </w:t>
      </w:r>
      <w:r w:rsidRPr="002029AF">
        <w:t>programs.</w:t>
      </w:r>
      <w:r w:rsidR="000A5329" w:rsidRPr="002029AF">
        <w:t xml:space="preserve"> </w:t>
      </w:r>
      <w:r w:rsidRPr="002029AF">
        <w:t>Measurement</w:t>
      </w:r>
      <w:r w:rsidR="000A5329" w:rsidRPr="002029AF">
        <w:t xml:space="preserve"> </w:t>
      </w:r>
      <w:r w:rsidRPr="002029AF">
        <w:t>of</w:t>
      </w:r>
      <w:r w:rsidR="000A5329" w:rsidRPr="002029AF">
        <w:t xml:space="preserve"> </w:t>
      </w:r>
      <w:r w:rsidRPr="002029AF">
        <w:t>the</w:t>
      </w:r>
      <w:r w:rsidR="000A5329" w:rsidRPr="002029AF">
        <w:t xml:space="preserve"> </w:t>
      </w:r>
      <w:r w:rsidRPr="002029AF">
        <w:t>project</w:t>
      </w:r>
      <w:r w:rsidR="000A5329" w:rsidRPr="002029AF">
        <w:t xml:space="preserve"> </w:t>
      </w:r>
      <w:r w:rsidRPr="002029AF">
        <w:t>outcomes</w:t>
      </w:r>
      <w:r w:rsidR="000A5329" w:rsidRPr="002029AF">
        <w:t xml:space="preserve"> </w:t>
      </w:r>
      <w:r w:rsidRPr="002029AF">
        <w:t>prior</w:t>
      </w:r>
      <w:r w:rsidR="000A5329" w:rsidRPr="002029AF">
        <w:t xml:space="preserve"> </w:t>
      </w:r>
      <w:r w:rsidRPr="002029AF">
        <w:t>to</w:t>
      </w:r>
      <w:r w:rsidR="000A5329" w:rsidRPr="002029AF">
        <w:t xml:space="preserve"> </w:t>
      </w:r>
      <w:r w:rsidRPr="002029AF">
        <w:t>COVID-19</w:t>
      </w:r>
      <w:r w:rsidR="000A5329" w:rsidRPr="002029AF">
        <w:t xml:space="preserve"> </w:t>
      </w:r>
      <w:r w:rsidRPr="002029AF">
        <w:t>showed</w:t>
      </w:r>
      <w:r w:rsidR="000A5329" w:rsidRPr="002029AF">
        <w:t xml:space="preserve"> </w:t>
      </w:r>
      <w:r w:rsidRPr="002029AF">
        <w:t>that</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average</w:t>
      </w:r>
      <w:r w:rsidR="000A5329" w:rsidRPr="002029AF">
        <w:t xml:space="preserve"> </w:t>
      </w:r>
      <w:r w:rsidRPr="002029AF">
        <w:t>weekly</w:t>
      </w:r>
      <w:r w:rsidR="000A5329" w:rsidRPr="002029AF">
        <w:t xml:space="preserve"> </w:t>
      </w:r>
      <w:r w:rsidRPr="002029AF">
        <w:t>computer</w:t>
      </w:r>
      <w:r w:rsidR="000A5329" w:rsidRPr="002029AF">
        <w:t xml:space="preserve"> </w:t>
      </w:r>
      <w:r w:rsidRPr="002029AF">
        <w:t>runtime</w:t>
      </w:r>
      <w:r w:rsidR="000A5329" w:rsidRPr="002029AF">
        <w:t xml:space="preserve"> </w:t>
      </w:r>
      <w:r w:rsidRPr="002029AF">
        <w:t>and</w:t>
      </w:r>
      <w:r w:rsidR="000A5329" w:rsidRPr="002029AF">
        <w:t xml:space="preserve"> </w:t>
      </w:r>
      <w:r w:rsidRPr="002029AF">
        <w:t>computing</w:t>
      </w:r>
      <w:r w:rsidR="000A5329" w:rsidRPr="002029AF">
        <w:t xml:space="preserve"> </w:t>
      </w:r>
      <w:r w:rsidRPr="002029AF">
        <w:t>electricity</w:t>
      </w:r>
      <w:r w:rsidR="000A5329" w:rsidRPr="002029AF">
        <w:t xml:space="preserve"> </w:t>
      </w:r>
      <w:r w:rsidRPr="002029AF">
        <w:t>use</w:t>
      </w:r>
      <w:r w:rsidR="000A5329" w:rsidRPr="002029AF">
        <w:t xml:space="preserve"> </w:t>
      </w:r>
      <w:r w:rsidRPr="002029AF">
        <w:t>was</w:t>
      </w:r>
      <w:r w:rsidR="000A5329" w:rsidRPr="002029AF">
        <w:t xml:space="preserve"> </w:t>
      </w:r>
      <w:r w:rsidRPr="002029AF">
        <w:t>reduced</w:t>
      </w:r>
      <w:r w:rsidR="000A5329" w:rsidRPr="002029AF">
        <w:t xml:space="preserve"> </w:t>
      </w:r>
      <w:r w:rsidRPr="002029AF">
        <w:t>by</w:t>
      </w:r>
      <w:r w:rsidR="000A5329" w:rsidRPr="002029AF">
        <w:t xml:space="preserve"> </w:t>
      </w:r>
      <w:r w:rsidRPr="002029AF">
        <w:t>approximately</w:t>
      </w:r>
      <w:r w:rsidR="000A5329" w:rsidRPr="002029AF">
        <w:t xml:space="preserve"> </w:t>
      </w:r>
      <w:r w:rsidRPr="002029AF">
        <w:t>40</w:t>
      </w:r>
      <w:r w:rsidR="00EF65BF" w:rsidRPr="002029AF">
        <w:t xml:space="preserve"> per cent</w:t>
      </w:r>
    </w:p>
    <w:p w14:paraId="012D3F5A" w14:textId="6DC49A61" w:rsidR="00CF72D5" w:rsidRPr="002029AF" w:rsidRDefault="00CF72D5" w:rsidP="00693FBF">
      <w:pPr>
        <w:pStyle w:val="ARbullet1"/>
      </w:pPr>
      <w:r w:rsidRPr="002029AF">
        <w:t>achieved</w:t>
      </w:r>
      <w:r w:rsidR="000A5329" w:rsidRPr="002029AF">
        <w:t xml:space="preserve"> </w:t>
      </w:r>
      <w:r w:rsidRPr="002029AF">
        <w:t>a</w:t>
      </w:r>
      <w:r w:rsidR="000A5329" w:rsidRPr="002029AF">
        <w:t xml:space="preserve"> </w:t>
      </w:r>
      <w:r w:rsidRPr="002029AF">
        <w:t>National</w:t>
      </w:r>
      <w:r w:rsidR="000A5329" w:rsidRPr="002029AF">
        <w:t xml:space="preserve"> </w:t>
      </w:r>
      <w:r w:rsidRPr="002029AF">
        <w:t>Australian</w:t>
      </w:r>
      <w:r w:rsidR="000A5329" w:rsidRPr="002029AF">
        <w:t xml:space="preserve"> </w:t>
      </w:r>
      <w:r w:rsidRPr="002029AF">
        <w:t>Built</w:t>
      </w:r>
      <w:r w:rsidR="000A5329" w:rsidRPr="002029AF">
        <w:t xml:space="preserve"> </w:t>
      </w:r>
      <w:r w:rsidRPr="002029AF">
        <w:t>Environment</w:t>
      </w:r>
      <w:r w:rsidR="000A5329" w:rsidRPr="002029AF">
        <w:t xml:space="preserve"> </w:t>
      </w:r>
      <w:r w:rsidRPr="002029AF">
        <w:t>Rating</w:t>
      </w:r>
      <w:r w:rsidR="000A5329" w:rsidRPr="002029AF">
        <w:t xml:space="preserve"> </w:t>
      </w:r>
      <w:r w:rsidRPr="002029AF">
        <w:t>System</w:t>
      </w:r>
      <w:r w:rsidR="000A5329" w:rsidRPr="002029AF">
        <w:t xml:space="preserve"> </w:t>
      </w:r>
      <w:r w:rsidRPr="002029AF">
        <w:t>(NABERS)</w:t>
      </w:r>
      <w:r w:rsidR="000A5329" w:rsidRPr="002029AF">
        <w:t xml:space="preserve"> </w:t>
      </w:r>
      <w:r w:rsidRPr="002029AF">
        <w:t>Tenancy</w:t>
      </w:r>
      <w:r w:rsidR="000A5329" w:rsidRPr="002029AF">
        <w:t xml:space="preserve"> </w:t>
      </w:r>
      <w:r w:rsidRPr="002029AF">
        <w:t>Energy</w:t>
      </w:r>
      <w:r w:rsidR="000A5329" w:rsidRPr="002029AF">
        <w:t xml:space="preserve"> </w:t>
      </w:r>
      <w:r w:rsidRPr="002029AF">
        <w:t>rating</w:t>
      </w:r>
      <w:r w:rsidR="000A5329" w:rsidRPr="002029AF">
        <w:t xml:space="preserve"> </w:t>
      </w:r>
      <w:r w:rsidRPr="002029AF">
        <w:t>of</w:t>
      </w:r>
      <w:r w:rsidR="000A5329" w:rsidRPr="002029AF">
        <w:t xml:space="preserve"> </w:t>
      </w:r>
      <w:r w:rsidR="00617B1F" w:rsidRPr="002029AF">
        <w:t>five</w:t>
      </w:r>
      <w:r w:rsidR="000A5329" w:rsidRPr="002029AF">
        <w:t xml:space="preserve"> </w:t>
      </w:r>
      <w:r w:rsidR="003D6A81" w:rsidRPr="002029AF">
        <w:t>s</w:t>
      </w:r>
      <w:r w:rsidRPr="002029AF">
        <w:t>tars</w:t>
      </w:r>
      <w:r w:rsidR="000A5329" w:rsidRPr="002029AF">
        <w:t xml:space="preserve"> </w:t>
      </w:r>
      <w:r w:rsidRPr="002029AF">
        <w:t>for</w:t>
      </w:r>
      <w:r w:rsidR="000A5329" w:rsidRPr="002029AF">
        <w:t xml:space="preserve"> </w:t>
      </w:r>
      <w:r w:rsidRPr="002029AF">
        <w:t>the</w:t>
      </w:r>
      <w:r w:rsidR="000A5329" w:rsidRPr="002029AF">
        <w:t xml:space="preserve"> </w:t>
      </w:r>
      <w:r w:rsidRPr="002029AF">
        <w:t>tenancy</w:t>
      </w:r>
      <w:r w:rsidR="000A5329" w:rsidRPr="002029AF">
        <w:t xml:space="preserve"> </w:t>
      </w:r>
      <w:r w:rsidRPr="002029AF">
        <w:t>at</w:t>
      </w:r>
      <w:r w:rsidR="000A5329" w:rsidRPr="002029AF">
        <w:t xml:space="preserve"> </w:t>
      </w:r>
      <w:r w:rsidRPr="002029AF">
        <w:t>50</w:t>
      </w:r>
      <w:r w:rsidR="000A5329" w:rsidRPr="002029AF">
        <w:t xml:space="preserve"> </w:t>
      </w:r>
      <w:r w:rsidRPr="002029AF">
        <w:t>Lonsdale</w:t>
      </w:r>
      <w:r w:rsidR="000A5329" w:rsidRPr="002029AF">
        <w:t xml:space="preserve"> </w:t>
      </w:r>
      <w:r w:rsidRPr="002029AF">
        <w:t>St,</w:t>
      </w:r>
      <w:r w:rsidR="000A5329" w:rsidRPr="002029AF">
        <w:t xml:space="preserve"> </w:t>
      </w:r>
      <w:r w:rsidRPr="002029AF">
        <w:t>Melbourne</w:t>
      </w:r>
    </w:p>
    <w:p w14:paraId="3FE41977" w14:textId="1E6E7F9F" w:rsidR="00CF72D5" w:rsidRPr="002029AF" w:rsidRDefault="00CF72D5" w:rsidP="00693FBF">
      <w:pPr>
        <w:pStyle w:val="ARbullet1"/>
      </w:pPr>
      <w:r w:rsidRPr="002029AF">
        <w:t>supported</w:t>
      </w:r>
      <w:r w:rsidR="000A5329" w:rsidRPr="002029AF">
        <w:t xml:space="preserve"> </w:t>
      </w:r>
      <w:r w:rsidRPr="002029AF">
        <w:t>energy</w:t>
      </w:r>
      <w:r w:rsidR="000A5329" w:rsidRPr="002029AF">
        <w:t xml:space="preserve"> </w:t>
      </w:r>
      <w:r w:rsidRPr="002029AF">
        <w:t>efficiency</w:t>
      </w:r>
      <w:r w:rsidR="000A5329" w:rsidRPr="002029AF">
        <w:t xml:space="preserve"> </w:t>
      </w:r>
      <w:r w:rsidRPr="002029AF">
        <w:t>and</w:t>
      </w:r>
      <w:r w:rsidR="000A5329" w:rsidRPr="002029AF">
        <w:t xml:space="preserve"> </w:t>
      </w:r>
      <w:r w:rsidRPr="002029AF">
        <w:t>solar</w:t>
      </w:r>
      <w:r w:rsidR="000A5329" w:rsidRPr="002029AF">
        <w:t xml:space="preserve"> </w:t>
      </w:r>
      <w:r w:rsidRPr="002029AF">
        <w:t>projects</w:t>
      </w:r>
      <w:r w:rsidR="000A5329" w:rsidRPr="002029AF">
        <w:t xml:space="preserve"> </w:t>
      </w:r>
      <w:r w:rsidRPr="002029AF">
        <w:t>in</w:t>
      </w:r>
      <w:r w:rsidR="006F2C99" w:rsidRPr="002029AF">
        <w:t> </w:t>
      </w:r>
      <w:r w:rsidRPr="002029AF">
        <w:t>public</w:t>
      </w:r>
      <w:r w:rsidR="000A5329" w:rsidRPr="002029AF">
        <w:t xml:space="preserve"> </w:t>
      </w:r>
      <w:r w:rsidRPr="002029AF">
        <w:t>hospitals</w:t>
      </w:r>
      <w:r w:rsidR="000A5329" w:rsidRPr="002029AF">
        <w:t xml:space="preserve"> </w:t>
      </w:r>
      <w:r w:rsidRPr="002029AF">
        <w:t>and</w:t>
      </w:r>
      <w:r w:rsidR="000A5329" w:rsidRPr="002029AF">
        <w:t xml:space="preserve"> </w:t>
      </w:r>
      <w:r w:rsidRPr="002029AF">
        <w:t>health</w:t>
      </w:r>
      <w:r w:rsidR="000A5329" w:rsidRPr="002029AF">
        <w:t xml:space="preserve"> </w:t>
      </w:r>
      <w:r w:rsidRPr="002029AF">
        <w:t>facilities.</w:t>
      </w:r>
      <w:r w:rsidR="000A5329" w:rsidRPr="002029AF">
        <w:t xml:space="preserve"> </w:t>
      </w:r>
      <w:r w:rsidRPr="002029AF">
        <w:t>These</w:t>
      </w:r>
      <w:r w:rsidR="000A5329" w:rsidRPr="002029AF">
        <w:t xml:space="preserve"> </w:t>
      </w:r>
      <w:r w:rsidRPr="002029AF">
        <w:t>included</w:t>
      </w:r>
      <w:r w:rsidR="000A5329" w:rsidRPr="002029AF">
        <w:t xml:space="preserve"> </w:t>
      </w:r>
      <w:r w:rsidRPr="002029AF">
        <w:t>providing</w:t>
      </w:r>
      <w:r w:rsidR="000A5329" w:rsidRPr="002029AF">
        <w:t xml:space="preserve"> </w:t>
      </w:r>
      <w:r w:rsidRPr="002029AF">
        <w:t>LED</w:t>
      </w:r>
      <w:r w:rsidR="000A5329" w:rsidRPr="002029AF">
        <w:t xml:space="preserve"> </w:t>
      </w:r>
      <w:r w:rsidRPr="002029AF">
        <w:t>retrofits,</w:t>
      </w:r>
      <w:r w:rsidR="000A5329" w:rsidRPr="002029AF">
        <w:t xml:space="preserve"> </w:t>
      </w:r>
      <w:r w:rsidRPr="002029AF">
        <w:t>hot</w:t>
      </w:r>
      <w:r w:rsidR="000A5329" w:rsidRPr="002029AF">
        <w:t xml:space="preserve"> </w:t>
      </w:r>
      <w:r w:rsidRPr="002029AF">
        <w:t>water</w:t>
      </w:r>
      <w:r w:rsidR="000A5329" w:rsidRPr="002029AF">
        <w:t xml:space="preserve"> </w:t>
      </w:r>
      <w:r w:rsidRPr="002029AF">
        <w:t>upgrades</w:t>
      </w:r>
      <w:r w:rsidR="000A5329" w:rsidRPr="002029AF">
        <w:t xml:space="preserve"> </w:t>
      </w:r>
      <w:r w:rsidRPr="002029AF">
        <w:t>and</w:t>
      </w:r>
      <w:r w:rsidR="000A5329" w:rsidRPr="002029AF">
        <w:t xml:space="preserve"> </w:t>
      </w:r>
      <w:r w:rsidRPr="002029AF">
        <w:t>installation</w:t>
      </w:r>
      <w:r w:rsidR="000A5329" w:rsidRPr="002029AF">
        <w:t xml:space="preserve"> </w:t>
      </w:r>
      <w:r w:rsidRPr="002029AF">
        <w:t>of</w:t>
      </w:r>
      <w:r w:rsidR="000A5329" w:rsidRPr="002029AF">
        <w:t xml:space="preserve"> </w:t>
      </w:r>
      <w:r w:rsidRPr="002029AF">
        <w:t>solar</w:t>
      </w:r>
      <w:r w:rsidR="000A5329" w:rsidRPr="002029AF">
        <w:t xml:space="preserve"> </w:t>
      </w:r>
      <w:r w:rsidRPr="002029AF">
        <w:t>PV</w:t>
      </w:r>
      <w:r w:rsidR="000A5329" w:rsidRPr="002029AF">
        <w:t xml:space="preserve"> </w:t>
      </w:r>
      <w:r w:rsidRPr="002029AF">
        <w:t>and</w:t>
      </w:r>
      <w:r w:rsidR="000A5329" w:rsidRPr="002029AF">
        <w:t xml:space="preserve"> </w:t>
      </w:r>
      <w:r w:rsidRPr="002029AF">
        <w:t>variable</w:t>
      </w:r>
      <w:r w:rsidR="000A5329" w:rsidRPr="002029AF">
        <w:t xml:space="preserve"> </w:t>
      </w:r>
      <w:r w:rsidRPr="002029AF">
        <w:t>speed</w:t>
      </w:r>
      <w:r w:rsidR="000A5329" w:rsidRPr="002029AF">
        <w:t xml:space="preserve"> </w:t>
      </w:r>
      <w:r w:rsidRPr="002029AF">
        <w:t>drives</w:t>
      </w:r>
      <w:r w:rsidR="000A5329" w:rsidRPr="002029AF">
        <w:t xml:space="preserve"> </w:t>
      </w:r>
      <w:r w:rsidRPr="002029AF">
        <w:t>at</w:t>
      </w:r>
      <w:r w:rsidR="000A5329" w:rsidRPr="002029AF">
        <w:t xml:space="preserve"> </w:t>
      </w:r>
      <w:r w:rsidRPr="002029AF">
        <w:t>multiple</w:t>
      </w:r>
      <w:r w:rsidR="000A5329" w:rsidRPr="002029AF">
        <w:t xml:space="preserve"> </w:t>
      </w:r>
      <w:r w:rsidRPr="002029AF">
        <w:t>health</w:t>
      </w:r>
      <w:r w:rsidR="000A5329" w:rsidRPr="002029AF">
        <w:t xml:space="preserve"> </w:t>
      </w:r>
      <w:r w:rsidRPr="002029AF">
        <w:t>service</w:t>
      </w:r>
      <w:r w:rsidR="000A5329" w:rsidRPr="002029AF">
        <w:t xml:space="preserve"> </w:t>
      </w:r>
      <w:r w:rsidRPr="002029AF">
        <w:t>locations</w:t>
      </w:r>
      <w:r w:rsidR="000A5329" w:rsidRPr="002029AF">
        <w:t xml:space="preserve"> </w:t>
      </w:r>
      <w:r w:rsidRPr="002029AF">
        <w:t>across</w:t>
      </w:r>
      <w:r w:rsidR="000A5329" w:rsidRPr="002029AF">
        <w:t xml:space="preserve"> </w:t>
      </w:r>
      <w:r w:rsidRPr="002029AF">
        <w:t>Victoria</w:t>
      </w:r>
    </w:p>
    <w:p w14:paraId="328B4327" w14:textId="45649470" w:rsidR="000A5329" w:rsidRPr="002029AF" w:rsidRDefault="00CF72D5" w:rsidP="00693FBF">
      <w:pPr>
        <w:pStyle w:val="ARbullet1"/>
      </w:pPr>
      <w:r w:rsidRPr="002029AF">
        <w:t>upgraded</w:t>
      </w:r>
      <w:r w:rsidR="000A5329" w:rsidRPr="002029AF">
        <w:t xml:space="preserve"> </w:t>
      </w:r>
      <w:r w:rsidRPr="002029AF">
        <w:t>energy</w:t>
      </w:r>
      <w:r w:rsidR="000A5329" w:rsidRPr="002029AF">
        <w:t xml:space="preserve"> </w:t>
      </w:r>
      <w:r w:rsidRPr="002029AF">
        <w:t>efficiency</w:t>
      </w:r>
      <w:r w:rsidR="000A5329" w:rsidRPr="002029AF">
        <w:t xml:space="preserve"> </w:t>
      </w:r>
      <w:r w:rsidRPr="002029AF">
        <w:t>features</w:t>
      </w:r>
      <w:r w:rsidR="000A5329" w:rsidRPr="002029AF">
        <w:t xml:space="preserve"> </w:t>
      </w:r>
      <w:r w:rsidRPr="002029AF">
        <w:t>in</w:t>
      </w:r>
      <w:r w:rsidR="000A5329" w:rsidRPr="002029AF">
        <w:t xml:space="preserve"> </w:t>
      </w:r>
      <w:r w:rsidRPr="002029AF">
        <w:t>60</w:t>
      </w:r>
      <w:r w:rsidR="000A5329" w:rsidRPr="002029AF">
        <w:t xml:space="preserve"> </w:t>
      </w:r>
      <w:r w:rsidR="00B95D52">
        <w:br/>
      </w:r>
      <w:r w:rsidRPr="002029AF">
        <w:t>high-rise</w:t>
      </w:r>
      <w:r w:rsidR="000A5329" w:rsidRPr="002029AF">
        <w:t xml:space="preserve"> </w:t>
      </w:r>
      <w:r w:rsidRPr="002029AF">
        <w:t>units</w:t>
      </w:r>
      <w:r w:rsidR="000A5329" w:rsidRPr="002029AF">
        <w:t xml:space="preserve"> </w:t>
      </w:r>
      <w:r w:rsidRPr="002029AF">
        <w:t>at</w:t>
      </w:r>
      <w:r w:rsidR="000A5329" w:rsidRPr="002029AF">
        <w:t xml:space="preserve"> </w:t>
      </w:r>
      <w:r w:rsidRPr="002029AF">
        <w:t>125</w:t>
      </w:r>
      <w:r w:rsidR="000A5329" w:rsidRPr="002029AF">
        <w:t xml:space="preserve"> </w:t>
      </w:r>
      <w:r w:rsidRPr="002029AF">
        <w:t>Napier</w:t>
      </w:r>
      <w:r w:rsidR="000A5329" w:rsidRPr="002029AF">
        <w:t xml:space="preserve"> </w:t>
      </w:r>
      <w:r w:rsidRPr="002029AF">
        <w:t>St.</w:t>
      </w:r>
      <w:r w:rsidR="000A5329" w:rsidRPr="002029AF">
        <w:t xml:space="preserve"> </w:t>
      </w:r>
      <w:r w:rsidRPr="002029AF">
        <w:t>Fitzroy.</w:t>
      </w:r>
      <w:r w:rsidR="000A5329" w:rsidRPr="002029AF">
        <w:t xml:space="preserve"> </w:t>
      </w:r>
      <w:r w:rsidRPr="002029AF">
        <w:t>The</w:t>
      </w:r>
      <w:r w:rsidR="000A5329" w:rsidRPr="002029AF">
        <w:t xml:space="preserve"> </w:t>
      </w:r>
      <w:r w:rsidRPr="002029AF">
        <w:t>upgrades</w:t>
      </w:r>
      <w:r w:rsidR="000A5329" w:rsidRPr="002029AF">
        <w:t xml:space="preserve"> </w:t>
      </w:r>
      <w:r w:rsidRPr="002029AF">
        <w:t>included</w:t>
      </w:r>
      <w:r w:rsidR="000A5329" w:rsidRPr="002029AF">
        <w:t xml:space="preserve"> </w:t>
      </w:r>
      <w:r w:rsidRPr="002029AF">
        <w:t>external</w:t>
      </w:r>
      <w:r w:rsidR="000A5329" w:rsidRPr="002029AF">
        <w:t xml:space="preserve"> </w:t>
      </w:r>
      <w:r w:rsidRPr="002029AF">
        <w:t>wall</w:t>
      </w:r>
      <w:r w:rsidR="000A5329" w:rsidRPr="002029AF">
        <w:t xml:space="preserve"> </w:t>
      </w:r>
      <w:r w:rsidRPr="002029AF">
        <w:t>and</w:t>
      </w:r>
      <w:r w:rsidR="000A5329" w:rsidRPr="002029AF">
        <w:t xml:space="preserve"> </w:t>
      </w:r>
      <w:r w:rsidRPr="002029AF">
        <w:t>ceiling</w:t>
      </w:r>
      <w:r w:rsidR="000A5329" w:rsidRPr="002029AF">
        <w:t xml:space="preserve"> </w:t>
      </w:r>
      <w:r w:rsidRPr="002029AF">
        <w:t>insulation,</w:t>
      </w:r>
      <w:r w:rsidR="000A5329" w:rsidRPr="002029AF">
        <w:t xml:space="preserve"> </w:t>
      </w:r>
      <w:r w:rsidRPr="002029AF">
        <w:t>window</w:t>
      </w:r>
      <w:r w:rsidR="000A5329" w:rsidRPr="002029AF">
        <w:t xml:space="preserve"> </w:t>
      </w:r>
      <w:r w:rsidRPr="002029AF">
        <w:t>double-glazing</w:t>
      </w:r>
      <w:r w:rsidR="000A5329" w:rsidRPr="002029AF">
        <w:t xml:space="preserve"> </w:t>
      </w:r>
      <w:r w:rsidRPr="002029AF">
        <w:t>and</w:t>
      </w:r>
      <w:r w:rsidR="000A5329" w:rsidRPr="002029AF">
        <w:t xml:space="preserve"> </w:t>
      </w:r>
      <w:r w:rsidRPr="002029AF">
        <w:t>low-emissivity</w:t>
      </w:r>
      <w:r w:rsidR="000A5329" w:rsidRPr="002029AF">
        <w:t xml:space="preserve"> </w:t>
      </w:r>
      <w:r w:rsidRPr="002029AF">
        <w:t>coatings</w:t>
      </w:r>
    </w:p>
    <w:p w14:paraId="3AFDE0B3" w14:textId="006D820E" w:rsidR="00CF72D5" w:rsidRPr="002029AF" w:rsidRDefault="00CF72D5" w:rsidP="00693FBF">
      <w:pPr>
        <w:pStyle w:val="ARbullet1"/>
      </w:pPr>
      <w:r w:rsidRPr="002029AF">
        <w:t>completed</w:t>
      </w:r>
      <w:r w:rsidR="000A5329" w:rsidRPr="002029AF">
        <w:t xml:space="preserve"> </w:t>
      </w:r>
      <w:r w:rsidRPr="002029AF">
        <w:t>works</w:t>
      </w:r>
      <w:r w:rsidR="000A5329" w:rsidRPr="002029AF">
        <w:t xml:space="preserve"> </w:t>
      </w:r>
      <w:r w:rsidRPr="002029AF">
        <w:t>on</w:t>
      </w:r>
      <w:r w:rsidR="000A5329" w:rsidRPr="002029AF">
        <w:t xml:space="preserve"> </w:t>
      </w:r>
      <w:r w:rsidRPr="002029AF">
        <w:t>four</w:t>
      </w:r>
      <w:r w:rsidR="000A5329" w:rsidRPr="002029AF">
        <w:t xml:space="preserve"> </w:t>
      </w:r>
      <w:r w:rsidRPr="002029AF">
        <w:t>Family</w:t>
      </w:r>
      <w:r w:rsidR="000A5329" w:rsidRPr="002029AF">
        <w:t xml:space="preserve"> </w:t>
      </w:r>
      <w:r w:rsidRPr="002029AF">
        <w:t>Community</w:t>
      </w:r>
      <w:r w:rsidR="000A5329" w:rsidRPr="002029AF">
        <w:t xml:space="preserve"> </w:t>
      </w:r>
      <w:r w:rsidRPr="002029AF">
        <w:t>Care</w:t>
      </w:r>
      <w:r w:rsidR="000A5329" w:rsidRPr="002029AF">
        <w:t xml:space="preserve"> </w:t>
      </w:r>
      <w:r w:rsidRPr="002029AF">
        <w:t>Facilities</w:t>
      </w:r>
      <w:r w:rsidR="000A5329" w:rsidRPr="002029AF">
        <w:t xml:space="preserve"> </w:t>
      </w:r>
      <w:r w:rsidRPr="002029AF">
        <w:t>designed</w:t>
      </w:r>
      <w:r w:rsidR="000A5329" w:rsidRPr="002029AF">
        <w:t xml:space="preserve"> </w:t>
      </w:r>
      <w:r w:rsidRPr="002029AF">
        <w:t>and</w:t>
      </w:r>
      <w:r w:rsidR="000A5329" w:rsidRPr="002029AF">
        <w:t xml:space="preserve"> </w:t>
      </w:r>
      <w:r w:rsidRPr="002029AF">
        <w:t>constructed</w:t>
      </w:r>
      <w:r w:rsidR="000A5329" w:rsidRPr="002029AF">
        <w:t xml:space="preserve"> </w:t>
      </w:r>
      <w:r w:rsidRPr="002029AF">
        <w:t>to</w:t>
      </w:r>
      <w:r w:rsidR="000A5329" w:rsidRPr="002029AF">
        <w:t xml:space="preserve"> </w:t>
      </w:r>
      <w:r w:rsidRPr="002029AF">
        <w:t>achieve</w:t>
      </w:r>
      <w:r w:rsidR="000A5329" w:rsidRPr="002029AF">
        <w:t xml:space="preserve"> </w:t>
      </w:r>
      <w:r w:rsidRPr="002029AF">
        <w:t>a</w:t>
      </w:r>
      <w:r w:rsidR="000A5329" w:rsidRPr="002029AF">
        <w:t xml:space="preserve"> </w:t>
      </w:r>
      <w:r w:rsidR="00617B1F" w:rsidRPr="002029AF">
        <w:t>seven</w:t>
      </w:r>
      <w:r w:rsidRPr="002029AF">
        <w:t>-</w:t>
      </w:r>
      <w:r w:rsidR="003D6A81" w:rsidRPr="002029AF">
        <w:t>s</w:t>
      </w:r>
      <w:r w:rsidRPr="002029AF">
        <w:t>tar</w:t>
      </w:r>
      <w:r w:rsidR="000A5329" w:rsidRPr="002029AF">
        <w:t xml:space="preserve"> </w:t>
      </w:r>
      <w:r w:rsidRPr="002029AF">
        <w:t>Nationwide</w:t>
      </w:r>
      <w:r w:rsidR="000A5329" w:rsidRPr="002029AF">
        <w:t xml:space="preserve"> </w:t>
      </w:r>
      <w:r w:rsidRPr="002029AF">
        <w:t>House</w:t>
      </w:r>
      <w:r w:rsidR="000A5329" w:rsidRPr="002029AF">
        <w:t xml:space="preserve"> </w:t>
      </w:r>
      <w:r w:rsidRPr="002029AF">
        <w:t>Energy</w:t>
      </w:r>
      <w:r w:rsidR="000A5329" w:rsidRPr="002029AF">
        <w:t xml:space="preserve"> </w:t>
      </w:r>
      <w:r w:rsidRPr="002029AF">
        <w:t>Rating</w:t>
      </w:r>
      <w:r w:rsidR="000A5329" w:rsidRPr="002029AF">
        <w:t xml:space="preserve"> </w:t>
      </w:r>
      <w:r w:rsidRPr="002029AF">
        <w:t>Scheme</w:t>
      </w:r>
      <w:r w:rsidR="000A5329" w:rsidRPr="002029AF">
        <w:t xml:space="preserve"> </w:t>
      </w:r>
      <w:r w:rsidRPr="002029AF">
        <w:t>(NatHERS)</w:t>
      </w:r>
      <w:r w:rsidR="000A5329" w:rsidRPr="002029AF">
        <w:t xml:space="preserve"> </w:t>
      </w:r>
      <w:r w:rsidRPr="002029AF">
        <w:t>rating,</w:t>
      </w:r>
      <w:r w:rsidR="000A5329" w:rsidRPr="002029AF">
        <w:t xml:space="preserve"> </w:t>
      </w:r>
      <w:r w:rsidRPr="002029AF">
        <w:t>with</w:t>
      </w:r>
      <w:r w:rsidR="000A5329" w:rsidRPr="002029AF">
        <w:t xml:space="preserve"> </w:t>
      </w:r>
      <w:r w:rsidRPr="002029AF">
        <w:t>no</w:t>
      </w:r>
      <w:r w:rsidR="000A5329" w:rsidRPr="002029AF">
        <w:t xml:space="preserve"> </w:t>
      </w:r>
      <w:r w:rsidRPr="002029AF">
        <w:t>natural</w:t>
      </w:r>
      <w:r w:rsidR="000A5329" w:rsidRPr="002029AF">
        <w:t xml:space="preserve"> </w:t>
      </w:r>
      <w:r w:rsidRPr="002029AF">
        <w:t>gas</w:t>
      </w:r>
      <w:r w:rsidR="000A5329" w:rsidRPr="002029AF">
        <w:t xml:space="preserve"> </w:t>
      </w:r>
      <w:r w:rsidRPr="002029AF">
        <w:t>supply</w:t>
      </w:r>
      <w:r w:rsidR="000A5329" w:rsidRPr="002029AF">
        <w:t xml:space="preserve"> </w:t>
      </w:r>
      <w:r w:rsidRPr="002029AF">
        <w:t>to</w:t>
      </w:r>
      <w:r w:rsidR="000A5329" w:rsidRPr="002029AF">
        <w:t xml:space="preserve"> </w:t>
      </w:r>
      <w:r w:rsidRPr="002029AF">
        <w:t>the</w:t>
      </w:r>
      <w:r w:rsidR="000A5329" w:rsidRPr="002029AF">
        <w:t xml:space="preserve"> </w:t>
      </w:r>
      <w:r w:rsidRPr="002029AF">
        <w:t>premises.</w:t>
      </w:r>
      <w:r w:rsidR="000A5329" w:rsidRPr="002029AF">
        <w:t xml:space="preserve"> </w:t>
      </w:r>
      <w:r w:rsidRPr="002029AF">
        <w:t>Design</w:t>
      </w:r>
      <w:r w:rsidR="000A5329" w:rsidRPr="002029AF">
        <w:t xml:space="preserve"> </w:t>
      </w:r>
      <w:r w:rsidRPr="002029AF">
        <w:t>features</w:t>
      </w:r>
      <w:r w:rsidR="000A5329" w:rsidRPr="002029AF">
        <w:t xml:space="preserve"> </w:t>
      </w:r>
      <w:r w:rsidRPr="002029AF">
        <w:t>included</w:t>
      </w:r>
      <w:r w:rsidR="000A5329" w:rsidRPr="002029AF">
        <w:t xml:space="preserve"> </w:t>
      </w:r>
      <w:r w:rsidRPr="002029AF">
        <w:t>on-site</w:t>
      </w:r>
      <w:r w:rsidR="000A5329" w:rsidRPr="002029AF">
        <w:t xml:space="preserve"> </w:t>
      </w:r>
      <w:r w:rsidRPr="002029AF">
        <w:t>rainwater</w:t>
      </w:r>
      <w:r w:rsidR="000A5329" w:rsidRPr="002029AF">
        <w:t xml:space="preserve"> </w:t>
      </w:r>
      <w:r w:rsidRPr="002029AF">
        <w:t>harvesting</w:t>
      </w:r>
      <w:r w:rsidR="000A5329" w:rsidRPr="002029AF">
        <w:t xml:space="preserve"> </w:t>
      </w:r>
      <w:r w:rsidRPr="002029AF">
        <w:t>and</w:t>
      </w:r>
      <w:r w:rsidR="000A5329" w:rsidRPr="002029AF">
        <w:t xml:space="preserve"> </w:t>
      </w:r>
      <w:r w:rsidRPr="002029AF">
        <w:t>up</w:t>
      </w:r>
      <w:r w:rsidR="000A5329" w:rsidRPr="002029AF">
        <w:t xml:space="preserve"> </w:t>
      </w:r>
      <w:r w:rsidRPr="002029AF">
        <w:t>to</w:t>
      </w:r>
      <w:r w:rsidR="000A5329" w:rsidRPr="002029AF">
        <w:t xml:space="preserve"> </w:t>
      </w:r>
      <w:r w:rsidRPr="002029AF">
        <w:t>6.5</w:t>
      </w:r>
      <w:r w:rsidR="000A5329" w:rsidRPr="002029AF">
        <w:t xml:space="preserve"> </w:t>
      </w:r>
      <w:r w:rsidRPr="002029AF">
        <w:t>kW</w:t>
      </w:r>
      <w:r w:rsidR="000A5329" w:rsidRPr="002029AF">
        <w:t xml:space="preserve"> </w:t>
      </w:r>
      <w:r w:rsidRPr="002029AF">
        <w:t>of</w:t>
      </w:r>
      <w:r w:rsidR="000A5329" w:rsidRPr="002029AF">
        <w:t xml:space="preserve"> </w:t>
      </w:r>
      <w:r w:rsidRPr="002029AF">
        <w:t>solar</w:t>
      </w:r>
      <w:r w:rsidR="000A5329" w:rsidRPr="002029AF">
        <w:t xml:space="preserve"> </w:t>
      </w:r>
      <w:r w:rsidRPr="002029AF">
        <w:t>PV</w:t>
      </w:r>
      <w:r w:rsidR="000A5329" w:rsidRPr="002029AF">
        <w:t xml:space="preserve"> </w:t>
      </w:r>
      <w:r w:rsidRPr="002029AF">
        <w:t>where</w:t>
      </w:r>
      <w:r w:rsidR="000A5329" w:rsidRPr="002029AF">
        <w:t xml:space="preserve"> </w:t>
      </w:r>
      <w:r w:rsidRPr="002029AF">
        <w:t>practical</w:t>
      </w:r>
    </w:p>
    <w:p w14:paraId="38A218B5" w14:textId="1DDB2CF9" w:rsidR="00CF72D5" w:rsidRPr="002029AF" w:rsidRDefault="00CF72D5" w:rsidP="00693FBF">
      <w:pPr>
        <w:pStyle w:val="ARbullet1"/>
      </w:pPr>
      <w:r w:rsidRPr="002029AF">
        <w:t>worked</w:t>
      </w:r>
      <w:r w:rsidR="000A5329" w:rsidRPr="002029AF">
        <w:t xml:space="preserve"> </w:t>
      </w:r>
      <w:r w:rsidRPr="002029AF">
        <w:t>with</w:t>
      </w:r>
      <w:r w:rsidR="000A5329" w:rsidRPr="002029AF">
        <w:t xml:space="preserve"> </w:t>
      </w:r>
      <w:r w:rsidRPr="002029AF">
        <w:t>the</w:t>
      </w:r>
      <w:r w:rsidR="000A5329" w:rsidRPr="002029AF">
        <w:t xml:space="preserve"> </w:t>
      </w:r>
      <w:r w:rsidRPr="002029AF">
        <w:t>office</w:t>
      </w:r>
      <w:r w:rsidR="000A5329" w:rsidRPr="002029AF">
        <w:t xml:space="preserve"> </w:t>
      </w:r>
      <w:r w:rsidRPr="002029AF">
        <w:t>landlord</w:t>
      </w:r>
      <w:r w:rsidR="000A5329" w:rsidRPr="002029AF">
        <w:t xml:space="preserve"> </w:t>
      </w:r>
      <w:r w:rsidRPr="002029AF">
        <w:t>at</w:t>
      </w:r>
      <w:r w:rsidR="000A5329" w:rsidRPr="002029AF">
        <w:t xml:space="preserve"> </w:t>
      </w:r>
      <w:r w:rsidRPr="002029AF">
        <w:t>55</w:t>
      </w:r>
      <w:r w:rsidR="000A5329" w:rsidRPr="002029AF">
        <w:t xml:space="preserve"> </w:t>
      </w:r>
      <w:r w:rsidRPr="002029AF">
        <w:t>Hovell</w:t>
      </w:r>
      <w:r w:rsidR="000A5329" w:rsidRPr="002029AF">
        <w:t xml:space="preserve"> </w:t>
      </w:r>
      <w:r w:rsidRPr="002029AF">
        <w:t>St,</w:t>
      </w:r>
      <w:r w:rsidR="000A5329" w:rsidRPr="002029AF">
        <w:t xml:space="preserve"> </w:t>
      </w:r>
      <w:r w:rsidRPr="002029AF">
        <w:t>Wodonga</w:t>
      </w:r>
      <w:r w:rsidR="000A5329" w:rsidRPr="002029AF">
        <w:t xml:space="preserve"> </w:t>
      </w:r>
      <w:r w:rsidRPr="002029AF">
        <w:t>to</w:t>
      </w:r>
      <w:r w:rsidR="000A5329" w:rsidRPr="002029AF">
        <w:t xml:space="preserve"> </w:t>
      </w:r>
      <w:r w:rsidRPr="002029AF">
        <w:t>upgrade</w:t>
      </w:r>
      <w:r w:rsidR="000A5329" w:rsidRPr="002029AF">
        <w:t xml:space="preserve"> </w:t>
      </w:r>
      <w:r w:rsidRPr="002029AF">
        <w:t>the</w:t>
      </w:r>
      <w:r w:rsidR="000A5329" w:rsidRPr="002029AF">
        <w:t xml:space="preserve"> </w:t>
      </w:r>
      <w:r w:rsidRPr="002029AF">
        <w:t>tenancy</w:t>
      </w:r>
      <w:r w:rsidR="000A5329" w:rsidRPr="002029AF">
        <w:t xml:space="preserve"> </w:t>
      </w:r>
      <w:r w:rsidRPr="002029AF">
        <w:t>lighting</w:t>
      </w:r>
      <w:r w:rsidR="000A5329" w:rsidRPr="002029AF">
        <w:t xml:space="preserve"> </w:t>
      </w:r>
      <w:r w:rsidRPr="002029AF">
        <w:t>to</w:t>
      </w:r>
      <w:r w:rsidR="000A5329" w:rsidRPr="002029AF">
        <w:t xml:space="preserve"> </w:t>
      </w:r>
      <w:r w:rsidRPr="002029AF">
        <w:t>LED.</w:t>
      </w:r>
      <w:r w:rsidR="000A5329" w:rsidRPr="002029AF">
        <w:t xml:space="preserve"> </w:t>
      </w:r>
      <w:r w:rsidRPr="002029AF">
        <w:t>The</w:t>
      </w:r>
      <w:r w:rsidR="000A5329" w:rsidRPr="002029AF">
        <w:t xml:space="preserve"> </w:t>
      </w:r>
      <w:r w:rsidRPr="002029AF">
        <w:t>upgrades</w:t>
      </w:r>
      <w:r w:rsidR="000A5329" w:rsidRPr="002029AF">
        <w:t xml:space="preserve"> </w:t>
      </w:r>
      <w:r w:rsidRPr="002029AF">
        <w:t>are</w:t>
      </w:r>
      <w:r w:rsidR="000A5329" w:rsidRPr="002029AF">
        <w:t xml:space="preserve"> </w:t>
      </w:r>
      <w:r w:rsidRPr="002029AF">
        <w:t>expected</w:t>
      </w:r>
      <w:r w:rsidR="000A5329" w:rsidRPr="002029AF">
        <w:t xml:space="preserve"> </w:t>
      </w:r>
      <w:r w:rsidRPr="002029AF">
        <w:t>to</w:t>
      </w:r>
      <w:r w:rsidR="000A5329" w:rsidRPr="002029AF">
        <w:t xml:space="preserve"> </w:t>
      </w:r>
      <w:r w:rsidRPr="002029AF">
        <w:t>reduce</w:t>
      </w:r>
      <w:r w:rsidR="000A5329" w:rsidRPr="002029AF">
        <w:t xml:space="preserve"> </w:t>
      </w:r>
      <w:r w:rsidRPr="002029AF">
        <w:t>electricity</w:t>
      </w:r>
      <w:r w:rsidR="000A5329" w:rsidRPr="002029AF">
        <w:t xml:space="preserve"> </w:t>
      </w:r>
      <w:r w:rsidRPr="002029AF">
        <w:t>usage</w:t>
      </w:r>
      <w:r w:rsidR="000A5329" w:rsidRPr="002029AF">
        <w:t xml:space="preserve"> </w:t>
      </w:r>
      <w:r w:rsidRPr="002029AF">
        <w:t>by</w:t>
      </w:r>
      <w:r w:rsidR="000A5329" w:rsidRPr="002029AF">
        <w:t xml:space="preserve"> </w:t>
      </w:r>
      <w:r w:rsidRPr="002029AF">
        <w:t>34,000</w:t>
      </w:r>
      <w:r w:rsidR="000A5329" w:rsidRPr="002029AF">
        <w:t xml:space="preserve"> </w:t>
      </w:r>
      <w:r w:rsidRPr="002029AF">
        <w:t>kWh</w:t>
      </w:r>
      <w:r w:rsidR="000A5329" w:rsidRPr="002029AF">
        <w:t xml:space="preserve"> </w:t>
      </w:r>
      <w:r w:rsidRPr="002029AF">
        <w:t>per</w:t>
      </w:r>
      <w:r w:rsidR="000A5329" w:rsidRPr="002029AF">
        <w:t xml:space="preserve"> </w:t>
      </w:r>
      <w:r w:rsidRPr="002029AF">
        <w:t>annum</w:t>
      </w:r>
      <w:r w:rsidR="000A5329" w:rsidRPr="002029AF">
        <w:t xml:space="preserve"> </w:t>
      </w:r>
      <w:r w:rsidRPr="002029AF">
        <w:t>and</w:t>
      </w:r>
      <w:r w:rsidR="006F2C99" w:rsidRPr="002029AF">
        <w:t> </w:t>
      </w:r>
      <w:r w:rsidRPr="002029AF">
        <w:t>reduce</w:t>
      </w:r>
      <w:r w:rsidR="000A5329" w:rsidRPr="002029AF">
        <w:t xml:space="preserve"> </w:t>
      </w:r>
      <w:r w:rsidRPr="002029AF">
        <w:t>emissions</w:t>
      </w:r>
      <w:r w:rsidR="000A5329" w:rsidRPr="002029AF">
        <w:t xml:space="preserve"> </w:t>
      </w:r>
      <w:r w:rsidRPr="002029AF">
        <w:t>by</w:t>
      </w:r>
      <w:r w:rsidR="000A5329" w:rsidRPr="002029AF">
        <w:t xml:space="preserve"> </w:t>
      </w:r>
      <w:r w:rsidRPr="002029AF">
        <w:t>38</w:t>
      </w:r>
      <w:r w:rsidR="000A5329" w:rsidRPr="002029AF">
        <w:t xml:space="preserve"> </w:t>
      </w:r>
      <w:r w:rsidRPr="002029AF">
        <w:t>tonnes</w:t>
      </w:r>
      <w:r w:rsidR="000A5329" w:rsidRPr="002029AF">
        <w:t xml:space="preserve"> </w:t>
      </w:r>
      <w:r w:rsidRPr="002029AF">
        <w:t>CO</w:t>
      </w:r>
      <w:r w:rsidR="002A5CF0" w:rsidRPr="002029AF">
        <w:rPr>
          <w:vertAlign w:val="subscript"/>
        </w:rPr>
        <w:t>2</w:t>
      </w:r>
      <w:r w:rsidRPr="002029AF">
        <w:t>-e</w:t>
      </w:r>
    </w:p>
    <w:p w14:paraId="3D9A9DE3" w14:textId="4CE82932" w:rsidR="00CF72D5" w:rsidRPr="002029AF" w:rsidRDefault="00CF72D5" w:rsidP="00693FBF">
      <w:pPr>
        <w:pStyle w:val="ARbullet1"/>
      </w:pPr>
      <w:r w:rsidRPr="002029AF">
        <w:t>published</w:t>
      </w:r>
      <w:r w:rsidR="000A5329" w:rsidRPr="002029AF">
        <w:t xml:space="preserve"> </w:t>
      </w:r>
      <w:r w:rsidRPr="002029AF">
        <w:t>technical</w:t>
      </w:r>
      <w:r w:rsidR="000A5329" w:rsidRPr="002029AF">
        <w:t xml:space="preserve"> </w:t>
      </w:r>
      <w:r w:rsidRPr="002029AF">
        <w:t>guidance</w:t>
      </w:r>
      <w:r w:rsidR="000A5329" w:rsidRPr="002029AF">
        <w:t xml:space="preserve"> </w:t>
      </w:r>
      <w:r w:rsidRPr="002029AF">
        <w:t>notes</w:t>
      </w:r>
      <w:r w:rsidR="000A5329" w:rsidRPr="002029AF">
        <w:t xml:space="preserve"> </w:t>
      </w:r>
      <w:r w:rsidRPr="002029AF">
        <w:t>to</w:t>
      </w:r>
      <w:r w:rsidR="000A5329" w:rsidRPr="002029AF">
        <w:t xml:space="preserve"> </w:t>
      </w:r>
      <w:r w:rsidRPr="002029AF">
        <w:t>assist</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with</w:t>
      </w:r>
      <w:r w:rsidR="000A5329" w:rsidRPr="002029AF">
        <w:t xml:space="preserve"> </w:t>
      </w:r>
      <w:r w:rsidRPr="002029AF">
        <w:t>the</w:t>
      </w:r>
      <w:r w:rsidR="000A5329" w:rsidRPr="002029AF">
        <w:t xml:space="preserve"> </w:t>
      </w:r>
      <w:r w:rsidRPr="002029AF">
        <w:t>installation,</w:t>
      </w:r>
      <w:r w:rsidR="000A5329" w:rsidRPr="002029AF">
        <w:t xml:space="preserve"> </w:t>
      </w:r>
      <w:r w:rsidRPr="002029AF">
        <w:t>maintenance</w:t>
      </w:r>
      <w:r w:rsidR="000A5329" w:rsidRPr="002029AF">
        <w:t xml:space="preserve"> </w:t>
      </w:r>
      <w:r w:rsidRPr="002029AF">
        <w:t>and</w:t>
      </w:r>
      <w:r w:rsidR="000A5329" w:rsidRPr="002029AF">
        <w:t xml:space="preserve"> </w:t>
      </w:r>
      <w:r w:rsidRPr="002029AF">
        <w:t>operation</w:t>
      </w:r>
      <w:r w:rsidR="000A5329" w:rsidRPr="002029AF">
        <w:t xml:space="preserve"> </w:t>
      </w:r>
      <w:r w:rsidRPr="002029AF">
        <w:t>of</w:t>
      </w:r>
      <w:r w:rsidR="000A5329" w:rsidRPr="002029AF">
        <w:t xml:space="preserve"> </w:t>
      </w:r>
      <w:r w:rsidRPr="002029AF">
        <w:t>solar</w:t>
      </w:r>
      <w:r w:rsidR="000A5329" w:rsidRPr="002029AF">
        <w:t xml:space="preserve"> </w:t>
      </w:r>
      <w:r w:rsidRPr="002029AF">
        <w:t>arrays</w:t>
      </w:r>
    </w:p>
    <w:p w14:paraId="6FA7E7E7" w14:textId="30BDA65D" w:rsidR="00CF72D5" w:rsidRPr="002029AF" w:rsidRDefault="00CF72D5" w:rsidP="00693FBF">
      <w:pPr>
        <w:pStyle w:val="ARbullet1"/>
      </w:pPr>
      <w:r w:rsidRPr="002029AF">
        <w:t>set</w:t>
      </w:r>
      <w:r w:rsidR="000A5329" w:rsidRPr="002029AF">
        <w:t xml:space="preserve"> </w:t>
      </w:r>
      <w:r w:rsidRPr="002029AF">
        <w:t>a</w:t>
      </w:r>
      <w:r w:rsidR="000A5329" w:rsidRPr="002029AF">
        <w:t xml:space="preserve"> </w:t>
      </w:r>
      <w:r w:rsidRPr="002029AF">
        <w:t>target</w:t>
      </w:r>
      <w:r w:rsidR="000A5329" w:rsidRPr="002029AF">
        <w:t xml:space="preserve"> </w:t>
      </w:r>
      <w:r w:rsidRPr="002029AF">
        <w:t>for</w:t>
      </w:r>
      <w:r w:rsidR="000A5329" w:rsidRPr="002029AF">
        <w:t xml:space="preserve"> </w:t>
      </w:r>
      <w:r w:rsidRPr="002029AF">
        <w:t>all</w:t>
      </w:r>
      <w:r w:rsidR="000A5329" w:rsidRPr="002029AF">
        <w:t xml:space="preserve"> </w:t>
      </w:r>
      <w:r w:rsidRPr="002029AF">
        <w:t>newly</w:t>
      </w:r>
      <w:r w:rsidR="000A5329" w:rsidRPr="002029AF">
        <w:t xml:space="preserve"> </w:t>
      </w:r>
      <w:r w:rsidRPr="002029AF">
        <w:t>built</w:t>
      </w:r>
      <w:r w:rsidR="000A5329" w:rsidRPr="002029AF">
        <w:t xml:space="preserve"> </w:t>
      </w:r>
      <w:r w:rsidRPr="002029AF">
        <w:t>public</w:t>
      </w:r>
      <w:r w:rsidR="000A5329" w:rsidRPr="002029AF">
        <w:t xml:space="preserve"> </w:t>
      </w:r>
      <w:r w:rsidRPr="002029AF">
        <w:t>housing</w:t>
      </w:r>
      <w:r w:rsidR="000A5329" w:rsidRPr="002029AF">
        <w:t xml:space="preserve"> </w:t>
      </w:r>
      <w:r w:rsidRPr="002029AF">
        <w:t>dwellings</w:t>
      </w:r>
      <w:r w:rsidR="000A5329" w:rsidRPr="002029AF">
        <w:t xml:space="preserve"> </w:t>
      </w:r>
      <w:r w:rsidRPr="002029AF">
        <w:t>to</w:t>
      </w:r>
      <w:r w:rsidR="000A5329" w:rsidRPr="002029AF">
        <w:t xml:space="preserve"> </w:t>
      </w:r>
      <w:r w:rsidRPr="002029AF">
        <w:t>exceed</w:t>
      </w:r>
      <w:r w:rsidR="000A5329" w:rsidRPr="002029AF">
        <w:t xml:space="preserve"> </w:t>
      </w:r>
      <w:r w:rsidRPr="002029AF">
        <w:t>an</w:t>
      </w:r>
      <w:r w:rsidR="000A5329" w:rsidRPr="002029AF">
        <w:t xml:space="preserve"> </w:t>
      </w:r>
      <w:r w:rsidRPr="002029AF">
        <w:t>average</w:t>
      </w:r>
      <w:r w:rsidR="000A5329" w:rsidRPr="002029AF">
        <w:t xml:space="preserve"> </w:t>
      </w:r>
      <w:r w:rsidR="003D6A81" w:rsidRPr="002029AF">
        <w:t>seven</w:t>
      </w:r>
      <w:r w:rsidRPr="002029AF">
        <w:t>-star</w:t>
      </w:r>
      <w:r w:rsidR="000A5329" w:rsidRPr="002029AF">
        <w:t xml:space="preserve"> </w:t>
      </w:r>
      <w:r w:rsidRPr="002029AF">
        <w:t>NatHERS</w:t>
      </w:r>
      <w:r w:rsidR="000A5329" w:rsidRPr="002029AF">
        <w:t xml:space="preserve"> </w:t>
      </w:r>
      <w:r w:rsidRPr="002029AF">
        <w:t>rating</w:t>
      </w:r>
      <w:r w:rsidR="000A5329" w:rsidRPr="002029AF">
        <w:t xml:space="preserve"> </w:t>
      </w:r>
      <w:r w:rsidRPr="002029AF">
        <w:t>and</w:t>
      </w:r>
      <w:r w:rsidR="000A5329" w:rsidRPr="002029AF">
        <w:t xml:space="preserve"> </w:t>
      </w:r>
      <w:r w:rsidRPr="002029AF">
        <w:t>be</w:t>
      </w:r>
      <w:r w:rsidR="000A5329" w:rsidRPr="002029AF">
        <w:t xml:space="preserve"> </w:t>
      </w:r>
      <w:r w:rsidRPr="002029AF">
        <w:t>specified</w:t>
      </w:r>
      <w:r w:rsidR="000A5329" w:rsidRPr="002029AF">
        <w:t xml:space="preserve"> </w:t>
      </w:r>
      <w:r w:rsidRPr="002029AF">
        <w:t>with</w:t>
      </w:r>
      <w:r w:rsidR="000A5329" w:rsidRPr="002029AF">
        <w:t xml:space="preserve"> </w:t>
      </w:r>
      <w:r w:rsidRPr="002029AF">
        <w:t>all-electric</w:t>
      </w:r>
      <w:r w:rsidR="000A5329" w:rsidRPr="002029AF">
        <w:t xml:space="preserve"> </w:t>
      </w:r>
      <w:r w:rsidRPr="002029AF">
        <w:t>appliances</w:t>
      </w:r>
      <w:r w:rsidR="000A5329" w:rsidRPr="002029AF">
        <w:t xml:space="preserve"> </w:t>
      </w:r>
      <w:r w:rsidRPr="002029AF">
        <w:t>and</w:t>
      </w:r>
      <w:r w:rsidR="000A5329" w:rsidRPr="002029AF">
        <w:t xml:space="preserve"> </w:t>
      </w:r>
      <w:r w:rsidRPr="002029AF">
        <w:t>solar</w:t>
      </w:r>
      <w:r w:rsidR="000A5329" w:rsidRPr="002029AF">
        <w:t xml:space="preserve"> </w:t>
      </w:r>
      <w:r w:rsidRPr="002029AF">
        <w:t>PV.</w:t>
      </w:r>
      <w:r w:rsidR="000A5329" w:rsidRPr="002029AF">
        <w:t xml:space="preserve"> </w:t>
      </w:r>
      <w:r w:rsidRPr="002029AF">
        <w:t>A</w:t>
      </w:r>
      <w:r w:rsidR="000A5329" w:rsidRPr="002029AF">
        <w:t xml:space="preserve"> </w:t>
      </w:r>
      <w:r w:rsidRPr="002029AF">
        <w:t>compliance</w:t>
      </w:r>
      <w:r w:rsidR="000A5329" w:rsidRPr="002029AF">
        <w:t xml:space="preserve"> </w:t>
      </w:r>
      <w:r w:rsidRPr="002029AF">
        <w:t>rate</w:t>
      </w:r>
      <w:r w:rsidR="000A5329" w:rsidRPr="002029AF">
        <w:t xml:space="preserve"> </w:t>
      </w:r>
      <w:r w:rsidRPr="002029AF">
        <w:t>of</w:t>
      </w:r>
      <w:r w:rsidR="000A5329" w:rsidRPr="002029AF">
        <w:t xml:space="preserve"> </w:t>
      </w:r>
      <w:r w:rsidRPr="002029AF">
        <w:t>48</w:t>
      </w:r>
      <w:r w:rsidR="000A5329" w:rsidRPr="002029AF">
        <w:t xml:space="preserve"> </w:t>
      </w:r>
      <w:r w:rsidRPr="002029AF">
        <w:t>per</w:t>
      </w:r>
      <w:r w:rsidR="000A5329" w:rsidRPr="002029AF">
        <w:t xml:space="preserve"> </w:t>
      </w:r>
      <w:r w:rsidRPr="002029AF">
        <w:t>cent</w:t>
      </w:r>
      <w:r w:rsidR="000A5329" w:rsidRPr="002029AF">
        <w:t xml:space="preserve"> </w:t>
      </w:r>
      <w:r w:rsidRPr="002029AF">
        <w:t>with</w:t>
      </w:r>
      <w:r w:rsidR="000A5329" w:rsidRPr="002029AF">
        <w:t xml:space="preserve"> </w:t>
      </w:r>
      <w:r w:rsidRPr="002029AF">
        <w:t>these</w:t>
      </w:r>
      <w:r w:rsidR="000A5329" w:rsidRPr="002029AF">
        <w:t xml:space="preserve"> </w:t>
      </w:r>
      <w:r w:rsidRPr="002029AF">
        <w:t>guidelines</w:t>
      </w:r>
      <w:r w:rsidR="000A5329" w:rsidRPr="002029AF">
        <w:t xml:space="preserve"> </w:t>
      </w:r>
      <w:r w:rsidRPr="002029AF">
        <w:t>was</w:t>
      </w:r>
      <w:r w:rsidR="000A5329" w:rsidRPr="002029AF">
        <w:t xml:space="preserve"> </w:t>
      </w:r>
      <w:r w:rsidRPr="002029AF">
        <w:t>achieved.</w:t>
      </w:r>
    </w:p>
    <w:p w14:paraId="17786BFA" w14:textId="3E78A36D" w:rsidR="00CF72D5" w:rsidRPr="002029AF" w:rsidRDefault="00CF72D5" w:rsidP="00961519">
      <w:pPr>
        <w:pStyle w:val="Heading5"/>
      </w:pPr>
      <w:r w:rsidRPr="002029AF">
        <w:t>Office-based</w:t>
      </w:r>
      <w:r w:rsidR="000A5329" w:rsidRPr="002029AF">
        <w:t xml:space="preserve"> </w:t>
      </w:r>
      <w:r w:rsidRPr="002029AF">
        <w:t>performance</w:t>
      </w:r>
    </w:p>
    <w:p w14:paraId="01D30E65" w14:textId="0555F621" w:rsidR="00CF72D5" w:rsidRPr="002029AF" w:rsidRDefault="00CF72D5" w:rsidP="00166054">
      <w:pPr>
        <w:pStyle w:val="ARbody"/>
      </w:pPr>
      <w:r w:rsidRPr="002029AF">
        <w:t>In</w:t>
      </w:r>
      <w:r w:rsidR="000A5329" w:rsidRPr="002029AF">
        <w:t xml:space="preserve"> </w:t>
      </w:r>
      <w:r w:rsidRPr="002029AF">
        <w:t>2019–20:</w:t>
      </w:r>
    </w:p>
    <w:p w14:paraId="18DBF17D" w14:textId="48022DA7" w:rsidR="00CF72D5" w:rsidRPr="002029AF" w:rsidRDefault="00CF72D5" w:rsidP="00693FBF">
      <w:pPr>
        <w:pStyle w:val="ARbullet1"/>
      </w:pPr>
      <w:r w:rsidRPr="002029AF">
        <w:t>office-based</w:t>
      </w:r>
      <w:r w:rsidR="000A5329" w:rsidRPr="002029AF">
        <w:t xml:space="preserve"> </w:t>
      </w:r>
      <w:r w:rsidRPr="002029AF">
        <w:t>energy</w:t>
      </w:r>
      <w:r w:rsidR="000A5329" w:rsidRPr="002029AF">
        <w:t xml:space="preserve"> </w:t>
      </w:r>
      <w:r w:rsidRPr="002029AF">
        <w:t>usage</w:t>
      </w:r>
      <w:r w:rsidR="000A5329" w:rsidRPr="002029AF">
        <w:t xml:space="preserve"> </w:t>
      </w:r>
      <w:r w:rsidRPr="002029AF">
        <w:t>reduced</w:t>
      </w:r>
      <w:r w:rsidR="000A5329" w:rsidRPr="002029AF">
        <w:t xml:space="preserve"> </w:t>
      </w:r>
      <w:r w:rsidRPr="002029AF">
        <w:t>by</w:t>
      </w:r>
      <w:r w:rsidR="000A5329" w:rsidRPr="002029AF">
        <w:t xml:space="preserve"> </w:t>
      </w:r>
      <w:r w:rsidR="006C3A86" w:rsidRPr="002029AF">
        <w:t>nine</w:t>
      </w:r>
      <w:r w:rsidR="000A5329" w:rsidRPr="002029AF">
        <w:t xml:space="preserve"> </w:t>
      </w:r>
      <w:r w:rsidRPr="002029AF">
        <w:t>per</w:t>
      </w:r>
      <w:r w:rsidR="000A5329" w:rsidRPr="002029AF">
        <w:t xml:space="preserve"> </w:t>
      </w:r>
      <w:r w:rsidRPr="002029AF">
        <w:t>cent.</w:t>
      </w:r>
      <w:r w:rsidR="000A5329" w:rsidRPr="002029AF">
        <w:t xml:space="preserve"> </w:t>
      </w:r>
      <w:r w:rsidRPr="002029AF">
        <w:t>The</w:t>
      </w:r>
      <w:r w:rsidR="000A5329" w:rsidRPr="002029AF">
        <w:t xml:space="preserve"> </w:t>
      </w:r>
      <w:r w:rsidRPr="002029AF">
        <w:t>decrease</w:t>
      </w:r>
      <w:r w:rsidR="000A5329" w:rsidRPr="002029AF">
        <w:t xml:space="preserve"> </w:t>
      </w:r>
      <w:r w:rsidRPr="002029AF">
        <w:t>is</w:t>
      </w:r>
      <w:r w:rsidR="000A5329" w:rsidRPr="002029AF">
        <w:t xml:space="preserve"> </w:t>
      </w:r>
      <w:r w:rsidRPr="002029AF">
        <w:t>attributed</w:t>
      </w:r>
      <w:r w:rsidR="000A5329" w:rsidRPr="002029AF">
        <w:t xml:space="preserve"> </w:t>
      </w:r>
      <w:r w:rsidRPr="002029AF">
        <w:t>to</w:t>
      </w:r>
      <w:r w:rsidR="000A5329" w:rsidRPr="002029AF">
        <w:t xml:space="preserve"> </w:t>
      </w:r>
      <w:r w:rsidRPr="002029AF">
        <w:t>the</w:t>
      </w:r>
      <w:r w:rsidR="000A5329" w:rsidRPr="002029AF">
        <w:t xml:space="preserve"> </w:t>
      </w:r>
      <w:r w:rsidRPr="002029AF">
        <w:t>change</w:t>
      </w:r>
      <w:r w:rsidR="000A5329" w:rsidRPr="002029AF">
        <w:t xml:space="preserve"> </w:t>
      </w:r>
      <w:r w:rsidRPr="002029AF">
        <w:t>in</w:t>
      </w:r>
      <w:r w:rsidR="000A5329" w:rsidRPr="002029AF">
        <w:t xml:space="preserve"> </w:t>
      </w:r>
      <w:r w:rsidRPr="002029AF">
        <w:t>workplace</w:t>
      </w:r>
      <w:r w:rsidR="000A5329" w:rsidRPr="002029AF">
        <w:t xml:space="preserve"> </w:t>
      </w:r>
      <w:r w:rsidRPr="002029AF">
        <w:t>arrangements</w:t>
      </w:r>
      <w:r w:rsidR="000A5329" w:rsidRPr="002029AF">
        <w:t xml:space="preserve"> </w:t>
      </w:r>
      <w:r w:rsidRPr="002029AF">
        <w:t>since</w:t>
      </w:r>
      <w:r w:rsidR="000A5329" w:rsidRPr="002029AF">
        <w:t xml:space="preserve"> </w:t>
      </w:r>
      <w:r w:rsidRPr="002029AF">
        <w:t>March</w:t>
      </w:r>
      <w:r w:rsidR="000A5329" w:rsidRPr="002029AF">
        <w:t xml:space="preserve"> </w:t>
      </w:r>
      <w:r w:rsidRPr="002029AF">
        <w:t>2020,</w:t>
      </w:r>
      <w:r w:rsidR="000A5329" w:rsidRPr="002029AF">
        <w:t xml:space="preserve"> </w:t>
      </w:r>
      <w:r w:rsidRPr="002029AF">
        <w:t>when</w:t>
      </w:r>
      <w:r w:rsidR="000A5329" w:rsidRPr="002029AF">
        <w:t xml:space="preserve"> </w:t>
      </w:r>
      <w:r w:rsidRPr="002029AF">
        <w:t>the</w:t>
      </w:r>
      <w:r w:rsidR="000A5329" w:rsidRPr="002029AF">
        <w:t xml:space="preserve"> </w:t>
      </w:r>
      <w:r w:rsidRPr="002029AF">
        <w:t>majority</w:t>
      </w:r>
      <w:r w:rsidR="000A5329" w:rsidRPr="002029AF">
        <w:t xml:space="preserve"> </w:t>
      </w:r>
      <w:r w:rsidRPr="002029AF">
        <w:t>of</w:t>
      </w:r>
      <w:r w:rsidR="000A5329" w:rsidRPr="002029AF">
        <w:t xml:space="preserve"> </w:t>
      </w:r>
      <w:r w:rsidRPr="002029AF">
        <w:t>staff</w:t>
      </w:r>
      <w:r w:rsidR="000A5329" w:rsidRPr="002029AF">
        <w:t xml:space="preserve"> </w:t>
      </w:r>
      <w:r w:rsidRPr="002029AF">
        <w:t>transitioned</w:t>
      </w:r>
      <w:r w:rsidR="000A5329" w:rsidRPr="002029AF">
        <w:t xml:space="preserve"> </w:t>
      </w:r>
      <w:r w:rsidRPr="002029AF">
        <w:t>to</w:t>
      </w:r>
      <w:r w:rsidR="000A5329" w:rsidRPr="002029AF">
        <w:t xml:space="preserve"> </w:t>
      </w:r>
      <w:r w:rsidRPr="002029AF">
        <w:t>remote</w:t>
      </w:r>
      <w:r w:rsidR="000A5329" w:rsidRPr="002029AF">
        <w:t xml:space="preserve"> </w:t>
      </w:r>
      <w:r w:rsidRPr="002029AF">
        <w:t>working.</w:t>
      </w:r>
    </w:p>
    <w:p w14:paraId="48CC161D" w14:textId="77777777" w:rsidR="00CF72D5" w:rsidRPr="002029AF" w:rsidRDefault="00CF72D5" w:rsidP="00961519">
      <w:pPr>
        <w:pStyle w:val="Heading5"/>
      </w:pPr>
      <w:r w:rsidRPr="002029AF">
        <w:t>Targets</w:t>
      </w:r>
    </w:p>
    <w:p w14:paraId="58792EE0" w14:textId="3B512C45" w:rsidR="00CF72D5" w:rsidRPr="002029AF" w:rsidRDefault="00CF72D5" w:rsidP="00693FBF">
      <w:pPr>
        <w:pStyle w:val="ARbullet1"/>
      </w:pPr>
      <w:r w:rsidRPr="002029AF">
        <w:t>The</w:t>
      </w:r>
      <w:r w:rsidR="000A5329" w:rsidRPr="002029AF">
        <w:t xml:space="preserve"> </w:t>
      </w:r>
      <w:r w:rsidRPr="002029AF">
        <w:t>2020–21</w:t>
      </w:r>
      <w:r w:rsidR="000A5329" w:rsidRPr="002029AF">
        <w:t xml:space="preserve"> </w:t>
      </w:r>
      <w:r w:rsidRPr="002029AF">
        <w:t>environmental</w:t>
      </w:r>
      <w:r w:rsidR="000A5329" w:rsidRPr="002029AF">
        <w:t xml:space="preserve"> </w:t>
      </w:r>
      <w:r w:rsidRPr="002029AF">
        <w:t>management</w:t>
      </w:r>
      <w:r w:rsidR="000A5329" w:rsidRPr="002029AF">
        <w:t xml:space="preserve"> </w:t>
      </w:r>
      <w:r w:rsidRPr="002029AF">
        <w:t>system</w:t>
      </w:r>
      <w:r w:rsidR="000A5329" w:rsidRPr="002029AF">
        <w:t xml:space="preserve"> </w:t>
      </w:r>
      <w:r w:rsidRPr="002029AF">
        <w:t>targets</w:t>
      </w:r>
      <w:r w:rsidR="000A5329" w:rsidRPr="002029AF">
        <w:t xml:space="preserve"> </w:t>
      </w:r>
      <w:r w:rsidRPr="002029AF">
        <w:t>for</w:t>
      </w:r>
      <w:r w:rsidR="000A5329" w:rsidRPr="002029AF">
        <w:t xml:space="preserve"> </w:t>
      </w:r>
      <w:r w:rsidRPr="002029AF">
        <w:t>energy</w:t>
      </w:r>
      <w:r w:rsidR="000A5329" w:rsidRPr="002029AF">
        <w:t xml:space="preserve"> </w:t>
      </w:r>
      <w:r w:rsidRPr="002029AF">
        <w:t>are</w:t>
      </w:r>
      <w:r w:rsidR="000A5329" w:rsidRPr="002029AF">
        <w:t xml:space="preserve"> </w:t>
      </w:r>
      <w:r w:rsidRPr="002029AF">
        <w:t>to:</w:t>
      </w:r>
    </w:p>
    <w:p w14:paraId="3C082722" w14:textId="34A3AED8" w:rsidR="00CF72D5" w:rsidRPr="002029AF" w:rsidRDefault="00CF72D5" w:rsidP="00693FBF">
      <w:pPr>
        <w:pStyle w:val="ARbullet1"/>
        <w:rPr>
          <w:color w:val="000000"/>
        </w:rPr>
      </w:pPr>
      <w:r w:rsidRPr="002029AF">
        <w:rPr>
          <w:color w:val="000000"/>
        </w:rPr>
        <w:t>design</w:t>
      </w:r>
      <w:r w:rsidR="000A5329" w:rsidRPr="002029AF">
        <w:rPr>
          <w:color w:val="000000"/>
        </w:rPr>
        <w:t xml:space="preserve"> </w:t>
      </w:r>
      <w:r w:rsidRPr="002029AF">
        <w:rPr>
          <w:color w:val="000000"/>
        </w:rPr>
        <w:t>and</w:t>
      </w:r>
      <w:r w:rsidR="000A5329" w:rsidRPr="002029AF">
        <w:rPr>
          <w:color w:val="000000"/>
        </w:rPr>
        <w:t xml:space="preserve"> </w:t>
      </w:r>
      <w:r w:rsidRPr="002029AF">
        <w:rPr>
          <w:color w:val="000000"/>
        </w:rPr>
        <w:t>construct</w:t>
      </w:r>
      <w:r w:rsidR="000A5329" w:rsidRPr="002029AF">
        <w:rPr>
          <w:color w:val="000000"/>
        </w:rPr>
        <w:t xml:space="preserve"> </w:t>
      </w:r>
      <w:r w:rsidRPr="002029AF">
        <w:rPr>
          <w:color w:val="000000"/>
        </w:rPr>
        <w:t>all</w:t>
      </w:r>
      <w:r w:rsidR="000A5329" w:rsidRPr="002029AF">
        <w:rPr>
          <w:color w:val="000000"/>
        </w:rPr>
        <w:t xml:space="preserve"> </w:t>
      </w:r>
      <w:r w:rsidRPr="002029AF">
        <w:rPr>
          <w:color w:val="000000"/>
        </w:rPr>
        <w:t>new</w:t>
      </w:r>
      <w:r w:rsidR="000A5329" w:rsidRPr="002029AF">
        <w:rPr>
          <w:color w:val="000000"/>
        </w:rPr>
        <w:t xml:space="preserve"> </w:t>
      </w:r>
      <w:r w:rsidRPr="002029AF">
        <w:rPr>
          <w:color w:val="000000"/>
        </w:rPr>
        <w:t>public</w:t>
      </w:r>
      <w:r w:rsidR="000A5329" w:rsidRPr="002029AF">
        <w:rPr>
          <w:color w:val="000000"/>
        </w:rPr>
        <w:t xml:space="preserve"> </w:t>
      </w:r>
      <w:r w:rsidRPr="002029AF">
        <w:rPr>
          <w:color w:val="000000"/>
        </w:rPr>
        <w:t>housing</w:t>
      </w:r>
      <w:r w:rsidR="000A5329" w:rsidRPr="002029AF">
        <w:rPr>
          <w:color w:val="000000"/>
        </w:rPr>
        <w:t xml:space="preserve"> </w:t>
      </w:r>
      <w:r w:rsidRPr="002029AF">
        <w:rPr>
          <w:color w:val="000000"/>
        </w:rPr>
        <w:t>to</w:t>
      </w:r>
      <w:r w:rsidR="000A5329" w:rsidRPr="002029AF">
        <w:rPr>
          <w:color w:val="000000"/>
        </w:rPr>
        <w:t xml:space="preserve"> </w:t>
      </w:r>
      <w:r w:rsidRPr="002029AF">
        <w:rPr>
          <w:color w:val="000000"/>
        </w:rPr>
        <w:t>achieve</w:t>
      </w:r>
      <w:r w:rsidR="000A5329" w:rsidRPr="002029AF">
        <w:rPr>
          <w:color w:val="000000"/>
        </w:rPr>
        <w:t xml:space="preserve"> </w:t>
      </w:r>
      <w:r w:rsidRPr="002029AF">
        <w:rPr>
          <w:color w:val="000000"/>
        </w:rPr>
        <w:t>a</w:t>
      </w:r>
      <w:r w:rsidR="000A5329" w:rsidRPr="002029AF">
        <w:rPr>
          <w:color w:val="000000"/>
        </w:rPr>
        <w:t xml:space="preserve"> </w:t>
      </w:r>
      <w:r w:rsidRPr="002029AF">
        <w:rPr>
          <w:color w:val="000000"/>
        </w:rPr>
        <w:t>NatHERS</w:t>
      </w:r>
      <w:r w:rsidR="000A5329" w:rsidRPr="002029AF">
        <w:rPr>
          <w:color w:val="000000"/>
        </w:rPr>
        <w:t xml:space="preserve"> </w:t>
      </w:r>
      <w:r w:rsidRPr="002029AF">
        <w:rPr>
          <w:color w:val="000000"/>
        </w:rPr>
        <w:t>rating</w:t>
      </w:r>
      <w:r w:rsidR="000A5329" w:rsidRPr="002029AF">
        <w:rPr>
          <w:color w:val="000000"/>
        </w:rPr>
        <w:t xml:space="preserve"> </w:t>
      </w:r>
      <w:r w:rsidRPr="002029AF">
        <w:rPr>
          <w:color w:val="000000"/>
        </w:rPr>
        <w:t>of</w:t>
      </w:r>
      <w:r w:rsidR="000A5329" w:rsidRPr="002029AF">
        <w:rPr>
          <w:color w:val="000000"/>
        </w:rPr>
        <w:t xml:space="preserve"> </w:t>
      </w:r>
      <w:r w:rsidRPr="002029AF">
        <w:rPr>
          <w:color w:val="000000"/>
        </w:rPr>
        <w:t>at</w:t>
      </w:r>
      <w:r w:rsidR="000A5329" w:rsidRPr="002029AF">
        <w:rPr>
          <w:color w:val="000000"/>
        </w:rPr>
        <w:t xml:space="preserve"> </w:t>
      </w:r>
      <w:r w:rsidRPr="002029AF">
        <w:rPr>
          <w:color w:val="000000"/>
        </w:rPr>
        <w:t>least</w:t>
      </w:r>
      <w:r w:rsidR="000A5329" w:rsidRPr="002029AF">
        <w:rPr>
          <w:color w:val="000000"/>
        </w:rPr>
        <w:t xml:space="preserve"> </w:t>
      </w:r>
      <w:r w:rsidR="006C3A86" w:rsidRPr="002029AF">
        <w:rPr>
          <w:color w:val="000000"/>
        </w:rPr>
        <w:t>seven</w:t>
      </w:r>
      <w:r w:rsidR="000A5329" w:rsidRPr="002029AF">
        <w:rPr>
          <w:color w:val="000000"/>
        </w:rPr>
        <w:t xml:space="preserve"> </w:t>
      </w:r>
      <w:r w:rsidRPr="002029AF">
        <w:rPr>
          <w:color w:val="000000"/>
        </w:rPr>
        <w:t>stars</w:t>
      </w:r>
      <w:r w:rsidR="000A5329" w:rsidRPr="002029AF">
        <w:rPr>
          <w:color w:val="000000"/>
        </w:rPr>
        <w:t xml:space="preserve"> </w:t>
      </w:r>
      <w:r w:rsidRPr="002029AF">
        <w:rPr>
          <w:color w:val="000000"/>
        </w:rPr>
        <w:t>(or</w:t>
      </w:r>
      <w:r w:rsidR="000A5329" w:rsidRPr="002029AF">
        <w:rPr>
          <w:color w:val="000000"/>
        </w:rPr>
        <w:t xml:space="preserve"> </w:t>
      </w:r>
      <w:r w:rsidR="007E6294" w:rsidRPr="002029AF">
        <w:rPr>
          <w:color w:val="000000"/>
        </w:rPr>
        <w:t>seven</w:t>
      </w:r>
      <w:r w:rsidR="006C3258" w:rsidRPr="002029AF">
        <w:rPr>
          <w:color w:val="000000"/>
        </w:rPr>
        <w:t>-star</w:t>
      </w:r>
      <w:r w:rsidR="000A5329" w:rsidRPr="002029AF">
        <w:rPr>
          <w:color w:val="000000"/>
        </w:rPr>
        <w:t xml:space="preserve"> </w:t>
      </w:r>
      <w:r w:rsidRPr="002029AF">
        <w:rPr>
          <w:color w:val="000000"/>
        </w:rPr>
        <w:t>average,</w:t>
      </w:r>
      <w:r w:rsidR="000A5329" w:rsidRPr="002029AF">
        <w:rPr>
          <w:color w:val="000000"/>
        </w:rPr>
        <w:t xml:space="preserve"> </w:t>
      </w:r>
      <w:r w:rsidR="007E6294" w:rsidRPr="002029AF">
        <w:rPr>
          <w:color w:val="000000"/>
        </w:rPr>
        <w:t>six</w:t>
      </w:r>
      <w:r w:rsidR="00E37783" w:rsidRPr="002029AF">
        <w:rPr>
          <w:color w:val="000000"/>
        </w:rPr>
        <w:t>-</w:t>
      </w:r>
      <w:r w:rsidRPr="002029AF">
        <w:rPr>
          <w:color w:val="000000"/>
        </w:rPr>
        <w:t>star</w:t>
      </w:r>
      <w:r w:rsidR="000A5329" w:rsidRPr="002029AF">
        <w:rPr>
          <w:color w:val="000000"/>
        </w:rPr>
        <w:t xml:space="preserve"> </w:t>
      </w:r>
      <w:r w:rsidRPr="002029AF">
        <w:rPr>
          <w:color w:val="000000"/>
        </w:rPr>
        <w:t>minimum</w:t>
      </w:r>
      <w:r w:rsidR="000A5329" w:rsidRPr="002029AF">
        <w:rPr>
          <w:color w:val="000000"/>
        </w:rPr>
        <w:t xml:space="preserve"> </w:t>
      </w:r>
      <w:r w:rsidRPr="002029AF">
        <w:rPr>
          <w:color w:val="000000"/>
        </w:rPr>
        <w:t>for</w:t>
      </w:r>
      <w:r w:rsidR="000A5329" w:rsidRPr="002029AF">
        <w:rPr>
          <w:color w:val="000000"/>
        </w:rPr>
        <w:t xml:space="preserve"> </w:t>
      </w:r>
      <w:r w:rsidRPr="002029AF">
        <w:rPr>
          <w:color w:val="000000"/>
        </w:rPr>
        <w:t>a</w:t>
      </w:r>
      <w:r w:rsidR="000A5329" w:rsidRPr="002029AF">
        <w:rPr>
          <w:color w:val="000000"/>
        </w:rPr>
        <w:t xml:space="preserve"> </w:t>
      </w:r>
      <w:r w:rsidRPr="002029AF">
        <w:rPr>
          <w:color w:val="000000"/>
        </w:rPr>
        <w:t>multi-unit</w:t>
      </w:r>
      <w:r w:rsidR="000A5329" w:rsidRPr="002029AF">
        <w:rPr>
          <w:color w:val="000000"/>
        </w:rPr>
        <w:t xml:space="preserve"> </w:t>
      </w:r>
      <w:r w:rsidRPr="002029AF">
        <w:rPr>
          <w:color w:val="000000"/>
        </w:rPr>
        <w:t>development)</w:t>
      </w:r>
      <w:r w:rsidR="000A5329" w:rsidRPr="002029AF">
        <w:rPr>
          <w:color w:val="000000"/>
        </w:rPr>
        <w:t xml:space="preserve"> </w:t>
      </w:r>
      <w:r w:rsidRPr="002029AF">
        <w:rPr>
          <w:color w:val="000000"/>
        </w:rPr>
        <w:t>unless</w:t>
      </w:r>
      <w:r w:rsidR="000A5329" w:rsidRPr="002029AF">
        <w:rPr>
          <w:color w:val="000000"/>
        </w:rPr>
        <w:t xml:space="preserve"> </w:t>
      </w:r>
      <w:r w:rsidRPr="002029AF">
        <w:rPr>
          <w:color w:val="000000"/>
        </w:rPr>
        <w:t>exempted</w:t>
      </w:r>
    </w:p>
    <w:p w14:paraId="1FD22270" w14:textId="788BD905" w:rsidR="00CF72D5" w:rsidRPr="002029AF" w:rsidRDefault="00CF72D5" w:rsidP="00693FBF">
      <w:pPr>
        <w:pStyle w:val="ARbullet1"/>
      </w:pPr>
      <w:r w:rsidRPr="002029AF">
        <w:rPr>
          <w:color w:val="000000"/>
        </w:rPr>
        <w:t>specify</w:t>
      </w:r>
      <w:r w:rsidR="000A5329" w:rsidRPr="002029AF">
        <w:rPr>
          <w:color w:val="000000"/>
        </w:rPr>
        <w:t xml:space="preserve"> </w:t>
      </w:r>
      <w:r w:rsidRPr="002029AF">
        <w:rPr>
          <w:color w:val="000000"/>
        </w:rPr>
        <w:t>all</w:t>
      </w:r>
      <w:r w:rsidR="000A5329" w:rsidRPr="002029AF">
        <w:rPr>
          <w:color w:val="000000"/>
        </w:rPr>
        <w:t xml:space="preserve"> </w:t>
      </w:r>
      <w:r w:rsidRPr="002029AF">
        <w:rPr>
          <w:color w:val="000000"/>
        </w:rPr>
        <w:t>single</w:t>
      </w:r>
      <w:r w:rsidR="000A5329" w:rsidRPr="002029AF">
        <w:rPr>
          <w:color w:val="000000"/>
        </w:rPr>
        <w:t xml:space="preserve"> </w:t>
      </w:r>
      <w:r w:rsidRPr="002029AF">
        <w:rPr>
          <w:color w:val="000000"/>
        </w:rPr>
        <w:t>level</w:t>
      </w:r>
      <w:r w:rsidR="000A5329" w:rsidRPr="002029AF">
        <w:rPr>
          <w:color w:val="000000"/>
        </w:rPr>
        <w:t xml:space="preserve"> </w:t>
      </w:r>
      <w:r w:rsidRPr="002029AF">
        <w:rPr>
          <w:color w:val="000000"/>
        </w:rPr>
        <w:t>and</w:t>
      </w:r>
      <w:r w:rsidR="000A5329" w:rsidRPr="002029AF">
        <w:rPr>
          <w:color w:val="000000"/>
        </w:rPr>
        <w:t xml:space="preserve"> </w:t>
      </w:r>
      <w:r w:rsidRPr="002029AF">
        <w:rPr>
          <w:color w:val="000000"/>
        </w:rPr>
        <w:t>low-rise</w:t>
      </w:r>
      <w:r w:rsidR="000A5329" w:rsidRPr="002029AF">
        <w:rPr>
          <w:color w:val="000000"/>
        </w:rPr>
        <w:t xml:space="preserve"> </w:t>
      </w:r>
      <w:r w:rsidRPr="002029AF">
        <w:t>multistorey</w:t>
      </w:r>
      <w:r w:rsidR="000A5329" w:rsidRPr="002029AF">
        <w:rPr>
          <w:color w:val="000000"/>
        </w:rPr>
        <w:t xml:space="preserve"> </w:t>
      </w:r>
      <w:r w:rsidRPr="002029AF">
        <w:rPr>
          <w:color w:val="000000"/>
        </w:rPr>
        <w:t>public</w:t>
      </w:r>
      <w:r w:rsidR="000A5329" w:rsidRPr="002029AF">
        <w:rPr>
          <w:color w:val="000000"/>
        </w:rPr>
        <w:t xml:space="preserve"> </w:t>
      </w:r>
      <w:r w:rsidRPr="002029AF">
        <w:rPr>
          <w:color w:val="000000"/>
        </w:rPr>
        <w:t>housing</w:t>
      </w:r>
      <w:r w:rsidR="000A5329" w:rsidRPr="002029AF">
        <w:rPr>
          <w:color w:val="000000"/>
        </w:rPr>
        <w:t xml:space="preserve"> </w:t>
      </w:r>
      <w:r w:rsidRPr="002029AF">
        <w:rPr>
          <w:color w:val="000000"/>
        </w:rPr>
        <w:t>(three</w:t>
      </w:r>
      <w:r w:rsidR="000A5329" w:rsidRPr="002029AF">
        <w:rPr>
          <w:color w:val="000000"/>
        </w:rPr>
        <w:t xml:space="preserve"> </w:t>
      </w:r>
      <w:r w:rsidRPr="002029AF">
        <w:rPr>
          <w:color w:val="000000"/>
        </w:rPr>
        <w:t>stories</w:t>
      </w:r>
      <w:r w:rsidR="000A5329" w:rsidRPr="002029AF">
        <w:rPr>
          <w:color w:val="000000"/>
        </w:rPr>
        <w:t xml:space="preserve"> </w:t>
      </w:r>
      <w:r w:rsidRPr="002029AF">
        <w:rPr>
          <w:color w:val="000000"/>
        </w:rPr>
        <w:t>or</w:t>
      </w:r>
      <w:r w:rsidR="000A5329" w:rsidRPr="002029AF">
        <w:rPr>
          <w:color w:val="000000"/>
        </w:rPr>
        <w:t xml:space="preserve"> </w:t>
      </w:r>
      <w:r w:rsidRPr="002029AF">
        <w:rPr>
          <w:color w:val="000000"/>
        </w:rPr>
        <w:t>less</w:t>
      </w:r>
      <w:r w:rsidR="000A5329" w:rsidRPr="002029AF">
        <w:rPr>
          <w:color w:val="000000"/>
        </w:rPr>
        <w:t xml:space="preserve"> </w:t>
      </w:r>
      <w:r w:rsidRPr="002029AF">
        <w:rPr>
          <w:color w:val="000000"/>
        </w:rPr>
        <w:t>in</w:t>
      </w:r>
      <w:r w:rsidR="000A5329" w:rsidRPr="002029AF">
        <w:rPr>
          <w:color w:val="000000"/>
        </w:rPr>
        <w:t xml:space="preserve"> </w:t>
      </w:r>
      <w:r w:rsidRPr="002029AF">
        <w:rPr>
          <w:color w:val="000000"/>
        </w:rPr>
        <w:t>height)</w:t>
      </w:r>
      <w:r w:rsidR="000A5329" w:rsidRPr="002029AF">
        <w:rPr>
          <w:color w:val="000000"/>
        </w:rPr>
        <w:t xml:space="preserve"> </w:t>
      </w:r>
      <w:r w:rsidRPr="002029AF">
        <w:rPr>
          <w:color w:val="000000"/>
        </w:rPr>
        <w:t>to</w:t>
      </w:r>
      <w:r w:rsidR="000A5329" w:rsidRPr="002029AF">
        <w:rPr>
          <w:color w:val="000000"/>
        </w:rPr>
        <w:t xml:space="preserve"> </w:t>
      </w:r>
      <w:r w:rsidRPr="002029AF">
        <w:rPr>
          <w:color w:val="000000"/>
        </w:rPr>
        <w:t>include</w:t>
      </w:r>
      <w:r w:rsidR="000A5329" w:rsidRPr="002029AF">
        <w:rPr>
          <w:color w:val="000000"/>
        </w:rPr>
        <w:t xml:space="preserve"> </w:t>
      </w:r>
      <w:r w:rsidRPr="002029AF">
        <w:rPr>
          <w:color w:val="000000"/>
        </w:rPr>
        <w:t>efficient</w:t>
      </w:r>
      <w:r w:rsidR="000A5329" w:rsidRPr="002029AF">
        <w:rPr>
          <w:color w:val="000000"/>
        </w:rPr>
        <w:t xml:space="preserve"> </w:t>
      </w:r>
      <w:r w:rsidRPr="002029AF">
        <w:rPr>
          <w:color w:val="000000"/>
        </w:rPr>
        <w:t>all-electric</w:t>
      </w:r>
      <w:r w:rsidR="000A5329" w:rsidRPr="002029AF">
        <w:rPr>
          <w:color w:val="000000"/>
        </w:rPr>
        <w:t xml:space="preserve"> </w:t>
      </w:r>
      <w:r w:rsidRPr="002029AF">
        <w:rPr>
          <w:color w:val="000000"/>
        </w:rPr>
        <w:t>appliances,</w:t>
      </w:r>
      <w:r w:rsidR="000A5329" w:rsidRPr="002029AF">
        <w:rPr>
          <w:color w:val="000000"/>
        </w:rPr>
        <w:t xml:space="preserve"> </w:t>
      </w:r>
      <w:r w:rsidRPr="002029AF">
        <w:rPr>
          <w:color w:val="000000"/>
        </w:rPr>
        <w:t>including</w:t>
      </w:r>
      <w:r w:rsidR="000A5329" w:rsidRPr="002029AF">
        <w:rPr>
          <w:color w:val="000000"/>
        </w:rPr>
        <w:t xml:space="preserve"> </w:t>
      </w:r>
      <w:r w:rsidRPr="002029AF">
        <w:rPr>
          <w:color w:val="000000"/>
        </w:rPr>
        <w:t>heat</w:t>
      </w:r>
      <w:r w:rsidR="000A5329" w:rsidRPr="002029AF">
        <w:rPr>
          <w:color w:val="000000"/>
        </w:rPr>
        <w:t xml:space="preserve"> </w:t>
      </w:r>
      <w:r w:rsidRPr="002029AF">
        <w:rPr>
          <w:color w:val="000000"/>
        </w:rPr>
        <w:t>pumps</w:t>
      </w:r>
      <w:r w:rsidR="000A5329" w:rsidRPr="002029AF">
        <w:rPr>
          <w:color w:val="000000"/>
        </w:rPr>
        <w:t xml:space="preserve"> </w:t>
      </w:r>
      <w:r w:rsidRPr="002029AF">
        <w:rPr>
          <w:color w:val="000000"/>
        </w:rPr>
        <w:t>for</w:t>
      </w:r>
      <w:r w:rsidR="000A5329" w:rsidRPr="002029AF">
        <w:rPr>
          <w:color w:val="000000"/>
        </w:rPr>
        <w:t xml:space="preserve"> </w:t>
      </w:r>
      <w:r w:rsidRPr="002029AF">
        <w:rPr>
          <w:color w:val="000000"/>
        </w:rPr>
        <w:t>hot</w:t>
      </w:r>
      <w:r w:rsidR="000A5329" w:rsidRPr="002029AF">
        <w:t xml:space="preserve"> </w:t>
      </w:r>
      <w:r w:rsidRPr="002029AF">
        <w:t>water</w:t>
      </w:r>
      <w:r w:rsidR="000A5329" w:rsidRPr="002029AF">
        <w:t xml:space="preserve"> </w:t>
      </w:r>
      <w:r w:rsidRPr="002029AF">
        <w:t>and</w:t>
      </w:r>
      <w:r w:rsidR="000A5329" w:rsidRPr="002029AF">
        <w:t xml:space="preserve"> </w:t>
      </w:r>
      <w:r w:rsidRPr="002029AF">
        <w:t>air</w:t>
      </w:r>
      <w:r w:rsidR="000A5329" w:rsidRPr="002029AF">
        <w:t xml:space="preserve"> </w:t>
      </w:r>
      <w:r w:rsidRPr="002029AF">
        <w:t>conditioning,</w:t>
      </w:r>
      <w:r w:rsidR="000A5329" w:rsidRPr="002029AF">
        <w:t xml:space="preserve"> </w:t>
      </w:r>
      <w:r w:rsidRPr="002029AF">
        <w:t>and</w:t>
      </w:r>
      <w:r w:rsidR="000A5329" w:rsidRPr="002029AF">
        <w:t xml:space="preserve"> </w:t>
      </w:r>
      <w:r w:rsidRPr="002029AF">
        <w:t>rooftop</w:t>
      </w:r>
      <w:r w:rsidR="000A5329" w:rsidRPr="002029AF">
        <w:t xml:space="preserve"> </w:t>
      </w:r>
      <w:r w:rsidRPr="002029AF">
        <w:t>solar</w:t>
      </w:r>
      <w:r w:rsidR="000A5329" w:rsidRPr="002029AF">
        <w:t xml:space="preserve"> </w:t>
      </w:r>
      <w:r w:rsidRPr="002029AF">
        <w:t>PV</w:t>
      </w:r>
      <w:r w:rsidR="000A5329" w:rsidRPr="002029AF">
        <w:t xml:space="preserve"> </w:t>
      </w:r>
      <w:r w:rsidRPr="002029AF">
        <w:rPr>
          <w:color w:val="000000"/>
        </w:rPr>
        <w:t>unless</w:t>
      </w:r>
      <w:r w:rsidR="000A5329" w:rsidRPr="002029AF">
        <w:rPr>
          <w:color w:val="000000"/>
        </w:rPr>
        <w:t xml:space="preserve"> </w:t>
      </w:r>
      <w:r w:rsidRPr="002029AF">
        <w:rPr>
          <w:color w:val="000000"/>
        </w:rPr>
        <w:t>exempted</w:t>
      </w:r>
      <w:r w:rsidRPr="002029AF">
        <w:rPr>
          <w:rStyle w:val="CommentReference"/>
          <w:rFonts w:asciiTheme="minorHAnsi" w:eastAsiaTheme="minorEastAsia" w:hAnsiTheme="minorHAnsi" w:cstheme="minorBidi"/>
          <w:lang w:eastAsia="en-AU"/>
        </w:rPr>
        <w:t>.</w:t>
      </w:r>
    </w:p>
    <w:p w14:paraId="5B7FE96B" w14:textId="77777777" w:rsidR="00CF72D5" w:rsidRPr="002029AF" w:rsidRDefault="00CF72D5" w:rsidP="00961519">
      <w:pPr>
        <w:pStyle w:val="Heading4"/>
      </w:pPr>
      <w:bookmarkStart w:id="182" w:name="_Hlk15477316"/>
      <w:bookmarkStart w:id="183" w:name="_Hlk15035948"/>
      <w:r w:rsidRPr="002029AF">
        <w:t>Water</w:t>
      </w:r>
    </w:p>
    <w:p w14:paraId="552A99B1" w14:textId="31CFC58E" w:rsidR="00CF72D5" w:rsidRPr="002029AF" w:rsidRDefault="00CF72D5" w:rsidP="00693FBF">
      <w:pPr>
        <w:pStyle w:val="ARbody"/>
      </w:pPr>
      <w:r w:rsidRPr="002029AF">
        <w:t>The</w:t>
      </w:r>
      <w:r w:rsidR="000A5329" w:rsidRPr="002029AF">
        <w:t xml:space="preserve"> </w:t>
      </w:r>
      <w:r w:rsidRPr="002029AF">
        <w:t>department</w:t>
      </w:r>
      <w:r w:rsidR="000A5329" w:rsidRPr="002029AF">
        <w:t xml:space="preserve"> </w:t>
      </w:r>
      <w:r w:rsidRPr="002029AF">
        <w:t>continues</w:t>
      </w:r>
      <w:r w:rsidR="000A5329" w:rsidRPr="002029AF">
        <w:t xml:space="preserve"> </w:t>
      </w:r>
      <w:r w:rsidRPr="002029AF">
        <w:t>to</w:t>
      </w:r>
      <w:r w:rsidR="000A5329" w:rsidRPr="002029AF">
        <w:t xml:space="preserve"> </w:t>
      </w:r>
      <w:r w:rsidRPr="002029AF">
        <w:t>seek</w:t>
      </w:r>
      <w:r w:rsidR="000A5329" w:rsidRPr="002029AF">
        <w:t xml:space="preserve"> </w:t>
      </w:r>
      <w:r w:rsidRPr="002029AF">
        <w:t>a</w:t>
      </w:r>
      <w:r w:rsidR="000A5329" w:rsidRPr="002029AF">
        <w:t xml:space="preserve"> </w:t>
      </w:r>
      <w:r w:rsidRPr="002029AF">
        <w:t>better</w:t>
      </w:r>
      <w:r w:rsidR="000A5329" w:rsidRPr="002029AF">
        <w:t xml:space="preserve"> </w:t>
      </w:r>
      <w:r w:rsidRPr="002029AF">
        <w:t>understanding</w:t>
      </w:r>
      <w:r w:rsidR="000A5329" w:rsidRPr="002029AF">
        <w:t xml:space="preserve"> </w:t>
      </w:r>
      <w:r w:rsidRPr="002029AF">
        <w:t>of</w:t>
      </w:r>
      <w:r w:rsidR="000A5329" w:rsidRPr="002029AF">
        <w:t xml:space="preserve"> </w:t>
      </w:r>
      <w:r w:rsidRPr="002029AF">
        <w:t>water</w:t>
      </w:r>
      <w:r w:rsidR="000A5329" w:rsidRPr="002029AF">
        <w:t xml:space="preserve"> </w:t>
      </w:r>
      <w:r w:rsidRPr="002029AF">
        <w:t>consumption</w:t>
      </w:r>
      <w:r w:rsidR="000A5329" w:rsidRPr="002029AF">
        <w:t xml:space="preserve"> </w:t>
      </w:r>
      <w:r w:rsidRPr="002029AF">
        <w:t>across</w:t>
      </w:r>
      <w:r w:rsidR="000A5329" w:rsidRPr="002029AF">
        <w:t xml:space="preserve"> </w:t>
      </w:r>
      <w:r w:rsidRPr="002029AF">
        <w:t>our</w:t>
      </w:r>
      <w:r w:rsidR="000A5329" w:rsidRPr="002029AF">
        <w:t xml:space="preserve"> </w:t>
      </w:r>
      <w:r w:rsidRPr="002029AF">
        <w:t>facilities</w:t>
      </w:r>
      <w:r w:rsidR="000A5329" w:rsidRPr="002029AF">
        <w:t xml:space="preserve"> </w:t>
      </w:r>
      <w:r w:rsidRPr="002029AF">
        <w:t>and</w:t>
      </w:r>
      <w:r w:rsidR="000A5329" w:rsidRPr="002029AF">
        <w:t xml:space="preserve"> </w:t>
      </w:r>
      <w:r w:rsidRPr="002029AF">
        <w:t>operations</w:t>
      </w:r>
      <w:r w:rsidR="000A5329" w:rsidRPr="002029AF">
        <w:t xml:space="preserve"> </w:t>
      </w:r>
      <w:r w:rsidRPr="002029AF">
        <w:t>and</w:t>
      </w:r>
      <w:r w:rsidR="000A5329" w:rsidRPr="002029AF">
        <w:t xml:space="preserve"> </w:t>
      </w:r>
      <w:r w:rsidRPr="002029AF">
        <w:t>encourages</w:t>
      </w:r>
      <w:r w:rsidR="000A5329" w:rsidRPr="002029AF">
        <w:t xml:space="preserve"> </w:t>
      </w:r>
      <w:r w:rsidRPr="002029AF">
        <w:t>our</w:t>
      </w:r>
      <w:r w:rsidR="000A5329" w:rsidRPr="002029AF">
        <w:t xml:space="preserve"> </w:t>
      </w:r>
      <w:r w:rsidRPr="002029AF">
        <w:t>clients</w:t>
      </w:r>
      <w:r w:rsidR="000A5329" w:rsidRPr="002029AF">
        <w:t xml:space="preserve"> </w:t>
      </w:r>
      <w:r w:rsidRPr="002029AF">
        <w:t>to</w:t>
      </w:r>
      <w:r w:rsidR="000A5329" w:rsidRPr="002029AF">
        <w:t xml:space="preserve"> </w:t>
      </w:r>
      <w:r w:rsidRPr="002029AF">
        <w:t>improve</w:t>
      </w:r>
      <w:r w:rsidR="000A5329" w:rsidRPr="002029AF">
        <w:t xml:space="preserve"> </w:t>
      </w:r>
      <w:r w:rsidRPr="002029AF">
        <w:t>their</w:t>
      </w:r>
      <w:r w:rsidR="000A5329" w:rsidRPr="002029AF">
        <w:t xml:space="preserve"> </w:t>
      </w:r>
      <w:r w:rsidRPr="002029AF">
        <w:t>own</w:t>
      </w:r>
      <w:r w:rsidR="000A5329" w:rsidRPr="002029AF">
        <w:t xml:space="preserve"> </w:t>
      </w:r>
      <w:r w:rsidRPr="002029AF">
        <w:t>water</w:t>
      </w:r>
      <w:r w:rsidR="000A5329" w:rsidRPr="002029AF">
        <w:t xml:space="preserve"> </w:t>
      </w:r>
      <w:r w:rsidRPr="002029AF">
        <w:t>efficiency.</w:t>
      </w:r>
    </w:p>
    <w:p w14:paraId="5E5703C0" w14:textId="367C4FB2" w:rsidR="00CF72D5" w:rsidRPr="002029AF" w:rsidRDefault="00CF72D5" w:rsidP="00693FBF">
      <w:pPr>
        <w:pStyle w:val="ARbody"/>
      </w:pPr>
      <w:r w:rsidRPr="002029AF">
        <w:t>The</w:t>
      </w:r>
      <w:r w:rsidR="000A5329" w:rsidRPr="002029AF">
        <w:t xml:space="preserve"> </w:t>
      </w:r>
      <w:r w:rsidRPr="002029AF">
        <w:t>department</w:t>
      </w:r>
      <w:r w:rsidR="000A5329" w:rsidRPr="002029AF">
        <w:t xml:space="preserve"> </w:t>
      </w:r>
      <w:r w:rsidRPr="002029AF">
        <w:t>also</w:t>
      </w:r>
      <w:r w:rsidR="000A5329" w:rsidRPr="002029AF">
        <w:t xml:space="preserve"> </w:t>
      </w:r>
      <w:r w:rsidRPr="002029AF">
        <w:t>met</w:t>
      </w:r>
      <w:r w:rsidR="000A5329" w:rsidRPr="002029AF">
        <w:t xml:space="preserve"> </w:t>
      </w:r>
      <w:r w:rsidRPr="002029AF">
        <w:t>the</w:t>
      </w:r>
      <w:r w:rsidR="000A5329" w:rsidRPr="002029AF">
        <w:t xml:space="preserve"> </w:t>
      </w:r>
      <w:r w:rsidRPr="002029AF">
        <w:t>water</w:t>
      </w:r>
      <w:r w:rsidR="000A5329" w:rsidRPr="002029AF">
        <w:t xml:space="preserve"> </w:t>
      </w:r>
      <w:r w:rsidRPr="002029AF">
        <w:rPr>
          <w:color w:val="000000"/>
        </w:rPr>
        <w:t>efficiency</w:t>
      </w:r>
      <w:r w:rsidR="000A5329" w:rsidRPr="002029AF">
        <w:rPr>
          <w:color w:val="000000"/>
        </w:rPr>
        <w:t xml:space="preserve"> </w:t>
      </w:r>
      <w:r w:rsidRPr="002029AF">
        <w:rPr>
          <w:color w:val="000000"/>
        </w:rPr>
        <w:t>target</w:t>
      </w:r>
      <w:r w:rsidR="006F2C99" w:rsidRPr="002029AF">
        <w:rPr>
          <w:color w:val="000000"/>
        </w:rPr>
        <w:t> </w:t>
      </w:r>
      <w:r w:rsidRPr="002029AF">
        <w:rPr>
          <w:color w:val="000000"/>
        </w:rPr>
        <w:t>set</w:t>
      </w:r>
      <w:r w:rsidR="000A5329" w:rsidRPr="002029AF">
        <w:rPr>
          <w:color w:val="000000"/>
        </w:rPr>
        <w:t xml:space="preserve"> </w:t>
      </w:r>
      <w:r w:rsidRPr="002029AF">
        <w:rPr>
          <w:color w:val="000000"/>
        </w:rPr>
        <w:t>for</w:t>
      </w:r>
      <w:r w:rsidR="000A5329" w:rsidRPr="002029AF">
        <w:rPr>
          <w:color w:val="000000"/>
        </w:rPr>
        <w:t xml:space="preserve"> </w:t>
      </w:r>
      <w:r w:rsidRPr="002029AF">
        <w:rPr>
          <w:color w:val="000000"/>
        </w:rPr>
        <w:t>the</w:t>
      </w:r>
      <w:r w:rsidR="000A5329" w:rsidRPr="002029AF">
        <w:rPr>
          <w:color w:val="000000"/>
        </w:rPr>
        <w:t xml:space="preserve"> </w:t>
      </w:r>
      <w:r w:rsidRPr="002029AF">
        <w:rPr>
          <w:color w:val="000000"/>
        </w:rPr>
        <w:t>period.</w:t>
      </w:r>
    </w:p>
    <w:p w14:paraId="4B37BE88" w14:textId="59C4C4A0" w:rsidR="00CF72D5" w:rsidRPr="002029AF" w:rsidRDefault="00CF72D5" w:rsidP="00693FBF">
      <w:pPr>
        <w:pStyle w:val="ARbody"/>
        <w:keepNext/>
      </w:pPr>
      <w:r w:rsidRPr="002029AF">
        <w:t>In</w:t>
      </w:r>
      <w:r w:rsidR="000A5329" w:rsidRPr="002029AF">
        <w:t xml:space="preserve"> </w:t>
      </w:r>
      <w:r w:rsidRPr="002029AF">
        <w:t>2019–20,</w:t>
      </w:r>
      <w:r w:rsidR="000A5329" w:rsidRPr="002029AF">
        <w:t xml:space="preserve"> </w:t>
      </w:r>
      <w:r w:rsidRPr="002029AF">
        <w:t>the</w:t>
      </w:r>
      <w:r w:rsidR="000A5329" w:rsidRPr="002029AF">
        <w:t xml:space="preserve"> </w:t>
      </w:r>
      <w:r w:rsidRPr="002029AF">
        <w:t>department:</w:t>
      </w:r>
    </w:p>
    <w:p w14:paraId="349542D2" w14:textId="7D2B87D2" w:rsidR="00CF72D5" w:rsidRPr="002029AF" w:rsidRDefault="00CF72D5" w:rsidP="00693FBF">
      <w:pPr>
        <w:pStyle w:val="ARbullet1"/>
      </w:pPr>
      <w:r w:rsidRPr="002029AF">
        <w:t>developed</w:t>
      </w:r>
      <w:r w:rsidR="000A5329" w:rsidRPr="002029AF">
        <w:t xml:space="preserve"> </w:t>
      </w:r>
      <w:r w:rsidRPr="002029AF">
        <w:t>a</w:t>
      </w:r>
      <w:r w:rsidR="000A5329" w:rsidRPr="002029AF">
        <w:t xml:space="preserve"> </w:t>
      </w:r>
      <w:r w:rsidRPr="002029AF">
        <w:t>monitoring</w:t>
      </w:r>
      <w:r w:rsidR="000A5329" w:rsidRPr="002029AF">
        <w:t xml:space="preserve"> </w:t>
      </w:r>
      <w:r w:rsidRPr="002029AF">
        <w:t>program</w:t>
      </w:r>
      <w:r w:rsidR="000A5329" w:rsidRPr="002029AF">
        <w:t xml:space="preserve"> </w:t>
      </w:r>
      <w:r w:rsidRPr="002029AF">
        <w:t>for</w:t>
      </w:r>
      <w:r w:rsidR="000A5329" w:rsidRPr="002029AF">
        <w:t xml:space="preserve"> </w:t>
      </w:r>
      <w:r w:rsidRPr="002029AF">
        <w:t>collection</w:t>
      </w:r>
      <w:r w:rsidR="000A5329" w:rsidRPr="002029AF">
        <w:t xml:space="preserve"> </w:t>
      </w:r>
      <w:r w:rsidRPr="002029AF">
        <w:t>of</w:t>
      </w:r>
      <w:r w:rsidR="006F2C99" w:rsidRPr="002029AF">
        <w:t> </w:t>
      </w:r>
      <w:r w:rsidRPr="002029AF">
        <w:t>pulse</w:t>
      </w:r>
      <w:r w:rsidR="000A5329" w:rsidRPr="002029AF">
        <w:t xml:space="preserve"> </w:t>
      </w:r>
      <w:r w:rsidRPr="002029AF">
        <w:t>water-meter</w:t>
      </w:r>
      <w:r w:rsidR="000A5329" w:rsidRPr="002029AF">
        <w:t xml:space="preserve"> </w:t>
      </w:r>
      <w:r w:rsidRPr="002029AF">
        <w:t>data</w:t>
      </w:r>
      <w:r w:rsidR="000A5329" w:rsidRPr="002029AF">
        <w:t xml:space="preserve"> </w:t>
      </w:r>
      <w:r w:rsidRPr="002029AF">
        <w:t>from</w:t>
      </w:r>
      <w:r w:rsidR="000A5329" w:rsidRPr="002029AF">
        <w:t xml:space="preserve"> </w:t>
      </w:r>
      <w:r w:rsidRPr="002029AF">
        <w:t>eight</w:t>
      </w:r>
      <w:r w:rsidR="000A5329" w:rsidRPr="002029AF">
        <w:t xml:space="preserve"> </w:t>
      </w:r>
      <w:r w:rsidRPr="002029AF">
        <w:t>high-rise</w:t>
      </w:r>
      <w:r w:rsidR="000A5329" w:rsidRPr="002029AF">
        <w:t xml:space="preserve"> </w:t>
      </w:r>
      <w:r w:rsidRPr="002029AF">
        <w:t>public</w:t>
      </w:r>
      <w:r w:rsidR="000A5329" w:rsidRPr="002029AF">
        <w:t xml:space="preserve"> </w:t>
      </w:r>
      <w:r w:rsidRPr="002029AF">
        <w:t>housing</w:t>
      </w:r>
      <w:r w:rsidR="000A5329" w:rsidRPr="002029AF">
        <w:t xml:space="preserve"> </w:t>
      </w:r>
      <w:r w:rsidRPr="002029AF">
        <w:t>buildings</w:t>
      </w:r>
      <w:r w:rsidR="000A5329" w:rsidRPr="002029AF">
        <w:t xml:space="preserve"> </w:t>
      </w:r>
      <w:r w:rsidRPr="002029AF">
        <w:t>to</w:t>
      </w:r>
      <w:r w:rsidR="000A5329" w:rsidRPr="002029AF">
        <w:t xml:space="preserve"> </w:t>
      </w:r>
      <w:r w:rsidRPr="002029AF">
        <w:t>identify</w:t>
      </w:r>
      <w:r w:rsidR="000A5329" w:rsidRPr="002029AF">
        <w:t xml:space="preserve"> </w:t>
      </w:r>
      <w:r w:rsidRPr="002029AF">
        <w:t>water-efficiency</w:t>
      </w:r>
      <w:r w:rsidR="000A5329" w:rsidRPr="002029AF">
        <w:t xml:space="preserve"> </w:t>
      </w:r>
      <w:r w:rsidRPr="002029AF">
        <w:t>opportunities.</w:t>
      </w:r>
      <w:r w:rsidR="000A5329" w:rsidRPr="002029AF">
        <w:t xml:space="preserve"> </w:t>
      </w:r>
      <w:r w:rsidRPr="002029AF">
        <w:t>The</w:t>
      </w:r>
      <w:r w:rsidR="000A5329" w:rsidRPr="002029AF">
        <w:t xml:space="preserve"> </w:t>
      </w:r>
      <w:r w:rsidRPr="002029AF">
        <w:t>program</w:t>
      </w:r>
      <w:r w:rsidR="000A5329" w:rsidRPr="002029AF">
        <w:t xml:space="preserve"> </w:t>
      </w:r>
      <w:r w:rsidRPr="002029AF">
        <w:t>will</w:t>
      </w:r>
      <w:r w:rsidR="000A5329" w:rsidRPr="002029AF">
        <w:t xml:space="preserve"> </w:t>
      </w:r>
      <w:r w:rsidRPr="002029AF">
        <w:t>involve</w:t>
      </w:r>
      <w:r w:rsidR="000A5329" w:rsidRPr="002029AF">
        <w:t xml:space="preserve"> </w:t>
      </w:r>
      <w:r w:rsidRPr="002029AF">
        <w:t>regular</w:t>
      </w:r>
      <w:r w:rsidR="000A5329" w:rsidRPr="002029AF">
        <w:t xml:space="preserve"> </w:t>
      </w:r>
      <w:r w:rsidRPr="002029AF">
        <w:t>review</w:t>
      </w:r>
      <w:r w:rsidR="000A5329" w:rsidRPr="002029AF">
        <w:t xml:space="preserve"> </w:t>
      </w:r>
      <w:r w:rsidRPr="002029AF">
        <w:t>of</w:t>
      </w:r>
      <w:r w:rsidR="000A5329" w:rsidRPr="002029AF">
        <w:t xml:space="preserve"> </w:t>
      </w:r>
      <w:r w:rsidRPr="002029AF">
        <w:t>water-meter</w:t>
      </w:r>
      <w:r w:rsidR="000A5329" w:rsidRPr="002029AF">
        <w:t xml:space="preserve"> </w:t>
      </w:r>
      <w:r w:rsidRPr="002029AF">
        <w:t>data</w:t>
      </w:r>
      <w:r w:rsidR="000A5329" w:rsidRPr="002029AF">
        <w:t xml:space="preserve"> </w:t>
      </w:r>
      <w:r w:rsidRPr="002029AF">
        <w:t>to</w:t>
      </w:r>
      <w:r w:rsidR="000A5329" w:rsidRPr="002029AF">
        <w:t xml:space="preserve"> </w:t>
      </w:r>
      <w:r w:rsidRPr="002029AF">
        <w:t>identify</w:t>
      </w:r>
      <w:r w:rsidR="000A5329" w:rsidRPr="002029AF">
        <w:t xml:space="preserve"> </w:t>
      </w:r>
      <w:r w:rsidRPr="002029AF">
        <w:t>any</w:t>
      </w:r>
      <w:r w:rsidR="000A5329" w:rsidRPr="002029AF">
        <w:t xml:space="preserve"> </w:t>
      </w:r>
      <w:r w:rsidRPr="002029AF">
        <w:t>substantial</w:t>
      </w:r>
      <w:r w:rsidR="000A5329" w:rsidRPr="002029AF">
        <w:t xml:space="preserve"> </w:t>
      </w:r>
      <w:r w:rsidRPr="002029AF">
        <w:t>variations</w:t>
      </w:r>
      <w:r w:rsidR="000A5329" w:rsidRPr="002029AF">
        <w:t xml:space="preserve"> </w:t>
      </w:r>
      <w:r w:rsidRPr="002029AF">
        <w:t>to</w:t>
      </w:r>
      <w:r w:rsidR="000A5329" w:rsidRPr="002029AF">
        <w:t xml:space="preserve"> </w:t>
      </w:r>
      <w:r w:rsidRPr="002029AF">
        <w:t>water</w:t>
      </w:r>
      <w:r w:rsidR="000A5329" w:rsidRPr="002029AF">
        <w:t xml:space="preserve"> </w:t>
      </w:r>
      <w:r w:rsidRPr="002029AF">
        <w:t>consumption</w:t>
      </w:r>
      <w:r w:rsidR="000A5329" w:rsidRPr="002029AF">
        <w:t xml:space="preserve"> </w:t>
      </w:r>
      <w:r w:rsidRPr="002029AF">
        <w:t>and</w:t>
      </w:r>
      <w:r w:rsidR="000A5329" w:rsidRPr="002029AF">
        <w:t xml:space="preserve"> </w:t>
      </w:r>
      <w:r w:rsidRPr="002029AF">
        <w:t>water-efficiency</w:t>
      </w:r>
      <w:r w:rsidR="000A5329" w:rsidRPr="002029AF">
        <w:t xml:space="preserve"> </w:t>
      </w:r>
      <w:r w:rsidRPr="002029AF">
        <w:t>opportunities</w:t>
      </w:r>
      <w:r w:rsidR="000A5329" w:rsidRPr="002029AF">
        <w:t xml:space="preserve"> </w:t>
      </w:r>
      <w:r w:rsidRPr="002029AF">
        <w:t>within</w:t>
      </w:r>
      <w:r w:rsidR="000A5329" w:rsidRPr="002029AF">
        <w:t xml:space="preserve"> </w:t>
      </w:r>
      <w:r w:rsidRPr="002029AF">
        <w:t>the</w:t>
      </w:r>
      <w:r w:rsidR="000A5329" w:rsidRPr="002029AF">
        <w:t xml:space="preserve"> </w:t>
      </w:r>
      <w:r w:rsidRPr="002029AF">
        <w:t>high-rise</w:t>
      </w:r>
      <w:r w:rsidR="000A5329" w:rsidRPr="002029AF">
        <w:t xml:space="preserve"> </w:t>
      </w:r>
      <w:r w:rsidRPr="002029AF">
        <w:t>housing</w:t>
      </w:r>
      <w:r w:rsidR="000A5329" w:rsidRPr="002029AF">
        <w:t xml:space="preserve"> </w:t>
      </w:r>
      <w:r w:rsidRPr="002029AF">
        <w:t>portfolio</w:t>
      </w:r>
    </w:p>
    <w:p w14:paraId="5D313CD7" w14:textId="5A0A250C" w:rsidR="00CF72D5" w:rsidRPr="002029AF" w:rsidRDefault="00CF72D5" w:rsidP="00693FBF">
      <w:pPr>
        <w:pStyle w:val="ARbullet1"/>
      </w:pPr>
      <w:r w:rsidRPr="002029AF">
        <w:t>upgraded</w:t>
      </w:r>
      <w:r w:rsidR="000A5329" w:rsidRPr="002029AF">
        <w:t xml:space="preserve"> </w:t>
      </w:r>
      <w:r w:rsidRPr="002029AF">
        <w:t>water-efficiency</w:t>
      </w:r>
      <w:r w:rsidR="000A5329" w:rsidRPr="002029AF">
        <w:t xml:space="preserve"> </w:t>
      </w:r>
      <w:r w:rsidRPr="002029AF">
        <w:t>features</w:t>
      </w:r>
      <w:r w:rsidR="000A5329" w:rsidRPr="002029AF">
        <w:t xml:space="preserve"> </w:t>
      </w:r>
      <w:r w:rsidRPr="002029AF">
        <w:t>in</w:t>
      </w:r>
      <w:r w:rsidR="000A5329" w:rsidRPr="002029AF">
        <w:t xml:space="preserve"> </w:t>
      </w:r>
      <w:r w:rsidRPr="002029AF">
        <w:t>60</w:t>
      </w:r>
      <w:r w:rsidR="000A5329" w:rsidRPr="002029AF">
        <w:t xml:space="preserve"> </w:t>
      </w:r>
      <w:r w:rsidR="006F2C99" w:rsidRPr="002029AF">
        <w:br/>
      </w:r>
      <w:r w:rsidRPr="002029AF">
        <w:t>high-rise</w:t>
      </w:r>
      <w:r w:rsidR="000A5329" w:rsidRPr="002029AF">
        <w:t xml:space="preserve"> </w:t>
      </w:r>
      <w:r w:rsidRPr="002029AF">
        <w:t>units</w:t>
      </w:r>
      <w:r w:rsidR="000A5329" w:rsidRPr="002029AF">
        <w:t xml:space="preserve"> </w:t>
      </w:r>
      <w:r w:rsidRPr="002029AF">
        <w:t>at</w:t>
      </w:r>
      <w:r w:rsidR="000A5329" w:rsidRPr="002029AF">
        <w:t xml:space="preserve"> </w:t>
      </w:r>
      <w:r w:rsidRPr="002029AF">
        <w:t>125</w:t>
      </w:r>
      <w:r w:rsidR="000A5329" w:rsidRPr="002029AF">
        <w:t xml:space="preserve"> </w:t>
      </w:r>
      <w:r w:rsidRPr="002029AF">
        <w:t>Napier</w:t>
      </w:r>
      <w:r w:rsidR="000A5329" w:rsidRPr="002029AF">
        <w:t xml:space="preserve"> </w:t>
      </w:r>
      <w:r w:rsidRPr="002029AF">
        <w:t>St.</w:t>
      </w:r>
      <w:r w:rsidR="000A5329" w:rsidRPr="002029AF">
        <w:t xml:space="preserve"> </w:t>
      </w:r>
      <w:r w:rsidRPr="002029AF">
        <w:t>Fitzroy.</w:t>
      </w:r>
      <w:r w:rsidR="000A5329" w:rsidRPr="002029AF">
        <w:t xml:space="preserve"> </w:t>
      </w:r>
      <w:r w:rsidRPr="002029AF">
        <w:t>The</w:t>
      </w:r>
      <w:r w:rsidR="000A5329" w:rsidRPr="002029AF">
        <w:t xml:space="preserve"> </w:t>
      </w:r>
      <w:r w:rsidRPr="002029AF">
        <w:t>upgrades</w:t>
      </w:r>
      <w:r w:rsidR="000A5329" w:rsidRPr="002029AF">
        <w:t xml:space="preserve"> </w:t>
      </w:r>
      <w:r w:rsidRPr="002029AF">
        <w:t>included</w:t>
      </w:r>
      <w:r w:rsidR="000A5329" w:rsidRPr="002029AF">
        <w:t xml:space="preserve"> </w:t>
      </w:r>
      <w:r w:rsidRPr="002029AF">
        <w:t>4-star</w:t>
      </w:r>
      <w:r w:rsidR="000A5329" w:rsidRPr="002029AF">
        <w:t xml:space="preserve"> </w:t>
      </w:r>
      <w:r w:rsidRPr="002029AF">
        <w:t>Water</w:t>
      </w:r>
      <w:r w:rsidR="000A5329" w:rsidRPr="002029AF">
        <w:t xml:space="preserve"> </w:t>
      </w:r>
      <w:r w:rsidRPr="002029AF">
        <w:t>Efficiency</w:t>
      </w:r>
      <w:r w:rsidR="000A5329" w:rsidRPr="002029AF">
        <w:t xml:space="preserve"> </w:t>
      </w:r>
      <w:r w:rsidRPr="002029AF">
        <w:t>Labelling</w:t>
      </w:r>
      <w:r w:rsidR="000A5329" w:rsidRPr="002029AF">
        <w:t xml:space="preserve"> </w:t>
      </w:r>
      <w:r w:rsidRPr="002029AF">
        <w:t>and</w:t>
      </w:r>
      <w:r w:rsidR="000A5329" w:rsidRPr="002029AF">
        <w:t xml:space="preserve"> </w:t>
      </w:r>
      <w:r w:rsidRPr="002029AF">
        <w:t>Standards</w:t>
      </w:r>
      <w:r w:rsidR="000A5329" w:rsidRPr="002029AF">
        <w:t xml:space="preserve"> </w:t>
      </w:r>
      <w:r w:rsidRPr="002029AF">
        <w:t>(WELS)</w:t>
      </w:r>
      <w:r w:rsidR="000A5329" w:rsidRPr="002029AF">
        <w:t xml:space="preserve"> </w:t>
      </w:r>
      <w:r w:rsidRPr="002029AF">
        <w:t>rated</w:t>
      </w:r>
      <w:r w:rsidR="000A5329" w:rsidRPr="002029AF">
        <w:t xml:space="preserve"> </w:t>
      </w:r>
      <w:r w:rsidRPr="002029AF">
        <w:t>tapware</w:t>
      </w:r>
      <w:r w:rsidR="000A5329" w:rsidRPr="002029AF">
        <w:t xml:space="preserve"> </w:t>
      </w:r>
      <w:r w:rsidRPr="002029AF">
        <w:t>and</w:t>
      </w:r>
      <w:r w:rsidR="000A5329" w:rsidRPr="002029AF">
        <w:t xml:space="preserve"> </w:t>
      </w:r>
      <w:r w:rsidR="007E6294" w:rsidRPr="002029AF">
        <w:t>three</w:t>
      </w:r>
      <w:r w:rsidRPr="002029AF">
        <w:t>-star</w:t>
      </w:r>
      <w:r w:rsidR="000A5329" w:rsidRPr="002029AF">
        <w:t xml:space="preserve"> </w:t>
      </w:r>
      <w:r w:rsidRPr="002029AF">
        <w:t>WELS</w:t>
      </w:r>
      <w:r w:rsidR="000A5329" w:rsidRPr="002029AF">
        <w:t xml:space="preserve"> </w:t>
      </w:r>
      <w:r w:rsidRPr="002029AF">
        <w:t>rated</w:t>
      </w:r>
      <w:r w:rsidR="000A5329" w:rsidRPr="002029AF">
        <w:t xml:space="preserve"> </w:t>
      </w:r>
      <w:r w:rsidRPr="002029AF">
        <w:t>toilet</w:t>
      </w:r>
      <w:r w:rsidR="000A5329" w:rsidRPr="002029AF">
        <w:t xml:space="preserve"> </w:t>
      </w:r>
      <w:r w:rsidRPr="002029AF">
        <w:t>cisterns.</w:t>
      </w:r>
    </w:p>
    <w:p w14:paraId="44F7FA0B" w14:textId="5AB36832" w:rsidR="00CF72D5" w:rsidRPr="002029AF" w:rsidRDefault="00CF72D5" w:rsidP="00961519">
      <w:pPr>
        <w:pStyle w:val="Heading5"/>
      </w:pPr>
      <w:r w:rsidRPr="002029AF">
        <w:t>Office-based</w:t>
      </w:r>
      <w:r w:rsidR="000A5329" w:rsidRPr="002029AF">
        <w:t xml:space="preserve"> </w:t>
      </w:r>
      <w:r w:rsidRPr="002029AF">
        <w:t>performance</w:t>
      </w:r>
    </w:p>
    <w:p w14:paraId="78404E16" w14:textId="3D1F2A41" w:rsidR="00CF72D5" w:rsidRPr="002029AF" w:rsidRDefault="00CF72D5" w:rsidP="00693FBF">
      <w:pPr>
        <w:pStyle w:val="ARbody"/>
      </w:pPr>
      <w:r w:rsidRPr="002029AF">
        <w:t>In</w:t>
      </w:r>
      <w:r w:rsidR="000A5329" w:rsidRPr="002029AF">
        <w:t xml:space="preserve"> </w:t>
      </w:r>
      <w:r w:rsidRPr="002029AF">
        <w:t>2019–20:</w:t>
      </w:r>
    </w:p>
    <w:p w14:paraId="3506B868" w14:textId="67780402" w:rsidR="000A5329" w:rsidRPr="002029AF" w:rsidRDefault="00CF72D5" w:rsidP="00693FBF">
      <w:pPr>
        <w:pStyle w:val="ARbullet1"/>
      </w:pPr>
      <w:r w:rsidRPr="002029AF">
        <w:t>office-based</w:t>
      </w:r>
      <w:r w:rsidR="000A5329" w:rsidRPr="002029AF">
        <w:t xml:space="preserve"> </w:t>
      </w:r>
      <w:r w:rsidRPr="002029AF">
        <w:t>water</w:t>
      </w:r>
      <w:r w:rsidR="000A5329" w:rsidRPr="002029AF">
        <w:t xml:space="preserve"> </w:t>
      </w:r>
      <w:r w:rsidRPr="002029AF">
        <w:t>use</w:t>
      </w:r>
      <w:r w:rsidR="000A5329" w:rsidRPr="002029AF">
        <w:t xml:space="preserve"> </w:t>
      </w:r>
      <w:r w:rsidRPr="002029AF">
        <w:t>increased</w:t>
      </w:r>
      <w:r w:rsidR="000A5329" w:rsidRPr="002029AF">
        <w:t xml:space="preserve"> </w:t>
      </w:r>
      <w:r w:rsidR="007E6294" w:rsidRPr="002029AF">
        <w:t>two</w:t>
      </w:r>
      <w:r w:rsidR="000A5329" w:rsidRPr="002029AF">
        <w:t xml:space="preserve"> </w:t>
      </w:r>
      <w:r w:rsidRPr="002029AF">
        <w:t>per</w:t>
      </w:r>
      <w:r w:rsidR="000A5329" w:rsidRPr="002029AF">
        <w:t xml:space="preserve"> </w:t>
      </w:r>
      <w:r w:rsidRPr="002029AF">
        <w:t>cent</w:t>
      </w:r>
      <w:r w:rsidR="000A5329" w:rsidRPr="002029AF">
        <w:t xml:space="preserve"> </w:t>
      </w:r>
      <w:r w:rsidRPr="002029AF">
        <w:t>due</w:t>
      </w:r>
      <w:r w:rsidR="000A5329" w:rsidRPr="002029AF">
        <w:t xml:space="preserve"> </w:t>
      </w:r>
      <w:r w:rsidRPr="002029AF">
        <w:t>to</w:t>
      </w:r>
      <w:r w:rsidR="000A5329" w:rsidRPr="002029AF">
        <w:t xml:space="preserve"> </w:t>
      </w:r>
      <w:r w:rsidRPr="002029AF">
        <w:t>the</w:t>
      </w:r>
      <w:r w:rsidR="000A5329" w:rsidRPr="002029AF">
        <w:t xml:space="preserve"> </w:t>
      </w:r>
      <w:r w:rsidRPr="002029AF">
        <w:t>addition</w:t>
      </w:r>
      <w:r w:rsidR="000A5329" w:rsidRPr="002029AF">
        <w:t xml:space="preserve"> </w:t>
      </w:r>
      <w:r w:rsidRPr="002029AF">
        <w:t>of</w:t>
      </w:r>
      <w:r w:rsidR="000A5329" w:rsidRPr="002029AF">
        <w:t xml:space="preserve"> </w:t>
      </w:r>
      <w:r w:rsidRPr="002029AF">
        <w:t>new</w:t>
      </w:r>
      <w:r w:rsidR="000A5329" w:rsidRPr="002029AF">
        <w:t xml:space="preserve"> </w:t>
      </w:r>
      <w:r w:rsidRPr="002029AF">
        <w:t>office</w:t>
      </w:r>
      <w:r w:rsidR="000A5329" w:rsidRPr="002029AF">
        <w:t xml:space="preserve"> </w:t>
      </w:r>
      <w:r w:rsidRPr="002029AF">
        <w:t>worksites</w:t>
      </w:r>
      <w:r w:rsidR="000A5329" w:rsidRPr="002029AF">
        <w:t xml:space="preserve"> </w:t>
      </w:r>
      <w:r w:rsidRPr="002029AF">
        <w:t>and</w:t>
      </w:r>
      <w:r w:rsidR="000A5329" w:rsidRPr="002029AF">
        <w:t xml:space="preserve"> </w:t>
      </w:r>
      <w:r w:rsidRPr="002029AF">
        <w:t>increased</w:t>
      </w:r>
      <w:r w:rsidR="000A5329" w:rsidRPr="002029AF">
        <w:t xml:space="preserve"> </w:t>
      </w:r>
      <w:r w:rsidRPr="002029AF">
        <w:t>water</w:t>
      </w:r>
      <w:r w:rsidR="000A5329" w:rsidRPr="002029AF">
        <w:t xml:space="preserve"> </w:t>
      </w:r>
      <w:r w:rsidRPr="002029AF">
        <w:t>usage</w:t>
      </w:r>
      <w:r w:rsidR="000A5329" w:rsidRPr="002029AF">
        <w:t xml:space="preserve"> </w:t>
      </w:r>
      <w:r w:rsidRPr="002029AF">
        <w:t>at</w:t>
      </w:r>
      <w:r w:rsidR="000A5329" w:rsidRPr="002029AF">
        <w:t xml:space="preserve"> </w:t>
      </w:r>
      <w:r w:rsidRPr="002029AF">
        <w:t>major</w:t>
      </w:r>
      <w:r w:rsidR="000A5329" w:rsidRPr="002029AF">
        <w:t xml:space="preserve"> </w:t>
      </w:r>
      <w:r w:rsidRPr="002029AF">
        <w:t>tenancies</w:t>
      </w:r>
      <w:r w:rsidR="000A5329" w:rsidRPr="002029AF">
        <w:t xml:space="preserve"> </w:t>
      </w:r>
      <w:r w:rsidRPr="002029AF">
        <w:t>including</w:t>
      </w:r>
      <w:r w:rsidR="000A5329" w:rsidRPr="002029AF">
        <w:t xml:space="preserve"> </w:t>
      </w:r>
      <w:r w:rsidRPr="002029AF">
        <w:t>50</w:t>
      </w:r>
      <w:r w:rsidR="000A5329" w:rsidRPr="002029AF">
        <w:t xml:space="preserve"> </w:t>
      </w:r>
      <w:r w:rsidRPr="002029AF">
        <w:t>Lonsdale</w:t>
      </w:r>
      <w:r w:rsidR="000A5329" w:rsidRPr="002029AF">
        <w:t xml:space="preserve"> </w:t>
      </w:r>
      <w:r w:rsidRPr="002029AF">
        <w:t>Street,</w:t>
      </w:r>
      <w:r w:rsidR="000A5329" w:rsidRPr="002029AF">
        <w:t xml:space="preserve"> </w:t>
      </w:r>
      <w:r w:rsidRPr="002029AF">
        <w:t>Melbourne</w:t>
      </w:r>
      <w:r w:rsidR="000A5329" w:rsidRPr="002029AF">
        <w:t xml:space="preserve"> </w:t>
      </w:r>
      <w:r w:rsidRPr="002029AF">
        <w:t>prior</w:t>
      </w:r>
      <w:r w:rsidR="000A5329" w:rsidRPr="002029AF">
        <w:t xml:space="preserve"> </w:t>
      </w:r>
      <w:r w:rsidRPr="002029AF">
        <w:t>to</w:t>
      </w:r>
      <w:r w:rsidR="006F2C99" w:rsidRPr="002029AF">
        <w:t> </w:t>
      </w:r>
      <w:r w:rsidRPr="002029AF">
        <w:t>the</w:t>
      </w:r>
      <w:r w:rsidR="000A5329" w:rsidRPr="002029AF">
        <w:t xml:space="preserve"> </w:t>
      </w:r>
      <w:r w:rsidRPr="002029AF">
        <w:t>COVID-19</w:t>
      </w:r>
      <w:r w:rsidR="000A5329" w:rsidRPr="002029AF">
        <w:t xml:space="preserve"> </w:t>
      </w:r>
      <w:r w:rsidRPr="002029AF">
        <w:t>shutdown.</w:t>
      </w:r>
    </w:p>
    <w:p w14:paraId="6FA91D5D" w14:textId="239C0F61" w:rsidR="00CF72D5" w:rsidRPr="002029AF" w:rsidRDefault="00CF72D5" w:rsidP="00961519">
      <w:pPr>
        <w:pStyle w:val="Heading5"/>
      </w:pPr>
      <w:r w:rsidRPr="002029AF">
        <w:lastRenderedPageBreak/>
        <w:t>Targets</w:t>
      </w:r>
    </w:p>
    <w:p w14:paraId="45D85AA4" w14:textId="1C04CCD6" w:rsidR="00CF72D5" w:rsidRPr="002029AF" w:rsidRDefault="00CF72D5" w:rsidP="00166054">
      <w:pPr>
        <w:pStyle w:val="ARbody"/>
      </w:pPr>
      <w:r w:rsidRPr="002029AF">
        <w:t>The</w:t>
      </w:r>
      <w:r w:rsidR="000A5329" w:rsidRPr="002029AF">
        <w:t xml:space="preserve"> </w:t>
      </w:r>
      <w:r w:rsidRPr="002029AF">
        <w:t>2020–21</w:t>
      </w:r>
      <w:r w:rsidR="000A5329" w:rsidRPr="002029AF">
        <w:t xml:space="preserve"> </w:t>
      </w:r>
      <w:r w:rsidRPr="002029AF">
        <w:t>environmental</w:t>
      </w:r>
      <w:r w:rsidR="000A5329" w:rsidRPr="002029AF">
        <w:t xml:space="preserve"> </w:t>
      </w:r>
      <w:r w:rsidRPr="002029AF">
        <w:t>management</w:t>
      </w:r>
      <w:r w:rsidR="000A5329" w:rsidRPr="002029AF">
        <w:t xml:space="preserve"> </w:t>
      </w:r>
      <w:r w:rsidRPr="002029AF">
        <w:t>system</w:t>
      </w:r>
      <w:r w:rsidR="000A5329" w:rsidRPr="002029AF">
        <w:t xml:space="preserve"> </w:t>
      </w:r>
      <w:r w:rsidRPr="002029AF">
        <w:t>target</w:t>
      </w:r>
      <w:r w:rsidR="000A5329" w:rsidRPr="002029AF">
        <w:t xml:space="preserve"> </w:t>
      </w:r>
      <w:r w:rsidRPr="002029AF">
        <w:t>for</w:t>
      </w:r>
      <w:r w:rsidR="000A5329" w:rsidRPr="002029AF">
        <w:t xml:space="preserve"> </w:t>
      </w:r>
      <w:r w:rsidRPr="002029AF">
        <w:t>water</w:t>
      </w:r>
      <w:r w:rsidR="000A5329" w:rsidRPr="002029AF">
        <w:t xml:space="preserve"> </w:t>
      </w:r>
      <w:r w:rsidRPr="002029AF">
        <w:t>is</w:t>
      </w:r>
      <w:r w:rsidR="000A5329" w:rsidRPr="002029AF">
        <w:t xml:space="preserve"> </w:t>
      </w:r>
      <w:r w:rsidRPr="002029AF">
        <w:t>to:</w:t>
      </w:r>
    </w:p>
    <w:p w14:paraId="181A281D" w14:textId="3DA81298" w:rsidR="00CF72D5" w:rsidRPr="002029AF" w:rsidRDefault="00CF72D5" w:rsidP="00693FBF">
      <w:pPr>
        <w:pStyle w:val="ARbullet1"/>
      </w:pPr>
      <w:r w:rsidRPr="002029AF">
        <w:t>continue</w:t>
      </w:r>
      <w:r w:rsidR="000A5329" w:rsidRPr="002029AF">
        <w:t xml:space="preserve"> </w:t>
      </w:r>
      <w:r w:rsidRPr="002029AF">
        <w:t>the</w:t>
      </w:r>
      <w:r w:rsidR="000A5329" w:rsidRPr="002029AF">
        <w:t xml:space="preserve"> </w:t>
      </w:r>
      <w:r w:rsidRPr="002029AF">
        <w:t>high-rise</w:t>
      </w:r>
      <w:r w:rsidR="000A5329" w:rsidRPr="002029AF">
        <w:t xml:space="preserve"> </w:t>
      </w:r>
      <w:r w:rsidRPr="002029AF">
        <w:t>public</w:t>
      </w:r>
      <w:r w:rsidR="000A5329" w:rsidRPr="002029AF">
        <w:t xml:space="preserve"> </w:t>
      </w:r>
      <w:r w:rsidRPr="002029AF">
        <w:t>housing</w:t>
      </w:r>
      <w:r w:rsidR="000A5329" w:rsidRPr="002029AF">
        <w:t xml:space="preserve"> </w:t>
      </w:r>
      <w:r w:rsidRPr="002029AF">
        <w:t>water</w:t>
      </w:r>
      <w:r w:rsidR="000A5329" w:rsidRPr="002029AF">
        <w:t xml:space="preserve"> </w:t>
      </w:r>
      <w:r w:rsidRPr="002029AF">
        <w:t>monitoring</w:t>
      </w:r>
      <w:r w:rsidR="000A5329" w:rsidRPr="002029AF">
        <w:t xml:space="preserve"> </w:t>
      </w:r>
      <w:r w:rsidRPr="002029AF">
        <w:t>program</w:t>
      </w:r>
      <w:r w:rsidR="000A5329" w:rsidRPr="002029AF">
        <w:t xml:space="preserve"> </w:t>
      </w:r>
      <w:r w:rsidRPr="002029AF">
        <w:t>in</w:t>
      </w:r>
      <w:r w:rsidR="000A5329" w:rsidRPr="002029AF">
        <w:t xml:space="preserve"> </w:t>
      </w:r>
      <w:r w:rsidRPr="002029AF">
        <w:t>selected</w:t>
      </w:r>
      <w:r w:rsidR="000A5329" w:rsidRPr="002029AF">
        <w:t xml:space="preserve"> </w:t>
      </w:r>
      <w:r w:rsidRPr="002029AF">
        <w:t>buildings</w:t>
      </w:r>
      <w:r w:rsidR="000A5329" w:rsidRPr="002029AF">
        <w:t xml:space="preserve"> </w:t>
      </w:r>
      <w:r w:rsidRPr="002029AF">
        <w:t>and</w:t>
      </w:r>
      <w:r w:rsidR="000A5329" w:rsidRPr="002029AF">
        <w:t xml:space="preserve"> </w:t>
      </w:r>
      <w:r w:rsidRPr="002029AF">
        <w:t>report</w:t>
      </w:r>
      <w:r w:rsidR="000A5329" w:rsidRPr="002029AF">
        <w:t xml:space="preserve"> </w:t>
      </w:r>
      <w:r w:rsidRPr="002029AF">
        <w:t>on</w:t>
      </w:r>
      <w:r w:rsidR="000A5329" w:rsidRPr="002029AF">
        <w:t xml:space="preserve"> </w:t>
      </w:r>
      <w:r w:rsidRPr="002029AF">
        <w:t>the</w:t>
      </w:r>
      <w:r w:rsidR="000A5329" w:rsidRPr="002029AF">
        <w:t xml:space="preserve"> </w:t>
      </w:r>
      <w:r w:rsidRPr="002029AF">
        <w:t>results</w:t>
      </w:r>
      <w:r w:rsidR="000A5329" w:rsidRPr="002029AF">
        <w:t xml:space="preserve"> </w:t>
      </w:r>
      <w:r w:rsidRPr="002029AF">
        <w:t>annually.</w:t>
      </w:r>
    </w:p>
    <w:p w14:paraId="3E818E8B" w14:textId="3A1E0063" w:rsidR="00CF72D5" w:rsidRPr="002029AF" w:rsidRDefault="00CF72D5" w:rsidP="00961519">
      <w:pPr>
        <w:pStyle w:val="Heading4"/>
      </w:pPr>
      <w:r w:rsidRPr="002029AF">
        <w:t>Procurement</w:t>
      </w:r>
      <w:r w:rsidR="000A5329" w:rsidRPr="002029AF">
        <w:t xml:space="preserve"> </w:t>
      </w:r>
      <w:r w:rsidRPr="002029AF">
        <w:t>and</w:t>
      </w:r>
      <w:r w:rsidR="000A5329" w:rsidRPr="002029AF">
        <w:t xml:space="preserve"> </w:t>
      </w:r>
      <w:r w:rsidRPr="002029AF">
        <w:t>paper</w:t>
      </w:r>
    </w:p>
    <w:p w14:paraId="0B463235" w14:textId="78BBEAAE" w:rsidR="00CF72D5" w:rsidRPr="002029AF" w:rsidRDefault="00CF72D5" w:rsidP="00DC6F5C">
      <w:pPr>
        <w:pStyle w:val="ARbody"/>
      </w:pPr>
      <w:r w:rsidRPr="002029AF">
        <w:t>The</w:t>
      </w:r>
      <w:r w:rsidR="000A5329" w:rsidRPr="002029AF">
        <w:t xml:space="preserve"> </w:t>
      </w:r>
      <w:r w:rsidRPr="002029AF">
        <w:t>department</w:t>
      </w:r>
      <w:r w:rsidR="000A5329" w:rsidRPr="002029AF">
        <w:t xml:space="preserve"> </w:t>
      </w:r>
      <w:r w:rsidRPr="002029AF">
        <w:t>continues</w:t>
      </w:r>
      <w:r w:rsidR="000A5329" w:rsidRPr="002029AF">
        <w:t xml:space="preserve"> </w:t>
      </w:r>
      <w:r w:rsidRPr="002029AF">
        <w:t>to</w:t>
      </w:r>
      <w:r w:rsidR="000A5329" w:rsidRPr="002029AF">
        <w:t xml:space="preserve"> </w:t>
      </w:r>
      <w:r w:rsidRPr="002029AF">
        <w:t>integrate</w:t>
      </w:r>
      <w:r w:rsidR="000A5329" w:rsidRPr="002029AF">
        <w:t xml:space="preserve"> </w:t>
      </w:r>
      <w:r w:rsidRPr="002029AF">
        <w:t>sustainability</w:t>
      </w:r>
      <w:r w:rsidR="000A5329" w:rsidRPr="002029AF">
        <w:t xml:space="preserve"> </w:t>
      </w:r>
      <w:r w:rsidRPr="002029AF">
        <w:t>into</w:t>
      </w:r>
      <w:r w:rsidR="000A5329" w:rsidRPr="002029AF">
        <w:t xml:space="preserve"> </w:t>
      </w:r>
      <w:r w:rsidRPr="002029AF">
        <w:t>its</w:t>
      </w:r>
      <w:r w:rsidR="000A5329" w:rsidRPr="002029AF">
        <w:t xml:space="preserve"> </w:t>
      </w:r>
      <w:r w:rsidRPr="002029AF">
        <w:t>procurement</w:t>
      </w:r>
      <w:r w:rsidR="000A5329" w:rsidRPr="002029AF">
        <w:t xml:space="preserve"> </w:t>
      </w:r>
      <w:r w:rsidRPr="002029AF">
        <w:t>activities,</w:t>
      </w:r>
      <w:r w:rsidR="000A5329" w:rsidRPr="002029AF">
        <w:t xml:space="preserve"> </w:t>
      </w:r>
      <w:r w:rsidRPr="002029AF">
        <w:t>while</w:t>
      </w:r>
      <w:r w:rsidR="000A5329" w:rsidRPr="002029AF">
        <w:t xml:space="preserve"> </w:t>
      </w:r>
      <w:r w:rsidRPr="002029AF">
        <w:t>seeking</w:t>
      </w:r>
      <w:r w:rsidR="000A5329" w:rsidRPr="002029AF">
        <w:t xml:space="preserve"> </w:t>
      </w:r>
      <w:r w:rsidRPr="002029AF">
        <w:t>value</w:t>
      </w:r>
      <w:r w:rsidR="000A5329" w:rsidRPr="002029AF">
        <w:t xml:space="preserve"> </w:t>
      </w:r>
      <w:r w:rsidRPr="002029AF">
        <w:t>for</w:t>
      </w:r>
      <w:r w:rsidR="000A5329" w:rsidRPr="002029AF">
        <w:t xml:space="preserve"> </w:t>
      </w:r>
      <w:r w:rsidRPr="002029AF">
        <w:t>money</w:t>
      </w:r>
      <w:r w:rsidR="000A5329" w:rsidRPr="002029AF">
        <w:t xml:space="preserve"> </w:t>
      </w:r>
      <w:r w:rsidRPr="002029AF">
        <w:t>outcomes</w:t>
      </w:r>
      <w:r w:rsidR="000A5329" w:rsidRPr="002029AF">
        <w:t xml:space="preserve"> </w:t>
      </w:r>
      <w:r w:rsidRPr="002029AF">
        <w:t>in</w:t>
      </w:r>
      <w:r w:rsidR="000A5329" w:rsidRPr="002029AF">
        <w:t xml:space="preserve"> </w:t>
      </w:r>
      <w:r w:rsidRPr="002029AF">
        <w:t>our</w:t>
      </w:r>
      <w:r w:rsidR="000A5329" w:rsidRPr="002029AF">
        <w:t xml:space="preserve"> </w:t>
      </w:r>
      <w:r w:rsidRPr="002029AF">
        <w:t>business</w:t>
      </w:r>
      <w:r w:rsidR="000A5329" w:rsidRPr="002029AF">
        <w:t xml:space="preserve"> </w:t>
      </w:r>
      <w:r w:rsidRPr="002029AF">
        <w:t>operations.</w:t>
      </w:r>
      <w:r w:rsidR="000A5329" w:rsidRPr="002029AF">
        <w:t xml:space="preserve"> </w:t>
      </w:r>
      <w:r w:rsidRPr="002029AF">
        <w:t>We</w:t>
      </w:r>
      <w:r w:rsidR="000A5329" w:rsidRPr="002029AF">
        <w:t xml:space="preserve"> </w:t>
      </w:r>
      <w:r w:rsidRPr="002029AF">
        <w:t>also</w:t>
      </w:r>
      <w:r w:rsidR="000A5329" w:rsidRPr="002029AF">
        <w:t xml:space="preserve"> </w:t>
      </w:r>
      <w:r w:rsidRPr="002029AF">
        <w:t>continue</w:t>
      </w:r>
      <w:r w:rsidR="000A5329" w:rsidRPr="002029AF">
        <w:t xml:space="preserve"> </w:t>
      </w:r>
      <w:r w:rsidRPr="002029AF">
        <w:t>to</w:t>
      </w:r>
      <w:r w:rsidR="000A5329" w:rsidRPr="002029AF">
        <w:t xml:space="preserve"> </w:t>
      </w:r>
      <w:r w:rsidRPr="002029AF">
        <w:t>implement</w:t>
      </w:r>
      <w:r w:rsidR="000A5329" w:rsidRPr="002029AF">
        <w:t xml:space="preserve"> </w:t>
      </w:r>
      <w:r w:rsidRPr="002029AF">
        <w:t>strategies</w:t>
      </w:r>
      <w:r w:rsidR="000A5329" w:rsidRPr="002029AF">
        <w:t xml:space="preserve"> </w:t>
      </w:r>
      <w:r w:rsidRPr="002029AF">
        <w:t>to</w:t>
      </w:r>
      <w:r w:rsidR="000A5329" w:rsidRPr="002029AF">
        <w:t xml:space="preserve"> </w:t>
      </w:r>
      <w:r w:rsidRPr="002029AF">
        <w:t>reduce</w:t>
      </w:r>
      <w:r w:rsidR="000A5329" w:rsidRPr="002029AF">
        <w:t xml:space="preserve"> </w:t>
      </w:r>
      <w:r w:rsidRPr="002029AF">
        <w:t>the</w:t>
      </w:r>
      <w:r w:rsidR="000A5329" w:rsidRPr="002029AF">
        <w:t xml:space="preserve"> </w:t>
      </w:r>
      <w:r w:rsidRPr="002029AF">
        <w:t>environmental</w:t>
      </w:r>
      <w:r w:rsidR="000A5329" w:rsidRPr="002029AF">
        <w:t xml:space="preserve"> </w:t>
      </w:r>
      <w:r w:rsidRPr="002029AF">
        <w:t>impacts</w:t>
      </w:r>
      <w:r w:rsidR="000A5329" w:rsidRPr="002029AF">
        <w:t xml:space="preserve"> </w:t>
      </w:r>
      <w:r w:rsidRPr="002029AF">
        <w:t>of</w:t>
      </w:r>
      <w:r w:rsidR="000A5329" w:rsidRPr="002029AF">
        <w:t xml:space="preserve"> </w:t>
      </w:r>
      <w:r w:rsidRPr="002029AF">
        <w:t>printing</w:t>
      </w:r>
      <w:r w:rsidR="000A5329" w:rsidRPr="002029AF">
        <w:t xml:space="preserve"> </w:t>
      </w:r>
      <w:r w:rsidRPr="002029AF">
        <w:t>and</w:t>
      </w:r>
      <w:r w:rsidR="000A5329" w:rsidRPr="002029AF">
        <w:t xml:space="preserve"> </w:t>
      </w:r>
      <w:r w:rsidRPr="002029AF">
        <w:t>paper</w:t>
      </w:r>
      <w:r w:rsidR="000A5329" w:rsidRPr="002029AF">
        <w:t xml:space="preserve"> </w:t>
      </w:r>
      <w:r w:rsidRPr="002029AF">
        <w:t>consumption.</w:t>
      </w:r>
    </w:p>
    <w:p w14:paraId="1F00C837" w14:textId="47CD6935" w:rsidR="00CF72D5" w:rsidRPr="002029AF" w:rsidRDefault="00CF72D5" w:rsidP="00E3577B">
      <w:pPr>
        <w:pStyle w:val="ARbody"/>
      </w:pPr>
      <w:r w:rsidRPr="002029AF">
        <w:t>In</w:t>
      </w:r>
      <w:r w:rsidR="000A5329" w:rsidRPr="002029AF">
        <w:t xml:space="preserve"> </w:t>
      </w:r>
      <w:r w:rsidRPr="002029AF">
        <w:t>2019–20,</w:t>
      </w:r>
      <w:r w:rsidR="000A5329" w:rsidRPr="002029AF">
        <w:t xml:space="preserve"> </w:t>
      </w:r>
      <w:r w:rsidRPr="002029AF">
        <w:t>the</w:t>
      </w:r>
      <w:r w:rsidR="000A5329" w:rsidRPr="002029AF">
        <w:t xml:space="preserve"> </w:t>
      </w:r>
      <w:r w:rsidRPr="002029AF">
        <w:t>department:</w:t>
      </w:r>
    </w:p>
    <w:p w14:paraId="7C0D98DA" w14:textId="69B4E1F5" w:rsidR="00CF72D5" w:rsidRPr="002029AF" w:rsidRDefault="00CF72D5" w:rsidP="00693FBF">
      <w:pPr>
        <w:pStyle w:val="ARbullet1"/>
      </w:pPr>
      <w:r w:rsidRPr="002029AF">
        <w:t>ensured</w:t>
      </w:r>
      <w:r w:rsidR="000A5329" w:rsidRPr="002029AF">
        <w:t xml:space="preserve"> </w:t>
      </w:r>
      <w:r w:rsidRPr="002029AF">
        <w:t>that</w:t>
      </w:r>
      <w:r w:rsidR="000A5329" w:rsidRPr="002029AF">
        <w:t xml:space="preserve"> </w:t>
      </w:r>
      <w:r w:rsidRPr="002029AF">
        <w:t>98</w:t>
      </w:r>
      <w:r w:rsidR="000A5329" w:rsidRPr="002029AF">
        <w:t xml:space="preserve"> </w:t>
      </w:r>
      <w:r w:rsidRPr="002029AF">
        <w:t>per</w:t>
      </w:r>
      <w:r w:rsidR="000A5329" w:rsidRPr="002029AF">
        <w:t xml:space="preserve"> </w:t>
      </w:r>
      <w:r w:rsidRPr="002029AF">
        <w:t>cent</w:t>
      </w:r>
      <w:r w:rsidR="000A5329" w:rsidRPr="002029AF">
        <w:t xml:space="preserve"> </w:t>
      </w:r>
      <w:r w:rsidRPr="002029AF">
        <w:t>of</w:t>
      </w:r>
      <w:r w:rsidR="000A5329" w:rsidRPr="002029AF">
        <w:t xml:space="preserve"> </w:t>
      </w:r>
      <w:r w:rsidRPr="002029AF">
        <w:t>all</w:t>
      </w:r>
      <w:r w:rsidR="000A5329" w:rsidRPr="002029AF">
        <w:t xml:space="preserve"> </w:t>
      </w:r>
      <w:r w:rsidRPr="002029AF">
        <w:t>office-based</w:t>
      </w:r>
      <w:r w:rsidR="000A5329" w:rsidRPr="002029AF">
        <w:t xml:space="preserve"> </w:t>
      </w:r>
      <w:r w:rsidRPr="002029AF">
        <w:t>paper</w:t>
      </w:r>
      <w:r w:rsidR="000A5329" w:rsidRPr="002029AF">
        <w:t xml:space="preserve"> </w:t>
      </w:r>
      <w:r w:rsidRPr="002029AF">
        <w:t>purchased</w:t>
      </w:r>
      <w:r w:rsidR="000A5329" w:rsidRPr="002029AF">
        <w:t xml:space="preserve"> </w:t>
      </w:r>
      <w:r w:rsidRPr="002029AF">
        <w:t>consisted</w:t>
      </w:r>
      <w:r w:rsidR="000A5329" w:rsidRPr="002029AF">
        <w:t xml:space="preserve"> </w:t>
      </w:r>
      <w:r w:rsidRPr="002029AF">
        <w:t>of</w:t>
      </w:r>
      <w:r w:rsidR="000A5329" w:rsidRPr="002029AF">
        <w:t xml:space="preserve"> </w:t>
      </w:r>
      <w:r w:rsidRPr="002029AF">
        <w:t>100</w:t>
      </w:r>
      <w:r w:rsidR="000A5329" w:rsidRPr="002029AF">
        <w:t xml:space="preserve"> </w:t>
      </w:r>
      <w:r w:rsidRPr="002029AF">
        <w:t>per</w:t>
      </w:r>
      <w:r w:rsidR="000A5329" w:rsidRPr="002029AF">
        <w:t xml:space="preserve"> </w:t>
      </w:r>
      <w:r w:rsidRPr="002029AF">
        <w:t>cent</w:t>
      </w:r>
      <w:r w:rsidR="000A5329" w:rsidRPr="002029AF">
        <w:t xml:space="preserve"> </w:t>
      </w:r>
      <w:r w:rsidRPr="002029AF">
        <w:t>recycled</w:t>
      </w:r>
      <w:r w:rsidR="000A5329" w:rsidRPr="002029AF">
        <w:t xml:space="preserve"> </w:t>
      </w:r>
      <w:r w:rsidRPr="002029AF">
        <w:t>content</w:t>
      </w:r>
    </w:p>
    <w:p w14:paraId="30ADF036" w14:textId="00E8E574" w:rsidR="00CF72D5" w:rsidRPr="002029AF" w:rsidRDefault="00CF72D5" w:rsidP="00693FBF">
      <w:pPr>
        <w:pStyle w:val="ARbullet1"/>
      </w:pPr>
      <w:r w:rsidRPr="002029AF">
        <w:t>continued</w:t>
      </w:r>
      <w:r w:rsidR="000A5329" w:rsidRPr="002029AF">
        <w:t xml:space="preserve"> </w:t>
      </w:r>
      <w:r w:rsidRPr="002029AF">
        <w:t>to</w:t>
      </w:r>
      <w:r w:rsidR="000A5329" w:rsidRPr="002029AF">
        <w:t xml:space="preserve"> </w:t>
      </w:r>
      <w:r w:rsidRPr="002029AF">
        <w:t>utilise</w:t>
      </w:r>
      <w:r w:rsidR="000A5329" w:rsidRPr="002029AF">
        <w:t xml:space="preserve"> </w:t>
      </w:r>
      <w:r w:rsidRPr="002029AF">
        <w:t>the</w:t>
      </w:r>
      <w:r w:rsidR="000A5329" w:rsidRPr="002029AF">
        <w:t xml:space="preserve"> </w:t>
      </w:r>
      <w:r w:rsidRPr="002029AF">
        <w:t>TRIM</w:t>
      </w:r>
      <w:r w:rsidR="000A5329" w:rsidRPr="002029AF">
        <w:t xml:space="preserve"> </w:t>
      </w:r>
      <w:r w:rsidRPr="002029AF">
        <w:t>electronic</w:t>
      </w:r>
      <w:r w:rsidR="000A5329" w:rsidRPr="002029AF">
        <w:t xml:space="preserve"> </w:t>
      </w:r>
      <w:r w:rsidRPr="002029AF">
        <w:t>record</w:t>
      </w:r>
      <w:r w:rsidR="000A5329" w:rsidRPr="002029AF">
        <w:t xml:space="preserve"> </w:t>
      </w:r>
      <w:r w:rsidRPr="002029AF">
        <w:t>management</w:t>
      </w:r>
      <w:r w:rsidR="000A5329" w:rsidRPr="002029AF">
        <w:t xml:space="preserve"> </w:t>
      </w:r>
      <w:r w:rsidRPr="002029AF">
        <w:t>system</w:t>
      </w:r>
      <w:r w:rsidR="000A5329" w:rsidRPr="002029AF">
        <w:t xml:space="preserve"> </w:t>
      </w:r>
      <w:r w:rsidRPr="002029AF">
        <w:t>and</w:t>
      </w:r>
      <w:r w:rsidR="000A5329" w:rsidRPr="002029AF">
        <w:t xml:space="preserve"> </w:t>
      </w:r>
      <w:r w:rsidRPr="002029AF">
        <w:t>‘follow-me’</w:t>
      </w:r>
      <w:r w:rsidR="000A5329" w:rsidRPr="002029AF">
        <w:t xml:space="preserve"> </w:t>
      </w:r>
      <w:r w:rsidRPr="002029AF">
        <w:t>printing</w:t>
      </w:r>
      <w:r w:rsidR="000A5329" w:rsidRPr="002029AF">
        <w:t xml:space="preserve"> </w:t>
      </w:r>
      <w:r w:rsidRPr="002029AF">
        <w:t>solution</w:t>
      </w:r>
      <w:r w:rsidR="000A5329" w:rsidRPr="002029AF">
        <w:t xml:space="preserve"> </w:t>
      </w:r>
      <w:r w:rsidRPr="002029AF">
        <w:t>to</w:t>
      </w:r>
      <w:r w:rsidR="000A5329" w:rsidRPr="002029AF">
        <w:t xml:space="preserve"> </w:t>
      </w:r>
      <w:r w:rsidRPr="002029AF">
        <w:t>reduce</w:t>
      </w:r>
      <w:r w:rsidR="000A5329" w:rsidRPr="002029AF">
        <w:t xml:space="preserve"> </w:t>
      </w:r>
      <w:r w:rsidRPr="002029AF">
        <w:t>the</w:t>
      </w:r>
      <w:r w:rsidR="000A5329" w:rsidRPr="002029AF">
        <w:t xml:space="preserve"> </w:t>
      </w:r>
      <w:r w:rsidRPr="002029AF">
        <w:t>volume</w:t>
      </w:r>
      <w:r w:rsidR="000A5329" w:rsidRPr="002029AF">
        <w:t xml:space="preserve"> </w:t>
      </w:r>
      <w:r w:rsidRPr="002029AF">
        <w:t>of</w:t>
      </w:r>
      <w:r w:rsidR="000A5329" w:rsidRPr="002029AF">
        <w:t xml:space="preserve"> </w:t>
      </w:r>
      <w:r w:rsidRPr="002029AF">
        <w:t>hardcopy</w:t>
      </w:r>
      <w:r w:rsidR="000A5329" w:rsidRPr="002029AF">
        <w:t xml:space="preserve"> </w:t>
      </w:r>
      <w:r w:rsidRPr="002029AF">
        <w:t>records</w:t>
      </w:r>
      <w:r w:rsidR="000A5329" w:rsidRPr="002029AF">
        <w:t xml:space="preserve"> </w:t>
      </w:r>
      <w:r w:rsidRPr="002029AF">
        <w:t>printed</w:t>
      </w:r>
      <w:r w:rsidR="000A5329" w:rsidRPr="002029AF">
        <w:t xml:space="preserve"> </w:t>
      </w:r>
      <w:r w:rsidRPr="002029AF">
        <w:t>and</w:t>
      </w:r>
      <w:r w:rsidR="000A5329" w:rsidRPr="002029AF">
        <w:t xml:space="preserve"> </w:t>
      </w:r>
      <w:r w:rsidRPr="002029AF">
        <w:t>archived</w:t>
      </w:r>
      <w:r w:rsidR="000A5329" w:rsidRPr="002029AF">
        <w:t xml:space="preserve"> </w:t>
      </w:r>
      <w:r w:rsidRPr="002029AF">
        <w:t>in</w:t>
      </w:r>
      <w:r w:rsidR="000A5329" w:rsidRPr="002029AF">
        <w:t xml:space="preserve"> </w:t>
      </w:r>
      <w:r w:rsidRPr="002029AF">
        <w:t>the</w:t>
      </w:r>
      <w:r w:rsidR="000A5329" w:rsidRPr="002029AF">
        <w:t xml:space="preserve"> </w:t>
      </w:r>
      <w:r w:rsidRPr="002029AF">
        <w:t>workplace.</w:t>
      </w:r>
    </w:p>
    <w:p w14:paraId="1BE51BC4" w14:textId="706A5E11" w:rsidR="00CF72D5" w:rsidRPr="002029AF" w:rsidRDefault="00CF72D5" w:rsidP="00961519">
      <w:pPr>
        <w:pStyle w:val="Heading5"/>
      </w:pPr>
      <w:r w:rsidRPr="002029AF">
        <w:t>Office-based</w:t>
      </w:r>
      <w:r w:rsidR="000A5329" w:rsidRPr="002029AF">
        <w:t xml:space="preserve"> </w:t>
      </w:r>
      <w:r w:rsidRPr="002029AF">
        <w:t>performance</w:t>
      </w:r>
    </w:p>
    <w:p w14:paraId="3F66E101" w14:textId="2A748964" w:rsidR="00CF72D5" w:rsidRPr="002029AF" w:rsidRDefault="00CF72D5" w:rsidP="00693FBF">
      <w:pPr>
        <w:pStyle w:val="ARbody"/>
        <w:keepNext/>
      </w:pPr>
      <w:r w:rsidRPr="002029AF">
        <w:t>In</w:t>
      </w:r>
      <w:r w:rsidR="000A5329" w:rsidRPr="002029AF">
        <w:t xml:space="preserve"> </w:t>
      </w:r>
      <w:r w:rsidRPr="002029AF">
        <w:t>2019–20:</w:t>
      </w:r>
    </w:p>
    <w:p w14:paraId="68D2C30B" w14:textId="422A0F99" w:rsidR="00CF72D5" w:rsidRPr="002029AF" w:rsidRDefault="00CF72D5" w:rsidP="005A6B8E">
      <w:pPr>
        <w:pStyle w:val="ARbullet1"/>
      </w:pPr>
      <w:r w:rsidRPr="002029AF">
        <w:t>paper</w:t>
      </w:r>
      <w:r w:rsidR="000A5329" w:rsidRPr="002029AF">
        <w:t xml:space="preserve"> </w:t>
      </w:r>
      <w:r w:rsidRPr="002029AF">
        <w:t>purchasing</w:t>
      </w:r>
      <w:r w:rsidR="000A5329" w:rsidRPr="002029AF">
        <w:t xml:space="preserve"> </w:t>
      </w:r>
      <w:r w:rsidRPr="002029AF">
        <w:t>and</w:t>
      </w:r>
      <w:r w:rsidR="000A5329" w:rsidRPr="002029AF">
        <w:t xml:space="preserve"> </w:t>
      </w:r>
      <w:r w:rsidRPr="002029AF">
        <w:t>associated</w:t>
      </w:r>
      <w:r w:rsidR="000A5329" w:rsidRPr="002029AF">
        <w:t xml:space="preserve"> </w:t>
      </w:r>
      <w:r w:rsidRPr="002029AF">
        <w:t>emissions</w:t>
      </w:r>
      <w:r w:rsidR="000A5329" w:rsidRPr="002029AF">
        <w:t xml:space="preserve"> </w:t>
      </w:r>
      <w:r w:rsidRPr="002029AF">
        <w:t>reduced</w:t>
      </w:r>
      <w:r w:rsidR="000A5329" w:rsidRPr="002029AF">
        <w:t xml:space="preserve"> </w:t>
      </w:r>
      <w:r w:rsidRPr="002029AF">
        <w:t>by</w:t>
      </w:r>
      <w:r w:rsidR="000A5329" w:rsidRPr="002029AF">
        <w:t xml:space="preserve"> </w:t>
      </w:r>
      <w:r w:rsidRPr="002029AF">
        <w:t>37</w:t>
      </w:r>
      <w:r w:rsidR="000A5329" w:rsidRPr="002029AF">
        <w:t xml:space="preserve"> </w:t>
      </w:r>
      <w:r w:rsidRPr="002029AF">
        <w:t>per</w:t>
      </w:r>
      <w:r w:rsidR="000A5329" w:rsidRPr="002029AF">
        <w:t xml:space="preserve"> </w:t>
      </w:r>
      <w:r w:rsidRPr="002029AF">
        <w:t>cent,</w:t>
      </w:r>
      <w:r w:rsidR="000A5329" w:rsidRPr="002029AF">
        <w:t xml:space="preserve"> </w:t>
      </w:r>
      <w:r w:rsidRPr="002029AF">
        <w:t>attributable</w:t>
      </w:r>
      <w:r w:rsidR="000A5329" w:rsidRPr="002029AF">
        <w:t xml:space="preserve"> </w:t>
      </w:r>
      <w:r w:rsidRPr="002029AF">
        <w:t>to</w:t>
      </w:r>
      <w:r w:rsidR="000A5329" w:rsidRPr="002029AF">
        <w:t xml:space="preserve"> </w:t>
      </w:r>
      <w:r w:rsidRPr="002029AF">
        <w:t>COVID-19</w:t>
      </w:r>
      <w:r w:rsidR="000A5329" w:rsidRPr="002029AF">
        <w:t xml:space="preserve"> </w:t>
      </w:r>
      <w:r w:rsidRPr="002029AF">
        <w:t>and</w:t>
      </w:r>
      <w:r w:rsidR="000A5329" w:rsidRPr="002029AF">
        <w:t xml:space="preserve"> </w:t>
      </w:r>
      <w:r w:rsidRPr="002029AF">
        <w:t>the</w:t>
      </w:r>
      <w:r w:rsidR="000A5329" w:rsidRPr="002029AF">
        <w:t xml:space="preserve"> </w:t>
      </w:r>
      <w:r w:rsidRPr="002029AF">
        <w:t>transition</w:t>
      </w:r>
      <w:r w:rsidR="000A5329" w:rsidRPr="002029AF">
        <w:t xml:space="preserve"> </w:t>
      </w:r>
      <w:r w:rsidRPr="002029AF">
        <w:t>to</w:t>
      </w:r>
      <w:r w:rsidR="000A5329" w:rsidRPr="002029AF">
        <w:t xml:space="preserve"> </w:t>
      </w:r>
      <w:r w:rsidRPr="002029AF">
        <w:t>remote</w:t>
      </w:r>
      <w:r w:rsidR="000A5329" w:rsidRPr="002029AF">
        <w:t xml:space="preserve"> </w:t>
      </w:r>
      <w:r w:rsidRPr="002029AF">
        <w:t>working</w:t>
      </w:r>
      <w:r w:rsidR="000A5329" w:rsidRPr="002029AF">
        <w:t xml:space="preserve"> </w:t>
      </w:r>
      <w:r w:rsidRPr="002029AF">
        <w:t>arrangements.</w:t>
      </w:r>
    </w:p>
    <w:p w14:paraId="78917B79" w14:textId="77777777" w:rsidR="00CF72D5" w:rsidRPr="002029AF" w:rsidRDefault="00CF72D5" w:rsidP="00961519">
      <w:pPr>
        <w:pStyle w:val="Heading5"/>
      </w:pPr>
      <w:r w:rsidRPr="002029AF">
        <w:t>Targets</w:t>
      </w:r>
    </w:p>
    <w:p w14:paraId="003AC22E" w14:textId="2017F2C7" w:rsidR="00CF72D5" w:rsidRPr="002029AF" w:rsidRDefault="00CF72D5" w:rsidP="00961519">
      <w:pPr>
        <w:pStyle w:val="ARbody"/>
      </w:pPr>
      <w:r w:rsidRPr="002029AF">
        <w:t>The</w:t>
      </w:r>
      <w:r w:rsidR="000A5329" w:rsidRPr="002029AF">
        <w:t xml:space="preserve"> </w:t>
      </w:r>
      <w:r w:rsidRPr="002029AF">
        <w:t>2020–21</w:t>
      </w:r>
      <w:r w:rsidR="000A5329" w:rsidRPr="002029AF">
        <w:t xml:space="preserve"> </w:t>
      </w:r>
      <w:r w:rsidRPr="002029AF">
        <w:t>environmental</w:t>
      </w:r>
      <w:r w:rsidR="000A5329" w:rsidRPr="002029AF">
        <w:t xml:space="preserve"> </w:t>
      </w:r>
      <w:r w:rsidRPr="002029AF">
        <w:t>management</w:t>
      </w:r>
      <w:r w:rsidR="000A5329" w:rsidRPr="002029AF">
        <w:t xml:space="preserve"> </w:t>
      </w:r>
      <w:r w:rsidRPr="002029AF">
        <w:t>system</w:t>
      </w:r>
      <w:r w:rsidR="000A5329" w:rsidRPr="002029AF">
        <w:t xml:space="preserve"> </w:t>
      </w:r>
      <w:r w:rsidRPr="002029AF">
        <w:t>targets</w:t>
      </w:r>
      <w:r w:rsidR="000A5329" w:rsidRPr="002029AF">
        <w:t xml:space="preserve"> </w:t>
      </w:r>
      <w:r w:rsidRPr="002029AF">
        <w:t>for</w:t>
      </w:r>
      <w:r w:rsidR="000A5329" w:rsidRPr="002029AF">
        <w:t xml:space="preserve"> </w:t>
      </w:r>
      <w:r w:rsidRPr="002029AF">
        <w:t>procurement</w:t>
      </w:r>
      <w:r w:rsidR="000A5329" w:rsidRPr="002029AF">
        <w:t xml:space="preserve"> </w:t>
      </w:r>
      <w:r w:rsidRPr="002029AF">
        <w:t>and</w:t>
      </w:r>
      <w:r w:rsidR="000A5329" w:rsidRPr="002029AF">
        <w:t xml:space="preserve"> </w:t>
      </w:r>
      <w:r w:rsidRPr="002029AF">
        <w:t>paper</w:t>
      </w:r>
      <w:r w:rsidR="000A5329" w:rsidRPr="002029AF">
        <w:t xml:space="preserve"> </w:t>
      </w:r>
      <w:r w:rsidRPr="002029AF">
        <w:t>are</w:t>
      </w:r>
      <w:r w:rsidR="000A5329" w:rsidRPr="002029AF">
        <w:t xml:space="preserve"> </w:t>
      </w:r>
      <w:r w:rsidRPr="002029AF">
        <w:t>to:</w:t>
      </w:r>
    </w:p>
    <w:p w14:paraId="0C3F99E1" w14:textId="72920A92" w:rsidR="000A5329" w:rsidRPr="002029AF" w:rsidRDefault="00CF72D5" w:rsidP="005A6B8E">
      <w:pPr>
        <w:pStyle w:val="ARbullet1"/>
      </w:pPr>
      <w:r w:rsidRPr="002029AF">
        <w:t>work</w:t>
      </w:r>
      <w:r w:rsidR="000A5329" w:rsidRPr="002029AF">
        <w:t xml:space="preserve"> </w:t>
      </w:r>
      <w:r w:rsidRPr="002029AF">
        <w:t>with</w:t>
      </w:r>
      <w:r w:rsidR="000A5329" w:rsidRPr="002029AF">
        <w:t xml:space="preserve"> </w:t>
      </w:r>
      <w:r w:rsidRPr="002029AF">
        <w:t>Sustainability</w:t>
      </w:r>
      <w:r w:rsidR="000A5329" w:rsidRPr="002029AF">
        <w:t xml:space="preserve"> </w:t>
      </w:r>
      <w:r w:rsidRPr="002029AF">
        <w:t>Victoria</w:t>
      </w:r>
      <w:r w:rsidR="000A5329" w:rsidRPr="002029AF">
        <w:t xml:space="preserve"> </w:t>
      </w:r>
      <w:r w:rsidRPr="002029AF">
        <w:t>to</w:t>
      </w:r>
      <w:r w:rsidR="000A5329" w:rsidRPr="002029AF">
        <w:t xml:space="preserve"> </w:t>
      </w:r>
      <w:r w:rsidRPr="002029AF">
        <w:t>support</w:t>
      </w:r>
      <w:r w:rsidR="000A5329" w:rsidRPr="002029AF">
        <w:t xml:space="preserve"> </w:t>
      </w:r>
      <w:r w:rsidRPr="002029AF">
        <w:t>the</w:t>
      </w:r>
      <w:r w:rsidR="000A5329" w:rsidRPr="002029AF">
        <w:t xml:space="preserve"> </w:t>
      </w:r>
      <w:r w:rsidRPr="002029AF">
        <w:t>Buy</w:t>
      </w:r>
      <w:r w:rsidR="000A5329" w:rsidRPr="002029AF">
        <w:t xml:space="preserve"> </w:t>
      </w:r>
      <w:r w:rsidRPr="002029AF">
        <w:t>Recycled</w:t>
      </w:r>
      <w:r w:rsidR="000A5329" w:rsidRPr="002029AF">
        <w:t xml:space="preserve"> </w:t>
      </w:r>
      <w:r w:rsidRPr="002029AF">
        <w:t>directory</w:t>
      </w:r>
      <w:r w:rsidR="000A5329" w:rsidRPr="002029AF">
        <w:t xml:space="preserve"> </w:t>
      </w:r>
      <w:r w:rsidRPr="002029AF">
        <w:t>to</w:t>
      </w:r>
      <w:r w:rsidR="000A5329" w:rsidRPr="002029AF">
        <w:t xml:space="preserve"> </w:t>
      </w:r>
      <w:r w:rsidRPr="002029AF">
        <w:t>provide</w:t>
      </w:r>
      <w:r w:rsidR="000A5329" w:rsidRPr="002029AF">
        <w:t xml:space="preserve"> </w:t>
      </w:r>
      <w:r w:rsidRPr="002029AF">
        <w:t>Victorian</w:t>
      </w:r>
      <w:r w:rsidR="000A5329" w:rsidRPr="002029AF">
        <w:t xml:space="preserve"> </w:t>
      </w:r>
      <w:r w:rsidRPr="002029AF">
        <w:t>buyers</w:t>
      </w:r>
      <w:r w:rsidR="000A5329" w:rsidRPr="002029AF">
        <w:t xml:space="preserve"> </w:t>
      </w:r>
      <w:r w:rsidRPr="002029AF">
        <w:t>with</w:t>
      </w:r>
      <w:r w:rsidR="000A5329" w:rsidRPr="002029AF">
        <w:t xml:space="preserve"> </w:t>
      </w:r>
      <w:r w:rsidRPr="002029AF">
        <w:t>products</w:t>
      </w:r>
      <w:r w:rsidR="000A5329" w:rsidRPr="002029AF">
        <w:t xml:space="preserve"> </w:t>
      </w:r>
      <w:r w:rsidRPr="002029AF">
        <w:t>containing</w:t>
      </w:r>
      <w:r w:rsidR="000A5329" w:rsidRPr="002029AF">
        <w:t xml:space="preserve"> </w:t>
      </w:r>
      <w:r w:rsidRPr="002029AF">
        <w:t>recycled</w:t>
      </w:r>
      <w:r w:rsidR="000A5329" w:rsidRPr="002029AF">
        <w:t xml:space="preserve"> </w:t>
      </w:r>
      <w:r w:rsidRPr="002029AF">
        <w:t>content</w:t>
      </w:r>
      <w:r w:rsidR="000A5329" w:rsidRPr="002029AF">
        <w:t xml:space="preserve"> </w:t>
      </w:r>
      <w:r w:rsidRPr="002029AF">
        <w:t>and</w:t>
      </w:r>
      <w:r w:rsidR="000A5329" w:rsidRPr="002029AF">
        <w:t xml:space="preserve"> </w:t>
      </w:r>
      <w:r w:rsidRPr="002029AF">
        <w:t>options</w:t>
      </w:r>
      <w:r w:rsidR="000A5329" w:rsidRPr="002029AF">
        <w:t xml:space="preserve"> </w:t>
      </w:r>
      <w:r w:rsidRPr="002029AF">
        <w:t>to</w:t>
      </w:r>
      <w:r w:rsidR="000A5329" w:rsidRPr="002029AF">
        <w:t xml:space="preserve"> </w:t>
      </w:r>
      <w:r w:rsidRPr="002029AF">
        <w:t>achieve</w:t>
      </w:r>
      <w:r w:rsidR="000A5329" w:rsidRPr="002029AF">
        <w:t xml:space="preserve"> </w:t>
      </w:r>
      <w:r w:rsidRPr="002029AF">
        <w:t>positive</w:t>
      </w:r>
      <w:r w:rsidR="000A5329" w:rsidRPr="002029AF">
        <w:t xml:space="preserve"> </w:t>
      </w:r>
      <w:r w:rsidRPr="002029AF">
        <w:t>environmental</w:t>
      </w:r>
      <w:r w:rsidR="000A5329" w:rsidRPr="002029AF">
        <w:t xml:space="preserve"> </w:t>
      </w:r>
      <w:r w:rsidRPr="002029AF">
        <w:t>outcomes</w:t>
      </w:r>
      <w:r w:rsidR="000A5329" w:rsidRPr="002029AF">
        <w:t xml:space="preserve"> </w:t>
      </w:r>
      <w:r w:rsidRPr="002029AF">
        <w:t>and</w:t>
      </w:r>
      <w:r w:rsidR="000A5329" w:rsidRPr="002029AF">
        <w:t xml:space="preserve"> </w:t>
      </w:r>
      <w:r w:rsidRPr="002029AF">
        <w:t>support</w:t>
      </w:r>
      <w:r w:rsidR="000A5329" w:rsidRPr="002029AF">
        <w:t xml:space="preserve"> </w:t>
      </w:r>
      <w:r w:rsidRPr="002029AF">
        <w:t>organisational</w:t>
      </w:r>
      <w:r w:rsidR="000A5329" w:rsidRPr="002029AF">
        <w:t xml:space="preserve"> </w:t>
      </w:r>
      <w:r w:rsidRPr="002029AF">
        <w:t>sustainability</w:t>
      </w:r>
      <w:r w:rsidR="000A5329" w:rsidRPr="002029AF">
        <w:t xml:space="preserve"> </w:t>
      </w:r>
      <w:r w:rsidRPr="002029AF">
        <w:t>goals</w:t>
      </w:r>
    </w:p>
    <w:p w14:paraId="240530CF" w14:textId="36EA7C47" w:rsidR="00CF72D5" w:rsidRPr="002029AF" w:rsidRDefault="00CF72D5" w:rsidP="005A6B8E">
      <w:pPr>
        <w:pStyle w:val="ARbullet1"/>
      </w:pPr>
      <w:r w:rsidRPr="002029AF">
        <w:t>add</w:t>
      </w:r>
      <w:r w:rsidR="000A5329" w:rsidRPr="002029AF">
        <w:t xml:space="preserve"> </w:t>
      </w:r>
      <w:r w:rsidRPr="002029AF">
        <w:t>energy-efficient</w:t>
      </w:r>
      <w:r w:rsidR="000A5329" w:rsidRPr="002029AF">
        <w:t xml:space="preserve"> </w:t>
      </w:r>
      <w:r w:rsidRPr="002029AF">
        <w:t>heat</w:t>
      </w:r>
      <w:r w:rsidR="000A5329" w:rsidRPr="002029AF">
        <w:t xml:space="preserve"> </w:t>
      </w:r>
      <w:r w:rsidRPr="002029AF">
        <w:t>pump</w:t>
      </w:r>
      <w:r w:rsidR="000A5329" w:rsidRPr="002029AF">
        <w:t xml:space="preserve"> </w:t>
      </w:r>
      <w:r w:rsidRPr="002029AF">
        <w:t>hot</w:t>
      </w:r>
      <w:r w:rsidR="000A5329" w:rsidRPr="002029AF">
        <w:t xml:space="preserve"> </w:t>
      </w:r>
      <w:r w:rsidRPr="002029AF">
        <w:t>water</w:t>
      </w:r>
      <w:r w:rsidR="000A5329" w:rsidRPr="002029AF">
        <w:t xml:space="preserve"> </w:t>
      </w:r>
      <w:r w:rsidRPr="002029AF">
        <w:t>systems</w:t>
      </w:r>
      <w:r w:rsidR="000A5329" w:rsidRPr="002029AF">
        <w:t xml:space="preserve"> </w:t>
      </w:r>
      <w:r w:rsidRPr="002029AF">
        <w:t>to</w:t>
      </w:r>
      <w:r w:rsidR="000A5329" w:rsidRPr="002029AF">
        <w:t xml:space="preserve"> </w:t>
      </w:r>
      <w:r w:rsidRPr="002029AF">
        <w:t>the</w:t>
      </w:r>
      <w:r w:rsidR="000A5329" w:rsidRPr="002029AF">
        <w:t xml:space="preserve"> </w:t>
      </w:r>
      <w:r w:rsidRPr="002029AF">
        <w:t>appliance</w:t>
      </w:r>
      <w:r w:rsidR="000A5329" w:rsidRPr="002029AF">
        <w:t xml:space="preserve"> </w:t>
      </w:r>
      <w:r w:rsidRPr="002029AF">
        <w:t>procurement</w:t>
      </w:r>
      <w:r w:rsidR="000A5329" w:rsidRPr="002029AF">
        <w:t xml:space="preserve"> </w:t>
      </w:r>
      <w:r w:rsidRPr="002029AF">
        <w:t>register</w:t>
      </w:r>
      <w:r w:rsidR="006F2C99" w:rsidRPr="002029AF">
        <w:t> </w:t>
      </w:r>
      <w:r w:rsidRPr="002029AF">
        <w:t>for</w:t>
      </w:r>
      <w:r w:rsidR="000A5329" w:rsidRPr="002029AF">
        <w:t xml:space="preserve"> </w:t>
      </w:r>
      <w:r w:rsidRPr="002029AF">
        <w:t>public</w:t>
      </w:r>
      <w:r w:rsidR="000A5329" w:rsidRPr="002029AF">
        <w:t xml:space="preserve"> </w:t>
      </w:r>
      <w:r w:rsidRPr="002029AF">
        <w:t>housing.</w:t>
      </w:r>
    </w:p>
    <w:p w14:paraId="762E291F" w14:textId="633CFB74" w:rsidR="00CF72D5" w:rsidRPr="002029AF" w:rsidRDefault="009D6AEA" w:rsidP="009D6AEA">
      <w:pPr>
        <w:pStyle w:val="Heading4"/>
        <w:spacing w:before="0"/>
      </w:pPr>
      <w:r>
        <w:br w:type="column"/>
      </w:r>
      <w:r w:rsidR="00CF72D5" w:rsidRPr="002029AF">
        <w:t>Waste</w:t>
      </w:r>
    </w:p>
    <w:p w14:paraId="16BDFAE8" w14:textId="6B289C4C" w:rsidR="000A5329" w:rsidRPr="002029AF" w:rsidRDefault="00CF72D5" w:rsidP="005A6B8E">
      <w:pPr>
        <w:pStyle w:val="ARbody"/>
      </w:pPr>
      <w:r w:rsidRPr="002029AF">
        <w:t>The</w:t>
      </w:r>
      <w:r w:rsidR="000A5329" w:rsidRPr="002029AF">
        <w:t xml:space="preserve"> </w:t>
      </w:r>
      <w:r w:rsidRPr="002029AF">
        <w:t>department</w:t>
      </w:r>
      <w:r w:rsidR="000A5329" w:rsidRPr="002029AF">
        <w:t xml:space="preserve"> </w:t>
      </w:r>
      <w:r w:rsidRPr="002029AF">
        <w:t>is</w:t>
      </w:r>
      <w:r w:rsidR="000A5329" w:rsidRPr="002029AF">
        <w:t xml:space="preserve"> </w:t>
      </w:r>
      <w:r w:rsidRPr="002029AF">
        <w:t>committed</w:t>
      </w:r>
      <w:r w:rsidR="000A5329" w:rsidRPr="002029AF">
        <w:t xml:space="preserve"> </w:t>
      </w:r>
      <w:r w:rsidRPr="002029AF">
        <w:t>to</w:t>
      </w:r>
      <w:r w:rsidR="000A5329" w:rsidRPr="002029AF">
        <w:t xml:space="preserve"> </w:t>
      </w:r>
      <w:r w:rsidRPr="002029AF">
        <w:t>the</w:t>
      </w:r>
      <w:r w:rsidR="000A5329" w:rsidRPr="002029AF">
        <w:t xml:space="preserve"> </w:t>
      </w:r>
      <w:r w:rsidRPr="002029AF">
        <w:t>effective</w:t>
      </w:r>
      <w:r w:rsidR="000A5329" w:rsidRPr="002029AF">
        <w:t xml:space="preserve"> </w:t>
      </w:r>
      <w:r w:rsidRPr="002029AF">
        <w:t>management</w:t>
      </w:r>
      <w:r w:rsidR="000A5329" w:rsidRPr="002029AF">
        <w:t xml:space="preserve"> </w:t>
      </w:r>
      <w:r w:rsidRPr="002029AF">
        <w:t>of</w:t>
      </w:r>
      <w:r w:rsidR="000A5329" w:rsidRPr="002029AF">
        <w:t xml:space="preserve"> </w:t>
      </w:r>
      <w:r w:rsidRPr="002029AF">
        <w:t>waste</w:t>
      </w:r>
      <w:r w:rsidR="000A5329" w:rsidRPr="002029AF">
        <w:t xml:space="preserve"> </w:t>
      </w:r>
      <w:r w:rsidRPr="002029AF">
        <w:t>to</w:t>
      </w:r>
      <w:r w:rsidR="000A5329" w:rsidRPr="002029AF">
        <w:t xml:space="preserve"> </w:t>
      </w:r>
      <w:r w:rsidRPr="002029AF">
        <w:t>reduce</w:t>
      </w:r>
      <w:r w:rsidR="000A5329" w:rsidRPr="002029AF">
        <w:t xml:space="preserve"> </w:t>
      </w:r>
      <w:r w:rsidRPr="002029AF">
        <w:t>operational</w:t>
      </w:r>
      <w:r w:rsidR="000A5329" w:rsidRPr="002029AF">
        <w:t xml:space="preserve"> </w:t>
      </w:r>
      <w:r w:rsidRPr="002029AF">
        <w:t>costs</w:t>
      </w:r>
      <w:r w:rsidR="000A5329" w:rsidRPr="002029AF">
        <w:t xml:space="preserve"> </w:t>
      </w:r>
      <w:r w:rsidRPr="002029AF">
        <w:t>and</w:t>
      </w:r>
      <w:r w:rsidR="000A5329" w:rsidRPr="002029AF">
        <w:t xml:space="preserve"> </w:t>
      </w:r>
      <w:r w:rsidRPr="002029AF">
        <w:t>environmental</w:t>
      </w:r>
      <w:r w:rsidR="000A5329" w:rsidRPr="002029AF">
        <w:t xml:space="preserve"> </w:t>
      </w:r>
      <w:r w:rsidRPr="002029AF">
        <w:t>impacts,</w:t>
      </w:r>
      <w:r w:rsidR="000A5329" w:rsidRPr="002029AF">
        <w:t xml:space="preserve"> </w:t>
      </w:r>
      <w:r w:rsidRPr="002029AF">
        <w:t>as</w:t>
      </w:r>
      <w:r w:rsidR="000A5329" w:rsidRPr="002029AF">
        <w:t xml:space="preserve"> </w:t>
      </w:r>
      <w:r w:rsidRPr="002029AF">
        <w:t>well</w:t>
      </w:r>
      <w:r w:rsidR="000A5329" w:rsidRPr="002029AF">
        <w:t xml:space="preserve"> </w:t>
      </w:r>
      <w:r w:rsidRPr="002029AF">
        <w:t>as</w:t>
      </w:r>
      <w:r w:rsidR="000A5329" w:rsidRPr="002029AF">
        <w:t xml:space="preserve"> </w:t>
      </w:r>
      <w:r w:rsidRPr="002029AF">
        <w:t>potential</w:t>
      </w:r>
      <w:r w:rsidR="000A5329" w:rsidRPr="002029AF">
        <w:t xml:space="preserve"> </w:t>
      </w:r>
      <w:r w:rsidRPr="002029AF">
        <w:t>public</w:t>
      </w:r>
      <w:r w:rsidR="000A5329" w:rsidRPr="002029AF">
        <w:t xml:space="preserve"> </w:t>
      </w:r>
      <w:r w:rsidRPr="002029AF">
        <w:t>health</w:t>
      </w:r>
      <w:r w:rsidR="000A5329" w:rsidRPr="002029AF">
        <w:t xml:space="preserve"> </w:t>
      </w:r>
      <w:r w:rsidRPr="002029AF">
        <w:t>risks</w:t>
      </w:r>
      <w:r w:rsidR="000A5329" w:rsidRPr="002029AF">
        <w:t xml:space="preserve"> </w:t>
      </w:r>
      <w:r w:rsidRPr="002029AF">
        <w:t>to</w:t>
      </w:r>
      <w:r w:rsidR="000A5329" w:rsidRPr="002029AF">
        <w:t xml:space="preserve"> </w:t>
      </w:r>
      <w:r w:rsidRPr="002029AF">
        <w:t>our</w:t>
      </w:r>
      <w:r w:rsidR="000A5329" w:rsidRPr="002029AF">
        <w:t xml:space="preserve"> </w:t>
      </w:r>
      <w:r w:rsidRPr="002029AF">
        <w:t>staff,</w:t>
      </w:r>
      <w:r w:rsidR="000A5329" w:rsidRPr="002029AF">
        <w:t xml:space="preserve"> </w:t>
      </w:r>
      <w:r w:rsidRPr="002029AF">
        <w:t>our</w:t>
      </w:r>
      <w:r w:rsidR="000A5329" w:rsidRPr="002029AF">
        <w:t xml:space="preserve"> </w:t>
      </w:r>
      <w:r w:rsidRPr="002029AF">
        <w:t>clients</w:t>
      </w:r>
      <w:r w:rsidR="000A5329" w:rsidRPr="002029AF">
        <w:t xml:space="preserve"> </w:t>
      </w:r>
      <w:r w:rsidRPr="002029AF">
        <w:t>and</w:t>
      </w:r>
      <w:r w:rsidR="000A5329" w:rsidRPr="002029AF">
        <w:t xml:space="preserve"> </w:t>
      </w:r>
      <w:r w:rsidRPr="002029AF">
        <w:t>the</w:t>
      </w:r>
      <w:r w:rsidR="000A5329" w:rsidRPr="002029AF">
        <w:t xml:space="preserve"> </w:t>
      </w:r>
      <w:r w:rsidRPr="002029AF">
        <w:t>broader</w:t>
      </w:r>
      <w:r w:rsidR="000A5329" w:rsidRPr="002029AF">
        <w:t xml:space="preserve"> </w:t>
      </w:r>
      <w:r w:rsidRPr="002029AF">
        <w:t>Victorian</w:t>
      </w:r>
      <w:r w:rsidR="000A5329" w:rsidRPr="002029AF">
        <w:t xml:space="preserve"> </w:t>
      </w:r>
      <w:r w:rsidRPr="002029AF">
        <w:t>community.</w:t>
      </w:r>
    </w:p>
    <w:p w14:paraId="03D3B10E" w14:textId="56F82167" w:rsidR="00CF72D5" w:rsidRPr="002029AF" w:rsidRDefault="00CF72D5" w:rsidP="005A6B8E">
      <w:pPr>
        <w:pStyle w:val="ARbody"/>
      </w:pPr>
      <w:r w:rsidRPr="002029AF">
        <w:t>In</w:t>
      </w:r>
      <w:r w:rsidR="000A5329" w:rsidRPr="002029AF">
        <w:t xml:space="preserve"> </w:t>
      </w:r>
      <w:r w:rsidRPr="002029AF">
        <w:t>2019–20,</w:t>
      </w:r>
      <w:r w:rsidR="000A5329" w:rsidRPr="002029AF">
        <w:t xml:space="preserve"> </w:t>
      </w:r>
      <w:r w:rsidRPr="002029AF">
        <w:t>the</w:t>
      </w:r>
      <w:r w:rsidR="000A5329" w:rsidRPr="002029AF">
        <w:t xml:space="preserve"> </w:t>
      </w:r>
      <w:r w:rsidRPr="002029AF">
        <w:t>department:</w:t>
      </w:r>
    </w:p>
    <w:p w14:paraId="2BBBD2E8" w14:textId="67AC7DD8" w:rsidR="000A5329" w:rsidRPr="002029AF" w:rsidRDefault="00CF72D5" w:rsidP="005A6B8E">
      <w:pPr>
        <w:pStyle w:val="ARbullet1"/>
      </w:pPr>
      <w:r w:rsidRPr="002029AF">
        <w:t>continued</w:t>
      </w:r>
      <w:r w:rsidR="000A5329" w:rsidRPr="002029AF">
        <w:t xml:space="preserve"> </w:t>
      </w:r>
      <w:r w:rsidRPr="002029AF">
        <w:t>the</w:t>
      </w:r>
      <w:r w:rsidR="000A5329" w:rsidRPr="002029AF">
        <w:t xml:space="preserve"> </w:t>
      </w:r>
      <w:r w:rsidRPr="002029AF">
        <w:t>Simply</w:t>
      </w:r>
      <w:r w:rsidR="000A5329" w:rsidRPr="002029AF">
        <w:t xml:space="preserve"> </w:t>
      </w:r>
      <w:r w:rsidRPr="002029AF">
        <w:t>Cups</w:t>
      </w:r>
      <w:r w:rsidR="000A5329" w:rsidRPr="002029AF">
        <w:t xml:space="preserve"> </w:t>
      </w:r>
      <w:r w:rsidRPr="002029AF">
        <w:t>coffee–cup</w:t>
      </w:r>
      <w:r w:rsidR="000A5329" w:rsidRPr="002029AF">
        <w:t xml:space="preserve"> </w:t>
      </w:r>
      <w:r w:rsidRPr="002029AF">
        <w:t>recycling</w:t>
      </w:r>
      <w:r w:rsidR="000A5329" w:rsidRPr="002029AF">
        <w:t xml:space="preserve"> </w:t>
      </w:r>
      <w:r w:rsidRPr="002029AF">
        <w:t>program,</w:t>
      </w:r>
      <w:r w:rsidR="000A5329" w:rsidRPr="002029AF">
        <w:t xml:space="preserve"> </w:t>
      </w:r>
      <w:r w:rsidRPr="002029AF">
        <w:t>diverting</w:t>
      </w:r>
      <w:r w:rsidR="000A5329" w:rsidRPr="002029AF">
        <w:t xml:space="preserve"> </w:t>
      </w:r>
      <w:r w:rsidRPr="002029AF">
        <w:t>a</w:t>
      </w:r>
      <w:r w:rsidR="000A5329" w:rsidRPr="002029AF">
        <w:t xml:space="preserve"> </w:t>
      </w:r>
      <w:r w:rsidRPr="002029AF">
        <w:t>further</w:t>
      </w:r>
      <w:r w:rsidR="000A5329" w:rsidRPr="002029AF">
        <w:t xml:space="preserve"> </w:t>
      </w:r>
      <w:r w:rsidRPr="002029AF">
        <w:t>87,000</w:t>
      </w:r>
      <w:r w:rsidR="000A5329" w:rsidRPr="002029AF">
        <w:t xml:space="preserve"> </w:t>
      </w:r>
      <w:r w:rsidRPr="002029AF">
        <w:t>cups</w:t>
      </w:r>
      <w:r w:rsidR="000A5329" w:rsidRPr="002029AF">
        <w:t xml:space="preserve"> </w:t>
      </w:r>
      <w:r w:rsidRPr="002029AF">
        <w:t>from</w:t>
      </w:r>
      <w:r w:rsidR="000A5329" w:rsidRPr="002029AF">
        <w:t xml:space="preserve"> </w:t>
      </w:r>
      <w:r w:rsidRPr="002029AF">
        <w:t>landfill.</w:t>
      </w:r>
      <w:r w:rsidR="000A5329" w:rsidRPr="002029AF">
        <w:t xml:space="preserve"> </w:t>
      </w:r>
      <w:r w:rsidRPr="002029AF">
        <w:t>In</w:t>
      </w:r>
      <w:r w:rsidR="000A5329" w:rsidRPr="002029AF">
        <w:t xml:space="preserve"> </w:t>
      </w:r>
      <w:r w:rsidRPr="002029AF">
        <w:t>total</w:t>
      </w:r>
      <w:r w:rsidR="000A5329" w:rsidRPr="002029AF">
        <w:t xml:space="preserve"> </w:t>
      </w:r>
      <w:r w:rsidRPr="002029AF">
        <w:t>we</w:t>
      </w:r>
      <w:r w:rsidR="000A5329" w:rsidRPr="002029AF">
        <w:t xml:space="preserve"> </w:t>
      </w:r>
      <w:r w:rsidRPr="002029AF">
        <w:t>have</w:t>
      </w:r>
      <w:r w:rsidR="000A5329" w:rsidRPr="002029AF">
        <w:t xml:space="preserve"> </w:t>
      </w:r>
      <w:r w:rsidRPr="002029AF">
        <w:t>collected</w:t>
      </w:r>
      <w:r w:rsidR="000A5329" w:rsidRPr="002029AF">
        <w:t xml:space="preserve"> </w:t>
      </w:r>
      <w:r w:rsidRPr="002029AF">
        <w:t>more</w:t>
      </w:r>
      <w:r w:rsidR="000A5329" w:rsidRPr="002029AF">
        <w:t xml:space="preserve"> </w:t>
      </w:r>
      <w:r w:rsidRPr="002029AF">
        <w:t>than</w:t>
      </w:r>
      <w:r w:rsidR="000A5329" w:rsidRPr="002029AF">
        <w:t xml:space="preserve"> </w:t>
      </w:r>
      <w:r w:rsidRPr="002029AF">
        <w:t>458,000</w:t>
      </w:r>
      <w:r w:rsidR="000A5329" w:rsidRPr="002029AF">
        <w:t xml:space="preserve"> </w:t>
      </w:r>
      <w:r w:rsidRPr="002029AF">
        <w:t>cups</w:t>
      </w:r>
      <w:r w:rsidR="000A5329" w:rsidRPr="002029AF">
        <w:t xml:space="preserve"> </w:t>
      </w:r>
      <w:r w:rsidRPr="002029AF">
        <w:t>since</w:t>
      </w:r>
      <w:r w:rsidR="000A5329" w:rsidRPr="002029AF">
        <w:t xml:space="preserve"> </w:t>
      </w:r>
      <w:r w:rsidRPr="002029AF">
        <w:t>2017</w:t>
      </w:r>
    </w:p>
    <w:p w14:paraId="7A462B26" w14:textId="3C6E1E61" w:rsidR="00CF72D5" w:rsidRPr="002029AF" w:rsidRDefault="00CF72D5" w:rsidP="005A6B8E">
      <w:pPr>
        <w:pStyle w:val="ARbullet1"/>
      </w:pPr>
      <w:r w:rsidRPr="002029AF">
        <w:t>commenced</w:t>
      </w:r>
      <w:r w:rsidR="000A5329" w:rsidRPr="002029AF">
        <w:t xml:space="preserve"> </w:t>
      </w:r>
      <w:r w:rsidRPr="002029AF">
        <w:t>a</w:t>
      </w:r>
      <w:r w:rsidR="000A5329" w:rsidRPr="002029AF">
        <w:t xml:space="preserve"> </w:t>
      </w:r>
      <w:r w:rsidRPr="002029AF">
        <w:t>collections</w:t>
      </w:r>
      <w:r w:rsidR="000A5329" w:rsidRPr="002029AF">
        <w:t xml:space="preserve"> </w:t>
      </w:r>
      <w:r w:rsidRPr="002029AF">
        <w:t>pilot</w:t>
      </w:r>
      <w:r w:rsidR="000A5329" w:rsidRPr="002029AF">
        <w:t xml:space="preserve"> </w:t>
      </w:r>
      <w:r w:rsidRPr="002029AF">
        <w:t>for</w:t>
      </w:r>
      <w:r w:rsidR="000A5329" w:rsidRPr="002029AF">
        <w:t xml:space="preserve"> </w:t>
      </w:r>
      <w:r w:rsidRPr="002029AF">
        <w:t>recycling</w:t>
      </w:r>
      <w:r w:rsidR="000A5329" w:rsidRPr="002029AF">
        <w:t xml:space="preserve"> </w:t>
      </w:r>
      <w:r w:rsidRPr="002029AF">
        <w:t>of</w:t>
      </w:r>
      <w:r w:rsidR="000A5329" w:rsidRPr="002029AF">
        <w:t xml:space="preserve"> </w:t>
      </w:r>
      <w:r w:rsidRPr="002029AF">
        <w:t>soft</w:t>
      </w:r>
      <w:r w:rsidR="000A5329" w:rsidRPr="002029AF">
        <w:t xml:space="preserve"> </w:t>
      </w:r>
      <w:r w:rsidRPr="002029AF">
        <w:t>plastics</w:t>
      </w:r>
      <w:r w:rsidR="000A5329" w:rsidRPr="002029AF">
        <w:t xml:space="preserve"> </w:t>
      </w:r>
      <w:r w:rsidRPr="002029AF">
        <w:t>at</w:t>
      </w:r>
      <w:r w:rsidR="000A5329" w:rsidRPr="002029AF">
        <w:t xml:space="preserve"> </w:t>
      </w:r>
      <w:r w:rsidRPr="002029AF">
        <w:t>50</w:t>
      </w:r>
      <w:r w:rsidR="000A5329" w:rsidRPr="002029AF">
        <w:t xml:space="preserve"> </w:t>
      </w:r>
      <w:r w:rsidRPr="002029AF">
        <w:t>Lonsdale</w:t>
      </w:r>
      <w:r w:rsidR="000A5329" w:rsidRPr="002029AF">
        <w:t xml:space="preserve"> </w:t>
      </w:r>
      <w:r w:rsidRPr="002029AF">
        <w:t>Street,</w:t>
      </w:r>
      <w:r w:rsidR="000A5329" w:rsidRPr="002029AF">
        <w:t xml:space="preserve"> </w:t>
      </w:r>
      <w:r w:rsidRPr="002029AF">
        <w:t>Melbourne.</w:t>
      </w:r>
      <w:r w:rsidR="000A5329" w:rsidRPr="002029AF">
        <w:t xml:space="preserve"> </w:t>
      </w:r>
      <w:r w:rsidRPr="002029AF">
        <w:t>Collections</w:t>
      </w:r>
      <w:r w:rsidR="000A5329" w:rsidRPr="002029AF">
        <w:t xml:space="preserve"> </w:t>
      </w:r>
      <w:r w:rsidRPr="002029AF">
        <w:t>were</w:t>
      </w:r>
      <w:r w:rsidR="000A5329" w:rsidRPr="002029AF">
        <w:t xml:space="preserve"> </w:t>
      </w:r>
      <w:r w:rsidRPr="002029AF">
        <w:t>undertaken</w:t>
      </w:r>
      <w:r w:rsidR="000A5329" w:rsidRPr="002029AF">
        <w:t xml:space="preserve"> </w:t>
      </w:r>
      <w:r w:rsidRPr="002029AF">
        <w:t>by</w:t>
      </w:r>
      <w:r w:rsidR="000A5329" w:rsidRPr="002029AF">
        <w:t xml:space="preserve"> </w:t>
      </w:r>
      <w:r w:rsidRPr="002029AF">
        <w:t>the</w:t>
      </w:r>
      <w:r w:rsidR="000A5329" w:rsidRPr="002029AF">
        <w:t xml:space="preserve"> </w:t>
      </w:r>
      <w:r w:rsidRPr="002029AF">
        <w:t>department</w:t>
      </w:r>
      <w:r w:rsidR="005F298C">
        <w:t>’</w:t>
      </w:r>
      <w:r w:rsidRPr="002029AF">
        <w:t>s</w:t>
      </w:r>
      <w:r w:rsidR="000A5329" w:rsidRPr="002029AF">
        <w:t xml:space="preserve"> </w:t>
      </w:r>
      <w:r w:rsidRPr="002029AF">
        <w:t>Future</w:t>
      </w:r>
      <w:r w:rsidR="000A5329" w:rsidRPr="002029AF">
        <w:t xml:space="preserve"> </w:t>
      </w:r>
      <w:r w:rsidRPr="002029AF">
        <w:t>Sustainability</w:t>
      </w:r>
      <w:r w:rsidR="000A5329" w:rsidRPr="002029AF">
        <w:t xml:space="preserve"> </w:t>
      </w:r>
      <w:r w:rsidRPr="002029AF">
        <w:t>Committee</w:t>
      </w:r>
      <w:r w:rsidR="000A5329" w:rsidRPr="002029AF">
        <w:t xml:space="preserve"> </w:t>
      </w:r>
      <w:r w:rsidRPr="002029AF">
        <w:t>volunteer</w:t>
      </w:r>
      <w:r w:rsidR="000A5329" w:rsidRPr="002029AF">
        <w:t xml:space="preserve"> </w:t>
      </w:r>
      <w:r w:rsidRPr="002029AF">
        <w:t>network</w:t>
      </w:r>
      <w:r w:rsidR="000A5329" w:rsidRPr="002029AF">
        <w:t xml:space="preserve"> </w:t>
      </w:r>
      <w:r w:rsidRPr="002029AF">
        <w:t>and</w:t>
      </w:r>
      <w:r w:rsidR="000A5329" w:rsidRPr="002029AF">
        <w:t xml:space="preserve"> </w:t>
      </w:r>
      <w:r w:rsidRPr="002029AF">
        <w:t>successfully</w:t>
      </w:r>
      <w:r w:rsidR="000A5329" w:rsidRPr="002029AF">
        <w:t xml:space="preserve"> </w:t>
      </w:r>
      <w:r w:rsidRPr="002029AF">
        <w:t>diverted</w:t>
      </w:r>
      <w:r w:rsidR="000A5329" w:rsidRPr="002029AF">
        <w:t xml:space="preserve"> </w:t>
      </w:r>
      <w:r w:rsidRPr="002029AF">
        <w:t>a</w:t>
      </w:r>
      <w:r w:rsidR="000A5329" w:rsidRPr="002029AF">
        <w:t xml:space="preserve"> </w:t>
      </w:r>
      <w:r w:rsidRPr="002029AF">
        <w:t>variety</w:t>
      </w:r>
      <w:r w:rsidR="000A5329" w:rsidRPr="002029AF">
        <w:t xml:space="preserve"> </w:t>
      </w:r>
      <w:r w:rsidRPr="002029AF">
        <w:t>of</w:t>
      </w:r>
      <w:r w:rsidR="000A5329" w:rsidRPr="002029AF">
        <w:t xml:space="preserve"> </w:t>
      </w:r>
      <w:r w:rsidRPr="002029AF">
        <w:t>single-use</w:t>
      </w:r>
      <w:r w:rsidR="000A5329" w:rsidRPr="002029AF">
        <w:t xml:space="preserve"> </w:t>
      </w:r>
      <w:r w:rsidRPr="002029AF">
        <w:t>plastics</w:t>
      </w:r>
      <w:r w:rsidR="000A5329" w:rsidRPr="002029AF">
        <w:t xml:space="preserve"> </w:t>
      </w:r>
      <w:r w:rsidRPr="002029AF">
        <w:t>out</w:t>
      </w:r>
      <w:r w:rsidR="000A5329" w:rsidRPr="002029AF">
        <w:t xml:space="preserve"> </w:t>
      </w:r>
      <w:r w:rsidRPr="002029AF">
        <w:t>of</w:t>
      </w:r>
      <w:r w:rsidR="000A5329" w:rsidRPr="002029AF">
        <w:t xml:space="preserve"> </w:t>
      </w:r>
      <w:r w:rsidRPr="002029AF">
        <w:t>landfill</w:t>
      </w:r>
      <w:r w:rsidR="000A5329" w:rsidRPr="002029AF">
        <w:t xml:space="preserve"> </w:t>
      </w:r>
      <w:r w:rsidRPr="002029AF">
        <w:t>waste,</w:t>
      </w:r>
      <w:r w:rsidR="000A5329" w:rsidRPr="002029AF">
        <w:t xml:space="preserve"> </w:t>
      </w:r>
      <w:r w:rsidRPr="002029AF">
        <w:t>prior</w:t>
      </w:r>
      <w:r w:rsidR="000A5329" w:rsidRPr="002029AF">
        <w:t xml:space="preserve"> </w:t>
      </w:r>
      <w:r w:rsidRPr="002029AF">
        <w:t>to</w:t>
      </w:r>
      <w:r w:rsidR="000A5329" w:rsidRPr="002029AF">
        <w:t xml:space="preserve"> </w:t>
      </w:r>
      <w:r w:rsidRPr="002029AF">
        <w:t>COVID-19</w:t>
      </w:r>
      <w:r w:rsidR="000A5329" w:rsidRPr="002029AF">
        <w:t xml:space="preserve"> </w:t>
      </w:r>
      <w:r w:rsidRPr="002029AF">
        <w:t>disruptions.</w:t>
      </w:r>
      <w:r w:rsidR="000A5329" w:rsidRPr="002029AF">
        <w:t xml:space="preserve"> </w:t>
      </w:r>
      <w:r w:rsidRPr="002029AF">
        <w:t>All</w:t>
      </w:r>
      <w:r w:rsidR="000A5329" w:rsidRPr="002029AF">
        <w:t xml:space="preserve"> </w:t>
      </w:r>
      <w:r w:rsidRPr="002029AF">
        <w:t>soft</w:t>
      </w:r>
      <w:r w:rsidR="000A5329" w:rsidRPr="002029AF">
        <w:t xml:space="preserve"> </w:t>
      </w:r>
      <w:r w:rsidRPr="002029AF">
        <w:t>plastics</w:t>
      </w:r>
      <w:r w:rsidR="000A5329" w:rsidRPr="002029AF">
        <w:t xml:space="preserve"> </w:t>
      </w:r>
      <w:r w:rsidRPr="002029AF">
        <w:t>collected</w:t>
      </w:r>
      <w:r w:rsidR="000A5329" w:rsidRPr="002029AF">
        <w:t xml:space="preserve"> </w:t>
      </w:r>
      <w:r w:rsidRPr="002029AF">
        <w:t>were</w:t>
      </w:r>
      <w:r w:rsidR="000A5329" w:rsidRPr="002029AF">
        <w:t xml:space="preserve"> </w:t>
      </w:r>
      <w:r w:rsidRPr="002029AF">
        <w:t>transferred</w:t>
      </w:r>
      <w:r w:rsidR="000A5329" w:rsidRPr="002029AF">
        <w:t xml:space="preserve"> </w:t>
      </w:r>
      <w:r w:rsidRPr="002029AF">
        <w:t>to</w:t>
      </w:r>
      <w:r w:rsidR="000A5329" w:rsidRPr="002029AF">
        <w:t xml:space="preserve"> </w:t>
      </w:r>
      <w:r w:rsidR="000343EC" w:rsidRPr="002029AF">
        <w:t>Recycle</w:t>
      </w:r>
      <w:r w:rsidR="000A5329" w:rsidRPr="002029AF">
        <w:t xml:space="preserve"> </w:t>
      </w:r>
      <w:r w:rsidRPr="002029AF">
        <w:t>drop-off</w:t>
      </w:r>
      <w:r w:rsidR="000A5329" w:rsidRPr="002029AF">
        <w:t xml:space="preserve"> </w:t>
      </w:r>
      <w:r w:rsidRPr="002029AF">
        <w:t>points</w:t>
      </w:r>
      <w:r w:rsidR="000A5329" w:rsidRPr="002029AF">
        <w:t xml:space="preserve"> </w:t>
      </w:r>
      <w:r w:rsidRPr="002029AF">
        <w:t>for</w:t>
      </w:r>
      <w:r w:rsidR="000A5329" w:rsidRPr="002029AF">
        <w:t xml:space="preserve"> </w:t>
      </w:r>
      <w:r w:rsidRPr="002029AF">
        <w:t>processing</w:t>
      </w:r>
    </w:p>
    <w:p w14:paraId="70F23AAD" w14:textId="306FA2AE" w:rsidR="00CF72D5" w:rsidRPr="002029AF" w:rsidRDefault="00CF72D5" w:rsidP="005A6B8E">
      <w:pPr>
        <w:pStyle w:val="ARbullet1"/>
      </w:pPr>
      <w:r w:rsidRPr="002029AF">
        <w:t>worked</w:t>
      </w:r>
      <w:r w:rsidR="000A5329" w:rsidRPr="002029AF">
        <w:t xml:space="preserve"> </w:t>
      </w:r>
      <w:r w:rsidRPr="002029AF">
        <w:t>with</w:t>
      </w:r>
      <w:r w:rsidR="000A5329" w:rsidRPr="002029AF">
        <w:t xml:space="preserve"> </w:t>
      </w:r>
      <w:r w:rsidRPr="002029AF">
        <w:t>the</w:t>
      </w:r>
      <w:r w:rsidR="000A5329" w:rsidRPr="002029AF">
        <w:t xml:space="preserve"> </w:t>
      </w:r>
      <w:r w:rsidRPr="002029AF">
        <w:t>Vinyl</w:t>
      </w:r>
      <w:r w:rsidR="000A5329" w:rsidRPr="002029AF">
        <w:t xml:space="preserve"> </w:t>
      </w:r>
      <w:r w:rsidRPr="002029AF">
        <w:t>Council</w:t>
      </w:r>
      <w:r w:rsidR="000A5329" w:rsidRPr="002029AF">
        <w:t xml:space="preserve"> </w:t>
      </w:r>
      <w:r w:rsidRPr="002029AF">
        <w:t>of</w:t>
      </w:r>
      <w:r w:rsidR="000A5329" w:rsidRPr="002029AF">
        <w:t xml:space="preserve"> </w:t>
      </w:r>
      <w:r w:rsidRPr="002029AF">
        <w:t>Australia</w:t>
      </w:r>
      <w:r w:rsidR="000A5329" w:rsidRPr="002029AF">
        <w:t xml:space="preserve"> </w:t>
      </w:r>
      <w:r w:rsidRPr="002029AF">
        <w:t>to</w:t>
      </w:r>
      <w:r w:rsidR="000A5329" w:rsidRPr="002029AF">
        <w:t xml:space="preserve"> </w:t>
      </w:r>
      <w:r w:rsidRPr="002029AF">
        <w:t>improve</w:t>
      </w:r>
      <w:r w:rsidR="000A5329" w:rsidRPr="002029AF">
        <w:t xml:space="preserve"> </w:t>
      </w:r>
      <w:r w:rsidRPr="002029AF">
        <w:t>PVC</w:t>
      </w:r>
      <w:r w:rsidR="000A5329" w:rsidRPr="002029AF">
        <w:t xml:space="preserve"> </w:t>
      </w:r>
      <w:r w:rsidRPr="002029AF">
        <w:t>recycling</w:t>
      </w:r>
      <w:r w:rsidR="000A5329" w:rsidRPr="002029AF">
        <w:t xml:space="preserve"> </w:t>
      </w:r>
      <w:r w:rsidRPr="002029AF">
        <w:t>in</w:t>
      </w:r>
      <w:r w:rsidR="000A5329" w:rsidRPr="002029AF">
        <w:t xml:space="preserve"> </w:t>
      </w:r>
      <w:r w:rsidRPr="002029AF">
        <w:t>Melbourne’s</w:t>
      </w:r>
      <w:r w:rsidR="000A5329" w:rsidRPr="002029AF">
        <w:t xml:space="preserve"> </w:t>
      </w:r>
      <w:r w:rsidRPr="002029AF">
        <w:t>public</w:t>
      </w:r>
      <w:r w:rsidR="000A5329" w:rsidRPr="002029AF">
        <w:t xml:space="preserve"> </w:t>
      </w:r>
      <w:r w:rsidRPr="002029AF">
        <w:t>hospitals.</w:t>
      </w:r>
      <w:r w:rsidR="000A5329" w:rsidRPr="002029AF">
        <w:t xml:space="preserve"> </w:t>
      </w:r>
      <w:r w:rsidRPr="002029AF">
        <w:t>PVC</w:t>
      </w:r>
      <w:r w:rsidR="000A5329" w:rsidRPr="002029AF">
        <w:t xml:space="preserve"> </w:t>
      </w:r>
      <w:r w:rsidRPr="002029AF">
        <w:t>recycling</w:t>
      </w:r>
      <w:r w:rsidR="000A5329" w:rsidRPr="002029AF">
        <w:t xml:space="preserve"> </w:t>
      </w:r>
      <w:r w:rsidRPr="002029AF">
        <w:t>is</w:t>
      </w:r>
      <w:r w:rsidR="000A5329" w:rsidRPr="002029AF">
        <w:t xml:space="preserve"> </w:t>
      </w:r>
      <w:r w:rsidRPr="002029AF">
        <w:t>now</w:t>
      </w:r>
      <w:r w:rsidR="000A5329" w:rsidRPr="002029AF">
        <w:t xml:space="preserve"> </w:t>
      </w:r>
      <w:r w:rsidRPr="002029AF">
        <w:t>occurring</w:t>
      </w:r>
      <w:r w:rsidR="000A5329" w:rsidRPr="002029AF">
        <w:t xml:space="preserve"> </w:t>
      </w:r>
      <w:r w:rsidRPr="002029AF">
        <w:t>in</w:t>
      </w:r>
      <w:r w:rsidR="000A5329" w:rsidRPr="002029AF">
        <w:t xml:space="preserve"> </w:t>
      </w:r>
      <w:r w:rsidRPr="002029AF">
        <w:t>28</w:t>
      </w:r>
      <w:r w:rsidR="006F2C99" w:rsidRPr="002029AF">
        <w:t> </w:t>
      </w:r>
      <w:r w:rsidRPr="002029AF">
        <w:t>health</w:t>
      </w:r>
      <w:r w:rsidR="000A5329" w:rsidRPr="002029AF">
        <w:t xml:space="preserve"> </w:t>
      </w:r>
      <w:r w:rsidRPr="002029AF">
        <w:t>services</w:t>
      </w:r>
      <w:r w:rsidR="000A5329" w:rsidRPr="002029AF">
        <w:t xml:space="preserve"> </w:t>
      </w:r>
      <w:r w:rsidRPr="002029AF">
        <w:t>across</w:t>
      </w:r>
      <w:r w:rsidR="000A5329" w:rsidRPr="002029AF">
        <w:t xml:space="preserve"> </w:t>
      </w:r>
      <w:r w:rsidRPr="002029AF">
        <w:t>Victoria</w:t>
      </w:r>
    </w:p>
    <w:p w14:paraId="38851F44" w14:textId="37FE171A" w:rsidR="000A5329" w:rsidRPr="002029AF" w:rsidRDefault="00CF72D5" w:rsidP="005A6B8E">
      <w:pPr>
        <w:pStyle w:val="ARbullet1"/>
      </w:pPr>
      <w:r w:rsidRPr="002029AF">
        <w:t>released</w:t>
      </w:r>
      <w:r w:rsidR="000A5329" w:rsidRPr="002029AF">
        <w:t xml:space="preserve"> </w:t>
      </w:r>
      <w:r w:rsidRPr="002029AF">
        <w:t>the</w:t>
      </w:r>
      <w:r w:rsidR="000A5329" w:rsidRPr="002029AF">
        <w:t xml:space="preserve"> </w:t>
      </w:r>
      <w:r w:rsidRPr="002029AF">
        <w:t>Clinical</w:t>
      </w:r>
      <w:r w:rsidR="000A5329" w:rsidRPr="002029AF">
        <w:t xml:space="preserve"> </w:t>
      </w:r>
      <w:r w:rsidRPr="002029AF">
        <w:t>and</w:t>
      </w:r>
      <w:r w:rsidR="000A5329" w:rsidRPr="002029AF">
        <w:t xml:space="preserve"> </w:t>
      </w:r>
      <w:r w:rsidRPr="002029AF">
        <w:t>Related</w:t>
      </w:r>
      <w:r w:rsidR="000A5329" w:rsidRPr="002029AF">
        <w:t xml:space="preserve"> </w:t>
      </w:r>
      <w:r w:rsidRPr="002029AF">
        <w:t>Waste</w:t>
      </w:r>
      <w:r w:rsidR="000A5329" w:rsidRPr="002029AF">
        <w:t xml:space="preserve"> </w:t>
      </w:r>
      <w:r w:rsidRPr="002029AF">
        <w:t>Guidance</w:t>
      </w:r>
      <w:r w:rsidR="000A5329" w:rsidRPr="002029AF">
        <w:t xml:space="preserve"> </w:t>
      </w:r>
      <w:r w:rsidRPr="002029AF">
        <w:t>Supplement</w:t>
      </w:r>
      <w:r w:rsidR="000A5329" w:rsidRPr="002029AF">
        <w:t xml:space="preserve"> </w:t>
      </w:r>
      <w:r w:rsidRPr="002029AF">
        <w:t>for</w:t>
      </w:r>
      <w:r w:rsidR="000A5329" w:rsidRPr="002029AF">
        <w:t xml:space="preserve"> </w:t>
      </w:r>
      <w:r w:rsidRPr="002029AF">
        <w:t>healthcare</w:t>
      </w:r>
      <w:r w:rsidR="000A5329" w:rsidRPr="002029AF">
        <w:t xml:space="preserve"> </w:t>
      </w:r>
      <w:r w:rsidRPr="002029AF">
        <w:t>staff</w:t>
      </w:r>
      <w:r w:rsidR="000A5329" w:rsidRPr="002029AF">
        <w:t xml:space="preserve"> </w:t>
      </w:r>
      <w:r w:rsidRPr="002029AF">
        <w:t>to</w:t>
      </w:r>
      <w:r w:rsidR="000A5329" w:rsidRPr="002029AF">
        <w:t xml:space="preserve"> </w:t>
      </w:r>
      <w:r w:rsidRPr="002029AF">
        <w:t>provide</w:t>
      </w:r>
      <w:r w:rsidR="000A5329" w:rsidRPr="002029AF">
        <w:t xml:space="preserve"> </w:t>
      </w:r>
      <w:r w:rsidRPr="002029AF">
        <w:t>Victorian</w:t>
      </w:r>
      <w:r w:rsidR="000A5329" w:rsidRPr="002029AF">
        <w:t xml:space="preserve"> </w:t>
      </w:r>
      <w:r w:rsidRPr="002029AF">
        <w:t>hospitals</w:t>
      </w:r>
      <w:r w:rsidR="000A5329" w:rsidRPr="002029AF">
        <w:t xml:space="preserve"> </w:t>
      </w:r>
      <w:r w:rsidRPr="002029AF">
        <w:t>and</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with</w:t>
      </w:r>
      <w:r w:rsidR="000A5329" w:rsidRPr="002029AF">
        <w:t xml:space="preserve"> </w:t>
      </w:r>
      <w:r w:rsidRPr="002029AF">
        <w:t>a</w:t>
      </w:r>
      <w:r w:rsidR="000A5329" w:rsidRPr="002029AF">
        <w:t xml:space="preserve"> </w:t>
      </w:r>
      <w:r w:rsidRPr="002029AF">
        <w:t>practical</w:t>
      </w:r>
      <w:r w:rsidR="000A5329" w:rsidRPr="002029AF">
        <w:t xml:space="preserve"> </w:t>
      </w:r>
      <w:r w:rsidRPr="002029AF">
        <w:t>decision-making</w:t>
      </w:r>
      <w:r w:rsidR="000A5329" w:rsidRPr="002029AF">
        <w:t xml:space="preserve"> </w:t>
      </w:r>
      <w:r w:rsidRPr="002029AF">
        <w:t>process</w:t>
      </w:r>
      <w:r w:rsidR="000A5329" w:rsidRPr="002029AF">
        <w:t xml:space="preserve"> </w:t>
      </w:r>
      <w:r w:rsidRPr="002029AF">
        <w:t>in</w:t>
      </w:r>
      <w:r w:rsidR="000A5329" w:rsidRPr="002029AF">
        <w:t xml:space="preserve"> </w:t>
      </w:r>
      <w:r w:rsidRPr="002029AF">
        <w:t>clinical</w:t>
      </w:r>
      <w:r w:rsidR="000A5329" w:rsidRPr="002029AF">
        <w:t xml:space="preserve"> </w:t>
      </w:r>
      <w:r w:rsidRPr="002029AF">
        <w:t>settings</w:t>
      </w:r>
      <w:r w:rsidR="000A5329" w:rsidRPr="002029AF">
        <w:t xml:space="preserve"> </w:t>
      </w:r>
      <w:r w:rsidRPr="002029AF">
        <w:t>for</w:t>
      </w:r>
      <w:r w:rsidR="000A5329" w:rsidRPr="002029AF">
        <w:t xml:space="preserve"> </w:t>
      </w:r>
      <w:r w:rsidRPr="002029AF">
        <w:t>identifying</w:t>
      </w:r>
      <w:r w:rsidR="000A5329" w:rsidRPr="002029AF">
        <w:t xml:space="preserve"> </w:t>
      </w:r>
      <w:r w:rsidRPr="002029AF">
        <w:t>which</w:t>
      </w:r>
      <w:r w:rsidR="000A5329" w:rsidRPr="002029AF">
        <w:t xml:space="preserve"> </w:t>
      </w:r>
      <w:r w:rsidRPr="002029AF">
        <w:t>waste</w:t>
      </w:r>
      <w:r w:rsidR="000A5329" w:rsidRPr="002029AF">
        <w:t xml:space="preserve"> </w:t>
      </w:r>
      <w:r w:rsidRPr="002029AF">
        <w:t>items</w:t>
      </w:r>
      <w:r w:rsidR="000A5329" w:rsidRPr="002029AF">
        <w:t xml:space="preserve"> </w:t>
      </w:r>
      <w:r w:rsidRPr="002029AF">
        <w:t>are</w:t>
      </w:r>
      <w:r w:rsidR="000A5329" w:rsidRPr="002029AF">
        <w:t xml:space="preserve"> </w:t>
      </w:r>
      <w:r w:rsidRPr="002029AF">
        <w:t>clinical</w:t>
      </w:r>
      <w:r w:rsidR="000A5329" w:rsidRPr="002029AF">
        <w:t xml:space="preserve"> </w:t>
      </w:r>
      <w:r w:rsidRPr="002029AF">
        <w:t>waste,</w:t>
      </w:r>
      <w:r w:rsidR="000A5329" w:rsidRPr="002029AF">
        <w:t xml:space="preserve"> </w:t>
      </w:r>
      <w:r w:rsidRPr="002029AF">
        <w:t>landfill</w:t>
      </w:r>
      <w:r w:rsidR="000A5329" w:rsidRPr="002029AF">
        <w:t xml:space="preserve"> </w:t>
      </w:r>
      <w:r w:rsidRPr="002029AF">
        <w:t>waste</w:t>
      </w:r>
      <w:r w:rsidR="000A5329" w:rsidRPr="002029AF">
        <w:t xml:space="preserve"> </w:t>
      </w:r>
      <w:r w:rsidRPr="002029AF">
        <w:t>or</w:t>
      </w:r>
      <w:r w:rsidR="000A5329" w:rsidRPr="002029AF">
        <w:t xml:space="preserve"> </w:t>
      </w:r>
      <w:r w:rsidRPr="002029AF">
        <w:t>recyclable</w:t>
      </w:r>
    </w:p>
    <w:p w14:paraId="066E3DFA" w14:textId="29C923F4" w:rsidR="00CF72D5" w:rsidRPr="002029AF" w:rsidRDefault="00CF72D5" w:rsidP="005A6B8E">
      <w:pPr>
        <w:pStyle w:val="ARbullet1"/>
      </w:pPr>
      <w:r w:rsidRPr="002029AF">
        <w:t>held</w:t>
      </w:r>
      <w:r w:rsidR="000A5329" w:rsidRPr="002029AF">
        <w:t xml:space="preserve"> </w:t>
      </w:r>
      <w:r w:rsidRPr="002029AF">
        <w:t>seven</w:t>
      </w:r>
      <w:r w:rsidR="000A5329" w:rsidRPr="002029AF">
        <w:t xml:space="preserve"> </w:t>
      </w:r>
      <w:r w:rsidRPr="002029AF">
        <w:t>‘Waste</w:t>
      </w:r>
      <w:r w:rsidR="000A5329" w:rsidRPr="002029AF">
        <w:t xml:space="preserve"> </w:t>
      </w:r>
      <w:r w:rsidRPr="002029AF">
        <w:t>in</w:t>
      </w:r>
      <w:r w:rsidR="000A5329" w:rsidRPr="002029AF">
        <w:t xml:space="preserve"> </w:t>
      </w:r>
      <w:r w:rsidRPr="002029AF">
        <w:t>Healthcare’</w:t>
      </w:r>
      <w:r w:rsidR="000A5329" w:rsidRPr="002029AF">
        <w:t xml:space="preserve"> </w:t>
      </w:r>
      <w:r w:rsidRPr="002029AF">
        <w:t>Workshops</w:t>
      </w:r>
      <w:r w:rsidR="000A5329" w:rsidRPr="002029AF">
        <w:t xml:space="preserve"> </w:t>
      </w:r>
      <w:r w:rsidRPr="002029AF">
        <w:t>in</w:t>
      </w:r>
      <w:r w:rsidR="000A5329" w:rsidRPr="002029AF">
        <w:t xml:space="preserve"> </w:t>
      </w:r>
      <w:r w:rsidRPr="002029AF">
        <w:t>Ballarat,</w:t>
      </w:r>
      <w:r w:rsidR="000A5329" w:rsidRPr="002029AF">
        <w:t xml:space="preserve"> </w:t>
      </w:r>
      <w:r w:rsidRPr="002029AF">
        <w:t>Bendigo,</w:t>
      </w:r>
      <w:r w:rsidR="000A5329" w:rsidRPr="002029AF">
        <w:t xml:space="preserve"> </w:t>
      </w:r>
      <w:r w:rsidRPr="002029AF">
        <w:t>Melbourne,</w:t>
      </w:r>
      <w:r w:rsidR="000A5329" w:rsidRPr="002029AF">
        <w:t xml:space="preserve"> </w:t>
      </w:r>
      <w:r w:rsidRPr="002029AF">
        <w:t>Sale,</w:t>
      </w:r>
      <w:r w:rsidR="000A5329" w:rsidRPr="002029AF">
        <w:t xml:space="preserve"> </w:t>
      </w:r>
      <w:r w:rsidRPr="002029AF">
        <w:t>Wangaratta</w:t>
      </w:r>
      <w:r w:rsidR="000A5329" w:rsidRPr="002029AF">
        <w:t xml:space="preserve"> </w:t>
      </w:r>
      <w:r w:rsidRPr="002029AF">
        <w:t>and</w:t>
      </w:r>
      <w:r w:rsidR="000A5329" w:rsidRPr="002029AF">
        <w:t xml:space="preserve"> </w:t>
      </w:r>
      <w:r w:rsidRPr="002029AF">
        <w:t>Warrnambool,</w:t>
      </w:r>
      <w:r w:rsidR="000A5329" w:rsidRPr="002029AF">
        <w:t xml:space="preserve"> </w:t>
      </w:r>
      <w:r w:rsidRPr="002029AF">
        <w:t>in</w:t>
      </w:r>
      <w:r w:rsidR="000A5329" w:rsidRPr="002029AF">
        <w:t xml:space="preserve"> </w:t>
      </w:r>
      <w:r w:rsidRPr="002029AF">
        <w:t>partnership</w:t>
      </w:r>
      <w:r w:rsidR="000A5329" w:rsidRPr="002029AF">
        <w:t xml:space="preserve"> </w:t>
      </w:r>
      <w:r w:rsidRPr="002029AF">
        <w:t>with</w:t>
      </w:r>
      <w:r w:rsidR="000A5329" w:rsidRPr="002029AF">
        <w:t xml:space="preserve"> </w:t>
      </w:r>
      <w:r w:rsidRPr="002029AF">
        <w:t>Sustainability</w:t>
      </w:r>
      <w:r w:rsidR="000A5329" w:rsidRPr="002029AF">
        <w:t xml:space="preserve"> </w:t>
      </w:r>
      <w:r w:rsidRPr="002029AF">
        <w:t>Victoria.</w:t>
      </w:r>
      <w:r w:rsidR="000A5329" w:rsidRPr="002029AF">
        <w:t xml:space="preserve"> </w:t>
      </w:r>
      <w:r w:rsidRPr="002029AF">
        <w:t>The</w:t>
      </w:r>
      <w:r w:rsidR="000A5329" w:rsidRPr="002029AF">
        <w:t xml:space="preserve"> </w:t>
      </w:r>
      <w:r w:rsidRPr="002029AF">
        <w:t>workshops</w:t>
      </w:r>
      <w:r w:rsidR="000A5329" w:rsidRPr="002029AF">
        <w:t xml:space="preserve"> </w:t>
      </w:r>
      <w:r w:rsidRPr="002029AF">
        <w:t>were</w:t>
      </w:r>
      <w:r w:rsidR="000A5329" w:rsidRPr="002029AF">
        <w:t xml:space="preserve"> </w:t>
      </w:r>
      <w:r w:rsidRPr="002029AF">
        <w:t>attended</w:t>
      </w:r>
      <w:r w:rsidR="000A5329" w:rsidRPr="002029AF">
        <w:t xml:space="preserve"> </w:t>
      </w:r>
      <w:r w:rsidRPr="002029AF">
        <w:t>by</w:t>
      </w:r>
      <w:r w:rsidR="000A5329" w:rsidRPr="002029AF">
        <w:t xml:space="preserve"> </w:t>
      </w:r>
      <w:r w:rsidRPr="002029AF">
        <w:t>167</w:t>
      </w:r>
      <w:r w:rsidR="000A5329" w:rsidRPr="002029AF">
        <w:t xml:space="preserve"> </w:t>
      </w:r>
      <w:r w:rsidRPr="002029AF">
        <w:t>staff</w:t>
      </w:r>
      <w:r w:rsidR="000A5329" w:rsidRPr="002029AF">
        <w:t xml:space="preserve"> </w:t>
      </w:r>
      <w:r w:rsidRPr="002029AF">
        <w:t>from</w:t>
      </w:r>
      <w:r w:rsidR="000A5329" w:rsidRPr="002029AF">
        <w:t xml:space="preserve"> </w:t>
      </w:r>
      <w:r w:rsidRPr="002029AF">
        <w:t>40</w:t>
      </w:r>
      <w:r w:rsidR="000A5329" w:rsidRPr="002029AF">
        <w:t xml:space="preserve"> </w:t>
      </w:r>
      <w:r w:rsidRPr="002029AF">
        <w:t>public</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15</w:t>
      </w:r>
      <w:r w:rsidR="000A5329" w:rsidRPr="002029AF">
        <w:t xml:space="preserve"> </w:t>
      </w:r>
      <w:r w:rsidRPr="002029AF">
        <w:t>private</w:t>
      </w:r>
      <w:r w:rsidR="000A5329" w:rsidRPr="002029AF">
        <w:t xml:space="preserve"> </w:t>
      </w:r>
      <w:r w:rsidRPr="002029AF">
        <w:t>hospitals</w:t>
      </w:r>
      <w:r w:rsidR="000A5329" w:rsidRPr="002029AF">
        <w:t xml:space="preserve"> </w:t>
      </w:r>
      <w:r w:rsidRPr="002029AF">
        <w:t>and</w:t>
      </w:r>
      <w:r w:rsidR="000A5329" w:rsidRPr="002029AF">
        <w:t xml:space="preserve"> </w:t>
      </w:r>
      <w:r w:rsidRPr="002029AF">
        <w:t>Ambulance</w:t>
      </w:r>
      <w:r w:rsidR="000A5329" w:rsidRPr="002029AF">
        <w:t xml:space="preserve"> </w:t>
      </w:r>
      <w:r w:rsidRPr="002029AF">
        <w:t>Victoria.</w:t>
      </w:r>
      <w:r w:rsidR="000A5329" w:rsidRPr="002029AF">
        <w:t xml:space="preserve"> </w:t>
      </w:r>
      <w:r w:rsidRPr="002029AF">
        <w:t>These</w:t>
      </w:r>
      <w:r w:rsidR="000A5329" w:rsidRPr="002029AF">
        <w:t xml:space="preserve"> </w:t>
      </w:r>
      <w:r w:rsidRPr="002029AF">
        <w:t>workshops</w:t>
      </w:r>
      <w:r w:rsidR="000A5329" w:rsidRPr="002029AF">
        <w:t xml:space="preserve"> </w:t>
      </w:r>
      <w:r w:rsidRPr="002029AF">
        <w:t>assisted</w:t>
      </w:r>
      <w:r w:rsidR="000A5329" w:rsidRPr="002029AF">
        <w:t xml:space="preserve"> </w:t>
      </w:r>
      <w:r w:rsidRPr="002029AF">
        <w:t>participants</w:t>
      </w:r>
      <w:r w:rsidR="000A5329" w:rsidRPr="002029AF">
        <w:t xml:space="preserve"> </w:t>
      </w:r>
      <w:r w:rsidRPr="002029AF">
        <w:t>to</w:t>
      </w:r>
      <w:r w:rsidR="000A5329" w:rsidRPr="002029AF">
        <w:t xml:space="preserve"> </w:t>
      </w:r>
      <w:r w:rsidRPr="002029AF">
        <w:t>develop</w:t>
      </w:r>
      <w:r w:rsidR="000A5329" w:rsidRPr="002029AF">
        <w:t xml:space="preserve"> </w:t>
      </w:r>
      <w:r w:rsidRPr="002029AF">
        <w:t>plans</w:t>
      </w:r>
      <w:r w:rsidR="000A5329" w:rsidRPr="002029AF">
        <w:t xml:space="preserve"> </w:t>
      </w:r>
      <w:r w:rsidRPr="002029AF">
        <w:t>for</w:t>
      </w:r>
      <w:r w:rsidR="000A5329" w:rsidRPr="002029AF">
        <w:t xml:space="preserve"> </w:t>
      </w:r>
      <w:r w:rsidRPr="002029AF">
        <w:t>improving</w:t>
      </w:r>
      <w:r w:rsidR="000A5329" w:rsidRPr="002029AF">
        <w:t xml:space="preserve"> </w:t>
      </w:r>
      <w:r w:rsidRPr="002029AF">
        <w:t>waste</w:t>
      </w:r>
      <w:r w:rsidR="000A5329" w:rsidRPr="002029AF">
        <w:t xml:space="preserve"> </w:t>
      </w:r>
      <w:r w:rsidRPr="002029AF">
        <w:t>stream</w:t>
      </w:r>
      <w:r w:rsidR="000A5329" w:rsidRPr="002029AF">
        <w:t xml:space="preserve"> </w:t>
      </w:r>
      <w:r w:rsidRPr="002029AF">
        <w:t>separation</w:t>
      </w:r>
      <w:r w:rsidR="000A5329" w:rsidRPr="002029AF">
        <w:t xml:space="preserve"> </w:t>
      </w:r>
      <w:r w:rsidRPr="002029AF">
        <w:t>and</w:t>
      </w:r>
      <w:r w:rsidR="000A5329" w:rsidRPr="002029AF">
        <w:t xml:space="preserve"> </w:t>
      </w:r>
      <w:r w:rsidRPr="002029AF">
        <w:t>recycling</w:t>
      </w:r>
      <w:r w:rsidR="000A5329" w:rsidRPr="002029AF">
        <w:t xml:space="preserve"> </w:t>
      </w:r>
      <w:r w:rsidRPr="002029AF">
        <w:t>in</w:t>
      </w:r>
      <w:r w:rsidR="000A5329" w:rsidRPr="002029AF">
        <w:t xml:space="preserve"> </w:t>
      </w:r>
      <w:r w:rsidRPr="002029AF">
        <w:t>their</w:t>
      </w:r>
      <w:r w:rsidR="000A5329" w:rsidRPr="002029AF">
        <w:t xml:space="preserve"> </w:t>
      </w:r>
      <w:r w:rsidRPr="002029AF">
        <w:t>hospitals</w:t>
      </w:r>
    </w:p>
    <w:p w14:paraId="4E4C4DFA" w14:textId="0F36B42F" w:rsidR="00CF72D5" w:rsidRPr="002029AF" w:rsidRDefault="00CF72D5" w:rsidP="005A6B8E">
      <w:pPr>
        <w:pStyle w:val="ARbullet1"/>
      </w:pPr>
      <w:r w:rsidRPr="002029AF">
        <w:t>conducted</w:t>
      </w:r>
      <w:r w:rsidR="000A5329" w:rsidRPr="002029AF">
        <w:t xml:space="preserve"> </w:t>
      </w:r>
      <w:r w:rsidRPr="002029AF">
        <w:t>research</w:t>
      </w:r>
      <w:r w:rsidR="000A5329" w:rsidRPr="002029AF">
        <w:t xml:space="preserve"> </w:t>
      </w:r>
      <w:r w:rsidRPr="002029AF">
        <w:t>to</w:t>
      </w:r>
      <w:r w:rsidR="000A5329" w:rsidRPr="002029AF">
        <w:t xml:space="preserve"> </w:t>
      </w:r>
      <w:r w:rsidRPr="002029AF">
        <w:t>identify</w:t>
      </w:r>
      <w:r w:rsidR="000A5329" w:rsidRPr="002029AF">
        <w:t xml:space="preserve"> </w:t>
      </w:r>
      <w:r w:rsidRPr="002029AF">
        <w:t>barriers</w:t>
      </w:r>
      <w:r w:rsidR="000A5329" w:rsidRPr="002029AF">
        <w:t xml:space="preserve"> </w:t>
      </w:r>
      <w:r w:rsidRPr="002029AF">
        <w:t>and</w:t>
      </w:r>
      <w:r w:rsidR="000A5329" w:rsidRPr="002029AF">
        <w:t xml:space="preserve"> </w:t>
      </w:r>
      <w:r w:rsidRPr="002029AF">
        <w:t>opportunities</w:t>
      </w:r>
      <w:r w:rsidR="000A5329" w:rsidRPr="002029AF">
        <w:t xml:space="preserve"> </w:t>
      </w:r>
      <w:r w:rsidRPr="002029AF">
        <w:t>to</w:t>
      </w:r>
      <w:r w:rsidR="000A5329" w:rsidRPr="002029AF">
        <w:t xml:space="preserve"> </w:t>
      </w:r>
      <w:r w:rsidRPr="002029AF">
        <w:t>improve</w:t>
      </w:r>
      <w:r w:rsidR="000A5329" w:rsidRPr="002029AF">
        <w:t xml:space="preserve"> </w:t>
      </w:r>
      <w:r w:rsidRPr="002029AF">
        <w:t>waste</w:t>
      </w:r>
      <w:r w:rsidR="000A5329" w:rsidRPr="002029AF">
        <w:t xml:space="preserve"> </w:t>
      </w:r>
      <w:r w:rsidRPr="002029AF">
        <w:t>management</w:t>
      </w:r>
      <w:r w:rsidR="000A5329" w:rsidRPr="002029AF">
        <w:t xml:space="preserve"> </w:t>
      </w:r>
      <w:r w:rsidRPr="002029AF">
        <w:t>and</w:t>
      </w:r>
      <w:r w:rsidR="000A5329" w:rsidRPr="002029AF">
        <w:t xml:space="preserve"> </w:t>
      </w:r>
      <w:r w:rsidRPr="002029AF">
        <w:t>increase</w:t>
      </w:r>
      <w:r w:rsidR="000A5329" w:rsidRPr="002029AF">
        <w:t xml:space="preserve"> </w:t>
      </w:r>
      <w:r w:rsidRPr="002029AF">
        <w:t>resource</w:t>
      </w:r>
      <w:r w:rsidR="000A5329" w:rsidRPr="002029AF">
        <w:t xml:space="preserve"> </w:t>
      </w:r>
      <w:r w:rsidRPr="002029AF">
        <w:t>recovery</w:t>
      </w:r>
      <w:r w:rsidR="000A5329" w:rsidRPr="002029AF">
        <w:t xml:space="preserve"> </w:t>
      </w:r>
      <w:r w:rsidRPr="002029AF">
        <w:t>in</w:t>
      </w:r>
      <w:r w:rsidR="000A5329" w:rsidRPr="002029AF">
        <w:t xml:space="preserve"> </w:t>
      </w:r>
      <w:r w:rsidRPr="002029AF">
        <w:t>clinical</w:t>
      </w:r>
      <w:r w:rsidR="000A5329" w:rsidRPr="002029AF">
        <w:t xml:space="preserve"> </w:t>
      </w:r>
      <w:r w:rsidRPr="002029AF">
        <w:t>settings.</w:t>
      </w:r>
      <w:r w:rsidR="000A5329" w:rsidRPr="002029AF">
        <w:t xml:space="preserve"> </w:t>
      </w:r>
      <w:r w:rsidRPr="002029AF">
        <w:t>Three</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were</w:t>
      </w:r>
      <w:r w:rsidR="000A5329" w:rsidRPr="002029AF">
        <w:t xml:space="preserve"> </w:t>
      </w:r>
      <w:r w:rsidRPr="002029AF">
        <w:t>involved</w:t>
      </w:r>
      <w:r w:rsidR="000A5329" w:rsidRPr="002029AF">
        <w:t xml:space="preserve"> </w:t>
      </w:r>
      <w:r w:rsidRPr="002029AF">
        <w:t>in</w:t>
      </w:r>
      <w:r w:rsidR="006F2C99" w:rsidRPr="002029AF">
        <w:t> </w:t>
      </w:r>
      <w:r w:rsidRPr="002029AF">
        <w:t>the</w:t>
      </w:r>
      <w:r w:rsidR="000A5329" w:rsidRPr="002029AF">
        <w:t xml:space="preserve"> </w:t>
      </w:r>
      <w:r w:rsidRPr="002029AF">
        <w:t>research</w:t>
      </w:r>
      <w:r w:rsidR="000A5329" w:rsidRPr="002029AF">
        <w:t xml:space="preserve"> </w:t>
      </w:r>
      <w:r w:rsidRPr="002029AF">
        <w:t>with</w:t>
      </w:r>
      <w:r w:rsidR="000A5329" w:rsidRPr="002029AF">
        <w:t xml:space="preserve"> </w:t>
      </w:r>
      <w:r w:rsidRPr="002029AF">
        <w:t>a</w:t>
      </w:r>
      <w:r w:rsidR="000A5329" w:rsidRPr="002029AF">
        <w:t xml:space="preserve"> </w:t>
      </w:r>
      <w:r w:rsidRPr="002029AF">
        <w:t>series</w:t>
      </w:r>
      <w:r w:rsidR="000A5329" w:rsidRPr="002029AF">
        <w:t xml:space="preserve"> </w:t>
      </w:r>
      <w:r w:rsidRPr="002029AF">
        <w:t>of</w:t>
      </w:r>
      <w:r w:rsidR="000A5329" w:rsidRPr="002029AF">
        <w:t xml:space="preserve"> </w:t>
      </w:r>
      <w:r w:rsidRPr="002029AF">
        <w:t>interventions</w:t>
      </w:r>
      <w:r w:rsidR="000A5329" w:rsidRPr="002029AF">
        <w:t xml:space="preserve"> </w:t>
      </w:r>
      <w:r w:rsidRPr="002029AF">
        <w:t>identified</w:t>
      </w:r>
      <w:r w:rsidR="000A5329" w:rsidRPr="002029AF">
        <w:t xml:space="preserve"> </w:t>
      </w:r>
      <w:r w:rsidRPr="002029AF">
        <w:t>and</w:t>
      </w:r>
      <w:r w:rsidR="000A5329" w:rsidRPr="002029AF">
        <w:t xml:space="preserve"> </w:t>
      </w:r>
      <w:r w:rsidRPr="002029AF">
        <w:t>trialled</w:t>
      </w:r>
    </w:p>
    <w:p w14:paraId="60584576" w14:textId="49EE6E6E" w:rsidR="00CF72D5" w:rsidRPr="002029AF" w:rsidRDefault="00CF72D5" w:rsidP="005A6B8E">
      <w:pPr>
        <w:pStyle w:val="ARbullet1"/>
      </w:pPr>
      <w:r w:rsidRPr="002029AF">
        <w:t>set</w:t>
      </w:r>
      <w:r w:rsidR="000A5329" w:rsidRPr="002029AF">
        <w:t xml:space="preserve"> </w:t>
      </w:r>
      <w:r w:rsidRPr="002029AF">
        <w:t>a</w:t>
      </w:r>
      <w:r w:rsidR="000A5329" w:rsidRPr="002029AF">
        <w:t xml:space="preserve"> </w:t>
      </w:r>
      <w:r w:rsidRPr="002029AF">
        <w:t>target</w:t>
      </w:r>
      <w:r w:rsidR="000A5329" w:rsidRPr="002029AF">
        <w:t xml:space="preserve"> </w:t>
      </w:r>
      <w:r w:rsidRPr="002029AF">
        <w:t>to</w:t>
      </w:r>
      <w:r w:rsidR="000A5329" w:rsidRPr="002029AF">
        <w:t xml:space="preserve"> </w:t>
      </w:r>
      <w:r w:rsidRPr="002029AF">
        <w:t>develop</w:t>
      </w:r>
      <w:r w:rsidR="000A5329" w:rsidRPr="002029AF">
        <w:t xml:space="preserve"> </w:t>
      </w:r>
      <w:r w:rsidRPr="002029AF">
        <w:t>a</w:t>
      </w:r>
      <w:r w:rsidR="000A5329" w:rsidRPr="002029AF">
        <w:t xml:space="preserve"> </w:t>
      </w:r>
      <w:r w:rsidRPr="002029AF">
        <w:t>waste</w:t>
      </w:r>
      <w:r w:rsidR="000A5329" w:rsidRPr="002029AF">
        <w:t xml:space="preserve"> </w:t>
      </w:r>
      <w:r w:rsidRPr="002029AF">
        <w:t>signage</w:t>
      </w:r>
      <w:r w:rsidR="000A5329" w:rsidRPr="002029AF">
        <w:t xml:space="preserve"> </w:t>
      </w:r>
      <w:r w:rsidRPr="002029AF">
        <w:t>standard</w:t>
      </w:r>
      <w:r w:rsidR="000A5329" w:rsidRPr="002029AF">
        <w:t xml:space="preserve"> </w:t>
      </w:r>
      <w:r w:rsidRPr="002029AF">
        <w:t>for</w:t>
      </w:r>
      <w:r w:rsidR="000A5329" w:rsidRPr="002029AF">
        <w:t xml:space="preserve"> </w:t>
      </w:r>
      <w:r w:rsidRPr="002029AF">
        <w:t>office</w:t>
      </w:r>
      <w:r w:rsidR="000A5329" w:rsidRPr="002029AF">
        <w:t xml:space="preserve"> </w:t>
      </w:r>
      <w:r w:rsidRPr="002029AF">
        <w:t>kitchens</w:t>
      </w:r>
      <w:r w:rsidR="000A5329" w:rsidRPr="002029AF">
        <w:t xml:space="preserve"> </w:t>
      </w:r>
      <w:r w:rsidRPr="002029AF">
        <w:t>across</w:t>
      </w:r>
      <w:r w:rsidR="000A5329" w:rsidRPr="002029AF">
        <w:t xml:space="preserve"> </w:t>
      </w:r>
      <w:r w:rsidRPr="002029AF">
        <w:t>the</w:t>
      </w:r>
      <w:r w:rsidR="000A5329" w:rsidRPr="002029AF">
        <w:t xml:space="preserve"> </w:t>
      </w:r>
      <w:r w:rsidRPr="002029AF">
        <w:t>state</w:t>
      </w:r>
      <w:r w:rsidR="000A5329" w:rsidRPr="002029AF">
        <w:t xml:space="preserve"> </w:t>
      </w:r>
      <w:r w:rsidRPr="002029AF">
        <w:t>however</w:t>
      </w:r>
      <w:r w:rsidR="000A5329" w:rsidRPr="002029AF">
        <w:t xml:space="preserve"> </w:t>
      </w:r>
      <w:r w:rsidRPr="002029AF">
        <w:t>this</w:t>
      </w:r>
      <w:r w:rsidR="000A5329" w:rsidRPr="002029AF">
        <w:t xml:space="preserve"> </w:t>
      </w:r>
      <w:r w:rsidRPr="002029AF">
        <w:t>was</w:t>
      </w:r>
      <w:r w:rsidR="000A5329" w:rsidRPr="002029AF">
        <w:t xml:space="preserve"> </w:t>
      </w:r>
      <w:r w:rsidRPr="002029AF">
        <w:t>unachievable</w:t>
      </w:r>
      <w:r w:rsidR="000A5329" w:rsidRPr="002029AF">
        <w:t xml:space="preserve"> </w:t>
      </w:r>
      <w:r w:rsidRPr="002029AF">
        <w:t>in</w:t>
      </w:r>
      <w:r w:rsidR="000A5329" w:rsidRPr="002029AF">
        <w:t xml:space="preserve"> </w:t>
      </w:r>
      <w:r w:rsidRPr="002029AF">
        <w:t>the</w:t>
      </w:r>
      <w:r w:rsidR="000A5329" w:rsidRPr="002029AF">
        <w:t xml:space="preserve"> </w:t>
      </w:r>
      <w:r w:rsidRPr="002029AF">
        <w:t>planned</w:t>
      </w:r>
      <w:r w:rsidR="000A5329" w:rsidRPr="002029AF">
        <w:t xml:space="preserve"> </w:t>
      </w:r>
      <w:r w:rsidRPr="002029AF">
        <w:t>timeframe</w:t>
      </w:r>
      <w:r w:rsidR="000A5329" w:rsidRPr="002029AF">
        <w:t xml:space="preserve"> </w:t>
      </w:r>
      <w:r w:rsidRPr="002029AF">
        <w:t>due</w:t>
      </w:r>
      <w:r w:rsidR="000A5329" w:rsidRPr="002029AF">
        <w:t xml:space="preserve"> </w:t>
      </w:r>
      <w:r w:rsidRPr="002029AF">
        <w:t>to</w:t>
      </w:r>
      <w:r w:rsidR="000A5329" w:rsidRPr="002029AF">
        <w:t xml:space="preserve"> </w:t>
      </w:r>
      <w:r w:rsidRPr="002029AF">
        <w:t>COVID-19</w:t>
      </w:r>
      <w:r w:rsidR="000A5329" w:rsidRPr="002029AF">
        <w:t xml:space="preserve"> </w:t>
      </w:r>
      <w:r w:rsidRPr="002029AF">
        <w:t>related</w:t>
      </w:r>
      <w:r w:rsidR="000A5329" w:rsidRPr="002029AF">
        <w:t xml:space="preserve"> </w:t>
      </w:r>
      <w:r w:rsidR="004420E6" w:rsidRPr="002029AF">
        <w:t>disruptions and</w:t>
      </w:r>
      <w:r w:rsidR="000A5329" w:rsidRPr="002029AF">
        <w:t xml:space="preserve"> </w:t>
      </w:r>
      <w:r w:rsidRPr="002029AF">
        <w:t>will</w:t>
      </w:r>
      <w:r w:rsidR="000A5329" w:rsidRPr="002029AF">
        <w:t xml:space="preserve"> </w:t>
      </w:r>
      <w:r w:rsidRPr="002029AF">
        <w:t>be</w:t>
      </w:r>
      <w:r w:rsidR="000A5329" w:rsidRPr="002029AF">
        <w:t xml:space="preserve"> </w:t>
      </w:r>
      <w:r w:rsidRPr="002029AF">
        <w:t>revisited</w:t>
      </w:r>
      <w:r w:rsidR="000A5329" w:rsidRPr="002029AF">
        <w:t xml:space="preserve"> </w:t>
      </w:r>
      <w:r w:rsidRPr="002029AF">
        <w:t>when</w:t>
      </w:r>
      <w:r w:rsidR="000A5329" w:rsidRPr="002029AF">
        <w:t xml:space="preserve"> </w:t>
      </w:r>
      <w:r w:rsidRPr="002029AF">
        <w:t>circumstances</w:t>
      </w:r>
      <w:r w:rsidR="000A5329" w:rsidRPr="002029AF">
        <w:t xml:space="preserve"> </w:t>
      </w:r>
      <w:r w:rsidRPr="002029AF">
        <w:t>permit.</w:t>
      </w:r>
    </w:p>
    <w:p w14:paraId="4C37FDB0" w14:textId="2052C5AE" w:rsidR="00CF72D5" w:rsidRPr="002029AF" w:rsidRDefault="00CF72D5" w:rsidP="00961519">
      <w:pPr>
        <w:pStyle w:val="Heading5"/>
      </w:pPr>
      <w:r w:rsidRPr="002029AF">
        <w:lastRenderedPageBreak/>
        <w:t>Office-based</w:t>
      </w:r>
      <w:r w:rsidR="000A5329" w:rsidRPr="002029AF">
        <w:t xml:space="preserve"> </w:t>
      </w:r>
      <w:r w:rsidRPr="002029AF">
        <w:t>performance</w:t>
      </w:r>
    </w:p>
    <w:p w14:paraId="1B0C288C" w14:textId="30EF2E08" w:rsidR="00CF72D5" w:rsidRPr="002029AF" w:rsidRDefault="00CF72D5" w:rsidP="00E3577B">
      <w:pPr>
        <w:pStyle w:val="ARbody"/>
      </w:pPr>
      <w:r w:rsidRPr="002029AF">
        <w:t>In</w:t>
      </w:r>
      <w:r w:rsidR="000A5329" w:rsidRPr="002029AF">
        <w:t xml:space="preserve"> </w:t>
      </w:r>
      <w:r w:rsidRPr="002029AF">
        <w:t>2019–20:</w:t>
      </w:r>
    </w:p>
    <w:p w14:paraId="267EA984" w14:textId="5C256ACF" w:rsidR="000A5329" w:rsidRPr="002029AF" w:rsidRDefault="00CF72D5" w:rsidP="00E3577B">
      <w:pPr>
        <w:pStyle w:val="ARbullet1"/>
      </w:pPr>
      <w:r w:rsidRPr="002029AF">
        <w:t>office-based</w:t>
      </w:r>
      <w:r w:rsidR="000A5329" w:rsidRPr="002029AF">
        <w:t xml:space="preserve"> </w:t>
      </w:r>
      <w:r w:rsidRPr="002029AF">
        <w:t>waste</w:t>
      </w:r>
      <w:r w:rsidR="000A5329" w:rsidRPr="002029AF">
        <w:t xml:space="preserve"> </w:t>
      </w:r>
      <w:r w:rsidRPr="002029AF">
        <w:t>generation</w:t>
      </w:r>
      <w:r w:rsidR="000A5329" w:rsidRPr="002029AF">
        <w:t xml:space="preserve"> </w:t>
      </w:r>
      <w:r w:rsidRPr="002029AF">
        <w:t>data</w:t>
      </w:r>
      <w:r w:rsidR="000A5329" w:rsidRPr="002029AF">
        <w:t xml:space="preserve"> </w:t>
      </w:r>
      <w:r w:rsidRPr="002029AF">
        <w:t>was</w:t>
      </w:r>
      <w:r w:rsidR="000A5329" w:rsidRPr="002029AF">
        <w:t xml:space="preserve"> </w:t>
      </w:r>
      <w:r w:rsidRPr="002029AF">
        <w:t>not</w:t>
      </w:r>
      <w:r w:rsidR="000A5329" w:rsidRPr="002029AF">
        <w:t xml:space="preserve"> </w:t>
      </w:r>
      <w:r w:rsidRPr="002029AF">
        <w:t>able</w:t>
      </w:r>
      <w:r w:rsidR="000A5329" w:rsidRPr="002029AF">
        <w:t xml:space="preserve"> </w:t>
      </w:r>
      <w:r w:rsidRPr="002029AF">
        <w:t>to</w:t>
      </w:r>
      <w:r w:rsidR="000A5329" w:rsidRPr="002029AF">
        <w:t xml:space="preserve"> </w:t>
      </w:r>
      <w:r w:rsidRPr="002029AF">
        <w:t>be</w:t>
      </w:r>
      <w:r w:rsidR="000A5329" w:rsidRPr="002029AF">
        <w:t xml:space="preserve"> </w:t>
      </w:r>
      <w:r w:rsidRPr="002029AF">
        <w:t>collected</w:t>
      </w:r>
      <w:r w:rsidR="000A5329" w:rsidRPr="002029AF">
        <w:t xml:space="preserve"> </w:t>
      </w:r>
      <w:r w:rsidRPr="002029AF">
        <w:t>via</w:t>
      </w:r>
      <w:r w:rsidR="000A5329" w:rsidRPr="002029AF">
        <w:t xml:space="preserve"> </w:t>
      </w:r>
      <w:r w:rsidRPr="002029AF">
        <w:t>waste</w:t>
      </w:r>
      <w:r w:rsidR="000A5329" w:rsidRPr="002029AF">
        <w:t xml:space="preserve"> </w:t>
      </w:r>
      <w:r w:rsidRPr="002029AF">
        <w:t>audits</w:t>
      </w:r>
      <w:r w:rsidR="000A5329" w:rsidRPr="002029AF">
        <w:t xml:space="preserve"> </w:t>
      </w:r>
      <w:r w:rsidRPr="002029AF">
        <w:t>as</w:t>
      </w:r>
      <w:r w:rsidR="000A5329" w:rsidRPr="002029AF">
        <w:t xml:space="preserve"> </w:t>
      </w:r>
      <w:r w:rsidRPr="002029AF">
        <w:t>planned</w:t>
      </w:r>
      <w:r w:rsidR="000A5329" w:rsidRPr="002029AF">
        <w:t xml:space="preserve"> </w:t>
      </w:r>
      <w:r w:rsidRPr="002029AF">
        <w:t>and</w:t>
      </w:r>
      <w:r w:rsidR="000A5329" w:rsidRPr="002029AF">
        <w:t xml:space="preserve"> </w:t>
      </w:r>
      <w:r w:rsidRPr="002029AF">
        <w:t>has</w:t>
      </w:r>
      <w:r w:rsidR="000A5329" w:rsidRPr="002029AF">
        <w:t xml:space="preserve"> </w:t>
      </w:r>
      <w:r w:rsidRPr="002029AF">
        <w:t>been</w:t>
      </w:r>
      <w:r w:rsidR="000A5329" w:rsidRPr="002029AF">
        <w:t xml:space="preserve"> </w:t>
      </w:r>
      <w:r w:rsidRPr="002029AF">
        <w:t>postponed</w:t>
      </w:r>
      <w:r w:rsidR="000A5329" w:rsidRPr="002029AF">
        <w:t xml:space="preserve"> </w:t>
      </w:r>
      <w:r w:rsidRPr="002029AF">
        <w:t>due</w:t>
      </w:r>
      <w:r w:rsidR="000A5329" w:rsidRPr="002029AF">
        <w:t xml:space="preserve"> </w:t>
      </w:r>
      <w:r w:rsidRPr="002029AF">
        <w:t>to</w:t>
      </w:r>
      <w:r w:rsidR="000A5329" w:rsidRPr="002029AF">
        <w:t xml:space="preserve"> </w:t>
      </w:r>
      <w:r w:rsidRPr="002029AF">
        <w:t>COVID-19</w:t>
      </w:r>
      <w:r w:rsidR="000A5329" w:rsidRPr="002029AF">
        <w:t xml:space="preserve"> </w:t>
      </w:r>
      <w:r w:rsidRPr="002029AF">
        <w:t>restrictions.</w:t>
      </w:r>
    </w:p>
    <w:p w14:paraId="08AF9FB4" w14:textId="660D478C" w:rsidR="00CF72D5" w:rsidRPr="002029AF" w:rsidRDefault="00CF72D5" w:rsidP="00961519">
      <w:pPr>
        <w:pStyle w:val="Heading5"/>
      </w:pPr>
      <w:r w:rsidRPr="002029AF">
        <w:t>Targets</w:t>
      </w:r>
    </w:p>
    <w:p w14:paraId="548E8119" w14:textId="0022AF5B" w:rsidR="00CF72D5" w:rsidRPr="002029AF" w:rsidRDefault="00CF72D5" w:rsidP="00DC6F5C">
      <w:pPr>
        <w:pStyle w:val="ARbody"/>
      </w:pPr>
      <w:r w:rsidRPr="002029AF">
        <w:t>The</w:t>
      </w:r>
      <w:r w:rsidR="000A5329" w:rsidRPr="002029AF">
        <w:t xml:space="preserve"> </w:t>
      </w:r>
      <w:r w:rsidRPr="002029AF">
        <w:t>2020–21</w:t>
      </w:r>
      <w:r w:rsidR="000A5329" w:rsidRPr="002029AF">
        <w:t xml:space="preserve"> </w:t>
      </w:r>
      <w:r w:rsidRPr="002029AF">
        <w:t>environmental</w:t>
      </w:r>
      <w:r w:rsidR="000A5329" w:rsidRPr="002029AF">
        <w:t xml:space="preserve"> </w:t>
      </w:r>
      <w:r w:rsidRPr="002029AF">
        <w:t>management</w:t>
      </w:r>
      <w:r w:rsidR="000A5329" w:rsidRPr="002029AF">
        <w:t xml:space="preserve"> </w:t>
      </w:r>
      <w:r w:rsidRPr="002029AF">
        <w:t>system</w:t>
      </w:r>
      <w:r w:rsidR="006F2C99" w:rsidRPr="002029AF">
        <w:t> </w:t>
      </w:r>
      <w:r w:rsidRPr="002029AF">
        <w:t>targets</w:t>
      </w:r>
      <w:r w:rsidR="000A5329" w:rsidRPr="002029AF">
        <w:t xml:space="preserve"> </w:t>
      </w:r>
      <w:r w:rsidRPr="002029AF">
        <w:t>for</w:t>
      </w:r>
      <w:r w:rsidR="000A5329" w:rsidRPr="002029AF">
        <w:t xml:space="preserve"> </w:t>
      </w:r>
      <w:r w:rsidRPr="002029AF">
        <w:t>waste</w:t>
      </w:r>
      <w:r w:rsidR="000A5329" w:rsidRPr="002029AF">
        <w:t xml:space="preserve"> </w:t>
      </w:r>
      <w:r w:rsidRPr="002029AF">
        <w:t>are</w:t>
      </w:r>
      <w:r w:rsidR="000A5329" w:rsidRPr="002029AF">
        <w:t xml:space="preserve"> </w:t>
      </w:r>
      <w:r w:rsidRPr="002029AF">
        <w:t>to:</w:t>
      </w:r>
    </w:p>
    <w:p w14:paraId="1EBC4719" w14:textId="59D0CDF0" w:rsidR="000A5329" w:rsidRPr="002029AF" w:rsidRDefault="00CF72D5" w:rsidP="005A6B8E">
      <w:pPr>
        <w:pStyle w:val="ARbullet1"/>
      </w:pPr>
      <w:r w:rsidRPr="002029AF">
        <w:t>continue</w:t>
      </w:r>
      <w:r w:rsidR="000A5329" w:rsidRPr="002029AF">
        <w:t xml:space="preserve"> </w:t>
      </w:r>
      <w:r w:rsidRPr="002029AF">
        <w:t>single</w:t>
      </w:r>
      <w:r w:rsidR="000A5329" w:rsidRPr="002029AF">
        <w:t xml:space="preserve"> </w:t>
      </w:r>
      <w:r w:rsidRPr="002029AF">
        <w:t>stream</w:t>
      </w:r>
      <w:r w:rsidR="000A5329" w:rsidRPr="002029AF">
        <w:t xml:space="preserve"> </w:t>
      </w:r>
      <w:r w:rsidRPr="002029AF">
        <w:t>recycling</w:t>
      </w:r>
      <w:r w:rsidR="000A5329" w:rsidRPr="002029AF">
        <w:t xml:space="preserve"> </w:t>
      </w:r>
      <w:r w:rsidRPr="002029AF">
        <w:t>programs</w:t>
      </w:r>
      <w:r w:rsidR="000A5329" w:rsidRPr="002029AF">
        <w:t xml:space="preserve"> </w:t>
      </w:r>
      <w:r w:rsidRPr="002029AF">
        <w:t>including</w:t>
      </w:r>
      <w:r w:rsidR="000A5329" w:rsidRPr="002029AF">
        <w:t xml:space="preserve"> </w:t>
      </w:r>
      <w:r w:rsidRPr="002029AF">
        <w:t>Simply</w:t>
      </w:r>
      <w:r w:rsidR="000A5329" w:rsidRPr="002029AF">
        <w:t xml:space="preserve"> </w:t>
      </w:r>
      <w:r w:rsidRPr="002029AF">
        <w:t>Cups</w:t>
      </w:r>
      <w:r w:rsidR="000A5329" w:rsidRPr="002029AF">
        <w:t xml:space="preserve"> </w:t>
      </w:r>
      <w:r w:rsidRPr="002029AF">
        <w:t>when</w:t>
      </w:r>
      <w:r w:rsidR="000A5329" w:rsidRPr="002029AF">
        <w:t xml:space="preserve"> </w:t>
      </w:r>
      <w:r w:rsidRPr="002029AF">
        <w:t>regular</w:t>
      </w:r>
      <w:r w:rsidR="000A5329" w:rsidRPr="002029AF">
        <w:t xml:space="preserve"> </w:t>
      </w:r>
      <w:r w:rsidRPr="002029AF">
        <w:t>office-based</w:t>
      </w:r>
      <w:r w:rsidR="000A5329" w:rsidRPr="002029AF">
        <w:t xml:space="preserve"> </w:t>
      </w:r>
      <w:r w:rsidRPr="002029AF">
        <w:t>activities</w:t>
      </w:r>
      <w:r w:rsidR="000A5329" w:rsidRPr="002029AF">
        <w:t xml:space="preserve"> </w:t>
      </w:r>
      <w:r w:rsidRPr="002029AF">
        <w:t>are</w:t>
      </w:r>
      <w:r w:rsidR="000A5329" w:rsidRPr="002029AF">
        <w:t xml:space="preserve"> </w:t>
      </w:r>
      <w:r w:rsidRPr="002029AF">
        <w:t>resumed.</w:t>
      </w:r>
    </w:p>
    <w:p w14:paraId="42266B08" w14:textId="5E38B0C0" w:rsidR="00CF72D5" w:rsidRPr="002029AF" w:rsidRDefault="00CF72D5" w:rsidP="00961519">
      <w:pPr>
        <w:pStyle w:val="Heading4"/>
        <w:rPr>
          <w:color w:val="000000"/>
        </w:rPr>
      </w:pPr>
      <w:r w:rsidRPr="002029AF">
        <w:t>Sustainable</w:t>
      </w:r>
      <w:r w:rsidR="000A5329" w:rsidRPr="002029AF">
        <w:t xml:space="preserve"> </w:t>
      </w:r>
      <w:r w:rsidRPr="002029AF">
        <w:t>transport</w:t>
      </w:r>
    </w:p>
    <w:p w14:paraId="56E4E9A5" w14:textId="1288800A" w:rsidR="00CF72D5" w:rsidRPr="002029AF" w:rsidRDefault="00CF72D5" w:rsidP="00CA7E87">
      <w:pPr>
        <w:pStyle w:val="ARbody"/>
      </w:pPr>
      <w:r w:rsidRPr="002029AF">
        <w:t>The</w:t>
      </w:r>
      <w:r w:rsidR="000A5329" w:rsidRPr="002029AF">
        <w:t xml:space="preserve"> </w:t>
      </w:r>
      <w:r w:rsidRPr="002029AF">
        <w:t>department</w:t>
      </w:r>
      <w:r w:rsidR="000A5329" w:rsidRPr="002029AF">
        <w:t xml:space="preserve"> </w:t>
      </w:r>
      <w:r w:rsidRPr="002029AF">
        <w:t>continues</w:t>
      </w:r>
      <w:r w:rsidR="000A5329" w:rsidRPr="002029AF">
        <w:t xml:space="preserve"> </w:t>
      </w:r>
      <w:r w:rsidRPr="002029AF">
        <w:t>to</w:t>
      </w:r>
      <w:r w:rsidR="000A5329" w:rsidRPr="002029AF">
        <w:t xml:space="preserve"> </w:t>
      </w:r>
      <w:r w:rsidRPr="002029AF">
        <w:t>build</w:t>
      </w:r>
      <w:r w:rsidR="000A5329" w:rsidRPr="002029AF">
        <w:t xml:space="preserve"> </w:t>
      </w:r>
      <w:r w:rsidRPr="002029AF">
        <w:t>a</w:t>
      </w:r>
      <w:r w:rsidR="000A5329" w:rsidRPr="002029AF">
        <w:t xml:space="preserve"> </w:t>
      </w:r>
      <w:r w:rsidRPr="002029AF">
        <w:t>more</w:t>
      </w:r>
      <w:r w:rsidR="000A5329" w:rsidRPr="002029AF">
        <w:t xml:space="preserve"> </w:t>
      </w:r>
      <w:r w:rsidRPr="002029AF">
        <w:t>sustainable</w:t>
      </w:r>
      <w:r w:rsidR="000A5329" w:rsidRPr="002029AF">
        <w:t xml:space="preserve"> </w:t>
      </w:r>
      <w:r w:rsidRPr="002029AF">
        <w:t>fleet</w:t>
      </w:r>
      <w:r w:rsidR="000A5329" w:rsidRPr="002029AF">
        <w:t xml:space="preserve"> </w:t>
      </w:r>
      <w:r w:rsidRPr="002029AF">
        <w:t>and</w:t>
      </w:r>
      <w:r w:rsidR="000A5329" w:rsidRPr="002029AF">
        <w:t xml:space="preserve"> </w:t>
      </w:r>
      <w:r w:rsidRPr="002029AF">
        <w:t>to</w:t>
      </w:r>
      <w:r w:rsidR="000A5329" w:rsidRPr="002029AF">
        <w:t xml:space="preserve"> </w:t>
      </w:r>
      <w:r w:rsidRPr="002029AF">
        <w:t>support</w:t>
      </w:r>
      <w:r w:rsidR="000A5329" w:rsidRPr="002029AF">
        <w:t xml:space="preserve"> </w:t>
      </w:r>
      <w:r w:rsidRPr="002029AF">
        <w:t>initiatives</w:t>
      </w:r>
      <w:r w:rsidR="000A5329" w:rsidRPr="002029AF">
        <w:t xml:space="preserve"> </w:t>
      </w:r>
      <w:r w:rsidRPr="002029AF">
        <w:t>that</w:t>
      </w:r>
      <w:r w:rsidR="000A5329" w:rsidRPr="002029AF">
        <w:t xml:space="preserve"> </w:t>
      </w:r>
      <w:r w:rsidRPr="002029AF">
        <w:t>encourage</w:t>
      </w:r>
      <w:r w:rsidR="000A5329" w:rsidRPr="002029AF">
        <w:t xml:space="preserve"> </w:t>
      </w:r>
      <w:r w:rsidRPr="002029AF">
        <w:t>staff</w:t>
      </w:r>
      <w:r w:rsidR="000A5329" w:rsidRPr="002029AF">
        <w:t xml:space="preserve"> </w:t>
      </w:r>
      <w:r w:rsidRPr="002029AF">
        <w:t>to</w:t>
      </w:r>
      <w:r w:rsidR="000A5329" w:rsidRPr="002029AF">
        <w:t xml:space="preserve"> </w:t>
      </w:r>
      <w:r w:rsidRPr="002029AF">
        <w:t>seek</w:t>
      </w:r>
      <w:r w:rsidR="000A5329" w:rsidRPr="002029AF">
        <w:t xml:space="preserve"> </w:t>
      </w:r>
      <w:r w:rsidRPr="002029AF">
        <w:t>alternative</w:t>
      </w:r>
      <w:r w:rsidR="000A5329" w:rsidRPr="002029AF">
        <w:t xml:space="preserve"> </w:t>
      </w:r>
      <w:r w:rsidRPr="002029AF">
        <w:t>modes</w:t>
      </w:r>
      <w:r w:rsidR="000A5329" w:rsidRPr="002029AF">
        <w:t xml:space="preserve"> </w:t>
      </w:r>
      <w:r w:rsidRPr="002029AF">
        <w:t>of</w:t>
      </w:r>
      <w:r w:rsidR="000A5329" w:rsidRPr="002029AF">
        <w:t xml:space="preserve"> </w:t>
      </w:r>
      <w:r w:rsidRPr="002029AF">
        <w:t>transportation.</w:t>
      </w:r>
    </w:p>
    <w:p w14:paraId="26E453AE" w14:textId="6ECE2956" w:rsidR="00CF72D5" w:rsidRPr="002029AF" w:rsidRDefault="00CF72D5" w:rsidP="00DC6F5C">
      <w:pPr>
        <w:pStyle w:val="ARbody"/>
      </w:pPr>
      <w:r w:rsidRPr="002029AF">
        <w:t>In</w:t>
      </w:r>
      <w:r w:rsidR="000A5329" w:rsidRPr="002029AF">
        <w:t xml:space="preserve"> </w:t>
      </w:r>
      <w:r w:rsidRPr="002029AF">
        <w:t>2019–20,</w:t>
      </w:r>
      <w:r w:rsidR="000A5329" w:rsidRPr="002029AF">
        <w:t xml:space="preserve"> </w:t>
      </w:r>
      <w:r w:rsidRPr="002029AF">
        <w:t>the</w:t>
      </w:r>
      <w:r w:rsidR="000A5329" w:rsidRPr="002029AF">
        <w:t xml:space="preserve"> </w:t>
      </w:r>
      <w:r w:rsidRPr="002029AF">
        <w:t>department:</w:t>
      </w:r>
    </w:p>
    <w:p w14:paraId="206B13E7" w14:textId="1A732FE2" w:rsidR="00CF72D5" w:rsidRPr="002029AF" w:rsidRDefault="00CF72D5" w:rsidP="005A6B8E">
      <w:pPr>
        <w:pStyle w:val="ARbullet1"/>
      </w:pPr>
      <w:r w:rsidRPr="002029AF">
        <w:t>achieved</w:t>
      </w:r>
      <w:r w:rsidR="000A5329" w:rsidRPr="002029AF">
        <w:t xml:space="preserve"> </w:t>
      </w:r>
      <w:r w:rsidRPr="002029AF">
        <w:t>a</w:t>
      </w:r>
      <w:r w:rsidR="000A5329" w:rsidRPr="002029AF">
        <w:t xml:space="preserve"> </w:t>
      </w:r>
      <w:r w:rsidRPr="002029AF">
        <w:t>decrease</w:t>
      </w:r>
      <w:r w:rsidR="000A5329" w:rsidRPr="002029AF">
        <w:t xml:space="preserve"> </w:t>
      </w:r>
      <w:r w:rsidRPr="002029AF">
        <w:t>in</w:t>
      </w:r>
      <w:r w:rsidR="000A5329" w:rsidRPr="002029AF">
        <w:t xml:space="preserve"> </w:t>
      </w:r>
      <w:r w:rsidRPr="002029AF">
        <w:t>vehicle</w:t>
      </w:r>
      <w:r w:rsidR="000A5329" w:rsidRPr="002029AF">
        <w:t xml:space="preserve"> </w:t>
      </w:r>
      <w:r w:rsidRPr="002029AF">
        <w:t>fleet</w:t>
      </w:r>
      <w:r w:rsidR="000A5329" w:rsidRPr="002029AF">
        <w:t xml:space="preserve"> </w:t>
      </w:r>
      <w:r w:rsidRPr="002029AF">
        <w:t>size</w:t>
      </w:r>
      <w:r w:rsidR="000A5329" w:rsidRPr="002029AF">
        <w:t xml:space="preserve"> </w:t>
      </w:r>
      <w:r w:rsidRPr="002029AF">
        <w:t>due</w:t>
      </w:r>
      <w:r w:rsidR="000A5329" w:rsidRPr="002029AF">
        <w:t xml:space="preserve"> </w:t>
      </w:r>
      <w:r w:rsidRPr="002029AF">
        <w:t>to</w:t>
      </w:r>
      <w:r w:rsidR="000A5329" w:rsidRPr="002029AF">
        <w:t xml:space="preserve"> </w:t>
      </w:r>
      <w:r w:rsidRPr="002029AF">
        <w:t>the</w:t>
      </w:r>
      <w:r w:rsidR="000A5329" w:rsidRPr="002029AF">
        <w:t xml:space="preserve"> </w:t>
      </w:r>
      <w:r w:rsidRPr="002029AF">
        <w:t>transfer</w:t>
      </w:r>
      <w:r w:rsidR="000A5329" w:rsidRPr="002029AF">
        <w:t xml:space="preserve"> </w:t>
      </w:r>
      <w:r w:rsidRPr="002029AF">
        <w:t>of</w:t>
      </w:r>
      <w:r w:rsidR="000A5329" w:rsidRPr="002029AF">
        <w:t xml:space="preserve"> </w:t>
      </w:r>
      <w:r w:rsidRPr="002029AF">
        <w:t>429</w:t>
      </w:r>
      <w:r w:rsidR="000A5329" w:rsidRPr="002029AF">
        <w:t xml:space="preserve"> </w:t>
      </w:r>
      <w:r w:rsidRPr="002029AF">
        <w:t>vehicles</w:t>
      </w:r>
      <w:r w:rsidR="000A5329" w:rsidRPr="002029AF">
        <w:t xml:space="preserve"> </w:t>
      </w:r>
      <w:r w:rsidRPr="002029AF">
        <w:t>to</w:t>
      </w:r>
      <w:r w:rsidR="000A5329" w:rsidRPr="002029AF">
        <w:t xml:space="preserve"> </w:t>
      </w:r>
      <w:r w:rsidRPr="002029AF">
        <w:t>National</w:t>
      </w:r>
      <w:r w:rsidR="000A5329" w:rsidRPr="002029AF">
        <w:t xml:space="preserve"> </w:t>
      </w:r>
      <w:r w:rsidRPr="002029AF">
        <w:t>Disability</w:t>
      </w:r>
      <w:r w:rsidR="000A5329" w:rsidRPr="002029AF">
        <w:t xml:space="preserve"> </w:t>
      </w:r>
      <w:r w:rsidRPr="002029AF">
        <w:t>Insurance</w:t>
      </w:r>
      <w:r w:rsidR="000A5329" w:rsidRPr="002029AF">
        <w:t xml:space="preserve"> </w:t>
      </w:r>
      <w:r w:rsidRPr="002029AF">
        <w:t>Scheme</w:t>
      </w:r>
      <w:r w:rsidR="000A5329" w:rsidRPr="002029AF">
        <w:t xml:space="preserve"> </w:t>
      </w:r>
      <w:r w:rsidRPr="002029AF">
        <w:t>(NDIS)</w:t>
      </w:r>
      <w:r w:rsidR="000A5329" w:rsidRPr="002029AF">
        <w:t xml:space="preserve"> </w:t>
      </w:r>
      <w:r w:rsidRPr="002029AF">
        <w:t>service</w:t>
      </w:r>
      <w:r w:rsidR="000A5329" w:rsidRPr="002029AF">
        <w:t xml:space="preserve"> </w:t>
      </w:r>
      <w:r w:rsidRPr="002029AF">
        <w:t>providers</w:t>
      </w:r>
      <w:r w:rsidR="000A5329" w:rsidRPr="002029AF">
        <w:t xml:space="preserve"> </w:t>
      </w:r>
      <w:r w:rsidRPr="002029AF">
        <w:t>as</w:t>
      </w:r>
      <w:r w:rsidR="000A5329" w:rsidRPr="002029AF">
        <w:t xml:space="preserve"> </w:t>
      </w:r>
      <w:r w:rsidRPr="002029AF">
        <w:t>part</w:t>
      </w:r>
      <w:r w:rsidR="000A5329" w:rsidRPr="002029AF">
        <w:t xml:space="preserve"> </w:t>
      </w:r>
      <w:r w:rsidRPr="002029AF">
        <w:t>of</w:t>
      </w:r>
      <w:r w:rsidR="000A5329" w:rsidRPr="002029AF">
        <w:t xml:space="preserve"> </w:t>
      </w:r>
      <w:r w:rsidRPr="002029AF">
        <w:t>the</w:t>
      </w:r>
      <w:r w:rsidR="000A5329" w:rsidRPr="002029AF">
        <w:t xml:space="preserve"> </w:t>
      </w:r>
      <w:r w:rsidRPr="002029AF">
        <w:t>transfer</w:t>
      </w:r>
      <w:r w:rsidR="000A5329" w:rsidRPr="002029AF">
        <w:t xml:space="preserve"> </w:t>
      </w:r>
      <w:r w:rsidRPr="002029AF">
        <w:t>of</w:t>
      </w:r>
      <w:r w:rsidR="000A5329" w:rsidRPr="002029AF">
        <w:t xml:space="preserve"> </w:t>
      </w:r>
      <w:r w:rsidRPr="002029AF">
        <w:t>government</w:t>
      </w:r>
      <w:r w:rsidR="000A5329" w:rsidRPr="002029AF">
        <w:t xml:space="preserve"> </w:t>
      </w:r>
      <w:r w:rsidRPr="002029AF">
        <w:t>services</w:t>
      </w:r>
      <w:r w:rsidR="00191CBC" w:rsidRPr="002029AF">
        <w:t>:</w:t>
      </w:r>
    </w:p>
    <w:p w14:paraId="46E748A7" w14:textId="5000ABEB" w:rsidR="00CF72D5" w:rsidRPr="002029AF" w:rsidRDefault="00CF72D5" w:rsidP="005A6B8E">
      <w:pPr>
        <w:pStyle w:val="ARbullet2"/>
      </w:pPr>
      <w:r w:rsidRPr="002029AF">
        <w:t>continued</w:t>
      </w:r>
      <w:r w:rsidR="000A5329" w:rsidRPr="002029AF">
        <w:t xml:space="preserve"> </w:t>
      </w:r>
      <w:r w:rsidRPr="002029AF">
        <w:t>to</w:t>
      </w:r>
      <w:r w:rsidR="000A5329" w:rsidRPr="002029AF">
        <w:t xml:space="preserve"> </w:t>
      </w:r>
      <w:r w:rsidRPr="002029AF">
        <w:t>implement</w:t>
      </w:r>
      <w:r w:rsidR="000A5329" w:rsidRPr="002029AF">
        <w:t xml:space="preserve"> </w:t>
      </w:r>
      <w:r w:rsidRPr="002029AF">
        <w:t>the</w:t>
      </w:r>
      <w:r w:rsidR="000A5329" w:rsidRPr="002029AF">
        <w:t xml:space="preserve"> </w:t>
      </w:r>
      <w:r w:rsidRPr="002029AF">
        <w:t>Efficient</w:t>
      </w:r>
      <w:r w:rsidR="000A5329" w:rsidRPr="002029AF">
        <w:t xml:space="preserve"> </w:t>
      </w:r>
      <w:r w:rsidRPr="002029AF">
        <w:t>Fleet</w:t>
      </w:r>
      <w:r w:rsidR="000A5329" w:rsidRPr="002029AF">
        <w:t xml:space="preserve"> </w:t>
      </w:r>
      <w:r w:rsidRPr="002029AF">
        <w:t>Procurement</w:t>
      </w:r>
      <w:r w:rsidR="000A5329" w:rsidRPr="002029AF">
        <w:t xml:space="preserve"> </w:t>
      </w:r>
      <w:r w:rsidRPr="002029AF">
        <w:t>Policy,</w:t>
      </w:r>
      <w:r w:rsidR="000A5329" w:rsidRPr="002029AF">
        <w:t xml:space="preserve"> </w:t>
      </w:r>
      <w:r w:rsidRPr="002029AF">
        <w:t>giving</w:t>
      </w:r>
      <w:r w:rsidR="000A5329" w:rsidRPr="002029AF">
        <w:t xml:space="preserve"> </w:t>
      </w:r>
      <w:r w:rsidRPr="002029AF">
        <w:t>preference</w:t>
      </w:r>
      <w:r w:rsidR="000A5329" w:rsidRPr="002029AF">
        <w:t xml:space="preserve"> </w:t>
      </w:r>
      <w:r w:rsidRPr="002029AF">
        <w:t>to</w:t>
      </w:r>
      <w:r w:rsidR="000A5329" w:rsidRPr="002029AF">
        <w:t xml:space="preserve"> </w:t>
      </w:r>
      <w:r w:rsidRPr="002029AF">
        <w:br/>
        <w:t>fuel-efficient</w:t>
      </w:r>
      <w:r w:rsidR="000A5329" w:rsidRPr="002029AF">
        <w:t xml:space="preserve"> </w:t>
      </w:r>
      <w:r w:rsidRPr="002029AF">
        <w:t>and</w:t>
      </w:r>
      <w:r w:rsidR="000A5329" w:rsidRPr="002029AF">
        <w:t xml:space="preserve"> </w:t>
      </w:r>
      <w:r w:rsidRPr="002029AF">
        <w:t>low-emission</w:t>
      </w:r>
      <w:r w:rsidR="000A5329" w:rsidRPr="002029AF">
        <w:t xml:space="preserve"> </w:t>
      </w:r>
      <w:r w:rsidRPr="002029AF">
        <w:t>vehicles</w:t>
      </w:r>
    </w:p>
    <w:p w14:paraId="31DB104D" w14:textId="44D046C3" w:rsidR="00CF72D5" w:rsidRPr="002029AF" w:rsidRDefault="00CF72D5" w:rsidP="005A6B8E">
      <w:pPr>
        <w:pStyle w:val="ARbullet2"/>
      </w:pPr>
      <w:r w:rsidRPr="002029AF">
        <w:t>completed</w:t>
      </w:r>
      <w:r w:rsidR="000A5329" w:rsidRPr="002029AF">
        <w:t xml:space="preserve"> </w:t>
      </w:r>
      <w:r w:rsidRPr="002029AF">
        <w:t>a</w:t>
      </w:r>
      <w:r w:rsidR="000A5329" w:rsidRPr="002029AF">
        <w:t xml:space="preserve"> </w:t>
      </w:r>
      <w:r w:rsidRPr="002029AF">
        <w:t>sustainable</w:t>
      </w:r>
      <w:r w:rsidR="000A5329" w:rsidRPr="002029AF">
        <w:t xml:space="preserve"> </w:t>
      </w:r>
      <w:r w:rsidRPr="002029AF">
        <w:t>transport</w:t>
      </w:r>
      <w:r w:rsidR="000A5329" w:rsidRPr="002029AF">
        <w:t xml:space="preserve"> </w:t>
      </w:r>
      <w:r w:rsidRPr="002029AF">
        <w:t>pilot</w:t>
      </w:r>
      <w:r w:rsidR="000A5329" w:rsidRPr="002029AF">
        <w:t xml:space="preserve"> </w:t>
      </w:r>
      <w:r w:rsidRPr="002029AF">
        <w:t>at</w:t>
      </w:r>
      <w:r w:rsidR="000A5329" w:rsidRPr="002029AF">
        <w:t xml:space="preserve"> </w:t>
      </w:r>
      <w:r w:rsidRPr="002029AF">
        <w:t>Eastern</w:t>
      </w:r>
      <w:r w:rsidR="000A5329" w:rsidRPr="002029AF">
        <w:t xml:space="preserve"> </w:t>
      </w:r>
      <w:r w:rsidRPr="002029AF">
        <w:t>Health</w:t>
      </w:r>
      <w:r w:rsidR="000A5329" w:rsidRPr="002029AF">
        <w:t xml:space="preserve"> </w:t>
      </w:r>
      <w:r w:rsidRPr="002029AF">
        <w:t>and</w:t>
      </w:r>
      <w:r w:rsidR="000A5329" w:rsidRPr="002029AF">
        <w:t xml:space="preserve"> </w:t>
      </w:r>
      <w:r w:rsidRPr="002029AF">
        <w:t>Peninsula</w:t>
      </w:r>
      <w:r w:rsidR="000A5329" w:rsidRPr="002029AF">
        <w:t xml:space="preserve"> </w:t>
      </w:r>
      <w:r w:rsidRPr="002029AF">
        <w:t>Health</w:t>
      </w:r>
    </w:p>
    <w:p w14:paraId="3C0D2773" w14:textId="24101C81" w:rsidR="00CF72D5" w:rsidRPr="002029AF" w:rsidRDefault="00CF72D5" w:rsidP="005A6B8E">
      <w:pPr>
        <w:pStyle w:val="ARbullet2"/>
      </w:pPr>
      <w:r w:rsidRPr="002029AF">
        <w:t>expanded</w:t>
      </w:r>
      <w:r w:rsidR="000A5329" w:rsidRPr="002029AF">
        <w:t xml:space="preserve"> </w:t>
      </w:r>
      <w:r w:rsidRPr="002029AF">
        <w:t>public</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reporting</w:t>
      </w:r>
      <w:r w:rsidR="000A5329" w:rsidRPr="002029AF">
        <w:t xml:space="preserve"> </w:t>
      </w:r>
      <w:r w:rsidRPr="002029AF">
        <w:t>to</w:t>
      </w:r>
      <w:r w:rsidR="006F2C99" w:rsidRPr="002029AF">
        <w:t> </w:t>
      </w:r>
      <w:r w:rsidRPr="002029AF">
        <w:t>include</w:t>
      </w:r>
      <w:r w:rsidR="000A5329" w:rsidRPr="002029AF">
        <w:t xml:space="preserve"> </w:t>
      </w:r>
      <w:r w:rsidRPr="002029AF">
        <w:t>carbon</w:t>
      </w:r>
      <w:r w:rsidR="000A5329" w:rsidRPr="002029AF">
        <w:t xml:space="preserve"> </w:t>
      </w:r>
      <w:r w:rsidRPr="002029AF">
        <w:t>emissions</w:t>
      </w:r>
      <w:r w:rsidR="000A5329" w:rsidRPr="002029AF">
        <w:t xml:space="preserve"> </w:t>
      </w:r>
      <w:r w:rsidRPr="002029AF">
        <w:t>from</w:t>
      </w:r>
      <w:r w:rsidR="000A5329" w:rsidRPr="002029AF">
        <w:t xml:space="preserve"> </w:t>
      </w:r>
      <w:r w:rsidRPr="002029AF">
        <w:t>regional</w:t>
      </w:r>
      <w:r w:rsidR="000A5329" w:rsidRPr="002029AF">
        <w:t xml:space="preserve"> </w:t>
      </w:r>
      <w:r w:rsidRPr="002029AF">
        <w:t>public</w:t>
      </w:r>
      <w:r w:rsidR="000A5329" w:rsidRPr="002029AF">
        <w:t xml:space="preserve"> </w:t>
      </w:r>
      <w:r w:rsidRPr="002029AF">
        <w:t>health</w:t>
      </w:r>
      <w:r w:rsidR="000A5329" w:rsidRPr="002029AF">
        <w:t xml:space="preserve"> </w:t>
      </w:r>
      <w:r w:rsidRPr="002029AF">
        <w:t>service</w:t>
      </w:r>
      <w:r w:rsidR="000A5329" w:rsidRPr="002029AF">
        <w:t xml:space="preserve"> </w:t>
      </w:r>
      <w:r w:rsidRPr="002029AF">
        <w:t>fleet</w:t>
      </w:r>
      <w:r w:rsidR="000A5329" w:rsidRPr="002029AF">
        <w:t xml:space="preserve"> </w:t>
      </w:r>
      <w:r w:rsidRPr="002029AF">
        <w:t>vehicles</w:t>
      </w:r>
    </w:p>
    <w:p w14:paraId="7C23EA2B" w14:textId="33D3FFBA" w:rsidR="000A5329" w:rsidRPr="002029AF" w:rsidRDefault="00CF72D5" w:rsidP="005A6B8E">
      <w:pPr>
        <w:pStyle w:val="ARbullet2"/>
        <w:rPr>
          <w:lang w:eastAsia="en-AU"/>
        </w:rPr>
      </w:pPr>
      <w:r w:rsidRPr="002029AF">
        <w:t>prepared</w:t>
      </w:r>
      <w:r w:rsidR="000A5329" w:rsidRPr="002029AF">
        <w:t xml:space="preserve"> </w:t>
      </w:r>
      <w:r w:rsidRPr="002029AF">
        <w:t>a</w:t>
      </w:r>
      <w:r w:rsidR="000A5329" w:rsidRPr="002029AF">
        <w:t xml:space="preserve"> </w:t>
      </w:r>
      <w:r w:rsidRPr="002029AF">
        <w:t>suite</w:t>
      </w:r>
      <w:r w:rsidR="000A5329" w:rsidRPr="002029AF">
        <w:t xml:space="preserve"> </w:t>
      </w:r>
      <w:r w:rsidRPr="002029AF">
        <w:t>of</w:t>
      </w:r>
      <w:r w:rsidR="000A5329" w:rsidRPr="002029AF">
        <w:t xml:space="preserve"> </w:t>
      </w:r>
      <w:r w:rsidRPr="002029AF">
        <w:t>resources</w:t>
      </w:r>
      <w:r w:rsidR="000A5329" w:rsidRPr="002029AF">
        <w:t xml:space="preserve"> </w:t>
      </w:r>
      <w:r w:rsidRPr="002029AF">
        <w:t>to</w:t>
      </w:r>
      <w:r w:rsidR="000A5329" w:rsidRPr="002029AF">
        <w:t xml:space="preserve"> </w:t>
      </w:r>
      <w:r w:rsidRPr="002029AF">
        <w:t>support</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to</w:t>
      </w:r>
      <w:r w:rsidR="000A5329" w:rsidRPr="002029AF">
        <w:t xml:space="preserve"> </w:t>
      </w:r>
      <w:r w:rsidRPr="002029AF">
        <w:t>improve</w:t>
      </w:r>
      <w:r w:rsidR="000A5329" w:rsidRPr="002029AF">
        <w:t xml:space="preserve"> </w:t>
      </w:r>
      <w:r w:rsidRPr="002029AF">
        <w:t>the</w:t>
      </w:r>
      <w:r w:rsidR="000A5329" w:rsidRPr="002029AF">
        <w:t xml:space="preserve"> </w:t>
      </w:r>
      <w:r w:rsidRPr="002029AF">
        <w:t>efficiency</w:t>
      </w:r>
      <w:r w:rsidR="000A5329" w:rsidRPr="002029AF">
        <w:t xml:space="preserve"> </w:t>
      </w:r>
      <w:r w:rsidRPr="002029AF">
        <w:t>of</w:t>
      </w:r>
      <w:r w:rsidR="000A5329" w:rsidRPr="002029AF">
        <w:t xml:space="preserve"> </w:t>
      </w:r>
      <w:r w:rsidRPr="002029AF">
        <w:t>their</w:t>
      </w:r>
      <w:r w:rsidR="000A5329" w:rsidRPr="002029AF">
        <w:t xml:space="preserve"> </w:t>
      </w:r>
      <w:r w:rsidRPr="002029AF">
        <w:t>fleets.</w:t>
      </w:r>
      <w:r w:rsidR="000A5329" w:rsidRPr="002029AF">
        <w:t xml:space="preserve"> </w:t>
      </w:r>
      <w:r w:rsidRPr="002029AF">
        <w:t>This</w:t>
      </w:r>
      <w:r w:rsidR="000A5329" w:rsidRPr="002029AF">
        <w:t xml:space="preserve"> </w:t>
      </w:r>
      <w:r w:rsidRPr="002029AF">
        <w:t>included</w:t>
      </w:r>
      <w:r w:rsidR="000A5329" w:rsidRPr="002029AF">
        <w:t xml:space="preserve"> </w:t>
      </w:r>
      <w:r w:rsidRPr="002029AF">
        <w:t>a</w:t>
      </w:r>
      <w:r w:rsidR="000A5329" w:rsidRPr="002029AF">
        <w:t xml:space="preserve"> </w:t>
      </w:r>
      <w:r w:rsidRPr="002029AF">
        <w:t>template</w:t>
      </w:r>
      <w:r w:rsidR="000A5329" w:rsidRPr="002029AF">
        <w:t xml:space="preserve"> </w:t>
      </w:r>
      <w:r w:rsidRPr="002029AF">
        <w:t>fleet</w:t>
      </w:r>
      <w:r w:rsidR="000A5329" w:rsidRPr="002029AF">
        <w:t xml:space="preserve"> </w:t>
      </w:r>
      <w:r w:rsidRPr="002029AF">
        <w:t>efficiency</w:t>
      </w:r>
      <w:r w:rsidR="000A5329" w:rsidRPr="002029AF">
        <w:t xml:space="preserve"> </w:t>
      </w:r>
      <w:r w:rsidRPr="002029AF">
        <w:t>plan,</w:t>
      </w:r>
      <w:r w:rsidR="000A5329" w:rsidRPr="002029AF">
        <w:t xml:space="preserve"> </w:t>
      </w:r>
      <w:r w:rsidRPr="002029AF">
        <w:t>guidance</w:t>
      </w:r>
      <w:r w:rsidR="000A5329" w:rsidRPr="002029AF">
        <w:t xml:space="preserve"> </w:t>
      </w:r>
      <w:r w:rsidRPr="002029AF">
        <w:t>on</w:t>
      </w:r>
      <w:r w:rsidR="000A5329" w:rsidRPr="002029AF">
        <w:t xml:space="preserve"> </w:t>
      </w:r>
      <w:r w:rsidRPr="002029AF">
        <w:t>switching</w:t>
      </w:r>
      <w:r w:rsidR="000A5329" w:rsidRPr="002029AF">
        <w:t xml:space="preserve"> </w:t>
      </w:r>
      <w:r w:rsidRPr="002029AF">
        <w:t>to</w:t>
      </w:r>
      <w:r w:rsidR="000A5329" w:rsidRPr="002029AF">
        <w:t xml:space="preserve"> </w:t>
      </w:r>
      <w:r w:rsidRPr="002029AF">
        <w:t>hybrid</w:t>
      </w:r>
      <w:r w:rsidR="000A5329" w:rsidRPr="002029AF">
        <w:t xml:space="preserve"> </w:t>
      </w:r>
      <w:r w:rsidRPr="002029AF">
        <w:t>vehicles</w:t>
      </w:r>
      <w:r w:rsidR="000A5329" w:rsidRPr="002029AF">
        <w:t xml:space="preserve"> </w:t>
      </w:r>
      <w:r w:rsidRPr="002029AF">
        <w:t>and</w:t>
      </w:r>
      <w:r w:rsidR="000A5329" w:rsidRPr="002029AF">
        <w:t xml:space="preserve"> </w:t>
      </w:r>
      <w:r w:rsidRPr="002029AF">
        <w:t>infrastructure</w:t>
      </w:r>
      <w:r w:rsidR="000A5329" w:rsidRPr="002029AF">
        <w:t xml:space="preserve"> </w:t>
      </w:r>
      <w:r w:rsidRPr="002029AF">
        <w:t>planning</w:t>
      </w:r>
      <w:r w:rsidR="000A5329" w:rsidRPr="002029AF">
        <w:t xml:space="preserve"> </w:t>
      </w:r>
      <w:r w:rsidRPr="002029AF">
        <w:t>for</w:t>
      </w:r>
      <w:r w:rsidR="000A5329" w:rsidRPr="002029AF">
        <w:t xml:space="preserve"> </w:t>
      </w:r>
      <w:r w:rsidRPr="002029AF">
        <w:t>electric</w:t>
      </w:r>
      <w:r w:rsidR="000A5329" w:rsidRPr="002029AF">
        <w:t xml:space="preserve"> </w:t>
      </w:r>
      <w:r w:rsidRPr="002029AF">
        <w:t>vehicles</w:t>
      </w:r>
      <w:r w:rsidRPr="002029AF">
        <w:rPr>
          <w:lang w:eastAsia="en-AU"/>
        </w:rPr>
        <w:t>.</w:t>
      </w:r>
    </w:p>
    <w:p w14:paraId="60408B3A" w14:textId="7A2AF8C7" w:rsidR="00CF72D5" w:rsidRPr="002029AF" w:rsidRDefault="00CF72D5" w:rsidP="00961519">
      <w:pPr>
        <w:pStyle w:val="Heading5"/>
      </w:pPr>
      <w:r w:rsidRPr="002029AF">
        <w:t>Office-based</w:t>
      </w:r>
      <w:r w:rsidR="000A5329" w:rsidRPr="002029AF">
        <w:t xml:space="preserve"> </w:t>
      </w:r>
      <w:r w:rsidRPr="002029AF">
        <w:t>performance</w:t>
      </w:r>
    </w:p>
    <w:p w14:paraId="272A0D35" w14:textId="026C935A" w:rsidR="00CF72D5" w:rsidRPr="002029AF" w:rsidRDefault="00CF72D5" w:rsidP="00DC6F5C">
      <w:pPr>
        <w:pStyle w:val="ARbody"/>
      </w:pPr>
      <w:r w:rsidRPr="002029AF">
        <w:t>In</w:t>
      </w:r>
      <w:r w:rsidR="000A5329" w:rsidRPr="002029AF">
        <w:t xml:space="preserve"> </w:t>
      </w:r>
      <w:r w:rsidRPr="002029AF">
        <w:t>2019–20:</w:t>
      </w:r>
    </w:p>
    <w:p w14:paraId="13497BA1" w14:textId="54916D7C" w:rsidR="00CF72D5" w:rsidRPr="002029AF" w:rsidRDefault="00CF72D5" w:rsidP="005A6B8E">
      <w:pPr>
        <w:pStyle w:val="ARbullet1"/>
      </w:pPr>
      <w:r w:rsidRPr="002029AF">
        <w:t>total</w:t>
      </w:r>
      <w:r w:rsidR="000A5329" w:rsidRPr="002029AF">
        <w:t xml:space="preserve"> </w:t>
      </w:r>
      <w:r w:rsidRPr="002029AF">
        <w:t>kilometres</w:t>
      </w:r>
      <w:r w:rsidR="000A5329" w:rsidRPr="002029AF">
        <w:t xml:space="preserve"> </w:t>
      </w:r>
      <w:r w:rsidRPr="002029AF">
        <w:t>travelled</w:t>
      </w:r>
      <w:r w:rsidR="000A5329" w:rsidRPr="002029AF">
        <w:t xml:space="preserve"> </w:t>
      </w:r>
      <w:r w:rsidRPr="002029AF">
        <w:t>and</w:t>
      </w:r>
      <w:r w:rsidR="000A5329" w:rsidRPr="002029AF">
        <w:t xml:space="preserve"> </w:t>
      </w:r>
      <w:r w:rsidRPr="002029AF">
        <w:t>emissions</w:t>
      </w:r>
      <w:r w:rsidR="000A5329" w:rsidRPr="002029AF">
        <w:t xml:space="preserve"> </w:t>
      </w:r>
      <w:r w:rsidRPr="002029AF">
        <w:t>from</w:t>
      </w:r>
      <w:r w:rsidR="000A5329" w:rsidRPr="002029AF">
        <w:t xml:space="preserve"> </w:t>
      </w:r>
      <w:r w:rsidRPr="002029AF">
        <w:t>the</w:t>
      </w:r>
      <w:r w:rsidR="006F2C99" w:rsidRPr="002029AF">
        <w:t> </w:t>
      </w:r>
      <w:r w:rsidRPr="002029AF">
        <w:t>office-based</w:t>
      </w:r>
      <w:r w:rsidR="000A5329" w:rsidRPr="002029AF">
        <w:t xml:space="preserve"> </w:t>
      </w:r>
      <w:r w:rsidRPr="002029AF">
        <w:t>vehicle</w:t>
      </w:r>
      <w:r w:rsidR="000A5329" w:rsidRPr="002029AF">
        <w:t xml:space="preserve"> </w:t>
      </w:r>
      <w:r w:rsidRPr="002029AF">
        <w:t>fleet</w:t>
      </w:r>
      <w:r w:rsidR="000A5329" w:rsidRPr="002029AF">
        <w:t xml:space="preserve"> </w:t>
      </w:r>
      <w:r w:rsidRPr="002029AF">
        <w:t>reduced</w:t>
      </w:r>
      <w:r w:rsidR="000A5329" w:rsidRPr="002029AF">
        <w:t xml:space="preserve"> </w:t>
      </w:r>
      <w:r w:rsidRPr="002029AF">
        <w:t>by</w:t>
      </w:r>
      <w:r w:rsidR="000A5329" w:rsidRPr="002029AF">
        <w:t xml:space="preserve"> </w:t>
      </w:r>
      <w:r w:rsidRPr="002029AF">
        <w:t>30</w:t>
      </w:r>
      <w:r w:rsidR="000A5329" w:rsidRPr="002029AF">
        <w:t xml:space="preserve"> </w:t>
      </w:r>
      <w:r w:rsidRPr="002029AF">
        <w:t>per</w:t>
      </w:r>
      <w:r w:rsidR="000A5329" w:rsidRPr="002029AF">
        <w:t xml:space="preserve"> </w:t>
      </w:r>
      <w:r w:rsidRPr="002029AF">
        <w:t>cent.</w:t>
      </w:r>
      <w:r w:rsidR="000A5329" w:rsidRPr="002029AF">
        <w:t xml:space="preserve"> </w:t>
      </w:r>
      <w:r w:rsidRPr="002029AF">
        <w:t>These</w:t>
      </w:r>
      <w:r w:rsidR="000A5329" w:rsidRPr="002029AF">
        <w:t xml:space="preserve"> </w:t>
      </w:r>
      <w:r w:rsidRPr="002029AF">
        <w:t>reductions</w:t>
      </w:r>
      <w:r w:rsidR="000A5329" w:rsidRPr="002029AF">
        <w:t xml:space="preserve"> </w:t>
      </w:r>
      <w:r w:rsidRPr="002029AF">
        <w:t>are</w:t>
      </w:r>
      <w:r w:rsidR="000A5329" w:rsidRPr="002029AF">
        <w:t xml:space="preserve"> </w:t>
      </w:r>
      <w:r w:rsidRPr="002029AF">
        <w:t>attributable</w:t>
      </w:r>
      <w:r w:rsidR="000A5329" w:rsidRPr="002029AF">
        <w:t xml:space="preserve"> </w:t>
      </w:r>
      <w:r w:rsidRPr="002029AF">
        <w:t>to</w:t>
      </w:r>
      <w:r w:rsidR="000A5329" w:rsidRPr="002029AF">
        <w:t xml:space="preserve"> </w:t>
      </w:r>
      <w:r w:rsidRPr="002029AF">
        <w:t>the</w:t>
      </w:r>
      <w:r w:rsidR="000A5329" w:rsidRPr="002029AF">
        <w:t xml:space="preserve"> </w:t>
      </w:r>
      <w:r w:rsidRPr="002029AF">
        <w:t>transfer</w:t>
      </w:r>
      <w:r w:rsidR="000A5329" w:rsidRPr="002029AF">
        <w:t xml:space="preserve"> </w:t>
      </w:r>
      <w:r w:rsidRPr="002029AF">
        <w:t>of</w:t>
      </w:r>
      <w:r w:rsidR="000A5329" w:rsidRPr="002029AF">
        <w:t xml:space="preserve"> </w:t>
      </w:r>
      <w:r w:rsidRPr="002029AF">
        <w:t>disability</w:t>
      </w:r>
      <w:r w:rsidR="000A5329" w:rsidRPr="002029AF">
        <w:t xml:space="preserve"> </w:t>
      </w:r>
      <w:r w:rsidRPr="002029AF">
        <w:t>accommodation</w:t>
      </w:r>
      <w:r w:rsidR="000A5329" w:rsidRPr="002029AF">
        <w:t xml:space="preserve"> </w:t>
      </w:r>
      <w:r w:rsidRPr="002029AF">
        <w:t>services</w:t>
      </w:r>
      <w:r w:rsidR="000A5329" w:rsidRPr="002029AF">
        <w:t xml:space="preserve"> </w:t>
      </w:r>
      <w:r w:rsidRPr="002029AF">
        <w:t>to</w:t>
      </w:r>
      <w:r w:rsidR="000A5329" w:rsidRPr="002029AF">
        <w:t xml:space="preserve"> </w:t>
      </w:r>
      <w:r w:rsidRPr="002029AF">
        <w:t>the</w:t>
      </w:r>
      <w:r w:rsidR="000A5329" w:rsidRPr="002029AF">
        <w:t xml:space="preserve"> </w:t>
      </w:r>
      <w:r w:rsidRPr="002029AF">
        <w:t>NDIS.</w:t>
      </w:r>
      <w:r w:rsidR="000A5329" w:rsidRPr="002029AF">
        <w:t xml:space="preserve"> </w:t>
      </w:r>
      <w:r w:rsidRPr="002029AF">
        <w:t>The</w:t>
      </w:r>
      <w:r w:rsidR="000A5329" w:rsidRPr="002029AF">
        <w:t xml:space="preserve"> </w:t>
      </w:r>
      <w:r w:rsidRPr="002029AF">
        <w:t>overall</w:t>
      </w:r>
      <w:r w:rsidR="000A5329" w:rsidRPr="002029AF">
        <w:t xml:space="preserve"> </w:t>
      </w:r>
      <w:r w:rsidRPr="002029AF">
        <w:t>fleet</w:t>
      </w:r>
      <w:r w:rsidR="000A5329" w:rsidRPr="002029AF">
        <w:t xml:space="preserve"> </w:t>
      </w:r>
      <w:r w:rsidRPr="002029AF">
        <w:t>efficiency</w:t>
      </w:r>
      <w:r w:rsidR="000A5329" w:rsidRPr="002029AF">
        <w:t xml:space="preserve"> </w:t>
      </w:r>
      <w:r w:rsidRPr="002029AF">
        <w:t>improved</w:t>
      </w:r>
      <w:r w:rsidR="000A5329" w:rsidRPr="002029AF">
        <w:t xml:space="preserve"> </w:t>
      </w:r>
      <w:r w:rsidRPr="002029AF">
        <w:t>due</w:t>
      </w:r>
      <w:r w:rsidR="000A5329" w:rsidRPr="002029AF">
        <w:t xml:space="preserve"> </w:t>
      </w:r>
      <w:r w:rsidRPr="002029AF">
        <w:t>to</w:t>
      </w:r>
      <w:r w:rsidR="000A5329" w:rsidRPr="002029AF">
        <w:t xml:space="preserve"> </w:t>
      </w:r>
      <w:r w:rsidRPr="002029AF">
        <w:t>most</w:t>
      </w:r>
      <w:r w:rsidR="000A5329" w:rsidRPr="002029AF">
        <w:t xml:space="preserve"> </w:t>
      </w:r>
      <w:r w:rsidRPr="002029AF">
        <w:t>of</w:t>
      </w:r>
      <w:r w:rsidR="000A5329" w:rsidRPr="002029AF">
        <w:t xml:space="preserve"> </w:t>
      </w:r>
      <w:r w:rsidRPr="002029AF">
        <w:t>the</w:t>
      </w:r>
      <w:r w:rsidR="000A5329" w:rsidRPr="002029AF">
        <w:t xml:space="preserve"> </w:t>
      </w:r>
      <w:r w:rsidRPr="002029AF">
        <w:t>existing</w:t>
      </w:r>
      <w:r w:rsidR="000A5329" w:rsidRPr="002029AF">
        <w:t xml:space="preserve"> </w:t>
      </w:r>
      <w:r w:rsidRPr="002029AF">
        <w:t>large</w:t>
      </w:r>
      <w:r w:rsidR="000A5329" w:rsidRPr="002029AF">
        <w:t xml:space="preserve"> </w:t>
      </w:r>
      <w:r w:rsidRPr="002029AF">
        <w:t>diesel</w:t>
      </w:r>
      <w:r w:rsidR="000A5329" w:rsidRPr="002029AF">
        <w:t xml:space="preserve"> </w:t>
      </w:r>
      <w:r w:rsidRPr="002029AF">
        <w:t>vehicles</w:t>
      </w:r>
      <w:r w:rsidR="000A5329" w:rsidRPr="002029AF">
        <w:t xml:space="preserve"> </w:t>
      </w:r>
      <w:r w:rsidRPr="002029AF">
        <w:t>in</w:t>
      </w:r>
      <w:r w:rsidR="000A5329" w:rsidRPr="002029AF">
        <w:t xml:space="preserve"> </w:t>
      </w:r>
      <w:r w:rsidRPr="002029AF">
        <w:t>the</w:t>
      </w:r>
      <w:r w:rsidR="000A5329" w:rsidRPr="002029AF">
        <w:t xml:space="preserve"> </w:t>
      </w:r>
      <w:r w:rsidRPr="002029AF">
        <w:t>fleet</w:t>
      </w:r>
      <w:r w:rsidR="000A5329" w:rsidRPr="002029AF">
        <w:t xml:space="preserve"> </w:t>
      </w:r>
      <w:r w:rsidRPr="002029AF">
        <w:t>being</w:t>
      </w:r>
      <w:r w:rsidR="000A5329" w:rsidRPr="002029AF">
        <w:t xml:space="preserve"> </w:t>
      </w:r>
      <w:r w:rsidRPr="002029AF">
        <w:t>transferred.</w:t>
      </w:r>
    </w:p>
    <w:p w14:paraId="05188D02" w14:textId="4D3AA7CE" w:rsidR="00CF72D5" w:rsidRPr="002029AF" w:rsidRDefault="00E3577B" w:rsidP="0028134C">
      <w:pPr>
        <w:pStyle w:val="Heading4"/>
        <w:spacing w:before="0"/>
        <w:rPr>
          <w:color w:val="000000"/>
        </w:rPr>
      </w:pPr>
      <w:r w:rsidRPr="002029AF">
        <w:br w:type="column"/>
      </w:r>
      <w:r w:rsidR="00CF72D5" w:rsidRPr="002029AF">
        <w:t>Climate</w:t>
      </w:r>
      <w:r w:rsidR="000A5329" w:rsidRPr="002029AF">
        <w:t xml:space="preserve"> </w:t>
      </w:r>
      <w:r w:rsidR="00CF72D5" w:rsidRPr="002029AF">
        <w:t>change</w:t>
      </w:r>
      <w:r w:rsidR="000A5329" w:rsidRPr="002029AF">
        <w:t xml:space="preserve"> </w:t>
      </w:r>
      <w:r w:rsidR="00CF72D5" w:rsidRPr="002029AF">
        <w:t>adaptation</w:t>
      </w:r>
    </w:p>
    <w:p w14:paraId="19E63E13" w14:textId="130391AA" w:rsidR="00CF72D5" w:rsidRPr="002029AF" w:rsidRDefault="00CF72D5" w:rsidP="005A6B8E">
      <w:pPr>
        <w:pStyle w:val="ARbody"/>
      </w:pPr>
      <w:r w:rsidRPr="002029AF">
        <w:t>The</w:t>
      </w:r>
      <w:r w:rsidR="000A5329" w:rsidRPr="002029AF">
        <w:t xml:space="preserve"> </w:t>
      </w:r>
      <w:r w:rsidRPr="002029AF">
        <w:t>department</w:t>
      </w:r>
      <w:r w:rsidR="000A5329" w:rsidRPr="002029AF">
        <w:t xml:space="preserve"> </w:t>
      </w:r>
      <w:r w:rsidRPr="002029AF">
        <w:t>is</w:t>
      </w:r>
      <w:r w:rsidR="000A5329" w:rsidRPr="002029AF">
        <w:t xml:space="preserve"> </w:t>
      </w:r>
      <w:r w:rsidRPr="002029AF">
        <w:t>committed</w:t>
      </w:r>
      <w:r w:rsidR="000A5329" w:rsidRPr="002029AF">
        <w:t xml:space="preserve"> </w:t>
      </w:r>
      <w:r w:rsidRPr="002029AF">
        <w:t>to</w:t>
      </w:r>
      <w:r w:rsidR="000A5329" w:rsidRPr="002029AF">
        <w:t xml:space="preserve"> </w:t>
      </w:r>
      <w:r w:rsidRPr="002029AF">
        <w:t>driving</w:t>
      </w:r>
      <w:r w:rsidR="000A5329" w:rsidRPr="002029AF">
        <w:t xml:space="preserve"> </w:t>
      </w:r>
      <w:r w:rsidRPr="002029AF">
        <w:t>mitigation</w:t>
      </w:r>
      <w:r w:rsidR="000A5329" w:rsidRPr="002029AF">
        <w:t xml:space="preserve"> </w:t>
      </w:r>
      <w:r w:rsidRPr="002029AF">
        <w:t>and</w:t>
      </w:r>
      <w:r w:rsidR="000A5329" w:rsidRPr="002029AF">
        <w:t xml:space="preserve"> </w:t>
      </w:r>
      <w:r w:rsidRPr="002029AF">
        <w:t>adaptation</w:t>
      </w:r>
      <w:r w:rsidR="000A5329" w:rsidRPr="002029AF">
        <w:t xml:space="preserve"> </w:t>
      </w:r>
      <w:r w:rsidRPr="002029AF">
        <w:t>initiatives</w:t>
      </w:r>
      <w:r w:rsidR="000A5329" w:rsidRPr="002029AF">
        <w:t xml:space="preserve"> </w:t>
      </w:r>
      <w:r w:rsidRPr="002029AF">
        <w:t>and</w:t>
      </w:r>
      <w:r w:rsidR="000A5329" w:rsidRPr="002029AF">
        <w:t xml:space="preserve"> </w:t>
      </w:r>
      <w:r w:rsidRPr="002029AF">
        <w:t>to</w:t>
      </w:r>
      <w:r w:rsidR="000A5329" w:rsidRPr="002029AF">
        <w:t xml:space="preserve"> </w:t>
      </w:r>
      <w:r w:rsidRPr="002029AF">
        <w:t>proactively</w:t>
      </w:r>
      <w:r w:rsidR="000A5329" w:rsidRPr="002029AF">
        <w:t xml:space="preserve"> </w:t>
      </w:r>
      <w:r w:rsidRPr="002029AF">
        <w:t>managing</w:t>
      </w:r>
      <w:r w:rsidR="000A5329" w:rsidRPr="002029AF">
        <w:t xml:space="preserve"> </w:t>
      </w:r>
      <w:r w:rsidRPr="002029AF">
        <w:t>climate</w:t>
      </w:r>
      <w:r w:rsidR="000A5329" w:rsidRPr="002029AF">
        <w:t xml:space="preserve"> </w:t>
      </w:r>
      <w:r w:rsidRPr="002029AF">
        <w:t>change</w:t>
      </w:r>
      <w:r w:rsidR="000A5329" w:rsidRPr="002029AF">
        <w:t xml:space="preserve"> </w:t>
      </w:r>
      <w:r w:rsidRPr="002029AF">
        <w:t>risks</w:t>
      </w:r>
      <w:r w:rsidR="000A5329" w:rsidRPr="002029AF">
        <w:t xml:space="preserve"> </w:t>
      </w:r>
      <w:r w:rsidRPr="002029AF">
        <w:t>for</w:t>
      </w:r>
      <w:r w:rsidR="000A5329" w:rsidRPr="002029AF">
        <w:t xml:space="preserve"> </w:t>
      </w:r>
      <w:r w:rsidRPr="002029AF">
        <w:t>our</w:t>
      </w:r>
      <w:r w:rsidR="000A5329" w:rsidRPr="002029AF">
        <w:t xml:space="preserve"> </w:t>
      </w:r>
      <w:r w:rsidRPr="002029AF">
        <w:t>clients,</w:t>
      </w:r>
      <w:r w:rsidR="000A5329" w:rsidRPr="002029AF">
        <w:t xml:space="preserve"> </w:t>
      </w:r>
      <w:r w:rsidRPr="002029AF">
        <w:t>assets</w:t>
      </w:r>
      <w:r w:rsidR="000A5329" w:rsidRPr="002029AF">
        <w:t xml:space="preserve"> </w:t>
      </w:r>
      <w:r w:rsidRPr="002029AF">
        <w:t>and</w:t>
      </w:r>
      <w:r w:rsidR="000A5329" w:rsidRPr="002029AF">
        <w:t xml:space="preserve"> </w:t>
      </w:r>
      <w:r w:rsidRPr="002029AF">
        <w:t>services.</w:t>
      </w:r>
    </w:p>
    <w:p w14:paraId="30E82928" w14:textId="20413D0F" w:rsidR="00CF72D5" w:rsidRPr="002029AF" w:rsidRDefault="00CF72D5" w:rsidP="005A6B8E">
      <w:pPr>
        <w:pStyle w:val="ARbody"/>
      </w:pPr>
      <w:r w:rsidRPr="002029AF">
        <w:t>In</w:t>
      </w:r>
      <w:r w:rsidR="000A5329" w:rsidRPr="002029AF">
        <w:t xml:space="preserve"> </w:t>
      </w:r>
      <w:r w:rsidRPr="002029AF">
        <w:t>2019–20,</w:t>
      </w:r>
      <w:r w:rsidR="000A5329" w:rsidRPr="002029AF">
        <w:t xml:space="preserve"> </w:t>
      </w:r>
      <w:r w:rsidRPr="002029AF">
        <w:t>the</w:t>
      </w:r>
      <w:r w:rsidR="000A5329" w:rsidRPr="002029AF">
        <w:t xml:space="preserve"> </w:t>
      </w:r>
      <w:r w:rsidRPr="002029AF">
        <w:t>department:</w:t>
      </w:r>
    </w:p>
    <w:p w14:paraId="557FBD98" w14:textId="6A77FCF4" w:rsidR="00CF72D5" w:rsidRPr="002029AF" w:rsidRDefault="00CF72D5" w:rsidP="005A6B8E">
      <w:pPr>
        <w:pStyle w:val="ARbullet1"/>
      </w:pPr>
      <w:r w:rsidRPr="002029AF">
        <w:t>commenced</w:t>
      </w:r>
      <w:r w:rsidR="000A5329" w:rsidRPr="002029AF">
        <w:t xml:space="preserve"> </w:t>
      </w:r>
      <w:r w:rsidRPr="002029AF">
        <w:t>implementation</w:t>
      </w:r>
      <w:r w:rsidR="000A5329" w:rsidRPr="002029AF">
        <w:t xml:space="preserve"> </w:t>
      </w:r>
      <w:r w:rsidRPr="002029AF">
        <w:t>of</w:t>
      </w:r>
      <w:r w:rsidR="000A5329" w:rsidRPr="002029AF">
        <w:t xml:space="preserve"> </w:t>
      </w:r>
      <w:r w:rsidRPr="002029AF">
        <w:t>the</w:t>
      </w:r>
      <w:r w:rsidR="000A5329" w:rsidRPr="002029AF">
        <w:t xml:space="preserve"> </w:t>
      </w:r>
      <w:r w:rsidRPr="002029AF">
        <w:rPr>
          <w:i/>
          <w:iCs/>
        </w:rPr>
        <w:t>Pilot</w:t>
      </w:r>
      <w:r w:rsidR="000A5329" w:rsidRPr="002029AF">
        <w:rPr>
          <w:i/>
          <w:iCs/>
        </w:rPr>
        <w:t xml:space="preserve"> </w:t>
      </w:r>
      <w:r w:rsidRPr="002029AF">
        <w:rPr>
          <w:i/>
          <w:iCs/>
        </w:rPr>
        <w:t>Climate</w:t>
      </w:r>
      <w:r w:rsidR="000A5329" w:rsidRPr="002029AF">
        <w:rPr>
          <w:i/>
          <w:iCs/>
        </w:rPr>
        <w:t xml:space="preserve"> </w:t>
      </w:r>
      <w:r w:rsidRPr="002029AF">
        <w:rPr>
          <w:i/>
          <w:iCs/>
        </w:rPr>
        <w:t>Change</w:t>
      </w:r>
      <w:r w:rsidR="000A5329" w:rsidRPr="002029AF">
        <w:rPr>
          <w:i/>
          <w:iCs/>
        </w:rPr>
        <w:t xml:space="preserve"> </w:t>
      </w:r>
      <w:r w:rsidRPr="002029AF">
        <w:rPr>
          <w:i/>
          <w:iCs/>
        </w:rPr>
        <w:t>Adaptation</w:t>
      </w:r>
      <w:r w:rsidR="000A5329" w:rsidRPr="002029AF">
        <w:rPr>
          <w:i/>
          <w:iCs/>
        </w:rPr>
        <w:t xml:space="preserve"> </w:t>
      </w:r>
      <w:r w:rsidRPr="002029AF">
        <w:rPr>
          <w:i/>
          <w:iCs/>
        </w:rPr>
        <w:t>Action</w:t>
      </w:r>
      <w:r w:rsidR="000A5329" w:rsidRPr="002029AF">
        <w:rPr>
          <w:i/>
          <w:iCs/>
        </w:rPr>
        <w:t xml:space="preserve"> </w:t>
      </w:r>
      <w:r w:rsidRPr="002029AF">
        <w:rPr>
          <w:i/>
          <w:iCs/>
        </w:rPr>
        <w:t>Plan</w:t>
      </w:r>
      <w:r w:rsidR="000A5329" w:rsidRPr="002029AF">
        <w:rPr>
          <w:i/>
          <w:iCs/>
        </w:rPr>
        <w:t xml:space="preserve"> </w:t>
      </w:r>
      <w:r w:rsidRPr="002029AF">
        <w:rPr>
          <w:i/>
          <w:iCs/>
        </w:rPr>
        <w:t>201</w:t>
      </w:r>
      <w:r w:rsidR="00DB53E6" w:rsidRPr="002029AF">
        <w:rPr>
          <w:i/>
          <w:iCs/>
        </w:rPr>
        <w:t>9–</w:t>
      </w:r>
      <w:r w:rsidRPr="002029AF">
        <w:rPr>
          <w:i/>
          <w:iCs/>
        </w:rPr>
        <w:t>2021</w:t>
      </w:r>
    </w:p>
    <w:p w14:paraId="209956CC" w14:textId="1830185A" w:rsidR="00CF72D5" w:rsidRPr="002029AF" w:rsidRDefault="00CF72D5" w:rsidP="005A6B8E">
      <w:pPr>
        <w:pStyle w:val="ARbullet1"/>
      </w:pPr>
      <w:r w:rsidRPr="002029AF">
        <w:t>included</w:t>
      </w:r>
      <w:r w:rsidR="000A5329" w:rsidRPr="002029AF">
        <w:t xml:space="preserve"> </w:t>
      </w:r>
      <w:r w:rsidRPr="002029AF">
        <w:t>climate</w:t>
      </w:r>
      <w:r w:rsidR="000A5329" w:rsidRPr="002029AF">
        <w:t xml:space="preserve"> </w:t>
      </w:r>
      <w:r w:rsidRPr="002029AF">
        <w:t>change</w:t>
      </w:r>
      <w:r w:rsidR="000A5329" w:rsidRPr="002029AF">
        <w:t xml:space="preserve"> </w:t>
      </w:r>
      <w:r w:rsidRPr="002029AF">
        <w:t>as</w:t>
      </w:r>
      <w:r w:rsidR="000A5329" w:rsidRPr="002029AF">
        <w:t xml:space="preserve"> </w:t>
      </w:r>
      <w:r w:rsidRPr="002029AF">
        <w:t>one</w:t>
      </w:r>
      <w:r w:rsidR="000A5329" w:rsidRPr="002029AF">
        <w:t xml:space="preserve"> </w:t>
      </w:r>
      <w:r w:rsidRPr="002029AF">
        <w:t>of</w:t>
      </w:r>
      <w:r w:rsidR="000A5329" w:rsidRPr="002029AF">
        <w:t xml:space="preserve"> </w:t>
      </w:r>
      <w:r w:rsidRPr="002029AF">
        <w:t>four</w:t>
      </w:r>
      <w:r w:rsidR="000A5329" w:rsidRPr="002029AF">
        <w:t xml:space="preserve"> </w:t>
      </w:r>
      <w:r w:rsidRPr="002029AF">
        <w:t>key</w:t>
      </w:r>
      <w:r w:rsidR="000A5329" w:rsidRPr="002029AF">
        <w:t xml:space="preserve"> </w:t>
      </w:r>
      <w:r w:rsidRPr="002029AF">
        <w:t>focus</w:t>
      </w:r>
      <w:r w:rsidR="000A5329" w:rsidRPr="002029AF">
        <w:t xml:space="preserve"> </w:t>
      </w:r>
      <w:r w:rsidRPr="002029AF">
        <w:t>areas</w:t>
      </w:r>
      <w:r w:rsidR="000A5329" w:rsidRPr="002029AF">
        <w:t xml:space="preserve"> </w:t>
      </w:r>
      <w:r w:rsidRPr="002029AF">
        <w:t>in</w:t>
      </w:r>
      <w:r w:rsidR="000A5329" w:rsidRPr="002029AF">
        <w:t xml:space="preserve"> </w:t>
      </w:r>
      <w:r w:rsidRPr="002029AF">
        <w:t>the</w:t>
      </w:r>
      <w:r w:rsidR="000A5329" w:rsidRPr="002029AF">
        <w:t xml:space="preserve"> </w:t>
      </w:r>
      <w:r w:rsidRPr="002029AF">
        <w:t>new</w:t>
      </w:r>
      <w:r w:rsidR="000A5329" w:rsidRPr="002029AF">
        <w:t xml:space="preserve"> </w:t>
      </w:r>
      <w:r w:rsidRPr="002029AF">
        <w:t>Victorian</w:t>
      </w:r>
      <w:r w:rsidR="000A5329" w:rsidRPr="002029AF">
        <w:t xml:space="preserve"> </w:t>
      </w:r>
      <w:r w:rsidRPr="002029AF">
        <w:t>Public</w:t>
      </w:r>
      <w:r w:rsidR="000A5329" w:rsidRPr="002029AF">
        <w:t xml:space="preserve"> </w:t>
      </w:r>
      <w:r w:rsidRPr="002029AF">
        <w:t>Health</w:t>
      </w:r>
      <w:r w:rsidR="000A5329" w:rsidRPr="002029AF">
        <w:t xml:space="preserve"> </w:t>
      </w:r>
      <w:r w:rsidRPr="002029AF">
        <w:t>and</w:t>
      </w:r>
      <w:r w:rsidR="000A5329" w:rsidRPr="002029AF">
        <w:t xml:space="preserve"> </w:t>
      </w:r>
      <w:r w:rsidRPr="002029AF">
        <w:t>Wellbeing</w:t>
      </w:r>
      <w:r w:rsidR="000A5329" w:rsidRPr="002029AF">
        <w:t xml:space="preserve"> </w:t>
      </w:r>
      <w:r w:rsidRPr="002029AF">
        <w:t>Plan</w:t>
      </w:r>
      <w:r w:rsidR="000A5329" w:rsidRPr="002029AF">
        <w:t xml:space="preserve"> </w:t>
      </w:r>
      <w:r w:rsidRPr="002029AF">
        <w:t>201</w:t>
      </w:r>
      <w:r w:rsidR="00DB53E6" w:rsidRPr="002029AF">
        <w:t>9–</w:t>
      </w:r>
      <w:r w:rsidRPr="002029AF">
        <w:t>2023.</w:t>
      </w:r>
      <w:r w:rsidR="000A5329" w:rsidRPr="002029AF">
        <w:t xml:space="preserve"> </w:t>
      </w:r>
      <w:r w:rsidRPr="002029AF">
        <w:t>This</w:t>
      </w:r>
      <w:r w:rsidR="000A5329" w:rsidRPr="002029AF">
        <w:t xml:space="preserve"> </w:t>
      </w:r>
      <w:r w:rsidRPr="002029AF">
        <w:t>focus</w:t>
      </w:r>
      <w:r w:rsidR="000A5329" w:rsidRPr="002029AF">
        <w:t xml:space="preserve"> </w:t>
      </w:r>
      <w:r w:rsidRPr="002029AF">
        <w:t>area</w:t>
      </w:r>
      <w:r w:rsidR="000A5329" w:rsidRPr="002029AF">
        <w:t xml:space="preserve"> </w:t>
      </w:r>
      <w:r w:rsidRPr="002029AF">
        <w:t>aims</w:t>
      </w:r>
      <w:r w:rsidR="000A5329" w:rsidRPr="002029AF">
        <w:t xml:space="preserve"> </w:t>
      </w:r>
      <w:r w:rsidRPr="002029AF">
        <w:t>to</w:t>
      </w:r>
      <w:r w:rsidR="000A5329" w:rsidRPr="002029AF">
        <w:t xml:space="preserve"> </w:t>
      </w:r>
      <w:r w:rsidRPr="002029AF">
        <w:t>achieve</w:t>
      </w:r>
      <w:r w:rsidR="000A5329" w:rsidRPr="002029AF">
        <w:t xml:space="preserve"> </w:t>
      </w:r>
      <w:r w:rsidRPr="002029AF">
        <w:t>resilient</w:t>
      </w:r>
      <w:r w:rsidR="000A5329" w:rsidRPr="002029AF">
        <w:t xml:space="preserve"> </w:t>
      </w:r>
      <w:r w:rsidRPr="002029AF">
        <w:t>and</w:t>
      </w:r>
      <w:r w:rsidR="000A5329" w:rsidRPr="002029AF">
        <w:t xml:space="preserve"> </w:t>
      </w:r>
      <w:r w:rsidRPr="002029AF">
        <w:t>safe</w:t>
      </w:r>
      <w:r w:rsidR="000A5329" w:rsidRPr="002029AF">
        <w:t xml:space="preserve"> </w:t>
      </w:r>
      <w:r w:rsidRPr="002029AF">
        <w:t>communities</w:t>
      </w:r>
      <w:r w:rsidR="000A5329" w:rsidRPr="002029AF">
        <w:t xml:space="preserve"> </w:t>
      </w:r>
      <w:r w:rsidRPr="002029AF">
        <w:t>that</w:t>
      </w:r>
      <w:r w:rsidR="000A5329" w:rsidRPr="002029AF">
        <w:t xml:space="preserve"> </w:t>
      </w:r>
      <w:r w:rsidRPr="002029AF">
        <w:t>are</w:t>
      </w:r>
      <w:r w:rsidR="000A5329" w:rsidRPr="002029AF">
        <w:t xml:space="preserve"> </w:t>
      </w:r>
      <w:r w:rsidRPr="002029AF">
        <w:t>adapting</w:t>
      </w:r>
      <w:r w:rsidR="000A5329" w:rsidRPr="002029AF">
        <w:t xml:space="preserve"> </w:t>
      </w:r>
      <w:r w:rsidRPr="002029AF">
        <w:t>to</w:t>
      </w:r>
      <w:r w:rsidR="000A5329" w:rsidRPr="002029AF">
        <w:t xml:space="preserve"> </w:t>
      </w:r>
      <w:r w:rsidRPr="002029AF">
        <w:t>the</w:t>
      </w:r>
      <w:r w:rsidR="000A5329" w:rsidRPr="002029AF">
        <w:t xml:space="preserve"> </w:t>
      </w:r>
      <w:r w:rsidRPr="002029AF">
        <w:t>public</w:t>
      </w:r>
      <w:r w:rsidR="000A5329" w:rsidRPr="002029AF">
        <w:t xml:space="preserve"> </w:t>
      </w:r>
      <w:r w:rsidRPr="002029AF">
        <w:t>health</w:t>
      </w:r>
      <w:r w:rsidR="000A5329" w:rsidRPr="002029AF">
        <w:t xml:space="preserve"> </w:t>
      </w:r>
      <w:r w:rsidRPr="002029AF">
        <w:t>impacts</w:t>
      </w:r>
      <w:r w:rsidR="000A5329" w:rsidRPr="002029AF">
        <w:t xml:space="preserve"> </w:t>
      </w:r>
      <w:r w:rsidRPr="002029AF">
        <w:t>of</w:t>
      </w:r>
      <w:r w:rsidR="000A5329" w:rsidRPr="002029AF">
        <w:t xml:space="preserve"> </w:t>
      </w:r>
      <w:r w:rsidRPr="002029AF">
        <w:t>climate</w:t>
      </w:r>
      <w:r w:rsidR="000A5329" w:rsidRPr="002029AF">
        <w:t xml:space="preserve"> </w:t>
      </w:r>
      <w:r w:rsidRPr="002029AF">
        <w:t>change</w:t>
      </w:r>
      <w:r w:rsidR="000A5329" w:rsidRPr="002029AF">
        <w:t xml:space="preserve"> </w:t>
      </w:r>
      <w:r w:rsidRPr="002029AF">
        <w:t>while</w:t>
      </w:r>
      <w:r w:rsidR="000A5329" w:rsidRPr="002029AF">
        <w:t xml:space="preserve"> </w:t>
      </w:r>
      <w:r w:rsidRPr="002029AF">
        <w:t>decreasing</w:t>
      </w:r>
      <w:r w:rsidR="000A5329" w:rsidRPr="002029AF">
        <w:t xml:space="preserve"> </w:t>
      </w:r>
      <w:r w:rsidRPr="002029AF">
        <w:t>health</w:t>
      </w:r>
      <w:r w:rsidR="000A5329" w:rsidRPr="002029AF">
        <w:t xml:space="preserve"> </w:t>
      </w:r>
      <w:r w:rsidRPr="002029AF">
        <w:t>impacts</w:t>
      </w:r>
      <w:r w:rsidR="000A5329" w:rsidRPr="002029AF">
        <w:t xml:space="preserve"> </w:t>
      </w:r>
      <w:r w:rsidRPr="002029AF">
        <w:t>associated</w:t>
      </w:r>
      <w:r w:rsidR="000A5329" w:rsidRPr="002029AF">
        <w:t xml:space="preserve"> </w:t>
      </w:r>
      <w:r w:rsidRPr="002029AF">
        <w:t>with</w:t>
      </w:r>
      <w:r w:rsidR="000A5329" w:rsidRPr="002029AF">
        <w:t xml:space="preserve"> </w:t>
      </w:r>
      <w:r w:rsidRPr="002029AF">
        <w:t>climate</w:t>
      </w:r>
      <w:r w:rsidR="000A5329" w:rsidRPr="002029AF">
        <w:t xml:space="preserve"> </w:t>
      </w:r>
      <w:r w:rsidR="004420E6" w:rsidRPr="002029AF">
        <w:t>change and</w:t>
      </w:r>
      <w:r w:rsidR="000A5329" w:rsidRPr="002029AF">
        <w:t xml:space="preserve"> </w:t>
      </w:r>
      <w:r w:rsidRPr="002029AF">
        <w:t>increasing</w:t>
      </w:r>
      <w:r w:rsidR="000A5329" w:rsidRPr="002029AF">
        <w:t xml:space="preserve"> </w:t>
      </w:r>
      <w:r w:rsidRPr="002029AF">
        <w:t>action</w:t>
      </w:r>
      <w:r w:rsidR="000A5329" w:rsidRPr="002029AF">
        <w:t xml:space="preserve"> </w:t>
      </w:r>
      <w:r w:rsidRPr="002029AF">
        <w:t>to</w:t>
      </w:r>
      <w:r w:rsidR="000A5329" w:rsidRPr="002029AF">
        <w:t xml:space="preserve"> </w:t>
      </w:r>
      <w:r w:rsidRPr="002029AF">
        <w:t>reduce</w:t>
      </w:r>
      <w:r w:rsidR="000A5329" w:rsidRPr="002029AF">
        <w:t xml:space="preserve"> </w:t>
      </w:r>
      <w:r w:rsidRPr="002029AF">
        <w:t>greenhouse</w:t>
      </w:r>
      <w:r w:rsidR="000A5329" w:rsidRPr="002029AF">
        <w:t xml:space="preserve"> </w:t>
      </w:r>
      <w:r w:rsidRPr="002029AF">
        <w:t>gas</w:t>
      </w:r>
      <w:r w:rsidR="000A5329" w:rsidRPr="002029AF">
        <w:t xml:space="preserve"> </w:t>
      </w:r>
      <w:r w:rsidRPr="002029AF">
        <w:t>emissions</w:t>
      </w:r>
      <w:r w:rsidR="000A5329" w:rsidRPr="002029AF">
        <w:t xml:space="preserve"> </w:t>
      </w:r>
      <w:r w:rsidRPr="002029AF">
        <w:t>and</w:t>
      </w:r>
      <w:r w:rsidR="000A5329" w:rsidRPr="002029AF">
        <w:t xml:space="preserve"> </w:t>
      </w:r>
      <w:r w:rsidRPr="002029AF">
        <w:t>realise</w:t>
      </w:r>
      <w:r w:rsidR="000A5329" w:rsidRPr="002029AF">
        <w:t xml:space="preserve"> </w:t>
      </w:r>
      <w:r w:rsidRPr="002029AF">
        <w:t>health</w:t>
      </w:r>
      <w:r w:rsidR="000A5329" w:rsidRPr="002029AF">
        <w:t xml:space="preserve"> </w:t>
      </w:r>
      <w:r w:rsidRPr="002029AF">
        <w:t>co</w:t>
      </w:r>
      <w:r w:rsidRPr="002029AF">
        <w:rPr>
          <w:rFonts w:ascii="Cambria Math" w:hAnsi="Cambria Math" w:cs="Cambria Math"/>
        </w:rPr>
        <w:t>‐</w:t>
      </w:r>
      <w:r w:rsidRPr="002029AF">
        <w:t>benefits</w:t>
      </w:r>
    </w:p>
    <w:p w14:paraId="35A39D23" w14:textId="3A35D75D" w:rsidR="00CF72D5" w:rsidRPr="002029AF" w:rsidRDefault="00CF72D5" w:rsidP="005A6B8E">
      <w:pPr>
        <w:pStyle w:val="ARbullet1"/>
      </w:pPr>
      <w:r w:rsidRPr="002029AF">
        <w:t>published</w:t>
      </w:r>
      <w:r w:rsidR="000A5329" w:rsidRPr="002029AF">
        <w:t xml:space="preserve"> </w:t>
      </w:r>
      <w:r w:rsidRPr="002029AF">
        <w:t>new</w:t>
      </w:r>
      <w:r w:rsidR="000A5329" w:rsidRPr="002029AF">
        <w:t xml:space="preserve"> </w:t>
      </w:r>
      <w:r w:rsidRPr="002029AF">
        <w:t>climate</w:t>
      </w:r>
      <w:r w:rsidR="000A5329" w:rsidRPr="002029AF">
        <w:t xml:space="preserve"> </w:t>
      </w:r>
      <w:r w:rsidRPr="002029AF">
        <w:t>change</w:t>
      </w:r>
      <w:r w:rsidR="000A5329" w:rsidRPr="002029AF">
        <w:t xml:space="preserve"> </w:t>
      </w:r>
      <w:r w:rsidRPr="002029AF">
        <w:t>and</w:t>
      </w:r>
      <w:r w:rsidR="000A5329" w:rsidRPr="002029AF">
        <w:t xml:space="preserve"> </w:t>
      </w:r>
      <w:r w:rsidRPr="002029AF">
        <w:t>health</w:t>
      </w:r>
      <w:r w:rsidR="000A5329" w:rsidRPr="002029AF">
        <w:t xml:space="preserve"> </w:t>
      </w:r>
      <w:r w:rsidRPr="002029AF">
        <w:t>resources</w:t>
      </w:r>
      <w:r w:rsidR="000A5329" w:rsidRPr="002029AF">
        <w:t xml:space="preserve"> </w:t>
      </w:r>
      <w:r w:rsidRPr="002029AF">
        <w:t>on</w:t>
      </w:r>
      <w:r w:rsidR="000A5329" w:rsidRPr="002029AF">
        <w:t xml:space="preserve"> </w:t>
      </w:r>
      <w:r w:rsidRPr="002029AF">
        <w:t>the</w:t>
      </w:r>
      <w:r w:rsidR="000A5329" w:rsidRPr="002029AF">
        <w:t xml:space="preserve"> </w:t>
      </w:r>
      <w:r w:rsidRPr="002029AF">
        <w:t>Better</w:t>
      </w:r>
      <w:r w:rsidR="000A5329" w:rsidRPr="002029AF">
        <w:t xml:space="preserve"> </w:t>
      </w:r>
      <w:r w:rsidRPr="002029AF">
        <w:t>Health</w:t>
      </w:r>
      <w:r w:rsidR="000A5329" w:rsidRPr="002029AF">
        <w:t xml:space="preserve"> </w:t>
      </w:r>
      <w:r w:rsidRPr="002029AF">
        <w:t>Channel,</w:t>
      </w:r>
      <w:r w:rsidR="000A5329" w:rsidRPr="002029AF">
        <w:t xml:space="preserve"> </w:t>
      </w:r>
      <w:r w:rsidRPr="002029AF">
        <w:t>to</w:t>
      </w:r>
      <w:r w:rsidR="000A5329" w:rsidRPr="002029AF">
        <w:t xml:space="preserve"> </w:t>
      </w:r>
      <w:r w:rsidRPr="002029AF">
        <w:t>support</w:t>
      </w:r>
      <w:r w:rsidR="000A5329" w:rsidRPr="002029AF">
        <w:t xml:space="preserve"> </w:t>
      </w:r>
      <w:r w:rsidRPr="002029AF">
        <w:t>community</w:t>
      </w:r>
      <w:r w:rsidR="000A5329" w:rsidRPr="002029AF">
        <w:t xml:space="preserve"> </w:t>
      </w:r>
      <w:r w:rsidRPr="002029AF">
        <w:t>adaptation</w:t>
      </w:r>
      <w:r w:rsidR="000A5329" w:rsidRPr="002029AF">
        <w:t xml:space="preserve"> </w:t>
      </w:r>
      <w:r w:rsidRPr="002029AF">
        <w:t>to</w:t>
      </w:r>
      <w:r w:rsidR="000A5329" w:rsidRPr="002029AF">
        <w:t xml:space="preserve"> </w:t>
      </w:r>
      <w:r w:rsidRPr="002029AF">
        <w:t>the</w:t>
      </w:r>
      <w:r w:rsidR="000A5329" w:rsidRPr="002029AF">
        <w:t xml:space="preserve"> </w:t>
      </w:r>
      <w:r w:rsidRPr="002029AF">
        <w:t>health</w:t>
      </w:r>
      <w:r w:rsidR="000A5329" w:rsidRPr="002029AF">
        <w:t xml:space="preserve"> </w:t>
      </w:r>
      <w:r w:rsidRPr="002029AF">
        <w:t>impacts</w:t>
      </w:r>
      <w:r w:rsidR="000A5329" w:rsidRPr="002029AF">
        <w:t xml:space="preserve"> </w:t>
      </w:r>
      <w:r w:rsidRPr="002029AF">
        <w:t>of</w:t>
      </w:r>
      <w:r w:rsidR="000A5329" w:rsidRPr="002029AF">
        <w:t xml:space="preserve"> </w:t>
      </w:r>
      <w:r w:rsidRPr="002029AF">
        <w:t>climate</w:t>
      </w:r>
      <w:r w:rsidR="000A5329" w:rsidRPr="002029AF">
        <w:t xml:space="preserve"> </w:t>
      </w:r>
      <w:r w:rsidRPr="002029AF">
        <w:t>change</w:t>
      </w:r>
      <w:r w:rsidR="000A5329" w:rsidRPr="002029AF">
        <w:t xml:space="preserve"> </w:t>
      </w:r>
      <w:r w:rsidRPr="002029AF">
        <w:t>and</w:t>
      </w:r>
      <w:r w:rsidR="000A5329" w:rsidRPr="002029AF">
        <w:t xml:space="preserve"> </w:t>
      </w:r>
      <w:r w:rsidRPr="002029AF">
        <w:t>encourage</w:t>
      </w:r>
      <w:r w:rsidR="000A5329" w:rsidRPr="002029AF">
        <w:t xml:space="preserve"> </w:t>
      </w:r>
      <w:r w:rsidRPr="002029AF">
        <w:t>actions</w:t>
      </w:r>
      <w:r w:rsidR="000A5329" w:rsidRPr="002029AF">
        <w:t xml:space="preserve"> </w:t>
      </w:r>
      <w:r w:rsidRPr="002029AF">
        <w:t>that</w:t>
      </w:r>
      <w:r w:rsidR="000A5329" w:rsidRPr="002029AF">
        <w:t xml:space="preserve"> </w:t>
      </w:r>
      <w:r w:rsidRPr="002029AF">
        <w:t>the</w:t>
      </w:r>
      <w:r w:rsidR="000A5329" w:rsidRPr="002029AF">
        <w:t xml:space="preserve"> </w:t>
      </w:r>
      <w:r w:rsidRPr="002029AF">
        <w:t>Victorian</w:t>
      </w:r>
      <w:r w:rsidR="000A5329" w:rsidRPr="002029AF">
        <w:t xml:space="preserve"> </w:t>
      </w:r>
      <w:r w:rsidRPr="002029AF">
        <w:t>community</w:t>
      </w:r>
      <w:r w:rsidR="000A5329" w:rsidRPr="002029AF">
        <w:t xml:space="preserve"> </w:t>
      </w:r>
      <w:r w:rsidRPr="002029AF">
        <w:t>can</w:t>
      </w:r>
      <w:r w:rsidR="000A5329" w:rsidRPr="002029AF">
        <w:t xml:space="preserve"> </w:t>
      </w:r>
      <w:r w:rsidRPr="002029AF">
        <w:t>take</w:t>
      </w:r>
      <w:r w:rsidR="000A5329" w:rsidRPr="002029AF">
        <w:t xml:space="preserve"> </w:t>
      </w:r>
      <w:r w:rsidRPr="002029AF">
        <w:t>to</w:t>
      </w:r>
      <w:r w:rsidR="006F2C99" w:rsidRPr="002029AF">
        <w:t> </w:t>
      </w:r>
      <w:r w:rsidRPr="002029AF">
        <w:t>reduce</w:t>
      </w:r>
      <w:r w:rsidR="000A5329" w:rsidRPr="002029AF">
        <w:t xml:space="preserve"> </w:t>
      </w:r>
      <w:r w:rsidRPr="002029AF">
        <w:t>emissions</w:t>
      </w:r>
      <w:r w:rsidR="000A5329" w:rsidRPr="002029AF">
        <w:t xml:space="preserve"> </w:t>
      </w:r>
      <w:r w:rsidRPr="002029AF">
        <w:t>and</w:t>
      </w:r>
      <w:r w:rsidR="000A5329" w:rsidRPr="002029AF">
        <w:t xml:space="preserve"> </w:t>
      </w:r>
      <w:r w:rsidRPr="002029AF">
        <w:t>stay</w:t>
      </w:r>
      <w:r w:rsidR="000A5329" w:rsidRPr="002029AF">
        <w:t xml:space="preserve"> </w:t>
      </w:r>
      <w:r w:rsidRPr="002029AF">
        <w:t>healthy</w:t>
      </w:r>
      <w:r w:rsidR="000A5329" w:rsidRPr="002029AF">
        <w:t xml:space="preserve"> </w:t>
      </w:r>
      <w:r w:rsidRPr="002029AF">
        <w:t>at</w:t>
      </w:r>
      <w:r w:rsidR="000A5329" w:rsidRPr="002029AF">
        <w:t xml:space="preserve"> </w:t>
      </w:r>
      <w:r w:rsidRPr="002029AF">
        <w:t>the</w:t>
      </w:r>
      <w:r w:rsidR="000A5329" w:rsidRPr="002029AF">
        <w:t xml:space="preserve"> </w:t>
      </w:r>
      <w:r w:rsidRPr="002029AF">
        <w:t>same</w:t>
      </w:r>
      <w:r w:rsidR="000A5329" w:rsidRPr="002029AF">
        <w:t xml:space="preserve"> </w:t>
      </w:r>
      <w:r w:rsidRPr="002029AF">
        <w:t>time</w:t>
      </w:r>
    </w:p>
    <w:p w14:paraId="60D01710" w14:textId="4C62EC87" w:rsidR="00CF72D5" w:rsidRPr="002029AF" w:rsidRDefault="00CF72D5" w:rsidP="005A6B8E">
      <w:pPr>
        <w:pStyle w:val="ARbullet1"/>
      </w:pPr>
      <w:r w:rsidRPr="002029AF">
        <w:t>undertook</w:t>
      </w:r>
      <w:r w:rsidR="000A5329" w:rsidRPr="002029AF">
        <w:t xml:space="preserve"> </w:t>
      </w:r>
      <w:r w:rsidRPr="002029AF">
        <w:t>state-wide</w:t>
      </w:r>
      <w:r w:rsidR="000A5329" w:rsidRPr="002029AF">
        <w:t xml:space="preserve"> </w:t>
      </w:r>
      <w:r w:rsidRPr="002029AF">
        <w:t>consultation</w:t>
      </w:r>
      <w:r w:rsidR="000A5329" w:rsidRPr="002029AF">
        <w:t xml:space="preserve"> </w:t>
      </w:r>
      <w:r w:rsidRPr="002029AF">
        <w:t>with</w:t>
      </w:r>
      <w:r w:rsidR="000A5329" w:rsidRPr="002029AF">
        <w:t xml:space="preserve"> </w:t>
      </w:r>
      <w:r w:rsidRPr="002029AF">
        <w:t>local</w:t>
      </w:r>
      <w:r w:rsidR="006F2C99" w:rsidRPr="002029AF">
        <w:t> </w:t>
      </w:r>
      <w:r w:rsidRPr="002029AF">
        <w:t>councils</w:t>
      </w:r>
      <w:r w:rsidR="000A5329" w:rsidRPr="002029AF">
        <w:t xml:space="preserve"> </w:t>
      </w:r>
      <w:r w:rsidRPr="002029AF">
        <w:t>across</w:t>
      </w:r>
      <w:r w:rsidR="000A5329" w:rsidRPr="002029AF">
        <w:t xml:space="preserve"> </w:t>
      </w:r>
      <w:r w:rsidRPr="002029AF">
        <w:t>Victoria</w:t>
      </w:r>
      <w:r w:rsidR="000A5329" w:rsidRPr="002029AF">
        <w:t xml:space="preserve"> </w:t>
      </w:r>
      <w:r w:rsidRPr="002029AF">
        <w:t>to</w:t>
      </w:r>
      <w:r w:rsidR="000A5329" w:rsidRPr="002029AF">
        <w:t xml:space="preserve"> </w:t>
      </w:r>
      <w:r w:rsidRPr="002029AF">
        <w:t>inform</w:t>
      </w:r>
      <w:r w:rsidR="000A5329" w:rsidRPr="002029AF">
        <w:t xml:space="preserve"> </w:t>
      </w:r>
      <w:r w:rsidRPr="002029AF">
        <w:t>the</w:t>
      </w:r>
      <w:r w:rsidR="000A5329" w:rsidRPr="002029AF">
        <w:t xml:space="preserve"> </w:t>
      </w:r>
      <w:r w:rsidRPr="002029AF">
        <w:t>development</w:t>
      </w:r>
      <w:r w:rsidR="000A5329" w:rsidRPr="002029AF">
        <w:t xml:space="preserve"> </w:t>
      </w:r>
      <w:r w:rsidRPr="002029AF">
        <w:t>of</w:t>
      </w:r>
      <w:r w:rsidR="000A5329" w:rsidRPr="002029AF">
        <w:t xml:space="preserve"> </w:t>
      </w:r>
      <w:r w:rsidRPr="002029AF">
        <w:t>new</w:t>
      </w:r>
      <w:r w:rsidR="000A5329" w:rsidRPr="002029AF">
        <w:t xml:space="preserve"> </w:t>
      </w:r>
      <w:r w:rsidRPr="002029AF">
        <w:t>guidance</w:t>
      </w:r>
      <w:r w:rsidR="000A5329" w:rsidRPr="002029AF">
        <w:t xml:space="preserve"> </w:t>
      </w:r>
      <w:r w:rsidRPr="002029AF">
        <w:t>to</w:t>
      </w:r>
      <w:r w:rsidR="000A5329" w:rsidRPr="002029AF">
        <w:t xml:space="preserve"> </w:t>
      </w:r>
      <w:r w:rsidRPr="002029AF">
        <w:t>tackle</w:t>
      </w:r>
      <w:r w:rsidR="000A5329" w:rsidRPr="002029AF">
        <w:t xml:space="preserve"> </w:t>
      </w:r>
      <w:r w:rsidRPr="002029AF">
        <w:t>climate</w:t>
      </w:r>
      <w:r w:rsidR="000A5329" w:rsidRPr="002029AF">
        <w:t xml:space="preserve"> </w:t>
      </w:r>
      <w:r w:rsidRPr="002029AF">
        <w:t>change</w:t>
      </w:r>
      <w:r w:rsidR="000A5329" w:rsidRPr="002029AF">
        <w:t xml:space="preserve"> </w:t>
      </w:r>
      <w:r w:rsidRPr="002029AF">
        <w:t>and</w:t>
      </w:r>
      <w:r w:rsidR="000A5329" w:rsidRPr="002029AF">
        <w:t xml:space="preserve"> </w:t>
      </w:r>
      <w:r w:rsidRPr="002029AF">
        <w:t>its</w:t>
      </w:r>
      <w:r w:rsidR="000A5329" w:rsidRPr="002029AF">
        <w:t xml:space="preserve"> </w:t>
      </w:r>
      <w:r w:rsidRPr="002029AF">
        <w:t>impacts</w:t>
      </w:r>
      <w:r w:rsidR="000A5329" w:rsidRPr="002029AF">
        <w:t xml:space="preserve"> </w:t>
      </w:r>
      <w:r w:rsidRPr="002029AF">
        <w:t>on</w:t>
      </w:r>
      <w:r w:rsidR="000A5329" w:rsidRPr="002029AF">
        <w:t xml:space="preserve"> </w:t>
      </w:r>
      <w:r w:rsidRPr="002029AF">
        <w:t>health</w:t>
      </w:r>
      <w:r w:rsidR="000A5329" w:rsidRPr="002029AF">
        <w:t xml:space="preserve"> </w:t>
      </w:r>
      <w:r w:rsidRPr="002029AF">
        <w:t>through</w:t>
      </w:r>
      <w:r w:rsidR="000A5329" w:rsidRPr="002029AF">
        <w:t xml:space="preserve"> </w:t>
      </w:r>
      <w:r w:rsidRPr="002029AF">
        <w:t>municipal</w:t>
      </w:r>
      <w:r w:rsidR="000A5329" w:rsidRPr="002029AF">
        <w:t xml:space="preserve"> </w:t>
      </w:r>
      <w:r w:rsidRPr="002029AF">
        <w:t>public</w:t>
      </w:r>
      <w:r w:rsidR="000A5329" w:rsidRPr="002029AF">
        <w:t xml:space="preserve"> </w:t>
      </w:r>
      <w:r w:rsidRPr="002029AF">
        <w:t>health</w:t>
      </w:r>
      <w:r w:rsidR="000A5329" w:rsidRPr="002029AF">
        <w:t xml:space="preserve"> </w:t>
      </w:r>
      <w:r w:rsidRPr="002029AF">
        <w:t>and</w:t>
      </w:r>
      <w:r w:rsidR="000A5329" w:rsidRPr="002029AF">
        <w:t xml:space="preserve"> </w:t>
      </w:r>
      <w:r w:rsidRPr="002029AF">
        <w:t>wellbeing</w:t>
      </w:r>
      <w:r w:rsidR="000A5329" w:rsidRPr="002029AF">
        <w:t xml:space="preserve"> </w:t>
      </w:r>
      <w:r w:rsidRPr="002029AF">
        <w:t>planning.</w:t>
      </w:r>
    </w:p>
    <w:p w14:paraId="2A11A85D" w14:textId="77777777" w:rsidR="00CF72D5" w:rsidRPr="002029AF" w:rsidRDefault="00CF72D5" w:rsidP="00961519">
      <w:pPr>
        <w:pStyle w:val="Heading5"/>
      </w:pPr>
      <w:r w:rsidRPr="002029AF">
        <w:t>Targets</w:t>
      </w:r>
    </w:p>
    <w:p w14:paraId="0274D2AD" w14:textId="4E0660D8" w:rsidR="00CF72D5" w:rsidRPr="002029AF" w:rsidRDefault="00CF72D5" w:rsidP="005A6B8E">
      <w:pPr>
        <w:pStyle w:val="ARbody"/>
      </w:pPr>
      <w:r w:rsidRPr="002029AF">
        <w:t>The</w:t>
      </w:r>
      <w:r w:rsidR="000A5329" w:rsidRPr="002029AF">
        <w:t xml:space="preserve"> </w:t>
      </w:r>
      <w:r w:rsidRPr="002029AF">
        <w:t>2020–21</w:t>
      </w:r>
      <w:r w:rsidR="000A5329" w:rsidRPr="002029AF">
        <w:t xml:space="preserve"> </w:t>
      </w:r>
      <w:r w:rsidRPr="002029AF">
        <w:t>environmental</w:t>
      </w:r>
      <w:r w:rsidR="000A5329" w:rsidRPr="002029AF">
        <w:t xml:space="preserve"> </w:t>
      </w:r>
      <w:r w:rsidRPr="002029AF">
        <w:t>management</w:t>
      </w:r>
      <w:r w:rsidR="000A5329" w:rsidRPr="002029AF">
        <w:t xml:space="preserve"> </w:t>
      </w:r>
      <w:r w:rsidRPr="002029AF">
        <w:t>system</w:t>
      </w:r>
      <w:r w:rsidR="000A5329" w:rsidRPr="002029AF">
        <w:t xml:space="preserve"> </w:t>
      </w:r>
      <w:r w:rsidRPr="002029AF">
        <w:t>targets</w:t>
      </w:r>
      <w:r w:rsidR="000A5329" w:rsidRPr="002029AF">
        <w:t xml:space="preserve"> </w:t>
      </w:r>
      <w:r w:rsidRPr="002029AF">
        <w:t>for</w:t>
      </w:r>
      <w:r w:rsidR="000A5329" w:rsidRPr="002029AF">
        <w:t xml:space="preserve"> </w:t>
      </w:r>
      <w:r w:rsidRPr="002029AF">
        <w:t>climate</w:t>
      </w:r>
      <w:r w:rsidR="000A5329" w:rsidRPr="002029AF">
        <w:t xml:space="preserve"> </w:t>
      </w:r>
      <w:r w:rsidRPr="002029AF">
        <w:t>change</w:t>
      </w:r>
      <w:r w:rsidR="000A5329" w:rsidRPr="002029AF">
        <w:t xml:space="preserve"> </w:t>
      </w:r>
      <w:r w:rsidRPr="002029AF">
        <w:t>adaptation</w:t>
      </w:r>
      <w:r w:rsidR="000A5329" w:rsidRPr="002029AF">
        <w:t xml:space="preserve"> </w:t>
      </w:r>
      <w:r w:rsidRPr="002029AF">
        <w:t>are</w:t>
      </w:r>
      <w:r w:rsidR="000A5329" w:rsidRPr="002029AF">
        <w:t xml:space="preserve"> </w:t>
      </w:r>
      <w:r w:rsidRPr="002029AF">
        <w:t>to:</w:t>
      </w:r>
    </w:p>
    <w:p w14:paraId="678F6508" w14:textId="3D8DD907" w:rsidR="000A5329" w:rsidRPr="002029AF" w:rsidRDefault="00CF72D5" w:rsidP="005A6B8E">
      <w:pPr>
        <w:pStyle w:val="ARbullet1"/>
      </w:pPr>
      <w:r w:rsidRPr="002029AF">
        <w:t>deliver</w:t>
      </w:r>
      <w:r w:rsidR="000A5329" w:rsidRPr="002029AF">
        <w:t xml:space="preserve"> </w:t>
      </w:r>
      <w:r w:rsidRPr="002029AF">
        <w:t>the</w:t>
      </w:r>
      <w:r w:rsidR="000A5329" w:rsidRPr="002029AF">
        <w:t xml:space="preserve"> </w:t>
      </w:r>
      <w:r w:rsidRPr="002029AF">
        <w:t>Climate</w:t>
      </w:r>
      <w:r w:rsidR="000A5329" w:rsidRPr="002029AF">
        <w:t xml:space="preserve"> </w:t>
      </w:r>
      <w:r w:rsidRPr="002029AF">
        <w:t>Change</w:t>
      </w:r>
      <w:r w:rsidR="000A5329" w:rsidRPr="002029AF">
        <w:t xml:space="preserve"> </w:t>
      </w:r>
      <w:r w:rsidRPr="002029AF">
        <w:t>and</w:t>
      </w:r>
      <w:r w:rsidR="000A5329" w:rsidRPr="002029AF">
        <w:t xml:space="preserve"> </w:t>
      </w:r>
      <w:r w:rsidRPr="002029AF">
        <w:t>Social</w:t>
      </w:r>
      <w:r w:rsidR="000A5329" w:rsidRPr="002029AF">
        <w:t xml:space="preserve"> </w:t>
      </w:r>
      <w:r w:rsidRPr="002029AF">
        <w:t>Determinants</w:t>
      </w:r>
      <w:r w:rsidR="000A5329" w:rsidRPr="002029AF">
        <w:t xml:space="preserve"> </w:t>
      </w:r>
      <w:r w:rsidRPr="002029AF">
        <w:t>of</w:t>
      </w:r>
      <w:r w:rsidR="000A5329" w:rsidRPr="002029AF">
        <w:t xml:space="preserve"> </w:t>
      </w:r>
      <w:r w:rsidRPr="002029AF">
        <w:t>Health</w:t>
      </w:r>
      <w:r w:rsidR="000A5329" w:rsidRPr="002029AF">
        <w:t xml:space="preserve"> </w:t>
      </w:r>
      <w:r w:rsidRPr="002029AF">
        <w:t>and</w:t>
      </w:r>
      <w:r w:rsidR="000A5329" w:rsidRPr="002029AF">
        <w:t xml:space="preserve"> </w:t>
      </w:r>
      <w:r w:rsidRPr="002029AF">
        <w:t>Wellbeing</w:t>
      </w:r>
      <w:r w:rsidR="000A5329" w:rsidRPr="002029AF">
        <w:t xml:space="preserve"> </w:t>
      </w:r>
      <w:r w:rsidRPr="002029AF">
        <w:t>study.</w:t>
      </w:r>
      <w:r w:rsidR="000A5329" w:rsidRPr="002029AF">
        <w:t xml:space="preserve"> </w:t>
      </w:r>
      <w:r w:rsidRPr="002029AF">
        <w:t>The</w:t>
      </w:r>
      <w:r w:rsidR="000A5329" w:rsidRPr="002029AF">
        <w:t xml:space="preserve"> </w:t>
      </w:r>
      <w:r w:rsidRPr="002029AF">
        <w:t>study</w:t>
      </w:r>
      <w:r w:rsidR="000A5329" w:rsidRPr="002029AF">
        <w:t xml:space="preserve"> </w:t>
      </w:r>
      <w:r w:rsidRPr="002029AF">
        <w:t>examines</w:t>
      </w:r>
      <w:r w:rsidR="000A5329" w:rsidRPr="002029AF">
        <w:t xml:space="preserve"> </w:t>
      </w:r>
      <w:r w:rsidRPr="002029AF">
        <w:t>the</w:t>
      </w:r>
      <w:r w:rsidR="000A5329" w:rsidRPr="002029AF">
        <w:t xml:space="preserve"> </w:t>
      </w:r>
      <w:r w:rsidRPr="002029AF">
        <w:t>costs</w:t>
      </w:r>
      <w:r w:rsidR="000A5329" w:rsidRPr="002029AF">
        <w:t xml:space="preserve"> </w:t>
      </w:r>
      <w:r w:rsidRPr="002029AF">
        <w:t>arising</w:t>
      </w:r>
      <w:r w:rsidR="000A5329" w:rsidRPr="002029AF">
        <w:t xml:space="preserve"> </w:t>
      </w:r>
      <w:r w:rsidRPr="002029AF">
        <w:t>from</w:t>
      </w:r>
      <w:r w:rsidR="000A5329" w:rsidRPr="002029AF">
        <w:t xml:space="preserve"> </w:t>
      </w:r>
      <w:r w:rsidRPr="002029AF">
        <w:t>climate</w:t>
      </w:r>
      <w:r w:rsidR="000A5329" w:rsidRPr="002029AF">
        <w:t xml:space="preserve"> </w:t>
      </w:r>
      <w:r w:rsidRPr="002029AF">
        <w:t>change</w:t>
      </w:r>
      <w:r w:rsidR="000A5329" w:rsidRPr="002029AF">
        <w:t xml:space="preserve"> </w:t>
      </w:r>
      <w:r w:rsidRPr="002029AF">
        <w:t>impacts</w:t>
      </w:r>
      <w:r w:rsidR="000A5329" w:rsidRPr="002029AF">
        <w:t xml:space="preserve"> </w:t>
      </w:r>
      <w:r w:rsidRPr="002029AF">
        <w:t>on</w:t>
      </w:r>
      <w:r w:rsidR="000A5329" w:rsidRPr="002029AF">
        <w:t xml:space="preserve"> </w:t>
      </w:r>
      <w:r w:rsidRPr="002029AF">
        <w:t>the</w:t>
      </w:r>
      <w:r w:rsidR="000A5329" w:rsidRPr="002029AF">
        <w:t xml:space="preserve"> </w:t>
      </w:r>
      <w:r w:rsidRPr="002029AF">
        <w:t>social</w:t>
      </w:r>
      <w:r w:rsidR="000A5329" w:rsidRPr="002029AF">
        <w:t xml:space="preserve"> </w:t>
      </w:r>
      <w:r w:rsidRPr="002029AF">
        <w:t>determinants</w:t>
      </w:r>
      <w:r w:rsidR="000A5329" w:rsidRPr="002029AF">
        <w:t xml:space="preserve"> </w:t>
      </w:r>
      <w:r w:rsidRPr="002029AF">
        <w:t>of</w:t>
      </w:r>
      <w:r w:rsidR="000A5329" w:rsidRPr="002029AF">
        <w:t xml:space="preserve"> </w:t>
      </w:r>
      <w:r w:rsidRPr="002029AF">
        <w:t>health</w:t>
      </w:r>
      <w:r w:rsidR="000A5329" w:rsidRPr="002029AF">
        <w:t xml:space="preserve"> </w:t>
      </w:r>
      <w:r w:rsidRPr="002029AF">
        <w:t>and</w:t>
      </w:r>
      <w:r w:rsidR="000A5329" w:rsidRPr="002029AF">
        <w:t xml:space="preserve"> </w:t>
      </w:r>
      <w:r w:rsidRPr="002029AF">
        <w:t>wellbeing</w:t>
      </w:r>
    </w:p>
    <w:p w14:paraId="108A0DF9" w14:textId="5E445B48" w:rsidR="00CF72D5" w:rsidRPr="002029AF" w:rsidRDefault="00CF72D5" w:rsidP="005A6B8E">
      <w:pPr>
        <w:pStyle w:val="ARbullet1"/>
      </w:pPr>
      <w:r w:rsidRPr="002029AF">
        <w:t>publish</w:t>
      </w:r>
      <w:r w:rsidR="000A5329" w:rsidRPr="002029AF">
        <w:t xml:space="preserve"> </w:t>
      </w:r>
      <w:r w:rsidRPr="002029AF">
        <w:t>new</w:t>
      </w:r>
      <w:r w:rsidR="000A5329" w:rsidRPr="002029AF">
        <w:t xml:space="preserve"> </w:t>
      </w:r>
      <w:r w:rsidRPr="002029AF">
        <w:t>guidance</w:t>
      </w:r>
      <w:r w:rsidR="000A5329" w:rsidRPr="002029AF">
        <w:t xml:space="preserve"> </w:t>
      </w:r>
      <w:r w:rsidRPr="002029AF">
        <w:t>for</w:t>
      </w:r>
      <w:r w:rsidR="000A5329" w:rsidRPr="002029AF">
        <w:t xml:space="preserve"> </w:t>
      </w:r>
      <w:r w:rsidRPr="002029AF">
        <w:t>local</w:t>
      </w:r>
      <w:r w:rsidR="000A5329" w:rsidRPr="002029AF">
        <w:t xml:space="preserve"> </w:t>
      </w:r>
      <w:r w:rsidRPr="002029AF">
        <w:t>councils</w:t>
      </w:r>
      <w:r w:rsidR="000A5329" w:rsidRPr="002029AF">
        <w:t xml:space="preserve"> </w:t>
      </w:r>
      <w:r w:rsidRPr="002029AF">
        <w:t>to</w:t>
      </w:r>
      <w:r w:rsidR="000A5329" w:rsidRPr="002029AF">
        <w:t xml:space="preserve"> </w:t>
      </w:r>
      <w:r w:rsidRPr="002029AF">
        <w:t>support</w:t>
      </w:r>
      <w:r w:rsidR="000A5329" w:rsidRPr="002029AF">
        <w:t xml:space="preserve"> </w:t>
      </w:r>
      <w:r w:rsidRPr="002029AF">
        <w:t>them</w:t>
      </w:r>
      <w:r w:rsidR="000A5329" w:rsidRPr="002029AF">
        <w:t xml:space="preserve"> </w:t>
      </w:r>
      <w:r w:rsidRPr="002029AF">
        <w:t>in</w:t>
      </w:r>
      <w:r w:rsidR="000A5329" w:rsidRPr="002029AF">
        <w:t xml:space="preserve"> </w:t>
      </w:r>
      <w:r w:rsidRPr="002029AF">
        <w:t>combating</w:t>
      </w:r>
      <w:r w:rsidR="000A5329" w:rsidRPr="002029AF">
        <w:t xml:space="preserve"> </w:t>
      </w:r>
      <w:r w:rsidRPr="002029AF">
        <w:t>climate</w:t>
      </w:r>
      <w:r w:rsidR="000A5329" w:rsidRPr="002029AF">
        <w:t xml:space="preserve"> </w:t>
      </w:r>
      <w:r w:rsidRPr="002029AF">
        <w:t>change</w:t>
      </w:r>
      <w:r w:rsidR="000A5329" w:rsidRPr="002029AF">
        <w:t xml:space="preserve"> </w:t>
      </w:r>
      <w:r w:rsidRPr="002029AF">
        <w:t>at</w:t>
      </w:r>
      <w:r w:rsidR="000A5329" w:rsidRPr="002029AF">
        <w:t xml:space="preserve"> </w:t>
      </w:r>
      <w:r w:rsidRPr="002029AF">
        <w:t>a</w:t>
      </w:r>
      <w:r w:rsidR="000A5329" w:rsidRPr="002029AF">
        <w:t xml:space="preserve"> </w:t>
      </w:r>
      <w:r w:rsidRPr="002029AF">
        <w:t>local</w:t>
      </w:r>
      <w:r w:rsidR="000A5329" w:rsidRPr="002029AF">
        <w:t xml:space="preserve"> </w:t>
      </w:r>
      <w:r w:rsidRPr="002029AF">
        <w:t>level</w:t>
      </w:r>
      <w:r w:rsidR="000A5329" w:rsidRPr="002029AF">
        <w:t xml:space="preserve"> </w:t>
      </w:r>
      <w:r w:rsidRPr="002029AF">
        <w:t>and</w:t>
      </w:r>
      <w:r w:rsidR="000A5329" w:rsidRPr="002029AF">
        <w:t xml:space="preserve"> </w:t>
      </w:r>
      <w:r w:rsidRPr="002029AF">
        <w:t>mitigating</w:t>
      </w:r>
      <w:r w:rsidR="000A5329" w:rsidRPr="002029AF">
        <w:t xml:space="preserve"> </w:t>
      </w:r>
      <w:r w:rsidRPr="002029AF">
        <w:t>impacts</w:t>
      </w:r>
      <w:r w:rsidR="000A5329" w:rsidRPr="002029AF">
        <w:t xml:space="preserve"> </w:t>
      </w:r>
      <w:r w:rsidRPr="002029AF">
        <w:t>on</w:t>
      </w:r>
      <w:r w:rsidR="000A5329" w:rsidRPr="002029AF">
        <w:t xml:space="preserve"> </w:t>
      </w:r>
      <w:r w:rsidRPr="002029AF">
        <w:t>community</w:t>
      </w:r>
      <w:r w:rsidR="000A5329" w:rsidRPr="002029AF">
        <w:t xml:space="preserve"> </w:t>
      </w:r>
      <w:r w:rsidRPr="002029AF">
        <w:t>health.</w:t>
      </w:r>
    </w:p>
    <w:p w14:paraId="3808F07B" w14:textId="77777777" w:rsidR="00E3577B" w:rsidRPr="002029AF" w:rsidRDefault="00E3577B" w:rsidP="00E3577B">
      <w:pPr>
        <w:pStyle w:val="ARbody"/>
      </w:pPr>
      <w:r w:rsidRPr="002029AF">
        <w:br w:type="page"/>
      </w:r>
    </w:p>
    <w:p w14:paraId="1B46CD92" w14:textId="6D963F57" w:rsidR="00CF72D5" w:rsidRPr="002029AF" w:rsidRDefault="00CF72D5" w:rsidP="00961519">
      <w:pPr>
        <w:pStyle w:val="Heading4"/>
      </w:pPr>
      <w:r w:rsidRPr="002029AF">
        <w:lastRenderedPageBreak/>
        <w:t>Communications</w:t>
      </w:r>
      <w:r w:rsidR="000A5329" w:rsidRPr="002029AF">
        <w:t xml:space="preserve"> </w:t>
      </w:r>
      <w:r w:rsidRPr="002029AF">
        <w:t>and</w:t>
      </w:r>
      <w:r w:rsidR="000A5329" w:rsidRPr="002029AF">
        <w:t xml:space="preserve"> </w:t>
      </w:r>
      <w:r w:rsidRPr="002029AF">
        <w:t>behaviour</w:t>
      </w:r>
      <w:r w:rsidR="000A5329" w:rsidRPr="002029AF">
        <w:t xml:space="preserve"> </w:t>
      </w:r>
      <w:r w:rsidRPr="002029AF">
        <w:t>change</w:t>
      </w:r>
    </w:p>
    <w:p w14:paraId="064911CA" w14:textId="227EBBA2" w:rsidR="00CF72D5" w:rsidRPr="002029AF" w:rsidRDefault="00CF72D5" w:rsidP="005A6B8E">
      <w:pPr>
        <w:pStyle w:val="ARbody"/>
      </w:pPr>
      <w:r w:rsidRPr="002029AF">
        <w:t>The</w:t>
      </w:r>
      <w:r w:rsidR="000A5329" w:rsidRPr="002029AF">
        <w:t xml:space="preserve"> </w:t>
      </w:r>
      <w:r w:rsidRPr="002029AF">
        <w:t>department</w:t>
      </w:r>
      <w:r w:rsidR="000A5329" w:rsidRPr="002029AF">
        <w:t xml:space="preserve"> </w:t>
      </w:r>
      <w:r w:rsidRPr="002029AF">
        <w:t>promotes</w:t>
      </w:r>
      <w:r w:rsidR="000A5329" w:rsidRPr="002029AF">
        <w:t xml:space="preserve"> </w:t>
      </w:r>
      <w:r w:rsidRPr="002029AF">
        <w:t>sustainable</w:t>
      </w:r>
      <w:r w:rsidR="000A5329" w:rsidRPr="002029AF">
        <w:t xml:space="preserve"> </w:t>
      </w:r>
      <w:r w:rsidRPr="002029AF">
        <w:t>behaviour</w:t>
      </w:r>
      <w:r w:rsidR="000A5329" w:rsidRPr="002029AF">
        <w:t xml:space="preserve"> </w:t>
      </w:r>
      <w:r w:rsidRPr="002029AF">
        <w:t>to</w:t>
      </w:r>
      <w:r w:rsidR="00C83719" w:rsidRPr="002029AF">
        <w:t> </w:t>
      </w:r>
      <w:r w:rsidRPr="002029AF">
        <w:t>all</w:t>
      </w:r>
      <w:r w:rsidR="000A5329" w:rsidRPr="002029AF">
        <w:t xml:space="preserve"> </w:t>
      </w:r>
      <w:r w:rsidRPr="002029AF">
        <w:t>staff</w:t>
      </w:r>
      <w:r w:rsidR="000A5329" w:rsidRPr="002029AF">
        <w:t xml:space="preserve"> </w:t>
      </w:r>
      <w:r w:rsidRPr="002029AF">
        <w:t>and</w:t>
      </w:r>
      <w:r w:rsidR="000A5329" w:rsidRPr="002029AF">
        <w:t xml:space="preserve"> </w:t>
      </w:r>
      <w:r w:rsidRPr="002029AF">
        <w:t>aims</w:t>
      </w:r>
      <w:r w:rsidR="000A5329" w:rsidRPr="002029AF">
        <w:t xml:space="preserve"> </w:t>
      </w:r>
      <w:r w:rsidRPr="002029AF">
        <w:t>to</w:t>
      </w:r>
      <w:r w:rsidR="000A5329" w:rsidRPr="002029AF">
        <w:t xml:space="preserve"> </w:t>
      </w:r>
      <w:r w:rsidRPr="002029AF">
        <w:t>raise</w:t>
      </w:r>
      <w:r w:rsidR="000A5329" w:rsidRPr="002029AF">
        <w:t xml:space="preserve"> </w:t>
      </w:r>
      <w:r w:rsidRPr="002029AF">
        <w:t>awareness</w:t>
      </w:r>
      <w:r w:rsidR="000A5329" w:rsidRPr="002029AF">
        <w:t xml:space="preserve"> </w:t>
      </w:r>
      <w:r w:rsidRPr="002029AF">
        <w:t>and</w:t>
      </w:r>
      <w:r w:rsidR="000A5329" w:rsidRPr="002029AF">
        <w:t xml:space="preserve"> </w:t>
      </w:r>
      <w:r w:rsidRPr="002029AF">
        <w:t>engagement</w:t>
      </w:r>
      <w:r w:rsidR="000A5329" w:rsidRPr="002029AF">
        <w:t xml:space="preserve"> </w:t>
      </w:r>
      <w:r w:rsidRPr="002029AF">
        <w:t>with</w:t>
      </w:r>
      <w:r w:rsidR="000A5329" w:rsidRPr="002029AF">
        <w:t xml:space="preserve"> </w:t>
      </w:r>
      <w:r w:rsidRPr="002029AF">
        <w:t>environmental</w:t>
      </w:r>
      <w:r w:rsidR="000A5329" w:rsidRPr="002029AF">
        <w:t xml:space="preserve"> </w:t>
      </w:r>
      <w:r w:rsidRPr="002029AF">
        <w:t>issues</w:t>
      </w:r>
      <w:r w:rsidR="000A5329" w:rsidRPr="002029AF">
        <w:t xml:space="preserve"> </w:t>
      </w:r>
      <w:r w:rsidRPr="002029AF">
        <w:t>in</w:t>
      </w:r>
      <w:r w:rsidR="000A5329" w:rsidRPr="002029AF">
        <w:t xml:space="preserve"> </w:t>
      </w:r>
      <w:r w:rsidRPr="002029AF">
        <w:t>order</w:t>
      </w:r>
      <w:r w:rsidR="000A5329" w:rsidRPr="002029AF">
        <w:t xml:space="preserve"> </w:t>
      </w:r>
      <w:r w:rsidRPr="002029AF">
        <w:t>to</w:t>
      </w:r>
      <w:r w:rsidR="00C83719" w:rsidRPr="002029AF">
        <w:t> </w:t>
      </w:r>
      <w:r w:rsidRPr="002029AF">
        <w:t>drive</w:t>
      </w:r>
      <w:r w:rsidR="000A5329" w:rsidRPr="002029AF">
        <w:t xml:space="preserve"> </w:t>
      </w:r>
      <w:r w:rsidRPr="002029AF">
        <w:t>positive</w:t>
      </w:r>
      <w:r w:rsidR="000A5329" w:rsidRPr="002029AF">
        <w:t xml:space="preserve"> </w:t>
      </w:r>
      <w:r w:rsidRPr="002029AF">
        <w:t>environmental</w:t>
      </w:r>
      <w:r w:rsidR="000A5329" w:rsidRPr="002029AF">
        <w:t xml:space="preserve"> </w:t>
      </w:r>
      <w:r w:rsidRPr="002029AF">
        <w:t>outcomes.</w:t>
      </w:r>
    </w:p>
    <w:p w14:paraId="3C3C2B41" w14:textId="643EB8D2" w:rsidR="00CF72D5" w:rsidRPr="002029AF" w:rsidRDefault="00CF72D5" w:rsidP="005A6B8E">
      <w:pPr>
        <w:pStyle w:val="ARbody"/>
      </w:pPr>
      <w:r w:rsidRPr="002029AF">
        <w:t>In</w:t>
      </w:r>
      <w:r w:rsidR="000A5329" w:rsidRPr="002029AF">
        <w:t xml:space="preserve"> </w:t>
      </w:r>
      <w:r w:rsidRPr="002029AF">
        <w:t>2019–20,</w:t>
      </w:r>
      <w:r w:rsidR="000A5329" w:rsidRPr="002029AF">
        <w:t xml:space="preserve"> </w:t>
      </w:r>
      <w:r w:rsidRPr="002029AF">
        <w:t>the</w:t>
      </w:r>
      <w:r w:rsidR="000A5329" w:rsidRPr="002029AF">
        <w:t xml:space="preserve"> </w:t>
      </w:r>
      <w:r w:rsidRPr="002029AF">
        <w:t>department:</w:t>
      </w:r>
    </w:p>
    <w:p w14:paraId="6B543148" w14:textId="4F15FD3A" w:rsidR="00CF72D5" w:rsidRPr="002029AF" w:rsidRDefault="00CF72D5" w:rsidP="005A6B8E">
      <w:pPr>
        <w:pStyle w:val="ARbullet1"/>
      </w:pPr>
      <w:r w:rsidRPr="002029AF">
        <w:t>published</w:t>
      </w:r>
      <w:r w:rsidR="000A5329" w:rsidRPr="002029AF">
        <w:t xml:space="preserve"> </w:t>
      </w:r>
      <w:r w:rsidRPr="002029AF">
        <w:t>a</w:t>
      </w:r>
      <w:r w:rsidR="000A5329" w:rsidRPr="002029AF">
        <w:t xml:space="preserve"> </w:t>
      </w:r>
      <w:r w:rsidRPr="002029AF">
        <w:t>mid-year</w:t>
      </w:r>
      <w:r w:rsidR="000A5329" w:rsidRPr="002029AF">
        <w:t xml:space="preserve"> </w:t>
      </w:r>
      <w:r w:rsidRPr="002029AF">
        <w:t>progress</w:t>
      </w:r>
      <w:r w:rsidR="000A5329" w:rsidRPr="002029AF">
        <w:t xml:space="preserve"> </w:t>
      </w:r>
      <w:r w:rsidRPr="002029AF">
        <w:t>report</w:t>
      </w:r>
      <w:r w:rsidR="000A5329" w:rsidRPr="002029AF">
        <w:t xml:space="preserve"> </w:t>
      </w:r>
      <w:r w:rsidRPr="002029AF">
        <w:t>on</w:t>
      </w:r>
      <w:r w:rsidR="000A5329" w:rsidRPr="002029AF">
        <w:t xml:space="preserve"> </w:t>
      </w:r>
      <w:r w:rsidRPr="002029AF">
        <w:t>the</w:t>
      </w:r>
      <w:r w:rsidR="00C83719" w:rsidRPr="002029AF">
        <w:t> </w:t>
      </w:r>
      <w:r w:rsidRPr="002029AF">
        <w:t>implementation</w:t>
      </w:r>
      <w:r w:rsidR="000A5329" w:rsidRPr="002029AF">
        <w:t xml:space="preserve"> </w:t>
      </w:r>
      <w:r w:rsidRPr="002029AF">
        <w:t>of</w:t>
      </w:r>
      <w:r w:rsidR="000A5329" w:rsidRPr="002029AF">
        <w:t xml:space="preserve"> </w:t>
      </w:r>
      <w:r w:rsidRPr="002029AF">
        <w:t>the</w:t>
      </w:r>
      <w:r w:rsidR="000A5329" w:rsidRPr="002029AF">
        <w:t xml:space="preserve"> </w:t>
      </w:r>
      <w:r w:rsidRPr="002029AF">
        <w:t>Environmental</w:t>
      </w:r>
      <w:r w:rsidR="000A5329" w:rsidRPr="002029AF">
        <w:t xml:space="preserve"> </w:t>
      </w:r>
      <w:r w:rsidRPr="002029AF">
        <w:t>Sustainability</w:t>
      </w:r>
      <w:r w:rsidR="000A5329" w:rsidRPr="002029AF">
        <w:t xml:space="preserve"> </w:t>
      </w:r>
      <w:r w:rsidRPr="002029AF">
        <w:t>Strategy</w:t>
      </w:r>
      <w:r w:rsidR="000A5329" w:rsidRPr="002029AF">
        <w:t xml:space="preserve"> </w:t>
      </w:r>
      <w:r w:rsidRPr="002029AF">
        <w:rPr>
          <w:iCs/>
        </w:rPr>
        <w:t>2018–19</w:t>
      </w:r>
      <w:r w:rsidR="000A5329" w:rsidRPr="002029AF">
        <w:rPr>
          <w:iCs/>
        </w:rPr>
        <w:t xml:space="preserve"> </w:t>
      </w:r>
      <w:r w:rsidRPr="002029AF">
        <w:rPr>
          <w:iCs/>
        </w:rPr>
        <w:t>to</w:t>
      </w:r>
      <w:r w:rsidR="000A5329" w:rsidRPr="002029AF">
        <w:rPr>
          <w:iCs/>
        </w:rPr>
        <w:t xml:space="preserve"> </w:t>
      </w:r>
      <w:r w:rsidRPr="002029AF">
        <w:rPr>
          <w:iCs/>
        </w:rPr>
        <w:t>2022–23</w:t>
      </w:r>
      <w:r w:rsidR="000A5329" w:rsidRPr="002029AF">
        <w:rPr>
          <w:iCs/>
        </w:rPr>
        <w:t xml:space="preserve"> </w:t>
      </w:r>
      <w:r w:rsidRPr="002029AF">
        <w:t>for</w:t>
      </w:r>
      <w:r w:rsidR="00C83719" w:rsidRPr="002029AF">
        <w:rPr>
          <w:iCs/>
        </w:rPr>
        <w:t> </w:t>
      </w:r>
      <w:r w:rsidRPr="002029AF">
        <w:t>healthcare</w:t>
      </w:r>
    </w:p>
    <w:p w14:paraId="17F37ABD" w14:textId="26308BDA" w:rsidR="00CF72D5" w:rsidRPr="002029AF" w:rsidRDefault="00CF72D5" w:rsidP="005A6B8E">
      <w:pPr>
        <w:pStyle w:val="ARbullet1"/>
      </w:pPr>
      <w:r w:rsidRPr="002029AF">
        <w:t>prepared</w:t>
      </w:r>
      <w:r w:rsidR="000A5329" w:rsidRPr="002029AF">
        <w:t xml:space="preserve"> </w:t>
      </w:r>
      <w:r w:rsidRPr="002029AF">
        <w:t>a</w:t>
      </w:r>
      <w:r w:rsidR="000A5329" w:rsidRPr="002029AF">
        <w:t xml:space="preserve"> </w:t>
      </w:r>
      <w:r w:rsidRPr="002029AF">
        <w:t>new</w:t>
      </w:r>
      <w:r w:rsidR="000A5329" w:rsidRPr="002029AF">
        <w:t xml:space="preserve"> </w:t>
      </w:r>
      <w:r w:rsidRPr="002029AF">
        <w:t>environmental</w:t>
      </w:r>
      <w:r w:rsidR="000A5329" w:rsidRPr="002029AF">
        <w:t xml:space="preserve"> </w:t>
      </w:r>
      <w:r w:rsidRPr="002029AF">
        <w:t>management</w:t>
      </w:r>
      <w:r w:rsidR="000A5329" w:rsidRPr="002029AF">
        <w:t xml:space="preserve"> </w:t>
      </w:r>
      <w:r w:rsidRPr="002029AF">
        <w:t>plan</w:t>
      </w:r>
      <w:r w:rsidR="000A5329" w:rsidRPr="002029AF">
        <w:t xml:space="preserve"> </w:t>
      </w:r>
      <w:r w:rsidRPr="002029AF">
        <w:t>template</w:t>
      </w:r>
      <w:r w:rsidR="000A5329" w:rsidRPr="002029AF">
        <w:t xml:space="preserve"> </w:t>
      </w:r>
      <w:r w:rsidRPr="002029AF">
        <w:t>for</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aligned</w:t>
      </w:r>
      <w:r w:rsidR="000A5329" w:rsidRPr="002029AF">
        <w:t xml:space="preserve"> </w:t>
      </w:r>
      <w:r w:rsidRPr="002029AF">
        <w:t>with</w:t>
      </w:r>
      <w:r w:rsidR="000A5329" w:rsidRPr="002029AF">
        <w:t xml:space="preserve"> </w:t>
      </w:r>
      <w:r w:rsidRPr="002029AF">
        <w:t>the</w:t>
      </w:r>
      <w:r w:rsidR="000A5329" w:rsidRPr="002029AF">
        <w:t xml:space="preserve"> </w:t>
      </w:r>
      <w:r w:rsidRPr="002029AF">
        <w:t>department</w:t>
      </w:r>
      <w:r w:rsidR="005F298C">
        <w:t>’</w:t>
      </w:r>
      <w:r w:rsidRPr="002029AF">
        <w:t>s</w:t>
      </w:r>
      <w:r w:rsidR="000A5329" w:rsidRPr="002029AF">
        <w:t xml:space="preserve"> </w:t>
      </w:r>
      <w:r w:rsidRPr="002029AF">
        <w:t>sustainability</w:t>
      </w:r>
      <w:r w:rsidR="000A5329" w:rsidRPr="002029AF">
        <w:t xml:space="preserve"> </w:t>
      </w:r>
      <w:r w:rsidRPr="002029AF">
        <w:t>strategy.</w:t>
      </w:r>
      <w:r w:rsidR="000A5329" w:rsidRPr="002029AF">
        <w:t xml:space="preserve"> </w:t>
      </w:r>
      <w:r w:rsidRPr="002029AF">
        <w:t>The</w:t>
      </w:r>
      <w:r w:rsidR="000A5329" w:rsidRPr="002029AF">
        <w:t xml:space="preserve"> </w:t>
      </w:r>
      <w:r w:rsidRPr="002029AF">
        <w:t>template</w:t>
      </w:r>
      <w:r w:rsidR="000A5329" w:rsidRPr="002029AF">
        <w:t xml:space="preserve"> </w:t>
      </w:r>
      <w:r w:rsidRPr="002029AF">
        <w:t>provides</w:t>
      </w:r>
      <w:r w:rsidR="000A5329" w:rsidRPr="002029AF">
        <w:t xml:space="preserve"> </w:t>
      </w:r>
      <w:r w:rsidRPr="002029AF">
        <w:t>guidance</w:t>
      </w:r>
      <w:r w:rsidR="000A5329" w:rsidRPr="002029AF">
        <w:t xml:space="preserve"> </w:t>
      </w:r>
      <w:r w:rsidRPr="002029AF">
        <w:t>to</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on</w:t>
      </w:r>
      <w:r w:rsidR="000A5329" w:rsidRPr="002029AF">
        <w:t xml:space="preserve"> </w:t>
      </w:r>
      <w:r w:rsidRPr="002029AF">
        <w:t>preparing</w:t>
      </w:r>
      <w:r w:rsidR="000A5329" w:rsidRPr="002029AF">
        <w:t xml:space="preserve"> </w:t>
      </w:r>
      <w:r w:rsidRPr="002029AF">
        <w:t>environmental</w:t>
      </w:r>
      <w:r w:rsidR="000A5329" w:rsidRPr="002029AF">
        <w:t xml:space="preserve"> </w:t>
      </w:r>
      <w:r w:rsidRPr="002029AF">
        <w:t>management</w:t>
      </w:r>
      <w:r w:rsidR="000A5329" w:rsidRPr="002029AF">
        <w:t xml:space="preserve"> </w:t>
      </w:r>
      <w:r w:rsidRPr="002029AF">
        <w:t>plans</w:t>
      </w:r>
      <w:r w:rsidR="00C83719" w:rsidRPr="002029AF">
        <w:t> </w:t>
      </w:r>
      <w:r w:rsidRPr="002029AF">
        <w:t>focussing</w:t>
      </w:r>
      <w:r w:rsidR="000A5329" w:rsidRPr="002029AF">
        <w:t xml:space="preserve"> </w:t>
      </w:r>
      <w:r w:rsidRPr="002029AF">
        <w:t>on</w:t>
      </w:r>
      <w:r w:rsidR="000A5329" w:rsidRPr="002029AF">
        <w:t xml:space="preserve"> </w:t>
      </w:r>
      <w:r w:rsidRPr="002029AF">
        <w:t>leadership,</w:t>
      </w:r>
      <w:r w:rsidR="000A5329" w:rsidRPr="002029AF">
        <w:t xml:space="preserve"> </w:t>
      </w:r>
      <w:r w:rsidRPr="002029AF">
        <w:t>environmental</w:t>
      </w:r>
      <w:r w:rsidR="000A5329" w:rsidRPr="002029AF">
        <w:t xml:space="preserve"> </w:t>
      </w:r>
      <w:r w:rsidRPr="002029AF">
        <w:t>performance,</w:t>
      </w:r>
      <w:r w:rsidR="000A5329" w:rsidRPr="002029AF">
        <w:t xml:space="preserve"> </w:t>
      </w:r>
      <w:r w:rsidRPr="002029AF">
        <w:t>climate</w:t>
      </w:r>
      <w:r w:rsidR="000A5329" w:rsidRPr="002029AF">
        <w:t xml:space="preserve"> </w:t>
      </w:r>
      <w:r w:rsidRPr="002029AF">
        <w:t>change,</w:t>
      </w:r>
      <w:r w:rsidR="000A5329" w:rsidRPr="002029AF">
        <w:t xml:space="preserve"> </w:t>
      </w:r>
      <w:r w:rsidRPr="002029AF">
        <w:t>governance</w:t>
      </w:r>
      <w:r w:rsidR="000A5329" w:rsidRPr="002029AF">
        <w:t xml:space="preserve"> </w:t>
      </w:r>
      <w:r w:rsidRPr="002029AF">
        <w:t>and</w:t>
      </w:r>
      <w:r w:rsidR="000A5329" w:rsidRPr="002029AF">
        <w:t xml:space="preserve"> </w:t>
      </w:r>
      <w:r w:rsidRPr="002029AF">
        <w:t>reporting</w:t>
      </w:r>
      <w:r w:rsidR="000A5329" w:rsidRPr="002029AF">
        <w:t xml:space="preserve"> </w:t>
      </w:r>
      <w:r w:rsidRPr="002029AF">
        <w:t>on</w:t>
      </w:r>
      <w:r w:rsidR="000A5329" w:rsidRPr="002029AF">
        <w:t xml:space="preserve"> </w:t>
      </w:r>
      <w:r w:rsidRPr="002029AF">
        <w:t>outcomes</w:t>
      </w:r>
      <w:r w:rsidR="000A5329" w:rsidRPr="002029AF">
        <w:t xml:space="preserve"> </w:t>
      </w:r>
      <w:r w:rsidRPr="002029AF">
        <w:t>of</w:t>
      </w:r>
      <w:r w:rsidR="000A5329" w:rsidRPr="002029AF">
        <w:t xml:space="preserve"> </w:t>
      </w:r>
      <w:r w:rsidRPr="002029AF">
        <w:t>action</w:t>
      </w:r>
      <w:r w:rsidR="000A5329" w:rsidRPr="002029AF">
        <w:t xml:space="preserve"> </w:t>
      </w:r>
      <w:r w:rsidRPr="002029AF">
        <w:t>plans</w:t>
      </w:r>
    </w:p>
    <w:p w14:paraId="72B86791" w14:textId="135F15C1" w:rsidR="00CF72D5" w:rsidRPr="002029AF" w:rsidRDefault="00CF72D5" w:rsidP="005A6B8E">
      <w:pPr>
        <w:pStyle w:val="ARbullet1"/>
      </w:pPr>
      <w:r w:rsidRPr="002029AF">
        <w:t>included</w:t>
      </w:r>
      <w:r w:rsidR="000A5329" w:rsidRPr="002029AF">
        <w:t xml:space="preserve"> </w:t>
      </w:r>
      <w:r w:rsidRPr="002029AF">
        <w:t>dedicated</w:t>
      </w:r>
      <w:r w:rsidR="000A5329" w:rsidRPr="002029AF">
        <w:t xml:space="preserve"> </w:t>
      </w:r>
      <w:r w:rsidRPr="002029AF">
        <w:t>sustainability</w:t>
      </w:r>
      <w:r w:rsidR="000A5329" w:rsidRPr="002029AF">
        <w:t xml:space="preserve"> </w:t>
      </w:r>
      <w:r w:rsidRPr="002029AF">
        <w:t>pages</w:t>
      </w:r>
      <w:r w:rsidR="000A5329" w:rsidRPr="002029AF">
        <w:t xml:space="preserve"> </w:t>
      </w:r>
      <w:r w:rsidRPr="002029AF">
        <w:t>on</w:t>
      </w:r>
      <w:r w:rsidR="000A5329" w:rsidRPr="002029AF">
        <w:t xml:space="preserve"> </w:t>
      </w:r>
      <w:r w:rsidRPr="002029AF">
        <w:t>the</w:t>
      </w:r>
      <w:r w:rsidR="00C83719" w:rsidRPr="002029AF">
        <w:t> </w:t>
      </w:r>
      <w:r w:rsidRPr="002029AF">
        <w:t>new</w:t>
      </w:r>
      <w:r w:rsidR="000A5329" w:rsidRPr="002029AF">
        <w:t xml:space="preserve"> </w:t>
      </w:r>
      <w:r w:rsidRPr="002029AF">
        <w:t>Victorian</w:t>
      </w:r>
      <w:r w:rsidR="000A5329" w:rsidRPr="002029AF">
        <w:t xml:space="preserve"> </w:t>
      </w:r>
      <w:r w:rsidRPr="002029AF">
        <w:t>Health</w:t>
      </w:r>
      <w:r w:rsidR="000A5329" w:rsidRPr="002029AF">
        <w:t xml:space="preserve"> </w:t>
      </w:r>
      <w:r w:rsidRPr="002029AF">
        <w:t>and</w:t>
      </w:r>
      <w:r w:rsidR="000A5329" w:rsidRPr="002029AF">
        <w:t xml:space="preserve"> </w:t>
      </w:r>
      <w:r w:rsidRPr="002029AF">
        <w:t>Human</w:t>
      </w:r>
      <w:r w:rsidR="000A5329" w:rsidRPr="002029AF">
        <w:t xml:space="preserve"> </w:t>
      </w:r>
      <w:r w:rsidRPr="002029AF">
        <w:t>Services</w:t>
      </w:r>
      <w:r w:rsidR="000A5329" w:rsidRPr="002029AF">
        <w:t xml:space="preserve"> </w:t>
      </w:r>
      <w:r w:rsidRPr="002029AF">
        <w:t>Building</w:t>
      </w:r>
      <w:r w:rsidR="000A5329" w:rsidRPr="002029AF">
        <w:t xml:space="preserve"> </w:t>
      </w:r>
      <w:r w:rsidRPr="002029AF">
        <w:t>Authority</w:t>
      </w:r>
      <w:r w:rsidR="000A5329" w:rsidRPr="002029AF">
        <w:t xml:space="preserve"> </w:t>
      </w:r>
      <w:r w:rsidRPr="002029AF">
        <w:t>website</w:t>
      </w:r>
      <w:r w:rsidR="000A5329" w:rsidRPr="002029AF">
        <w:t xml:space="preserve"> </w:t>
      </w:r>
      <w:r w:rsidRPr="002029AF">
        <w:t>providing</w:t>
      </w:r>
      <w:r w:rsidR="000A5329" w:rsidRPr="002029AF">
        <w:t xml:space="preserve"> </w:t>
      </w:r>
      <w:r w:rsidRPr="002029AF">
        <w:t>information</w:t>
      </w:r>
      <w:r w:rsidR="000A5329" w:rsidRPr="002029AF">
        <w:t xml:space="preserve"> </w:t>
      </w:r>
      <w:r w:rsidRPr="002029AF">
        <w:t>on</w:t>
      </w:r>
      <w:r w:rsidR="000A5329" w:rsidRPr="002029AF">
        <w:t xml:space="preserve"> </w:t>
      </w:r>
      <w:r w:rsidRPr="002029AF">
        <w:t>sustainability</w:t>
      </w:r>
      <w:r w:rsidR="000A5329" w:rsidRPr="002029AF">
        <w:t xml:space="preserve"> </w:t>
      </w:r>
      <w:r w:rsidRPr="002029AF">
        <w:t>projects,</w:t>
      </w:r>
      <w:r w:rsidR="000A5329" w:rsidRPr="002029AF">
        <w:t xml:space="preserve"> </w:t>
      </w:r>
      <w:r w:rsidRPr="002029AF">
        <w:t>advice</w:t>
      </w:r>
      <w:r w:rsidR="000A5329" w:rsidRPr="002029AF">
        <w:t xml:space="preserve"> </w:t>
      </w:r>
      <w:r w:rsidRPr="002029AF">
        <w:t>on</w:t>
      </w:r>
      <w:r w:rsidR="000A5329" w:rsidRPr="002029AF">
        <w:t xml:space="preserve"> </w:t>
      </w:r>
      <w:r w:rsidRPr="002029AF">
        <w:t>embedding</w:t>
      </w:r>
      <w:r w:rsidR="000A5329" w:rsidRPr="002029AF">
        <w:t xml:space="preserve"> </w:t>
      </w:r>
      <w:r w:rsidRPr="002029AF">
        <w:t>sustainability</w:t>
      </w:r>
      <w:r w:rsidR="000A5329" w:rsidRPr="002029AF">
        <w:t xml:space="preserve"> </w:t>
      </w:r>
      <w:r w:rsidRPr="002029AF">
        <w:t>in</w:t>
      </w:r>
      <w:r w:rsidR="000A5329" w:rsidRPr="002029AF">
        <w:t xml:space="preserve"> </w:t>
      </w:r>
      <w:r w:rsidRPr="002029AF">
        <w:t>capital</w:t>
      </w:r>
      <w:r w:rsidR="000A5329" w:rsidRPr="002029AF">
        <w:t xml:space="preserve"> </w:t>
      </w:r>
      <w:r w:rsidRPr="002029AF">
        <w:t>works</w:t>
      </w:r>
      <w:r w:rsidR="000A5329" w:rsidRPr="002029AF">
        <w:t xml:space="preserve"> </w:t>
      </w:r>
      <w:r w:rsidRPr="002029AF">
        <w:t>and</w:t>
      </w:r>
      <w:r w:rsidR="000A5329" w:rsidRPr="002029AF">
        <w:t xml:space="preserve"> </w:t>
      </w:r>
      <w:r w:rsidRPr="002029AF">
        <w:t>other</w:t>
      </w:r>
      <w:r w:rsidR="000A5329" w:rsidRPr="002029AF">
        <w:t xml:space="preserve"> </w:t>
      </w:r>
      <w:r w:rsidRPr="002029AF">
        <w:t>sustainability</w:t>
      </w:r>
      <w:r w:rsidR="000A5329" w:rsidRPr="002029AF">
        <w:t xml:space="preserve"> </w:t>
      </w:r>
      <w:r w:rsidRPr="002029AF">
        <w:t>related</w:t>
      </w:r>
      <w:r w:rsidR="000A5329" w:rsidRPr="002029AF">
        <w:t xml:space="preserve"> </w:t>
      </w:r>
      <w:r w:rsidRPr="002029AF">
        <w:t>resources</w:t>
      </w:r>
    </w:p>
    <w:p w14:paraId="276A2DBF" w14:textId="68BE949B" w:rsidR="00CF72D5" w:rsidRPr="002029AF" w:rsidRDefault="00CF72D5" w:rsidP="005A6B8E">
      <w:pPr>
        <w:pStyle w:val="ARbullet1"/>
      </w:pPr>
      <w:r w:rsidRPr="002029AF">
        <w:t>chairing</w:t>
      </w:r>
      <w:r w:rsidR="000A5329" w:rsidRPr="002029AF">
        <w:t xml:space="preserve"> </w:t>
      </w:r>
      <w:r w:rsidRPr="002029AF">
        <w:t>the</w:t>
      </w:r>
      <w:r w:rsidR="000A5329" w:rsidRPr="002029AF">
        <w:t xml:space="preserve"> </w:t>
      </w:r>
      <w:r w:rsidRPr="002029AF">
        <w:t>Australasian</w:t>
      </w:r>
      <w:r w:rsidR="000A5329" w:rsidRPr="002029AF">
        <w:t xml:space="preserve"> </w:t>
      </w:r>
      <w:r w:rsidRPr="002029AF">
        <w:t>Healthcare</w:t>
      </w:r>
      <w:r w:rsidR="000A5329" w:rsidRPr="002029AF">
        <w:t xml:space="preserve"> </w:t>
      </w:r>
      <w:r w:rsidRPr="002029AF">
        <w:t>Infrastructure</w:t>
      </w:r>
      <w:r w:rsidR="000A5329" w:rsidRPr="002029AF">
        <w:t xml:space="preserve"> </w:t>
      </w:r>
      <w:r w:rsidRPr="002029AF">
        <w:t>Alliance</w:t>
      </w:r>
      <w:r w:rsidR="000A5329" w:rsidRPr="002029AF">
        <w:t xml:space="preserve"> </w:t>
      </w:r>
      <w:r w:rsidRPr="002029AF">
        <w:t>ESD</w:t>
      </w:r>
      <w:r w:rsidR="000A5329" w:rsidRPr="002029AF">
        <w:t xml:space="preserve"> </w:t>
      </w:r>
      <w:r w:rsidRPr="002029AF">
        <w:t>sub-group,</w:t>
      </w:r>
      <w:r w:rsidR="000A5329" w:rsidRPr="002029AF">
        <w:t xml:space="preserve"> </w:t>
      </w:r>
      <w:r w:rsidRPr="002029AF">
        <w:t>with</w:t>
      </w:r>
      <w:r w:rsidR="000A5329" w:rsidRPr="002029AF">
        <w:t xml:space="preserve"> </w:t>
      </w:r>
      <w:r w:rsidRPr="002029AF">
        <w:t>sustainability</w:t>
      </w:r>
      <w:r w:rsidR="000A5329" w:rsidRPr="002029AF">
        <w:t xml:space="preserve"> </w:t>
      </w:r>
      <w:r w:rsidRPr="002029AF">
        <w:t>representatives</w:t>
      </w:r>
      <w:r w:rsidR="000A5329" w:rsidRPr="002029AF">
        <w:t xml:space="preserve"> </w:t>
      </w:r>
      <w:r w:rsidRPr="002029AF">
        <w:t>from</w:t>
      </w:r>
      <w:r w:rsidR="000A5329" w:rsidRPr="002029AF">
        <w:t xml:space="preserve"> </w:t>
      </w:r>
      <w:r w:rsidRPr="002029AF">
        <w:t>health</w:t>
      </w:r>
      <w:r w:rsidR="000A5329" w:rsidRPr="002029AF">
        <w:t xml:space="preserve"> </w:t>
      </w:r>
      <w:r w:rsidRPr="002029AF">
        <w:t>jurisdictions</w:t>
      </w:r>
      <w:r w:rsidR="000A5329" w:rsidRPr="002029AF">
        <w:t xml:space="preserve"> </w:t>
      </w:r>
      <w:r w:rsidRPr="002029AF">
        <w:t>around</w:t>
      </w:r>
      <w:r w:rsidR="000A5329" w:rsidRPr="002029AF">
        <w:t xml:space="preserve"> </w:t>
      </w:r>
      <w:r w:rsidRPr="002029AF">
        <w:t>Australia</w:t>
      </w:r>
      <w:r w:rsidR="000A5329" w:rsidRPr="002029AF">
        <w:t xml:space="preserve"> </w:t>
      </w:r>
      <w:r w:rsidRPr="002029AF">
        <w:t>and</w:t>
      </w:r>
      <w:r w:rsidR="000A5329" w:rsidRPr="002029AF">
        <w:t xml:space="preserve"> </w:t>
      </w:r>
      <w:r w:rsidRPr="002029AF">
        <w:t>New</w:t>
      </w:r>
      <w:r w:rsidR="000A5329" w:rsidRPr="002029AF">
        <w:t xml:space="preserve"> </w:t>
      </w:r>
      <w:r w:rsidRPr="002029AF">
        <w:t>Zealand.</w:t>
      </w:r>
      <w:r w:rsidR="000A5329" w:rsidRPr="002029AF">
        <w:t xml:space="preserve"> </w:t>
      </w:r>
      <w:r w:rsidRPr="002029AF">
        <w:t>The</w:t>
      </w:r>
      <w:r w:rsidR="000A5329" w:rsidRPr="002029AF">
        <w:t xml:space="preserve"> </w:t>
      </w:r>
      <w:r w:rsidRPr="002029AF">
        <w:t>discussion</w:t>
      </w:r>
      <w:r w:rsidR="000A5329" w:rsidRPr="002029AF">
        <w:t xml:space="preserve"> </w:t>
      </w:r>
      <w:r w:rsidRPr="002029AF">
        <w:t>focused</w:t>
      </w:r>
      <w:r w:rsidR="000A5329" w:rsidRPr="002029AF">
        <w:t xml:space="preserve"> </w:t>
      </w:r>
      <w:r w:rsidRPr="002029AF">
        <w:t>on</w:t>
      </w:r>
      <w:r w:rsidR="000A5329" w:rsidRPr="002029AF">
        <w:t xml:space="preserve"> </w:t>
      </w:r>
      <w:r w:rsidRPr="002029AF">
        <w:t>the</w:t>
      </w:r>
      <w:r w:rsidR="000A5329" w:rsidRPr="002029AF">
        <w:t xml:space="preserve"> </w:t>
      </w:r>
      <w:r w:rsidRPr="002029AF">
        <w:t>continued</w:t>
      </w:r>
      <w:r w:rsidR="000A5329" w:rsidRPr="002029AF">
        <w:t xml:space="preserve"> </w:t>
      </w:r>
      <w:r w:rsidRPr="002029AF">
        <w:t>application</w:t>
      </w:r>
      <w:r w:rsidR="000A5329" w:rsidRPr="002029AF">
        <w:t xml:space="preserve"> </w:t>
      </w:r>
      <w:r w:rsidRPr="002029AF">
        <w:t>of</w:t>
      </w:r>
      <w:r w:rsidR="000A5329" w:rsidRPr="002029AF">
        <w:t xml:space="preserve"> </w:t>
      </w:r>
      <w:r w:rsidRPr="002029AF">
        <w:t>the</w:t>
      </w:r>
      <w:r w:rsidR="000A5329" w:rsidRPr="002029AF">
        <w:t xml:space="preserve"> </w:t>
      </w:r>
      <w:r w:rsidRPr="002029AF">
        <w:t>NABERS</w:t>
      </w:r>
      <w:r w:rsidR="000A5329" w:rsidRPr="002029AF">
        <w:t xml:space="preserve"> </w:t>
      </w:r>
      <w:r w:rsidRPr="002029AF">
        <w:t>Energy</w:t>
      </w:r>
      <w:r w:rsidR="000A5329" w:rsidRPr="002029AF">
        <w:t xml:space="preserve"> </w:t>
      </w:r>
      <w:r w:rsidRPr="002029AF">
        <w:t>and</w:t>
      </w:r>
      <w:r w:rsidR="000A5329" w:rsidRPr="002029AF">
        <w:t xml:space="preserve"> </w:t>
      </w:r>
      <w:r w:rsidRPr="002029AF">
        <w:t>Water</w:t>
      </w:r>
      <w:r w:rsidR="000A5329" w:rsidRPr="002029AF">
        <w:t xml:space="preserve"> </w:t>
      </w:r>
      <w:r w:rsidRPr="002029AF">
        <w:t>hospital</w:t>
      </w:r>
      <w:r w:rsidR="000A5329" w:rsidRPr="002029AF">
        <w:t xml:space="preserve"> </w:t>
      </w:r>
      <w:r w:rsidRPr="002029AF">
        <w:t>rating</w:t>
      </w:r>
      <w:r w:rsidR="000A5329" w:rsidRPr="002029AF">
        <w:t xml:space="preserve"> </w:t>
      </w:r>
      <w:r w:rsidRPr="002029AF">
        <w:t>tools</w:t>
      </w:r>
      <w:r w:rsidR="000A5329" w:rsidRPr="002029AF">
        <w:t xml:space="preserve"> </w:t>
      </w:r>
      <w:r w:rsidRPr="002029AF">
        <w:t>and</w:t>
      </w:r>
      <w:r w:rsidR="000A5329" w:rsidRPr="002029AF">
        <w:t xml:space="preserve"> </w:t>
      </w:r>
      <w:r w:rsidRPr="002029AF">
        <w:t>the</w:t>
      </w:r>
      <w:r w:rsidR="000A5329" w:rsidRPr="002029AF">
        <w:t xml:space="preserve"> </w:t>
      </w:r>
      <w:r w:rsidRPr="002029AF">
        <w:t>further</w:t>
      </w:r>
      <w:r w:rsidR="000A5329" w:rsidRPr="002029AF">
        <w:t xml:space="preserve"> </w:t>
      </w:r>
      <w:r w:rsidRPr="002029AF">
        <w:t>development</w:t>
      </w:r>
      <w:r w:rsidR="000A5329" w:rsidRPr="002029AF">
        <w:t xml:space="preserve"> </w:t>
      </w:r>
      <w:r w:rsidRPr="002029AF">
        <w:t>of</w:t>
      </w:r>
      <w:r w:rsidR="000A5329" w:rsidRPr="002029AF">
        <w:t xml:space="preserve"> </w:t>
      </w:r>
      <w:r w:rsidRPr="002029AF">
        <w:t>a</w:t>
      </w:r>
      <w:r w:rsidR="000A5329" w:rsidRPr="002029AF">
        <w:t xml:space="preserve"> </w:t>
      </w:r>
      <w:r w:rsidRPr="002029AF">
        <w:t>NABERS</w:t>
      </w:r>
      <w:r w:rsidR="000A5329" w:rsidRPr="002029AF">
        <w:t xml:space="preserve"> </w:t>
      </w:r>
      <w:r w:rsidRPr="002029AF">
        <w:t>Waste</w:t>
      </w:r>
      <w:r w:rsidR="000A5329" w:rsidRPr="002029AF">
        <w:t xml:space="preserve"> </w:t>
      </w:r>
      <w:r w:rsidRPr="002029AF">
        <w:t>tool</w:t>
      </w:r>
      <w:r w:rsidR="000A5329" w:rsidRPr="002029AF">
        <w:t xml:space="preserve"> </w:t>
      </w:r>
      <w:r w:rsidRPr="002029AF">
        <w:t>for</w:t>
      </w:r>
      <w:r w:rsidR="000A5329" w:rsidRPr="002029AF">
        <w:t xml:space="preserve"> </w:t>
      </w:r>
      <w:r w:rsidRPr="002029AF">
        <w:t>hospitals.</w:t>
      </w:r>
    </w:p>
    <w:p w14:paraId="08E3D60F" w14:textId="5C7DFEA0" w:rsidR="00CF72D5" w:rsidRPr="002029AF" w:rsidRDefault="00CF72D5">
      <w:pPr>
        <w:pStyle w:val="Heading3"/>
      </w:pPr>
      <w:r w:rsidRPr="002029AF">
        <w:t>Environmental</w:t>
      </w:r>
      <w:r w:rsidR="000A5329" w:rsidRPr="002029AF">
        <w:t xml:space="preserve"> </w:t>
      </w:r>
      <w:r w:rsidRPr="002029AF">
        <w:t>performance</w:t>
      </w:r>
      <w:r w:rsidR="000A5329" w:rsidRPr="002029AF">
        <w:t xml:space="preserve"> </w:t>
      </w:r>
      <w:r w:rsidRPr="002029AF">
        <w:t>reporting</w:t>
      </w:r>
    </w:p>
    <w:p w14:paraId="2797A649" w14:textId="3A2730FA" w:rsidR="00CF72D5" w:rsidRPr="002029AF" w:rsidRDefault="00CF72D5" w:rsidP="001E768A">
      <w:pPr>
        <w:pStyle w:val="ARbody"/>
      </w:pPr>
      <w:r w:rsidRPr="002029AF">
        <w:t>The</w:t>
      </w:r>
      <w:r w:rsidR="000A5329" w:rsidRPr="002029AF">
        <w:t xml:space="preserve"> </w:t>
      </w:r>
      <w:r w:rsidRPr="002029AF">
        <w:t>following</w:t>
      </w:r>
      <w:r w:rsidR="000A5329" w:rsidRPr="002029AF">
        <w:t xml:space="preserve"> </w:t>
      </w:r>
      <w:r w:rsidRPr="002029AF">
        <w:t>information</w:t>
      </w:r>
      <w:r w:rsidR="000A5329" w:rsidRPr="002029AF">
        <w:t xml:space="preserve"> </w:t>
      </w:r>
      <w:r w:rsidRPr="002029AF">
        <w:t>has</w:t>
      </w:r>
      <w:r w:rsidR="000A5329" w:rsidRPr="002029AF">
        <w:t xml:space="preserve"> </w:t>
      </w:r>
      <w:r w:rsidRPr="002029AF">
        <w:t>been</w:t>
      </w:r>
      <w:r w:rsidR="000A5329" w:rsidRPr="002029AF">
        <w:t xml:space="preserve"> </w:t>
      </w:r>
      <w:r w:rsidRPr="002029AF">
        <w:t>prepared</w:t>
      </w:r>
      <w:r w:rsidR="000A5329" w:rsidRPr="002029AF">
        <w:t xml:space="preserve"> </w:t>
      </w:r>
      <w:r w:rsidRPr="002029AF">
        <w:t>in</w:t>
      </w:r>
      <w:r w:rsidR="000A5329" w:rsidRPr="002029AF">
        <w:t xml:space="preserve"> </w:t>
      </w:r>
      <w:r w:rsidRPr="002029AF">
        <w:t>accordance</w:t>
      </w:r>
      <w:r w:rsidR="000A5329" w:rsidRPr="002029AF">
        <w:t xml:space="preserve"> </w:t>
      </w:r>
      <w:r w:rsidRPr="002029AF">
        <w:t>with</w:t>
      </w:r>
      <w:r w:rsidR="000A5329" w:rsidRPr="002029AF">
        <w:t xml:space="preserve"> </w:t>
      </w:r>
      <w:r w:rsidRPr="002029AF">
        <w:t>Financial</w:t>
      </w:r>
      <w:r w:rsidR="000A5329" w:rsidRPr="002029AF">
        <w:t xml:space="preserve"> </w:t>
      </w:r>
      <w:r w:rsidRPr="002029AF">
        <w:t>Reporting</w:t>
      </w:r>
      <w:r w:rsidR="000A5329" w:rsidRPr="002029AF">
        <w:t xml:space="preserve"> </w:t>
      </w:r>
      <w:r w:rsidRPr="002029AF">
        <w:t>Direction</w:t>
      </w:r>
      <w:r w:rsidR="000A5329" w:rsidRPr="002029AF">
        <w:t xml:space="preserve"> </w:t>
      </w:r>
      <w:r w:rsidRPr="002029AF">
        <w:t>(FRD)</w:t>
      </w:r>
      <w:r w:rsidR="000A5329" w:rsidRPr="002029AF">
        <w:t xml:space="preserve"> </w:t>
      </w:r>
      <w:r w:rsidRPr="002029AF">
        <w:t>24D</w:t>
      </w:r>
      <w:r w:rsidR="000A5329" w:rsidRPr="002029AF">
        <w:t xml:space="preserve"> </w:t>
      </w:r>
      <w:r w:rsidRPr="002029AF">
        <w:t>and</w:t>
      </w:r>
      <w:r w:rsidR="000A5329" w:rsidRPr="002029AF">
        <w:t xml:space="preserve"> </w:t>
      </w:r>
      <w:r w:rsidRPr="002029AF">
        <w:t>the</w:t>
      </w:r>
      <w:r w:rsidR="000A5329" w:rsidRPr="002029AF">
        <w:t xml:space="preserve"> </w:t>
      </w:r>
      <w:r w:rsidRPr="002029AF">
        <w:t>Global</w:t>
      </w:r>
      <w:r w:rsidR="000A5329" w:rsidRPr="002029AF">
        <w:t xml:space="preserve"> </w:t>
      </w:r>
      <w:r w:rsidRPr="002029AF">
        <w:t>Reporting</w:t>
      </w:r>
      <w:r w:rsidR="000A5329" w:rsidRPr="002029AF">
        <w:t xml:space="preserve"> </w:t>
      </w:r>
      <w:r w:rsidRPr="002029AF">
        <w:t>Initiative</w:t>
      </w:r>
      <w:r w:rsidR="000A5329" w:rsidRPr="002029AF">
        <w:t xml:space="preserve"> </w:t>
      </w:r>
      <w:r w:rsidRPr="002029AF">
        <w:t>(G4)</w:t>
      </w:r>
      <w:r w:rsidR="00C83719" w:rsidRPr="002029AF">
        <w:t> </w:t>
      </w:r>
      <w:r w:rsidRPr="002029AF">
        <w:t>environmental</w:t>
      </w:r>
      <w:r w:rsidR="000A5329" w:rsidRPr="002029AF">
        <w:t xml:space="preserve"> </w:t>
      </w:r>
      <w:r w:rsidRPr="002029AF">
        <w:t>category.</w:t>
      </w:r>
    </w:p>
    <w:p w14:paraId="7FD31821" w14:textId="3BE2E110" w:rsidR="00CF72D5" w:rsidRPr="002029AF" w:rsidRDefault="00CF72D5" w:rsidP="001E768A">
      <w:pPr>
        <w:pStyle w:val="ARbody"/>
      </w:pPr>
      <w:r w:rsidRPr="002029AF">
        <w:t>The</w:t>
      </w:r>
      <w:r w:rsidR="000A5329" w:rsidRPr="002029AF">
        <w:t xml:space="preserve"> </w:t>
      </w:r>
      <w:r w:rsidRPr="002029AF">
        <w:t>information</w:t>
      </w:r>
      <w:r w:rsidR="000A5329" w:rsidRPr="002029AF">
        <w:t xml:space="preserve"> </w:t>
      </w:r>
      <w:r w:rsidRPr="002029AF">
        <w:t>relates</w:t>
      </w:r>
      <w:r w:rsidR="000A5329" w:rsidRPr="002029AF">
        <w:t xml:space="preserve"> </w:t>
      </w:r>
      <w:r w:rsidRPr="002029AF">
        <w:t>to</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impact</w:t>
      </w:r>
      <w:r w:rsidR="000A5329" w:rsidRPr="002029AF">
        <w:t xml:space="preserve"> </w:t>
      </w:r>
      <w:r w:rsidRPr="002029AF">
        <w:t>on</w:t>
      </w:r>
      <w:r w:rsidR="000A5329" w:rsidRPr="002029AF">
        <w:t xml:space="preserve"> </w:t>
      </w:r>
      <w:r w:rsidRPr="002029AF">
        <w:t>living</w:t>
      </w:r>
      <w:r w:rsidR="000A5329" w:rsidRPr="002029AF">
        <w:t xml:space="preserve"> </w:t>
      </w:r>
      <w:r w:rsidRPr="002029AF">
        <w:t>and</w:t>
      </w:r>
      <w:r w:rsidR="000A5329" w:rsidRPr="002029AF">
        <w:t xml:space="preserve"> </w:t>
      </w:r>
      <w:r w:rsidRPr="002029AF">
        <w:t>non-living</w:t>
      </w:r>
      <w:r w:rsidR="000A5329" w:rsidRPr="002029AF">
        <w:t xml:space="preserve"> </w:t>
      </w:r>
      <w:r w:rsidRPr="002029AF">
        <w:t>natural</w:t>
      </w:r>
      <w:r w:rsidR="000A5329" w:rsidRPr="002029AF">
        <w:t xml:space="preserve"> </w:t>
      </w:r>
      <w:r w:rsidRPr="002029AF">
        <w:t>systems,</w:t>
      </w:r>
      <w:r w:rsidR="000A5329" w:rsidRPr="002029AF">
        <w:t xml:space="preserve"> </w:t>
      </w:r>
      <w:r w:rsidRPr="002029AF">
        <w:t>including</w:t>
      </w:r>
      <w:r w:rsidR="000A5329" w:rsidRPr="002029AF">
        <w:t xml:space="preserve"> </w:t>
      </w:r>
      <w:r w:rsidRPr="002029AF">
        <w:t>land,</w:t>
      </w:r>
      <w:r w:rsidR="000A5329" w:rsidRPr="002029AF">
        <w:t xml:space="preserve"> </w:t>
      </w:r>
      <w:r w:rsidRPr="002029AF">
        <w:t>air,</w:t>
      </w:r>
      <w:r w:rsidR="000A5329" w:rsidRPr="002029AF">
        <w:t xml:space="preserve"> </w:t>
      </w:r>
      <w:r w:rsidRPr="002029AF">
        <w:t>water</w:t>
      </w:r>
      <w:r w:rsidR="000A5329" w:rsidRPr="002029AF">
        <w:t xml:space="preserve"> </w:t>
      </w:r>
      <w:r w:rsidRPr="002029AF">
        <w:t>and</w:t>
      </w:r>
      <w:r w:rsidR="000A5329" w:rsidRPr="002029AF">
        <w:t xml:space="preserve"> </w:t>
      </w:r>
      <w:r w:rsidRPr="002029AF">
        <w:t>ecosystems.</w:t>
      </w:r>
    </w:p>
    <w:p w14:paraId="6051B37B" w14:textId="1AA2EC72" w:rsidR="00CF72D5" w:rsidRPr="002029AF" w:rsidRDefault="00CF72D5" w:rsidP="001E768A">
      <w:pPr>
        <w:pStyle w:val="ARbody"/>
      </w:pPr>
      <w:r w:rsidRPr="002029AF">
        <w:t>FRD24</w:t>
      </w:r>
      <w:r w:rsidR="000A5329" w:rsidRPr="002029AF">
        <w:t xml:space="preserve"> </w:t>
      </w:r>
      <w:r w:rsidRPr="002029AF">
        <w:t>requires</w:t>
      </w:r>
      <w:r w:rsidR="000A5329" w:rsidRPr="002029AF">
        <w:t xml:space="preserve"> </w:t>
      </w:r>
      <w:r w:rsidRPr="002029AF">
        <w:t>that</w:t>
      </w:r>
      <w:r w:rsidR="000A5329" w:rsidRPr="002029AF">
        <w:t xml:space="preserve"> </w:t>
      </w:r>
      <w:r w:rsidRPr="002029AF">
        <w:t>this</w:t>
      </w:r>
      <w:r w:rsidR="000A5329" w:rsidRPr="002029AF">
        <w:t xml:space="preserve"> </w:t>
      </w:r>
      <w:r w:rsidRPr="002029AF">
        <w:t>report</w:t>
      </w:r>
      <w:r w:rsidR="000A5329" w:rsidRPr="002029AF">
        <w:t xml:space="preserve"> </w:t>
      </w:r>
      <w:r w:rsidRPr="002029AF">
        <w:t>provide</w:t>
      </w:r>
      <w:r w:rsidR="000A5329" w:rsidRPr="002029AF">
        <w:t xml:space="preserve"> </w:t>
      </w:r>
      <w:r w:rsidRPr="002029AF">
        <w:t>information</w:t>
      </w:r>
      <w:r w:rsidR="000A5329" w:rsidRPr="002029AF">
        <w:t xml:space="preserve"> </w:t>
      </w:r>
      <w:r w:rsidRPr="002029AF">
        <w:t>relating</w:t>
      </w:r>
      <w:r w:rsidR="000A5329" w:rsidRPr="002029AF">
        <w:t xml:space="preserve"> </w:t>
      </w:r>
      <w:r w:rsidRPr="002029AF">
        <w:t>to</w:t>
      </w:r>
      <w:r w:rsidR="000A5329" w:rsidRPr="002029AF">
        <w:t xml:space="preserve"> </w:t>
      </w:r>
      <w:r w:rsidRPr="002029AF">
        <w:t>inputs</w:t>
      </w:r>
      <w:r w:rsidR="000A5329" w:rsidRPr="002029AF">
        <w:t xml:space="preserve"> </w:t>
      </w:r>
      <w:r w:rsidRPr="002029AF">
        <w:t>(such</w:t>
      </w:r>
      <w:r w:rsidR="000A5329" w:rsidRPr="002029AF">
        <w:t xml:space="preserve"> </w:t>
      </w:r>
      <w:r w:rsidRPr="002029AF">
        <w:t>as</w:t>
      </w:r>
      <w:r w:rsidR="000A5329" w:rsidRPr="002029AF">
        <w:t xml:space="preserve"> </w:t>
      </w:r>
      <w:r w:rsidRPr="002029AF">
        <w:t>energy</w:t>
      </w:r>
      <w:r w:rsidR="000A5329" w:rsidRPr="002029AF">
        <w:t xml:space="preserve"> </w:t>
      </w:r>
      <w:r w:rsidRPr="002029AF">
        <w:t>and</w:t>
      </w:r>
      <w:r w:rsidR="000A5329" w:rsidRPr="002029AF">
        <w:t xml:space="preserve"> </w:t>
      </w:r>
      <w:r w:rsidRPr="002029AF">
        <w:t>water)</w:t>
      </w:r>
      <w:r w:rsidR="000A5329" w:rsidRPr="002029AF">
        <w:t xml:space="preserve"> </w:t>
      </w:r>
      <w:r w:rsidRPr="002029AF">
        <w:t>and</w:t>
      </w:r>
      <w:r w:rsidR="000A5329" w:rsidRPr="002029AF">
        <w:t xml:space="preserve"> </w:t>
      </w:r>
      <w:r w:rsidRPr="002029AF">
        <w:t>outputs</w:t>
      </w:r>
      <w:r w:rsidR="000A5329" w:rsidRPr="002029AF">
        <w:t xml:space="preserve"> </w:t>
      </w:r>
      <w:r w:rsidRPr="002029AF">
        <w:t>(such</w:t>
      </w:r>
      <w:r w:rsidR="000A5329" w:rsidRPr="002029AF">
        <w:t xml:space="preserve"> </w:t>
      </w:r>
      <w:r w:rsidRPr="002029AF">
        <w:t>as</w:t>
      </w:r>
      <w:r w:rsidR="000A5329" w:rsidRPr="002029AF">
        <w:t xml:space="preserve"> </w:t>
      </w:r>
      <w:r w:rsidRPr="002029AF">
        <w:t>emissions</w:t>
      </w:r>
      <w:r w:rsidR="000A5329" w:rsidRPr="002029AF">
        <w:t xml:space="preserve"> </w:t>
      </w:r>
      <w:r w:rsidRPr="002029AF">
        <w:t>and</w:t>
      </w:r>
      <w:r w:rsidR="000A5329" w:rsidRPr="002029AF">
        <w:t xml:space="preserve"> </w:t>
      </w:r>
      <w:r w:rsidRPr="002029AF">
        <w:t>waste).</w:t>
      </w:r>
    </w:p>
    <w:p w14:paraId="395F5B83" w14:textId="42801CC1" w:rsidR="00CF72D5" w:rsidRPr="002029AF" w:rsidRDefault="009D6AEA" w:rsidP="001E768A">
      <w:pPr>
        <w:pStyle w:val="ARbody"/>
      </w:pPr>
      <w:r>
        <w:br w:type="column"/>
      </w:r>
      <w:r w:rsidR="00CF72D5" w:rsidRPr="002029AF">
        <w:t>In</w:t>
      </w:r>
      <w:r w:rsidR="000A5329" w:rsidRPr="002029AF">
        <w:t xml:space="preserve"> </w:t>
      </w:r>
      <w:r w:rsidR="00CF72D5" w:rsidRPr="002029AF">
        <w:t>addition,</w:t>
      </w:r>
      <w:r w:rsidR="000A5329" w:rsidRPr="002029AF">
        <w:t xml:space="preserve"> </w:t>
      </w:r>
      <w:r w:rsidR="00CF72D5" w:rsidRPr="002029AF">
        <w:t>procurement,</w:t>
      </w:r>
      <w:r w:rsidR="000A5329" w:rsidRPr="002029AF">
        <w:t xml:space="preserve"> </w:t>
      </w:r>
      <w:r w:rsidR="00CF72D5" w:rsidRPr="002029AF">
        <w:t>transport,</w:t>
      </w:r>
      <w:r w:rsidR="000A5329" w:rsidRPr="002029AF">
        <w:t xml:space="preserve"> </w:t>
      </w:r>
      <w:r w:rsidR="00CF72D5" w:rsidRPr="002029AF">
        <w:t>product</w:t>
      </w:r>
      <w:r w:rsidR="000A5329" w:rsidRPr="002029AF">
        <w:t xml:space="preserve"> </w:t>
      </w:r>
      <w:r w:rsidR="00CF72D5" w:rsidRPr="002029AF">
        <w:t>and</w:t>
      </w:r>
      <w:r w:rsidR="00C83719" w:rsidRPr="002029AF">
        <w:t> </w:t>
      </w:r>
      <w:r w:rsidR="00CF72D5" w:rsidRPr="002029AF">
        <w:t>service-related</w:t>
      </w:r>
      <w:r w:rsidR="000A5329" w:rsidRPr="002029AF">
        <w:t xml:space="preserve"> </w:t>
      </w:r>
      <w:r w:rsidR="00CF72D5" w:rsidRPr="002029AF">
        <w:t>impacts</w:t>
      </w:r>
      <w:r w:rsidR="000A5329" w:rsidRPr="002029AF">
        <w:t xml:space="preserve"> </w:t>
      </w:r>
      <w:r w:rsidR="00CF72D5" w:rsidRPr="002029AF">
        <w:t>are</w:t>
      </w:r>
      <w:r w:rsidR="000A5329" w:rsidRPr="002029AF">
        <w:t xml:space="preserve"> </w:t>
      </w:r>
      <w:r w:rsidR="00CF72D5" w:rsidRPr="002029AF">
        <w:t>taken</w:t>
      </w:r>
      <w:r w:rsidR="000A5329" w:rsidRPr="002029AF">
        <w:t xml:space="preserve"> </w:t>
      </w:r>
      <w:r w:rsidR="00CF72D5" w:rsidRPr="002029AF">
        <w:t>into</w:t>
      </w:r>
      <w:r w:rsidR="000A5329" w:rsidRPr="002029AF">
        <w:t xml:space="preserve"> </w:t>
      </w:r>
      <w:r w:rsidR="00CF72D5" w:rsidRPr="002029AF">
        <w:t>consideration,</w:t>
      </w:r>
      <w:r w:rsidR="000A5329" w:rsidRPr="002029AF">
        <w:t xml:space="preserve"> </w:t>
      </w:r>
      <w:r w:rsidR="00CF72D5" w:rsidRPr="002029AF">
        <w:t>as</w:t>
      </w:r>
      <w:r w:rsidR="000A5329" w:rsidRPr="002029AF">
        <w:t xml:space="preserve"> </w:t>
      </w:r>
      <w:r w:rsidR="00CF72D5" w:rsidRPr="002029AF">
        <w:t>are</w:t>
      </w:r>
      <w:r w:rsidR="000A5329" w:rsidRPr="002029AF">
        <w:t xml:space="preserve"> </w:t>
      </w:r>
      <w:r w:rsidR="00CF72D5" w:rsidRPr="002029AF">
        <w:t>environmental</w:t>
      </w:r>
      <w:r w:rsidR="000A5329" w:rsidRPr="002029AF">
        <w:t xml:space="preserve"> </w:t>
      </w:r>
      <w:r w:rsidR="00CF72D5" w:rsidRPr="002029AF">
        <w:t>compliance</w:t>
      </w:r>
      <w:r w:rsidR="000A5329" w:rsidRPr="002029AF">
        <w:t xml:space="preserve"> </w:t>
      </w:r>
      <w:r w:rsidR="00CF72D5" w:rsidRPr="002029AF">
        <w:t>and</w:t>
      </w:r>
      <w:r w:rsidR="000A5329" w:rsidRPr="002029AF">
        <w:t xml:space="preserve"> </w:t>
      </w:r>
      <w:r w:rsidR="00CF72D5" w:rsidRPr="002029AF">
        <w:t>expenditure.</w:t>
      </w:r>
    </w:p>
    <w:p w14:paraId="1A4684A9" w14:textId="73BA0C80" w:rsidR="00CF72D5" w:rsidRPr="002029AF" w:rsidRDefault="00CF72D5" w:rsidP="001E768A">
      <w:pPr>
        <w:pStyle w:val="ARbody"/>
      </w:pPr>
      <w:r w:rsidRPr="002029AF">
        <w:t>G4</w:t>
      </w:r>
      <w:r w:rsidR="000A5329" w:rsidRPr="002029AF">
        <w:t xml:space="preserve"> </w:t>
      </w:r>
      <w:r w:rsidRPr="002029AF">
        <w:t>environmental</w:t>
      </w:r>
      <w:r w:rsidR="000A5329" w:rsidRPr="002029AF">
        <w:t xml:space="preserve"> </w:t>
      </w:r>
      <w:r w:rsidRPr="002029AF">
        <w:t>aspects</w:t>
      </w:r>
      <w:r w:rsidR="000A5329" w:rsidRPr="002029AF">
        <w:t xml:space="preserve"> </w:t>
      </w:r>
      <w:r w:rsidRPr="002029AF">
        <w:t>are</w:t>
      </w:r>
      <w:r w:rsidR="000A5329" w:rsidRPr="002029AF">
        <w:t xml:space="preserve"> </w:t>
      </w:r>
      <w:r w:rsidRPr="002029AF">
        <w:t>partially</w:t>
      </w:r>
      <w:r w:rsidR="000A5329" w:rsidRPr="002029AF">
        <w:t xml:space="preserve"> </w:t>
      </w:r>
      <w:r w:rsidRPr="002029AF">
        <w:t>reported.</w:t>
      </w:r>
      <w:r w:rsidR="000A5329" w:rsidRPr="002029AF">
        <w:t xml:space="preserve"> </w:t>
      </w:r>
      <w:r w:rsidRPr="002029AF">
        <w:t>This</w:t>
      </w:r>
      <w:r w:rsidR="000A5329" w:rsidRPr="002029AF">
        <w:t xml:space="preserve"> </w:t>
      </w:r>
      <w:r w:rsidRPr="002029AF">
        <w:t>includes</w:t>
      </w:r>
      <w:r w:rsidR="000A5329" w:rsidRPr="002029AF">
        <w:t xml:space="preserve"> </w:t>
      </w:r>
      <w:r w:rsidRPr="002029AF">
        <w:t>the</w:t>
      </w:r>
      <w:r w:rsidR="000A5329" w:rsidRPr="002029AF">
        <w:t xml:space="preserve"> </w:t>
      </w:r>
      <w:r w:rsidRPr="002029AF">
        <w:t>indicators</w:t>
      </w:r>
      <w:r w:rsidR="000A5329" w:rsidRPr="002029AF">
        <w:t xml:space="preserve"> </w:t>
      </w:r>
      <w:r w:rsidRPr="002029AF">
        <w:t>for</w:t>
      </w:r>
      <w:r w:rsidR="000A5329" w:rsidRPr="002029AF">
        <w:t xml:space="preserve"> </w:t>
      </w:r>
      <w:r w:rsidRPr="002029AF">
        <w:t>materials</w:t>
      </w:r>
      <w:r w:rsidR="000A5329" w:rsidRPr="002029AF">
        <w:t xml:space="preserve"> </w:t>
      </w:r>
      <w:r w:rsidRPr="002029AF">
        <w:t>(EN1,</w:t>
      </w:r>
      <w:r w:rsidR="000A5329" w:rsidRPr="002029AF">
        <w:t xml:space="preserve"> </w:t>
      </w:r>
      <w:r w:rsidRPr="002029AF">
        <w:t>EN2),</w:t>
      </w:r>
      <w:r w:rsidR="000A5329" w:rsidRPr="002029AF">
        <w:t xml:space="preserve"> </w:t>
      </w:r>
      <w:r w:rsidRPr="002029AF">
        <w:t>energy</w:t>
      </w:r>
      <w:r w:rsidR="000A5329" w:rsidRPr="002029AF">
        <w:t xml:space="preserve"> </w:t>
      </w:r>
      <w:r w:rsidRPr="002029AF">
        <w:t>(EN3,</w:t>
      </w:r>
      <w:r w:rsidR="000A5329" w:rsidRPr="002029AF">
        <w:t xml:space="preserve"> </w:t>
      </w:r>
      <w:r w:rsidRPr="002029AF">
        <w:t>EN5),</w:t>
      </w:r>
      <w:r w:rsidR="000A5329" w:rsidRPr="002029AF">
        <w:t xml:space="preserve"> </w:t>
      </w:r>
      <w:r w:rsidRPr="002029AF">
        <w:t>water</w:t>
      </w:r>
      <w:r w:rsidR="000A5329" w:rsidRPr="002029AF">
        <w:t xml:space="preserve"> </w:t>
      </w:r>
      <w:r w:rsidRPr="002029AF">
        <w:t>(EN8),</w:t>
      </w:r>
      <w:r w:rsidR="000A5329" w:rsidRPr="002029AF">
        <w:t xml:space="preserve"> </w:t>
      </w:r>
      <w:r w:rsidRPr="002029AF">
        <w:t>emissions</w:t>
      </w:r>
      <w:r w:rsidR="000A5329" w:rsidRPr="002029AF">
        <w:t xml:space="preserve"> </w:t>
      </w:r>
      <w:r w:rsidRPr="002029AF">
        <w:t>(EN15,</w:t>
      </w:r>
      <w:r w:rsidR="000A5329" w:rsidRPr="002029AF">
        <w:t xml:space="preserve"> </w:t>
      </w:r>
      <w:r w:rsidRPr="002029AF">
        <w:t>EN18),</w:t>
      </w:r>
      <w:r w:rsidR="000A5329" w:rsidRPr="002029AF">
        <w:t xml:space="preserve"> </w:t>
      </w:r>
      <w:r w:rsidRPr="002029AF">
        <w:t>waste</w:t>
      </w:r>
      <w:r w:rsidR="000A5329" w:rsidRPr="002029AF">
        <w:t xml:space="preserve"> </w:t>
      </w:r>
      <w:r w:rsidRPr="002029AF">
        <w:t>(EN23),</w:t>
      </w:r>
      <w:r w:rsidR="000A5329" w:rsidRPr="002029AF">
        <w:t xml:space="preserve"> </w:t>
      </w:r>
      <w:r w:rsidRPr="002029AF">
        <w:t>products</w:t>
      </w:r>
      <w:r w:rsidR="000A5329" w:rsidRPr="002029AF">
        <w:t xml:space="preserve"> </w:t>
      </w:r>
      <w:r w:rsidRPr="002029AF">
        <w:t>and</w:t>
      </w:r>
      <w:r w:rsidR="000A5329" w:rsidRPr="002029AF">
        <w:t xml:space="preserve"> </w:t>
      </w:r>
      <w:r w:rsidRPr="002029AF">
        <w:t>services</w:t>
      </w:r>
      <w:r w:rsidR="000A5329" w:rsidRPr="002029AF">
        <w:t xml:space="preserve"> </w:t>
      </w:r>
      <w:r w:rsidRPr="002029AF">
        <w:t>(EN27)</w:t>
      </w:r>
      <w:r w:rsidR="000A5329" w:rsidRPr="002029AF">
        <w:t xml:space="preserve"> </w:t>
      </w:r>
      <w:r w:rsidRPr="002029AF">
        <w:t>and</w:t>
      </w:r>
      <w:r w:rsidR="000A5329" w:rsidRPr="002029AF">
        <w:t xml:space="preserve"> </w:t>
      </w:r>
      <w:r w:rsidRPr="002029AF">
        <w:t>transport</w:t>
      </w:r>
      <w:r w:rsidR="000A5329" w:rsidRPr="002029AF">
        <w:t xml:space="preserve"> </w:t>
      </w:r>
      <w:r w:rsidRPr="002029AF">
        <w:t>(EN30).</w:t>
      </w:r>
      <w:r w:rsidR="000A5329" w:rsidRPr="002029AF">
        <w:t xml:space="preserve"> </w:t>
      </w:r>
      <w:r w:rsidRPr="002029AF">
        <w:t>All</w:t>
      </w:r>
      <w:r w:rsidR="000A5329" w:rsidRPr="002029AF">
        <w:t xml:space="preserve"> </w:t>
      </w:r>
      <w:r w:rsidRPr="002029AF">
        <w:t>departmental</w:t>
      </w:r>
      <w:r w:rsidR="000A5329" w:rsidRPr="002029AF">
        <w:t xml:space="preserve"> </w:t>
      </w:r>
      <w:r w:rsidRPr="002029AF">
        <w:t>cost</w:t>
      </w:r>
      <w:r w:rsidR="000A5329" w:rsidRPr="002029AF">
        <w:t xml:space="preserve"> </w:t>
      </w:r>
      <w:r w:rsidRPr="002029AF">
        <w:t>figures</w:t>
      </w:r>
      <w:r w:rsidR="000A5329" w:rsidRPr="002029AF">
        <w:t xml:space="preserve"> </w:t>
      </w:r>
      <w:r w:rsidRPr="002029AF">
        <w:t>include</w:t>
      </w:r>
      <w:r w:rsidR="000A5329" w:rsidRPr="002029AF">
        <w:t xml:space="preserve"> </w:t>
      </w:r>
      <w:r w:rsidRPr="002029AF">
        <w:t>GST,</w:t>
      </w:r>
      <w:r w:rsidR="000A5329" w:rsidRPr="002029AF">
        <w:t xml:space="preserve"> </w:t>
      </w:r>
      <w:r w:rsidRPr="002029AF">
        <w:t>except</w:t>
      </w:r>
      <w:r w:rsidR="000A5329" w:rsidRPr="002029AF">
        <w:t xml:space="preserve"> </w:t>
      </w:r>
      <w:r w:rsidRPr="002029AF">
        <w:t>where</w:t>
      </w:r>
      <w:r w:rsidR="000A5329" w:rsidRPr="002029AF">
        <w:t xml:space="preserve"> </w:t>
      </w:r>
      <w:r w:rsidRPr="002029AF">
        <w:t>otherwise</w:t>
      </w:r>
      <w:r w:rsidR="000A5329" w:rsidRPr="002029AF">
        <w:t xml:space="preserve"> </w:t>
      </w:r>
      <w:r w:rsidRPr="002029AF">
        <w:t>noted.</w:t>
      </w:r>
    </w:p>
    <w:p w14:paraId="1E5C1998" w14:textId="56DDC7AC" w:rsidR="00CF72D5" w:rsidRPr="002029AF" w:rsidRDefault="00CF72D5" w:rsidP="001E768A">
      <w:pPr>
        <w:pStyle w:val="ARbody"/>
      </w:pPr>
      <w:r w:rsidRPr="002029AF">
        <w:t>In</w:t>
      </w:r>
      <w:r w:rsidR="000A5329" w:rsidRPr="002029AF">
        <w:t xml:space="preserve"> </w:t>
      </w:r>
      <w:r w:rsidRPr="002029AF">
        <w:t>2019–20,</w:t>
      </w:r>
      <w:r w:rsidR="000A5329" w:rsidRPr="002029AF">
        <w:t xml:space="preserve"> </w:t>
      </w:r>
      <w:r w:rsidRPr="002029AF">
        <w:t>the</w:t>
      </w:r>
      <w:r w:rsidR="000A5329" w:rsidRPr="002029AF">
        <w:t xml:space="preserve"> </w:t>
      </w:r>
      <w:r w:rsidRPr="002029AF">
        <w:t>environmental</w:t>
      </w:r>
      <w:r w:rsidR="000A5329" w:rsidRPr="002029AF">
        <w:t xml:space="preserve"> </w:t>
      </w:r>
      <w:r w:rsidRPr="002029AF">
        <w:t>performance</w:t>
      </w:r>
      <w:r w:rsidR="000A5329" w:rsidRPr="002029AF">
        <w:t xml:space="preserve"> </w:t>
      </w:r>
      <w:r w:rsidRPr="002029AF">
        <w:t>reporting</w:t>
      </w:r>
      <w:r w:rsidR="000A5329" w:rsidRPr="002029AF">
        <w:t xml:space="preserve"> </w:t>
      </w:r>
      <w:r w:rsidRPr="002029AF">
        <w:t>data</w:t>
      </w:r>
      <w:r w:rsidR="000A5329" w:rsidRPr="002029AF">
        <w:t xml:space="preserve"> </w:t>
      </w:r>
      <w:r w:rsidRPr="002029AF">
        <w:t>include</w:t>
      </w:r>
      <w:r w:rsidR="000A5329" w:rsidRPr="002029AF">
        <w:t xml:space="preserve"> </w:t>
      </w:r>
      <w:r w:rsidRPr="002029AF">
        <w:t>property</w:t>
      </w:r>
      <w:r w:rsidR="000A5329" w:rsidRPr="002029AF">
        <w:t xml:space="preserve"> </w:t>
      </w:r>
      <w:r w:rsidRPr="002029AF">
        <w:t>and</w:t>
      </w:r>
      <w:r w:rsidR="000A5329" w:rsidRPr="002029AF">
        <w:t xml:space="preserve"> </w:t>
      </w:r>
      <w:r w:rsidRPr="002029AF">
        <w:t>assets</w:t>
      </w:r>
      <w:r w:rsidR="000A5329" w:rsidRPr="002029AF">
        <w:t xml:space="preserve"> </w:t>
      </w:r>
      <w:r w:rsidRPr="002029AF">
        <w:t>used</w:t>
      </w:r>
      <w:r w:rsidR="000A5329" w:rsidRPr="002029AF">
        <w:t xml:space="preserve"> </w:t>
      </w:r>
      <w:r w:rsidRPr="002029AF">
        <w:t>in</w:t>
      </w:r>
      <w:r w:rsidR="00C83719" w:rsidRPr="002029AF">
        <w:t> </w:t>
      </w:r>
      <w:r w:rsidRPr="002029AF">
        <w:t>the</w:t>
      </w:r>
      <w:r w:rsidR="000A5329" w:rsidRPr="002029AF">
        <w:t xml:space="preserve"> </w:t>
      </w:r>
      <w:r w:rsidRPr="002029AF">
        <w:t>delivery</w:t>
      </w:r>
      <w:r w:rsidR="000A5329" w:rsidRPr="002029AF">
        <w:t xml:space="preserve"> </w:t>
      </w:r>
      <w:r w:rsidRPr="002029AF">
        <w:t>of</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core</w:t>
      </w:r>
      <w:r w:rsidR="000A5329" w:rsidRPr="002029AF">
        <w:t xml:space="preserve"> </w:t>
      </w:r>
      <w:r w:rsidRPr="002029AF">
        <w:t>functions,</w:t>
      </w:r>
      <w:r w:rsidR="000A5329" w:rsidRPr="002029AF">
        <w:t xml:space="preserve"> </w:t>
      </w:r>
      <w:r w:rsidRPr="002029AF">
        <w:t>including</w:t>
      </w:r>
      <w:r w:rsidR="000A5329" w:rsidRPr="002029AF">
        <w:t xml:space="preserve"> </w:t>
      </w:r>
      <w:r w:rsidRPr="002029AF">
        <w:t>corporate</w:t>
      </w:r>
      <w:r w:rsidR="000A5329" w:rsidRPr="002029AF">
        <w:t xml:space="preserve"> </w:t>
      </w:r>
      <w:r w:rsidRPr="002029AF">
        <w:t>offices,</w:t>
      </w:r>
      <w:r w:rsidR="000A5329" w:rsidRPr="002029AF">
        <w:t xml:space="preserve"> </w:t>
      </w:r>
      <w:r w:rsidRPr="002029AF">
        <w:t>residential</w:t>
      </w:r>
      <w:r w:rsidR="000A5329" w:rsidRPr="002029AF">
        <w:t xml:space="preserve"> </w:t>
      </w:r>
      <w:r w:rsidRPr="002029AF">
        <w:t>housing,</w:t>
      </w:r>
      <w:r w:rsidR="000A5329" w:rsidRPr="002029AF">
        <w:t xml:space="preserve"> </w:t>
      </w:r>
      <w:r w:rsidRPr="002029AF">
        <w:t>and</w:t>
      </w:r>
      <w:r w:rsidR="000A5329" w:rsidRPr="002029AF">
        <w:t xml:space="preserve"> </w:t>
      </w:r>
      <w:r w:rsidRPr="002029AF">
        <w:t>public</w:t>
      </w:r>
      <w:r w:rsidR="000A5329" w:rsidRPr="002029AF">
        <w:t xml:space="preserve"> </w:t>
      </w:r>
      <w:r w:rsidRPr="002029AF">
        <w:t>hospitals</w:t>
      </w:r>
      <w:r w:rsidR="000A5329" w:rsidRPr="002029AF">
        <w:t xml:space="preserve"> </w:t>
      </w:r>
      <w:r w:rsidRPr="002029AF">
        <w:t>and</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This</w:t>
      </w:r>
      <w:r w:rsidR="000A5329" w:rsidRPr="002029AF">
        <w:t xml:space="preserve"> </w:t>
      </w:r>
      <w:r w:rsidRPr="002029AF">
        <w:t>report</w:t>
      </w:r>
      <w:r w:rsidR="000A5329" w:rsidRPr="002029AF">
        <w:t xml:space="preserve"> </w:t>
      </w:r>
      <w:r w:rsidRPr="002029AF">
        <w:t>includes</w:t>
      </w:r>
      <w:r w:rsidR="000A5329" w:rsidRPr="002029AF">
        <w:t xml:space="preserve"> </w:t>
      </w:r>
      <w:r w:rsidRPr="002029AF">
        <w:t>disability</w:t>
      </w:r>
      <w:r w:rsidR="000A5329" w:rsidRPr="002029AF">
        <w:t xml:space="preserve"> </w:t>
      </w:r>
      <w:r w:rsidRPr="002029AF">
        <w:t>accommodation</w:t>
      </w:r>
      <w:r w:rsidR="000A5329" w:rsidRPr="002029AF">
        <w:t xml:space="preserve"> </w:t>
      </w:r>
      <w:r w:rsidRPr="002029AF">
        <w:t>clients’</w:t>
      </w:r>
      <w:r w:rsidR="000A5329" w:rsidRPr="002029AF">
        <w:t xml:space="preserve"> </w:t>
      </w:r>
      <w:r w:rsidRPr="002029AF">
        <w:t>residential</w:t>
      </w:r>
      <w:r w:rsidR="000A5329" w:rsidRPr="002029AF">
        <w:t xml:space="preserve"> </w:t>
      </w:r>
      <w:r w:rsidRPr="002029AF">
        <w:t>energy</w:t>
      </w:r>
      <w:r w:rsidR="000A5329" w:rsidRPr="002029AF">
        <w:t xml:space="preserve"> </w:t>
      </w:r>
      <w:r w:rsidRPr="002029AF">
        <w:t>usage</w:t>
      </w:r>
      <w:r w:rsidR="000A5329" w:rsidRPr="002029AF">
        <w:t xml:space="preserve"> </w:t>
      </w:r>
      <w:r w:rsidRPr="002029AF">
        <w:t>and</w:t>
      </w:r>
      <w:r w:rsidR="000A5329" w:rsidRPr="002029AF">
        <w:t xml:space="preserve"> </w:t>
      </w:r>
      <w:r w:rsidRPr="002029AF">
        <w:t>shared</w:t>
      </w:r>
      <w:r w:rsidR="000A5329" w:rsidRPr="002029AF">
        <w:t xml:space="preserve"> </w:t>
      </w:r>
      <w:r w:rsidRPr="002029AF">
        <w:t>base-building</w:t>
      </w:r>
      <w:r w:rsidR="000A5329" w:rsidRPr="002029AF">
        <w:t xml:space="preserve"> </w:t>
      </w:r>
      <w:r w:rsidRPr="002029AF">
        <w:t>energy</w:t>
      </w:r>
      <w:r w:rsidR="000A5329" w:rsidRPr="002029AF">
        <w:t xml:space="preserve"> </w:t>
      </w:r>
      <w:r w:rsidRPr="002029AF">
        <w:t>and</w:t>
      </w:r>
      <w:r w:rsidR="000A5329" w:rsidRPr="002029AF">
        <w:t xml:space="preserve"> </w:t>
      </w:r>
      <w:r w:rsidRPr="002029AF">
        <w:t>water</w:t>
      </w:r>
      <w:r w:rsidR="000A5329" w:rsidRPr="002029AF">
        <w:t xml:space="preserve"> </w:t>
      </w:r>
      <w:r w:rsidRPr="002029AF">
        <w:t>in</w:t>
      </w:r>
      <w:r w:rsidR="000A5329" w:rsidRPr="002029AF">
        <w:t xml:space="preserve"> </w:t>
      </w:r>
      <w:r w:rsidRPr="002029AF">
        <w:t>offices</w:t>
      </w:r>
      <w:r w:rsidR="000A5329" w:rsidRPr="002029AF">
        <w:t xml:space="preserve"> </w:t>
      </w:r>
      <w:r w:rsidRPr="002029AF">
        <w:t>and</w:t>
      </w:r>
      <w:r w:rsidR="000A5329" w:rsidRPr="002029AF">
        <w:t xml:space="preserve"> </w:t>
      </w:r>
      <w:r w:rsidRPr="002029AF">
        <w:t>public</w:t>
      </w:r>
      <w:r w:rsidR="000A5329" w:rsidRPr="002029AF">
        <w:t xml:space="preserve"> </w:t>
      </w:r>
      <w:r w:rsidRPr="002029AF">
        <w:t>housing</w:t>
      </w:r>
      <w:r w:rsidR="000A5329" w:rsidRPr="002029AF">
        <w:t xml:space="preserve"> </w:t>
      </w:r>
      <w:r w:rsidRPr="002029AF">
        <w:t>facilities.</w:t>
      </w:r>
      <w:r w:rsidR="000A5329" w:rsidRPr="002029AF">
        <w:t xml:space="preserve"> </w:t>
      </w:r>
      <w:r w:rsidRPr="002029AF">
        <w:t>All</w:t>
      </w:r>
      <w:r w:rsidR="000A5329" w:rsidRPr="002029AF">
        <w:t xml:space="preserve"> </w:t>
      </w:r>
      <w:r w:rsidRPr="002029AF">
        <w:t>figures</w:t>
      </w:r>
      <w:r w:rsidR="000A5329" w:rsidRPr="002029AF">
        <w:t xml:space="preserve"> </w:t>
      </w:r>
      <w:r w:rsidRPr="002029AF">
        <w:t>have</w:t>
      </w:r>
      <w:r w:rsidR="000A5329" w:rsidRPr="002029AF">
        <w:t xml:space="preserve"> </w:t>
      </w:r>
      <w:r w:rsidRPr="002029AF">
        <w:t>been</w:t>
      </w:r>
      <w:r w:rsidR="000A5329" w:rsidRPr="002029AF">
        <w:t xml:space="preserve"> </w:t>
      </w:r>
      <w:r w:rsidRPr="002029AF">
        <w:t>forecast</w:t>
      </w:r>
      <w:r w:rsidR="000A5329" w:rsidRPr="002029AF">
        <w:t xml:space="preserve"> </w:t>
      </w:r>
      <w:r w:rsidRPr="002029AF">
        <w:t>and</w:t>
      </w:r>
      <w:r w:rsidR="000A5329" w:rsidRPr="002029AF">
        <w:t xml:space="preserve"> </w:t>
      </w:r>
      <w:r w:rsidRPr="002029AF">
        <w:t>adjusted</w:t>
      </w:r>
      <w:r w:rsidR="000A5329" w:rsidRPr="002029AF">
        <w:t xml:space="preserve"> </w:t>
      </w:r>
      <w:r w:rsidRPr="002029AF">
        <w:t>to</w:t>
      </w:r>
      <w:r w:rsidR="000A5329" w:rsidRPr="002029AF">
        <w:t xml:space="preserve"> </w:t>
      </w:r>
      <w:r w:rsidRPr="002029AF">
        <w:t>include</w:t>
      </w:r>
      <w:r w:rsidR="000A5329" w:rsidRPr="002029AF">
        <w:t xml:space="preserve"> </w:t>
      </w:r>
      <w:r w:rsidRPr="002029AF">
        <w:t>the</w:t>
      </w:r>
      <w:r w:rsidR="000A5329" w:rsidRPr="002029AF">
        <w:t xml:space="preserve"> </w:t>
      </w:r>
      <w:r w:rsidRPr="002029AF">
        <w:t>most</w:t>
      </w:r>
      <w:r w:rsidR="000A5329" w:rsidRPr="002029AF">
        <w:t xml:space="preserve"> </w:t>
      </w:r>
      <w:r w:rsidRPr="002029AF">
        <w:t>up-to-date</w:t>
      </w:r>
      <w:r w:rsidR="000A5329" w:rsidRPr="002029AF">
        <w:t xml:space="preserve"> </w:t>
      </w:r>
      <w:r w:rsidRPr="002029AF">
        <w:t>information.</w:t>
      </w:r>
      <w:r w:rsidR="000A5329" w:rsidRPr="002029AF">
        <w:t xml:space="preserve"> </w:t>
      </w:r>
      <w:r w:rsidRPr="002029AF">
        <w:t>Where</w:t>
      </w:r>
      <w:r w:rsidR="000A5329" w:rsidRPr="002029AF">
        <w:t xml:space="preserve"> </w:t>
      </w:r>
      <w:r w:rsidRPr="002029AF">
        <w:t>data</w:t>
      </w:r>
      <w:r w:rsidR="000A5329" w:rsidRPr="002029AF">
        <w:t xml:space="preserve"> </w:t>
      </w:r>
      <w:r w:rsidRPr="002029AF">
        <w:t>was</w:t>
      </w:r>
      <w:r w:rsidR="000A5329" w:rsidRPr="002029AF">
        <w:t xml:space="preserve"> </w:t>
      </w:r>
      <w:r w:rsidRPr="002029AF">
        <w:t>not</w:t>
      </w:r>
      <w:r w:rsidR="000A5329" w:rsidRPr="002029AF">
        <w:t xml:space="preserve"> </w:t>
      </w:r>
      <w:r w:rsidRPr="002029AF">
        <w:t>available</w:t>
      </w:r>
      <w:r w:rsidR="000A5329" w:rsidRPr="002029AF">
        <w:t xml:space="preserve"> </w:t>
      </w:r>
      <w:r w:rsidRPr="002029AF">
        <w:t>or</w:t>
      </w:r>
      <w:r w:rsidR="000A5329" w:rsidRPr="002029AF">
        <w:t xml:space="preserve"> </w:t>
      </w:r>
      <w:r w:rsidRPr="002029AF">
        <w:t>estimated</w:t>
      </w:r>
      <w:r w:rsidR="000A5329" w:rsidRPr="002029AF">
        <w:t xml:space="preserve"> </w:t>
      </w:r>
      <w:r w:rsidRPr="002029AF">
        <w:t>in</w:t>
      </w:r>
      <w:r w:rsidR="000A5329" w:rsidRPr="002029AF">
        <w:t xml:space="preserve"> </w:t>
      </w:r>
      <w:r w:rsidRPr="002029AF">
        <w:t>previous</w:t>
      </w:r>
      <w:r w:rsidR="000A5329" w:rsidRPr="002029AF">
        <w:t xml:space="preserve"> </w:t>
      </w:r>
      <w:r w:rsidRPr="002029AF">
        <w:t>years</w:t>
      </w:r>
      <w:r w:rsidR="000A5329" w:rsidRPr="002029AF">
        <w:t xml:space="preserve"> </w:t>
      </w:r>
      <w:r w:rsidRPr="002029AF">
        <w:t>but</w:t>
      </w:r>
      <w:r w:rsidR="000A5329" w:rsidRPr="002029AF">
        <w:t xml:space="preserve"> </w:t>
      </w:r>
      <w:r w:rsidRPr="002029AF">
        <w:t>has</w:t>
      </w:r>
      <w:r w:rsidR="000A5329" w:rsidRPr="002029AF">
        <w:t xml:space="preserve"> </w:t>
      </w:r>
      <w:r w:rsidRPr="002029AF">
        <w:t>since</w:t>
      </w:r>
      <w:r w:rsidR="000A5329" w:rsidRPr="002029AF">
        <w:t xml:space="preserve"> </w:t>
      </w:r>
      <w:r w:rsidRPr="002029AF">
        <w:t>become</w:t>
      </w:r>
      <w:r w:rsidR="000A5329" w:rsidRPr="002029AF">
        <w:t xml:space="preserve"> </w:t>
      </w:r>
      <w:r w:rsidRPr="002029AF">
        <w:t>available,</w:t>
      </w:r>
      <w:r w:rsidR="000A5329" w:rsidRPr="002029AF">
        <w:t xml:space="preserve"> </w:t>
      </w:r>
      <w:r w:rsidRPr="002029AF">
        <w:t>figures</w:t>
      </w:r>
      <w:r w:rsidR="000A5329" w:rsidRPr="002029AF">
        <w:t xml:space="preserve"> </w:t>
      </w:r>
      <w:r w:rsidRPr="002029AF">
        <w:t>have</w:t>
      </w:r>
      <w:r w:rsidR="000A5329" w:rsidRPr="002029AF">
        <w:t xml:space="preserve"> </w:t>
      </w:r>
      <w:r w:rsidRPr="002029AF">
        <w:t>been</w:t>
      </w:r>
      <w:r w:rsidR="000A5329" w:rsidRPr="002029AF">
        <w:t xml:space="preserve"> </w:t>
      </w:r>
      <w:r w:rsidRPr="002029AF">
        <w:t>adjusted</w:t>
      </w:r>
      <w:r w:rsidR="000A5329" w:rsidRPr="002029AF">
        <w:t xml:space="preserve"> </w:t>
      </w:r>
      <w:r w:rsidRPr="002029AF">
        <w:t>to</w:t>
      </w:r>
      <w:r w:rsidR="000A5329" w:rsidRPr="002029AF">
        <w:t xml:space="preserve"> </w:t>
      </w:r>
      <w:r w:rsidRPr="002029AF">
        <w:t>best</w:t>
      </w:r>
      <w:r w:rsidR="000A5329" w:rsidRPr="002029AF">
        <w:t xml:space="preserve"> </w:t>
      </w:r>
      <w:r w:rsidRPr="002029AF">
        <w:t>represent</w:t>
      </w:r>
      <w:r w:rsidR="000A5329" w:rsidRPr="002029AF">
        <w:t xml:space="preserve"> </w:t>
      </w:r>
      <w:r w:rsidRPr="002029AF">
        <w:t>the</w:t>
      </w:r>
      <w:r w:rsidR="000A5329" w:rsidRPr="002029AF">
        <w:t xml:space="preserve"> </w:t>
      </w:r>
      <w:r w:rsidRPr="002029AF">
        <w:t>building</w:t>
      </w:r>
      <w:r w:rsidR="000A5329" w:rsidRPr="002029AF">
        <w:t xml:space="preserve"> </w:t>
      </w:r>
      <w:r w:rsidRPr="002029AF">
        <w:t>portfolio</w:t>
      </w:r>
      <w:r w:rsidR="000A5329" w:rsidRPr="002029AF">
        <w:t xml:space="preserve"> </w:t>
      </w:r>
      <w:r w:rsidRPr="002029AF">
        <w:t>as</w:t>
      </w:r>
      <w:r w:rsidR="000A5329" w:rsidRPr="002029AF">
        <w:t xml:space="preserve"> </w:t>
      </w:r>
      <w:r w:rsidRPr="002029AF">
        <w:t>at</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p>
    <w:p w14:paraId="4E4E99A9" w14:textId="58B37BB5" w:rsidR="00CF72D5" w:rsidRPr="002029AF" w:rsidRDefault="00CF72D5" w:rsidP="001E768A">
      <w:pPr>
        <w:pStyle w:val="ARbody"/>
      </w:pPr>
      <w:r w:rsidRPr="002029AF">
        <w:t>At</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provided</w:t>
      </w:r>
      <w:r w:rsidR="000A5329" w:rsidRPr="002029AF">
        <w:t xml:space="preserve"> </w:t>
      </w:r>
      <w:r w:rsidRPr="002029AF">
        <w:t>its</w:t>
      </w:r>
      <w:r w:rsidR="000A5329" w:rsidRPr="002029AF">
        <w:t xml:space="preserve"> </w:t>
      </w:r>
      <w:r w:rsidRPr="002029AF">
        <w:t>administrated</w:t>
      </w:r>
      <w:r w:rsidR="000A5329" w:rsidRPr="002029AF">
        <w:t xml:space="preserve"> </w:t>
      </w:r>
      <w:r w:rsidRPr="002029AF">
        <w:t>services</w:t>
      </w:r>
      <w:r w:rsidR="000A5329" w:rsidRPr="002029AF">
        <w:t xml:space="preserve"> </w:t>
      </w:r>
      <w:r w:rsidRPr="002029AF">
        <w:t>from</w:t>
      </w:r>
      <w:r w:rsidR="000A5329" w:rsidRPr="002029AF">
        <w:t xml:space="preserve"> </w:t>
      </w:r>
      <w:r w:rsidRPr="002029AF">
        <w:t>62</w:t>
      </w:r>
      <w:r w:rsidR="000A5329" w:rsidRPr="002029AF">
        <w:t xml:space="preserve"> </w:t>
      </w:r>
      <w:r w:rsidRPr="002029AF">
        <w:t>office</w:t>
      </w:r>
      <w:r w:rsidR="000A5329" w:rsidRPr="002029AF">
        <w:t xml:space="preserve"> </w:t>
      </w:r>
      <w:r w:rsidRPr="002029AF">
        <w:t>locations</w:t>
      </w:r>
      <w:r w:rsidR="000A5329" w:rsidRPr="002029AF">
        <w:t xml:space="preserve"> </w:t>
      </w:r>
      <w:r w:rsidRPr="002029AF">
        <w:t>across</w:t>
      </w:r>
      <w:r w:rsidR="000A5329" w:rsidRPr="002029AF">
        <w:t xml:space="preserve"> </w:t>
      </w:r>
      <w:r w:rsidRPr="002029AF">
        <w:t>the</w:t>
      </w:r>
      <w:r w:rsidR="000A5329" w:rsidRPr="002029AF">
        <w:t xml:space="preserve"> </w:t>
      </w:r>
      <w:r w:rsidRPr="002029AF">
        <w:t>state.</w:t>
      </w:r>
      <w:r w:rsidR="000A5329" w:rsidRPr="002029AF">
        <w:t xml:space="preserve"> </w:t>
      </w:r>
      <w:r w:rsidRPr="002029AF">
        <w:t>In</w:t>
      </w:r>
      <w:r w:rsidR="000A5329" w:rsidRPr="002029AF">
        <w:t xml:space="preserve"> </w:t>
      </w:r>
      <w:r w:rsidRPr="002029AF">
        <w:t>addition,</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operates</w:t>
      </w:r>
      <w:r w:rsidR="000A5329" w:rsidRPr="002029AF">
        <w:t xml:space="preserve"> </w:t>
      </w:r>
      <w:r w:rsidRPr="002029AF">
        <w:t>from</w:t>
      </w:r>
      <w:r w:rsidR="000A5329" w:rsidRPr="002029AF">
        <w:t xml:space="preserve"> </w:t>
      </w:r>
      <w:r w:rsidRPr="002029AF">
        <w:t>operational</w:t>
      </w:r>
      <w:r w:rsidR="000A5329" w:rsidRPr="002029AF">
        <w:t xml:space="preserve"> </w:t>
      </w:r>
      <w:r w:rsidRPr="002029AF">
        <w:t>centres</w:t>
      </w:r>
      <w:r w:rsidR="000A5329" w:rsidRPr="002029AF">
        <w:t xml:space="preserve"> </w:t>
      </w:r>
      <w:r w:rsidRPr="002029AF">
        <w:t>providing</w:t>
      </w:r>
      <w:r w:rsidR="000A5329" w:rsidRPr="002029AF">
        <w:t xml:space="preserve"> </w:t>
      </w:r>
      <w:r w:rsidRPr="002029AF">
        <w:t>secure</w:t>
      </w:r>
      <w:r w:rsidR="000A5329" w:rsidRPr="002029AF">
        <w:t xml:space="preserve"> </w:t>
      </w:r>
      <w:r w:rsidRPr="002029AF">
        <w:t>services</w:t>
      </w:r>
      <w:r w:rsidR="000A5329" w:rsidRPr="002029AF">
        <w:t xml:space="preserve"> </w:t>
      </w:r>
      <w:r w:rsidRPr="002029AF">
        <w:t>and</w:t>
      </w:r>
      <w:r w:rsidR="000A5329" w:rsidRPr="002029AF">
        <w:t xml:space="preserve"> </w:t>
      </w:r>
      <w:r w:rsidRPr="002029AF">
        <w:t>disability</w:t>
      </w:r>
      <w:r w:rsidR="000A5329" w:rsidRPr="002029AF">
        <w:t xml:space="preserve"> </w:t>
      </w:r>
      <w:r w:rsidRPr="002029AF">
        <w:t>residential</w:t>
      </w:r>
      <w:r w:rsidR="000A5329" w:rsidRPr="002029AF">
        <w:t xml:space="preserve"> </w:t>
      </w:r>
      <w:r w:rsidRPr="002029AF">
        <w:t>services.</w:t>
      </w:r>
      <w:r w:rsidR="000A5329" w:rsidRPr="002029AF">
        <w:t xml:space="preserve"> </w:t>
      </w:r>
      <w:r w:rsidRPr="002029AF">
        <w:t>Public</w:t>
      </w:r>
      <w:r w:rsidR="000A5329" w:rsidRPr="002029AF">
        <w:t xml:space="preserve"> </w:t>
      </w:r>
      <w:r w:rsidRPr="002029AF">
        <w:t>housing</w:t>
      </w:r>
      <w:r w:rsidR="000A5329" w:rsidRPr="002029AF">
        <w:t xml:space="preserve"> </w:t>
      </w:r>
      <w:r w:rsidRPr="002029AF">
        <w:t>energy</w:t>
      </w:r>
      <w:r w:rsidR="000A5329" w:rsidRPr="002029AF">
        <w:t xml:space="preserve"> </w:t>
      </w:r>
      <w:r w:rsidRPr="002029AF">
        <w:t>and</w:t>
      </w:r>
      <w:r w:rsidR="000A5329" w:rsidRPr="002029AF">
        <w:t xml:space="preserve"> </w:t>
      </w:r>
      <w:r w:rsidRPr="002029AF">
        <w:t>water</w:t>
      </w:r>
      <w:r w:rsidR="000A5329" w:rsidRPr="002029AF">
        <w:t xml:space="preserve"> </w:t>
      </w:r>
      <w:r w:rsidRPr="002029AF">
        <w:t>data</w:t>
      </w:r>
      <w:r w:rsidR="000A5329" w:rsidRPr="002029AF">
        <w:t xml:space="preserve"> </w:t>
      </w:r>
      <w:r w:rsidRPr="002029AF">
        <w:t>includes</w:t>
      </w:r>
      <w:r w:rsidR="000A5329" w:rsidRPr="002029AF">
        <w:t xml:space="preserve"> </w:t>
      </w:r>
      <w:r w:rsidRPr="002029AF">
        <w:t>community</w:t>
      </w:r>
      <w:r w:rsidR="000A5329" w:rsidRPr="002029AF">
        <w:t xml:space="preserve"> </w:t>
      </w:r>
      <w:r w:rsidRPr="002029AF">
        <w:t>facilities,</w:t>
      </w:r>
      <w:r w:rsidR="000A5329" w:rsidRPr="002029AF">
        <w:t xml:space="preserve"> </w:t>
      </w:r>
      <w:r w:rsidRPr="002029AF">
        <w:t>general</w:t>
      </w:r>
      <w:r w:rsidR="000A5329" w:rsidRPr="002029AF">
        <w:t xml:space="preserve"> </w:t>
      </w:r>
      <w:r w:rsidRPr="002029AF">
        <w:t>lighting</w:t>
      </w:r>
      <w:r w:rsidR="000A5329" w:rsidRPr="002029AF">
        <w:t xml:space="preserve"> </w:t>
      </w:r>
      <w:r w:rsidRPr="002029AF">
        <w:t>and</w:t>
      </w:r>
      <w:r w:rsidR="000A5329" w:rsidRPr="002029AF">
        <w:t xml:space="preserve"> </w:t>
      </w:r>
      <w:r w:rsidRPr="002029AF">
        <w:t>bulk</w:t>
      </w:r>
      <w:r w:rsidR="000A5329" w:rsidRPr="002029AF">
        <w:t xml:space="preserve"> </w:t>
      </w:r>
      <w:r w:rsidRPr="002029AF">
        <w:t>hot-water</w:t>
      </w:r>
      <w:r w:rsidR="000A5329" w:rsidRPr="002029AF">
        <w:t xml:space="preserve"> </w:t>
      </w:r>
      <w:r w:rsidRPr="002029AF">
        <w:t>equipment</w:t>
      </w:r>
      <w:r w:rsidR="000A5329" w:rsidRPr="002029AF">
        <w:t xml:space="preserve"> </w:t>
      </w:r>
      <w:r w:rsidRPr="002029AF">
        <w:t>and</w:t>
      </w:r>
      <w:r w:rsidR="000A5329" w:rsidRPr="002029AF">
        <w:t xml:space="preserve"> </w:t>
      </w:r>
      <w:r w:rsidRPr="002029AF">
        <w:t>potable</w:t>
      </w:r>
      <w:r w:rsidR="000A5329" w:rsidRPr="002029AF">
        <w:t xml:space="preserve"> </w:t>
      </w:r>
      <w:r w:rsidRPr="002029AF">
        <w:t>water</w:t>
      </w:r>
      <w:r w:rsidR="000A5329" w:rsidRPr="002029AF">
        <w:t xml:space="preserve"> </w:t>
      </w:r>
      <w:r w:rsidRPr="002029AF">
        <w:t>usage</w:t>
      </w:r>
      <w:r w:rsidR="000A5329" w:rsidRPr="002029AF">
        <w:t xml:space="preserve"> </w:t>
      </w:r>
      <w:r w:rsidRPr="002029AF">
        <w:t>in</w:t>
      </w:r>
      <w:r w:rsidR="000A5329" w:rsidRPr="002029AF">
        <w:t xml:space="preserve"> </w:t>
      </w:r>
      <w:r w:rsidRPr="002029AF">
        <w:t>high-rise</w:t>
      </w:r>
      <w:r w:rsidR="000A5329" w:rsidRPr="002029AF">
        <w:t xml:space="preserve"> </w:t>
      </w:r>
      <w:r w:rsidRPr="002029AF">
        <w:t>apartment</w:t>
      </w:r>
      <w:r w:rsidR="000A5329" w:rsidRPr="002029AF">
        <w:t xml:space="preserve"> </w:t>
      </w:r>
      <w:r w:rsidRPr="002029AF">
        <w:t>blocks,</w:t>
      </w:r>
      <w:r w:rsidR="000A5329" w:rsidRPr="002029AF">
        <w:t xml:space="preserve"> </w:t>
      </w:r>
      <w:r w:rsidRPr="002029AF">
        <w:t>low-rise</w:t>
      </w:r>
      <w:r w:rsidR="000A5329" w:rsidRPr="002029AF">
        <w:t xml:space="preserve"> </w:t>
      </w:r>
      <w:r w:rsidRPr="002029AF">
        <w:t>apartment</w:t>
      </w:r>
      <w:r w:rsidR="000A5329" w:rsidRPr="002029AF">
        <w:t xml:space="preserve"> </w:t>
      </w:r>
      <w:r w:rsidRPr="002029AF">
        <w:t>blocks</w:t>
      </w:r>
      <w:r w:rsidR="000A5329" w:rsidRPr="002029AF">
        <w:t xml:space="preserve"> </w:t>
      </w:r>
      <w:r w:rsidRPr="002029AF">
        <w:t>and</w:t>
      </w:r>
      <w:r w:rsidR="000A5329" w:rsidRPr="002029AF">
        <w:t xml:space="preserve"> </w:t>
      </w:r>
      <w:r w:rsidRPr="002029AF">
        <w:t>general</w:t>
      </w:r>
      <w:r w:rsidR="000A5329" w:rsidRPr="002029AF">
        <w:t xml:space="preserve"> </w:t>
      </w:r>
      <w:r w:rsidRPr="002029AF">
        <w:t>rental</w:t>
      </w:r>
      <w:r w:rsidR="000A5329" w:rsidRPr="002029AF">
        <w:t xml:space="preserve"> </w:t>
      </w:r>
      <w:r w:rsidRPr="002029AF">
        <w:t>public</w:t>
      </w:r>
      <w:r w:rsidR="000A5329" w:rsidRPr="002029AF">
        <w:t xml:space="preserve"> </w:t>
      </w:r>
      <w:r w:rsidRPr="002029AF">
        <w:t>housing</w:t>
      </w:r>
      <w:r w:rsidR="000A5329" w:rsidRPr="002029AF">
        <w:t xml:space="preserve"> </w:t>
      </w:r>
      <w:r w:rsidRPr="002029AF">
        <w:t>stock.</w:t>
      </w:r>
    </w:p>
    <w:p w14:paraId="3869C023" w14:textId="215A2DDF" w:rsidR="00CF72D5" w:rsidRPr="002029AF" w:rsidRDefault="00CF72D5" w:rsidP="001E768A">
      <w:pPr>
        <w:pStyle w:val="ARbody"/>
      </w:pPr>
      <w:r w:rsidRPr="002029AF">
        <w:t>Public</w:t>
      </w:r>
      <w:r w:rsidR="000A5329" w:rsidRPr="002029AF">
        <w:t xml:space="preserve"> </w:t>
      </w:r>
      <w:r w:rsidRPr="002029AF">
        <w:t>hospital</w:t>
      </w:r>
      <w:r w:rsidR="000A5329" w:rsidRPr="002029AF">
        <w:t xml:space="preserve"> </w:t>
      </w:r>
      <w:r w:rsidRPr="002029AF">
        <w:t>and</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energy</w:t>
      </w:r>
      <w:r w:rsidR="000A5329" w:rsidRPr="002029AF">
        <w:t xml:space="preserve"> </w:t>
      </w:r>
      <w:r w:rsidRPr="002029AF">
        <w:t>and</w:t>
      </w:r>
      <w:r w:rsidR="000A5329" w:rsidRPr="002029AF">
        <w:t xml:space="preserve"> </w:t>
      </w:r>
      <w:r w:rsidRPr="002029AF">
        <w:t>water</w:t>
      </w:r>
      <w:r w:rsidR="000A5329" w:rsidRPr="002029AF">
        <w:t xml:space="preserve"> </w:t>
      </w:r>
      <w:r w:rsidRPr="002029AF">
        <w:t>data</w:t>
      </w:r>
      <w:r w:rsidR="000A5329" w:rsidRPr="002029AF">
        <w:t xml:space="preserve"> </w:t>
      </w:r>
      <w:r w:rsidRPr="002029AF">
        <w:t>represents</w:t>
      </w:r>
      <w:r w:rsidR="000A5329" w:rsidRPr="002029AF">
        <w:t xml:space="preserve"> </w:t>
      </w:r>
      <w:r w:rsidRPr="002029AF">
        <w:t>a</w:t>
      </w:r>
      <w:r w:rsidR="000A5329" w:rsidRPr="002029AF">
        <w:t xml:space="preserve"> </w:t>
      </w:r>
      <w:r w:rsidRPr="002029AF">
        <w:t>summation</w:t>
      </w:r>
      <w:r w:rsidR="000A5329" w:rsidRPr="002029AF">
        <w:t xml:space="preserve"> </w:t>
      </w:r>
      <w:r w:rsidRPr="002029AF">
        <w:t>of</w:t>
      </w:r>
      <w:r w:rsidR="000A5329" w:rsidRPr="002029AF">
        <w:t xml:space="preserve"> </w:t>
      </w:r>
      <w:r w:rsidRPr="002029AF">
        <w:t>data</w:t>
      </w:r>
      <w:r w:rsidR="000A5329" w:rsidRPr="002029AF">
        <w:t xml:space="preserve"> </w:t>
      </w:r>
      <w:r w:rsidRPr="002029AF">
        <w:t>reported</w:t>
      </w:r>
      <w:r w:rsidR="000A5329" w:rsidRPr="002029AF">
        <w:t xml:space="preserve"> </w:t>
      </w:r>
      <w:r w:rsidRPr="002029AF">
        <w:t>by</w:t>
      </w:r>
      <w:r w:rsidR="000A5329" w:rsidRPr="002029AF">
        <w:t xml:space="preserve"> </w:t>
      </w:r>
      <w:r w:rsidRPr="002029AF">
        <w:t>Victoria’s</w:t>
      </w:r>
      <w:r w:rsidR="000A5329" w:rsidRPr="002029AF">
        <w:t xml:space="preserve"> </w:t>
      </w:r>
      <w:r w:rsidRPr="002029AF">
        <w:t>84</w:t>
      </w:r>
      <w:r w:rsidR="000A5329" w:rsidRPr="002029AF">
        <w:t xml:space="preserve"> </w:t>
      </w:r>
      <w:r w:rsidRPr="002029AF">
        <w:t>public</w:t>
      </w:r>
      <w:r w:rsidR="000A5329" w:rsidRPr="002029AF">
        <w:t xml:space="preserve"> </w:t>
      </w:r>
      <w:r w:rsidRPr="002029AF">
        <w:t>hospitals</w:t>
      </w:r>
      <w:r w:rsidR="000A5329" w:rsidRPr="002029AF">
        <w:t xml:space="preserve"> </w:t>
      </w:r>
      <w:r w:rsidRPr="002029AF">
        <w:t>and</w:t>
      </w:r>
      <w:r w:rsidR="000A5329" w:rsidRPr="002029AF">
        <w:t xml:space="preserve"> </w:t>
      </w:r>
      <w:r w:rsidRPr="002029AF">
        <w:t>health</w:t>
      </w:r>
      <w:r w:rsidR="00C83719" w:rsidRPr="002029AF">
        <w:t> </w:t>
      </w:r>
      <w:r w:rsidRPr="002029AF">
        <w:t>services,</w:t>
      </w:r>
      <w:r w:rsidR="000A5329" w:rsidRPr="002029AF">
        <w:t xml:space="preserve"> </w:t>
      </w:r>
      <w:r w:rsidRPr="002029AF">
        <w:t>including</w:t>
      </w:r>
      <w:r w:rsidR="000A5329" w:rsidRPr="002029AF">
        <w:t xml:space="preserve"> </w:t>
      </w:r>
      <w:r w:rsidRPr="002029AF">
        <w:t>Ambulance</w:t>
      </w:r>
      <w:r w:rsidR="000A5329" w:rsidRPr="002029AF">
        <w:t xml:space="preserve"> </w:t>
      </w:r>
      <w:r w:rsidRPr="002029AF">
        <w:t>Victoria.</w:t>
      </w:r>
    </w:p>
    <w:p w14:paraId="203F949F" w14:textId="6700BDFB" w:rsidR="009049B1" w:rsidRPr="002029AF" w:rsidRDefault="00CF72D5" w:rsidP="006A4476">
      <w:pPr>
        <w:pStyle w:val="ARbody"/>
      </w:pPr>
      <w:r w:rsidRPr="002029AF">
        <w:t>To</w:t>
      </w:r>
      <w:r w:rsidR="000A5329" w:rsidRPr="002029AF">
        <w:t xml:space="preserve"> </w:t>
      </w:r>
      <w:r w:rsidRPr="002029AF">
        <w:t>continually</w:t>
      </w:r>
      <w:r w:rsidR="000A5329" w:rsidRPr="002029AF">
        <w:t xml:space="preserve"> </w:t>
      </w:r>
      <w:r w:rsidRPr="002029AF">
        <w:t>improve</w:t>
      </w:r>
      <w:r w:rsidR="000A5329" w:rsidRPr="002029AF">
        <w:t xml:space="preserve"> </w:t>
      </w:r>
      <w:r w:rsidRPr="002029AF">
        <w:t>the</w:t>
      </w:r>
      <w:r w:rsidR="000A5329" w:rsidRPr="002029AF">
        <w:t xml:space="preserve"> </w:t>
      </w:r>
      <w:r w:rsidRPr="002029AF">
        <w:t>accuracy</w:t>
      </w:r>
      <w:r w:rsidR="000A5329" w:rsidRPr="002029AF">
        <w:t xml:space="preserve"> </w:t>
      </w:r>
      <w:r w:rsidRPr="002029AF">
        <w:t>of</w:t>
      </w:r>
      <w:r w:rsidR="000A5329" w:rsidRPr="002029AF">
        <w:t xml:space="preserve"> </w:t>
      </w:r>
      <w:r w:rsidRPr="002029AF">
        <w:t>reporting,</w:t>
      </w:r>
      <w:r w:rsidR="00C83719" w:rsidRPr="002029AF">
        <w:t> </w:t>
      </w:r>
      <w:r w:rsidRPr="002029AF">
        <w:t>the</w:t>
      </w:r>
      <w:r w:rsidR="000A5329" w:rsidRPr="002029AF">
        <w:t xml:space="preserve"> </w:t>
      </w:r>
      <w:r w:rsidRPr="002029AF">
        <w:t>department</w:t>
      </w:r>
      <w:r w:rsidR="000A5329" w:rsidRPr="002029AF">
        <w:t xml:space="preserve"> </w:t>
      </w:r>
      <w:r w:rsidRPr="002029AF">
        <w:t>reviews</w:t>
      </w:r>
      <w:r w:rsidR="000A5329" w:rsidRPr="002029AF">
        <w:t xml:space="preserve"> </w:t>
      </w:r>
      <w:r w:rsidRPr="002029AF">
        <w:t>data</w:t>
      </w:r>
      <w:r w:rsidR="000A5329" w:rsidRPr="002029AF">
        <w:t xml:space="preserve"> </w:t>
      </w:r>
      <w:r w:rsidRPr="002029AF">
        <w:t>on</w:t>
      </w:r>
      <w:r w:rsidR="000A5329" w:rsidRPr="002029AF">
        <w:t xml:space="preserve"> </w:t>
      </w:r>
      <w:r w:rsidRPr="002029AF">
        <w:t>an</w:t>
      </w:r>
      <w:r w:rsidR="000A5329" w:rsidRPr="002029AF">
        <w:t xml:space="preserve"> </w:t>
      </w:r>
      <w:r w:rsidRPr="002029AF">
        <w:t>ongoing</w:t>
      </w:r>
      <w:r w:rsidR="000A5329" w:rsidRPr="002029AF">
        <w:t xml:space="preserve"> </w:t>
      </w:r>
      <w:r w:rsidRPr="002029AF">
        <w:t>basis.</w:t>
      </w:r>
      <w:r w:rsidR="000A5329" w:rsidRPr="002029AF">
        <w:t xml:space="preserve"> </w:t>
      </w:r>
      <w:r w:rsidRPr="002029AF">
        <w:t>Changes</w:t>
      </w:r>
      <w:r w:rsidR="000A5329" w:rsidRPr="002029AF">
        <w:t xml:space="preserve"> </w:t>
      </w:r>
      <w:r w:rsidRPr="002029AF">
        <w:t>to</w:t>
      </w:r>
      <w:r w:rsidR="000A5329" w:rsidRPr="002029AF">
        <w:t xml:space="preserve"> </w:t>
      </w:r>
      <w:r w:rsidRPr="002029AF">
        <w:t>previously</w:t>
      </w:r>
      <w:r w:rsidR="000A5329" w:rsidRPr="002029AF">
        <w:t xml:space="preserve"> </w:t>
      </w:r>
      <w:r w:rsidRPr="002029AF">
        <w:t>reported</w:t>
      </w:r>
      <w:r w:rsidR="000A5329" w:rsidRPr="002029AF">
        <w:t xml:space="preserve"> </w:t>
      </w:r>
      <w:r w:rsidRPr="002029AF">
        <w:t>data</w:t>
      </w:r>
      <w:r w:rsidR="00C83719" w:rsidRPr="002029AF">
        <w:t> </w:t>
      </w:r>
      <w:r w:rsidRPr="002029AF">
        <w:t>can</w:t>
      </w:r>
      <w:r w:rsidR="000A5329" w:rsidRPr="002029AF">
        <w:t xml:space="preserve"> </w:t>
      </w:r>
      <w:r w:rsidRPr="002029AF">
        <w:t>therefore</w:t>
      </w:r>
      <w:r w:rsidR="000A5329" w:rsidRPr="002029AF">
        <w:t xml:space="preserve"> </w:t>
      </w:r>
      <w:r w:rsidRPr="002029AF">
        <w:t>occur</w:t>
      </w:r>
      <w:r w:rsidR="000A5329" w:rsidRPr="002029AF">
        <w:t xml:space="preserve"> </w:t>
      </w:r>
      <w:r w:rsidRPr="002029AF">
        <w:t>and</w:t>
      </w:r>
      <w:r w:rsidR="000A5329" w:rsidRPr="002029AF">
        <w:t xml:space="preserve"> </w:t>
      </w:r>
      <w:r w:rsidRPr="002029AF">
        <w:t>can</w:t>
      </w:r>
      <w:r w:rsidR="000A5329" w:rsidRPr="002029AF">
        <w:t xml:space="preserve"> </w:t>
      </w:r>
      <w:r w:rsidRPr="002029AF">
        <w:t>be</w:t>
      </w:r>
      <w:r w:rsidR="000A5329" w:rsidRPr="002029AF">
        <w:t xml:space="preserve"> </w:t>
      </w:r>
      <w:r w:rsidRPr="002029AF">
        <w:t>attributed</w:t>
      </w:r>
      <w:r w:rsidR="000A5329" w:rsidRPr="002029AF">
        <w:t xml:space="preserve"> </w:t>
      </w:r>
      <w:r w:rsidRPr="002029AF">
        <w:t>to</w:t>
      </w:r>
      <w:r w:rsidR="000A5329" w:rsidRPr="002029AF">
        <w:t xml:space="preserve"> </w:t>
      </w:r>
      <w:r w:rsidRPr="002029AF">
        <w:t>changes</w:t>
      </w:r>
      <w:r w:rsidR="000A5329" w:rsidRPr="002029AF">
        <w:t xml:space="preserve"> </w:t>
      </w:r>
      <w:r w:rsidRPr="002029AF">
        <w:t>in</w:t>
      </w:r>
      <w:r w:rsidR="000A5329" w:rsidRPr="002029AF">
        <w:t xml:space="preserve"> </w:t>
      </w:r>
      <w:r w:rsidRPr="002029AF">
        <w:t>the</w:t>
      </w:r>
      <w:r w:rsidR="000A5329" w:rsidRPr="002029AF">
        <w:t xml:space="preserve"> </w:t>
      </w:r>
      <w:r w:rsidRPr="002029AF">
        <w:t>number</w:t>
      </w:r>
      <w:r w:rsidR="000A5329" w:rsidRPr="002029AF">
        <w:t xml:space="preserve"> </w:t>
      </w:r>
      <w:r w:rsidRPr="002029AF">
        <w:t>of</w:t>
      </w:r>
      <w:r w:rsidR="000A5329" w:rsidRPr="002029AF">
        <w:t xml:space="preserve"> </w:t>
      </w:r>
      <w:r w:rsidRPr="002029AF">
        <w:t>facilities</w:t>
      </w:r>
      <w:r w:rsidR="000A5329" w:rsidRPr="002029AF">
        <w:t xml:space="preserve"> </w:t>
      </w:r>
      <w:r w:rsidRPr="002029AF">
        <w:t>reporting,</w:t>
      </w:r>
      <w:r w:rsidR="000A5329" w:rsidRPr="002029AF">
        <w:t xml:space="preserve"> </w:t>
      </w:r>
      <w:r w:rsidRPr="002029AF">
        <w:t>from</w:t>
      </w:r>
      <w:r w:rsidR="000A5329" w:rsidRPr="002029AF">
        <w:t xml:space="preserve"> </w:t>
      </w:r>
      <w:r w:rsidRPr="002029AF">
        <w:t>decommissioning,</w:t>
      </w:r>
      <w:r w:rsidR="000A5329" w:rsidRPr="002029AF">
        <w:t xml:space="preserve"> </w:t>
      </w:r>
      <w:r w:rsidRPr="002029AF">
        <w:t>expansion</w:t>
      </w:r>
      <w:r w:rsidR="000A5329" w:rsidRPr="002029AF">
        <w:t xml:space="preserve"> </w:t>
      </w:r>
      <w:r w:rsidRPr="002029AF">
        <w:t>or</w:t>
      </w:r>
      <w:r w:rsidR="000A5329" w:rsidRPr="002029AF">
        <w:t xml:space="preserve"> </w:t>
      </w:r>
      <w:r w:rsidRPr="002029AF">
        <w:t>new</w:t>
      </w:r>
      <w:r w:rsidR="000A5329" w:rsidRPr="002029AF">
        <w:t xml:space="preserve"> </w:t>
      </w:r>
      <w:r w:rsidRPr="002029AF">
        <w:t>build,</w:t>
      </w:r>
      <w:r w:rsidR="000A5329" w:rsidRPr="002029AF">
        <w:t xml:space="preserve"> </w:t>
      </w:r>
      <w:r w:rsidRPr="002029AF">
        <w:t>and/or</w:t>
      </w:r>
      <w:r w:rsidR="000A5329" w:rsidRPr="002029AF">
        <w:t xml:space="preserve"> </w:t>
      </w:r>
      <w:r w:rsidRPr="002029AF">
        <w:t>better-quality</w:t>
      </w:r>
      <w:r w:rsidR="000A5329" w:rsidRPr="002029AF">
        <w:t xml:space="preserve"> </w:t>
      </w:r>
      <w:r w:rsidRPr="002029AF">
        <w:t>data</w:t>
      </w:r>
      <w:r w:rsidR="000A5329" w:rsidRPr="002029AF">
        <w:t xml:space="preserve"> </w:t>
      </w:r>
      <w:r w:rsidRPr="002029AF">
        <w:t>received</w:t>
      </w:r>
      <w:r w:rsidR="000A5329" w:rsidRPr="002029AF">
        <w:t xml:space="preserve"> </w:t>
      </w:r>
      <w:r w:rsidRPr="002029AF">
        <w:t>from</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and/or</w:t>
      </w:r>
      <w:r w:rsidR="000A5329" w:rsidRPr="002029AF">
        <w:t xml:space="preserve"> </w:t>
      </w:r>
      <w:r w:rsidRPr="002029AF">
        <w:t>suppliers.</w:t>
      </w:r>
      <w:r w:rsidR="000A5329" w:rsidRPr="002029AF">
        <w:t xml:space="preserve"> </w:t>
      </w:r>
      <w:r w:rsidRPr="002029AF">
        <w:t>Bed</w:t>
      </w:r>
      <w:r w:rsidR="000A5329" w:rsidRPr="002029AF">
        <w:t xml:space="preserve"> </w:t>
      </w:r>
      <w:r w:rsidRPr="002029AF">
        <w:t>days</w:t>
      </w:r>
      <w:r w:rsidR="000A5329" w:rsidRPr="002029AF">
        <w:t xml:space="preserve"> </w:t>
      </w:r>
      <w:r w:rsidRPr="002029AF">
        <w:t>include</w:t>
      </w:r>
      <w:r w:rsidR="000A5329" w:rsidRPr="002029AF">
        <w:t xml:space="preserve"> </w:t>
      </w:r>
      <w:r w:rsidRPr="002029AF">
        <w:t>in-patient</w:t>
      </w:r>
      <w:r w:rsidR="000A5329" w:rsidRPr="002029AF">
        <w:t xml:space="preserve"> </w:t>
      </w:r>
      <w:r w:rsidRPr="002029AF">
        <w:t>occupied</w:t>
      </w:r>
      <w:r w:rsidR="000A5329" w:rsidRPr="002029AF">
        <w:t xml:space="preserve"> </w:t>
      </w:r>
      <w:r w:rsidRPr="002029AF">
        <w:t>bed</w:t>
      </w:r>
      <w:r w:rsidR="000A5329" w:rsidRPr="002029AF">
        <w:t xml:space="preserve"> </w:t>
      </w:r>
      <w:r w:rsidRPr="002029AF">
        <w:t>days</w:t>
      </w:r>
      <w:r w:rsidR="000A5329" w:rsidRPr="002029AF">
        <w:t xml:space="preserve"> </w:t>
      </w:r>
      <w:r w:rsidRPr="002029AF">
        <w:t>(OBD)</w:t>
      </w:r>
      <w:r w:rsidR="000A5329" w:rsidRPr="002029AF">
        <w:t xml:space="preserve"> </w:t>
      </w:r>
      <w:r w:rsidRPr="002029AF">
        <w:t>and</w:t>
      </w:r>
      <w:r w:rsidR="000A5329" w:rsidRPr="002029AF">
        <w:t xml:space="preserve"> </w:t>
      </w:r>
      <w:r w:rsidRPr="002029AF">
        <w:t>public</w:t>
      </w:r>
      <w:r w:rsidR="000A5329" w:rsidRPr="002029AF">
        <w:t xml:space="preserve"> </w:t>
      </w:r>
      <w:r w:rsidRPr="002029AF">
        <w:t>sector</w:t>
      </w:r>
      <w:r w:rsidR="000A5329" w:rsidRPr="002029AF">
        <w:t xml:space="preserve"> </w:t>
      </w:r>
      <w:r w:rsidRPr="002029AF">
        <w:t>residential</w:t>
      </w:r>
      <w:r w:rsidR="000A5329" w:rsidRPr="002029AF">
        <w:t xml:space="preserve"> </w:t>
      </w:r>
      <w:r w:rsidRPr="002029AF">
        <w:t>aged</w:t>
      </w:r>
      <w:r w:rsidR="000A5329" w:rsidRPr="002029AF">
        <w:t xml:space="preserve"> </w:t>
      </w:r>
      <w:r w:rsidRPr="002029AF">
        <w:t>care</w:t>
      </w:r>
      <w:r w:rsidR="000A5329" w:rsidRPr="002029AF">
        <w:t xml:space="preserve"> </w:t>
      </w:r>
      <w:r w:rsidRPr="002029AF">
        <w:t>bed</w:t>
      </w:r>
      <w:r w:rsidR="000A5329" w:rsidRPr="002029AF">
        <w:t xml:space="preserve"> </w:t>
      </w:r>
      <w:r w:rsidRPr="002029AF">
        <w:t>days</w:t>
      </w:r>
      <w:r w:rsidR="00E3577B" w:rsidRPr="002029AF">
        <w:t>.</w:t>
      </w:r>
    </w:p>
    <w:p w14:paraId="79EDA811" w14:textId="77777777" w:rsidR="00E3577B" w:rsidRPr="002029AF" w:rsidRDefault="00E3577B" w:rsidP="006A4476">
      <w:pPr>
        <w:pStyle w:val="ARbody"/>
      </w:pPr>
    </w:p>
    <w:p w14:paraId="3D0D014D" w14:textId="6F9E2007" w:rsidR="00E3577B" w:rsidRPr="002029AF" w:rsidRDefault="00E3577B" w:rsidP="006A4476">
      <w:pPr>
        <w:pStyle w:val="ARbody"/>
        <w:sectPr w:rsidR="00E3577B" w:rsidRPr="002029AF" w:rsidSect="00E3577B">
          <w:endnotePr>
            <w:numFmt w:val="decimal"/>
          </w:endnotePr>
          <w:type w:val="continuous"/>
          <w:pgSz w:w="11900" w:h="16840" w:code="9"/>
          <w:pgMar w:top="1985" w:right="851" w:bottom="851" w:left="1418" w:header="510" w:footer="340" w:gutter="0"/>
          <w:cols w:num="2" w:space="454"/>
          <w15:footnoteColumns w:val="1"/>
        </w:sectPr>
      </w:pPr>
    </w:p>
    <w:p w14:paraId="1B182119" w14:textId="11719F3A" w:rsidR="00CF72D5" w:rsidRPr="002029AF" w:rsidRDefault="00CF72D5" w:rsidP="00961519">
      <w:pPr>
        <w:pStyle w:val="Heading4"/>
        <w:spacing w:before="0" w:after="200"/>
        <w:rPr>
          <w:rFonts w:ascii="Arial Bold" w:hAnsi="Arial Bold" w:hint="eastAsia"/>
          <w:color w:val="87189D"/>
        </w:rPr>
      </w:pPr>
      <w:bookmarkStart w:id="184" w:name="_Toc431820987"/>
      <w:bookmarkEnd w:id="182"/>
      <w:bookmarkEnd w:id="183"/>
      <w:bookmarkEnd w:id="184"/>
      <w:r w:rsidRPr="002029AF">
        <w:rPr>
          <w:rFonts w:ascii="Arial Bold" w:hAnsi="Arial Bold"/>
          <w:color w:val="87189D"/>
        </w:rPr>
        <w:lastRenderedPageBreak/>
        <w:t>Greenhouse</w:t>
      </w:r>
      <w:r w:rsidR="000A5329" w:rsidRPr="002029AF">
        <w:rPr>
          <w:rFonts w:ascii="Arial Bold" w:hAnsi="Arial Bold"/>
          <w:color w:val="87189D"/>
        </w:rPr>
        <w:t xml:space="preserve"> </w:t>
      </w:r>
      <w:r w:rsidRPr="002029AF">
        <w:rPr>
          <w:rFonts w:ascii="Arial Bold" w:hAnsi="Arial Bold"/>
          <w:color w:val="87189D"/>
        </w:rPr>
        <w:t>gas</w:t>
      </w:r>
      <w:r w:rsidR="000A5329" w:rsidRPr="002029AF">
        <w:rPr>
          <w:rFonts w:ascii="Arial Bold" w:hAnsi="Arial Bold"/>
          <w:color w:val="87189D"/>
        </w:rPr>
        <w:t xml:space="preserve"> </w:t>
      </w:r>
      <w:r w:rsidRPr="002029AF">
        <w:rPr>
          <w:rFonts w:ascii="Arial Bold" w:hAnsi="Arial Bold"/>
          <w:color w:val="87189D"/>
        </w:rPr>
        <w:t>emissions</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4434"/>
        <w:gridCol w:w="1735"/>
        <w:gridCol w:w="1735"/>
        <w:gridCol w:w="1735"/>
      </w:tblGrid>
      <w:tr w:rsidR="00CF72D5" w:rsidRPr="002029AF" w14:paraId="452369D2" w14:textId="77777777" w:rsidTr="00897193">
        <w:trPr>
          <w:cantSplit/>
          <w:trHeight w:val="270"/>
          <w:tblHeader/>
        </w:trPr>
        <w:tc>
          <w:tcPr>
            <w:tcW w:w="4434" w:type="dxa"/>
            <w:vAlign w:val="bottom"/>
          </w:tcPr>
          <w:p w14:paraId="07BA775B" w14:textId="22853036" w:rsidR="00CF72D5" w:rsidRPr="002029AF" w:rsidRDefault="00CF72D5" w:rsidP="00897193">
            <w:pPr>
              <w:pStyle w:val="ARtablecolhead"/>
            </w:pPr>
            <w:r w:rsidRPr="002029AF">
              <w:t>Total</w:t>
            </w:r>
            <w:r w:rsidR="000A5329" w:rsidRPr="002029AF">
              <w:t xml:space="preserve"> </w:t>
            </w:r>
            <w:r w:rsidRPr="002029AF">
              <w:t>greenhouse</w:t>
            </w:r>
            <w:r w:rsidR="000A5329" w:rsidRPr="002029AF">
              <w:t xml:space="preserve"> </w:t>
            </w:r>
            <w:r w:rsidRPr="002029AF">
              <w:t>gas</w:t>
            </w:r>
            <w:r w:rsidR="000A5329" w:rsidRPr="002029AF">
              <w:t xml:space="preserve"> </w:t>
            </w:r>
            <w:r w:rsidRPr="002029AF">
              <w:t>emissions</w:t>
            </w:r>
            <w:r w:rsidR="000A5329" w:rsidRPr="002029AF">
              <w:t xml:space="preserve"> </w:t>
            </w:r>
            <w:r w:rsidRPr="002029AF">
              <w:t>(tonnes</w:t>
            </w:r>
            <w:r w:rsidR="000A5329" w:rsidRPr="002029AF">
              <w:t xml:space="preserve"> </w:t>
            </w:r>
            <w:r w:rsidRPr="002029AF">
              <w:t>CO</w:t>
            </w:r>
            <w:r w:rsidRPr="002029AF">
              <w:rPr>
                <w:vertAlign w:val="subscript"/>
              </w:rPr>
              <w:t>2</w:t>
            </w:r>
            <w:r w:rsidRPr="002029AF">
              <w:t>-e)</w:t>
            </w:r>
            <w:r w:rsidR="000A5329" w:rsidRPr="002029AF">
              <w:t xml:space="preserve"> </w:t>
            </w:r>
            <w:r w:rsidRPr="002029AF">
              <w:t>associated</w:t>
            </w:r>
            <w:r w:rsidR="000A5329" w:rsidRPr="002029AF">
              <w:t xml:space="preserve"> </w:t>
            </w:r>
            <w:r w:rsidRPr="002029AF">
              <w:t>with:</w:t>
            </w:r>
          </w:p>
        </w:tc>
        <w:tc>
          <w:tcPr>
            <w:tcW w:w="1735" w:type="dxa"/>
            <w:vAlign w:val="bottom"/>
          </w:tcPr>
          <w:p w14:paraId="1781852D" w14:textId="3FB5511C" w:rsidR="00CF72D5" w:rsidRPr="002029AF" w:rsidRDefault="00CF72D5" w:rsidP="00897193">
            <w:pPr>
              <w:pStyle w:val="ARtablecolheadright"/>
            </w:pPr>
            <w:r w:rsidRPr="002029AF">
              <w:t>2019–20</w:t>
            </w:r>
            <w:r w:rsidRPr="002029AF">
              <w:br/>
              <w:t>estimate</w:t>
            </w:r>
            <w:r w:rsidR="000A5329" w:rsidRPr="002029AF">
              <w:t xml:space="preserve"> </w:t>
            </w:r>
          </w:p>
        </w:tc>
        <w:tc>
          <w:tcPr>
            <w:tcW w:w="1735" w:type="dxa"/>
            <w:vAlign w:val="bottom"/>
          </w:tcPr>
          <w:p w14:paraId="5EDEBBC7" w14:textId="4AE5261B" w:rsidR="00CF72D5" w:rsidRPr="002029AF" w:rsidRDefault="00CF72D5" w:rsidP="00897193">
            <w:pPr>
              <w:pStyle w:val="ARtablecolheadright"/>
            </w:pPr>
            <w:r w:rsidRPr="002029AF">
              <w:t>2018–19</w:t>
            </w:r>
            <w:r w:rsidRPr="002029AF">
              <w:br/>
              <w:t>estimate</w:t>
            </w:r>
            <w:r w:rsidR="000A5329" w:rsidRPr="002029AF">
              <w:t xml:space="preserve"> </w:t>
            </w:r>
          </w:p>
        </w:tc>
        <w:tc>
          <w:tcPr>
            <w:tcW w:w="1735" w:type="dxa"/>
            <w:vAlign w:val="bottom"/>
          </w:tcPr>
          <w:p w14:paraId="21D6B67C" w14:textId="77777777" w:rsidR="00CF72D5" w:rsidRPr="002029AF" w:rsidRDefault="00CF72D5" w:rsidP="00897193">
            <w:pPr>
              <w:pStyle w:val="ARtablecolheadright"/>
            </w:pPr>
            <w:r w:rsidRPr="002029AF">
              <w:t>2017–18</w:t>
            </w:r>
            <w:r w:rsidRPr="002029AF">
              <w:br/>
              <w:t>estimate</w:t>
            </w:r>
          </w:p>
        </w:tc>
      </w:tr>
      <w:tr w:rsidR="00CF72D5" w:rsidRPr="002029AF" w14:paraId="735A30D5" w14:textId="77777777" w:rsidTr="00897193">
        <w:trPr>
          <w:cantSplit/>
          <w:trHeight w:val="270"/>
        </w:trPr>
        <w:tc>
          <w:tcPr>
            <w:tcW w:w="4434" w:type="dxa"/>
            <w:vAlign w:val="center"/>
          </w:tcPr>
          <w:p w14:paraId="7A9F6EA8" w14:textId="193F73C8" w:rsidR="00CF72D5" w:rsidRPr="002029AF" w:rsidRDefault="00CF72D5" w:rsidP="00897193">
            <w:pPr>
              <w:pStyle w:val="ARtabletext"/>
            </w:pPr>
            <w:r w:rsidRPr="002029AF">
              <w:rPr>
                <w:color w:val="000000"/>
              </w:rPr>
              <w:t>Public</w:t>
            </w:r>
            <w:r w:rsidR="000A5329" w:rsidRPr="002029AF">
              <w:rPr>
                <w:color w:val="000000"/>
              </w:rPr>
              <w:t xml:space="preserve"> </w:t>
            </w:r>
            <w:r w:rsidRPr="002029AF">
              <w:rPr>
                <w:color w:val="000000"/>
              </w:rPr>
              <w:t>hospitals</w:t>
            </w:r>
            <w:r w:rsidR="000A5329" w:rsidRPr="002029AF">
              <w:rPr>
                <w:color w:val="000000"/>
              </w:rPr>
              <w:t xml:space="preserve"> </w:t>
            </w:r>
            <w:r w:rsidRPr="002029AF">
              <w:rPr>
                <w:color w:val="000000"/>
              </w:rPr>
              <w:t>energy</w:t>
            </w:r>
            <w:r w:rsidR="000A5329" w:rsidRPr="002029AF">
              <w:rPr>
                <w:color w:val="000000"/>
              </w:rPr>
              <w:t xml:space="preserve"> </w:t>
            </w:r>
            <w:r w:rsidRPr="002029AF">
              <w:rPr>
                <w:color w:val="000000"/>
              </w:rPr>
              <w:t>use</w:t>
            </w:r>
          </w:p>
        </w:tc>
        <w:tc>
          <w:tcPr>
            <w:tcW w:w="1735" w:type="dxa"/>
            <w:vAlign w:val="center"/>
          </w:tcPr>
          <w:p w14:paraId="51652D46" w14:textId="77777777" w:rsidR="00CF72D5" w:rsidRPr="002029AF" w:rsidRDefault="00CF72D5" w:rsidP="00897193">
            <w:pPr>
              <w:pStyle w:val="ARtabletextright"/>
            </w:pPr>
            <w:r w:rsidRPr="002029AF">
              <w:t>737,882</w:t>
            </w:r>
          </w:p>
        </w:tc>
        <w:tc>
          <w:tcPr>
            <w:tcW w:w="1735" w:type="dxa"/>
            <w:vAlign w:val="center"/>
          </w:tcPr>
          <w:p w14:paraId="3186B537" w14:textId="77777777" w:rsidR="00CF72D5" w:rsidRPr="002029AF" w:rsidRDefault="00CF72D5" w:rsidP="00897193">
            <w:pPr>
              <w:pStyle w:val="ARtabletextright"/>
            </w:pPr>
            <w:r w:rsidRPr="002029AF">
              <w:t>779,433</w:t>
            </w:r>
          </w:p>
        </w:tc>
        <w:tc>
          <w:tcPr>
            <w:tcW w:w="1735" w:type="dxa"/>
            <w:vAlign w:val="center"/>
          </w:tcPr>
          <w:p w14:paraId="17E2D035" w14:textId="77777777" w:rsidR="00CF72D5" w:rsidRPr="002029AF" w:rsidRDefault="00CF72D5" w:rsidP="00897193">
            <w:pPr>
              <w:pStyle w:val="ARtabletextright"/>
            </w:pPr>
            <w:r w:rsidRPr="002029AF">
              <w:t>786,889</w:t>
            </w:r>
          </w:p>
        </w:tc>
      </w:tr>
      <w:tr w:rsidR="00CF72D5" w:rsidRPr="002029AF" w14:paraId="0A852366" w14:textId="77777777" w:rsidTr="00897193">
        <w:trPr>
          <w:cantSplit/>
          <w:trHeight w:val="270"/>
        </w:trPr>
        <w:tc>
          <w:tcPr>
            <w:tcW w:w="4434" w:type="dxa"/>
            <w:vAlign w:val="center"/>
          </w:tcPr>
          <w:p w14:paraId="66104254" w14:textId="7CD61123" w:rsidR="00CF72D5" w:rsidRPr="002029AF" w:rsidRDefault="00CF72D5" w:rsidP="00897193">
            <w:pPr>
              <w:pStyle w:val="ARtabletext"/>
            </w:pPr>
            <w:r w:rsidRPr="002029AF">
              <w:rPr>
                <w:color w:val="000000"/>
              </w:rPr>
              <w:t>Housing</w:t>
            </w:r>
            <w:r w:rsidR="000A5329" w:rsidRPr="002029AF">
              <w:rPr>
                <w:color w:val="000000"/>
              </w:rPr>
              <w:t xml:space="preserve"> </w:t>
            </w:r>
            <w:r w:rsidRPr="002029AF">
              <w:rPr>
                <w:color w:val="000000"/>
              </w:rPr>
              <w:t>services</w:t>
            </w:r>
            <w:r w:rsidR="000A5329" w:rsidRPr="002029AF">
              <w:rPr>
                <w:color w:val="000000"/>
              </w:rPr>
              <w:t xml:space="preserve"> </w:t>
            </w:r>
            <w:r w:rsidRPr="002029AF">
              <w:rPr>
                <w:color w:val="000000"/>
              </w:rPr>
              <w:t>energy</w:t>
            </w:r>
            <w:r w:rsidR="000A5329" w:rsidRPr="002029AF">
              <w:rPr>
                <w:color w:val="000000"/>
              </w:rPr>
              <w:t xml:space="preserve"> </w:t>
            </w:r>
            <w:r w:rsidRPr="002029AF">
              <w:rPr>
                <w:color w:val="000000"/>
              </w:rPr>
              <w:t>use</w:t>
            </w:r>
          </w:p>
        </w:tc>
        <w:tc>
          <w:tcPr>
            <w:tcW w:w="1735" w:type="dxa"/>
            <w:vAlign w:val="center"/>
          </w:tcPr>
          <w:p w14:paraId="18CD8089" w14:textId="77777777" w:rsidR="00CF72D5" w:rsidRPr="002029AF" w:rsidRDefault="00CF72D5" w:rsidP="00897193">
            <w:pPr>
              <w:pStyle w:val="ARtabletextright"/>
            </w:pPr>
            <w:r w:rsidRPr="002029AF">
              <w:t>60,330</w:t>
            </w:r>
          </w:p>
        </w:tc>
        <w:tc>
          <w:tcPr>
            <w:tcW w:w="1735" w:type="dxa"/>
            <w:vAlign w:val="center"/>
          </w:tcPr>
          <w:p w14:paraId="1EC8D074" w14:textId="77777777" w:rsidR="00CF72D5" w:rsidRPr="002029AF" w:rsidRDefault="00CF72D5" w:rsidP="00897193">
            <w:pPr>
              <w:pStyle w:val="ARtabletextright"/>
            </w:pPr>
            <w:r w:rsidRPr="002029AF">
              <w:t>63,464</w:t>
            </w:r>
          </w:p>
        </w:tc>
        <w:tc>
          <w:tcPr>
            <w:tcW w:w="1735" w:type="dxa"/>
            <w:vAlign w:val="center"/>
          </w:tcPr>
          <w:p w14:paraId="18F1ACF6" w14:textId="77777777" w:rsidR="00CF72D5" w:rsidRPr="002029AF" w:rsidRDefault="00CF72D5" w:rsidP="00897193">
            <w:pPr>
              <w:pStyle w:val="ARtabletextright"/>
            </w:pPr>
            <w:r w:rsidRPr="002029AF">
              <w:t>57,579</w:t>
            </w:r>
          </w:p>
        </w:tc>
      </w:tr>
      <w:tr w:rsidR="00CF72D5" w:rsidRPr="002029AF" w14:paraId="030423D1" w14:textId="77777777" w:rsidTr="00897193">
        <w:trPr>
          <w:cantSplit/>
          <w:trHeight w:val="270"/>
        </w:trPr>
        <w:tc>
          <w:tcPr>
            <w:tcW w:w="4434" w:type="dxa"/>
            <w:vAlign w:val="center"/>
          </w:tcPr>
          <w:p w14:paraId="30ABC537" w14:textId="14539B9D" w:rsidR="00CF72D5" w:rsidRPr="002029AF" w:rsidRDefault="00CF72D5" w:rsidP="00897193">
            <w:pPr>
              <w:pStyle w:val="ARtabletext"/>
            </w:pPr>
            <w:r w:rsidRPr="002029AF">
              <w:rPr>
                <w:color w:val="000000"/>
              </w:rPr>
              <w:t>Office-based</w:t>
            </w:r>
            <w:r w:rsidR="000A5329" w:rsidRPr="002029AF">
              <w:rPr>
                <w:color w:val="000000"/>
              </w:rPr>
              <w:t xml:space="preserve"> </w:t>
            </w:r>
            <w:r w:rsidRPr="002029AF">
              <w:rPr>
                <w:color w:val="000000"/>
              </w:rPr>
              <w:t>energy</w:t>
            </w:r>
            <w:r w:rsidR="000A5329" w:rsidRPr="002029AF">
              <w:rPr>
                <w:color w:val="000000"/>
              </w:rPr>
              <w:t xml:space="preserve"> </w:t>
            </w:r>
            <w:r w:rsidRPr="002029AF">
              <w:rPr>
                <w:color w:val="000000"/>
              </w:rPr>
              <w:t>use</w:t>
            </w:r>
          </w:p>
        </w:tc>
        <w:tc>
          <w:tcPr>
            <w:tcW w:w="1735" w:type="dxa"/>
            <w:vAlign w:val="center"/>
          </w:tcPr>
          <w:p w14:paraId="48B99B8F" w14:textId="77777777" w:rsidR="00CF72D5" w:rsidRPr="002029AF" w:rsidRDefault="00CF72D5" w:rsidP="00897193">
            <w:pPr>
              <w:pStyle w:val="ARtabletextright"/>
            </w:pPr>
            <w:r w:rsidRPr="002029AF">
              <w:t>15,094</w:t>
            </w:r>
          </w:p>
        </w:tc>
        <w:tc>
          <w:tcPr>
            <w:tcW w:w="1735" w:type="dxa"/>
            <w:vAlign w:val="center"/>
          </w:tcPr>
          <w:p w14:paraId="139188DB" w14:textId="77777777" w:rsidR="00CF72D5" w:rsidRPr="002029AF" w:rsidRDefault="00CF72D5" w:rsidP="00897193">
            <w:pPr>
              <w:pStyle w:val="ARtabletextright"/>
            </w:pPr>
            <w:r w:rsidRPr="002029AF">
              <w:t>17,124</w:t>
            </w:r>
          </w:p>
        </w:tc>
        <w:tc>
          <w:tcPr>
            <w:tcW w:w="1735" w:type="dxa"/>
            <w:vAlign w:val="center"/>
          </w:tcPr>
          <w:p w14:paraId="513BED1C" w14:textId="77777777" w:rsidR="00CF72D5" w:rsidRPr="002029AF" w:rsidRDefault="00CF72D5" w:rsidP="00897193">
            <w:pPr>
              <w:pStyle w:val="ARtabletextright"/>
            </w:pPr>
            <w:r w:rsidRPr="002029AF">
              <w:t>18,931</w:t>
            </w:r>
          </w:p>
        </w:tc>
      </w:tr>
      <w:tr w:rsidR="00CF72D5" w:rsidRPr="002029AF" w14:paraId="56773AB6" w14:textId="77777777" w:rsidTr="00897193">
        <w:trPr>
          <w:cantSplit/>
          <w:trHeight w:val="270"/>
        </w:trPr>
        <w:tc>
          <w:tcPr>
            <w:tcW w:w="4434" w:type="dxa"/>
            <w:vAlign w:val="center"/>
          </w:tcPr>
          <w:p w14:paraId="50DEB7D5" w14:textId="52606893" w:rsidR="00CF72D5" w:rsidRPr="002029AF" w:rsidRDefault="00CF72D5" w:rsidP="00897193">
            <w:pPr>
              <w:pStyle w:val="ARtabletext"/>
            </w:pPr>
            <w:r w:rsidRPr="002029AF">
              <w:rPr>
                <w:color w:val="000000"/>
              </w:rPr>
              <w:t>Public</w:t>
            </w:r>
            <w:r w:rsidR="000A5329" w:rsidRPr="002029AF">
              <w:rPr>
                <w:color w:val="000000"/>
              </w:rPr>
              <w:t xml:space="preserve"> </w:t>
            </w:r>
            <w:r w:rsidRPr="002029AF">
              <w:rPr>
                <w:color w:val="000000"/>
              </w:rPr>
              <w:t>hospitals</w:t>
            </w:r>
            <w:r w:rsidR="000A5329" w:rsidRPr="002029AF">
              <w:rPr>
                <w:color w:val="000000"/>
              </w:rPr>
              <w:t xml:space="preserve"> </w:t>
            </w:r>
            <w:r w:rsidRPr="002029AF">
              <w:rPr>
                <w:color w:val="000000"/>
              </w:rPr>
              <w:t>nitrous</w:t>
            </w:r>
            <w:r w:rsidR="000A5329" w:rsidRPr="002029AF">
              <w:rPr>
                <w:color w:val="000000"/>
              </w:rPr>
              <w:t xml:space="preserve"> </w:t>
            </w:r>
            <w:r w:rsidRPr="002029AF">
              <w:rPr>
                <w:color w:val="000000"/>
              </w:rPr>
              <w:t>oxide</w:t>
            </w:r>
          </w:p>
        </w:tc>
        <w:tc>
          <w:tcPr>
            <w:tcW w:w="1735" w:type="dxa"/>
            <w:vAlign w:val="center"/>
          </w:tcPr>
          <w:p w14:paraId="0B3F34FC" w14:textId="77777777" w:rsidR="00CF72D5" w:rsidRPr="002029AF" w:rsidRDefault="00CF72D5" w:rsidP="00897193">
            <w:pPr>
              <w:pStyle w:val="ARtabletextright"/>
            </w:pPr>
            <w:r w:rsidRPr="002029AF">
              <w:t>15,708</w:t>
            </w:r>
          </w:p>
        </w:tc>
        <w:tc>
          <w:tcPr>
            <w:tcW w:w="1735" w:type="dxa"/>
            <w:vAlign w:val="center"/>
          </w:tcPr>
          <w:p w14:paraId="12E0606C" w14:textId="77777777" w:rsidR="00CF72D5" w:rsidRPr="002029AF" w:rsidRDefault="00CF72D5" w:rsidP="00897193">
            <w:pPr>
              <w:pStyle w:val="ARtabletextright"/>
            </w:pPr>
            <w:r w:rsidRPr="002029AF">
              <w:t>17,523</w:t>
            </w:r>
          </w:p>
        </w:tc>
        <w:tc>
          <w:tcPr>
            <w:tcW w:w="1735" w:type="dxa"/>
            <w:vAlign w:val="center"/>
          </w:tcPr>
          <w:p w14:paraId="44DFBD8A" w14:textId="77777777" w:rsidR="00CF72D5" w:rsidRPr="002029AF" w:rsidRDefault="00CF72D5" w:rsidP="00897193">
            <w:pPr>
              <w:pStyle w:val="ARtabletextright"/>
            </w:pPr>
            <w:r w:rsidRPr="002029AF">
              <w:t>16,321</w:t>
            </w:r>
          </w:p>
        </w:tc>
      </w:tr>
      <w:tr w:rsidR="00CF72D5" w:rsidRPr="002029AF" w14:paraId="37D7215D" w14:textId="77777777" w:rsidTr="00897193">
        <w:trPr>
          <w:cantSplit/>
          <w:trHeight w:val="270"/>
        </w:trPr>
        <w:tc>
          <w:tcPr>
            <w:tcW w:w="4434" w:type="dxa"/>
            <w:vAlign w:val="center"/>
          </w:tcPr>
          <w:p w14:paraId="37144151" w14:textId="08C5421D" w:rsidR="00CF72D5" w:rsidRPr="002029AF" w:rsidRDefault="00CF72D5" w:rsidP="00897193">
            <w:pPr>
              <w:pStyle w:val="ARtabletext"/>
            </w:pPr>
            <w:r w:rsidRPr="002029AF">
              <w:rPr>
                <w:color w:val="000000"/>
              </w:rPr>
              <w:t>Vehicle</w:t>
            </w:r>
            <w:r w:rsidR="000A5329" w:rsidRPr="002029AF">
              <w:rPr>
                <w:color w:val="000000"/>
              </w:rPr>
              <w:t xml:space="preserve"> </w:t>
            </w:r>
            <w:r w:rsidRPr="002029AF">
              <w:rPr>
                <w:color w:val="000000"/>
              </w:rPr>
              <w:t>fleet</w:t>
            </w:r>
            <w:r w:rsidR="000A5329" w:rsidRPr="002029AF">
              <w:rPr>
                <w:color w:val="000000"/>
              </w:rPr>
              <w:t xml:space="preserve"> </w:t>
            </w:r>
            <w:r w:rsidRPr="002029AF">
              <w:rPr>
                <w:color w:val="000000"/>
              </w:rPr>
              <w:t>and</w:t>
            </w:r>
            <w:r w:rsidR="000A5329" w:rsidRPr="002029AF">
              <w:rPr>
                <w:color w:val="000000"/>
              </w:rPr>
              <w:t xml:space="preserve"> </w:t>
            </w:r>
            <w:r w:rsidRPr="002029AF">
              <w:rPr>
                <w:color w:val="000000"/>
              </w:rPr>
              <w:t>air</w:t>
            </w:r>
            <w:r w:rsidR="000A5329" w:rsidRPr="002029AF">
              <w:rPr>
                <w:color w:val="000000"/>
              </w:rPr>
              <w:t xml:space="preserve"> </w:t>
            </w:r>
            <w:r w:rsidRPr="002029AF">
              <w:rPr>
                <w:color w:val="000000"/>
              </w:rPr>
              <w:t>travel</w:t>
            </w:r>
          </w:p>
        </w:tc>
        <w:tc>
          <w:tcPr>
            <w:tcW w:w="1735" w:type="dxa"/>
            <w:vAlign w:val="center"/>
          </w:tcPr>
          <w:p w14:paraId="1F1A9B2B" w14:textId="05C5A177" w:rsidR="00CF72D5" w:rsidRPr="002029AF" w:rsidRDefault="00CF72D5" w:rsidP="00897193">
            <w:pPr>
              <w:pStyle w:val="ARtabletextright"/>
            </w:pPr>
            <w:r w:rsidRPr="002029AF">
              <w:t>7,</w:t>
            </w:r>
            <w:r w:rsidR="008E74B6" w:rsidRPr="002029AF">
              <w:t>008</w:t>
            </w:r>
          </w:p>
        </w:tc>
        <w:tc>
          <w:tcPr>
            <w:tcW w:w="1735" w:type="dxa"/>
            <w:vAlign w:val="center"/>
          </w:tcPr>
          <w:p w14:paraId="5ABF72D2" w14:textId="77777777" w:rsidR="00CF72D5" w:rsidRPr="002029AF" w:rsidRDefault="00CF72D5" w:rsidP="00897193">
            <w:pPr>
              <w:pStyle w:val="ARtabletextright"/>
            </w:pPr>
            <w:r w:rsidRPr="002029AF">
              <w:t>10,543</w:t>
            </w:r>
          </w:p>
        </w:tc>
        <w:tc>
          <w:tcPr>
            <w:tcW w:w="1735" w:type="dxa"/>
            <w:vAlign w:val="center"/>
          </w:tcPr>
          <w:p w14:paraId="7DA4D6F3" w14:textId="77777777" w:rsidR="00CF72D5" w:rsidRPr="002029AF" w:rsidRDefault="00CF72D5" w:rsidP="00897193">
            <w:pPr>
              <w:pStyle w:val="ARtabletextright"/>
            </w:pPr>
            <w:r w:rsidRPr="002029AF">
              <w:t>9,605</w:t>
            </w:r>
          </w:p>
        </w:tc>
      </w:tr>
      <w:tr w:rsidR="00CF72D5" w:rsidRPr="002029AF" w14:paraId="71EDEEC3" w14:textId="77777777" w:rsidTr="00897193">
        <w:trPr>
          <w:cantSplit/>
          <w:trHeight w:val="270"/>
        </w:trPr>
        <w:tc>
          <w:tcPr>
            <w:tcW w:w="4434" w:type="dxa"/>
            <w:vAlign w:val="center"/>
          </w:tcPr>
          <w:p w14:paraId="5327B4A4" w14:textId="16801A71" w:rsidR="00CF72D5" w:rsidRPr="002029AF" w:rsidRDefault="00CF72D5" w:rsidP="00897193">
            <w:pPr>
              <w:pStyle w:val="ARtabletext"/>
            </w:pPr>
            <w:r w:rsidRPr="002029AF">
              <w:rPr>
                <w:color w:val="000000"/>
              </w:rPr>
              <w:t>Hospital</w:t>
            </w:r>
            <w:r w:rsidR="000A5329" w:rsidRPr="002029AF">
              <w:rPr>
                <w:color w:val="000000"/>
              </w:rPr>
              <w:t xml:space="preserve"> </w:t>
            </w:r>
            <w:r w:rsidRPr="002029AF">
              <w:rPr>
                <w:color w:val="000000"/>
              </w:rPr>
              <w:t>emergency</w:t>
            </w:r>
            <w:r w:rsidR="000A5329" w:rsidRPr="002029AF">
              <w:rPr>
                <w:color w:val="000000"/>
              </w:rPr>
              <w:t xml:space="preserve"> </w:t>
            </w:r>
            <w:r w:rsidRPr="002029AF">
              <w:rPr>
                <w:color w:val="000000"/>
              </w:rPr>
              <w:t>transport</w:t>
            </w:r>
          </w:p>
        </w:tc>
        <w:tc>
          <w:tcPr>
            <w:tcW w:w="1735" w:type="dxa"/>
            <w:vAlign w:val="center"/>
          </w:tcPr>
          <w:p w14:paraId="3549D8D6" w14:textId="77777777" w:rsidR="00CF72D5" w:rsidRPr="002029AF" w:rsidRDefault="00CF72D5" w:rsidP="00897193">
            <w:pPr>
              <w:pStyle w:val="ARtabletextright"/>
            </w:pPr>
            <w:r w:rsidRPr="002029AF">
              <w:t>21,160</w:t>
            </w:r>
          </w:p>
        </w:tc>
        <w:tc>
          <w:tcPr>
            <w:tcW w:w="1735" w:type="dxa"/>
            <w:vAlign w:val="center"/>
          </w:tcPr>
          <w:p w14:paraId="6D105ABD" w14:textId="77777777" w:rsidR="00CF72D5" w:rsidRPr="002029AF" w:rsidRDefault="00CF72D5" w:rsidP="00897193">
            <w:pPr>
              <w:pStyle w:val="ARtabletextright"/>
            </w:pPr>
            <w:r w:rsidRPr="002029AF">
              <w:t>23,885</w:t>
            </w:r>
          </w:p>
        </w:tc>
        <w:tc>
          <w:tcPr>
            <w:tcW w:w="1735" w:type="dxa"/>
            <w:vAlign w:val="center"/>
          </w:tcPr>
          <w:p w14:paraId="2775EC10" w14:textId="77777777" w:rsidR="00CF72D5" w:rsidRPr="002029AF" w:rsidRDefault="00CF72D5" w:rsidP="00897193">
            <w:pPr>
              <w:pStyle w:val="ARtabletextright"/>
            </w:pPr>
            <w:r w:rsidRPr="002029AF">
              <w:t>21,684</w:t>
            </w:r>
          </w:p>
        </w:tc>
      </w:tr>
      <w:tr w:rsidR="00CF72D5" w:rsidRPr="002029AF" w14:paraId="6FE23F1B" w14:textId="77777777" w:rsidTr="00897193">
        <w:trPr>
          <w:cantSplit/>
          <w:trHeight w:val="270"/>
        </w:trPr>
        <w:tc>
          <w:tcPr>
            <w:tcW w:w="4434" w:type="dxa"/>
            <w:vAlign w:val="center"/>
          </w:tcPr>
          <w:p w14:paraId="4FED9D95" w14:textId="510A89F4" w:rsidR="00CF72D5" w:rsidRPr="002029AF" w:rsidRDefault="00CF72D5" w:rsidP="00897193">
            <w:pPr>
              <w:pStyle w:val="ARtabletext"/>
            </w:pPr>
            <w:r w:rsidRPr="002029AF">
              <w:rPr>
                <w:color w:val="000000"/>
              </w:rPr>
              <w:t>Public</w:t>
            </w:r>
            <w:r w:rsidR="000A5329" w:rsidRPr="002029AF">
              <w:rPr>
                <w:color w:val="000000"/>
              </w:rPr>
              <w:t xml:space="preserve"> </w:t>
            </w:r>
            <w:r w:rsidRPr="002029AF">
              <w:rPr>
                <w:color w:val="000000"/>
              </w:rPr>
              <w:t>hospital</w:t>
            </w:r>
            <w:r w:rsidR="000A5329" w:rsidRPr="002029AF">
              <w:rPr>
                <w:color w:val="000000"/>
              </w:rPr>
              <w:t xml:space="preserve"> </w:t>
            </w:r>
            <w:r w:rsidRPr="002029AF">
              <w:rPr>
                <w:color w:val="000000"/>
              </w:rPr>
              <w:t>waste</w:t>
            </w:r>
            <w:r w:rsidR="000A5329" w:rsidRPr="002029AF">
              <w:rPr>
                <w:color w:val="000000"/>
              </w:rPr>
              <w:t xml:space="preserve"> </w:t>
            </w:r>
            <w:r w:rsidRPr="002029AF">
              <w:rPr>
                <w:color w:val="000000"/>
              </w:rPr>
              <w:t>production</w:t>
            </w:r>
          </w:p>
        </w:tc>
        <w:tc>
          <w:tcPr>
            <w:tcW w:w="1735" w:type="dxa"/>
            <w:vAlign w:val="center"/>
          </w:tcPr>
          <w:p w14:paraId="69C348F3" w14:textId="77777777" w:rsidR="00CF72D5" w:rsidRPr="002029AF" w:rsidRDefault="00CF72D5" w:rsidP="00897193">
            <w:pPr>
              <w:pStyle w:val="ARtabletextright"/>
            </w:pPr>
            <w:r w:rsidRPr="002029AF">
              <w:t>29,969</w:t>
            </w:r>
          </w:p>
        </w:tc>
        <w:tc>
          <w:tcPr>
            <w:tcW w:w="1735" w:type="dxa"/>
            <w:vAlign w:val="center"/>
          </w:tcPr>
          <w:p w14:paraId="03D27ABB" w14:textId="77777777" w:rsidR="00CF72D5" w:rsidRPr="002029AF" w:rsidRDefault="00CF72D5" w:rsidP="00897193">
            <w:pPr>
              <w:pStyle w:val="ARtabletextright"/>
            </w:pPr>
            <w:r w:rsidRPr="002029AF">
              <w:t>34,481</w:t>
            </w:r>
          </w:p>
        </w:tc>
        <w:tc>
          <w:tcPr>
            <w:tcW w:w="1735" w:type="dxa"/>
            <w:vAlign w:val="center"/>
          </w:tcPr>
          <w:p w14:paraId="3CBB135A" w14:textId="77777777" w:rsidR="00CF72D5" w:rsidRPr="002029AF" w:rsidRDefault="00CF72D5" w:rsidP="00897193">
            <w:pPr>
              <w:pStyle w:val="ARtabletextright"/>
            </w:pPr>
            <w:r w:rsidRPr="002029AF">
              <w:t>35,461</w:t>
            </w:r>
          </w:p>
        </w:tc>
      </w:tr>
      <w:tr w:rsidR="00CF72D5" w:rsidRPr="002029AF" w14:paraId="26CD5614" w14:textId="77777777" w:rsidTr="00897193">
        <w:trPr>
          <w:cantSplit/>
          <w:trHeight w:val="270"/>
        </w:trPr>
        <w:tc>
          <w:tcPr>
            <w:tcW w:w="4434" w:type="dxa"/>
            <w:vAlign w:val="center"/>
          </w:tcPr>
          <w:p w14:paraId="559BDFB9" w14:textId="54B4EEA5" w:rsidR="00CF72D5" w:rsidRPr="002029AF" w:rsidRDefault="00CF72D5" w:rsidP="00897193">
            <w:pPr>
              <w:pStyle w:val="ARtabletext"/>
            </w:pPr>
            <w:r w:rsidRPr="002029AF">
              <w:rPr>
                <w:color w:val="000000"/>
              </w:rPr>
              <w:t>Health</w:t>
            </w:r>
            <w:r w:rsidR="000A5329" w:rsidRPr="002029AF">
              <w:rPr>
                <w:color w:val="000000"/>
              </w:rPr>
              <w:t xml:space="preserve"> </w:t>
            </w:r>
            <w:r w:rsidRPr="002029AF">
              <w:rPr>
                <w:color w:val="000000"/>
              </w:rPr>
              <w:t>services</w:t>
            </w:r>
            <w:r w:rsidR="000A5329" w:rsidRPr="002029AF">
              <w:rPr>
                <w:color w:val="000000"/>
              </w:rPr>
              <w:t xml:space="preserve"> </w:t>
            </w:r>
            <w:r w:rsidRPr="002029AF">
              <w:rPr>
                <w:color w:val="000000"/>
              </w:rPr>
              <w:t>vehicle</w:t>
            </w:r>
            <w:r w:rsidR="000A5329" w:rsidRPr="002029AF">
              <w:rPr>
                <w:color w:val="000000"/>
              </w:rPr>
              <w:t xml:space="preserve"> </w:t>
            </w:r>
            <w:r w:rsidRPr="002029AF">
              <w:rPr>
                <w:color w:val="000000"/>
              </w:rPr>
              <w:t>fleet</w:t>
            </w:r>
          </w:p>
        </w:tc>
        <w:tc>
          <w:tcPr>
            <w:tcW w:w="1735" w:type="dxa"/>
            <w:vAlign w:val="center"/>
          </w:tcPr>
          <w:p w14:paraId="57E2B238" w14:textId="77777777" w:rsidR="00CF72D5" w:rsidRPr="002029AF" w:rsidRDefault="00CF72D5" w:rsidP="00897193">
            <w:pPr>
              <w:pStyle w:val="ARtabletextright"/>
            </w:pPr>
            <w:r w:rsidRPr="002029AF">
              <w:t>6,479</w:t>
            </w:r>
          </w:p>
        </w:tc>
        <w:tc>
          <w:tcPr>
            <w:tcW w:w="1735" w:type="dxa"/>
            <w:vAlign w:val="center"/>
          </w:tcPr>
          <w:p w14:paraId="2EDBEB68" w14:textId="77777777" w:rsidR="00CF72D5" w:rsidRPr="002029AF" w:rsidRDefault="00CF72D5" w:rsidP="00897193">
            <w:pPr>
              <w:pStyle w:val="ARtabletextright"/>
            </w:pPr>
            <w:r w:rsidRPr="002029AF">
              <w:t>6,015</w:t>
            </w:r>
          </w:p>
        </w:tc>
        <w:tc>
          <w:tcPr>
            <w:tcW w:w="1735" w:type="dxa"/>
            <w:vAlign w:val="center"/>
          </w:tcPr>
          <w:p w14:paraId="45E2BF2F" w14:textId="77777777" w:rsidR="00CF72D5" w:rsidRPr="002029AF" w:rsidRDefault="00CF72D5" w:rsidP="00897193">
            <w:pPr>
              <w:pStyle w:val="ARtabletextright"/>
            </w:pPr>
            <w:r w:rsidRPr="002029AF">
              <w:t>5,916</w:t>
            </w:r>
          </w:p>
        </w:tc>
      </w:tr>
      <w:tr w:rsidR="00CF72D5" w:rsidRPr="002029AF" w14:paraId="48C5A5D3" w14:textId="77777777" w:rsidTr="00897193">
        <w:trPr>
          <w:cantSplit/>
          <w:trHeight w:val="270"/>
        </w:trPr>
        <w:tc>
          <w:tcPr>
            <w:tcW w:w="4434" w:type="dxa"/>
            <w:vAlign w:val="center"/>
          </w:tcPr>
          <w:p w14:paraId="2E6BF53D" w14:textId="42E5EE81" w:rsidR="00CF72D5" w:rsidRPr="002029AF" w:rsidRDefault="00CF72D5" w:rsidP="00897193">
            <w:pPr>
              <w:pStyle w:val="ARtabletext"/>
            </w:pPr>
            <w:r w:rsidRPr="002029AF">
              <w:rPr>
                <w:color w:val="000000"/>
              </w:rPr>
              <w:t>Office-based</w:t>
            </w:r>
            <w:r w:rsidR="000A5329" w:rsidRPr="002029AF">
              <w:rPr>
                <w:color w:val="000000"/>
              </w:rPr>
              <w:t xml:space="preserve"> </w:t>
            </w:r>
            <w:r w:rsidRPr="002029AF">
              <w:rPr>
                <w:color w:val="000000"/>
              </w:rPr>
              <w:t>paper</w:t>
            </w:r>
            <w:r w:rsidR="000A5329" w:rsidRPr="002029AF">
              <w:rPr>
                <w:color w:val="000000"/>
              </w:rPr>
              <w:t xml:space="preserve"> </w:t>
            </w:r>
            <w:r w:rsidRPr="002029AF">
              <w:rPr>
                <w:color w:val="000000"/>
              </w:rPr>
              <w:t>and</w:t>
            </w:r>
            <w:r w:rsidR="000A5329" w:rsidRPr="002029AF">
              <w:rPr>
                <w:color w:val="000000"/>
              </w:rPr>
              <w:t xml:space="preserve"> </w:t>
            </w:r>
            <w:r w:rsidRPr="002029AF">
              <w:rPr>
                <w:color w:val="000000"/>
              </w:rPr>
              <w:t>waste</w:t>
            </w:r>
            <w:r w:rsidR="000A5329" w:rsidRPr="002029AF">
              <w:rPr>
                <w:color w:val="000000"/>
              </w:rPr>
              <w:t xml:space="preserve"> </w:t>
            </w:r>
            <w:r w:rsidRPr="002029AF">
              <w:rPr>
                <w:color w:val="000000"/>
              </w:rPr>
              <w:t>production</w:t>
            </w:r>
          </w:p>
        </w:tc>
        <w:tc>
          <w:tcPr>
            <w:tcW w:w="1735" w:type="dxa"/>
            <w:vAlign w:val="center"/>
          </w:tcPr>
          <w:p w14:paraId="7EABF2EF" w14:textId="09D003E9" w:rsidR="00CF72D5" w:rsidRPr="002029AF" w:rsidRDefault="00CF72D5" w:rsidP="00897193">
            <w:pPr>
              <w:pStyle w:val="ARtabletextright"/>
            </w:pPr>
            <w:r w:rsidRPr="002029AF">
              <w:t>5</w:t>
            </w:r>
            <w:r w:rsidR="008E74B6" w:rsidRPr="002029AF">
              <w:t>58</w:t>
            </w:r>
          </w:p>
        </w:tc>
        <w:tc>
          <w:tcPr>
            <w:tcW w:w="1735" w:type="dxa"/>
            <w:vAlign w:val="center"/>
          </w:tcPr>
          <w:p w14:paraId="2593A97F" w14:textId="77777777" w:rsidR="00CF72D5" w:rsidRPr="002029AF" w:rsidRDefault="00CF72D5" w:rsidP="00897193">
            <w:pPr>
              <w:pStyle w:val="ARtabletextright"/>
            </w:pPr>
            <w:r w:rsidRPr="002029AF">
              <w:t>744</w:t>
            </w:r>
          </w:p>
        </w:tc>
        <w:tc>
          <w:tcPr>
            <w:tcW w:w="1735" w:type="dxa"/>
            <w:vAlign w:val="center"/>
          </w:tcPr>
          <w:p w14:paraId="2CDA2B8E" w14:textId="77777777" w:rsidR="00CF72D5" w:rsidRPr="002029AF" w:rsidRDefault="00CF72D5" w:rsidP="00897193">
            <w:pPr>
              <w:pStyle w:val="ARtabletextright"/>
            </w:pPr>
            <w:r w:rsidRPr="002029AF">
              <w:t>835</w:t>
            </w:r>
          </w:p>
        </w:tc>
      </w:tr>
      <w:tr w:rsidR="00CF72D5" w:rsidRPr="002029AF" w14:paraId="07065E22" w14:textId="77777777" w:rsidTr="00897193">
        <w:trPr>
          <w:cantSplit/>
          <w:trHeight w:val="270"/>
        </w:trPr>
        <w:tc>
          <w:tcPr>
            <w:tcW w:w="4434" w:type="dxa"/>
            <w:vAlign w:val="center"/>
          </w:tcPr>
          <w:p w14:paraId="6177752E" w14:textId="77777777" w:rsidR="00CF72D5" w:rsidRPr="002029AF" w:rsidRDefault="00CF72D5" w:rsidP="00897193">
            <w:pPr>
              <w:pStyle w:val="ARtabletext"/>
              <w:rPr>
                <w:b/>
              </w:rPr>
            </w:pPr>
            <w:r w:rsidRPr="002029AF">
              <w:rPr>
                <w:b/>
                <w:bCs/>
                <w:color w:val="000000"/>
              </w:rPr>
              <w:t>Total</w:t>
            </w:r>
          </w:p>
        </w:tc>
        <w:tc>
          <w:tcPr>
            <w:tcW w:w="1735" w:type="dxa"/>
            <w:vAlign w:val="center"/>
          </w:tcPr>
          <w:p w14:paraId="3ED74445" w14:textId="0C32C588" w:rsidR="00CF72D5" w:rsidRPr="002029AF" w:rsidRDefault="00CF72D5" w:rsidP="00897193">
            <w:pPr>
              <w:pStyle w:val="ARtabletextrightbold"/>
            </w:pPr>
            <w:r w:rsidRPr="002029AF">
              <w:t>894,</w:t>
            </w:r>
            <w:r w:rsidR="008E74B6" w:rsidRPr="002029AF">
              <w:t>187</w:t>
            </w:r>
          </w:p>
        </w:tc>
        <w:tc>
          <w:tcPr>
            <w:tcW w:w="1735" w:type="dxa"/>
            <w:vAlign w:val="center"/>
          </w:tcPr>
          <w:p w14:paraId="6362EDBF" w14:textId="77777777" w:rsidR="00CF72D5" w:rsidRPr="002029AF" w:rsidRDefault="00CF72D5" w:rsidP="00897193">
            <w:pPr>
              <w:pStyle w:val="ARtabletextrightbold"/>
            </w:pPr>
            <w:r w:rsidRPr="002029AF">
              <w:t>953,211</w:t>
            </w:r>
          </w:p>
        </w:tc>
        <w:tc>
          <w:tcPr>
            <w:tcW w:w="1735" w:type="dxa"/>
            <w:vAlign w:val="center"/>
          </w:tcPr>
          <w:p w14:paraId="65479AB1" w14:textId="77777777" w:rsidR="00CF72D5" w:rsidRPr="002029AF" w:rsidRDefault="00CF72D5" w:rsidP="00897193">
            <w:pPr>
              <w:pStyle w:val="ARtabletextrightbold"/>
            </w:pPr>
            <w:r w:rsidRPr="002029AF">
              <w:t>953,221</w:t>
            </w:r>
          </w:p>
        </w:tc>
      </w:tr>
    </w:tbl>
    <w:p w14:paraId="1A55EC0F" w14:textId="650A1631" w:rsidR="00CF72D5" w:rsidRPr="002029AF" w:rsidRDefault="00CF72D5" w:rsidP="00897193">
      <w:pPr>
        <w:pStyle w:val="ARtablefootnote"/>
      </w:pPr>
      <w:r w:rsidRPr="002029AF">
        <w:t>Greenhouse</w:t>
      </w:r>
      <w:r w:rsidR="000A5329" w:rsidRPr="002029AF">
        <w:t xml:space="preserve"> </w:t>
      </w:r>
      <w:r w:rsidRPr="002029AF">
        <w:t>gas</w:t>
      </w:r>
      <w:r w:rsidR="000A5329" w:rsidRPr="002029AF">
        <w:t xml:space="preserve"> </w:t>
      </w:r>
      <w:r w:rsidRPr="002029AF">
        <w:t>emissions</w:t>
      </w:r>
      <w:r w:rsidR="000A5329" w:rsidRPr="002029AF">
        <w:t xml:space="preserve"> </w:t>
      </w:r>
      <w:r w:rsidRPr="002029AF">
        <w:t>have</w:t>
      </w:r>
      <w:r w:rsidR="000A5329" w:rsidRPr="002029AF">
        <w:t xml:space="preserve"> </w:t>
      </w:r>
      <w:r w:rsidRPr="002029AF">
        <w:t>been</w:t>
      </w:r>
      <w:r w:rsidR="000A5329" w:rsidRPr="002029AF">
        <w:t xml:space="preserve"> </w:t>
      </w:r>
      <w:r w:rsidRPr="002029AF">
        <w:t>calculated</w:t>
      </w:r>
      <w:r w:rsidR="000A5329" w:rsidRPr="002029AF">
        <w:t xml:space="preserve"> </w:t>
      </w:r>
      <w:r w:rsidRPr="002029AF">
        <w:t>in</w:t>
      </w:r>
      <w:r w:rsidR="000A5329" w:rsidRPr="002029AF">
        <w:t xml:space="preserve"> </w:t>
      </w:r>
      <w:r w:rsidRPr="002029AF">
        <w:t>accordance</w:t>
      </w:r>
      <w:r w:rsidR="000A5329" w:rsidRPr="002029AF">
        <w:t xml:space="preserve"> </w:t>
      </w:r>
      <w:r w:rsidRPr="002029AF">
        <w:t>with</w:t>
      </w:r>
      <w:r w:rsidR="000A5329" w:rsidRPr="002029AF">
        <w:t xml:space="preserve"> </w:t>
      </w:r>
      <w:r w:rsidRPr="002029AF">
        <w:t>the</w:t>
      </w:r>
      <w:r w:rsidR="000A5329" w:rsidRPr="002029AF">
        <w:t xml:space="preserve"> </w:t>
      </w:r>
      <w:r w:rsidRPr="002029AF">
        <w:t>National</w:t>
      </w:r>
      <w:r w:rsidR="000A5329" w:rsidRPr="002029AF">
        <w:t xml:space="preserve"> </w:t>
      </w:r>
      <w:r w:rsidRPr="002029AF">
        <w:t>Greenhouse</w:t>
      </w:r>
      <w:r w:rsidR="000A5329" w:rsidRPr="002029AF">
        <w:t xml:space="preserve"> </w:t>
      </w:r>
      <w:r w:rsidRPr="002029AF">
        <w:t>and</w:t>
      </w:r>
      <w:r w:rsidR="000A5329" w:rsidRPr="002029AF">
        <w:t xml:space="preserve"> </w:t>
      </w:r>
      <w:r w:rsidRPr="002029AF">
        <w:t>Energy</w:t>
      </w:r>
      <w:r w:rsidR="000A5329" w:rsidRPr="002029AF">
        <w:t xml:space="preserve"> </w:t>
      </w:r>
      <w:r w:rsidRPr="002029AF">
        <w:t>Reporting</w:t>
      </w:r>
      <w:r w:rsidR="000A5329" w:rsidRPr="002029AF">
        <w:t xml:space="preserve"> </w:t>
      </w:r>
      <w:r w:rsidRPr="002029AF">
        <w:t>(Measurement)</w:t>
      </w:r>
      <w:r w:rsidR="000A5329" w:rsidRPr="002029AF">
        <w:t xml:space="preserve"> </w:t>
      </w:r>
      <w:r w:rsidRPr="002029AF">
        <w:t>Determination</w:t>
      </w:r>
      <w:r w:rsidR="000A5329" w:rsidRPr="002029AF">
        <w:t xml:space="preserve"> </w:t>
      </w:r>
      <w:r w:rsidRPr="002029AF">
        <w:t>2008</w:t>
      </w:r>
      <w:r w:rsidR="000A5329" w:rsidRPr="002029AF">
        <w:t xml:space="preserve"> </w:t>
      </w:r>
      <w:r w:rsidRPr="002029AF">
        <w:t>(Schedule</w:t>
      </w:r>
      <w:r w:rsidR="000A5329" w:rsidRPr="002029AF">
        <w:t xml:space="preserve"> </w:t>
      </w:r>
      <w:r w:rsidRPr="002029AF">
        <w:t>1),</w:t>
      </w:r>
      <w:r w:rsidR="000A5329" w:rsidRPr="002029AF">
        <w:t xml:space="preserve"> </w:t>
      </w:r>
      <w:r w:rsidRPr="002029AF">
        <w:t>the</w:t>
      </w:r>
      <w:r w:rsidR="000A5329" w:rsidRPr="002029AF">
        <w:t xml:space="preserve"> </w:t>
      </w:r>
      <w:r w:rsidRPr="002029AF">
        <w:t>National</w:t>
      </w:r>
      <w:r w:rsidR="000A5329" w:rsidRPr="002029AF">
        <w:t xml:space="preserve"> </w:t>
      </w:r>
      <w:r w:rsidRPr="002029AF">
        <w:t>Greenhouse</w:t>
      </w:r>
      <w:r w:rsidR="000A5329" w:rsidRPr="002029AF">
        <w:t xml:space="preserve"> </w:t>
      </w:r>
      <w:r w:rsidRPr="002029AF">
        <w:t>Accounts</w:t>
      </w:r>
      <w:r w:rsidR="000A5329" w:rsidRPr="002029AF">
        <w:t xml:space="preserve"> </w:t>
      </w:r>
      <w:r w:rsidRPr="002029AF">
        <w:t>Factors</w:t>
      </w:r>
      <w:r w:rsidR="000A5329" w:rsidRPr="002029AF">
        <w:t xml:space="preserve"> </w:t>
      </w:r>
      <w:r w:rsidRPr="002029AF">
        <w:t>August</w:t>
      </w:r>
      <w:r w:rsidR="000A5329" w:rsidRPr="002029AF">
        <w:t xml:space="preserve"> </w:t>
      </w:r>
      <w:r w:rsidRPr="002029AF">
        <w:t>2019</w:t>
      </w:r>
      <w:r w:rsidR="000A5329" w:rsidRPr="002029AF">
        <w:t xml:space="preserve"> </w:t>
      </w:r>
      <w:r w:rsidRPr="002029AF">
        <w:t>revision,</w:t>
      </w:r>
      <w:r w:rsidR="000A5329" w:rsidRPr="002029AF">
        <w:t xml:space="preserve"> </w:t>
      </w:r>
      <w:r w:rsidRPr="002029AF">
        <w:t>and</w:t>
      </w:r>
      <w:r w:rsidR="000A5329" w:rsidRPr="002029AF">
        <w:t xml:space="preserve"> </w:t>
      </w:r>
      <w:r w:rsidRPr="002029AF">
        <w:t>Financial</w:t>
      </w:r>
      <w:r w:rsidR="000A5329" w:rsidRPr="002029AF">
        <w:t xml:space="preserve"> </w:t>
      </w:r>
      <w:r w:rsidRPr="002029AF">
        <w:t>Reporting</w:t>
      </w:r>
      <w:r w:rsidR="000A5329" w:rsidRPr="002029AF">
        <w:t xml:space="preserve"> </w:t>
      </w:r>
      <w:r w:rsidRPr="002029AF">
        <w:t>Directive</w:t>
      </w:r>
      <w:r w:rsidR="000A5329" w:rsidRPr="002029AF">
        <w:t xml:space="preserve"> </w:t>
      </w:r>
      <w:r w:rsidRPr="002029AF">
        <w:t>24D</w:t>
      </w:r>
      <w:r w:rsidR="000A5329" w:rsidRPr="002029AF">
        <w:t xml:space="preserve"> </w:t>
      </w:r>
      <w:r w:rsidRPr="002029AF">
        <w:t>guidelines.</w:t>
      </w:r>
    </w:p>
    <w:p w14:paraId="6D4DCDA5" w14:textId="411E2D3F" w:rsidR="00CF72D5" w:rsidRPr="002029AF" w:rsidRDefault="00CF72D5" w:rsidP="00897193">
      <w:pPr>
        <w:pStyle w:val="ARtablefootnote"/>
      </w:pPr>
      <w:r w:rsidRPr="002029AF">
        <w:t>Greenhouse</w:t>
      </w:r>
      <w:r w:rsidR="000A5329" w:rsidRPr="002029AF">
        <w:t xml:space="preserve"> </w:t>
      </w:r>
      <w:r w:rsidRPr="002029AF">
        <w:t>gas</w:t>
      </w:r>
      <w:r w:rsidR="000A5329" w:rsidRPr="002029AF">
        <w:t xml:space="preserve"> </w:t>
      </w:r>
      <w:r w:rsidRPr="002029AF">
        <w:t>emissions</w:t>
      </w:r>
      <w:r w:rsidR="000A5329" w:rsidRPr="002029AF">
        <w:t xml:space="preserve"> </w:t>
      </w:r>
      <w:r w:rsidRPr="002029AF">
        <w:t>from</w:t>
      </w:r>
      <w:r w:rsidR="000A5329" w:rsidRPr="002029AF">
        <w:t xml:space="preserve"> </w:t>
      </w:r>
      <w:r w:rsidRPr="002029AF">
        <w:t>paper</w:t>
      </w:r>
      <w:r w:rsidR="000A5329" w:rsidRPr="002029AF">
        <w:t xml:space="preserve"> </w:t>
      </w:r>
      <w:r w:rsidRPr="002029AF">
        <w:t>procurement</w:t>
      </w:r>
      <w:r w:rsidR="000A5329" w:rsidRPr="002029AF">
        <w:t xml:space="preserve"> </w:t>
      </w:r>
      <w:r w:rsidRPr="002029AF">
        <w:t>have</w:t>
      </w:r>
      <w:r w:rsidR="000A5329" w:rsidRPr="002029AF">
        <w:t xml:space="preserve"> </w:t>
      </w:r>
      <w:r w:rsidRPr="002029AF">
        <w:t>been</w:t>
      </w:r>
      <w:r w:rsidR="000A5329" w:rsidRPr="002029AF">
        <w:t xml:space="preserve"> </w:t>
      </w:r>
      <w:r w:rsidRPr="002029AF">
        <w:t>calculated</w:t>
      </w:r>
      <w:r w:rsidR="000A5329" w:rsidRPr="002029AF">
        <w:t xml:space="preserve"> </w:t>
      </w:r>
      <w:r w:rsidRPr="002029AF">
        <w:t>in</w:t>
      </w:r>
      <w:r w:rsidR="000A5329" w:rsidRPr="002029AF">
        <w:t xml:space="preserve"> </w:t>
      </w:r>
      <w:r w:rsidRPr="002029AF">
        <w:t>accordance</w:t>
      </w:r>
      <w:r w:rsidR="000A5329" w:rsidRPr="002029AF">
        <w:t xml:space="preserve"> </w:t>
      </w:r>
      <w:r w:rsidRPr="002029AF">
        <w:t>with</w:t>
      </w:r>
      <w:r w:rsidR="000A5329" w:rsidRPr="002029AF">
        <w:t xml:space="preserve"> </w:t>
      </w:r>
      <w:r w:rsidRPr="002029AF">
        <w:t>EPA</w:t>
      </w:r>
      <w:r w:rsidR="000A5329" w:rsidRPr="002029AF">
        <w:t xml:space="preserve"> </w:t>
      </w:r>
      <w:r w:rsidRPr="002029AF">
        <w:t>Victoria’s</w:t>
      </w:r>
      <w:r w:rsidR="000A5329" w:rsidRPr="002029AF">
        <w:t xml:space="preserve"> </w:t>
      </w:r>
      <w:r w:rsidRPr="002029AF">
        <w:rPr>
          <w:i/>
          <w:iCs/>
        </w:rPr>
        <w:t>Greenhouse</w:t>
      </w:r>
      <w:r w:rsidR="000A5329" w:rsidRPr="002029AF">
        <w:rPr>
          <w:i/>
          <w:iCs/>
        </w:rPr>
        <w:t xml:space="preserve"> </w:t>
      </w:r>
      <w:r w:rsidRPr="002029AF">
        <w:rPr>
          <w:i/>
          <w:iCs/>
        </w:rPr>
        <w:t>gas</w:t>
      </w:r>
      <w:r w:rsidR="000A5329" w:rsidRPr="002029AF">
        <w:rPr>
          <w:i/>
          <w:iCs/>
        </w:rPr>
        <w:t xml:space="preserve"> </w:t>
      </w:r>
      <w:r w:rsidRPr="002029AF">
        <w:rPr>
          <w:i/>
          <w:iCs/>
        </w:rPr>
        <w:t>Inventory</w:t>
      </w:r>
      <w:r w:rsidR="000A5329" w:rsidRPr="002029AF">
        <w:rPr>
          <w:i/>
          <w:iCs/>
        </w:rPr>
        <w:t xml:space="preserve"> </w:t>
      </w:r>
      <w:r w:rsidRPr="002029AF">
        <w:rPr>
          <w:i/>
          <w:iCs/>
        </w:rPr>
        <w:t>management</w:t>
      </w:r>
      <w:r w:rsidR="000A5329" w:rsidRPr="002029AF">
        <w:rPr>
          <w:i/>
          <w:iCs/>
        </w:rPr>
        <w:t xml:space="preserve"> </w:t>
      </w:r>
      <w:r w:rsidRPr="002029AF">
        <w:rPr>
          <w:i/>
          <w:iCs/>
        </w:rPr>
        <w:t>plan</w:t>
      </w:r>
      <w:r w:rsidR="000A5329" w:rsidRPr="002029AF">
        <w:rPr>
          <w:i/>
          <w:iCs/>
        </w:rPr>
        <w:t xml:space="preserve"> </w:t>
      </w:r>
      <w:r w:rsidRPr="002029AF">
        <w:rPr>
          <w:i/>
          <w:iCs/>
        </w:rPr>
        <w:t>2012–13</w:t>
      </w:r>
      <w:r w:rsidRPr="002029AF">
        <w:t>.</w:t>
      </w:r>
    </w:p>
    <w:p w14:paraId="5CD716BF" w14:textId="07960F50" w:rsidR="00CF72D5" w:rsidRPr="002029AF" w:rsidRDefault="00CF72D5" w:rsidP="00897193">
      <w:pPr>
        <w:pStyle w:val="ARtablefootnote"/>
      </w:pPr>
      <w:r w:rsidRPr="002029AF">
        <w:t>Greenhouse</w:t>
      </w:r>
      <w:r w:rsidR="000A5329" w:rsidRPr="002029AF">
        <w:t xml:space="preserve"> </w:t>
      </w:r>
      <w:r w:rsidRPr="002029AF">
        <w:t>gas</w:t>
      </w:r>
      <w:r w:rsidR="000A5329" w:rsidRPr="002029AF">
        <w:t xml:space="preserve"> </w:t>
      </w:r>
      <w:r w:rsidRPr="002029AF">
        <w:t>emissions</w:t>
      </w:r>
      <w:r w:rsidR="000A5329" w:rsidRPr="002029AF">
        <w:t xml:space="preserve"> </w:t>
      </w:r>
      <w:r w:rsidRPr="002029AF">
        <w:t>from</w:t>
      </w:r>
      <w:r w:rsidR="000A5329" w:rsidRPr="002029AF">
        <w:t xml:space="preserve"> </w:t>
      </w:r>
      <w:r w:rsidRPr="002029AF">
        <w:t>air</w:t>
      </w:r>
      <w:r w:rsidR="000A5329" w:rsidRPr="002029AF">
        <w:t xml:space="preserve"> </w:t>
      </w:r>
      <w:r w:rsidRPr="002029AF">
        <w:t>travel</w:t>
      </w:r>
      <w:r w:rsidR="000A5329" w:rsidRPr="002029AF">
        <w:t xml:space="preserve"> </w:t>
      </w:r>
      <w:r w:rsidRPr="002029AF">
        <w:t>are</w:t>
      </w:r>
      <w:r w:rsidR="000A5329" w:rsidRPr="002029AF">
        <w:t xml:space="preserve"> </w:t>
      </w:r>
      <w:r w:rsidRPr="002029AF">
        <w:t>provided</w:t>
      </w:r>
      <w:r w:rsidR="000A5329" w:rsidRPr="002029AF">
        <w:t xml:space="preserve"> </w:t>
      </w:r>
      <w:r w:rsidRPr="002029AF">
        <w:t>by</w:t>
      </w:r>
      <w:r w:rsidR="000A5329" w:rsidRPr="002029AF">
        <w:t xml:space="preserve"> </w:t>
      </w:r>
      <w:r w:rsidRPr="002029AF">
        <w:t>the</w:t>
      </w:r>
      <w:r w:rsidR="000A5329" w:rsidRPr="002029AF">
        <w:t xml:space="preserve"> </w:t>
      </w:r>
      <w:r w:rsidRPr="002029AF">
        <w:t>supplier</w:t>
      </w:r>
      <w:r w:rsidR="000A5329" w:rsidRPr="002029AF">
        <w:t xml:space="preserve"> </w:t>
      </w:r>
      <w:r w:rsidRPr="002029AF">
        <w:t>of</w:t>
      </w:r>
      <w:r w:rsidR="000A5329" w:rsidRPr="002029AF">
        <w:t xml:space="preserve"> </w:t>
      </w:r>
      <w:r w:rsidRPr="002029AF">
        <w:t>travel</w:t>
      </w:r>
      <w:r w:rsidR="000A5329" w:rsidRPr="002029AF">
        <w:t xml:space="preserve"> </w:t>
      </w:r>
      <w:r w:rsidRPr="002029AF">
        <w:t>management</w:t>
      </w:r>
      <w:r w:rsidR="000A5329" w:rsidRPr="002029AF">
        <w:t xml:space="preserve"> </w:t>
      </w:r>
      <w:r w:rsidRPr="002029AF">
        <w:t>services</w:t>
      </w:r>
      <w:r w:rsidR="000A5329" w:rsidRPr="002029AF">
        <w:t xml:space="preserve"> </w:t>
      </w:r>
      <w:r w:rsidRPr="002029AF">
        <w:t>under</w:t>
      </w:r>
      <w:r w:rsidR="000A5329" w:rsidRPr="002029AF">
        <w:t xml:space="preserve"> </w:t>
      </w:r>
      <w:r w:rsidRPr="002029AF">
        <w:t>the</w:t>
      </w:r>
      <w:r w:rsidR="000A5329" w:rsidRPr="002029AF">
        <w:t xml:space="preserve"> </w:t>
      </w:r>
      <w:r w:rsidRPr="002029AF">
        <w:t>state</w:t>
      </w:r>
      <w:r w:rsidR="000A5329" w:rsidRPr="002029AF">
        <w:t xml:space="preserve"> </w:t>
      </w:r>
      <w:r w:rsidRPr="002029AF">
        <w:t>purchase</w:t>
      </w:r>
      <w:r w:rsidR="000A5329" w:rsidRPr="002029AF">
        <w:t xml:space="preserve"> </w:t>
      </w:r>
      <w:r w:rsidRPr="002029AF">
        <w:t>contract.</w:t>
      </w:r>
    </w:p>
    <w:p w14:paraId="42907521" w14:textId="2055F0B5" w:rsidR="00CF72D5" w:rsidRPr="002029AF" w:rsidRDefault="00CF72D5" w:rsidP="00897193">
      <w:pPr>
        <w:pStyle w:val="ARtablefootnote"/>
      </w:pPr>
      <w:r w:rsidRPr="002029AF">
        <w:t>Figures</w:t>
      </w:r>
      <w:r w:rsidR="000A5329" w:rsidRPr="002029AF">
        <w:t xml:space="preserve"> </w:t>
      </w:r>
      <w:r w:rsidRPr="002029AF">
        <w:t>in</w:t>
      </w:r>
      <w:r w:rsidR="000A5329" w:rsidRPr="002029AF">
        <w:t xml:space="preserve"> </w:t>
      </w:r>
      <w:r w:rsidRPr="002029AF">
        <w:t>previous</w:t>
      </w:r>
      <w:r w:rsidR="000A5329" w:rsidRPr="002029AF">
        <w:t xml:space="preserve"> </w:t>
      </w:r>
      <w:r w:rsidRPr="002029AF">
        <w:t>years</w:t>
      </w:r>
      <w:r w:rsidR="000A5329" w:rsidRPr="002029AF">
        <w:t xml:space="preserve"> </w:t>
      </w:r>
      <w:r w:rsidRPr="002029AF">
        <w:t>have</w:t>
      </w:r>
      <w:r w:rsidR="000A5329" w:rsidRPr="002029AF">
        <w:t xml:space="preserve"> </w:t>
      </w:r>
      <w:r w:rsidRPr="002029AF">
        <w:t>been</w:t>
      </w:r>
      <w:r w:rsidR="000A5329" w:rsidRPr="002029AF">
        <w:t xml:space="preserve"> </w:t>
      </w:r>
      <w:r w:rsidRPr="002029AF">
        <w:t>adjusted</w:t>
      </w:r>
      <w:r w:rsidR="000A5329" w:rsidRPr="002029AF">
        <w:t xml:space="preserve"> </w:t>
      </w:r>
      <w:r w:rsidRPr="002029AF">
        <w:t>to</w:t>
      </w:r>
      <w:r w:rsidR="000A5329" w:rsidRPr="002029AF">
        <w:t xml:space="preserve"> </w:t>
      </w:r>
      <w:r w:rsidRPr="002029AF">
        <w:t>include</w:t>
      </w:r>
      <w:r w:rsidR="000A5329" w:rsidRPr="002029AF">
        <w:t xml:space="preserve"> </w:t>
      </w:r>
      <w:r w:rsidRPr="002029AF">
        <w:t>the</w:t>
      </w:r>
      <w:r w:rsidR="000A5329" w:rsidRPr="002029AF">
        <w:t xml:space="preserve"> </w:t>
      </w:r>
      <w:r w:rsidRPr="002029AF">
        <w:t>most</w:t>
      </w:r>
      <w:r w:rsidR="000A5329" w:rsidRPr="002029AF">
        <w:t xml:space="preserve"> </w:t>
      </w:r>
      <w:r w:rsidRPr="002029AF">
        <w:t>up-to-date</w:t>
      </w:r>
      <w:r w:rsidR="000A5329" w:rsidRPr="002029AF">
        <w:t xml:space="preserve"> </w:t>
      </w:r>
      <w:r w:rsidRPr="002029AF">
        <w:t>data.</w:t>
      </w:r>
      <w:r w:rsidR="000A5329" w:rsidRPr="002029AF">
        <w:t xml:space="preserve"> </w:t>
      </w:r>
      <w:r w:rsidRPr="002029AF">
        <w:t>Figures</w:t>
      </w:r>
      <w:r w:rsidR="000A5329" w:rsidRPr="002029AF">
        <w:t xml:space="preserve"> </w:t>
      </w:r>
      <w:r w:rsidRPr="002029AF">
        <w:t>may</w:t>
      </w:r>
      <w:r w:rsidR="000A5329" w:rsidRPr="002029AF">
        <w:t xml:space="preserve"> </w:t>
      </w:r>
      <w:r w:rsidRPr="002029AF">
        <w:t>differ</w:t>
      </w:r>
      <w:r w:rsidR="000A5329" w:rsidRPr="002029AF">
        <w:t xml:space="preserve"> </w:t>
      </w:r>
      <w:r w:rsidRPr="002029AF">
        <w:t>from</w:t>
      </w:r>
      <w:r w:rsidR="000A5329" w:rsidRPr="002029AF">
        <w:t xml:space="preserve"> </w:t>
      </w:r>
      <w:r w:rsidRPr="002029AF">
        <w:t>those</w:t>
      </w:r>
      <w:r w:rsidR="000A5329" w:rsidRPr="002029AF">
        <w:t xml:space="preserve"> </w:t>
      </w:r>
      <w:r w:rsidRPr="002029AF">
        <w:t>estimated</w:t>
      </w:r>
      <w:r w:rsidR="000A5329" w:rsidRPr="002029AF">
        <w:t xml:space="preserve"> </w:t>
      </w:r>
      <w:r w:rsidRPr="002029AF">
        <w:t>in</w:t>
      </w:r>
      <w:r w:rsidR="000A5329" w:rsidRPr="002029AF">
        <w:t xml:space="preserve"> </w:t>
      </w:r>
      <w:r w:rsidRPr="002029AF">
        <w:t>previous</w:t>
      </w:r>
      <w:r w:rsidR="000A5329" w:rsidRPr="002029AF">
        <w:t xml:space="preserve"> </w:t>
      </w:r>
      <w:r w:rsidRPr="002029AF">
        <w:t>years</w:t>
      </w:r>
      <w:r w:rsidR="000A5329" w:rsidRPr="002029AF">
        <w:t xml:space="preserve"> </w:t>
      </w:r>
      <w:r w:rsidRPr="002029AF">
        <w:t>as</w:t>
      </w:r>
      <w:r w:rsidR="000A5329" w:rsidRPr="002029AF">
        <w:t xml:space="preserve"> </w:t>
      </w:r>
      <w:r w:rsidRPr="002029AF">
        <w:t>a</w:t>
      </w:r>
      <w:r w:rsidR="000A5329" w:rsidRPr="002029AF">
        <w:t xml:space="preserve"> </w:t>
      </w:r>
      <w:r w:rsidRPr="002029AF">
        <w:t>result.</w:t>
      </w:r>
    </w:p>
    <w:p w14:paraId="3AEA415D" w14:textId="0EE4CA7C" w:rsidR="00CF72D5" w:rsidRPr="002029AF" w:rsidRDefault="00CF72D5" w:rsidP="00897193">
      <w:pPr>
        <w:pStyle w:val="ARtablefootnote"/>
      </w:pPr>
      <w:r w:rsidRPr="002029AF">
        <w:t>1</w:t>
      </w:r>
      <w:r w:rsidR="000A5329" w:rsidRPr="002029AF">
        <w:t xml:space="preserve"> </w:t>
      </w:r>
      <w:r w:rsidRPr="002029AF">
        <w:t>terajoule</w:t>
      </w:r>
      <w:r w:rsidR="000A5329" w:rsidRPr="002029AF">
        <w:t xml:space="preserve"> </w:t>
      </w:r>
      <w:r w:rsidRPr="002029AF">
        <w:t>equates</w:t>
      </w:r>
      <w:r w:rsidR="000A5329" w:rsidRPr="002029AF">
        <w:t xml:space="preserve"> </w:t>
      </w:r>
      <w:r w:rsidRPr="002029AF">
        <w:t>to</w:t>
      </w:r>
      <w:r w:rsidR="000A5329" w:rsidRPr="002029AF">
        <w:t xml:space="preserve"> </w:t>
      </w:r>
      <w:r w:rsidRPr="002029AF">
        <w:t>1,000,000</w:t>
      </w:r>
      <w:r w:rsidR="000A5329" w:rsidRPr="002029AF">
        <w:t xml:space="preserve"> </w:t>
      </w:r>
      <w:r w:rsidRPr="002029AF">
        <w:t>megajoules</w:t>
      </w:r>
      <w:r w:rsidR="000A5329" w:rsidRPr="002029AF">
        <w:t xml:space="preserve"> </w:t>
      </w:r>
      <w:r w:rsidRPr="002029AF">
        <w:t>and</w:t>
      </w:r>
      <w:r w:rsidR="000A5329" w:rsidRPr="002029AF">
        <w:t xml:space="preserve"> </w:t>
      </w:r>
      <w:r w:rsidRPr="002029AF">
        <w:t>1</w:t>
      </w:r>
      <w:r w:rsidR="000A5329" w:rsidRPr="002029AF">
        <w:t xml:space="preserve"> </w:t>
      </w:r>
      <w:r w:rsidRPr="002029AF">
        <w:t>gigajoule</w:t>
      </w:r>
      <w:r w:rsidR="000A5329" w:rsidRPr="002029AF">
        <w:t xml:space="preserve"> </w:t>
      </w:r>
      <w:r w:rsidRPr="002029AF">
        <w:t>equates</w:t>
      </w:r>
      <w:r w:rsidR="000A5329" w:rsidRPr="002029AF">
        <w:t xml:space="preserve"> </w:t>
      </w:r>
      <w:r w:rsidRPr="002029AF">
        <w:t>to</w:t>
      </w:r>
      <w:r w:rsidR="000A5329" w:rsidRPr="002029AF">
        <w:t xml:space="preserve"> </w:t>
      </w:r>
      <w:r w:rsidRPr="002029AF">
        <w:t>1,000</w:t>
      </w:r>
      <w:r w:rsidR="000A5329" w:rsidRPr="002029AF">
        <w:t xml:space="preserve"> </w:t>
      </w:r>
      <w:r w:rsidRPr="002029AF">
        <w:t>megajoules.</w:t>
      </w:r>
    </w:p>
    <w:p w14:paraId="47DA6679" w14:textId="523CF58A" w:rsidR="00CF72D5" w:rsidRPr="002029AF" w:rsidRDefault="00CF72D5" w:rsidP="00961519">
      <w:pPr>
        <w:pStyle w:val="Heading4"/>
        <w:spacing w:before="400" w:after="200"/>
        <w:rPr>
          <w:rFonts w:ascii="Arial Bold" w:hAnsi="Arial Bold" w:hint="eastAsia"/>
          <w:color w:val="87189D"/>
        </w:rPr>
      </w:pPr>
      <w:r w:rsidRPr="002029AF">
        <w:rPr>
          <w:rFonts w:ascii="Arial Bold" w:hAnsi="Arial Bold"/>
          <w:color w:val="87189D"/>
        </w:rPr>
        <w:t>Staff</w:t>
      </w:r>
      <w:r w:rsidR="000A5329" w:rsidRPr="002029AF">
        <w:rPr>
          <w:rFonts w:ascii="Arial Bold" w:hAnsi="Arial Bold"/>
          <w:color w:val="87189D"/>
        </w:rPr>
        <w:t xml:space="preserve"> </w:t>
      </w:r>
      <w:r w:rsidRPr="002029AF">
        <w:rPr>
          <w:rFonts w:ascii="Arial Bold" w:hAnsi="Arial Bold"/>
          <w:color w:val="87189D"/>
        </w:rPr>
        <w:t>and</w:t>
      </w:r>
      <w:r w:rsidR="000A5329" w:rsidRPr="002029AF">
        <w:rPr>
          <w:rFonts w:ascii="Arial Bold" w:hAnsi="Arial Bold"/>
          <w:color w:val="87189D"/>
        </w:rPr>
        <w:t xml:space="preserve"> </w:t>
      </w:r>
      <w:r w:rsidRPr="002029AF">
        <w:rPr>
          <w:rFonts w:ascii="Arial Bold" w:hAnsi="Arial Bold"/>
          <w:color w:val="87189D"/>
        </w:rPr>
        <w:t>building</w:t>
      </w:r>
      <w:r w:rsidR="000A5329" w:rsidRPr="002029AF">
        <w:rPr>
          <w:rFonts w:ascii="Arial Bold" w:hAnsi="Arial Bold"/>
          <w:color w:val="87189D"/>
        </w:rPr>
        <w:t xml:space="preserve"> </w:t>
      </w:r>
      <w:r w:rsidRPr="002029AF">
        <w:rPr>
          <w:rFonts w:ascii="Arial Bold" w:hAnsi="Arial Bold"/>
          <w:color w:val="87189D"/>
        </w:rPr>
        <w:t>reference</w:t>
      </w:r>
      <w:r w:rsidR="000A5329" w:rsidRPr="002029AF">
        <w:rPr>
          <w:rFonts w:ascii="Arial Bold" w:hAnsi="Arial Bold"/>
          <w:color w:val="87189D"/>
        </w:rPr>
        <w:t xml:space="preserve"> </w:t>
      </w:r>
      <w:r w:rsidRPr="002029AF">
        <w:rPr>
          <w:rFonts w:ascii="Arial Bold" w:hAnsi="Arial Bold"/>
          <w:color w:val="87189D"/>
        </w:rPr>
        <w:t>data</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5028"/>
        <w:gridCol w:w="1574"/>
        <w:gridCol w:w="1521"/>
        <w:gridCol w:w="1516"/>
      </w:tblGrid>
      <w:tr w:rsidR="00CF72D5" w:rsidRPr="002029AF" w14:paraId="15DDF165" w14:textId="77777777" w:rsidTr="00897193">
        <w:trPr>
          <w:cantSplit/>
          <w:trHeight w:val="525"/>
          <w:tblHeader/>
        </w:trPr>
        <w:tc>
          <w:tcPr>
            <w:tcW w:w="5028" w:type="dxa"/>
            <w:vAlign w:val="bottom"/>
          </w:tcPr>
          <w:p w14:paraId="209A1A0F" w14:textId="77777777" w:rsidR="00CF72D5" w:rsidRPr="002029AF" w:rsidRDefault="00CF72D5" w:rsidP="00897193">
            <w:pPr>
              <w:pStyle w:val="ARtablecolhead"/>
            </w:pPr>
            <w:r w:rsidRPr="002029AF">
              <w:t>Description</w:t>
            </w:r>
          </w:p>
        </w:tc>
        <w:tc>
          <w:tcPr>
            <w:tcW w:w="1574" w:type="dxa"/>
            <w:vAlign w:val="bottom"/>
          </w:tcPr>
          <w:p w14:paraId="52E66CB7" w14:textId="4E63E76A" w:rsidR="00CF72D5" w:rsidRPr="002029AF" w:rsidRDefault="00CF72D5" w:rsidP="00897193">
            <w:pPr>
              <w:pStyle w:val="ARtablecolheadright"/>
            </w:pPr>
            <w:r w:rsidRPr="002029AF">
              <w:t>Government-owned</w:t>
            </w:r>
            <w:r w:rsidR="000A5329" w:rsidRPr="002029AF">
              <w:t xml:space="preserve"> </w:t>
            </w:r>
            <w:r w:rsidRPr="002029AF">
              <w:t>buildings</w:t>
            </w:r>
          </w:p>
        </w:tc>
        <w:tc>
          <w:tcPr>
            <w:tcW w:w="1521" w:type="dxa"/>
            <w:vAlign w:val="bottom"/>
          </w:tcPr>
          <w:p w14:paraId="6CE59C51" w14:textId="77777777" w:rsidR="00CF72D5" w:rsidRPr="002029AF" w:rsidRDefault="00CF72D5" w:rsidP="00897193">
            <w:pPr>
              <w:pStyle w:val="ARtablecolheadright"/>
            </w:pPr>
            <w:r w:rsidRPr="002029AF">
              <w:t>Leased</w:t>
            </w:r>
            <w:r w:rsidRPr="002029AF">
              <w:br/>
              <w:t>buildings</w:t>
            </w:r>
          </w:p>
        </w:tc>
        <w:tc>
          <w:tcPr>
            <w:tcW w:w="1516" w:type="dxa"/>
            <w:vAlign w:val="bottom"/>
          </w:tcPr>
          <w:p w14:paraId="3FAAC896" w14:textId="77777777" w:rsidR="00CF72D5" w:rsidRPr="002029AF" w:rsidRDefault="00CF72D5" w:rsidP="00897193">
            <w:pPr>
              <w:pStyle w:val="ARtablecolheadright"/>
            </w:pPr>
            <w:r w:rsidRPr="002029AF">
              <w:t>Total</w:t>
            </w:r>
          </w:p>
        </w:tc>
      </w:tr>
      <w:tr w:rsidR="00CF72D5" w:rsidRPr="002029AF" w14:paraId="5BEA1D1E" w14:textId="77777777" w:rsidTr="00897193">
        <w:trPr>
          <w:cantSplit/>
          <w:trHeight w:val="270"/>
        </w:trPr>
        <w:tc>
          <w:tcPr>
            <w:tcW w:w="5028" w:type="dxa"/>
          </w:tcPr>
          <w:p w14:paraId="7E826D6E" w14:textId="5DE404B8" w:rsidR="00CF72D5" w:rsidRPr="002029AF" w:rsidRDefault="00CF72D5" w:rsidP="00897193">
            <w:pPr>
              <w:pStyle w:val="ARtabletext"/>
            </w:pPr>
            <w:r w:rsidRPr="002029AF">
              <w:t>Office-based</w:t>
            </w:r>
            <w:r w:rsidR="000A5329" w:rsidRPr="002029AF">
              <w:t xml:space="preserve"> </w:t>
            </w:r>
            <w:r w:rsidRPr="002029AF">
              <w:t>FTE</w:t>
            </w:r>
          </w:p>
        </w:tc>
        <w:tc>
          <w:tcPr>
            <w:tcW w:w="1574" w:type="dxa"/>
            <w:vAlign w:val="center"/>
          </w:tcPr>
          <w:p w14:paraId="6CAD0893" w14:textId="77777777" w:rsidR="00CF72D5" w:rsidRPr="002029AF" w:rsidRDefault="00CF72D5" w:rsidP="00897193">
            <w:pPr>
              <w:pStyle w:val="ARtabletextright"/>
            </w:pPr>
            <w:r w:rsidRPr="002029AF">
              <w:t>847.0</w:t>
            </w:r>
          </w:p>
        </w:tc>
        <w:tc>
          <w:tcPr>
            <w:tcW w:w="1521" w:type="dxa"/>
            <w:vAlign w:val="center"/>
          </w:tcPr>
          <w:p w14:paraId="452ED3BB" w14:textId="77777777" w:rsidR="00CF72D5" w:rsidRPr="002029AF" w:rsidRDefault="00CF72D5" w:rsidP="00897193">
            <w:pPr>
              <w:pStyle w:val="ARtabletextright"/>
            </w:pPr>
            <w:r w:rsidRPr="002029AF">
              <w:t>7,437.3</w:t>
            </w:r>
          </w:p>
        </w:tc>
        <w:tc>
          <w:tcPr>
            <w:tcW w:w="1516" w:type="dxa"/>
            <w:vAlign w:val="center"/>
          </w:tcPr>
          <w:p w14:paraId="307D8F2A" w14:textId="77777777" w:rsidR="00CF72D5" w:rsidRPr="002029AF" w:rsidRDefault="00CF72D5" w:rsidP="00897193">
            <w:pPr>
              <w:pStyle w:val="ARtabletextright"/>
            </w:pPr>
            <w:r w:rsidRPr="002029AF">
              <w:t>8,284.3</w:t>
            </w:r>
          </w:p>
        </w:tc>
      </w:tr>
      <w:tr w:rsidR="00CF72D5" w:rsidRPr="002029AF" w14:paraId="0B8822E2" w14:textId="77777777" w:rsidTr="00897193">
        <w:trPr>
          <w:cantSplit/>
          <w:trHeight w:val="270"/>
        </w:trPr>
        <w:tc>
          <w:tcPr>
            <w:tcW w:w="5028" w:type="dxa"/>
          </w:tcPr>
          <w:p w14:paraId="3F6BE017" w14:textId="07E71C90" w:rsidR="00CF72D5" w:rsidRPr="002029AF" w:rsidRDefault="00CF72D5" w:rsidP="00897193">
            <w:pPr>
              <w:pStyle w:val="ARtabletext"/>
            </w:pPr>
            <w:r w:rsidRPr="002029AF">
              <w:t>Operational</w:t>
            </w:r>
            <w:r w:rsidR="000A5329" w:rsidRPr="002029AF">
              <w:t xml:space="preserve"> </w:t>
            </w:r>
            <w:r w:rsidRPr="002029AF">
              <w:t>FTE</w:t>
            </w:r>
          </w:p>
        </w:tc>
        <w:tc>
          <w:tcPr>
            <w:tcW w:w="1574" w:type="dxa"/>
            <w:vAlign w:val="center"/>
          </w:tcPr>
          <w:p w14:paraId="2880A42E" w14:textId="285B3695" w:rsidR="00CF72D5" w:rsidRPr="002029AF" w:rsidRDefault="00CF72D5" w:rsidP="00897193">
            <w:pPr>
              <w:pStyle w:val="ARtabletextright"/>
            </w:pPr>
          </w:p>
        </w:tc>
        <w:tc>
          <w:tcPr>
            <w:tcW w:w="1521" w:type="dxa"/>
            <w:vAlign w:val="center"/>
          </w:tcPr>
          <w:p w14:paraId="6A2739AC" w14:textId="4E49CD64" w:rsidR="00CF72D5" w:rsidRPr="002029AF" w:rsidRDefault="00CF72D5" w:rsidP="00897193">
            <w:pPr>
              <w:pStyle w:val="ARtabletextright"/>
            </w:pPr>
          </w:p>
        </w:tc>
        <w:tc>
          <w:tcPr>
            <w:tcW w:w="1516" w:type="dxa"/>
            <w:vAlign w:val="center"/>
          </w:tcPr>
          <w:p w14:paraId="7DDC67D4" w14:textId="77777777" w:rsidR="00CF72D5" w:rsidRPr="002029AF" w:rsidRDefault="00CF72D5" w:rsidP="00897193">
            <w:pPr>
              <w:pStyle w:val="ARtabletextright"/>
            </w:pPr>
            <w:r w:rsidRPr="002029AF">
              <w:t>283.7</w:t>
            </w:r>
          </w:p>
        </w:tc>
      </w:tr>
      <w:tr w:rsidR="00CF72D5" w:rsidRPr="002029AF" w14:paraId="3D27D729" w14:textId="77777777" w:rsidTr="00897193">
        <w:trPr>
          <w:cantSplit/>
          <w:trHeight w:val="270"/>
        </w:trPr>
        <w:tc>
          <w:tcPr>
            <w:tcW w:w="5028" w:type="dxa"/>
          </w:tcPr>
          <w:p w14:paraId="00AEFD1D" w14:textId="467D7037" w:rsidR="00CF72D5" w:rsidRPr="002029AF" w:rsidRDefault="00CF72D5" w:rsidP="00897193">
            <w:pPr>
              <w:pStyle w:val="ARtabletext"/>
              <w:rPr>
                <w:b/>
              </w:rPr>
            </w:pPr>
            <w:r w:rsidRPr="002029AF">
              <w:rPr>
                <w:b/>
              </w:rPr>
              <w:t>Total</w:t>
            </w:r>
            <w:r w:rsidR="000A5329" w:rsidRPr="002029AF">
              <w:rPr>
                <w:b/>
              </w:rPr>
              <w:t xml:space="preserve"> </w:t>
            </w:r>
            <w:r w:rsidRPr="002029AF">
              <w:rPr>
                <w:b/>
              </w:rPr>
              <w:t>FTE</w:t>
            </w:r>
          </w:p>
        </w:tc>
        <w:tc>
          <w:tcPr>
            <w:tcW w:w="1574" w:type="dxa"/>
            <w:vAlign w:val="center"/>
          </w:tcPr>
          <w:p w14:paraId="5431002D" w14:textId="00595850" w:rsidR="00CF72D5" w:rsidRPr="002029AF" w:rsidRDefault="00CF72D5" w:rsidP="00897193">
            <w:pPr>
              <w:pStyle w:val="ARtabletextright"/>
            </w:pPr>
          </w:p>
        </w:tc>
        <w:tc>
          <w:tcPr>
            <w:tcW w:w="1521" w:type="dxa"/>
            <w:vAlign w:val="center"/>
          </w:tcPr>
          <w:p w14:paraId="76E0927E" w14:textId="7E9DA683" w:rsidR="00CF72D5" w:rsidRPr="002029AF" w:rsidRDefault="00CF72D5" w:rsidP="00897193">
            <w:pPr>
              <w:pStyle w:val="ARtabletextright"/>
            </w:pPr>
          </w:p>
        </w:tc>
        <w:tc>
          <w:tcPr>
            <w:tcW w:w="1516" w:type="dxa"/>
            <w:vAlign w:val="center"/>
          </w:tcPr>
          <w:p w14:paraId="2060D068" w14:textId="77777777" w:rsidR="00CF72D5" w:rsidRPr="002029AF" w:rsidRDefault="00CF72D5" w:rsidP="00897193">
            <w:pPr>
              <w:pStyle w:val="ARtabletextrightbold"/>
            </w:pPr>
            <w:r w:rsidRPr="002029AF">
              <w:t>8,568.0</w:t>
            </w:r>
          </w:p>
        </w:tc>
      </w:tr>
      <w:tr w:rsidR="00CF72D5" w:rsidRPr="002029AF" w14:paraId="40793DCD" w14:textId="77777777" w:rsidTr="00897193">
        <w:trPr>
          <w:cantSplit/>
          <w:trHeight w:val="270"/>
        </w:trPr>
        <w:tc>
          <w:tcPr>
            <w:tcW w:w="5028" w:type="dxa"/>
          </w:tcPr>
          <w:p w14:paraId="3C760E45" w14:textId="7A6D49BF" w:rsidR="00CF72D5" w:rsidRPr="002029AF" w:rsidRDefault="00CF72D5" w:rsidP="00897193">
            <w:pPr>
              <w:pStyle w:val="ARtabletext"/>
            </w:pPr>
            <w:r w:rsidRPr="002029AF">
              <w:t>Number</w:t>
            </w:r>
            <w:r w:rsidR="000A5329" w:rsidRPr="002029AF">
              <w:t xml:space="preserve"> </w:t>
            </w:r>
            <w:r w:rsidRPr="002029AF">
              <w:t>of</w:t>
            </w:r>
            <w:r w:rsidR="000A5329" w:rsidRPr="002029AF">
              <w:t xml:space="preserve"> </w:t>
            </w:r>
            <w:r w:rsidRPr="002029AF">
              <w:t>office-based</w:t>
            </w:r>
            <w:r w:rsidR="000A5329" w:rsidRPr="002029AF">
              <w:t xml:space="preserve"> </w:t>
            </w:r>
            <w:r w:rsidRPr="002029AF">
              <w:t>sites</w:t>
            </w:r>
          </w:p>
        </w:tc>
        <w:tc>
          <w:tcPr>
            <w:tcW w:w="1574" w:type="dxa"/>
            <w:vAlign w:val="center"/>
          </w:tcPr>
          <w:p w14:paraId="180E46C2" w14:textId="77777777" w:rsidR="00CF72D5" w:rsidRPr="002029AF" w:rsidRDefault="00CF72D5" w:rsidP="00897193">
            <w:pPr>
              <w:pStyle w:val="ARtabletextright"/>
            </w:pPr>
            <w:r w:rsidRPr="002029AF">
              <w:t>16</w:t>
            </w:r>
          </w:p>
        </w:tc>
        <w:tc>
          <w:tcPr>
            <w:tcW w:w="1521" w:type="dxa"/>
            <w:vAlign w:val="center"/>
          </w:tcPr>
          <w:p w14:paraId="76BD4435" w14:textId="77777777" w:rsidR="00CF72D5" w:rsidRPr="002029AF" w:rsidRDefault="00CF72D5" w:rsidP="00897193">
            <w:pPr>
              <w:pStyle w:val="ARtabletextright"/>
            </w:pPr>
            <w:r w:rsidRPr="002029AF">
              <w:t>46</w:t>
            </w:r>
          </w:p>
        </w:tc>
        <w:tc>
          <w:tcPr>
            <w:tcW w:w="1516" w:type="dxa"/>
            <w:vAlign w:val="center"/>
          </w:tcPr>
          <w:p w14:paraId="55EEAD3F" w14:textId="77777777" w:rsidR="00CF72D5" w:rsidRPr="002029AF" w:rsidRDefault="00CF72D5" w:rsidP="00897193">
            <w:pPr>
              <w:pStyle w:val="ARtabletextright"/>
            </w:pPr>
            <w:r w:rsidRPr="002029AF">
              <w:t>62</w:t>
            </w:r>
          </w:p>
        </w:tc>
      </w:tr>
      <w:tr w:rsidR="00CF72D5" w:rsidRPr="002029AF" w14:paraId="712D93A3" w14:textId="77777777" w:rsidTr="00897193">
        <w:trPr>
          <w:cantSplit/>
          <w:trHeight w:val="270"/>
        </w:trPr>
        <w:tc>
          <w:tcPr>
            <w:tcW w:w="5028" w:type="dxa"/>
          </w:tcPr>
          <w:p w14:paraId="0644BB3E" w14:textId="1D4B5955" w:rsidR="00CF72D5" w:rsidRPr="002029AF" w:rsidRDefault="00CF72D5" w:rsidP="00897193">
            <w:pPr>
              <w:pStyle w:val="ARtabletext"/>
            </w:pPr>
            <w:r w:rsidRPr="002029AF">
              <w:t>Number</w:t>
            </w:r>
            <w:r w:rsidR="000A5329" w:rsidRPr="002029AF">
              <w:t xml:space="preserve"> </w:t>
            </w:r>
            <w:r w:rsidRPr="002029AF">
              <w:t>of</w:t>
            </w:r>
            <w:r w:rsidR="000A5329" w:rsidRPr="002029AF">
              <w:t xml:space="preserve"> </w:t>
            </w:r>
            <w:r w:rsidRPr="002029AF">
              <w:t>high-rise</w:t>
            </w:r>
            <w:r w:rsidR="000A5329" w:rsidRPr="002029AF">
              <w:t xml:space="preserve"> </w:t>
            </w:r>
            <w:r w:rsidRPr="002029AF">
              <w:t>public</w:t>
            </w:r>
            <w:r w:rsidR="000A5329" w:rsidRPr="002029AF">
              <w:t xml:space="preserve"> </w:t>
            </w:r>
            <w:r w:rsidRPr="002029AF">
              <w:t>housing</w:t>
            </w:r>
            <w:r w:rsidR="000A5329" w:rsidRPr="002029AF">
              <w:t xml:space="preserve"> </w:t>
            </w:r>
            <w:r w:rsidRPr="002029AF">
              <w:t>sites</w:t>
            </w:r>
          </w:p>
        </w:tc>
        <w:tc>
          <w:tcPr>
            <w:tcW w:w="1574" w:type="dxa"/>
            <w:vAlign w:val="center"/>
          </w:tcPr>
          <w:p w14:paraId="15CFDDDE" w14:textId="77777777" w:rsidR="00CF72D5" w:rsidRPr="002029AF" w:rsidRDefault="00CF72D5" w:rsidP="00897193">
            <w:pPr>
              <w:pStyle w:val="ARtabletextright"/>
            </w:pPr>
            <w:r w:rsidRPr="002029AF">
              <w:t>44</w:t>
            </w:r>
          </w:p>
        </w:tc>
        <w:tc>
          <w:tcPr>
            <w:tcW w:w="1521" w:type="dxa"/>
            <w:vAlign w:val="center"/>
          </w:tcPr>
          <w:p w14:paraId="627F44CB" w14:textId="0109EB4D" w:rsidR="00CF72D5" w:rsidRPr="002029AF" w:rsidRDefault="00CF72D5" w:rsidP="00897193">
            <w:pPr>
              <w:pStyle w:val="ARtabletextright"/>
            </w:pPr>
          </w:p>
        </w:tc>
        <w:tc>
          <w:tcPr>
            <w:tcW w:w="1516" w:type="dxa"/>
            <w:vAlign w:val="center"/>
          </w:tcPr>
          <w:p w14:paraId="477F13F6" w14:textId="77777777" w:rsidR="00CF72D5" w:rsidRPr="002029AF" w:rsidRDefault="00CF72D5" w:rsidP="00897193">
            <w:pPr>
              <w:pStyle w:val="ARtabletextright"/>
            </w:pPr>
            <w:r w:rsidRPr="002029AF">
              <w:t>44</w:t>
            </w:r>
          </w:p>
        </w:tc>
      </w:tr>
      <w:tr w:rsidR="00CF72D5" w:rsidRPr="002029AF" w14:paraId="330C385C" w14:textId="77777777" w:rsidTr="00897193">
        <w:trPr>
          <w:cantSplit/>
          <w:trHeight w:val="270"/>
        </w:trPr>
        <w:tc>
          <w:tcPr>
            <w:tcW w:w="5028" w:type="dxa"/>
          </w:tcPr>
          <w:p w14:paraId="7C85DB28" w14:textId="0B6B96AD" w:rsidR="00CF72D5" w:rsidRPr="002029AF" w:rsidRDefault="00CF72D5" w:rsidP="00897193">
            <w:pPr>
              <w:pStyle w:val="ARtabletext"/>
            </w:pPr>
            <w:r w:rsidRPr="002029AF">
              <w:t>Office-based</w:t>
            </w:r>
            <w:r w:rsidR="000A5329" w:rsidRPr="002029AF">
              <w:t xml:space="preserve"> </w:t>
            </w:r>
            <w:r w:rsidRPr="002029AF">
              <w:t>area</w:t>
            </w:r>
            <w:r w:rsidR="000A5329" w:rsidRPr="002029AF">
              <w:t xml:space="preserve"> </w:t>
            </w:r>
            <w:r w:rsidRPr="002029AF">
              <w:t>(m</w:t>
            </w:r>
            <w:r w:rsidRPr="002029AF">
              <w:rPr>
                <w:vertAlign w:val="superscript"/>
              </w:rPr>
              <w:t>2</w:t>
            </w:r>
            <w:r w:rsidRPr="002029AF">
              <w:t>)</w:t>
            </w:r>
          </w:p>
        </w:tc>
        <w:tc>
          <w:tcPr>
            <w:tcW w:w="1574" w:type="dxa"/>
            <w:vAlign w:val="center"/>
          </w:tcPr>
          <w:p w14:paraId="363592FB" w14:textId="18AEFD56" w:rsidR="00CF72D5" w:rsidRPr="002029AF" w:rsidRDefault="00CF72D5" w:rsidP="00897193">
            <w:pPr>
              <w:pStyle w:val="ARtabletextright"/>
            </w:pPr>
            <w:r w:rsidRPr="002029AF">
              <w:t>20,461</w:t>
            </w:r>
          </w:p>
        </w:tc>
        <w:tc>
          <w:tcPr>
            <w:tcW w:w="1521" w:type="dxa"/>
            <w:vAlign w:val="center"/>
          </w:tcPr>
          <w:p w14:paraId="40546DFE" w14:textId="22B3C6E4" w:rsidR="00CF72D5" w:rsidRPr="002029AF" w:rsidRDefault="00CF72D5" w:rsidP="00897193">
            <w:pPr>
              <w:pStyle w:val="ARtabletextright"/>
            </w:pPr>
            <w:r w:rsidRPr="002029AF">
              <w:t>137,614</w:t>
            </w:r>
          </w:p>
        </w:tc>
        <w:tc>
          <w:tcPr>
            <w:tcW w:w="1516" w:type="dxa"/>
            <w:vAlign w:val="center"/>
          </w:tcPr>
          <w:p w14:paraId="020C75B4" w14:textId="1DD4EE17" w:rsidR="00CF72D5" w:rsidRPr="002029AF" w:rsidRDefault="00CF72D5" w:rsidP="00897193">
            <w:pPr>
              <w:pStyle w:val="ARtabletextright"/>
            </w:pPr>
            <w:r w:rsidRPr="002029AF">
              <w:rPr>
                <w:b/>
                <w:bCs/>
              </w:rPr>
              <w:t>158,075</w:t>
            </w:r>
          </w:p>
        </w:tc>
      </w:tr>
    </w:tbl>
    <w:p w14:paraId="76DADD37" w14:textId="47CC2673" w:rsidR="00CF72D5" w:rsidRPr="002029AF" w:rsidRDefault="00CF72D5" w:rsidP="00897193">
      <w:pPr>
        <w:pStyle w:val="ARtablefootnote"/>
      </w:pPr>
      <w:r w:rsidRPr="002029AF">
        <w:t>Staff</w:t>
      </w:r>
      <w:r w:rsidR="000A5329" w:rsidRPr="002029AF">
        <w:t xml:space="preserve"> </w:t>
      </w:r>
      <w:r w:rsidRPr="002029AF">
        <w:t>and</w:t>
      </w:r>
      <w:r w:rsidR="000A5329" w:rsidRPr="002029AF">
        <w:t xml:space="preserve"> </w:t>
      </w:r>
      <w:r w:rsidRPr="002029AF">
        <w:t>building</w:t>
      </w:r>
      <w:r w:rsidR="000A5329" w:rsidRPr="002029AF">
        <w:t xml:space="preserve"> </w:t>
      </w:r>
      <w:r w:rsidRPr="002029AF">
        <w:t>reference</w:t>
      </w:r>
      <w:r w:rsidR="000A5329" w:rsidRPr="002029AF">
        <w:t xml:space="preserve"> </w:t>
      </w:r>
      <w:r w:rsidRPr="002029AF">
        <w:t>data</w:t>
      </w:r>
      <w:r w:rsidR="000A5329" w:rsidRPr="002029AF">
        <w:t xml:space="preserve"> </w:t>
      </w:r>
      <w:r w:rsidR="000343EC" w:rsidRPr="002029AF">
        <w:t>include</w:t>
      </w:r>
      <w:r w:rsidR="000A5329" w:rsidRPr="002029AF">
        <w:t xml:space="preserve"> </w:t>
      </w:r>
      <w:r w:rsidRPr="002029AF">
        <w:t>the</w:t>
      </w:r>
      <w:r w:rsidR="000A5329" w:rsidRPr="002029AF">
        <w:t xml:space="preserve"> </w:t>
      </w:r>
      <w:r w:rsidRPr="002029AF">
        <w:t>roll-out</w:t>
      </w:r>
      <w:r w:rsidR="000A5329" w:rsidRPr="002029AF">
        <w:t xml:space="preserve"> </w:t>
      </w:r>
      <w:r w:rsidRPr="002029AF">
        <w:t>of</w:t>
      </w:r>
      <w:r w:rsidR="000A5329" w:rsidRPr="002029AF">
        <w:t xml:space="preserve"> </w:t>
      </w:r>
      <w:r w:rsidRPr="002029AF">
        <w:t>The</w:t>
      </w:r>
      <w:r w:rsidR="000A5329" w:rsidRPr="002029AF">
        <w:t xml:space="preserve"> </w:t>
      </w:r>
      <w:r w:rsidRPr="002029AF">
        <w:t>Orange</w:t>
      </w:r>
      <w:r w:rsidR="000A5329" w:rsidRPr="002029AF">
        <w:t xml:space="preserve"> </w:t>
      </w:r>
      <w:r w:rsidRPr="002029AF">
        <w:t>Door</w:t>
      </w:r>
      <w:r w:rsidR="000A5329" w:rsidRPr="002029AF">
        <w:t xml:space="preserve"> </w:t>
      </w:r>
      <w:r w:rsidRPr="002029AF">
        <w:t>Family</w:t>
      </w:r>
      <w:r w:rsidR="000A5329" w:rsidRPr="002029AF">
        <w:t xml:space="preserve"> </w:t>
      </w:r>
      <w:r w:rsidRPr="002029AF">
        <w:t>Safety</w:t>
      </w:r>
      <w:r w:rsidR="000A5329" w:rsidRPr="002029AF">
        <w:t xml:space="preserve"> </w:t>
      </w:r>
      <w:r w:rsidRPr="002029AF">
        <w:t>Victoria</w:t>
      </w:r>
      <w:r w:rsidR="000A5329" w:rsidRPr="002029AF">
        <w:t xml:space="preserve"> </w:t>
      </w:r>
      <w:r w:rsidRPr="002029AF">
        <w:t>hubs</w:t>
      </w:r>
      <w:r w:rsidR="000A5329" w:rsidRPr="002029AF">
        <w:t xml:space="preserve"> </w:t>
      </w:r>
      <w:r w:rsidRPr="002029AF">
        <w:t>(eight</w:t>
      </w:r>
      <w:r w:rsidR="000A5329" w:rsidRPr="002029AF">
        <w:t xml:space="preserve"> </w:t>
      </w:r>
      <w:r w:rsidRPr="002029AF">
        <w:t>buildings).</w:t>
      </w:r>
    </w:p>
    <w:p w14:paraId="456575E0" w14:textId="23D70EF3" w:rsidR="00CF72D5" w:rsidRPr="002029AF" w:rsidRDefault="00CF72D5" w:rsidP="00897193">
      <w:pPr>
        <w:pStyle w:val="ARtablefootnote"/>
      </w:pPr>
      <w:r w:rsidRPr="002029AF">
        <w:t>FTE</w:t>
      </w:r>
      <w:r w:rsidR="000A5329" w:rsidRPr="002029AF">
        <w:t xml:space="preserve"> </w:t>
      </w:r>
      <w:r w:rsidRPr="002029AF">
        <w:t>(full-time</w:t>
      </w:r>
      <w:r w:rsidR="000A5329" w:rsidRPr="002029AF">
        <w:t xml:space="preserve"> </w:t>
      </w:r>
      <w:r w:rsidRPr="002029AF">
        <w:t>equivalent</w:t>
      </w:r>
      <w:r w:rsidR="000A5329" w:rsidRPr="002029AF">
        <w:t xml:space="preserve"> </w:t>
      </w:r>
      <w:r w:rsidRPr="002029AF">
        <w:t>staff</w:t>
      </w:r>
      <w:r w:rsidR="000A5329" w:rsidRPr="002029AF">
        <w:t xml:space="preserve"> </w:t>
      </w:r>
      <w:r w:rsidRPr="002029AF">
        <w:t>member</w:t>
      </w:r>
      <w:r w:rsidR="000A5329" w:rsidRPr="002029AF">
        <w:t xml:space="preserve"> </w:t>
      </w:r>
      <w:r w:rsidRPr="002029AF">
        <w:t>as</w:t>
      </w:r>
      <w:r w:rsidR="000A5329" w:rsidRPr="002029AF">
        <w:t xml:space="preserve"> </w:t>
      </w:r>
      <w:r w:rsidRPr="002029AF">
        <w:t>of</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p>
    <w:p w14:paraId="503BF062" w14:textId="77777777" w:rsidR="009D6AEA" w:rsidRPr="009D6AEA" w:rsidRDefault="009D6AEA" w:rsidP="009D6AEA">
      <w:pPr>
        <w:pStyle w:val="ARbody"/>
      </w:pPr>
      <w:bookmarkStart w:id="185" w:name="_Toc51786524"/>
      <w:r w:rsidRPr="009D6AEA">
        <w:rPr>
          <w:rFonts w:hint="eastAsia"/>
        </w:rPr>
        <w:br w:type="page"/>
      </w:r>
    </w:p>
    <w:p w14:paraId="6067E59E" w14:textId="5E3C7406" w:rsidR="00CF72D5" w:rsidRPr="002029AF" w:rsidRDefault="00CF72D5" w:rsidP="00961519">
      <w:pPr>
        <w:pStyle w:val="Heading4"/>
        <w:spacing w:before="400" w:after="200"/>
        <w:rPr>
          <w:rFonts w:ascii="Arial Bold" w:hAnsi="Arial Bold" w:hint="eastAsia"/>
          <w:color w:val="87189D"/>
        </w:rPr>
      </w:pPr>
      <w:r w:rsidRPr="002029AF">
        <w:rPr>
          <w:rFonts w:ascii="Arial Bold" w:hAnsi="Arial Bold"/>
          <w:color w:val="87189D"/>
        </w:rPr>
        <w:lastRenderedPageBreak/>
        <w:t>Energy</w:t>
      </w:r>
      <w:r w:rsidR="000A5329" w:rsidRPr="002029AF">
        <w:rPr>
          <w:rFonts w:ascii="Arial Bold" w:hAnsi="Arial Bold"/>
          <w:color w:val="87189D"/>
        </w:rPr>
        <w:t xml:space="preserve"> </w:t>
      </w:r>
      <w:r w:rsidRPr="002029AF">
        <w:rPr>
          <w:rFonts w:ascii="Arial Bold" w:hAnsi="Arial Bold"/>
          <w:color w:val="87189D"/>
        </w:rPr>
        <w:t>use</w:t>
      </w:r>
      <w:bookmarkEnd w:id="185"/>
    </w:p>
    <w:p w14:paraId="0CE0D709" w14:textId="1D95294E" w:rsidR="00CF72D5" w:rsidRPr="002029AF" w:rsidRDefault="00CF72D5" w:rsidP="00961519">
      <w:pPr>
        <w:pStyle w:val="Heading5"/>
        <w:spacing w:before="0" w:after="200"/>
        <w:rPr>
          <w:rFonts w:ascii="Arial Bold" w:hAnsi="Arial Bold"/>
          <w:color w:val="4B4B4B"/>
        </w:rPr>
      </w:pPr>
      <w:r w:rsidRPr="002029AF">
        <w:rPr>
          <w:rFonts w:ascii="Arial Bold" w:hAnsi="Arial Bold"/>
          <w:color w:val="4B4B4B"/>
        </w:rPr>
        <w:t>Office</w:t>
      </w:r>
      <w:r w:rsidR="000A5329" w:rsidRPr="002029AF">
        <w:rPr>
          <w:rFonts w:ascii="Arial Bold" w:hAnsi="Arial Bold"/>
          <w:color w:val="4B4B4B"/>
        </w:rPr>
        <w:t xml:space="preserve"> </w:t>
      </w:r>
      <w:r w:rsidRPr="002029AF">
        <w:rPr>
          <w:rFonts w:ascii="Arial Bold" w:hAnsi="Arial Bold"/>
          <w:color w:val="4B4B4B"/>
        </w:rPr>
        <w:t>based</w:t>
      </w:r>
    </w:p>
    <w:tbl>
      <w:tblPr>
        <w:tblW w:w="9644" w:type="dxa"/>
        <w:tblBorders>
          <w:left w:val="single" w:sz="4" w:space="0" w:color="FFFFFF" w:themeColor="background1"/>
          <w:right w:val="single" w:sz="4" w:space="0" w:color="FFFFFF" w:themeColor="background1"/>
          <w:insideH w:val="single" w:sz="4" w:space="0" w:color="000000" w:themeColor="text1"/>
          <w:insideV w:val="single" w:sz="4" w:space="0" w:color="FFFFFF" w:themeColor="background1"/>
        </w:tblBorders>
        <w:tblLayout w:type="fixed"/>
        <w:tblCellMar>
          <w:left w:w="0" w:type="dxa"/>
        </w:tblCellMar>
        <w:tblLook w:val="00A0" w:firstRow="1" w:lastRow="0" w:firstColumn="1" w:lastColumn="0" w:noHBand="0" w:noVBand="0"/>
      </w:tblPr>
      <w:tblGrid>
        <w:gridCol w:w="2274"/>
        <w:gridCol w:w="1418"/>
        <w:gridCol w:w="1038"/>
        <w:gridCol w:w="1513"/>
        <w:gridCol w:w="944"/>
        <w:gridCol w:w="1466"/>
        <w:gridCol w:w="991"/>
      </w:tblGrid>
      <w:tr w:rsidR="00CF72D5" w:rsidRPr="002029AF" w14:paraId="302C09C5" w14:textId="77777777" w:rsidTr="00897193">
        <w:trPr>
          <w:cantSplit/>
          <w:trHeight w:val="270"/>
          <w:tblHeader/>
        </w:trPr>
        <w:tc>
          <w:tcPr>
            <w:tcW w:w="2274" w:type="dxa"/>
            <w:vAlign w:val="bottom"/>
          </w:tcPr>
          <w:p w14:paraId="28A638AE" w14:textId="77777777" w:rsidR="00CF72D5" w:rsidRPr="002029AF" w:rsidRDefault="00CF72D5" w:rsidP="00897193">
            <w:pPr>
              <w:pStyle w:val="ARtablecolhead"/>
            </w:pPr>
            <w:r w:rsidRPr="002029AF">
              <w:t>Description</w:t>
            </w:r>
          </w:p>
        </w:tc>
        <w:tc>
          <w:tcPr>
            <w:tcW w:w="1418" w:type="dxa"/>
            <w:vAlign w:val="center"/>
          </w:tcPr>
          <w:p w14:paraId="0BD93ED6" w14:textId="029D7F6B" w:rsidR="00CF72D5" w:rsidRPr="002029AF" w:rsidRDefault="00CF72D5" w:rsidP="00897193">
            <w:pPr>
              <w:pStyle w:val="ARtablecolheadright"/>
            </w:pPr>
            <w:r w:rsidRPr="002029AF">
              <w:t>2019–20</w:t>
            </w:r>
            <w:r w:rsidR="000A5329" w:rsidRPr="002029AF">
              <w:t xml:space="preserve"> </w:t>
            </w:r>
            <w:r w:rsidRPr="002029AF">
              <w:br/>
              <w:t>estimate</w:t>
            </w:r>
          </w:p>
        </w:tc>
        <w:tc>
          <w:tcPr>
            <w:tcW w:w="1038" w:type="dxa"/>
            <w:vAlign w:val="center"/>
          </w:tcPr>
          <w:p w14:paraId="284C4021" w14:textId="4EC420A9" w:rsidR="00CF72D5" w:rsidRPr="002029AF" w:rsidRDefault="00CF72D5" w:rsidP="00897193">
            <w:pPr>
              <w:pStyle w:val="ARtablecolheadright"/>
            </w:pPr>
            <w:r w:rsidRPr="002029AF">
              <w:t>2019–20</w:t>
            </w:r>
            <w:r w:rsidR="000A5329" w:rsidRPr="002029AF">
              <w:t xml:space="preserve"> </w:t>
            </w:r>
            <w:r w:rsidRPr="002029AF">
              <w:br/>
              <w:t>estimate</w:t>
            </w:r>
          </w:p>
        </w:tc>
        <w:tc>
          <w:tcPr>
            <w:tcW w:w="1513" w:type="dxa"/>
            <w:vAlign w:val="center"/>
          </w:tcPr>
          <w:p w14:paraId="10450829" w14:textId="263988BB" w:rsidR="00CF72D5" w:rsidRPr="002029AF" w:rsidRDefault="00CF72D5" w:rsidP="00897193">
            <w:pPr>
              <w:pStyle w:val="ARtablecolheadright"/>
            </w:pPr>
            <w:r w:rsidRPr="002029AF">
              <w:t>2018–19</w:t>
            </w:r>
            <w:r w:rsidR="000A5329" w:rsidRPr="002029AF">
              <w:t xml:space="preserve"> </w:t>
            </w:r>
            <w:r w:rsidRPr="002029AF">
              <w:br/>
              <w:t>estimate</w:t>
            </w:r>
          </w:p>
        </w:tc>
        <w:tc>
          <w:tcPr>
            <w:tcW w:w="944" w:type="dxa"/>
            <w:vAlign w:val="center"/>
          </w:tcPr>
          <w:p w14:paraId="4356BC06" w14:textId="7A1C7D5D" w:rsidR="00CF72D5" w:rsidRPr="002029AF" w:rsidRDefault="00CF72D5" w:rsidP="00897193">
            <w:pPr>
              <w:pStyle w:val="ARtablecolheadright"/>
            </w:pPr>
            <w:r w:rsidRPr="002029AF">
              <w:t>2018–19</w:t>
            </w:r>
            <w:r w:rsidR="000A5329" w:rsidRPr="002029AF">
              <w:t xml:space="preserve"> </w:t>
            </w:r>
            <w:r w:rsidRPr="002029AF">
              <w:br/>
              <w:t>estimate</w:t>
            </w:r>
          </w:p>
        </w:tc>
        <w:tc>
          <w:tcPr>
            <w:tcW w:w="1466" w:type="dxa"/>
            <w:vAlign w:val="center"/>
          </w:tcPr>
          <w:p w14:paraId="717815AF" w14:textId="1E0E7FD1" w:rsidR="00CF72D5" w:rsidRPr="002029AF" w:rsidRDefault="00CF72D5" w:rsidP="00897193">
            <w:pPr>
              <w:pStyle w:val="ARtablecolheadright"/>
            </w:pPr>
            <w:r w:rsidRPr="002029AF">
              <w:t>2017–18</w:t>
            </w:r>
            <w:r w:rsidR="000A5329" w:rsidRPr="002029AF">
              <w:t xml:space="preserve"> </w:t>
            </w:r>
            <w:r w:rsidRPr="002029AF">
              <w:br/>
              <w:t>estimate</w:t>
            </w:r>
          </w:p>
        </w:tc>
        <w:tc>
          <w:tcPr>
            <w:tcW w:w="991" w:type="dxa"/>
            <w:vAlign w:val="center"/>
          </w:tcPr>
          <w:p w14:paraId="26E4BCCF" w14:textId="12869760" w:rsidR="00CF72D5" w:rsidRPr="002029AF" w:rsidRDefault="00CF72D5" w:rsidP="00897193">
            <w:pPr>
              <w:pStyle w:val="ARtablecolheadright"/>
            </w:pPr>
            <w:r w:rsidRPr="002029AF">
              <w:t>2017–18</w:t>
            </w:r>
            <w:r w:rsidR="000A5329" w:rsidRPr="002029AF">
              <w:t xml:space="preserve"> </w:t>
            </w:r>
            <w:r w:rsidRPr="002029AF">
              <w:br/>
              <w:t>estimate</w:t>
            </w:r>
          </w:p>
        </w:tc>
      </w:tr>
      <w:tr w:rsidR="00CF72D5" w:rsidRPr="002029AF" w14:paraId="08B635B3" w14:textId="77777777" w:rsidTr="00897193">
        <w:trPr>
          <w:cantSplit/>
          <w:trHeight w:val="270"/>
          <w:tblHeader/>
        </w:trPr>
        <w:tc>
          <w:tcPr>
            <w:tcW w:w="2274" w:type="dxa"/>
            <w:vAlign w:val="bottom"/>
          </w:tcPr>
          <w:p w14:paraId="247FA9BA" w14:textId="52105E1C" w:rsidR="00CF72D5" w:rsidRPr="002029AF" w:rsidRDefault="00CF72D5" w:rsidP="00897193">
            <w:pPr>
              <w:pStyle w:val="ARtablecolhead"/>
            </w:pPr>
            <w:r w:rsidRPr="002029AF">
              <w:t>Total</w:t>
            </w:r>
            <w:r w:rsidR="000A5329" w:rsidRPr="002029AF">
              <w:t xml:space="preserve"> </w:t>
            </w:r>
            <w:r w:rsidRPr="002029AF">
              <w:t>energy</w:t>
            </w:r>
            <w:r w:rsidR="000A5329" w:rsidRPr="002029AF">
              <w:t xml:space="preserve"> </w:t>
            </w:r>
            <w:r w:rsidRPr="002029AF">
              <w:t>usage</w:t>
            </w:r>
            <w:r w:rsidR="000A5329" w:rsidRPr="002029AF">
              <w:t xml:space="preserve"> </w:t>
            </w:r>
            <w:r w:rsidRPr="002029AF">
              <w:t>segmented</w:t>
            </w:r>
            <w:r w:rsidR="000A5329" w:rsidRPr="002029AF">
              <w:t xml:space="preserve"> </w:t>
            </w:r>
            <w:r w:rsidRPr="002029AF">
              <w:t>by</w:t>
            </w:r>
            <w:r w:rsidR="000A5329" w:rsidRPr="002029AF">
              <w:t xml:space="preserve"> </w:t>
            </w:r>
            <w:r w:rsidRPr="002029AF">
              <w:t>primary</w:t>
            </w:r>
            <w:r w:rsidR="000A5329" w:rsidRPr="002029AF">
              <w:t xml:space="preserve"> </w:t>
            </w:r>
            <w:r w:rsidRPr="002029AF">
              <w:t>source</w:t>
            </w:r>
          </w:p>
        </w:tc>
        <w:tc>
          <w:tcPr>
            <w:tcW w:w="1418" w:type="dxa"/>
            <w:vAlign w:val="bottom"/>
          </w:tcPr>
          <w:p w14:paraId="509F1245" w14:textId="77777777" w:rsidR="00CF72D5" w:rsidRPr="002029AF" w:rsidRDefault="00CF72D5" w:rsidP="00897193">
            <w:pPr>
              <w:pStyle w:val="ARtablecolheadright"/>
            </w:pPr>
            <w:r w:rsidRPr="002029AF">
              <w:t>Megajoules</w:t>
            </w:r>
          </w:p>
        </w:tc>
        <w:tc>
          <w:tcPr>
            <w:tcW w:w="1038" w:type="dxa"/>
            <w:vAlign w:val="bottom"/>
          </w:tcPr>
          <w:p w14:paraId="018CC8C5" w14:textId="77777777" w:rsidR="00CF72D5" w:rsidRPr="002029AF" w:rsidRDefault="00CF72D5" w:rsidP="00897193">
            <w:pPr>
              <w:pStyle w:val="ARtablecolheadright"/>
            </w:pPr>
            <w:r w:rsidRPr="002029AF">
              <w:t>Cost</w:t>
            </w:r>
            <w:r w:rsidRPr="002029AF">
              <w:br/>
              <w:t>($M)</w:t>
            </w:r>
          </w:p>
        </w:tc>
        <w:tc>
          <w:tcPr>
            <w:tcW w:w="1513" w:type="dxa"/>
            <w:vAlign w:val="bottom"/>
          </w:tcPr>
          <w:p w14:paraId="10FEF008" w14:textId="77777777" w:rsidR="00CF72D5" w:rsidRPr="002029AF" w:rsidRDefault="00CF72D5" w:rsidP="00897193">
            <w:pPr>
              <w:pStyle w:val="ARtablecolheadright"/>
            </w:pPr>
            <w:r w:rsidRPr="002029AF">
              <w:t>Megajoules</w:t>
            </w:r>
          </w:p>
        </w:tc>
        <w:tc>
          <w:tcPr>
            <w:tcW w:w="944" w:type="dxa"/>
            <w:vAlign w:val="bottom"/>
          </w:tcPr>
          <w:p w14:paraId="1F4B1ACE" w14:textId="77777777" w:rsidR="00CF72D5" w:rsidRPr="002029AF" w:rsidRDefault="00CF72D5" w:rsidP="00897193">
            <w:pPr>
              <w:pStyle w:val="ARtablecolheadright"/>
            </w:pPr>
            <w:r w:rsidRPr="002029AF">
              <w:t>Cost</w:t>
            </w:r>
            <w:r w:rsidRPr="002029AF">
              <w:br/>
              <w:t>($M)</w:t>
            </w:r>
          </w:p>
        </w:tc>
        <w:tc>
          <w:tcPr>
            <w:tcW w:w="1466" w:type="dxa"/>
            <w:vAlign w:val="bottom"/>
          </w:tcPr>
          <w:p w14:paraId="1F502326" w14:textId="77777777" w:rsidR="00CF72D5" w:rsidRPr="002029AF" w:rsidRDefault="00CF72D5" w:rsidP="00897193">
            <w:pPr>
              <w:pStyle w:val="ARtablecolheadright"/>
            </w:pPr>
            <w:r w:rsidRPr="002029AF">
              <w:t>Megajoules</w:t>
            </w:r>
          </w:p>
        </w:tc>
        <w:tc>
          <w:tcPr>
            <w:tcW w:w="991" w:type="dxa"/>
            <w:vAlign w:val="bottom"/>
          </w:tcPr>
          <w:p w14:paraId="60611D84" w14:textId="77777777" w:rsidR="00CF72D5" w:rsidRPr="002029AF" w:rsidRDefault="00CF72D5" w:rsidP="00897193">
            <w:pPr>
              <w:pStyle w:val="ARtablecolheadright"/>
            </w:pPr>
            <w:r w:rsidRPr="002029AF">
              <w:t>Cost</w:t>
            </w:r>
            <w:r w:rsidRPr="002029AF">
              <w:br/>
              <w:t>($M)</w:t>
            </w:r>
          </w:p>
        </w:tc>
      </w:tr>
      <w:tr w:rsidR="00CF72D5" w:rsidRPr="002029AF" w14:paraId="53F07815" w14:textId="77777777" w:rsidTr="00897193">
        <w:trPr>
          <w:cantSplit/>
          <w:trHeight w:val="270"/>
        </w:trPr>
        <w:tc>
          <w:tcPr>
            <w:tcW w:w="2274" w:type="dxa"/>
          </w:tcPr>
          <w:p w14:paraId="5136BCA3" w14:textId="77777777" w:rsidR="00CF72D5" w:rsidRPr="002029AF" w:rsidRDefault="00CF72D5" w:rsidP="00897193">
            <w:pPr>
              <w:pStyle w:val="ARtabletext"/>
            </w:pPr>
            <w:r w:rsidRPr="002029AF">
              <w:t>Electricity</w:t>
            </w:r>
          </w:p>
        </w:tc>
        <w:tc>
          <w:tcPr>
            <w:tcW w:w="1418" w:type="dxa"/>
            <w:vAlign w:val="center"/>
          </w:tcPr>
          <w:p w14:paraId="3BEFA44A" w14:textId="3DFA1235" w:rsidR="00CF72D5" w:rsidRPr="002029AF" w:rsidRDefault="00CF72D5" w:rsidP="00897193">
            <w:pPr>
              <w:pStyle w:val="ARtabletextright"/>
            </w:pPr>
            <w:r w:rsidRPr="002029AF">
              <w:t>50,107,150</w:t>
            </w:r>
          </w:p>
        </w:tc>
        <w:tc>
          <w:tcPr>
            <w:tcW w:w="1038" w:type="dxa"/>
            <w:vAlign w:val="center"/>
          </w:tcPr>
          <w:p w14:paraId="737E7403" w14:textId="77777777" w:rsidR="00CF72D5" w:rsidRPr="002029AF" w:rsidRDefault="00CF72D5" w:rsidP="00897193">
            <w:pPr>
              <w:pStyle w:val="ARtabletextright"/>
            </w:pPr>
            <w:r w:rsidRPr="002029AF">
              <w:t>$3.14</w:t>
            </w:r>
          </w:p>
        </w:tc>
        <w:tc>
          <w:tcPr>
            <w:tcW w:w="1513" w:type="dxa"/>
            <w:vAlign w:val="center"/>
          </w:tcPr>
          <w:p w14:paraId="55357BB8" w14:textId="0991021D" w:rsidR="00CF72D5" w:rsidRPr="002029AF" w:rsidRDefault="00CF72D5" w:rsidP="00897193">
            <w:pPr>
              <w:pStyle w:val="ARtabletextright"/>
            </w:pPr>
            <w:r w:rsidRPr="002029AF">
              <w:t>54,186,574</w:t>
            </w:r>
          </w:p>
        </w:tc>
        <w:tc>
          <w:tcPr>
            <w:tcW w:w="944" w:type="dxa"/>
            <w:vAlign w:val="center"/>
          </w:tcPr>
          <w:p w14:paraId="7FD81995" w14:textId="77777777" w:rsidR="00CF72D5" w:rsidRPr="002029AF" w:rsidRDefault="00CF72D5" w:rsidP="00897193">
            <w:pPr>
              <w:pStyle w:val="ARtabletextright"/>
            </w:pPr>
            <w:r w:rsidRPr="002029AF">
              <w:t>$3.47</w:t>
            </w:r>
          </w:p>
        </w:tc>
        <w:tc>
          <w:tcPr>
            <w:tcW w:w="1466" w:type="dxa"/>
            <w:vAlign w:val="center"/>
          </w:tcPr>
          <w:p w14:paraId="205A5DDF" w14:textId="7A563BEE" w:rsidR="00CF72D5" w:rsidRPr="002029AF" w:rsidRDefault="00CF72D5" w:rsidP="00897193">
            <w:pPr>
              <w:pStyle w:val="ARtabletextright"/>
            </w:pPr>
            <w:r w:rsidRPr="002029AF">
              <w:t>60,756,822</w:t>
            </w:r>
          </w:p>
        </w:tc>
        <w:tc>
          <w:tcPr>
            <w:tcW w:w="991" w:type="dxa"/>
            <w:vAlign w:val="center"/>
          </w:tcPr>
          <w:p w14:paraId="45CFE77D" w14:textId="77777777" w:rsidR="00CF72D5" w:rsidRPr="002029AF" w:rsidRDefault="00CF72D5" w:rsidP="00897193">
            <w:pPr>
              <w:pStyle w:val="ARtabletextright"/>
            </w:pPr>
            <w:r w:rsidRPr="002029AF">
              <w:t>$3.25</w:t>
            </w:r>
          </w:p>
        </w:tc>
      </w:tr>
      <w:tr w:rsidR="00CF72D5" w:rsidRPr="002029AF" w14:paraId="1B3394CA" w14:textId="77777777" w:rsidTr="00897193">
        <w:trPr>
          <w:cantSplit/>
          <w:trHeight w:val="270"/>
        </w:trPr>
        <w:tc>
          <w:tcPr>
            <w:tcW w:w="2274" w:type="dxa"/>
          </w:tcPr>
          <w:p w14:paraId="4B3B9705" w14:textId="205D16B6" w:rsidR="00CF72D5" w:rsidRPr="002029AF" w:rsidRDefault="00CF72D5" w:rsidP="00897193">
            <w:pPr>
              <w:pStyle w:val="ARtabletext"/>
            </w:pPr>
            <w:r w:rsidRPr="002029AF">
              <w:t>Green</w:t>
            </w:r>
            <w:r w:rsidR="000A5329" w:rsidRPr="002029AF">
              <w:t xml:space="preserve"> </w:t>
            </w:r>
            <w:r w:rsidRPr="002029AF">
              <w:t>power</w:t>
            </w:r>
          </w:p>
        </w:tc>
        <w:tc>
          <w:tcPr>
            <w:tcW w:w="1418" w:type="dxa"/>
            <w:vAlign w:val="center"/>
          </w:tcPr>
          <w:p w14:paraId="481D690B" w14:textId="77777777" w:rsidR="00CF72D5" w:rsidRPr="002029AF" w:rsidRDefault="00CF72D5" w:rsidP="00897193">
            <w:pPr>
              <w:pStyle w:val="ARtabletextright"/>
            </w:pPr>
            <w:r w:rsidRPr="002029AF">
              <w:t>0</w:t>
            </w:r>
          </w:p>
        </w:tc>
        <w:tc>
          <w:tcPr>
            <w:tcW w:w="1038" w:type="dxa"/>
            <w:vAlign w:val="center"/>
          </w:tcPr>
          <w:p w14:paraId="2B5396C0" w14:textId="77777777" w:rsidR="00CF72D5" w:rsidRPr="002029AF" w:rsidRDefault="00CF72D5" w:rsidP="00897193">
            <w:pPr>
              <w:pStyle w:val="ARtabletextright"/>
            </w:pPr>
            <w:r w:rsidRPr="002029AF">
              <w:t>$0.00</w:t>
            </w:r>
          </w:p>
        </w:tc>
        <w:tc>
          <w:tcPr>
            <w:tcW w:w="1513" w:type="dxa"/>
            <w:vAlign w:val="center"/>
          </w:tcPr>
          <w:p w14:paraId="40CB0FBA" w14:textId="77777777" w:rsidR="00CF72D5" w:rsidRPr="002029AF" w:rsidRDefault="00CF72D5" w:rsidP="00897193">
            <w:pPr>
              <w:pStyle w:val="ARtabletextright"/>
            </w:pPr>
            <w:r w:rsidRPr="002029AF">
              <w:t>0</w:t>
            </w:r>
          </w:p>
        </w:tc>
        <w:tc>
          <w:tcPr>
            <w:tcW w:w="944" w:type="dxa"/>
            <w:vAlign w:val="center"/>
          </w:tcPr>
          <w:p w14:paraId="49273374" w14:textId="77777777" w:rsidR="00CF72D5" w:rsidRPr="002029AF" w:rsidRDefault="00CF72D5" w:rsidP="00897193">
            <w:pPr>
              <w:pStyle w:val="ARtabletextright"/>
            </w:pPr>
            <w:r w:rsidRPr="002029AF">
              <w:t>$0.00</w:t>
            </w:r>
          </w:p>
        </w:tc>
        <w:tc>
          <w:tcPr>
            <w:tcW w:w="1466" w:type="dxa"/>
            <w:vAlign w:val="center"/>
          </w:tcPr>
          <w:p w14:paraId="7FEDBDA8" w14:textId="77777777" w:rsidR="00CF72D5" w:rsidRPr="002029AF" w:rsidRDefault="00CF72D5" w:rsidP="00897193">
            <w:pPr>
              <w:pStyle w:val="ARtabletextright"/>
            </w:pPr>
            <w:r w:rsidRPr="002029AF">
              <w:t>0</w:t>
            </w:r>
          </w:p>
        </w:tc>
        <w:tc>
          <w:tcPr>
            <w:tcW w:w="991" w:type="dxa"/>
            <w:vAlign w:val="center"/>
          </w:tcPr>
          <w:p w14:paraId="5E91D209" w14:textId="77777777" w:rsidR="00CF72D5" w:rsidRPr="002029AF" w:rsidRDefault="00CF72D5" w:rsidP="00897193">
            <w:pPr>
              <w:pStyle w:val="ARtabletextright"/>
            </w:pPr>
            <w:r w:rsidRPr="002029AF">
              <w:t>$0.00</w:t>
            </w:r>
          </w:p>
        </w:tc>
      </w:tr>
      <w:tr w:rsidR="00CF72D5" w:rsidRPr="002029AF" w14:paraId="7063BB25" w14:textId="77777777" w:rsidTr="00897193">
        <w:trPr>
          <w:cantSplit/>
          <w:trHeight w:val="270"/>
        </w:trPr>
        <w:tc>
          <w:tcPr>
            <w:tcW w:w="2274" w:type="dxa"/>
            <w:tcBorders>
              <w:bottom w:val="single" w:sz="4" w:space="0" w:color="000000" w:themeColor="text1"/>
            </w:tcBorders>
          </w:tcPr>
          <w:p w14:paraId="24DFC3FB" w14:textId="73FED35F" w:rsidR="00CF72D5" w:rsidRPr="002029AF" w:rsidRDefault="00CF72D5" w:rsidP="00897193">
            <w:pPr>
              <w:pStyle w:val="ARtabletext"/>
            </w:pPr>
            <w:r w:rsidRPr="002029AF">
              <w:t>Natural</w:t>
            </w:r>
            <w:r w:rsidR="000A5329" w:rsidRPr="002029AF">
              <w:t xml:space="preserve"> </w:t>
            </w:r>
            <w:r w:rsidRPr="002029AF">
              <w:t>gas</w:t>
            </w:r>
          </w:p>
        </w:tc>
        <w:tc>
          <w:tcPr>
            <w:tcW w:w="1418" w:type="dxa"/>
            <w:tcBorders>
              <w:bottom w:val="single" w:sz="4" w:space="0" w:color="000000" w:themeColor="text1"/>
            </w:tcBorders>
            <w:vAlign w:val="center"/>
          </w:tcPr>
          <w:p w14:paraId="376E294F" w14:textId="4767C8B5" w:rsidR="00CF72D5" w:rsidRPr="002029AF" w:rsidRDefault="00CF72D5" w:rsidP="00897193">
            <w:pPr>
              <w:pStyle w:val="ARtabletextright"/>
            </w:pPr>
            <w:r w:rsidRPr="002029AF">
              <w:t>17,407,775</w:t>
            </w:r>
          </w:p>
        </w:tc>
        <w:tc>
          <w:tcPr>
            <w:tcW w:w="1038" w:type="dxa"/>
            <w:tcBorders>
              <w:bottom w:val="single" w:sz="4" w:space="0" w:color="000000" w:themeColor="text1"/>
            </w:tcBorders>
            <w:vAlign w:val="center"/>
          </w:tcPr>
          <w:p w14:paraId="18338D39" w14:textId="77777777" w:rsidR="00CF72D5" w:rsidRPr="002029AF" w:rsidRDefault="00CF72D5" w:rsidP="00897193">
            <w:pPr>
              <w:pStyle w:val="ARtabletextright"/>
            </w:pPr>
            <w:r w:rsidRPr="002029AF">
              <w:t>$0.25</w:t>
            </w:r>
          </w:p>
        </w:tc>
        <w:tc>
          <w:tcPr>
            <w:tcW w:w="1513" w:type="dxa"/>
            <w:tcBorders>
              <w:bottom w:val="single" w:sz="4" w:space="0" w:color="000000" w:themeColor="text1"/>
            </w:tcBorders>
            <w:vAlign w:val="center"/>
          </w:tcPr>
          <w:p w14:paraId="0CBD8F2A" w14:textId="284F0A0F" w:rsidR="00CF72D5" w:rsidRPr="002029AF" w:rsidRDefault="00CF72D5" w:rsidP="00897193">
            <w:pPr>
              <w:pStyle w:val="ARtabletextright"/>
            </w:pPr>
            <w:r w:rsidRPr="002029AF">
              <w:t>19,763,764</w:t>
            </w:r>
          </w:p>
        </w:tc>
        <w:tc>
          <w:tcPr>
            <w:tcW w:w="944" w:type="dxa"/>
            <w:tcBorders>
              <w:bottom w:val="single" w:sz="4" w:space="0" w:color="000000" w:themeColor="text1"/>
            </w:tcBorders>
            <w:vAlign w:val="center"/>
          </w:tcPr>
          <w:p w14:paraId="5F29EE5C" w14:textId="77777777" w:rsidR="00CF72D5" w:rsidRPr="002029AF" w:rsidRDefault="00CF72D5" w:rsidP="00897193">
            <w:pPr>
              <w:pStyle w:val="ARtabletextright"/>
            </w:pPr>
            <w:r w:rsidRPr="002029AF">
              <w:t>$0.30</w:t>
            </w:r>
          </w:p>
        </w:tc>
        <w:tc>
          <w:tcPr>
            <w:tcW w:w="1466" w:type="dxa"/>
            <w:tcBorders>
              <w:bottom w:val="single" w:sz="4" w:space="0" w:color="000000" w:themeColor="text1"/>
            </w:tcBorders>
            <w:vAlign w:val="center"/>
          </w:tcPr>
          <w:p w14:paraId="66AA30C9" w14:textId="5F3634E6" w:rsidR="00CF72D5" w:rsidRPr="002029AF" w:rsidRDefault="00CF72D5" w:rsidP="00897193">
            <w:pPr>
              <w:pStyle w:val="ARtabletextright"/>
            </w:pPr>
            <w:r w:rsidRPr="002029AF">
              <w:t>16,937,819</w:t>
            </w:r>
          </w:p>
        </w:tc>
        <w:tc>
          <w:tcPr>
            <w:tcW w:w="991" w:type="dxa"/>
            <w:tcBorders>
              <w:bottom w:val="single" w:sz="4" w:space="0" w:color="000000" w:themeColor="text1"/>
            </w:tcBorders>
            <w:vAlign w:val="center"/>
          </w:tcPr>
          <w:p w14:paraId="2A1E8868" w14:textId="77777777" w:rsidR="00CF72D5" w:rsidRPr="002029AF" w:rsidRDefault="00CF72D5" w:rsidP="00897193">
            <w:pPr>
              <w:pStyle w:val="ARtabletextright"/>
            </w:pPr>
            <w:r w:rsidRPr="002029AF">
              <w:t>$0.23</w:t>
            </w:r>
          </w:p>
        </w:tc>
      </w:tr>
      <w:tr w:rsidR="00CF72D5" w:rsidRPr="002029AF" w14:paraId="5E4EEC8E" w14:textId="77777777" w:rsidTr="00897193">
        <w:trPr>
          <w:cantSplit/>
          <w:trHeight w:val="270"/>
        </w:trPr>
        <w:tc>
          <w:tcPr>
            <w:tcW w:w="2274" w:type="dxa"/>
            <w:tcBorders>
              <w:top w:val="single" w:sz="4" w:space="0" w:color="000000" w:themeColor="text1"/>
              <w:bottom w:val="single" w:sz="4" w:space="0" w:color="auto"/>
            </w:tcBorders>
          </w:tcPr>
          <w:p w14:paraId="3D0F7194" w14:textId="77777777" w:rsidR="00CF72D5" w:rsidRPr="002029AF" w:rsidRDefault="00CF72D5" w:rsidP="00897193">
            <w:pPr>
              <w:pStyle w:val="ARtabletext"/>
              <w:rPr>
                <w:b/>
              </w:rPr>
            </w:pPr>
            <w:r w:rsidRPr="002029AF">
              <w:rPr>
                <w:b/>
              </w:rPr>
              <w:t>Total</w:t>
            </w:r>
          </w:p>
        </w:tc>
        <w:tc>
          <w:tcPr>
            <w:tcW w:w="1418" w:type="dxa"/>
            <w:tcBorders>
              <w:top w:val="single" w:sz="4" w:space="0" w:color="000000" w:themeColor="text1"/>
              <w:bottom w:val="single" w:sz="4" w:space="0" w:color="auto"/>
            </w:tcBorders>
            <w:vAlign w:val="center"/>
          </w:tcPr>
          <w:p w14:paraId="14850D6A" w14:textId="77777777" w:rsidR="00CF72D5" w:rsidRPr="002029AF" w:rsidRDefault="00CF72D5" w:rsidP="00897193">
            <w:pPr>
              <w:pStyle w:val="ARtabletextrightbold"/>
            </w:pPr>
            <w:r w:rsidRPr="002029AF">
              <w:t>67,514,925</w:t>
            </w:r>
          </w:p>
        </w:tc>
        <w:tc>
          <w:tcPr>
            <w:tcW w:w="1038" w:type="dxa"/>
            <w:tcBorders>
              <w:top w:val="single" w:sz="4" w:space="0" w:color="000000" w:themeColor="text1"/>
              <w:bottom w:val="single" w:sz="4" w:space="0" w:color="auto"/>
            </w:tcBorders>
            <w:vAlign w:val="center"/>
          </w:tcPr>
          <w:p w14:paraId="4F605C65" w14:textId="77777777" w:rsidR="00CF72D5" w:rsidRPr="002029AF" w:rsidRDefault="00CF72D5" w:rsidP="00897193">
            <w:pPr>
              <w:pStyle w:val="ARtabletextrightbold"/>
            </w:pPr>
            <w:r w:rsidRPr="002029AF">
              <w:t>$3.39</w:t>
            </w:r>
          </w:p>
        </w:tc>
        <w:tc>
          <w:tcPr>
            <w:tcW w:w="1513" w:type="dxa"/>
            <w:tcBorders>
              <w:top w:val="single" w:sz="4" w:space="0" w:color="000000" w:themeColor="text1"/>
              <w:bottom w:val="single" w:sz="4" w:space="0" w:color="auto"/>
            </w:tcBorders>
            <w:vAlign w:val="center"/>
          </w:tcPr>
          <w:p w14:paraId="3EC57412" w14:textId="77777777" w:rsidR="00CF72D5" w:rsidRPr="002029AF" w:rsidRDefault="00CF72D5" w:rsidP="00897193">
            <w:pPr>
              <w:pStyle w:val="ARtabletextrightbold"/>
            </w:pPr>
            <w:r w:rsidRPr="002029AF">
              <w:t>73,950,338</w:t>
            </w:r>
          </w:p>
        </w:tc>
        <w:tc>
          <w:tcPr>
            <w:tcW w:w="944" w:type="dxa"/>
            <w:tcBorders>
              <w:top w:val="single" w:sz="4" w:space="0" w:color="000000" w:themeColor="text1"/>
              <w:bottom w:val="single" w:sz="4" w:space="0" w:color="auto"/>
            </w:tcBorders>
            <w:vAlign w:val="center"/>
          </w:tcPr>
          <w:p w14:paraId="3802A72A" w14:textId="77777777" w:rsidR="00CF72D5" w:rsidRPr="002029AF" w:rsidRDefault="00CF72D5" w:rsidP="00897193">
            <w:pPr>
              <w:pStyle w:val="ARtabletextrightbold"/>
            </w:pPr>
            <w:r w:rsidRPr="002029AF">
              <w:t>$3.77</w:t>
            </w:r>
          </w:p>
        </w:tc>
        <w:tc>
          <w:tcPr>
            <w:tcW w:w="1466" w:type="dxa"/>
            <w:tcBorders>
              <w:top w:val="single" w:sz="4" w:space="0" w:color="000000" w:themeColor="text1"/>
              <w:bottom w:val="single" w:sz="4" w:space="0" w:color="auto"/>
            </w:tcBorders>
            <w:vAlign w:val="center"/>
          </w:tcPr>
          <w:p w14:paraId="58D3BAD1" w14:textId="77777777" w:rsidR="00CF72D5" w:rsidRPr="002029AF" w:rsidRDefault="00CF72D5" w:rsidP="00897193">
            <w:pPr>
              <w:pStyle w:val="ARtabletextrightbold"/>
            </w:pPr>
            <w:r w:rsidRPr="002029AF">
              <w:t>77,694,642</w:t>
            </w:r>
          </w:p>
        </w:tc>
        <w:tc>
          <w:tcPr>
            <w:tcW w:w="991" w:type="dxa"/>
            <w:tcBorders>
              <w:top w:val="single" w:sz="4" w:space="0" w:color="000000" w:themeColor="text1"/>
              <w:bottom w:val="single" w:sz="4" w:space="0" w:color="auto"/>
            </w:tcBorders>
            <w:vAlign w:val="center"/>
          </w:tcPr>
          <w:p w14:paraId="4DB2C57B" w14:textId="77777777" w:rsidR="00CF72D5" w:rsidRPr="002029AF" w:rsidRDefault="00CF72D5" w:rsidP="00897193">
            <w:pPr>
              <w:pStyle w:val="ARtabletextrightbold"/>
            </w:pPr>
            <w:r w:rsidRPr="002029AF">
              <w:t>$3.49</w:t>
            </w:r>
          </w:p>
        </w:tc>
      </w:tr>
    </w:tbl>
    <w:p w14:paraId="3D9843DB" w14:textId="77777777" w:rsidR="00D40FE6" w:rsidRPr="002029AF" w:rsidRDefault="00D40FE6" w:rsidP="00D40FE6">
      <w:pPr>
        <w:pStyle w:val="ARbodynospace"/>
      </w:pPr>
    </w:p>
    <w:tbl>
      <w:tblPr>
        <w:tblW w:w="9644" w:type="dxa"/>
        <w:tblBorders>
          <w:left w:val="single" w:sz="4" w:space="0" w:color="FFFFFF"/>
          <w:bottom w:val="single" w:sz="4" w:space="0" w:color="auto"/>
          <w:right w:val="single" w:sz="4" w:space="0" w:color="FFFFFF"/>
          <w:insideH w:val="single" w:sz="4" w:space="0" w:color="auto"/>
          <w:insideV w:val="single" w:sz="4" w:space="0" w:color="FFFFFF"/>
        </w:tblBorders>
        <w:tblLayout w:type="fixed"/>
        <w:tblCellMar>
          <w:left w:w="0" w:type="dxa"/>
        </w:tblCellMar>
        <w:tblLook w:val="00A0" w:firstRow="1" w:lastRow="0" w:firstColumn="1" w:lastColumn="0" w:noHBand="0" w:noVBand="0"/>
      </w:tblPr>
      <w:tblGrid>
        <w:gridCol w:w="5106"/>
        <w:gridCol w:w="1511"/>
        <w:gridCol w:w="1511"/>
        <w:gridCol w:w="1516"/>
      </w:tblGrid>
      <w:tr w:rsidR="00CF72D5" w:rsidRPr="002029AF" w14:paraId="3804A17F" w14:textId="77777777" w:rsidTr="00897193">
        <w:trPr>
          <w:cantSplit/>
          <w:trHeight w:val="229"/>
          <w:tblHeader/>
        </w:trPr>
        <w:tc>
          <w:tcPr>
            <w:tcW w:w="5106" w:type="dxa"/>
            <w:vAlign w:val="bottom"/>
          </w:tcPr>
          <w:p w14:paraId="6B2C5550" w14:textId="156FFC68" w:rsidR="00CF72D5" w:rsidRPr="002029AF" w:rsidRDefault="00CF72D5" w:rsidP="00D40FE6">
            <w:pPr>
              <w:pStyle w:val="ARtablecolhead"/>
            </w:pPr>
            <w:r w:rsidRPr="002029AF">
              <w:br w:type="page"/>
              <w:t>Description</w:t>
            </w:r>
          </w:p>
        </w:tc>
        <w:tc>
          <w:tcPr>
            <w:tcW w:w="1511" w:type="dxa"/>
            <w:vAlign w:val="center"/>
          </w:tcPr>
          <w:p w14:paraId="1ED1BEB9" w14:textId="1E461275" w:rsidR="00CF72D5" w:rsidRPr="002029AF" w:rsidRDefault="00CF72D5" w:rsidP="00897193">
            <w:pPr>
              <w:pStyle w:val="ARtablecolheadright"/>
            </w:pPr>
            <w:r w:rsidRPr="002029AF">
              <w:rPr>
                <w:color w:val="000000"/>
              </w:rPr>
              <w:t>2019–20</w:t>
            </w:r>
            <w:r w:rsidR="000A5329" w:rsidRPr="002029AF">
              <w:rPr>
                <w:color w:val="000000"/>
              </w:rPr>
              <w:t xml:space="preserve"> </w:t>
            </w:r>
            <w:r w:rsidRPr="002029AF">
              <w:rPr>
                <w:color w:val="000000"/>
              </w:rPr>
              <w:t>estimate</w:t>
            </w:r>
          </w:p>
        </w:tc>
        <w:tc>
          <w:tcPr>
            <w:tcW w:w="1511" w:type="dxa"/>
            <w:vAlign w:val="center"/>
          </w:tcPr>
          <w:p w14:paraId="6F8E7EF8" w14:textId="62D0423D" w:rsidR="00CF72D5" w:rsidRPr="002029AF" w:rsidRDefault="00CF72D5" w:rsidP="00897193">
            <w:pPr>
              <w:pStyle w:val="ARtablecolheadright"/>
            </w:pPr>
            <w:r w:rsidRPr="002029AF">
              <w:rPr>
                <w:color w:val="000000"/>
              </w:rPr>
              <w:t>2018–19</w:t>
            </w:r>
            <w:r w:rsidR="000A5329" w:rsidRPr="002029AF">
              <w:rPr>
                <w:color w:val="000000"/>
              </w:rPr>
              <w:t xml:space="preserve"> </w:t>
            </w:r>
            <w:r w:rsidRPr="002029AF">
              <w:rPr>
                <w:color w:val="000000"/>
              </w:rPr>
              <w:t>estimate</w:t>
            </w:r>
          </w:p>
        </w:tc>
        <w:tc>
          <w:tcPr>
            <w:tcW w:w="1516" w:type="dxa"/>
            <w:vAlign w:val="center"/>
          </w:tcPr>
          <w:p w14:paraId="48A9E009" w14:textId="4C37FB66" w:rsidR="00CF72D5" w:rsidRPr="002029AF" w:rsidRDefault="00CF72D5" w:rsidP="00897193">
            <w:pPr>
              <w:pStyle w:val="ARtablecolheadright"/>
            </w:pPr>
            <w:r w:rsidRPr="002029AF">
              <w:rPr>
                <w:color w:val="000000"/>
              </w:rPr>
              <w:t>2017–18</w:t>
            </w:r>
            <w:r w:rsidR="000A5329" w:rsidRPr="002029AF">
              <w:rPr>
                <w:color w:val="000000"/>
              </w:rPr>
              <w:t xml:space="preserve"> </w:t>
            </w:r>
            <w:r w:rsidRPr="002029AF">
              <w:rPr>
                <w:color w:val="000000"/>
              </w:rPr>
              <w:t>estimate</w:t>
            </w:r>
          </w:p>
        </w:tc>
      </w:tr>
      <w:tr w:rsidR="00CF72D5" w:rsidRPr="002029AF" w14:paraId="7B5AE3F6" w14:textId="77777777" w:rsidTr="00897193">
        <w:trPr>
          <w:cantSplit/>
          <w:trHeight w:val="270"/>
          <w:tblHeader/>
        </w:trPr>
        <w:tc>
          <w:tcPr>
            <w:tcW w:w="5106" w:type="dxa"/>
          </w:tcPr>
          <w:p w14:paraId="24B45204" w14:textId="620547CE" w:rsidR="00CF72D5" w:rsidRPr="002029AF" w:rsidRDefault="00CF72D5" w:rsidP="00897193">
            <w:pPr>
              <w:pStyle w:val="ARtablecolhead"/>
            </w:pPr>
            <w:r w:rsidRPr="002029AF">
              <w:t>Total</w:t>
            </w:r>
            <w:r w:rsidR="000A5329" w:rsidRPr="002029AF">
              <w:t xml:space="preserve"> </w:t>
            </w:r>
            <w:r w:rsidRPr="002029AF">
              <w:t>greenhouse</w:t>
            </w:r>
            <w:r w:rsidR="000A5329" w:rsidRPr="002029AF">
              <w:t xml:space="preserve"> </w:t>
            </w:r>
            <w:r w:rsidRPr="002029AF">
              <w:t>gas</w:t>
            </w:r>
            <w:r w:rsidR="000A5329" w:rsidRPr="002029AF">
              <w:t xml:space="preserve"> </w:t>
            </w:r>
            <w:r w:rsidRPr="002029AF">
              <w:t>emissions</w:t>
            </w:r>
            <w:r w:rsidR="000A5329" w:rsidRPr="002029AF">
              <w:t xml:space="preserve"> </w:t>
            </w:r>
            <w:r w:rsidRPr="002029AF">
              <w:t>by</w:t>
            </w:r>
            <w:r w:rsidR="000A5329" w:rsidRPr="002029AF">
              <w:t xml:space="preserve"> </w:t>
            </w:r>
            <w:r w:rsidRPr="002029AF">
              <w:t>primary</w:t>
            </w:r>
            <w:r w:rsidR="000A5329" w:rsidRPr="002029AF">
              <w:t xml:space="preserve"> </w:t>
            </w:r>
            <w:r w:rsidRPr="002029AF">
              <w:t>source</w:t>
            </w:r>
          </w:p>
        </w:tc>
        <w:tc>
          <w:tcPr>
            <w:tcW w:w="1511" w:type="dxa"/>
            <w:vAlign w:val="bottom"/>
          </w:tcPr>
          <w:p w14:paraId="34BB24DE" w14:textId="4D4705BE" w:rsidR="00CF72D5" w:rsidRPr="002029AF" w:rsidRDefault="00CF72D5" w:rsidP="00897193">
            <w:pPr>
              <w:pStyle w:val="ARtablecolheadright"/>
            </w:pPr>
            <w:r w:rsidRPr="002029AF">
              <w:t>Tonnes</w:t>
            </w:r>
            <w:r w:rsidR="000A5329" w:rsidRPr="002029AF">
              <w:t xml:space="preserve"> </w:t>
            </w:r>
            <w:r w:rsidRPr="002029AF">
              <w:t>CO</w:t>
            </w:r>
            <w:r w:rsidRPr="002029AF">
              <w:rPr>
                <w:vertAlign w:val="subscript"/>
              </w:rPr>
              <w:t>2</w:t>
            </w:r>
            <w:r w:rsidRPr="002029AF">
              <w:t>-e</w:t>
            </w:r>
          </w:p>
        </w:tc>
        <w:tc>
          <w:tcPr>
            <w:tcW w:w="1511" w:type="dxa"/>
            <w:vAlign w:val="bottom"/>
          </w:tcPr>
          <w:p w14:paraId="0A822215" w14:textId="71242EB7" w:rsidR="00CF72D5" w:rsidRPr="002029AF" w:rsidRDefault="00CF72D5" w:rsidP="00897193">
            <w:pPr>
              <w:pStyle w:val="ARtablecolheadright"/>
            </w:pPr>
            <w:r w:rsidRPr="002029AF">
              <w:t>Tonnes</w:t>
            </w:r>
            <w:r w:rsidR="000A5329" w:rsidRPr="002029AF">
              <w:t xml:space="preserve"> </w:t>
            </w:r>
            <w:r w:rsidRPr="002029AF">
              <w:t>CO</w:t>
            </w:r>
            <w:r w:rsidRPr="002029AF">
              <w:rPr>
                <w:vertAlign w:val="subscript"/>
              </w:rPr>
              <w:t>2</w:t>
            </w:r>
            <w:r w:rsidRPr="002029AF">
              <w:t>-e</w:t>
            </w:r>
          </w:p>
        </w:tc>
        <w:tc>
          <w:tcPr>
            <w:tcW w:w="1516" w:type="dxa"/>
            <w:vAlign w:val="bottom"/>
          </w:tcPr>
          <w:p w14:paraId="3D623368" w14:textId="52FACAD3" w:rsidR="00CF72D5" w:rsidRPr="002029AF" w:rsidRDefault="00CF72D5" w:rsidP="00897193">
            <w:pPr>
              <w:pStyle w:val="ARtablecolheadright"/>
            </w:pPr>
            <w:r w:rsidRPr="002029AF">
              <w:t>Tonnes</w:t>
            </w:r>
            <w:r w:rsidR="000A5329" w:rsidRPr="002029AF">
              <w:t xml:space="preserve"> </w:t>
            </w:r>
            <w:r w:rsidRPr="002029AF">
              <w:t>CO</w:t>
            </w:r>
            <w:r w:rsidRPr="002029AF">
              <w:rPr>
                <w:vertAlign w:val="subscript"/>
              </w:rPr>
              <w:t>2</w:t>
            </w:r>
            <w:r w:rsidRPr="002029AF">
              <w:t>-e</w:t>
            </w:r>
          </w:p>
        </w:tc>
      </w:tr>
      <w:tr w:rsidR="00CF72D5" w:rsidRPr="002029AF" w14:paraId="749646B3" w14:textId="77777777" w:rsidTr="00897193">
        <w:trPr>
          <w:cantSplit/>
          <w:trHeight w:val="270"/>
        </w:trPr>
        <w:tc>
          <w:tcPr>
            <w:tcW w:w="5106" w:type="dxa"/>
          </w:tcPr>
          <w:p w14:paraId="68E843A2" w14:textId="19FC301C" w:rsidR="00CF72D5" w:rsidRPr="002029AF" w:rsidRDefault="00CF72D5" w:rsidP="00897193">
            <w:pPr>
              <w:pStyle w:val="ARtabletext"/>
            </w:pPr>
            <w:r w:rsidRPr="002029AF">
              <w:t>Electricity</w:t>
            </w:r>
            <w:r w:rsidR="000A5329" w:rsidRPr="002029AF">
              <w:t xml:space="preserve"> </w:t>
            </w:r>
          </w:p>
        </w:tc>
        <w:tc>
          <w:tcPr>
            <w:tcW w:w="1511" w:type="dxa"/>
            <w:vAlign w:val="center"/>
          </w:tcPr>
          <w:p w14:paraId="31779404" w14:textId="77777777" w:rsidR="00CF72D5" w:rsidRPr="002029AF" w:rsidRDefault="00CF72D5" w:rsidP="00897193">
            <w:pPr>
              <w:pStyle w:val="ARtabletextright"/>
            </w:pPr>
            <w:r w:rsidRPr="002029AF">
              <w:t>14,197</w:t>
            </w:r>
          </w:p>
        </w:tc>
        <w:tc>
          <w:tcPr>
            <w:tcW w:w="1511" w:type="dxa"/>
            <w:vAlign w:val="center"/>
          </w:tcPr>
          <w:p w14:paraId="53762216" w14:textId="77777777" w:rsidR="00CF72D5" w:rsidRPr="002029AF" w:rsidRDefault="00CF72D5" w:rsidP="00897193">
            <w:pPr>
              <w:pStyle w:val="ARtabletextright"/>
            </w:pPr>
            <w:r w:rsidRPr="002029AF">
              <w:t>16,105</w:t>
            </w:r>
          </w:p>
        </w:tc>
        <w:tc>
          <w:tcPr>
            <w:tcW w:w="1516" w:type="dxa"/>
            <w:vAlign w:val="center"/>
          </w:tcPr>
          <w:p w14:paraId="76068E84" w14:textId="77777777" w:rsidR="00CF72D5" w:rsidRPr="002029AF" w:rsidRDefault="00CF72D5" w:rsidP="00897193">
            <w:pPr>
              <w:pStyle w:val="ARtabletextright"/>
            </w:pPr>
            <w:r w:rsidRPr="002029AF">
              <w:t>18,058</w:t>
            </w:r>
          </w:p>
        </w:tc>
      </w:tr>
      <w:tr w:rsidR="00CF72D5" w:rsidRPr="002029AF" w14:paraId="6C6CB142" w14:textId="77777777" w:rsidTr="00897193">
        <w:trPr>
          <w:cantSplit/>
          <w:trHeight w:val="91"/>
        </w:trPr>
        <w:tc>
          <w:tcPr>
            <w:tcW w:w="5106" w:type="dxa"/>
          </w:tcPr>
          <w:p w14:paraId="44233ED5" w14:textId="5A3F8163" w:rsidR="00CF72D5" w:rsidRPr="002029AF" w:rsidRDefault="00CF72D5" w:rsidP="00897193">
            <w:pPr>
              <w:pStyle w:val="ARtabletext"/>
            </w:pPr>
            <w:r w:rsidRPr="002029AF">
              <w:t>Natural</w:t>
            </w:r>
            <w:r w:rsidR="000A5329" w:rsidRPr="002029AF">
              <w:t xml:space="preserve"> </w:t>
            </w:r>
            <w:r w:rsidRPr="002029AF">
              <w:t>gas</w:t>
            </w:r>
          </w:p>
        </w:tc>
        <w:tc>
          <w:tcPr>
            <w:tcW w:w="1511" w:type="dxa"/>
            <w:vAlign w:val="center"/>
          </w:tcPr>
          <w:p w14:paraId="172E4A52" w14:textId="77777777" w:rsidR="00CF72D5" w:rsidRPr="002029AF" w:rsidRDefault="00CF72D5" w:rsidP="00897193">
            <w:pPr>
              <w:pStyle w:val="ARtabletextright"/>
            </w:pPr>
            <w:r w:rsidRPr="002029AF">
              <w:t>897</w:t>
            </w:r>
          </w:p>
        </w:tc>
        <w:tc>
          <w:tcPr>
            <w:tcW w:w="1511" w:type="dxa"/>
            <w:vAlign w:val="center"/>
          </w:tcPr>
          <w:p w14:paraId="65E5F691" w14:textId="77777777" w:rsidR="00CF72D5" w:rsidRPr="002029AF" w:rsidRDefault="00CF72D5" w:rsidP="00897193">
            <w:pPr>
              <w:pStyle w:val="ARtabletextright"/>
            </w:pPr>
            <w:r w:rsidRPr="002029AF">
              <w:t>1,018</w:t>
            </w:r>
          </w:p>
        </w:tc>
        <w:tc>
          <w:tcPr>
            <w:tcW w:w="1516" w:type="dxa"/>
            <w:vAlign w:val="center"/>
          </w:tcPr>
          <w:p w14:paraId="4230FD28" w14:textId="77777777" w:rsidR="00CF72D5" w:rsidRPr="002029AF" w:rsidRDefault="00CF72D5" w:rsidP="00897193">
            <w:pPr>
              <w:pStyle w:val="ARtabletextright"/>
            </w:pPr>
            <w:r w:rsidRPr="002029AF">
              <w:t>873</w:t>
            </w:r>
          </w:p>
        </w:tc>
      </w:tr>
      <w:tr w:rsidR="00CF72D5" w:rsidRPr="002029AF" w14:paraId="5F08DD58" w14:textId="77777777" w:rsidTr="00897193">
        <w:trPr>
          <w:cantSplit/>
          <w:trHeight w:val="91"/>
        </w:trPr>
        <w:tc>
          <w:tcPr>
            <w:tcW w:w="5106" w:type="dxa"/>
          </w:tcPr>
          <w:p w14:paraId="20D926FE" w14:textId="77777777" w:rsidR="00CF72D5" w:rsidRPr="002029AF" w:rsidRDefault="00CF72D5" w:rsidP="00897193">
            <w:pPr>
              <w:pStyle w:val="ARtabletext"/>
              <w:rPr>
                <w:b/>
              </w:rPr>
            </w:pPr>
            <w:r w:rsidRPr="002029AF">
              <w:rPr>
                <w:b/>
              </w:rPr>
              <w:t>Total</w:t>
            </w:r>
          </w:p>
        </w:tc>
        <w:tc>
          <w:tcPr>
            <w:tcW w:w="1511" w:type="dxa"/>
            <w:vAlign w:val="center"/>
          </w:tcPr>
          <w:p w14:paraId="45B9950C" w14:textId="77777777" w:rsidR="00CF72D5" w:rsidRPr="002029AF" w:rsidRDefault="00CF72D5" w:rsidP="00897193">
            <w:pPr>
              <w:pStyle w:val="ARtabletextrightbold"/>
            </w:pPr>
            <w:r w:rsidRPr="002029AF">
              <w:t>15,094</w:t>
            </w:r>
          </w:p>
        </w:tc>
        <w:tc>
          <w:tcPr>
            <w:tcW w:w="1511" w:type="dxa"/>
            <w:vAlign w:val="center"/>
          </w:tcPr>
          <w:p w14:paraId="7B97BEBA" w14:textId="77777777" w:rsidR="00CF72D5" w:rsidRPr="002029AF" w:rsidRDefault="00CF72D5" w:rsidP="00897193">
            <w:pPr>
              <w:pStyle w:val="ARtabletextrightbold"/>
            </w:pPr>
            <w:r w:rsidRPr="002029AF">
              <w:t>17,124</w:t>
            </w:r>
          </w:p>
        </w:tc>
        <w:tc>
          <w:tcPr>
            <w:tcW w:w="1516" w:type="dxa"/>
            <w:vAlign w:val="center"/>
          </w:tcPr>
          <w:p w14:paraId="077CEFD1" w14:textId="77777777" w:rsidR="00CF72D5" w:rsidRPr="002029AF" w:rsidRDefault="00CF72D5" w:rsidP="00897193">
            <w:pPr>
              <w:pStyle w:val="ARtabletextrightbold"/>
            </w:pPr>
            <w:r w:rsidRPr="002029AF">
              <w:t>18,931</w:t>
            </w:r>
          </w:p>
        </w:tc>
      </w:tr>
    </w:tbl>
    <w:p w14:paraId="7220708D" w14:textId="77777777" w:rsidR="00CF72D5" w:rsidRPr="002029AF" w:rsidRDefault="00CF72D5" w:rsidP="00D40FE6">
      <w:pPr>
        <w:pStyle w:val="ARbodynospace"/>
      </w:pP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2A0" w:firstRow="1" w:lastRow="0" w:firstColumn="1" w:lastColumn="0" w:noHBand="1" w:noVBand="0"/>
      </w:tblPr>
      <w:tblGrid>
        <w:gridCol w:w="5208"/>
        <w:gridCol w:w="1477"/>
        <w:gridCol w:w="1477"/>
        <w:gridCol w:w="1477"/>
      </w:tblGrid>
      <w:tr w:rsidR="00CF72D5" w:rsidRPr="002029AF" w14:paraId="63ACB4B3" w14:textId="77777777" w:rsidTr="00897193">
        <w:trPr>
          <w:cantSplit/>
          <w:trHeight w:val="270"/>
          <w:tblHeader/>
        </w:trPr>
        <w:tc>
          <w:tcPr>
            <w:tcW w:w="5208" w:type="dxa"/>
            <w:vAlign w:val="bottom"/>
          </w:tcPr>
          <w:p w14:paraId="618ACD87" w14:textId="77777777" w:rsidR="00CF72D5" w:rsidRPr="002029AF" w:rsidRDefault="00CF72D5" w:rsidP="00897193">
            <w:pPr>
              <w:pStyle w:val="ARtablecolhead"/>
            </w:pPr>
            <w:r w:rsidRPr="002029AF">
              <w:t>Description</w:t>
            </w:r>
          </w:p>
        </w:tc>
        <w:tc>
          <w:tcPr>
            <w:tcW w:w="1477" w:type="dxa"/>
            <w:vAlign w:val="center"/>
          </w:tcPr>
          <w:p w14:paraId="24FB9B12" w14:textId="0F80F32A" w:rsidR="00CF72D5" w:rsidRPr="002029AF" w:rsidRDefault="00CF72D5" w:rsidP="00897193">
            <w:pPr>
              <w:pStyle w:val="ARtablecolheadright"/>
            </w:pPr>
            <w:r w:rsidRPr="002029AF">
              <w:t>2019–20</w:t>
            </w:r>
            <w:r w:rsidR="000A5329" w:rsidRPr="002029AF">
              <w:t xml:space="preserve"> </w:t>
            </w:r>
            <w:r w:rsidRPr="002029AF">
              <w:t>estimate</w:t>
            </w:r>
          </w:p>
        </w:tc>
        <w:tc>
          <w:tcPr>
            <w:tcW w:w="1477" w:type="dxa"/>
            <w:vAlign w:val="center"/>
          </w:tcPr>
          <w:p w14:paraId="6378D203" w14:textId="6F07535D" w:rsidR="00CF72D5" w:rsidRPr="002029AF" w:rsidRDefault="00CF72D5" w:rsidP="00897193">
            <w:pPr>
              <w:pStyle w:val="ARtablecolheadright"/>
            </w:pPr>
            <w:r w:rsidRPr="002029AF">
              <w:t>2018–19</w:t>
            </w:r>
            <w:r w:rsidR="000A5329" w:rsidRPr="002029AF">
              <w:t xml:space="preserve"> </w:t>
            </w:r>
            <w:r w:rsidRPr="002029AF">
              <w:t>estimate</w:t>
            </w:r>
          </w:p>
        </w:tc>
        <w:tc>
          <w:tcPr>
            <w:tcW w:w="1477" w:type="dxa"/>
            <w:vAlign w:val="center"/>
          </w:tcPr>
          <w:p w14:paraId="2D1D9A14" w14:textId="736BD173" w:rsidR="00CF72D5" w:rsidRPr="002029AF" w:rsidRDefault="00CF72D5" w:rsidP="00897193">
            <w:pPr>
              <w:pStyle w:val="ARtablecolheadright"/>
            </w:pPr>
            <w:r w:rsidRPr="002029AF">
              <w:t>2017–18</w:t>
            </w:r>
            <w:r w:rsidR="000A5329" w:rsidRPr="002029AF">
              <w:t xml:space="preserve"> </w:t>
            </w:r>
            <w:r w:rsidRPr="002029AF">
              <w:t>estimate</w:t>
            </w:r>
          </w:p>
        </w:tc>
      </w:tr>
      <w:tr w:rsidR="00CF72D5" w:rsidRPr="002029AF" w14:paraId="3DF55FA1" w14:textId="77777777" w:rsidTr="00897193">
        <w:trPr>
          <w:cantSplit/>
          <w:trHeight w:val="270"/>
        </w:trPr>
        <w:tc>
          <w:tcPr>
            <w:tcW w:w="5208" w:type="dxa"/>
          </w:tcPr>
          <w:p w14:paraId="739D2325" w14:textId="19B834D8" w:rsidR="00CF72D5" w:rsidRPr="002029AF" w:rsidRDefault="00CF72D5" w:rsidP="00897193">
            <w:pPr>
              <w:pStyle w:val="ARtabletext"/>
            </w:pPr>
            <w:r w:rsidRPr="002029AF">
              <w:t>Energy</w:t>
            </w:r>
            <w:r w:rsidR="000A5329" w:rsidRPr="002029AF">
              <w:t xml:space="preserve"> </w:t>
            </w:r>
            <w:r w:rsidRPr="002029AF">
              <w:t>used</w:t>
            </w:r>
            <w:r w:rsidR="000A5329" w:rsidRPr="002029AF">
              <w:t xml:space="preserve"> </w:t>
            </w:r>
            <w:r w:rsidRPr="002029AF">
              <w:t>per</w:t>
            </w:r>
            <w:r w:rsidR="000A5329" w:rsidRPr="002029AF">
              <w:t xml:space="preserve"> </w:t>
            </w:r>
            <w:r w:rsidRPr="002029AF">
              <w:t>FTE</w:t>
            </w:r>
            <w:r w:rsidR="000A5329" w:rsidRPr="002029AF">
              <w:t xml:space="preserve"> </w:t>
            </w:r>
            <w:r w:rsidRPr="002029AF">
              <w:t>(megajoules/FTE)</w:t>
            </w:r>
          </w:p>
        </w:tc>
        <w:tc>
          <w:tcPr>
            <w:tcW w:w="1477" w:type="dxa"/>
            <w:vAlign w:val="center"/>
          </w:tcPr>
          <w:p w14:paraId="6E5A46C3" w14:textId="77777777" w:rsidR="00CF72D5" w:rsidRPr="002029AF" w:rsidRDefault="00CF72D5" w:rsidP="00897193">
            <w:pPr>
              <w:pStyle w:val="ARtabletextright"/>
            </w:pPr>
            <w:r w:rsidRPr="002029AF">
              <w:t>8,150</w:t>
            </w:r>
          </w:p>
        </w:tc>
        <w:tc>
          <w:tcPr>
            <w:tcW w:w="1477" w:type="dxa"/>
            <w:vAlign w:val="center"/>
          </w:tcPr>
          <w:p w14:paraId="18599EA7" w14:textId="77777777" w:rsidR="00CF72D5" w:rsidRPr="002029AF" w:rsidRDefault="00CF72D5" w:rsidP="00897193">
            <w:pPr>
              <w:pStyle w:val="ARtabletextright"/>
            </w:pPr>
            <w:r w:rsidRPr="002029AF">
              <w:t>8,319</w:t>
            </w:r>
          </w:p>
        </w:tc>
        <w:tc>
          <w:tcPr>
            <w:tcW w:w="1477" w:type="dxa"/>
            <w:vAlign w:val="center"/>
          </w:tcPr>
          <w:p w14:paraId="4128313A" w14:textId="77777777" w:rsidR="00CF72D5" w:rsidRPr="002029AF" w:rsidRDefault="00CF72D5" w:rsidP="00897193">
            <w:pPr>
              <w:pStyle w:val="ARtabletextright"/>
            </w:pPr>
            <w:r w:rsidRPr="002029AF">
              <w:t>8,880</w:t>
            </w:r>
          </w:p>
        </w:tc>
      </w:tr>
      <w:tr w:rsidR="00CF72D5" w:rsidRPr="002029AF" w14:paraId="70905F39" w14:textId="77777777" w:rsidTr="00897193">
        <w:trPr>
          <w:cantSplit/>
          <w:trHeight w:val="315"/>
        </w:trPr>
        <w:tc>
          <w:tcPr>
            <w:tcW w:w="5208" w:type="dxa"/>
          </w:tcPr>
          <w:p w14:paraId="09626A00" w14:textId="5A022FAC" w:rsidR="00CF72D5" w:rsidRPr="002029AF" w:rsidRDefault="00CF72D5" w:rsidP="00897193">
            <w:pPr>
              <w:pStyle w:val="ARtabletext"/>
            </w:pPr>
            <w:r w:rsidRPr="002029AF">
              <w:t>Energy</w:t>
            </w:r>
            <w:r w:rsidR="000A5329" w:rsidRPr="002029AF">
              <w:t xml:space="preserve"> </w:t>
            </w:r>
            <w:r w:rsidRPr="002029AF">
              <w:t>intensity</w:t>
            </w:r>
            <w:r w:rsidR="000A5329" w:rsidRPr="002029AF">
              <w:t xml:space="preserve"> </w:t>
            </w:r>
            <w:r w:rsidRPr="002029AF">
              <w:t>(megajoules/m</w:t>
            </w:r>
            <w:r w:rsidRPr="002029AF">
              <w:rPr>
                <w:vertAlign w:val="superscript"/>
              </w:rPr>
              <w:t>2</w:t>
            </w:r>
            <w:r w:rsidRPr="002029AF">
              <w:t>)</w:t>
            </w:r>
          </w:p>
        </w:tc>
        <w:tc>
          <w:tcPr>
            <w:tcW w:w="1477" w:type="dxa"/>
            <w:vAlign w:val="center"/>
          </w:tcPr>
          <w:p w14:paraId="1F89328E" w14:textId="77777777" w:rsidR="00CF72D5" w:rsidRPr="002029AF" w:rsidRDefault="00CF72D5" w:rsidP="00897193">
            <w:pPr>
              <w:pStyle w:val="ARtabletextright"/>
            </w:pPr>
            <w:r w:rsidRPr="002029AF">
              <w:t>427</w:t>
            </w:r>
          </w:p>
        </w:tc>
        <w:tc>
          <w:tcPr>
            <w:tcW w:w="1477" w:type="dxa"/>
            <w:vAlign w:val="center"/>
          </w:tcPr>
          <w:p w14:paraId="6D654009" w14:textId="77777777" w:rsidR="00CF72D5" w:rsidRPr="002029AF" w:rsidRDefault="00CF72D5" w:rsidP="00897193">
            <w:pPr>
              <w:pStyle w:val="ARtabletextright"/>
            </w:pPr>
            <w:r w:rsidRPr="002029AF">
              <w:t>477</w:t>
            </w:r>
          </w:p>
        </w:tc>
        <w:tc>
          <w:tcPr>
            <w:tcW w:w="1477" w:type="dxa"/>
            <w:vAlign w:val="center"/>
          </w:tcPr>
          <w:p w14:paraId="605679ED" w14:textId="77777777" w:rsidR="00CF72D5" w:rsidRPr="002029AF" w:rsidRDefault="00CF72D5" w:rsidP="00897193">
            <w:pPr>
              <w:pStyle w:val="ARtabletextright"/>
            </w:pPr>
            <w:r w:rsidRPr="002029AF">
              <w:t>567</w:t>
            </w:r>
          </w:p>
        </w:tc>
      </w:tr>
      <w:tr w:rsidR="00CF72D5" w:rsidRPr="002029AF" w14:paraId="3565C405" w14:textId="77777777" w:rsidTr="00897193">
        <w:trPr>
          <w:cantSplit/>
          <w:trHeight w:val="270"/>
        </w:trPr>
        <w:tc>
          <w:tcPr>
            <w:tcW w:w="5208" w:type="dxa"/>
          </w:tcPr>
          <w:p w14:paraId="6DA1FDA6" w14:textId="55768C26" w:rsidR="00CF72D5" w:rsidRPr="002029AF" w:rsidRDefault="00CF72D5" w:rsidP="00897193">
            <w:pPr>
              <w:pStyle w:val="ARtabletext"/>
            </w:pPr>
            <w:r w:rsidRPr="002029AF">
              <w:t>Green</w:t>
            </w:r>
            <w:r w:rsidR="000A5329" w:rsidRPr="002029AF">
              <w:t xml:space="preserve"> </w:t>
            </w:r>
            <w:r w:rsidRPr="002029AF">
              <w:t>power</w:t>
            </w:r>
            <w:r w:rsidR="000A5329" w:rsidRPr="002029AF">
              <w:t xml:space="preserve"> </w:t>
            </w:r>
            <w:r w:rsidRPr="002029AF">
              <w:t>purchased</w:t>
            </w:r>
          </w:p>
        </w:tc>
        <w:tc>
          <w:tcPr>
            <w:tcW w:w="1477" w:type="dxa"/>
            <w:vAlign w:val="center"/>
          </w:tcPr>
          <w:p w14:paraId="7A8CB187" w14:textId="77777777" w:rsidR="00CF72D5" w:rsidRPr="002029AF" w:rsidRDefault="00CF72D5" w:rsidP="00897193">
            <w:pPr>
              <w:pStyle w:val="ARtabletextright"/>
            </w:pPr>
            <w:r w:rsidRPr="002029AF">
              <w:t>0.00%</w:t>
            </w:r>
          </w:p>
        </w:tc>
        <w:tc>
          <w:tcPr>
            <w:tcW w:w="1477" w:type="dxa"/>
            <w:vAlign w:val="center"/>
          </w:tcPr>
          <w:p w14:paraId="02837B5D" w14:textId="77777777" w:rsidR="00CF72D5" w:rsidRPr="002029AF" w:rsidRDefault="00CF72D5" w:rsidP="00897193">
            <w:pPr>
              <w:pStyle w:val="ARtabletextright"/>
            </w:pPr>
            <w:r w:rsidRPr="002029AF">
              <w:t>0.00%</w:t>
            </w:r>
          </w:p>
        </w:tc>
        <w:tc>
          <w:tcPr>
            <w:tcW w:w="1477" w:type="dxa"/>
            <w:vAlign w:val="center"/>
          </w:tcPr>
          <w:p w14:paraId="092040E2" w14:textId="77777777" w:rsidR="00CF72D5" w:rsidRPr="002029AF" w:rsidRDefault="00CF72D5" w:rsidP="00897193">
            <w:pPr>
              <w:pStyle w:val="ARtabletextright"/>
            </w:pPr>
            <w:r w:rsidRPr="002029AF">
              <w:t>0.00%</w:t>
            </w:r>
          </w:p>
        </w:tc>
      </w:tr>
    </w:tbl>
    <w:p w14:paraId="1C1DBAD7" w14:textId="10C28FE0" w:rsidR="00CF72D5" w:rsidRPr="002029AF" w:rsidRDefault="00CF72D5" w:rsidP="00897193">
      <w:pPr>
        <w:pStyle w:val="ARtablefootnote"/>
      </w:pPr>
      <w:r w:rsidRPr="002029AF">
        <w:t>Office-based</w:t>
      </w:r>
      <w:r w:rsidR="000A5329" w:rsidRPr="002029AF">
        <w:t xml:space="preserve"> </w:t>
      </w:r>
      <w:r w:rsidRPr="002029AF">
        <w:t>electricity</w:t>
      </w:r>
      <w:r w:rsidR="000A5329" w:rsidRPr="002029AF">
        <w:t xml:space="preserve"> </w:t>
      </w:r>
      <w:r w:rsidRPr="002029AF">
        <w:t>data</w:t>
      </w:r>
      <w:r w:rsidR="000A5329" w:rsidRPr="002029AF">
        <w:t xml:space="preserve"> </w:t>
      </w:r>
      <w:r w:rsidRPr="002029AF">
        <w:t>represents</w:t>
      </w:r>
      <w:r w:rsidR="000A5329" w:rsidRPr="002029AF">
        <w:t xml:space="preserve"> </w:t>
      </w:r>
      <w:r w:rsidRPr="002029AF">
        <w:t>99</w:t>
      </w:r>
      <w:r w:rsidR="000A5329" w:rsidRPr="002029AF">
        <w:t xml:space="preserve"> </w:t>
      </w:r>
      <w:r w:rsidRPr="002029AF">
        <w:t>per</w:t>
      </w:r>
      <w:r w:rsidR="000A5329" w:rsidRPr="002029AF">
        <w:t xml:space="preserve"> </w:t>
      </w:r>
      <w:r w:rsidRPr="002029AF">
        <w:t>cent</w:t>
      </w:r>
      <w:r w:rsidR="000A5329" w:rsidRPr="002029AF">
        <w:t xml:space="preserve"> </w:t>
      </w:r>
      <w:r w:rsidRPr="002029AF">
        <w:t>of</w:t>
      </w:r>
      <w:r w:rsidR="000A5329" w:rsidRPr="002029AF">
        <w:t xml:space="preserve"> </w:t>
      </w:r>
      <w:r w:rsidRPr="002029AF">
        <w:t>office-based</w:t>
      </w:r>
      <w:r w:rsidR="000A5329" w:rsidRPr="002029AF">
        <w:t xml:space="preserve"> </w:t>
      </w:r>
      <w:r w:rsidRPr="002029AF">
        <w:t>FTE</w:t>
      </w:r>
      <w:r w:rsidR="000A5329" w:rsidRPr="002029AF">
        <w:t xml:space="preserve"> </w:t>
      </w:r>
      <w:r w:rsidRPr="002029AF">
        <w:t>and</w:t>
      </w:r>
      <w:r w:rsidR="000A5329" w:rsidRPr="002029AF">
        <w:t xml:space="preserve"> </w:t>
      </w:r>
      <w:r w:rsidRPr="002029AF">
        <w:t>95</w:t>
      </w:r>
      <w:r w:rsidR="000A5329" w:rsidRPr="002029AF">
        <w:t xml:space="preserve"> </w:t>
      </w:r>
      <w:r w:rsidRPr="002029AF">
        <w:t>per</w:t>
      </w:r>
      <w:r w:rsidR="000A5329" w:rsidRPr="002029AF">
        <w:t xml:space="preserve"> </w:t>
      </w:r>
      <w:r w:rsidRPr="002029AF">
        <w:t>cent</w:t>
      </w:r>
      <w:r w:rsidR="000A5329" w:rsidRPr="002029AF">
        <w:t xml:space="preserve"> </w:t>
      </w:r>
      <w:r w:rsidRPr="002029AF">
        <w:t>of</w:t>
      </w:r>
      <w:r w:rsidR="000A5329" w:rsidRPr="002029AF">
        <w:t xml:space="preserve"> </w:t>
      </w:r>
      <w:r w:rsidRPr="002029AF">
        <w:t>total</w:t>
      </w:r>
      <w:r w:rsidR="000A5329" w:rsidRPr="002029AF">
        <w:t xml:space="preserve"> </w:t>
      </w:r>
      <w:r w:rsidRPr="002029AF">
        <w:t>office</w:t>
      </w:r>
      <w:r w:rsidR="000A5329" w:rsidRPr="002029AF">
        <w:t xml:space="preserve"> </w:t>
      </w:r>
      <w:r w:rsidRPr="002029AF">
        <w:t>area.</w:t>
      </w:r>
    </w:p>
    <w:p w14:paraId="3B959C27" w14:textId="2304FD09" w:rsidR="00CF72D5" w:rsidRPr="002029AF" w:rsidRDefault="00CF72D5" w:rsidP="00897193">
      <w:pPr>
        <w:pStyle w:val="ARtablefootnote"/>
      </w:pPr>
      <w:r w:rsidRPr="002029AF">
        <w:t>Office-based</w:t>
      </w:r>
      <w:r w:rsidR="000A5329" w:rsidRPr="002029AF">
        <w:t xml:space="preserve"> </w:t>
      </w:r>
      <w:r w:rsidRPr="002029AF">
        <w:t>gas</w:t>
      </w:r>
      <w:r w:rsidR="000A5329" w:rsidRPr="002029AF">
        <w:t xml:space="preserve"> </w:t>
      </w:r>
      <w:r w:rsidRPr="002029AF">
        <w:t>data</w:t>
      </w:r>
      <w:r w:rsidR="000A5329" w:rsidRPr="002029AF">
        <w:t xml:space="preserve"> </w:t>
      </w:r>
      <w:r w:rsidRPr="002029AF">
        <w:t>represents</w:t>
      </w:r>
      <w:r w:rsidR="000A5329" w:rsidRPr="002029AF">
        <w:t xml:space="preserve"> </w:t>
      </w:r>
      <w:r w:rsidRPr="002029AF">
        <w:t>73</w:t>
      </w:r>
      <w:r w:rsidR="000A5329" w:rsidRPr="002029AF">
        <w:t xml:space="preserve"> </w:t>
      </w:r>
      <w:r w:rsidRPr="002029AF">
        <w:t>per</w:t>
      </w:r>
      <w:r w:rsidR="000A5329" w:rsidRPr="002029AF">
        <w:t xml:space="preserve"> </w:t>
      </w:r>
      <w:r w:rsidRPr="002029AF">
        <w:t>cent</w:t>
      </w:r>
      <w:r w:rsidR="000A5329" w:rsidRPr="002029AF">
        <w:t xml:space="preserve"> </w:t>
      </w:r>
      <w:r w:rsidRPr="002029AF">
        <w:t>of</w:t>
      </w:r>
      <w:r w:rsidR="000A5329" w:rsidRPr="002029AF">
        <w:t xml:space="preserve"> </w:t>
      </w:r>
      <w:r w:rsidRPr="002029AF">
        <w:t>office-based</w:t>
      </w:r>
      <w:r w:rsidR="000A5329" w:rsidRPr="002029AF">
        <w:t xml:space="preserve"> </w:t>
      </w:r>
      <w:r w:rsidRPr="002029AF">
        <w:t>FTE</w:t>
      </w:r>
      <w:r w:rsidR="000A5329" w:rsidRPr="002029AF">
        <w:t xml:space="preserve"> </w:t>
      </w:r>
      <w:r w:rsidRPr="002029AF">
        <w:t>and</w:t>
      </w:r>
      <w:r w:rsidR="000A5329" w:rsidRPr="002029AF">
        <w:t xml:space="preserve"> </w:t>
      </w:r>
      <w:r w:rsidRPr="002029AF">
        <w:t>57</w:t>
      </w:r>
      <w:r w:rsidR="000A5329" w:rsidRPr="002029AF">
        <w:t xml:space="preserve"> </w:t>
      </w:r>
      <w:r w:rsidRPr="002029AF">
        <w:t>per</w:t>
      </w:r>
      <w:r w:rsidR="000A5329" w:rsidRPr="002029AF">
        <w:t xml:space="preserve"> </w:t>
      </w:r>
      <w:r w:rsidRPr="002029AF">
        <w:t>cent</w:t>
      </w:r>
      <w:r w:rsidR="000A5329" w:rsidRPr="002029AF">
        <w:t xml:space="preserve"> </w:t>
      </w:r>
      <w:r w:rsidRPr="002029AF">
        <w:t>of</w:t>
      </w:r>
      <w:r w:rsidR="000A5329" w:rsidRPr="002029AF">
        <w:t xml:space="preserve"> </w:t>
      </w:r>
      <w:r w:rsidRPr="002029AF">
        <w:t>total</w:t>
      </w:r>
      <w:r w:rsidR="000A5329" w:rsidRPr="002029AF">
        <w:t xml:space="preserve"> </w:t>
      </w:r>
      <w:r w:rsidRPr="002029AF">
        <w:t>office</w:t>
      </w:r>
      <w:r w:rsidR="000A5329" w:rsidRPr="002029AF">
        <w:t xml:space="preserve"> </w:t>
      </w:r>
      <w:r w:rsidRPr="002029AF">
        <w:t>area.</w:t>
      </w:r>
    </w:p>
    <w:p w14:paraId="75945A08" w14:textId="52690CB3" w:rsidR="00CF72D5" w:rsidRPr="002029AF" w:rsidRDefault="00CF72D5" w:rsidP="00897193">
      <w:pPr>
        <w:pStyle w:val="ARtablefootnote"/>
      </w:pPr>
      <w:r w:rsidRPr="002029AF">
        <w:t>Office-based</w:t>
      </w:r>
      <w:r w:rsidR="000A5329" w:rsidRPr="002029AF">
        <w:t xml:space="preserve"> </w:t>
      </w:r>
      <w:r w:rsidRPr="002029AF">
        <w:t>electricity</w:t>
      </w:r>
      <w:r w:rsidR="000A5329" w:rsidRPr="002029AF">
        <w:t xml:space="preserve"> </w:t>
      </w:r>
      <w:r w:rsidRPr="002029AF">
        <w:t>data</w:t>
      </w:r>
      <w:r w:rsidR="000A5329" w:rsidRPr="002029AF">
        <w:t xml:space="preserve"> </w:t>
      </w:r>
      <w:r w:rsidRPr="002029AF">
        <w:t>includes</w:t>
      </w:r>
      <w:r w:rsidR="000A5329" w:rsidRPr="002029AF">
        <w:t xml:space="preserve"> </w:t>
      </w:r>
      <w:r w:rsidRPr="002029AF">
        <w:t>a</w:t>
      </w:r>
      <w:r w:rsidR="000A5329" w:rsidRPr="002029AF">
        <w:t xml:space="preserve"> </w:t>
      </w:r>
      <w:r w:rsidRPr="002029AF">
        <w:t>4</w:t>
      </w:r>
      <w:r w:rsidR="000A5329" w:rsidRPr="002029AF">
        <w:t xml:space="preserve"> </w:t>
      </w:r>
      <w:r w:rsidRPr="002029AF">
        <w:t>per</w:t>
      </w:r>
      <w:r w:rsidR="000A5329" w:rsidRPr="002029AF">
        <w:t xml:space="preserve"> </w:t>
      </w:r>
      <w:r w:rsidRPr="002029AF">
        <w:t>cent</w:t>
      </w:r>
      <w:r w:rsidR="000A5329" w:rsidRPr="002029AF">
        <w:t xml:space="preserve"> </w:t>
      </w:r>
      <w:r w:rsidRPr="002029AF">
        <w:t>estimate</w:t>
      </w:r>
      <w:r w:rsidR="000A5329" w:rsidRPr="002029AF">
        <w:t xml:space="preserve"> </w:t>
      </w:r>
      <w:r w:rsidRPr="002029AF">
        <w:t>and</w:t>
      </w:r>
      <w:r w:rsidR="000A5329" w:rsidRPr="002029AF">
        <w:t xml:space="preserve"> </w:t>
      </w:r>
      <w:r w:rsidRPr="002029AF">
        <w:t>office-based</w:t>
      </w:r>
      <w:r w:rsidR="000A5329" w:rsidRPr="002029AF">
        <w:t xml:space="preserve"> </w:t>
      </w:r>
      <w:r w:rsidRPr="002029AF">
        <w:t>gas</w:t>
      </w:r>
      <w:r w:rsidR="000A5329" w:rsidRPr="002029AF">
        <w:t xml:space="preserve"> </w:t>
      </w:r>
      <w:r w:rsidRPr="002029AF">
        <w:t>data</w:t>
      </w:r>
      <w:r w:rsidR="000A5329" w:rsidRPr="002029AF">
        <w:t xml:space="preserve"> </w:t>
      </w:r>
      <w:r w:rsidRPr="002029AF">
        <w:t>includes</w:t>
      </w:r>
      <w:r w:rsidR="000A5329" w:rsidRPr="002029AF">
        <w:t xml:space="preserve"> </w:t>
      </w:r>
      <w:r w:rsidRPr="002029AF">
        <w:t>a</w:t>
      </w:r>
      <w:r w:rsidR="000A5329" w:rsidRPr="002029AF">
        <w:t xml:space="preserve"> </w:t>
      </w:r>
      <w:r w:rsidRPr="002029AF">
        <w:t>39</w:t>
      </w:r>
      <w:r w:rsidR="000A5329" w:rsidRPr="002029AF">
        <w:t xml:space="preserve"> </w:t>
      </w:r>
      <w:r w:rsidRPr="002029AF">
        <w:t>per</w:t>
      </w:r>
      <w:r w:rsidR="000A5329" w:rsidRPr="002029AF">
        <w:t xml:space="preserve"> </w:t>
      </w:r>
      <w:r w:rsidRPr="002029AF">
        <w:t>cent</w:t>
      </w:r>
      <w:r w:rsidR="000A5329" w:rsidRPr="002029AF">
        <w:t xml:space="preserve"> </w:t>
      </w:r>
      <w:r w:rsidRPr="002029AF">
        <w:t>estimate</w:t>
      </w:r>
      <w:r w:rsidR="000A5329" w:rsidRPr="002029AF">
        <w:t xml:space="preserve"> </w:t>
      </w:r>
      <w:r w:rsidRPr="002029AF">
        <w:t>in</w:t>
      </w:r>
      <w:r w:rsidR="000A5329" w:rsidRPr="002029AF">
        <w:t xml:space="preserve"> </w:t>
      </w:r>
      <w:r w:rsidRPr="002029AF">
        <w:t>201</w:t>
      </w:r>
      <w:r w:rsidR="00DB53E6" w:rsidRPr="002029AF">
        <w:t>9–</w:t>
      </w:r>
      <w:r w:rsidRPr="002029AF">
        <w:t>20</w:t>
      </w:r>
      <w:r w:rsidR="000A5329" w:rsidRPr="002029AF">
        <w:t xml:space="preserve"> </w:t>
      </w:r>
      <w:r w:rsidRPr="002029AF">
        <w:t>due</w:t>
      </w:r>
      <w:r w:rsidR="000A5329" w:rsidRPr="002029AF">
        <w:t xml:space="preserve"> </w:t>
      </w:r>
      <w:r w:rsidRPr="002029AF">
        <w:t>to</w:t>
      </w:r>
      <w:r w:rsidR="000A5329" w:rsidRPr="002029AF">
        <w:t xml:space="preserve"> </w:t>
      </w:r>
      <w:r w:rsidRPr="002029AF">
        <w:t>some</w:t>
      </w:r>
      <w:r w:rsidR="000A5329" w:rsidRPr="002029AF">
        <w:t xml:space="preserve"> </w:t>
      </w:r>
      <w:r w:rsidRPr="002029AF">
        <w:t>data</w:t>
      </w:r>
      <w:r w:rsidR="000A5329" w:rsidRPr="002029AF">
        <w:t xml:space="preserve"> </w:t>
      </w:r>
      <w:r w:rsidRPr="002029AF">
        <w:t>being</w:t>
      </w:r>
      <w:r w:rsidR="000A5329" w:rsidRPr="002029AF">
        <w:t xml:space="preserve"> </w:t>
      </w:r>
      <w:r w:rsidRPr="002029AF">
        <w:t>unavailable</w:t>
      </w:r>
      <w:r w:rsidR="000A5329" w:rsidRPr="002029AF">
        <w:t xml:space="preserve"> </w:t>
      </w:r>
      <w:r w:rsidRPr="002029AF">
        <w:t>from</w:t>
      </w:r>
      <w:r w:rsidR="000A5329" w:rsidRPr="002029AF">
        <w:t xml:space="preserve"> </w:t>
      </w:r>
      <w:r w:rsidRPr="002029AF">
        <w:t>energy</w:t>
      </w:r>
      <w:r w:rsidR="000A5329" w:rsidRPr="002029AF">
        <w:t xml:space="preserve"> </w:t>
      </w:r>
      <w:r w:rsidRPr="002029AF">
        <w:t>retailers</w:t>
      </w:r>
      <w:r w:rsidR="000A5329" w:rsidRPr="002029AF">
        <w:t xml:space="preserve"> </w:t>
      </w:r>
      <w:r w:rsidRPr="002029AF">
        <w:t>at</w:t>
      </w:r>
      <w:r w:rsidR="000A5329" w:rsidRPr="002029AF">
        <w:t xml:space="preserve"> </w:t>
      </w:r>
      <w:r w:rsidRPr="002029AF">
        <w:t>the</w:t>
      </w:r>
      <w:r w:rsidR="000A5329" w:rsidRPr="002029AF">
        <w:t xml:space="preserve"> </w:t>
      </w:r>
      <w:r w:rsidRPr="002029AF">
        <w:t>time</w:t>
      </w:r>
      <w:r w:rsidR="000A5329" w:rsidRPr="002029AF">
        <w:t xml:space="preserve"> </w:t>
      </w:r>
      <w:r w:rsidRPr="002029AF">
        <w:t>of</w:t>
      </w:r>
      <w:r w:rsidR="000A5329" w:rsidRPr="002029AF">
        <w:t xml:space="preserve"> </w:t>
      </w:r>
      <w:r w:rsidRPr="002029AF">
        <w:t>reporting.</w:t>
      </w:r>
    </w:p>
    <w:p w14:paraId="574EEB40" w14:textId="14C343D0" w:rsidR="00CF72D5" w:rsidRPr="002029AF" w:rsidRDefault="00CF72D5" w:rsidP="00897193">
      <w:pPr>
        <w:pStyle w:val="ARtablefootnote"/>
      </w:pPr>
      <w:r w:rsidRPr="002029AF">
        <w:t>($M)</w:t>
      </w:r>
      <w:r w:rsidR="000A5329" w:rsidRPr="002029AF">
        <w:t xml:space="preserve"> </w:t>
      </w:r>
      <w:r w:rsidRPr="002029AF">
        <w:t>Million</w:t>
      </w:r>
    </w:p>
    <w:p w14:paraId="09A3EA51" w14:textId="6FAE1180" w:rsidR="00CF72D5" w:rsidRPr="002029AF" w:rsidRDefault="00CF72D5" w:rsidP="00961519">
      <w:pPr>
        <w:pStyle w:val="Heading5"/>
        <w:spacing w:before="400" w:after="200"/>
        <w:rPr>
          <w:rFonts w:ascii="Arial Bold" w:hAnsi="Arial Bold"/>
          <w:color w:val="4B4B4B"/>
        </w:rPr>
      </w:pPr>
      <w:r w:rsidRPr="002029AF">
        <w:rPr>
          <w:rFonts w:ascii="Arial Bold" w:hAnsi="Arial Bold"/>
          <w:color w:val="4B4B4B"/>
        </w:rPr>
        <w:t>Housing</w:t>
      </w:r>
      <w:r w:rsidR="000A5329" w:rsidRPr="002029AF">
        <w:rPr>
          <w:rFonts w:ascii="Arial Bold" w:hAnsi="Arial Bold"/>
          <w:color w:val="4B4B4B"/>
        </w:rPr>
        <w:t xml:space="preserve"> </w:t>
      </w:r>
      <w:r w:rsidRPr="002029AF">
        <w:rPr>
          <w:rFonts w:ascii="Arial Bold" w:hAnsi="Arial Bold"/>
          <w:color w:val="4B4B4B"/>
        </w:rPr>
        <w:t>services</w:t>
      </w:r>
    </w:p>
    <w:p w14:paraId="7060E6C3" w14:textId="77777777" w:rsidR="00CF72D5" w:rsidRPr="002029AF" w:rsidRDefault="00CF72D5" w:rsidP="00961519">
      <w:pPr>
        <w:pStyle w:val="Heading6"/>
        <w:spacing w:before="0" w:after="200"/>
        <w:rPr>
          <w:rFonts w:ascii="Arial Bold" w:hAnsi="Arial Bold"/>
          <w:lang w:val="en-AU" w:eastAsia="en-AU"/>
        </w:rPr>
      </w:pPr>
      <w:r w:rsidRPr="002029AF">
        <w:rPr>
          <w:rFonts w:ascii="Arial Bold" w:hAnsi="Arial Bold"/>
          <w:lang w:val="en-AU" w:eastAsia="en-AU"/>
        </w:rPr>
        <w:t>Electricity</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Layout w:type="fixed"/>
        <w:tblCellMar>
          <w:left w:w="0" w:type="dxa"/>
        </w:tblCellMar>
        <w:tblLook w:val="00A0" w:firstRow="1" w:lastRow="0" w:firstColumn="1" w:lastColumn="0" w:noHBand="0" w:noVBand="0"/>
      </w:tblPr>
      <w:tblGrid>
        <w:gridCol w:w="1954"/>
        <w:gridCol w:w="1215"/>
        <w:gridCol w:w="995"/>
        <w:gridCol w:w="1425"/>
        <w:gridCol w:w="1116"/>
        <w:gridCol w:w="1677"/>
        <w:gridCol w:w="1257"/>
      </w:tblGrid>
      <w:tr w:rsidR="00CF72D5" w:rsidRPr="002029AF" w14:paraId="497EC653" w14:textId="77777777" w:rsidTr="00D40FE6">
        <w:trPr>
          <w:cantSplit/>
          <w:trHeight w:val="230"/>
          <w:tblHeader/>
        </w:trPr>
        <w:tc>
          <w:tcPr>
            <w:tcW w:w="1013" w:type="pct"/>
            <w:vAlign w:val="bottom"/>
          </w:tcPr>
          <w:p w14:paraId="5081AFAA" w14:textId="77777777" w:rsidR="00CF72D5" w:rsidRPr="002029AF" w:rsidRDefault="00CF72D5" w:rsidP="00897193">
            <w:pPr>
              <w:pStyle w:val="ARtablecolhead"/>
            </w:pPr>
            <w:r w:rsidRPr="002029AF">
              <w:t>Description</w:t>
            </w:r>
          </w:p>
        </w:tc>
        <w:tc>
          <w:tcPr>
            <w:tcW w:w="630" w:type="pct"/>
            <w:vAlign w:val="center"/>
          </w:tcPr>
          <w:p w14:paraId="1A3CEB18" w14:textId="1CD3C65A" w:rsidR="00CF72D5" w:rsidRPr="002029AF" w:rsidRDefault="00CF72D5" w:rsidP="00897193">
            <w:pPr>
              <w:pStyle w:val="ARtablecolheadright"/>
            </w:pPr>
            <w:r w:rsidRPr="002029AF">
              <w:t>2019–20</w:t>
            </w:r>
            <w:r w:rsidR="000A5329" w:rsidRPr="002029AF">
              <w:t xml:space="preserve"> </w:t>
            </w:r>
            <w:r w:rsidRPr="002029AF">
              <w:br/>
              <w:t>estimate</w:t>
            </w:r>
          </w:p>
        </w:tc>
        <w:tc>
          <w:tcPr>
            <w:tcW w:w="516" w:type="pct"/>
            <w:vAlign w:val="center"/>
          </w:tcPr>
          <w:p w14:paraId="2E13C57F" w14:textId="0D47E2DB" w:rsidR="00CF72D5" w:rsidRPr="002029AF" w:rsidRDefault="00CF72D5" w:rsidP="00897193">
            <w:pPr>
              <w:pStyle w:val="ARtablecolheadright"/>
            </w:pPr>
            <w:r w:rsidRPr="002029AF">
              <w:t>2019–20</w:t>
            </w:r>
            <w:r w:rsidR="000A5329" w:rsidRPr="002029AF">
              <w:t xml:space="preserve"> </w:t>
            </w:r>
            <w:r w:rsidRPr="002029AF">
              <w:br/>
              <w:t>estimate</w:t>
            </w:r>
          </w:p>
        </w:tc>
        <w:tc>
          <w:tcPr>
            <w:tcW w:w="739" w:type="pct"/>
            <w:vAlign w:val="center"/>
          </w:tcPr>
          <w:p w14:paraId="478C6171" w14:textId="5BA83688" w:rsidR="00CF72D5" w:rsidRPr="002029AF" w:rsidRDefault="00CF72D5" w:rsidP="00897193">
            <w:pPr>
              <w:pStyle w:val="ARtablecolheadright"/>
            </w:pPr>
            <w:r w:rsidRPr="002029AF">
              <w:t>2018–19</w:t>
            </w:r>
            <w:r w:rsidR="000A5329" w:rsidRPr="002029AF">
              <w:t xml:space="preserve"> </w:t>
            </w:r>
            <w:r w:rsidRPr="002029AF">
              <w:br/>
              <w:t>estimate</w:t>
            </w:r>
          </w:p>
        </w:tc>
        <w:tc>
          <w:tcPr>
            <w:tcW w:w="579" w:type="pct"/>
            <w:vAlign w:val="center"/>
          </w:tcPr>
          <w:p w14:paraId="6F8310C0" w14:textId="58FD137A" w:rsidR="00CF72D5" w:rsidRPr="002029AF" w:rsidRDefault="00CF72D5" w:rsidP="00897193">
            <w:pPr>
              <w:pStyle w:val="ARtablecolheadright"/>
            </w:pPr>
            <w:r w:rsidRPr="002029AF">
              <w:t>2018–19</w:t>
            </w:r>
            <w:r w:rsidR="000A5329" w:rsidRPr="002029AF">
              <w:t xml:space="preserve"> </w:t>
            </w:r>
            <w:r w:rsidRPr="002029AF">
              <w:br/>
              <w:t>estimate</w:t>
            </w:r>
          </w:p>
        </w:tc>
        <w:tc>
          <w:tcPr>
            <w:tcW w:w="870" w:type="pct"/>
            <w:vAlign w:val="center"/>
          </w:tcPr>
          <w:p w14:paraId="12269AC0" w14:textId="77431A66" w:rsidR="00CF72D5" w:rsidRPr="002029AF" w:rsidRDefault="00CF72D5" w:rsidP="00897193">
            <w:pPr>
              <w:pStyle w:val="ARtablecolheadright"/>
            </w:pPr>
            <w:r w:rsidRPr="002029AF">
              <w:t>2017–18</w:t>
            </w:r>
            <w:r w:rsidR="000A5329" w:rsidRPr="002029AF">
              <w:t xml:space="preserve"> </w:t>
            </w:r>
            <w:r w:rsidRPr="002029AF">
              <w:br/>
              <w:t>estimate</w:t>
            </w:r>
          </w:p>
        </w:tc>
        <w:tc>
          <w:tcPr>
            <w:tcW w:w="652" w:type="pct"/>
            <w:vAlign w:val="center"/>
          </w:tcPr>
          <w:p w14:paraId="6E0B7B1C" w14:textId="3B37232C" w:rsidR="00CF72D5" w:rsidRPr="002029AF" w:rsidRDefault="00CF72D5" w:rsidP="00897193">
            <w:pPr>
              <w:pStyle w:val="ARtablecolheadright"/>
            </w:pPr>
            <w:r w:rsidRPr="002029AF">
              <w:t>2017–18</w:t>
            </w:r>
            <w:r w:rsidR="000A5329" w:rsidRPr="002029AF">
              <w:t xml:space="preserve"> </w:t>
            </w:r>
            <w:r w:rsidRPr="002029AF">
              <w:br/>
              <w:t>estimate</w:t>
            </w:r>
          </w:p>
        </w:tc>
      </w:tr>
      <w:tr w:rsidR="00CF72D5" w:rsidRPr="002029AF" w14:paraId="6A2A4CB4" w14:textId="77777777" w:rsidTr="00D40FE6">
        <w:trPr>
          <w:cantSplit/>
          <w:trHeight w:val="335"/>
          <w:tblHeader/>
        </w:trPr>
        <w:tc>
          <w:tcPr>
            <w:tcW w:w="1013" w:type="pct"/>
            <w:vAlign w:val="bottom"/>
          </w:tcPr>
          <w:p w14:paraId="1F8B4063" w14:textId="2F6CD567" w:rsidR="00CF72D5" w:rsidRPr="002029AF" w:rsidRDefault="00CF72D5" w:rsidP="00897193">
            <w:pPr>
              <w:pStyle w:val="ARtablecolhead"/>
            </w:pPr>
            <w:r w:rsidRPr="002029AF">
              <w:t>Total</w:t>
            </w:r>
            <w:r w:rsidR="000A5329" w:rsidRPr="002029AF">
              <w:t xml:space="preserve"> </w:t>
            </w:r>
            <w:r w:rsidRPr="002029AF">
              <w:t>energy</w:t>
            </w:r>
            <w:r w:rsidR="000A5329" w:rsidRPr="002029AF">
              <w:t xml:space="preserve"> </w:t>
            </w:r>
            <w:r w:rsidRPr="002029AF">
              <w:t>usage</w:t>
            </w:r>
            <w:r w:rsidR="000A5329" w:rsidRPr="002029AF">
              <w:t xml:space="preserve"> </w:t>
            </w:r>
            <w:r w:rsidRPr="002029AF">
              <w:t>segmented</w:t>
            </w:r>
            <w:r w:rsidR="000A5329" w:rsidRPr="002029AF">
              <w:t xml:space="preserve"> </w:t>
            </w:r>
            <w:r w:rsidRPr="002029AF">
              <w:t>by</w:t>
            </w:r>
            <w:r w:rsidR="000A5329" w:rsidRPr="002029AF">
              <w:t xml:space="preserve"> </w:t>
            </w:r>
            <w:r w:rsidRPr="002029AF">
              <w:t>primary</w:t>
            </w:r>
            <w:r w:rsidR="000A5329" w:rsidRPr="002029AF">
              <w:t xml:space="preserve"> </w:t>
            </w:r>
            <w:r w:rsidRPr="002029AF">
              <w:t>source</w:t>
            </w:r>
          </w:p>
        </w:tc>
        <w:tc>
          <w:tcPr>
            <w:tcW w:w="630" w:type="pct"/>
            <w:vAlign w:val="bottom"/>
          </w:tcPr>
          <w:p w14:paraId="3C31CE76" w14:textId="77777777" w:rsidR="00CF72D5" w:rsidRPr="002029AF" w:rsidRDefault="00CF72D5" w:rsidP="00897193">
            <w:pPr>
              <w:pStyle w:val="ARtablecolheadright"/>
            </w:pPr>
            <w:r w:rsidRPr="002029AF">
              <w:t>Megajoules</w:t>
            </w:r>
          </w:p>
        </w:tc>
        <w:tc>
          <w:tcPr>
            <w:tcW w:w="516" w:type="pct"/>
            <w:vAlign w:val="bottom"/>
          </w:tcPr>
          <w:p w14:paraId="5DCA5D0E" w14:textId="77777777" w:rsidR="00CF72D5" w:rsidRPr="002029AF" w:rsidRDefault="00CF72D5" w:rsidP="00897193">
            <w:pPr>
              <w:pStyle w:val="ARtablecolheadright"/>
            </w:pPr>
            <w:r w:rsidRPr="002029AF">
              <w:t>Cost</w:t>
            </w:r>
          </w:p>
          <w:p w14:paraId="3760DA46" w14:textId="77777777" w:rsidR="00CF72D5" w:rsidRPr="002029AF" w:rsidRDefault="00CF72D5" w:rsidP="00897193">
            <w:pPr>
              <w:pStyle w:val="ARtablecolheadright"/>
            </w:pPr>
            <w:r w:rsidRPr="002029AF">
              <w:t>($M)</w:t>
            </w:r>
          </w:p>
        </w:tc>
        <w:tc>
          <w:tcPr>
            <w:tcW w:w="739" w:type="pct"/>
            <w:vAlign w:val="bottom"/>
          </w:tcPr>
          <w:p w14:paraId="19A27065" w14:textId="77777777" w:rsidR="00CF72D5" w:rsidRPr="002029AF" w:rsidRDefault="00CF72D5" w:rsidP="00897193">
            <w:pPr>
              <w:pStyle w:val="ARtablecolheadright"/>
            </w:pPr>
            <w:r w:rsidRPr="002029AF">
              <w:t>Megajoules</w:t>
            </w:r>
          </w:p>
        </w:tc>
        <w:tc>
          <w:tcPr>
            <w:tcW w:w="579" w:type="pct"/>
            <w:vAlign w:val="bottom"/>
          </w:tcPr>
          <w:p w14:paraId="07BE98AE" w14:textId="77777777" w:rsidR="00CF72D5" w:rsidRPr="002029AF" w:rsidRDefault="00CF72D5" w:rsidP="00897193">
            <w:pPr>
              <w:pStyle w:val="ARtablecolheadright"/>
            </w:pPr>
            <w:r w:rsidRPr="002029AF">
              <w:t>Cost</w:t>
            </w:r>
          </w:p>
          <w:p w14:paraId="35F3F15A" w14:textId="77777777" w:rsidR="00CF72D5" w:rsidRPr="002029AF" w:rsidRDefault="00CF72D5" w:rsidP="00897193">
            <w:pPr>
              <w:pStyle w:val="ARtablecolheadright"/>
            </w:pPr>
            <w:r w:rsidRPr="002029AF">
              <w:t>($M)</w:t>
            </w:r>
          </w:p>
        </w:tc>
        <w:tc>
          <w:tcPr>
            <w:tcW w:w="870" w:type="pct"/>
            <w:vAlign w:val="bottom"/>
          </w:tcPr>
          <w:p w14:paraId="6A7ECEA1" w14:textId="77777777" w:rsidR="00CF72D5" w:rsidRPr="002029AF" w:rsidRDefault="00CF72D5" w:rsidP="00897193">
            <w:pPr>
              <w:pStyle w:val="ARtablecolheadright"/>
            </w:pPr>
            <w:r w:rsidRPr="002029AF">
              <w:t>Megajoules</w:t>
            </w:r>
          </w:p>
        </w:tc>
        <w:tc>
          <w:tcPr>
            <w:tcW w:w="652" w:type="pct"/>
            <w:vAlign w:val="bottom"/>
          </w:tcPr>
          <w:p w14:paraId="1DC9D487" w14:textId="77777777" w:rsidR="00CF72D5" w:rsidRPr="002029AF" w:rsidRDefault="00CF72D5" w:rsidP="00897193">
            <w:pPr>
              <w:pStyle w:val="ARtablecolheadright"/>
            </w:pPr>
            <w:r w:rsidRPr="002029AF">
              <w:t>Cost</w:t>
            </w:r>
          </w:p>
          <w:p w14:paraId="62EAF0F2" w14:textId="77777777" w:rsidR="00CF72D5" w:rsidRPr="002029AF" w:rsidRDefault="00CF72D5" w:rsidP="00897193">
            <w:pPr>
              <w:pStyle w:val="ARtablecolheadright"/>
            </w:pPr>
            <w:r w:rsidRPr="002029AF">
              <w:t>($M)</w:t>
            </w:r>
          </w:p>
        </w:tc>
      </w:tr>
      <w:tr w:rsidR="00CF72D5" w:rsidRPr="002029AF" w14:paraId="3EAB348A" w14:textId="77777777" w:rsidTr="00D40FE6">
        <w:trPr>
          <w:cantSplit/>
          <w:trHeight w:val="335"/>
        </w:trPr>
        <w:tc>
          <w:tcPr>
            <w:tcW w:w="1013" w:type="pct"/>
          </w:tcPr>
          <w:p w14:paraId="73CD7898" w14:textId="5E1704D0" w:rsidR="00CF72D5" w:rsidRPr="002029AF" w:rsidRDefault="00CF72D5" w:rsidP="00897193">
            <w:pPr>
              <w:pStyle w:val="ARtabletext"/>
            </w:pPr>
            <w:r w:rsidRPr="002029AF">
              <w:t>High-rise</w:t>
            </w:r>
            <w:r w:rsidR="000A5329" w:rsidRPr="002029AF">
              <w:t xml:space="preserve"> </w:t>
            </w:r>
            <w:r w:rsidRPr="002029AF">
              <w:t>public</w:t>
            </w:r>
            <w:r w:rsidR="000A5329" w:rsidRPr="002029AF">
              <w:t xml:space="preserve"> </w:t>
            </w:r>
            <w:r w:rsidRPr="002029AF">
              <w:t>housing</w:t>
            </w:r>
            <w:r w:rsidR="000A5329" w:rsidRPr="002029AF">
              <w:t xml:space="preserve"> </w:t>
            </w:r>
            <w:r w:rsidRPr="002029AF">
              <w:t>electricity</w:t>
            </w:r>
            <w:r w:rsidR="000A5329" w:rsidRPr="002029AF">
              <w:t xml:space="preserve"> </w:t>
            </w:r>
            <w:r w:rsidRPr="002029AF">
              <w:t>use</w:t>
            </w:r>
            <w:r w:rsidR="000A5329" w:rsidRPr="002029AF">
              <w:t xml:space="preserve"> </w:t>
            </w:r>
          </w:p>
        </w:tc>
        <w:tc>
          <w:tcPr>
            <w:tcW w:w="630" w:type="pct"/>
            <w:vAlign w:val="center"/>
          </w:tcPr>
          <w:p w14:paraId="2C984BF1" w14:textId="5F302CFE" w:rsidR="00CF72D5" w:rsidRPr="002029AF" w:rsidRDefault="00CF72D5" w:rsidP="00897193">
            <w:pPr>
              <w:pStyle w:val="ARtabletextright"/>
            </w:pPr>
            <w:r w:rsidRPr="002029AF">
              <w:t>48,443,489</w:t>
            </w:r>
          </w:p>
        </w:tc>
        <w:tc>
          <w:tcPr>
            <w:tcW w:w="516" w:type="pct"/>
            <w:vAlign w:val="center"/>
          </w:tcPr>
          <w:p w14:paraId="69A6259B" w14:textId="77777777" w:rsidR="00CF72D5" w:rsidRPr="002029AF" w:rsidRDefault="00CF72D5" w:rsidP="00897193">
            <w:pPr>
              <w:pStyle w:val="ARtabletextright"/>
            </w:pPr>
            <w:r w:rsidRPr="002029AF">
              <w:t>$2.86</w:t>
            </w:r>
          </w:p>
        </w:tc>
        <w:tc>
          <w:tcPr>
            <w:tcW w:w="739" w:type="pct"/>
            <w:vAlign w:val="center"/>
          </w:tcPr>
          <w:p w14:paraId="25FD88F9" w14:textId="58C58B16" w:rsidR="00CF72D5" w:rsidRPr="002029AF" w:rsidRDefault="00CF72D5" w:rsidP="00897193">
            <w:pPr>
              <w:pStyle w:val="ARtabletextright"/>
            </w:pPr>
            <w:r w:rsidRPr="002029AF">
              <w:t>53,328,245</w:t>
            </w:r>
          </w:p>
        </w:tc>
        <w:tc>
          <w:tcPr>
            <w:tcW w:w="579" w:type="pct"/>
            <w:vAlign w:val="center"/>
          </w:tcPr>
          <w:p w14:paraId="0A7C6DE2" w14:textId="77777777" w:rsidR="00CF72D5" w:rsidRPr="002029AF" w:rsidRDefault="00CF72D5" w:rsidP="00897193">
            <w:pPr>
              <w:pStyle w:val="ARtabletextright"/>
            </w:pPr>
            <w:r w:rsidRPr="002029AF">
              <w:t>$3.16</w:t>
            </w:r>
          </w:p>
        </w:tc>
        <w:tc>
          <w:tcPr>
            <w:tcW w:w="870" w:type="pct"/>
            <w:vAlign w:val="center"/>
          </w:tcPr>
          <w:p w14:paraId="62903E22" w14:textId="555CE7CC" w:rsidR="00CF72D5" w:rsidRPr="002029AF" w:rsidRDefault="00CF72D5" w:rsidP="00897193">
            <w:pPr>
              <w:pStyle w:val="ARtabletextright"/>
            </w:pPr>
            <w:r w:rsidRPr="002029AF">
              <w:t>53,960,702</w:t>
            </w:r>
          </w:p>
        </w:tc>
        <w:tc>
          <w:tcPr>
            <w:tcW w:w="652" w:type="pct"/>
            <w:vAlign w:val="center"/>
          </w:tcPr>
          <w:p w14:paraId="52AC7FAF" w14:textId="77777777" w:rsidR="00CF72D5" w:rsidRPr="002029AF" w:rsidRDefault="00CF72D5" w:rsidP="00897193">
            <w:pPr>
              <w:pStyle w:val="ARtabletextright"/>
            </w:pPr>
            <w:r w:rsidRPr="002029AF">
              <w:t>$2.82</w:t>
            </w:r>
          </w:p>
        </w:tc>
      </w:tr>
      <w:tr w:rsidR="00CF72D5" w:rsidRPr="002029AF" w14:paraId="1BB245E8" w14:textId="77777777" w:rsidTr="00D40FE6">
        <w:trPr>
          <w:cantSplit/>
          <w:trHeight w:val="335"/>
        </w:trPr>
        <w:tc>
          <w:tcPr>
            <w:tcW w:w="1013" w:type="pct"/>
          </w:tcPr>
          <w:p w14:paraId="490B756A" w14:textId="7813E965" w:rsidR="00CF72D5" w:rsidRPr="002029AF" w:rsidRDefault="00CF72D5" w:rsidP="00897193">
            <w:pPr>
              <w:pStyle w:val="ARtabletext"/>
            </w:pPr>
            <w:r w:rsidRPr="002029AF">
              <w:t>Other</w:t>
            </w:r>
            <w:r w:rsidR="000A5329" w:rsidRPr="002029AF">
              <w:t xml:space="preserve"> </w:t>
            </w:r>
            <w:r w:rsidRPr="002029AF">
              <w:t>public</w:t>
            </w:r>
            <w:r w:rsidR="000A5329" w:rsidRPr="002029AF">
              <w:t xml:space="preserve"> </w:t>
            </w:r>
            <w:r w:rsidRPr="002029AF">
              <w:t>housing</w:t>
            </w:r>
            <w:r w:rsidR="000A5329" w:rsidRPr="002029AF">
              <w:t xml:space="preserve"> </w:t>
            </w:r>
            <w:r w:rsidRPr="002029AF">
              <w:t>electricity</w:t>
            </w:r>
            <w:r w:rsidR="000A5329" w:rsidRPr="002029AF">
              <w:t xml:space="preserve"> </w:t>
            </w:r>
            <w:r w:rsidRPr="002029AF">
              <w:t>use</w:t>
            </w:r>
          </w:p>
        </w:tc>
        <w:tc>
          <w:tcPr>
            <w:tcW w:w="630" w:type="pct"/>
            <w:vAlign w:val="center"/>
          </w:tcPr>
          <w:p w14:paraId="57A430D5" w14:textId="228BC44B" w:rsidR="00CF72D5" w:rsidRPr="002029AF" w:rsidRDefault="00CF72D5" w:rsidP="00897193">
            <w:pPr>
              <w:pStyle w:val="ARtabletextright"/>
            </w:pPr>
            <w:r w:rsidRPr="002029AF">
              <w:t>30,841,246</w:t>
            </w:r>
          </w:p>
        </w:tc>
        <w:tc>
          <w:tcPr>
            <w:tcW w:w="516" w:type="pct"/>
            <w:vAlign w:val="center"/>
          </w:tcPr>
          <w:p w14:paraId="50F2469A" w14:textId="77777777" w:rsidR="00CF72D5" w:rsidRPr="002029AF" w:rsidRDefault="00CF72D5" w:rsidP="00897193">
            <w:pPr>
              <w:pStyle w:val="ARtabletextright"/>
            </w:pPr>
            <w:r w:rsidRPr="002029AF">
              <w:t>$2.32</w:t>
            </w:r>
          </w:p>
        </w:tc>
        <w:tc>
          <w:tcPr>
            <w:tcW w:w="739" w:type="pct"/>
            <w:vAlign w:val="center"/>
          </w:tcPr>
          <w:p w14:paraId="798B5902" w14:textId="5A6E68F3" w:rsidR="00CF72D5" w:rsidRPr="002029AF" w:rsidRDefault="00CF72D5" w:rsidP="00897193">
            <w:pPr>
              <w:pStyle w:val="ARtabletextright"/>
            </w:pPr>
            <w:r w:rsidRPr="002029AF">
              <w:t>32,172,003</w:t>
            </w:r>
          </w:p>
        </w:tc>
        <w:tc>
          <w:tcPr>
            <w:tcW w:w="579" w:type="pct"/>
            <w:vAlign w:val="center"/>
          </w:tcPr>
          <w:p w14:paraId="71E2A479" w14:textId="77777777" w:rsidR="00CF72D5" w:rsidRPr="002029AF" w:rsidRDefault="00CF72D5" w:rsidP="00897193">
            <w:pPr>
              <w:pStyle w:val="ARtabletextright"/>
            </w:pPr>
            <w:r w:rsidRPr="002029AF">
              <w:t>$2.30</w:t>
            </w:r>
          </w:p>
        </w:tc>
        <w:tc>
          <w:tcPr>
            <w:tcW w:w="870" w:type="pct"/>
            <w:vAlign w:val="center"/>
          </w:tcPr>
          <w:p w14:paraId="1ECCB4D0" w14:textId="2AB37709" w:rsidR="00CF72D5" w:rsidRPr="002029AF" w:rsidRDefault="00CF72D5" w:rsidP="00897193">
            <w:pPr>
              <w:pStyle w:val="ARtabletextright"/>
            </w:pPr>
            <w:r w:rsidRPr="002029AF">
              <w:t>28,630,285</w:t>
            </w:r>
          </w:p>
        </w:tc>
        <w:tc>
          <w:tcPr>
            <w:tcW w:w="652" w:type="pct"/>
            <w:vAlign w:val="center"/>
          </w:tcPr>
          <w:p w14:paraId="2E4156F8" w14:textId="77777777" w:rsidR="00CF72D5" w:rsidRPr="002029AF" w:rsidRDefault="00CF72D5" w:rsidP="00897193">
            <w:pPr>
              <w:pStyle w:val="ARtabletextright"/>
            </w:pPr>
            <w:r w:rsidRPr="002029AF">
              <w:t>$1.79</w:t>
            </w:r>
          </w:p>
        </w:tc>
      </w:tr>
      <w:tr w:rsidR="00CF72D5" w:rsidRPr="002029AF" w14:paraId="1760E0E9" w14:textId="77777777" w:rsidTr="00D40FE6">
        <w:trPr>
          <w:cantSplit/>
          <w:trHeight w:val="379"/>
        </w:trPr>
        <w:tc>
          <w:tcPr>
            <w:tcW w:w="1013" w:type="pct"/>
          </w:tcPr>
          <w:p w14:paraId="213098A5" w14:textId="75B6E6EE" w:rsidR="00CF72D5" w:rsidRPr="002029AF" w:rsidRDefault="00CF72D5" w:rsidP="00897193">
            <w:pPr>
              <w:pStyle w:val="ARtabletext"/>
            </w:pPr>
            <w:r w:rsidRPr="002029AF">
              <w:t>Disability</w:t>
            </w:r>
            <w:r w:rsidR="000A5329" w:rsidRPr="002029AF">
              <w:t xml:space="preserve"> </w:t>
            </w:r>
            <w:r w:rsidRPr="002029AF">
              <w:t>housing</w:t>
            </w:r>
            <w:r w:rsidR="000A5329" w:rsidRPr="002029AF">
              <w:t xml:space="preserve"> </w:t>
            </w:r>
            <w:r w:rsidRPr="002029AF">
              <w:t>electricity</w:t>
            </w:r>
            <w:r w:rsidR="000A5329" w:rsidRPr="002029AF">
              <w:t xml:space="preserve"> </w:t>
            </w:r>
            <w:r w:rsidRPr="002029AF">
              <w:t>use</w:t>
            </w:r>
          </w:p>
        </w:tc>
        <w:tc>
          <w:tcPr>
            <w:tcW w:w="630" w:type="pct"/>
            <w:vAlign w:val="center"/>
          </w:tcPr>
          <w:p w14:paraId="605CB0BB" w14:textId="3461828A" w:rsidR="00CF72D5" w:rsidRPr="002029AF" w:rsidRDefault="00CF72D5" w:rsidP="00897193">
            <w:pPr>
              <w:pStyle w:val="ARtabletextright"/>
            </w:pPr>
            <w:r w:rsidRPr="002029AF">
              <w:t>38,767,983</w:t>
            </w:r>
          </w:p>
        </w:tc>
        <w:tc>
          <w:tcPr>
            <w:tcW w:w="516" w:type="pct"/>
            <w:vAlign w:val="center"/>
          </w:tcPr>
          <w:p w14:paraId="5EF4D803" w14:textId="77777777" w:rsidR="00CF72D5" w:rsidRPr="002029AF" w:rsidRDefault="00CF72D5" w:rsidP="00897193">
            <w:pPr>
              <w:pStyle w:val="ARtabletextright"/>
            </w:pPr>
            <w:r w:rsidRPr="002029AF">
              <w:t>$2.32</w:t>
            </w:r>
          </w:p>
        </w:tc>
        <w:tc>
          <w:tcPr>
            <w:tcW w:w="739" w:type="pct"/>
            <w:vAlign w:val="center"/>
          </w:tcPr>
          <w:p w14:paraId="720FE25F" w14:textId="52DCE972" w:rsidR="00CF72D5" w:rsidRPr="002029AF" w:rsidRDefault="00CF72D5" w:rsidP="00897193">
            <w:pPr>
              <w:pStyle w:val="ARtabletextright"/>
            </w:pPr>
            <w:r w:rsidRPr="002029AF">
              <w:t>40,866,431</w:t>
            </w:r>
          </w:p>
        </w:tc>
        <w:tc>
          <w:tcPr>
            <w:tcW w:w="579" w:type="pct"/>
            <w:vAlign w:val="center"/>
          </w:tcPr>
          <w:p w14:paraId="666C5D4E" w14:textId="77777777" w:rsidR="00CF72D5" w:rsidRPr="002029AF" w:rsidRDefault="00CF72D5" w:rsidP="00897193">
            <w:pPr>
              <w:pStyle w:val="ARtabletextright"/>
            </w:pPr>
            <w:r w:rsidRPr="002029AF">
              <w:t>$2.16</w:t>
            </w:r>
          </w:p>
        </w:tc>
        <w:tc>
          <w:tcPr>
            <w:tcW w:w="870" w:type="pct"/>
            <w:vAlign w:val="center"/>
          </w:tcPr>
          <w:p w14:paraId="664470D8" w14:textId="0F426299" w:rsidR="00CF72D5" w:rsidRPr="002029AF" w:rsidRDefault="00CF72D5" w:rsidP="00897193">
            <w:pPr>
              <w:pStyle w:val="ARtabletextright"/>
            </w:pPr>
            <w:r w:rsidRPr="002029AF">
              <w:t>35,933,664</w:t>
            </w:r>
          </w:p>
        </w:tc>
        <w:tc>
          <w:tcPr>
            <w:tcW w:w="652" w:type="pct"/>
            <w:vAlign w:val="center"/>
          </w:tcPr>
          <w:p w14:paraId="6AAA03CE" w14:textId="77777777" w:rsidR="00CF72D5" w:rsidRPr="002029AF" w:rsidRDefault="00CF72D5" w:rsidP="00897193">
            <w:pPr>
              <w:pStyle w:val="ARtabletextright"/>
            </w:pPr>
            <w:r w:rsidRPr="002029AF">
              <w:t>$1.60</w:t>
            </w:r>
          </w:p>
        </w:tc>
      </w:tr>
      <w:tr w:rsidR="00CF72D5" w:rsidRPr="002029AF" w14:paraId="232910B6" w14:textId="77777777" w:rsidTr="00D40FE6">
        <w:trPr>
          <w:cantSplit/>
          <w:trHeight w:val="379"/>
        </w:trPr>
        <w:tc>
          <w:tcPr>
            <w:tcW w:w="1013" w:type="pct"/>
          </w:tcPr>
          <w:p w14:paraId="7AA113C5" w14:textId="49D475D2" w:rsidR="00CF72D5" w:rsidRPr="002029AF" w:rsidRDefault="00CF72D5" w:rsidP="00897193">
            <w:pPr>
              <w:pStyle w:val="ARtabletext"/>
            </w:pPr>
            <w:r w:rsidRPr="002029AF">
              <w:lastRenderedPageBreak/>
              <w:t>Youth</w:t>
            </w:r>
            <w:r w:rsidR="000A5329" w:rsidRPr="002029AF">
              <w:t xml:space="preserve"> </w:t>
            </w:r>
            <w:r w:rsidRPr="002029AF">
              <w:t>and</w:t>
            </w:r>
            <w:r w:rsidR="000A5329" w:rsidRPr="002029AF">
              <w:t xml:space="preserve"> </w:t>
            </w:r>
            <w:r w:rsidRPr="002029AF">
              <w:t>family</w:t>
            </w:r>
            <w:r w:rsidR="000A5329" w:rsidRPr="002029AF">
              <w:t xml:space="preserve"> </w:t>
            </w:r>
            <w:r w:rsidRPr="002029AF">
              <w:t>welfare</w:t>
            </w:r>
            <w:r w:rsidR="000A5329" w:rsidRPr="002029AF">
              <w:t xml:space="preserve"> </w:t>
            </w:r>
            <w:r w:rsidRPr="002029AF">
              <w:t>electricity</w:t>
            </w:r>
            <w:r w:rsidR="000A5329" w:rsidRPr="002029AF">
              <w:t xml:space="preserve"> </w:t>
            </w:r>
            <w:r w:rsidRPr="002029AF">
              <w:t>use</w:t>
            </w:r>
          </w:p>
        </w:tc>
        <w:tc>
          <w:tcPr>
            <w:tcW w:w="630" w:type="pct"/>
            <w:vAlign w:val="center"/>
          </w:tcPr>
          <w:p w14:paraId="10807790" w14:textId="3CF5CC40" w:rsidR="00CF72D5" w:rsidRPr="002029AF" w:rsidRDefault="00CF72D5" w:rsidP="00897193">
            <w:pPr>
              <w:pStyle w:val="ARtabletextright"/>
            </w:pPr>
            <w:r w:rsidRPr="002029AF">
              <w:t>1,819,730</w:t>
            </w:r>
          </w:p>
        </w:tc>
        <w:tc>
          <w:tcPr>
            <w:tcW w:w="516" w:type="pct"/>
            <w:vAlign w:val="center"/>
          </w:tcPr>
          <w:p w14:paraId="2B7780B1" w14:textId="77777777" w:rsidR="00CF72D5" w:rsidRPr="002029AF" w:rsidRDefault="00CF72D5" w:rsidP="00897193">
            <w:pPr>
              <w:pStyle w:val="ARtabletextright"/>
            </w:pPr>
            <w:r w:rsidRPr="002029AF">
              <w:t>$0.12</w:t>
            </w:r>
          </w:p>
        </w:tc>
        <w:tc>
          <w:tcPr>
            <w:tcW w:w="739" w:type="pct"/>
            <w:vAlign w:val="center"/>
          </w:tcPr>
          <w:p w14:paraId="2290D4AE" w14:textId="5413ECA6" w:rsidR="00CF72D5" w:rsidRPr="002029AF" w:rsidRDefault="00CF72D5" w:rsidP="00897193">
            <w:pPr>
              <w:pStyle w:val="ARtabletextright"/>
            </w:pPr>
            <w:r w:rsidRPr="002029AF">
              <w:t>1,888,050</w:t>
            </w:r>
          </w:p>
        </w:tc>
        <w:tc>
          <w:tcPr>
            <w:tcW w:w="579" w:type="pct"/>
            <w:vAlign w:val="center"/>
          </w:tcPr>
          <w:p w14:paraId="293BCA8A" w14:textId="77777777" w:rsidR="00CF72D5" w:rsidRPr="002029AF" w:rsidRDefault="00CF72D5" w:rsidP="00897193">
            <w:pPr>
              <w:pStyle w:val="ARtabletextright"/>
            </w:pPr>
            <w:r w:rsidRPr="002029AF">
              <w:t>$0.12</w:t>
            </w:r>
          </w:p>
        </w:tc>
        <w:tc>
          <w:tcPr>
            <w:tcW w:w="870" w:type="pct"/>
            <w:vAlign w:val="center"/>
          </w:tcPr>
          <w:p w14:paraId="75D5D3DD" w14:textId="1D84D696" w:rsidR="00CF72D5" w:rsidRPr="002029AF" w:rsidRDefault="00CF72D5" w:rsidP="00897193">
            <w:pPr>
              <w:pStyle w:val="ARtabletextright"/>
            </w:pPr>
            <w:r w:rsidRPr="002029AF">
              <w:t>1,442,672</w:t>
            </w:r>
          </w:p>
        </w:tc>
        <w:tc>
          <w:tcPr>
            <w:tcW w:w="652" w:type="pct"/>
            <w:vAlign w:val="center"/>
          </w:tcPr>
          <w:p w14:paraId="272DCD48" w14:textId="77777777" w:rsidR="00CF72D5" w:rsidRPr="002029AF" w:rsidRDefault="00CF72D5" w:rsidP="00897193">
            <w:pPr>
              <w:pStyle w:val="ARtabletextright"/>
            </w:pPr>
            <w:r w:rsidRPr="002029AF">
              <w:t>$0.09</w:t>
            </w:r>
          </w:p>
        </w:tc>
      </w:tr>
      <w:tr w:rsidR="00CF72D5" w:rsidRPr="002029AF" w14:paraId="5DE734EE" w14:textId="77777777" w:rsidTr="00D40FE6">
        <w:trPr>
          <w:cantSplit/>
          <w:trHeight w:val="188"/>
        </w:trPr>
        <w:tc>
          <w:tcPr>
            <w:tcW w:w="1013" w:type="pct"/>
          </w:tcPr>
          <w:p w14:paraId="7972C984" w14:textId="2E3A4BA0" w:rsidR="00CF72D5" w:rsidRPr="002029AF" w:rsidRDefault="00CF72D5" w:rsidP="00897193">
            <w:pPr>
              <w:pStyle w:val="ARtabletext"/>
              <w:rPr>
                <w:b/>
              </w:rPr>
            </w:pPr>
            <w:r w:rsidRPr="002029AF">
              <w:rPr>
                <w:b/>
              </w:rPr>
              <w:t>Total</w:t>
            </w:r>
            <w:r w:rsidR="000A5329" w:rsidRPr="002029AF">
              <w:rPr>
                <w:b/>
              </w:rPr>
              <w:t xml:space="preserve"> </w:t>
            </w:r>
            <w:r w:rsidRPr="002029AF">
              <w:rPr>
                <w:b/>
              </w:rPr>
              <w:t>electricity</w:t>
            </w:r>
          </w:p>
        </w:tc>
        <w:tc>
          <w:tcPr>
            <w:tcW w:w="630" w:type="pct"/>
            <w:vAlign w:val="center"/>
          </w:tcPr>
          <w:p w14:paraId="43A9BE05" w14:textId="77777777" w:rsidR="00CF72D5" w:rsidRPr="002029AF" w:rsidRDefault="00CF72D5" w:rsidP="00897193">
            <w:pPr>
              <w:pStyle w:val="ARtabletextrightbold"/>
            </w:pPr>
            <w:r w:rsidRPr="002029AF">
              <w:t>119,872,449</w:t>
            </w:r>
          </w:p>
        </w:tc>
        <w:tc>
          <w:tcPr>
            <w:tcW w:w="516" w:type="pct"/>
            <w:vAlign w:val="center"/>
          </w:tcPr>
          <w:p w14:paraId="61EBA366" w14:textId="77777777" w:rsidR="00CF72D5" w:rsidRPr="002029AF" w:rsidRDefault="00CF72D5" w:rsidP="00897193">
            <w:pPr>
              <w:pStyle w:val="ARtabletextrightbold"/>
            </w:pPr>
            <w:r w:rsidRPr="002029AF">
              <w:t>$7.62</w:t>
            </w:r>
          </w:p>
        </w:tc>
        <w:tc>
          <w:tcPr>
            <w:tcW w:w="739" w:type="pct"/>
            <w:vAlign w:val="center"/>
          </w:tcPr>
          <w:p w14:paraId="27E87B3D" w14:textId="77777777" w:rsidR="00CF72D5" w:rsidRPr="002029AF" w:rsidRDefault="00CF72D5" w:rsidP="00897193">
            <w:pPr>
              <w:pStyle w:val="ARtabletextrightbold"/>
            </w:pPr>
            <w:r w:rsidRPr="002029AF">
              <w:t>128,254,729</w:t>
            </w:r>
          </w:p>
        </w:tc>
        <w:tc>
          <w:tcPr>
            <w:tcW w:w="579" w:type="pct"/>
            <w:vAlign w:val="center"/>
          </w:tcPr>
          <w:p w14:paraId="1CCC9E51" w14:textId="77777777" w:rsidR="00CF72D5" w:rsidRPr="002029AF" w:rsidRDefault="00CF72D5" w:rsidP="00897193">
            <w:pPr>
              <w:pStyle w:val="ARtabletextrightbold"/>
            </w:pPr>
            <w:r w:rsidRPr="002029AF">
              <w:t>$7.75</w:t>
            </w:r>
          </w:p>
        </w:tc>
        <w:tc>
          <w:tcPr>
            <w:tcW w:w="870" w:type="pct"/>
            <w:vAlign w:val="center"/>
          </w:tcPr>
          <w:p w14:paraId="70E24404" w14:textId="77777777" w:rsidR="00CF72D5" w:rsidRPr="002029AF" w:rsidRDefault="00CF72D5" w:rsidP="00897193">
            <w:pPr>
              <w:pStyle w:val="ARtabletextrightbold"/>
            </w:pPr>
            <w:r w:rsidRPr="002029AF">
              <w:t>119,967,323</w:t>
            </w:r>
          </w:p>
        </w:tc>
        <w:tc>
          <w:tcPr>
            <w:tcW w:w="652" w:type="pct"/>
            <w:vAlign w:val="center"/>
          </w:tcPr>
          <w:p w14:paraId="33584F4E" w14:textId="77777777" w:rsidR="00CF72D5" w:rsidRPr="002029AF" w:rsidRDefault="00CF72D5" w:rsidP="00897193">
            <w:pPr>
              <w:pStyle w:val="ARtabletextrightbold"/>
            </w:pPr>
            <w:r w:rsidRPr="002029AF">
              <w:t>$6.30</w:t>
            </w:r>
          </w:p>
        </w:tc>
      </w:tr>
    </w:tbl>
    <w:p w14:paraId="09E68740" w14:textId="77777777" w:rsidR="00CF72D5" w:rsidRPr="002029AF" w:rsidRDefault="00CF72D5" w:rsidP="00961519">
      <w:pPr>
        <w:pStyle w:val="Heading6"/>
        <w:spacing w:before="400" w:after="200"/>
        <w:rPr>
          <w:rFonts w:ascii="Arial Bold" w:hAnsi="Arial Bold"/>
          <w:lang w:val="en-AU"/>
        </w:rPr>
      </w:pPr>
      <w:r w:rsidRPr="002029AF">
        <w:rPr>
          <w:rFonts w:ascii="Arial Bold" w:hAnsi="Arial Bold"/>
          <w:lang w:val="en-AU" w:eastAsia="en-AU"/>
        </w:rPr>
        <w:t>Gas</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Layout w:type="fixed"/>
        <w:tblCellMar>
          <w:left w:w="0" w:type="dxa"/>
        </w:tblCellMar>
        <w:tblLook w:val="00A0" w:firstRow="1" w:lastRow="0" w:firstColumn="1" w:lastColumn="0" w:noHBand="0" w:noVBand="0"/>
      </w:tblPr>
      <w:tblGrid>
        <w:gridCol w:w="1897"/>
        <w:gridCol w:w="1178"/>
        <w:gridCol w:w="1284"/>
        <w:gridCol w:w="1284"/>
        <w:gridCol w:w="1284"/>
        <w:gridCol w:w="1357"/>
        <w:gridCol w:w="1355"/>
      </w:tblGrid>
      <w:tr w:rsidR="00CF72D5" w:rsidRPr="002029AF" w14:paraId="11C3350A" w14:textId="77777777" w:rsidTr="00D40FE6">
        <w:trPr>
          <w:cantSplit/>
          <w:trHeight w:val="294"/>
          <w:tblHeader/>
        </w:trPr>
        <w:tc>
          <w:tcPr>
            <w:tcW w:w="984" w:type="pct"/>
            <w:vAlign w:val="bottom"/>
          </w:tcPr>
          <w:p w14:paraId="6BDF4E3B" w14:textId="77777777" w:rsidR="00CF72D5" w:rsidRPr="002029AF" w:rsidRDefault="00CF72D5" w:rsidP="00897193">
            <w:pPr>
              <w:pStyle w:val="ARtablecolhead"/>
            </w:pPr>
            <w:r w:rsidRPr="002029AF">
              <w:t>Description</w:t>
            </w:r>
          </w:p>
        </w:tc>
        <w:tc>
          <w:tcPr>
            <w:tcW w:w="611" w:type="pct"/>
            <w:vAlign w:val="center"/>
          </w:tcPr>
          <w:p w14:paraId="70C91F2C" w14:textId="347F13A7" w:rsidR="00CF72D5" w:rsidRPr="002029AF" w:rsidRDefault="00CF72D5" w:rsidP="00897193">
            <w:pPr>
              <w:pStyle w:val="ARtablecolheadright"/>
            </w:pPr>
            <w:r w:rsidRPr="002029AF">
              <w:t>2019–20</w:t>
            </w:r>
            <w:r w:rsidR="000A5329" w:rsidRPr="002029AF">
              <w:t xml:space="preserve"> </w:t>
            </w:r>
            <w:r w:rsidRPr="002029AF">
              <w:br/>
              <w:t>estimate</w:t>
            </w:r>
          </w:p>
        </w:tc>
        <w:tc>
          <w:tcPr>
            <w:tcW w:w="666" w:type="pct"/>
            <w:vAlign w:val="center"/>
          </w:tcPr>
          <w:p w14:paraId="6EBDD0FE" w14:textId="49690082" w:rsidR="00CF72D5" w:rsidRPr="002029AF" w:rsidRDefault="00CF72D5" w:rsidP="00897193">
            <w:pPr>
              <w:pStyle w:val="ARtablecolheadright"/>
            </w:pPr>
            <w:r w:rsidRPr="002029AF">
              <w:t>2019–20</w:t>
            </w:r>
            <w:r w:rsidR="000A5329" w:rsidRPr="002029AF">
              <w:t xml:space="preserve"> </w:t>
            </w:r>
            <w:r w:rsidRPr="002029AF">
              <w:br/>
              <w:t>estimate</w:t>
            </w:r>
          </w:p>
        </w:tc>
        <w:tc>
          <w:tcPr>
            <w:tcW w:w="666" w:type="pct"/>
            <w:vAlign w:val="center"/>
          </w:tcPr>
          <w:p w14:paraId="0307A3C7" w14:textId="693F5178" w:rsidR="00CF72D5" w:rsidRPr="002029AF" w:rsidRDefault="00CF72D5" w:rsidP="00897193">
            <w:pPr>
              <w:pStyle w:val="ARtablecolheadright"/>
            </w:pPr>
            <w:r w:rsidRPr="002029AF">
              <w:t>2018–19</w:t>
            </w:r>
            <w:r w:rsidR="000A5329" w:rsidRPr="002029AF">
              <w:t xml:space="preserve"> </w:t>
            </w:r>
            <w:r w:rsidRPr="002029AF">
              <w:br/>
              <w:t>estimate</w:t>
            </w:r>
          </w:p>
        </w:tc>
        <w:tc>
          <w:tcPr>
            <w:tcW w:w="666" w:type="pct"/>
            <w:vAlign w:val="center"/>
          </w:tcPr>
          <w:p w14:paraId="5722B460" w14:textId="5C130FBB" w:rsidR="00CF72D5" w:rsidRPr="002029AF" w:rsidRDefault="00CF72D5" w:rsidP="00897193">
            <w:pPr>
              <w:pStyle w:val="ARtablecolheadright"/>
            </w:pPr>
            <w:r w:rsidRPr="002029AF">
              <w:t>2018–19</w:t>
            </w:r>
            <w:r w:rsidR="000A5329" w:rsidRPr="002029AF">
              <w:t xml:space="preserve"> </w:t>
            </w:r>
            <w:r w:rsidRPr="002029AF">
              <w:br/>
              <w:t>estimate</w:t>
            </w:r>
          </w:p>
        </w:tc>
        <w:tc>
          <w:tcPr>
            <w:tcW w:w="704" w:type="pct"/>
            <w:vAlign w:val="center"/>
          </w:tcPr>
          <w:p w14:paraId="696EB1B9" w14:textId="1D0C8F38" w:rsidR="00CF72D5" w:rsidRPr="002029AF" w:rsidRDefault="00CF72D5" w:rsidP="00897193">
            <w:pPr>
              <w:pStyle w:val="ARtablecolheadright"/>
            </w:pPr>
            <w:r w:rsidRPr="002029AF">
              <w:t>2017–18</w:t>
            </w:r>
            <w:r w:rsidR="000A5329" w:rsidRPr="002029AF">
              <w:t xml:space="preserve"> </w:t>
            </w:r>
            <w:r w:rsidRPr="002029AF">
              <w:br/>
              <w:t>estimate</w:t>
            </w:r>
          </w:p>
        </w:tc>
        <w:tc>
          <w:tcPr>
            <w:tcW w:w="705" w:type="pct"/>
            <w:vAlign w:val="center"/>
          </w:tcPr>
          <w:p w14:paraId="56A4F7CC" w14:textId="598F21DF" w:rsidR="00CF72D5" w:rsidRPr="002029AF" w:rsidRDefault="00CF72D5" w:rsidP="00897193">
            <w:pPr>
              <w:pStyle w:val="ARtablecolheadright"/>
            </w:pPr>
            <w:r w:rsidRPr="002029AF">
              <w:t>2017–18</w:t>
            </w:r>
            <w:r w:rsidR="000A5329" w:rsidRPr="002029AF">
              <w:t xml:space="preserve"> </w:t>
            </w:r>
            <w:r w:rsidRPr="002029AF">
              <w:br/>
              <w:t>estimate</w:t>
            </w:r>
          </w:p>
        </w:tc>
      </w:tr>
      <w:tr w:rsidR="00CF72D5" w:rsidRPr="002029AF" w14:paraId="7A71DCA2" w14:textId="77777777" w:rsidTr="00D40FE6">
        <w:trPr>
          <w:cantSplit/>
          <w:trHeight w:val="294"/>
          <w:tblHeader/>
        </w:trPr>
        <w:tc>
          <w:tcPr>
            <w:tcW w:w="984" w:type="pct"/>
          </w:tcPr>
          <w:p w14:paraId="08D671A4" w14:textId="3B5168DA" w:rsidR="00CF72D5" w:rsidRPr="002029AF" w:rsidRDefault="00CF72D5" w:rsidP="00897193">
            <w:pPr>
              <w:pStyle w:val="ARtablecolhead"/>
            </w:pPr>
            <w:r w:rsidRPr="002029AF">
              <w:t>Total</w:t>
            </w:r>
            <w:r w:rsidR="000A5329" w:rsidRPr="002029AF">
              <w:t xml:space="preserve"> </w:t>
            </w:r>
            <w:r w:rsidRPr="002029AF">
              <w:t>energy</w:t>
            </w:r>
            <w:r w:rsidR="000A5329" w:rsidRPr="002029AF">
              <w:t xml:space="preserve"> </w:t>
            </w:r>
            <w:r w:rsidRPr="002029AF">
              <w:t>usage</w:t>
            </w:r>
            <w:r w:rsidR="000A5329" w:rsidRPr="002029AF">
              <w:t xml:space="preserve"> </w:t>
            </w:r>
            <w:r w:rsidRPr="002029AF">
              <w:t>segmented</w:t>
            </w:r>
            <w:r w:rsidR="000A5329" w:rsidRPr="002029AF">
              <w:t xml:space="preserve"> </w:t>
            </w:r>
            <w:r w:rsidRPr="002029AF">
              <w:t>by</w:t>
            </w:r>
            <w:r w:rsidR="000A5329" w:rsidRPr="002029AF">
              <w:t xml:space="preserve"> </w:t>
            </w:r>
            <w:r w:rsidRPr="002029AF">
              <w:t>primary</w:t>
            </w:r>
            <w:r w:rsidR="000A5329" w:rsidRPr="002029AF">
              <w:t xml:space="preserve"> </w:t>
            </w:r>
            <w:r w:rsidRPr="002029AF">
              <w:t>source</w:t>
            </w:r>
          </w:p>
        </w:tc>
        <w:tc>
          <w:tcPr>
            <w:tcW w:w="611" w:type="pct"/>
            <w:vAlign w:val="bottom"/>
          </w:tcPr>
          <w:p w14:paraId="25D24C1D" w14:textId="77777777" w:rsidR="00CF72D5" w:rsidRPr="002029AF" w:rsidRDefault="00CF72D5" w:rsidP="00897193">
            <w:pPr>
              <w:pStyle w:val="ARtablecolheadright"/>
            </w:pPr>
            <w:r w:rsidRPr="002029AF">
              <w:t>Megajoules</w:t>
            </w:r>
          </w:p>
        </w:tc>
        <w:tc>
          <w:tcPr>
            <w:tcW w:w="666" w:type="pct"/>
            <w:vAlign w:val="bottom"/>
          </w:tcPr>
          <w:p w14:paraId="0FBEBC78" w14:textId="77777777" w:rsidR="00CF72D5" w:rsidRPr="002029AF" w:rsidRDefault="00CF72D5" w:rsidP="00897193">
            <w:pPr>
              <w:pStyle w:val="ARtablecolheadright"/>
            </w:pPr>
            <w:r w:rsidRPr="002029AF">
              <w:t>Cost</w:t>
            </w:r>
          </w:p>
          <w:p w14:paraId="23510975" w14:textId="77777777" w:rsidR="00CF72D5" w:rsidRPr="002029AF" w:rsidRDefault="00CF72D5" w:rsidP="00897193">
            <w:pPr>
              <w:pStyle w:val="ARtablecolheadright"/>
            </w:pPr>
            <w:r w:rsidRPr="002029AF">
              <w:t>($M)</w:t>
            </w:r>
          </w:p>
        </w:tc>
        <w:tc>
          <w:tcPr>
            <w:tcW w:w="666" w:type="pct"/>
            <w:vAlign w:val="bottom"/>
          </w:tcPr>
          <w:p w14:paraId="76E49A61" w14:textId="77777777" w:rsidR="00CF72D5" w:rsidRPr="002029AF" w:rsidRDefault="00CF72D5" w:rsidP="00897193">
            <w:pPr>
              <w:pStyle w:val="ARtablecolheadright"/>
            </w:pPr>
            <w:r w:rsidRPr="002029AF">
              <w:t>Megajoules</w:t>
            </w:r>
          </w:p>
        </w:tc>
        <w:tc>
          <w:tcPr>
            <w:tcW w:w="666" w:type="pct"/>
            <w:vAlign w:val="bottom"/>
          </w:tcPr>
          <w:p w14:paraId="3B036304" w14:textId="77777777" w:rsidR="00CF72D5" w:rsidRPr="002029AF" w:rsidRDefault="00CF72D5" w:rsidP="00897193">
            <w:pPr>
              <w:pStyle w:val="ARtablecolheadright"/>
            </w:pPr>
            <w:r w:rsidRPr="002029AF">
              <w:t>Cost</w:t>
            </w:r>
          </w:p>
          <w:p w14:paraId="0BFA59F6" w14:textId="77777777" w:rsidR="00CF72D5" w:rsidRPr="002029AF" w:rsidRDefault="00CF72D5" w:rsidP="00897193">
            <w:pPr>
              <w:pStyle w:val="ARtablecolheadright"/>
            </w:pPr>
            <w:r w:rsidRPr="002029AF">
              <w:t>($M)</w:t>
            </w:r>
          </w:p>
        </w:tc>
        <w:tc>
          <w:tcPr>
            <w:tcW w:w="704" w:type="pct"/>
            <w:vAlign w:val="bottom"/>
          </w:tcPr>
          <w:p w14:paraId="1E59ED1D" w14:textId="77777777" w:rsidR="00CF72D5" w:rsidRPr="002029AF" w:rsidRDefault="00CF72D5" w:rsidP="00897193">
            <w:pPr>
              <w:pStyle w:val="ARtablecolheadright"/>
            </w:pPr>
            <w:r w:rsidRPr="002029AF">
              <w:t>Megajoules</w:t>
            </w:r>
          </w:p>
        </w:tc>
        <w:tc>
          <w:tcPr>
            <w:tcW w:w="705" w:type="pct"/>
            <w:vAlign w:val="bottom"/>
          </w:tcPr>
          <w:p w14:paraId="7AEA3498" w14:textId="77777777" w:rsidR="00CF72D5" w:rsidRPr="002029AF" w:rsidRDefault="00CF72D5" w:rsidP="00897193">
            <w:pPr>
              <w:pStyle w:val="ARtablecolheadright"/>
            </w:pPr>
            <w:r w:rsidRPr="002029AF">
              <w:t>Cost</w:t>
            </w:r>
          </w:p>
          <w:p w14:paraId="05F09ADE" w14:textId="77777777" w:rsidR="00CF72D5" w:rsidRPr="002029AF" w:rsidRDefault="00CF72D5" w:rsidP="00897193">
            <w:pPr>
              <w:pStyle w:val="ARtablecolheadright"/>
            </w:pPr>
            <w:r w:rsidRPr="002029AF">
              <w:t>($M)</w:t>
            </w:r>
          </w:p>
        </w:tc>
      </w:tr>
      <w:tr w:rsidR="00CF72D5" w:rsidRPr="002029AF" w14:paraId="5DDE9C0B" w14:textId="77777777" w:rsidTr="00D40FE6">
        <w:trPr>
          <w:cantSplit/>
          <w:trHeight w:val="294"/>
        </w:trPr>
        <w:tc>
          <w:tcPr>
            <w:tcW w:w="984" w:type="pct"/>
          </w:tcPr>
          <w:p w14:paraId="7D2A3692" w14:textId="057222FF" w:rsidR="00CF72D5" w:rsidRPr="002029AF" w:rsidRDefault="00CF72D5" w:rsidP="00897193">
            <w:pPr>
              <w:pStyle w:val="ARtabletext"/>
              <w:spacing w:before="70" w:after="50"/>
            </w:pPr>
            <w:r w:rsidRPr="002029AF">
              <w:t>High-rise</w:t>
            </w:r>
            <w:r w:rsidR="000A5329" w:rsidRPr="002029AF">
              <w:t xml:space="preserve"> </w:t>
            </w:r>
            <w:r w:rsidRPr="002029AF">
              <w:t>public</w:t>
            </w:r>
            <w:r w:rsidR="000A5329" w:rsidRPr="002029AF">
              <w:t xml:space="preserve"> </w:t>
            </w:r>
            <w:r w:rsidRPr="002029AF">
              <w:t>housing</w:t>
            </w:r>
            <w:r w:rsidR="000A5329" w:rsidRPr="002029AF">
              <w:t xml:space="preserve"> </w:t>
            </w:r>
            <w:r w:rsidRPr="002029AF">
              <w:t>natural</w:t>
            </w:r>
            <w:r w:rsidR="000A5329" w:rsidRPr="002029AF">
              <w:t xml:space="preserve"> </w:t>
            </w:r>
            <w:r w:rsidRPr="002029AF">
              <w:t>gas</w:t>
            </w:r>
            <w:r w:rsidR="000A5329" w:rsidRPr="002029AF">
              <w:t xml:space="preserve"> </w:t>
            </w:r>
            <w:r w:rsidRPr="002029AF">
              <w:t>use</w:t>
            </w:r>
          </w:p>
        </w:tc>
        <w:tc>
          <w:tcPr>
            <w:tcW w:w="611" w:type="pct"/>
            <w:vAlign w:val="center"/>
          </w:tcPr>
          <w:p w14:paraId="577C8BD4" w14:textId="1B0DC274" w:rsidR="00CF72D5" w:rsidRPr="002029AF" w:rsidRDefault="00CF72D5" w:rsidP="00897193">
            <w:pPr>
              <w:pStyle w:val="ARtabletextright"/>
              <w:spacing w:before="70" w:after="50"/>
              <w:ind w:left="706" w:hanging="838"/>
            </w:pPr>
            <w:r w:rsidRPr="002029AF">
              <w:t>319,337,666</w:t>
            </w:r>
          </w:p>
        </w:tc>
        <w:tc>
          <w:tcPr>
            <w:tcW w:w="666" w:type="pct"/>
            <w:vAlign w:val="center"/>
          </w:tcPr>
          <w:p w14:paraId="600D298B" w14:textId="77777777" w:rsidR="00CF72D5" w:rsidRPr="002029AF" w:rsidRDefault="00CF72D5" w:rsidP="00897193">
            <w:pPr>
              <w:pStyle w:val="ARtabletextright"/>
              <w:spacing w:before="70" w:after="50"/>
            </w:pPr>
            <w:r w:rsidRPr="002029AF">
              <w:t>$4.26</w:t>
            </w:r>
          </w:p>
        </w:tc>
        <w:tc>
          <w:tcPr>
            <w:tcW w:w="666" w:type="pct"/>
            <w:vAlign w:val="center"/>
          </w:tcPr>
          <w:p w14:paraId="73FF980E" w14:textId="14C67D91" w:rsidR="00CF72D5" w:rsidRPr="002029AF" w:rsidRDefault="00CF72D5" w:rsidP="00897193">
            <w:pPr>
              <w:pStyle w:val="ARtabletextright"/>
              <w:spacing w:before="70" w:after="50"/>
            </w:pPr>
            <w:r w:rsidRPr="002029AF">
              <w:t>304,124,144</w:t>
            </w:r>
          </w:p>
        </w:tc>
        <w:tc>
          <w:tcPr>
            <w:tcW w:w="666" w:type="pct"/>
            <w:vAlign w:val="center"/>
          </w:tcPr>
          <w:p w14:paraId="2F7933C5" w14:textId="77777777" w:rsidR="00CF72D5" w:rsidRPr="002029AF" w:rsidRDefault="00CF72D5" w:rsidP="00897193">
            <w:pPr>
              <w:pStyle w:val="ARtabletextright"/>
              <w:spacing w:before="70" w:after="50"/>
            </w:pPr>
            <w:r w:rsidRPr="002029AF">
              <w:t>$4.17</w:t>
            </w:r>
          </w:p>
        </w:tc>
        <w:tc>
          <w:tcPr>
            <w:tcW w:w="704" w:type="pct"/>
            <w:vAlign w:val="center"/>
          </w:tcPr>
          <w:p w14:paraId="57C3C895" w14:textId="3231AC03" w:rsidR="00CF72D5" w:rsidRPr="002029AF" w:rsidRDefault="00CF72D5" w:rsidP="00897193">
            <w:pPr>
              <w:pStyle w:val="ARtabletextright"/>
              <w:spacing w:before="70" w:after="50"/>
            </w:pPr>
            <w:r w:rsidRPr="002029AF">
              <w:t>258,505,228</w:t>
            </w:r>
          </w:p>
        </w:tc>
        <w:tc>
          <w:tcPr>
            <w:tcW w:w="705" w:type="pct"/>
            <w:vAlign w:val="center"/>
          </w:tcPr>
          <w:p w14:paraId="0CF2E8EE" w14:textId="77777777" w:rsidR="00CF72D5" w:rsidRPr="002029AF" w:rsidRDefault="00CF72D5" w:rsidP="00897193">
            <w:pPr>
              <w:pStyle w:val="ARtabletextright"/>
              <w:spacing w:before="70" w:after="50"/>
            </w:pPr>
            <w:r w:rsidRPr="002029AF">
              <w:t>$2.86</w:t>
            </w:r>
          </w:p>
        </w:tc>
      </w:tr>
      <w:tr w:rsidR="00CF72D5" w:rsidRPr="002029AF" w14:paraId="06E97341" w14:textId="77777777" w:rsidTr="00D40FE6">
        <w:trPr>
          <w:cantSplit/>
          <w:trHeight w:val="294"/>
        </w:trPr>
        <w:tc>
          <w:tcPr>
            <w:tcW w:w="984" w:type="pct"/>
          </w:tcPr>
          <w:p w14:paraId="40154AEE" w14:textId="69D2A1EB" w:rsidR="00CF72D5" w:rsidRPr="002029AF" w:rsidRDefault="00CF72D5" w:rsidP="00897193">
            <w:pPr>
              <w:pStyle w:val="ARtabletext"/>
              <w:spacing w:before="70" w:after="50"/>
            </w:pPr>
            <w:r w:rsidRPr="002029AF">
              <w:t>Other</w:t>
            </w:r>
            <w:r w:rsidR="000A5329" w:rsidRPr="002029AF">
              <w:t xml:space="preserve"> </w:t>
            </w:r>
            <w:r w:rsidRPr="002029AF">
              <w:t>public</w:t>
            </w:r>
            <w:r w:rsidR="000A5329" w:rsidRPr="002029AF">
              <w:t xml:space="preserve"> </w:t>
            </w:r>
            <w:r w:rsidRPr="002029AF">
              <w:t>housing</w:t>
            </w:r>
            <w:r w:rsidR="000A5329" w:rsidRPr="002029AF">
              <w:t xml:space="preserve"> </w:t>
            </w:r>
            <w:r w:rsidRPr="002029AF">
              <w:t>natural</w:t>
            </w:r>
            <w:r w:rsidR="000A5329" w:rsidRPr="002029AF">
              <w:t xml:space="preserve"> </w:t>
            </w:r>
            <w:r w:rsidRPr="002029AF">
              <w:t>gas</w:t>
            </w:r>
            <w:r w:rsidR="000A5329" w:rsidRPr="002029AF">
              <w:t xml:space="preserve"> </w:t>
            </w:r>
            <w:r w:rsidRPr="002029AF">
              <w:t>use</w:t>
            </w:r>
          </w:p>
        </w:tc>
        <w:tc>
          <w:tcPr>
            <w:tcW w:w="611" w:type="pct"/>
            <w:vAlign w:val="center"/>
          </w:tcPr>
          <w:p w14:paraId="0BE86CBF" w14:textId="5E5DD8B5" w:rsidR="00CF72D5" w:rsidRPr="002029AF" w:rsidRDefault="00CF72D5" w:rsidP="00897193">
            <w:pPr>
              <w:pStyle w:val="ARtabletextright"/>
              <w:spacing w:before="70" w:after="50"/>
            </w:pPr>
            <w:r w:rsidRPr="002029AF">
              <w:t>97,722,430</w:t>
            </w:r>
          </w:p>
        </w:tc>
        <w:tc>
          <w:tcPr>
            <w:tcW w:w="666" w:type="pct"/>
            <w:vAlign w:val="center"/>
          </w:tcPr>
          <w:p w14:paraId="6EA09E85" w14:textId="77777777" w:rsidR="00CF72D5" w:rsidRPr="002029AF" w:rsidRDefault="00CF72D5" w:rsidP="00897193">
            <w:pPr>
              <w:pStyle w:val="ARtabletextright"/>
              <w:spacing w:before="70" w:after="50"/>
            </w:pPr>
            <w:r w:rsidRPr="002029AF">
              <w:t>$1.49</w:t>
            </w:r>
          </w:p>
        </w:tc>
        <w:tc>
          <w:tcPr>
            <w:tcW w:w="666" w:type="pct"/>
            <w:vAlign w:val="center"/>
          </w:tcPr>
          <w:p w14:paraId="22EE4AEE" w14:textId="7AC71DB7" w:rsidR="00CF72D5" w:rsidRPr="002029AF" w:rsidRDefault="00CF72D5" w:rsidP="00897193">
            <w:pPr>
              <w:pStyle w:val="ARtabletextright"/>
              <w:spacing w:before="70" w:after="50"/>
            </w:pPr>
            <w:r w:rsidRPr="002029AF">
              <w:t>93,039,490</w:t>
            </w:r>
          </w:p>
        </w:tc>
        <w:tc>
          <w:tcPr>
            <w:tcW w:w="666" w:type="pct"/>
            <w:vAlign w:val="center"/>
          </w:tcPr>
          <w:p w14:paraId="2ABD549E" w14:textId="77777777" w:rsidR="00CF72D5" w:rsidRPr="002029AF" w:rsidRDefault="00CF72D5" w:rsidP="00897193">
            <w:pPr>
              <w:pStyle w:val="ARtabletextright"/>
              <w:spacing w:before="70" w:after="50"/>
            </w:pPr>
            <w:r w:rsidRPr="002029AF">
              <w:t>$1.38</w:t>
            </w:r>
          </w:p>
        </w:tc>
        <w:tc>
          <w:tcPr>
            <w:tcW w:w="704" w:type="pct"/>
            <w:vAlign w:val="center"/>
          </w:tcPr>
          <w:p w14:paraId="3C64082A" w14:textId="0CBBA5C0" w:rsidR="00CF72D5" w:rsidRPr="002029AF" w:rsidRDefault="00CF72D5" w:rsidP="00897193">
            <w:pPr>
              <w:pStyle w:val="ARtabletextright"/>
              <w:spacing w:before="70" w:after="50"/>
            </w:pPr>
            <w:r w:rsidRPr="002029AF">
              <w:t>79,594,839</w:t>
            </w:r>
          </w:p>
        </w:tc>
        <w:tc>
          <w:tcPr>
            <w:tcW w:w="705" w:type="pct"/>
            <w:vAlign w:val="center"/>
          </w:tcPr>
          <w:p w14:paraId="649A1A22" w14:textId="77777777" w:rsidR="00CF72D5" w:rsidRPr="002029AF" w:rsidRDefault="00CF72D5" w:rsidP="00897193">
            <w:pPr>
              <w:pStyle w:val="ARtabletextright"/>
              <w:spacing w:before="70" w:after="50"/>
            </w:pPr>
            <w:r w:rsidRPr="002029AF">
              <w:t>$1.06</w:t>
            </w:r>
          </w:p>
        </w:tc>
      </w:tr>
      <w:tr w:rsidR="00CF72D5" w:rsidRPr="002029AF" w14:paraId="18558C9B" w14:textId="77777777" w:rsidTr="00D40FE6">
        <w:trPr>
          <w:cantSplit/>
          <w:trHeight w:val="372"/>
        </w:trPr>
        <w:tc>
          <w:tcPr>
            <w:tcW w:w="984" w:type="pct"/>
          </w:tcPr>
          <w:p w14:paraId="44F7437A" w14:textId="62F981D9" w:rsidR="00CF72D5" w:rsidRPr="002029AF" w:rsidRDefault="00CF72D5" w:rsidP="00897193">
            <w:pPr>
              <w:pStyle w:val="ARtabletext"/>
              <w:spacing w:before="70" w:after="50"/>
            </w:pPr>
            <w:r w:rsidRPr="002029AF">
              <w:t>Disability</w:t>
            </w:r>
            <w:r w:rsidR="000A5329" w:rsidRPr="002029AF">
              <w:t xml:space="preserve"> </w:t>
            </w:r>
            <w:r w:rsidRPr="002029AF">
              <w:t>housing</w:t>
            </w:r>
            <w:r w:rsidR="000A5329" w:rsidRPr="002029AF">
              <w:t xml:space="preserve"> </w:t>
            </w:r>
            <w:r w:rsidRPr="002029AF">
              <w:t>natural</w:t>
            </w:r>
            <w:r w:rsidR="000A5329" w:rsidRPr="002029AF">
              <w:t xml:space="preserve"> </w:t>
            </w:r>
            <w:r w:rsidRPr="002029AF">
              <w:t>gas</w:t>
            </w:r>
            <w:r w:rsidR="000A5329" w:rsidRPr="002029AF">
              <w:t xml:space="preserve"> </w:t>
            </w:r>
            <w:r w:rsidRPr="002029AF">
              <w:t>use</w:t>
            </w:r>
          </w:p>
        </w:tc>
        <w:tc>
          <w:tcPr>
            <w:tcW w:w="611" w:type="pct"/>
            <w:vAlign w:val="center"/>
          </w:tcPr>
          <w:p w14:paraId="5CE4885E" w14:textId="725E5B1F" w:rsidR="00CF72D5" w:rsidRPr="002029AF" w:rsidRDefault="00CF72D5" w:rsidP="00897193">
            <w:pPr>
              <w:pStyle w:val="ARtabletextright"/>
              <w:spacing w:before="70" w:after="50"/>
            </w:pPr>
            <w:r w:rsidRPr="002029AF">
              <w:t>91,961,552</w:t>
            </w:r>
          </w:p>
        </w:tc>
        <w:tc>
          <w:tcPr>
            <w:tcW w:w="666" w:type="pct"/>
            <w:vAlign w:val="center"/>
          </w:tcPr>
          <w:p w14:paraId="46507150" w14:textId="77777777" w:rsidR="00CF72D5" w:rsidRPr="002029AF" w:rsidRDefault="00CF72D5" w:rsidP="00897193">
            <w:pPr>
              <w:pStyle w:val="ARtabletextright"/>
              <w:spacing w:before="70" w:after="50"/>
            </w:pPr>
            <w:r w:rsidRPr="002029AF">
              <w:t>$1.41</w:t>
            </w:r>
          </w:p>
        </w:tc>
        <w:tc>
          <w:tcPr>
            <w:tcW w:w="666" w:type="pct"/>
            <w:vAlign w:val="center"/>
          </w:tcPr>
          <w:p w14:paraId="1717EADF" w14:textId="2F98FB38" w:rsidR="00CF72D5" w:rsidRPr="002029AF" w:rsidRDefault="00CF72D5" w:rsidP="00897193">
            <w:pPr>
              <w:pStyle w:val="ARtabletextright"/>
              <w:spacing w:before="70" w:after="50"/>
            </w:pPr>
            <w:r w:rsidRPr="002029AF">
              <w:t>92,258,562</w:t>
            </w:r>
          </w:p>
        </w:tc>
        <w:tc>
          <w:tcPr>
            <w:tcW w:w="666" w:type="pct"/>
            <w:vAlign w:val="center"/>
          </w:tcPr>
          <w:p w14:paraId="0B9A3A91" w14:textId="77777777" w:rsidR="00CF72D5" w:rsidRPr="002029AF" w:rsidRDefault="00CF72D5" w:rsidP="00897193">
            <w:pPr>
              <w:pStyle w:val="ARtabletextright"/>
              <w:spacing w:before="70" w:after="50"/>
            </w:pPr>
            <w:r w:rsidRPr="002029AF">
              <w:t>$1.43</w:t>
            </w:r>
          </w:p>
        </w:tc>
        <w:tc>
          <w:tcPr>
            <w:tcW w:w="704" w:type="pct"/>
            <w:vAlign w:val="center"/>
          </w:tcPr>
          <w:p w14:paraId="36C58014" w14:textId="3FDC0A21" w:rsidR="00CF72D5" w:rsidRPr="002029AF" w:rsidRDefault="00CF72D5" w:rsidP="00897193">
            <w:pPr>
              <w:pStyle w:val="ARtabletextright"/>
              <w:spacing w:before="70" w:after="50"/>
            </w:pPr>
            <w:r w:rsidRPr="002029AF">
              <w:t>79,449,105</w:t>
            </w:r>
          </w:p>
        </w:tc>
        <w:tc>
          <w:tcPr>
            <w:tcW w:w="705" w:type="pct"/>
            <w:vAlign w:val="center"/>
          </w:tcPr>
          <w:p w14:paraId="51CF49F8" w14:textId="77777777" w:rsidR="00CF72D5" w:rsidRPr="002029AF" w:rsidRDefault="00CF72D5" w:rsidP="00897193">
            <w:pPr>
              <w:pStyle w:val="ARtabletextright"/>
              <w:spacing w:before="70" w:after="50"/>
            </w:pPr>
            <w:r w:rsidRPr="002029AF">
              <w:t>$1.14</w:t>
            </w:r>
          </w:p>
        </w:tc>
      </w:tr>
      <w:tr w:rsidR="00CF72D5" w:rsidRPr="002029AF" w14:paraId="1D3E86D4" w14:textId="77777777" w:rsidTr="00D40FE6">
        <w:trPr>
          <w:cantSplit/>
          <w:trHeight w:val="372"/>
        </w:trPr>
        <w:tc>
          <w:tcPr>
            <w:tcW w:w="984" w:type="pct"/>
          </w:tcPr>
          <w:p w14:paraId="24FFE429" w14:textId="365C5FB7" w:rsidR="00CF72D5" w:rsidRPr="002029AF" w:rsidRDefault="00CF72D5" w:rsidP="00897193">
            <w:pPr>
              <w:pStyle w:val="ARtabletext"/>
            </w:pPr>
            <w:r w:rsidRPr="002029AF">
              <w:t>Youth</w:t>
            </w:r>
            <w:r w:rsidR="000A5329" w:rsidRPr="002029AF">
              <w:t xml:space="preserve"> </w:t>
            </w:r>
            <w:r w:rsidRPr="002029AF">
              <w:t>and</w:t>
            </w:r>
            <w:r w:rsidR="000A5329" w:rsidRPr="002029AF">
              <w:t xml:space="preserve"> </w:t>
            </w:r>
            <w:r w:rsidRPr="002029AF">
              <w:t>family</w:t>
            </w:r>
            <w:r w:rsidR="000A5329" w:rsidRPr="002029AF">
              <w:t xml:space="preserve"> </w:t>
            </w:r>
            <w:r w:rsidRPr="002029AF">
              <w:t>welfare</w:t>
            </w:r>
            <w:r w:rsidR="000A5329" w:rsidRPr="002029AF">
              <w:t xml:space="preserve"> </w:t>
            </w:r>
            <w:r w:rsidRPr="002029AF">
              <w:t>natural</w:t>
            </w:r>
            <w:r w:rsidR="000A5329" w:rsidRPr="002029AF">
              <w:t xml:space="preserve"> </w:t>
            </w:r>
            <w:r w:rsidRPr="002029AF">
              <w:t>gas</w:t>
            </w:r>
            <w:r w:rsidR="000A5329" w:rsidRPr="002029AF">
              <w:t xml:space="preserve"> </w:t>
            </w:r>
            <w:r w:rsidRPr="002029AF">
              <w:t>use</w:t>
            </w:r>
          </w:p>
        </w:tc>
        <w:tc>
          <w:tcPr>
            <w:tcW w:w="611" w:type="pct"/>
            <w:vAlign w:val="center"/>
          </w:tcPr>
          <w:p w14:paraId="07E0C82C" w14:textId="2D44920F" w:rsidR="00CF72D5" w:rsidRPr="002029AF" w:rsidRDefault="00CF72D5" w:rsidP="00897193">
            <w:pPr>
              <w:pStyle w:val="ARtabletextright"/>
              <w:spacing w:before="70" w:after="50"/>
            </w:pPr>
            <w:r w:rsidRPr="002029AF">
              <w:t>2,647,303</w:t>
            </w:r>
          </w:p>
        </w:tc>
        <w:tc>
          <w:tcPr>
            <w:tcW w:w="666" w:type="pct"/>
            <w:vAlign w:val="center"/>
          </w:tcPr>
          <w:p w14:paraId="556BFA34" w14:textId="77777777" w:rsidR="00CF72D5" w:rsidRPr="002029AF" w:rsidRDefault="00CF72D5" w:rsidP="00897193">
            <w:pPr>
              <w:pStyle w:val="ARtabletextright"/>
              <w:spacing w:before="70" w:after="50"/>
            </w:pPr>
            <w:r w:rsidRPr="002029AF">
              <w:t>$0.05</w:t>
            </w:r>
          </w:p>
        </w:tc>
        <w:tc>
          <w:tcPr>
            <w:tcW w:w="666" w:type="pct"/>
            <w:vAlign w:val="center"/>
          </w:tcPr>
          <w:p w14:paraId="2A6A7BE7" w14:textId="16D40182" w:rsidR="00CF72D5" w:rsidRPr="002029AF" w:rsidRDefault="00CF72D5" w:rsidP="00897193">
            <w:pPr>
              <w:pStyle w:val="ARtabletextright"/>
              <w:spacing w:before="70" w:after="50"/>
            </w:pPr>
            <w:r w:rsidRPr="002029AF">
              <w:t>2,396,215</w:t>
            </w:r>
          </w:p>
        </w:tc>
        <w:tc>
          <w:tcPr>
            <w:tcW w:w="666" w:type="pct"/>
            <w:vAlign w:val="center"/>
          </w:tcPr>
          <w:p w14:paraId="52200CAE" w14:textId="77777777" w:rsidR="00CF72D5" w:rsidRPr="002029AF" w:rsidRDefault="00CF72D5" w:rsidP="00897193">
            <w:pPr>
              <w:pStyle w:val="ARtabletextright"/>
              <w:spacing w:before="70" w:after="50"/>
            </w:pPr>
            <w:r w:rsidRPr="002029AF">
              <w:t>$0.04</w:t>
            </w:r>
          </w:p>
        </w:tc>
        <w:tc>
          <w:tcPr>
            <w:tcW w:w="704" w:type="pct"/>
            <w:vAlign w:val="center"/>
          </w:tcPr>
          <w:p w14:paraId="32935F28" w14:textId="36D9EF61" w:rsidR="00CF72D5" w:rsidRPr="002029AF" w:rsidRDefault="00CF72D5" w:rsidP="00897193">
            <w:pPr>
              <w:pStyle w:val="ARtabletextright"/>
              <w:spacing w:before="70" w:after="50"/>
            </w:pPr>
            <w:r w:rsidRPr="002029AF">
              <w:t>1,402,864</w:t>
            </w:r>
          </w:p>
        </w:tc>
        <w:tc>
          <w:tcPr>
            <w:tcW w:w="705" w:type="pct"/>
            <w:vAlign w:val="center"/>
          </w:tcPr>
          <w:p w14:paraId="5AB6433E" w14:textId="77777777" w:rsidR="00CF72D5" w:rsidRPr="002029AF" w:rsidRDefault="00CF72D5" w:rsidP="00897193">
            <w:pPr>
              <w:pStyle w:val="ARtabletextright"/>
              <w:spacing w:before="70" w:after="50"/>
            </w:pPr>
            <w:r w:rsidRPr="002029AF">
              <w:t>$0.03</w:t>
            </w:r>
          </w:p>
        </w:tc>
      </w:tr>
      <w:tr w:rsidR="00CF72D5" w:rsidRPr="002029AF" w14:paraId="0FB6430C" w14:textId="77777777" w:rsidTr="00D40FE6">
        <w:trPr>
          <w:cantSplit/>
          <w:trHeight w:val="194"/>
        </w:trPr>
        <w:tc>
          <w:tcPr>
            <w:tcW w:w="984" w:type="pct"/>
          </w:tcPr>
          <w:p w14:paraId="02C73CAD" w14:textId="358B97AB" w:rsidR="00CF72D5" w:rsidRPr="002029AF" w:rsidRDefault="00CF72D5" w:rsidP="00897193">
            <w:pPr>
              <w:pStyle w:val="ARtabletext"/>
              <w:spacing w:before="70" w:after="50"/>
              <w:rPr>
                <w:b/>
              </w:rPr>
            </w:pPr>
            <w:r w:rsidRPr="002029AF">
              <w:rPr>
                <w:b/>
              </w:rPr>
              <w:t>Total</w:t>
            </w:r>
            <w:r w:rsidR="000A5329" w:rsidRPr="002029AF">
              <w:rPr>
                <w:b/>
              </w:rPr>
              <w:t xml:space="preserve"> </w:t>
            </w:r>
            <w:r w:rsidRPr="002029AF">
              <w:rPr>
                <w:b/>
              </w:rPr>
              <w:t>gas</w:t>
            </w:r>
          </w:p>
        </w:tc>
        <w:tc>
          <w:tcPr>
            <w:tcW w:w="611" w:type="pct"/>
            <w:vAlign w:val="center"/>
          </w:tcPr>
          <w:p w14:paraId="306F5B2B" w14:textId="77777777" w:rsidR="00CF72D5" w:rsidRPr="002029AF" w:rsidRDefault="00CF72D5" w:rsidP="00897193">
            <w:pPr>
              <w:pStyle w:val="ARtabletextrightbold"/>
              <w:spacing w:before="70" w:after="50"/>
            </w:pPr>
            <w:r w:rsidRPr="002029AF">
              <w:t>511,668,951</w:t>
            </w:r>
          </w:p>
        </w:tc>
        <w:tc>
          <w:tcPr>
            <w:tcW w:w="666" w:type="pct"/>
            <w:vAlign w:val="center"/>
          </w:tcPr>
          <w:p w14:paraId="3B093B71" w14:textId="77777777" w:rsidR="00CF72D5" w:rsidRPr="002029AF" w:rsidRDefault="00CF72D5" w:rsidP="00897193">
            <w:pPr>
              <w:pStyle w:val="ARtabletextrightbold"/>
              <w:spacing w:before="70" w:after="50"/>
            </w:pPr>
            <w:r w:rsidRPr="002029AF">
              <w:t>$7.21</w:t>
            </w:r>
          </w:p>
        </w:tc>
        <w:tc>
          <w:tcPr>
            <w:tcW w:w="666" w:type="pct"/>
            <w:vAlign w:val="center"/>
          </w:tcPr>
          <w:p w14:paraId="6C3A3F15" w14:textId="77777777" w:rsidR="00CF72D5" w:rsidRPr="002029AF" w:rsidRDefault="00CF72D5" w:rsidP="00897193">
            <w:pPr>
              <w:pStyle w:val="ARtabletextrightbold"/>
              <w:spacing w:before="70" w:after="50"/>
            </w:pPr>
            <w:r w:rsidRPr="002029AF">
              <w:t>491,818,411</w:t>
            </w:r>
          </w:p>
        </w:tc>
        <w:tc>
          <w:tcPr>
            <w:tcW w:w="666" w:type="pct"/>
            <w:vAlign w:val="center"/>
          </w:tcPr>
          <w:p w14:paraId="1192EB16" w14:textId="77777777" w:rsidR="00CF72D5" w:rsidRPr="002029AF" w:rsidRDefault="00CF72D5" w:rsidP="00897193">
            <w:pPr>
              <w:pStyle w:val="ARtabletextrightbold"/>
              <w:spacing w:before="70" w:after="50"/>
            </w:pPr>
            <w:r w:rsidRPr="002029AF">
              <w:t>$7.02</w:t>
            </w:r>
          </w:p>
        </w:tc>
        <w:tc>
          <w:tcPr>
            <w:tcW w:w="704" w:type="pct"/>
            <w:vAlign w:val="center"/>
          </w:tcPr>
          <w:p w14:paraId="4C51788B" w14:textId="77777777" w:rsidR="00CF72D5" w:rsidRPr="002029AF" w:rsidRDefault="00CF72D5" w:rsidP="00897193">
            <w:pPr>
              <w:pStyle w:val="ARtabletextrightbold"/>
              <w:spacing w:before="70" w:after="50"/>
            </w:pPr>
            <w:r w:rsidRPr="002029AF">
              <w:t>418,952,035</w:t>
            </w:r>
          </w:p>
        </w:tc>
        <w:tc>
          <w:tcPr>
            <w:tcW w:w="705" w:type="pct"/>
            <w:vAlign w:val="center"/>
          </w:tcPr>
          <w:p w14:paraId="6C8A4642" w14:textId="77777777" w:rsidR="00CF72D5" w:rsidRPr="002029AF" w:rsidRDefault="00CF72D5" w:rsidP="00897193">
            <w:pPr>
              <w:pStyle w:val="ARtabletextrightbold"/>
              <w:spacing w:before="70" w:after="50"/>
            </w:pPr>
            <w:r w:rsidRPr="002029AF">
              <w:t>$5.08</w:t>
            </w:r>
          </w:p>
        </w:tc>
      </w:tr>
    </w:tbl>
    <w:p w14:paraId="5E36DA94" w14:textId="77777777" w:rsidR="00CF72D5" w:rsidRPr="002029AF" w:rsidRDefault="00CF72D5" w:rsidP="006C7588">
      <w:pPr>
        <w:pStyle w:val="ARbodynospace"/>
      </w:pP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4536"/>
        <w:gridCol w:w="1701"/>
        <w:gridCol w:w="1701"/>
        <w:gridCol w:w="1701"/>
      </w:tblGrid>
      <w:tr w:rsidR="00CF72D5" w:rsidRPr="002029AF" w14:paraId="49997C56" w14:textId="77777777" w:rsidTr="00897193">
        <w:trPr>
          <w:cantSplit/>
          <w:tblHeader/>
        </w:trPr>
        <w:tc>
          <w:tcPr>
            <w:tcW w:w="4536" w:type="dxa"/>
            <w:vAlign w:val="bottom"/>
          </w:tcPr>
          <w:p w14:paraId="796C5AF2" w14:textId="77777777" w:rsidR="00CF72D5" w:rsidRPr="002029AF" w:rsidRDefault="00CF72D5" w:rsidP="00897193">
            <w:pPr>
              <w:pStyle w:val="ARtablecolhead"/>
            </w:pPr>
            <w:r w:rsidRPr="002029AF">
              <w:t>Description</w:t>
            </w:r>
          </w:p>
        </w:tc>
        <w:tc>
          <w:tcPr>
            <w:tcW w:w="1701" w:type="dxa"/>
            <w:vAlign w:val="center"/>
          </w:tcPr>
          <w:p w14:paraId="4CE9E76E" w14:textId="6E6487FD" w:rsidR="00CF72D5" w:rsidRPr="002029AF" w:rsidRDefault="00CF72D5" w:rsidP="00897193">
            <w:pPr>
              <w:pStyle w:val="ARtabletextrightbold"/>
            </w:pPr>
            <w:r w:rsidRPr="002029AF">
              <w:t>2019–20</w:t>
            </w:r>
            <w:r w:rsidR="000A5329" w:rsidRPr="002029AF">
              <w:t xml:space="preserve"> </w:t>
            </w:r>
            <w:r w:rsidRPr="002029AF">
              <w:t>estimate</w:t>
            </w:r>
          </w:p>
        </w:tc>
        <w:tc>
          <w:tcPr>
            <w:tcW w:w="1701" w:type="dxa"/>
            <w:vAlign w:val="center"/>
          </w:tcPr>
          <w:p w14:paraId="446047FE" w14:textId="256453A2" w:rsidR="00CF72D5" w:rsidRPr="002029AF" w:rsidRDefault="00CF72D5" w:rsidP="00897193">
            <w:pPr>
              <w:pStyle w:val="ARtabletextrightbold"/>
            </w:pPr>
            <w:r w:rsidRPr="002029AF">
              <w:t>2018–19</w:t>
            </w:r>
            <w:r w:rsidR="000A5329" w:rsidRPr="002029AF">
              <w:t xml:space="preserve"> </w:t>
            </w:r>
            <w:r w:rsidRPr="002029AF">
              <w:t>estimate</w:t>
            </w:r>
          </w:p>
        </w:tc>
        <w:tc>
          <w:tcPr>
            <w:tcW w:w="1701" w:type="dxa"/>
            <w:vAlign w:val="center"/>
          </w:tcPr>
          <w:p w14:paraId="3CB6BDBB" w14:textId="52A157CB" w:rsidR="00CF72D5" w:rsidRPr="002029AF" w:rsidRDefault="00CF72D5" w:rsidP="00897193">
            <w:pPr>
              <w:pStyle w:val="ARtabletextrightbold"/>
            </w:pPr>
            <w:r w:rsidRPr="002029AF">
              <w:t>2017–18</w:t>
            </w:r>
            <w:r w:rsidR="000A5329" w:rsidRPr="002029AF">
              <w:t xml:space="preserve"> </w:t>
            </w:r>
            <w:r w:rsidRPr="002029AF">
              <w:t>estimate</w:t>
            </w:r>
          </w:p>
        </w:tc>
      </w:tr>
      <w:tr w:rsidR="00CF72D5" w:rsidRPr="002029AF" w14:paraId="0B3599D8" w14:textId="77777777" w:rsidTr="00897193">
        <w:trPr>
          <w:cantSplit/>
          <w:tblHeader/>
        </w:trPr>
        <w:tc>
          <w:tcPr>
            <w:tcW w:w="4536" w:type="dxa"/>
            <w:vAlign w:val="bottom"/>
          </w:tcPr>
          <w:p w14:paraId="2043BB12" w14:textId="0AD6ED4F" w:rsidR="00CF72D5" w:rsidRPr="002029AF" w:rsidRDefault="00CF72D5" w:rsidP="00897193">
            <w:pPr>
              <w:pStyle w:val="ARtablecolhead"/>
            </w:pPr>
            <w:r w:rsidRPr="002029AF">
              <w:t>Total</w:t>
            </w:r>
            <w:r w:rsidR="000A5329" w:rsidRPr="002029AF">
              <w:t xml:space="preserve"> </w:t>
            </w:r>
            <w:r w:rsidRPr="002029AF">
              <w:t>greenhouse</w:t>
            </w:r>
            <w:r w:rsidR="000A5329" w:rsidRPr="002029AF">
              <w:t xml:space="preserve"> </w:t>
            </w:r>
            <w:r w:rsidRPr="002029AF">
              <w:t>gas</w:t>
            </w:r>
            <w:r w:rsidR="000A5329" w:rsidRPr="002029AF">
              <w:t xml:space="preserve"> </w:t>
            </w:r>
            <w:r w:rsidRPr="002029AF">
              <w:t>emissions</w:t>
            </w:r>
          </w:p>
        </w:tc>
        <w:tc>
          <w:tcPr>
            <w:tcW w:w="1701" w:type="dxa"/>
            <w:vAlign w:val="bottom"/>
          </w:tcPr>
          <w:p w14:paraId="616C747C" w14:textId="1BB6D590" w:rsidR="00CF72D5" w:rsidRPr="002029AF" w:rsidRDefault="00CF72D5" w:rsidP="00897193">
            <w:pPr>
              <w:pStyle w:val="ARtablecolheadright"/>
            </w:pPr>
            <w:r w:rsidRPr="002029AF">
              <w:t>Tonnes</w:t>
            </w:r>
            <w:r w:rsidR="000A5329" w:rsidRPr="002029AF">
              <w:t xml:space="preserve"> </w:t>
            </w:r>
            <w:r w:rsidRPr="002029AF">
              <w:t>CO</w:t>
            </w:r>
            <w:r w:rsidRPr="002029AF">
              <w:rPr>
                <w:vertAlign w:val="subscript"/>
              </w:rPr>
              <w:t>2</w:t>
            </w:r>
            <w:r w:rsidRPr="002029AF">
              <w:t>-e</w:t>
            </w:r>
          </w:p>
        </w:tc>
        <w:tc>
          <w:tcPr>
            <w:tcW w:w="1701" w:type="dxa"/>
            <w:vAlign w:val="bottom"/>
          </w:tcPr>
          <w:p w14:paraId="18BD95D0" w14:textId="38C5BEB9" w:rsidR="00CF72D5" w:rsidRPr="002029AF" w:rsidRDefault="00CF72D5" w:rsidP="00897193">
            <w:pPr>
              <w:pStyle w:val="ARtablecolheadright"/>
            </w:pPr>
            <w:r w:rsidRPr="002029AF">
              <w:t>Tonnes</w:t>
            </w:r>
            <w:r w:rsidR="000A5329" w:rsidRPr="002029AF">
              <w:t xml:space="preserve"> </w:t>
            </w:r>
            <w:r w:rsidRPr="002029AF">
              <w:t>CO</w:t>
            </w:r>
            <w:r w:rsidRPr="002029AF">
              <w:rPr>
                <w:vertAlign w:val="subscript"/>
              </w:rPr>
              <w:t>2</w:t>
            </w:r>
            <w:r w:rsidRPr="002029AF">
              <w:t>-e</w:t>
            </w:r>
          </w:p>
        </w:tc>
        <w:tc>
          <w:tcPr>
            <w:tcW w:w="1701" w:type="dxa"/>
            <w:vAlign w:val="bottom"/>
          </w:tcPr>
          <w:p w14:paraId="3C28FB18" w14:textId="51E9AA3C" w:rsidR="00CF72D5" w:rsidRPr="002029AF" w:rsidRDefault="00CF72D5" w:rsidP="00897193">
            <w:pPr>
              <w:pStyle w:val="ARtablecolheadright"/>
            </w:pPr>
            <w:r w:rsidRPr="002029AF">
              <w:t>Tonnes</w:t>
            </w:r>
            <w:r w:rsidR="000A5329" w:rsidRPr="002029AF">
              <w:t xml:space="preserve"> </w:t>
            </w:r>
            <w:r w:rsidRPr="002029AF">
              <w:t>CO</w:t>
            </w:r>
            <w:r w:rsidRPr="002029AF">
              <w:rPr>
                <w:vertAlign w:val="subscript"/>
              </w:rPr>
              <w:t>2</w:t>
            </w:r>
            <w:r w:rsidRPr="002029AF">
              <w:t>-e</w:t>
            </w:r>
          </w:p>
        </w:tc>
      </w:tr>
      <w:tr w:rsidR="00CF72D5" w:rsidRPr="002029AF" w14:paraId="1DB49F08" w14:textId="77777777" w:rsidTr="00897193">
        <w:trPr>
          <w:cantSplit/>
        </w:trPr>
        <w:tc>
          <w:tcPr>
            <w:tcW w:w="4536" w:type="dxa"/>
          </w:tcPr>
          <w:p w14:paraId="225BA9F2" w14:textId="77777777" w:rsidR="00CF72D5" w:rsidRPr="002029AF" w:rsidRDefault="00CF72D5" w:rsidP="00897193">
            <w:pPr>
              <w:pStyle w:val="ARtabletext"/>
              <w:spacing w:before="70" w:after="50"/>
            </w:pPr>
            <w:r w:rsidRPr="002029AF">
              <w:t>Electricity</w:t>
            </w:r>
          </w:p>
        </w:tc>
        <w:tc>
          <w:tcPr>
            <w:tcW w:w="1701" w:type="dxa"/>
            <w:vAlign w:val="center"/>
          </w:tcPr>
          <w:p w14:paraId="31935E6A" w14:textId="29CA6AEF" w:rsidR="00CF72D5" w:rsidRPr="002029AF" w:rsidRDefault="00CF72D5" w:rsidP="00897193">
            <w:pPr>
              <w:pStyle w:val="ARtabletextright"/>
              <w:spacing w:before="70" w:after="50"/>
            </w:pPr>
            <w:r w:rsidRPr="002029AF">
              <w:t>33,964</w:t>
            </w:r>
          </w:p>
        </w:tc>
        <w:tc>
          <w:tcPr>
            <w:tcW w:w="1701" w:type="dxa"/>
            <w:vAlign w:val="center"/>
          </w:tcPr>
          <w:p w14:paraId="7D99D681" w14:textId="293F04B9" w:rsidR="00CF72D5" w:rsidRPr="002029AF" w:rsidRDefault="00CF72D5" w:rsidP="00897193">
            <w:pPr>
              <w:pStyle w:val="ARtabletextright"/>
              <w:spacing w:before="70" w:after="50"/>
            </w:pPr>
            <w:r w:rsidRPr="002029AF">
              <w:t>38,120</w:t>
            </w:r>
          </w:p>
        </w:tc>
        <w:tc>
          <w:tcPr>
            <w:tcW w:w="1701" w:type="dxa"/>
            <w:vAlign w:val="center"/>
          </w:tcPr>
          <w:p w14:paraId="11C71671" w14:textId="569E8B51" w:rsidR="00CF72D5" w:rsidRPr="002029AF" w:rsidRDefault="00CF72D5" w:rsidP="00897193">
            <w:pPr>
              <w:pStyle w:val="ARtabletextright"/>
              <w:spacing w:before="70" w:after="50"/>
            </w:pPr>
            <w:r w:rsidRPr="002029AF">
              <w:t>35,990</w:t>
            </w:r>
          </w:p>
        </w:tc>
      </w:tr>
      <w:tr w:rsidR="00CF72D5" w:rsidRPr="002029AF" w14:paraId="3E3C7BDB" w14:textId="77777777" w:rsidTr="00897193">
        <w:trPr>
          <w:cantSplit/>
        </w:trPr>
        <w:tc>
          <w:tcPr>
            <w:tcW w:w="4536" w:type="dxa"/>
          </w:tcPr>
          <w:p w14:paraId="3545AF4D" w14:textId="5CE4E69F" w:rsidR="00CF72D5" w:rsidRPr="002029AF" w:rsidRDefault="00CF72D5" w:rsidP="00897193">
            <w:pPr>
              <w:pStyle w:val="ARtabletext"/>
              <w:spacing w:before="70" w:after="50"/>
            </w:pPr>
            <w:r w:rsidRPr="002029AF">
              <w:t>Natural</w:t>
            </w:r>
            <w:r w:rsidR="000A5329" w:rsidRPr="002029AF">
              <w:t xml:space="preserve"> </w:t>
            </w:r>
            <w:r w:rsidRPr="002029AF">
              <w:t>gas</w:t>
            </w:r>
          </w:p>
        </w:tc>
        <w:tc>
          <w:tcPr>
            <w:tcW w:w="1701" w:type="dxa"/>
            <w:vAlign w:val="center"/>
          </w:tcPr>
          <w:p w14:paraId="4D62FC0E" w14:textId="4C347E0F" w:rsidR="00CF72D5" w:rsidRPr="002029AF" w:rsidRDefault="00CF72D5" w:rsidP="00897193">
            <w:pPr>
              <w:pStyle w:val="ARtabletextright"/>
              <w:spacing w:before="70" w:after="50"/>
            </w:pPr>
            <w:r w:rsidRPr="002029AF">
              <w:t>26,366</w:t>
            </w:r>
          </w:p>
        </w:tc>
        <w:tc>
          <w:tcPr>
            <w:tcW w:w="1701" w:type="dxa"/>
            <w:vAlign w:val="center"/>
          </w:tcPr>
          <w:p w14:paraId="696C922E" w14:textId="7E8E29B3" w:rsidR="00CF72D5" w:rsidRPr="002029AF" w:rsidRDefault="00CF72D5" w:rsidP="00897193">
            <w:pPr>
              <w:pStyle w:val="ARtabletextright"/>
              <w:spacing w:before="70" w:after="50"/>
            </w:pPr>
            <w:r w:rsidRPr="002029AF">
              <w:t>25,343</w:t>
            </w:r>
          </w:p>
        </w:tc>
        <w:tc>
          <w:tcPr>
            <w:tcW w:w="1701" w:type="dxa"/>
            <w:vAlign w:val="center"/>
          </w:tcPr>
          <w:p w14:paraId="0530DA89" w14:textId="129A81A6" w:rsidR="00CF72D5" w:rsidRPr="002029AF" w:rsidRDefault="00CF72D5" w:rsidP="00897193">
            <w:pPr>
              <w:pStyle w:val="ARtabletextright"/>
              <w:spacing w:before="70" w:after="50"/>
            </w:pPr>
            <w:r w:rsidRPr="002029AF">
              <w:t>21,589</w:t>
            </w:r>
          </w:p>
        </w:tc>
      </w:tr>
      <w:tr w:rsidR="00CF72D5" w:rsidRPr="002029AF" w14:paraId="413E5316" w14:textId="77777777" w:rsidTr="00897193">
        <w:trPr>
          <w:cantSplit/>
        </w:trPr>
        <w:tc>
          <w:tcPr>
            <w:tcW w:w="4536" w:type="dxa"/>
          </w:tcPr>
          <w:p w14:paraId="31686257" w14:textId="0FDEE9C2" w:rsidR="00CF72D5" w:rsidRPr="002029AF" w:rsidRDefault="00CF72D5" w:rsidP="00897193">
            <w:pPr>
              <w:pStyle w:val="ARtabletext"/>
              <w:spacing w:before="70" w:after="50"/>
              <w:rPr>
                <w:b/>
              </w:rPr>
            </w:pPr>
            <w:r w:rsidRPr="002029AF">
              <w:rPr>
                <w:b/>
              </w:rPr>
              <w:t>Total</w:t>
            </w:r>
            <w:r w:rsidR="000A5329" w:rsidRPr="002029AF">
              <w:rPr>
                <w:b/>
              </w:rPr>
              <w:t xml:space="preserve"> </w:t>
            </w:r>
            <w:r w:rsidRPr="002029AF">
              <w:rPr>
                <w:b/>
              </w:rPr>
              <w:t>greenhouse</w:t>
            </w:r>
            <w:r w:rsidR="000A5329" w:rsidRPr="002029AF">
              <w:rPr>
                <w:b/>
              </w:rPr>
              <w:t xml:space="preserve"> </w:t>
            </w:r>
            <w:r w:rsidRPr="002029AF">
              <w:rPr>
                <w:b/>
              </w:rPr>
              <w:t>gas</w:t>
            </w:r>
            <w:r w:rsidR="000A5329" w:rsidRPr="002029AF">
              <w:rPr>
                <w:b/>
              </w:rPr>
              <w:t xml:space="preserve"> </w:t>
            </w:r>
            <w:r w:rsidRPr="002029AF">
              <w:rPr>
                <w:b/>
              </w:rPr>
              <w:t>emissions</w:t>
            </w:r>
          </w:p>
        </w:tc>
        <w:tc>
          <w:tcPr>
            <w:tcW w:w="1701" w:type="dxa"/>
            <w:vAlign w:val="center"/>
          </w:tcPr>
          <w:p w14:paraId="0C917F05" w14:textId="77777777" w:rsidR="00CF72D5" w:rsidRPr="002029AF" w:rsidRDefault="00CF72D5" w:rsidP="00897193">
            <w:pPr>
              <w:pStyle w:val="ARtabletextrightbold"/>
              <w:spacing w:before="70" w:after="50"/>
            </w:pPr>
            <w:r w:rsidRPr="002029AF">
              <w:t>60,330</w:t>
            </w:r>
          </w:p>
        </w:tc>
        <w:tc>
          <w:tcPr>
            <w:tcW w:w="1701" w:type="dxa"/>
            <w:vAlign w:val="center"/>
          </w:tcPr>
          <w:p w14:paraId="44C2AD5F" w14:textId="77777777" w:rsidR="00CF72D5" w:rsidRPr="002029AF" w:rsidRDefault="00CF72D5" w:rsidP="00897193">
            <w:pPr>
              <w:pStyle w:val="ARtabletextrightbold"/>
              <w:spacing w:before="70" w:after="50"/>
            </w:pPr>
            <w:r w:rsidRPr="002029AF">
              <w:t>63,464</w:t>
            </w:r>
          </w:p>
        </w:tc>
        <w:tc>
          <w:tcPr>
            <w:tcW w:w="1701" w:type="dxa"/>
            <w:vAlign w:val="center"/>
          </w:tcPr>
          <w:p w14:paraId="7B81E515" w14:textId="77777777" w:rsidR="00CF72D5" w:rsidRPr="002029AF" w:rsidRDefault="00CF72D5" w:rsidP="00897193">
            <w:pPr>
              <w:pStyle w:val="ARtabletextrightbold"/>
              <w:spacing w:before="70" w:after="50"/>
            </w:pPr>
            <w:r w:rsidRPr="002029AF">
              <w:t>57,579</w:t>
            </w:r>
          </w:p>
        </w:tc>
      </w:tr>
    </w:tbl>
    <w:p w14:paraId="0F064198" w14:textId="082C04DD" w:rsidR="00CF72D5" w:rsidRPr="002029AF" w:rsidRDefault="00CF72D5" w:rsidP="006C7588">
      <w:pPr>
        <w:pStyle w:val="ARtablefootnote"/>
      </w:pPr>
      <w:r w:rsidRPr="002029AF">
        <w:t>Housing</w:t>
      </w:r>
      <w:r w:rsidR="000A5329" w:rsidRPr="002029AF">
        <w:t xml:space="preserve"> </w:t>
      </w:r>
      <w:r w:rsidRPr="002029AF">
        <w:t>services</w:t>
      </w:r>
      <w:r w:rsidR="000A5329" w:rsidRPr="002029AF">
        <w:t xml:space="preserve"> </w:t>
      </w:r>
      <w:r w:rsidRPr="002029AF">
        <w:t>energy</w:t>
      </w:r>
      <w:r w:rsidR="000A5329" w:rsidRPr="002029AF">
        <w:t xml:space="preserve"> </w:t>
      </w:r>
      <w:r w:rsidRPr="002029AF">
        <w:t>data</w:t>
      </w:r>
      <w:r w:rsidR="000A5329" w:rsidRPr="002029AF">
        <w:t xml:space="preserve"> </w:t>
      </w:r>
      <w:r w:rsidRPr="002029AF">
        <w:t>represents</w:t>
      </w:r>
      <w:r w:rsidR="000A5329" w:rsidRPr="002029AF">
        <w:t xml:space="preserve"> </w:t>
      </w:r>
      <w:r w:rsidRPr="002029AF">
        <w:t>consumption</w:t>
      </w:r>
      <w:r w:rsidR="000A5329" w:rsidRPr="002029AF">
        <w:t xml:space="preserve"> </w:t>
      </w:r>
      <w:r w:rsidRPr="002029AF">
        <w:t>and</w:t>
      </w:r>
      <w:r w:rsidR="000A5329" w:rsidRPr="002029AF">
        <w:t xml:space="preserve"> </w:t>
      </w:r>
      <w:r w:rsidRPr="002029AF">
        <w:t>cost</w:t>
      </w:r>
      <w:r w:rsidR="000A5329" w:rsidRPr="002029AF">
        <w:t xml:space="preserve"> </w:t>
      </w:r>
      <w:r w:rsidRPr="002029AF">
        <w:t>for</w:t>
      </w:r>
      <w:r w:rsidR="000A5329" w:rsidRPr="002029AF">
        <w:t xml:space="preserve"> </w:t>
      </w:r>
      <w:r w:rsidRPr="002029AF">
        <w:t>common-use</w:t>
      </w:r>
      <w:r w:rsidR="000A5329" w:rsidRPr="002029AF">
        <w:t xml:space="preserve"> </w:t>
      </w:r>
      <w:r w:rsidRPr="002029AF">
        <w:t>areas</w:t>
      </w:r>
      <w:r w:rsidR="000A5329" w:rsidRPr="002029AF">
        <w:t xml:space="preserve"> </w:t>
      </w:r>
      <w:r w:rsidRPr="002029AF">
        <w:t>and</w:t>
      </w:r>
      <w:r w:rsidR="000A5329" w:rsidRPr="002029AF">
        <w:t xml:space="preserve"> </w:t>
      </w:r>
      <w:r w:rsidRPr="002029AF">
        <w:t>base-building</w:t>
      </w:r>
      <w:r w:rsidR="000A5329" w:rsidRPr="002029AF">
        <w:t xml:space="preserve"> </w:t>
      </w:r>
      <w:r w:rsidRPr="002029AF">
        <w:t>services</w:t>
      </w:r>
      <w:r w:rsidR="000A5329" w:rsidRPr="002029AF">
        <w:t xml:space="preserve"> </w:t>
      </w:r>
      <w:r w:rsidRPr="002029AF">
        <w:t>at</w:t>
      </w:r>
      <w:r w:rsidR="000A5329" w:rsidRPr="002029AF">
        <w:t xml:space="preserve"> </w:t>
      </w:r>
      <w:r w:rsidRPr="002029AF">
        <w:t>2,728</w:t>
      </w:r>
      <w:r w:rsidR="000A5329" w:rsidRPr="002029AF">
        <w:t xml:space="preserve"> </w:t>
      </w:r>
      <w:r w:rsidRPr="002029AF">
        <w:t>electricity-metered</w:t>
      </w:r>
      <w:r w:rsidR="000A5329" w:rsidRPr="002029AF">
        <w:t xml:space="preserve"> </w:t>
      </w:r>
      <w:r w:rsidRPr="002029AF">
        <w:t>and</w:t>
      </w:r>
      <w:r w:rsidR="000A5329" w:rsidRPr="002029AF">
        <w:t xml:space="preserve"> </w:t>
      </w:r>
      <w:r w:rsidRPr="002029AF">
        <w:t>505</w:t>
      </w:r>
      <w:r w:rsidR="000A5329" w:rsidRPr="002029AF">
        <w:t xml:space="preserve"> </w:t>
      </w:r>
      <w:r w:rsidRPr="002029AF">
        <w:t>gas-metered</w:t>
      </w:r>
      <w:r w:rsidR="000A5329" w:rsidRPr="002029AF">
        <w:t xml:space="preserve"> </w:t>
      </w:r>
      <w:r w:rsidRPr="002029AF">
        <w:t>sites.</w:t>
      </w:r>
    </w:p>
    <w:p w14:paraId="23454AC9" w14:textId="48A15EBA" w:rsidR="005A6B8E" w:rsidRPr="002029AF" w:rsidRDefault="00CF72D5" w:rsidP="006C7588">
      <w:pPr>
        <w:pStyle w:val="ARtablefootnote"/>
      </w:pPr>
      <w:r w:rsidRPr="002029AF">
        <w:t>Housing</w:t>
      </w:r>
      <w:r w:rsidR="000A5329" w:rsidRPr="002029AF">
        <w:t xml:space="preserve"> </w:t>
      </w:r>
      <w:r w:rsidRPr="002029AF">
        <w:t>services</w:t>
      </w:r>
      <w:r w:rsidR="000A5329" w:rsidRPr="002029AF">
        <w:t xml:space="preserve"> </w:t>
      </w:r>
      <w:r w:rsidRPr="002029AF">
        <w:t>electricity</w:t>
      </w:r>
      <w:r w:rsidR="000A5329" w:rsidRPr="002029AF">
        <w:t xml:space="preserve"> </w:t>
      </w:r>
      <w:r w:rsidRPr="002029AF">
        <w:t>data</w:t>
      </w:r>
      <w:r w:rsidR="000A5329" w:rsidRPr="002029AF">
        <w:t xml:space="preserve"> </w:t>
      </w:r>
      <w:r w:rsidRPr="002029AF">
        <w:t>includes</w:t>
      </w:r>
      <w:r w:rsidR="000A5329" w:rsidRPr="002029AF">
        <w:t xml:space="preserve"> </w:t>
      </w:r>
      <w:r w:rsidRPr="002029AF">
        <w:t>an</w:t>
      </w:r>
      <w:r w:rsidR="000A5329" w:rsidRPr="002029AF">
        <w:t xml:space="preserve"> </w:t>
      </w:r>
      <w:r w:rsidRPr="002029AF">
        <w:t>18</w:t>
      </w:r>
      <w:r w:rsidR="000A5329" w:rsidRPr="002029AF">
        <w:t xml:space="preserve"> </w:t>
      </w:r>
      <w:r w:rsidRPr="002029AF">
        <w:t>per</w:t>
      </w:r>
      <w:r w:rsidR="000A5329" w:rsidRPr="002029AF">
        <w:t xml:space="preserve"> </w:t>
      </w:r>
      <w:r w:rsidRPr="002029AF">
        <w:t>cent</w:t>
      </w:r>
      <w:r w:rsidR="000A5329" w:rsidRPr="002029AF">
        <w:t xml:space="preserve"> </w:t>
      </w:r>
      <w:r w:rsidRPr="002029AF">
        <w:t>estimate</w:t>
      </w:r>
      <w:r w:rsidR="000A5329" w:rsidRPr="002029AF">
        <w:t xml:space="preserve"> </w:t>
      </w:r>
      <w:r w:rsidRPr="002029AF">
        <w:t>and</w:t>
      </w:r>
      <w:r w:rsidR="000A5329" w:rsidRPr="002029AF">
        <w:t xml:space="preserve"> </w:t>
      </w:r>
      <w:r w:rsidRPr="002029AF">
        <w:t>housing</w:t>
      </w:r>
      <w:r w:rsidR="000A5329" w:rsidRPr="002029AF">
        <w:t xml:space="preserve"> </w:t>
      </w:r>
      <w:r w:rsidRPr="002029AF">
        <w:t>portfolio</w:t>
      </w:r>
      <w:r w:rsidR="000A5329" w:rsidRPr="002029AF">
        <w:t xml:space="preserve"> </w:t>
      </w:r>
      <w:r w:rsidRPr="002029AF">
        <w:t>gas</w:t>
      </w:r>
      <w:r w:rsidR="000A5329" w:rsidRPr="002029AF">
        <w:t xml:space="preserve"> </w:t>
      </w:r>
      <w:r w:rsidRPr="002029AF">
        <w:t>data</w:t>
      </w:r>
      <w:r w:rsidR="000A5329" w:rsidRPr="002029AF">
        <w:t xml:space="preserve"> </w:t>
      </w:r>
      <w:r w:rsidRPr="002029AF">
        <w:t>includes</w:t>
      </w:r>
      <w:r w:rsidR="000A5329" w:rsidRPr="002029AF">
        <w:t xml:space="preserve"> </w:t>
      </w:r>
      <w:r w:rsidRPr="002029AF">
        <w:t>a</w:t>
      </w:r>
      <w:r w:rsidR="000A5329" w:rsidRPr="002029AF">
        <w:t xml:space="preserve"> </w:t>
      </w:r>
      <w:r w:rsidRPr="002029AF">
        <w:t>31</w:t>
      </w:r>
      <w:r w:rsidR="000A5329" w:rsidRPr="002029AF">
        <w:t xml:space="preserve"> </w:t>
      </w:r>
      <w:r w:rsidRPr="002029AF">
        <w:t>per</w:t>
      </w:r>
      <w:r w:rsidR="000A5329" w:rsidRPr="002029AF">
        <w:t xml:space="preserve"> </w:t>
      </w:r>
      <w:r w:rsidRPr="002029AF">
        <w:t>cent</w:t>
      </w:r>
      <w:r w:rsidR="000A5329" w:rsidRPr="002029AF">
        <w:t xml:space="preserve"> </w:t>
      </w:r>
      <w:r w:rsidRPr="002029AF">
        <w:t>estimate</w:t>
      </w:r>
      <w:r w:rsidR="000A5329" w:rsidRPr="002029AF">
        <w:t xml:space="preserve"> </w:t>
      </w:r>
      <w:r w:rsidRPr="002029AF">
        <w:t>in</w:t>
      </w:r>
      <w:r w:rsidR="000A5329" w:rsidRPr="002029AF">
        <w:t xml:space="preserve"> </w:t>
      </w:r>
      <w:r w:rsidRPr="002029AF">
        <w:t>201</w:t>
      </w:r>
      <w:r w:rsidR="00DB53E6" w:rsidRPr="002029AF">
        <w:t>9–</w:t>
      </w:r>
      <w:r w:rsidRPr="002029AF">
        <w:t>20</w:t>
      </w:r>
      <w:r w:rsidR="000A5329" w:rsidRPr="002029AF">
        <w:t xml:space="preserve"> </w:t>
      </w:r>
      <w:r w:rsidRPr="002029AF">
        <w:t>due</w:t>
      </w:r>
      <w:r w:rsidR="000A5329" w:rsidRPr="002029AF">
        <w:t xml:space="preserve"> </w:t>
      </w:r>
      <w:r w:rsidRPr="002029AF">
        <w:t>to</w:t>
      </w:r>
      <w:r w:rsidR="000A5329" w:rsidRPr="002029AF">
        <w:t xml:space="preserve"> </w:t>
      </w:r>
      <w:r w:rsidRPr="002029AF">
        <w:t>some</w:t>
      </w:r>
      <w:r w:rsidR="000A5329" w:rsidRPr="002029AF">
        <w:t xml:space="preserve"> </w:t>
      </w:r>
      <w:r w:rsidRPr="002029AF">
        <w:t>data</w:t>
      </w:r>
      <w:r w:rsidR="000A5329" w:rsidRPr="002029AF">
        <w:t xml:space="preserve"> </w:t>
      </w:r>
      <w:r w:rsidRPr="002029AF">
        <w:t>being</w:t>
      </w:r>
      <w:r w:rsidR="000A5329" w:rsidRPr="002029AF">
        <w:t xml:space="preserve"> </w:t>
      </w:r>
      <w:r w:rsidRPr="002029AF">
        <w:t>unavailable</w:t>
      </w:r>
      <w:r w:rsidR="000A5329" w:rsidRPr="002029AF">
        <w:t xml:space="preserve"> </w:t>
      </w:r>
      <w:r w:rsidRPr="002029AF">
        <w:t>from</w:t>
      </w:r>
      <w:r w:rsidR="000A5329" w:rsidRPr="002029AF">
        <w:t xml:space="preserve"> </w:t>
      </w:r>
      <w:r w:rsidRPr="002029AF">
        <w:t>energy</w:t>
      </w:r>
      <w:r w:rsidR="000A5329" w:rsidRPr="002029AF">
        <w:t xml:space="preserve"> </w:t>
      </w:r>
      <w:r w:rsidRPr="002029AF">
        <w:t>retailers</w:t>
      </w:r>
      <w:r w:rsidR="000A5329" w:rsidRPr="002029AF">
        <w:t xml:space="preserve"> </w:t>
      </w:r>
      <w:r w:rsidRPr="002029AF">
        <w:t>at</w:t>
      </w:r>
      <w:r w:rsidR="000A5329" w:rsidRPr="002029AF">
        <w:t xml:space="preserve"> </w:t>
      </w:r>
      <w:r w:rsidRPr="002029AF">
        <w:t>the</w:t>
      </w:r>
      <w:r w:rsidR="000A5329" w:rsidRPr="002029AF">
        <w:t xml:space="preserve"> </w:t>
      </w:r>
      <w:r w:rsidRPr="002029AF">
        <w:t>time</w:t>
      </w:r>
      <w:r w:rsidR="000A5329" w:rsidRPr="002029AF">
        <w:t xml:space="preserve"> </w:t>
      </w:r>
      <w:r w:rsidRPr="002029AF">
        <w:t>of</w:t>
      </w:r>
      <w:r w:rsidR="000A5329" w:rsidRPr="002029AF">
        <w:t xml:space="preserve"> </w:t>
      </w:r>
      <w:r w:rsidRPr="002029AF">
        <w:t>reporting.</w:t>
      </w:r>
    </w:p>
    <w:p w14:paraId="27291584" w14:textId="6590B86D" w:rsidR="00CF72D5" w:rsidRPr="002029AF" w:rsidRDefault="00CF72D5" w:rsidP="00961519">
      <w:pPr>
        <w:pStyle w:val="Heading6"/>
        <w:spacing w:before="400" w:after="200"/>
        <w:rPr>
          <w:rFonts w:ascii="Arial Bold" w:hAnsi="Arial Bold"/>
          <w:lang w:val="en-AU"/>
        </w:rPr>
      </w:pPr>
      <w:r w:rsidRPr="002029AF">
        <w:rPr>
          <w:rFonts w:ascii="Arial Bold" w:hAnsi="Arial Bold"/>
          <w:lang w:val="en-AU"/>
        </w:rPr>
        <w:t>Public</w:t>
      </w:r>
      <w:r w:rsidR="000A5329" w:rsidRPr="002029AF">
        <w:rPr>
          <w:rFonts w:ascii="Arial Bold" w:hAnsi="Arial Bold"/>
          <w:lang w:val="en-AU"/>
        </w:rPr>
        <w:t xml:space="preserve"> </w:t>
      </w:r>
      <w:r w:rsidRPr="002029AF">
        <w:rPr>
          <w:rFonts w:ascii="Arial Bold" w:hAnsi="Arial Bold"/>
          <w:lang w:val="en-AU"/>
        </w:rPr>
        <w:t>health</w:t>
      </w:r>
      <w:r w:rsidR="000A5329" w:rsidRPr="002029AF">
        <w:rPr>
          <w:rFonts w:ascii="Arial Bold" w:hAnsi="Arial Bold"/>
          <w:lang w:val="en-AU"/>
        </w:rPr>
        <w:t xml:space="preserve"> </w:t>
      </w:r>
      <w:r w:rsidRPr="002029AF">
        <w:rPr>
          <w:rFonts w:ascii="Arial Bold" w:hAnsi="Arial Bold"/>
          <w:lang w:val="en-AU"/>
        </w:rPr>
        <w:t>services</w:t>
      </w:r>
    </w:p>
    <w:tbl>
      <w:tblPr>
        <w:tblStyle w:val="TableGrid"/>
        <w:tblW w:w="9639" w:type="dxa"/>
        <w:tblLook w:val="06A0" w:firstRow="1" w:lastRow="0" w:firstColumn="1" w:lastColumn="0" w:noHBand="1" w:noVBand="1"/>
      </w:tblPr>
      <w:tblGrid>
        <w:gridCol w:w="2037"/>
        <w:gridCol w:w="1267"/>
        <w:gridCol w:w="1267"/>
        <w:gridCol w:w="1267"/>
        <w:gridCol w:w="1267"/>
        <w:gridCol w:w="1267"/>
        <w:gridCol w:w="1267"/>
      </w:tblGrid>
      <w:tr w:rsidR="006C7588" w:rsidRPr="002029AF" w14:paraId="1F1D7440" w14:textId="77777777" w:rsidTr="006C7588">
        <w:trPr>
          <w:cnfStyle w:val="100000000000" w:firstRow="1" w:lastRow="0" w:firstColumn="0" w:lastColumn="0" w:oddVBand="0" w:evenVBand="0" w:oddHBand="0" w:evenHBand="0" w:firstRowFirstColumn="0" w:firstRowLastColumn="0" w:lastRowFirstColumn="0" w:lastRowLastColumn="0"/>
          <w:tblHeader/>
        </w:trPr>
        <w:tc>
          <w:tcPr>
            <w:tcW w:w="1057" w:type="pct"/>
          </w:tcPr>
          <w:p w14:paraId="0949F65E" w14:textId="6AF797EA" w:rsidR="006C7588" w:rsidRPr="002029AF" w:rsidRDefault="006C7588" w:rsidP="006C7588">
            <w:pPr>
              <w:pStyle w:val="ARtablecolhead"/>
            </w:pPr>
            <w:r w:rsidRPr="002029AF">
              <w:t>Description</w:t>
            </w:r>
          </w:p>
        </w:tc>
        <w:tc>
          <w:tcPr>
            <w:tcW w:w="657" w:type="pct"/>
          </w:tcPr>
          <w:p w14:paraId="757D1770" w14:textId="378BD356" w:rsidR="006C7588" w:rsidRPr="002029AF" w:rsidRDefault="006C7588" w:rsidP="006C7588">
            <w:pPr>
              <w:pStyle w:val="ARtablecolheadright"/>
            </w:pPr>
            <w:r w:rsidRPr="002029AF">
              <w:t xml:space="preserve">2019–20 </w:t>
            </w:r>
            <w:r w:rsidRPr="002029AF">
              <w:br/>
              <w:t>estimate</w:t>
            </w:r>
          </w:p>
        </w:tc>
        <w:tc>
          <w:tcPr>
            <w:tcW w:w="657" w:type="pct"/>
          </w:tcPr>
          <w:p w14:paraId="5AF912BB" w14:textId="0A37504E" w:rsidR="006C7588" w:rsidRPr="002029AF" w:rsidRDefault="006C7588" w:rsidP="006C7588">
            <w:pPr>
              <w:pStyle w:val="ARtablecolheadright"/>
            </w:pPr>
            <w:r w:rsidRPr="002029AF">
              <w:t xml:space="preserve">2019–20 </w:t>
            </w:r>
            <w:r w:rsidRPr="002029AF">
              <w:br/>
              <w:t>estimate</w:t>
            </w:r>
          </w:p>
        </w:tc>
        <w:tc>
          <w:tcPr>
            <w:tcW w:w="657" w:type="pct"/>
          </w:tcPr>
          <w:p w14:paraId="20507145" w14:textId="07106D72" w:rsidR="006C7588" w:rsidRPr="002029AF" w:rsidRDefault="006C7588" w:rsidP="006C7588">
            <w:pPr>
              <w:pStyle w:val="ARtablecolheadright"/>
            </w:pPr>
            <w:r w:rsidRPr="002029AF">
              <w:t xml:space="preserve">2018–19 </w:t>
            </w:r>
            <w:r w:rsidRPr="002029AF">
              <w:br/>
              <w:t>estimate</w:t>
            </w:r>
          </w:p>
        </w:tc>
        <w:tc>
          <w:tcPr>
            <w:tcW w:w="657" w:type="pct"/>
          </w:tcPr>
          <w:p w14:paraId="491615AB" w14:textId="1C436F3B" w:rsidR="006C7588" w:rsidRPr="002029AF" w:rsidRDefault="006C7588" w:rsidP="006C7588">
            <w:pPr>
              <w:pStyle w:val="ARtablecolheadright"/>
            </w:pPr>
            <w:r w:rsidRPr="002029AF">
              <w:t xml:space="preserve">2018–19 </w:t>
            </w:r>
            <w:r w:rsidRPr="002029AF">
              <w:br/>
              <w:t>estimate</w:t>
            </w:r>
          </w:p>
        </w:tc>
        <w:tc>
          <w:tcPr>
            <w:tcW w:w="657" w:type="pct"/>
          </w:tcPr>
          <w:p w14:paraId="6F4A2466" w14:textId="620EE27A" w:rsidR="006C7588" w:rsidRPr="002029AF" w:rsidRDefault="006C7588" w:rsidP="006C7588">
            <w:pPr>
              <w:pStyle w:val="ARtablecolheadright"/>
            </w:pPr>
            <w:r w:rsidRPr="002029AF">
              <w:t xml:space="preserve">2017–18 </w:t>
            </w:r>
            <w:r w:rsidRPr="002029AF">
              <w:br/>
              <w:t>estimate</w:t>
            </w:r>
          </w:p>
        </w:tc>
        <w:tc>
          <w:tcPr>
            <w:tcW w:w="657" w:type="pct"/>
          </w:tcPr>
          <w:p w14:paraId="0A6350BF" w14:textId="70135D6D" w:rsidR="006C7588" w:rsidRPr="002029AF" w:rsidRDefault="006C7588" w:rsidP="006C7588">
            <w:pPr>
              <w:pStyle w:val="ARtablecolheadright"/>
            </w:pPr>
            <w:r w:rsidRPr="002029AF">
              <w:t xml:space="preserve">2017–18 </w:t>
            </w:r>
            <w:r w:rsidRPr="002029AF">
              <w:br/>
              <w:t>estimate</w:t>
            </w:r>
          </w:p>
        </w:tc>
      </w:tr>
      <w:tr w:rsidR="00CF72D5" w:rsidRPr="002029AF" w14:paraId="55F4D18C" w14:textId="77777777" w:rsidTr="006C7588">
        <w:trPr>
          <w:cnfStyle w:val="100000000000" w:firstRow="1" w:lastRow="0" w:firstColumn="0" w:lastColumn="0" w:oddVBand="0" w:evenVBand="0" w:oddHBand="0" w:evenHBand="0" w:firstRowFirstColumn="0" w:firstRowLastColumn="0" w:lastRowFirstColumn="0" w:lastRowLastColumn="0"/>
          <w:tblHeader/>
        </w:trPr>
        <w:tc>
          <w:tcPr>
            <w:tcW w:w="1057" w:type="pct"/>
          </w:tcPr>
          <w:p w14:paraId="2D17ADA7" w14:textId="14B3D7A9" w:rsidR="00CF72D5" w:rsidRPr="002029AF" w:rsidRDefault="00CF72D5" w:rsidP="00897193">
            <w:pPr>
              <w:pStyle w:val="ARtablecolhead"/>
            </w:pPr>
            <w:r w:rsidRPr="002029AF">
              <w:t>Total</w:t>
            </w:r>
            <w:r w:rsidR="000A5329" w:rsidRPr="002029AF">
              <w:t xml:space="preserve"> </w:t>
            </w:r>
            <w:r w:rsidRPr="002029AF">
              <w:t>energy</w:t>
            </w:r>
            <w:r w:rsidR="000A5329" w:rsidRPr="002029AF">
              <w:t xml:space="preserve"> </w:t>
            </w:r>
            <w:r w:rsidRPr="002029AF">
              <w:t>usage</w:t>
            </w:r>
            <w:r w:rsidR="000A5329" w:rsidRPr="002029AF">
              <w:t xml:space="preserve"> </w:t>
            </w:r>
            <w:r w:rsidRPr="002029AF">
              <w:t>segmented</w:t>
            </w:r>
            <w:r w:rsidR="000A5329" w:rsidRPr="002029AF">
              <w:t xml:space="preserve"> </w:t>
            </w:r>
            <w:r w:rsidRPr="002029AF">
              <w:t>by</w:t>
            </w:r>
            <w:r w:rsidR="000A5329" w:rsidRPr="002029AF">
              <w:t xml:space="preserve"> </w:t>
            </w:r>
            <w:r w:rsidRPr="002029AF">
              <w:t>primary</w:t>
            </w:r>
            <w:r w:rsidR="000A5329" w:rsidRPr="002029AF">
              <w:t xml:space="preserve"> </w:t>
            </w:r>
            <w:r w:rsidRPr="002029AF">
              <w:t>source</w:t>
            </w:r>
          </w:p>
        </w:tc>
        <w:tc>
          <w:tcPr>
            <w:tcW w:w="657" w:type="pct"/>
          </w:tcPr>
          <w:p w14:paraId="006DB949" w14:textId="77777777" w:rsidR="00CF72D5" w:rsidRPr="002029AF" w:rsidRDefault="00CF72D5" w:rsidP="00897193">
            <w:pPr>
              <w:pStyle w:val="ARtablecolheadright"/>
            </w:pPr>
            <w:r w:rsidRPr="002029AF">
              <w:t>Terajoules</w:t>
            </w:r>
          </w:p>
        </w:tc>
        <w:tc>
          <w:tcPr>
            <w:tcW w:w="657" w:type="pct"/>
          </w:tcPr>
          <w:p w14:paraId="0C69E24A" w14:textId="77777777" w:rsidR="00CF72D5" w:rsidRPr="002029AF" w:rsidRDefault="00CF72D5" w:rsidP="00897193">
            <w:pPr>
              <w:pStyle w:val="ARtablecolheadright"/>
            </w:pPr>
            <w:r w:rsidRPr="002029AF">
              <w:t>Cost</w:t>
            </w:r>
            <w:r w:rsidRPr="002029AF">
              <w:br/>
              <w:t>($M)</w:t>
            </w:r>
          </w:p>
        </w:tc>
        <w:tc>
          <w:tcPr>
            <w:tcW w:w="657" w:type="pct"/>
          </w:tcPr>
          <w:p w14:paraId="551AF046" w14:textId="77777777" w:rsidR="00CF72D5" w:rsidRPr="002029AF" w:rsidRDefault="00CF72D5" w:rsidP="00897193">
            <w:pPr>
              <w:pStyle w:val="ARtablecolheadright"/>
            </w:pPr>
            <w:r w:rsidRPr="002029AF">
              <w:t>Terajoules</w:t>
            </w:r>
          </w:p>
        </w:tc>
        <w:tc>
          <w:tcPr>
            <w:tcW w:w="657" w:type="pct"/>
          </w:tcPr>
          <w:p w14:paraId="05808609" w14:textId="77777777" w:rsidR="00CF72D5" w:rsidRPr="002029AF" w:rsidRDefault="00CF72D5" w:rsidP="00897193">
            <w:pPr>
              <w:pStyle w:val="ARtablecolheadright"/>
            </w:pPr>
            <w:r w:rsidRPr="002029AF">
              <w:t>Cost</w:t>
            </w:r>
            <w:r w:rsidRPr="002029AF">
              <w:br/>
              <w:t>($M)</w:t>
            </w:r>
          </w:p>
        </w:tc>
        <w:tc>
          <w:tcPr>
            <w:tcW w:w="657" w:type="pct"/>
          </w:tcPr>
          <w:p w14:paraId="2EA2C5E9" w14:textId="77777777" w:rsidR="00CF72D5" w:rsidRPr="002029AF" w:rsidRDefault="00CF72D5" w:rsidP="00897193">
            <w:pPr>
              <w:pStyle w:val="ARtablecolheadright"/>
            </w:pPr>
            <w:r w:rsidRPr="002029AF">
              <w:t>Terajoules</w:t>
            </w:r>
          </w:p>
        </w:tc>
        <w:tc>
          <w:tcPr>
            <w:tcW w:w="657" w:type="pct"/>
          </w:tcPr>
          <w:p w14:paraId="358F4FCA" w14:textId="77777777" w:rsidR="00CF72D5" w:rsidRPr="002029AF" w:rsidRDefault="00CF72D5" w:rsidP="00897193">
            <w:pPr>
              <w:pStyle w:val="ARtablecolheadright"/>
            </w:pPr>
            <w:r w:rsidRPr="002029AF">
              <w:t>Cost</w:t>
            </w:r>
            <w:r w:rsidRPr="002029AF">
              <w:br/>
              <w:t>($M)</w:t>
            </w:r>
          </w:p>
        </w:tc>
      </w:tr>
      <w:tr w:rsidR="00CF72D5" w:rsidRPr="002029AF" w14:paraId="2FEFFE18" w14:textId="77777777" w:rsidTr="006C7588">
        <w:tc>
          <w:tcPr>
            <w:tcW w:w="1057" w:type="pct"/>
            <w:hideMark/>
          </w:tcPr>
          <w:p w14:paraId="2C17C78B" w14:textId="77777777" w:rsidR="00CF72D5" w:rsidRPr="002029AF" w:rsidRDefault="00CF72D5" w:rsidP="00897193">
            <w:pPr>
              <w:pStyle w:val="ARtabletext"/>
              <w:spacing w:before="70" w:after="50"/>
            </w:pPr>
            <w:r w:rsidRPr="002029AF">
              <w:t>Electricity</w:t>
            </w:r>
          </w:p>
        </w:tc>
        <w:tc>
          <w:tcPr>
            <w:tcW w:w="657" w:type="pct"/>
            <w:vAlign w:val="center"/>
          </w:tcPr>
          <w:p w14:paraId="274EF79D" w14:textId="77777777" w:rsidR="00CF72D5" w:rsidRPr="002029AF" w:rsidRDefault="00CF72D5" w:rsidP="00897193">
            <w:pPr>
              <w:pStyle w:val="ARtabletextright"/>
              <w:spacing w:before="70" w:after="50"/>
            </w:pPr>
            <w:r w:rsidRPr="002029AF">
              <w:t>2,193</w:t>
            </w:r>
          </w:p>
        </w:tc>
        <w:tc>
          <w:tcPr>
            <w:tcW w:w="657" w:type="pct"/>
            <w:vAlign w:val="center"/>
          </w:tcPr>
          <w:p w14:paraId="1B7E0CE4" w14:textId="77777777" w:rsidR="00CF72D5" w:rsidRPr="002029AF" w:rsidRDefault="00CF72D5" w:rsidP="00897193">
            <w:pPr>
              <w:pStyle w:val="ARtabletextright"/>
              <w:spacing w:before="70" w:after="50"/>
            </w:pPr>
            <w:r w:rsidRPr="002029AF">
              <w:t>$111.07</w:t>
            </w:r>
          </w:p>
        </w:tc>
        <w:tc>
          <w:tcPr>
            <w:tcW w:w="657" w:type="pct"/>
            <w:vAlign w:val="center"/>
          </w:tcPr>
          <w:p w14:paraId="4DC14BE9" w14:textId="77777777" w:rsidR="00CF72D5" w:rsidRPr="002029AF" w:rsidRDefault="00CF72D5" w:rsidP="00897193">
            <w:pPr>
              <w:pStyle w:val="ARtabletextright"/>
              <w:spacing w:before="70" w:after="50"/>
            </w:pPr>
            <w:r w:rsidRPr="002029AF">
              <w:t>2,239</w:t>
            </w:r>
          </w:p>
        </w:tc>
        <w:tc>
          <w:tcPr>
            <w:tcW w:w="657" w:type="pct"/>
            <w:vAlign w:val="center"/>
          </w:tcPr>
          <w:p w14:paraId="0B8A159F" w14:textId="77777777" w:rsidR="00CF72D5" w:rsidRPr="002029AF" w:rsidRDefault="00CF72D5" w:rsidP="00897193">
            <w:pPr>
              <w:pStyle w:val="ARtabletextright"/>
              <w:spacing w:before="70" w:after="50"/>
            </w:pPr>
            <w:r w:rsidRPr="002029AF">
              <w:t>$119.16</w:t>
            </w:r>
          </w:p>
        </w:tc>
        <w:tc>
          <w:tcPr>
            <w:tcW w:w="657" w:type="pct"/>
            <w:vAlign w:val="center"/>
          </w:tcPr>
          <w:p w14:paraId="4B6C1E6C" w14:textId="77777777" w:rsidR="00CF72D5" w:rsidRPr="002029AF" w:rsidRDefault="00CF72D5" w:rsidP="00897193">
            <w:pPr>
              <w:pStyle w:val="ARtabletextright"/>
              <w:spacing w:before="70" w:after="50"/>
            </w:pPr>
            <w:r w:rsidRPr="002029AF">
              <w:t>2,245</w:t>
            </w:r>
          </w:p>
        </w:tc>
        <w:tc>
          <w:tcPr>
            <w:tcW w:w="657" w:type="pct"/>
            <w:vAlign w:val="center"/>
          </w:tcPr>
          <w:p w14:paraId="0DD7EEC7" w14:textId="77777777" w:rsidR="00CF72D5" w:rsidRPr="002029AF" w:rsidRDefault="00CF72D5" w:rsidP="00897193">
            <w:pPr>
              <w:pStyle w:val="ARtabletextright"/>
              <w:spacing w:before="70" w:after="50"/>
            </w:pPr>
            <w:r w:rsidRPr="002029AF">
              <w:t>$115.29</w:t>
            </w:r>
          </w:p>
        </w:tc>
      </w:tr>
      <w:tr w:rsidR="00CF72D5" w:rsidRPr="002029AF" w14:paraId="546990F1" w14:textId="77777777" w:rsidTr="006C7588">
        <w:tc>
          <w:tcPr>
            <w:tcW w:w="1057" w:type="pct"/>
            <w:hideMark/>
          </w:tcPr>
          <w:p w14:paraId="24F3A23B" w14:textId="0FD676E6" w:rsidR="00CF72D5" w:rsidRPr="002029AF" w:rsidRDefault="00CF72D5" w:rsidP="00897193">
            <w:pPr>
              <w:pStyle w:val="ARtabletext"/>
              <w:spacing w:before="70" w:after="50"/>
            </w:pPr>
            <w:r w:rsidRPr="002029AF">
              <w:t>Natural</w:t>
            </w:r>
            <w:r w:rsidR="000A5329" w:rsidRPr="002029AF">
              <w:t xml:space="preserve"> </w:t>
            </w:r>
            <w:r w:rsidRPr="002029AF">
              <w:t>gas</w:t>
            </w:r>
          </w:p>
        </w:tc>
        <w:tc>
          <w:tcPr>
            <w:tcW w:w="657" w:type="pct"/>
            <w:vAlign w:val="center"/>
          </w:tcPr>
          <w:p w14:paraId="31A37E29" w14:textId="77777777" w:rsidR="00CF72D5" w:rsidRPr="002029AF" w:rsidRDefault="00CF72D5" w:rsidP="00897193">
            <w:pPr>
              <w:pStyle w:val="ARtabletextright"/>
              <w:spacing w:before="70" w:after="50"/>
            </w:pPr>
            <w:r w:rsidRPr="002029AF">
              <w:t>2,052</w:t>
            </w:r>
          </w:p>
        </w:tc>
        <w:tc>
          <w:tcPr>
            <w:tcW w:w="657" w:type="pct"/>
            <w:vAlign w:val="center"/>
          </w:tcPr>
          <w:p w14:paraId="682BC4BB" w14:textId="77777777" w:rsidR="00CF72D5" w:rsidRPr="002029AF" w:rsidRDefault="00CF72D5" w:rsidP="00897193">
            <w:pPr>
              <w:pStyle w:val="ARtabletextright"/>
              <w:spacing w:before="70" w:after="50"/>
            </w:pPr>
            <w:r w:rsidRPr="002029AF">
              <w:t>$25.75</w:t>
            </w:r>
          </w:p>
        </w:tc>
        <w:tc>
          <w:tcPr>
            <w:tcW w:w="657" w:type="pct"/>
            <w:vAlign w:val="center"/>
          </w:tcPr>
          <w:p w14:paraId="722731F7" w14:textId="77777777" w:rsidR="00CF72D5" w:rsidRPr="002029AF" w:rsidRDefault="00CF72D5" w:rsidP="00897193">
            <w:pPr>
              <w:pStyle w:val="ARtabletextright"/>
              <w:spacing w:before="70" w:after="50"/>
            </w:pPr>
            <w:r w:rsidRPr="002029AF">
              <w:t>2,007</w:t>
            </w:r>
          </w:p>
        </w:tc>
        <w:tc>
          <w:tcPr>
            <w:tcW w:w="657" w:type="pct"/>
            <w:vAlign w:val="center"/>
          </w:tcPr>
          <w:p w14:paraId="64B4D07B" w14:textId="77777777" w:rsidR="00CF72D5" w:rsidRPr="002029AF" w:rsidRDefault="00CF72D5" w:rsidP="00897193">
            <w:pPr>
              <w:pStyle w:val="ARtabletextright"/>
              <w:spacing w:before="70" w:after="50"/>
            </w:pPr>
            <w:r w:rsidRPr="002029AF">
              <w:t>$24.10</w:t>
            </w:r>
          </w:p>
        </w:tc>
        <w:tc>
          <w:tcPr>
            <w:tcW w:w="657" w:type="pct"/>
            <w:vAlign w:val="center"/>
          </w:tcPr>
          <w:p w14:paraId="07AEF35A" w14:textId="77777777" w:rsidR="00CF72D5" w:rsidRPr="002029AF" w:rsidRDefault="00CF72D5" w:rsidP="00897193">
            <w:pPr>
              <w:pStyle w:val="ARtabletextright"/>
              <w:spacing w:before="70" w:after="50"/>
            </w:pPr>
            <w:r w:rsidRPr="002029AF">
              <w:t>2,020</w:t>
            </w:r>
          </w:p>
        </w:tc>
        <w:tc>
          <w:tcPr>
            <w:tcW w:w="657" w:type="pct"/>
            <w:vAlign w:val="center"/>
          </w:tcPr>
          <w:p w14:paraId="5DBA700D" w14:textId="77777777" w:rsidR="00CF72D5" w:rsidRPr="002029AF" w:rsidRDefault="00CF72D5" w:rsidP="00897193">
            <w:pPr>
              <w:pStyle w:val="ARtabletextright"/>
              <w:spacing w:before="70" w:after="50"/>
            </w:pPr>
            <w:r w:rsidRPr="002029AF">
              <w:t>$19.18</w:t>
            </w:r>
          </w:p>
        </w:tc>
      </w:tr>
      <w:tr w:rsidR="00CF72D5" w:rsidRPr="002029AF" w14:paraId="6EA606E6" w14:textId="77777777" w:rsidTr="006C7588">
        <w:tc>
          <w:tcPr>
            <w:tcW w:w="1057" w:type="pct"/>
          </w:tcPr>
          <w:p w14:paraId="70EA4ECE" w14:textId="4A9A6380" w:rsidR="00CF72D5" w:rsidRPr="002029AF" w:rsidRDefault="00CF72D5" w:rsidP="00897193">
            <w:pPr>
              <w:pStyle w:val="ARtabletext"/>
              <w:spacing w:before="70" w:after="50"/>
            </w:pPr>
            <w:r w:rsidRPr="002029AF">
              <w:t>Co-generation</w:t>
            </w:r>
            <w:r w:rsidR="000A5329" w:rsidRPr="002029AF">
              <w:t xml:space="preserve"> </w:t>
            </w:r>
            <w:r w:rsidRPr="002029AF">
              <w:t>steam</w:t>
            </w:r>
          </w:p>
        </w:tc>
        <w:tc>
          <w:tcPr>
            <w:tcW w:w="657" w:type="pct"/>
            <w:vAlign w:val="center"/>
          </w:tcPr>
          <w:p w14:paraId="67DE2C32" w14:textId="77777777" w:rsidR="00CF72D5" w:rsidRPr="002029AF" w:rsidRDefault="00CF72D5" w:rsidP="00897193">
            <w:pPr>
              <w:pStyle w:val="ARtabletextright"/>
              <w:spacing w:before="70" w:after="50"/>
            </w:pPr>
            <w:r w:rsidRPr="002029AF">
              <w:t>516</w:t>
            </w:r>
          </w:p>
        </w:tc>
        <w:tc>
          <w:tcPr>
            <w:tcW w:w="657" w:type="pct"/>
            <w:vAlign w:val="center"/>
          </w:tcPr>
          <w:p w14:paraId="515261A4" w14:textId="77777777" w:rsidR="00CF72D5" w:rsidRPr="002029AF" w:rsidRDefault="00CF72D5" w:rsidP="00897193">
            <w:pPr>
              <w:pStyle w:val="ARtabletextright"/>
              <w:spacing w:before="70" w:after="50"/>
            </w:pPr>
            <w:r w:rsidRPr="002029AF">
              <w:t>$6.91</w:t>
            </w:r>
          </w:p>
        </w:tc>
        <w:tc>
          <w:tcPr>
            <w:tcW w:w="657" w:type="pct"/>
            <w:vAlign w:val="center"/>
          </w:tcPr>
          <w:p w14:paraId="6078A47F" w14:textId="77777777" w:rsidR="00CF72D5" w:rsidRPr="002029AF" w:rsidRDefault="00CF72D5" w:rsidP="00897193">
            <w:pPr>
              <w:pStyle w:val="ARtabletextright"/>
              <w:spacing w:before="70" w:after="50"/>
            </w:pPr>
            <w:r w:rsidRPr="002029AF">
              <w:t>501</w:t>
            </w:r>
          </w:p>
        </w:tc>
        <w:tc>
          <w:tcPr>
            <w:tcW w:w="657" w:type="pct"/>
            <w:vAlign w:val="center"/>
          </w:tcPr>
          <w:p w14:paraId="0F4B86C3" w14:textId="77777777" w:rsidR="00CF72D5" w:rsidRPr="002029AF" w:rsidRDefault="00CF72D5" w:rsidP="00897193">
            <w:pPr>
              <w:pStyle w:val="ARtabletextright"/>
              <w:spacing w:before="70" w:after="50"/>
            </w:pPr>
            <w:r w:rsidRPr="002029AF">
              <w:t>$6.58</w:t>
            </w:r>
          </w:p>
        </w:tc>
        <w:tc>
          <w:tcPr>
            <w:tcW w:w="657" w:type="pct"/>
            <w:vAlign w:val="center"/>
          </w:tcPr>
          <w:p w14:paraId="5F7DAC86" w14:textId="77777777" w:rsidR="00CF72D5" w:rsidRPr="002029AF" w:rsidRDefault="00CF72D5" w:rsidP="00897193">
            <w:pPr>
              <w:pStyle w:val="ARtabletextright"/>
              <w:spacing w:before="70" w:after="50"/>
            </w:pPr>
            <w:r w:rsidRPr="002029AF">
              <w:t>496</w:t>
            </w:r>
          </w:p>
        </w:tc>
        <w:tc>
          <w:tcPr>
            <w:tcW w:w="657" w:type="pct"/>
            <w:vAlign w:val="center"/>
          </w:tcPr>
          <w:p w14:paraId="735067AB" w14:textId="77777777" w:rsidR="00CF72D5" w:rsidRPr="002029AF" w:rsidRDefault="00CF72D5" w:rsidP="00897193">
            <w:pPr>
              <w:pStyle w:val="ARtabletextright"/>
              <w:spacing w:before="70" w:after="50"/>
            </w:pPr>
            <w:r w:rsidRPr="002029AF">
              <w:t>$4.97</w:t>
            </w:r>
          </w:p>
        </w:tc>
      </w:tr>
      <w:tr w:rsidR="00CF72D5" w:rsidRPr="002029AF" w14:paraId="4793CFFB" w14:textId="77777777" w:rsidTr="006C7588">
        <w:tc>
          <w:tcPr>
            <w:tcW w:w="1057" w:type="pct"/>
            <w:hideMark/>
          </w:tcPr>
          <w:p w14:paraId="7263A874" w14:textId="77777777" w:rsidR="00CF72D5" w:rsidRPr="002029AF" w:rsidRDefault="00CF72D5" w:rsidP="00897193">
            <w:pPr>
              <w:pStyle w:val="ARtabletext"/>
              <w:spacing w:before="70" w:after="50"/>
            </w:pPr>
            <w:r w:rsidRPr="002029AF">
              <w:t>LPG</w:t>
            </w:r>
          </w:p>
        </w:tc>
        <w:tc>
          <w:tcPr>
            <w:tcW w:w="657" w:type="pct"/>
            <w:vAlign w:val="center"/>
          </w:tcPr>
          <w:p w14:paraId="74425091" w14:textId="77777777" w:rsidR="00CF72D5" w:rsidRPr="002029AF" w:rsidRDefault="00CF72D5" w:rsidP="00897193">
            <w:pPr>
              <w:pStyle w:val="ARtabletextright"/>
              <w:spacing w:before="70" w:after="50"/>
            </w:pPr>
            <w:r w:rsidRPr="002029AF">
              <w:t>84</w:t>
            </w:r>
          </w:p>
        </w:tc>
        <w:tc>
          <w:tcPr>
            <w:tcW w:w="657" w:type="pct"/>
            <w:vAlign w:val="center"/>
          </w:tcPr>
          <w:p w14:paraId="2F19B034" w14:textId="77777777" w:rsidR="00CF72D5" w:rsidRPr="002029AF" w:rsidRDefault="00CF72D5" w:rsidP="00897193">
            <w:pPr>
              <w:pStyle w:val="ARtabletextright"/>
              <w:spacing w:before="70" w:after="50"/>
            </w:pPr>
            <w:r w:rsidRPr="002029AF">
              <w:t>$2.27</w:t>
            </w:r>
          </w:p>
        </w:tc>
        <w:tc>
          <w:tcPr>
            <w:tcW w:w="657" w:type="pct"/>
            <w:vAlign w:val="center"/>
          </w:tcPr>
          <w:p w14:paraId="07899987" w14:textId="77777777" w:rsidR="00CF72D5" w:rsidRPr="002029AF" w:rsidRDefault="00CF72D5" w:rsidP="00897193">
            <w:pPr>
              <w:pStyle w:val="ARtabletextright"/>
              <w:spacing w:before="70" w:after="50"/>
            </w:pPr>
            <w:r w:rsidRPr="002029AF">
              <w:t>99</w:t>
            </w:r>
          </w:p>
        </w:tc>
        <w:tc>
          <w:tcPr>
            <w:tcW w:w="657" w:type="pct"/>
            <w:vAlign w:val="center"/>
          </w:tcPr>
          <w:p w14:paraId="44D39354" w14:textId="77777777" w:rsidR="00CF72D5" w:rsidRPr="002029AF" w:rsidRDefault="00CF72D5" w:rsidP="00897193">
            <w:pPr>
              <w:pStyle w:val="ARtabletextright"/>
              <w:spacing w:before="70" w:after="50"/>
            </w:pPr>
            <w:r w:rsidRPr="002029AF">
              <w:t>$2.40</w:t>
            </w:r>
          </w:p>
        </w:tc>
        <w:tc>
          <w:tcPr>
            <w:tcW w:w="657" w:type="pct"/>
            <w:vAlign w:val="center"/>
          </w:tcPr>
          <w:p w14:paraId="03C7DBB4" w14:textId="77777777" w:rsidR="00CF72D5" w:rsidRPr="002029AF" w:rsidRDefault="00CF72D5" w:rsidP="00897193">
            <w:pPr>
              <w:pStyle w:val="ARtabletextright"/>
              <w:spacing w:before="70" w:after="50"/>
            </w:pPr>
            <w:r w:rsidRPr="002029AF">
              <w:t>96</w:t>
            </w:r>
          </w:p>
        </w:tc>
        <w:tc>
          <w:tcPr>
            <w:tcW w:w="657" w:type="pct"/>
            <w:vAlign w:val="center"/>
          </w:tcPr>
          <w:p w14:paraId="2544483B" w14:textId="77777777" w:rsidR="00CF72D5" w:rsidRPr="002029AF" w:rsidRDefault="00CF72D5" w:rsidP="00897193">
            <w:pPr>
              <w:pStyle w:val="ARtabletextright"/>
              <w:spacing w:before="70" w:after="50"/>
            </w:pPr>
            <w:r w:rsidRPr="002029AF">
              <w:t>$2.30</w:t>
            </w:r>
          </w:p>
        </w:tc>
      </w:tr>
      <w:tr w:rsidR="00CF72D5" w:rsidRPr="002029AF" w14:paraId="06E8A8B3" w14:textId="77777777" w:rsidTr="006C7588">
        <w:tc>
          <w:tcPr>
            <w:tcW w:w="1057" w:type="pct"/>
            <w:hideMark/>
          </w:tcPr>
          <w:p w14:paraId="0C9EB424" w14:textId="77777777" w:rsidR="00CF72D5" w:rsidRPr="002029AF" w:rsidRDefault="00CF72D5" w:rsidP="00897193">
            <w:pPr>
              <w:pStyle w:val="ARtabletext"/>
              <w:spacing w:before="70" w:after="50"/>
            </w:pPr>
            <w:r w:rsidRPr="002029AF">
              <w:lastRenderedPageBreak/>
              <w:t>Diesel</w:t>
            </w:r>
          </w:p>
        </w:tc>
        <w:tc>
          <w:tcPr>
            <w:tcW w:w="657" w:type="pct"/>
            <w:vAlign w:val="center"/>
          </w:tcPr>
          <w:p w14:paraId="3F718865" w14:textId="77777777" w:rsidR="00CF72D5" w:rsidRPr="002029AF" w:rsidRDefault="00CF72D5" w:rsidP="00897193">
            <w:pPr>
              <w:pStyle w:val="ARtabletextright"/>
              <w:spacing w:before="70" w:after="50"/>
            </w:pPr>
            <w:r w:rsidRPr="002029AF">
              <w:t>8</w:t>
            </w:r>
          </w:p>
        </w:tc>
        <w:tc>
          <w:tcPr>
            <w:tcW w:w="657" w:type="pct"/>
            <w:vAlign w:val="center"/>
          </w:tcPr>
          <w:p w14:paraId="018A50D4" w14:textId="77777777" w:rsidR="00CF72D5" w:rsidRPr="002029AF" w:rsidRDefault="00CF72D5" w:rsidP="00897193">
            <w:pPr>
              <w:pStyle w:val="ARtabletextright"/>
              <w:spacing w:before="70" w:after="50"/>
            </w:pPr>
            <w:r w:rsidRPr="002029AF">
              <w:t>$0.09</w:t>
            </w:r>
          </w:p>
        </w:tc>
        <w:tc>
          <w:tcPr>
            <w:tcW w:w="657" w:type="pct"/>
            <w:vAlign w:val="center"/>
          </w:tcPr>
          <w:p w14:paraId="324B8918" w14:textId="77777777" w:rsidR="00CF72D5" w:rsidRPr="002029AF" w:rsidRDefault="00CF72D5" w:rsidP="00897193">
            <w:pPr>
              <w:pStyle w:val="ARtabletextright"/>
              <w:spacing w:before="70" w:after="50"/>
            </w:pPr>
            <w:r w:rsidRPr="002029AF">
              <w:t>3</w:t>
            </w:r>
          </w:p>
        </w:tc>
        <w:tc>
          <w:tcPr>
            <w:tcW w:w="657" w:type="pct"/>
            <w:vAlign w:val="center"/>
          </w:tcPr>
          <w:p w14:paraId="16D71A6A" w14:textId="77777777" w:rsidR="00CF72D5" w:rsidRPr="002029AF" w:rsidRDefault="00CF72D5" w:rsidP="00897193">
            <w:pPr>
              <w:pStyle w:val="ARtabletextright"/>
              <w:spacing w:before="70" w:after="50"/>
            </w:pPr>
            <w:r w:rsidRPr="002029AF">
              <w:t>$0.07</w:t>
            </w:r>
          </w:p>
        </w:tc>
        <w:tc>
          <w:tcPr>
            <w:tcW w:w="657" w:type="pct"/>
            <w:vAlign w:val="center"/>
          </w:tcPr>
          <w:p w14:paraId="551D186E" w14:textId="77777777" w:rsidR="00CF72D5" w:rsidRPr="002029AF" w:rsidRDefault="00CF72D5" w:rsidP="00897193">
            <w:pPr>
              <w:pStyle w:val="ARtabletextright"/>
              <w:spacing w:before="70" w:after="50"/>
            </w:pPr>
            <w:r w:rsidRPr="002029AF">
              <w:t>1</w:t>
            </w:r>
          </w:p>
        </w:tc>
        <w:tc>
          <w:tcPr>
            <w:tcW w:w="657" w:type="pct"/>
            <w:vAlign w:val="center"/>
          </w:tcPr>
          <w:p w14:paraId="583F13D5" w14:textId="77777777" w:rsidR="00CF72D5" w:rsidRPr="002029AF" w:rsidRDefault="00CF72D5" w:rsidP="00897193">
            <w:pPr>
              <w:pStyle w:val="ARtabletextright"/>
              <w:spacing w:before="70" w:after="50"/>
            </w:pPr>
            <w:r w:rsidRPr="002029AF">
              <w:t>$0.02</w:t>
            </w:r>
          </w:p>
        </w:tc>
      </w:tr>
      <w:tr w:rsidR="00CF72D5" w:rsidRPr="002029AF" w14:paraId="46182325" w14:textId="77777777" w:rsidTr="006C7588">
        <w:tc>
          <w:tcPr>
            <w:tcW w:w="1057" w:type="pct"/>
            <w:hideMark/>
          </w:tcPr>
          <w:p w14:paraId="269C9819" w14:textId="77777777" w:rsidR="00CF72D5" w:rsidRPr="002029AF" w:rsidRDefault="00CF72D5" w:rsidP="00897193">
            <w:pPr>
              <w:pStyle w:val="ARtabletext"/>
              <w:spacing w:before="70" w:after="50"/>
              <w:rPr>
                <w:b/>
                <w:bCs/>
              </w:rPr>
            </w:pPr>
            <w:r w:rsidRPr="002029AF">
              <w:rPr>
                <w:b/>
                <w:bCs/>
              </w:rPr>
              <w:t>Total</w:t>
            </w:r>
          </w:p>
        </w:tc>
        <w:tc>
          <w:tcPr>
            <w:tcW w:w="657" w:type="pct"/>
            <w:vAlign w:val="center"/>
          </w:tcPr>
          <w:p w14:paraId="6083ABFB" w14:textId="77777777" w:rsidR="00CF72D5" w:rsidRPr="002029AF" w:rsidRDefault="00CF72D5" w:rsidP="00897193">
            <w:pPr>
              <w:pStyle w:val="ARtabletextrightbold"/>
              <w:spacing w:before="70" w:after="50"/>
            </w:pPr>
            <w:r w:rsidRPr="002029AF">
              <w:t>4,853</w:t>
            </w:r>
          </w:p>
        </w:tc>
        <w:tc>
          <w:tcPr>
            <w:tcW w:w="657" w:type="pct"/>
            <w:vAlign w:val="center"/>
          </w:tcPr>
          <w:p w14:paraId="36699F2A" w14:textId="77777777" w:rsidR="00CF72D5" w:rsidRPr="002029AF" w:rsidRDefault="00CF72D5" w:rsidP="00897193">
            <w:pPr>
              <w:pStyle w:val="ARtabletextrightbold"/>
              <w:spacing w:before="70" w:after="50"/>
            </w:pPr>
            <w:r w:rsidRPr="002029AF">
              <w:t>$146.10</w:t>
            </w:r>
          </w:p>
        </w:tc>
        <w:tc>
          <w:tcPr>
            <w:tcW w:w="657" w:type="pct"/>
            <w:vAlign w:val="center"/>
          </w:tcPr>
          <w:p w14:paraId="0D0BE614" w14:textId="77777777" w:rsidR="00CF72D5" w:rsidRPr="002029AF" w:rsidRDefault="00CF72D5" w:rsidP="00897193">
            <w:pPr>
              <w:pStyle w:val="ARtabletextrightbold"/>
              <w:spacing w:before="70" w:after="50"/>
            </w:pPr>
            <w:r w:rsidRPr="002029AF">
              <w:t>4,847</w:t>
            </w:r>
          </w:p>
        </w:tc>
        <w:tc>
          <w:tcPr>
            <w:tcW w:w="657" w:type="pct"/>
            <w:vAlign w:val="center"/>
          </w:tcPr>
          <w:p w14:paraId="1C863C40" w14:textId="77777777" w:rsidR="00CF72D5" w:rsidRPr="002029AF" w:rsidRDefault="00CF72D5" w:rsidP="00897193">
            <w:pPr>
              <w:pStyle w:val="ARtabletextrightbold"/>
              <w:spacing w:before="70" w:after="50"/>
            </w:pPr>
            <w:r w:rsidRPr="002029AF">
              <w:t>$152.32</w:t>
            </w:r>
          </w:p>
        </w:tc>
        <w:tc>
          <w:tcPr>
            <w:tcW w:w="657" w:type="pct"/>
            <w:vAlign w:val="center"/>
          </w:tcPr>
          <w:p w14:paraId="64C21274" w14:textId="77777777" w:rsidR="00CF72D5" w:rsidRPr="002029AF" w:rsidRDefault="00CF72D5" w:rsidP="00897193">
            <w:pPr>
              <w:pStyle w:val="ARtabletextrightbold"/>
              <w:spacing w:before="70" w:after="50"/>
            </w:pPr>
            <w:r w:rsidRPr="002029AF">
              <w:t>4,857</w:t>
            </w:r>
          </w:p>
        </w:tc>
        <w:tc>
          <w:tcPr>
            <w:tcW w:w="657" w:type="pct"/>
            <w:vAlign w:val="center"/>
          </w:tcPr>
          <w:p w14:paraId="044AD69E" w14:textId="77777777" w:rsidR="00CF72D5" w:rsidRPr="002029AF" w:rsidRDefault="00CF72D5" w:rsidP="00897193">
            <w:pPr>
              <w:pStyle w:val="ARtabletextrightbold"/>
              <w:spacing w:before="70" w:after="50"/>
            </w:pPr>
            <w:r w:rsidRPr="002029AF">
              <w:t>$141.86</w:t>
            </w:r>
          </w:p>
        </w:tc>
      </w:tr>
    </w:tbl>
    <w:p w14:paraId="270921AD" w14:textId="77777777" w:rsidR="00CF72D5" w:rsidRPr="002029AF" w:rsidRDefault="00CF72D5" w:rsidP="00897193">
      <w:pPr>
        <w:pStyle w:val="ARbodynospace"/>
        <w:rPr>
          <w:lang w:eastAsia="en-AU"/>
        </w:rPr>
      </w:pP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4536"/>
        <w:gridCol w:w="1701"/>
        <w:gridCol w:w="1701"/>
        <w:gridCol w:w="1701"/>
      </w:tblGrid>
      <w:tr w:rsidR="00CF72D5" w:rsidRPr="002029AF" w14:paraId="0F42D4EE" w14:textId="77777777" w:rsidTr="00897193">
        <w:trPr>
          <w:cantSplit/>
          <w:tblHeader/>
        </w:trPr>
        <w:tc>
          <w:tcPr>
            <w:tcW w:w="4536" w:type="dxa"/>
            <w:vAlign w:val="bottom"/>
          </w:tcPr>
          <w:p w14:paraId="245DBE85" w14:textId="77777777" w:rsidR="00CF72D5" w:rsidRPr="002029AF" w:rsidRDefault="00CF72D5" w:rsidP="00897193">
            <w:pPr>
              <w:pStyle w:val="ARtablecolhead"/>
            </w:pPr>
            <w:r w:rsidRPr="002029AF">
              <w:t>Description</w:t>
            </w:r>
          </w:p>
        </w:tc>
        <w:tc>
          <w:tcPr>
            <w:tcW w:w="1701" w:type="dxa"/>
            <w:vAlign w:val="center"/>
          </w:tcPr>
          <w:p w14:paraId="3B62B189" w14:textId="21E2624A" w:rsidR="00CF72D5" w:rsidRPr="002029AF" w:rsidRDefault="00CF72D5" w:rsidP="00897193">
            <w:pPr>
              <w:pStyle w:val="ARtabletextrightbold"/>
            </w:pPr>
            <w:r w:rsidRPr="002029AF">
              <w:t>2019–20</w:t>
            </w:r>
            <w:r w:rsidR="000A5329" w:rsidRPr="002029AF">
              <w:t xml:space="preserve"> </w:t>
            </w:r>
            <w:r w:rsidRPr="002029AF">
              <w:t>estimate</w:t>
            </w:r>
          </w:p>
        </w:tc>
        <w:tc>
          <w:tcPr>
            <w:tcW w:w="1701" w:type="dxa"/>
            <w:vAlign w:val="center"/>
          </w:tcPr>
          <w:p w14:paraId="5441979B" w14:textId="57A87A03" w:rsidR="00CF72D5" w:rsidRPr="002029AF" w:rsidRDefault="00CF72D5" w:rsidP="00897193">
            <w:pPr>
              <w:pStyle w:val="ARtabletextrightbold"/>
            </w:pPr>
            <w:r w:rsidRPr="002029AF">
              <w:t>2018–19</w:t>
            </w:r>
            <w:r w:rsidR="000A5329" w:rsidRPr="002029AF">
              <w:t xml:space="preserve"> </w:t>
            </w:r>
            <w:r w:rsidRPr="002029AF">
              <w:t>estimate</w:t>
            </w:r>
          </w:p>
        </w:tc>
        <w:tc>
          <w:tcPr>
            <w:tcW w:w="1701" w:type="dxa"/>
            <w:vAlign w:val="center"/>
          </w:tcPr>
          <w:p w14:paraId="7361F00B" w14:textId="26672273" w:rsidR="00CF72D5" w:rsidRPr="002029AF" w:rsidRDefault="00CF72D5" w:rsidP="00897193">
            <w:pPr>
              <w:pStyle w:val="ARtabletextrightbold"/>
            </w:pPr>
            <w:r w:rsidRPr="002029AF">
              <w:t>2017–18</w:t>
            </w:r>
            <w:r w:rsidR="000A5329" w:rsidRPr="002029AF">
              <w:t xml:space="preserve"> </w:t>
            </w:r>
            <w:r w:rsidRPr="002029AF">
              <w:t>estimate</w:t>
            </w:r>
          </w:p>
        </w:tc>
      </w:tr>
      <w:tr w:rsidR="00CF72D5" w:rsidRPr="002029AF" w14:paraId="5BAAF38C" w14:textId="77777777" w:rsidTr="00897193">
        <w:trPr>
          <w:cantSplit/>
          <w:tblHeader/>
        </w:trPr>
        <w:tc>
          <w:tcPr>
            <w:tcW w:w="4536" w:type="dxa"/>
            <w:vAlign w:val="bottom"/>
          </w:tcPr>
          <w:p w14:paraId="11EF568D" w14:textId="12106A00" w:rsidR="00CF72D5" w:rsidRPr="002029AF" w:rsidRDefault="00CF72D5" w:rsidP="00897193">
            <w:pPr>
              <w:pStyle w:val="ARtablecolhead"/>
            </w:pPr>
            <w:r w:rsidRPr="002029AF">
              <w:t>Total</w:t>
            </w:r>
            <w:r w:rsidR="000A5329" w:rsidRPr="002029AF">
              <w:t xml:space="preserve"> </w:t>
            </w:r>
            <w:r w:rsidRPr="002029AF">
              <w:t>greenhouse</w:t>
            </w:r>
            <w:r w:rsidR="000A5329" w:rsidRPr="002029AF">
              <w:t xml:space="preserve"> </w:t>
            </w:r>
            <w:r w:rsidRPr="002029AF">
              <w:t>gas</w:t>
            </w:r>
            <w:r w:rsidR="000A5329" w:rsidRPr="002029AF">
              <w:t xml:space="preserve"> </w:t>
            </w:r>
            <w:r w:rsidRPr="002029AF">
              <w:t>emissions</w:t>
            </w:r>
          </w:p>
        </w:tc>
        <w:tc>
          <w:tcPr>
            <w:tcW w:w="1701" w:type="dxa"/>
            <w:vAlign w:val="bottom"/>
          </w:tcPr>
          <w:p w14:paraId="25D81985" w14:textId="34569C49" w:rsidR="00CF72D5" w:rsidRPr="002029AF" w:rsidRDefault="00CF72D5" w:rsidP="00897193">
            <w:pPr>
              <w:pStyle w:val="ARtablecolheadright"/>
            </w:pPr>
            <w:r w:rsidRPr="002029AF">
              <w:t>Tonnes</w:t>
            </w:r>
            <w:r w:rsidR="000A5329" w:rsidRPr="002029AF">
              <w:t xml:space="preserve"> </w:t>
            </w:r>
            <w:r w:rsidRPr="002029AF">
              <w:t>CO</w:t>
            </w:r>
            <w:r w:rsidRPr="002029AF">
              <w:rPr>
                <w:vertAlign w:val="subscript"/>
              </w:rPr>
              <w:t>2</w:t>
            </w:r>
            <w:r w:rsidRPr="002029AF">
              <w:t>-e</w:t>
            </w:r>
          </w:p>
        </w:tc>
        <w:tc>
          <w:tcPr>
            <w:tcW w:w="1701" w:type="dxa"/>
            <w:vAlign w:val="bottom"/>
          </w:tcPr>
          <w:p w14:paraId="6E57C2EE" w14:textId="684374F4" w:rsidR="00CF72D5" w:rsidRPr="002029AF" w:rsidRDefault="00CF72D5" w:rsidP="00897193">
            <w:pPr>
              <w:pStyle w:val="ARtablecolheadright"/>
            </w:pPr>
            <w:r w:rsidRPr="002029AF">
              <w:t>Tonnes</w:t>
            </w:r>
            <w:r w:rsidR="000A5329" w:rsidRPr="002029AF">
              <w:t xml:space="preserve"> </w:t>
            </w:r>
            <w:r w:rsidRPr="002029AF">
              <w:t>CO</w:t>
            </w:r>
            <w:r w:rsidRPr="002029AF">
              <w:rPr>
                <w:vertAlign w:val="subscript"/>
              </w:rPr>
              <w:t>2</w:t>
            </w:r>
            <w:r w:rsidRPr="002029AF">
              <w:t>-e</w:t>
            </w:r>
          </w:p>
        </w:tc>
        <w:tc>
          <w:tcPr>
            <w:tcW w:w="1701" w:type="dxa"/>
            <w:vAlign w:val="bottom"/>
          </w:tcPr>
          <w:p w14:paraId="37DE0678" w14:textId="0A9931A1" w:rsidR="00CF72D5" w:rsidRPr="002029AF" w:rsidRDefault="00CF72D5" w:rsidP="00897193">
            <w:pPr>
              <w:pStyle w:val="ARtablecolheadright"/>
            </w:pPr>
            <w:r w:rsidRPr="002029AF">
              <w:t>Tonnes</w:t>
            </w:r>
            <w:r w:rsidR="000A5329" w:rsidRPr="002029AF">
              <w:t xml:space="preserve"> </w:t>
            </w:r>
            <w:r w:rsidRPr="002029AF">
              <w:t>CO</w:t>
            </w:r>
            <w:r w:rsidRPr="002029AF">
              <w:rPr>
                <w:vertAlign w:val="subscript"/>
              </w:rPr>
              <w:t>2</w:t>
            </w:r>
            <w:r w:rsidRPr="002029AF">
              <w:t>-e</w:t>
            </w:r>
          </w:p>
        </w:tc>
      </w:tr>
      <w:tr w:rsidR="00CF72D5" w:rsidRPr="002029AF" w14:paraId="60F63E99" w14:textId="77777777" w:rsidTr="00897193">
        <w:trPr>
          <w:cantSplit/>
        </w:trPr>
        <w:tc>
          <w:tcPr>
            <w:tcW w:w="4536" w:type="dxa"/>
          </w:tcPr>
          <w:p w14:paraId="484E266A" w14:textId="77777777" w:rsidR="00CF72D5" w:rsidRPr="002029AF" w:rsidRDefault="00CF72D5" w:rsidP="00897193">
            <w:pPr>
              <w:pStyle w:val="ARtabletext"/>
              <w:spacing w:before="70" w:after="50"/>
            </w:pPr>
            <w:r w:rsidRPr="002029AF">
              <w:t>Electricity</w:t>
            </w:r>
          </w:p>
        </w:tc>
        <w:tc>
          <w:tcPr>
            <w:tcW w:w="1701" w:type="dxa"/>
            <w:vAlign w:val="center"/>
          </w:tcPr>
          <w:p w14:paraId="79248134" w14:textId="77777777" w:rsidR="00CF72D5" w:rsidRPr="002029AF" w:rsidRDefault="00CF72D5" w:rsidP="00897193">
            <w:pPr>
              <w:pStyle w:val="ARtabletextright"/>
              <w:spacing w:before="70" w:after="50"/>
            </w:pPr>
            <w:r w:rsidRPr="002029AF">
              <w:t>604,201</w:t>
            </w:r>
          </w:p>
        </w:tc>
        <w:tc>
          <w:tcPr>
            <w:tcW w:w="1701" w:type="dxa"/>
            <w:vAlign w:val="center"/>
          </w:tcPr>
          <w:p w14:paraId="087D99C9" w14:textId="77777777" w:rsidR="00CF72D5" w:rsidRPr="002029AF" w:rsidRDefault="00CF72D5" w:rsidP="00897193">
            <w:pPr>
              <w:pStyle w:val="ARtabletextright"/>
              <w:spacing w:before="70" w:after="50"/>
            </w:pPr>
            <w:r w:rsidRPr="002029AF">
              <w:t>646,696</w:t>
            </w:r>
          </w:p>
        </w:tc>
        <w:tc>
          <w:tcPr>
            <w:tcW w:w="1701" w:type="dxa"/>
            <w:vAlign w:val="center"/>
          </w:tcPr>
          <w:p w14:paraId="55816B17" w14:textId="77777777" w:rsidR="00CF72D5" w:rsidRPr="002029AF" w:rsidRDefault="00CF72D5" w:rsidP="00897193">
            <w:pPr>
              <w:pStyle w:val="ARtabletextright"/>
              <w:spacing w:before="70" w:after="50"/>
            </w:pPr>
            <w:r w:rsidRPr="002029AF">
              <w:t>654,308</w:t>
            </w:r>
          </w:p>
        </w:tc>
      </w:tr>
      <w:tr w:rsidR="00CF72D5" w:rsidRPr="002029AF" w14:paraId="366F3AEF" w14:textId="77777777" w:rsidTr="00897193">
        <w:trPr>
          <w:cantSplit/>
        </w:trPr>
        <w:tc>
          <w:tcPr>
            <w:tcW w:w="4536" w:type="dxa"/>
          </w:tcPr>
          <w:p w14:paraId="61CC6D57" w14:textId="6C21D554" w:rsidR="00CF72D5" w:rsidRPr="002029AF" w:rsidRDefault="00CF72D5" w:rsidP="00897193">
            <w:pPr>
              <w:pStyle w:val="ARtabletext"/>
              <w:spacing w:before="70" w:after="50"/>
            </w:pPr>
            <w:r w:rsidRPr="002029AF">
              <w:t>Natural</w:t>
            </w:r>
            <w:r w:rsidR="000A5329" w:rsidRPr="002029AF">
              <w:t xml:space="preserve"> </w:t>
            </w:r>
            <w:r w:rsidRPr="002029AF">
              <w:t>gas</w:t>
            </w:r>
          </w:p>
        </w:tc>
        <w:tc>
          <w:tcPr>
            <w:tcW w:w="1701" w:type="dxa"/>
            <w:vAlign w:val="center"/>
          </w:tcPr>
          <w:p w14:paraId="7A8B82CF" w14:textId="77777777" w:rsidR="00CF72D5" w:rsidRPr="002029AF" w:rsidRDefault="00CF72D5" w:rsidP="00897193">
            <w:pPr>
              <w:pStyle w:val="ARtabletextright"/>
              <w:spacing w:before="70" w:after="50"/>
            </w:pPr>
            <w:r w:rsidRPr="002029AF">
              <w:t>105,744</w:t>
            </w:r>
          </w:p>
        </w:tc>
        <w:tc>
          <w:tcPr>
            <w:tcW w:w="1701" w:type="dxa"/>
            <w:vAlign w:val="center"/>
          </w:tcPr>
          <w:p w14:paraId="55264818" w14:textId="77777777" w:rsidR="00CF72D5" w:rsidRPr="002029AF" w:rsidRDefault="00CF72D5" w:rsidP="00897193">
            <w:pPr>
              <w:pStyle w:val="ARtabletextright"/>
              <w:spacing w:before="70" w:after="50"/>
            </w:pPr>
            <w:r w:rsidRPr="002029AF">
              <w:t>103,406</w:t>
            </w:r>
          </w:p>
        </w:tc>
        <w:tc>
          <w:tcPr>
            <w:tcW w:w="1701" w:type="dxa"/>
            <w:vAlign w:val="center"/>
          </w:tcPr>
          <w:p w14:paraId="38A8952A" w14:textId="77777777" w:rsidR="00CF72D5" w:rsidRPr="002029AF" w:rsidRDefault="00CF72D5" w:rsidP="00897193">
            <w:pPr>
              <w:pStyle w:val="ARtabletextright"/>
              <w:spacing w:before="70" w:after="50"/>
            </w:pPr>
            <w:r w:rsidRPr="002029AF">
              <w:t>104,074</w:t>
            </w:r>
          </w:p>
        </w:tc>
      </w:tr>
      <w:tr w:rsidR="00CF72D5" w:rsidRPr="002029AF" w14:paraId="54534517" w14:textId="77777777" w:rsidTr="00897193">
        <w:trPr>
          <w:cantSplit/>
        </w:trPr>
        <w:tc>
          <w:tcPr>
            <w:tcW w:w="4536" w:type="dxa"/>
          </w:tcPr>
          <w:p w14:paraId="6434B206" w14:textId="07C90ACA" w:rsidR="00CF72D5" w:rsidRPr="002029AF" w:rsidRDefault="00CF72D5" w:rsidP="00897193">
            <w:pPr>
              <w:pStyle w:val="ARtabletext"/>
              <w:spacing w:before="70" w:after="50"/>
            </w:pPr>
            <w:r w:rsidRPr="002029AF">
              <w:t>Co-generation</w:t>
            </w:r>
            <w:r w:rsidR="000A5329" w:rsidRPr="002029AF">
              <w:t xml:space="preserve"> </w:t>
            </w:r>
            <w:r w:rsidRPr="002029AF">
              <w:t>steam</w:t>
            </w:r>
          </w:p>
        </w:tc>
        <w:tc>
          <w:tcPr>
            <w:tcW w:w="1701" w:type="dxa"/>
            <w:vAlign w:val="center"/>
          </w:tcPr>
          <w:p w14:paraId="549E69CB" w14:textId="77777777" w:rsidR="00CF72D5" w:rsidRPr="002029AF" w:rsidRDefault="00CF72D5" w:rsidP="00897193">
            <w:pPr>
              <w:pStyle w:val="ARtabletextright"/>
              <w:spacing w:before="70" w:after="50"/>
            </w:pPr>
            <w:r w:rsidRPr="002029AF">
              <w:t>22,256</w:t>
            </w:r>
          </w:p>
        </w:tc>
        <w:tc>
          <w:tcPr>
            <w:tcW w:w="1701" w:type="dxa"/>
            <w:vAlign w:val="center"/>
          </w:tcPr>
          <w:p w14:paraId="5C4D73E0" w14:textId="77777777" w:rsidR="00CF72D5" w:rsidRPr="002029AF" w:rsidRDefault="00CF72D5" w:rsidP="00897193">
            <w:pPr>
              <w:pStyle w:val="ARtabletextright"/>
              <w:spacing w:before="70" w:after="50"/>
            </w:pPr>
            <w:r w:rsidRPr="002029AF">
              <w:t>23,156</w:t>
            </w:r>
          </w:p>
        </w:tc>
        <w:tc>
          <w:tcPr>
            <w:tcW w:w="1701" w:type="dxa"/>
            <w:vAlign w:val="center"/>
          </w:tcPr>
          <w:p w14:paraId="22633E21" w14:textId="77777777" w:rsidR="00CF72D5" w:rsidRPr="002029AF" w:rsidRDefault="00CF72D5" w:rsidP="00897193">
            <w:pPr>
              <w:pStyle w:val="ARtabletextright"/>
              <w:spacing w:before="70" w:after="50"/>
            </w:pPr>
            <w:r w:rsidRPr="002029AF">
              <w:t>22,623</w:t>
            </w:r>
          </w:p>
        </w:tc>
      </w:tr>
      <w:tr w:rsidR="00CF72D5" w:rsidRPr="002029AF" w14:paraId="7CC5F82C" w14:textId="77777777" w:rsidTr="00897193">
        <w:trPr>
          <w:cantSplit/>
        </w:trPr>
        <w:tc>
          <w:tcPr>
            <w:tcW w:w="4536" w:type="dxa"/>
          </w:tcPr>
          <w:p w14:paraId="198E59AD" w14:textId="77777777" w:rsidR="00CF72D5" w:rsidRPr="002029AF" w:rsidRDefault="00CF72D5" w:rsidP="00897193">
            <w:pPr>
              <w:pStyle w:val="ARtabletext"/>
              <w:spacing w:before="70" w:after="50"/>
            </w:pPr>
            <w:r w:rsidRPr="002029AF">
              <w:t>LPG</w:t>
            </w:r>
          </w:p>
        </w:tc>
        <w:tc>
          <w:tcPr>
            <w:tcW w:w="1701" w:type="dxa"/>
            <w:vAlign w:val="center"/>
          </w:tcPr>
          <w:p w14:paraId="0512FEEB" w14:textId="77777777" w:rsidR="00CF72D5" w:rsidRPr="002029AF" w:rsidRDefault="00CF72D5" w:rsidP="00897193">
            <w:pPr>
              <w:pStyle w:val="ARtabletextright"/>
              <w:spacing w:before="70" w:after="50"/>
            </w:pPr>
            <w:r w:rsidRPr="002029AF">
              <w:t>5,101</w:t>
            </w:r>
          </w:p>
        </w:tc>
        <w:tc>
          <w:tcPr>
            <w:tcW w:w="1701" w:type="dxa"/>
            <w:vAlign w:val="center"/>
          </w:tcPr>
          <w:p w14:paraId="44CA3245" w14:textId="77777777" w:rsidR="00CF72D5" w:rsidRPr="002029AF" w:rsidRDefault="00CF72D5" w:rsidP="00897193">
            <w:pPr>
              <w:pStyle w:val="ARtabletextright"/>
              <w:spacing w:before="70" w:after="50"/>
            </w:pPr>
            <w:r w:rsidRPr="002029AF">
              <w:t>5,970</w:t>
            </w:r>
          </w:p>
        </w:tc>
        <w:tc>
          <w:tcPr>
            <w:tcW w:w="1701" w:type="dxa"/>
            <w:vAlign w:val="center"/>
          </w:tcPr>
          <w:p w14:paraId="1BF7640D" w14:textId="77777777" w:rsidR="00CF72D5" w:rsidRPr="002029AF" w:rsidRDefault="00CF72D5" w:rsidP="00897193">
            <w:pPr>
              <w:pStyle w:val="ARtabletextright"/>
              <w:spacing w:before="70" w:after="50"/>
            </w:pPr>
            <w:r w:rsidRPr="002029AF">
              <w:t>5,841</w:t>
            </w:r>
          </w:p>
        </w:tc>
      </w:tr>
      <w:tr w:rsidR="00CF72D5" w:rsidRPr="002029AF" w14:paraId="268F5774" w14:textId="77777777" w:rsidTr="00897193">
        <w:trPr>
          <w:cantSplit/>
        </w:trPr>
        <w:tc>
          <w:tcPr>
            <w:tcW w:w="4536" w:type="dxa"/>
          </w:tcPr>
          <w:p w14:paraId="51CEABB1" w14:textId="77777777" w:rsidR="00CF72D5" w:rsidRPr="002029AF" w:rsidRDefault="00CF72D5" w:rsidP="00897193">
            <w:pPr>
              <w:pStyle w:val="ARtabletext"/>
              <w:spacing w:before="70" w:after="50"/>
            </w:pPr>
            <w:r w:rsidRPr="002029AF">
              <w:t>Diesel</w:t>
            </w:r>
          </w:p>
        </w:tc>
        <w:tc>
          <w:tcPr>
            <w:tcW w:w="1701" w:type="dxa"/>
            <w:vAlign w:val="center"/>
          </w:tcPr>
          <w:p w14:paraId="009D7AF3" w14:textId="77777777" w:rsidR="00CF72D5" w:rsidRPr="002029AF" w:rsidRDefault="00CF72D5" w:rsidP="00897193">
            <w:pPr>
              <w:pStyle w:val="ARtabletextright"/>
              <w:spacing w:before="70" w:after="50"/>
            </w:pPr>
            <w:r w:rsidRPr="002029AF">
              <w:t>580</w:t>
            </w:r>
          </w:p>
        </w:tc>
        <w:tc>
          <w:tcPr>
            <w:tcW w:w="1701" w:type="dxa"/>
            <w:vAlign w:val="center"/>
          </w:tcPr>
          <w:p w14:paraId="348260FE" w14:textId="77777777" w:rsidR="00CF72D5" w:rsidRPr="002029AF" w:rsidRDefault="00CF72D5" w:rsidP="00897193">
            <w:pPr>
              <w:pStyle w:val="ARtabletextright"/>
              <w:spacing w:before="70" w:after="50"/>
            </w:pPr>
            <w:r w:rsidRPr="002029AF">
              <w:t>205</w:t>
            </w:r>
          </w:p>
        </w:tc>
        <w:tc>
          <w:tcPr>
            <w:tcW w:w="1701" w:type="dxa"/>
            <w:vAlign w:val="center"/>
          </w:tcPr>
          <w:p w14:paraId="08CFCA44" w14:textId="77777777" w:rsidR="00CF72D5" w:rsidRPr="002029AF" w:rsidRDefault="00CF72D5" w:rsidP="00897193">
            <w:pPr>
              <w:pStyle w:val="ARtabletextright"/>
              <w:spacing w:before="70" w:after="50"/>
            </w:pPr>
            <w:r w:rsidRPr="002029AF">
              <w:t>48</w:t>
            </w:r>
          </w:p>
        </w:tc>
      </w:tr>
      <w:tr w:rsidR="00CF72D5" w:rsidRPr="002029AF" w14:paraId="21BDBE95" w14:textId="77777777" w:rsidTr="00897193">
        <w:trPr>
          <w:cantSplit/>
        </w:trPr>
        <w:tc>
          <w:tcPr>
            <w:tcW w:w="4536" w:type="dxa"/>
          </w:tcPr>
          <w:p w14:paraId="641AB692" w14:textId="732C6B56" w:rsidR="00CF72D5" w:rsidRPr="002029AF" w:rsidRDefault="00CF72D5" w:rsidP="00897193">
            <w:pPr>
              <w:pStyle w:val="ARtabletext"/>
              <w:spacing w:before="70" w:after="50"/>
              <w:rPr>
                <w:b/>
              </w:rPr>
            </w:pPr>
            <w:r w:rsidRPr="002029AF">
              <w:rPr>
                <w:b/>
              </w:rPr>
              <w:t>Total</w:t>
            </w:r>
            <w:r w:rsidR="000A5329" w:rsidRPr="002029AF">
              <w:rPr>
                <w:b/>
              </w:rPr>
              <w:t xml:space="preserve"> </w:t>
            </w:r>
            <w:r w:rsidRPr="002029AF">
              <w:rPr>
                <w:b/>
              </w:rPr>
              <w:t>greenhouse</w:t>
            </w:r>
            <w:r w:rsidR="000A5329" w:rsidRPr="002029AF">
              <w:rPr>
                <w:b/>
              </w:rPr>
              <w:t xml:space="preserve"> </w:t>
            </w:r>
            <w:r w:rsidRPr="002029AF">
              <w:rPr>
                <w:b/>
              </w:rPr>
              <w:t>gas</w:t>
            </w:r>
            <w:r w:rsidR="000A5329" w:rsidRPr="002029AF">
              <w:rPr>
                <w:b/>
              </w:rPr>
              <w:t xml:space="preserve"> </w:t>
            </w:r>
            <w:r w:rsidRPr="002029AF">
              <w:rPr>
                <w:b/>
              </w:rPr>
              <w:t>emissions</w:t>
            </w:r>
          </w:p>
        </w:tc>
        <w:tc>
          <w:tcPr>
            <w:tcW w:w="1701" w:type="dxa"/>
            <w:vAlign w:val="center"/>
          </w:tcPr>
          <w:p w14:paraId="6FDAF4C9" w14:textId="77777777" w:rsidR="00CF72D5" w:rsidRPr="002029AF" w:rsidRDefault="00CF72D5" w:rsidP="00897193">
            <w:pPr>
              <w:pStyle w:val="ARtabletextrightbold"/>
              <w:spacing w:before="70" w:after="50"/>
            </w:pPr>
            <w:r w:rsidRPr="002029AF">
              <w:t>737,882</w:t>
            </w:r>
          </w:p>
        </w:tc>
        <w:tc>
          <w:tcPr>
            <w:tcW w:w="1701" w:type="dxa"/>
            <w:vAlign w:val="center"/>
          </w:tcPr>
          <w:p w14:paraId="3DEDC133" w14:textId="77777777" w:rsidR="00CF72D5" w:rsidRPr="002029AF" w:rsidRDefault="00CF72D5" w:rsidP="00897193">
            <w:pPr>
              <w:pStyle w:val="ARtabletextrightbold"/>
              <w:spacing w:before="70" w:after="50"/>
            </w:pPr>
            <w:r w:rsidRPr="002029AF">
              <w:t>779,433</w:t>
            </w:r>
          </w:p>
        </w:tc>
        <w:tc>
          <w:tcPr>
            <w:tcW w:w="1701" w:type="dxa"/>
            <w:vAlign w:val="center"/>
          </w:tcPr>
          <w:p w14:paraId="651996DE" w14:textId="77777777" w:rsidR="00CF72D5" w:rsidRPr="002029AF" w:rsidRDefault="00CF72D5" w:rsidP="00897193">
            <w:pPr>
              <w:pStyle w:val="ARtabletextrightbold"/>
              <w:spacing w:before="70" w:after="50"/>
            </w:pPr>
            <w:r w:rsidRPr="002029AF">
              <w:t>786,889</w:t>
            </w:r>
          </w:p>
        </w:tc>
      </w:tr>
    </w:tbl>
    <w:p w14:paraId="07451E3E" w14:textId="77777777" w:rsidR="00CF72D5" w:rsidRPr="002029AF" w:rsidRDefault="00CF72D5" w:rsidP="00897193">
      <w:pPr>
        <w:pStyle w:val="ARbodynospace"/>
        <w:rPr>
          <w:lang w:eastAsia="en-AU"/>
        </w:rPr>
      </w:pPr>
    </w:p>
    <w:tbl>
      <w:tblPr>
        <w:tblStyle w:val="TableGrid"/>
        <w:tblW w:w="9639" w:type="dxa"/>
        <w:tblLook w:val="06A0" w:firstRow="1" w:lastRow="0" w:firstColumn="1" w:lastColumn="0" w:noHBand="1" w:noVBand="1"/>
      </w:tblPr>
      <w:tblGrid>
        <w:gridCol w:w="4536"/>
        <w:gridCol w:w="1701"/>
        <w:gridCol w:w="1701"/>
        <w:gridCol w:w="1701"/>
      </w:tblGrid>
      <w:tr w:rsidR="00CF72D5" w:rsidRPr="002029AF" w14:paraId="330732F2" w14:textId="77777777" w:rsidTr="002E3B52">
        <w:trPr>
          <w:cnfStyle w:val="100000000000" w:firstRow="1" w:lastRow="0" w:firstColumn="0" w:lastColumn="0" w:oddVBand="0" w:evenVBand="0" w:oddHBand="0" w:evenHBand="0" w:firstRowFirstColumn="0" w:firstRowLastColumn="0" w:lastRowFirstColumn="0" w:lastRowLastColumn="0"/>
          <w:tblHeader/>
        </w:trPr>
        <w:tc>
          <w:tcPr>
            <w:tcW w:w="4536" w:type="dxa"/>
          </w:tcPr>
          <w:p w14:paraId="01A5E846" w14:textId="77777777" w:rsidR="00CF72D5" w:rsidRPr="002029AF" w:rsidRDefault="00CF72D5" w:rsidP="00897193">
            <w:pPr>
              <w:pStyle w:val="ARtablecolhead"/>
            </w:pPr>
            <w:r w:rsidRPr="002029AF">
              <w:t>Description</w:t>
            </w:r>
          </w:p>
        </w:tc>
        <w:tc>
          <w:tcPr>
            <w:tcW w:w="1701" w:type="dxa"/>
            <w:vAlign w:val="center"/>
          </w:tcPr>
          <w:p w14:paraId="54CC7E4D" w14:textId="55A9A8AE" w:rsidR="00CF72D5" w:rsidRPr="002029AF" w:rsidRDefault="00CF72D5" w:rsidP="00897193">
            <w:pPr>
              <w:pStyle w:val="ARtablecolheadright"/>
            </w:pPr>
            <w:r w:rsidRPr="002029AF">
              <w:t>2019–20</w:t>
            </w:r>
            <w:r w:rsidR="000A5329" w:rsidRPr="002029AF">
              <w:t xml:space="preserve"> </w:t>
            </w:r>
            <w:r w:rsidRPr="002029AF">
              <w:t>estimate</w:t>
            </w:r>
          </w:p>
        </w:tc>
        <w:tc>
          <w:tcPr>
            <w:tcW w:w="1701" w:type="dxa"/>
            <w:vAlign w:val="center"/>
          </w:tcPr>
          <w:p w14:paraId="441624A5" w14:textId="1B475DC4" w:rsidR="00CF72D5" w:rsidRPr="002029AF" w:rsidRDefault="00CF72D5" w:rsidP="00897193">
            <w:pPr>
              <w:pStyle w:val="ARtablecolheadright"/>
            </w:pPr>
            <w:r w:rsidRPr="002029AF">
              <w:t>2018–19</w:t>
            </w:r>
            <w:r w:rsidR="000A5329" w:rsidRPr="002029AF">
              <w:t xml:space="preserve"> </w:t>
            </w:r>
            <w:r w:rsidRPr="002029AF">
              <w:t>estimate</w:t>
            </w:r>
          </w:p>
        </w:tc>
        <w:tc>
          <w:tcPr>
            <w:tcW w:w="1701" w:type="dxa"/>
            <w:vAlign w:val="center"/>
          </w:tcPr>
          <w:p w14:paraId="208896A0" w14:textId="3989A8D1" w:rsidR="00CF72D5" w:rsidRPr="002029AF" w:rsidRDefault="00CF72D5" w:rsidP="00897193">
            <w:pPr>
              <w:pStyle w:val="ARtablecolheadright"/>
            </w:pPr>
            <w:r w:rsidRPr="002029AF">
              <w:t>2017–18</w:t>
            </w:r>
            <w:r w:rsidR="000A5329" w:rsidRPr="002029AF">
              <w:t xml:space="preserve"> </w:t>
            </w:r>
            <w:r w:rsidRPr="002029AF">
              <w:t>estimate</w:t>
            </w:r>
          </w:p>
        </w:tc>
      </w:tr>
      <w:tr w:rsidR="00CF72D5" w:rsidRPr="002029AF" w14:paraId="52DBC726" w14:textId="77777777" w:rsidTr="002E3B52">
        <w:tc>
          <w:tcPr>
            <w:tcW w:w="4536" w:type="dxa"/>
            <w:vAlign w:val="center"/>
          </w:tcPr>
          <w:p w14:paraId="363A37F2" w14:textId="7BDC8FBE" w:rsidR="00CF72D5" w:rsidRPr="002029AF" w:rsidRDefault="00CF72D5" w:rsidP="00897193">
            <w:pPr>
              <w:pStyle w:val="ARtabletext"/>
            </w:pPr>
            <w:r w:rsidRPr="002029AF">
              <w:t>Energy</w:t>
            </w:r>
            <w:r w:rsidR="000A5329" w:rsidRPr="002029AF">
              <w:t xml:space="preserve"> </w:t>
            </w:r>
            <w:r w:rsidRPr="002029AF">
              <w:t>used</w:t>
            </w:r>
            <w:r w:rsidR="000A5329" w:rsidRPr="002029AF">
              <w:t xml:space="preserve"> </w:t>
            </w:r>
            <w:r w:rsidRPr="002029AF">
              <w:t>per</w:t>
            </w:r>
            <w:r w:rsidR="000A5329" w:rsidRPr="002029AF">
              <w:t xml:space="preserve"> </w:t>
            </w:r>
            <w:r w:rsidRPr="002029AF">
              <w:t>separation</w:t>
            </w:r>
            <w:r w:rsidR="000A5329" w:rsidRPr="002029AF">
              <w:t xml:space="preserve"> </w:t>
            </w:r>
            <w:r w:rsidRPr="002029AF">
              <w:t>(gigajoules/separation)</w:t>
            </w:r>
          </w:p>
        </w:tc>
        <w:tc>
          <w:tcPr>
            <w:tcW w:w="1701" w:type="dxa"/>
            <w:vAlign w:val="center"/>
          </w:tcPr>
          <w:p w14:paraId="72810412" w14:textId="77777777" w:rsidR="00CF72D5" w:rsidRPr="002029AF" w:rsidRDefault="00CF72D5" w:rsidP="00897193">
            <w:pPr>
              <w:pStyle w:val="ARtabletextright"/>
            </w:pPr>
            <w:r w:rsidRPr="002029AF">
              <w:t>2.6</w:t>
            </w:r>
          </w:p>
        </w:tc>
        <w:tc>
          <w:tcPr>
            <w:tcW w:w="1701" w:type="dxa"/>
            <w:vAlign w:val="center"/>
          </w:tcPr>
          <w:p w14:paraId="5A86197A" w14:textId="77777777" w:rsidR="00CF72D5" w:rsidRPr="002029AF" w:rsidRDefault="00CF72D5" w:rsidP="00897193">
            <w:pPr>
              <w:pStyle w:val="ARtabletextright"/>
            </w:pPr>
            <w:r w:rsidRPr="002029AF">
              <w:t>2.49</w:t>
            </w:r>
          </w:p>
        </w:tc>
        <w:tc>
          <w:tcPr>
            <w:tcW w:w="1701" w:type="dxa"/>
            <w:vAlign w:val="center"/>
          </w:tcPr>
          <w:p w14:paraId="658C4FBC" w14:textId="77777777" w:rsidR="00CF72D5" w:rsidRPr="002029AF" w:rsidRDefault="00CF72D5" w:rsidP="00897193">
            <w:pPr>
              <w:pStyle w:val="ARtabletextright"/>
            </w:pPr>
            <w:r w:rsidRPr="002029AF">
              <w:t>2.56</w:t>
            </w:r>
          </w:p>
        </w:tc>
      </w:tr>
      <w:tr w:rsidR="00CF72D5" w:rsidRPr="002029AF" w14:paraId="0A3BCDC9" w14:textId="77777777" w:rsidTr="002E3B52">
        <w:tc>
          <w:tcPr>
            <w:tcW w:w="4536" w:type="dxa"/>
            <w:vAlign w:val="center"/>
          </w:tcPr>
          <w:p w14:paraId="5473CD34" w14:textId="40F71575" w:rsidR="00CF72D5" w:rsidRPr="002029AF" w:rsidRDefault="00CF72D5" w:rsidP="00897193">
            <w:pPr>
              <w:pStyle w:val="ARtabletext"/>
            </w:pPr>
            <w:r w:rsidRPr="002029AF">
              <w:t>Energy</w:t>
            </w:r>
            <w:r w:rsidR="000A5329" w:rsidRPr="002029AF">
              <w:t xml:space="preserve"> </w:t>
            </w:r>
            <w:r w:rsidRPr="002029AF">
              <w:t>used</w:t>
            </w:r>
            <w:r w:rsidR="000A5329" w:rsidRPr="002029AF">
              <w:t xml:space="preserve"> </w:t>
            </w:r>
            <w:r w:rsidRPr="002029AF">
              <w:t>per</w:t>
            </w:r>
            <w:r w:rsidR="000A5329" w:rsidRPr="002029AF">
              <w:t xml:space="preserve"> </w:t>
            </w:r>
            <w:r w:rsidRPr="002029AF">
              <w:t>bed</w:t>
            </w:r>
            <w:r w:rsidR="000A5329" w:rsidRPr="002029AF">
              <w:t xml:space="preserve"> </w:t>
            </w:r>
            <w:r w:rsidRPr="002029AF">
              <w:t>day</w:t>
            </w:r>
            <w:r w:rsidR="000A5329" w:rsidRPr="002029AF">
              <w:t xml:space="preserve"> </w:t>
            </w:r>
            <w:r w:rsidRPr="002029AF">
              <w:t>(gigajoules/bed</w:t>
            </w:r>
            <w:r w:rsidR="000A5329" w:rsidRPr="002029AF">
              <w:t xml:space="preserve"> </w:t>
            </w:r>
            <w:r w:rsidRPr="002029AF">
              <w:t>day)</w:t>
            </w:r>
          </w:p>
        </w:tc>
        <w:tc>
          <w:tcPr>
            <w:tcW w:w="1701" w:type="dxa"/>
            <w:vAlign w:val="center"/>
          </w:tcPr>
          <w:p w14:paraId="799419E8" w14:textId="77777777" w:rsidR="00CF72D5" w:rsidRPr="002029AF" w:rsidRDefault="00CF72D5" w:rsidP="00897193">
            <w:pPr>
              <w:pStyle w:val="ARtabletextright"/>
            </w:pPr>
            <w:r w:rsidRPr="002029AF">
              <w:t>0.7</w:t>
            </w:r>
          </w:p>
        </w:tc>
        <w:tc>
          <w:tcPr>
            <w:tcW w:w="1701" w:type="dxa"/>
            <w:vAlign w:val="center"/>
          </w:tcPr>
          <w:p w14:paraId="41B2C734" w14:textId="77777777" w:rsidR="00CF72D5" w:rsidRPr="002029AF" w:rsidRDefault="00CF72D5" w:rsidP="00897193">
            <w:pPr>
              <w:pStyle w:val="ARtabletextright"/>
            </w:pPr>
            <w:r w:rsidRPr="002029AF">
              <w:t>0.68</w:t>
            </w:r>
          </w:p>
        </w:tc>
        <w:tc>
          <w:tcPr>
            <w:tcW w:w="1701" w:type="dxa"/>
            <w:vAlign w:val="center"/>
          </w:tcPr>
          <w:p w14:paraId="0290DB5A" w14:textId="77777777" w:rsidR="00CF72D5" w:rsidRPr="002029AF" w:rsidRDefault="00CF72D5" w:rsidP="00897193">
            <w:pPr>
              <w:pStyle w:val="ARtabletextright"/>
            </w:pPr>
            <w:r w:rsidRPr="002029AF">
              <w:t>0.68</w:t>
            </w:r>
          </w:p>
        </w:tc>
      </w:tr>
      <w:tr w:rsidR="00CF72D5" w:rsidRPr="002029AF" w14:paraId="2AC4F8C3" w14:textId="77777777" w:rsidTr="002E3B52">
        <w:tc>
          <w:tcPr>
            <w:tcW w:w="4536" w:type="dxa"/>
            <w:vAlign w:val="center"/>
          </w:tcPr>
          <w:p w14:paraId="33525371" w14:textId="34B6D68A" w:rsidR="00CF72D5" w:rsidRPr="002029AF" w:rsidRDefault="00CF72D5" w:rsidP="00897193">
            <w:pPr>
              <w:pStyle w:val="ARtabletext"/>
            </w:pPr>
            <w:r w:rsidRPr="002029AF">
              <w:t>Energy</w:t>
            </w:r>
            <w:r w:rsidR="000A5329" w:rsidRPr="002029AF">
              <w:t xml:space="preserve"> </w:t>
            </w:r>
            <w:r w:rsidRPr="002029AF">
              <w:t>used</w:t>
            </w:r>
            <w:r w:rsidR="000A5329" w:rsidRPr="002029AF">
              <w:t xml:space="preserve"> </w:t>
            </w:r>
            <w:r w:rsidRPr="002029AF">
              <w:t>per</w:t>
            </w:r>
            <w:r w:rsidR="000A5329" w:rsidRPr="002029AF">
              <w:t xml:space="preserve"> </w:t>
            </w:r>
            <w:r w:rsidRPr="002029AF">
              <w:t>unit</w:t>
            </w:r>
            <w:r w:rsidR="000A5329" w:rsidRPr="002029AF">
              <w:t xml:space="preserve"> </w:t>
            </w:r>
            <w:r w:rsidRPr="002029AF">
              <w:t>of</w:t>
            </w:r>
            <w:r w:rsidR="000A5329" w:rsidRPr="002029AF">
              <w:t xml:space="preserve"> </w:t>
            </w:r>
            <w:r w:rsidRPr="002029AF">
              <w:t>floor</w:t>
            </w:r>
            <w:r w:rsidR="000A5329" w:rsidRPr="002029AF">
              <w:t xml:space="preserve"> </w:t>
            </w:r>
            <w:r w:rsidRPr="002029AF">
              <w:t>space</w:t>
            </w:r>
            <w:r w:rsidR="000A5329" w:rsidRPr="002029AF">
              <w:t xml:space="preserve"> </w:t>
            </w:r>
            <w:r w:rsidRPr="002029AF">
              <w:t>(gigajoules/m</w:t>
            </w:r>
            <w:r w:rsidRPr="002029AF">
              <w:rPr>
                <w:vertAlign w:val="superscript"/>
              </w:rPr>
              <w:t>2</w:t>
            </w:r>
            <w:r w:rsidRPr="002029AF">
              <w:t>)</w:t>
            </w:r>
          </w:p>
        </w:tc>
        <w:tc>
          <w:tcPr>
            <w:tcW w:w="1701" w:type="dxa"/>
            <w:vAlign w:val="center"/>
          </w:tcPr>
          <w:p w14:paraId="7857E217" w14:textId="77777777" w:rsidR="00CF72D5" w:rsidRPr="002029AF" w:rsidRDefault="00CF72D5" w:rsidP="00897193">
            <w:pPr>
              <w:pStyle w:val="ARtabletextright"/>
            </w:pPr>
            <w:r w:rsidRPr="002029AF">
              <w:t>1.36</w:t>
            </w:r>
          </w:p>
        </w:tc>
        <w:tc>
          <w:tcPr>
            <w:tcW w:w="1701" w:type="dxa"/>
            <w:vAlign w:val="center"/>
          </w:tcPr>
          <w:p w14:paraId="5E898B52" w14:textId="77777777" w:rsidR="00CF72D5" w:rsidRPr="002029AF" w:rsidRDefault="00CF72D5" w:rsidP="00897193">
            <w:pPr>
              <w:pStyle w:val="ARtabletextright"/>
            </w:pPr>
            <w:r w:rsidRPr="002029AF">
              <w:t>1.35</w:t>
            </w:r>
          </w:p>
        </w:tc>
        <w:tc>
          <w:tcPr>
            <w:tcW w:w="1701" w:type="dxa"/>
            <w:vAlign w:val="center"/>
          </w:tcPr>
          <w:p w14:paraId="5DB2ADDE" w14:textId="77777777" w:rsidR="00CF72D5" w:rsidRPr="002029AF" w:rsidRDefault="00CF72D5" w:rsidP="00897193">
            <w:pPr>
              <w:pStyle w:val="ARtabletextright"/>
            </w:pPr>
            <w:r w:rsidRPr="002029AF">
              <w:t>1.36</w:t>
            </w:r>
          </w:p>
        </w:tc>
      </w:tr>
      <w:tr w:rsidR="00CF72D5" w:rsidRPr="002029AF" w14:paraId="5E355123" w14:textId="77777777" w:rsidTr="002E3B52">
        <w:tc>
          <w:tcPr>
            <w:tcW w:w="4536" w:type="dxa"/>
            <w:vAlign w:val="center"/>
          </w:tcPr>
          <w:p w14:paraId="618825E2" w14:textId="79971487" w:rsidR="00CF72D5" w:rsidRPr="002029AF" w:rsidRDefault="00CF72D5" w:rsidP="00897193">
            <w:pPr>
              <w:pStyle w:val="ARtabletext"/>
            </w:pPr>
            <w:r w:rsidRPr="002029AF">
              <w:t>Greenhouse</w:t>
            </w:r>
            <w:r w:rsidR="000A5329" w:rsidRPr="002029AF">
              <w:t xml:space="preserve"> </w:t>
            </w:r>
            <w:r w:rsidRPr="002029AF">
              <w:t>gas</w:t>
            </w:r>
            <w:r w:rsidR="000A5329" w:rsidRPr="002029AF">
              <w:t xml:space="preserve"> </w:t>
            </w:r>
            <w:r w:rsidRPr="002029AF">
              <w:t>emissions</w:t>
            </w:r>
            <w:r w:rsidR="000A5329" w:rsidRPr="002029AF">
              <w:t xml:space="preserve"> </w:t>
            </w:r>
            <w:r w:rsidRPr="002029AF">
              <w:t>per</w:t>
            </w:r>
            <w:r w:rsidR="000A5329" w:rsidRPr="002029AF">
              <w:t xml:space="preserve"> </w:t>
            </w:r>
            <w:r w:rsidRPr="002029AF">
              <w:t>separation</w:t>
            </w:r>
            <w:r w:rsidR="000A5329" w:rsidRPr="002029AF">
              <w:t xml:space="preserve"> </w:t>
            </w:r>
            <w:r w:rsidRPr="002029AF">
              <w:t>(tonnes</w:t>
            </w:r>
            <w:r w:rsidR="000A5329" w:rsidRPr="002029AF">
              <w:t xml:space="preserve"> </w:t>
            </w:r>
            <w:r w:rsidRPr="002029AF">
              <w:t>CO</w:t>
            </w:r>
            <w:r w:rsidRPr="002029AF">
              <w:rPr>
                <w:vertAlign w:val="subscript"/>
              </w:rPr>
              <w:t>2</w:t>
            </w:r>
            <w:r w:rsidRPr="002029AF">
              <w:t>-e/separation)</w:t>
            </w:r>
          </w:p>
        </w:tc>
        <w:tc>
          <w:tcPr>
            <w:tcW w:w="1701" w:type="dxa"/>
            <w:vAlign w:val="center"/>
          </w:tcPr>
          <w:p w14:paraId="3F222F29" w14:textId="77777777" w:rsidR="00CF72D5" w:rsidRPr="002029AF" w:rsidRDefault="00CF72D5" w:rsidP="00897193">
            <w:pPr>
              <w:pStyle w:val="ARtabletextright"/>
            </w:pPr>
            <w:r w:rsidRPr="002029AF">
              <w:t>0.42</w:t>
            </w:r>
          </w:p>
        </w:tc>
        <w:tc>
          <w:tcPr>
            <w:tcW w:w="1701" w:type="dxa"/>
            <w:vAlign w:val="center"/>
          </w:tcPr>
          <w:p w14:paraId="1D780C7E" w14:textId="77777777" w:rsidR="00CF72D5" w:rsidRPr="002029AF" w:rsidRDefault="00CF72D5" w:rsidP="00897193">
            <w:pPr>
              <w:pStyle w:val="ARtabletextright"/>
            </w:pPr>
            <w:r w:rsidRPr="002029AF">
              <w:t>0.43</w:t>
            </w:r>
          </w:p>
        </w:tc>
        <w:tc>
          <w:tcPr>
            <w:tcW w:w="1701" w:type="dxa"/>
            <w:vAlign w:val="center"/>
          </w:tcPr>
          <w:p w14:paraId="2183F406" w14:textId="77777777" w:rsidR="00CF72D5" w:rsidRPr="002029AF" w:rsidRDefault="00CF72D5" w:rsidP="00897193">
            <w:pPr>
              <w:pStyle w:val="ARtabletextright"/>
            </w:pPr>
            <w:r w:rsidRPr="002029AF">
              <w:t>0.44</w:t>
            </w:r>
          </w:p>
        </w:tc>
      </w:tr>
      <w:tr w:rsidR="00CF72D5" w:rsidRPr="002029AF" w14:paraId="45F95D36" w14:textId="77777777" w:rsidTr="002E3B52">
        <w:tc>
          <w:tcPr>
            <w:tcW w:w="4536" w:type="dxa"/>
            <w:vAlign w:val="center"/>
          </w:tcPr>
          <w:p w14:paraId="3E768614" w14:textId="79DCBC72" w:rsidR="00CF72D5" w:rsidRPr="002029AF" w:rsidRDefault="00CF72D5" w:rsidP="00897193">
            <w:pPr>
              <w:pStyle w:val="ARtabletext"/>
            </w:pPr>
            <w:r w:rsidRPr="002029AF">
              <w:t>Greenhouse</w:t>
            </w:r>
            <w:r w:rsidR="000A5329" w:rsidRPr="002029AF">
              <w:t xml:space="preserve"> </w:t>
            </w:r>
            <w:r w:rsidRPr="002029AF">
              <w:t>gas</w:t>
            </w:r>
            <w:r w:rsidR="000A5329" w:rsidRPr="002029AF">
              <w:t xml:space="preserve"> </w:t>
            </w:r>
            <w:r w:rsidRPr="002029AF">
              <w:t>emissions</w:t>
            </w:r>
            <w:r w:rsidR="000A5329" w:rsidRPr="002029AF">
              <w:t xml:space="preserve"> </w:t>
            </w:r>
            <w:r w:rsidRPr="002029AF">
              <w:t>per</w:t>
            </w:r>
            <w:r w:rsidR="000A5329" w:rsidRPr="002029AF">
              <w:t xml:space="preserve"> </w:t>
            </w:r>
            <w:r w:rsidRPr="002029AF">
              <w:t>bed</w:t>
            </w:r>
            <w:r w:rsidR="000A5329" w:rsidRPr="002029AF">
              <w:t xml:space="preserve"> </w:t>
            </w:r>
            <w:r w:rsidRPr="002029AF">
              <w:t>day</w:t>
            </w:r>
            <w:r w:rsidR="000A5329" w:rsidRPr="002029AF">
              <w:t xml:space="preserve"> </w:t>
            </w:r>
            <w:r w:rsidRPr="002029AF">
              <w:t>(tonnes</w:t>
            </w:r>
            <w:r w:rsidR="000A5329" w:rsidRPr="002029AF">
              <w:t xml:space="preserve"> </w:t>
            </w:r>
            <w:r w:rsidR="00C40D56">
              <w:br/>
            </w:r>
            <w:r w:rsidRPr="002029AF">
              <w:t>CO</w:t>
            </w:r>
            <w:r w:rsidRPr="002029AF">
              <w:rPr>
                <w:vertAlign w:val="subscript"/>
              </w:rPr>
              <w:t>2</w:t>
            </w:r>
            <w:r w:rsidRPr="002029AF">
              <w:t>-e/bed</w:t>
            </w:r>
            <w:r w:rsidR="000A5329" w:rsidRPr="002029AF">
              <w:t xml:space="preserve"> </w:t>
            </w:r>
            <w:r w:rsidRPr="002029AF">
              <w:t>day)</w:t>
            </w:r>
          </w:p>
        </w:tc>
        <w:tc>
          <w:tcPr>
            <w:tcW w:w="1701" w:type="dxa"/>
            <w:vAlign w:val="center"/>
          </w:tcPr>
          <w:p w14:paraId="6402895A" w14:textId="77777777" w:rsidR="00CF72D5" w:rsidRPr="002029AF" w:rsidRDefault="00CF72D5" w:rsidP="00897193">
            <w:pPr>
              <w:pStyle w:val="ARtabletextright"/>
            </w:pPr>
            <w:r w:rsidRPr="002029AF">
              <w:t>0.11</w:t>
            </w:r>
          </w:p>
        </w:tc>
        <w:tc>
          <w:tcPr>
            <w:tcW w:w="1701" w:type="dxa"/>
            <w:vAlign w:val="center"/>
          </w:tcPr>
          <w:p w14:paraId="505C249A" w14:textId="77777777" w:rsidR="00CF72D5" w:rsidRPr="002029AF" w:rsidRDefault="00CF72D5" w:rsidP="00897193">
            <w:pPr>
              <w:pStyle w:val="ARtabletextright"/>
            </w:pPr>
            <w:r w:rsidRPr="002029AF">
              <w:t>0.11</w:t>
            </w:r>
          </w:p>
        </w:tc>
        <w:tc>
          <w:tcPr>
            <w:tcW w:w="1701" w:type="dxa"/>
            <w:vAlign w:val="center"/>
          </w:tcPr>
          <w:p w14:paraId="79F4F8CA" w14:textId="77777777" w:rsidR="00CF72D5" w:rsidRPr="002029AF" w:rsidRDefault="00CF72D5" w:rsidP="00897193">
            <w:pPr>
              <w:pStyle w:val="ARtabletextright"/>
            </w:pPr>
            <w:r w:rsidRPr="002029AF">
              <w:t>0.12</w:t>
            </w:r>
          </w:p>
        </w:tc>
      </w:tr>
      <w:tr w:rsidR="00CF72D5" w:rsidRPr="002029AF" w14:paraId="1B2B0107" w14:textId="77777777" w:rsidTr="002E3B52">
        <w:tc>
          <w:tcPr>
            <w:tcW w:w="4536" w:type="dxa"/>
            <w:vAlign w:val="center"/>
          </w:tcPr>
          <w:p w14:paraId="0A79B5F7" w14:textId="707E3DFE" w:rsidR="00CF72D5" w:rsidRPr="002029AF" w:rsidRDefault="00CF72D5" w:rsidP="00897193">
            <w:pPr>
              <w:pStyle w:val="ARtabletext"/>
            </w:pPr>
            <w:r w:rsidRPr="002029AF">
              <w:t>Greenhouse</w:t>
            </w:r>
            <w:r w:rsidR="000A5329" w:rsidRPr="002029AF">
              <w:t xml:space="preserve"> </w:t>
            </w:r>
            <w:r w:rsidRPr="002029AF">
              <w:t>gas</w:t>
            </w:r>
            <w:r w:rsidR="000A5329" w:rsidRPr="002029AF">
              <w:t xml:space="preserve"> </w:t>
            </w:r>
            <w:r w:rsidRPr="002029AF">
              <w:t>emissions</w:t>
            </w:r>
            <w:r w:rsidR="000A5329" w:rsidRPr="002029AF">
              <w:t xml:space="preserve"> </w:t>
            </w:r>
            <w:r w:rsidRPr="002029AF">
              <w:t>per</w:t>
            </w:r>
            <w:r w:rsidR="000A5329" w:rsidRPr="002029AF">
              <w:t xml:space="preserve"> </w:t>
            </w:r>
            <w:r w:rsidRPr="002029AF">
              <w:t>unit</w:t>
            </w:r>
            <w:r w:rsidR="000A5329" w:rsidRPr="002029AF">
              <w:t xml:space="preserve"> </w:t>
            </w:r>
            <w:r w:rsidRPr="002029AF">
              <w:t>of</w:t>
            </w:r>
            <w:r w:rsidR="000A5329" w:rsidRPr="002029AF">
              <w:t xml:space="preserve"> </w:t>
            </w:r>
            <w:r w:rsidRPr="002029AF">
              <w:t>floor</w:t>
            </w:r>
            <w:r w:rsidR="000A5329" w:rsidRPr="002029AF">
              <w:t xml:space="preserve"> </w:t>
            </w:r>
            <w:r w:rsidRPr="002029AF">
              <w:t>space</w:t>
            </w:r>
            <w:r w:rsidR="000A5329" w:rsidRPr="002029AF">
              <w:t xml:space="preserve"> </w:t>
            </w:r>
            <w:r w:rsidRPr="002029AF">
              <w:t>(tonnes</w:t>
            </w:r>
            <w:r w:rsidR="000A5329" w:rsidRPr="002029AF">
              <w:t xml:space="preserve"> </w:t>
            </w:r>
            <w:r w:rsidRPr="002029AF">
              <w:t>CO</w:t>
            </w:r>
            <w:r w:rsidRPr="002029AF">
              <w:rPr>
                <w:vertAlign w:val="subscript"/>
              </w:rPr>
              <w:t>2</w:t>
            </w:r>
            <w:r w:rsidRPr="002029AF">
              <w:t>-e/m</w:t>
            </w:r>
            <w:r w:rsidRPr="002029AF">
              <w:rPr>
                <w:vertAlign w:val="superscript"/>
              </w:rPr>
              <w:t>2</w:t>
            </w:r>
            <w:r w:rsidRPr="002029AF">
              <w:t>)</w:t>
            </w:r>
          </w:p>
        </w:tc>
        <w:tc>
          <w:tcPr>
            <w:tcW w:w="1701" w:type="dxa"/>
            <w:vAlign w:val="center"/>
          </w:tcPr>
          <w:p w14:paraId="7A4673EF" w14:textId="77777777" w:rsidR="00CF72D5" w:rsidRPr="002029AF" w:rsidRDefault="00CF72D5" w:rsidP="00897193">
            <w:pPr>
              <w:pStyle w:val="ARtabletextright"/>
            </w:pPr>
            <w:r w:rsidRPr="002029AF">
              <w:t>0.22</w:t>
            </w:r>
          </w:p>
        </w:tc>
        <w:tc>
          <w:tcPr>
            <w:tcW w:w="1701" w:type="dxa"/>
            <w:vAlign w:val="center"/>
          </w:tcPr>
          <w:p w14:paraId="7BDA824B" w14:textId="77777777" w:rsidR="00CF72D5" w:rsidRPr="002029AF" w:rsidRDefault="00CF72D5" w:rsidP="00897193">
            <w:pPr>
              <w:pStyle w:val="ARtabletextright"/>
            </w:pPr>
            <w:r w:rsidRPr="002029AF">
              <w:t>0.23</w:t>
            </w:r>
          </w:p>
        </w:tc>
        <w:tc>
          <w:tcPr>
            <w:tcW w:w="1701" w:type="dxa"/>
            <w:vAlign w:val="center"/>
          </w:tcPr>
          <w:p w14:paraId="08C57BCC" w14:textId="77777777" w:rsidR="00CF72D5" w:rsidRPr="002029AF" w:rsidRDefault="00CF72D5" w:rsidP="00897193">
            <w:pPr>
              <w:pStyle w:val="ARtabletextright"/>
            </w:pPr>
            <w:r w:rsidRPr="002029AF">
              <w:t>0.22</w:t>
            </w:r>
          </w:p>
        </w:tc>
      </w:tr>
    </w:tbl>
    <w:p w14:paraId="5BD31AB2" w14:textId="6AD6C5A3" w:rsidR="00CF72D5" w:rsidRPr="002029AF" w:rsidRDefault="00CF72D5" w:rsidP="00897193">
      <w:pPr>
        <w:pStyle w:val="ARtablefootnote"/>
        <w:rPr>
          <w:lang w:eastAsia="en-AU"/>
        </w:rPr>
      </w:pPr>
      <w:r w:rsidRPr="002029AF">
        <w:rPr>
          <w:lang w:eastAsia="en-AU"/>
        </w:rPr>
        <w:t>Public</w:t>
      </w:r>
      <w:r w:rsidR="000A5329" w:rsidRPr="002029AF">
        <w:rPr>
          <w:lang w:eastAsia="en-AU"/>
        </w:rPr>
        <w:t xml:space="preserve"> </w:t>
      </w:r>
      <w:r w:rsidRPr="002029AF">
        <w:rPr>
          <w:lang w:eastAsia="en-AU"/>
        </w:rPr>
        <w:t>health</w:t>
      </w:r>
      <w:r w:rsidR="000A5329" w:rsidRPr="002029AF">
        <w:rPr>
          <w:lang w:eastAsia="en-AU"/>
        </w:rPr>
        <w:t xml:space="preserve"> </w:t>
      </w:r>
      <w:r w:rsidRPr="002029AF">
        <w:rPr>
          <w:lang w:eastAsia="en-AU"/>
        </w:rPr>
        <w:t>services</w:t>
      </w:r>
      <w:r w:rsidR="000A5329" w:rsidRPr="002029AF">
        <w:rPr>
          <w:lang w:eastAsia="en-AU"/>
        </w:rPr>
        <w:t xml:space="preserve"> </w:t>
      </w:r>
      <w:r w:rsidRPr="002029AF">
        <w:rPr>
          <w:lang w:eastAsia="en-AU"/>
        </w:rPr>
        <w:t>are</w:t>
      </w:r>
      <w:r w:rsidR="000A5329" w:rsidRPr="002029AF">
        <w:rPr>
          <w:lang w:eastAsia="en-AU"/>
        </w:rPr>
        <w:t xml:space="preserve"> </w:t>
      </w:r>
      <w:r w:rsidRPr="002029AF">
        <w:rPr>
          <w:lang w:eastAsia="en-AU"/>
        </w:rPr>
        <w:t>GST-exempt</w:t>
      </w:r>
      <w:r w:rsidR="000A5329" w:rsidRPr="002029AF">
        <w:rPr>
          <w:lang w:eastAsia="en-AU"/>
        </w:rPr>
        <w:t xml:space="preserve"> </w:t>
      </w:r>
      <w:r w:rsidRPr="002029AF">
        <w:rPr>
          <w:lang w:eastAsia="en-AU"/>
        </w:rPr>
        <w:t>organisations.</w:t>
      </w:r>
      <w:r w:rsidR="000A5329" w:rsidRPr="002029AF">
        <w:rPr>
          <w:lang w:eastAsia="en-AU"/>
        </w:rPr>
        <w:t xml:space="preserve"> </w:t>
      </w:r>
      <w:r w:rsidRPr="002029AF">
        <w:rPr>
          <w:lang w:eastAsia="en-AU"/>
        </w:rPr>
        <w:t>Reported</w:t>
      </w:r>
      <w:r w:rsidR="000A5329" w:rsidRPr="002029AF">
        <w:rPr>
          <w:lang w:eastAsia="en-AU"/>
        </w:rPr>
        <w:t xml:space="preserve"> </w:t>
      </w:r>
      <w:r w:rsidRPr="002029AF">
        <w:rPr>
          <w:lang w:eastAsia="en-AU"/>
        </w:rPr>
        <w:t>cost</w:t>
      </w:r>
      <w:r w:rsidR="000A5329" w:rsidRPr="002029AF">
        <w:rPr>
          <w:lang w:eastAsia="en-AU"/>
        </w:rPr>
        <w:t xml:space="preserve"> </w:t>
      </w:r>
      <w:r w:rsidRPr="002029AF">
        <w:rPr>
          <w:lang w:eastAsia="en-AU"/>
        </w:rPr>
        <w:t>data</w:t>
      </w:r>
      <w:r w:rsidR="000A5329" w:rsidRPr="002029AF">
        <w:rPr>
          <w:lang w:eastAsia="en-AU"/>
        </w:rPr>
        <w:t xml:space="preserve"> </w:t>
      </w:r>
      <w:r w:rsidRPr="002029AF">
        <w:rPr>
          <w:lang w:eastAsia="en-AU"/>
        </w:rPr>
        <w:t>for</w:t>
      </w:r>
      <w:r w:rsidR="000A5329" w:rsidRPr="002029AF">
        <w:rPr>
          <w:lang w:eastAsia="en-AU"/>
        </w:rPr>
        <w:t xml:space="preserve"> </w:t>
      </w:r>
      <w:r w:rsidRPr="002029AF">
        <w:rPr>
          <w:lang w:eastAsia="en-AU"/>
        </w:rPr>
        <w:t>public</w:t>
      </w:r>
      <w:r w:rsidR="000A5329" w:rsidRPr="002029AF">
        <w:rPr>
          <w:lang w:eastAsia="en-AU"/>
        </w:rPr>
        <w:t xml:space="preserve"> </w:t>
      </w:r>
      <w:r w:rsidRPr="002029AF">
        <w:rPr>
          <w:lang w:eastAsia="en-AU"/>
        </w:rPr>
        <w:t>health</w:t>
      </w:r>
      <w:r w:rsidR="000A5329" w:rsidRPr="002029AF">
        <w:rPr>
          <w:lang w:eastAsia="en-AU"/>
        </w:rPr>
        <w:t xml:space="preserve"> </w:t>
      </w:r>
      <w:r w:rsidRPr="002029AF">
        <w:rPr>
          <w:lang w:eastAsia="en-AU"/>
        </w:rPr>
        <w:t>services</w:t>
      </w:r>
      <w:r w:rsidR="000A5329" w:rsidRPr="002029AF">
        <w:rPr>
          <w:lang w:eastAsia="en-AU"/>
        </w:rPr>
        <w:t xml:space="preserve"> </w:t>
      </w:r>
      <w:r w:rsidRPr="002029AF">
        <w:rPr>
          <w:lang w:eastAsia="en-AU"/>
        </w:rPr>
        <w:t>is</w:t>
      </w:r>
      <w:r w:rsidR="000A5329" w:rsidRPr="002029AF">
        <w:rPr>
          <w:lang w:eastAsia="en-AU"/>
        </w:rPr>
        <w:t xml:space="preserve"> </w:t>
      </w:r>
      <w:r w:rsidRPr="002029AF">
        <w:rPr>
          <w:lang w:eastAsia="en-AU"/>
        </w:rPr>
        <w:t>exclusive</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GST.</w:t>
      </w:r>
      <w:r w:rsidR="000A5329" w:rsidRPr="002029AF">
        <w:rPr>
          <w:lang w:eastAsia="en-AU"/>
        </w:rPr>
        <w:t xml:space="preserve"> </w:t>
      </w:r>
      <w:r w:rsidRPr="002029AF">
        <w:rPr>
          <w:lang w:eastAsia="en-AU"/>
        </w:rPr>
        <w:t>Public</w:t>
      </w:r>
      <w:r w:rsidR="000A5329" w:rsidRPr="002029AF">
        <w:rPr>
          <w:lang w:eastAsia="en-AU"/>
        </w:rPr>
        <w:t xml:space="preserve"> </w:t>
      </w:r>
      <w:r w:rsidRPr="002029AF">
        <w:rPr>
          <w:lang w:eastAsia="en-AU"/>
        </w:rPr>
        <w:t>health</w:t>
      </w:r>
      <w:r w:rsidR="000A5329" w:rsidRPr="002029AF">
        <w:rPr>
          <w:lang w:eastAsia="en-AU"/>
        </w:rPr>
        <w:t xml:space="preserve"> </w:t>
      </w:r>
      <w:r w:rsidRPr="002029AF">
        <w:rPr>
          <w:lang w:eastAsia="en-AU"/>
        </w:rPr>
        <w:t>greenhouse</w:t>
      </w:r>
      <w:r w:rsidR="000A5329" w:rsidRPr="002029AF">
        <w:rPr>
          <w:lang w:eastAsia="en-AU"/>
        </w:rPr>
        <w:t xml:space="preserve"> </w:t>
      </w:r>
      <w:r w:rsidRPr="002029AF">
        <w:rPr>
          <w:lang w:eastAsia="en-AU"/>
        </w:rPr>
        <w:t>gas</w:t>
      </w:r>
      <w:r w:rsidR="000A5329" w:rsidRPr="002029AF">
        <w:rPr>
          <w:lang w:eastAsia="en-AU"/>
        </w:rPr>
        <w:t xml:space="preserve"> </w:t>
      </w:r>
      <w:r w:rsidRPr="002029AF">
        <w:rPr>
          <w:lang w:eastAsia="en-AU"/>
        </w:rPr>
        <w:t>emission</w:t>
      </w:r>
      <w:r w:rsidR="000A5329" w:rsidRPr="002029AF">
        <w:rPr>
          <w:lang w:eastAsia="en-AU"/>
        </w:rPr>
        <w:t xml:space="preserve"> </w:t>
      </w:r>
      <w:r w:rsidRPr="002029AF">
        <w:rPr>
          <w:lang w:eastAsia="en-AU"/>
        </w:rPr>
        <w:t>indicators</w:t>
      </w:r>
      <w:r w:rsidR="000A5329" w:rsidRPr="002029AF">
        <w:rPr>
          <w:lang w:eastAsia="en-AU"/>
        </w:rPr>
        <w:t xml:space="preserve"> </w:t>
      </w:r>
      <w:r w:rsidRPr="002029AF">
        <w:rPr>
          <w:lang w:eastAsia="en-AU"/>
        </w:rPr>
        <w:t>include</w:t>
      </w:r>
      <w:r w:rsidR="000A5329" w:rsidRPr="002029AF">
        <w:rPr>
          <w:lang w:eastAsia="en-AU"/>
        </w:rPr>
        <w:t xml:space="preserve"> </w:t>
      </w:r>
      <w:r w:rsidRPr="002029AF">
        <w:rPr>
          <w:lang w:eastAsia="en-AU"/>
        </w:rPr>
        <w:t>emissions</w:t>
      </w:r>
      <w:r w:rsidR="000A5329" w:rsidRPr="002029AF">
        <w:rPr>
          <w:lang w:eastAsia="en-AU"/>
        </w:rPr>
        <w:t xml:space="preserve"> </w:t>
      </w:r>
      <w:r w:rsidRPr="002029AF">
        <w:rPr>
          <w:lang w:eastAsia="en-AU"/>
        </w:rPr>
        <w:t>associated</w:t>
      </w:r>
      <w:r w:rsidR="000A5329" w:rsidRPr="002029AF">
        <w:rPr>
          <w:lang w:eastAsia="en-AU"/>
        </w:rPr>
        <w:t xml:space="preserve"> </w:t>
      </w:r>
      <w:r w:rsidRPr="002029AF">
        <w:rPr>
          <w:lang w:eastAsia="en-AU"/>
        </w:rPr>
        <w:t>with</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use</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nitrous</w:t>
      </w:r>
      <w:r w:rsidR="000A5329" w:rsidRPr="002029AF">
        <w:rPr>
          <w:lang w:eastAsia="en-AU"/>
        </w:rPr>
        <w:t xml:space="preserve"> </w:t>
      </w:r>
      <w:r w:rsidRPr="002029AF">
        <w:rPr>
          <w:lang w:eastAsia="en-AU"/>
        </w:rPr>
        <w:t>oxide</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public</w:t>
      </w:r>
      <w:r w:rsidR="000A5329" w:rsidRPr="002029AF">
        <w:rPr>
          <w:lang w:eastAsia="en-AU"/>
        </w:rPr>
        <w:t xml:space="preserve"> </w:t>
      </w:r>
      <w:r w:rsidRPr="002029AF">
        <w:rPr>
          <w:lang w:eastAsia="en-AU"/>
        </w:rPr>
        <w:t>hospitals.</w:t>
      </w:r>
    </w:p>
    <w:p w14:paraId="4CB3FE7F" w14:textId="5466D450" w:rsidR="00CF72D5" w:rsidRPr="002029AF" w:rsidRDefault="00CF72D5" w:rsidP="00897193">
      <w:pPr>
        <w:pStyle w:val="ARtablefootnote"/>
        <w:rPr>
          <w:lang w:eastAsia="en-AU"/>
        </w:rPr>
      </w:pPr>
      <w:r w:rsidRPr="002029AF">
        <w:rPr>
          <w:lang w:eastAsia="en-AU"/>
        </w:rPr>
        <w:t>Public</w:t>
      </w:r>
      <w:r w:rsidR="000A5329" w:rsidRPr="002029AF">
        <w:rPr>
          <w:lang w:eastAsia="en-AU"/>
        </w:rPr>
        <w:t xml:space="preserve"> </w:t>
      </w:r>
      <w:r w:rsidRPr="002029AF">
        <w:rPr>
          <w:lang w:eastAsia="en-AU"/>
        </w:rPr>
        <w:t>health</w:t>
      </w:r>
      <w:r w:rsidR="000A5329" w:rsidRPr="002029AF">
        <w:rPr>
          <w:lang w:eastAsia="en-AU"/>
        </w:rPr>
        <w:t xml:space="preserve"> </w:t>
      </w:r>
      <w:r w:rsidRPr="002029AF">
        <w:rPr>
          <w:lang w:eastAsia="en-AU"/>
        </w:rPr>
        <w:t>services</w:t>
      </w:r>
      <w:r w:rsidR="000A5329" w:rsidRPr="002029AF">
        <w:rPr>
          <w:lang w:eastAsia="en-AU"/>
        </w:rPr>
        <w:t xml:space="preserve"> </w:t>
      </w:r>
      <w:r w:rsidRPr="002029AF">
        <w:rPr>
          <w:lang w:eastAsia="en-AU"/>
        </w:rPr>
        <w:t>energy</w:t>
      </w:r>
      <w:r w:rsidR="000A5329" w:rsidRPr="002029AF">
        <w:rPr>
          <w:lang w:eastAsia="en-AU"/>
        </w:rPr>
        <w:t xml:space="preserve"> </w:t>
      </w:r>
      <w:r w:rsidRPr="002029AF">
        <w:rPr>
          <w:lang w:eastAsia="en-AU"/>
        </w:rPr>
        <w:t>data</w:t>
      </w:r>
      <w:r w:rsidR="000A5329" w:rsidRPr="002029AF">
        <w:rPr>
          <w:lang w:eastAsia="en-AU"/>
        </w:rPr>
        <w:t xml:space="preserve"> </w:t>
      </w:r>
      <w:r w:rsidRPr="002029AF">
        <w:rPr>
          <w:lang w:eastAsia="en-AU"/>
        </w:rPr>
        <w:t>includes</w:t>
      </w:r>
      <w:r w:rsidR="000A5329" w:rsidRPr="002029AF">
        <w:rPr>
          <w:lang w:eastAsia="en-AU"/>
        </w:rPr>
        <w:t xml:space="preserve"> </w:t>
      </w:r>
      <w:r w:rsidRPr="002029AF">
        <w:rPr>
          <w:lang w:eastAsia="en-AU"/>
        </w:rPr>
        <w:t>a</w:t>
      </w:r>
      <w:r w:rsidR="000A5329" w:rsidRPr="002029AF">
        <w:rPr>
          <w:lang w:eastAsia="en-AU"/>
        </w:rPr>
        <w:t xml:space="preserve"> </w:t>
      </w:r>
      <w:r w:rsidRPr="002029AF">
        <w:rPr>
          <w:lang w:eastAsia="en-AU"/>
        </w:rPr>
        <w:t>3</w:t>
      </w:r>
      <w:r w:rsidR="000A5329" w:rsidRPr="002029AF">
        <w:rPr>
          <w:lang w:eastAsia="en-AU"/>
        </w:rPr>
        <w:t xml:space="preserve"> </w:t>
      </w:r>
      <w:r w:rsidRPr="002029AF">
        <w:rPr>
          <w:lang w:eastAsia="en-AU"/>
        </w:rPr>
        <w:t>per</w:t>
      </w:r>
      <w:r w:rsidR="000A5329" w:rsidRPr="002029AF">
        <w:rPr>
          <w:lang w:eastAsia="en-AU"/>
        </w:rPr>
        <w:t xml:space="preserve"> </w:t>
      </w:r>
      <w:r w:rsidRPr="002029AF">
        <w:rPr>
          <w:lang w:eastAsia="en-AU"/>
        </w:rPr>
        <w:t>cent</w:t>
      </w:r>
      <w:r w:rsidR="000A5329" w:rsidRPr="002029AF">
        <w:rPr>
          <w:lang w:eastAsia="en-AU"/>
        </w:rPr>
        <w:t xml:space="preserve"> </w:t>
      </w:r>
      <w:r w:rsidRPr="002029AF">
        <w:rPr>
          <w:lang w:eastAsia="en-AU"/>
        </w:rPr>
        <w:t>estimate</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201</w:t>
      </w:r>
      <w:r w:rsidR="00DB53E6" w:rsidRPr="002029AF">
        <w:rPr>
          <w:lang w:eastAsia="en-AU"/>
        </w:rPr>
        <w:t>9–</w:t>
      </w:r>
      <w:r w:rsidRPr="002029AF">
        <w:rPr>
          <w:lang w:eastAsia="en-AU"/>
        </w:rPr>
        <w:t>20</w:t>
      </w:r>
      <w:r w:rsidR="000A5329" w:rsidRPr="002029AF">
        <w:rPr>
          <w:lang w:eastAsia="en-AU"/>
        </w:rPr>
        <w:t xml:space="preserve"> </w:t>
      </w:r>
      <w:r w:rsidRPr="002029AF">
        <w:rPr>
          <w:lang w:eastAsia="en-AU"/>
        </w:rPr>
        <w:t>due</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some</w:t>
      </w:r>
      <w:r w:rsidR="000A5329" w:rsidRPr="002029AF">
        <w:rPr>
          <w:lang w:eastAsia="en-AU"/>
        </w:rPr>
        <w:t xml:space="preserve"> </w:t>
      </w:r>
      <w:r w:rsidRPr="002029AF">
        <w:rPr>
          <w:lang w:eastAsia="en-AU"/>
        </w:rPr>
        <w:t>data</w:t>
      </w:r>
      <w:r w:rsidR="000A5329" w:rsidRPr="002029AF">
        <w:rPr>
          <w:lang w:eastAsia="en-AU"/>
        </w:rPr>
        <w:t xml:space="preserve"> </w:t>
      </w:r>
      <w:r w:rsidRPr="002029AF">
        <w:rPr>
          <w:lang w:eastAsia="en-AU"/>
        </w:rPr>
        <w:t>being</w:t>
      </w:r>
      <w:r w:rsidR="000A5329" w:rsidRPr="002029AF">
        <w:rPr>
          <w:lang w:eastAsia="en-AU"/>
        </w:rPr>
        <w:t xml:space="preserve"> </w:t>
      </w:r>
      <w:r w:rsidRPr="002029AF">
        <w:rPr>
          <w:lang w:eastAsia="en-AU"/>
        </w:rPr>
        <w:t>unavailable</w:t>
      </w:r>
      <w:r w:rsidR="000A5329" w:rsidRPr="002029AF">
        <w:rPr>
          <w:lang w:eastAsia="en-AU"/>
        </w:rPr>
        <w:t xml:space="preserve"> </w:t>
      </w:r>
      <w:r w:rsidRPr="002029AF">
        <w:rPr>
          <w:lang w:eastAsia="en-AU"/>
        </w:rPr>
        <w:t>from</w:t>
      </w:r>
      <w:r w:rsidR="000A5329" w:rsidRPr="002029AF">
        <w:rPr>
          <w:lang w:eastAsia="en-AU"/>
        </w:rPr>
        <w:t xml:space="preserve"> </w:t>
      </w:r>
      <w:r w:rsidRPr="002029AF">
        <w:rPr>
          <w:lang w:eastAsia="en-AU"/>
        </w:rPr>
        <w:t>energy</w:t>
      </w:r>
      <w:r w:rsidR="000A5329" w:rsidRPr="002029AF">
        <w:rPr>
          <w:lang w:eastAsia="en-AU"/>
        </w:rPr>
        <w:t xml:space="preserve"> </w:t>
      </w:r>
      <w:r w:rsidRPr="002029AF">
        <w:rPr>
          <w:lang w:eastAsia="en-AU"/>
        </w:rPr>
        <w:t>retailers</w:t>
      </w:r>
      <w:r w:rsidR="000A5329" w:rsidRPr="002029AF">
        <w:rPr>
          <w:lang w:eastAsia="en-AU"/>
        </w:rPr>
        <w:t xml:space="preserve"> </w:t>
      </w:r>
      <w:r w:rsidRPr="002029AF">
        <w:rPr>
          <w:lang w:eastAsia="en-AU"/>
        </w:rPr>
        <w:t>at</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time</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reporting.</w:t>
      </w:r>
    </w:p>
    <w:p w14:paraId="50D9FE69" w14:textId="0152FDE6" w:rsidR="00CF72D5" w:rsidRPr="002029AF" w:rsidRDefault="00CF72D5" w:rsidP="00961519">
      <w:pPr>
        <w:pStyle w:val="Heading4"/>
        <w:spacing w:before="400" w:after="200"/>
        <w:rPr>
          <w:rFonts w:ascii="Arial Bold" w:hAnsi="Arial Bold" w:hint="eastAsia"/>
          <w:color w:val="87189D"/>
        </w:rPr>
      </w:pPr>
      <w:bookmarkStart w:id="186" w:name="_Toc51786525"/>
      <w:r w:rsidRPr="002029AF">
        <w:rPr>
          <w:rFonts w:ascii="Arial Bold" w:hAnsi="Arial Bold"/>
          <w:color w:val="87189D"/>
        </w:rPr>
        <w:t>Water</w:t>
      </w:r>
      <w:r w:rsidR="000A5329" w:rsidRPr="002029AF">
        <w:rPr>
          <w:rFonts w:ascii="Arial Bold" w:hAnsi="Arial Bold"/>
          <w:color w:val="87189D"/>
        </w:rPr>
        <w:t xml:space="preserve"> </w:t>
      </w:r>
      <w:r w:rsidRPr="002029AF">
        <w:rPr>
          <w:rFonts w:ascii="Arial Bold" w:hAnsi="Arial Bold"/>
          <w:color w:val="87189D"/>
        </w:rPr>
        <w:t>use</w:t>
      </w:r>
      <w:bookmarkEnd w:id="186"/>
    </w:p>
    <w:p w14:paraId="5601EE57" w14:textId="0F787214" w:rsidR="00CF72D5" w:rsidRPr="002029AF" w:rsidRDefault="00CF72D5" w:rsidP="00961519">
      <w:pPr>
        <w:pStyle w:val="Heading5"/>
        <w:spacing w:before="0" w:after="200"/>
        <w:rPr>
          <w:rFonts w:ascii="Arial Bold" w:hAnsi="Arial Bold"/>
          <w:color w:val="4B4B4B"/>
        </w:rPr>
      </w:pPr>
      <w:r w:rsidRPr="002029AF">
        <w:rPr>
          <w:rFonts w:ascii="Arial Bold" w:hAnsi="Arial Bold"/>
          <w:color w:val="4B4B4B"/>
        </w:rPr>
        <w:t>Office</w:t>
      </w:r>
      <w:r w:rsidR="000A5329" w:rsidRPr="002029AF">
        <w:rPr>
          <w:rFonts w:ascii="Arial Bold" w:hAnsi="Arial Bold"/>
          <w:color w:val="4B4B4B"/>
        </w:rPr>
        <w:t xml:space="preserve"> </w:t>
      </w:r>
      <w:r w:rsidRPr="002029AF">
        <w:rPr>
          <w:rFonts w:ascii="Arial Bold" w:hAnsi="Arial Bold"/>
          <w:color w:val="4B4B4B"/>
        </w:rPr>
        <w:t>based</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4758"/>
        <w:gridCol w:w="1627"/>
        <w:gridCol w:w="1627"/>
        <w:gridCol w:w="1627"/>
      </w:tblGrid>
      <w:tr w:rsidR="00CF72D5" w:rsidRPr="002029AF" w14:paraId="25C7B562" w14:textId="77777777" w:rsidTr="00A250C1">
        <w:trPr>
          <w:cantSplit/>
          <w:trHeight w:val="360"/>
          <w:tblHeader/>
        </w:trPr>
        <w:tc>
          <w:tcPr>
            <w:tcW w:w="5103" w:type="dxa"/>
          </w:tcPr>
          <w:p w14:paraId="23216489" w14:textId="77777777" w:rsidR="00CF72D5" w:rsidRPr="002029AF" w:rsidRDefault="00CF72D5" w:rsidP="006C7588">
            <w:pPr>
              <w:pStyle w:val="ARtablecolhead"/>
            </w:pPr>
            <w:r w:rsidRPr="002029AF">
              <w:t>Description</w:t>
            </w:r>
          </w:p>
        </w:tc>
        <w:tc>
          <w:tcPr>
            <w:tcW w:w="1701" w:type="dxa"/>
            <w:tcBorders>
              <w:top w:val="nil"/>
            </w:tcBorders>
            <w:vAlign w:val="center"/>
          </w:tcPr>
          <w:p w14:paraId="531AA8F2" w14:textId="67712F40" w:rsidR="00CF72D5" w:rsidRPr="002029AF" w:rsidRDefault="00CF72D5" w:rsidP="006C7588">
            <w:pPr>
              <w:pStyle w:val="ARtablecolheadright"/>
            </w:pPr>
            <w:r w:rsidRPr="002029AF">
              <w:t>2019–20</w:t>
            </w:r>
            <w:r w:rsidR="000A5329" w:rsidRPr="002029AF">
              <w:t xml:space="preserve"> </w:t>
            </w:r>
            <w:r w:rsidRPr="002029AF">
              <w:t>estimate</w:t>
            </w:r>
          </w:p>
        </w:tc>
        <w:tc>
          <w:tcPr>
            <w:tcW w:w="1701" w:type="dxa"/>
            <w:tcBorders>
              <w:top w:val="nil"/>
            </w:tcBorders>
            <w:vAlign w:val="center"/>
          </w:tcPr>
          <w:p w14:paraId="40D02933" w14:textId="20D8C928" w:rsidR="00CF72D5" w:rsidRPr="002029AF" w:rsidRDefault="00CF72D5" w:rsidP="006C7588">
            <w:pPr>
              <w:pStyle w:val="ARtablecolheadright"/>
            </w:pPr>
            <w:r w:rsidRPr="002029AF">
              <w:t>2018–19</w:t>
            </w:r>
            <w:r w:rsidR="000A5329" w:rsidRPr="002029AF">
              <w:t xml:space="preserve"> </w:t>
            </w:r>
            <w:r w:rsidRPr="002029AF">
              <w:t>estimate</w:t>
            </w:r>
          </w:p>
        </w:tc>
        <w:tc>
          <w:tcPr>
            <w:tcW w:w="1701" w:type="dxa"/>
            <w:vAlign w:val="center"/>
          </w:tcPr>
          <w:p w14:paraId="0CC968D7" w14:textId="0887AF3E" w:rsidR="00CF72D5" w:rsidRPr="002029AF" w:rsidRDefault="00CF72D5" w:rsidP="006C7588">
            <w:pPr>
              <w:pStyle w:val="ARtablecolheadright"/>
            </w:pPr>
            <w:r w:rsidRPr="002029AF">
              <w:t>2017–18</w:t>
            </w:r>
            <w:r w:rsidR="000A5329" w:rsidRPr="002029AF">
              <w:t xml:space="preserve"> </w:t>
            </w:r>
            <w:r w:rsidRPr="002029AF">
              <w:t>estimate</w:t>
            </w:r>
          </w:p>
        </w:tc>
      </w:tr>
      <w:tr w:rsidR="00CF72D5" w:rsidRPr="002029AF" w14:paraId="1B415198" w14:textId="77777777" w:rsidTr="00A250C1">
        <w:trPr>
          <w:cantSplit/>
          <w:trHeight w:val="276"/>
        </w:trPr>
        <w:tc>
          <w:tcPr>
            <w:tcW w:w="5103" w:type="dxa"/>
          </w:tcPr>
          <w:p w14:paraId="798629B2" w14:textId="334C0381" w:rsidR="00CF72D5" w:rsidRPr="002029AF" w:rsidRDefault="00CF72D5" w:rsidP="00897193">
            <w:pPr>
              <w:pStyle w:val="ARtabletext"/>
            </w:pPr>
            <w:r w:rsidRPr="002029AF">
              <w:t>Total</w:t>
            </w:r>
            <w:r w:rsidR="000A5329" w:rsidRPr="002029AF">
              <w:t xml:space="preserve"> </w:t>
            </w:r>
            <w:r w:rsidRPr="002029AF">
              <w:t>water</w:t>
            </w:r>
            <w:r w:rsidR="000A5329" w:rsidRPr="002029AF">
              <w:t xml:space="preserve"> </w:t>
            </w:r>
            <w:r w:rsidRPr="002029AF">
              <w:t>used</w:t>
            </w:r>
            <w:r w:rsidR="000A5329" w:rsidRPr="002029AF">
              <w:t xml:space="preserve"> </w:t>
            </w:r>
            <w:r w:rsidRPr="002029AF">
              <w:t>(kilolitres)</w:t>
            </w:r>
          </w:p>
        </w:tc>
        <w:tc>
          <w:tcPr>
            <w:tcW w:w="1701" w:type="dxa"/>
            <w:vAlign w:val="center"/>
          </w:tcPr>
          <w:p w14:paraId="2AFA7B3D" w14:textId="6897DAB9" w:rsidR="00CF72D5" w:rsidRPr="002029AF" w:rsidRDefault="00CF72D5" w:rsidP="00897193">
            <w:pPr>
              <w:pStyle w:val="ARtabletextright"/>
            </w:pPr>
            <w:r w:rsidRPr="002029AF">
              <w:t>57,304</w:t>
            </w:r>
          </w:p>
        </w:tc>
        <w:tc>
          <w:tcPr>
            <w:tcW w:w="1701" w:type="dxa"/>
            <w:vAlign w:val="center"/>
          </w:tcPr>
          <w:p w14:paraId="6656AA73" w14:textId="54576489" w:rsidR="00CF72D5" w:rsidRPr="002029AF" w:rsidRDefault="00CF72D5" w:rsidP="00897193">
            <w:pPr>
              <w:pStyle w:val="ARtabletextright"/>
            </w:pPr>
            <w:r w:rsidRPr="002029AF">
              <w:t>55,961</w:t>
            </w:r>
          </w:p>
        </w:tc>
        <w:tc>
          <w:tcPr>
            <w:tcW w:w="1701" w:type="dxa"/>
            <w:vAlign w:val="center"/>
          </w:tcPr>
          <w:p w14:paraId="25D5EF12" w14:textId="0200EE1A" w:rsidR="00CF72D5" w:rsidRPr="002029AF" w:rsidRDefault="00CF72D5" w:rsidP="00897193">
            <w:pPr>
              <w:pStyle w:val="ARtabletextright"/>
            </w:pPr>
            <w:r w:rsidRPr="002029AF">
              <w:t>58,405</w:t>
            </w:r>
          </w:p>
        </w:tc>
      </w:tr>
      <w:tr w:rsidR="00CF72D5" w:rsidRPr="002029AF" w14:paraId="065A6706" w14:textId="77777777" w:rsidTr="00A250C1">
        <w:trPr>
          <w:cantSplit/>
          <w:trHeight w:val="276"/>
        </w:trPr>
        <w:tc>
          <w:tcPr>
            <w:tcW w:w="5103" w:type="dxa"/>
          </w:tcPr>
          <w:p w14:paraId="33E3F5B5" w14:textId="07A9B647" w:rsidR="00CF72D5" w:rsidRPr="002029AF" w:rsidRDefault="00CF72D5" w:rsidP="00897193">
            <w:pPr>
              <w:pStyle w:val="ARtabletext"/>
            </w:pPr>
            <w:r w:rsidRPr="002029AF">
              <w:t>Total</w:t>
            </w:r>
            <w:r w:rsidR="000A5329" w:rsidRPr="002029AF">
              <w:t xml:space="preserve"> </w:t>
            </w:r>
            <w:r w:rsidRPr="002029AF">
              <w:t>water</w:t>
            </w:r>
            <w:r w:rsidR="000A5329" w:rsidRPr="002029AF">
              <w:t xml:space="preserve"> </w:t>
            </w:r>
            <w:r w:rsidRPr="002029AF">
              <w:t>usage</w:t>
            </w:r>
            <w:r w:rsidR="000A5329" w:rsidRPr="002029AF">
              <w:t xml:space="preserve"> </w:t>
            </w:r>
            <w:r w:rsidRPr="002029AF">
              <w:t>and</w:t>
            </w:r>
            <w:r w:rsidR="000A5329" w:rsidRPr="002029AF">
              <w:t xml:space="preserve"> </w:t>
            </w:r>
            <w:r w:rsidRPr="002029AF">
              <w:t>sewage</w:t>
            </w:r>
            <w:r w:rsidR="000A5329" w:rsidRPr="002029AF">
              <w:t xml:space="preserve"> </w:t>
            </w:r>
            <w:r w:rsidRPr="002029AF">
              <w:t>charge</w:t>
            </w:r>
            <w:r w:rsidR="000A5329" w:rsidRPr="002029AF">
              <w:t xml:space="preserve"> </w:t>
            </w:r>
            <w:r w:rsidRPr="002029AF">
              <w:t>($</w:t>
            </w:r>
            <w:r w:rsidR="000A5329" w:rsidRPr="002029AF">
              <w:t xml:space="preserve"> </w:t>
            </w:r>
            <w:r w:rsidRPr="002029AF">
              <w:t>million)</w:t>
            </w:r>
          </w:p>
        </w:tc>
        <w:tc>
          <w:tcPr>
            <w:tcW w:w="1701" w:type="dxa"/>
            <w:vAlign w:val="center"/>
          </w:tcPr>
          <w:p w14:paraId="4B55F127" w14:textId="77777777" w:rsidR="00CF72D5" w:rsidRPr="002029AF" w:rsidRDefault="00CF72D5" w:rsidP="00897193">
            <w:pPr>
              <w:pStyle w:val="ARtabletextright"/>
            </w:pPr>
            <w:r w:rsidRPr="002029AF">
              <w:t>$0.28</w:t>
            </w:r>
          </w:p>
        </w:tc>
        <w:tc>
          <w:tcPr>
            <w:tcW w:w="1701" w:type="dxa"/>
            <w:vAlign w:val="center"/>
          </w:tcPr>
          <w:p w14:paraId="3B113B30" w14:textId="77777777" w:rsidR="00CF72D5" w:rsidRPr="002029AF" w:rsidRDefault="00CF72D5" w:rsidP="00897193">
            <w:pPr>
              <w:pStyle w:val="ARtabletextright"/>
            </w:pPr>
            <w:r w:rsidRPr="002029AF">
              <w:t>$0.21</w:t>
            </w:r>
          </w:p>
        </w:tc>
        <w:tc>
          <w:tcPr>
            <w:tcW w:w="1701" w:type="dxa"/>
            <w:vAlign w:val="center"/>
          </w:tcPr>
          <w:p w14:paraId="1F1867FF" w14:textId="77777777" w:rsidR="00CF72D5" w:rsidRPr="002029AF" w:rsidRDefault="00CF72D5" w:rsidP="00897193">
            <w:pPr>
              <w:pStyle w:val="ARtabletextright"/>
            </w:pPr>
            <w:r w:rsidRPr="002029AF">
              <w:t>$0.14</w:t>
            </w:r>
          </w:p>
        </w:tc>
      </w:tr>
      <w:tr w:rsidR="00CF72D5" w:rsidRPr="002029AF" w14:paraId="63AC837D" w14:textId="77777777" w:rsidTr="00A250C1">
        <w:trPr>
          <w:cantSplit/>
          <w:trHeight w:val="276"/>
        </w:trPr>
        <w:tc>
          <w:tcPr>
            <w:tcW w:w="5103" w:type="dxa"/>
          </w:tcPr>
          <w:p w14:paraId="552F0C4C" w14:textId="1691C33C" w:rsidR="00CF72D5" w:rsidRPr="002029AF" w:rsidRDefault="00CF72D5" w:rsidP="00897193">
            <w:pPr>
              <w:pStyle w:val="ARtabletext"/>
            </w:pPr>
            <w:r w:rsidRPr="002029AF">
              <w:t>Total</w:t>
            </w:r>
            <w:r w:rsidR="000A5329" w:rsidRPr="002029AF">
              <w:t xml:space="preserve"> </w:t>
            </w:r>
            <w:r w:rsidRPr="002029AF">
              <w:t>water</w:t>
            </w:r>
            <w:r w:rsidR="000A5329" w:rsidRPr="002029AF">
              <w:t xml:space="preserve"> </w:t>
            </w:r>
            <w:r w:rsidRPr="002029AF">
              <w:t>used</w:t>
            </w:r>
            <w:r w:rsidR="000A5329" w:rsidRPr="002029AF">
              <w:t xml:space="preserve"> </w:t>
            </w:r>
            <w:r w:rsidRPr="002029AF">
              <w:t>per</w:t>
            </w:r>
            <w:r w:rsidR="000A5329" w:rsidRPr="002029AF">
              <w:t xml:space="preserve"> </w:t>
            </w:r>
            <w:r w:rsidRPr="002029AF">
              <w:t>FTE</w:t>
            </w:r>
            <w:r w:rsidR="000A5329" w:rsidRPr="002029AF">
              <w:t xml:space="preserve"> </w:t>
            </w:r>
            <w:r w:rsidRPr="002029AF">
              <w:t>(litres/FTE)</w:t>
            </w:r>
          </w:p>
        </w:tc>
        <w:tc>
          <w:tcPr>
            <w:tcW w:w="1701" w:type="dxa"/>
            <w:vAlign w:val="center"/>
          </w:tcPr>
          <w:p w14:paraId="08F7A584" w14:textId="53CF8818" w:rsidR="00CF72D5" w:rsidRPr="002029AF" w:rsidRDefault="00CF72D5" w:rsidP="00897193">
            <w:pPr>
              <w:pStyle w:val="ARtabletextright"/>
            </w:pPr>
            <w:r w:rsidRPr="002029AF">
              <w:t>7,566</w:t>
            </w:r>
          </w:p>
        </w:tc>
        <w:tc>
          <w:tcPr>
            <w:tcW w:w="1701" w:type="dxa"/>
            <w:vAlign w:val="center"/>
          </w:tcPr>
          <w:p w14:paraId="1F956DA1" w14:textId="77777777" w:rsidR="00CF72D5" w:rsidRPr="002029AF" w:rsidRDefault="00CF72D5" w:rsidP="00897193">
            <w:pPr>
              <w:pStyle w:val="ARtabletextright"/>
            </w:pPr>
            <w:r w:rsidRPr="002029AF">
              <w:t>6,959</w:t>
            </w:r>
          </w:p>
        </w:tc>
        <w:tc>
          <w:tcPr>
            <w:tcW w:w="1701" w:type="dxa"/>
            <w:vAlign w:val="center"/>
          </w:tcPr>
          <w:p w14:paraId="429B8790" w14:textId="77777777" w:rsidR="00CF72D5" w:rsidRPr="002029AF" w:rsidRDefault="00CF72D5" w:rsidP="00897193">
            <w:pPr>
              <w:pStyle w:val="ARtabletextright"/>
            </w:pPr>
            <w:r w:rsidRPr="002029AF">
              <w:t>7,064</w:t>
            </w:r>
          </w:p>
        </w:tc>
      </w:tr>
      <w:tr w:rsidR="00CF72D5" w:rsidRPr="002029AF" w14:paraId="01E93D3E" w14:textId="77777777" w:rsidTr="00A250C1">
        <w:trPr>
          <w:cantSplit/>
          <w:trHeight w:val="276"/>
        </w:trPr>
        <w:tc>
          <w:tcPr>
            <w:tcW w:w="5103" w:type="dxa"/>
          </w:tcPr>
          <w:p w14:paraId="6C3D4CFE" w14:textId="4EB2A401" w:rsidR="00CF72D5" w:rsidRPr="002029AF" w:rsidRDefault="00CF72D5" w:rsidP="00897193">
            <w:pPr>
              <w:pStyle w:val="ARtabletext"/>
            </w:pPr>
            <w:r w:rsidRPr="002029AF">
              <w:t>Water</w:t>
            </w:r>
            <w:r w:rsidR="000A5329" w:rsidRPr="002029AF">
              <w:t xml:space="preserve"> </w:t>
            </w:r>
            <w:r w:rsidRPr="002029AF">
              <w:t>used</w:t>
            </w:r>
            <w:r w:rsidR="000A5329" w:rsidRPr="002029AF">
              <w:t xml:space="preserve"> </w:t>
            </w:r>
            <w:r w:rsidRPr="002029AF">
              <w:t>per</w:t>
            </w:r>
            <w:r w:rsidR="000A5329" w:rsidRPr="002029AF">
              <w:t xml:space="preserve"> </w:t>
            </w:r>
            <w:r w:rsidRPr="002029AF">
              <w:t>unit</w:t>
            </w:r>
            <w:r w:rsidR="000A5329" w:rsidRPr="002029AF">
              <w:t xml:space="preserve"> </w:t>
            </w:r>
            <w:r w:rsidRPr="002029AF">
              <w:t>of</w:t>
            </w:r>
            <w:r w:rsidR="000A5329" w:rsidRPr="002029AF">
              <w:t xml:space="preserve"> </w:t>
            </w:r>
            <w:r w:rsidRPr="002029AF">
              <w:t>office</w:t>
            </w:r>
            <w:r w:rsidR="000A5329" w:rsidRPr="002029AF">
              <w:t xml:space="preserve"> </w:t>
            </w:r>
            <w:r w:rsidRPr="002029AF">
              <w:t>space</w:t>
            </w:r>
            <w:r w:rsidR="000A5329" w:rsidRPr="002029AF">
              <w:t xml:space="preserve"> </w:t>
            </w:r>
            <w:r w:rsidRPr="002029AF">
              <w:t>(litres/m</w:t>
            </w:r>
            <w:r w:rsidRPr="002029AF">
              <w:rPr>
                <w:vertAlign w:val="superscript"/>
              </w:rPr>
              <w:t>2</w:t>
            </w:r>
            <w:r w:rsidRPr="002029AF">
              <w:t>)</w:t>
            </w:r>
          </w:p>
        </w:tc>
        <w:tc>
          <w:tcPr>
            <w:tcW w:w="1701" w:type="dxa"/>
            <w:vAlign w:val="center"/>
          </w:tcPr>
          <w:p w14:paraId="06BF8C69" w14:textId="77777777" w:rsidR="00CF72D5" w:rsidRPr="002029AF" w:rsidRDefault="00CF72D5" w:rsidP="00897193">
            <w:pPr>
              <w:pStyle w:val="ARtabletextright"/>
            </w:pPr>
            <w:r w:rsidRPr="002029AF">
              <w:t>461.2</w:t>
            </w:r>
          </w:p>
        </w:tc>
        <w:tc>
          <w:tcPr>
            <w:tcW w:w="1701" w:type="dxa"/>
            <w:vAlign w:val="center"/>
          </w:tcPr>
          <w:p w14:paraId="7D7A4D6A" w14:textId="77777777" w:rsidR="00CF72D5" w:rsidRPr="002029AF" w:rsidRDefault="00CF72D5" w:rsidP="00897193">
            <w:pPr>
              <w:pStyle w:val="ARtabletextright"/>
            </w:pPr>
            <w:r w:rsidRPr="002029AF">
              <w:t>478</w:t>
            </w:r>
          </w:p>
        </w:tc>
        <w:tc>
          <w:tcPr>
            <w:tcW w:w="1701" w:type="dxa"/>
            <w:vAlign w:val="center"/>
          </w:tcPr>
          <w:p w14:paraId="57F8E154" w14:textId="77777777" w:rsidR="00CF72D5" w:rsidRPr="002029AF" w:rsidRDefault="00CF72D5" w:rsidP="00897193">
            <w:pPr>
              <w:pStyle w:val="ARtabletextright"/>
            </w:pPr>
            <w:r w:rsidRPr="002029AF">
              <w:t>484</w:t>
            </w:r>
          </w:p>
        </w:tc>
      </w:tr>
    </w:tbl>
    <w:p w14:paraId="6BDF3250" w14:textId="58A59BA5" w:rsidR="00CF72D5" w:rsidRPr="002029AF" w:rsidRDefault="00CF72D5" w:rsidP="00897193">
      <w:pPr>
        <w:pStyle w:val="ARtablefootnote"/>
        <w:rPr>
          <w:lang w:eastAsia="en-AU"/>
        </w:rPr>
      </w:pPr>
      <w:r w:rsidRPr="002029AF">
        <w:rPr>
          <w:lang w:eastAsia="en-AU"/>
        </w:rPr>
        <w:t>Office-based</w:t>
      </w:r>
      <w:r w:rsidR="000A5329" w:rsidRPr="002029AF">
        <w:rPr>
          <w:lang w:eastAsia="en-AU"/>
        </w:rPr>
        <w:t xml:space="preserve"> </w:t>
      </w:r>
      <w:r w:rsidRPr="002029AF">
        <w:rPr>
          <w:lang w:eastAsia="en-AU"/>
        </w:rPr>
        <w:t>water</w:t>
      </w:r>
      <w:r w:rsidR="000A5329" w:rsidRPr="002029AF">
        <w:rPr>
          <w:lang w:eastAsia="en-AU"/>
        </w:rPr>
        <w:t xml:space="preserve"> </w:t>
      </w:r>
      <w:r w:rsidRPr="002029AF">
        <w:rPr>
          <w:lang w:eastAsia="en-AU"/>
        </w:rPr>
        <w:t>data</w:t>
      </w:r>
      <w:r w:rsidR="000A5329" w:rsidRPr="002029AF">
        <w:rPr>
          <w:lang w:eastAsia="en-AU"/>
        </w:rPr>
        <w:t xml:space="preserve"> </w:t>
      </w:r>
      <w:r w:rsidRPr="002029AF">
        <w:rPr>
          <w:lang w:eastAsia="en-AU"/>
        </w:rPr>
        <w:t>represents</w:t>
      </w:r>
      <w:r w:rsidR="000A5329" w:rsidRPr="002029AF">
        <w:rPr>
          <w:lang w:eastAsia="en-AU"/>
        </w:rPr>
        <w:t xml:space="preserve"> </w:t>
      </w:r>
      <w:r w:rsidRPr="002029AF">
        <w:rPr>
          <w:lang w:eastAsia="en-AU"/>
        </w:rPr>
        <w:t>91</w:t>
      </w:r>
      <w:r w:rsidR="000A5329" w:rsidRPr="002029AF">
        <w:rPr>
          <w:lang w:eastAsia="en-AU"/>
        </w:rPr>
        <w:t xml:space="preserve"> </w:t>
      </w:r>
      <w:r w:rsidRPr="002029AF">
        <w:rPr>
          <w:lang w:eastAsia="en-AU"/>
        </w:rPr>
        <w:t>per</w:t>
      </w:r>
      <w:r w:rsidR="000A5329" w:rsidRPr="002029AF">
        <w:rPr>
          <w:lang w:eastAsia="en-AU"/>
        </w:rPr>
        <w:t xml:space="preserve"> </w:t>
      </w:r>
      <w:r w:rsidRPr="002029AF">
        <w:rPr>
          <w:lang w:eastAsia="en-AU"/>
        </w:rPr>
        <w:t>cent</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office-based</w:t>
      </w:r>
      <w:r w:rsidR="000A5329" w:rsidRPr="002029AF">
        <w:rPr>
          <w:lang w:eastAsia="en-AU"/>
        </w:rPr>
        <w:t xml:space="preserve"> </w:t>
      </w:r>
      <w:r w:rsidRPr="002029AF">
        <w:rPr>
          <w:lang w:eastAsia="en-AU"/>
        </w:rPr>
        <w:t>FTE</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79</w:t>
      </w:r>
      <w:r w:rsidR="000A5329" w:rsidRPr="002029AF">
        <w:rPr>
          <w:lang w:eastAsia="en-AU"/>
        </w:rPr>
        <w:t xml:space="preserve"> </w:t>
      </w:r>
      <w:r w:rsidRPr="002029AF">
        <w:rPr>
          <w:lang w:eastAsia="en-AU"/>
        </w:rPr>
        <w:t>per</w:t>
      </w:r>
      <w:r w:rsidR="000A5329" w:rsidRPr="002029AF">
        <w:rPr>
          <w:lang w:eastAsia="en-AU"/>
        </w:rPr>
        <w:t xml:space="preserve"> </w:t>
      </w:r>
      <w:r w:rsidRPr="002029AF">
        <w:rPr>
          <w:lang w:eastAsia="en-AU"/>
        </w:rPr>
        <w:t>cent</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office-based</w:t>
      </w:r>
      <w:r w:rsidR="000A5329" w:rsidRPr="002029AF">
        <w:rPr>
          <w:lang w:eastAsia="en-AU"/>
        </w:rPr>
        <w:t xml:space="preserve"> </w:t>
      </w:r>
      <w:r w:rsidRPr="002029AF">
        <w:rPr>
          <w:lang w:eastAsia="en-AU"/>
        </w:rPr>
        <w:t>area.</w:t>
      </w:r>
    </w:p>
    <w:p w14:paraId="6C9A0925" w14:textId="1C25A962" w:rsidR="00CF72D5" w:rsidRPr="002029AF" w:rsidRDefault="00CF72D5" w:rsidP="00897193">
      <w:pPr>
        <w:pStyle w:val="ARtablefootnote"/>
      </w:pPr>
      <w:r w:rsidRPr="002029AF">
        <w:t>Office-based</w:t>
      </w:r>
      <w:r w:rsidR="000A5329" w:rsidRPr="002029AF">
        <w:t xml:space="preserve"> </w:t>
      </w:r>
      <w:r w:rsidRPr="002029AF">
        <w:t>water</w:t>
      </w:r>
      <w:r w:rsidR="000A5329" w:rsidRPr="002029AF">
        <w:t xml:space="preserve"> </w:t>
      </w:r>
      <w:r w:rsidRPr="002029AF">
        <w:t>data</w:t>
      </w:r>
      <w:r w:rsidR="000A5329" w:rsidRPr="002029AF">
        <w:t xml:space="preserve"> </w:t>
      </w:r>
      <w:r w:rsidRPr="002029AF">
        <w:t>includes</w:t>
      </w:r>
      <w:r w:rsidR="000A5329" w:rsidRPr="002029AF">
        <w:t xml:space="preserve"> </w:t>
      </w:r>
      <w:r w:rsidRPr="002029AF">
        <w:t>a</w:t>
      </w:r>
      <w:r w:rsidR="000A5329" w:rsidRPr="002029AF">
        <w:t xml:space="preserve"> </w:t>
      </w:r>
      <w:r w:rsidRPr="002029AF">
        <w:t>36</w:t>
      </w:r>
      <w:r w:rsidR="000A5329" w:rsidRPr="002029AF">
        <w:t xml:space="preserve"> </w:t>
      </w:r>
      <w:r w:rsidRPr="002029AF">
        <w:t>per</w:t>
      </w:r>
      <w:r w:rsidR="000A5329" w:rsidRPr="002029AF">
        <w:t xml:space="preserve"> </w:t>
      </w:r>
      <w:r w:rsidRPr="002029AF">
        <w:t>cent</w:t>
      </w:r>
      <w:r w:rsidR="000A5329" w:rsidRPr="002029AF">
        <w:t xml:space="preserve"> </w:t>
      </w:r>
      <w:r w:rsidRPr="002029AF">
        <w:t>estimate</w:t>
      </w:r>
      <w:r w:rsidR="000A5329" w:rsidRPr="002029AF">
        <w:t xml:space="preserve"> </w:t>
      </w:r>
      <w:r w:rsidRPr="002029AF">
        <w:t>in</w:t>
      </w:r>
      <w:r w:rsidR="000A5329" w:rsidRPr="002029AF">
        <w:t xml:space="preserve"> </w:t>
      </w:r>
      <w:r w:rsidRPr="002029AF">
        <w:t>201</w:t>
      </w:r>
      <w:r w:rsidR="00DB53E6" w:rsidRPr="002029AF">
        <w:t>9–</w:t>
      </w:r>
      <w:r w:rsidRPr="002029AF">
        <w:t>20</w:t>
      </w:r>
      <w:r w:rsidR="000A5329" w:rsidRPr="002029AF">
        <w:t xml:space="preserve"> </w:t>
      </w:r>
      <w:r w:rsidRPr="002029AF">
        <w:t>due</w:t>
      </w:r>
      <w:r w:rsidR="000A5329" w:rsidRPr="002029AF">
        <w:t xml:space="preserve"> </w:t>
      </w:r>
      <w:r w:rsidRPr="002029AF">
        <w:t>to</w:t>
      </w:r>
      <w:r w:rsidR="000A5329" w:rsidRPr="002029AF">
        <w:t xml:space="preserve"> </w:t>
      </w:r>
      <w:r w:rsidRPr="002029AF">
        <w:t>some</w:t>
      </w:r>
      <w:r w:rsidR="000A5329" w:rsidRPr="002029AF">
        <w:t xml:space="preserve"> </w:t>
      </w:r>
      <w:r w:rsidRPr="002029AF">
        <w:t>data</w:t>
      </w:r>
      <w:r w:rsidR="000A5329" w:rsidRPr="002029AF">
        <w:t xml:space="preserve"> </w:t>
      </w:r>
      <w:r w:rsidRPr="002029AF">
        <w:t>being</w:t>
      </w:r>
      <w:r w:rsidR="000A5329" w:rsidRPr="002029AF">
        <w:t xml:space="preserve"> </w:t>
      </w:r>
      <w:r w:rsidRPr="002029AF">
        <w:t>unavailable</w:t>
      </w:r>
      <w:r w:rsidR="000A5329" w:rsidRPr="002029AF">
        <w:t xml:space="preserve"> </w:t>
      </w:r>
      <w:r w:rsidRPr="002029AF">
        <w:t>from</w:t>
      </w:r>
      <w:r w:rsidR="000A5329" w:rsidRPr="002029AF">
        <w:t xml:space="preserve"> </w:t>
      </w:r>
      <w:r w:rsidRPr="002029AF">
        <w:t>water</w:t>
      </w:r>
      <w:r w:rsidR="000A5329" w:rsidRPr="002029AF">
        <w:t xml:space="preserve"> </w:t>
      </w:r>
      <w:r w:rsidRPr="002029AF">
        <w:t>authorities</w:t>
      </w:r>
      <w:r w:rsidR="000A5329" w:rsidRPr="002029AF">
        <w:t xml:space="preserve"> </w:t>
      </w:r>
      <w:r w:rsidRPr="002029AF">
        <w:t>at</w:t>
      </w:r>
      <w:r w:rsidR="000A5329" w:rsidRPr="002029AF">
        <w:t xml:space="preserve"> </w:t>
      </w:r>
      <w:r w:rsidRPr="002029AF">
        <w:t>the</w:t>
      </w:r>
      <w:r w:rsidR="000A5329" w:rsidRPr="002029AF">
        <w:t xml:space="preserve"> </w:t>
      </w:r>
      <w:r w:rsidRPr="002029AF">
        <w:t>time</w:t>
      </w:r>
      <w:r w:rsidR="000A5329" w:rsidRPr="002029AF">
        <w:t xml:space="preserve"> </w:t>
      </w:r>
      <w:r w:rsidRPr="002029AF">
        <w:t>of</w:t>
      </w:r>
      <w:r w:rsidR="000A5329" w:rsidRPr="002029AF">
        <w:t xml:space="preserve"> </w:t>
      </w:r>
      <w:r w:rsidRPr="002029AF">
        <w:t>reporting.</w:t>
      </w:r>
    </w:p>
    <w:p w14:paraId="6C5DB85D" w14:textId="02CF1BA8" w:rsidR="00CF72D5" w:rsidRPr="002029AF" w:rsidRDefault="00CF72D5" w:rsidP="00961519">
      <w:pPr>
        <w:pStyle w:val="Heading5"/>
        <w:spacing w:before="400" w:after="200"/>
        <w:rPr>
          <w:rFonts w:ascii="Arial Bold" w:hAnsi="Arial Bold"/>
          <w:color w:val="4B4B4B"/>
        </w:rPr>
      </w:pPr>
      <w:r w:rsidRPr="002029AF">
        <w:rPr>
          <w:rFonts w:ascii="Arial Bold" w:hAnsi="Arial Bold"/>
          <w:color w:val="4B4B4B"/>
        </w:rPr>
        <w:lastRenderedPageBreak/>
        <w:t>Housing</w:t>
      </w:r>
      <w:r w:rsidR="000A5329" w:rsidRPr="002029AF">
        <w:rPr>
          <w:rFonts w:ascii="Arial Bold" w:hAnsi="Arial Bold"/>
          <w:color w:val="4B4B4B"/>
        </w:rPr>
        <w:t xml:space="preserve"> </w:t>
      </w:r>
      <w:r w:rsidRPr="002029AF">
        <w:rPr>
          <w:rFonts w:ascii="Arial Bold" w:hAnsi="Arial Bold"/>
          <w:color w:val="4B4B4B"/>
        </w:rPr>
        <w:t>services</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Layout w:type="fixed"/>
        <w:tblCellMar>
          <w:left w:w="0" w:type="dxa"/>
        </w:tblCellMar>
        <w:tblLook w:val="00A0" w:firstRow="1" w:lastRow="0" w:firstColumn="1" w:lastColumn="0" w:noHBand="0" w:noVBand="0"/>
      </w:tblPr>
      <w:tblGrid>
        <w:gridCol w:w="1796"/>
        <w:gridCol w:w="948"/>
        <w:gridCol w:w="1307"/>
        <w:gridCol w:w="1307"/>
        <w:gridCol w:w="1307"/>
        <w:gridCol w:w="1669"/>
        <w:gridCol w:w="1305"/>
      </w:tblGrid>
      <w:tr w:rsidR="00CF72D5" w:rsidRPr="002029AF" w14:paraId="3523ACF5" w14:textId="77777777" w:rsidTr="00C81A0B">
        <w:trPr>
          <w:cantSplit/>
          <w:trHeight w:val="230"/>
          <w:tblHeader/>
        </w:trPr>
        <w:tc>
          <w:tcPr>
            <w:tcW w:w="931" w:type="pct"/>
            <w:vAlign w:val="bottom"/>
          </w:tcPr>
          <w:p w14:paraId="6276C597" w14:textId="77777777" w:rsidR="00CF72D5" w:rsidRPr="002029AF" w:rsidRDefault="00CF72D5" w:rsidP="00897193">
            <w:pPr>
              <w:pStyle w:val="ARtablecolhead"/>
            </w:pPr>
            <w:r w:rsidRPr="002029AF">
              <w:t>Description</w:t>
            </w:r>
          </w:p>
        </w:tc>
        <w:tc>
          <w:tcPr>
            <w:tcW w:w="492" w:type="pct"/>
            <w:vAlign w:val="center"/>
          </w:tcPr>
          <w:p w14:paraId="01870ACD" w14:textId="59180F9B" w:rsidR="00CF72D5" w:rsidRPr="002029AF" w:rsidRDefault="00CF72D5" w:rsidP="00897193">
            <w:pPr>
              <w:pStyle w:val="ARtablecolheadright"/>
            </w:pPr>
            <w:r w:rsidRPr="002029AF">
              <w:t>2019–20</w:t>
            </w:r>
            <w:r w:rsidR="000A5329" w:rsidRPr="002029AF">
              <w:t xml:space="preserve"> </w:t>
            </w:r>
            <w:r w:rsidRPr="002029AF">
              <w:br/>
              <w:t>estimate</w:t>
            </w:r>
          </w:p>
        </w:tc>
        <w:tc>
          <w:tcPr>
            <w:tcW w:w="678" w:type="pct"/>
            <w:vAlign w:val="center"/>
          </w:tcPr>
          <w:p w14:paraId="34B5FEE4" w14:textId="3A6A2AFC" w:rsidR="00CF72D5" w:rsidRPr="002029AF" w:rsidRDefault="00CF72D5" w:rsidP="00897193">
            <w:pPr>
              <w:pStyle w:val="ARtablecolheadright"/>
            </w:pPr>
            <w:r w:rsidRPr="002029AF">
              <w:t>2019–20</w:t>
            </w:r>
            <w:r w:rsidR="000A5329" w:rsidRPr="002029AF">
              <w:t xml:space="preserve"> </w:t>
            </w:r>
            <w:r w:rsidRPr="002029AF">
              <w:br/>
              <w:t>estimate</w:t>
            </w:r>
          </w:p>
        </w:tc>
        <w:tc>
          <w:tcPr>
            <w:tcW w:w="678" w:type="pct"/>
            <w:vAlign w:val="center"/>
          </w:tcPr>
          <w:p w14:paraId="45002EF2" w14:textId="14AB04D2" w:rsidR="00CF72D5" w:rsidRPr="002029AF" w:rsidRDefault="00CF72D5" w:rsidP="00897193">
            <w:pPr>
              <w:pStyle w:val="ARtablecolheadright"/>
            </w:pPr>
            <w:r w:rsidRPr="002029AF">
              <w:t>2018–19</w:t>
            </w:r>
            <w:r w:rsidR="000A5329" w:rsidRPr="002029AF">
              <w:t xml:space="preserve"> </w:t>
            </w:r>
            <w:r w:rsidRPr="002029AF">
              <w:br/>
              <w:t>estimate</w:t>
            </w:r>
          </w:p>
        </w:tc>
        <w:tc>
          <w:tcPr>
            <w:tcW w:w="678" w:type="pct"/>
            <w:vAlign w:val="center"/>
          </w:tcPr>
          <w:p w14:paraId="3315CF25" w14:textId="01B509AA" w:rsidR="00CF72D5" w:rsidRPr="002029AF" w:rsidRDefault="00CF72D5" w:rsidP="00897193">
            <w:pPr>
              <w:pStyle w:val="ARtablecolheadright"/>
            </w:pPr>
            <w:r w:rsidRPr="002029AF">
              <w:t>2018–19</w:t>
            </w:r>
            <w:r w:rsidR="000A5329" w:rsidRPr="002029AF">
              <w:t xml:space="preserve"> </w:t>
            </w:r>
            <w:r w:rsidRPr="002029AF">
              <w:br/>
              <w:t>estimate</w:t>
            </w:r>
          </w:p>
        </w:tc>
        <w:tc>
          <w:tcPr>
            <w:tcW w:w="866" w:type="pct"/>
            <w:vAlign w:val="center"/>
          </w:tcPr>
          <w:p w14:paraId="66B89CB3" w14:textId="55911A52" w:rsidR="00CF72D5" w:rsidRPr="002029AF" w:rsidRDefault="00CF72D5" w:rsidP="00897193">
            <w:pPr>
              <w:pStyle w:val="ARtablecolheadright"/>
            </w:pPr>
            <w:r w:rsidRPr="002029AF">
              <w:t>2017–18</w:t>
            </w:r>
            <w:r w:rsidR="000A5329" w:rsidRPr="002029AF">
              <w:t xml:space="preserve"> </w:t>
            </w:r>
            <w:r w:rsidRPr="002029AF">
              <w:br/>
              <w:t>estimate</w:t>
            </w:r>
          </w:p>
        </w:tc>
        <w:tc>
          <w:tcPr>
            <w:tcW w:w="678" w:type="pct"/>
            <w:vAlign w:val="center"/>
          </w:tcPr>
          <w:p w14:paraId="53606C32" w14:textId="62DD3B91" w:rsidR="00CF72D5" w:rsidRPr="002029AF" w:rsidRDefault="00CF72D5" w:rsidP="00897193">
            <w:pPr>
              <w:pStyle w:val="ARtablecolheadright"/>
            </w:pPr>
            <w:r w:rsidRPr="002029AF">
              <w:t>2017–18</w:t>
            </w:r>
            <w:r w:rsidR="000A5329" w:rsidRPr="002029AF">
              <w:t xml:space="preserve"> </w:t>
            </w:r>
            <w:r w:rsidRPr="002029AF">
              <w:br/>
              <w:t>estimate</w:t>
            </w:r>
          </w:p>
        </w:tc>
      </w:tr>
      <w:tr w:rsidR="00CF72D5" w:rsidRPr="002029AF" w14:paraId="3343414C" w14:textId="77777777" w:rsidTr="00C81A0B">
        <w:trPr>
          <w:cantSplit/>
          <w:trHeight w:val="335"/>
          <w:tblHeader/>
        </w:trPr>
        <w:tc>
          <w:tcPr>
            <w:tcW w:w="931" w:type="pct"/>
            <w:vAlign w:val="bottom"/>
          </w:tcPr>
          <w:p w14:paraId="34AEF0F8" w14:textId="6967769B" w:rsidR="00CF72D5" w:rsidRPr="002029AF" w:rsidRDefault="00CF72D5" w:rsidP="00897193">
            <w:pPr>
              <w:pStyle w:val="ARtablecolhead"/>
            </w:pPr>
            <w:r w:rsidRPr="002029AF">
              <w:t>Total</w:t>
            </w:r>
            <w:r w:rsidR="000A5329" w:rsidRPr="002029AF">
              <w:t xml:space="preserve"> </w:t>
            </w:r>
            <w:r w:rsidRPr="002029AF">
              <w:t>water</w:t>
            </w:r>
            <w:r w:rsidR="000A5329" w:rsidRPr="002029AF">
              <w:t xml:space="preserve"> </w:t>
            </w:r>
            <w:r w:rsidRPr="002029AF">
              <w:t>usage</w:t>
            </w:r>
            <w:r w:rsidR="000A5329" w:rsidRPr="002029AF">
              <w:t xml:space="preserve"> </w:t>
            </w:r>
            <w:r w:rsidRPr="002029AF">
              <w:t>and</w:t>
            </w:r>
            <w:r w:rsidR="000A5329" w:rsidRPr="002029AF">
              <w:t xml:space="preserve"> </w:t>
            </w:r>
            <w:r w:rsidRPr="002029AF">
              <w:t>charges</w:t>
            </w:r>
            <w:r w:rsidR="000A5329" w:rsidRPr="002029AF">
              <w:t xml:space="preserve"> </w:t>
            </w:r>
            <w:r w:rsidRPr="002029AF">
              <w:t>segmented</w:t>
            </w:r>
            <w:r w:rsidR="000A5329" w:rsidRPr="002029AF">
              <w:t xml:space="preserve"> </w:t>
            </w:r>
            <w:r w:rsidRPr="002029AF">
              <w:t>by</w:t>
            </w:r>
            <w:r w:rsidR="000A5329" w:rsidRPr="002029AF">
              <w:t xml:space="preserve"> </w:t>
            </w:r>
            <w:r w:rsidRPr="002029AF">
              <w:t>source</w:t>
            </w:r>
          </w:p>
        </w:tc>
        <w:tc>
          <w:tcPr>
            <w:tcW w:w="492" w:type="pct"/>
            <w:vAlign w:val="bottom"/>
          </w:tcPr>
          <w:p w14:paraId="365F3C40" w14:textId="77777777" w:rsidR="00CF72D5" w:rsidRPr="002029AF" w:rsidRDefault="00CF72D5" w:rsidP="00897193">
            <w:pPr>
              <w:pStyle w:val="ARtablecolheadright"/>
            </w:pPr>
            <w:r w:rsidRPr="002029AF">
              <w:t>Kilolitres</w:t>
            </w:r>
          </w:p>
        </w:tc>
        <w:tc>
          <w:tcPr>
            <w:tcW w:w="678" w:type="pct"/>
            <w:vAlign w:val="bottom"/>
          </w:tcPr>
          <w:p w14:paraId="7E973B23" w14:textId="77777777" w:rsidR="00CF72D5" w:rsidRPr="002029AF" w:rsidRDefault="00CF72D5" w:rsidP="00897193">
            <w:pPr>
              <w:pStyle w:val="ARtablecolheadright"/>
            </w:pPr>
            <w:r w:rsidRPr="002029AF">
              <w:t>Cost</w:t>
            </w:r>
          </w:p>
          <w:p w14:paraId="0AC4B065" w14:textId="77777777" w:rsidR="00CF72D5" w:rsidRPr="002029AF" w:rsidRDefault="00CF72D5" w:rsidP="00897193">
            <w:pPr>
              <w:pStyle w:val="ARtablecolheadright"/>
            </w:pPr>
            <w:r w:rsidRPr="002029AF">
              <w:t>($M)</w:t>
            </w:r>
          </w:p>
        </w:tc>
        <w:tc>
          <w:tcPr>
            <w:tcW w:w="678" w:type="pct"/>
            <w:vAlign w:val="bottom"/>
          </w:tcPr>
          <w:p w14:paraId="36AFBDC7" w14:textId="77777777" w:rsidR="00CF72D5" w:rsidRPr="002029AF" w:rsidRDefault="00CF72D5" w:rsidP="00897193">
            <w:pPr>
              <w:pStyle w:val="ARtablecolheadright"/>
            </w:pPr>
            <w:r w:rsidRPr="002029AF">
              <w:t>Kilolitres</w:t>
            </w:r>
          </w:p>
        </w:tc>
        <w:tc>
          <w:tcPr>
            <w:tcW w:w="678" w:type="pct"/>
            <w:vAlign w:val="bottom"/>
          </w:tcPr>
          <w:p w14:paraId="0F103FC8" w14:textId="77777777" w:rsidR="00CF72D5" w:rsidRPr="002029AF" w:rsidRDefault="00CF72D5" w:rsidP="00897193">
            <w:pPr>
              <w:pStyle w:val="ARtablecolheadright"/>
            </w:pPr>
            <w:r w:rsidRPr="002029AF">
              <w:t>Cost</w:t>
            </w:r>
          </w:p>
          <w:p w14:paraId="7D6B8FE1" w14:textId="77777777" w:rsidR="00CF72D5" w:rsidRPr="002029AF" w:rsidRDefault="00CF72D5" w:rsidP="00897193">
            <w:pPr>
              <w:pStyle w:val="ARtablecolheadright"/>
            </w:pPr>
            <w:r w:rsidRPr="002029AF">
              <w:t>($M)</w:t>
            </w:r>
          </w:p>
        </w:tc>
        <w:tc>
          <w:tcPr>
            <w:tcW w:w="866" w:type="pct"/>
            <w:vAlign w:val="bottom"/>
          </w:tcPr>
          <w:p w14:paraId="227B9BBB" w14:textId="77777777" w:rsidR="00CF72D5" w:rsidRPr="002029AF" w:rsidRDefault="00CF72D5" w:rsidP="00897193">
            <w:pPr>
              <w:pStyle w:val="ARtablecolheadright"/>
            </w:pPr>
            <w:r w:rsidRPr="002029AF">
              <w:t>Kilolitres</w:t>
            </w:r>
          </w:p>
        </w:tc>
        <w:tc>
          <w:tcPr>
            <w:tcW w:w="678" w:type="pct"/>
            <w:vAlign w:val="bottom"/>
          </w:tcPr>
          <w:p w14:paraId="7B122B79" w14:textId="77777777" w:rsidR="00CF72D5" w:rsidRPr="002029AF" w:rsidRDefault="00CF72D5" w:rsidP="00897193">
            <w:pPr>
              <w:pStyle w:val="ARtablecolheadright"/>
            </w:pPr>
            <w:r w:rsidRPr="002029AF">
              <w:t>Cost</w:t>
            </w:r>
          </w:p>
          <w:p w14:paraId="031AB94C" w14:textId="77777777" w:rsidR="00CF72D5" w:rsidRPr="002029AF" w:rsidRDefault="00CF72D5" w:rsidP="00897193">
            <w:pPr>
              <w:pStyle w:val="ARtablecolheadright"/>
            </w:pPr>
            <w:r w:rsidRPr="002029AF">
              <w:t>($M)</w:t>
            </w:r>
          </w:p>
        </w:tc>
      </w:tr>
      <w:tr w:rsidR="00CF72D5" w:rsidRPr="002029AF" w14:paraId="7D783228" w14:textId="77777777" w:rsidTr="00C81A0B">
        <w:trPr>
          <w:cantSplit/>
          <w:trHeight w:val="335"/>
        </w:trPr>
        <w:tc>
          <w:tcPr>
            <w:tcW w:w="931" w:type="pct"/>
          </w:tcPr>
          <w:p w14:paraId="362CCC4A" w14:textId="35BEA437" w:rsidR="00CF72D5" w:rsidRPr="002029AF" w:rsidRDefault="00CF72D5" w:rsidP="00897193">
            <w:pPr>
              <w:pStyle w:val="ARtabletext"/>
            </w:pPr>
            <w:r w:rsidRPr="002029AF">
              <w:t>High-rise</w:t>
            </w:r>
            <w:r w:rsidR="000A5329" w:rsidRPr="002029AF">
              <w:t xml:space="preserve"> </w:t>
            </w:r>
            <w:r w:rsidRPr="002029AF">
              <w:t>public</w:t>
            </w:r>
            <w:r w:rsidR="000A5329" w:rsidRPr="002029AF">
              <w:t xml:space="preserve"> </w:t>
            </w:r>
            <w:r w:rsidRPr="002029AF">
              <w:t>housing</w:t>
            </w:r>
            <w:r w:rsidR="000A5329" w:rsidRPr="002029AF">
              <w:t xml:space="preserve"> </w:t>
            </w:r>
            <w:r w:rsidRPr="002029AF">
              <w:t>water</w:t>
            </w:r>
            <w:r w:rsidR="000A5329" w:rsidRPr="002029AF">
              <w:t xml:space="preserve"> </w:t>
            </w:r>
            <w:r w:rsidRPr="002029AF">
              <w:t>use</w:t>
            </w:r>
            <w:r w:rsidR="000A5329" w:rsidRPr="002029AF">
              <w:t xml:space="preserve"> </w:t>
            </w:r>
          </w:p>
        </w:tc>
        <w:tc>
          <w:tcPr>
            <w:tcW w:w="492" w:type="pct"/>
            <w:vAlign w:val="center"/>
          </w:tcPr>
          <w:p w14:paraId="6FA60EE4" w14:textId="600ADE7B" w:rsidR="00CF72D5" w:rsidRPr="002029AF" w:rsidRDefault="00CF72D5" w:rsidP="00897193">
            <w:pPr>
              <w:pStyle w:val="ARtabletextright"/>
            </w:pPr>
            <w:r w:rsidRPr="002029AF">
              <w:t>1,129,257</w:t>
            </w:r>
          </w:p>
        </w:tc>
        <w:tc>
          <w:tcPr>
            <w:tcW w:w="678" w:type="pct"/>
            <w:vAlign w:val="center"/>
          </w:tcPr>
          <w:p w14:paraId="50964321" w14:textId="77777777" w:rsidR="00CF72D5" w:rsidRPr="002029AF" w:rsidRDefault="00CF72D5" w:rsidP="00897193">
            <w:pPr>
              <w:pStyle w:val="ARtabletextright"/>
            </w:pPr>
            <w:r w:rsidRPr="002029AF">
              <w:t>$4.03</w:t>
            </w:r>
          </w:p>
        </w:tc>
        <w:tc>
          <w:tcPr>
            <w:tcW w:w="678" w:type="pct"/>
            <w:vAlign w:val="center"/>
          </w:tcPr>
          <w:p w14:paraId="2F9A1E09" w14:textId="2B209667" w:rsidR="00CF72D5" w:rsidRPr="002029AF" w:rsidRDefault="00CF72D5" w:rsidP="00897193">
            <w:pPr>
              <w:pStyle w:val="ARtabletextright"/>
            </w:pPr>
            <w:r w:rsidRPr="002029AF">
              <w:t>1,139,452</w:t>
            </w:r>
          </w:p>
        </w:tc>
        <w:tc>
          <w:tcPr>
            <w:tcW w:w="678" w:type="pct"/>
            <w:vAlign w:val="center"/>
          </w:tcPr>
          <w:p w14:paraId="467EF8F7" w14:textId="77777777" w:rsidR="00CF72D5" w:rsidRPr="002029AF" w:rsidRDefault="00CF72D5" w:rsidP="00897193">
            <w:pPr>
              <w:pStyle w:val="ARtabletextright"/>
            </w:pPr>
            <w:r w:rsidRPr="002029AF">
              <w:t>$4.08</w:t>
            </w:r>
          </w:p>
        </w:tc>
        <w:tc>
          <w:tcPr>
            <w:tcW w:w="866" w:type="pct"/>
            <w:vAlign w:val="center"/>
          </w:tcPr>
          <w:p w14:paraId="1021F054" w14:textId="7CCBFD8B" w:rsidR="00CF72D5" w:rsidRPr="002029AF" w:rsidRDefault="00CF72D5" w:rsidP="00897193">
            <w:pPr>
              <w:pStyle w:val="ARtabletextright"/>
            </w:pPr>
            <w:r w:rsidRPr="002029AF">
              <w:t>1,263,095</w:t>
            </w:r>
          </w:p>
        </w:tc>
        <w:tc>
          <w:tcPr>
            <w:tcW w:w="678" w:type="pct"/>
            <w:vAlign w:val="center"/>
          </w:tcPr>
          <w:p w14:paraId="010D7CC5" w14:textId="77777777" w:rsidR="00CF72D5" w:rsidRPr="002029AF" w:rsidRDefault="00CF72D5" w:rsidP="00897193">
            <w:pPr>
              <w:pStyle w:val="ARtabletextright"/>
            </w:pPr>
            <w:r w:rsidRPr="002029AF">
              <w:t>$4.28</w:t>
            </w:r>
          </w:p>
        </w:tc>
      </w:tr>
      <w:tr w:rsidR="00CF72D5" w:rsidRPr="002029AF" w14:paraId="275E952C" w14:textId="77777777" w:rsidTr="00C81A0B">
        <w:trPr>
          <w:cantSplit/>
          <w:trHeight w:val="335"/>
        </w:trPr>
        <w:tc>
          <w:tcPr>
            <w:tcW w:w="931" w:type="pct"/>
          </w:tcPr>
          <w:p w14:paraId="07292943" w14:textId="0E423727" w:rsidR="00CF72D5" w:rsidRPr="002029AF" w:rsidRDefault="00CF72D5" w:rsidP="00897193">
            <w:pPr>
              <w:pStyle w:val="ARtabletext"/>
            </w:pPr>
            <w:r w:rsidRPr="002029AF">
              <w:t>Other</w:t>
            </w:r>
            <w:r w:rsidR="000A5329" w:rsidRPr="002029AF">
              <w:t xml:space="preserve"> </w:t>
            </w:r>
            <w:r w:rsidRPr="002029AF">
              <w:t>public</w:t>
            </w:r>
            <w:r w:rsidR="000A5329" w:rsidRPr="002029AF">
              <w:t xml:space="preserve"> </w:t>
            </w:r>
            <w:r w:rsidRPr="002029AF">
              <w:t>housing</w:t>
            </w:r>
            <w:r w:rsidR="000A5329" w:rsidRPr="002029AF">
              <w:t xml:space="preserve"> </w:t>
            </w:r>
            <w:r w:rsidRPr="002029AF">
              <w:t>water</w:t>
            </w:r>
            <w:r w:rsidR="000A5329" w:rsidRPr="002029AF">
              <w:t xml:space="preserve"> </w:t>
            </w:r>
            <w:r w:rsidRPr="002029AF">
              <w:t>use</w:t>
            </w:r>
          </w:p>
        </w:tc>
        <w:tc>
          <w:tcPr>
            <w:tcW w:w="492" w:type="pct"/>
            <w:vAlign w:val="center"/>
          </w:tcPr>
          <w:p w14:paraId="5120B09A" w14:textId="0632BB78" w:rsidR="00CF72D5" w:rsidRPr="002029AF" w:rsidRDefault="00CF72D5" w:rsidP="00897193">
            <w:pPr>
              <w:pStyle w:val="ARtabletextright"/>
            </w:pPr>
            <w:r w:rsidRPr="002029AF">
              <w:t>77,811</w:t>
            </w:r>
          </w:p>
        </w:tc>
        <w:tc>
          <w:tcPr>
            <w:tcW w:w="678" w:type="pct"/>
            <w:vAlign w:val="center"/>
          </w:tcPr>
          <w:p w14:paraId="6E23E5CD" w14:textId="77777777" w:rsidR="00CF72D5" w:rsidRPr="002029AF" w:rsidRDefault="00CF72D5" w:rsidP="00897193">
            <w:pPr>
              <w:pStyle w:val="ARtabletextright"/>
            </w:pPr>
            <w:r w:rsidRPr="002029AF">
              <w:t>$0.27</w:t>
            </w:r>
          </w:p>
        </w:tc>
        <w:tc>
          <w:tcPr>
            <w:tcW w:w="678" w:type="pct"/>
            <w:vAlign w:val="center"/>
          </w:tcPr>
          <w:p w14:paraId="7233CBDA" w14:textId="40CD2F02" w:rsidR="00CF72D5" w:rsidRPr="002029AF" w:rsidRDefault="00CF72D5" w:rsidP="00897193">
            <w:pPr>
              <w:pStyle w:val="ARtabletextright"/>
            </w:pPr>
            <w:r w:rsidRPr="002029AF">
              <w:t>77,777</w:t>
            </w:r>
          </w:p>
        </w:tc>
        <w:tc>
          <w:tcPr>
            <w:tcW w:w="678" w:type="pct"/>
            <w:vAlign w:val="center"/>
          </w:tcPr>
          <w:p w14:paraId="48205711" w14:textId="77777777" w:rsidR="00CF72D5" w:rsidRPr="002029AF" w:rsidRDefault="00CF72D5" w:rsidP="00897193">
            <w:pPr>
              <w:pStyle w:val="ARtabletextright"/>
            </w:pPr>
            <w:r w:rsidRPr="002029AF">
              <w:t>$0.27</w:t>
            </w:r>
          </w:p>
        </w:tc>
        <w:tc>
          <w:tcPr>
            <w:tcW w:w="866" w:type="pct"/>
            <w:vAlign w:val="center"/>
          </w:tcPr>
          <w:p w14:paraId="1BB8FE2C" w14:textId="4E204408" w:rsidR="00CF72D5" w:rsidRPr="002029AF" w:rsidRDefault="00CF72D5" w:rsidP="00897193">
            <w:pPr>
              <w:pStyle w:val="ARtabletextright"/>
            </w:pPr>
            <w:r w:rsidRPr="002029AF">
              <w:t>79,611</w:t>
            </w:r>
          </w:p>
        </w:tc>
        <w:tc>
          <w:tcPr>
            <w:tcW w:w="678" w:type="pct"/>
            <w:vAlign w:val="center"/>
          </w:tcPr>
          <w:p w14:paraId="22FB8D0B" w14:textId="77777777" w:rsidR="00CF72D5" w:rsidRPr="002029AF" w:rsidRDefault="00CF72D5" w:rsidP="00897193">
            <w:pPr>
              <w:pStyle w:val="ARtabletextright"/>
            </w:pPr>
            <w:r w:rsidRPr="002029AF">
              <w:t>$0.27</w:t>
            </w:r>
          </w:p>
        </w:tc>
      </w:tr>
      <w:tr w:rsidR="00CF72D5" w:rsidRPr="002029AF" w14:paraId="44A28E26" w14:textId="77777777" w:rsidTr="00C81A0B">
        <w:trPr>
          <w:cantSplit/>
          <w:trHeight w:val="379"/>
        </w:trPr>
        <w:tc>
          <w:tcPr>
            <w:tcW w:w="931" w:type="pct"/>
          </w:tcPr>
          <w:p w14:paraId="728D78F8" w14:textId="64F3E4B4" w:rsidR="00CF72D5" w:rsidRPr="002029AF" w:rsidRDefault="00CF72D5" w:rsidP="00897193">
            <w:pPr>
              <w:pStyle w:val="ARtabletext"/>
            </w:pPr>
            <w:r w:rsidRPr="002029AF">
              <w:t>Disability</w:t>
            </w:r>
            <w:r w:rsidR="000A5329" w:rsidRPr="002029AF">
              <w:t xml:space="preserve"> </w:t>
            </w:r>
            <w:r w:rsidRPr="002029AF">
              <w:t>housing</w:t>
            </w:r>
            <w:r w:rsidR="000A5329" w:rsidRPr="002029AF">
              <w:t xml:space="preserve"> </w:t>
            </w:r>
            <w:r w:rsidRPr="002029AF">
              <w:t>water</w:t>
            </w:r>
            <w:r w:rsidR="000A5329" w:rsidRPr="002029AF">
              <w:t xml:space="preserve"> </w:t>
            </w:r>
            <w:r w:rsidRPr="002029AF">
              <w:t>use</w:t>
            </w:r>
          </w:p>
        </w:tc>
        <w:tc>
          <w:tcPr>
            <w:tcW w:w="492" w:type="pct"/>
            <w:vAlign w:val="center"/>
          </w:tcPr>
          <w:p w14:paraId="3866C6F1" w14:textId="0C2B3926" w:rsidR="00CF72D5" w:rsidRPr="002029AF" w:rsidRDefault="00CF72D5" w:rsidP="00897193">
            <w:pPr>
              <w:pStyle w:val="ARtabletextright"/>
            </w:pPr>
            <w:r w:rsidRPr="002029AF">
              <w:t>50,268</w:t>
            </w:r>
          </w:p>
        </w:tc>
        <w:tc>
          <w:tcPr>
            <w:tcW w:w="678" w:type="pct"/>
            <w:vAlign w:val="center"/>
          </w:tcPr>
          <w:p w14:paraId="59EAE756" w14:textId="77777777" w:rsidR="00CF72D5" w:rsidRPr="002029AF" w:rsidRDefault="00CF72D5" w:rsidP="00897193">
            <w:pPr>
              <w:pStyle w:val="ARtabletextright"/>
            </w:pPr>
            <w:r w:rsidRPr="002029AF">
              <w:t>$0.22</w:t>
            </w:r>
          </w:p>
        </w:tc>
        <w:tc>
          <w:tcPr>
            <w:tcW w:w="678" w:type="pct"/>
            <w:vAlign w:val="center"/>
          </w:tcPr>
          <w:p w14:paraId="23B9BBA4" w14:textId="369F3837" w:rsidR="00CF72D5" w:rsidRPr="002029AF" w:rsidRDefault="00CF72D5" w:rsidP="00897193">
            <w:pPr>
              <w:pStyle w:val="ARtabletextright"/>
            </w:pPr>
            <w:r w:rsidRPr="002029AF">
              <w:t>50,268</w:t>
            </w:r>
          </w:p>
        </w:tc>
        <w:tc>
          <w:tcPr>
            <w:tcW w:w="678" w:type="pct"/>
            <w:vAlign w:val="center"/>
          </w:tcPr>
          <w:p w14:paraId="27603D8C" w14:textId="77777777" w:rsidR="00CF72D5" w:rsidRPr="002029AF" w:rsidRDefault="00CF72D5" w:rsidP="00897193">
            <w:pPr>
              <w:pStyle w:val="ARtabletextright"/>
            </w:pPr>
            <w:r w:rsidRPr="002029AF">
              <w:t>$0.22</w:t>
            </w:r>
          </w:p>
        </w:tc>
        <w:tc>
          <w:tcPr>
            <w:tcW w:w="866" w:type="pct"/>
            <w:vAlign w:val="center"/>
          </w:tcPr>
          <w:p w14:paraId="3225FBD4" w14:textId="2E8BB2B6" w:rsidR="00CF72D5" w:rsidRPr="002029AF" w:rsidRDefault="00CF72D5" w:rsidP="00897193">
            <w:pPr>
              <w:pStyle w:val="ARtabletextright"/>
            </w:pPr>
            <w:r w:rsidRPr="002029AF">
              <w:t>63,737</w:t>
            </w:r>
          </w:p>
        </w:tc>
        <w:tc>
          <w:tcPr>
            <w:tcW w:w="678" w:type="pct"/>
            <w:vAlign w:val="center"/>
          </w:tcPr>
          <w:p w14:paraId="763AB0EE" w14:textId="77777777" w:rsidR="00CF72D5" w:rsidRPr="002029AF" w:rsidRDefault="00CF72D5" w:rsidP="00897193">
            <w:pPr>
              <w:pStyle w:val="ARtabletextright"/>
            </w:pPr>
            <w:r w:rsidRPr="002029AF">
              <w:t>$0.21</w:t>
            </w:r>
          </w:p>
        </w:tc>
      </w:tr>
      <w:tr w:rsidR="00CF72D5" w:rsidRPr="002029AF" w14:paraId="2962DA60" w14:textId="77777777" w:rsidTr="00C81A0B">
        <w:trPr>
          <w:cantSplit/>
          <w:trHeight w:val="379"/>
        </w:trPr>
        <w:tc>
          <w:tcPr>
            <w:tcW w:w="931" w:type="pct"/>
          </w:tcPr>
          <w:p w14:paraId="2B343307" w14:textId="6CF995BE" w:rsidR="00CF72D5" w:rsidRPr="002029AF" w:rsidRDefault="00CF72D5" w:rsidP="00897193">
            <w:pPr>
              <w:pStyle w:val="ARtabletext"/>
            </w:pPr>
            <w:r w:rsidRPr="002029AF">
              <w:t>Youth</w:t>
            </w:r>
            <w:r w:rsidR="000A5329" w:rsidRPr="002029AF">
              <w:t xml:space="preserve"> </w:t>
            </w:r>
            <w:r w:rsidRPr="002029AF">
              <w:t>and</w:t>
            </w:r>
            <w:r w:rsidR="000A5329" w:rsidRPr="002029AF">
              <w:t xml:space="preserve"> </w:t>
            </w:r>
            <w:r w:rsidRPr="002029AF">
              <w:t>family</w:t>
            </w:r>
            <w:r w:rsidR="000A5329" w:rsidRPr="002029AF">
              <w:t xml:space="preserve"> </w:t>
            </w:r>
            <w:r w:rsidRPr="002029AF">
              <w:t>welfare</w:t>
            </w:r>
            <w:r w:rsidR="000A5329" w:rsidRPr="002029AF">
              <w:t xml:space="preserve"> </w:t>
            </w:r>
            <w:r w:rsidRPr="002029AF">
              <w:t>water</w:t>
            </w:r>
            <w:r w:rsidR="000A5329" w:rsidRPr="002029AF">
              <w:t xml:space="preserve"> </w:t>
            </w:r>
            <w:r w:rsidRPr="002029AF">
              <w:t>use</w:t>
            </w:r>
          </w:p>
        </w:tc>
        <w:tc>
          <w:tcPr>
            <w:tcW w:w="492" w:type="pct"/>
            <w:vAlign w:val="center"/>
          </w:tcPr>
          <w:p w14:paraId="0C966A9D" w14:textId="564524BF" w:rsidR="00CF72D5" w:rsidRPr="002029AF" w:rsidRDefault="00CF72D5" w:rsidP="00897193">
            <w:pPr>
              <w:pStyle w:val="ARtabletextright"/>
            </w:pPr>
            <w:r w:rsidRPr="002029AF">
              <w:t>2,901</w:t>
            </w:r>
          </w:p>
        </w:tc>
        <w:tc>
          <w:tcPr>
            <w:tcW w:w="678" w:type="pct"/>
            <w:vAlign w:val="center"/>
          </w:tcPr>
          <w:p w14:paraId="0184BF10" w14:textId="77777777" w:rsidR="00CF72D5" w:rsidRPr="002029AF" w:rsidRDefault="00CF72D5" w:rsidP="00897193">
            <w:pPr>
              <w:pStyle w:val="ARtabletextright"/>
            </w:pPr>
            <w:r w:rsidRPr="002029AF">
              <w:t>$0.01</w:t>
            </w:r>
          </w:p>
        </w:tc>
        <w:tc>
          <w:tcPr>
            <w:tcW w:w="678" w:type="pct"/>
            <w:vAlign w:val="center"/>
          </w:tcPr>
          <w:p w14:paraId="5CA27ADD" w14:textId="2A18CBA3" w:rsidR="00CF72D5" w:rsidRPr="002029AF" w:rsidRDefault="00CF72D5" w:rsidP="00897193">
            <w:pPr>
              <w:pStyle w:val="ARtabletextright"/>
              <w:jc w:val="left"/>
            </w:pPr>
            <w:r w:rsidRPr="002029AF">
              <w:t>3,501</w:t>
            </w:r>
          </w:p>
        </w:tc>
        <w:tc>
          <w:tcPr>
            <w:tcW w:w="678" w:type="pct"/>
            <w:vAlign w:val="center"/>
          </w:tcPr>
          <w:p w14:paraId="60505703" w14:textId="77777777" w:rsidR="00CF72D5" w:rsidRPr="002029AF" w:rsidRDefault="00CF72D5" w:rsidP="00897193">
            <w:pPr>
              <w:pStyle w:val="ARtabletextright"/>
            </w:pPr>
            <w:r w:rsidRPr="002029AF">
              <w:t>$0.01</w:t>
            </w:r>
          </w:p>
        </w:tc>
        <w:tc>
          <w:tcPr>
            <w:tcW w:w="866" w:type="pct"/>
            <w:vAlign w:val="center"/>
          </w:tcPr>
          <w:p w14:paraId="0526F485" w14:textId="38B416FA" w:rsidR="00CF72D5" w:rsidRPr="002029AF" w:rsidRDefault="00CF72D5" w:rsidP="00897193">
            <w:pPr>
              <w:pStyle w:val="ARtabletextright"/>
            </w:pPr>
            <w:r w:rsidRPr="002029AF">
              <w:t>2,674</w:t>
            </w:r>
          </w:p>
        </w:tc>
        <w:tc>
          <w:tcPr>
            <w:tcW w:w="678" w:type="pct"/>
            <w:vAlign w:val="center"/>
          </w:tcPr>
          <w:p w14:paraId="427F5168" w14:textId="77777777" w:rsidR="00CF72D5" w:rsidRPr="002029AF" w:rsidRDefault="00CF72D5" w:rsidP="00897193">
            <w:pPr>
              <w:pStyle w:val="ARtabletextright"/>
            </w:pPr>
            <w:r w:rsidRPr="002029AF">
              <w:t>$0.01</w:t>
            </w:r>
          </w:p>
        </w:tc>
      </w:tr>
      <w:tr w:rsidR="00CF72D5" w:rsidRPr="002029AF" w14:paraId="78C1BEA2" w14:textId="77777777" w:rsidTr="00C81A0B">
        <w:trPr>
          <w:cantSplit/>
          <w:trHeight w:val="188"/>
        </w:trPr>
        <w:tc>
          <w:tcPr>
            <w:tcW w:w="931" w:type="pct"/>
          </w:tcPr>
          <w:p w14:paraId="50605550" w14:textId="10074374" w:rsidR="00CF72D5" w:rsidRPr="002029AF" w:rsidRDefault="00CF72D5" w:rsidP="00897193">
            <w:pPr>
              <w:pStyle w:val="ARtabletext"/>
              <w:rPr>
                <w:b/>
              </w:rPr>
            </w:pPr>
            <w:r w:rsidRPr="002029AF">
              <w:rPr>
                <w:b/>
              </w:rPr>
              <w:t>Total</w:t>
            </w:r>
            <w:r w:rsidR="000A5329" w:rsidRPr="002029AF">
              <w:rPr>
                <w:b/>
              </w:rPr>
              <w:t xml:space="preserve"> </w:t>
            </w:r>
            <w:r w:rsidRPr="002029AF">
              <w:rPr>
                <w:b/>
              </w:rPr>
              <w:t>water</w:t>
            </w:r>
            <w:r w:rsidR="000A5329" w:rsidRPr="002029AF">
              <w:rPr>
                <w:b/>
              </w:rPr>
              <w:t xml:space="preserve"> </w:t>
            </w:r>
            <w:r w:rsidRPr="002029AF">
              <w:rPr>
                <w:b/>
              </w:rPr>
              <w:t>usage</w:t>
            </w:r>
            <w:r w:rsidR="000A5329" w:rsidRPr="002029AF">
              <w:rPr>
                <w:b/>
              </w:rPr>
              <w:t xml:space="preserve"> </w:t>
            </w:r>
            <w:r w:rsidRPr="002029AF">
              <w:rPr>
                <w:b/>
              </w:rPr>
              <w:t>and</w:t>
            </w:r>
            <w:r w:rsidR="000A5329" w:rsidRPr="002029AF">
              <w:rPr>
                <w:b/>
              </w:rPr>
              <w:t xml:space="preserve"> </w:t>
            </w:r>
            <w:r w:rsidRPr="002029AF">
              <w:rPr>
                <w:b/>
              </w:rPr>
              <w:t>sewage</w:t>
            </w:r>
            <w:r w:rsidR="000A5329" w:rsidRPr="002029AF">
              <w:rPr>
                <w:b/>
              </w:rPr>
              <w:t xml:space="preserve"> </w:t>
            </w:r>
          </w:p>
        </w:tc>
        <w:tc>
          <w:tcPr>
            <w:tcW w:w="492" w:type="pct"/>
            <w:vAlign w:val="center"/>
          </w:tcPr>
          <w:p w14:paraId="1AB5BFFF" w14:textId="77777777" w:rsidR="00CF72D5" w:rsidRPr="002029AF" w:rsidRDefault="00CF72D5" w:rsidP="00897193">
            <w:pPr>
              <w:pStyle w:val="ARtabletextrightbold"/>
            </w:pPr>
            <w:r w:rsidRPr="002029AF">
              <w:t>1,260,238</w:t>
            </w:r>
          </w:p>
        </w:tc>
        <w:tc>
          <w:tcPr>
            <w:tcW w:w="678" w:type="pct"/>
            <w:vAlign w:val="center"/>
          </w:tcPr>
          <w:p w14:paraId="49935C9F" w14:textId="77777777" w:rsidR="00CF72D5" w:rsidRPr="002029AF" w:rsidRDefault="00CF72D5" w:rsidP="00897193">
            <w:pPr>
              <w:pStyle w:val="ARtabletextrightbold"/>
            </w:pPr>
            <w:r w:rsidRPr="002029AF">
              <w:t>$4.53</w:t>
            </w:r>
          </w:p>
        </w:tc>
        <w:tc>
          <w:tcPr>
            <w:tcW w:w="678" w:type="pct"/>
            <w:vAlign w:val="center"/>
          </w:tcPr>
          <w:p w14:paraId="35552870" w14:textId="77777777" w:rsidR="00CF72D5" w:rsidRPr="002029AF" w:rsidRDefault="00CF72D5" w:rsidP="00897193">
            <w:pPr>
              <w:pStyle w:val="ARtabletextrightbold"/>
            </w:pPr>
            <w:r w:rsidRPr="002029AF">
              <w:t>1,270,998</w:t>
            </w:r>
          </w:p>
        </w:tc>
        <w:tc>
          <w:tcPr>
            <w:tcW w:w="678" w:type="pct"/>
            <w:vAlign w:val="center"/>
          </w:tcPr>
          <w:p w14:paraId="1EFD2103" w14:textId="77777777" w:rsidR="00CF72D5" w:rsidRPr="002029AF" w:rsidRDefault="00CF72D5" w:rsidP="00897193">
            <w:pPr>
              <w:pStyle w:val="ARtabletextrightbold"/>
            </w:pPr>
            <w:r w:rsidRPr="002029AF">
              <w:t>$4.58</w:t>
            </w:r>
          </w:p>
        </w:tc>
        <w:tc>
          <w:tcPr>
            <w:tcW w:w="866" w:type="pct"/>
            <w:vAlign w:val="center"/>
          </w:tcPr>
          <w:p w14:paraId="6FE83F23" w14:textId="77777777" w:rsidR="00CF72D5" w:rsidRPr="002029AF" w:rsidRDefault="00CF72D5" w:rsidP="00897193">
            <w:pPr>
              <w:pStyle w:val="ARtabletextrightbold"/>
            </w:pPr>
            <w:r w:rsidRPr="002029AF">
              <w:t>1,409,117</w:t>
            </w:r>
          </w:p>
        </w:tc>
        <w:tc>
          <w:tcPr>
            <w:tcW w:w="678" w:type="pct"/>
            <w:vAlign w:val="center"/>
          </w:tcPr>
          <w:p w14:paraId="3BCB13C2" w14:textId="77777777" w:rsidR="00CF72D5" w:rsidRPr="002029AF" w:rsidRDefault="00CF72D5" w:rsidP="00897193">
            <w:pPr>
              <w:pStyle w:val="ARtabletextrightbold"/>
            </w:pPr>
            <w:r w:rsidRPr="002029AF">
              <w:t>$4.78</w:t>
            </w:r>
          </w:p>
        </w:tc>
      </w:tr>
    </w:tbl>
    <w:p w14:paraId="3BBB3FCB" w14:textId="20744F48" w:rsidR="00CF72D5" w:rsidRPr="002029AF" w:rsidRDefault="00CF72D5" w:rsidP="00897193">
      <w:pPr>
        <w:pStyle w:val="ARtablefootnote"/>
        <w:rPr>
          <w:lang w:eastAsia="en-AU"/>
        </w:rPr>
      </w:pPr>
      <w:r w:rsidRPr="002029AF">
        <w:rPr>
          <w:lang w:eastAsia="en-AU"/>
        </w:rPr>
        <w:t>Housing</w:t>
      </w:r>
      <w:r w:rsidR="000A5329" w:rsidRPr="002029AF">
        <w:rPr>
          <w:lang w:eastAsia="en-AU"/>
        </w:rPr>
        <w:t xml:space="preserve"> </w:t>
      </w:r>
      <w:r w:rsidRPr="002029AF">
        <w:rPr>
          <w:lang w:eastAsia="en-AU"/>
        </w:rPr>
        <w:t>services</w:t>
      </w:r>
      <w:r w:rsidR="000A5329" w:rsidRPr="002029AF">
        <w:rPr>
          <w:lang w:eastAsia="en-AU"/>
        </w:rPr>
        <w:t xml:space="preserve"> </w:t>
      </w:r>
      <w:r w:rsidRPr="002029AF">
        <w:rPr>
          <w:lang w:eastAsia="en-AU"/>
        </w:rPr>
        <w:t>water</w:t>
      </w:r>
      <w:r w:rsidR="000A5329" w:rsidRPr="002029AF">
        <w:rPr>
          <w:lang w:eastAsia="en-AU"/>
        </w:rPr>
        <w:t xml:space="preserve"> </w:t>
      </w:r>
      <w:r w:rsidRPr="002029AF">
        <w:rPr>
          <w:lang w:eastAsia="en-AU"/>
        </w:rPr>
        <w:t>data</w:t>
      </w:r>
      <w:r w:rsidR="000A5329" w:rsidRPr="002029AF">
        <w:rPr>
          <w:lang w:eastAsia="en-AU"/>
        </w:rPr>
        <w:t xml:space="preserve"> </w:t>
      </w:r>
      <w:r w:rsidRPr="002029AF">
        <w:rPr>
          <w:lang w:eastAsia="en-AU"/>
        </w:rPr>
        <w:t>represents</w:t>
      </w:r>
      <w:r w:rsidR="000A5329" w:rsidRPr="002029AF">
        <w:rPr>
          <w:lang w:eastAsia="en-AU"/>
        </w:rPr>
        <w:t xml:space="preserve"> </w:t>
      </w:r>
      <w:r w:rsidRPr="002029AF">
        <w:rPr>
          <w:lang w:eastAsia="en-AU"/>
        </w:rPr>
        <w:t>potable</w:t>
      </w:r>
      <w:r w:rsidR="000A5329" w:rsidRPr="002029AF">
        <w:rPr>
          <w:lang w:eastAsia="en-AU"/>
        </w:rPr>
        <w:t xml:space="preserve"> </w:t>
      </w:r>
      <w:r w:rsidRPr="002029AF">
        <w:rPr>
          <w:lang w:eastAsia="en-AU"/>
        </w:rPr>
        <w:t>water</w:t>
      </w:r>
      <w:r w:rsidR="000A5329" w:rsidRPr="002029AF">
        <w:rPr>
          <w:lang w:eastAsia="en-AU"/>
        </w:rPr>
        <w:t xml:space="preserve"> </w:t>
      </w:r>
      <w:r w:rsidRPr="002029AF">
        <w:rPr>
          <w:lang w:eastAsia="en-AU"/>
        </w:rPr>
        <w:t>use</w:t>
      </w:r>
      <w:r w:rsidR="000A5329" w:rsidRPr="002029AF">
        <w:rPr>
          <w:lang w:eastAsia="en-AU"/>
        </w:rPr>
        <w:t xml:space="preserve"> </w:t>
      </w:r>
      <w:r w:rsidRPr="002029AF">
        <w:rPr>
          <w:lang w:eastAsia="en-AU"/>
        </w:rPr>
        <w:t>at</w:t>
      </w:r>
      <w:r w:rsidR="000A5329" w:rsidRPr="002029AF">
        <w:rPr>
          <w:lang w:eastAsia="en-AU"/>
        </w:rPr>
        <w:t xml:space="preserve"> </w:t>
      </w:r>
      <w:r w:rsidRPr="002029AF">
        <w:rPr>
          <w:lang w:eastAsia="en-AU"/>
        </w:rPr>
        <w:t>77</w:t>
      </w:r>
      <w:r w:rsidR="000A5329" w:rsidRPr="002029AF">
        <w:rPr>
          <w:lang w:eastAsia="en-AU"/>
        </w:rPr>
        <w:t xml:space="preserve"> </w:t>
      </w:r>
      <w:r w:rsidRPr="002029AF">
        <w:rPr>
          <w:lang w:eastAsia="en-AU"/>
        </w:rPr>
        <w:t>water-metered</w:t>
      </w:r>
      <w:r w:rsidR="000A5329" w:rsidRPr="002029AF">
        <w:rPr>
          <w:lang w:eastAsia="en-AU"/>
        </w:rPr>
        <w:t xml:space="preserve"> </w:t>
      </w:r>
      <w:r w:rsidRPr="002029AF">
        <w:rPr>
          <w:lang w:eastAsia="en-AU"/>
        </w:rPr>
        <w:t>sites.</w:t>
      </w:r>
    </w:p>
    <w:p w14:paraId="198B1ACD" w14:textId="09307E62" w:rsidR="00CF72D5" w:rsidRPr="002029AF" w:rsidRDefault="00CF72D5" w:rsidP="005E6692">
      <w:pPr>
        <w:pStyle w:val="ARtablefootnote"/>
      </w:pPr>
      <w:r w:rsidRPr="002029AF">
        <w:t>Housing</w:t>
      </w:r>
      <w:r w:rsidR="000A5329" w:rsidRPr="002029AF">
        <w:t xml:space="preserve"> </w:t>
      </w:r>
      <w:r w:rsidRPr="002029AF">
        <w:t>services</w:t>
      </w:r>
      <w:r w:rsidR="000A5329" w:rsidRPr="002029AF">
        <w:t xml:space="preserve"> </w:t>
      </w:r>
      <w:r w:rsidRPr="002029AF">
        <w:t>water</w:t>
      </w:r>
      <w:r w:rsidR="000A5329" w:rsidRPr="002029AF">
        <w:t xml:space="preserve"> </w:t>
      </w:r>
      <w:r w:rsidRPr="002029AF">
        <w:t>data</w:t>
      </w:r>
      <w:r w:rsidR="000A5329" w:rsidRPr="002029AF">
        <w:t xml:space="preserve"> </w:t>
      </w:r>
      <w:r w:rsidRPr="002029AF">
        <w:t>includes</w:t>
      </w:r>
      <w:r w:rsidR="000A5329" w:rsidRPr="002029AF">
        <w:t xml:space="preserve"> </w:t>
      </w:r>
      <w:r w:rsidRPr="002029AF">
        <w:t>a</w:t>
      </w:r>
      <w:r w:rsidR="000A5329" w:rsidRPr="002029AF">
        <w:t xml:space="preserve"> </w:t>
      </w:r>
      <w:r w:rsidRPr="002029AF">
        <w:t>12</w:t>
      </w:r>
      <w:r w:rsidR="000A5329" w:rsidRPr="002029AF">
        <w:t xml:space="preserve"> </w:t>
      </w:r>
      <w:r w:rsidRPr="002029AF">
        <w:t>per</w:t>
      </w:r>
      <w:r w:rsidR="000A5329" w:rsidRPr="002029AF">
        <w:t xml:space="preserve"> </w:t>
      </w:r>
      <w:r w:rsidRPr="002029AF">
        <w:t>cent</w:t>
      </w:r>
      <w:r w:rsidR="000A5329" w:rsidRPr="002029AF">
        <w:t xml:space="preserve"> </w:t>
      </w:r>
      <w:r w:rsidRPr="002029AF">
        <w:t>estimate</w:t>
      </w:r>
      <w:r w:rsidR="000A5329" w:rsidRPr="002029AF">
        <w:t xml:space="preserve"> </w:t>
      </w:r>
      <w:r w:rsidRPr="002029AF">
        <w:t>in</w:t>
      </w:r>
      <w:r w:rsidR="000A5329" w:rsidRPr="002029AF">
        <w:t xml:space="preserve"> </w:t>
      </w:r>
      <w:r w:rsidRPr="002029AF">
        <w:t>201</w:t>
      </w:r>
      <w:r w:rsidR="00DB53E6" w:rsidRPr="002029AF">
        <w:t>9–</w:t>
      </w:r>
      <w:r w:rsidRPr="002029AF">
        <w:t>20</w:t>
      </w:r>
      <w:r w:rsidR="000A5329" w:rsidRPr="002029AF">
        <w:t xml:space="preserve"> </w:t>
      </w:r>
      <w:r w:rsidRPr="002029AF">
        <w:t>due</w:t>
      </w:r>
      <w:r w:rsidR="000A5329" w:rsidRPr="002029AF">
        <w:t xml:space="preserve"> </w:t>
      </w:r>
      <w:r w:rsidRPr="002029AF">
        <w:t>to</w:t>
      </w:r>
      <w:r w:rsidR="000A5329" w:rsidRPr="002029AF">
        <w:t xml:space="preserve"> </w:t>
      </w:r>
      <w:r w:rsidRPr="002029AF">
        <w:t>some</w:t>
      </w:r>
      <w:r w:rsidR="000A5329" w:rsidRPr="002029AF">
        <w:t xml:space="preserve"> </w:t>
      </w:r>
      <w:r w:rsidRPr="002029AF">
        <w:t>data</w:t>
      </w:r>
      <w:r w:rsidR="000A5329" w:rsidRPr="002029AF">
        <w:t xml:space="preserve"> </w:t>
      </w:r>
      <w:r w:rsidRPr="002029AF">
        <w:t>being</w:t>
      </w:r>
      <w:r w:rsidR="000A5329" w:rsidRPr="002029AF">
        <w:t xml:space="preserve"> </w:t>
      </w:r>
      <w:r w:rsidRPr="002029AF">
        <w:t>unavailable</w:t>
      </w:r>
      <w:r w:rsidR="000A5329" w:rsidRPr="002029AF">
        <w:t xml:space="preserve"> </w:t>
      </w:r>
      <w:r w:rsidRPr="002029AF">
        <w:t>from</w:t>
      </w:r>
      <w:r w:rsidR="000A5329" w:rsidRPr="002029AF">
        <w:t xml:space="preserve"> </w:t>
      </w:r>
      <w:r w:rsidRPr="002029AF">
        <w:t>water</w:t>
      </w:r>
      <w:r w:rsidR="000A5329" w:rsidRPr="002029AF">
        <w:t xml:space="preserve"> </w:t>
      </w:r>
      <w:r w:rsidRPr="002029AF">
        <w:t>authorities</w:t>
      </w:r>
      <w:r w:rsidR="000A5329" w:rsidRPr="002029AF">
        <w:t xml:space="preserve"> </w:t>
      </w:r>
      <w:r w:rsidRPr="002029AF">
        <w:t>at</w:t>
      </w:r>
      <w:r w:rsidR="000A5329" w:rsidRPr="002029AF">
        <w:t xml:space="preserve"> </w:t>
      </w:r>
      <w:r w:rsidRPr="002029AF">
        <w:t>the</w:t>
      </w:r>
      <w:r w:rsidR="000A5329" w:rsidRPr="002029AF">
        <w:t xml:space="preserve"> </w:t>
      </w:r>
      <w:r w:rsidRPr="002029AF">
        <w:t>time</w:t>
      </w:r>
      <w:r w:rsidR="000A5329" w:rsidRPr="002029AF">
        <w:t xml:space="preserve"> </w:t>
      </w:r>
      <w:r w:rsidRPr="002029AF">
        <w:t>of</w:t>
      </w:r>
      <w:r w:rsidR="000A5329" w:rsidRPr="002029AF">
        <w:t xml:space="preserve"> </w:t>
      </w:r>
      <w:r w:rsidRPr="002029AF">
        <w:t>reporting.</w:t>
      </w:r>
    </w:p>
    <w:p w14:paraId="2A629139" w14:textId="250FA0EB" w:rsidR="00CF72D5" w:rsidRPr="002029AF" w:rsidRDefault="00CF72D5" w:rsidP="00961519">
      <w:pPr>
        <w:pStyle w:val="Heading5"/>
        <w:spacing w:before="400" w:after="200"/>
        <w:rPr>
          <w:rFonts w:ascii="Arial Bold" w:hAnsi="Arial Bold"/>
          <w:color w:val="4B4B4B"/>
        </w:rPr>
      </w:pPr>
      <w:r w:rsidRPr="002029AF">
        <w:rPr>
          <w:rFonts w:ascii="Arial Bold" w:hAnsi="Arial Bold"/>
          <w:color w:val="4B4B4B"/>
        </w:rPr>
        <w:t>Public</w:t>
      </w:r>
      <w:r w:rsidR="000A5329" w:rsidRPr="002029AF">
        <w:rPr>
          <w:rFonts w:ascii="Arial Bold" w:hAnsi="Arial Bold"/>
          <w:color w:val="4B4B4B"/>
        </w:rPr>
        <w:t xml:space="preserve"> </w:t>
      </w:r>
      <w:r w:rsidRPr="002029AF">
        <w:rPr>
          <w:rFonts w:ascii="Arial Bold" w:hAnsi="Arial Bold"/>
          <w:color w:val="4B4B4B"/>
        </w:rPr>
        <w:t>health</w:t>
      </w:r>
      <w:r w:rsidR="000A5329" w:rsidRPr="002029AF">
        <w:rPr>
          <w:rFonts w:ascii="Arial Bold" w:hAnsi="Arial Bold"/>
          <w:color w:val="4B4B4B"/>
        </w:rPr>
        <w:t xml:space="preserve"> </w:t>
      </w:r>
      <w:r w:rsidRPr="002029AF">
        <w:rPr>
          <w:rFonts w:ascii="Arial Bold" w:hAnsi="Arial Bold"/>
          <w:color w:val="4B4B4B"/>
        </w:rPr>
        <w:t>services</w:t>
      </w:r>
    </w:p>
    <w:tbl>
      <w:tblPr>
        <w:tblStyle w:val="TableGrid"/>
        <w:tblW w:w="9639" w:type="dxa"/>
        <w:tblLook w:val="06A0" w:firstRow="1" w:lastRow="0" w:firstColumn="1" w:lastColumn="0" w:noHBand="1" w:noVBand="1"/>
      </w:tblPr>
      <w:tblGrid>
        <w:gridCol w:w="3978"/>
        <w:gridCol w:w="1887"/>
        <w:gridCol w:w="1887"/>
        <w:gridCol w:w="1887"/>
      </w:tblGrid>
      <w:tr w:rsidR="00CF72D5" w:rsidRPr="002029AF" w14:paraId="2C2EAFF6" w14:textId="77777777" w:rsidTr="00897193">
        <w:trPr>
          <w:cnfStyle w:val="100000000000" w:firstRow="1" w:lastRow="0" w:firstColumn="0" w:lastColumn="0" w:oddVBand="0" w:evenVBand="0" w:oddHBand="0" w:evenHBand="0" w:firstRowFirstColumn="0" w:firstRowLastColumn="0" w:lastRowFirstColumn="0" w:lastRowLastColumn="0"/>
          <w:tblHeader/>
        </w:trPr>
        <w:tc>
          <w:tcPr>
            <w:tcW w:w="0" w:type="dxa"/>
            <w:hideMark/>
          </w:tcPr>
          <w:p w14:paraId="2269FF44" w14:textId="77777777" w:rsidR="00CF72D5" w:rsidRPr="002029AF" w:rsidRDefault="00CF72D5" w:rsidP="00897193">
            <w:pPr>
              <w:pStyle w:val="ARtablecolhead"/>
            </w:pPr>
            <w:r w:rsidRPr="002029AF">
              <w:t>Description</w:t>
            </w:r>
          </w:p>
        </w:tc>
        <w:tc>
          <w:tcPr>
            <w:tcW w:w="0" w:type="dxa"/>
            <w:vAlign w:val="center"/>
          </w:tcPr>
          <w:p w14:paraId="57729916" w14:textId="1F50837C" w:rsidR="00CF72D5" w:rsidRPr="002029AF" w:rsidRDefault="00CF72D5" w:rsidP="00897193">
            <w:pPr>
              <w:pStyle w:val="ARtablecolheadright"/>
            </w:pPr>
            <w:r w:rsidRPr="002029AF">
              <w:rPr>
                <w:color w:val="000000"/>
              </w:rPr>
              <w:t>2019–20</w:t>
            </w:r>
            <w:r w:rsidR="000A5329" w:rsidRPr="002029AF">
              <w:rPr>
                <w:color w:val="000000"/>
              </w:rPr>
              <w:t xml:space="preserve"> </w:t>
            </w:r>
            <w:r w:rsidRPr="002029AF">
              <w:rPr>
                <w:color w:val="000000"/>
              </w:rPr>
              <w:t>estimate</w:t>
            </w:r>
          </w:p>
        </w:tc>
        <w:tc>
          <w:tcPr>
            <w:tcW w:w="0" w:type="dxa"/>
            <w:vAlign w:val="center"/>
          </w:tcPr>
          <w:p w14:paraId="6267C279" w14:textId="5DCB6CF9" w:rsidR="00CF72D5" w:rsidRPr="002029AF" w:rsidRDefault="00CF72D5" w:rsidP="00897193">
            <w:pPr>
              <w:pStyle w:val="ARtablecolheadright"/>
            </w:pPr>
            <w:r w:rsidRPr="002029AF">
              <w:rPr>
                <w:color w:val="000000"/>
              </w:rPr>
              <w:t>2018–19</w:t>
            </w:r>
            <w:r w:rsidR="000A5329" w:rsidRPr="002029AF">
              <w:rPr>
                <w:color w:val="000000"/>
              </w:rPr>
              <w:t xml:space="preserve"> </w:t>
            </w:r>
            <w:r w:rsidRPr="002029AF">
              <w:rPr>
                <w:color w:val="000000"/>
              </w:rPr>
              <w:t>estimate</w:t>
            </w:r>
          </w:p>
        </w:tc>
        <w:tc>
          <w:tcPr>
            <w:tcW w:w="0" w:type="dxa"/>
            <w:vAlign w:val="center"/>
          </w:tcPr>
          <w:p w14:paraId="419C81DC" w14:textId="56014348" w:rsidR="00CF72D5" w:rsidRPr="002029AF" w:rsidRDefault="00CF72D5" w:rsidP="00897193">
            <w:pPr>
              <w:pStyle w:val="ARtablecolheadright"/>
            </w:pPr>
            <w:r w:rsidRPr="002029AF">
              <w:rPr>
                <w:color w:val="000000"/>
              </w:rPr>
              <w:t>2017–18</w:t>
            </w:r>
            <w:r w:rsidR="000A5329" w:rsidRPr="002029AF">
              <w:rPr>
                <w:color w:val="000000"/>
              </w:rPr>
              <w:t xml:space="preserve"> </w:t>
            </w:r>
            <w:r w:rsidRPr="002029AF">
              <w:rPr>
                <w:color w:val="000000"/>
              </w:rPr>
              <w:t>estimate</w:t>
            </w:r>
          </w:p>
        </w:tc>
      </w:tr>
      <w:tr w:rsidR="00CF72D5" w:rsidRPr="002029AF" w14:paraId="5ED92209" w14:textId="77777777" w:rsidTr="00897193">
        <w:tc>
          <w:tcPr>
            <w:tcW w:w="0" w:type="dxa"/>
            <w:hideMark/>
          </w:tcPr>
          <w:p w14:paraId="16213E72" w14:textId="0E2A05B8" w:rsidR="00CF72D5" w:rsidRPr="002029AF" w:rsidRDefault="00CF72D5" w:rsidP="00897193">
            <w:pPr>
              <w:pStyle w:val="ARtabletext"/>
            </w:pPr>
            <w:r w:rsidRPr="002029AF">
              <w:t>Total</w:t>
            </w:r>
            <w:r w:rsidR="000A5329" w:rsidRPr="002029AF">
              <w:t xml:space="preserve"> </w:t>
            </w:r>
            <w:r w:rsidRPr="002029AF">
              <w:t>water</w:t>
            </w:r>
            <w:r w:rsidR="000A5329" w:rsidRPr="002029AF">
              <w:t xml:space="preserve"> </w:t>
            </w:r>
            <w:r w:rsidRPr="002029AF">
              <w:t>used</w:t>
            </w:r>
            <w:r w:rsidR="000A5329" w:rsidRPr="002029AF">
              <w:t xml:space="preserve"> </w:t>
            </w:r>
            <w:r w:rsidRPr="002029AF">
              <w:t>(megalitres)</w:t>
            </w:r>
          </w:p>
        </w:tc>
        <w:tc>
          <w:tcPr>
            <w:tcW w:w="0" w:type="dxa"/>
            <w:vAlign w:val="center"/>
          </w:tcPr>
          <w:p w14:paraId="1465593C" w14:textId="77777777" w:rsidR="00CF72D5" w:rsidRPr="002029AF" w:rsidRDefault="00CF72D5" w:rsidP="00897193">
            <w:pPr>
              <w:pStyle w:val="ARtabletextright"/>
            </w:pPr>
            <w:r w:rsidRPr="002029AF">
              <w:t>4,501</w:t>
            </w:r>
          </w:p>
        </w:tc>
        <w:tc>
          <w:tcPr>
            <w:tcW w:w="0" w:type="dxa"/>
            <w:vAlign w:val="center"/>
          </w:tcPr>
          <w:p w14:paraId="0F1D00A8" w14:textId="77777777" w:rsidR="00CF72D5" w:rsidRPr="002029AF" w:rsidRDefault="00CF72D5" w:rsidP="00897193">
            <w:pPr>
              <w:pStyle w:val="ARtabletextright"/>
            </w:pPr>
            <w:r w:rsidRPr="002029AF">
              <w:t>4,473</w:t>
            </w:r>
          </w:p>
        </w:tc>
        <w:tc>
          <w:tcPr>
            <w:tcW w:w="0" w:type="dxa"/>
            <w:vAlign w:val="center"/>
          </w:tcPr>
          <w:p w14:paraId="66AEE6CD" w14:textId="77777777" w:rsidR="00CF72D5" w:rsidRPr="002029AF" w:rsidRDefault="00CF72D5" w:rsidP="00897193">
            <w:pPr>
              <w:pStyle w:val="ARtabletextright"/>
            </w:pPr>
            <w:r w:rsidRPr="002029AF">
              <w:t>4,368</w:t>
            </w:r>
          </w:p>
        </w:tc>
      </w:tr>
      <w:tr w:rsidR="00CF72D5" w:rsidRPr="002029AF" w14:paraId="67A9A210" w14:textId="77777777" w:rsidTr="00897193">
        <w:tc>
          <w:tcPr>
            <w:tcW w:w="0" w:type="dxa"/>
            <w:hideMark/>
          </w:tcPr>
          <w:p w14:paraId="4AFB8BC2" w14:textId="035EA23B" w:rsidR="00CF72D5" w:rsidRPr="002029AF" w:rsidRDefault="00CF72D5" w:rsidP="00897193">
            <w:pPr>
              <w:pStyle w:val="ARtabletext"/>
            </w:pPr>
            <w:r w:rsidRPr="002029AF">
              <w:t>Total</w:t>
            </w:r>
            <w:r w:rsidR="000A5329" w:rsidRPr="002029AF">
              <w:t xml:space="preserve"> </w:t>
            </w:r>
            <w:r w:rsidRPr="002029AF">
              <w:t>water</w:t>
            </w:r>
            <w:r w:rsidR="000A5329" w:rsidRPr="002029AF">
              <w:t xml:space="preserve"> </w:t>
            </w:r>
            <w:r w:rsidRPr="002029AF">
              <w:t>usage</w:t>
            </w:r>
            <w:r w:rsidR="000A5329" w:rsidRPr="002029AF">
              <w:t xml:space="preserve"> </w:t>
            </w:r>
            <w:r w:rsidRPr="002029AF">
              <w:t>charge</w:t>
            </w:r>
            <w:r w:rsidR="000A5329" w:rsidRPr="002029AF">
              <w:t xml:space="preserve"> </w:t>
            </w:r>
            <w:r w:rsidRPr="002029AF">
              <w:t>($</w:t>
            </w:r>
            <w:r w:rsidR="000A5329" w:rsidRPr="002029AF">
              <w:t xml:space="preserve"> </w:t>
            </w:r>
            <w:r w:rsidRPr="002029AF">
              <w:t>million)</w:t>
            </w:r>
          </w:p>
        </w:tc>
        <w:tc>
          <w:tcPr>
            <w:tcW w:w="0" w:type="dxa"/>
            <w:vAlign w:val="center"/>
          </w:tcPr>
          <w:p w14:paraId="2F2D7F2C" w14:textId="77777777" w:rsidR="00CF72D5" w:rsidRPr="002029AF" w:rsidRDefault="00CF72D5" w:rsidP="00897193">
            <w:pPr>
              <w:pStyle w:val="ARtabletextright"/>
            </w:pPr>
            <w:r w:rsidRPr="002029AF">
              <w:t>$19.12</w:t>
            </w:r>
          </w:p>
        </w:tc>
        <w:tc>
          <w:tcPr>
            <w:tcW w:w="0" w:type="dxa"/>
            <w:vAlign w:val="center"/>
          </w:tcPr>
          <w:p w14:paraId="7F7491D3" w14:textId="77777777" w:rsidR="00CF72D5" w:rsidRPr="002029AF" w:rsidRDefault="00CF72D5" w:rsidP="00897193">
            <w:pPr>
              <w:pStyle w:val="ARtabletextright"/>
            </w:pPr>
            <w:r w:rsidRPr="002029AF">
              <w:t>$18.31</w:t>
            </w:r>
          </w:p>
        </w:tc>
        <w:tc>
          <w:tcPr>
            <w:tcW w:w="0" w:type="dxa"/>
            <w:vAlign w:val="center"/>
          </w:tcPr>
          <w:p w14:paraId="360B3980" w14:textId="77777777" w:rsidR="00CF72D5" w:rsidRPr="002029AF" w:rsidRDefault="00CF72D5" w:rsidP="00897193">
            <w:pPr>
              <w:pStyle w:val="ARtabletextright"/>
            </w:pPr>
            <w:r w:rsidRPr="002029AF">
              <w:t>$18.00</w:t>
            </w:r>
          </w:p>
        </w:tc>
      </w:tr>
      <w:tr w:rsidR="00CF72D5" w:rsidRPr="002029AF" w14:paraId="418D6A7E" w14:textId="77777777" w:rsidTr="00897193">
        <w:tc>
          <w:tcPr>
            <w:tcW w:w="0" w:type="dxa"/>
            <w:hideMark/>
          </w:tcPr>
          <w:p w14:paraId="71BB3359" w14:textId="4402DB86" w:rsidR="00CF72D5" w:rsidRPr="002029AF" w:rsidRDefault="00CF72D5" w:rsidP="00897193">
            <w:pPr>
              <w:pStyle w:val="ARtabletext"/>
            </w:pPr>
            <w:r w:rsidRPr="002029AF">
              <w:t>Water</w:t>
            </w:r>
            <w:r w:rsidR="000A5329" w:rsidRPr="002029AF">
              <w:t xml:space="preserve"> </w:t>
            </w:r>
            <w:r w:rsidRPr="002029AF">
              <w:t>used</w:t>
            </w:r>
            <w:r w:rsidR="000A5329" w:rsidRPr="002029AF">
              <w:t xml:space="preserve"> </w:t>
            </w:r>
            <w:r w:rsidRPr="002029AF">
              <w:t>per</w:t>
            </w:r>
            <w:r w:rsidR="000A5329" w:rsidRPr="002029AF">
              <w:t xml:space="preserve"> </w:t>
            </w:r>
            <w:r w:rsidRPr="002029AF">
              <w:t>separation</w:t>
            </w:r>
            <w:r w:rsidR="000A5329" w:rsidRPr="002029AF">
              <w:t xml:space="preserve"> </w:t>
            </w:r>
            <w:r w:rsidRPr="002029AF">
              <w:t>(kilolitres/separation)</w:t>
            </w:r>
          </w:p>
        </w:tc>
        <w:tc>
          <w:tcPr>
            <w:tcW w:w="0" w:type="dxa"/>
            <w:vAlign w:val="center"/>
          </w:tcPr>
          <w:p w14:paraId="35ADE0FB" w14:textId="77777777" w:rsidR="00CF72D5" w:rsidRPr="002029AF" w:rsidRDefault="00CF72D5" w:rsidP="00897193">
            <w:pPr>
              <w:pStyle w:val="ARtabletextright"/>
            </w:pPr>
            <w:r w:rsidRPr="002029AF">
              <w:t>2.41</w:t>
            </w:r>
          </w:p>
        </w:tc>
        <w:tc>
          <w:tcPr>
            <w:tcW w:w="0" w:type="dxa"/>
            <w:vAlign w:val="center"/>
          </w:tcPr>
          <w:p w14:paraId="6A9CDC91" w14:textId="77777777" w:rsidR="00CF72D5" w:rsidRPr="002029AF" w:rsidRDefault="00CF72D5" w:rsidP="00897193">
            <w:pPr>
              <w:pStyle w:val="ARtabletextright"/>
            </w:pPr>
            <w:r w:rsidRPr="002029AF">
              <w:t>2.3</w:t>
            </w:r>
          </w:p>
        </w:tc>
        <w:tc>
          <w:tcPr>
            <w:tcW w:w="0" w:type="dxa"/>
            <w:vAlign w:val="center"/>
          </w:tcPr>
          <w:p w14:paraId="1EC68949" w14:textId="77777777" w:rsidR="00CF72D5" w:rsidRPr="002029AF" w:rsidRDefault="00CF72D5" w:rsidP="00897193">
            <w:pPr>
              <w:pStyle w:val="ARtabletextright"/>
            </w:pPr>
            <w:r w:rsidRPr="002029AF">
              <w:t>2.31</w:t>
            </w:r>
          </w:p>
        </w:tc>
      </w:tr>
      <w:tr w:rsidR="00CF72D5" w:rsidRPr="002029AF" w14:paraId="2AB0A736" w14:textId="77777777" w:rsidTr="00897193">
        <w:tc>
          <w:tcPr>
            <w:tcW w:w="0" w:type="dxa"/>
            <w:hideMark/>
          </w:tcPr>
          <w:p w14:paraId="693B4DB8" w14:textId="2CFE8EF4" w:rsidR="00CF72D5" w:rsidRPr="002029AF" w:rsidRDefault="00CF72D5" w:rsidP="00897193">
            <w:pPr>
              <w:pStyle w:val="ARtabletext"/>
            </w:pPr>
            <w:r w:rsidRPr="002029AF">
              <w:t>Water</w:t>
            </w:r>
            <w:r w:rsidR="000A5329" w:rsidRPr="002029AF">
              <w:t xml:space="preserve"> </w:t>
            </w:r>
            <w:r w:rsidRPr="002029AF">
              <w:t>used</w:t>
            </w:r>
            <w:r w:rsidR="000A5329" w:rsidRPr="002029AF">
              <w:t xml:space="preserve"> </w:t>
            </w:r>
            <w:r w:rsidRPr="002029AF">
              <w:t>per</w:t>
            </w:r>
            <w:r w:rsidR="000A5329" w:rsidRPr="002029AF">
              <w:t xml:space="preserve"> </w:t>
            </w:r>
            <w:r w:rsidRPr="002029AF">
              <w:t>bed</w:t>
            </w:r>
            <w:r w:rsidR="000A5329" w:rsidRPr="002029AF">
              <w:t xml:space="preserve"> </w:t>
            </w:r>
            <w:r w:rsidRPr="002029AF">
              <w:t>day</w:t>
            </w:r>
            <w:r w:rsidR="000A5329" w:rsidRPr="002029AF">
              <w:t xml:space="preserve"> </w:t>
            </w:r>
            <w:r w:rsidRPr="002029AF">
              <w:t>(kilolitres/bed</w:t>
            </w:r>
            <w:r w:rsidR="000A5329" w:rsidRPr="002029AF">
              <w:t xml:space="preserve"> </w:t>
            </w:r>
            <w:r w:rsidRPr="002029AF">
              <w:t>day)</w:t>
            </w:r>
          </w:p>
        </w:tc>
        <w:tc>
          <w:tcPr>
            <w:tcW w:w="0" w:type="dxa"/>
            <w:vAlign w:val="center"/>
          </w:tcPr>
          <w:p w14:paraId="232185E7" w14:textId="77777777" w:rsidR="00CF72D5" w:rsidRPr="002029AF" w:rsidRDefault="00CF72D5" w:rsidP="00897193">
            <w:pPr>
              <w:pStyle w:val="ARtabletextright"/>
            </w:pPr>
            <w:r w:rsidRPr="002029AF">
              <w:t>0.65</w:t>
            </w:r>
          </w:p>
        </w:tc>
        <w:tc>
          <w:tcPr>
            <w:tcW w:w="0" w:type="dxa"/>
            <w:vAlign w:val="center"/>
          </w:tcPr>
          <w:p w14:paraId="581AC4A3" w14:textId="77777777" w:rsidR="00CF72D5" w:rsidRPr="002029AF" w:rsidRDefault="00CF72D5" w:rsidP="00897193">
            <w:pPr>
              <w:pStyle w:val="ARtabletextright"/>
            </w:pPr>
            <w:r w:rsidRPr="002029AF">
              <w:t>0.62</w:t>
            </w:r>
          </w:p>
        </w:tc>
        <w:tc>
          <w:tcPr>
            <w:tcW w:w="0" w:type="dxa"/>
            <w:vAlign w:val="center"/>
          </w:tcPr>
          <w:p w14:paraId="15F67344" w14:textId="77777777" w:rsidR="00CF72D5" w:rsidRPr="002029AF" w:rsidRDefault="00CF72D5" w:rsidP="00897193">
            <w:pPr>
              <w:pStyle w:val="ARtabletextright"/>
            </w:pPr>
            <w:r w:rsidRPr="002029AF">
              <w:t>0.61</w:t>
            </w:r>
          </w:p>
        </w:tc>
      </w:tr>
      <w:tr w:rsidR="00CF72D5" w:rsidRPr="002029AF" w14:paraId="2AB85C8D" w14:textId="77777777" w:rsidTr="00897193">
        <w:tc>
          <w:tcPr>
            <w:tcW w:w="0" w:type="dxa"/>
            <w:hideMark/>
          </w:tcPr>
          <w:p w14:paraId="560B7C3C" w14:textId="204CEDBF" w:rsidR="00CF72D5" w:rsidRPr="002029AF" w:rsidRDefault="00CF72D5" w:rsidP="00897193">
            <w:pPr>
              <w:pStyle w:val="ARtabletext"/>
            </w:pPr>
            <w:r w:rsidRPr="002029AF">
              <w:t>Water</w:t>
            </w:r>
            <w:r w:rsidR="000A5329" w:rsidRPr="002029AF">
              <w:t xml:space="preserve"> </w:t>
            </w:r>
            <w:r w:rsidRPr="002029AF">
              <w:t>used</w:t>
            </w:r>
            <w:r w:rsidR="000A5329" w:rsidRPr="002029AF">
              <w:t xml:space="preserve"> </w:t>
            </w:r>
            <w:r w:rsidRPr="002029AF">
              <w:t>per</w:t>
            </w:r>
            <w:r w:rsidR="000A5329" w:rsidRPr="002029AF">
              <w:t xml:space="preserve"> </w:t>
            </w:r>
            <w:r w:rsidRPr="002029AF">
              <w:t>unit</w:t>
            </w:r>
            <w:r w:rsidR="000A5329" w:rsidRPr="002029AF">
              <w:t xml:space="preserve"> </w:t>
            </w:r>
            <w:r w:rsidRPr="002029AF">
              <w:t>of</w:t>
            </w:r>
            <w:r w:rsidR="000A5329" w:rsidRPr="002029AF">
              <w:t xml:space="preserve"> </w:t>
            </w:r>
            <w:r w:rsidRPr="002029AF">
              <w:t>floor</w:t>
            </w:r>
            <w:r w:rsidR="000A5329" w:rsidRPr="002029AF">
              <w:t xml:space="preserve"> </w:t>
            </w:r>
            <w:r w:rsidRPr="002029AF">
              <w:t>space</w:t>
            </w:r>
            <w:r w:rsidR="000A5329" w:rsidRPr="002029AF">
              <w:t xml:space="preserve"> </w:t>
            </w:r>
            <w:r w:rsidRPr="002029AF">
              <w:t>(kilolitres/m</w:t>
            </w:r>
            <w:r w:rsidRPr="002029AF">
              <w:rPr>
                <w:vertAlign w:val="superscript"/>
              </w:rPr>
              <w:t>2</w:t>
            </w:r>
            <w:r w:rsidRPr="002029AF">
              <w:t>)</w:t>
            </w:r>
          </w:p>
        </w:tc>
        <w:tc>
          <w:tcPr>
            <w:tcW w:w="0" w:type="dxa"/>
            <w:vAlign w:val="center"/>
          </w:tcPr>
          <w:p w14:paraId="11A9FDCA" w14:textId="77777777" w:rsidR="00CF72D5" w:rsidRPr="002029AF" w:rsidRDefault="00CF72D5" w:rsidP="00897193">
            <w:pPr>
              <w:pStyle w:val="ARtabletextright"/>
            </w:pPr>
            <w:r w:rsidRPr="002029AF">
              <w:t>1.26</w:t>
            </w:r>
          </w:p>
        </w:tc>
        <w:tc>
          <w:tcPr>
            <w:tcW w:w="0" w:type="dxa"/>
            <w:vAlign w:val="center"/>
          </w:tcPr>
          <w:p w14:paraId="4179E8C1" w14:textId="77777777" w:rsidR="00CF72D5" w:rsidRPr="002029AF" w:rsidRDefault="00CF72D5" w:rsidP="00897193">
            <w:pPr>
              <w:pStyle w:val="ARtabletextright"/>
            </w:pPr>
            <w:r w:rsidRPr="002029AF">
              <w:t>1.25</w:t>
            </w:r>
          </w:p>
        </w:tc>
        <w:tc>
          <w:tcPr>
            <w:tcW w:w="0" w:type="dxa"/>
            <w:vAlign w:val="center"/>
          </w:tcPr>
          <w:p w14:paraId="7CE2FAB1" w14:textId="77777777" w:rsidR="00CF72D5" w:rsidRPr="002029AF" w:rsidRDefault="00CF72D5" w:rsidP="00897193">
            <w:pPr>
              <w:pStyle w:val="ARtabletextright"/>
            </w:pPr>
            <w:r w:rsidRPr="002029AF">
              <w:t>1.22</w:t>
            </w:r>
          </w:p>
        </w:tc>
      </w:tr>
    </w:tbl>
    <w:p w14:paraId="7DC3579F" w14:textId="6EDB0435" w:rsidR="00CF72D5" w:rsidRPr="002029AF" w:rsidRDefault="00CF72D5" w:rsidP="00897193">
      <w:pPr>
        <w:pStyle w:val="ARtablefootnote"/>
      </w:pPr>
      <w:r w:rsidRPr="002029AF">
        <w:t>Public</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are</w:t>
      </w:r>
      <w:r w:rsidR="000A5329" w:rsidRPr="002029AF">
        <w:t xml:space="preserve"> </w:t>
      </w:r>
      <w:r w:rsidRPr="002029AF">
        <w:t>GST-exempt</w:t>
      </w:r>
      <w:r w:rsidR="000A5329" w:rsidRPr="002029AF">
        <w:t xml:space="preserve"> </w:t>
      </w:r>
      <w:r w:rsidRPr="002029AF">
        <w:t>organisations.</w:t>
      </w:r>
      <w:r w:rsidR="000A5329" w:rsidRPr="002029AF">
        <w:t xml:space="preserve"> </w:t>
      </w:r>
      <w:r w:rsidRPr="002029AF">
        <w:t>Reported</w:t>
      </w:r>
      <w:r w:rsidR="000A5329" w:rsidRPr="002029AF">
        <w:t xml:space="preserve"> </w:t>
      </w:r>
      <w:r w:rsidRPr="002029AF">
        <w:t>cost</w:t>
      </w:r>
      <w:r w:rsidR="000A5329" w:rsidRPr="002029AF">
        <w:t xml:space="preserve"> </w:t>
      </w:r>
      <w:r w:rsidRPr="002029AF">
        <w:t>data</w:t>
      </w:r>
      <w:r w:rsidR="000A5329" w:rsidRPr="002029AF">
        <w:t xml:space="preserve"> </w:t>
      </w:r>
      <w:r w:rsidRPr="002029AF">
        <w:t>for</w:t>
      </w:r>
      <w:r w:rsidR="000A5329" w:rsidRPr="002029AF">
        <w:t xml:space="preserve"> </w:t>
      </w:r>
      <w:r w:rsidRPr="002029AF">
        <w:t>public</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is</w:t>
      </w:r>
      <w:r w:rsidR="000A5329" w:rsidRPr="002029AF">
        <w:t xml:space="preserve"> </w:t>
      </w:r>
      <w:r w:rsidRPr="002029AF">
        <w:t>exclusive</w:t>
      </w:r>
      <w:r w:rsidR="000A5329" w:rsidRPr="002029AF">
        <w:t xml:space="preserve"> </w:t>
      </w:r>
      <w:r w:rsidRPr="002029AF">
        <w:t>of</w:t>
      </w:r>
      <w:r w:rsidR="000A5329" w:rsidRPr="002029AF">
        <w:t xml:space="preserve"> </w:t>
      </w:r>
      <w:r w:rsidRPr="002029AF">
        <w:t>GST.</w:t>
      </w:r>
    </w:p>
    <w:p w14:paraId="4A057D20" w14:textId="7DF637F6" w:rsidR="00CF72D5" w:rsidRPr="002029AF" w:rsidRDefault="00CF72D5" w:rsidP="00897193">
      <w:pPr>
        <w:pStyle w:val="ARtablefootnote"/>
      </w:pPr>
      <w:r w:rsidRPr="002029AF">
        <w:t>Public</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water</w:t>
      </w:r>
      <w:r w:rsidR="000A5329" w:rsidRPr="002029AF">
        <w:t xml:space="preserve"> </w:t>
      </w:r>
      <w:r w:rsidRPr="002029AF">
        <w:t>data</w:t>
      </w:r>
      <w:r w:rsidR="000A5329" w:rsidRPr="002029AF">
        <w:t xml:space="preserve"> </w:t>
      </w:r>
      <w:r w:rsidRPr="002029AF">
        <w:t>includes</w:t>
      </w:r>
      <w:r w:rsidR="000A5329" w:rsidRPr="002029AF">
        <w:t xml:space="preserve"> </w:t>
      </w:r>
      <w:r w:rsidRPr="002029AF">
        <w:t>an</w:t>
      </w:r>
      <w:r w:rsidR="000A5329" w:rsidRPr="002029AF">
        <w:t xml:space="preserve"> </w:t>
      </w:r>
      <w:r w:rsidRPr="002029AF">
        <w:t>11</w:t>
      </w:r>
      <w:r w:rsidR="000A5329" w:rsidRPr="002029AF">
        <w:t xml:space="preserve"> </w:t>
      </w:r>
      <w:r w:rsidRPr="002029AF">
        <w:t>per</w:t>
      </w:r>
      <w:r w:rsidR="000A5329" w:rsidRPr="002029AF">
        <w:t xml:space="preserve"> </w:t>
      </w:r>
      <w:r w:rsidRPr="002029AF">
        <w:t>cent</w:t>
      </w:r>
      <w:r w:rsidR="000A5329" w:rsidRPr="002029AF">
        <w:t xml:space="preserve"> </w:t>
      </w:r>
      <w:r w:rsidRPr="002029AF">
        <w:t>estimate</w:t>
      </w:r>
      <w:r w:rsidR="000A5329" w:rsidRPr="002029AF">
        <w:t xml:space="preserve"> </w:t>
      </w:r>
      <w:r w:rsidRPr="002029AF">
        <w:t>in</w:t>
      </w:r>
      <w:r w:rsidR="000A5329" w:rsidRPr="002029AF">
        <w:t xml:space="preserve"> </w:t>
      </w:r>
      <w:r w:rsidRPr="002029AF">
        <w:t>201</w:t>
      </w:r>
      <w:r w:rsidR="00DB53E6" w:rsidRPr="002029AF">
        <w:t>9–</w:t>
      </w:r>
      <w:r w:rsidRPr="002029AF">
        <w:t>20</w:t>
      </w:r>
      <w:r w:rsidR="000A5329" w:rsidRPr="002029AF">
        <w:t xml:space="preserve"> </w:t>
      </w:r>
      <w:r w:rsidRPr="002029AF">
        <w:t>due</w:t>
      </w:r>
      <w:r w:rsidR="000A5329" w:rsidRPr="002029AF">
        <w:t xml:space="preserve"> </w:t>
      </w:r>
      <w:r w:rsidRPr="002029AF">
        <w:t>to</w:t>
      </w:r>
      <w:r w:rsidR="000A5329" w:rsidRPr="002029AF">
        <w:t xml:space="preserve"> </w:t>
      </w:r>
      <w:r w:rsidRPr="002029AF">
        <w:t>some</w:t>
      </w:r>
      <w:r w:rsidR="000A5329" w:rsidRPr="002029AF">
        <w:t xml:space="preserve"> </w:t>
      </w:r>
      <w:r w:rsidRPr="002029AF">
        <w:t>data</w:t>
      </w:r>
      <w:r w:rsidR="000A5329" w:rsidRPr="002029AF">
        <w:t xml:space="preserve"> </w:t>
      </w:r>
      <w:r w:rsidRPr="002029AF">
        <w:t>being</w:t>
      </w:r>
      <w:r w:rsidR="000A5329" w:rsidRPr="002029AF">
        <w:t xml:space="preserve"> </w:t>
      </w:r>
      <w:r w:rsidRPr="002029AF">
        <w:t>unavailable</w:t>
      </w:r>
      <w:r w:rsidR="000A5329" w:rsidRPr="002029AF">
        <w:t xml:space="preserve"> </w:t>
      </w:r>
      <w:r w:rsidRPr="002029AF">
        <w:t>from</w:t>
      </w:r>
      <w:r w:rsidR="000A5329" w:rsidRPr="002029AF">
        <w:t xml:space="preserve"> </w:t>
      </w:r>
      <w:r w:rsidRPr="002029AF">
        <w:t>water</w:t>
      </w:r>
      <w:r w:rsidR="000A5329" w:rsidRPr="002029AF">
        <w:t xml:space="preserve"> </w:t>
      </w:r>
      <w:r w:rsidRPr="002029AF">
        <w:t>authorities</w:t>
      </w:r>
      <w:r w:rsidR="000A5329" w:rsidRPr="002029AF">
        <w:t xml:space="preserve"> </w:t>
      </w:r>
      <w:r w:rsidRPr="002029AF">
        <w:t>at</w:t>
      </w:r>
      <w:r w:rsidR="000A5329" w:rsidRPr="002029AF">
        <w:t xml:space="preserve"> </w:t>
      </w:r>
      <w:r w:rsidRPr="002029AF">
        <w:t>the</w:t>
      </w:r>
      <w:r w:rsidR="000A5329" w:rsidRPr="002029AF">
        <w:t xml:space="preserve"> </w:t>
      </w:r>
      <w:r w:rsidRPr="002029AF">
        <w:t>time</w:t>
      </w:r>
      <w:r w:rsidR="000A5329" w:rsidRPr="002029AF">
        <w:t xml:space="preserve"> </w:t>
      </w:r>
      <w:r w:rsidRPr="002029AF">
        <w:t>of</w:t>
      </w:r>
      <w:r w:rsidR="000A5329" w:rsidRPr="002029AF">
        <w:t xml:space="preserve"> </w:t>
      </w:r>
      <w:r w:rsidRPr="002029AF">
        <w:t>reporting.</w:t>
      </w:r>
    </w:p>
    <w:p w14:paraId="4F9E12F6" w14:textId="1A6A1A3C" w:rsidR="00CF72D5" w:rsidRPr="002029AF" w:rsidRDefault="00CF72D5" w:rsidP="00961519">
      <w:pPr>
        <w:pStyle w:val="Heading4"/>
        <w:spacing w:before="400" w:after="200"/>
        <w:rPr>
          <w:rFonts w:ascii="Arial Bold" w:hAnsi="Arial Bold" w:hint="eastAsia"/>
          <w:color w:val="87189D"/>
        </w:rPr>
      </w:pPr>
      <w:bookmarkStart w:id="187" w:name="_Toc51786526"/>
      <w:r w:rsidRPr="002029AF">
        <w:rPr>
          <w:rFonts w:ascii="Arial Bold" w:hAnsi="Arial Bold"/>
          <w:color w:val="87189D"/>
        </w:rPr>
        <w:t>Waste</w:t>
      </w:r>
      <w:r w:rsidR="000A5329" w:rsidRPr="002029AF">
        <w:rPr>
          <w:rFonts w:ascii="Arial Bold" w:hAnsi="Arial Bold"/>
          <w:color w:val="87189D"/>
        </w:rPr>
        <w:t xml:space="preserve"> </w:t>
      </w:r>
      <w:r w:rsidRPr="002029AF">
        <w:rPr>
          <w:rFonts w:ascii="Arial Bold" w:hAnsi="Arial Bold"/>
          <w:color w:val="87189D"/>
        </w:rPr>
        <w:t>production</w:t>
      </w:r>
      <w:bookmarkEnd w:id="187"/>
    </w:p>
    <w:p w14:paraId="7E4A3524" w14:textId="25290A4C" w:rsidR="00CF72D5" w:rsidRPr="002029AF" w:rsidRDefault="00CF72D5" w:rsidP="00961519">
      <w:pPr>
        <w:pStyle w:val="Heading5"/>
        <w:spacing w:before="0" w:after="200"/>
        <w:rPr>
          <w:rFonts w:ascii="Arial Bold" w:hAnsi="Arial Bold"/>
          <w:color w:val="4B4B4B"/>
        </w:rPr>
      </w:pPr>
      <w:r w:rsidRPr="002029AF">
        <w:rPr>
          <w:rFonts w:ascii="Arial Bold" w:hAnsi="Arial Bold"/>
          <w:color w:val="4B4B4B"/>
        </w:rPr>
        <w:t>Office</w:t>
      </w:r>
      <w:r w:rsidR="000A5329" w:rsidRPr="002029AF">
        <w:rPr>
          <w:rFonts w:ascii="Arial Bold" w:hAnsi="Arial Bold"/>
          <w:color w:val="4B4B4B"/>
        </w:rPr>
        <w:t xml:space="preserve"> </w:t>
      </w:r>
      <w:r w:rsidRPr="002029AF">
        <w:rPr>
          <w:rFonts w:ascii="Arial Bold" w:hAnsi="Arial Bold"/>
          <w:color w:val="4B4B4B"/>
        </w:rPr>
        <w:t>based</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6A0" w:firstRow="1" w:lastRow="0" w:firstColumn="1" w:lastColumn="0" w:noHBand="1" w:noVBand="1"/>
      </w:tblPr>
      <w:tblGrid>
        <w:gridCol w:w="2835"/>
        <w:gridCol w:w="2268"/>
        <w:gridCol w:w="2268"/>
        <w:gridCol w:w="2268"/>
      </w:tblGrid>
      <w:tr w:rsidR="00CF72D5" w:rsidRPr="002029AF" w14:paraId="0045E53B" w14:textId="77777777" w:rsidTr="00897193">
        <w:trPr>
          <w:cantSplit/>
          <w:trHeight w:val="285"/>
          <w:tblHeader/>
        </w:trPr>
        <w:tc>
          <w:tcPr>
            <w:tcW w:w="2835" w:type="dxa"/>
            <w:vAlign w:val="bottom"/>
          </w:tcPr>
          <w:p w14:paraId="7FE594BE" w14:textId="77777777" w:rsidR="00CF72D5" w:rsidRPr="002029AF" w:rsidRDefault="00CF72D5" w:rsidP="00897193">
            <w:pPr>
              <w:pStyle w:val="ARtablecolhead"/>
            </w:pPr>
            <w:r w:rsidRPr="002029AF">
              <w:t>Description</w:t>
            </w:r>
          </w:p>
        </w:tc>
        <w:tc>
          <w:tcPr>
            <w:tcW w:w="2268" w:type="dxa"/>
            <w:vAlign w:val="center"/>
          </w:tcPr>
          <w:p w14:paraId="2588482B" w14:textId="7AF9D76E" w:rsidR="00CF72D5" w:rsidRPr="002029AF" w:rsidRDefault="00CF72D5" w:rsidP="00897193">
            <w:pPr>
              <w:pStyle w:val="ARtablecolheadright"/>
            </w:pPr>
            <w:r w:rsidRPr="002029AF">
              <w:rPr>
                <w:color w:val="000000"/>
              </w:rPr>
              <w:t>2019–20</w:t>
            </w:r>
            <w:r w:rsidR="000A5329" w:rsidRPr="002029AF">
              <w:rPr>
                <w:color w:val="000000"/>
              </w:rPr>
              <w:t xml:space="preserve"> </w:t>
            </w:r>
            <w:r w:rsidRPr="002029AF">
              <w:rPr>
                <w:color w:val="000000"/>
              </w:rPr>
              <w:t>estimate</w:t>
            </w:r>
          </w:p>
        </w:tc>
        <w:tc>
          <w:tcPr>
            <w:tcW w:w="2268" w:type="dxa"/>
            <w:vAlign w:val="center"/>
          </w:tcPr>
          <w:p w14:paraId="784558EF" w14:textId="3EDF85F9" w:rsidR="00CF72D5" w:rsidRPr="002029AF" w:rsidRDefault="00CF72D5" w:rsidP="00897193">
            <w:pPr>
              <w:pStyle w:val="ARtablecolheadright"/>
            </w:pPr>
            <w:r w:rsidRPr="002029AF">
              <w:rPr>
                <w:color w:val="000000"/>
              </w:rPr>
              <w:t>2018–19</w:t>
            </w:r>
            <w:r w:rsidR="000A5329" w:rsidRPr="002029AF">
              <w:rPr>
                <w:color w:val="000000"/>
              </w:rPr>
              <w:t xml:space="preserve"> </w:t>
            </w:r>
            <w:r w:rsidRPr="002029AF">
              <w:rPr>
                <w:color w:val="000000"/>
              </w:rPr>
              <w:t>estimate</w:t>
            </w:r>
          </w:p>
        </w:tc>
        <w:tc>
          <w:tcPr>
            <w:tcW w:w="2268" w:type="dxa"/>
            <w:vAlign w:val="center"/>
          </w:tcPr>
          <w:p w14:paraId="1771B553" w14:textId="0AED936A" w:rsidR="00CF72D5" w:rsidRPr="002029AF" w:rsidRDefault="00CF72D5" w:rsidP="00897193">
            <w:pPr>
              <w:pStyle w:val="ARtablecolheadright"/>
            </w:pPr>
            <w:r w:rsidRPr="002029AF">
              <w:rPr>
                <w:color w:val="000000"/>
              </w:rPr>
              <w:t>2017–18</w:t>
            </w:r>
            <w:r w:rsidR="000A5329" w:rsidRPr="002029AF">
              <w:rPr>
                <w:color w:val="000000"/>
              </w:rPr>
              <w:t xml:space="preserve"> </w:t>
            </w:r>
            <w:r w:rsidRPr="002029AF">
              <w:rPr>
                <w:color w:val="000000"/>
              </w:rPr>
              <w:t>estimate</w:t>
            </w:r>
          </w:p>
        </w:tc>
      </w:tr>
      <w:tr w:rsidR="00CF72D5" w:rsidRPr="002029AF" w14:paraId="14D579D0" w14:textId="77777777" w:rsidTr="00897193">
        <w:trPr>
          <w:cantSplit/>
          <w:trHeight w:val="285"/>
          <w:tblHeader/>
        </w:trPr>
        <w:tc>
          <w:tcPr>
            <w:tcW w:w="2835" w:type="dxa"/>
            <w:vAlign w:val="bottom"/>
          </w:tcPr>
          <w:p w14:paraId="1477C521" w14:textId="3FDAC547" w:rsidR="00CF72D5" w:rsidRPr="002029AF" w:rsidRDefault="00CF72D5" w:rsidP="00897193">
            <w:pPr>
              <w:pStyle w:val="ARtablecolhead"/>
            </w:pPr>
            <w:r w:rsidRPr="002029AF">
              <w:t>Total</w:t>
            </w:r>
            <w:r w:rsidR="000A5329" w:rsidRPr="002029AF">
              <w:t xml:space="preserve"> </w:t>
            </w:r>
            <w:r w:rsidRPr="002029AF">
              <w:t>units</w:t>
            </w:r>
            <w:r w:rsidR="000A5329" w:rsidRPr="002029AF">
              <w:t xml:space="preserve"> </w:t>
            </w:r>
            <w:r w:rsidRPr="002029AF">
              <w:t>of</w:t>
            </w:r>
            <w:r w:rsidR="000A5329" w:rsidRPr="002029AF">
              <w:t xml:space="preserve"> </w:t>
            </w:r>
            <w:r w:rsidRPr="002029AF">
              <w:t>waste</w:t>
            </w:r>
            <w:r w:rsidR="000A5329" w:rsidRPr="002029AF">
              <w:t xml:space="preserve"> </w:t>
            </w:r>
            <w:r w:rsidRPr="002029AF">
              <w:t>disposed</w:t>
            </w:r>
            <w:r w:rsidR="000A5329" w:rsidRPr="002029AF">
              <w:t xml:space="preserve"> </w:t>
            </w:r>
            <w:r w:rsidRPr="002029AF">
              <w:t>of</w:t>
            </w:r>
            <w:r w:rsidR="000A5329" w:rsidRPr="002029AF">
              <w:t xml:space="preserve"> </w:t>
            </w:r>
            <w:r w:rsidRPr="002029AF">
              <w:t>by</w:t>
            </w:r>
            <w:r w:rsidR="000A5329" w:rsidRPr="002029AF">
              <w:t xml:space="preserve"> </w:t>
            </w:r>
            <w:r w:rsidRPr="002029AF">
              <w:t>destination</w:t>
            </w:r>
            <w:r w:rsidR="000A5329" w:rsidRPr="002029AF">
              <w:t xml:space="preserve"> </w:t>
            </w:r>
          </w:p>
        </w:tc>
        <w:tc>
          <w:tcPr>
            <w:tcW w:w="2268" w:type="dxa"/>
            <w:vAlign w:val="bottom"/>
          </w:tcPr>
          <w:p w14:paraId="51D23B69" w14:textId="77777777" w:rsidR="00CF72D5" w:rsidRPr="002029AF" w:rsidRDefault="00CF72D5" w:rsidP="00897193">
            <w:pPr>
              <w:pStyle w:val="ARtablecolheadright"/>
            </w:pPr>
            <w:r w:rsidRPr="002029AF">
              <w:t>Kilograms/year</w:t>
            </w:r>
          </w:p>
        </w:tc>
        <w:tc>
          <w:tcPr>
            <w:tcW w:w="2268" w:type="dxa"/>
            <w:vAlign w:val="bottom"/>
          </w:tcPr>
          <w:p w14:paraId="093E0ABD" w14:textId="77777777" w:rsidR="00CF72D5" w:rsidRPr="002029AF" w:rsidRDefault="00CF72D5" w:rsidP="00897193">
            <w:pPr>
              <w:pStyle w:val="ARtablecolheadright"/>
            </w:pPr>
            <w:r w:rsidRPr="002029AF">
              <w:t>Kilograms/year</w:t>
            </w:r>
          </w:p>
        </w:tc>
        <w:tc>
          <w:tcPr>
            <w:tcW w:w="2268" w:type="dxa"/>
            <w:vAlign w:val="bottom"/>
          </w:tcPr>
          <w:p w14:paraId="2C2EA750" w14:textId="77777777" w:rsidR="00CF72D5" w:rsidRPr="002029AF" w:rsidRDefault="00CF72D5" w:rsidP="00897193">
            <w:pPr>
              <w:pStyle w:val="ARtablecolheadright"/>
            </w:pPr>
            <w:r w:rsidRPr="002029AF">
              <w:t>Kilograms/year</w:t>
            </w:r>
          </w:p>
        </w:tc>
      </w:tr>
      <w:tr w:rsidR="00CF72D5" w:rsidRPr="002029AF" w14:paraId="5948A1F7" w14:textId="77777777" w:rsidTr="00897193">
        <w:trPr>
          <w:cantSplit/>
          <w:trHeight w:val="285"/>
        </w:trPr>
        <w:tc>
          <w:tcPr>
            <w:tcW w:w="2835" w:type="dxa"/>
          </w:tcPr>
          <w:p w14:paraId="5CAEDA8E" w14:textId="77777777" w:rsidR="00CF72D5" w:rsidRPr="002029AF" w:rsidRDefault="00CF72D5" w:rsidP="00897193">
            <w:pPr>
              <w:pStyle w:val="ARtabletext"/>
            </w:pPr>
            <w:r w:rsidRPr="002029AF">
              <w:t>Landfill</w:t>
            </w:r>
          </w:p>
        </w:tc>
        <w:tc>
          <w:tcPr>
            <w:tcW w:w="2268" w:type="dxa"/>
            <w:vAlign w:val="center"/>
          </w:tcPr>
          <w:p w14:paraId="3B036A0E" w14:textId="77777777" w:rsidR="00CF72D5" w:rsidRPr="002029AF" w:rsidRDefault="00CF72D5" w:rsidP="00897193">
            <w:pPr>
              <w:pStyle w:val="ARtabletextright"/>
            </w:pPr>
            <w:r w:rsidRPr="002029AF">
              <w:t>N/A</w:t>
            </w:r>
          </w:p>
        </w:tc>
        <w:tc>
          <w:tcPr>
            <w:tcW w:w="2268" w:type="dxa"/>
            <w:vAlign w:val="center"/>
          </w:tcPr>
          <w:p w14:paraId="0D086737" w14:textId="77777777" w:rsidR="00CF72D5" w:rsidRPr="002029AF" w:rsidRDefault="00CF72D5" w:rsidP="00897193">
            <w:pPr>
              <w:pStyle w:val="ARtabletextright"/>
            </w:pPr>
            <w:r w:rsidRPr="002029AF">
              <w:t>208,888</w:t>
            </w:r>
          </w:p>
        </w:tc>
        <w:tc>
          <w:tcPr>
            <w:tcW w:w="2268" w:type="dxa"/>
            <w:vAlign w:val="center"/>
          </w:tcPr>
          <w:p w14:paraId="166C7170" w14:textId="77777777" w:rsidR="00CF72D5" w:rsidRPr="002029AF" w:rsidRDefault="00CF72D5" w:rsidP="00897193">
            <w:pPr>
              <w:pStyle w:val="ARtabletextright"/>
            </w:pPr>
            <w:r w:rsidRPr="002029AF">
              <w:t>254,743</w:t>
            </w:r>
          </w:p>
        </w:tc>
      </w:tr>
      <w:tr w:rsidR="00CF72D5" w:rsidRPr="002029AF" w14:paraId="4B024AEB" w14:textId="77777777" w:rsidTr="00897193">
        <w:trPr>
          <w:cantSplit/>
          <w:trHeight w:val="285"/>
          <w:tblHeader/>
        </w:trPr>
        <w:tc>
          <w:tcPr>
            <w:tcW w:w="2835" w:type="dxa"/>
          </w:tcPr>
          <w:p w14:paraId="527A571F" w14:textId="77777777" w:rsidR="00CF72D5" w:rsidRPr="002029AF" w:rsidRDefault="00CF72D5" w:rsidP="00897193">
            <w:pPr>
              <w:pStyle w:val="ARtabletext"/>
            </w:pPr>
            <w:r w:rsidRPr="002029AF">
              <w:t>Recycling</w:t>
            </w:r>
          </w:p>
        </w:tc>
        <w:tc>
          <w:tcPr>
            <w:tcW w:w="2268" w:type="dxa"/>
            <w:vAlign w:val="center"/>
          </w:tcPr>
          <w:p w14:paraId="3A6D2AA9" w14:textId="77777777" w:rsidR="00CF72D5" w:rsidRPr="002029AF" w:rsidRDefault="00CF72D5" w:rsidP="00897193">
            <w:pPr>
              <w:pStyle w:val="ARtabletextright"/>
            </w:pPr>
            <w:r w:rsidRPr="002029AF">
              <w:t>N/A</w:t>
            </w:r>
          </w:p>
        </w:tc>
        <w:tc>
          <w:tcPr>
            <w:tcW w:w="2268" w:type="dxa"/>
            <w:vAlign w:val="center"/>
          </w:tcPr>
          <w:p w14:paraId="090A6C8A" w14:textId="77777777" w:rsidR="00CF72D5" w:rsidRPr="002029AF" w:rsidRDefault="00CF72D5" w:rsidP="00897193">
            <w:pPr>
              <w:pStyle w:val="ARtabletextright"/>
            </w:pPr>
            <w:r w:rsidRPr="002029AF">
              <w:t>261,308</w:t>
            </w:r>
          </w:p>
        </w:tc>
        <w:tc>
          <w:tcPr>
            <w:tcW w:w="2268" w:type="dxa"/>
            <w:vAlign w:val="center"/>
          </w:tcPr>
          <w:p w14:paraId="6FF2A71F" w14:textId="77777777" w:rsidR="00CF72D5" w:rsidRPr="002029AF" w:rsidRDefault="00CF72D5" w:rsidP="00897193">
            <w:pPr>
              <w:pStyle w:val="ARtabletextright"/>
            </w:pPr>
            <w:r w:rsidRPr="002029AF">
              <w:t>334,833</w:t>
            </w:r>
          </w:p>
        </w:tc>
      </w:tr>
      <w:tr w:rsidR="00CF72D5" w:rsidRPr="002029AF" w14:paraId="028E376A" w14:textId="77777777" w:rsidTr="00897193">
        <w:trPr>
          <w:cantSplit/>
          <w:trHeight w:val="285"/>
          <w:tblHeader/>
        </w:trPr>
        <w:tc>
          <w:tcPr>
            <w:tcW w:w="2835" w:type="dxa"/>
          </w:tcPr>
          <w:p w14:paraId="3201008C" w14:textId="77777777" w:rsidR="00CF72D5" w:rsidRPr="002029AF" w:rsidRDefault="00CF72D5" w:rsidP="00897193">
            <w:pPr>
              <w:pStyle w:val="ARtabletext"/>
            </w:pPr>
            <w:r w:rsidRPr="002029AF">
              <w:t>Compost</w:t>
            </w:r>
          </w:p>
        </w:tc>
        <w:tc>
          <w:tcPr>
            <w:tcW w:w="2268" w:type="dxa"/>
            <w:vAlign w:val="center"/>
          </w:tcPr>
          <w:p w14:paraId="6B7ED944" w14:textId="77777777" w:rsidR="00CF72D5" w:rsidRPr="002029AF" w:rsidRDefault="00CF72D5" w:rsidP="00897193">
            <w:pPr>
              <w:pStyle w:val="ARtabletextright"/>
            </w:pPr>
            <w:r w:rsidRPr="002029AF">
              <w:t>N/A</w:t>
            </w:r>
          </w:p>
        </w:tc>
        <w:tc>
          <w:tcPr>
            <w:tcW w:w="2268" w:type="dxa"/>
            <w:vAlign w:val="center"/>
          </w:tcPr>
          <w:p w14:paraId="7C6200CF" w14:textId="77777777" w:rsidR="00CF72D5" w:rsidRPr="002029AF" w:rsidRDefault="00CF72D5" w:rsidP="00897193">
            <w:pPr>
              <w:pStyle w:val="ARtabletextright"/>
            </w:pPr>
            <w:r w:rsidRPr="002029AF">
              <w:t>24,594</w:t>
            </w:r>
          </w:p>
        </w:tc>
        <w:tc>
          <w:tcPr>
            <w:tcW w:w="2268" w:type="dxa"/>
            <w:vAlign w:val="center"/>
          </w:tcPr>
          <w:p w14:paraId="56C5EFD2" w14:textId="77777777" w:rsidR="00CF72D5" w:rsidRPr="002029AF" w:rsidRDefault="00CF72D5" w:rsidP="00897193">
            <w:pPr>
              <w:pStyle w:val="ARtabletextright"/>
            </w:pPr>
            <w:r w:rsidRPr="002029AF">
              <w:t>33,741</w:t>
            </w:r>
          </w:p>
        </w:tc>
      </w:tr>
      <w:tr w:rsidR="00CF72D5" w:rsidRPr="002029AF" w14:paraId="7B8F5228" w14:textId="77777777" w:rsidTr="00897193">
        <w:trPr>
          <w:cantSplit/>
          <w:trHeight w:val="285"/>
          <w:tblHeader/>
        </w:trPr>
        <w:tc>
          <w:tcPr>
            <w:tcW w:w="2835" w:type="dxa"/>
          </w:tcPr>
          <w:p w14:paraId="24F0951B" w14:textId="77777777" w:rsidR="00CF72D5" w:rsidRPr="002029AF" w:rsidRDefault="00CF72D5" w:rsidP="00897193">
            <w:pPr>
              <w:pStyle w:val="ARtabletext"/>
              <w:rPr>
                <w:b/>
              </w:rPr>
            </w:pPr>
            <w:r w:rsidRPr="002029AF">
              <w:rPr>
                <w:b/>
              </w:rPr>
              <w:t>Total</w:t>
            </w:r>
          </w:p>
        </w:tc>
        <w:tc>
          <w:tcPr>
            <w:tcW w:w="2268" w:type="dxa"/>
            <w:vAlign w:val="center"/>
          </w:tcPr>
          <w:p w14:paraId="3C94FE1C" w14:textId="77777777" w:rsidR="00CF72D5" w:rsidRPr="002029AF" w:rsidRDefault="00CF72D5" w:rsidP="00897193">
            <w:pPr>
              <w:pStyle w:val="ARtabletextrightbold"/>
            </w:pPr>
            <w:r w:rsidRPr="002029AF">
              <w:t>N/A</w:t>
            </w:r>
          </w:p>
        </w:tc>
        <w:tc>
          <w:tcPr>
            <w:tcW w:w="2268" w:type="dxa"/>
            <w:vAlign w:val="center"/>
          </w:tcPr>
          <w:p w14:paraId="3AE545B9" w14:textId="77777777" w:rsidR="00CF72D5" w:rsidRPr="002029AF" w:rsidRDefault="00CF72D5" w:rsidP="00897193">
            <w:pPr>
              <w:pStyle w:val="ARtabletextrightbold"/>
            </w:pPr>
            <w:r w:rsidRPr="002029AF">
              <w:t>494,790</w:t>
            </w:r>
          </w:p>
        </w:tc>
        <w:tc>
          <w:tcPr>
            <w:tcW w:w="2268" w:type="dxa"/>
            <w:vAlign w:val="center"/>
          </w:tcPr>
          <w:p w14:paraId="08B0A3FA" w14:textId="77777777" w:rsidR="00CF72D5" w:rsidRPr="002029AF" w:rsidRDefault="00CF72D5" w:rsidP="00897193">
            <w:pPr>
              <w:pStyle w:val="ARtabletextrightbold"/>
            </w:pPr>
            <w:r w:rsidRPr="002029AF">
              <w:t>623,317</w:t>
            </w:r>
          </w:p>
        </w:tc>
      </w:tr>
    </w:tbl>
    <w:p w14:paraId="444FCC68" w14:textId="77777777" w:rsidR="00CF72D5" w:rsidRPr="002029AF" w:rsidRDefault="00CF72D5" w:rsidP="00897193">
      <w:pPr>
        <w:pStyle w:val="ARbody"/>
      </w:pP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2835"/>
        <w:gridCol w:w="2268"/>
        <w:gridCol w:w="2268"/>
        <w:gridCol w:w="2268"/>
      </w:tblGrid>
      <w:tr w:rsidR="00CF72D5" w:rsidRPr="002029AF" w14:paraId="3A008957" w14:textId="77777777" w:rsidTr="00897193">
        <w:trPr>
          <w:cantSplit/>
          <w:trHeight w:val="285"/>
          <w:tblHeader/>
        </w:trPr>
        <w:tc>
          <w:tcPr>
            <w:tcW w:w="2835" w:type="dxa"/>
            <w:vAlign w:val="bottom"/>
          </w:tcPr>
          <w:p w14:paraId="44617FA2" w14:textId="77777777" w:rsidR="00CF72D5" w:rsidRPr="002029AF" w:rsidRDefault="00CF72D5" w:rsidP="00142CDC">
            <w:pPr>
              <w:pStyle w:val="ARtablecolhead"/>
              <w:pageBreakBefore/>
            </w:pPr>
            <w:r w:rsidRPr="002029AF">
              <w:lastRenderedPageBreak/>
              <w:t>Description</w:t>
            </w:r>
          </w:p>
        </w:tc>
        <w:tc>
          <w:tcPr>
            <w:tcW w:w="2268" w:type="dxa"/>
            <w:vAlign w:val="center"/>
          </w:tcPr>
          <w:p w14:paraId="6B6A3920" w14:textId="0FF2B438" w:rsidR="00CF72D5" w:rsidRPr="002029AF" w:rsidRDefault="00CF72D5" w:rsidP="00897193">
            <w:pPr>
              <w:pStyle w:val="ARtablecolheadright"/>
            </w:pPr>
            <w:r w:rsidRPr="002029AF">
              <w:t>2019–20</w:t>
            </w:r>
            <w:r w:rsidR="000A5329" w:rsidRPr="002029AF">
              <w:t xml:space="preserve"> </w:t>
            </w:r>
            <w:r w:rsidRPr="002029AF">
              <w:t>estimate</w:t>
            </w:r>
          </w:p>
        </w:tc>
        <w:tc>
          <w:tcPr>
            <w:tcW w:w="2268" w:type="dxa"/>
            <w:vAlign w:val="center"/>
          </w:tcPr>
          <w:p w14:paraId="651E6135" w14:textId="120F4BD8" w:rsidR="00CF72D5" w:rsidRPr="002029AF" w:rsidRDefault="00CF72D5" w:rsidP="00897193">
            <w:pPr>
              <w:pStyle w:val="ARtablecolheadright"/>
            </w:pPr>
            <w:r w:rsidRPr="002029AF">
              <w:t>2018–19</w:t>
            </w:r>
            <w:r w:rsidR="000A5329" w:rsidRPr="002029AF">
              <w:t xml:space="preserve"> </w:t>
            </w:r>
            <w:r w:rsidRPr="002029AF">
              <w:t>estimate</w:t>
            </w:r>
          </w:p>
        </w:tc>
        <w:tc>
          <w:tcPr>
            <w:tcW w:w="2268" w:type="dxa"/>
            <w:vAlign w:val="center"/>
          </w:tcPr>
          <w:p w14:paraId="59840D56" w14:textId="1C53F91A" w:rsidR="00CF72D5" w:rsidRPr="002029AF" w:rsidRDefault="00CF72D5" w:rsidP="00897193">
            <w:pPr>
              <w:pStyle w:val="ARtablecolheadright"/>
            </w:pPr>
            <w:r w:rsidRPr="002029AF">
              <w:t>2017–18</w:t>
            </w:r>
            <w:r w:rsidR="000A5329" w:rsidRPr="002029AF">
              <w:t xml:space="preserve"> </w:t>
            </w:r>
            <w:r w:rsidRPr="002029AF">
              <w:t>estimate</w:t>
            </w:r>
          </w:p>
        </w:tc>
      </w:tr>
      <w:tr w:rsidR="00CF72D5" w:rsidRPr="002029AF" w14:paraId="2C72BD59" w14:textId="77777777" w:rsidTr="00897193">
        <w:trPr>
          <w:cantSplit/>
          <w:trHeight w:val="554"/>
          <w:tblHeader/>
        </w:trPr>
        <w:tc>
          <w:tcPr>
            <w:tcW w:w="2835" w:type="dxa"/>
            <w:vAlign w:val="bottom"/>
          </w:tcPr>
          <w:p w14:paraId="41A19410" w14:textId="139FE6DB" w:rsidR="00CF72D5" w:rsidRPr="002029AF" w:rsidRDefault="00CF72D5" w:rsidP="00897193">
            <w:pPr>
              <w:pStyle w:val="ARtablecolhead"/>
            </w:pPr>
            <w:r w:rsidRPr="002029AF">
              <w:t>Total</w:t>
            </w:r>
            <w:r w:rsidR="000A5329" w:rsidRPr="002029AF">
              <w:t xml:space="preserve"> </w:t>
            </w:r>
            <w:r w:rsidRPr="002029AF">
              <w:t>units</w:t>
            </w:r>
            <w:r w:rsidR="000A5329" w:rsidRPr="002029AF">
              <w:t xml:space="preserve"> </w:t>
            </w:r>
            <w:r w:rsidRPr="002029AF">
              <w:t>of</w:t>
            </w:r>
            <w:r w:rsidR="000A5329" w:rsidRPr="002029AF">
              <w:t xml:space="preserve"> </w:t>
            </w:r>
            <w:r w:rsidRPr="002029AF">
              <w:t>waste</w:t>
            </w:r>
            <w:r w:rsidR="000A5329" w:rsidRPr="002029AF">
              <w:t xml:space="preserve"> </w:t>
            </w:r>
            <w:r w:rsidRPr="002029AF">
              <w:t>disposed</w:t>
            </w:r>
            <w:r w:rsidR="000A5329" w:rsidRPr="002029AF">
              <w:t xml:space="preserve"> </w:t>
            </w:r>
            <w:r w:rsidRPr="002029AF">
              <w:t>of</w:t>
            </w:r>
            <w:r w:rsidR="000A5329" w:rsidRPr="002029AF">
              <w:t xml:space="preserve"> </w:t>
            </w:r>
            <w:r w:rsidRPr="002029AF">
              <w:t>per</w:t>
            </w:r>
            <w:r w:rsidR="000A5329" w:rsidRPr="002029AF">
              <w:t xml:space="preserve"> </w:t>
            </w:r>
            <w:r w:rsidRPr="002029AF">
              <w:t>FTE</w:t>
            </w:r>
            <w:r w:rsidR="000A5329" w:rsidRPr="002029AF">
              <w:t xml:space="preserve"> </w:t>
            </w:r>
            <w:r w:rsidRPr="002029AF">
              <w:t>by</w:t>
            </w:r>
            <w:r w:rsidR="000A5329" w:rsidRPr="002029AF">
              <w:t xml:space="preserve"> </w:t>
            </w:r>
            <w:r w:rsidRPr="002029AF">
              <w:t>destination</w:t>
            </w:r>
          </w:p>
        </w:tc>
        <w:tc>
          <w:tcPr>
            <w:tcW w:w="2268" w:type="dxa"/>
            <w:vAlign w:val="bottom"/>
          </w:tcPr>
          <w:p w14:paraId="6EBA1243" w14:textId="77777777" w:rsidR="00CF72D5" w:rsidRPr="002029AF" w:rsidRDefault="00CF72D5" w:rsidP="00897193">
            <w:pPr>
              <w:pStyle w:val="ARtablecolheadright"/>
            </w:pPr>
            <w:r w:rsidRPr="002029AF">
              <w:t>Kilograms/FTE/year</w:t>
            </w:r>
          </w:p>
        </w:tc>
        <w:tc>
          <w:tcPr>
            <w:tcW w:w="2268" w:type="dxa"/>
            <w:vAlign w:val="bottom"/>
          </w:tcPr>
          <w:p w14:paraId="735B761E" w14:textId="77777777" w:rsidR="00CF72D5" w:rsidRPr="002029AF" w:rsidRDefault="00CF72D5" w:rsidP="00897193">
            <w:pPr>
              <w:pStyle w:val="ARtablecolheadright"/>
            </w:pPr>
            <w:r w:rsidRPr="002029AF">
              <w:t>Kilograms/FTE/year</w:t>
            </w:r>
          </w:p>
        </w:tc>
        <w:tc>
          <w:tcPr>
            <w:tcW w:w="2268" w:type="dxa"/>
            <w:vAlign w:val="bottom"/>
          </w:tcPr>
          <w:p w14:paraId="16CF5EC1" w14:textId="77777777" w:rsidR="00CF72D5" w:rsidRPr="002029AF" w:rsidRDefault="00CF72D5" w:rsidP="00897193">
            <w:pPr>
              <w:pStyle w:val="ARtablecolheadright"/>
            </w:pPr>
            <w:r w:rsidRPr="002029AF">
              <w:t>Kilograms/FTE/year</w:t>
            </w:r>
          </w:p>
        </w:tc>
      </w:tr>
      <w:tr w:rsidR="00CF72D5" w:rsidRPr="002029AF" w14:paraId="546EC5D4" w14:textId="77777777" w:rsidTr="00897193">
        <w:trPr>
          <w:cantSplit/>
          <w:trHeight w:val="285"/>
        </w:trPr>
        <w:tc>
          <w:tcPr>
            <w:tcW w:w="2835" w:type="dxa"/>
          </w:tcPr>
          <w:p w14:paraId="48D6D1C1" w14:textId="77777777" w:rsidR="00CF72D5" w:rsidRPr="002029AF" w:rsidRDefault="00CF72D5" w:rsidP="00897193">
            <w:pPr>
              <w:pStyle w:val="ARtabletext"/>
            </w:pPr>
            <w:r w:rsidRPr="002029AF">
              <w:t>Landfill</w:t>
            </w:r>
          </w:p>
        </w:tc>
        <w:tc>
          <w:tcPr>
            <w:tcW w:w="2268" w:type="dxa"/>
            <w:vAlign w:val="center"/>
          </w:tcPr>
          <w:p w14:paraId="7439AB75" w14:textId="77777777" w:rsidR="00CF72D5" w:rsidRPr="002029AF" w:rsidRDefault="00CF72D5" w:rsidP="00897193">
            <w:pPr>
              <w:pStyle w:val="ARtabletextright"/>
            </w:pPr>
            <w:r w:rsidRPr="002029AF">
              <w:t>N/A</w:t>
            </w:r>
          </w:p>
        </w:tc>
        <w:tc>
          <w:tcPr>
            <w:tcW w:w="2268" w:type="dxa"/>
            <w:vAlign w:val="center"/>
          </w:tcPr>
          <w:p w14:paraId="6373993E" w14:textId="77777777" w:rsidR="00CF72D5" w:rsidRPr="002029AF" w:rsidRDefault="00CF72D5" w:rsidP="00897193">
            <w:pPr>
              <w:pStyle w:val="ARtabletextright"/>
            </w:pPr>
            <w:r w:rsidRPr="002029AF">
              <w:t>23</w:t>
            </w:r>
          </w:p>
        </w:tc>
        <w:tc>
          <w:tcPr>
            <w:tcW w:w="2268" w:type="dxa"/>
            <w:vAlign w:val="center"/>
          </w:tcPr>
          <w:p w14:paraId="64CAD589" w14:textId="77777777" w:rsidR="00CF72D5" w:rsidRPr="002029AF" w:rsidRDefault="00CF72D5" w:rsidP="00897193">
            <w:pPr>
              <w:pStyle w:val="ARtabletextright"/>
            </w:pPr>
            <w:r w:rsidRPr="002029AF">
              <w:t>29</w:t>
            </w:r>
          </w:p>
        </w:tc>
      </w:tr>
      <w:tr w:rsidR="00CF72D5" w:rsidRPr="002029AF" w14:paraId="6A05EC67" w14:textId="77777777" w:rsidTr="00897193">
        <w:trPr>
          <w:cantSplit/>
          <w:trHeight w:val="285"/>
        </w:trPr>
        <w:tc>
          <w:tcPr>
            <w:tcW w:w="2835" w:type="dxa"/>
          </w:tcPr>
          <w:p w14:paraId="38A846C9" w14:textId="77777777" w:rsidR="00CF72D5" w:rsidRPr="002029AF" w:rsidRDefault="00CF72D5" w:rsidP="00897193">
            <w:pPr>
              <w:pStyle w:val="ARtabletext"/>
            </w:pPr>
            <w:r w:rsidRPr="002029AF">
              <w:t>Recycling</w:t>
            </w:r>
          </w:p>
        </w:tc>
        <w:tc>
          <w:tcPr>
            <w:tcW w:w="2268" w:type="dxa"/>
            <w:vAlign w:val="center"/>
          </w:tcPr>
          <w:p w14:paraId="2AB04EA9" w14:textId="77777777" w:rsidR="00CF72D5" w:rsidRPr="002029AF" w:rsidRDefault="00CF72D5" w:rsidP="00897193">
            <w:pPr>
              <w:pStyle w:val="ARtabletextright"/>
            </w:pPr>
            <w:r w:rsidRPr="002029AF">
              <w:t>N/A</w:t>
            </w:r>
          </w:p>
        </w:tc>
        <w:tc>
          <w:tcPr>
            <w:tcW w:w="2268" w:type="dxa"/>
            <w:vAlign w:val="center"/>
          </w:tcPr>
          <w:p w14:paraId="48C6615E" w14:textId="77777777" w:rsidR="00CF72D5" w:rsidRPr="002029AF" w:rsidRDefault="00CF72D5" w:rsidP="00897193">
            <w:pPr>
              <w:pStyle w:val="ARtabletextright"/>
            </w:pPr>
            <w:r w:rsidRPr="002029AF">
              <w:t>29</w:t>
            </w:r>
          </w:p>
        </w:tc>
        <w:tc>
          <w:tcPr>
            <w:tcW w:w="2268" w:type="dxa"/>
            <w:vAlign w:val="center"/>
          </w:tcPr>
          <w:p w14:paraId="7D9220EC" w14:textId="77777777" w:rsidR="00CF72D5" w:rsidRPr="002029AF" w:rsidRDefault="00CF72D5" w:rsidP="00897193">
            <w:pPr>
              <w:pStyle w:val="ARtabletextright"/>
            </w:pPr>
            <w:r w:rsidRPr="002029AF">
              <w:t>38</w:t>
            </w:r>
          </w:p>
        </w:tc>
      </w:tr>
      <w:tr w:rsidR="00CF72D5" w:rsidRPr="002029AF" w14:paraId="4FD3E29F" w14:textId="77777777" w:rsidTr="00897193">
        <w:trPr>
          <w:cantSplit/>
          <w:trHeight w:val="285"/>
        </w:trPr>
        <w:tc>
          <w:tcPr>
            <w:tcW w:w="2835" w:type="dxa"/>
          </w:tcPr>
          <w:p w14:paraId="004B1033" w14:textId="77777777" w:rsidR="00CF72D5" w:rsidRPr="002029AF" w:rsidRDefault="00CF72D5" w:rsidP="00897193">
            <w:pPr>
              <w:pStyle w:val="ARtabletext"/>
            </w:pPr>
            <w:r w:rsidRPr="002029AF">
              <w:t>Compost</w:t>
            </w:r>
          </w:p>
        </w:tc>
        <w:tc>
          <w:tcPr>
            <w:tcW w:w="2268" w:type="dxa"/>
            <w:vAlign w:val="center"/>
          </w:tcPr>
          <w:p w14:paraId="5AB933C4" w14:textId="77777777" w:rsidR="00CF72D5" w:rsidRPr="002029AF" w:rsidRDefault="00CF72D5" w:rsidP="00897193">
            <w:pPr>
              <w:pStyle w:val="ARtabletextright"/>
            </w:pPr>
            <w:r w:rsidRPr="002029AF">
              <w:t>N/A</w:t>
            </w:r>
          </w:p>
        </w:tc>
        <w:tc>
          <w:tcPr>
            <w:tcW w:w="2268" w:type="dxa"/>
            <w:vAlign w:val="center"/>
          </w:tcPr>
          <w:p w14:paraId="0E03CBBC" w14:textId="77777777" w:rsidR="00CF72D5" w:rsidRPr="002029AF" w:rsidRDefault="00CF72D5" w:rsidP="00897193">
            <w:pPr>
              <w:pStyle w:val="ARtabletextright"/>
            </w:pPr>
            <w:r w:rsidRPr="002029AF">
              <w:t>3</w:t>
            </w:r>
          </w:p>
        </w:tc>
        <w:tc>
          <w:tcPr>
            <w:tcW w:w="2268" w:type="dxa"/>
            <w:vAlign w:val="center"/>
          </w:tcPr>
          <w:p w14:paraId="42ABB1E1" w14:textId="77777777" w:rsidR="00CF72D5" w:rsidRPr="002029AF" w:rsidRDefault="00CF72D5" w:rsidP="00897193">
            <w:pPr>
              <w:pStyle w:val="ARtabletextright"/>
            </w:pPr>
            <w:r w:rsidRPr="002029AF">
              <w:t>4</w:t>
            </w:r>
          </w:p>
        </w:tc>
      </w:tr>
      <w:tr w:rsidR="00CF72D5" w:rsidRPr="002029AF" w14:paraId="7E1FD0F7" w14:textId="77777777" w:rsidTr="00897193">
        <w:trPr>
          <w:cantSplit/>
          <w:trHeight w:val="285"/>
        </w:trPr>
        <w:tc>
          <w:tcPr>
            <w:tcW w:w="2835" w:type="dxa"/>
          </w:tcPr>
          <w:p w14:paraId="0EA9DE75" w14:textId="77777777" w:rsidR="00CF72D5" w:rsidRPr="002029AF" w:rsidRDefault="00CF72D5" w:rsidP="00897193">
            <w:pPr>
              <w:pStyle w:val="ARtabletext"/>
              <w:rPr>
                <w:b/>
              </w:rPr>
            </w:pPr>
            <w:r w:rsidRPr="002029AF">
              <w:rPr>
                <w:b/>
              </w:rPr>
              <w:t>Total</w:t>
            </w:r>
          </w:p>
        </w:tc>
        <w:tc>
          <w:tcPr>
            <w:tcW w:w="2268" w:type="dxa"/>
            <w:vAlign w:val="center"/>
          </w:tcPr>
          <w:p w14:paraId="25C7E92D" w14:textId="77777777" w:rsidR="00CF72D5" w:rsidRPr="002029AF" w:rsidRDefault="00CF72D5" w:rsidP="00897193">
            <w:pPr>
              <w:pStyle w:val="ARtabletextrightbold"/>
            </w:pPr>
            <w:r w:rsidRPr="002029AF">
              <w:t>N/A</w:t>
            </w:r>
          </w:p>
        </w:tc>
        <w:tc>
          <w:tcPr>
            <w:tcW w:w="2268" w:type="dxa"/>
            <w:vAlign w:val="center"/>
          </w:tcPr>
          <w:p w14:paraId="01491F72" w14:textId="77777777" w:rsidR="00CF72D5" w:rsidRPr="002029AF" w:rsidRDefault="00CF72D5" w:rsidP="00897193">
            <w:pPr>
              <w:pStyle w:val="ARtabletextrightbold"/>
            </w:pPr>
            <w:r w:rsidRPr="002029AF">
              <w:t>56</w:t>
            </w:r>
          </w:p>
        </w:tc>
        <w:tc>
          <w:tcPr>
            <w:tcW w:w="2268" w:type="dxa"/>
            <w:vAlign w:val="center"/>
          </w:tcPr>
          <w:p w14:paraId="6D47FF73" w14:textId="77777777" w:rsidR="00CF72D5" w:rsidRPr="002029AF" w:rsidRDefault="00CF72D5" w:rsidP="00897193">
            <w:pPr>
              <w:pStyle w:val="ARtabletextrightbold"/>
            </w:pPr>
            <w:r w:rsidRPr="002029AF">
              <w:t>71</w:t>
            </w:r>
          </w:p>
        </w:tc>
      </w:tr>
    </w:tbl>
    <w:p w14:paraId="25A09895" w14:textId="77777777" w:rsidR="00CF72D5" w:rsidRPr="002029AF" w:rsidRDefault="00CF72D5" w:rsidP="00897193">
      <w:pPr>
        <w:pStyle w:val="ARbody"/>
        <w:rPr>
          <w:lang w:eastAsia="en-AU"/>
        </w:rPr>
      </w:pP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2835"/>
        <w:gridCol w:w="2268"/>
        <w:gridCol w:w="2268"/>
        <w:gridCol w:w="2268"/>
      </w:tblGrid>
      <w:tr w:rsidR="00CF72D5" w:rsidRPr="002029AF" w14:paraId="6A7F78D5" w14:textId="77777777" w:rsidTr="00897193">
        <w:trPr>
          <w:cantSplit/>
          <w:trHeight w:val="285"/>
          <w:tblHeader/>
        </w:trPr>
        <w:tc>
          <w:tcPr>
            <w:tcW w:w="2835" w:type="dxa"/>
            <w:vAlign w:val="bottom"/>
          </w:tcPr>
          <w:p w14:paraId="1D0A418E" w14:textId="77777777" w:rsidR="00CF72D5" w:rsidRPr="002029AF" w:rsidRDefault="00CF72D5" w:rsidP="00897193">
            <w:pPr>
              <w:pStyle w:val="ARtablecolhead"/>
            </w:pPr>
            <w:r w:rsidRPr="002029AF">
              <w:t>Description</w:t>
            </w:r>
          </w:p>
        </w:tc>
        <w:tc>
          <w:tcPr>
            <w:tcW w:w="2268" w:type="dxa"/>
            <w:vAlign w:val="center"/>
          </w:tcPr>
          <w:p w14:paraId="2D81AB9F" w14:textId="4F9D24AD" w:rsidR="00CF72D5" w:rsidRPr="002029AF" w:rsidRDefault="00CF72D5" w:rsidP="00897193">
            <w:pPr>
              <w:pStyle w:val="ARtablecolheadright"/>
            </w:pPr>
            <w:r w:rsidRPr="002029AF">
              <w:t>2019–20</w:t>
            </w:r>
            <w:r w:rsidR="000A5329" w:rsidRPr="002029AF">
              <w:t xml:space="preserve"> </w:t>
            </w:r>
            <w:r w:rsidRPr="002029AF">
              <w:t>estimate</w:t>
            </w:r>
          </w:p>
        </w:tc>
        <w:tc>
          <w:tcPr>
            <w:tcW w:w="2268" w:type="dxa"/>
            <w:vAlign w:val="center"/>
          </w:tcPr>
          <w:p w14:paraId="62A1ADBA" w14:textId="1DD549BF" w:rsidR="00CF72D5" w:rsidRPr="002029AF" w:rsidRDefault="00CF72D5" w:rsidP="00897193">
            <w:pPr>
              <w:pStyle w:val="ARtablecolheadright"/>
            </w:pPr>
            <w:r w:rsidRPr="002029AF">
              <w:t>2018–19</w:t>
            </w:r>
            <w:r w:rsidR="000A5329" w:rsidRPr="002029AF">
              <w:t xml:space="preserve"> </w:t>
            </w:r>
            <w:r w:rsidRPr="002029AF">
              <w:t>estimate</w:t>
            </w:r>
          </w:p>
        </w:tc>
        <w:tc>
          <w:tcPr>
            <w:tcW w:w="2268" w:type="dxa"/>
            <w:vAlign w:val="center"/>
          </w:tcPr>
          <w:p w14:paraId="6F92B6E6" w14:textId="789DA996" w:rsidR="00CF72D5" w:rsidRPr="002029AF" w:rsidRDefault="00CF72D5" w:rsidP="00897193">
            <w:pPr>
              <w:pStyle w:val="ARtablecolheadright"/>
            </w:pPr>
            <w:r w:rsidRPr="002029AF">
              <w:t>2017–18</w:t>
            </w:r>
            <w:r w:rsidR="000A5329" w:rsidRPr="002029AF">
              <w:t xml:space="preserve"> </w:t>
            </w:r>
            <w:r w:rsidRPr="002029AF">
              <w:t>estimate</w:t>
            </w:r>
          </w:p>
        </w:tc>
      </w:tr>
      <w:tr w:rsidR="00CF72D5" w:rsidRPr="002029AF" w14:paraId="0FC00718" w14:textId="77777777" w:rsidTr="00897193">
        <w:trPr>
          <w:cantSplit/>
          <w:trHeight w:val="285"/>
        </w:trPr>
        <w:tc>
          <w:tcPr>
            <w:tcW w:w="2835" w:type="dxa"/>
          </w:tcPr>
          <w:p w14:paraId="374B7725" w14:textId="4B1DE6B7" w:rsidR="00CF72D5" w:rsidRPr="002029AF" w:rsidRDefault="00CF72D5" w:rsidP="00897193">
            <w:pPr>
              <w:pStyle w:val="ARtabletext"/>
            </w:pPr>
            <w:r w:rsidRPr="002029AF">
              <w:t>Recycling</w:t>
            </w:r>
            <w:r w:rsidR="000A5329" w:rsidRPr="002029AF">
              <w:t xml:space="preserve"> </w:t>
            </w:r>
            <w:r w:rsidRPr="002029AF">
              <w:t>rate</w:t>
            </w:r>
            <w:r w:rsidR="000A5329" w:rsidRPr="002029AF">
              <w:t xml:space="preserve"> </w:t>
            </w:r>
            <w:r w:rsidRPr="002029AF">
              <w:t>(per</w:t>
            </w:r>
            <w:r w:rsidR="000A5329" w:rsidRPr="002029AF">
              <w:t xml:space="preserve"> </w:t>
            </w:r>
            <w:r w:rsidRPr="002029AF">
              <w:t>cent)</w:t>
            </w:r>
          </w:p>
        </w:tc>
        <w:tc>
          <w:tcPr>
            <w:tcW w:w="2268" w:type="dxa"/>
            <w:vAlign w:val="center"/>
          </w:tcPr>
          <w:p w14:paraId="65269244" w14:textId="77777777" w:rsidR="00CF72D5" w:rsidRPr="002029AF" w:rsidRDefault="00CF72D5" w:rsidP="00897193">
            <w:pPr>
              <w:pStyle w:val="ARtabletextright"/>
            </w:pPr>
            <w:r w:rsidRPr="002029AF">
              <w:t>N/A</w:t>
            </w:r>
          </w:p>
        </w:tc>
        <w:tc>
          <w:tcPr>
            <w:tcW w:w="2268" w:type="dxa"/>
            <w:vAlign w:val="center"/>
          </w:tcPr>
          <w:p w14:paraId="13C63404" w14:textId="77777777" w:rsidR="00CF72D5" w:rsidRPr="002029AF" w:rsidRDefault="00CF72D5" w:rsidP="00897193">
            <w:pPr>
              <w:pStyle w:val="ARtabletextright"/>
            </w:pPr>
            <w:r w:rsidRPr="002029AF">
              <w:t>58%</w:t>
            </w:r>
          </w:p>
        </w:tc>
        <w:tc>
          <w:tcPr>
            <w:tcW w:w="2268" w:type="dxa"/>
            <w:vAlign w:val="center"/>
          </w:tcPr>
          <w:p w14:paraId="35C633DA" w14:textId="77777777" w:rsidR="00CF72D5" w:rsidRPr="002029AF" w:rsidRDefault="00CF72D5" w:rsidP="00897193">
            <w:pPr>
              <w:pStyle w:val="ARtabletextright"/>
            </w:pPr>
            <w:r w:rsidRPr="002029AF">
              <w:t>59%</w:t>
            </w:r>
          </w:p>
        </w:tc>
      </w:tr>
      <w:tr w:rsidR="00CF72D5" w:rsidRPr="002029AF" w14:paraId="47BE7583" w14:textId="77777777" w:rsidTr="00897193">
        <w:trPr>
          <w:cantSplit/>
          <w:trHeight w:val="285"/>
        </w:trPr>
        <w:tc>
          <w:tcPr>
            <w:tcW w:w="2835" w:type="dxa"/>
          </w:tcPr>
          <w:p w14:paraId="54DCCF7A" w14:textId="57A6BA29" w:rsidR="00CF72D5" w:rsidRPr="002029AF" w:rsidRDefault="00CF72D5" w:rsidP="00897193">
            <w:pPr>
              <w:pStyle w:val="ARtabletext"/>
            </w:pPr>
            <w:r w:rsidRPr="002029AF">
              <w:t>Coffee</w:t>
            </w:r>
            <w:r w:rsidR="000A5329" w:rsidRPr="002029AF">
              <w:t xml:space="preserve"> </w:t>
            </w:r>
            <w:r w:rsidRPr="002029AF">
              <w:t>cups</w:t>
            </w:r>
            <w:r w:rsidR="000A5329" w:rsidRPr="002029AF">
              <w:t xml:space="preserve"> </w:t>
            </w:r>
            <w:r w:rsidRPr="002029AF">
              <w:t>recycled</w:t>
            </w:r>
          </w:p>
        </w:tc>
        <w:tc>
          <w:tcPr>
            <w:tcW w:w="2268" w:type="dxa"/>
            <w:vAlign w:val="center"/>
          </w:tcPr>
          <w:p w14:paraId="36105828" w14:textId="77777777" w:rsidR="00CF72D5" w:rsidRPr="002029AF" w:rsidRDefault="00CF72D5" w:rsidP="00897193">
            <w:pPr>
              <w:pStyle w:val="ARtabletextright"/>
            </w:pPr>
            <w:r w:rsidRPr="002029AF">
              <w:t>87,724</w:t>
            </w:r>
          </w:p>
        </w:tc>
        <w:tc>
          <w:tcPr>
            <w:tcW w:w="2268" w:type="dxa"/>
            <w:vAlign w:val="center"/>
          </w:tcPr>
          <w:p w14:paraId="2C12D265" w14:textId="77777777" w:rsidR="00CF72D5" w:rsidRPr="002029AF" w:rsidRDefault="00CF72D5" w:rsidP="00897193">
            <w:pPr>
              <w:pStyle w:val="ARtabletextright"/>
            </w:pPr>
            <w:r w:rsidRPr="002029AF">
              <w:t>159,765</w:t>
            </w:r>
          </w:p>
        </w:tc>
        <w:tc>
          <w:tcPr>
            <w:tcW w:w="2268" w:type="dxa"/>
            <w:vAlign w:val="center"/>
          </w:tcPr>
          <w:p w14:paraId="691E3AB1" w14:textId="77777777" w:rsidR="00CF72D5" w:rsidRPr="002029AF" w:rsidRDefault="00CF72D5" w:rsidP="00897193">
            <w:pPr>
              <w:pStyle w:val="ARtabletextright"/>
            </w:pPr>
            <w:r w:rsidRPr="002029AF">
              <w:t>191,009</w:t>
            </w:r>
          </w:p>
        </w:tc>
      </w:tr>
      <w:tr w:rsidR="00CF72D5" w:rsidRPr="002029AF" w14:paraId="737CA6E7" w14:textId="77777777" w:rsidTr="00897193">
        <w:trPr>
          <w:cantSplit/>
          <w:trHeight w:val="285"/>
        </w:trPr>
        <w:tc>
          <w:tcPr>
            <w:tcW w:w="2835" w:type="dxa"/>
          </w:tcPr>
          <w:p w14:paraId="70AEFAED" w14:textId="36281DC9" w:rsidR="00CF72D5" w:rsidRPr="002029AF" w:rsidRDefault="00CF72D5" w:rsidP="00897193">
            <w:pPr>
              <w:pStyle w:val="ARtabletext"/>
            </w:pPr>
            <w:r w:rsidRPr="002029AF">
              <w:t>Greenhouse</w:t>
            </w:r>
            <w:r w:rsidR="000A5329" w:rsidRPr="002029AF">
              <w:t xml:space="preserve"> </w:t>
            </w:r>
            <w:r w:rsidRPr="002029AF">
              <w:t>gas</w:t>
            </w:r>
            <w:r w:rsidR="000A5329" w:rsidRPr="002029AF">
              <w:t xml:space="preserve"> </w:t>
            </w:r>
            <w:r w:rsidRPr="002029AF">
              <w:t>emissions</w:t>
            </w:r>
            <w:r w:rsidR="000A5329" w:rsidRPr="002029AF">
              <w:t xml:space="preserve"> </w:t>
            </w:r>
            <w:r w:rsidRPr="002029AF">
              <w:t>associated</w:t>
            </w:r>
            <w:r w:rsidR="000A5329" w:rsidRPr="002029AF">
              <w:t xml:space="preserve"> </w:t>
            </w:r>
            <w:r w:rsidRPr="002029AF">
              <w:t>with</w:t>
            </w:r>
            <w:r w:rsidR="000A5329" w:rsidRPr="002029AF">
              <w:t xml:space="preserve"> </w:t>
            </w:r>
            <w:r w:rsidRPr="002029AF">
              <w:t>waste</w:t>
            </w:r>
            <w:r w:rsidR="000A5329" w:rsidRPr="002029AF">
              <w:t xml:space="preserve"> </w:t>
            </w:r>
            <w:r w:rsidRPr="002029AF">
              <w:t>to</w:t>
            </w:r>
            <w:r w:rsidR="000A5329" w:rsidRPr="002029AF">
              <w:t xml:space="preserve"> </w:t>
            </w:r>
            <w:r w:rsidRPr="002029AF">
              <w:t>landfill</w:t>
            </w:r>
            <w:r w:rsidR="000A5329" w:rsidRPr="002029AF">
              <w:t xml:space="preserve"> </w:t>
            </w:r>
            <w:r w:rsidRPr="002029AF">
              <w:t>(tonnes</w:t>
            </w:r>
            <w:r w:rsidR="000A5329" w:rsidRPr="002029AF">
              <w:t xml:space="preserve"> </w:t>
            </w:r>
            <w:r w:rsidRPr="002029AF">
              <w:t>of</w:t>
            </w:r>
            <w:r w:rsidR="000A5329" w:rsidRPr="002029AF">
              <w:t xml:space="preserve"> </w:t>
            </w:r>
            <w:r w:rsidRPr="002029AF">
              <w:t>CO</w:t>
            </w:r>
            <w:r w:rsidRPr="002029AF">
              <w:rPr>
                <w:vertAlign w:val="subscript"/>
              </w:rPr>
              <w:t>2</w:t>
            </w:r>
            <w:r w:rsidRPr="002029AF">
              <w:t>-e)</w:t>
            </w:r>
          </w:p>
        </w:tc>
        <w:tc>
          <w:tcPr>
            <w:tcW w:w="2268" w:type="dxa"/>
            <w:vAlign w:val="center"/>
          </w:tcPr>
          <w:p w14:paraId="03DD5C39" w14:textId="12D0BB9D" w:rsidR="00CF72D5" w:rsidRPr="002029AF" w:rsidRDefault="00CF72D5" w:rsidP="00897193">
            <w:pPr>
              <w:pStyle w:val="ARtabletextright"/>
            </w:pPr>
            <w:r w:rsidRPr="002029AF">
              <w:t>3</w:t>
            </w:r>
            <w:r w:rsidR="00823D48" w:rsidRPr="002029AF">
              <w:t>01</w:t>
            </w:r>
            <w:r w:rsidRPr="002029AF">
              <w:t>*</w:t>
            </w:r>
          </w:p>
        </w:tc>
        <w:tc>
          <w:tcPr>
            <w:tcW w:w="2268" w:type="dxa"/>
            <w:vAlign w:val="center"/>
          </w:tcPr>
          <w:p w14:paraId="5E27AF93" w14:textId="77777777" w:rsidR="00CF72D5" w:rsidRPr="002029AF" w:rsidRDefault="00CF72D5" w:rsidP="00897193">
            <w:pPr>
              <w:pStyle w:val="ARtabletextright"/>
            </w:pPr>
            <w:r w:rsidRPr="002029AF">
              <w:t>351</w:t>
            </w:r>
          </w:p>
        </w:tc>
        <w:tc>
          <w:tcPr>
            <w:tcW w:w="2268" w:type="dxa"/>
            <w:vAlign w:val="center"/>
          </w:tcPr>
          <w:p w14:paraId="33879570" w14:textId="77777777" w:rsidR="00CF72D5" w:rsidRPr="002029AF" w:rsidRDefault="00CF72D5" w:rsidP="00897193">
            <w:pPr>
              <w:pStyle w:val="ARtabletextright"/>
            </w:pPr>
            <w:r w:rsidRPr="002029AF">
              <w:t>427</w:t>
            </w:r>
          </w:p>
        </w:tc>
      </w:tr>
    </w:tbl>
    <w:p w14:paraId="0123C410" w14:textId="664D8914" w:rsidR="00DC6F5C" w:rsidRPr="002029AF" w:rsidRDefault="00CF72D5" w:rsidP="00897193">
      <w:pPr>
        <w:pStyle w:val="ARtablefootnote"/>
      </w:pPr>
      <w:r w:rsidRPr="002029AF">
        <w:t>*</w:t>
      </w:r>
      <w:r w:rsidR="002E3B52">
        <w:t xml:space="preserve"> </w:t>
      </w:r>
      <w:r w:rsidRPr="002029AF">
        <w:t>Greenhouse</w:t>
      </w:r>
      <w:r w:rsidR="000A5329" w:rsidRPr="002029AF">
        <w:t xml:space="preserve"> </w:t>
      </w:r>
      <w:r w:rsidRPr="002029AF">
        <w:t>gas</w:t>
      </w:r>
      <w:r w:rsidR="000A5329" w:rsidRPr="002029AF">
        <w:t xml:space="preserve"> </w:t>
      </w:r>
      <w:r w:rsidRPr="002029AF">
        <w:t>emissions</w:t>
      </w:r>
      <w:r w:rsidR="000A5329" w:rsidRPr="002029AF">
        <w:t xml:space="preserve"> </w:t>
      </w:r>
      <w:r w:rsidRPr="002029AF">
        <w:t>associated</w:t>
      </w:r>
      <w:r w:rsidR="000A5329" w:rsidRPr="002029AF">
        <w:t xml:space="preserve"> </w:t>
      </w:r>
      <w:r w:rsidRPr="002029AF">
        <w:t>with</w:t>
      </w:r>
      <w:r w:rsidR="000A5329" w:rsidRPr="002029AF">
        <w:t xml:space="preserve"> </w:t>
      </w:r>
      <w:r w:rsidRPr="002029AF">
        <w:t>waste</w:t>
      </w:r>
      <w:r w:rsidR="000A5329" w:rsidRPr="002029AF">
        <w:t xml:space="preserve"> </w:t>
      </w:r>
      <w:r w:rsidRPr="002029AF">
        <w:t>to</w:t>
      </w:r>
      <w:r w:rsidR="000A5329" w:rsidRPr="002029AF">
        <w:t xml:space="preserve"> </w:t>
      </w:r>
      <w:r w:rsidRPr="002029AF">
        <w:t>landfill</w:t>
      </w:r>
      <w:r w:rsidR="000A5329" w:rsidRPr="002029AF">
        <w:t xml:space="preserve"> </w:t>
      </w:r>
      <w:r w:rsidRPr="002029AF">
        <w:t>for</w:t>
      </w:r>
      <w:r w:rsidR="000A5329" w:rsidRPr="002029AF">
        <w:t xml:space="preserve"> </w:t>
      </w:r>
      <w:r w:rsidRPr="002029AF">
        <w:t>201</w:t>
      </w:r>
      <w:r w:rsidR="00DB53E6" w:rsidRPr="002029AF">
        <w:t>9–</w:t>
      </w:r>
      <w:r w:rsidRPr="002029AF">
        <w:t>20</w:t>
      </w:r>
      <w:r w:rsidR="000A5329" w:rsidRPr="002029AF">
        <w:t xml:space="preserve"> </w:t>
      </w:r>
      <w:r w:rsidRPr="002029AF">
        <w:t>have</w:t>
      </w:r>
      <w:r w:rsidR="000A5329" w:rsidRPr="002029AF">
        <w:t xml:space="preserve"> </w:t>
      </w:r>
      <w:r w:rsidRPr="002029AF">
        <w:t>been</w:t>
      </w:r>
      <w:r w:rsidR="000A5329" w:rsidRPr="002029AF">
        <w:t xml:space="preserve"> </w:t>
      </w:r>
      <w:r w:rsidRPr="002029AF">
        <w:t>estimated</w:t>
      </w:r>
      <w:r w:rsidR="000A5329" w:rsidRPr="002029AF">
        <w:t xml:space="preserve"> </w:t>
      </w:r>
      <w:r w:rsidRPr="002029AF">
        <w:t>using</w:t>
      </w:r>
      <w:r w:rsidR="000A5329" w:rsidRPr="002029AF">
        <w:t xml:space="preserve"> </w:t>
      </w:r>
      <w:r w:rsidRPr="002029AF">
        <w:t>office-based</w:t>
      </w:r>
      <w:r w:rsidR="000A5329" w:rsidRPr="002029AF">
        <w:t xml:space="preserve"> </w:t>
      </w:r>
      <w:r w:rsidRPr="002029AF">
        <w:t>energy</w:t>
      </w:r>
      <w:r w:rsidR="000A5329" w:rsidRPr="002029AF">
        <w:t xml:space="preserve"> </w:t>
      </w:r>
      <w:r w:rsidRPr="002029AF">
        <w:t>usage</w:t>
      </w:r>
      <w:r w:rsidR="000A5329" w:rsidRPr="002029AF">
        <w:t xml:space="preserve"> </w:t>
      </w:r>
      <w:r w:rsidRPr="002029AF">
        <w:t>as</w:t>
      </w:r>
      <w:r w:rsidR="000A5329" w:rsidRPr="002029AF">
        <w:t xml:space="preserve"> </w:t>
      </w:r>
      <w:r w:rsidRPr="002029AF">
        <w:t>compared</w:t>
      </w:r>
      <w:r w:rsidR="000A5329" w:rsidRPr="002029AF">
        <w:t xml:space="preserve"> </w:t>
      </w:r>
      <w:r w:rsidRPr="002029AF">
        <w:t>to</w:t>
      </w:r>
      <w:r w:rsidR="000A5329" w:rsidRPr="002029AF">
        <w:t xml:space="preserve"> </w:t>
      </w:r>
      <w:r w:rsidRPr="002029AF">
        <w:t>the</w:t>
      </w:r>
      <w:r w:rsidR="000A5329" w:rsidRPr="002029AF">
        <w:t xml:space="preserve"> </w:t>
      </w:r>
      <w:r w:rsidRPr="002029AF">
        <w:t>previous</w:t>
      </w:r>
      <w:r w:rsidR="000A5329" w:rsidRPr="002029AF">
        <w:t xml:space="preserve"> </w:t>
      </w:r>
      <w:r w:rsidRPr="002029AF">
        <w:t>year</w:t>
      </w:r>
      <w:r w:rsidR="000A5329" w:rsidRPr="002029AF">
        <w:t xml:space="preserve"> </w:t>
      </w:r>
      <w:r w:rsidRPr="002029AF">
        <w:t>as</w:t>
      </w:r>
      <w:r w:rsidR="000A5329" w:rsidRPr="002029AF">
        <w:t xml:space="preserve"> </w:t>
      </w:r>
      <w:r w:rsidRPr="002029AF">
        <w:t>an</w:t>
      </w:r>
      <w:r w:rsidR="000A5329" w:rsidRPr="002029AF">
        <w:t xml:space="preserve"> </w:t>
      </w:r>
      <w:r w:rsidRPr="002029AF">
        <w:t>indicator</w:t>
      </w:r>
      <w:r w:rsidR="000A5329" w:rsidRPr="002029AF">
        <w:t xml:space="preserve"> </w:t>
      </w:r>
      <w:r w:rsidRPr="002029AF">
        <w:t>of</w:t>
      </w:r>
      <w:r w:rsidR="000A5329" w:rsidRPr="002029AF">
        <w:t xml:space="preserve"> </w:t>
      </w:r>
      <w:r w:rsidRPr="002029AF">
        <w:t>office</w:t>
      </w:r>
      <w:r w:rsidR="000A5329" w:rsidRPr="002029AF">
        <w:t xml:space="preserve"> </w:t>
      </w:r>
      <w:r w:rsidRPr="002029AF">
        <w:t>activity</w:t>
      </w:r>
      <w:r w:rsidR="000A5329" w:rsidRPr="002029AF">
        <w:t xml:space="preserve"> </w:t>
      </w:r>
      <w:r w:rsidRPr="002029AF">
        <w:t>levels</w:t>
      </w:r>
      <w:r w:rsidR="000A5329" w:rsidRPr="002029AF">
        <w:t xml:space="preserve"> </w:t>
      </w:r>
      <w:r w:rsidRPr="002029AF">
        <w:t>and</w:t>
      </w:r>
      <w:r w:rsidR="000A5329" w:rsidRPr="002029AF">
        <w:t xml:space="preserve"> </w:t>
      </w:r>
      <w:r w:rsidRPr="002029AF">
        <w:t>resultant</w:t>
      </w:r>
      <w:r w:rsidR="000A5329" w:rsidRPr="002029AF">
        <w:t xml:space="preserve"> </w:t>
      </w:r>
      <w:r w:rsidRPr="002029AF">
        <w:t>waste</w:t>
      </w:r>
      <w:r w:rsidR="000A5329" w:rsidRPr="002029AF">
        <w:t xml:space="preserve"> </w:t>
      </w:r>
      <w:r w:rsidRPr="002029AF">
        <w:t>generation</w:t>
      </w:r>
      <w:r w:rsidR="000A5329" w:rsidRPr="002029AF">
        <w:t xml:space="preserve"> </w:t>
      </w:r>
      <w:r w:rsidRPr="002029AF">
        <w:t>during</w:t>
      </w:r>
      <w:r w:rsidR="000A5329" w:rsidRPr="002029AF">
        <w:t xml:space="preserve"> </w:t>
      </w:r>
      <w:r w:rsidRPr="002029AF">
        <w:t>201</w:t>
      </w:r>
      <w:r w:rsidR="00DB53E6" w:rsidRPr="002029AF">
        <w:t>9–</w:t>
      </w:r>
      <w:r w:rsidRPr="002029AF">
        <w:t>20.</w:t>
      </w:r>
    </w:p>
    <w:p w14:paraId="16CBBAA4" w14:textId="41F7BA65" w:rsidR="00CF72D5" w:rsidRPr="002029AF" w:rsidRDefault="00CF72D5" w:rsidP="00961519">
      <w:pPr>
        <w:pStyle w:val="Heading5"/>
        <w:spacing w:before="400" w:after="200"/>
        <w:rPr>
          <w:rFonts w:ascii="Arial Bold" w:hAnsi="Arial Bold"/>
          <w:color w:val="4B4B4B"/>
        </w:rPr>
      </w:pPr>
      <w:r w:rsidRPr="002029AF">
        <w:rPr>
          <w:rFonts w:ascii="Arial Bold" w:hAnsi="Arial Bold"/>
          <w:color w:val="4B4B4B"/>
        </w:rPr>
        <w:t>Public</w:t>
      </w:r>
      <w:r w:rsidR="000A5329" w:rsidRPr="002029AF">
        <w:rPr>
          <w:rFonts w:ascii="Arial Bold" w:hAnsi="Arial Bold"/>
          <w:color w:val="4B4B4B"/>
        </w:rPr>
        <w:t xml:space="preserve"> </w:t>
      </w:r>
      <w:r w:rsidRPr="002029AF">
        <w:rPr>
          <w:rFonts w:ascii="Arial Bold" w:hAnsi="Arial Bold"/>
          <w:color w:val="4B4B4B"/>
        </w:rPr>
        <w:t>health</w:t>
      </w:r>
      <w:r w:rsidR="000A5329" w:rsidRPr="002029AF">
        <w:rPr>
          <w:rFonts w:ascii="Arial Bold" w:hAnsi="Arial Bold"/>
          <w:color w:val="4B4B4B"/>
        </w:rPr>
        <w:t xml:space="preserve"> </w:t>
      </w:r>
      <w:r w:rsidRPr="002029AF">
        <w:rPr>
          <w:rFonts w:ascii="Arial Bold" w:hAnsi="Arial Bold"/>
          <w:color w:val="4B4B4B"/>
        </w:rPr>
        <w:t>services</w:t>
      </w:r>
    </w:p>
    <w:tbl>
      <w:tblPr>
        <w:tblStyle w:val="TableGrid"/>
        <w:tblW w:w="9639" w:type="dxa"/>
        <w:tblLook w:val="06A0" w:firstRow="1" w:lastRow="0" w:firstColumn="1" w:lastColumn="0" w:noHBand="1" w:noVBand="1"/>
      </w:tblPr>
      <w:tblGrid>
        <w:gridCol w:w="1100"/>
        <w:gridCol w:w="840"/>
        <w:gridCol w:w="1500"/>
        <w:gridCol w:w="1104"/>
        <w:gridCol w:w="949"/>
        <w:gridCol w:w="998"/>
        <w:gridCol w:w="1041"/>
        <w:gridCol w:w="998"/>
        <w:gridCol w:w="948"/>
        <w:gridCol w:w="161"/>
      </w:tblGrid>
      <w:tr w:rsidR="00CF72D5" w:rsidRPr="002029AF" w14:paraId="42F1D1DD" w14:textId="77777777" w:rsidTr="004F632C">
        <w:trPr>
          <w:cnfStyle w:val="100000000000" w:firstRow="1" w:lastRow="0" w:firstColumn="0" w:lastColumn="0" w:oddVBand="0" w:evenVBand="0" w:oddHBand="0" w:evenHBand="0" w:firstRowFirstColumn="0" w:firstRowLastColumn="0" w:lastRowFirstColumn="0" w:lastRowLastColumn="0"/>
          <w:tblHeader/>
        </w:trPr>
        <w:tc>
          <w:tcPr>
            <w:tcW w:w="1100" w:type="dxa"/>
            <w:hideMark/>
          </w:tcPr>
          <w:p w14:paraId="20C3D7C8" w14:textId="77777777" w:rsidR="00CF72D5" w:rsidRPr="002029AF" w:rsidRDefault="00CF72D5" w:rsidP="00897193">
            <w:pPr>
              <w:pStyle w:val="ARtablecolhead"/>
            </w:pPr>
            <w:r w:rsidRPr="002029AF">
              <w:t>Description</w:t>
            </w:r>
          </w:p>
        </w:tc>
        <w:tc>
          <w:tcPr>
            <w:tcW w:w="840" w:type="dxa"/>
            <w:vAlign w:val="center"/>
            <w:hideMark/>
          </w:tcPr>
          <w:p w14:paraId="1439E1F6" w14:textId="0EEBE716" w:rsidR="00CF72D5" w:rsidRPr="002029AF" w:rsidRDefault="00CF72D5" w:rsidP="00897193">
            <w:pPr>
              <w:pStyle w:val="ARtablecolheadright"/>
            </w:pPr>
            <w:r w:rsidRPr="002029AF">
              <w:t>2019–20</w:t>
            </w:r>
            <w:r w:rsidR="000A5329" w:rsidRPr="002029AF">
              <w:t xml:space="preserve"> </w:t>
            </w:r>
            <w:r w:rsidRPr="002029AF">
              <w:br/>
              <w:t>estimate</w:t>
            </w:r>
          </w:p>
        </w:tc>
        <w:tc>
          <w:tcPr>
            <w:tcW w:w="1500" w:type="dxa"/>
            <w:vAlign w:val="center"/>
            <w:hideMark/>
          </w:tcPr>
          <w:p w14:paraId="0B9E46BA" w14:textId="09079538" w:rsidR="00CF72D5" w:rsidRPr="002029AF" w:rsidRDefault="00CF72D5" w:rsidP="00897193">
            <w:pPr>
              <w:pStyle w:val="ARtablecolheadright"/>
            </w:pPr>
            <w:r w:rsidRPr="002029AF">
              <w:t>2019–20</w:t>
            </w:r>
            <w:r w:rsidR="000A5329" w:rsidRPr="002029AF">
              <w:t xml:space="preserve"> </w:t>
            </w:r>
            <w:r w:rsidRPr="002029AF">
              <w:br/>
              <w:t>estimate</w:t>
            </w:r>
          </w:p>
        </w:tc>
        <w:tc>
          <w:tcPr>
            <w:tcW w:w="1104" w:type="dxa"/>
            <w:vAlign w:val="center"/>
            <w:hideMark/>
          </w:tcPr>
          <w:p w14:paraId="520C156D" w14:textId="6DCD269D" w:rsidR="00CF72D5" w:rsidRPr="002029AF" w:rsidRDefault="00CF72D5" w:rsidP="00897193">
            <w:pPr>
              <w:pStyle w:val="ARtablecolheadright"/>
            </w:pPr>
            <w:r w:rsidRPr="002029AF">
              <w:t>2018–19</w:t>
            </w:r>
            <w:r w:rsidR="000A5329" w:rsidRPr="002029AF">
              <w:t xml:space="preserve"> </w:t>
            </w:r>
            <w:r w:rsidRPr="002029AF">
              <w:br/>
              <w:t>estimate</w:t>
            </w:r>
          </w:p>
        </w:tc>
        <w:tc>
          <w:tcPr>
            <w:tcW w:w="1947" w:type="dxa"/>
            <w:gridSpan w:val="2"/>
            <w:vAlign w:val="center"/>
            <w:hideMark/>
          </w:tcPr>
          <w:p w14:paraId="349ED7DB" w14:textId="67B13767" w:rsidR="00CF72D5" w:rsidRPr="002029AF" w:rsidRDefault="00CF72D5" w:rsidP="00897193">
            <w:pPr>
              <w:pStyle w:val="ARtablecolheadright"/>
            </w:pPr>
            <w:r w:rsidRPr="002029AF">
              <w:t>2018–19</w:t>
            </w:r>
            <w:r w:rsidR="000A5329" w:rsidRPr="002029AF">
              <w:t xml:space="preserve"> </w:t>
            </w:r>
            <w:r w:rsidRPr="002029AF">
              <w:br/>
              <w:t>estimate</w:t>
            </w:r>
          </w:p>
        </w:tc>
        <w:tc>
          <w:tcPr>
            <w:tcW w:w="1041" w:type="dxa"/>
            <w:vAlign w:val="center"/>
            <w:hideMark/>
          </w:tcPr>
          <w:p w14:paraId="4CCBBD8E" w14:textId="73FD3B17" w:rsidR="00CF72D5" w:rsidRPr="002029AF" w:rsidRDefault="00CF72D5" w:rsidP="00897193">
            <w:pPr>
              <w:pStyle w:val="ARtablecolheadright"/>
            </w:pPr>
            <w:r w:rsidRPr="002029AF">
              <w:t>2017–18</w:t>
            </w:r>
            <w:r w:rsidR="000A5329" w:rsidRPr="002029AF">
              <w:t xml:space="preserve"> </w:t>
            </w:r>
            <w:r w:rsidRPr="002029AF">
              <w:br/>
              <w:t>estimate</w:t>
            </w:r>
          </w:p>
        </w:tc>
        <w:tc>
          <w:tcPr>
            <w:tcW w:w="2107" w:type="dxa"/>
            <w:gridSpan w:val="3"/>
            <w:vAlign w:val="center"/>
            <w:hideMark/>
          </w:tcPr>
          <w:p w14:paraId="3F33D7FD" w14:textId="687BE9F5" w:rsidR="00CF72D5" w:rsidRPr="002029AF" w:rsidRDefault="00CF72D5" w:rsidP="00897193">
            <w:pPr>
              <w:pStyle w:val="ARtablecolheadright"/>
            </w:pPr>
            <w:r w:rsidRPr="002029AF">
              <w:t>2017–18</w:t>
            </w:r>
            <w:r w:rsidR="000A5329" w:rsidRPr="002029AF">
              <w:t xml:space="preserve"> </w:t>
            </w:r>
            <w:r w:rsidRPr="002029AF">
              <w:br/>
              <w:t>estimate</w:t>
            </w:r>
          </w:p>
        </w:tc>
      </w:tr>
      <w:tr w:rsidR="00CF72D5" w:rsidRPr="002029AF" w14:paraId="71C185E4" w14:textId="77777777" w:rsidTr="004F632C">
        <w:trPr>
          <w:gridAfter w:val="1"/>
          <w:wAfter w:w="161" w:type="dxa"/>
        </w:trPr>
        <w:tc>
          <w:tcPr>
            <w:tcW w:w="3440" w:type="dxa"/>
            <w:gridSpan w:val="3"/>
            <w:vAlign w:val="bottom"/>
          </w:tcPr>
          <w:p w14:paraId="520CD3AA" w14:textId="4DAE8553" w:rsidR="00CF72D5" w:rsidRPr="002029AF" w:rsidRDefault="00CF72D5" w:rsidP="00897193">
            <w:pPr>
              <w:pStyle w:val="ARtablecolhead"/>
            </w:pPr>
            <w:r w:rsidRPr="002029AF">
              <w:t>Total</w:t>
            </w:r>
            <w:r w:rsidR="000A5329" w:rsidRPr="002029AF">
              <w:t xml:space="preserve"> </w:t>
            </w:r>
            <w:r w:rsidRPr="002029AF">
              <w:t>units</w:t>
            </w:r>
            <w:r w:rsidR="000A5329" w:rsidRPr="002029AF">
              <w:t xml:space="preserve"> </w:t>
            </w:r>
            <w:r w:rsidRPr="002029AF">
              <w:t>of</w:t>
            </w:r>
            <w:r w:rsidR="000A5329" w:rsidRPr="002029AF">
              <w:t xml:space="preserve"> </w:t>
            </w:r>
            <w:r w:rsidRPr="002029AF">
              <w:t>waste</w:t>
            </w:r>
            <w:r w:rsidR="000A5329" w:rsidRPr="002029AF">
              <w:t xml:space="preserve"> </w:t>
            </w:r>
            <w:r w:rsidRPr="002029AF">
              <w:t>disposed</w:t>
            </w:r>
            <w:r w:rsidR="000A5329" w:rsidRPr="002029AF">
              <w:t xml:space="preserve"> </w:t>
            </w:r>
            <w:r w:rsidRPr="002029AF">
              <w:t>of</w:t>
            </w:r>
            <w:r w:rsidR="000A5329" w:rsidRPr="002029AF">
              <w:t xml:space="preserve"> </w:t>
            </w:r>
            <w:r w:rsidRPr="002029AF">
              <w:t>by</w:t>
            </w:r>
            <w:r w:rsidR="000A5329" w:rsidRPr="002029AF">
              <w:t xml:space="preserve"> </w:t>
            </w:r>
            <w:r w:rsidRPr="002029AF">
              <w:t>stream</w:t>
            </w:r>
          </w:p>
        </w:tc>
        <w:tc>
          <w:tcPr>
            <w:tcW w:w="1104" w:type="dxa"/>
            <w:vAlign w:val="bottom"/>
          </w:tcPr>
          <w:p w14:paraId="51210C6E" w14:textId="77777777" w:rsidR="00CF72D5" w:rsidRPr="002029AF" w:rsidRDefault="00CF72D5" w:rsidP="00897193">
            <w:pPr>
              <w:pStyle w:val="ARtablecolheadright"/>
            </w:pPr>
            <w:r w:rsidRPr="002029AF">
              <w:t>Tonnes</w:t>
            </w:r>
          </w:p>
        </w:tc>
        <w:tc>
          <w:tcPr>
            <w:tcW w:w="949" w:type="dxa"/>
            <w:vAlign w:val="bottom"/>
          </w:tcPr>
          <w:p w14:paraId="7BE6B279" w14:textId="77777777" w:rsidR="00CF72D5" w:rsidRPr="002029AF" w:rsidRDefault="00CF72D5" w:rsidP="00897193">
            <w:pPr>
              <w:pStyle w:val="ARtablecolheadright"/>
            </w:pPr>
            <w:r w:rsidRPr="002029AF">
              <w:t>Cost</w:t>
            </w:r>
            <w:r w:rsidRPr="002029AF">
              <w:br/>
              <w:t>($M)</w:t>
            </w:r>
          </w:p>
        </w:tc>
        <w:tc>
          <w:tcPr>
            <w:tcW w:w="998" w:type="dxa"/>
            <w:vAlign w:val="bottom"/>
          </w:tcPr>
          <w:p w14:paraId="5C59B5FB" w14:textId="77777777" w:rsidR="00CF72D5" w:rsidRPr="002029AF" w:rsidRDefault="00CF72D5" w:rsidP="00897193">
            <w:pPr>
              <w:pStyle w:val="ARtablecolheadright"/>
            </w:pPr>
            <w:r w:rsidRPr="002029AF">
              <w:t>Tonnes</w:t>
            </w:r>
          </w:p>
        </w:tc>
        <w:tc>
          <w:tcPr>
            <w:tcW w:w="1041" w:type="dxa"/>
            <w:vAlign w:val="bottom"/>
          </w:tcPr>
          <w:p w14:paraId="78A738EB" w14:textId="77777777" w:rsidR="00CF72D5" w:rsidRPr="002029AF" w:rsidRDefault="00CF72D5" w:rsidP="00897193">
            <w:pPr>
              <w:pStyle w:val="ARtablecolheadright"/>
            </w:pPr>
            <w:r w:rsidRPr="002029AF">
              <w:t>Cost</w:t>
            </w:r>
            <w:r w:rsidRPr="002029AF">
              <w:br/>
              <w:t>($M)</w:t>
            </w:r>
          </w:p>
        </w:tc>
        <w:tc>
          <w:tcPr>
            <w:tcW w:w="998" w:type="dxa"/>
            <w:vAlign w:val="bottom"/>
          </w:tcPr>
          <w:p w14:paraId="423F8E4D" w14:textId="77777777" w:rsidR="00CF72D5" w:rsidRPr="002029AF" w:rsidRDefault="00CF72D5" w:rsidP="00897193">
            <w:pPr>
              <w:pStyle w:val="ARtablecolheadright"/>
            </w:pPr>
            <w:r w:rsidRPr="002029AF">
              <w:t>Tonnes</w:t>
            </w:r>
          </w:p>
        </w:tc>
        <w:tc>
          <w:tcPr>
            <w:tcW w:w="948" w:type="dxa"/>
            <w:vAlign w:val="bottom"/>
          </w:tcPr>
          <w:p w14:paraId="1B42EE6D" w14:textId="77777777" w:rsidR="00CF72D5" w:rsidRPr="002029AF" w:rsidRDefault="00CF72D5" w:rsidP="00897193">
            <w:pPr>
              <w:pStyle w:val="ARtablecolheadright"/>
            </w:pPr>
            <w:r w:rsidRPr="002029AF">
              <w:t>Cost</w:t>
            </w:r>
            <w:r w:rsidRPr="002029AF">
              <w:br/>
              <w:t>($M)</w:t>
            </w:r>
          </w:p>
        </w:tc>
      </w:tr>
    </w:tbl>
    <w:p w14:paraId="644C893B" w14:textId="77777777" w:rsidR="004F632C" w:rsidRPr="002029AF" w:rsidRDefault="004F632C"/>
    <w:tbl>
      <w:tblPr>
        <w:tblStyle w:val="TableGrid"/>
        <w:tblW w:w="9639" w:type="dxa"/>
        <w:tblLook w:val="06A0" w:firstRow="1" w:lastRow="0" w:firstColumn="1" w:lastColumn="0" w:noHBand="1" w:noVBand="1"/>
      </w:tblPr>
      <w:tblGrid>
        <w:gridCol w:w="2037"/>
        <w:gridCol w:w="1267"/>
        <w:gridCol w:w="1267"/>
        <w:gridCol w:w="1267"/>
        <w:gridCol w:w="1267"/>
        <w:gridCol w:w="1267"/>
        <w:gridCol w:w="1267"/>
      </w:tblGrid>
      <w:tr w:rsidR="004F632C" w:rsidRPr="002029AF" w14:paraId="5C23199B" w14:textId="77777777" w:rsidTr="004F632C">
        <w:trPr>
          <w:cnfStyle w:val="100000000000" w:firstRow="1" w:lastRow="0" w:firstColumn="0" w:lastColumn="0" w:oddVBand="0" w:evenVBand="0" w:oddHBand="0" w:evenHBand="0" w:firstRowFirstColumn="0" w:firstRowLastColumn="0" w:lastRowFirstColumn="0" w:lastRowLastColumn="0"/>
          <w:tblHeader/>
        </w:trPr>
        <w:tc>
          <w:tcPr>
            <w:tcW w:w="1057" w:type="pct"/>
          </w:tcPr>
          <w:p w14:paraId="1E7F5C44" w14:textId="61BFD068" w:rsidR="004F632C" w:rsidRPr="002029AF" w:rsidRDefault="004F632C" w:rsidP="004F632C">
            <w:pPr>
              <w:pStyle w:val="ARtabletextbold"/>
            </w:pPr>
            <w:r w:rsidRPr="002029AF">
              <w:t>Description</w:t>
            </w:r>
          </w:p>
        </w:tc>
        <w:tc>
          <w:tcPr>
            <w:tcW w:w="657" w:type="pct"/>
          </w:tcPr>
          <w:p w14:paraId="17035653" w14:textId="16AB0099" w:rsidR="004F632C" w:rsidRPr="002029AF" w:rsidRDefault="004F632C" w:rsidP="004F632C">
            <w:pPr>
              <w:pStyle w:val="ARtabletextrightbold"/>
              <w:rPr>
                <w:color w:val="000000"/>
              </w:rPr>
            </w:pPr>
            <w:r w:rsidRPr="002029AF">
              <w:t xml:space="preserve">2019–20 </w:t>
            </w:r>
            <w:r w:rsidRPr="002029AF">
              <w:br/>
              <w:t>estimate</w:t>
            </w:r>
          </w:p>
        </w:tc>
        <w:tc>
          <w:tcPr>
            <w:tcW w:w="657" w:type="pct"/>
          </w:tcPr>
          <w:p w14:paraId="76137BC6" w14:textId="3942A6C1" w:rsidR="004F632C" w:rsidRPr="002029AF" w:rsidRDefault="004F632C" w:rsidP="004F632C">
            <w:pPr>
              <w:pStyle w:val="ARtabletextrightbold"/>
              <w:rPr>
                <w:color w:val="000000"/>
              </w:rPr>
            </w:pPr>
            <w:r w:rsidRPr="002029AF">
              <w:t xml:space="preserve">2019–20 </w:t>
            </w:r>
            <w:r w:rsidRPr="002029AF">
              <w:br/>
              <w:t>estimate</w:t>
            </w:r>
          </w:p>
        </w:tc>
        <w:tc>
          <w:tcPr>
            <w:tcW w:w="657" w:type="pct"/>
          </w:tcPr>
          <w:p w14:paraId="64806206" w14:textId="4D04044B" w:rsidR="004F632C" w:rsidRPr="002029AF" w:rsidRDefault="004F632C" w:rsidP="004F632C">
            <w:pPr>
              <w:pStyle w:val="ARtabletextrightbold"/>
              <w:rPr>
                <w:color w:val="000000"/>
              </w:rPr>
            </w:pPr>
            <w:r w:rsidRPr="002029AF">
              <w:t xml:space="preserve">2018–19 </w:t>
            </w:r>
            <w:r w:rsidRPr="002029AF">
              <w:br/>
              <w:t>estimate</w:t>
            </w:r>
          </w:p>
        </w:tc>
        <w:tc>
          <w:tcPr>
            <w:tcW w:w="657" w:type="pct"/>
          </w:tcPr>
          <w:p w14:paraId="2C3D6D34" w14:textId="2E258458" w:rsidR="004F632C" w:rsidRPr="002029AF" w:rsidRDefault="004F632C" w:rsidP="004F632C">
            <w:pPr>
              <w:pStyle w:val="ARtabletextrightbold"/>
              <w:rPr>
                <w:color w:val="000000"/>
              </w:rPr>
            </w:pPr>
            <w:r w:rsidRPr="002029AF">
              <w:t xml:space="preserve">2018–19 </w:t>
            </w:r>
            <w:r w:rsidRPr="002029AF">
              <w:br/>
              <w:t>estimate</w:t>
            </w:r>
          </w:p>
        </w:tc>
        <w:tc>
          <w:tcPr>
            <w:tcW w:w="657" w:type="pct"/>
          </w:tcPr>
          <w:p w14:paraId="4B932261" w14:textId="7052E84D" w:rsidR="004F632C" w:rsidRPr="002029AF" w:rsidRDefault="004F632C" w:rsidP="004F632C">
            <w:pPr>
              <w:pStyle w:val="ARtabletextrightbold"/>
              <w:rPr>
                <w:color w:val="000000"/>
              </w:rPr>
            </w:pPr>
            <w:r w:rsidRPr="002029AF">
              <w:t xml:space="preserve">2017–18 </w:t>
            </w:r>
            <w:r w:rsidRPr="002029AF">
              <w:br/>
              <w:t>estimate</w:t>
            </w:r>
          </w:p>
        </w:tc>
        <w:tc>
          <w:tcPr>
            <w:tcW w:w="657" w:type="pct"/>
          </w:tcPr>
          <w:p w14:paraId="669ACFCF" w14:textId="37A6C4FD" w:rsidR="004F632C" w:rsidRPr="002029AF" w:rsidRDefault="004F632C" w:rsidP="004F632C">
            <w:pPr>
              <w:pStyle w:val="ARtabletextrightbold"/>
              <w:rPr>
                <w:color w:val="000000"/>
              </w:rPr>
            </w:pPr>
            <w:r w:rsidRPr="002029AF">
              <w:t xml:space="preserve">2017–18 </w:t>
            </w:r>
            <w:r w:rsidRPr="002029AF">
              <w:br/>
              <w:t>estimate</w:t>
            </w:r>
          </w:p>
        </w:tc>
      </w:tr>
      <w:tr w:rsidR="004F632C" w:rsidRPr="002029AF" w14:paraId="12DB93A1" w14:textId="77777777" w:rsidTr="004F632C">
        <w:trPr>
          <w:cnfStyle w:val="100000000000" w:firstRow="1" w:lastRow="0" w:firstColumn="0" w:lastColumn="0" w:oddVBand="0" w:evenVBand="0" w:oddHBand="0" w:evenHBand="0" w:firstRowFirstColumn="0" w:firstRowLastColumn="0" w:lastRowFirstColumn="0" w:lastRowLastColumn="0"/>
          <w:tblHeader/>
        </w:trPr>
        <w:tc>
          <w:tcPr>
            <w:tcW w:w="1057" w:type="pct"/>
          </w:tcPr>
          <w:p w14:paraId="10026605" w14:textId="1127DE53" w:rsidR="004F632C" w:rsidRPr="002029AF" w:rsidRDefault="004F632C" w:rsidP="004F632C">
            <w:pPr>
              <w:pStyle w:val="ARtabletextbold"/>
            </w:pPr>
            <w:r w:rsidRPr="002029AF">
              <w:t>Total units of waste disposed of by stream</w:t>
            </w:r>
          </w:p>
        </w:tc>
        <w:tc>
          <w:tcPr>
            <w:tcW w:w="657" w:type="pct"/>
          </w:tcPr>
          <w:p w14:paraId="47107EE5" w14:textId="6E62C751" w:rsidR="004F632C" w:rsidRPr="002029AF" w:rsidRDefault="004F632C" w:rsidP="004F632C">
            <w:pPr>
              <w:pStyle w:val="ARtabletextrightbold"/>
              <w:rPr>
                <w:color w:val="000000"/>
              </w:rPr>
            </w:pPr>
            <w:r w:rsidRPr="002029AF">
              <w:t>Tonnes</w:t>
            </w:r>
          </w:p>
        </w:tc>
        <w:tc>
          <w:tcPr>
            <w:tcW w:w="657" w:type="pct"/>
          </w:tcPr>
          <w:p w14:paraId="5EE0F00E" w14:textId="5E855946" w:rsidR="004F632C" w:rsidRPr="002029AF" w:rsidRDefault="004F632C" w:rsidP="004F632C">
            <w:pPr>
              <w:pStyle w:val="ARtabletextrightbold"/>
              <w:rPr>
                <w:color w:val="000000"/>
              </w:rPr>
            </w:pPr>
            <w:r w:rsidRPr="002029AF">
              <w:t>Cost</w:t>
            </w:r>
            <w:r w:rsidRPr="002029AF">
              <w:br/>
              <w:t>($M)</w:t>
            </w:r>
          </w:p>
        </w:tc>
        <w:tc>
          <w:tcPr>
            <w:tcW w:w="657" w:type="pct"/>
          </w:tcPr>
          <w:p w14:paraId="76663342" w14:textId="3CBEAD2B" w:rsidR="004F632C" w:rsidRPr="002029AF" w:rsidRDefault="004F632C" w:rsidP="004F632C">
            <w:pPr>
              <w:pStyle w:val="ARtabletextrightbold"/>
              <w:rPr>
                <w:color w:val="000000"/>
              </w:rPr>
            </w:pPr>
            <w:r w:rsidRPr="002029AF">
              <w:t>Tonnes</w:t>
            </w:r>
          </w:p>
        </w:tc>
        <w:tc>
          <w:tcPr>
            <w:tcW w:w="657" w:type="pct"/>
          </w:tcPr>
          <w:p w14:paraId="49C95394" w14:textId="7A06232F" w:rsidR="004F632C" w:rsidRPr="002029AF" w:rsidRDefault="004F632C" w:rsidP="004F632C">
            <w:pPr>
              <w:pStyle w:val="ARtabletextrightbold"/>
              <w:rPr>
                <w:color w:val="000000"/>
              </w:rPr>
            </w:pPr>
            <w:r w:rsidRPr="002029AF">
              <w:t>Cost</w:t>
            </w:r>
            <w:r w:rsidRPr="002029AF">
              <w:br/>
              <w:t>($M)</w:t>
            </w:r>
          </w:p>
        </w:tc>
        <w:tc>
          <w:tcPr>
            <w:tcW w:w="657" w:type="pct"/>
          </w:tcPr>
          <w:p w14:paraId="4B981E1F" w14:textId="5880B6BD" w:rsidR="004F632C" w:rsidRPr="002029AF" w:rsidRDefault="004F632C" w:rsidP="004F632C">
            <w:pPr>
              <w:pStyle w:val="ARtabletextrightbold"/>
              <w:rPr>
                <w:color w:val="000000"/>
              </w:rPr>
            </w:pPr>
            <w:r w:rsidRPr="002029AF">
              <w:t>Tonnes</w:t>
            </w:r>
          </w:p>
        </w:tc>
        <w:tc>
          <w:tcPr>
            <w:tcW w:w="657" w:type="pct"/>
          </w:tcPr>
          <w:p w14:paraId="25C85E6F" w14:textId="5CEF4374" w:rsidR="004F632C" w:rsidRPr="002029AF" w:rsidRDefault="004F632C" w:rsidP="004F632C">
            <w:pPr>
              <w:pStyle w:val="ARtabletextrightbold"/>
              <w:rPr>
                <w:color w:val="000000"/>
              </w:rPr>
            </w:pPr>
            <w:r w:rsidRPr="002029AF">
              <w:t>Cost</w:t>
            </w:r>
            <w:r w:rsidRPr="002029AF">
              <w:br/>
              <w:t>($M)</w:t>
            </w:r>
          </w:p>
        </w:tc>
      </w:tr>
      <w:tr w:rsidR="00CF72D5" w:rsidRPr="002029AF" w14:paraId="5AA92721" w14:textId="77777777" w:rsidTr="004F632C">
        <w:trPr>
          <w:cantSplit w:val="0"/>
        </w:trPr>
        <w:tc>
          <w:tcPr>
            <w:tcW w:w="1057" w:type="pct"/>
          </w:tcPr>
          <w:p w14:paraId="283A61CF" w14:textId="54B771B9" w:rsidR="00CF72D5" w:rsidRPr="002029AF" w:rsidRDefault="00CF72D5" w:rsidP="00897193">
            <w:pPr>
              <w:pStyle w:val="ARtabletext"/>
            </w:pPr>
            <w:r w:rsidRPr="002029AF">
              <w:t>Clinical</w:t>
            </w:r>
            <w:r w:rsidR="000A5329" w:rsidRPr="002029AF">
              <w:t xml:space="preserve"> </w:t>
            </w:r>
            <w:r w:rsidRPr="002029AF">
              <w:t>and</w:t>
            </w:r>
            <w:r w:rsidR="000A5329" w:rsidRPr="002029AF">
              <w:t xml:space="preserve"> </w:t>
            </w:r>
            <w:r w:rsidRPr="002029AF">
              <w:t>related</w:t>
            </w:r>
            <w:r w:rsidR="000A5329" w:rsidRPr="002029AF">
              <w:t xml:space="preserve"> </w:t>
            </w:r>
            <w:r w:rsidRPr="002029AF">
              <w:t>waste</w:t>
            </w:r>
          </w:p>
        </w:tc>
        <w:tc>
          <w:tcPr>
            <w:tcW w:w="657" w:type="pct"/>
            <w:vAlign w:val="center"/>
          </w:tcPr>
          <w:p w14:paraId="62C6FDEA" w14:textId="77777777" w:rsidR="00CF72D5" w:rsidRPr="002029AF" w:rsidRDefault="00CF72D5" w:rsidP="00897193">
            <w:pPr>
              <w:pStyle w:val="ARtabletextright"/>
            </w:pPr>
            <w:r w:rsidRPr="002029AF">
              <w:rPr>
                <w:color w:val="000000"/>
              </w:rPr>
              <w:t>4,756</w:t>
            </w:r>
          </w:p>
        </w:tc>
        <w:tc>
          <w:tcPr>
            <w:tcW w:w="657" w:type="pct"/>
            <w:vAlign w:val="center"/>
          </w:tcPr>
          <w:p w14:paraId="0707F14C" w14:textId="77777777" w:rsidR="00CF72D5" w:rsidRPr="002029AF" w:rsidRDefault="00CF72D5" w:rsidP="00897193">
            <w:pPr>
              <w:pStyle w:val="ARtabletextright"/>
            </w:pPr>
            <w:r w:rsidRPr="002029AF">
              <w:rPr>
                <w:color w:val="000000"/>
              </w:rPr>
              <w:t>$8.08</w:t>
            </w:r>
          </w:p>
        </w:tc>
        <w:tc>
          <w:tcPr>
            <w:tcW w:w="657" w:type="pct"/>
            <w:vAlign w:val="center"/>
          </w:tcPr>
          <w:p w14:paraId="56C0AAAE" w14:textId="77777777" w:rsidR="00CF72D5" w:rsidRPr="002029AF" w:rsidRDefault="00CF72D5" w:rsidP="00897193">
            <w:pPr>
              <w:pStyle w:val="ARtabletextright"/>
            </w:pPr>
            <w:r w:rsidRPr="002029AF">
              <w:rPr>
                <w:color w:val="000000"/>
              </w:rPr>
              <w:t>4,773</w:t>
            </w:r>
          </w:p>
        </w:tc>
        <w:tc>
          <w:tcPr>
            <w:tcW w:w="657" w:type="pct"/>
            <w:vAlign w:val="center"/>
          </w:tcPr>
          <w:p w14:paraId="3860A649" w14:textId="77777777" w:rsidR="00CF72D5" w:rsidRPr="002029AF" w:rsidRDefault="00CF72D5" w:rsidP="00897193">
            <w:pPr>
              <w:pStyle w:val="ARtabletextright"/>
            </w:pPr>
            <w:r w:rsidRPr="002029AF">
              <w:rPr>
                <w:color w:val="000000"/>
              </w:rPr>
              <w:t>$8.33</w:t>
            </w:r>
          </w:p>
        </w:tc>
        <w:tc>
          <w:tcPr>
            <w:tcW w:w="657" w:type="pct"/>
            <w:vAlign w:val="center"/>
          </w:tcPr>
          <w:p w14:paraId="6ED80686" w14:textId="77777777" w:rsidR="00CF72D5" w:rsidRPr="002029AF" w:rsidRDefault="00CF72D5" w:rsidP="00897193">
            <w:pPr>
              <w:pStyle w:val="ARtabletextright"/>
            </w:pPr>
            <w:r w:rsidRPr="002029AF">
              <w:rPr>
                <w:color w:val="000000"/>
              </w:rPr>
              <w:t>4,641</w:t>
            </w:r>
          </w:p>
        </w:tc>
        <w:tc>
          <w:tcPr>
            <w:tcW w:w="657" w:type="pct"/>
            <w:vAlign w:val="center"/>
          </w:tcPr>
          <w:p w14:paraId="707F31DF" w14:textId="77777777" w:rsidR="00CF72D5" w:rsidRPr="002029AF" w:rsidRDefault="00CF72D5" w:rsidP="00897193">
            <w:pPr>
              <w:pStyle w:val="ARtabletextright"/>
            </w:pPr>
            <w:r w:rsidRPr="002029AF">
              <w:rPr>
                <w:color w:val="000000"/>
              </w:rPr>
              <w:t>$8.02</w:t>
            </w:r>
          </w:p>
        </w:tc>
      </w:tr>
      <w:tr w:rsidR="00CF72D5" w:rsidRPr="002029AF" w14:paraId="06578A09" w14:textId="77777777" w:rsidTr="004F632C">
        <w:trPr>
          <w:cantSplit w:val="0"/>
        </w:trPr>
        <w:tc>
          <w:tcPr>
            <w:tcW w:w="1057" w:type="pct"/>
            <w:hideMark/>
          </w:tcPr>
          <w:p w14:paraId="264F0537" w14:textId="77777777" w:rsidR="00CF72D5" w:rsidRPr="002029AF" w:rsidRDefault="00CF72D5" w:rsidP="00897193">
            <w:pPr>
              <w:pStyle w:val="ARtabletext"/>
            </w:pPr>
            <w:r w:rsidRPr="002029AF">
              <w:t>Landfill</w:t>
            </w:r>
          </w:p>
        </w:tc>
        <w:tc>
          <w:tcPr>
            <w:tcW w:w="657" w:type="pct"/>
            <w:vAlign w:val="center"/>
          </w:tcPr>
          <w:p w14:paraId="4087DBDB" w14:textId="77777777" w:rsidR="00CF72D5" w:rsidRPr="002029AF" w:rsidRDefault="00CF72D5" w:rsidP="00897193">
            <w:pPr>
              <w:pStyle w:val="ARtabletextright"/>
            </w:pPr>
            <w:r w:rsidRPr="002029AF">
              <w:rPr>
                <w:color w:val="000000"/>
              </w:rPr>
              <w:t>20,342</w:t>
            </w:r>
          </w:p>
        </w:tc>
        <w:tc>
          <w:tcPr>
            <w:tcW w:w="657" w:type="pct"/>
            <w:vAlign w:val="center"/>
          </w:tcPr>
          <w:p w14:paraId="370A4856" w14:textId="77777777" w:rsidR="00CF72D5" w:rsidRPr="002029AF" w:rsidRDefault="00CF72D5" w:rsidP="00897193">
            <w:pPr>
              <w:pStyle w:val="ARtabletextright"/>
            </w:pPr>
            <w:r w:rsidRPr="002029AF">
              <w:rPr>
                <w:color w:val="000000"/>
              </w:rPr>
              <w:t>$4.75</w:t>
            </w:r>
          </w:p>
        </w:tc>
        <w:tc>
          <w:tcPr>
            <w:tcW w:w="657" w:type="pct"/>
            <w:vAlign w:val="center"/>
          </w:tcPr>
          <w:p w14:paraId="2085D4AD" w14:textId="77777777" w:rsidR="00CF72D5" w:rsidRPr="002029AF" w:rsidRDefault="00CF72D5" w:rsidP="00897193">
            <w:pPr>
              <w:pStyle w:val="ARtabletextright"/>
            </w:pPr>
            <w:r w:rsidRPr="002029AF">
              <w:rPr>
                <w:color w:val="000000"/>
              </w:rPr>
              <w:t>24,098</w:t>
            </w:r>
          </w:p>
        </w:tc>
        <w:tc>
          <w:tcPr>
            <w:tcW w:w="657" w:type="pct"/>
            <w:vAlign w:val="center"/>
          </w:tcPr>
          <w:p w14:paraId="493CA49F" w14:textId="77777777" w:rsidR="00CF72D5" w:rsidRPr="002029AF" w:rsidRDefault="00CF72D5" w:rsidP="00897193">
            <w:pPr>
              <w:pStyle w:val="ARtabletextright"/>
            </w:pPr>
            <w:r w:rsidRPr="002029AF">
              <w:rPr>
                <w:color w:val="000000"/>
              </w:rPr>
              <w:t>$5.16</w:t>
            </w:r>
          </w:p>
        </w:tc>
        <w:tc>
          <w:tcPr>
            <w:tcW w:w="657" w:type="pct"/>
            <w:vAlign w:val="center"/>
          </w:tcPr>
          <w:p w14:paraId="3684554F" w14:textId="77777777" w:rsidR="00CF72D5" w:rsidRPr="002029AF" w:rsidRDefault="00CF72D5" w:rsidP="00897193">
            <w:pPr>
              <w:pStyle w:val="ARtabletextright"/>
            </w:pPr>
            <w:r w:rsidRPr="002029AF">
              <w:rPr>
                <w:color w:val="000000"/>
              </w:rPr>
              <w:t>25,061</w:t>
            </w:r>
          </w:p>
        </w:tc>
        <w:tc>
          <w:tcPr>
            <w:tcW w:w="657" w:type="pct"/>
            <w:vAlign w:val="center"/>
          </w:tcPr>
          <w:p w14:paraId="0DC9809C" w14:textId="77777777" w:rsidR="00CF72D5" w:rsidRPr="002029AF" w:rsidRDefault="00CF72D5" w:rsidP="00897193">
            <w:pPr>
              <w:pStyle w:val="ARtabletextright"/>
            </w:pPr>
            <w:r w:rsidRPr="002029AF">
              <w:rPr>
                <w:color w:val="000000"/>
              </w:rPr>
              <w:t>$5.30</w:t>
            </w:r>
          </w:p>
        </w:tc>
      </w:tr>
      <w:tr w:rsidR="00CF72D5" w:rsidRPr="002029AF" w14:paraId="1257D19E" w14:textId="77777777" w:rsidTr="004F632C">
        <w:trPr>
          <w:cantSplit w:val="0"/>
        </w:trPr>
        <w:tc>
          <w:tcPr>
            <w:tcW w:w="1057" w:type="pct"/>
            <w:hideMark/>
          </w:tcPr>
          <w:p w14:paraId="675738EF" w14:textId="77777777" w:rsidR="00CF72D5" w:rsidRPr="002029AF" w:rsidRDefault="00CF72D5" w:rsidP="00897193">
            <w:pPr>
              <w:pStyle w:val="ARtabletext"/>
            </w:pPr>
            <w:r w:rsidRPr="002029AF">
              <w:t>Recycling</w:t>
            </w:r>
          </w:p>
        </w:tc>
        <w:tc>
          <w:tcPr>
            <w:tcW w:w="657" w:type="pct"/>
            <w:vAlign w:val="center"/>
          </w:tcPr>
          <w:p w14:paraId="18301579" w14:textId="77777777" w:rsidR="00CF72D5" w:rsidRPr="002029AF" w:rsidRDefault="00CF72D5" w:rsidP="00897193">
            <w:pPr>
              <w:pStyle w:val="ARtabletextright"/>
            </w:pPr>
            <w:r w:rsidRPr="002029AF">
              <w:rPr>
                <w:color w:val="000000"/>
              </w:rPr>
              <w:t>8,208</w:t>
            </w:r>
          </w:p>
        </w:tc>
        <w:tc>
          <w:tcPr>
            <w:tcW w:w="657" w:type="pct"/>
            <w:vAlign w:val="center"/>
          </w:tcPr>
          <w:p w14:paraId="07B484F9" w14:textId="77777777" w:rsidR="00CF72D5" w:rsidRPr="002029AF" w:rsidRDefault="00CF72D5" w:rsidP="00897193">
            <w:pPr>
              <w:pStyle w:val="ARtabletextright"/>
            </w:pPr>
            <w:r w:rsidRPr="002029AF">
              <w:rPr>
                <w:color w:val="000000"/>
              </w:rPr>
              <w:t>$1.63</w:t>
            </w:r>
          </w:p>
        </w:tc>
        <w:tc>
          <w:tcPr>
            <w:tcW w:w="657" w:type="pct"/>
            <w:vAlign w:val="center"/>
          </w:tcPr>
          <w:p w14:paraId="335DF8E8" w14:textId="77777777" w:rsidR="00CF72D5" w:rsidRPr="002029AF" w:rsidRDefault="00CF72D5" w:rsidP="00897193">
            <w:pPr>
              <w:pStyle w:val="ARtabletextright"/>
            </w:pPr>
            <w:r w:rsidRPr="002029AF">
              <w:rPr>
                <w:color w:val="000000"/>
              </w:rPr>
              <w:t>9,815</w:t>
            </w:r>
          </w:p>
        </w:tc>
        <w:tc>
          <w:tcPr>
            <w:tcW w:w="657" w:type="pct"/>
            <w:vAlign w:val="center"/>
          </w:tcPr>
          <w:p w14:paraId="3722BBD1" w14:textId="77777777" w:rsidR="00CF72D5" w:rsidRPr="002029AF" w:rsidRDefault="00CF72D5" w:rsidP="00897193">
            <w:pPr>
              <w:pStyle w:val="ARtabletextright"/>
            </w:pPr>
            <w:r w:rsidRPr="002029AF">
              <w:rPr>
                <w:color w:val="000000"/>
              </w:rPr>
              <w:t>$1.86</w:t>
            </w:r>
          </w:p>
        </w:tc>
        <w:tc>
          <w:tcPr>
            <w:tcW w:w="657" w:type="pct"/>
            <w:vAlign w:val="center"/>
          </w:tcPr>
          <w:p w14:paraId="4A8C0B1B" w14:textId="77777777" w:rsidR="00CF72D5" w:rsidRPr="002029AF" w:rsidRDefault="00CF72D5" w:rsidP="00897193">
            <w:pPr>
              <w:pStyle w:val="ARtabletextright"/>
            </w:pPr>
            <w:r w:rsidRPr="002029AF">
              <w:rPr>
                <w:color w:val="000000"/>
              </w:rPr>
              <w:t>9,133</w:t>
            </w:r>
          </w:p>
        </w:tc>
        <w:tc>
          <w:tcPr>
            <w:tcW w:w="657" w:type="pct"/>
            <w:vAlign w:val="center"/>
          </w:tcPr>
          <w:p w14:paraId="7992DDE7" w14:textId="77777777" w:rsidR="00CF72D5" w:rsidRPr="002029AF" w:rsidRDefault="00CF72D5" w:rsidP="00897193">
            <w:pPr>
              <w:pStyle w:val="ARtabletextright"/>
            </w:pPr>
            <w:r w:rsidRPr="002029AF">
              <w:rPr>
                <w:color w:val="000000"/>
              </w:rPr>
              <w:t>$1.83</w:t>
            </w:r>
          </w:p>
        </w:tc>
      </w:tr>
      <w:tr w:rsidR="00CF72D5" w:rsidRPr="002029AF" w14:paraId="6CF6A6F1" w14:textId="77777777" w:rsidTr="004F632C">
        <w:trPr>
          <w:cantSplit w:val="0"/>
        </w:trPr>
        <w:tc>
          <w:tcPr>
            <w:tcW w:w="1057" w:type="pct"/>
            <w:hideMark/>
          </w:tcPr>
          <w:p w14:paraId="4E11670D" w14:textId="77777777" w:rsidR="00CF72D5" w:rsidRPr="002029AF" w:rsidRDefault="00CF72D5" w:rsidP="00897193">
            <w:pPr>
              <w:pStyle w:val="ARtabletext"/>
              <w:rPr>
                <w:b/>
                <w:bCs/>
              </w:rPr>
            </w:pPr>
            <w:r w:rsidRPr="002029AF">
              <w:rPr>
                <w:b/>
                <w:bCs/>
              </w:rPr>
              <w:t>Total</w:t>
            </w:r>
          </w:p>
        </w:tc>
        <w:tc>
          <w:tcPr>
            <w:tcW w:w="657" w:type="pct"/>
            <w:vAlign w:val="center"/>
          </w:tcPr>
          <w:p w14:paraId="0CAB3099" w14:textId="77777777" w:rsidR="00CF72D5" w:rsidRPr="002029AF" w:rsidRDefault="00CF72D5" w:rsidP="00897193">
            <w:pPr>
              <w:pStyle w:val="ARtabletextrightbold"/>
            </w:pPr>
            <w:r w:rsidRPr="002029AF">
              <w:rPr>
                <w:color w:val="000000"/>
              </w:rPr>
              <w:t>33,306</w:t>
            </w:r>
          </w:p>
        </w:tc>
        <w:tc>
          <w:tcPr>
            <w:tcW w:w="657" w:type="pct"/>
            <w:vAlign w:val="center"/>
          </w:tcPr>
          <w:p w14:paraId="1E740D04" w14:textId="77777777" w:rsidR="00CF72D5" w:rsidRPr="002029AF" w:rsidRDefault="00CF72D5" w:rsidP="00897193">
            <w:pPr>
              <w:pStyle w:val="ARtabletextrightbold"/>
            </w:pPr>
            <w:r w:rsidRPr="002029AF">
              <w:rPr>
                <w:color w:val="000000"/>
              </w:rPr>
              <w:t>$14.46</w:t>
            </w:r>
          </w:p>
        </w:tc>
        <w:tc>
          <w:tcPr>
            <w:tcW w:w="657" w:type="pct"/>
            <w:vAlign w:val="center"/>
          </w:tcPr>
          <w:p w14:paraId="6524051A" w14:textId="77777777" w:rsidR="00CF72D5" w:rsidRPr="002029AF" w:rsidRDefault="00CF72D5" w:rsidP="00897193">
            <w:pPr>
              <w:pStyle w:val="ARtabletextrightbold"/>
            </w:pPr>
            <w:r w:rsidRPr="002029AF">
              <w:rPr>
                <w:color w:val="000000"/>
              </w:rPr>
              <w:t>38,687</w:t>
            </w:r>
          </w:p>
        </w:tc>
        <w:tc>
          <w:tcPr>
            <w:tcW w:w="657" w:type="pct"/>
            <w:vAlign w:val="center"/>
          </w:tcPr>
          <w:p w14:paraId="31E4AE8E" w14:textId="77777777" w:rsidR="00CF72D5" w:rsidRPr="002029AF" w:rsidRDefault="00CF72D5" w:rsidP="00897193">
            <w:pPr>
              <w:pStyle w:val="ARtabletextrightbold"/>
            </w:pPr>
            <w:r w:rsidRPr="002029AF">
              <w:rPr>
                <w:color w:val="000000"/>
              </w:rPr>
              <w:t>$15.36</w:t>
            </w:r>
          </w:p>
        </w:tc>
        <w:tc>
          <w:tcPr>
            <w:tcW w:w="657" w:type="pct"/>
            <w:vAlign w:val="center"/>
          </w:tcPr>
          <w:p w14:paraId="2D095DF2" w14:textId="77777777" w:rsidR="00CF72D5" w:rsidRPr="002029AF" w:rsidRDefault="00CF72D5" w:rsidP="00897193">
            <w:pPr>
              <w:pStyle w:val="ARtabletextrightbold"/>
            </w:pPr>
            <w:r w:rsidRPr="002029AF">
              <w:rPr>
                <w:color w:val="000000"/>
              </w:rPr>
              <w:t>38,834</w:t>
            </w:r>
          </w:p>
        </w:tc>
        <w:tc>
          <w:tcPr>
            <w:tcW w:w="657" w:type="pct"/>
            <w:vAlign w:val="center"/>
          </w:tcPr>
          <w:p w14:paraId="5B65D704" w14:textId="77777777" w:rsidR="00CF72D5" w:rsidRPr="002029AF" w:rsidRDefault="00CF72D5" w:rsidP="00897193">
            <w:pPr>
              <w:pStyle w:val="ARtabletextrightbold"/>
            </w:pPr>
            <w:r w:rsidRPr="002029AF">
              <w:rPr>
                <w:color w:val="000000"/>
              </w:rPr>
              <w:t>$15.15</w:t>
            </w:r>
          </w:p>
        </w:tc>
      </w:tr>
    </w:tbl>
    <w:p w14:paraId="4D6F5A5F" w14:textId="77777777" w:rsidR="00CF72D5" w:rsidRPr="002029AF" w:rsidRDefault="00CF72D5" w:rsidP="00897193">
      <w:pPr>
        <w:pStyle w:val="ARbody"/>
        <w:rPr>
          <w:lang w:eastAsia="en-AU"/>
        </w:rPr>
      </w:pP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2835"/>
        <w:gridCol w:w="2268"/>
        <w:gridCol w:w="2268"/>
        <w:gridCol w:w="2268"/>
      </w:tblGrid>
      <w:tr w:rsidR="00CF72D5" w:rsidRPr="002029AF" w14:paraId="08C6A7C2" w14:textId="77777777" w:rsidTr="00897193">
        <w:trPr>
          <w:cantSplit/>
          <w:trHeight w:val="285"/>
          <w:tblHeader/>
        </w:trPr>
        <w:tc>
          <w:tcPr>
            <w:tcW w:w="2835" w:type="dxa"/>
            <w:vAlign w:val="bottom"/>
          </w:tcPr>
          <w:p w14:paraId="43EABADD" w14:textId="77777777" w:rsidR="00CF72D5" w:rsidRPr="002029AF" w:rsidRDefault="00CF72D5" w:rsidP="00897193">
            <w:pPr>
              <w:pStyle w:val="ARtablecolhead"/>
            </w:pPr>
            <w:r w:rsidRPr="002029AF">
              <w:t>Description</w:t>
            </w:r>
          </w:p>
        </w:tc>
        <w:tc>
          <w:tcPr>
            <w:tcW w:w="2268" w:type="dxa"/>
            <w:vAlign w:val="center"/>
          </w:tcPr>
          <w:p w14:paraId="1F0F8DA6" w14:textId="43E6F1EE" w:rsidR="00CF72D5" w:rsidRPr="002029AF" w:rsidRDefault="00CF72D5" w:rsidP="00897193">
            <w:pPr>
              <w:pStyle w:val="ARtablecolheadright"/>
            </w:pPr>
            <w:r w:rsidRPr="002029AF">
              <w:rPr>
                <w:color w:val="000000"/>
              </w:rPr>
              <w:t>2019–20</w:t>
            </w:r>
            <w:r w:rsidR="000A5329" w:rsidRPr="002029AF">
              <w:rPr>
                <w:color w:val="000000"/>
              </w:rPr>
              <w:t xml:space="preserve"> </w:t>
            </w:r>
            <w:r w:rsidRPr="002029AF">
              <w:rPr>
                <w:color w:val="000000"/>
              </w:rPr>
              <w:t>estimate</w:t>
            </w:r>
          </w:p>
        </w:tc>
        <w:tc>
          <w:tcPr>
            <w:tcW w:w="2268" w:type="dxa"/>
            <w:vAlign w:val="center"/>
          </w:tcPr>
          <w:p w14:paraId="32B9D938" w14:textId="509E90FA" w:rsidR="00CF72D5" w:rsidRPr="002029AF" w:rsidRDefault="00CF72D5" w:rsidP="00897193">
            <w:pPr>
              <w:pStyle w:val="ARtablecolheadright"/>
            </w:pPr>
            <w:r w:rsidRPr="002029AF">
              <w:rPr>
                <w:color w:val="000000"/>
              </w:rPr>
              <w:t>2018–19</w:t>
            </w:r>
            <w:r w:rsidR="000A5329" w:rsidRPr="002029AF">
              <w:rPr>
                <w:color w:val="000000"/>
              </w:rPr>
              <w:t xml:space="preserve"> </w:t>
            </w:r>
            <w:r w:rsidRPr="002029AF">
              <w:rPr>
                <w:color w:val="000000"/>
              </w:rPr>
              <w:t>estimate</w:t>
            </w:r>
          </w:p>
        </w:tc>
        <w:tc>
          <w:tcPr>
            <w:tcW w:w="2268" w:type="dxa"/>
            <w:vAlign w:val="center"/>
          </w:tcPr>
          <w:p w14:paraId="1ECF10DD" w14:textId="43020F36" w:rsidR="00CF72D5" w:rsidRPr="002029AF" w:rsidRDefault="00CF72D5" w:rsidP="00897193">
            <w:pPr>
              <w:pStyle w:val="ARtablecolheadright"/>
            </w:pPr>
            <w:r w:rsidRPr="002029AF">
              <w:rPr>
                <w:color w:val="000000"/>
              </w:rPr>
              <w:t>2017–18</w:t>
            </w:r>
            <w:r w:rsidR="000A5329" w:rsidRPr="002029AF">
              <w:rPr>
                <w:color w:val="000000"/>
              </w:rPr>
              <w:t xml:space="preserve"> </w:t>
            </w:r>
            <w:r w:rsidRPr="002029AF">
              <w:rPr>
                <w:color w:val="000000"/>
              </w:rPr>
              <w:t>estimate</w:t>
            </w:r>
          </w:p>
        </w:tc>
      </w:tr>
      <w:tr w:rsidR="00CF72D5" w:rsidRPr="002029AF" w14:paraId="7189D30B" w14:textId="77777777" w:rsidTr="00897193">
        <w:trPr>
          <w:cantSplit/>
          <w:trHeight w:val="285"/>
        </w:trPr>
        <w:tc>
          <w:tcPr>
            <w:tcW w:w="2835" w:type="dxa"/>
          </w:tcPr>
          <w:p w14:paraId="481E7D2A" w14:textId="646CED2E" w:rsidR="00CF72D5" w:rsidRPr="002029AF" w:rsidRDefault="00CF72D5" w:rsidP="00897193">
            <w:pPr>
              <w:pStyle w:val="ARtabletext"/>
            </w:pPr>
            <w:r w:rsidRPr="002029AF">
              <w:t>Recycling</w:t>
            </w:r>
            <w:r w:rsidR="000A5329" w:rsidRPr="002029AF">
              <w:t xml:space="preserve"> </w:t>
            </w:r>
            <w:r w:rsidRPr="002029AF">
              <w:t>rate</w:t>
            </w:r>
            <w:r w:rsidR="000A5329" w:rsidRPr="002029AF">
              <w:t xml:space="preserve"> </w:t>
            </w:r>
            <w:r w:rsidRPr="002029AF">
              <w:t>(per</w:t>
            </w:r>
            <w:r w:rsidR="000A5329" w:rsidRPr="002029AF">
              <w:t xml:space="preserve"> </w:t>
            </w:r>
            <w:r w:rsidRPr="002029AF">
              <w:t>cent)</w:t>
            </w:r>
          </w:p>
        </w:tc>
        <w:tc>
          <w:tcPr>
            <w:tcW w:w="2268" w:type="dxa"/>
            <w:vAlign w:val="center"/>
          </w:tcPr>
          <w:p w14:paraId="54B49D3B" w14:textId="77777777" w:rsidR="00CF72D5" w:rsidRPr="002029AF" w:rsidRDefault="00CF72D5" w:rsidP="00897193">
            <w:pPr>
              <w:pStyle w:val="ARtabletextright"/>
            </w:pPr>
            <w:r w:rsidRPr="002029AF">
              <w:rPr>
                <w:color w:val="000000"/>
              </w:rPr>
              <w:t>29%</w:t>
            </w:r>
          </w:p>
        </w:tc>
        <w:tc>
          <w:tcPr>
            <w:tcW w:w="2268" w:type="dxa"/>
            <w:vAlign w:val="center"/>
          </w:tcPr>
          <w:p w14:paraId="3000CCA2" w14:textId="77777777" w:rsidR="00CF72D5" w:rsidRPr="002029AF" w:rsidRDefault="00CF72D5" w:rsidP="00897193">
            <w:pPr>
              <w:pStyle w:val="ARtabletextright"/>
            </w:pPr>
            <w:r w:rsidRPr="002029AF">
              <w:rPr>
                <w:color w:val="000000"/>
              </w:rPr>
              <w:t>29%</w:t>
            </w:r>
          </w:p>
        </w:tc>
        <w:tc>
          <w:tcPr>
            <w:tcW w:w="2268" w:type="dxa"/>
            <w:vAlign w:val="center"/>
          </w:tcPr>
          <w:p w14:paraId="29B7216B" w14:textId="77777777" w:rsidR="00CF72D5" w:rsidRPr="002029AF" w:rsidRDefault="00CF72D5" w:rsidP="00897193">
            <w:pPr>
              <w:pStyle w:val="ARtabletextright"/>
            </w:pPr>
            <w:r w:rsidRPr="002029AF">
              <w:rPr>
                <w:color w:val="000000"/>
              </w:rPr>
              <w:t>26%</w:t>
            </w:r>
          </w:p>
        </w:tc>
      </w:tr>
      <w:tr w:rsidR="00CF72D5" w:rsidRPr="002029AF" w14:paraId="35C7DD84" w14:textId="77777777" w:rsidTr="00897193">
        <w:trPr>
          <w:cantSplit/>
          <w:trHeight w:val="285"/>
        </w:trPr>
        <w:tc>
          <w:tcPr>
            <w:tcW w:w="2835" w:type="dxa"/>
          </w:tcPr>
          <w:p w14:paraId="4F7250A5" w14:textId="334C1B2A" w:rsidR="00CF72D5" w:rsidRPr="002029AF" w:rsidRDefault="00CF72D5" w:rsidP="00897193">
            <w:pPr>
              <w:pStyle w:val="ARtabletext"/>
            </w:pPr>
            <w:r w:rsidRPr="002029AF">
              <w:t>Waste</w:t>
            </w:r>
            <w:r w:rsidR="000A5329" w:rsidRPr="002029AF">
              <w:t xml:space="preserve"> </w:t>
            </w:r>
            <w:r w:rsidRPr="002029AF">
              <w:t>produced</w:t>
            </w:r>
            <w:r w:rsidR="000A5329" w:rsidRPr="002029AF">
              <w:t xml:space="preserve"> </w:t>
            </w:r>
            <w:r w:rsidRPr="002029AF">
              <w:t>per</w:t>
            </w:r>
            <w:r w:rsidR="000A5329" w:rsidRPr="002029AF">
              <w:t xml:space="preserve"> </w:t>
            </w:r>
            <w:r w:rsidRPr="002029AF">
              <w:t>patient</w:t>
            </w:r>
            <w:r w:rsidR="000A5329" w:rsidRPr="002029AF">
              <w:t xml:space="preserve"> </w:t>
            </w:r>
            <w:r w:rsidRPr="002029AF">
              <w:t>treated</w:t>
            </w:r>
            <w:r w:rsidR="000A5329" w:rsidRPr="002029AF">
              <w:t xml:space="preserve"> </w:t>
            </w:r>
            <w:r w:rsidRPr="002029AF">
              <w:t>(kilograms/PPT)</w:t>
            </w:r>
          </w:p>
        </w:tc>
        <w:tc>
          <w:tcPr>
            <w:tcW w:w="2268" w:type="dxa"/>
            <w:vAlign w:val="center"/>
          </w:tcPr>
          <w:p w14:paraId="6F8CA953" w14:textId="77777777" w:rsidR="00CF72D5" w:rsidRPr="002029AF" w:rsidRDefault="00CF72D5" w:rsidP="00897193">
            <w:pPr>
              <w:pStyle w:val="ARtabletextright"/>
            </w:pPr>
            <w:r w:rsidRPr="002029AF">
              <w:rPr>
                <w:color w:val="000000"/>
              </w:rPr>
              <w:t>3.09</w:t>
            </w:r>
          </w:p>
        </w:tc>
        <w:tc>
          <w:tcPr>
            <w:tcW w:w="2268" w:type="dxa"/>
            <w:vAlign w:val="center"/>
          </w:tcPr>
          <w:p w14:paraId="0248B7C3" w14:textId="77777777" w:rsidR="00CF72D5" w:rsidRPr="002029AF" w:rsidRDefault="00CF72D5" w:rsidP="00897193">
            <w:pPr>
              <w:pStyle w:val="ARtabletextright"/>
            </w:pPr>
            <w:r w:rsidRPr="002029AF">
              <w:rPr>
                <w:color w:val="000000"/>
              </w:rPr>
              <w:t>3.52</w:t>
            </w:r>
          </w:p>
        </w:tc>
        <w:tc>
          <w:tcPr>
            <w:tcW w:w="2268" w:type="dxa"/>
            <w:vAlign w:val="center"/>
          </w:tcPr>
          <w:p w14:paraId="3ABE68D1" w14:textId="77777777" w:rsidR="00CF72D5" w:rsidRPr="002029AF" w:rsidRDefault="00CF72D5" w:rsidP="00897193">
            <w:pPr>
              <w:pStyle w:val="ARtabletextright"/>
            </w:pPr>
            <w:r w:rsidRPr="002029AF">
              <w:rPr>
                <w:color w:val="000000"/>
              </w:rPr>
              <w:t>3.6</w:t>
            </w:r>
          </w:p>
        </w:tc>
      </w:tr>
      <w:tr w:rsidR="00CF72D5" w:rsidRPr="002029AF" w14:paraId="65F8F844" w14:textId="77777777" w:rsidTr="00897193">
        <w:trPr>
          <w:cantSplit/>
          <w:trHeight w:val="285"/>
        </w:trPr>
        <w:tc>
          <w:tcPr>
            <w:tcW w:w="2835" w:type="dxa"/>
          </w:tcPr>
          <w:p w14:paraId="4F89D549" w14:textId="134D39EB" w:rsidR="00CF72D5" w:rsidRPr="002029AF" w:rsidRDefault="00CF72D5" w:rsidP="00897193">
            <w:pPr>
              <w:pStyle w:val="ARtabletext"/>
            </w:pPr>
            <w:r w:rsidRPr="002029AF">
              <w:t>Greenhouse</w:t>
            </w:r>
            <w:r w:rsidR="000A5329" w:rsidRPr="002029AF">
              <w:t xml:space="preserve"> </w:t>
            </w:r>
            <w:r w:rsidRPr="002029AF">
              <w:t>gas</w:t>
            </w:r>
            <w:r w:rsidR="000A5329" w:rsidRPr="002029AF">
              <w:t xml:space="preserve"> </w:t>
            </w:r>
            <w:r w:rsidRPr="002029AF">
              <w:t>emissions</w:t>
            </w:r>
            <w:r w:rsidR="000A5329" w:rsidRPr="002029AF">
              <w:t xml:space="preserve"> </w:t>
            </w:r>
            <w:r w:rsidRPr="002029AF">
              <w:t>associated</w:t>
            </w:r>
            <w:r w:rsidR="000A5329" w:rsidRPr="002029AF">
              <w:t xml:space="preserve"> </w:t>
            </w:r>
            <w:r w:rsidRPr="002029AF">
              <w:t>with</w:t>
            </w:r>
            <w:r w:rsidR="000A5329" w:rsidRPr="002029AF">
              <w:t xml:space="preserve"> </w:t>
            </w:r>
            <w:r w:rsidRPr="002029AF">
              <w:t>waste</w:t>
            </w:r>
            <w:r w:rsidR="000A5329" w:rsidRPr="002029AF">
              <w:t xml:space="preserve"> </w:t>
            </w:r>
            <w:r w:rsidRPr="002029AF">
              <w:t>to</w:t>
            </w:r>
            <w:r w:rsidR="000A5329" w:rsidRPr="002029AF">
              <w:t xml:space="preserve"> </w:t>
            </w:r>
            <w:r w:rsidRPr="002029AF">
              <w:t>landfill</w:t>
            </w:r>
            <w:r w:rsidR="000A5329" w:rsidRPr="002029AF">
              <w:t xml:space="preserve"> </w:t>
            </w:r>
            <w:r w:rsidRPr="002029AF">
              <w:t>(tonnes</w:t>
            </w:r>
            <w:r w:rsidR="000A5329" w:rsidRPr="002029AF">
              <w:t xml:space="preserve"> </w:t>
            </w:r>
            <w:r w:rsidRPr="002029AF">
              <w:t>of</w:t>
            </w:r>
            <w:r w:rsidR="000A5329" w:rsidRPr="002029AF">
              <w:t xml:space="preserve"> </w:t>
            </w:r>
            <w:r w:rsidRPr="002029AF">
              <w:t>CO</w:t>
            </w:r>
            <w:r w:rsidRPr="002029AF">
              <w:rPr>
                <w:vertAlign w:val="subscript"/>
              </w:rPr>
              <w:t>2</w:t>
            </w:r>
            <w:r w:rsidRPr="002029AF">
              <w:t>-e)</w:t>
            </w:r>
          </w:p>
        </w:tc>
        <w:tc>
          <w:tcPr>
            <w:tcW w:w="2268" w:type="dxa"/>
            <w:vAlign w:val="center"/>
          </w:tcPr>
          <w:p w14:paraId="75C84488" w14:textId="77777777" w:rsidR="00CF72D5" w:rsidRPr="002029AF" w:rsidRDefault="00CF72D5" w:rsidP="00897193">
            <w:pPr>
              <w:pStyle w:val="ARtabletextright"/>
            </w:pPr>
            <w:r w:rsidRPr="002029AF">
              <w:rPr>
                <w:color w:val="000000"/>
              </w:rPr>
              <w:t>29,969</w:t>
            </w:r>
          </w:p>
        </w:tc>
        <w:tc>
          <w:tcPr>
            <w:tcW w:w="2268" w:type="dxa"/>
            <w:vAlign w:val="center"/>
          </w:tcPr>
          <w:p w14:paraId="1EFA0EA5" w14:textId="77777777" w:rsidR="00CF72D5" w:rsidRPr="002029AF" w:rsidRDefault="00CF72D5" w:rsidP="00897193">
            <w:pPr>
              <w:pStyle w:val="ARtabletextright"/>
            </w:pPr>
            <w:r w:rsidRPr="002029AF">
              <w:rPr>
                <w:color w:val="000000"/>
              </w:rPr>
              <w:t>34,481</w:t>
            </w:r>
          </w:p>
        </w:tc>
        <w:tc>
          <w:tcPr>
            <w:tcW w:w="2268" w:type="dxa"/>
            <w:vAlign w:val="center"/>
          </w:tcPr>
          <w:p w14:paraId="7A107F85" w14:textId="77777777" w:rsidR="00CF72D5" w:rsidRPr="002029AF" w:rsidRDefault="00CF72D5" w:rsidP="00897193">
            <w:pPr>
              <w:pStyle w:val="ARtabletextright"/>
            </w:pPr>
            <w:r w:rsidRPr="002029AF">
              <w:rPr>
                <w:color w:val="000000"/>
              </w:rPr>
              <w:t>35,461</w:t>
            </w:r>
          </w:p>
        </w:tc>
      </w:tr>
    </w:tbl>
    <w:p w14:paraId="1B5938B9" w14:textId="7C42EBF7" w:rsidR="00CF72D5" w:rsidRPr="002029AF" w:rsidRDefault="00CF72D5" w:rsidP="00897193">
      <w:pPr>
        <w:pStyle w:val="ARtablefootnote"/>
        <w:rPr>
          <w:lang w:eastAsia="en-AU"/>
        </w:rPr>
      </w:pPr>
      <w:bookmarkStart w:id="188" w:name="_Hlk11670865"/>
      <w:r w:rsidRPr="002029AF">
        <w:rPr>
          <w:lang w:eastAsia="en-AU"/>
        </w:rPr>
        <w:t>Public</w:t>
      </w:r>
      <w:r w:rsidR="000A5329" w:rsidRPr="002029AF">
        <w:rPr>
          <w:lang w:eastAsia="en-AU"/>
        </w:rPr>
        <w:t xml:space="preserve"> </w:t>
      </w:r>
      <w:r w:rsidRPr="002029AF">
        <w:rPr>
          <w:lang w:eastAsia="en-AU"/>
        </w:rPr>
        <w:t>health</w:t>
      </w:r>
      <w:r w:rsidR="000A5329" w:rsidRPr="002029AF">
        <w:rPr>
          <w:lang w:eastAsia="en-AU"/>
        </w:rPr>
        <w:t xml:space="preserve"> </w:t>
      </w:r>
      <w:r w:rsidRPr="002029AF">
        <w:rPr>
          <w:lang w:eastAsia="en-AU"/>
        </w:rPr>
        <w:t>services</w:t>
      </w:r>
      <w:r w:rsidR="000A5329" w:rsidRPr="002029AF">
        <w:rPr>
          <w:lang w:eastAsia="en-AU"/>
        </w:rPr>
        <w:t xml:space="preserve"> </w:t>
      </w:r>
      <w:r w:rsidRPr="002029AF">
        <w:rPr>
          <w:lang w:eastAsia="en-AU"/>
        </w:rPr>
        <w:t>are</w:t>
      </w:r>
      <w:r w:rsidR="000A5329" w:rsidRPr="002029AF">
        <w:rPr>
          <w:lang w:eastAsia="en-AU"/>
        </w:rPr>
        <w:t xml:space="preserve"> </w:t>
      </w:r>
      <w:r w:rsidRPr="002029AF">
        <w:rPr>
          <w:lang w:eastAsia="en-AU"/>
        </w:rPr>
        <w:t>GST-exempt</w:t>
      </w:r>
      <w:r w:rsidR="000A5329" w:rsidRPr="002029AF">
        <w:rPr>
          <w:lang w:eastAsia="en-AU"/>
        </w:rPr>
        <w:t xml:space="preserve"> </w:t>
      </w:r>
      <w:r w:rsidRPr="002029AF">
        <w:rPr>
          <w:lang w:eastAsia="en-AU"/>
        </w:rPr>
        <w:t>organisations.</w:t>
      </w:r>
      <w:r w:rsidR="000A5329" w:rsidRPr="002029AF">
        <w:rPr>
          <w:lang w:eastAsia="en-AU"/>
        </w:rPr>
        <w:t xml:space="preserve"> </w:t>
      </w:r>
      <w:r w:rsidRPr="002029AF">
        <w:rPr>
          <w:lang w:eastAsia="en-AU"/>
        </w:rPr>
        <w:t>Reported</w:t>
      </w:r>
      <w:r w:rsidR="000A5329" w:rsidRPr="002029AF">
        <w:rPr>
          <w:lang w:eastAsia="en-AU"/>
        </w:rPr>
        <w:t xml:space="preserve"> </w:t>
      </w:r>
      <w:r w:rsidRPr="002029AF">
        <w:rPr>
          <w:lang w:eastAsia="en-AU"/>
        </w:rPr>
        <w:t>cost</w:t>
      </w:r>
      <w:r w:rsidR="000A5329" w:rsidRPr="002029AF">
        <w:rPr>
          <w:lang w:eastAsia="en-AU"/>
        </w:rPr>
        <w:t xml:space="preserve"> </w:t>
      </w:r>
      <w:r w:rsidRPr="002029AF">
        <w:rPr>
          <w:lang w:eastAsia="en-AU"/>
        </w:rPr>
        <w:t>data</w:t>
      </w:r>
      <w:r w:rsidR="000A5329" w:rsidRPr="002029AF">
        <w:rPr>
          <w:lang w:eastAsia="en-AU"/>
        </w:rPr>
        <w:t xml:space="preserve"> </w:t>
      </w:r>
      <w:r w:rsidRPr="002029AF">
        <w:rPr>
          <w:lang w:eastAsia="en-AU"/>
        </w:rPr>
        <w:t>for</w:t>
      </w:r>
      <w:r w:rsidR="000A5329" w:rsidRPr="002029AF">
        <w:rPr>
          <w:lang w:eastAsia="en-AU"/>
        </w:rPr>
        <w:t xml:space="preserve"> </w:t>
      </w:r>
      <w:r w:rsidRPr="002029AF">
        <w:rPr>
          <w:lang w:eastAsia="en-AU"/>
        </w:rPr>
        <w:t>public</w:t>
      </w:r>
      <w:r w:rsidR="000A5329" w:rsidRPr="002029AF">
        <w:rPr>
          <w:lang w:eastAsia="en-AU"/>
        </w:rPr>
        <w:t xml:space="preserve"> </w:t>
      </w:r>
      <w:r w:rsidRPr="002029AF">
        <w:rPr>
          <w:lang w:eastAsia="en-AU"/>
        </w:rPr>
        <w:t>health</w:t>
      </w:r>
      <w:r w:rsidR="000A5329" w:rsidRPr="002029AF">
        <w:rPr>
          <w:lang w:eastAsia="en-AU"/>
        </w:rPr>
        <w:t xml:space="preserve"> </w:t>
      </w:r>
      <w:r w:rsidRPr="002029AF">
        <w:rPr>
          <w:lang w:eastAsia="en-AU"/>
        </w:rPr>
        <w:t>services</w:t>
      </w:r>
      <w:r w:rsidR="000A5329" w:rsidRPr="002029AF">
        <w:rPr>
          <w:lang w:eastAsia="en-AU"/>
        </w:rPr>
        <w:t xml:space="preserve"> </w:t>
      </w:r>
      <w:r w:rsidRPr="002029AF">
        <w:rPr>
          <w:lang w:eastAsia="en-AU"/>
        </w:rPr>
        <w:t>is</w:t>
      </w:r>
      <w:r w:rsidR="000A5329" w:rsidRPr="002029AF">
        <w:rPr>
          <w:lang w:eastAsia="en-AU"/>
        </w:rPr>
        <w:t xml:space="preserve"> </w:t>
      </w:r>
      <w:r w:rsidRPr="002029AF">
        <w:rPr>
          <w:lang w:eastAsia="en-AU"/>
        </w:rPr>
        <w:t>exclusive</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GST.</w:t>
      </w:r>
    </w:p>
    <w:p w14:paraId="48E1D9E3" w14:textId="459558A1" w:rsidR="00CF72D5" w:rsidRPr="002029AF" w:rsidRDefault="00CF72D5" w:rsidP="00897193">
      <w:pPr>
        <w:pStyle w:val="ARtablefootnote"/>
        <w:rPr>
          <w:lang w:eastAsia="en-AU"/>
        </w:rPr>
      </w:pPr>
      <w:r w:rsidRPr="002029AF">
        <w:rPr>
          <w:lang w:eastAsia="en-AU"/>
        </w:rPr>
        <w:t>Clinical</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related</w:t>
      </w:r>
      <w:r w:rsidR="000A5329" w:rsidRPr="002029AF">
        <w:rPr>
          <w:lang w:eastAsia="en-AU"/>
        </w:rPr>
        <w:t xml:space="preserve"> </w:t>
      </w:r>
      <w:r w:rsidRPr="002029AF">
        <w:rPr>
          <w:lang w:eastAsia="en-AU"/>
        </w:rPr>
        <w:t>wastes</w:t>
      </w:r>
      <w:r w:rsidR="000A5329" w:rsidRPr="002029AF">
        <w:rPr>
          <w:lang w:eastAsia="en-AU"/>
        </w:rPr>
        <w:t xml:space="preserve"> </w:t>
      </w:r>
      <w:r w:rsidRPr="002029AF">
        <w:rPr>
          <w:lang w:eastAsia="en-AU"/>
        </w:rPr>
        <w:t>include</w:t>
      </w:r>
      <w:r w:rsidR="000A5329" w:rsidRPr="002029AF">
        <w:rPr>
          <w:lang w:eastAsia="en-AU"/>
        </w:rPr>
        <w:t xml:space="preserve"> </w:t>
      </w:r>
      <w:r w:rsidRPr="002029AF">
        <w:rPr>
          <w:lang w:eastAsia="en-AU"/>
        </w:rPr>
        <w:t>clinical,</w:t>
      </w:r>
      <w:r w:rsidR="000A5329" w:rsidRPr="002029AF">
        <w:rPr>
          <w:lang w:eastAsia="en-AU"/>
        </w:rPr>
        <w:t xml:space="preserve"> </w:t>
      </w:r>
      <w:r w:rsidRPr="002029AF">
        <w:rPr>
          <w:lang w:eastAsia="en-AU"/>
        </w:rPr>
        <w:t>sharps,</w:t>
      </w:r>
      <w:r w:rsidR="000A5329" w:rsidRPr="002029AF">
        <w:rPr>
          <w:lang w:eastAsia="en-AU"/>
        </w:rPr>
        <w:t xml:space="preserve"> </w:t>
      </w:r>
      <w:r w:rsidRPr="002029AF">
        <w:rPr>
          <w:lang w:eastAsia="en-AU"/>
        </w:rPr>
        <w:t>cytotoxic,</w:t>
      </w:r>
      <w:r w:rsidR="000A5329" w:rsidRPr="002029AF">
        <w:rPr>
          <w:lang w:eastAsia="en-AU"/>
        </w:rPr>
        <w:t xml:space="preserve"> </w:t>
      </w:r>
      <w:r w:rsidRPr="002029AF">
        <w:rPr>
          <w:lang w:eastAsia="en-AU"/>
        </w:rPr>
        <w:t>pharmaceutical,</w:t>
      </w:r>
      <w:r w:rsidR="000A5329" w:rsidRPr="002029AF">
        <w:rPr>
          <w:lang w:eastAsia="en-AU"/>
        </w:rPr>
        <w:t xml:space="preserve"> </w:t>
      </w:r>
      <w:r w:rsidRPr="002029AF">
        <w:rPr>
          <w:lang w:eastAsia="en-AU"/>
        </w:rPr>
        <w:t>chemical</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anatomical</w:t>
      </w:r>
      <w:r w:rsidR="000A5329" w:rsidRPr="002029AF">
        <w:rPr>
          <w:lang w:eastAsia="en-AU"/>
        </w:rPr>
        <w:t xml:space="preserve"> </w:t>
      </w:r>
      <w:r w:rsidRPr="002029AF">
        <w:rPr>
          <w:lang w:eastAsia="en-AU"/>
        </w:rPr>
        <w:t>waste</w:t>
      </w:r>
      <w:r w:rsidR="000A5329" w:rsidRPr="002029AF">
        <w:rPr>
          <w:lang w:eastAsia="en-AU"/>
        </w:rPr>
        <w:t xml:space="preserve"> </w:t>
      </w:r>
      <w:r w:rsidRPr="002029AF">
        <w:rPr>
          <w:lang w:eastAsia="en-AU"/>
        </w:rPr>
        <w:t>streams.</w:t>
      </w:r>
    </w:p>
    <w:p w14:paraId="1B70BAA6" w14:textId="51627B62" w:rsidR="00CF72D5" w:rsidRPr="002029AF" w:rsidRDefault="00CF72D5" w:rsidP="00897193">
      <w:pPr>
        <w:pStyle w:val="ARtablefootnote"/>
        <w:rPr>
          <w:lang w:eastAsia="en-AU"/>
        </w:rPr>
      </w:pPr>
      <w:r w:rsidRPr="002029AF">
        <w:rPr>
          <w:lang w:eastAsia="en-AU"/>
        </w:rPr>
        <w:lastRenderedPageBreak/>
        <w:t>Recycling</w:t>
      </w:r>
      <w:r w:rsidR="000A5329" w:rsidRPr="002029AF">
        <w:rPr>
          <w:lang w:eastAsia="en-AU"/>
        </w:rPr>
        <w:t xml:space="preserve"> </w:t>
      </w:r>
      <w:r w:rsidRPr="002029AF">
        <w:rPr>
          <w:lang w:eastAsia="en-AU"/>
        </w:rPr>
        <w:t>includes</w:t>
      </w:r>
      <w:r w:rsidR="000A5329" w:rsidRPr="002029AF">
        <w:rPr>
          <w:lang w:eastAsia="en-AU"/>
        </w:rPr>
        <w:t xml:space="preserve"> </w:t>
      </w:r>
      <w:r w:rsidRPr="002029AF">
        <w:rPr>
          <w:lang w:eastAsia="en-AU"/>
        </w:rPr>
        <w:t>batteries,</w:t>
      </w:r>
      <w:r w:rsidR="000A5329" w:rsidRPr="002029AF">
        <w:rPr>
          <w:lang w:eastAsia="en-AU"/>
        </w:rPr>
        <w:t xml:space="preserve"> </w:t>
      </w:r>
      <w:r w:rsidRPr="002029AF">
        <w:rPr>
          <w:lang w:eastAsia="en-AU"/>
        </w:rPr>
        <w:t>cardboard,</w:t>
      </w:r>
      <w:r w:rsidR="000A5329" w:rsidRPr="002029AF">
        <w:rPr>
          <w:lang w:eastAsia="en-AU"/>
        </w:rPr>
        <w:t xml:space="preserve"> </w:t>
      </w:r>
      <w:r w:rsidRPr="002029AF">
        <w:rPr>
          <w:lang w:eastAsia="en-AU"/>
        </w:rPr>
        <w:t>co-mingled,</w:t>
      </w:r>
      <w:r w:rsidR="000A5329" w:rsidRPr="002029AF">
        <w:rPr>
          <w:lang w:eastAsia="en-AU"/>
        </w:rPr>
        <w:t xml:space="preserve"> </w:t>
      </w:r>
      <w:r w:rsidRPr="002029AF">
        <w:rPr>
          <w:lang w:eastAsia="en-AU"/>
        </w:rPr>
        <w:t>e-waste,</w:t>
      </w:r>
      <w:r w:rsidR="000A5329" w:rsidRPr="002029AF">
        <w:rPr>
          <w:lang w:eastAsia="en-AU"/>
        </w:rPr>
        <w:t xml:space="preserve"> </w:t>
      </w:r>
      <w:r w:rsidRPr="002029AF">
        <w:rPr>
          <w:lang w:eastAsia="en-AU"/>
        </w:rPr>
        <w:t>fluorescent</w:t>
      </w:r>
      <w:r w:rsidR="000A5329" w:rsidRPr="002029AF">
        <w:rPr>
          <w:lang w:eastAsia="en-AU"/>
        </w:rPr>
        <w:t xml:space="preserve"> </w:t>
      </w:r>
      <w:r w:rsidRPr="002029AF">
        <w:rPr>
          <w:lang w:eastAsia="en-AU"/>
        </w:rPr>
        <w:t>tubes,</w:t>
      </w:r>
      <w:r w:rsidR="000A5329" w:rsidRPr="002029AF">
        <w:rPr>
          <w:lang w:eastAsia="en-AU"/>
        </w:rPr>
        <w:t xml:space="preserve"> </w:t>
      </w:r>
      <w:r w:rsidRPr="002029AF">
        <w:rPr>
          <w:lang w:eastAsia="en-AU"/>
        </w:rPr>
        <w:t>grease</w:t>
      </w:r>
      <w:r w:rsidR="000A5329" w:rsidRPr="002029AF">
        <w:rPr>
          <w:lang w:eastAsia="en-AU"/>
        </w:rPr>
        <w:t xml:space="preserve"> </w:t>
      </w:r>
      <w:r w:rsidRPr="002029AF">
        <w:rPr>
          <w:lang w:eastAsia="en-AU"/>
        </w:rPr>
        <w:t>traps,</w:t>
      </w:r>
      <w:r w:rsidR="000A5329" w:rsidRPr="002029AF">
        <w:rPr>
          <w:lang w:eastAsia="en-AU"/>
        </w:rPr>
        <w:t xml:space="preserve"> </w:t>
      </w:r>
      <w:r w:rsidRPr="002029AF">
        <w:rPr>
          <w:lang w:eastAsia="en-AU"/>
        </w:rPr>
        <w:t>mattresses,</w:t>
      </w:r>
      <w:r w:rsidR="000A5329" w:rsidRPr="002029AF">
        <w:rPr>
          <w:lang w:eastAsia="en-AU"/>
        </w:rPr>
        <w:t xml:space="preserve"> </w:t>
      </w:r>
      <w:r w:rsidRPr="002029AF">
        <w:rPr>
          <w:lang w:eastAsia="en-AU"/>
        </w:rPr>
        <w:t>metals,</w:t>
      </w:r>
      <w:r w:rsidR="000A5329" w:rsidRPr="002029AF">
        <w:rPr>
          <w:lang w:eastAsia="en-AU"/>
        </w:rPr>
        <w:t xml:space="preserve"> </w:t>
      </w:r>
      <w:r w:rsidRPr="002029AF">
        <w:rPr>
          <w:lang w:eastAsia="en-AU"/>
        </w:rPr>
        <w:t>mobile</w:t>
      </w:r>
      <w:r w:rsidR="000A5329" w:rsidRPr="002029AF">
        <w:rPr>
          <w:lang w:eastAsia="en-AU"/>
        </w:rPr>
        <w:t xml:space="preserve"> </w:t>
      </w:r>
      <w:r w:rsidRPr="002029AF">
        <w:rPr>
          <w:lang w:eastAsia="en-AU"/>
        </w:rPr>
        <w:t>phones,</w:t>
      </w:r>
      <w:r w:rsidR="000A5329" w:rsidRPr="002029AF">
        <w:rPr>
          <w:lang w:eastAsia="en-AU"/>
        </w:rPr>
        <w:t xml:space="preserve"> </w:t>
      </w:r>
      <w:r w:rsidRPr="002029AF">
        <w:rPr>
          <w:lang w:eastAsia="en-AU"/>
        </w:rPr>
        <w:t>organics,</w:t>
      </w:r>
      <w:r w:rsidR="000A5329" w:rsidRPr="002029AF">
        <w:rPr>
          <w:lang w:eastAsia="en-AU"/>
        </w:rPr>
        <w:t xml:space="preserve"> </w:t>
      </w:r>
      <w:r w:rsidRPr="002029AF">
        <w:rPr>
          <w:lang w:eastAsia="en-AU"/>
        </w:rPr>
        <w:t>PVC,</w:t>
      </w:r>
      <w:r w:rsidR="000A5329" w:rsidRPr="002029AF">
        <w:rPr>
          <w:lang w:eastAsia="en-AU"/>
        </w:rPr>
        <w:t xml:space="preserve"> </w:t>
      </w:r>
      <w:r w:rsidRPr="002029AF">
        <w:rPr>
          <w:lang w:eastAsia="en-AU"/>
        </w:rPr>
        <w:t>packaging</w:t>
      </w:r>
      <w:r w:rsidR="000A5329" w:rsidRPr="002029AF">
        <w:rPr>
          <w:lang w:eastAsia="en-AU"/>
        </w:rPr>
        <w:t xml:space="preserve"> </w:t>
      </w:r>
      <w:r w:rsidRPr="002029AF">
        <w:rPr>
          <w:lang w:eastAsia="en-AU"/>
        </w:rPr>
        <w:t>films/plastics,</w:t>
      </w:r>
      <w:r w:rsidR="000A5329" w:rsidRPr="002029AF">
        <w:rPr>
          <w:lang w:eastAsia="en-AU"/>
        </w:rPr>
        <w:t xml:space="preserve"> </w:t>
      </w:r>
      <w:r w:rsidRPr="002029AF">
        <w:rPr>
          <w:lang w:eastAsia="en-AU"/>
        </w:rPr>
        <w:t>paper,</w:t>
      </w:r>
      <w:r w:rsidR="000A5329" w:rsidRPr="002029AF">
        <w:rPr>
          <w:lang w:eastAsia="en-AU"/>
        </w:rPr>
        <w:t xml:space="preserve"> </w:t>
      </w:r>
      <w:r w:rsidRPr="002029AF">
        <w:rPr>
          <w:lang w:eastAsia="en-AU"/>
        </w:rPr>
        <w:t>polystyrene,</w:t>
      </w:r>
      <w:r w:rsidR="000A5329" w:rsidRPr="002029AF">
        <w:rPr>
          <w:lang w:eastAsia="en-AU"/>
        </w:rPr>
        <w:t xml:space="preserve"> </w:t>
      </w:r>
      <w:r w:rsidRPr="002029AF">
        <w:rPr>
          <w:lang w:eastAsia="en-AU"/>
        </w:rPr>
        <w:t>sterilization</w:t>
      </w:r>
      <w:r w:rsidR="000A5329" w:rsidRPr="002029AF">
        <w:rPr>
          <w:lang w:eastAsia="en-AU"/>
        </w:rPr>
        <w:t xml:space="preserve"> </w:t>
      </w:r>
      <w:r w:rsidRPr="002029AF">
        <w:rPr>
          <w:lang w:eastAsia="en-AU"/>
        </w:rPr>
        <w:t>wrap,</w:t>
      </w:r>
      <w:r w:rsidR="000A5329" w:rsidRPr="002029AF">
        <w:rPr>
          <w:lang w:eastAsia="en-AU"/>
        </w:rPr>
        <w:t xml:space="preserve"> </w:t>
      </w:r>
      <w:r w:rsidRPr="002029AF">
        <w:rPr>
          <w:lang w:eastAsia="en-AU"/>
        </w:rPr>
        <w:t>toner</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printer</w:t>
      </w:r>
      <w:r w:rsidR="000A5329" w:rsidRPr="002029AF">
        <w:rPr>
          <w:lang w:eastAsia="en-AU"/>
        </w:rPr>
        <w:t xml:space="preserve"> </w:t>
      </w:r>
      <w:r w:rsidRPr="002029AF">
        <w:rPr>
          <w:lang w:eastAsia="en-AU"/>
        </w:rPr>
        <w:t>cartridges,</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wood.</w:t>
      </w:r>
    </w:p>
    <w:p w14:paraId="4EB53C55" w14:textId="02E45573" w:rsidR="00CF72D5" w:rsidRPr="002029AF" w:rsidRDefault="00CF72D5" w:rsidP="00897193">
      <w:pPr>
        <w:pStyle w:val="ARtablefootnote"/>
        <w:rPr>
          <w:lang w:eastAsia="en-AU"/>
        </w:rPr>
      </w:pPr>
      <w:r w:rsidRPr="002029AF">
        <w:rPr>
          <w:lang w:eastAsia="en-AU"/>
        </w:rPr>
        <w:t>Data</w:t>
      </w:r>
      <w:r w:rsidR="000A5329" w:rsidRPr="002029AF">
        <w:rPr>
          <w:lang w:eastAsia="en-AU"/>
        </w:rPr>
        <w:t xml:space="preserve"> </w:t>
      </w:r>
      <w:r w:rsidRPr="002029AF">
        <w:rPr>
          <w:lang w:eastAsia="en-AU"/>
        </w:rPr>
        <w:t>for</w:t>
      </w:r>
      <w:r w:rsidR="000A5329" w:rsidRPr="002029AF">
        <w:rPr>
          <w:lang w:eastAsia="en-AU"/>
        </w:rPr>
        <w:t xml:space="preserve"> </w:t>
      </w:r>
      <w:r w:rsidRPr="002029AF">
        <w:rPr>
          <w:lang w:eastAsia="en-AU"/>
        </w:rPr>
        <w:t>some</w:t>
      </w:r>
      <w:r w:rsidR="000A5329" w:rsidRPr="002029AF">
        <w:rPr>
          <w:lang w:eastAsia="en-AU"/>
        </w:rPr>
        <w:t xml:space="preserve"> </w:t>
      </w:r>
      <w:r w:rsidRPr="002029AF">
        <w:rPr>
          <w:lang w:eastAsia="en-AU"/>
        </w:rPr>
        <w:t>recycling</w:t>
      </w:r>
      <w:r w:rsidR="000A5329" w:rsidRPr="002029AF">
        <w:rPr>
          <w:lang w:eastAsia="en-AU"/>
        </w:rPr>
        <w:t xml:space="preserve"> </w:t>
      </w:r>
      <w:r w:rsidRPr="002029AF">
        <w:rPr>
          <w:lang w:eastAsia="en-AU"/>
        </w:rPr>
        <w:t>streams</w:t>
      </w:r>
      <w:r w:rsidR="000A5329" w:rsidRPr="002029AF">
        <w:rPr>
          <w:lang w:eastAsia="en-AU"/>
        </w:rPr>
        <w:t xml:space="preserve"> </w:t>
      </w:r>
      <w:r w:rsidRPr="002029AF">
        <w:rPr>
          <w:lang w:eastAsia="en-AU"/>
        </w:rPr>
        <w:t>was</w:t>
      </w:r>
      <w:r w:rsidR="000A5329" w:rsidRPr="002029AF">
        <w:rPr>
          <w:lang w:eastAsia="en-AU"/>
        </w:rPr>
        <w:t xml:space="preserve"> </w:t>
      </w:r>
      <w:r w:rsidRPr="002029AF">
        <w:rPr>
          <w:lang w:eastAsia="en-AU"/>
        </w:rPr>
        <w:t>unavailable</w:t>
      </w:r>
      <w:r w:rsidR="000A5329" w:rsidRPr="002029AF">
        <w:rPr>
          <w:lang w:eastAsia="en-AU"/>
        </w:rPr>
        <w:t xml:space="preserve"> </w:t>
      </w:r>
      <w:r w:rsidRPr="002029AF">
        <w:rPr>
          <w:lang w:eastAsia="en-AU"/>
        </w:rPr>
        <w:t>at</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time</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printing,</w:t>
      </w:r>
      <w:r w:rsidR="000A5329" w:rsidRPr="002029AF">
        <w:rPr>
          <w:lang w:eastAsia="en-AU"/>
        </w:rPr>
        <w:t xml:space="preserve"> </w:t>
      </w:r>
      <w:r w:rsidRPr="002029AF">
        <w:rPr>
          <w:lang w:eastAsia="en-AU"/>
        </w:rPr>
        <w:t>so</w:t>
      </w:r>
      <w:r w:rsidR="000A5329" w:rsidRPr="002029AF">
        <w:rPr>
          <w:lang w:eastAsia="en-AU"/>
        </w:rPr>
        <w:t xml:space="preserve"> </w:t>
      </w:r>
      <w:r w:rsidRPr="002029AF">
        <w:rPr>
          <w:lang w:eastAsia="en-AU"/>
        </w:rPr>
        <w:t>figures</w:t>
      </w:r>
      <w:r w:rsidR="000A5329" w:rsidRPr="002029AF">
        <w:rPr>
          <w:lang w:eastAsia="en-AU"/>
        </w:rPr>
        <w:t xml:space="preserve"> </w:t>
      </w:r>
      <w:r w:rsidRPr="002029AF">
        <w:rPr>
          <w:lang w:eastAsia="en-AU"/>
        </w:rPr>
        <w:t>reported</w:t>
      </w:r>
      <w:r w:rsidR="000A5329" w:rsidRPr="002029AF">
        <w:rPr>
          <w:lang w:eastAsia="en-AU"/>
        </w:rPr>
        <w:t xml:space="preserve"> </w:t>
      </w:r>
      <w:r w:rsidRPr="002029AF">
        <w:rPr>
          <w:lang w:eastAsia="en-AU"/>
        </w:rPr>
        <w:t>may</w:t>
      </w:r>
      <w:r w:rsidR="000A5329" w:rsidRPr="002029AF">
        <w:rPr>
          <w:lang w:eastAsia="en-AU"/>
        </w:rPr>
        <w:t xml:space="preserve"> </w:t>
      </w:r>
      <w:r w:rsidRPr="002029AF">
        <w:rPr>
          <w:lang w:eastAsia="en-AU"/>
        </w:rPr>
        <w:t>not</w:t>
      </w:r>
      <w:r w:rsidR="000A5329" w:rsidRPr="002029AF">
        <w:rPr>
          <w:lang w:eastAsia="en-AU"/>
        </w:rPr>
        <w:t xml:space="preserve"> </w:t>
      </w:r>
      <w:r w:rsidRPr="002029AF">
        <w:rPr>
          <w:lang w:eastAsia="en-AU"/>
        </w:rPr>
        <w:t>represent</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full</w:t>
      </w:r>
      <w:r w:rsidR="000A5329" w:rsidRPr="002029AF">
        <w:rPr>
          <w:lang w:eastAsia="en-AU"/>
        </w:rPr>
        <w:t xml:space="preserve"> </w:t>
      </w:r>
      <w:r w:rsidRPr="002029AF">
        <w:rPr>
          <w:lang w:eastAsia="en-AU"/>
        </w:rPr>
        <w:t>extent</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materials</w:t>
      </w:r>
      <w:r w:rsidR="000A5329" w:rsidRPr="002029AF">
        <w:rPr>
          <w:lang w:eastAsia="en-AU"/>
        </w:rPr>
        <w:t xml:space="preserve"> </w:t>
      </w:r>
      <w:r w:rsidRPr="002029AF">
        <w:rPr>
          <w:lang w:eastAsia="en-AU"/>
        </w:rPr>
        <w:t>recycled.</w:t>
      </w:r>
    </w:p>
    <w:p w14:paraId="19D87467" w14:textId="080ADD05" w:rsidR="00CF72D5" w:rsidRPr="002029AF" w:rsidRDefault="00CF72D5" w:rsidP="00897193">
      <w:pPr>
        <w:pStyle w:val="ARtablefootnote"/>
        <w:rPr>
          <w:lang w:eastAsia="en-AU"/>
        </w:rPr>
      </w:pPr>
      <w:r w:rsidRPr="002029AF">
        <w:rPr>
          <w:lang w:eastAsia="en-AU"/>
        </w:rPr>
        <w:t>Waste</w:t>
      </w:r>
      <w:r w:rsidR="000A5329" w:rsidRPr="002029AF">
        <w:rPr>
          <w:lang w:eastAsia="en-AU"/>
        </w:rPr>
        <w:t xml:space="preserve"> </w:t>
      </w:r>
      <w:r w:rsidRPr="002029AF">
        <w:rPr>
          <w:lang w:eastAsia="en-AU"/>
        </w:rPr>
        <w:t>produced</w:t>
      </w:r>
      <w:r w:rsidR="000A5329" w:rsidRPr="002029AF">
        <w:rPr>
          <w:lang w:eastAsia="en-AU"/>
        </w:rPr>
        <w:t xml:space="preserve"> </w:t>
      </w:r>
      <w:r w:rsidRPr="002029AF">
        <w:rPr>
          <w:lang w:eastAsia="en-AU"/>
        </w:rPr>
        <w:t>per</w:t>
      </w:r>
      <w:r w:rsidR="000A5329" w:rsidRPr="002029AF">
        <w:rPr>
          <w:lang w:eastAsia="en-AU"/>
        </w:rPr>
        <w:t xml:space="preserve"> </w:t>
      </w:r>
      <w:r w:rsidRPr="002029AF">
        <w:rPr>
          <w:lang w:eastAsia="en-AU"/>
        </w:rPr>
        <w:t>patient</w:t>
      </w:r>
      <w:r w:rsidR="000A5329" w:rsidRPr="002029AF">
        <w:rPr>
          <w:lang w:eastAsia="en-AU"/>
        </w:rPr>
        <w:t xml:space="preserve"> </w:t>
      </w:r>
      <w:r w:rsidRPr="002029AF">
        <w:rPr>
          <w:lang w:eastAsia="en-AU"/>
        </w:rPr>
        <w:t>treated</w:t>
      </w:r>
      <w:r w:rsidR="000A5329" w:rsidRPr="002029AF">
        <w:rPr>
          <w:lang w:eastAsia="en-AU"/>
        </w:rPr>
        <w:t xml:space="preserve"> </w:t>
      </w:r>
      <w:r w:rsidRPr="002029AF">
        <w:rPr>
          <w:lang w:eastAsia="en-AU"/>
        </w:rPr>
        <w:t>is</w:t>
      </w:r>
      <w:r w:rsidR="000A5329" w:rsidRPr="002029AF">
        <w:rPr>
          <w:lang w:eastAsia="en-AU"/>
        </w:rPr>
        <w:t xml:space="preserve"> </w:t>
      </w:r>
      <w:r w:rsidRPr="002029AF">
        <w:rPr>
          <w:lang w:eastAsia="en-AU"/>
        </w:rPr>
        <w:t>an</w:t>
      </w:r>
      <w:r w:rsidR="000A5329" w:rsidRPr="002029AF">
        <w:rPr>
          <w:lang w:eastAsia="en-AU"/>
        </w:rPr>
        <w:t xml:space="preserve"> </w:t>
      </w:r>
      <w:r w:rsidRPr="002029AF">
        <w:rPr>
          <w:lang w:eastAsia="en-AU"/>
        </w:rPr>
        <w:t>aggregation</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in-patient</w:t>
      </w:r>
      <w:r w:rsidR="000A5329" w:rsidRPr="002029AF">
        <w:rPr>
          <w:lang w:eastAsia="en-AU"/>
        </w:rPr>
        <w:t xml:space="preserve"> </w:t>
      </w:r>
      <w:r w:rsidRPr="002029AF">
        <w:rPr>
          <w:lang w:eastAsia="en-AU"/>
        </w:rPr>
        <w:t>bed-days,</w:t>
      </w:r>
      <w:r w:rsidR="000A5329" w:rsidRPr="002029AF">
        <w:rPr>
          <w:lang w:eastAsia="en-AU"/>
        </w:rPr>
        <w:t xml:space="preserve"> </w:t>
      </w:r>
      <w:r w:rsidRPr="002029AF">
        <w:rPr>
          <w:lang w:eastAsia="en-AU"/>
        </w:rPr>
        <w:t>aged</w:t>
      </w:r>
      <w:r w:rsidR="000A5329" w:rsidRPr="002029AF">
        <w:rPr>
          <w:lang w:eastAsia="en-AU"/>
        </w:rPr>
        <w:t xml:space="preserve"> </w:t>
      </w:r>
      <w:r w:rsidRPr="002029AF">
        <w:rPr>
          <w:lang w:eastAsia="en-AU"/>
        </w:rPr>
        <w:t>care</w:t>
      </w:r>
      <w:r w:rsidR="000A5329" w:rsidRPr="002029AF">
        <w:rPr>
          <w:lang w:eastAsia="en-AU"/>
        </w:rPr>
        <w:t xml:space="preserve"> </w:t>
      </w:r>
      <w:r w:rsidRPr="002029AF">
        <w:rPr>
          <w:lang w:eastAsia="en-AU"/>
        </w:rPr>
        <w:t>bed-days,</w:t>
      </w:r>
      <w:r w:rsidR="000A5329" w:rsidRPr="002029AF">
        <w:rPr>
          <w:lang w:eastAsia="en-AU"/>
        </w:rPr>
        <w:t xml:space="preserve"> </w:t>
      </w:r>
      <w:r w:rsidRPr="002029AF">
        <w:rPr>
          <w:lang w:eastAsia="en-AU"/>
        </w:rPr>
        <w:t>separations</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emergency</w:t>
      </w:r>
      <w:r w:rsidR="000A5329" w:rsidRPr="002029AF">
        <w:rPr>
          <w:lang w:eastAsia="en-AU"/>
        </w:rPr>
        <w:t xml:space="preserve"> </w:t>
      </w:r>
      <w:r w:rsidRPr="002029AF">
        <w:rPr>
          <w:lang w:eastAsia="en-AU"/>
        </w:rPr>
        <w:t>department</w:t>
      </w:r>
      <w:r w:rsidR="000A5329" w:rsidRPr="002029AF">
        <w:rPr>
          <w:lang w:eastAsia="en-AU"/>
        </w:rPr>
        <w:t xml:space="preserve"> </w:t>
      </w:r>
      <w:r w:rsidRPr="002029AF">
        <w:rPr>
          <w:lang w:eastAsia="en-AU"/>
        </w:rPr>
        <w:t>presentations.</w:t>
      </w:r>
    </w:p>
    <w:p w14:paraId="1FF65FFF" w14:textId="77777777" w:rsidR="00CF72D5" w:rsidRPr="002029AF" w:rsidRDefault="00CF72D5" w:rsidP="00961519">
      <w:pPr>
        <w:pStyle w:val="Heading4"/>
        <w:spacing w:before="400" w:after="200"/>
        <w:rPr>
          <w:rFonts w:ascii="Arial Bold" w:hAnsi="Arial Bold" w:hint="eastAsia"/>
          <w:color w:val="87189D"/>
        </w:rPr>
      </w:pPr>
      <w:bookmarkStart w:id="189" w:name="_Toc51786527"/>
      <w:r w:rsidRPr="002029AF">
        <w:rPr>
          <w:rFonts w:ascii="Arial Bold" w:hAnsi="Arial Bold"/>
          <w:color w:val="87189D"/>
        </w:rPr>
        <w:t>Transportation</w:t>
      </w:r>
      <w:bookmarkEnd w:id="189"/>
    </w:p>
    <w:p w14:paraId="49CD858A" w14:textId="27FC6C91" w:rsidR="00CF72D5" w:rsidRPr="002029AF" w:rsidRDefault="00CF72D5" w:rsidP="00961519">
      <w:pPr>
        <w:pStyle w:val="Heading5"/>
        <w:spacing w:before="0" w:after="200"/>
        <w:rPr>
          <w:rFonts w:ascii="Arial Bold" w:hAnsi="Arial Bold"/>
          <w:color w:val="4B4B4B"/>
        </w:rPr>
      </w:pPr>
      <w:r w:rsidRPr="002029AF">
        <w:rPr>
          <w:rFonts w:ascii="Arial Bold" w:hAnsi="Arial Bold"/>
          <w:color w:val="4B4B4B"/>
        </w:rPr>
        <w:t>Vehicle</w:t>
      </w:r>
      <w:r w:rsidR="000A5329" w:rsidRPr="002029AF">
        <w:rPr>
          <w:rFonts w:ascii="Arial Bold" w:hAnsi="Arial Bold"/>
          <w:color w:val="4B4B4B"/>
        </w:rPr>
        <w:t xml:space="preserve"> </w:t>
      </w:r>
      <w:r w:rsidRPr="002029AF">
        <w:rPr>
          <w:rFonts w:ascii="Arial Bold" w:hAnsi="Arial Bold"/>
          <w:color w:val="4B4B4B"/>
        </w:rPr>
        <w:t>fleet</w:t>
      </w:r>
    </w:p>
    <w:tbl>
      <w:tblPr>
        <w:tblW w:w="9659" w:type="dxa"/>
        <w:tblBorders>
          <w:left w:val="single" w:sz="4" w:space="0" w:color="FFFFFF"/>
          <w:bottom w:val="single" w:sz="4" w:space="0" w:color="auto"/>
          <w:right w:val="single" w:sz="4" w:space="0" w:color="FFFFFF"/>
          <w:insideH w:val="single" w:sz="4" w:space="0" w:color="auto"/>
          <w:insideV w:val="single" w:sz="4" w:space="0" w:color="FFFFFF"/>
        </w:tblBorders>
        <w:tblLayout w:type="fixed"/>
        <w:tblCellMar>
          <w:left w:w="0" w:type="dxa"/>
        </w:tblCellMar>
        <w:tblLook w:val="00A0" w:firstRow="1" w:lastRow="0" w:firstColumn="1" w:lastColumn="0" w:noHBand="0" w:noVBand="0"/>
      </w:tblPr>
      <w:tblGrid>
        <w:gridCol w:w="2177"/>
        <w:gridCol w:w="1247"/>
        <w:gridCol w:w="1247"/>
        <w:gridCol w:w="1247"/>
        <w:gridCol w:w="1247"/>
        <w:gridCol w:w="1247"/>
        <w:gridCol w:w="1222"/>
        <w:gridCol w:w="25"/>
      </w:tblGrid>
      <w:tr w:rsidR="00325283" w:rsidRPr="002029AF" w14:paraId="42842758" w14:textId="77777777" w:rsidTr="00325283">
        <w:trPr>
          <w:gridAfter w:val="1"/>
          <w:wAfter w:w="25" w:type="dxa"/>
          <w:cantSplit/>
          <w:tblHeader/>
        </w:trPr>
        <w:tc>
          <w:tcPr>
            <w:tcW w:w="9634" w:type="dxa"/>
            <w:gridSpan w:val="7"/>
            <w:vAlign w:val="bottom"/>
          </w:tcPr>
          <w:p w14:paraId="58FB7A00" w14:textId="7A748360" w:rsidR="00325283" w:rsidRPr="002029AF" w:rsidRDefault="00325283" w:rsidP="00897193">
            <w:pPr>
              <w:pStyle w:val="ARtablecolhead"/>
            </w:pPr>
            <w:r w:rsidRPr="002029AF">
              <w:t>Description</w:t>
            </w:r>
          </w:p>
        </w:tc>
      </w:tr>
      <w:tr w:rsidR="00CF72D5" w:rsidRPr="002029AF" w14:paraId="5923C2A4" w14:textId="77777777" w:rsidTr="00897193">
        <w:trPr>
          <w:cantSplit/>
          <w:tblHeader/>
        </w:trPr>
        <w:tc>
          <w:tcPr>
            <w:tcW w:w="2177" w:type="dxa"/>
            <w:tcBorders>
              <w:bottom w:val="single" w:sz="4" w:space="0" w:color="auto"/>
            </w:tcBorders>
            <w:vAlign w:val="bottom"/>
          </w:tcPr>
          <w:p w14:paraId="62E63089" w14:textId="68344792" w:rsidR="00CF72D5" w:rsidRPr="002029AF" w:rsidRDefault="00CF72D5" w:rsidP="00897193">
            <w:pPr>
              <w:pStyle w:val="ARtablecolhead"/>
            </w:pPr>
            <w:r w:rsidRPr="002029AF">
              <w:t>Vehicle</w:t>
            </w:r>
            <w:r w:rsidR="000A5329" w:rsidRPr="002029AF">
              <w:t xml:space="preserve"> </w:t>
            </w:r>
            <w:r w:rsidRPr="002029AF">
              <w:t>type</w:t>
            </w:r>
          </w:p>
        </w:tc>
        <w:tc>
          <w:tcPr>
            <w:tcW w:w="1247" w:type="dxa"/>
            <w:tcBorders>
              <w:bottom w:val="single" w:sz="4" w:space="0" w:color="auto"/>
            </w:tcBorders>
            <w:vAlign w:val="bottom"/>
          </w:tcPr>
          <w:p w14:paraId="33E0E23E" w14:textId="77777777" w:rsidR="00CF72D5" w:rsidRPr="002029AF" w:rsidRDefault="00CF72D5" w:rsidP="00897193">
            <w:pPr>
              <w:pStyle w:val="ARtablecolheadright"/>
            </w:pPr>
            <w:r w:rsidRPr="002029AF">
              <w:t>LPG</w:t>
            </w:r>
          </w:p>
        </w:tc>
        <w:tc>
          <w:tcPr>
            <w:tcW w:w="1247" w:type="dxa"/>
            <w:tcBorders>
              <w:bottom w:val="single" w:sz="4" w:space="0" w:color="auto"/>
            </w:tcBorders>
            <w:vAlign w:val="bottom"/>
          </w:tcPr>
          <w:p w14:paraId="555442A2" w14:textId="77777777" w:rsidR="00CF72D5" w:rsidRPr="002029AF" w:rsidRDefault="00CF72D5" w:rsidP="00897193">
            <w:pPr>
              <w:pStyle w:val="ARtablecolheadright"/>
            </w:pPr>
            <w:r w:rsidRPr="002029AF">
              <w:t>Hybrid</w:t>
            </w:r>
          </w:p>
        </w:tc>
        <w:tc>
          <w:tcPr>
            <w:tcW w:w="1247" w:type="dxa"/>
            <w:tcBorders>
              <w:top w:val="single" w:sz="4" w:space="0" w:color="auto"/>
              <w:bottom w:val="single" w:sz="4" w:space="0" w:color="auto"/>
            </w:tcBorders>
            <w:vAlign w:val="bottom"/>
          </w:tcPr>
          <w:p w14:paraId="1C8D2017" w14:textId="60267637" w:rsidR="00CF72D5" w:rsidRPr="002029AF" w:rsidRDefault="00CF72D5" w:rsidP="00897193">
            <w:pPr>
              <w:pStyle w:val="ARtablecolheadright"/>
            </w:pPr>
            <w:r w:rsidRPr="002029AF">
              <w:t>1–3</w:t>
            </w:r>
            <w:r w:rsidR="000A5329" w:rsidRPr="002029AF">
              <w:t xml:space="preserve"> </w:t>
            </w:r>
            <w:r w:rsidRPr="002029AF">
              <w:t>cylinder</w:t>
            </w:r>
            <w:r w:rsidR="000A5329" w:rsidRPr="002029AF">
              <w:t xml:space="preserve"> </w:t>
            </w:r>
            <w:r w:rsidRPr="002029AF">
              <w:t>unleaded</w:t>
            </w:r>
            <w:r w:rsidR="000A5329" w:rsidRPr="002029AF">
              <w:t xml:space="preserve"> </w:t>
            </w:r>
            <w:r w:rsidRPr="002029AF">
              <w:t>petrol</w:t>
            </w:r>
          </w:p>
        </w:tc>
        <w:tc>
          <w:tcPr>
            <w:tcW w:w="1247" w:type="dxa"/>
            <w:tcBorders>
              <w:bottom w:val="single" w:sz="4" w:space="0" w:color="auto"/>
            </w:tcBorders>
            <w:vAlign w:val="bottom"/>
          </w:tcPr>
          <w:p w14:paraId="6D14C0A9" w14:textId="6D007FED" w:rsidR="00CF72D5" w:rsidRPr="002029AF" w:rsidRDefault="00CF72D5" w:rsidP="00897193">
            <w:pPr>
              <w:pStyle w:val="ARtablecolheadright"/>
            </w:pPr>
            <w:r w:rsidRPr="002029AF">
              <w:t>4</w:t>
            </w:r>
            <w:r w:rsidR="004420E6" w:rsidRPr="002029AF">
              <w:t>-</w:t>
            </w:r>
            <w:r w:rsidRPr="002029AF">
              <w:t>cylinder</w:t>
            </w:r>
            <w:r w:rsidR="000A5329" w:rsidRPr="002029AF">
              <w:t xml:space="preserve"> </w:t>
            </w:r>
            <w:r w:rsidRPr="002029AF">
              <w:t>unleaded</w:t>
            </w:r>
            <w:r w:rsidR="000A5329" w:rsidRPr="002029AF">
              <w:t xml:space="preserve"> </w:t>
            </w:r>
            <w:r w:rsidRPr="002029AF">
              <w:t>petrol</w:t>
            </w:r>
          </w:p>
        </w:tc>
        <w:tc>
          <w:tcPr>
            <w:tcW w:w="1247" w:type="dxa"/>
            <w:tcBorders>
              <w:bottom w:val="single" w:sz="4" w:space="0" w:color="auto"/>
            </w:tcBorders>
            <w:vAlign w:val="bottom"/>
          </w:tcPr>
          <w:p w14:paraId="502FF6F9" w14:textId="0A6D0483" w:rsidR="00CF72D5" w:rsidRPr="002029AF" w:rsidRDefault="004420E6" w:rsidP="00897193">
            <w:pPr>
              <w:pStyle w:val="ARtablecolheadright"/>
            </w:pPr>
            <w:r w:rsidRPr="002029AF">
              <w:t>6-cylinder</w:t>
            </w:r>
            <w:r w:rsidR="000A5329" w:rsidRPr="002029AF">
              <w:t xml:space="preserve"> </w:t>
            </w:r>
            <w:r w:rsidR="00CF72D5" w:rsidRPr="002029AF">
              <w:t>unleaded</w:t>
            </w:r>
            <w:r w:rsidR="000A5329" w:rsidRPr="002029AF">
              <w:t xml:space="preserve"> </w:t>
            </w:r>
            <w:r w:rsidR="00CF72D5" w:rsidRPr="002029AF">
              <w:t>petrol</w:t>
            </w:r>
            <w:r w:rsidR="000A5329" w:rsidRPr="002029AF">
              <w:t xml:space="preserve"> </w:t>
            </w:r>
          </w:p>
        </w:tc>
        <w:tc>
          <w:tcPr>
            <w:tcW w:w="1247" w:type="dxa"/>
            <w:gridSpan w:val="2"/>
            <w:tcBorders>
              <w:bottom w:val="single" w:sz="4" w:space="0" w:color="auto"/>
            </w:tcBorders>
            <w:vAlign w:val="bottom"/>
          </w:tcPr>
          <w:p w14:paraId="5B2297BB" w14:textId="77777777" w:rsidR="00CF72D5" w:rsidRPr="002029AF" w:rsidRDefault="00CF72D5" w:rsidP="00897193">
            <w:pPr>
              <w:pStyle w:val="ARtablecolheadright"/>
            </w:pPr>
            <w:r w:rsidRPr="002029AF">
              <w:t>Diesel</w:t>
            </w:r>
          </w:p>
        </w:tc>
      </w:tr>
      <w:tr w:rsidR="00CF72D5" w:rsidRPr="002029AF" w14:paraId="0A0A8BB9" w14:textId="77777777" w:rsidTr="00897193">
        <w:trPr>
          <w:cantSplit/>
        </w:trPr>
        <w:tc>
          <w:tcPr>
            <w:tcW w:w="2177" w:type="dxa"/>
            <w:tcBorders>
              <w:top w:val="single" w:sz="4" w:space="0" w:color="auto"/>
              <w:right w:val="nil"/>
            </w:tcBorders>
          </w:tcPr>
          <w:p w14:paraId="4BEEE206" w14:textId="77777777" w:rsidR="00CF72D5" w:rsidRPr="002029AF" w:rsidRDefault="00CF72D5" w:rsidP="00897193">
            <w:pPr>
              <w:pStyle w:val="ARtabletext"/>
            </w:pPr>
            <w:r w:rsidRPr="002029AF">
              <w:t>Commercial</w:t>
            </w:r>
          </w:p>
        </w:tc>
        <w:tc>
          <w:tcPr>
            <w:tcW w:w="1247" w:type="dxa"/>
            <w:tcBorders>
              <w:top w:val="single" w:sz="4" w:space="0" w:color="auto"/>
              <w:left w:val="nil"/>
              <w:bottom w:val="single" w:sz="4" w:space="0" w:color="auto"/>
              <w:right w:val="nil"/>
            </w:tcBorders>
            <w:shd w:val="clear" w:color="auto" w:fill="auto"/>
            <w:vAlign w:val="center"/>
          </w:tcPr>
          <w:p w14:paraId="2661CEDB" w14:textId="77777777" w:rsidR="00CF72D5" w:rsidRPr="002029AF" w:rsidRDefault="00CF72D5" w:rsidP="00897193">
            <w:pPr>
              <w:pStyle w:val="ARtabletextright"/>
            </w:pPr>
            <w:r w:rsidRPr="002029AF">
              <w:t>0</w:t>
            </w:r>
          </w:p>
        </w:tc>
        <w:tc>
          <w:tcPr>
            <w:tcW w:w="1247" w:type="dxa"/>
            <w:tcBorders>
              <w:top w:val="single" w:sz="4" w:space="0" w:color="auto"/>
              <w:left w:val="nil"/>
              <w:bottom w:val="single" w:sz="4" w:space="0" w:color="auto"/>
              <w:right w:val="nil"/>
            </w:tcBorders>
            <w:shd w:val="clear" w:color="auto" w:fill="auto"/>
            <w:vAlign w:val="center"/>
          </w:tcPr>
          <w:p w14:paraId="114976C3" w14:textId="77777777" w:rsidR="00CF72D5" w:rsidRPr="002029AF" w:rsidRDefault="00CF72D5" w:rsidP="00897193">
            <w:pPr>
              <w:pStyle w:val="ARtabletextright"/>
            </w:pPr>
            <w:r w:rsidRPr="002029AF">
              <w:t>0</w:t>
            </w:r>
          </w:p>
        </w:tc>
        <w:tc>
          <w:tcPr>
            <w:tcW w:w="1247" w:type="dxa"/>
            <w:tcBorders>
              <w:top w:val="single" w:sz="4" w:space="0" w:color="auto"/>
              <w:left w:val="nil"/>
              <w:bottom w:val="single" w:sz="4" w:space="0" w:color="auto"/>
              <w:right w:val="nil"/>
            </w:tcBorders>
            <w:shd w:val="clear" w:color="auto" w:fill="auto"/>
            <w:vAlign w:val="center"/>
          </w:tcPr>
          <w:p w14:paraId="4A5DCA17" w14:textId="77777777" w:rsidR="00CF72D5" w:rsidRPr="002029AF" w:rsidRDefault="00CF72D5" w:rsidP="00897193">
            <w:pPr>
              <w:pStyle w:val="ARtabletextright"/>
            </w:pPr>
            <w:r w:rsidRPr="002029AF">
              <w:t>4</w:t>
            </w:r>
          </w:p>
        </w:tc>
        <w:tc>
          <w:tcPr>
            <w:tcW w:w="1247" w:type="dxa"/>
            <w:tcBorders>
              <w:top w:val="single" w:sz="4" w:space="0" w:color="auto"/>
              <w:left w:val="nil"/>
              <w:bottom w:val="single" w:sz="4" w:space="0" w:color="auto"/>
              <w:right w:val="nil"/>
            </w:tcBorders>
            <w:shd w:val="clear" w:color="auto" w:fill="auto"/>
            <w:vAlign w:val="center"/>
          </w:tcPr>
          <w:p w14:paraId="0B1EB77D" w14:textId="77777777" w:rsidR="00CF72D5" w:rsidRPr="002029AF" w:rsidRDefault="00CF72D5" w:rsidP="00897193">
            <w:pPr>
              <w:pStyle w:val="ARtabletextright"/>
            </w:pPr>
            <w:r w:rsidRPr="002029AF">
              <w:t>0</w:t>
            </w:r>
          </w:p>
        </w:tc>
        <w:tc>
          <w:tcPr>
            <w:tcW w:w="1247" w:type="dxa"/>
            <w:tcBorders>
              <w:top w:val="single" w:sz="4" w:space="0" w:color="auto"/>
              <w:left w:val="nil"/>
              <w:bottom w:val="single" w:sz="4" w:space="0" w:color="auto"/>
              <w:right w:val="nil"/>
            </w:tcBorders>
            <w:shd w:val="clear" w:color="auto" w:fill="auto"/>
            <w:vAlign w:val="center"/>
          </w:tcPr>
          <w:p w14:paraId="3471F5CD" w14:textId="77777777" w:rsidR="00CF72D5" w:rsidRPr="002029AF" w:rsidRDefault="00CF72D5" w:rsidP="00897193">
            <w:pPr>
              <w:pStyle w:val="ARtabletextright"/>
            </w:pPr>
            <w:r w:rsidRPr="002029AF">
              <w:t>0</w:t>
            </w:r>
          </w:p>
        </w:tc>
        <w:tc>
          <w:tcPr>
            <w:tcW w:w="1247" w:type="dxa"/>
            <w:gridSpan w:val="2"/>
            <w:tcBorders>
              <w:top w:val="single" w:sz="4" w:space="0" w:color="auto"/>
              <w:left w:val="nil"/>
              <w:bottom w:val="single" w:sz="4" w:space="0" w:color="auto"/>
              <w:right w:val="single" w:sz="8" w:space="0" w:color="FFFFFF"/>
            </w:tcBorders>
            <w:shd w:val="clear" w:color="auto" w:fill="auto"/>
            <w:vAlign w:val="center"/>
          </w:tcPr>
          <w:p w14:paraId="12EF8694" w14:textId="77777777" w:rsidR="00CF72D5" w:rsidRPr="002029AF" w:rsidRDefault="00CF72D5" w:rsidP="00897193">
            <w:pPr>
              <w:pStyle w:val="ARtabletextright"/>
            </w:pPr>
            <w:r w:rsidRPr="002029AF">
              <w:t>23</w:t>
            </w:r>
          </w:p>
        </w:tc>
      </w:tr>
      <w:tr w:rsidR="00CF72D5" w:rsidRPr="002029AF" w14:paraId="7D0AF9FD" w14:textId="77777777" w:rsidTr="00897193">
        <w:trPr>
          <w:cantSplit/>
        </w:trPr>
        <w:tc>
          <w:tcPr>
            <w:tcW w:w="2177" w:type="dxa"/>
            <w:tcBorders>
              <w:top w:val="single" w:sz="4" w:space="0" w:color="auto"/>
              <w:right w:val="nil"/>
            </w:tcBorders>
          </w:tcPr>
          <w:p w14:paraId="519EF546" w14:textId="77777777" w:rsidR="00CF72D5" w:rsidRPr="002029AF" w:rsidRDefault="00CF72D5" w:rsidP="00897193">
            <w:pPr>
              <w:pStyle w:val="ARtabletext"/>
            </w:pPr>
            <w:r w:rsidRPr="002029AF">
              <w:t>Executive</w:t>
            </w:r>
          </w:p>
        </w:tc>
        <w:tc>
          <w:tcPr>
            <w:tcW w:w="1247" w:type="dxa"/>
            <w:tcBorders>
              <w:top w:val="single" w:sz="4" w:space="0" w:color="auto"/>
              <w:left w:val="nil"/>
              <w:bottom w:val="single" w:sz="4" w:space="0" w:color="auto"/>
              <w:right w:val="nil"/>
            </w:tcBorders>
            <w:shd w:val="clear" w:color="auto" w:fill="auto"/>
            <w:vAlign w:val="center"/>
          </w:tcPr>
          <w:p w14:paraId="5A3459B1" w14:textId="77777777" w:rsidR="00CF72D5" w:rsidRPr="002029AF" w:rsidRDefault="00CF72D5" w:rsidP="00897193">
            <w:pPr>
              <w:pStyle w:val="ARtabletextright"/>
            </w:pPr>
            <w:r w:rsidRPr="002029AF">
              <w:t>0</w:t>
            </w:r>
          </w:p>
        </w:tc>
        <w:tc>
          <w:tcPr>
            <w:tcW w:w="1247" w:type="dxa"/>
            <w:tcBorders>
              <w:top w:val="single" w:sz="4" w:space="0" w:color="auto"/>
              <w:left w:val="nil"/>
              <w:bottom w:val="single" w:sz="4" w:space="0" w:color="auto"/>
              <w:right w:val="nil"/>
            </w:tcBorders>
            <w:shd w:val="clear" w:color="auto" w:fill="auto"/>
            <w:vAlign w:val="center"/>
          </w:tcPr>
          <w:p w14:paraId="2561BE48" w14:textId="77777777" w:rsidR="00CF72D5" w:rsidRPr="002029AF" w:rsidRDefault="00CF72D5" w:rsidP="00897193">
            <w:pPr>
              <w:pStyle w:val="ARtabletextright"/>
            </w:pPr>
            <w:r w:rsidRPr="002029AF">
              <w:t>10</w:t>
            </w:r>
          </w:p>
        </w:tc>
        <w:tc>
          <w:tcPr>
            <w:tcW w:w="1247" w:type="dxa"/>
            <w:tcBorders>
              <w:top w:val="single" w:sz="4" w:space="0" w:color="auto"/>
              <w:left w:val="nil"/>
              <w:bottom w:val="single" w:sz="4" w:space="0" w:color="auto"/>
              <w:right w:val="nil"/>
            </w:tcBorders>
            <w:shd w:val="clear" w:color="auto" w:fill="auto"/>
            <w:vAlign w:val="center"/>
          </w:tcPr>
          <w:p w14:paraId="31CDA7F9" w14:textId="77777777" w:rsidR="00CF72D5" w:rsidRPr="002029AF" w:rsidRDefault="00CF72D5" w:rsidP="00897193">
            <w:pPr>
              <w:pStyle w:val="ARtabletextright"/>
            </w:pPr>
            <w:r w:rsidRPr="002029AF">
              <w:t>0</w:t>
            </w:r>
          </w:p>
        </w:tc>
        <w:tc>
          <w:tcPr>
            <w:tcW w:w="1247" w:type="dxa"/>
            <w:tcBorders>
              <w:top w:val="single" w:sz="4" w:space="0" w:color="auto"/>
              <w:left w:val="nil"/>
              <w:bottom w:val="single" w:sz="4" w:space="0" w:color="auto"/>
              <w:right w:val="nil"/>
            </w:tcBorders>
            <w:shd w:val="clear" w:color="auto" w:fill="auto"/>
            <w:vAlign w:val="center"/>
          </w:tcPr>
          <w:p w14:paraId="39B1D0CD" w14:textId="77777777" w:rsidR="00CF72D5" w:rsidRPr="002029AF" w:rsidRDefault="00CF72D5" w:rsidP="00897193">
            <w:pPr>
              <w:pStyle w:val="ARtabletextright"/>
            </w:pPr>
            <w:r w:rsidRPr="002029AF">
              <w:t>76</w:t>
            </w:r>
          </w:p>
        </w:tc>
        <w:tc>
          <w:tcPr>
            <w:tcW w:w="1247" w:type="dxa"/>
            <w:tcBorders>
              <w:top w:val="single" w:sz="4" w:space="0" w:color="auto"/>
              <w:left w:val="nil"/>
              <w:bottom w:val="single" w:sz="4" w:space="0" w:color="auto"/>
              <w:right w:val="nil"/>
            </w:tcBorders>
            <w:shd w:val="clear" w:color="auto" w:fill="auto"/>
            <w:vAlign w:val="center"/>
          </w:tcPr>
          <w:p w14:paraId="75A41E0A" w14:textId="77777777" w:rsidR="00CF72D5" w:rsidRPr="002029AF" w:rsidRDefault="00CF72D5" w:rsidP="00897193">
            <w:pPr>
              <w:pStyle w:val="ARtabletextright"/>
            </w:pPr>
            <w:r w:rsidRPr="002029AF">
              <w:t>33</w:t>
            </w:r>
          </w:p>
        </w:tc>
        <w:tc>
          <w:tcPr>
            <w:tcW w:w="1247" w:type="dxa"/>
            <w:gridSpan w:val="2"/>
            <w:tcBorders>
              <w:top w:val="single" w:sz="4" w:space="0" w:color="auto"/>
              <w:left w:val="nil"/>
              <w:bottom w:val="single" w:sz="4" w:space="0" w:color="auto"/>
              <w:right w:val="single" w:sz="8" w:space="0" w:color="FFFFFF"/>
            </w:tcBorders>
            <w:shd w:val="clear" w:color="auto" w:fill="auto"/>
            <w:vAlign w:val="center"/>
          </w:tcPr>
          <w:p w14:paraId="3421501B" w14:textId="77777777" w:rsidR="00CF72D5" w:rsidRPr="002029AF" w:rsidRDefault="00CF72D5" w:rsidP="00897193">
            <w:pPr>
              <w:pStyle w:val="ARtabletextright"/>
            </w:pPr>
            <w:r w:rsidRPr="002029AF">
              <w:t>18</w:t>
            </w:r>
          </w:p>
        </w:tc>
      </w:tr>
      <w:tr w:rsidR="00CF72D5" w:rsidRPr="002029AF" w14:paraId="56F56219" w14:textId="77777777" w:rsidTr="00897193">
        <w:trPr>
          <w:cantSplit/>
        </w:trPr>
        <w:tc>
          <w:tcPr>
            <w:tcW w:w="2177" w:type="dxa"/>
            <w:tcBorders>
              <w:top w:val="single" w:sz="4" w:space="0" w:color="auto"/>
              <w:right w:val="nil"/>
            </w:tcBorders>
          </w:tcPr>
          <w:p w14:paraId="29256B7A" w14:textId="46A21CA4" w:rsidR="00CF72D5" w:rsidRPr="002029AF" w:rsidRDefault="00CF72D5" w:rsidP="00897193">
            <w:pPr>
              <w:pStyle w:val="ARtabletext"/>
            </w:pPr>
            <w:r w:rsidRPr="002029AF">
              <w:t>Passenger</w:t>
            </w:r>
            <w:r w:rsidR="000A5329" w:rsidRPr="002029AF">
              <w:t xml:space="preserve"> </w:t>
            </w:r>
            <w:r w:rsidRPr="002029AF">
              <w:t>bus</w:t>
            </w:r>
          </w:p>
        </w:tc>
        <w:tc>
          <w:tcPr>
            <w:tcW w:w="1247" w:type="dxa"/>
            <w:tcBorders>
              <w:top w:val="single" w:sz="4" w:space="0" w:color="auto"/>
              <w:left w:val="nil"/>
              <w:bottom w:val="single" w:sz="4" w:space="0" w:color="auto"/>
              <w:right w:val="nil"/>
            </w:tcBorders>
            <w:shd w:val="clear" w:color="auto" w:fill="auto"/>
            <w:vAlign w:val="center"/>
          </w:tcPr>
          <w:p w14:paraId="1B98F7DF" w14:textId="77777777" w:rsidR="00CF72D5" w:rsidRPr="002029AF" w:rsidRDefault="00CF72D5" w:rsidP="00897193">
            <w:pPr>
              <w:pStyle w:val="ARtabletextright"/>
            </w:pPr>
            <w:r w:rsidRPr="002029AF">
              <w:t>0</w:t>
            </w:r>
          </w:p>
        </w:tc>
        <w:tc>
          <w:tcPr>
            <w:tcW w:w="1247" w:type="dxa"/>
            <w:tcBorders>
              <w:top w:val="single" w:sz="4" w:space="0" w:color="auto"/>
              <w:left w:val="nil"/>
              <w:bottom w:val="single" w:sz="4" w:space="0" w:color="auto"/>
              <w:right w:val="nil"/>
            </w:tcBorders>
            <w:shd w:val="clear" w:color="auto" w:fill="auto"/>
            <w:vAlign w:val="center"/>
          </w:tcPr>
          <w:p w14:paraId="5669E39A" w14:textId="77777777" w:rsidR="00CF72D5" w:rsidRPr="002029AF" w:rsidRDefault="00CF72D5" w:rsidP="00897193">
            <w:pPr>
              <w:pStyle w:val="ARtabletextright"/>
            </w:pPr>
            <w:r w:rsidRPr="002029AF">
              <w:t>0</w:t>
            </w:r>
          </w:p>
        </w:tc>
        <w:tc>
          <w:tcPr>
            <w:tcW w:w="1247" w:type="dxa"/>
            <w:tcBorders>
              <w:top w:val="single" w:sz="4" w:space="0" w:color="auto"/>
              <w:left w:val="nil"/>
              <w:bottom w:val="single" w:sz="4" w:space="0" w:color="auto"/>
              <w:right w:val="nil"/>
            </w:tcBorders>
            <w:shd w:val="clear" w:color="auto" w:fill="auto"/>
            <w:vAlign w:val="center"/>
          </w:tcPr>
          <w:p w14:paraId="374D70A0" w14:textId="77777777" w:rsidR="00CF72D5" w:rsidRPr="002029AF" w:rsidRDefault="00CF72D5" w:rsidP="00897193">
            <w:pPr>
              <w:pStyle w:val="ARtabletextright"/>
            </w:pPr>
            <w:r w:rsidRPr="002029AF">
              <w:t>0</w:t>
            </w:r>
          </w:p>
        </w:tc>
        <w:tc>
          <w:tcPr>
            <w:tcW w:w="1247" w:type="dxa"/>
            <w:tcBorders>
              <w:top w:val="single" w:sz="4" w:space="0" w:color="auto"/>
              <w:left w:val="nil"/>
              <w:bottom w:val="single" w:sz="4" w:space="0" w:color="auto"/>
              <w:right w:val="nil"/>
            </w:tcBorders>
            <w:shd w:val="clear" w:color="auto" w:fill="auto"/>
            <w:vAlign w:val="center"/>
          </w:tcPr>
          <w:p w14:paraId="30E67042" w14:textId="77777777" w:rsidR="00CF72D5" w:rsidRPr="002029AF" w:rsidRDefault="00CF72D5" w:rsidP="00897193">
            <w:pPr>
              <w:pStyle w:val="ARtabletextright"/>
            </w:pPr>
            <w:r w:rsidRPr="002029AF">
              <w:t>58</w:t>
            </w:r>
          </w:p>
        </w:tc>
        <w:tc>
          <w:tcPr>
            <w:tcW w:w="1247" w:type="dxa"/>
            <w:tcBorders>
              <w:top w:val="single" w:sz="4" w:space="0" w:color="auto"/>
              <w:left w:val="nil"/>
              <w:bottom w:val="single" w:sz="4" w:space="0" w:color="auto"/>
              <w:right w:val="nil"/>
            </w:tcBorders>
            <w:shd w:val="clear" w:color="auto" w:fill="auto"/>
            <w:vAlign w:val="center"/>
          </w:tcPr>
          <w:p w14:paraId="136D6E6B" w14:textId="77777777" w:rsidR="00CF72D5" w:rsidRPr="002029AF" w:rsidRDefault="00CF72D5" w:rsidP="00897193">
            <w:pPr>
              <w:pStyle w:val="ARtabletextright"/>
            </w:pPr>
            <w:r w:rsidRPr="002029AF">
              <w:t>0</w:t>
            </w:r>
          </w:p>
        </w:tc>
        <w:tc>
          <w:tcPr>
            <w:tcW w:w="1247" w:type="dxa"/>
            <w:gridSpan w:val="2"/>
            <w:tcBorders>
              <w:top w:val="single" w:sz="4" w:space="0" w:color="auto"/>
              <w:left w:val="nil"/>
              <w:bottom w:val="single" w:sz="4" w:space="0" w:color="auto"/>
              <w:right w:val="single" w:sz="8" w:space="0" w:color="FFFFFF"/>
            </w:tcBorders>
            <w:shd w:val="clear" w:color="auto" w:fill="auto"/>
            <w:vAlign w:val="center"/>
          </w:tcPr>
          <w:p w14:paraId="6831BB90" w14:textId="77777777" w:rsidR="00CF72D5" w:rsidRPr="002029AF" w:rsidRDefault="00CF72D5" w:rsidP="00897193">
            <w:pPr>
              <w:pStyle w:val="ARtabletextright"/>
            </w:pPr>
            <w:r w:rsidRPr="002029AF">
              <w:t>20</w:t>
            </w:r>
          </w:p>
        </w:tc>
      </w:tr>
      <w:tr w:rsidR="00CF72D5" w:rsidRPr="002029AF" w14:paraId="7246E2FF" w14:textId="77777777" w:rsidTr="00897193">
        <w:trPr>
          <w:cantSplit/>
        </w:trPr>
        <w:tc>
          <w:tcPr>
            <w:tcW w:w="2177" w:type="dxa"/>
            <w:tcBorders>
              <w:top w:val="single" w:sz="4" w:space="0" w:color="auto"/>
              <w:right w:val="nil"/>
            </w:tcBorders>
          </w:tcPr>
          <w:p w14:paraId="1EC12A4F" w14:textId="0C9E1DA5" w:rsidR="00CF72D5" w:rsidRPr="002029AF" w:rsidRDefault="00CF72D5" w:rsidP="00897193">
            <w:pPr>
              <w:pStyle w:val="ARtabletext"/>
            </w:pPr>
            <w:r w:rsidRPr="002029AF">
              <w:t>Passenger</w:t>
            </w:r>
            <w:r w:rsidR="000A5329" w:rsidRPr="002029AF">
              <w:t xml:space="preserve"> </w:t>
            </w:r>
            <w:r w:rsidRPr="002029AF">
              <w:t>car</w:t>
            </w:r>
          </w:p>
        </w:tc>
        <w:tc>
          <w:tcPr>
            <w:tcW w:w="1247" w:type="dxa"/>
            <w:tcBorders>
              <w:top w:val="single" w:sz="4" w:space="0" w:color="auto"/>
              <w:left w:val="nil"/>
              <w:bottom w:val="single" w:sz="4" w:space="0" w:color="auto"/>
              <w:right w:val="nil"/>
            </w:tcBorders>
            <w:shd w:val="clear" w:color="auto" w:fill="auto"/>
            <w:vAlign w:val="center"/>
          </w:tcPr>
          <w:p w14:paraId="7380C847" w14:textId="77777777" w:rsidR="00CF72D5" w:rsidRPr="002029AF" w:rsidRDefault="00CF72D5" w:rsidP="00897193">
            <w:pPr>
              <w:pStyle w:val="ARtabletextright"/>
            </w:pPr>
            <w:r w:rsidRPr="002029AF">
              <w:t>0</w:t>
            </w:r>
          </w:p>
        </w:tc>
        <w:tc>
          <w:tcPr>
            <w:tcW w:w="1247" w:type="dxa"/>
            <w:tcBorders>
              <w:top w:val="single" w:sz="4" w:space="0" w:color="auto"/>
              <w:left w:val="nil"/>
              <w:bottom w:val="single" w:sz="4" w:space="0" w:color="auto"/>
              <w:right w:val="nil"/>
            </w:tcBorders>
            <w:shd w:val="clear" w:color="auto" w:fill="auto"/>
            <w:vAlign w:val="center"/>
          </w:tcPr>
          <w:p w14:paraId="2E9032BF" w14:textId="77777777" w:rsidR="00CF72D5" w:rsidRPr="002029AF" w:rsidRDefault="00CF72D5" w:rsidP="00897193">
            <w:pPr>
              <w:pStyle w:val="ARtabletextright"/>
            </w:pPr>
            <w:r w:rsidRPr="002029AF">
              <w:t>356</w:t>
            </w:r>
          </w:p>
        </w:tc>
        <w:tc>
          <w:tcPr>
            <w:tcW w:w="1247" w:type="dxa"/>
            <w:tcBorders>
              <w:top w:val="single" w:sz="4" w:space="0" w:color="auto"/>
              <w:left w:val="nil"/>
              <w:bottom w:val="single" w:sz="4" w:space="0" w:color="auto"/>
              <w:right w:val="nil"/>
            </w:tcBorders>
            <w:shd w:val="clear" w:color="auto" w:fill="auto"/>
            <w:vAlign w:val="center"/>
          </w:tcPr>
          <w:p w14:paraId="6CF7930A" w14:textId="77777777" w:rsidR="00CF72D5" w:rsidRPr="002029AF" w:rsidRDefault="00CF72D5" w:rsidP="00897193">
            <w:pPr>
              <w:pStyle w:val="ARtabletextright"/>
            </w:pPr>
            <w:r w:rsidRPr="002029AF">
              <w:t>0</w:t>
            </w:r>
          </w:p>
        </w:tc>
        <w:tc>
          <w:tcPr>
            <w:tcW w:w="1247" w:type="dxa"/>
            <w:tcBorders>
              <w:top w:val="single" w:sz="4" w:space="0" w:color="auto"/>
              <w:left w:val="nil"/>
              <w:bottom w:val="single" w:sz="4" w:space="0" w:color="auto"/>
              <w:right w:val="nil"/>
            </w:tcBorders>
            <w:shd w:val="clear" w:color="auto" w:fill="auto"/>
            <w:vAlign w:val="center"/>
          </w:tcPr>
          <w:p w14:paraId="70D0D5AD" w14:textId="77777777" w:rsidR="00CF72D5" w:rsidRPr="002029AF" w:rsidRDefault="00CF72D5" w:rsidP="00897193">
            <w:pPr>
              <w:pStyle w:val="ARtabletextright"/>
            </w:pPr>
            <w:r w:rsidRPr="002029AF">
              <w:t>296</w:t>
            </w:r>
          </w:p>
        </w:tc>
        <w:tc>
          <w:tcPr>
            <w:tcW w:w="1247" w:type="dxa"/>
            <w:tcBorders>
              <w:top w:val="single" w:sz="4" w:space="0" w:color="auto"/>
              <w:left w:val="nil"/>
              <w:bottom w:val="single" w:sz="4" w:space="0" w:color="auto"/>
              <w:right w:val="nil"/>
            </w:tcBorders>
            <w:shd w:val="clear" w:color="auto" w:fill="auto"/>
            <w:vAlign w:val="center"/>
          </w:tcPr>
          <w:p w14:paraId="16A22F2F" w14:textId="77777777" w:rsidR="00CF72D5" w:rsidRPr="002029AF" w:rsidRDefault="00CF72D5" w:rsidP="00897193">
            <w:pPr>
              <w:pStyle w:val="ARtabletextright"/>
            </w:pPr>
            <w:r w:rsidRPr="002029AF">
              <w:t>319</w:t>
            </w:r>
          </w:p>
        </w:tc>
        <w:tc>
          <w:tcPr>
            <w:tcW w:w="1247" w:type="dxa"/>
            <w:gridSpan w:val="2"/>
            <w:tcBorders>
              <w:top w:val="single" w:sz="4" w:space="0" w:color="auto"/>
              <w:left w:val="nil"/>
              <w:bottom w:val="single" w:sz="4" w:space="0" w:color="auto"/>
              <w:right w:val="single" w:sz="8" w:space="0" w:color="FFFFFF"/>
            </w:tcBorders>
            <w:shd w:val="clear" w:color="auto" w:fill="auto"/>
            <w:vAlign w:val="center"/>
          </w:tcPr>
          <w:p w14:paraId="66F8CFC0" w14:textId="77777777" w:rsidR="00CF72D5" w:rsidRPr="002029AF" w:rsidRDefault="00CF72D5" w:rsidP="00897193">
            <w:pPr>
              <w:pStyle w:val="ARtabletextright"/>
            </w:pPr>
            <w:r w:rsidRPr="002029AF">
              <w:t>88</w:t>
            </w:r>
          </w:p>
        </w:tc>
      </w:tr>
      <w:tr w:rsidR="00CF72D5" w:rsidRPr="002029AF" w14:paraId="6050F344" w14:textId="77777777" w:rsidTr="00897193">
        <w:trPr>
          <w:cantSplit/>
        </w:trPr>
        <w:tc>
          <w:tcPr>
            <w:tcW w:w="2177" w:type="dxa"/>
            <w:tcBorders>
              <w:top w:val="single" w:sz="4" w:space="0" w:color="auto"/>
              <w:right w:val="nil"/>
            </w:tcBorders>
          </w:tcPr>
          <w:p w14:paraId="247F4035" w14:textId="5A211443" w:rsidR="00CF72D5" w:rsidRPr="002029AF" w:rsidRDefault="00CF72D5" w:rsidP="00897193">
            <w:pPr>
              <w:pStyle w:val="ARtabletext"/>
              <w:rPr>
                <w:b/>
              </w:rPr>
            </w:pPr>
            <w:r w:rsidRPr="002029AF">
              <w:rPr>
                <w:b/>
              </w:rPr>
              <w:t>Total</w:t>
            </w:r>
            <w:r w:rsidR="000A5329" w:rsidRPr="002029AF">
              <w:rPr>
                <w:b/>
              </w:rPr>
              <w:t xml:space="preserve"> </w:t>
            </w:r>
            <w:r w:rsidRPr="002029AF">
              <w:rPr>
                <w:b/>
              </w:rPr>
              <w:t>(1,301</w:t>
            </w:r>
            <w:r w:rsidR="000A5329" w:rsidRPr="002029AF">
              <w:rPr>
                <w:b/>
              </w:rPr>
              <w:t xml:space="preserve"> </w:t>
            </w:r>
            <w:r w:rsidRPr="002029AF">
              <w:rPr>
                <w:b/>
              </w:rPr>
              <w:t>vehicles)</w:t>
            </w:r>
          </w:p>
        </w:tc>
        <w:tc>
          <w:tcPr>
            <w:tcW w:w="1247" w:type="dxa"/>
            <w:tcBorders>
              <w:top w:val="single" w:sz="4" w:space="0" w:color="auto"/>
              <w:left w:val="nil"/>
              <w:bottom w:val="single" w:sz="4" w:space="0" w:color="auto"/>
              <w:right w:val="nil"/>
            </w:tcBorders>
            <w:shd w:val="clear" w:color="auto" w:fill="auto"/>
            <w:vAlign w:val="center"/>
          </w:tcPr>
          <w:p w14:paraId="40CEF690" w14:textId="77777777" w:rsidR="00CF72D5" w:rsidRPr="002029AF" w:rsidRDefault="00CF72D5" w:rsidP="00897193">
            <w:pPr>
              <w:pStyle w:val="ARtabletextrightbold"/>
            </w:pPr>
            <w:r w:rsidRPr="002029AF">
              <w:t>0</w:t>
            </w:r>
          </w:p>
        </w:tc>
        <w:tc>
          <w:tcPr>
            <w:tcW w:w="1247" w:type="dxa"/>
            <w:tcBorders>
              <w:top w:val="single" w:sz="4" w:space="0" w:color="auto"/>
              <w:left w:val="nil"/>
              <w:bottom w:val="single" w:sz="4" w:space="0" w:color="auto"/>
              <w:right w:val="nil"/>
            </w:tcBorders>
            <w:shd w:val="clear" w:color="auto" w:fill="auto"/>
            <w:vAlign w:val="center"/>
          </w:tcPr>
          <w:p w14:paraId="5ED5CCD3" w14:textId="77777777" w:rsidR="00CF72D5" w:rsidRPr="002029AF" w:rsidRDefault="00CF72D5" w:rsidP="00897193">
            <w:pPr>
              <w:pStyle w:val="ARtabletextrightbold"/>
            </w:pPr>
            <w:r w:rsidRPr="002029AF">
              <w:t>366</w:t>
            </w:r>
          </w:p>
        </w:tc>
        <w:tc>
          <w:tcPr>
            <w:tcW w:w="1247" w:type="dxa"/>
            <w:tcBorders>
              <w:top w:val="single" w:sz="4" w:space="0" w:color="auto"/>
              <w:left w:val="nil"/>
              <w:bottom w:val="single" w:sz="4" w:space="0" w:color="auto"/>
              <w:right w:val="nil"/>
            </w:tcBorders>
            <w:shd w:val="clear" w:color="auto" w:fill="auto"/>
            <w:vAlign w:val="center"/>
          </w:tcPr>
          <w:p w14:paraId="4B1FA4AD" w14:textId="77777777" w:rsidR="00CF72D5" w:rsidRPr="002029AF" w:rsidRDefault="00CF72D5" w:rsidP="00897193">
            <w:pPr>
              <w:pStyle w:val="ARtabletextrightbold"/>
            </w:pPr>
            <w:r w:rsidRPr="002029AF">
              <w:t>4</w:t>
            </w:r>
          </w:p>
        </w:tc>
        <w:tc>
          <w:tcPr>
            <w:tcW w:w="1247" w:type="dxa"/>
            <w:tcBorders>
              <w:top w:val="single" w:sz="4" w:space="0" w:color="auto"/>
              <w:left w:val="nil"/>
              <w:bottom w:val="single" w:sz="4" w:space="0" w:color="auto"/>
              <w:right w:val="nil"/>
            </w:tcBorders>
            <w:shd w:val="clear" w:color="auto" w:fill="auto"/>
            <w:vAlign w:val="center"/>
          </w:tcPr>
          <w:p w14:paraId="17FD5B83" w14:textId="77777777" w:rsidR="00CF72D5" w:rsidRPr="002029AF" w:rsidRDefault="00CF72D5" w:rsidP="00897193">
            <w:pPr>
              <w:pStyle w:val="ARtabletextrightbold"/>
            </w:pPr>
            <w:r w:rsidRPr="002029AF">
              <w:t>430</w:t>
            </w:r>
          </w:p>
        </w:tc>
        <w:tc>
          <w:tcPr>
            <w:tcW w:w="1247" w:type="dxa"/>
            <w:tcBorders>
              <w:top w:val="single" w:sz="4" w:space="0" w:color="auto"/>
              <w:left w:val="nil"/>
              <w:bottom w:val="single" w:sz="4" w:space="0" w:color="auto"/>
              <w:right w:val="nil"/>
            </w:tcBorders>
            <w:shd w:val="clear" w:color="auto" w:fill="auto"/>
            <w:vAlign w:val="center"/>
          </w:tcPr>
          <w:p w14:paraId="6DAC822F" w14:textId="77777777" w:rsidR="00CF72D5" w:rsidRPr="002029AF" w:rsidRDefault="00CF72D5" w:rsidP="00897193">
            <w:pPr>
              <w:pStyle w:val="ARtabletextrightbold"/>
            </w:pPr>
            <w:r w:rsidRPr="002029AF">
              <w:t>352</w:t>
            </w:r>
          </w:p>
        </w:tc>
        <w:tc>
          <w:tcPr>
            <w:tcW w:w="1247" w:type="dxa"/>
            <w:gridSpan w:val="2"/>
            <w:tcBorders>
              <w:top w:val="single" w:sz="4" w:space="0" w:color="auto"/>
              <w:left w:val="nil"/>
              <w:bottom w:val="single" w:sz="4" w:space="0" w:color="auto"/>
              <w:right w:val="single" w:sz="8" w:space="0" w:color="FFFFFF"/>
            </w:tcBorders>
            <w:shd w:val="clear" w:color="auto" w:fill="auto"/>
            <w:vAlign w:val="center"/>
          </w:tcPr>
          <w:p w14:paraId="0E0B3DDD" w14:textId="77777777" w:rsidR="00CF72D5" w:rsidRPr="002029AF" w:rsidRDefault="00CF72D5" w:rsidP="00897193">
            <w:pPr>
              <w:pStyle w:val="ARtabletextrightbold"/>
            </w:pPr>
            <w:r w:rsidRPr="002029AF">
              <w:t>149</w:t>
            </w:r>
          </w:p>
        </w:tc>
      </w:tr>
    </w:tbl>
    <w:p w14:paraId="1C916972" w14:textId="77777777" w:rsidR="00CF72D5" w:rsidRPr="002029AF" w:rsidRDefault="00CF72D5" w:rsidP="00897193">
      <w:pPr>
        <w:pStyle w:val="ARbody"/>
        <w:rPr>
          <w:lang w:eastAsia="en-AU"/>
        </w:rPr>
      </w:pP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Layout w:type="fixed"/>
        <w:tblCellMar>
          <w:left w:w="0" w:type="dxa"/>
        </w:tblCellMar>
        <w:tblLook w:val="00A0" w:firstRow="1" w:lastRow="0" w:firstColumn="1" w:lastColumn="0" w:noHBand="0" w:noVBand="0"/>
      </w:tblPr>
      <w:tblGrid>
        <w:gridCol w:w="5103"/>
        <w:gridCol w:w="2268"/>
        <w:gridCol w:w="2268"/>
      </w:tblGrid>
      <w:tr w:rsidR="00CF72D5" w:rsidRPr="002029AF" w14:paraId="2C132CE4" w14:textId="77777777" w:rsidTr="00897193">
        <w:trPr>
          <w:cantSplit/>
          <w:trHeight w:val="101"/>
          <w:tblHeader/>
        </w:trPr>
        <w:tc>
          <w:tcPr>
            <w:tcW w:w="5103" w:type="dxa"/>
            <w:vAlign w:val="bottom"/>
          </w:tcPr>
          <w:p w14:paraId="118709EB" w14:textId="77777777" w:rsidR="00CF72D5" w:rsidRPr="002029AF" w:rsidRDefault="00CF72D5" w:rsidP="00DC6F5C">
            <w:pPr>
              <w:pStyle w:val="ARtablecolhead"/>
            </w:pPr>
            <w:r w:rsidRPr="002029AF">
              <w:t>Description</w:t>
            </w:r>
          </w:p>
        </w:tc>
        <w:tc>
          <w:tcPr>
            <w:tcW w:w="2268" w:type="dxa"/>
            <w:vAlign w:val="bottom"/>
          </w:tcPr>
          <w:p w14:paraId="04942523" w14:textId="732D2790" w:rsidR="00CF72D5" w:rsidRPr="002029AF" w:rsidRDefault="00CF72D5" w:rsidP="00897193">
            <w:pPr>
              <w:pStyle w:val="ARtablecolheadright"/>
            </w:pPr>
            <w:r w:rsidRPr="002029AF">
              <w:t>Operational</w:t>
            </w:r>
            <w:r w:rsidRPr="002029AF">
              <w:br/>
              <w:t>(per</w:t>
            </w:r>
            <w:r w:rsidR="000A5329" w:rsidRPr="002029AF">
              <w:t xml:space="preserve"> </w:t>
            </w:r>
            <w:r w:rsidRPr="002029AF">
              <w:t>cent)</w:t>
            </w:r>
          </w:p>
        </w:tc>
        <w:tc>
          <w:tcPr>
            <w:tcW w:w="2268" w:type="dxa"/>
            <w:vAlign w:val="bottom"/>
          </w:tcPr>
          <w:p w14:paraId="42615BFF" w14:textId="73B0B640" w:rsidR="00CF72D5" w:rsidRPr="002029AF" w:rsidRDefault="00CF72D5" w:rsidP="00897193">
            <w:pPr>
              <w:pStyle w:val="ARtablecolheadright"/>
            </w:pPr>
            <w:r w:rsidRPr="002029AF">
              <w:t>Executive</w:t>
            </w:r>
            <w:r w:rsidRPr="002029AF">
              <w:br/>
              <w:t>(per</w:t>
            </w:r>
            <w:r w:rsidR="000A5329" w:rsidRPr="002029AF">
              <w:t xml:space="preserve"> </w:t>
            </w:r>
            <w:r w:rsidRPr="002029AF">
              <w:t>cent)</w:t>
            </w:r>
          </w:p>
        </w:tc>
      </w:tr>
      <w:tr w:rsidR="00CF72D5" w:rsidRPr="002029AF" w14:paraId="0C51AE5A" w14:textId="77777777" w:rsidTr="00897193">
        <w:trPr>
          <w:cantSplit/>
        </w:trPr>
        <w:tc>
          <w:tcPr>
            <w:tcW w:w="5103" w:type="dxa"/>
          </w:tcPr>
          <w:p w14:paraId="76ADE5D7" w14:textId="77777777" w:rsidR="00CF72D5" w:rsidRPr="002029AF" w:rsidRDefault="00CF72D5" w:rsidP="00897193">
            <w:pPr>
              <w:pStyle w:val="ARtabletext"/>
            </w:pPr>
            <w:r w:rsidRPr="002029AF">
              <w:t>LPG</w:t>
            </w:r>
          </w:p>
        </w:tc>
        <w:tc>
          <w:tcPr>
            <w:tcW w:w="2268" w:type="dxa"/>
            <w:vAlign w:val="center"/>
          </w:tcPr>
          <w:p w14:paraId="08576018" w14:textId="77777777" w:rsidR="00CF72D5" w:rsidRPr="002029AF" w:rsidRDefault="00CF72D5" w:rsidP="00897193">
            <w:pPr>
              <w:pStyle w:val="ARtabletextright"/>
            </w:pPr>
            <w:r w:rsidRPr="002029AF">
              <w:t>0%</w:t>
            </w:r>
          </w:p>
        </w:tc>
        <w:tc>
          <w:tcPr>
            <w:tcW w:w="2268" w:type="dxa"/>
            <w:vAlign w:val="center"/>
          </w:tcPr>
          <w:p w14:paraId="1B0E3D48" w14:textId="77777777" w:rsidR="00CF72D5" w:rsidRPr="002029AF" w:rsidRDefault="00CF72D5" w:rsidP="00897193">
            <w:pPr>
              <w:pStyle w:val="ARtabletextright"/>
            </w:pPr>
            <w:r w:rsidRPr="002029AF">
              <w:t>0%</w:t>
            </w:r>
          </w:p>
        </w:tc>
      </w:tr>
      <w:tr w:rsidR="00CF72D5" w:rsidRPr="002029AF" w14:paraId="08FF2DF7" w14:textId="77777777" w:rsidTr="00897193">
        <w:trPr>
          <w:cantSplit/>
        </w:trPr>
        <w:tc>
          <w:tcPr>
            <w:tcW w:w="5103" w:type="dxa"/>
          </w:tcPr>
          <w:p w14:paraId="349A7934" w14:textId="77777777" w:rsidR="00CF72D5" w:rsidRPr="002029AF" w:rsidRDefault="00CF72D5" w:rsidP="00897193">
            <w:pPr>
              <w:pStyle w:val="ARtabletext"/>
            </w:pPr>
            <w:r w:rsidRPr="002029AF">
              <w:t>Hybrid</w:t>
            </w:r>
          </w:p>
        </w:tc>
        <w:tc>
          <w:tcPr>
            <w:tcW w:w="2268" w:type="dxa"/>
            <w:vAlign w:val="center"/>
          </w:tcPr>
          <w:p w14:paraId="252896CF" w14:textId="77777777" w:rsidR="00CF72D5" w:rsidRPr="002029AF" w:rsidRDefault="00CF72D5" w:rsidP="00897193">
            <w:pPr>
              <w:pStyle w:val="ARtabletextright"/>
            </w:pPr>
            <w:r w:rsidRPr="002029AF">
              <w:t>27%</w:t>
            </w:r>
          </w:p>
        </w:tc>
        <w:tc>
          <w:tcPr>
            <w:tcW w:w="2268" w:type="dxa"/>
            <w:vAlign w:val="center"/>
          </w:tcPr>
          <w:p w14:paraId="212E51A7" w14:textId="77777777" w:rsidR="00CF72D5" w:rsidRPr="002029AF" w:rsidRDefault="00CF72D5" w:rsidP="00897193">
            <w:pPr>
              <w:pStyle w:val="ARtabletextright"/>
            </w:pPr>
            <w:r w:rsidRPr="002029AF">
              <w:t>1%</w:t>
            </w:r>
          </w:p>
        </w:tc>
      </w:tr>
      <w:tr w:rsidR="00CF72D5" w:rsidRPr="002029AF" w14:paraId="6BAFB57B" w14:textId="77777777" w:rsidTr="00897193">
        <w:trPr>
          <w:cantSplit/>
        </w:trPr>
        <w:tc>
          <w:tcPr>
            <w:tcW w:w="5103" w:type="dxa"/>
          </w:tcPr>
          <w:p w14:paraId="40931C58" w14:textId="5157905F" w:rsidR="00CF72D5" w:rsidRPr="002029AF" w:rsidRDefault="00CF72D5" w:rsidP="00897193">
            <w:pPr>
              <w:pStyle w:val="ARtabletext"/>
            </w:pPr>
            <w:r w:rsidRPr="002029AF">
              <w:t>1–</w:t>
            </w:r>
            <w:r w:rsidR="004420E6" w:rsidRPr="002029AF">
              <w:t>3-cylinder</w:t>
            </w:r>
            <w:r w:rsidR="000A5329" w:rsidRPr="002029AF">
              <w:t xml:space="preserve"> </w:t>
            </w:r>
            <w:r w:rsidRPr="002029AF">
              <w:t>unleaded</w:t>
            </w:r>
            <w:r w:rsidR="000A5329" w:rsidRPr="002029AF">
              <w:t xml:space="preserve"> </w:t>
            </w:r>
            <w:r w:rsidRPr="002029AF">
              <w:t>petrol</w:t>
            </w:r>
          </w:p>
        </w:tc>
        <w:tc>
          <w:tcPr>
            <w:tcW w:w="2268" w:type="dxa"/>
            <w:vAlign w:val="center"/>
          </w:tcPr>
          <w:p w14:paraId="66B33DF9" w14:textId="77777777" w:rsidR="00CF72D5" w:rsidRPr="002029AF" w:rsidRDefault="00CF72D5" w:rsidP="00897193">
            <w:pPr>
              <w:pStyle w:val="ARtabletextright"/>
            </w:pPr>
            <w:r w:rsidRPr="002029AF">
              <w:t>0.3%</w:t>
            </w:r>
          </w:p>
        </w:tc>
        <w:tc>
          <w:tcPr>
            <w:tcW w:w="2268" w:type="dxa"/>
            <w:vAlign w:val="center"/>
          </w:tcPr>
          <w:p w14:paraId="055D69C7" w14:textId="77777777" w:rsidR="00CF72D5" w:rsidRPr="002029AF" w:rsidRDefault="00CF72D5" w:rsidP="00897193">
            <w:pPr>
              <w:pStyle w:val="ARtabletextright"/>
            </w:pPr>
            <w:r w:rsidRPr="002029AF">
              <w:t>0%</w:t>
            </w:r>
          </w:p>
        </w:tc>
      </w:tr>
      <w:tr w:rsidR="00CF72D5" w:rsidRPr="002029AF" w14:paraId="0DB2B431" w14:textId="77777777" w:rsidTr="00897193">
        <w:trPr>
          <w:cantSplit/>
        </w:trPr>
        <w:tc>
          <w:tcPr>
            <w:tcW w:w="5103" w:type="dxa"/>
          </w:tcPr>
          <w:p w14:paraId="4ED226BE" w14:textId="7F21FD88" w:rsidR="00CF72D5" w:rsidRPr="002029AF" w:rsidRDefault="00DF4DCC" w:rsidP="00897193">
            <w:pPr>
              <w:pStyle w:val="ARtabletext"/>
            </w:pPr>
            <w:r w:rsidRPr="002029AF">
              <w:t>4-cylinder</w:t>
            </w:r>
            <w:r w:rsidR="000A5329" w:rsidRPr="002029AF">
              <w:t xml:space="preserve"> </w:t>
            </w:r>
            <w:r w:rsidR="00CF72D5" w:rsidRPr="002029AF">
              <w:t>unleaded</w:t>
            </w:r>
            <w:r w:rsidR="000A5329" w:rsidRPr="002029AF">
              <w:t xml:space="preserve"> </w:t>
            </w:r>
            <w:r w:rsidR="00CF72D5" w:rsidRPr="002029AF">
              <w:t>petrol</w:t>
            </w:r>
          </w:p>
        </w:tc>
        <w:tc>
          <w:tcPr>
            <w:tcW w:w="2268" w:type="dxa"/>
            <w:vAlign w:val="center"/>
          </w:tcPr>
          <w:p w14:paraId="6F2538FD" w14:textId="77777777" w:rsidR="00CF72D5" w:rsidRPr="002029AF" w:rsidRDefault="00CF72D5" w:rsidP="00897193">
            <w:pPr>
              <w:pStyle w:val="ARtabletextright"/>
            </w:pPr>
            <w:r w:rsidRPr="002029AF">
              <w:t>27%</w:t>
            </w:r>
          </w:p>
        </w:tc>
        <w:tc>
          <w:tcPr>
            <w:tcW w:w="2268" w:type="dxa"/>
            <w:vAlign w:val="center"/>
          </w:tcPr>
          <w:p w14:paraId="02082651" w14:textId="77777777" w:rsidR="00CF72D5" w:rsidRPr="002029AF" w:rsidRDefault="00CF72D5" w:rsidP="00897193">
            <w:pPr>
              <w:pStyle w:val="ARtabletextright"/>
            </w:pPr>
            <w:r w:rsidRPr="002029AF">
              <w:t>6%</w:t>
            </w:r>
          </w:p>
        </w:tc>
      </w:tr>
      <w:tr w:rsidR="00CF72D5" w:rsidRPr="002029AF" w14:paraId="6E827BFE" w14:textId="77777777" w:rsidTr="00897193">
        <w:trPr>
          <w:cantSplit/>
        </w:trPr>
        <w:tc>
          <w:tcPr>
            <w:tcW w:w="5103" w:type="dxa"/>
          </w:tcPr>
          <w:p w14:paraId="1BB76936" w14:textId="5C46792E" w:rsidR="00CF72D5" w:rsidRPr="002029AF" w:rsidRDefault="00DF4DCC" w:rsidP="00897193">
            <w:pPr>
              <w:pStyle w:val="ARtabletext"/>
            </w:pPr>
            <w:r w:rsidRPr="002029AF">
              <w:t>6-cylinder</w:t>
            </w:r>
            <w:r w:rsidR="000A5329" w:rsidRPr="002029AF">
              <w:t xml:space="preserve"> </w:t>
            </w:r>
            <w:r w:rsidR="00CF72D5" w:rsidRPr="002029AF">
              <w:t>unleaded</w:t>
            </w:r>
            <w:r w:rsidR="000A5329" w:rsidRPr="002029AF">
              <w:t xml:space="preserve"> </w:t>
            </w:r>
            <w:r w:rsidR="00CF72D5" w:rsidRPr="002029AF">
              <w:t>petrol</w:t>
            </w:r>
          </w:p>
        </w:tc>
        <w:tc>
          <w:tcPr>
            <w:tcW w:w="2268" w:type="dxa"/>
            <w:vAlign w:val="center"/>
          </w:tcPr>
          <w:p w14:paraId="664C09F1" w14:textId="77777777" w:rsidR="00CF72D5" w:rsidRPr="002029AF" w:rsidRDefault="00CF72D5" w:rsidP="00897193">
            <w:pPr>
              <w:pStyle w:val="ARtabletextright"/>
            </w:pPr>
            <w:r w:rsidRPr="002029AF">
              <w:t>25%</w:t>
            </w:r>
          </w:p>
        </w:tc>
        <w:tc>
          <w:tcPr>
            <w:tcW w:w="2268" w:type="dxa"/>
            <w:vAlign w:val="center"/>
          </w:tcPr>
          <w:p w14:paraId="0E264DC7" w14:textId="77777777" w:rsidR="00CF72D5" w:rsidRPr="002029AF" w:rsidRDefault="00CF72D5" w:rsidP="00897193">
            <w:pPr>
              <w:pStyle w:val="ARtabletextright"/>
            </w:pPr>
            <w:r w:rsidRPr="002029AF">
              <w:t>3%</w:t>
            </w:r>
          </w:p>
        </w:tc>
      </w:tr>
      <w:tr w:rsidR="00CF72D5" w:rsidRPr="002029AF" w14:paraId="060659C6" w14:textId="77777777" w:rsidTr="00897193">
        <w:trPr>
          <w:cantSplit/>
        </w:trPr>
        <w:tc>
          <w:tcPr>
            <w:tcW w:w="5103" w:type="dxa"/>
          </w:tcPr>
          <w:p w14:paraId="1EDBC207" w14:textId="77777777" w:rsidR="00CF72D5" w:rsidRPr="002029AF" w:rsidRDefault="00CF72D5" w:rsidP="00897193">
            <w:pPr>
              <w:pStyle w:val="ARtabletext"/>
            </w:pPr>
            <w:r w:rsidRPr="002029AF">
              <w:t>Diesel</w:t>
            </w:r>
          </w:p>
        </w:tc>
        <w:tc>
          <w:tcPr>
            <w:tcW w:w="2268" w:type="dxa"/>
            <w:vAlign w:val="center"/>
          </w:tcPr>
          <w:p w14:paraId="6FAF38AB" w14:textId="77777777" w:rsidR="00CF72D5" w:rsidRPr="002029AF" w:rsidRDefault="00CF72D5" w:rsidP="00897193">
            <w:pPr>
              <w:pStyle w:val="ARtabletextright"/>
            </w:pPr>
            <w:r w:rsidRPr="002029AF">
              <w:t>10%</w:t>
            </w:r>
          </w:p>
        </w:tc>
        <w:tc>
          <w:tcPr>
            <w:tcW w:w="2268" w:type="dxa"/>
            <w:vAlign w:val="center"/>
          </w:tcPr>
          <w:p w14:paraId="301DE5D1" w14:textId="77777777" w:rsidR="00CF72D5" w:rsidRPr="002029AF" w:rsidRDefault="00CF72D5" w:rsidP="00897193">
            <w:pPr>
              <w:pStyle w:val="ARtabletextright"/>
            </w:pPr>
            <w:r w:rsidRPr="002029AF">
              <w:t>1%</w:t>
            </w:r>
          </w:p>
        </w:tc>
      </w:tr>
      <w:tr w:rsidR="00CF72D5" w:rsidRPr="002029AF" w14:paraId="6C373FF4" w14:textId="77777777" w:rsidTr="00897193">
        <w:trPr>
          <w:cantSplit/>
        </w:trPr>
        <w:tc>
          <w:tcPr>
            <w:tcW w:w="5103" w:type="dxa"/>
          </w:tcPr>
          <w:p w14:paraId="3CAEA20C" w14:textId="77777777" w:rsidR="00CF72D5" w:rsidRPr="002029AF" w:rsidRDefault="00CF72D5" w:rsidP="00897193">
            <w:pPr>
              <w:pStyle w:val="ARtabletextbold"/>
            </w:pPr>
            <w:r w:rsidRPr="002029AF">
              <w:t>Total</w:t>
            </w:r>
          </w:p>
        </w:tc>
        <w:tc>
          <w:tcPr>
            <w:tcW w:w="2268" w:type="dxa"/>
            <w:vAlign w:val="center"/>
          </w:tcPr>
          <w:p w14:paraId="128B8B24" w14:textId="77777777" w:rsidR="00CF72D5" w:rsidRPr="002029AF" w:rsidRDefault="00CF72D5" w:rsidP="00897193">
            <w:pPr>
              <w:pStyle w:val="ARtabletextrightbold"/>
            </w:pPr>
            <w:r w:rsidRPr="002029AF">
              <w:rPr>
                <w:b w:val="0"/>
                <w:bCs/>
              </w:rPr>
              <w:t>89%</w:t>
            </w:r>
          </w:p>
        </w:tc>
        <w:tc>
          <w:tcPr>
            <w:tcW w:w="2268" w:type="dxa"/>
            <w:vAlign w:val="center"/>
          </w:tcPr>
          <w:p w14:paraId="0E65A352" w14:textId="77777777" w:rsidR="00CF72D5" w:rsidRPr="002029AF" w:rsidRDefault="00CF72D5" w:rsidP="00897193">
            <w:pPr>
              <w:pStyle w:val="ARtabletextrightbold"/>
            </w:pPr>
            <w:r w:rsidRPr="002029AF">
              <w:rPr>
                <w:b w:val="0"/>
                <w:bCs/>
              </w:rPr>
              <w:t>11%</w:t>
            </w:r>
          </w:p>
        </w:tc>
      </w:tr>
    </w:tbl>
    <w:p w14:paraId="1E9D5234" w14:textId="77777777" w:rsidR="00CF72D5" w:rsidRPr="002029AF" w:rsidRDefault="00CF72D5" w:rsidP="00897193">
      <w:pPr>
        <w:pStyle w:val="ARbody"/>
      </w:pP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Layout w:type="fixed"/>
        <w:tblCellMar>
          <w:left w:w="0" w:type="dxa"/>
        </w:tblCellMar>
        <w:tblLook w:val="00A0" w:firstRow="1" w:lastRow="0" w:firstColumn="1" w:lastColumn="0" w:noHBand="0" w:noVBand="0"/>
      </w:tblPr>
      <w:tblGrid>
        <w:gridCol w:w="2835"/>
        <w:gridCol w:w="2268"/>
        <w:gridCol w:w="2268"/>
        <w:gridCol w:w="2268"/>
      </w:tblGrid>
      <w:tr w:rsidR="00CF72D5" w:rsidRPr="002029AF" w14:paraId="7CE929B7" w14:textId="77777777" w:rsidTr="00897193">
        <w:trPr>
          <w:cantSplit/>
          <w:tblHeader/>
        </w:trPr>
        <w:tc>
          <w:tcPr>
            <w:tcW w:w="2835" w:type="dxa"/>
            <w:vAlign w:val="bottom"/>
          </w:tcPr>
          <w:p w14:paraId="1467515C" w14:textId="77777777" w:rsidR="00CF72D5" w:rsidRPr="002029AF" w:rsidRDefault="00CF72D5" w:rsidP="00897193">
            <w:pPr>
              <w:pStyle w:val="ARtablecolhead"/>
            </w:pPr>
            <w:r w:rsidRPr="002029AF">
              <w:t>Description</w:t>
            </w:r>
          </w:p>
        </w:tc>
        <w:tc>
          <w:tcPr>
            <w:tcW w:w="2268" w:type="dxa"/>
            <w:vAlign w:val="center"/>
          </w:tcPr>
          <w:p w14:paraId="5AA9004D" w14:textId="180B62EE" w:rsidR="00CF72D5" w:rsidRPr="002029AF" w:rsidRDefault="00CF72D5" w:rsidP="00897193">
            <w:pPr>
              <w:pStyle w:val="ARtablecolheadright"/>
            </w:pPr>
            <w:r w:rsidRPr="002029AF">
              <w:t>2019–20</w:t>
            </w:r>
            <w:r w:rsidR="000A5329" w:rsidRPr="002029AF">
              <w:t xml:space="preserve"> </w:t>
            </w:r>
            <w:r w:rsidRPr="002029AF">
              <w:t>estimate</w:t>
            </w:r>
          </w:p>
        </w:tc>
        <w:tc>
          <w:tcPr>
            <w:tcW w:w="2268" w:type="dxa"/>
            <w:vAlign w:val="center"/>
          </w:tcPr>
          <w:p w14:paraId="207D678F" w14:textId="0FE0439B" w:rsidR="00CF72D5" w:rsidRPr="002029AF" w:rsidRDefault="00CF72D5" w:rsidP="00897193">
            <w:pPr>
              <w:pStyle w:val="ARtablecolheadright"/>
            </w:pPr>
            <w:r w:rsidRPr="002029AF">
              <w:t>2018–19</w:t>
            </w:r>
            <w:r w:rsidR="000A5329" w:rsidRPr="002029AF">
              <w:t xml:space="preserve"> </w:t>
            </w:r>
            <w:r w:rsidRPr="002029AF">
              <w:t>estimate</w:t>
            </w:r>
          </w:p>
        </w:tc>
        <w:tc>
          <w:tcPr>
            <w:tcW w:w="2268" w:type="dxa"/>
            <w:vAlign w:val="center"/>
          </w:tcPr>
          <w:p w14:paraId="05FAADC6" w14:textId="50A433B1" w:rsidR="00CF72D5" w:rsidRPr="002029AF" w:rsidRDefault="00CF72D5" w:rsidP="00897193">
            <w:pPr>
              <w:pStyle w:val="ARtablecolheadright"/>
            </w:pPr>
            <w:r w:rsidRPr="002029AF">
              <w:t>2017–18</w:t>
            </w:r>
            <w:r w:rsidR="000A5329" w:rsidRPr="002029AF">
              <w:t xml:space="preserve"> </w:t>
            </w:r>
            <w:r w:rsidRPr="002029AF">
              <w:t>estimate</w:t>
            </w:r>
          </w:p>
        </w:tc>
      </w:tr>
      <w:tr w:rsidR="00CF72D5" w:rsidRPr="002029AF" w14:paraId="1DAEF408" w14:textId="77777777" w:rsidTr="00897193">
        <w:trPr>
          <w:cantSplit/>
          <w:tblHeader/>
        </w:trPr>
        <w:tc>
          <w:tcPr>
            <w:tcW w:w="2835" w:type="dxa"/>
          </w:tcPr>
          <w:p w14:paraId="17F258CE" w14:textId="4BDCEE04" w:rsidR="00CF72D5" w:rsidRPr="002029AF" w:rsidRDefault="00CF72D5" w:rsidP="00897193">
            <w:pPr>
              <w:pStyle w:val="ARtablecolhead"/>
            </w:pPr>
            <w:r w:rsidRPr="002029AF">
              <w:t>Total</w:t>
            </w:r>
            <w:r w:rsidR="000A5329" w:rsidRPr="002029AF">
              <w:t xml:space="preserve"> </w:t>
            </w:r>
            <w:r w:rsidRPr="002029AF">
              <w:t>energy</w:t>
            </w:r>
            <w:r w:rsidR="000A5329" w:rsidRPr="002029AF">
              <w:t xml:space="preserve"> </w:t>
            </w:r>
            <w:r w:rsidRPr="002029AF">
              <w:t>consumption</w:t>
            </w:r>
          </w:p>
        </w:tc>
        <w:tc>
          <w:tcPr>
            <w:tcW w:w="2268" w:type="dxa"/>
            <w:vAlign w:val="bottom"/>
          </w:tcPr>
          <w:p w14:paraId="47458C1C" w14:textId="77777777" w:rsidR="00CF72D5" w:rsidRPr="002029AF" w:rsidRDefault="00CF72D5" w:rsidP="00897193">
            <w:pPr>
              <w:pStyle w:val="ARtablecolheadright"/>
            </w:pPr>
            <w:r w:rsidRPr="002029AF">
              <w:t>Megajoules</w:t>
            </w:r>
          </w:p>
        </w:tc>
        <w:tc>
          <w:tcPr>
            <w:tcW w:w="2268" w:type="dxa"/>
            <w:vAlign w:val="bottom"/>
          </w:tcPr>
          <w:p w14:paraId="521CEDA1" w14:textId="77777777" w:rsidR="00CF72D5" w:rsidRPr="002029AF" w:rsidRDefault="00CF72D5" w:rsidP="00897193">
            <w:pPr>
              <w:pStyle w:val="ARtablecolheadright"/>
            </w:pPr>
            <w:r w:rsidRPr="002029AF">
              <w:t>Megajoules</w:t>
            </w:r>
          </w:p>
        </w:tc>
        <w:tc>
          <w:tcPr>
            <w:tcW w:w="2268" w:type="dxa"/>
            <w:vAlign w:val="bottom"/>
          </w:tcPr>
          <w:p w14:paraId="3AD52310" w14:textId="77777777" w:rsidR="00CF72D5" w:rsidRPr="002029AF" w:rsidRDefault="00CF72D5" w:rsidP="00897193">
            <w:pPr>
              <w:pStyle w:val="ARtablecolheadright"/>
            </w:pPr>
            <w:r w:rsidRPr="002029AF">
              <w:t>Megajoules</w:t>
            </w:r>
          </w:p>
        </w:tc>
      </w:tr>
      <w:tr w:rsidR="00CF72D5" w:rsidRPr="002029AF" w14:paraId="7BFFCBE2" w14:textId="77777777" w:rsidTr="00897193">
        <w:trPr>
          <w:cantSplit/>
        </w:trPr>
        <w:tc>
          <w:tcPr>
            <w:tcW w:w="2835" w:type="dxa"/>
          </w:tcPr>
          <w:p w14:paraId="5BD49ADD" w14:textId="77777777" w:rsidR="00CF72D5" w:rsidRPr="002029AF" w:rsidRDefault="00CF72D5" w:rsidP="00897193">
            <w:pPr>
              <w:pStyle w:val="ARtabletext"/>
            </w:pPr>
            <w:r w:rsidRPr="002029AF">
              <w:t>LPG</w:t>
            </w:r>
          </w:p>
        </w:tc>
        <w:tc>
          <w:tcPr>
            <w:tcW w:w="2268" w:type="dxa"/>
            <w:vAlign w:val="center"/>
          </w:tcPr>
          <w:p w14:paraId="064606D3" w14:textId="77777777" w:rsidR="00CF72D5" w:rsidRPr="002029AF" w:rsidRDefault="00CF72D5" w:rsidP="00897193">
            <w:pPr>
              <w:pStyle w:val="ARtabletextright"/>
            </w:pPr>
            <w:r w:rsidRPr="002029AF">
              <w:t>0</w:t>
            </w:r>
          </w:p>
        </w:tc>
        <w:tc>
          <w:tcPr>
            <w:tcW w:w="2268" w:type="dxa"/>
            <w:vAlign w:val="center"/>
          </w:tcPr>
          <w:p w14:paraId="47808DC4" w14:textId="77777777" w:rsidR="00CF72D5" w:rsidRPr="002029AF" w:rsidRDefault="00CF72D5" w:rsidP="00897193">
            <w:pPr>
              <w:pStyle w:val="ARtabletextright"/>
            </w:pPr>
            <w:r w:rsidRPr="002029AF">
              <w:t>353,621</w:t>
            </w:r>
          </w:p>
        </w:tc>
        <w:tc>
          <w:tcPr>
            <w:tcW w:w="2268" w:type="dxa"/>
            <w:vAlign w:val="center"/>
          </w:tcPr>
          <w:p w14:paraId="29CB6C20" w14:textId="77777777" w:rsidR="00CF72D5" w:rsidRPr="002029AF" w:rsidRDefault="00CF72D5" w:rsidP="00897193">
            <w:pPr>
              <w:pStyle w:val="ARtabletextright"/>
            </w:pPr>
            <w:r w:rsidRPr="002029AF">
              <w:t>2,488,685</w:t>
            </w:r>
          </w:p>
        </w:tc>
      </w:tr>
      <w:tr w:rsidR="00CF72D5" w:rsidRPr="002029AF" w14:paraId="1C426F87" w14:textId="77777777" w:rsidTr="00897193">
        <w:trPr>
          <w:cantSplit/>
        </w:trPr>
        <w:tc>
          <w:tcPr>
            <w:tcW w:w="2835" w:type="dxa"/>
          </w:tcPr>
          <w:p w14:paraId="1F3D8927" w14:textId="77777777" w:rsidR="00CF72D5" w:rsidRPr="002029AF" w:rsidRDefault="00CF72D5" w:rsidP="00897193">
            <w:pPr>
              <w:pStyle w:val="ARtabletext"/>
            </w:pPr>
            <w:r w:rsidRPr="002029AF">
              <w:t>Hybrid</w:t>
            </w:r>
          </w:p>
        </w:tc>
        <w:tc>
          <w:tcPr>
            <w:tcW w:w="2268" w:type="dxa"/>
            <w:vAlign w:val="center"/>
          </w:tcPr>
          <w:p w14:paraId="16C34DF3" w14:textId="17F3D197" w:rsidR="00CF72D5" w:rsidRPr="002029AF" w:rsidRDefault="00CF72D5" w:rsidP="00897193">
            <w:pPr>
              <w:pStyle w:val="ARtabletextright"/>
            </w:pPr>
            <w:r w:rsidRPr="002029AF">
              <w:t>12,513,196</w:t>
            </w:r>
          </w:p>
        </w:tc>
        <w:tc>
          <w:tcPr>
            <w:tcW w:w="2268" w:type="dxa"/>
            <w:vAlign w:val="center"/>
          </w:tcPr>
          <w:p w14:paraId="5D922044" w14:textId="77777777" w:rsidR="00CF72D5" w:rsidRPr="002029AF" w:rsidRDefault="00CF72D5" w:rsidP="00897193">
            <w:pPr>
              <w:pStyle w:val="ARtabletextright"/>
            </w:pPr>
            <w:r w:rsidRPr="002029AF">
              <w:t>21,353,557</w:t>
            </w:r>
          </w:p>
        </w:tc>
        <w:tc>
          <w:tcPr>
            <w:tcW w:w="2268" w:type="dxa"/>
            <w:vAlign w:val="center"/>
          </w:tcPr>
          <w:p w14:paraId="49ECCB5C" w14:textId="77777777" w:rsidR="00CF72D5" w:rsidRPr="002029AF" w:rsidRDefault="00CF72D5" w:rsidP="00897193">
            <w:pPr>
              <w:pStyle w:val="ARtabletextright"/>
            </w:pPr>
            <w:r w:rsidRPr="002029AF">
              <w:t>29,020,551</w:t>
            </w:r>
          </w:p>
        </w:tc>
      </w:tr>
      <w:tr w:rsidR="00CF72D5" w:rsidRPr="002029AF" w14:paraId="22386379" w14:textId="77777777" w:rsidTr="00897193">
        <w:trPr>
          <w:cantSplit/>
        </w:trPr>
        <w:tc>
          <w:tcPr>
            <w:tcW w:w="2835" w:type="dxa"/>
          </w:tcPr>
          <w:p w14:paraId="3BBD3F1F" w14:textId="2A81E7B5" w:rsidR="00CF72D5" w:rsidRPr="002029AF" w:rsidRDefault="00CF72D5" w:rsidP="00897193">
            <w:pPr>
              <w:pStyle w:val="ARtabletext"/>
            </w:pPr>
            <w:r w:rsidRPr="002029AF">
              <w:t>Unleaded</w:t>
            </w:r>
            <w:r w:rsidR="000A5329" w:rsidRPr="002029AF">
              <w:t xml:space="preserve"> </w:t>
            </w:r>
            <w:r w:rsidRPr="002029AF">
              <w:t>petrol</w:t>
            </w:r>
          </w:p>
        </w:tc>
        <w:tc>
          <w:tcPr>
            <w:tcW w:w="2268" w:type="dxa"/>
            <w:vAlign w:val="center"/>
          </w:tcPr>
          <w:p w14:paraId="662B6120" w14:textId="4E112310" w:rsidR="00CF72D5" w:rsidRPr="002029AF" w:rsidRDefault="00CF72D5" w:rsidP="00897193">
            <w:pPr>
              <w:pStyle w:val="ARtabletextright"/>
            </w:pPr>
            <w:r w:rsidRPr="002029AF">
              <w:t>56,413,132</w:t>
            </w:r>
          </w:p>
        </w:tc>
        <w:tc>
          <w:tcPr>
            <w:tcW w:w="2268" w:type="dxa"/>
            <w:vAlign w:val="center"/>
          </w:tcPr>
          <w:p w14:paraId="2939F2CD" w14:textId="77777777" w:rsidR="00CF72D5" w:rsidRPr="002029AF" w:rsidRDefault="00CF72D5" w:rsidP="00897193">
            <w:pPr>
              <w:pStyle w:val="ARtabletextright"/>
            </w:pPr>
            <w:r w:rsidRPr="002029AF">
              <w:t>73,557,086</w:t>
            </w:r>
          </w:p>
        </w:tc>
        <w:tc>
          <w:tcPr>
            <w:tcW w:w="2268" w:type="dxa"/>
            <w:vAlign w:val="center"/>
          </w:tcPr>
          <w:p w14:paraId="2F2464B6" w14:textId="77777777" w:rsidR="00CF72D5" w:rsidRPr="002029AF" w:rsidRDefault="00CF72D5" w:rsidP="00897193">
            <w:pPr>
              <w:pStyle w:val="ARtabletextright"/>
            </w:pPr>
            <w:r w:rsidRPr="002029AF">
              <w:t>50,861,143</w:t>
            </w:r>
          </w:p>
        </w:tc>
      </w:tr>
      <w:tr w:rsidR="00CF72D5" w:rsidRPr="002029AF" w14:paraId="4E6BBB67" w14:textId="77777777" w:rsidTr="00897193">
        <w:trPr>
          <w:cantSplit/>
        </w:trPr>
        <w:tc>
          <w:tcPr>
            <w:tcW w:w="2835" w:type="dxa"/>
          </w:tcPr>
          <w:p w14:paraId="684CEC20" w14:textId="77777777" w:rsidR="00CF72D5" w:rsidRPr="002029AF" w:rsidRDefault="00CF72D5" w:rsidP="00897193">
            <w:pPr>
              <w:pStyle w:val="ARtabletext"/>
            </w:pPr>
            <w:r w:rsidRPr="002029AF">
              <w:t>Diesel</w:t>
            </w:r>
          </w:p>
        </w:tc>
        <w:tc>
          <w:tcPr>
            <w:tcW w:w="2268" w:type="dxa"/>
            <w:vAlign w:val="center"/>
          </w:tcPr>
          <w:p w14:paraId="6A0B794A" w14:textId="0F1A01AE" w:rsidR="00CF72D5" w:rsidRPr="002029AF" w:rsidRDefault="00CF72D5" w:rsidP="00897193">
            <w:pPr>
              <w:pStyle w:val="ARtabletextright"/>
            </w:pPr>
            <w:r w:rsidRPr="002029AF">
              <w:t>15,315,737</w:t>
            </w:r>
          </w:p>
        </w:tc>
        <w:tc>
          <w:tcPr>
            <w:tcW w:w="2268" w:type="dxa"/>
            <w:vAlign w:val="center"/>
          </w:tcPr>
          <w:p w14:paraId="5538FAC7" w14:textId="77777777" w:rsidR="00CF72D5" w:rsidRPr="002029AF" w:rsidRDefault="00CF72D5" w:rsidP="00897193">
            <w:pPr>
              <w:pStyle w:val="ARtabletextright"/>
            </w:pPr>
            <w:r w:rsidRPr="002029AF">
              <w:t>30,363,493</w:t>
            </w:r>
          </w:p>
        </w:tc>
        <w:tc>
          <w:tcPr>
            <w:tcW w:w="2268" w:type="dxa"/>
            <w:vAlign w:val="center"/>
          </w:tcPr>
          <w:p w14:paraId="05F9778B" w14:textId="77777777" w:rsidR="00CF72D5" w:rsidRPr="002029AF" w:rsidRDefault="00CF72D5" w:rsidP="00897193">
            <w:pPr>
              <w:pStyle w:val="ARtabletextright"/>
            </w:pPr>
            <w:r w:rsidRPr="002029AF">
              <w:t>35,125,363</w:t>
            </w:r>
          </w:p>
        </w:tc>
      </w:tr>
      <w:tr w:rsidR="00CF72D5" w:rsidRPr="002029AF" w14:paraId="4833EBF9" w14:textId="77777777" w:rsidTr="00897193">
        <w:trPr>
          <w:cantSplit/>
        </w:trPr>
        <w:tc>
          <w:tcPr>
            <w:tcW w:w="2835" w:type="dxa"/>
          </w:tcPr>
          <w:p w14:paraId="16014932" w14:textId="29EE1F0C" w:rsidR="00CF72D5" w:rsidRPr="002029AF" w:rsidRDefault="00CF72D5" w:rsidP="00897193">
            <w:pPr>
              <w:pStyle w:val="ARtabletext"/>
            </w:pPr>
            <w:r w:rsidRPr="002029AF">
              <w:t>State</w:t>
            </w:r>
            <w:r w:rsidR="000A5329" w:rsidRPr="002029AF">
              <w:t xml:space="preserve"> </w:t>
            </w:r>
            <w:r w:rsidRPr="002029AF">
              <w:t>government</w:t>
            </w:r>
            <w:r w:rsidR="000A5329" w:rsidRPr="002029AF">
              <w:t xml:space="preserve"> </w:t>
            </w:r>
            <w:r w:rsidRPr="002029AF">
              <w:t>vehicle</w:t>
            </w:r>
            <w:r w:rsidR="000A5329" w:rsidRPr="002029AF">
              <w:t xml:space="preserve"> </w:t>
            </w:r>
            <w:r w:rsidRPr="002029AF">
              <w:t>pool</w:t>
            </w:r>
          </w:p>
        </w:tc>
        <w:tc>
          <w:tcPr>
            <w:tcW w:w="2268" w:type="dxa"/>
            <w:vAlign w:val="center"/>
          </w:tcPr>
          <w:p w14:paraId="4A61B06C" w14:textId="5FA71BC5" w:rsidR="00CF72D5" w:rsidRPr="002029AF" w:rsidRDefault="00CF72D5" w:rsidP="00897193">
            <w:pPr>
              <w:pStyle w:val="ARtabletextright"/>
            </w:pPr>
            <w:r w:rsidRPr="002029AF">
              <w:t>2,168,051</w:t>
            </w:r>
          </w:p>
        </w:tc>
        <w:tc>
          <w:tcPr>
            <w:tcW w:w="2268" w:type="dxa"/>
            <w:vAlign w:val="center"/>
          </w:tcPr>
          <w:p w14:paraId="20B9EDFC" w14:textId="77777777" w:rsidR="00CF72D5" w:rsidRPr="002029AF" w:rsidRDefault="00CF72D5" w:rsidP="00897193">
            <w:pPr>
              <w:pStyle w:val="ARtabletextright"/>
            </w:pPr>
            <w:r w:rsidRPr="002029AF">
              <w:t>2,090,800</w:t>
            </w:r>
          </w:p>
        </w:tc>
        <w:tc>
          <w:tcPr>
            <w:tcW w:w="2268" w:type="dxa"/>
            <w:vAlign w:val="center"/>
          </w:tcPr>
          <w:p w14:paraId="17EBB2B8" w14:textId="77777777" w:rsidR="00CF72D5" w:rsidRPr="002029AF" w:rsidRDefault="00CF72D5" w:rsidP="00897193">
            <w:pPr>
              <w:pStyle w:val="ARtabletextright"/>
            </w:pPr>
            <w:r w:rsidRPr="002029AF">
              <w:t>1,816,493</w:t>
            </w:r>
          </w:p>
        </w:tc>
      </w:tr>
      <w:tr w:rsidR="00CF72D5" w:rsidRPr="002029AF" w14:paraId="1C7E806C" w14:textId="77777777" w:rsidTr="00897193">
        <w:trPr>
          <w:cantSplit/>
        </w:trPr>
        <w:tc>
          <w:tcPr>
            <w:tcW w:w="2835" w:type="dxa"/>
          </w:tcPr>
          <w:p w14:paraId="0AF092F7" w14:textId="77777777" w:rsidR="00CF72D5" w:rsidRPr="002029AF" w:rsidRDefault="00CF72D5" w:rsidP="00897193">
            <w:pPr>
              <w:pStyle w:val="ARtabletext"/>
              <w:rPr>
                <w:b/>
              </w:rPr>
            </w:pPr>
            <w:r w:rsidRPr="002029AF">
              <w:rPr>
                <w:b/>
              </w:rPr>
              <w:t>Total</w:t>
            </w:r>
          </w:p>
        </w:tc>
        <w:tc>
          <w:tcPr>
            <w:tcW w:w="2268" w:type="dxa"/>
            <w:vAlign w:val="center"/>
          </w:tcPr>
          <w:p w14:paraId="4A42C999" w14:textId="74729D35" w:rsidR="00CF72D5" w:rsidRPr="002029AF" w:rsidRDefault="00CF72D5" w:rsidP="00897193">
            <w:pPr>
              <w:pStyle w:val="ARtabletextrightbold"/>
            </w:pPr>
            <w:r w:rsidRPr="002029AF">
              <w:t>86,410,116</w:t>
            </w:r>
          </w:p>
        </w:tc>
        <w:tc>
          <w:tcPr>
            <w:tcW w:w="2268" w:type="dxa"/>
            <w:vAlign w:val="center"/>
          </w:tcPr>
          <w:p w14:paraId="7F3CD170" w14:textId="77777777" w:rsidR="00CF72D5" w:rsidRPr="002029AF" w:rsidRDefault="00CF72D5" w:rsidP="00897193">
            <w:pPr>
              <w:pStyle w:val="ARtabletextrightbold"/>
            </w:pPr>
            <w:r w:rsidRPr="002029AF">
              <w:t>127,718,558</w:t>
            </w:r>
          </w:p>
        </w:tc>
        <w:tc>
          <w:tcPr>
            <w:tcW w:w="2268" w:type="dxa"/>
            <w:vAlign w:val="center"/>
          </w:tcPr>
          <w:p w14:paraId="5B3BB43D" w14:textId="77777777" w:rsidR="00CF72D5" w:rsidRPr="002029AF" w:rsidRDefault="00CF72D5" w:rsidP="00897193">
            <w:pPr>
              <w:pStyle w:val="ARtabletextrightbold"/>
            </w:pPr>
            <w:r w:rsidRPr="002029AF">
              <w:t>119,312,235</w:t>
            </w:r>
          </w:p>
        </w:tc>
      </w:tr>
    </w:tbl>
    <w:p w14:paraId="3C11772B" w14:textId="77777777" w:rsidR="00CF72D5" w:rsidRPr="002029AF" w:rsidRDefault="00CF72D5" w:rsidP="00897193">
      <w:pPr>
        <w:pStyle w:val="ARbody"/>
      </w:pP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Layout w:type="fixed"/>
        <w:tblCellMar>
          <w:left w:w="0" w:type="dxa"/>
        </w:tblCellMar>
        <w:tblLook w:val="00A0" w:firstRow="1" w:lastRow="0" w:firstColumn="1" w:lastColumn="0" w:noHBand="0" w:noVBand="0"/>
      </w:tblPr>
      <w:tblGrid>
        <w:gridCol w:w="2835"/>
        <w:gridCol w:w="2268"/>
        <w:gridCol w:w="2268"/>
        <w:gridCol w:w="2268"/>
      </w:tblGrid>
      <w:tr w:rsidR="00CF72D5" w:rsidRPr="002029AF" w14:paraId="40B358F5" w14:textId="77777777" w:rsidTr="00897193">
        <w:trPr>
          <w:cantSplit/>
          <w:trHeight w:val="270"/>
          <w:tblHeader/>
        </w:trPr>
        <w:tc>
          <w:tcPr>
            <w:tcW w:w="2835" w:type="dxa"/>
            <w:vAlign w:val="bottom"/>
          </w:tcPr>
          <w:p w14:paraId="05156E7D" w14:textId="77777777" w:rsidR="00CF72D5" w:rsidRPr="002029AF" w:rsidRDefault="00CF72D5" w:rsidP="00325283">
            <w:pPr>
              <w:pStyle w:val="ARtablecolhead"/>
              <w:pageBreakBefore/>
            </w:pPr>
            <w:r w:rsidRPr="002029AF">
              <w:lastRenderedPageBreak/>
              <w:t>Description</w:t>
            </w:r>
          </w:p>
        </w:tc>
        <w:tc>
          <w:tcPr>
            <w:tcW w:w="2268" w:type="dxa"/>
            <w:vAlign w:val="center"/>
          </w:tcPr>
          <w:p w14:paraId="223C57ED" w14:textId="74B648C7" w:rsidR="00CF72D5" w:rsidRPr="002029AF" w:rsidRDefault="00CF72D5" w:rsidP="00897193">
            <w:pPr>
              <w:pStyle w:val="ARtablecolheadright"/>
            </w:pPr>
            <w:r w:rsidRPr="002029AF">
              <w:t>2019–20</w:t>
            </w:r>
            <w:r w:rsidR="000A5329" w:rsidRPr="002029AF">
              <w:t xml:space="preserve"> </w:t>
            </w:r>
            <w:r w:rsidRPr="002029AF">
              <w:t>estimate</w:t>
            </w:r>
          </w:p>
        </w:tc>
        <w:tc>
          <w:tcPr>
            <w:tcW w:w="2268" w:type="dxa"/>
            <w:vAlign w:val="center"/>
          </w:tcPr>
          <w:p w14:paraId="0005E084" w14:textId="3EEABC4E" w:rsidR="00CF72D5" w:rsidRPr="002029AF" w:rsidRDefault="00CF72D5" w:rsidP="00897193">
            <w:pPr>
              <w:pStyle w:val="ARtablecolheadright"/>
            </w:pPr>
            <w:r w:rsidRPr="002029AF">
              <w:t>2018–19</w:t>
            </w:r>
            <w:r w:rsidR="000A5329" w:rsidRPr="002029AF">
              <w:t xml:space="preserve"> </w:t>
            </w:r>
            <w:r w:rsidRPr="002029AF">
              <w:t>estimate</w:t>
            </w:r>
          </w:p>
        </w:tc>
        <w:tc>
          <w:tcPr>
            <w:tcW w:w="2268" w:type="dxa"/>
            <w:vAlign w:val="center"/>
          </w:tcPr>
          <w:p w14:paraId="7C82CB04" w14:textId="1022DC0C" w:rsidR="00CF72D5" w:rsidRPr="002029AF" w:rsidRDefault="00CF72D5" w:rsidP="00897193">
            <w:pPr>
              <w:pStyle w:val="ARtablecolheadright"/>
            </w:pPr>
            <w:r w:rsidRPr="002029AF">
              <w:t>2017–18</w:t>
            </w:r>
            <w:r w:rsidR="000A5329" w:rsidRPr="002029AF">
              <w:t xml:space="preserve"> </w:t>
            </w:r>
            <w:r w:rsidRPr="002029AF">
              <w:t>estimate</w:t>
            </w:r>
          </w:p>
        </w:tc>
      </w:tr>
      <w:tr w:rsidR="00CF72D5" w:rsidRPr="002029AF" w14:paraId="4E85176D" w14:textId="77777777" w:rsidTr="00897193">
        <w:trPr>
          <w:cantSplit/>
          <w:trHeight w:val="270"/>
          <w:tblHeader/>
        </w:trPr>
        <w:tc>
          <w:tcPr>
            <w:tcW w:w="2835" w:type="dxa"/>
          </w:tcPr>
          <w:p w14:paraId="3B68840C" w14:textId="29559CA9" w:rsidR="00CF72D5" w:rsidRPr="002029AF" w:rsidRDefault="00CF72D5" w:rsidP="00897193">
            <w:pPr>
              <w:pStyle w:val="ARtablecolhead"/>
            </w:pPr>
            <w:r w:rsidRPr="002029AF">
              <w:t>Total</w:t>
            </w:r>
            <w:r w:rsidR="000A5329" w:rsidRPr="002029AF">
              <w:t xml:space="preserve"> </w:t>
            </w:r>
            <w:r w:rsidRPr="002029AF">
              <w:t>vehicle</w:t>
            </w:r>
            <w:r w:rsidR="000A5329" w:rsidRPr="002029AF">
              <w:t xml:space="preserve"> </w:t>
            </w:r>
            <w:r w:rsidRPr="002029AF">
              <w:t>travel</w:t>
            </w:r>
          </w:p>
        </w:tc>
        <w:tc>
          <w:tcPr>
            <w:tcW w:w="2268" w:type="dxa"/>
            <w:vAlign w:val="bottom"/>
          </w:tcPr>
          <w:p w14:paraId="339EA06B" w14:textId="77777777" w:rsidR="00CF72D5" w:rsidRPr="002029AF" w:rsidRDefault="00CF72D5" w:rsidP="00897193">
            <w:pPr>
              <w:pStyle w:val="ARtablecolheadright"/>
            </w:pPr>
            <w:r w:rsidRPr="002029AF">
              <w:t>Kilometres</w:t>
            </w:r>
          </w:p>
        </w:tc>
        <w:tc>
          <w:tcPr>
            <w:tcW w:w="2268" w:type="dxa"/>
            <w:vAlign w:val="bottom"/>
          </w:tcPr>
          <w:p w14:paraId="677CFD77" w14:textId="77777777" w:rsidR="00CF72D5" w:rsidRPr="002029AF" w:rsidRDefault="00CF72D5" w:rsidP="00897193">
            <w:pPr>
              <w:pStyle w:val="ARtablecolheadright"/>
            </w:pPr>
            <w:r w:rsidRPr="002029AF">
              <w:t>Kilometres</w:t>
            </w:r>
          </w:p>
        </w:tc>
        <w:tc>
          <w:tcPr>
            <w:tcW w:w="2268" w:type="dxa"/>
            <w:vAlign w:val="bottom"/>
          </w:tcPr>
          <w:p w14:paraId="41149AD8" w14:textId="77777777" w:rsidR="00CF72D5" w:rsidRPr="002029AF" w:rsidRDefault="00CF72D5" w:rsidP="00897193">
            <w:pPr>
              <w:pStyle w:val="ARtablecolheadright"/>
            </w:pPr>
            <w:r w:rsidRPr="002029AF">
              <w:t>Kilometres</w:t>
            </w:r>
          </w:p>
        </w:tc>
      </w:tr>
      <w:tr w:rsidR="00CF72D5" w:rsidRPr="002029AF" w14:paraId="65BE47B7" w14:textId="77777777" w:rsidTr="00897193">
        <w:trPr>
          <w:cantSplit/>
          <w:trHeight w:val="270"/>
        </w:trPr>
        <w:tc>
          <w:tcPr>
            <w:tcW w:w="2835" w:type="dxa"/>
          </w:tcPr>
          <w:p w14:paraId="62E08AF6" w14:textId="77777777" w:rsidR="00CF72D5" w:rsidRPr="002029AF" w:rsidRDefault="00CF72D5" w:rsidP="00897193">
            <w:pPr>
              <w:pStyle w:val="ARtabletext"/>
            </w:pPr>
            <w:r w:rsidRPr="002029AF">
              <w:t>LPG</w:t>
            </w:r>
          </w:p>
        </w:tc>
        <w:tc>
          <w:tcPr>
            <w:tcW w:w="2268" w:type="dxa"/>
            <w:vAlign w:val="center"/>
          </w:tcPr>
          <w:p w14:paraId="5B3FDB74" w14:textId="77777777" w:rsidR="00CF72D5" w:rsidRPr="002029AF" w:rsidRDefault="00CF72D5" w:rsidP="00897193">
            <w:pPr>
              <w:pStyle w:val="ARtabletextright"/>
            </w:pPr>
            <w:r w:rsidRPr="002029AF">
              <w:t>0</w:t>
            </w:r>
          </w:p>
        </w:tc>
        <w:tc>
          <w:tcPr>
            <w:tcW w:w="2268" w:type="dxa"/>
            <w:vAlign w:val="center"/>
          </w:tcPr>
          <w:p w14:paraId="3BD2D40C" w14:textId="77777777" w:rsidR="00CF72D5" w:rsidRPr="002029AF" w:rsidRDefault="00CF72D5" w:rsidP="00897193">
            <w:pPr>
              <w:pStyle w:val="ARtabletextright"/>
            </w:pPr>
            <w:r w:rsidRPr="002029AF">
              <w:t>95,765</w:t>
            </w:r>
          </w:p>
        </w:tc>
        <w:tc>
          <w:tcPr>
            <w:tcW w:w="2268" w:type="dxa"/>
            <w:vAlign w:val="center"/>
          </w:tcPr>
          <w:p w14:paraId="221DA136" w14:textId="77777777" w:rsidR="00CF72D5" w:rsidRPr="002029AF" w:rsidRDefault="00CF72D5" w:rsidP="00897193">
            <w:pPr>
              <w:pStyle w:val="ARtabletextright"/>
            </w:pPr>
            <w:r w:rsidRPr="002029AF">
              <w:t>683,288</w:t>
            </w:r>
          </w:p>
        </w:tc>
      </w:tr>
      <w:tr w:rsidR="00CF72D5" w:rsidRPr="002029AF" w14:paraId="79C704D6" w14:textId="77777777" w:rsidTr="00897193">
        <w:trPr>
          <w:cantSplit/>
          <w:trHeight w:val="270"/>
        </w:trPr>
        <w:tc>
          <w:tcPr>
            <w:tcW w:w="2835" w:type="dxa"/>
          </w:tcPr>
          <w:p w14:paraId="4FD23309" w14:textId="77777777" w:rsidR="00CF72D5" w:rsidRPr="002029AF" w:rsidRDefault="00CF72D5" w:rsidP="00897193">
            <w:pPr>
              <w:pStyle w:val="ARtabletext"/>
            </w:pPr>
            <w:r w:rsidRPr="002029AF">
              <w:t>Hybrid</w:t>
            </w:r>
          </w:p>
        </w:tc>
        <w:tc>
          <w:tcPr>
            <w:tcW w:w="2268" w:type="dxa"/>
            <w:vAlign w:val="center"/>
          </w:tcPr>
          <w:p w14:paraId="4DFCCE44" w14:textId="77777777" w:rsidR="00CF72D5" w:rsidRPr="002029AF" w:rsidRDefault="00CF72D5" w:rsidP="00897193">
            <w:pPr>
              <w:pStyle w:val="ARtabletextright"/>
            </w:pPr>
            <w:r w:rsidRPr="002029AF">
              <w:t>7,665,511</w:t>
            </w:r>
          </w:p>
        </w:tc>
        <w:tc>
          <w:tcPr>
            <w:tcW w:w="2268" w:type="dxa"/>
            <w:vAlign w:val="center"/>
          </w:tcPr>
          <w:p w14:paraId="7681D30D" w14:textId="77777777" w:rsidR="00CF72D5" w:rsidRPr="002029AF" w:rsidRDefault="00CF72D5" w:rsidP="00897193">
            <w:pPr>
              <w:pStyle w:val="ARtabletextright"/>
            </w:pPr>
            <w:r w:rsidRPr="002029AF">
              <w:t>9,995,318</w:t>
            </w:r>
          </w:p>
        </w:tc>
        <w:tc>
          <w:tcPr>
            <w:tcW w:w="2268" w:type="dxa"/>
            <w:vAlign w:val="center"/>
          </w:tcPr>
          <w:p w14:paraId="6D8A9D72" w14:textId="77777777" w:rsidR="00CF72D5" w:rsidRPr="002029AF" w:rsidRDefault="00CF72D5" w:rsidP="00897193">
            <w:pPr>
              <w:pStyle w:val="ARtabletextright"/>
            </w:pPr>
            <w:r w:rsidRPr="002029AF">
              <w:t>13,362,360</w:t>
            </w:r>
          </w:p>
        </w:tc>
      </w:tr>
      <w:tr w:rsidR="00CF72D5" w:rsidRPr="002029AF" w14:paraId="0316951D" w14:textId="77777777" w:rsidTr="00897193">
        <w:trPr>
          <w:cantSplit/>
          <w:trHeight w:val="270"/>
        </w:trPr>
        <w:tc>
          <w:tcPr>
            <w:tcW w:w="2835" w:type="dxa"/>
          </w:tcPr>
          <w:p w14:paraId="631191A2" w14:textId="2EDA8669" w:rsidR="00CF72D5" w:rsidRPr="002029AF" w:rsidRDefault="00CF72D5" w:rsidP="00897193">
            <w:pPr>
              <w:pStyle w:val="ARtabletext"/>
            </w:pPr>
            <w:r w:rsidRPr="002029AF">
              <w:t>Unleaded</w:t>
            </w:r>
            <w:r w:rsidR="000A5329" w:rsidRPr="002029AF">
              <w:t xml:space="preserve"> </w:t>
            </w:r>
            <w:r w:rsidRPr="002029AF">
              <w:t>petrol</w:t>
            </w:r>
          </w:p>
        </w:tc>
        <w:tc>
          <w:tcPr>
            <w:tcW w:w="2268" w:type="dxa"/>
            <w:vAlign w:val="center"/>
          </w:tcPr>
          <w:p w14:paraId="340CD27D" w14:textId="77777777" w:rsidR="00CF72D5" w:rsidRPr="002029AF" w:rsidRDefault="00CF72D5" w:rsidP="00897193">
            <w:pPr>
              <w:pStyle w:val="ARtabletextright"/>
            </w:pPr>
            <w:r w:rsidRPr="002029AF">
              <w:t>14,280,192</w:t>
            </w:r>
          </w:p>
        </w:tc>
        <w:tc>
          <w:tcPr>
            <w:tcW w:w="2268" w:type="dxa"/>
            <w:vAlign w:val="center"/>
          </w:tcPr>
          <w:p w14:paraId="6AF3C8B2" w14:textId="77777777" w:rsidR="00CF72D5" w:rsidRPr="002029AF" w:rsidRDefault="00CF72D5" w:rsidP="00897193">
            <w:pPr>
              <w:pStyle w:val="ARtabletextright"/>
            </w:pPr>
            <w:r w:rsidRPr="002029AF">
              <w:t>19,433,669</w:t>
            </w:r>
          </w:p>
        </w:tc>
        <w:tc>
          <w:tcPr>
            <w:tcW w:w="2268" w:type="dxa"/>
            <w:vAlign w:val="center"/>
          </w:tcPr>
          <w:p w14:paraId="256732DA" w14:textId="77777777" w:rsidR="00CF72D5" w:rsidRPr="002029AF" w:rsidRDefault="00CF72D5" w:rsidP="00897193">
            <w:pPr>
              <w:pStyle w:val="ARtabletextright"/>
            </w:pPr>
            <w:r w:rsidRPr="002029AF">
              <w:t>12,035,131</w:t>
            </w:r>
          </w:p>
        </w:tc>
      </w:tr>
      <w:tr w:rsidR="00CF72D5" w:rsidRPr="002029AF" w14:paraId="073F2B25" w14:textId="77777777" w:rsidTr="00897193">
        <w:trPr>
          <w:cantSplit/>
          <w:trHeight w:val="270"/>
        </w:trPr>
        <w:tc>
          <w:tcPr>
            <w:tcW w:w="2835" w:type="dxa"/>
          </w:tcPr>
          <w:p w14:paraId="14632AB1" w14:textId="77777777" w:rsidR="00CF72D5" w:rsidRPr="002029AF" w:rsidRDefault="00CF72D5" w:rsidP="00897193">
            <w:pPr>
              <w:pStyle w:val="ARtabletext"/>
            </w:pPr>
            <w:r w:rsidRPr="002029AF">
              <w:t>Diesel</w:t>
            </w:r>
          </w:p>
        </w:tc>
        <w:tc>
          <w:tcPr>
            <w:tcW w:w="2268" w:type="dxa"/>
            <w:vAlign w:val="center"/>
          </w:tcPr>
          <w:p w14:paraId="3B6981C6" w14:textId="77777777" w:rsidR="00CF72D5" w:rsidRPr="002029AF" w:rsidRDefault="00CF72D5" w:rsidP="00897193">
            <w:pPr>
              <w:pStyle w:val="ARtabletextright"/>
            </w:pPr>
            <w:r w:rsidRPr="002029AF">
              <w:t>3,848,963</w:t>
            </w:r>
          </w:p>
        </w:tc>
        <w:tc>
          <w:tcPr>
            <w:tcW w:w="2268" w:type="dxa"/>
            <w:vAlign w:val="center"/>
          </w:tcPr>
          <w:p w14:paraId="59A45F9F" w14:textId="77777777" w:rsidR="00CF72D5" w:rsidRPr="002029AF" w:rsidRDefault="00CF72D5" w:rsidP="00897193">
            <w:pPr>
              <w:pStyle w:val="ARtabletextright"/>
            </w:pPr>
            <w:r w:rsidRPr="002029AF">
              <w:t>7,728,698</w:t>
            </w:r>
          </w:p>
        </w:tc>
        <w:tc>
          <w:tcPr>
            <w:tcW w:w="2268" w:type="dxa"/>
            <w:vAlign w:val="center"/>
          </w:tcPr>
          <w:p w14:paraId="11F536AC" w14:textId="77777777" w:rsidR="00CF72D5" w:rsidRPr="002029AF" w:rsidRDefault="00CF72D5" w:rsidP="00897193">
            <w:pPr>
              <w:pStyle w:val="ARtabletextright"/>
            </w:pPr>
            <w:r w:rsidRPr="002029AF">
              <w:t>9,634,247</w:t>
            </w:r>
          </w:p>
        </w:tc>
      </w:tr>
      <w:tr w:rsidR="00CF72D5" w:rsidRPr="002029AF" w14:paraId="0DD4B3CD" w14:textId="77777777" w:rsidTr="004F632C">
        <w:trPr>
          <w:cantSplit/>
          <w:trHeight w:val="270"/>
        </w:trPr>
        <w:tc>
          <w:tcPr>
            <w:tcW w:w="2835" w:type="dxa"/>
            <w:tcBorders>
              <w:bottom w:val="single" w:sz="4" w:space="0" w:color="auto"/>
            </w:tcBorders>
          </w:tcPr>
          <w:p w14:paraId="1D66E8EF" w14:textId="2693617C" w:rsidR="00CF72D5" w:rsidRPr="002029AF" w:rsidRDefault="00CF72D5" w:rsidP="00897193">
            <w:pPr>
              <w:pStyle w:val="ARtabletext"/>
            </w:pPr>
            <w:r w:rsidRPr="002029AF">
              <w:t>State</w:t>
            </w:r>
            <w:r w:rsidR="000A5329" w:rsidRPr="002029AF">
              <w:t xml:space="preserve"> </w:t>
            </w:r>
            <w:r w:rsidRPr="002029AF">
              <w:t>government</w:t>
            </w:r>
            <w:r w:rsidR="000A5329" w:rsidRPr="002029AF">
              <w:t xml:space="preserve"> </w:t>
            </w:r>
            <w:r w:rsidRPr="002029AF">
              <w:t>vehicle</w:t>
            </w:r>
            <w:r w:rsidR="000A5329" w:rsidRPr="002029AF">
              <w:t xml:space="preserve"> </w:t>
            </w:r>
            <w:r w:rsidRPr="002029AF">
              <w:t>pool</w:t>
            </w:r>
          </w:p>
        </w:tc>
        <w:tc>
          <w:tcPr>
            <w:tcW w:w="2268" w:type="dxa"/>
            <w:tcBorders>
              <w:bottom w:val="single" w:sz="4" w:space="0" w:color="auto"/>
            </w:tcBorders>
            <w:vAlign w:val="center"/>
          </w:tcPr>
          <w:p w14:paraId="1002DF09" w14:textId="070C7FD7" w:rsidR="00CF72D5" w:rsidRPr="002029AF" w:rsidRDefault="00CF72D5" w:rsidP="00897193">
            <w:pPr>
              <w:pStyle w:val="ARtabletextright"/>
            </w:pPr>
            <w:r w:rsidRPr="002029AF">
              <w:t>840,085</w:t>
            </w:r>
          </w:p>
        </w:tc>
        <w:tc>
          <w:tcPr>
            <w:tcW w:w="2268" w:type="dxa"/>
            <w:tcBorders>
              <w:bottom w:val="single" w:sz="4" w:space="0" w:color="auto"/>
            </w:tcBorders>
            <w:vAlign w:val="center"/>
          </w:tcPr>
          <w:p w14:paraId="59331750" w14:textId="77777777" w:rsidR="00CF72D5" w:rsidRPr="002029AF" w:rsidRDefault="00CF72D5" w:rsidP="00897193">
            <w:pPr>
              <w:pStyle w:val="ARtabletextright"/>
            </w:pPr>
            <w:r w:rsidRPr="002029AF">
              <w:t>830,763</w:t>
            </w:r>
          </w:p>
        </w:tc>
        <w:tc>
          <w:tcPr>
            <w:tcW w:w="2268" w:type="dxa"/>
            <w:tcBorders>
              <w:bottom w:val="single" w:sz="4" w:space="0" w:color="auto"/>
            </w:tcBorders>
            <w:vAlign w:val="center"/>
          </w:tcPr>
          <w:p w14:paraId="18123700" w14:textId="77777777" w:rsidR="00CF72D5" w:rsidRPr="002029AF" w:rsidRDefault="00CF72D5" w:rsidP="00897193">
            <w:pPr>
              <w:pStyle w:val="ARtabletextright"/>
            </w:pPr>
            <w:r w:rsidRPr="002029AF">
              <w:t>679,268</w:t>
            </w:r>
          </w:p>
        </w:tc>
      </w:tr>
      <w:tr w:rsidR="00CF72D5" w:rsidRPr="002029AF" w14:paraId="00ABA250" w14:textId="77777777" w:rsidTr="004F632C">
        <w:trPr>
          <w:cantSplit/>
          <w:trHeight w:val="270"/>
        </w:trPr>
        <w:tc>
          <w:tcPr>
            <w:tcW w:w="2835" w:type="dxa"/>
            <w:tcBorders>
              <w:top w:val="single" w:sz="4" w:space="0" w:color="auto"/>
              <w:bottom w:val="single" w:sz="4" w:space="0" w:color="auto"/>
            </w:tcBorders>
          </w:tcPr>
          <w:p w14:paraId="340266D0" w14:textId="77777777" w:rsidR="00CF72D5" w:rsidRPr="002029AF" w:rsidRDefault="00CF72D5" w:rsidP="00897193">
            <w:pPr>
              <w:pStyle w:val="ARtabletext"/>
              <w:rPr>
                <w:b/>
              </w:rPr>
            </w:pPr>
            <w:r w:rsidRPr="002029AF">
              <w:rPr>
                <w:b/>
              </w:rPr>
              <w:t>Total</w:t>
            </w:r>
          </w:p>
        </w:tc>
        <w:tc>
          <w:tcPr>
            <w:tcW w:w="2268" w:type="dxa"/>
            <w:tcBorders>
              <w:top w:val="single" w:sz="4" w:space="0" w:color="auto"/>
              <w:bottom w:val="single" w:sz="4" w:space="0" w:color="auto"/>
            </w:tcBorders>
            <w:vAlign w:val="center"/>
          </w:tcPr>
          <w:p w14:paraId="5B2EFAE6" w14:textId="77777777" w:rsidR="00CF72D5" w:rsidRPr="002029AF" w:rsidRDefault="00CF72D5" w:rsidP="00897193">
            <w:pPr>
              <w:pStyle w:val="ARtabletextrightbold"/>
            </w:pPr>
            <w:r w:rsidRPr="002029AF">
              <w:t>26,634,751</w:t>
            </w:r>
          </w:p>
        </w:tc>
        <w:tc>
          <w:tcPr>
            <w:tcW w:w="2268" w:type="dxa"/>
            <w:tcBorders>
              <w:top w:val="single" w:sz="4" w:space="0" w:color="auto"/>
              <w:bottom w:val="single" w:sz="4" w:space="0" w:color="auto"/>
            </w:tcBorders>
            <w:vAlign w:val="center"/>
          </w:tcPr>
          <w:p w14:paraId="345C3261" w14:textId="77777777" w:rsidR="00CF72D5" w:rsidRPr="002029AF" w:rsidRDefault="00CF72D5" w:rsidP="00897193">
            <w:pPr>
              <w:pStyle w:val="ARtabletextrightbold"/>
            </w:pPr>
            <w:r w:rsidRPr="002029AF">
              <w:t>38,084,213</w:t>
            </w:r>
          </w:p>
        </w:tc>
        <w:tc>
          <w:tcPr>
            <w:tcW w:w="2268" w:type="dxa"/>
            <w:tcBorders>
              <w:top w:val="single" w:sz="4" w:space="0" w:color="auto"/>
              <w:bottom w:val="single" w:sz="4" w:space="0" w:color="auto"/>
            </w:tcBorders>
            <w:vAlign w:val="center"/>
          </w:tcPr>
          <w:p w14:paraId="5005917F" w14:textId="77777777" w:rsidR="00CF72D5" w:rsidRPr="002029AF" w:rsidRDefault="00CF72D5" w:rsidP="00897193">
            <w:pPr>
              <w:pStyle w:val="ARtabletextrightbold"/>
            </w:pPr>
            <w:r w:rsidRPr="002029AF">
              <w:t>36,394,294</w:t>
            </w:r>
          </w:p>
        </w:tc>
      </w:tr>
    </w:tbl>
    <w:p w14:paraId="537E7D20" w14:textId="77777777" w:rsidR="00CF72D5" w:rsidRPr="002029AF" w:rsidRDefault="00CF72D5" w:rsidP="00897193">
      <w:pPr>
        <w:pStyle w:val="ARbody"/>
      </w:pP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Layout w:type="fixed"/>
        <w:tblCellMar>
          <w:left w:w="0" w:type="dxa"/>
        </w:tblCellMar>
        <w:tblLook w:val="00A0" w:firstRow="1" w:lastRow="0" w:firstColumn="1" w:lastColumn="0" w:noHBand="0" w:noVBand="0"/>
      </w:tblPr>
      <w:tblGrid>
        <w:gridCol w:w="2835"/>
        <w:gridCol w:w="2268"/>
        <w:gridCol w:w="2268"/>
        <w:gridCol w:w="2268"/>
      </w:tblGrid>
      <w:tr w:rsidR="00CF72D5" w:rsidRPr="002029AF" w14:paraId="2426B589" w14:textId="77777777" w:rsidTr="00897193">
        <w:trPr>
          <w:cantSplit/>
          <w:trHeight w:val="270"/>
          <w:tblHeader/>
        </w:trPr>
        <w:tc>
          <w:tcPr>
            <w:tcW w:w="2835" w:type="dxa"/>
            <w:vAlign w:val="bottom"/>
          </w:tcPr>
          <w:p w14:paraId="369318F5" w14:textId="77777777" w:rsidR="00CF72D5" w:rsidRPr="002029AF" w:rsidRDefault="00CF72D5" w:rsidP="00897193">
            <w:pPr>
              <w:pStyle w:val="ARtablecolhead"/>
            </w:pPr>
            <w:r w:rsidRPr="002029AF">
              <w:t>Description</w:t>
            </w:r>
          </w:p>
        </w:tc>
        <w:tc>
          <w:tcPr>
            <w:tcW w:w="2268" w:type="dxa"/>
            <w:vAlign w:val="center"/>
          </w:tcPr>
          <w:p w14:paraId="44313643" w14:textId="12820BD8" w:rsidR="00CF72D5" w:rsidRPr="002029AF" w:rsidRDefault="00CF72D5" w:rsidP="00897193">
            <w:pPr>
              <w:pStyle w:val="ARtablecolheadright"/>
            </w:pPr>
            <w:r w:rsidRPr="002029AF">
              <w:t>2019–20</w:t>
            </w:r>
            <w:r w:rsidR="000A5329" w:rsidRPr="002029AF">
              <w:t xml:space="preserve"> </w:t>
            </w:r>
            <w:r w:rsidRPr="002029AF">
              <w:t>estimate</w:t>
            </w:r>
          </w:p>
        </w:tc>
        <w:tc>
          <w:tcPr>
            <w:tcW w:w="2268" w:type="dxa"/>
            <w:vAlign w:val="center"/>
          </w:tcPr>
          <w:p w14:paraId="2EFB7837" w14:textId="6CC84922" w:rsidR="00CF72D5" w:rsidRPr="002029AF" w:rsidRDefault="00CF72D5" w:rsidP="00897193">
            <w:pPr>
              <w:pStyle w:val="ARtablecolheadright"/>
            </w:pPr>
            <w:r w:rsidRPr="002029AF">
              <w:t>2018–19</w:t>
            </w:r>
            <w:r w:rsidR="000A5329" w:rsidRPr="002029AF">
              <w:t xml:space="preserve"> </w:t>
            </w:r>
            <w:r w:rsidRPr="002029AF">
              <w:t>estimate</w:t>
            </w:r>
          </w:p>
        </w:tc>
        <w:tc>
          <w:tcPr>
            <w:tcW w:w="2268" w:type="dxa"/>
            <w:tcBorders>
              <w:top w:val="nil"/>
            </w:tcBorders>
            <w:vAlign w:val="center"/>
          </w:tcPr>
          <w:p w14:paraId="003FA196" w14:textId="5AB68D02" w:rsidR="00CF72D5" w:rsidRPr="002029AF" w:rsidRDefault="00CF72D5" w:rsidP="00897193">
            <w:pPr>
              <w:pStyle w:val="ARtablecolheadright"/>
            </w:pPr>
            <w:r w:rsidRPr="002029AF">
              <w:t>2017–18</w:t>
            </w:r>
            <w:r w:rsidR="000A5329" w:rsidRPr="002029AF">
              <w:t xml:space="preserve"> </w:t>
            </w:r>
            <w:r w:rsidRPr="002029AF">
              <w:t>estimate</w:t>
            </w:r>
          </w:p>
        </w:tc>
      </w:tr>
      <w:tr w:rsidR="00CF72D5" w:rsidRPr="002029AF" w14:paraId="1D62311F" w14:textId="77777777" w:rsidTr="00897193">
        <w:trPr>
          <w:cantSplit/>
          <w:trHeight w:val="270"/>
          <w:tblHeader/>
        </w:trPr>
        <w:tc>
          <w:tcPr>
            <w:tcW w:w="2835" w:type="dxa"/>
          </w:tcPr>
          <w:p w14:paraId="7C0F0B87" w14:textId="2E6DC396" w:rsidR="00CF72D5" w:rsidRPr="002029AF" w:rsidRDefault="00CF72D5" w:rsidP="00897193">
            <w:pPr>
              <w:pStyle w:val="ARtablecolhead"/>
            </w:pPr>
            <w:r w:rsidRPr="002029AF">
              <w:t>Total</w:t>
            </w:r>
            <w:r w:rsidR="000A5329" w:rsidRPr="002029AF">
              <w:t xml:space="preserve"> </w:t>
            </w:r>
            <w:r w:rsidRPr="002029AF">
              <w:t>greenhouse</w:t>
            </w:r>
            <w:r w:rsidR="000A5329" w:rsidRPr="002029AF">
              <w:t xml:space="preserve"> </w:t>
            </w:r>
            <w:r w:rsidRPr="002029AF">
              <w:t>gas</w:t>
            </w:r>
            <w:r w:rsidR="000A5329" w:rsidRPr="002029AF">
              <w:t xml:space="preserve"> </w:t>
            </w:r>
            <w:r w:rsidRPr="002029AF">
              <w:t>emissions</w:t>
            </w:r>
          </w:p>
        </w:tc>
        <w:tc>
          <w:tcPr>
            <w:tcW w:w="2268" w:type="dxa"/>
            <w:vAlign w:val="bottom"/>
          </w:tcPr>
          <w:p w14:paraId="683A428F" w14:textId="2D9AE3ED" w:rsidR="00CF72D5" w:rsidRPr="002029AF" w:rsidRDefault="00CF72D5" w:rsidP="00897193">
            <w:pPr>
              <w:pStyle w:val="ARtablecolheadright"/>
            </w:pPr>
            <w:r w:rsidRPr="002029AF">
              <w:t>Tonnes</w:t>
            </w:r>
            <w:r w:rsidR="000A5329" w:rsidRPr="002029AF">
              <w:t xml:space="preserve"> </w:t>
            </w:r>
            <w:r w:rsidRPr="002029AF">
              <w:t>CO</w:t>
            </w:r>
            <w:r w:rsidRPr="002029AF">
              <w:rPr>
                <w:vertAlign w:val="subscript"/>
              </w:rPr>
              <w:t>2</w:t>
            </w:r>
            <w:r w:rsidRPr="002029AF">
              <w:t>-e</w:t>
            </w:r>
          </w:p>
        </w:tc>
        <w:tc>
          <w:tcPr>
            <w:tcW w:w="2268" w:type="dxa"/>
            <w:vAlign w:val="bottom"/>
          </w:tcPr>
          <w:p w14:paraId="1E18665B" w14:textId="2C4E492F" w:rsidR="00CF72D5" w:rsidRPr="002029AF" w:rsidRDefault="00CF72D5" w:rsidP="00897193">
            <w:pPr>
              <w:pStyle w:val="ARtablecolheadright"/>
            </w:pPr>
            <w:r w:rsidRPr="002029AF">
              <w:t>Tonnes</w:t>
            </w:r>
            <w:r w:rsidR="000A5329" w:rsidRPr="002029AF">
              <w:t xml:space="preserve"> </w:t>
            </w:r>
            <w:r w:rsidRPr="002029AF">
              <w:t>CO</w:t>
            </w:r>
            <w:r w:rsidRPr="002029AF">
              <w:rPr>
                <w:vertAlign w:val="subscript"/>
              </w:rPr>
              <w:t>2</w:t>
            </w:r>
            <w:r w:rsidRPr="002029AF">
              <w:t>-e</w:t>
            </w:r>
          </w:p>
        </w:tc>
        <w:tc>
          <w:tcPr>
            <w:tcW w:w="2268" w:type="dxa"/>
            <w:vAlign w:val="bottom"/>
          </w:tcPr>
          <w:p w14:paraId="291B74F2" w14:textId="6ED247E1" w:rsidR="00CF72D5" w:rsidRPr="002029AF" w:rsidRDefault="00CF72D5" w:rsidP="00897193">
            <w:pPr>
              <w:pStyle w:val="ARtablecolheadright"/>
            </w:pPr>
            <w:r w:rsidRPr="002029AF">
              <w:t>Tonnes</w:t>
            </w:r>
            <w:r w:rsidR="000A5329" w:rsidRPr="002029AF">
              <w:t xml:space="preserve"> </w:t>
            </w:r>
            <w:r w:rsidRPr="002029AF">
              <w:t>CO</w:t>
            </w:r>
            <w:r w:rsidRPr="002029AF">
              <w:rPr>
                <w:vertAlign w:val="subscript"/>
              </w:rPr>
              <w:t>2</w:t>
            </w:r>
            <w:r w:rsidRPr="002029AF">
              <w:t>-e</w:t>
            </w:r>
          </w:p>
        </w:tc>
      </w:tr>
      <w:tr w:rsidR="00CF72D5" w:rsidRPr="002029AF" w14:paraId="231C8B74" w14:textId="77777777" w:rsidTr="00897193">
        <w:trPr>
          <w:cantSplit/>
          <w:trHeight w:val="270"/>
        </w:trPr>
        <w:tc>
          <w:tcPr>
            <w:tcW w:w="2835" w:type="dxa"/>
          </w:tcPr>
          <w:p w14:paraId="5B03377E" w14:textId="77777777" w:rsidR="00CF72D5" w:rsidRPr="002029AF" w:rsidRDefault="00CF72D5" w:rsidP="00897193">
            <w:pPr>
              <w:pStyle w:val="ARtabletext"/>
            </w:pPr>
            <w:r w:rsidRPr="002029AF">
              <w:t>LPG</w:t>
            </w:r>
          </w:p>
        </w:tc>
        <w:tc>
          <w:tcPr>
            <w:tcW w:w="2268" w:type="dxa"/>
            <w:vAlign w:val="center"/>
          </w:tcPr>
          <w:p w14:paraId="2574D6AF" w14:textId="77777777" w:rsidR="00CF72D5" w:rsidRPr="002029AF" w:rsidRDefault="00CF72D5" w:rsidP="00897193">
            <w:pPr>
              <w:pStyle w:val="ARtabletextright"/>
            </w:pPr>
            <w:r w:rsidRPr="002029AF">
              <w:t>0</w:t>
            </w:r>
          </w:p>
        </w:tc>
        <w:tc>
          <w:tcPr>
            <w:tcW w:w="2268" w:type="dxa"/>
            <w:vAlign w:val="center"/>
          </w:tcPr>
          <w:p w14:paraId="0E5CBF5C" w14:textId="77777777" w:rsidR="00CF72D5" w:rsidRPr="002029AF" w:rsidRDefault="00CF72D5" w:rsidP="00897193">
            <w:pPr>
              <w:pStyle w:val="ARtabletextright"/>
            </w:pPr>
            <w:r w:rsidRPr="002029AF">
              <w:t>22</w:t>
            </w:r>
          </w:p>
        </w:tc>
        <w:tc>
          <w:tcPr>
            <w:tcW w:w="2268" w:type="dxa"/>
            <w:vAlign w:val="center"/>
          </w:tcPr>
          <w:p w14:paraId="1725E05A" w14:textId="77777777" w:rsidR="00CF72D5" w:rsidRPr="002029AF" w:rsidRDefault="00CF72D5" w:rsidP="00897193">
            <w:pPr>
              <w:pStyle w:val="ARtabletextright"/>
            </w:pPr>
            <w:r w:rsidRPr="002029AF">
              <w:t>153</w:t>
            </w:r>
          </w:p>
        </w:tc>
      </w:tr>
      <w:tr w:rsidR="00CF72D5" w:rsidRPr="002029AF" w14:paraId="316B46A2" w14:textId="77777777" w:rsidTr="00897193">
        <w:trPr>
          <w:cantSplit/>
          <w:trHeight w:val="270"/>
        </w:trPr>
        <w:tc>
          <w:tcPr>
            <w:tcW w:w="2835" w:type="dxa"/>
          </w:tcPr>
          <w:p w14:paraId="191EA1CE" w14:textId="77777777" w:rsidR="00CF72D5" w:rsidRPr="002029AF" w:rsidRDefault="00CF72D5" w:rsidP="00897193">
            <w:pPr>
              <w:pStyle w:val="ARtabletext"/>
            </w:pPr>
            <w:r w:rsidRPr="002029AF">
              <w:t>Hybrid</w:t>
            </w:r>
          </w:p>
        </w:tc>
        <w:tc>
          <w:tcPr>
            <w:tcW w:w="2268" w:type="dxa"/>
            <w:vAlign w:val="center"/>
          </w:tcPr>
          <w:p w14:paraId="47322C4F" w14:textId="2C49B4F0" w:rsidR="00CF72D5" w:rsidRPr="002029AF" w:rsidRDefault="00CF72D5" w:rsidP="00897193">
            <w:pPr>
              <w:pStyle w:val="ARtabletextright"/>
            </w:pPr>
            <w:r w:rsidRPr="002029AF">
              <w:t>872</w:t>
            </w:r>
          </w:p>
        </w:tc>
        <w:tc>
          <w:tcPr>
            <w:tcW w:w="2268" w:type="dxa"/>
            <w:vAlign w:val="center"/>
          </w:tcPr>
          <w:p w14:paraId="6ADAAFAF" w14:textId="77777777" w:rsidR="00CF72D5" w:rsidRPr="002029AF" w:rsidRDefault="00CF72D5" w:rsidP="00897193">
            <w:pPr>
              <w:pStyle w:val="ARtabletextright"/>
            </w:pPr>
            <w:r w:rsidRPr="002029AF">
              <w:t>1,488</w:t>
            </w:r>
          </w:p>
        </w:tc>
        <w:tc>
          <w:tcPr>
            <w:tcW w:w="2268" w:type="dxa"/>
            <w:vAlign w:val="center"/>
          </w:tcPr>
          <w:p w14:paraId="6292B65F" w14:textId="77777777" w:rsidR="00CF72D5" w:rsidRPr="002029AF" w:rsidRDefault="00CF72D5" w:rsidP="00897193">
            <w:pPr>
              <w:pStyle w:val="ARtabletextright"/>
            </w:pPr>
            <w:r w:rsidRPr="002029AF">
              <w:t>2,023</w:t>
            </w:r>
          </w:p>
        </w:tc>
      </w:tr>
      <w:tr w:rsidR="00CF72D5" w:rsidRPr="002029AF" w14:paraId="36F7B363" w14:textId="77777777" w:rsidTr="00897193">
        <w:trPr>
          <w:cantSplit/>
          <w:trHeight w:val="270"/>
        </w:trPr>
        <w:tc>
          <w:tcPr>
            <w:tcW w:w="2835" w:type="dxa"/>
          </w:tcPr>
          <w:p w14:paraId="7B8192CF" w14:textId="23541AAF" w:rsidR="00CF72D5" w:rsidRPr="002029AF" w:rsidRDefault="00CF72D5" w:rsidP="00897193">
            <w:pPr>
              <w:pStyle w:val="ARtabletext"/>
            </w:pPr>
            <w:r w:rsidRPr="002029AF">
              <w:t>Unleaded</w:t>
            </w:r>
            <w:r w:rsidR="000A5329" w:rsidRPr="002029AF">
              <w:t xml:space="preserve"> </w:t>
            </w:r>
            <w:r w:rsidRPr="002029AF">
              <w:t>petrol</w:t>
            </w:r>
          </w:p>
        </w:tc>
        <w:tc>
          <w:tcPr>
            <w:tcW w:w="2268" w:type="dxa"/>
            <w:vAlign w:val="center"/>
          </w:tcPr>
          <w:p w14:paraId="34EA06DC" w14:textId="79B02B40" w:rsidR="00CF72D5" w:rsidRPr="002029AF" w:rsidRDefault="00CF72D5" w:rsidP="00897193">
            <w:pPr>
              <w:pStyle w:val="ARtabletextright"/>
            </w:pPr>
            <w:r w:rsidRPr="002029AF">
              <w:t>3,932</w:t>
            </w:r>
          </w:p>
        </w:tc>
        <w:tc>
          <w:tcPr>
            <w:tcW w:w="2268" w:type="dxa"/>
            <w:vAlign w:val="center"/>
          </w:tcPr>
          <w:p w14:paraId="111602E9" w14:textId="77777777" w:rsidR="00CF72D5" w:rsidRPr="002029AF" w:rsidRDefault="00CF72D5" w:rsidP="00897193">
            <w:pPr>
              <w:pStyle w:val="ARtabletextright"/>
            </w:pPr>
            <w:r w:rsidRPr="002029AF">
              <w:t>5,127</w:t>
            </w:r>
          </w:p>
        </w:tc>
        <w:tc>
          <w:tcPr>
            <w:tcW w:w="2268" w:type="dxa"/>
            <w:vAlign w:val="center"/>
          </w:tcPr>
          <w:p w14:paraId="147A6815" w14:textId="77777777" w:rsidR="00CF72D5" w:rsidRPr="002029AF" w:rsidRDefault="00CF72D5" w:rsidP="00897193">
            <w:pPr>
              <w:pStyle w:val="ARtabletextright"/>
            </w:pPr>
            <w:r w:rsidRPr="002029AF">
              <w:t>3,545</w:t>
            </w:r>
          </w:p>
        </w:tc>
      </w:tr>
      <w:tr w:rsidR="00CF72D5" w:rsidRPr="002029AF" w14:paraId="77BDB42B" w14:textId="77777777" w:rsidTr="00897193">
        <w:trPr>
          <w:cantSplit/>
          <w:trHeight w:val="270"/>
        </w:trPr>
        <w:tc>
          <w:tcPr>
            <w:tcW w:w="2835" w:type="dxa"/>
          </w:tcPr>
          <w:p w14:paraId="57A9BAEC" w14:textId="77777777" w:rsidR="00CF72D5" w:rsidRPr="002029AF" w:rsidRDefault="00CF72D5" w:rsidP="00897193">
            <w:pPr>
              <w:pStyle w:val="ARtabletext"/>
            </w:pPr>
            <w:r w:rsidRPr="002029AF">
              <w:t>Diesel</w:t>
            </w:r>
          </w:p>
        </w:tc>
        <w:tc>
          <w:tcPr>
            <w:tcW w:w="2268" w:type="dxa"/>
            <w:vAlign w:val="center"/>
          </w:tcPr>
          <w:p w14:paraId="2574E766" w14:textId="4F9E5386" w:rsidR="00CF72D5" w:rsidRPr="002029AF" w:rsidRDefault="00CF72D5" w:rsidP="00897193">
            <w:pPr>
              <w:pStyle w:val="ARtabletextright"/>
            </w:pPr>
            <w:r w:rsidRPr="002029AF">
              <w:t>1,080</w:t>
            </w:r>
          </w:p>
        </w:tc>
        <w:tc>
          <w:tcPr>
            <w:tcW w:w="2268" w:type="dxa"/>
            <w:vAlign w:val="center"/>
          </w:tcPr>
          <w:p w14:paraId="10DDEA9B" w14:textId="77777777" w:rsidR="00CF72D5" w:rsidRPr="002029AF" w:rsidRDefault="00CF72D5" w:rsidP="00897193">
            <w:pPr>
              <w:pStyle w:val="ARtabletextright"/>
            </w:pPr>
            <w:r w:rsidRPr="002029AF">
              <w:t>2,141</w:t>
            </w:r>
          </w:p>
        </w:tc>
        <w:tc>
          <w:tcPr>
            <w:tcW w:w="2268" w:type="dxa"/>
            <w:vAlign w:val="center"/>
          </w:tcPr>
          <w:p w14:paraId="2C7DF8C7" w14:textId="77777777" w:rsidR="00CF72D5" w:rsidRPr="002029AF" w:rsidRDefault="00CF72D5" w:rsidP="00897193">
            <w:pPr>
              <w:pStyle w:val="ARtabletextright"/>
            </w:pPr>
            <w:r w:rsidRPr="002029AF">
              <w:t>2,476</w:t>
            </w:r>
          </w:p>
        </w:tc>
      </w:tr>
      <w:tr w:rsidR="00CF72D5" w:rsidRPr="002029AF" w14:paraId="4B6625B0" w14:textId="77777777" w:rsidTr="00897193">
        <w:trPr>
          <w:cantSplit/>
          <w:trHeight w:val="270"/>
        </w:trPr>
        <w:tc>
          <w:tcPr>
            <w:tcW w:w="2835" w:type="dxa"/>
          </w:tcPr>
          <w:p w14:paraId="43B5D992" w14:textId="3A80B399" w:rsidR="00CF72D5" w:rsidRPr="002029AF" w:rsidRDefault="00CF72D5" w:rsidP="00897193">
            <w:pPr>
              <w:pStyle w:val="ARtabletext"/>
            </w:pPr>
            <w:r w:rsidRPr="002029AF">
              <w:t>State</w:t>
            </w:r>
            <w:r w:rsidR="000A5329" w:rsidRPr="002029AF">
              <w:t xml:space="preserve"> </w:t>
            </w:r>
            <w:r w:rsidRPr="002029AF">
              <w:t>government</w:t>
            </w:r>
            <w:r w:rsidR="000A5329" w:rsidRPr="002029AF">
              <w:t xml:space="preserve"> </w:t>
            </w:r>
            <w:r w:rsidRPr="002029AF">
              <w:t>vehicle</w:t>
            </w:r>
            <w:r w:rsidR="000A5329" w:rsidRPr="002029AF">
              <w:t xml:space="preserve"> </w:t>
            </w:r>
            <w:r w:rsidRPr="002029AF">
              <w:t>pool</w:t>
            </w:r>
          </w:p>
        </w:tc>
        <w:tc>
          <w:tcPr>
            <w:tcW w:w="2268" w:type="dxa"/>
            <w:vAlign w:val="center"/>
          </w:tcPr>
          <w:p w14:paraId="32688AEF" w14:textId="18BAA1A4" w:rsidR="00CF72D5" w:rsidRPr="002029AF" w:rsidRDefault="00CF72D5" w:rsidP="00897193">
            <w:pPr>
              <w:pStyle w:val="ARtabletextright"/>
            </w:pPr>
            <w:r w:rsidRPr="002029AF">
              <w:t>151</w:t>
            </w:r>
          </w:p>
        </w:tc>
        <w:tc>
          <w:tcPr>
            <w:tcW w:w="2268" w:type="dxa"/>
            <w:vAlign w:val="center"/>
          </w:tcPr>
          <w:p w14:paraId="6FA6C4F1" w14:textId="77777777" w:rsidR="00CF72D5" w:rsidRPr="002029AF" w:rsidRDefault="00CF72D5" w:rsidP="00897193">
            <w:pPr>
              <w:pStyle w:val="ARtabletextright"/>
            </w:pPr>
            <w:r w:rsidRPr="002029AF">
              <w:t>146</w:t>
            </w:r>
          </w:p>
        </w:tc>
        <w:tc>
          <w:tcPr>
            <w:tcW w:w="2268" w:type="dxa"/>
            <w:vAlign w:val="center"/>
          </w:tcPr>
          <w:p w14:paraId="6BDE54BF" w14:textId="77777777" w:rsidR="00CF72D5" w:rsidRPr="002029AF" w:rsidRDefault="00CF72D5" w:rsidP="00897193">
            <w:pPr>
              <w:pStyle w:val="ARtabletextright"/>
            </w:pPr>
            <w:r w:rsidRPr="002029AF">
              <w:t>127</w:t>
            </w:r>
          </w:p>
        </w:tc>
      </w:tr>
      <w:tr w:rsidR="00CF72D5" w:rsidRPr="002029AF" w14:paraId="26800B8D" w14:textId="77777777" w:rsidTr="00897193">
        <w:trPr>
          <w:cantSplit/>
          <w:trHeight w:val="270"/>
        </w:trPr>
        <w:tc>
          <w:tcPr>
            <w:tcW w:w="2835" w:type="dxa"/>
          </w:tcPr>
          <w:p w14:paraId="28C0A5FC" w14:textId="77777777" w:rsidR="00CF72D5" w:rsidRPr="002029AF" w:rsidRDefault="00CF72D5" w:rsidP="00897193">
            <w:pPr>
              <w:pStyle w:val="ARtabletext"/>
              <w:rPr>
                <w:b/>
              </w:rPr>
            </w:pPr>
            <w:r w:rsidRPr="002029AF">
              <w:rPr>
                <w:b/>
              </w:rPr>
              <w:t>Total</w:t>
            </w:r>
          </w:p>
        </w:tc>
        <w:tc>
          <w:tcPr>
            <w:tcW w:w="2268" w:type="dxa"/>
            <w:vAlign w:val="center"/>
          </w:tcPr>
          <w:p w14:paraId="01AC6E3F" w14:textId="53A2E930" w:rsidR="00CF72D5" w:rsidRPr="002029AF" w:rsidRDefault="00CF72D5" w:rsidP="00897193">
            <w:pPr>
              <w:pStyle w:val="ARtabletextrightbold"/>
            </w:pPr>
            <w:r w:rsidRPr="002029AF">
              <w:t>6,035</w:t>
            </w:r>
          </w:p>
        </w:tc>
        <w:tc>
          <w:tcPr>
            <w:tcW w:w="2268" w:type="dxa"/>
            <w:vAlign w:val="center"/>
          </w:tcPr>
          <w:p w14:paraId="4F0E151E" w14:textId="77777777" w:rsidR="00CF72D5" w:rsidRPr="002029AF" w:rsidRDefault="00CF72D5" w:rsidP="00897193">
            <w:pPr>
              <w:pStyle w:val="ARtabletextrightbold"/>
            </w:pPr>
            <w:r w:rsidRPr="002029AF">
              <w:t>8,923</w:t>
            </w:r>
          </w:p>
        </w:tc>
        <w:tc>
          <w:tcPr>
            <w:tcW w:w="2268" w:type="dxa"/>
            <w:vAlign w:val="center"/>
          </w:tcPr>
          <w:p w14:paraId="6A4CFC83" w14:textId="77777777" w:rsidR="00CF72D5" w:rsidRPr="002029AF" w:rsidRDefault="00CF72D5" w:rsidP="00897193">
            <w:pPr>
              <w:pStyle w:val="ARtabletextrightbold"/>
            </w:pPr>
            <w:r w:rsidRPr="002029AF">
              <w:t>8,324</w:t>
            </w:r>
          </w:p>
        </w:tc>
      </w:tr>
    </w:tbl>
    <w:p w14:paraId="1947F186" w14:textId="77777777" w:rsidR="00CF72D5" w:rsidRPr="002029AF" w:rsidRDefault="00CF72D5" w:rsidP="00897193">
      <w:pPr>
        <w:pStyle w:val="ARbody"/>
        <w:rPr>
          <w:lang w:eastAsia="en-AU"/>
        </w:rPr>
      </w:pPr>
    </w:p>
    <w:tbl>
      <w:tblPr>
        <w:tblW w:w="9639" w:type="dxa"/>
        <w:tblInd w:w="5" w:type="dxa"/>
        <w:tblBorders>
          <w:left w:val="single" w:sz="4" w:space="0" w:color="FFFFFF"/>
          <w:bottom w:val="single" w:sz="4" w:space="0" w:color="auto"/>
          <w:right w:val="single" w:sz="4" w:space="0" w:color="FFFFFF"/>
          <w:insideH w:val="single" w:sz="4" w:space="0" w:color="auto"/>
          <w:insideV w:val="single" w:sz="4" w:space="0" w:color="FFFFFF"/>
        </w:tblBorders>
        <w:tblLayout w:type="fixed"/>
        <w:tblCellMar>
          <w:left w:w="0" w:type="dxa"/>
        </w:tblCellMar>
        <w:tblLook w:val="00A0" w:firstRow="1" w:lastRow="0" w:firstColumn="1" w:lastColumn="0" w:noHBand="0" w:noVBand="0"/>
      </w:tblPr>
      <w:tblGrid>
        <w:gridCol w:w="2835"/>
        <w:gridCol w:w="2268"/>
        <w:gridCol w:w="2268"/>
        <w:gridCol w:w="2268"/>
      </w:tblGrid>
      <w:tr w:rsidR="00CF72D5" w:rsidRPr="002029AF" w14:paraId="583ED486" w14:textId="77777777" w:rsidTr="00897193">
        <w:trPr>
          <w:cantSplit/>
          <w:trHeight w:val="203"/>
          <w:tblHeader/>
        </w:trPr>
        <w:tc>
          <w:tcPr>
            <w:tcW w:w="2835" w:type="dxa"/>
            <w:vAlign w:val="bottom"/>
          </w:tcPr>
          <w:p w14:paraId="78095839" w14:textId="77777777" w:rsidR="00CF72D5" w:rsidRPr="002029AF" w:rsidRDefault="00CF72D5" w:rsidP="00897193">
            <w:pPr>
              <w:pStyle w:val="ARtablecolhead"/>
            </w:pPr>
            <w:r w:rsidRPr="002029AF">
              <w:t>Description</w:t>
            </w:r>
          </w:p>
        </w:tc>
        <w:tc>
          <w:tcPr>
            <w:tcW w:w="2268" w:type="dxa"/>
            <w:vAlign w:val="center"/>
          </w:tcPr>
          <w:p w14:paraId="198A8BE7" w14:textId="43955C8A" w:rsidR="00CF72D5" w:rsidRPr="002029AF" w:rsidRDefault="00CF72D5" w:rsidP="00897193">
            <w:pPr>
              <w:pStyle w:val="ARtablecolheadright"/>
            </w:pPr>
            <w:r w:rsidRPr="002029AF">
              <w:t>2019–20</w:t>
            </w:r>
            <w:r w:rsidR="000A5329" w:rsidRPr="002029AF">
              <w:t xml:space="preserve"> </w:t>
            </w:r>
            <w:r w:rsidRPr="002029AF">
              <w:t>estimate</w:t>
            </w:r>
          </w:p>
        </w:tc>
        <w:tc>
          <w:tcPr>
            <w:tcW w:w="2268" w:type="dxa"/>
            <w:vAlign w:val="center"/>
          </w:tcPr>
          <w:p w14:paraId="7325E6DF" w14:textId="6B0B5893" w:rsidR="00CF72D5" w:rsidRPr="002029AF" w:rsidRDefault="00CF72D5" w:rsidP="00897193">
            <w:pPr>
              <w:pStyle w:val="ARtablecolheadright"/>
            </w:pPr>
            <w:r w:rsidRPr="002029AF">
              <w:t>2018–19</w:t>
            </w:r>
            <w:r w:rsidR="000A5329" w:rsidRPr="002029AF">
              <w:t xml:space="preserve"> </w:t>
            </w:r>
            <w:r w:rsidRPr="002029AF">
              <w:t>estimate</w:t>
            </w:r>
          </w:p>
        </w:tc>
        <w:tc>
          <w:tcPr>
            <w:tcW w:w="2268" w:type="dxa"/>
            <w:vAlign w:val="center"/>
          </w:tcPr>
          <w:p w14:paraId="1016DD92" w14:textId="3966A17E" w:rsidR="00CF72D5" w:rsidRPr="002029AF" w:rsidRDefault="00CF72D5" w:rsidP="00897193">
            <w:pPr>
              <w:pStyle w:val="ARtablecolheadright"/>
            </w:pPr>
            <w:r w:rsidRPr="002029AF">
              <w:t>2017–18</w:t>
            </w:r>
            <w:r w:rsidR="000A5329" w:rsidRPr="002029AF">
              <w:t xml:space="preserve"> </w:t>
            </w:r>
            <w:r w:rsidRPr="002029AF">
              <w:t>estimate</w:t>
            </w:r>
          </w:p>
        </w:tc>
      </w:tr>
      <w:tr w:rsidR="00CF72D5" w:rsidRPr="002029AF" w14:paraId="4C4B0553" w14:textId="77777777" w:rsidTr="00897193">
        <w:trPr>
          <w:cantSplit/>
          <w:trHeight w:val="517"/>
          <w:tblHeader/>
        </w:trPr>
        <w:tc>
          <w:tcPr>
            <w:tcW w:w="2835" w:type="dxa"/>
            <w:vAlign w:val="bottom"/>
          </w:tcPr>
          <w:p w14:paraId="7D6BF224" w14:textId="213E4A44" w:rsidR="00CF72D5" w:rsidRPr="002029AF" w:rsidRDefault="00CF72D5" w:rsidP="00897193">
            <w:pPr>
              <w:pStyle w:val="ARtablecolhead"/>
            </w:pPr>
            <w:r w:rsidRPr="002029AF">
              <w:t>Greenhouse</w:t>
            </w:r>
            <w:r w:rsidR="000A5329" w:rsidRPr="002029AF">
              <w:t xml:space="preserve"> </w:t>
            </w:r>
            <w:r w:rsidRPr="002029AF">
              <w:t>gas</w:t>
            </w:r>
            <w:r w:rsidR="000A5329" w:rsidRPr="002029AF">
              <w:t xml:space="preserve"> </w:t>
            </w:r>
            <w:r w:rsidRPr="002029AF">
              <w:t>emissions</w:t>
            </w:r>
            <w:r w:rsidR="000A5329" w:rsidRPr="002029AF">
              <w:t xml:space="preserve"> </w:t>
            </w:r>
            <w:r w:rsidRPr="002029AF">
              <w:t>efficiency</w:t>
            </w:r>
          </w:p>
        </w:tc>
        <w:tc>
          <w:tcPr>
            <w:tcW w:w="2268" w:type="dxa"/>
            <w:vAlign w:val="bottom"/>
          </w:tcPr>
          <w:p w14:paraId="31354AA3" w14:textId="1CD39572" w:rsidR="00CF72D5" w:rsidRPr="002029AF" w:rsidRDefault="00CF72D5" w:rsidP="00897193">
            <w:pPr>
              <w:pStyle w:val="ARtablecolheadright"/>
            </w:pPr>
            <w:r w:rsidRPr="002029AF">
              <w:t>Tonnes</w:t>
            </w:r>
            <w:r w:rsidR="000A5329" w:rsidRPr="002029AF">
              <w:t xml:space="preserve"> </w:t>
            </w:r>
            <w:r w:rsidRPr="002029AF">
              <w:t>of</w:t>
            </w:r>
            <w:r w:rsidR="000A5329" w:rsidRPr="002029AF">
              <w:t xml:space="preserve"> </w:t>
            </w:r>
            <w:r w:rsidRPr="002029AF">
              <w:t>CO</w:t>
            </w:r>
            <w:r w:rsidRPr="002029AF">
              <w:rPr>
                <w:vertAlign w:val="subscript"/>
              </w:rPr>
              <w:t>2</w:t>
            </w:r>
            <w:r w:rsidRPr="002029AF">
              <w:t>-e</w:t>
            </w:r>
            <w:r w:rsidR="000A5329" w:rsidRPr="002029AF">
              <w:t xml:space="preserve"> </w:t>
            </w:r>
            <w:r w:rsidRPr="002029AF">
              <w:t>per</w:t>
            </w:r>
            <w:r w:rsidR="000A5329" w:rsidRPr="002029AF">
              <w:t xml:space="preserve"> </w:t>
            </w:r>
            <w:r w:rsidRPr="002029AF">
              <w:t>1,000</w:t>
            </w:r>
            <w:r w:rsidR="000A5329" w:rsidRPr="002029AF">
              <w:t xml:space="preserve"> </w:t>
            </w:r>
            <w:r w:rsidRPr="002029AF">
              <w:t>kilometres</w:t>
            </w:r>
          </w:p>
        </w:tc>
        <w:tc>
          <w:tcPr>
            <w:tcW w:w="2268" w:type="dxa"/>
            <w:vAlign w:val="bottom"/>
          </w:tcPr>
          <w:p w14:paraId="647D16EB" w14:textId="3EA931B7" w:rsidR="00CF72D5" w:rsidRPr="002029AF" w:rsidRDefault="00CF72D5" w:rsidP="00897193">
            <w:pPr>
              <w:pStyle w:val="ARtablecolheadright"/>
            </w:pPr>
            <w:r w:rsidRPr="002029AF">
              <w:t>Tonnes</w:t>
            </w:r>
            <w:r w:rsidR="000A5329" w:rsidRPr="002029AF">
              <w:t xml:space="preserve"> </w:t>
            </w:r>
            <w:r w:rsidRPr="002029AF">
              <w:t>of</w:t>
            </w:r>
            <w:r w:rsidR="000A5329" w:rsidRPr="002029AF">
              <w:t xml:space="preserve"> </w:t>
            </w:r>
            <w:r w:rsidRPr="002029AF">
              <w:t>CO</w:t>
            </w:r>
            <w:r w:rsidRPr="002029AF">
              <w:rPr>
                <w:vertAlign w:val="subscript"/>
              </w:rPr>
              <w:t>2</w:t>
            </w:r>
            <w:r w:rsidRPr="002029AF">
              <w:t>-e</w:t>
            </w:r>
            <w:r w:rsidR="000A5329" w:rsidRPr="002029AF">
              <w:t xml:space="preserve"> </w:t>
            </w:r>
            <w:r w:rsidRPr="002029AF">
              <w:t>per</w:t>
            </w:r>
            <w:r w:rsidR="000A5329" w:rsidRPr="002029AF">
              <w:t xml:space="preserve"> </w:t>
            </w:r>
            <w:r w:rsidRPr="002029AF">
              <w:t>1,000</w:t>
            </w:r>
            <w:r w:rsidR="000A5329" w:rsidRPr="002029AF">
              <w:t xml:space="preserve"> </w:t>
            </w:r>
            <w:r w:rsidRPr="002029AF">
              <w:t>kilometres</w:t>
            </w:r>
          </w:p>
        </w:tc>
        <w:tc>
          <w:tcPr>
            <w:tcW w:w="2268" w:type="dxa"/>
            <w:vAlign w:val="bottom"/>
          </w:tcPr>
          <w:p w14:paraId="2DE52F0E" w14:textId="5C05976B" w:rsidR="00CF72D5" w:rsidRPr="002029AF" w:rsidRDefault="00CF72D5" w:rsidP="00897193">
            <w:pPr>
              <w:pStyle w:val="ARtablecolheadright"/>
            </w:pPr>
            <w:r w:rsidRPr="002029AF">
              <w:t>Tonnes</w:t>
            </w:r>
            <w:r w:rsidR="000A5329" w:rsidRPr="002029AF">
              <w:t xml:space="preserve"> </w:t>
            </w:r>
            <w:r w:rsidRPr="002029AF">
              <w:t>of</w:t>
            </w:r>
            <w:r w:rsidR="000A5329" w:rsidRPr="002029AF">
              <w:t xml:space="preserve"> </w:t>
            </w:r>
            <w:r w:rsidRPr="002029AF">
              <w:t>CO</w:t>
            </w:r>
            <w:r w:rsidRPr="002029AF">
              <w:rPr>
                <w:vertAlign w:val="subscript"/>
              </w:rPr>
              <w:t>2</w:t>
            </w:r>
            <w:r w:rsidRPr="002029AF">
              <w:t>-e</w:t>
            </w:r>
            <w:r w:rsidR="000A5329" w:rsidRPr="002029AF">
              <w:t xml:space="preserve"> </w:t>
            </w:r>
            <w:r w:rsidRPr="002029AF">
              <w:t>per</w:t>
            </w:r>
            <w:r w:rsidR="000A5329" w:rsidRPr="002029AF">
              <w:t xml:space="preserve"> </w:t>
            </w:r>
            <w:r w:rsidRPr="002029AF">
              <w:t>1,000</w:t>
            </w:r>
            <w:r w:rsidR="000A5329" w:rsidRPr="002029AF">
              <w:t xml:space="preserve"> </w:t>
            </w:r>
            <w:r w:rsidRPr="002029AF">
              <w:t>kilometres</w:t>
            </w:r>
          </w:p>
        </w:tc>
      </w:tr>
      <w:tr w:rsidR="00CF72D5" w:rsidRPr="002029AF" w14:paraId="7654D00D" w14:textId="77777777" w:rsidTr="00897193">
        <w:trPr>
          <w:cantSplit/>
          <w:trHeight w:val="267"/>
        </w:trPr>
        <w:tc>
          <w:tcPr>
            <w:tcW w:w="2835" w:type="dxa"/>
          </w:tcPr>
          <w:p w14:paraId="751827CD" w14:textId="77777777" w:rsidR="00CF72D5" w:rsidRPr="002029AF" w:rsidRDefault="00CF72D5" w:rsidP="00897193">
            <w:pPr>
              <w:pStyle w:val="ARtabletext"/>
            </w:pPr>
            <w:r w:rsidRPr="002029AF">
              <w:t>LPG</w:t>
            </w:r>
          </w:p>
        </w:tc>
        <w:tc>
          <w:tcPr>
            <w:tcW w:w="2268" w:type="dxa"/>
            <w:vAlign w:val="center"/>
          </w:tcPr>
          <w:p w14:paraId="3ABBDDD5" w14:textId="77777777" w:rsidR="00CF72D5" w:rsidRPr="002029AF" w:rsidRDefault="00CF72D5" w:rsidP="00897193">
            <w:pPr>
              <w:pStyle w:val="ARtabletextright"/>
            </w:pPr>
            <w:r w:rsidRPr="002029AF">
              <w:t>N/A</w:t>
            </w:r>
          </w:p>
        </w:tc>
        <w:tc>
          <w:tcPr>
            <w:tcW w:w="2268" w:type="dxa"/>
            <w:vAlign w:val="center"/>
          </w:tcPr>
          <w:p w14:paraId="5439FFAE" w14:textId="77777777" w:rsidR="00CF72D5" w:rsidRPr="002029AF" w:rsidRDefault="00CF72D5" w:rsidP="00897193">
            <w:pPr>
              <w:pStyle w:val="ARtabletextright"/>
            </w:pPr>
            <w:r w:rsidRPr="002029AF">
              <w:t>0.227</w:t>
            </w:r>
          </w:p>
        </w:tc>
        <w:tc>
          <w:tcPr>
            <w:tcW w:w="2268" w:type="dxa"/>
            <w:vAlign w:val="center"/>
          </w:tcPr>
          <w:p w14:paraId="5012A51B" w14:textId="77777777" w:rsidR="00CF72D5" w:rsidRPr="002029AF" w:rsidRDefault="00CF72D5" w:rsidP="00897193">
            <w:pPr>
              <w:pStyle w:val="ARtabletextright"/>
            </w:pPr>
            <w:r w:rsidRPr="002029AF">
              <w:t>0.224</w:t>
            </w:r>
          </w:p>
        </w:tc>
      </w:tr>
      <w:tr w:rsidR="00CF72D5" w:rsidRPr="002029AF" w14:paraId="65CE3565" w14:textId="77777777" w:rsidTr="00897193">
        <w:trPr>
          <w:cantSplit/>
          <w:trHeight w:val="267"/>
        </w:trPr>
        <w:tc>
          <w:tcPr>
            <w:tcW w:w="2835" w:type="dxa"/>
          </w:tcPr>
          <w:p w14:paraId="2EBE7B5C" w14:textId="77777777" w:rsidR="00CF72D5" w:rsidRPr="002029AF" w:rsidRDefault="00CF72D5" w:rsidP="00897193">
            <w:pPr>
              <w:pStyle w:val="ARtabletext"/>
            </w:pPr>
            <w:r w:rsidRPr="002029AF">
              <w:t>Hybrid</w:t>
            </w:r>
          </w:p>
        </w:tc>
        <w:tc>
          <w:tcPr>
            <w:tcW w:w="2268" w:type="dxa"/>
            <w:vAlign w:val="center"/>
          </w:tcPr>
          <w:p w14:paraId="5C8F3CFB" w14:textId="77777777" w:rsidR="00CF72D5" w:rsidRPr="002029AF" w:rsidRDefault="00CF72D5" w:rsidP="00897193">
            <w:pPr>
              <w:pStyle w:val="ARtabletextright"/>
            </w:pPr>
            <w:r w:rsidRPr="002029AF">
              <w:t>0.114</w:t>
            </w:r>
          </w:p>
        </w:tc>
        <w:tc>
          <w:tcPr>
            <w:tcW w:w="2268" w:type="dxa"/>
            <w:vAlign w:val="center"/>
          </w:tcPr>
          <w:p w14:paraId="7E234ABD" w14:textId="77777777" w:rsidR="00CF72D5" w:rsidRPr="002029AF" w:rsidRDefault="00CF72D5" w:rsidP="00897193">
            <w:pPr>
              <w:pStyle w:val="ARtabletextright"/>
            </w:pPr>
            <w:r w:rsidRPr="002029AF">
              <w:t>0.149</w:t>
            </w:r>
          </w:p>
        </w:tc>
        <w:tc>
          <w:tcPr>
            <w:tcW w:w="2268" w:type="dxa"/>
            <w:vAlign w:val="center"/>
          </w:tcPr>
          <w:p w14:paraId="2AF72188" w14:textId="77777777" w:rsidR="00CF72D5" w:rsidRPr="002029AF" w:rsidRDefault="00CF72D5" w:rsidP="00897193">
            <w:pPr>
              <w:pStyle w:val="ARtabletextright"/>
            </w:pPr>
            <w:r w:rsidRPr="002029AF">
              <w:t>0.151</w:t>
            </w:r>
          </w:p>
        </w:tc>
      </w:tr>
      <w:tr w:rsidR="00CF72D5" w:rsidRPr="002029AF" w14:paraId="09385CE3" w14:textId="77777777" w:rsidTr="00897193">
        <w:trPr>
          <w:cantSplit/>
          <w:trHeight w:val="267"/>
        </w:trPr>
        <w:tc>
          <w:tcPr>
            <w:tcW w:w="2835" w:type="dxa"/>
          </w:tcPr>
          <w:p w14:paraId="32E35F79" w14:textId="4AA0234D" w:rsidR="00CF72D5" w:rsidRPr="002029AF" w:rsidRDefault="00CF72D5" w:rsidP="00897193">
            <w:pPr>
              <w:pStyle w:val="ARtabletext"/>
            </w:pPr>
            <w:r w:rsidRPr="002029AF">
              <w:t>Unleaded</w:t>
            </w:r>
            <w:r w:rsidR="000A5329" w:rsidRPr="002029AF">
              <w:t xml:space="preserve"> </w:t>
            </w:r>
            <w:r w:rsidRPr="002029AF">
              <w:t>petrol</w:t>
            </w:r>
          </w:p>
        </w:tc>
        <w:tc>
          <w:tcPr>
            <w:tcW w:w="2268" w:type="dxa"/>
            <w:vAlign w:val="center"/>
          </w:tcPr>
          <w:p w14:paraId="57D2817E" w14:textId="77777777" w:rsidR="00CF72D5" w:rsidRPr="002029AF" w:rsidRDefault="00CF72D5" w:rsidP="00897193">
            <w:pPr>
              <w:pStyle w:val="ARtabletextright"/>
            </w:pPr>
            <w:r w:rsidRPr="002029AF">
              <w:t>0.275</w:t>
            </w:r>
          </w:p>
        </w:tc>
        <w:tc>
          <w:tcPr>
            <w:tcW w:w="2268" w:type="dxa"/>
            <w:vAlign w:val="center"/>
          </w:tcPr>
          <w:p w14:paraId="41BEA520" w14:textId="77777777" w:rsidR="00CF72D5" w:rsidRPr="002029AF" w:rsidRDefault="00CF72D5" w:rsidP="00897193">
            <w:pPr>
              <w:pStyle w:val="ARtabletextright"/>
            </w:pPr>
            <w:r w:rsidRPr="002029AF">
              <w:t>0.264</w:t>
            </w:r>
          </w:p>
        </w:tc>
        <w:tc>
          <w:tcPr>
            <w:tcW w:w="2268" w:type="dxa"/>
            <w:vAlign w:val="center"/>
          </w:tcPr>
          <w:p w14:paraId="49D19B1C" w14:textId="77777777" w:rsidR="00CF72D5" w:rsidRPr="002029AF" w:rsidRDefault="00CF72D5" w:rsidP="00897193">
            <w:pPr>
              <w:pStyle w:val="ARtabletextright"/>
            </w:pPr>
            <w:r w:rsidRPr="002029AF">
              <w:t>0.295</w:t>
            </w:r>
          </w:p>
        </w:tc>
      </w:tr>
      <w:tr w:rsidR="00CF72D5" w:rsidRPr="002029AF" w14:paraId="7A64F371" w14:textId="77777777" w:rsidTr="00897193">
        <w:trPr>
          <w:cantSplit/>
          <w:trHeight w:val="267"/>
        </w:trPr>
        <w:tc>
          <w:tcPr>
            <w:tcW w:w="2835" w:type="dxa"/>
          </w:tcPr>
          <w:p w14:paraId="52503087" w14:textId="77777777" w:rsidR="00CF72D5" w:rsidRPr="002029AF" w:rsidRDefault="00CF72D5" w:rsidP="00897193">
            <w:pPr>
              <w:pStyle w:val="ARtabletext"/>
            </w:pPr>
            <w:r w:rsidRPr="002029AF">
              <w:t>Diesel</w:t>
            </w:r>
          </w:p>
        </w:tc>
        <w:tc>
          <w:tcPr>
            <w:tcW w:w="2268" w:type="dxa"/>
            <w:vAlign w:val="center"/>
          </w:tcPr>
          <w:p w14:paraId="6962907E" w14:textId="77777777" w:rsidR="00CF72D5" w:rsidRPr="002029AF" w:rsidRDefault="00CF72D5" w:rsidP="00897193">
            <w:pPr>
              <w:pStyle w:val="ARtabletextright"/>
            </w:pPr>
            <w:r w:rsidRPr="002029AF">
              <w:t>0.281</w:t>
            </w:r>
          </w:p>
        </w:tc>
        <w:tc>
          <w:tcPr>
            <w:tcW w:w="2268" w:type="dxa"/>
            <w:vAlign w:val="center"/>
          </w:tcPr>
          <w:p w14:paraId="054E2FBB" w14:textId="77777777" w:rsidR="00CF72D5" w:rsidRPr="002029AF" w:rsidRDefault="00CF72D5" w:rsidP="00897193">
            <w:pPr>
              <w:pStyle w:val="ARtabletextright"/>
            </w:pPr>
            <w:r w:rsidRPr="002029AF">
              <w:t>0.277</w:t>
            </w:r>
          </w:p>
        </w:tc>
        <w:tc>
          <w:tcPr>
            <w:tcW w:w="2268" w:type="dxa"/>
            <w:vAlign w:val="center"/>
          </w:tcPr>
          <w:p w14:paraId="2389D960" w14:textId="77777777" w:rsidR="00CF72D5" w:rsidRPr="002029AF" w:rsidRDefault="00CF72D5" w:rsidP="00897193">
            <w:pPr>
              <w:pStyle w:val="ARtabletextright"/>
            </w:pPr>
            <w:r w:rsidRPr="002029AF">
              <w:t>0.257</w:t>
            </w:r>
          </w:p>
        </w:tc>
      </w:tr>
      <w:tr w:rsidR="00CF72D5" w:rsidRPr="002029AF" w14:paraId="2C88C9A1" w14:textId="77777777" w:rsidTr="00897193">
        <w:trPr>
          <w:cantSplit/>
          <w:trHeight w:val="267"/>
        </w:trPr>
        <w:tc>
          <w:tcPr>
            <w:tcW w:w="2835" w:type="dxa"/>
          </w:tcPr>
          <w:p w14:paraId="0DDC1F67" w14:textId="719C420B" w:rsidR="00CF72D5" w:rsidRPr="002029AF" w:rsidRDefault="00CF72D5" w:rsidP="00897193">
            <w:pPr>
              <w:pStyle w:val="ARtabletext"/>
            </w:pPr>
            <w:r w:rsidRPr="002029AF">
              <w:t>State</w:t>
            </w:r>
            <w:r w:rsidR="000A5329" w:rsidRPr="002029AF">
              <w:t xml:space="preserve"> </w:t>
            </w:r>
            <w:r w:rsidRPr="002029AF">
              <w:t>government</w:t>
            </w:r>
            <w:r w:rsidR="000A5329" w:rsidRPr="002029AF">
              <w:t xml:space="preserve"> </w:t>
            </w:r>
            <w:r w:rsidRPr="002029AF">
              <w:t>vehicle</w:t>
            </w:r>
            <w:r w:rsidR="000A5329" w:rsidRPr="002029AF">
              <w:t xml:space="preserve"> </w:t>
            </w:r>
            <w:r w:rsidRPr="002029AF">
              <w:t>pool</w:t>
            </w:r>
          </w:p>
        </w:tc>
        <w:tc>
          <w:tcPr>
            <w:tcW w:w="2268" w:type="dxa"/>
            <w:vAlign w:val="center"/>
          </w:tcPr>
          <w:p w14:paraId="50AD74E1" w14:textId="77777777" w:rsidR="00CF72D5" w:rsidRPr="002029AF" w:rsidRDefault="00CF72D5" w:rsidP="00897193">
            <w:pPr>
              <w:pStyle w:val="ARtabletextright"/>
            </w:pPr>
            <w:r w:rsidRPr="002029AF">
              <w:t>0.180</w:t>
            </w:r>
          </w:p>
        </w:tc>
        <w:tc>
          <w:tcPr>
            <w:tcW w:w="2268" w:type="dxa"/>
            <w:vAlign w:val="center"/>
          </w:tcPr>
          <w:p w14:paraId="2969BA00" w14:textId="77777777" w:rsidR="00CF72D5" w:rsidRPr="002029AF" w:rsidRDefault="00CF72D5" w:rsidP="00897193">
            <w:pPr>
              <w:pStyle w:val="ARtabletextright"/>
            </w:pPr>
            <w:r w:rsidRPr="002029AF">
              <w:t>0.175</w:t>
            </w:r>
          </w:p>
        </w:tc>
        <w:tc>
          <w:tcPr>
            <w:tcW w:w="2268" w:type="dxa"/>
            <w:vAlign w:val="center"/>
          </w:tcPr>
          <w:p w14:paraId="581158CE" w14:textId="77777777" w:rsidR="00CF72D5" w:rsidRPr="002029AF" w:rsidRDefault="00CF72D5" w:rsidP="00897193">
            <w:pPr>
              <w:pStyle w:val="ARtabletextright"/>
            </w:pPr>
            <w:r w:rsidRPr="002029AF">
              <w:t>0.187</w:t>
            </w:r>
          </w:p>
        </w:tc>
      </w:tr>
      <w:tr w:rsidR="00CF72D5" w:rsidRPr="002029AF" w14:paraId="29419903" w14:textId="77777777" w:rsidTr="00897193">
        <w:trPr>
          <w:cantSplit/>
          <w:trHeight w:val="267"/>
        </w:trPr>
        <w:tc>
          <w:tcPr>
            <w:tcW w:w="2835" w:type="dxa"/>
          </w:tcPr>
          <w:p w14:paraId="16ABE375" w14:textId="77777777" w:rsidR="00CF72D5" w:rsidRPr="002029AF" w:rsidRDefault="00CF72D5" w:rsidP="00897193">
            <w:pPr>
              <w:pStyle w:val="ARtabletext"/>
              <w:rPr>
                <w:b/>
              </w:rPr>
            </w:pPr>
            <w:r w:rsidRPr="002029AF">
              <w:rPr>
                <w:b/>
              </w:rPr>
              <w:t>Total</w:t>
            </w:r>
          </w:p>
        </w:tc>
        <w:tc>
          <w:tcPr>
            <w:tcW w:w="2268" w:type="dxa"/>
            <w:vAlign w:val="center"/>
          </w:tcPr>
          <w:p w14:paraId="5B41BB4C" w14:textId="77777777" w:rsidR="00CF72D5" w:rsidRPr="002029AF" w:rsidRDefault="00CF72D5" w:rsidP="00897193">
            <w:pPr>
              <w:pStyle w:val="ARtabletextrightbold"/>
            </w:pPr>
            <w:r w:rsidRPr="002029AF">
              <w:t>0.227</w:t>
            </w:r>
          </w:p>
        </w:tc>
        <w:tc>
          <w:tcPr>
            <w:tcW w:w="2268" w:type="dxa"/>
            <w:vAlign w:val="center"/>
          </w:tcPr>
          <w:p w14:paraId="03BB2A81" w14:textId="77777777" w:rsidR="00CF72D5" w:rsidRPr="002029AF" w:rsidRDefault="00CF72D5" w:rsidP="00897193">
            <w:pPr>
              <w:pStyle w:val="ARtabletextrightbold"/>
            </w:pPr>
            <w:r w:rsidRPr="002029AF">
              <w:t>0.234</w:t>
            </w:r>
          </w:p>
        </w:tc>
        <w:tc>
          <w:tcPr>
            <w:tcW w:w="2268" w:type="dxa"/>
            <w:vAlign w:val="center"/>
          </w:tcPr>
          <w:p w14:paraId="3E5A4CD0" w14:textId="77777777" w:rsidR="00CF72D5" w:rsidRPr="002029AF" w:rsidRDefault="00CF72D5" w:rsidP="00897193">
            <w:pPr>
              <w:pStyle w:val="ARtabletextrightbold"/>
            </w:pPr>
            <w:r w:rsidRPr="002029AF">
              <w:t>0.229</w:t>
            </w:r>
          </w:p>
        </w:tc>
      </w:tr>
    </w:tbl>
    <w:p w14:paraId="5497CC93" w14:textId="2861E44C" w:rsidR="00CF72D5" w:rsidRPr="002029AF" w:rsidRDefault="00CF72D5" w:rsidP="00897193">
      <w:pPr>
        <w:pStyle w:val="ARtablefootnote"/>
      </w:pPr>
      <w:r w:rsidRPr="002029AF">
        <w:t>This</w:t>
      </w:r>
      <w:r w:rsidR="000A5329" w:rsidRPr="002029AF">
        <w:t xml:space="preserve"> </w:t>
      </w:r>
      <w:r w:rsidRPr="002029AF">
        <w:t>data</w:t>
      </w:r>
      <w:r w:rsidR="000A5329" w:rsidRPr="002029AF">
        <w:t xml:space="preserve"> </w:t>
      </w:r>
      <w:r w:rsidRPr="002029AF">
        <w:t>represents</w:t>
      </w:r>
      <w:r w:rsidR="000A5329" w:rsidRPr="002029AF">
        <w:t xml:space="preserve"> </w:t>
      </w:r>
      <w:r w:rsidRPr="002029AF">
        <w:t>all</w:t>
      </w:r>
      <w:r w:rsidR="000A5329" w:rsidRPr="002029AF">
        <w:t xml:space="preserve"> </w:t>
      </w:r>
      <w:r w:rsidRPr="002029AF">
        <w:t>operational</w:t>
      </w:r>
      <w:r w:rsidR="000A5329" w:rsidRPr="002029AF">
        <w:t xml:space="preserve"> </w:t>
      </w:r>
      <w:r w:rsidRPr="002029AF">
        <w:t>and</w:t>
      </w:r>
      <w:r w:rsidR="000A5329" w:rsidRPr="002029AF">
        <w:t xml:space="preserve"> </w:t>
      </w:r>
      <w:r w:rsidRPr="002029AF">
        <w:t>executive</w:t>
      </w:r>
      <w:r w:rsidR="000A5329" w:rsidRPr="002029AF">
        <w:t xml:space="preserve"> </w:t>
      </w:r>
      <w:r w:rsidRPr="002029AF">
        <w:t>fleet</w:t>
      </w:r>
      <w:r w:rsidR="000A5329" w:rsidRPr="002029AF">
        <w:t xml:space="preserve"> </w:t>
      </w:r>
      <w:r w:rsidRPr="002029AF">
        <w:t>vehicles.</w:t>
      </w:r>
      <w:r w:rsidR="000A5329" w:rsidRPr="002029AF">
        <w:t xml:space="preserve"> </w:t>
      </w:r>
      <w:r w:rsidRPr="002029AF">
        <w:t>Energy</w:t>
      </w:r>
      <w:r w:rsidR="000A5329" w:rsidRPr="002029AF">
        <w:t xml:space="preserve"> </w:t>
      </w:r>
      <w:r w:rsidRPr="002029AF">
        <w:t>use,</w:t>
      </w:r>
      <w:r w:rsidR="000A5329" w:rsidRPr="002029AF">
        <w:t xml:space="preserve"> </w:t>
      </w:r>
      <w:r w:rsidRPr="002029AF">
        <w:t>distance</w:t>
      </w:r>
      <w:r w:rsidR="000A5329" w:rsidRPr="002029AF">
        <w:t xml:space="preserve"> </w:t>
      </w:r>
      <w:r w:rsidRPr="002029AF">
        <w:t>travelled,</w:t>
      </w:r>
      <w:r w:rsidR="000A5329" w:rsidRPr="002029AF">
        <w:t xml:space="preserve"> </w:t>
      </w:r>
      <w:r w:rsidRPr="002029AF">
        <w:t>and</w:t>
      </w:r>
      <w:r w:rsidR="000A5329" w:rsidRPr="002029AF">
        <w:t xml:space="preserve"> </w:t>
      </w:r>
      <w:r w:rsidRPr="002029AF">
        <w:t>greenhouse</w:t>
      </w:r>
      <w:r w:rsidR="000A5329" w:rsidRPr="002029AF">
        <w:t xml:space="preserve"> </w:t>
      </w:r>
      <w:r w:rsidRPr="002029AF">
        <w:t>gas</w:t>
      </w:r>
      <w:r w:rsidR="000A5329" w:rsidRPr="002029AF">
        <w:t xml:space="preserve"> </w:t>
      </w:r>
      <w:r w:rsidRPr="002029AF">
        <w:t>emissions</w:t>
      </w:r>
      <w:r w:rsidR="000A5329" w:rsidRPr="002029AF">
        <w:t xml:space="preserve"> </w:t>
      </w:r>
      <w:r w:rsidRPr="002029AF">
        <w:t>transport</w:t>
      </w:r>
      <w:r w:rsidR="000A5329" w:rsidRPr="002029AF">
        <w:t xml:space="preserve"> </w:t>
      </w:r>
      <w:r w:rsidRPr="002029AF">
        <w:t>data</w:t>
      </w:r>
      <w:r w:rsidR="000A5329" w:rsidRPr="002029AF">
        <w:t xml:space="preserve"> </w:t>
      </w:r>
      <w:r w:rsidRPr="002029AF">
        <w:t>is</w:t>
      </w:r>
      <w:r w:rsidR="000A5329" w:rsidRPr="002029AF">
        <w:t xml:space="preserve"> </w:t>
      </w:r>
      <w:r w:rsidRPr="002029AF">
        <w:t>based</w:t>
      </w:r>
      <w:r w:rsidR="000A5329" w:rsidRPr="002029AF">
        <w:t xml:space="preserve"> </w:t>
      </w:r>
      <w:r w:rsidRPr="002029AF">
        <w:t>on</w:t>
      </w:r>
      <w:r w:rsidR="000A5329" w:rsidRPr="002029AF">
        <w:t xml:space="preserve"> </w:t>
      </w:r>
      <w:r w:rsidRPr="002029AF">
        <w:t>a</w:t>
      </w:r>
      <w:r w:rsidR="000A5329" w:rsidRPr="002029AF">
        <w:t xml:space="preserve"> </w:t>
      </w:r>
      <w:r w:rsidRPr="002029AF">
        <w:t>1</w:t>
      </w:r>
      <w:r w:rsidR="000A5329" w:rsidRPr="002029AF">
        <w:t xml:space="preserve"> </w:t>
      </w:r>
      <w:r w:rsidRPr="002029AF">
        <w:t>April</w:t>
      </w:r>
      <w:r w:rsidR="000A5329" w:rsidRPr="002029AF">
        <w:t xml:space="preserve"> </w:t>
      </w:r>
      <w:r w:rsidRPr="002029AF">
        <w:t>to</w:t>
      </w:r>
      <w:r w:rsidR="000A5329" w:rsidRPr="002029AF">
        <w:t xml:space="preserve"> </w:t>
      </w:r>
      <w:r w:rsidRPr="002029AF">
        <w:t>31</w:t>
      </w:r>
      <w:r w:rsidR="000A5329" w:rsidRPr="002029AF">
        <w:t xml:space="preserve"> </w:t>
      </w:r>
      <w:r w:rsidRPr="002029AF">
        <w:t>March</w:t>
      </w:r>
      <w:r w:rsidR="000A5329" w:rsidRPr="002029AF">
        <w:t xml:space="preserve"> </w:t>
      </w:r>
      <w:r w:rsidRPr="002029AF">
        <w:t>fringe</w:t>
      </w:r>
      <w:r w:rsidR="000A5329" w:rsidRPr="002029AF">
        <w:t xml:space="preserve"> </w:t>
      </w:r>
      <w:r w:rsidRPr="002029AF">
        <w:t>benefit</w:t>
      </w:r>
      <w:r w:rsidR="000A5329" w:rsidRPr="002029AF">
        <w:t xml:space="preserve"> </w:t>
      </w:r>
      <w:r w:rsidRPr="002029AF">
        <w:t>year.</w:t>
      </w:r>
    </w:p>
    <w:bookmarkEnd w:id="188"/>
    <w:p w14:paraId="5E8FFDFD" w14:textId="2F228BF9" w:rsidR="00CF72D5" w:rsidRPr="002029AF" w:rsidRDefault="00CF72D5" w:rsidP="00961519">
      <w:pPr>
        <w:pStyle w:val="Heading5"/>
        <w:spacing w:before="400" w:after="200"/>
        <w:rPr>
          <w:rFonts w:ascii="Arial Bold" w:hAnsi="Arial Bold"/>
          <w:color w:val="4B4B4B"/>
        </w:rPr>
      </w:pPr>
      <w:r w:rsidRPr="002029AF">
        <w:rPr>
          <w:rFonts w:ascii="Arial Bold" w:hAnsi="Arial Bold"/>
          <w:color w:val="4B4B4B"/>
        </w:rPr>
        <w:t>Public</w:t>
      </w:r>
      <w:r w:rsidR="000A5329" w:rsidRPr="002029AF">
        <w:rPr>
          <w:rFonts w:ascii="Arial Bold" w:hAnsi="Arial Bold"/>
          <w:color w:val="4B4B4B"/>
        </w:rPr>
        <w:t xml:space="preserve"> </w:t>
      </w:r>
      <w:r w:rsidRPr="002029AF">
        <w:rPr>
          <w:rFonts w:ascii="Arial Bold" w:hAnsi="Arial Bold"/>
          <w:color w:val="4B4B4B"/>
        </w:rPr>
        <w:t>health</w:t>
      </w:r>
      <w:r w:rsidR="000A5329" w:rsidRPr="002029AF">
        <w:rPr>
          <w:rFonts w:ascii="Arial Bold" w:hAnsi="Arial Bold"/>
          <w:color w:val="4B4B4B"/>
        </w:rPr>
        <w:t xml:space="preserve"> </w:t>
      </w:r>
      <w:r w:rsidRPr="002029AF">
        <w:rPr>
          <w:rFonts w:ascii="Arial Bold" w:hAnsi="Arial Bold"/>
          <w:color w:val="4B4B4B"/>
        </w:rPr>
        <w:t>services</w:t>
      </w:r>
    </w:p>
    <w:tbl>
      <w:tblPr>
        <w:tblW w:w="9636" w:type="dxa"/>
        <w:tblInd w:w="5" w:type="dxa"/>
        <w:tblBorders>
          <w:left w:val="single" w:sz="4" w:space="0" w:color="FFFFFF"/>
          <w:bottom w:val="single" w:sz="4" w:space="0" w:color="auto"/>
          <w:right w:val="single" w:sz="4" w:space="0" w:color="FFFFFF"/>
          <w:insideH w:val="single" w:sz="4" w:space="0" w:color="auto"/>
          <w:insideV w:val="single" w:sz="4" w:space="0" w:color="FFFFFF"/>
        </w:tblBorders>
        <w:tblLayout w:type="fixed"/>
        <w:tblCellMar>
          <w:left w:w="0" w:type="dxa"/>
        </w:tblCellMar>
        <w:tblLook w:val="00A0" w:firstRow="1" w:lastRow="0" w:firstColumn="1" w:lastColumn="0" w:noHBand="0" w:noVBand="0"/>
      </w:tblPr>
      <w:tblGrid>
        <w:gridCol w:w="2154"/>
        <w:gridCol w:w="1247"/>
        <w:gridCol w:w="1247"/>
        <w:gridCol w:w="1247"/>
        <w:gridCol w:w="1247"/>
        <w:gridCol w:w="1247"/>
        <w:gridCol w:w="1247"/>
      </w:tblGrid>
      <w:tr w:rsidR="00CF72D5" w:rsidRPr="002029AF" w14:paraId="67C0A298" w14:textId="77777777" w:rsidTr="00325283">
        <w:trPr>
          <w:cantSplit/>
          <w:trHeight w:val="302"/>
          <w:tblHeader/>
        </w:trPr>
        <w:tc>
          <w:tcPr>
            <w:tcW w:w="2154" w:type="dxa"/>
            <w:vAlign w:val="bottom"/>
          </w:tcPr>
          <w:p w14:paraId="550FC3E7" w14:textId="658255C0" w:rsidR="00CF72D5" w:rsidRPr="002029AF" w:rsidRDefault="00CF72D5" w:rsidP="00897193">
            <w:pPr>
              <w:pStyle w:val="ARtablecolhead"/>
            </w:pPr>
            <w:r w:rsidRPr="002029AF">
              <w:t>Hospital</w:t>
            </w:r>
            <w:r w:rsidR="000A5329" w:rsidRPr="002029AF">
              <w:t xml:space="preserve"> </w:t>
            </w:r>
            <w:r w:rsidRPr="002029AF">
              <w:t>emergency</w:t>
            </w:r>
            <w:r w:rsidR="000A5329" w:rsidRPr="002029AF">
              <w:t xml:space="preserve"> </w:t>
            </w:r>
            <w:r w:rsidRPr="002029AF">
              <w:t>transport</w:t>
            </w:r>
          </w:p>
        </w:tc>
        <w:tc>
          <w:tcPr>
            <w:tcW w:w="1247" w:type="dxa"/>
            <w:vAlign w:val="center"/>
          </w:tcPr>
          <w:p w14:paraId="58DB4B75" w14:textId="01366CE6" w:rsidR="00CF72D5" w:rsidRPr="002029AF" w:rsidRDefault="00CF72D5" w:rsidP="00897193">
            <w:pPr>
              <w:pStyle w:val="ARtablecolheadright"/>
            </w:pPr>
            <w:r w:rsidRPr="002029AF">
              <w:t>2019–20</w:t>
            </w:r>
            <w:r w:rsidR="000A5329" w:rsidRPr="002029AF">
              <w:t xml:space="preserve"> </w:t>
            </w:r>
            <w:r w:rsidRPr="002029AF">
              <w:br/>
              <w:t>estimate</w:t>
            </w:r>
          </w:p>
        </w:tc>
        <w:tc>
          <w:tcPr>
            <w:tcW w:w="1247" w:type="dxa"/>
            <w:vAlign w:val="center"/>
          </w:tcPr>
          <w:p w14:paraId="6FEABFD6" w14:textId="2F79E18F" w:rsidR="00CF72D5" w:rsidRPr="002029AF" w:rsidRDefault="00CF72D5" w:rsidP="00897193">
            <w:pPr>
              <w:pStyle w:val="ARtablecolheadright"/>
            </w:pPr>
            <w:r w:rsidRPr="002029AF">
              <w:t>2019–20</w:t>
            </w:r>
            <w:r w:rsidR="000A5329" w:rsidRPr="002029AF">
              <w:t xml:space="preserve"> </w:t>
            </w:r>
            <w:r w:rsidRPr="002029AF">
              <w:br/>
              <w:t>estimate</w:t>
            </w:r>
          </w:p>
        </w:tc>
        <w:tc>
          <w:tcPr>
            <w:tcW w:w="1247" w:type="dxa"/>
            <w:vAlign w:val="center"/>
          </w:tcPr>
          <w:p w14:paraId="1BCE6A02" w14:textId="297B2EB9" w:rsidR="00CF72D5" w:rsidRPr="002029AF" w:rsidRDefault="00CF72D5" w:rsidP="00897193">
            <w:pPr>
              <w:pStyle w:val="ARtablecolheadright"/>
            </w:pPr>
            <w:r w:rsidRPr="002029AF">
              <w:t>2018–19</w:t>
            </w:r>
            <w:r w:rsidR="000A5329" w:rsidRPr="002029AF">
              <w:t xml:space="preserve"> </w:t>
            </w:r>
            <w:r w:rsidRPr="002029AF">
              <w:br/>
              <w:t>estimate</w:t>
            </w:r>
          </w:p>
        </w:tc>
        <w:tc>
          <w:tcPr>
            <w:tcW w:w="1247" w:type="dxa"/>
            <w:vAlign w:val="center"/>
          </w:tcPr>
          <w:p w14:paraId="58C58C8B" w14:textId="4FE14A58" w:rsidR="00CF72D5" w:rsidRPr="002029AF" w:rsidRDefault="00CF72D5" w:rsidP="00897193">
            <w:pPr>
              <w:pStyle w:val="ARtablecolheadright"/>
            </w:pPr>
            <w:r w:rsidRPr="002029AF">
              <w:t>2018–19</w:t>
            </w:r>
            <w:r w:rsidR="000A5329" w:rsidRPr="002029AF">
              <w:t xml:space="preserve"> </w:t>
            </w:r>
            <w:r w:rsidRPr="002029AF">
              <w:br/>
              <w:t>estimate</w:t>
            </w:r>
          </w:p>
        </w:tc>
        <w:tc>
          <w:tcPr>
            <w:tcW w:w="1247" w:type="dxa"/>
            <w:vAlign w:val="center"/>
          </w:tcPr>
          <w:p w14:paraId="2DAD84B8" w14:textId="16368AF0" w:rsidR="00CF72D5" w:rsidRPr="002029AF" w:rsidRDefault="00CF72D5" w:rsidP="00897193">
            <w:pPr>
              <w:pStyle w:val="ARtablecolheadright"/>
            </w:pPr>
            <w:r w:rsidRPr="002029AF">
              <w:t>2017–18</w:t>
            </w:r>
            <w:r w:rsidR="000A5329" w:rsidRPr="002029AF">
              <w:t xml:space="preserve"> </w:t>
            </w:r>
            <w:r w:rsidRPr="002029AF">
              <w:br/>
              <w:t>estimate</w:t>
            </w:r>
          </w:p>
        </w:tc>
        <w:tc>
          <w:tcPr>
            <w:tcW w:w="1247" w:type="dxa"/>
            <w:vAlign w:val="center"/>
          </w:tcPr>
          <w:p w14:paraId="74C9409C" w14:textId="61A191F6" w:rsidR="00CF72D5" w:rsidRPr="002029AF" w:rsidRDefault="00CF72D5" w:rsidP="00897193">
            <w:pPr>
              <w:pStyle w:val="ARtablecolheadright"/>
            </w:pPr>
            <w:r w:rsidRPr="002029AF">
              <w:t>2017–18</w:t>
            </w:r>
            <w:r w:rsidR="000A5329" w:rsidRPr="002029AF">
              <w:t xml:space="preserve"> </w:t>
            </w:r>
            <w:r w:rsidRPr="002029AF">
              <w:br/>
              <w:t>estimate</w:t>
            </w:r>
          </w:p>
        </w:tc>
      </w:tr>
      <w:tr w:rsidR="00CF72D5" w:rsidRPr="002029AF" w14:paraId="0C6CD7AB" w14:textId="77777777" w:rsidTr="00325283">
        <w:trPr>
          <w:cantSplit/>
          <w:trHeight w:val="506"/>
          <w:tblHeader/>
        </w:trPr>
        <w:tc>
          <w:tcPr>
            <w:tcW w:w="2154" w:type="dxa"/>
            <w:vAlign w:val="bottom"/>
          </w:tcPr>
          <w:p w14:paraId="642AA038" w14:textId="08562E5E" w:rsidR="00CF72D5" w:rsidRPr="002029AF" w:rsidRDefault="00CF72D5" w:rsidP="00897193">
            <w:pPr>
              <w:pStyle w:val="ARtablecolhead"/>
              <w:rPr>
                <w:lang w:eastAsia="en-AU"/>
              </w:rPr>
            </w:pPr>
            <w:r w:rsidRPr="002029AF">
              <w:rPr>
                <w:lang w:eastAsia="en-AU"/>
              </w:rPr>
              <w:t>Total</w:t>
            </w:r>
            <w:r w:rsidR="000A5329" w:rsidRPr="002029AF">
              <w:rPr>
                <w:lang w:eastAsia="en-AU"/>
              </w:rPr>
              <w:t xml:space="preserve"> </w:t>
            </w:r>
            <w:r w:rsidRPr="002029AF">
              <w:rPr>
                <w:lang w:eastAsia="en-AU"/>
              </w:rPr>
              <w:t>fuel</w:t>
            </w:r>
            <w:r w:rsidR="000A5329" w:rsidRPr="002029AF">
              <w:rPr>
                <w:lang w:eastAsia="en-AU"/>
              </w:rPr>
              <w:t xml:space="preserve"> </w:t>
            </w:r>
            <w:r w:rsidRPr="002029AF">
              <w:rPr>
                <w:lang w:eastAsia="en-AU"/>
              </w:rPr>
              <w:t>usage</w:t>
            </w:r>
            <w:r w:rsidR="000A5329" w:rsidRPr="002029AF">
              <w:rPr>
                <w:lang w:eastAsia="en-AU"/>
              </w:rPr>
              <w:t xml:space="preserve"> </w:t>
            </w:r>
            <w:r w:rsidRPr="002029AF">
              <w:rPr>
                <w:lang w:eastAsia="en-AU"/>
              </w:rPr>
              <w:t>segmented</w:t>
            </w:r>
            <w:r w:rsidR="000A5329" w:rsidRPr="002029AF">
              <w:rPr>
                <w:lang w:eastAsia="en-AU"/>
              </w:rPr>
              <w:t xml:space="preserve"> </w:t>
            </w:r>
            <w:r w:rsidRPr="002029AF">
              <w:rPr>
                <w:lang w:eastAsia="en-AU"/>
              </w:rPr>
              <w:t>by</w:t>
            </w:r>
            <w:r w:rsidR="000A5329" w:rsidRPr="002029AF">
              <w:rPr>
                <w:lang w:eastAsia="en-AU"/>
              </w:rPr>
              <w:t xml:space="preserve"> </w:t>
            </w:r>
            <w:r w:rsidRPr="002029AF">
              <w:rPr>
                <w:lang w:eastAsia="en-AU"/>
              </w:rPr>
              <w:t>primary</w:t>
            </w:r>
            <w:r w:rsidR="000A5329" w:rsidRPr="002029AF">
              <w:rPr>
                <w:lang w:eastAsia="en-AU"/>
              </w:rPr>
              <w:t xml:space="preserve"> </w:t>
            </w:r>
            <w:r w:rsidRPr="002029AF">
              <w:rPr>
                <w:lang w:eastAsia="en-AU"/>
              </w:rPr>
              <w:t>source</w:t>
            </w:r>
          </w:p>
        </w:tc>
        <w:tc>
          <w:tcPr>
            <w:tcW w:w="1247" w:type="dxa"/>
            <w:vAlign w:val="bottom"/>
          </w:tcPr>
          <w:p w14:paraId="52517FFA" w14:textId="25BB787A" w:rsidR="00CF72D5" w:rsidRPr="002029AF" w:rsidRDefault="00CF72D5" w:rsidP="00897193">
            <w:pPr>
              <w:pStyle w:val="ARtablecolheadright"/>
              <w:rPr>
                <w:lang w:eastAsia="en-AU"/>
              </w:rPr>
            </w:pPr>
            <w:r w:rsidRPr="002029AF">
              <w:rPr>
                <w:lang w:eastAsia="en-AU"/>
              </w:rPr>
              <w:t>Fuel</w:t>
            </w:r>
            <w:r w:rsidR="000A5329" w:rsidRPr="002029AF">
              <w:rPr>
                <w:lang w:eastAsia="en-AU"/>
              </w:rPr>
              <w:t xml:space="preserve"> </w:t>
            </w:r>
            <w:r w:rsidRPr="002029AF">
              <w:rPr>
                <w:lang w:eastAsia="en-AU"/>
              </w:rPr>
              <w:t>volume</w:t>
            </w:r>
            <w:r w:rsidR="000A5329" w:rsidRPr="002029AF">
              <w:rPr>
                <w:lang w:eastAsia="en-AU"/>
              </w:rPr>
              <w:t xml:space="preserve"> </w:t>
            </w:r>
            <w:r w:rsidRPr="002029AF">
              <w:rPr>
                <w:lang w:eastAsia="en-AU"/>
              </w:rPr>
              <w:t>(kilolitres)</w:t>
            </w:r>
          </w:p>
        </w:tc>
        <w:tc>
          <w:tcPr>
            <w:tcW w:w="1247" w:type="dxa"/>
            <w:vAlign w:val="bottom"/>
          </w:tcPr>
          <w:p w14:paraId="1BA7686C" w14:textId="70DD6F31" w:rsidR="00CF72D5" w:rsidRPr="002029AF" w:rsidRDefault="00CF72D5" w:rsidP="00897193">
            <w:pPr>
              <w:pStyle w:val="ARtablecolheadright"/>
              <w:rPr>
                <w:lang w:eastAsia="en-AU"/>
              </w:rPr>
            </w:pPr>
            <w:r w:rsidRPr="002029AF">
              <w:rPr>
                <w:lang w:eastAsia="en-AU"/>
              </w:rPr>
              <w:t>Emissions</w:t>
            </w:r>
            <w:r w:rsidR="000A5329" w:rsidRPr="002029AF">
              <w:rPr>
                <w:lang w:eastAsia="en-AU"/>
              </w:rPr>
              <w:t xml:space="preserve"> </w:t>
            </w:r>
            <w:r w:rsidRPr="002029AF">
              <w:rPr>
                <w:lang w:eastAsia="en-AU"/>
              </w:rPr>
              <w:t>(tonnes</w:t>
            </w:r>
            <w:r w:rsidR="000A5329" w:rsidRPr="002029AF">
              <w:rPr>
                <w:lang w:eastAsia="en-AU"/>
              </w:rPr>
              <w:t xml:space="preserve"> </w:t>
            </w:r>
            <w:r w:rsidRPr="002029AF">
              <w:rPr>
                <w:lang w:eastAsia="en-AU"/>
              </w:rPr>
              <w:br/>
              <w:t>CO</w:t>
            </w:r>
            <w:r w:rsidRPr="002029AF">
              <w:rPr>
                <w:rFonts w:ascii="Arial Bold" w:hAnsi="Arial Bold"/>
                <w:vertAlign w:val="subscript"/>
                <w:lang w:eastAsia="en-AU"/>
              </w:rPr>
              <w:t>2</w:t>
            </w:r>
            <w:r w:rsidRPr="002029AF">
              <w:rPr>
                <w:lang w:eastAsia="en-AU"/>
              </w:rPr>
              <w:t>-e)</w:t>
            </w:r>
          </w:p>
        </w:tc>
        <w:tc>
          <w:tcPr>
            <w:tcW w:w="1247" w:type="dxa"/>
            <w:vAlign w:val="bottom"/>
          </w:tcPr>
          <w:p w14:paraId="005DBF78" w14:textId="5C9E61BB" w:rsidR="00CF72D5" w:rsidRPr="002029AF" w:rsidRDefault="00CF72D5" w:rsidP="00897193">
            <w:pPr>
              <w:pStyle w:val="ARtablecolheadright"/>
              <w:rPr>
                <w:lang w:eastAsia="en-AU"/>
              </w:rPr>
            </w:pPr>
            <w:r w:rsidRPr="002029AF">
              <w:rPr>
                <w:lang w:eastAsia="en-AU"/>
              </w:rPr>
              <w:t>Fuel</w:t>
            </w:r>
            <w:r w:rsidR="000A5329" w:rsidRPr="002029AF">
              <w:rPr>
                <w:lang w:eastAsia="en-AU"/>
              </w:rPr>
              <w:t xml:space="preserve"> </w:t>
            </w:r>
            <w:r w:rsidRPr="002029AF">
              <w:rPr>
                <w:lang w:eastAsia="en-AU"/>
              </w:rPr>
              <w:t>volume</w:t>
            </w:r>
            <w:r w:rsidRPr="002029AF">
              <w:rPr>
                <w:lang w:eastAsia="en-AU"/>
              </w:rPr>
              <w:br/>
              <w:t>(kilolitres)</w:t>
            </w:r>
          </w:p>
        </w:tc>
        <w:tc>
          <w:tcPr>
            <w:tcW w:w="1247" w:type="dxa"/>
            <w:vAlign w:val="bottom"/>
          </w:tcPr>
          <w:p w14:paraId="278715F8" w14:textId="117203A8" w:rsidR="00CF72D5" w:rsidRPr="002029AF" w:rsidRDefault="00CF72D5" w:rsidP="00897193">
            <w:pPr>
              <w:pStyle w:val="ARtablecolheadright"/>
              <w:rPr>
                <w:lang w:eastAsia="en-AU"/>
              </w:rPr>
            </w:pPr>
            <w:r w:rsidRPr="002029AF">
              <w:rPr>
                <w:lang w:eastAsia="en-AU"/>
              </w:rPr>
              <w:t>Emissions</w:t>
            </w:r>
            <w:r w:rsidR="000A5329" w:rsidRPr="002029AF">
              <w:rPr>
                <w:lang w:eastAsia="en-AU"/>
              </w:rPr>
              <w:t xml:space="preserve"> </w:t>
            </w:r>
            <w:r w:rsidRPr="002029AF">
              <w:rPr>
                <w:lang w:eastAsia="en-AU"/>
              </w:rPr>
              <w:t>(tonnes</w:t>
            </w:r>
            <w:r w:rsidR="000A5329" w:rsidRPr="002029AF">
              <w:rPr>
                <w:lang w:eastAsia="en-AU"/>
              </w:rPr>
              <w:t xml:space="preserve"> </w:t>
            </w:r>
            <w:r w:rsidRPr="002029AF">
              <w:rPr>
                <w:lang w:eastAsia="en-AU"/>
              </w:rPr>
              <w:br/>
              <w:t>CO</w:t>
            </w:r>
            <w:r w:rsidRPr="002029AF">
              <w:rPr>
                <w:rFonts w:ascii="Arial Bold" w:hAnsi="Arial Bold"/>
                <w:vertAlign w:val="subscript"/>
                <w:lang w:eastAsia="en-AU"/>
              </w:rPr>
              <w:t>2</w:t>
            </w:r>
            <w:r w:rsidRPr="002029AF">
              <w:rPr>
                <w:lang w:eastAsia="en-AU"/>
              </w:rPr>
              <w:t>-e)</w:t>
            </w:r>
          </w:p>
        </w:tc>
        <w:tc>
          <w:tcPr>
            <w:tcW w:w="1247" w:type="dxa"/>
            <w:vAlign w:val="bottom"/>
          </w:tcPr>
          <w:p w14:paraId="0462877E" w14:textId="32991681" w:rsidR="00CF72D5" w:rsidRPr="002029AF" w:rsidRDefault="00CF72D5" w:rsidP="00897193">
            <w:pPr>
              <w:pStyle w:val="ARtablecolheadright"/>
              <w:rPr>
                <w:lang w:eastAsia="en-AU"/>
              </w:rPr>
            </w:pPr>
            <w:r w:rsidRPr="002029AF">
              <w:rPr>
                <w:lang w:eastAsia="en-AU"/>
              </w:rPr>
              <w:t>Fuel</w:t>
            </w:r>
            <w:r w:rsidR="000A5329" w:rsidRPr="002029AF">
              <w:rPr>
                <w:lang w:eastAsia="en-AU"/>
              </w:rPr>
              <w:t xml:space="preserve"> </w:t>
            </w:r>
            <w:r w:rsidRPr="002029AF">
              <w:rPr>
                <w:lang w:eastAsia="en-AU"/>
              </w:rPr>
              <w:t>volume</w:t>
            </w:r>
            <w:r w:rsidRPr="002029AF">
              <w:rPr>
                <w:lang w:eastAsia="en-AU"/>
              </w:rPr>
              <w:br/>
              <w:t>(kilolitres)</w:t>
            </w:r>
          </w:p>
        </w:tc>
        <w:tc>
          <w:tcPr>
            <w:tcW w:w="1247" w:type="dxa"/>
            <w:vAlign w:val="bottom"/>
          </w:tcPr>
          <w:p w14:paraId="52F497B5" w14:textId="3E6F45A4" w:rsidR="00CF72D5" w:rsidRPr="002029AF" w:rsidRDefault="00CF72D5" w:rsidP="00897193">
            <w:pPr>
              <w:pStyle w:val="ARtablecolheadright"/>
              <w:rPr>
                <w:lang w:eastAsia="en-AU"/>
              </w:rPr>
            </w:pPr>
            <w:r w:rsidRPr="002029AF">
              <w:rPr>
                <w:lang w:eastAsia="en-AU"/>
              </w:rPr>
              <w:t>Emissions</w:t>
            </w:r>
            <w:r w:rsidR="000A5329" w:rsidRPr="002029AF">
              <w:rPr>
                <w:lang w:eastAsia="en-AU"/>
              </w:rPr>
              <w:t xml:space="preserve"> </w:t>
            </w:r>
            <w:r w:rsidRPr="002029AF">
              <w:rPr>
                <w:lang w:eastAsia="en-AU"/>
              </w:rPr>
              <w:t>(tonnes</w:t>
            </w:r>
            <w:r w:rsidR="000A5329" w:rsidRPr="002029AF">
              <w:rPr>
                <w:lang w:eastAsia="en-AU"/>
              </w:rPr>
              <w:t xml:space="preserve"> </w:t>
            </w:r>
            <w:r w:rsidRPr="002029AF">
              <w:rPr>
                <w:lang w:eastAsia="en-AU"/>
              </w:rPr>
              <w:br/>
              <w:t>CO</w:t>
            </w:r>
            <w:r w:rsidRPr="002029AF">
              <w:rPr>
                <w:rFonts w:ascii="Arial Bold" w:hAnsi="Arial Bold"/>
                <w:vertAlign w:val="subscript"/>
                <w:lang w:eastAsia="en-AU"/>
              </w:rPr>
              <w:t>2</w:t>
            </w:r>
            <w:r w:rsidRPr="002029AF">
              <w:rPr>
                <w:lang w:eastAsia="en-AU"/>
              </w:rPr>
              <w:t>-e)</w:t>
            </w:r>
          </w:p>
        </w:tc>
      </w:tr>
      <w:tr w:rsidR="00CF72D5" w:rsidRPr="002029AF" w14:paraId="499B4578" w14:textId="77777777" w:rsidTr="00897193">
        <w:trPr>
          <w:cantSplit/>
          <w:trHeight w:val="302"/>
        </w:trPr>
        <w:tc>
          <w:tcPr>
            <w:tcW w:w="2154" w:type="dxa"/>
          </w:tcPr>
          <w:p w14:paraId="469A7797" w14:textId="7DC977BA" w:rsidR="00CF72D5" w:rsidRPr="002029AF" w:rsidRDefault="00CF72D5" w:rsidP="00897193">
            <w:pPr>
              <w:pStyle w:val="ARtabletext"/>
            </w:pPr>
            <w:r w:rsidRPr="002029AF">
              <w:t>Gasoline</w:t>
            </w:r>
            <w:r w:rsidR="000A5329" w:rsidRPr="002029AF">
              <w:t xml:space="preserve"> </w:t>
            </w:r>
            <w:r w:rsidRPr="002029AF">
              <w:t>–</w:t>
            </w:r>
            <w:r w:rsidR="000A5329" w:rsidRPr="002029AF">
              <w:t xml:space="preserve"> </w:t>
            </w:r>
            <w:r w:rsidRPr="002029AF">
              <w:t>road</w:t>
            </w:r>
            <w:r w:rsidR="000A5329" w:rsidRPr="002029AF">
              <w:t xml:space="preserve"> </w:t>
            </w:r>
            <w:r w:rsidRPr="002029AF">
              <w:t>vehicles</w:t>
            </w:r>
          </w:p>
        </w:tc>
        <w:tc>
          <w:tcPr>
            <w:tcW w:w="1247" w:type="dxa"/>
            <w:vAlign w:val="center"/>
          </w:tcPr>
          <w:p w14:paraId="2EEAA5BC" w14:textId="77777777" w:rsidR="00CF72D5" w:rsidRPr="002029AF" w:rsidRDefault="00CF72D5" w:rsidP="00897193">
            <w:pPr>
              <w:pStyle w:val="ARtabletextright"/>
            </w:pPr>
            <w:r w:rsidRPr="002029AF">
              <w:t>108</w:t>
            </w:r>
          </w:p>
        </w:tc>
        <w:tc>
          <w:tcPr>
            <w:tcW w:w="1247" w:type="dxa"/>
            <w:vAlign w:val="center"/>
          </w:tcPr>
          <w:p w14:paraId="7AE4FAE1" w14:textId="77777777" w:rsidR="00CF72D5" w:rsidRPr="002029AF" w:rsidRDefault="00CF72D5" w:rsidP="00897193">
            <w:pPr>
              <w:pStyle w:val="ARtabletextright"/>
            </w:pPr>
            <w:r w:rsidRPr="002029AF">
              <w:t>249</w:t>
            </w:r>
          </w:p>
        </w:tc>
        <w:tc>
          <w:tcPr>
            <w:tcW w:w="1247" w:type="dxa"/>
            <w:vAlign w:val="center"/>
          </w:tcPr>
          <w:p w14:paraId="3D7984EC" w14:textId="77777777" w:rsidR="00CF72D5" w:rsidRPr="002029AF" w:rsidRDefault="00CF72D5" w:rsidP="00897193">
            <w:pPr>
              <w:pStyle w:val="ARtabletextright"/>
            </w:pPr>
            <w:r w:rsidRPr="002029AF">
              <w:t>389</w:t>
            </w:r>
          </w:p>
        </w:tc>
        <w:tc>
          <w:tcPr>
            <w:tcW w:w="1247" w:type="dxa"/>
            <w:vAlign w:val="center"/>
          </w:tcPr>
          <w:p w14:paraId="79ED1CE2" w14:textId="77777777" w:rsidR="00CF72D5" w:rsidRPr="002029AF" w:rsidRDefault="00CF72D5" w:rsidP="00897193">
            <w:pPr>
              <w:pStyle w:val="ARtabletextright"/>
            </w:pPr>
            <w:r w:rsidRPr="002029AF">
              <w:t>899</w:t>
            </w:r>
          </w:p>
        </w:tc>
        <w:tc>
          <w:tcPr>
            <w:tcW w:w="1247" w:type="dxa"/>
            <w:vAlign w:val="center"/>
          </w:tcPr>
          <w:p w14:paraId="187A116D" w14:textId="77777777" w:rsidR="00CF72D5" w:rsidRPr="002029AF" w:rsidRDefault="00CF72D5" w:rsidP="00897193">
            <w:pPr>
              <w:pStyle w:val="ARtabletextright"/>
            </w:pPr>
            <w:r w:rsidRPr="002029AF">
              <w:t>198</w:t>
            </w:r>
          </w:p>
        </w:tc>
        <w:tc>
          <w:tcPr>
            <w:tcW w:w="1247" w:type="dxa"/>
            <w:vAlign w:val="center"/>
          </w:tcPr>
          <w:p w14:paraId="1DFB37E0" w14:textId="77777777" w:rsidR="00CF72D5" w:rsidRPr="002029AF" w:rsidRDefault="00CF72D5" w:rsidP="00897193">
            <w:pPr>
              <w:pStyle w:val="ARtabletextright"/>
            </w:pPr>
            <w:r w:rsidRPr="002029AF">
              <w:t>458</w:t>
            </w:r>
          </w:p>
        </w:tc>
      </w:tr>
      <w:tr w:rsidR="00CF72D5" w:rsidRPr="002029AF" w14:paraId="55BFBA62" w14:textId="77777777" w:rsidTr="00897193">
        <w:trPr>
          <w:cantSplit/>
          <w:trHeight w:val="302"/>
        </w:trPr>
        <w:tc>
          <w:tcPr>
            <w:tcW w:w="2154" w:type="dxa"/>
          </w:tcPr>
          <w:p w14:paraId="64C4F62A" w14:textId="6FF063A3" w:rsidR="00CF72D5" w:rsidRPr="002029AF" w:rsidRDefault="00CF72D5" w:rsidP="00897193">
            <w:pPr>
              <w:pStyle w:val="ARtabletext"/>
            </w:pPr>
            <w:r w:rsidRPr="002029AF">
              <w:t>Diesel</w:t>
            </w:r>
            <w:r w:rsidR="000A5329" w:rsidRPr="002029AF">
              <w:t xml:space="preserve"> </w:t>
            </w:r>
            <w:r w:rsidRPr="002029AF">
              <w:t>–</w:t>
            </w:r>
            <w:r w:rsidR="000A5329" w:rsidRPr="002029AF">
              <w:t xml:space="preserve"> </w:t>
            </w:r>
            <w:r w:rsidRPr="002029AF">
              <w:t>road</w:t>
            </w:r>
            <w:r w:rsidR="000A5329" w:rsidRPr="002029AF">
              <w:t xml:space="preserve"> </w:t>
            </w:r>
            <w:r w:rsidRPr="002029AF">
              <w:t>vehicles</w:t>
            </w:r>
          </w:p>
        </w:tc>
        <w:tc>
          <w:tcPr>
            <w:tcW w:w="1247" w:type="dxa"/>
            <w:vAlign w:val="center"/>
          </w:tcPr>
          <w:p w14:paraId="7324A6D6" w14:textId="77777777" w:rsidR="00CF72D5" w:rsidRPr="002029AF" w:rsidRDefault="00CF72D5" w:rsidP="00897193">
            <w:pPr>
              <w:pStyle w:val="ARtabletextright"/>
            </w:pPr>
            <w:r w:rsidRPr="002029AF">
              <w:t>3,695</w:t>
            </w:r>
          </w:p>
        </w:tc>
        <w:tc>
          <w:tcPr>
            <w:tcW w:w="1247" w:type="dxa"/>
            <w:vAlign w:val="center"/>
          </w:tcPr>
          <w:p w14:paraId="60214A10" w14:textId="77777777" w:rsidR="00CF72D5" w:rsidRPr="002029AF" w:rsidRDefault="00CF72D5" w:rsidP="00897193">
            <w:pPr>
              <w:pStyle w:val="ARtabletextright"/>
            </w:pPr>
            <w:r w:rsidRPr="002029AF">
              <w:t>10,057</w:t>
            </w:r>
          </w:p>
        </w:tc>
        <w:tc>
          <w:tcPr>
            <w:tcW w:w="1247" w:type="dxa"/>
            <w:vAlign w:val="center"/>
          </w:tcPr>
          <w:p w14:paraId="78233E6C" w14:textId="77777777" w:rsidR="00CF72D5" w:rsidRPr="002029AF" w:rsidRDefault="00CF72D5" w:rsidP="00897193">
            <w:pPr>
              <w:pStyle w:val="ARtabletextright"/>
            </w:pPr>
            <w:r w:rsidRPr="002029AF">
              <w:t>4,206</w:t>
            </w:r>
          </w:p>
        </w:tc>
        <w:tc>
          <w:tcPr>
            <w:tcW w:w="1247" w:type="dxa"/>
            <w:vAlign w:val="center"/>
          </w:tcPr>
          <w:p w14:paraId="7B1EA3AD" w14:textId="77777777" w:rsidR="00CF72D5" w:rsidRPr="002029AF" w:rsidRDefault="00CF72D5" w:rsidP="00897193">
            <w:pPr>
              <w:pStyle w:val="ARtabletextright"/>
            </w:pPr>
            <w:r w:rsidRPr="002029AF">
              <w:t>11,449</w:t>
            </w:r>
          </w:p>
        </w:tc>
        <w:tc>
          <w:tcPr>
            <w:tcW w:w="1247" w:type="dxa"/>
            <w:vAlign w:val="center"/>
          </w:tcPr>
          <w:p w14:paraId="617A1A28" w14:textId="77777777" w:rsidR="00CF72D5" w:rsidRPr="002029AF" w:rsidRDefault="00CF72D5" w:rsidP="00897193">
            <w:pPr>
              <w:pStyle w:val="ARtabletextright"/>
            </w:pPr>
            <w:r w:rsidRPr="002029AF">
              <w:t>3,688</w:t>
            </w:r>
          </w:p>
        </w:tc>
        <w:tc>
          <w:tcPr>
            <w:tcW w:w="1247" w:type="dxa"/>
            <w:vAlign w:val="center"/>
          </w:tcPr>
          <w:p w14:paraId="244A698B" w14:textId="77777777" w:rsidR="00CF72D5" w:rsidRPr="002029AF" w:rsidRDefault="00CF72D5" w:rsidP="00897193">
            <w:pPr>
              <w:pStyle w:val="ARtabletextright"/>
            </w:pPr>
            <w:r w:rsidRPr="002029AF">
              <w:t>9,982</w:t>
            </w:r>
          </w:p>
        </w:tc>
      </w:tr>
      <w:tr w:rsidR="00CF72D5" w:rsidRPr="002029AF" w14:paraId="680E52D5" w14:textId="77777777" w:rsidTr="00897193">
        <w:trPr>
          <w:cantSplit/>
          <w:trHeight w:val="302"/>
        </w:trPr>
        <w:tc>
          <w:tcPr>
            <w:tcW w:w="2154" w:type="dxa"/>
          </w:tcPr>
          <w:p w14:paraId="375E26FB" w14:textId="68280E86" w:rsidR="00CF72D5" w:rsidRPr="002029AF" w:rsidRDefault="00CF72D5" w:rsidP="00897193">
            <w:pPr>
              <w:pStyle w:val="ARtabletext"/>
            </w:pPr>
            <w:r w:rsidRPr="002029AF">
              <w:t>LPG</w:t>
            </w:r>
            <w:r w:rsidR="000A5329" w:rsidRPr="002029AF">
              <w:t xml:space="preserve"> </w:t>
            </w:r>
            <w:r w:rsidRPr="002029AF">
              <w:t>–</w:t>
            </w:r>
            <w:r w:rsidR="000A5329" w:rsidRPr="002029AF">
              <w:t xml:space="preserve"> </w:t>
            </w:r>
            <w:r w:rsidRPr="002029AF">
              <w:t>road</w:t>
            </w:r>
            <w:r w:rsidR="000A5329" w:rsidRPr="002029AF">
              <w:t xml:space="preserve"> </w:t>
            </w:r>
            <w:r w:rsidRPr="002029AF">
              <w:t>vehicles</w:t>
            </w:r>
          </w:p>
        </w:tc>
        <w:tc>
          <w:tcPr>
            <w:tcW w:w="1247" w:type="dxa"/>
            <w:vAlign w:val="center"/>
          </w:tcPr>
          <w:p w14:paraId="320A3BCF" w14:textId="77777777" w:rsidR="00CF72D5" w:rsidRPr="002029AF" w:rsidRDefault="00CF72D5" w:rsidP="00897193">
            <w:pPr>
              <w:pStyle w:val="ARtabletextright"/>
            </w:pPr>
            <w:r w:rsidRPr="002029AF">
              <w:t>0</w:t>
            </w:r>
          </w:p>
        </w:tc>
        <w:tc>
          <w:tcPr>
            <w:tcW w:w="1247" w:type="dxa"/>
            <w:vAlign w:val="center"/>
          </w:tcPr>
          <w:p w14:paraId="4DA538C2" w14:textId="77777777" w:rsidR="00CF72D5" w:rsidRPr="002029AF" w:rsidRDefault="00CF72D5" w:rsidP="00897193">
            <w:pPr>
              <w:pStyle w:val="ARtabletextright"/>
            </w:pPr>
            <w:r w:rsidRPr="002029AF">
              <w:t>0</w:t>
            </w:r>
          </w:p>
        </w:tc>
        <w:tc>
          <w:tcPr>
            <w:tcW w:w="1247" w:type="dxa"/>
            <w:vAlign w:val="center"/>
          </w:tcPr>
          <w:p w14:paraId="567F4C08" w14:textId="77777777" w:rsidR="00CF72D5" w:rsidRPr="002029AF" w:rsidRDefault="00CF72D5" w:rsidP="00897193">
            <w:pPr>
              <w:pStyle w:val="ARtabletextright"/>
            </w:pPr>
            <w:r w:rsidRPr="002029AF">
              <w:t>0</w:t>
            </w:r>
          </w:p>
        </w:tc>
        <w:tc>
          <w:tcPr>
            <w:tcW w:w="1247" w:type="dxa"/>
            <w:vAlign w:val="center"/>
          </w:tcPr>
          <w:p w14:paraId="6C94BBC6" w14:textId="77777777" w:rsidR="00CF72D5" w:rsidRPr="002029AF" w:rsidRDefault="00CF72D5" w:rsidP="00897193">
            <w:pPr>
              <w:pStyle w:val="ARtabletextright"/>
            </w:pPr>
            <w:r w:rsidRPr="002029AF">
              <w:t>0</w:t>
            </w:r>
          </w:p>
        </w:tc>
        <w:tc>
          <w:tcPr>
            <w:tcW w:w="1247" w:type="dxa"/>
            <w:vAlign w:val="center"/>
          </w:tcPr>
          <w:p w14:paraId="20F49836" w14:textId="77777777" w:rsidR="00CF72D5" w:rsidRPr="002029AF" w:rsidRDefault="00CF72D5" w:rsidP="00897193">
            <w:pPr>
              <w:pStyle w:val="ARtabletextright"/>
            </w:pPr>
            <w:r w:rsidRPr="002029AF">
              <w:t>1</w:t>
            </w:r>
          </w:p>
        </w:tc>
        <w:tc>
          <w:tcPr>
            <w:tcW w:w="1247" w:type="dxa"/>
            <w:vAlign w:val="center"/>
          </w:tcPr>
          <w:p w14:paraId="62801E11" w14:textId="77777777" w:rsidR="00CF72D5" w:rsidRPr="002029AF" w:rsidRDefault="00CF72D5" w:rsidP="00897193">
            <w:pPr>
              <w:pStyle w:val="ARtabletextright"/>
            </w:pPr>
            <w:r w:rsidRPr="002029AF">
              <w:t>1</w:t>
            </w:r>
          </w:p>
        </w:tc>
      </w:tr>
      <w:tr w:rsidR="00CF72D5" w:rsidRPr="002029AF" w14:paraId="0195A28C" w14:textId="77777777" w:rsidTr="00897193">
        <w:trPr>
          <w:cantSplit/>
          <w:trHeight w:val="176"/>
        </w:trPr>
        <w:tc>
          <w:tcPr>
            <w:tcW w:w="2154" w:type="dxa"/>
          </w:tcPr>
          <w:p w14:paraId="088C9B5C" w14:textId="2AF3F1C6" w:rsidR="00CF72D5" w:rsidRPr="002029AF" w:rsidRDefault="00CF72D5" w:rsidP="00897193">
            <w:pPr>
              <w:pStyle w:val="ARtabletext"/>
            </w:pPr>
            <w:r w:rsidRPr="002029AF">
              <w:lastRenderedPageBreak/>
              <w:t>Aviation</w:t>
            </w:r>
            <w:r w:rsidR="000A5329" w:rsidRPr="002029AF">
              <w:t xml:space="preserve"> </w:t>
            </w:r>
            <w:r w:rsidRPr="002029AF">
              <w:t>fuel</w:t>
            </w:r>
          </w:p>
        </w:tc>
        <w:tc>
          <w:tcPr>
            <w:tcW w:w="1247" w:type="dxa"/>
            <w:vAlign w:val="center"/>
          </w:tcPr>
          <w:p w14:paraId="1530D411" w14:textId="77777777" w:rsidR="00CF72D5" w:rsidRPr="002029AF" w:rsidRDefault="00CF72D5" w:rsidP="00897193">
            <w:pPr>
              <w:pStyle w:val="ARtabletextright"/>
            </w:pPr>
            <w:r w:rsidRPr="002029AF">
              <w:t>4,201</w:t>
            </w:r>
          </w:p>
        </w:tc>
        <w:tc>
          <w:tcPr>
            <w:tcW w:w="1247" w:type="dxa"/>
            <w:vAlign w:val="center"/>
          </w:tcPr>
          <w:p w14:paraId="0D445A22" w14:textId="77777777" w:rsidR="00CF72D5" w:rsidRPr="002029AF" w:rsidRDefault="00CF72D5" w:rsidP="00897193">
            <w:pPr>
              <w:pStyle w:val="ARtabletextright"/>
            </w:pPr>
            <w:r w:rsidRPr="002029AF">
              <w:t>10,854</w:t>
            </w:r>
          </w:p>
        </w:tc>
        <w:tc>
          <w:tcPr>
            <w:tcW w:w="1247" w:type="dxa"/>
            <w:vAlign w:val="center"/>
          </w:tcPr>
          <w:p w14:paraId="1242888C" w14:textId="77777777" w:rsidR="00CF72D5" w:rsidRPr="002029AF" w:rsidRDefault="00CF72D5" w:rsidP="00897193">
            <w:pPr>
              <w:pStyle w:val="ARtabletextright"/>
            </w:pPr>
            <w:r w:rsidRPr="002029AF">
              <w:t>4,466</w:t>
            </w:r>
          </w:p>
        </w:tc>
        <w:tc>
          <w:tcPr>
            <w:tcW w:w="1247" w:type="dxa"/>
            <w:vAlign w:val="center"/>
          </w:tcPr>
          <w:p w14:paraId="1D7D0D32" w14:textId="77777777" w:rsidR="00CF72D5" w:rsidRPr="002029AF" w:rsidRDefault="00CF72D5" w:rsidP="00897193">
            <w:pPr>
              <w:pStyle w:val="ARtabletextright"/>
            </w:pPr>
            <w:r w:rsidRPr="002029AF">
              <w:t>11,538</w:t>
            </w:r>
          </w:p>
        </w:tc>
        <w:tc>
          <w:tcPr>
            <w:tcW w:w="1247" w:type="dxa"/>
            <w:vAlign w:val="center"/>
          </w:tcPr>
          <w:p w14:paraId="617002B1" w14:textId="77777777" w:rsidR="00CF72D5" w:rsidRPr="002029AF" w:rsidRDefault="00CF72D5" w:rsidP="00897193">
            <w:pPr>
              <w:pStyle w:val="ARtabletextright"/>
            </w:pPr>
            <w:r w:rsidRPr="002029AF">
              <w:t>4,352</w:t>
            </w:r>
          </w:p>
        </w:tc>
        <w:tc>
          <w:tcPr>
            <w:tcW w:w="1247" w:type="dxa"/>
            <w:vAlign w:val="center"/>
          </w:tcPr>
          <w:p w14:paraId="21241DBD" w14:textId="77777777" w:rsidR="00CF72D5" w:rsidRPr="002029AF" w:rsidRDefault="00CF72D5" w:rsidP="00897193">
            <w:pPr>
              <w:pStyle w:val="ARtabletextright"/>
            </w:pPr>
            <w:r w:rsidRPr="002029AF">
              <w:t>11,244</w:t>
            </w:r>
          </w:p>
        </w:tc>
      </w:tr>
      <w:tr w:rsidR="00CF72D5" w:rsidRPr="002029AF" w14:paraId="0927ABA2" w14:textId="77777777" w:rsidTr="00897193">
        <w:trPr>
          <w:cantSplit/>
          <w:trHeight w:val="268"/>
        </w:trPr>
        <w:tc>
          <w:tcPr>
            <w:tcW w:w="2154" w:type="dxa"/>
          </w:tcPr>
          <w:p w14:paraId="648981E4" w14:textId="77777777" w:rsidR="00CF72D5" w:rsidRPr="002029AF" w:rsidRDefault="00CF72D5" w:rsidP="00897193">
            <w:pPr>
              <w:pStyle w:val="ARtabletextbold"/>
            </w:pPr>
            <w:r w:rsidRPr="002029AF">
              <w:t>Total</w:t>
            </w:r>
          </w:p>
        </w:tc>
        <w:tc>
          <w:tcPr>
            <w:tcW w:w="1247" w:type="dxa"/>
            <w:vAlign w:val="center"/>
          </w:tcPr>
          <w:p w14:paraId="0A48E80A" w14:textId="77777777" w:rsidR="00CF72D5" w:rsidRPr="002029AF" w:rsidRDefault="00CF72D5" w:rsidP="00897193">
            <w:pPr>
              <w:pStyle w:val="ARtabletextrightbold"/>
            </w:pPr>
            <w:r w:rsidRPr="002029AF">
              <w:t>8,004</w:t>
            </w:r>
          </w:p>
        </w:tc>
        <w:tc>
          <w:tcPr>
            <w:tcW w:w="1247" w:type="dxa"/>
            <w:vAlign w:val="center"/>
          </w:tcPr>
          <w:p w14:paraId="29FA8F44" w14:textId="77777777" w:rsidR="00CF72D5" w:rsidRPr="002029AF" w:rsidRDefault="00CF72D5" w:rsidP="00897193">
            <w:pPr>
              <w:pStyle w:val="ARtabletextrightbold"/>
            </w:pPr>
            <w:r w:rsidRPr="002029AF">
              <w:t>21,160</w:t>
            </w:r>
          </w:p>
        </w:tc>
        <w:tc>
          <w:tcPr>
            <w:tcW w:w="1247" w:type="dxa"/>
            <w:vAlign w:val="center"/>
          </w:tcPr>
          <w:p w14:paraId="0C56F00F" w14:textId="77777777" w:rsidR="00CF72D5" w:rsidRPr="002029AF" w:rsidRDefault="00CF72D5" w:rsidP="00897193">
            <w:pPr>
              <w:pStyle w:val="ARtabletextrightbold"/>
            </w:pPr>
            <w:r w:rsidRPr="002029AF">
              <w:t>9,061</w:t>
            </w:r>
          </w:p>
        </w:tc>
        <w:tc>
          <w:tcPr>
            <w:tcW w:w="1247" w:type="dxa"/>
            <w:vAlign w:val="center"/>
          </w:tcPr>
          <w:p w14:paraId="7E442671" w14:textId="77777777" w:rsidR="00CF72D5" w:rsidRPr="002029AF" w:rsidRDefault="00CF72D5" w:rsidP="00897193">
            <w:pPr>
              <w:pStyle w:val="ARtabletextrightbold"/>
            </w:pPr>
            <w:r w:rsidRPr="002029AF">
              <w:t>23,885</w:t>
            </w:r>
          </w:p>
        </w:tc>
        <w:tc>
          <w:tcPr>
            <w:tcW w:w="1247" w:type="dxa"/>
            <w:vAlign w:val="center"/>
          </w:tcPr>
          <w:p w14:paraId="1783C9B2" w14:textId="77777777" w:rsidR="00CF72D5" w:rsidRPr="002029AF" w:rsidRDefault="00CF72D5" w:rsidP="00897193">
            <w:pPr>
              <w:pStyle w:val="ARtabletextrightbold"/>
            </w:pPr>
            <w:r w:rsidRPr="002029AF">
              <w:t>8,239</w:t>
            </w:r>
          </w:p>
        </w:tc>
        <w:tc>
          <w:tcPr>
            <w:tcW w:w="1247" w:type="dxa"/>
            <w:vAlign w:val="center"/>
          </w:tcPr>
          <w:p w14:paraId="35DD62E5" w14:textId="77777777" w:rsidR="00CF72D5" w:rsidRPr="002029AF" w:rsidRDefault="00CF72D5" w:rsidP="00897193">
            <w:pPr>
              <w:pStyle w:val="ARtabletextrightbold"/>
            </w:pPr>
            <w:r w:rsidRPr="002029AF">
              <w:t>21,684</w:t>
            </w:r>
          </w:p>
        </w:tc>
      </w:tr>
    </w:tbl>
    <w:p w14:paraId="51F0216B" w14:textId="70CC1326" w:rsidR="00CF72D5" w:rsidRPr="002029AF" w:rsidRDefault="00CF72D5" w:rsidP="00897193">
      <w:pPr>
        <w:pStyle w:val="ARtablefootnote"/>
      </w:pPr>
      <w:r w:rsidRPr="002029AF">
        <w:t>Data</w:t>
      </w:r>
      <w:r w:rsidR="000A5329" w:rsidRPr="002029AF">
        <w:t xml:space="preserve"> </w:t>
      </w:r>
      <w:r w:rsidRPr="002029AF">
        <w:t>includes</w:t>
      </w:r>
      <w:r w:rsidR="000A5329" w:rsidRPr="002029AF">
        <w:t xml:space="preserve"> </w:t>
      </w:r>
      <w:r w:rsidRPr="002029AF">
        <w:t>road</w:t>
      </w:r>
      <w:r w:rsidR="000A5329" w:rsidRPr="002029AF">
        <w:t xml:space="preserve"> </w:t>
      </w:r>
      <w:r w:rsidRPr="002029AF">
        <w:t>ambulance,</w:t>
      </w:r>
      <w:r w:rsidR="000A5329" w:rsidRPr="002029AF">
        <w:t xml:space="preserve"> </w:t>
      </w:r>
      <w:r w:rsidRPr="002029AF">
        <w:t>air</w:t>
      </w:r>
      <w:r w:rsidR="000A5329" w:rsidRPr="002029AF">
        <w:t xml:space="preserve"> </w:t>
      </w:r>
      <w:r w:rsidRPr="002029AF">
        <w:t>ambulance,</w:t>
      </w:r>
      <w:r w:rsidR="000A5329" w:rsidRPr="002029AF">
        <w:t xml:space="preserve"> </w:t>
      </w:r>
      <w:r w:rsidRPr="002029AF">
        <w:t>emergency</w:t>
      </w:r>
      <w:r w:rsidR="000A5329" w:rsidRPr="002029AF">
        <w:t xml:space="preserve"> </w:t>
      </w:r>
      <w:r w:rsidRPr="002029AF">
        <w:t>support</w:t>
      </w:r>
      <w:r w:rsidR="000A5329" w:rsidRPr="002029AF">
        <w:t xml:space="preserve"> </w:t>
      </w:r>
      <w:r w:rsidRPr="002029AF">
        <w:t>and</w:t>
      </w:r>
      <w:r w:rsidR="000A5329" w:rsidRPr="002029AF">
        <w:t xml:space="preserve"> </w:t>
      </w:r>
      <w:r w:rsidRPr="002029AF">
        <w:t>administrative</w:t>
      </w:r>
      <w:r w:rsidR="000A5329" w:rsidRPr="002029AF">
        <w:t xml:space="preserve"> </w:t>
      </w:r>
      <w:r w:rsidRPr="002029AF">
        <w:t>vehicles</w:t>
      </w:r>
      <w:r w:rsidR="000A5329" w:rsidRPr="002029AF">
        <w:t xml:space="preserve"> </w:t>
      </w:r>
      <w:r w:rsidRPr="002029AF">
        <w:t>and</w:t>
      </w:r>
      <w:r w:rsidR="000A5329" w:rsidRPr="002029AF">
        <w:t xml:space="preserve"> </w:t>
      </w:r>
      <w:r w:rsidRPr="002029AF">
        <w:t>non-emergency</w:t>
      </w:r>
      <w:r w:rsidR="000A5329" w:rsidRPr="002029AF">
        <w:t xml:space="preserve"> </w:t>
      </w:r>
      <w:r w:rsidRPr="002029AF">
        <w:t>patient</w:t>
      </w:r>
      <w:r w:rsidR="000A5329" w:rsidRPr="002029AF">
        <w:t xml:space="preserve"> </w:t>
      </w:r>
      <w:r w:rsidRPr="002029AF">
        <w:t>transport</w:t>
      </w:r>
      <w:r w:rsidR="000A5329" w:rsidRPr="002029AF">
        <w:t xml:space="preserve"> </w:t>
      </w:r>
      <w:r w:rsidRPr="002029AF">
        <w:t>managed</w:t>
      </w:r>
      <w:r w:rsidR="000A5329" w:rsidRPr="002029AF">
        <w:t xml:space="preserve"> </w:t>
      </w:r>
      <w:r w:rsidRPr="002029AF">
        <w:t>by</w:t>
      </w:r>
      <w:r w:rsidR="000A5329" w:rsidRPr="002029AF">
        <w:t xml:space="preserve"> </w:t>
      </w:r>
      <w:r w:rsidRPr="002029AF">
        <w:t>Ambulance</w:t>
      </w:r>
      <w:r w:rsidR="000A5329" w:rsidRPr="002029AF">
        <w:t xml:space="preserve"> </w:t>
      </w:r>
      <w:r w:rsidRPr="002029AF">
        <w:t>Victoria.</w:t>
      </w:r>
    </w:p>
    <w:p w14:paraId="043EEF39" w14:textId="3F9E0BDC" w:rsidR="00CF72D5" w:rsidRPr="002029AF" w:rsidRDefault="00CF72D5" w:rsidP="00897193">
      <w:pPr>
        <w:pStyle w:val="ARtablefootnote"/>
      </w:pPr>
      <w:r w:rsidRPr="002029AF">
        <w:t>In</w:t>
      </w:r>
      <w:r w:rsidR="000A5329" w:rsidRPr="002029AF">
        <w:t xml:space="preserve"> </w:t>
      </w:r>
      <w:r w:rsidRPr="002029AF">
        <w:t>201</w:t>
      </w:r>
      <w:r w:rsidR="00DB53E6" w:rsidRPr="002029AF">
        <w:t>9–</w:t>
      </w:r>
      <w:r w:rsidRPr="002029AF">
        <w:t>20</w:t>
      </w:r>
      <w:r w:rsidR="000A5329" w:rsidRPr="002029AF">
        <w:t xml:space="preserve"> </w:t>
      </w:r>
      <w:r w:rsidRPr="002029AF">
        <w:t>it</w:t>
      </w:r>
      <w:r w:rsidR="000A5329" w:rsidRPr="002029AF">
        <w:t xml:space="preserve"> </w:t>
      </w:r>
      <w:r w:rsidRPr="002029AF">
        <w:t>was</w:t>
      </w:r>
      <w:r w:rsidR="000A5329" w:rsidRPr="002029AF">
        <w:t xml:space="preserve"> </w:t>
      </w:r>
      <w:r w:rsidRPr="002029AF">
        <w:t>identified</w:t>
      </w:r>
      <w:r w:rsidR="000A5329" w:rsidRPr="002029AF">
        <w:t xml:space="preserve"> </w:t>
      </w:r>
      <w:r w:rsidRPr="002029AF">
        <w:t>the</w:t>
      </w:r>
      <w:r w:rsidR="000A5329" w:rsidRPr="002029AF">
        <w:t xml:space="preserve"> </w:t>
      </w:r>
      <w:r w:rsidRPr="002029AF">
        <w:t>incorrect</w:t>
      </w:r>
      <w:r w:rsidR="000A5329" w:rsidRPr="002029AF">
        <w:t xml:space="preserve"> </w:t>
      </w:r>
      <w:r w:rsidRPr="002029AF">
        <w:t>emissions</w:t>
      </w:r>
      <w:r w:rsidR="000A5329" w:rsidRPr="002029AF">
        <w:t xml:space="preserve"> </w:t>
      </w:r>
      <w:r w:rsidRPr="002029AF">
        <w:t>intensity</w:t>
      </w:r>
      <w:r w:rsidR="000A5329" w:rsidRPr="002029AF">
        <w:t xml:space="preserve"> </w:t>
      </w:r>
      <w:r w:rsidRPr="002029AF">
        <w:t>factor</w:t>
      </w:r>
      <w:r w:rsidR="000A5329" w:rsidRPr="002029AF">
        <w:t xml:space="preserve"> </w:t>
      </w:r>
      <w:r w:rsidRPr="002029AF">
        <w:t>had</w:t>
      </w:r>
      <w:r w:rsidR="000A5329" w:rsidRPr="002029AF">
        <w:t xml:space="preserve"> </w:t>
      </w:r>
      <w:r w:rsidRPr="002029AF">
        <w:t>been</w:t>
      </w:r>
      <w:r w:rsidR="000A5329" w:rsidRPr="002029AF">
        <w:t xml:space="preserve"> </w:t>
      </w:r>
      <w:r w:rsidRPr="002029AF">
        <w:t>used</w:t>
      </w:r>
      <w:r w:rsidR="000A5329" w:rsidRPr="002029AF">
        <w:t xml:space="preserve"> </w:t>
      </w:r>
      <w:r w:rsidRPr="002029AF">
        <w:t>for</w:t>
      </w:r>
      <w:r w:rsidR="000A5329" w:rsidRPr="002029AF">
        <w:t xml:space="preserve"> </w:t>
      </w:r>
      <w:r w:rsidRPr="002029AF">
        <w:t>aviation</w:t>
      </w:r>
      <w:r w:rsidR="000A5329" w:rsidRPr="002029AF">
        <w:t xml:space="preserve"> </w:t>
      </w:r>
      <w:r w:rsidRPr="002029AF">
        <w:t>fuel.</w:t>
      </w:r>
      <w:r w:rsidR="000A5329" w:rsidRPr="002029AF">
        <w:t xml:space="preserve"> </w:t>
      </w:r>
      <w:r w:rsidRPr="002029AF">
        <w:t>This</w:t>
      </w:r>
      <w:r w:rsidR="000A5329" w:rsidRPr="002029AF">
        <w:t xml:space="preserve"> </w:t>
      </w:r>
      <w:r w:rsidRPr="002029AF">
        <w:t>has</w:t>
      </w:r>
      <w:r w:rsidR="000A5329" w:rsidRPr="002029AF">
        <w:t xml:space="preserve"> </w:t>
      </w:r>
      <w:r w:rsidRPr="002029AF">
        <w:t>been</w:t>
      </w:r>
      <w:r w:rsidR="000A5329" w:rsidRPr="002029AF">
        <w:t xml:space="preserve"> </w:t>
      </w:r>
      <w:r w:rsidRPr="002029AF">
        <w:t>updated</w:t>
      </w:r>
      <w:r w:rsidR="000A5329" w:rsidRPr="002029AF">
        <w:t xml:space="preserve"> </w:t>
      </w:r>
      <w:r w:rsidRPr="002029AF">
        <w:t>and</w:t>
      </w:r>
      <w:r w:rsidR="000A5329" w:rsidRPr="002029AF">
        <w:t xml:space="preserve"> </w:t>
      </w:r>
      <w:r w:rsidRPr="002029AF">
        <w:t>applied</w:t>
      </w:r>
      <w:r w:rsidR="000A5329" w:rsidRPr="002029AF">
        <w:t xml:space="preserve"> </w:t>
      </w:r>
      <w:r w:rsidRPr="002029AF">
        <w:t>retrospectively.</w:t>
      </w:r>
    </w:p>
    <w:tbl>
      <w:tblPr>
        <w:tblW w:w="9636" w:type="dxa"/>
        <w:tblInd w:w="5" w:type="dxa"/>
        <w:tblBorders>
          <w:left w:val="single" w:sz="4" w:space="0" w:color="FFFFFF"/>
          <w:bottom w:val="single" w:sz="4" w:space="0" w:color="auto"/>
          <w:right w:val="single" w:sz="4" w:space="0" w:color="FFFFFF"/>
          <w:insideH w:val="single" w:sz="4" w:space="0" w:color="auto"/>
          <w:insideV w:val="single" w:sz="4" w:space="0" w:color="FFFFFF"/>
        </w:tblBorders>
        <w:tblLayout w:type="fixed"/>
        <w:tblCellMar>
          <w:left w:w="0" w:type="dxa"/>
        </w:tblCellMar>
        <w:tblLook w:val="00A0" w:firstRow="1" w:lastRow="0" w:firstColumn="1" w:lastColumn="0" w:noHBand="0" w:noVBand="0"/>
      </w:tblPr>
      <w:tblGrid>
        <w:gridCol w:w="2154"/>
        <w:gridCol w:w="1247"/>
        <w:gridCol w:w="1247"/>
        <w:gridCol w:w="1247"/>
        <w:gridCol w:w="1247"/>
        <w:gridCol w:w="1247"/>
        <w:gridCol w:w="1247"/>
      </w:tblGrid>
      <w:tr w:rsidR="00CF72D5" w:rsidRPr="002029AF" w14:paraId="29BAD61D" w14:textId="77777777" w:rsidTr="00325283">
        <w:trPr>
          <w:cantSplit/>
          <w:trHeight w:val="302"/>
          <w:tblHeader/>
        </w:trPr>
        <w:tc>
          <w:tcPr>
            <w:tcW w:w="2154" w:type="dxa"/>
            <w:vAlign w:val="bottom"/>
          </w:tcPr>
          <w:p w14:paraId="7D6C2004" w14:textId="59C5974F" w:rsidR="00CF72D5" w:rsidRPr="002029AF" w:rsidRDefault="00CF72D5" w:rsidP="00897193">
            <w:pPr>
              <w:pStyle w:val="ARtablecolhead"/>
            </w:pPr>
            <w:r w:rsidRPr="002029AF">
              <w:t>Health</w:t>
            </w:r>
            <w:r w:rsidR="000A5329" w:rsidRPr="002029AF">
              <w:t xml:space="preserve"> </w:t>
            </w:r>
            <w:r w:rsidRPr="002029AF">
              <w:t>service</w:t>
            </w:r>
            <w:r w:rsidR="000A5329" w:rsidRPr="002029AF">
              <w:t xml:space="preserve"> </w:t>
            </w:r>
            <w:r w:rsidRPr="002029AF">
              <w:t>vehicle</w:t>
            </w:r>
            <w:r w:rsidR="000A5329" w:rsidRPr="002029AF">
              <w:t xml:space="preserve"> </w:t>
            </w:r>
            <w:r w:rsidRPr="002029AF">
              <w:t>fleet</w:t>
            </w:r>
            <w:r w:rsidR="000A5329" w:rsidRPr="002029AF">
              <w:t xml:space="preserve"> </w:t>
            </w:r>
          </w:p>
        </w:tc>
        <w:tc>
          <w:tcPr>
            <w:tcW w:w="1247" w:type="dxa"/>
            <w:vAlign w:val="center"/>
          </w:tcPr>
          <w:p w14:paraId="38153024" w14:textId="255EC1B5" w:rsidR="00CF72D5" w:rsidRPr="002029AF" w:rsidRDefault="00CF72D5" w:rsidP="00897193">
            <w:pPr>
              <w:pStyle w:val="ARtablecolheadright"/>
            </w:pPr>
            <w:r w:rsidRPr="002029AF">
              <w:t>2019–20</w:t>
            </w:r>
            <w:r w:rsidR="000A5329" w:rsidRPr="002029AF">
              <w:t xml:space="preserve"> </w:t>
            </w:r>
            <w:r w:rsidRPr="002029AF">
              <w:br/>
              <w:t>estimate</w:t>
            </w:r>
          </w:p>
        </w:tc>
        <w:tc>
          <w:tcPr>
            <w:tcW w:w="1247" w:type="dxa"/>
            <w:vAlign w:val="center"/>
          </w:tcPr>
          <w:p w14:paraId="1FE4A421" w14:textId="317642EB" w:rsidR="00CF72D5" w:rsidRPr="002029AF" w:rsidRDefault="00CF72D5" w:rsidP="00897193">
            <w:pPr>
              <w:pStyle w:val="ARtablecolheadright"/>
            </w:pPr>
            <w:r w:rsidRPr="002029AF">
              <w:t>2019–20</w:t>
            </w:r>
            <w:r w:rsidR="000A5329" w:rsidRPr="002029AF">
              <w:t xml:space="preserve"> </w:t>
            </w:r>
            <w:r w:rsidRPr="002029AF">
              <w:br/>
              <w:t>estimate</w:t>
            </w:r>
          </w:p>
        </w:tc>
        <w:tc>
          <w:tcPr>
            <w:tcW w:w="1247" w:type="dxa"/>
            <w:vAlign w:val="center"/>
          </w:tcPr>
          <w:p w14:paraId="217951AB" w14:textId="008549B7" w:rsidR="00CF72D5" w:rsidRPr="002029AF" w:rsidRDefault="00CF72D5" w:rsidP="00897193">
            <w:pPr>
              <w:pStyle w:val="ARtablecolheadright"/>
            </w:pPr>
            <w:r w:rsidRPr="002029AF">
              <w:t>2018–19</w:t>
            </w:r>
            <w:r w:rsidR="000A5329" w:rsidRPr="002029AF">
              <w:t xml:space="preserve"> </w:t>
            </w:r>
            <w:r w:rsidRPr="002029AF">
              <w:br/>
              <w:t>estimate</w:t>
            </w:r>
          </w:p>
        </w:tc>
        <w:tc>
          <w:tcPr>
            <w:tcW w:w="1247" w:type="dxa"/>
            <w:vAlign w:val="center"/>
          </w:tcPr>
          <w:p w14:paraId="463ED221" w14:textId="34E4316D" w:rsidR="00CF72D5" w:rsidRPr="002029AF" w:rsidRDefault="00CF72D5" w:rsidP="00897193">
            <w:pPr>
              <w:pStyle w:val="ARtablecolheadright"/>
            </w:pPr>
            <w:r w:rsidRPr="002029AF">
              <w:t>2018–19</w:t>
            </w:r>
            <w:r w:rsidR="000A5329" w:rsidRPr="002029AF">
              <w:t xml:space="preserve"> </w:t>
            </w:r>
            <w:r w:rsidRPr="002029AF">
              <w:br/>
              <w:t>estimate</w:t>
            </w:r>
          </w:p>
        </w:tc>
        <w:tc>
          <w:tcPr>
            <w:tcW w:w="1247" w:type="dxa"/>
            <w:vAlign w:val="center"/>
          </w:tcPr>
          <w:p w14:paraId="731020FD" w14:textId="57B45A2C" w:rsidR="00CF72D5" w:rsidRPr="002029AF" w:rsidRDefault="00CF72D5" w:rsidP="00897193">
            <w:pPr>
              <w:pStyle w:val="ARtablecolheadright"/>
            </w:pPr>
            <w:r w:rsidRPr="002029AF">
              <w:t>2017–18</w:t>
            </w:r>
            <w:r w:rsidR="000A5329" w:rsidRPr="002029AF">
              <w:t xml:space="preserve"> </w:t>
            </w:r>
            <w:r w:rsidRPr="002029AF">
              <w:br/>
              <w:t>estimate</w:t>
            </w:r>
          </w:p>
        </w:tc>
        <w:tc>
          <w:tcPr>
            <w:tcW w:w="1247" w:type="dxa"/>
            <w:vAlign w:val="center"/>
          </w:tcPr>
          <w:p w14:paraId="4CCE846B" w14:textId="00D66BC6" w:rsidR="00CF72D5" w:rsidRPr="002029AF" w:rsidRDefault="00CF72D5" w:rsidP="00897193">
            <w:pPr>
              <w:pStyle w:val="ARtablecolheadright"/>
            </w:pPr>
            <w:r w:rsidRPr="002029AF">
              <w:t>2017–18</w:t>
            </w:r>
            <w:r w:rsidR="000A5329" w:rsidRPr="002029AF">
              <w:t xml:space="preserve"> </w:t>
            </w:r>
            <w:r w:rsidRPr="002029AF">
              <w:br/>
              <w:t>estimate</w:t>
            </w:r>
          </w:p>
        </w:tc>
      </w:tr>
      <w:tr w:rsidR="00CF72D5" w:rsidRPr="002029AF" w14:paraId="74C0DB4C" w14:textId="77777777" w:rsidTr="00325283">
        <w:trPr>
          <w:cantSplit/>
          <w:trHeight w:val="506"/>
          <w:tblHeader/>
        </w:trPr>
        <w:tc>
          <w:tcPr>
            <w:tcW w:w="2154" w:type="dxa"/>
            <w:vAlign w:val="bottom"/>
          </w:tcPr>
          <w:p w14:paraId="7FB4D6D2" w14:textId="75FB7C61" w:rsidR="00CF72D5" w:rsidRPr="002029AF" w:rsidRDefault="00CF72D5" w:rsidP="00897193">
            <w:pPr>
              <w:pStyle w:val="ARtablecolhead"/>
              <w:rPr>
                <w:lang w:eastAsia="en-AU"/>
              </w:rPr>
            </w:pPr>
            <w:r w:rsidRPr="002029AF">
              <w:rPr>
                <w:lang w:eastAsia="en-AU"/>
              </w:rPr>
              <w:t>Total</w:t>
            </w:r>
            <w:r w:rsidR="000A5329" w:rsidRPr="002029AF">
              <w:rPr>
                <w:lang w:eastAsia="en-AU"/>
              </w:rPr>
              <w:t xml:space="preserve"> </w:t>
            </w:r>
            <w:r w:rsidRPr="002029AF">
              <w:rPr>
                <w:lang w:eastAsia="en-AU"/>
              </w:rPr>
              <w:t>fuel</w:t>
            </w:r>
            <w:r w:rsidR="000A5329" w:rsidRPr="002029AF">
              <w:rPr>
                <w:lang w:eastAsia="en-AU"/>
              </w:rPr>
              <w:t xml:space="preserve"> </w:t>
            </w:r>
            <w:r w:rsidRPr="002029AF">
              <w:rPr>
                <w:lang w:eastAsia="en-AU"/>
              </w:rPr>
              <w:t>usage</w:t>
            </w:r>
            <w:r w:rsidR="000A5329" w:rsidRPr="002029AF">
              <w:rPr>
                <w:lang w:eastAsia="en-AU"/>
              </w:rPr>
              <w:t xml:space="preserve"> </w:t>
            </w:r>
            <w:r w:rsidRPr="002029AF">
              <w:rPr>
                <w:lang w:eastAsia="en-AU"/>
              </w:rPr>
              <w:t>segmented</w:t>
            </w:r>
            <w:r w:rsidR="000A5329" w:rsidRPr="002029AF">
              <w:rPr>
                <w:lang w:eastAsia="en-AU"/>
              </w:rPr>
              <w:t xml:space="preserve"> </w:t>
            </w:r>
            <w:r w:rsidRPr="002029AF">
              <w:rPr>
                <w:lang w:eastAsia="en-AU"/>
              </w:rPr>
              <w:t>by</w:t>
            </w:r>
            <w:r w:rsidR="000A5329" w:rsidRPr="002029AF">
              <w:rPr>
                <w:lang w:eastAsia="en-AU"/>
              </w:rPr>
              <w:t xml:space="preserve"> </w:t>
            </w:r>
            <w:r w:rsidRPr="002029AF">
              <w:rPr>
                <w:lang w:eastAsia="en-AU"/>
              </w:rPr>
              <w:t>primary</w:t>
            </w:r>
            <w:r w:rsidR="000A5329" w:rsidRPr="002029AF">
              <w:rPr>
                <w:lang w:eastAsia="en-AU"/>
              </w:rPr>
              <w:t xml:space="preserve"> </w:t>
            </w:r>
            <w:r w:rsidRPr="002029AF">
              <w:rPr>
                <w:lang w:eastAsia="en-AU"/>
              </w:rPr>
              <w:t>source</w:t>
            </w:r>
          </w:p>
        </w:tc>
        <w:tc>
          <w:tcPr>
            <w:tcW w:w="1247" w:type="dxa"/>
            <w:vAlign w:val="bottom"/>
          </w:tcPr>
          <w:p w14:paraId="57A230A5" w14:textId="3ACB6F4C" w:rsidR="00CF72D5" w:rsidRPr="002029AF" w:rsidRDefault="00CF72D5" w:rsidP="00897193">
            <w:pPr>
              <w:pStyle w:val="ARtablecolheadright"/>
              <w:rPr>
                <w:lang w:eastAsia="en-AU"/>
              </w:rPr>
            </w:pPr>
            <w:r w:rsidRPr="002029AF">
              <w:rPr>
                <w:lang w:eastAsia="en-AU"/>
              </w:rPr>
              <w:t>Fuel</w:t>
            </w:r>
            <w:r w:rsidR="000A5329" w:rsidRPr="002029AF">
              <w:rPr>
                <w:lang w:eastAsia="en-AU"/>
              </w:rPr>
              <w:t xml:space="preserve"> </w:t>
            </w:r>
            <w:r w:rsidRPr="002029AF">
              <w:rPr>
                <w:lang w:eastAsia="en-AU"/>
              </w:rPr>
              <w:t>volume</w:t>
            </w:r>
            <w:r w:rsidR="000A5329" w:rsidRPr="002029AF">
              <w:rPr>
                <w:lang w:eastAsia="en-AU"/>
              </w:rPr>
              <w:t xml:space="preserve"> </w:t>
            </w:r>
            <w:r w:rsidRPr="002029AF">
              <w:rPr>
                <w:lang w:eastAsia="en-AU"/>
              </w:rPr>
              <w:t>(kilolitres)</w:t>
            </w:r>
          </w:p>
        </w:tc>
        <w:tc>
          <w:tcPr>
            <w:tcW w:w="1247" w:type="dxa"/>
            <w:vAlign w:val="bottom"/>
          </w:tcPr>
          <w:p w14:paraId="04311B9D" w14:textId="3ACF88AB" w:rsidR="00CF72D5" w:rsidRPr="002029AF" w:rsidRDefault="00CF72D5" w:rsidP="00897193">
            <w:pPr>
              <w:pStyle w:val="ARtablecolheadright"/>
              <w:rPr>
                <w:lang w:eastAsia="en-AU"/>
              </w:rPr>
            </w:pPr>
            <w:r w:rsidRPr="002029AF">
              <w:rPr>
                <w:lang w:eastAsia="en-AU"/>
              </w:rPr>
              <w:t>Emissions</w:t>
            </w:r>
            <w:r w:rsidR="000A5329" w:rsidRPr="002029AF">
              <w:rPr>
                <w:lang w:eastAsia="en-AU"/>
              </w:rPr>
              <w:t xml:space="preserve"> </w:t>
            </w:r>
            <w:r w:rsidRPr="002029AF">
              <w:rPr>
                <w:lang w:eastAsia="en-AU"/>
              </w:rPr>
              <w:t>(tonnes</w:t>
            </w:r>
            <w:r w:rsidR="000A5329" w:rsidRPr="002029AF">
              <w:rPr>
                <w:lang w:eastAsia="en-AU"/>
              </w:rPr>
              <w:t xml:space="preserve"> </w:t>
            </w:r>
            <w:r w:rsidRPr="002029AF">
              <w:rPr>
                <w:lang w:eastAsia="en-AU"/>
              </w:rPr>
              <w:br/>
              <w:t>CO</w:t>
            </w:r>
            <w:r w:rsidRPr="002029AF">
              <w:rPr>
                <w:rFonts w:ascii="Arial Bold" w:hAnsi="Arial Bold"/>
                <w:vertAlign w:val="subscript"/>
                <w:lang w:eastAsia="en-AU"/>
              </w:rPr>
              <w:t>2</w:t>
            </w:r>
            <w:r w:rsidRPr="002029AF">
              <w:rPr>
                <w:lang w:eastAsia="en-AU"/>
              </w:rPr>
              <w:t>-e)</w:t>
            </w:r>
          </w:p>
        </w:tc>
        <w:tc>
          <w:tcPr>
            <w:tcW w:w="1247" w:type="dxa"/>
            <w:vAlign w:val="bottom"/>
          </w:tcPr>
          <w:p w14:paraId="6AFCF833" w14:textId="082E268E" w:rsidR="00CF72D5" w:rsidRPr="002029AF" w:rsidRDefault="00CF72D5" w:rsidP="00897193">
            <w:pPr>
              <w:pStyle w:val="ARtablecolheadright"/>
              <w:rPr>
                <w:lang w:eastAsia="en-AU"/>
              </w:rPr>
            </w:pPr>
            <w:r w:rsidRPr="002029AF">
              <w:rPr>
                <w:lang w:eastAsia="en-AU"/>
              </w:rPr>
              <w:t>Fuel</w:t>
            </w:r>
            <w:r w:rsidR="000A5329" w:rsidRPr="002029AF">
              <w:rPr>
                <w:lang w:eastAsia="en-AU"/>
              </w:rPr>
              <w:t xml:space="preserve"> </w:t>
            </w:r>
            <w:r w:rsidRPr="002029AF">
              <w:rPr>
                <w:lang w:eastAsia="en-AU"/>
              </w:rPr>
              <w:t>volume</w:t>
            </w:r>
            <w:r w:rsidRPr="002029AF">
              <w:rPr>
                <w:lang w:eastAsia="en-AU"/>
              </w:rPr>
              <w:br/>
              <w:t>(kilolitres)</w:t>
            </w:r>
          </w:p>
        </w:tc>
        <w:tc>
          <w:tcPr>
            <w:tcW w:w="1247" w:type="dxa"/>
            <w:vAlign w:val="bottom"/>
          </w:tcPr>
          <w:p w14:paraId="05CAB624" w14:textId="27A319CD" w:rsidR="00CF72D5" w:rsidRPr="002029AF" w:rsidRDefault="00CF72D5" w:rsidP="00897193">
            <w:pPr>
              <w:pStyle w:val="ARtablecolheadright"/>
              <w:rPr>
                <w:lang w:eastAsia="en-AU"/>
              </w:rPr>
            </w:pPr>
            <w:r w:rsidRPr="002029AF">
              <w:rPr>
                <w:lang w:eastAsia="en-AU"/>
              </w:rPr>
              <w:t>Emissions</w:t>
            </w:r>
            <w:r w:rsidR="000A5329" w:rsidRPr="002029AF">
              <w:rPr>
                <w:lang w:eastAsia="en-AU"/>
              </w:rPr>
              <w:t xml:space="preserve"> </w:t>
            </w:r>
            <w:r w:rsidRPr="002029AF">
              <w:rPr>
                <w:lang w:eastAsia="en-AU"/>
              </w:rPr>
              <w:t>(tonnes</w:t>
            </w:r>
            <w:r w:rsidR="000A5329" w:rsidRPr="002029AF">
              <w:rPr>
                <w:lang w:eastAsia="en-AU"/>
              </w:rPr>
              <w:t xml:space="preserve"> </w:t>
            </w:r>
            <w:r w:rsidRPr="002029AF">
              <w:rPr>
                <w:lang w:eastAsia="en-AU"/>
              </w:rPr>
              <w:br/>
              <w:t>CO</w:t>
            </w:r>
            <w:r w:rsidRPr="002029AF">
              <w:rPr>
                <w:rFonts w:ascii="Arial Bold" w:hAnsi="Arial Bold"/>
                <w:vertAlign w:val="subscript"/>
                <w:lang w:eastAsia="en-AU"/>
              </w:rPr>
              <w:t>2</w:t>
            </w:r>
            <w:r w:rsidRPr="002029AF">
              <w:rPr>
                <w:lang w:eastAsia="en-AU"/>
              </w:rPr>
              <w:t>-e)</w:t>
            </w:r>
          </w:p>
        </w:tc>
        <w:tc>
          <w:tcPr>
            <w:tcW w:w="1247" w:type="dxa"/>
            <w:vAlign w:val="bottom"/>
          </w:tcPr>
          <w:p w14:paraId="4CBA2F10" w14:textId="1BBE778E" w:rsidR="00CF72D5" w:rsidRPr="002029AF" w:rsidRDefault="00CF72D5" w:rsidP="00897193">
            <w:pPr>
              <w:pStyle w:val="ARtablecolheadright"/>
              <w:rPr>
                <w:lang w:eastAsia="en-AU"/>
              </w:rPr>
            </w:pPr>
            <w:r w:rsidRPr="002029AF">
              <w:rPr>
                <w:lang w:eastAsia="en-AU"/>
              </w:rPr>
              <w:t>Fuel</w:t>
            </w:r>
            <w:r w:rsidR="000A5329" w:rsidRPr="002029AF">
              <w:rPr>
                <w:lang w:eastAsia="en-AU"/>
              </w:rPr>
              <w:t xml:space="preserve"> </w:t>
            </w:r>
            <w:r w:rsidRPr="002029AF">
              <w:rPr>
                <w:lang w:eastAsia="en-AU"/>
              </w:rPr>
              <w:t>volume</w:t>
            </w:r>
            <w:r w:rsidRPr="002029AF">
              <w:rPr>
                <w:lang w:eastAsia="en-AU"/>
              </w:rPr>
              <w:br/>
              <w:t>(kilolitres)</w:t>
            </w:r>
          </w:p>
        </w:tc>
        <w:tc>
          <w:tcPr>
            <w:tcW w:w="1247" w:type="dxa"/>
            <w:vAlign w:val="bottom"/>
          </w:tcPr>
          <w:p w14:paraId="1DAC4431" w14:textId="77D76C87" w:rsidR="00CF72D5" w:rsidRPr="002029AF" w:rsidRDefault="00CF72D5" w:rsidP="00897193">
            <w:pPr>
              <w:pStyle w:val="ARtablecolheadright"/>
              <w:rPr>
                <w:lang w:eastAsia="en-AU"/>
              </w:rPr>
            </w:pPr>
            <w:r w:rsidRPr="002029AF">
              <w:rPr>
                <w:lang w:eastAsia="en-AU"/>
              </w:rPr>
              <w:t>Emissions</w:t>
            </w:r>
            <w:r w:rsidR="000A5329" w:rsidRPr="002029AF">
              <w:rPr>
                <w:lang w:eastAsia="en-AU"/>
              </w:rPr>
              <w:t xml:space="preserve"> </w:t>
            </w:r>
            <w:r w:rsidRPr="002029AF">
              <w:rPr>
                <w:lang w:eastAsia="en-AU"/>
              </w:rPr>
              <w:t>(tonnes</w:t>
            </w:r>
            <w:r w:rsidR="000A5329" w:rsidRPr="002029AF">
              <w:rPr>
                <w:lang w:eastAsia="en-AU"/>
              </w:rPr>
              <w:t xml:space="preserve"> </w:t>
            </w:r>
            <w:r w:rsidRPr="002029AF">
              <w:rPr>
                <w:lang w:eastAsia="en-AU"/>
              </w:rPr>
              <w:br/>
              <w:t>CO</w:t>
            </w:r>
            <w:r w:rsidRPr="002029AF">
              <w:rPr>
                <w:rFonts w:ascii="Arial Bold" w:hAnsi="Arial Bold"/>
                <w:vertAlign w:val="subscript"/>
                <w:lang w:eastAsia="en-AU"/>
              </w:rPr>
              <w:t>2</w:t>
            </w:r>
            <w:r w:rsidRPr="002029AF">
              <w:rPr>
                <w:lang w:eastAsia="en-AU"/>
              </w:rPr>
              <w:t>-e)</w:t>
            </w:r>
          </w:p>
        </w:tc>
      </w:tr>
      <w:tr w:rsidR="00CF72D5" w:rsidRPr="002029AF" w14:paraId="1B0E546C" w14:textId="77777777" w:rsidTr="00897193">
        <w:trPr>
          <w:cantSplit/>
          <w:trHeight w:val="302"/>
        </w:trPr>
        <w:tc>
          <w:tcPr>
            <w:tcW w:w="2154" w:type="dxa"/>
          </w:tcPr>
          <w:p w14:paraId="25A9E819" w14:textId="48F8CD79" w:rsidR="00CF72D5" w:rsidRPr="002029AF" w:rsidRDefault="00CF72D5" w:rsidP="00897193">
            <w:pPr>
              <w:pStyle w:val="ARtabletext"/>
            </w:pPr>
            <w:r w:rsidRPr="002029AF">
              <w:t>Gasoline</w:t>
            </w:r>
            <w:r w:rsidR="000A5329" w:rsidRPr="002029AF">
              <w:t xml:space="preserve"> </w:t>
            </w:r>
            <w:r w:rsidRPr="002029AF">
              <w:t>–</w:t>
            </w:r>
            <w:r w:rsidR="000A5329" w:rsidRPr="002029AF">
              <w:t xml:space="preserve"> </w:t>
            </w:r>
            <w:r w:rsidRPr="002029AF">
              <w:t>road</w:t>
            </w:r>
            <w:r w:rsidR="000A5329" w:rsidRPr="002029AF">
              <w:t xml:space="preserve"> </w:t>
            </w:r>
            <w:r w:rsidRPr="002029AF">
              <w:t>vehicles</w:t>
            </w:r>
          </w:p>
        </w:tc>
        <w:tc>
          <w:tcPr>
            <w:tcW w:w="1247" w:type="dxa"/>
            <w:vAlign w:val="center"/>
          </w:tcPr>
          <w:p w14:paraId="0239D9BB" w14:textId="77777777" w:rsidR="00CF72D5" w:rsidRPr="002029AF" w:rsidRDefault="00CF72D5" w:rsidP="00897193">
            <w:pPr>
              <w:pStyle w:val="ARtabletextright"/>
            </w:pPr>
            <w:r w:rsidRPr="002029AF">
              <w:t>1,901</w:t>
            </w:r>
          </w:p>
        </w:tc>
        <w:tc>
          <w:tcPr>
            <w:tcW w:w="1247" w:type="dxa"/>
            <w:vAlign w:val="center"/>
          </w:tcPr>
          <w:p w14:paraId="00629BD3" w14:textId="77777777" w:rsidR="00CF72D5" w:rsidRPr="002029AF" w:rsidRDefault="00CF72D5" w:rsidP="00897193">
            <w:pPr>
              <w:pStyle w:val="ARtabletextright"/>
            </w:pPr>
            <w:r w:rsidRPr="002029AF">
              <w:t>4,396</w:t>
            </w:r>
          </w:p>
        </w:tc>
        <w:tc>
          <w:tcPr>
            <w:tcW w:w="1247" w:type="dxa"/>
            <w:vAlign w:val="center"/>
          </w:tcPr>
          <w:p w14:paraId="6200ACAB" w14:textId="77777777" w:rsidR="00CF72D5" w:rsidRPr="002029AF" w:rsidRDefault="00CF72D5" w:rsidP="00897193">
            <w:pPr>
              <w:pStyle w:val="ARtabletextright"/>
            </w:pPr>
            <w:r w:rsidRPr="002029AF">
              <w:t>2,054</w:t>
            </w:r>
          </w:p>
        </w:tc>
        <w:tc>
          <w:tcPr>
            <w:tcW w:w="1247" w:type="dxa"/>
            <w:vAlign w:val="center"/>
          </w:tcPr>
          <w:p w14:paraId="4EED03BE" w14:textId="77777777" w:rsidR="00CF72D5" w:rsidRPr="002029AF" w:rsidRDefault="00CF72D5" w:rsidP="00897193">
            <w:pPr>
              <w:pStyle w:val="ARtabletextright"/>
            </w:pPr>
            <w:r w:rsidRPr="002029AF">
              <w:t>4,750</w:t>
            </w:r>
          </w:p>
        </w:tc>
        <w:tc>
          <w:tcPr>
            <w:tcW w:w="1247" w:type="dxa"/>
            <w:vAlign w:val="center"/>
          </w:tcPr>
          <w:p w14:paraId="75B5619E" w14:textId="77777777" w:rsidR="00CF72D5" w:rsidRPr="002029AF" w:rsidRDefault="00CF72D5" w:rsidP="00897193">
            <w:pPr>
              <w:pStyle w:val="ARtabletextright"/>
            </w:pPr>
            <w:r w:rsidRPr="002029AF">
              <w:t>1,994</w:t>
            </w:r>
          </w:p>
        </w:tc>
        <w:tc>
          <w:tcPr>
            <w:tcW w:w="1247" w:type="dxa"/>
            <w:vAlign w:val="center"/>
          </w:tcPr>
          <w:p w14:paraId="4A6EE32F" w14:textId="77777777" w:rsidR="00CF72D5" w:rsidRPr="002029AF" w:rsidRDefault="00CF72D5" w:rsidP="00897193">
            <w:pPr>
              <w:pStyle w:val="ARtabletextright"/>
            </w:pPr>
            <w:r w:rsidRPr="002029AF">
              <w:t>4,611</w:t>
            </w:r>
          </w:p>
        </w:tc>
      </w:tr>
      <w:tr w:rsidR="00CF72D5" w:rsidRPr="002029AF" w14:paraId="55B03ECE" w14:textId="77777777" w:rsidTr="00897193">
        <w:trPr>
          <w:cantSplit/>
          <w:trHeight w:val="302"/>
        </w:trPr>
        <w:tc>
          <w:tcPr>
            <w:tcW w:w="2154" w:type="dxa"/>
          </w:tcPr>
          <w:p w14:paraId="0FC97E9E" w14:textId="42851EF6" w:rsidR="00CF72D5" w:rsidRPr="002029AF" w:rsidRDefault="00CF72D5" w:rsidP="00897193">
            <w:pPr>
              <w:pStyle w:val="ARtabletext"/>
            </w:pPr>
            <w:r w:rsidRPr="002029AF">
              <w:t>E10</w:t>
            </w:r>
            <w:r w:rsidR="000A5329" w:rsidRPr="002029AF">
              <w:t xml:space="preserve"> </w:t>
            </w:r>
            <w:r w:rsidRPr="002029AF">
              <w:t>–</w:t>
            </w:r>
            <w:r w:rsidR="000A5329" w:rsidRPr="002029AF">
              <w:t xml:space="preserve"> </w:t>
            </w:r>
            <w:r w:rsidRPr="002029AF">
              <w:t>road</w:t>
            </w:r>
            <w:r w:rsidR="000A5329" w:rsidRPr="002029AF">
              <w:t xml:space="preserve"> </w:t>
            </w:r>
            <w:r w:rsidRPr="002029AF">
              <w:t>vehicles</w:t>
            </w:r>
          </w:p>
        </w:tc>
        <w:tc>
          <w:tcPr>
            <w:tcW w:w="1247" w:type="dxa"/>
            <w:vAlign w:val="center"/>
          </w:tcPr>
          <w:p w14:paraId="400B1C89" w14:textId="77777777" w:rsidR="00CF72D5" w:rsidRPr="002029AF" w:rsidRDefault="00CF72D5" w:rsidP="00897193">
            <w:pPr>
              <w:pStyle w:val="ARtabletextright"/>
            </w:pPr>
            <w:r w:rsidRPr="002029AF">
              <w:t>12</w:t>
            </w:r>
          </w:p>
        </w:tc>
        <w:tc>
          <w:tcPr>
            <w:tcW w:w="1247" w:type="dxa"/>
            <w:vAlign w:val="center"/>
          </w:tcPr>
          <w:p w14:paraId="055282E6" w14:textId="77777777" w:rsidR="00CF72D5" w:rsidRPr="002029AF" w:rsidRDefault="00CF72D5" w:rsidP="00897193">
            <w:pPr>
              <w:pStyle w:val="ARtabletextright"/>
            </w:pPr>
            <w:r w:rsidRPr="002029AF">
              <w:t>0</w:t>
            </w:r>
          </w:p>
        </w:tc>
        <w:tc>
          <w:tcPr>
            <w:tcW w:w="1247" w:type="dxa"/>
            <w:vAlign w:val="center"/>
          </w:tcPr>
          <w:p w14:paraId="49745DD6" w14:textId="77777777" w:rsidR="00CF72D5" w:rsidRPr="002029AF" w:rsidRDefault="00CF72D5" w:rsidP="00897193">
            <w:pPr>
              <w:pStyle w:val="ARtabletextright"/>
            </w:pPr>
            <w:r w:rsidRPr="002029AF">
              <w:t>151</w:t>
            </w:r>
          </w:p>
        </w:tc>
        <w:tc>
          <w:tcPr>
            <w:tcW w:w="1247" w:type="dxa"/>
            <w:vAlign w:val="center"/>
          </w:tcPr>
          <w:p w14:paraId="1040C1FF" w14:textId="77777777" w:rsidR="00CF72D5" w:rsidRPr="002029AF" w:rsidRDefault="00CF72D5" w:rsidP="00897193">
            <w:pPr>
              <w:pStyle w:val="ARtabletextright"/>
            </w:pPr>
            <w:r w:rsidRPr="002029AF">
              <w:t>1</w:t>
            </w:r>
          </w:p>
        </w:tc>
        <w:tc>
          <w:tcPr>
            <w:tcW w:w="1247" w:type="dxa"/>
            <w:vAlign w:val="center"/>
          </w:tcPr>
          <w:p w14:paraId="1F5F12A7" w14:textId="77777777" w:rsidR="00CF72D5" w:rsidRPr="002029AF" w:rsidRDefault="00CF72D5" w:rsidP="00897193">
            <w:pPr>
              <w:pStyle w:val="ARtabletextright"/>
            </w:pPr>
            <w:r w:rsidRPr="002029AF">
              <w:t>145</w:t>
            </w:r>
          </w:p>
        </w:tc>
        <w:tc>
          <w:tcPr>
            <w:tcW w:w="1247" w:type="dxa"/>
            <w:vAlign w:val="center"/>
          </w:tcPr>
          <w:p w14:paraId="1D5B614B" w14:textId="77777777" w:rsidR="00CF72D5" w:rsidRPr="002029AF" w:rsidRDefault="00CF72D5" w:rsidP="00897193">
            <w:pPr>
              <w:pStyle w:val="ARtabletextright"/>
            </w:pPr>
            <w:r w:rsidRPr="002029AF">
              <w:t>1</w:t>
            </w:r>
          </w:p>
        </w:tc>
      </w:tr>
      <w:tr w:rsidR="00CF72D5" w:rsidRPr="002029AF" w14:paraId="7AC597F4" w14:textId="77777777" w:rsidTr="00897193">
        <w:trPr>
          <w:cantSplit/>
          <w:trHeight w:val="302"/>
        </w:trPr>
        <w:tc>
          <w:tcPr>
            <w:tcW w:w="2154" w:type="dxa"/>
          </w:tcPr>
          <w:p w14:paraId="65664664" w14:textId="459B2D65" w:rsidR="00CF72D5" w:rsidRPr="002029AF" w:rsidRDefault="00CF72D5" w:rsidP="00897193">
            <w:pPr>
              <w:pStyle w:val="ARtabletext"/>
            </w:pPr>
            <w:r w:rsidRPr="002029AF">
              <w:t>Diesel</w:t>
            </w:r>
            <w:r w:rsidR="000A5329" w:rsidRPr="002029AF">
              <w:t xml:space="preserve"> </w:t>
            </w:r>
            <w:r w:rsidRPr="002029AF">
              <w:t>–</w:t>
            </w:r>
            <w:r w:rsidR="000A5329" w:rsidRPr="002029AF">
              <w:t xml:space="preserve"> </w:t>
            </w:r>
            <w:r w:rsidRPr="002029AF">
              <w:t>road</w:t>
            </w:r>
            <w:r w:rsidR="000A5329" w:rsidRPr="002029AF">
              <w:t xml:space="preserve"> </w:t>
            </w:r>
            <w:r w:rsidRPr="002029AF">
              <w:t>vehicles</w:t>
            </w:r>
          </w:p>
        </w:tc>
        <w:tc>
          <w:tcPr>
            <w:tcW w:w="1247" w:type="dxa"/>
            <w:vAlign w:val="center"/>
          </w:tcPr>
          <w:p w14:paraId="1FA75734" w14:textId="77777777" w:rsidR="00CF72D5" w:rsidRPr="002029AF" w:rsidRDefault="00CF72D5" w:rsidP="00897193">
            <w:pPr>
              <w:pStyle w:val="ARtabletextright"/>
            </w:pPr>
            <w:r w:rsidRPr="002029AF">
              <w:t>764</w:t>
            </w:r>
          </w:p>
        </w:tc>
        <w:tc>
          <w:tcPr>
            <w:tcW w:w="1247" w:type="dxa"/>
            <w:vAlign w:val="center"/>
          </w:tcPr>
          <w:p w14:paraId="71C91671" w14:textId="77777777" w:rsidR="00CF72D5" w:rsidRPr="002029AF" w:rsidRDefault="00CF72D5" w:rsidP="00897193">
            <w:pPr>
              <w:pStyle w:val="ARtabletextright"/>
            </w:pPr>
            <w:r w:rsidRPr="002029AF">
              <w:t>2,080</w:t>
            </w:r>
          </w:p>
        </w:tc>
        <w:tc>
          <w:tcPr>
            <w:tcW w:w="1247" w:type="dxa"/>
            <w:vAlign w:val="center"/>
          </w:tcPr>
          <w:p w14:paraId="4A6EE1DD" w14:textId="77777777" w:rsidR="00CF72D5" w:rsidRPr="002029AF" w:rsidRDefault="00CF72D5" w:rsidP="00897193">
            <w:pPr>
              <w:pStyle w:val="ARtabletextright"/>
            </w:pPr>
            <w:r w:rsidRPr="002029AF">
              <w:t>454</w:t>
            </w:r>
          </w:p>
        </w:tc>
        <w:tc>
          <w:tcPr>
            <w:tcW w:w="1247" w:type="dxa"/>
            <w:vAlign w:val="center"/>
          </w:tcPr>
          <w:p w14:paraId="1ADBBC05" w14:textId="77777777" w:rsidR="00CF72D5" w:rsidRPr="002029AF" w:rsidRDefault="00CF72D5" w:rsidP="00897193">
            <w:pPr>
              <w:pStyle w:val="ARtabletextright"/>
            </w:pPr>
            <w:r w:rsidRPr="002029AF">
              <w:t>1,236</w:t>
            </w:r>
          </w:p>
        </w:tc>
        <w:tc>
          <w:tcPr>
            <w:tcW w:w="1247" w:type="dxa"/>
            <w:vAlign w:val="center"/>
          </w:tcPr>
          <w:p w14:paraId="7AC8D265" w14:textId="77777777" w:rsidR="00CF72D5" w:rsidRPr="002029AF" w:rsidRDefault="00CF72D5" w:rsidP="00897193">
            <w:pPr>
              <w:pStyle w:val="ARtabletextright"/>
            </w:pPr>
            <w:r w:rsidRPr="002029AF">
              <w:t>465</w:t>
            </w:r>
          </w:p>
        </w:tc>
        <w:tc>
          <w:tcPr>
            <w:tcW w:w="1247" w:type="dxa"/>
            <w:vAlign w:val="center"/>
          </w:tcPr>
          <w:p w14:paraId="053C70F2" w14:textId="77777777" w:rsidR="00CF72D5" w:rsidRPr="002029AF" w:rsidRDefault="00CF72D5" w:rsidP="00897193">
            <w:pPr>
              <w:pStyle w:val="ARtabletextright"/>
            </w:pPr>
            <w:r w:rsidRPr="002029AF">
              <w:t>1,265</w:t>
            </w:r>
          </w:p>
        </w:tc>
      </w:tr>
      <w:tr w:rsidR="00CF72D5" w:rsidRPr="002029AF" w14:paraId="1C987FF7" w14:textId="77777777" w:rsidTr="00897193">
        <w:trPr>
          <w:cantSplit/>
          <w:trHeight w:val="302"/>
        </w:trPr>
        <w:tc>
          <w:tcPr>
            <w:tcW w:w="2154" w:type="dxa"/>
          </w:tcPr>
          <w:p w14:paraId="096353A5" w14:textId="47FAEE68" w:rsidR="00CF72D5" w:rsidRPr="002029AF" w:rsidRDefault="00CF72D5" w:rsidP="00897193">
            <w:pPr>
              <w:pStyle w:val="ARtabletext"/>
            </w:pPr>
            <w:r w:rsidRPr="002029AF">
              <w:t>LPG</w:t>
            </w:r>
            <w:r w:rsidR="000A5329" w:rsidRPr="002029AF">
              <w:t xml:space="preserve"> </w:t>
            </w:r>
            <w:r w:rsidRPr="002029AF">
              <w:t>–</w:t>
            </w:r>
            <w:r w:rsidR="000A5329" w:rsidRPr="002029AF">
              <w:t xml:space="preserve"> </w:t>
            </w:r>
            <w:r w:rsidRPr="002029AF">
              <w:t>road</w:t>
            </w:r>
            <w:r w:rsidR="000A5329" w:rsidRPr="002029AF">
              <w:t xml:space="preserve"> </w:t>
            </w:r>
            <w:r w:rsidRPr="002029AF">
              <w:t>vehicles</w:t>
            </w:r>
          </w:p>
        </w:tc>
        <w:tc>
          <w:tcPr>
            <w:tcW w:w="1247" w:type="dxa"/>
            <w:vAlign w:val="center"/>
          </w:tcPr>
          <w:p w14:paraId="428C98EA" w14:textId="77777777" w:rsidR="00CF72D5" w:rsidRPr="002029AF" w:rsidRDefault="00CF72D5" w:rsidP="00897193">
            <w:pPr>
              <w:pStyle w:val="ARtabletextright"/>
            </w:pPr>
            <w:r w:rsidRPr="002029AF">
              <w:t>2</w:t>
            </w:r>
          </w:p>
        </w:tc>
        <w:tc>
          <w:tcPr>
            <w:tcW w:w="1247" w:type="dxa"/>
            <w:vAlign w:val="center"/>
          </w:tcPr>
          <w:p w14:paraId="26D316C9" w14:textId="77777777" w:rsidR="00CF72D5" w:rsidRPr="002029AF" w:rsidRDefault="00CF72D5" w:rsidP="00897193">
            <w:pPr>
              <w:pStyle w:val="ARtabletextright"/>
            </w:pPr>
            <w:r w:rsidRPr="002029AF">
              <w:t>3</w:t>
            </w:r>
          </w:p>
        </w:tc>
        <w:tc>
          <w:tcPr>
            <w:tcW w:w="1247" w:type="dxa"/>
            <w:vAlign w:val="center"/>
          </w:tcPr>
          <w:p w14:paraId="0B1DE554" w14:textId="77777777" w:rsidR="00CF72D5" w:rsidRPr="002029AF" w:rsidRDefault="00CF72D5" w:rsidP="00897193">
            <w:pPr>
              <w:pStyle w:val="ARtabletextright"/>
            </w:pPr>
            <w:r w:rsidRPr="002029AF">
              <w:t>17</w:t>
            </w:r>
          </w:p>
        </w:tc>
        <w:tc>
          <w:tcPr>
            <w:tcW w:w="1247" w:type="dxa"/>
            <w:vAlign w:val="center"/>
          </w:tcPr>
          <w:p w14:paraId="14F385DC" w14:textId="77777777" w:rsidR="00CF72D5" w:rsidRPr="002029AF" w:rsidRDefault="00CF72D5" w:rsidP="00897193">
            <w:pPr>
              <w:pStyle w:val="ARtabletextright"/>
            </w:pPr>
            <w:r w:rsidRPr="002029AF">
              <w:t>28</w:t>
            </w:r>
          </w:p>
        </w:tc>
        <w:tc>
          <w:tcPr>
            <w:tcW w:w="1247" w:type="dxa"/>
            <w:vAlign w:val="center"/>
          </w:tcPr>
          <w:p w14:paraId="5D630131" w14:textId="77777777" w:rsidR="00CF72D5" w:rsidRPr="002029AF" w:rsidRDefault="00CF72D5" w:rsidP="00897193">
            <w:pPr>
              <w:pStyle w:val="ARtabletextright"/>
            </w:pPr>
            <w:r w:rsidRPr="002029AF">
              <w:t>24</w:t>
            </w:r>
          </w:p>
        </w:tc>
        <w:tc>
          <w:tcPr>
            <w:tcW w:w="1247" w:type="dxa"/>
            <w:vAlign w:val="center"/>
          </w:tcPr>
          <w:p w14:paraId="3A319E73" w14:textId="77777777" w:rsidR="00CF72D5" w:rsidRPr="002029AF" w:rsidRDefault="00CF72D5" w:rsidP="00897193">
            <w:pPr>
              <w:pStyle w:val="ARtabletextright"/>
            </w:pPr>
            <w:r w:rsidRPr="002029AF">
              <w:t>39</w:t>
            </w:r>
          </w:p>
        </w:tc>
      </w:tr>
      <w:tr w:rsidR="00CF72D5" w:rsidRPr="002029AF" w14:paraId="3337E311" w14:textId="77777777" w:rsidTr="00897193">
        <w:trPr>
          <w:cantSplit/>
          <w:trHeight w:val="268"/>
        </w:trPr>
        <w:tc>
          <w:tcPr>
            <w:tcW w:w="2154" w:type="dxa"/>
          </w:tcPr>
          <w:p w14:paraId="2171E692" w14:textId="77777777" w:rsidR="00CF72D5" w:rsidRPr="002029AF" w:rsidRDefault="00CF72D5" w:rsidP="00897193">
            <w:pPr>
              <w:pStyle w:val="ARtabletextbold"/>
            </w:pPr>
            <w:r w:rsidRPr="002029AF">
              <w:t>Total</w:t>
            </w:r>
          </w:p>
        </w:tc>
        <w:tc>
          <w:tcPr>
            <w:tcW w:w="1247" w:type="dxa"/>
            <w:vAlign w:val="center"/>
          </w:tcPr>
          <w:p w14:paraId="29A73F97" w14:textId="77777777" w:rsidR="00CF72D5" w:rsidRPr="002029AF" w:rsidRDefault="00CF72D5" w:rsidP="00897193">
            <w:pPr>
              <w:pStyle w:val="ARtabletextrightbold"/>
            </w:pPr>
            <w:r w:rsidRPr="002029AF">
              <w:t>2,679</w:t>
            </w:r>
          </w:p>
        </w:tc>
        <w:tc>
          <w:tcPr>
            <w:tcW w:w="1247" w:type="dxa"/>
            <w:vAlign w:val="center"/>
          </w:tcPr>
          <w:p w14:paraId="103F4173" w14:textId="77777777" w:rsidR="00CF72D5" w:rsidRPr="002029AF" w:rsidRDefault="00CF72D5" w:rsidP="00897193">
            <w:pPr>
              <w:pStyle w:val="ARtabletextrightbold"/>
            </w:pPr>
            <w:r w:rsidRPr="002029AF">
              <w:t>6,479</w:t>
            </w:r>
          </w:p>
        </w:tc>
        <w:tc>
          <w:tcPr>
            <w:tcW w:w="1247" w:type="dxa"/>
            <w:vAlign w:val="center"/>
          </w:tcPr>
          <w:p w14:paraId="65BE9817" w14:textId="77777777" w:rsidR="00CF72D5" w:rsidRPr="002029AF" w:rsidRDefault="00CF72D5" w:rsidP="00897193">
            <w:pPr>
              <w:pStyle w:val="ARtabletextrightbold"/>
            </w:pPr>
            <w:r w:rsidRPr="002029AF">
              <w:t>2,676</w:t>
            </w:r>
          </w:p>
        </w:tc>
        <w:tc>
          <w:tcPr>
            <w:tcW w:w="1247" w:type="dxa"/>
            <w:vAlign w:val="center"/>
          </w:tcPr>
          <w:p w14:paraId="5BDD96DA" w14:textId="77777777" w:rsidR="00CF72D5" w:rsidRPr="002029AF" w:rsidRDefault="00CF72D5" w:rsidP="00897193">
            <w:pPr>
              <w:pStyle w:val="ARtabletextrightbold"/>
            </w:pPr>
            <w:r w:rsidRPr="002029AF">
              <w:t>6,015</w:t>
            </w:r>
          </w:p>
        </w:tc>
        <w:tc>
          <w:tcPr>
            <w:tcW w:w="1247" w:type="dxa"/>
            <w:vAlign w:val="center"/>
          </w:tcPr>
          <w:p w14:paraId="5EF103A2" w14:textId="77777777" w:rsidR="00CF72D5" w:rsidRPr="002029AF" w:rsidRDefault="00CF72D5" w:rsidP="00897193">
            <w:pPr>
              <w:pStyle w:val="ARtabletextrightbold"/>
            </w:pPr>
            <w:r w:rsidRPr="002029AF">
              <w:t>2,628</w:t>
            </w:r>
          </w:p>
        </w:tc>
        <w:tc>
          <w:tcPr>
            <w:tcW w:w="1247" w:type="dxa"/>
            <w:vAlign w:val="center"/>
          </w:tcPr>
          <w:p w14:paraId="5F2540E8" w14:textId="77777777" w:rsidR="00CF72D5" w:rsidRPr="002029AF" w:rsidRDefault="00CF72D5" w:rsidP="00897193">
            <w:pPr>
              <w:pStyle w:val="ARtabletextrightbold"/>
            </w:pPr>
            <w:r w:rsidRPr="002029AF">
              <w:t>5,916</w:t>
            </w:r>
          </w:p>
        </w:tc>
      </w:tr>
    </w:tbl>
    <w:p w14:paraId="020ED467" w14:textId="11BD47F0" w:rsidR="00CF72D5" w:rsidRPr="002029AF" w:rsidRDefault="00CF72D5" w:rsidP="00897193">
      <w:pPr>
        <w:pStyle w:val="ARtablefootnote"/>
      </w:pPr>
      <w:r w:rsidRPr="002029AF">
        <w:t>Data</w:t>
      </w:r>
      <w:r w:rsidR="000A5329" w:rsidRPr="002029AF">
        <w:t xml:space="preserve"> </w:t>
      </w:r>
      <w:r w:rsidRPr="002029AF">
        <w:t>includes</w:t>
      </w:r>
      <w:r w:rsidR="000A5329" w:rsidRPr="002029AF">
        <w:t xml:space="preserve"> </w:t>
      </w:r>
      <w:r w:rsidRPr="002029AF">
        <w:t>corporate</w:t>
      </w:r>
      <w:r w:rsidR="000A5329" w:rsidRPr="002029AF">
        <w:t xml:space="preserve"> </w:t>
      </w:r>
      <w:r w:rsidRPr="002029AF">
        <w:t>fleet</w:t>
      </w:r>
      <w:r w:rsidR="000A5329" w:rsidRPr="002029AF">
        <w:t xml:space="preserve"> </w:t>
      </w:r>
      <w:r w:rsidRPr="002029AF">
        <w:t>vehicles</w:t>
      </w:r>
      <w:r w:rsidR="000A5329" w:rsidRPr="002029AF">
        <w:t xml:space="preserve"> </w:t>
      </w:r>
      <w:r w:rsidRPr="002029AF">
        <w:t>managed</w:t>
      </w:r>
      <w:r w:rsidR="000A5329" w:rsidRPr="002029AF">
        <w:t xml:space="preserve"> </w:t>
      </w:r>
      <w:r w:rsidRPr="002029AF">
        <w:t>by</w:t>
      </w:r>
      <w:r w:rsidR="000A5329" w:rsidRPr="002029AF">
        <w:t xml:space="preserve"> </w:t>
      </w:r>
      <w:r w:rsidRPr="002029AF">
        <w:t>Ambulance</w:t>
      </w:r>
      <w:r w:rsidR="000A5329" w:rsidRPr="002029AF">
        <w:t xml:space="preserve"> </w:t>
      </w:r>
      <w:r w:rsidRPr="002029AF">
        <w:t>Victoria,</w:t>
      </w:r>
      <w:r w:rsidR="000A5329" w:rsidRPr="002029AF">
        <w:t xml:space="preserve"> </w:t>
      </w:r>
      <w:r w:rsidRPr="002029AF">
        <w:t>metropolitan</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and</w:t>
      </w:r>
      <w:r w:rsidR="000A5329" w:rsidRPr="002029AF">
        <w:t xml:space="preserve"> </w:t>
      </w:r>
      <w:r w:rsidRPr="002029AF">
        <w:t>some</w:t>
      </w:r>
      <w:r w:rsidR="000A5329" w:rsidRPr="002029AF">
        <w:t xml:space="preserve"> </w:t>
      </w:r>
      <w:r w:rsidRPr="002029AF">
        <w:t>rural</w:t>
      </w:r>
      <w:r w:rsidR="000A5329" w:rsidRPr="002029AF">
        <w:t xml:space="preserve"> </w:t>
      </w:r>
      <w:r w:rsidRPr="002029AF">
        <w:t>and</w:t>
      </w:r>
      <w:r w:rsidR="000A5329" w:rsidRPr="002029AF">
        <w:t xml:space="preserve"> </w:t>
      </w:r>
      <w:r w:rsidRPr="002029AF">
        <w:t>regional</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Not</w:t>
      </w:r>
      <w:r w:rsidR="000A5329" w:rsidRPr="002029AF">
        <w:t xml:space="preserve"> </w:t>
      </w:r>
      <w:r w:rsidRPr="002029AF">
        <w:t>all</w:t>
      </w:r>
      <w:r w:rsidR="000A5329" w:rsidRPr="002029AF">
        <w:t xml:space="preserve"> </w:t>
      </w:r>
      <w:r w:rsidRPr="002029AF">
        <w:t>rural</w:t>
      </w:r>
      <w:r w:rsidR="000A5329" w:rsidRPr="002029AF">
        <w:t xml:space="preserve"> </w:t>
      </w:r>
      <w:r w:rsidRPr="002029AF">
        <w:t>and</w:t>
      </w:r>
      <w:r w:rsidR="000A5329" w:rsidRPr="002029AF">
        <w:t xml:space="preserve"> </w:t>
      </w:r>
      <w:r w:rsidRPr="002029AF">
        <w:t>regional</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reported</w:t>
      </w:r>
      <w:r w:rsidR="000A5329" w:rsidRPr="002029AF">
        <w:t xml:space="preserve"> </w:t>
      </w:r>
      <w:r w:rsidRPr="002029AF">
        <w:t>fuel</w:t>
      </w:r>
      <w:r w:rsidR="000A5329" w:rsidRPr="002029AF">
        <w:t xml:space="preserve"> </w:t>
      </w:r>
      <w:r w:rsidRPr="002029AF">
        <w:t>data</w:t>
      </w:r>
      <w:r w:rsidR="000A5329" w:rsidRPr="002029AF">
        <w:t xml:space="preserve"> </w:t>
      </w:r>
      <w:r w:rsidRPr="002029AF">
        <w:t>to</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201</w:t>
      </w:r>
      <w:r w:rsidR="00DB53E6" w:rsidRPr="002029AF">
        <w:t>9–</w:t>
      </w:r>
      <w:r w:rsidRPr="002029AF">
        <w:t>20</w:t>
      </w:r>
      <w:r w:rsidR="000A5329" w:rsidRPr="002029AF">
        <w:t xml:space="preserve"> </w:t>
      </w:r>
      <w:r w:rsidRPr="002029AF">
        <w:t>figures</w:t>
      </w:r>
      <w:r w:rsidR="000A5329" w:rsidRPr="002029AF">
        <w:t xml:space="preserve"> </w:t>
      </w:r>
      <w:r w:rsidRPr="002029AF">
        <w:t>represent</w:t>
      </w:r>
      <w:r w:rsidR="000A5329" w:rsidRPr="002029AF">
        <w:t xml:space="preserve"> </w:t>
      </w:r>
      <w:r w:rsidRPr="002029AF">
        <w:t>data</w:t>
      </w:r>
      <w:r w:rsidR="000A5329" w:rsidRPr="002029AF">
        <w:t xml:space="preserve"> </w:t>
      </w:r>
      <w:r w:rsidRPr="002029AF">
        <w:t>from</w:t>
      </w:r>
      <w:r w:rsidR="000A5329" w:rsidRPr="002029AF">
        <w:t xml:space="preserve"> </w:t>
      </w:r>
      <w:r w:rsidRPr="002029AF">
        <w:t>36</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an</w:t>
      </w:r>
      <w:r w:rsidR="000A5329" w:rsidRPr="002029AF">
        <w:t xml:space="preserve"> </w:t>
      </w:r>
      <w:r w:rsidRPr="002029AF">
        <w:t>increase</w:t>
      </w:r>
      <w:r w:rsidR="000A5329" w:rsidRPr="002029AF">
        <w:t xml:space="preserve"> </w:t>
      </w:r>
      <w:r w:rsidRPr="002029AF">
        <w:t>from</w:t>
      </w:r>
      <w:r w:rsidR="000A5329" w:rsidRPr="002029AF">
        <w:t xml:space="preserve"> </w:t>
      </w:r>
      <w:r w:rsidRPr="002029AF">
        <w:t>19</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in</w:t>
      </w:r>
      <w:r w:rsidR="000A5329" w:rsidRPr="002029AF">
        <w:t xml:space="preserve"> </w:t>
      </w:r>
      <w:r w:rsidRPr="002029AF">
        <w:t>201</w:t>
      </w:r>
      <w:r w:rsidR="00DB53E6" w:rsidRPr="002029AF">
        <w:t>7–</w:t>
      </w:r>
      <w:r w:rsidRPr="002029AF">
        <w:t>18.</w:t>
      </w:r>
    </w:p>
    <w:p w14:paraId="0DF72300" w14:textId="5A1A80CA" w:rsidR="00CF72D5" w:rsidRPr="002029AF" w:rsidRDefault="00CF72D5" w:rsidP="00961519">
      <w:pPr>
        <w:pStyle w:val="Heading5"/>
        <w:spacing w:before="400" w:after="200"/>
        <w:rPr>
          <w:rFonts w:ascii="Arial Bold" w:hAnsi="Arial Bold"/>
          <w:color w:val="4B4B4B"/>
        </w:rPr>
      </w:pPr>
      <w:r w:rsidRPr="002029AF">
        <w:rPr>
          <w:rFonts w:ascii="Arial Bold" w:hAnsi="Arial Bold"/>
          <w:color w:val="4B4B4B"/>
        </w:rPr>
        <w:t>Air</w:t>
      </w:r>
      <w:r w:rsidR="000A5329" w:rsidRPr="002029AF">
        <w:rPr>
          <w:rFonts w:ascii="Arial Bold" w:hAnsi="Arial Bold"/>
          <w:color w:val="4B4B4B"/>
        </w:rPr>
        <w:t xml:space="preserve"> </w:t>
      </w:r>
      <w:r w:rsidRPr="002029AF">
        <w:rPr>
          <w:rFonts w:ascii="Arial Bold" w:hAnsi="Arial Bold"/>
          <w:color w:val="4B4B4B"/>
        </w:rPr>
        <w:t>travel</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4509"/>
        <w:gridCol w:w="1710"/>
        <w:gridCol w:w="1710"/>
        <w:gridCol w:w="1710"/>
      </w:tblGrid>
      <w:tr w:rsidR="00CF72D5" w:rsidRPr="002029AF" w14:paraId="201FBA20" w14:textId="77777777" w:rsidTr="00897193">
        <w:trPr>
          <w:cantSplit/>
          <w:trHeight w:val="262"/>
          <w:tblHeader/>
        </w:trPr>
        <w:tc>
          <w:tcPr>
            <w:tcW w:w="4509" w:type="dxa"/>
            <w:vAlign w:val="bottom"/>
          </w:tcPr>
          <w:p w14:paraId="5D067797" w14:textId="77777777" w:rsidR="00CF72D5" w:rsidRPr="002029AF" w:rsidRDefault="00CF72D5" w:rsidP="00897193">
            <w:pPr>
              <w:pStyle w:val="ARtablecolhead"/>
            </w:pPr>
            <w:r w:rsidRPr="002029AF">
              <w:t>Description</w:t>
            </w:r>
          </w:p>
        </w:tc>
        <w:tc>
          <w:tcPr>
            <w:tcW w:w="1710" w:type="dxa"/>
            <w:vAlign w:val="center"/>
          </w:tcPr>
          <w:p w14:paraId="5C26BC5D" w14:textId="317F8A2C" w:rsidR="00CF72D5" w:rsidRPr="002029AF" w:rsidRDefault="00CF72D5" w:rsidP="00897193">
            <w:pPr>
              <w:pStyle w:val="ARtablecolheadright"/>
            </w:pPr>
            <w:r w:rsidRPr="002029AF">
              <w:rPr>
                <w:color w:val="000000"/>
              </w:rPr>
              <w:t>2019–20</w:t>
            </w:r>
            <w:r w:rsidR="000A5329" w:rsidRPr="002029AF">
              <w:rPr>
                <w:color w:val="000000"/>
              </w:rPr>
              <w:t xml:space="preserve"> </w:t>
            </w:r>
            <w:r w:rsidRPr="002029AF">
              <w:rPr>
                <w:color w:val="000000"/>
              </w:rPr>
              <w:t>actual</w:t>
            </w:r>
          </w:p>
        </w:tc>
        <w:tc>
          <w:tcPr>
            <w:tcW w:w="1710" w:type="dxa"/>
            <w:vAlign w:val="center"/>
          </w:tcPr>
          <w:p w14:paraId="551513D3" w14:textId="4C6A40F7" w:rsidR="00CF72D5" w:rsidRPr="002029AF" w:rsidRDefault="00CF72D5" w:rsidP="00897193">
            <w:pPr>
              <w:pStyle w:val="ARtablecolheadright"/>
            </w:pPr>
            <w:r w:rsidRPr="002029AF">
              <w:rPr>
                <w:color w:val="000000"/>
              </w:rPr>
              <w:t>2018–19</w:t>
            </w:r>
            <w:r w:rsidR="000A5329" w:rsidRPr="002029AF">
              <w:rPr>
                <w:color w:val="000000"/>
              </w:rPr>
              <w:t xml:space="preserve"> </w:t>
            </w:r>
            <w:r w:rsidRPr="002029AF">
              <w:rPr>
                <w:color w:val="000000"/>
              </w:rPr>
              <w:t>actual</w:t>
            </w:r>
          </w:p>
        </w:tc>
        <w:tc>
          <w:tcPr>
            <w:tcW w:w="1710" w:type="dxa"/>
            <w:vAlign w:val="center"/>
          </w:tcPr>
          <w:p w14:paraId="24A66FE7" w14:textId="170D156F" w:rsidR="00CF72D5" w:rsidRPr="002029AF" w:rsidRDefault="00CF72D5" w:rsidP="00897193">
            <w:pPr>
              <w:pStyle w:val="ARtablecolheadright"/>
            </w:pPr>
            <w:r w:rsidRPr="002029AF">
              <w:rPr>
                <w:color w:val="000000"/>
              </w:rPr>
              <w:t>2017–18</w:t>
            </w:r>
            <w:r w:rsidR="000A5329" w:rsidRPr="002029AF">
              <w:rPr>
                <w:color w:val="000000"/>
              </w:rPr>
              <w:t xml:space="preserve"> </w:t>
            </w:r>
            <w:r w:rsidRPr="002029AF">
              <w:rPr>
                <w:color w:val="000000"/>
              </w:rPr>
              <w:t>actual</w:t>
            </w:r>
          </w:p>
        </w:tc>
      </w:tr>
      <w:tr w:rsidR="00CF72D5" w:rsidRPr="002029AF" w14:paraId="2B286724" w14:textId="77777777" w:rsidTr="00897193">
        <w:trPr>
          <w:cantSplit/>
          <w:trHeight w:val="262"/>
        </w:trPr>
        <w:tc>
          <w:tcPr>
            <w:tcW w:w="4509" w:type="dxa"/>
          </w:tcPr>
          <w:p w14:paraId="7C3422DB" w14:textId="625F595C" w:rsidR="00CF72D5" w:rsidRPr="002029AF" w:rsidRDefault="00CF72D5" w:rsidP="00897193">
            <w:pPr>
              <w:pStyle w:val="ARtabletext"/>
            </w:pPr>
            <w:r w:rsidRPr="002029AF">
              <w:t>Total</w:t>
            </w:r>
            <w:r w:rsidR="000A5329" w:rsidRPr="002029AF">
              <w:t xml:space="preserve"> </w:t>
            </w:r>
            <w:r w:rsidRPr="002029AF">
              <w:t>distance</w:t>
            </w:r>
            <w:r w:rsidR="000A5329" w:rsidRPr="002029AF">
              <w:t xml:space="preserve"> </w:t>
            </w:r>
            <w:r w:rsidRPr="002029AF">
              <w:t>travelled</w:t>
            </w:r>
            <w:r w:rsidR="000A5329" w:rsidRPr="002029AF">
              <w:t xml:space="preserve"> </w:t>
            </w:r>
            <w:r w:rsidRPr="002029AF">
              <w:t>(kilometres)</w:t>
            </w:r>
          </w:p>
        </w:tc>
        <w:tc>
          <w:tcPr>
            <w:tcW w:w="1710" w:type="dxa"/>
            <w:vAlign w:val="center"/>
          </w:tcPr>
          <w:p w14:paraId="772A2577" w14:textId="77777777" w:rsidR="00CF72D5" w:rsidRPr="002029AF" w:rsidRDefault="00CF72D5" w:rsidP="00897193">
            <w:pPr>
              <w:pStyle w:val="ARtabletextright"/>
            </w:pPr>
            <w:r w:rsidRPr="002029AF">
              <w:t>5,328,191</w:t>
            </w:r>
          </w:p>
        </w:tc>
        <w:tc>
          <w:tcPr>
            <w:tcW w:w="1710" w:type="dxa"/>
            <w:vAlign w:val="center"/>
          </w:tcPr>
          <w:p w14:paraId="26EC3474" w14:textId="77777777" w:rsidR="00CF72D5" w:rsidRPr="002029AF" w:rsidRDefault="00CF72D5" w:rsidP="00897193">
            <w:pPr>
              <w:pStyle w:val="ARtabletextright"/>
            </w:pPr>
            <w:r w:rsidRPr="002029AF">
              <w:t>7,993,873</w:t>
            </w:r>
          </w:p>
        </w:tc>
        <w:tc>
          <w:tcPr>
            <w:tcW w:w="1710" w:type="dxa"/>
            <w:vAlign w:val="center"/>
          </w:tcPr>
          <w:p w14:paraId="4EA5011C" w14:textId="77777777" w:rsidR="00CF72D5" w:rsidRPr="002029AF" w:rsidRDefault="00CF72D5" w:rsidP="00897193">
            <w:pPr>
              <w:pStyle w:val="ARtabletextright"/>
            </w:pPr>
            <w:r w:rsidRPr="002029AF">
              <w:t>6,256,040</w:t>
            </w:r>
          </w:p>
        </w:tc>
      </w:tr>
      <w:tr w:rsidR="00CF72D5" w:rsidRPr="002029AF" w14:paraId="0FF0D820" w14:textId="77777777" w:rsidTr="00897193">
        <w:trPr>
          <w:cantSplit/>
          <w:trHeight w:val="262"/>
        </w:trPr>
        <w:tc>
          <w:tcPr>
            <w:tcW w:w="4509" w:type="dxa"/>
          </w:tcPr>
          <w:p w14:paraId="48098CFF" w14:textId="21A01BCB" w:rsidR="00CF72D5" w:rsidRPr="002029AF" w:rsidRDefault="00CF72D5" w:rsidP="00897193">
            <w:pPr>
              <w:pStyle w:val="ARtabletext"/>
            </w:pPr>
            <w:r w:rsidRPr="002029AF">
              <w:t>Base</w:t>
            </w:r>
            <w:r w:rsidR="000A5329" w:rsidRPr="002029AF">
              <w:t xml:space="preserve"> </w:t>
            </w:r>
            <w:r w:rsidRPr="002029AF">
              <w:t>fare</w:t>
            </w:r>
            <w:r w:rsidR="000A5329" w:rsidRPr="002029AF">
              <w:t xml:space="preserve"> </w:t>
            </w:r>
            <w:r w:rsidRPr="002029AF">
              <w:t>cost</w:t>
            </w:r>
            <w:r w:rsidR="000A5329" w:rsidRPr="002029AF">
              <w:t xml:space="preserve"> </w:t>
            </w:r>
            <w:r w:rsidRPr="002029AF">
              <w:t>($</w:t>
            </w:r>
            <w:r w:rsidR="000A5329" w:rsidRPr="002029AF">
              <w:t xml:space="preserve"> </w:t>
            </w:r>
            <w:r w:rsidRPr="002029AF">
              <w:t>million)</w:t>
            </w:r>
          </w:p>
        </w:tc>
        <w:tc>
          <w:tcPr>
            <w:tcW w:w="1710" w:type="dxa"/>
            <w:vAlign w:val="center"/>
          </w:tcPr>
          <w:p w14:paraId="3172DFF7" w14:textId="77777777" w:rsidR="00CF72D5" w:rsidRPr="002029AF" w:rsidRDefault="00CF72D5" w:rsidP="00897193">
            <w:pPr>
              <w:pStyle w:val="ARtabletextright"/>
            </w:pPr>
            <w:r w:rsidRPr="002029AF">
              <w:t>$1.29</w:t>
            </w:r>
          </w:p>
        </w:tc>
        <w:tc>
          <w:tcPr>
            <w:tcW w:w="1710" w:type="dxa"/>
            <w:vAlign w:val="center"/>
          </w:tcPr>
          <w:p w14:paraId="1F06CB98" w14:textId="77777777" w:rsidR="00CF72D5" w:rsidRPr="002029AF" w:rsidRDefault="00CF72D5" w:rsidP="00897193">
            <w:pPr>
              <w:pStyle w:val="ARtabletextright"/>
            </w:pPr>
            <w:r w:rsidRPr="002029AF">
              <w:t>$1.94</w:t>
            </w:r>
          </w:p>
        </w:tc>
        <w:tc>
          <w:tcPr>
            <w:tcW w:w="1710" w:type="dxa"/>
            <w:vAlign w:val="center"/>
          </w:tcPr>
          <w:p w14:paraId="62BD36EC" w14:textId="77777777" w:rsidR="00CF72D5" w:rsidRPr="002029AF" w:rsidRDefault="00CF72D5" w:rsidP="00897193">
            <w:pPr>
              <w:pStyle w:val="ARtabletextright"/>
            </w:pPr>
            <w:r w:rsidRPr="002029AF">
              <w:t>$1.73</w:t>
            </w:r>
          </w:p>
        </w:tc>
      </w:tr>
      <w:tr w:rsidR="00CF72D5" w:rsidRPr="002029AF" w14:paraId="16A884EB" w14:textId="77777777" w:rsidTr="00897193">
        <w:trPr>
          <w:cantSplit/>
          <w:trHeight w:val="262"/>
        </w:trPr>
        <w:tc>
          <w:tcPr>
            <w:tcW w:w="4509" w:type="dxa"/>
          </w:tcPr>
          <w:p w14:paraId="259FF5AE" w14:textId="447451D0" w:rsidR="00CF72D5" w:rsidRPr="002029AF" w:rsidRDefault="00CF72D5" w:rsidP="00897193">
            <w:pPr>
              <w:pStyle w:val="ARtabletext"/>
            </w:pPr>
            <w:r w:rsidRPr="002029AF">
              <w:t>Greenhouse</w:t>
            </w:r>
            <w:r w:rsidR="000A5329" w:rsidRPr="002029AF">
              <w:t xml:space="preserve"> </w:t>
            </w:r>
            <w:r w:rsidRPr="002029AF">
              <w:t>gas</w:t>
            </w:r>
            <w:r w:rsidR="000A5329" w:rsidRPr="002029AF">
              <w:t xml:space="preserve"> </w:t>
            </w:r>
            <w:r w:rsidRPr="002029AF">
              <w:t>emissions</w:t>
            </w:r>
            <w:r w:rsidR="000A5329" w:rsidRPr="002029AF">
              <w:t xml:space="preserve"> </w:t>
            </w:r>
            <w:r w:rsidRPr="002029AF">
              <w:t>(tonnes</w:t>
            </w:r>
            <w:r w:rsidR="000A5329" w:rsidRPr="002029AF">
              <w:t xml:space="preserve"> </w:t>
            </w:r>
            <w:r w:rsidRPr="002029AF">
              <w:t>of</w:t>
            </w:r>
            <w:r w:rsidR="000A5329" w:rsidRPr="002029AF">
              <w:t xml:space="preserve"> </w:t>
            </w:r>
            <w:r w:rsidRPr="002029AF">
              <w:t>CO</w:t>
            </w:r>
            <w:r w:rsidRPr="002029AF">
              <w:rPr>
                <w:vertAlign w:val="subscript"/>
              </w:rPr>
              <w:t>2</w:t>
            </w:r>
            <w:r w:rsidRPr="002029AF">
              <w:t>-e)</w:t>
            </w:r>
          </w:p>
        </w:tc>
        <w:tc>
          <w:tcPr>
            <w:tcW w:w="1710" w:type="dxa"/>
            <w:vAlign w:val="center"/>
          </w:tcPr>
          <w:p w14:paraId="04A0D494" w14:textId="3F80999D" w:rsidR="00CF72D5" w:rsidRPr="002029AF" w:rsidRDefault="00046372" w:rsidP="00897193">
            <w:pPr>
              <w:pStyle w:val="ARtabletextright"/>
            </w:pPr>
            <w:r w:rsidRPr="002029AF">
              <w:t>972</w:t>
            </w:r>
          </w:p>
        </w:tc>
        <w:tc>
          <w:tcPr>
            <w:tcW w:w="1710" w:type="dxa"/>
            <w:vAlign w:val="center"/>
          </w:tcPr>
          <w:p w14:paraId="2907E65E" w14:textId="77777777" w:rsidR="00CF72D5" w:rsidRPr="002029AF" w:rsidRDefault="00CF72D5" w:rsidP="00897193">
            <w:pPr>
              <w:pStyle w:val="ARtabletextright"/>
            </w:pPr>
            <w:r w:rsidRPr="002029AF">
              <w:t>1,620</w:t>
            </w:r>
          </w:p>
        </w:tc>
        <w:tc>
          <w:tcPr>
            <w:tcW w:w="1710" w:type="dxa"/>
            <w:vAlign w:val="center"/>
          </w:tcPr>
          <w:p w14:paraId="2F1D6B42" w14:textId="77777777" w:rsidR="00CF72D5" w:rsidRPr="002029AF" w:rsidRDefault="00CF72D5" w:rsidP="00897193">
            <w:pPr>
              <w:pStyle w:val="ARtabletextright"/>
            </w:pPr>
            <w:r w:rsidRPr="002029AF">
              <w:t>1,281</w:t>
            </w:r>
          </w:p>
        </w:tc>
      </w:tr>
    </w:tbl>
    <w:p w14:paraId="59FFD8DA" w14:textId="01049E7C" w:rsidR="00CF72D5" w:rsidRPr="002029AF" w:rsidRDefault="00CF72D5" w:rsidP="00897193">
      <w:pPr>
        <w:pStyle w:val="ARtablefootnote"/>
      </w:pPr>
      <w:r w:rsidRPr="002029AF">
        <w:t>Air</w:t>
      </w:r>
      <w:r w:rsidR="000A5329" w:rsidRPr="002029AF">
        <w:t xml:space="preserve"> </w:t>
      </w:r>
      <w:r w:rsidRPr="002029AF">
        <w:t>travel</w:t>
      </w:r>
      <w:r w:rsidR="000A5329" w:rsidRPr="002029AF">
        <w:t xml:space="preserve"> </w:t>
      </w:r>
      <w:r w:rsidRPr="002029AF">
        <w:t>data</w:t>
      </w:r>
      <w:r w:rsidR="000A5329" w:rsidRPr="002029AF">
        <w:t xml:space="preserve"> </w:t>
      </w:r>
      <w:r w:rsidRPr="002029AF">
        <w:t>represents</w:t>
      </w:r>
      <w:r w:rsidR="000A5329" w:rsidRPr="002029AF">
        <w:t xml:space="preserve"> </w:t>
      </w:r>
      <w:r w:rsidRPr="002029AF">
        <w:t>all</w:t>
      </w:r>
      <w:r w:rsidR="000A5329" w:rsidRPr="002029AF">
        <w:t xml:space="preserve"> </w:t>
      </w:r>
      <w:r w:rsidRPr="002029AF">
        <w:t>operational</w:t>
      </w:r>
      <w:r w:rsidR="000A5329" w:rsidRPr="002029AF">
        <w:t xml:space="preserve"> </w:t>
      </w:r>
      <w:r w:rsidRPr="002029AF">
        <w:t>and</w:t>
      </w:r>
      <w:r w:rsidR="000A5329" w:rsidRPr="002029AF">
        <w:t xml:space="preserve"> </w:t>
      </w:r>
      <w:r w:rsidRPr="002029AF">
        <w:t>office-based</w:t>
      </w:r>
      <w:r w:rsidR="000A5329" w:rsidRPr="002029AF">
        <w:t xml:space="preserve"> </w:t>
      </w:r>
      <w:r w:rsidRPr="002029AF">
        <w:t>FTE.</w:t>
      </w:r>
      <w:r w:rsidR="000A5329" w:rsidRPr="002029AF">
        <w:t xml:space="preserve"> </w:t>
      </w:r>
      <w:r w:rsidRPr="002029AF">
        <w:t>Base</w:t>
      </w:r>
      <w:r w:rsidR="000A5329" w:rsidRPr="002029AF">
        <w:t xml:space="preserve"> </w:t>
      </w:r>
      <w:r w:rsidRPr="002029AF">
        <w:t>fare</w:t>
      </w:r>
      <w:r w:rsidR="000A5329" w:rsidRPr="002029AF">
        <w:t xml:space="preserve"> </w:t>
      </w:r>
      <w:r w:rsidRPr="002029AF">
        <w:t>cost</w:t>
      </w:r>
      <w:r w:rsidR="000A5329" w:rsidRPr="002029AF">
        <w:t xml:space="preserve"> </w:t>
      </w:r>
      <w:r w:rsidRPr="002029AF">
        <w:t>excludes</w:t>
      </w:r>
      <w:r w:rsidR="000A5329" w:rsidRPr="002029AF">
        <w:t xml:space="preserve"> </w:t>
      </w:r>
      <w:r w:rsidRPr="002029AF">
        <w:t>GST.</w:t>
      </w:r>
    </w:p>
    <w:p w14:paraId="472F06DA" w14:textId="32BBCD9C" w:rsidR="00CF72D5" w:rsidRPr="002029AF" w:rsidRDefault="00CF72D5" w:rsidP="00961519">
      <w:pPr>
        <w:pStyle w:val="Heading5"/>
        <w:spacing w:before="400" w:after="200"/>
        <w:rPr>
          <w:rFonts w:ascii="Arial Bold" w:hAnsi="Arial Bold"/>
          <w:color w:val="4B4B4B"/>
        </w:rPr>
      </w:pPr>
      <w:r w:rsidRPr="002029AF">
        <w:rPr>
          <w:rFonts w:ascii="Arial Bold" w:hAnsi="Arial Bold"/>
          <w:color w:val="4B4B4B"/>
        </w:rPr>
        <w:t>Commuter</w:t>
      </w:r>
      <w:r w:rsidR="000A5329" w:rsidRPr="002029AF">
        <w:rPr>
          <w:rFonts w:ascii="Arial Bold" w:hAnsi="Arial Bold"/>
          <w:color w:val="4B4B4B"/>
        </w:rPr>
        <w:t xml:space="preserve"> </w:t>
      </w:r>
      <w:r w:rsidRPr="002029AF">
        <w:rPr>
          <w:rFonts w:ascii="Arial Bold" w:hAnsi="Arial Bold"/>
          <w:color w:val="4B4B4B"/>
        </w:rPr>
        <w:t>travel</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4536"/>
        <w:gridCol w:w="1701"/>
        <w:gridCol w:w="1701"/>
        <w:gridCol w:w="1701"/>
      </w:tblGrid>
      <w:tr w:rsidR="00CF72D5" w:rsidRPr="002029AF" w14:paraId="17210F15" w14:textId="77777777" w:rsidTr="00325283">
        <w:trPr>
          <w:cantSplit/>
          <w:trHeight w:val="309"/>
        </w:trPr>
        <w:tc>
          <w:tcPr>
            <w:tcW w:w="4536" w:type="dxa"/>
            <w:vAlign w:val="bottom"/>
          </w:tcPr>
          <w:p w14:paraId="7226A2FF" w14:textId="717B9B83" w:rsidR="00CF72D5" w:rsidRPr="002029AF" w:rsidRDefault="00CF72D5" w:rsidP="00897193">
            <w:pPr>
              <w:pStyle w:val="ARtablecolhead"/>
            </w:pPr>
            <w:r w:rsidRPr="002029AF">
              <w:t>Percentage</w:t>
            </w:r>
            <w:r w:rsidR="000A5329" w:rsidRPr="002029AF">
              <w:t xml:space="preserve"> </w:t>
            </w:r>
            <w:r w:rsidRPr="002029AF">
              <w:t>of</w:t>
            </w:r>
            <w:r w:rsidR="000A5329" w:rsidRPr="002029AF">
              <w:t xml:space="preserve"> </w:t>
            </w:r>
            <w:r w:rsidRPr="002029AF">
              <w:t>employees</w:t>
            </w:r>
            <w:r w:rsidR="000A5329" w:rsidRPr="002029AF">
              <w:t xml:space="preserve"> </w:t>
            </w:r>
            <w:r w:rsidRPr="002029AF">
              <w:t>regularly</w:t>
            </w:r>
            <w:r w:rsidR="000A5329" w:rsidRPr="002029AF">
              <w:t xml:space="preserve"> </w:t>
            </w:r>
            <w:r w:rsidRPr="002029AF">
              <w:t>using</w:t>
            </w:r>
            <w:r w:rsidR="000A5329" w:rsidRPr="002029AF">
              <w:t xml:space="preserve"> </w:t>
            </w:r>
            <w:r w:rsidRPr="002029AF">
              <w:t>sustainable</w:t>
            </w:r>
            <w:r w:rsidR="000A5329" w:rsidRPr="002029AF">
              <w:t xml:space="preserve"> </w:t>
            </w:r>
            <w:r w:rsidRPr="002029AF">
              <w:t>travel</w:t>
            </w:r>
            <w:r w:rsidR="000A5329" w:rsidRPr="002029AF">
              <w:t xml:space="preserve"> </w:t>
            </w:r>
            <w:r w:rsidRPr="002029AF">
              <w:t>(public</w:t>
            </w:r>
            <w:r w:rsidR="000A5329" w:rsidRPr="002029AF">
              <w:t xml:space="preserve"> </w:t>
            </w:r>
            <w:r w:rsidRPr="002029AF">
              <w:t>transport,</w:t>
            </w:r>
            <w:r w:rsidR="000A5329" w:rsidRPr="002029AF">
              <w:t xml:space="preserve"> </w:t>
            </w:r>
            <w:r w:rsidRPr="002029AF">
              <w:t>cycling,</w:t>
            </w:r>
            <w:r w:rsidR="000A5329" w:rsidRPr="002029AF">
              <w:t xml:space="preserve"> </w:t>
            </w:r>
            <w:r w:rsidRPr="002029AF">
              <w:t>walking,</w:t>
            </w:r>
            <w:r w:rsidR="000A5329" w:rsidRPr="002029AF">
              <w:t xml:space="preserve"> </w:t>
            </w:r>
            <w:r w:rsidRPr="002029AF">
              <w:t>car-pooling</w:t>
            </w:r>
            <w:r w:rsidR="000A5329" w:rsidRPr="002029AF">
              <w:t xml:space="preserve"> </w:t>
            </w:r>
            <w:r w:rsidRPr="002029AF">
              <w:t>or</w:t>
            </w:r>
            <w:r w:rsidR="000A5329" w:rsidRPr="002029AF">
              <w:t xml:space="preserve"> </w:t>
            </w:r>
            <w:r w:rsidRPr="002029AF">
              <w:t>working</w:t>
            </w:r>
            <w:r w:rsidR="000A5329" w:rsidRPr="002029AF">
              <w:t xml:space="preserve"> </w:t>
            </w:r>
            <w:r w:rsidRPr="002029AF">
              <w:t>from</w:t>
            </w:r>
            <w:r w:rsidR="000A5329" w:rsidRPr="002029AF">
              <w:t xml:space="preserve"> </w:t>
            </w:r>
            <w:r w:rsidRPr="002029AF">
              <w:t>home)</w:t>
            </w:r>
            <w:r w:rsidR="000A5329" w:rsidRPr="002029AF">
              <w:t xml:space="preserve"> </w:t>
            </w:r>
            <w:r w:rsidRPr="002029AF">
              <w:t>to</w:t>
            </w:r>
            <w:r w:rsidR="000A5329" w:rsidRPr="002029AF">
              <w:t xml:space="preserve"> </w:t>
            </w:r>
            <w:r w:rsidRPr="002029AF">
              <w:t>commute</w:t>
            </w:r>
          </w:p>
        </w:tc>
        <w:tc>
          <w:tcPr>
            <w:tcW w:w="1701" w:type="dxa"/>
            <w:vAlign w:val="bottom"/>
          </w:tcPr>
          <w:p w14:paraId="4F480D9E" w14:textId="4D423AAF" w:rsidR="00CF72D5" w:rsidRPr="002029AF" w:rsidRDefault="00CF72D5" w:rsidP="00897193">
            <w:pPr>
              <w:pStyle w:val="ARtablecolheadright"/>
            </w:pPr>
            <w:r w:rsidRPr="002029AF">
              <w:rPr>
                <w:color w:val="000000"/>
              </w:rPr>
              <w:t>2019–20</w:t>
            </w:r>
            <w:r w:rsidR="000A5329" w:rsidRPr="002029AF">
              <w:rPr>
                <w:color w:val="000000"/>
              </w:rPr>
              <w:t xml:space="preserve"> </w:t>
            </w:r>
            <w:r w:rsidRPr="002029AF">
              <w:rPr>
                <w:color w:val="000000"/>
              </w:rPr>
              <w:t>estimate</w:t>
            </w:r>
          </w:p>
        </w:tc>
        <w:tc>
          <w:tcPr>
            <w:tcW w:w="1701" w:type="dxa"/>
            <w:vAlign w:val="bottom"/>
          </w:tcPr>
          <w:p w14:paraId="1A3F3F57" w14:textId="19ACFCC7" w:rsidR="00CF72D5" w:rsidRPr="002029AF" w:rsidRDefault="00CF72D5" w:rsidP="00897193">
            <w:pPr>
              <w:pStyle w:val="ARtablecolheadright"/>
            </w:pPr>
            <w:r w:rsidRPr="002029AF">
              <w:rPr>
                <w:color w:val="000000"/>
              </w:rPr>
              <w:t>2018–19</w:t>
            </w:r>
            <w:r w:rsidR="000A5329" w:rsidRPr="002029AF">
              <w:rPr>
                <w:color w:val="000000"/>
              </w:rPr>
              <w:t xml:space="preserve"> </w:t>
            </w:r>
            <w:r w:rsidRPr="002029AF">
              <w:rPr>
                <w:color w:val="000000"/>
              </w:rPr>
              <w:t>estimate</w:t>
            </w:r>
          </w:p>
        </w:tc>
        <w:tc>
          <w:tcPr>
            <w:tcW w:w="1701" w:type="dxa"/>
            <w:vAlign w:val="bottom"/>
          </w:tcPr>
          <w:p w14:paraId="076DB763" w14:textId="2C412F5A" w:rsidR="00CF72D5" w:rsidRPr="002029AF" w:rsidRDefault="00CF72D5" w:rsidP="00897193">
            <w:pPr>
              <w:pStyle w:val="ARtablecolheadright"/>
            </w:pPr>
            <w:r w:rsidRPr="002029AF">
              <w:rPr>
                <w:color w:val="000000"/>
              </w:rPr>
              <w:t>2017–18</w:t>
            </w:r>
            <w:r w:rsidR="000A5329" w:rsidRPr="002029AF">
              <w:rPr>
                <w:color w:val="000000"/>
              </w:rPr>
              <w:t xml:space="preserve"> </w:t>
            </w:r>
            <w:r w:rsidRPr="002029AF">
              <w:rPr>
                <w:color w:val="000000"/>
              </w:rPr>
              <w:t>estimate</w:t>
            </w:r>
          </w:p>
        </w:tc>
      </w:tr>
      <w:tr w:rsidR="00CF72D5" w:rsidRPr="002029AF" w14:paraId="64B72A55" w14:textId="77777777" w:rsidTr="00325283">
        <w:trPr>
          <w:cantSplit/>
          <w:trHeight w:val="107"/>
        </w:trPr>
        <w:tc>
          <w:tcPr>
            <w:tcW w:w="4536" w:type="dxa"/>
          </w:tcPr>
          <w:p w14:paraId="6A4C625B" w14:textId="7C26702D" w:rsidR="00CF72D5" w:rsidRPr="002029AF" w:rsidRDefault="00CF72D5" w:rsidP="00897193">
            <w:pPr>
              <w:pStyle w:val="ARtabletext"/>
            </w:pPr>
            <w:r w:rsidRPr="002029AF">
              <w:t>Central</w:t>
            </w:r>
            <w:r w:rsidR="000A5329" w:rsidRPr="002029AF">
              <w:t xml:space="preserve"> </w:t>
            </w:r>
            <w:r w:rsidRPr="002029AF">
              <w:t>business</w:t>
            </w:r>
            <w:r w:rsidR="000A5329" w:rsidRPr="002029AF">
              <w:t xml:space="preserve"> </w:t>
            </w:r>
            <w:r w:rsidRPr="002029AF">
              <w:t>district</w:t>
            </w:r>
          </w:p>
        </w:tc>
        <w:tc>
          <w:tcPr>
            <w:tcW w:w="1701" w:type="dxa"/>
            <w:vAlign w:val="center"/>
          </w:tcPr>
          <w:p w14:paraId="0F663313" w14:textId="77777777" w:rsidR="00CF72D5" w:rsidRPr="002029AF" w:rsidRDefault="00CF72D5" w:rsidP="00897193">
            <w:pPr>
              <w:pStyle w:val="ARtabletextright"/>
            </w:pPr>
            <w:r w:rsidRPr="002029AF">
              <w:t>N/A</w:t>
            </w:r>
          </w:p>
        </w:tc>
        <w:tc>
          <w:tcPr>
            <w:tcW w:w="1701" w:type="dxa"/>
            <w:vAlign w:val="center"/>
          </w:tcPr>
          <w:p w14:paraId="5EC21699" w14:textId="77777777" w:rsidR="00CF72D5" w:rsidRPr="002029AF" w:rsidRDefault="00CF72D5" w:rsidP="00897193">
            <w:pPr>
              <w:pStyle w:val="ARtabletextright"/>
            </w:pPr>
            <w:r w:rsidRPr="002029AF">
              <w:t>96%</w:t>
            </w:r>
          </w:p>
        </w:tc>
        <w:tc>
          <w:tcPr>
            <w:tcW w:w="1701" w:type="dxa"/>
            <w:vAlign w:val="center"/>
          </w:tcPr>
          <w:p w14:paraId="56E9DC59" w14:textId="77777777" w:rsidR="00CF72D5" w:rsidRPr="002029AF" w:rsidRDefault="00CF72D5" w:rsidP="00897193">
            <w:pPr>
              <w:pStyle w:val="ARtabletextright"/>
            </w:pPr>
            <w:r w:rsidRPr="002029AF">
              <w:t>95%</w:t>
            </w:r>
          </w:p>
        </w:tc>
      </w:tr>
      <w:tr w:rsidR="00CF72D5" w:rsidRPr="002029AF" w14:paraId="58F8BF0E" w14:textId="77777777" w:rsidTr="00325283">
        <w:trPr>
          <w:cantSplit/>
          <w:trHeight w:val="107"/>
        </w:trPr>
        <w:tc>
          <w:tcPr>
            <w:tcW w:w="4536" w:type="dxa"/>
          </w:tcPr>
          <w:p w14:paraId="61DFDD36" w14:textId="77777777" w:rsidR="00CF72D5" w:rsidRPr="002029AF" w:rsidRDefault="00CF72D5" w:rsidP="00897193">
            <w:pPr>
              <w:pStyle w:val="ARtabletext"/>
            </w:pPr>
            <w:r w:rsidRPr="002029AF">
              <w:t>Metropolitan</w:t>
            </w:r>
          </w:p>
        </w:tc>
        <w:tc>
          <w:tcPr>
            <w:tcW w:w="1701" w:type="dxa"/>
            <w:vAlign w:val="center"/>
          </w:tcPr>
          <w:p w14:paraId="643654C1" w14:textId="77777777" w:rsidR="00CF72D5" w:rsidRPr="002029AF" w:rsidRDefault="00CF72D5" w:rsidP="00897193">
            <w:pPr>
              <w:pStyle w:val="ARtabletextright"/>
            </w:pPr>
            <w:r w:rsidRPr="002029AF">
              <w:t>N/A</w:t>
            </w:r>
          </w:p>
        </w:tc>
        <w:tc>
          <w:tcPr>
            <w:tcW w:w="1701" w:type="dxa"/>
            <w:vAlign w:val="center"/>
          </w:tcPr>
          <w:p w14:paraId="135E5EC9" w14:textId="77777777" w:rsidR="00CF72D5" w:rsidRPr="002029AF" w:rsidRDefault="00CF72D5" w:rsidP="00897193">
            <w:pPr>
              <w:pStyle w:val="ARtabletextright"/>
            </w:pPr>
            <w:r w:rsidRPr="002029AF">
              <w:t>67%</w:t>
            </w:r>
          </w:p>
        </w:tc>
        <w:tc>
          <w:tcPr>
            <w:tcW w:w="1701" w:type="dxa"/>
            <w:vAlign w:val="center"/>
          </w:tcPr>
          <w:p w14:paraId="2667035D" w14:textId="77777777" w:rsidR="00CF72D5" w:rsidRPr="002029AF" w:rsidRDefault="00CF72D5" w:rsidP="00897193">
            <w:pPr>
              <w:pStyle w:val="ARtabletextright"/>
            </w:pPr>
            <w:r w:rsidRPr="002029AF">
              <w:t>48%</w:t>
            </w:r>
          </w:p>
        </w:tc>
      </w:tr>
      <w:tr w:rsidR="00CF72D5" w:rsidRPr="002029AF" w14:paraId="1A84530C" w14:textId="77777777" w:rsidTr="00325283">
        <w:trPr>
          <w:cantSplit/>
          <w:trHeight w:val="107"/>
        </w:trPr>
        <w:tc>
          <w:tcPr>
            <w:tcW w:w="4536" w:type="dxa"/>
          </w:tcPr>
          <w:p w14:paraId="59C665BC" w14:textId="77777777" w:rsidR="00CF72D5" w:rsidRPr="002029AF" w:rsidRDefault="00CF72D5" w:rsidP="00897193">
            <w:pPr>
              <w:pStyle w:val="ARtabletext"/>
            </w:pPr>
            <w:r w:rsidRPr="002029AF">
              <w:t>Regional/rural</w:t>
            </w:r>
          </w:p>
        </w:tc>
        <w:tc>
          <w:tcPr>
            <w:tcW w:w="1701" w:type="dxa"/>
            <w:vAlign w:val="center"/>
          </w:tcPr>
          <w:p w14:paraId="2B39BB7C" w14:textId="77777777" w:rsidR="00CF72D5" w:rsidRPr="002029AF" w:rsidRDefault="00CF72D5" w:rsidP="00897193">
            <w:pPr>
              <w:pStyle w:val="ARtabletextright"/>
            </w:pPr>
            <w:r w:rsidRPr="002029AF">
              <w:t>N/A</w:t>
            </w:r>
          </w:p>
        </w:tc>
        <w:tc>
          <w:tcPr>
            <w:tcW w:w="1701" w:type="dxa"/>
            <w:vAlign w:val="center"/>
          </w:tcPr>
          <w:p w14:paraId="60DA43E2" w14:textId="77777777" w:rsidR="00CF72D5" w:rsidRPr="002029AF" w:rsidRDefault="00CF72D5" w:rsidP="00897193">
            <w:pPr>
              <w:pStyle w:val="ARtabletextright"/>
            </w:pPr>
            <w:r w:rsidRPr="002029AF">
              <w:t>45%</w:t>
            </w:r>
          </w:p>
        </w:tc>
        <w:tc>
          <w:tcPr>
            <w:tcW w:w="1701" w:type="dxa"/>
            <w:vAlign w:val="center"/>
          </w:tcPr>
          <w:p w14:paraId="306B2C04" w14:textId="77777777" w:rsidR="00CF72D5" w:rsidRPr="002029AF" w:rsidRDefault="00CF72D5" w:rsidP="00897193">
            <w:pPr>
              <w:pStyle w:val="ARtabletextright"/>
            </w:pPr>
            <w:r w:rsidRPr="002029AF">
              <w:t>26%</w:t>
            </w:r>
          </w:p>
        </w:tc>
      </w:tr>
      <w:tr w:rsidR="00CF72D5" w:rsidRPr="002029AF" w14:paraId="3D1389B6" w14:textId="77777777" w:rsidTr="00325283">
        <w:trPr>
          <w:cantSplit/>
          <w:trHeight w:val="107"/>
        </w:trPr>
        <w:tc>
          <w:tcPr>
            <w:tcW w:w="4536" w:type="dxa"/>
          </w:tcPr>
          <w:p w14:paraId="6172B2AC" w14:textId="77777777" w:rsidR="00CF72D5" w:rsidRPr="002029AF" w:rsidRDefault="00CF72D5" w:rsidP="00897193">
            <w:pPr>
              <w:pStyle w:val="ARtabletext"/>
              <w:rPr>
                <w:b/>
              </w:rPr>
            </w:pPr>
            <w:r w:rsidRPr="002029AF">
              <w:rPr>
                <w:b/>
              </w:rPr>
              <w:t>Total</w:t>
            </w:r>
          </w:p>
        </w:tc>
        <w:tc>
          <w:tcPr>
            <w:tcW w:w="1701" w:type="dxa"/>
            <w:vAlign w:val="center"/>
          </w:tcPr>
          <w:p w14:paraId="083D5CFC" w14:textId="77777777" w:rsidR="00CF72D5" w:rsidRPr="002029AF" w:rsidRDefault="00CF72D5" w:rsidP="00897193">
            <w:pPr>
              <w:pStyle w:val="ARtabletextrightbold"/>
            </w:pPr>
            <w:r w:rsidRPr="002029AF">
              <w:t>N/A</w:t>
            </w:r>
          </w:p>
        </w:tc>
        <w:tc>
          <w:tcPr>
            <w:tcW w:w="1701" w:type="dxa"/>
            <w:vAlign w:val="center"/>
          </w:tcPr>
          <w:p w14:paraId="3524E39F" w14:textId="77777777" w:rsidR="00CF72D5" w:rsidRPr="002029AF" w:rsidRDefault="00CF72D5" w:rsidP="00897193">
            <w:pPr>
              <w:pStyle w:val="ARtabletextrightbold"/>
            </w:pPr>
            <w:r w:rsidRPr="002029AF">
              <w:t>88%</w:t>
            </w:r>
          </w:p>
        </w:tc>
        <w:tc>
          <w:tcPr>
            <w:tcW w:w="1701" w:type="dxa"/>
            <w:vAlign w:val="center"/>
          </w:tcPr>
          <w:p w14:paraId="633D2DD1" w14:textId="77777777" w:rsidR="00CF72D5" w:rsidRPr="002029AF" w:rsidRDefault="00CF72D5" w:rsidP="00897193">
            <w:pPr>
              <w:pStyle w:val="ARtabletextrightbold"/>
            </w:pPr>
            <w:r w:rsidRPr="002029AF">
              <w:t>80%</w:t>
            </w:r>
          </w:p>
        </w:tc>
      </w:tr>
    </w:tbl>
    <w:p w14:paraId="3196DC57" w14:textId="41D2B8CF" w:rsidR="00CF72D5" w:rsidRPr="002029AF" w:rsidRDefault="00CF72D5" w:rsidP="00897193">
      <w:pPr>
        <w:pStyle w:val="ARtablefootnote"/>
      </w:pPr>
      <w:r w:rsidRPr="002029AF">
        <w:t>Sustainable</w:t>
      </w:r>
      <w:r w:rsidR="000A5329" w:rsidRPr="002029AF">
        <w:t xml:space="preserve"> </w:t>
      </w:r>
      <w:r w:rsidRPr="002029AF">
        <w:t>transport</w:t>
      </w:r>
      <w:r w:rsidR="000A5329" w:rsidRPr="002029AF">
        <w:t xml:space="preserve"> </w:t>
      </w:r>
      <w:r w:rsidRPr="002029AF">
        <w:t>data</w:t>
      </w:r>
      <w:r w:rsidR="000A5329" w:rsidRPr="002029AF">
        <w:t xml:space="preserve"> </w:t>
      </w:r>
      <w:r w:rsidRPr="002029AF">
        <w:t>is</w:t>
      </w:r>
      <w:r w:rsidR="000A5329" w:rsidRPr="002029AF">
        <w:t xml:space="preserve"> </w:t>
      </w:r>
      <w:r w:rsidRPr="002029AF">
        <w:t>obtained</w:t>
      </w:r>
      <w:r w:rsidR="000A5329" w:rsidRPr="002029AF">
        <w:t xml:space="preserve"> </w:t>
      </w:r>
      <w:r w:rsidRPr="002029AF">
        <w:t>from</w:t>
      </w:r>
      <w:r w:rsidR="000A5329" w:rsidRPr="002029AF">
        <w:t xml:space="preserve"> </w:t>
      </w:r>
      <w:r w:rsidRPr="002029AF">
        <w:t>the</w:t>
      </w:r>
      <w:r w:rsidR="000A5329" w:rsidRPr="002029AF">
        <w:t xml:space="preserve"> </w:t>
      </w:r>
      <w:r w:rsidRPr="002029AF">
        <w:t>department</w:t>
      </w:r>
      <w:r w:rsidR="005F298C">
        <w:t>’</w:t>
      </w:r>
      <w:r w:rsidRPr="002029AF">
        <w:t>s</w:t>
      </w:r>
      <w:r w:rsidR="000A5329" w:rsidRPr="002029AF">
        <w:t xml:space="preserve"> </w:t>
      </w:r>
      <w:r w:rsidRPr="002029AF">
        <w:t>annual</w:t>
      </w:r>
      <w:r w:rsidR="000A5329" w:rsidRPr="002029AF">
        <w:t xml:space="preserve"> </w:t>
      </w:r>
      <w:r w:rsidRPr="002029AF">
        <w:t>staff</w:t>
      </w:r>
      <w:r w:rsidR="000A5329" w:rsidRPr="002029AF">
        <w:t xml:space="preserve"> </w:t>
      </w:r>
      <w:r w:rsidRPr="002029AF">
        <w:t>travel</w:t>
      </w:r>
      <w:r w:rsidR="000A5329" w:rsidRPr="002029AF">
        <w:t xml:space="preserve"> </w:t>
      </w:r>
      <w:r w:rsidRPr="002029AF">
        <w:t>survey.</w:t>
      </w:r>
      <w:r w:rsidR="000A5329" w:rsidRPr="002029AF">
        <w:t xml:space="preserve"> </w:t>
      </w:r>
      <w:r w:rsidRPr="002029AF">
        <w:t>Due</w:t>
      </w:r>
      <w:r w:rsidR="000A5329" w:rsidRPr="002029AF">
        <w:t xml:space="preserve"> </w:t>
      </w:r>
      <w:r w:rsidRPr="002029AF">
        <w:t>to</w:t>
      </w:r>
      <w:r w:rsidR="000A5329" w:rsidRPr="002029AF">
        <w:t xml:space="preserve"> </w:t>
      </w:r>
      <w:r w:rsidRPr="002029AF">
        <w:t>the</w:t>
      </w:r>
      <w:r w:rsidR="000A5329" w:rsidRPr="002029AF">
        <w:t xml:space="preserve"> </w:t>
      </w:r>
      <w:r w:rsidRPr="002029AF">
        <w:t>impact</w:t>
      </w:r>
      <w:r w:rsidR="000A5329" w:rsidRPr="002029AF">
        <w:t xml:space="preserve"> </w:t>
      </w:r>
      <w:r w:rsidRPr="002029AF">
        <w:t>of</w:t>
      </w:r>
      <w:r w:rsidR="000A5329" w:rsidRPr="002029AF">
        <w:t xml:space="preserve"> </w:t>
      </w:r>
      <w:r w:rsidRPr="002029AF">
        <w:t>COVID-19,</w:t>
      </w:r>
      <w:r w:rsidR="000A5329" w:rsidRPr="002029AF">
        <w:t xml:space="preserve"> </w:t>
      </w:r>
      <w:r w:rsidRPr="002029AF">
        <w:t>no</w:t>
      </w:r>
      <w:r w:rsidR="000A5329" w:rsidRPr="002029AF">
        <w:t xml:space="preserve"> </w:t>
      </w:r>
      <w:r w:rsidRPr="002029AF">
        <w:t>survey</w:t>
      </w:r>
      <w:r w:rsidR="000A5329" w:rsidRPr="002029AF">
        <w:t xml:space="preserve"> </w:t>
      </w:r>
      <w:r w:rsidRPr="002029AF">
        <w:t>was</w:t>
      </w:r>
      <w:r w:rsidR="000A5329" w:rsidRPr="002029AF">
        <w:t xml:space="preserve"> </w:t>
      </w:r>
      <w:r w:rsidRPr="002029AF">
        <w:t>undertaken</w:t>
      </w:r>
      <w:r w:rsidR="000A5329" w:rsidRPr="002029AF">
        <w:t xml:space="preserve"> </w:t>
      </w:r>
      <w:r w:rsidRPr="002029AF">
        <w:t>in</w:t>
      </w:r>
      <w:r w:rsidR="000A5329" w:rsidRPr="002029AF">
        <w:t xml:space="preserve"> </w:t>
      </w:r>
      <w:r w:rsidRPr="002029AF">
        <w:t>the</w:t>
      </w:r>
      <w:r w:rsidR="000A5329" w:rsidRPr="002029AF">
        <w:t xml:space="preserve"> </w:t>
      </w:r>
      <w:r w:rsidRPr="002029AF">
        <w:t>201</w:t>
      </w:r>
      <w:r w:rsidR="00DB53E6" w:rsidRPr="002029AF">
        <w:t>9–</w:t>
      </w:r>
      <w:r w:rsidRPr="002029AF">
        <w:t>20</w:t>
      </w:r>
      <w:r w:rsidR="000A5329" w:rsidRPr="002029AF">
        <w:t xml:space="preserve"> </w:t>
      </w:r>
      <w:r w:rsidRPr="002029AF">
        <w:t>financial</w:t>
      </w:r>
      <w:r w:rsidR="000A5329" w:rsidRPr="002029AF">
        <w:t xml:space="preserve"> </w:t>
      </w:r>
      <w:r w:rsidRPr="002029AF">
        <w:t>year.</w:t>
      </w:r>
      <w:r w:rsidR="000A5329" w:rsidRPr="002029AF">
        <w:t xml:space="preserve"> </w:t>
      </w:r>
      <w:r w:rsidRPr="002029AF">
        <w:t>Previous</w:t>
      </w:r>
      <w:r w:rsidR="000A5329" w:rsidRPr="002029AF">
        <w:t xml:space="preserve"> </w:t>
      </w:r>
      <w:r w:rsidRPr="002029AF">
        <w:t>results</w:t>
      </w:r>
      <w:r w:rsidR="000A5329" w:rsidRPr="002029AF">
        <w:t xml:space="preserve"> </w:t>
      </w:r>
      <w:r w:rsidRPr="002029AF">
        <w:t>exclude</w:t>
      </w:r>
      <w:r w:rsidR="000A5329" w:rsidRPr="002029AF">
        <w:t xml:space="preserve"> </w:t>
      </w:r>
      <w:r w:rsidRPr="002029AF">
        <w:t>responses</w:t>
      </w:r>
      <w:r w:rsidR="000A5329" w:rsidRPr="002029AF">
        <w:t xml:space="preserve"> </w:t>
      </w:r>
      <w:r w:rsidRPr="002029AF">
        <w:t>from</w:t>
      </w:r>
      <w:r w:rsidR="000A5329" w:rsidRPr="002029AF">
        <w:t xml:space="preserve"> </w:t>
      </w:r>
      <w:r w:rsidRPr="002029AF">
        <w:t>surveyed</w:t>
      </w:r>
      <w:r w:rsidR="000A5329" w:rsidRPr="002029AF">
        <w:t xml:space="preserve"> </w:t>
      </w:r>
      <w:r w:rsidRPr="002029AF">
        <w:t>staff</w:t>
      </w:r>
      <w:r w:rsidR="000A5329" w:rsidRPr="002029AF">
        <w:t xml:space="preserve"> </w:t>
      </w:r>
      <w:r w:rsidRPr="002029AF">
        <w:t>who</w:t>
      </w:r>
      <w:r w:rsidR="000A5329" w:rsidRPr="002029AF">
        <w:t xml:space="preserve"> </w:t>
      </w:r>
      <w:r w:rsidRPr="002029AF">
        <w:t>were</w:t>
      </w:r>
      <w:r w:rsidR="000A5329" w:rsidRPr="002029AF">
        <w:t xml:space="preserve"> </w:t>
      </w:r>
      <w:r w:rsidRPr="002029AF">
        <w:t>on</w:t>
      </w:r>
      <w:r w:rsidR="000A5329" w:rsidRPr="002029AF">
        <w:t xml:space="preserve"> </w:t>
      </w:r>
      <w:r w:rsidRPr="002029AF">
        <w:t>leave</w:t>
      </w:r>
      <w:r w:rsidR="000A5329" w:rsidRPr="002029AF">
        <w:t xml:space="preserve"> </w:t>
      </w:r>
      <w:r w:rsidRPr="002029AF">
        <w:t>or</w:t>
      </w:r>
      <w:r w:rsidR="000A5329" w:rsidRPr="002029AF">
        <w:t xml:space="preserve"> </w:t>
      </w:r>
      <w:r w:rsidRPr="002029AF">
        <w:t>did</w:t>
      </w:r>
      <w:r w:rsidR="000A5329" w:rsidRPr="002029AF">
        <w:t xml:space="preserve"> </w:t>
      </w:r>
      <w:r w:rsidRPr="002029AF">
        <w:t>not</w:t>
      </w:r>
      <w:r w:rsidR="000A5329" w:rsidRPr="002029AF">
        <w:t xml:space="preserve"> </w:t>
      </w:r>
      <w:r w:rsidRPr="002029AF">
        <w:t>travel</w:t>
      </w:r>
      <w:r w:rsidR="000A5329" w:rsidRPr="002029AF">
        <w:t xml:space="preserve"> </w:t>
      </w:r>
      <w:r w:rsidRPr="002029AF">
        <w:t>to</w:t>
      </w:r>
      <w:r w:rsidR="000A5329" w:rsidRPr="002029AF">
        <w:t xml:space="preserve"> </w:t>
      </w:r>
      <w:r w:rsidRPr="002029AF">
        <w:t>work</w:t>
      </w:r>
      <w:r w:rsidR="000A5329" w:rsidRPr="002029AF">
        <w:t xml:space="preserve"> </w:t>
      </w:r>
      <w:r w:rsidRPr="002029AF">
        <w:t>during</w:t>
      </w:r>
      <w:r w:rsidR="000A5329" w:rsidRPr="002029AF">
        <w:t xml:space="preserve"> </w:t>
      </w:r>
      <w:r w:rsidRPr="002029AF">
        <w:t>the</w:t>
      </w:r>
      <w:r w:rsidR="000A5329" w:rsidRPr="002029AF">
        <w:t xml:space="preserve"> </w:t>
      </w:r>
      <w:r w:rsidRPr="002029AF">
        <w:t>survey</w:t>
      </w:r>
      <w:r w:rsidR="000A5329" w:rsidRPr="002029AF">
        <w:t xml:space="preserve"> </w:t>
      </w:r>
      <w:r w:rsidRPr="002029AF">
        <w:t>period.</w:t>
      </w:r>
    </w:p>
    <w:p w14:paraId="038FCB8D" w14:textId="6377BDD8" w:rsidR="00CF72D5" w:rsidRPr="002029AF" w:rsidRDefault="00CF72D5" w:rsidP="00961519">
      <w:pPr>
        <w:pStyle w:val="Heading4"/>
        <w:spacing w:before="400" w:after="200"/>
        <w:rPr>
          <w:rFonts w:ascii="Arial Bold" w:hAnsi="Arial Bold" w:hint="eastAsia"/>
          <w:color w:val="87189D"/>
        </w:rPr>
      </w:pPr>
      <w:bookmarkStart w:id="190" w:name="_Toc51786528"/>
      <w:r w:rsidRPr="002029AF">
        <w:rPr>
          <w:rFonts w:ascii="Arial Bold" w:hAnsi="Arial Bold"/>
          <w:color w:val="87189D"/>
        </w:rPr>
        <w:lastRenderedPageBreak/>
        <w:t>Procurement</w:t>
      </w:r>
      <w:r w:rsidR="000A5329" w:rsidRPr="002029AF">
        <w:rPr>
          <w:rFonts w:ascii="Arial Bold" w:hAnsi="Arial Bold"/>
          <w:color w:val="87189D"/>
        </w:rPr>
        <w:t xml:space="preserve"> </w:t>
      </w:r>
      <w:r w:rsidRPr="002029AF">
        <w:rPr>
          <w:rFonts w:ascii="Arial Bold" w:hAnsi="Arial Bold"/>
          <w:color w:val="87189D"/>
        </w:rPr>
        <w:t>and</w:t>
      </w:r>
      <w:r w:rsidR="000A5329" w:rsidRPr="002029AF">
        <w:rPr>
          <w:rFonts w:ascii="Arial Bold" w:hAnsi="Arial Bold"/>
          <w:color w:val="87189D"/>
        </w:rPr>
        <w:t xml:space="preserve"> </w:t>
      </w:r>
      <w:r w:rsidRPr="002029AF">
        <w:rPr>
          <w:rFonts w:ascii="Arial Bold" w:hAnsi="Arial Bold"/>
          <w:color w:val="87189D"/>
        </w:rPr>
        <w:t>paper</w:t>
      </w:r>
      <w:bookmarkEnd w:id="190"/>
    </w:p>
    <w:p w14:paraId="3E80A0D0" w14:textId="736952DE" w:rsidR="00CF72D5" w:rsidRPr="002029AF" w:rsidRDefault="00CF72D5" w:rsidP="00961519">
      <w:pPr>
        <w:pStyle w:val="Heading5"/>
        <w:spacing w:before="0" w:after="200"/>
        <w:rPr>
          <w:rFonts w:ascii="Arial Bold" w:hAnsi="Arial Bold"/>
          <w:color w:val="4B4B4B"/>
        </w:rPr>
      </w:pPr>
      <w:r w:rsidRPr="002029AF">
        <w:rPr>
          <w:rFonts w:ascii="Arial Bold" w:hAnsi="Arial Bold"/>
          <w:color w:val="4B4B4B"/>
        </w:rPr>
        <w:t>Procurement</w:t>
      </w:r>
      <w:r w:rsidR="000A5329" w:rsidRPr="002029AF">
        <w:rPr>
          <w:rFonts w:ascii="Arial Bold" w:hAnsi="Arial Bold"/>
          <w:color w:val="4B4B4B"/>
        </w:rPr>
        <w:t xml:space="preserve"> </w:t>
      </w:r>
      <w:r w:rsidRPr="002029AF">
        <w:rPr>
          <w:rFonts w:ascii="Arial Bold" w:hAnsi="Arial Bold"/>
          <w:color w:val="4B4B4B"/>
        </w:rPr>
        <w:t>of</w:t>
      </w:r>
      <w:r w:rsidR="000A5329" w:rsidRPr="002029AF">
        <w:rPr>
          <w:rFonts w:ascii="Arial Bold" w:hAnsi="Arial Bold"/>
          <w:color w:val="4B4B4B"/>
        </w:rPr>
        <w:t xml:space="preserve"> </w:t>
      </w:r>
      <w:r w:rsidRPr="002029AF">
        <w:rPr>
          <w:rFonts w:ascii="Arial Bold" w:hAnsi="Arial Bold"/>
          <w:color w:val="4B4B4B"/>
        </w:rPr>
        <w:t>office</w:t>
      </w:r>
      <w:r w:rsidR="000A5329" w:rsidRPr="002029AF">
        <w:rPr>
          <w:rFonts w:ascii="Arial Bold" w:hAnsi="Arial Bold"/>
          <w:color w:val="4B4B4B"/>
        </w:rPr>
        <w:t xml:space="preserve"> </w:t>
      </w:r>
      <w:r w:rsidRPr="002029AF">
        <w:rPr>
          <w:rFonts w:ascii="Arial Bold" w:hAnsi="Arial Bold"/>
          <w:color w:val="4B4B4B"/>
        </w:rPr>
        <w:t>products</w:t>
      </w:r>
      <w:r w:rsidR="000A5329" w:rsidRPr="002029AF">
        <w:rPr>
          <w:rFonts w:ascii="Arial Bold" w:hAnsi="Arial Bold"/>
          <w:color w:val="4B4B4B"/>
        </w:rPr>
        <w:t xml:space="preserve"> </w:t>
      </w:r>
      <w:r w:rsidRPr="002029AF">
        <w:rPr>
          <w:rFonts w:ascii="Arial Bold" w:hAnsi="Arial Bold"/>
          <w:color w:val="4B4B4B"/>
        </w:rPr>
        <w:t>and</w:t>
      </w:r>
      <w:r w:rsidR="000A5329" w:rsidRPr="002029AF">
        <w:rPr>
          <w:rFonts w:ascii="Arial Bold" w:hAnsi="Arial Bold"/>
          <w:color w:val="4B4B4B"/>
        </w:rPr>
        <w:t xml:space="preserve"> </w:t>
      </w:r>
      <w:r w:rsidRPr="002029AF">
        <w:rPr>
          <w:rFonts w:ascii="Arial Bold" w:hAnsi="Arial Bold"/>
          <w:color w:val="4B4B4B"/>
        </w:rPr>
        <w:t>stationery</w:t>
      </w:r>
      <w:r w:rsidR="000A5329" w:rsidRPr="002029AF">
        <w:rPr>
          <w:rFonts w:ascii="Arial Bold" w:hAnsi="Arial Bold"/>
          <w:color w:val="4B4B4B"/>
        </w:rPr>
        <w:t xml:space="preserve"> </w:t>
      </w:r>
      <w:r w:rsidRPr="002029AF">
        <w:rPr>
          <w:rFonts w:ascii="Arial Bold" w:hAnsi="Arial Bold"/>
          <w:color w:val="4B4B4B"/>
        </w:rPr>
        <w:t>with</w:t>
      </w:r>
      <w:r w:rsidR="000A5329" w:rsidRPr="002029AF">
        <w:rPr>
          <w:rFonts w:ascii="Arial Bold" w:hAnsi="Arial Bold"/>
          <w:color w:val="4B4B4B"/>
        </w:rPr>
        <w:t xml:space="preserve"> </w:t>
      </w:r>
      <w:r w:rsidRPr="002029AF">
        <w:rPr>
          <w:rFonts w:ascii="Arial Bold" w:hAnsi="Arial Bold"/>
          <w:color w:val="4B4B4B"/>
        </w:rPr>
        <w:t>environmental</w:t>
      </w:r>
      <w:r w:rsidR="000A5329" w:rsidRPr="002029AF">
        <w:rPr>
          <w:rFonts w:ascii="Arial Bold" w:hAnsi="Arial Bold"/>
          <w:color w:val="4B4B4B"/>
        </w:rPr>
        <w:t xml:space="preserve"> </w:t>
      </w:r>
      <w:r w:rsidRPr="002029AF">
        <w:rPr>
          <w:rFonts w:ascii="Arial Bold" w:hAnsi="Arial Bold"/>
          <w:color w:val="4B4B4B"/>
        </w:rPr>
        <w:t>considerations</w:t>
      </w:r>
      <w:r w:rsidR="000A5329" w:rsidRPr="002029AF">
        <w:rPr>
          <w:rFonts w:ascii="Arial Bold" w:hAnsi="Arial Bold"/>
          <w:color w:val="4B4B4B"/>
        </w:rPr>
        <w:t xml:space="preserve"> </w:t>
      </w:r>
      <w:r w:rsidRPr="002029AF">
        <w:rPr>
          <w:rFonts w:ascii="Arial Bold" w:hAnsi="Arial Bold"/>
          <w:color w:val="4B4B4B"/>
        </w:rPr>
        <w:t>from</w:t>
      </w:r>
      <w:r w:rsidR="000A5329" w:rsidRPr="002029AF">
        <w:rPr>
          <w:rFonts w:ascii="Arial Bold" w:hAnsi="Arial Bold"/>
          <w:color w:val="4B4B4B"/>
        </w:rPr>
        <w:t xml:space="preserve"> </w:t>
      </w:r>
      <w:r w:rsidRPr="002029AF">
        <w:rPr>
          <w:rFonts w:ascii="Arial Bold" w:hAnsi="Arial Bold"/>
          <w:color w:val="4B4B4B"/>
        </w:rPr>
        <w:t>departmental</w:t>
      </w:r>
      <w:r w:rsidR="000A5329" w:rsidRPr="002029AF">
        <w:rPr>
          <w:rFonts w:ascii="Arial Bold" w:hAnsi="Arial Bold"/>
          <w:color w:val="4B4B4B"/>
        </w:rPr>
        <w:t xml:space="preserve"> </w:t>
      </w:r>
      <w:r w:rsidRPr="002029AF">
        <w:rPr>
          <w:rFonts w:ascii="Arial Bold" w:hAnsi="Arial Bold"/>
          <w:color w:val="4B4B4B"/>
        </w:rPr>
        <w:t>operations</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4536"/>
        <w:gridCol w:w="1701"/>
        <w:gridCol w:w="1701"/>
        <w:gridCol w:w="1701"/>
      </w:tblGrid>
      <w:tr w:rsidR="00CF72D5" w:rsidRPr="002029AF" w14:paraId="7B6DE258" w14:textId="77777777" w:rsidTr="00325283">
        <w:trPr>
          <w:cantSplit/>
          <w:tblHeader/>
        </w:trPr>
        <w:tc>
          <w:tcPr>
            <w:tcW w:w="4536" w:type="dxa"/>
            <w:vAlign w:val="bottom"/>
          </w:tcPr>
          <w:p w14:paraId="67A61511" w14:textId="5A7DAE94" w:rsidR="00CF72D5" w:rsidRPr="002029AF" w:rsidRDefault="00CF72D5" w:rsidP="00897193">
            <w:pPr>
              <w:pStyle w:val="ARtablecolhead"/>
            </w:pPr>
            <w:r w:rsidRPr="002029AF">
              <w:t>Percentage</w:t>
            </w:r>
            <w:r w:rsidR="000A5329" w:rsidRPr="002029AF">
              <w:t xml:space="preserve"> </w:t>
            </w:r>
            <w:r w:rsidRPr="002029AF">
              <w:t>of</w:t>
            </w:r>
            <w:r w:rsidR="000A5329" w:rsidRPr="002029AF">
              <w:t xml:space="preserve"> </w:t>
            </w:r>
            <w:r w:rsidRPr="002029AF">
              <w:t>expenditure</w:t>
            </w:r>
            <w:r w:rsidR="000A5329" w:rsidRPr="002029AF">
              <w:t xml:space="preserve"> </w:t>
            </w:r>
            <w:r w:rsidRPr="002029AF">
              <w:t>incorporating</w:t>
            </w:r>
            <w:r w:rsidR="000A5329" w:rsidRPr="002029AF">
              <w:t xml:space="preserve"> </w:t>
            </w:r>
            <w:r w:rsidRPr="002029AF">
              <w:t>environmental</w:t>
            </w:r>
            <w:r w:rsidR="000A5329" w:rsidRPr="002029AF">
              <w:t xml:space="preserve"> </w:t>
            </w:r>
            <w:r w:rsidRPr="002029AF">
              <w:t>considerations</w:t>
            </w:r>
          </w:p>
        </w:tc>
        <w:tc>
          <w:tcPr>
            <w:tcW w:w="1701" w:type="dxa"/>
            <w:vAlign w:val="bottom"/>
          </w:tcPr>
          <w:p w14:paraId="69830E48" w14:textId="541C1D2F" w:rsidR="00CF72D5" w:rsidRPr="002029AF" w:rsidRDefault="00CF72D5" w:rsidP="00897193">
            <w:pPr>
              <w:pStyle w:val="ARtablecolheadright"/>
            </w:pPr>
            <w:r w:rsidRPr="002029AF">
              <w:rPr>
                <w:color w:val="000000"/>
              </w:rPr>
              <w:t>2019–20</w:t>
            </w:r>
            <w:r w:rsidR="000A5329" w:rsidRPr="002029AF">
              <w:rPr>
                <w:color w:val="000000"/>
              </w:rPr>
              <w:t xml:space="preserve"> </w:t>
            </w:r>
            <w:r w:rsidRPr="002029AF">
              <w:rPr>
                <w:color w:val="000000"/>
              </w:rPr>
              <w:t>actual</w:t>
            </w:r>
          </w:p>
        </w:tc>
        <w:tc>
          <w:tcPr>
            <w:tcW w:w="1701" w:type="dxa"/>
            <w:vAlign w:val="bottom"/>
          </w:tcPr>
          <w:p w14:paraId="63C7C994" w14:textId="55052CEF" w:rsidR="00CF72D5" w:rsidRPr="002029AF" w:rsidRDefault="00CF72D5" w:rsidP="00897193">
            <w:pPr>
              <w:pStyle w:val="ARtablecolheadright"/>
            </w:pPr>
            <w:r w:rsidRPr="002029AF">
              <w:rPr>
                <w:color w:val="000000"/>
              </w:rPr>
              <w:t>2018–19</w:t>
            </w:r>
            <w:r w:rsidR="000A5329" w:rsidRPr="002029AF">
              <w:rPr>
                <w:color w:val="000000"/>
              </w:rPr>
              <w:t xml:space="preserve"> </w:t>
            </w:r>
            <w:r w:rsidRPr="002029AF">
              <w:rPr>
                <w:color w:val="000000"/>
              </w:rPr>
              <w:t>actual</w:t>
            </w:r>
          </w:p>
        </w:tc>
        <w:tc>
          <w:tcPr>
            <w:tcW w:w="1701" w:type="dxa"/>
            <w:vAlign w:val="bottom"/>
          </w:tcPr>
          <w:p w14:paraId="028D226A" w14:textId="1FDFE84A" w:rsidR="00CF72D5" w:rsidRPr="002029AF" w:rsidRDefault="00CF72D5" w:rsidP="00897193">
            <w:pPr>
              <w:pStyle w:val="ARtablecolheadright"/>
            </w:pPr>
            <w:r w:rsidRPr="002029AF">
              <w:rPr>
                <w:color w:val="000000"/>
              </w:rPr>
              <w:t>2017–18</w:t>
            </w:r>
            <w:r w:rsidR="000A5329" w:rsidRPr="002029AF">
              <w:rPr>
                <w:color w:val="000000"/>
              </w:rPr>
              <w:t xml:space="preserve"> </w:t>
            </w:r>
            <w:r w:rsidRPr="002029AF">
              <w:rPr>
                <w:color w:val="000000"/>
              </w:rPr>
              <w:t>actual</w:t>
            </w:r>
          </w:p>
        </w:tc>
      </w:tr>
      <w:tr w:rsidR="00CF72D5" w:rsidRPr="002029AF" w14:paraId="76CADE85" w14:textId="77777777" w:rsidTr="00897193">
        <w:trPr>
          <w:cantSplit/>
        </w:trPr>
        <w:tc>
          <w:tcPr>
            <w:tcW w:w="4536" w:type="dxa"/>
          </w:tcPr>
          <w:p w14:paraId="41913FC2" w14:textId="77777777" w:rsidR="00CF72D5" w:rsidRPr="002029AF" w:rsidRDefault="00CF72D5" w:rsidP="00897193">
            <w:pPr>
              <w:pStyle w:val="ARtabletext"/>
            </w:pPr>
            <w:r w:rsidRPr="002029AF">
              <w:t>Furniture</w:t>
            </w:r>
          </w:p>
        </w:tc>
        <w:tc>
          <w:tcPr>
            <w:tcW w:w="1701" w:type="dxa"/>
            <w:vAlign w:val="center"/>
          </w:tcPr>
          <w:p w14:paraId="7C47D4B5" w14:textId="77777777" w:rsidR="00CF72D5" w:rsidRPr="002029AF" w:rsidRDefault="00CF72D5" w:rsidP="00897193">
            <w:pPr>
              <w:pStyle w:val="ARtabletextright"/>
            </w:pPr>
            <w:r w:rsidRPr="002029AF">
              <w:t>38%</w:t>
            </w:r>
          </w:p>
        </w:tc>
        <w:tc>
          <w:tcPr>
            <w:tcW w:w="1701" w:type="dxa"/>
            <w:vAlign w:val="center"/>
          </w:tcPr>
          <w:p w14:paraId="6AB81EC9" w14:textId="77777777" w:rsidR="00CF72D5" w:rsidRPr="002029AF" w:rsidRDefault="00CF72D5" w:rsidP="00897193">
            <w:pPr>
              <w:pStyle w:val="ARtabletextright"/>
            </w:pPr>
            <w:r w:rsidRPr="002029AF">
              <w:t>32%</w:t>
            </w:r>
          </w:p>
        </w:tc>
        <w:tc>
          <w:tcPr>
            <w:tcW w:w="1701" w:type="dxa"/>
            <w:vAlign w:val="center"/>
          </w:tcPr>
          <w:p w14:paraId="3481E8C0" w14:textId="77777777" w:rsidR="00CF72D5" w:rsidRPr="002029AF" w:rsidRDefault="00CF72D5" w:rsidP="00897193">
            <w:pPr>
              <w:pStyle w:val="ARtabletextright"/>
            </w:pPr>
            <w:r w:rsidRPr="002029AF">
              <w:t>1%</w:t>
            </w:r>
          </w:p>
        </w:tc>
      </w:tr>
      <w:tr w:rsidR="00CF72D5" w:rsidRPr="002029AF" w14:paraId="63DFF052" w14:textId="77777777" w:rsidTr="00897193">
        <w:trPr>
          <w:cantSplit/>
        </w:trPr>
        <w:tc>
          <w:tcPr>
            <w:tcW w:w="4536" w:type="dxa"/>
          </w:tcPr>
          <w:p w14:paraId="5FC78D2D" w14:textId="77777777" w:rsidR="00CF72D5" w:rsidRPr="002029AF" w:rsidRDefault="00CF72D5" w:rsidP="00897193">
            <w:pPr>
              <w:pStyle w:val="ARtabletext"/>
            </w:pPr>
            <w:r w:rsidRPr="002029AF">
              <w:t>Kitchen</w:t>
            </w:r>
          </w:p>
        </w:tc>
        <w:tc>
          <w:tcPr>
            <w:tcW w:w="1701" w:type="dxa"/>
            <w:vAlign w:val="center"/>
          </w:tcPr>
          <w:p w14:paraId="057FD0BE" w14:textId="77777777" w:rsidR="00CF72D5" w:rsidRPr="002029AF" w:rsidRDefault="00CF72D5" w:rsidP="00897193">
            <w:pPr>
              <w:pStyle w:val="ARtabletextright"/>
            </w:pPr>
            <w:r w:rsidRPr="002029AF">
              <w:t>20%</w:t>
            </w:r>
          </w:p>
        </w:tc>
        <w:tc>
          <w:tcPr>
            <w:tcW w:w="1701" w:type="dxa"/>
            <w:vAlign w:val="center"/>
          </w:tcPr>
          <w:p w14:paraId="1377B0E3" w14:textId="77777777" w:rsidR="00CF72D5" w:rsidRPr="002029AF" w:rsidRDefault="00CF72D5" w:rsidP="00897193">
            <w:pPr>
              <w:pStyle w:val="ARtabletextright"/>
            </w:pPr>
            <w:r w:rsidRPr="002029AF">
              <w:t>19%</w:t>
            </w:r>
          </w:p>
        </w:tc>
        <w:tc>
          <w:tcPr>
            <w:tcW w:w="1701" w:type="dxa"/>
            <w:vAlign w:val="center"/>
          </w:tcPr>
          <w:p w14:paraId="71C9C037" w14:textId="77777777" w:rsidR="00CF72D5" w:rsidRPr="002029AF" w:rsidRDefault="00CF72D5" w:rsidP="00897193">
            <w:pPr>
              <w:pStyle w:val="ARtabletextright"/>
            </w:pPr>
            <w:r w:rsidRPr="002029AF">
              <w:t>16%</w:t>
            </w:r>
          </w:p>
        </w:tc>
      </w:tr>
      <w:tr w:rsidR="00CF72D5" w:rsidRPr="002029AF" w14:paraId="40B4FF82" w14:textId="77777777" w:rsidTr="00897193">
        <w:trPr>
          <w:cantSplit/>
        </w:trPr>
        <w:tc>
          <w:tcPr>
            <w:tcW w:w="4536" w:type="dxa"/>
          </w:tcPr>
          <w:p w14:paraId="21135AD3" w14:textId="68C759F8" w:rsidR="00CF72D5" w:rsidRPr="002029AF" w:rsidRDefault="00CF72D5" w:rsidP="00897193">
            <w:pPr>
              <w:pStyle w:val="ARtabletext"/>
            </w:pPr>
            <w:r w:rsidRPr="002029AF">
              <w:t>Facilities</w:t>
            </w:r>
            <w:r w:rsidR="000A5329" w:rsidRPr="002029AF">
              <w:t xml:space="preserve"> </w:t>
            </w:r>
            <w:r w:rsidRPr="002029AF">
              <w:t>solutions</w:t>
            </w:r>
          </w:p>
        </w:tc>
        <w:tc>
          <w:tcPr>
            <w:tcW w:w="1701" w:type="dxa"/>
            <w:vAlign w:val="center"/>
          </w:tcPr>
          <w:p w14:paraId="7E900CBE" w14:textId="77777777" w:rsidR="00CF72D5" w:rsidRPr="002029AF" w:rsidRDefault="00CF72D5" w:rsidP="00897193">
            <w:pPr>
              <w:pStyle w:val="ARtabletextright"/>
            </w:pPr>
            <w:r w:rsidRPr="002029AF">
              <w:t>10%</w:t>
            </w:r>
          </w:p>
        </w:tc>
        <w:tc>
          <w:tcPr>
            <w:tcW w:w="1701" w:type="dxa"/>
            <w:vAlign w:val="center"/>
          </w:tcPr>
          <w:p w14:paraId="7745C8C9" w14:textId="77777777" w:rsidR="00CF72D5" w:rsidRPr="002029AF" w:rsidRDefault="00CF72D5" w:rsidP="00897193">
            <w:pPr>
              <w:pStyle w:val="ARtabletextright"/>
            </w:pPr>
            <w:r w:rsidRPr="002029AF">
              <w:t>27%</w:t>
            </w:r>
          </w:p>
        </w:tc>
        <w:tc>
          <w:tcPr>
            <w:tcW w:w="1701" w:type="dxa"/>
            <w:vAlign w:val="center"/>
          </w:tcPr>
          <w:p w14:paraId="4B34B949" w14:textId="77777777" w:rsidR="00CF72D5" w:rsidRPr="002029AF" w:rsidRDefault="00CF72D5" w:rsidP="00897193">
            <w:pPr>
              <w:pStyle w:val="ARtabletextright"/>
            </w:pPr>
            <w:r w:rsidRPr="002029AF">
              <w:t>19%</w:t>
            </w:r>
          </w:p>
        </w:tc>
      </w:tr>
      <w:tr w:rsidR="00CF72D5" w:rsidRPr="002029AF" w14:paraId="1C11BCC1" w14:textId="77777777" w:rsidTr="00897193">
        <w:trPr>
          <w:cantSplit/>
        </w:trPr>
        <w:tc>
          <w:tcPr>
            <w:tcW w:w="4536" w:type="dxa"/>
          </w:tcPr>
          <w:p w14:paraId="7ABAFDD5" w14:textId="455768D6" w:rsidR="00CF72D5" w:rsidRPr="002029AF" w:rsidRDefault="00CF72D5" w:rsidP="00897193">
            <w:pPr>
              <w:pStyle w:val="ARtabletext"/>
            </w:pPr>
            <w:r w:rsidRPr="002029AF">
              <w:t>Office</w:t>
            </w:r>
            <w:r w:rsidR="000A5329" w:rsidRPr="002029AF">
              <w:t xml:space="preserve"> </w:t>
            </w:r>
            <w:r w:rsidRPr="002029AF">
              <w:t>products</w:t>
            </w:r>
          </w:p>
        </w:tc>
        <w:tc>
          <w:tcPr>
            <w:tcW w:w="1701" w:type="dxa"/>
            <w:vAlign w:val="center"/>
          </w:tcPr>
          <w:p w14:paraId="72A8CBE3" w14:textId="77777777" w:rsidR="00CF72D5" w:rsidRPr="002029AF" w:rsidRDefault="00CF72D5" w:rsidP="00897193">
            <w:pPr>
              <w:pStyle w:val="ARtabletextright"/>
            </w:pPr>
            <w:r w:rsidRPr="002029AF">
              <w:t>11%</w:t>
            </w:r>
          </w:p>
        </w:tc>
        <w:tc>
          <w:tcPr>
            <w:tcW w:w="1701" w:type="dxa"/>
            <w:vAlign w:val="center"/>
          </w:tcPr>
          <w:p w14:paraId="50A2B8E0" w14:textId="77777777" w:rsidR="00CF72D5" w:rsidRPr="002029AF" w:rsidRDefault="00CF72D5" w:rsidP="00897193">
            <w:pPr>
              <w:pStyle w:val="ARtabletextright"/>
            </w:pPr>
            <w:r w:rsidRPr="002029AF">
              <w:t>14%</w:t>
            </w:r>
          </w:p>
        </w:tc>
        <w:tc>
          <w:tcPr>
            <w:tcW w:w="1701" w:type="dxa"/>
            <w:vAlign w:val="center"/>
          </w:tcPr>
          <w:p w14:paraId="0D9B5B7F" w14:textId="77777777" w:rsidR="00CF72D5" w:rsidRPr="002029AF" w:rsidRDefault="00CF72D5" w:rsidP="00897193">
            <w:pPr>
              <w:pStyle w:val="ARtabletextright"/>
            </w:pPr>
            <w:r w:rsidRPr="002029AF">
              <w:t>14%</w:t>
            </w:r>
          </w:p>
        </w:tc>
      </w:tr>
      <w:tr w:rsidR="00CF72D5" w:rsidRPr="002029AF" w14:paraId="2C6F7AAA" w14:textId="77777777" w:rsidTr="00897193">
        <w:trPr>
          <w:cantSplit/>
        </w:trPr>
        <w:tc>
          <w:tcPr>
            <w:tcW w:w="4536" w:type="dxa"/>
          </w:tcPr>
          <w:p w14:paraId="6F82F2A1" w14:textId="353DFE22" w:rsidR="00CF72D5" w:rsidRPr="002029AF" w:rsidRDefault="00CF72D5" w:rsidP="00897193">
            <w:pPr>
              <w:pStyle w:val="ARtabletext"/>
              <w:rPr>
                <w:b/>
              </w:rPr>
            </w:pPr>
            <w:r w:rsidRPr="002029AF">
              <w:rPr>
                <w:b/>
              </w:rPr>
              <w:t>Total</w:t>
            </w:r>
            <w:r w:rsidR="000A5329" w:rsidRPr="002029AF">
              <w:rPr>
                <w:b/>
              </w:rPr>
              <w:t xml:space="preserve"> </w:t>
            </w:r>
            <w:r w:rsidRPr="002029AF">
              <w:rPr>
                <w:b/>
              </w:rPr>
              <w:t>expenditure</w:t>
            </w:r>
          </w:p>
        </w:tc>
        <w:tc>
          <w:tcPr>
            <w:tcW w:w="1701" w:type="dxa"/>
            <w:vAlign w:val="center"/>
          </w:tcPr>
          <w:p w14:paraId="0DA30560" w14:textId="77777777" w:rsidR="00CF72D5" w:rsidRPr="002029AF" w:rsidRDefault="00CF72D5" w:rsidP="00897193">
            <w:pPr>
              <w:pStyle w:val="ARtabletextrightbold"/>
            </w:pPr>
            <w:r w:rsidRPr="002029AF">
              <w:t>16%</w:t>
            </w:r>
          </w:p>
        </w:tc>
        <w:tc>
          <w:tcPr>
            <w:tcW w:w="1701" w:type="dxa"/>
            <w:vAlign w:val="center"/>
          </w:tcPr>
          <w:p w14:paraId="4211E328" w14:textId="77777777" w:rsidR="00CF72D5" w:rsidRPr="002029AF" w:rsidRDefault="00CF72D5" w:rsidP="00897193">
            <w:pPr>
              <w:pStyle w:val="ARtabletextrightbold"/>
            </w:pPr>
            <w:r w:rsidRPr="002029AF">
              <w:t>19%</w:t>
            </w:r>
          </w:p>
        </w:tc>
        <w:tc>
          <w:tcPr>
            <w:tcW w:w="1701" w:type="dxa"/>
            <w:vAlign w:val="center"/>
          </w:tcPr>
          <w:p w14:paraId="4344409C" w14:textId="77777777" w:rsidR="00CF72D5" w:rsidRPr="002029AF" w:rsidRDefault="00CF72D5" w:rsidP="00897193">
            <w:pPr>
              <w:pStyle w:val="ARtabletextrightbold"/>
            </w:pPr>
            <w:r w:rsidRPr="002029AF">
              <w:t>12%</w:t>
            </w:r>
          </w:p>
        </w:tc>
      </w:tr>
    </w:tbl>
    <w:p w14:paraId="4BC18501" w14:textId="7A042953" w:rsidR="00CF72D5" w:rsidRPr="002029AF" w:rsidRDefault="00CF72D5" w:rsidP="00897193">
      <w:pPr>
        <w:pStyle w:val="ARtablefootnote"/>
      </w:pPr>
      <w:r w:rsidRPr="002029AF">
        <w:t>Office</w:t>
      </w:r>
      <w:r w:rsidR="000A5329" w:rsidRPr="002029AF">
        <w:t xml:space="preserve"> </w:t>
      </w:r>
      <w:r w:rsidRPr="002029AF">
        <w:t>products</w:t>
      </w:r>
      <w:r w:rsidR="000A5329" w:rsidRPr="002029AF">
        <w:t xml:space="preserve"> </w:t>
      </w:r>
      <w:r w:rsidRPr="002029AF">
        <w:t>and</w:t>
      </w:r>
      <w:r w:rsidR="000A5329" w:rsidRPr="002029AF">
        <w:t xml:space="preserve"> </w:t>
      </w:r>
      <w:r w:rsidRPr="002029AF">
        <w:t>stationery</w:t>
      </w:r>
      <w:r w:rsidR="000A5329" w:rsidRPr="002029AF">
        <w:t xml:space="preserve"> </w:t>
      </w:r>
      <w:r w:rsidRPr="002029AF">
        <w:t>data</w:t>
      </w:r>
      <w:r w:rsidR="000A5329" w:rsidRPr="002029AF">
        <w:t xml:space="preserve"> </w:t>
      </w:r>
      <w:r w:rsidRPr="002029AF">
        <w:t>is</w:t>
      </w:r>
      <w:r w:rsidR="000A5329" w:rsidRPr="002029AF">
        <w:t xml:space="preserve"> </w:t>
      </w:r>
      <w:r w:rsidRPr="002029AF">
        <w:t>obtained</w:t>
      </w:r>
      <w:r w:rsidR="000A5329" w:rsidRPr="002029AF">
        <w:t xml:space="preserve"> </w:t>
      </w:r>
      <w:r w:rsidRPr="002029AF">
        <w:t>from</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state</w:t>
      </w:r>
      <w:r w:rsidR="000A5329" w:rsidRPr="002029AF">
        <w:t xml:space="preserve"> </w:t>
      </w:r>
      <w:r w:rsidRPr="002029AF">
        <w:t>purchase</w:t>
      </w:r>
      <w:r w:rsidR="000A5329" w:rsidRPr="002029AF">
        <w:t xml:space="preserve"> </w:t>
      </w:r>
      <w:r w:rsidRPr="002029AF">
        <w:t>contract.</w:t>
      </w:r>
      <w:r w:rsidR="000A5329" w:rsidRPr="002029AF">
        <w:t xml:space="preserve"> </w:t>
      </w:r>
      <w:r w:rsidRPr="002029AF">
        <w:t>Environmental</w:t>
      </w:r>
      <w:r w:rsidR="000A5329" w:rsidRPr="002029AF">
        <w:t xml:space="preserve"> </w:t>
      </w:r>
      <w:r w:rsidRPr="002029AF">
        <w:t>consideration</w:t>
      </w:r>
      <w:r w:rsidR="000A5329" w:rsidRPr="002029AF">
        <w:t xml:space="preserve"> </w:t>
      </w:r>
      <w:r w:rsidRPr="002029AF">
        <w:t>is</w:t>
      </w:r>
      <w:r w:rsidR="000A5329" w:rsidRPr="002029AF">
        <w:t xml:space="preserve"> </w:t>
      </w:r>
      <w:r w:rsidRPr="002029AF">
        <w:t>based</w:t>
      </w:r>
      <w:r w:rsidR="000A5329" w:rsidRPr="002029AF">
        <w:t xml:space="preserve"> </w:t>
      </w:r>
      <w:r w:rsidRPr="002029AF">
        <w:t>on</w:t>
      </w:r>
      <w:r w:rsidR="000A5329" w:rsidRPr="002029AF">
        <w:t xml:space="preserve"> </w:t>
      </w:r>
      <w:r w:rsidRPr="002029AF">
        <w:t>the</w:t>
      </w:r>
      <w:r w:rsidR="000A5329" w:rsidRPr="002029AF">
        <w:t xml:space="preserve"> </w:t>
      </w:r>
      <w:r w:rsidRPr="002029AF">
        <w:t>supplier’s</w:t>
      </w:r>
      <w:r w:rsidR="000A5329" w:rsidRPr="002029AF">
        <w:t xml:space="preserve"> </w:t>
      </w:r>
      <w:r w:rsidRPr="002029AF">
        <w:t>Planet</w:t>
      </w:r>
      <w:r w:rsidR="000A5329" w:rsidRPr="002029AF">
        <w:t xml:space="preserve"> </w:t>
      </w:r>
      <w:r w:rsidRPr="002029AF">
        <w:t>Friendly</w:t>
      </w:r>
      <w:r w:rsidR="000A5329" w:rsidRPr="002029AF">
        <w:t xml:space="preserve"> </w:t>
      </w:r>
      <w:r w:rsidRPr="002029AF">
        <w:t>category</w:t>
      </w:r>
      <w:r w:rsidR="000A5329" w:rsidRPr="002029AF">
        <w:t xml:space="preserve"> </w:t>
      </w:r>
      <w:r w:rsidRPr="002029AF">
        <w:t>criteria</w:t>
      </w:r>
      <w:r w:rsidR="000A5329" w:rsidRPr="002029AF">
        <w:t xml:space="preserve"> </w:t>
      </w:r>
      <w:r w:rsidRPr="002029AF">
        <w:t>for</w:t>
      </w:r>
      <w:r w:rsidR="000A5329" w:rsidRPr="002029AF">
        <w:t xml:space="preserve"> </w:t>
      </w:r>
      <w:r w:rsidRPr="002029AF">
        <w:t>procured</w:t>
      </w:r>
      <w:r w:rsidR="000A5329" w:rsidRPr="002029AF">
        <w:t xml:space="preserve"> </w:t>
      </w:r>
      <w:r w:rsidRPr="002029AF">
        <w:t>products.</w:t>
      </w:r>
    </w:p>
    <w:p w14:paraId="5A184882" w14:textId="2431371C" w:rsidR="00CF72D5" w:rsidRPr="002029AF" w:rsidRDefault="00CF72D5" w:rsidP="00897193">
      <w:pPr>
        <w:pStyle w:val="ARtablefootnote"/>
      </w:pPr>
      <w:r w:rsidRPr="002029AF">
        <w:t>Results</w:t>
      </w:r>
      <w:r w:rsidR="000A5329" w:rsidRPr="002029AF">
        <w:t xml:space="preserve"> </w:t>
      </w:r>
      <w:r w:rsidR="00DF4DCC" w:rsidRPr="002029AF">
        <w:t>include</w:t>
      </w:r>
      <w:r w:rsidR="000A5329" w:rsidRPr="002029AF">
        <w:t xml:space="preserve"> </w:t>
      </w:r>
      <w:r w:rsidRPr="002029AF">
        <w:t>expenditure</w:t>
      </w:r>
      <w:r w:rsidR="000A5329" w:rsidRPr="002029AF">
        <w:t xml:space="preserve"> </w:t>
      </w:r>
      <w:r w:rsidRPr="002029AF">
        <w:t>on</w:t>
      </w:r>
      <w:r w:rsidR="000A5329" w:rsidRPr="002029AF">
        <w:t xml:space="preserve"> </w:t>
      </w:r>
      <w:r w:rsidRPr="002029AF">
        <w:t>office</w:t>
      </w:r>
      <w:r w:rsidR="000A5329" w:rsidRPr="002029AF">
        <w:t xml:space="preserve"> </w:t>
      </w:r>
      <w:r w:rsidRPr="002029AF">
        <w:t>furniture,</w:t>
      </w:r>
      <w:r w:rsidR="000A5329" w:rsidRPr="002029AF">
        <w:t xml:space="preserve"> </w:t>
      </w:r>
      <w:r w:rsidRPr="002029AF">
        <w:t>coffee</w:t>
      </w:r>
      <w:r w:rsidR="000A5329" w:rsidRPr="002029AF">
        <w:t xml:space="preserve"> </w:t>
      </w:r>
      <w:r w:rsidRPr="002029AF">
        <w:t>and</w:t>
      </w:r>
      <w:r w:rsidR="000A5329" w:rsidRPr="002029AF">
        <w:t xml:space="preserve"> </w:t>
      </w:r>
      <w:r w:rsidRPr="002029AF">
        <w:t>catering</w:t>
      </w:r>
      <w:r w:rsidR="000A5329" w:rsidRPr="002029AF">
        <w:t xml:space="preserve"> </w:t>
      </w:r>
      <w:r w:rsidRPr="002029AF">
        <w:t>supplies,</w:t>
      </w:r>
      <w:r w:rsidR="000A5329" w:rsidRPr="002029AF">
        <w:t xml:space="preserve"> </w:t>
      </w:r>
      <w:r w:rsidRPr="002029AF">
        <w:t>janitorial</w:t>
      </w:r>
      <w:r w:rsidR="000A5329" w:rsidRPr="002029AF">
        <w:t xml:space="preserve"> </w:t>
      </w:r>
      <w:r w:rsidRPr="002029AF">
        <w:t>products,</w:t>
      </w:r>
      <w:r w:rsidR="000A5329" w:rsidRPr="002029AF">
        <w:t xml:space="preserve"> </w:t>
      </w:r>
      <w:r w:rsidRPr="002029AF">
        <w:t>packaging,</w:t>
      </w:r>
      <w:r w:rsidR="000A5329" w:rsidRPr="002029AF">
        <w:t xml:space="preserve"> </w:t>
      </w:r>
      <w:r w:rsidRPr="002029AF">
        <w:t>workplace</w:t>
      </w:r>
      <w:r w:rsidR="000A5329" w:rsidRPr="002029AF">
        <w:t xml:space="preserve"> </w:t>
      </w:r>
      <w:r w:rsidRPr="002029AF">
        <w:t>safety</w:t>
      </w:r>
      <w:r w:rsidR="000A5329" w:rsidRPr="002029AF">
        <w:t xml:space="preserve"> </w:t>
      </w:r>
      <w:r w:rsidRPr="002029AF">
        <w:t>supplies,</w:t>
      </w:r>
      <w:r w:rsidR="000A5329" w:rsidRPr="002029AF">
        <w:t xml:space="preserve"> </w:t>
      </w:r>
      <w:r w:rsidRPr="002029AF">
        <w:t>educational</w:t>
      </w:r>
      <w:r w:rsidR="000A5329" w:rsidRPr="002029AF">
        <w:t xml:space="preserve"> </w:t>
      </w:r>
      <w:r w:rsidRPr="002029AF">
        <w:t>supplies,</w:t>
      </w:r>
      <w:r w:rsidR="000A5329" w:rsidRPr="002029AF">
        <w:t xml:space="preserve"> </w:t>
      </w:r>
      <w:r w:rsidRPr="002029AF">
        <w:t>computer</w:t>
      </w:r>
      <w:r w:rsidR="000A5329" w:rsidRPr="002029AF">
        <w:t xml:space="preserve"> </w:t>
      </w:r>
      <w:r w:rsidRPr="002029AF">
        <w:t>hardware,</w:t>
      </w:r>
      <w:r w:rsidR="000A5329" w:rsidRPr="002029AF">
        <w:t xml:space="preserve"> </w:t>
      </w:r>
      <w:r w:rsidRPr="002029AF">
        <w:t>office</w:t>
      </w:r>
      <w:r w:rsidR="000A5329" w:rsidRPr="002029AF">
        <w:t xml:space="preserve"> </w:t>
      </w:r>
      <w:r w:rsidRPr="002029AF">
        <w:t>technology</w:t>
      </w:r>
      <w:r w:rsidR="000A5329" w:rsidRPr="002029AF">
        <w:t xml:space="preserve"> </w:t>
      </w:r>
      <w:r w:rsidRPr="002029AF">
        <w:t>products,</w:t>
      </w:r>
      <w:r w:rsidR="000A5329" w:rsidRPr="002029AF">
        <w:t xml:space="preserve"> </w:t>
      </w:r>
      <w:r w:rsidRPr="002029AF">
        <w:t>computer</w:t>
      </w:r>
      <w:r w:rsidR="000A5329" w:rsidRPr="002029AF">
        <w:t xml:space="preserve"> </w:t>
      </w:r>
      <w:r w:rsidRPr="002029AF">
        <w:t>consumables,</w:t>
      </w:r>
      <w:r w:rsidR="000A5329" w:rsidRPr="002029AF">
        <w:t xml:space="preserve"> </w:t>
      </w:r>
      <w:r w:rsidRPr="002029AF">
        <w:t>general</w:t>
      </w:r>
      <w:r w:rsidR="000A5329" w:rsidRPr="002029AF">
        <w:t xml:space="preserve"> </w:t>
      </w:r>
      <w:r w:rsidRPr="002029AF">
        <w:t>office</w:t>
      </w:r>
      <w:r w:rsidR="000A5329" w:rsidRPr="002029AF">
        <w:t xml:space="preserve"> </w:t>
      </w:r>
      <w:r w:rsidRPr="002029AF">
        <w:t>products,</w:t>
      </w:r>
      <w:r w:rsidR="000A5329" w:rsidRPr="002029AF">
        <w:t xml:space="preserve"> </w:t>
      </w:r>
      <w:r w:rsidRPr="002029AF">
        <w:t>office</w:t>
      </w:r>
      <w:r w:rsidR="000A5329" w:rsidRPr="002029AF">
        <w:t xml:space="preserve"> </w:t>
      </w:r>
      <w:r w:rsidRPr="002029AF">
        <w:t>filing</w:t>
      </w:r>
      <w:r w:rsidR="000A5329" w:rsidRPr="002029AF">
        <w:t xml:space="preserve"> </w:t>
      </w:r>
      <w:r w:rsidRPr="002029AF">
        <w:t>and</w:t>
      </w:r>
      <w:r w:rsidR="000A5329" w:rsidRPr="002029AF">
        <w:t xml:space="preserve"> </w:t>
      </w:r>
      <w:r w:rsidRPr="002029AF">
        <w:t>storage,</w:t>
      </w:r>
      <w:r w:rsidR="000A5329" w:rsidRPr="002029AF">
        <w:t xml:space="preserve"> </w:t>
      </w:r>
      <w:r w:rsidRPr="002029AF">
        <w:t>office</w:t>
      </w:r>
      <w:r w:rsidR="000A5329" w:rsidRPr="002029AF">
        <w:t xml:space="preserve"> </w:t>
      </w:r>
      <w:r w:rsidRPr="002029AF">
        <w:t>machines</w:t>
      </w:r>
      <w:r w:rsidR="000A5329" w:rsidRPr="002029AF">
        <w:t xml:space="preserve"> </w:t>
      </w:r>
      <w:r w:rsidRPr="002029AF">
        <w:t>and</w:t>
      </w:r>
      <w:r w:rsidR="000A5329" w:rsidRPr="002029AF">
        <w:t xml:space="preserve"> </w:t>
      </w:r>
      <w:r w:rsidRPr="002029AF">
        <w:t>electronics,</w:t>
      </w:r>
      <w:r w:rsidR="000A5329" w:rsidRPr="002029AF">
        <w:t xml:space="preserve"> </w:t>
      </w:r>
      <w:r w:rsidRPr="002029AF">
        <w:t>and</w:t>
      </w:r>
      <w:r w:rsidR="000A5329" w:rsidRPr="002029AF">
        <w:t xml:space="preserve"> </w:t>
      </w:r>
      <w:r w:rsidRPr="002029AF">
        <w:t>writing</w:t>
      </w:r>
      <w:r w:rsidR="000A5329" w:rsidRPr="002029AF">
        <w:t xml:space="preserve"> </w:t>
      </w:r>
      <w:r w:rsidRPr="002029AF">
        <w:t>instruments.</w:t>
      </w:r>
    </w:p>
    <w:p w14:paraId="70A29890" w14:textId="26F099AA" w:rsidR="00CF72D5" w:rsidRPr="002029AF" w:rsidRDefault="00CF72D5" w:rsidP="00961519">
      <w:pPr>
        <w:pStyle w:val="Heading5"/>
        <w:spacing w:before="400" w:after="200"/>
        <w:rPr>
          <w:rFonts w:ascii="Arial Bold" w:hAnsi="Arial Bold"/>
          <w:color w:val="4B4B4B"/>
        </w:rPr>
      </w:pPr>
      <w:r w:rsidRPr="002029AF">
        <w:rPr>
          <w:rFonts w:ascii="Arial Bold" w:hAnsi="Arial Bold"/>
          <w:color w:val="4B4B4B"/>
        </w:rPr>
        <w:t>Paper</w:t>
      </w:r>
      <w:r w:rsidR="000A5329" w:rsidRPr="002029AF">
        <w:rPr>
          <w:rFonts w:ascii="Arial Bold" w:hAnsi="Arial Bold"/>
          <w:color w:val="4B4B4B"/>
        </w:rPr>
        <w:t xml:space="preserve"> </w:t>
      </w:r>
      <w:r w:rsidRPr="002029AF">
        <w:rPr>
          <w:rFonts w:ascii="Arial Bold" w:hAnsi="Arial Bold"/>
          <w:color w:val="4B4B4B"/>
        </w:rPr>
        <w:t>use</w:t>
      </w:r>
      <w:r w:rsidR="000A5329" w:rsidRPr="002029AF">
        <w:rPr>
          <w:rFonts w:ascii="Arial Bold" w:hAnsi="Arial Bold"/>
          <w:color w:val="4B4B4B"/>
        </w:rPr>
        <w:t xml:space="preserve"> </w:t>
      </w:r>
      <w:r w:rsidRPr="002029AF">
        <w:rPr>
          <w:rFonts w:ascii="Arial Bold" w:hAnsi="Arial Bold"/>
          <w:color w:val="4B4B4B"/>
        </w:rPr>
        <w:t>from</w:t>
      </w:r>
      <w:r w:rsidR="000A5329" w:rsidRPr="002029AF">
        <w:rPr>
          <w:rFonts w:ascii="Arial Bold" w:hAnsi="Arial Bold"/>
          <w:color w:val="4B4B4B"/>
        </w:rPr>
        <w:t xml:space="preserve"> </w:t>
      </w:r>
      <w:r w:rsidRPr="002029AF">
        <w:rPr>
          <w:rFonts w:ascii="Arial Bold" w:hAnsi="Arial Bold"/>
          <w:color w:val="4B4B4B"/>
        </w:rPr>
        <w:t>departmental</w:t>
      </w:r>
      <w:r w:rsidR="000A5329" w:rsidRPr="002029AF">
        <w:rPr>
          <w:rFonts w:ascii="Arial Bold" w:hAnsi="Arial Bold"/>
          <w:color w:val="4B4B4B"/>
        </w:rPr>
        <w:t xml:space="preserve"> </w:t>
      </w:r>
      <w:r w:rsidRPr="002029AF">
        <w:rPr>
          <w:rFonts w:ascii="Arial Bold" w:hAnsi="Arial Bold"/>
          <w:color w:val="4B4B4B"/>
        </w:rPr>
        <w:t>operations</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4536"/>
        <w:gridCol w:w="1701"/>
        <w:gridCol w:w="1701"/>
        <w:gridCol w:w="1701"/>
      </w:tblGrid>
      <w:tr w:rsidR="00CF72D5" w:rsidRPr="002029AF" w14:paraId="1816749D" w14:textId="77777777" w:rsidTr="00325283">
        <w:trPr>
          <w:cantSplit/>
          <w:tblHeader/>
        </w:trPr>
        <w:tc>
          <w:tcPr>
            <w:tcW w:w="4536" w:type="dxa"/>
            <w:vAlign w:val="bottom"/>
          </w:tcPr>
          <w:p w14:paraId="28C3B763" w14:textId="77777777" w:rsidR="00CF72D5" w:rsidRPr="002029AF" w:rsidRDefault="00CF72D5" w:rsidP="00897193">
            <w:pPr>
              <w:pStyle w:val="ARtablecolhead"/>
              <w:spacing w:line="240" w:lineRule="auto"/>
            </w:pPr>
            <w:r w:rsidRPr="002029AF">
              <w:t>Description</w:t>
            </w:r>
          </w:p>
        </w:tc>
        <w:tc>
          <w:tcPr>
            <w:tcW w:w="1701" w:type="dxa"/>
            <w:vAlign w:val="bottom"/>
          </w:tcPr>
          <w:p w14:paraId="775F1A2B" w14:textId="007BE712" w:rsidR="00CF72D5" w:rsidRPr="002029AF" w:rsidRDefault="00CF72D5" w:rsidP="00897193">
            <w:pPr>
              <w:pStyle w:val="ARtablecolheadright"/>
            </w:pPr>
            <w:r w:rsidRPr="002029AF">
              <w:rPr>
                <w:color w:val="000000"/>
              </w:rPr>
              <w:t>2019–20</w:t>
            </w:r>
            <w:r w:rsidR="000A5329" w:rsidRPr="002029AF">
              <w:rPr>
                <w:color w:val="000000"/>
              </w:rPr>
              <w:t xml:space="preserve"> </w:t>
            </w:r>
            <w:r w:rsidRPr="002029AF">
              <w:rPr>
                <w:color w:val="000000"/>
              </w:rPr>
              <w:t>actual</w:t>
            </w:r>
          </w:p>
        </w:tc>
        <w:tc>
          <w:tcPr>
            <w:tcW w:w="1701" w:type="dxa"/>
            <w:vAlign w:val="bottom"/>
          </w:tcPr>
          <w:p w14:paraId="167BCF39" w14:textId="6EFE3CB5" w:rsidR="00CF72D5" w:rsidRPr="002029AF" w:rsidRDefault="00CF72D5" w:rsidP="00897193">
            <w:pPr>
              <w:pStyle w:val="ARtablecolheadright"/>
            </w:pPr>
            <w:r w:rsidRPr="002029AF">
              <w:rPr>
                <w:color w:val="000000"/>
              </w:rPr>
              <w:t>2018–19</w:t>
            </w:r>
            <w:r w:rsidR="000A5329" w:rsidRPr="002029AF">
              <w:rPr>
                <w:color w:val="000000"/>
              </w:rPr>
              <w:t xml:space="preserve"> </w:t>
            </w:r>
            <w:r w:rsidRPr="002029AF">
              <w:rPr>
                <w:color w:val="000000"/>
              </w:rPr>
              <w:t>actual</w:t>
            </w:r>
          </w:p>
        </w:tc>
        <w:tc>
          <w:tcPr>
            <w:tcW w:w="1701" w:type="dxa"/>
            <w:vAlign w:val="bottom"/>
          </w:tcPr>
          <w:p w14:paraId="26C96AE4" w14:textId="067D97EE" w:rsidR="00CF72D5" w:rsidRPr="002029AF" w:rsidRDefault="00CF72D5" w:rsidP="00897193">
            <w:pPr>
              <w:pStyle w:val="ARtablecolheadright"/>
            </w:pPr>
            <w:r w:rsidRPr="002029AF">
              <w:rPr>
                <w:color w:val="000000"/>
              </w:rPr>
              <w:t>2017–18</w:t>
            </w:r>
            <w:r w:rsidR="000A5329" w:rsidRPr="002029AF">
              <w:rPr>
                <w:color w:val="000000"/>
              </w:rPr>
              <w:t xml:space="preserve"> </w:t>
            </w:r>
            <w:r w:rsidRPr="002029AF">
              <w:rPr>
                <w:color w:val="000000"/>
              </w:rPr>
              <w:t>actual</w:t>
            </w:r>
          </w:p>
        </w:tc>
      </w:tr>
      <w:tr w:rsidR="00CF72D5" w:rsidRPr="002029AF" w14:paraId="001138DE" w14:textId="77777777" w:rsidTr="00897193">
        <w:trPr>
          <w:cantSplit/>
        </w:trPr>
        <w:tc>
          <w:tcPr>
            <w:tcW w:w="4536" w:type="dxa"/>
          </w:tcPr>
          <w:p w14:paraId="30845EF6" w14:textId="740E689A" w:rsidR="00CF72D5" w:rsidRPr="002029AF" w:rsidRDefault="00CF72D5" w:rsidP="00897193">
            <w:pPr>
              <w:pStyle w:val="ARtabletext"/>
            </w:pPr>
            <w:r w:rsidRPr="002029AF">
              <w:t>Total</w:t>
            </w:r>
            <w:r w:rsidR="000A5329" w:rsidRPr="002029AF">
              <w:t xml:space="preserve"> </w:t>
            </w:r>
            <w:r w:rsidRPr="002029AF">
              <w:t>units</w:t>
            </w:r>
            <w:r w:rsidR="000A5329" w:rsidRPr="002029AF">
              <w:t xml:space="preserve"> </w:t>
            </w:r>
            <w:r w:rsidRPr="002029AF">
              <w:t>of</w:t>
            </w:r>
            <w:r w:rsidR="000A5329" w:rsidRPr="002029AF">
              <w:t xml:space="preserve"> </w:t>
            </w:r>
            <w:r w:rsidRPr="002029AF">
              <w:t>paper</w:t>
            </w:r>
            <w:r w:rsidR="000A5329" w:rsidRPr="002029AF">
              <w:t xml:space="preserve"> </w:t>
            </w:r>
            <w:r w:rsidRPr="002029AF">
              <w:t>used</w:t>
            </w:r>
            <w:r w:rsidR="000A5329" w:rsidRPr="002029AF">
              <w:t xml:space="preserve"> </w:t>
            </w:r>
            <w:r w:rsidRPr="002029AF">
              <w:t>–</w:t>
            </w:r>
            <w:r w:rsidR="000A5329" w:rsidRPr="002029AF">
              <w:t xml:space="preserve"> </w:t>
            </w:r>
            <w:r w:rsidRPr="002029AF">
              <w:t>A4</w:t>
            </w:r>
            <w:r w:rsidR="000A5329" w:rsidRPr="002029AF">
              <w:t xml:space="preserve"> </w:t>
            </w:r>
            <w:r w:rsidRPr="002029AF">
              <w:t>equivalent</w:t>
            </w:r>
            <w:r w:rsidR="000A5329" w:rsidRPr="002029AF">
              <w:t xml:space="preserve"> </w:t>
            </w:r>
            <w:r w:rsidRPr="002029AF">
              <w:t>(reams)</w:t>
            </w:r>
          </w:p>
        </w:tc>
        <w:tc>
          <w:tcPr>
            <w:tcW w:w="1701" w:type="dxa"/>
            <w:vAlign w:val="center"/>
          </w:tcPr>
          <w:p w14:paraId="613BD87C" w14:textId="77777777" w:rsidR="00CF72D5" w:rsidRPr="002029AF" w:rsidRDefault="00CF72D5" w:rsidP="00897193">
            <w:pPr>
              <w:pStyle w:val="ARtabletextright"/>
            </w:pPr>
            <w:r w:rsidRPr="002029AF">
              <w:t>67,890</w:t>
            </w:r>
          </w:p>
        </w:tc>
        <w:tc>
          <w:tcPr>
            <w:tcW w:w="1701" w:type="dxa"/>
            <w:vAlign w:val="center"/>
          </w:tcPr>
          <w:p w14:paraId="4FECF413" w14:textId="77777777" w:rsidR="00CF72D5" w:rsidRPr="002029AF" w:rsidRDefault="00CF72D5" w:rsidP="00897193">
            <w:pPr>
              <w:pStyle w:val="ARtabletextright"/>
            </w:pPr>
            <w:r w:rsidRPr="002029AF">
              <w:t>106,925</w:t>
            </w:r>
          </w:p>
        </w:tc>
        <w:tc>
          <w:tcPr>
            <w:tcW w:w="1701" w:type="dxa"/>
            <w:vAlign w:val="center"/>
          </w:tcPr>
          <w:p w14:paraId="505C4D60" w14:textId="77777777" w:rsidR="00CF72D5" w:rsidRPr="002029AF" w:rsidRDefault="00CF72D5" w:rsidP="00897193">
            <w:pPr>
              <w:pStyle w:val="ARtabletextright"/>
            </w:pPr>
            <w:r w:rsidRPr="002029AF">
              <w:t>110,762</w:t>
            </w:r>
          </w:p>
        </w:tc>
      </w:tr>
      <w:tr w:rsidR="00CF72D5" w:rsidRPr="002029AF" w14:paraId="50F55598" w14:textId="77777777" w:rsidTr="00897193">
        <w:trPr>
          <w:cantSplit/>
        </w:trPr>
        <w:tc>
          <w:tcPr>
            <w:tcW w:w="4536" w:type="dxa"/>
          </w:tcPr>
          <w:p w14:paraId="2FBF39B9" w14:textId="4E56D245" w:rsidR="00CF72D5" w:rsidRPr="002029AF" w:rsidRDefault="00CF72D5" w:rsidP="00897193">
            <w:pPr>
              <w:pStyle w:val="ARtabletext"/>
            </w:pPr>
            <w:r w:rsidRPr="002029AF">
              <w:t>Units</w:t>
            </w:r>
            <w:r w:rsidR="000A5329" w:rsidRPr="002029AF">
              <w:t xml:space="preserve"> </w:t>
            </w:r>
            <w:r w:rsidRPr="002029AF">
              <w:t>of</w:t>
            </w:r>
            <w:r w:rsidR="000A5329" w:rsidRPr="002029AF">
              <w:t xml:space="preserve"> </w:t>
            </w:r>
            <w:r w:rsidRPr="002029AF">
              <w:t>paper</w:t>
            </w:r>
            <w:r w:rsidR="000A5329" w:rsidRPr="002029AF">
              <w:t xml:space="preserve"> </w:t>
            </w:r>
            <w:r w:rsidRPr="002029AF">
              <w:t>used</w:t>
            </w:r>
            <w:r w:rsidR="000A5329" w:rsidRPr="002029AF">
              <w:t xml:space="preserve"> </w:t>
            </w:r>
            <w:r w:rsidRPr="002029AF">
              <w:t>per</w:t>
            </w:r>
            <w:r w:rsidR="000A5329" w:rsidRPr="002029AF">
              <w:t xml:space="preserve"> </w:t>
            </w:r>
            <w:r w:rsidRPr="002029AF">
              <w:t>FTE</w:t>
            </w:r>
            <w:r w:rsidR="000A5329" w:rsidRPr="002029AF">
              <w:t xml:space="preserve"> </w:t>
            </w:r>
            <w:r w:rsidRPr="002029AF">
              <w:t>(reams/FTE)</w:t>
            </w:r>
          </w:p>
        </w:tc>
        <w:tc>
          <w:tcPr>
            <w:tcW w:w="1701" w:type="dxa"/>
            <w:vAlign w:val="center"/>
          </w:tcPr>
          <w:p w14:paraId="561633F7" w14:textId="77777777" w:rsidR="00CF72D5" w:rsidRPr="002029AF" w:rsidRDefault="00CF72D5" w:rsidP="00897193">
            <w:pPr>
              <w:pStyle w:val="ARtabletextright"/>
            </w:pPr>
            <w:r w:rsidRPr="002029AF">
              <w:t>7.9</w:t>
            </w:r>
          </w:p>
        </w:tc>
        <w:tc>
          <w:tcPr>
            <w:tcW w:w="1701" w:type="dxa"/>
            <w:vAlign w:val="center"/>
          </w:tcPr>
          <w:p w14:paraId="2CD47654" w14:textId="77777777" w:rsidR="00CF72D5" w:rsidRPr="002029AF" w:rsidRDefault="00CF72D5" w:rsidP="00897193">
            <w:pPr>
              <w:pStyle w:val="ARtabletextright"/>
            </w:pPr>
            <w:r w:rsidRPr="002029AF">
              <w:t>10.1</w:t>
            </w:r>
          </w:p>
        </w:tc>
        <w:tc>
          <w:tcPr>
            <w:tcW w:w="1701" w:type="dxa"/>
            <w:vAlign w:val="center"/>
          </w:tcPr>
          <w:p w14:paraId="6DCC480F" w14:textId="77777777" w:rsidR="00CF72D5" w:rsidRPr="002029AF" w:rsidRDefault="00CF72D5" w:rsidP="00897193">
            <w:pPr>
              <w:pStyle w:val="ARtabletextright"/>
            </w:pPr>
            <w:r w:rsidRPr="002029AF">
              <w:t>8.9</w:t>
            </w:r>
          </w:p>
        </w:tc>
      </w:tr>
      <w:tr w:rsidR="00CF72D5" w:rsidRPr="002029AF" w14:paraId="24B714AE" w14:textId="77777777" w:rsidTr="00897193">
        <w:trPr>
          <w:cantSplit/>
        </w:trPr>
        <w:tc>
          <w:tcPr>
            <w:tcW w:w="4536" w:type="dxa"/>
          </w:tcPr>
          <w:p w14:paraId="6EE182A8" w14:textId="7B8C7F5E" w:rsidR="00CF72D5" w:rsidRPr="002029AF" w:rsidRDefault="00CF72D5" w:rsidP="00897193">
            <w:pPr>
              <w:pStyle w:val="ARtabletext"/>
            </w:pPr>
            <w:r w:rsidRPr="002029AF">
              <w:t>Greenhouse</w:t>
            </w:r>
            <w:r w:rsidR="000A5329" w:rsidRPr="002029AF">
              <w:t xml:space="preserve"> </w:t>
            </w:r>
            <w:r w:rsidRPr="002029AF">
              <w:t>gas</w:t>
            </w:r>
            <w:r w:rsidR="000A5329" w:rsidRPr="002029AF">
              <w:t xml:space="preserve"> </w:t>
            </w:r>
            <w:r w:rsidRPr="002029AF">
              <w:t>emissions</w:t>
            </w:r>
            <w:r w:rsidR="000A5329" w:rsidRPr="002029AF">
              <w:t xml:space="preserve"> </w:t>
            </w:r>
            <w:r w:rsidRPr="002029AF">
              <w:t>associated</w:t>
            </w:r>
            <w:r w:rsidR="000A5329" w:rsidRPr="002029AF">
              <w:t xml:space="preserve"> </w:t>
            </w:r>
            <w:r w:rsidRPr="002029AF">
              <w:t>with</w:t>
            </w:r>
            <w:r w:rsidR="000A5329" w:rsidRPr="002029AF">
              <w:t xml:space="preserve"> </w:t>
            </w:r>
            <w:r w:rsidRPr="002029AF">
              <w:t>paper</w:t>
            </w:r>
            <w:r w:rsidR="000A5329" w:rsidRPr="002029AF">
              <w:t xml:space="preserve"> </w:t>
            </w:r>
            <w:r w:rsidRPr="002029AF">
              <w:t>use</w:t>
            </w:r>
            <w:r w:rsidR="000A5329" w:rsidRPr="002029AF">
              <w:t xml:space="preserve"> </w:t>
            </w:r>
            <w:r w:rsidRPr="002029AF">
              <w:t>(tonnes</w:t>
            </w:r>
            <w:r w:rsidR="000A5329" w:rsidRPr="002029AF">
              <w:t xml:space="preserve"> </w:t>
            </w:r>
            <w:r w:rsidRPr="002029AF">
              <w:t>of</w:t>
            </w:r>
            <w:r w:rsidR="000A5329" w:rsidRPr="002029AF">
              <w:t xml:space="preserve"> </w:t>
            </w:r>
            <w:r w:rsidRPr="002029AF">
              <w:t>CO</w:t>
            </w:r>
            <w:r w:rsidRPr="002029AF">
              <w:rPr>
                <w:vertAlign w:val="subscript"/>
              </w:rPr>
              <w:t>2</w:t>
            </w:r>
            <w:r w:rsidRPr="002029AF">
              <w:t>-e)</w:t>
            </w:r>
          </w:p>
        </w:tc>
        <w:tc>
          <w:tcPr>
            <w:tcW w:w="1701" w:type="dxa"/>
            <w:vAlign w:val="center"/>
          </w:tcPr>
          <w:p w14:paraId="5C5E4A16" w14:textId="77777777" w:rsidR="00CF72D5" w:rsidRPr="002029AF" w:rsidRDefault="00CF72D5" w:rsidP="00897193">
            <w:pPr>
              <w:pStyle w:val="ARtabletextright"/>
            </w:pPr>
            <w:r w:rsidRPr="002029AF">
              <w:t>256</w:t>
            </w:r>
          </w:p>
        </w:tc>
        <w:tc>
          <w:tcPr>
            <w:tcW w:w="1701" w:type="dxa"/>
            <w:vAlign w:val="center"/>
          </w:tcPr>
          <w:p w14:paraId="284D0CEE" w14:textId="77777777" w:rsidR="00CF72D5" w:rsidRPr="002029AF" w:rsidRDefault="00CF72D5" w:rsidP="00897193">
            <w:pPr>
              <w:pStyle w:val="ARtabletextright"/>
            </w:pPr>
            <w:r w:rsidRPr="002029AF">
              <w:t>393</w:t>
            </w:r>
          </w:p>
        </w:tc>
        <w:tc>
          <w:tcPr>
            <w:tcW w:w="1701" w:type="dxa"/>
            <w:vAlign w:val="center"/>
          </w:tcPr>
          <w:p w14:paraId="2EF5BF42" w14:textId="77777777" w:rsidR="00CF72D5" w:rsidRPr="002029AF" w:rsidRDefault="00CF72D5" w:rsidP="00897193">
            <w:pPr>
              <w:pStyle w:val="ARtabletextright"/>
            </w:pPr>
            <w:r w:rsidRPr="002029AF">
              <w:t>408</w:t>
            </w:r>
          </w:p>
        </w:tc>
      </w:tr>
      <w:tr w:rsidR="00CF72D5" w:rsidRPr="002029AF" w14:paraId="65567BA6" w14:textId="77777777" w:rsidTr="00897193">
        <w:trPr>
          <w:cantSplit/>
        </w:trPr>
        <w:tc>
          <w:tcPr>
            <w:tcW w:w="4536" w:type="dxa"/>
          </w:tcPr>
          <w:p w14:paraId="1EA1188D" w14:textId="63835E1E" w:rsidR="00CF72D5" w:rsidRPr="002029AF" w:rsidRDefault="00CF72D5" w:rsidP="00897193">
            <w:pPr>
              <w:pStyle w:val="ARtabletextbold"/>
            </w:pPr>
            <w:r w:rsidRPr="002029AF">
              <w:t>Total</w:t>
            </w:r>
            <w:r w:rsidR="000A5329" w:rsidRPr="002029AF">
              <w:t xml:space="preserve"> </w:t>
            </w:r>
            <w:r w:rsidRPr="002029AF">
              <w:t>cost</w:t>
            </w:r>
            <w:r w:rsidR="000A5329" w:rsidRPr="002029AF">
              <w:t xml:space="preserve"> </w:t>
            </w:r>
            <w:r w:rsidRPr="002029AF">
              <w:t>of</w:t>
            </w:r>
            <w:r w:rsidR="000A5329" w:rsidRPr="002029AF">
              <w:t xml:space="preserve"> </w:t>
            </w:r>
            <w:r w:rsidRPr="002029AF">
              <w:t>paper</w:t>
            </w:r>
            <w:r w:rsidR="000A5329" w:rsidRPr="002029AF">
              <w:t xml:space="preserve"> </w:t>
            </w:r>
            <w:r w:rsidRPr="002029AF">
              <w:t>used</w:t>
            </w:r>
            <w:r w:rsidR="000A5329" w:rsidRPr="002029AF">
              <w:t xml:space="preserve"> </w:t>
            </w:r>
            <w:r w:rsidRPr="002029AF">
              <w:t>($</w:t>
            </w:r>
            <w:r w:rsidR="000A5329" w:rsidRPr="002029AF">
              <w:t xml:space="preserve"> </w:t>
            </w:r>
            <w:r w:rsidRPr="002029AF">
              <w:t>million)</w:t>
            </w:r>
          </w:p>
        </w:tc>
        <w:tc>
          <w:tcPr>
            <w:tcW w:w="1701" w:type="dxa"/>
            <w:vAlign w:val="center"/>
          </w:tcPr>
          <w:p w14:paraId="25379BB0" w14:textId="77777777" w:rsidR="00CF72D5" w:rsidRPr="002029AF" w:rsidRDefault="00CF72D5" w:rsidP="00897193">
            <w:pPr>
              <w:pStyle w:val="ARtabletextrightbold"/>
            </w:pPr>
            <w:r w:rsidRPr="002029AF">
              <w:t>$0.37</w:t>
            </w:r>
          </w:p>
        </w:tc>
        <w:tc>
          <w:tcPr>
            <w:tcW w:w="1701" w:type="dxa"/>
            <w:vAlign w:val="center"/>
          </w:tcPr>
          <w:p w14:paraId="615C66D5" w14:textId="77777777" w:rsidR="00CF72D5" w:rsidRPr="002029AF" w:rsidRDefault="00CF72D5" w:rsidP="00897193">
            <w:pPr>
              <w:pStyle w:val="ARtabletextrightbold"/>
            </w:pPr>
            <w:r w:rsidRPr="002029AF">
              <w:t>$0.64</w:t>
            </w:r>
          </w:p>
        </w:tc>
        <w:tc>
          <w:tcPr>
            <w:tcW w:w="1701" w:type="dxa"/>
            <w:vAlign w:val="center"/>
          </w:tcPr>
          <w:p w14:paraId="30E1E68D" w14:textId="77777777" w:rsidR="00CF72D5" w:rsidRPr="002029AF" w:rsidRDefault="00CF72D5" w:rsidP="00897193">
            <w:pPr>
              <w:pStyle w:val="ARtabletextrightbold"/>
            </w:pPr>
            <w:r w:rsidRPr="002029AF">
              <w:t>$0.66</w:t>
            </w:r>
          </w:p>
        </w:tc>
      </w:tr>
    </w:tbl>
    <w:p w14:paraId="41D273A2" w14:textId="77777777" w:rsidR="00CF72D5" w:rsidRPr="002029AF" w:rsidRDefault="00CF72D5" w:rsidP="00897193">
      <w:pPr>
        <w:pStyle w:val="ARbody"/>
      </w:pPr>
    </w:p>
    <w:tbl>
      <w:tblPr>
        <w:tblW w:w="9644" w:type="dxa"/>
        <w:tblBorders>
          <w:left w:val="single" w:sz="4" w:space="0" w:color="FFFFFF"/>
          <w:bottom w:val="single" w:sz="4" w:space="0" w:color="auto"/>
          <w:right w:val="single" w:sz="4" w:space="0" w:color="FFFFFF"/>
          <w:insideH w:val="single" w:sz="4" w:space="0" w:color="auto"/>
          <w:insideV w:val="single" w:sz="4" w:space="0" w:color="FFFFFF"/>
        </w:tblBorders>
        <w:tblLayout w:type="fixed"/>
        <w:tblCellMar>
          <w:left w:w="0" w:type="dxa"/>
        </w:tblCellMar>
        <w:tblLook w:val="00A0" w:firstRow="1" w:lastRow="0" w:firstColumn="1" w:lastColumn="0" w:noHBand="0" w:noVBand="0"/>
      </w:tblPr>
      <w:tblGrid>
        <w:gridCol w:w="4538"/>
        <w:gridCol w:w="1702"/>
        <w:gridCol w:w="1702"/>
        <w:gridCol w:w="1702"/>
      </w:tblGrid>
      <w:tr w:rsidR="00CF72D5" w:rsidRPr="002029AF" w14:paraId="46710F29" w14:textId="77777777" w:rsidTr="00325283">
        <w:trPr>
          <w:cantSplit/>
          <w:tblHeader/>
        </w:trPr>
        <w:tc>
          <w:tcPr>
            <w:tcW w:w="4538" w:type="dxa"/>
            <w:vAlign w:val="bottom"/>
          </w:tcPr>
          <w:p w14:paraId="41AAF002" w14:textId="404E960E" w:rsidR="00CF72D5" w:rsidRPr="002029AF" w:rsidRDefault="00CF72D5" w:rsidP="00897193">
            <w:pPr>
              <w:pStyle w:val="ARtablecolhead"/>
            </w:pPr>
            <w:r w:rsidRPr="002029AF">
              <w:t>Percentage</w:t>
            </w:r>
            <w:r w:rsidR="000A5329" w:rsidRPr="002029AF">
              <w:t xml:space="preserve"> </w:t>
            </w:r>
            <w:r w:rsidRPr="002029AF">
              <w:t>recycled</w:t>
            </w:r>
            <w:r w:rsidR="000A5329" w:rsidRPr="002029AF">
              <w:t xml:space="preserve"> </w:t>
            </w:r>
            <w:r w:rsidRPr="002029AF">
              <w:t>content</w:t>
            </w:r>
            <w:r w:rsidR="000A5329" w:rsidRPr="002029AF">
              <w:t xml:space="preserve"> </w:t>
            </w:r>
            <w:r w:rsidRPr="002029AF">
              <w:t>copy</w:t>
            </w:r>
            <w:r w:rsidR="000A5329" w:rsidRPr="002029AF">
              <w:t xml:space="preserve"> </w:t>
            </w:r>
            <w:r w:rsidRPr="002029AF">
              <w:t>paper</w:t>
            </w:r>
            <w:r w:rsidR="000A5329" w:rsidRPr="002029AF">
              <w:t xml:space="preserve"> </w:t>
            </w:r>
            <w:r w:rsidRPr="002029AF">
              <w:t>purchased</w:t>
            </w:r>
          </w:p>
        </w:tc>
        <w:tc>
          <w:tcPr>
            <w:tcW w:w="1702" w:type="dxa"/>
            <w:vAlign w:val="bottom"/>
          </w:tcPr>
          <w:p w14:paraId="55C6549E" w14:textId="16604A3A" w:rsidR="00CF72D5" w:rsidRPr="002029AF" w:rsidRDefault="00CF72D5" w:rsidP="00897193">
            <w:pPr>
              <w:pStyle w:val="ARtablecolheadright"/>
            </w:pPr>
            <w:r w:rsidRPr="002029AF">
              <w:rPr>
                <w:color w:val="000000"/>
              </w:rPr>
              <w:t>2019–20</w:t>
            </w:r>
            <w:r w:rsidR="000A5329" w:rsidRPr="002029AF">
              <w:rPr>
                <w:color w:val="000000"/>
              </w:rPr>
              <w:t xml:space="preserve"> </w:t>
            </w:r>
            <w:r w:rsidRPr="002029AF">
              <w:rPr>
                <w:color w:val="000000"/>
              </w:rPr>
              <w:t>actual</w:t>
            </w:r>
          </w:p>
        </w:tc>
        <w:tc>
          <w:tcPr>
            <w:tcW w:w="1702" w:type="dxa"/>
            <w:vAlign w:val="bottom"/>
          </w:tcPr>
          <w:p w14:paraId="34A90DB6" w14:textId="7D99536A" w:rsidR="00CF72D5" w:rsidRPr="002029AF" w:rsidRDefault="00CF72D5" w:rsidP="00897193">
            <w:pPr>
              <w:pStyle w:val="ARtablecolheadright"/>
            </w:pPr>
            <w:r w:rsidRPr="002029AF">
              <w:rPr>
                <w:color w:val="000000"/>
              </w:rPr>
              <w:t>2018–19</w:t>
            </w:r>
            <w:r w:rsidR="000A5329" w:rsidRPr="002029AF">
              <w:rPr>
                <w:color w:val="000000"/>
              </w:rPr>
              <w:t xml:space="preserve"> </w:t>
            </w:r>
            <w:r w:rsidRPr="002029AF">
              <w:rPr>
                <w:color w:val="000000"/>
              </w:rPr>
              <w:t>actual</w:t>
            </w:r>
          </w:p>
        </w:tc>
        <w:tc>
          <w:tcPr>
            <w:tcW w:w="1702" w:type="dxa"/>
            <w:vAlign w:val="bottom"/>
          </w:tcPr>
          <w:p w14:paraId="547FD090" w14:textId="7B51377C" w:rsidR="00CF72D5" w:rsidRPr="002029AF" w:rsidRDefault="00CF72D5" w:rsidP="00897193">
            <w:pPr>
              <w:pStyle w:val="ARtablecolheadright"/>
            </w:pPr>
            <w:r w:rsidRPr="002029AF">
              <w:rPr>
                <w:color w:val="000000"/>
              </w:rPr>
              <w:t>2017–18</w:t>
            </w:r>
            <w:r w:rsidR="000A5329" w:rsidRPr="002029AF">
              <w:rPr>
                <w:color w:val="000000"/>
              </w:rPr>
              <w:t xml:space="preserve"> </w:t>
            </w:r>
            <w:r w:rsidRPr="002029AF">
              <w:rPr>
                <w:color w:val="000000"/>
              </w:rPr>
              <w:t>actual</w:t>
            </w:r>
          </w:p>
        </w:tc>
      </w:tr>
      <w:tr w:rsidR="00CF72D5" w:rsidRPr="002029AF" w14:paraId="66CB36DF" w14:textId="77777777" w:rsidTr="00897193">
        <w:trPr>
          <w:cantSplit/>
        </w:trPr>
        <w:tc>
          <w:tcPr>
            <w:tcW w:w="4538" w:type="dxa"/>
          </w:tcPr>
          <w:p w14:paraId="7A5F727B" w14:textId="7AD9897E" w:rsidR="00CF72D5" w:rsidRPr="002029AF" w:rsidRDefault="00CF72D5" w:rsidP="00897193">
            <w:pPr>
              <w:pStyle w:val="ARtabletext"/>
            </w:pPr>
            <w:r w:rsidRPr="002029AF">
              <w:t>75–100</w:t>
            </w:r>
            <w:r w:rsidR="000A5329" w:rsidRPr="002029AF">
              <w:t xml:space="preserve"> </w:t>
            </w:r>
            <w:r w:rsidRPr="002029AF">
              <w:t>per</w:t>
            </w:r>
            <w:r w:rsidR="000A5329" w:rsidRPr="002029AF">
              <w:t xml:space="preserve"> </w:t>
            </w:r>
            <w:r w:rsidRPr="002029AF">
              <w:t>cent</w:t>
            </w:r>
            <w:r w:rsidR="000A5329" w:rsidRPr="002029AF">
              <w:t xml:space="preserve"> </w:t>
            </w:r>
            <w:r w:rsidRPr="002029AF">
              <w:t>recycled</w:t>
            </w:r>
          </w:p>
        </w:tc>
        <w:tc>
          <w:tcPr>
            <w:tcW w:w="1702" w:type="dxa"/>
            <w:vAlign w:val="center"/>
          </w:tcPr>
          <w:p w14:paraId="3AB7C9AD" w14:textId="77777777" w:rsidR="00CF72D5" w:rsidRPr="002029AF" w:rsidRDefault="00CF72D5" w:rsidP="00897193">
            <w:pPr>
              <w:pStyle w:val="ARtabletextright"/>
            </w:pPr>
            <w:r w:rsidRPr="002029AF">
              <w:t>98%</w:t>
            </w:r>
          </w:p>
        </w:tc>
        <w:tc>
          <w:tcPr>
            <w:tcW w:w="1702" w:type="dxa"/>
            <w:vAlign w:val="center"/>
          </w:tcPr>
          <w:p w14:paraId="37C0C864" w14:textId="77777777" w:rsidR="00CF72D5" w:rsidRPr="002029AF" w:rsidRDefault="00CF72D5" w:rsidP="00897193">
            <w:pPr>
              <w:pStyle w:val="ARtabletextright"/>
            </w:pPr>
            <w:r w:rsidRPr="002029AF">
              <w:t>98%</w:t>
            </w:r>
          </w:p>
        </w:tc>
        <w:tc>
          <w:tcPr>
            <w:tcW w:w="1702" w:type="dxa"/>
            <w:vAlign w:val="center"/>
          </w:tcPr>
          <w:p w14:paraId="79D4764C" w14:textId="77777777" w:rsidR="00CF72D5" w:rsidRPr="002029AF" w:rsidRDefault="00CF72D5" w:rsidP="00897193">
            <w:pPr>
              <w:pStyle w:val="ARtabletextright"/>
            </w:pPr>
            <w:r w:rsidRPr="002029AF">
              <w:t>98%</w:t>
            </w:r>
          </w:p>
        </w:tc>
      </w:tr>
      <w:tr w:rsidR="00CF72D5" w:rsidRPr="002029AF" w14:paraId="138B5199" w14:textId="77777777" w:rsidTr="00897193">
        <w:trPr>
          <w:cantSplit/>
        </w:trPr>
        <w:tc>
          <w:tcPr>
            <w:tcW w:w="4538" w:type="dxa"/>
          </w:tcPr>
          <w:p w14:paraId="1D04ED31" w14:textId="5DD5105D" w:rsidR="00CF72D5" w:rsidRPr="002029AF" w:rsidRDefault="00CF72D5" w:rsidP="00897193">
            <w:pPr>
              <w:pStyle w:val="ARtabletext"/>
            </w:pPr>
            <w:r w:rsidRPr="002029AF">
              <w:t>50–74</w:t>
            </w:r>
            <w:r w:rsidR="000A5329" w:rsidRPr="002029AF">
              <w:t xml:space="preserve"> </w:t>
            </w:r>
            <w:r w:rsidRPr="002029AF">
              <w:t>per</w:t>
            </w:r>
            <w:r w:rsidR="000A5329" w:rsidRPr="002029AF">
              <w:t xml:space="preserve"> </w:t>
            </w:r>
            <w:r w:rsidRPr="002029AF">
              <w:t>cent</w:t>
            </w:r>
            <w:r w:rsidR="000A5329" w:rsidRPr="002029AF">
              <w:t xml:space="preserve"> </w:t>
            </w:r>
            <w:r w:rsidRPr="002029AF">
              <w:t>recycled</w:t>
            </w:r>
          </w:p>
        </w:tc>
        <w:tc>
          <w:tcPr>
            <w:tcW w:w="1702" w:type="dxa"/>
            <w:vAlign w:val="center"/>
          </w:tcPr>
          <w:p w14:paraId="610C4505" w14:textId="77777777" w:rsidR="00CF72D5" w:rsidRPr="002029AF" w:rsidRDefault="00CF72D5" w:rsidP="00897193">
            <w:pPr>
              <w:pStyle w:val="ARtabletextright"/>
            </w:pPr>
            <w:r w:rsidRPr="002029AF">
              <w:t>0%</w:t>
            </w:r>
          </w:p>
        </w:tc>
        <w:tc>
          <w:tcPr>
            <w:tcW w:w="1702" w:type="dxa"/>
            <w:vAlign w:val="center"/>
          </w:tcPr>
          <w:p w14:paraId="2EC0B0F3" w14:textId="77777777" w:rsidR="00CF72D5" w:rsidRPr="002029AF" w:rsidRDefault="00CF72D5" w:rsidP="00897193">
            <w:pPr>
              <w:pStyle w:val="ARtabletextright"/>
            </w:pPr>
            <w:r w:rsidRPr="002029AF">
              <w:t>0%</w:t>
            </w:r>
          </w:p>
        </w:tc>
        <w:tc>
          <w:tcPr>
            <w:tcW w:w="1702" w:type="dxa"/>
            <w:vAlign w:val="center"/>
          </w:tcPr>
          <w:p w14:paraId="315135D7" w14:textId="77777777" w:rsidR="00CF72D5" w:rsidRPr="002029AF" w:rsidRDefault="00CF72D5" w:rsidP="00897193">
            <w:pPr>
              <w:pStyle w:val="ARtabletextright"/>
            </w:pPr>
            <w:r w:rsidRPr="002029AF">
              <w:t>0%</w:t>
            </w:r>
          </w:p>
        </w:tc>
      </w:tr>
      <w:tr w:rsidR="00CF72D5" w:rsidRPr="002029AF" w14:paraId="018CC2BB" w14:textId="77777777" w:rsidTr="00897193">
        <w:trPr>
          <w:cantSplit/>
        </w:trPr>
        <w:tc>
          <w:tcPr>
            <w:tcW w:w="4538" w:type="dxa"/>
            <w:tcBorders>
              <w:bottom w:val="single" w:sz="4" w:space="0" w:color="auto"/>
            </w:tcBorders>
          </w:tcPr>
          <w:p w14:paraId="62C621E9" w14:textId="63CC5309" w:rsidR="00CF72D5" w:rsidRPr="002029AF" w:rsidRDefault="00CF72D5" w:rsidP="00897193">
            <w:pPr>
              <w:pStyle w:val="ARtabletext"/>
            </w:pPr>
            <w:r w:rsidRPr="002029AF">
              <w:t>0–49</w:t>
            </w:r>
            <w:r w:rsidR="000A5329" w:rsidRPr="002029AF">
              <w:t xml:space="preserve"> </w:t>
            </w:r>
            <w:r w:rsidRPr="002029AF">
              <w:t>per</w:t>
            </w:r>
            <w:r w:rsidR="000A5329" w:rsidRPr="002029AF">
              <w:t xml:space="preserve"> </w:t>
            </w:r>
            <w:r w:rsidRPr="002029AF">
              <w:t>cent</w:t>
            </w:r>
            <w:r w:rsidR="000A5329" w:rsidRPr="002029AF">
              <w:t xml:space="preserve"> </w:t>
            </w:r>
            <w:r w:rsidRPr="002029AF">
              <w:t>recycled</w:t>
            </w:r>
          </w:p>
        </w:tc>
        <w:tc>
          <w:tcPr>
            <w:tcW w:w="1702" w:type="dxa"/>
            <w:tcBorders>
              <w:bottom w:val="single" w:sz="4" w:space="0" w:color="auto"/>
            </w:tcBorders>
            <w:vAlign w:val="center"/>
          </w:tcPr>
          <w:p w14:paraId="660FE4D9" w14:textId="77777777" w:rsidR="00CF72D5" w:rsidRPr="002029AF" w:rsidRDefault="00CF72D5" w:rsidP="00897193">
            <w:pPr>
              <w:pStyle w:val="ARtabletextright"/>
            </w:pPr>
            <w:r w:rsidRPr="002029AF">
              <w:t>2%</w:t>
            </w:r>
          </w:p>
        </w:tc>
        <w:tc>
          <w:tcPr>
            <w:tcW w:w="1702" w:type="dxa"/>
            <w:tcBorders>
              <w:bottom w:val="single" w:sz="4" w:space="0" w:color="auto"/>
            </w:tcBorders>
            <w:vAlign w:val="center"/>
          </w:tcPr>
          <w:p w14:paraId="0ACB46AE" w14:textId="77777777" w:rsidR="00CF72D5" w:rsidRPr="002029AF" w:rsidRDefault="00CF72D5" w:rsidP="00897193">
            <w:pPr>
              <w:pStyle w:val="ARtabletextright"/>
            </w:pPr>
            <w:r w:rsidRPr="002029AF">
              <w:t>2%</w:t>
            </w:r>
          </w:p>
        </w:tc>
        <w:tc>
          <w:tcPr>
            <w:tcW w:w="1702" w:type="dxa"/>
            <w:tcBorders>
              <w:bottom w:val="single" w:sz="4" w:space="0" w:color="auto"/>
            </w:tcBorders>
            <w:vAlign w:val="center"/>
          </w:tcPr>
          <w:p w14:paraId="33633FA1" w14:textId="77777777" w:rsidR="00CF72D5" w:rsidRPr="002029AF" w:rsidRDefault="00CF72D5" w:rsidP="00897193">
            <w:pPr>
              <w:pStyle w:val="ARtabletextright"/>
            </w:pPr>
            <w:r w:rsidRPr="002029AF">
              <w:t>2%</w:t>
            </w:r>
          </w:p>
        </w:tc>
      </w:tr>
      <w:tr w:rsidR="00CF72D5" w:rsidRPr="002029AF" w14:paraId="3BD1B223" w14:textId="77777777" w:rsidTr="00897193">
        <w:trPr>
          <w:cantSplit/>
        </w:trPr>
        <w:tc>
          <w:tcPr>
            <w:tcW w:w="4538" w:type="dxa"/>
            <w:tcBorders>
              <w:top w:val="single" w:sz="4" w:space="0" w:color="auto"/>
              <w:left w:val="nil"/>
              <w:bottom w:val="single" w:sz="4" w:space="0" w:color="auto"/>
              <w:right w:val="nil"/>
            </w:tcBorders>
          </w:tcPr>
          <w:p w14:paraId="10173F1A" w14:textId="19DC4EDF" w:rsidR="00CF72D5" w:rsidRPr="002029AF" w:rsidRDefault="00CF72D5" w:rsidP="00897193">
            <w:pPr>
              <w:pStyle w:val="ARtabletext"/>
            </w:pPr>
            <w:r w:rsidRPr="002029AF">
              <w:t>Certified</w:t>
            </w:r>
            <w:r w:rsidR="000A5329" w:rsidRPr="002029AF">
              <w:t xml:space="preserve"> </w:t>
            </w:r>
            <w:r w:rsidRPr="002029AF">
              <w:t>fibre</w:t>
            </w:r>
            <w:r w:rsidR="000A5329" w:rsidRPr="002029AF">
              <w:t xml:space="preserve"> </w:t>
            </w:r>
            <w:r w:rsidRPr="002029AF">
              <w:t>sourcing*</w:t>
            </w:r>
          </w:p>
        </w:tc>
        <w:tc>
          <w:tcPr>
            <w:tcW w:w="1702" w:type="dxa"/>
            <w:tcBorders>
              <w:top w:val="single" w:sz="4" w:space="0" w:color="auto"/>
              <w:left w:val="nil"/>
              <w:bottom w:val="single" w:sz="4" w:space="0" w:color="auto"/>
              <w:right w:val="nil"/>
            </w:tcBorders>
            <w:vAlign w:val="center"/>
          </w:tcPr>
          <w:p w14:paraId="66DC80A4" w14:textId="77777777" w:rsidR="00CF72D5" w:rsidRPr="002029AF" w:rsidRDefault="00CF72D5" w:rsidP="00897193">
            <w:pPr>
              <w:pStyle w:val="ARtabletextright"/>
            </w:pPr>
            <w:r w:rsidRPr="002029AF">
              <w:t>100%</w:t>
            </w:r>
          </w:p>
        </w:tc>
        <w:tc>
          <w:tcPr>
            <w:tcW w:w="1702" w:type="dxa"/>
            <w:tcBorders>
              <w:top w:val="single" w:sz="4" w:space="0" w:color="auto"/>
              <w:left w:val="nil"/>
              <w:bottom w:val="single" w:sz="4" w:space="0" w:color="auto"/>
              <w:right w:val="nil"/>
            </w:tcBorders>
            <w:vAlign w:val="center"/>
          </w:tcPr>
          <w:p w14:paraId="344001C3" w14:textId="77777777" w:rsidR="00CF72D5" w:rsidRPr="002029AF" w:rsidRDefault="00CF72D5" w:rsidP="00897193">
            <w:pPr>
              <w:pStyle w:val="ARtabletextright"/>
            </w:pPr>
            <w:r w:rsidRPr="002029AF">
              <w:t>99%</w:t>
            </w:r>
          </w:p>
        </w:tc>
        <w:tc>
          <w:tcPr>
            <w:tcW w:w="1702" w:type="dxa"/>
            <w:tcBorders>
              <w:top w:val="single" w:sz="4" w:space="0" w:color="auto"/>
              <w:left w:val="nil"/>
              <w:bottom w:val="single" w:sz="4" w:space="0" w:color="auto"/>
              <w:right w:val="nil"/>
            </w:tcBorders>
            <w:vAlign w:val="center"/>
          </w:tcPr>
          <w:p w14:paraId="16906079" w14:textId="77777777" w:rsidR="00CF72D5" w:rsidRPr="002029AF" w:rsidRDefault="00CF72D5" w:rsidP="00897193">
            <w:pPr>
              <w:pStyle w:val="ARtabletextright"/>
            </w:pPr>
            <w:r w:rsidRPr="002029AF">
              <w:t>N/A</w:t>
            </w:r>
          </w:p>
        </w:tc>
      </w:tr>
    </w:tbl>
    <w:p w14:paraId="76ABBAAF" w14:textId="37081528" w:rsidR="00CF72D5" w:rsidRPr="002029AF" w:rsidRDefault="00CF72D5" w:rsidP="00897193">
      <w:pPr>
        <w:pStyle w:val="ARtablefootnote"/>
        <w:spacing w:before="60"/>
      </w:pPr>
      <w:bookmarkStart w:id="191" w:name="_Ref492895520"/>
      <w:r w:rsidRPr="002029AF">
        <w:t>Paper</w:t>
      </w:r>
      <w:r w:rsidR="000A5329" w:rsidRPr="002029AF">
        <w:t xml:space="preserve"> </w:t>
      </w:r>
      <w:r w:rsidRPr="002029AF">
        <w:t>usage</w:t>
      </w:r>
      <w:r w:rsidR="000A5329" w:rsidRPr="002029AF">
        <w:t xml:space="preserve"> </w:t>
      </w:r>
      <w:r w:rsidRPr="002029AF">
        <w:t>data</w:t>
      </w:r>
      <w:r w:rsidR="000A5329" w:rsidRPr="002029AF">
        <w:t xml:space="preserve"> </w:t>
      </w:r>
      <w:r w:rsidRPr="002029AF">
        <w:t>provided</w:t>
      </w:r>
      <w:r w:rsidR="000A5329" w:rsidRPr="002029AF">
        <w:t xml:space="preserve"> </w:t>
      </w:r>
      <w:r w:rsidRPr="002029AF">
        <w:t>by</w:t>
      </w:r>
      <w:r w:rsidR="000A5329" w:rsidRPr="002029AF">
        <w:t xml:space="preserve"> </w:t>
      </w:r>
      <w:r w:rsidRPr="002029AF">
        <w:t>whole-of-Victorian-Government</w:t>
      </w:r>
      <w:r w:rsidR="000A5329" w:rsidRPr="002029AF">
        <w:t xml:space="preserve"> </w:t>
      </w:r>
      <w:r w:rsidRPr="002029AF">
        <w:t>supplier</w:t>
      </w:r>
      <w:r w:rsidR="000A5329" w:rsidRPr="002029AF">
        <w:t xml:space="preserve"> </w:t>
      </w:r>
      <w:r w:rsidRPr="002029AF">
        <w:t>COS.</w:t>
      </w:r>
      <w:r w:rsidR="000A5329" w:rsidRPr="002029AF">
        <w:t xml:space="preserve"> </w:t>
      </w:r>
      <w:r w:rsidRPr="002029AF">
        <w:t>Data</w:t>
      </w:r>
      <w:r w:rsidR="000A5329" w:rsidRPr="002029AF">
        <w:t xml:space="preserve"> </w:t>
      </w:r>
      <w:r w:rsidRPr="002029AF">
        <w:t>represents</w:t>
      </w:r>
      <w:r w:rsidR="000A5329" w:rsidRPr="002029AF">
        <w:t xml:space="preserve"> </w:t>
      </w:r>
      <w:r w:rsidRPr="002029AF">
        <w:t>all</w:t>
      </w:r>
      <w:r w:rsidR="000A5329" w:rsidRPr="002029AF">
        <w:t xml:space="preserve"> </w:t>
      </w:r>
      <w:r w:rsidRPr="002029AF">
        <w:t>operational</w:t>
      </w:r>
      <w:r w:rsidR="000A5329" w:rsidRPr="002029AF">
        <w:t xml:space="preserve"> </w:t>
      </w:r>
      <w:r w:rsidRPr="002029AF">
        <w:t>and</w:t>
      </w:r>
      <w:r w:rsidR="000A5329" w:rsidRPr="002029AF">
        <w:t xml:space="preserve"> </w:t>
      </w:r>
      <w:r w:rsidRPr="002029AF">
        <w:t>office-based</w:t>
      </w:r>
      <w:r w:rsidR="000A5329" w:rsidRPr="002029AF">
        <w:t xml:space="preserve"> </w:t>
      </w:r>
      <w:r w:rsidRPr="002029AF">
        <w:t>FTE.</w:t>
      </w:r>
      <w:r w:rsidR="000A5329" w:rsidRPr="002029AF">
        <w:t xml:space="preserve"> </w:t>
      </w:r>
      <w:r w:rsidRPr="002029AF">
        <w:t>Total</w:t>
      </w:r>
      <w:r w:rsidR="000A5329" w:rsidRPr="002029AF">
        <w:t xml:space="preserve"> </w:t>
      </w:r>
      <w:r w:rsidRPr="002029AF">
        <w:t>cost</w:t>
      </w:r>
      <w:r w:rsidR="000A5329" w:rsidRPr="002029AF">
        <w:t xml:space="preserve"> </w:t>
      </w:r>
      <w:r w:rsidRPr="002029AF">
        <w:t>of</w:t>
      </w:r>
      <w:r w:rsidR="000A5329" w:rsidRPr="002029AF">
        <w:t xml:space="preserve"> </w:t>
      </w:r>
      <w:r w:rsidRPr="002029AF">
        <w:t>paper</w:t>
      </w:r>
      <w:r w:rsidR="000A5329" w:rsidRPr="002029AF">
        <w:t xml:space="preserve"> </w:t>
      </w:r>
      <w:r w:rsidRPr="002029AF">
        <w:t>used</w:t>
      </w:r>
      <w:r w:rsidR="000A5329" w:rsidRPr="002029AF">
        <w:t xml:space="preserve"> </w:t>
      </w:r>
      <w:r w:rsidRPr="002029AF">
        <w:t>excludes</w:t>
      </w:r>
      <w:r w:rsidR="000A5329" w:rsidRPr="002029AF">
        <w:t xml:space="preserve"> </w:t>
      </w:r>
      <w:r w:rsidRPr="002029AF">
        <w:t>GST.</w:t>
      </w:r>
    </w:p>
    <w:p w14:paraId="3525C0D7" w14:textId="4790A286" w:rsidR="00CF72D5" w:rsidRPr="002029AF" w:rsidRDefault="00CF72D5" w:rsidP="00897193">
      <w:pPr>
        <w:pStyle w:val="ARtablefootnote"/>
        <w:spacing w:before="60"/>
      </w:pPr>
      <w:r w:rsidRPr="002029AF">
        <w:t>*</w:t>
      </w:r>
      <w:r w:rsidR="002E3B52">
        <w:t xml:space="preserve"> </w:t>
      </w:r>
      <w:r w:rsidRPr="002029AF">
        <w:t>Certified</w:t>
      </w:r>
      <w:r w:rsidR="000A5329" w:rsidRPr="002029AF">
        <w:t xml:space="preserve"> </w:t>
      </w:r>
      <w:r w:rsidRPr="002029AF">
        <w:t>fibre</w:t>
      </w:r>
      <w:r w:rsidR="000A5329" w:rsidRPr="002029AF">
        <w:t xml:space="preserve"> </w:t>
      </w:r>
      <w:r w:rsidRPr="002029AF">
        <w:t>sourcing</w:t>
      </w:r>
      <w:r w:rsidR="000A5329" w:rsidRPr="002029AF">
        <w:t xml:space="preserve"> </w:t>
      </w:r>
      <w:r w:rsidRPr="002029AF">
        <w:t>means</w:t>
      </w:r>
      <w:r w:rsidR="000A5329" w:rsidRPr="002029AF">
        <w:t xml:space="preserve"> </w:t>
      </w:r>
      <w:r w:rsidRPr="002029AF">
        <w:t>that</w:t>
      </w:r>
      <w:r w:rsidR="000A5329" w:rsidRPr="002029AF">
        <w:t xml:space="preserve"> </w:t>
      </w:r>
      <w:r w:rsidRPr="002029AF">
        <w:t>the</w:t>
      </w:r>
      <w:r w:rsidR="000A5329" w:rsidRPr="002029AF">
        <w:t xml:space="preserve"> </w:t>
      </w:r>
      <w:r w:rsidRPr="002029AF">
        <w:t>supplier</w:t>
      </w:r>
      <w:r w:rsidR="000A5329" w:rsidRPr="002029AF">
        <w:t xml:space="preserve"> </w:t>
      </w:r>
      <w:r w:rsidRPr="002029AF">
        <w:t>and/or</w:t>
      </w:r>
      <w:r w:rsidR="000A5329" w:rsidRPr="002029AF">
        <w:t xml:space="preserve"> </w:t>
      </w:r>
      <w:r w:rsidRPr="002029AF">
        <w:t>manufacturer</w:t>
      </w:r>
      <w:r w:rsidR="000A5329" w:rsidRPr="002029AF">
        <w:t xml:space="preserve"> </w:t>
      </w:r>
      <w:r w:rsidRPr="002029AF">
        <w:t>has</w:t>
      </w:r>
      <w:r w:rsidR="000A5329" w:rsidRPr="002029AF">
        <w:t xml:space="preserve"> </w:t>
      </w:r>
      <w:r w:rsidRPr="002029AF">
        <w:t>asserted</w:t>
      </w:r>
      <w:r w:rsidR="000A5329" w:rsidRPr="002029AF">
        <w:t xml:space="preserve"> </w:t>
      </w:r>
      <w:r w:rsidRPr="002029AF">
        <w:t>that</w:t>
      </w:r>
      <w:r w:rsidR="000A5329" w:rsidRPr="002029AF">
        <w:t xml:space="preserve"> </w:t>
      </w:r>
      <w:r w:rsidRPr="002029AF">
        <w:t>the</w:t>
      </w:r>
      <w:r w:rsidR="000A5329" w:rsidRPr="002029AF">
        <w:t xml:space="preserve"> </w:t>
      </w:r>
      <w:r w:rsidRPr="002029AF">
        <w:t>fibre</w:t>
      </w:r>
      <w:r w:rsidR="000A5329" w:rsidRPr="002029AF">
        <w:t xml:space="preserve"> </w:t>
      </w:r>
      <w:r w:rsidRPr="002029AF">
        <w:t>sourced</w:t>
      </w:r>
      <w:r w:rsidR="000A5329" w:rsidRPr="002029AF">
        <w:t xml:space="preserve"> </w:t>
      </w:r>
      <w:r w:rsidRPr="002029AF">
        <w:t>for</w:t>
      </w:r>
      <w:r w:rsidR="000A5329" w:rsidRPr="002029AF">
        <w:t xml:space="preserve"> </w:t>
      </w:r>
      <w:r w:rsidRPr="002029AF">
        <w:t>the</w:t>
      </w:r>
      <w:r w:rsidR="000A5329" w:rsidRPr="002029AF">
        <w:t xml:space="preserve"> </w:t>
      </w:r>
      <w:r w:rsidRPr="002029AF">
        <w:t>paper</w:t>
      </w:r>
      <w:r w:rsidR="000A5329" w:rsidRPr="002029AF">
        <w:t xml:space="preserve"> </w:t>
      </w:r>
      <w:r w:rsidRPr="002029AF">
        <w:t>meets</w:t>
      </w:r>
      <w:r w:rsidR="000A5329" w:rsidRPr="002029AF">
        <w:t xml:space="preserve"> </w:t>
      </w:r>
      <w:r w:rsidRPr="002029AF">
        <w:t>either</w:t>
      </w:r>
      <w:r w:rsidR="000A5329" w:rsidRPr="002029AF">
        <w:t xml:space="preserve"> </w:t>
      </w:r>
      <w:r w:rsidRPr="002029AF">
        <w:t>an</w:t>
      </w:r>
      <w:r w:rsidR="000A5329" w:rsidRPr="002029AF">
        <w:t xml:space="preserve"> </w:t>
      </w:r>
      <w:r w:rsidRPr="002029AF">
        <w:t>international</w:t>
      </w:r>
      <w:r w:rsidR="000A5329" w:rsidRPr="002029AF">
        <w:t xml:space="preserve"> </w:t>
      </w:r>
      <w:r w:rsidRPr="002029AF">
        <w:t>Forestry</w:t>
      </w:r>
      <w:r w:rsidR="000A5329" w:rsidRPr="002029AF">
        <w:t xml:space="preserve"> </w:t>
      </w:r>
      <w:r w:rsidRPr="002029AF">
        <w:t>Management</w:t>
      </w:r>
      <w:r w:rsidR="000A5329" w:rsidRPr="002029AF">
        <w:t xml:space="preserve"> </w:t>
      </w:r>
      <w:r w:rsidRPr="002029AF">
        <w:t>standard</w:t>
      </w:r>
      <w:r w:rsidR="000A5329" w:rsidRPr="002029AF">
        <w:t xml:space="preserve"> </w:t>
      </w:r>
      <w:r w:rsidRPr="002029AF">
        <w:t>and</w:t>
      </w:r>
      <w:r w:rsidR="000A5329" w:rsidRPr="002029AF">
        <w:t xml:space="preserve"> </w:t>
      </w:r>
      <w:r w:rsidRPr="002029AF">
        <w:t>has</w:t>
      </w:r>
      <w:r w:rsidR="000A5329" w:rsidRPr="002029AF">
        <w:t xml:space="preserve"> </w:t>
      </w:r>
      <w:r w:rsidRPr="002029AF">
        <w:t>a</w:t>
      </w:r>
      <w:r w:rsidR="000A5329" w:rsidRPr="002029AF">
        <w:t xml:space="preserve"> </w:t>
      </w:r>
      <w:r w:rsidRPr="002029AF">
        <w:t>chain-of-custody</w:t>
      </w:r>
      <w:r w:rsidR="000A5329" w:rsidRPr="002029AF">
        <w:t xml:space="preserve"> </w:t>
      </w:r>
      <w:r w:rsidRPr="002029AF">
        <w:t>certification</w:t>
      </w:r>
      <w:r w:rsidR="000A5329" w:rsidRPr="002029AF">
        <w:t xml:space="preserve"> </w:t>
      </w:r>
      <w:r w:rsidRPr="002029AF">
        <w:t>linking</w:t>
      </w:r>
      <w:r w:rsidR="000A5329" w:rsidRPr="002029AF">
        <w:t xml:space="preserve"> </w:t>
      </w:r>
      <w:r w:rsidRPr="002029AF">
        <w:t>the</w:t>
      </w:r>
      <w:r w:rsidR="000A5329" w:rsidRPr="002029AF">
        <w:t xml:space="preserve"> </w:t>
      </w:r>
      <w:r w:rsidRPr="002029AF">
        <w:t>product</w:t>
      </w:r>
      <w:r w:rsidR="000A5329" w:rsidRPr="002029AF">
        <w:t xml:space="preserve"> </w:t>
      </w:r>
      <w:r w:rsidRPr="002029AF">
        <w:t>and</w:t>
      </w:r>
      <w:r w:rsidR="000A5329" w:rsidRPr="002029AF">
        <w:t xml:space="preserve"> </w:t>
      </w:r>
      <w:r w:rsidRPr="002029AF">
        <w:t>fibre</w:t>
      </w:r>
      <w:r w:rsidR="000A5329" w:rsidRPr="002029AF">
        <w:t xml:space="preserve"> </w:t>
      </w:r>
      <w:r w:rsidRPr="002029AF">
        <w:t>sourcing.</w:t>
      </w:r>
      <w:r w:rsidR="000A5329" w:rsidRPr="002029AF">
        <w:t xml:space="preserve"> </w:t>
      </w:r>
      <w:r w:rsidRPr="002029AF">
        <w:t>Accepted</w:t>
      </w:r>
      <w:r w:rsidR="000A5329" w:rsidRPr="002029AF">
        <w:t xml:space="preserve"> </w:t>
      </w:r>
      <w:r w:rsidRPr="002029AF">
        <w:t>certification</w:t>
      </w:r>
      <w:r w:rsidR="000A5329" w:rsidRPr="002029AF">
        <w:t xml:space="preserve"> </w:t>
      </w:r>
      <w:r w:rsidRPr="002029AF">
        <w:t>schemes</w:t>
      </w:r>
      <w:r w:rsidR="000A5329" w:rsidRPr="002029AF">
        <w:t xml:space="preserve"> </w:t>
      </w:r>
      <w:r w:rsidRPr="002029AF">
        <w:t>are</w:t>
      </w:r>
      <w:r w:rsidR="000A5329" w:rsidRPr="002029AF">
        <w:t xml:space="preserve"> </w:t>
      </w:r>
      <w:r w:rsidRPr="002029AF">
        <w:t>the</w:t>
      </w:r>
      <w:r w:rsidR="000A5329" w:rsidRPr="002029AF">
        <w:t xml:space="preserve"> </w:t>
      </w:r>
      <w:r w:rsidRPr="002029AF">
        <w:t>Forestry</w:t>
      </w:r>
      <w:r w:rsidR="000A5329" w:rsidRPr="002029AF">
        <w:t xml:space="preserve"> </w:t>
      </w:r>
      <w:r w:rsidRPr="002029AF">
        <w:t>Stewardship</w:t>
      </w:r>
      <w:r w:rsidR="000A5329" w:rsidRPr="002029AF">
        <w:t xml:space="preserve"> </w:t>
      </w:r>
      <w:r w:rsidRPr="002029AF">
        <w:t>Council,</w:t>
      </w:r>
      <w:r w:rsidR="000A5329" w:rsidRPr="002029AF">
        <w:t xml:space="preserve"> </w:t>
      </w:r>
      <w:r w:rsidRPr="002029AF">
        <w:t>Australian</w:t>
      </w:r>
      <w:r w:rsidR="000A5329" w:rsidRPr="002029AF">
        <w:t xml:space="preserve"> </w:t>
      </w:r>
      <w:r w:rsidRPr="002029AF">
        <w:t>Forestry</w:t>
      </w:r>
      <w:r w:rsidR="000A5329" w:rsidRPr="002029AF">
        <w:t xml:space="preserve"> </w:t>
      </w:r>
      <w:r w:rsidRPr="002029AF">
        <w:t>Standard</w:t>
      </w:r>
      <w:r w:rsidR="000A5329" w:rsidRPr="002029AF">
        <w:t xml:space="preserve"> </w:t>
      </w:r>
      <w:r w:rsidRPr="002029AF">
        <w:t>or</w:t>
      </w:r>
      <w:r w:rsidR="000A5329" w:rsidRPr="002029AF">
        <w:t xml:space="preserve"> </w:t>
      </w:r>
      <w:r w:rsidRPr="002029AF">
        <w:t>other</w:t>
      </w:r>
      <w:r w:rsidR="000A5329" w:rsidRPr="002029AF">
        <w:t xml:space="preserve"> </w:t>
      </w:r>
      <w:r w:rsidRPr="002029AF">
        <w:t>country-specific</w:t>
      </w:r>
      <w:r w:rsidR="000A5329" w:rsidRPr="002029AF">
        <w:t xml:space="preserve"> </w:t>
      </w:r>
      <w:r w:rsidRPr="002029AF">
        <w:t>standards</w:t>
      </w:r>
      <w:r w:rsidR="000A5329" w:rsidRPr="002029AF">
        <w:t xml:space="preserve"> </w:t>
      </w:r>
      <w:r w:rsidRPr="002029AF">
        <w:t>endorsed</w:t>
      </w:r>
      <w:r w:rsidR="000A5329" w:rsidRPr="002029AF">
        <w:t xml:space="preserve"> </w:t>
      </w:r>
      <w:r w:rsidRPr="002029AF">
        <w:t>by</w:t>
      </w:r>
      <w:r w:rsidR="000A5329" w:rsidRPr="002029AF">
        <w:t xml:space="preserve"> </w:t>
      </w:r>
      <w:r w:rsidRPr="002029AF">
        <w:t>the</w:t>
      </w:r>
      <w:r w:rsidR="000A5329" w:rsidRPr="002029AF">
        <w:t xml:space="preserve"> </w:t>
      </w:r>
      <w:r w:rsidRPr="002029AF">
        <w:t>Programme</w:t>
      </w:r>
      <w:r w:rsidR="000A5329" w:rsidRPr="002029AF">
        <w:t xml:space="preserve"> </w:t>
      </w:r>
      <w:r w:rsidRPr="002029AF">
        <w:t>for</w:t>
      </w:r>
      <w:r w:rsidR="000A5329" w:rsidRPr="002029AF">
        <w:t xml:space="preserve"> </w:t>
      </w:r>
      <w:r w:rsidRPr="002029AF">
        <w:t>the</w:t>
      </w:r>
      <w:r w:rsidR="000A5329" w:rsidRPr="002029AF">
        <w:t xml:space="preserve"> </w:t>
      </w:r>
      <w:r w:rsidRPr="002029AF">
        <w:t>Endorsement</w:t>
      </w:r>
      <w:r w:rsidR="000A5329" w:rsidRPr="002029AF">
        <w:t xml:space="preserve"> </w:t>
      </w:r>
      <w:r w:rsidRPr="002029AF">
        <w:t>of</w:t>
      </w:r>
      <w:r w:rsidR="000A5329" w:rsidRPr="002029AF">
        <w:t xml:space="preserve"> </w:t>
      </w:r>
      <w:r w:rsidRPr="002029AF">
        <w:t>Forest</w:t>
      </w:r>
      <w:r w:rsidR="000A5329" w:rsidRPr="002029AF">
        <w:t xml:space="preserve"> </w:t>
      </w:r>
      <w:r w:rsidRPr="002029AF">
        <w:t>Certification.</w:t>
      </w:r>
    </w:p>
    <w:p w14:paraId="0463B5ED" w14:textId="7E32A162" w:rsidR="00CF72D5" w:rsidRPr="002029AF" w:rsidRDefault="00CF72D5" w:rsidP="00961519">
      <w:pPr>
        <w:pStyle w:val="Heading5"/>
        <w:spacing w:before="400" w:after="200"/>
        <w:rPr>
          <w:rFonts w:ascii="Arial Bold" w:hAnsi="Arial Bold"/>
          <w:color w:val="4B4B4B"/>
        </w:rPr>
      </w:pPr>
      <w:r w:rsidRPr="002029AF">
        <w:rPr>
          <w:rFonts w:ascii="Arial Bold" w:hAnsi="Arial Bold"/>
          <w:color w:val="4B4B4B"/>
        </w:rPr>
        <w:t>Paper</w:t>
      </w:r>
      <w:r w:rsidR="000A5329" w:rsidRPr="002029AF">
        <w:rPr>
          <w:rFonts w:ascii="Arial Bold" w:hAnsi="Arial Bold"/>
          <w:color w:val="4B4B4B"/>
        </w:rPr>
        <w:t xml:space="preserve"> </w:t>
      </w:r>
      <w:r w:rsidRPr="002029AF">
        <w:rPr>
          <w:rFonts w:ascii="Arial Bold" w:hAnsi="Arial Bold"/>
          <w:color w:val="4B4B4B"/>
        </w:rPr>
        <w:t>use</w:t>
      </w:r>
      <w:r w:rsidR="000A5329" w:rsidRPr="002029AF">
        <w:rPr>
          <w:rFonts w:ascii="Arial Bold" w:hAnsi="Arial Bold"/>
          <w:color w:val="4B4B4B"/>
        </w:rPr>
        <w:t xml:space="preserve"> </w:t>
      </w:r>
      <w:r w:rsidRPr="002029AF">
        <w:rPr>
          <w:rFonts w:ascii="Arial Bold" w:hAnsi="Arial Bold"/>
          <w:color w:val="4B4B4B"/>
        </w:rPr>
        <w:t>from</w:t>
      </w:r>
      <w:r w:rsidR="000A5329" w:rsidRPr="002029AF">
        <w:rPr>
          <w:rFonts w:ascii="Arial Bold" w:hAnsi="Arial Bold"/>
          <w:color w:val="4B4B4B"/>
        </w:rPr>
        <w:t xml:space="preserve"> </w:t>
      </w:r>
      <w:r w:rsidRPr="002029AF">
        <w:rPr>
          <w:rFonts w:ascii="Arial Bold" w:hAnsi="Arial Bold"/>
          <w:color w:val="4B4B4B"/>
        </w:rPr>
        <w:t>public</w:t>
      </w:r>
      <w:r w:rsidR="000A5329" w:rsidRPr="002029AF">
        <w:rPr>
          <w:rFonts w:ascii="Arial Bold" w:hAnsi="Arial Bold"/>
          <w:color w:val="4B4B4B"/>
        </w:rPr>
        <w:t xml:space="preserve"> </w:t>
      </w:r>
      <w:r w:rsidRPr="002029AF">
        <w:rPr>
          <w:rFonts w:ascii="Arial Bold" w:hAnsi="Arial Bold"/>
          <w:color w:val="4B4B4B"/>
        </w:rPr>
        <w:t>health</w:t>
      </w:r>
      <w:r w:rsidR="000A5329" w:rsidRPr="002029AF">
        <w:rPr>
          <w:rFonts w:ascii="Arial Bold" w:hAnsi="Arial Bold"/>
          <w:color w:val="4B4B4B"/>
        </w:rPr>
        <w:t xml:space="preserve"> </w:t>
      </w:r>
      <w:r w:rsidRPr="002029AF">
        <w:rPr>
          <w:rFonts w:ascii="Arial Bold" w:hAnsi="Arial Bold"/>
          <w:color w:val="4B4B4B"/>
        </w:rPr>
        <w:t>services</w:t>
      </w:r>
    </w:p>
    <w:tbl>
      <w:tblPr>
        <w:tblW w:w="9644"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4538"/>
        <w:gridCol w:w="1702"/>
        <w:gridCol w:w="1702"/>
        <w:gridCol w:w="1702"/>
      </w:tblGrid>
      <w:tr w:rsidR="00CF72D5" w:rsidRPr="002029AF" w14:paraId="1D313248" w14:textId="77777777" w:rsidTr="00897193">
        <w:trPr>
          <w:cantSplit/>
          <w:tblHeader/>
        </w:trPr>
        <w:tc>
          <w:tcPr>
            <w:tcW w:w="4538" w:type="dxa"/>
            <w:vAlign w:val="bottom"/>
          </w:tcPr>
          <w:p w14:paraId="0046F2F5" w14:textId="77777777" w:rsidR="00CF72D5" w:rsidRPr="002029AF" w:rsidRDefault="00CF72D5" w:rsidP="00897193">
            <w:pPr>
              <w:pStyle w:val="ARtablecolhead"/>
              <w:spacing w:line="240" w:lineRule="auto"/>
            </w:pPr>
            <w:r w:rsidRPr="002029AF">
              <w:t>Description</w:t>
            </w:r>
          </w:p>
        </w:tc>
        <w:tc>
          <w:tcPr>
            <w:tcW w:w="1702" w:type="dxa"/>
            <w:vAlign w:val="center"/>
          </w:tcPr>
          <w:p w14:paraId="3CE35AC6" w14:textId="25C34D4E" w:rsidR="00CF72D5" w:rsidRPr="002029AF" w:rsidRDefault="00CF72D5" w:rsidP="00897193">
            <w:pPr>
              <w:pStyle w:val="ARtablecolheadright"/>
            </w:pPr>
            <w:r w:rsidRPr="002029AF">
              <w:rPr>
                <w:color w:val="000000"/>
              </w:rPr>
              <w:t>2019–20</w:t>
            </w:r>
            <w:r w:rsidR="000A5329" w:rsidRPr="002029AF">
              <w:rPr>
                <w:color w:val="000000"/>
              </w:rPr>
              <w:t xml:space="preserve"> </w:t>
            </w:r>
            <w:r w:rsidRPr="002029AF">
              <w:rPr>
                <w:color w:val="000000"/>
              </w:rPr>
              <w:t>actual</w:t>
            </w:r>
          </w:p>
        </w:tc>
        <w:tc>
          <w:tcPr>
            <w:tcW w:w="1702" w:type="dxa"/>
            <w:vAlign w:val="center"/>
          </w:tcPr>
          <w:p w14:paraId="791E397E" w14:textId="60092E43" w:rsidR="00CF72D5" w:rsidRPr="002029AF" w:rsidRDefault="00CF72D5" w:rsidP="00897193">
            <w:pPr>
              <w:pStyle w:val="ARtablecolheadright"/>
            </w:pPr>
            <w:r w:rsidRPr="002029AF">
              <w:rPr>
                <w:color w:val="000000"/>
              </w:rPr>
              <w:t>2018–19</w:t>
            </w:r>
            <w:r w:rsidR="000A5329" w:rsidRPr="002029AF">
              <w:rPr>
                <w:color w:val="000000"/>
              </w:rPr>
              <w:t xml:space="preserve"> </w:t>
            </w:r>
            <w:r w:rsidRPr="002029AF">
              <w:rPr>
                <w:color w:val="000000"/>
              </w:rPr>
              <w:t>actual</w:t>
            </w:r>
          </w:p>
        </w:tc>
        <w:tc>
          <w:tcPr>
            <w:tcW w:w="1702" w:type="dxa"/>
            <w:vAlign w:val="center"/>
          </w:tcPr>
          <w:p w14:paraId="17907DA7" w14:textId="586D681F" w:rsidR="00CF72D5" w:rsidRPr="002029AF" w:rsidRDefault="00CF72D5" w:rsidP="00897193">
            <w:pPr>
              <w:pStyle w:val="ARtablecolheadright"/>
            </w:pPr>
            <w:r w:rsidRPr="002029AF">
              <w:rPr>
                <w:color w:val="000000"/>
              </w:rPr>
              <w:t>2017–18</w:t>
            </w:r>
            <w:r w:rsidR="000A5329" w:rsidRPr="002029AF">
              <w:rPr>
                <w:color w:val="000000"/>
              </w:rPr>
              <w:t xml:space="preserve"> </w:t>
            </w:r>
            <w:r w:rsidRPr="002029AF">
              <w:rPr>
                <w:color w:val="000000"/>
              </w:rPr>
              <w:t>actual</w:t>
            </w:r>
          </w:p>
        </w:tc>
      </w:tr>
      <w:tr w:rsidR="00CF72D5" w:rsidRPr="002029AF" w14:paraId="62853519" w14:textId="77777777" w:rsidTr="00897193">
        <w:trPr>
          <w:cantSplit/>
        </w:trPr>
        <w:tc>
          <w:tcPr>
            <w:tcW w:w="4538" w:type="dxa"/>
          </w:tcPr>
          <w:p w14:paraId="0362B9FE" w14:textId="70F1AAB2" w:rsidR="00CF72D5" w:rsidRPr="002029AF" w:rsidRDefault="00CF72D5" w:rsidP="00897193">
            <w:pPr>
              <w:pStyle w:val="ARtabletext"/>
            </w:pPr>
            <w:r w:rsidRPr="002029AF">
              <w:t>Total</w:t>
            </w:r>
            <w:r w:rsidR="000A5329" w:rsidRPr="002029AF">
              <w:t xml:space="preserve"> </w:t>
            </w:r>
            <w:r w:rsidRPr="002029AF">
              <w:t>units</w:t>
            </w:r>
            <w:r w:rsidR="000A5329" w:rsidRPr="002029AF">
              <w:t xml:space="preserve"> </w:t>
            </w:r>
            <w:r w:rsidRPr="002029AF">
              <w:t>of</w:t>
            </w:r>
            <w:r w:rsidR="000A5329" w:rsidRPr="002029AF">
              <w:t xml:space="preserve"> </w:t>
            </w:r>
            <w:r w:rsidRPr="002029AF">
              <w:t>paper</w:t>
            </w:r>
            <w:r w:rsidR="000A5329" w:rsidRPr="002029AF">
              <w:t xml:space="preserve"> </w:t>
            </w:r>
            <w:r w:rsidRPr="002029AF">
              <w:t>used</w:t>
            </w:r>
            <w:r w:rsidR="000A5329" w:rsidRPr="002029AF">
              <w:t xml:space="preserve"> </w:t>
            </w:r>
            <w:r w:rsidRPr="002029AF">
              <w:t>–</w:t>
            </w:r>
            <w:r w:rsidR="000A5329" w:rsidRPr="002029AF">
              <w:t xml:space="preserve"> </w:t>
            </w:r>
            <w:r w:rsidRPr="002029AF">
              <w:t>A4</w:t>
            </w:r>
            <w:r w:rsidR="000A5329" w:rsidRPr="002029AF">
              <w:t xml:space="preserve"> </w:t>
            </w:r>
            <w:r w:rsidRPr="002029AF">
              <w:t>equivalent</w:t>
            </w:r>
            <w:r w:rsidR="000A5329" w:rsidRPr="002029AF">
              <w:t xml:space="preserve"> </w:t>
            </w:r>
            <w:r w:rsidRPr="002029AF">
              <w:t>(reams)</w:t>
            </w:r>
          </w:p>
        </w:tc>
        <w:tc>
          <w:tcPr>
            <w:tcW w:w="1702" w:type="dxa"/>
            <w:vAlign w:val="center"/>
          </w:tcPr>
          <w:p w14:paraId="7D8603D6" w14:textId="77777777" w:rsidR="00CF72D5" w:rsidRPr="002029AF" w:rsidRDefault="00CF72D5" w:rsidP="00897193">
            <w:pPr>
              <w:pStyle w:val="ARtabletextright"/>
            </w:pPr>
            <w:r w:rsidRPr="002029AF">
              <w:t>528,870</w:t>
            </w:r>
          </w:p>
        </w:tc>
        <w:tc>
          <w:tcPr>
            <w:tcW w:w="1702" w:type="dxa"/>
            <w:vAlign w:val="center"/>
          </w:tcPr>
          <w:p w14:paraId="194E1C49" w14:textId="77777777" w:rsidR="00CF72D5" w:rsidRPr="002029AF" w:rsidRDefault="00CF72D5" w:rsidP="00897193">
            <w:pPr>
              <w:pStyle w:val="ARtabletextright"/>
            </w:pPr>
            <w:r w:rsidRPr="002029AF">
              <w:t>664,194</w:t>
            </w:r>
          </w:p>
        </w:tc>
        <w:tc>
          <w:tcPr>
            <w:tcW w:w="1702" w:type="dxa"/>
            <w:vAlign w:val="center"/>
          </w:tcPr>
          <w:p w14:paraId="649FD397" w14:textId="77777777" w:rsidR="00CF72D5" w:rsidRPr="002029AF" w:rsidRDefault="00CF72D5" w:rsidP="00897193">
            <w:pPr>
              <w:pStyle w:val="ARtabletextright"/>
            </w:pPr>
            <w:r w:rsidRPr="002029AF">
              <w:t>658,878</w:t>
            </w:r>
          </w:p>
        </w:tc>
      </w:tr>
      <w:tr w:rsidR="00CF72D5" w:rsidRPr="002029AF" w14:paraId="2FCC8F90" w14:textId="77777777" w:rsidTr="00897193">
        <w:trPr>
          <w:cantSplit/>
        </w:trPr>
        <w:tc>
          <w:tcPr>
            <w:tcW w:w="4538" w:type="dxa"/>
          </w:tcPr>
          <w:p w14:paraId="2B52F9D8" w14:textId="1D7338B7" w:rsidR="00CF72D5" w:rsidRPr="002029AF" w:rsidRDefault="00CF72D5" w:rsidP="00897193">
            <w:pPr>
              <w:pStyle w:val="ARtabletext"/>
            </w:pPr>
            <w:r w:rsidRPr="002029AF">
              <w:t>Units</w:t>
            </w:r>
            <w:r w:rsidR="000A5329" w:rsidRPr="002029AF">
              <w:t xml:space="preserve"> </w:t>
            </w:r>
            <w:r w:rsidRPr="002029AF">
              <w:t>of</w:t>
            </w:r>
            <w:r w:rsidR="000A5329" w:rsidRPr="002029AF">
              <w:t xml:space="preserve"> </w:t>
            </w:r>
            <w:r w:rsidRPr="002029AF">
              <w:t>paper</w:t>
            </w:r>
            <w:r w:rsidR="000A5329" w:rsidRPr="002029AF">
              <w:t xml:space="preserve"> </w:t>
            </w:r>
            <w:r w:rsidRPr="002029AF">
              <w:t>used</w:t>
            </w:r>
            <w:r w:rsidR="000A5329" w:rsidRPr="002029AF">
              <w:t xml:space="preserve"> </w:t>
            </w:r>
            <w:r w:rsidRPr="002029AF">
              <w:t>per</w:t>
            </w:r>
            <w:r w:rsidR="000A5329" w:rsidRPr="002029AF">
              <w:t xml:space="preserve"> </w:t>
            </w:r>
            <w:r w:rsidRPr="002029AF">
              <w:t>FTE</w:t>
            </w:r>
            <w:r w:rsidR="000A5329" w:rsidRPr="002029AF">
              <w:t xml:space="preserve"> </w:t>
            </w:r>
            <w:r w:rsidRPr="002029AF">
              <w:t>(reams/FTE)</w:t>
            </w:r>
          </w:p>
        </w:tc>
        <w:tc>
          <w:tcPr>
            <w:tcW w:w="1702" w:type="dxa"/>
            <w:vAlign w:val="center"/>
          </w:tcPr>
          <w:p w14:paraId="29478D51" w14:textId="77777777" w:rsidR="00CF72D5" w:rsidRPr="002029AF" w:rsidRDefault="00CF72D5" w:rsidP="00897193">
            <w:pPr>
              <w:pStyle w:val="ARtabletextright"/>
            </w:pPr>
            <w:r w:rsidRPr="002029AF">
              <w:t>6.4</w:t>
            </w:r>
          </w:p>
        </w:tc>
        <w:tc>
          <w:tcPr>
            <w:tcW w:w="1702" w:type="dxa"/>
            <w:vAlign w:val="center"/>
          </w:tcPr>
          <w:p w14:paraId="39051898" w14:textId="77777777" w:rsidR="00CF72D5" w:rsidRPr="002029AF" w:rsidRDefault="00CF72D5" w:rsidP="00897193">
            <w:pPr>
              <w:pStyle w:val="ARtabletextright"/>
            </w:pPr>
            <w:r w:rsidRPr="002029AF">
              <w:t>7.3</w:t>
            </w:r>
          </w:p>
        </w:tc>
        <w:tc>
          <w:tcPr>
            <w:tcW w:w="1702" w:type="dxa"/>
            <w:vAlign w:val="center"/>
          </w:tcPr>
          <w:p w14:paraId="138D5397" w14:textId="77777777" w:rsidR="00CF72D5" w:rsidRPr="002029AF" w:rsidRDefault="00CF72D5" w:rsidP="00897193">
            <w:pPr>
              <w:pStyle w:val="ARtabletextright"/>
            </w:pPr>
            <w:r w:rsidRPr="002029AF">
              <w:t>7.7</w:t>
            </w:r>
          </w:p>
        </w:tc>
      </w:tr>
      <w:tr w:rsidR="00CF72D5" w:rsidRPr="002029AF" w14:paraId="0CDD1F70" w14:textId="77777777" w:rsidTr="00897193">
        <w:trPr>
          <w:cantSplit/>
        </w:trPr>
        <w:tc>
          <w:tcPr>
            <w:tcW w:w="4538" w:type="dxa"/>
          </w:tcPr>
          <w:p w14:paraId="55AC5AA2" w14:textId="6BA1B38C" w:rsidR="00CF72D5" w:rsidRPr="002029AF" w:rsidRDefault="00CF72D5" w:rsidP="00897193">
            <w:pPr>
              <w:pStyle w:val="ARtabletextbold"/>
            </w:pPr>
            <w:r w:rsidRPr="002029AF">
              <w:t>Total</w:t>
            </w:r>
            <w:r w:rsidR="000A5329" w:rsidRPr="002029AF">
              <w:t xml:space="preserve"> </w:t>
            </w:r>
            <w:r w:rsidRPr="002029AF">
              <w:t>cost</w:t>
            </w:r>
            <w:r w:rsidR="000A5329" w:rsidRPr="002029AF">
              <w:t xml:space="preserve"> </w:t>
            </w:r>
            <w:r w:rsidRPr="002029AF">
              <w:t>of</w:t>
            </w:r>
            <w:r w:rsidR="000A5329" w:rsidRPr="002029AF">
              <w:t xml:space="preserve"> </w:t>
            </w:r>
            <w:r w:rsidRPr="002029AF">
              <w:t>paper</w:t>
            </w:r>
            <w:r w:rsidR="000A5329" w:rsidRPr="002029AF">
              <w:t xml:space="preserve"> </w:t>
            </w:r>
            <w:r w:rsidRPr="002029AF">
              <w:t>used</w:t>
            </w:r>
            <w:r w:rsidR="000A5329" w:rsidRPr="002029AF">
              <w:t xml:space="preserve"> </w:t>
            </w:r>
            <w:r w:rsidRPr="002029AF">
              <w:t>($</w:t>
            </w:r>
            <w:r w:rsidR="000A5329" w:rsidRPr="002029AF">
              <w:t xml:space="preserve"> </w:t>
            </w:r>
            <w:r w:rsidRPr="002029AF">
              <w:t>million)</w:t>
            </w:r>
          </w:p>
        </w:tc>
        <w:tc>
          <w:tcPr>
            <w:tcW w:w="1702" w:type="dxa"/>
            <w:vAlign w:val="center"/>
          </w:tcPr>
          <w:p w14:paraId="501DD217" w14:textId="77777777" w:rsidR="00CF72D5" w:rsidRPr="002029AF" w:rsidRDefault="00CF72D5" w:rsidP="00897193">
            <w:pPr>
              <w:pStyle w:val="ARtabletextrightbold"/>
            </w:pPr>
            <w:r w:rsidRPr="002029AF">
              <w:t>$2.06</w:t>
            </w:r>
          </w:p>
        </w:tc>
        <w:tc>
          <w:tcPr>
            <w:tcW w:w="1702" w:type="dxa"/>
            <w:vAlign w:val="center"/>
          </w:tcPr>
          <w:p w14:paraId="2311A302" w14:textId="77777777" w:rsidR="00CF72D5" w:rsidRPr="002029AF" w:rsidRDefault="00CF72D5" w:rsidP="00897193">
            <w:pPr>
              <w:pStyle w:val="ARtabletextrightbold"/>
            </w:pPr>
            <w:r w:rsidRPr="002029AF">
              <w:t>$2.43</w:t>
            </w:r>
          </w:p>
        </w:tc>
        <w:tc>
          <w:tcPr>
            <w:tcW w:w="1702" w:type="dxa"/>
            <w:vAlign w:val="center"/>
          </w:tcPr>
          <w:p w14:paraId="76A757B8" w14:textId="77777777" w:rsidR="00CF72D5" w:rsidRPr="002029AF" w:rsidRDefault="00CF72D5" w:rsidP="00897193">
            <w:pPr>
              <w:pStyle w:val="ARtabletextrightbold"/>
            </w:pPr>
            <w:r w:rsidRPr="002029AF">
              <w:t>$2.37</w:t>
            </w:r>
          </w:p>
        </w:tc>
      </w:tr>
    </w:tbl>
    <w:p w14:paraId="1A0BCD41" w14:textId="77777777" w:rsidR="00CF72D5" w:rsidRPr="002029AF" w:rsidRDefault="00CF72D5" w:rsidP="00897193">
      <w:pPr>
        <w:pStyle w:val="ARtablefootnote"/>
        <w:spacing w:before="60"/>
      </w:pPr>
    </w:p>
    <w:tbl>
      <w:tblPr>
        <w:tblW w:w="9644"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4538"/>
        <w:gridCol w:w="1702"/>
        <w:gridCol w:w="1702"/>
        <w:gridCol w:w="1702"/>
      </w:tblGrid>
      <w:tr w:rsidR="00CF72D5" w:rsidRPr="002029AF" w14:paraId="5E43E95F" w14:textId="77777777" w:rsidTr="00897193">
        <w:trPr>
          <w:cantSplit/>
          <w:tblHeader/>
        </w:trPr>
        <w:tc>
          <w:tcPr>
            <w:tcW w:w="4538" w:type="dxa"/>
          </w:tcPr>
          <w:p w14:paraId="51CDE79E" w14:textId="6470D22C" w:rsidR="00CF72D5" w:rsidRPr="002029AF" w:rsidRDefault="00CF72D5" w:rsidP="00897193">
            <w:pPr>
              <w:pStyle w:val="ARtablecolhead"/>
            </w:pPr>
            <w:r w:rsidRPr="002029AF">
              <w:lastRenderedPageBreak/>
              <w:t>Percentage</w:t>
            </w:r>
            <w:r w:rsidR="000A5329" w:rsidRPr="002029AF">
              <w:t xml:space="preserve"> </w:t>
            </w:r>
            <w:r w:rsidRPr="002029AF">
              <w:t>recycled</w:t>
            </w:r>
            <w:r w:rsidR="000A5329" w:rsidRPr="002029AF">
              <w:t xml:space="preserve"> </w:t>
            </w:r>
            <w:r w:rsidRPr="002029AF">
              <w:t>content</w:t>
            </w:r>
            <w:r w:rsidR="000A5329" w:rsidRPr="002029AF">
              <w:t xml:space="preserve"> </w:t>
            </w:r>
            <w:r w:rsidRPr="002029AF">
              <w:t>copy</w:t>
            </w:r>
            <w:r w:rsidR="000A5329" w:rsidRPr="002029AF">
              <w:t xml:space="preserve"> </w:t>
            </w:r>
            <w:r w:rsidRPr="002029AF">
              <w:t>paper</w:t>
            </w:r>
            <w:r w:rsidR="000A5329" w:rsidRPr="002029AF">
              <w:t xml:space="preserve"> </w:t>
            </w:r>
            <w:r w:rsidRPr="002029AF">
              <w:t>purchased</w:t>
            </w:r>
          </w:p>
        </w:tc>
        <w:tc>
          <w:tcPr>
            <w:tcW w:w="1702" w:type="dxa"/>
            <w:vAlign w:val="center"/>
          </w:tcPr>
          <w:p w14:paraId="633B6A4B" w14:textId="2DF6ED68" w:rsidR="00CF72D5" w:rsidRPr="002029AF" w:rsidRDefault="00CF72D5" w:rsidP="00897193">
            <w:pPr>
              <w:pStyle w:val="ARtablecolheadright"/>
            </w:pPr>
            <w:r w:rsidRPr="002029AF">
              <w:t>2019–20</w:t>
            </w:r>
            <w:r w:rsidR="000A5329" w:rsidRPr="002029AF">
              <w:t xml:space="preserve"> </w:t>
            </w:r>
            <w:r w:rsidRPr="002029AF">
              <w:t>actual</w:t>
            </w:r>
          </w:p>
        </w:tc>
        <w:tc>
          <w:tcPr>
            <w:tcW w:w="1702" w:type="dxa"/>
            <w:vAlign w:val="center"/>
          </w:tcPr>
          <w:p w14:paraId="7969AD8A" w14:textId="610EACFD" w:rsidR="00CF72D5" w:rsidRPr="002029AF" w:rsidRDefault="00CF72D5" w:rsidP="00897193">
            <w:pPr>
              <w:pStyle w:val="ARtablecolheadright"/>
            </w:pPr>
            <w:r w:rsidRPr="002029AF">
              <w:t>2018–19</w:t>
            </w:r>
            <w:r w:rsidR="000A5329" w:rsidRPr="002029AF">
              <w:t xml:space="preserve"> </w:t>
            </w:r>
            <w:r w:rsidRPr="002029AF">
              <w:t>actual</w:t>
            </w:r>
          </w:p>
        </w:tc>
        <w:tc>
          <w:tcPr>
            <w:tcW w:w="1702" w:type="dxa"/>
            <w:vAlign w:val="center"/>
          </w:tcPr>
          <w:p w14:paraId="66336F5B" w14:textId="64386CF8" w:rsidR="00CF72D5" w:rsidRPr="002029AF" w:rsidRDefault="00CF72D5" w:rsidP="00897193">
            <w:pPr>
              <w:pStyle w:val="ARtablecolheadright"/>
            </w:pPr>
            <w:r w:rsidRPr="002029AF">
              <w:t>2017–18</w:t>
            </w:r>
            <w:r w:rsidR="000A5329" w:rsidRPr="002029AF">
              <w:t xml:space="preserve"> </w:t>
            </w:r>
            <w:r w:rsidRPr="002029AF">
              <w:t>actual</w:t>
            </w:r>
          </w:p>
        </w:tc>
      </w:tr>
      <w:tr w:rsidR="00CF72D5" w:rsidRPr="002029AF" w14:paraId="393E7AE3" w14:textId="77777777" w:rsidTr="00897193">
        <w:trPr>
          <w:cantSplit/>
        </w:trPr>
        <w:tc>
          <w:tcPr>
            <w:tcW w:w="4538" w:type="dxa"/>
          </w:tcPr>
          <w:p w14:paraId="6E5CD041" w14:textId="153AE829" w:rsidR="00CF72D5" w:rsidRPr="002029AF" w:rsidRDefault="00CF72D5" w:rsidP="00897193">
            <w:pPr>
              <w:pStyle w:val="ARtabletext"/>
            </w:pPr>
            <w:r w:rsidRPr="002029AF">
              <w:t>75–100</w:t>
            </w:r>
            <w:r w:rsidR="000A5329" w:rsidRPr="002029AF">
              <w:t xml:space="preserve"> </w:t>
            </w:r>
            <w:r w:rsidRPr="002029AF">
              <w:t>per</w:t>
            </w:r>
            <w:r w:rsidR="000A5329" w:rsidRPr="002029AF">
              <w:t xml:space="preserve"> </w:t>
            </w:r>
            <w:r w:rsidRPr="002029AF">
              <w:t>cent</w:t>
            </w:r>
            <w:r w:rsidR="000A5329" w:rsidRPr="002029AF">
              <w:t xml:space="preserve"> </w:t>
            </w:r>
            <w:r w:rsidRPr="002029AF">
              <w:t>recycled</w:t>
            </w:r>
          </w:p>
        </w:tc>
        <w:tc>
          <w:tcPr>
            <w:tcW w:w="1702" w:type="dxa"/>
            <w:vAlign w:val="center"/>
          </w:tcPr>
          <w:p w14:paraId="79AE3948" w14:textId="77777777" w:rsidR="00CF72D5" w:rsidRPr="002029AF" w:rsidRDefault="00CF72D5" w:rsidP="00897193">
            <w:pPr>
              <w:pStyle w:val="ARtabletextright"/>
            </w:pPr>
            <w:r w:rsidRPr="002029AF">
              <w:t>5%</w:t>
            </w:r>
          </w:p>
        </w:tc>
        <w:tc>
          <w:tcPr>
            <w:tcW w:w="1702" w:type="dxa"/>
            <w:vAlign w:val="center"/>
          </w:tcPr>
          <w:p w14:paraId="2BD8801C" w14:textId="77777777" w:rsidR="00CF72D5" w:rsidRPr="002029AF" w:rsidRDefault="00CF72D5" w:rsidP="00897193">
            <w:pPr>
              <w:pStyle w:val="ARtabletextright"/>
            </w:pPr>
            <w:r w:rsidRPr="002029AF">
              <w:t>3%</w:t>
            </w:r>
          </w:p>
        </w:tc>
        <w:tc>
          <w:tcPr>
            <w:tcW w:w="1702" w:type="dxa"/>
            <w:vAlign w:val="center"/>
          </w:tcPr>
          <w:p w14:paraId="2BB77CE0" w14:textId="77777777" w:rsidR="00CF72D5" w:rsidRPr="002029AF" w:rsidRDefault="00CF72D5" w:rsidP="00897193">
            <w:pPr>
              <w:pStyle w:val="ARtabletextright"/>
            </w:pPr>
            <w:r w:rsidRPr="002029AF">
              <w:t>1%</w:t>
            </w:r>
          </w:p>
        </w:tc>
      </w:tr>
      <w:tr w:rsidR="00CF72D5" w:rsidRPr="002029AF" w14:paraId="15B18557" w14:textId="77777777" w:rsidTr="00897193">
        <w:trPr>
          <w:cantSplit/>
        </w:trPr>
        <w:tc>
          <w:tcPr>
            <w:tcW w:w="4538" w:type="dxa"/>
          </w:tcPr>
          <w:p w14:paraId="2CFD2451" w14:textId="66ADF0B9" w:rsidR="00CF72D5" w:rsidRPr="002029AF" w:rsidRDefault="00CF72D5" w:rsidP="00897193">
            <w:pPr>
              <w:pStyle w:val="ARtabletext"/>
            </w:pPr>
            <w:r w:rsidRPr="002029AF">
              <w:t>50–74</w:t>
            </w:r>
            <w:r w:rsidR="000A5329" w:rsidRPr="002029AF">
              <w:t xml:space="preserve"> </w:t>
            </w:r>
            <w:r w:rsidRPr="002029AF">
              <w:t>per</w:t>
            </w:r>
            <w:r w:rsidR="000A5329" w:rsidRPr="002029AF">
              <w:t xml:space="preserve"> </w:t>
            </w:r>
            <w:r w:rsidRPr="002029AF">
              <w:t>cent</w:t>
            </w:r>
            <w:r w:rsidR="000A5329" w:rsidRPr="002029AF">
              <w:t xml:space="preserve"> </w:t>
            </w:r>
            <w:r w:rsidRPr="002029AF">
              <w:t>recycled</w:t>
            </w:r>
          </w:p>
        </w:tc>
        <w:tc>
          <w:tcPr>
            <w:tcW w:w="1702" w:type="dxa"/>
            <w:vAlign w:val="center"/>
          </w:tcPr>
          <w:p w14:paraId="066706B4" w14:textId="77777777" w:rsidR="00CF72D5" w:rsidRPr="002029AF" w:rsidRDefault="00CF72D5" w:rsidP="00897193">
            <w:pPr>
              <w:pStyle w:val="ARtabletextright"/>
            </w:pPr>
            <w:r w:rsidRPr="002029AF">
              <w:t>1%</w:t>
            </w:r>
          </w:p>
        </w:tc>
        <w:tc>
          <w:tcPr>
            <w:tcW w:w="1702" w:type="dxa"/>
            <w:vAlign w:val="center"/>
          </w:tcPr>
          <w:p w14:paraId="3978E19C" w14:textId="77777777" w:rsidR="00CF72D5" w:rsidRPr="002029AF" w:rsidRDefault="00CF72D5" w:rsidP="00897193">
            <w:pPr>
              <w:pStyle w:val="ARtabletextright"/>
            </w:pPr>
            <w:r w:rsidRPr="002029AF">
              <w:t>4%</w:t>
            </w:r>
          </w:p>
        </w:tc>
        <w:tc>
          <w:tcPr>
            <w:tcW w:w="1702" w:type="dxa"/>
            <w:vAlign w:val="center"/>
          </w:tcPr>
          <w:p w14:paraId="6D73FCAE" w14:textId="77777777" w:rsidR="00CF72D5" w:rsidRPr="002029AF" w:rsidRDefault="00CF72D5" w:rsidP="00897193">
            <w:pPr>
              <w:pStyle w:val="ARtabletextright"/>
            </w:pPr>
            <w:r w:rsidRPr="002029AF">
              <w:t>2%</w:t>
            </w:r>
          </w:p>
        </w:tc>
      </w:tr>
      <w:tr w:rsidR="00CF72D5" w:rsidRPr="002029AF" w14:paraId="43884611" w14:textId="77777777" w:rsidTr="00897193">
        <w:trPr>
          <w:cantSplit/>
        </w:trPr>
        <w:tc>
          <w:tcPr>
            <w:tcW w:w="4538" w:type="dxa"/>
          </w:tcPr>
          <w:p w14:paraId="56552442" w14:textId="4F7CCAAC" w:rsidR="00CF72D5" w:rsidRPr="002029AF" w:rsidRDefault="00CF72D5" w:rsidP="00897193">
            <w:pPr>
              <w:pStyle w:val="ARtabletext"/>
            </w:pPr>
            <w:r w:rsidRPr="002029AF">
              <w:t>0–49</w:t>
            </w:r>
            <w:r w:rsidR="000A5329" w:rsidRPr="002029AF">
              <w:t xml:space="preserve"> </w:t>
            </w:r>
            <w:r w:rsidRPr="002029AF">
              <w:t>per</w:t>
            </w:r>
            <w:r w:rsidR="000A5329" w:rsidRPr="002029AF">
              <w:t xml:space="preserve"> </w:t>
            </w:r>
            <w:r w:rsidRPr="002029AF">
              <w:t>cent</w:t>
            </w:r>
            <w:r w:rsidR="000A5329" w:rsidRPr="002029AF">
              <w:t xml:space="preserve"> </w:t>
            </w:r>
            <w:r w:rsidRPr="002029AF">
              <w:t>recycled</w:t>
            </w:r>
          </w:p>
        </w:tc>
        <w:tc>
          <w:tcPr>
            <w:tcW w:w="1702" w:type="dxa"/>
            <w:vAlign w:val="center"/>
          </w:tcPr>
          <w:p w14:paraId="1B5CE706" w14:textId="77777777" w:rsidR="00CF72D5" w:rsidRPr="002029AF" w:rsidRDefault="00CF72D5" w:rsidP="00897193">
            <w:pPr>
              <w:pStyle w:val="ARtabletextright"/>
            </w:pPr>
            <w:r w:rsidRPr="002029AF">
              <w:t>94%</w:t>
            </w:r>
          </w:p>
        </w:tc>
        <w:tc>
          <w:tcPr>
            <w:tcW w:w="1702" w:type="dxa"/>
            <w:vAlign w:val="center"/>
          </w:tcPr>
          <w:p w14:paraId="56178BFF" w14:textId="77777777" w:rsidR="00CF72D5" w:rsidRPr="002029AF" w:rsidRDefault="00CF72D5" w:rsidP="00897193">
            <w:pPr>
              <w:pStyle w:val="ARtabletextright"/>
            </w:pPr>
            <w:r w:rsidRPr="002029AF">
              <w:t>93%</w:t>
            </w:r>
          </w:p>
        </w:tc>
        <w:tc>
          <w:tcPr>
            <w:tcW w:w="1702" w:type="dxa"/>
            <w:vAlign w:val="center"/>
          </w:tcPr>
          <w:p w14:paraId="6062A607" w14:textId="77777777" w:rsidR="00CF72D5" w:rsidRPr="002029AF" w:rsidRDefault="00CF72D5" w:rsidP="00897193">
            <w:pPr>
              <w:pStyle w:val="ARtabletextright"/>
            </w:pPr>
            <w:r w:rsidRPr="002029AF">
              <w:t>97%</w:t>
            </w:r>
          </w:p>
        </w:tc>
      </w:tr>
      <w:tr w:rsidR="00CF72D5" w:rsidRPr="002029AF" w14:paraId="23CE19A7" w14:textId="77777777" w:rsidTr="00897193">
        <w:trPr>
          <w:cantSplit/>
        </w:trPr>
        <w:tc>
          <w:tcPr>
            <w:tcW w:w="4538" w:type="dxa"/>
          </w:tcPr>
          <w:p w14:paraId="5DF4C6C0" w14:textId="22842E15" w:rsidR="00CF72D5" w:rsidRPr="002029AF" w:rsidRDefault="00CF72D5" w:rsidP="00897193">
            <w:pPr>
              <w:pStyle w:val="ARtabletext"/>
            </w:pPr>
            <w:r w:rsidRPr="002029AF">
              <w:t>Certified</w:t>
            </w:r>
            <w:r w:rsidR="000A5329" w:rsidRPr="002029AF">
              <w:t xml:space="preserve"> </w:t>
            </w:r>
            <w:r w:rsidRPr="002029AF">
              <w:t>fibre</w:t>
            </w:r>
            <w:r w:rsidR="000A5329" w:rsidRPr="002029AF">
              <w:t xml:space="preserve"> </w:t>
            </w:r>
            <w:r w:rsidRPr="002029AF">
              <w:t>sourcing*</w:t>
            </w:r>
          </w:p>
        </w:tc>
        <w:tc>
          <w:tcPr>
            <w:tcW w:w="1702" w:type="dxa"/>
            <w:vAlign w:val="center"/>
          </w:tcPr>
          <w:p w14:paraId="1279A605" w14:textId="77777777" w:rsidR="00CF72D5" w:rsidRPr="002029AF" w:rsidRDefault="00CF72D5" w:rsidP="00897193">
            <w:pPr>
              <w:pStyle w:val="ARtabletextright"/>
            </w:pPr>
            <w:r w:rsidRPr="002029AF">
              <w:t>100%</w:t>
            </w:r>
          </w:p>
        </w:tc>
        <w:tc>
          <w:tcPr>
            <w:tcW w:w="1702" w:type="dxa"/>
            <w:vAlign w:val="center"/>
          </w:tcPr>
          <w:p w14:paraId="5FE2C15E" w14:textId="77777777" w:rsidR="00CF72D5" w:rsidRPr="002029AF" w:rsidRDefault="00CF72D5" w:rsidP="00897193">
            <w:pPr>
              <w:pStyle w:val="ARtabletextright"/>
            </w:pPr>
            <w:r w:rsidRPr="002029AF">
              <w:t>100%</w:t>
            </w:r>
          </w:p>
        </w:tc>
        <w:tc>
          <w:tcPr>
            <w:tcW w:w="1702" w:type="dxa"/>
            <w:vAlign w:val="center"/>
          </w:tcPr>
          <w:p w14:paraId="19210BCB" w14:textId="77777777" w:rsidR="00CF72D5" w:rsidRPr="002029AF" w:rsidRDefault="00CF72D5" w:rsidP="00897193">
            <w:pPr>
              <w:pStyle w:val="ARtabletextright"/>
            </w:pPr>
            <w:r w:rsidRPr="002029AF">
              <w:t>99%</w:t>
            </w:r>
          </w:p>
        </w:tc>
      </w:tr>
    </w:tbl>
    <w:p w14:paraId="34BAEA45" w14:textId="70F6080B" w:rsidR="00CF72D5" w:rsidRPr="002029AF" w:rsidRDefault="00CF72D5" w:rsidP="00897193">
      <w:pPr>
        <w:pStyle w:val="ARtablefootnote"/>
        <w:spacing w:before="60"/>
      </w:pPr>
      <w:bookmarkStart w:id="192" w:name="_Ref492905747"/>
      <w:bookmarkStart w:id="193" w:name="_Ref525048351"/>
      <w:bookmarkEnd w:id="191"/>
      <w:r w:rsidRPr="002029AF">
        <w:t>Public</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are</w:t>
      </w:r>
      <w:r w:rsidR="000A5329" w:rsidRPr="002029AF">
        <w:t xml:space="preserve"> </w:t>
      </w:r>
      <w:r w:rsidRPr="002029AF">
        <w:t>GST-exempt</w:t>
      </w:r>
      <w:r w:rsidR="000A5329" w:rsidRPr="002029AF">
        <w:t xml:space="preserve"> </w:t>
      </w:r>
      <w:r w:rsidRPr="002029AF">
        <w:t>organisations.</w:t>
      </w:r>
      <w:r w:rsidR="000A5329" w:rsidRPr="002029AF">
        <w:t xml:space="preserve"> </w:t>
      </w:r>
      <w:r w:rsidRPr="002029AF">
        <w:t>Reported</w:t>
      </w:r>
      <w:r w:rsidR="000A5329" w:rsidRPr="002029AF">
        <w:t xml:space="preserve"> </w:t>
      </w:r>
      <w:r w:rsidRPr="002029AF">
        <w:t>cost</w:t>
      </w:r>
      <w:r w:rsidR="000A5329" w:rsidRPr="002029AF">
        <w:t xml:space="preserve"> </w:t>
      </w:r>
      <w:r w:rsidRPr="002029AF">
        <w:t>data</w:t>
      </w:r>
      <w:r w:rsidR="000A5329" w:rsidRPr="002029AF">
        <w:t xml:space="preserve"> </w:t>
      </w:r>
      <w:r w:rsidRPr="002029AF">
        <w:t>for</w:t>
      </w:r>
      <w:r w:rsidR="000A5329" w:rsidRPr="002029AF">
        <w:t xml:space="preserve"> </w:t>
      </w:r>
      <w:r w:rsidRPr="002029AF">
        <w:t>public</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is</w:t>
      </w:r>
      <w:r w:rsidR="000A5329" w:rsidRPr="002029AF">
        <w:t xml:space="preserve"> </w:t>
      </w:r>
      <w:r w:rsidRPr="002029AF">
        <w:t>exclusive</w:t>
      </w:r>
      <w:r w:rsidR="000A5329" w:rsidRPr="002029AF">
        <w:t xml:space="preserve"> </w:t>
      </w:r>
      <w:r w:rsidRPr="002029AF">
        <w:t>of</w:t>
      </w:r>
      <w:r w:rsidR="000A5329" w:rsidRPr="002029AF">
        <w:t xml:space="preserve"> </w:t>
      </w:r>
      <w:r w:rsidRPr="002029AF">
        <w:t>GST.</w:t>
      </w:r>
    </w:p>
    <w:p w14:paraId="01BA214D" w14:textId="3CDD88CD" w:rsidR="00CF72D5" w:rsidRPr="002029AF" w:rsidRDefault="00CF72D5" w:rsidP="00897193">
      <w:pPr>
        <w:pStyle w:val="ARtablefootnote"/>
        <w:spacing w:before="60"/>
      </w:pPr>
      <w:r w:rsidRPr="002029AF">
        <w:t>Paper</w:t>
      </w:r>
      <w:r w:rsidR="000A5329" w:rsidRPr="002029AF">
        <w:t xml:space="preserve"> </w:t>
      </w:r>
      <w:r w:rsidRPr="002029AF">
        <w:t>data</w:t>
      </w:r>
      <w:r w:rsidR="000A5329" w:rsidRPr="002029AF">
        <w:t xml:space="preserve"> </w:t>
      </w:r>
      <w:r w:rsidRPr="002029AF">
        <w:t>is</w:t>
      </w:r>
      <w:r w:rsidR="000A5329" w:rsidRPr="002029AF">
        <w:t xml:space="preserve"> </w:t>
      </w:r>
      <w:r w:rsidRPr="002029AF">
        <w:t>sourced</w:t>
      </w:r>
      <w:r w:rsidR="000A5329" w:rsidRPr="002029AF">
        <w:t xml:space="preserve"> </w:t>
      </w:r>
      <w:r w:rsidRPr="002029AF">
        <w:t>from</w:t>
      </w:r>
      <w:r w:rsidR="000A5329" w:rsidRPr="002029AF">
        <w:t xml:space="preserve"> </w:t>
      </w:r>
      <w:r w:rsidRPr="002029AF">
        <w:t>the</w:t>
      </w:r>
      <w:r w:rsidR="000A5329" w:rsidRPr="002029AF">
        <w:t xml:space="preserve"> </w:t>
      </w:r>
      <w:r w:rsidRPr="002029AF">
        <w:t>statewide</w:t>
      </w:r>
      <w:r w:rsidR="000A5329" w:rsidRPr="002029AF">
        <w:t xml:space="preserve"> </w:t>
      </w:r>
      <w:r w:rsidRPr="002029AF">
        <w:t>stationery</w:t>
      </w:r>
      <w:r w:rsidR="000A5329" w:rsidRPr="002029AF">
        <w:t xml:space="preserve"> </w:t>
      </w:r>
      <w:r w:rsidRPr="002029AF">
        <w:t>contract</w:t>
      </w:r>
      <w:r w:rsidR="000A5329" w:rsidRPr="002029AF">
        <w:t xml:space="preserve"> </w:t>
      </w:r>
      <w:r w:rsidRPr="002029AF">
        <w:t>managed</w:t>
      </w:r>
      <w:r w:rsidR="000A5329" w:rsidRPr="002029AF">
        <w:t xml:space="preserve"> </w:t>
      </w:r>
      <w:r w:rsidRPr="002029AF">
        <w:t>by</w:t>
      </w:r>
      <w:r w:rsidR="000A5329" w:rsidRPr="002029AF">
        <w:t xml:space="preserve"> </w:t>
      </w:r>
      <w:r w:rsidRPr="002029AF">
        <w:t>Health</w:t>
      </w:r>
      <w:r w:rsidR="000A5329" w:rsidRPr="002029AF">
        <w:t xml:space="preserve"> </w:t>
      </w:r>
      <w:r w:rsidRPr="002029AF">
        <w:t>Purchasing</w:t>
      </w:r>
      <w:r w:rsidR="000A5329" w:rsidRPr="002029AF">
        <w:t xml:space="preserve"> </w:t>
      </w:r>
      <w:r w:rsidRPr="002029AF">
        <w:t>Victoria</w:t>
      </w:r>
      <w:r w:rsidR="000A5329" w:rsidRPr="002029AF">
        <w:t xml:space="preserve"> </w:t>
      </w:r>
      <w:r w:rsidRPr="002029AF">
        <w:t>and</w:t>
      </w:r>
      <w:r w:rsidR="000A5329" w:rsidRPr="002029AF">
        <w:t xml:space="preserve"> </w:t>
      </w:r>
      <w:r w:rsidRPr="002029AF">
        <w:t>apportioned</w:t>
      </w:r>
      <w:r w:rsidR="000A5329" w:rsidRPr="002029AF">
        <w:t xml:space="preserve"> </w:t>
      </w:r>
      <w:r w:rsidRPr="002029AF">
        <w:t>by</w:t>
      </w:r>
      <w:r w:rsidR="000A5329" w:rsidRPr="002029AF">
        <w:t xml:space="preserve"> </w:t>
      </w:r>
      <w:r w:rsidRPr="002029AF">
        <w:t>FTE</w:t>
      </w:r>
      <w:r w:rsidR="000A5329" w:rsidRPr="002029AF">
        <w:t xml:space="preserve"> </w:t>
      </w:r>
      <w:r w:rsidRPr="002029AF">
        <w:t>to</w:t>
      </w:r>
      <w:r w:rsidR="000A5329" w:rsidRPr="002029AF">
        <w:t xml:space="preserve"> </w:t>
      </w:r>
      <w:r w:rsidRPr="002029AF">
        <w:t>those</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that</w:t>
      </w:r>
      <w:r w:rsidR="000A5329" w:rsidRPr="002029AF">
        <w:t xml:space="preserve"> </w:t>
      </w:r>
      <w:r w:rsidRPr="002029AF">
        <w:t>do</w:t>
      </w:r>
      <w:r w:rsidR="000A5329" w:rsidRPr="002029AF">
        <w:t xml:space="preserve"> </w:t>
      </w:r>
      <w:r w:rsidRPr="002029AF">
        <w:t>not</w:t>
      </w:r>
      <w:r w:rsidR="000A5329" w:rsidRPr="002029AF">
        <w:t xml:space="preserve"> </w:t>
      </w:r>
      <w:r w:rsidRPr="002029AF">
        <w:t>procure</w:t>
      </w:r>
      <w:r w:rsidR="000A5329" w:rsidRPr="002029AF">
        <w:t xml:space="preserve"> </w:t>
      </w:r>
      <w:r w:rsidRPr="002029AF">
        <w:t>office</w:t>
      </w:r>
      <w:r w:rsidR="000A5329" w:rsidRPr="002029AF">
        <w:t xml:space="preserve"> </w:t>
      </w:r>
      <w:r w:rsidRPr="002029AF">
        <w:t>paper</w:t>
      </w:r>
      <w:r w:rsidR="000A5329" w:rsidRPr="002029AF">
        <w:t xml:space="preserve"> </w:t>
      </w:r>
      <w:r w:rsidRPr="002029AF">
        <w:t>through</w:t>
      </w:r>
      <w:r w:rsidR="000A5329" w:rsidRPr="002029AF">
        <w:t xml:space="preserve"> </w:t>
      </w:r>
      <w:r w:rsidRPr="002029AF">
        <w:t>this</w:t>
      </w:r>
      <w:r w:rsidR="000A5329" w:rsidRPr="002029AF">
        <w:t xml:space="preserve"> </w:t>
      </w:r>
      <w:r w:rsidRPr="002029AF">
        <w:t>contract.</w:t>
      </w:r>
      <w:r w:rsidR="000A5329" w:rsidRPr="002029AF">
        <w:t xml:space="preserve"> </w:t>
      </w:r>
      <w:r w:rsidRPr="002029AF">
        <w:t>FTE</w:t>
      </w:r>
      <w:r w:rsidR="000A5329" w:rsidRPr="002029AF">
        <w:t xml:space="preserve"> </w:t>
      </w:r>
      <w:r w:rsidRPr="002029AF">
        <w:t>is</w:t>
      </w:r>
      <w:r w:rsidR="000A5329" w:rsidRPr="002029AF">
        <w:t xml:space="preserve"> </w:t>
      </w:r>
      <w:r w:rsidRPr="002029AF">
        <w:t>the</w:t>
      </w:r>
      <w:r w:rsidR="000A5329" w:rsidRPr="002029AF">
        <w:t xml:space="preserve"> </w:t>
      </w:r>
      <w:r w:rsidRPr="002029AF">
        <w:t>full-time</w:t>
      </w:r>
      <w:r w:rsidR="000A5329" w:rsidRPr="002029AF">
        <w:t xml:space="preserve"> </w:t>
      </w:r>
      <w:r w:rsidRPr="002029AF">
        <w:t>equivalent</w:t>
      </w:r>
      <w:r w:rsidR="000A5329" w:rsidRPr="002029AF">
        <w:t xml:space="preserve"> </w:t>
      </w:r>
      <w:r w:rsidRPr="002029AF">
        <w:t>staff</w:t>
      </w:r>
      <w:r w:rsidR="000A5329" w:rsidRPr="002029AF">
        <w:t xml:space="preserve"> </w:t>
      </w:r>
      <w:r w:rsidRPr="002029AF">
        <w:t>employed</w:t>
      </w:r>
      <w:r w:rsidR="000A5329" w:rsidRPr="002029AF">
        <w:t xml:space="preserve"> </w:t>
      </w:r>
      <w:r w:rsidRPr="002029AF">
        <w:t>by</w:t>
      </w:r>
      <w:r w:rsidR="000A5329" w:rsidRPr="002029AF">
        <w:t xml:space="preserve"> </w:t>
      </w:r>
      <w:r w:rsidRPr="002029AF">
        <w:t>a</w:t>
      </w:r>
      <w:r w:rsidR="000A5329" w:rsidRPr="002029AF">
        <w:t xml:space="preserve"> </w:t>
      </w:r>
      <w:r w:rsidRPr="002029AF">
        <w:t>public</w:t>
      </w:r>
      <w:r w:rsidR="000A5329" w:rsidRPr="002029AF">
        <w:t xml:space="preserve"> </w:t>
      </w:r>
      <w:r w:rsidRPr="002029AF">
        <w:t>health</w:t>
      </w:r>
      <w:r w:rsidR="000A5329" w:rsidRPr="002029AF">
        <w:t xml:space="preserve"> </w:t>
      </w:r>
      <w:r w:rsidRPr="002029AF">
        <w:t>service</w:t>
      </w:r>
      <w:r w:rsidR="000A5329" w:rsidRPr="002029AF">
        <w:t xml:space="preserve"> </w:t>
      </w:r>
      <w:r w:rsidRPr="002029AF">
        <w:t>as</w:t>
      </w:r>
      <w:r w:rsidR="000A5329" w:rsidRPr="002029AF">
        <w:t xml:space="preserve"> </w:t>
      </w:r>
      <w:r w:rsidRPr="002029AF">
        <w:t>of</w:t>
      </w:r>
      <w:r w:rsidR="000A5329" w:rsidRPr="002029AF">
        <w:t xml:space="preserve"> </w:t>
      </w:r>
      <w:r w:rsidRPr="002029AF">
        <w:t>30</w:t>
      </w:r>
      <w:r w:rsidR="000A5329" w:rsidRPr="002029AF">
        <w:t xml:space="preserve"> </w:t>
      </w:r>
      <w:r w:rsidRPr="002029AF">
        <w:t>June</w:t>
      </w:r>
      <w:r w:rsidR="000A5329" w:rsidRPr="002029AF">
        <w:t xml:space="preserve"> </w:t>
      </w:r>
      <w:r w:rsidRPr="002029AF">
        <w:t>for</w:t>
      </w:r>
      <w:r w:rsidR="000A5329" w:rsidRPr="002029AF">
        <w:t xml:space="preserve"> </w:t>
      </w:r>
      <w:r w:rsidRPr="002029AF">
        <w:t>the</w:t>
      </w:r>
      <w:r w:rsidR="000A5329" w:rsidRPr="002029AF">
        <w:t xml:space="preserve"> </w:t>
      </w:r>
      <w:r w:rsidRPr="002029AF">
        <w:t>financial</w:t>
      </w:r>
      <w:r w:rsidR="000A5329" w:rsidRPr="002029AF">
        <w:t xml:space="preserve"> </w:t>
      </w:r>
      <w:r w:rsidRPr="002029AF">
        <w:t>year.</w:t>
      </w:r>
    </w:p>
    <w:p w14:paraId="5C9C3E58" w14:textId="2BF29384" w:rsidR="00CF72D5" w:rsidRPr="002029AF" w:rsidRDefault="00CF72D5" w:rsidP="00897193">
      <w:pPr>
        <w:pStyle w:val="ARtablefootnote"/>
        <w:spacing w:before="60"/>
      </w:pPr>
      <w:r w:rsidRPr="002029AF">
        <w:t>*</w:t>
      </w:r>
      <w:r w:rsidR="000A5329" w:rsidRPr="002029AF">
        <w:t xml:space="preserve"> </w:t>
      </w:r>
      <w:r w:rsidRPr="002029AF">
        <w:t>Certified</w:t>
      </w:r>
      <w:r w:rsidR="000A5329" w:rsidRPr="002029AF">
        <w:t xml:space="preserve"> </w:t>
      </w:r>
      <w:r w:rsidRPr="002029AF">
        <w:t>fibre</w:t>
      </w:r>
      <w:r w:rsidR="000A5329" w:rsidRPr="002029AF">
        <w:t xml:space="preserve"> </w:t>
      </w:r>
      <w:r w:rsidRPr="002029AF">
        <w:t>sourcing</w:t>
      </w:r>
      <w:r w:rsidR="000A5329" w:rsidRPr="002029AF">
        <w:t xml:space="preserve"> </w:t>
      </w:r>
      <w:r w:rsidRPr="002029AF">
        <w:t>means</w:t>
      </w:r>
      <w:r w:rsidR="000A5329" w:rsidRPr="002029AF">
        <w:t xml:space="preserve"> </w:t>
      </w:r>
      <w:r w:rsidRPr="002029AF">
        <w:t>that</w:t>
      </w:r>
      <w:r w:rsidR="000A5329" w:rsidRPr="002029AF">
        <w:t xml:space="preserve"> </w:t>
      </w:r>
      <w:r w:rsidRPr="002029AF">
        <w:t>the</w:t>
      </w:r>
      <w:r w:rsidR="000A5329" w:rsidRPr="002029AF">
        <w:t xml:space="preserve"> </w:t>
      </w:r>
      <w:r w:rsidRPr="002029AF">
        <w:t>supplier</w:t>
      </w:r>
      <w:r w:rsidR="000A5329" w:rsidRPr="002029AF">
        <w:t xml:space="preserve"> </w:t>
      </w:r>
      <w:r w:rsidRPr="002029AF">
        <w:t>and/or</w:t>
      </w:r>
      <w:r w:rsidR="000A5329" w:rsidRPr="002029AF">
        <w:t xml:space="preserve"> </w:t>
      </w:r>
      <w:r w:rsidRPr="002029AF">
        <w:t>manufacturer</w:t>
      </w:r>
      <w:r w:rsidR="000A5329" w:rsidRPr="002029AF">
        <w:t xml:space="preserve"> </w:t>
      </w:r>
      <w:r w:rsidRPr="002029AF">
        <w:t>has</w:t>
      </w:r>
      <w:r w:rsidR="000A5329" w:rsidRPr="002029AF">
        <w:t xml:space="preserve"> </w:t>
      </w:r>
      <w:r w:rsidRPr="002029AF">
        <w:t>asserted</w:t>
      </w:r>
      <w:r w:rsidR="000A5329" w:rsidRPr="002029AF">
        <w:t xml:space="preserve"> </w:t>
      </w:r>
      <w:r w:rsidRPr="002029AF">
        <w:t>that</w:t>
      </w:r>
      <w:r w:rsidR="000A5329" w:rsidRPr="002029AF">
        <w:t xml:space="preserve"> </w:t>
      </w:r>
      <w:r w:rsidRPr="002029AF">
        <w:t>the</w:t>
      </w:r>
      <w:r w:rsidR="000A5329" w:rsidRPr="002029AF">
        <w:t xml:space="preserve"> </w:t>
      </w:r>
      <w:r w:rsidRPr="002029AF">
        <w:t>fibre</w:t>
      </w:r>
      <w:r w:rsidR="000A5329" w:rsidRPr="002029AF">
        <w:t xml:space="preserve"> </w:t>
      </w:r>
      <w:r w:rsidRPr="002029AF">
        <w:t>sourced</w:t>
      </w:r>
      <w:r w:rsidR="000A5329" w:rsidRPr="002029AF">
        <w:t xml:space="preserve"> </w:t>
      </w:r>
      <w:r w:rsidRPr="002029AF">
        <w:t>for</w:t>
      </w:r>
      <w:r w:rsidR="000A5329" w:rsidRPr="002029AF">
        <w:t xml:space="preserve"> </w:t>
      </w:r>
      <w:r w:rsidRPr="002029AF">
        <w:t>the</w:t>
      </w:r>
      <w:r w:rsidR="000A5329" w:rsidRPr="002029AF">
        <w:t xml:space="preserve"> </w:t>
      </w:r>
      <w:r w:rsidRPr="002029AF">
        <w:t>paper</w:t>
      </w:r>
      <w:r w:rsidR="000A5329" w:rsidRPr="002029AF">
        <w:t xml:space="preserve"> </w:t>
      </w:r>
      <w:r w:rsidRPr="002029AF">
        <w:t>meets</w:t>
      </w:r>
      <w:r w:rsidR="000A5329" w:rsidRPr="002029AF">
        <w:t xml:space="preserve"> </w:t>
      </w:r>
      <w:r w:rsidRPr="002029AF">
        <w:t>either</w:t>
      </w:r>
      <w:r w:rsidR="000A5329" w:rsidRPr="002029AF">
        <w:t xml:space="preserve"> </w:t>
      </w:r>
      <w:r w:rsidRPr="002029AF">
        <w:t>an</w:t>
      </w:r>
      <w:r w:rsidR="000A5329" w:rsidRPr="002029AF">
        <w:t xml:space="preserve"> </w:t>
      </w:r>
      <w:r w:rsidRPr="002029AF">
        <w:t>international</w:t>
      </w:r>
      <w:r w:rsidR="000A5329" w:rsidRPr="002029AF">
        <w:t xml:space="preserve"> </w:t>
      </w:r>
      <w:r w:rsidRPr="002029AF">
        <w:t>Forestry</w:t>
      </w:r>
      <w:r w:rsidR="000A5329" w:rsidRPr="002029AF">
        <w:t xml:space="preserve"> </w:t>
      </w:r>
      <w:r w:rsidRPr="002029AF">
        <w:t>Management</w:t>
      </w:r>
      <w:r w:rsidR="000A5329" w:rsidRPr="002029AF">
        <w:t xml:space="preserve"> </w:t>
      </w:r>
      <w:r w:rsidRPr="002029AF">
        <w:t>standard</w:t>
      </w:r>
      <w:r w:rsidR="000A5329" w:rsidRPr="002029AF">
        <w:t xml:space="preserve"> </w:t>
      </w:r>
      <w:r w:rsidRPr="002029AF">
        <w:t>and</w:t>
      </w:r>
      <w:r w:rsidR="000A5329" w:rsidRPr="002029AF">
        <w:t xml:space="preserve"> </w:t>
      </w:r>
      <w:r w:rsidRPr="002029AF">
        <w:t>has</w:t>
      </w:r>
      <w:r w:rsidR="000A5329" w:rsidRPr="002029AF">
        <w:t xml:space="preserve"> </w:t>
      </w:r>
      <w:r w:rsidRPr="002029AF">
        <w:t>a</w:t>
      </w:r>
      <w:r w:rsidR="000A5329" w:rsidRPr="002029AF">
        <w:t xml:space="preserve"> </w:t>
      </w:r>
      <w:r w:rsidRPr="002029AF">
        <w:t>chain-of-custody</w:t>
      </w:r>
      <w:r w:rsidR="000A5329" w:rsidRPr="002029AF">
        <w:t xml:space="preserve"> </w:t>
      </w:r>
      <w:r w:rsidRPr="002029AF">
        <w:t>certification</w:t>
      </w:r>
      <w:r w:rsidR="000A5329" w:rsidRPr="002029AF">
        <w:t xml:space="preserve"> </w:t>
      </w:r>
      <w:r w:rsidRPr="002029AF">
        <w:t>linking</w:t>
      </w:r>
      <w:r w:rsidR="000A5329" w:rsidRPr="002029AF">
        <w:t xml:space="preserve"> </w:t>
      </w:r>
      <w:r w:rsidRPr="002029AF">
        <w:t>the</w:t>
      </w:r>
      <w:r w:rsidR="000A5329" w:rsidRPr="002029AF">
        <w:t xml:space="preserve"> </w:t>
      </w:r>
      <w:r w:rsidRPr="002029AF">
        <w:t>product</w:t>
      </w:r>
      <w:r w:rsidR="000A5329" w:rsidRPr="002029AF">
        <w:t xml:space="preserve"> </w:t>
      </w:r>
      <w:r w:rsidRPr="002029AF">
        <w:t>and</w:t>
      </w:r>
      <w:r w:rsidR="000A5329" w:rsidRPr="002029AF">
        <w:t xml:space="preserve"> </w:t>
      </w:r>
      <w:r w:rsidRPr="002029AF">
        <w:t>fibre</w:t>
      </w:r>
      <w:r w:rsidR="000A5329" w:rsidRPr="002029AF">
        <w:t xml:space="preserve"> </w:t>
      </w:r>
      <w:r w:rsidRPr="002029AF">
        <w:t>sourcing.</w:t>
      </w:r>
      <w:r w:rsidR="000A5329" w:rsidRPr="002029AF">
        <w:t xml:space="preserve"> </w:t>
      </w:r>
      <w:r w:rsidRPr="002029AF">
        <w:t>Accepted</w:t>
      </w:r>
      <w:r w:rsidR="000A5329" w:rsidRPr="002029AF">
        <w:t xml:space="preserve"> </w:t>
      </w:r>
      <w:r w:rsidRPr="002029AF">
        <w:t>certification</w:t>
      </w:r>
      <w:r w:rsidR="000A5329" w:rsidRPr="002029AF">
        <w:t xml:space="preserve"> </w:t>
      </w:r>
      <w:r w:rsidRPr="002029AF">
        <w:t>schemes</w:t>
      </w:r>
      <w:r w:rsidR="000A5329" w:rsidRPr="002029AF">
        <w:t xml:space="preserve"> </w:t>
      </w:r>
      <w:r w:rsidRPr="002029AF">
        <w:t>are</w:t>
      </w:r>
      <w:r w:rsidR="000A5329" w:rsidRPr="002029AF">
        <w:t xml:space="preserve"> </w:t>
      </w:r>
      <w:r w:rsidRPr="002029AF">
        <w:t>the</w:t>
      </w:r>
      <w:r w:rsidR="000A5329" w:rsidRPr="002029AF">
        <w:t xml:space="preserve"> </w:t>
      </w:r>
      <w:r w:rsidRPr="002029AF">
        <w:t>Forestry</w:t>
      </w:r>
      <w:r w:rsidR="000A5329" w:rsidRPr="002029AF">
        <w:t xml:space="preserve"> </w:t>
      </w:r>
      <w:r w:rsidRPr="002029AF">
        <w:t>Stewardship</w:t>
      </w:r>
      <w:r w:rsidR="000A5329" w:rsidRPr="002029AF">
        <w:t xml:space="preserve"> </w:t>
      </w:r>
      <w:r w:rsidRPr="002029AF">
        <w:t>Council,</w:t>
      </w:r>
      <w:r w:rsidR="000A5329" w:rsidRPr="002029AF">
        <w:t xml:space="preserve"> </w:t>
      </w:r>
      <w:r w:rsidRPr="002029AF">
        <w:t>Australian</w:t>
      </w:r>
      <w:r w:rsidR="000A5329" w:rsidRPr="002029AF">
        <w:t xml:space="preserve"> </w:t>
      </w:r>
      <w:r w:rsidRPr="002029AF">
        <w:t>Forestry</w:t>
      </w:r>
      <w:r w:rsidR="000A5329" w:rsidRPr="002029AF">
        <w:t xml:space="preserve"> </w:t>
      </w:r>
      <w:r w:rsidRPr="002029AF">
        <w:t>Standard</w:t>
      </w:r>
      <w:r w:rsidR="000A5329" w:rsidRPr="002029AF">
        <w:t xml:space="preserve"> </w:t>
      </w:r>
      <w:r w:rsidRPr="002029AF">
        <w:t>or</w:t>
      </w:r>
      <w:r w:rsidR="000A5329" w:rsidRPr="002029AF">
        <w:t xml:space="preserve"> </w:t>
      </w:r>
      <w:r w:rsidRPr="002029AF">
        <w:t>other</w:t>
      </w:r>
      <w:r w:rsidR="000A5329" w:rsidRPr="002029AF">
        <w:t xml:space="preserve"> </w:t>
      </w:r>
      <w:r w:rsidRPr="002029AF">
        <w:t>country-specific</w:t>
      </w:r>
      <w:r w:rsidR="000A5329" w:rsidRPr="002029AF">
        <w:t xml:space="preserve"> </w:t>
      </w:r>
      <w:r w:rsidRPr="002029AF">
        <w:t>standards</w:t>
      </w:r>
      <w:r w:rsidR="000A5329" w:rsidRPr="002029AF">
        <w:t xml:space="preserve"> </w:t>
      </w:r>
      <w:r w:rsidRPr="002029AF">
        <w:t>endorsed</w:t>
      </w:r>
      <w:r w:rsidR="000A5329" w:rsidRPr="002029AF">
        <w:t xml:space="preserve"> </w:t>
      </w:r>
      <w:r w:rsidRPr="002029AF">
        <w:t>by</w:t>
      </w:r>
      <w:r w:rsidR="000A5329" w:rsidRPr="002029AF">
        <w:t xml:space="preserve"> </w:t>
      </w:r>
      <w:r w:rsidRPr="002029AF">
        <w:t>the</w:t>
      </w:r>
      <w:r w:rsidR="000A5329" w:rsidRPr="002029AF">
        <w:t xml:space="preserve"> </w:t>
      </w:r>
      <w:r w:rsidRPr="002029AF">
        <w:t>Programme</w:t>
      </w:r>
      <w:r w:rsidR="000A5329" w:rsidRPr="002029AF">
        <w:t xml:space="preserve"> </w:t>
      </w:r>
      <w:r w:rsidRPr="002029AF">
        <w:t>for</w:t>
      </w:r>
      <w:r w:rsidR="000A5329" w:rsidRPr="002029AF">
        <w:t xml:space="preserve"> </w:t>
      </w:r>
      <w:r w:rsidRPr="002029AF">
        <w:t>the</w:t>
      </w:r>
      <w:r w:rsidR="000A5329" w:rsidRPr="002029AF">
        <w:t xml:space="preserve"> </w:t>
      </w:r>
      <w:r w:rsidRPr="002029AF">
        <w:t>Endorsement</w:t>
      </w:r>
      <w:r w:rsidR="000A5329" w:rsidRPr="002029AF">
        <w:t xml:space="preserve"> </w:t>
      </w:r>
      <w:r w:rsidRPr="002029AF">
        <w:t>of</w:t>
      </w:r>
      <w:r w:rsidR="000A5329" w:rsidRPr="002029AF">
        <w:t xml:space="preserve"> </w:t>
      </w:r>
      <w:r w:rsidRPr="002029AF">
        <w:t>Forest</w:t>
      </w:r>
      <w:r w:rsidR="000A5329" w:rsidRPr="002029AF">
        <w:t xml:space="preserve"> </w:t>
      </w:r>
      <w:r w:rsidRPr="002029AF">
        <w:t>Certification.</w:t>
      </w:r>
    </w:p>
    <w:p w14:paraId="711098B9" w14:textId="31256193" w:rsidR="00CF72D5" w:rsidRPr="002029AF" w:rsidRDefault="00CF72D5" w:rsidP="00961519">
      <w:pPr>
        <w:pStyle w:val="Heading4"/>
        <w:spacing w:before="400" w:after="160"/>
        <w:rPr>
          <w:rFonts w:ascii="Arial Bold" w:hAnsi="Arial Bold" w:hint="eastAsia"/>
          <w:color w:val="87189D"/>
        </w:rPr>
      </w:pPr>
      <w:bookmarkStart w:id="194" w:name="_Ref21957068"/>
      <w:bookmarkStart w:id="195" w:name="_Toc51786529"/>
      <w:r w:rsidRPr="002029AF">
        <w:rPr>
          <w:rFonts w:ascii="Arial Bold" w:hAnsi="Arial Bold"/>
          <w:color w:val="87189D"/>
        </w:rPr>
        <w:t>National</w:t>
      </w:r>
      <w:r w:rsidR="000A5329" w:rsidRPr="002029AF">
        <w:rPr>
          <w:rFonts w:ascii="Arial Bold" w:hAnsi="Arial Bold"/>
          <w:color w:val="87189D"/>
        </w:rPr>
        <w:t xml:space="preserve"> </w:t>
      </w:r>
      <w:r w:rsidRPr="002029AF">
        <w:rPr>
          <w:rFonts w:ascii="Arial Bold" w:hAnsi="Arial Bold"/>
          <w:color w:val="87189D"/>
        </w:rPr>
        <w:t>pollutant</w:t>
      </w:r>
      <w:r w:rsidR="000A5329" w:rsidRPr="002029AF">
        <w:rPr>
          <w:rFonts w:ascii="Arial Bold" w:hAnsi="Arial Bold"/>
          <w:color w:val="87189D"/>
        </w:rPr>
        <w:t xml:space="preserve"> </w:t>
      </w:r>
      <w:r w:rsidRPr="002029AF">
        <w:rPr>
          <w:rFonts w:ascii="Arial Bold" w:hAnsi="Arial Bold"/>
          <w:color w:val="87189D"/>
        </w:rPr>
        <w:t>inventory</w:t>
      </w:r>
      <w:bookmarkEnd w:id="192"/>
      <w:bookmarkEnd w:id="193"/>
      <w:bookmarkEnd w:id="194"/>
      <w:bookmarkEnd w:id="195"/>
    </w:p>
    <w:p w14:paraId="24BFF17C" w14:textId="2DE84769" w:rsidR="00CF72D5" w:rsidRPr="002029AF" w:rsidRDefault="00CF72D5" w:rsidP="00897193">
      <w:pPr>
        <w:pStyle w:val="ARbody"/>
      </w:pPr>
      <w:r w:rsidRPr="002029AF">
        <w:t>The</w:t>
      </w:r>
      <w:r w:rsidR="000A5329" w:rsidRPr="002029AF">
        <w:t xml:space="preserve"> </w:t>
      </w:r>
      <w:r w:rsidRPr="002029AF">
        <w:t>Commonwealth</w:t>
      </w:r>
      <w:r w:rsidR="000A5329" w:rsidRPr="002029AF">
        <w:t xml:space="preserve"> </w:t>
      </w:r>
      <w:r w:rsidRPr="002029AF">
        <w:t>National</w:t>
      </w:r>
      <w:r w:rsidR="000A5329" w:rsidRPr="002029AF">
        <w:t xml:space="preserve"> </w:t>
      </w:r>
      <w:r w:rsidRPr="002029AF">
        <w:t>Pollutant</w:t>
      </w:r>
      <w:r w:rsidR="000A5329" w:rsidRPr="002029AF">
        <w:t xml:space="preserve"> </w:t>
      </w:r>
      <w:r w:rsidRPr="002029AF">
        <w:t>Inventory</w:t>
      </w:r>
      <w:r w:rsidR="000A5329" w:rsidRPr="002029AF">
        <w:t xml:space="preserve"> </w:t>
      </w:r>
      <w:r w:rsidRPr="002029AF">
        <w:t>(NPI)</w:t>
      </w:r>
      <w:r w:rsidR="000A5329" w:rsidRPr="002029AF">
        <w:t xml:space="preserve"> </w:t>
      </w:r>
      <w:r w:rsidRPr="002029AF">
        <w:t>provides</w:t>
      </w:r>
      <w:r w:rsidR="000A5329" w:rsidRPr="002029AF">
        <w:t xml:space="preserve"> </w:t>
      </w:r>
      <w:r w:rsidRPr="002029AF">
        <w:t>the</w:t>
      </w:r>
      <w:r w:rsidR="000A5329" w:rsidRPr="002029AF">
        <w:t xml:space="preserve"> </w:t>
      </w:r>
      <w:r w:rsidRPr="002029AF">
        <w:t>community,</w:t>
      </w:r>
      <w:r w:rsidR="000A5329" w:rsidRPr="002029AF">
        <w:t xml:space="preserve"> </w:t>
      </w:r>
      <w:r w:rsidRPr="002029AF">
        <w:t>industry</w:t>
      </w:r>
      <w:r w:rsidR="000A5329" w:rsidRPr="002029AF">
        <w:t xml:space="preserve"> </w:t>
      </w:r>
      <w:r w:rsidRPr="002029AF">
        <w:t>and</w:t>
      </w:r>
      <w:r w:rsidR="000A5329" w:rsidRPr="002029AF">
        <w:t xml:space="preserve"> </w:t>
      </w:r>
      <w:r w:rsidRPr="002029AF">
        <w:t>government</w:t>
      </w:r>
      <w:r w:rsidR="000A5329" w:rsidRPr="002029AF">
        <w:t xml:space="preserve"> </w:t>
      </w:r>
      <w:r w:rsidRPr="002029AF">
        <w:t>with</w:t>
      </w:r>
      <w:r w:rsidR="000A5329" w:rsidRPr="002029AF">
        <w:t xml:space="preserve"> </w:t>
      </w:r>
      <w:r w:rsidRPr="002029AF">
        <w:t>information</w:t>
      </w:r>
      <w:r w:rsidR="000A5329" w:rsidRPr="002029AF">
        <w:t xml:space="preserve"> </w:t>
      </w:r>
      <w:r w:rsidRPr="002029AF">
        <w:t>on</w:t>
      </w:r>
      <w:r w:rsidR="000A5329" w:rsidRPr="002029AF">
        <w:t xml:space="preserve"> </w:t>
      </w:r>
      <w:r w:rsidRPr="002029AF">
        <w:t>substances</w:t>
      </w:r>
      <w:r w:rsidR="000A5329" w:rsidRPr="002029AF">
        <w:t xml:space="preserve"> </w:t>
      </w:r>
      <w:r w:rsidRPr="002029AF">
        <w:t>emitted</w:t>
      </w:r>
      <w:r w:rsidR="000A5329" w:rsidRPr="002029AF">
        <w:t xml:space="preserve"> </w:t>
      </w:r>
      <w:r w:rsidRPr="002029AF">
        <w:t>to</w:t>
      </w:r>
      <w:r w:rsidR="000A5329" w:rsidRPr="002029AF">
        <w:t xml:space="preserve"> </w:t>
      </w:r>
      <w:r w:rsidRPr="002029AF">
        <w:t>the</w:t>
      </w:r>
      <w:r w:rsidR="000A5329" w:rsidRPr="002029AF">
        <w:t xml:space="preserve"> </w:t>
      </w:r>
      <w:r w:rsidRPr="002029AF">
        <w:t>air,</w:t>
      </w:r>
      <w:r w:rsidR="000A5329" w:rsidRPr="002029AF">
        <w:t xml:space="preserve"> </w:t>
      </w:r>
      <w:r w:rsidRPr="002029AF">
        <w:t>land</w:t>
      </w:r>
      <w:r w:rsidR="000A5329" w:rsidRPr="002029AF">
        <w:t xml:space="preserve"> </w:t>
      </w:r>
      <w:r w:rsidRPr="002029AF">
        <w:t>and</w:t>
      </w:r>
      <w:r w:rsidR="000A5329" w:rsidRPr="002029AF">
        <w:t xml:space="preserve"> </w:t>
      </w:r>
      <w:r w:rsidRPr="002029AF">
        <w:t>water.</w:t>
      </w:r>
      <w:r w:rsidR="000A5329" w:rsidRPr="002029AF">
        <w:t xml:space="preserve"> </w:t>
      </w:r>
      <w:r w:rsidRPr="002029AF">
        <w:t>The</w:t>
      </w:r>
      <w:r w:rsidR="000A5329" w:rsidRPr="002029AF">
        <w:t xml:space="preserve"> </w:t>
      </w:r>
      <w:r w:rsidRPr="002029AF">
        <w:t>inventory</w:t>
      </w:r>
      <w:r w:rsidR="000A5329" w:rsidRPr="002029AF">
        <w:t xml:space="preserve"> </w:t>
      </w:r>
      <w:r w:rsidRPr="002029AF">
        <w:t>tracks</w:t>
      </w:r>
      <w:r w:rsidR="000A5329" w:rsidRPr="002029AF">
        <w:t xml:space="preserve"> </w:t>
      </w:r>
      <w:r w:rsidRPr="002029AF">
        <w:t>the</w:t>
      </w:r>
      <w:r w:rsidR="000A5329" w:rsidRPr="002029AF">
        <w:t xml:space="preserve"> </w:t>
      </w:r>
      <w:r w:rsidRPr="002029AF">
        <w:t>amount,</w:t>
      </w:r>
      <w:r w:rsidR="000A5329" w:rsidRPr="002029AF">
        <w:t xml:space="preserve"> </w:t>
      </w:r>
      <w:r w:rsidRPr="002029AF">
        <w:t>in</w:t>
      </w:r>
      <w:r w:rsidR="000A5329" w:rsidRPr="002029AF">
        <w:t xml:space="preserve"> </w:t>
      </w:r>
      <w:r w:rsidRPr="002029AF">
        <w:t>kilograms,</w:t>
      </w:r>
      <w:r w:rsidR="000A5329" w:rsidRPr="002029AF">
        <w:t xml:space="preserve"> </w:t>
      </w:r>
      <w:r w:rsidRPr="002029AF">
        <w:t>of</w:t>
      </w:r>
      <w:r w:rsidR="000A5329" w:rsidRPr="002029AF">
        <w:t xml:space="preserve"> </w:t>
      </w:r>
      <w:r w:rsidRPr="002029AF">
        <w:t>substances</w:t>
      </w:r>
      <w:r w:rsidR="000A5329" w:rsidRPr="002029AF">
        <w:t xml:space="preserve"> </w:t>
      </w:r>
      <w:r w:rsidRPr="002029AF">
        <w:t>emitted</w:t>
      </w:r>
      <w:r w:rsidR="000A5329" w:rsidRPr="002029AF">
        <w:t xml:space="preserve"> </w:t>
      </w:r>
      <w:r w:rsidRPr="002029AF">
        <w:t>by</w:t>
      </w:r>
      <w:r w:rsidR="000A5329" w:rsidRPr="002029AF">
        <w:t xml:space="preserve"> </w:t>
      </w:r>
      <w:r w:rsidRPr="002029AF">
        <w:t>organisations</w:t>
      </w:r>
      <w:r w:rsidR="000A5329" w:rsidRPr="002029AF">
        <w:t xml:space="preserve"> </w:t>
      </w:r>
      <w:r w:rsidRPr="002029AF">
        <w:t>that</w:t>
      </w:r>
      <w:r w:rsidR="000A5329" w:rsidRPr="002029AF">
        <w:t xml:space="preserve"> </w:t>
      </w:r>
      <w:r w:rsidRPr="002029AF">
        <w:t>trigger</w:t>
      </w:r>
      <w:r w:rsidR="000A5329" w:rsidRPr="002029AF">
        <w:t xml:space="preserve"> </w:t>
      </w:r>
      <w:r w:rsidRPr="002029AF">
        <w:t>the</w:t>
      </w:r>
      <w:r w:rsidR="000A5329" w:rsidRPr="002029AF">
        <w:t xml:space="preserve"> </w:t>
      </w:r>
      <w:r w:rsidRPr="002029AF">
        <w:t>reporting</w:t>
      </w:r>
      <w:r w:rsidR="000A5329" w:rsidRPr="002029AF">
        <w:t xml:space="preserve"> </w:t>
      </w:r>
      <w:r w:rsidRPr="002029AF">
        <w:t>threshold.</w:t>
      </w:r>
      <w:r w:rsidR="000A5329" w:rsidRPr="002029AF">
        <w:t xml:space="preserve"> </w:t>
      </w:r>
      <w:r w:rsidRPr="002029AF">
        <w:t>The</w:t>
      </w:r>
      <w:r w:rsidR="000A5329" w:rsidRPr="002029AF">
        <w:t xml:space="preserve"> </w:t>
      </w:r>
      <w:r w:rsidRPr="002029AF">
        <w:t>table</w:t>
      </w:r>
      <w:r w:rsidR="000A5329" w:rsidRPr="002029AF">
        <w:t xml:space="preserve"> </w:t>
      </w:r>
      <w:r w:rsidRPr="002029AF">
        <w:t>below</w:t>
      </w:r>
      <w:r w:rsidR="000A5329" w:rsidRPr="002029AF">
        <w:t xml:space="preserve"> </w:t>
      </w:r>
      <w:r w:rsidRPr="002029AF">
        <w:t>is</w:t>
      </w:r>
      <w:r w:rsidR="000A5329" w:rsidRPr="002029AF">
        <w:t xml:space="preserve"> </w:t>
      </w:r>
      <w:r w:rsidRPr="002029AF">
        <w:t>an</w:t>
      </w:r>
      <w:r w:rsidR="000A5329" w:rsidRPr="002029AF">
        <w:t xml:space="preserve"> </w:t>
      </w:r>
      <w:r w:rsidRPr="002029AF">
        <w:t>aggregation</w:t>
      </w:r>
      <w:r w:rsidR="000A5329" w:rsidRPr="002029AF">
        <w:t xml:space="preserve"> </w:t>
      </w:r>
      <w:r w:rsidRPr="002029AF">
        <w:t>of</w:t>
      </w:r>
      <w:r w:rsidR="000A5329" w:rsidRPr="002029AF">
        <w:t xml:space="preserve"> </w:t>
      </w:r>
      <w:r w:rsidRPr="002029AF">
        <w:t>substances</w:t>
      </w:r>
      <w:r w:rsidR="000A5329" w:rsidRPr="002029AF">
        <w:t xml:space="preserve"> </w:t>
      </w:r>
      <w:r w:rsidRPr="002029AF">
        <w:t>reported</w:t>
      </w:r>
      <w:r w:rsidR="000A5329" w:rsidRPr="002029AF">
        <w:t xml:space="preserve"> </w:t>
      </w:r>
      <w:r w:rsidRPr="002029AF">
        <w:t>by</w:t>
      </w:r>
      <w:r w:rsidR="000A5329" w:rsidRPr="002029AF">
        <w:t xml:space="preserve"> </w:t>
      </w:r>
      <w:r w:rsidRPr="002029AF">
        <w:t>Victorian</w:t>
      </w:r>
      <w:r w:rsidR="000A5329" w:rsidRPr="002029AF">
        <w:t xml:space="preserve"> </w:t>
      </w:r>
      <w:r w:rsidRPr="002029AF">
        <w:t>public</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through</w:t>
      </w:r>
      <w:r w:rsidR="000A5329" w:rsidRPr="002029AF">
        <w:t xml:space="preserve"> </w:t>
      </w:r>
      <w:r w:rsidRPr="002029AF">
        <w:t>the</w:t>
      </w:r>
      <w:r w:rsidR="000A5329" w:rsidRPr="002029AF">
        <w:t xml:space="preserve"> </w:t>
      </w:r>
      <w:r w:rsidRPr="002029AF">
        <w:t>NPI.</w:t>
      </w:r>
    </w:p>
    <w:tbl>
      <w:tblPr>
        <w:tblW w:w="9616" w:type="dxa"/>
        <w:tblInd w:w="10" w:type="dxa"/>
        <w:tblBorders>
          <w:insideH w:val="single" w:sz="4" w:space="0" w:color="000000" w:themeColor="text1"/>
        </w:tblBorders>
        <w:tblLayout w:type="fixed"/>
        <w:tblCellMar>
          <w:left w:w="0" w:type="dxa"/>
        </w:tblCellMar>
        <w:tblLook w:val="00A0" w:firstRow="1" w:lastRow="0" w:firstColumn="1" w:lastColumn="0" w:noHBand="0" w:noVBand="0"/>
      </w:tblPr>
      <w:tblGrid>
        <w:gridCol w:w="4525"/>
        <w:gridCol w:w="1697"/>
        <w:gridCol w:w="1697"/>
        <w:gridCol w:w="1697"/>
      </w:tblGrid>
      <w:tr w:rsidR="00CF72D5" w:rsidRPr="002029AF" w14:paraId="3BAB85D8" w14:textId="77777777" w:rsidTr="00325283">
        <w:trPr>
          <w:cantSplit/>
          <w:tblHeader/>
        </w:trPr>
        <w:tc>
          <w:tcPr>
            <w:tcW w:w="4525" w:type="dxa"/>
            <w:tcBorders>
              <w:top w:val="nil"/>
              <w:left w:val="single" w:sz="4" w:space="0" w:color="FFFFFF" w:themeColor="background1"/>
              <w:bottom w:val="single" w:sz="4" w:space="0" w:color="000000" w:themeColor="text1"/>
              <w:right w:val="single" w:sz="4" w:space="0" w:color="FFFFFF" w:themeColor="background1"/>
            </w:tcBorders>
            <w:vAlign w:val="bottom"/>
          </w:tcPr>
          <w:p w14:paraId="729FFAAF" w14:textId="77777777" w:rsidR="00CF72D5" w:rsidRPr="002029AF" w:rsidRDefault="00CF72D5" w:rsidP="00897193">
            <w:pPr>
              <w:pStyle w:val="ARtablecolhead"/>
              <w:spacing w:line="240" w:lineRule="auto"/>
            </w:pPr>
            <w:r w:rsidRPr="002029AF">
              <w:t>Description</w:t>
            </w:r>
          </w:p>
        </w:tc>
        <w:tc>
          <w:tcPr>
            <w:tcW w:w="1697" w:type="dxa"/>
            <w:tcBorders>
              <w:top w:val="nil"/>
              <w:left w:val="single" w:sz="4" w:space="0" w:color="FFFFFF" w:themeColor="background1"/>
              <w:bottom w:val="single" w:sz="4" w:space="0" w:color="000000" w:themeColor="text1"/>
              <w:right w:val="single" w:sz="4" w:space="0" w:color="FFFFFF" w:themeColor="background1"/>
            </w:tcBorders>
            <w:vAlign w:val="bottom"/>
          </w:tcPr>
          <w:p w14:paraId="7E610734" w14:textId="3388F4B4" w:rsidR="00CF72D5" w:rsidRPr="002029AF" w:rsidRDefault="00CF72D5" w:rsidP="00897193">
            <w:pPr>
              <w:pStyle w:val="ARtablecolheadright"/>
            </w:pPr>
            <w:r w:rsidRPr="002029AF">
              <w:rPr>
                <w:color w:val="000000"/>
              </w:rPr>
              <w:t>2019–20</w:t>
            </w:r>
            <w:r w:rsidR="000A5329" w:rsidRPr="002029AF">
              <w:rPr>
                <w:color w:val="000000"/>
              </w:rPr>
              <w:t xml:space="preserve"> </w:t>
            </w:r>
            <w:r w:rsidRPr="002029AF">
              <w:rPr>
                <w:color w:val="000000"/>
              </w:rPr>
              <w:t>estimate</w:t>
            </w:r>
          </w:p>
        </w:tc>
        <w:tc>
          <w:tcPr>
            <w:tcW w:w="1697" w:type="dxa"/>
            <w:tcBorders>
              <w:top w:val="nil"/>
              <w:left w:val="single" w:sz="4" w:space="0" w:color="FFFFFF" w:themeColor="background1"/>
              <w:bottom w:val="single" w:sz="4" w:space="0" w:color="000000" w:themeColor="text1"/>
              <w:right w:val="single" w:sz="4" w:space="0" w:color="FFFFFF" w:themeColor="background1"/>
            </w:tcBorders>
            <w:vAlign w:val="bottom"/>
          </w:tcPr>
          <w:p w14:paraId="6B5E4B00" w14:textId="7E014154" w:rsidR="00CF72D5" w:rsidRPr="002029AF" w:rsidRDefault="00CF72D5" w:rsidP="00897193">
            <w:pPr>
              <w:pStyle w:val="ARtablecolheadright"/>
            </w:pPr>
            <w:r w:rsidRPr="002029AF">
              <w:rPr>
                <w:color w:val="000000"/>
              </w:rPr>
              <w:t>2018–19</w:t>
            </w:r>
            <w:r w:rsidR="000A5329" w:rsidRPr="002029AF">
              <w:rPr>
                <w:color w:val="000000"/>
              </w:rPr>
              <w:t xml:space="preserve"> </w:t>
            </w:r>
            <w:r w:rsidRPr="002029AF">
              <w:rPr>
                <w:color w:val="000000"/>
              </w:rPr>
              <w:t>estimate</w:t>
            </w:r>
          </w:p>
        </w:tc>
        <w:tc>
          <w:tcPr>
            <w:tcW w:w="1697" w:type="dxa"/>
            <w:tcBorders>
              <w:top w:val="nil"/>
              <w:left w:val="single" w:sz="4" w:space="0" w:color="FFFFFF" w:themeColor="background1"/>
              <w:bottom w:val="single" w:sz="4" w:space="0" w:color="000000" w:themeColor="text1"/>
              <w:right w:val="single" w:sz="4" w:space="0" w:color="FFFFFF" w:themeColor="background1"/>
            </w:tcBorders>
            <w:vAlign w:val="bottom"/>
          </w:tcPr>
          <w:p w14:paraId="1B703B9C" w14:textId="1C37DA01" w:rsidR="00CF72D5" w:rsidRPr="002029AF" w:rsidRDefault="00CF72D5" w:rsidP="00897193">
            <w:pPr>
              <w:pStyle w:val="ARtablecolheadright"/>
            </w:pPr>
            <w:r w:rsidRPr="002029AF">
              <w:rPr>
                <w:color w:val="000000"/>
              </w:rPr>
              <w:t>2017–18</w:t>
            </w:r>
            <w:r w:rsidR="000A5329" w:rsidRPr="002029AF">
              <w:rPr>
                <w:color w:val="000000"/>
              </w:rPr>
              <w:t xml:space="preserve"> </w:t>
            </w:r>
            <w:r w:rsidRPr="002029AF">
              <w:rPr>
                <w:color w:val="000000"/>
              </w:rPr>
              <w:t>estimate</w:t>
            </w:r>
          </w:p>
        </w:tc>
      </w:tr>
      <w:tr w:rsidR="00CF72D5" w:rsidRPr="002029AF" w14:paraId="4AD6A00B" w14:textId="77777777" w:rsidTr="00325283">
        <w:tblPrEx>
          <w:tblBorders>
            <w:left w:val="single" w:sz="4" w:space="0" w:color="FFFFFF"/>
            <w:bottom w:val="single" w:sz="4" w:space="0" w:color="auto"/>
            <w:right w:val="single" w:sz="4" w:space="0" w:color="FFFFFF"/>
            <w:insideH w:val="single" w:sz="4" w:space="0" w:color="auto"/>
            <w:insideV w:val="single" w:sz="4" w:space="0" w:color="FFFFFF"/>
          </w:tblBorders>
        </w:tblPrEx>
        <w:trPr>
          <w:cantSplit/>
          <w:tblHeader/>
        </w:trPr>
        <w:tc>
          <w:tcPr>
            <w:tcW w:w="4525" w:type="dxa"/>
            <w:vAlign w:val="bottom"/>
          </w:tcPr>
          <w:p w14:paraId="3E3A95D2" w14:textId="20B44122" w:rsidR="00CF72D5" w:rsidRPr="002029AF" w:rsidRDefault="00CF72D5" w:rsidP="00897193">
            <w:pPr>
              <w:pStyle w:val="ARtablecolhead"/>
            </w:pPr>
            <w:r w:rsidRPr="002029AF">
              <w:t>Total</w:t>
            </w:r>
            <w:r w:rsidR="000A5329" w:rsidRPr="002029AF">
              <w:t xml:space="preserve"> </w:t>
            </w:r>
            <w:r w:rsidRPr="002029AF">
              <w:t>units</w:t>
            </w:r>
            <w:r w:rsidR="000A5329" w:rsidRPr="002029AF">
              <w:t xml:space="preserve"> </w:t>
            </w:r>
            <w:r w:rsidRPr="002029AF">
              <w:t>of</w:t>
            </w:r>
            <w:r w:rsidR="000A5329" w:rsidRPr="002029AF">
              <w:t xml:space="preserve"> </w:t>
            </w:r>
            <w:r w:rsidRPr="002029AF">
              <w:t>national</w:t>
            </w:r>
            <w:r w:rsidR="000A5329" w:rsidRPr="002029AF">
              <w:t xml:space="preserve"> </w:t>
            </w:r>
            <w:r w:rsidRPr="002029AF">
              <w:t>pollutant</w:t>
            </w:r>
            <w:r w:rsidR="000A5329" w:rsidRPr="002029AF">
              <w:t xml:space="preserve"> </w:t>
            </w:r>
            <w:r w:rsidRPr="002029AF">
              <w:t>inventory</w:t>
            </w:r>
            <w:r w:rsidR="000A5329" w:rsidRPr="002029AF">
              <w:t xml:space="preserve"> </w:t>
            </w:r>
            <w:r w:rsidRPr="002029AF">
              <w:t>substances</w:t>
            </w:r>
            <w:r w:rsidR="000A5329" w:rsidRPr="002029AF">
              <w:t xml:space="preserve"> </w:t>
            </w:r>
            <w:r w:rsidRPr="002029AF">
              <w:t>emitted</w:t>
            </w:r>
          </w:p>
        </w:tc>
        <w:tc>
          <w:tcPr>
            <w:tcW w:w="1697" w:type="dxa"/>
            <w:vAlign w:val="bottom"/>
          </w:tcPr>
          <w:p w14:paraId="689277C6" w14:textId="77777777" w:rsidR="00CF72D5" w:rsidRPr="002029AF" w:rsidRDefault="00CF72D5" w:rsidP="00897193">
            <w:pPr>
              <w:pStyle w:val="ARtablecolheadright"/>
            </w:pPr>
            <w:r w:rsidRPr="002029AF">
              <w:t>Emissions</w:t>
            </w:r>
          </w:p>
          <w:p w14:paraId="5609C2A4" w14:textId="77777777" w:rsidR="00CF72D5" w:rsidRPr="002029AF" w:rsidRDefault="00CF72D5" w:rsidP="00897193">
            <w:pPr>
              <w:pStyle w:val="ARtablecolheadright"/>
            </w:pPr>
            <w:r w:rsidRPr="002029AF">
              <w:t>(kilograms)</w:t>
            </w:r>
          </w:p>
        </w:tc>
        <w:tc>
          <w:tcPr>
            <w:tcW w:w="1697" w:type="dxa"/>
            <w:vAlign w:val="bottom"/>
          </w:tcPr>
          <w:p w14:paraId="4F7CF401" w14:textId="77777777" w:rsidR="00CF72D5" w:rsidRPr="002029AF" w:rsidRDefault="00CF72D5" w:rsidP="00897193">
            <w:pPr>
              <w:pStyle w:val="ARtablecolheadright"/>
            </w:pPr>
            <w:r w:rsidRPr="002029AF">
              <w:t>Emissions</w:t>
            </w:r>
          </w:p>
          <w:p w14:paraId="07A9AFD2" w14:textId="77777777" w:rsidR="00CF72D5" w:rsidRPr="002029AF" w:rsidRDefault="00CF72D5" w:rsidP="00897193">
            <w:pPr>
              <w:pStyle w:val="ARtablecolheadright"/>
            </w:pPr>
            <w:r w:rsidRPr="002029AF">
              <w:t>(kilograms)</w:t>
            </w:r>
          </w:p>
        </w:tc>
        <w:tc>
          <w:tcPr>
            <w:tcW w:w="1697" w:type="dxa"/>
            <w:vAlign w:val="bottom"/>
          </w:tcPr>
          <w:p w14:paraId="13CABC85" w14:textId="77777777" w:rsidR="00CF72D5" w:rsidRPr="002029AF" w:rsidRDefault="00CF72D5" w:rsidP="00897193">
            <w:pPr>
              <w:pStyle w:val="ARtablecolheadright"/>
            </w:pPr>
            <w:r w:rsidRPr="002029AF">
              <w:t>Emissions</w:t>
            </w:r>
          </w:p>
          <w:p w14:paraId="63AEFAC1" w14:textId="77777777" w:rsidR="00CF72D5" w:rsidRPr="002029AF" w:rsidRDefault="00CF72D5" w:rsidP="00897193">
            <w:pPr>
              <w:pStyle w:val="ARtablecolheadright"/>
            </w:pPr>
            <w:r w:rsidRPr="002029AF">
              <w:t>(kilograms)</w:t>
            </w:r>
          </w:p>
        </w:tc>
      </w:tr>
      <w:tr w:rsidR="00CF72D5" w:rsidRPr="002029AF" w14:paraId="049A0BCB" w14:textId="77777777" w:rsidTr="00897193">
        <w:trPr>
          <w:cantSplit/>
        </w:trPr>
        <w:tc>
          <w:tcPr>
            <w:tcW w:w="452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26C6AF59" w14:textId="57F2A009" w:rsidR="00CF72D5" w:rsidRPr="002029AF" w:rsidRDefault="00CF72D5" w:rsidP="00897193">
            <w:pPr>
              <w:pStyle w:val="ARtabletext"/>
            </w:pPr>
            <w:r w:rsidRPr="002029AF">
              <w:t>Carbon</w:t>
            </w:r>
            <w:r w:rsidR="000A5329" w:rsidRPr="002029AF">
              <w:t xml:space="preserve"> </w:t>
            </w:r>
            <w:r w:rsidRPr="002029AF">
              <w:t>monoxide</w:t>
            </w:r>
          </w:p>
        </w:tc>
        <w:tc>
          <w:tcPr>
            <w:tcW w:w="169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2F41ABA5" w14:textId="1B7627CD" w:rsidR="00CF72D5" w:rsidRPr="002029AF" w:rsidRDefault="00CF72D5" w:rsidP="00897193">
            <w:pPr>
              <w:pStyle w:val="ARtabletextright"/>
            </w:pPr>
            <w:r w:rsidRPr="002029AF">
              <w:t>Not</w:t>
            </w:r>
            <w:r w:rsidR="000A5329" w:rsidRPr="002029AF">
              <w:t xml:space="preserve"> </w:t>
            </w:r>
            <w:r w:rsidRPr="002029AF">
              <w:t>available</w:t>
            </w:r>
          </w:p>
        </w:tc>
        <w:tc>
          <w:tcPr>
            <w:tcW w:w="169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0562A945" w14:textId="77777777" w:rsidR="00CF72D5" w:rsidRPr="002029AF" w:rsidRDefault="00CF72D5" w:rsidP="00897193">
            <w:pPr>
              <w:pStyle w:val="ARtabletextright"/>
            </w:pPr>
            <w:r w:rsidRPr="002029AF">
              <w:t>83,649</w:t>
            </w:r>
          </w:p>
        </w:tc>
        <w:tc>
          <w:tcPr>
            <w:tcW w:w="169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350464C1" w14:textId="77777777" w:rsidR="00CF72D5" w:rsidRPr="002029AF" w:rsidRDefault="00CF72D5" w:rsidP="00897193">
            <w:pPr>
              <w:pStyle w:val="ARtabletextright"/>
            </w:pPr>
            <w:r w:rsidRPr="002029AF">
              <w:t>52,232</w:t>
            </w:r>
          </w:p>
        </w:tc>
      </w:tr>
      <w:tr w:rsidR="00CF72D5" w:rsidRPr="002029AF" w14:paraId="6F70A672" w14:textId="77777777" w:rsidTr="00897193">
        <w:trPr>
          <w:cantSplit/>
        </w:trPr>
        <w:tc>
          <w:tcPr>
            <w:tcW w:w="452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24C32FC2" w14:textId="2D044993" w:rsidR="00CF72D5" w:rsidRPr="002029AF" w:rsidRDefault="00CF72D5" w:rsidP="00897193">
            <w:pPr>
              <w:pStyle w:val="ARtabletext"/>
            </w:pPr>
            <w:r w:rsidRPr="002029AF">
              <w:t>Oxides</w:t>
            </w:r>
            <w:r w:rsidR="000A5329" w:rsidRPr="002029AF">
              <w:t xml:space="preserve"> </w:t>
            </w:r>
            <w:r w:rsidRPr="002029AF">
              <w:t>of</w:t>
            </w:r>
            <w:r w:rsidR="000A5329" w:rsidRPr="002029AF">
              <w:t xml:space="preserve"> </w:t>
            </w:r>
            <w:r w:rsidRPr="002029AF">
              <w:t>nitrogen</w:t>
            </w:r>
          </w:p>
        </w:tc>
        <w:tc>
          <w:tcPr>
            <w:tcW w:w="169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6F0BE41D" w14:textId="1A0EB0DE" w:rsidR="00CF72D5" w:rsidRPr="002029AF" w:rsidRDefault="00CF72D5" w:rsidP="00897193">
            <w:pPr>
              <w:pStyle w:val="ARtabletextright"/>
            </w:pPr>
            <w:r w:rsidRPr="002029AF">
              <w:t>Not</w:t>
            </w:r>
            <w:r w:rsidR="000A5329" w:rsidRPr="002029AF">
              <w:t xml:space="preserve"> </w:t>
            </w:r>
            <w:r w:rsidRPr="002029AF">
              <w:t>available</w:t>
            </w:r>
          </w:p>
        </w:tc>
        <w:tc>
          <w:tcPr>
            <w:tcW w:w="169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363B270B" w14:textId="77777777" w:rsidR="00CF72D5" w:rsidRPr="002029AF" w:rsidRDefault="00CF72D5" w:rsidP="00897193">
            <w:pPr>
              <w:pStyle w:val="ARtabletextright"/>
            </w:pPr>
            <w:r w:rsidRPr="002029AF">
              <w:t>126,226</w:t>
            </w:r>
          </w:p>
        </w:tc>
        <w:tc>
          <w:tcPr>
            <w:tcW w:w="169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1655AA3D" w14:textId="77777777" w:rsidR="00CF72D5" w:rsidRPr="002029AF" w:rsidRDefault="00CF72D5" w:rsidP="00897193">
            <w:pPr>
              <w:pStyle w:val="ARtabletextright"/>
            </w:pPr>
            <w:r w:rsidRPr="002029AF">
              <w:t>115,150</w:t>
            </w:r>
          </w:p>
        </w:tc>
      </w:tr>
      <w:tr w:rsidR="00CF72D5" w:rsidRPr="002029AF" w14:paraId="68D2E62F" w14:textId="77777777" w:rsidTr="00897193">
        <w:trPr>
          <w:cantSplit/>
        </w:trPr>
        <w:tc>
          <w:tcPr>
            <w:tcW w:w="452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4FAE5DC5" w14:textId="5CBDF86D" w:rsidR="00CF72D5" w:rsidRPr="002029AF" w:rsidRDefault="00CF72D5" w:rsidP="00897193">
            <w:pPr>
              <w:pStyle w:val="ARtabletext"/>
            </w:pPr>
            <w:r w:rsidRPr="002029AF">
              <w:t>Particulate</w:t>
            </w:r>
            <w:r w:rsidR="000A5329" w:rsidRPr="002029AF">
              <w:t xml:space="preserve"> </w:t>
            </w:r>
            <w:r w:rsidRPr="002029AF">
              <w:t>matter</w:t>
            </w:r>
            <w:r w:rsidR="000A5329" w:rsidRPr="002029AF">
              <w:t xml:space="preserve"> </w:t>
            </w:r>
            <w:r w:rsidRPr="002029AF">
              <w:t>(2.5</w:t>
            </w:r>
            <w:r w:rsidR="000A5329" w:rsidRPr="002029AF">
              <w:t xml:space="preserve"> </w:t>
            </w:r>
            <w:r w:rsidRPr="002029AF">
              <w:t>µm</w:t>
            </w:r>
            <w:r w:rsidR="000A5329" w:rsidRPr="002029AF">
              <w:t xml:space="preserve"> </w:t>
            </w:r>
            <w:r w:rsidRPr="002029AF">
              <w:t>and</w:t>
            </w:r>
            <w:r w:rsidR="000A5329" w:rsidRPr="002029AF">
              <w:t xml:space="preserve"> </w:t>
            </w:r>
            <w:r w:rsidRPr="002029AF">
              <w:t>10</w:t>
            </w:r>
            <w:r w:rsidR="000A5329" w:rsidRPr="002029AF">
              <w:t xml:space="preserve"> </w:t>
            </w:r>
            <w:r w:rsidRPr="002029AF">
              <w:t>µm)</w:t>
            </w:r>
          </w:p>
        </w:tc>
        <w:tc>
          <w:tcPr>
            <w:tcW w:w="169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6F50403B" w14:textId="62700B2D" w:rsidR="00CF72D5" w:rsidRPr="002029AF" w:rsidRDefault="00CF72D5" w:rsidP="00897193">
            <w:pPr>
              <w:pStyle w:val="ARtabletextright"/>
            </w:pPr>
            <w:r w:rsidRPr="002029AF">
              <w:t>Not</w:t>
            </w:r>
            <w:r w:rsidR="000A5329" w:rsidRPr="002029AF">
              <w:t xml:space="preserve"> </w:t>
            </w:r>
            <w:r w:rsidRPr="002029AF">
              <w:t>available</w:t>
            </w:r>
          </w:p>
        </w:tc>
        <w:tc>
          <w:tcPr>
            <w:tcW w:w="169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74BD0653" w14:textId="77777777" w:rsidR="00CF72D5" w:rsidRPr="002029AF" w:rsidRDefault="00CF72D5" w:rsidP="00897193">
            <w:pPr>
              <w:pStyle w:val="ARtabletextright"/>
            </w:pPr>
            <w:r w:rsidRPr="002029AF">
              <w:t>12,875</w:t>
            </w:r>
          </w:p>
        </w:tc>
        <w:tc>
          <w:tcPr>
            <w:tcW w:w="169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12A897C4" w14:textId="77777777" w:rsidR="00CF72D5" w:rsidRPr="002029AF" w:rsidRDefault="00CF72D5" w:rsidP="00897193">
            <w:pPr>
              <w:pStyle w:val="ARtabletextright"/>
            </w:pPr>
            <w:r w:rsidRPr="002029AF">
              <w:t>12,750</w:t>
            </w:r>
          </w:p>
        </w:tc>
      </w:tr>
      <w:tr w:rsidR="00CF72D5" w:rsidRPr="002029AF" w14:paraId="2FC60E57" w14:textId="77777777" w:rsidTr="00897193">
        <w:trPr>
          <w:cantSplit/>
        </w:trPr>
        <w:tc>
          <w:tcPr>
            <w:tcW w:w="452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7DD58AD0" w14:textId="285676F6" w:rsidR="00CF72D5" w:rsidRPr="002029AF" w:rsidRDefault="00CF72D5" w:rsidP="00897193">
            <w:pPr>
              <w:pStyle w:val="ARtabletext"/>
            </w:pPr>
            <w:r w:rsidRPr="002029AF">
              <w:t>Total</w:t>
            </w:r>
            <w:r w:rsidR="000A5329" w:rsidRPr="002029AF">
              <w:t xml:space="preserve"> </w:t>
            </w:r>
            <w:r w:rsidRPr="002029AF">
              <w:t>volatile</w:t>
            </w:r>
            <w:r w:rsidR="000A5329" w:rsidRPr="002029AF">
              <w:t xml:space="preserve"> </w:t>
            </w:r>
            <w:r w:rsidRPr="002029AF">
              <w:t>organic</w:t>
            </w:r>
            <w:r w:rsidR="000A5329" w:rsidRPr="002029AF">
              <w:t xml:space="preserve"> </w:t>
            </w:r>
            <w:r w:rsidRPr="002029AF">
              <w:t>compounds</w:t>
            </w:r>
          </w:p>
        </w:tc>
        <w:tc>
          <w:tcPr>
            <w:tcW w:w="169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043B436E" w14:textId="671871E4" w:rsidR="00CF72D5" w:rsidRPr="002029AF" w:rsidRDefault="00CF72D5" w:rsidP="00897193">
            <w:pPr>
              <w:pStyle w:val="ARtabletextright"/>
            </w:pPr>
            <w:r w:rsidRPr="002029AF">
              <w:t>Not</w:t>
            </w:r>
            <w:r w:rsidR="000A5329" w:rsidRPr="002029AF">
              <w:t xml:space="preserve"> </w:t>
            </w:r>
            <w:r w:rsidRPr="002029AF">
              <w:t>available</w:t>
            </w:r>
          </w:p>
        </w:tc>
        <w:tc>
          <w:tcPr>
            <w:tcW w:w="169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70967BCB" w14:textId="77777777" w:rsidR="00CF72D5" w:rsidRPr="002029AF" w:rsidRDefault="00CF72D5" w:rsidP="00897193">
            <w:pPr>
              <w:pStyle w:val="ARtabletextright"/>
            </w:pPr>
            <w:r w:rsidRPr="002029AF">
              <w:t>6,536</w:t>
            </w:r>
          </w:p>
        </w:tc>
        <w:tc>
          <w:tcPr>
            <w:tcW w:w="169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58181AB9" w14:textId="77777777" w:rsidR="00CF72D5" w:rsidRPr="002029AF" w:rsidRDefault="00CF72D5" w:rsidP="00897193">
            <w:pPr>
              <w:pStyle w:val="ARtabletextright"/>
            </w:pPr>
            <w:r w:rsidRPr="002029AF">
              <w:t>5,934</w:t>
            </w:r>
          </w:p>
        </w:tc>
      </w:tr>
      <w:tr w:rsidR="00CF72D5" w:rsidRPr="002029AF" w14:paraId="0F13D984" w14:textId="77777777" w:rsidTr="00897193">
        <w:trPr>
          <w:cantSplit/>
        </w:trPr>
        <w:tc>
          <w:tcPr>
            <w:tcW w:w="452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5C20DEFE" w14:textId="45D4B7BD" w:rsidR="00CF72D5" w:rsidRPr="002029AF" w:rsidRDefault="00CF72D5" w:rsidP="00897193">
            <w:pPr>
              <w:pStyle w:val="ARtabletext"/>
            </w:pPr>
            <w:r w:rsidRPr="002029AF">
              <w:t>Sulphur</w:t>
            </w:r>
            <w:r w:rsidR="000A5329" w:rsidRPr="002029AF">
              <w:t xml:space="preserve"> </w:t>
            </w:r>
            <w:r w:rsidRPr="002029AF">
              <w:t>dioxide</w:t>
            </w:r>
          </w:p>
        </w:tc>
        <w:tc>
          <w:tcPr>
            <w:tcW w:w="169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7417A9BC" w14:textId="7B20C92C" w:rsidR="00CF72D5" w:rsidRPr="002029AF" w:rsidRDefault="00CF72D5" w:rsidP="00897193">
            <w:pPr>
              <w:pStyle w:val="ARtabletextright"/>
            </w:pPr>
            <w:r w:rsidRPr="002029AF">
              <w:t>Not</w:t>
            </w:r>
            <w:r w:rsidR="000A5329" w:rsidRPr="002029AF">
              <w:t xml:space="preserve"> </w:t>
            </w:r>
            <w:r w:rsidRPr="002029AF">
              <w:t>available</w:t>
            </w:r>
          </w:p>
        </w:tc>
        <w:tc>
          <w:tcPr>
            <w:tcW w:w="169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4AD78DFA" w14:textId="77777777" w:rsidR="00CF72D5" w:rsidRPr="002029AF" w:rsidRDefault="00CF72D5" w:rsidP="00897193">
            <w:pPr>
              <w:pStyle w:val="ARtabletextright"/>
            </w:pPr>
            <w:r w:rsidRPr="002029AF">
              <w:t>916</w:t>
            </w:r>
          </w:p>
        </w:tc>
        <w:tc>
          <w:tcPr>
            <w:tcW w:w="169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4A6E9340" w14:textId="77777777" w:rsidR="00CF72D5" w:rsidRPr="002029AF" w:rsidRDefault="00CF72D5" w:rsidP="00897193">
            <w:pPr>
              <w:pStyle w:val="ARtabletextright"/>
            </w:pPr>
            <w:r w:rsidRPr="002029AF">
              <w:t>915</w:t>
            </w:r>
          </w:p>
        </w:tc>
      </w:tr>
      <w:tr w:rsidR="00CF72D5" w:rsidRPr="002029AF" w14:paraId="7BA4DD84" w14:textId="77777777" w:rsidTr="00897193">
        <w:trPr>
          <w:cantSplit/>
        </w:trPr>
        <w:tc>
          <w:tcPr>
            <w:tcW w:w="452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078C5993" w14:textId="3160D222" w:rsidR="00CF72D5" w:rsidRPr="002029AF" w:rsidRDefault="00CF72D5" w:rsidP="00897193">
            <w:pPr>
              <w:pStyle w:val="ARtabletext"/>
            </w:pPr>
            <w:r w:rsidRPr="002029AF">
              <w:t>Other</w:t>
            </w:r>
            <w:r w:rsidR="000A5329" w:rsidRPr="002029AF">
              <w:t xml:space="preserve"> </w:t>
            </w:r>
            <w:r w:rsidRPr="002029AF">
              <w:t>substances*</w:t>
            </w:r>
          </w:p>
        </w:tc>
        <w:tc>
          <w:tcPr>
            <w:tcW w:w="169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2E550DDB" w14:textId="0937CE1B" w:rsidR="00CF72D5" w:rsidRPr="002029AF" w:rsidRDefault="00CF72D5" w:rsidP="00897193">
            <w:pPr>
              <w:pStyle w:val="ARtabletextright"/>
            </w:pPr>
            <w:r w:rsidRPr="002029AF">
              <w:t>Not</w:t>
            </w:r>
            <w:r w:rsidR="000A5329" w:rsidRPr="002029AF">
              <w:t xml:space="preserve"> </w:t>
            </w:r>
            <w:r w:rsidRPr="002029AF">
              <w:t>available</w:t>
            </w:r>
          </w:p>
        </w:tc>
        <w:tc>
          <w:tcPr>
            <w:tcW w:w="169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10015FE8" w14:textId="77777777" w:rsidR="00CF72D5" w:rsidRPr="002029AF" w:rsidRDefault="00CF72D5" w:rsidP="00897193">
            <w:pPr>
              <w:pStyle w:val="ARtabletextright"/>
            </w:pPr>
            <w:r w:rsidRPr="002029AF">
              <w:t>47</w:t>
            </w:r>
          </w:p>
        </w:tc>
        <w:tc>
          <w:tcPr>
            <w:tcW w:w="169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1FC8F67D" w14:textId="77777777" w:rsidR="00CF72D5" w:rsidRPr="002029AF" w:rsidRDefault="00CF72D5" w:rsidP="00897193">
            <w:pPr>
              <w:pStyle w:val="ARtabletextright"/>
            </w:pPr>
            <w:r w:rsidRPr="002029AF">
              <w:t>1,138</w:t>
            </w:r>
          </w:p>
        </w:tc>
      </w:tr>
    </w:tbl>
    <w:p w14:paraId="7ED3156C" w14:textId="2A708752" w:rsidR="00CF72D5" w:rsidRPr="002029AF" w:rsidRDefault="00CF72D5" w:rsidP="00897193">
      <w:pPr>
        <w:pStyle w:val="ARtablefootnote"/>
        <w:spacing w:before="60"/>
      </w:pPr>
      <w:r w:rsidRPr="002029AF">
        <w:t>*</w:t>
      </w:r>
      <w:r w:rsidR="000A5329" w:rsidRPr="002029AF">
        <w:t xml:space="preserve"> </w:t>
      </w:r>
      <w:r w:rsidRPr="002029AF">
        <w:t>In</w:t>
      </w:r>
      <w:r w:rsidR="000A5329" w:rsidRPr="002029AF">
        <w:t xml:space="preserve"> </w:t>
      </w:r>
      <w:r w:rsidRPr="002029AF">
        <w:t>2018–19,</w:t>
      </w:r>
      <w:r w:rsidR="000A5329" w:rsidRPr="002029AF">
        <w:t xml:space="preserve"> </w:t>
      </w:r>
      <w:r w:rsidRPr="002029AF">
        <w:t>other</w:t>
      </w:r>
      <w:r w:rsidR="000A5329" w:rsidRPr="002029AF">
        <w:t xml:space="preserve"> </w:t>
      </w:r>
      <w:r w:rsidRPr="002029AF">
        <w:t>substances</w:t>
      </w:r>
      <w:r w:rsidR="000A5329" w:rsidRPr="002029AF">
        <w:t xml:space="preserve"> </w:t>
      </w:r>
      <w:r w:rsidR="000343EC" w:rsidRPr="002029AF">
        <w:t>include</w:t>
      </w:r>
      <w:r w:rsidR="000A5329" w:rsidRPr="002029AF">
        <w:t xml:space="preserve"> </w:t>
      </w:r>
      <w:r w:rsidRPr="002029AF">
        <w:t>hydrochloric</w:t>
      </w:r>
      <w:r w:rsidR="000A5329" w:rsidRPr="002029AF">
        <w:t xml:space="preserve"> </w:t>
      </w:r>
      <w:r w:rsidRPr="002029AF">
        <w:t>acid</w:t>
      </w:r>
      <w:r w:rsidR="000A5329" w:rsidRPr="002029AF">
        <w:t xml:space="preserve"> </w:t>
      </w:r>
      <w:r w:rsidRPr="002029AF">
        <w:t>that</w:t>
      </w:r>
      <w:r w:rsidR="000A5329" w:rsidRPr="002029AF">
        <w:t xml:space="preserve"> </w:t>
      </w:r>
      <w:r w:rsidRPr="002029AF">
        <w:t>was</w:t>
      </w:r>
      <w:r w:rsidR="000A5329" w:rsidRPr="002029AF">
        <w:t xml:space="preserve"> </w:t>
      </w:r>
      <w:r w:rsidRPr="002029AF">
        <w:t>not</w:t>
      </w:r>
      <w:r w:rsidR="000A5329" w:rsidRPr="002029AF">
        <w:t xml:space="preserve"> </w:t>
      </w:r>
      <w:r w:rsidRPr="002029AF">
        <w:t>previously</w:t>
      </w:r>
      <w:r w:rsidR="000A5329" w:rsidRPr="002029AF">
        <w:t xml:space="preserve"> </w:t>
      </w:r>
      <w:r w:rsidRPr="002029AF">
        <w:t>reported.</w:t>
      </w:r>
      <w:r w:rsidR="000A5329" w:rsidRPr="002029AF">
        <w:t xml:space="preserve"> </w:t>
      </w:r>
      <w:r w:rsidRPr="002029AF">
        <w:t>Other</w:t>
      </w:r>
      <w:r w:rsidR="000A5329" w:rsidRPr="002029AF">
        <w:t xml:space="preserve"> </w:t>
      </w:r>
      <w:r w:rsidRPr="002029AF">
        <w:t>substances</w:t>
      </w:r>
      <w:r w:rsidR="000A5329" w:rsidRPr="002029AF">
        <w:t xml:space="preserve"> </w:t>
      </w:r>
      <w:r w:rsidRPr="002029AF">
        <w:t>include:</w:t>
      </w:r>
      <w:r w:rsidR="000A5329" w:rsidRPr="002029AF">
        <w:t xml:space="preserve"> </w:t>
      </w:r>
      <w:r w:rsidRPr="002029AF">
        <w:t>acetaldehyde,</w:t>
      </w:r>
      <w:r w:rsidR="000A5329" w:rsidRPr="002029AF">
        <w:t xml:space="preserve"> </w:t>
      </w:r>
      <w:r w:rsidRPr="002029AF">
        <w:t>arsenic</w:t>
      </w:r>
      <w:r w:rsidR="000A5329" w:rsidRPr="002029AF">
        <w:t xml:space="preserve"> </w:t>
      </w:r>
      <w:r w:rsidRPr="002029AF">
        <w:t>and</w:t>
      </w:r>
      <w:r w:rsidR="000A5329" w:rsidRPr="002029AF">
        <w:t xml:space="preserve"> </w:t>
      </w:r>
      <w:r w:rsidRPr="002029AF">
        <w:t>compounds,</w:t>
      </w:r>
      <w:r w:rsidR="000A5329" w:rsidRPr="002029AF">
        <w:t xml:space="preserve"> </w:t>
      </w:r>
      <w:r w:rsidRPr="002029AF">
        <w:t>benzene,</w:t>
      </w:r>
      <w:r w:rsidR="000A5329" w:rsidRPr="002029AF">
        <w:t xml:space="preserve"> </w:t>
      </w:r>
      <w:r w:rsidRPr="002029AF">
        <w:t>beryllium</w:t>
      </w:r>
      <w:r w:rsidR="000A5329" w:rsidRPr="002029AF">
        <w:t xml:space="preserve"> </w:t>
      </w:r>
      <w:r w:rsidRPr="002029AF">
        <w:t>and</w:t>
      </w:r>
      <w:r w:rsidR="000A5329" w:rsidRPr="002029AF">
        <w:t xml:space="preserve"> </w:t>
      </w:r>
      <w:r w:rsidRPr="002029AF">
        <w:t>compounds,</w:t>
      </w:r>
      <w:r w:rsidR="000A5329" w:rsidRPr="002029AF">
        <w:t xml:space="preserve"> </w:t>
      </w:r>
      <w:r w:rsidRPr="002029AF">
        <w:t>1,3-butadiene</w:t>
      </w:r>
      <w:r w:rsidR="000A5329" w:rsidRPr="002029AF">
        <w:t xml:space="preserve"> </w:t>
      </w:r>
      <w:r w:rsidRPr="002029AF">
        <w:t>(vinyl</w:t>
      </w:r>
      <w:r w:rsidR="000A5329" w:rsidRPr="002029AF">
        <w:t xml:space="preserve"> </w:t>
      </w:r>
      <w:r w:rsidRPr="002029AF">
        <w:t>ethylene),</w:t>
      </w:r>
      <w:r w:rsidR="000A5329" w:rsidRPr="002029AF">
        <w:t xml:space="preserve"> </w:t>
      </w:r>
      <w:r w:rsidRPr="002029AF">
        <w:t>cadmium</w:t>
      </w:r>
      <w:r w:rsidR="000A5329" w:rsidRPr="002029AF">
        <w:t xml:space="preserve"> </w:t>
      </w:r>
      <w:r w:rsidRPr="002029AF">
        <w:t>and</w:t>
      </w:r>
      <w:r w:rsidR="000A5329" w:rsidRPr="002029AF">
        <w:t xml:space="preserve"> </w:t>
      </w:r>
      <w:r w:rsidRPr="002029AF">
        <w:t>compounds,</w:t>
      </w:r>
      <w:r w:rsidR="000A5329" w:rsidRPr="002029AF">
        <w:t xml:space="preserve"> </w:t>
      </w:r>
      <w:r w:rsidRPr="002029AF">
        <w:t>chromium</w:t>
      </w:r>
      <w:r w:rsidR="000A5329" w:rsidRPr="002029AF">
        <w:t xml:space="preserve"> </w:t>
      </w:r>
      <w:r w:rsidRPr="002029AF">
        <w:t>(III)</w:t>
      </w:r>
      <w:r w:rsidR="000A5329" w:rsidRPr="002029AF">
        <w:t xml:space="preserve"> </w:t>
      </w:r>
      <w:r w:rsidRPr="002029AF">
        <w:t>compounds,</w:t>
      </w:r>
      <w:r w:rsidR="000A5329" w:rsidRPr="002029AF">
        <w:t xml:space="preserve"> </w:t>
      </w:r>
      <w:r w:rsidRPr="002029AF">
        <w:t>cobalt</w:t>
      </w:r>
      <w:r w:rsidR="000A5329" w:rsidRPr="002029AF">
        <w:t xml:space="preserve"> </w:t>
      </w:r>
      <w:r w:rsidRPr="002029AF">
        <w:t>and</w:t>
      </w:r>
      <w:r w:rsidR="000A5329" w:rsidRPr="002029AF">
        <w:t xml:space="preserve"> </w:t>
      </w:r>
      <w:r w:rsidRPr="002029AF">
        <w:t>compounds,</w:t>
      </w:r>
      <w:r w:rsidR="000A5329" w:rsidRPr="002029AF">
        <w:t xml:space="preserve"> </w:t>
      </w:r>
      <w:r w:rsidRPr="002029AF">
        <w:t>copper</w:t>
      </w:r>
      <w:r w:rsidR="000A5329" w:rsidRPr="002029AF">
        <w:t xml:space="preserve"> </w:t>
      </w:r>
      <w:r w:rsidRPr="002029AF">
        <w:t>and</w:t>
      </w:r>
      <w:r w:rsidR="000A5329" w:rsidRPr="002029AF">
        <w:t xml:space="preserve"> </w:t>
      </w:r>
      <w:r w:rsidRPr="002029AF">
        <w:t>compounds,</w:t>
      </w:r>
      <w:r w:rsidR="000A5329" w:rsidRPr="002029AF">
        <w:t xml:space="preserve"> </w:t>
      </w:r>
      <w:r w:rsidRPr="002029AF">
        <w:t>formaldehyde</w:t>
      </w:r>
      <w:r w:rsidR="000A5329" w:rsidRPr="002029AF">
        <w:t xml:space="preserve"> </w:t>
      </w:r>
      <w:r w:rsidRPr="002029AF">
        <w:t>(methyl</w:t>
      </w:r>
      <w:r w:rsidR="000A5329" w:rsidRPr="002029AF">
        <w:t xml:space="preserve"> </w:t>
      </w:r>
      <w:r w:rsidRPr="002029AF">
        <w:t>aldehyde)</w:t>
      </w:r>
      <w:r w:rsidR="000A5329" w:rsidRPr="002029AF">
        <w:t xml:space="preserve"> </w:t>
      </w:r>
      <w:r w:rsidRPr="002029AF">
        <w:t>lead</w:t>
      </w:r>
      <w:r w:rsidR="000A5329" w:rsidRPr="002029AF">
        <w:t xml:space="preserve"> </w:t>
      </w:r>
      <w:r w:rsidRPr="002029AF">
        <w:t>and</w:t>
      </w:r>
      <w:r w:rsidR="000A5329" w:rsidRPr="002029AF">
        <w:t xml:space="preserve"> </w:t>
      </w:r>
      <w:r w:rsidRPr="002029AF">
        <w:t>compounds,</w:t>
      </w:r>
      <w:r w:rsidR="000A5329" w:rsidRPr="002029AF">
        <w:t xml:space="preserve"> </w:t>
      </w:r>
      <w:r w:rsidRPr="002029AF">
        <w:t>magnesium</w:t>
      </w:r>
      <w:r w:rsidR="000A5329" w:rsidRPr="002029AF">
        <w:t xml:space="preserve"> </w:t>
      </w:r>
      <w:r w:rsidRPr="002029AF">
        <w:t>oxide</w:t>
      </w:r>
      <w:r w:rsidR="000A5329" w:rsidRPr="002029AF">
        <w:t xml:space="preserve"> </w:t>
      </w:r>
      <w:r w:rsidRPr="002029AF">
        <w:t>fume,</w:t>
      </w:r>
      <w:r w:rsidR="000A5329" w:rsidRPr="002029AF">
        <w:t xml:space="preserve"> </w:t>
      </w:r>
      <w:r w:rsidRPr="002029AF">
        <w:t>manganese</w:t>
      </w:r>
      <w:r w:rsidR="000A5329" w:rsidRPr="002029AF">
        <w:t xml:space="preserve"> </w:t>
      </w:r>
      <w:r w:rsidRPr="002029AF">
        <w:t>and</w:t>
      </w:r>
      <w:r w:rsidR="000A5329" w:rsidRPr="002029AF">
        <w:t xml:space="preserve"> </w:t>
      </w:r>
      <w:r w:rsidRPr="002029AF">
        <w:t>compounds,</w:t>
      </w:r>
      <w:r w:rsidR="000A5329" w:rsidRPr="002029AF">
        <w:t xml:space="preserve"> </w:t>
      </w:r>
      <w:r w:rsidRPr="002029AF">
        <w:t>mercury</w:t>
      </w:r>
      <w:r w:rsidR="000A5329" w:rsidRPr="002029AF">
        <w:t xml:space="preserve"> </w:t>
      </w:r>
      <w:r w:rsidRPr="002029AF">
        <w:t>and</w:t>
      </w:r>
      <w:r w:rsidR="000A5329" w:rsidRPr="002029AF">
        <w:t xml:space="preserve"> </w:t>
      </w:r>
      <w:r w:rsidRPr="002029AF">
        <w:t>compounds,</w:t>
      </w:r>
      <w:r w:rsidR="000A5329" w:rsidRPr="002029AF">
        <w:t xml:space="preserve"> </w:t>
      </w:r>
      <w:r w:rsidRPr="002029AF">
        <w:t>nickel</w:t>
      </w:r>
      <w:r w:rsidR="000A5329" w:rsidRPr="002029AF">
        <w:t xml:space="preserve"> </w:t>
      </w:r>
      <w:r w:rsidRPr="002029AF">
        <w:t>and</w:t>
      </w:r>
      <w:r w:rsidR="000A5329" w:rsidRPr="002029AF">
        <w:t xml:space="preserve"> </w:t>
      </w:r>
      <w:r w:rsidRPr="002029AF">
        <w:t>compounds,</w:t>
      </w:r>
      <w:r w:rsidR="000A5329" w:rsidRPr="002029AF">
        <w:t xml:space="preserve"> </w:t>
      </w:r>
      <w:r w:rsidRPr="002029AF">
        <w:t>polycyclic</w:t>
      </w:r>
      <w:r w:rsidR="000A5329" w:rsidRPr="002029AF">
        <w:t xml:space="preserve"> </w:t>
      </w:r>
      <w:r w:rsidRPr="002029AF">
        <w:t>aromatic</w:t>
      </w:r>
      <w:r w:rsidR="000A5329" w:rsidRPr="002029AF">
        <w:t xml:space="preserve"> </w:t>
      </w:r>
      <w:r w:rsidRPr="002029AF">
        <w:t>hydrocarbon,</w:t>
      </w:r>
      <w:r w:rsidR="000A5329" w:rsidRPr="002029AF">
        <w:t xml:space="preserve"> </w:t>
      </w:r>
      <w:r w:rsidRPr="002029AF">
        <w:t>polychlorinated</w:t>
      </w:r>
      <w:r w:rsidR="000A5329" w:rsidRPr="002029AF">
        <w:t xml:space="preserve"> </w:t>
      </w:r>
      <w:r w:rsidRPr="002029AF">
        <w:t>dioxins</w:t>
      </w:r>
      <w:r w:rsidR="000A5329" w:rsidRPr="002029AF">
        <w:t xml:space="preserve"> </w:t>
      </w:r>
      <w:r w:rsidRPr="002029AF">
        <w:t>and</w:t>
      </w:r>
      <w:r w:rsidR="000A5329" w:rsidRPr="002029AF">
        <w:t xml:space="preserve"> </w:t>
      </w:r>
      <w:r w:rsidRPr="002029AF">
        <w:t>furans</w:t>
      </w:r>
      <w:r w:rsidR="000A5329" w:rsidRPr="002029AF">
        <w:t xml:space="preserve"> </w:t>
      </w:r>
      <w:r w:rsidRPr="002029AF">
        <w:t>(TEQ),</w:t>
      </w:r>
      <w:r w:rsidR="000A5329" w:rsidRPr="002029AF">
        <w:t xml:space="preserve"> </w:t>
      </w:r>
      <w:r w:rsidRPr="002029AF">
        <w:t>selenium</w:t>
      </w:r>
      <w:r w:rsidR="000A5329" w:rsidRPr="002029AF">
        <w:t xml:space="preserve"> </w:t>
      </w:r>
      <w:r w:rsidRPr="002029AF">
        <w:t>and</w:t>
      </w:r>
      <w:r w:rsidR="000A5329" w:rsidRPr="002029AF">
        <w:t xml:space="preserve"> </w:t>
      </w:r>
      <w:r w:rsidRPr="002029AF">
        <w:t>compounds,</w:t>
      </w:r>
      <w:r w:rsidR="000A5329" w:rsidRPr="002029AF">
        <w:t xml:space="preserve"> </w:t>
      </w:r>
      <w:r w:rsidRPr="002029AF">
        <w:t>toluene</w:t>
      </w:r>
      <w:r w:rsidR="000A5329" w:rsidRPr="002029AF">
        <w:t xml:space="preserve"> </w:t>
      </w:r>
      <w:r w:rsidRPr="002029AF">
        <w:t>(methylbenzene),</w:t>
      </w:r>
      <w:r w:rsidR="000A5329" w:rsidRPr="002029AF">
        <w:t xml:space="preserve"> </w:t>
      </w:r>
      <w:r w:rsidRPr="002029AF">
        <w:t>xylenes</w:t>
      </w:r>
      <w:r w:rsidR="000A5329" w:rsidRPr="002029AF">
        <w:t xml:space="preserve"> </w:t>
      </w:r>
      <w:r w:rsidRPr="002029AF">
        <w:t>(individual</w:t>
      </w:r>
      <w:r w:rsidR="000A5329" w:rsidRPr="002029AF">
        <w:t xml:space="preserve"> </w:t>
      </w:r>
      <w:r w:rsidRPr="002029AF">
        <w:t>or</w:t>
      </w:r>
      <w:r w:rsidR="000A5329" w:rsidRPr="002029AF">
        <w:t xml:space="preserve"> </w:t>
      </w:r>
      <w:r w:rsidRPr="002029AF">
        <w:t>mixed</w:t>
      </w:r>
      <w:r w:rsidR="000A5329" w:rsidRPr="002029AF">
        <w:t xml:space="preserve"> </w:t>
      </w:r>
      <w:r w:rsidRPr="002029AF">
        <w:t>isomers)</w:t>
      </w:r>
      <w:r w:rsidR="000A5329" w:rsidRPr="002029AF">
        <w:t xml:space="preserve"> </w:t>
      </w:r>
      <w:r w:rsidRPr="002029AF">
        <w:t>and</w:t>
      </w:r>
      <w:r w:rsidR="000A5329" w:rsidRPr="002029AF">
        <w:t xml:space="preserve"> </w:t>
      </w:r>
      <w:r w:rsidRPr="002029AF">
        <w:t>zinc</w:t>
      </w:r>
      <w:r w:rsidR="000A5329" w:rsidRPr="002029AF">
        <w:t xml:space="preserve"> </w:t>
      </w:r>
      <w:r w:rsidRPr="002029AF">
        <w:t>and</w:t>
      </w:r>
      <w:r w:rsidR="000A5329" w:rsidRPr="002029AF">
        <w:t xml:space="preserve"> </w:t>
      </w:r>
      <w:r w:rsidRPr="002029AF">
        <w:t>compounds.</w:t>
      </w:r>
    </w:p>
    <w:p w14:paraId="02E9D5D6" w14:textId="2F68C2E7" w:rsidR="00CF72D5" w:rsidRPr="002029AF" w:rsidRDefault="00CF72D5" w:rsidP="00897193">
      <w:pPr>
        <w:pStyle w:val="ARtablefootnote"/>
        <w:spacing w:before="60"/>
      </w:pPr>
      <w:r w:rsidRPr="002029AF">
        <w:t>2018–19</w:t>
      </w:r>
      <w:r w:rsidR="000A5329" w:rsidRPr="002029AF">
        <w:t xml:space="preserve"> </w:t>
      </w:r>
      <w:r w:rsidRPr="002029AF">
        <w:t>is</w:t>
      </w:r>
      <w:r w:rsidR="000A5329" w:rsidRPr="002029AF">
        <w:t xml:space="preserve"> </w:t>
      </w:r>
      <w:r w:rsidRPr="002029AF">
        <w:t>the</w:t>
      </w:r>
      <w:r w:rsidR="000A5329" w:rsidRPr="002029AF">
        <w:t xml:space="preserve"> </w:t>
      </w:r>
      <w:r w:rsidRPr="002029AF">
        <w:t>most</w:t>
      </w:r>
      <w:r w:rsidR="000A5329" w:rsidRPr="002029AF">
        <w:t xml:space="preserve"> </w:t>
      </w:r>
      <w:r w:rsidRPr="002029AF">
        <w:t>recent</w:t>
      </w:r>
      <w:r w:rsidR="000A5329" w:rsidRPr="002029AF">
        <w:t xml:space="preserve"> </w:t>
      </w:r>
      <w:r w:rsidRPr="002029AF">
        <w:t>data</w:t>
      </w:r>
      <w:r w:rsidR="000A5329" w:rsidRPr="002029AF">
        <w:t xml:space="preserve"> </w:t>
      </w:r>
      <w:r w:rsidRPr="002029AF">
        <w:t>available</w:t>
      </w:r>
      <w:r w:rsidR="000A5329" w:rsidRPr="002029AF">
        <w:t xml:space="preserve"> </w:t>
      </w:r>
      <w:r w:rsidRPr="002029AF">
        <w:t>from</w:t>
      </w:r>
      <w:r w:rsidR="000A5329" w:rsidRPr="002029AF">
        <w:t xml:space="preserve"> </w:t>
      </w:r>
      <w:r w:rsidRPr="002029AF">
        <w:t>the</w:t>
      </w:r>
      <w:r w:rsidR="000A5329" w:rsidRPr="002029AF">
        <w:t xml:space="preserve"> </w:t>
      </w:r>
      <w:r w:rsidRPr="002029AF">
        <w:t>National</w:t>
      </w:r>
      <w:r w:rsidR="000A5329" w:rsidRPr="002029AF">
        <w:t xml:space="preserve"> </w:t>
      </w:r>
      <w:r w:rsidRPr="002029AF">
        <w:t>Pollutant</w:t>
      </w:r>
      <w:r w:rsidR="000A5329" w:rsidRPr="002029AF">
        <w:t xml:space="preserve"> </w:t>
      </w:r>
      <w:r w:rsidRPr="002029AF">
        <w:t>Inventory</w:t>
      </w:r>
      <w:r w:rsidR="000A5329" w:rsidRPr="002029AF">
        <w:t xml:space="preserve"> </w:t>
      </w:r>
      <w:r w:rsidRPr="002029AF">
        <w:t>at</w:t>
      </w:r>
      <w:r w:rsidR="000A5329" w:rsidRPr="002029AF">
        <w:t xml:space="preserve"> </w:t>
      </w:r>
      <w:r w:rsidRPr="002029AF">
        <w:t>the</w:t>
      </w:r>
      <w:r w:rsidR="000A5329" w:rsidRPr="002029AF">
        <w:t xml:space="preserve"> </w:t>
      </w:r>
      <w:r w:rsidRPr="002029AF">
        <w:t>date</w:t>
      </w:r>
      <w:r w:rsidR="000A5329" w:rsidRPr="002029AF">
        <w:t xml:space="preserve"> </w:t>
      </w:r>
      <w:r w:rsidRPr="002029AF">
        <w:t>of</w:t>
      </w:r>
      <w:r w:rsidR="000A5329" w:rsidRPr="002029AF">
        <w:t xml:space="preserve"> </w:t>
      </w:r>
      <w:r w:rsidRPr="002029AF">
        <w:t>this</w:t>
      </w:r>
      <w:r w:rsidR="000A5329" w:rsidRPr="002029AF">
        <w:t xml:space="preserve"> </w:t>
      </w:r>
      <w:r w:rsidRPr="002029AF">
        <w:t>printing.</w:t>
      </w:r>
    </w:p>
    <w:bookmarkEnd w:id="105"/>
    <w:p w14:paraId="75AC8CCF" w14:textId="77777777" w:rsidR="00CF72D5" w:rsidRPr="002029AF" w:rsidRDefault="00CF72D5" w:rsidP="005A6B8E">
      <w:pPr>
        <w:pStyle w:val="ARbody"/>
      </w:pPr>
    </w:p>
    <w:p w14:paraId="600C0EA1" w14:textId="77777777" w:rsidR="00E21E63" w:rsidRPr="002029AF" w:rsidRDefault="00E21E63" w:rsidP="00E71771">
      <w:pPr>
        <w:sectPr w:rsidR="00E21E63" w:rsidRPr="002029AF" w:rsidSect="009049B1">
          <w:headerReference w:type="even" r:id="rId192"/>
          <w:headerReference w:type="default" r:id="rId193"/>
          <w:endnotePr>
            <w:numFmt w:val="decimal"/>
          </w:endnotePr>
          <w:pgSz w:w="11900" w:h="16840" w:code="9"/>
          <w:pgMar w:top="1985" w:right="851" w:bottom="851" w:left="1418" w:header="510" w:footer="340" w:gutter="0"/>
          <w:cols w:space="454"/>
          <w15:footnoteColumns w:val="1"/>
        </w:sectPr>
      </w:pPr>
    </w:p>
    <w:p w14:paraId="0E162552" w14:textId="76F2B57F" w:rsidR="00F21504" w:rsidRPr="002029AF" w:rsidRDefault="00F21504" w:rsidP="00E54FBE">
      <w:pPr>
        <w:pStyle w:val="Heading1"/>
      </w:pPr>
      <w:bookmarkStart w:id="196" w:name="_Toc40770921"/>
      <w:bookmarkStart w:id="197" w:name="_Toc40770922"/>
      <w:bookmarkStart w:id="198" w:name="_Toc40770823"/>
      <w:bookmarkStart w:id="199" w:name="_Toc40770943"/>
      <w:bookmarkStart w:id="200" w:name="_Toc40771364"/>
      <w:bookmarkStart w:id="201" w:name="_Toc40771384"/>
      <w:bookmarkStart w:id="202" w:name="_Toc40770824"/>
      <w:bookmarkStart w:id="203" w:name="_Toc40770944"/>
      <w:bookmarkStart w:id="204" w:name="_Toc40771365"/>
      <w:bookmarkStart w:id="205" w:name="_Toc40771385"/>
      <w:bookmarkStart w:id="206" w:name="_Toc40770825"/>
      <w:bookmarkStart w:id="207" w:name="_Toc40770945"/>
      <w:bookmarkStart w:id="208" w:name="_Toc40771366"/>
      <w:bookmarkStart w:id="209" w:name="_Toc40771386"/>
      <w:bookmarkStart w:id="210" w:name="_Toc40770826"/>
      <w:bookmarkStart w:id="211" w:name="_Toc40770946"/>
      <w:bookmarkStart w:id="212" w:name="_Toc40771367"/>
      <w:bookmarkStart w:id="213" w:name="_Toc40771387"/>
      <w:bookmarkStart w:id="214" w:name="_Toc40770959"/>
      <w:bookmarkStart w:id="215" w:name="_Toc40770960"/>
      <w:bookmarkStart w:id="216" w:name="_Toc40770961"/>
      <w:bookmarkStart w:id="217" w:name="_Toc40770962"/>
      <w:bookmarkStart w:id="218" w:name="_Toc40770963"/>
      <w:bookmarkStart w:id="219" w:name="_Toc40770964"/>
      <w:bookmarkStart w:id="220" w:name="_Toc40770965"/>
      <w:bookmarkStart w:id="221" w:name="_Toc40770966"/>
      <w:bookmarkStart w:id="222" w:name="_Toc40770967"/>
      <w:bookmarkStart w:id="223" w:name="_Toc40770968"/>
      <w:bookmarkStart w:id="224" w:name="_Toc40771115"/>
      <w:bookmarkStart w:id="225" w:name="_Toc40771124"/>
      <w:bookmarkStart w:id="226" w:name="_Toc40771125"/>
      <w:bookmarkStart w:id="227" w:name="_Toc40771126"/>
      <w:bookmarkStart w:id="228" w:name="_Toc40771130"/>
      <w:bookmarkStart w:id="229" w:name="_Toc40771131"/>
      <w:bookmarkStart w:id="230" w:name="_Toc40771132"/>
      <w:bookmarkStart w:id="231" w:name="_Toc40771133"/>
      <w:bookmarkStart w:id="232" w:name="_Toc40771134"/>
      <w:bookmarkStart w:id="233" w:name="_Toc54690771"/>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r w:rsidRPr="002029AF">
        <w:lastRenderedPageBreak/>
        <w:t>Department</w:t>
      </w:r>
      <w:r w:rsidR="000A5329" w:rsidRPr="002029AF">
        <w:t xml:space="preserve"> </w:t>
      </w:r>
      <w:r w:rsidRPr="002029AF">
        <w:t>of</w:t>
      </w:r>
      <w:r w:rsidR="000A5329" w:rsidRPr="002029AF">
        <w:t xml:space="preserve"> </w:t>
      </w:r>
      <w:r w:rsidRPr="002029AF">
        <w:t>Health</w:t>
      </w:r>
      <w:r w:rsidR="000A5329" w:rsidRPr="002029AF">
        <w:t xml:space="preserve"> </w:t>
      </w:r>
      <w:r w:rsidRPr="002029AF">
        <w:t>and</w:t>
      </w:r>
      <w:r w:rsidR="000A5329" w:rsidRPr="002029AF">
        <w:t xml:space="preserve"> </w:t>
      </w:r>
      <w:r w:rsidRPr="002029AF">
        <w:t>Human</w:t>
      </w:r>
      <w:r w:rsidR="000A5329" w:rsidRPr="002029AF">
        <w:t xml:space="preserve"> </w:t>
      </w:r>
      <w:r w:rsidRPr="002029AF">
        <w:t>Services:</w:t>
      </w:r>
      <w:r w:rsidR="000A5329" w:rsidRPr="002029AF">
        <w:t xml:space="preserve"> </w:t>
      </w:r>
      <w:r w:rsidRPr="002029AF">
        <w:t>Financial</w:t>
      </w:r>
      <w:r w:rsidR="000A5329" w:rsidRPr="002029AF">
        <w:t xml:space="preserve"> </w:t>
      </w:r>
      <w:r w:rsidRPr="002029AF">
        <w:t>statements</w:t>
      </w:r>
      <w:r w:rsidR="000A5329" w:rsidRPr="002029AF">
        <w:t xml:space="preserve"> </w:t>
      </w:r>
      <w:r w:rsidRPr="002029AF">
        <w:t>for</w:t>
      </w:r>
      <w:r w:rsidR="000A5329" w:rsidRPr="002029AF">
        <w:t xml:space="preserve"> </w:t>
      </w:r>
      <w:r w:rsidRPr="002029AF">
        <w:t>the</w:t>
      </w:r>
      <w:r w:rsidR="000A5329" w:rsidRPr="002029AF">
        <w:t xml:space="preserve"> </w:t>
      </w:r>
      <w:r w:rsidRPr="002029AF">
        <w:t>financial</w:t>
      </w:r>
      <w:r w:rsidR="000A5329" w:rsidRPr="002029AF">
        <w:t xml:space="preserve"> </w:t>
      </w:r>
      <w:r w:rsidRPr="002029AF">
        <w:t>year</w:t>
      </w:r>
      <w:r w:rsidR="000A5329" w:rsidRPr="002029AF">
        <w:t xml:space="preserve"> </w:t>
      </w:r>
      <w:r w:rsidRPr="002029AF">
        <w:t>ended</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bookmarkEnd w:id="233"/>
    </w:p>
    <w:p w14:paraId="4C389B72" w14:textId="1A25CDB2" w:rsidR="00B3569E" w:rsidRDefault="00DA4865">
      <w:pPr>
        <w:pStyle w:val="TOC1"/>
        <w:rPr>
          <w:rFonts w:asciiTheme="minorHAnsi" w:hAnsiTheme="minorHAnsi"/>
          <w:sz w:val="22"/>
          <w:szCs w:val="22"/>
          <w:lang w:eastAsia="en-AU"/>
        </w:rPr>
      </w:pPr>
      <w:r w:rsidRPr="002029AF">
        <w:rPr>
          <w:rFonts w:cs="Arial"/>
          <w:b/>
          <w:noProof w:val="0"/>
          <w:szCs w:val="24"/>
        </w:rPr>
        <w:fldChar w:fldCharType="begin"/>
      </w:r>
      <w:r w:rsidRPr="002029AF">
        <w:rPr>
          <w:rFonts w:cs="Arial"/>
          <w:b/>
          <w:noProof w:val="0"/>
          <w:szCs w:val="24"/>
        </w:rPr>
        <w:instrText xml:space="preserve"> TOC \b FinancialStatements \h \z \t "Heading 2,1,Heading 3,2" </w:instrText>
      </w:r>
      <w:r w:rsidRPr="002029AF">
        <w:rPr>
          <w:rFonts w:cs="Arial"/>
          <w:b/>
          <w:noProof w:val="0"/>
          <w:szCs w:val="24"/>
        </w:rPr>
        <w:fldChar w:fldCharType="separate"/>
      </w:r>
      <w:hyperlink w:anchor="_Toc54690803" w:history="1">
        <w:r w:rsidR="00B3569E" w:rsidRPr="00672318">
          <w:rPr>
            <w:rStyle w:val="Hyperlink"/>
          </w:rPr>
          <w:t>Declaration in the financial statements</w:t>
        </w:r>
        <w:r w:rsidR="00B3569E">
          <w:rPr>
            <w:webHidden/>
          </w:rPr>
          <w:tab/>
        </w:r>
        <w:r w:rsidR="00B3569E">
          <w:rPr>
            <w:webHidden/>
          </w:rPr>
          <w:fldChar w:fldCharType="begin"/>
        </w:r>
        <w:r w:rsidR="00B3569E">
          <w:rPr>
            <w:webHidden/>
          </w:rPr>
          <w:instrText xml:space="preserve"> PAGEREF _Toc54690803 \h </w:instrText>
        </w:r>
        <w:r w:rsidR="00B3569E">
          <w:rPr>
            <w:webHidden/>
          </w:rPr>
        </w:r>
        <w:r w:rsidR="00B3569E">
          <w:rPr>
            <w:webHidden/>
          </w:rPr>
          <w:fldChar w:fldCharType="separate"/>
        </w:r>
        <w:r w:rsidR="00F3275D">
          <w:rPr>
            <w:webHidden/>
          </w:rPr>
          <w:t>193</w:t>
        </w:r>
        <w:r w:rsidR="00B3569E">
          <w:rPr>
            <w:webHidden/>
          </w:rPr>
          <w:fldChar w:fldCharType="end"/>
        </w:r>
      </w:hyperlink>
    </w:p>
    <w:p w14:paraId="32B05555" w14:textId="339E6C24" w:rsidR="00B3569E" w:rsidRDefault="00F3275D">
      <w:pPr>
        <w:pStyle w:val="TOC1"/>
        <w:rPr>
          <w:rFonts w:asciiTheme="minorHAnsi" w:hAnsiTheme="minorHAnsi"/>
          <w:sz w:val="22"/>
          <w:szCs w:val="22"/>
          <w:lang w:eastAsia="en-AU"/>
        </w:rPr>
      </w:pPr>
      <w:hyperlink w:anchor="_Toc54690804" w:history="1">
        <w:r w:rsidR="00B3569E" w:rsidRPr="00672318">
          <w:rPr>
            <w:rStyle w:val="Hyperlink"/>
          </w:rPr>
          <w:t>Financial Management Compliance Attestation Statement</w:t>
        </w:r>
        <w:r w:rsidR="00B3569E">
          <w:rPr>
            <w:webHidden/>
          </w:rPr>
          <w:tab/>
        </w:r>
        <w:r w:rsidR="00B3569E">
          <w:rPr>
            <w:webHidden/>
          </w:rPr>
          <w:fldChar w:fldCharType="begin"/>
        </w:r>
        <w:r w:rsidR="00B3569E">
          <w:rPr>
            <w:webHidden/>
          </w:rPr>
          <w:instrText xml:space="preserve"> PAGEREF _Toc54690804 \h </w:instrText>
        </w:r>
        <w:r w:rsidR="00B3569E">
          <w:rPr>
            <w:webHidden/>
          </w:rPr>
        </w:r>
        <w:r w:rsidR="00B3569E">
          <w:rPr>
            <w:webHidden/>
          </w:rPr>
          <w:fldChar w:fldCharType="separate"/>
        </w:r>
        <w:r>
          <w:rPr>
            <w:webHidden/>
          </w:rPr>
          <w:t>194</w:t>
        </w:r>
        <w:r w:rsidR="00B3569E">
          <w:rPr>
            <w:webHidden/>
          </w:rPr>
          <w:fldChar w:fldCharType="end"/>
        </w:r>
      </w:hyperlink>
    </w:p>
    <w:p w14:paraId="31C66D74" w14:textId="332CA8B2" w:rsidR="00B3569E" w:rsidRDefault="00F3275D">
      <w:pPr>
        <w:pStyle w:val="TOC1"/>
        <w:rPr>
          <w:rFonts w:asciiTheme="minorHAnsi" w:hAnsiTheme="minorHAnsi"/>
          <w:sz w:val="22"/>
          <w:szCs w:val="22"/>
          <w:lang w:eastAsia="en-AU"/>
        </w:rPr>
      </w:pPr>
      <w:hyperlink w:anchor="_Toc54690805" w:history="1">
        <w:r w:rsidR="00B3569E" w:rsidRPr="00672318">
          <w:rPr>
            <w:rStyle w:val="Hyperlink"/>
          </w:rPr>
          <w:t>Independent auditor’s report</w:t>
        </w:r>
        <w:r w:rsidR="00B3569E">
          <w:rPr>
            <w:webHidden/>
          </w:rPr>
          <w:tab/>
        </w:r>
        <w:r w:rsidR="00B3569E">
          <w:rPr>
            <w:webHidden/>
          </w:rPr>
          <w:fldChar w:fldCharType="begin"/>
        </w:r>
        <w:r w:rsidR="00B3569E">
          <w:rPr>
            <w:webHidden/>
          </w:rPr>
          <w:instrText xml:space="preserve"> PAGEREF _Toc54690805 \h </w:instrText>
        </w:r>
        <w:r w:rsidR="00B3569E">
          <w:rPr>
            <w:webHidden/>
          </w:rPr>
        </w:r>
        <w:r w:rsidR="00B3569E">
          <w:rPr>
            <w:webHidden/>
          </w:rPr>
          <w:fldChar w:fldCharType="separate"/>
        </w:r>
        <w:r>
          <w:rPr>
            <w:webHidden/>
          </w:rPr>
          <w:t>195</w:t>
        </w:r>
        <w:r w:rsidR="00B3569E">
          <w:rPr>
            <w:webHidden/>
          </w:rPr>
          <w:fldChar w:fldCharType="end"/>
        </w:r>
      </w:hyperlink>
    </w:p>
    <w:p w14:paraId="2461D13C" w14:textId="53F0A29D" w:rsidR="00B3569E" w:rsidRDefault="00F3275D">
      <w:pPr>
        <w:pStyle w:val="TOC1"/>
        <w:rPr>
          <w:rFonts w:asciiTheme="minorHAnsi" w:hAnsiTheme="minorHAnsi"/>
          <w:sz w:val="22"/>
          <w:szCs w:val="22"/>
          <w:lang w:eastAsia="en-AU"/>
        </w:rPr>
      </w:pPr>
      <w:hyperlink w:anchor="_Toc54690806" w:history="1">
        <w:r w:rsidR="00B3569E" w:rsidRPr="00672318">
          <w:rPr>
            <w:rStyle w:val="Hyperlink"/>
          </w:rPr>
          <w:t>Comprehensive operating statement for the financial year ended 30 June 2020</w:t>
        </w:r>
        <w:r w:rsidR="00B3569E">
          <w:rPr>
            <w:webHidden/>
          </w:rPr>
          <w:tab/>
        </w:r>
        <w:r w:rsidR="00B3569E">
          <w:rPr>
            <w:webHidden/>
          </w:rPr>
          <w:fldChar w:fldCharType="begin"/>
        </w:r>
        <w:r w:rsidR="00B3569E">
          <w:rPr>
            <w:webHidden/>
          </w:rPr>
          <w:instrText xml:space="preserve"> PAGEREF _Toc54690806 \h </w:instrText>
        </w:r>
        <w:r w:rsidR="00B3569E">
          <w:rPr>
            <w:webHidden/>
          </w:rPr>
        </w:r>
        <w:r w:rsidR="00B3569E">
          <w:rPr>
            <w:webHidden/>
          </w:rPr>
          <w:fldChar w:fldCharType="separate"/>
        </w:r>
        <w:r>
          <w:rPr>
            <w:webHidden/>
          </w:rPr>
          <w:t>197</w:t>
        </w:r>
        <w:r w:rsidR="00B3569E">
          <w:rPr>
            <w:webHidden/>
          </w:rPr>
          <w:fldChar w:fldCharType="end"/>
        </w:r>
      </w:hyperlink>
    </w:p>
    <w:p w14:paraId="57A4B952" w14:textId="4B651297" w:rsidR="00B3569E" w:rsidRDefault="00F3275D">
      <w:pPr>
        <w:pStyle w:val="TOC1"/>
        <w:rPr>
          <w:rFonts w:asciiTheme="minorHAnsi" w:hAnsiTheme="minorHAnsi"/>
          <w:sz w:val="22"/>
          <w:szCs w:val="22"/>
          <w:lang w:eastAsia="en-AU"/>
        </w:rPr>
      </w:pPr>
      <w:hyperlink w:anchor="_Toc54690807" w:history="1">
        <w:r w:rsidR="00B3569E" w:rsidRPr="00672318">
          <w:rPr>
            <w:rStyle w:val="Hyperlink"/>
          </w:rPr>
          <w:t>Balance sheet as at 30 June 2020</w:t>
        </w:r>
        <w:r w:rsidR="00B3569E">
          <w:rPr>
            <w:webHidden/>
          </w:rPr>
          <w:tab/>
        </w:r>
        <w:r w:rsidR="00B3569E">
          <w:rPr>
            <w:webHidden/>
          </w:rPr>
          <w:fldChar w:fldCharType="begin"/>
        </w:r>
        <w:r w:rsidR="00B3569E">
          <w:rPr>
            <w:webHidden/>
          </w:rPr>
          <w:instrText xml:space="preserve"> PAGEREF _Toc54690807 \h </w:instrText>
        </w:r>
        <w:r w:rsidR="00B3569E">
          <w:rPr>
            <w:webHidden/>
          </w:rPr>
        </w:r>
        <w:r w:rsidR="00B3569E">
          <w:rPr>
            <w:webHidden/>
          </w:rPr>
          <w:fldChar w:fldCharType="separate"/>
        </w:r>
        <w:r>
          <w:rPr>
            <w:webHidden/>
          </w:rPr>
          <w:t>198</w:t>
        </w:r>
        <w:r w:rsidR="00B3569E">
          <w:rPr>
            <w:webHidden/>
          </w:rPr>
          <w:fldChar w:fldCharType="end"/>
        </w:r>
      </w:hyperlink>
    </w:p>
    <w:p w14:paraId="6566666A" w14:textId="797E55D3" w:rsidR="00B3569E" w:rsidRDefault="00F3275D">
      <w:pPr>
        <w:pStyle w:val="TOC1"/>
        <w:rPr>
          <w:rFonts w:asciiTheme="minorHAnsi" w:hAnsiTheme="minorHAnsi"/>
          <w:sz w:val="22"/>
          <w:szCs w:val="22"/>
          <w:lang w:eastAsia="en-AU"/>
        </w:rPr>
      </w:pPr>
      <w:hyperlink w:anchor="_Toc54690808" w:history="1">
        <w:r w:rsidR="00B3569E" w:rsidRPr="00672318">
          <w:rPr>
            <w:rStyle w:val="Hyperlink"/>
          </w:rPr>
          <w:t>Cash flow statement for the financial year ended 30 June 2020</w:t>
        </w:r>
        <w:r w:rsidR="00B3569E">
          <w:rPr>
            <w:webHidden/>
          </w:rPr>
          <w:tab/>
        </w:r>
        <w:r w:rsidR="00B3569E">
          <w:rPr>
            <w:webHidden/>
          </w:rPr>
          <w:fldChar w:fldCharType="begin"/>
        </w:r>
        <w:r w:rsidR="00B3569E">
          <w:rPr>
            <w:webHidden/>
          </w:rPr>
          <w:instrText xml:space="preserve"> PAGEREF _Toc54690808 \h </w:instrText>
        </w:r>
        <w:r w:rsidR="00B3569E">
          <w:rPr>
            <w:webHidden/>
          </w:rPr>
        </w:r>
        <w:r w:rsidR="00B3569E">
          <w:rPr>
            <w:webHidden/>
          </w:rPr>
          <w:fldChar w:fldCharType="separate"/>
        </w:r>
        <w:r>
          <w:rPr>
            <w:webHidden/>
          </w:rPr>
          <w:t>199</w:t>
        </w:r>
        <w:r w:rsidR="00B3569E">
          <w:rPr>
            <w:webHidden/>
          </w:rPr>
          <w:fldChar w:fldCharType="end"/>
        </w:r>
      </w:hyperlink>
    </w:p>
    <w:p w14:paraId="2473D25E" w14:textId="2D27CD8D" w:rsidR="00B3569E" w:rsidRDefault="00F3275D">
      <w:pPr>
        <w:pStyle w:val="TOC1"/>
        <w:rPr>
          <w:rFonts w:asciiTheme="minorHAnsi" w:hAnsiTheme="minorHAnsi"/>
          <w:sz w:val="22"/>
          <w:szCs w:val="22"/>
          <w:lang w:eastAsia="en-AU"/>
        </w:rPr>
      </w:pPr>
      <w:hyperlink w:anchor="_Toc54690809" w:history="1">
        <w:r w:rsidR="00B3569E" w:rsidRPr="00672318">
          <w:rPr>
            <w:rStyle w:val="Hyperlink"/>
          </w:rPr>
          <w:t>Statement of changes in equity for the financial year ended 30 June 2020</w:t>
        </w:r>
        <w:r w:rsidR="00B3569E">
          <w:rPr>
            <w:webHidden/>
          </w:rPr>
          <w:tab/>
        </w:r>
        <w:r w:rsidR="00B3569E">
          <w:rPr>
            <w:webHidden/>
          </w:rPr>
          <w:fldChar w:fldCharType="begin"/>
        </w:r>
        <w:r w:rsidR="00B3569E">
          <w:rPr>
            <w:webHidden/>
          </w:rPr>
          <w:instrText xml:space="preserve"> PAGEREF _Toc54690809 \h </w:instrText>
        </w:r>
        <w:r w:rsidR="00B3569E">
          <w:rPr>
            <w:webHidden/>
          </w:rPr>
        </w:r>
        <w:r w:rsidR="00B3569E">
          <w:rPr>
            <w:webHidden/>
          </w:rPr>
          <w:fldChar w:fldCharType="separate"/>
        </w:r>
        <w:r>
          <w:rPr>
            <w:webHidden/>
          </w:rPr>
          <w:t>200</w:t>
        </w:r>
        <w:r w:rsidR="00B3569E">
          <w:rPr>
            <w:webHidden/>
          </w:rPr>
          <w:fldChar w:fldCharType="end"/>
        </w:r>
      </w:hyperlink>
    </w:p>
    <w:p w14:paraId="0A5A1C2B" w14:textId="46969149" w:rsidR="00B3569E" w:rsidRDefault="00F3275D">
      <w:pPr>
        <w:pStyle w:val="TOC1"/>
        <w:rPr>
          <w:rFonts w:asciiTheme="minorHAnsi" w:hAnsiTheme="minorHAnsi"/>
          <w:sz w:val="22"/>
          <w:szCs w:val="22"/>
          <w:lang w:eastAsia="en-AU"/>
        </w:rPr>
      </w:pPr>
      <w:hyperlink w:anchor="_Toc54690810" w:history="1">
        <w:r w:rsidR="00B3569E" w:rsidRPr="00672318">
          <w:rPr>
            <w:rStyle w:val="Hyperlink"/>
          </w:rPr>
          <w:t>Notes to and forming part of the financial statements for the financial year ended 30 June 2020</w:t>
        </w:r>
        <w:r w:rsidR="00B3569E">
          <w:rPr>
            <w:webHidden/>
          </w:rPr>
          <w:tab/>
        </w:r>
        <w:r w:rsidR="00B3569E">
          <w:rPr>
            <w:webHidden/>
          </w:rPr>
          <w:fldChar w:fldCharType="begin"/>
        </w:r>
        <w:r w:rsidR="00B3569E">
          <w:rPr>
            <w:webHidden/>
          </w:rPr>
          <w:instrText xml:space="preserve"> PAGEREF _Toc54690810 \h </w:instrText>
        </w:r>
        <w:r w:rsidR="00B3569E">
          <w:rPr>
            <w:webHidden/>
          </w:rPr>
        </w:r>
        <w:r w:rsidR="00B3569E">
          <w:rPr>
            <w:webHidden/>
          </w:rPr>
          <w:fldChar w:fldCharType="separate"/>
        </w:r>
        <w:r>
          <w:rPr>
            <w:webHidden/>
          </w:rPr>
          <w:t>201</w:t>
        </w:r>
        <w:r w:rsidR="00B3569E">
          <w:rPr>
            <w:webHidden/>
          </w:rPr>
          <w:fldChar w:fldCharType="end"/>
        </w:r>
      </w:hyperlink>
    </w:p>
    <w:p w14:paraId="3DF7640E" w14:textId="3D286B4E" w:rsidR="00B3569E" w:rsidRDefault="00F3275D">
      <w:pPr>
        <w:pStyle w:val="TOC2"/>
        <w:rPr>
          <w:rFonts w:asciiTheme="minorHAnsi" w:hAnsiTheme="minorHAnsi"/>
          <w:sz w:val="22"/>
          <w:szCs w:val="22"/>
          <w:lang w:eastAsia="en-AU"/>
        </w:rPr>
      </w:pPr>
      <w:hyperlink w:anchor="_Toc54690811" w:history="1">
        <w:r w:rsidR="00B3569E" w:rsidRPr="00672318">
          <w:rPr>
            <w:rStyle w:val="Hyperlink"/>
          </w:rPr>
          <w:t>1. About this report</w:t>
        </w:r>
        <w:r w:rsidR="00B3569E">
          <w:rPr>
            <w:webHidden/>
          </w:rPr>
          <w:tab/>
        </w:r>
        <w:r w:rsidR="00B3569E">
          <w:rPr>
            <w:webHidden/>
          </w:rPr>
          <w:fldChar w:fldCharType="begin"/>
        </w:r>
        <w:r w:rsidR="00B3569E">
          <w:rPr>
            <w:webHidden/>
          </w:rPr>
          <w:instrText xml:space="preserve"> PAGEREF _Toc54690811 \h </w:instrText>
        </w:r>
        <w:r w:rsidR="00B3569E">
          <w:rPr>
            <w:webHidden/>
          </w:rPr>
        </w:r>
        <w:r w:rsidR="00B3569E">
          <w:rPr>
            <w:webHidden/>
          </w:rPr>
          <w:fldChar w:fldCharType="separate"/>
        </w:r>
        <w:r>
          <w:rPr>
            <w:webHidden/>
          </w:rPr>
          <w:t>201</w:t>
        </w:r>
        <w:r w:rsidR="00B3569E">
          <w:rPr>
            <w:webHidden/>
          </w:rPr>
          <w:fldChar w:fldCharType="end"/>
        </w:r>
      </w:hyperlink>
    </w:p>
    <w:p w14:paraId="56C63D09" w14:textId="45F00F25" w:rsidR="00B3569E" w:rsidRDefault="00F3275D">
      <w:pPr>
        <w:pStyle w:val="TOC2"/>
        <w:rPr>
          <w:rFonts w:asciiTheme="minorHAnsi" w:hAnsiTheme="minorHAnsi"/>
          <w:sz w:val="22"/>
          <w:szCs w:val="22"/>
          <w:lang w:eastAsia="en-AU"/>
        </w:rPr>
      </w:pPr>
      <w:hyperlink w:anchor="_Toc54690812" w:history="1">
        <w:r w:rsidR="00B3569E" w:rsidRPr="00672318">
          <w:rPr>
            <w:rStyle w:val="Hyperlink"/>
          </w:rPr>
          <w:t>2. Funding delivery of our services</w:t>
        </w:r>
        <w:r w:rsidR="00B3569E">
          <w:rPr>
            <w:webHidden/>
          </w:rPr>
          <w:tab/>
        </w:r>
        <w:r w:rsidR="00B3569E">
          <w:rPr>
            <w:webHidden/>
          </w:rPr>
          <w:fldChar w:fldCharType="begin"/>
        </w:r>
        <w:r w:rsidR="00B3569E">
          <w:rPr>
            <w:webHidden/>
          </w:rPr>
          <w:instrText xml:space="preserve"> PAGEREF _Toc54690812 \h </w:instrText>
        </w:r>
        <w:r w:rsidR="00B3569E">
          <w:rPr>
            <w:webHidden/>
          </w:rPr>
        </w:r>
        <w:r w:rsidR="00B3569E">
          <w:rPr>
            <w:webHidden/>
          </w:rPr>
          <w:fldChar w:fldCharType="separate"/>
        </w:r>
        <w:r>
          <w:rPr>
            <w:webHidden/>
          </w:rPr>
          <w:t>203</w:t>
        </w:r>
        <w:r w:rsidR="00B3569E">
          <w:rPr>
            <w:webHidden/>
          </w:rPr>
          <w:fldChar w:fldCharType="end"/>
        </w:r>
      </w:hyperlink>
    </w:p>
    <w:p w14:paraId="0E2054D8" w14:textId="7F872884" w:rsidR="00B3569E" w:rsidRDefault="00F3275D">
      <w:pPr>
        <w:pStyle w:val="TOC2"/>
        <w:rPr>
          <w:rFonts w:asciiTheme="minorHAnsi" w:hAnsiTheme="minorHAnsi"/>
          <w:sz w:val="22"/>
          <w:szCs w:val="22"/>
          <w:lang w:eastAsia="en-AU"/>
        </w:rPr>
      </w:pPr>
      <w:hyperlink w:anchor="_Toc54690813" w:history="1">
        <w:r w:rsidR="00B3569E" w:rsidRPr="00672318">
          <w:rPr>
            <w:rStyle w:val="Hyperlink"/>
          </w:rPr>
          <w:t>3. The cost of delivering services</w:t>
        </w:r>
        <w:r w:rsidR="00B3569E">
          <w:rPr>
            <w:webHidden/>
          </w:rPr>
          <w:tab/>
        </w:r>
        <w:r w:rsidR="00B3569E">
          <w:rPr>
            <w:webHidden/>
          </w:rPr>
          <w:fldChar w:fldCharType="begin"/>
        </w:r>
        <w:r w:rsidR="00B3569E">
          <w:rPr>
            <w:webHidden/>
          </w:rPr>
          <w:instrText xml:space="preserve"> PAGEREF _Toc54690813 \h </w:instrText>
        </w:r>
        <w:r w:rsidR="00B3569E">
          <w:rPr>
            <w:webHidden/>
          </w:rPr>
        </w:r>
        <w:r w:rsidR="00B3569E">
          <w:rPr>
            <w:webHidden/>
          </w:rPr>
          <w:fldChar w:fldCharType="separate"/>
        </w:r>
        <w:r>
          <w:rPr>
            <w:webHidden/>
          </w:rPr>
          <w:t>209</w:t>
        </w:r>
        <w:r w:rsidR="00B3569E">
          <w:rPr>
            <w:webHidden/>
          </w:rPr>
          <w:fldChar w:fldCharType="end"/>
        </w:r>
      </w:hyperlink>
    </w:p>
    <w:p w14:paraId="09639C64" w14:textId="165494A4" w:rsidR="00B3569E" w:rsidRDefault="00F3275D">
      <w:pPr>
        <w:pStyle w:val="TOC2"/>
        <w:rPr>
          <w:rFonts w:asciiTheme="minorHAnsi" w:hAnsiTheme="minorHAnsi"/>
          <w:sz w:val="22"/>
          <w:szCs w:val="22"/>
          <w:lang w:eastAsia="en-AU"/>
        </w:rPr>
      </w:pPr>
      <w:hyperlink w:anchor="_Toc54690814" w:history="1">
        <w:r w:rsidR="00B3569E" w:rsidRPr="00672318">
          <w:rPr>
            <w:rStyle w:val="Hyperlink"/>
          </w:rPr>
          <w:t>4. Disaggregated financial information by output</w:t>
        </w:r>
        <w:r w:rsidR="00B3569E">
          <w:rPr>
            <w:webHidden/>
          </w:rPr>
          <w:tab/>
        </w:r>
        <w:r w:rsidR="00B3569E">
          <w:rPr>
            <w:webHidden/>
          </w:rPr>
          <w:fldChar w:fldCharType="begin"/>
        </w:r>
        <w:r w:rsidR="00B3569E">
          <w:rPr>
            <w:webHidden/>
          </w:rPr>
          <w:instrText xml:space="preserve"> PAGEREF _Toc54690814 \h </w:instrText>
        </w:r>
        <w:r w:rsidR="00B3569E">
          <w:rPr>
            <w:webHidden/>
          </w:rPr>
        </w:r>
        <w:r w:rsidR="00B3569E">
          <w:rPr>
            <w:webHidden/>
          </w:rPr>
          <w:fldChar w:fldCharType="separate"/>
        </w:r>
        <w:r>
          <w:rPr>
            <w:webHidden/>
          </w:rPr>
          <w:t>216</w:t>
        </w:r>
        <w:r w:rsidR="00B3569E">
          <w:rPr>
            <w:webHidden/>
          </w:rPr>
          <w:fldChar w:fldCharType="end"/>
        </w:r>
      </w:hyperlink>
    </w:p>
    <w:p w14:paraId="4D736B77" w14:textId="68B58864" w:rsidR="00B3569E" w:rsidRDefault="00F3275D">
      <w:pPr>
        <w:pStyle w:val="TOC2"/>
        <w:rPr>
          <w:rFonts w:asciiTheme="minorHAnsi" w:hAnsiTheme="minorHAnsi"/>
          <w:sz w:val="22"/>
          <w:szCs w:val="22"/>
          <w:lang w:eastAsia="en-AU"/>
        </w:rPr>
      </w:pPr>
      <w:hyperlink w:anchor="_Toc54690815" w:history="1">
        <w:r w:rsidR="00B3569E" w:rsidRPr="00672318">
          <w:rPr>
            <w:rStyle w:val="Hyperlink"/>
          </w:rPr>
          <w:t>5. Key assets available to support output delivery</w:t>
        </w:r>
        <w:r w:rsidR="00B3569E">
          <w:rPr>
            <w:webHidden/>
          </w:rPr>
          <w:tab/>
        </w:r>
        <w:r w:rsidR="00B3569E">
          <w:rPr>
            <w:webHidden/>
          </w:rPr>
          <w:fldChar w:fldCharType="begin"/>
        </w:r>
        <w:r w:rsidR="00B3569E">
          <w:rPr>
            <w:webHidden/>
          </w:rPr>
          <w:instrText xml:space="preserve"> PAGEREF _Toc54690815 \h </w:instrText>
        </w:r>
        <w:r w:rsidR="00B3569E">
          <w:rPr>
            <w:webHidden/>
          </w:rPr>
        </w:r>
        <w:r w:rsidR="00B3569E">
          <w:rPr>
            <w:webHidden/>
          </w:rPr>
          <w:fldChar w:fldCharType="separate"/>
        </w:r>
        <w:r>
          <w:rPr>
            <w:webHidden/>
          </w:rPr>
          <w:t>227</w:t>
        </w:r>
        <w:r w:rsidR="00B3569E">
          <w:rPr>
            <w:webHidden/>
          </w:rPr>
          <w:fldChar w:fldCharType="end"/>
        </w:r>
      </w:hyperlink>
    </w:p>
    <w:p w14:paraId="5FEE847A" w14:textId="4B763730" w:rsidR="00B3569E" w:rsidRDefault="00F3275D">
      <w:pPr>
        <w:pStyle w:val="TOC2"/>
        <w:rPr>
          <w:rFonts w:asciiTheme="minorHAnsi" w:hAnsiTheme="minorHAnsi"/>
          <w:sz w:val="22"/>
          <w:szCs w:val="22"/>
          <w:lang w:eastAsia="en-AU"/>
        </w:rPr>
      </w:pPr>
      <w:hyperlink w:anchor="_Toc54690816" w:history="1">
        <w:r w:rsidR="00B3569E" w:rsidRPr="00672318">
          <w:rPr>
            <w:rStyle w:val="Hyperlink"/>
          </w:rPr>
          <w:t>6. Other assets and liabilities</w:t>
        </w:r>
        <w:r w:rsidR="00B3569E">
          <w:rPr>
            <w:webHidden/>
          </w:rPr>
          <w:tab/>
        </w:r>
        <w:r w:rsidR="00B3569E">
          <w:rPr>
            <w:webHidden/>
          </w:rPr>
          <w:fldChar w:fldCharType="begin"/>
        </w:r>
        <w:r w:rsidR="00B3569E">
          <w:rPr>
            <w:webHidden/>
          </w:rPr>
          <w:instrText xml:space="preserve"> PAGEREF _Toc54690816 \h </w:instrText>
        </w:r>
        <w:r w:rsidR="00B3569E">
          <w:rPr>
            <w:webHidden/>
          </w:rPr>
        </w:r>
        <w:r w:rsidR="00B3569E">
          <w:rPr>
            <w:webHidden/>
          </w:rPr>
          <w:fldChar w:fldCharType="separate"/>
        </w:r>
        <w:r>
          <w:rPr>
            <w:webHidden/>
          </w:rPr>
          <w:t>235</w:t>
        </w:r>
        <w:r w:rsidR="00B3569E">
          <w:rPr>
            <w:webHidden/>
          </w:rPr>
          <w:fldChar w:fldCharType="end"/>
        </w:r>
      </w:hyperlink>
    </w:p>
    <w:p w14:paraId="5C5D2AC3" w14:textId="7A22E6D3" w:rsidR="00B3569E" w:rsidRDefault="00F3275D">
      <w:pPr>
        <w:pStyle w:val="TOC2"/>
        <w:rPr>
          <w:rFonts w:asciiTheme="minorHAnsi" w:hAnsiTheme="minorHAnsi"/>
          <w:sz w:val="22"/>
          <w:szCs w:val="22"/>
          <w:lang w:eastAsia="en-AU"/>
        </w:rPr>
      </w:pPr>
      <w:hyperlink w:anchor="_Toc54690817" w:history="1">
        <w:r w:rsidR="00B3569E" w:rsidRPr="00672318">
          <w:rPr>
            <w:rStyle w:val="Hyperlink"/>
          </w:rPr>
          <w:t>7. How we financed our operations</w:t>
        </w:r>
        <w:r w:rsidR="00B3569E">
          <w:rPr>
            <w:webHidden/>
          </w:rPr>
          <w:tab/>
        </w:r>
        <w:r w:rsidR="00B3569E">
          <w:rPr>
            <w:webHidden/>
          </w:rPr>
          <w:fldChar w:fldCharType="begin"/>
        </w:r>
        <w:r w:rsidR="00B3569E">
          <w:rPr>
            <w:webHidden/>
          </w:rPr>
          <w:instrText xml:space="preserve"> PAGEREF _Toc54690817 \h </w:instrText>
        </w:r>
        <w:r w:rsidR="00B3569E">
          <w:rPr>
            <w:webHidden/>
          </w:rPr>
        </w:r>
        <w:r w:rsidR="00B3569E">
          <w:rPr>
            <w:webHidden/>
          </w:rPr>
          <w:fldChar w:fldCharType="separate"/>
        </w:r>
        <w:r>
          <w:rPr>
            <w:webHidden/>
          </w:rPr>
          <w:t>239</w:t>
        </w:r>
        <w:r w:rsidR="00B3569E">
          <w:rPr>
            <w:webHidden/>
          </w:rPr>
          <w:fldChar w:fldCharType="end"/>
        </w:r>
      </w:hyperlink>
    </w:p>
    <w:p w14:paraId="7D3E7100" w14:textId="5BC9ADCA" w:rsidR="00B3569E" w:rsidRDefault="00F3275D">
      <w:pPr>
        <w:pStyle w:val="TOC2"/>
        <w:rPr>
          <w:rFonts w:asciiTheme="minorHAnsi" w:hAnsiTheme="minorHAnsi"/>
          <w:sz w:val="22"/>
          <w:szCs w:val="22"/>
          <w:lang w:eastAsia="en-AU"/>
        </w:rPr>
      </w:pPr>
      <w:hyperlink w:anchor="_Toc54690818" w:history="1">
        <w:r w:rsidR="00B3569E" w:rsidRPr="00672318">
          <w:rPr>
            <w:rStyle w:val="Hyperlink"/>
          </w:rPr>
          <w:t>8. Risks, contingencies and valuation judgements</w:t>
        </w:r>
        <w:r w:rsidR="00B3569E">
          <w:rPr>
            <w:webHidden/>
          </w:rPr>
          <w:tab/>
        </w:r>
        <w:r w:rsidR="00B3569E">
          <w:rPr>
            <w:webHidden/>
          </w:rPr>
          <w:fldChar w:fldCharType="begin"/>
        </w:r>
        <w:r w:rsidR="00B3569E">
          <w:rPr>
            <w:webHidden/>
          </w:rPr>
          <w:instrText xml:space="preserve"> PAGEREF _Toc54690818 \h </w:instrText>
        </w:r>
        <w:r w:rsidR="00B3569E">
          <w:rPr>
            <w:webHidden/>
          </w:rPr>
        </w:r>
        <w:r w:rsidR="00B3569E">
          <w:rPr>
            <w:webHidden/>
          </w:rPr>
          <w:fldChar w:fldCharType="separate"/>
        </w:r>
        <w:r>
          <w:rPr>
            <w:webHidden/>
          </w:rPr>
          <w:t>251</w:t>
        </w:r>
        <w:r w:rsidR="00B3569E">
          <w:rPr>
            <w:webHidden/>
          </w:rPr>
          <w:fldChar w:fldCharType="end"/>
        </w:r>
      </w:hyperlink>
    </w:p>
    <w:p w14:paraId="5F81F7FF" w14:textId="6A93870E" w:rsidR="00B3569E" w:rsidRDefault="00F3275D">
      <w:pPr>
        <w:pStyle w:val="TOC2"/>
        <w:rPr>
          <w:rFonts w:asciiTheme="minorHAnsi" w:hAnsiTheme="minorHAnsi"/>
          <w:sz w:val="22"/>
          <w:szCs w:val="22"/>
          <w:lang w:eastAsia="en-AU"/>
        </w:rPr>
      </w:pPr>
      <w:hyperlink w:anchor="_Toc54690819" w:history="1">
        <w:r w:rsidR="00B3569E" w:rsidRPr="00672318">
          <w:rPr>
            <w:rStyle w:val="Hyperlink"/>
          </w:rPr>
          <w:t>9. Other disclosures</w:t>
        </w:r>
        <w:r w:rsidR="00B3569E">
          <w:rPr>
            <w:webHidden/>
          </w:rPr>
          <w:tab/>
        </w:r>
        <w:r w:rsidR="00B3569E">
          <w:rPr>
            <w:webHidden/>
          </w:rPr>
          <w:fldChar w:fldCharType="begin"/>
        </w:r>
        <w:r w:rsidR="00B3569E">
          <w:rPr>
            <w:webHidden/>
          </w:rPr>
          <w:instrText xml:space="preserve"> PAGEREF _Toc54690819 \h </w:instrText>
        </w:r>
        <w:r w:rsidR="00B3569E">
          <w:rPr>
            <w:webHidden/>
          </w:rPr>
        </w:r>
        <w:r w:rsidR="00B3569E">
          <w:rPr>
            <w:webHidden/>
          </w:rPr>
          <w:fldChar w:fldCharType="separate"/>
        </w:r>
        <w:r>
          <w:rPr>
            <w:webHidden/>
          </w:rPr>
          <w:t>265</w:t>
        </w:r>
        <w:r w:rsidR="00B3569E">
          <w:rPr>
            <w:webHidden/>
          </w:rPr>
          <w:fldChar w:fldCharType="end"/>
        </w:r>
      </w:hyperlink>
    </w:p>
    <w:p w14:paraId="56DFFCA7" w14:textId="1813DA2A" w:rsidR="00DA4865" w:rsidRPr="002029AF" w:rsidRDefault="00DA4865" w:rsidP="00DA4865">
      <w:pPr>
        <w:pStyle w:val="ARbody"/>
        <w:rPr>
          <w:color w:val="000000" w:themeColor="text1"/>
          <w:sz w:val="18"/>
          <w:u w:color="004C97"/>
        </w:rPr>
      </w:pPr>
      <w:r w:rsidRPr="002029AF">
        <w:rPr>
          <w:color w:val="000000" w:themeColor="text1"/>
          <w:sz w:val="18"/>
          <w:u w:color="004C97"/>
        </w:rPr>
        <w:fldChar w:fldCharType="end"/>
      </w:r>
    </w:p>
    <w:p w14:paraId="28E41196" w14:textId="77777777" w:rsidR="0065586C" w:rsidRPr="002029AF" w:rsidRDefault="0065586C" w:rsidP="003566F1">
      <w:pPr>
        <w:pStyle w:val="ARbody"/>
      </w:pPr>
      <w:bookmarkStart w:id="234" w:name="_Toc447030685"/>
      <w:bookmarkStart w:id="235" w:name="_Toc449452834"/>
      <w:bookmarkStart w:id="236" w:name="FinancialStatements"/>
      <w:r w:rsidRPr="002029AF">
        <w:br w:type="page"/>
      </w:r>
    </w:p>
    <w:p w14:paraId="50837B09" w14:textId="395ADE61" w:rsidR="0065586C" w:rsidRPr="002029AF" w:rsidRDefault="0065586C" w:rsidP="003566F1">
      <w:pPr>
        <w:pStyle w:val="Heading2"/>
      </w:pPr>
      <w:bookmarkStart w:id="237" w:name="_Toc51235505"/>
      <w:bookmarkStart w:id="238" w:name="_Ref51925976"/>
      <w:bookmarkStart w:id="239" w:name="_Ref52274885"/>
      <w:bookmarkStart w:id="240" w:name="_Ref52453991"/>
      <w:bookmarkStart w:id="241" w:name="_Toc54690803"/>
      <w:bookmarkStart w:id="242" w:name="_Hlk51700032"/>
      <w:r w:rsidRPr="002029AF">
        <w:lastRenderedPageBreak/>
        <w:t>Declaration</w:t>
      </w:r>
      <w:r w:rsidR="000A5329" w:rsidRPr="002029AF">
        <w:t xml:space="preserve"> </w:t>
      </w:r>
      <w:r w:rsidRPr="002029AF">
        <w:t>in</w:t>
      </w:r>
      <w:r w:rsidR="000A5329" w:rsidRPr="002029AF">
        <w:t xml:space="preserve"> </w:t>
      </w:r>
      <w:r w:rsidRPr="002029AF">
        <w:t>the</w:t>
      </w:r>
      <w:r w:rsidR="000A5329" w:rsidRPr="002029AF">
        <w:t xml:space="preserve"> </w:t>
      </w:r>
      <w:r w:rsidRPr="002029AF">
        <w:t>financial</w:t>
      </w:r>
      <w:r w:rsidR="000A5329" w:rsidRPr="002029AF">
        <w:t xml:space="preserve"> </w:t>
      </w:r>
      <w:r w:rsidRPr="002029AF">
        <w:t>statements</w:t>
      </w:r>
      <w:bookmarkEnd w:id="237"/>
      <w:bookmarkEnd w:id="238"/>
      <w:bookmarkEnd w:id="239"/>
      <w:bookmarkEnd w:id="240"/>
      <w:bookmarkEnd w:id="241"/>
    </w:p>
    <w:p w14:paraId="5F13F66A" w14:textId="3607CEA2" w:rsidR="0065586C" w:rsidRPr="002029AF" w:rsidRDefault="0065586C" w:rsidP="003566F1">
      <w:pPr>
        <w:pStyle w:val="ARbody"/>
      </w:pPr>
      <w:r w:rsidRPr="002029AF">
        <w:t>The</w:t>
      </w:r>
      <w:r w:rsidR="000A5329" w:rsidRPr="002029AF">
        <w:t xml:space="preserve"> </w:t>
      </w:r>
      <w:r w:rsidRPr="002029AF">
        <w:t>attached</w:t>
      </w:r>
      <w:r w:rsidR="000A5329" w:rsidRPr="002029AF">
        <w:t xml:space="preserve"> </w:t>
      </w:r>
      <w:r w:rsidRPr="002029AF">
        <w:t>financial</w:t>
      </w:r>
      <w:r w:rsidR="000A5329" w:rsidRPr="002029AF">
        <w:t xml:space="preserve"> </w:t>
      </w:r>
      <w:r w:rsidRPr="002029AF">
        <w:t>statements</w:t>
      </w:r>
      <w:r w:rsidR="000A5329" w:rsidRPr="002029AF">
        <w:t xml:space="preserve"> </w:t>
      </w:r>
      <w:r w:rsidRPr="002029AF">
        <w:t>for</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of</w:t>
      </w:r>
      <w:r w:rsidR="000A5329" w:rsidRPr="002029AF">
        <w:t xml:space="preserve"> </w:t>
      </w:r>
      <w:r w:rsidRPr="002029AF">
        <w:t>Health</w:t>
      </w:r>
      <w:r w:rsidR="000A5329" w:rsidRPr="002029AF">
        <w:t xml:space="preserve"> </w:t>
      </w:r>
      <w:r w:rsidRPr="002029AF">
        <w:t>and</w:t>
      </w:r>
      <w:r w:rsidR="000A5329" w:rsidRPr="002029AF">
        <w:t xml:space="preserve"> </w:t>
      </w:r>
      <w:r w:rsidRPr="002029AF">
        <w:t>Human</w:t>
      </w:r>
      <w:r w:rsidR="000A5329" w:rsidRPr="002029AF">
        <w:t xml:space="preserve"> </w:t>
      </w:r>
      <w:r w:rsidRPr="002029AF">
        <w:t>Services</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have</w:t>
      </w:r>
      <w:r w:rsidR="000A5329" w:rsidRPr="002029AF">
        <w:t xml:space="preserve"> </w:t>
      </w:r>
      <w:r w:rsidRPr="002029AF">
        <w:t>been</w:t>
      </w:r>
      <w:r w:rsidR="000A5329" w:rsidRPr="002029AF">
        <w:t xml:space="preserve"> </w:t>
      </w:r>
      <w:r w:rsidRPr="002029AF">
        <w:t>prepared</w:t>
      </w:r>
      <w:r w:rsidR="000A5329" w:rsidRPr="002029AF">
        <w:t xml:space="preserve"> </w:t>
      </w:r>
      <w:r w:rsidRPr="002029AF">
        <w:t>in</w:t>
      </w:r>
      <w:r w:rsidR="000A5329" w:rsidRPr="002029AF">
        <w:t xml:space="preserve"> </w:t>
      </w:r>
      <w:r w:rsidRPr="002029AF">
        <w:t>accordance</w:t>
      </w:r>
      <w:r w:rsidR="000A5329" w:rsidRPr="002029AF">
        <w:t xml:space="preserve"> </w:t>
      </w:r>
      <w:r w:rsidRPr="002029AF">
        <w:t>with</w:t>
      </w:r>
      <w:r w:rsidR="000A5329" w:rsidRPr="002029AF">
        <w:t xml:space="preserve"> </w:t>
      </w:r>
      <w:r w:rsidRPr="002029AF">
        <w:t>Direction</w:t>
      </w:r>
      <w:r w:rsidR="000A5329" w:rsidRPr="002029AF">
        <w:t xml:space="preserve"> </w:t>
      </w:r>
      <w:r w:rsidRPr="002029AF">
        <w:t>5.2</w:t>
      </w:r>
      <w:r w:rsidR="000A5329" w:rsidRPr="002029AF">
        <w:t xml:space="preserve"> </w:t>
      </w:r>
      <w:r w:rsidRPr="002029AF">
        <w:t>of</w:t>
      </w:r>
      <w:r w:rsidR="000A5329" w:rsidRPr="002029AF">
        <w:t xml:space="preserve"> </w:t>
      </w:r>
      <w:r w:rsidRPr="002029AF">
        <w:t>the</w:t>
      </w:r>
      <w:r w:rsidR="000A5329" w:rsidRPr="002029AF">
        <w:t xml:space="preserve"> </w:t>
      </w:r>
      <w:r w:rsidRPr="002029AF">
        <w:t>Standing</w:t>
      </w:r>
      <w:r w:rsidR="000A5329" w:rsidRPr="002029AF">
        <w:t xml:space="preserve"> </w:t>
      </w:r>
      <w:r w:rsidRPr="002029AF">
        <w:t>Directions</w:t>
      </w:r>
      <w:r w:rsidR="000A5329" w:rsidRPr="002029AF">
        <w:t xml:space="preserve"> </w:t>
      </w:r>
      <w:r w:rsidRPr="002029AF">
        <w:t>of</w:t>
      </w:r>
      <w:r w:rsidR="000A5329" w:rsidRPr="002029AF">
        <w:t xml:space="preserve"> </w:t>
      </w:r>
      <w:r w:rsidRPr="002029AF">
        <w:t>the</w:t>
      </w:r>
      <w:r w:rsidR="000A5329" w:rsidRPr="002029AF">
        <w:t xml:space="preserve"> </w:t>
      </w:r>
      <w:r w:rsidRPr="002029AF">
        <w:t>Assistant</w:t>
      </w:r>
      <w:r w:rsidR="000A5329" w:rsidRPr="002029AF">
        <w:t xml:space="preserve"> </w:t>
      </w:r>
      <w:r w:rsidRPr="002029AF">
        <w:t>Treasurer</w:t>
      </w:r>
      <w:r w:rsidR="000A5329" w:rsidRPr="002029AF">
        <w:t xml:space="preserve"> </w:t>
      </w:r>
      <w:r w:rsidRPr="002029AF">
        <w:t>under</w:t>
      </w:r>
      <w:r w:rsidR="000A5329" w:rsidRPr="002029AF">
        <w:t xml:space="preserve"> </w:t>
      </w:r>
      <w:r w:rsidRPr="002029AF">
        <w:t>the</w:t>
      </w:r>
      <w:r w:rsidR="000A5329" w:rsidRPr="002029AF">
        <w:t xml:space="preserve"> </w:t>
      </w:r>
      <w:r w:rsidRPr="002029AF">
        <w:rPr>
          <w:rStyle w:val="Emphasis"/>
        </w:rPr>
        <w:t>Financial</w:t>
      </w:r>
      <w:r w:rsidR="000A5329" w:rsidRPr="002029AF">
        <w:rPr>
          <w:rStyle w:val="Emphasis"/>
        </w:rPr>
        <w:t xml:space="preserve"> </w:t>
      </w:r>
      <w:r w:rsidRPr="002029AF">
        <w:rPr>
          <w:rStyle w:val="Emphasis"/>
        </w:rPr>
        <w:t>Management</w:t>
      </w:r>
      <w:r w:rsidR="000A5329" w:rsidRPr="002029AF">
        <w:rPr>
          <w:rStyle w:val="Emphasis"/>
        </w:rPr>
        <w:t xml:space="preserve"> </w:t>
      </w:r>
      <w:r w:rsidRPr="002029AF">
        <w:rPr>
          <w:rStyle w:val="Emphasis"/>
        </w:rPr>
        <w:t>Act</w:t>
      </w:r>
      <w:r w:rsidR="000A5329" w:rsidRPr="002029AF">
        <w:rPr>
          <w:rStyle w:val="Emphasis"/>
        </w:rPr>
        <w:t xml:space="preserve"> </w:t>
      </w:r>
      <w:r w:rsidRPr="002029AF">
        <w:rPr>
          <w:rStyle w:val="Emphasis"/>
        </w:rPr>
        <w:t>1994</w:t>
      </w:r>
      <w:r w:rsidRPr="002029AF">
        <w:t>,</w:t>
      </w:r>
      <w:r w:rsidR="000A5329" w:rsidRPr="002029AF">
        <w:t xml:space="preserve"> </w:t>
      </w:r>
      <w:r w:rsidRPr="002029AF">
        <w:t>applicable</w:t>
      </w:r>
      <w:r w:rsidR="000A5329" w:rsidRPr="002029AF">
        <w:t xml:space="preserve"> </w:t>
      </w:r>
      <w:r w:rsidRPr="002029AF">
        <w:t>Financial</w:t>
      </w:r>
      <w:r w:rsidR="000A5329" w:rsidRPr="002029AF">
        <w:t xml:space="preserve"> </w:t>
      </w:r>
      <w:r w:rsidRPr="002029AF">
        <w:t>Reporting</w:t>
      </w:r>
      <w:r w:rsidR="000A5329" w:rsidRPr="002029AF">
        <w:t xml:space="preserve"> </w:t>
      </w:r>
      <w:r w:rsidRPr="002029AF">
        <w:t>Directions,</w:t>
      </w:r>
      <w:r w:rsidR="000A5329" w:rsidRPr="002029AF">
        <w:t xml:space="preserve"> </w:t>
      </w:r>
      <w:r w:rsidRPr="002029AF">
        <w:t>Australian</w:t>
      </w:r>
      <w:r w:rsidR="000A5329" w:rsidRPr="002029AF">
        <w:t xml:space="preserve"> </w:t>
      </w:r>
      <w:r w:rsidRPr="002029AF">
        <w:t>Accounting</w:t>
      </w:r>
      <w:r w:rsidR="000A5329" w:rsidRPr="002029AF">
        <w:t xml:space="preserve"> </w:t>
      </w:r>
      <w:r w:rsidRPr="002029AF">
        <w:t>Standards</w:t>
      </w:r>
      <w:r w:rsidR="000A5329" w:rsidRPr="002029AF">
        <w:t xml:space="preserve"> </w:t>
      </w:r>
      <w:r w:rsidRPr="002029AF">
        <w:t>including</w:t>
      </w:r>
      <w:r w:rsidR="000A5329" w:rsidRPr="002029AF">
        <w:t xml:space="preserve"> </w:t>
      </w:r>
      <w:r w:rsidRPr="002029AF">
        <w:t>Interpretations,</w:t>
      </w:r>
      <w:r w:rsidR="000A5329" w:rsidRPr="002029AF">
        <w:t xml:space="preserve"> </w:t>
      </w:r>
      <w:r w:rsidRPr="002029AF">
        <w:t>and</w:t>
      </w:r>
      <w:r w:rsidR="000A5329" w:rsidRPr="002029AF">
        <w:t xml:space="preserve"> </w:t>
      </w:r>
      <w:r w:rsidRPr="002029AF">
        <w:t>other</w:t>
      </w:r>
      <w:r w:rsidR="000A5329" w:rsidRPr="002029AF">
        <w:t xml:space="preserve"> </w:t>
      </w:r>
      <w:r w:rsidRPr="002029AF">
        <w:t>mandatory</w:t>
      </w:r>
      <w:r w:rsidR="000A5329" w:rsidRPr="002029AF">
        <w:t xml:space="preserve"> </w:t>
      </w:r>
      <w:r w:rsidRPr="002029AF">
        <w:t>professional</w:t>
      </w:r>
      <w:r w:rsidR="000A5329" w:rsidRPr="002029AF">
        <w:t xml:space="preserve"> </w:t>
      </w:r>
      <w:r w:rsidRPr="002029AF">
        <w:t>reporting</w:t>
      </w:r>
      <w:r w:rsidR="000A5329" w:rsidRPr="002029AF">
        <w:t xml:space="preserve"> </w:t>
      </w:r>
      <w:r w:rsidRPr="002029AF">
        <w:t>requirements.</w:t>
      </w:r>
    </w:p>
    <w:p w14:paraId="1BE11ACD" w14:textId="2A85DD87" w:rsidR="0065586C" w:rsidRPr="002029AF" w:rsidRDefault="0065586C" w:rsidP="003566F1">
      <w:pPr>
        <w:pStyle w:val="ARbody"/>
      </w:pPr>
      <w:r w:rsidRPr="002029AF">
        <w:t>We</w:t>
      </w:r>
      <w:r w:rsidR="000A5329" w:rsidRPr="002029AF">
        <w:t xml:space="preserve"> </w:t>
      </w:r>
      <w:r w:rsidRPr="002029AF">
        <w:t>further</w:t>
      </w:r>
      <w:r w:rsidR="000A5329" w:rsidRPr="002029AF">
        <w:t xml:space="preserve"> </w:t>
      </w:r>
      <w:r w:rsidRPr="002029AF">
        <w:t>state</w:t>
      </w:r>
      <w:r w:rsidR="000A5329" w:rsidRPr="002029AF">
        <w:t xml:space="preserve"> </w:t>
      </w:r>
      <w:r w:rsidRPr="002029AF">
        <w:t>that,</w:t>
      </w:r>
      <w:r w:rsidR="000A5329" w:rsidRPr="002029AF">
        <w:t xml:space="preserve"> </w:t>
      </w:r>
      <w:r w:rsidRPr="002029AF">
        <w:t>in</w:t>
      </w:r>
      <w:r w:rsidR="000A5329" w:rsidRPr="002029AF">
        <w:t xml:space="preserve"> </w:t>
      </w:r>
      <w:r w:rsidRPr="002029AF">
        <w:t>our</w:t>
      </w:r>
      <w:r w:rsidR="000A5329" w:rsidRPr="002029AF">
        <w:t xml:space="preserve"> </w:t>
      </w:r>
      <w:r w:rsidRPr="002029AF">
        <w:t>opinion,</w:t>
      </w:r>
      <w:r w:rsidR="000A5329" w:rsidRPr="002029AF">
        <w:t xml:space="preserve"> </w:t>
      </w:r>
      <w:r w:rsidRPr="002029AF">
        <w:t>the</w:t>
      </w:r>
      <w:r w:rsidR="000A5329" w:rsidRPr="002029AF">
        <w:t xml:space="preserve"> </w:t>
      </w:r>
      <w:r w:rsidRPr="002029AF">
        <w:t>information</w:t>
      </w:r>
      <w:r w:rsidR="000A5329" w:rsidRPr="002029AF">
        <w:t xml:space="preserve"> </w:t>
      </w:r>
      <w:r w:rsidRPr="002029AF">
        <w:t>set</w:t>
      </w:r>
      <w:r w:rsidR="000A5329" w:rsidRPr="002029AF">
        <w:t xml:space="preserve"> </w:t>
      </w:r>
      <w:r w:rsidRPr="002029AF">
        <w:t>out</w:t>
      </w:r>
      <w:r w:rsidR="000A5329" w:rsidRPr="002029AF">
        <w:t xml:space="preserve"> </w:t>
      </w:r>
      <w:r w:rsidRPr="002029AF">
        <w:t>in</w:t>
      </w:r>
      <w:r w:rsidR="000A5329" w:rsidRPr="002029AF">
        <w:t xml:space="preserve"> </w:t>
      </w:r>
      <w:r w:rsidRPr="002029AF">
        <w:t>the</w:t>
      </w:r>
      <w:r w:rsidR="000A5329" w:rsidRPr="002029AF">
        <w:t xml:space="preserve"> </w:t>
      </w:r>
      <w:r w:rsidR="46767BE8" w:rsidRPr="002029AF">
        <w:t>c</w:t>
      </w:r>
      <w:r w:rsidR="1999A93C" w:rsidRPr="002029AF">
        <w:t>omprehensive</w:t>
      </w:r>
      <w:r w:rsidR="000A5329" w:rsidRPr="002029AF">
        <w:t xml:space="preserve"> </w:t>
      </w:r>
      <w:r w:rsidR="67C0D990" w:rsidRPr="002029AF">
        <w:t>o</w:t>
      </w:r>
      <w:r w:rsidR="1999A93C" w:rsidRPr="002029AF">
        <w:t>perating</w:t>
      </w:r>
      <w:r w:rsidR="000A5329" w:rsidRPr="002029AF">
        <w:t xml:space="preserve"> </w:t>
      </w:r>
      <w:r w:rsidR="682DAC30" w:rsidRPr="002029AF">
        <w:t>s</w:t>
      </w:r>
      <w:r w:rsidR="1999A93C" w:rsidRPr="002029AF">
        <w:t>tatement,</w:t>
      </w:r>
      <w:r w:rsidR="000A5329" w:rsidRPr="002029AF">
        <w:t xml:space="preserve"> </w:t>
      </w:r>
      <w:r w:rsidR="3620295C" w:rsidRPr="002029AF">
        <w:t>b</w:t>
      </w:r>
      <w:r w:rsidR="1999A93C" w:rsidRPr="002029AF">
        <w:t>alance</w:t>
      </w:r>
      <w:r w:rsidR="000A5329" w:rsidRPr="002029AF">
        <w:t xml:space="preserve"> </w:t>
      </w:r>
      <w:r w:rsidR="27724792" w:rsidRPr="002029AF">
        <w:t>s</w:t>
      </w:r>
      <w:r w:rsidR="1999A93C" w:rsidRPr="002029AF">
        <w:t>heet,</w:t>
      </w:r>
      <w:r w:rsidR="000A5329" w:rsidRPr="002029AF">
        <w:t xml:space="preserve"> </w:t>
      </w:r>
      <w:r w:rsidR="7551B5EC" w:rsidRPr="002029AF">
        <w:t>s</w:t>
      </w:r>
      <w:r w:rsidR="1999A93C" w:rsidRPr="002029AF">
        <w:t>tatement</w:t>
      </w:r>
      <w:r w:rsidR="000A5329" w:rsidRPr="002029AF">
        <w:t xml:space="preserve"> </w:t>
      </w:r>
      <w:r w:rsidRPr="002029AF">
        <w:t>of</w:t>
      </w:r>
      <w:r w:rsidR="000A5329" w:rsidRPr="002029AF">
        <w:t xml:space="preserve"> </w:t>
      </w:r>
      <w:r w:rsidR="1DC033FB" w:rsidRPr="002029AF">
        <w:t>c</w:t>
      </w:r>
      <w:r w:rsidR="1999A93C" w:rsidRPr="002029AF">
        <w:t>hanges</w:t>
      </w:r>
      <w:r w:rsidR="000A5329" w:rsidRPr="002029AF">
        <w:t xml:space="preserve"> </w:t>
      </w:r>
      <w:r w:rsidRPr="002029AF">
        <w:t>in</w:t>
      </w:r>
      <w:r w:rsidR="000A5329" w:rsidRPr="002029AF">
        <w:t xml:space="preserve"> </w:t>
      </w:r>
      <w:r w:rsidR="022A67EF" w:rsidRPr="002029AF">
        <w:t>e</w:t>
      </w:r>
      <w:r w:rsidR="1999A93C" w:rsidRPr="002029AF">
        <w:t>quity,</w:t>
      </w:r>
      <w:r w:rsidR="000A5329" w:rsidRPr="002029AF">
        <w:t xml:space="preserve"> </w:t>
      </w:r>
      <w:r w:rsidR="34FFEAF1" w:rsidRPr="002029AF">
        <w:t>c</w:t>
      </w:r>
      <w:r w:rsidR="1999A93C" w:rsidRPr="002029AF">
        <w:t>ash</w:t>
      </w:r>
      <w:r w:rsidR="000A5329" w:rsidRPr="002029AF">
        <w:t xml:space="preserve"> </w:t>
      </w:r>
      <w:r w:rsidR="625BFC9E" w:rsidRPr="002029AF">
        <w:t>f</w:t>
      </w:r>
      <w:r w:rsidRPr="002029AF">
        <w:t>low</w:t>
      </w:r>
      <w:r w:rsidR="000A5329" w:rsidRPr="002029AF">
        <w:t xml:space="preserve"> </w:t>
      </w:r>
      <w:r w:rsidR="44BCC745" w:rsidRPr="002029AF">
        <w:t>s</w:t>
      </w:r>
      <w:r w:rsidRPr="002029AF">
        <w:t>tatement</w:t>
      </w:r>
      <w:r w:rsidR="000A5329" w:rsidRPr="002029AF">
        <w:t xml:space="preserve"> </w:t>
      </w:r>
      <w:r w:rsidRPr="002029AF">
        <w:t>and</w:t>
      </w:r>
      <w:r w:rsidR="000A5329" w:rsidRPr="002029AF">
        <w:t xml:space="preserve"> </w:t>
      </w:r>
      <w:r w:rsidRPr="002029AF">
        <w:t>accompanying</w:t>
      </w:r>
      <w:r w:rsidR="000A5329" w:rsidRPr="002029AF">
        <w:t xml:space="preserve"> </w:t>
      </w:r>
      <w:r w:rsidRPr="002029AF">
        <w:t>notes,</w:t>
      </w:r>
      <w:r w:rsidR="000A5329" w:rsidRPr="002029AF">
        <w:t xml:space="preserve"> </w:t>
      </w:r>
      <w:r w:rsidRPr="002029AF">
        <w:t>presents</w:t>
      </w:r>
      <w:r w:rsidR="000A5329" w:rsidRPr="002029AF">
        <w:t xml:space="preserve"> </w:t>
      </w:r>
      <w:r w:rsidRPr="002029AF">
        <w:t>fairly</w:t>
      </w:r>
      <w:r w:rsidR="007920F7" w:rsidRPr="002029AF">
        <w:t> </w:t>
      </w:r>
      <w:r w:rsidRPr="002029AF">
        <w:t>the</w:t>
      </w:r>
      <w:r w:rsidR="000A5329" w:rsidRPr="002029AF">
        <w:t xml:space="preserve"> </w:t>
      </w:r>
      <w:r w:rsidRPr="002029AF">
        <w:t>financial</w:t>
      </w:r>
      <w:r w:rsidR="000A5329" w:rsidRPr="002029AF">
        <w:t xml:space="preserve"> </w:t>
      </w:r>
      <w:r w:rsidRPr="002029AF">
        <w:t>transactions</w:t>
      </w:r>
      <w:r w:rsidR="000A5329" w:rsidRPr="002029AF">
        <w:t xml:space="preserve"> </w:t>
      </w:r>
      <w:r w:rsidRPr="002029AF">
        <w:t>during</w:t>
      </w:r>
      <w:r w:rsidR="000A5329" w:rsidRPr="002029AF">
        <w:t xml:space="preserve"> </w:t>
      </w:r>
      <w:r w:rsidRPr="002029AF">
        <w:t>the</w:t>
      </w:r>
      <w:r w:rsidR="000A5329" w:rsidRPr="002029AF">
        <w:t xml:space="preserve"> </w:t>
      </w:r>
      <w:r w:rsidRPr="002029AF">
        <w:t>year</w:t>
      </w:r>
      <w:r w:rsidR="000A5329" w:rsidRPr="002029AF">
        <w:t xml:space="preserve"> </w:t>
      </w:r>
      <w:r w:rsidRPr="002029AF">
        <w:t>ended</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r w:rsidR="000A5329" w:rsidRPr="002029AF">
        <w:t xml:space="preserve"> </w:t>
      </w:r>
      <w:r w:rsidRPr="002029AF">
        <w:t>and</w:t>
      </w:r>
      <w:r w:rsidR="000A5329" w:rsidRPr="002029AF">
        <w:t xml:space="preserve"> </w:t>
      </w:r>
      <w:r w:rsidRPr="002029AF">
        <w:t>financial</w:t>
      </w:r>
      <w:r w:rsidR="000A5329" w:rsidRPr="002029AF">
        <w:t xml:space="preserve"> </w:t>
      </w:r>
      <w:r w:rsidRPr="002029AF">
        <w:t>position</w:t>
      </w:r>
      <w:r w:rsidR="000A5329" w:rsidRPr="002029AF">
        <w:t xml:space="preserve"> </w:t>
      </w:r>
      <w:r w:rsidRPr="002029AF">
        <w:t>of</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at</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p>
    <w:p w14:paraId="25CDD93B" w14:textId="77A56D55" w:rsidR="0065586C" w:rsidRPr="002029AF" w:rsidRDefault="0065586C" w:rsidP="003566F1">
      <w:pPr>
        <w:pStyle w:val="ARbody"/>
      </w:pPr>
      <w:r w:rsidRPr="002029AF">
        <w:t>At</w:t>
      </w:r>
      <w:r w:rsidR="000A5329" w:rsidRPr="002029AF">
        <w:t xml:space="preserve"> </w:t>
      </w:r>
      <w:r w:rsidRPr="002029AF">
        <w:t>the</w:t>
      </w:r>
      <w:r w:rsidR="000A5329" w:rsidRPr="002029AF">
        <w:t xml:space="preserve"> </w:t>
      </w:r>
      <w:r w:rsidRPr="002029AF">
        <w:t>time</w:t>
      </w:r>
      <w:r w:rsidR="000A5329" w:rsidRPr="002029AF">
        <w:t xml:space="preserve"> </w:t>
      </w:r>
      <w:r w:rsidRPr="002029AF">
        <w:t>of</w:t>
      </w:r>
      <w:r w:rsidR="000A5329" w:rsidRPr="002029AF">
        <w:t xml:space="preserve"> </w:t>
      </w:r>
      <w:r w:rsidRPr="002029AF">
        <w:t>signing,</w:t>
      </w:r>
      <w:r w:rsidR="000A5329" w:rsidRPr="002029AF">
        <w:t xml:space="preserve"> </w:t>
      </w:r>
      <w:r w:rsidRPr="002029AF">
        <w:t>we</w:t>
      </w:r>
      <w:r w:rsidR="000A5329" w:rsidRPr="002029AF">
        <w:t xml:space="preserve"> </w:t>
      </w:r>
      <w:r w:rsidRPr="002029AF">
        <w:t>are</w:t>
      </w:r>
      <w:r w:rsidR="000A5329" w:rsidRPr="002029AF">
        <w:t xml:space="preserve"> </w:t>
      </w:r>
      <w:r w:rsidRPr="002029AF">
        <w:t>not</w:t>
      </w:r>
      <w:r w:rsidR="000A5329" w:rsidRPr="002029AF">
        <w:t xml:space="preserve"> </w:t>
      </w:r>
      <w:r w:rsidRPr="002029AF">
        <w:t>aware</w:t>
      </w:r>
      <w:r w:rsidR="000A5329" w:rsidRPr="002029AF">
        <w:t xml:space="preserve"> </w:t>
      </w:r>
      <w:r w:rsidRPr="002029AF">
        <w:t>of</w:t>
      </w:r>
      <w:r w:rsidR="000A5329" w:rsidRPr="002029AF">
        <w:t xml:space="preserve"> </w:t>
      </w:r>
      <w:r w:rsidRPr="002029AF">
        <w:t>any</w:t>
      </w:r>
      <w:r w:rsidR="000A5329" w:rsidRPr="002029AF">
        <w:t xml:space="preserve"> </w:t>
      </w:r>
      <w:r w:rsidRPr="002029AF">
        <w:t>circumstance</w:t>
      </w:r>
      <w:r w:rsidR="000A5329" w:rsidRPr="002029AF">
        <w:t xml:space="preserve"> </w:t>
      </w:r>
      <w:r w:rsidRPr="002029AF">
        <w:t>which</w:t>
      </w:r>
      <w:r w:rsidR="000A5329" w:rsidRPr="002029AF">
        <w:t xml:space="preserve"> </w:t>
      </w:r>
      <w:r w:rsidRPr="002029AF">
        <w:t>would</w:t>
      </w:r>
      <w:r w:rsidR="000A5329" w:rsidRPr="002029AF">
        <w:t xml:space="preserve"> </w:t>
      </w:r>
      <w:r w:rsidRPr="002029AF">
        <w:t>render</w:t>
      </w:r>
      <w:r w:rsidR="000A5329" w:rsidRPr="002029AF">
        <w:t xml:space="preserve"> </w:t>
      </w:r>
      <w:r w:rsidRPr="002029AF">
        <w:t>any</w:t>
      </w:r>
      <w:r w:rsidR="000A5329" w:rsidRPr="002029AF">
        <w:t xml:space="preserve"> </w:t>
      </w:r>
      <w:r w:rsidRPr="002029AF">
        <w:t>particulars</w:t>
      </w:r>
      <w:r w:rsidR="000A5329" w:rsidRPr="002029AF">
        <w:t xml:space="preserve"> </w:t>
      </w:r>
      <w:r w:rsidRPr="002029AF">
        <w:t>included</w:t>
      </w:r>
      <w:r w:rsidR="000A5329" w:rsidRPr="002029AF">
        <w:t xml:space="preserve"> </w:t>
      </w:r>
      <w:r w:rsidRPr="002029AF">
        <w:t>in</w:t>
      </w:r>
      <w:r w:rsidR="007920F7" w:rsidRPr="002029AF">
        <w:t> </w:t>
      </w:r>
      <w:r w:rsidRPr="002029AF">
        <w:t>the</w:t>
      </w:r>
      <w:r w:rsidR="000A5329" w:rsidRPr="002029AF">
        <w:t xml:space="preserve"> </w:t>
      </w:r>
      <w:r w:rsidRPr="002029AF">
        <w:t>financial</w:t>
      </w:r>
      <w:r w:rsidR="000A5329" w:rsidRPr="002029AF">
        <w:t xml:space="preserve"> </w:t>
      </w:r>
      <w:r w:rsidRPr="002029AF">
        <w:t>statements</w:t>
      </w:r>
      <w:r w:rsidR="000A5329" w:rsidRPr="002029AF">
        <w:t xml:space="preserve"> </w:t>
      </w:r>
      <w:r w:rsidRPr="002029AF">
        <w:t>to</w:t>
      </w:r>
      <w:r w:rsidR="000A5329" w:rsidRPr="002029AF">
        <w:t xml:space="preserve"> </w:t>
      </w:r>
      <w:r w:rsidRPr="002029AF">
        <w:t>be</w:t>
      </w:r>
      <w:r w:rsidR="000A5329" w:rsidRPr="002029AF">
        <w:t xml:space="preserve"> </w:t>
      </w:r>
      <w:r w:rsidRPr="002029AF">
        <w:t>misleading</w:t>
      </w:r>
      <w:r w:rsidR="000A5329" w:rsidRPr="002029AF">
        <w:t xml:space="preserve"> </w:t>
      </w:r>
      <w:r w:rsidRPr="002029AF">
        <w:t>or</w:t>
      </w:r>
      <w:r w:rsidR="000A5329" w:rsidRPr="002029AF">
        <w:t xml:space="preserve"> </w:t>
      </w:r>
      <w:r w:rsidRPr="002029AF">
        <w:t>inaccurate.</w:t>
      </w:r>
    </w:p>
    <w:p w14:paraId="65136D18" w14:textId="1AE11A08" w:rsidR="0065586C" w:rsidRPr="002029AF" w:rsidRDefault="0065586C" w:rsidP="00B676A9">
      <w:pPr>
        <w:pStyle w:val="ARbody"/>
        <w:spacing w:after="480"/>
      </w:pPr>
      <w:r w:rsidRPr="002029AF">
        <w:t>We</w:t>
      </w:r>
      <w:r w:rsidR="000A5329" w:rsidRPr="002029AF">
        <w:t xml:space="preserve"> </w:t>
      </w:r>
      <w:r w:rsidRPr="002029AF">
        <w:t>authorise</w:t>
      </w:r>
      <w:r w:rsidR="000A5329" w:rsidRPr="002029AF">
        <w:t xml:space="preserve"> </w:t>
      </w:r>
      <w:r w:rsidRPr="002029AF">
        <w:t>the</w:t>
      </w:r>
      <w:r w:rsidR="000A5329" w:rsidRPr="002029AF">
        <w:t xml:space="preserve"> </w:t>
      </w:r>
      <w:r w:rsidRPr="002029AF">
        <w:t>attached</w:t>
      </w:r>
      <w:r w:rsidR="000A5329" w:rsidRPr="002029AF">
        <w:t xml:space="preserve"> </w:t>
      </w:r>
      <w:r w:rsidRPr="002029AF">
        <w:t>financial</w:t>
      </w:r>
      <w:r w:rsidR="000A5329" w:rsidRPr="002029AF">
        <w:t xml:space="preserve"> </w:t>
      </w:r>
      <w:r w:rsidRPr="002029AF">
        <w:t>statements</w:t>
      </w:r>
      <w:r w:rsidR="000A5329" w:rsidRPr="002029AF">
        <w:t xml:space="preserve"> </w:t>
      </w:r>
      <w:r w:rsidRPr="002029AF">
        <w:t>for</w:t>
      </w:r>
      <w:r w:rsidR="000A5329" w:rsidRPr="002029AF">
        <w:t xml:space="preserve"> </w:t>
      </w:r>
      <w:r w:rsidRPr="002029AF">
        <w:t>issue</w:t>
      </w:r>
      <w:r w:rsidR="000A5329" w:rsidRPr="002029AF">
        <w:t xml:space="preserve"> </w:t>
      </w:r>
      <w:r w:rsidRPr="002029AF">
        <w:t>on</w:t>
      </w:r>
      <w:r w:rsidR="000A5329" w:rsidRPr="002029AF">
        <w:t xml:space="preserve"> </w:t>
      </w:r>
      <w:r w:rsidRPr="002029AF">
        <w:t>18</w:t>
      </w:r>
      <w:r w:rsidR="000A5329" w:rsidRPr="002029AF">
        <w:rPr>
          <w:szCs w:val="20"/>
        </w:rPr>
        <w:t xml:space="preserve"> </w:t>
      </w:r>
      <w:r w:rsidRPr="002029AF">
        <w:rPr>
          <w:szCs w:val="20"/>
        </w:rPr>
        <w:t>September</w:t>
      </w:r>
      <w:r w:rsidR="000A5329" w:rsidRPr="002029AF">
        <w:rPr>
          <w:szCs w:val="20"/>
        </w:rPr>
        <w:t xml:space="preserve"> </w:t>
      </w:r>
      <w:r w:rsidRPr="002029AF">
        <w:rPr>
          <w:szCs w:val="20"/>
        </w:rPr>
        <w:t>2020</w:t>
      </w:r>
      <w:r w:rsidRPr="002029AF">
        <w:t>.</w:t>
      </w:r>
    </w:p>
    <w:p w14:paraId="354D288E" w14:textId="70CC50CE" w:rsidR="0065586C" w:rsidRPr="002029AF" w:rsidRDefault="0C93891C" w:rsidP="00B676A9">
      <w:pPr>
        <w:pStyle w:val="ARbody"/>
      </w:pPr>
      <w:r>
        <w:rPr>
          <w:noProof/>
          <w:lang w:eastAsia="en-AU" w:bidi="as-IN"/>
        </w:rPr>
        <w:drawing>
          <wp:inline distT="0" distB="0" distL="0" distR="0" wp14:anchorId="6944DEDA" wp14:editId="567D9C8C">
            <wp:extent cx="1103532" cy="580708"/>
            <wp:effectExtent l="0" t="0" r="1905" b="0"/>
            <wp:docPr id="7" name="Picture 7" descr="Kym Peake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94">
                      <a:extLst>
                        <a:ext uri="{28A0092B-C50C-407E-A947-70E740481C1C}">
                          <a14:useLocalDpi xmlns:a14="http://schemas.microsoft.com/office/drawing/2010/main" val="0"/>
                        </a:ext>
                      </a:extLst>
                    </a:blip>
                    <a:stretch>
                      <a:fillRect/>
                    </a:stretch>
                  </pic:blipFill>
                  <pic:spPr>
                    <a:xfrm>
                      <a:off x="0" y="0"/>
                      <a:ext cx="1103532" cy="580708"/>
                    </a:xfrm>
                    <a:prstGeom prst="rect">
                      <a:avLst/>
                    </a:prstGeom>
                  </pic:spPr>
                </pic:pic>
              </a:graphicData>
            </a:graphic>
          </wp:inline>
        </w:drawing>
      </w:r>
    </w:p>
    <w:p w14:paraId="6C19AC92" w14:textId="24F2ACBC" w:rsidR="0065586C" w:rsidRPr="002029AF" w:rsidRDefault="0065586C" w:rsidP="003566F1">
      <w:pPr>
        <w:pStyle w:val="ARbody"/>
      </w:pPr>
      <w:r w:rsidRPr="002029AF">
        <w:t>Kym</w:t>
      </w:r>
      <w:r w:rsidR="000A5329" w:rsidRPr="002029AF">
        <w:t xml:space="preserve"> </w:t>
      </w:r>
      <w:r w:rsidRPr="002029AF">
        <w:t>Peake</w:t>
      </w:r>
      <w:r w:rsidRPr="002029AF">
        <w:rPr>
          <w:szCs w:val="20"/>
        </w:rPr>
        <w:br/>
      </w:r>
      <w:r w:rsidRPr="002029AF">
        <w:t>Secretary</w:t>
      </w:r>
      <w:r w:rsidRPr="002029AF">
        <w:rPr>
          <w:szCs w:val="20"/>
        </w:rPr>
        <w:br/>
      </w:r>
      <w:r w:rsidRPr="002029AF">
        <w:t>Department</w:t>
      </w:r>
      <w:r w:rsidR="000A5329" w:rsidRPr="002029AF">
        <w:t xml:space="preserve"> </w:t>
      </w:r>
      <w:r w:rsidRPr="002029AF">
        <w:t>of</w:t>
      </w:r>
      <w:r w:rsidR="000A5329" w:rsidRPr="002029AF">
        <w:t xml:space="preserve"> </w:t>
      </w:r>
      <w:r w:rsidRPr="002029AF">
        <w:t>Health</w:t>
      </w:r>
      <w:r w:rsidR="000A5329" w:rsidRPr="002029AF">
        <w:t xml:space="preserve"> </w:t>
      </w:r>
      <w:r w:rsidRPr="002029AF">
        <w:t>and</w:t>
      </w:r>
      <w:r w:rsidR="000A5329" w:rsidRPr="002029AF">
        <w:t xml:space="preserve"> </w:t>
      </w:r>
      <w:r w:rsidRPr="002029AF">
        <w:t>Human</w:t>
      </w:r>
      <w:r w:rsidR="000A5329" w:rsidRPr="002029AF">
        <w:t xml:space="preserve"> </w:t>
      </w:r>
      <w:r w:rsidRPr="002029AF">
        <w:t>Services</w:t>
      </w:r>
    </w:p>
    <w:p w14:paraId="2FFE46D7" w14:textId="0D832175" w:rsidR="0065586C" w:rsidRPr="002029AF" w:rsidRDefault="0065586C" w:rsidP="00B676A9">
      <w:pPr>
        <w:pStyle w:val="ARbody"/>
        <w:spacing w:after="480"/>
      </w:pPr>
      <w:r w:rsidRPr="002029AF">
        <w:t>Melbourne</w:t>
      </w:r>
      <w:r w:rsidRPr="002029AF">
        <w:rPr>
          <w:szCs w:val="20"/>
        </w:rPr>
        <w:br/>
      </w:r>
      <w:r w:rsidRPr="002029AF">
        <w:t>18</w:t>
      </w:r>
      <w:r w:rsidR="000A5329" w:rsidRPr="002029AF">
        <w:t xml:space="preserve"> </w:t>
      </w:r>
      <w:r w:rsidRPr="002029AF">
        <w:t>September</w:t>
      </w:r>
      <w:r w:rsidR="000A5329" w:rsidRPr="002029AF">
        <w:t xml:space="preserve"> </w:t>
      </w:r>
      <w:r w:rsidRPr="002029AF">
        <w:t>2020</w:t>
      </w:r>
    </w:p>
    <w:p w14:paraId="48F06BDD" w14:textId="04B96359" w:rsidR="0065586C" w:rsidRPr="002029AF" w:rsidRDefault="0C93891C" w:rsidP="00B676A9">
      <w:pPr>
        <w:pStyle w:val="ARbody"/>
      </w:pPr>
      <w:r>
        <w:rPr>
          <w:noProof/>
          <w:lang w:eastAsia="en-AU" w:bidi="as-IN"/>
        </w:rPr>
        <w:drawing>
          <wp:inline distT="0" distB="0" distL="0" distR="0" wp14:anchorId="5724F857" wp14:editId="1EF13EEE">
            <wp:extent cx="1066800" cy="415167"/>
            <wp:effectExtent l="0" t="0" r="0" b="4445"/>
            <wp:docPr id="19" name="Picture 19" descr="Beth Gubbin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195">
                      <a:extLst>
                        <a:ext uri="{28A0092B-C50C-407E-A947-70E740481C1C}">
                          <a14:useLocalDpi xmlns:a14="http://schemas.microsoft.com/office/drawing/2010/main" val="0"/>
                        </a:ext>
                      </a:extLst>
                    </a:blip>
                    <a:stretch>
                      <a:fillRect/>
                    </a:stretch>
                  </pic:blipFill>
                  <pic:spPr>
                    <a:xfrm>
                      <a:off x="0" y="0"/>
                      <a:ext cx="1066800" cy="415167"/>
                    </a:xfrm>
                    <a:prstGeom prst="rect">
                      <a:avLst/>
                    </a:prstGeom>
                  </pic:spPr>
                </pic:pic>
              </a:graphicData>
            </a:graphic>
          </wp:inline>
        </w:drawing>
      </w:r>
    </w:p>
    <w:p w14:paraId="4A66DB3F" w14:textId="75812203" w:rsidR="0065586C" w:rsidRPr="002029AF" w:rsidRDefault="0065586C" w:rsidP="003566F1">
      <w:pPr>
        <w:pStyle w:val="ARbody"/>
      </w:pPr>
      <w:r w:rsidRPr="002029AF">
        <w:t>Beth</w:t>
      </w:r>
      <w:r w:rsidR="000A5329" w:rsidRPr="002029AF">
        <w:t xml:space="preserve"> </w:t>
      </w:r>
      <w:r w:rsidRPr="002029AF">
        <w:t>Gubbins</w:t>
      </w:r>
      <w:r w:rsidRPr="002029AF">
        <w:rPr>
          <w:szCs w:val="20"/>
        </w:rPr>
        <w:br/>
      </w:r>
      <w:r w:rsidRPr="002029AF">
        <w:t>Acting</w:t>
      </w:r>
      <w:r w:rsidR="000A5329" w:rsidRPr="002029AF">
        <w:t xml:space="preserve"> </w:t>
      </w:r>
      <w:r w:rsidRPr="002029AF">
        <w:t>Chief</w:t>
      </w:r>
      <w:r w:rsidR="000A5329" w:rsidRPr="002029AF">
        <w:t xml:space="preserve"> </w:t>
      </w:r>
      <w:r w:rsidRPr="002029AF">
        <w:t>Finance</w:t>
      </w:r>
      <w:r w:rsidR="000A5329" w:rsidRPr="002029AF">
        <w:t xml:space="preserve"> </w:t>
      </w:r>
      <w:r w:rsidRPr="002029AF">
        <w:t>and</w:t>
      </w:r>
      <w:r w:rsidR="000A5329" w:rsidRPr="002029AF">
        <w:t xml:space="preserve"> </w:t>
      </w:r>
      <w:r w:rsidRPr="002029AF">
        <w:t>Accounting</w:t>
      </w:r>
      <w:r w:rsidR="000A5329" w:rsidRPr="002029AF">
        <w:t xml:space="preserve"> </w:t>
      </w:r>
      <w:r w:rsidRPr="002029AF">
        <w:t>Officer</w:t>
      </w:r>
      <w:r w:rsidRPr="002029AF">
        <w:rPr>
          <w:szCs w:val="20"/>
        </w:rPr>
        <w:br/>
      </w:r>
      <w:r w:rsidRPr="002029AF">
        <w:t>Department</w:t>
      </w:r>
      <w:r w:rsidR="000A5329" w:rsidRPr="002029AF">
        <w:t xml:space="preserve"> </w:t>
      </w:r>
      <w:r w:rsidRPr="002029AF">
        <w:t>of</w:t>
      </w:r>
      <w:r w:rsidR="000A5329" w:rsidRPr="002029AF">
        <w:t xml:space="preserve"> </w:t>
      </w:r>
      <w:r w:rsidRPr="002029AF">
        <w:t>Health</w:t>
      </w:r>
      <w:r w:rsidR="000A5329" w:rsidRPr="002029AF">
        <w:t xml:space="preserve"> </w:t>
      </w:r>
      <w:r w:rsidRPr="002029AF">
        <w:t>and</w:t>
      </w:r>
      <w:r w:rsidR="000A5329" w:rsidRPr="002029AF">
        <w:t xml:space="preserve"> </w:t>
      </w:r>
      <w:r w:rsidRPr="002029AF">
        <w:t>Human</w:t>
      </w:r>
      <w:r w:rsidR="000A5329" w:rsidRPr="002029AF">
        <w:t xml:space="preserve"> </w:t>
      </w:r>
      <w:r w:rsidRPr="002029AF">
        <w:t>Services</w:t>
      </w:r>
    </w:p>
    <w:p w14:paraId="66F5D12F" w14:textId="1E1EEA56" w:rsidR="0065586C" w:rsidRPr="002029AF" w:rsidRDefault="0065586C" w:rsidP="003566F1">
      <w:pPr>
        <w:pStyle w:val="ARbody"/>
        <w:rPr>
          <w:szCs w:val="20"/>
        </w:rPr>
      </w:pPr>
      <w:r w:rsidRPr="002029AF">
        <w:t>Melbourne</w:t>
      </w:r>
      <w:r w:rsidRPr="002029AF">
        <w:rPr>
          <w:szCs w:val="20"/>
        </w:rPr>
        <w:br/>
        <w:t>18</w:t>
      </w:r>
      <w:r w:rsidR="000A5329" w:rsidRPr="002029AF">
        <w:rPr>
          <w:szCs w:val="20"/>
        </w:rPr>
        <w:t xml:space="preserve"> </w:t>
      </w:r>
      <w:r w:rsidRPr="002029AF">
        <w:rPr>
          <w:szCs w:val="20"/>
        </w:rPr>
        <w:t>September</w:t>
      </w:r>
      <w:r w:rsidR="000A5329" w:rsidRPr="002029AF">
        <w:rPr>
          <w:szCs w:val="20"/>
        </w:rPr>
        <w:t xml:space="preserve"> </w:t>
      </w:r>
      <w:r w:rsidRPr="002029AF">
        <w:rPr>
          <w:szCs w:val="20"/>
        </w:rPr>
        <w:t>2020</w:t>
      </w:r>
    </w:p>
    <w:bookmarkEnd w:id="242"/>
    <w:p w14:paraId="7F66D4FB" w14:textId="77777777" w:rsidR="0065586C" w:rsidRPr="002029AF" w:rsidRDefault="0065586C" w:rsidP="003566F1">
      <w:pPr>
        <w:pStyle w:val="ARbody"/>
      </w:pPr>
      <w:r w:rsidRPr="002029AF">
        <w:br w:type="page"/>
      </w:r>
    </w:p>
    <w:p w14:paraId="67052CCA" w14:textId="0FEADA38" w:rsidR="00961519" w:rsidRPr="002029AF" w:rsidRDefault="00961519" w:rsidP="00961519">
      <w:pPr>
        <w:pStyle w:val="Heading2"/>
        <w:rPr>
          <w:iCs w:val="0"/>
        </w:rPr>
      </w:pPr>
      <w:bookmarkStart w:id="243" w:name="_Ref52454275"/>
      <w:bookmarkStart w:id="244" w:name="_Toc54690804"/>
      <w:bookmarkStart w:id="245" w:name="_Toc51235506"/>
      <w:bookmarkStart w:id="246" w:name="_Ref52274922"/>
      <w:r w:rsidRPr="002029AF">
        <w:lastRenderedPageBreak/>
        <w:t>Financial Management Compliance Attestation Statement</w:t>
      </w:r>
      <w:bookmarkEnd w:id="243"/>
      <w:bookmarkEnd w:id="244"/>
    </w:p>
    <w:p w14:paraId="04AF6B36" w14:textId="2B3AB0B9" w:rsidR="00DB5BF2" w:rsidRPr="002029AF" w:rsidRDefault="00DB5BF2" w:rsidP="00DB5BF2">
      <w:pPr>
        <w:pStyle w:val="ARbody"/>
      </w:pPr>
      <w:r w:rsidRPr="002029AF">
        <w:t>I, Kym Peake, as the Responsible Body, certify that the Department of Health and Human Services has the</w:t>
      </w:r>
      <w:r w:rsidR="007920F7" w:rsidRPr="002029AF">
        <w:t> </w:t>
      </w:r>
      <w:r w:rsidRPr="002029AF">
        <w:t xml:space="preserve">following Material Compliance Deficiency with respect to the applicable Standing Directions under the </w:t>
      </w:r>
      <w:r w:rsidRPr="002029AF">
        <w:rPr>
          <w:i/>
          <w:iCs/>
        </w:rPr>
        <w:t>Financial Management Act 1994</w:t>
      </w:r>
      <w:r w:rsidRPr="002029AF">
        <w:t xml:space="preserve"> and Instructions:</w:t>
      </w:r>
    </w:p>
    <w:p w14:paraId="58B0A393" w14:textId="2D112426" w:rsidR="00DB5BF2" w:rsidRPr="002029AF" w:rsidRDefault="00DB5BF2" w:rsidP="007260D7">
      <w:pPr>
        <w:pStyle w:val="ARtablebullet1"/>
        <w:spacing w:line="260" w:lineRule="atLeast"/>
        <w:rPr>
          <w:sz w:val="20"/>
          <w:szCs w:val="20"/>
        </w:rPr>
      </w:pPr>
      <w:r w:rsidRPr="002029AF">
        <w:rPr>
          <w:sz w:val="20"/>
          <w:szCs w:val="20"/>
        </w:rPr>
        <w:t>The Victorian Health and Human Services Building Authority has a material compliance deficiency with Direction 4.2.3 (Asset Management Accountability Framework) Requirement 3.4.3 in relation to Asset Management Information Systems.</w:t>
      </w:r>
    </w:p>
    <w:p w14:paraId="0B8017A5" w14:textId="76723A7B" w:rsidR="00DB5BF2" w:rsidRPr="002029AF" w:rsidRDefault="00DB5BF2" w:rsidP="007260D7">
      <w:pPr>
        <w:pStyle w:val="ARtablebullet1"/>
        <w:spacing w:line="260" w:lineRule="atLeast"/>
        <w:rPr>
          <w:sz w:val="20"/>
          <w:szCs w:val="20"/>
        </w:rPr>
      </w:pPr>
      <w:r w:rsidRPr="002029AF">
        <w:rPr>
          <w:sz w:val="20"/>
          <w:szCs w:val="20"/>
        </w:rPr>
        <w:t>The Victorian Health and Human Services Building Authority Asset Management Information System is</w:t>
      </w:r>
      <w:r w:rsidR="005E1789">
        <w:rPr>
          <w:sz w:val="20"/>
          <w:szCs w:val="20"/>
        </w:rPr>
        <w:t> </w:t>
      </w:r>
      <w:r w:rsidRPr="002029AF">
        <w:rPr>
          <w:sz w:val="20"/>
          <w:szCs w:val="20"/>
        </w:rPr>
        <w:t>in</w:t>
      </w:r>
      <w:r w:rsidR="005E1789">
        <w:rPr>
          <w:sz w:val="20"/>
          <w:szCs w:val="20"/>
        </w:rPr>
        <w:t> </w:t>
      </w:r>
      <w:r w:rsidRPr="002029AF">
        <w:rPr>
          <w:sz w:val="20"/>
          <w:szCs w:val="20"/>
        </w:rPr>
        <w:t>development but not yet established.</w:t>
      </w:r>
    </w:p>
    <w:p w14:paraId="3909CD69" w14:textId="3AB17350" w:rsidR="00DB5BF2" w:rsidRPr="002029AF" w:rsidRDefault="00DB5BF2" w:rsidP="007260D7">
      <w:pPr>
        <w:pStyle w:val="ARtablebullet1"/>
        <w:spacing w:line="260" w:lineRule="atLeast"/>
        <w:rPr>
          <w:rFonts w:eastAsiaTheme="minorHAnsi"/>
          <w:sz w:val="20"/>
          <w:szCs w:val="20"/>
        </w:rPr>
      </w:pPr>
      <w:r w:rsidRPr="002029AF">
        <w:rPr>
          <w:sz w:val="20"/>
          <w:szCs w:val="20"/>
        </w:rPr>
        <w:t>The Victorian Health and Human Services Building Authority Asset Management Information System is</w:t>
      </w:r>
      <w:r w:rsidR="005E1789">
        <w:rPr>
          <w:sz w:val="20"/>
          <w:szCs w:val="20"/>
        </w:rPr>
        <w:t> </w:t>
      </w:r>
      <w:r w:rsidRPr="002029AF">
        <w:rPr>
          <w:sz w:val="20"/>
          <w:szCs w:val="20"/>
        </w:rPr>
        <w:t>expected to be operational in February 2021.</w:t>
      </w:r>
    </w:p>
    <w:p w14:paraId="7AB6F28E" w14:textId="77777777" w:rsidR="00DB5BF2" w:rsidRPr="002029AF" w:rsidRDefault="00DB5BF2" w:rsidP="007260D7">
      <w:pPr>
        <w:pStyle w:val="ARbody"/>
        <w:spacing w:before="400"/>
      </w:pPr>
      <w:r>
        <w:rPr>
          <w:noProof/>
          <w:lang w:eastAsia="en-AU" w:bidi="as-IN"/>
        </w:rPr>
        <w:drawing>
          <wp:inline distT="0" distB="0" distL="0" distR="0" wp14:anchorId="02914580" wp14:editId="4C171943">
            <wp:extent cx="1103532" cy="580708"/>
            <wp:effectExtent l="0" t="0" r="1905" b="0"/>
            <wp:docPr id="18" name="Picture 18" descr="Kym Peake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194">
                      <a:extLst>
                        <a:ext uri="{28A0092B-C50C-407E-A947-70E740481C1C}">
                          <a14:useLocalDpi xmlns:a14="http://schemas.microsoft.com/office/drawing/2010/main" val="0"/>
                        </a:ext>
                      </a:extLst>
                    </a:blip>
                    <a:stretch>
                      <a:fillRect/>
                    </a:stretch>
                  </pic:blipFill>
                  <pic:spPr>
                    <a:xfrm>
                      <a:off x="0" y="0"/>
                      <a:ext cx="1103532" cy="580708"/>
                    </a:xfrm>
                    <a:prstGeom prst="rect">
                      <a:avLst/>
                    </a:prstGeom>
                  </pic:spPr>
                </pic:pic>
              </a:graphicData>
            </a:graphic>
          </wp:inline>
        </w:drawing>
      </w:r>
    </w:p>
    <w:p w14:paraId="4A10CF05" w14:textId="2B9E46E5" w:rsidR="00DB5BF2" w:rsidRPr="002029AF" w:rsidRDefault="00DB5BF2" w:rsidP="00DB5BF2">
      <w:pPr>
        <w:pStyle w:val="ARbody"/>
      </w:pPr>
      <w:r w:rsidRPr="002029AF">
        <w:t>Kym Peake</w:t>
      </w:r>
      <w:r w:rsidRPr="002029AF">
        <w:rPr>
          <w:szCs w:val="20"/>
        </w:rPr>
        <w:br/>
      </w:r>
      <w:r w:rsidRPr="002029AF">
        <w:t>Secretary</w:t>
      </w:r>
      <w:r w:rsidRPr="002029AF">
        <w:rPr>
          <w:szCs w:val="20"/>
        </w:rPr>
        <w:br/>
      </w:r>
      <w:r w:rsidRPr="002029AF">
        <w:t>Department of Health and Human Services</w:t>
      </w:r>
    </w:p>
    <w:p w14:paraId="12086486" w14:textId="59310EC7" w:rsidR="00961519" w:rsidRPr="002029AF" w:rsidRDefault="00961519" w:rsidP="007260D7">
      <w:pPr>
        <w:pStyle w:val="ARbody"/>
      </w:pPr>
      <w:r w:rsidRPr="002029AF">
        <w:br w:type="page"/>
      </w:r>
    </w:p>
    <w:p w14:paraId="2705AA61" w14:textId="74A3C99D" w:rsidR="0065586C" w:rsidRPr="002029AF" w:rsidRDefault="0065586C" w:rsidP="00CB7672">
      <w:pPr>
        <w:pStyle w:val="Heading2"/>
        <w:spacing w:after="300"/>
        <w:rPr>
          <w:b/>
          <w:sz w:val="24"/>
          <w:szCs w:val="24"/>
        </w:rPr>
      </w:pPr>
      <w:bookmarkStart w:id="247" w:name="_Ref52454239"/>
      <w:bookmarkStart w:id="248" w:name="_Toc54690805"/>
      <w:r w:rsidRPr="002029AF">
        <w:lastRenderedPageBreak/>
        <w:t>Independent</w:t>
      </w:r>
      <w:r w:rsidR="000A5329" w:rsidRPr="002029AF">
        <w:t xml:space="preserve"> </w:t>
      </w:r>
      <w:r w:rsidRPr="002029AF">
        <w:t>auditor’s</w:t>
      </w:r>
      <w:r w:rsidR="000A5329" w:rsidRPr="002029AF">
        <w:t xml:space="preserve"> </w:t>
      </w:r>
      <w:r w:rsidRPr="002029AF">
        <w:t>report</w:t>
      </w:r>
      <w:bookmarkEnd w:id="245"/>
      <w:bookmarkEnd w:id="246"/>
      <w:bookmarkEnd w:id="247"/>
      <w:bookmarkEnd w:id="248"/>
    </w:p>
    <w:p w14:paraId="39AD06AF" w14:textId="46029A12" w:rsidR="00CB7672" w:rsidRPr="002029AF" w:rsidRDefault="00CB7672" w:rsidP="003566F1">
      <w:pPr>
        <w:pStyle w:val="ARbody"/>
      </w:pPr>
      <w:r w:rsidRPr="002029AF">
        <w:rPr>
          <w:noProof/>
          <w:lang w:eastAsia="en-AU" w:bidi="as-IN"/>
        </w:rPr>
        <w:drawing>
          <wp:inline distT="0" distB="0" distL="0" distR="0" wp14:anchorId="656D6D66" wp14:editId="6BB8C90C">
            <wp:extent cx="6119640" cy="8653320"/>
            <wp:effectExtent l="19050" t="19050" r="14605" b="14605"/>
            <wp:docPr id="4" name="Picture 4" descr="Independent Auditor's Report, page 1 of 2. To request the full text of the auditor's report, email corporate.reporting@dhhs.vic.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ndependent Auditor's Report, page 1 of 2. To request the full text of the auditor's report, email corporate.reporting@dhhs.vic.gov.au."/>
                    <pic:cNvPicPr/>
                  </pic:nvPicPr>
                  <pic:blipFill>
                    <a:blip r:embed="rId196" cstate="print">
                      <a:extLst>
                        <a:ext uri="{28A0092B-C50C-407E-A947-70E740481C1C}">
                          <a14:useLocalDpi xmlns:a14="http://schemas.microsoft.com/office/drawing/2010/main" val="0"/>
                        </a:ext>
                      </a:extLst>
                    </a:blip>
                    <a:stretch>
                      <a:fillRect/>
                    </a:stretch>
                  </pic:blipFill>
                  <pic:spPr>
                    <a:xfrm>
                      <a:off x="0" y="0"/>
                      <a:ext cx="6119640" cy="8653320"/>
                    </a:xfrm>
                    <a:prstGeom prst="rect">
                      <a:avLst/>
                    </a:prstGeom>
                    <a:ln w="6350">
                      <a:solidFill>
                        <a:schemeClr val="bg1">
                          <a:lumMod val="50000"/>
                        </a:schemeClr>
                      </a:solidFill>
                    </a:ln>
                  </pic:spPr>
                </pic:pic>
              </a:graphicData>
            </a:graphic>
          </wp:inline>
        </w:drawing>
      </w:r>
    </w:p>
    <w:p w14:paraId="6CDD7B14" w14:textId="77777777" w:rsidR="00CB7672" w:rsidRPr="002029AF" w:rsidRDefault="00CB7672" w:rsidP="009E5882">
      <w:pPr>
        <w:pStyle w:val="ARbody"/>
        <w:spacing w:after="440"/>
      </w:pPr>
    </w:p>
    <w:p w14:paraId="1F661532" w14:textId="32C69026" w:rsidR="0065586C" w:rsidRPr="002029AF" w:rsidRDefault="00CB7672" w:rsidP="003566F1">
      <w:pPr>
        <w:pStyle w:val="ARbody"/>
      </w:pPr>
      <w:bookmarkStart w:id="249" w:name="Auditor_report_end"/>
      <w:r w:rsidRPr="002029AF">
        <w:rPr>
          <w:noProof/>
          <w:lang w:eastAsia="en-AU" w:bidi="as-IN"/>
        </w:rPr>
        <w:drawing>
          <wp:inline distT="0" distB="0" distL="0" distR="0" wp14:anchorId="0694D91A" wp14:editId="732DB2BA">
            <wp:extent cx="6119495" cy="8653145"/>
            <wp:effectExtent l="19050" t="19050" r="14605" b="14605"/>
            <wp:docPr id="11" name="Picture 11" descr="Independent Auditor's Report, page 2 of 2. To request the full text of the auditor's report, email corporate.reporting@dhhs.vic.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ndependent Auditor's Report, page 2 of 2. To request the full text of the auditor's report, email corporate.reporting@dhhs.vic.gov.au."/>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6119495" cy="8653145"/>
                    </a:xfrm>
                    <a:prstGeom prst="rect">
                      <a:avLst/>
                    </a:prstGeom>
                    <a:ln w="6350">
                      <a:solidFill>
                        <a:schemeClr val="bg1">
                          <a:lumMod val="50000"/>
                        </a:schemeClr>
                      </a:solidFill>
                    </a:ln>
                  </pic:spPr>
                </pic:pic>
              </a:graphicData>
            </a:graphic>
          </wp:inline>
        </w:drawing>
      </w:r>
      <w:bookmarkEnd w:id="249"/>
    </w:p>
    <w:p w14:paraId="2A47DD5B" w14:textId="4CC4F1D2" w:rsidR="0065586C" w:rsidRPr="002029AF" w:rsidRDefault="0065586C" w:rsidP="003566F1">
      <w:pPr>
        <w:pStyle w:val="Heading2"/>
      </w:pPr>
      <w:bookmarkStart w:id="250" w:name="_Ref52283712"/>
      <w:bookmarkStart w:id="251" w:name="_Toc54690806"/>
      <w:r w:rsidRPr="002029AF">
        <w:lastRenderedPageBreak/>
        <w:t>Comprehensive</w:t>
      </w:r>
      <w:r w:rsidR="000A5329" w:rsidRPr="002029AF">
        <w:t xml:space="preserve"> </w:t>
      </w:r>
      <w:r w:rsidRPr="002029AF">
        <w:t>operating</w:t>
      </w:r>
      <w:r w:rsidR="000A5329" w:rsidRPr="002029AF">
        <w:t xml:space="preserve"> </w:t>
      </w:r>
      <w:r w:rsidRPr="002029AF">
        <w:t>statement</w:t>
      </w:r>
      <w:r w:rsidRPr="002029AF">
        <w:br/>
        <w:t>for</w:t>
      </w:r>
      <w:r w:rsidR="000A5329" w:rsidRPr="002029AF">
        <w:t xml:space="preserve"> </w:t>
      </w:r>
      <w:r w:rsidRPr="002029AF">
        <w:t>the</w:t>
      </w:r>
      <w:r w:rsidR="000A5329" w:rsidRPr="002029AF">
        <w:t xml:space="preserve"> </w:t>
      </w:r>
      <w:r w:rsidRPr="002029AF">
        <w:t>financial</w:t>
      </w:r>
      <w:r w:rsidR="000A5329" w:rsidRPr="002029AF">
        <w:t xml:space="preserve"> </w:t>
      </w:r>
      <w:r w:rsidRPr="002029AF">
        <w:t>year</w:t>
      </w:r>
      <w:r w:rsidR="000A5329" w:rsidRPr="002029AF">
        <w:t xml:space="preserve"> </w:t>
      </w:r>
      <w:r w:rsidRPr="002029AF">
        <w:t>ended</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bookmarkEnd w:id="250"/>
      <w:bookmarkEnd w:id="251"/>
    </w:p>
    <w:tbl>
      <w:tblPr>
        <w:tblStyle w:val="TableGrid"/>
        <w:tblW w:w="9637" w:type="dxa"/>
        <w:tblLayout w:type="fixed"/>
        <w:tblLook w:val="06A0" w:firstRow="1" w:lastRow="0" w:firstColumn="1" w:lastColumn="0" w:noHBand="1" w:noVBand="1"/>
      </w:tblPr>
      <w:tblGrid>
        <w:gridCol w:w="6518"/>
        <w:gridCol w:w="851"/>
        <w:gridCol w:w="1134"/>
        <w:gridCol w:w="1134"/>
      </w:tblGrid>
      <w:tr w:rsidR="0065586C" w:rsidRPr="002029AF" w14:paraId="5C237CA5" w14:textId="77777777" w:rsidTr="00C83719">
        <w:trPr>
          <w:cnfStyle w:val="100000000000" w:firstRow="1" w:lastRow="0" w:firstColumn="0" w:lastColumn="0" w:oddVBand="0" w:evenVBand="0" w:oddHBand="0" w:evenHBand="0" w:firstRowFirstColumn="0" w:firstRowLastColumn="0" w:lastRowFirstColumn="0" w:lastRowLastColumn="0"/>
          <w:tblHeader/>
        </w:trPr>
        <w:tc>
          <w:tcPr>
            <w:tcW w:w="6518" w:type="dxa"/>
            <w:tcBorders>
              <w:bottom w:val="single" w:sz="4" w:space="0" w:color="auto"/>
            </w:tcBorders>
            <w:noWrap/>
            <w:hideMark/>
          </w:tcPr>
          <w:p w14:paraId="2203BCC2" w14:textId="77777777" w:rsidR="0065586C" w:rsidRPr="002029AF" w:rsidRDefault="0065586C" w:rsidP="003566F1">
            <w:pPr>
              <w:pStyle w:val="ARfintablecolhead"/>
            </w:pPr>
          </w:p>
        </w:tc>
        <w:tc>
          <w:tcPr>
            <w:tcW w:w="851" w:type="dxa"/>
            <w:tcBorders>
              <w:bottom w:val="single" w:sz="4" w:space="0" w:color="auto"/>
            </w:tcBorders>
            <w:noWrap/>
            <w:hideMark/>
          </w:tcPr>
          <w:p w14:paraId="046D2A02" w14:textId="77777777" w:rsidR="0065586C" w:rsidRPr="002029AF" w:rsidRDefault="0065586C" w:rsidP="003566F1">
            <w:pPr>
              <w:pStyle w:val="ARfintablecolheadright"/>
            </w:pPr>
            <w:r w:rsidRPr="002029AF">
              <w:t>Note</w:t>
            </w:r>
          </w:p>
        </w:tc>
        <w:tc>
          <w:tcPr>
            <w:tcW w:w="1134" w:type="dxa"/>
            <w:tcBorders>
              <w:bottom w:val="single" w:sz="4" w:space="0" w:color="auto"/>
            </w:tcBorders>
            <w:shd w:val="clear" w:color="auto" w:fill="E7E6E6"/>
            <w:hideMark/>
          </w:tcPr>
          <w:p w14:paraId="6AF145CC" w14:textId="77777777" w:rsidR="0065586C" w:rsidRPr="002029AF" w:rsidRDefault="0065586C" w:rsidP="003566F1">
            <w:pPr>
              <w:pStyle w:val="ARfintablecolheadright"/>
            </w:pPr>
            <w:r w:rsidRPr="002029AF">
              <w:t>2020</w:t>
            </w:r>
          </w:p>
          <w:p w14:paraId="450F905B" w14:textId="77777777" w:rsidR="0065586C" w:rsidRPr="002029AF" w:rsidRDefault="0065586C" w:rsidP="003566F1">
            <w:pPr>
              <w:pStyle w:val="ARfintablecolheadright"/>
            </w:pPr>
            <w:r w:rsidRPr="002029AF">
              <w:t>$M</w:t>
            </w:r>
          </w:p>
        </w:tc>
        <w:tc>
          <w:tcPr>
            <w:tcW w:w="1134" w:type="dxa"/>
            <w:tcBorders>
              <w:bottom w:val="single" w:sz="4" w:space="0" w:color="auto"/>
            </w:tcBorders>
            <w:hideMark/>
          </w:tcPr>
          <w:p w14:paraId="0121C69C" w14:textId="77777777" w:rsidR="0065586C" w:rsidRPr="002029AF" w:rsidRDefault="0065586C" w:rsidP="003566F1">
            <w:pPr>
              <w:pStyle w:val="ARfintablecolheadright"/>
            </w:pPr>
            <w:r w:rsidRPr="002029AF">
              <w:t>2019</w:t>
            </w:r>
          </w:p>
          <w:p w14:paraId="07CCF018" w14:textId="77777777" w:rsidR="0065586C" w:rsidRPr="002029AF" w:rsidRDefault="0065586C" w:rsidP="003566F1">
            <w:pPr>
              <w:pStyle w:val="ARfintablecolheadright"/>
            </w:pPr>
            <w:r w:rsidRPr="002029AF">
              <w:t>$M</w:t>
            </w:r>
          </w:p>
        </w:tc>
      </w:tr>
      <w:tr w:rsidR="0065586C" w:rsidRPr="002029AF" w14:paraId="1B0FB197" w14:textId="77777777" w:rsidTr="003566F1">
        <w:tc>
          <w:tcPr>
            <w:tcW w:w="9637" w:type="dxa"/>
            <w:gridSpan w:val="4"/>
            <w:tcBorders>
              <w:top w:val="single" w:sz="4" w:space="0" w:color="auto"/>
              <w:bottom w:val="single" w:sz="4" w:space="0" w:color="A6A6A6"/>
            </w:tcBorders>
            <w:hideMark/>
          </w:tcPr>
          <w:p w14:paraId="5871A68F" w14:textId="44DF2968" w:rsidR="0065586C" w:rsidRPr="002029AF" w:rsidRDefault="0065586C" w:rsidP="003566F1">
            <w:pPr>
              <w:pStyle w:val="ARfintablecolhead"/>
            </w:pPr>
            <w:r w:rsidRPr="002029AF">
              <w:t>Revenue</w:t>
            </w:r>
            <w:r w:rsidR="000A5329" w:rsidRPr="002029AF">
              <w:t xml:space="preserve"> </w:t>
            </w:r>
            <w:r w:rsidRPr="002029AF">
              <w:t>and</w:t>
            </w:r>
            <w:r w:rsidR="000A5329" w:rsidRPr="002029AF">
              <w:t xml:space="preserve"> </w:t>
            </w:r>
            <w:r w:rsidRPr="002029AF">
              <w:t>income</w:t>
            </w:r>
            <w:r w:rsidR="000A5329" w:rsidRPr="002029AF">
              <w:t xml:space="preserve"> </w:t>
            </w:r>
            <w:r w:rsidRPr="002029AF">
              <w:t>from</w:t>
            </w:r>
            <w:r w:rsidR="000A5329" w:rsidRPr="002029AF">
              <w:t xml:space="preserve"> </w:t>
            </w:r>
            <w:r w:rsidRPr="002029AF">
              <w:t>transactions</w:t>
            </w:r>
          </w:p>
        </w:tc>
      </w:tr>
      <w:tr w:rsidR="0065586C" w:rsidRPr="002029AF" w14:paraId="6248EF4D" w14:textId="77777777" w:rsidTr="003566F1">
        <w:tc>
          <w:tcPr>
            <w:tcW w:w="6518" w:type="dxa"/>
            <w:tcBorders>
              <w:top w:val="single" w:sz="4" w:space="0" w:color="A6A6A6"/>
              <w:bottom w:val="single" w:sz="4" w:space="0" w:color="A6A6A6"/>
            </w:tcBorders>
            <w:hideMark/>
          </w:tcPr>
          <w:p w14:paraId="441CA813" w14:textId="189BB778" w:rsidR="0065586C" w:rsidRPr="002029AF" w:rsidRDefault="0065586C" w:rsidP="003566F1">
            <w:pPr>
              <w:pStyle w:val="ARfintablebody"/>
            </w:pPr>
            <w:r w:rsidRPr="002029AF">
              <w:t>Output</w:t>
            </w:r>
            <w:r w:rsidR="000A5329" w:rsidRPr="002029AF">
              <w:t xml:space="preserve"> </w:t>
            </w:r>
            <w:r w:rsidRPr="002029AF">
              <w:t>appropriations</w:t>
            </w:r>
          </w:p>
        </w:tc>
        <w:tc>
          <w:tcPr>
            <w:tcW w:w="851" w:type="dxa"/>
            <w:tcBorders>
              <w:top w:val="single" w:sz="4" w:space="0" w:color="A6A6A6"/>
              <w:bottom w:val="single" w:sz="4" w:space="0" w:color="A6A6A6"/>
            </w:tcBorders>
            <w:noWrap/>
            <w:hideMark/>
          </w:tcPr>
          <w:p w14:paraId="1A68BFEA" w14:textId="77777777" w:rsidR="0065586C" w:rsidRPr="002029AF" w:rsidRDefault="0065586C" w:rsidP="003566F1">
            <w:pPr>
              <w:pStyle w:val="ARfintablebodyright"/>
            </w:pPr>
            <w:r w:rsidRPr="002029AF">
              <w:t>2.3</w:t>
            </w:r>
          </w:p>
        </w:tc>
        <w:tc>
          <w:tcPr>
            <w:tcW w:w="1134" w:type="dxa"/>
            <w:tcBorders>
              <w:top w:val="single" w:sz="4" w:space="0" w:color="A6A6A6"/>
              <w:bottom w:val="single" w:sz="4" w:space="0" w:color="A6A6A6"/>
            </w:tcBorders>
            <w:shd w:val="clear" w:color="auto" w:fill="E7E6E6"/>
            <w:noWrap/>
            <w:hideMark/>
          </w:tcPr>
          <w:p w14:paraId="3F9733C6" w14:textId="77777777" w:rsidR="0065586C" w:rsidRPr="002029AF" w:rsidRDefault="0065586C" w:rsidP="003566F1">
            <w:pPr>
              <w:pStyle w:val="ARfintablebodyright"/>
            </w:pPr>
            <w:r w:rsidRPr="002029AF">
              <w:t>17,600.0</w:t>
            </w:r>
          </w:p>
        </w:tc>
        <w:tc>
          <w:tcPr>
            <w:tcW w:w="1134" w:type="dxa"/>
            <w:tcBorders>
              <w:top w:val="single" w:sz="4" w:space="0" w:color="A6A6A6"/>
              <w:bottom w:val="single" w:sz="4" w:space="0" w:color="A6A6A6"/>
            </w:tcBorders>
            <w:noWrap/>
            <w:hideMark/>
          </w:tcPr>
          <w:p w14:paraId="26A9FC83" w14:textId="77777777" w:rsidR="0065586C" w:rsidRPr="002029AF" w:rsidRDefault="0065586C" w:rsidP="003566F1">
            <w:pPr>
              <w:pStyle w:val="ARfintablebodyright"/>
            </w:pPr>
            <w:r w:rsidRPr="002029AF">
              <w:t>16,182.9</w:t>
            </w:r>
          </w:p>
        </w:tc>
      </w:tr>
      <w:tr w:rsidR="0065586C" w:rsidRPr="002029AF" w14:paraId="6690760A" w14:textId="77777777" w:rsidTr="003566F1">
        <w:tc>
          <w:tcPr>
            <w:tcW w:w="6518" w:type="dxa"/>
            <w:tcBorders>
              <w:top w:val="single" w:sz="4" w:space="0" w:color="A6A6A6"/>
              <w:bottom w:val="single" w:sz="4" w:space="0" w:color="A6A6A6"/>
            </w:tcBorders>
            <w:hideMark/>
          </w:tcPr>
          <w:p w14:paraId="23114247" w14:textId="56EE2ACB" w:rsidR="0065586C" w:rsidRPr="002029AF" w:rsidRDefault="0065586C" w:rsidP="003566F1">
            <w:pPr>
              <w:pStyle w:val="ARfintablebody"/>
            </w:pPr>
            <w:r w:rsidRPr="002029AF">
              <w:t>Special</w:t>
            </w:r>
            <w:r w:rsidR="000A5329" w:rsidRPr="002029AF">
              <w:t xml:space="preserve"> </w:t>
            </w:r>
            <w:r w:rsidRPr="002029AF">
              <w:t>appropriations</w:t>
            </w:r>
          </w:p>
        </w:tc>
        <w:tc>
          <w:tcPr>
            <w:tcW w:w="851" w:type="dxa"/>
            <w:tcBorders>
              <w:top w:val="single" w:sz="4" w:space="0" w:color="A6A6A6"/>
              <w:bottom w:val="single" w:sz="4" w:space="0" w:color="A6A6A6"/>
            </w:tcBorders>
            <w:noWrap/>
            <w:hideMark/>
          </w:tcPr>
          <w:p w14:paraId="68286772" w14:textId="77777777" w:rsidR="0065586C" w:rsidRPr="002029AF" w:rsidRDefault="0065586C" w:rsidP="003566F1">
            <w:pPr>
              <w:pStyle w:val="ARfintablebodyright"/>
            </w:pPr>
            <w:r w:rsidRPr="002029AF">
              <w:t>2.3</w:t>
            </w:r>
          </w:p>
        </w:tc>
        <w:tc>
          <w:tcPr>
            <w:tcW w:w="1134" w:type="dxa"/>
            <w:tcBorders>
              <w:top w:val="single" w:sz="4" w:space="0" w:color="A6A6A6"/>
              <w:bottom w:val="single" w:sz="4" w:space="0" w:color="A6A6A6"/>
            </w:tcBorders>
            <w:shd w:val="clear" w:color="auto" w:fill="E7E6E6"/>
            <w:noWrap/>
            <w:hideMark/>
          </w:tcPr>
          <w:p w14:paraId="71156F75" w14:textId="77777777" w:rsidR="0065586C" w:rsidRPr="002029AF" w:rsidRDefault="0065586C" w:rsidP="003566F1">
            <w:pPr>
              <w:pStyle w:val="ARfintablebodyright"/>
            </w:pPr>
            <w:r w:rsidRPr="002029AF">
              <w:t>1,371.9</w:t>
            </w:r>
          </w:p>
        </w:tc>
        <w:tc>
          <w:tcPr>
            <w:tcW w:w="1134" w:type="dxa"/>
            <w:tcBorders>
              <w:top w:val="single" w:sz="4" w:space="0" w:color="A6A6A6"/>
              <w:bottom w:val="single" w:sz="4" w:space="0" w:color="A6A6A6"/>
            </w:tcBorders>
            <w:noWrap/>
            <w:hideMark/>
          </w:tcPr>
          <w:p w14:paraId="5E61BCAF" w14:textId="77777777" w:rsidR="0065586C" w:rsidRPr="002029AF" w:rsidRDefault="0065586C" w:rsidP="003566F1">
            <w:pPr>
              <w:pStyle w:val="ARfintablebodyright"/>
            </w:pPr>
            <w:r w:rsidRPr="002029AF">
              <w:t>1,513.4</w:t>
            </w:r>
          </w:p>
        </w:tc>
      </w:tr>
      <w:tr w:rsidR="0065586C" w:rsidRPr="002029AF" w14:paraId="03C50FE3" w14:textId="77777777" w:rsidTr="003566F1">
        <w:tc>
          <w:tcPr>
            <w:tcW w:w="6518" w:type="dxa"/>
            <w:tcBorders>
              <w:top w:val="single" w:sz="4" w:space="0" w:color="A6A6A6"/>
              <w:bottom w:val="single" w:sz="4" w:space="0" w:color="A6A6A6"/>
            </w:tcBorders>
            <w:hideMark/>
          </w:tcPr>
          <w:p w14:paraId="4F0D501F" w14:textId="535688F0" w:rsidR="0065586C" w:rsidRPr="002029AF" w:rsidRDefault="0065586C" w:rsidP="003566F1">
            <w:pPr>
              <w:pStyle w:val="ARfintablebody"/>
            </w:pPr>
            <w:r w:rsidRPr="002029AF">
              <w:t>Interest</w:t>
            </w:r>
            <w:r w:rsidR="000A5329" w:rsidRPr="002029AF">
              <w:t xml:space="preserve"> </w:t>
            </w:r>
            <w:r w:rsidRPr="002029AF">
              <w:t>Income</w:t>
            </w:r>
          </w:p>
        </w:tc>
        <w:tc>
          <w:tcPr>
            <w:tcW w:w="851" w:type="dxa"/>
            <w:tcBorders>
              <w:top w:val="single" w:sz="4" w:space="0" w:color="A6A6A6"/>
              <w:bottom w:val="single" w:sz="4" w:space="0" w:color="A6A6A6"/>
            </w:tcBorders>
            <w:noWrap/>
            <w:hideMark/>
          </w:tcPr>
          <w:p w14:paraId="4CC7A415" w14:textId="77777777" w:rsidR="0065586C" w:rsidRPr="002029AF" w:rsidRDefault="0065586C" w:rsidP="003566F1">
            <w:pPr>
              <w:pStyle w:val="ARfintablebodyright"/>
            </w:pPr>
            <w:r w:rsidRPr="002029AF">
              <w:t>2.4.1</w:t>
            </w:r>
          </w:p>
        </w:tc>
        <w:tc>
          <w:tcPr>
            <w:tcW w:w="1134" w:type="dxa"/>
            <w:tcBorders>
              <w:top w:val="single" w:sz="4" w:space="0" w:color="A6A6A6"/>
              <w:bottom w:val="single" w:sz="4" w:space="0" w:color="A6A6A6"/>
            </w:tcBorders>
            <w:shd w:val="clear" w:color="auto" w:fill="E7E6E6"/>
            <w:noWrap/>
            <w:hideMark/>
          </w:tcPr>
          <w:p w14:paraId="21EE85E8" w14:textId="77777777" w:rsidR="0065586C" w:rsidRPr="002029AF" w:rsidRDefault="0065586C" w:rsidP="003566F1">
            <w:pPr>
              <w:pStyle w:val="ARfintablebodyright"/>
            </w:pPr>
            <w:r w:rsidRPr="002029AF">
              <w:t>6.9</w:t>
            </w:r>
          </w:p>
        </w:tc>
        <w:tc>
          <w:tcPr>
            <w:tcW w:w="1134" w:type="dxa"/>
            <w:tcBorders>
              <w:top w:val="single" w:sz="4" w:space="0" w:color="A6A6A6"/>
              <w:bottom w:val="single" w:sz="4" w:space="0" w:color="A6A6A6"/>
            </w:tcBorders>
            <w:noWrap/>
            <w:hideMark/>
          </w:tcPr>
          <w:p w14:paraId="5693EBAC" w14:textId="77777777" w:rsidR="0065586C" w:rsidRPr="002029AF" w:rsidRDefault="0065586C" w:rsidP="003566F1">
            <w:pPr>
              <w:pStyle w:val="ARfintablebodyright"/>
            </w:pPr>
            <w:r w:rsidRPr="002029AF">
              <w:t>13.2</w:t>
            </w:r>
          </w:p>
        </w:tc>
      </w:tr>
      <w:tr w:rsidR="0065586C" w:rsidRPr="002029AF" w14:paraId="23EF0B2B" w14:textId="77777777" w:rsidTr="003566F1">
        <w:tc>
          <w:tcPr>
            <w:tcW w:w="6518" w:type="dxa"/>
            <w:tcBorders>
              <w:top w:val="single" w:sz="4" w:space="0" w:color="A6A6A6"/>
              <w:bottom w:val="single" w:sz="4" w:space="0" w:color="A6A6A6"/>
            </w:tcBorders>
            <w:hideMark/>
          </w:tcPr>
          <w:p w14:paraId="39FF283E" w14:textId="25C1B5EF" w:rsidR="0065586C" w:rsidRPr="002029AF" w:rsidRDefault="0065586C" w:rsidP="003566F1">
            <w:pPr>
              <w:pStyle w:val="ARfintablebody"/>
            </w:pPr>
            <w:r w:rsidRPr="002029AF">
              <w:t>Rental</w:t>
            </w:r>
            <w:r w:rsidR="000A5329" w:rsidRPr="002029AF">
              <w:t xml:space="preserve"> </w:t>
            </w:r>
            <w:r w:rsidRPr="002029AF">
              <w:t>income</w:t>
            </w:r>
            <w:r w:rsidR="000A5329" w:rsidRPr="002029AF">
              <w:t xml:space="preserve"> </w:t>
            </w:r>
            <w:r w:rsidRPr="002029AF">
              <w:t>and</w:t>
            </w:r>
            <w:r w:rsidR="000A5329" w:rsidRPr="002029AF">
              <w:t xml:space="preserve"> </w:t>
            </w:r>
            <w:r w:rsidRPr="002029AF">
              <w:t>income</w:t>
            </w:r>
            <w:r w:rsidR="000A5329" w:rsidRPr="002029AF">
              <w:t xml:space="preserve"> </w:t>
            </w:r>
            <w:r w:rsidRPr="002029AF">
              <w:t>from</w:t>
            </w:r>
            <w:r w:rsidR="000A5329" w:rsidRPr="002029AF">
              <w:t xml:space="preserve"> </w:t>
            </w:r>
            <w:r w:rsidRPr="002029AF">
              <w:t>services</w:t>
            </w:r>
          </w:p>
        </w:tc>
        <w:tc>
          <w:tcPr>
            <w:tcW w:w="851" w:type="dxa"/>
            <w:tcBorders>
              <w:top w:val="single" w:sz="4" w:space="0" w:color="A6A6A6"/>
              <w:bottom w:val="single" w:sz="4" w:space="0" w:color="A6A6A6"/>
            </w:tcBorders>
            <w:noWrap/>
            <w:hideMark/>
          </w:tcPr>
          <w:p w14:paraId="0CB7B5E2" w14:textId="77777777" w:rsidR="0065586C" w:rsidRPr="002029AF" w:rsidRDefault="0065586C" w:rsidP="003566F1">
            <w:pPr>
              <w:pStyle w:val="ARfintablebodyright"/>
            </w:pPr>
            <w:r w:rsidRPr="002029AF">
              <w:t>2.4.2</w:t>
            </w:r>
          </w:p>
        </w:tc>
        <w:tc>
          <w:tcPr>
            <w:tcW w:w="1134" w:type="dxa"/>
            <w:tcBorders>
              <w:top w:val="single" w:sz="4" w:space="0" w:color="A6A6A6"/>
              <w:bottom w:val="single" w:sz="4" w:space="0" w:color="A6A6A6"/>
            </w:tcBorders>
            <w:shd w:val="clear" w:color="auto" w:fill="E7E6E6"/>
            <w:noWrap/>
            <w:hideMark/>
          </w:tcPr>
          <w:p w14:paraId="7EC94D07" w14:textId="77777777" w:rsidR="0065586C" w:rsidRPr="002029AF" w:rsidRDefault="0065586C" w:rsidP="003566F1">
            <w:pPr>
              <w:pStyle w:val="ARfintablebodyright"/>
            </w:pPr>
            <w:r w:rsidRPr="002029AF">
              <w:t>501.1</w:t>
            </w:r>
          </w:p>
        </w:tc>
        <w:tc>
          <w:tcPr>
            <w:tcW w:w="1134" w:type="dxa"/>
            <w:tcBorders>
              <w:top w:val="single" w:sz="4" w:space="0" w:color="A6A6A6"/>
              <w:bottom w:val="single" w:sz="4" w:space="0" w:color="A6A6A6"/>
            </w:tcBorders>
            <w:noWrap/>
            <w:hideMark/>
          </w:tcPr>
          <w:p w14:paraId="0B9D1303" w14:textId="77777777" w:rsidR="0065586C" w:rsidRPr="002029AF" w:rsidRDefault="0065586C" w:rsidP="003566F1">
            <w:pPr>
              <w:pStyle w:val="ARfintablebodyright"/>
            </w:pPr>
            <w:r w:rsidRPr="002029AF">
              <w:t>491.1</w:t>
            </w:r>
          </w:p>
        </w:tc>
      </w:tr>
      <w:tr w:rsidR="0065586C" w:rsidRPr="002029AF" w14:paraId="2C67A33D" w14:textId="77777777" w:rsidTr="003566F1">
        <w:tc>
          <w:tcPr>
            <w:tcW w:w="6518" w:type="dxa"/>
            <w:tcBorders>
              <w:top w:val="single" w:sz="4" w:space="0" w:color="A6A6A6"/>
              <w:bottom w:val="single" w:sz="4" w:space="0" w:color="A6A6A6"/>
            </w:tcBorders>
            <w:hideMark/>
          </w:tcPr>
          <w:p w14:paraId="248C497D" w14:textId="6A524CA7" w:rsidR="0065586C" w:rsidRPr="002029AF" w:rsidRDefault="0065586C" w:rsidP="003566F1">
            <w:pPr>
              <w:pStyle w:val="ARfintablebody"/>
            </w:pPr>
            <w:r w:rsidRPr="002029AF">
              <w:t>Grants</w:t>
            </w:r>
            <w:r w:rsidR="000A5329" w:rsidRPr="002029AF">
              <w:t xml:space="preserve"> </w:t>
            </w:r>
            <w:r w:rsidRPr="002029AF">
              <w:t>and</w:t>
            </w:r>
            <w:r w:rsidR="000A5329" w:rsidRPr="002029AF">
              <w:t xml:space="preserve"> </w:t>
            </w:r>
            <w:r w:rsidRPr="002029AF">
              <w:t>other</w:t>
            </w:r>
            <w:r w:rsidR="000A5329" w:rsidRPr="002029AF">
              <w:t xml:space="preserve"> </w:t>
            </w:r>
            <w:r w:rsidRPr="002029AF">
              <w:t>income</w:t>
            </w:r>
            <w:r w:rsidR="000A5329" w:rsidRPr="002029AF">
              <w:t xml:space="preserve"> </w:t>
            </w:r>
            <w:r w:rsidRPr="002029AF">
              <w:t>transfers</w:t>
            </w:r>
          </w:p>
        </w:tc>
        <w:tc>
          <w:tcPr>
            <w:tcW w:w="851" w:type="dxa"/>
            <w:tcBorders>
              <w:top w:val="single" w:sz="4" w:space="0" w:color="A6A6A6"/>
              <w:bottom w:val="single" w:sz="4" w:space="0" w:color="A6A6A6"/>
            </w:tcBorders>
            <w:noWrap/>
            <w:hideMark/>
          </w:tcPr>
          <w:p w14:paraId="34EC0439" w14:textId="77777777" w:rsidR="0065586C" w:rsidRPr="002029AF" w:rsidRDefault="0065586C" w:rsidP="003566F1">
            <w:pPr>
              <w:pStyle w:val="ARfintablebodyright"/>
            </w:pPr>
            <w:r w:rsidRPr="002029AF">
              <w:t>2.4.3</w:t>
            </w:r>
          </w:p>
        </w:tc>
        <w:tc>
          <w:tcPr>
            <w:tcW w:w="1134" w:type="dxa"/>
            <w:tcBorders>
              <w:top w:val="single" w:sz="4" w:space="0" w:color="A6A6A6"/>
              <w:bottom w:val="single" w:sz="4" w:space="0" w:color="A6A6A6"/>
            </w:tcBorders>
            <w:shd w:val="clear" w:color="auto" w:fill="E7E6E6"/>
            <w:noWrap/>
            <w:hideMark/>
          </w:tcPr>
          <w:p w14:paraId="5D6AC0F1" w14:textId="77777777" w:rsidR="0065586C" w:rsidRPr="002029AF" w:rsidRDefault="0065586C" w:rsidP="003566F1">
            <w:pPr>
              <w:pStyle w:val="ARfintablebodyright"/>
            </w:pPr>
            <w:r w:rsidRPr="002029AF">
              <w:t>2,514.0</w:t>
            </w:r>
          </w:p>
        </w:tc>
        <w:tc>
          <w:tcPr>
            <w:tcW w:w="1134" w:type="dxa"/>
            <w:tcBorders>
              <w:top w:val="single" w:sz="4" w:space="0" w:color="A6A6A6"/>
              <w:bottom w:val="single" w:sz="4" w:space="0" w:color="A6A6A6"/>
            </w:tcBorders>
            <w:noWrap/>
            <w:hideMark/>
          </w:tcPr>
          <w:p w14:paraId="6378CD44" w14:textId="77777777" w:rsidR="0065586C" w:rsidRPr="002029AF" w:rsidRDefault="0065586C" w:rsidP="003566F1">
            <w:pPr>
              <w:pStyle w:val="ARfintablebodyright"/>
            </w:pPr>
            <w:r w:rsidRPr="002029AF">
              <w:t>1,190.6</w:t>
            </w:r>
          </w:p>
        </w:tc>
      </w:tr>
      <w:tr w:rsidR="0065586C" w:rsidRPr="002029AF" w14:paraId="523D5E43" w14:textId="77777777" w:rsidTr="003566F1">
        <w:tc>
          <w:tcPr>
            <w:tcW w:w="6518" w:type="dxa"/>
            <w:tcBorders>
              <w:top w:val="single" w:sz="4" w:space="0" w:color="A6A6A6"/>
              <w:bottom w:val="single" w:sz="4" w:space="0" w:color="A6A6A6"/>
            </w:tcBorders>
            <w:hideMark/>
          </w:tcPr>
          <w:p w14:paraId="1EEE2677" w14:textId="2C54F8C8" w:rsidR="0065586C" w:rsidRPr="002029AF" w:rsidRDefault="0065586C" w:rsidP="003566F1">
            <w:pPr>
              <w:pStyle w:val="ARfintablebody"/>
            </w:pPr>
            <w:r w:rsidRPr="002029AF">
              <w:t>Fair</w:t>
            </w:r>
            <w:r w:rsidR="000A5329" w:rsidRPr="002029AF">
              <w:t xml:space="preserve"> </w:t>
            </w:r>
            <w:r w:rsidRPr="002029AF">
              <w:t>value</w:t>
            </w:r>
            <w:r w:rsidR="000A5329" w:rsidRPr="002029AF">
              <w:t xml:space="preserve"> </w:t>
            </w:r>
            <w:r w:rsidRPr="002029AF">
              <w:t>of</w:t>
            </w:r>
            <w:r w:rsidR="000A5329" w:rsidRPr="002029AF">
              <w:t xml:space="preserve"> </w:t>
            </w:r>
            <w:r w:rsidRPr="002029AF">
              <w:t>assets</w:t>
            </w:r>
            <w:r w:rsidR="000A5329" w:rsidRPr="002029AF">
              <w:t xml:space="preserve"> </w:t>
            </w:r>
            <w:r w:rsidRPr="002029AF">
              <w:t>and</w:t>
            </w:r>
            <w:r w:rsidR="000A5329" w:rsidRPr="002029AF">
              <w:t xml:space="preserve"> </w:t>
            </w:r>
            <w:r w:rsidRPr="002029AF">
              <w:t>services</w:t>
            </w:r>
            <w:r w:rsidR="000A5329" w:rsidRPr="002029AF">
              <w:t xml:space="preserve"> </w:t>
            </w:r>
            <w:r w:rsidRPr="002029AF">
              <w:t>received</w:t>
            </w:r>
            <w:r w:rsidR="000A5329" w:rsidRPr="002029AF">
              <w:t xml:space="preserve"> </w:t>
            </w:r>
            <w:r w:rsidRPr="002029AF">
              <w:t>free</w:t>
            </w:r>
            <w:r w:rsidR="000A5329" w:rsidRPr="002029AF">
              <w:t xml:space="preserve"> </w:t>
            </w:r>
            <w:r w:rsidRPr="002029AF">
              <w:t>of</w:t>
            </w:r>
            <w:r w:rsidR="000A5329" w:rsidRPr="002029AF">
              <w:t xml:space="preserve"> </w:t>
            </w:r>
            <w:r w:rsidRPr="002029AF">
              <w:t>charge</w:t>
            </w:r>
            <w:r w:rsidR="000A5329" w:rsidRPr="002029AF">
              <w:t xml:space="preserve"> </w:t>
            </w:r>
            <w:r w:rsidRPr="002029AF">
              <w:t>or</w:t>
            </w:r>
            <w:r w:rsidR="000A5329" w:rsidRPr="002029AF">
              <w:t xml:space="preserve"> </w:t>
            </w:r>
            <w:r w:rsidRPr="002029AF">
              <w:t>for</w:t>
            </w:r>
            <w:r w:rsidR="000A5329" w:rsidRPr="002029AF">
              <w:t xml:space="preserve"> </w:t>
            </w:r>
            <w:r w:rsidRPr="002029AF">
              <w:t>nominal</w:t>
            </w:r>
            <w:r w:rsidR="000A5329" w:rsidRPr="002029AF">
              <w:t xml:space="preserve"> </w:t>
            </w:r>
            <w:r w:rsidRPr="002029AF">
              <w:t>consideration</w:t>
            </w:r>
          </w:p>
        </w:tc>
        <w:tc>
          <w:tcPr>
            <w:tcW w:w="851" w:type="dxa"/>
            <w:tcBorders>
              <w:top w:val="single" w:sz="4" w:space="0" w:color="A6A6A6"/>
              <w:bottom w:val="single" w:sz="4" w:space="0" w:color="A6A6A6"/>
            </w:tcBorders>
            <w:noWrap/>
            <w:hideMark/>
          </w:tcPr>
          <w:p w14:paraId="31466BC3" w14:textId="77777777" w:rsidR="0065586C" w:rsidRPr="002029AF" w:rsidRDefault="0065586C" w:rsidP="003566F1">
            <w:pPr>
              <w:pStyle w:val="ARfintablebodyright"/>
            </w:pPr>
            <w:r w:rsidRPr="002029AF">
              <w:t>2.4.4</w:t>
            </w:r>
          </w:p>
        </w:tc>
        <w:tc>
          <w:tcPr>
            <w:tcW w:w="1134" w:type="dxa"/>
            <w:tcBorders>
              <w:top w:val="single" w:sz="4" w:space="0" w:color="A6A6A6"/>
              <w:bottom w:val="single" w:sz="4" w:space="0" w:color="A6A6A6"/>
            </w:tcBorders>
            <w:shd w:val="clear" w:color="auto" w:fill="E7E6E6"/>
            <w:noWrap/>
            <w:hideMark/>
          </w:tcPr>
          <w:p w14:paraId="75A0EB15" w14:textId="77777777" w:rsidR="0065586C" w:rsidRPr="002029AF" w:rsidRDefault="0065586C" w:rsidP="003566F1">
            <w:pPr>
              <w:pStyle w:val="ARfintablebodyright"/>
            </w:pPr>
            <w:r w:rsidRPr="002029AF">
              <w:t>3.6</w:t>
            </w:r>
          </w:p>
        </w:tc>
        <w:tc>
          <w:tcPr>
            <w:tcW w:w="1134" w:type="dxa"/>
            <w:tcBorders>
              <w:top w:val="single" w:sz="4" w:space="0" w:color="A6A6A6"/>
              <w:bottom w:val="single" w:sz="4" w:space="0" w:color="A6A6A6"/>
            </w:tcBorders>
            <w:noWrap/>
            <w:hideMark/>
          </w:tcPr>
          <w:p w14:paraId="39677D44" w14:textId="77777777" w:rsidR="0065586C" w:rsidRPr="002029AF" w:rsidRDefault="0065586C" w:rsidP="003566F1">
            <w:pPr>
              <w:pStyle w:val="ARfintablebodyright"/>
            </w:pPr>
            <w:r w:rsidRPr="002029AF">
              <w:t>10.1</w:t>
            </w:r>
          </w:p>
        </w:tc>
      </w:tr>
      <w:tr w:rsidR="0065586C" w:rsidRPr="002029AF" w14:paraId="2321C743" w14:textId="77777777" w:rsidTr="003566F1">
        <w:tc>
          <w:tcPr>
            <w:tcW w:w="6518" w:type="dxa"/>
            <w:tcBorders>
              <w:top w:val="single" w:sz="4" w:space="0" w:color="A6A6A6"/>
            </w:tcBorders>
            <w:hideMark/>
          </w:tcPr>
          <w:p w14:paraId="175611E6" w14:textId="44F05061" w:rsidR="0065586C" w:rsidRPr="002029AF" w:rsidRDefault="0065586C" w:rsidP="003566F1">
            <w:pPr>
              <w:pStyle w:val="ARfintablebody"/>
            </w:pPr>
            <w:r w:rsidRPr="002029AF">
              <w:t>Other</w:t>
            </w:r>
            <w:r w:rsidR="000A5329" w:rsidRPr="002029AF">
              <w:t xml:space="preserve"> </w:t>
            </w:r>
            <w:r w:rsidRPr="002029AF">
              <w:t>revenue</w:t>
            </w:r>
            <w:r w:rsidR="000A5329" w:rsidRPr="002029AF">
              <w:t xml:space="preserve"> </w:t>
            </w:r>
            <w:r w:rsidRPr="002029AF">
              <w:t>and</w:t>
            </w:r>
            <w:r w:rsidR="000A5329" w:rsidRPr="002029AF">
              <w:t xml:space="preserve"> </w:t>
            </w:r>
            <w:r w:rsidRPr="002029AF">
              <w:t>income</w:t>
            </w:r>
          </w:p>
        </w:tc>
        <w:tc>
          <w:tcPr>
            <w:tcW w:w="851" w:type="dxa"/>
            <w:tcBorders>
              <w:top w:val="single" w:sz="4" w:space="0" w:color="A6A6A6"/>
            </w:tcBorders>
            <w:noWrap/>
            <w:hideMark/>
          </w:tcPr>
          <w:p w14:paraId="5BF96B10" w14:textId="77777777" w:rsidR="0065586C" w:rsidRPr="002029AF" w:rsidRDefault="0065586C" w:rsidP="003566F1">
            <w:pPr>
              <w:pStyle w:val="ARfintablebodyright"/>
            </w:pPr>
            <w:r w:rsidRPr="002029AF">
              <w:t>2.4.5</w:t>
            </w:r>
          </w:p>
        </w:tc>
        <w:tc>
          <w:tcPr>
            <w:tcW w:w="1134" w:type="dxa"/>
            <w:tcBorders>
              <w:top w:val="single" w:sz="4" w:space="0" w:color="A6A6A6"/>
            </w:tcBorders>
            <w:shd w:val="clear" w:color="auto" w:fill="E7E6E6"/>
            <w:noWrap/>
            <w:hideMark/>
          </w:tcPr>
          <w:p w14:paraId="0A8D1BBC" w14:textId="77777777" w:rsidR="0065586C" w:rsidRPr="002029AF" w:rsidRDefault="0065586C" w:rsidP="003566F1">
            <w:pPr>
              <w:pStyle w:val="ARfintablebodyright"/>
            </w:pPr>
            <w:r w:rsidRPr="002029AF">
              <w:t>30.9</w:t>
            </w:r>
          </w:p>
        </w:tc>
        <w:tc>
          <w:tcPr>
            <w:tcW w:w="1134" w:type="dxa"/>
            <w:tcBorders>
              <w:top w:val="single" w:sz="4" w:space="0" w:color="A6A6A6"/>
            </w:tcBorders>
            <w:noWrap/>
            <w:hideMark/>
          </w:tcPr>
          <w:p w14:paraId="626DA362" w14:textId="77777777" w:rsidR="0065586C" w:rsidRPr="002029AF" w:rsidRDefault="0065586C" w:rsidP="003566F1">
            <w:pPr>
              <w:pStyle w:val="ARfintablebodyright"/>
            </w:pPr>
            <w:r w:rsidRPr="002029AF">
              <w:t>15.7</w:t>
            </w:r>
          </w:p>
        </w:tc>
      </w:tr>
      <w:tr w:rsidR="0065586C" w:rsidRPr="002029AF" w14:paraId="6715E240" w14:textId="77777777" w:rsidTr="003566F1">
        <w:tc>
          <w:tcPr>
            <w:tcW w:w="6518" w:type="dxa"/>
            <w:tcBorders>
              <w:bottom w:val="single" w:sz="4" w:space="0" w:color="auto"/>
            </w:tcBorders>
            <w:hideMark/>
          </w:tcPr>
          <w:p w14:paraId="61E614F4" w14:textId="4C08DCCB" w:rsidR="0065586C" w:rsidRPr="002029AF" w:rsidRDefault="0065586C" w:rsidP="003566F1">
            <w:pPr>
              <w:pStyle w:val="ARfintablecolhead"/>
            </w:pPr>
            <w:r w:rsidRPr="002029AF">
              <w:t>Total</w:t>
            </w:r>
            <w:r w:rsidR="000A5329" w:rsidRPr="002029AF">
              <w:t xml:space="preserve"> </w:t>
            </w:r>
            <w:r w:rsidRPr="002029AF">
              <w:t>revenue</w:t>
            </w:r>
            <w:r w:rsidR="000A5329" w:rsidRPr="002029AF">
              <w:t xml:space="preserve"> </w:t>
            </w:r>
            <w:r w:rsidRPr="002029AF">
              <w:t>and</w:t>
            </w:r>
            <w:r w:rsidR="000A5329" w:rsidRPr="002029AF">
              <w:t xml:space="preserve"> </w:t>
            </w:r>
            <w:r w:rsidRPr="002029AF">
              <w:t>income</w:t>
            </w:r>
            <w:r w:rsidR="000A5329" w:rsidRPr="002029AF">
              <w:t xml:space="preserve"> </w:t>
            </w:r>
            <w:r w:rsidRPr="002029AF">
              <w:t>from</w:t>
            </w:r>
            <w:r w:rsidR="000A5329" w:rsidRPr="002029AF">
              <w:t xml:space="preserve"> </w:t>
            </w:r>
            <w:r w:rsidRPr="002029AF">
              <w:t>transactions</w:t>
            </w:r>
          </w:p>
        </w:tc>
        <w:tc>
          <w:tcPr>
            <w:tcW w:w="851" w:type="dxa"/>
            <w:tcBorders>
              <w:bottom w:val="single" w:sz="4" w:space="0" w:color="auto"/>
            </w:tcBorders>
            <w:hideMark/>
          </w:tcPr>
          <w:p w14:paraId="52BEB6A5" w14:textId="77777777" w:rsidR="0065586C" w:rsidRPr="002029AF" w:rsidRDefault="0065586C" w:rsidP="003566F1">
            <w:pPr>
              <w:pStyle w:val="ARfintablecolheadright"/>
            </w:pPr>
          </w:p>
        </w:tc>
        <w:tc>
          <w:tcPr>
            <w:tcW w:w="1134" w:type="dxa"/>
            <w:tcBorders>
              <w:bottom w:val="single" w:sz="4" w:space="0" w:color="auto"/>
            </w:tcBorders>
            <w:shd w:val="clear" w:color="auto" w:fill="E7E6E6"/>
            <w:noWrap/>
            <w:hideMark/>
          </w:tcPr>
          <w:p w14:paraId="7971C841" w14:textId="42872AF7" w:rsidR="0065586C" w:rsidRPr="002029AF" w:rsidRDefault="0065586C" w:rsidP="003566F1">
            <w:pPr>
              <w:pStyle w:val="ARfintablecolheadright"/>
            </w:pPr>
            <w:r w:rsidRPr="002029AF">
              <w:t>22,028.4</w:t>
            </w:r>
          </w:p>
        </w:tc>
        <w:tc>
          <w:tcPr>
            <w:tcW w:w="1134" w:type="dxa"/>
            <w:tcBorders>
              <w:bottom w:val="single" w:sz="4" w:space="0" w:color="auto"/>
            </w:tcBorders>
            <w:noWrap/>
            <w:hideMark/>
          </w:tcPr>
          <w:p w14:paraId="1D1C7088" w14:textId="77777777" w:rsidR="0065586C" w:rsidRPr="002029AF" w:rsidRDefault="0065586C" w:rsidP="003566F1">
            <w:pPr>
              <w:pStyle w:val="ARfintablecolheadright"/>
            </w:pPr>
            <w:r w:rsidRPr="002029AF">
              <w:t>19,417.0</w:t>
            </w:r>
          </w:p>
        </w:tc>
      </w:tr>
      <w:tr w:rsidR="0065586C" w:rsidRPr="002029AF" w14:paraId="02B72177" w14:textId="77777777" w:rsidTr="003566F1">
        <w:tc>
          <w:tcPr>
            <w:tcW w:w="9637" w:type="dxa"/>
            <w:gridSpan w:val="4"/>
            <w:tcBorders>
              <w:top w:val="single" w:sz="4" w:space="0" w:color="auto"/>
              <w:bottom w:val="single" w:sz="4" w:space="0" w:color="A6A6A6"/>
            </w:tcBorders>
            <w:hideMark/>
          </w:tcPr>
          <w:p w14:paraId="4D95B114" w14:textId="235C09AC" w:rsidR="0065586C" w:rsidRPr="002029AF" w:rsidRDefault="0065586C" w:rsidP="003566F1">
            <w:pPr>
              <w:pStyle w:val="ARfintablecolhead"/>
            </w:pPr>
            <w:r w:rsidRPr="002029AF">
              <w:t>Expenses</w:t>
            </w:r>
            <w:r w:rsidR="000A5329" w:rsidRPr="002029AF">
              <w:t xml:space="preserve"> </w:t>
            </w:r>
            <w:r w:rsidRPr="002029AF">
              <w:t>from</w:t>
            </w:r>
            <w:r w:rsidR="000A5329" w:rsidRPr="002029AF">
              <w:t xml:space="preserve"> </w:t>
            </w:r>
            <w:r w:rsidRPr="002029AF">
              <w:t>transactions</w:t>
            </w:r>
          </w:p>
        </w:tc>
      </w:tr>
      <w:tr w:rsidR="0065586C" w:rsidRPr="002029AF" w14:paraId="57EFB81B" w14:textId="77777777" w:rsidTr="003566F1">
        <w:tc>
          <w:tcPr>
            <w:tcW w:w="6518" w:type="dxa"/>
            <w:tcBorders>
              <w:top w:val="single" w:sz="4" w:space="0" w:color="A6A6A6"/>
              <w:bottom w:val="single" w:sz="4" w:space="0" w:color="A6A6A6"/>
            </w:tcBorders>
            <w:hideMark/>
          </w:tcPr>
          <w:p w14:paraId="468B7380" w14:textId="1BBECCE5" w:rsidR="0065586C" w:rsidRPr="002029AF" w:rsidRDefault="0065586C" w:rsidP="003566F1">
            <w:pPr>
              <w:pStyle w:val="ARfintablebody"/>
            </w:pPr>
            <w:r w:rsidRPr="002029AF">
              <w:t>Employee</w:t>
            </w:r>
            <w:r w:rsidR="000A5329" w:rsidRPr="002029AF">
              <w:t xml:space="preserve"> </w:t>
            </w:r>
            <w:r w:rsidRPr="002029AF">
              <w:t>benefits</w:t>
            </w:r>
          </w:p>
        </w:tc>
        <w:tc>
          <w:tcPr>
            <w:tcW w:w="851" w:type="dxa"/>
            <w:tcBorders>
              <w:top w:val="single" w:sz="4" w:space="0" w:color="A6A6A6"/>
              <w:bottom w:val="single" w:sz="4" w:space="0" w:color="A6A6A6"/>
            </w:tcBorders>
            <w:noWrap/>
            <w:hideMark/>
          </w:tcPr>
          <w:p w14:paraId="6EDAC1DA" w14:textId="77777777" w:rsidR="0065586C" w:rsidRPr="002029AF" w:rsidRDefault="0065586C" w:rsidP="003566F1">
            <w:pPr>
              <w:pStyle w:val="ARfintablebodyright"/>
            </w:pPr>
            <w:r w:rsidRPr="002029AF">
              <w:t>3.1.1(a)</w:t>
            </w:r>
          </w:p>
        </w:tc>
        <w:tc>
          <w:tcPr>
            <w:tcW w:w="1134" w:type="dxa"/>
            <w:tcBorders>
              <w:top w:val="single" w:sz="4" w:space="0" w:color="A6A6A6"/>
              <w:bottom w:val="single" w:sz="4" w:space="0" w:color="A6A6A6"/>
            </w:tcBorders>
            <w:shd w:val="clear" w:color="auto" w:fill="E7E6E6"/>
            <w:noWrap/>
            <w:hideMark/>
          </w:tcPr>
          <w:p w14:paraId="594BBC8F" w14:textId="77777777" w:rsidR="0065586C" w:rsidRPr="002029AF" w:rsidRDefault="0065586C" w:rsidP="003566F1">
            <w:pPr>
              <w:pStyle w:val="ARfintablebodyright"/>
            </w:pPr>
            <w:r w:rsidRPr="002029AF">
              <w:t>1,200.2</w:t>
            </w:r>
          </w:p>
        </w:tc>
        <w:tc>
          <w:tcPr>
            <w:tcW w:w="1134" w:type="dxa"/>
            <w:tcBorders>
              <w:top w:val="single" w:sz="4" w:space="0" w:color="A6A6A6"/>
              <w:bottom w:val="single" w:sz="4" w:space="0" w:color="A6A6A6"/>
            </w:tcBorders>
            <w:noWrap/>
            <w:hideMark/>
          </w:tcPr>
          <w:p w14:paraId="498D973C" w14:textId="77777777" w:rsidR="0065586C" w:rsidRPr="002029AF" w:rsidRDefault="0065586C" w:rsidP="003566F1">
            <w:pPr>
              <w:pStyle w:val="ARfintablebodyright"/>
            </w:pPr>
            <w:r w:rsidRPr="002029AF">
              <w:t>1,479.7</w:t>
            </w:r>
          </w:p>
        </w:tc>
      </w:tr>
      <w:tr w:rsidR="0065586C" w:rsidRPr="002029AF" w14:paraId="40671E14" w14:textId="77777777" w:rsidTr="003566F1">
        <w:tc>
          <w:tcPr>
            <w:tcW w:w="6518" w:type="dxa"/>
            <w:tcBorders>
              <w:top w:val="single" w:sz="4" w:space="0" w:color="A6A6A6"/>
              <w:bottom w:val="single" w:sz="4" w:space="0" w:color="A6A6A6"/>
            </w:tcBorders>
            <w:hideMark/>
          </w:tcPr>
          <w:p w14:paraId="2276BF73" w14:textId="5636F4DB" w:rsidR="0065586C" w:rsidRPr="002029AF" w:rsidRDefault="0065586C" w:rsidP="003566F1">
            <w:pPr>
              <w:pStyle w:val="ARfintablebody"/>
            </w:pPr>
            <w:r w:rsidRPr="002029AF">
              <w:t>Depreciation</w:t>
            </w:r>
            <w:r w:rsidR="000A5329" w:rsidRPr="002029AF">
              <w:t xml:space="preserve"> </w:t>
            </w:r>
            <w:r w:rsidRPr="002029AF">
              <w:t>and</w:t>
            </w:r>
            <w:r w:rsidR="000A5329" w:rsidRPr="002029AF">
              <w:t xml:space="preserve"> </w:t>
            </w:r>
            <w:r w:rsidRPr="002029AF">
              <w:t>amortisation</w:t>
            </w:r>
          </w:p>
        </w:tc>
        <w:tc>
          <w:tcPr>
            <w:tcW w:w="851" w:type="dxa"/>
            <w:tcBorders>
              <w:top w:val="single" w:sz="4" w:space="0" w:color="A6A6A6"/>
              <w:bottom w:val="single" w:sz="4" w:space="0" w:color="A6A6A6"/>
            </w:tcBorders>
            <w:noWrap/>
            <w:hideMark/>
          </w:tcPr>
          <w:p w14:paraId="409B57DF" w14:textId="77777777" w:rsidR="0065586C" w:rsidRPr="002029AF" w:rsidRDefault="0065586C" w:rsidP="003566F1">
            <w:pPr>
              <w:pStyle w:val="ARfintablebodyright"/>
            </w:pPr>
            <w:r w:rsidRPr="002029AF">
              <w:t>5.1.1</w:t>
            </w:r>
          </w:p>
        </w:tc>
        <w:tc>
          <w:tcPr>
            <w:tcW w:w="1134" w:type="dxa"/>
            <w:tcBorders>
              <w:top w:val="single" w:sz="4" w:space="0" w:color="A6A6A6"/>
              <w:bottom w:val="single" w:sz="4" w:space="0" w:color="A6A6A6"/>
            </w:tcBorders>
            <w:shd w:val="clear" w:color="auto" w:fill="E7E6E6"/>
            <w:noWrap/>
            <w:hideMark/>
          </w:tcPr>
          <w:p w14:paraId="2286EF96" w14:textId="77777777" w:rsidR="0065586C" w:rsidRPr="002029AF" w:rsidRDefault="0065586C" w:rsidP="003566F1">
            <w:pPr>
              <w:pStyle w:val="ARfintablebodyright"/>
            </w:pPr>
            <w:r w:rsidRPr="002029AF">
              <w:t>428.1</w:t>
            </w:r>
          </w:p>
        </w:tc>
        <w:tc>
          <w:tcPr>
            <w:tcW w:w="1134" w:type="dxa"/>
            <w:tcBorders>
              <w:top w:val="single" w:sz="4" w:space="0" w:color="A6A6A6"/>
              <w:bottom w:val="single" w:sz="4" w:space="0" w:color="A6A6A6"/>
            </w:tcBorders>
            <w:noWrap/>
            <w:hideMark/>
          </w:tcPr>
          <w:p w14:paraId="2DA224B6" w14:textId="77777777" w:rsidR="0065586C" w:rsidRPr="002029AF" w:rsidRDefault="0065586C" w:rsidP="003566F1">
            <w:pPr>
              <w:pStyle w:val="ARfintablebodyright"/>
            </w:pPr>
            <w:r w:rsidRPr="002029AF">
              <w:t>340.5</w:t>
            </w:r>
          </w:p>
        </w:tc>
      </w:tr>
      <w:tr w:rsidR="0065586C" w:rsidRPr="002029AF" w14:paraId="37F0AA24" w14:textId="77777777" w:rsidTr="003566F1">
        <w:tc>
          <w:tcPr>
            <w:tcW w:w="6518" w:type="dxa"/>
            <w:tcBorders>
              <w:top w:val="single" w:sz="4" w:space="0" w:color="A6A6A6"/>
              <w:bottom w:val="single" w:sz="4" w:space="0" w:color="A6A6A6"/>
            </w:tcBorders>
            <w:hideMark/>
          </w:tcPr>
          <w:p w14:paraId="4EF9B570" w14:textId="11814C2E" w:rsidR="0065586C" w:rsidRPr="002029AF" w:rsidRDefault="0065586C" w:rsidP="003566F1">
            <w:pPr>
              <w:pStyle w:val="ARfintablebody"/>
            </w:pPr>
            <w:r w:rsidRPr="002029AF">
              <w:t>Interest</w:t>
            </w:r>
            <w:r w:rsidR="000A5329" w:rsidRPr="002029AF">
              <w:t xml:space="preserve"> </w:t>
            </w:r>
            <w:r w:rsidRPr="002029AF">
              <w:t>expense</w:t>
            </w:r>
          </w:p>
        </w:tc>
        <w:tc>
          <w:tcPr>
            <w:tcW w:w="851" w:type="dxa"/>
            <w:tcBorders>
              <w:top w:val="single" w:sz="4" w:space="0" w:color="A6A6A6"/>
              <w:bottom w:val="single" w:sz="4" w:space="0" w:color="A6A6A6"/>
            </w:tcBorders>
            <w:noWrap/>
            <w:hideMark/>
          </w:tcPr>
          <w:p w14:paraId="5CB27129" w14:textId="77777777" w:rsidR="0065586C" w:rsidRPr="002029AF" w:rsidRDefault="0065586C" w:rsidP="003566F1">
            <w:pPr>
              <w:pStyle w:val="ARfintablebodyright"/>
            </w:pPr>
            <w:r w:rsidRPr="002029AF">
              <w:t>7.1.2</w:t>
            </w:r>
          </w:p>
        </w:tc>
        <w:tc>
          <w:tcPr>
            <w:tcW w:w="1134" w:type="dxa"/>
            <w:tcBorders>
              <w:top w:val="single" w:sz="4" w:space="0" w:color="A6A6A6"/>
              <w:bottom w:val="single" w:sz="4" w:space="0" w:color="A6A6A6"/>
            </w:tcBorders>
            <w:shd w:val="clear" w:color="auto" w:fill="E7E6E6"/>
            <w:noWrap/>
            <w:hideMark/>
          </w:tcPr>
          <w:p w14:paraId="44AC2C2D" w14:textId="77777777" w:rsidR="0065586C" w:rsidRPr="002029AF" w:rsidRDefault="0065586C" w:rsidP="003566F1">
            <w:pPr>
              <w:pStyle w:val="ARfintablebodyright"/>
            </w:pPr>
            <w:r w:rsidRPr="002029AF">
              <w:t>7.0</w:t>
            </w:r>
          </w:p>
        </w:tc>
        <w:tc>
          <w:tcPr>
            <w:tcW w:w="1134" w:type="dxa"/>
            <w:tcBorders>
              <w:top w:val="single" w:sz="4" w:space="0" w:color="A6A6A6"/>
              <w:bottom w:val="single" w:sz="4" w:space="0" w:color="A6A6A6"/>
            </w:tcBorders>
            <w:noWrap/>
            <w:hideMark/>
          </w:tcPr>
          <w:p w14:paraId="1C27A4F9" w14:textId="77777777" w:rsidR="0065586C" w:rsidRPr="002029AF" w:rsidRDefault="0065586C" w:rsidP="003566F1">
            <w:pPr>
              <w:pStyle w:val="ARfintablebodyright"/>
            </w:pPr>
            <w:r w:rsidRPr="002029AF">
              <w:t>0.6</w:t>
            </w:r>
          </w:p>
        </w:tc>
      </w:tr>
      <w:tr w:rsidR="0065586C" w:rsidRPr="002029AF" w14:paraId="032FA3AF" w14:textId="77777777" w:rsidTr="003566F1">
        <w:tc>
          <w:tcPr>
            <w:tcW w:w="6518" w:type="dxa"/>
            <w:tcBorders>
              <w:top w:val="single" w:sz="4" w:space="0" w:color="A6A6A6"/>
              <w:bottom w:val="single" w:sz="4" w:space="0" w:color="A6A6A6"/>
            </w:tcBorders>
            <w:hideMark/>
          </w:tcPr>
          <w:p w14:paraId="26BBFE12" w14:textId="77777777" w:rsidR="0065586C" w:rsidRPr="002029AF" w:rsidRDefault="0065586C" w:rsidP="003566F1">
            <w:pPr>
              <w:pStyle w:val="ARfintablebody"/>
            </w:pPr>
            <w:r w:rsidRPr="002029AF">
              <w:t>Maintenance</w:t>
            </w:r>
          </w:p>
        </w:tc>
        <w:tc>
          <w:tcPr>
            <w:tcW w:w="851" w:type="dxa"/>
            <w:tcBorders>
              <w:top w:val="single" w:sz="4" w:space="0" w:color="A6A6A6"/>
              <w:bottom w:val="single" w:sz="4" w:space="0" w:color="A6A6A6"/>
            </w:tcBorders>
            <w:noWrap/>
            <w:hideMark/>
          </w:tcPr>
          <w:p w14:paraId="150ECDF6" w14:textId="77777777" w:rsidR="0065586C" w:rsidRPr="002029AF" w:rsidRDefault="0065586C" w:rsidP="003566F1">
            <w:pPr>
              <w:pStyle w:val="ARfintablebodyright"/>
            </w:pPr>
          </w:p>
        </w:tc>
        <w:tc>
          <w:tcPr>
            <w:tcW w:w="1134" w:type="dxa"/>
            <w:tcBorders>
              <w:top w:val="single" w:sz="4" w:space="0" w:color="A6A6A6"/>
              <w:bottom w:val="single" w:sz="4" w:space="0" w:color="A6A6A6"/>
            </w:tcBorders>
            <w:shd w:val="clear" w:color="auto" w:fill="E7E6E6"/>
            <w:noWrap/>
            <w:hideMark/>
          </w:tcPr>
          <w:p w14:paraId="74000C8A" w14:textId="77777777" w:rsidR="0065586C" w:rsidRPr="002029AF" w:rsidRDefault="0065586C" w:rsidP="003566F1">
            <w:pPr>
              <w:pStyle w:val="ARfintablebodyright"/>
            </w:pPr>
            <w:r w:rsidRPr="002029AF">
              <w:t>236.1</w:t>
            </w:r>
          </w:p>
        </w:tc>
        <w:tc>
          <w:tcPr>
            <w:tcW w:w="1134" w:type="dxa"/>
            <w:tcBorders>
              <w:top w:val="single" w:sz="4" w:space="0" w:color="A6A6A6"/>
              <w:bottom w:val="single" w:sz="4" w:space="0" w:color="A6A6A6"/>
            </w:tcBorders>
            <w:noWrap/>
            <w:hideMark/>
          </w:tcPr>
          <w:p w14:paraId="40EDF07C" w14:textId="77777777" w:rsidR="0065586C" w:rsidRPr="002029AF" w:rsidRDefault="0065586C" w:rsidP="003566F1">
            <w:pPr>
              <w:pStyle w:val="ARfintablebodyright"/>
            </w:pPr>
            <w:r w:rsidRPr="002029AF">
              <w:t>231.5</w:t>
            </w:r>
          </w:p>
        </w:tc>
      </w:tr>
      <w:tr w:rsidR="0065586C" w:rsidRPr="002029AF" w14:paraId="426C779A" w14:textId="77777777" w:rsidTr="003566F1">
        <w:tc>
          <w:tcPr>
            <w:tcW w:w="6518" w:type="dxa"/>
            <w:tcBorders>
              <w:top w:val="single" w:sz="4" w:space="0" w:color="A6A6A6"/>
              <w:bottom w:val="single" w:sz="4" w:space="0" w:color="A6A6A6"/>
            </w:tcBorders>
            <w:hideMark/>
          </w:tcPr>
          <w:p w14:paraId="55A733DC" w14:textId="45853F2F" w:rsidR="0065586C" w:rsidRPr="002029AF" w:rsidRDefault="0065586C" w:rsidP="003566F1">
            <w:pPr>
              <w:pStyle w:val="ARfintablebody"/>
            </w:pPr>
            <w:r w:rsidRPr="002029AF">
              <w:t>Grant</w:t>
            </w:r>
            <w:r w:rsidR="000A5329" w:rsidRPr="002029AF">
              <w:t xml:space="preserve"> </w:t>
            </w:r>
            <w:r w:rsidRPr="002029AF">
              <w:t>and</w:t>
            </w:r>
            <w:r w:rsidR="000A5329" w:rsidRPr="002029AF">
              <w:t xml:space="preserve"> </w:t>
            </w:r>
            <w:r w:rsidRPr="002029AF">
              <w:t>other</w:t>
            </w:r>
            <w:r w:rsidR="000A5329" w:rsidRPr="002029AF">
              <w:t xml:space="preserve"> </w:t>
            </w:r>
            <w:r w:rsidRPr="002029AF">
              <w:t>expense</w:t>
            </w:r>
            <w:r w:rsidR="000A5329" w:rsidRPr="002029AF">
              <w:t xml:space="preserve"> </w:t>
            </w:r>
            <w:r w:rsidRPr="002029AF">
              <w:t>transfers</w:t>
            </w:r>
          </w:p>
        </w:tc>
        <w:tc>
          <w:tcPr>
            <w:tcW w:w="851" w:type="dxa"/>
            <w:tcBorders>
              <w:top w:val="single" w:sz="4" w:space="0" w:color="A6A6A6"/>
              <w:bottom w:val="single" w:sz="4" w:space="0" w:color="A6A6A6"/>
            </w:tcBorders>
            <w:noWrap/>
            <w:hideMark/>
          </w:tcPr>
          <w:p w14:paraId="0A7D5D1D" w14:textId="77777777" w:rsidR="0065586C" w:rsidRPr="002029AF" w:rsidRDefault="0065586C" w:rsidP="003566F1">
            <w:pPr>
              <w:pStyle w:val="ARfintablebodyright"/>
            </w:pPr>
            <w:r w:rsidRPr="002029AF">
              <w:t>3.1.2</w:t>
            </w:r>
          </w:p>
        </w:tc>
        <w:tc>
          <w:tcPr>
            <w:tcW w:w="1134" w:type="dxa"/>
            <w:tcBorders>
              <w:top w:val="single" w:sz="4" w:space="0" w:color="A6A6A6"/>
              <w:bottom w:val="single" w:sz="4" w:space="0" w:color="A6A6A6"/>
            </w:tcBorders>
            <w:shd w:val="clear" w:color="auto" w:fill="E7E6E6"/>
            <w:noWrap/>
            <w:hideMark/>
          </w:tcPr>
          <w:p w14:paraId="0669D205" w14:textId="77777777" w:rsidR="0065586C" w:rsidRPr="002029AF" w:rsidRDefault="0065586C" w:rsidP="003566F1">
            <w:pPr>
              <w:pStyle w:val="ARfintablebodyright"/>
            </w:pPr>
            <w:r w:rsidRPr="002029AF">
              <w:t>17,308.0</w:t>
            </w:r>
          </w:p>
        </w:tc>
        <w:tc>
          <w:tcPr>
            <w:tcW w:w="1134" w:type="dxa"/>
            <w:tcBorders>
              <w:top w:val="single" w:sz="4" w:space="0" w:color="A6A6A6"/>
              <w:bottom w:val="single" w:sz="4" w:space="0" w:color="A6A6A6"/>
            </w:tcBorders>
            <w:noWrap/>
            <w:hideMark/>
          </w:tcPr>
          <w:p w14:paraId="24AAAAF0" w14:textId="77777777" w:rsidR="0065586C" w:rsidRPr="002029AF" w:rsidRDefault="0065586C" w:rsidP="003566F1">
            <w:pPr>
              <w:pStyle w:val="ARfintablebodyright"/>
            </w:pPr>
            <w:r w:rsidRPr="002029AF">
              <w:t>15,131.5</w:t>
            </w:r>
          </w:p>
        </w:tc>
      </w:tr>
      <w:tr w:rsidR="0065586C" w:rsidRPr="002029AF" w14:paraId="4B678EBA" w14:textId="77777777" w:rsidTr="003566F1">
        <w:tc>
          <w:tcPr>
            <w:tcW w:w="6518" w:type="dxa"/>
            <w:tcBorders>
              <w:top w:val="single" w:sz="4" w:space="0" w:color="A6A6A6"/>
              <w:bottom w:val="single" w:sz="4" w:space="0" w:color="A6A6A6"/>
            </w:tcBorders>
            <w:hideMark/>
          </w:tcPr>
          <w:p w14:paraId="5635348C" w14:textId="5C59836D" w:rsidR="0065586C" w:rsidRPr="002029AF" w:rsidRDefault="0065586C" w:rsidP="003566F1">
            <w:pPr>
              <w:pStyle w:val="ARfintablebody"/>
            </w:pPr>
            <w:r w:rsidRPr="002029AF">
              <w:t>Capital</w:t>
            </w:r>
            <w:r w:rsidR="000A5329" w:rsidRPr="002029AF">
              <w:t xml:space="preserve"> </w:t>
            </w:r>
            <w:r w:rsidRPr="002029AF">
              <w:t>asset</w:t>
            </w:r>
            <w:r w:rsidR="000A5329" w:rsidRPr="002029AF">
              <w:t xml:space="preserve"> </w:t>
            </w:r>
            <w:r w:rsidRPr="002029AF">
              <w:t>charge</w:t>
            </w:r>
          </w:p>
        </w:tc>
        <w:tc>
          <w:tcPr>
            <w:tcW w:w="851" w:type="dxa"/>
            <w:tcBorders>
              <w:top w:val="single" w:sz="4" w:space="0" w:color="A6A6A6"/>
              <w:bottom w:val="single" w:sz="4" w:space="0" w:color="A6A6A6"/>
            </w:tcBorders>
            <w:noWrap/>
            <w:hideMark/>
          </w:tcPr>
          <w:p w14:paraId="522DC463" w14:textId="77777777" w:rsidR="0065586C" w:rsidRPr="002029AF" w:rsidRDefault="0065586C" w:rsidP="003566F1">
            <w:pPr>
              <w:pStyle w:val="ARfintablebodyright"/>
            </w:pPr>
            <w:r w:rsidRPr="002029AF">
              <w:t>3.1.3</w:t>
            </w:r>
          </w:p>
        </w:tc>
        <w:tc>
          <w:tcPr>
            <w:tcW w:w="1134" w:type="dxa"/>
            <w:tcBorders>
              <w:top w:val="single" w:sz="4" w:space="0" w:color="A6A6A6"/>
              <w:bottom w:val="single" w:sz="4" w:space="0" w:color="A6A6A6"/>
            </w:tcBorders>
            <w:shd w:val="clear" w:color="auto" w:fill="E7E6E6"/>
            <w:noWrap/>
            <w:hideMark/>
          </w:tcPr>
          <w:p w14:paraId="40D3E886" w14:textId="77777777" w:rsidR="0065586C" w:rsidRPr="002029AF" w:rsidRDefault="0065586C" w:rsidP="003566F1">
            <w:pPr>
              <w:pStyle w:val="ARfintablebodyright"/>
            </w:pPr>
            <w:r w:rsidRPr="002029AF">
              <w:t>1,319.8</w:t>
            </w:r>
          </w:p>
        </w:tc>
        <w:tc>
          <w:tcPr>
            <w:tcW w:w="1134" w:type="dxa"/>
            <w:tcBorders>
              <w:top w:val="single" w:sz="4" w:space="0" w:color="A6A6A6"/>
              <w:bottom w:val="single" w:sz="4" w:space="0" w:color="A6A6A6"/>
            </w:tcBorders>
            <w:noWrap/>
            <w:hideMark/>
          </w:tcPr>
          <w:p w14:paraId="1C8C3F5D" w14:textId="77777777" w:rsidR="0065586C" w:rsidRPr="002029AF" w:rsidRDefault="0065586C" w:rsidP="003566F1">
            <w:pPr>
              <w:pStyle w:val="ARfintablebodyright"/>
            </w:pPr>
            <w:r w:rsidRPr="002029AF">
              <w:t>1,266.0</w:t>
            </w:r>
          </w:p>
        </w:tc>
      </w:tr>
      <w:tr w:rsidR="0065586C" w:rsidRPr="002029AF" w14:paraId="6C79FD75" w14:textId="77777777" w:rsidTr="003566F1">
        <w:tc>
          <w:tcPr>
            <w:tcW w:w="6518" w:type="dxa"/>
            <w:tcBorders>
              <w:top w:val="single" w:sz="4" w:space="0" w:color="A6A6A6"/>
              <w:bottom w:val="single" w:sz="4" w:space="0" w:color="A6A6A6"/>
            </w:tcBorders>
            <w:hideMark/>
          </w:tcPr>
          <w:p w14:paraId="5EDB5B65" w14:textId="4791F133" w:rsidR="0065586C" w:rsidRPr="002029AF" w:rsidRDefault="0065586C" w:rsidP="003566F1">
            <w:pPr>
              <w:pStyle w:val="ARfintablebody"/>
            </w:pPr>
            <w:r w:rsidRPr="002029AF">
              <w:t>Fair</w:t>
            </w:r>
            <w:r w:rsidR="000A5329" w:rsidRPr="002029AF">
              <w:t xml:space="preserve"> </w:t>
            </w:r>
            <w:r w:rsidRPr="002029AF">
              <w:t>value</w:t>
            </w:r>
            <w:r w:rsidR="000A5329" w:rsidRPr="002029AF">
              <w:t xml:space="preserve"> </w:t>
            </w:r>
            <w:r w:rsidRPr="002029AF">
              <w:t>of</w:t>
            </w:r>
            <w:r w:rsidR="000A5329" w:rsidRPr="002029AF">
              <w:t xml:space="preserve"> </w:t>
            </w:r>
            <w:r w:rsidRPr="002029AF">
              <w:t>assets</w:t>
            </w:r>
            <w:r w:rsidR="000A5329" w:rsidRPr="002029AF">
              <w:t xml:space="preserve"> </w:t>
            </w:r>
            <w:r w:rsidRPr="002029AF">
              <w:t>and</w:t>
            </w:r>
            <w:r w:rsidR="000A5329" w:rsidRPr="002029AF">
              <w:t xml:space="preserve"> </w:t>
            </w:r>
            <w:r w:rsidRPr="002029AF">
              <w:t>services</w:t>
            </w:r>
            <w:r w:rsidR="000A5329" w:rsidRPr="002029AF">
              <w:t xml:space="preserve"> </w:t>
            </w:r>
            <w:r w:rsidRPr="002029AF">
              <w:t>provided</w:t>
            </w:r>
            <w:r w:rsidR="000A5329" w:rsidRPr="002029AF">
              <w:t xml:space="preserve"> </w:t>
            </w:r>
            <w:r w:rsidRPr="002029AF">
              <w:t>free</w:t>
            </w:r>
            <w:r w:rsidR="000A5329" w:rsidRPr="002029AF">
              <w:t xml:space="preserve"> </w:t>
            </w:r>
            <w:r w:rsidRPr="002029AF">
              <w:t>of</w:t>
            </w:r>
            <w:r w:rsidR="000A5329" w:rsidRPr="002029AF">
              <w:t xml:space="preserve"> </w:t>
            </w:r>
            <w:r w:rsidRPr="002029AF">
              <w:t>charge</w:t>
            </w:r>
            <w:r w:rsidR="000A5329" w:rsidRPr="002029AF">
              <w:t xml:space="preserve"> </w:t>
            </w:r>
            <w:r w:rsidRPr="002029AF">
              <w:t>or</w:t>
            </w:r>
            <w:r w:rsidR="000A5329" w:rsidRPr="002029AF">
              <w:t xml:space="preserve"> </w:t>
            </w:r>
            <w:r w:rsidRPr="002029AF">
              <w:t>for</w:t>
            </w:r>
            <w:r w:rsidR="000A5329" w:rsidRPr="002029AF">
              <w:t xml:space="preserve"> </w:t>
            </w:r>
            <w:r w:rsidRPr="002029AF">
              <w:t>nominal</w:t>
            </w:r>
            <w:r w:rsidR="000A5329" w:rsidRPr="002029AF">
              <w:t xml:space="preserve"> </w:t>
            </w:r>
            <w:r w:rsidRPr="002029AF">
              <w:t>consideration</w:t>
            </w:r>
          </w:p>
        </w:tc>
        <w:tc>
          <w:tcPr>
            <w:tcW w:w="851" w:type="dxa"/>
            <w:tcBorders>
              <w:top w:val="single" w:sz="4" w:space="0" w:color="A6A6A6"/>
              <w:bottom w:val="single" w:sz="4" w:space="0" w:color="A6A6A6"/>
            </w:tcBorders>
            <w:noWrap/>
            <w:hideMark/>
          </w:tcPr>
          <w:p w14:paraId="204E2C20" w14:textId="77777777" w:rsidR="0065586C" w:rsidRPr="002029AF" w:rsidRDefault="0065586C" w:rsidP="003566F1">
            <w:pPr>
              <w:pStyle w:val="ARfintablebodyright"/>
            </w:pPr>
            <w:r w:rsidRPr="002029AF">
              <w:t>3.1.4</w:t>
            </w:r>
          </w:p>
        </w:tc>
        <w:tc>
          <w:tcPr>
            <w:tcW w:w="1134" w:type="dxa"/>
            <w:tcBorders>
              <w:top w:val="single" w:sz="4" w:space="0" w:color="A6A6A6"/>
              <w:bottom w:val="single" w:sz="4" w:space="0" w:color="A6A6A6"/>
            </w:tcBorders>
            <w:shd w:val="clear" w:color="auto" w:fill="E7E6E6"/>
            <w:noWrap/>
            <w:hideMark/>
          </w:tcPr>
          <w:p w14:paraId="71FF99D2" w14:textId="77777777" w:rsidR="0065586C" w:rsidRPr="002029AF" w:rsidRDefault="0065586C" w:rsidP="003566F1">
            <w:pPr>
              <w:pStyle w:val="ARfintablebodyright"/>
            </w:pPr>
            <w:r w:rsidRPr="002029AF">
              <w:t>32.3</w:t>
            </w:r>
          </w:p>
        </w:tc>
        <w:tc>
          <w:tcPr>
            <w:tcW w:w="1134" w:type="dxa"/>
            <w:tcBorders>
              <w:top w:val="single" w:sz="4" w:space="0" w:color="A6A6A6"/>
              <w:bottom w:val="single" w:sz="4" w:space="0" w:color="A6A6A6"/>
            </w:tcBorders>
            <w:noWrap/>
            <w:hideMark/>
          </w:tcPr>
          <w:p w14:paraId="75BCF117" w14:textId="77777777" w:rsidR="0065586C" w:rsidRPr="002029AF" w:rsidRDefault="0065586C" w:rsidP="003566F1">
            <w:pPr>
              <w:pStyle w:val="ARfintablebodyright"/>
            </w:pPr>
            <w:r w:rsidRPr="002029AF">
              <w:t>121.3</w:t>
            </w:r>
          </w:p>
        </w:tc>
      </w:tr>
      <w:tr w:rsidR="0065586C" w:rsidRPr="002029AF" w14:paraId="02F02654" w14:textId="77777777" w:rsidTr="003566F1">
        <w:tc>
          <w:tcPr>
            <w:tcW w:w="6518" w:type="dxa"/>
            <w:tcBorders>
              <w:top w:val="single" w:sz="4" w:space="0" w:color="A6A6A6"/>
              <w:bottom w:val="single" w:sz="4" w:space="0" w:color="A6A6A6"/>
            </w:tcBorders>
            <w:hideMark/>
          </w:tcPr>
          <w:p w14:paraId="1EFD6652" w14:textId="52524672" w:rsidR="0065586C" w:rsidRPr="002029AF" w:rsidRDefault="0065586C" w:rsidP="003566F1">
            <w:pPr>
              <w:pStyle w:val="ARfintablebody"/>
            </w:pPr>
            <w:r w:rsidRPr="002029AF">
              <w:t>Other</w:t>
            </w:r>
            <w:r w:rsidR="000A5329" w:rsidRPr="002029AF">
              <w:t xml:space="preserve"> </w:t>
            </w:r>
            <w:r w:rsidRPr="002029AF">
              <w:t>operating</w:t>
            </w:r>
            <w:r w:rsidR="000A5329" w:rsidRPr="002029AF">
              <w:t xml:space="preserve"> </w:t>
            </w:r>
            <w:r w:rsidRPr="002029AF">
              <w:t>expenses</w:t>
            </w:r>
          </w:p>
        </w:tc>
        <w:tc>
          <w:tcPr>
            <w:tcW w:w="851" w:type="dxa"/>
            <w:tcBorders>
              <w:top w:val="single" w:sz="4" w:space="0" w:color="A6A6A6"/>
              <w:bottom w:val="single" w:sz="4" w:space="0" w:color="A6A6A6"/>
            </w:tcBorders>
            <w:noWrap/>
            <w:hideMark/>
          </w:tcPr>
          <w:p w14:paraId="7A4B1228" w14:textId="77777777" w:rsidR="0065586C" w:rsidRPr="002029AF" w:rsidRDefault="0065586C" w:rsidP="003566F1">
            <w:pPr>
              <w:pStyle w:val="ARfintablebodyright"/>
            </w:pPr>
            <w:r w:rsidRPr="002029AF">
              <w:t>3.1.5</w:t>
            </w:r>
          </w:p>
        </w:tc>
        <w:tc>
          <w:tcPr>
            <w:tcW w:w="1134" w:type="dxa"/>
            <w:tcBorders>
              <w:top w:val="single" w:sz="4" w:space="0" w:color="A6A6A6"/>
              <w:bottom w:val="single" w:sz="4" w:space="0" w:color="A6A6A6"/>
            </w:tcBorders>
            <w:shd w:val="clear" w:color="auto" w:fill="E7E6E6"/>
            <w:noWrap/>
            <w:hideMark/>
          </w:tcPr>
          <w:p w14:paraId="2D04757A" w14:textId="77777777" w:rsidR="0065586C" w:rsidRPr="002029AF" w:rsidRDefault="0065586C" w:rsidP="003566F1">
            <w:pPr>
              <w:pStyle w:val="ARfintablebodyright"/>
            </w:pPr>
            <w:r w:rsidRPr="002029AF">
              <w:t>689.4</w:t>
            </w:r>
          </w:p>
        </w:tc>
        <w:tc>
          <w:tcPr>
            <w:tcW w:w="1134" w:type="dxa"/>
            <w:tcBorders>
              <w:top w:val="single" w:sz="4" w:space="0" w:color="A6A6A6"/>
              <w:bottom w:val="single" w:sz="4" w:space="0" w:color="A6A6A6"/>
            </w:tcBorders>
            <w:noWrap/>
            <w:hideMark/>
          </w:tcPr>
          <w:p w14:paraId="1F1BA75C" w14:textId="77777777" w:rsidR="0065586C" w:rsidRPr="002029AF" w:rsidRDefault="0065586C" w:rsidP="003566F1">
            <w:pPr>
              <w:pStyle w:val="ARfintablebodyright"/>
            </w:pPr>
            <w:r w:rsidRPr="002029AF">
              <w:t>611.3</w:t>
            </w:r>
          </w:p>
        </w:tc>
      </w:tr>
      <w:tr w:rsidR="0065586C" w:rsidRPr="002029AF" w14:paraId="455F4C55" w14:textId="77777777" w:rsidTr="003566F1">
        <w:tc>
          <w:tcPr>
            <w:tcW w:w="6518" w:type="dxa"/>
            <w:tcBorders>
              <w:top w:val="single" w:sz="4" w:space="0" w:color="A6A6A6"/>
            </w:tcBorders>
            <w:hideMark/>
          </w:tcPr>
          <w:p w14:paraId="51FB16F1" w14:textId="06CA60FD" w:rsidR="0065586C" w:rsidRPr="002029AF" w:rsidRDefault="0065586C" w:rsidP="003566F1">
            <w:pPr>
              <w:pStyle w:val="ARfintablebody"/>
            </w:pPr>
            <w:r w:rsidRPr="002029AF">
              <w:t>Other</w:t>
            </w:r>
            <w:r w:rsidR="000A5329" w:rsidRPr="002029AF">
              <w:t xml:space="preserve"> </w:t>
            </w:r>
            <w:r w:rsidRPr="002029AF">
              <w:t>property</w:t>
            </w:r>
            <w:r w:rsidR="000A5329" w:rsidRPr="002029AF">
              <w:t xml:space="preserve"> </w:t>
            </w:r>
            <w:r w:rsidRPr="002029AF">
              <w:t>management</w:t>
            </w:r>
            <w:r w:rsidR="000A5329" w:rsidRPr="002029AF">
              <w:t xml:space="preserve"> </w:t>
            </w:r>
            <w:r w:rsidRPr="002029AF">
              <w:t>expenses</w:t>
            </w:r>
          </w:p>
        </w:tc>
        <w:tc>
          <w:tcPr>
            <w:tcW w:w="851" w:type="dxa"/>
            <w:tcBorders>
              <w:top w:val="single" w:sz="4" w:space="0" w:color="A6A6A6"/>
            </w:tcBorders>
            <w:noWrap/>
            <w:hideMark/>
          </w:tcPr>
          <w:p w14:paraId="28ABFEC3" w14:textId="77777777" w:rsidR="0065586C" w:rsidRPr="002029AF" w:rsidRDefault="0065586C" w:rsidP="003566F1">
            <w:pPr>
              <w:pStyle w:val="ARfintablebodyright"/>
            </w:pPr>
            <w:r w:rsidRPr="002029AF">
              <w:t>3.1.6</w:t>
            </w:r>
          </w:p>
        </w:tc>
        <w:tc>
          <w:tcPr>
            <w:tcW w:w="1134" w:type="dxa"/>
            <w:tcBorders>
              <w:top w:val="single" w:sz="4" w:space="0" w:color="A6A6A6"/>
            </w:tcBorders>
            <w:shd w:val="clear" w:color="auto" w:fill="E7E6E6"/>
            <w:noWrap/>
            <w:hideMark/>
          </w:tcPr>
          <w:p w14:paraId="695935D6" w14:textId="77777777" w:rsidR="0065586C" w:rsidRPr="002029AF" w:rsidRDefault="0065586C" w:rsidP="003566F1">
            <w:pPr>
              <w:pStyle w:val="ARfintablebodyright"/>
            </w:pPr>
            <w:r w:rsidRPr="002029AF">
              <w:t>199.3</w:t>
            </w:r>
          </w:p>
        </w:tc>
        <w:tc>
          <w:tcPr>
            <w:tcW w:w="1134" w:type="dxa"/>
            <w:tcBorders>
              <w:top w:val="single" w:sz="4" w:space="0" w:color="A6A6A6"/>
            </w:tcBorders>
            <w:noWrap/>
            <w:hideMark/>
          </w:tcPr>
          <w:p w14:paraId="1E733906" w14:textId="77777777" w:rsidR="0065586C" w:rsidRPr="002029AF" w:rsidRDefault="0065586C" w:rsidP="003566F1">
            <w:pPr>
              <w:pStyle w:val="ARfintablebodyright"/>
            </w:pPr>
            <w:r w:rsidRPr="002029AF">
              <w:t>209.1</w:t>
            </w:r>
          </w:p>
        </w:tc>
      </w:tr>
      <w:tr w:rsidR="0065586C" w:rsidRPr="002029AF" w14:paraId="4AB5E05E" w14:textId="77777777" w:rsidTr="003566F1">
        <w:tc>
          <w:tcPr>
            <w:tcW w:w="6518" w:type="dxa"/>
            <w:hideMark/>
          </w:tcPr>
          <w:p w14:paraId="740038B6" w14:textId="6A12C396" w:rsidR="0065586C" w:rsidRPr="002029AF" w:rsidRDefault="0065586C" w:rsidP="003566F1">
            <w:pPr>
              <w:pStyle w:val="ARfintablebodybold"/>
            </w:pPr>
            <w:r w:rsidRPr="002029AF">
              <w:t>Total</w:t>
            </w:r>
            <w:r w:rsidR="000A5329" w:rsidRPr="002029AF">
              <w:t xml:space="preserve"> </w:t>
            </w:r>
            <w:r w:rsidRPr="002029AF">
              <w:t>expenses</w:t>
            </w:r>
            <w:r w:rsidR="000A5329" w:rsidRPr="002029AF">
              <w:t xml:space="preserve"> </w:t>
            </w:r>
            <w:r w:rsidRPr="002029AF">
              <w:t>from</w:t>
            </w:r>
            <w:r w:rsidR="000A5329" w:rsidRPr="002029AF">
              <w:t xml:space="preserve"> </w:t>
            </w:r>
            <w:r w:rsidRPr="002029AF">
              <w:t>transactions</w:t>
            </w:r>
          </w:p>
        </w:tc>
        <w:tc>
          <w:tcPr>
            <w:tcW w:w="851" w:type="dxa"/>
            <w:hideMark/>
          </w:tcPr>
          <w:p w14:paraId="478C842B" w14:textId="77777777" w:rsidR="0065586C" w:rsidRPr="002029AF" w:rsidRDefault="0065586C" w:rsidP="003566F1">
            <w:pPr>
              <w:pStyle w:val="ARfintablebodyrightbold"/>
            </w:pPr>
          </w:p>
        </w:tc>
        <w:tc>
          <w:tcPr>
            <w:tcW w:w="1134" w:type="dxa"/>
            <w:shd w:val="clear" w:color="auto" w:fill="E7E6E6"/>
            <w:noWrap/>
            <w:hideMark/>
          </w:tcPr>
          <w:p w14:paraId="74B74EBE" w14:textId="56882DA8" w:rsidR="0065586C" w:rsidRPr="002029AF" w:rsidRDefault="0065586C" w:rsidP="003566F1">
            <w:pPr>
              <w:pStyle w:val="ARfintablebodyrightbold"/>
            </w:pPr>
            <w:r w:rsidRPr="002029AF">
              <w:t>21,420.3</w:t>
            </w:r>
          </w:p>
        </w:tc>
        <w:tc>
          <w:tcPr>
            <w:tcW w:w="1134" w:type="dxa"/>
            <w:noWrap/>
            <w:hideMark/>
          </w:tcPr>
          <w:p w14:paraId="3754C928" w14:textId="77777777" w:rsidR="0065586C" w:rsidRPr="002029AF" w:rsidRDefault="0065586C" w:rsidP="003566F1">
            <w:pPr>
              <w:pStyle w:val="ARfintablebodyrightbold"/>
            </w:pPr>
            <w:r w:rsidRPr="002029AF">
              <w:t>19,391.5</w:t>
            </w:r>
          </w:p>
        </w:tc>
      </w:tr>
      <w:tr w:rsidR="0065586C" w:rsidRPr="002029AF" w14:paraId="7BD83536" w14:textId="77777777" w:rsidTr="003566F1">
        <w:tc>
          <w:tcPr>
            <w:tcW w:w="6518" w:type="dxa"/>
            <w:tcBorders>
              <w:bottom w:val="single" w:sz="4" w:space="0" w:color="auto"/>
            </w:tcBorders>
            <w:hideMark/>
          </w:tcPr>
          <w:p w14:paraId="3E6D5203" w14:textId="5989372F" w:rsidR="0065586C" w:rsidRPr="002029AF" w:rsidRDefault="0065586C" w:rsidP="003566F1">
            <w:pPr>
              <w:pStyle w:val="ARfintablebodybold"/>
            </w:pPr>
            <w:r w:rsidRPr="002029AF">
              <w:t>Net</w:t>
            </w:r>
            <w:r w:rsidR="000A5329" w:rsidRPr="002029AF">
              <w:t xml:space="preserve"> </w:t>
            </w:r>
            <w:r w:rsidRPr="002029AF">
              <w:t>result</w:t>
            </w:r>
            <w:r w:rsidR="000A5329" w:rsidRPr="002029AF">
              <w:t xml:space="preserve"> </w:t>
            </w:r>
            <w:r w:rsidRPr="002029AF">
              <w:t>from</w:t>
            </w:r>
            <w:r w:rsidR="000A5329" w:rsidRPr="002029AF">
              <w:t xml:space="preserve"> </w:t>
            </w:r>
            <w:r w:rsidRPr="002029AF">
              <w:t>transactions</w:t>
            </w:r>
            <w:r w:rsidR="000A5329" w:rsidRPr="002029AF">
              <w:t xml:space="preserve"> </w:t>
            </w:r>
            <w:r w:rsidRPr="002029AF">
              <w:t>(net</w:t>
            </w:r>
            <w:r w:rsidR="000A5329" w:rsidRPr="002029AF">
              <w:t xml:space="preserve"> </w:t>
            </w:r>
            <w:r w:rsidRPr="002029AF">
              <w:t>operating</w:t>
            </w:r>
            <w:r w:rsidR="000A5329" w:rsidRPr="002029AF">
              <w:t xml:space="preserve"> </w:t>
            </w:r>
            <w:r w:rsidRPr="002029AF">
              <w:t>balance)</w:t>
            </w:r>
          </w:p>
        </w:tc>
        <w:tc>
          <w:tcPr>
            <w:tcW w:w="851" w:type="dxa"/>
            <w:tcBorders>
              <w:bottom w:val="single" w:sz="4" w:space="0" w:color="auto"/>
            </w:tcBorders>
            <w:hideMark/>
          </w:tcPr>
          <w:p w14:paraId="02F00B18" w14:textId="77777777" w:rsidR="0065586C" w:rsidRPr="002029AF" w:rsidRDefault="0065586C" w:rsidP="003566F1">
            <w:pPr>
              <w:pStyle w:val="ARfintablebodyrightbold"/>
            </w:pPr>
          </w:p>
        </w:tc>
        <w:tc>
          <w:tcPr>
            <w:tcW w:w="1134" w:type="dxa"/>
            <w:tcBorders>
              <w:bottom w:val="single" w:sz="4" w:space="0" w:color="auto"/>
            </w:tcBorders>
            <w:shd w:val="clear" w:color="auto" w:fill="E7E6E6"/>
            <w:noWrap/>
            <w:hideMark/>
          </w:tcPr>
          <w:p w14:paraId="4DE64E91" w14:textId="414C5D66" w:rsidR="0065586C" w:rsidRPr="002029AF" w:rsidRDefault="0065586C" w:rsidP="003566F1">
            <w:pPr>
              <w:pStyle w:val="ARfintablebodyrightbold"/>
            </w:pPr>
            <w:r w:rsidRPr="002029AF">
              <w:t>608.1</w:t>
            </w:r>
          </w:p>
        </w:tc>
        <w:tc>
          <w:tcPr>
            <w:tcW w:w="1134" w:type="dxa"/>
            <w:tcBorders>
              <w:bottom w:val="single" w:sz="4" w:space="0" w:color="auto"/>
            </w:tcBorders>
            <w:noWrap/>
            <w:hideMark/>
          </w:tcPr>
          <w:p w14:paraId="1760E905" w14:textId="77777777" w:rsidR="0065586C" w:rsidRPr="002029AF" w:rsidRDefault="0065586C" w:rsidP="003566F1">
            <w:pPr>
              <w:pStyle w:val="ARfintablebodyrightbold"/>
            </w:pPr>
            <w:r w:rsidRPr="002029AF">
              <w:t>25.5</w:t>
            </w:r>
          </w:p>
        </w:tc>
      </w:tr>
      <w:tr w:rsidR="0065586C" w:rsidRPr="002029AF" w14:paraId="798FA88E" w14:textId="77777777" w:rsidTr="003566F1">
        <w:tc>
          <w:tcPr>
            <w:tcW w:w="9637" w:type="dxa"/>
            <w:gridSpan w:val="4"/>
            <w:tcBorders>
              <w:top w:val="single" w:sz="4" w:space="0" w:color="auto"/>
              <w:bottom w:val="single" w:sz="4" w:space="0" w:color="A6A6A6"/>
            </w:tcBorders>
            <w:hideMark/>
          </w:tcPr>
          <w:p w14:paraId="307E5500" w14:textId="07226B96" w:rsidR="0065586C" w:rsidRPr="002029AF" w:rsidRDefault="0065586C" w:rsidP="003566F1">
            <w:pPr>
              <w:pStyle w:val="ARfintablecolhead"/>
            </w:pPr>
            <w:r w:rsidRPr="002029AF">
              <w:t>Other</w:t>
            </w:r>
            <w:r w:rsidR="000A5329" w:rsidRPr="002029AF">
              <w:t xml:space="preserve"> </w:t>
            </w:r>
            <w:r w:rsidRPr="002029AF">
              <w:t>economic</w:t>
            </w:r>
            <w:r w:rsidR="000A5329" w:rsidRPr="002029AF">
              <w:t xml:space="preserve"> </w:t>
            </w:r>
            <w:r w:rsidRPr="002029AF">
              <w:t>flows</w:t>
            </w:r>
            <w:r w:rsidR="000A5329" w:rsidRPr="002029AF">
              <w:t xml:space="preserve"> </w:t>
            </w:r>
            <w:r w:rsidRPr="002029AF">
              <w:t>included</w:t>
            </w:r>
            <w:r w:rsidR="000A5329" w:rsidRPr="002029AF">
              <w:t xml:space="preserve"> </w:t>
            </w:r>
            <w:r w:rsidRPr="002029AF">
              <w:t>in</w:t>
            </w:r>
            <w:r w:rsidR="000A5329" w:rsidRPr="002029AF">
              <w:t xml:space="preserve"> </w:t>
            </w:r>
            <w:r w:rsidRPr="002029AF">
              <w:t>net</w:t>
            </w:r>
            <w:r w:rsidR="000A5329" w:rsidRPr="002029AF">
              <w:t xml:space="preserve"> </w:t>
            </w:r>
            <w:r w:rsidRPr="002029AF">
              <w:t>result</w:t>
            </w:r>
          </w:p>
        </w:tc>
      </w:tr>
      <w:tr w:rsidR="0065586C" w:rsidRPr="002029AF" w14:paraId="0EE4AD5C" w14:textId="77777777" w:rsidTr="003566F1">
        <w:tc>
          <w:tcPr>
            <w:tcW w:w="6518" w:type="dxa"/>
            <w:tcBorders>
              <w:top w:val="single" w:sz="4" w:space="0" w:color="A6A6A6"/>
              <w:bottom w:val="single" w:sz="4" w:space="0" w:color="A6A6A6"/>
            </w:tcBorders>
            <w:hideMark/>
          </w:tcPr>
          <w:p w14:paraId="17423B56" w14:textId="2D0561DA" w:rsidR="0065586C" w:rsidRPr="002029AF" w:rsidRDefault="0065586C" w:rsidP="003566F1">
            <w:pPr>
              <w:pStyle w:val="ARfintablebody"/>
            </w:pPr>
            <w:r w:rsidRPr="002029AF">
              <w:t>Net</w:t>
            </w:r>
            <w:r w:rsidR="000A5329" w:rsidRPr="002029AF">
              <w:t xml:space="preserve"> </w:t>
            </w:r>
            <w:r w:rsidRPr="002029AF">
              <w:t>gain/(loss)</w:t>
            </w:r>
            <w:r w:rsidR="000A5329" w:rsidRPr="002029AF">
              <w:t xml:space="preserve"> </w:t>
            </w:r>
            <w:r w:rsidRPr="002029AF">
              <w:t>on</w:t>
            </w:r>
            <w:r w:rsidR="000A5329" w:rsidRPr="002029AF">
              <w:t xml:space="preserve"> </w:t>
            </w:r>
            <w:r w:rsidRPr="002029AF">
              <w:t>non-financial</w:t>
            </w:r>
            <w:r w:rsidR="000A5329" w:rsidRPr="002029AF">
              <w:t xml:space="preserve"> </w:t>
            </w:r>
            <w:r w:rsidRPr="002029AF">
              <w:t>assets</w:t>
            </w:r>
            <w:r w:rsidR="000A5329" w:rsidRPr="002029AF">
              <w:t xml:space="preserve"> </w:t>
            </w:r>
            <w:r w:rsidRPr="002029AF">
              <w:rPr>
                <w:rStyle w:val="Superscript"/>
              </w:rPr>
              <w:t>(i)</w:t>
            </w:r>
          </w:p>
        </w:tc>
        <w:tc>
          <w:tcPr>
            <w:tcW w:w="851" w:type="dxa"/>
            <w:tcBorders>
              <w:top w:val="single" w:sz="4" w:space="0" w:color="A6A6A6"/>
              <w:bottom w:val="single" w:sz="4" w:space="0" w:color="A6A6A6"/>
            </w:tcBorders>
            <w:noWrap/>
            <w:hideMark/>
          </w:tcPr>
          <w:p w14:paraId="62EB0D82" w14:textId="77777777" w:rsidR="0065586C" w:rsidRPr="002029AF" w:rsidRDefault="0065586C" w:rsidP="003566F1">
            <w:pPr>
              <w:pStyle w:val="ARfintablebodyright"/>
            </w:pPr>
            <w:r w:rsidRPr="002029AF">
              <w:t>9.2(a)</w:t>
            </w:r>
          </w:p>
        </w:tc>
        <w:tc>
          <w:tcPr>
            <w:tcW w:w="1134" w:type="dxa"/>
            <w:tcBorders>
              <w:top w:val="single" w:sz="4" w:space="0" w:color="A6A6A6"/>
              <w:bottom w:val="single" w:sz="4" w:space="0" w:color="A6A6A6"/>
            </w:tcBorders>
            <w:shd w:val="clear" w:color="auto" w:fill="E7E6E6"/>
            <w:noWrap/>
            <w:hideMark/>
          </w:tcPr>
          <w:p w14:paraId="6E722810" w14:textId="77777777" w:rsidR="0065586C" w:rsidRPr="002029AF" w:rsidRDefault="0065586C" w:rsidP="003566F1">
            <w:pPr>
              <w:pStyle w:val="ARfintablebodyright"/>
            </w:pPr>
            <w:r w:rsidRPr="002029AF">
              <w:t>(4.5)</w:t>
            </w:r>
          </w:p>
        </w:tc>
        <w:tc>
          <w:tcPr>
            <w:tcW w:w="1134" w:type="dxa"/>
            <w:tcBorders>
              <w:top w:val="single" w:sz="4" w:space="0" w:color="A6A6A6"/>
              <w:bottom w:val="single" w:sz="4" w:space="0" w:color="A6A6A6"/>
            </w:tcBorders>
            <w:noWrap/>
            <w:hideMark/>
          </w:tcPr>
          <w:p w14:paraId="2C77E6F9" w14:textId="77777777" w:rsidR="0065586C" w:rsidRPr="002029AF" w:rsidRDefault="0065586C" w:rsidP="003566F1">
            <w:pPr>
              <w:pStyle w:val="ARfintablebodyright"/>
            </w:pPr>
            <w:r w:rsidRPr="002029AF">
              <w:t>(6.5)</w:t>
            </w:r>
          </w:p>
        </w:tc>
      </w:tr>
      <w:tr w:rsidR="0065586C" w:rsidRPr="002029AF" w14:paraId="521184C9" w14:textId="77777777" w:rsidTr="003566F1">
        <w:tc>
          <w:tcPr>
            <w:tcW w:w="6518" w:type="dxa"/>
            <w:tcBorders>
              <w:top w:val="single" w:sz="4" w:space="0" w:color="A6A6A6"/>
              <w:bottom w:val="single" w:sz="4" w:space="0" w:color="A6A6A6"/>
            </w:tcBorders>
            <w:hideMark/>
          </w:tcPr>
          <w:p w14:paraId="75DB6029" w14:textId="3DA16634" w:rsidR="0065586C" w:rsidRPr="002029AF" w:rsidRDefault="0065586C" w:rsidP="003566F1">
            <w:pPr>
              <w:pStyle w:val="ARfintablebody"/>
            </w:pPr>
            <w:r w:rsidRPr="002029AF">
              <w:t>Net</w:t>
            </w:r>
            <w:r w:rsidR="000A5329" w:rsidRPr="002029AF">
              <w:t xml:space="preserve"> </w:t>
            </w:r>
            <w:r w:rsidRPr="002029AF">
              <w:t>gain/(loss)</w:t>
            </w:r>
            <w:r w:rsidR="000A5329" w:rsidRPr="002029AF">
              <w:t xml:space="preserve"> </w:t>
            </w:r>
            <w:r w:rsidRPr="002029AF">
              <w:t>on</w:t>
            </w:r>
            <w:r w:rsidR="000A5329" w:rsidRPr="002029AF">
              <w:t xml:space="preserve"> </w:t>
            </w:r>
            <w:r w:rsidRPr="002029AF">
              <w:t>financial</w:t>
            </w:r>
            <w:r w:rsidR="000A5329" w:rsidRPr="002029AF">
              <w:t xml:space="preserve"> </w:t>
            </w:r>
            <w:r w:rsidRPr="002029AF">
              <w:t>instruments</w:t>
            </w:r>
            <w:r w:rsidR="000A5329" w:rsidRPr="002029AF">
              <w:t xml:space="preserve"> </w:t>
            </w:r>
            <w:r w:rsidRPr="002029AF">
              <w:rPr>
                <w:rStyle w:val="Superscript"/>
              </w:rPr>
              <w:t>(ii)</w:t>
            </w:r>
          </w:p>
        </w:tc>
        <w:tc>
          <w:tcPr>
            <w:tcW w:w="851" w:type="dxa"/>
            <w:tcBorders>
              <w:top w:val="single" w:sz="4" w:space="0" w:color="A6A6A6"/>
              <w:bottom w:val="single" w:sz="4" w:space="0" w:color="A6A6A6"/>
            </w:tcBorders>
            <w:noWrap/>
            <w:hideMark/>
          </w:tcPr>
          <w:p w14:paraId="7C04F881" w14:textId="77777777" w:rsidR="0065586C" w:rsidRPr="002029AF" w:rsidRDefault="0065586C" w:rsidP="003566F1">
            <w:pPr>
              <w:pStyle w:val="ARfintablebodyright"/>
            </w:pPr>
            <w:r w:rsidRPr="002029AF">
              <w:t>9.2(b)</w:t>
            </w:r>
          </w:p>
        </w:tc>
        <w:tc>
          <w:tcPr>
            <w:tcW w:w="1134" w:type="dxa"/>
            <w:tcBorders>
              <w:top w:val="single" w:sz="4" w:space="0" w:color="A6A6A6"/>
              <w:bottom w:val="single" w:sz="4" w:space="0" w:color="A6A6A6"/>
            </w:tcBorders>
            <w:shd w:val="clear" w:color="auto" w:fill="E7E6E6"/>
            <w:noWrap/>
            <w:hideMark/>
          </w:tcPr>
          <w:p w14:paraId="65BE778E" w14:textId="77777777" w:rsidR="0065586C" w:rsidRPr="002029AF" w:rsidRDefault="0065586C" w:rsidP="003566F1">
            <w:pPr>
              <w:pStyle w:val="ARfintablebodyright"/>
            </w:pPr>
            <w:r w:rsidRPr="002029AF">
              <w:t>0.4</w:t>
            </w:r>
          </w:p>
        </w:tc>
        <w:tc>
          <w:tcPr>
            <w:tcW w:w="1134" w:type="dxa"/>
            <w:tcBorders>
              <w:top w:val="single" w:sz="4" w:space="0" w:color="A6A6A6"/>
              <w:bottom w:val="single" w:sz="4" w:space="0" w:color="A6A6A6"/>
            </w:tcBorders>
            <w:noWrap/>
            <w:hideMark/>
          </w:tcPr>
          <w:p w14:paraId="56FD64D1" w14:textId="77777777" w:rsidR="0065586C" w:rsidRPr="002029AF" w:rsidRDefault="0065586C" w:rsidP="003566F1">
            <w:pPr>
              <w:pStyle w:val="ARfintablebodyright"/>
            </w:pPr>
            <w:r w:rsidRPr="002029AF">
              <w:t>0.2</w:t>
            </w:r>
          </w:p>
        </w:tc>
      </w:tr>
      <w:tr w:rsidR="0065586C" w:rsidRPr="002029AF" w14:paraId="3F5EB057" w14:textId="77777777" w:rsidTr="003566F1">
        <w:tc>
          <w:tcPr>
            <w:tcW w:w="6518" w:type="dxa"/>
            <w:tcBorders>
              <w:top w:val="single" w:sz="4" w:space="0" w:color="A6A6A6"/>
              <w:bottom w:val="single" w:sz="4" w:space="0" w:color="A6A6A6"/>
            </w:tcBorders>
            <w:hideMark/>
          </w:tcPr>
          <w:p w14:paraId="051FEB37" w14:textId="6598DF71" w:rsidR="0065586C" w:rsidRPr="002029AF" w:rsidRDefault="0065586C" w:rsidP="003566F1">
            <w:pPr>
              <w:pStyle w:val="ARfintablebody"/>
            </w:pPr>
            <w:r w:rsidRPr="002029AF">
              <w:t>Impairment</w:t>
            </w:r>
            <w:r w:rsidR="000A5329" w:rsidRPr="002029AF">
              <w:t xml:space="preserve"> </w:t>
            </w:r>
            <w:r w:rsidRPr="002029AF">
              <w:t>of</w:t>
            </w:r>
            <w:r w:rsidR="000A5329" w:rsidRPr="002029AF">
              <w:t xml:space="preserve"> </w:t>
            </w:r>
            <w:r w:rsidRPr="002029AF">
              <w:t>joint</w:t>
            </w:r>
            <w:r w:rsidR="000A5329" w:rsidRPr="002029AF">
              <w:t xml:space="preserve"> </w:t>
            </w:r>
            <w:r w:rsidRPr="002029AF">
              <w:t>venture</w:t>
            </w:r>
          </w:p>
        </w:tc>
        <w:tc>
          <w:tcPr>
            <w:tcW w:w="851" w:type="dxa"/>
            <w:tcBorders>
              <w:top w:val="single" w:sz="4" w:space="0" w:color="A6A6A6"/>
              <w:bottom w:val="single" w:sz="4" w:space="0" w:color="A6A6A6"/>
            </w:tcBorders>
            <w:noWrap/>
            <w:hideMark/>
          </w:tcPr>
          <w:p w14:paraId="348F4871" w14:textId="77777777" w:rsidR="0065586C" w:rsidRPr="002029AF" w:rsidRDefault="0065586C" w:rsidP="003566F1">
            <w:pPr>
              <w:pStyle w:val="ARfintablebodyright"/>
            </w:pPr>
            <w:r w:rsidRPr="002029AF">
              <w:t>9.2(c)</w:t>
            </w:r>
          </w:p>
        </w:tc>
        <w:tc>
          <w:tcPr>
            <w:tcW w:w="1134" w:type="dxa"/>
            <w:tcBorders>
              <w:top w:val="single" w:sz="4" w:space="0" w:color="A6A6A6"/>
              <w:bottom w:val="single" w:sz="4" w:space="0" w:color="A6A6A6"/>
            </w:tcBorders>
            <w:shd w:val="clear" w:color="auto" w:fill="E7E6E6"/>
            <w:noWrap/>
            <w:hideMark/>
          </w:tcPr>
          <w:p w14:paraId="77DAD803" w14:textId="77777777" w:rsidR="0065586C" w:rsidRPr="002029AF" w:rsidRDefault="0065586C" w:rsidP="003566F1">
            <w:pPr>
              <w:pStyle w:val="ARfintablebodyright"/>
            </w:pPr>
            <w:r w:rsidRPr="002029AF">
              <w:t>(35.0)</w:t>
            </w:r>
          </w:p>
        </w:tc>
        <w:tc>
          <w:tcPr>
            <w:tcW w:w="1134" w:type="dxa"/>
            <w:tcBorders>
              <w:top w:val="single" w:sz="4" w:space="0" w:color="A6A6A6"/>
              <w:bottom w:val="single" w:sz="4" w:space="0" w:color="A6A6A6"/>
            </w:tcBorders>
            <w:noWrap/>
            <w:hideMark/>
          </w:tcPr>
          <w:p w14:paraId="219DD770" w14:textId="77777777" w:rsidR="0065586C" w:rsidRPr="002029AF" w:rsidRDefault="0065586C" w:rsidP="003566F1">
            <w:pPr>
              <w:pStyle w:val="ARfintablebodyright"/>
            </w:pPr>
            <w:r w:rsidRPr="002029AF">
              <w:t>-</w:t>
            </w:r>
          </w:p>
        </w:tc>
      </w:tr>
      <w:tr w:rsidR="0065586C" w:rsidRPr="002029AF" w14:paraId="6DB48F73" w14:textId="77777777" w:rsidTr="003566F1">
        <w:tc>
          <w:tcPr>
            <w:tcW w:w="6518" w:type="dxa"/>
            <w:tcBorders>
              <w:top w:val="single" w:sz="4" w:space="0" w:color="A6A6A6"/>
            </w:tcBorders>
            <w:hideMark/>
          </w:tcPr>
          <w:p w14:paraId="2E9FCC7A" w14:textId="76B8B3EE" w:rsidR="0065586C" w:rsidRPr="002029AF" w:rsidRDefault="0065586C" w:rsidP="003566F1">
            <w:pPr>
              <w:pStyle w:val="ARfintablebody"/>
            </w:pPr>
            <w:r w:rsidRPr="002029AF">
              <w:t>Other</w:t>
            </w:r>
            <w:r w:rsidR="000A5329" w:rsidRPr="002029AF">
              <w:t xml:space="preserve"> </w:t>
            </w:r>
            <w:r w:rsidRPr="002029AF">
              <w:t>gains/(losses)</w:t>
            </w:r>
            <w:r w:rsidR="000A5329" w:rsidRPr="002029AF">
              <w:t xml:space="preserve"> </w:t>
            </w:r>
            <w:r w:rsidRPr="002029AF">
              <w:t>from</w:t>
            </w:r>
            <w:r w:rsidR="000A5329" w:rsidRPr="002029AF">
              <w:t xml:space="preserve"> </w:t>
            </w:r>
            <w:r w:rsidRPr="002029AF">
              <w:t>other</w:t>
            </w:r>
            <w:r w:rsidR="000A5329" w:rsidRPr="002029AF">
              <w:t xml:space="preserve"> </w:t>
            </w:r>
            <w:r w:rsidRPr="002029AF">
              <w:t>economic</w:t>
            </w:r>
            <w:r w:rsidR="000A5329" w:rsidRPr="002029AF">
              <w:t xml:space="preserve"> </w:t>
            </w:r>
            <w:r w:rsidRPr="002029AF">
              <w:t>flows</w:t>
            </w:r>
          </w:p>
        </w:tc>
        <w:tc>
          <w:tcPr>
            <w:tcW w:w="851" w:type="dxa"/>
            <w:tcBorders>
              <w:top w:val="single" w:sz="4" w:space="0" w:color="A6A6A6"/>
            </w:tcBorders>
            <w:noWrap/>
            <w:hideMark/>
          </w:tcPr>
          <w:p w14:paraId="43743A1D" w14:textId="77777777" w:rsidR="0065586C" w:rsidRPr="002029AF" w:rsidRDefault="0065586C" w:rsidP="003566F1">
            <w:pPr>
              <w:pStyle w:val="ARfintablebodyright"/>
            </w:pPr>
            <w:r w:rsidRPr="002029AF">
              <w:t>9.2(d)</w:t>
            </w:r>
          </w:p>
        </w:tc>
        <w:tc>
          <w:tcPr>
            <w:tcW w:w="1134" w:type="dxa"/>
            <w:tcBorders>
              <w:top w:val="single" w:sz="4" w:space="0" w:color="A6A6A6"/>
            </w:tcBorders>
            <w:shd w:val="clear" w:color="auto" w:fill="E7E6E6"/>
            <w:noWrap/>
            <w:hideMark/>
          </w:tcPr>
          <w:p w14:paraId="5CE6438C" w14:textId="77777777" w:rsidR="0065586C" w:rsidRPr="002029AF" w:rsidRDefault="0065586C" w:rsidP="003566F1">
            <w:pPr>
              <w:pStyle w:val="ARfintablebodyright"/>
            </w:pPr>
            <w:r w:rsidRPr="002029AF">
              <w:t>(23.6)</w:t>
            </w:r>
          </w:p>
        </w:tc>
        <w:tc>
          <w:tcPr>
            <w:tcW w:w="1134" w:type="dxa"/>
            <w:tcBorders>
              <w:top w:val="single" w:sz="4" w:space="0" w:color="A6A6A6"/>
            </w:tcBorders>
            <w:noWrap/>
            <w:hideMark/>
          </w:tcPr>
          <w:p w14:paraId="08BA49F9" w14:textId="77777777" w:rsidR="0065586C" w:rsidRPr="002029AF" w:rsidRDefault="0065586C" w:rsidP="003566F1">
            <w:pPr>
              <w:pStyle w:val="ARfintablebodyright"/>
            </w:pPr>
            <w:r w:rsidRPr="002029AF">
              <w:t>(28.1)</w:t>
            </w:r>
          </w:p>
        </w:tc>
      </w:tr>
      <w:tr w:rsidR="0065586C" w:rsidRPr="002029AF" w14:paraId="618D4B54" w14:textId="77777777" w:rsidTr="003566F1">
        <w:tc>
          <w:tcPr>
            <w:tcW w:w="6518" w:type="dxa"/>
            <w:hideMark/>
          </w:tcPr>
          <w:p w14:paraId="42F01F3F" w14:textId="063423A3" w:rsidR="0065586C" w:rsidRPr="002029AF" w:rsidRDefault="0065586C" w:rsidP="003566F1">
            <w:pPr>
              <w:pStyle w:val="ARfintablebodybold"/>
            </w:pPr>
            <w:r w:rsidRPr="002029AF">
              <w:t>Total</w:t>
            </w:r>
            <w:r w:rsidR="000A5329" w:rsidRPr="002029AF">
              <w:t xml:space="preserve"> </w:t>
            </w:r>
            <w:r w:rsidRPr="002029AF">
              <w:t>other</w:t>
            </w:r>
            <w:r w:rsidR="000A5329" w:rsidRPr="002029AF">
              <w:t xml:space="preserve"> </w:t>
            </w:r>
            <w:r w:rsidRPr="002029AF">
              <w:t>economic</w:t>
            </w:r>
            <w:r w:rsidR="000A5329" w:rsidRPr="002029AF">
              <w:t xml:space="preserve"> </w:t>
            </w:r>
            <w:r w:rsidRPr="002029AF">
              <w:t>flows</w:t>
            </w:r>
            <w:r w:rsidR="000A5329" w:rsidRPr="002029AF">
              <w:t xml:space="preserve"> </w:t>
            </w:r>
            <w:r w:rsidRPr="002029AF">
              <w:t>included</w:t>
            </w:r>
            <w:r w:rsidR="000A5329" w:rsidRPr="002029AF">
              <w:t xml:space="preserve"> </w:t>
            </w:r>
            <w:r w:rsidRPr="002029AF">
              <w:t>in</w:t>
            </w:r>
            <w:r w:rsidR="000A5329" w:rsidRPr="002029AF">
              <w:t xml:space="preserve"> </w:t>
            </w:r>
            <w:r w:rsidRPr="002029AF">
              <w:t>net</w:t>
            </w:r>
            <w:r w:rsidR="000A5329" w:rsidRPr="002029AF">
              <w:t xml:space="preserve"> </w:t>
            </w:r>
            <w:r w:rsidRPr="002029AF">
              <w:t>result</w:t>
            </w:r>
          </w:p>
        </w:tc>
        <w:tc>
          <w:tcPr>
            <w:tcW w:w="851" w:type="dxa"/>
            <w:hideMark/>
          </w:tcPr>
          <w:p w14:paraId="10EB8018" w14:textId="77777777" w:rsidR="0065586C" w:rsidRPr="002029AF" w:rsidRDefault="0065586C" w:rsidP="003566F1">
            <w:pPr>
              <w:pStyle w:val="ARfintablebodyrightbold"/>
            </w:pPr>
          </w:p>
        </w:tc>
        <w:tc>
          <w:tcPr>
            <w:tcW w:w="1134" w:type="dxa"/>
            <w:shd w:val="clear" w:color="auto" w:fill="E7E6E6"/>
            <w:noWrap/>
            <w:hideMark/>
          </w:tcPr>
          <w:p w14:paraId="359DC1C8" w14:textId="29A7E3F4" w:rsidR="0065586C" w:rsidRPr="002029AF" w:rsidRDefault="0065586C" w:rsidP="003566F1">
            <w:pPr>
              <w:pStyle w:val="ARfintablebodyrightbold"/>
            </w:pPr>
            <w:r w:rsidRPr="002029AF">
              <w:t>(62.7)</w:t>
            </w:r>
          </w:p>
        </w:tc>
        <w:tc>
          <w:tcPr>
            <w:tcW w:w="1134" w:type="dxa"/>
            <w:noWrap/>
            <w:hideMark/>
          </w:tcPr>
          <w:p w14:paraId="001FDDD1" w14:textId="77777777" w:rsidR="0065586C" w:rsidRPr="002029AF" w:rsidRDefault="0065586C" w:rsidP="003566F1">
            <w:pPr>
              <w:pStyle w:val="ARfintablebodyrightbold"/>
            </w:pPr>
            <w:r w:rsidRPr="002029AF">
              <w:t>(34.5)</w:t>
            </w:r>
          </w:p>
        </w:tc>
      </w:tr>
      <w:tr w:rsidR="0065586C" w:rsidRPr="002029AF" w14:paraId="449E9E21" w14:textId="77777777" w:rsidTr="003566F1">
        <w:tc>
          <w:tcPr>
            <w:tcW w:w="6518" w:type="dxa"/>
            <w:tcBorders>
              <w:bottom w:val="single" w:sz="4" w:space="0" w:color="auto"/>
            </w:tcBorders>
            <w:hideMark/>
          </w:tcPr>
          <w:p w14:paraId="048FBC66" w14:textId="75C86059" w:rsidR="0065586C" w:rsidRPr="002029AF" w:rsidRDefault="0065586C" w:rsidP="003566F1">
            <w:pPr>
              <w:pStyle w:val="ARfintablebodybold"/>
            </w:pPr>
            <w:r w:rsidRPr="002029AF">
              <w:t>Net</w:t>
            </w:r>
            <w:r w:rsidR="000A5329" w:rsidRPr="002029AF">
              <w:t xml:space="preserve"> </w:t>
            </w:r>
            <w:r w:rsidRPr="002029AF">
              <w:t>result</w:t>
            </w:r>
          </w:p>
        </w:tc>
        <w:tc>
          <w:tcPr>
            <w:tcW w:w="851" w:type="dxa"/>
            <w:tcBorders>
              <w:bottom w:val="single" w:sz="4" w:space="0" w:color="auto"/>
            </w:tcBorders>
            <w:hideMark/>
          </w:tcPr>
          <w:p w14:paraId="193B3F9E" w14:textId="77777777" w:rsidR="0065586C" w:rsidRPr="002029AF" w:rsidRDefault="0065586C" w:rsidP="003566F1">
            <w:pPr>
              <w:pStyle w:val="ARfintablebodyrightbold"/>
            </w:pPr>
          </w:p>
        </w:tc>
        <w:tc>
          <w:tcPr>
            <w:tcW w:w="1134" w:type="dxa"/>
            <w:tcBorders>
              <w:bottom w:val="single" w:sz="4" w:space="0" w:color="auto"/>
            </w:tcBorders>
            <w:shd w:val="clear" w:color="auto" w:fill="E7E6E6"/>
            <w:noWrap/>
            <w:hideMark/>
          </w:tcPr>
          <w:p w14:paraId="11044A79" w14:textId="77777777" w:rsidR="0065586C" w:rsidRPr="002029AF" w:rsidRDefault="0065586C" w:rsidP="003566F1">
            <w:pPr>
              <w:pStyle w:val="ARfintablebodyrightbold"/>
            </w:pPr>
            <w:r w:rsidRPr="002029AF">
              <w:t>545.4</w:t>
            </w:r>
          </w:p>
        </w:tc>
        <w:tc>
          <w:tcPr>
            <w:tcW w:w="1134" w:type="dxa"/>
            <w:tcBorders>
              <w:bottom w:val="single" w:sz="4" w:space="0" w:color="auto"/>
            </w:tcBorders>
            <w:noWrap/>
            <w:hideMark/>
          </w:tcPr>
          <w:p w14:paraId="6CA9AEAA" w14:textId="77777777" w:rsidR="0065586C" w:rsidRPr="002029AF" w:rsidRDefault="0065586C" w:rsidP="003566F1">
            <w:pPr>
              <w:pStyle w:val="ARfintablebodyrightbold"/>
            </w:pPr>
            <w:r w:rsidRPr="002029AF">
              <w:t>(9.0)</w:t>
            </w:r>
          </w:p>
        </w:tc>
      </w:tr>
      <w:tr w:rsidR="0065586C" w:rsidRPr="002029AF" w14:paraId="6F6BC0EA" w14:textId="77777777" w:rsidTr="003566F1">
        <w:tc>
          <w:tcPr>
            <w:tcW w:w="9637" w:type="dxa"/>
            <w:gridSpan w:val="4"/>
            <w:tcBorders>
              <w:top w:val="single" w:sz="4" w:space="0" w:color="auto"/>
              <w:bottom w:val="single" w:sz="4" w:space="0" w:color="A6A6A6"/>
            </w:tcBorders>
            <w:hideMark/>
          </w:tcPr>
          <w:p w14:paraId="142520E6" w14:textId="111E82B9" w:rsidR="0065586C" w:rsidRPr="002029AF" w:rsidRDefault="0065586C" w:rsidP="003566F1">
            <w:pPr>
              <w:pStyle w:val="ARfintablecolhead"/>
            </w:pPr>
            <w:r w:rsidRPr="002029AF">
              <w:t>Other</w:t>
            </w:r>
            <w:r w:rsidR="000A5329" w:rsidRPr="002029AF">
              <w:t xml:space="preserve"> </w:t>
            </w:r>
            <w:r w:rsidRPr="002029AF">
              <w:t>economic</w:t>
            </w:r>
            <w:r w:rsidR="000A5329" w:rsidRPr="002029AF">
              <w:t xml:space="preserve"> </w:t>
            </w:r>
            <w:r w:rsidRPr="002029AF">
              <w:t>flows</w:t>
            </w:r>
            <w:r w:rsidR="000A5329" w:rsidRPr="002029AF">
              <w:t xml:space="preserve"> </w:t>
            </w:r>
            <w:r w:rsidRPr="002029AF">
              <w:t>–</w:t>
            </w:r>
            <w:r w:rsidR="000A5329" w:rsidRPr="002029AF">
              <w:t xml:space="preserve"> </w:t>
            </w:r>
            <w:r w:rsidRPr="002029AF">
              <w:t>other</w:t>
            </w:r>
            <w:r w:rsidR="000A5329" w:rsidRPr="002029AF">
              <w:t xml:space="preserve"> </w:t>
            </w:r>
            <w:r w:rsidRPr="002029AF">
              <w:t>comprehensive</w:t>
            </w:r>
            <w:r w:rsidR="000A5329" w:rsidRPr="002029AF">
              <w:t xml:space="preserve"> </w:t>
            </w:r>
            <w:r w:rsidRPr="002029AF">
              <w:t>income:</w:t>
            </w:r>
            <w:r w:rsidR="000A5329" w:rsidRPr="002029AF">
              <w:t xml:space="preserve"> </w:t>
            </w:r>
            <w:r w:rsidRPr="002029AF">
              <w:br/>
              <w:t>Items</w:t>
            </w:r>
            <w:r w:rsidR="000A5329" w:rsidRPr="002029AF">
              <w:t xml:space="preserve"> </w:t>
            </w:r>
            <w:r w:rsidRPr="002029AF">
              <w:t>that</w:t>
            </w:r>
            <w:r w:rsidR="000A5329" w:rsidRPr="002029AF">
              <w:t xml:space="preserve"> </w:t>
            </w:r>
            <w:r w:rsidRPr="002029AF">
              <w:t>will</w:t>
            </w:r>
            <w:r w:rsidR="000A5329" w:rsidRPr="002029AF">
              <w:t xml:space="preserve"> </w:t>
            </w:r>
            <w:r w:rsidRPr="002029AF">
              <w:t>not</w:t>
            </w:r>
            <w:r w:rsidR="000A5329" w:rsidRPr="002029AF">
              <w:t xml:space="preserve"> </w:t>
            </w:r>
            <w:r w:rsidRPr="002029AF">
              <w:t>be</w:t>
            </w:r>
            <w:r w:rsidR="000A5329" w:rsidRPr="002029AF">
              <w:t xml:space="preserve"> </w:t>
            </w:r>
            <w:r w:rsidRPr="002029AF">
              <w:t>reclassified</w:t>
            </w:r>
            <w:r w:rsidR="000A5329" w:rsidRPr="002029AF">
              <w:t xml:space="preserve"> </w:t>
            </w:r>
            <w:r w:rsidRPr="002029AF">
              <w:t>to</w:t>
            </w:r>
            <w:r w:rsidR="000A5329" w:rsidRPr="002029AF">
              <w:t xml:space="preserve"> </w:t>
            </w:r>
            <w:r w:rsidRPr="002029AF">
              <w:t>net</w:t>
            </w:r>
            <w:r w:rsidR="000A5329" w:rsidRPr="002029AF">
              <w:t xml:space="preserve"> </w:t>
            </w:r>
            <w:r w:rsidRPr="002029AF">
              <w:t>result</w:t>
            </w:r>
          </w:p>
        </w:tc>
      </w:tr>
      <w:tr w:rsidR="0065586C" w:rsidRPr="002029AF" w14:paraId="0A0FD33F" w14:textId="77777777" w:rsidTr="003566F1">
        <w:tc>
          <w:tcPr>
            <w:tcW w:w="6518" w:type="dxa"/>
            <w:tcBorders>
              <w:top w:val="single" w:sz="4" w:space="0" w:color="A6A6A6"/>
              <w:bottom w:val="single" w:sz="4" w:space="0" w:color="A6A6A6"/>
            </w:tcBorders>
            <w:hideMark/>
          </w:tcPr>
          <w:p w14:paraId="13D4B50A" w14:textId="4A0009A2" w:rsidR="0065586C" w:rsidRPr="002029AF" w:rsidRDefault="0065586C" w:rsidP="003566F1">
            <w:pPr>
              <w:pStyle w:val="ARfintablebody"/>
            </w:pPr>
            <w:r w:rsidRPr="002029AF">
              <w:t>Changes</w:t>
            </w:r>
            <w:r w:rsidR="000A5329" w:rsidRPr="002029AF">
              <w:t xml:space="preserve"> </w:t>
            </w:r>
            <w:r w:rsidRPr="002029AF">
              <w:t>in</w:t>
            </w:r>
            <w:r w:rsidR="000A5329" w:rsidRPr="002029AF">
              <w:t xml:space="preserve"> </w:t>
            </w:r>
            <w:r w:rsidRPr="002029AF">
              <w:t>physical</w:t>
            </w:r>
            <w:r w:rsidR="000A5329" w:rsidRPr="002029AF">
              <w:t xml:space="preserve"> </w:t>
            </w:r>
            <w:r w:rsidRPr="002029AF">
              <w:t>asset</w:t>
            </w:r>
            <w:r w:rsidR="000A5329" w:rsidRPr="002029AF">
              <w:t xml:space="preserve"> </w:t>
            </w:r>
            <w:r w:rsidRPr="002029AF">
              <w:t>revaluation</w:t>
            </w:r>
            <w:r w:rsidR="000A5329" w:rsidRPr="002029AF">
              <w:t xml:space="preserve"> </w:t>
            </w:r>
            <w:r w:rsidRPr="002029AF">
              <w:t>surplus</w:t>
            </w:r>
          </w:p>
        </w:tc>
        <w:tc>
          <w:tcPr>
            <w:tcW w:w="851" w:type="dxa"/>
            <w:tcBorders>
              <w:top w:val="single" w:sz="4" w:space="0" w:color="A6A6A6"/>
              <w:bottom w:val="single" w:sz="4" w:space="0" w:color="A6A6A6"/>
            </w:tcBorders>
            <w:noWrap/>
            <w:hideMark/>
          </w:tcPr>
          <w:p w14:paraId="623206FD" w14:textId="77777777" w:rsidR="0065586C" w:rsidRPr="002029AF" w:rsidRDefault="0065586C" w:rsidP="003566F1">
            <w:pPr>
              <w:pStyle w:val="ARfintablebodyright"/>
            </w:pPr>
            <w:r w:rsidRPr="002029AF">
              <w:t>9.4</w:t>
            </w:r>
          </w:p>
        </w:tc>
        <w:tc>
          <w:tcPr>
            <w:tcW w:w="1134" w:type="dxa"/>
            <w:tcBorders>
              <w:top w:val="single" w:sz="4" w:space="0" w:color="A6A6A6"/>
              <w:bottom w:val="single" w:sz="4" w:space="0" w:color="A6A6A6"/>
            </w:tcBorders>
            <w:shd w:val="clear" w:color="auto" w:fill="E7E6E6"/>
            <w:noWrap/>
            <w:hideMark/>
          </w:tcPr>
          <w:p w14:paraId="34430741" w14:textId="77777777" w:rsidR="0065586C" w:rsidRPr="002029AF" w:rsidRDefault="0065586C" w:rsidP="003566F1">
            <w:pPr>
              <w:pStyle w:val="ARfintablebodyright"/>
            </w:pPr>
            <w:r w:rsidRPr="002029AF">
              <w:t>(19.2)</w:t>
            </w:r>
          </w:p>
        </w:tc>
        <w:tc>
          <w:tcPr>
            <w:tcW w:w="1134" w:type="dxa"/>
            <w:tcBorders>
              <w:top w:val="single" w:sz="4" w:space="0" w:color="A6A6A6"/>
              <w:bottom w:val="single" w:sz="4" w:space="0" w:color="A6A6A6"/>
            </w:tcBorders>
            <w:noWrap/>
            <w:hideMark/>
          </w:tcPr>
          <w:p w14:paraId="0A7A1F4F" w14:textId="77777777" w:rsidR="0065586C" w:rsidRPr="002029AF" w:rsidRDefault="0065586C" w:rsidP="003566F1">
            <w:pPr>
              <w:pStyle w:val="ARfintablebodyright"/>
            </w:pPr>
            <w:r w:rsidRPr="002029AF">
              <w:t>(1,205.3)</w:t>
            </w:r>
          </w:p>
        </w:tc>
      </w:tr>
      <w:tr w:rsidR="0065586C" w:rsidRPr="002029AF" w14:paraId="129B1F17" w14:textId="77777777" w:rsidTr="003566F1">
        <w:tc>
          <w:tcPr>
            <w:tcW w:w="6518" w:type="dxa"/>
            <w:tcBorders>
              <w:top w:val="single" w:sz="4" w:space="0" w:color="A6A6A6"/>
            </w:tcBorders>
            <w:hideMark/>
          </w:tcPr>
          <w:p w14:paraId="1C27DE8C" w14:textId="2C3A4738" w:rsidR="0065586C" w:rsidRPr="002029AF" w:rsidRDefault="0065586C" w:rsidP="003566F1">
            <w:pPr>
              <w:pStyle w:val="ARfintablebody"/>
            </w:pPr>
            <w:r w:rsidRPr="002029AF">
              <w:t>Remeasurement</w:t>
            </w:r>
            <w:r w:rsidR="000A5329" w:rsidRPr="002029AF">
              <w:t xml:space="preserve"> </w:t>
            </w:r>
            <w:r w:rsidRPr="002029AF">
              <w:t>of</w:t>
            </w:r>
            <w:r w:rsidR="000A5329" w:rsidRPr="002029AF">
              <w:t xml:space="preserve"> </w:t>
            </w:r>
            <w:r w:rsidRPr="002029AF">
              <w:t>superannuation</w:t>
            </w:r>
            <w:r w:rsidR="000A5329" w:rsidRPr="002029AF">
              <w:t xml:space="preserve"> </w:t>
            </w:r>
            <w:r w:rsidRPr="002029AF">
              <w:t>defined</w:t>
            </w:r>
            <w:r w:rsidR="000A5329" w:rsidRPr="002029AF">
              <w:t xml:space="preserve"> </w:t>
            </w:r>
            <w:r w:rsidRPr="002029AF">
              <w:t>benefit</w:t>
            </w:r>
            <w:r w:rsidR="000A5329" w:rsidRPr="002029AF">
              <w:t xml:space="preserve"> </w:t>
            </w:r>
            <w:r w:rsidRPr="002029AF">
              <w:t>plans</w:t>
            </w:r>
          </w:p>
        </w:tc>
        <w:tc>
          <w:tcPr>
            <w:tcW w:w="851" w:type="dxa"/>
            <w:tcBorders>
              <w:top w:val="single" w:sz="4" w:space="0" w:color="A6A6A6"/>
            </w:tcBorders>
            <w:noWrap/>
            <w:hideMark/>
          </w:tcPr>
          <w:p w14:paraId="40915F5A" w14:textId="77777777" w:rsidR="0065586C" w:rsidRPr="002029AF" w:rsidRDefault="0065586C" w:rsidP="003566F1">
            <w:pPr>
              <w:pStyle w:val="ARfintablebodyright"/>
            </w:pPr>
            <w:r w:rsidRPr="002029AF">
              <w:t>3.1.1(b)</w:t>
            </w:r>
          </w:p>
        </w:tc>
        <w:tc>
          <w:tcPr>
            <w:tcW w:w="1134" w:type="dxa"/>
            <w:tcBorders>
              <w:top w:val="single" w:sz="4" w:space="0" w:color="A6A6A6"/>
            </w:tcBorders>
            <w:shd w:val="clear" w:color="auto" w:fill="E7E6E6"/>
            <w:noWrap/>
            <w:hideMark/>
          </w:tcPr>
          <w:p w14:paraId="2403C5E8" w14:textId="77777777" w:rsidR="0065586C" w:rsidRPr="002029AF" w:rsidRDefault="0065586C" w:rsidP="003566F1">
            <w:pPr>
              <w:pStyle w:val="ARfintablebodyright"/>
            </w:pPr>
            <w:r w:rsidRPr="002029AF">
              <w:t>0.3</w:t>
            </w:r>
          </w:p>
        </w:tc>
        <w:tc>
          <w:tcPr>
            <w:tcW w:w="1134" w:type="dxa"/>
            <w:tcBorders>
              <w:top w:val="single" w:sz="4" w:space="0" w:color="A6A6A6"/>
            </w:tcBorders>
            <w:noWrap/>
            <w:hideMark/>
          </w:tcPr>
          <w:p w14:paraId="3FCC1053" w14:textId="77777777" w:rsidR="0065586C" w:rsidRPr="002029AF" w:rsidRDefault="0065586C" w:rsidP="003566F1">
            <w:pPr>
              <w:pStyle w:val="ARfintablebodyright"/>
            </w:pPr>
            <w:r w:rsidRPr="002029AF">
              <w:t>(2.5)</w:t>
            </w:r>
          </w:p>
        </w:tc>
      </w:tr>
      <w:tr w:rsidR="0065586C" w:rsidRPr="002029AF" w14:paraId="61D752CA" w14:textId="77777777" w:rsidTr="003566F1">
        <w:tc>
          <w:tcPr>
            <w:tcW w:w="6518" w:type="dxa"/>
            <w:hideMark/>
          </w:tcPr>
          <w:p w14:paraId="64046E26" w14:textId="5D57CA8A" w:rsidR="0065586C" w:rsidRPr="002029AF" w:rsidRDefault="0065586C" w:rsidP="003566F1">
            <w:pPr>
              <w:pStyle w:val="ARfintablebodybold"/>
            </w:pPr>
            <w:r w:rsidRPr="002029AF">
              <w:t>Total</w:t>
            </w:r>
            <w:r w:rsidR="000A5329" w:rsidRPr="002029AF">
              <w:t xml:space="preserve"> </w:t>
            </w:r>
            <w:r w:rsidRPr="002029AF">
              <w:t>other</w:t>
            </w:r>
            <w:r w:rsidR="000A5329" w:rsidRPr="002029AF">
              <w:t xml:space="preserve"> </w:t>
            </w:r>
            <w:r w:rsidRPr="002029AF">
              <w:t>economic</w:t>
            </w:r>
            <w:r w:rsidR="000A5329" w:rsidRPr="002029AF">
              <w:t xml:space="preserve"> </w:t>
            </w:r>
            <w:r w:rsidRPr="002029AF">
              <w:t>flows</w:t>
            </w:r>
            <w:r w:rsidR="000A5329" w:rsidRPr="002029AF">
              <w:t xml:space="preserve"> </w:t>
            </w:r>
            <w:r w:rsidRPr="002029AF">
              <w:t>–</w:t>
            </w:r>
            <w:r w:rsidR="000A5329" w:rsidRPr="002029AF">
              <w:t xml:space="preserve"> </w:t>
            </w:r>
            <w:r w:rsidRPr="002029AF">
              <w:t>other</w:t>
            </w:r>
            <w:r w:rsidR="000A5329" w:rsidRPr="002029AF">
              <w:t xml:space="preserve"> </w:t>
            </w:r>
            <w:r w:rsidRPr="002029AF">
              <w:t>comprehensive</w:t>
            </w:r>
            <w:r w:rsidR="000A5329" w:rsidRPr="002029AF">
              <w:t xml:space="preserve"> </w:t>
            </w:r>
            <w:r w:rsidRPr="002029AF">
              <w:t>income</w:t>
            </w:r>
          </w:p>
        </w:tc>
        <w:tc>
          <w:tcPr>
            <w:tcW w:w="851" w:type="dxa"/>
            <w:hideMark/>
          </w:tcPr>
          <w:p w14:paraId="19029BDF" w14:textId="77777777" w:rsidR="0065586C" w:rsidRPr="002029AF" w:rsidRDefault="0065586C" w:rsidP="003566F1">
            <w:pPr>
              <w:pStyle w:val="ARfintablebodyrightbold"/>
            </w:pPr>
          </w:p>
        </w:tc>
        <w:tc>
          <w:tcPr>
            <w:tcW w:w="1134" w:type="dxa"/>
            <w:shd w:val="clear" w:color="auto" w:fill="E7E6E6"/>
            <w:noWrap/>
            <w:hideMark/>
          </w:tcPr>
          <w:p w14:paraId="14227B5A" w14:textId="77777777" w:rsidR="0065586C" w:rsidRPr="002029AF" w:rsidRDefault="0065586C" w:rsidP="003566F1">
            <w:pPr>
              <w:pStyle w:val="ARfintablebodyrightbold"/>
            </w:pPr>
            <w:r w:rsidRPr="002029AF">
              <w:t>(18.9)</w:t>
            </w:r>
          </w:p>
        </w:tc>
        <w:tc>
          <w:tcPr>
            <w:tcW w:w="1134" w:type="dxa"/>
            <w:noWrap/>
            <w:hideMark/>
          </w:tcPr>
          <w:p w14:paraId="09E2EE29" w14:textId="77777777" w:rsidR="0065586C" w:rsidRPr="002029AF" w:rsidRDefault="0065586C" w:rsidP="003566F1">
            <w:pPr>
              <w:pStyle w:val="ARfintablebodyrightbold"/>
            </w:pPr>
            <w:r w:rsidRPr="002029AF">
              <w:t>(1,207.9)</w:t>
            </w:r>
          </w:p>
        </w:tc>
      </w:tr>
      <w:tr w:rsidR="0065586C" w:rsidRPr="002029AF" w14:paraId="2260B270" w14:textId="77777777" w:rsidTr="003566F1">
        <w:tc>
          <w:tcPr>
            <w:tcW w:w="6518" w:type="dxa"/>
            <w:hideMark/>
          </w:tcPr>
          <w:p w14:paraId="1C8FFC8E" w14:textId="455F0EBE" w:rsidR="0065586C" w:rsidRPr="002029AF" w:rsidRDefault="0065586C" w:rsidP="003566F1">
            <w:pPr>
              <w:pStyle w:val="ARfintablebodybold"/>
            </w:pPr>
            <w:r w:rsidRPr="002029AF">
              <w:t>Comprehensive</w:t>
            </w:r>
            <w:r w:rsidR="000A5329" w:rsidRPr="002029AF">
              <w:t xml:space="preserve"> </w:t>
            </w:r>
            <w:r w:rsidRPr="002029AF">
              <w:t>result</w:t>
            </w:r>
          </w:p>
        </w:tc>
        <w:tc>
          <w:tcPr>
            <w:tcW w:w="851" w:type="dxa"/>
            <w:hideMark/>
          </w:tcPr>
          <w:p w14:paraId="5AD8A003" w14:textId="77777777" w:rsidR="0065586C" w:rsidRPr="002029AF" w:rsidRDefault="0065586C" w:rsidP="003566F1">
            <w:pPr>
              <w:pStyle w:val="ARfintablebodyrightbold"/>
            </w:pPr>
          </w:p>
        </w:tc>
        <w:tc>
          <w:tcPr>
            <w:tcW w:w="1134" w:type="dxa"/>
            <w:shd w:val="clear" w:color="auto" w:fill="E7E6E6"/>
            <w:noWrap/>
            <w:hideMark/>
          </w:tcPr>
          <w:p w14:paraId="437F776B" w14:textId="77777777" w:rsidR="0065586C" w:rsidRPr="002029AF" w:rsidRDefault="0065586C" w:rsidP="003566F1">
            <w:pPr>
              <w:pStyle w:val="ARfintablebodyrightbold"/>
            </w:pPr>
            <w:r w:rsidRPr="002029AF">
              <w:t>526.5</w:t>
            </w:r>
          </w:p>
        </w:tc>
        <w:tc>
          <w:tcPr>
            <w:tcW w:w="1134" w:type="dxa"/>
            <w:noWrap/>
            <w:hideMark/>
          </w:tcPr>
          <w:p w14:paraId="0C152608" w14:textId="77777777" w:rsidR="0065586C" w:rsidRPr="002029AF" w:rsidRDefault="0065586C" w:rsidP="003566F1">
            <w:pPr>
              <w:pStyle w:val="ARfintablebodyrightbold"/>
            </w:pPr>
            <w:r w:rsidRPr="002029AF">
              <w:t>(1,216.8)</w:t>
            </w:r>
          </w:p>
        </w:tc>
      </w:tr>
    </w:tbl>
    <w:p w14:paraId="72AA28A2" w14:textId="2A493A39" w:rsidR="0065586C" w:rsidRPr="002029AF" w:rsidRDefault="0065586C" w:rsidP="003566F1">
      <w:pPr>
        <w:pStyle w:val="ARfintablefootnote"/>
        <w:rPr>
          <w:lang w:eastAsia="en-AU"/>
        </w:rPr>
      </w:pPr>
      <w:r w:rsidRPr="002029AF">
        <w:rPr>
          <w:lang w:eastAsia="en-AU"/>
        </w:rPr>
        <w:t>The</w:t>
      </w:r>
      <w:r w:rsidR="000A5329" w:rsidRPr="002029AF">
        <w:rPr>
          <w:lang w:eastAsia="en-AU"/>
        </w:rPr>
        <w:t xml:space="preserve"> </w:t>
      </w:r>
      <w:r w:rsidRPr="002029AF">
        <w:rPr>
          <w:lang w:eastAsia="en-AU"/>
        </w:rPr>
        <w:t>comprehensive</w:t>
      </w:r>
      <w:r w:rsidR="000A5329" w:rsidRPr="002029AF">
        <w:rPr>
          <w:lang w:eastAsia="en-AU"/>
        </w:rPr>
        <w:t xml:space="preserve"> </w:t>
      </w:r>
      <w:r w:rsidRPr="002029AF">
        <w:rPr>
          <w:lang w:eastAsia="en-AU"/>
        </w:rPr>
        <w:t>operating</w:t>
      </w:r>
      <w:r w:rsidR="000A5329" w:rsidRPr="002029AF">
        <w:rPr>
          <w:lang w:eastAsia="en-AU"/>
        </w:rPr>
        <w:t xml:space="preserve"> </w:t>
      </w:r>
      <w:r w:rsidRPr="002029AF">
        <w:rPr>
          <w:lang w:eastAsia="en-AU"/>
        </w:rPr>
        <w:t>statement</w:t>
      </w:r>
      <w:r w:rsidR="000A5329" w:rsidRPr="002029AF">
        <w:rPr>
          <w:lang w:eastAsia="en-AU"/>
        </w:rPr>
        <w:t xml:space="preserve"> </w:t>
      </w:r>
      <w:r w:rsidRPr="002029AF">
        <w:rPr>
          <w:lang w:eastAsia="en-AU"/>
        </w:rPr>
        <w:t>should</w:t>
      </w:r>
      <w:r w:rsidR="000A5329" w:rsidRPr="002029AF">
        <w:rPr>
          <w:lang w:eastAsia="en-AU"/>
        </w:rPr>
        <w:t xml:space="preserve"> </w:t>
      </w:r>
      <w:r w:rsidRPr="002029AF">
        <w:rPr>
          <w:lang w:eastAsia="en-AU"/>
        </w:rPr>
        <w:t>be</w:t>
      </w:r>
      <w:r w:rsidR="000A5329" w:rsidRPr="002029AF">
        <w:rPr>
          <w:lang w:eastAsia="en-AU"/>
        </w:rPr>
        <w:t xml:space="preserve"> </w:t>
      </w:r>
      <w:r w:rsidRPr="002029AF">
        <w:rPr>
          <w:lang w:eastAsia="en-AU"/>
        </w:rPr>
        <w:t>read</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conjunction</w:t>
      </w:r>
      <w:r w:rsidR="000A5329" w:rsidRPr="002029AF">
        <w:rPr>
          <w:lang w:eastAsia="en-AU"/>
        </w:rPr>
        <w:t xml:space="preserve"> </w:t>
      </w:r>
      <w:r w:rsidRPr="002029AF">
        <w:rPr>
          <w:lang w:eastAsia="en-AU"/>
        </w:rPr>
        <w:t>with</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notes</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financial</w:t>
      </w:r>
      <w:r w:rsidR="000A5329" w:rsidRPr="002029AF">
        <w:rPr>
          <w:lang w:eastAsia="en-AU"/>
        </w:rPr>
        <w:t xml:space="preserve"> </w:t>
      </w:r>
      <w:r w:rsidRPr="002029AF">
        <w:rPr>
          <w:lang w:eastAsia="en-AU"/>
        </w:rPr>
        <w:t>statements.</w:t>
      </w:r>
    </w:p>
    <w:p w14:paraId="04E5C6AA" w14:textId="77777777" w:rsidR="0065586C" w:rsidRPr="002029AF" w:rsidRDefault="0065586C" w:rsidP="003566F1">
      <w:pPr>
        <w:pStyle w:val="ARfintablefootnote"/>
        <w:rPr>
          <w:lang w:eastAsia="en-AU"/>
        </w:rPr>
      </w:pPr>
      <w:r w:rsidRPr="002029AF">
        <w:rPr>
          <w:lang w:eastAsia="en-AU"/>
        </w:rPr>
        <w:t>Notes:</w:t>
      </w:r>
    </w:p>
    <w:p w14:paraId="7E032C50" w14:textId="570B633B" w:rsidR="0065586C" w:rsidRPr="002029AF" w:rsidRDefault="0065586C" w:rsidP="003566F1">
      <w:pPr>
        <w:pStyle w:val="ARfintablefootnoteindent"/>
      </w:pPr>
      <w:r w:rsidRPr="002029AF">
        <w:t>(i)</w:t>
      </w:r>
      <w:r w:rsidRPr="002029AF">
        <w:tab/>
        <w:t>‘Net</w:t>
      </w:r>
      <w:r w:rsidR="000A5329" w:rsidRPr="002029AF">
        <w:t xml:space="preserve"> </w:t>
      </w:r>
      <w:r w:rsidRPr="002029AF">
        <w:t>gain/(loss)</w:t>
      </w:r>
      <w:r w:rsidR="000A5329" w:rsidRPr="002029AF">
        <w:t xml:space="preserve"> </w:t>
      </w:r>
      <w:r w:rsidRPr="002029AF">
        <w:t>on</w:t>
      </w:r>
      <w:r w:rsidR="000A5329" w:rsidRPr="002029AF">
        <w:t xml:space="preserve"> </w:t>
      </w:r>
      <w:r w:rsidRPr="002029AF">
        <w:t>non-financial</w:t>
      </w:r>
      <w:r w:rsidR="000A5329" w:rsidRPr="002029AF">
        <w:t xml:space="preserve"> </w:t>
      </w:r>
      <w:r w:rsidRPr="002029AF">
        <w:t>assets’</w:t>
      </w:r>
      <w:r w:rsidR="000A5329" w:rsidRPr="002029AF">
        <w:t xml:space="preserve"> </w:t>
      </w:r>
      <w:r w:rsidRPr="002029AF">
        <w:t>includes</w:t>
      </w:r>
      <w:r w:rsidR="000A5329" w:rsidRPr="002029AF">
        <w:t xml:space="preserve"> </w:t>
      </w:r>
      <w:r w:rsidRPr="002029AF">
        <w:t>unrealised</w:t>
      </w:r>
      <w:r w:rsidR="000A5329" w:rsidRPr="002029AF">
        <w:t xml:space="preserve"> </w:t>
      </w:r>
      <w:r w:rsidRPr="002029AF">
        <w:t>and</w:t>
      </w:r>
      <w:r w:rsidR="000A5329" w:rsidRPr="002029AF">
        <w:t xml:space="preserve"> </w:t>
      </w:r>
      <w:r w:rsidRPr="002029AF">
        <w:t>realised</w:t>
      </w:r>
      <w:r w:rsidR="000A5329" w:rsidRPr="002029AF">
        <w:t xml:space="preserve"> </w:t>
      </w:r>
      <w:r w:rsidRPr="002029AF">
        <w:t>gains/(losses)</w:t>
      </w:r>
      <w:r w:rsidR="000A5329" w:rsidRPr="002029AF">
        <w:t xml:space="preserve"> </w:t>
      </w:r>
      <w:r w:rsidRPr="002029AF">
        <w:t>from</w:t>
      </w:r>
      <w:r w:rsidR="000A5329" w:rsidRPr="002029AF">
        <w:t xml:space="preserve"> </w:t>
      </w:r>
      <w:r w:rsidRPr="002029AF">
        <w:t>revaluations,</w:t>
      </w:r>
      <w:r w:rsidR="000A5329" w:rsidRPr="002029AF">
        <w:t xml:space="preserve"> </w:t>
      </w:r>
      <w:r w:rsidRPr="002029AF">
        <w:t>impairments,</w:t>
      </w:r>
      <w:r w:rsidR="000A5329" w:rsidRPr="002029AF">
        <w:t xml:space="preserve"> </w:t>
      </w:r>
      <w:r w:rsidRPr="002029AF">
        <w:t>and</w:t>
      </w:r>
      <w:r w:rsidR="000A5329" w:rsidRPr="002029AF">
        <w:t xml:space="preserve"> </w:t>
      </w:r>
      <w:r w:rsidRPr="002029AF">
        <w:t>disposals</w:t>
      </w:r>
      <w:r w:rsidR="000A5329" w:rsidRPr="002029AF">
        <w:t xml:space="preserve"> </w:t>
      </w:r>
      <w:r w:rsidRPr="002029AF">
        <w:t>of</w:t>
      </w:r>
      <w:r w:rsidR="000A5329" w:rsidRPr="002029AF">
        <w:t xml:space="preserve"> </w:t>
      </w:r>
      <w:r w:rsidRPr="002029AF">
        <w:t>all</w:t>
      </w:r>
      <w:r w:rsidR="000A5329" w:rsidRPr="002029AF">
        <w:t xml:space="preserve"> </w:t>
      </w:r>
      <w:r w:rsidRPr="002029AF">
        <w:t>physical</w:t>
      </w:r>
      <w:r w:rsidR="000A5329" w:rsidRPr="002029AF">
        <w:t xml:space="preserve"> </w:t>
      </w:r>
      <w:r w:rsidRPr="002029AF">
        <w:t>assets</w:t>
      </w:r>
      <w:r w:rsidR="000A5329" w:rsidRPr="002029AF">
        <w:t xml:space="preserve"> </w:t>
      </w:r>
      <w:r w:rsidRPr="002029AF">
        <w:t>and</w:t>
      </w:r>
      <w:r w:rsidR="000A5329" w:rsidRPr="002029AF">
        <w:t xml:space="preserve"> </w:t>
      </w:r>
      <w:r w:rsidRPr="002029AF">
        <w:t>intangible</w:t>
      </w:r>
      <w:r w:rsidR="000A5329" w:rsidRPr="002029AF">
        <w:t xml:space="preserve"> </w:t>
      </w:r>
      <w:r w:rsidRPr="002029AF">
        <w:t>assets,</w:t>
      </w:r>
      <w:r w:rsidR="000A5329" w:rsidRPr="002029AF">
        <w:t xml:space="preserve"> </w:t>
      </w:r>
      <w:r w:rsidRPr="002029AF">
        <w:t>except</w:t>
      </w:r>
      <w:r w:rsidR="000A5329" w:rsidRPr="002029AF">
        <w:t xml:space="preserve"> </w:t>
      </w:r>
      <w:r w:rsidRPr="002029AF">
        <w:t>when</w:t>
      </w:r>
      <w:r w:rsidR="000A5329" w:rsidRPr="002029AF">
        <w:t xml:space="preserve"> </w:t>
      </w:r>
      <w:r w:rsidRPr="002029AF">
        <w:t>these</w:t>
      </w:r>
      <w:r w:rsidR="000A5329" w:rsidRPr="002029AF">
        <w:t xml:space="preserve"> </w:t>
      </w:r>
      <w:r w:rsidRPr="002029AF">
        <w:t>are</w:t>
      </w:r>
      <w:r w:rsidR="000A5329" w:rsidRPr="002029AF">
        <w:t xml:space="preserve"> </w:t>
      </w:r>
      <w:r w:rsidRPr="002029AF">
        <w:t>taken</w:t>
      </w:r>
      <w:r w:rsidR="000A5329" w:rsidRPr="002029AF">
        <w:t xml:space="preserve"> </w:t>
      </w:r>
      <w:r w:rsidRPr="002029AF">
        <w:t>through</w:t>
      </w:r>
      <w:r w:rsidR="000A5329" w:rsidRPr="002029AF">
        <w:t xml:space="preserve"> </w:t>
      </w:r>
      <w:r w:rsidRPr="002029AF">
        <w:t>the</w:t>
      </w:r>
      <w:r w:rsidR="000A5329" w:rsidRPr="002029AF">
        <w:t xml:space="preserve"> </w:t>
      </w:r>
      <w:r w:rsidRPr="002029AF">
        <w:t>asset</w:t>
      </w:r>
      <w:r w:rsidR="000A5329" w:rsidRPr="002029AF">
        <w:t xml:space="preserve"> </w:t>
      </w:r>
      <w:r w:rsidRPr="002029AF">
        <w:t>revaluation</w:t>
      </w:r>
      <w:r w:rsidR="000A5329" w:rsidRPr="002029AF">
        <w:t xml:space="preserve"> </w:t>
      </w:r>
      <w:r w:rsidRPr="002029AF">
        <w:t>surplus.</w:t>
      </w:r>
    </w:p>
    <w:p w14:paraId="5AC800FB" w14:textId="0324E0EA" w:rsidR="0065586C" w:rsidRPr="002029AF" w:rsidRDefault="0065586C" w:rsidP="003566F1">
      <w:pPr>
        <w:pStyle w:val="ARfintablefootnoteindent"/>
      </w:pPr>
      <w:r w:rsidRPr="002029AF">
        <w:t>(ii)</w:t>
      </w:r>
      <w:r w:rsidRPr="002029AF">
        <w:tab/>
        <w:t>‘Net</w:t>
      </w:r>
      <w:r w:rsidR="000A5329" w:rsidRPr="002029AF">
        <w:t xml:space="preserve"> </w:t>
      </w:r>
      <w:r w:rsidRPr="002029AF">
        <w:t>gain/(loss)</w:t>
      </w:r>
      <w:r w:rsidR="000A5329" w:rsidRPr="002029AF">
        <w:t xml:space="preserve"> </w:t>
      </w:r>
      <w:r w:rsidRPr="002029AF">
        <w:t>on</w:t>
      </w:r>
      <w:r w:rsidR="000A5329" w:rsidRPr="002029AF">
        <w:t xml:space="preserve"> </w:t>
      </w:r>
      <w:r w:rsidRPr="002029AF">
        <w:t>financial</w:t>
      </w:r>
      <w:r w:rsidR="000A5329" w:rsidRPr="002029AF">
        <w:t xml:space="preserve"> </w:t>
      </w:r>
      <w:r w:rsidRPr="002029AF">
        <w:t>instruments’</w:t>
      </w:r>
      <w:r w:rsidR="000A5329" w:rsidRPr="002029AF">
        <w:t xml:space="preserve"> </w:t>
      </w:r>
      <w:r w:rsidRPr="002029AF">
        <w:t>includes</w:t>
      </w:r>
      <w:r w:rsidR="000A5329" w:rsidRPr="002029AF">
        <w:t xml:space="preserve"> </w:t>
      </w:r>
      <w:r w:rsidRPr="002029AF">
        <w:t>bad</w:t>
      </w:r>
      <w:r w:rsidR="000A5329" w:rsidRPr="002029AF">
        <w:t xml:space="preserve"> </w:t>
      </w:r>
      <w:r w:rsidRPr="002029AF">
        <w:t>and</w:t>
      </w:r>
      <w:r w:rsidR="000A5329" w:rsidRPr="002029AF">
        <w:t xml:space="preserve"> </w:t>
      </w:r>
      <w:r w:rsidRPr="002029AF">
        <w:t>doubtful</w:t>
      </w:r>
      <w:r w:rsidR="000A5329" w:rsidRPr="002029AF">
        <w:t xml:space="preserve"> </w:t>
      </w:r>
      <w:r w:rsidRPr="002029AF">
        <w:t>debts</w:t>
      </w:r>
      <w:r w:rsidR="000A5329" w:rsidRPr="002029AF">
        <w:t xml:space="preserve"> </w:t>
      </w:r>
      <w:r w:rsidRPr="002029AF">
        <w:t>from</w:t>
      </w:r>
      <w:r w:rsidR="000A5329" w:rsidRPr="002029AF">
        <w:t xml:space="preserve"> </w:t>
      </w:r>
      <w:r w:rsidRPr="002029AF">
        <w:t>other</w:t>
      </w:r>
      <w:r w:rsidR="000A5329" w:rsidRPr="002029AF">
        <w:t xml:space="preserve"> </w:t>
      </w:r>
      <w:r w:rsidRPr="002029AF">
        <w:t>economic</w:t>
      </w:r>
      <w:r w:rsidR="000A5329" w:rsidRPr="002029AF">
        <w:t xml:space="preserve"> </w:t>
      </w:r>
      <w:r w:rsidRPr="002029AF">
        <w:t>flows,</w:t>
      </w:r>
      <w:r w:rsidR="000A5329" w:rsidRPr="002029AF">
        <w:t xml:space="preserve"> </w:t>
      </w:r>
      <w:r w:rsidRPr="002029AF">
        <w:t>unrealised</w:t>
      </w:r>
      <w:r w:rsidR="000A5329" w:rsidRPr="002029AF">
        <w:t xml:space="preserve"> </w:t>
      </w:r>
      <w:r w:rsidRPr="002029AF">
        <w:t>and</w:t>
      </w:r>
      <w:r w:rsidR="000A5329" w:rsidRPr="002029AF">
        <w:t xml:space="preserve"> </w:t>
      </w:r>
      <w:r w:rsidRPr="002029AF">
        <w:t>realised</w:t>
      </w:r>
      <w:r w:rsidR="000A5329" w:rsidRPr="002029AF">
        <w:t xml:space="preserve"> </w:t>
      </w:r>
      <w:r w:rsidRPr="002029AF">
        <w:t>gains/(losses)</w:t>
      </w:r>
      <w:r w:rsidR="000A5329" w:rsidRPr="002029AF">
        <w:t xml:space="preserve"> </w:t>
      </w:r>
      <w:r w:rsidRPr="002029AF">
        <w:t>from</w:t>
      </w:r>
      <w:r w:rsidR="000A5329" w:rsidRPr="002029AF">
        <w:t xml:space="preserve"> </w:t>
      </w:r>
      <w:r w:rsidRPr="002029AF">
        <w:t>revaluations,</w:t>
      </w:r>
      <w:r w:rsidR="000A5329" w:rsidRPr="002029AF">
        <w:t xml:space="preserve"> </w:t>
      </w:r>
      <w:r w:rsidRPr="002029AF">
        <w:t>impairments</w:t>
      </w:r>
      <w:r w:rsidR="000A5329" w:rsidRPr="002029AF">
        <w:t xml:space="preserve"> </w:t>
      </w:r>
      <w:r w:rsidRPr="002029AF">
        <w:t>and</w:t>
      </w:r>
      <w:r w:rsidR="000A5329" w:rsidRPr="002029AF">
        <w:t xml:space="preserve"> </w:t>
      </w:r>
      <w:r w:rsidRPr="002029AF">
        <w:t>reversals</w:t>
      </w:r>
      <w:r w:rsidR="000A5329" w:rsidRPr="002029AF">
        <w:t xml:space="preserve"> </w:t>
      </w:r>
      <w:r w:rsidRPr="002029AF">
        <w:t>of</w:t>
      </w:r>
      <w:r w:rsidR="000A5329" w:rsidRPr="002029AF">
        <w:t xml:space="preserve"> </w:t>
      </w:r>
      <w:r w:rsidRPr="002029AF">
        <w:t>impairment,</w:t>
      </w:r>
      <w:r w:rsidR="000A5329" w:rsidRPr="002029AF">
        <w:t xml:space="preserve"> </w:t>
      </w:r>
      <w:r w:rsidRPr="002029AF">
        <w:t>and</w:t>
      </w:r>
      <w:r w:rsidR="000A5329" w:rsidRPr="002029AF">
        <w:t xml:space="preserve"> </w:t>
      </w:r>
      <w:r w:rsidRPr="002029AF">
        <w:t>gains/(losses)</w:t>
      </w:r>
      <w:r w:rsidR="000A5329" w:rsidRPr="002029AF">
        <w:t xml:space="preserve"> </w:t>
      </w:r>
      <w:r w:rsidRPr="002029AF">
        <w:t>from</w:t>
      </w:r>
      <w:r w:rsidR="000A5329" w:rsidRPr="002029AF">
        <w:t xml:space="preserve"> </w:t>
      </w:r>
      <w:r w:rsidRPr="002029AF">
        <w:t>disposals</w:t>
      </w:r>
      <w:r w:rsidR="000A5329" w:rsidRPr="002029AF">
        <w:t xml:space="preserve"> </w:t>
      </w:r>
      <w:r w:rsidRPr="002029AF">
        <w:t>of</w:t>
      </w:r>
      <w:r w:rsidR="000A5329" w:rsidRPr="002029AF">
        <w:t xml:space="preserve"> </w:t>
      </w:r>
      <w:r w:rsidRPr="002029AF">
        <w:t>financial</w:t>
      </w:r>
      <w:r w:rsidR="000A5329" w:rsidRPr="002029AF">
        <w:t xml:space="preserve"> </w:t>
      </w:r>
      <w:r w:rsidRPr="002029AF">
        <w:t>instruments.</w:t>
      </w:r>
    </w:p>
    <w:p w14:paraId="45DA8A34" w14:textId="77777777" w:rsidR="0065586C" w:rsidRPr="002029AF" w:rsidRDefault="0065586C" w:rsidP="003566F1">
      <w:pPr>
        <w:pStyle w:val="ARfinbody"/>
      </w:pPr>
      <w:r w:rsidRPr="002029AF">
        <w:br w:type="page"/>
      </w:r>
    </w:p>
    <w:p w14:paraId="6BF4D1BE" w14:textId="622487BA" w:rsidR="0065586C" w:rsidRPr="002029AF" w:rsidRDefault="0065586C" w:rsidP="003566F1">
      <w:pPr>
        <w:pStyle w:val="Heading2"/>
      </w:pPr>
      <w:bookmarkStart w:id="252" w:name="_Ref52283731"/>
      <w:bookmarkStart w:id="253" w:name="_Ref52284149"/>
      <w:bookmarkStart w:id="254" w:name="_Toc54690807"/>
      <w:bookmarkEnd w:id="234"/>
      <w:bookmarkEnd w:id="235"/>
      <w:r w:rsidRPr="002029AF">
        <w:lastRenderedPageBreak/>
        <w:t>Balance</w:t>
      </w:r>
      <w:r w:rsidR="000A5329" w:rsidRPr="002029AF">
        <w:t xml:space="preserve"> </w:t>
      </w:r>
      <w:r w:rsidRPr="002029AF">
        <w:t>sheet</w:t>
      </w:r>
      <w:r w:rsidR="000A5329" w:rsidRPr="002029AF">
        <w:t xml:space="preserve"> </w:t>
      </w:r>
      <w:r w:rsidRPr="002029AF">
        <w:t>as</w:t>
      </w:r>
      <w:r w:rsidR="000A5329" w:rsidRPr="002029AF">
        <w:t xml:space="preserve"> </w:t>
      </w:r>
      <w:r w:rsidRPr="002029AF">
        <w:t>at</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bookmarkEnd w:id="252"/>
      <w:bookmarkEnd w:id="253"/>
      <w:bookmarkEnd w:id="254"/>
    </w:p>
    <w:tbl>
      <w:tblPr>
        <w:tblStyle w:val="TableGrid"/>
        <w:tblW w:w="9637" w:type="dxa"/>
        <w:tblLayout w:type="fixed"/>
        <w:tblLook w:val="06A0" w:firstRow="1" w:lastRow="0" w:firstColumn="1" w:lastColumn="0" w:noHBand="1" w:noVBand="1"/>
      </w:tblPr>
      <w:tblGrid>
        <w:gridCol w:w="6518"/>
        <w:gridCol w:w="851"/>
        <w:gridCol w:w="1134"/>
        <w:gridCol w:w="1134"/>
      </w:tblGrid>
      <w:tr w:rsidR="0065586C" w:rsidRPr="002029AF" w14:paraId="713EBE58" w14:textId="77777777" w:rsidTr="00C83719">
        <w:trPr>
          <w:cnfStyle w:val="100000000000" w:firstRow="1" w:lastRow="0" w:firstColumn="0" w:lastColumn="0" w:oddVBand="0" w:evenVBand="0" w:oddHBand="0" w:evenHBand="0" w:firstRowFirstColumn="0" w:firstRowLastColumn="0" w:lastRowFirstColumn="0" w:lastRowLastColumn="0"/>
          <w:tblHeader/>
        </w:trPr>
        <w:tc>
          <w:tcPr>
            <w:tcW w:w="6518" w:type="dxa"/>
            <w:tcBorders>
              <w:bottom w:val="single" w:sz="4" w:space="0" w:color="auto"/>
            </w:tcBorders>
            <w:noWrap/>
            <w:hideMark/>
          </w:tcPr>
          <w:p w14:paraId="2A1F5299" w14:textId="77777777" w:rsidR="0065586C" w:rsidRPr="002029AF" w:rsidRDefault="0065586C" w:rsidP="003566F1">
            <w:pPr>
              <w:pStyle w:val="ARfintablecolhead"/>
            </w:pPr>
          </w:p>
        </w:tc>
        <w:tc>
          <w:tcPr>
            <w:tcW w:w="851" w:type="dxa"/>
            <w:tcBorders>
              <w:bottom w:val="single" w:sz="4" w:space="0" w:color="auto"/>
            </w:tcBorders>
            <w:noWrap/>
            <w:hideMark/>
          </w:tcPr>
          <w:p w14:paraId="0EB072B4" w14:textId="3AB62E69" w:rsidR="0065586C" w:rsidRPr="002029AF" w:rsidRDefault="0065586C" w:rsidP="003566F1">
            <w:pPr>
              <w:pStyle w:val="ARfintablecolheadright"/>
            </w:pPr>
            <w:r w:rsidRPr="002029AF">
              <w:t>Note</w:t>
            </w:r>
          </w:p>
        </w:tc>
        <w:tc>
          <w:tcPr>
            <w:tcW w:w="1134" w:type="dxa"/>
            <w:tcBorders>
              <w:bottom w:val="single" w:sz="4" w:space="0" w:color="auto"/>
            </w:tcBorders>
            <w:shd w:val="clear" w:color="auto" w:fill="E7E6E6"/>
            <w:hideMark/>
          </w:tcPr>
          <w:p w14:paraId="222D22EF" w14:textId="77777777" w:rsidR="0065586C" w:rsidRPr="002029AF" w:rsidRDefault="0065586C" w:rsidP="003566F1">
            <w:pPr>
              <w:pStyle w:val="ARfintablecolheadright"/>
            </w:pPr>
            <w:r w:rsidRPr="002029AF">
              <w:t>2020</w:t>
            </w:r>
          </w:p>
          <w:p w14:paraId="38A1DF80" w14:textId="77777777" w:rsidR="0065586C" w:rsidRPr="002029AF" w:rsidRDefault="0065586C" w:rsidP="003566F1">
            <w:pPr>
              <w:pStyle w:val="ARfintablecolheadright"/>
            </w:pPr>
            <w:r w:rsidRPr="002029AF">
              <w:t>$M</w:t>
            </w:r>
          </w:p>
        </w:tc>
        <w:tc>
          <w:tcPr>
            <w:tcW w:w="1134" w:type="dxa"/>
            <w:tcBorders>
              <w:bottom w:val="single" w:sz="4" w:space="0" w:color="auto"/>
            </w:tcBorders>
            <w:hideMark/>
          </w:tcPr>
          <w:p w14:paraId="3507FF94" w14:textId="77777777" w:rsidR="0065586C" w:rsidRPr="002029AF" w:rsidRDefault="0065586C" w:rsidP="003566F1">
            <w:pPr>
              <w:pStyle w:val="ARfintablecolheadright"/>
            </w:pPr>
            <w:r w:rsidRPr="002029AF">
              <w:t>2019</w:t>
            </w:r>
          </w:p>
          <w:p w14:paraId="0EE48E96" w14:textId="77777777" w:rsidR="0065586C" w:rsidRPr="002029AF" w:rsidRDefault="0065586C" w:rsidP="003566F1">
            <w:pPr>
              <w:pStyle w:val="ARfintablecolheadright"/>
            </w:pPr>
            <w:r w:rsidRPr="002029AF">
              <w:t>$M</w:t>
            </w:r>
          </w:p>
        </w:tc>
      </w:tr>
      <w:tr w:rsidR="0065586C" w:rsidRPr="002029AF" w14:paraId="56317CDE" w14:textId="77777777" w:rsidTr="003566F1">
        <w:tc>
          <w:tcPr>
            <w:tcW w:w="9637" w:type="dxa"/>
            <w:gridSpan w:val="4"/>
            <w:tcBorders>
              <w:top w:val="single" w:sz="4" w:space="0" w:color="auto"/>
              <w:bottom w:val="single" w:sz="4" w:space="0" w:color="A6A6A6"/>
            </w:tcBorders>
            <w:hideMark/>
          </w:tcPr>
          <w:p w14:paraId="0F193C78" w14:textId="77777777" w:rsidR="0065586C" w:rsidRPr="002029AF" w:rsidRDefault="0065586C" w:rsidP="003566F1">
            <w:pPr>
              <w:pStyle w:val="ARfintablebodybold"/>
            </w:pPr>
            <w:r w:rsidRPr="002029AF">
              <w:t>Assets</w:t>
            </w:r>
          </w:p>
        </w:tc>
      </w:tr>
      <w:tr w:rsidR="0065586C" w:rsidRPr="002029AF" w14:paraId="0D926563" w14:textId="77777777" w:rsidTr="003566F1">
        <w:tc>
          <w:tcPr>
            <w:tcW w:w="9637" w:type="dxa"/>
            <w:gridSpan w:val="4"/>
            <w:tcBorders>
              <w:top w:val="single" w:sz="4" w:space="0" w:color="A6A6A6"/>
              <w:bottom w:val="single" w:sz="4" w:space="0" w:color="A6A6A6"/>
            </w:tcBorders>
            <w:hideMark/>
          </w:tcPr>
          <w:p w14:paraId="4390301B" w14:textId="48798AFB" w:rsidR="0065586C" w:rsidRPr="002029AF" w:rsidRDefault="0065586C" w:rsidP="003566F1">
            <w:pPr>
              <w:pStyle w:val="ARfintablebodybold"/>
            </w:pPr>
            <w:r w:rsidRPr="002029AF">
              <w:t>Financial</w:t>
            </w:r>
            <w:r w:rsidR="000A5329" w:rsidRPr="002029AF">
              <w:t xml:space="preserve"> </w:t>
            </w:r>
            <w:r w:rsidRPr="002029AF">
              <w:t>assets</w:t>
            </w:r>
          </w:p>
        </w:tc>
      </w:tr>
      <w:tr w:rsidR="0065586C" w:rsidRPr="002029AF" w14:paraId="25720A0A" w14:textId="77777777" w:rsidTr="003566F1">
        <w:tc>
          <w:tcPr>
            <w:tcW w:w="6518" w:type="dxa"/>
            <w:tcBorders>
              <w:top w:val="single" w:sz="4" w:space="0" w:color="A6A6A6"/>
              <w:bottom w:val="single" w:sz="4" w:space="0" w:color="A6A6A6"/>
            </w:tcBorders>
            <w:hideMark/>
          </w:tcPr>
          <w:p w14:paraId="444837D1" w14:textId="6836B68A" w:rsidR="0065586C" w:rsidRPr="002029AF" w:rsidRDefault="0065586C" w:rsidP="003566F1">
            <w:pPr>
              <w:pStyle w:val="ARfintablebody"/>
            </w:pPr>
            <w:r w:rsidRPr="002029AF">
              <w:t>Cash</w:t>
            </w:r>
            <w:r w:rsidR="000A5329" w:rsidRPr="002029AF">
              <w:t xml:space="preserve"> </w:t>
            </w:r>
            <w:r w:rsidRPr="002029AF">
              <w:t>and</w:t>
            </w:r>
            <w:r w:rsidR="000A5329" w:rsidRPr="002029AF">
              <w:t xml:space="preserve"> </w:t>
            </w:r>
            <w:r w:rsidRPr="002029AF">
              <w:t>deposits</w:t>
            </w:r>
          </w:p>
        </w:tc>
        <w:tc>
          <w:tcPr>
            <w:tcW w:w="851" w:type="dxa"/>
            <w:tcBorders>
              <w:top w:val="single" w:sz="4" w:space="0" w:color="A6A6A6"/>
              <w:bottom w:val="single" w:sz="4" w:space="0" w:color="A6A6A6"/>
            </w:tcBorders>
            <w:noWrap/>
            <w:hideMark/>
          </w:tcPr>
          <w:p w14:paraId="21923740" w14:textId="77777777" w:rsidR="0065586C" w:rsidRPr="002029AF" w:rsidRDefault="0065586C" w:rsidP="003566F1">
            <w:pPr>
              <w:pStyle w:val="ARfintablebodyright"/>
            </w:pPr>
            <w:r w:rsidRPr="002029AF">
              <w:t>7.3</w:t>
            </w:r>
          </w:p>
        </w:tc>
        <w:tc>
          <w:tcPr>
            <w:tcW w:w="1134" w:type="dxa"/>
            <w:tcBorders>
              <w:top w:val="single" w:sz="4" w:space="0" w:color="A6A6A6"/>
              <w:bottom w:val="single" w:sz="4" w:space="0" w:color="A6A6A6"/>
            </w:tcBorders>
            <w:shd w:val="clear" w:color="auto" w:fill="E7E6E6"/>
            <w:noWrap/>
            <w:hideMark/>
          </w:tcPr>
          <w:p w14:paraId="015E626D" w14:textId="77777777" w:rsidR="0065586C" w:rsidRPr="002029AF" w:rsidRDefault="0065586C" w:rsidP="003566F1">
            <w:pPr>
              <w:pStyle w:val="ARfintablebodyright"/>
            </w:pPr>
            <w:r w:rsidRPr="002029AF">
              <w:t>597.7</w:t>
            </w:r>
          </w:p>
        </w:tc>
        <w:tc>
          <w:tcPr>
            <w:tcW w:w="1134" w:type="dxa"/>
            <w:tcBorders>
              <w:top w:val="single" w:sz="4" w:space="0" w:color="A6A6A6"/>
              <w:bottom w:val="single" w:sz="4" w:space="0" w:color="A6A6A6"/>
            </w:tcBorders>
            <w:noWrap/>
            <w:hideMark/>
          </w:tcPr>
          <w:p w14:paraId="1CF2B0B6" w14:textId="77777777" w:rsidR="0065586C" w:rsidRPr="002029AF" w:rsidRDefault="0065586C" w:rsidP="003566F1">
            <w:pPr>
              <w:pStyle w:val="ARfintablebodyright"/>
            </w:pPr>
            <w:r w:rsidRPr="002029AF">
              <w:t>799.9</w:t>
            </w:r>
          </w:p>
        </w:tc>
      </w:tr>
      <w:tr w:rsidR="0065586C" w:rsidRPr="002029AF" w14:paraId="7B152463" w14:textId="77777777" w:rsidTr="003566F1">
        <w:tc>
          <w:tcPr>
            <w:tcW w:w="6518" w:type="dxa"/>
            <w:tcBorders>
              <w:top w:val="single" w:sz="4" w:space="0" w:color="A6A6A6"/>
              <w:bottom w:val="single" w:sz="4" w:space="0" w:color="A6A6A6"/>
            </w:tcBorders>
            <w:hideMark/>
          </w:tcPr>
          <w:p w14:paraId="22F7F165" w14:textId="77777777" w:rsidR="0065586C" w:rsidRPr="002029AF" w:rsidRDefault="0065586C" w:rsidP="003566F1">
            <w:pPr>
              <w:pStyle w:val="ARfintablebody"/>
            </w:pPr>
            <w:r w:rsidRPr="002029AF">
              <w:t>Receivables</w:t>
            </w:r>
          </w:p>
        </w:tc>
        <w:tc>
          <w:tcPr>
            <w:tcW w:w="851" w:type="dxa"/>
            <w:tcBorders>
              <w:top w:val="single" w:sz="4" w:space="0" w:color="A6A6A6"/>
              <w:bottom w:val="single" w:sz="4" w:space="0" w:color="A6A6A6"/>
            </w:tcBorders>
            <w:noWrap/>
            <w:hideMark/>
          </w:tcPr>
          <w:p w14:paraId="1CF48407" w14:textId="77777777" w:rsidR="0065586C" w:rsidRPr="002029AF" w:rsidRDefault="0065586C" w:rsidP="003566F1">
            <w:pPr>
              <w:pStyle w:val="ARfintablebodyright"/>
            </w:pPr>
            <w:r w:rsidRPr="002029AF">
              <w:t>6.1</w:t>
            </w:r>
          </w:p>
        </w:tc>
        <w:tc>
          <w:tcPr>
            <w:tcW w:w="1134" w:type="dxa"/>
            <w:tcBorders>
              <w:top w:val="single" w:sz="4" w:space="0" w:color="A6A6A6"/>
              <w:bottom w:val="single" w:sz="4" w:space="0" w:color="A6A6A6"/>
            </w:tcBorders>
            <w:shd w:val="clear" w:color="auto" w:fill="E7E6E6"/>
            <w:noWrap/>
            <w:hideMark/>
          </w:tcPr>
          <w:p w14:paraId="6B79B195" w14:textId="77777777" w:rsidR="0065586C" w:rsidRPr="002029AF" w:rsidRDefault="0065586C" w:rsidP="003566F1">
            <w:pPr>
              <w:pStyle w:val="ARfintablebodyright"/>
            </w:pPr>
            <w:r w:rsidRPr="002029AF">
              <w:t>4,244.6</w:t>
            </w:r>
          </w:p>
        </w:tc>
        <w:tc>
          <w:tcPr>
            <w:tcW w:w="1134" w:type="dxa"/>
            <w:tcBorders>
              <w:top w:val="single" w:sz="4" w:space="0" w:color="A6A6A6"/>
              <w:bottom w:val="single" w:sz="4" w:space="0" w:color="A6A6A6"/>
            </w:tcBorders>
            <w:noWrap/>
            <w:hideMark/>
          </w:tcPr>
          <w:p w14:paraId="369E89B1" w14:textId="77777777" w:rsidR="0065586C" w:rsidRPr="002029AF" w:rsidRDefault="0065586C" w:rsidP="003566F1">
            <w:pPr>
              <w:pStyle w:val="ARfintablebodyright"/>
            </w:pPr>
            <w:r w:rsidRPr="002029AF">
              <w:t>3,369.8</w:t>
            </w:r>
          </w:p>
        </w:tc>
      </w:tr>
      <w:tr w:rsidR="0065586C" w:rsidRPr="002029AF" w14:paraId="53F5944F" w14:textId="77777777" w:rsidTr="003566F1">
        <w:tc>
          <w:tcPr>
            <w:tcW w:w="6518" w:type="dxa"/>
            <w:tcBorders>
              <w:top w:val="single" w:sz="4" w:space="0" w:color="A6A6A6"/>
              <w:bottom w:val="single" w:sz="4" w:space="0" w:color="A6A6A6"/>
            </w:tcBorders>
            <w:hideMark/>
          </w:tcPr>
          <w:p w14:paraId="7521E90A" w14:textId="77777777" w:rsidR="0065586C" w:rsidRPr="002029AF" w:rsidRDefault="0065586C" w:rsidP="003566F1">
            <w:pPr>
              <w:pStyle w:val="ARfintablebody"/>
            </w:pPr>
            <w:r w:rsidRPr="002029AF">
              <w:t>Loans</w:t>
            </w:r>
          </w:p>
        </w:tc>
        <w:tc>
          <w:tcPr>
            <w:tcW w:w="851" w:type="dxa"/>
            <w:tcBorders>
              <w:top w:val="single" w:sz="4" w:space="0" w:color="A6A6A6"/>
              <w:bottom w:val="single" w:sz="4" w:space="0" w:color="A6A6A6"/>
            </w:tcBorders>
            <w:noWrap/>
            <w:hideMark/>
          </w:tcPr>
          <w:p w14:paraId="30F6273C" w14:textId="77777777" w:rsidR="0065586C" w:rsidRPr="002029AF" w:rsidRDefault="0065586C" w:rsidP="003566F1">
            <w:pPr>
              <w:pStyle w:val="ARfintablebodyright"/>
            </w:pPr>
            <w:r w:rsidRPr="002029AF">
              <w:t>6.2</w:t>
            </w:r>
          </w:p>
        </w:tc>
        <w:tc>
          <w:tcPr>
            <w:tcW w:w="1134" w:type="dxa"/>
            <w:tcBorders>
              <w:top w:val="single" w:sz="4" w:space="0" w:color="A6A6A6"/>
              <w:bottom w:val="single" w:sz="4" w:space="0" w:color="A6A6A6"/>
            </w:tcBorders>
            <w:shd w:val="clear" w:color="auto" w:fill="E7E6E6"/>
            <w:noWrap/>
            <w:hideMark/>
          </w:tcPr>
          <w:p w14:paraId="6E4BF359" w14:textId="77777777" w:rsidR="0065586C" w:rsidRPr="002029AF" w:rsidRDefault="0065586C" w:rsidP="003566F1">
            <w:pPr>
              <w:pStyle w:val="ARfintablebodyright"/>
            </w:pPr>
            <w:r w:rsidRPr="002029AF">
              <w:t>389.5</w:t>
            </w:r>
          </w:p>
        </w:tc>
        <w:tc>
          <w:tcPr>
            <w:tcW w:w="1134" w:type="dxa"/>
            <w:tcBorders>
              <w:top w:val="single" w:sz="4" w:space="0" w:color="A6A6A6"/>
              <w:bottom w:val="single" w:sz="4" w:space="0" w:color="A6A6A6"/>
            </w:tcBorders>
            <w:noWrap/>
            <w:hideMark/>
          </w:tcPr>
          <w:p w14:paraId="72C39344" w14:textId="77777777" w:rsidR="0065586C" w:rsidRPr="002029AF" w:rsidRDefault="0065586C" w:rsidP="003566F1">
            <w:pPr>
              <w:pStyle w:val="ARfintablebodyright"/>
            </w:pPr>
            <w:r w:rsidRPr="002029AF">
              <w:t>94.9</w:t>
            </w:r>
          </w:p>
        </w:tc>
      </w:tr>
      <w:tr w:rsidR="0065586C" w:rsidRPr="002029AF" w14:paraId="0E6C42A6" w14:textId="77777777" w:rsidTr="003566F1">
        <w:tc>
          <w:tcPr>
            <w:tcW w:w="6518" w:type="dxa"/>
            <w:tcBorders>
              <w:top w:val="single" w:sz="4" w:space="0" w:color="A6A6A6"/>
            </w:tcBorders>
            <w:hideMark/>
          </w:tcPr>
          <w:p w14:paraId="0F47773D" w14:textId="4518F812" w:rsidR="0065586C" w:rsidRPr="002029AF" w:rsidRDefault="0065586C" w:rsidP="003566F1">
            <w:pPr>
              <w:pStyle w:val="ARfintablebody"/>
            </w:pPr>
            <w:r w:rsidRPr="002029AF">
              <w:t>Short-term</w:t>
            </w:r>
            <w:r w:rsidR="000A5329" w:rsidRPr="002029AF">
              <w:t xml:space="preserve"> </w:t>
            </w:r>
            <w:r w:rsidRPr="002029AF">
              <w:t>investments</w:t>
            </w:r>
            <w:r w:rsidR="000A5329" w:rsidRPr="002029AF">
              <w:t xml:space="preserve"> </w:t>
            </w:r>
            <w:r w:rsidRPr="002029AF">
              <w:t>–</w:t>
            </w:r>
            <w:r w:rsidR="000A5329" w:rsidRPr="002029AF">
              <w:t xml:space="preserve"> </w:t>
            </w:r>
            <w:r w:rsidRPr="002029AF">
              <w:t>term</w:t>
            </w:r>
            <w:r w:rsidR="000A5329" w:rsidRPr="002029AF">
              <w:t xml:space="preserve"> </w:t>
            </w:r>
            <w:r w:rsidRPr="002029AF">
              <w:t>deposits</w:t>
            </w:r>
          </w:p>
        </w:tc>
        <w:tc>
          <w:tcPr>
            <w:tcW w:w="851" w:type="dxa"/>
            <w:tcBorders>
              <w:top w:val="single" w:sz="4" w:space="0" w:color="A6A6A6"/>
            </w:tcBorders>
            <w:noWrap/>
            <w:hideMark/>
          </w:tcPr>
          <w:p w14:paraId="43B61F26" w14:textId="77777777" w:rsidR="0065586C" w:rsidRPr="002029AF" w:rsidRDefault="0065586C" w:rsidP="003566F1">
            <w:pPr>
              <w:pStyle w:val="ARfintablebodyright"/>
            </w:pPr>
            <w:r w:rsidRPr="002029AF">
              <w:t>5.4</w:t>
            </w:r>
          </w:p>
        </w:tc>
        <w:tc>
          <w:tcPr>
            <w:tcW w:w="1134" w:type="dxa"/>
            <w:tcBorders>
              <w:top w:val="single" w:sz="4" w:space="0" w:color="A6A6A6"/>
            </w:tcBorders>
            <w:shd w:val="clear" w:color="auto" w:fill="E7E6E6"/>
            <w:noWrap/>
            <w:hideMark/>
          </w:tcPr>
          <w:p w14:paraId="3CD5D34A" w14:textId="77777777" w:rsidR="0065586C" w:rsidRPr="002029AF" w:rsidRDefault="0065586C" w:rsidP="003566F1">
            <w:pPr>
              <w:pStyle w:val="ARfintablebodyright"/>
            </w:pPr>
            <w:r w:rsidRPr="002029AF">
              <w:t>–</w:t>
            </w:r>
          </w:p>
        </w:tc>
        <w:tc>
          <w:tcPr>
            <w:tcW w:w="1134" w:type="dxa"/>
            <w:tcBorders>
              <w:top w:val="single" w:sz="4" w:space="0" w:color="A6A6A6"/>
            </w:tcBorders>
            <w:noWrap/>
            <w:hideMark/>
          </w:tcPr>
          <w:p w14:paraId="72179998" w14:textId="77777777" w:rsidR="0065586C" w:rsidRPr="002029AF" w:rsidRDefault="0065586C" w:rsidP="003566F1">
            <w:pPr>
              <w:pStyle w:val="ARfintablebodyright"/>
            </w:pPr>
            <w:r w:rsidRPr="002029AF">
              <w:t>100.0</w:t>
            </w:r>
          </w:p>
        </w:tc>
      </w:tr>
      <w:tr w:rsidR="0065586C" w:rsidRPr="002029AF" w14:paraId="462BC48B" w14:textId="77777777" w:rsidTr="003566F1">
        <w:tc>
          <w:tcPr>
            <w:tcW w:w="6518" w:type="dxa"/>
            <w:tcBorders>
              <w:bottom w:val="single" w:sz="4" w:space="0" w:color="auto"/>
            </w:tcBorders>
            <w:hideMark/>
          </w:tcPr>
          <w:p w14:paraId="6A459978" w14:textId="1BD5D7A3" w:rsidR="0065586C" w:rsidRPr="002029AF" w:rsidRDefault="0065586C" w:rsidP="003566F1">
            <w:pPr>
              <w:pStyle w:val="ARfintablebodybold"/>
            </w:pPr>
            <w:r w:rsidRPr="002029AF">
              <w:t>Total</w:t>
            </w:r>
            <w:r w:rsidR="000A5329" w:rsidRPr="002029AF">
              <w:t xml:space="preserve"> </w:t>
            </w:r>
            <w:r w:rsidRPr="002029AF">
              <w:t>financial</w:t>
            </w:r>
            <w:r w:rsidR="000A5329" w:rsidRPr="002029AF">
              <w:t xml:space="preserve"> </w:t>
            </w:r>
            <w:r w:rsidRPr="002029AF">
              <w:t>assets</w:t>
            </w:r>
          </w:p>
        </w:tc>
        <w:tc>
          <w:tcPr>
            <w:tcW w:w="851" w:type="dxa"/>
            <w:tcBorders>
              <w:bottom w:val="single" w:sz="4" w:space="0" w:color="auto"/>
            </w:tcBorders>
            <w:hideMark/>
          </w:tcPr>
          <w:p w14:paraId="0B1D6F28" w14:textId="77777777" w:rsidR="0065586C" w:rsidRPr="002029AF" w:rsidRDefault="0065586C" w:rsidP="003566F1">
            <w:pPr>
              <w:pStyle w:val="ARfintablebodyrightbold"/>
            </w:pPr>
          </w:p>
        </w:tc>
        <w:tc>
          <w:tcPr>
            <w:tcW w:w="1134" w:type="dxa"/>
            <w:tcBorders>
              <w:bottom w:val="single" w:sz="4" w:space="0" w:color="auto"/>
            </w:tcBorders>
            <w:shd w:val="clear" w:color="auto" w:fill="E7E6E6"/>
            <w:noWrap/>
            <w:hideMark/>
          </w:tcPr>
          <w:p w14:paraId="033E0DDA" w14:textId="77777777" w:rsidR="0065586C" w:rsidRPr="002029AF" w:rsidRDefault="0065586C" w:rsidP="003566F1">
            <w:pPr>
              <w:pStyle w:val="ARfintablebodyrightbold"/>
            </w:pPr>
            <w:r w:rsidRPr="002029AF">
              <w:t>5,231.8</w:t>
            </w:r>
          </w:p>
        </w:tc>
        <w:tc>
          <w:tcPr>
            <w:tcW w:w="1134" w:type="dxa"/>
            <w:tcBorders>
              <w:bottom w:val="single" w:sz="4" w:space="0" w:color="auto"/>
            </w:tcBorders>
            <w:noWrap/>
            <w:hideMark/>
          </w:tcPr>
          <w:p w14:paraId="7EA62022" w14:textId="77777777" w:rsidR="0065586C" w:rsidRPr="002029AF" w:rsidRDefault="0065586C" w:rsidP="003566F1">
            <w:pPr>
              <w:pStyle w:val="ARfintablebodyrightbold"/>
            </w:pPr>
            <w:r w:rsidRPr="002029AF">
              <w:t>4,364.6</w:t>
            </w:r>
          </w:p>
        </w:tc>
      </w:tr>
      <w:tr w:rsidR="0065586C" w:rsidRPr="002029AF" w14:paraId="1CCFF12C" w14:textId="77777777" w:rsidTr="003566F1">
        <w:tc>
          <w:tcPr>
            <w:tcW w:w="9637" w:type="dxa"/>
            <w:gridSpan w:val="4"/>
            <w:tcBorders>
              <w:top w:val="single" w:sz="4" w:space="0" w:color="auto"/>
              <w:bottom w:val="single" w:sz="4" w:space="0" w:color="A6A6A6"/>
            </w:tcBorders>
            <w:hideMark/>
          </w:tcPr>
          <w:p w14:paraId="181FF392" w14:textId="21D33B22" w:rsidR="0065586C" w:rsidRPr="002029AF" w:rsidRDefault="0065586C" w:rsidP="003566F1">
            <w:pPr>
              <w:pStyle w:val="ARfintablebodybold"/>
            </w:pPr>
            <w:r w:rsidRPr="002029AF">
              <w:t>Non-financial</w:t>
            </w:r>
            <w:r w:rsidR="000A5329" w:rsidRPr="002029AF">
              <w:t xml:space="preserve"> </w:t>
            </w:r>
            <w:r w:rsidRPr="002029AF">
              <w:t>assets</w:t>
            </w:r>
          </w:p>
        </w:tc>
      </w:tr>
      <w:tr w:rsidR="0065586C" w:rsidRPr="002029AF" w14:paraId="7EB579F2" w14:textId="77777777" w:rsidTr="003566F1">
        <w:tc>
          <w:tcPr>
            <w:tcW w:w="6518" w:type="dxa"/>
            <w:tcBorders>
              <w:top w:val="single" w:sz="4" w:space="0" w:color="A6A6A6"/>
              <w:bottom w:val="single" w:sz="4" w:space="0" w:color="A6A6A6"/>
            </w:tcBorders>
            <w:hideMark/>
          </w:tcPr>
          <w:p w14:paraId="7063E33F" w14:textId="77777777" w:rsidR="0065586C" w:rsidRPr="002029AF" w:rsidRDefault="0065586C" w:rsidP="003566F1">
            <w:pPr>
              <w:pStyle w:val="ARfintablebody"/>
            </w:pPr>
            <w:r w:rsidRPr="002029AF">
              <w:t>Inventories</w:t>
            </w:r>
          </w:p>
        </w:tc>
        <w:tc>
          <w:tcPr>
            <w:tcW w:w="851" w:type="dxa"/>
            <w:tcBorders>
              <w:top w:val="single" w:sz="4" w:space="0" w:color="A6A6A6"/>
              <w:bottom w:val="single" w:sz="4" w:space="0" w:color="A6A6A6"/>
            </w:tcBorders>
            <w:noWrap/>
            <w:hideMark/>
          </w:tcPr>
          <w:p w14:paraId="4311E5EB" w14:textId="77777777" w:rsidR="0065586C" w:rsidRPr="002029AF" w:rsidRDefault="0065586C" w:rsidP="003566F1">
            <w:pPr>
              <w:pStyle w:val="ARfintablebodyright"/>
            </w:pPr>
            <w:r w:rsidRPr="002029AF">
              <w:t>6.6</w:t>
            </w:r>
          </w:p>
        </w:tc>
        <w:tc>
          <w:tcPr>
            <w:tcW w:w="1134" w:type="dxa"/>
            <w:tcBorders>
              <w:top w:val="single" w:sz="4" w:space="0" w:color="A6A6A6"/>
              <w:bottom w:val="single" w:sz="4" w:space="0" w:color="A6A6A6"/>
            </w:tcBorders>
            <w:shd w:val="clear" w:color="auto" w:fill="E7E6E6"/>
            <w:noWrap/>
            <w:hideMark/>
          </w:tcPr>
          <w:p w14:paraId="20AE2FEE" w14:textId="77777777" w:rsidR="0065586C" w:rsidRPr="002029AF" w:rsidRDefault="0065586C" w:rsidP="003566F1">
            <w:pPr>
              <w:pStyle w:val="ARfintablebodyright"/>
            </w:pPr>
            <w:r w:rsidRPr="002029AF">
              <w:t>411.8</w:t>
            </w:r>
          </w:p>
        </w:tc>
        <w:tc>
          <w:tcPr>
            <w:tcW w:w="1134" w:type="dxa"/>
            <w:tcBorders>
              <w:top w:val="single" w:sz="4" w:space="0" w:color="A6A6A6"/>
              <w:bottom w:val="single" w:sz="4" w:space="0" w:color="A6A6A6"/>
            </w:tcBorders>
            <w:noWrap/>
            <w:hideMark/>
          </w:tcPr>
          <w:p w14:paraId="557182D8" w14:textId="77777777" w:rsidR="0065586C" w:rsidRPr="002029AF" w:rsidRDefault="0065586C" w:rsidP="003566F1">
            <w:pPr>
              <w:pStyle w:val="ARfintablebodyright"/>
            </w:pPr>
            <w:r w:rsidRPr="002029AF">
              <w:t>–</w:t>
            </w:r>
          </w:p>
        </w:tc>
      </w:tr>
      <w:tr w:rsidR="0065586C" w:rsidRPr="002029AF" w14:paraId="04B9749A" w14:textId="77777777" w:rsidTr="003566F1">
        <w:tc>
          <w:tcPr>
            <w:tcW w:w="6518" w:type="dxa"/>
            <w:tcBorders>
              <w:top w:val="single" w:sz="4" w:space="0" w:color="A6A6A6"/>
              <w:bottom w:val="single" w:sz="4" w:space="0" w:color="A6A6A6"/>
            </w:tcBorders>
            <w:hideMark/>
          </w:tcPr>
          <w:p w14:paraId="1314452F" w14:textId="68B84D40" w:rsidR="0065586C" w:rsidRPr="002029AF" w:rsidRDefault="0065586C" w:rsidP="003566F1">
            <w:pPr>
              <w:pStyle w:val="ARfintablebody"/>
            </w:pPr>
            <w:r w:rsidRPr="002029AF">
              <w:t>Non-financial</w:t>
            </w:r>
            <w:r w:rsidR="000A5329" w:rsidRPr="002029AF">
              <w:t xml:space="preserve"> </w:t>
            </w:r>
            <w:r w:rsidRPr="002029AF">
              <w:t>physical</w:t>
            </w:r>
            <w:r w:rsidR="000A5329" w:rsidRPr="002029AF">
              <w:t xml:space="preserve"> </w:t>
            </w:r>
            <w:r w:rsidRPr="002029AF">
              <w:t>assets</w:t>
            </w:r>
            <w:r w:rsidR="000A5329" w:rsidRPr="002029AF">
              <w:t xml:space="preserve"> </w:t>
            </w:r>
            <w:r w:rsidRPr="002029AF">
              <w:t>classified</w:t>
            </w:r>
            <w:r w:rsidR="000A5329" w:rsidRPr="002029AF">
              <w:t xml:space="preserve"> </w:t>
            </w:r>
            <w:r w:rsidRPr="002029AF">
              <w:t>as</w:t>
            </w:r>
            <w:r w:rsidR="000A5329" w:rsidRPr="002029AF">
              <w:t xml:space="preserve"> </w:t>
            </w:r>
            <w:r w:rsidRPr="002029AF">
              <w:t>held</w:t>
            </w:r>
            <w:r w:rsidR="000A5329" w:rsidRPr="002029AF">
              <w:t xml:space="preserve"> </w:t>
            </w:r>
            <w:r w:rsidRPr="002029AF">
              <w:t>for</w:t>
            </w:r>
            <w:r w:rsidR="000A5329" w:rsidRPr="002029AF">
              <w:t xml:space="preserve"> </w:t>
            </w:r>
            <w:r w:rsidRPr="002029AF">
              <w:t>sale</w:t>
            </w:r>
          </w:p>
        </w:tc>
        <w:tc>
          <w:tcPr>
            <w:tcW w:w="851" w:type="dxa"/>
            <w:tcBorders>
              <w:top w:val="single" w:sz="4" w:space="0" w:color="A6A6A6"/>
              <w:bottom w:val="single" w:sz="4" w:space="0" w:color="A6A6A6"/>
            </w:tcBorders>
            <w:noWrap/>
            <w:hideMark/>
          </w:tcPr>
          <w:p w14:paraId="0BAED0C1" w14:textId="77777777" w:rsidR="0065586C" w:rsidRPr="002029AF" w:rsidRDefault="0065586C" w:rsidP="003566F1">
            <w:pPr>
              <w:pStyle w:val="ARfintablebodyright"/>
            </w:pPr>
            <w:r w:rsidRPr="002029AF">
              <w:t>9.3</w:t>
            </w:r>
          </w:p>
        </w:tc>
        <w:tc>
          <w:tcPr>
            <w:tcW w:w="1134" w:type="dxa"/>
            <w:tcBorders>
              <w:top w:val="single" w:sz="4" w:space="0" w:color="A6A6A6"/>
              <w:bottom w:val="single" w:sz="4" w:space="0" w:color="A6A6A6"/>
            </w:tcBorders>
            <w:shd w:val="clear" w:color="auto" w:fill="E7E6E6"/>
            <w:noWrap/>
            <w:hideMark/>
          </w:tcPr>
          <w:p w14:paraId="4C8B23D3" w14:textId="77777777" w:rsidR="0065586C" w:rsidRPr="002029AF" w:rsidRDefault="0065586C" w:rsidP="003566F1">
            <w:pPr>
              <w:pStyle w:val="ARfintablebodyright"/>
            </w:pPr>
            <w:r w:rsidRPr="002029AF">
              <w:t>9.1</w:t>
            </w:r>
          </w:p>
        </w:tc>
        <w:tc>
          <w:tcPr>
            <w:tcW w:w="1134" w:type="dxa"/>
            <w:tcBorders>
              <w:top w:val="single" w:sz="4" w:space="0" w:color="A6A6A6"/>
              <w:bottom w:val="single" w:sz="4" w:space="0" w:color="A6A6A6"/>
            </w:tcBorders>
            <w:noWrap/>
            <w:hideMark/>
          </w:tcPr>
          <w:p w14:paraId="10EA39D6" w14:textId="77777777" w:rsidR="0065586C" w:rsidRPr="002029AF" w:rsidRDefault="0065586C" w:rsidP="003566F1">
            <w:pPr>
              <w:pStyle w:val="ARfintablebodyright"/>
            </w:pPr>
            <w:r w:rsidRPr="002029AF">
              <w:t>31.2</w:t>
            </w:r>
          </w:p>
        </w:tc>
      </w:tr>
      <w:tr w:rsidR="0065586C" w:rsidRPr="002029AF" w14:paraId="06F080BD" w14:textId="77777777" w:rsidTr="003566F1">
        <w:tc>
          <w:tcPr>
            <w:tcW w:w="6518" w:type="dxa"/>
            <w:tcBorders>
              <w:top w:val="single" w:sz="4" w:space="0" w:color="A6A6A6"/>
              <w:bottom w:val="single" w:sz="4" w:space="0" w:color="A6A6A6"/>
            </w:tcBorders>
            <w:hideMark/>
          </w:tcPr>
          <w:p w14:paraId="59BAF1B7" w14:textId="7E8C9D31" w:rsidR="0065586C" w:rsidRPr="002029AF" w:rsidRDefault="0065586C" w:rsidP="003566F1">
            <w:pPr>
              <w:pStyle w:val="ARfintablebody"/>
            </w:pPr>
            <w:r w:rsidRPr="002029AF">
              <w:t>Property,</w:t>
            </w:r>
            <w:r w:rsidR="000A5329" w:rsidRPr="002029AF">
              <w:t xml:space="preserve"> </w:t>
            </w:r>
            <w:r w:rsidRPr="002029AF">
              <w:t>plant</w:t>
            </w:r>
            <w:r w:rsidR="000A5329" w:rsidRPr="002029AF">
              <w:t xml:space="preserve"> </w:t>
            </w:r>
            <w:r w:rsidRPr="002029AF">
              <w:t>and</w:t>
            </w:r>
            <w:r w:rsidR="000A5329" w:rsidRPr="002029AF">
              <w:t xml:space="preserve"> </w:t>
            </w:r>
            <w:r w:rsidRPr="002029AF">
              <w:t>equipment</w:t>
            </w:r>
          </w:p>
        </w:tc>
        <w:tc>
          <w:tcPr>
            <w:tcW w:w="851" w:type="dxa"/>
            <w:tcBorders>
              <w:top w:val="single" w:sz="4" w:space="0" w:color="A6A6A6"/>
              <w:bottom w:val="single" w:sz="4" w:space="0" w:color="A6A6A6"/>
            </w:tcBorders>
            <w:noWrap/>
            <w:hideMark/>
          </w:tcPr>
          <w:p w14:paraId="73D7D50A" w14:textId="77777777" w:rsidR="0065586C" w:rsidRPr="002029AF" w:rsidRDefault="0065586C" w:rsidP="003566F1">
            <w:pPr>
              <w:pStyle w:val="ARfintablebodyright"/>
            </w:pPr>
            <w:r w:rsidRPr="002029AF">
              <w:t>5.1</w:t>
            </w:r>
          </w:p>
        </w:tc>
        <w:tc>
          <w:tcPr>
            <w:tcW w:w="1134" w:type="dxa"/>
            <w:tcBorders>
              <w:top w:val="single" w:sz="4" w:space="0" w:color="A6A6A6"/>
              <w:bottom w:val="single" w:sz="4" w:space="0" w:color="A6A6A6"/>
            </w:tcBorders>
            <w:shd w:val="clear" w:color="auto" w:fill="E7E6E6"/>
            <w:noWrap/>
            <w:hideMark/>
          </w:tcPr>
          <w:p w14:paraId="3A14DF7D" w14:textId="77777777" w:rsidR="0065586C" w:rsidRPr="002029AF" w:rsidRDefault="0065586C" w:rsidP="003566F1">
            <w:pPr>
              <w:pStyle w:val="ARfintablebodyright"/>
            </w:pPr>
            <w:r w:rsidRPr="002029AF">
              <w:t>28,792.6</w:t>
            </w:r>
          </w:p>
        </w:tc>
        <w:tc>
          <w:tcPr>
            <w:tcW w:w="1134" w:type="dxa"/>
            <w:tcBorders>
              <w:top w:val="single" w:sz="4" w:space="0" w:color="A6A6A6"/>
              <w:bottom w:val="single" w:sz="4" w:space="0" w:color="A6A6A6"/>
            </w:tcBorders>
            <w:noWrap/>
            <w:hideMark/>
          </w:tcPr>
          <w:p w14:paraId="4DCE85D1" w14:textId="77777777" w:rsidR="0065586C" w:rsidRPr="002029AF" w:rsidRDefault="0065586C" w:rsidP="003566F1">
            <w:pPr>
              <w:pStyle w:val="ARfintablebodyright"/>
            </w:pPr>
            <w:r w:rsidRPr="002029AF">
              <w:t>28,818.2</w:t>
            </w:r>
          </w:p>
        </w:tc>
      </w:tr>
      <w:tr w:rsidR="0065586C" w:rsidRPr="002029AF" w14:paraId="7403407F" w14:textId="77777777" w:rsidTr="003566F1">
        <w:tc>
          <w:tcPr>
            <w:tcW w:w="6518" w:type="dxa"/>
            <w:tcBorders>
              <w:top w:val="single" w:sz="4" w:space="0" w:color="A6A6A6"/>
              <w:bottom w:val="single" w:sz="4" w:space="0" w:color="A6A6A6"/>
            </w:tcBorders>
            <w:hideMark/>
          </w:tcPr>
          <w:p w14:paraId="53879605" w14:textId="471EA61C" w:rsidR="0065586C" w:rsidRPr="002029AF" w:rsidRDefault="0065586C" w:rsidP="003566F1">
            <w:pPr>
              <w:pStyle w:val="ARfintablebody"/>
            </w:pPr>
            <w:r w:rsidRPr="002029AF">
              <w:t>Intangible</w:t>
            </w:r>
            <w:r w:rsidR="000A5329" w:rsidRPr="002029AF">
              <w:t xml:space="preserve"> </w:t>
            </w:r>
            <w:r w:rsidRPr="002029AF">
              <w:t>assets</w:t>
            </w:r>
          </w:p>
        </w:tc>
        <w:tc>
          <w:tcPr>
            <w:tcW w:w="851" w:type="dxa"/>
            <w:tcBorders>
              <w:top w:val="single" w:sz="4" w:space="0" w:color="A6A6A6"/>
              <w:bottom w:val="single" w:sz="4" w:space="0" w:color="A6A6A6"/>
            </w:tcBorders>
            <w:noWrap/>
            <w:hideMark/>
          </w:tcPr>
          <w:p w14:paraId="139322F9" w14:textId="77777777" w:rsidR="0065586C" w:rsidRPr="002029AF" w:rsidRDefault="0065586C" w:rsidP="003566F1">
            <w:pPr>
              <w:pStyle w:val="ARfintablebodyright"/>
            </w:pPr>
            <w:r w:rsidRPr="002029AF">
              <w:t>5.2</w:t>
            </w:r>
          </w:p>
        </w:tc>
        <w:tc>
          <w:tcPr>
            <w:tcW w:w="1134" w:type="dxa"/>
            <w:tcBorders>
              <w:top w:val="single" w:sz="4" w:space="0" w:color="A6A6A6"/>
              <w:bottom w:val="single" w:sz="4" w:space="0" w:color="A6A6A6"/>
            </w:tcBorders>
            <w:shd w:val="clear" w:color="auto" w:fill="E7E6E6"/>
            <w:noWrap/>
            <w:hideMark/>
          </w:tcPr>
          <w:p w14:paraId="0EB1662E" w14:textId="77777777" w:rsidR="0065586C" w:rsidRPr="002029AF" w:rsidRDefault="0065586C" w:rsidP="003566F1">
            <w:pPr>
              <w:pStyle w:val="ARfintablebodyright"/>
            </w:pPr>
            <w:r w:rsidRPr="002029AF">
              <w:t>134.4</w:t>
            </w:r>
          </w:p>
        </w:tc>
        <w:tc>
          <w:tcPr>
            <w:tcW w:w="1134" w:type="dxa"/>
            <w:tcBorders>
              <w:top w:val="single" w:sz="4" w:space="0" w:color="A6A6A6"/>
              <w:bottom w:val="single" w:sz="4" w:space="0" w:color="A6A6A6"/>
            </w:tcBorders>
            <w:noWrap/>
            <w:hideMark/>
          </w:tcPr>
          <w:p w14:paraId="46A99D45" w14:textId="77777777" w:rsidR="0065586C" w:rsidRPr="002029AF" w:rsidRDefault="0065586C" w:rsidP="003566F1">
            <w:pPr>
              <w:pStyle w:val="ARfintablebodyright"/>
            </w:pPr>
            <w:r w:rsidRPr="002029AF">
              <w:t>108.4</w:t>
            </w:r>
          </w:p>
        </w:tc>
      </w:tr>
      <w:tr w:rsidR="0065586C" w:rsidRPr="002029AF" w14:paraId="505450B3" w14:textId="77777777" w:rsidTr="003566F1">
        <w:tc>
          <w:tcPr>
            <w:tcW w:w="6518" w:type="dxa"/>
            <w:tcBorders>
              <w:top w:val="single" w:sz="4" w:space="0" w:color="A6A6A6"/>
              <w:bottom w:val="single" w:sz="4" w:space="0" w:color="A6A6A6"/>
            </w:tcBorders>
            <w:hideMark/>
          </w:tcPr>
          <w:p w14:paraId="3BCE3F93" w14:textId="13BF8537" w:rsidR="0065586C" w:rsidRPr="002029AF" w:rsidRDefault="0065586C" w:rsidP="003566F1">
            <w:pPr>
              <w:pStyle w:val="ARfintablebody"/>
            </w:pPr>
            <w:r w:rsidRPr="002029AF">
              <w:t>Investments</w:t>
            </w:r>
            <w:r w:rsidR="000A5329" w:rsidRPr="002029AF">
              <w:t xml:space="preserve"> </w:t>
            </w:r>
            <w:r w:rsidRPr="002029AF">
              <w:t>accounted</w:t>
            </w:r>
            <w:r w:rsidR="000A5329" w:rsidRPr="002029AF">
              <w:t xml:space="preserve"> </w:t>
            </w:r>
            <w:r w:rsidRPr="002029AF">
              <w:t>for</w:t>
            </w:r>
            <w:r w:rsidR="000A5329" w:rsidRPr="002029AF">
              <w:t xml:space="preserve"> </w:t>
            </w:r>
            <w:r w:rsidRPr="002029AF">
              <w:t>using</w:t>
            </w:r>
            <w:r w:rsidR="000A5329" w:rsidRPr="002029AF">
              <w:t xml:space="preserve"> </w:t>
            </w:r>
            <w:r w:rsidRPr="002029AF">
              <w:t>the</w:t>
            </w:r>
            <w:r w:rsidR="000A5329" w:rsidRPr="002029AF">
              <w:t xml:space="preserve"> </w:t>
            </w:r>
            <w:r w:rsidRPr="002029AF">
              <w:t>equity</w:t>
            </w:r>
            <w:r w:rsidR="000A5329" w:rsidRPr="002029AF">
              <w:t xml:space="preserve"> </w:t>
            </w:r>
            <w:r w:rsidRPr="002029AF">
              <w:t>method</w:t>
            </w:r>
          </w:p>
        </w:tc>
        <w:tc>
          <w:tcPr>
            <w:tcW w:w="851" w:type="dxa"/>
            <w:tcBorders>
              <w:top w:val="single" w:sz="4" w:space="0" w:color="A6A6A6"/>
              <w:bottom w:val="single" w:sz="4" w:space="0" w:color="A6A6A6"/>
            </w:tcBorders>
            <w:noWrap/>
            <w:hideMark/>
          </w:tcPr>
          <w:p w14:paraId="7269B28E" w14:textId="77777777" w:rsidR="0065586C" w:rsidRPr="002029AF" w:rsidRDefault="0065586C" w:rsidP="003566F1">
            <w:pPr>
              <w:pStyle w:val="ARfintablebodyright"/>
            </w:pPr>
            <w:r w:rsidRPr="002029AF">
              <w:t>5.3</w:t>
            </w:r>
          </w:p>
        </w:tc>
        <w:tc>
          <w:tcPr>
            <w:tcW w:w="1134" w:type="dxa"/>
            <w:tcBorders>
              <w:top w:val="single" w:sz="4" w:space="0" w:color="A6A6A6"/>
              <w:bottom w:val="single" w:sz="4" w:space="0" w:color="A6A6A6"/>
            </w:tcBorders>
            <w:shd w:val="clear" w:color="auto" w:fill="E7E6E6"/>
            <w:noWrap/>
            <w:hideMark/>
          </w:tcPr>
          <w:p w14:paraId="5BF3EEB7" w14:textId="77777777" w:rsidR="0065586C" w:rsidRPr="002029AF" w:rsidRDefault="0065586C" w:rsidP="003566F1">
            <w:pPr>
              <w:pStyle w:val="ARfintablebodyright"/>
            </w:pPr>
            <w:r w:rsidRPr="002029AF">
              <w:t>–</w:t>
            </w:r>
          </w:p>
        </w:tc>
        <w:tc>
          <w:tcPr>
            <w:tcW w:w="1134" w:type="dxa"/>
            <w:tcBorders>
              <w:top w:val="single" w:sz="4" w:space="0" w:color="A6A6A6"/>
              <w:bottom w:val="single" w:sz="4" w:space="0" w:color="A6A6A6"/>
            </w:tcBorders>
            <w:noWrap/>
            <w:hideMark/>
          </w:tcPr>
          <w:p w14:paraId="3819C982" w14:textId="77777777" w:rsidR="0065586C" w:rsidRPr="002029AF" w:rsidRDefault="0065586C" w:rsidP="003566F1">
            <w:pPr>
              <w:pStyle w:val="ARfintablebodyright"/>
            </w:pPr>
            <w:r w:rsidRPr="002029AF">
              <w:t>35.0</w:t>
            </w:r>
          </w:p>
        </w:tc>
      </w:tr>
      <w:tr w:rsidR="0065586C" w:rsidRPr="002029AF" w14:paraId="5C372770" w14:textId="77777777" w:rsidTr="003566F1">
        <w:tc>
          <w:tcPr>
            <w:tcW w:w="6518" w:type="dxa"/>
            <w:tcBorders>
              <w:top w:val="single" w:sz="4" w:space="0" w:color="A6A6A6"/>
            </w:tcBorders>
            <w:hideMark/>
          </w:tcPr>
          <w:p w14:paraId="4DA8C003" w14:textId="057B0F81" w:rsidR="0065586C" w:rsidRPr="002029AF" w:rsidRDefault="0065586C" w:rsidP="003566F1">
            <w:pPr>
              <w:pStyle w:val="ARfintablebody"/>
            </w:pPr>
            <w:r w:rsidRPr="002029AF">
              <w:t>Other</w:t>
            </w:r>
            <w:r w:rsidR="000A5329" w:rsidRPr="002029AF">
              <w:t xml:space="preserve"> </w:t>
            </w:r>
            <w:r w:rsidRPr="002029AF">
              <w:t>non-financial</w:t>
            </w:r>
            <w:r w:rsidR="000A5329" w:rsidRPr="002029AF">
              <w:t xml:space="preserve"> </w:t>
            </w:r>
            <w:r w:rsidRPr="002029AF">
              <w:t>assets</w:t>
            </w:r>
          </w:p>
        </w:tc>
        <w:tc>
          <w:tcPr>
            <w:tcW w:w="851" w:type="dxa"/>
            <w:tcBorders>
              <w:top w:val="single" w:sz="4" w:space="0" w:color="A6A6A6"/>
            </w:tcBorders>
            <w:noWrap/>
            <w:hideMark/>
          </w:tcPr>
          <w:p w14:paraId="5DDB1CE3" w14:textId="77777777" w:rsidR="0065586C" w:rsidRPr="002029AF" w:rsidRDefault="0065586C" w:rsidP="003566F1">
            <w:pPr>
              <w:pStyle w:val="ARfintablebodyright"/>
            </w:pPr>
            <w:r w:rsidRPr="002029AF">
              <w:t>6.3</w:t>
            </w:r>
          </w:p>
        </w:tc>
        <w:tc>
          <w:tcPr>
            <w:tcW w:w="1134" w:type="dxa"/>
            <w:tcBorders>
              <w:top w:val="single" w:sz="4" w:space="0" w:color="A6A6A6"/>
            </w:tcBorders>
            <w:shd w:val="clear" w:color="auto" w:fill="E7E6E6"/>
            <w:noWrap/>
            <w:hideMark/>
          </w:tcPr>
          <w:p w14:paraId="39F01C96" w14:textId="77777777" w:rsidR="0065586C" w:rsidRPr="002029AF" w:rsidRDefault="0065586C" w:rsidP="003566F1">
            <w:pPr>
              <w:pStyle w:val="ARfintablebodyright"/>
            </w:pPr>
            <w:r w:rsidRPr="002029AF">
              <w:t>286.2</w:t>
            </w:r>
          </w:p>
        </w:tc>
        <w:tc>
          <w:tcPr>
            <w:tcW w:w="1134" w:type="dxa"/>
            <w:tcBorders>
              <w:top w:val="single" w:sz="4" w:space="0" w:color="A6A6A6"/>
            </w:tcBorders>
            <w:noWrap/>
            <w:hideMark/>
          </w:tcPr>
          <w:p w14:paraId="4B858474" w14:textId="77777777" w:rsidR="0065586C" w:rsidRPr="002029AF" w:rsidRDefault="0065586C" w:rsidP="003566F1">
            <w:pPr>
              <w:pStyle w:val="ARfintablebodyright"/>
            </w:pPr>
            <w:r w:rsidRPr="002029AF">
              <w:t>15.1</w:t>
            </w:r>
          </w:p>
        </w:tc>
      </w:tr>
      <w:tr w:rsidR="0065586C" w:rsidRPr="002029AF" w14:paraId="5DBFE90A" w14:textId="77777777" w:rsidTr="003566F1">
        <w:tc>
          <w:tcPr>
            <w:tcW w:w="6518" w:type="dxa"/>
            <w:hideMark/>
          </w:tcPr>
          <w:p w14:paraId="4AF0D099" w14:textId="550CBF15" w:rsidR="0065586C" w:rsidRPr="002029AF" w:rsidRDefault="0065586C" w:rsidP="003566F1">
            <w:pPr>
              <w:pStyle w:val="ARfintablebodybold"/>
            </w:pPr>
            <w:r w:rsidRPr="002029AF">
              <w:t>Total</w:t>
            </w:r>
            <w:r w:rsidR="000A5329" w:rsidRPr="002029AF">
              <w:t xml:space="preserve"> </w:t>
            </w:r>
            <w:r w:rsidRPr="002029AF">
              <w:t>non-financial</w:t>
            </w:r>
            <w:r w:rsidR="000A5329" w:rsidRPr="002029AF">
              <w:t xml:space="preserve"> </w:t>
            </w:r>
            <w:r w:rsidRPr="002029AF">
              <w:t>assets</w:t>
            </w:r>
          </w:p>
        </w:tc>
        <w:tc>
          <w:tcPr>
            <w:tcW w:w="851" w:type="dxa"/>
            <w:hideMark/>
          </w:tcPr>
          <w:p w14:paraId="137F606A" w14:textId="77777777" w:rsidR="0065586C" w:rsidRPr="002029AF" w:rsidRDefault="0065586C" w:rsidP="003566F1">
            <w:pPr>
              <w:pStyle w:val="ARfintablebodyrightbold"/>
            </w:pPr>
          </w:p>
        </w:tc>
        <w:tc>
          <w:tcPr>
            <w:tcW w:w="1134" w:type="dxa"/>
            <w:shd w:val="clear" w:color="auto" w:fill="E7E6E6"/>
            <w:noWrap/>
            <w:hideMark/>
          </w:tcPr>
          <w:p w14:paraId="18A28C64" w14:textId="77777777" w:rsidR="0065586C" w:rsidRPr="002029AF" w:rsidRDefault="0065586C" w:rsidP="003566F1">
            <w:pPr>
              <w:pStyle w:val="ARfintablebodyrightbold"/>
            </w:pPr>
            <w:r w:rsidRPr="002029AF">
              <w:t>29,634.1</w:t>
            </w:r>
          </w:p>
        </w:tc>
        <w:tc>
          <w:tcPr>
            <w:tcW w:w="1134" w:type="dxa"/>
            <w:noWrap/>
            <w:hideMark/>
          </w:tcPr>
          <w:p w14:paraId="2EF08F8D" w14:textId="77777777" w:rsidR="0065586C" w:rsidRPr="002029AF" w:rsidRDefault="0065586C" w:rsidP="003566F1">
            <w:pPr>
              <w:pStyle w:val="ARfintablebodyrightbold"/>
            </w:pPr>
            <w:r w:rsidRPr="002029AF">
              <w:t>29,007.8</w:t>
            </w:r>
          </w:p>
        </w:tc>
      </w:tr>
      <w:tr w:rsidR="0065586C" w:rsidRPr="002029AF" w14:paraId="06FB9717" w14:textId="77777777" w:rsidTr="003566F1">
        <w:tc>
          <w:tcPr>
            <w:tcW w:w="6518" w:type="dxa"/>
            <w:tcBorders>
              <w:bottom w:val="single" w:sz="4" w:space="0" w:color="auto"/>
            </w:tcBorders>
            <w:hideMark/>
          </w:tcPr>
          <w:p w14:paraId="265C1627" w14:textId="0165C06A" w:rsidR="0065586C" w:rsidRPr="002029AF" w:rsidRDefault="0065586C" w:rsidP="003566F1">
            <w:pPr>
              <w:pStyle w:val="ARfintablebodybold"/>
            </w:pPr>
            <w:r w:rsidRPr="002029AF">
              <w:t>Total</w:t>
            </w:r>
            <w:r w:rsidR="000A5329" w:rsidRPr="002029AF">
              <w:t xml:space="preserve"> </w:t>
            </w:r>
            <w:r w:rsidRPr="002029AF">
              <w:t>assets</w:t>
            </w:r>
          </w:p>
        </w:tc>
        <w:tc>
          <w:tcPr>
            <w:tcW w:w="851" w:type="dxa"/>
            <w:tcBorders>
              <w:bottom w:val="single" w:sz="4" w:space="0" w:color="auto"/>
            </w:tcBorders>
            <w:hideMark/>
          </w:tcPr>
          <w:p w14:paraId="35CA90C3" w14:textId="77777777" w:rsidR="0065586C" w:rsidRPr="002029AF" w:rsidRDefault="0065586C" w:rsidP="003566F1">
            <w:pPr>
              <w:pStyle w:val="ARfintablebodyrightbold"/>
            </w:pPr>
          </w:p>
        </w:tc>
        <w:tc>
          <w:tcPr>
            <w:tcW w:w="1134" w:type="dxa"/>
            <w:tcBorders>
              <w:bottom w:val="single" w:sz="4" w:space="0" w:color="auto"/>
            </w:tcBorders>
            <w:shd w:val="clear" w:color="auto" w:fill="E7E6E6"/>
            <w:noWrap/>
            <w:hideMark/>
          </w:tcPr>
          <w:p w14:paraId="37206454" w14:textId="77777777" w:rsidR="0065586C" w:rsidRPr="002029AF" w:rsidRDefault="0065586C" w:rsidP="003566F1">
            <w:pPr>
              <w:pStyle w:val="ARfintablebodyrightbold"/>
            </w:pPr>
            <w:r w:rsidRPr="002029AF">
              <w:t>34,865.9</w:t>
            </w:r>
          </w:p>
        </w:tc>
        <w:tc>
          <w:tcPr>
            <w:tcW w:w="1134" w:type="dxa"/>
            <w:tcBorders>
              <w:bottom w:val="single" w:sz="4" w:space="0" w:color="auto"/>
            </w:tcBorders>
            <w:noWrap/>
            <w:hideMark/>
          </w:tcPr>
          <w:p w14:paraId="70B5BC09" w14:textId="77777777" w:rsidR="0065586C" w:rsidRPr="002029AF" w:rsidRDefault="0065586C" w:rsidP="003566F1">
            <w:pPr>
              <w:pStyle w:val="ARfintablebodyrightbold"/>
            </w:pPr>
            <w:r w:rsidRPr="002029AF">
              <w:t>33,372.5</w:t>
            </w:r>
          </w:p>
        </w:tc>
      </w:tr>
      <w:tr w:rsidR="0065586C" w:rsidRPr="002029AF" w14:paraId="380E42BE" w14:textId="77777777" w:rsidTr="003566F1">
        <w:tc>
          <w:tcPr>
            <w:tcW w:w="9637" w:type="dxa"/>
            <w:gridSpan w:val="4"/>
            <w:tcBorders>
              <w:top w:val="single" w:sz="4" w:space="0" w:color="auto"/>
              <w:bottom w:val="single" w:sz="4" w:space="0" w:color="A6A6A6"/>
            </w:tcBorders>
            <w:hideMark/>
          </w:tcPr>
          <w:p w14:paraId="7CDFFD88" w14:textId="77777777" w:rsidR="0065586C" w:rsidRPr="002029AF" w:rsidRDefault="0065586C" w:rsidP="003566F1">
            <w:pPr>
              <w:pStyle w:val="ARfintablebodybold"/>
            </w:pPr>
            <w:r w:rsidRPr="002029AF">
              <w:t>Liabilities</w:t>
            </w:r>
          </w:p>
        </w:tc>
      </w:tr>
      <w:tr w:rsidR="0065586C" w:rsidRPr="002029AF" w14:paraId="6EB9D4FC" w14:textId="77777777" w:rsidTr="003566F1">
        <w:tc>
          <w:tcPr>
            <w:tcW w:w="6518" w:type="dxa"/>
            <w:tcBorders>
              <w:top w:val="single" w:sz="4" w:space="0" w:color="A6A6A6"/>
              <w:bottom w:val="single" w:sz="4" w:space="0" w:color="A6A6A6"/>
            </w:tcBorders>
            <w:hideMark/>
          </w:tcPr>
          <w:p w14:paraId="16234213" w14:textId="77777777" w:rsidR="0065586C" w:rsidRPr="002029AF" w:rsidRDefault="0065586C" w:rsidP="003566F1">
            <w:pPr>
              <w:pStyle w:val="ARfintablebody"/>
            </w:pPr>
            <w:r w:rsidRPr="002029AF">
              <w:t>Payables</w:t>
            </w:r>
          </w:p>
        </w:tc>
        <w:tc>
          <w:tcPr>
            <w:tcW w:w="851" w:type="dxa"/>
            <w:tcBorders>
              <w:top w:val="single" w:sz="4" w:space="0" w:color="A6A6A6"/>
              <w:bottom w:val="single" w:sz="4" w:space="0" w:color="A6A6A6"/>
            </w:tcBorders>
            <w:noWrap/>
            <w:hideMark/>
          </w:tcPr>
          <w:p w14:paraId="61AA9E94" w14:textId="77777777" w:rsidR="0065586C" w:rsidRPr="002029AF" w:rsidRDefault="0065586C" w:rsidP="003566F1">
            <w:pPr>
              <w:pStyle w:val="ARfintablebodyright"/>
            </w:pPr>
            <w:r w:rsidRPr="002029AF">
              <w:t>6.4</w:t>
            </w:r>
          </w:p>
        </w:tc>
        <w:tc>
          <w:tcPr>
            <w:tcW w:w="1134" w:type="dxa"/>
            <w:tcBorders>
              <w:top w:val="single" w:sz="4" w:space="0" w:color="A6A6A6"/>
              <w:bottom w:val="single" w:sz="4" w:space="0" w:color="A6A6A6"/>
            </w:tcBorders>
            <w:shd w:val="clear" w:color="auto" w:fill="E7E6E6"/>
            <w:noWrap/>
            <w:hideMark/>
          </w:tcPr>
          <w:p w14:paraId="69927F23" w14:textId="77777777" w:rsidR="0065586C" w:rsidRPr="002029AF" w:rsidRDefault="0065586C" w:rsidP="003566F1">
            <w:pPr>
              <w:pStyle w:val="ARfintablebodyright"/>
            </w:pPr>
            <w:r w:rsidRPr="002029AF">
              <w:t>1,847.2</w:t>
            </w:r>
          </w:p>
        </w:tc>
        <w:tc>
          <w:tcPr>
            <w:tcW w:w="1134" w:type="dxa"/>
            <w:tcBorders>
              <w:top w:val="single" w:sz="4" w:space="0" w:color="A6A6A6"/>
              <w:bottom w:val="single" w:sz="4" w:space="0" w:color="A6A6A6"/>
            </w:tcBorders>
            <w:noWrap/>
            <w:hideMark/>
          </w:tcPr>
          <w:p w14:paraId="342446B8" w14:textId="77777777" w:rsidR="0065586C" w:rsidRPr="002029AF" w:rsidRDefault="0065586C" w:rsidP="003566F1">
            <w:pPr>
              <w:pStyle w:val="ARfintablebodyright"/>
            </w:pPr>
            <w:r w:rsidRPr="002029AF">
              <w:t>1,513.7</w:t>
            </w:r>
          </w:p>
        </w:tc>
      </w:tr>
      <w:tr w:rsidR="0065586C" w:rsidRPr="002029AF" w14:paraId="7632B088" w14:textId="77777777" w:rsidTr="003566F1">
        <w:tc>
          <w:tcPr>
            <w:tcW w:w="6518" w:type="dxa"/>
            <w:tcBorders>
              <w:top w:val="single" w:sz="4" w:space="0" w:color="A6A6A6"/>
              <w:bottom w:val="single" w:sz="4" w:space="0" w:color="A6A6A6"/>
            </w:tcBorders>
            <w:hideMark/>
          </w:tcPr>
          <w:p w14:paraId="6A2CC713" w14:textId="77777777" w:rsidR="0065586C" w:rsidRPr="002029AF" w:rsidRDefault="0065586C" w:rsidP="003566F1">
            <w:pPr>
              <w:pStyle w:val="ARfintablebody"/>
            </w:pPr>
            <w:r w:rsidRPr="002029AF">
              <w:t>Borrowings</w:t>
            </w:r>
          </w:p>
        </w:tc>
        <w:tc>
          <w:tcPr>
            <w:tcW w:w="851" w:type="dxa"/>
            <w:tcBorders>
              <w:top w:val="single" w:sz="4" w:space="0" w:color="A6A6A6"/>
              <w:bottom w:val="single" w:sz="4" w:space="0" w:color="A6A6A6"/>
            </w:tcBorders>
            <w:noWrap/>
            <w:hideMark/>
          </w:tcPr>
          <w:p w14:paraId="52DE03BC" w14:textId="77777777" w:rsidR="0065586C" w:rsidRPr="002029AF" w:rsidRDefault="0065586C" w:rsidP="003566F1">
            <w:pPr>
              <w:pStyle w:val="ARfintablebodyright"/>
            </w:pPr>
            <w:r w:rsidRPr="002029AF">
              <w:t>7.1</w:t>
            </w:r>
          </w:p>
        </w:tc>
        <w:tc>
          <w:tcPr>
            <w:tcW w:w="1134" w:type="dxa"/>
            <w:tcBorders>
              <w:top w:val="single" w:sz="4" w:space="0" w:color="A6A6A6"/>
              <w:bottom w:val="single" w:sz="4" w:space="0" w:color="A6A6A6"/>
            </w:tcBorders>
            <w:shd w:val="clear" w:color="auto" w:fill="E7E6E6"/>
            <w:noWrap/>
            <w:hideMark/>
          </w:tcPr>
          <w:p w14:paraId="2A42295A" w14:textId="77777777" w:rsidR="0065586C" w:rsidRPr="002029AF" w:rsidRDefault="0065586C" w:rsidP="003566F1">
            <w:pPr>
              <w:pStyle w:val="ARfintablebodyright"/>
            </w:pPr>
            <w:r w:rsidRPr="002029AF">
              <w:t>472.6</w:t>
            </w:r>
          </w:p>
        </w:tc>
        <w:tc>
          <w:tcPr>
            <w:tcW w:w="1134" w:type="dxa"/>
            <w:tcBorders>
              <w:top w:val="single" w:sz="4" w:space="0" w:color="A6A6A6"/>
              <w:bottom w:val="single" w:sz="4" w:space="0" w:color="A6A6A6"/>
            </w:tcBorders>
            <w:noWrap/>
            <w:hideMark/>
          </w:tcPr>
          <w:p w14:paraId="4739244E" w14:textId="77777777" w:rsidR="0065586C" w:rsidRPr="002029AF" w:rsidRDefault="0065586C" w:rsidP="003566F1">
            <w:pPr>
              <w:pStyle w:val="ARfintablebodyright"/>
            </w:pPr>
            <w:r w:rsidRPr="002029AF">
              <w:t>112.8</w:t>
            </w:r>
          </w:p>
        </w:tc>
      </w:tr>
      <w:tr w:rsidR="0065586C" w:rsidRPr="002029AF" w14:paraId="332788B0" w14:textId="77777777" w:rsidTr="003566F1">
        <w:tc>
          <w:tcPr>
            <w:tcW w:w="6518" w:type="dxa"/>
            <w:tcBorders>
              <w:top w:val="single" w:sz="4" w:space="0" w:color="A6A6A6"/>
              <w:bottom w:val="single" w:sz="4" w:space="0" w:color="A6A6A6"/>
            </w:tcBorders>
            <w:hideMark/>
          </w:tcPr>
          <w:p w14:paraId="11AB3656" w14:textId="29A9E45B" w:rsidR="0065586C" w:rsidRPr="002029AF" w:rsidRDefault="0065586C" w:rsidP="003566F1">
            <w:pPr>
              <w:pStyle w:val="ARfintablebody"/>
            </w:pPr>
            <w:r w:rsidRPr="002029AF">
              <w:t>Employee</w:t>
            </w:r>
            <w:r w:rsidR="000A5329" w:rsidRPr="002029AF">
              <w:t xml:space="preserve"> </w:t>
            </w:r>
            <w:r w:rsidRPr="002029AF">
              <w:t>related</w:t>
            </w:r>
            <w:r w:rsidR="000A5329" w:rsidRPr="002029AF">
              <w:t xml:space="preserve"> </w:t>
            </w:r>
            <w:r w:rsidRPr="002029AF">
              <w:t>provisions</w:t>
            </w:r>
          </w:p>
        </w:tc>
        <w:tc>
          <w:tcPr>
            <w:tcW w:w="851" w:type="dxa"/>
            <w:tcBorders>
              <w:top w:val="single" w:sz="4" w:space="0" w:color="A6A6A6"/>
              <w:bottom w:val="single" w:sz="4" w:space="0" w:color="A6A6A6"/>
            </w:tcBorders>
            <w:noWrap/>
            <w:hideMark/>
          </w:tcPr>
          <w:p w14:paraId="70504E7E" w14:textId="77777777" w:rsidR="0065586C" w:rsidRPr="002029AF" w:rsidRDefault="0065586C" w:rsidP="003566F1">
            <w:pPr>
              <w:pStyle w:val="ARfintablebodyright"/>
            </w:pPr>
            <w:r w:rsidRPr="002029AF">
              <w:t>3.1.1(b)</w:t>
            </w:r>
          </w:p>
        </w:tc>
        <w:tc>
          <w:tcPr>
            <w:tcW w:w="1134" w:type="dxa"/>
            <w:tcBorders>
              <w:top w:val="single" w:sz="4" w:space="0" w:color="A6A6A6"/>
              <w:bottom w:val="single" w:sz="4" w:space="0" w:color="A6A6A6"/>
            </w:tcBorders>
            <w:shd w:val="clear" w:color="auto" w:fill="E7E6E6"/>
            <w:noWrap/>
            <w:hideMark/>
          </w:tcPr>
          <w:p w14:paraId="53E01C07" w14:textId="77777777" w:rsidR="0065586C" w:rsidRPr="002029AF" w:rsidRDefault="0065586C" w:rsidP="003566F1">
            <w:pPr>
              <w:pStyle w:val="ARfintablebodyright"/>
            </w:pPr>
            <w:r w:rsidRPr="002029AF">
              <w:t>484.0</w:t>
            </w:r>
          </w:p>
        </w:tc>
        <w:tc>
          <w:tcPr>
            <w:tcW w:w="1134" w:type="dxa"/>
            <w:tcBorders>
              <w:top w:val="single" w:sz="4" w:space="0" w:color="A6A6A6"/>
              <w:bottom w:val="single" w:sz="4" w:space="0" w:color="A6A6A6"/>
            </w:tcBorders>
            <w:noWrap/>
            <w:hideMark/>
          </w:tcPr>
          <w:p w14:paraId="57A013E1" w14:textId="77777777" w:rsidR="0065586C" w:rsidRPr="002029AF" w:rsidRDefault="0065586C" w:rsidP="003566F1">
            <w:pPr>
              <w:pStyle w:val="ARfintablebodyright"/>
            </w:pPr>
            <w:r w:rsidRPr="002029AF">
              <w:t>455.0</w:t>
            </w:r>
          </w:p>
        </w:tc>
      </w:tr>
      <w:tr w:rsidR="0065586C" w:rsidRPr="002029AF" w14:paraId="0BED76E9" w14:textId="77777777" w:rsidTr="003566F1">
        <w:tc>
          <w:tcPr>
            <w:tcW w:w="6518" w:type="dxa"/>
            <w:tcBorders>
              <w:top w:val="single" w:sz="4" w:space="0" w:color="A6A6A6"/>
            </w:tcBorders>
            <w:hideMark/>
          </w:tcPr>
          <w:p w14:paraId="0EB39BA3" w14:textId="1E1D0533" w:rsidR="0065586C" w:rsidRPr="002029AF" w:rsidRDefault="0065586C" w:rsidP="003566F1">
            <w:pPr>
              <w:pStyle w:val="ARfintablebody"/>
            </w:pPr>
            <w:r w:rsidRPr="002029AF">
              <w:t>Other</w:t>
            </w:r>
            <w:r w:rsidR="000A5329" w:rsidRPr="002029AF">
              <w:t xml:space="preserve"> </w:t>
            </w:r>
            <w:r w:rsidRPr="002029AF">
              <w:t>provisions</w:t>
            </w:r>
          </w:p>
        </w:tc>
        <w:tc>
          <w:tcPr>
            <w:tcW w:w="851" w:type="dxa"/>
            <w:tcBorders>
              <w:top w:val="single" w:sz="4" w:space="0" w:color="A6A6A6"/>
            </w:tcBorders>
            <w:noWrap/>
            <w:hideMark/>
          </w:tcPr>
          <w:p w14:paraId="1B666B92" w14:textId="77777777" w:rsidR="0065586C" w:rsidRPr="002029AF" w:rsidRDefault="0065586C" w:rsidP="003566F1">
            <w:pPr>
              <w:pStyle w:val="ARfintablebodyright"/>
            </w:pPr>
            <w:r w:rsidRPr="002029AF">
              <w:t>6.5</w:t>
            </w:r>
          </w:p>
        </w:tc>
        <w:tc>
          <w:tcPr>
            <w:tcW w:w="1134" w:type="dxa"/>
            <w:tcBorders>
              <w:top w:val="single" w:sz="4" w:space="0" w:color="A6A6A6"/>
            </w:tcBorders>
            <w:shd w:val="clear" w:color="auto" w:fill="E7E6E6"/>
            <w:noWrap/>
            <w:hideMark/>
          </w:tcPr>
          <w:p w14:paraId="43399216" w14:textId="77777777" w:rsidR="0065586C" w:rsidRPr="002029AF" w:rsidRDefault="0065586C" w:rsidP="003566F1">
            <w:pPr>
              <w:pStyle w:val="ARfintablebodyright"/>
            </w:pPr>
            <w:r w:rsidRPr="002029AF">
              <w:t>124.9</w:t>
            </w:r>
          </w:p>
        </w:tc>
        <w:tc>
          <w:tcPr>
            <w:tcW w:w="1134" w:type="dxa"/>
            <w:tcBorders>
              <w:top w:val="single" w:sz="4" w:space="0" w:color="A6A6A6"/>
            </w:tcBorders>
            <w:noWrap/>
            <w:hideMark/>
          </w:tcPr>
          <w:p w14:paraId="12A62BDD" w14:textId="77777777" w:rsidR="0065586C" w:rsidRPr="002029AF" w:rsidRDefault="0065586C" w:rsidP="003566F1">
            <w:pPr>
              <w:pStyle w:val="ARfintablebodyright"/>
            </w:pPr>
            <w:r w:rsidRPr="002029AF">
              <w:t>95.9</w:t>
            </w:r>
          </w:p>
        </w:tc>
      </w:tr>
      <w:tr w:rsidR="0065586C" w:rsidRPr="002029AF" w14:paraId="1F47FBDD" w14:textId="77777777" w:rsidTr="003566F1">
        <w:tc>
          <w:tcPr>
            <w:tcW w:w="6518" w:type="dxa"/>
            <w:hideMark/>
          </w:tcPr>
          <w:p w14:paraId="2FF76FE9" w14:textId="45F1BAE5" w:rsidR="0065586C" w:rsidRPr="002029AF" w:rsidRDefault="0065586C" w:rsidP="003566F1">
            <w:pPr>
              <w:pStyle w:val="ARfintablebodybold"/>
            </w:pPr>
            <w:r w:rsidRPr="002029AF">
              <w:t>Total</w:t>
            </w:r>
            <w:r w:rsidR="000A5329" w:rsidRPr="002029AF">
              <w:t xml:space="preserve"> </w:t>
            </w:r>
            <w:r w:rsidRPr="002029AF">
              <w:t>liabilities</w:t>
            </w:r>
          </w:p>
        </w:tc>
        <w:tc>
          <w:tcPr>
            <w:tcW w:w="851" w:type="dxa"/>
            <w:hideMark/>
          </w:tcPr>
          <w:p w14:paraId="428CF804" w14:textId="77777777" w:rsidR="0065586C" w:rsidRPr="002029AF" w:rsidRDefault="0065586C" w:rsidP="003566F1">
            <w:pPr>
              <w:pStyle w:val="ARfintablebodyrightbold"/>
            </w:pPr>
          </w:p>
        </w:tc>
        <w:tc>
          <w:tcPr>
            <w:tcW w:w="1134" w:type="dxa"/>
            <w:shd w:val="clear" w:color="auto" w:fill="E7E6E6"/>
            <w:noWrap/>
            <w:hideMark/>
          </w:tcPr>
          <w:p w14:paraId="35137809" w14:textId="77777777" w:rsidR="0065586C" w:rsidRPr="002029AF" w:rsidRDefault="0065586C" w:rsidP="003566F1">
            <w:pPr>
              <w:pStyle w:val="ARfintablebodyrightbold"/>
            </w:pPr>
            <w:r w:rsidRPr="002029AF">
              <w:t>2,928.7</w:t>
            </w:r>
          </w:p>
        </w:tc>
        <w:tc>
          <w:tcPr>
            <w:tcW w:w="1134" w:type="dxa"/>
            <w:noWrap/>
            <w:hideMark/>
          </w:tcPr>
          <w:p w14:paraId="46F0CF28" w14:textId="77777777" w:rsidR="0065586C" w:rsidRPr="002029AF" w:rsidRDefault="0065586C" w:rsidP="003566F1">
            <w:pPr>
              <w:pStyle w:val="ARfintablebodyrightbold"/>
            </w:pPr>
            <w:r w:rsidRPr="002029AF">
              <w:t>2,177.4</w:t>
            </w:r>
          </w:p>
        </w:tc>
      </w:tr>
      <w:tr w:rsidR="0065586C" w:rsidRPr="002029AF" w14:paraId="0A4A2653" w14:textId="77777777" w:rsidTr="003566F1">
        <w:tc>
          <w:tcPr>
            <w:tcW w:w="6518" w:type="dxa"/>
            <w:tcBorders>
              <w:bottom w:val="single" w:sz="4" w:space="0" w:color="auto"/>
            </w:tcBorders>
            <w:hideMark/>
          </w:tcPr>
          <w:p w14:paraId="279607F5" w14:textId="208D8627" w:rsidR="0065586C" w:rsidRPr="002029AF" w:rsidRDefault="0065586C" w:rsidP="003566F1">
            <w:pPr>
              <w:pStyle w:val="ARfintablebodybold"/>
            </w:pPr>
            <w:r w:rsidRPr="002029AF">
              <w:t>Net</w:t>
            </w:r>
            <w:r w:rsidR="000A5329" w:rsidRPr="002029AF">
              <w:t xml:space="preserve"> </w:t>
            </w:r>
            <w:r w:rsidRPr="002029AF">
              <w:t>assets</w:t>
            </w:r>
          </w:p>
        </w:tc>
        <w:tc>
          <w:tcPr>
            <w:tcW w:w="851" w:type="dxa"/>
            <w:tcBorders>
              <w:bottom w:val="single" w:sz="4" w:space="0" w:color="auto"/>
            </w:tcBorders>
            <w:hideMark/>
          </w:tcPr>
          <w:p w14:paraId="41BBFE19" w14:textId="77777777" w:rsidR="0065586C" w:rsidRPr="002029AF" w:rsidRDefault="0065586C" w:rsidP="003566F1">
            <w:pPr>
              <w:pStyle w:val="ARfintablebodyrightbold"/>
            </w:pPr>
          </w:p>
        </w:tc>
        <w:tc>
          <w:tcPr>
            <w:tcW w:w="1134" w:type="dxa"/>
            <w:tcBorders>
              <w:bottom w:val="single" w:sz="4" w:space="0" w:color="auto"/>
            </w:tcBorders>
            <w:shd w:val="clear" w:color="auto" w:fill="E7E6E6"/>
            <w:noWrap/>
            <w:hideMark/>
          </w:tcPr>
          <w:p w14:paraId="640FD27B" w14:textId="77777777" w:rsidR="0065586C" w:rsidRPr="002029AF" w:rsidRDefault="0065586C" w:rsidP="003566F1">
            <w:pPr>
              <w:pStyle w:val="ARfintablebodyrightbold"/>
            </w:pPr>
            <w:r w:rsidRPr="002029AF">
              <w:t>31,937.2</w:t>
            </w:r>
          </w:p>
        </w:tc>
        <w:tc>
          <w:tcPr>
            <w:tcW w:w="1134" w:type="dxa"/>
            <w:tcBorders>
              <w:bottom w:val="single" w:sz="4" w:space="0" w:color="auto"/>
            </w:tcBorders>
            <w:noWrap/>
            <w:hideMark/>
          </w:tcPr>
          <w:p w14:paraId="4E0AAAE0" w14:textId="77777777" w:rsidR="0065586C" w:rsidRPr="002029AF" w:rsidRDefault="0065586C" w:rsidP="003566F1">
            <w:pPr>
              <w:pStyle w:val="ARfintablebodyrightbold"/>
            </w:pPr>
            <w:r w:rsidRPr="002029AF">
              <w:t>31,195.0</w:t>
            </w:r>
          </w:p>
        </w:tc>
      </w:tr>
      <w:tr w:rsidR="0065586C" w:rsidRPr="002029AF" w14:paraId="5B2E9A1D" w14:textId="77777777" w:rsidTr="003566F1">
        <w:tc>
          <w:tcPr>
            <w:tcW w:w="9637" w:type="dxa"/>
            <w:gridSpan w:val="4"/>
            <w:tcBorders>
              <w:top w:val="single" w:sz="4" w:space="0" w:color="auto"/>
              <w:bottom w:val="single" w:sz="4" w:space="0" w:color="A6A6A6"/>
            </w:tcBorders>
            <w:hideMark/>
          </w:tcPr>
          <w:p w14:paraId="59ACF48D" w14:textId="77777777" w:rsidR="0065586C" w:rsidRPr="002029AF" w:rsidRDefault="0065586C" w:rsidP="003566F1">
            <w:pPr>
              <w:pStyle w:val="ARfintablebodybold"/>
            </w:pPr>
            <w:r w:rsidRPr="002029AF">
              <w:t>Equity</w:t>
            </w:r>
          </w:p>
        </w:tc>
      </w:tr>
      <w:tr w:rsidR="0065586C" w:rsidRPr="002029AF" w14:paraId="06D7B6FF" w14:textId="77777777" w:rsidTr="003566F1">
        <w:tc>
          <w:tcPr>
            <w:tcW w:w="6518" w:type="dxa"/>
            <w:tcBorders>
              <w:top w:val="single" w:sz="4" w:space="0" w:color="A6A6A6"/>
              <w:bottom w:val="single" w:sz="4" w:space="0" w:color="A6A6A6"/>
            </w:tcBorders>
            <w:hideMark/>
          </w:tcPr>
          <w:p w14:paraId="25DB4306" w14:textId="38DAA63B" w:rsidR="0065586C" w:rsidRPr="002029AF" w:rsidRDefault="0065586C" w:rsidP="003566F1">
            <w:pPr>
              <w:pStyle w:val="ARfintablebody"/>
            </w:pPr>
            <w:r w:rsidRPr="002029AF">
              <w:t>Accumulated</w:t>
            </w:r>
            <w:r w:rsidR="000A5329" w:rsidRPr="002029AF">
              <w:t xml:space="preserve"> </w:t>
            </w:r>
            <w:r w:rsidRPr="002029AF">
              <w:t>surplus/(deficit)</w:t>
            </w:r>
          </w:p>
        </w:tc>
        <w:tc>
          <w:tcPr>
            <w:tcW w:w="851" w:type="dxa"/>
            <w:tcBorders>
              <w:top w:val="single" w:sz="4" w:space="0" w:color="A6A6A6"/>
              <w:bottom w:val="single" w:sz="4" w:space="0" w:color="A6A6A6"/>
            </w:tcBorders>
            <w:noWrap/>
            <w:hideMark/>
          </w:tcPr>
          <w:p w14:paraId="67A6F3A7" w14:textId="77777777" w:rsidR="0065586C" w:rsidRPr="002029AF" w:rsidRDefault="0065586C" w:rsidP="003566F1">
            <w:pPr>
              <w:pStyle w:val="ARfintablebodyright"/>
            </w:pPr>
          </w:p>
        </w:tc>
        <w:tc>
          <w:tcPr>
            <w:tcW w:w="1134" w:type="dxa"/>
            <w:tcBorders>
              <w:top w:val="single" w:sz="4" w:space="0" w:color="A6A6A6"/>
              <w:bottom w:val="single" w:sz="4" w:space="0" w:color="A6A6A6"/>
            </w:tcBorders>
            <w:shd w:val="clear" w:color="auto" w:fill="E7E6E6"/>
            <w:noWrap/>
            <w:hideMark/>
          </w:tcPr>
          <w:p w14:paraId="0ADE2989" w14:textId="77777777" w:rsidR="0065586C" w:rsidRPr="002029AF" w:rsidRDefault="0065586C" w:rsidP="003566F1">
            <w:pPr>
              <w:pStyle w:val="ARfintablebodyright"/>
            </w:pPr>
            <w:r w:rsidRPr="002029AF">
              <w:t>2,145.0</w:t>
            </w:r>
          </w:p>
        </w:tc>
        <w:tc>
          <w:tcPr>
            <w:tcW w:w="1134" w:type="dxa"/>
            <w:tcBorders>
              <w:top w:val="single" w:sz="4" w:space="0" w:color="A6A6A6"/>
              <w:bottom w:val="single" w:sz="4" w:space="0" w:color="A6A6A6"/>
            </w:tcBorders>
            <w:noWrap/>
            <w:hideMark/>
          </w:tcPr>
          <w:p w14:paraId="07EC1469" w14:textId="77777777" w:rsidR="0065586C" w:rsidRPr="002029AF" w:rsidRDefault="0065586C" w:rsidP="003566F1">
            <w:pPr>
              <w:pStyle w:val="ARfintablebodyright"/>
            </w:pPr>
            <w:r w:rsidRPr="002029AF">
              <w:t>1,599.3</w:t>
            </w:r>
          </w:p>
        </w:tc>
      </w:tr>
      <w:tr w:rsidR="0065586C" w:rsidRPr="002029AF" w14:paraId="4A04A5DD" w14:textId="77777777" w:rsidTr="003566F1">
        <w:tc>
          <w:tcPr>
            <w:tcW w:w="6518" w:type="dxa"/>
            <w:tcBorders>
              <w:top w:val="single" w:sz="4" w:space="0" w:color="A6A6A6"/>
              <w:bottom w:val="single" w:sz="4" w:space="0" w:color="A6A6A6"/>
            </w:tcBorders>
            <w:hideMark/>
          </w:tcPr>
          <w:p w14:paraId="1C94069E" w14:textId="64692511" w:rsidR="0065586C" w:rsidRPr="002029AF" w:rsidRDefault="0065586C" w:rsidP="003566F1">
            <w:pPr>
              <w:pStyle w:val="ARfintablebody"/>
            </w:pPr>
            <w:r w:rsidRPr="002029AF">
              <w:t>Physical</w:t>
            </w:r>
            <w:r w:rsidR="000A5329" w:rsidRPr="002029AF">
              <w:t xml:space="preserve"> </w:t>
            </w:r>
            <w:r w:rsidRPr="002029AF">
              <w:t>asset</w:t>
            </w:r>
            <w:r w:rsidR="000A5329" w:rsidRPr="002029AF">
              <w:t xml:space="preserve"> </w:t>
            </w:r>
            <w:r w:rsidRPr="002029AF">
              <w:t>revaluations</w:t>
            </w:r>
            <w:r w:rsidR="000A5329" w:rsidRPr="002029AF">
              <w:t xml:space="preserve"> </w:t>
            </w:r>
            <w:r w:rsidRPr="002029AF">
              <w:t>surplus</w:t>
            </w:r>
          </w:p>
        </w:tc>
        <w:tc>
          <w:tcPr>
            <w:tcW w:w="851" w:type="dxa"/>
            <w:tcBorders>
              <w:top w:val="single" w:sz="4" w:space="0" w:color="A6A6A6"/>
              <w:bottom w:val="single" w:sz="4" w:space="0" w:color="A6A6A6"/>
            </w:tcBorders>
            <w:noWrap/>
            <w:hideMark/>
          </w:tcPr>
          <w:p w14:paraId="75CE94CA" w14:textId="77777777" w:rsidR="0065586C" w:rsidRPr="002029AF" w:rsidRDefault="0065586C" w:rsidP="003566F1">
            <w:pPr>
              <w:pStyle w:val="ARfintablebodyright"/>
            </w:pPr>
            <w:r w:rsidRPr="002029AF">
              <w:t>9.4</w:t>
            </w:r>
          </w:p>
        </w:tc>
        <w:tc>
          <w:tcPr>
            <w:tcW w:w="1134" w:type="dxa"/>
            <w:tcBorders>
              <w:top w:val="single" w:sz="4" w:space="0" w:color="A6A6A6"/>
              <w:bottom w:val="single" w:sz="4" w:space="0" w:color="A6A6A6"/>
            </w:tcBorders>
            <w:shd w:val="clear" w:color="auto" w:fill="E7E6E6"/>
            <w:noWrap/>
            <w:hideMark/>
          </w:tcPr>
          <w:p w14:paraId="112F0ED5" w14:textId="77777777" w:rsidR="0065586C" w:rsidRPr="002029AF" w:rsidRDefault="0065586C" w:rsidP="003566F1">
            <w:pPr>
              <w:pStyle w:val="ARfintablebodyright"/>
            </w:pPr>
            <w:r w:rsidRPr="002029AF">
              <w:t>7,377.2</w:t>
            </w:r>
          </w:p>
        </w:tc>
        <w:tc>
          <w:tcPr>
            <w:tcW w:w="1134" w:type="dxa"/>
            <w:tcBorders>
              <w:top w:val="single" w:sz="4" w:space="0" w:color="A6A6A6"/>
              <w:bottom w:val="single" w:sz="4" w:space="0" w:color="A6A6A6"/>
            </w:tcBorders>
            <w:noWrap/>
            <w:hideMark/>
          </w:tcPr>
          <w:p w14:paraId="5558C82F" w14:textId="77777777" w:rsidR="0065586C" w:rsidRPr="002029AF" w:rsidRDefault="0065586C" w:rsidP="003566F1">
            <w:pPr>
              <w:pStyle w:val="ARfintablebodyright"/>
            </w:pPr>
            <w:r w:rsidRPr="002029AF">
              <w:t>7,396.4</w:t>
            </w:r>
          </w:p>
        </w:tc>
      </w:tr>
      <w:tr w:rsidR="0065586C" w:rsidRPr="002029AF" w14:paraId="1922295B" w14:textId="77777777" w:rsidTr="003566F1">
        <w:tc>
          <w:tcPr>
            <w:tcW w:w="6518" w:type="dxa"/>
            <w:tcBorders>
              <w:top w:val="single" w:sz="4" w:space="0" w:color="A6A6A6"/>
            </w:tcBorders>
            <w:hideMark/>
          </w:tcPr>
          <w:p w14:paraId="2F5BF39E" w14:textId="4B71BD12" w:rsidR="0065586C" w:rsidRPr="002029AF" w:rsidRDefault="0065586C" w:rsidP="003566F1">
            <w:pPr>
              <w:pStyle w:val="ARfintablebody"/>
            </w:pPr>
            <w:r w:rsidRPr="002029AF">
              <w:t>Contributed</w:t>
            </w:r>
            <w:r w:rsidR="000A5329" w:rsidRPr="002029AF">
              <w:t xml:space="preserve"> </w:t>
            </w:r>
            <w:r w:rsidRPr="002029AF">
              <w:t>capital</w:t>
            </w:r>
          </w:p>
        </w:tc>
        <w:tc>
          <w:tcPr>
            <w:tcW w:w="851" w:type="dxa"/>
            <w:tcBorders>
              <w:top w:val="single" w:sz="4" w:space="0" w:color="A6A6A6"/>
            </w:tcBorders>
            <w:noWrap/>
            <w:hideMark/>
          </w:tcPr>
          <w:p w14:paraId="759DB030" w14:textId="77777777" w:rsidR="0065586C" w:rsidRPr="002029AF" w:rsidRDefault="0065586C" w:rsidP="003566F1">
            <w:pPr>
              <w:pStyle w:val="ARfintablebodyright"/>
            </w:pPr>
          </w:p>
        </w:tc>
        <w:tc>
          <w:tcPr>
            <w:tcW w:w="1134" w:type="dxa"/>
            <w:tcBorders>
              <w:top w:val="single" w:sz="4" w:space="0" w:color="A6A6A6"/>
            </w:tcBorders>
            <w:shd w:val="clear" w:color="auto" w:fill="E7E6E6"/>
            <w:noWrap/>
            <w:hideMark/>
          </w:tcPr>
          <w:p w14:paraId="3D7D1FB1" w14:textId="77777777" w:rsidR="0065586C" w:rsidRPr="002029AF" w:rsidRDefault="0065586C" w:rsidP="003566F1">
            <w:pPr>
              <w:pStyle w:val="ARfintablebodyright"/>
            </w:pPr>
            <w:r w:rsidRPr="002029AF">
              <w:t>22,415.0</w:t>
            </w:r>
          </w:p>
        </w:tc>
        <w:tc>
          <w:tcPr>
            <w:tcW w:w="1134" w:type="dxa"/>
            <w:tcBorders>
              <w:top w:val="single" w:sz="4" w:space="0" w:color="A6A6A6"/>
            </w:tcBorders>
            <w:noWrap/>
            <w:hideMark/>
          </w:tcPr>
          <w:p w14:paraId="0435A5B1" w14:textId="77777777" w:rsidR="0065586C" w:rsidRPr="002029AF" w:rsidRDefault="0065586C" w:rsidP="003566F1">
            <w:pPr>
              <w:pStyle w:val="ARfintablebodyright"/>
            </w:pPr>
            <w:r w:rsidRPr="002029AF">
              <w:t>22,199.3</w:t>
            </w:r>
          </w:p>
        </w:tc>
      </w:tr>
      <w:tr w:rsidR="0065586C" w:rsidRPr="002029AF" w14:paraId="7412BC03" w14:textId="77777777" w:rsidTr="003566F1">
        <w:tc>
          <w:tcPr>
            <w:tcW w:w="6518" w:type="dxa"/>
            <w:hideMark/>
          </w:tcPr>
          <w:p w14:paraId="4E99486C" w14:textId="79117CDE" w:rsidR="0065586C" w:rsidRPr="002029AF" w:rsidRDefault="0065586C" w:rsidP="003566F1">
            <w:pPr>
              <w:pStyle w:val="ARfintablebodybold"/>
            </w:pPr>
            <w:r w:rsidRPr="002029AF">
              <w:t>Net</w:t>
            </w:r>
            <w:r w:rsidR="000A5329" w:rsidRPr="002029AF">
              <w:t xml:space="preserve"> </w:t>
            </w:r>
            <w:r w:rsidRPr="002029AF">
              <w:t>worth</w:t>
            </w:r>
          </w:p>
        </w:tc>
        <w:tc>
          <w:tcPr>
            <w:tcW w:w="851" w:type="dxa"/>
            <w:hideMark/>
          </w:tcPr>
          <w:p w14:paraId="697C3232" w14:textId="77777777" w:rsidR="0065586C" w:rsidRPr="002029AF" w:rsidRDefault="0065586C" w:rsidP="003566F1">
            <w:pPr>
              <w:pStyle w:val="ARfintablebodyrightbold"/>
            </w:pPr>
          </w:p>
        </w:tc>
        <w:tc>
          <w:tcPr>
            <w:tcW w:w="1134" w:type="dxa"/>
            <w:shd w:val="clear" w:color="auto" w:fill="E7E6E6"/>
            <w:noWrap/>
            <w:hideMark/>
          </w:tcPr>
          <w:p w14:paraId="5C9E95A2" w14:textId="77777777" w:rsidR="0065586C" w:rsidRPr="002029AF" w:rsidRDefault="0065586C" w:rsidP="003566F1">
            <w:pPr>
              <w:pStyle w:val="ARfintablebodyrightbold"/>
            </w:pPr>
            <w:r w:rsidRPr="002029AF">
              <w:t>31,937.2</w:t>
            </w:r>
          </w:p>
        </w:tc>
        <w:tc>
          <w:tcPr>
            <w:tcW w:w="1134" w:type="dxa"/>
            <w:noWrap/>
            <w:hideMark/>
          </w:tcPr>
          <w:p w14:paraId="4ADF5027" w14:textId="77777777" w:rsidR="0065586C" w:rsidRPr="002029AF" w:rsidRDefault="0065586C" w:rsidP="003566F1">
            <w:pPr>
              <w:pStyle w:val="ARfintablebodyrightbold"/>
            </w:pPr>
            <w:r w:rsidRPr="002029AF">
              <w:t>31,195.0</w:t>
            </w:r>
          </w:p>
        </w:tc>
      </w:tr>
    </w:tbl>
    <w:p w14:paraId="0DC3A2BF" w14:textId="132ED0AF" w:rsidR="0065586C" w:rsidRPr="002029AF" w:rsidRDefault="0065586C" w:rsidP="003566F1">
      <w:pPr>
        <w:pStyle w:val="ARfintablefootnote"/>
        <w:rPr>
          <w:lang w:eastAsia="en-AU"/>
        </w:rPr>
      </w:pPr>
      <w:r w:rsidRPr="002029AF">
        <w:rPr>
          <w:lang w:eastAsia="en-AU"/>
        </w:rPr>
        <w:t>The</w:t>
      </w:r>
      <w:r w:rsidR="000A5329" w:rsidRPr="002029AF">
        <w:rPr>
          <w:lang w:eastAsia="en-AU"/>
        </w:rPr>
        <w:t xml:space="preserve"> </w:t>
      </w:r>
      <w:r w:rsidRPr="002029AF">
        <w:rPr>
          <w:lang w:eastAsia="en-AU"/>
        </w:rPr>
        <w:t>balance</w:t>
      </w:r>
      <w:r w:rsidR="000A5329" w:rsidRPr="002029AF">
        <w:rPr>
          <w:lang w:eastAsia="en-AU"/>
        </w:rPr>
        <w:t xml:space="preserve"> </w:t>
      </w:r>
      <w:r w:rsidRPr="002029AF">
        <w:rPr>
          <w:lang w:eastAsia="en-AU"/>
        </w:rPr>
        <w:t>sheet</w:t>
      </w:r>
      <w:r w:rsidR="000A5329" w:rsidRPr="002029AF">
        <w:rPr>
          <w:lang w:eastAsia="en-AU"/>
        </w:rPr>
        <w:t xml:space="preserve"> </w:t>
      </w:r>
      <w:r w:rsidRPr="002029AF">
        <w:rPr>
          <w:lang w:eastAsia="en-AU"/>
        </w:rPr>
        <w:t>should</w:t>
      </w:r>
      <w:r w:rsidR="000A5329" w:rsidRPr="002029AF">
        <w:rPr>
          <w:lang w:eastAsia="en-AU"/>
        </w:rPr>
        <w:t xml:space="preserve"> </w:t>
      </w:r>
      <w:r w:rsidRPr="002029AF">
        <w:rPr>
          <w:lang w:eastAsia="en-AU"/>
        </w:rPr>
        <w:t>be</w:t>
      </w:r>
      <w:r w:rsidR="000A5329" w:rsidRPr="002029AF">
        <w:rPr>
          <w:lang w:eastAsia="en-AU"/>
        </w:rPr>
        <w:t xml:space="preserve"> </w:t>
      </w:r>
      <w:r w:rsidRPr="002029AF">
        <w:rPr>
          <w:lang w:eastAsia="en-AU"/>
        </w:rPr>
        <w:t>read</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conjunction</w:t>
      </w:r>
      <w:r w:rsidR="000A5329" w:rsidRPr="002029AF">
        <w:rPr>
          <w:lang w:eastAsia="en-AU"/>
        </w:rPr>
        <w:t xml:space="preserve"> </w:t>
      </w:r>
      <w:r w:rsidRPr="002029AF">
        <w:rPr>
          <w:lang w:eastAsia="en-AU"/>
        </w:rPr>
        <w:t>with</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notes</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financial</w:t>
      </w:r>
      <w:r w:rsidR="000A5329" w:rsidRPr="002029AF">
        <w:rPr>
          <w:lang w:eastAsia="en-AU"/>
        </w:rPr>
        <w:t xml:space="preserve"> </w:t>
      </w:r>
      <w:r w:rsidRPr="002029AF">
        <w:rPr>
          <w:lang w:eastAsia="en-AU"/>
        </w:rPr>
        <w:t>statements.</w:t>
      </w:r>
    </w:p>
    <w:p w14:paraId="25474358" w14:textId="77777777" w:rsidR="0065586C" w:rsidRPr="002029AF" w:rsidRDefault="0065586C" w:rsidP="003566F1">
      <w:pPr>
        <w:pStyle w:val="ARbody"/>
      </w:pPr>
      <w:r w:rsidRPr="002029AF">
        <w:br w:type="page"/>
      </w:r>
    </w:p>
    <w:p w14:paraId="39EF4529" w14:textId="622996D1" w:rsidR="0065586C" w:rsidRPr="002029AF" w:rsidRDefault="0065586C" w:rsidP="003566F1">
      <w:pPr>
        <w:pStyle w:val="Heading2"/>
      </w:pPr>
      <w:bookmarkStart w:id="255" w:name="_Ref52264092"/>
      <w:bookmarkStart w:id="256" w:name="_Ref52455011"/>
      <w:bookmarkStart w:id="257" w:name="_Toc54690808"/>
      <w:r w:rsidRPr="002029AF">
        <w:lastRenderedPageBreak/>
        <w:t>Cash</w:t>
      </w:r>
      <w:r w:rsidR="000A5329" w:rsidRPr="002029AF">
        <w:t xml:space="preserve"> </w:t>
      </w:r>
      <w:r w:rsidRPr="002029AF">
        <w:t>flow</w:t>
      </w:r>
      <w:r w:rsidR="000A5329" w:rsidRPr="002029AF">
        <w:t xml:space="preserve"> </w:t>
      </w:r>
      <w:r w:rsidRPr="002029AF">
        <w:t>statement</w:t>
      </w:r>
      <w:r w:rsidR="000A5329" w:rsidRPr="002029AF">
        <w:t xml:space="preserve"> </w:t>
      </w:r>
      <w:r w:rsidRPr="002029AF">
        <w:t>for</w:t>
      </w:r>
      <w:r w:rsidR="000A5329" w:rsidRPr="002029AF">
        <w:t xml:space="preserve"> </w:t>
      </w:r>
      <w:r w:rsidRPr="002029AF">
        <w:t>the</w:t>
      </w:r>
      <w:r w:rsidR="000A5329" w:rsidRPr="002029AF">
        <w:t xml:space="preserve"> </w:t>
      </w:r>
      <w:r w:rsidRPr="002029AF">
        <w:t>financial</w:t>
      </w:r>
      <w:r w:rsidR="000A5329" w:rsidRPr="002029AF">
        <w:t xml:space="preserve"> </w:t>
      </w:r>
      <w:r w:rsidRPr="002029AF">
        <w:t>year</w:t>
      </w:r>
      <w:r w:rsidR="000A5329" w:rsidRPr="002029AF">
        <w:t xml:space="preserve"> </w:t>
      </w:r>
      <w:r w:rsidRPr="002029AF">
        <w:t>ended</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bookmarkEnd w:id="255"/>
      <w:bookmarkEnd w:id="256"/>
      <w:bookmarkEnd w:id="257"/>
    </w:p>
    <w:tbl>
      <w:tblPr>
        <w:tblStyle w:val="TableGrid"/>
        <w:tblW w:w="9637" w:type="dxa"/>
        <w:tblLayout w:type="fixed"/>
        <w:tblLook w:val="06A0" w:firstRow="1" w:lastRow="0" w:firstColumn="1" w:lastColumn="0" w:noHBand="1" w:noVBand="1"/>
      </w:tblPr>
      <w:tblGrid>
        <w:gridCol w:w="6518"/>
        <w:gridCol w:w="851"/>
        <w:gridCol w:w="1134"/>
        <w:gridCol w:w="1134"/>
      </w:tblGrid>
      <w:tr w:rsidR="0065586C" w:rsidRPr="002029AF" w14:paraId="565ABEC3" w14:textId="77777777" w:rsidTr="00C83719">
        <w:trPr>
          <w:cnfStyle w:val="100000000000" w:firstRow="1" w:lastRow="0" w:firstColumn="0" w:lastColumn="0" w:oddVBand="0" w:evenVBand="0" w:oddHBand="0" w:evenHBand="0" w:firstRowFirstColumn="0" w:firstRowLastColumn="0" w:lastRowFirstColumn="0" w:lastRowLastColumn="0"/>
          <w:tblHeader/>
        </w:trPr>
        <w:tc>
          <w:tcPr>
            <w:tcW w:w="6518" w:type="dxa"/>
            <w:tcBorders>
              <w:bottom w:val="single" w:sz="4" w:space="0" w:color="auto"/>
            </w:tcBorders>
            <w:noWrap/>
            <w:hideMark/>
          </w:tcPr>
          <w:p w14:paraId="2B3D0698" w14:textId="77777777" w:rsidR="0065586C" w:rsidRPr="002029AF" w:rsidRDefault="0065586C" w:rsidP="003566F1">
            <w:pPr>
              <w:pStyle w:val="ARfintablecolhead"/>
            </w:pPr>
          </w:p>
        </w:tc>
        <w:tc>
          <w:tcPr>
            <w:tcW w:w="851" w:type="dxa"/>
            <w:tcBorders>
              <w:bottom w:val="single" w:sz="4" w:space="0" w:color="auto"/>
            </w:tcBorders>
            <w:noWrap/>
            <w:hideMark/>
          </w:tcPr>
          <w:p w14:paraId="5F32C0BF" w14:textId="7A1F56C5" w:rsidR="0065586C" w:rsidRPr="002029AF" w:rsidRDefault="0065586C" w:rsidP="003566F1">
            <w:pPr>
              <w:pStyle w:val="ARfintablecolheadright"/>
            </w:pPr>
            <w:r w:rsidRPr="002029AF">
              <w:t>Note</w:t>
            </w:r>
          </w:p>
        </w:tc>
        <w:tc>
          <w:tcPr>
            <w:tcW w:w="1134" w:type="dxa"/>
            <w:tcBorders>
              <w:bottom w:val="single" w:sz="4" w:space="0" w:color="auto"/>
            </w:tcBorders>
            <w:shd w:val="clear" w:color="auto" w:fill="E7E6E6"/>
            <w:hideMark/>
          </w:tcPr>
          <w:p w14:paraId="39193CD3" w14:textId="77777777" w:rsidR="0065586C" w:rsidRPr="002029AF" w:rsidRDefault="0065586C" w:rsidP="003566F1">
            <w:pPr>
              <w:pStyle w:val="ARfintablecolheadright"/>
            </w:pPr>
            <w:r w:rsidRPr="002029AF">
              <w:t>2020</w:t>
            </w:r>
          </w:p>
          <w:p w14:paraId="183F318A" w14:textId="77777777" w:rsidR="0065586C" w:rsidRPr="002029AF" w:rsidRDefault="0065586C" w:rsidP="003566F1">
            <w:pPr>
              <w:pStyle w:val="ARfintablecolheadright"/>
            </w:pPr>
            <w:r w:rsidRPr="002029AF">
              <w:t>$M</w:t>
            </w:r>
          </w:p>
        </w:tc>
        <w:tc>
          <w:tcPr>
            <w:tcW w:w="1134" w:type="dxa"/>
            <w:tcBorders>
              <w:bottom w:val="single" w:sz="4" w:space="0" w:color="auto"/>
            </w:tcBorders>
            <w:hideMark/>
          </w:tcPr>
          <w:p w14:paraId="4B5C282A" w14:textId="77777777" w:rsidR="0065586C" w:rsidRPr="002029AF" w:rsidRDefault="0065586C" w:rsidP="003566F1">
            <w:pPr>
              <w:pStyle w:val="ARfintablecolheadright"/>
            </w:pPr>
            <w:r w:rsidRPr="002029AF">
              <w:t>2019</w:t>
            </w:r>
          </w:p>
          <w:p w14:paraId="297DB378" w14:textId="77777777" w:rsidR="0065586C" w:rsidRPr="002029AF" w:rsidRDefault="0065586C" w:rsidP="003566F1">
            <w:pPr>
              <w:pStyle w:val="ARfintablecolheadright"/>
            </w:pPr>
            <w:r w:rsidRPr="002029AF">
              <w:t>$M</w:t>
            </w:r>
          </w:p>
        </w:tc>
      </w:tr>
      <w:tr w:rsidR="0065586C" w:rsidRPr="002029AF" w14:paraId="44CEC653" w14:textId="77777777" w:rsidTr="003566F1">
        <w:tc>
          <w:tcPr>
            <w:tcW w:w="9637" w:type="dxa"/>
            <w:gridSpan w:val="4"/>
            <w:tcBorders>
              <w:top w:val="single" w:sz="4" w:space="0" w:color="auto"/>
              <w:bottom w:val="single" w:sz="4" w:space="0" w:color="A6A6A6"/>
            </w:tcBorders>
            <w:hideMark/>
          </w:tcPr>
          <w:p w14:paraId="72551335" w14:textId="442A2652" w:rsidR="0065586C" w:rsidRPr="002029AF" w:rsidRDefault="0065586C" w:rsidP="003566F1">
            <w:pPr>
              <w:pStyle w:val="ARfintablebodybold"/>
            </w:pPr>
            <w:r w:rsidRPr="002029AF">
              <w:t>Cash</w:t>
            </w:r>
            <w:r w:rsidR="000A5329" w:rsidRPr="002029AF">
              <w:t xml:space="preserve"> </w:t>
            </w:r>
            <w:r w:rsidRPr="002029AF">
              <w:t>flows</w:t>
            </w:r>
            <w:r w:rsidR="000A5329" w:rsidRPr="002029AF">
              <w:t xml:space="preserve"> </w:t>
            </w:r>
            <w:r w:rsidRPr="002029AF">
              <w:t>from</w:t>
            </w:r>
            <w:r w:rsidR="000A5329" w:rsidRPr="002029AF">
              <w:t xml:space="preserve"> </w:t>
            </w:r>
            <w:r w:rsidRPr="002029AF">
              <w:t>operating</w:t>
            </w:r>
            <w:r w:rsidR="000A5329" w:rsidRPr="002029AF">
              <w:t xml:space="preserve"> </w:t>
            </w:r>
            <w:r w:rsidRPr="002029AF">
              <w:t>activities</w:t>
            </w:r>
          </w:p>
        </w:tc>
      </w:tr>
      <w:tr w:rsidR="0065586C" w:rsidRPr="002029AF" w14:paraId="1BC8A812" w14:textId="77777777" w:rsidTr="003566F1">
        <w:tc>
          <w:tcPr>
            <w:tcW w:w="9637" w:type="dxa"/>
            <w:gridSpan w:val="4"/>
            <w:tcBorders>
              <w:top w:val="single" w:sz="4" w:space="0" w:color="A6A6A6"/>
              <w:bottom w:val="single" w:sz="4" w:space="0" w:color="A6A6A6"/>
            </w:tcBorders>
            <w:hideMark/>
          </w:tcPr>
          <w:p w14:paraId="4B9B318C" w14:textId="77777777" w:rsidR="0065586C" w:rsidRPr="002029AF" w:rsidRDefault="0065586C" w:rsidP="003566F1">
            <w:pPr>
              <w:pStyle w:val="ARfintablebodybold"/>
            </w:pPr>
            <w:r w:rsidRPr="002029AF">
              <w:t>Receipts</w:t>
            </w:r>
          </w:p>
        </w:tc>
      </w:tr>
      <w:tr w:rsidR="0065586C" w:rsidRPr="002029AF" w14:paraId="2E04268D" w14:textId="77777777" w:rsidTr="003566F1">
        <w:tc>
          <w:tcPr>
            <w:tcW w:w="6518" w:type="dxa"/>
            <w:tcBorders>
              <w:top w:val="single" w:sz="4" w:space="0" w:color="A6A6A6"/>
              <w:bottom w:val="single" w:sz="4" w:space="0" w:color="A6A6A6"/>
            </w:tcBorders>
            <w:hideMark/>
          </w:tcPr>
          <w:p w14:paraId="7BE476B4" w14:textId="599D747E" w:rsidR="0065586C" w:rsidRPr="002029AF" w:rsidRDefault="0065586C" w:rsidP="003566F1">
            <w:pPr>
              <w:pStyle w:val="ARfintablebody"/>
            </w:pPr>
            <w:r w:rsidRPr="002029AF">
              <w:t>Receipts</w:t>
            </w:r>
            <w:r w:rsidR="000A5329" w:rsidRPr="002029AF">
              <w:t xml:space="preserve"> </w:t>
            </w:r>
            <w:r w:rsidRPr="002029AF">
              <w:t>of</w:t>
            </w:r>
            <w:r w:rsidR="000A5329" w:rsidRPr="002029AF">
              <w:t xml:space="preserve"> </w:t>
            </w:r>
            <w:r w:rsidRPr="002029AF">
              <w:t>output</w:t>
            </w:r>
            <w:r w:rsidR="000A5329" w:rsidRPr="002029AF">
              <w:t xml:space="preserve"> </w:t>
            </w:r>
            <w:r w:rsidRPr="002029AF">
              <w:t>appropriations</w:t>
            </w:r>
          </w:p>
        </w:tc>
        <w:tc>
          <w:tcPr>
            <w:tcW w:w="851" w:type="dxa"/>
            <w:tcBorders>
              <w:top w:val="single" w:sz="4" w:space="0" w:color="A6A6A6"/>
              <w:bottom w:val="single" w:sz="4" w:space="0" w:color="A6A6A6"/>
            </w:tcBorders>
            <w:noWrap/>
            <w:hideMark/>
          </w:tcPr>
          <w:p w14:paraId="06AAD221" w14:textId="77777777" w:rsidR="0065586C" w:rsidRPr="002029AF" w:rsidRDefault="0065586C" w:rsidP="003566F1">
            <w:pPr>
              <w:pStyle w:val="ARfintablebodyright"/>
            </w:pPr>
          </w:p>
        </w:tc>
        <w:tc>
          <w:tcPr>
            <w:tcW w:w="1134" w:type="dxa"/>
            <w:tcBorders>
              <w:top w:val="single" w:sz="4" w:space="0" w:color="A6A6A6"/>
              <w:bottom w:val="single" w:sz="4" w:space="0" w:color="A6A6A6"/>
            </w:tcBorders>
            <w:shd w:val="clear" w:color="auto" w:fill="E7E6E6"/>
            <w:noWrap/>
            <w:hideMark/>
          </w:tcPr>
          <w:p w14:paraId="624BDD7B" w14:textId="77777777" w:rsidR="0065586C" w:rsidRPr="002029AF" w:rsidRDefault="0065586C" w:rsidP="003566F1">
            <w:pPr>
              <w:pStyle w:val="ARfintablebodyright"/>
            </w:pPr>
            <w:r w:rsidRPr="002029AF">
              <w:t>16,894.8</w:t>
            </w:r>
          </w:p>
        </w:tc>
        <w:tc>
          <w:tcPr>
            <w:tcW w:w="1134" w:type="dxa"/>
            <w:tcBorders>
              <w:top w:val="single" w:sz="4" w:space="0" w:color="A6A6A6"/>
              <w:bottom w:val="single" w:sz="4" w:space="0" w:color="A6A6A6"/>
            </w:tcBorders>
            <w:noWrap/>
            <w:hideMark/>
          </w:tcPr>
          <w:p w14:paraId="137C98F2" w14:textId="77777777" w:rsidR="0065586C" w:rsidRPr="002029AF" w:rsidRDefault="0065586C" w:rsidP="003566F1">
            <w:pPr>
              <w:pStyle w:val="ARfintablebodyright"/>
            </w:pPr>
            <w:r w:rsidRPr="002029AF">
              <w:t>16,032.3</w:t>
            </w:r>
          </w:p>
        </w:tc>
      </w:tr>
      <w:tr w:rsidR="0065586C" w:rsidRPr="002029AF" w14:paraId="3324D784" w14:textId="77777777" w:rsidTr="003566F1">
        <w:tc>
          <w:tcPr>
            <w:tcW w:w="6518" w:type="dxa"/>
            <w:tcBorders>
              <w:top w:val="single" w:sz="4" w:space="0" w:color="A6A6A6"/>
              <w:bottom w:val="single" w:sz="4" w:space="0" w:color="A6A6A6"/>
            </w:tcBorders>
            <w:hideMark/>
          </w:tcPr>
          <w:p w14:paraId="7047B042" w14:textId="1D520A87" w:rsidR="0065586C" w:rsidRPr="002029AF" w:rsidRDefault="0065586C" w:rsidP="003566F1">
            <w:pPr>
              <w:pStyle w:val="ARfintablebody"/>
            </w:pPr>
            <w:r w:rsidRPr="002029AF">
              <w:t>Receipts</w:t>
            </w:r>
            <w:r w:rsidR="000A5329" w:rsidRPr="002029AF">
              <w:t xml:space="preserve"> </w:t>
            </w:r>
            <w:r w:rsidRPr="002029AF">
              <w:t>of</w:t>
            </w:r>
            <w:r w:rsidR="000A5329" w:rsidRPr="002029AF">
              <w:t xml:space="preserve"> </w:t>
            </w:r>
            <w:r w:rsidRPr="002029AF">
              <w:t>special</w:t>
            </w:r>
            <w:r w:rsidR="000A5329" w:rsidRPr="002029AF">
              <w:t xml:space="preserve"> </w:t>
            </w:r>
            <w:r w:rsidRPr="002029AF">
              <w:t>appropriations</w:t>
            </w:r>
          </w:p>
        </w:tc>
        <w:tc>
          <w:tcPr>
            <w:tcW w:w="851" w:type="dxa"/>
            <w:tcBorders>
              <w:top w:val="single" w:sz="4" w:space="0" w:color="A6A6A6"/>
              <w:bottom w:val="single" w:sz="4" w:space="0" w:color="A6A6A6"/>
            </w:tcBorders>
            <w:noWrap/>
            <w:hideMark/>
          </w:tcPr>
          <w:p w14:paraId="0941C74B" w14:textId="77777777" w:rsidR="0065586C" w:rsidRPr="002029AF" w:rsidRDefault="0065586C" w:rsidP="003566F1">
            <w:pPr>
              <w:pStyle w:val="ARfintablebodyright"/>
            </w:pPr>
          </w:p>
        </w:tc>
        <w:tc>
          <w:tcPr>
            <w:tcW w:w="1134" w:type="dxa"/>
            <w:tcBorders>
              <w:top w:val="single" w:sz="4" w:space="0" w:color="A6A6A6"/>
              <w:bottom w:val="single" w:sz="4" w:space="0" w:color="A6A6A6"/>
            </w:tcBorders>
            <w:shd w:val="clear" w:color="auto" w:fill="E7E6E6"/>
            <w:noWrap/>
            <w:hideMark/>
          </w:tcPr>
          <w:p w14:paraId="3B8750B4" w14:textId="77777777" w:rsidR="0065586C" w:rsidRPr="002029AF" w:rsidRDefault="0065586C" w:rsidP="003566F1">
            <w:pPr>
              <w:pStyle w:val="ARfintablebodyright"/>
            </w:pPr>
            <w:r w:rsidRPr="002029AF">
              <w:t>1,371.9</w:t>
            </w:r>
          </w:p>
        </w:tc>
        <w:tc>
          <w:tcPr>
            <w:tcW w:w="1134" w:type="dxa"/>
            <w:tcBorders>
              <w:top w:val="single" w:sz="4" w:space="0" w:color="A6A6A6"/>
              <w:bottom w:val="single" w:sz="4" w:space="0" w:color="A6A6A6"/>
            </w:tcBorders>
            <w:noWrap/>
            <w:hideMark/>
          </w:tcPr>
          <w:p w14:paraId="512FD5AB" w14:textId="77777777" w:rsidR="0065586C" w:rsidRPr="002029AF" w:rsidRDefault="0065586C" w:rsidP="003566F1">
            <w:pPr>
              <w:pStyle w:val="ARfintablebodyright"/>
            </w:pPr>
            <w:r w:rsidRPr="002029AF">
              <w:t>1,513.4</w:t>
            </w:r>
          </w:p>
        </w:tc>
      </w:tr>
      <w:tr w:rsidR="0065586C" w:rsidRPr="002029AF" w14:paraId="0E1B4D0E" w14:textId="77777777" w:rsidTr="003566F1">
        <w:tc>
          <w:tcPr>
            <w:tcW w:w="6518" w:type="dxa"/>
            <w:tcBorders>
              <w:top w:val="single" w:sz="4" w:space="0" w:color="A6A6A6"/>
              <w:bottom w:val="single" w:sz="4" w:space="0" w:color="A6A6A6"/>
            </w:tcBorders>
            <w:hideMark/>
          </w:tcPr>
          <w:p w14:paraId="276CA6FD" w14:textId="23275334" w:rsidR="0065586C" w:rsidRPr="002029AF" w:rsidRDefault="0065586C" w:rsidP="003566F1">
            <w:pPr>
              <w:pStyle w:val="ARfintablebody"/>
            </w:pPr>
            <w:r w:rsidRPr="002029AF">
              <w:t>Receipts</w:t>
            </w:r>
            <w:r w:rsidR="000A5329" w:rsidRPr="002029AF">
              <w:t xml:space="preserve"> </w:t>
            </w:r>
            <w:r w:rsidRPr="002029AF">
              <w:t>of</w:t>
            </w:r>
            <w:r w:rsidR="000A5329" w:rsidRPr="002029AF">
              <w:t xml:space="preserve"> </w:t>
            </w:r>
            <w:r w:rsidRPr="002029AF">
              <w:t>funds</w:t>
            </w:r>
            <w:r w:rsidR="000A5329" w:rsidRPr="002029AF">
              <w:t xml:space="preserve"> </w:t>
            </w:r>
            <w:r w:rsidRPr="002029AF">
              <w:t>from</w:t>
            </w:r>
            <w:r w:rsidR="000A5329" w:rsidRPr="002029AF">
              <w:t xml:space="preserve"> </w:t>
            </w:r>
            <w:r w:rsidRPr="002029AF">
              <w:t>other</w:t>
            </w:r>
            <w:r w:rsidR="000A5329" w:rsidRPr="002029AF">
              <w:t xml:space="preserve"> </w:t>
            </w:r>
            <w:r w:rsidRPr="002029AF">
              <w:t>authorities</w:t>
            </w:r>
          </w:p>
        </w:tc>
        <w:tc>
          <w:tcPr>
            <w:tcW w:w="851" w:type="dxa"/>
            <w:tcBorders>
              <w:top w:val="single" w:sz="4" w:space="0" w:color="A6A6A6"/>
              <w:bottom w:val="single" w:sz="4" w:space="0" w:color="A6A6A6"/>
            </w:tcBorders>
            <w:noWrap/>
            <w:hideMark/>
          </w:tcPr>
          <w:p w14:paraId="0E4F0F0E" w14:textId="77777777" w:rsidR="0065586C" w:rsidRPr="002029AF" w:rsidRDefault="0065586C" w:rsidP="003566F1">
            <w:pPr>
              <w:pStyle w:val="ARfintablebodyright"/>
            </w:pPr>
          </w:p>
        </w:tc>
        <w:tc>
          <w:tcPr>
            <w:tcW w:w="1134" w:type="dxa"/>
            <w:tcBorders>
              <w:top w:val="single" w:sz="4" w:space="0" w:color="A6A6A6"/>
              <w:bottom w:val="single" w:sz="4" w:space="0" w:color="A6A6A6"/>
            </w:tcBorders>
            <w:shd w:val="clear" w:color="auto" w:fill="E7E6E6"/>
            <w:noWrap/>
            <w:hideMark/>
          </w:tcPr>
          <w:p w14:paraId="0A014915" w14:textId="77777777" w:rsidR="0065586C" w:rsidRPr="002029AF" w:rsidRDefault="0065586C" w:rsidP="003566F1">
            <w:pPr>
              <w:pStyle w:val="ARfintablebodyright"/>
            </w:pPr>
            <w:r w:rsidRPr="002029AF">
              <w:t>2,358.8</w:t>
            </w:r>
          </w:p>
        </w:tc>
        <w:tc>
          <w:tcPr>
            <w:tcW w:w="1134" w:type="dxa"/>
            <w:tcBorders>
              <w:top w:val="single" w:sz="4" w:space="0" w:color="A6A6A6"/>
              <w:bottom w:val="single" w:sz="4" w:space="0" w:color="A6A6A6"/>
            </w:tcBorders>
            <w:noWrap/>
            <w:hideMark/>
          </w:tcPr>
          <w:p w14:paraId="6E5D588F" w14:textId="77777777" w:rsidR="0065586C" w:rsidRPr="002029AF" w:rsidRDefault="0065586C" w:rsidP="003566F1">
            <w:pPr>
              <w:pStyle w:val="ARfintablebodyright"/>
            </w:pPr>
            <w:r w:rsidRPr="002029AF">
              <w:t>1,143.5</w:t>
            </w:r>
          </w:p>
        </w:tc>
      </w:tr>
      <w:tr w:rsidR="0065586C" w:rsidRPr="002029AF" w14:paraId="236E9D74" w14:textId="77777777" w:rsidTr="003566F1">
        <w:tc>
          <w:tcPr>
            <w:tcW w:w="6518" w:type="dxa"/>
            <w:tcBorders>
              <w:top w:val="single" w:sz="4" w:space="0" w:color="A6A6A6"/>
              <w:bottom w:val="single" w:sz="4" w:space="0" w:color="A6A6A6"/>
            </w:tcBorders>
            <w:hideMark/>
          </w:tcPr>
          <w:p w14:paraId="4867C32A" w14:textId="0D730149" w:rsidR="0065586C" w:rsidRPr="002029AF" w:rsidRDefault="0065586C" w:rsidP="003566F1">
            <w:pPr>
              <w:pStyle w:val="ARfintablebody"/>
            </w:pPr>
            <w:r w:rsidRPr="002029AF">
              <w:t>Rent</w:t>
            </w:r>
            <w:r w:rsidR="000A5329" w:rsidRPr="002029AF">
              <w:t xml:space="preserve"> </w:t>
            </w:r>
            <w:r w:rsidRPr="002029AF">
              <w:t>received</w:t>
            </w:r>
          </w:p>
        </w:tc>
        <w:tc>
          <w:tcPr>
            <w:tcW w:w="851" w:type="dxa"/>
            <w:tcBorders>
              <w:top w:val="single" w:sz="4" w:space="0" w:color="A6A6A6"/>
              <w:bottom w:val="single" w:sz="4" w:space="0" w:color="A6A6A6"/>
            </w:tcBorders>
            <w:noWrap/>
            <w:hideMark/>
          </w:tcPr>
          <w:p w14:paraId="4FB6FB1F" w14:textId="77777777" w:rsidR="0065586C" w:rsidRPr="002029AF" w:rsidRDefault="0065586C" w:rsidP="003566F1">
            <w:pPr>
              <w:pStyle w:val="ARfintablebodyright"/>
            </w:pPr>
          </w:p>
        </w:tc>
        <w:tc>
          <w:tcPr>
            <w:tcW w:w="1134" w:type="dxa"/>
            <w:tcBorders>
              <w:top w:val="single" w:sz="4" w:space="0" w:color="A6A6A6"/>
              <w:bottom w:val="single" w:sz="4" w:space="0" w:color="A6A6A6"/>
            </w:tcBorders>
            <w:shd w:val="clear" w:color="auto" w:fill="E7E6E6"/>
            <w:noWrap/>
            <w:hideMark/>
          </w:tcPr>
          <w:p w14:paraId="39CCBE70" w14:textId="77777777" w:rsidR="0065586C" w:rsidRPr="002029AF" w:rsidRDefault="0065586C" w:rsidP="003566F1">
            <w:pPr>
              <w:pStyle w:val="ARfintablebodyright"/>
            </w:pPr>
            <w:r w:rsidRPr="002029AF">
              <w:t>491.4</w:t>
            </w:r>
          </w:p>
        </w:tc>
        <w:tc>
          <w:tcPr>
            <w:tcW w:w="1134" w:type="dxa"/>
            <w:tcBorders>
              <w:top w:val="single" w:sz="4" w:space="0" w:color="A6A6A6"/>
              <w:bottom w:val="single" w:sz="4" w:space="0" w:color="A6A6A6"/>
            </w:tcBorders>
            <w:noWrap/>
            <w:hideMark/>
          </w:tcPr>
          <w:p w14:paraId="7EB290EC" w14:textId="77777777" w:rsidR="0065586C" w:rsidRPr="002029AF" w:rsidRDefault="0065586C" w:rsidP="003566F1">
            <w:pPr>
              <w:pStyle w:val="ARfintablebodyright"/>
            </w:pPr>
            <w:r w:rsidRPr="002029AF">
              <w:t>479.3</w:t>
            </w:r>
          </w:p>
        </w:tc>
      </w:tr>
      <w:tr w:rsidR="0065586C" w:rsidRPr="002029AF" w14:paraId="6A6E9424" w14:textId="77777777" w:rsidTr="003566F1">
        <w:tc>
          <w:tcPr>
            <w:tcW w:w="6518" w:type="dxa"/>
            <w:tcBorders>
              <w:top w:val="single" w:sz="4" w:space="0" w:color="A6A6A6"/>
              <w:bottom w:val="single" w:sz="4" w:space="0" w:color="A6A6A6"/>
            </w:tcBorders>
            <w:hideMark/>
          </w:tcPr>
          <w:p w14:paraId="659B3E62" w14:textId="6AAF23AD" w:rsidR="0065586C" w:rsidRPr="002029AF" w:rsidRDefault="0065586C" w:rsidP="003566F1">
            <w:pPr>
              <w:pStyle w:val="ARfintablebody"/>
            </w:pPr>
            <w:r w:rsidRPr="002029AF">
              <w:t>User</w:t>
            </w:r>
            <w:r w:rsidR="000A5329" w:rsidRPr="002029AF">
              <w:t xml:space="preserve"> </w:t>
            </w:r>
            <w:r w:rsidRPr="002029AF">
              <w:t>charges</w:t>
            </w:r>
            <w:r w:rsidR="000A5329" w:rsidRPr="002029AF">
              <w:t xml:space="preserve"> </w:t>
            </w:r>
            <w:r w:rsidRPr="002029AF">
              <w:t>received</w:t>
            </w:r>
            <w:r w:rsidR="000A5329" w:rsidRPr="002029AF">
              <w:t xml:space="preserve"> </w:t>
            </w:r>
            <w:r w:rsidRPr="002029AF">
              <w:t>–</w:t>
            </w:r>
            <w:r w:rsidR="000A5329" w:rsidRPr="002029AF">
              <w:t xml:space="preserve"> </w:t>
            </w:r>
            <w:r w:rsidRPr="002029AF">
              <w:t>rental</w:t>
            </w:r>
            <w:r w:rsidR="000A5329" w:rsidRPr="002029AF">
              <w:t xml:space="preserve"> </w:t>
            </w:r>
            <w:r w:rsidRPr="002029AF">
              <w:t>properties</w:t>
            </w:r>
          </w:p>
        </w:tc>
        <w:tc>
          <w:tcPr>
            <w:tcW w:w="851" w:type="dxa"/>
            <w:tcBorders>
              <w:top w:val="single" w:sz="4" w:space="0" w:color="A6A6A6"/>
              <w:bottom w:val="single" w:sz="4" w:space="0" w:color="A6A6A6"/>
            </w:tcBorders>
            <w:noWrap/>
            <w:hideMark/>
          </w:tcPr>
          <w:p w14:paraId="0FB52E3D" w14:textId="77777777" w:rsidR="0065586C" w:rsidRPr="002029AF" w:rsidRDefault="0065586C" w:rsidP="003566F1">
            <w:pPr>
              <w:pStyle w:val="ARfintablebodyright"/>
            </w:pPr>
          </w:p>
        </w:tc>
        <w:tc>
          <w:tcPr>
            <w:tcW w:w="1134" w:type="dxa"/>
            <w:tcBorders>
              <w:top w:val="single" w:sz="4" w:space="0" w:color="A6A6A6"/>
              <w:bottom w:val="single" w:sz="4" w:space="0" w:color="A6A6A6"/>
            </w:tcBorders>
            <w:shd w:val="clear" w:color="auto" w:fill="E7E6E6"/>
            <w:noWrap/>
            <w:hideMark/>
          </w:tcPr>
          <w:p w14:paraId="34BB9E92" w14:textId="77777777" w:rsidR="0065586C" w:rsidRPr="002029AF" w:rsidRDefault="0065586C" w:rsidP="003566F1">
            <w:pPr>
              <w:pStyle w:val="ARfintablebodyright"/>
            </w:pPr>
            <w:r w:rsidRPr="002029AF">
              <w:t>4.8</w:t>
            </w:r>
          </w:p>
        </w:tc>
        <w:tc>
          <w:tcPr>
            <w:tcW w:w="1134" w:type="dxa"/>
            <w:tcBorders>
              <w:top w:val="single" w:sz="4" w:space="0" w:color="A6A6A6"/>
              <w:bottom w:val="single" w:sz="4" w:space="0" w:color="A6A6A6"/>
            </w:tcBorders>
            <w:noWrap/>
            <w:hideMark/>
          </w:tcPr>
          <w:p w14:paraId="1CBF1AA9" w14:textId="77777777" w:rsidR="0065586C" w:rsidRPr="002029AF" w:rsidRDefault="0065586C" w:rsidP="003566F1">
            <w:pPr>
              <w:pStyle w:val="ARfintablebodyright"/>
            </w:pPr>
            <w:r w:rsidRPr="002029AF">
              <w:t>4.8</w:t>
            </w:r>
          </w:p>
        </w:tc>
      </w:tr>
      <w:tr w:rsidR="0065586C" w:rsidRPr="002029AF" w14:paraId="3E5EC179" w14:textId="77777777" w:rsidTr="003566F1">
        <w:tc>
          <w:tcPr>
            <w:tcW w:w="6518" w:type="dxa"/>
            <w:tcBorders>
              <w:top w:val="single" w:sz="4" w:space="0" w:color="A6A6A6"/>
              <w:bottom w:val="single" w:sz="4" w:space="0" w:color="A6A6A6"/>
            </w:tcBorders>
            <w:hideMark/>
          </w:tcPr>
          <w:p w14:paraId="2F36259C" w14:textId="6C641C46" w:rsidR="0065586C" w:rsidRPr="002029AF" w:rsidRDefault="0065586C" w:rsidP="003566F1">
            <w:pPr>
              <w:pStyle w:val="ARfintablebody"/>
            </w:pPr>
            <w:r w:rsidRPr="002029AF">
              <w:t>Interest</w:t>
            </w:r>
            <w:r w:rsidR="000A5329" w:rsidRPr="002029AF">
              <w:t xml:space="preserve"> </w:t>
            </w:r>
            <w:r w:rsidRPr="002029AF">
              <w:t>received</w:t>
            </w:r>
          </w:p>
        </w:tc>
        <w:tc>
          <w:tcPr>
            <w:tcW w:w="851" w:type="dxa"/>
            <w:tcBorders>
              <w:top w:val="single" w:sz="4" w:space="0" w:color="A6A6A6"/>
              <w:bottom w:val="single" w:sz="4" w:space="0" w:color="A6A6A6"/>
            </w:tcBorders>
            <w:noWrap/>
            <w:hideMark/>
          </w:tcPr>
          <w:p w14:paraId="4B4DA72A" w14:textId="77777777" w:rsidR="0065586C" w:rsidRPr="002029AF" w:rsidRDefault="0065586C" w:rsidP="003566F1">
            <w:pPr>
              <w:pStyle w:val="ARfintablebodyright"/>
            </w:pPr>
          </w:p>
        </w:tc>
        <w:tc>
          <w:tcPr>
            <w:tcW w:w="1134" w:type="dxa"/>
            <w:tcBorders>
              <w:top w:val="single" w:sz="4" w:space="0" w:color="A6A6A6"/>
              <w:bottom w:val="single" w:sz="4" w:space="0" w:color="A6A6A6"/>
            </w:tcBorders>
            <w:shd w:val="clear" w:color="auto" w:fill="E7E6E6"/>
            <w:noWrap/>
            <w:hideMark/>
          </w:tcPr>
          <w:p w14:paraId="7D12D9C2" w14:textId="77777777" w:rsidR="0065586C" w:rsidRPr="002029AF" w:rsidRDefault="0065586C" w:rsidP="003566F1">
            <w:pPr>
              <w:pStyle w:val="ARfintablebodyright"/>
            </w:pPr>
            <w:r w:rsidRPr="002029AF">
              <w:t>7.1</w:t>
            </w:r>
          </w:p>
        </w:tc>
        <w:tc>
          <w:tcPr>
            <w:tcW w:w="1134" w:type="dxa"/>
            <w:tcBorders>
              <w:top w:val="single" w:sz="4" w:space="0" w:color="A6A6A6"/>
              <w:bottom w:val="single" w:sz="4" w:space="0" w:color="A6A6A6"/>
            </w:tcBorders>
            <w:noWrap/>
            <w:hideMark/>
          </w:tcPr>
          <w:p w14:paraId="5738F012" w14:textId="77777777" w:rsidR="0065586C" w:rsidRPr="002029AF" w:rsidRDefault="0065586C" w:rsidP="003566F1">
            <w:pPr>
              <w:pStyle w:val="ARfintablebodyright"/>
            </w:pPr>
            <w:r w:rsidRPr="002029AF">
              <w:t>13.8</w:t>
            </w:r>
          </w:p>
        </w:tc>
      </w:tr>
      <w:tr w:rsidR="0065586C" w:rsidRPr="002029AF" w14:paraId="137F5C72" w14:textId="77777777" w:rsidTr="003566F1">
        <w:tc>
          <w:tcPr>
            <w:tcW w:w="6518" w:type="dxa"/>
            <w:tcBorders>
              <w:top w:val="single" w:sz="4" w:space="0" w:color="A6A6A6"/>
              <w:bottom w:val="single" w:sz="4" w:space="0" w:color="A6A6A6"/>
            </w:tcBorders>
            <w:hideMark/>
          </w:tcPr>
          <w:p w14:paraId="54311E1D" w14:textId="51F831D8" w:rsidR="0065586C" w:rsidRPr="002029AF" w:rsidRDefault="0065586C" w:rsidP="003566F1">
            <w:pPr>
              <w:pStyle w:val="ARfintablebody"/>
            </w:pPr>
            <w:r w:rsidRPr="002029AF">
              <w:t>Other</w:t>
            </w:r>
            <w:r w:rsidR="000A5329" w:rsidRPr="002029AF">
              <w:t xml:space="preserve"> </w:t>
            </w:r>
            <w:r w:rsidRPr="002029AF">
              <w:t>receipts</w:t>
            </w:r>
          </w:p>
        </w:tc>
        <w:tc>
          <w:tcPr>
            <w:tcW w:w="851" w:type="dxa"/>
            <w:tcBorders>
              <w:top w:val="single" w:sz="4" w:space="0" w:color="A6A6A6"/>
              <w:bottom w:val="single" w:sz="4" w:space="0" w:color="A6A6A6"/>
            </w:tcBorders>
            <w:noWrap/>
            <w:hideMark/>
          </w:tcPr>
          <w:p w14:paraId="7B5D3299" w14:textId="77777777" w:rsidR="0065586C" w:rsidRPr="002029AF" w:rsidRDefault="0065586C" w:rsidP="003566F1">
            <w:pPr>
              <w:pStyle w:val="ARfintablebodyright"/>
            </w:pPr>
          </w:p>
        </w:tc>
        <w:tc>
          <w:tcPr>
            <w:tcW w:w="1134" w:type="dxa"/>
            <w:tcBorders>
              <w:top w:val="single" w:sz="4" w:space="0" w:color="A6A6A6"/>
              <w:bottom w:val="single" w:sz="4" w:space="0" w:color="A6A6A6"/>
            </w:tcBorders>
            <w:shd w:val="clear" w:color="auto" w:fill="E7E6E6"/>
            <w:noWrap/>
            <w:hideMark/>
          </w:tcPr>
          <w:p w14:paraId="416AFF48" w14:textId="77777777" w:rsidR="0065586C" w:rsidRPr="002029AF" w:rsidRDefault="0065586C" w:rsidP="003566F1">
            <w:pPr>
              <w:pStyle w:val="ARfintablebodyright"/>
            </w:pPr>
            <w:r w:rsidRPr="002029AF">
              <w:t>33.5</w:t>
            </w:r>
          </w:p>
        </w:tc>
        <w:tc>
          <w:tcPr>
            <w:tcW w:w="1134" w:type="dxa"/>
            <w:tcBorders>
              <w:top w:val="single" w:sz="4" w:space="0" w:color="A6A6A6"/>
              <w:bottom w:val="single" w:sz="4" w:space="0" w:color="A6A6A6"/>
            </w:tcBorders>
            <w:noWrap/>
            <w:hideMark/>
          </w:tcPr>
          <w:p w14:paraId="40D055FB" w14:textId="77777777" w:rsidR="0065586C" w:rsidRPr="002029AF" w:rsidRDefault="0065586C" w:rsidP="003566F1">
            <w:pPr>
              <w:pStyle w:val="ARfintablebodyright"/>
            </w:pPr>
            <w:r w:rsidRPr="002029AF">
              <w:t>16.6</w:t>
            </w:r>
          </w:p>
        </w:tc>
      </w:tr>
      <w:tr w:rsidR="0065586C" w:rsidRPr="002029AF" w14:paraId="788A4609" w14:textId="77777777" w:rsidTr="003566F1">
        <w:tc>
          <w:tcPr>
            <w:tcW w:w="6518" w:type="dxa"/>
            <w:tcBorders>
              <w:top w:val="single" w:sz="4" w:space="0" w:color="A6A6A6"/>
            </w:tcBorders>
            <w:hideMark/>
          </w:tcPr>
          <w:p w14:paraId="180A4839" w14:textId="6BBE3357" w:rsidR="0065586C" w:rsidRPr="002029AF" w:rsidRDefault="0065586C" w:rsidP="003566F1">
            <w:pPr>
              <w:pStyle w:val="ARfintablebody"/>
            </w:pPr>
            <w:r w:rsidRPr="002029AF">
              <w:t>GST</w:t>
            </w:r>
            <w:r w:rsidR="000A5329" w:rsidRPr="002029AF">
              <w:t xml:space="preserve"> </w:t>
            </w:r>
            <w:r w:rsidRPr="002029AF">
              <w:t>recovered</w:t>
            </w:r>
            <w:r w:rsidR="000A5329" w:rsidRPr="002029AF">
              <w:t xml:space="preserve"> </w:t>
            </w:r>
            <w:r w:rsidRPr="002029AF">
              <w:t>from</w:t>
            </w:r>
            <w:r w:rsidR="000A5329" w:rsidRPr="002029AF">
              <w:t xml:space="preserve"> </w:t>
            </w:r>
            <w:r w:rsidRPr="002029AF">
              <w:t>Australian</w:t>
            </w:r>
            <w:r w:rsidR="000A5329" w:rsidRPr="002029AF">
              <w:t xml:space="preserve"> </w:t>
            </w:r>
            <w:r w:rsidRPr="002029AF">
              <w:t>Taxation</w:t>
            </w:r>
            <w:r w:rsidR="000A5329" w:rsidRPr="002029AF">
              <w:t xml:space="preserve"> </w:t>
            </w:r>
            <w:r w:rsidRPr="002029AF">
              <w:t>Office</w:t>
            </w:r>
            <w:r w:rsidR="000A5329" w:rsidRPr="002029AF">
              <w:t xml:space="preserve"> </w:t>
            </w:r>
            <w:r w:rsidRPr="002029AF">
              <w:rPr>
                <w:rStyle w:val="Superscript"/>
              </w:rPr>
              <w:t>(i)</w:t>
            </w:r>
          </w:p>
        </w:tc>
        <w:tc>
          <w:tcPr>
            <w:tcW w:w="851" w:type="dxa"/>
            <w:tcBorders>
              <w:top w:val="single" w:sz="4" w:space="0" w:color="A6A6A6"/>
            </w:tcBorders>
            <w:noWrap/>
            <w:hideMark/>
          </w:tcPr>
          <w:p w14:paraId="5D817F22" w14:textId="77777777" w:rsidR="0065586C" w:rsidRPr="002029AF" w:rsidRDefault="0065586C" w:rsidP="003566F1">
            <w:pPr>
              <w:pStyle w:val="ARfintablebodyright"/>
            </w:pPr>
          </w:p>
        </w:tc>
        <w:tc>
          <w:tcPr>
            <w:tcW w:w="1134" w:type="dxa"/>
            <w:tcBorders>
              <w:top w:val="single" w:sz="4" w:space="0" w:color="A6A6A6"/>
            </w:tcBorders>
            <w:shd w:val="clear" w:color="auto" w:fill="E7E6E6"/>
            <w:noWrap/>
            <w:hideMark/>
          </w:tcPr>
          <w:p w14:paraId="4BF71FAE" w14:textId="77777777" w:rsidR="0065586C" w:rsidRPr="002029AF" w:rsidRDefault="0065586C" w:rsidP="003566F1">
            <w:pPr>
              <w:pStyle w:val="ARfintablebodyright"/>
            </w:pPr>
            <w:r w:rsidRPr="002029AF">
              <w:t>601.6</w:t>
            </w:r>
          </w:p>
        </w:tc>
        <w:tc>
          <w:tcPr>
            <w:tcW w:w="1134" w:type="dxa"/>
            <w:tcBorders>
              <w:top w:val="single" w:sz="4" w:space="0" w:color="A6A6A6"/>
            </w:tcBorders>
            <w:noWrap/>
            <w:hideMark/>
          </w:tcPr>
          <w:p w14:paraId="6287385D" w14:textId="77777777" w:rsidR="0065586C" w:rsidRPr="002029AF" w:rsidRDefault="0065586C" w:rsidP="003566F1">
            <w:pPr>
              <w:pStyle w:val="ARfintablebodyright"/>
            </w:pPr>
            <w:r w:rsidRPr="002029AF">
              <w:t>528.6</w:t>
            </w:r>
          </w:p>
        </w:tc>
      </w:tr>
      <w:tr w:rsidR="0065586C" w:rsidRPr="002029AF" w14:paraId="4118048D" w14:textId="77777777" w:rsidTr="003566F1">
        <w:tc>
          <w:tcPr>
            <w:tcW w:w="6518" w:type="dxa"/>
            <w:tcBorders>
              <w:bottom w:val="single" w:sz="4" w:space="0" w:color="auto"/>
            </w:tcBorders>
            <w:hideMark/>
          </w:tcPr>
          <w:p w14:paraId="6BADC9F1" w14:textId="6175ACA2" w:rsidR="0065586C" w:rsidRPr="002029AF" w:rsidRDefault="0065586C" w:rsidP="003566F1">
            <w:pPr>
              <w:pStyle w:val="ARfintablebodybold"/>
            </w:pPr>
            <w:r w:rsidRPr="002029AF">
              <w:t>Total</w:t>
            </w:r>
            <w:r w:rsidR="000A5329" w:rsidRPr="002029AF">
              <w:t xml:space="preserve"> </w:t>
            </w:r>
            <w:r w:rsidRPr="002029AF">
              <w:t>receipts</w:t>
            </w:r>
          </w:p>
        </w:tc>
        <w:tc>
          <w:tcPr>
            <w:tcW w:w="851" w:type="dxa"/>
            <w:tcBorders>
              <w:bottom w:val="single" w:sz="4" w:space="0" w:color="auto"/>
            </w:tcBorders>
            <w:hideMark/>
          </w:tcPr>
          <w:p w14:paraId="05291A5D" w14:textId="77777777" w:rsidR="0065586C" w:rsidRPr="002029AF" w:rsidRDefault="0065586C" w:rsidP="003566F1">
            <w:pPr>
              <w:pStyle w:val="ARfintablebodyrightbold"/>
            </w:pPr>
          </w:p>
        </w:tc>
        <w:tc>
          <w:tcPr>
            <w:tcW w:w="1134" w:type="dxa"/>
            <w:tcBorders>
              <w:bottom w:val="single" w:sz="4" w:space="0" w:color="auto"/>
            </w:tcBorders>
            <w:shd w:val="clear" w:color="auto" w:fill="E7E6E6"/>
            <w:noWrap/>
            <w:hideMark/>
          </w:tcPr>
          <w:p w14:paraId="14E52659" w14:textId="77777777" w:rsidR="0065586C" w:rsidRPr="002029AF" w:rsidRDefault="0065586C" w:rsidP="003566F1">
            <w:pPr>
              <w:pStyle w:val="ARfintablebodyrightbold"/>
            </w:pPr>
            <w:r w:rsidRPr="002029AF">
              <w:t>21,764.0</w:t>
            </w:r>
          </w:p>
        </w:tc>
        <w:tc>
          <w:tcPr>
            <w:tcW w:w="1134" w:type="dxa"/>
            <w:tcBorders>
              <w:bottom w:val="single" w:sz="4" w:space="0" w:color="auto"/>
            </w:tcBorders>
            <w:noWrap/>
            <w:hideMark/>
          </w:tcPr>
          <w:p w14:paraId="35FCDF87" w14:textId="77777777" w:rsidR="0065586C" w:rsidRPr="002029AF" w:rsidRDefault="0065586C" w:rsidP="003566F1">
            <w:pPr>
              <w:pStyle w:val="ARfintablebodyrightbold"/>
            </w:pPr>
            <w:r w:rsidRPr="002029AF">
              <w:t>19,732.4</w:t>
            </w:r>
          </w:p>
        </w:tc>
      </w:tr>
      <w:tr w:rsidR="0065586C" w:rsidRPr="002029AF" w14:paraId="54086F87" w14:textId="77777777" w:rsidTr="003566F1">
        <w:tc>
          <w:tcPr>
            <w:tcW w:w="9637" w:type="dxa"/>
            <w:gridSpan w:val="4"/>
            <w:tcBorders>
              <w:top w:val="single" w:sz="4" w:space="0" w:color="auto"/>
              <w:bottom w:val="single" w:sz="4" w:space="0" w:color="A6A6A6"/>
            </w:tcBorders>
            <w:hideMark/>
          </w:tcPr>
          <w:p w14:paraId="51736C24" w14:textId="77777777" w:rsidR="0065586C" w:rsidRPr="002029AF" w:rsidRDefault="0065586C" w:rsidP="003566F1">
            <w:pPr>
              <w:pStyle w:val="ARfintablecolhead"/>
            </w:pPr>
            <w:r w:rsidRPr="002029AF">
              <w:t>Payments</w:t>
            </w:r>
          </w:p>
        </w:tc>
      </w:tr>
      <w:tr w:rsidR="0065586C" w:rsidRPr="002029AF" w14:paraId="1D7C9ADD" w14:textId="77777777" w:rsidTr="003566F1">
        <w:tc>
          <w:tcPr>
            <w:tcW w:w="6518" w:type="dxa"/>
            <w:tcBorders>
              <w:top w:val="single" w:sz="4" w:space="0" w:color="A6A6A6"/>
              <w:bottom w:val="single" w:sz="4" w:space="0" w:color="A6A6A6"/>
            </w:tcBorders>
            <w:hideMark/>
          </w:tcPr>
          <w:p w14:paraId="62AB6EB3" w14:textId="6D8FD6C3" w:rsidR="0065586C" w:rsidRPr="002029AF" w:rsidRDefault="0065586C" w:rsidP="003566F1">
            <w:pPr>
              <w:pStyle w:val="ARfintablebody"/>
            </w:pPr>
            <w:r w:rsidRPr="002029AF">
              <w:t>Payments</w:t>
            </w:r>
            <w:r w:rsidR="000A5329" w:rsidRPr="002029AF">
              <w:t xml:space="preserve"> </w:t>
            </w:r>
            <w:r w:rsidRPr="002029AF">
              <w:t>of</w:t>
            </w:r>
            <w:r w:rsidR="000A5329" w:rsidRPr="002029AF">
              <w:t xml:space="preserve"> </w:t>
            </w:r>
            <w:r w:rsidRPr="002029AF">
              <w:t>grants</w:t>
            </w:r>
            <w:r w:rsidR="000A5329" w:rsidRPr="002029AF">
              <w:t xml:space="preserve"> </w:t>
            </w:r>
            <w:r w:rsidRPr="002029AF">
              <w:t>and</w:t>
            </w:r>
            <w:r w:rsidR="000A5329" w:rsidRPr="002029AF">
              <w:t xml:space="preserve"> </w:t>
            </w:r>
            <w:r w:rsidRPr="002029AF">
              <w:t>other</w:t>
            </w:r>
            <w:r w:rsidR="000A5329" w:rsidRPr="002029AF">
              <w:t xml:space="preserve"> </w:t>
            </w:r>
            <w:r w:rsidRPr="002029AF">
              <w:t>expense</w:t>
            </w:r>
            <w:r w:rsidR="000A5329" w:rsidRPr="002029AF">
              <w:t xml:space="preserve"> </w:t>
            </w:r>
            <w:r w:rsidRPr="002029AF">
              <w:t>transfers</w:t>
            </w:r>
          </w:p>
        </w:tc>
        <w:tc>
          <w:tcPr>
            <w:tcW w:w="851" w:type="dxa"/>
            <w:tcBorders>
              <w:top w:val="single" w:sz="4" w:space="0" w:color="A6A6A6"/>
              <w:bottom w:val="single" w:sz="4" w:space="0" w:color="A6A6A6"/>
            </w:tcBorders>
            <w:noWrap/>
            <w:hideMark/>
          </w:tcPr>
          <w:p w14:paraId="65C2AF01" w14:textId="77777777" w:rsidR="0065586C" w:rsidRPr="002029AF" w:rsidRDefault="0065586C" w:rsidP="003566F1">
            <w:pPr>
              <w:pStyle w:val="ARfintablebodyright"/>
            </w:pPr>
          </w:p>
        </w:tc>
        <w:tc>
          <w:tcPr>
            <w:tcW w:w="1134" w:type="dxa"/>
            <w:tcBorders>
              <w:top w:val="single" w:sz="4" w:space="0" w:color="A6A6A6"/>
              <w:bottom w:val="single" w:sz="4" w:space="0" w:color="A6A6A6"/>
            </w:tcBorders>
            <w:shd w:val="clear" w:color="auto" w:fill="E7E6E6"/>
            <w:noWrap/>
            <w:hideMark/>
          </w:tcPr>
          <w:p w14:paraId="78C09B5E" w14:textId="77777777" w:rsidR="0065586C" w:rsidRPr="002029AF" w:rsidRDefault="0065586C" w:rsidP="003566F1">
            <w:pPr>
              <w:pStyle w:val="ARfintablebodyright"/>
            </w:pPr>
            <w:r w:rsidRPr="002029AF">
              <w:t>(17,567.2)</w:t>
            </w:r>
          </w:p>
        </w:tc>
        <w:tc>
          <w:tcPr>
            <w:tcW w:w="1134" w:type="dxa"/>
            <w:tcBorders>
              <w:top w:val="single" w:sz="4" w:space="0" w:color="A6A6A6"/>
              <w:bottom w:val="single" w:sz="4" w:space="0" w:color="A6A6A6"/>
            </w:tcBorders>
            <w:noWrap/>
            <w:hideMark/>
          </w:tcPr>
          <w:p w14:paraId="10155578" w14:textId="77777777" w:rsidR="0065586C" w:rsidRPr="002029AF" w:rsidRDefault="0065586C" w:rsidP="003566F1">
            <w:pPr>
              <w:pStyle w:val="ARfintablebodyright"/>
            </w:pPr>
            <w:r w:rsidRPr="002029AF">
              <w:t>(15,558.2)</w:t>
            </w:r>
          </w:p>
        </w:tc>
      </w:tr>
      <w:tr w:rsidR="0065586C" w:rsidRPr="002029AF" w14:paraId="5B3C3032" w14:textId="77777777" w:rsidTr="003566F1">
        <w:tc>
          <w:tcPr>
            <w:tcW w:w="6518" w:type="dxa"/>
            <w:tcBorders>
              <w:top w:val="single" w:sz="4" w:space="0" w:color="A6A6A6"/>
              <w:bottom w:val="single" w:sz="4" w:space="0" w:color="A6A6A6"/>
            </w:tcBorders>
            <w:hideMark/>
          </w:tcPr>
          <w:p w14:paraId="504DC196" w14:textId="46F39C25" w:rsidR="0065586C" w:rsidRPr="002029AF" w:rsidRDefault="0065586C" w:rsidP="003566F1">
            <w:pPr>
              <w:pStyle w:val="ARfintablebody"/>
            </w:pPr>
            <w:r w:rsidRPr="002029AF">
              <w:t>Payments</w:t>
            </w:r>
            <w:r w:rsidR="000A5329" w:rsidRPr="002029AF">
              <w:t xml:space="preserve"> </w:t>
            </w:r>
            <w:r w:rsidRPr="002029AF">
              <w:t>for</w:t>
            </w:r>
            <w:r w:rsidR="000A5329" w:rsidRPr="002029AF">
              <w:t xml:space="preserve"> </w:t>
            </w:r>
            <w:r w:rsidRPr="002029AF">
              <w:t>employee</w:t>
            </w:r>
            <w:r w:rsidR="000A5329" w:rsidRPr="002029AF">
              <w:t xml:space="preserve"> </w:t>
            </w:r>
            <w:r w:rsidRPr="002029AF">
              <w:t>benefits</w:t>
            </w:r>
          </w:p>
        </w:tc>
        <w:tc>
          <w:tcPr>
            <w:tcW w:w="851" w:type="dxa"/>
            <w:tcBorders>
              <w:top w:val="single" w:sz="4" w:space="0" w:color="A6A6A6"/>
              <w:bottom w:val="single" w:sz="4" w:space="0" w:color="A6A6A6"/>
            </w:tcBorders>
            <w:noWrap/>
            <w:hideMark/>
          </w:tcPr>
          <w:p w14:paraId="52088543" w14:textId="77777777" w:rsidR="0065586C" w:rsidRPr="002029AF" w:rsidRDefault="0065586C" w:rsidP="003566F1">
            <w:pPr>
              <w:pStyle w:val="ARfintablebodyright"/>
            </w:pPr>
          </w:p>
        </w:tc>
        <w:tc>
          <w:tcPr>
            <w:tcW w:w="1134" w:type="dxa"/>
            <w:tcBorders>
              <w:top w:val="single" w:sz="4" w:space="0" w:color="A6A6A6"/>
              <w:bottom w:val="single" w:sz="4" w:space="0" w:color="A6A6A6"/>
            </w:tcBorders>
            <w:shd w:val="clear" w:color="auto" w:fill="E7E6E6"/>
            <w:noWrap/>
            <w:hideMark/>
          </w:tcPr>
          <w:p w14:paraId="2BED3927" w14:textId="77777777" w:rsidR="0065586C" w:rsidRPr="002029AF" w:rsidRDefault="0065586C" w:rsidP="003566F1">
            <w:pPr>
              <w:pStyle w:val="ARfintablebodyright"/>
            </w:pPr>
            <w:r w:rsidRPr="002029AF">
              <w:t>(1,216.9)</w:t>
            </w:r>
          </w:p>
        </w:tc>
        <w:tc>
          <w:tcPr>
            <w:tcW w:w="1134" w:type="dxa"/>
            <w:tcBorders>
              <w:top w:val="single" w:sz="4" w:space="0" w:color="A6A6A6"/>
              <w:bottom w:val="single" w:sz="4" w:space="0" w:color="A6A6A6"/>
            </w:tcBorders>
            <w:noWrap/>
            <w:hideMark/>
          </w:tcPr>
          <w:p w14:paraId="46B65087" w14:textId="77777777" w:rsidR="0065586C" w:rsidRPr="002029AF" w:rsidRDefault="0065586C" w:rsidP="003566F1">
            <w:pPr>
              <w:pStyle w:val="ARfintablebodyright"/>
            </w:pPr>
            <w:r w:rsidRPr="002029AF">
              <w:t>(1,429.4)</w:t>
            </w:r>
          </w:p>
        </w:tc>
      </w:tr>
      <w:tr w:rsidR="0065586C" w:rsidRPr="002029AF" w14:paraId="270D891B" w14:textId="77777777" w:rsidTr="003566F1">
        <w:tc>
          <w:tcPr>
            <w:tcW w:w="6518" w:type="dxa"/>
            <w:tcBorders>
              <w:top w:val="single" w:sz="4" w:space="0" w:color="A6A6A6"/>
              <w:bottom w:val="single" w:sz="4" w:space="0" w:color="A6A6A6"/>
            </w:tcBorders>
            <w:hideMark/>
          </w:tcPr>
          <w:p w14:paraId="2F11D03F" w14:textId="11762B6F" w:rsidR="0065586C" w:rsidRPr="002029AF" w:rsidRDefault="0065586C" w:rsidP="003566F1">
            <w:pPr>
              <w:pStyle w:val="ARfintablebody"/>
            </w:pPr>
            <w:r w:rsidRPr="002029AF">
              <w:t>Payments</w:t>
            </w:r>
            <w:r w:rsidR="000A5329" w:rsidRPr="002029AF">
              <w:t xml:space="preserve"> </w:t>
            </w:r>
            <w:r w:rsidRPr="002029AF">
              <w:t>for</w:t>
            </w:r>
            <w:r w:rsidR="000A5329" w:rsidRPr="002029AF">
              <w:t xml:space="preserve"> </w:t>
            </w:r>
            <w:r w:rsidRPr="002029AF">
              <w:t>supplies</w:t>
            </w:r>
            <w:r w:rsidR="000A5329" w:rsidRPr="002029AF">
              <w:t xml:space="preserve"> </w:t>
            </w:r>
            <w:r w:rsidRPr="002029AF">
              <w:t>and</w:t>
            </w:r>
            <w:r w:rsidR="000A5329" w:rsidRPr="002029AF">
              <w:t xml:space="preserve"> </w:t>
            </w:r>
            <w:r w:rsidRPr="002029AF">
              <w:t>services</w:t>
            </w:r>
          </w:p>
        </w:tc>
        <w:tc>
          <w:tcPr>
            <w:tcW w:w="851" w:type="dxa"/>
            <w:tcBorders>
              <w:top w:val="single" w:sz="4" w:space="0" w:color="A6A6A6"/>
              <w:bottom w:val="single" w:sz="4" w:space="0" w:color="A6A6A6"/>
            </w:tcBorders>
            <w:noWrap/>
            <w:hideMark/>
          </w:tcPr>
          <w:p w14:paraId="596ED1CF" w14:textId="77777777" w:rsidR="0065586C" w:rsidRPr="002029AF" w:rsidRDefault="0065586C" w:rsidP="003566F1">
            <w:pPr>
              <w:pStyle w:val="ARfintablebodyright"/>
            </w:pPr>
          </w:p>
        </w:tc>
        <w:tc>
          <w:tcPr>
            <w:tcW w:w="1134" w:type="dxa"/>
            <w:tcBorders>
              <w:top w:val="single" w:sz="4" w:space="0" w:color="A6A6A6"/>
              <w:bottom w:val="single" w:sz="4" w:space="0" w:color="A6A6A6"/>
            </w:tcBorders>
            <w:shd w:val="clear" w:color="auto" w:fill="E7E6E6"/>
            <w:noWrap/>
            <w:hideMark/>
          </w:tcPr>
          <w:p w14:paraId="0B73D2A3" w14:textId="77777777" w:rsidR="0065586C" w:rsidRPr="002029AF" w:rsidRDefault="0065586C" w:rsidP="003566F1">
            <w:pPr>
              <w:pStyle w:val="ARfintablebodyright"/>
            </w:pPr>
            <w:r w:rsidRPr="002029AF">
              <w:t>(1,299.8)</w:t>
            </w:r>
          </w:p>
        </w:tc>
        <w:tc>
          <w:tcPr>
            <w:tcW w:w="1134" w:type="dxa"/>
            <w:tcBorders>
              <w:top w:val="single" w:sz="4" w:space="0" w:color="A6A6A6"/>
              <w:bottom w:val="single" w:sz="4" w:space="0" w:color="A6A6A6"/>
            </w:tcBorders>
            <w:noWrap/>
            <w:hideMark/>
          </w:tcPr>
          <w:p w14:paraId="756461EC" w14:textId="77777777" w:rsidR="0065586C" w:rsidRPr="002029AF" w:rsidRDefault="0065586C" w:rsidP="003566F1">
            <w:pPr>
              <w:pStyle w:val="ARfintablebodyright"/>
            </w:pPr>
            <w:r w:rsidRPr="002029AF">
              <w:t>(694.1)</w:t>
            </w:r>
          </w:p>
        </w:tc>
      </w:tr>
      <w:tr w:rsidR="0065586C" w:rsidRPr="002029AF" w14:paraId="796B48D3" w14:textId="77777777" w:rsidTr="003566F1">
        <w:tc>
          <w:tcPr>
            <w:tcW w:w="6518" w:type="dxa"/>
            <w:tcBorders>
              <w:top w:val="single" w:sz="4" w:space="0" w:color="A6A6A6"/>
              <w:bottom w:val="single" w:sz="4" w:space="0" w:color="A6A6A6"/>
            </w:tcBorders>
            <w:hideMark/>
          </w:tcPr>
          <w:p w14:paraId="4D5199B7" w14:textId="4BB07FCB" w:rsidR="0065586C" w:rsidRPr="002029AF" w:rsidRDefault="0065586C" w:rsidP="003566F1">
            <w:pPr>
              <w:pStyle w:val="ARfintablebody"/>
            </w:pPr>
            <w:r w:rsidRPr="002029AF">
              <w:t>Interest</w:t>
            </w:r>
            <w:r w:rsidR="000A5329" w:rsidRPr="002029AF">
              <w:t xml:space="preserve"> </w:t>
            </w:r>
            <w:r w:rsidRPr="002029AF">
              <w:t>and</w:t>
            </w:r>
            <w:r w:rsidR="000A5329" w:rsidRPr="002029AF">
              <w:t xml:space="preserve"> </w:t>
            </w:r>
            <w:r w:rsidRPr="002029AF">
              <w:t>other</w:t>
            </w:r>
            <w:r w:rsidR="000A5329" w:rsidRPr="002029AF">
              <w:t xml:space="preserve"> </w:t>
            </w:r>
            <w:r w:rsidRPr="002029AF">
              <w:t>costs</w:t>
            </w:r>
            <w:r w:rsidR="000A5329" w:rsidRPr="002029AF">
              <w:t xml:space="preserve"> </w:t>
            </w:r>
            <w:r w:rsidRPr="002029AF">
              <w:t>of</w:t>
            </w:r>
            <w:r w:rsidR="000A5329" w:rsidRPr="002029AF">
              <w:t xml:space="preserve"> </w:t>
            </w:r>
            <w:r w:rsidRPr="002029AF">
              <w:t>finance</w:t>
            </w:r>
            <w:r w:rsidR="000A5329" w:rsidRPr="002029AF">
              <w:t xml:space="preserve"> </w:t>
            </w:r>
            <w:r w:rsidRPr="002029AF">
              <w:t>paid</w:t>
            </w:r>
          </w:p>
        </w:tc>
        <w:tc>
          <w:tcPr>
            <w:tcW w:w="851" w:type="dxa"/>
            <w:tcBorders>
              <w:top w:val="single" w:sz="4" w:space="0" w:color="A6A6A6"/>
              <w:bottom w:val="single" w:sz="4" w:space="0" w:color="A6A6A6"/>
            </w:tcBorders>
            <w:noWrap/>
            <w:hideMark/>
          </w:tcPr>
          <w:p w14:paraId="4E82D134" w14:textId="77777777" w:rsidR="0065586C" w:rsidRPr="002029AF" w:rsidRDefault="0065586C" w:rsidP="003566F1">
            <w:pPr>
              <w:pStyle w:val="ARfintablebodyright"/>
            </w:pPr>
          </w:p>
        </w:tc>
        <w:tc>
          <w:tcPr>
            <w:tcW w:w="1134" w:type="dxa"/>
            <w:tcBorders>
              <w:top w:val="single" w:sz="4" w:space="0" w:color="A6A6A6"/>
              <w:bottom w:val="single" w:sz="4" w:space="0" w:color="A6A6A6"/>
            </w:tcBorders>
            <w:shd w:val="clear" w:color="auto" w:fill="E7E6E6"/>
            <w:noWrap/>
            <w:hideMark/>
          </w:tcPr>
          <w:p w14:paraId="0BA09BEC" w14:textId="77777777" w:rsidR="0065586C" w:rsidRPr="002029AF" w:rsidRDefault="0065586C" w:rsidP="003566F1">
            <w:pPr>
              <w:pStyle w:val="ARfintablebodyright"/>
            </w:pPr>
            <w:r w:rsidRPr="002029AF">
              <w:t>(9.2)</w:t>
            </w:r>
          </w:p>
        </w:tc>
        <w:tc>
          <w:tcPr>
            <w:tcW w:w="1134" w:type="dxa"/>
            <w:tcBorders>
              <w:top w:val="single" w:sz="4" w:space="0" w:color="A6A6A6"/>
              <w:bottom w:val="single" w:sz="4" w:space="0" w:color="A6A6A6"/>
            </w:tcBorders>
            <w:noWrap/>
            <w:hideMark/>
          </w:tcPr>
          <w:p w14:paraId="2B8A7305" w14:textId="77777777" w:rsidR="0065586C" w:rsidRPr="002029AF" w:rsidRDefault="0065586C" w:rsidP="003566F1">
            <w:pPr>
              <w:pStyle w:val="ARfintablebodyright"/>
            </w:pPr>
            <w:r w:rsidRPr="002029AF">
              <w:t>(4.7)</w:t>
            </w:r>
          </w:p>
        </w:tc>
      </w:tr>
      <w:tr w:rsidR="0065586C" w:rsidRPr="002029AF" w14:paraId="0BE8B44B" w14:textId="77777777" w:rsidTr="003566F1">
        <w:tc>
          <w:tcPr>
            <w:tcW w:w="6518" w:type="dxa"/>
            <w:tcBorders>
              <w:top w:val="single" w:sz="4" w:space="0" w:color="A6A6A6"/>
              <w:bottom w:val="single" w:sz="4" w:space="0" w:color="A6A6A6"/>
            </w:tcBorders>
            <w:hideMark/>
          </w:tcPr>
          <w:p w14:paraId="23D5C7D5" w14:textId="016A2F78" w:rsidR="0065586C" w:rsidRPr="002029AF" w:rsidRDefault="0065586C" w:rsidP="003566F1">
            <w:pPr>
              <w:pStyle w:val="ARfintablebody"/>
            </w:pPr>
            <w:r w:rsidRPr="002029AF">
              <w:t>Capital</w:t>
            </w:r>
            <w:r w:rsidR="000A5329" w:rsidRPr="002029AF">
              <w:t xml:space="preserve"> </w:t>
            </w:r>
            <w:r w:rsidRPr="002029AF">
              <w:t>asset</w:t>
            </w:r>
            <w:r w:rsidR="000A5329" w:rsidRPr="002029AF">
              <w:t xml:space="preserve"> </w:t>
            </w:r>
            <w:r w:rsidRPr="002029AF">
              <w:t>charge</w:t>
            </w:r>
            <w:r w:rsidR="000A5329" w:rsidRPr="002029AF">
              <w:t xml:space="preserve"> </w:t>
            </w:r>
            <w:r w:rsidRPr="002029AF">
              <w:t>payments</w:t>
            </w:r>
          </w:p>
        </w:tc>
        <w:tc>
          <w:tcPr>
            <w:tcW w:w="851" w:type="dxa"/>
            <w:tcBorders>
              <w:top w:val="single" w:sz="4" w:space="0" w:color="A6A6A6"/>
              <w:bottom w:val="single" w:sz="4" w:space="0" w:color="A6A6A6"/>
            </w:tcBorders>
            <w:noWrap/>
            <w:hideMark/>
          </w:tcPr>
          <w:p w14:paraId="5B5FEF8C" w14:textId="77777777" w:rsidR="0065586C" w:rsidRPr="002029AF" w:rsidRDefault="0065586C" w:rsidP="003566F1">
            <w:pPr>
              <w:pStyle w:val="ARfintablebodyright"/>
            </w:pPr>
          </w:p>
        </w:tc>
        <w:tc>
          <w:tcPr>
            <w:tcW w:w="1134" w:type="dxa"/>
            <w:tcBorders>
              <w:top w:val="single" w:sz="4" w:space="0" w:color="A6A6A6"/>
              <w:bottom w:val="single" w:sz="4" w:space="0" w:color="A6A6A6"/>
            </w:tcBorders>
            <w:shd w:val="clear" w:color="auto" w:fill="E7E6E6"/>
            <w:noWrap/>
            <w:hideMark/>
          </w:tcPr>
          <w:p w14:paraId="0A75BE68" w14:textId="77777777" w:rsidR="0065586C" w:rsidRPr="002029AF" w:rsidRDefault="0065586C" w:rsidP="003566F1">
            <w:pPr>
              <w:pStyle w:val="ARfintablebodyright"/>
            </w:pPr>
            <w:r w:rsidRPr="002029AF">
              <w:t>(1,319.8)</w:t>
            </w:r>
          </w:p>
        </w:tc>
        <w:tc>
          <w:tcPr>
            <w:tcW w:w="1134" w:type="dxa"/>
            <w:tcBorders>
              <w:top w:val="single" w:sz="4" w:space="0" w:color="A6A6A6"/>
              <w:bottom w:val="single" w:sz="4" w:space="0" w:color="A6A6A6"/>
            </w:tcBorders>
            <w:noWrap/>
            <w:hideMark/>
          </w:tcPr>
          <w:p w14:paraId="62164883" w14:textId="77777777" w:rsidR="0065586C" w:rsidRPr="002029AF" w:rsidRDefault="0065586C" w:rsidP="003566F1">
            <w:pPr>
              <w:pStyle w:val="ARfintablebodyright"/>
            </w:pPr>
            <w:r w:rsidRPr="002029AF">
              <w:t>(1,266.0)</w:t>
            </w:r>
          </w:p>
        </w:tc>
      </w:tr>
      <w:tr w:rsidR="0065586C" w:rsidRPr="002029AF" w14:paraId="3CF48B71" w14:textId="77777777" w:rsidTr="003566F1">
        <w:tc>
          <w:tcPr>
            <w:tcW w:w="6518" w:type="dxa"/>
            <w:tcBorders>
              <w:top w:val="single" w:sz="4" w:space="0" w:color="A6A6A6"/>
              <w:bottom w:val="single" w:sz="4" w:space="0" w:color="A6A6A6"/>
            </w:tcBorders>
            <w:hideMark/>
          </w:tcPr>
          <w:p w14:paraId="79594788" w14:textId="77777777" w:rsidR="0065586C" w:rsidRPr="002029AF" w:rsidRDefault="0065586C" w:rsidP="003566F1">
            <w:pPr>
              <w:pStyle w:val="ARfintablebody"/>
            </w:pPr>
            <w:r w:rsidRPr="002029AF">
              <w:t>Maintenance</w:t>
            </w:r>
          </w:p>
        </w:tc>
        <w:tc>
          <w:tcPr>
            <w:tcW w:w="851" w:type="dxa"/>
            <w:tcBorders>
              <w:top w:val="single" w:sz="4" w:space="0" w:color="A6A6A6"/>
              <w:bottom w:val="single" w:sz="4" w:space="0" w:color="A6A6A6"/>
            </w:tcBorders>
            <w:noWrap/>
            <w:hideMark/>
          </w:tcPr>
          <w:p w14:paraId="711A25A3" w14:textId="77777777" w:rsidR="0065586C" w:rsidRPr="002029AF" w:rsidRDefault="0065586C" w:rsidP="003566F1">
            <w:pPr>
              <w:pStyle w:val="ARfintablebodyright"/>
            </w:pPr>
          </w:p>
        </w:tc>
        <w:tc>
          <w:tcPr>
            <w:tcW w:w="1134" w:type="dxa"/>
            <w:tcBorders>
              <w:top w:val="single" w:sz="4" w:space="0" w:color="A6A6A6"/>
              <w:bottom w:val="single" w:sz="4" w:space="0" w:color="A6A6A6"/>
            </w:tcBorders>
            <w:shd w:val="clear" w:color="auto" w:fill="E7E6E6"/>
            <w:noWrap/>
            <w:hideMark/>
          </w:tcPr>
          <w:p w14:paraId="1322DA86" w14:textId="77777777" w:rsidR="0065586C" w:rsidRPr="002029AF" w:rsidRDefault="0065586C" w:rsidP="003566F1">
            <w:pPr>
              <w:pStyle w:val="ARfintablebodyright"/>
            </w:pPr>
            <w:r w:rsidRPr="002029AF">
              <w:t>(244.2)</w:t>
            </w:r>
          </w:p>
        </w:tc>
        <w:tc>
          <w:tcPr>
            <w:tcW w:w="1134" w:type="dxa"/>
            <w:tcBorders>
              <w:top w:val="single" w:sz="4" w:space="0" w:color="A6A6A6"/>
              <w:bottom w:val="single" w:sz="4" w:space="0" w:color="A6A6A6"/>
            </w:tcBorders>
            <w:noWrap/>
            <w:hideMark/>
          </w:tcPr>
          <w:p w14:paraId="3B260758" w14:textId="77777777" w:rsidR="0065586C" w:rsidRPr="002029AF" w:rsidRDefault="0065586C" w:rsidP="003566F1">
            <w:pPr>
              <w:pStyle w:val="ARfintablebodyright"/>
            </w:pPr>
            <w:r w:rsidRPr="002029AF">
              <w:t>(239.6)</w:t>
            </w:r>
          </w:p>
        </w:tc>
      </w:tr>
      <w:tr w:rsidR="0065586C" w:rsidRPr="002029AF" w14:paraId="42D7F135" w14:textId="77777777" w:rsidTr="003566F1">
        <w:tc>
          <w:tcPr>
            <w:tcW w:w="6518" w:type="dxa"/>
            <w:tcBorders>
              <w:top w:val="single" w:sz="4" w:space="0" w:color="A6A6A6"/>
            </w:tcBorders>
            <w:hideMark/>
          </w:tcPr>
          <w:p w14:paraId="0C964B0A" w14:textId="6206ECC8" w:rsidR="0065586C" w:rsidRPr="002029AF" w:rsidRDefault="0065586C" w:rsidP="003566F1">
            <w:pPr>
              <w:pStyle w:val="ARfintablebody"/>
            </w:pPr>
            <w:r w:rsidRPr="002029AF">
              <w:t>Other</w:t>
            </w:r>
            <w:r w:rsidR="000A5329" w:rsidRPr="002029AF">
              <w:t xml:space="preserve"> </w:t>
            </w:r>
            <w:r w:rsidRPr="002029AF">
              <w:t>property</w:t>
            </w:r>
            <w:r w:rsidR="000A5329" w:rsidRPr="002029AF">
              <w:t xml:space="preserve"> </w:t>
            </w:r>
            <w:r w:rsidRPr="002029AF">
              <w:t>management</w:t>
            </w:r>
            <w:r w:rsidR="000A5329" w:rsidRPr="002029AF">
              <w:t xml:space="preserve"> </w:t>
            </w:r>
            <w:r w:rsidRPr="002029AF">
              <w:t>expenses</w:t>
            </w:r>
          </w:p>
        </w:tc>
        <w:tc>
          <w:tcPr>
            <w:tcW w:w="851" w:type="dxa"/>
            <w:tcBorders>
              <w:top w:val="single" w:sz="4" w:space="0" w:color="A6A6A6"/>
            </w:tcBorders>
            <w:noWrap/>
            <w:hideMark/>
          </w:tcPr>
          <w:p w14:paraId="7CC98211" w14:textId="77777777" w:rsidR="0065586C" w:rsidRPr="002029AF" w:rsidRDefault="0065586C" w:rsidP="003566F1">
            <w:pPr>
              <w:pStyle w:val="ARfintablebodyright"/>
            </w:pPr>
          </w:p>
        </w:tc>
        <w:tc>
          <w:tcPr>
            <w:tcW w:w="1134" w:type="dxa"/>
            <w:tcBorders>
              <w:top w:val="single" w:sz="4" w:space="0" w:color="A6A6A6"/>
            </w:tcBorders>
            <w:shd w:val="clear" w:color="auto" w:fill="E7E6E6"/>
            <w:noWrap/>
            <w:hideMark/>
          </w:tcPr>
          <w:p w14:paraId="598FB24C" w14:textId="77777777" w:rsidR="0065586C" w:rsidRPr="002029AF" w:rsidRDefault="0065586C" w:rsidP="003566F1">
            <w:pPr>
              <w:pStyle w:val="ARfintablebodyright"/>
            </w:pPr>
            <w:r w:rsidRPr="002029AF">
              <w:t>(203.7)</w:t>
            </w:r>
          </w:p>
        </w:tc>
        <w:tc>
          <w:tcPr>
            <w:tcW w:w="1134" w:type="dxa"/>
            <w:tcBorders>
              <w:top w:val="single" w:sz="4" w:space="0" w:color="A6A6A6"/>
            </w:tcBorders>
            <w:noWrap/>
            <w:hideMark/>
          </w:tcPr>
          <w:p w14:paraId="78B7EBA4" w14:textId="77777777" w:rsidR="0065586C" w:rsidRPr="002029AF" w:rsidRDefault="0065586C" w:rsidP="003566F1">
            <w:pPr>
              <w:pStyle w:val="ARfintablebodyright"/>
            </w:pPr>
            <w:r w:rsidRPr="002029AF">
              <w:t>(214.5)</w:t>
            </w:r>
          </w:p>
        </w:tc>
      </w:tr>
      <w:tr w:rsidR="0065586C" w:rsidRPr="002029AF" w14:paraId="1AED9DCC" w14:textId="77777777" w:rsidTr="003566F1">
        <w:tc>
          <w:tcPr>
            <w:tcW w:w="6518" w:type="dxa"/>
            <w:hideMark/>
          </w:tcPr>
          <w:p w14:paraId="714D5731" w14:textId="00064777" w:rsidR="0065586C" w:rsidRPr="002029AF" w:rsidRDefault="0065586C" w:rsidP="003566F1">
            <w:pPr>
              <w:pStyle w:val="ARfintablebodybold"/>
            </w:pPr>
            <w:r w:rsidRPr="002029AF">
              <w:t>Total</w:t>
            </w:r>
            <w:r w:rsidR="000A5329" w:rsidRPr="002029AF">
              <w:t xml:space="preserve"> </w:t>
            </w:r>
            <w:r w:rsidRPr="002029AF">
              <w:t>payments</w:t>
            </w:r>
          </w:p>
        </w:tc>
        <w:tc>
          <w:tcPr>
            <w:tcW w:w="851" w:type="dxa"/>
            <w:noWrap/>
            <w:hideMark/>
          </w:tcPr>
          <w:p w14:paraId="3F16E3F1" w14:textId="77777777" w:rsidR="0065586C" w:rsidRPr="002029AF" w:rsidRDefault="0065586C" w:rsidP="003566F1">
            <w:pPr>
              <w:pStyle w:val="ARfintablebodyrightbold"/>
            </w:pPr>
          </w:p>
        </w:tc>
        <w:tc>
          <w:tcPr>
            <w:tcW w:w="1134" w:type="dxa"/>
            <w:shd w:val="clear" w:color="auto" w:fill="E7E6E6"/>
            <w:noWrap/>
            <w:hideMark/>
          </w:tcPr>
          <w:p w14:paraId="6C33792D" w14:textId="77777777" w:rsidR="0065586C" w:rsidRPr="002029AF" w:rsidRDefault="0065586C" w:rsidP="003566F1">
            <w:pPr>
              <w:pStyle w:val="ARfintablebodyrightbold"/>
            </w:pPr>
            <w:r w:rsidRPr="002029AF">
              <w:t>(21,860.8)</w:t>
            </w:r>
          </w:p>
        </w:tc>
        <w:tc>
          <w:tcPr>
            <w:tcW w:w="1134" w:type="dxa"/>
            <w:noWrap/>
            <w:hideMark/>
          </w:tcPr>
          <w:p w14:paraId="0DBCB161" w14:textId="77777777" w:rsidR="0065586C" w:rsidRPr="002029AF" w:rsidRDefault="0065586C" w:rsidP="003566F1">
            <w:pPr>
              <w:pStyle w:val="ARfintablebodyrightbold"/>
            </w:pPr>
            <w:r w:rsidRPr="002029AF">
              <w:t>(19,406.5)</w:t>
            </w:r>
          </w:p>
        </w:tc>
      </w:tr>
      <w:tr w:rsidR="0065586C" w:rsidRPr="002029AF" w14:paraId="18D6E26D" w14:textId="77777777" w:rsidTr="003566F1">
        <w:tc>
          <w:tcPr>
            <w:tcW w:w="6518" w:type="dxa"/>
            <w:tcBorders>
              <w:bottom w:val="single" w:sz="4" w:space="0" w:color="auto"/>
            </w:tcBorders>
            <w:hideMark/>
          </w:tcPr>
          <w:p w14:paraId="28CB607F" w14:textId="6059EE12" w:rsidR="0065586C" w:rsidRPr="002029AF" w:rsidRDefault="0065586C" w:rsidP="003566F1">
            <w:pPr>
              <w:pStyle w:val="ARfintablebodybold"/>
            </w:pPr>
            <w:r w:rsidRPr="002029AF">
              <w:t>Net</w:t>
            </w:r>
            <w:r w:rsidR="000A5329" w:rsidRPr="002029AF">
              <w:t xml:space="preserve"> </w:t>
            </w:r>
            <w:r w:rsidRPr="002029AF">
              <w:t>cash</w:t>
            </w:r>
            <w:r w:rsidR="000A5329" w:rsidRPr="002029AF">
              <w:t xml:space="preserve"> </w:t>
            </w:r>
            <w:r w:rsidRPr="002029AF">
              <w:t>flows</w:t>
            </w:r>
            <w:r w:rsidR="000A5329" w:rsidRPr="002029AF">
              <w:t xml:space="preserve"> </w:t>
            </w:r>
            <w:r w:rsidRPr="002029AF">
              <w:t>from</w:t>
            </w:r>
            <w:r w:rsidR="00DF4DCC" w:rsidRPr="002029AF">
              <w:t>/ (</w:t>
            </w:r>
            <w:r w:rsidRPr="002029AF">
              <w:t>used</w:t>
            </w:r>
            <w:r w:rsidR="000A5329" w:rsidRPr="002029AF">
              <w:t xml:space="preserve"> </w:t>
            </w:r>
            <w:r w:rsidRPr="002029AF">
              <w:t>in)</w:t>
            </w:r>
            <w:r w:rsidR="000A5329" w:rsidRPr="002029AF">
              <w:t xml:space="preserve"> </w:t>
            </w:r>
            <w:r w:rsidRPr="002029AF">
              <w:t>operating</w:t>
            </w:r>
            <w:r w:rsidR="000A5329" w:rsidRPr="002029AF">
              <w:t xml:space="preserve"> </w:t>
            </w:r>
            <w:r w:rsidRPr="002029AF">
              <w:t>activities</w:t>
            </w:r>
          </w:p>
        </w:tc>
        <w:tc>
          <w:tcPr>
            <w:tcW w:w="851" w:type="dxa"/>
            <w:tcBorders>
              <w:bottom w:val="single" w:sz="4" w:space="0" w:color="auto"/>
            </w:tcBorders>
            <w:noWrap/>
            <w:hideMark/>
          </w:tcPr>
          <w:p w14:paraId="1D41A342" w14:textId="77777777" w:rsidR="0065586C" w:rsidRPr="002029AF" w:rsidRDefault="0065586C" w:rsidP="003566F1">
            <w:pPr>
              <w:pStyle w:val="ARfintablebodyright"/>
            </w:pPr>
            <w:r w:rsidRPr="002029AF">
              <w:t>7.3.1</w:t>
            </w:r>
          </w:p>
        </w:tc>
        <w:tc>
          <w:tcPr>
            <w:tcW w:w="1134" w:type="dxa"/>
            <w:tcBorders>
              <w:bottom w:val="single" w:sz="4" w:space="0" w:color="auto"/>
            </w:tcBorders>
            <w:shd w:val="clear" w:color="auto" w:fill="E7E6E6"/>
            <w:noWrap/>
            <w:hideMark/>
          </w:tcPr>
          <w:p w14:paraId="7A20DA83" w14:textId="77777777" w:rsidR="0065586C" w:rsidRPr="002029AF" w:rsidRDefault="0065586C" w:rsidP="003566F1">
            <w:pPr>
              <w:pStyle w:val="ARfintablebodyrightbold"/>
            </w:pPr>
            <w:r w:rsidRPr="002029AF">
              <w:t>(96.9)</w:t>
            </w:r>
          </w:p>
        </w:tc>
        <w:tc>
          <w:tcPr>
            <w:tcW w:w="1134" w:type="dxa"/>
            <w:tcBorders>
              <w:bottom w:val="single" w:sz="4" w:space="0" w:color="auto"/>
            </w:tcBorders>
            <w:noWrap/>
            <w:hideMark/>
          </w:tcPr>
          <w:p w14:paraId="596BD4FD" w14:textId="77777777" w:rsidR="0065586C" w:rsidRPr="002029AF" w:rsidRDefault="0065586C" w:rsidP="003566F1">
            <w:pPr>
              <w:pStyle w:val="ARfintablebodyrightbold"/>
            </w:pPr>
            <w:r w:rsidRPr="002029AF">
              <w:t>325.9</w:t>
            </w:r>
          </w:p>
        </w:tc>
      </w:tr>
      <w:tr w:rsidR="0065586C" w:rsidRPr="002029AF" w14:paraId="0A1B63B4" w14:textId="77777777" w:rsidTr="003566F1">
        <w:tc>
          <w:tcPr>
            <w:tcW w:w="9637" w:type="dxa"/>
            <w:gridSpan w:val="4"/>
            <w:tcBorders>
              <w:top w:val="single" w:sz="4" w:space="0" w:color="auto"/>
              <w:bottom w:val="single" w:sz="4" w:space="0" w:color="A6A6A6"/>
            </w:tcBorders>
            <w:hideMark/>
          </w:tcPr>
          <w:p w14:paraId="06B93463" w14:textId="2E04ABF6" w:rsidR="0065586C" w:rsidRPr="002029AF" w:rsidRDefault="0065586C" w:rsidP="003566F1">
            <w:pPr>
              <w:pStyle w:val="ARfintablecolhead"/>
            </w:pPr>
            <w:r w:rsidRPr="002029AF">
              <w:t>Cash</w:t>
            </w:r>
            <w:r w:rsidR="000A5329" w:rsidRPr="002029AF">
              <w:t xml:space="preserve"> </w:t>
            </w:r>
            <w:r w:rsidRPr="002029AF">
              <w:t>flows</w:t>
            </w:r>
            <w:r w:rsidR="000A5329" w:rsidRPr="002029AF">
              <w:t xml:space="preserve"> </w:t>
            </w:r>
            <w:r w:rsidRPr="002029AF">
              <w:t>from</w:t>
            </w:r>
            <w:r w:rsidR="000A5329" w:rsidRPr="002029AF">
              <w:t xml:space="preserve"> </w:t>
            </w:r>
            <w:r w:rsidRPr="002029AF">
              <w:t>investing</w:t>
            </w:r>
            <w:r w:rsidR="000A5329" w:rsidRPr="002029AF">
              <w:t xml:space="preserve"> </w:t>
            </w:r>
            <w:r w:rsidRPr="002029AF">
              <w:t>activities</w:t>
            </w:r>
          </w:p>
        </w:tc>
      </w:tr>
      <w:tr w:rsidR="0065586C" w:rsidRPr="002029AF" w14:paraId="2CFF48C8" w14:textId="77777777" w:rsidTr="003566F1">
        <w:tc>
          <w:tcPr>
            <w:tcW w:w="6518" w:type="dxa"/>
            <w:tcBorders>
              <w:top w:val="single" w:sz="4" w:space="0" w:color="A6A6A6"/>
              <w:bottom w:val="single" w:sz="4" w:space="0" w:color="A6A6A6"/>
            </w:tcBorders>
            <w:hideMark/>
          </w:tcPr>
          <w:p w14:paraId="57CCAA89" w14:textId="191FE5A9" w:rsidR="0065586C" w:rsidRPr="002029AF" w:rsidRDefault="0065586C" w:rsidP="003566F1">
            <w:pPr>
              <w:pStyle w:val="ARfintablebody"/>
            </w:pPr>
            <w:r w:rsidRPr="002029AF">
              <w:t>Proceeds</w:t>
            </w:r>
            <w:r w:rsidR="000A5329" w:rsidRPr="002029AF">
              <w:t xml:space="preserve"> </w:t>
            </w:r>
            <w:r w:rsidRPr="002029AF">
              <w:t>from</w:t>
            </w:r>
            <w:r w:rsidR="000A5329" w:rsidRPr="002029AF">
              <w:t xml:space="preserve"> </w:t>
            </w:r>
            <w:r w:rsidRPr="002029AF">
              <w:t>the</w:t>
            </w:r>
            <w:r w:rsidR="000A5329" w:rsidRPr="002029AF">
              <w:t xml:space="preserve"> </w:t>
            </w:r>
            <w:r w:rsidRPr="002029AF">
              <w:t>sale</w:t>
            </w:r>
            <w:r w:rsidR="000A5329" w:rsidRPr="002029AF">
              <w:t xml:space="preserve"> </w:t>
            </w:r>
            <w:r w:rsidRPr="002029AF">
              <w:t>of</w:t>
            </w:r>
            <w:r w:rsidR="000A5329" w:rsidRPr="002029AF">
              <w:t xml:space="preserve"> </w:t>
            </w:r>
            <w:r w:rsidRPr="002029AF">
              <w:t>non-financial</w:t>
            </w:r>
            <w:r w:rsidR="000A5329" w:rsidRPr="002029AF">
              <w:t xml:space="preserve"> </w:t>
            </w:r>
            <w:r w:rsidRPr="002029AF">
              <w:t>assets</w:t>
            </w:r>
          </w:p>
        </w:tc>
        <w:tc>
          <w:tcPr>
            <w:tcW w:w="851" w:type="dxa"/>
            <w:tcBorders>
              <w:top w:val="single" w:sz="4" w:space="0" w:color="A6A6A6"/>
              <w:bottom w:val="single" w:sz="4" w:space="0" w:color="A6A6A6"/>
            </w:tcBorders>
            <w:noWrap/>
            <w:hideMark/>
          </w:tcPr>
          <w:p w14:paraId="61B721CF" w14:textId="77777777" w:rsidR="0065586C" w:rsidRPr="002029AF" w:rsidRDefault="0065586C" w:rsidP="003566F1">
            <w:pPr>
              <w:pStyle w:val="ARfintablebodyright"/>
            </w:pPr>
          </w:p>
        </w:tc>
        <w:tc>
          <w:tcPr>
            <w:tcW w:w="1134" w:type="dxa"/>
            <w:tcBorders>
              <w:top w:val="single" w:sz="4" w:space="0" w:color="A6A6A6"/>
              <w:bottom w:val="single" w:sz="4" w:space="0" w:color="A6A6A6"/>
            </w:tcBorders>
            <w:shd w:val="clear" w:color="auto" w:fill="E7E6E6"/>
            <w:noWrap/>
            <w:hideMark/>
          </w:tcPr>
          <w:p w14:paraId="4998EC73" w14:textId="77777777" w:rsidR="0065586C" w:rsidRPr="002029AF" w:rsidRDefault="0065586C" w:rsidP="003566F1">
            <w:pPr>
              <w:pStyle w:val="ARfintablebodyright"/>
            </w:pPr>
            <w:r w:rsidRPr="002029AF">
              <w:t>105.0</w:t>
            </w:r>
          </w:p>
        </w:tc>
        <w:tc>
          <w:tcPr>
            <w:tcW w:w="1134" w:type="dxa"/>
            <w:tcBorders>
              <w:top w:val="single" w:sz="4" w:space="0" w:color="A6A6A6"/>
              <w:bottom w:val="single" w:sz="4" w:space="0" w:color="A6A6A6"/>
            </w:tcBorders>
            <w:noWrap/>
            <w:hideMark/>
          </w:tcPr>
          <w:p w14:paraId="0AB3C0FC" w14:textId="77777777" w:rsidR="0065586C" w:rsidRPr="002029AF" w:rsidRDefault="0065586C" w:rsidP="003566F1">
            <w:pPr>
              <w:pStyle w:val="ARfintablebodyright"/>
            </w:pPr>
            <w:r w:rsidRPr="002029AF">
              <w:t>71.0</w:t>
            </w:r>
          </w:p>
        </w:tc>
      </w:tr>
      <w:tr w:rsidR="0065586C" w:rsidRPr="002029AF" w14:paraId="64CA3E62" w14:textId="77777777" w:rsidTr="003566F1">
        <w:tc>
          <w:tcPr>
            <w:tcW w:w="6518" w:type="dxa"/>
            <w:tcBorders>
              <w:top w:val="single" w:sz="4" w:space="0" w:color="A6A6A6"/>
              <w:bottom w:val="single" w:sz="4" w:space="0" w:color="A6A6A6"/>
            </w:tcBorders>
            <w:hideMark/>
          </w:tcPr>
          <w:p w14:paraId="5897F433" w14:textId="74D97D32" w:rsidR="0065586C" w:rsidRPr="002029AF" w:rsidRDefault="0065586C" w:rsidP="003566F1">
            <w:pPr>
              <w:pStyle w:val="ARfintablebody"/>
            </w:pPr>
            <w:r w:rsidRPr="002029AF">
              <w:t>(Purchase)/redemption</w:t>
            </w:r>
            <w:r w:rsidR="000A5329" w:rsidRPr="002029AF">
              <w:t xml:space="preserve"> </w:t>
            </w:r>
            <w:r w:rsidRPr="002029AF">
              <w:t>of</w:t>
            </w:r>
            <w:r w:rsidR="000A5329" w:rsidRPr="002029AF">
              <w:t xml:space="preserve"> </w:t>
            </w:r>
            <w:r w:rsidRPr="002029AF">
              <w:t>short-term</w:t>
            </w:r>
            <w:r w:rsidR="000A5329" w:rsidRPr="002029AF">
              <w:t xml:space="preserve"> </w:t>
            </w:r>
            <w:r w:rsidRPr="002029AF">
              <w:t>investments</w:t>
            </w:r>
            <w:r w:rsidR="000A5329" w:rsidRPr="002029AF">
              <w:t xml:space="preserve"> </w:t>
            </w:r>
            <w:r w:rsidRPr="002029AF">
              <w:t>–</w:t>
            </w:r>
            <w:r w:rsidR="000A5329" w:rsidRPr="002029AF">
              <w:t xml:space="preserve"> </w:t>
            </w:r>
            <w:r w:rsidRPr="002029AF">
              <w:t>term</w:t>
            </w:r>
            <w:r w:rsidR="000A5329" w:rsidRPr="002029AF">
              <w:t xml:space="preserve"> </w:t>
            </w:r>
            <w:r w:rsidRPr="002029AF">
              <w:t>deposits</w:t>
            </w:r>
          </w:p>
        </w:tc>
        <w:tc>
          <w:tcPr>
            <w:tcW w:w="851" w:type="dxa"/>
            <w:tcBorders>
              <w:top w:val="single" w:sz="4" w:space="0" w:color="A6A6A6"/>
              <w:bottom w:val="single" w:sz="4" w:space="0" w:color="A6A6A6"/>
            </w:tcBorders>
            <w:noWrap/>
            <w:hideMark/>
          </w:tcPr>
          <w:p w14:paraId="588036AC" w14:textId="77777777" w:rsidR="0065586C" w:rsidRPr="002029AF" w:rsidRDefault="0065586C" w:rsidP="003566F1">
            <w:pPr>
              <w:pStyle w:val="ARfintablebodyright"/>
            </w:pPr>
          </w:p>
        </w:tc>
        <w:tc>
          <w:tcPr>
            <w:tcW w:w="1134" w:type="dxa"/>
            <w:tcBorders>
              <w:top w:val="single" w:sz="4" w:space="0" w:color="A6A6A6"/>
              <w:bottom w:val="single" w:sz="4" w:space="0" w:color="A6A6A6"/>
            </w:tcBorders>
            <w:shd w:val="clear" w:color="auto" w:fill="E7E6E6"/>
            <w:noWrap/>
            <w:hideMark/>
          </w:tcPr>
          <w:p w14:paraId="49BE3EC6" w14:textId="77777777" w:rsidR="0065586C" w:rsidRPr="002029AF" w:rsidRDefault="0065586C" w:rsidP="003566F1">
            <w:pPr>
              <w:pStyle w:val="ARfintablebodyright"/>
            </w:pPr>
            <w:r w:rsidRPr="002029AF">
              <w:t>100.0</w:t>
            </w:r>
          </w:p>
        </w:tc>
        <w:tc>
          <w:tcPr>
            <w:tcW w:w="1134" w:type="dxa"/>
            <w:tcBorders>
              <w:top w:val="single" w:sz="4" w:space="0" w:color="A6A6A6"/>
              <w:bottom w:val="single" w:sz="4" w:space="0" w:color="A6A6A6"/>
            </w:tcBorders>
            <w:noWrap/>
            <w:hideMark/>
          </w:tcPr>
          <w:p w14:paraId="227B070D" w14:textId="77777777" w:rsidR="0065586C" w:rsidRPr="002029AF" w:rsidRDefault="0065586C" w:rsidP="003566F1">
            <w:pPr>
              <w:pStyle w:val="ARfintablebodyright"/>
            </w:pPr>
            <w:r w:rsidRPr="002029AF">
              <w:t>434.8</w:t>
            </w:r>
          </w:p>
        </w:tc>
      </w:tr>
      <w:tr w:rsidR="0065586C" w:rsidRPr="002029AF" w14:paraId="52A4F4D4" w14:textId="77777777" w:rsidTr="003566F1">
        <w:tc>
          <w:tcPr>
            <w:tcW w:w="6518" w:type="dxa"/>
            <w:tcBorders>
              <w:top w:val="single" w:sz="4" w:space="0" w:color="A6A6A6"/>
              <w:bottom w:val="single" w:sz="4" w:space="0" w:color="A6A6A6"/>
            </w:tcBorders>
            <w:hideMark/>
          </w:tcPr>
          <w:p w14:paraId="3DC82C70" w14:textId="6BAB7365" w:rsidR="0065586C" w:rsidRPr="002029AF" w:rsidRDefault="0065586C" w:rsidP="003566F1">
            <w:pPr>
              <w:pStyle w:val="ARfintablebody"/>
            </w:pPr>
            <w:r w:rsidRPr="002029AF">
              <w:t>Client</w:t>
            </w:r>
            <w:r w:rsidR="000A5329" w:rsidRPr="002029AF">
              <w:t xml:space="preserve"> </w:t>
            </w:r>
            <w:r w:rsidRPr="002029AF">
              <w:t>loans</w:t>
            </w:r>
            <w:r w:rsidR="000A5329" w:rsidRPr="002029AF">
              <w:t xml:space="preserve"> </w:t>
            </w:r>
            <w:r w:rsidRPr="002029AF">
              <w:t>repaid</w:t>
            </w:r>
          </w:p>
        </w:tc>
        <w:tc>
          <w:tcPr>
            <w:tcW w:w="851" w:type="dxa"/>
            <w:tcBorders>
              <w:top w:val="single" w:sz="4" w:space="0" w:color="A6A6A6"/>
              <w:bottom w:val="single" w:sz="4" w:space="0" w:color="A6A6A6"/>
            </w:tcBorders>
            <w:noWrap/>
            <w:hideMark/>
          </w:tcPr>
          <w:p w14:paraId="435DA1AC" w14:textId="77777777" w:rsidR="0065586C" w:rsidRPr="002029AF" w:rsidRDefault="0065586C" w:rsidP="003566F1">
            <w:pPr>
              <w:pStyle w:val="ARfintablebodyright"/>
            </w:pPr>
          </w:p>
        </w:tc>
        <w:tc>
          <w:tcPr>
            <w:tcW w:w="1134" w:type="dxa"/>
            <w:tcBorders>
              <w:top w:val="single" w:sz="4" w:space="0" w:color="A6A6A6"/>
              <w:bottom w:val="single" w:sz="4" w:space="0" w:color="A6A6A6"/>
            </w:tcBorders>
            <w:shd w:val="clear" w:color="auto" w:fill="E7E6E6"/>
            <w:noWrap/>
            <w:hideMark/>
          </w:tcPr>
          <w:p w14:paraId="7A102D48" w14:textId="77777777" w:rsidR="0065586C" w:rsidRPr="002029AF" w:rsidRDefault="0065586C" w:rsidP="003566F1">
            <w:pPr>
              <w:pStyle w:val="ARfintablebodyright"/>
            </w:pPr>
            <w:r w:rsidRPr="002029AF">
              <w:t>14.9</w:t>
            </w:r>
          </w:p>
        </w:tc>
        <w:tc>
          <w:tcPr>
            <w:tcW w:w="1134" w:type="dxa"/>
            <w:tcBorders>
              <w:top w:val="single" w:sz="4" w:space="0" w:color="A6A6A6"/>
              <w:bottom w:val="single" w:sz="4" w:space="0" w:color="A6A6A6"/>
            </w:tcBorders>
            <w:noWrap/>
            <w:hideMark/>
          </w:tcPr>
          <w:p w14:paraId="59A60F47" w14:textId="77777777" w:rsidR="0065586C" w:rsidRPr="002029AF" w:rsidRDefault="0065586C" w:rsidP="003566F1">
            <w:pPr>
              <w:pStyle w:val="ARfintablebodyright"/>
            </w:pPr>
            <w:r w:rsidRPr="002029AF">
              <w:t>14.7</w:t>
            </w:r>
          </w:p>
        </w:tc>
      </w:tr>
      <w:tr w:rsidR="0065586C" w:rsidRPr="002029AF" w14:paraId="074055D2" w14:textId="77777777" w:rsidTr="003566F1">
        <w:tc>
          <w:tcPr>
            <w:tcW w:w="6518" w:type="dxa"/>
            <w:tcBorders>
              <w:top w:val="single" w:sz="4" w:space="0" w:color="A6A6A6"/>
              <w:bottom w:val="single" w:sz="4" w:space="0" w:color="A6A6A6"/>
            </w:tcBorders>
            <w:hideMark/>
          </w:tcPr>
          <w:p w14:paraId="1D514149" w14:textId="7F10A817" w:rsidR="0065586C" w:rsidRPr="002029AF" w:rsidRDefault="0065586C" w:rsidP="003566F1">
            <w:pPr>
              <w:pStyle w:val="ARfintablebody"/>
            </w:pPr>
            <w:r w:rsidRPr="002029AF">
              <w:t>Payment</w:t>
            </w:r>
            <w:r w:rsidR="000A5329" w:rsidRPr="002029AF">
              <w:t xml:space="preserve"> </w:t>
            </w:r>
            <w:r w:rsidRPr="002029AF">
              <w:t>for</w:t>
            </w:r>
            <w:r w:rsidR="000A5329" w:rsidRPr="002029AF">
              <w:t xml:space="preserve"> </w:t>
            </w:r>
            <w:r w:rsidRPr="002029AF">
              <w:t>non-financial</w:t>
            </w:r>
            <w:r w:rsidR="000A5329" w:rsidRPr="002029AF">
              <w:t xml:space="preserve"> </w:t>
            </w:r>
            <w:r w:rsidRPr="002029AF">
              <w:t>assets</w:t>
            </w:r>
          </w:p>
        </w:tc>
        <w:tc>
          <w:tcPr>
            <w:tcW w:w="851" w:type="dxa"/>
            <w:tcBorders>
              <w:top w:val="single" w:sz="4" w:space="0" w:color="A6A6A6"/>
              <w:bottom w:val="single" w:sz="4" w:space="0" w:color="A6A6A6"/>
            </w:tcBorders>
            <w:noWrap/>
            <w:hideMark/>
          </w:tcPr>
          <w:p w14:paraId="51423FF2" w14:textId="77777777" w:rsidR="0065586C" w:rsidRPr="002029AF" w:rsidRDefault="0065586C" w:rsidP="003566F1">
            <w:pPr>
              <w:pStyle w:val="ARfintablebodyright"/>
            </w:pPr>
          </w:p>
        </w:tc>
        <w:tc>
          <w:tcPr>
            <w:tcW w:w="1134" w:type="dxa"/>
            <w:tcBorders>
              <w:top w:val="single" w:sz="4" w:space="0" w:color="A6A6A6"/>
              <w:bottom w:val="single" w:sz="4" w:space="0" w:color="A6A6A6"/>
            </w:tcBorders>
            <w:shd w:val="clear" w:color="auto" w:fill="E7E6E6"/>
            <w:noWrap/>
            <w:hideMark/>
          </w:tcPr>
          <w:p w14:paraId="759C0A1E" w14:textId="77777777" w:rsidR="0065586C" w:rsidRPr="002029AF" w:rsidRDefault="0065586C" w:rsidP="003566F1">
            <w:pPr>
              <w:pStyle w:val="ARfintablebodyright"/>
            </w:pPr>
            <w:r w:rsidRPr="002029AF">
              <w:t>(585.4)</w:t>
            </w:r>
          </w:p>
        </w:tc>
        <w:tc>
          <w:tcPr>
            <w:tcW w:w="1134" w:type="dxa"/>
            <w:tcBorders>
              <w:top w:val="single" w:sz="4" w:space="0" w:color="A6A6A6"/>
              <w:bottom w:val="single" w:sz="4" w:space="0" w:color="A6A6A6"/>
            </w:tcBorders>
            <w:noWrap/>
            <w:hideMark/>
          </w:tcPr>
          <w:p w14:paraId="7E3D0D9E" w14:textId="77777777" w:rsidR="0065586C" w:rsidRPr="002029AF" w:rsidRDefault="0065586C" w:rsidP="003566F1">
            <w:pPr>
              <w:pStyle w:val="ARfintablebodyright"/>
            </w:pPr>
            <w:r w:rsidRPr="002029AF">
              <w:t>(460.5)</w:t>
            </w:r>
          </w:p>
        </w:tc>
      </w:tr>
      <w:tr w:rsidR="0065586C" w:rsidRPr="002029AF" w14:paraId="632655E6" w14:textId="77777777" w:rsidTr="003566F1">
        <w:tc>
          <w:tcPr>
            <w:tcW w:w="6518" w:type="dxa"/>
            <w:tcBorders>
              <w:top w:val="single" w:sz="4" w:space="0" w:color="A6A6A6"/>
            </w:tcBorders>
            <w:hideMark/>
          </w:tcPr>
          <w:p w14:paraId="4A2910A9" w14:textId="4D39CEFF" w:rsidR="0065586C" w:rsidRPr="002029AF" w:rsidRDefault="0065586C" w:rsidP="003566F1">
            <w:pPr>
              <w:pStyle w:val="ARfintablebody"/>
            </w:pPr>
            <w:r w:rsidRPr="002029AF">
              <w:t>Client</w:t>
            </w:r>
            <w:r w:rsidR="000A5329" w:rsidRPr="002029AF">
              <w:t xml:space="preserve"> </w:t>
            </w:r>
            <w:r w:rsidRPr="002029AF">
              <w:t>loans</w:t>
            </w:r>
            <w:r w:rsidR="000A5329" w:rsidRPr="002029AF">
              <w:t xml:space="preserve"> </w:t>
            </w:r>
            <w:r w:rsidRPr="002029AF">
              <w:t>granted</w:t>
            </w:r>
          </w:p>
        </w:tc>
        <w:tc>
          <w:tcPr>
            <w:tcW w:w="851" w:type="dxa"/>
            <w:tcBorders>
              <w:top w:val="single" w:sz="4" w:space="0" w:color="A6A6A6"/>
            </w:tcBorders>
            <w:noWrap/>
            <w:hideMark/>
          </w:tcPr>
          <w:p w14:paraId="24710627" w14:textId="77777777" w:rsidR="0065586C" w:rsidRPr="002029AF" w:rsidRDefault="0065586C" w:rsidP="003566F1">
            <w:pPr>
              <w:pStyle w:val="ARfintablebodyright"/>
            </w:pPr>
          </w:p>
        </w:tc>
        <w:tc>
          <w:tcPr>
            <w:tcW w:w="1134" w:type="dxa"/>
            <w:tcBorders>
              <w:top w:val="single" w:sz="4" w:space="0" w:color="A6A6A6"/>
            </w:tcBorders>
            <w:shd w:val="clear" w:color="auto" w:fill="E7E6E6"/>
            <w:noWrap/>
            <w:hideMark/>
          </w:tcPr>
          <w:p w14:paraId="1F05C915" w14:textId="77777777" w:rsidR="0065586C" w:rsidRPr="002029AF" w:rsidRDefault="0065586C" w:rsidP="003566F1">
            <w:pPr>
              <w:pStyle w:val="ARfintablebodyright"/>
            </w:pPr>
            <w:r w:rsidRPr="002029AF">
              <w:t>(308.1)</w:t>
            </w:r>
          </w:p>
        </w:tc>
        <w:tc>
          <w:tcPr>
            <w:tcW w:w="1134" w:type="dxa"/>
            <w:tcBorders>
              <w:top w:val="single" w:sz="4" w:space="0" w:color="A6A6A6"/>
            </w:tcBorders>
            <w:noWrap/>
            <w:hideMark/>
          </w:tcPr>
          <w:p w14:paraId="3BFFE5F9" w14:textId="77777777" w:rsidR="0065586C" w:rsidRPr="002029AF" w:rsidRDefault="0065586C" w:rsidP="003566F1">
            <w:pPr>
              <w:pStyle w:val="ARfintablebodyright"/>
            </w:pPr>
            <w:r w:rsidRPr="002029AF">
              <w:t>(0.7)</w:t>
            </w:r>
          </w:p>
        </w:tc>
      </w:tr>
      <w:tr w:rsidR="0065586C" w:rsidRPr="002029AF" w14:paraId="4FCF791A" w14:textId="77777777" w:rsidTr="003566F1">
        <w:tc>
          <w:tcPr>
            <w:tcW w:w="6518" w:type="dxa"/>
            <w:tcBorders>
              <w:bottom w:val="single" w:sz="4" w:space="0" w:color="auto"/>
            </w:tcBorders>
            <w:hideMark/>
          </w:tcPr>
          <w:p w14:paraId="50BA4D98" w14:textId="74BF1F6F" w:rsidR="0065586C" w:rsidRPr="002029AF" w:rsidRDefault="0065586C" w:rsidP="003566F1">
            <w:pPr>
              <w:pStyle w:val="ARfintablebodybold"/>
            </w:pPr>
            <w:r w:rsidRPr="002029AF">
              <w:t>Net</w:t>
            </w:r>
            <w:r w:rsidR="000A5329" w:rsidRPr="002029AF">
              <w:t xml:space="preserve"> </w:t>
            </w:r>
            <w:r w:rsidRPr="002029AF">
              <w:t>cash</w:t>
            </w:r>
            <w:r w:rsidR="000A5329" w:rsidRPr="002029AF">
              <w:t xml:space="preserve"> </w:t>
            </w:r>
            <w:r w:rsidRPr="002029AF">
              <w:t>flows</w:t>
            </w:r>
            <w:r w:rsidR="000A5329" w:rsidRPr="002029AF">
              <w:t xml:space="preserve"> </w:t>
            </w:r>
            <w:r w:rsidRPr="002029AF">
              <w:t>from</w:t>
            </w:r>
            <w:r w:rsidR="00DF4DCC" w:rsidRPr="002029AF">
              <w:t>/ (</w:t>
            </w:r>
            <w:r w:rsidRPr="002029AF">
              <w:t>used</w:t>
            </w:r>
            <w:r w:rsidR="000A5329" w:rsidRPr="002029AF">
              <w:t xml:space="preserve"> </w:t>
            </w:r>
            <w:r w:rsidRPr="002029AF">
              <w:t>in)</w:t>
            </w:r>
            <w:r w:rsidR="000A5329" w:rsidRPr="002029AF">
              <w:t xml:space="preserve"> </w:t>
            </w:r>
            <w:r w:rsidRPr="002029AF">
              <w:t>investing</w:t>
            </w:r>
            <w:r w:rsidR="000A5329" w:rsidRPr="002029AF">
              <w:t xml:space="preserve"> </w:t>
            </w:r>
            <w:r w:rsidRPr="002029AF">
              <w:t>activities</w:t>
            </w:r>
          </w:p>
        </w:tc>
        <w:tc>
          <w:tcPr>
            <w:tcW w:w="851" w:type="dxa"/>
            <w:tcBorders>
              <w:bottom w:val="single" w:sz="4" w:space="0" w:color="auto"/>
            </w:tcBorders>
            <w:hideMark/>
          </w:tcPr>
          <w:p w14:paraId="163F8F6C" w14:textId="77777777" w:rsidR="0065586C" w:rsidRPr="002029AF" w:rsidRDefault="0065586C" w:rsidP="003566F1">
            <w:pPr>
              <w:pStyle w:val="ARfintablebodyrightbold"/>
            </w:pPr>
          </w:p>
        </w:tc>
        <w:tc>
          <w:tcPr>
            <w:tcW w:w="1134" w:type="dxa"/>
            <w:tcBorders>
              <w:bottom w:val="single" w:sz="4" w:space="0" w:color="auto"/>
            </w:tcBorders>
            <w:shd w:val="clear" w:color="auto" w:fill="E7E6E6"/>
            <w:noWrap/>
            <w:hideMark/>
          </w:tcPr>
          <w:p w14:paraId="1F6DD57D" w14:textId="77777777" w:rsidR="0065586C" w:rsidRPr="002029AF" w:rsidRDefault="0065586C" w:rsidP="003566F1">
            <w:pPr>
              <w:pStyle w:val="ARfintablebodyrightbold"/>
            </w:pPr>
            <w:r w:rsidRPr="002029AF">
              <w:t>(673.5)</w:t>
            </w:r>
          </w:p>
        </w:tc>
        <w:tc>
          <w:tcPr>
            <w:tcW w:w="1134" w:type="dxa"/>
            <w:tcBorders>
              <w:bottom w:val="single" w:sz="4" w:space="0" w:color="auto"/>
            </w:tcBorders>
            <w:noWrap/>
            <w:hideMark/>
          </w:tcPr>
          <w:p w14:paraId="53A3D92D" w14:textId="77777777" w:rsidR="0065586C" w:rsidRPr="002029AF" w:rsidRDefault="0065586C" w:rsidP="003566F1">
            <w:pPr>
              <w:pStyle w:val="ARfintablebodyrightbold"/>
            </w:pPr>
            <w:r w:rsidRPr="002029AF">
              <w:t>59.4</w:t>
            </w:r>
          </w:p>
        </w:tc>
      </w:tr>
      <w:tr w:rsidR="0065586C" w:rsidRPr="002029AF" w14:paraId="07D97C2E" w14:textId="77777777" w:rsidTr="003566F1">
        <w:tc>
          <w:tcPr>
            <w:tcW w:w="9637" w:type="dxa"/>
            <w:gridSpan w:val="4"/>
            <w:tcBorders>
              <w:top w:val="single" w:sz="4" w:space="0" w:color="auto"/>
              <w:bottom w:val="single" w:sz="4" w:space="0" w:color="A6A6A6"/>
            </w:tcBorders>
            <w:hideMark/>
          </w:tcPr>
          <w:p w14:paraId="6565A78B" w14:textId="7AC0C9B3" w:rsidR="0065586C" w:rsidRPr="002029AF" w:rsidRDefault="0065586C" w:rsidP="003566F1">
            <w:pPr>
              <w:pStyle w:val="ARfintablecolhead"/>
            </w:pPr>
            <w:r w:rsidRPr="002029AF">
              <w:t>Cash</w:t>
            </w:r>
            <w:r w:rsidR="000A5329" w:rsidRPr="002029AF">
              <w:t xml:space="preserve"> </w:t>
            </w:r>
            <w:r w:rsidRPr="002029AF">
              <w:t>flows</w:t>
            </w:r>
            <w:r w:rsidR="000A5329" w:rsidRPr="002029AF">
              <w:t xml:space="preserve"> </w:t>
            </w:r>
            <w:r w:rsidRPr="002029AF">
              <w:t>from</w:t>
            </w:r>
            <w:r w:rsidR="000A5329" w:rsidRPr="002029AF">
              <w:t xml:space="preserve"> </w:t>
            </w:r>
            <w:r w:rsidRPr="002029AF">
              <w:t>financing</w:t>
            </w:r>
            <w:r w:rsidR="000A5329" w:rsidRPr="002029AF">
              <w:t xml:space="preserve"> </w:t>
            </w:r>
            <w:r w:rsidRPr="002029AF">
              <w:t>activities</w:t>
            </w:r>
          </w:p>
        </w:tc>
      </w:tr>
      <w:tr w:rsidR="0065586C" w:rsidRPr="002029AF" w14:paraId="4F62591E" w14:textId="77777777" w:rsidTr="003566F1">
        <w:tc>
          <w:tcPr>
            <w:tcW w:w="6518" w:type="dxa"/>
            <w:tcBorders>
              <w:top w:val="single" w:sz="4" w:space="0" w:color="A6A6A6"/>
              <w:bottom w:val="single" w:sz="4" w:space="0" w:color="A6A6A6"/>
            </w:tcBorders>
            <w:hideMark/>
          </w:tcPr>
          <w:p w14:paraId="3D7DADC7" w14:textId="5878C3BF" w:rsidR="0065586C" w:rsidRPr="002029AF" w:rsidRDefault="0065586C" w:rsidP="003566F1">
            <w:pPr>
              <w:pStyle w:val="ARfintablebody"/>
            </w:pPr>
            <w:r w:rsidRPr="002029AF">
              <w:t>Net</w:t>
            </w:r>
            <w:r w:rsidR="000A5329" w:rsidRPr="002029AF">
              <w:t xml:space="preserve"> </w:t>
            </w:r>
            <w:r w:rsidRPr="002029AF">
              <w:t>receipts/(payments)</w:t>
            </w:r>
            <w:r w:rsidR="000A5329" w:rsidRPr="002029AF">
              <w:t xml:space="preserve"> </w:t>
            </w:r>
            <w:r w:rsidRPr="002029AF">
              <w:t>for</w:t>
            </w:r>
            <w:r w:rsidR="000A5329" w:rsidRPr="002029AF">
              <w:t xml:space="preserve"> </w:t>
            </w:r>
            <w:r w:rsidRPr="002029AF">
              <w:t>advances</w:t>
            </w:r>
            <w:r w:rsidR="000A5329" w:rsidRPr="002029AF">
              <w:t xml:space="preserve"> </w:t>
            </w:r>
          </w:p>
        </w:tc>
        <w:tc>
          <w:tcPr>
            <w:tcW w:w="851" w:type="dxa"/>
            <w:tcBorders>
              <w:top w:val="single" w:sz="4" w:space="0" w:color="A6A6A6"/>
              <w:bottom w:val="single" w:sz="4" w:space="0" w:color="A6A6A6"/>
            </w:tcBorders>
            <w:noWrap/>
            <w:hideMark/>
          </w:tcPr>
          <w:p w14:paraId="1980868F" w14:textId="77777777" w:rsidR="0065586C" w:rsidRPr="002029AF" w:rsidRDefault="0065586C" w:rsidP="003566F1">
            <w:pPr>
              <w:pStyle w:val="ARfintablebodyright"/>
            </w:pPr>
          </w:p>
        </w:tc>
        <w:tc>
          <w:tcPr>
            <w:tcW w:w="1134" w:type="dxa"/>
            <w:tcBorders>
              <w:top w:val="single" w:sz="4" w:space="0" w:color="A6A6A6"/>
              <w:bottom w:val="single" w:sz="4" w:space="0" w:color="A6A6A6"/>
            </w:tcBorders>
            <w:shd w:val="clear" w:color="auto" w:fill="E7E6E6"/>
            <w:noWrap/>
            <w:hideMark/>
          </w:tcPr>
          <w:p w14:paraId="72B6D890" w14:textId="77777777" w:rsidR="0065586C" w:rsidRPr="002029AF" w:rsidRDefault="0065586C" w:rsidP="003566F1">
            <w:pPr>
              <w:pStyle w:val="ARfintablebodyright"/>
            </w:pPr>
            <w:r w:rsidRPr="002029AF">
              <w:t>307.4</w:t>
            </w:r>
          </w:p>
        </w:tc>
        <w:tc>
          <w:tcPr>
            <w:tcW w:w="1134" w:type="dxa"/>
            <w:tcBorders>
              <w:top w:val="single" w:sz="4" w:space="0" w:color="A6A6A6"/>
              <w:bottom w:val="single" w:sz="4" w:space="0" w:color="A6A6A6"/>
            </w:tcBorders>
            <w:noWrap/>
            <w:hideMark/>
          </w:tcPr>
          <w:p w14:paraId="6B9F0A7D" w14:textId="77777777" w:rsidR="0065586C" w:rsidRPr="002029AF" w:rsidRDefault="0065586C" w:rsidP="003566F1">
            <w:pPr>
              <w:pStyle w:val="ARfintablebodyright"/>
            </w:pPr>
            <w:r w:rsidRPr="002029AF">
              <w:t>(3.6)</w:t>
            </w:r>
          </w:p>
        </w:tc>
      </w:tr>
      <w:tr w:rsidR="0065586C" w:rsidRPr="002029AF" w14:paraId="248B1456" w14:textId="77777777" w:rsidTr="003566F1">
        <w:tc>
          <w:tcPr>
            <w:tcW w:w="6518" w:type="dxa"/>
            <w:tcBorders>
              <w:top w:val="single" w:sz="4" w:space="0" w:color="A6A6A6"/>
              <w:bottom w:val="single" w:sz="4" w:space="0" w:color="A6A6A6"/>
            </w:tcBorders>
            <w:hideMark/>
          </w:tcPr>
          <w:p w14:paraId="0B01A98C" w14:textId="3037BC41" w:rsidR="0065586C" w:rsidRPr="002029AF" w:rsidRDefault="0065586C" w:rsidP="003566F1">
            <w:pPr>
              <w:pStyle w:val="ARfintablebody"/>
            </w:pPr>
            <w:r w:rsidRPr="002029AF">
              <w:t>Owner</w:t>
            </w:r>
            <w:r w:rsidR="000A5329" w:rsidRPr="002029AF">
              <w:t xml:space="preserve"> </w:t>
            </w:r>
            <w:r w:rsidRPr="002029AF">
              <w:t>contributions</w:t>
            </w:r>
            <w:r w:rsidR="000A5329" w:rsidRPr="002029AF">
              <w:t xml:space="preserve"> </w:t>
            </w:r>
            <w:r w:rsidRPr="002029AF">
              <w:t>by</w:t>
            </w:r>
            <w:r w:rsidR="000A5329" w:rsidRPr="002029AF">
              <w:t xml:space="preserve"> </w:t>
            </w:r>
            <w:r w:rsidRPr="002029AF">
              <w:t>Victorian</w:t>
            </w:r>
            <w:r w:rsidR="000A5329" w:rsidRPr="002029AF">
              <w:t xml:space="preserve"> </w:t>
            </w:r>
            <w:r w:rsidRPr="002029AF">
              <w:t>Government</w:t>
            </w:r>
            <w:r w:rsidR="000A5329" w:rsidRPr="002029AF">
              <w:t xml:space="preserve"> </w:t>
            </w:r>
            <w:r w:rsidRPr="002029AF">
              <w:t>–</w:t>
            </w:r>
            <w:r w:rsidR="000A5329" w:rsidRPr="002029AF">
              <w:t xml:space="preserve"> </w:t>
            </w:r>
            <w:r w:rsidRPr="002029AF">
              <w:t>appropriation</w:t>
            </w:r>
            <w:r w:rsidR="000A5329" w:rsidRPr="002029AF">
              <w:t xml:space="preserve"> </w:t>
            </w:r>
            <w:r w:rsidRPr="002029AF">
              <w:t>for</w:t>
            </w:r>
            <w:r w:rsidR="000A5329" w:rsidRPr="002029AF">
              <w:t xml:space="preserve"> </w:t>
            </w:r>
            <w:r w:rsidRPr="002029AF">
              <w:t>capital</w:t>
            </w:r>
            <w:r w:rsidR="000A5329" w:rsidRPr="002029AF">
              <w:t xml:space="preserve"> </w:t>
            </w:r>
            <w:r w:rsidRPr="002029AF">
              <w:t>expenditure</w:t>
            </w:r>
            <w:r w:rsidR="000A5329" w:rsidRPr="002029AF">
              <w:t xml:space="preserve"> </w:t>
            </w:r>
            <w:r w:rsidRPr="002029AF">
              <w:t>purposes</w:t>
            </w:r>
          </w:p>
        </w:tc>
        <w:tc>
          <w:tcPr>
            <w:tcW w:w="851" w:type="dxa"/>
            <w:tcBorders>
              <w:top w:val="single" w:sz="4" w:space="0" w:color="A6A6A6"/>
              <w:bottom w:val="single" w:sz="4" w:space="0" w:color="A6A6A6"/>
            </w:tcBorders>
            <w:noWrap/>
            <w:hideMark/>
          </w:tcPr>
          <w:p w14:paraId="59D20493" w14:textId="77777777" w:rsidR="0065586C" w:rsidRPr="002029AF" w:rsidRDefault="0065586C" w:rsidP="003566F1">
            <w:pPr>
              <w:pStyle w:val="ARfintablebodyright"/>
            </w:pPr>
          </w:p>
        </w:tc>
        <w:tc>
          <w:tcPr>
            <w:tcW w:w="1134" w:type="dxa"/>
            <w:tcBorders>
              <w:top w:val="single" w:sz="4" w:space="0" w:color="A6A6A6"/>
              <w:bottom w:val="single" w:sz="4" w:space="0" w:color="A6A6A6"/>
            </w:tcBorders>
            <w:shd w:val="clear" w:color="auto" w:fill="E7E6E6"/>
            <w:noWrap/>
            <w:hideMark/>
          </w:tcPr>
          <w:p w14:paraId="69065564" w14:textId="77777777" w:rsidR="0065586C" w:rsidRPr="002029AF" w:rsidRDefault="0065586C" w:rsidP="003566F1">
            <w:pPr>
              <w:pStyle w:val="ARfintablebodyright"/>
            </w:pPr>
            <w:r w:rsidRPr="002029AF">
              <w:t>269.7</w:t>
            </w:r>
          </w:p>
        </w:tc>
        <w:tc>
          <w:tcPr>
            <w:tcW w:w="1134" w:type="dxa"/>
            <w:tcBorders>
              <w:top w:val="single" w:sz="4" w:space="0" w:color="A6A6A6"/>
              <w:bottom w:val="single" w:sz="4" w:space="0" w:color="A6A6A6"/>
            </w:tcBorders>
            <w:noWrap/>
            <w:hideMark/>
          </w:tcPr>
          <w:p w14:paraId="3306BCF0" w14:textId="77777777" w:rsidR="0065586C" w:rsidRPr="002029AF" w:rsidRDefault="0065586C" w:rsidP="003566F1">
            <w:pPr>
              <w:pStyle w:val="ARfintablebodyright"/>
            </w:pPr>
            <w:r w:rsidRPr="002029AF">
              <w:t>174.3</w:t>
            </w:r>
          </w:p>
        </w:tc>
      </w:tr>
      <w:tr w:rsidR="0065586C" w:rsidRPr="002029AF" w14:paraId="0EE2A76B" w14:textId="77777777" w:rsidTr="003566F1">
        <w:tc>
          <w:tcPr>
            <w:tcW w:w="6518" w:type="dxa"/>
            <w:tcBorders>
              <w:top w:val="single" w:sz="4" w:space="0" w:color="A6A6A6"/>
              <w:bottom w:val="single" w:sz="4" w:space="0" w:color="A6A6A6"/>
            </w:tcBorders>
            <w:hideMark/>
          </w:tcPr>
          <w:p w14:paraId="0697F638" w14:textId="6D57D582" w:rsidR="0065586C" w:rsidRPr="002029AF" w:rsidRDefault="0065586C" w:rsidP="003566F1">
            <w:pPr>
              <w:pStyle w:val="ARfintablebody"/>
            </w:pPr>
            <w:r w:rsidRPr="002029AF">
              <w:t>Payments</w:t>
            </w:r>
            <w:r w:rsidR="000A5329" w:rsidRPr="002029AF">
              <w:t xml:space="preserve"> </w:t>
            </w:r>
            <w:r w:rsidRPr="002029AF">
              <w:t>of</w:t>
            </w:r>
            <w:r w:rsidR="000A5329" w:rsidRPr="002029AF">
              <w:t xml:space="preserve"> </w:t>
            </w:r>
            <w:r w:rsidRPr="002029AF">
              <w:t>capital</w:t>
            </w:r>
            <w:r w:rsidR="000A5329" w:rsidRPr="002029AF">
              <w:t xml:space="preserve"> </w:t>
            </w:r>
            <w:r w:rsidRPr="002029AF">
              <w:t>contributions</w:t>
            </w:r>
          </w:p>
        </w:tc>
        <w:tc>
          <w:tcPr>
            <w:tcW w:w="851" w:type="dxa"/>
            <w:tcBorders>
              <w:top w:val="single" w:sz="4" w:space="0" w:color="A6A6A6"/>
              <w:bottom w:val="single" w:sz="4" w:space="0" w:color="A6A6A6"/>
            </w:tcBorders>
            <w:noWrap/>
            <w:hideMark/>
          </w:tcPr>
          <w:p w14:paraId="0ECD870E" w14:textId="77777777" w:rsidR="0065586C" w:rsidRPr="002029AF" w:rsidRDefault="0065586C" w:rsidP="003566F1">
            <w:pPr>
              <w:pStyle w:val="ARfintablebodyright"/>
            </w:pPr>
          </w:p>
        </w:tc>
        <w:tc>
          <w:tcPr>
            <w:tcW w:w="1134" w:type="dxa"/>
            <w:tcBorders>
              <w:top w:val="single" w:sz="4" w:space="0" w:color="A6A6A6"/>
              <w:bottom w:val="single" w:sz="4" w:space="0" w:color="A6A6A6"/>
            </w:tcBorders>
            <w:shd w:val="clear" w:color="auto" w:fill="E7E6E6"/>
            <w:noWrap/>
            <w:hideMark/>
          </w:tcPr>
          <w:p w14:paraId="7DC2ED36" w14:textId="77777777" w:rsidR="0065586C" w:rsidRPr="002029AF" w:rsidRDefault="0065586C" w:rsidP="003566F1">
            <w:pPr>
              <w:pStyle w:val="ARfintablebodyright"/>
            </w:pPr>
            <w:r w:rsidRPr="002029AF">
              <w:t>(61.2)</w:t>
            </w:r>
          </w:p>
        </w:tc>
        <w:tc>
          <w:tcPr>
            <w:tcW w:w="1134" w:type="dxa"/>
            <w:tcBorders>
              <w:top w:val="single" w:sz="4" w:space="0" w:color="A6A6A6"/>
              <w:bottom w:val="single" w:sz="4" w:space="0" w:color="A6A6A6"/>
            </w:tcBorders>
            <w:noWrap/>
            <w:hideMark/>
          </w:tcPr>
          <w:p w14:paraId="3A133B9C" w14:textId="77777777" w:rsidR="0065586C" w:rsidRPr="002029AF" w:rsidRDefault="0065586C" w:rsidP="003566F1">
            <w:pPr>
              <w:pStyle w:val="ARfintablebodyright"/>
            </w:pPr>
            <w:r w:rsidRPr="002029AF">
              <w:t>(120.5)</w:t>
            </w:r>
          </w:p>
        </w:tc>
      </w:tr>
      <w:tr w:rsidR="0065586C" w:rsidRPr="002029AF" w14:paraId="2889C5E7" w14:textId="77777777" w:rsidTr="003566F1">
        <w:tc>
          <w:tcPr>
            <w:tcW w:w="6518" w:type="dxa"/>
            <w:tcBorders>
              <w:top w:val="single" w:sz="4" w:space="0" w:color="A6A6A6"/>
            </w:tcBorders>
            <w:hideMark/>
          </w:tcPr>
          <w:p w14:paraId="283D5BE2" w14:textId="0B4AA89E" w:rsidR="0065586C" w:rsidRPr="002029AF" w:rsidRDefault="0065586C" w:rsidP="003566F1">
            <w:pPr>
              <w:pStyle w:val="ARfintablebody"/>
            </w:pPr>
            <w:r w:rsidRPr="002029AF">
              <w:t>Repayment</w:t>
            </w:r>
            <w:r w:rsidR="000A5329" w:rsidRPr="002029AF">
              <w:t xml:space="preserve"> </w:t>
            </w:r>
            <w:r w:rsidRPr="002029AF">
              <w:t>of</w:t>
            </w:r>
            <w:r w:rsidR="000A5329" w:rsidRPr="002029AF">
              <w:t xml:space="preserve"> </w:t>
            </w:r>
            <w:r w:rsidRPr="002029AF">
              <w:t>borrowings</w:t>
            </w:r>
            <w:r w:rsidR="000A5329" w:rsidRPr="002029AF">
              <w:t xml:space="preserve"> </w:t>
            </w:r>
            <w:r w:rsidRPr="002029AF">
              <w:t>and</w:t>
            </w:r>
            <w:r w:rsidR="000A5329" w:rsidRPr="002029AF">
              <w:t xml:space="preserve"> </w:t>
            </w:r>
            <w:r w:rsidRPr="002029AF">
              <w:t>principal</w:t>
            </w:r>
            <w:r w:rsidR="000A5329" w:rsidRPr="002029AF">
              <w:t xml:space="preserve"> </w:t>
            </w:r>
            <w:r w:rsidRPr="002029AF">
              <w:t>portion</w:t>
            </w:r>
            <w:r w:rsidR="000A5329" w:rsidRPr="002029AF">
              <w:t xml:space="preserve"> </w:t>
            </w:r>
            <w:r w:rsidRPr="002029AF">
              <w:t>of</w:t>
            </w:r>
            <w:r w:rsidR="000A5329" w:rsidRPr="002029AF">
              <w:t xml:space="preserve"> </w:t>
            </w:r>
            <w:r w:rsidRPr="002029AF">
              <w:t>lease</w:t>
            </w:r>
            <w:r w:rsidR="000A5329" w:rsidRPr="002029AF">
              <w:t xml:space="preserve"> </w:t>
            </w:r>
            <w:r w:rsidRPr="002029AF">
              <w:t>liability</w:t>
            </w:r>
            <w:r w:rsidR="000A5329" w:rsidRPr="002029AF">
              <w:t xml:space="preserve"> </w:t>
            </w:r>
            <w:r w:rsidRPr="002029AF">
              <w:t>(2019:</w:t>
            </w:r>
            <w:r w:rsidR="000A5329" w:rsidRPr="002029AF">
              <w:t xml:space="preserve"> </w:t>
            </w:r>
            <w:r w:rsidRPr="002029AF">
              <w:t>finance</w:t>
            </w:r>
            <w:r w:rsidR="000A5329" w:rsidRPr="002029AF">
              <w:t xml:space="preserve"> </w:t>
            </w:r>
            <w:r w:rsidRPr="002029AF">
              <w:t>leases)</w:t>
            </w:r>
            <w:r w:rsidR="000A5329" w:rsidRPr="002029AF">
              <w:t xml:space="preserve"> </w:t>
            </w:r>
            <w:r w:rsidRPr="002029AF">
              <w:rPr>
                <w:rStyle w:val="Superscript"/>
              </w:rPr>
              <w:t>(ii)</w:t>
            </w:r>
          </w:p>
        </w:tc>
        <w:tc>
          <w:tcPr>
            <w:tcW w:w="851" w:type="dxa"/>
            <w:tcBorders>
              <w:top w:val="single" w:sz="4" w:space="0" w:color="A6A6A6"/>
            </w:tcBorders>
            <w:noWrap/>
            <w:hideMark/>
          </w:tcPr>
          <w:p w14:paraId="54FAC6CA" w14:textId="77777777" w:rsidR="0065586C" w:rsidRPr="002029AF" w:rsidRDefault="0065586C" w:rsidP="003566F1">
            <w:pPr>
              <w:pStyle w:val="ARfintablebodyright"/>
            </w:pPr>
          </w:p>
        </w:tc>
        <w:tc>
          <w:tcPr>
            <w:tcW w:w="1134" w:type="dxa"/>
            <w:tcBorders>
              <w:top w:val="single" w:sz="4" w:space="0" w:color="A6A6A6"/>
            </w:tcBorders>
            <w:shd w:val="clear" w:color="auto" w:fill="E7E6E6"/>
            <w:noWrap/>
            <w:hideMark/>
          </w:tcPr>
          <w:p w14:paraId="33A91D7B" w14:textId="77777777" w:rsidR="0065586C" w:rsidRPr="002029AF" w:rsidRDefault="0065586C" w:rsidP="003566F1">
            <w:pPr>
              <w:pStyle w:val="ARfintablebodyright"/>
            </w:pPr>
            <w:r w:rsidRPr="002029AF">
              <w:t>52.3</w:t>
            </w:r>
          </w:p>
        </w:tc>
        <w:tc>
          <w:tcPr>
            <w:tcW w:w="1134" w:type="dxa"/>
            <w:tcBorders>
              <w:top w:val="single" w:sz="4" w:space="0" w:color="A6A6A6"/>
            </w:tcBorders>
            <w:noWrap/>
            <w:hideMark/>
          </w:tcPr>
          <w:p w14:paraId="79DCD950" w14:textId="77777777" w:rsidR="0065586C" w:rsidRPr="002029AF" w:rsidRDefault="0065586C" w:rsidP="003566F1">
            <w:pPr>
              <w:pStyle w:val="ARfintablebodyright"/>
            </w:pPr>
            <w:r w:rsidRPr="002029AF">
              <w:t>(18.7)</w:t>
            </w:r>
          </w:p>
        </w:tc>
      </w:tr>
      <w:tr w:rsidR="0065586C" w:rsidRPr="002029AF" w14:paraId="2CEE1D22" w14:textId="77777777" w:rsidTr="003566F1">
        <w:tc>
          <w:tcPr>
            <w:tcW w:w="6518" w:type="dxa"/>
            <w:hideMark/>
          </w:tcPr>
          <w:p w14:paraId="487A01DD" w14:textId="2781AD78" w:rsidR="0065586C" w:rsidRPr="002029AF" w:rsidRDefault="0065586C" w:rsidP="003566F1">
            <w:pPr>
              <w:pStyle w:val="ARfintablebodybold"/>
            </w:pPr>
            <w:r w:rsidRPr="002029AF">
              <w:t>Net</w:t>
            </w:r>
            <w:r w:rsidR="000A5329" w:rsidRPr="002029AF">
              <w:t xml:space="preserve"> </w:t>
            </w:r>
            <w:r w:rsidRPr="002029AF">
              <w:t>cash</w:t>
            </w:r>
            <w:r w:rsidR="000A5329" w:rsidRPr="002029AF">
              <w:t xml:space="preserve"> </w:t>
            </w:r>
            <w:r w:rsidRPr="002029AF">
              <w:t>flows</w:t>
            </w:r>
            <w:r w:rsidR="000A5329" w:rsidRPr="002029AF">
              <w:t xml:space="preserve"> </w:t>
            </w:r>
            <w:r w:rsidRPr="002029AF">
              <w:t>from</w:t>
            </w:r>
            <w:r w:rsidR="00DF4DCC" w:rsidRPr="002029AF">
              <w:t>/ (</w:t>
            </w:r>
            <w:r w:rsidRPr="002029AF">
              <w:t>used</w:t>
            </w:r>
            <w:r w:rsidR="000A5329" w:rsidRPr="002029AF">
              <w:t xml:space="preserve"> </w:t>
            </w:r>
            <w:r w:rsidRPr="002029AF">
              <w:t>in)</w:t>
            </w:r>
            <w:r w:rsidR="000A5329" w:rsidRPr="002029AF">
              <w:t xml:space="preserve"> </w:t>
            </w:r>
            <w:r w:rsidRPr="002029AF">
              <w:t>financing</w:t>
            </w:r>
            <w:r w:rsidR="000A5329" w:rsidRPr="002029AF">
              <w:t xml:space="preserve"> </w:t>
            </w:r>
            <w:r w:rsidRPr="002029AF">
              <w:t>activities</w:t>
            </w:r>
          </w:p>
        </w:tc>
        <w:tc>
          <w:tcPr>
            <w:tcW w:w="851" w:type="dxa"/>
            <w:hideMark/>
          </w:tcPr>
          <w:p w14:paraId="0BA6580D" w14:textId="77777777" w:rsidR="0065586C" w:rsidRPr="002029AF" w:rsidRDefault="0065586C" w:rsidP="003566F1">
            <w:pPr>
              <w:pStyle w:val="ARfintablebodyrightbold"/>
            </w:pPr>
          </w:p>
        </w:tc>
        <w:tc>
          <w:tcPr>
            <w:tcW w:w="1134" w:type="dxa"/>
            <w:shd w:val="clear" w:color="auto" w:fill="E7E6E6"/>
            <w:noWrap/>
            <w:hideMark/>
          </w:tcPr>
          <w:p w14:paraId="078C9942" w14:textId="77777777" w:rsidR="0065586C" w:rsidRPr="002029AF" w:rsidRDefault="0065586C" w:rsidP="003566F1">
            <w:pPr>
              <w:pStyle w:val="ARfintablebodyrightbold"/>
            </w:pPr>
            <w:r w:rsidRPr="002029AF">
              <w:t>568.2</w:t>
            </w:r>
          </w:p>
        </w:tc>
        <w:tc>
          <w:tcPr>
            <w:tcW w:w="1134" w:type="dxa"/>
            <w:noWrap/>
            <w:hideMark/>
          </w:tcPr>
          <w:p w14:paraId="37E024BC" w14:textId="77777777" w:rsidR="0065586C" w:rsidRPr="002029AF" w:rsidRDefault="0065586C" w:rsidP="003566F1">
            <w:pPr>
              <w:pStyle w:val="ARfintablebodyrightbold"/>
            </w:pPr>
            <w:r w:rsidRPr="002029AF">
              <w:t>31.5</w:t>
            </w:r>
          </w:p>
        </w:tc>
      </w:tr>
      <w:tr w:rsidR="0065586C" w:rsidRPr="002029AF" w14:paraId="47C04FBD" w14:textId="77777777" w:rsidTr="003566F1">
        <w:tc>
          <w:tcPr>
            <w:tcW w:w="6518" w:type="dxa"/>
            <w:hideMark/>
          </w:tcPr>
          <w:p w14:paraId="45E07D37" w14:textId="61D8AE67" w:rsidR="0065586C" w:rsidRPr="002029AF" w:rsidRDefault="0065586C" w:rsidP="003566F1">
            <w:pPr>
              <w:pStyle w:val="ARfintablebodybold"/>
            </w:pPr>
            <w:r w:rsidRPr="002029AF">
              <w:t>Net</w:t>
            </w:r>
            <w:r w:rsidR="000A5329" w:rsidRPr="002029AF">
              <w:t xml:space="preserve"> </w:t>
            </w:r>
            <w:r w:rsidRPr="002029AF">
              <w:t>increase/(decrease)</w:t>
            </w:r>
            <w:r w:rsidR="000A5329" w:rsidRPr="002029AF">
              <w:t xml:space="preserve"> </w:t>
            </w:r>
            <w:r w:rsidRPr="002029AF">
              <w:t>in</w:t>
            </w:r>
            <w:r w:rsidR="000A5329" w:rsidRPr="002029AF">
              <w:t xml:space="preserve"> </w:t>
            </w:r>
            <w:r w:rsidRPr="002029AF">
              <w:t>cash</w:t>
            </w:r>
            <w:r w:rsidR="000A5329" w:rsidRPr="002029AF">
              <w:t xml:space="preserve"> </w:t>
            </w:r>
            <w:r w:rsidRPr="002029AF">
              <w:t>and</w:t>
            </w:r>
            <w:r w:rsidR="000A5329" w:rsidRPr="002029AF">
              <w:t xml:space="preserve"> </w:t>
            </w:r>
            <w:r w:rsidRPr="002029AF">
              <w:t>deposits</w:t>
            </w:r>
          </w:p>
        </w:tc>
        <w:tc>
          <w:tcPr>
            <w:tcW w:w="851" w:type="dxa"/>
            <w:hideMark/>
          </w:tcPr>
          <w:p w14:paraId="503074FB" w14:textId="77777777" w:rsidR="0065586C" w:rsidRPr="002029AF" w:rsidRDefault="0065586C" w:rsidP="003566F1">
            <w:pPr>
              <w:pStyle w:val="ARfintablebodyrightbold"/>
            </w:pPr>
          </w:p>
        </w:tc>
        <w:tc>
          <w:tcPr>
            <w:tcW w:w="1134" w:type="dxa"/>
            <w:shd w:val="clear" w:color="auto" w:fill="E7E6E6"/>
            <w:noWrap/>
            <w:hideMark/>
          </w:tcPr>
          <w:p w14:paraId="6E049E64" w14:textId="77777777" w:rsidR="0065586C" w:rsidRPr="002029AF" w:rsidRDefault="0065586C" w:rsidP="003566F1">
            <w:pPr>
              <w:pStyle w:val="ARfintablebodyrightbold"/>
            </w:pPr>
            <w:r w:rsidRPr="002029AF">
              <w:t>(202.2)</w:t>
            </w:r>
          </w:p>
        </w:tc>
        <w:tc>
          <w:tcPr>
            <w:tcW w:w="1134" w:type="dxa"/>
            <w:noWrap/>
            <w:hideMark/>
          </w:tcPr>
          <w:p w14:paraId="423D6108" w14:textId="77777777" w:rsidR="0065586C" w:rsidRPr="002029AF" w:rsidRDefault="0065586C" w:rsidP="003566F1">
            <w:pPr>
              <w:pStyle w:val="ARfintablebodyrightbold"/>
            </w:pPr>
            <w:r w:rsidRPr="002029AF">
              <w:t>416.8</w:t>
            </w:r>
          </w:p>
        </w:tc>
      </w:tr>
      <w:tr w:rsidR="0065586C" w:rsidRPr="002029AF" w14:paraId="3F4F6758" w14:textId="77777777" w:rsidTr="003566F1">
        <w:tc>
          <w:tcPr>
            <w:tcW w:w="6518" w:type="dxa"/>
            <w:hideMark/>
          </w:tcPr>
          <w:p w14:paraId="37BFEBB7" w14:textId="5F40E2A8" w:rsidR="0065586C" w:rsidRPr="002029AF" w:rsidRDefault="0065586C" w:rsidP="003566F1">
            <w:pPr>
              <w:pStyle w:val="ARfintablebody"/>
            </w:pPr>
            <w:r w:rsidRPr="002029AF">
              <w:t>Cash</w:t>
            </w:r>
            <w:r w:rsidR="000A5329" w:rsidRPr="002029AF">
              <w:t xml:space="preserve"> </w:t>
            </w:r>
            <w:r w:rsidRPr="002029AF">
              <w:t>and</w:t>
            </w:r>
            <w:r w:rsidR="000A5329" w:rsidRPr="002029AF">
              <w:t xml:space="preserve"> </w:t>
            </w:r>
            <w:r w:rsidRPr="002029AF">
              <w:t>deposits</w:t>
            </w:r>
            <w:r w:rsidR="000A5329" w:rsidRPr="002029AF">
              <w:t xml:space="preserve"> </w:t>
            </w:r>
            <w:r w:rsidRPr="002029AF">
              <w:t>at</w:t>
            </w:r>
            <w:r w:rsidR="000A5329" w:rsidRPr="002029AF">
              <w:t xml:space="preserve"> </w:t>
            </w:r>
            <w:r w:rsidRPr="002029AF">
              <w:t>the</w:t>
            </w:r>
            <w:r w:rsidR="000A5329" w:rsidRPr="002029AF">
              <w:t xml:space="preserve"> </w:t>
            </w:r>
            <w:r w:rsidRPr="002029AF">
              <w:t>beginning</w:t>
            </w:r>
            <w:r w:rsidR="000A5329" w:rsidRPr="002029AF">
              <w:t xml:space="preserve"> </w:t>
            </w:r>
            <w:r w:rsidRPr="002029AF">
              <w:t>of</w:t>
            </w:r>
            <w:r w:rsidR="000A5329" w:rsidRPr="002029AF">
              <w:t xml:space="preserve"> </w:t>
            </w:r>
            <w:r w:rsidRPr="002029AF">
              <w:t>the</w:t>
            </w:r>
            <w:r w:rsidR="000A5329" w:rsidRPr="002029AF">
              <w:t xml:space="preserve"> </w:t>
            </w:r>
            <w:r w:rsidRPr="002029AF">
              <w:t>financial</w:t>
            </w:r>
            <w:r w:rsidR="000A5329" w:rsidRPr="002029AF">
              <w:t xml:space="preserve"> </w:t>
            </w:r>
            <w:r w:rsidRPr="002029AF">
              <w:t>year</w:t>
            </w:r>
          </w:p>
        </w:tc>
        <w:tc>
          <w:tcPr>
            <w:tcW w:w="851" w:type="dxa"/>
            <w:noWrap/>
            <w:hideMark/>
          </w:tcPr>
          <w:p w14:paraId="58C28E17" w14:textId="77777777" w:rsidR="0065586C" w:rsidRPr="002029AF" w:rsidRDefault="0065586C" w:rsidP="003566F1">
            <w:pPr>
              <w:pStyle w:val="ARfintablebodyright"/>
            </w:pPr>
          </w:p>
        </w:tc>
        <w:tc>
          <w:tcPr>
            <w:tcW w:w="1134" w:type="dxa"/>
            <w:shd w:val="clear" w:color="auto" w:fill="E7E6E6"/>
            <w:noWrap/>
            <w:hideMark/>
          </w:tcPr>
          <w:p w14:paraId="3AD1F48D" w14:textId="77777777" w:rsidR="0065586C" w:rsidRPr="002029AF" w:rsidRDefault="0065586C" w:rsidP="003566F1">
            <w:pPr>
              <w:pStyle w:val="ARfintablebodyright"/>
            </w:pPr>
            <w:r w:rsidRPr="002029AF">
              <w:t>799.9</w:t>
            </w:r>
          </w:p>
        </w:tc>
        <w:tc>
          <w:tcPr>
            <w:tcW w:w="1134" w:type="dxa"/>
            <w:noWrap/>
            <w:hideMark/>
          </w:tcPr>
          <w:p w14:paraId="239FAA27" w14:textId="77777777" w:rsidR="0065586C" w:rsidRPr="002029AF" w:rsidRDefault="0065586C" w:rsidP="003566F1">
            <w:pPr>
              <w:pStyle w:val="ARfintablebodyright"/>
            </w:pPr>
            <w:r w:rsidRPr="002029AF">
              <w:t>383.2</w:t>
            </w:r>
          </w:p>
        </w:tc>
      </w:tr>
      <w:tr w:rsidR="0065586C" w:rsidRPr="002029AF" w14:paraId="62F88789" w14:textId="77777777" w:rsidTr="003566F1">
        <w:tc>
          <w:tcPr>
            <w:tcW w:w="6518" w:type="dxa"/>
            <w:hideMark/>
          </w:tcPr>
          <w:p w14:paraId="643C7841" w14:textId="02E1E2C8" w:rsidR="0065586C" w:rsidRPr="002029AF" w:rsidRDefault="0065586C" w:rsidP="003566F1">
            <w:pPr>
              <w:pStyle w:val="ARfintablebodybold"/>
            </w:pPr>
            <w:r w:rsidRPr="002029AF">
              <w:t>Cash</w:t>
            </w:r>
            <w:r w:rsidR="000A5329" w:rsidRPr="002029AF">
              <w:t xml:space="preserve"> </w:t>
            </w:r>
            <w:r w:rsidRPr="002029AF">
              <w:t>and</w:t>
            </w:r>
            <w:r w:rsidR="000A5329" w:rsidRPr="002029AF">
              <w:t xml:space="preserve"> </w:t>
            </w:r>
            <w:r w:rsidRPr="002029AF">
              <w:t>deposits</w:t>
            </w:r>
            <w:r w:rsidR="000A5329" w:rsidRPr="002029AF">
              <w:t xml:space="preserve"> </w:t>
            </w:r>
            <w:r w:rsidRPr="002029AF">
              <w:t>at</w:t>
            </w:r>
            <w:r w:rsidR="000A5329" w:rsidRPr="002029AF">
              <w:t xml:space="preserve"> </w:t>
            </w:r>
            <w:r w:rsidRPr="002029AF">
              <w:t>the</w:t>
            </w:r>
            <w:r w:rsidR="000A5329" w:rsidRPr="002029AF">
              <w:t xml:space="preserve"> </w:t>
            </w:r>
            <w:r w:rsidRPr="002029AF">
              <w:t>end</w:t>
            </w:r>
            <w:r w:rsidR="000A5329" w:rsidRPr="002029AF">
              <w:t xml:space="preserve"> </w:t>
            </w:r>
            <w:r w:rsidRPr="002029AF">
              <w:t>of</w:t>
            </w:r>
            <w:r w:rsidR="000A5329" w:rsidRPr="002029AF">
              <w:t xml:space="preserve"> </w:t>
            </w:r>
            <w:r w:rsidRPr="002029AF">
              <w:t>the</w:t>
            </w:r>
            <w:r w:rsidR="000A5329" w:rsidRPr="002029AF">
              <w:t xml:space="preserve"> </w:t>
            </w:r>
            <w:r w:rsidRPr="002029AF">
              <w:t>financial</w:t>
            </w:r>
            <w:r w:rsidR="000A5329" w:rsidRPr="002029AF">
              <w:t xml:space="preserve"> </w:t>
            </w:r>
            <w:r w:rsidRPr="002029AF">
              <w:t>year</w:t>
            </w:r>
          </w:p>
        </w:tc>
        <w:tc>
          <w:tcPr>
            <w:tcW w:w="851" w:type="dxa"/>
            <w:noWrap/>
            <w:hideMark/>
          </w:tcPr>
          <w:p w14:paraId="7EDE34EB" w14:textId="77777777" w:rsidR="0065586C" w:rsidRPr="002029AF" w:rsidRDefault="0065586C" w:rsidP="003566F1">
            <w:pPr>
              <w:pStyle w:val="ARfintablebodyright"/>
            </w:pPr>
            <w:r w:rsidRPr="002029AF">
              <w:t>7.3</w:t>
            </w:r>
          </w:p>
        </w:tc>
        <w:tc>
          <w:tcPr>
            <w:tcW w:w="1134" w:type="dxa"/>
            <w:shd w:val="clear" w:color="auto" w:fill="E7E6E6"/>
            <w:noWrap/>
            <w:hideMark/>
          </w:tcPr>
          <w:p w14:paraId="2DA11D60" w14:textId="77777777" w:rsidR="0065586C" w:rsidRPr="002029AF" w:rsidRDefault="0065586C" w:rsidP="003566F1">
            <w:pPr>
              <w:pStyle w:val="ARfintablebodyrightbold"/>
            </w:pPr>
            <w:r w:rsidRPr="002029AF">
              <w:t>597.7</w:t>
            </w:r>
          </w:p>
        </w:tc>
        <w:tc>
          <w:tcPr>
            <w:tcW w:w="1134" w:type="dxa"/>
            <w:noWrap/>
            <w:hideMark/>
          </w:tcPr>
          <w:p w14:paraId="18F0A50C" w14:textId="77777777" w:rsidR="0065586C" w:rsidRPr="002029AF" w:rsidRDefault="0065586C" w:rsidP="003566F1">
            <w:pPr>
              <w:pStyle w:val="ARfintablebodyrightbold"/>
            </w:pPr>
            <w:r w:rsidRPr="002029AF">
              <w:t>799.9</w:t>
            </w:r>
          </w:p>
        </w:tc>
      </w:tr>
    </w:tbl>
    <w:p w14:paraId="73748C3A" w14:textId="732FC59A" w:rsidR="0065586C" w:rsidRPr="002029AF" w:rsidRDefault="0065586C" w:rsidP="003566F1">
      <w:pPr>
        <w:pStyle w:val="ARfintablefootnote"/>
        <w:rPr>
          <w:lang w:eastAsia="en-AU"/>
        </w:rPr>
      </w:pPr>
      <w:r w:rsidRPr="002029AF">
        <w:rPr>
          <w:lang w:eastAsia="en-AU"/>
        </w:rPr>
        <w:t>The</w:t>
      </w:r>
      <w:r w:rsidR="000A5329" w:rsidRPr="002029AF">
        <w:rPr>
          <w:lang w:eastAsia="en-AU"/>
        </w:rPr>
        <w:t xml:space="preserve"> </w:t>
      </w:r>
      <w:r w:rsidRPr="002029AF">
        <w:rPr>
          <w:lang w:eastAsia="en-AU"/>
        </w:rPr>
        <w:t>cash</w:t>
      </w:r>
      <w:r w:rsidR="000A5329" w:rsidRPr="002029AF">
        <w:rPr>
          <w:lang w:eastAsia="en-AU"/>
        </w:rPr>
        <w:t xml:space="preserve"> </w:t>
      </w:r>
      <w:r w:rsidRPr="002029AF">
        <w:rPr>
          <w:lang w:eastAsia="en-AU"/>
        </w:rPr>
        <w:t>flow</w:t>
      </w:r>
      <w:r w:rsidR="000A5329" w:rsidRPr="002029AF">
        <w:rPr>
          <w:lang w:eastAsia="en-AU"/>
        </w:rPr>
        <w:t xml:space="preserve"> </w:t>
      </w:r>
      <w:r w:rsidRPr="002029AF">
        <w:rPr>
          <w:lang w:eastAsia="en-AU"/>
        </w:rPr>
        <w:t>statement</w:t>
      </w:r>
      <w:r w:rsidR="000A5329" w:rsidRPr="002029AF">
        <w:rPr>
          <w:lang w:eastAsia="en-AU"/>
        </w:rPr>
        <w:t xml:space="preserve"> </w:t>
      </w:r>
      <w:r w:rsidRPr="002029AF">
        <w:rPr>
          <w:lang w:eastAsia="en-AU"/>
        </w:rPr>
        <w:t>should</w:t>
      </w:r>
      <w:r w:rsidR="000A5329" w:rsidRPr="002029AF">
        <w:rPr>
          <w:lang w:eastAsia="en-AU"/>
        </w:rPr>
        <w:t xml:space="preserve"> </w:t>
      </w:r>
      <w:r w:rsidRPr="002029AF">
        <w:rPr>
          <w:lang w:eastAsia="en-AU"/>
        </w:rPr>
        <w:t>be</w:t>
      </w:r>
      <w:r w:rsidR="000A5329" w:rsidRPr="002029AF">
        <w:rPr>
          <w:lang w:eastAsia="en-AU"/>
        </w:rPr>
        <w:t xml:space="preserve"> </w:t>
      </w:r>
      <w:r w:rsidRPr="002029AF">
        <w:rPr>
          <w:lang w:eastAsia="en-AU"/>
        </w:rPr>
        <w:t>read</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conjunction</w:t>
      </w:r>
      <w:r w:rsidR="000A5329" w:rsidRPr="002029AF">
        <w:rPr>
          <w:lang w:eastAsia="en-AU"/>
        </w:rPr>
        <w:t xml:space="preserve"> </w:t>
      </w:r>
      <w:r w:rsidRPr="002029AF">
        <w:rPr>
          <w:lang w:eastAsia="en-AU"/>
        </w:rPr>
        <w:t>with</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notes</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financial</w:t>
      </w:r>
      <w:r w:rsidR="000A5329" w:rsidRPr="002029AF">
        <w:rPr>
          <w:lang w:eastAsia="en-AU"/>
        </w:rPr>
        <w:t xml:space="preserve"> </w:t>
      </w:r>
      <w:r w:rsidRPr="002029AF">
        <w:rPr>
          <w:lang w:eastAsia="en-AU"/>
        </w:rPr>
        <w:t>statements.</w:t>
      </w:r>
    </w:p>
    <w:p w14:paraId="593477C4" w14:textId="77777777" w:rsidR="0065586C" w:rsidRPr="002029AF" w:rsidRDefault="0065586C" w:rsidP="003566F1">
      <w:pPr>
        <w:pStyle w:val="ARfintablefootnote"/>
        <w:rPr>
          <w:lang w:eastAsia="en-AU"/>
        </w:rPr>
      </w:pPr>
      <w:r w:rsidRPr="002029AF">
        <w:rPr>
          <w:lang w:eastAsia="en-AU"/>
        </w:rPr>
        <w:t>Notes:</w:t>
      </w:r>
    </w:p>
    <w:p w14:paraId="4CE38D38" w14:textId="1661EAE2" w:rsidR="0065586C" w:rsidRPr="002029AF" w:rsidRDefault="0065586C" w:rsidP="003566F1">
      <w:pPr>
        <w:pStyle w:val="ARfintablefootnoteindent"/>
      </w:pPr>
      <w:r w:rsidRPr="002029AF">
        <w:t>(i)</w:t>
      </w:r>
      <w:r w:rsidRPr="002029AF">
        <w:tab/>
        <w:t>Goods</w:t>
      </w:r>
      <w:r w:rsidR="000A5329" w:rsidRPr="002029AF">
        <w:t xml:space="preserve"> </w:t>
      </w:r>
      <w:r w:rsidRPr="002029AF">
        <w:t>and</w:t>
      </w:r>
      <w:r w:rsidR="000A5329" w:rsidRPr="002029AF">
        <w:t xml:space="preserve"> </w:t>
      </w:r>
      <w:r w:rsidRPr="002029AF">
        <w:t>services</w:t>
      </w:r>
      <w:r w:rsidR="000A5329" w:rsidRPr="002029AF">
        <w:t xml:space="preserve"> </w:t>
      </w:r>
      <w:r w:rsidRPr="002029AF">
        <w:t>tax</w:t>
      </w:r>
      <w:r w:rsidR="000A5329" w:rsidRPr="002029AF">
        <w:t xml:space="preserve"> </w:t>
      </w:r>
      <w:r w:rsidRPr="002029AF">
        <w:t>(GST)</w:t>
      </w:r>
      <w:r w:rsidR="000A5329" w:rsidRPr="002029AF">
        <w:t xml:space="preserve"> </w:t>
      </w:r>
      <w:r w:rsidRPr="002029AF">
        <w:t>recovered/paid</w:t>
      </w:r>
      <w:r w:rsidR="000A5329" w:rsidRPr="002029AF">
        <w:t xml:space="preserve"> </w:t>
      </w:r>
      <w:r w:rsidRPr="002029AF">
        <w:t>from</w:t>
      </w:r>
      <w:r w:rsidR="000A5329" w:rsidRPr="002029AF">
        <w:t xml:space="preserve"> </w:t>
      </w:r>
      <w:r w:rsidRPr="002029AF">
        <w:t>the</w:t>
      </w:r>
      <w:r w:rsidR="000A5329" w:rsidRPr="002029AF">
        <w:t xml:space="preserve"> </w:t>
      </w:r>
      <w:r w:rsidRPr="002029AF">
        <w:t>Australian</w:t>
      </w:r>
      <w:r w:rsidR="000A5329" w:rsidRPr="002029AF">
        <w:t xml:space="preserve"> </w:t>
      </w:r>
      <w:r w:rsidRPr="002029AF">
        <w:t>Taxation</w:t>
      </w:r>
      <w:r w:rsidR="000A5329" w:rsidRPr="002029AF">
        <w:t xml:space="preserve"> </w:t>
      </w:r>
      <w:r w:rsidRPr="002029AF">
        <w:t>Office</w:t>
      </w:r>
      <w:r w:rsidR="000A5329" w:rsidRPr="002029AF">
        <w:t xml:space="preserve"> </w:t>
      </w:r>
      <w:r w:rsidRPr="002029AF">
        <w:t>is</w:t>
      </w:r>
      <w:r w:rsidR="000A5329" w:rsidRPr="002029AF">
        <w:t xml:space="preserve"> </w:t>
      </w:r>
      <w:r w:rsidRPr="002029AF">
        <w:t>presented</w:t>
      </w:r>
      <w:r w:rsidR="000A5329" w:rsidRPr="002029AF">
        <w:t xml:space="preserve"> </w:t>
      </w:r>
      <w:r w:rsidRPr="002029AF">
        <w:t>on</w:t>
      </w:r>
      <w:r w:rsidR="000A5329" w:rsidRPr="002029AF">
        <w:t xml:space="preserve"> </w:t>
      </w:r>
      <w:r w:rsidRPr="002029AF">
        <w:t>a</w:t>
      </w:r>
      <w:r w:rsidR="000A5329" w:rsidRPr="002029AF">
        <w:t xml:space="preserve"> </w:t>
      </w:r>
      <w:r w:rsidRPr="002029AF">
        <w:t>net</w:t>
      </w:r>
      <w:r w:rsidR="000A5329" w:rsidRPr="002029AF">
        <w:t xml:space="preserve"> </w:t>
      </w:r>
      <w:r w:rsidRPr="002029AF">
        <w:t>basis.</w:t>
      </w:r>
    </w:p>
    <w:p w14:paraId="50AD7037" w14:textId="4515F9FE" w:rsidR="0065586C" w:rsidRPr="002029AF" w:rsidRDefault="0065586C" w:rsidP="003566F1">
      <w:pPr>
        <w:pStyle w:val="ARfintablefootnoteindent"/>
      </w:pPr>
      <w:r w:rsidRPr="002029AF">
        <w:t>(ii)</w:t>
      </w:r>
      <w:r w:rsidRPr="002029AF">
        <w:tab/>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recognised</w:t>
      </w:r>
      <w:r w:rsidR="000A5329" w:rsidRPr="002029AF">
        <w:t xml:space="preserve"> </w:t>
      </w:r>
      <w:r w:rsidRPr="002029AF">
        <w:t>cash</w:t>
      </w:r>
      <w:r w:rsidR="000A5329" w:rsidRPr="002029AF">
        <w:t xml:space="preserve"> </w:t>
      </w:r>
      <w:r w:rsidRPr="002029AF">
        <w:t>payments</w:t>
      </w:r>
      <w:r w:rsidR="000A5329" w:rsidRPr="002029AF">
        <w:t xml:space="preserve"> </w:t>
      </w:r>
      <w:r w:rsidRPr="002029AF">
        <w:t>for</w:t>
      </w:r>
      <w:r w:rsidR="000A5329" w:rsidRPr="002029AF">
        <w:t xml:space="preserve"> </w:t>
      </w:r>
      <w:r w:rsidRPr="002029AF">
        <w:t>the</w:t>
      </w:r>
      <w:r w:rsidR="000A5329" w:rsidRPr="002029AF">
        <w:t xml:space="preserve"> </w:t>
      </w:r>
      <w:r w:rsidRPr="002029AF">
        <w:t>principal</w:t>
      </w:r>
      <w:r w:rsidR="000A5329" w:rsidRPr="002029AF">
        <w:t xml:space="preserve"> </w:t>
      </w:r>
      <w:r w:rsidRPr="002029AF">
        <w:t>portion</w:t>
      </w:r>
      <w:r w:rsidR="000A5329" w:rsidRPr="002029AF">
        <w:t xml:space="preserve"> </w:t>
      </w:r>
      <w:r w:rsidRPr="002029AF">
        <w:t>of</w:t>
      </w:r>
      <w:r w:rsidR="000A5329" w:rsidRPr="002029AF">
        <w:t xml:space="preserve"> </w:t>
      </w:r>
      <w:r w:rsidRPr="002029AF">
        <w:t>lease</w:t>
      </w:r>
      <w:r w:rsidR="000A5329" w:rsidRPr="002029AF">
        <w:t xml:space="preserve"> </w:t>
      </w:r>
      <w:r w:rsidRPr="002029AF">
        <w:t>payments</w:t>
      </w:r>
      <w:r w:rsidR="000A5329" w:rsidRPr="002029AF">
        <w:t xml:space="preserve"> </w:t>
      </w:r>
      <w:r w:rsidRPr="002029AF">
        <w:t>as</w:t>
      </w:r>
      <w:r w:rsidR="000A5329" w:rsidRPr="002029AF">
        <w:t xml:space="preserve"> </w:t>
      </w:r>
      <w:r w:rsidRPr="002029AF">
        <w:t>financing</w:t>
      </w:r>
      <w:r w:rsidR="000A5329" w:rsidRPr="002029AF">
        <w:t xml:space="preserve"> </w:t>
      </w:r>
      <w:r w:rsidRPr="002029AF">
        <w:t>activities,</w:t>
      </w:r>
      <w:r w:rsidR="000A5329" w:rsidRPr="002029AF">
        <w:t xml:space="preserve"> </w:t>
      </w:r>
      <w:r w:rsidRPr="002029AF">
        <w:t>cash</w:t>
      </w:r>
      <w:r w:rsidR="000A5329" w:rsidRPr="002029AF">
        <w:t xml:space="preserve"> </w:t>
      </w:r>
      <w:r w:rsidRPr="002029AF">
        <w:t>payments</w:t>
      </w:r>
      <w:r w:rsidR="000A5329" w:rsidRPr="002029AF">
        <w:t xml:space="preserve"> </w:t>
      </w:r>
      <w:r w:rsidRPr="002029AF">
        <w:t>for</w:t>
      </w:r>
      <w:r w:rsidR="000A5329" w:rsidRPr="002029AF">
        <w:t xml:space="preserve"> </w:t>
      </w:r>
      <w:r w:rsidRPr="002029AF">
        <w:t>the</w:t>
      </w:r>
      <w:r w:rsidR="000A5329" w:rsidRPr="002029AF">
        <w:t xml:space="preserve"> </w:t>
      </w:r>
      <w:r w:rsidRPr="002029AF">
        <w:t>interest</w:t>
      </w:r>
      <w:r w:rsidR="000A5329" w:rsidRPr="002029AF">
        <w:t xml:space="preserve"> </w:t>
      </w:r>
      <w:r w:rsidRPr="002029AF">
        <w:t>portion</w:t>
      </w:r>
      <w:r w:rsidR="000A5329" w:rsidRPr="002029AF">
        <w:t xml:space="preserve"> </w:t>
      </w:r>
      <w:r w:rsidRPr="002029AF">
        <w:t>as</w:t>
      </w:r>
      <w:r w:rsidR="000A5329" w:rsidRPr="002029AF">
        <w:t xml:space="preserve"> </w:t>
      </w:r>
      <w:r w:rsidRPr="002029AF">
        <w:t>operating</w:t>
      </w:r>
      <w:r w:rsidR="000A5329" w:rsidRPr="002029AF">
        <w:t xml:space="preserve"> </w:t>
      </w:r>
      <w:r w:rsidRPr="002029AF">
        <w:t>activities</w:t>
      </w:r>
      <w:r w:rsidR="000A5329" w:rsidRPr="002029AF">
        <w:t xml:space="preserve"> </w:t>
      </w:r>
      <w:r w:rsidRPr="002029AF">
        <w:t>consistent</w:t>
      </w:r>
      <w:r w:rsidR="000A5329" w:rsidRPr="002029AF">
        <w:t xml:space="preserve"> </w:t>
      </w:r>
      <w:r w:rsidRPr="002029AF">
        <w:t>with</w:t>
      </w:r>
      <w:r w:rsidR="000A5329" w:rsidRPr="002029AF">
        <w:t xml:space="preserve"> </w:t>
      </w:r>
      <w:r w:rsidRPr="002029AF">
        <w:t>the</w:t>
      </w:r>
      <w:r w:rsidR="000A5329" w:rsidRPr="002029AF">
        <w:t xml:space="preserve"> </w:t>
      </w:r>
      <w:r w:rsidRPr="002029AF">
        <w:t>presentation</w:t>
      </w:r>
      <w:r w:rsidR="000A5329" w:rsidRPr="002029AF">
        <w:t xml:space="preserve"> </w:t>
      </w:r>
      <w:r w:rsidRPr="002029AF">
        <w:t>of</w:t>
      </w:r>
      <w:r w:rsidR="000A5329" w:rsidRPr="002029AF">
        <w:t xml:space="preserve"> </w:t>
      </w:r>
      <w:r w:rsidRPr="002029AF">
        <w:t>interest</w:t>
      </w:r>
      <w:r w:rsidR="000A5329" w:rsidRPr="002029AF">
        <w:t xml:space="preserve"> </w:t>
      </w:r>
      <w:r w:rsidRPr="002029AF">
        <w:t>payments</w:t>
      </w:r>
      <w:r w:rsidR="000A5329" w:rsidRPr="002029AF">
        <w:t xml:space="preserve"> </w:t>
      </w:r>
      <w:r w:rsidRPr="002029AF">
        <w:t>and</w:t>
      </w:r>
      <w:r w:rsidR="000A5329" w:rsidRPr="002029AF">
        <w:t xml:space="preserve"> </w:t>
      </w:r>
      <w:r w:rsidRPr="002029AF">
        <w:t>short-term</w:t>
      </w:r>
      <w:r w:rsidR="000A5329" w:rsidRPr="002029AF">
        <w:t xml:space="preserve"> </w:t>
      </w:r>
      <w:r w:rsidRPr="002029AF">
        <w:t>lease</w:t>
      </w:r>
      <w:r w:rsidR="000A5329" w:rsidRPr="002029AF">
        <w:t xml:space="preserve"> </w:t>
      </w:r>
      <w:r w:rsidRPr="002029AF">
        <w:t>payments</w:t>
      </w:r>
      <w:r w:rsidR="000A5329" w:rsidRPr="002029AF">
        <w:t xml:space="preserve"> </w:t>
      </w:r>
      <w:r w:rsidRPr="002029AF">
        <w:t>for</w:t>
      </w:r>
      <w:r w:rsidR="000A5329" w:rsidRPr="002029AF">
        <w:t xml:space="preserve"> </w:t>
      </w:r>
      <w:r w:rsidRPr="002029AF">
        <w:t>leases</w:t>
      </w:r>
      <w:r w:rsidR="000A5329" w:rsidRPr="002029AF">
        <w:t xml:space="preserve"> </w:t>
      </w:r>
      <w:r w:rsidRPr="002029AF">
        <w:t>and</w:t>
      </w:r>
      <w:r w:rsidR="000A5329" w:rsidRPr="002029AF">
        <w:t xml:space="preserve"> </w:t>
      </w:r>
      <w:r w:rsidRPr="002029AF">
        <w:t>low-value</w:t>
      </w:r>
      <w:r w:rsidR="000A5329" w:rsidRPr="002029AF">
        <w:t xml:space="preserve"> </w:t>
      </w:r>
      <w:r w:rsidRPr="002029AF">
        <w:t>assets</w:t>
      </w:r>
      <w:r w:rsidR="000A5329" w:rsidRPr="002029AF">
        <w:t xml:space="preserve"> </w:t>
      </w:r>
      <w:r w:rsidRPr="002029AF">
        <w:t>as</w:t>
      </w:r>
      <w:r w:rsidR="000A5329" w:rsidRPr="002029AF">
        <w:t xml:space="preserve"> </w:t>
      </w:r>
      <w:r w:rsidRPr="002029AF">
        <w:t>operating</w:t>
      </w:r>
      <w:r w:rsidR="000A5329" w:rsidRPr="002029AF">
        <w:t xml:space="preserve"> </w:t>
      </w:r>
      <w:r w:rsidRPr="002029AF">
        <w:t>activities.</w:t>
      </w:r>
    </w:p>
    <w:p w14:paraId="28B6C3C6" w14:textId="77777777" w:rsidR="0065586C" w:rsidRPr="002029AF" w:rsidRDefault="0065586C" w:rsidP="003566F1">
      <w:pPr>
        <w:pStyle w:val="ARbody"/>
      </w:pPr>
      <w:r w:rsidRPr="002029AF">
        <w:br w:type="page"/>
      </w:r>
    </w:p>
    <w:p w14:paraId="06815BF3" w14:textId="04ADE087" w:rsidR="0065586C" w:rsidRPr="002029AF" w:rsidRDefault="0065586C" w:rsidP="003566F1">
      <w:pPr>
        <w:pStyle w:val="Heading2"/>
      </w:pPr>
      <w:bookmarkStart w:id="258" w:name="_Toc54690809"/>
      <w:r w:rsidRPr="002029AF">
        <w:lastRenderedPageBreak/>
        <w:t>Statement</w:t>
      </w:r>
      <w:r w:rsidR="000A5329" w:rsidRPr="002029AF">
        <w:t xml:space="preserve"> </w:t>
      </w:r>
      <w:r w:rsidRPr="002029AF">
        <w:t>of</w:t>
      </w:r>
      <w:r w:rsidR="000A5329" w:rsidRPr="002029AF">
        <w:t xml:space="preserve"> </w:t>
      </w:r>
      <w:r w:rsidRPr="002029AF">
        <w:t>changes</w:t>
      </w:r>
      <w:r w:rsidR="000A5329" w:rsidRPr="002029AF">
        <w:t xml:space="preserve"> </w:t>
      </w:r>
      <w:r w:rsidRPr="002029AF">
        <w:t>in</w:t>
      </w:r>
      <w:r w:rsidR="000A5329" w:rsidRPr="002029AF">
        <w:t xml:space="preserve"> </w:t>
      </w:r>
      <w:r w:rsidRPr="002029AF">
        <w:t>equity</w:t>
      </w:r>
      <w:r w:rsidRPr="002029AF">
        <w:br/>
        <w:t>for</w:t>
      </w:r>
      <w:r w:rsidR="000A5329" w:rsidRPr="002029AF">
        <w:t xml:space="preserve"> </w:t>
      </w:r>
      <w:r w:rsidRPr="002029AF">
        <w:t>the</w:t>
      </w:r>
      <w:r w:rsidR="000A5329" w:rsidRPr="002029AF">
        <w:t xml:space="preserve"> </w:t>
      </w:r>
      <w:r w:rsidRPr="002029AF">
        <w:t>financial</w:t>
      </w:r>
      <w:r w:rsidR="000A5329" w:rsidRPr="002029AF">
        <w:t xml:space="preserve"> </w:t>
      </w:r>
      <w:r w:rsidRPr="002029AF">
        <w:t>year</w:t>
      </w:r>
      <w:r w:rsidR="000A5329" w:rsidRPr="002029AF">
        <w:t xml:space="preserve"> </w:t>
      </w:r>
      <w:r w:rsidRPr="002029AF">
        <w:t>ended</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bookmarkEnd w:id="258"/>
    </w:p>
    <w:tbl>
      <w:tblPr>
        <w:tblStyle w:val="TableGrid"/>
        <w:tblW w:w="9639" w:type="dxa"/>
        <w:tblLayout w:type="fixed"/>
        <w:tblLook w:val="06A0" w:firstRow="1" w:lastRow="0" w:firstColumn="1" w:lastColumn="0" w:noHBand="1" w:noVBand="1"/>
      </w:tblPr>
      <w:tblGrid>
        <w:gridCol w:w="3572"/>
        <w:gridCol w:w="851"/>
        <w:gridCol w:w="1304"/>
        <w:gridCol w:w="1304"/>
        <w:gridCol w:w="1304"/>
        <w:gridCol w:w="1304"/>
      </w:tblGrid>
      <w:tr w:rsidR="0065586C" w:rsidRPr="002029AF" w14:paraId="75B84C55" w14:textId="77777777" w:rsidTr="00C83719">
        <w:trPr>
          <w:cnfStyle w:val="100000000000" w:firstRow="1" w:lastRow="0" w:firstColumn="0" w:lastColumn="0" w:oddVBand="0" w:evenVBand="0" w:oddHBand="0" w:evenHBand="0" w:firstRowFirstColumn="0" w:firstRowLastColumn="0" w:lastRowFirstColumn="0" w:lastRowLastColumn="0"/>
          <w:tblHeader/>
        </w:trPr>
        <w:tc>
          <w:tcPr>
            <w:tcW w:w="3572" w:type="dxa"/>
            <w:tcBorders>
              <w:bottom w:val="single" w:sz="4" w:space="0" w:color="auto"/>
            </w:tcBorders>
            <w:hideMark/>
          </w:tcPr>
          <w:p w14:paraId="2BB124AA" w14:textId="77777777" w:rsidR="0065586C" w:rsidRPr="002029AF" w:rsidRDefault="0065586C" w:rsidP="003566F1">
            <w:pPr>
              <w:pStyle w:val="ARfintablecolhead"/>
            </w:pPr>
          </w:p>
        </w:tc>
        <w:tc>
          <w:tcPr>
            <w:tcW w:w="851" w:type="dxa"/>
            <w:tcBorders>
              <w:bottom w:val="single" w:sz="4" w:space="0" w:color="auto"/>
            </w:tcBorders>
            <w:hideMark/>
          </w:tcPr>
          <w:p w14:paraId="45D847C1" w14:textId="77777777" w:rsidR="0065586C" w:rsidRPr="002029AF" w:rsidRDefault="0065586C" w:rsidP="003566F1">
            <w:pPr>
              <w:pStyle w:val="ARfintablecolheadright"/>
            </w:pPr>
            <w:r w:rsidRPr="002029AF">
              <w:t>Note</w:t>
            </w:r>
          </w:p>
        </w:tc>
        <w:tc>
          <w:tcPr>
            <w:tcW w:w="1304" w:type="dxa"/>
            <w:tcBorders>
              <w:bottom w:val="single" w:sz="4" w:space="0" w:color="auto"/>
            </w:tcBorders>
            <w:hideMark/>
          </w:tcPr>
          <w:p w14:paraId="15458138" w14:textId="77777777" w:rsidR="0065586C" w:rsidRPr="002029AF" w:rsidRDefault="0065586C" w:rsidP="003566F1">
            <w:pPr>
              <w:pStyle w:val="ARfintablecolheadright"/>
            </w:pPr>
            <w:r w:rsidRPr="002029AF">
              <w:t>Physical</w:t>
            </w:r>
            <w:r w:rsidRPr="002029AF">
              <w:br/>
              <w:t>asset</w:t>
            </w:r>
            <w:r w:rsidRPr="002029AF">
              <w:br/>
              <w:t>revaluation</w:t>
            </w:r>
            <w:r w:rsidRPr="002029AF">
              <w:br/>
              <w:t>surplus</w:t>
            </w:r>
          </w:p>
          <w:p w14:paraId="267B0D79" w14:textId="77777777" w:rsidR="0065586C" w:rsidRPr="002029AF" w:rsidRDefault="0065586C" w:rsidP="003566F1">
            <w:pPr>
              <w:pStyle w:val="ARfintablecolheadright"/>
            </w:pPr>
            <w:r w:rsidRPr="002029AF">
              <w:t>$M</w:t>
            </w:r>
          </w:p>
        </w:tc>
        <w:tc>
          <w:tcPr>
            <w:tcW w:w="1304" w:type="dxa"/>
            <w:tcBorders>
              <w:bottom w:val="single" w:sz="4" w:space="0" w:color="auto"/>
            </w:tcBorders>
            <w:hideMark/>
          </w:tcPr>
          <w:p w14:paraId="59C0A369" w14:textId="02D1C731" w:rsidR="0065586C" w:rsidRPr="002029AF" w:rsidRDefault="0065586C" w:rsidP="003566F1">
            <w:pPr>
              <w:pStyle w:val="ARfintablecolheadright"/>
            </w:pPr>
            <w:r w:rsidRPr="002029AF">
              <w:t>Accumulated</w:t>
            </w:r>
            <w:r w:rsidR="000A5329" w:rsidRPr="002029AF">
              <w:t xml:space="preserve"> </w:t>
            </w:r>
            <w:r w:rsidRPr="002029AF">
              <w:br/>
              <w:t>surplus/</w:t>
            </w:r>
            <w:r w:rsidRPr="002029AF">
              <w:br/>
              <w:t>(deficit)</w:t>
            </w:r>
          </w:p>
          <w:p w14:paraId="4E49E5C9" w14:textId="77777777" w:rsidR="0065586C" w:rsidRPr="002029AF" w:rsidRDefault="0065586C" w:rsidP="003566F1">
            <w:pPr>
              <w:pStyle w:val="ARfintablecolheadright"/>
            </w:pPr>
            <w:r w:rsidRPr="002029AF">
              <w:t>$M</w:t>
            </w:r>
          </w:p>
        </w:tc>
        <w:tc>
          <w:tcPr>
            <w:tcW w:w="1304" w:type="dxa"/>
            <w:tcBorders>
              <w:bottom w:val="single" w:sz="4" w:space="0" w:color="auto"/>
            </w:tcBorders>
            <w:hideMark/>
          </w:tcPr>
          <w:p w14:paraId="0401266A" w14:textId="7C37013B" w:rsidR="0065586C" w:rsidRPr="002029AF" w:rsidRDefault="0065586C" w:rsidP="003566F1">
            <w:pPr>
              <w:pStyle w:val="ARfintablecolheadright"/>
            </w:pPr>
            <w:r w:rsidRPr="002029AF">
              <w:t>Contributed</w:t>
            </w:r>
            <w:r w:rsidR="000A5329" w:rsidRPr="002029AF">
              <w:t xml:space="preserve"> </w:t>
            </w:r>
            <w:r w:rsidRPr="002029AF">
              <w:t>capital</w:t>
            </w:r>
          </w:p>
          <w:p w14:paraId="3B2B748B" w14:textId="77777777" w:rsidR="0065586C" w:rsidRPr="002029AF" w:rsidRDefault="0065586C" w:rsidP="003566F1">
            <w:pPr>
              <w:pStyle w:val="ARfintablecolheadright"/>
            </w:pPr>
            <w:r w:rsidRPr="002029AF">
              <w:t>$M</w:t>
            </w:r>
          </w:p>
        </w:tc>
        <w:tc>
          <w:tcPr>
            <w:tcW w:w="1304" w:type="dxa"/>
            <w:tcBorders>
              <w:bottom w:val="single" w:sz="4" w:space="0" w:color="auto"/>
            </w:tcBorders>
            <w:hideMark/>
          </w:tcPr>
          <w:p w14:paraId="0D22CFA4" w14:textId="77777777" w:rsidR="0065586C" w:rsidRPr="002029AF" w:rsidRDefault="0065586C" w:rsidP="003566F1">
            <w:pPr>
              <w:pStyle w:val="ARfintablecolheadright"/>
            </w:pPr>
            <w:r w:rsidRPr="002029AF">
              <w:t>Total</w:t>
            </w:r>
          </w:p>
          <w:p w14:paraId="0B848393" w14:textId="77777777" w:rsidR="0065586C" w:rsidRPr="002029AF" w:rsidRDefault="0065586C" w:rsidP="003566F1">
            <w:pPr>
              <w:pStyle w:val="ARfintablecolheadright"/>
            </w:pPr>
            <w:r w:rsidRPr="002029AF">
              <w:t>$M</w:t>
            </w:r>
          </w:p>
        </w:tc>
      </w:tr>
      <w:tr w:rsidR="0065586C" w:rsidRPr="002029AF" w14:paraId="30E3F7F6" w14:textId="77777777" w:rsidTr="003566F1">
        <w:tc>
          <w:tcPr>
            <w:tcW w:w="3572" w:type="dxa"/>
            <w:tcBorders>
              <w:top w:val="single" w:sz="4" w:space="0" w:color="auto"/>
              <w:bottom w:val="single" w:sz="4" w:space="0" w:color="A6A6A6"/>
            </w:tcBorders>
            <w:hideMark/>
          </w:tcPr>
          <w:p w14:paraId="3A553FFB" w14:textId="3CC75BED" w:rsidR="0065586C" w:rsidRPr="002029AF" w:rsidRDefault="0065586C" w:rsidP="003566F1">
            <w:pPr>
              <w:pStyle w:val="ARfintablebodybold"/>
            </w:pPr>
            <w:r w:rsidRPr="002029AF">
              <w:t>Balance</w:t>
            </w:r>
            <w:r w:rsidR="000A5329" w:rsidRPr="002029AF">
              <w:t xml:space="preserve"> </w:t>
            </w:r>
            <w:r w:rsidRPr="002029AF">
              <w:t>at</w:t>
            </w:r>
            <w:r w:rsidR="000A5329" w:rsidRPr="002029AF">
              <w:t xml:space="preserve"> </w:t>
            </w:r>
            <w:r w:rsidRPr="002029AF">
              <w:t>1</w:t>
            </w:r>
            <w:r w:rsidR="000A5329" w:rsidRPr="002029AF">
              <w:t xml:space="preserve"> </w:t>
            </w:r>
            <w:r w:rsidRPr="002029AF">
              <w:t>July</w:t>
            </w:r>
            <w:r w:rsidR="000A5329" w:rsidRPr="002029AF">
              <w:t xml:space="preserve"> </w:t>
            </w:r>
            <w:r w:rsidRPr="002029AF">
              <w:t>2018</w:t>
            </w:r>
          </w:p>
        </w:tc>
        <w:tc>
          <w:tcPr>
            <w:tcW w:w="851" w:type="dxa"/>
            <w:tcBorders>
              <w:top w:val="single" w:sz="4" w:space="0" w:color="auto"/>
              <w:bottom w:val="single" w:sz="4" w:space="0" w:color="A6A6A6"/>
            </w:tcBorders>
            <w:hideMark/>
          </w:tcPr>
          <w:p w14:paraId="7384579F" w14:textId="77777777" w:rsidR="0065586C" w:rsidRPr="002029AF" w:rsidRDefault="0065586C" w:rsidP="003566F1">
            <w:pPr>
              <w:pStyle w:val="ARfintablebodyright"/>
            </w:pPr>
          </w:p>
        </w:tc>
        <w:tc>
          <w:tcPr>
            <w:tcW w:w="1304" w:type="dxa"/>
            <w:tcBorders>
              <w:top w:val="single" w:sz="4" w:space="0" w:color="auto"/>
              <w:bottom w:val="single" w:sz="4" w:space="0" w:color="A6A6A6"/>
            </w:tcBorders>
            <w:noWrap/>
            <w:hideMark/>
          </w:tcPr>
          <w:p w14:paraId="37226DFE" w14:textId="77777777" w:rsidR="0065586C" w:rsidRPr="002029AF" w:rsidRDefault="0065586C" w:rsidP="003566F1">
            <w:pPr>
              <w:pStyle w:val="ARfintablebodyrightbold"/>
            </w:pPr>
            <w:r w:rsidRPr="002029AF">
              <w:t>8,601.7</w:t>
            </w:r>
          </w:p>
        </w:tc>
        <w:tc>
          <w:tcPr>
            <w:tcW w:w="1304" w:type="dxa"/>
            <w:tcBorders>
              <w:top w:val="single" w:sz="4" w:space="0" w:color="auto"/>
              <w:bottom w:val="single" w:sz="4" w:space="0" w:color="A6A6A6"/>
            </w:tcBorders>
            <w:noWrap/>
            <w:hideMark/>
          </w:tcPr>
          <w:p w14:paraId="3EE26D3C" w14:textId="77777777" w:rsidR="0065586C" w:rsidRPr="002029AF" w:rsidRDefault="0065586C" w:rsidP="003566F1">
            <w:pPr>
              <w:pStyle w:val="ARfintablebodyrightbold"/>
            </w:pPr>
            <w:r w:rsidRPr="002029AF">
              <w:t>1,610.8</w:t>
            </w:r>
          </w:p>
        </w:tc>
        <w:tc>
          <w:tcPr>
            <w:tcW w:w="1304" w:type="dxa"/>
            <w:tcBorders>
              <w:top w:val="single" w:sz="4" w:space="0" w:color="auto"/>
              <w:bottom w:val="single" w:sz="4" w:space="0" w:color="A6A6A6"/>
            </w:tcBorders>
            <w:noWrap/>
            <w:hideMark/>
          </w:tcPr>
          <w:p w14:paraId="0F8566F9" w14:textId="77777777" w:rsidR="0065586C" w:rsidRPr="002029AF" w:rsidRDefault="0065586C" w:rsidP="003566F1">
            <w:pPr>
              <w:pStyle w:val="ARfintablebodyrightbold"/>
            </w:pPr>
            <w:r w:rsidRPr="002029AF">
              <w:t>22,197.5</w:t>
            </w:r>
          </w:p>
        </w:tc>
        <w:tc>
          <w:tcPr>
            <w:tcW w:w="1304" w:type="dxa"/>
            <w:tcBorders>
              <w:top w:val="single" w:sz="4" w:space="0" w:color="auto"/>
              <w:bottom w:val="single" w:sz="4" w:space="0" w:color="A6A6A6"/>
            </w:tcBorders>
            <w:noWrap/>
            <w:hideMark/>
          </w:tcPr>
          <w:p w14:paraId="0BCC1F93" w14:textId="77777777" w:rsidR="0065586C" w:rsidRPr="002029AF" w:rsidRDefault="0065586C" w:rsidP="003566F1">
            <w:pPr>
              <w:pStyle w:val="ARfintablebodyrightbold"/>
            </w:pPr>
            <w:r w:rsidRPr="002029AF">
              <w:t>32,410.1</w:t>
            </w:r>
          </w:p>
        </w:tc>
      </w:tr>
      <w:tr w:rsidR="0065586C" w:rsidRPr="002029AF" w14:paraId="07A8F2D0" w14:textId="77777777" w:rsidTr="003566F1">
        <w:tc>
          <w:tcPr>
            <w:tcW w:w="3572" w:type="dxa"/>
            <w:tcBorders>
              <w:top w:val="single" w:sz="4" w:space="0" w:color="A6A6A6"/>
              <w:bottom w:val="single" w:sz="4" w:space="0" w:color="A6A6A6"/>
            </w:tcBorders>
            <w:hideMark/>
          </w:tcPr>
          <w:p w14:paraId="34AC5CA1" w14:textId="72011825" w:rsidR="0065586C" w:rsidRPr="002029AF" w:rsidRDefault="0065586C" w:rsidP="003566F1">
            <w:pPr>
              <w:pStyle w:val="ARfintablebody"/>
            </w:pPr>
            <w:r w:rsidRPr="002029AF">
              <w:t>Net</w:t>
            </w:r>
            <w:r w:rsidR="000A5329" w:rsidRPr="002029AF">
              <w:t xml:space="preserve"> </w:t>
            </w:r>
            <w:r w:rsidRPr="002029AF">
              <w:t>result</w:t>
            </w:r>
            <w:r w:rsidR="000A5329" w:rsidRPr="002029AF">
              <w:t xml:space="preserve"> </w:t>
            </w:r>
            <w:r w:rsidRPr="002029AF">
              <w:t>for</w:t>
            </w:r>
            <w:r w:rsidR="000A5329" w:rsidRPr="002029AF">
              <w:t xml:space="preserve"> </w:t>
            </w:r>
            <w:r w:rsidRPr="002029AF">
              <w:t>the</w:t>
            </w:r>
            <w:r w:rsidR="000A5329" w:rsidRPr="002029AF">
              <w:t xml:space="preserve"> </w:t>
            </w:r>
            <w:r w:rsidRPr="002029AF">
              <w:t>year</w:t>
            </w:r>
          </w:p>
        </w:tc>
        <w:tc>
          <w:tcPr>
            <w:tcW w:w="851" w:type="dxa"/>
            <w:tcBorders>
              <w:top w:val="single" w:sz="4" w:space="0" w:color="A6A6A6"/>
              <w:bottom w:val="single" w:sz="4" w:space="0" w:color="A6A6A6"/>
            </w:tcBorders>
            <w:hideMark/>
          </w:tcPr>
          <w:p w14:paraId="536A522C" w14:textId="77777777" w:rsidR="0065586C" w:rsidRPr="002029AF" w:rsidRDefault="0065586C" w:rsidP="003566F1">
            <w:pPr>
              <w:pStyle w:val="ARfintablebodyright"/>
            </w:pPr>
          </w:p>
        </w:tc>
        <w:tc>
          <w:tcPr>
            <w:tcW w:w="1304" w:type="dxa"/>
            <w:tcBorders>
              <w:top w:val="single" w:sz="4" w:space="0" w:color="A6A6A6"/>
              <w:bottom w:val="single" w:sz="4" w:space="0" w:color="A6A6A6"/>
            </w:tcBorders>
            <w:noWrap/>
            <w:hideMark/>
          </w:tcPr>
          <w:p w14:paraId="30DF38FA" w14:textId="77777777" w:rsidR="0065586C" w:rsidRPr="002029AF" w:rsidRDefault="0065586C" w:rsidP="003566F1">
            <w:pPr>
              <w:pStyle w:val="ARfintablebodyright"/>
            </w:pPr>
            <w:r w:rsidRPr="002029AF">
              <w:t>–</w:t>
            </w:r>
          </w:p>
        </w:tc>
        <w:tc>
          <w:tcPr>
            <w:tcW w:w="1304" w:type="dxa"/>
            <w:tcBorders>
              <w:top w:val="single" w:sz="4" w:space="0" w:color="A6A6A6"/>
              <w:bottom w:val="single" w:sz="4" w:space="0" w:color="A6A6A6"/>
            </w:tcBorders>
            <w:noWrap/>
            <w:hideMark/>
          </w:tcPr>
          <w:p w14:paraId="7E99A43C" w14:textId="77777777" w:rsidR="0065586C" w:rsidRPr="002029AF" w:rsidRDefault="0065586C" w:rsidP="003566F1">
            <w:pPr>
              <w:pStyle w:val="ARfintablebodyright"/>
            </w:pPr>
            <w:r w:rsidRPr="002029AF">
              <w:t>(9.0)</w:t>
            </w:r>
          </w:p>
        </w:tc>
        <w:tc>
          <w:tcPr>
            <w:tcW w:w="1304" w:type="dxa"/>
            <w:tcBorders>
              <w:top w:val="single" w:sz="4" w:space="0" w:color="A6A6A6"/>
              <w:bottom w:val="single" w:sz="4" w:space="0" w:color="A6A6A6"/>
            </w:tcBorders>
            <w:noWrap/>
            <w:hideMark/>
          </w:tcPr>
          <w:p w14:paraId="673E94B2" w14:textId="77777777" w:rsidR="0065586C" w:rsidRPr="002029AF" w:rsidRDefault="0065586C" w:rsidP="003566F1">
            <w:pPr>
              <w:pStyle w:val="ARfintablebodyright"/>
            </w:pPr>
            <w:r w:rsidRPr="002029AF">
              <w:t>–</w:t>
            </w:r>
          </w:p>
        </w:tc>
        <w:tc>
          <w:tcPr>
            <w:tcW w:w="1304" w:type="dxa"/>
            <w:tcBorders>
              <w:top w:val="single" w:sz="4" w:space="0" w:color="A6A6A6"/>
              <w:bottom w:val="single" w:sz="4" w:space="0" w:color="A6A6A6"/>
            </w:tcBorders>
            <w:noWrap/>
            <w:hideMark/>
          </w:tcPr>
          <w:p w14:paraId="66DB5717" w14:textId="77777777" w:rsidR="0065586C" w:rsidRPr="002029AF" w:rsidRDefault="0065586C" w:rsidP="003566F1">
            <w:pPr>
              <w:pStyle w:val="ARfintablebodyright"/>
            </w:pPr>
            <w:r w:rsidRPr="002029AF">
              <w:t>(9.0)</w:t>
            </w:r>
          </w:p>
        </w:tc>
      </w:tr>
      <w:tr w:rsidR="0065586C" w:rsidRPr="002029AF" w14:paraId="27A14597" w14:textId="77777777" w:rsidTr="003566F1">
        <w:tc>
          <w:tcPr>
            <w:tcW w:w="3572" w:type="dxa"/>
            <w:tcBorders>
              <w:top w:val="single" w:sz="4" w:space="0" w:color="A6A6A6"/>
              <w:bottom w:val="single" w:sz="4" w:space="0" w:color="A6A6A6"/>
            </w:tcBorders>
            <w:hideMark/>
          </w:tcPr>
          <w:p w14:paraId="7777C6CA" w14:textId="6CC36C96" w:rsidR="0065586C" w:rsidRPr="002029AF" w:rsidRDefault="0065586C" w:rsidP="003566F1">
            <w:pPr>
              <w:pStyle w:val="ARfintablebody"/>
            </w:pPr>
            <w:r w:rsidRPr="002029AF">
              <w:t>Remeasurement</w:t>
            </w:r>
            <w:r w:rsidR="000A5329" w:rsidRPr="002029AF">
              <w:t xml:space="preserve"> </w:t>
            </w:r>
            <w:r w:rsidRPr="002029AF">
              <w:t>of</w:t>
            </w:r>
            <w:r w:rsidR="000A5329" w:rsidRPr="002029AF">
              <w:t xml:space="preserve"> </w:t>
            </w:r>
            <w:r w:rsidRPr="002029AF">
              <w:t>superannuation</w:t>
            </w:r>
            <w:r w:rsidR="000A5329" w:rsidRPr="002029AF">
              <w:t xml:space="preserve"> </w:t>
            </w:r>
            <w:r w:rsidRPr="002029AF">
              <w:t>defined</w:t>
            </w:r>
            <w:r w:rsidR="000A5329" w:rsidRPr="002029AF">
              <w:t xml:space="preserve"> </w:t>
            </w:r>
            <w:r w:rsidRPr="002029AF">
              <w:t>benefit</w:t>
            </w:r>
            <w:r w:rsidR="000A5329" w:rsidRPr="002029AF">
              <w:t xml:space="preserve"> </w:t>
            </w:r>
            <w:r w:rsidRPr="002029AF">
              <w:t>plans</w:t>
            </w:r>
          </w:p>
        </w:tc>
        <w:tc>
          <w:tcPr>
            <w:tcW w:w="851" w:type="dxa"/>
            <w:tcBorders>
              <w:top w:val="single" w:sz="4" w:space="0" w:color="A6A6A6"/>
              <w:bottom w:val="single" w:sz="4" w:space="0" w:color="A6A6A6"/>
            </w:tcBorders>
            <w:noWrap/>
            <w:hideMark/>
          </w:tcPr>
          <w:p w14:paraId="49121A2F" w14:textId="77777777" w:rsidR="0065586C" w:rsidRPr="002029AF" w:rsidRDefault="0065586C" w:rsidP="003566F1">
            <w:pPr>
              <w:pStyle w:val="ARfintablebodyright"/>
            </w:pPr>
            <w:r w:rsidRPr="002029AF">
              <w:t>3.1.1(b)</w:t>
            </w:r>
          </w:p>
        </w:tc>
        <w:tc>
          <w:tcPr>
            <w:tcW w:w="1304" w:type="dxa"/>
            <w:tcBorders>
              <w:top w:val="single" w:sz="4" w:space="0" w:color="A6A6A6"/>
              <w:bottom w:val="single" w:sz="4" w:space="0" w:color="A6A6A6"/>
            </w:tcBorders>
            <w:noWrap/>
            <w:hideMark/>
          </w:tcPr>
          <w:p w14:paraId="56835F01" w14:textId="77777777" w:rsidR="0065586C" w:rsidRPr="002029AF" w:rsidRDefault="0065586C" w:rsidP="003566F1">
            <w:pPr>
              <w:pStyle w:val="ARfintablebodyright"/>
            </w:pPr>
            <w:r w:rsidRPr="002029AF">
              <w:t>–</w:t>
            </w:r>
          </w:p>
        </w:tc>
        <w:tc>
          <w:tcPr>
            <w:tcW w:w="1304" w:type="dxa"/>
            <w:tcBorders>
              <w:top w:val="single" w:sz="4" w:space="0" w:color="A6A6A6"/>
              <w:bottom w:val="single" w:sz="4" w:space="0" w:color="A6A6A6"/>
            </w:tcBorders>
            <w:noWrap/>
            <w:hideMark/>
          </w:tcPr>
          <w:p w14:paraId="08E092B7" w14:textId="77777777" w:rsidR="0065586C" w:rsidRPr="002029AF" w:rsidRDefault="0065586C" w:rsidP="003566F1">
            <w:pPr>
              <w:pStyle w:val="ARfintablebodyright"/>
            </w:pPr>
            <w:r w:rsidRPr="002029AF">
              <w:t>(2.5)</w:t>
            </w:r>
          </w:p>
        </w:tc>
        <w:tc>
          <w:tcPr>
            <w:tcW w:w="1304" w:type="dxa"/>
            <w:tcBorders>
              <w:top w:val="single" w:sz="4" w:space="0" w:color="A6A6A6"/>
              <w:bottom w:val="single" w:sz="4" w:space="0" w:color="A6A6A6"/>
            </w:tcBorders>
            <w:noWrap/>
            <w:hideMark/>
          </w:tcPr>
          <w:p w14:paraId="2A6938CB" w14:textId="77777777" w:rsidR="0065586C" w:rsidRPr="002029AF" w:rsidRDefault="0065586C" w:rsidP="003566F1">
            <w:pPr>
              <w:pStyle w:val="ARfintablebodyright"/>
            </w:pPr>
            <w:r w:rsidRPr="002029AF">
              <w:t>–</w:t>
            </w:r>
          </w:p>
        </w:tc>
        <w:tc>
          <w:tcPr>
            <w:tcW w:w="1304" w:type="dxa"/>
            <w:tcBorders>
              <w:top w:val="single" w:sz="4" w:space="0" w:color="A6A6A6"/>
              <w:bottom w:val="single" w:sz="4" w:space="0" w:color="A6A6A6"/>
            </w:tcBorders>
            <w:noWrap/>
            <w:hideMark/>
          </w:tcPr>
          <w:p w14:paraId="21B49412" w14:textId="77777777" w:rsidR="0065586C" w:rsidRPr="002029AF" w:rsidRDefault="0065586C" w:rsidP="003566F1">
            <w:pPr>
              <w:pStyle w:val="ARfintablebodyright"/>
            </w:pPr>
            <w:r w:rsidRPr="002029AF">
              <w:t>(2.5)</w:t>
            </w:r>
          </w:p>
        </w:tc>
      </w:tr>
      <w:tr w:rsidR="0065586C" w:rsidRPr="002029AF" w14:paraId="694C26C0" w14:textId="77777777" w:rsidTr="003566F1">
        <w:tc>
          <w:tcPr>
            <w:tcW w:w="3572" w:type="dxa"/>
            <w:tcBorders>
              <w:top w:val="single" w:sz="4" w:space="0" w:color="A6A6A6"/>
              <w:bottom w:val="single" w:sz="4" w:space="0" w:color="A6A6A6"/>
            </w:tcBorders>
            <w:hideMark/>
          </w:tcPr>
          <w:p w14:paraId="70F77D88" w14:textId="6DCA343C" w:rsidR="0065586C" w:rsidRPr="002029AF" w:rsidRDefault="0065586C" w:rsidP="003566F1">
            <w:pPr>
              <w:pStyle w:val="ARfintablebody"/>
            </w:pPr>
            <w:r w:rsidRPr="002029AF">
              <w:t>Changes</w:t>
            </w:r>
            <w:r w:rsidR="000A5329" w:rsidRPr="002029AF">
              <w:t xml:space="preserve"> </w:t>
            </w:r>
            <w:r w:rsidRPr="002029AF">
              <w:t>in</w:t>
            </w:r>
            <w:r w:rsidR="000A5329" w:rsidRPr="002029AF">
              <w:t xml:space="preserve"> </w:t>
            </w:r>
            <w:r w:rsidRPr="002029AF">
              <w:t>physical</w:t>
            </w:r>
            <w:r w:rsidR="000A5329" w:rsidRPr="002029AF">
              <w:t xml:space="preserve"> </w:t>
            </w:r>
            <w:r w:rsidRPr="002029AF">
              <w:t>asset</w:t>
            </w:r>
            <w:r w:rsidR="000A5329" w:rsidRPr="002029AF">
              <w:t xml:space="preserve"> </w:t>
            </w:r>
            <w:r w:rsidRPr="002029AF">
              <w:t>revaluation</w:t>
            </w:r>
            <w:r w:rsidR="000A5329" w:rsidRPr="002029AF">
              <w:t xml:space="preserve"> </w:t>
            </w:r>
            <w:r w:rsidRPr="002029AF">
              <w:t>surplus</w:t>
            </w:r>
          </w:p>
        </w:tc>
        <w:tc>
          <w:tcPr>
            <w:tcW w:w="851" w:type="dxa"/>
            <w:tcBorders>
              <w:top w:val="single" w:sz="4" w:space="0" w:color="A6A6A6"/>
              <w:bottom w:val="single" w:sz="4" w:space="0" w:color="A6A6A6"/>
            </w:tcBorders>
            <w:noWrap/>
            <w:hideMark/>
          </w:tcPr>
          <w:p w14:paraId="6197B5C7" w14:textId="77777777" w:rsidR="0065586C" w:rsidRPr="002029AF" w:rsidRDefault="0065586C" w:rsidP="003566F1">
            <w:pPr>
              <w:pStyle w:val="ARfintablebodyright"/>
            </w:pPr>
            <w:r w:rsidRPr="002029AF">
              <w:t>9.4</w:t>
            </w:r>
          </w:p>
        </w:tc>
        <w:tc>
          <w:tcPr>
            <w:tcW w:w="1304" w:type="dxa"/>
            <w:tcBorders>
              <w:top w:val="single" w:sz="4" w:space="0" w:color="A6A6A6"/>
              <w:bottom w:val="single" w:sz="4" w:space="0" w:color="A6A6A6"/>
            </w:tcBorders>
            <w:noWrap/>
            <w:hideMark/>
          </w:tcPr>
          <w:p w14:paraId="14257860" w14:textId="77777777" w:rsidR="0065586C" w:rsidRPr="002029AF" w:rsidRDefault="0065586C" w:rsidP="003566F1">
            <w:pPr>
              <w:pStyle w:val="ARfintablebodyright"/>
            </w:pPr>
            <w:r w:rsidRPr="002029AF">
              <w:t>(1,205.3)</w:t>
            </w:r>
          </w:p>
        </w:tc>
        <w:tc>
          <w:tcPr>
            <w:tcW w:w="1304" w:type="dxa"/>
            <w:tcBorders>
              <w:top w:val="single" w:sz="4" w:space="0" w:color="A6A6A6"/>
              <w:bottom w:val="single" w:sz="4" w:space="0" w:color="A6A6A6"/>
            </w:tcBorders>
            <w:noWrap/>
            <w:hideMark/>
          </w:tcPr>
          <w:p w14:paraId="7C87AF9F" w14:textId="77777777" w:rsidR="0065586C" w:rsidRPr="002029AF" w:rsidRDefault="0065586C" w:rsidP="003566F1">
            <w:pPr>
              <w:pStyle w:val="ARfintablebodyright"/>
            </w:pPr>
            <w:r w:rsidRPr="002029AF">
              <w:t>–</w:t>
            </w:r>
          </w:p>
        </w:tc>
        <w:tc>
          <w:tcPr>
            <w:tcW w:w="1304" w:type="dxa"/>
            <w:tcBorders>
              <w:top w:val="single" w:sz="4" w:space="0" w:color="A6A6A6"/>
              <w:bottom w:val="single" w:sz="4" w:space="0" w:color="A6A6A6"/>
            </w:tcBorders>
            <w:noWrap/>
            <w:hideMark/>
          </w:tcPr>
          <w:p w14:paraId="7C69622A" w14:textId="77777777" w:rsidR="0065586C" w:rsidRPr="002029AF" w:rsidRDefault="0065586C" w:rsidP="003566F1">
            <w:pPr>
              <w:pStyle w:val="ARfintablebodyright"/>
            </w:pPr>
            <w:r w:rsidRPr="002029AF">
              <w:t>–</w:t>
            </w:r>
          </w:p>
        </w:tc>
        <w:tc>
          <w:tcPr>
            <w:tcW w:w="1304" w:type="dxa"/>
            <w:tcBorders>
              <w:top w:val="single" w:sz="4" w:space="0" w:color="A6A6A6"/>
              <w:bottom w:val="single" w:sz="4" w:space="0" w:color="A6A6A6"/>
            </w:tcBorders>
            <w:noWrap/>
            <w:hideMark/>
          </w:tcPr>
          <w:p w14:paraId="71E7EBC0" w14:textId="77777777" w:rsidR="0065586C" w:rsidRPr="002029AF" w:rsidRDefault="0065586C" w:rsidP="003566F1">
            <w:pPr>
              <w:pStyle w:val="ARfintablebodyright"/>
            </w:pPr>
            <w:r w:rsidRPr="002029AF">
              <w:t>(1,205.3)</w:t>
            </w:r>
          </w:p>
        </w:tc>
      </w:tr>
      <w:tr w:rsidR="0065586C" w:rsidRPr="002029AF" w14:paraId="0F2377BC" w14:textId="77777777" w:rsidTr="003566F1">
        <w:tc>
          <w:tcPr>
            <w:tcW w:w="3572" w:type="dxa"/>
            <w:tcBorders>
              <w:top w:val="single" w:sz="4" w:space="0" w:color="A6A6A6"/>
              <w:bottom w:val="single" w:sz="4" w:space="0" w:color="A6A6A6"/>
            </w:tcBorders>
            <w:hideMark/>
          </w:tcPr>
          <w:p w14:paraId="29777349" w14:textId="366E1046" w:rsidR="0065586C" w:rsidRPr="002029AF" w:rsidRDefault="0065586C" w:rsidP="003566F1">
            <w:pPr>
              <w:pStyle w:val="ARfintablebody"/>
            </w:pPr>
            <w:r w:rsidRPr="002029AF">
              <w:t>Administrative</w:t>
            </w:r>
            <w:r w:rsidR="000A5329" w:rsidRPr="002029AF">
              <w:t xml:space="preserve"> </w:t>
            </w:r>
            <w:r w:rsidRPr="002029AF">
              <w:t>restructure</w:t>
            </w:r>
            <w:r w:rsidR="000A5329" w:rsidRPr="002029AF">
              <w:t xml:space="preserve"> </w:t>
            </w:r>
            <w:r w:rsidRPr="002029AF">
              <w:t>–</w:t>
            </w:r>
            <w:r w:rsidR="000A5329" w:rsidRPr="002029AF">
              <w:t xml:space="preserve"> </w:t>
            </w:r>
            <w:r w:rsidRPr="002029AF">
              <w:t>net</w:t>
            </w:r>
            <w:r w:rsidR="000A5329" w:rsidRPr="002029AF">
              <w:t xml:space="preserve"> </w:t>
            </w:r>
            <w:r w:rsidRPr="002029AF">
              <w:t>assets</w:t>
            </w:r>
            <w:r w:rsidR="000A5329" w:rsidRPr="002029AF">
              <w:t xml:space="preserve"> </w:t>
            </w:r>
            <w:r w:rsidRPr="002029AF">
              <w:t>received</w:t>
            </w:r>
          </w:p>
        </w:tc>
        <w:tc>
          <w:tcPr>
            <w:tcW w:w="851" w:type="dxa"/>
            <w:tcBorders>
              <w:top w:val="single" w:sz="4" w:space="0" w:color="A6A6A6"/>
              <w:bottom w:val="single" w:sz="4" w:space="0" w:color="A6A6A6"/>
            </w:tcBorders>
            <w:noWrap/>
            <w:hideMark/>
          </w:tcPr>
          <w:p w14:paraId="668E81B2" w14:textId="77777777" w:rsidR="0065586C" w:rsidRPr="002029AF" w:rsidRDefault="0065586C" w:rsidP="003566F1">
            <w:pPr>
              <w:pStyle w:val="ARfintablebodyright"/>
            </w:pPr>
            <w:r w:rsidRPr="002029AF">
              <w:t>4.3</w:t>
            </w:r>
          </w:p>
        </w:tc>
        <w:tc>
          <w:tcPr>
            <w:tcW w:w="1304" w:type="dxa"/>
            <w:tcBorders>
              <w:top w:val="single" w:sz="4" w:space="0" w:color="A6A6A6"/>
              <w:bottom w:val="single" w:sz="4" w:space="0" w:color="A6A6A6"/>
            </w:tcBorders>
            <w:noWrap/>
            <w:hideMark/>
          </w:tcPr>
          <w:p w14:paraId="04128320" w14:textId="77777777" w:rsidR="0065586C" w:rsidRPr="002029AF" w:rsidRDefault="0065586C" w:rsidP="003566F1">
            <w:pPr>
              <w:pStyle w:val="ARfintablebodyright"/>
            </w:pPr>
            <w:r w:rsidRPr="002029AF">
              <w:t>–</w:t>
            </w:r>
          </w:p>
        </w:tc>
        <w:tc>
          <w:tcPr>
            <w:tcW w:w="1304" w:type="dxa"/>
            <w:tcBorders>
              <w:top w:val="single" w:sz="4" w:space="0" w:color="A6A6A6"/>
              <w:bottom w:val="single" w:sz="4" w:space="0" w:color="A6A6A6"/>
            </w:tcBorders>
            <w:noWrap/>
            <w:hideMark/>
          </w:tcPr>
          <w:p w14:paraId="553D26F5" w14:textId="77777777" w:rsidR="0065586C" w:rsidRPr="002029AF" w:rsidRDefault="0065586C" w:rsidP="003566F1">
            <w:pPr>
              <w:pStyle w:val="ARfintablebodyright"/>
            </w:pPr>
            <w:r w:rsidRPr="002029AF">
              <w:t>–</w:t>
            </w:r>
          </w:p>
        </w:tc>
        <w:tc>
          <w:tcPr>
            <w:tcW w:w="1304" w:type="dxa"/>
            <w:tcBorders>
              <w:top w:val="single" w:sz="4" w:space="0" w:color="A6A6A6"/>
              <w:bottom w:val="single" w:sz="4" w:space="0" w:color="A6A6A6"/>
            </w:tcBorders>
            <w:noWrap/>
            <w:hideMark/>
          </w:tcPr>
          <w:p w14:paraId="260C7805" w14:textId="77777777" w:rsidR="0065586C" w:rsidRPr="002029AF" w:rsidRDefault="0065586C" w:rsidP="003566F1">
            <w:pPr>
              <w:pStyle w:val="ARfintablebodyright"/>
            </w:pPr>
            <w:r w:rsidRPr="002029AF">
              <w:t>11.0</w:t>
            </w:r>
          </w:p>
        </w:tc>
        <w:tc>
          <w:tcPr>
            <w:tcW w:w="1304" w:type="dxa"/>
            <w:tcBorders>
              <w:top w:val="single" w:sz="4" w:space="0" w:color="A6A6A6"/>
              <w:bottom w:val="single" w:sz="4" w:space="0" w:color="A6A6A6"/>
            </w:tcBorders>
            <w:noWrap/>
            <w:hideMark/>
          </w:tcPr>
          <w:p w14:paraId="47652AB0" w14:textId="77777777" w:rsidR="0065586C" w:rsidRPr="002029AF" w:rsidRDefault="0065586C" w:rsidP="003566F1">
            <w:pPr>
              <w:pStyle w:val="ARfintablebodyright"/>
            </w:pPr>
            <w:r w:rsidRPr="002029AF">
              <w:t>11.0</w:t>
            </w:r>
          </w:p>
        </w:tc>
      </w:tr>
      <w:tr w:rsidR="0065586C" w:rsidRPr="002029AF" w14:paraId="79F51018" w14:textId="77777777" w:rsidTr="003566F1">
        <w:tc>
          <w:tcPr>
            <w:tcW w:w="3572" w:type="dxa"/>
            <w:tcBorders>
              <w:top w:val="single" w:sz="4" w:space="0" w:color="A6A6A6"/>
              <w:bottom w:val="single" w:sz="4" w:space="0" w:color="A6A6A6"/>
            </w:tcBorders>
            <w:hideMark/>
          </w:tcPr>
          <w:p w14:paraId="5EB519F2" w14:textId="726E5614" w:rsidR="0065586C" w:rsidRPr="002029AF" w:rsidRDefault="0065586C" w:rsidP="003566F1">
            <w:pPr>
              <w:pStyle w:val="ARfintablebody"/>
            </w:pPr>
            <w:r w:rsidRPr="002029AF">
              <w:t>Administrative</w:t>
            </w:r>
            <w:r w:rsidR="000A5329" w:rsidRPr="002029AF">
              <w:t xml:space="preserve"> </w:t>
            </w:r>
            <w:r w:rsidRPr="002029AF">
              <w:t>restructure</w:t>
            </w:r>
            <w:r w:rsidR="000A5329" w:rsidRPr="002029AF">
              <w:t xml:space="preserve"> </w:t>
            </w:r>
            <w:r w:rsidRPr="002029AF">
              <w:t>–</w:t>
            </w:r>
            <w:r w:rsidR="000A5329" w:rsidRPr="002029AF">
              <w:t xml:space="preserve"> </w:t>
            </w:r>
            <w:r w:rsidRPr="002029AF">
              <w:t>net</w:t>
            </w:r>
            <w:r w:rsidR="000A5329" w:rsidRPr="002029AF">
              <w:t xml:space="preserve"> </w:t>
            </w:r>
            <w:r w:rsidRPr="002029AF">
              <w:t>assets</w:t>
            </w:r>
            <w:r w:rsidR="000A5329" w:rsidRPr="002029AF">
              <w:t xml:space="preserve"> </w:t>
            </w:r>
            <w:r w:rsidRPr="002029AF">
              <w:t>transferred</w:t>
            </w:r>
          </w:p>
        </w:tc>
        <w:tc>
          <w:tcPr>
            <w:tcW w:w="851" w:type="dxa"/>
            <w:tcBorders>
              <w:top w:val="single" w:sz="4" w:space="0" w:color="A6A6A6"/>
              <w:bottom w:val="single" w:sz="4" w:space="0" w:color="A6A6A6"/>
            </w:tcBorders>
            <w:noWrap/>
            <w:hideMark/>
          </w:tcPr>
          <w:p w14:paraId="64B15106" w14:textId="77777777" w:rsidR="0065586C" w:rsidRPr="002029AF" w:rsidRDefault="0065586C" w:rsidP="003566F1">
            <w:pPr>
              <w:pStyle w:val="ARfintablebodyright"/>
            </w:pPr>
            <w:r w:rsidRPr="002029AF">
              <w:t>4.3</w:t>
            </w:r>
          </w:p>
        </w:tc>
        <w:tc>
          <w:tcPr>
            <w:tcW w:w="1304" w:type="dxa"/>
            <w:tcBorders>
              <w:top w:val="single" w:sz="4" w:space="0" w:color="A6A6A6"/>
              <w:bottom w:val="single" w:sz="4" w:space="0" w:color="A6A6A6"/>
            </w:tcBorders>
            <w:noWrap/>
            <w:hideMark/>
          </w:tcPr>
          <w:p w14:paraId="017E338B" w14:textId="77777777" w:rsidR="0065586C" w:rsidRPr="002029AF" w:rsidRDefault="0065586C" w:rsidP="003566F1">
            <w:pPr>
              <w:pStyle w:val="ARfintablebodyright"/>
            </w:pPr>
            <w:r w:rsidRPr="002029AF">
              <w:t>–</w:t>
            </w:r>
          </w:p>
        </w:tc>
        <w:tc>
          <w:tcPr>
            <w:tcW w:w="1304" w:type="dxa"/>
            <w:tcBorders>
              <w:top w:val="single" w:sz="4" w:space="0" w:color="A6A6A6"/>
              <w:bottom w:val="single" w:sz="4" w:space="0" w:color="A6A6A6"/>
            </w:tcBorders>
            <w:noWrap/>
            <w:hideMark/>
          </w:tcPr>
          <w:p w14:paraId="618BFF3C" w14:textId="77777777" w:rsidR="0065586C" w:rsidRPr="002029AF" w:rsidRDefault="0065586C" w:rsidP="003566F1">
            <w:pPr>
              <w:pStyle w:val="ARfintablebodyright"/>
            </w:pPr>
            <w:r w:rsidRPr="002029AF">
              <w:t>–</w:t>
            </w:r>
          </w:p>
        </w:tc>
        <w:tc>
          <w:tcPr>
            <w:tcW w:w="1304" w:type="dxa"/>
            <w:tcBorders>
              <w:top w:val="single" w:sz="4" w:space="0" w:color="A6A6A6"/>
              <w:bottom w:val="single" w:sz="4" w:space="0" w:color="A6A6A6"/>
            </w:tcBorders>
            <w:noWrap/>
            <w:hideMark/>
          </w:tcPr>
          <w:p w14:paraId="52CB934A" w14:textId="77777777" w:rsidR="0065586C" w:rsidRPr="002029AF" w:rsidRDefault="0065586C" w:rsidP="003566F1">
            <w:pPr>
              <w:pStyle w:val="ARfintablebodyright"/>
            </w:pPr>
            <w:r w:rsidRPr="002029AF">
              <w:t>(44.1)</w:t>
            </w:r>
          </w:p>
        </w:tc>
        <w:tc>
          <w:tcPr>
            <w:tcW w:w="1304" w:type="dxa"/>
            <w:tcBorders>
              <w:top w:val="single" w:sz="4" w:space="0" w:color="A6A6A6"/>
              <w:bottom w:val="single" w:sz="4" w:space="0" w:color="A6A6A6"/>
            </w:tcBorders>
            <w:noWrap/>
            <w:hideMark/>
          </w:tcPr>
          <w:p w14:paraId="66DE51CD" w14:textId="77777777" w:rsidR="0065586C" w:rsidRPr="002029AF" w:rsidRDefault="0065586C" w:rsidP="003566F1">
            <w:pPr>
              <w:pStyle w:val="ARfintablebodyright"/>
            </w:pPr>
            <w:r w:rsidRPr="002029AF">
              <w:t>(44.1)</w:t>
            </w:r>
          </w:p>
        </w:tc>
      </w:tr>
      <w:tr w:rsidR="0065586C" w:rsidRPr="002029AF" w14:paraId="6ACA7FDC" w14:textId="77777777" w:rsidTr="003566F1">
        <w:tc>
          <w:tcPr>
            <w:tcW w:w="3572" w:type="dxa"/>
            <w:tcBorders>
              <w:top w:val="single" w:sz="4" w:space="0" w:color="A6A6A6"/>
              <w:bottom w:val="single" w:sz="4" w:space="0" w:color="A6A6A6"/>
            </w:tcBorders>
            <w:hideMark/>
          </w:tcPr>
          <w:p w14:paraId="497754C4" w14:textId="7281E07B" w:rsidR="0065586C" w:rsidRPr="002029AF" w:rsidRDefault="0065586C" w:rsidP="003566F1">
            <w:pPr>
              <w:pStyle w:val="ARfintablebody"/>
            </w:pPr>
            <w:r w:rsidRPr="002029AF">
              <w:t>Capital</w:t>
            </w:r>
            <w:r w:rsidR="000A5329" w:rsidRPr="002029AF">
              <w:t xml:space="preserve"> </w:t>
            </w:r>
            <w:r w:rsidRPr="002029AF">
              <w:t>contribution</w:t>
            </w:r>
            <w:r w:rsidR="000A5329" w:rsidRPr="002029AF">
              <w:t xml:space="preserve"> </w:t>
            </w:r>
            <w:r w:rsidRPr="002029AF">
              <w:t>by</w:t>
            </w:r>
            <w:r w:rsidR="000A5329" w:rsidRPr="002029AF">
              <w:t xml:space="preserve"> </w:t>
            </w:r>
            <w:r w:rsidRPr="002029AF">
              <w:t>Victorian</w:t>
            </w:r>
            <w:r w:rsidR="000A5329" w:rsidRPr="002029AF">
              <w:t xml:space="preserve"> </w:t>
            </w:r>
            <w:r w:rsidRPr="002029AF">
              <w:t>State</w:t>
            </w:r>
            <w:r w:rsidR="000A5329" w:rsidRPr="002029AF">
              <w:t xml:space="preserve"> </w:t>
            </w:r>
            <w:r w:rsidRPr="002029AF">
              <w:t>Government</w:t>
            </w:r>
          </w:p>
        </w:tc>
        <w:tc>
          <w:tcPr>
            <w:tcW w:w="851" w:type="dxa"/>
            <w:tcBorders>
              <w:top w:val="single" w:sz="4" w:space="0" w:color="A6A6A6"/>
              <w:bottom w:val="single" w:sz="4" w:space="0" w:color="A6A6A6"/>
            </w:tcBorders>
            <w:hideMark/>
          </w:tcPr>
          <w:p w14:paraId="01FBBA59" w14:textId="77777777" w:rsidR="0065586C" w:rsidRPr="002029AF" w:rsidRDefault="0065586C" w:rsidP="003566F1">
            <w:pPr>
              <w:pStyle w:val="ARfintablebodyright"/>
            </w:pPr>
          </w:p>
        </w:tc>
        <w:tc>
          <w:tcPr>
            <w:tcW w:w="1304" w:type="dxa"/>
            <w:tcBorders>
              <w:top w:val="single" w:sz="4" w:space="0" w:color="A6A6A6"/>
              <w:bottom w:val="single" w:sz="4" w:space="0" w:color="A6A6A6"/>
            </w:tcBorders>
            <w:noWrap/>
            <w:hideMark/>
          </w:tcPr>
          <w:p w14:paraId="3128A553" w14:textId="77777777" w:rsidR="0065586C" w:rsidRPr="002029AF" w:rsidRDefault="0065586C" w:rsidP="003566F1">
            <w:pPr>
              <w:pStyle w:val="ARfintablebodyright"/>
            </w:pPr>
            <w:r w:rsidRPr="002029AF">
              <w:t>–</w:t>
            </w:r>
          </w:p>
        </w:tc>
        <w:tc>
          <w:tcPr>
            <w:tcW w:w="1304" w:type="dxa"/>
            <w:tcBorders>
              <w:top w:val="single" w:sz="4" w:space="0" w:color="A6A6A6"/>
              <w:bottom w:val="single" w:sz="4" w:space="0" w:color="A6A6A6"/>
            </w:tcBorders>
            <w:noWrap/>
            <w:hideMark/>
          </w:tcPr>
          <w:p w14:paraId="7F5B3572" w14:textId="77777777" w:rsidR="0065586C" w:rsidRPr="002029AF" w:rsidRDefault="0065586C" w:rsidP="003566F1">
            <w:pPr>
              <w:pStyle w:val="ARfintablebodyright"/>
            </w:pPr>
            <w:r w:rsidRPr="002029AF">
              <w:t>–</w:t>
            </w:r>
          </w:p>
        </w:tc>
        <w:tc>
          <w:tcPr>
            <w:tcW w:w="1304" w:type="dxa"/>
            <w:tcBorders>
              <w:top w:val="single" w:sz="4" w:space="0" w:color="A6A6A6"/>
              <w:bottom w:val="single" w:sz="4" w:space="0" w:color="A6A6A6"/>
            </w:tcBorders>
            <w:noWrap/>
            <w:hideMark/>
          </w:tcPr>
          <w:p w14:paraId="691E5484" w14:textId="77777777" w:rsidR="0065586C" w:rsidRPr="002029AF" w:rsidRDefault="0065586C" w:rsidP="003566F1">
            <w:pPr>
              <w:pStyle w:val="ARfintablebodyright"/>
            </w:pPr>
            <w:r w:rsidRPr="002029AF">
              <w:t>163.2</w:t>
            </w:r>
          </w:p>
        </w:tc>
        <w:tc>
          <w:tcPr>
            <w:tcW w:w="1304" w:type="dxa"/>
            <w:tcBorders>
              <w:top w:val="single" w:sz="4" w:space="0" w:color="A6A6A6"/>
              <w:bottom w:val="single" w:sz="4" w:space="0" w:color="A6A6A6"/>
            </w:tcBorders>
            <w:noWrap/>
            <w:hideMark/>
          </w:tcPr>
          <w:p w14:paraId="4B9D40C4" w14:textId="77777777" w:rsidR="0065586C" w:rsidRPr="002029AF" w:rsidRDefault="0065586C" w:rsidP="003566F1">
            <w:pPr>
              <w:pStyle w:val="ARfintablebodyright"/>
            </w:pPr>
            <w:r w:rsidRPr="002029AF">
              <w:t>163.2</w:t>
            </w:r>
          </w:p>
        </w:tc>
      </w:tr>
      <w:tr w:rsidR="0065586C" w:rsidRPr="002029AF" w14:paraId="5E001296" w14:textId="77777777" w:rsidTr="003566F1">
        <w:tc>
          <w:tcPr>
            <w:tcW w:w="3572" w:type="dxa"/>
            <w:tcBorders>
              <w:top w:val="single" w:sz="4" w:space="0" w:color="A6A6A6"/>
              <w:bottom w:val="single" w:sz="4" w:space="0" w:color="A6A6A6"/>
            </w:tcBorders>
            <w:hideMark/>
          </w:tcPr>
          <w:p w14:paraId="759800E5" w14:textId="2A3061EE" w:rsidR="0065586C" w:rsidRPr="002029AF" w:rsidRDefault="0065586C" w:rsidP="003566F1">
            <w:pPr>
              <w:pStyle w:val="ARfintablebody"/>
            </w:pPr>
            <w:r w:rsidRPr="002029AF">
              <w:t>Capital</w:t>
            </w:r>
            <w:r w:rsidR="000A5329" w:rsidRPr="002029AF">
              <w:t xml:space="preserve"> </w:t>
            </w:r>
            <w:r w:rsidRPr="002029AF">
              <w:t>contributed</w:t>
            </w:r>
            <w:r w:rsidR="000A5329" w:rsidRPr="002029AF">
              <w:t xml:space="preserve"> </w:t>
            </w:r>
            <w:r w:rsidRPr="002029AF">
              <w:t>from</w:t>
            </w:r>
            <w:r w:rsidR="000A5329" w:rsidRPr="002029AF">
              <w:t xml:space="preserve"> </w:t>
            </w:r>
            <w:r w:rsidRPr="002029AF">
              <w:t>asset</w:t>
            </w:r>
            <w:r w:rsidR="000A5329" w:rsidRPr="002029AF">
              <w:t xml:space="preserve"> </w:t>
            </w:r>
            <w:r w:rsidRPr="002029AF">
              <w:t>transfers</w:t>
            </w:r>
          </w:p>
        </w:tc>
        <w:tc>
          <w:tcPr>
            <w:tcW w:w="851" w:type="dxa"/>
            <w:tcBorders>
              <w:top w:val="single" w:sz="4" w:space="0" w:color="A6A6A6"/>
              <w:bottom w:val="single" w:sz="4" w:space="0" w:color="A6A6A6"/>
            </w:tcBorders>
            <w:hideMark/>
          </w:tcPr>
          <w:p w14:paraId="636759A2" w14:textId="77777777" w:rsidR="0065586C" w:rsidRPr="002029AF" w:rsidRDefault="0065586C" w:rsidP="003566F1">
            <w:pPr>
              <w:pStyle w:val="ARfintablebodyright"/>
            </w:pPr>
          </w:p>
        </w:tc>
        <w:tc>
          <w:tcPr>
            <w:tcW w:w="1304" w:type="dxa"/>
            <w:tcBorders>
              <w:top w:val="single" w:sz="4" w:space="0" w:color="A6A6A6"/>
              <w:bottom w:val="single" w:sz="4" w:space="0" w:color="A6A6A6"/>
            </w:tcBorders>
            <w:noWrap/>
            <w:hideMark/>
          </w:tcPr>
          <w:p w14:paraId="0EE69337" w14:textId="77777777" w:rsidR="0065586C" w:rsidRPr="002029AF" w:rsidRDefault="0065586C" w:rsidP="003566F1">
            <w:pPr>
              <w:pStyle w:val="ARfintablebodyright"/>
            </w:pPr>
            <w:r w:rsidRPr="002029AF">
              <w:t>–</w:t>
            </w:r>
          </w:p>
        </w:tc>
        <w:tc>
          <w:tcPr>
            <w:tcW w:w="1304" w:type="dxa"/>
            <w:tcBorders>
              <w:top w:val="single" w:sz="4" w:space="0" w:color="A6A6A6"/>
              <w:bottom w:val="single" w:sz="4" w:space="0" w:color="A6A6A6"/>
            </w:tcBorders>
            <w:noWrap/>
            <w:hideMark/>
          </w:tcPr>
          <w:p w14:paraId="3EAA6605" w14:textId="77777777" w:rsidR="0065586C" w:rsidRPr="002029AF" w:rsidRDefault="0065586C" w:rsidP="003566F1">
            <w:pPr>
              <w:pStyle w:val="ARfintablebodyright"/>
            </w:pPr>
            <w:r w:rsidRPr="002029AF">
              <w:t>–</w:t>
            </w:r>
          </w:p>
        </w:tc>
        <w:tc>
          <w:tcPr>
            <w:tcW w:w="1304" w:type="dxa"/>
            <w:tcBorders>
              <w:top w:val="single" w:sz="4" w:space="0" w:color="A6A6A6"/>
              <w:bottom w:val="single" w:sz="4" w:space="0" w:color="A6A6A6"/>
            </w:tcBorders>
            <w:noWrap/>
            <w:hideMark/>
          </w:tcPr>
          <w:p w14:paraId="2A189AC5" w14:textId="77777777" w:rsidR="0065586C" w:rsidRPr="002029AF" w:rsidRDefault="0065586C" w:rsidP="003566F1">
            <w:pPr>
              <w:pStyle w:val="ARfintablebodyright"/>
            </w:pPr>
            <w:r w:rsidRPr="002029AF">
              <w:t>–</w:t>
            </w:r>
          </w:p>
        </w:tc>
        <w:tc>
          <w:tcPr>
            <w:tcW w:w="1304" w:type="dxa"/>
            <w:tcBorders>
              <w:top w:val="single" w:sz="4" w:space="0" w:color="A6A6A6"/>
              <w:bottom w:val="single" w:sz="4" w:space="0" w:color="A6A6A6"/>
            </w:tcBorders>
            <w:noWrap/>
            <w:hideMark/>
          </w:tcPr>
          <w:p w14:paraId="0CF63FF3" w14:textId="77777777" w:rsidR="0065586C" w:rsidRPr="002029AF" w:rsidRDefault="0065586C" w:rsidP="003566F1">
            <w:pPr>
              <w:pStyle w:val="ARfintablebodyright"/>
            </w:pPr>
            <w:r w:rsidRPr="002029AF">
              <w:t>–</w:t>
            </w:r>
          </w:p>
        </w:tc>
      </w:tr>
      <w:tr w:rsidR="0065586C" w:rsidRPr="002029AF" w14:paraId="28D73058" w14:textId="77777777" w:rsidTr="003566F1">
        <w:tc>
          <w:tcPr>
            <w:tcW w:w="3572" w:type="dxa"/>
            <w:tcBorders>
              <w:top w:val="single" w:sz="4" w:space="0" w:color="A6A6A6"/>
              <w:bottom w:val="single" w:sz="4" w:space="0" w:color="A6A6A6"/>
            </w:tcBorders>
            <w:hideMark/>
          </w:tcPr>
          <w:p w14:paraId="43D5DF01" w14:textId="5A5DB594" w:rsidR="0065586C" w:rsidRPr="002029AF" w:rsidRDefault="0065586C" w:rsidP="003566F1">
            <w:pPr>
              <w:pStyle w:val="ARfintablebody"/>
            </w:pPr>
            <w:r w:rsidRPr="002029AF">
              <w:t>Capital</w:t>
            </w:r>
            <w:r w:rsidR="000A5329" w:rsidRPr="002029AF">
              <w:t xml:space="preserve"> </w:t>
            </w:r>
            <w:r w:rsidRPr="002029AF">
              <w:t>contributions</w:t>
            </w:r>
            <w:r w:rsidR="000A5329" w:rsidRPr="002029AF">
              <w:t xml:space="preserve"> </w:t>
            </w:r>
            <w:r w:rsidRPr="002029AF">
              <w:t>to</w:t>
            </w:r>
            <w:r w:rsidR="000A5329" w:rsidRPr="002029AF">
              <w:t xml:space="preserve"> </w:t>
            </w:r>
            <w:r w:rsidRPr="002029AF">
              <w:t>agencies</w:t>
            </w:r>
          </w:p>
        </w:tc>
        <w:tc>
          <w:tcPr>
            <w:tcW w:w="851" w:type="dxa"/>
            <w:tcBorders>
              <w:top w:val="single" w:sz="4" w:space="0" w:color="A6A6A6"/>
              <w:bottom w:val="single" w:sz="4" w:space="0" w:color="A6A6A6"/>
            </w:tcBorders>
            <w:hideMark/>
          </w:tcPr>
          <w:p w14:paraId="7ED91362" w14:textId="77777777" w:rsidR="0065586C" w:rsidRPr="002029AF" w:rsidRDefault="0065586C" w:rsidP="003566F1">
            <w:pPr>
              <w:pStyle w:val="ARfintablebodyright"/>
            </w:pPr>
          </w:p>
        </w:tc>
        <w:tc>
          <w:tcPr>
            <w:tcW w:w="1304" w:type="dxa"/>
            <w:tcBorders>
              <w:top w:val="single" w:sz="4" w:space="0" w:color="A6A6A6"/>
              <w:bottom w:val="single" w:sz="4" w:space="0" w:color="A6A6A6"/>
            </w:tcBorders>
            <w:noWrap/>
            <w:hideMark/>
          </w:tcPr>
          <w:p w14:paraId="68C997A0" w14:textId="77777777" w:rsidR="0065586C" w:rsidRPr="002029AF" w:rsidRDefault="0065586C" w:rsidP="003566F1">
            <w:pPr>
              <w:pStyle w:val="ARfintablebodyright"/>
            </w:pPr>
            <w:r w:rsidRPr="002029AF">
              <w:t>–</w:t>
            </w:r>
          </w:p>
        </w:tc>
        <w:tc>
          <w:tcPr>
            <w:tcW w:w="1304" w:type="dxa"/>
            <w:tcBorders>
              <w:top w:val="single" w:sz="4" w:space="0" w:color="A6A6A6"/>
              <w:bottom w:val="single" w:sz="4" w:space="0" w:color="A6A6A6"/>
            </w:tcBorders>
            <w:noWrap/>
            <w:hideMark/>
          </w:tcPr>
          <w:p w14:paraId="18CACD3D" w14:textId="77777777" w:rsidR="0065586C" w:rsidRPr="002029AF" w:rsidRDefault="0065586C" w:rsidP="003566F1">
            <w:pPr>
              <w:pStyle w:val="ARfintablebodyright"/>
            </w:pPr>
            <w:r w:rsidRPr="002029AF">
              <w:t>–</w:t>
            </w:r>
          </w:p>
        </w:tc>
        <w:tc>
          <w:tcPr>
            <w:tcW w:w="1304" w:type="dxa"/>
            <w:tcBorders>
              <w:top w:val="single" w:sz="4" w:space="0" w:color="A6A6A6"/>
              <w:bottom w:val="single" w:sz="4" w:space="0" w:color="A6A6A6"/>
            </w:tcBorders>
            <w:noWrap/>
            <w:hideMark/>
          </w:tcPr>
          <w:p w14:paraId="37305728" w14:textId="77777777" w:rsidR="0065586C" w:rsidRPr="002029AF" w:rsidRDefault="0065586C" w:rsidP="003566F1">
            <w:pPr>
              <w:pStyle w:val="ARfintablebodyright"/>
            </w:pPr>
            <w:r w:rsidRPr="002029AF">
              <w:t>(109.6)</w:t>
            </w:r>
          </w:p>
        </w:tc>
        <w:tc>
          <w:tcPr>
            <w:tcW w:w="1304" w:type="dxa"/>
            <w:tcBorders>
              <w:top w:val="single" w:sz="4" w:space="0" w:color="A6A6A6"/>
              <w:bottom w:val="single" w:sz="4" w:space="0" w:color="A6A6A6"/>
            </w:tcBorders>
            <w:noWrap/>
            <w:hideMark/>
          </w:tcPr>
          <w:p w14:paraId="548C63A2" w14:textId="77777777" w:rsidR="0065586C" w:rsidRPr="002029AF" w:rsidRDefault="0065586C" w:rsidP="003566F1">
            <w:pPr>
              <w:pStyle w:val="ARfintablebodyright"/>
            </w:pPr>
            <w:r w:rsidRPr="002029AF">
              <w:t>(109.6)</w:t>
            </w:r>
          </w:p>
        </w:tc>
      </w:tr>
      <w:tr w:rsidR="0065586C" w:rsidRPr="002029AF" w14:paraId="3C8CD97F" w14:textId="77777777" w:rsidTr="003566F1">
        <w:tc>
          <w:tcPr>
            <w:tcW w:w="3572" w:type="dxa"/>
            <w:tcBorders>
              <w:top w:val="single" w:sz="4" w:space="0" w:color="A6A6A6"/>
            </w:tcBorders>
            <w:hideMark/>
          </w:tcPr>
          <w:p w14:paraId="6266686C" w14:textId="0CA9368A" w:rsidR="0065586C" w:rsidRPr="002029AF" w:rsidRDefault="0065586C" w:rsidP="003566F1">
            <w:pPr>
              <w:pStyle w:val="ARfintablebody"/>
            </w:pPr>
            <w:r w:rsidRPr="002029AF">
              <w:t>Capital</w:t>
            </w:r>
            <w:r w:rsidR="000A5329" w:rsidRPr="002029AF">
              <w:t xml:space="preserve"> </w:t>
            </w:r>
            <w:r w:rsidRPr="002029AF">
              <w:t>transferred</w:t>
            </w:r>
            <w:r w:rsidR="000A5329" w:rsidRPr="002029AF">
              <w:t xml:space="preserve"> </w:t>
            </w:r>
            <w:r w:rsidRPr="002029AF">
              <w:t>to</w:t>
            </w:r>
            <w:r w:rsidR="000A5329" w:rsidRPr="002029AF">
              <w:t xml:space="preserve"> </w:t>
            </w:r>
            <w:r w:rsidRPr="002029AF">
              <w:t>administered</w:t>
            </w:r>
            <w:r w:rsidR="000A5329" w:rsidRPr="002029AF">
              <w:t xml:space="preserve"> </w:t>
            </w:r>
            <w:r w:rsidRPr="002029AF">
              <w:t>entity</w:t>
            </w:r>
            <w:r w:rsidR="000A5329" w:rsidRPr="002029AF">
              <w:t xml:space="preserve"> </w:t>
            </w:r>
          </w:p>
        </w:tc>
        <w:tc>
          <w:tcPr>
            <w:tcW w:w="851" w:type="dxa"/>
            <w:tcBorders>
              <w:top w:val="single" w:sz="4" w:space="0" w:color="A6A6A6"/>
            </w:tcBorders>
            <w:hideMark/>
          </w:tcPr>
          <w:p w14:paraId="0DC0E9E1" w14:textId="77777777" w:rsidR="0065586C" w:rsidRPr="002029AF" w:rsidRDefault="0065586C" w:rsidP="003566F1">
            <w:pPr>
              <w:pStyle w:val="ARfintablebodyright"/>
            </w:pPr>
          </w:p>
        </w:tc>
        <w:tc>
          <w:tcPr>
            <w:tcW w:w="1304" w:type="dxa"/>
            <w:tcBorders>
              <w:top w:val="single" w:sz="4" w:space="0" w:color="A6A6A6"/>
            </w:tcBorders>
            <w:noWrap/>
            <w:hideMark/>
          </w:tcPr>
          <w:p w14:paraId="3CD90CC5" w14:textId="77777777" w:rsidR="0065586C" w:rsidRPr="002029AF" w:rsidRDefault="0065586C" w:rsidP="003566F1">
            <w:pPr>
              <w:pStyle w:val="ARfintablebodyright"/>
            </w:pPr>
            <w:r w:rsidRPr="002029AF">
              <w:t>–</w:t>
            </w:r>
          </w:p>
        </w:tc>
        <w:tc>
          <w:tcPr>
            <w:tcW w:w="1304" w:type="dxa"/>
            <w:tcBorders>
              <w:top w:val="single" w:sz="4" w:space="0" w:color="A6A6A6"/>
            </w:tcBorders>
            <w:noWrap/>
            <w:hideMark/>
          </w:tcPr>
          <w:p w14:paraId="6DCBA599" w14:textId="77777777" w:rsidR="0065586C" w:rsidRPr="002029AF" w:rsidRDefault="0065586C" w:rsidP="003566F1">
            <w:pPr>
              <w:pStyle w:val="ARfintablebodyright"/>
            </w:pPr>
            <w:r w:rsidRPr="002029AF">
              <w:t>–</w:t>
            </w:r>
          </w:p>
        </w:tc>
        <w:tc>
          <w:tcPr>
            <w:tcW w:w="1304" w:type="dxa"/>
            <w:tcBorders>
              <w:top w:val="single" w:sz="4" w:space="0" w:color="A6A6A6"/>
            </w:tcBorders>
            <w:noWrap/>
            <w:hideMark/>
          </w:tcPr>
          <w:p w14:paraId="389CDC16" w14:textId="77777777" w:rsidR="0065586C" w:rsidRPr="002029AF" w:rsidRDefault="0065586C" w:rsidP="003566F1">
            <w:pPr>
              <w:pStyle w:val="ARfintablebodyright"/>
            </w:pPr>
            <w:r w:rsidRPr="002029AF">
              <w:t>(18.7)</w:t>
            </w:r>
          </w:p>
        </w:tc>
        <w:tc>
          <w:tcPr>
            <w:tcW w:w="1304" w:type="dxa"/>
            <w:tcBorders>
              <w:top w:val="single" w:sz="4" w:space="0" w:color="A6A6A6"/>
            </w:tcBorders>
            <w:noWrap/>
            <w:hideMark/>
          </w:tcPr>
          <w:p w14:paraId="74B41B6B" w14:textId="77777777" w:rsidR="0065586C" w:rsidRPr="002029AF" w:rsidRDefault="0065586C" w:rsidP="003566F1">
            <w:pPr>
              <w:pStyle w:val="ARfintablebodyright"/>
            </w:pPr>
            <w:r w:rsidRPr="002029AF">
              <w:t>(18.7)</w:t>
            </w:r>
          </w:p>
        </w:tc>
      </w:tr>
      <w:tr w:rsidR="0065586C" w:rsidRPr="002029AF" w14:paraId="59834823" w14:textId="77777777" w:rsidTr="003566F1">
        <w:tc>
          <w:tcPr>
            <w:tcW w:w="3572" w:type="dxa"/>
            <w:hideMark/>
          </w:tcPr>
          <w:p w14:paraId="0280C045" w14:textId="1CF1380D" w:rsidR="0065586C" w:rsidRPr="002029AF" w:rsidRDefault="0065586C" w:rsidP="003566F1">
            <w:pPr>
              <w:pStyle w:val="ARfintablebodybold"/>
            </w:pPr>
            <w:r w:rsidRPr="002029AF">
              <w:t>Balance</w:t>
            </w:r>
            <w:r w:rsidR="000A5329" w:rsidRPr="002029AF">
              <w:t xml:space="preserve"> </w:t>
            </w:r>
            <w:r w:rsidRPr="002029AF">
              <w:t>at</w:t>
            </w:r>
            <w:r w:rsidR="000A5329" w:rsidRPr="002029AF">
              <w:t xml:space="preserve"> </w:t>
            </w:r>
            <w:r w:rsidRPr="002029AF">
              <w:t>30</w:t>
            </w:r>
            <w:r w:rsidR="000A5329" w:rsidRPr="002029AF">
              <w:t xml:space="preserve"> </w:t>
            </w:r>
            <w:r w:rsidRPr="002029AF">
              <w:t>June</w:t>
            </w:r>
            <w:r w:rsidR="000A5329" w:rsidRPr="002029AF">
              <w:t xml:space="preserve"> </w:t>
            </w:r>
            <w:r w:rsidRPr="002029AF">
              <w:t>2019</w:t>
            </w:r>
          </w:p>
        </w:tc>
        <w:tc>
          <w:tcPr>
            <w:tcW w:w="851" w:type="dxa"/>
            <w:hideMark/>
          </w:tcPr>
          <w:p w14:paraId="205CD675" w14:textId="77777777" w:rsidR="0065586C" w:rsidRPr="002029AF" w:rsidRDefault="0065586C" w:rsidP="003566F1">
            <w:pPr>
              <w:pStyle w:val="ARfintablebodyright"/>
            </w:pPr>
          </w:p>
        </w:tc>
        <w:tc>
          <w:tcPr>
            <w:tcW w:w="1304" w:type="dxa"/>
            <w:noWrap/>
            <w:hideMark/>
          </w:tcPr>
          <w:p w14:paraId="249C139C" w14:textId="77777777" w:rsidR="0065586C" w:rsidRPr="002029AF" w:rsidRDefault="0065586C" w:rsidP="003566F1">
            <w:pPr>
              <w:pStyle w:val="ARfintablebodyrightbold"/>
            </w:pPr>
            <w:r w:rsidRPr="002029AF">
              <w:t>7,396.4</w:t>
            </w:r>
          </w:p>
        </w:tc>
        <w:tc>
          <w:tcPr>
            <w:tcW w:w="1304" w:type="dxa"/>
            <w:noWrap/>
            <w:hideMark/>
          </w:tcPr>
          <w:p w14:paraId="12A90EA2" w14:textId="77777777" w:rsidR="0065586C" w:rsidRPr="002029AF" w:rsidRDefault="0065586C" w:rsidP="003566F1">
            <w:pPr>
              <w:pStyle w:val="ARfintablebodyrightbold"/>
            </w:pPr>
            <w:r w:rsidRPr="002029AF">
              <w:t>1,599.3</w:t>
            </w:r>
          </w:p>
        </w:tc>
        <w:tc>
          <w:tcPr>
            <w:tcW w:w="1304" w:type="dxa"/>
            <w:noWrap/>
            <w:hideMark/>
          </w:tcPr>
          <w:p w14:paraId="7AA310D9" w14:textId="77777777" w:rsidR="0065586C" w:rsidRPr="002029AF" w:rsidRDefault="0065586C" w:rsidP="003566F1">
            <w:pPr>
              <w:pStyle w:val="ARfintablebodyrightbold"/>
            </w:pPr>
            <w:r w:rsidRPr="002029AF">
              <w:t>22,199.3</w:t>
            </w:r>
          </w:p>
        </w:tc>
        <w:tc>
          <w:tcPr>
            <w:tcW w:w="1304" w:type="dxa"/>
            <w:noWrap/>
            <w:hideMark/>
          </w:tcPr>
          <w:p w14:paraId="5CCA5748" w14:textId="77777777" w:rsidR="0065586C" w:rsidRPr="002029AF" w:rsidRDefault="0065586C" w:rsidP="003566F1">
            <w:pPr>
              <w:pStyle w:val="ARfintablebodyrightbold"/>
            </w:pPr>
            <w:r w:rsidRPr="002029AF">
              <w:t>31,195.0</w:t>
            </w:r>
          </w:p>
        </w:tc>
      </w:tr>
      <w:tr w:rsidR="0065586C" w:rsidRPr="002029AF" w14:paraId="4E1D71F1" w14:textId="77777777" w:rsidTr="003566F1">
        <w:tc>
          <w:tcPr>
            <w:tcW w:w="3572" w:type="dxa"/>
            <w:hideMark/>
          </w:tcPr>
          <w:p w14:paraId="1C733E89" w14:textId="1C9F7A89" w:rsidR="0065586C" w:rsidRPr="002029AF" w:rsidRDefault="0065586C" w:rsidP="003566F1">
            <w:pPr>
              <w:pStyle w:val="ARfintablebody"/>
            </w:pPr>
            <w:r w:rsidRPr="002029AF">
              <w:t>Change</w:t>
            </w:r>
            <w:r w:rsidR="000A5329" w:rsidRPr="002029AF">
              <w:t xml:space="preserve"> </w:t>
            </w:r>
            <w:r w:rsidRPr="002029AF">
              <w:t>in</w:t>
            </w:r>
            <w:r w:rsidR="000A5329" w:rsidRPr="002029AF">
              <w:t xml:space="preserve"> </w:t>
            </w:r>
            <w:r w:rsidRPr="002029AF">
              <w:t>accounting</w:t>
            </w:r>
            <w:r w:rsidR="000A5329" w:rsidRPr="002029AF">
              <w:t xml:space="preserve"> </w:t>
            </w:r>
            <w:r w:rsidRPr="002029AF">
              <w:t>policy</w:t>
            </w:r>
            <w:r w:rsidR="000A5329" w:rsidRPr="002029AF">
              <w:t xml:space="preserve"> </w:t>
            </w:r>
            <w:r w:rsidRPr="002029AF">
              <w:t>(due</w:t>
            </w:r>
            <w:r w:rsidR="000A5329" w:rsidRPr="002029AF">
              <w:t xml:space="preserve"> </w:t>
            </w:r>
            <w:r w:rsidRPr="002029AF">
              <w:t>to</w:t>
            </w:r>
            <w:r w:rsidR="000A5329" w:rsidRPr="002029AF">
              <w:t xml:space="preserve"> </w:t>
            </w:r>
            <w:r w:rsidRPr="002029AF">
              <w:t>AASB</w:t>
            </w:r>
            <w:r w:rsidR="000A5329" w:rsidRPr="002029AF">
              <w:t xml:space="preserve"> </w:t>
            </w:r>
            <w:r w:rsidRPr="002029AF">
              <w:t>1059)</w:t>
            </w:r>
          </w:p>
        </w:tc>
        <w:tc>
          <w:tcPr>
            <w:tcW w:w="851" w:type="dxa"/>
            <w:hideMark/>
          </w:tcPr>
          <w:p w14:paraId="0C32BCC1" w14:textId="77777777" w:rsidR="0065586C" w:rsidRPr="002029AF" w:rsidRDefault="0065586C" w:rsidP="003566F1">
            <w:pPr>
              <w:pStyle w:val="ARfintablebodyright"/>
            </w:pPr>
            <w:r w:rsidRPr="002029AF">
              <w:t>9.12</w:t>
            </w:r>
          </w:p>
        </w:tc>
        <w:tc>
          <w:tcPr>
            <w:tcW w:w="1304" w:type="dxa"/>
            <w:noWrap/>
            <w:hideMark/>
          </w:tcPr>
          <w:p w14:paraId="117FE752" w14:textId="77777777" w:rsidR="0065586C" w:rsidRPr="002029AF" w:rsidRDefault="0065586C" w:rsidP="003566F1">
            <w:pPr>
              <w:pStyle w:val="ARfintablebodyright"/>
            </w:pPr>
            <w:r w:rsidRPr="002029AF">
              <w:t>–</w:t>
            </w:r>
          </w:p>
        </w:tc>
        <w:tc>
          <w:tcPr>
            <w:tcW w:w="1304" w:type="dxa"/>
            <w:noWrap/>
            <w:hideMark/>
          </w:tcPr>
          <w:p w14:paraId="72D9F8E5" w14:textId="77777777" w:rsidR="0065586C" w:rsidRPr="002029AF" w:rsidRDefault="0065586C" w:rsidP="003566F1">
            <w:pPr>
              <w:pStyle w:val="ARfintablebodyright"/>
            </w:pPr>
            <w:r w:rsidRPr="002029AF">
              <w:t>–</w:t>
            </w:r>
          </w:p>
        </w:tc>
        <w:tc>
          <w:tcPr>
            <w:tcW w:w="1304" w:type="dxa"/>
            <w:noWrap/>
            <w:hideMark/>
          </w:tcPr>
          <w:p w14:paraId="2F2E6DAA" w14:textId="77777777" w:rsidR="0065586C" w:rsidRPr="002029AF" w:rsidRDefault="0065586C" w:rsidP="003566F1">
            <w:pPr>
              <w:pStyle w:val="ARfintablebodyright"/>
            </w:pPr>
            <w:r w:rsidRPr="002029AF">
              <w:t>–</w:t>
            </w:r>
          </w:p>
        </w:tc>
        <w:tc>
          <w:tcPr>
            <w:tcW w:w="1304" w:type="dxa"/>
            <w:noWrap/>
            <w:hideMark/>
          </w:tcPr>
          <w:p w14:paraId="2331F1FE" w14:textId="77777777" w:rsidR="0065586C" w:rsidRPr="002029AF" w:rsidRDefault="0065586C" w:rsidP="003566F1">
            <w:pPr>
              <w:pStyle w:val="ARfintablebodyright"/>
            </w:pPr>
            <w:r w:rsidRPr="002029AF">
              <w:t>–</w:t>
            </w:r>
          </w:p>
        </w:tc>
      </w:tr>
      <w:tr w:rsidR="0065586C" w:rsidRPr="002029AF" w14:paraId="52634A17" w14:textId="77777777" w:rsidTr="003566F1">
        <w:tc>
          <w:tcPr>
            <w:tcW w:w="3572" w:type="dxa"/>
            <w:hideMark/>
          </w:tcPr>
          <w:p w14:paraId="5AA90E21" w14:textId="77503D6D" w:rsidR="0065586C" w:rsidRPr="002029AF" w:rsidRDefault="0065586C" w:rsidP="003566F1">
            <w:pPr>
              <w:pStyle w:val="ARfintablebodybold"/>
              <w:rPr>
                <w:highlight w:val="yellow"/>
              </w:rPr>
            </w:pPr>
            <w:r w:rsidRPr="002029AF">
              <w:t>Restated</w:t>
            </w:r>
            <w:r w:rsidR="000A5329" w:rsidRPr="002029AF">
              <w:t xml:space="preserve"> </w:t>
            </w:r>
            <w:r w:rsidRPr="002029AF">
              <w:t>balance</w:t>
            </w:r>
            <w:r w:rsidR="000A5329" w:rsidRPr="002029AF">
              <w:t xml:space="preserve"> </w:t>
            </w:r>
            <w:r w:rsidRPr="002029AF">
              <w:t>at</w:t>
            </w:r>
            <w:r w:rsidR="000A5329" w:rsidRPr="002029AF">
              <w:t xml:space="preserve"> </w:t>
            </w:r>
            <w:r w:rsidRPr="002029AF">
              <w:t>1</w:t>
            </w:r>
            <w:r w:rsidR="000A5329" w:rsidRPr="002029AF">
              <w:t xml:space="preserve"> </w:t>
            </w:r>
            <w:r w:rsidRPr="002029AF">
              <w:t>July</w:t>
            </w:r>
            <w:r w:rsidR="000A5329" w:rsidRPr="002029AF">
              <w:t xml:space="preserve"> </w:t>
            </w:r>
            <w:r w:rsidRPr="002029AF">
              <w:t>2019</w:t>
            </w:r>
            <w:r w:rsidR="000A5329" w:rsidRPr="002029AF">
              <w:t xml:space="preserve"> </w:t>
            </w:r>
            <w:r w:rsidRPr="002029AF">
              <w:br/>
              <w:t>(after</w:t>
            </w:r>
            <w:r w:rsidR="000A5329" w:rsidRPr="002029AF">
              <w:t xml:space="preserve"> </w:t>
            </w:r>
            <w:r w:rsidRPr="002029AF">
              <w:t>new</w:t>
            </w:r>
            <w:r w:rsidR="000A5329" w:rsidRPr="002029AF">
              <w:t xml:space="preserve"> </w:t>
            </w:r>
            <w:r w:rsidRPr="002029AF">
              <w:t>accounting</w:t>
            </w:r>
            <w:r w:rsidR="000A5329" w:rsidRPr="002029AF">
              <w:t xml:space="preserve"> </w:t>
            </w:r>
            <w:r w:rsidRPr="002029AF">
              <w:t>standards)</w:t>
            </w:r>
          </w:p>
        </w:tc>
        <w:tc>
          <w:tcPr>
            <w:tcW w:w="851" w:type="dxa"/>
            <w:hideMark/>
          </w:tcPr>
          <w:p w14:paraId="228FF131" w14:textId="77777777" w:rsidR="0065586C" w:rsidRPr="002029AF" w:rsidRDefault="0065586C" w:rsidP="003566F1">
            <w:pPr>
              <w:pStyle w:val="ARfintablebodyright"/>
            </w:pPr>
          </w:p>
        </w:tc>
        <w:tc>
          <w:tcPr>
            <w:tcW w:w="1304" w:type="dxa"/>
            <w:noWrap/>
            <w:hideMark/>
          </w:tcPr>
          <w:p w14:paraId="0724992E" w14:textId="77777777" w:rsidR="0065586C" w:rsidRPr="002029AF" w:rsidRDefault="0065586C" w:rsidP="003566F1">
            <w:pPr>
              <w:pStyle w:val="ARfintablebodyrightbold"/>
            </w:pPr>
            <w:r w:rsidRPr="002029AF">
              <w:t>7,396.4</w:t>
            </w:r>
          </w:p>
        </w:tc>
        <w:tc>
          <w:tcPr>
            <w:tcW w:w="1304" w:type="dxa"/>
            <w:noWrap/>
            <w:hideMark/>
          </w:tcPr>
          <w:p w14:paraId="22152BEA" w14:textId="77777777" w:rsidR="0065586C" w:rsidRPr="002029AF" w:rsidRDefault="0065586C" w:rsidP="003566F1">
            <w:pPr>
              <w:pStyle w:val="ARfintablebodyrightbold"/>
            </w:pPr>
            <w:r w:rsidRPr="002029AF">
              <w:t>1,599.3</w:t>
            </w:r>
          </w:p>
        </w:tc>
        <w:tc>
          <w:tcPr>
            <w:tcW w:w="1304" w:type="dxa"/>
            <w:noWrap/>
            <w:hideMark/>
          </w:tcPr>
          <w:p w14:paraId="21427E4F" w14:textId="77777777" w:rsidR="0065586C" w:rsidRPr="002029AF" w:rsidRDefault="0065586C" w:rsidP="003566F1">
            <w:pPr>
              <w:pStyle w:val="ARfintablebodyrightbold"/>
            </w:pPr>
            <w:r w:rsidRPr="002029AF">
              <w:t>22,199.3</w:t>
            </w:r>
          </w:p>
        </w:tc>
        <w:tc>
          <w:tcPr>
            <w:tcW w:w="1304" w:type="dxa"/>
            <w:noWrap/>
            <w:hideMark/>
          </w:tcPr>
          <w:p w14:paraId="0EF46F6C" w14:textId="77777777" w:rsidR="0065586C" w:rsidRPr="002029AF" w:rsidRDefault="0065586C" w:rsidP="003566F1">
            <w:pPr>
              <w:pStyle w:val="ARfintablebodyrightbold"/>
            </w:pPr>
            <w:r w:rsidRPr="002029AF">
              <w:t>31,195.0</w:t>
            </w:r>
          </w:p>
        </w:tc>
      </w:tr>
      <w:tr w:rsidR="0065586C" w:rsidRPr="002029AF" w14:paraId="7B543A28" w14:textId="77777777" w:rsidTr="003566F1">
        <w:tc>
          <w:tcPr>
            <w:tcW w:w="3572" w:type="dxa"/>
            <w:hideMark/>
          </w:tcPr>
          <w:p w14:paraId="461E359D" w14:textId="39071E53" w:rsidR="0065586C" w:rsidRPr="002029AF" w:rsidRDefault="0065586C" w:rsidP="003566F1">
            <w:pPr>
              <w:pStyle w:val="ARfintablebody"/>
            </w:pPr>
            <w:r w:rsidRPr="002029AF">
              <w:t>Change</w:t>
            </w:r>
            <w:r w:rsidR="000A5329" w:rsidRPr="002029AF">
              <w:t xml:space="preserve"> </w:t>
            </w:r>
            <w:r w:rsidRPr="002029AF">
              <w:t>in</w:t>
            </w:r>
            <w:r w:rsidR="000A5329" w:rsidRPr="002029AF">
              <w:t xml:space="preserve"> </w:t>
            </w:r>
            <w:r w:rsidRPr="002029AF">
              <w:t>accounting</w:t>
            </w:r>
            <w:r w:rsidR="000A5329" w:rsidRPr="002029AF">
              <w:t xml:space="preserve"> </w:t>
            </w:r>
            <w:r w:rsidRPr="002029AF">
              <w:t>policy</w:t>
            </w:r>
            <w:r w:rsidR="000A5329" w:rsidRPr="002029AF">
              <w:t xml:space="preserve"> </w:t>
            </w:r>
            <w:r w:rsidRPr="002029AF">
              <w:t>(due</w:t>
            </w:r>
            <w:r w:rsidR="000A5329" w:rsidRPr="002029AF">
              <w:t xml:space="preserve"> </w:t>
            </w:r>
            <w:r w:rsidRPr="002029AF">
              <w:t>to</w:t>
            </w:r>
            <w:r w:rsidR="000A5329" w:rsidRPr="002029AF">
              <w:t xml:space="preserve"> </w:t>
            </w:r>
            <w:r w:rsidRPr="002029AF">
              <w:t>AASB</w:t>
            </w:r>
            <w:r w:rsidR="000A5329" w:rsidRPr="002029AF">
              <w:t xml:space="preserve"> </w:t>
            </w:r>
            <w:r w:rsidRPr="002029AF">
              <w:t>15)</w:t>
            </w:r>
          </w:p>
        </w:tc>
        <w:tc>
          <w:tcPr>
            <w:tcW w:w="851" w:type="dxa"/>
            <w:hideMark/>
          </w:tcPr>
          <w:p w14:paraId="0FFB9909" w14:textId="77777777" w:rsidR="0065586C" w:rsidRPr="002029AF" w:rsidRDefault="0065586C" w:rsidP="003566F1">
            <w:pPr>
              <w:pStyle w:val="ARfintablebodyright"/>
            </w:pPr>
            <w:r w:rsidRPr="002029AF">
              <w:t>9.12</w:t>
            </w:r>
          </w:p>
        </w:tc>
        <w:tc>
          <w:tcPr>
            <w:tcW w:w="1304" w:type="dxa"/>
            <w:noWrap/>
            <w:hideMark/>
          </w:tcPr>
          <w:p w14:paraId="422AAF4F" w14:textId="77777777" w:rsidR="0065586C" w:rsidRPr="002029AF" w:rsidRDefault="0065586C" w:rsidP="003566F1">
            <w:pPr>
              <w:pStyle w:val="ARfintablebodyright"/>
            </w:pPr>
            <w:r w:rsidRPr="002029AF">
              <w:t>–</w:t>
            </w:r>
          </w:p>
        </w:tc>
        <w:tc>
          <w:tcPr>
            <w:tcW w:w="1304" w:type="dxa"/>
            <w:noWrap/>
            <w:hideMark/>
          </w:tcPr>
          <w:p w14:paraId="7A9436A6" w14:textId="77777777" w:rsidR="0065586C" w:rsidRPr="002029AF" w:rsidRDefault="0065586C" w:rsidP="003566F1">
            <w:pPr>
              <w:pStyle w:val="ARfintablebodyright"/>
            </w:pPr>
            <w:r w:rsidRPr="002029AF">
              <w:t>–</w:t>
            </w:r>
          </w:p>
        </w:tc>
        <w:tc>
          <w:tcPr>
            <w:tcW w:w="1304" w:type="dxa"/>
            <w:noWrap/>
            <w:hideMark/>
          </w:tcPr>
          <w:p w14:paraId="23016D0D" w14:textId="77777777" w:rsidR="0065586C" w:rsidRPr="002029AF" w:rsidRDefault="0065586C" w:rsidP="003566F1">
            <w:pPr>
              <w:pStyle w:val="ARfintablebodyright"/>
            </w:pPr>
            <w:r w:rsidRPr="002029AF">
              <w:t>–</w:t>
            </w:r>
          </w:p>
        </w:tc>
        <w:tc>
          <w:tcPr>
            <w:tcW w:w="1304" w:type="dxa"/>
            <w:noWrap/>
            <w:hideMark/>
          </w:tcPr>
          <w:p w14:paraId="08C1512F" w14:textId="77777777" w:rsidR="0065586C" w:rsidRPr="002029AF" w:rsidRDefault="0065586C" w:rsidP="003566F1">
            <w:pPr>
              <w:pStyle w:val="ARfintablebodyright"/>
            </w:pPr>
            <w:r w:rsidRPr="002029AF">
              <w:t>–</w:t>
            </w:r>
          </w:p>
        </w:tc>
      </w:tr>
      <w:tr w:rsidR="0065586C" w:rsidRPr="002029AF" w14:paraId="421F3DE2" w14:textId="77777777" w:rsidTr="003566F1">
        <w:tc>
          <w:tcPr>
            <w:tcW w:w="3572" w:type="dxa"/>
            <w:tcBorders>
              <w:bottom w:val="single" w:sz="4" w:space="0" w:color="auto"/>
            </w:tcBorders>
            <w:hideMark/>
          </w:tcPr>
          <w:p w14:paraId="694818AC" w14:textId="32901E0B" w:rsidR="0065586C" w:rsidRPr="002029AF" w:rsidRDefault="0065586C" w:rsidP="003566F1">
            <w:pPr>
              <w:pStyle w:val="ARfintablebodybold"/>
            </w:pPr>
            <w:r w:rsidRPr="002029AF">
              <w:t>Restated</w:t>
            </w:r>
            <w:r w:rsidR="000A5329" w:rsidRPr="002029AF">
              <w:t xml:space="preserve"> </w:t>
            </w:r>
            <w:r w:rsidRPr="002029AF">
              <w:t>balance</w:t>
            </w:r>
            <w:r w:rsidR="000A5329" w:rsidRPr="002029AF">
              <w:t xml:space="preserve"> </w:t>
            </w:r>
            <w:r w:rsidRPr="002029AF">
              <w:t>at</w:t>
            </w:r>
            <w:r w:rsidR="000A5329" w:rsidRPr="002029AF">
              <w:t xml:space="preserve"> </w:t>
            </w:r>
            <w:r w:rsidRPr="002029AF">
              <w:t>1</w:t>
            </w:r>
            <w:r w:rsidR="000A5329" w:rsidRPr="002029AF">
              <w:t xml:space="preserve"> </w:t>
            </w:r>
            <w:r w:rsidRPr="002029AF">
              <w:t>July</w:t>
            </w:r>
            <w:r w:rsidR="000A5329" w:rsidRPr="002029AF">
              <w:t xml:space="preserve"> </w:t>
            </w:r>
            <w:r w:rsidRPr="002029AF">
              <w:t>2019</w:t>
            </w:r>
          </w:p>
        </w:tc>
        <w:tc>
          <w:tcPr>
            <w:tcW w:w="851" w:type="dxa"/>
            <w:tcBorders>
              <w:bottom w:val="single" w:sz="4" w:space="0" w:color="auto"/>
            </w:tcBorders>
            <w:hideMark/>
          </w:tcPr>
          <w:p w14:paraId="0DE78057" w14:textId="77777777" w:rsidR="0065586C" w:rsidRPr="002029AF" w:rsidRDefault="0065586C" w:rsidP="003566F1">
            <w:pPr>
              <w:pStyle w:val="ARfintablebodyright"/>
            </w:pPr>
          </w:p>
        </w:tc>
        <w:tc>
          <w:tcPr>
            <w:tcW w:w="1304" w:type="dxa"/>
            <w:tcBorders>
              <w:bottom w:val="single" w:sz="4" w:space="0" w:color="auto"/>
            </w:tcBorders>
            <w:noWrap/>
            <w:hideMark/>
          </w:tcPr>
          <w:p w14:paraId="053334C5" w14:textId="77777777" w:rsidR="0065586C" w:rsidRPr="002029AF" w:rsidRDefault="0065586C" w:rsidP="003566F1">
            <w:pPr>
              <w:pStyle w:val="ARfintablebodyrightbold"/>
            </w:pPr>
            <w:r w:rsidRPr="002029AF">
              <w:t>7,396.4</w:t>
            </w:r>
          </w:p>
        </w:tc>
        <w:tc>
          <w:tcPr>
            <w:tcW w:w="1304" w:type="dxa"/>
            <w:tcBorders>
              <w:bottom w:val="single" w:sz="4" w:space="0" w:color="auto"/>
            </w:tcBorders>
            <w:noWrap/>
            <w:hideMark/>
          </w:tcPr>
          <w:p w14:paraId="187C0EA9" w14:textId="77777777" w:rsidR="0065586C" w:rsidRPr="002029AF" w:rsidRDefault="0065586C" w:rsidP="003566F1">
            <w:pPr>
              <w:pStyle w:val="ARfintablebodyrightbold"/>
            </w:pPr>
            <w:r w:rsidRPr="002029AF">
              <w:t>1,599.3</w:t>
            </w:r>
          </w:p>
        </w:tc>
        <w:tc>
          <w:tcPr>
            <w:tcW w:w="1304" w:type="dxa"/>
            <w:tcBorders>
              <w:bottom w:val="single" w:sz="4" w:space="0" w:color="auto"/>
            </w:tcBorders>
            <w:noWrap/>
            <w:hideMark/>
          </w:tcPr>
          <w:p w14:paraId="6A4B197F" w14:textId="77777777" w:rsidR="0065586C" w:rsidRPr="002029AF" w:rsidRDefault="0065586C" w:rsidP="003566F1">
            <w:pPr>
              <w:pStyle w:val="ARfintablebodyrightbold"/>
            </w:pPr>
            <w:r w:rsidRPr="002029AF">
              <w:t>22,199.3</w:t>
            </w:r>
          </w:p>
        </w:tc>
        <w:tc>
          <w:tcPr>
            <w:tcW w:w="1304" w:type="dxa"/>
            <w:tcBorders>
              <w:bottom w:val="single" w:sz="4" w:space="0" w:color="auto"/>
            </w:tcBorders>
            <w:noWrap/>
            <w:hideMark/>
          </w:tcPr>
          <w:p w14:paraId="5E1E0E80" w14:textId="77777777" w:rsidR="0065586C" w:rsidRPr="002029AF" w:rsidRDefault="0065586C" w:rsidP="003566F1">
            <w:pPr>
              <w:pStyle w:val="ARfintablebodyrightbold"/>
            </w:pPr>
            <w:r w:rsidRPr="002029AF">
              <w:t>31,195.0</w:t>
            </w:r>
          </w:p>
        </w:tc>
      </w:tr>
      <w:tr w:rsidR="0065586C" w:rsidRPr="002029AF" w14:paraId="6C21E42B" w14:textId="77777777" w:rsidTr="003566F1">
        <w:tc>
          <w:tcPr>
            <w:tcW w:w="3572" w:type="dxa"/>
            <w:tcBorders>
              <w:top w:val="single" w:sz="4" w:space="0" w:color="auto"/>
              <w:bottom w:val="single" w:sz="4" w:space="0" w:color="A6A6A6"/>
            </w:tcBorders>
            <w:hideMark/>
          </w:tcPr>
          <w:p w14:paraId="4395EAD5" w14:textId="7801C137" w:rsidR="0065586C" w:rsidRPr="002029AF" w:rsidRDefault="0065586C" w:rsidP="003566F1">
            <w:pPr>
              <w:pStyle w:val="ARfintablebody"/>
            </w:pPr>
            <w:r w:rsidRPr="002029AF">
              <w:t>Net</w:t>
            </w:r>
            <w:r w:rsidR="000A5329" w:rsidRPr="002029AF">
              <w:t xml:space="preserve"> </w:t>
            </w:r>
            <w:r w:rsidRPr="002029AF">
              <w:t>result</w:t>
            </w:r>
            <w:r w:rsidR="000A5329" w:rsidRPr="002029AF">
              <w:t xml:space="preserve"> </w:t>
            </w:r>
            <w:r w:rsidRPr="002029AF">
              <w:t>for</w:t>
            </w:r>
            <w:r w:rsidR="000A5329" w:rsidRPr="002029AF">
              <w:t xml:space="preserve"> </w:t>
            </w:r>
            <w:r w:rsidRPr="002029AF">
              <w:t>the</w:t>
            </w:r>
            <w:r w:rsidR="000A5329" w:rsidRPr="002029AF">
              <w:t xml:space="preserve"> </w:t>
            </w:r>
            <w:r w:rsidRPr="002029AF">
              <w:t>year</w:t>
            </w:r>
          </w:p>
        </w:tc>
        <w:tc>
          <w:tcPr>
            <w:tcW w:w="851" w:type="dxa"/>
            <w:tcBorders>
              <w:top w:val="single" w:sz="4" w:space="0" w:color="auto"/>
              <w:bottom w:val="single" w:sz="4" w:space="0" w:color="A6A6A6"/>
            </w:tcBorders>
            <w:hideMark/>
          </w:tcPr>
          <w:p w14:paraId="695EBE26" w14:textId="77777777" w:rsidR="0065586C" w:rsidRPr="002029AF" w:rsidRDefault="0065586C" w:rsidP="003566F1">
            <w:pPr>
              <w:pStyle w:val="ARfintablebodyright"/>
            </w:pPr>
          </w:p>
        </w:tc>
        <w:tc>
          <w:tcPr>
            <w:tcW w:w="1304" w:type="dxa"/>
            <w:tcBorders>
              <w:top w:val="single" w:sz="4" w:space="0" w:color="auto"/>
              <w:bottom w:val="single" w:sz="4" w:space="0" w:color="A6A6A6"/>
            </w:tcBorders>
            <w:noWrap/>
            <w:hideMark/>
          </w:tcPr>
          <w:p w14:paraId="72B1B0A9" w14:textId="77777777" w:rsidR="0065586C" w:rsidRPr="002029AF" w:rsidRDefault="0065586C" w:rsidP="003566F1">
            <w:pPr>
              <w:pStyle w:val="ARfintablebodyright"/>
            </w:pPr>
            <w:r w:rsidRPr="002029AF">
              <w:t>–</w:t>
            </w:r>
          </w:p>
        </w:tc>
        <w:tc>
          <w:tcPr>
            <w:tcW w:w="1304" w:type="dxa"/>
            <w:tcBorders>
              <w:top w:val="single" w:sz="4" w:space="0" w:color="auto"/>
              <w:bottom w:val="single" w:sz="4" w:space="0" w:color="A6A6A6"/>
            </w:tcBorders>
            <w:noWrap/>
            <w:hideMark/>
          </w:tcPr>
          <w:p w14:paraId="25D34313" w14:textId="77777777" w:rsidR="0065586C" w:rsidRPr="002029AF" w:rsidRDefault="0065586C" w:rsidP="003566F1">
            <w:pPr>
              <w:pStyle w:val="ARfintablebodyright"/>
            </w:pPr>
            <w:r w:rsidRPr="002029AF">
              <w:t>545.4</w:t>
            </w:r>
          </w:p>
        </w:tc>
        <w:tc>
          <w:tcPr>
            <w:tcW w:w="1304" w:type="dxa"/>
            <w:tcBorders>
              <w:top w:val="single" w:sz="4" w:space="0" w:color="auto"/>
              <w:bottom w:val="single" w:sz="4" w:space="0" w:color="A6A6A6"/>
            </w:tcBorders>
            <w:noWrap/>
            <w:hideMark/>
          </w:tcPr>
          <w:p w14:paraId="34C0F729" w14:textId="77777777" w:rsidR="0065586C" w:rsidRPr="002029AF" w:rsidRDefault="0065586C" w:rsidP="003566F1">
            <w:pPr>
              <w:pStyle w:val="ARfintablebodyright"/>
            </w:pPr>
            <w:r w:rsidRPr="002029AF">
              <w:t>–</w:t>
            </w:r>
          </w:p>
        </w:tc>
        <w:tc>
          <w:tcPr>
            <w:tcW w:w="1304" w:type="dxa"/>
            <w:tcBorders>
              <w:top w:val="single" w:sz="4" w:space="0" w:color="auto"/>
              <w:bottom w:val="single" w:sz="4" w:space="0" w:color="A6A6A6"/>
            </w:tcBorders>
            <w:noWrap/>
            <w:hideMark/>
          </w:tcPr>
          <w:p w14:paraId="69D6AFC4" w14:textId="77777777" w:rsidR="0065586C" w:rsidRPr="002029AF" w:rsidRDefault="0065586C" w:rsidP="003566F1">
            <w:pPr>
              <w:pStyle w:val="ARfintablebodyright"/>
            </w:pPr>
            <w:r w:rsidRPr="002029AF">
              <w:t>545.4</w:t>
            </w:r>
          </w:p>
        </w:tc>
      </w:tr>
      <w:tr w:rsidR="0065586C" w:rsidRPr="002029AF" w14:paraId="5F85A7EA" w14:textId="77777777" w:rsidTr="003566F1">
        <w:tc>
          <w:tcPr>
            <w:tcW w:w="3572" w:type="dxa"/>
            <w:tcBorders>
              <w:top w:val="single" w:sz="4" w:space="0" w:color="A6A6A6"/>
              <w:bottom w:val="single" w:sz="4" w:space="0" w:color="A6A6A6"/>
            </w:tcBorders>
            <w:hideMark/>
          </w:tcPr>
          <w:p w14:paraId="6B3B2A06" w14:textId="6A9A2502" w:rsidR="0065586C" w:rsidRPr="002029AF" w:rsidRDefault="0065586C" w:rsidP="003566F1">
            <w:pPr>
              <w:pStyle w:val="ARfintablebody"/>
            </w:pPr>
            <w:r w:rsidRPr="002029AF">
              <w:t>Remeasurement</w:t>
            </w:r>
            <w:r w:rsidR="000A5329" w:rsidRPr="002029AF">
              <w:t xml:space="preserve"> </w:t>
            </w:r>
            <w:r w:rsidRPr="002029AF">
              <w:t>of</w:t>
            </w:r>
            <w:r w:rsidR="000A5329" w:rsidRPr="002029AF">
              <w:t xml:space="preserve"> </w:t>
            </w:r>
            <w:r w:rsidRPr="002029AF">
              <w:t>superannuation</w:t>
            </w:r>
            <w:r w:rsidR="000A5329" w:rsidRPr="002029AF">
              <w:t xml:space="preserve"> </w:t>
            </w:r>
            <w:r w:rsidRPr="002029AF">
              <w:t>defined</w:t>
            </w:r>
            <w:r w:rsidR="000A5329" w:rsidRPr="002029AF">
              <w:t xml:space="preserve"> </w:t>
            </w:r>
            <w:r w:rsidRPr="002029AF">
              <w:t>benefit</w:t>
            </w:r>
            <w:r w:rsidR="000A5329" w:rsidRPr="002029AF">
              <w:t xml:space="preserve"> </w:t>
            </w:r>
            <w:r w:rsidRPr="002029AF">
              <w:t>plans</w:t>
            </w:r>
          </w:p>
        </w:tc>
        <w:tc>
          <w:tcPr>
            <w:tcW w:w="851" w:type="dxa"/>
            <w:tcBorders>
              <w:top w:val="single" w:sz="4" w:space="0" w:color="A6A6A6"/>
              <w:bottom w:val="single" w:sz="4" w:space="0" w:color="A6A6A6"/>
            </w:tcBorders>
            <w:noWrap/>
            <w:hideMark/>
          </w:tcPr>
          <w:p w14:paraId="57C8114E" w14:textId="77777777" w:rsidR="0065586C" w:rsidRPr="002029AF" w:rsidRDefault="0065586C" w:rsidP="003566F1">
            <w:pPr>
              <w:pStyle w:val="ARfintablebodyright"/>
            </w:pPr>
            <w:r w:rsidRPr="002029AF">
              <w:t>3.1.1(b)</w:t>
            </w:r>
          </w:p>
        </w:tc>
        <w:tc>
          <w:tcPr>
            <w:tcW w:w="1304" w:type="dxa"/>
            <w:tcBorders>
              <w:top w:val="single" w:sz="4" w:space="0" w:color="A6A6A6"/>
              <w:bottom w:val="single" w:sz="4" w:space="0" w:color="A6A6A6"/>
            </w:tcBorders>
            <w:noWrap/>
            <w:hideMark/>
          </w:tcPr>
          <w:p w14:paraId="314CB12F" w14:textId="77777777" w:rsidR="0065586C" w:rsidRPr="002029AF" w:rsidRDefault="0065586C" w:rsidP="003566F1">
            <w:pPr>
              <w:pStyle w:val="ARfintablebodyright"/>
            </w:pPr>
            <w:r w:rsidRPr="002029AF">
              <w:t>–</w:t>
            </w:r>
          </w:p>
        </w:tc>
        <w:tc>
          <w:tcPr>
            <w:tcW w:w="1304" w:type="dxa"/>
            <w:tcBorders>
              <w:top w:val="single" w:sz="4" w:space="0" w:color="A6A6A6"/>
              <w:bottom w:val="single" w:sz="4" w:space="0" w:color="A6A6A6"/>
            </w:tcBorders>
            <w:noWrap/>
            <w:hideMark/>
          </w:tcPr>
          <w:p w14:paraId="6636155D" w14:textId="77777777" w:rsidR="0065586C" w:rsidRPr="002029AF" w:rsidRDefault="0065586C" w:rsidP="003566F1">
            <w:pPr>
              <w:pStyle w:val="ARfintablebodyright"/>
            </w:pPr>
            <w:r w:rsidRPr="002029AF">
              <w:t>0.3</w:t>
            </w:r>
          </w:p>
        </w:tc>
        <w:tc>
          <w:tcPr>
            <w:tcW w:w="1304" w:type="dxa"/>
            <w:tcBorders>
              <w:top w:val="single" w:sz="4" w:space="0" w:color="A6A6A6"/>
              <w:bottom w:val="single" w:sz="4" w:space="0" w:color="A6A6A6"/>
            </w:tcBorders>
            <w:noWrap/>
            <w:hideMark/>
          </w:tcPr>
          <w:p w14:paraId="43DE80F4" w14:textId="77777777" w:rsidR="0065586C" w:rsidRPr="002029AF" w:rsidRDefault="0065586C" w:rsidP="003566F1">
            <w:pPr>
              <w:pStyle w:val="ARfintablebodyright"/>
            </w:pPr>
            <w:r w:rsidRPr="002029AF">
              <w:t>–</w:t>
            </w:r>
          </w:p>
        </w:tc>
        <w:tc>
          <w:tcPr>
            <w:tcW w:w="1304" w:type="dxa"/>
            <w:tcBorders>
              <w:top w:val="single" w:sz="4" w:space="0" w:color="A6A6A6"/>
              <w:bottom w:val="single" w:sz="4" w:space="0" w:color="A6A6A6"/>
            </w:tcBorders>
            <w:noWrap/>
            <w:hideMark/>
          </w:tcPr>
          <w:p w14:paraId="4A05E742" w14:textId="77777777" w:rsidR="0065586C" w:rsidRPr="002029AF" w:rsidRDefault="0065586C" w:rsidP="003566F1">
            <w:pPr>
              <w:pStyle w:val="ARfintablebodyright"/>
            </w:pPr>
            <w:r w:rsidRPr="002029AF">
              <w:t>0.3</w:t>
            </w:r>
          </w:p>
        </w:tc>
      </w:tr>
      <w:tr w:rsidR="0065586C" w:rsidRPr="002029AF" w14:paraId="4BC36A79" w14:textId="77777777" w:rsidTr="003566F1">
        <w:tc>
          <w:tcPr>
            <w:tcW w:w="3572" w:type="dxa"/>
            <w:tcBorders>
              <w:top w:val="single" w:sz="4" w:space="0" w:color="A6A6A6"/>
              <w:bottom w:val="single" w:sz="4" w:space="0" w:color="A6A6A6"/>
            </w:tcBorders>
            <w:hideMark/>
          </w:tcPr>
          <w:p w14:paraId="2587AD27" w14:textId="173D2125" w:rsidR="0065586C" w:rsidRPr="002029AF" w:rsidRDefault="0065586C" w:rsidP="003566F1">
            <w:pPr>
              <w:pStyle w:val="ARfintablebody"/>
            </w:pPr>
            <w:r w:rsidRPr="002029AF">
              <w:t>Changes</w:t>
            </w:r>
            <w:r w:rsidR="000A5329" w:rsidRPr="002029AF">
              <w:t xml:space="preserve"> </w:t>
            </w:r>
            <w:r w:rsidRPr="002029AF">
              <w:t>in</w:t>
            </w:r>
            <w:r w:rsidR="000A5329" w:rsidRPr="002029AF">
              <w:t xml:space="preserve"> </w:t>
            </w:r>
            <w:r w:rsidRPr="002029AF">
              <w:t>physical</w:t>
            </w:r>
            <w:r w:rsidR="000A5329" w:rsidRPr="002029AF">
              <w:t xml:space="preserve"> </w:t>
            </w:r>
            <w:r w:rsidRPr="002029AF">
              <w:t>asset</w:t>
            </w:r>
            <w:r w:rsidR="000A5329" w:rsidRPr="002029AF">
              <w:t xml:space="preserve"> </w:t>
            </w:r>
            <w:r w:rsidRPr="002029AF">
              <w:t>revaluation</w:t>
            </w:r>
            <w:r w:rsidR="000A5329" w:rsidRPr="002029AF">
              <w:t xml:space="preserve"> </w:t>
            </w:r>
            <w:r w:rsidRPr="002029AF">
              <w:t>surplus</w:t>
            </w:r>
          </w:p>
        </w:tc>
        <w:tc>
          <w:tcPr>
            <w:tcW w:w="851" w:type="dxa"/>
            <w:tcBorders>
              <w:top w:val="single" w:sz="4" w:space="0" w:color="A6A6A6"/>
              <w:bottom w:val="single" w:sz="4" w:space="0" w:color="A6A6A6"/>
            </w:tcBorders>
            <w:noWrap/>
            <w:hideMark/>
          </w:tcPr>
          <w:p w14:paraId="610A6F48" w14:textId="77777777" w:rsidR="0065586C" w:rsidRPr="002029AF" w:rsidRDefault="0065586C" w:rsidP="003566F1">
            <w:pPr>
              <w:pStyle w:val="ARfintablebodyright"/>
            </w:pPr>
            <w:r w:rsidRPr="002029AF">
              <w:t>9.4</w:t>
            </w:r>
          </w:p>
        </w:tc>
        <w:tc>
          <w:tcPr>
            <w:tcW w:w="1304" w:type="dxa"/>
            <w:tcBorders>
              <w:top w:val="single" w:sz="4" w:space="0" w:color="A6A6A6"/>
              <w:bottom w:val="single" w:sz="4" w:space="0" w:color="A6A6A6"/>
            </w:tcBorders>
            <w:noWrap/>
            <w:hideMark/>
          </w:tcPr>
          <w:p w14:paraId="685C0D3F" w14:textId="77777777" w:rsidR="0065586C" w:rsidRPr="002029AF" w:rsidRDefault="0065586C" w:rsidP="003566F1">
            <w:pPr>
              <w:pStyle w:val="ARfintablebodyright"/>
            </w:pPr>
            <w:r w:rsidRPr="002029AF">
              <w:t>(19.2)</w:t>
            </w:r>
          </w:p>
        </w:tc>
        <w:tc>
          <w:tcPr>
            <w:tcW w:w="1304" w:type="dxa"/>
            <w:tcBorders>
              <w:top w:val="single" w:sz="4" w:space="0" w:color="A6A6A6"/>
              <w:bottom w:val="single" w:sz="4" w:space="0" w:color="A6A6A6"/>
            </w:tcBorders>
            <w:noWrap/>
            <w:hideMark/>
          </w:tcPr>
          <w:p w14:paraId="2E751FE6" w14:textId="77777777" w:rsidR="0065586C" w:rsidRPr="002029AF" w:rsidRDefault="0065586C" w:rsidP="003566F1">
            <w:pPr>
              <w:pStyle w:val="ARfintablebodyright"/>
            </w:pPr>
            <w:r w:rsidRPr="002029AF">
              <w:t>–</w:t>
            </w:r>
          </w:p>
        </w:tc>
        <w:tc>
          <w:tcPr>
            <w:tcW w:w="1304" w:type="dxa"/>
            <w:tcBorders>
              <w:top w:val="single" w:sz="4" w:space="0" w:color="A6A6A6"/>
              <w:bottom w:val="single" w:sz="4" w:space="0" w:color="A6A6A6"/>
            </w:tcBorders>
            <w:noWrap/>
            <w:hideMark/>
          </w:tcPr>
          <w:p w14:paraId="5E55979D" w14:textId="77777777" w:rsidR="0065586C" w:rsidRPr="002029AF" w:rsidRDefault="0065586C" w:rsidP="003566F1">
            <w:pPr>
              <w:pStyle w:val="ARfintablebodyright"/>
            </w:pPr>
            <w:r w:rsidRPr="002029AF">
              <w:t>–</w:t>
            </w:r>
          </w:p>
        </w:tc>
        <w:tc>
          <w:tcPr>
            <w:tcW w:w="1304" w:type="dxa"/>
            <w:tcBorders>
              <w:top w:val="single" w:sz="4" w:space="0" w:color="A6A6A6"/>
              <w:bottom w:val="single" w:sz="4" w:space="0" w:color="A6A6A6"/>
            </w:tcBorders>
            <w:noWrap/>
            <w:hideMark/>
          </w:tcPr>
          <w:p w14:paraId="14A652CE" w14:textId="77777777" w:rsidR="0065586C" w:rsidRPr="002029AF" w:rsidRDefault="0065586C" w:rsidP="003566F1">
            <w:pPr>
              <w:pStyle w:val="ARfintablebodyright"/>
            </w:pPr>
            <w:r w:rsidRPr="002029AF">
              <w:t>(19.2)</w:t>
            </w:r>
          </w:p>
        </w:tc>
      </w:tr>
      <w:tr w:rsidR="0065586C" w:rsidRPr="002029AF" w14:paraId="3D061A96" w14:textId="77777777" w:rsidTr="003566F1">
        <w:tc>
          <w:tcPr>
            <w:tcW w:w="3572" w:type="dxa"/>
            <w:tcBorders>
              <w:top w:val="single" w:sz="4" w:space="0" w:color="A6A6A6"/>
              <w:bottom w:val="single" w:sz="4" w:space="0" w:color="A6A6A6"/>
            </w:tcBorders>
            <w:hideMark/>
          </w:tcPr>
          <w:p w14:paraId="22D8824B" w14:textId="17647CF3" w:rsidR="0065586C" w:rsidRPr="002029AF" w:rsidRDefault="0065586C" w:rsidP="003566F1">
            <w:pPr>
              <w:pStyle w:val="ARfintablebody"/>
            </w:pPr>
            <w:r w:rsidRPr="002029AF">
              <w:t>Administrative</w:t>
            </w:r>
            <w:r w:rsidR="000A5329" w:rsidRPr="002029AF">
              <w:t xml:space="preserve"> </w:t>
            </w:r>
            <w:r w:rsidRPr="002029AF">
              <w:t>restructure</w:t>
            </w:r>
            <w:r w:rsidR="000A5329" w:rsidRPr="002029AF">
              <w:t xml:space="preserve"> </w:t>
            </w:r>
            <w:r w:rsidRPr="002029AF">
              <w:t>–</w:t>
            </w:r>
            <w:r w:rsidR="000A5329" w:rsidRPr="002029AF">
              <w:t xml:space="preserve"> </w:t>
            </w:r>
            <w:r w:rsidRPr="002029AF">
              <w:t>net</w:t>
            </w:r>
            <w:r w:rsidR="000A5329" w:rsidRPr="002029AF">
              <w:t xml:space="preserve"> </w:t>
            </w:r>
            <w:r w:rsidRPr="002029AF">
              <w:t>assets</w:t>
            </w:r>
            <w:r w:rsidR="000A5329" w:rsidRPr="002029AF">
              <w:t xml:space="preserve"> </w:t>
            </w:r>
            <w:r w:rsidRPr="002029AF">
              <w:t>received</w:t>
            </w:r>
          </w:p>
        </w:tc>
        <w:tc>
          <w:tcPr>
            <w:tcW w:w="851" w:type="dxa"/>
            <w:tcBorders>
              <w:top w:val="single" w:sz="4" w:space="0" w:color="A6A6A6"/>
              <w:bottom w:val="single" w:sz="4" w:space="0" w:color="A6A6A6"/>
            </w:tcBorders>
            <w:noWrap/>
            <w:hideMark/>
          </w:tcPr>
          <w:p w14:paraId="670B4505" w14:textId="77777777" w:rsidR="0065586C" w:rsidRPr="002029AF" w:rsidRDefault="0065586C" w:rsidP="003566F1">
            <w:pPr>
              <w:pStyle w:val="ARfintablebodyright"/>
            </w:pPr>
            <w:r w:rsidRPr="002029AF">
              <w:t>4.3</w:t>
            </w:r>
          </w:p>
        </w:tc>
        <w:tc>
          <w:tcPr>
            <w:tcW w:w="1304" w:type="dxa"/>
            <w:tcBorders>
              <w:top w:val="single" w:sz="4" w:space="0" w:color="A6A6A6"/>
              <w:bottom w:val="single" w:sz="4" w:space="0" w:color="A6A6A6"/>
            </w:tcBorders>
            <w:noWrap/>
            <w:hideMark/>
          </w:tcPr>
          <w:p w14:paraId="3663BF7D" w14:textId="77777777" w:rsidR="0065586C" w:rsidRPr="002029AF" w:rsidRDefault="0065586C" w:rsidP="003566F1">
            <w:pPr>
              <w:pStyle w:val="ARfintablebodyright"/>
            </w:pPr>
            <w:r w:rsidRPr="002029AF">
              <w:t>–</w:t>
            </w:r>
          </w:p>
        </w:tc>
        <w:tc>
          <w:tcPr>
            <w:tcW w:w="1304" w:type="dxa"/>
            <w:tcBorders>
              <w:top w:val="single" w:sz="4" w:space="0" w:color="A6A6A6"/>
              <w:bottom w:val="single" w:sz="4" w:space="0" w:color="A6A6A6"/>
            </w:tcBorders>
            <w:noWrap/>
            <w:hideMark/>
          </w:tcPr>
          <w:p w14:paraId="2BB5DCC1" w14:textId="77777777" w:rsidR="0065586C" w:rsidRPr="002029AF" w:rsidRDefault="0065586C" w:rsidP="003566F1">
            <w:pPr>
              <w:pStyle w:val="ARfintablebodyright"/>
            </w:pPr>
            <w:r w:rsidRPr="002029AF">
              <w:t>–</w:t>
            </w:r>
          </w:p>
        </w:tc>
        <w:tc>
          <w:tcPr>
            <w:tcW w:w="1304" w:type="dxa"/>
            <w:tcBorders>
              <w:top w:val="single" w:sz="4" w:space="0" w:color="A6A6A6"/>
              <w:bottom w:val="single" w:sz="4" w:space="0" w:color="A6A6A6"/>
            </w:tcBorders>
            <w:noWrap/>
            <w:hideMark/>
          </w:tcPr>
          <w:p w14:paraId="7AE29062" w14:textId="77777777" w:rsidR="0065586C" w:rsidRPr="002029AF" w:rsidRDefault="0065586C" w:rsidP="003566F1">
            <w:pPr>
              <w:pStyle w:val="ARfintablebodyright"/>
            </w:pPr>
            <w:r w:rsidRPr="002029AF">
              <w:t>15.5</w:t>
            </w:r>
          </w:p>
        </w:tc>
        <w:tc>
          <w:tcPr>
            <w:tcW w:w="1304" w:type="dxa"/>
            <w:tcBorders>
              <w:top w:val="single" w:sz="4" w:space="0" w:color="A6A6A6"/>
              <w:bottom w:val="single" w:sz="4" w:space="0" w:color="A6A6A6"/>
            </w:tcBorders>
            <w:noWrap/>
            <w:hideMark/>
          </w:tcPr>
          <w:p w14:paraId="60C9E940" w14:textId="77777777" w:rsidR="0065586C" w:rsidRPr="002029AF" w:rsidRDefault="0065586C" w:rsidP="003566F1">
            <w:pPr>
              <w:pStyle w:val="ARfintablebodyright"/>
            </w:pPr>
            <w:r w:rsidRPr="002029AF">
              <w:t>15.5</w:t>
            </w:r>
          </w:p>
        </w:tc>
      </w:tr>
      <w:tr w:rsidR="0065586C" w:rsidRPr="002029AF" w14:paraId="0E6D9DAF" w14:textId="77777777" w:rsidTr="003566F1">
        <w:tc>
          <w:tcPr>
            <w:tcW w:w="3572" w:type="dxa"/>
            <w:tcBorders>
              <w:top w:val="single" w:sz="4" w:space="0" w:color="A6A6A6"/>
              <w:bottom w:val="single" w:sz="4" w:space="0" w:color="A6A6A6"/>
            </w:tcBorders>
            <w:hideMark/>
          </w:tcPr>
          <w:p w14:paraId="2E36BA45" w14:textId="4A946ECE" w:rsidR="0065586C" w:rsidRPr="002029AF" w:rsidRDefault="0065586C" w:rsidP="003566F1">
            <w:pPr>
              <w:pStyle w:val="ARfintablebody"/>
            </w:pPr>
            <w:r w:rsidRPr="002029AF">
              <w:t>Administrative</w:t>
            </w:r>
            <w:r w:rsidR="000A5329" w:rsidRPr="002029AF">
              <w:t xml:space="preserve"> </w:t>
            </w:r>
            <w:r w:rsidRPr="002029AF">
              <w:t>restructure</w:t>
            </w:r>
            <w:r w:rsidR="000A5329" w:rsidRPr="002029AF">
              <w:t xml:space="preserve"> </w:t>
            </w:r>
            <w:r w:rsidRPr="002029AF">
              <w:t>–</w:t>
            </w:r>
            <w:r w:rsidR="000A5329" w:rsidRPr="002029AF">
              <w:t xml:space="preserve"> </w:t>
            </w:r>
            <w:r w:rsidRPr="002029AF">
              <w:t>net</w:t>
            </w:r>
            <w:r w:rsidR="000A5329" w:rsidRPr="002029AF">
              <w:t xml:space="preserve"> </w:t>
            </w:r>
            <w:r w:rsidRPr="002029AF">
              <w:t>liabilities</w:t>
            </w:r>
            <w:r w:rsidR="000A5329" w:rsidRPr="002029AF">
              <w:t xml:space="preserve"> </w:t>
            </w:r>
            <w:r w:rsidRPr="002029AF">
              <w:t>transferred</w:t>
            </w:r>
          </w:p>
        </w:tc>
        <w:tc>
          <w:tcPr>
            <w:tcW w:w="851" w:type="dxa"/>
            <w:tcBorders>
              <w:top w:val="single" w:sz="4" w:space="0" w:color="A6A6A6"/>
              <w:bottom w:val="single" w:sz="4" w:space="0" w:color="A6A6A6"/>
            </w:tcBorders>
            <w:noWrap/>
            <w:hideMark/>
          </w:tcPr>
          <w:p w14:paraId="0494B160" w14:textId="77777777" w:rsidR="0065586C" w:rsidRPr="002029AF" w:rsidRDefault="0065586C" w:rsidP="003566F1">
            <w:pPr>
              <w:pStyle w:val="ARfintablebodyright"/>
            </w:pPr>
            <w:r w:rsidRPr="002029AF">
              <w:t>4.3</w:t>
            </w:r>
          </w:p>
        </w:tc>
        <w:tc>
          <w:tcPr>
            <w:tcW w:w="1304" w:type="dxa"/>
            <w:tcBorders>
              <w:top w:val="single" w:sz="4" w:space="0" w:color="A6A6A6"/>
              <w:bottom w:val="single" w:sz="4" w:space="0" w:color="A6A6A6"/>
            </w:tcBorders>
            <w:noWrap/>
            <w:hideMark/>
          </w:tcPr>
          <w:p w14:paraId="57656E37" w14:textId="77777777" w:rsidR="0065586C" w:rsidRPr="002029AF" w:rsidRDefault="0065586C" w:rsidP="003566F1">
            <w:pPr>
              <w:pStyle w:val="ARfintablebodyright"/>
            </w:pPr>
            <w:r w:rsidRPr="002029AF">
              <w:t>–</w:t>
            </w:r>
          </w:p>
        </w:tc>
        <w:tc>
          <w:tcPr>
            <w:tcW w:w="1304" w:type="dxa"/>
            <w:tcBorders>
              <w:top w:val="single" w:sz="4" w:space="0" w:color="A6A6A6"/>
              <w:bottom w:val="single" w:sz="4" w:space="0" w:color="A6A6A6"/>
            </w:tcBorders>
            <w:noWrap/>
            <w:hideMark/>
          </w:tcPr>
          <w:p w14:paraId="6942129D" w14:textId="77777777" w:rsidR="0065586C" w:rsidRPr="002029AF" w:rsidRDefault="0065586C" w:rsidP="003566F1">
            <w:pPr>
              <w:pStyle w:val="ARfintablebodyright"/>
            </w:pPr>
            <w:r w:rsidRPr="002029AF">
              <w:t>–</w:t>
            </w:r>
          </w:p>
        </w:tc>
        <w:tc>
          <w:tcPr>
            <w:tcW w:w="1304" w:type="dxa"/>
            <w:tcBorders>
              <w:top w:val="single" w:sz="4" w:space="0" w:color="A6A6A6"/>
              <w:bottom w:val="single" w:sz="4" w:space="0" w:color="A6A6A6"/>
            </w:tcBorders>
            <w:noWrap/>
            <w:hideMark/>
          </w:tcPr>
          <w:p w14:paraId="26D0FAB0" w14:textId="77777777" w:rsidR="0065586C" w:rsidRPr="002029AF" w:rsidRDefault="0065586C" w:rsidP="003566F1">
            <w:pPr>
              <w:pStyle w:val="ARfintablebodyright"/>
            </w:pPr>
            <w:r w:rsidRPr="002029AF">
              <w:t>3.0</w:t>
            </w:r>
          </w:p>
        </w:tc>
        <w:tc>
          <w:tcPr>
            <w:tcW w:w="1304" w:type="dxa"/>
            <w:tcBorders>
              <w:top w:val="single" w:sz="4" w:space="0" w:color="A6A6A6"/>
              <w:bottom w:val="single" w:sz="4" w:space="0" w:color="A6A6A6"/>
            </w:tcBorders>
            <w:noWrap/>
            <w:hideMark/>
          </w:tcPr>
          <w:p w14:paraId="3A2DE9C2" w14:textId="77777777" w:rsidR="0065586C" w:rsidRPr="002029AF" w:rsidRDefault="0065586C" w:rsidP="003566F1">
            <w:pPr>
              <w:pStyle w:val="ARfintablebodyright"/>
            </w:pPr>
            <w:r w:rsidRPr="002029AF">
              <w:t>3.0</w:t>
            </w:r>
          </w:p>
        </w:tc>
      </w:tr>
      <w:tr w:rsidR="0065586C" w:rsidRPr="002029AF" w14:paraId="5B5F8C5C" w14:textId="77777777" w:rsidTr="003566F1">
        <w:tc>
          <w:tcPr>
            <w:tcW w:w="3572" w:type="dxa"/>
            <w:tcBorders>
              <w:top w:val="single" w:sz="4" w:space="0" w:color="A6A6A6"/>
              <w:bottom w:val="single" w:sz="4" w:space="0" w:color="A6A6A6"/>
            </w:tcBorders>
            <w:hideMark/>
          </w:tcPr>
          <w:p w14:paraId="1E46ECC3" w14:textId="623E91AC" w:rsidR="0065586C" w:rsidRPr="002029AF" w:rsidRDefault="0065586C" w:rsidP="003566F1">
            <w:pPr>
              <w:pStyle w:val="ARfintablebody"/>
            </w:pPr>
            <w:r w:rsidRPr="002029AF">
              <w:t>Capital</w:t>
            </w:r>
            <w:r w:rsidR="000A5329" w:rsidRPr="002029AF">
              <w:t xml:space="preserve"> </w:t>
            </w:r>
            <w:r w:rsidRPr="002029AF">
              <w:t>contribution</w:t>
            </w:r>
            <w:r w:rsidR="000A5329" w:rsidRPr="002029AF">
              <w:t xml:space="preserve"> </w:t>
            </w:r>
            <w:r w:rsidRPr="002029AF">
              <w:t>by</w:t>
            </w:r>
            <w:r w:rsidR="000A5329" w:rsidRPr="002029AF">
              <w:t xml:space="preserve"> </w:t>
            </w:r>
            <w:r w:rsidRPr="002029AF">
              <w:t>Victorian</w:t>
            </w:r>
            <w:r w:rsidR="000A5329" w:rsidRPr="002029AF">
              <w:t xml:space="preserve"> </w:t>
            </w:r>
            <w:r w:rsidRPr="002029AF">
              <w:t>State</w:t>
            </w:r>
            <w:r w:rsidR="000A5329" w:rsidRPr="002029AF">
              <w:t xml:space="preserve"> </w:t>
            </w:r>
            <w:r w:rsidRPr="002029AF">
              <w:t>Government</w:t>
            </w:r>
          </w:p>
        </w:tc>
        <w:tc>
          <w:tcPr>
            <w:tcW w:w="851" w:type="dxa"/>
            <w:tcBorders>
              <w:top w:val="single" w:sz="4" w:space="0" w:color="A6A6A6"/>
              <w:bottom w:val="single" w:sz="4" w:space="0" w:color="A6A6A6"/>
            </w:tcBorders>
            <w:hideMark/>
          </w:tcPr>
          <w:p w14:paraId="21F5B26F" w14:textId="77777777" w:rsidR="0065586C" w:rsidRPr="002029AF" w:rsidRDefault="0065586C" w:rsidP="003566F1">
            <w:pPr>
              <w:pStyle w:val="ARfintablebodyright"/>
            </w:pPr>
          </w:p>
        </w:tc>
        <w:tc>
          <w:tcPr>
            <w:tcW w:w="1304" w:type="dxa"/>
            <w:tcBorders>
              <w:top w:val="single" w:sz="4" w:space="0" w:color="A6A6A6"/>
              <w:bottom w:val="single" w:sz="4" w:space="0" w:color="A6A6A6"/>
            </w:tcBorders>
            <w:noWrap/>
            <w:hideMark/>
          </w:tcPr>
          <w:p w14:paraId="69CB0BA3" w14:textId="77777777" w:rsidR="0065586C" w:rsidRPr="002029AF" w:rsidRDefault="0065586C" w:rsidP="003566F1">
            <w:pPr>
              <w:pStyle w:val="ARfintablebodyright"/>
            </w:pPr>
            <w:r w:rsidRPr="002029AF">
              <w:t>–</w:t>
            </w:r>
          </w:p>
        </w:tc>
        <w:tc>
          <w:tcPr>
            <w:tcW w:w="1304" w:type="dxa"/>
            <w:tcBorders>
              <w:top w:val="single" w:sz="4" w:space="0" w:color="A6A6A6"/>
              <w:bottom w:val="single" w:sz="4" w:space="0" w:color="A6A6A6"/>
            </w:tcBorders>
            <w:noWrap/>
            <w:hideMark/>
          </w:tcPr>
          <w:p w14:paraId="2D8A58B6" w14:textId="77777777" w:rsidR="0065586C" w:rsidRPr="002029AF" w:rsidRDefault="0065586C" w:rsidP="003566F1">
            <w:pPr>
              <w:pStyle w:val="ARfintablebodyright"/>
            </w:pPr>
            <w:r w:rsidRPr="002029AF">
              <w:t>–</w:t>
            </w:r>
          </w:p>
        </w:tc>
        <w:tc>
          <w:tcPr>
            <w:tcW w:w="1304" w:type="dxa"/>
            <w:tcBorders>
              <w:top w:val="single" w:sz="4" w:space="0" w:color="A6A6A6"/>
              <w:bottom w:val="single" w:sz="4" w:space="0" w:color="A6A6A6"/>
            </w:tcBorders>
            <w:noWrap/>
            <w:hideMark/>
          </w:tcPr>
          <w:p w14:paraId="2F7A188F" w14:textId="77777777" w:rsidR="0065586C" w:rsidRPr="002029AF" w:rsidRDefault="0065586C" w:rsidP="003566F1">
            <w:pPr>
              <w:pStyle w:val="ARfintablebodyright"/>
            </w:pPr>
            <w:r w:rsidRPr="002029AF">
              <w:t>267.6</w:t>
            </w:r>
          </w:p>
        </w:tc>
        <w:tc>
          <w:tcPr>
            <w:tcW w:w="1304" w:type="dxa"/>
            <w:tcBorders>
              <w:top w:val="single" w:sz="4" w:space="0" w:color="A6A6A6"/>
              <w:bottom w:val="single" w:sz="4" w:space="0" w:color="A6A6A6"/>
            </w:tcBorders>
            <w:noWrap/>
            <w:hideMark/>
          </w:tcPr>
          <w:p w14:paraId="7A0CE2A3" w14:textId="77777777" w:rsidR="0065586C" w:rsidRPr="002029AF" w:rsidRDefault="0065586C" w:rsidP="003566F1">
            <w:pPr>
              <w:pStyle w:val="ARfintablebodyright"/>
            </w:pPr>
            <w:r w:rsidRPr="002029AF">
              <w:t>267.6</w:t>
            </w:r>
          </w:p>
        </w:tc>
      </w:tr>
      <w:tr w:rsidR="0065586C" w:rsidRPr="002029AF" w14:paraId="012FA345" w14:textId="77777777" w:rsidTr="003566F1">
        <w:tc>
          <w:tcPr>
            <w:tcW w:w="3572" w:type="dxa"/>
            <w:tcBorders>
              <w:top w:val="single" w:sz="4" w:space="0" w:color="A6A6A6"/>
              <w:bottom w:val="single" w:sz="4" w:space="0" w:color="A6A6A6"/>
            </w:tcBorders>
            <w:hideMark/>
          </w:tcPr>
          <w:p w14:paraId="7B989D14" w14:textId="218661F9" w:rsidR="0065586C" w:rsidRPr="002029AF" w:rsidRDefault="0065586C" w:rsidP="003566F1">
            <w:pPr>
              <w:pStyle w:val="ARfintablebody"/>
            </w:pPr>
            <w:r w:rsidRPr="002029AF">
              <w:t>Capital</w:t>
            </w:r>
            <w:r w:rsidR="000A5329" w:rsidRPr="002029AF">
              <w:t xml:space="preserve"> </w:t>
            </w:r>
            <w:r w:rsidRPr="002029AF">
              <w:t>contributed</w:t>
            </w:r>
            <w:r w:rsidR="000A5329" w:rsidRPr="002029AF">
              <w:t xml:space="preserve"> </w:t>
            </w:r>
            <w:r w:rsidRPr="002029AF">
              <w:t>from</w:t>
            </w:r>
            <w:r w:rsidR="000A5329" w:rsidRPr="002029AF">
              <w:t xml:space="preserve"> </w:t>
            </w:r>
            <w:r w:rsidRPr="002029AF">
              <w:t>asset</w:t>
            </w:r>
            <w:r w:rsidR="000A5329" w:rsidRPr="002029AF">
              <w:t xml:space="preserve"> </w:t>
            </w:r>
            <w:r w:rsidRPr="002029AF">
              <w:t>transfers</w:t>
            </w:r>
          </w:p>
        </w:tc>
        <w:tc>
          <w:tcPr>
            <w:tcW w:w="851" w:type="dxa"/>
            <w:tcBorders>
              <w:top w:val="single" w:sz="4" w:space="0" w:color="A6A6A6"/>
              <w:bottom w:val="single" w:sz="4" w:space="0" w:color="A6A6A6"/>
            </w:tcBorders>
            <w:hideMark/>
          </w:tcPr>
          <w:p w14:paraId="28CF0B8B" w14:textId="77777777" w:rsidR="0065586C" w:rsidRPr="002029AF" w:rsidRDefault="0065586C" w:rsidP="003566F1">
            <w:pPr>
              <w:pStyle w:val="ARfintablebodyright"/>
            </w:pPr>
          </w:p>
        </w:tc>
        <w:tc>
          <w:tcPr>
            <w:tcW w:w="1304" w:type="dxa"/>
            <w:tcBorders>
              <w:top w:val="single" w:sz="4" w:space="0" w:color="A6A6A6"/>
              <w:bottom w:val="single" w:sz="4" w:space="0" w:color="A6A6A6"/>
            </w:tcBorders>
            <w:noWrap/>
            <w:hideMark/>
          </w:tcPr>
          <w:p w14:paraId="29FA8FF7" w14:textId="77777777" w:rsidR="0065586C" w:rsidRPr="002029AF" w:rsidRDefault="0065586C" w:rsidP="003566F1">
            <w:pPr>
              <w:pStyle w:val="ARfintablebodyright"/>
            </w:pPr>
            <w:r w:rsidRPr="002029AF">
              <w:t>–</w:t>
            </w:r>
          </w:p>
        </w:tc>
        <w:tc>
          <w:tcPr>
            <w:tcW w:w="1304" w:type="dxa"/>
            <w:tcBorders>
              <w:top w:val="single" w:sz="4" w:space="0" w:color="A6A6A6"/>
              <w:bottom w:val="single" w:sz="4" w:space="0" w:color="A6A6A6"/>
            </w:tcBorders>
            <w:noWrap/>
            <w:hideMark/>
          </w:tcPr>
          <w:p w14:paraId="0C71C09D" w14:textId="77777777" w:rsidR="0065586C" w:rsidRPr="002029AF" w:rsidRDefault="0065586C" w:rsidP="003566F1">
            <w:pPr>
              <w:pStyle w:val="ARfintablebodyright"/>
            </w:pPr>
            <w:r w:rsidRPr="002029AF">
              <w:t>–</w:t>
            </w:r>
          </w:p>
        </w:tc>
        <w:tc>
          <w:tcPr>
            <w:tcW w:w="1304" w:type="dxa"/>
            <w:tcBorders>
              <w:top w:val="single" w:sz="4" w:space="0" w:color="A6A6A6"/>
              <w:bottom w:val="single" w:sz="4" w:space="0" w:color="A6A6A6"/>
            </w:tcBorders>
            <w:noWrap/>
            <w:hideMark/>
          </w:tcPr>
          <w:p w14:paraId="02F6FE43" w14:textId="77777777" w:rsidR="0065586C" w:rsidRPr="002029AF" w:rsidRDefault="0065586C" w:rsidP="003566F1">
            <w:pPr>
              <w:pStyle w:val="ARfintablebodyright"/>
            </w:pPr>
            <w:r w:rsidRPr="002029AF">
              <w:t>–</w:t>
            </w:r>
          </w:p>
        </w:tc>
        <w:tc>
          <w:tcPr>
            <w:tcW w:w="1304" w:type="dxa"/>
            <w:tcBorders>
              <w:top w:val="single" w:sz="4" w:space="0" w:color="A6A6A6"/>
              <w:bottom w:val="single" w:sz="4" w:space="0" w:color="A6A6A6"/>
            </w:tcBorders>
            <w:noWrap/>
            <w:hideMark/>
          </w:tcPr>
          <w:p w14:paraId="5884FECB" w14:textId="77777777" w:rsidR="0065586C" w:rsidRPr="002029AF" w:rsidRDefault="0065586C" w:rsidP="003566F1">
            <w:pPr>
              <w:pStyle w:val="ARfintablebodyright"/>
            </w:pPr>
            <w:r w:rsidRPr="002029AF">
              <w:t>–</w:t>
            </w:r>
          </w:p>
        </w:tc>
      </w:tr>
      <w:tr w:rsidR="0065586C" w:rsidRPr="002029AF" w14:paraId="7373BC06" w14:textId="77777777" w:rsidTr="003566F1">
        <w:tc>
          <w:tcPr>
            <w:tcW w:w="3572" w:type="dxa"/>
            <w:tcBorders>
              <w:top w:val="single" w:sz="4" w:space="0" w:color="A6A6A6"/>
              <w:bottom w:val="single" w:sz="4" w:space="0" w:color="A6A6A6"/>
            </w:tcBorders>
            <w:hideMark/>
          </w:tcPr>
          <w:p w14:paraId="1B97394D" w14:textId="22BF7275" w:rsidR="0065586C" w:rsidRPr="002029AF" w:rsidRDefault="0065586C" w:rsidP="003566F1">
            <w:pPr>
              <w:pStyle w:val="ARfintablebody"/>
            </w:pPr>
            <w:r w:rsidRPr="002029AF">
              <w:t>Capital</w:t>
            </w:r>
            <w:r w:rsidR="000A5329" w:rsidRPr="002029AF">
              <w:t xml:space="preserve"> </w:t>
            </w:r>
            <w:r w:rsidRPr="002029AF">
              <w:t>contributions</w:t>
            </w:r>
            <w:r w:rsidR="000A5329" w:rsidRPr="002029AF">
              <w:t xml:space="preserve"> </w:t>
            </w:r>
            <w:r w:rsidRPr="002029AF">
              <w:t>to</w:t>
            </w:r>
            <w:r w:rsidR="000A5329" w:rsidRPr="002029AF">
              <w:t xml:space="preserve"> </w:t>
            </w:r>
            <w:r w:rsidRPr="002029AF">
              <w:t>agencies</w:t>
            </w:r>
          </w:p>
        </w:tc>
        <w:tc>
          <w:tcPr>
            <w:tcW w:w="851" w:type="dxa"/>
            <w:tcBorders>
              <w:top w:val="single" w:sz="4" w:space="0" w:color="A6A6A6"/>
              <w:bottom w:val="single" w:sz="4" w:space="0" w:color="A6A6A6"/>
            </w:tcBorders>
            <w:hideMark/>
          </w:tcPr>
          <w:p w14:paraId="137E1166" w14:textId="77777777" w:rsidR="0065586C" w:rsidRPr="002029AF" w:rsidRDefault="0065586C" w:rsidP="003566F1">
            <w:pPr>
              <w:pStyle w:val="ARfintablebodyright"/>
            </w:pPr>
          </w:p>
        </w:tc>
        <w:tc>
          <w:tcPr>
            <w:tcW w:w="1304" w:type="dxa"/>
            <w:tcBorders>
              <w:top w:val="single" w:sz="4" w:space="0" w:color="A6A6A6"/>
              <w:bottom w:val="single" w:sz="4" w:space="0" w:color="A6A6A6"/>
            </w:tcBorders>
            <w:noWrap/>
            <w:hideMark/>
          </w:tcPr>
          <w:p w14:paraId="666E2D89" w14:textId="77777777" w:rsidR="0065586C" w:rsidRPr="002029AF" w:rsidRDefault="0065586C" w:rsidP="003566F1">
            <w:pPr>
              <w:pStyle w:val="ARfintablebodyright"/>
            </w:pPr>
            <w:r w:rsidRPr="002029AF">
              <w:t>–</w:t>
            </w:r>
          </w:p>
        </w:tc>
        <w:tc>
          <w:tcPr>
            <w:tcW w:w="1304" w:type="dxa"/>
            <w:tcBorders>
              <w:top w:val="single" w:sz="4" w:space="0" w:color="A6A6A6"/>
              <w:bottom w:val="single" w:sz="4" w:space="0" w:color="A6A6A6"/>
            </w:tcBorders>
            <w:noWrap/>
            <w:hideMark/>
          </w:tcPr>
          <w:p w14:paraId="2BD5E129" w14:textId="77777777" w:rsidR="0065586C" w:rsidRPr="002029AF" w:rsidRDefault="0065586C" w:rsidP="003566F1">
            <w:pPr>
              <w:pStyle w:val="ARfintablebodyright"/>
            </w:pPr>
            <w:r w:rsidRPr="002029AF">
              <w:t>–</w:t>
            </w:r>
          </w:p>
        </w:tc>
        <w:tc>
          <w:tcPr>
            <w:tcW w:w="1304" w:type="dxa"/>
            <w:tcBorders>
              <w:top w:val="single" w:sz="4" w:space="0" w:color="A6A6A6"/>
              <w:bottom w:val="single" w:sz="4" w:space="0" w:color="A6A6A6"/>
            </w:tcBorders>
            <w:noWrap/>
            <w:hideMark/>
          </w:tcPr>
          <w:p w14:paraId="472BB1C5" w14:textId="77777777" w:rsidR="0065586C" w:rsidRPr="002029AF" w:rsidRDefault="0065586C" w:rsidP="003566F1">
            <w:pPr>
              <w:pStyle w:val="ARfintablebodyright"/>
            </w:pPr>
            <w:r w:rsidRPr="002029AF">
              <w:t>(61.2)</w:t>
            </w:r>
          </w:p>
        </w:tc>
        <w:tc>
          <w:tcPr>
            <w:tcW w:w="1304" w:type="dxa"/>
            <w:tcBorders>
              <w:top w:val="single" w:sz="4" w:space="0" w:color="A6A6A6"/>
              <w:bottom w:val="single" w:sz="4" w:space="0" w:color="A6A6A6"/>
            </w:tcBorders>
            <w:noWrap/>
            <w:hideMark/>
          </w:tcPr>
          <w:p w14:paraId="724F9E2B" w14:textId="77777777" w:rsidR="0065586C" w:rsidRPr="002029AF" w:rsidRDefault="0065586C" w:rsidP="003566F1">
            <w:pPr>
              <w:pStyle w:val="ARfintablebodyright"/>
            </w:pPr>
            <w:r w:rsidRPr="002029AF">
              <w:t>(61.2)</w:t>
            </w:r>
          </w:p>
        </w:tc>
      </w:tr>
      <w:tr w:rsidR="0065586C" w:rsidRPr="002029AF" w14:paraId="4739A726" w14:textId="77777777" w:rsidTr="003566F1">
        <w:tc>
          <w:tcPr>
            <w:tcW w:w="3572" w:type="dxa"/>
            <w:tcBorders>
              <w:top w:val="single" w:sz="4" w:space="0" w:color="A6A6A6"/>
            </w:tcBorders>
            <w:hideMark/>
          </w:tcPr>
          <w:p w14:paraId="3A011B4E" w14:textId="023A6B7E" w:rsidR="0065586C" w:rsidRPr="002029AF" w:rsidRDefault="0065586C" w:rsidP="003566F1">
            <w:pPr>
              <w:pStyle w:val="ARfintablebody"/>
            </w:pPr>
            <w:r w:rsidRPr="002029AF">
              <w:t>Capital</w:t>
            </w:r>
            <w:r w:rsidR="000A5329" w:rsidRPr="002029AF">
              <w:t xml:space="preserve"> </w:t>
            </w:r>
            <w:r w:rsidRPr="002029AF">
              <w:t>transferred</w:t>
            </w:r>
            <w:r w:rsidR="000A5329" w:rsidRPr="002029AF">
              <w:t xml:space="preserve"> </w:t>
            </w:r>
            <w:r w:rsidRPr="002029AF">
              <w:t>to</w:t>
            </w:r>
            <w:r w:rsidR="000A5329" w:rsidRPr="002029AF">
              <w:t xml:space="preserve"> </w:t>
            </w:r>
            <w:r w:rsidRPr="002029AF">
              <w:t>administered</w:t>
            </w:r>
            <w:r w:rsidR="000A5329" w:rsidRPr="002029AF">
              <w:t xml:space="preserve"> </w:t>
            </w:r>
            <w:r w:rsidRPr="002029AF">
              <w:t>entity</w:t>
            </w:r>
          </w:p>
        </w:tc>
        <w:tc>
          <w:tcPr>
            <w:tcW w:w="851" w:type="dxa"/>
            <w:tcBorders>
              <w:top w:val="single" w:sz="4" w:space="0" w:color="A6A6A6"/>
            </w:tcBorders>
            <w:hideMark/>
          </w:tcPr>
          <w:p w14:paraId="5781532E" w14:textId="77777777" w:rsidR="0065586C" w:rsidRPr="002029AF" w:rsidRDefault="0065586C" w:rsidP="003566F1">
            <w:pPr>
              <w:pStyle w:val="ARfintablebodyright"/>
            </w:pPr>
          </w:p>
        </w:tc>
        <w:tc>
          <w:tcPr>
            <w:tcW w:w="1304" w:type="dxa"/>
            <w:tcBorders>
              <w:top w:val="single" w:sz="4" w:space="0" w:color="A6A6A6"/>
            </w:tcBorders>
            <w:noWrap/>
            <w:hideMark/>
          </w:tcPr>
          <w:p w14:paraId="1760EF5E" w14:textId="77777777" w:rsidR="0065586C" w:rsidRPr="002029AF" w:rsidRDefault="0065586C" w:rsidP="003566F1">
            <w:pPr>
              <w:pStyle w:val="ARfintablebodyright"/>
            </w:pPr>
            <w:r w:rsidRPr="002029AF">
              <w:t>–</w:t>
            </w:r>
          </w:p>
        </w:tc>
        <w:tc>
          <w:tcPr>
            <w:tcW w:w="1304" w:type="dxa"/>
            <w:tcBorders>
              <w:top w:val="single" w:sz="4" w:space="0" w:color="A6A6A6"/>
            </w:tcBorders>
            <w:noWrap/>
            <w:hideMark/>
          </w:tcPr>
          <w:p w14:paraId="7CCBB2F3" w14:textId="77777777" w:rsidR="0065586C" w:rsidRPr="002029AF" w:rsidRDefault="0065586C" w:rsidP="003566F1">
            <w:pPr>
              <w:pStyle w:val="ARfintablebodyright"/>
            </w:pPr>
            <w:r w:rsidRPr="002029AF">
              <w:t>–</w:t>
            </w:r>
          </w:p>
        </w:tc>
        <w:tc>
          <w:tcPr>
            <w:tcW w:w="1304" w:type="dxa"/>
            <w:tcBorders>
              <w:top w:val="single" w:sz="4" w:space="0" w:color="A6A6A6"/>
            </w:tcBorders>
            <w:noWrap/>
            <w:hideMark/>
          </w:tcPr>
          <w:p w14:paraId="2D9D1142" w14:textId="77777777" w:rsidR="0065586C" w:rsidRPr="002029AF" w:rsidRDefault="0065586C" w:rsidP="003566F1">
            <w:pPr>
              <w:pStyle w:val="ARfintablebodyright"/>
            </w:pPr>
            <w:r w:rsidRPr="002029AF">
              <w:t>(9.2)</w:t>
            </w:r>
          </w:p>
        </w:tc>
        <w:tc>
          <w:tcPr>
            <w:tcW w:w="1304" w:type="dxa"/>
            <w:tcBorders>
              <w:top w:val="single" w:sz="4" w:space="0" w:color="A6A6A6"/>
            </w:tcBorders>
            <w:noWrap/>
            <w:hideMark/>
          </w:tcPr>
          <w:p w14:paraId="7DABE9EA" w14:textId="77777777" w:rsidR="0065586C" w:rsidRPr="002029AF" w:rsidRDefault="0065586C" w:rsidP="003566F1">
            <w:pPr>
              <w:pStyle w:val="ARfintablebodyright"/>
            </w:pPr>
            <w:r w:rsidRPr="002029AF">
              <w:t>(9.2)</w:t>
            </w:r>
          </w:p>
        </w:tc>
      </w:tr>
      <w:tr w:rsidR="0065586C" w:rsidRPr="002029AF" w14:paraId="48C184C0" w14:textId="77777777" w:rsidTr="003566F1">
        <w:tc>
          <w:tcPr>
            <w:tcW w:w="3572" w:type="dxa"/>
            <w:hideMark/>
          </w:tcPr>
          <w:p w14:paraId="09CE4170" w14:textId="00EA3A53" w:rsidR="0065586C" w:rsidRPr="002029AF" w:rsidRDefault="0065586C" w:rsidP="003566F1">
            <w:pPr>
              <w:pStyle w:val="ARfintablebodybold"/>
            </w:pPr>
            <w:r w:rsidRPr="002029AF">
              <w:t>Balance</w:t>
            </w:r>
            <w:r w:rsidR="000A5329" w:rsidRPr="002029AF">
              <w:t xml:space="preserve"> </w:t>
            </w:r>
            <w:r w:rsidRPr="002029AF">
              <w:t>at</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p>
        </w:tc>
        <w:tc>
          <w:tcPr>
            <w:tcW w:w="851" w:type="dxa"/>
            <w:hideMark/>
          </w:tcPr>
          <w:p w14:paraId="48B116FD" w14:textId="77777777" w:rsidR="0065586C" w:rsidRPr="002029AF" w:rsidRDefault="0065586C" w:rsidP="003566F1">
            <w:pPr>
              <w:pStyle w:val="ARfintablebodyright"/>
            </w:pPr>
          </w:p>
        </w:tc>
        <w:tc>
          <w:tcPr>
            <w:tcW w:w="1304" w:type="dxa"/>
            <w:noWrap/>
            <w:hideMark/>
          </w:tcPr>
          <w:p w14:paraId="4CCBD5AE" w14:textId="77777777" w:rsidR="0065586C" w:rsidRPr="002029AF" w:rsidRDefault="0065586C" w:rsidP="003566F1">
            <w:pPr>
              <w:pStyle w:val="ARfintablebodyrightbold"/>
            </w:pPr>
            <w:r w:rsidRPr="002029AF">
              <w:t>7,377.2</w:t>
            </w:r>
          </w:p>
        </w:tc>
        <w:tc>
          <w:tcPr>
            <w:tcW w:w="1304" w:type="dxa"/>
            <w:noWrap/>
            <w:hideMark/>
          </w:tcPr>
          <w:p w14:paraId="42D15205" w14:textId="77777777" w:rsidR="0065586C" w:rsidRPr="002029AF" w:rsidRDefault="0065586C" w:rsidP="003566F1">
            <w:pPr>
              <w:pStyle w:val="ARfintablebodyrightbold"/>
            </w:pPr>
            <w:r w:rsidRPr="002029AF">
              <w:t>2,145.0</w:t>
            </w:r>
          </w:p>
        </w:tc>
        <w:tc>
          <w:tcPr>
            <w:tcW w:w="1304" w:type="dxa"/>
            <w:noWrap/>
            <w:hideMark/>
          </w:tcPr>
          <w:p w14:paraId="7344738A" w14:textId="77777777" w:rsidR="0065586C" w:rsidRPr="002029AF" w:rsidRDefault="0065586C" w:rsidP="003566F1">
            <w:pPr>
              <w:pStyle w:val="ARfintablebodyrightbold"/>
            </w:pPr>
            <w:r w:rsidRPr="002029AF">
              <w:t>22,415.0</w:t>
            </w:r>
          </w:p>
        </w:tc>
        <w:tc>
          <w:tcPr>
            <w:tcW w:w="1304" w:type="dxa"/>
            <w:noWrap/>
            <w:hideMark/>
          </w:tcPr>
          <w:p w14:paraId="24115A4A" w14:textId="77777777" w:rsidR="0065586C" w:rsidRPr="002029AF" w:rsidRDefault="0065586C" w:rsidP="003566F1">
            <w:pPr>
              <w:pStyle w:val="ARfintablebodyrightbold"/>
            </w:pPr>
            <w:r w:rsidRPr="002029AF">
              <w:t>31,937.2</w:t>
            </w:r>
          </w:p>
        </w:tc>
      </w:tr>
    </w:tbl>
    <w:p w14:paraId="430E989C" w14:textId="4E04E1B4" w:rsidR="0065586C" w:rsidRPr="002029AF" w:rsidRDefault="0065586C" w:rsidP="003566F1">
      <w:pPr>
        <w:pStyle w:val="ARfintablefootnote"/>
      </w:pPr>
      <w:r w:rsidRPr="002029AF">
        <w:t>The</w:t>
      </w:r>
      <w:r w:rsidR="000A5329" w:rsidRPr="002029AF">
        <w:t xml:space="preserve"> </w:t>
      </w:r>
      <w:r w:rsidRPr="002029AF">
        <w:t>statement</w:t>
      </w:r>
      <w:r w:rsidR="000A5329" w:rsidRPr="002029AF">
        <w:t xml:space="preserve"> </w:t>
      </w:r>
      <w:r w:rsidRPr="002029AF">
        <w:t>of</w:t>
      </w:r>
      <w:r w:rsidR="000A5329" w:rsidRPr="002029AF">
        <w:t xml:space="preserve"> </w:t>
      </w:r>
      <w:r w:rsidRPr="002029AF">
        <w:t>changes</w:t>
      </w:r>
      <w:r w:rsidR="000A5329" w:rsidRPr="002029AF">
        <w:t xml:space="preserve"> </w:t>
      </w:r>
      <w:r w:rsidRPr="002029AF">
        <w:t>in</w:t>
      </w:r>
      <w:r w:rsidR="000A5329" w:rsidRPr="002029AF">
        <w:t xml:space="preserve"> </w:t>
      </w:r>
      <w:r w:rsidRPr="002029AF">
        <w:t>equity</w:t>
      </w:r>
      <w:r w:rsidR="000A5329" w:rsidRPr="002029AF">
        <w:t xml:space="preserve"> </w:t>
      </w:r>
      <w:r w:rsidRPr="002029AF">
        <w:t>should</w:t>
      </w:r>
      <w:r w:rsidR="000A5329" w:rsidRPr="002029AF">
        <w:t xml:space="preserve"> </w:t>
      </w:r>
      <w:r w:rsidRPr="002029AF">
        <w:t>be</w:t>
      </w:r>
      <w:r w:rsidR="000A5329" w:rsidRPr="002029AF">
        <w:t xml:space="preserve"> </w:t>
      </w:r>
      <w:r w:rsidRPr="002029AF">
        <w:t>read</w:t>
      </w:r>
      <w:r w:rsidR="000A5329" w:rsidRPr="002029AF">
        <w:t xml:space="preserve"> </w:t>
      </w:r>
      <w:r w:rsidRPr="002029AF">
        <w:t>in</w:t>
      </w:r>
      <w:r w:rsidR="000A5329" w:rsidRPr="002029AF">
        <w:t xml:space="preserve"> </w:t>
      </w:r>
      <w:r w:rsidRPr="002029AF">
        <w:t>conjunction</w:t>
      </w:r>
      <w:r w:rsidR="000A5329" w:rsidRPr="002029AF">
        <w:t xml:space="preserve"> </w:t>
      </w:r>
      <w:r w:rsidRPr="002029AF">
        <w:t>with</w:t>
      </w:r>
      <w:r w:rsidR="000A5329" w:rsidRPr="002029AF">
        <w:t xml:space="preserve"> </w:t>
      </w:r>
      <w:r w:rsidRPr="002029AF">
        <w:t>the</w:t>
      </w:r>
      <w:r w:rsidR="000A5329" w:rsidRPr="002029AF">
        <w:t xml:space="preserve"> </w:t>
      </w:r>
      <w:r w:rsidRPr="002029AF">
        <w:t>notes</w:t>
      </w:r>
      <w:r w:rsidR="000A5329" w:rsidRPr="002029AF">
        <w:t xml:space="preserve"> </w:t>
      </w:r>
      <w:r w:rsidRPr="002029AF">
        <w:t>to</w:t>
      </w:r>
      <w:r w:rsidR="000A5329" w:rsidRPr="002029AF">
        <w:t xml:space="preserve"> </w:t>
      </w:r>
      <w:r w:rsidRPr="002029AF">
        <w:t>the</w:t>
      </w:r>
      <w:r w:rsidR="000A5329" w:rsidRPr="002029AF">
        <w:t xml:space="preserve"> </w:t>
      </w:r>
      <w:r w:rsidRPr="002029AF">
        <w:t>financial</w:t>
      </w:r>
      <w:r w:rsidR="000A5329" w:rsidRPr="002029AF">
        <w:t xml:space="preserve"> </w:t>
      </w:r>
      <w:r w:rsidRPr="002029AF">
        <w:t>statements.</w:t>
      </w:r>
    </w:p>
    <w:p w14:paraId="220170DD" w14:textId="77777777" w:rsidR="0065586C" w:rsidRPr="002029AF" w:rsidRDefault="0065586C" w:rsidP="003566F1">
      <w:pPr>
        <w:pStyle w:val="ARbody"/>
      </w:pPr>
      <w:bookmarkStart w:id="259" w:name="_Toc39136685"/>
      <w:bookmarkStart w:id="260" w:name="_Toc393360771"/>
      <w:bookmarkStart w:id="261" w:name="_Toc393784905"/>
      <w:r w:rsidRPr="002029AF">
        <w:br w:type="page"/>
      </w:r>
    </w:p>
    <w:p w14:paraId="2C53A01C" w14:textId="57311BD0" w:rsidR="0065586C" w:rsidRPr="002029AF" w:rsidRDefault="0065586C" w:rsidP="003566F1">
      <w:pPr>
        <w:pStyle w:val="Heading2"/>
      </w:pPr>
      <w:bookmarkStart w:id="262" w:name="_Ref51926313"/>
      <w:bookmarkStart w:id="263" w:name="_Ref52454337"/>
      <w:bookmarkStart w:id="264" w:name="_Ref52454369"/>
      <w:bookmarkStart w:id="265" w:name="_Toc54690810"/>
      <w:r w:rsidRPr="002029AF">
        <w:lastRenderedPageBreak/>
        <w:t>Notes</w:t>
      </w:r>
      <w:r w:rsidR="000A5329" w:rsidRPr="002029AF">
        <w:t xml:space="preserve"> </w:t>
      </w:r>
      <w:r w:rsidRPr="002029AF">
        <w:t>to</w:t>
      </w:r>
      <w:r w:rsidR="000A5329" w:rsidRPr="002029AF">
        <w:t xml:space="preserve"> </w:t>
      </w:r>
      <w:r w:rsidRPr="002029AF">
        <w:t>and</w:t>
      </w:r>
      <w:r w:rsidR="000A5329" w:rsidRPr="002029AF">
        <w:t xml:space="preserve"> </w:t>
      </w:r>
      <w:r w:rsidRPr="002029AF">
        <w:t>forming</w:t>
      </w:r>
      <w:r w:rsidR="000A5329" w:rsidRPr="002029AF">
        <w:t xml:space="preserve"> </w:t>
      </w:r>
      <w:r w:rsidRPr="002029AF">
        <w:t>part</w:t>
      </w:r>
      <w:r w:rsidR="000A5329" w:rsidRPr="002029AF">
        <w:t xml:space="preserve"> </w:t>
      </w:r>
      <w:r w:rsidRPr="002029AF">
        <w:t>of</w:t>
      </w:r>
      <w:r w:rsidR="000A5329" w:rsidRPr="002029AF">
        <w:t xml:space="preserve"> </w:t>
      </w:r>
      <w:r w:rsidRPr="002029AF">
        <w:t>the</w:t>
      </w:r>
      <w:r w:rsidR="000A5329" w:rsidRPr="002029AF">
        <w:t xml:space="preserve"> </w:t>
      </w:r>
      <w:r w:rsidRPr="002029AF">
        <w:t>financial</w:t>
      </w:r>
      <w:r w:rsidR="000A5329" w:rsidRPr="002029AF">
        <w:t xml:space="preserve"> </w:t>
      </w:r>
      <w:r w:rsidRPr="002029AF">
        <w:t>statements</w:t>
      </w:r>
      <w:r w:rsidRPr="002029AF">
        <w:br/>
        <w:t>for</w:t>
      </w:r>
      <w:r w:rsidR="000A5329" w:rsidRPr="002029AF">
        <w:t xml:space="preserve"> </w:t>
      </w:r>
      <w:r w:rsidRPr="002029AF">
        <w:t>the</w:t>
      </w:r>
      <w:r w:rsidR="000A5329" w:rsidRPr="002029AF">
        <w:t xml:space="preserve"> </w:t>
      </w:r>
      <w:r w:rsidRPr="002029AF">
        <w:t>financial</w:t>
      </w:r>
      <w:r w:rsidR="000A5329" w:rsidRPr="002029AF">
        <w:t xml:space="preserve"> </w:t>
      </w:r>
      <w:r w:rsidRPr="002029AF">
        <w:t>year</w:t>
      </w:r>
      <w:r w:rsidR="000A5329" w:rsidRPr="002029AF">
        <w:t xml:space="preserve"> </w:t>
      </w:r>
      <w:r w:rsidRPr="002029AF">
        <w:t>ended</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bookmarkEnd w:id="262"/>
      <w:bookmarkEnd w:id="263"/>
      <w:bookmarkEnd w:id="264"/>
      <w:bookmarkEnd w:id="265"/>
    </w:p>
    <w:p w14:paraId="1F321323" w14:textId="600453AF" w:rsidR="0065586C" w:rsidRPr="002029AF" w:rsidRDefault="0065586C" w:rsidP="003566F1">
      <w:pPr>
        <w:pStyle w:val="Heading3"/>
      </w:pPr>
      <w:bookmarkStart w:id="266" w:name="_Toc39242129"/>
      <w:bookmarkStart w:id="267" w:name="_Ref52274950"/>
      <w:bookmarkStart w:id="268" w:name="_Toc54690811"/>
      <w:r w:rsidRPr="002029AF">
        <w:t>1.</w:t>
      </w:r>
      <w:r w:rsidR="000A5329" w:rsidRPr="002029AF">
        <w:t xml:space="preserve"> </w:t>
      </w:r>
      <w:r w:rsidRPr="002029AF">
        <w:t>About</w:t>
      </w:r>
      <w:r w:rsidR="000A5329" w:rsidRPr="002029AF">
        <w:t xml:space="preserve"> </w:t>
      </w:r>
      <w:r w:rsidRPr="002029AF">
        <w:t>this</w:t>
      </w:r>
      <w:r w:rsidR="000A5329" w:rsidRPr="002029AF">
        <w:t xml:space="preserve"> </w:t>
      </w:r>
      <w:r w:rsidRPr="002029AF">
        <w:t>report</w:t>
      </w:r>
      <w:bookmarkEnd w:id="259"/>
      <w:bookmarkEnd w:id="266"/>
      <w:bookmarkEnd w:id="267"/>
      <w:bookmarkEnd w:id="268"/>
    </w:p>
    <w:bookmarkEnd w:id="260"/>
    <w:bookmarkEnd w:id="261"/>
    <w:p w14:paraId="5F14EBB2" w14:textId="533E702C" w:rsidR="0065586C" w:rsidRPr="002029AF" w:rsidRDefault="0065586C" w:rsidP="003566F1">
      <w:pPr>
        <w:pStyle w:val="ARbody"/>
        <w:rPr>
          <w:lang w:eastAsia="en-AU"/>
        </w:rPr>
      </w:pPr>
      <w:r w:rsidRPr="002029AF">
        <w:rPr>
          <w:lang w:eastAsia="en-AU"/>
        </w:rPr>
        <w:t>The</w:t>
      </w:r>
      <w:r w:rsidR="000A5329" w:rsidRPr="002029AF">
        <w:rPr>
          <w:lang w:eastAsia="en-AU"/>
        </w:rPr>
        <w:t xml:space="preserve"> </w:t>
      </w:r>
      <w:r w:rsidRPr="002029AF">
        <w:rPr>
          <w:lang w:eastAsia="en-AU"/>
        </w:rPr>
        <w:t>Department</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Health</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Human</w:t>
      </w:r>
      <w:r w:rsidR="000A5329" w:rsidRPr="002029AF">
        <w:rPr>
          <w:lang w:eastAsia="en-AU"/>
        </w:rPr>
        <w:t xml:space="preserve"> </w:t>
      </w:r>
      <w:r w:rsidRPr="002029AF">
        <w:rPr>
          <w:lang w:eastAsia="en-AU"/>
        </w:rPr>
        <w:t>Services</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department)</w:t>
      </w:r>
      <w:r w:rsidR="000A5329" w:rsidRPr="002029AF">
        <w:rPr>
          <w:lang w:eastAsia="en-AU"/>
        </w:rPr>
        <w:t xml:space="preserve"> </w:t>
      </w:r>
      <w:r w:rsidRPr="002029AF">
        <w:rPr>
          <w:lang w:eastAsia="en-AU"/>
        </w:rPr>
        <w:t>is</w:t>
      </w:r>
      <w:r w:rsidR="000A5329" w:rsidRPr="002029AF">
        <w:rPr>
          <w:lang w:eastAsia="en-AU"/>
        </w:rPr>
        <w:t xml:space="preserve"> </w:t>
      </w:r>
      <w:r w:rsidRPr="002029AF">
        <w:rPr>
          <w:lang w:eastAsia="en-AU"/>
        </w:rPr>
        <w:t>a</w:t>
      </w:r>
      <w:r w:rsidR="000A5329" w:rsidRPr="002029AF">
        <w:rPr>
          <w:lang w:eastAsia="en-AU"/>
        </w:rPr>
        <w:t xml:space="preserve"> </w:t>
      </w:r>
      <w:r w:rsidRPr="002029AF">
        <w:rPr>
          <w:lang w:eastAsia="en-AU"/>
        </w:rPr>
        <w:t>government</w:t>
      </w:r>
      <w:r w:rsidR="000A5329" w:rsidRPr="002029AF">
        <w:rPr>
          <w:lang w:eastAsia="en-AU"/>
        </w:rPr>
        <w:t xml:space="preserve"> </w:t>
      </w:r>
      <w:r w:rsidRPr="002029AF">
        <w:rPr>
          <w:lang w:eastAsia="en-AU"/>
        </w:rPr>
        <w:t>department</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State</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Victoria,</w:t>
      </w:r>
      <w:r w:rsidR="000A5329" w:rsidRPr="002029AF">
        <w:rPr>
          <w:lang w:eastAsia="en-AU"/>
        </w:rPr>
        <w:t xml:space="preserve"> </w:t>
      </w:r>
      <w:r w:rsidRPr="002029AF">
        <w:rPr>
          <w:lang w:eastAsia="en-AU"/>
        </w:rPr>
        <w:t>established</w:t>
      </w:r>
      <w:r w:rsidR="000A5329" w:rsidRPr="002029AF">
        <w:rPr>
          <w:lang w:eastAsia="en-AU"/>
        </w:rPr>
        <w:t xml:space="preserve"> </w:t>
      </w:r>
      <w:r w:rsidRPr="002029AF">
        <w:rPr>
          <w:lang w:eastAsia="en-AU"/>
        </w:rPr>
        <w:t>pursuant</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an</w:t>
      </w:r>
      <w:r w:rsidR="000A5329" w:rsidRPr="002029AF">
        <w:rPr>
          <w:lang w:eastAsia="en-AU"/>
        </w:rPr>
        <w:t xml:space="preserve"> </w:t>
      </w:r>
      <w:r w:rsidRPr="002029AF">
        <w:rPr>
          <w:lang w:eastAsia="en-AU"/>
        </w:rPr>
        <w:t>order</w:t>
      </w:r>
      <w:r w:rsidR="000A5329" w:rsidRPr="002029AF">
        <w:rPr>
          <w:lang w:eastAsia="en-AU"/>
        </w:rPr>
        <w:t xml:space="preserve"> </w:t>
      </w:r>
      <w:r w:rsidRPr="002029AF">
        <w:rPr>
          <w:lang w:eastAsia="en-AU"/>
        </w:rPr>
        <w:t>made</w:t>
      </w:r>
      <w:r w:rsidR="000A5329" w:rsidRPr="002029AF">
        <w:rPr>
          <w:lang w:eastAsia="en-AU"/>
        </w:rPr>
        <w:t xml:space="preserve"> </w:t>
      </w:r>
      <w:r w:rsidRPr="002029AF">
        <w:rPr>
          <w:lang w:eastAsia="en-AU"/>
        </w:rPr>
        <w:t>by</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Premier</w:t>
      </w:r>
      <w:r w:rsidR="000A5329" w:rsidRPr="002029AF">
        <w:rPr>
          <w:lang w:eastAsia="en-AU"/>
        </w:rPr>
        <w:t xml:space="preserve"> </w:t>
      </w:r>
      <w:r w:rsidRPr="002029AF">
        <w:rPr>
          <w:lang w:eastAsia="en-AU"/>
        </w:rPr>
        <w:t>under</w:t>
      </w:r>
      <w:r w:rsidR="000A5329" w:rsidRPr="002029AF">
        <w:rPr>
          <w:lang w:eastAsia="en-AU"/>
        </w:rPr>
        <w:t xml:space="preserve"> </w:t>
      </w:r>
      <w:r w:rsidRPr="002029AF">
        <w:rPr>
          <w:lang w:eastAsia="en-AU"/>
        </w:rPr>
        <w:t>the</w:t>
      </w:r>
      <w:r w:rsidR="000A5329" w:rsidRPr="002029AF">
        <w:rPr>
          <w:lang w:eastAsia="en-AU"/>
        </w:rPr>
        <w:t xml:space="preserve"> </w:t>
      </w:r>
      <w:r w:rsidRPr="002029AF">
        <w:rPr>
          <w:rStyle w:val="Emphasis"/>
        </w:rPr>
        <w:t>Administrative</w:t>
      </w:r>
      <w:r w:rsidR="000A5329" w:rsidRPr="002029AF">
        <w:rPr>
          <w:rStyle w:val="Emphasis"/>
        </w:rPr>
        <w:t xml:space="preserve"> </w:t>
      </w:r>
      <w:r w:rsidRPr="002029AF">
        <w:rPr>
          <w:rStyle w:val="Emphasis"/>
        </w:rPr>
        <w:t>Arrangements</w:t>
      </w:r>
      <w:r w:rsidR="000A5329" w:rsidRPr="002029AF">
        <w:rPr>
          <w:rStyle w:val="Emphasis"/>
        </w:rPr>
        <w:t xml:space="preserve"> </w:t>
      </w:r>
      <w:r w:rsidRPr="002029AF">
        <w:rPr>
          <w:rStyle w:val="Emphasis"/>
        </w:rPr>
        <w:t>Act</w:t>
      </w:r>
      <w:r w:rsidR="000A5329" w:rsidRPr="002029AF">
        <w:rPr>
          <w:rStyle w:val="Emphasis"/>
        </w:rPr>
        <w:t xml:space="preserve"> </w:t>
      </w:r>
      <w:r w:rsidRPr="002029AF">
        <w:rPr>
          <w:rStyle w:val="Emphasis"/>
        </w:rPr>
        <w:t>(No.</w:t>
      </w:r>
      <w:r w:rsidR="000A5329" w:rsidRPr="002029AF">
        <w:rPr>
          <w:rStyle w:val="Emphasis"/>
        </w:rPr>
        <w:t xml:space="preserve"> </w:t>
      </w:r>
      <w:r w:rsidRPr="002029AF">
        <w:rPr>
          <w:rStyle w:val="Emphasis"/>
        </w:rPr>
        <w:t>202)</w:t>
      </w:r>
      <w:r w:rsidR="000A5329" w:rsidRPr="002029AF">
        <w:rPr>
          <w:rStyle w:val="Emphasis"/>
        </w:rPr>
        <w:t xml:space="preserve"> </w:t>
      </w:r>
      <w:r w:rsidRPr="002029AF">
        <w:rPr>
          <w:rStyle w:val="Emphasis"/>
        </w:rPr>
        <w:t>2009</w:t>
      </w:r>
      <w:r w:rsidRPr="002029AF">
        <w:rPr>
          <w:lang w:eastAsia="en-AU"/>
        </w:rPr>
        <w:t>.</w:t>
      </w:r>
      <w:r w:rsidR="000A5329" w:rsidRPr="002029AF">
        <w:rPr>
          <w:lang w:eastAsia="en-AU"/>
        </w:rPr>
        <w:t xml:space="preserve"> </w:t>
      </w:r>
      <w:r w:rsidRPr="002029AF">
        <w:rPr>
          <w:lang w:eastAsia="en-AU"/>
        </w:rPr>
        <w:t>It</w:t>
      </w:r>
      <w:r w:rsidR="000A5329" w:rsidRPr="002029AF">
        <w:rPr>
          <w:lang w:eastAsia="en-AU"/>
        </w:rPr>
        <w:t xml:space="preserve"> </w:t>
      </w:r>
      <w:r w:rsidRPr="002029AF">
        <w:rPr>
          <w:lang w:eastAsia="en-AU"/>
        </w:rPr>
        <w:t>is</w:t>
      </w:r>
      <w:r w:rsidR="000A5329" w:rsidRPr="002029AF">
        <w:rPr>
          <w:lang w:eastAsia="en-AU"/>
        </w:rPr>
        <w:t xml:space="preserve"> </w:t>
      </w:r>
      <w:r w:rsidRPr="002029AF">
        <w:rPr>
          <w:lang w:eastAsia="en-AU"/>
        </w:rPr>
        <w:t>an</w:t>
      </w:r>
      <w:r w:rsidR="000A5329" w:rsidRPr="002029AF">
        <w:rPr>
          <w:lang w:eastAsia="en-AU"/>
        </w:rPr>
        <w:t xml:space="preserve"> </w:t>
      </w:r>
      <w:r w:rsidRPr="002029AF">
        <w:rPr>
          <w:lang w:eastAsia="en-AU"/>
        </w:rPr>
        <w:t>administrative</w:t>
      </w:r>
      <w:r w:rsidR="000A5329" w:rsidRPr="002029AF">
        <w:rPr>
          <w:lang w:eastAsia="en-AU"/>
        </w:rPr>
        <w:t xml:space="preserve"> </w:t>
      </w:r>
      <w:r w:rsidRPr="002029AF">
        <w:rPr>
          <w:lang w:eastAsia="en-AU"/>
        </w:rPr>
        <w:t>agency</w:t>
      </w:r>
      <w:r w:rsidR="000A5329" w:rsidRPr="002029AF">
        <w:rPr>
          <w:lang w:eastAsia="en-AU"/>
        </w:rPr>
        <w:t xml:space="preserve"> </w:t>
      </w:r>
      <w:r w:rsidRPr="002029AF">
        <w:rPr>
          <w:lang w:eastAsia="en-AU"/>
        </w:rPr>
        <w:t>acting</w:t>
      </w:r>
      <w:r w:rsidR="000A5329" w:rsidRPr="002029AF">
        <w:rPr>
          <w:lang w:eastAsia="en-AU"/>
        </w:rPr>
        <w:t xml:space="preserve"> </w:t>
      </w:r>
      <w:r w:rsidRPr="002029AF">
        <w:rPr>
          <w:lang w:eastAsia="en-AU"/>
        </w:rPr>
        <w:t>on</w:t>
      </w:r>
      <w:r w:rsidR="000A5329" w:rsidRPr="002029AF">
        <w:rPr>
          <w:lang w:eastAsia="en-AU"/>
        </w:rPr>
        <w:t xml:space="preserve"> </w:t>
      </w:r>
      <w:r w:rsidRPr="002029AF">
        <w:rPr>
          <w:lang w:eastAsia="en-AU"/>
        </w:rPr>
        <w:t>behalf</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Crown.</w:t>
      </w:r>
    </w:p>
    <w:p w14:paraId="40A2FE88" w14:textId="6C467E10" w:rsidR="0065586C" w:rsidRPr="002029AF" w:rsidRDefault="0065586C" w:rsidP="003566F1">
      <w:pPr>
        <w:pStyle w:val="ARbody"/>
        <w:rPr>
          <w:lang w:eastAsia="en-AU"/>
        </w:rPr>
      </w:pPr>
      <w:r w:rsidRPr="002029AF">
        <w:rPr>
          <w:lang w:eastAsia="en-AU"/>
        </w:rPr>
        <w:t>Its</w:t>
      </w:r>
      <w:r w:rsidR="000A5329" w:rsidRPr="002029AF">
        <w:rPr>
          <w:lang w:eastAsia="en-AU"/>
        </w:rPr>
        <w:t xml:space="preserve"> </w:t>
      </w:r>
      <w:r w:rsidRPr="002029AF">
        <w:rPr>
          <w:lang w:eastAsia="en-AU"/>
        </w:rPr>
        <w:t>principal</w:t>
      </w:r>
      <w:r w:rsidR="000A5329" w:rsidRPr="002029AF">
        <w:rPr>
          <w:lang w:eastAsia="en-AU"/>
        </w:rPr>
        <w:t xml:space="preserve"> </w:t>
      </w:r>
      <w:r w:rsidRPr="002029AF">
        <w:rPr>
          <w:lang w:eastAsia="en-AU"/>
        </w:rPr>
        <w:t>address</w:t>
      </w:r>
      <w:r w:rsidR="000A5329" w:rsidRPr="002029AF">
        <w:rPr>
          <w:lang w:eastAsia="en-AU"/>
        </w:rPr>
        <w:t xml:space="preserve"> </w:t>
      </w:r>
      <w:r w:rsidRPr="002029AF">
        <w:rPr>
          <w:lang w:eastAsia="en-AU"/>
        </w:rPr>
        <w:t>is:</w:t>
      </w:r>
    </w:p>
    <w:p w14:paraId="480B6C57" w14:textId="342C69BB" w:rsidR="0065586C" w:rsidRPr="002029AF" w:rsidRDefault="0065586C" w:rsidP="003566F1">
      <w:pPr>
        <w:pStyle w:val="ARbody"/>
        <w:rPr>
          <w:lang w:eastAsia="en-AU"/>
        </w:rPr>
      </w:pPr>
      <w:r w:rsidRPr="002029AF">
        <w:rPr>
          <w:lang w:eastAsia="en-AU"/>
        </w:rPr>
        <w:t>Department</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Health</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Human</w:t>
      </w:r>
      <w:r w:rsidR="000A5329" w:rsidRPr="002029AF">
        <w:rPr>
          <w:lang w:eastAsia="en-AU"/>
        </w:rPr>
        <w:t xml:space="preserve"> </w:t>
      </w:r>
      <w:r w:rsidRPr="002029AF">
        <w:rPr>
          <w:lang w:eastAsia="en-AU"/>
        </w:rPr>
        <w:t>Services</w:t>
      </w:r>
      <w:r w:rsidRPr="002029AF">
        <w:rPr>
          <w:lang w:eastAsia="en-AU"/>
        </w:rPr>
        <w:br/>
        <w:t>50</w:t>
      </w:r>
      <w:r w:rsidR="000A5329" w:rsidRPr="002029AF">
        <w:rPr>
          <w:lang w:eastAsia="en-AU"/>
        </w:rPr>
        <w:t xml:space="preserve"> </w:t>
      </w:r>
      <w:r w:rsidRPr="002029AF">
        <w:rPr>
          <w:lang w:eastAsia="en-AU"/>
        </w:rPr>
        <w:t>Lonsdale</w:t>
      </w:r>
      <w:r w:rsidR="000A5329" w:rsidRPr="002029AF">
        <w:rPr>
          <w:lang w:eastAsia="en-AU"/>
        </w:rPr>
        <w:t xml:space="preserve"> </w:t>
      </w:r>
      <w:r w:rsidRPr="002029AF">
        <w:rPr>
          <w:lang w:eastAsia="en-AU"/>
        </w:rPr>
        <w:t>Street</w:t>
      </w:r>
      <w:r w:rsidRPr="002029AF">
        <w:rPr>
          <w:lang w:eastAsia="en-AU"/>
        </w:rPr>
        <w:br/>
        <w:t>Melbourne</w:t>
      </w:r>
      <w:r w:rsidR="000A5329" w:rsidRPr="002029AF">
        <w:rPr>
          <w:lang w:eastAsia="en-AU"/>
        </w:rPr>
        <w:t xml:space="preserve"> </w:t>
      </w:r>
      <w:r w:rsidRPr="002029AF">
        <w:rPr>
          <w:lang w:eastAsia="en-AU"/>
        </w:rPr>
        <w:t>VIC</w:t>
      </w:r>
      <w:r w:rsidR="000A5329" w:rsidRPr="002029AF">
        <w:rPr>
          <w:lang w:eastAsia="en-AU"/>
        </w:rPr>
        <w:t xml:space="preserve"> </w:t>
      </w:r>
      <w:r w:rsidRPr="002029AF">
        <w:rPr>
          <w:lang w:eastAsia="en-AU"/>
        </w:rPr>
        <w:t>3000</w:t>
      </w:r>
    </w:p>
    <w:p w14:paraId="794823A3" w14:textId="0B4095E1" w:rsidR="0065586C" w:rsidRPr="002029AF" w:rsidRDefault="0065586C" w:rsidP="003566F1">
      <w:pPr>
        <w:pStyle w:val="ARbody"/>
        <w:rPr>
          <w:lang w:eastAsia="en-AU"/>
        </w:rPr>
      </w:pPr>
      <w:r w:rsidRPr="002029AF">
        <w:rPr>
          <w:lang w:eastAsia="en-AU"/>
        </w:rPr>
        <w:t>A</w:t>
      </w:r>
      <w:r w:rsidR="000A5329" w:rsidRPr="002029AF">
        <w:rPr>
          <w:lang w:eastAsia="en-AU"/>
        </w:rPr>
        <w:t xml:space="preserve"> </w:t>
      </w:r>
      <w:r w:rsidRPr="002029AF">
        <w:rPr>
          <w:lang w:eastAsia="en-AU"/>
        </w:rPr>
        <w:t>description</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nature</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its</w:t>
      </w:r>
      <w:r w:rsidR="000A5329" w:rsidRPr="002029AF">
        <w:rPr>
          <w:lang w:eastAsia="en-AU"/>
        </w:rPr>
        <w:t xml:space="preserve"> </w:t>
      </w:r>
      <w:r w:rsidRPr="002029AF">
        <w:rPr>
          <w:lang w:eastAsia="en-AU"/>
        </w:rPr>
        <w:t>operations</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its</w:t>
      </w:r>
      <w:r w:rsidR="000A5329" w:rsidRPr="002029AF">
        <w:rPr>
          <w:lang w:eastAsia="en-AU"/>
        </w:rPr>
        <w:t xml:space="preserve"> </w:t>
      </w:r>
      <w:r w:rsidRPr="002029AF">
        <w:rPr>
          <w:lang w:eastAsia="en-AU"/>
        </w:rPr>
        <w:t>principal</w:t>
      </w:r>
      <w:r w:rsidR="000A5329" w:rsidRPr="002029AF">
        <w:rPr>
          <w:lang w:eastAsia="en-AU"/>
        </w:rPr>
        <w:t xml:space="preserve"> </w:t>
      </w:r>
      <w:r w:rsidRPr="002029AF">
        <w:rPr>
          <w:lang w:eastAsia="en-AU"/>
        </w:rPr>
        <w:t>activities</w:t>
      </w:r>
      <w:r w:rsidR="000A5329" w:rsidRPr="002029AF">
        <w:rPr>
          <w:lang w:eastAsia="en-AU"/>
        </w:rPr>
        <w:t xml:space="preserve"> </w:t>
      </w:r>
      <w:r w:rsidRPr="002029AF">
        <w:rPr>
          <w:lang w:eastAsia="en-AU"/>
        </w:rPr>
        <w:t>is</w:t>
      </w:r>
      <w:r w:rsidR="000A5329" w:rsidRPr="002029AF">
        <w:rPr>
          <w:lang w:eastAsia="en-AU"/>
        </w:rPr>
        <w:t xml:space="preserve"> </w:t>
      </w:r>
      <w:r w:rsidRPr="002029AF">
        <w:rPr>
          <w:lang w:eastAsia="en-AU"/>
        </w:rPr>
        <w:t>included</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report</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operations</w:t>
      </w:r>
      <w:r w:rsidR="000A5329" w:rsidRPr="002029AF">
        <w:rPr>
          <w:lang w:eastAsia="en-AU"/>
        </w:rPr>
        <w:t xml:space="preserve"> </w:t>
      </w:r>
      <w:r w:rsidRPr="002029AF">
        <w:rPr>
          <w:lang w:eastAsia="en-AU"/>
        </w:rPr>
        <w:t>which</w:t>
      </w:r>
      <w:r w:rsidR="000A5329" w:rsidRPr="002029AF">
        <w:rPr>
          <w:lang w:eastAsia="en-AU"/>
        </w:rPr>
        <w:t xml:space="preserve"> </w:t>
      </w:r>
      <w:r w:rsidRPr="002029AF">
        <w:rPr>
          <w:lang w:eastAsia="en-AU"/>
        </w:rPr>
        <w:t>does</w:t>
      </w:r>
      <w:r w:rsidR="000A5329" w:rsidRPr="002029AF">
        <w:rPr>
          <w:lang w:eastAsia="en-AU"/>
        </w:rPr>
        <w:t xml:space="preserve"> </w:t>
      </w:r>
      <w:r w:rsidRPr="002029AF">
        <w:rPr>
          <w:lang w:eastAsia="en-AU"/>
        </w:rPr>
        <w:t>not</w:t>
      </w:r>
      <w:r w:rsidR="000A5329" w:rsidRPr="002029AF">
        <w:rPr>
          <w:lang w:eastAsia="en-AU"/>
        </w:rPr>
        <w:t xml:space="preserve"> </w:t>
      </w:r>
      <w:r w:rsidRPr="002029AF">
        <w:rPr>
          <w:lang w:eastAsia="en-AU"/>
        </w:rPr>
        <w:t>form</w:t>
      </w:r>
      <w:r w:rsidR="000A5329" w:rsidRPr="002029AF">
        <w:rPr>
          <w:lang w:eastAsia="en-AU"/>
        </w:rPr>
        <w:t xml:space="preserve"> </w:t>
      </w:r>
      <w:r w:rsidRPr="002029AF">
        <w:rPr>
          <w:lang w:eastAsia="en-AU"/>
        </w:rPr>
        <w:t>part</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these</w:t>
      </w:r>
      <w:r w:rsidR="000A5329" w:rsidRPr="002029AF">
        <w:rPr>
          <w:lang w:eastAsia="en-AU"/>
        </w:rPr>
        <w:t xml:space="preserve"> </w:t>
      </w:r>
      <w:r w:rsidRPr="002029AF">
        <w:rPr>
          <w:lang w:eastAsia="en-AU"/>
        </w:rPr>
        <w:t>financial</w:t>
      </w:r>
      <w:r w:rsidR="000A5329" w:rsidRPr="002029AF">
        <w:rPr>
          <w:lang w:eastAsia="en-AU"/>
        </w:rPr>
        <w:t xml:space="preserve"> </w:t>
      </w:r>
      <w:r w:rsidRPr="002029AF">
        <w:rPr>
          <w:lang w:eastAsia="en-AU"/>
        </w:rPr>
        <w:t>statements.</w:t>
      </w:r>
    </w:p>
    <w:p w14:paraId="5F8C22D8" w14:textId="643B7807" w:rsidR="0065586C" w:rsidRPr="002029AF" w:rsidRDefault="0065586C" w:rsidP="003566F1">
      <w:pPr>
        <w:pStyle w:val="Heading4"/>
      </w:pPr>
      <w:bookmarkStart w:id="269" w:name="_Toc39136686"/>
      <w:bookmarkStart w:id="270" w:name="_Toc39242130"/>
      <w:bookmarkStart w:id="271" w:name="_Ref52455416"/>
      <w:r w:rsidRPr="002029AF">
        <w:t>Basis</w:t>
      </w:r>
      <w:r w:rsidR="000A5329" w:rsidRPr="002029AF">
        <w:t xml:space="preserve"> </w:t>
      </w:r>
      <w:r w:rsidRPr="002029AF">
        <w:t>of</w:t>
      </w:r>
      <w:r w:rsidR="000A5329" w:rsidRPr="002029AF">
        <w:t xml:space="preserve"> </w:t>
      </w:r>
      <w:r w:rsidRPr="002029AF">
        <w:t>preparation</w:t>
      </w:r>
      <w:bookmarkEnd w:id="269"/>
      <w:bookmarkEnd w:id="270"/>
      <w:bookmarkEnd w:id="271"/>
    </w:p>
    <w:p w14:paraId="1E219169" w14:textId="7ED3B8C1" w:rsidR="0065586C" w:rsidRPr="002029AF" w:rsidRDefault="0065586C" w:rsidP="003566F1">
      <w:pPr>
        <w:pStyle w:val="ARbody"/>
        <w:rPr>
          <w:lang w:eastAsia="en-AU"/>
        </w:rPr>
      </w:pPr>
      <w:r w:rsidRPr="002029AF">
        <w:rPr>
          <w:lang w:eastAsia="en-AU"/>
        </w:rPr>
        <w:t>These</w:t>
      </w:r>
      <w:r w:rsidR="000A5329" w:rsidRPr="002029AF">
        <w:rPr>
          <w:lang w:eastAsia="en-AU"/>
        </w:rPr>
        <w:t xml:space="preserve"> </w:t>
      </w:r>
      <w:r w:rsidRPr="002029AF">
        <w:rPr>
          <w:lang w:eastAsia="en-AU"/>
        </w:rPr>
        <w:t>financial</w:t>
      </w:r>
      <w:r w:rsidR="000A5329" w:rsidRPr="002029AF">
        <w:rPr>
          <w:lang w:eastAsia="en-AU"/>
        </w:rPr>
        <w:t xml:space="preserve"> </w:t>
      </w:r>
      <w:r w:rsidRPr="002029AF">
        <w:rPr>
          <w:lang w:eastAsia="en-AU"/>
        </w:rPr>
        <w:t>statements</w:t>
      </w:r>
      <w:r w:rsidR="000A5329" w:rsidRPr="002029AF">
        <w:rPr>
          <w:lang w:eastAsia="en-AU"/>
        </w:rPr>
        <w:t xml:space="preserve"> </w:t>
      </w:r>
      <w:r w:rsidRPr="002029AF">
        <w:rPr>
          <w:lang w:eastAsia="en-AU"/>
        </w:rPr>
        <w:t>are</w:t>
      </w:r>
      <w:r w:rsidR="000A5329" w:rsidRPr="002029AF">
        <w:rPr>
          <w:lang w:eastAsia="en-AU"/>
        </w:rPr>
        <w:t xml:space="preserve"> </w:t>
      </w:r>
      <w:r w:rsidRPr="002029AF">
        <w:rPr>
          <w:lang w:eastAsia="en-AU"/>
        </w:rPr>
        <w:t>presented</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Australian</w:t>
      </w:r>
      <w:r w:rsidR="000A5329" w:rsidRPr="002029AF">
        <w:rPr>
          <w:lang w:eastAsia="en-AU"/>
        </w:rPr>
        <w:t xml:space="preserve"> </w:t>
      </w:r>
      <w:r w:rsidRPr="002029AF">
        <w:rPr>
          <w:lang w:eastAsia="en-AU"/>
        </w:rPr>
        <w:t>dollars</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historical</w:t>
      </w:r>
      <w:r w:rsidR="000A5329" w:rsidRPr="002029AF">
        <w:rPr>
          <w:lang w:eastAsia="en-AU"/>
        </w:rPr>
        <w:t xml:space="preserve"> </w:t>
      </w:r>
      <w:r w:rsidRPr="002029AF">
        <w:rPr>
          <w:lang w:eastAsia="en-AU"/>
        </w:rPr>
        <w:t>cost</w:t>
      </w:r>
      <w:r w:rsidR="000A5329" w:rsidRPr="002029AF">
        <w:rPr>
          <w:lang w:eastAsia="en-AU"/>
        </w:rPr>
        <w:t xml:space="preserve"> </w:t>
      </w:r>
      <w:r w:rsidRPr="002029AF">
        <w:rPr>
          <w:lang w:eastAsia="en-AU"/>
        </w:rPr>
        <w:t>convention</w:t>
      </w:r>
      <w:r w:rsidR="000A5329" w:rsidRPr="002029AF">
        <w:rPr>
          <w:lang w:eastAsia="en-AU"/>
        </w:rPr>
        <w:t xml:space="preserve"> </w:t>
      </w:r>
      <w:r w:rsidRPr="002029AF">
        <w:rPr>
          <w:lang w:eastAsia="en-AU"/>
        </w:rPr>
        <w:t>is</w:t>
      </w:r>
      <w:r w:rsidR="000A5329" w:rsidRPr="002029AF">
        <w:rPr>
          <w:lang w:eastAsia="en-AU"/>
        </w:rPr>
        <w:t xml:space="preserve"> </w:t>
      </w:r>
      <w:r w:rsidRPr="002029AF">
        <w:rPr>
          <w:lang w:eastAsia="en-AU"/>
        </w:rPr>
        <w:t>used</w:t>
      </w:r>
      <w:r w:rsidR="000A5329" w:rsidRPr="002029AF">
        <w:rPr>
          <w:lang w:eastAsia="en-AU"/>
        </w:rPr>
        <w:t xml:space="preserve"> </w:t>
      </w:r>
      <w:r w:rsidRPr="002029AF">
        <w:rPr>
          <w:lang w:eastAsia="en-AU"/>
        </w:rPr>
        <w:t>unless</w:t>
      </w:r>
      <w:r w:rsidR="000A5329" w:rsidRPr="002029AF">
        <w:rPr>
          <w:lang w:eastAsia="en-AU"/>
        </w:rPr>
        <w:t xml:space="preserve"> </w:t>
      </w:r>
      <w:r w:rsidRPr="002029AF">
        <w:rPr>
          <w:lang w:eastAsia="en-AU"/>
        </w:rPr>
        <w:t>a</w:t>
      </w:r>
      <w:r w:rsidR="000A5329" w:rsidRPr="002029AF">
        <w:rPr>
          <w:lang w:eastAsia="en-AU"/>
        </w:rPr>
        <w:t xml:space="preserve"> </w:t>
      </w:r>
      <w:r w:rsidRPr="002029AF">
        <w:rPr>
          <w:lang w:eastAsia="en-AU"/>
        </w:rPr>
        <w:t>different</w:t>
      </w:r>
      <w:r w:rsidR="000A5329" w:rsidRPr="002029AF">
        <w:rPr>
          <w:lang w:eastAsia="en-AU"/>
        </w:rPr>
        <w:t xml:space="preserve"> </w:t>
      </w:r>
      <w:r w:rsidRPr="002029AF">
        <w:rPr>
          <w:lang w:eastAsia="en-AU"/>
        </w:rPr>
        <w:t>measurement</w:t>
      </w:r>
      <w:r w:rsidR="000A5329" w:rsidRPr="002029AF">
        <w:rPr>
          <w:lang w:eastAsia="en-AU"/>
        </w:rPr>
        <w:t xml:space="preserve"> </w:t>
      </w:r>
      <w:r w:rsidRPr="002029AF">
        <w:rPr>
          <w:lang w:eastAsia="en-AU"/>
        </w:rPr>
        <w:t>basis</w:t>
      </w:r>
      <w:r w:rsidR="000A5329" w:rsidRPr="002029AF">
        <w:rPr>
          <w:lang w:eastAsia="en-AU"/>
        </w:rPr>
        <w:t xml:space="preserve"> </w:t>
      </w:r>
      <w:r w:rsidRPr="002029AF">
        <w:rPr>
          <w:lang w:eastAsia="en-AU"/>
        </w:rPr>
        <w:t>is</w:t>
      </w:r>
      <w:r w:rsidR="000A5329" w:rsidRPr="002029AF">
        <w:rPr>
          <w:lang w:eastAsia="en-AU"/>
        </w:rPr>
        <w:t xml:space="preserve"> </w:t>
      </w:r>
      <w:r w:rsidRPr="002029AF">
        <w:rPr>
          <w:lang w:eastAsia="en-AU"/>
        </w:rPr>
        <w:t>specifically</w:t>
      </w:r>
      <w:r w:rsidR="000A5329" w:rsidRPr="002029AF">
        <w:rPr>
          <w:lang w:eastAsia="en-AU"/>
        </w:rPr>
        <w:t xml:space="preserve"> </w:t>
      </w:r>
      <w:r w:rsidRPr="002029AF">
        <w:rPr>
          <w:lang w:eastAsia="en-AU"/>
        </w:rPr>
        <w:t>disclosed</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note</w:t>
      </w:r>
      <w:r w:rsidR="000A5329" w:rsidRPr="002029AF">
        <w:rPr>
          <w:lang w:eastAsia="en-AU"/>
        </w:rPr>
        <w:t xml:space="preserve"> </w:t>
      </w:r>
      <w:r w:rsidRPr="002029AF">
        <w:rPr>
          <w:lang w:eastAsia="en-AU"/>
        </w:rPr>
        <w:t>associated</w:t>
      </w:r>
      <w:r w:rsidR="000A5329" w:rsidRPr="002029AF">
        <w:rPr>
          <w:lang w:eastAsia="en-AU"/>
        </w:rPr>
        <w:t xml:space="preserve"> </w:t>
      </w:r>
      <w:r w:rsidRPr="002029AF">
        <w:rPr>
          <w:lang w:eastAsia="en-AU"/>
        </w:rPr>
        <w:t>with</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item</w:t>
      </w:r>
      <w:r w:rsidR="000A5329" w:rsidRPr="002029AF">
        <w:rPr>
          <w:lang w:eastAsia="en-AU"/>
        </w:rPr>
        <w:t xml:space="preserve"> </w:t>
      </w:r>
      <w:r w:rsidRPr="002029AF">
        <w:rPr>
          <w:lang w:eastAsia="en-AU"/>
        </w:rPr>
        <w:t>measured</w:t>
      </w:r>
      <w:r w:rsidR="000A5329" w:rsidRPr="002029AF">
        <w:rPr>
          <w:lang w:eastAsia="en-AU"/>
        </w:rPr>
        <w:t xml:space="preserve"> </w:t>
      </w:r>
      <w:r w:rsidRPr="002029AF">
        <w:rPr>
          <w:lang w:eastAsia="en-AU"/>
        </w:rPr>
        <w:t>on</w:t>
      </w:r>
      <w:r w:rsidR="000A5329" w:rsidRPr="002029AF">
        <w:rPr>
          <w:lang w:eastAsia="en-AU"/>
        </w:rPr>
        <w:t xml:space="preserve"> </w:t>
      </w:r>
      <w:r w:rsidRPr="002029AF">
        <w:rPr>
          <w:lang w:eastAsia="en-AU"/>
        </w:rPr>
        <w:t>a</w:t>
      </w:r>
      <w:r w:rsidR="000A5329" w:rsidRPr="002029AF">
        <w:rPr>
          <w:lang w:eastAsia="en-AU"/>
        </w:rPr>
        <w:t xml:space="preserve"> </w:t>
      </w:r>
      <w:r w:rsidRPr="002029AF">
        <w:rPr>
          <w:lang w:eastAsia="en-AU"/>
        </w:rPr>
        <w:t>different</w:t>
      </w:r>
      <w:r w:rsidR="000A5329" w:rsidRPr="002029AF">
        <w:rPr>
          <w:lang w:eastAsia="en-AU"/>
        </w:rPr>
        <w:t xml:space="preserve"> </w:t>
      </w:r>
      <w:r w:rsidRPr="002029AF">
        <w:rPr>
          <w:lang w:eastAsia="en-AU"/>
        </w:rPr>
        <w:t>basis.</w:t>
      </w:r>
    </w:p>
    <w:p w14:paraId="08D433ED" w14:textId="492E1D4E" w:rsidR="0065586C" w:rsidRPr="002029AF" w:rsidRDefault="0065586C" w:rsidP="003566F1">
      <w:pPr>
        <w:pStyle w:val="ARbody"/>
        <w:rPr>
          <w:lang w:eastAsia="en-AU"/>
        </w:rPr>
      </w:pPr>
      <w:r w:rsidRPr="002029AF">
        <w:rPr>
          <w:lang w:eastAsia="en-AU"/>
        </w:rPr>
        <w:t>The</w:t>
      </w:r>
      <w:r w:rsidR="000A5329" w:rsidRPr="002029AF">
        <w:rPr>
          <w:lang w:eastAsia="en-AU"/>
        </w:rPr>
        <w:t xml:space="preserve"> </w:t>
      </w:r>
      <w:r w:rsidRPr="002029AF">
        <w:rPr>
          <w:lang w:eastAsia="en-AU"/>
        </w:rPr>
        <w:t>accrual</w:t>
      </w:r>
      <w:r w:rsidR="000A5329" w:rsidRPr="002029AF">
        <w:rPr>
          <w:lang w:eastAsia="en-AU"/>
        </w:rPr>
        <w:t xml:space="preserve"> </w:t>
      </w:r>
      <w:r w:rsidRPr="002029AF">
        <w:rPr>
          <w:lang w:eastAsia="en-AU"/>
        </w:rPr>
        <w:t>basis</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accounting</w:t>
      </w:r>
      <w:r w:rsidR="000A5329" w:rsidRPr="002029AF">
        <w:rPr>
          <w:lang w:eastAsia="en-AU"/>
        </w:rPr>
        <w:t xml:space="preserve"> </w:t>
      </w:r>
      <w:r w:rsidRPr="002029AF">
        <w:rPr>
          <w:lang w:eastAsia="en-AU"/>
        </w:rPr>
        <w:t>has</w:t>
      </w:r>
      <w:r w:rsidR="000A5329" w:rsidRPr="002029AF">
        <w:rPr>
          <w:lang w:eastAsia="en-AU"/>
        </w:rPr>
        <w:t xml:space="preserve"> </w:t>
      </w:r>
      <w:r w:rsidRPr="002029AF">
        <w:rPr>
          <w:lang w:eastAsia="en-AU"/>
        </w:rPr>
        <w:t>been</w:t>
      </w:r>
      <w:r w:rsidR="000A5329" w:rsidRPr="002029AF">
        <w:rPr>
          <w:lang w:eastAsia="en-AU"/>
        </w:rPr>
        <w:t xml:space="preserve"> </w:t>
      </w:r>
      <w:r w:rsidRPr="002029AF">
        <w:rPr>
          <w:lang w:eastAsia="en-AU"/>
        </w:rPr>
        <w:t>applied</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preparation</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these</w:t>
      </w:r>
      <w:r w:rsidR="000A5329" w:rsidRPr="002029AF">
        <w:rPr>
          <w:lang w:eastAsia="en-AU"/>
        </w:rPr>
        <w:t xml:space="preserve"> </w:t>
      </w:r>
      <w:r w:rsidRPr="002029AF">
        <w:rPr>
          <w:lang w:eastAsia="en-AU"/>
        </w:rPr>
        <w:t>financial</w:t>
      </w:r>
      <w:r w:rsidR="000A5329" w:rsidRPr="002029AF">
        <w:rPr>
          <w:lang w:eastAsia="en-AU"/>
        </w:rPr>
        <w:t xml:space="preserve"> </w:t>
      </w:r>
      <w:r w:rsidRPr="002029AF">
        <w:rPr>
          <w:lang w:eastAsia="en-AU"/>
        </w:rPr>
        <w:t>statements</w:t>
      </w:r>
      <w:r w:rsidR="000A5329" w:rsidRPr="002029AF">
        <w:rPr>
          <w:lang w:eastAsia="en-AU"/>
        </w:rPr>
        <w:t xml:space="preserve"> </w:t>
      </w:r>
      <w:r w:rsidRPr="002029AF">
        <w:rPr>
          <w:lang w:eastAsia="en-AU"/>
        </w:rPr>
        <w:t>whereby</w:t>
      </w:r>
      <w:r w:rsidR="000A5329" w:rsidRPr="002029AF">
        <w:rPr>
          <w:lang w:eastAsia="en-AU"/>
        </w:rPr>
        <w:t xml:space="preserve"> </w:t>
      </w:r>
      <w:r w:rsidRPr="002029AF">
        <w:rPr>
          <w:lang w:eastAsia="en-AU"/>
        </w:rPr>
        <w:t>assets,</w:t>
      </w:r>
      <w:r w:rsidR="000A5329" w:rsidRPr="002029AF">
        <w:rPr>
          <w:lang w:eastAsia="en-AU"/>
        </w:rPr>
        <w:t xml:space="preserve"> </w:t>
      </w:r>
      <w:r w:rsidRPr="002029AF">
        <w:rPr>
          <w:lang w:eastAsia="en-AU"/>
        </w:rPr>
        <w:t>liabilities,</w:t>
      </w:r>
      <w:r w:rsidR="000A5329" w:rsidRPr="002029AF">
        <w:rPr>
          <w:lang w:eastAsia="en-AU"/>
        </w:rPr>
        <w:t xml:space="preserve"> </w:t>
      </w:r>
      <w:r w:rsidRPr="002029AF">
        <w:rPr>
          <w:lang w:eastAsia="en-AU"/>
        </w:rPr>
        <w:t>equity,</w:t>
      </w:r>
      <w:r w:rsidR="000A5329" w:rsidRPr="002029AF">
        <w:rPr>
          <w:lang w:eastAsia="en-AU"/>
        </w:rPr>
        <w:t xml:space="preserve"> </w:t>
      </w:r>
      <w:r w:rsidRPr="002029AF">
        <w:rPr>
          <w:lang w:eastAsia="en-AU"/>
        </w:rPr>
        <w:t>income</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expenses</w:t>
      </w:r>
      <w:r w:rsidR="000A5329" w:rsidRPr="002029AF">
        <w:rPr>
          <w:lang w:eastAsia="en-AU"/>
        </w:rPr>
        <w:t xml:space="preserve"> </w:t>
      </w:r>
      <w:r w:rsidRPr="002029AF">
        <w:rPr>
          <w:lang w:eastAsia="en-AU"/>
        </w:rPr>
        <w:t>are</w:t>
      </w:r>
      <w:r w:rsidR="000A5329" w:rsidRPr="002029AF">
        <w:rPr>
          <w:lang w:eastAsia="en-AU"/>
        </w:rPr>
        <w:t xml:space="preserve"> </w:t>
      </w:r>
      <w:r w:rsidRPr="002029AF">
        <w:rPr>
          <w:lang w:eastAsia="en-AU"/>
        </w:rPr>
        <w:t>recognised</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reporting</w:t>
      </w:r>
      <w:r w:rsidR="000A5329" w:rsidRPr="002029AF">
        <w:rPr>
          <w:lang w:eastAsia="en-AU"/>
        </w:rPr>
        <w:t xml:space="preserve"> </w:t>
      </w:r>
      <w:r w:rsidRPr="002029AF">
        <w:rPr>
          <w:lang w:eastAsia="en-AU"/>
        </w:rPr>
        <w:t>period</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which</w:t>
      </w:r>
      <w:r w:rsidR="000A5329" w:rsidRPr="002029AF">
        <w:rPr>
          <w:lang w:eastAsia="en-AU"/>
        </w:rPr>
        <w:t xml:space="preserve"> </w:t>
      </w:r>
      <w:r w:rsidRPr="002029AF">
        <w:rPr>
          <w:lang w:eastAsia="en-AU"/>
        </w:rPr>
        <w:t>they</w:t>
      </w:r>
      <w:r w:rsidR="000A5329" w:rsidRPr="002029AF">
        <w:rPr>
          <w:lang w:eastAsia="en-AU"/>
        </w:rPr>
        <w:t xml:space="preserve"> </w:t>
      </w:r>
      <w:r w:rsidRPr="002029AF">
        <w:rPr>
          <w:lang w:eastAsia="en-AU"/>
        </w:rPr>
        <w:t>relate,</w:t>
      </w:r>
      <w:r w:rsidR="000A5329" w:rsidRPr="002029AF">
        <w:rPr>
          <w:lang w:eastAsia="en-AU"/>
        </w:rPr>
        <w:t xml:space="preserve"> </w:t>
      </w:r>
      <w:r w:rsidRPr="002029AF">
        <w:rPr>
          <w:lang w:eastAsia="en-AU"/>
        </w:rPr>
        <w:t>regardless</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when</w:t>
      </w:r>
      <w:r w:rsidR="000A5329" w:rsidRPr="002029AF">
        <w:rPr>
          <w:lang w:eastAsia="en-AU"/>
        </w:rPr>
        <w:t xml:space="preserve"> </w:t>
      </w:r>
      <w:r w:rsidRPr="002029AF">
        <w:rPr>
          <w:lang w:eastAsia="en-AU"/>
        </w:rPr>
        <w:t>cash</w:t>
      </w:r>
      <w:r w:rsidR="000A5329" w:rsidRPr="002029AF">
        <w:rPr>
          <w:lang w:eastAsia="en-AU"/>
        </w:rPr>
        <w:t xml:space="preserve"> </w:t>
      </w:r>
      <w:r w:rsidRPr="002029AF">
        <w:rPr>
          <w:lang w:eastAsia="en-AU"/>
        </w:rPr>
        <w:t>is</w:t>
      </w:r>
      <w:r w:rsidR="000A5329" w:rsidRPr="002029AF">
        <w:rPr>
          <w:lang w:eastAsia="en-AU"/>
        </w:rPr>
        <w:t xml:space="preserve"> </w:t>
      </w:r>
      <w:r w:rsidRPr="002029AF">
        <w:rPr>
          <w:lang w:eastAsia="en-AU"/>
        </w:rPr>
        <w:t>received</w:t>
      </w:r>
      <w:r w:rsidR="000A5329" w:rsidRPr="002029AF">
        <w:rPr>
          <w:lang w:eastAsia="en-AU"/>
        </w:rPr>
        <w:t xml:space="preserve"> </w:t>
      </w:r>
      <w:r w:rsidRPr="002029AF">
        <w:rPr>
          <w:lang w:eastAsia="en-AU"/>
        </w:rPr>
        <w:t>or</w:t>
      </w:r>
      <w:r w:rsidR="000A5329" w:rsidRPr="002029AF">
        <w:rPr>
          <w:lang w:eastAsia="en-AU"/>
        </w:rPr>
        <w:t xml:space="preserve"> </w:t>
      </w:r>
      <w:r w:rsidRPr="002029AF">
        <w:rPr>
          <w:lang w:eastAsia="en-AU"/>
        </w:rPr>
        <w:t>paid.</w:t>
      </w:r>
    </w:p>
    <w:p w14:paraId="4FD8C936" w14:textId="01B614AF" w:rsidR="0065586C" w:rsidRPr="002029AF" w:rsidRDefault="0065586C" w:rsidP="003566F1">
      <w:pPr>
        <w:pStyle w:val="ARbody"/>
        <w:rPr>
          <w:lang w:eastAsia="en-AU"/>
        </w:rPr>
      </w:pPr>
      <w:r w:rsidRPr="002029AF">
        <w:rPr>
          <w:lang w:eastAsia="en-AU"/>
        </w:rPr>
        <w:t>Consistent</w:t>
      </w:r>
      <w:r w:rsidR="000A5329" w:rsidRPr="002029AF">
        <w:rPr>
          <w:lang w:eastAsia="en-AU"/>
        </w:rPr>
        <w:t xml:space="preserve"> </w:t>
      </w:r>
      <w:r w:rsidRPr="002029AF">
        <w:rPr>
          <w:lang w:eastAsia="en-AU"/>
        </w:rPr>
        <w:t>with</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requirements</w:t>
      </w:r>
      <w:r w:rsidR="000A5329" w:rsidRPr="002029AF">
        <w:rPr>
          <w:lang w:eastAsia="en-AU"/>
        </w:rPr>
        <w:t xml:space="preserve"> </w:t>
      </w:r>
      <w:r w:rsidRPr="002029AF">
        <w:rPr>
          <w:lang w:eastAsia="en-AU"/>
        </w:rPr>
        <w:t>of</w:t>
      </w:r>
      <w:r w:rsidR="000A5329" w:rsidRPr="002029AF">
        <w:t xml:space="preserve"> </w:t>
      </w:r>
      <w:r w:rsidRPr="002029AF">
        <w:rPr>
          <w:rStyle w:val="Emphasis"/>
        </w:rPr>
        <w:t>AASB</w:t>
      </w:r>
      <w:r w:rsidR="000A5329" w:rsidRPr="002029AF">
        <w:rPr>
          <w:rStyle w:val="Emphasis"/>
        </w:rPr>
        <w:t xml:space="preserve"> </w:t>
      </w:r>
      <w:r w:rsidRPr="002029AF">
        <w:rPr>
          <w:rStyle w:val="Emphasis"/>
        </w:rPr>
        <w:t>1004</w:t>
      </w:r>
      <w:r w:rsidR="000A5329" w:rsidRPr="002029AF">
        <w:rPr>
          <w:rStyle w:val="Emphasis"/>
        </w:rPr>
        <w:t xml:space="preserve"> </w:t>
      </w:r>
      <w:r w:rsidRPr="002029AF">
        <w:rPr>
          <w:rStyle w:val="Emphasis"/>
        </w:rPr>
        <w:t>Contributions</w:t>
      </w:r>
      <w:r w:rsidRPr="002029AF">
        <w:rPr>
          <w:lang w:eastAsia="en-AU"/>
        </w:rPr>
        <w:t>,</w:t>
      </w:r>
      <w:r w:rsidR="000A5329" w:rsidRPr="002029AF">
        <w:rPr>
          <w:lang w:eastAsia="en-AU"/>
        </w:rPr>
        <w:t xml:space="preserve"> </w:t>
      </w:r>
      <w:r w:rsidRPr="002029AF">
        <w:rPr>
          <w:lang w:eastAsia="en-AU"/>
        </w:rPr>
        <w:t>contributions</w:t>
      </w:r>
      <w:r w:rsidR="000A5329" w:rsidRPr="002029AF">
        <w:rPr>
          <w:lang w:eastAsia="en-AU"/>
        </w:rPr>
        <w:t xml:space="preserve"> </w:t>
      </w:r>
      <w:r w:rsidRPr="002029AF">
        <w:rPr>
          <w:lang w:eastAsia="en-AU"/>
        </w:rPr>
        <w:t>by</w:t>
      </w:r>
      <w:r w:rsidR="000A5329" w:rsidRPr="002029AF">
        <w:rPr>
          <w:lang w:eastAsia="en-AU"/>
        </w:rPr>
        <w:t xml:space="preserve"> </w:t>
      </w:r>
      <w:r w:rsidRPr="002029AF">
        <w:rPr>
          <w:lang w:eastAsia="en-AU"/>
        </w:rPr>
        <w:t>owners</w:t>
      </w:r>
      <w:r w:rsidR="000A5329" w:rsidRPr="002029AF">
        <w:rPr>
          <w:lang w:eastAsia="en-AU"/>
        </w:rPr>
        <w:t xml:space="preserve"> </w:t>
      </w:r>
      <w:r w:rsidRPr="002029AF">
        <w:rPr>
          <w:lang w:eastAsia="en-AU"/>
        </w:rPr>
        <w:t>(that</w:t>
      </w:r>
      <w:r w:rsidR="000A5329" w:rsidRPr="002029AF">
        <w:rPr>
          <w:lang w:eastAsia="en-AU"/>
        </w:rPr>
        <w:t xml:space="preserve"> </w:t>
      </w:r>
      <w:r w:rsidRPr="002029AF">
        <w:rPr>
          <w:lang w:eastAsia="en-AU"/>
        </w:rPr>
        <w:t>is,</w:t>
      </w:r>
      <w:r w:rsidR="000A5329" w:rsidRPr="002029AF">
        <w:rPr>
          <w:lang w:eastAsia="en-AU"/>
        </w:rPr>
        <w:t xml:space="preserve"> </w:t>
      </w:r>
      <w:r w:rsidRPr="002029AF">
        <w:rPr>
          <w:lang w:eastAsia="en-AU"/>
        </w:rPr>
        <w:t>contributed</w:t>
      </w:r>
      <w:r w:rsidR="000A5329" w:rsidRPr="002029AF">
        <w:rPr>
          <w:lang w:eastAsia="en-AU"/>
        </w:rPr>
        <w:t xml:space="preserve"> </w:t>
      </w:r>
      <w:r w:rsidRPr="002029AF">
        <w:rPr>
          <w:lang w:eastAsia="en-AU"/>
        </w:rPr>
        <w:t>capital</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its</w:t>
      </w:r>
      <w:r w:rsidR="000A5329" w:rsidRPr="002029AF">
        <w:rPr>
          <w:lang w:eastAsia="en-AU"/>
        </w:rPr>
        <w:t xml:space="preserve"> </w:t>
      </w:r>
      <w:r w:rsidRPr="002029AF">
        <w:rPr>
          <w:lang w:eastAsia="en-AU"/>
        </w:rPr>
        <w:t>repayment)</w:t>
      </w:r>
      <w:r w:rsidR="000A5329" w:rsidRPr="002029AF">
        <w:rPr>
          <w:lang w:eastAsia="en-AU"/>
        </w:rPr>
        <w:t xml:space="preserve"> </w:t>
      </w:r>
      <w:r w:rsidRPr="002029AF">
        <w:rPr>
          <w:lang w:eastAsia="en-AU"/>
        </w:rPr>
        <w:t>are</w:t>
      </w:r>
      <w:r w:rsidR="000A5329" w:rsidRPr="002029AF">
        <w:rPr>
          <w:lang w:eastAsia="en-AU"/>
        </w:rPr>
        <w:t xml:space="preserve"> </w:t>
      </w:r>
      <w:r w:rsidRPr="002029AF">
        <w:rPr>
          <w:lang w:eastAsia="en-AU"/>
        </w:rPr>
        <w:t>treated</w:t>
      </w:r>
      <w:r w:rsidR="000A5329" w:rsidRPr="002029AF">
        <w:rPr>
          <w:lang w:eastAsia="en-AU"/>
        </w:rPr>
        <w:t xml:space="preserve"> </w:t>
      </w:r>
      <w:r w:rsidRPr="002029AF">
        <w:rPr>
          <w:lang w:eastAsia="en-AU"/>
        </w:rPr>
        <w:t>as</w:t>
      </w:r>
      <w:r w:rsidR="000A5329" w:rsidRPr="002029AF">
        <w:rPr>
          <w:lang w:eastAsia="en-AU"/>
        </w:rPr>
        <w:t xml:space="preserve"> </w:t>
      </w:r>
      <w:r w:rsidRPr="002029AF">
        <w:rPr>
          <w:lang w:eastAsia="en-AU"/>
        </w:rPr>
        <w:t>equity</w:t>
      </w:r>
      <w:r w:rsidR="000A5329" w:rsidRPr="002029AF">
        <w:rPr>
          <w:lang w:eastAsia="en-AU"/>
        </w:rPr>
        <w:t xml:space="preserve"> </w:t>
      </w:r>
      <w:r w:rsidRPr="002029AF">
        <w:rPr>
          <w:lang w:eastAsia="en-AU"/>
        </w:rPr>
        <w:t>transactions</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therefore,</w:t>
      </w:r>
      <w:r w:rsidR="000A5329" w:rsidRPr="002029AF">
        <w:rPr>
          <w:lang w:eastAsia="en-AU"/>
        </w:rPr>
        <w:t xml:space="preserve"> </w:t>
      </w:r>
      <w:r w:rsidRPr="002029AF">
        <w:rPr>
          <w:lang w:eastAsia="en-AU"/>
        </w:rPr>
        <w:t>do</w:t>
      </w:r>
      <w:r w:rsidR="000A5329" w:rsidRPr="002029AF">
        <w:rPr>
          <w:lang w:eastAsia="en-AU"/>
        </w:rPr>
        <w:t xml:space="preserve"> </w:t>
      </w:r>
      <w:r w:rsidRPr="002029AF">
        <w:rPr>
          <w:lang w:eastAsia="en-AU"/>
        </w:rPr>
        <w:t>not</w:t>
      </w:r>
      <w:r w:rsidR="000A5329" w:rsidRPr="002029AF">
        <w:rPr>
          <w:lang w:eastAsia="en-AU"/>
        </w:rPr>
        <w:t xml:space="preserve"> </w:t>
      </w:r>
      <w:r w:rsidRPr="002029AF">
        <w:rPr>
          <w:lang w:eastAsia="en-AU"/>
        </w:rPr>
        <w:t>form</w:t>
      </w:r>
      <w:r w:rsidR="000A5329" w:rsidRPr="002029AF">
        <w:rPr>
          <w:lang w:eastAsia="en-AU"/>
        </w:rPr>
        <w:t xml:space="preserve"> </w:t>
      </w:r>
      <w:r w:rsidRPr="002029AF">
        <w:rPr>
          <w:lang w:eastAsia="en-AU"/>
        </w:rPr>
        <w:t>part</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income</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expenses</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department.</w:t>
      </w:r>
    </w:p>
    <w:p w14:paraId="4AAC0CB6" w14:textId="0933676E" w:rsidR="0065586C" w:rsidRPr="002029AF" w:rsidRDefault="0065586C" w:rsidP="003566F1">
      <w:pPr>
        <w:pStyle w:val="ARbody"/>
        <w:rPr>
          <w:lang w:eastAsia="en-AU"/>
        </w:rPr>
      </w:pPr>
      <w:r w:rsidRPr="002029AF">
        <w:rPr>
          <w:lang w:eastAsia="en-AU"/>
        </w:rPr>
        <w:t>Additions</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net</w:t>
      </w:r>
      <w:r w:rsidR="000A5329" w:rsidRPr="002029AF">
        <w:rPr>
          <w:lang w:eastAsia="en-AU"/>
        </w:rPr>
        <w:t xml:space="preserve"> </w:t>
      </w:r>
      <w:r w:rsidRPr="002029AF">
        <w:rPr>
          <w:lang w:eastAsia="en-AU"/>
        </w:rPr>
        <w:t>assets</w:t>
      </w:r>
      <w:r w:rsidR="000A5329" w:rsidRPr="002029AF">
        <w:rPr>
          <w:lang w:eastAsia="en-AU"/>
        </w:rPr>
        <w:t xml:space="preserve"> </w:t>
      </w:r>
      <w:r w:rsidRPr="002029AF">
        <w:rPr>
          <w:lang w:eastAsia="en-AU"/>
        </w:rPr>
        <w:t>which</w:t>
      </w:r>
      <w:r w:rsidR="000A5329" w:rsidRPr="002029AF">
        <w:rPr>
          <w:lang w:eastAsia="en-AU"/>
        </w:rPr>
        <w:t xml:space="preserve"> </w:t>
      </w:r>
      <w:r w:rsidRPr="002029AF">
        <w:rPr>
          <w:lang w:eastAsia="en-AU"/>
        </w:rPr>
        <w:t>have</w:t>
      </w:r>
      <w:r w:rsidR="000A5329" w:rsidRPr="002029AF">
        <w:rPr>
          <w:lang w:eastAsia="en-AU"/>
        </w:rPr>
        <w:t xml:space="preserve"> </w:t>
      </w:r>
      <w:r w:rsidRPr="002029AF">
        <w:rPr>
          <w:lang w:eastAsia="en-AU"/>
        </w:rPr>
        <w:t>been</w:t>
      </w:r>
      <w:r w:rsidR="000A5329" w:rsidRPr="002029AF">
        <w:rPr>
          <w:lang w:eastAsia="en-AU"/>
        </w:rPr>
        <w:t xml:space="preserve"> </w:t>
      </w:r>
      <w:r w:rsidRPr="002029AF">
        <w:rPr>
          <w:lang w:eastAsia="en-AU"/>
        </w:rPr>
        <w:t>designated</w:t>
      </w:r>
      <w:r w:rsidR="000A5329" w:rsidRPr="002029AF">
        <w:rPr>
          <w:lang w:eastAsia="en-AU"/>
        </w:rPr>
        <w:t xml:space="preserve"> </w:t>
      </w:r>
      <w:r w:rsidRPr="002029AF">
        <w:rPr>
          <w:lang w:eastAsia="en-AU"/>
        </w:rPr>
        <w:t>as</w:t>
      </w:r>
      <w:r w:rsidR="000A5329" w:rsidRPr="002029AF">
        <w:rPr>
          <w:lang w:eastAsia="en-AU"/>
        </w:rPr>
        <w:t xml:space="preserve"> </w:t>
      </w:r>
      <w:r w:rsidRPr="002029AF">
        <w:rPr>
          <w:lang w:eastAsia="en-AU"/>
        </w:rPr>
        <w:t>contributions</w:t>
      </w:r>
      <w:r w:rsidR="000A5329" w:rsidRPr="002029AF">
        <w:rPr>
          <w:lang w:eastAsia="en-AU"/>
        </w:rPr>
        <w:t xml:space="preserve"> </w:t>
      </w:r>
      <w:r w:rsidRPr="002029AF">
        <w:rPr>
          <w:lang w:eastAsia="en-AU"/>
        </w:rPr>
        <w:t>by</w:t>
      </w:r>
      <w:r w:rsidR="000A5329" w:rsidRPr="002029AF">
        <w:rPr>
          <w:lang w:eastAsia="en-AU"/>
        </w:rPr>
        <w:t xml:space="preserve"> </w:t>
      </w:r>
      <w:r w:rsidRPr="002029AF">
        <w:rPr>
          <w:lang w:eastAsia="en-AU"/>
        </w:rPr>
        <w:t>owners</w:t>
      </w:r>
      <w:r w:rsidR="000A5329" w:rsidRPr="002029AF">
        <w:rPr>
          <w:lang w:eastAsia="en-AU"/>
        </w:rPr>
        <w:t xml:space="preserve"> </w:t>
      </w:r>
      <w:r w:rsidRPr="002029AF">
        <w:rPr>
          <w:lang w:eastAsia="en-AU"/>
        </w:rPr>
        <w:t>are</w:t>
      </w:r>
      <w:r w:rsidR="000A5329" w:rsidRPr="002029AF">
        <w:rPr>
          <w:lang w:eastAsia="en-AU"/>
        </w:rPr>
        <w:t xml:space="preserve"> </w:t>
      </w:r>
      <w:r w:rsidRPr="002029AF">
        <w:rPr>
          <w:lang w:eastAsia="en-AU"/>
        </w:rPr>
        <w:t>recognised</w:t>
      </w:r>
      <w:r w:rsidR="000A5329" w:rsidRPr="002029AF">
        <w:rPr>
          <w:lang w:eastAsia="en-AU"/>
        </w:rPr>
        <w:t xml:space="preserve"> </w:t>
      </w:r>
      <w:r w:rsidRPr="002029AF">
        <w:rPr>
          <w:lang w:eastAsia="en-AU"/>
        </w:rPr>
        <w:t>as</w:t>
      </w:r>
      <w:r w:rsidR="000A5329" w:rsidRPr="002029AF">
        <w:rPr>
          <w:lang w:eastAsia="en-AU"/>
        </w:rPr>
        <w:t xml:space="preserve"> </w:t>
      </w:r>
      <w:r w:rsidRPr="002029AF">
        <w:rPr>
          <w:lang w:eastAsia="en-AU"/>
        </w:rPr>
        <w:t>contributed</w:t>
      </w:r>
      <w:r w:rsidR="000A5329" w:rsidRPr="002029AF">
        <w:rPr>
          <w:lang w:eastAsia="en-AU"/>
        </w:rPr>
        <w:t xml:space="preserve"> </w:t>
      </w:r>
      <w:r w:rsidRPr="002029AF">
        <w:rPr>
          <w:lang w:eastAsia="en-AU"/>
        </w:rPr>
        <w:t>capital.</w:t>
      </w:r>
      <w:r w:rsidR="000A5329" w:rsidRPr="002029AF">
        <w:rPr>
          <w:lang w:eastAsia="en-AU"/>
        </w:rPr>
        <w:t xml:space="preserve"> </w:t>
      </w:r>
      <w:r w:rsidRPr="002029AF">
        <w:rPr>
          <w:lang w:eastAsia="en-AU"/>
        </w:rPr>
        <w:t>Other</w:t>
      </w:r>
      <w:r w:rsidR="000A5329" w:rsidRPr="002029AF">
        <w:rPr>
          <w:lang w:eastAsia="en-AU"/>
        </w:rPr>
        <w:t xml:space="preserve"> </w:t>
      </w:r>
      <w:r w:rsidRPr="002029AF">
        <w:rPr>
          <w:lang w:eastAsia="en-AU"/>
        </w:rPr>
        <w:t>transfers</w:t>
      </w:r>
      <w:r w:rsidR="000A5329" w:rsidRPr="002029AF">
        <w:rPr>
          <w:lang w:eastAsia="en-AU"/>
        </w:rPr>
        <w:t xml:space="preserve"> </w:t>
      </w:r>
      <w:r w:rsidRPr="002029AF">
        <w:rPr>
          <w:lang w:eastAsia="en-AU"/>
        </w:rPr>
        <w:t>that</w:t>
      </w:r>
      <w:r w:rsidR="000A5329" w:rsidRPr="002029AF">
        <w:rPr>
          <w:lang w:eastAsia="en-AU"/>
        </w:rPr>
        <w:t xml:space="preserve"> </w:t>
      </w:r>
      <w:r w:rsidRPr="002029AF">
        <w:rPr>
          <w:lang w:eastAsia="en-AU"/>
        </w:rPr>
        <w:t>are</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nature</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contributions</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or</w:t>
      </w:r>
      <w:r w:rsidR="000A5329" w:rsidRPr="002029AF">
        <w:rPr>
          <w:lang w:eastAsia="en-AU"/>
        </w:rPr>
        <w:t xml:space="preserve"> </w:t>
      </w:r>
      <w:r w:rsidRPr="002029AF">
        <w:rPr>
          <w:lang w:eastAsia="en-AU"/>
        </w:rPr>
        <w:t>distributions</w:t>
      </w:r>
      <w:r w:rsidR="000A5329" w:rsidRPr="002029AF">
        <w:rPr>
          <w:lang w:eastAsia="en-AU"/>
        </w:rPr>
        <w:t xml:space="preserve"> </w:t>
      </w:r>
      <w:r w:rsidRPr="002029AF">
        <w:rPr>
          <w:lang w:eastAsia="en-AU"/>
        </w:rPr>
        <w:t>by</w:t>
      </w:r>
      <w:r w:rsidR="000A5329" w:rsidRPr="002029AF">
        <w:rPr>
          <w:lang w:eastAsia="en-AU"/>
        </w:rPr>
        <w:t xml:space="preserve"> </w:t>
      </w:r>
      <w:r w:rsidRPr="002029AF">
        <w:rPr>
          <w:lang w:eastAsia="en-AU"/>
        </w:rPr>
        <w:t>owners</w:t>
      </w:r>
      <w:r w:rsidR="000A5329" w:rsidRPr="002029AF">
        <w:rPr>
          <w:lang w:eastAsia="en-AU"/>
        </w:rPr>
        <w:t xml:space="preserve"> </w:t>
      </w:r>
      <w:r w:rsidRPr="002029AF">
        <w:rPr>
          <w:lang w:eastAsia="en-AU"/>
        </w:rPr>
        <w:t>have</w:t>
      </w:r>
      <w:r w:rsidR="000A5329" w:rsidRPr="002029AF">
        <w:rPr>
          <w:lang w:eastAsia="en-AU"/>
        </w:rPr>
        <w:t xml:space="preserve"> </w:t>
      </w:r>
      <w:r w:rsidRPr="002029AF">
        <w:rPr>
          <w:lang w:eastAsia="en-AU"/>
        </w:rPr>
        <w:t>also</w:t>
      </w:r>
      <w:r w:rsidR="000A5329" w:rsidRPr="002029AF">
        <w:rPr>
          <w:lang w:eastAsia="en-AU"/>
        </w:rPr>
        <w:t xml:space="preserve"> </w:t>
      </w:r>
      <w:r w:rsidRPr="002029AF">
        <w:rPr>
          <w:lang w:eastAsia="en-AU"/>
        </w:rPr>
        <w:t>been</w:t>
      </w:r>
      <w:r w:rsidR="000A5329" w:rsidRPr="002029AF">
        <w:rPr>
          <w:lang w:eastAsia="en-AU"/>
        </w:rPr>
        <w:t xml:space="preserve"> </w:t>
      </w:r>
      <w:r w:rsidRPr="002029AF">
        <w:rPr>
          <w:lang w:eastAsia="en-AU"/>
        </w:rPr>
        <w:t>designated</w:t>
      </w:r>
      <w:r w:rsidR="000A5329" w:rsidRPr="002029AF">
        <w:rPr>
          <w:lang w:eastAsia="en-AU"/>
        </w:rPr>
        <w:t xml:space="preserve"> </w:t>
      </w:r>
      <w:r w:rsidRPr="002029AF">
        <w:rPr>
          <w:lang w:eastAsia="en-AU"/>
        </w:rPr>
        <w:t>as</w:t>
      </w:r>
      <w:r w:rsidR="000A5329" w:rsidRPr="002029AF">
        <w:rPr>
          <w:lang w:eastAsia="en-AU"/>
        </w:rPr>
        <w:t xml:space="preserve"> </w:t>
      </w:r>
      <w:r w:rsidRPr="002029AF">
        <w:rPr>
          <w:lang w:eastAsia="en-AU"/>
        </w:rPr>
        <w:t>contributions</w:t>
      </w:r>
      <w:r w:rsidR="000A5329" w:rsidRPr="002029AF">
        <w:rPr>
          <w:lang w:eastAsia="en-AU"/>
        </w:rPr>
        <w:t xml:space="preserve"> </w:t>
      </w:r>
      <w:r w:rsidRPr="002029AF">
        <w:rPr>
          <w:lang w:eastAsia="en-AU"/>
        </w:rPr>
        <w:t>by</w:t>
      </w:r>
      <w:r w:rsidR="000A5329" w:rsidRPr="002029AF">
        <w:rPr>
          <w:lang w:eastAsia="en-AU"/>
        </w:rPr>
        <w:t xml:space="preserve"> </w:t>
      </w:r>
      <w:r w:rsidRPr="002029AF">
        <w:rPr>
          <w:lang w:eastAsia="en-AU"/>
        </w:rPr>
        <w:t>owners.</w:t>
      </w:r>
    </w:p>
    <w:p w14:paraId="457071C4" w14:textId="7BDA0BA1" w:rsidR="0065586C" w:rsidRPr="002029AF" w:rsidRDefault="0065586C" w:rsidP="003566F1">
      <w:pPr>
        <w:pStyle w:val="ARbody"/>
        <w:rPr>
          <w:lang w:eastAsia="en-AU"/>
        </w:rPr>
      </w:pPr>
      <w:r w:rsidRPr="002029AF">
        <w:rPr>
          <w:lang w:eastAsia="en-AU"/>
        </w:rPr>
        <w:t>Transfers</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net</w:t>
      </w:r>
      <w:r w:rsidR="000A5329" w:rsidRPr="002029AF">
        <w:rPr>
          <w:lang w:eastAsia="en-AU"/>
        </w:rPr>
        <w:t xml:space="preserve"> </w:t>
      </w:r>
      <w:r w:rsidRPr="002029AF">
        <w:rPr>
          <w:lang w:eastAsia="en-AU"/>
        </w:rPr>
        <w:t>assets</w:t>
      </w:r>
      <w:r w:rsidR="000A5329" w:rsidRPr="002029AF">
        <w:rPr>
          <w:lang w:eastAsia="en-AU"/>
        </w:rPr>
        <w:t xml:space="preserve"> </w:t>
      </w:r>
      <w:r w:rsidRPr="002029AF">
        <w:rPr>
          <w:lang w:eastAsia="en-AU"/>
        </w:rPr>
        <w:t>arising</w:t>
      </w:r>
      <w:r w:rsidR="000A5329" w:rsidRPr="002029AF">
        <w:rPr>
          <w:lang w:eastAsia="en-AU"/>
        </w:rPr>
        <w:t xml:space="preserve"> </w:t>
      </w:r>
      <w:r w:rsidRPr="002029AF">
        <w:rPr>
          <w:lang w:eastAsia="en-AU"/>
        </w:rPr>
        <w:t>from</w:t>
      </w:r>
      <w:r w:rsidR="000A5329" w:rsidRPr="002029AF">
        <w:rPr>
          <w:lang w:eastAsia="en-AU"/>
        </w:rPr>
        <w:t xml:space="preserve"> </w:t>
      </w:r>
      <w:r w:rsidRPr="002029AF">
        <w:rPr>
          <w:lang w:eastAsia="en-AU"/>
        </w:rPr>
        <w:t>administrative</w:t>
      </w:r>
      <w:r w:rsidR="000A5329" w:rsidRPr="002029AF">
        <w:rPr>
          <w:lang w:eastAsia="en-AU"/>
        </w:rPr>
        <w:t xml:space="preserve"> </w:t>
      </w:r>
      <w:r w:rsidRPr="002029AF">
        <w:rPr>
          <w:lang w:eastAsia="en-AU"/>
        </w:rPr>
        <w:t>restructurings</w:t>
      </w:r>
      <w:r w:rsidR="000A5329" w:rsidRPr="002029AF">
        <w:rPr>
          <w:lang w:eastAsia="en-AU"/>
        </w:rPr>
        <w:t xml:space="preserve"> </w:t>
      </w:r>
      <w:r w:rsidRPr="002029AF">
        <w:rPr>
          <w:lang w:eastAsia="en-AU"/>
        </w:rPr>
        <w:t>are</w:t>
      </w:r>
      <w:r w:rsidR="000A5329" w:rsidRPr="002029AF">
        <w:rPr>
          <w:lang w:eastAsia="en-AU"/>
        </w:rPr>
        <w:t xml:space="preserve"> </w:t>
      </w:r>
      <w:r w:rsidRPr="002029AF">
        <w:rPr>
          <w:lang w:eastAsia="en-AU"/>
        </w:rPr>
        <w:t>treated</w:t>
      </w:r>
      <w:r w:rsidR="000A5329" w:rsidRPr="002029AF">
        <w:rPr>
          <w:lang w:eastAsia="en-AU"/>
        </w:rPr>
        <w:t xml:space="preserve"> </w:t>
      </w:r>
      <w:r w:rsidRPr="002029AF">
        <w:rPr>
          <w:lang w:eastAsia="en-AU"/>
        </w:rPr>
        <w:t>as</w:t>
      </w:r>
      <w:r w:rsidR="000A5329" w:rsidRPr="002029AF">
        <w:rPr>
          <w:lang w:eastAsia="en-AU"/>
        </w:rPr>
        <w:t xml:space="preserve"> </w:t>
      </w:r>
      <w:r w:rsidRPr="002029AF">
        <w:rPr>
          <w:lang w:eastAsia="en-AU"/>
        </w:rPr>
        <w:t>distributions</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or</w:t>
      </w:r>
      <w:r w:rsidR="000A5329" w:rsidRPr="002029AF">
        <w:rPr>
          <w:lang w:eastAsia="en-AU"/>
        </w:rPr>
        <w:t xml:space="preserve"> </w:t>
      </w:r>
      <w:r w:rsidRPr="002029AF">
        <w:rPr>
          <w:lang w:eastAsia="en-AU"/>
        </w:rPr>
        <w:t>contribution</w:t>
      </w:r>
      <w:r w:rsidR="000A5329" w:rsidRPr="002029AF">
        <w:rPr>
          <w:lang w:eastAsia="en-AU"/>
        </w:rPr>
        <w:t xml:space="preserve"> </w:t>
      </w:r>
      <w:r w:rsidRPr="002029AF">
        <w:rPr>
          <w:lang w:eastAsia="en-AU"/>
        </w:rPr>
        <w:t>by</w:t>
      </w:r>
      <w:r w:rsidR="000A5329" w:rsidRPr="002029AF">
        <w:rPr>
          <w:lang w:eastAsia="en-AU"/>
        </w:rPr>
        <w:t xml:space="preserve"> </w:t>
      </w:r>
      <w:r w:rsidRPr="002029AF">
        <w:rPr>
          <w:lang w:eastAsia="en-AU"/>
        </w:rPr>
        <w:t>owners.</w:t>
      </w:r>
      <w:r w:rsidR="000A5329" w:rsidRPr="002029AF">
        <w:rPr>
          <w:lang w:eastAsia="en-AU"/>
        </w:rPr>
        <w:t xml:space="preserve"> </w:t>
      </w:r>
      <w:r w:rsidRPr="002029AF">
        <w:rPr>
          <w:lang w:eastAsia="en-AU"/>
        </w:rPr>
        <w:t>Transfer</w:t>
      </w:r>
      <w:r w:rsidR="60FEB01B" w:rsidRPr="002029AF">
        <w:rPr>
          <w:lang w:eastAsia="en-AU"/>
        </w:rPr>
        <w:t>s</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net</w:t>
      </w:r>
      <w:r w:rsidR="000A5329" w:rsidRPr="002029AF">
        <w:rPr>
          <w:lang w:eastAsia="en-AU"/>
        </w:rPr>
        <w:t xml:space="preserve"> </w:t>
      </w:r>
      <w:r w:rsidRPr="002029AF">
        <w:rPr>
          <w:lang w:eastAsia="en-AU"/>
        </w:rPr>
        <w:t>liabilities</w:t>
      </w:r>
      <w:r w:rsidR="000A5329" w:rsidRPr="002029AF">
        <w:rPr>
          <w:lang w:eastAsia="en-AU"/>
        </w:rPr>
        <w:t xml:space="preserve"> </w:t>
      </w:r>
      <w:r w:rsidRPr="002029AF">
        <w:rPr>
          <w:lang w:eastAsia="en-AU"/>
        </w:rPr>
        <w:t>arising</w:t>
      </w:r>
      <w:r w:rsidR="000A5329" w:rsidRPr="002029AF">
        <w:rPr>
          <w:lang w:eastAsia="en-AU"/>
        </w:rPr>
        <w:t xml:space="preserve"> </w:t>
      </w:r>
      <w:r w:rsidRPr="002029AF">
        <w:rPr>
          <w:lang w:eastAsia="en-AU"/>
        </w:rPr>
        <w:t>from</w:t>
      </w:r>
      <w:r w:rsidR="000A5329" w:rsidRPr="002029AF">
        <w:rPr>
          <w:lang w:eastAsia="en-AU"/>
        </w:rPr>
        <w:t xml:space="preserve"> </w:t>
      </w:r>
      <w:r w:rsidRPr="002029AF">
        <w:rPr>
          <w:lang w:eastAsia="en-AU"/>
        </w:rPr>
        <w:t>administrative</w:t>
      </w:r>
      <w:r w:rsidR="000A5329" w:rsidRPr="002029AF">
        <w:rPr>
          <w:lang w:eastAsia="en-AU"/>
        </w:rPr>
        <w:t xml:space="preserve"> </w:t>
      </w:r>
      <w:r w:rsidRPr="002029AF">
        <w:rPr>
          <w:lang w:eastAsia="en-AU"/>
        </w:rPr>
        <w:t>restructurings</w:t>
      </w:r>
      <w:r w:rsidR="000A5329" w:rsidRPr="002029AF">
        <w:rPr>
          <w:lang w:eastAsia="en-AU"/>
        </w:rPr>
        <w:t xml:space="preserve"> </w:t>
      </w:r>
      <w:r w:rsidRPr="002029AF">
        <w:rPr>
          <w:lang w:eastAsia="en-AU"/>
        </w:rPr>
        <w:t>are</w:t>
      </w:r>
      <w:r w:rsidR="000A5329" w:rsidRPr="002029AF">
        <w:rPr>
          <w:lang w:eastAsia="en-AU"/>
        </w:rPr>
        <w:t xml:space="preserve"> </w:t>
      </w:r>
      <w:r w:rsidRPr="002029AF">
        <w:rPr>
          <w:lang w:eastAsia="en-AU"/>
        </w:rPr>
        <w:t>treated</w:t>
      </w:r>
      <w:r w:rsidR="000A5329" w:rsidRPr="002029AF">
        <w:rPr>
          <w:lang w:eastAsia="en-AU"/>
        </w:rPr>
        <w:t xml:space="preserve"> </w:t>
      </w:r>
      <w:r w:rsidRPr="002029AF">
        <w:rPr>
          <w:lang w:eastAsia="en-AU"/>
        </w:rPr>
        <w:t>as</w:t>
      </w:r>
      <w:r w:rsidR="000A5329" w:rsidRPr="002029AF">
        <w:rPr>
          <w:lang w:eastAsia="en-AU"/>
        </w:rPr>
        <w:t xml:space="preserve"> </w:t>
      </w:r>
      <w:r w:rsidRPr="002029AF">
        <w:rPr>
          <w:lang w:eastAsia="en-AU"/>
        </w:rPr>
        <w:t>distribution</w:t>
      </w:r>
      <w:r w:rsidR="3569D5F2" w:rsidRPr="002029AF">
        <w:rPr>
          <w:lang w:eastAsia="en-AU"/>
        </w:rPr>
        <w:t>s</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owners.</w:t>
      </w:r>
    </w:p>
    <w:p w14:paraId="05C94945" w14:textId="0FA00334" w:rsidR="0065586C" w:rsidRPr="002029AF" w:rsidRDefault="0065586C" w:rsidP="003566F1">
      <w:pPr>
        <w:pStyle w:val="ARbody"/>
        <w:rPr>
          <w:lang w:eastAsia="en-AU"/>
        </w:rPr>
      </w:pPr>
      <w:r w:rsidRPr="002029AF">
        <w:rPr>
          <w:lang w:eastAsia="en-AU"/>
        </w:rPr>
        <w:t>Judgements,</w:t>
      </w:r>
      <w:r w:rsidR="000A5329" w:rsidRPr="002029AF">
        <w:rPr>
          <w:lang w:eastAsia="en-AU"/>
        </w:rPr>
        <w:t xml:space="preserve"> </w:t>
      </w:r>
      <w:r w:rsidRPr="002029AF">
        <w:rPr>
          <w:lang w:eastAsia="en-AU"/>
        </w:rPr>
        <w:t>estimates</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assumptions</w:t>
      </w:r>
      <w:r w:rsidR="000A5329" w:rsidRPr="002029AF">
        <w:rPr>
          <w:lang w:eastAsia="en-AU"/>
        </w:rPr>
        <w:t xml:space="preserve"> </w:t>
      </w:r>
      <w:r w:rsidRPr="002029AF">
        <w:rPr>
          <w:lang w:eastAsia="en-AU"/>
        </w:rPr>
        <w:t>are</w:t>
      </w:r>
      <w:r w:rsidR="000A5329" w:rsidRPr="002029AF">
        <w:rPr>
          <w:lang w:eastAsia="en-AU"/>
        </w:rPr>
        <w:t xml:space="preserve"> </w:t>
      </w:r>
      <w:r w:rsidRPr="002029AF">
        <w:rPr>
          <w:lang w:eastAsia="en-AU"/>
        </w:rPr>
        <w:t>required</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be</w:t>
      </w:r>
      <w:r w:rsidR="000A5329" w:rsidRPr="002029AF">
        <w:rPr>
          <w:lang w:eastAsia="en-AU"/>
        </w:rPr>
        <w:t xml:space="preserve"> </w:t>
      </w:r>
      <w:r w:rsidRPr="002029AF">
        <w:rPr>
          <w:lang w:eastAsia="en-AU"/>
        </w:rPr>
        <w:t>made</w:t>
      </w:r>
      <w:r w:rsidR="000A5329" w:rsidRPr="002029AF">
        <w:rPr>
          <w:lang w:eastAsia="en-AU"/>
        </w:rPr>
        <w:t xml:space="preserve"> </w:t>
      </w:r>
      <w:r w:rsidRPr="002029AF">
        <w:rPr>
          <w:lang w:eastAsia="en-AU"/>
        </w:rPr>
        <w:t>about</w:t>
      </w:r>
      <w:r w:rsidR="000A5329" w:rsidRPr="002029AF">
        <w:rPr>
          <w:lang w:eastAsia="en-AU"/>
        </w:rPr>
        <w:t xml:space="preserve"> </w:t>
      </w:r>
      <w:r w:rsidR="4B2BDB9E" w:rsidRPr="002029AF">
        <w:rPr>
          <w:lang w:eastAsia="en-AU"/>
        </w:rPr>
        <w:t>the</w:t>
      </w:r>
      <w:r w:rsidR="000A5329" w:rsidRPr="002029AF">
        <w:rPr>
          <w:lang w:eastAsia="en-AU"/>
        </w:rPr>
        <w:t xml:space="preserve"> </w:t>
      </w:r>
      <w:r w:rsidRPr="002029AF">
        <w:rPr>
          <w:lang w:eastAsia="en-AU"/>
        </w:rPr>
        <w:t>financial</w:t>
      </w:r>
      <w:r w:rsidR="000A5329" w:rsidRPr="002029AF">
        <w:rPr>
          <w:lang w:eastAsia="en-AU"/>
        </w:rPr>
        <w:t xml:space="preserve"> </w:t>
      </w:r>
      <w:r w:rsidRPr="002029AF">
        <w:rPr>
          <w:lang w:eastAsia="en-AU"/>
        </w:rPr>
        <w:t>information</w:t>
      </w:r>
      <w:r w:rsidR="000A5329" w:rsidRPr="002029AF">
        <w:rPr>
          <w:lang w:eastAsia="en-AU"/>
        </w:rPr>
        <w:t xml:space="preserve"> </w:t>
      </w:r>
      <w:r w:rsidRPr="002029AF">
        <w:rPr>
          <w:lang w:eastAsia="en-AU"/>
        </w:rPr>
        <w:t>being</w:t>
      </w:r>
      <w:r w:rsidR="000A5329" w:rsidRPr="002029AF">
        <w:rPr>
          <w:lang w:eastAsia="en-AU"/>
        </w:rPr>
        <w:t xml:space="preserve"> </w:t>
      </w:r>
      <w:r w:rsidRPr="002029AF">
        <w:rPr>
          <w:lang w:eastAsia="en-AU"/>
        </w:rPr>
        <w:t>presented.</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significant</w:t>
      </w:r>
      <w:r w:rsidR="000A5329" w:rsidRPr="002029AF">
        <w:rPr>
          <w:lang w:eastAsia="en-AU"/>
        </w:rPr>
        <w:t xml:space="preserve"> </w:t>
      </w:r>
      <w:r w:rsidRPr="002029AF">
        <w:rPr>
          <w:lang w:eastAsia="en-AU"/>
        </w:rPr>
        <w:t>judgements</w:t>
      </w:r>
      <w:r w:rsidR="000A5329" w:rsidRPr="002029AF">
        <w:rPr>
          <w:lang w:eastAsia="en-AU"/>
        </w:rPr>
        <w:t xml:space="preserve"> </w:t>
      </w:r>
      <w:r w:rsidRPr="002029AF">
        <w:rPr>
          <w:lang w:eastAsia="en-AU"/>
        </w:rPr>
        <w:t>made</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preparation</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these</w:t>
      </w:r>
      <w:r w:rsidR="000A5329" w:rsidRPr="002029AF">
        <w:rPr>
          <w:lang w:eastAsia="en-AU"/>
        </w:rPr>
        <w:t xml:space="preserve"> </w:t>
      </w:r>
      <w:r w:rsidRPr="002029AF">
        <w:rPr>
          <w:lang w:eastAsia="en-AU"/>
        </w:rPr>
        <w:t>financial</w:t>
      </w:r>
      <w:r w:rsidR="000A5329" w:rsidRPr="002029AF">
        <w:rPr>
          <w:lang w:eastAsia="en-AU"/>
        </w:rPr>
        <w:t xml:space="preserve"> </w:t>
      </w:r>
      <w:r w:rsidRPr="002029AF">
        <w:rPr>
          <w:lang w:eastAsia="en-AU"/>
        </w:rPr>
        <w:t>statements</w:t>
      </w:r>
      <w:r w:rsidR="000A5329" w:rsidRPr="002029AF">
        <w:rPr>
          <w:lang w:eastAsia="en-AU"/>
        </w:rPr>
        <w:t xml:space="preserve"> </w:t>
      </w:r>
      <w:r w:rsidRPr="002029AF">
        <w:rPr>
          <w:lang w:eastAsia="en-AU"/>
        </w:rPr>
        <w:t>are</w:t>
      </w:r>
      <w:r w:rsidR="000A5329" w:rsidRPr="002029AF">
        <w:rPr>
          <w:lang w:eastAsia="en-AU"/>
        </w:rPr>
        <w:t xml:space="preserve"> </w:t>
      </w:r>
      <w:r w:rsidRPr="002029AF">
        <w:rPr>
          <w:lang w:eastAsia="en-AU"/>
        </w:rPr>
        <w:t>disclosed</w:t>
      </w:r>
      <w:r w:rsidR="000A5329" w:rsidRPr="002029AF">
        <w:rPr>
          <w:lang w:eastAsia="en-AU"/>
        </w:rPr>
        <w:t xml:space="preserve"> </w:t>
      </w:r>
      <w:r w:rsidRPr="002029AF">
        <w:rPr>
          <w:lang w:eastAsia="en-AU"/>
        </w:rPr>
        <w:t>in</w:t>
      </w:r>
      <w:r w:rsidR="007920F7" w:rsidRPr="002029AF">
        <w:rPr>
          <w:lang w:eastAsia="en-AU"/>
        </w:rPr>
        <w:t> </w:t>
      </w:r>
      <w:r w:rsidRPr="002029AF">
        <w:rPr>
          <w:lang w:eastAsia="en-AU"/>
        </w:rPr>
        <w:t>the</w:t>
      </w:r>
      <w:r w:rsidR="000A5329" w:rsidRPr="002029AF">
        <w:rPr>
          <w:lang w:eastAsia="en-AU"/>
        </w:rPr>
        <w:t xml:space="preserve"> </w:t>
      </w:r>
      <w:r w:rsidRPr="002029AF">
        <w:rPr>
          <w:lang w:eastAsia="en-AU"/>
        </w:rPr>
        <w:t>notes</w:t>
      </w:r>
      <w:r w:rsidR="000A5329" w:rsidRPr="002029AF">
        <w:rPr>
          <w:lang w:eastAsia="en-AU"/>
        </w:rPr>
        <w:t xml:space="preserve"> </w:t>
      </w:r>
      <w:r w:rsidRPr="002029AF">
        <w:rPr>
          <w:lang w:eastAsia="en-AU"/>
        </w:rPr>
        <w:t>where</w:t>
      </w:r>
      <w:r w:rsidR="000A5329" w:rsidRPr="002029AF">
        <w:rPr>
          <w:lang w:eastAsia="en-AU"/>
        </w:rPr>
        <w:t xml:space="preserve"> </w:t>
      </w:r>
      <w:r w:rsidRPr="002029AF">
        <w:rPr>
          <w:lang w:eastAsia="en-AU"/>
        </w:rPr>
        <w:t>amounts</w:t>
      </w:r>
      <w:r w:rsidR="000A5329" w:rsidRPr="002029AF">
        <w:rPr>
          <w:lang w:eastAsia="en-AU"/>
        </w:rPr>
        <w:t xml:space="preserve"> </w:t>
      </w:r>
      <w:r w:rsidRPr="002029AF">
        <w:rPr>
          <w:lang w:eastAsia="en-AU"/>
        </w:rPr>
        <w:t>affected</w:t>
      </w:r>
      <w:r w:rsidR="000A5329" w:rsidRPr="002029AF">
        <w:rPr>
          <w:lang w:eastAsia="en-AU"/>
        </w:rPr>
        <w:t xml:space="preserve"> </w:t>
      </w:r>
      <w:r w:rsidRPr="002029AF">
        <w:rPr>
          <w:lang w:eastAsia="en-AU"/>
        </w:rPr>
        <w:t>by</w:t>
      </w:r>
      <w:r w:rsidR="000A5329" w:rsidRPr="002029AF">
        <w:rPr>
          <w:lang w:eastAsia="en-AU"/>
        </w:rPr>
        <w:t xml:space="preserve"> </w:t>
      </w:r>
      <w:r w:rsidRPr="002029AF">
        <w:rPr>
          <w:lang w:eastAsia="en-AU"/>
        </w:rPr>
        <w:t>those</w:t>
      </w:r>
      <w:r w:rsidR="000A5329" w:rsidRPr="002029AF">
        <w:rPr>
          <w:lang w:eastAsia="en-AU"/>
        </w:rPr>
        <w:t xml:space="preserve"> </w:t>
      </w:r>
      <w:r w:rsidRPr="002029AF">
        <w:rPr>
          <w:lang w:eastAsia="en-AU"/>
        </w:rPr>
        <w:t>judgements</w:t>
      </w:r>
      <w:r w:rsidR="000A5329" w:rsidRPr="002029AF">
        <w:rPr>
          <w:lang w:eastAsia="en-AU"/>
        </w:rPr>
        <w:t xml:space="preserve"> </w:t>
      </w:r>
      <w:r w:rsidRPr="002029AF">
        <w:rPr>
          <w:lang w:eastAsia="en-AU"/>
        </w:rPr>
        <w:t>are</w:t>
      </w:r>
      <w:r w:rsidR="000A5329" w:rsidRPr="002029AF">
        <w:rPr>
          <w:lang w:eastAsia="en-AU"/>
        </w:rPr>
        <w:t xml:space="preserve"> </w:t>
      </w:r>
      <w:r w:rsidRPr="002029AF">
        <w:rPr>
          <w:lang w:eastAsia="en-AU"/>
        </w:rPr>
        <w:t>disclosed.</w:t>
      </w:r>
      <w:r w:rsidR="000A5329" w:rsidRPr="002029AF">
        <w:rPr>
          <w:lang w:eastAsia="en-AU"/>
        </w:rPr>
        <w:t xml:space="preserve"> </w:t>
      </w:r>
      <w:r w:rsidRPr="002029AF">
        <w:rPr>
          <w:lang w:eastAsia="en-AU"/>
        </w:rPr>
        <w:t>Estimates</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associated</w:t>
      </w:r>
      <w:r w:rsidR="000A5329" w:rsidRPr="002029AF">
        <w:rPr>
          <w:lang w:eastAsia="en-AU"/>
        </w:rPr>
        <w:t xml:space="preserve"> </w:t>
      </w:r>
      <w:r w:rsidRPr="002029AF">
        <w:rPr>
          <w:lang w:eastAsia="en-AU"/>
        </w:rPr>
        <w:t>assumptions</w:t>
      </w:r>
      <w:r w:rsidR="000A5329" w:rsidRPr="002029AF">
        <w:rPr>
          <w:lang w:eastAsia="en-AU"/>
        </w:rPr>
        <w:t xml:space="preserve"> </w:t>
      </w:r>
      <w:r w:rsidRPr="002029AF">
        <w:rPr>
          <w:lang w:eastAsia="en-AU"/>
        </w:rPr>
        <w:t>are</w:t>
      </w:r>
      <w:r w:rsidR="000A5329" w:rsidRPr="002029AF">
        <w:rPr>
          <w:lang w:eastAsia="en-AU"/>
        </w:rPr>
        <w:t xml:space="preserve"> </w:t>
      </w:r>
      <w:r w:rsidRPr="002029AF">
        <w:rPr>
          <w:lang w:eastAsia="en-AU"/>
        </w:rPr>
        <w:t>based</w:t>
      </w:r>
      <w:r w:rsidR="000A5329" w:rsidRPr="002029AF">
        <w:rPr>
          <w:lang w:eastAsia="en-AU"/>
        </w:rPr>
        <w:t xml:space="preserve"> </w:t>
      </w:r>
      <w:r w:rsidRPr="002029AF">
        <w:rPr>
          <w:lang w:eastAsia="en-AU"/>
        </w:rPr>
        <w:t>on</w:t>
      </w:r>
      <w:r w:rsidR="000A5329" w:rsidRPr="002029AF">
        <w:rPr>
          <w:lang w:eastAsia="en-AU"/>
        </w:rPr>
        <w:t xml:space="preserve"> </w:t>
      </w:r>
      <w:r w:rsidRPr="002029AF">
        <w:rPr>
          <w:lang w:eastAsia="en-AU"/>
        </w:rPr>
        <w:t>professional</w:t>
      </w:r>
      <w:r w:rsidR="000A5329" w:rsidRPr="002029AF">
        <w:rPr>
          <w:lang w:eastAsia="en-AU"/>
        </w:rPr>
        <w:t xml:space="preserve"> </w:t>
      </w:r>
      <w:r w:rsidRPr="002029AF">
        <w:rPr>
          <w:lang w:eastAsia="en-AU"/>
        </w:rPr>
        <w:t>judgements</w:t>
      </w:r>
      <w:r w:rsidR="000A5329" w:rsidRPr="002029AF">
        <w:rPr>
          <w:lang w:eastAsia="en-AU"/>
        </w:rPr>
        <w:t xml:space="preserve"> </w:t>
      </w:r>
      <w:r w:rsidRPr="002029AF">
        <w:rPr>
          <w:lang w:eastAsia="en-AU"/>
        </w:rPr>
        <w:t>derived</w:t>
      </w:r>
      <w:r w:rsidR="000A5329" w:rsidRPr="002029AF">
        <w:rPr>
          <w:lang w:eastAsia="en-AU"/>
        </w:rPr>
        <w:t xml:space="preserve"> </w:t>
      </w:r>
      <w:r w:rsidRPr="002029AF">
        <w:rPr>
          <w:lang w:eastAsia="en-AU"/>
        </w:rPr>
        <w:t>from</w:t>
      </w:r>
      <w:r w:rsidR="000A5329" w:rsidRPr="002029AF">
        <w:rPr>
          <w:lang w:eastAsia="en-AU"/>
        </w:rPr>
        <w:t xml:space="preserve"> </w:t>
      </w:r>
      <w:r w:rsidRPr="002029AF">
        <w:rPr>
          <w:lang w:eastAsia="en-AU"/>
        </w:rPr>
        <w:t>historical</w:t>
      </w:r>
      <w:r w:rsidR="000A5329" w:rsidRPr="002029AF">
        <w:rPr>
          <w:lang w:eastAsia="en-AU"/>
        </w:rPr>
        <w:t xml:space="preserve"> </w:t>
      </w:r>
      <w:r w:rsidRPr="002029AF">
        <w:rPr>
          <w:lang w:eastAsia="en-AU"/>
        </w:rPr>
        <w:t>experience</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various</w:t>
      </w:r>
      <w:r w:rsidR="000A5329" w:rsidRPr="002029AF">
        <w:rPr>
          <w:lang w:eastAsia="en-AU"/>
        </w:rPr>
        <w:t xml:space="preserve"> </w:t>
      </w:r>
      <w:r w:rsidRPr="002029AF">
        <w:rPr>
          <w:lang w:eastAsia="en-AU"/>
        </w:rPr>
        <w:t>other</w:t>
      </w:r>
      <w:r w:rsidR="000A5329" w:rsidRPr="002029AF">
        <w:rPr>
          <w:lang w:eastAsia="en-AU"/>
        </w:rPr>
        <w:t xml:space="preserve"> </w:t>
      </w:r>
      <w:r w:rsidRPr="002029AF">
        <w:rPr>
          <w:lang w:eastAsia="en-AU"/>
        </w:rPr>
        <w:t>factors</w:t>
      </w:r>
      <w:r w:rsidR="000A5329" w:rsidRPr="002029AF">
        <w:rPr>
          <w:lang w:eastAsia="en-AU"/>
        </w:rPr>
        <w:t xml:space="preserve"> </w:t>
      </w:r>
      <w:r w:rsidRPr="002029AF">
        <w:rPr>
          <w:lang w:eastAsia="en-AU"/>
        </w:rPr>
        <w:t>that</w:t>
      </w:r>
      <w:r w:rsidR="000A5329" w:rsidRPr="002029AF">
        <w:rPr>
          <w:lang w:eastAsia="en-AU"/>
        </w:rPr>
        <w:t xml:space="preserve"> </w:t>
      </w:r>
      <w:r w:rsidRPr="002029AF">
        <w:rPr>
          <w:lang w:eastAsia="en-AU"/>
        </w:rPr>
        <w:t>are</w:t>
      </w:r>
      <w:r w:rsidR="000A5329" w:rsidRPr="002029AF">
        <w:rPr>
          <w:lang w:eastAsia="en-AU"/>
        </w:rPr>
        <w:t xml:space="preserve"> </w:t>
      </w:r>
      <w:r w:rsidRPr="002029AF">
        <w:rPr>
          <w:lang w:eastAsia="en-AU"/>
        </w:rPr>
        <w:t>believed</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be</w:t>
      </w:r>
      <w:r w:rsidR="000A5329" w:rsidRPr="002029AF">
        <w:rPr>
          <w:lang w:eastAsia="en-AU"/>
        </w:rPr>
        <w:t xml:space="preserve"> </w:t>
      </w:r>
      <w:r w:rsidRPr="002029AF">
        <w:rPr>
          <w:lang w:eastAsia="en-AU"/>
        </w:rPr>
        <w:t>reasonable</w:t>
      </w:r>
      <w:r w:rsidR="000A5329" w:rsidRPr="002029AF">
        <w:rPr>
          <w:lang w:eastAsia="en-AU"/>
        </w:rPr>
        <w:t xml:space="preserve"> </w:t>
      </w:r>
      <w:r w:rsidRPr="002029AF">
        <w:rPr>
          <w:lang w:eastAsia="en-AU"/>
        </w:rPr>
        <w:t>under</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circumstances.</w:t>
      </w:r>
      <w:r w:rsidR="000A5329" w:rsidRPr="002029AF">
        <w:rPr>
          <w:lang w:eastAsia="en-AU"/>
        </w:rPr>
        <w:t xml:space="preserve"> </w:t>
      </w:r>
      <w:r w:rsidRPr="002029AF">
        <w:rPr>
          <w:lang w:eastAsia="en-AU"/>
        </w:rPr>
        <w:t>Actual</w:t>
      </w:r>
      <w:r w:rsidR="000A5329" w:rsidRPr="002029AF">
        <w:rPr>
          <w:lang w:eastAsia="en-AU"/>
        </w:rPr>
        <w:t xml:space="preserve"> </w:t>
      </w:r>
      <w:r w:rsidRPr="002029AF">
        <w:rPr>
          <w:lang w:eastAsia="en-AU"/>
        </w:rPr>
        <w:t>results</w:t>
      </w:r>
      <w:r w:rsidR="000A5329" w:rsidRPr="002029AF">
        <w:rPr>
          <w:lang w:eastAsia="en-AU"/>
        </w:rPr>
        <w:t xml:space="preserve"> </w:t>
      </w:r>
      <w:r w:rsidRPr="002029AF">
        <w:rPr>
          <w:lang w:eastAsia="en-AU"/>
        </w:rPr>
        <w:t>may</w:t>
      </w:r>
      <w:r w:rsidR="000A5329" w:rsidRPr="002029AF">
        <w:rPr>
          <w:lang w:eastAsia="en-AU"/>
        </w:rPr>
        <w:t xml:space="preserve"> </w:t>
      </w:r>
      <w:r w:rsidRPr="002029AF">
        <w:rPr>
          <w:lang w:eastAsia="en-AU"/>
        </w:rPr>
        <w:t>differ</w:t>
      </w:r>
      <w:r w:rsidR="000A5329" w:rsidRPr="002029AF">
        <w:rPr>
          <w:lang w:eastAsia="en-AU"/>
        </w:rPr>
        <w:t xml:space="preserve"> </w:t>
      </w:r>
      <w:r w:rsidRPr="002029AF">
        <w:rPr>
          <w:lang w:eastAsia="en-AU"/>
        </w:rPr>
        <w:t>from</w:t>
      </w:r>
      <w:r w:rsidR="000A5329" w:rsidRPr="002029AF">
        <w:rPr>
          <w:lang w:eastAsia="en-AU"/>
        </w:rPr>
        <w:t xml:space="preserve"> </w:t>
      </w:r>
      <w:r w:rsidRPr="002029AF">
        <w:rPr>
          <w:lang w:eastAsia="en-AU"/>
        </w:rPr>
        <w:t>these</w:t>
      </w:r>
      <w:r w:rsidR="000A5329" w:rsidRPr="002029AF">
        <w:rPr>
          <w:lang w:eastAsia="en-AU"/>
        </w:rPr>
        <w:t xml:space="preserve"> </w:t>
      </w:r>
      <w:r w:rsidRPr="002029AF">
        <w:rPr>
          <w:lang w:eastAsia="en-AU"/>
        </w:rPr>
        <w:t>estimates.</w:t>
      </w:r>
    </w:p>
    <w:p w14:paraId="160C801C" w14:textId="220B5273" w:rsidR="0065586C" w:rsidRPr="002029AF" w:rsidRDefault="0065586C" w:rsidP="003566F1">
      <w:pPr>
        <w:pStyle w:val="ARbody"/>
        <w:rPr>
          <w:lang w:eastAsia="en-AU"/>
        </w:rPr>
      </w:pPr>
      <w:r w:rsidRPr="002029AF">
        <w:rPr>
          <w:lang w:eastAsia="en-AU"/>
        </w:rPr>
        <w:t>Revisions</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accounting</w:t>
      </w:r>
      <w:r w:rsidR="000A5329" w:rsidRPr="002029AF">
        <w:rPr>
          <w:lang w:eastAsia="en-AU"/>
        </w:rPr>
        <w:t xml:space="preserve"> </w:t>
      </w:r>
      <w:r w:rsidRPr="002029AF">
        <w:rPr>
          <w:lang w:eastAsia="en-AU"/>
        </w:rPr>
        <w:t>estimates</w:t>
      </w:r>
      <w:r w:rsidR="000A5329" w:rsidRPr="002029AF">
        <w:rPr>
          <w:lang w:eastAsia="en-AU"/>
        </w:rPr>
        <w:t xml:space="preserve"> </w:t>
      </w:r>
      <w:r w:rsidRPr="002029AF">
        <w:rPr>
          <w:lang w:eastAsia="en-AU"/>
        </w:rPr>
        <w:t>are</w:t>
      </w:r>
      <w:r w:rsidR="000A5329" w:rsidRPr="002029AF">
        <w:rPr>
          <w:lang w:eastAsia="en-AU"/>
        </w:rPr>
        <w:t xml:space="preserve"> </w:t>
      </w:r>
      <w:r w:rsidRPr="002029AF">
        <w:rPr>
          <w:lang w:eastAsia="en-AU"/>
        </w:rPr>
        <w:t>recognised</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period</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which</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estimate</w:t>
      </w:r>
      <w:r w:rsidR="000A5329" w:rsidRPr="002029AF">
        <w:rPr>
          <w:lang w:eastAsia="en-AU"/>
        </w:rPr>
        <w:t xml:space="preserve"> </w:t>
      </w:r>
      <w:r w:rsidRPr="002029AF">
        <w:rPr>
          <w:lang w:eastAsia="en-AU"/>
        </w:rPr>
        <w:t>is</w:t>
      </w:r>
      <w:r w:rsidR="000A5329" w:rsidRPr="002029AF">
        <w:rPr>
          <w:lang w:eastAsia="en-AU"/>
        </w:rPr>
        <w:t xml:space="preserve"> </w:t>
      </w:r>
      <w:r w:rsidRPr="002029AF">
        <w:rPr>
          <w:lang w:eastAsia="en-AU"/>
        </w:rPr>
        <w:t>revised</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also</w:t>
      </w:r>
      <w:r w:rsidR="000A5329" w:rsidRPr="002029AF">
        <w:rPr>
          <w:lang w:eastAsia="en-AU"/>
        </w:rPr>
        <w:t xml:space="preserve"> </w:t>
      </w:r>
      <w:r w:rsidRPr="002029AF">
        <w:rPr>
          <w:lang w:eastAsia="en-AU"/>
        </w:rPr>
        <w:t>in</w:t>
      </w:r>
      <w:r w:rsidR="007920F7" w:rsidRPr="002029AF">
        <w:rPr>
          <w:lang w:eastAsia="en-AU"/>
        </w:rPr>
        <w:t> </w:t>
      </w:r>
      <w:r w:rsidRPr="002029AF">
        <w:rPr>
          <w:lang w:eastAsia="en-AU"/>
        </w:rPr>
        <w:t>future</w:t>
      </w:r>
      <w:r w:rsidR="000A5329" w:rsidRPr="002029AF">
        <w:rPr>
          <w:lang w:eastAsia="en-AU"/>
        </w:rPr>
        <w:t xml:space="preserve"> </w:t>
      </w:r>
      <w:r w:rsidRPr="002029AF">
        <w:rPr>
          <w:lang w:eastAsia="en-AU"/>
        </w:rPr>
        <w:t>periods</w:t>
      </w:r>
      <w:r w:rsidR="000A5329" w:rsidRPr="002029AF">
        <w:rPr>
          <w:lang w:eastAsia="en-AU"/>
        </w:rPr>
        <w:t xml:space="preserve"> </w:t>
      </w:r>
      <w:r w:rsidRPr="002029AF">
        <w:rPr>
          <w:lang w:eastAsia="en-AU"/>
        </w:rPr>
        <w:t>that</w:t>
      </w:r>
      <w:r w:rsidR="000A5329" w:rsidRPr="002029AF">
        <w:rPr>
          <w:lang w:eastAsia="en-AU"/>
        </w:rPr>
        <w:t xml:space="preserve"> </w:t>
      </w:r>
      <w:r w:rsidRPr="002029AF">
        <w:rPr>
          <w:lang w:eastAsia="en-AU"/>
        </w:rPr>
        <w:t>are</w:t>
      </w:r>
      <w:r w:rsidR="000A5329" w:rsidRPr="002029AF">
        <w:rPr>
          <w:lang w:eastAsia="en-AU"/>
        </w:rPr>
        <w:t xml:space="preserve"> </w:t>
      </w:r>
      <w:r w:rsidRPr="002029AF">
        <w:rPr>
          <w:lang w:eastAsia="en-AU"/>
        </w:rPr>
        <w:t>affected</w:t>
      </w:r>
      <w:r w:rsidR="000A5329" w:rsidRPr="002029AF">
        <w:rPr>
          <w:lang w:eastAsia="en-AU"/>
        </w:rPr>
        <w:t xml:space="preserve"> </w:t>
      </w:r>
      <w:r w:rsidRPr="002029AF">
        <w:rPr>
          <w:lang w:eastAsia="en-AU"/>
        </w:rPr>
        <w:t>by</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revision.</w:t>
      </w:r>
      <w:r w:rsidR="000A5329" w:rsidRPr="002029AF">
        <w:rPr>
          <w:lang w:eastAsia="en-AU"/>
        </w:rPr>
        <w:t xml:space="preserve"> </w:t>
      </w:r>
      <w:r w:rsidRPr="002029AF">
        <w:rPr>
          <w:lang w:eastAsia="en-AU"/>
        </w:rPr>
        <w:t>Judgements</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assumptions</w:t>
      </w:r>
      <w:r w:rsidR="000A5329" w:rsidRPr="002029AF">
        <w:rPr>
          <w:lang w:eastAsia="en-AU"/>
        </w:rPr>
        <w:t xml:space="preserve"> </w:t>
      </w:r>
      <w:r w:rsidRPr="002029AF">
        <w:rPr>
          <w:lang w:eastAsia="en-AU"/>
        </w:rPr>
        <w:t>made</w:t>
      </w:r>
      <w:r w:rsidR="000A5329" w:rsidRPr="002029AF">
        <w:rPr>
          <w:lang w:eastAsia="en-AU"/>
        </w:rPr>
        <w:t xml:space="preserve"> </w:t>
      </w:r>
      <w:r w:rsidRPr="002029AF">
        <w:rPr>
          <w:lang w:eastAsia="en-AU"/>
        </w:rPr>
        <w:t>by</w:t>
      </w:r>
      <w:r w:rsidR="000A5329" w:rsidRPr="002029AF">
        <w:rPr>
          <w:lang w:eastAsia="en-AU"/>
        </w:rPr>
        <w:t xml:space="preserve"> </w:t>
      </w:r>
      <w:r w:rsidRPr="002029AF">
        <w:rPr>
          <w:lang w:eastAsia="en-AU"/>
        </w:rPr>
        <w:t>management</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applying</w:t>
      </w:r>
      <w:r w:rsidR="000A5329" w:rsidRPr="002029AF">
        <w:rPr>
          <w:lang w:eastAsia="en-AU"/>
        </w:rPr>
        <w:t xml:space="preserve"> </w:t>
      </w:r>
      <w:r w:rsidRPr="002029AF">
        <w:rPr>
          <w:lang w:eastAsia="en-AU"/>
        </w:rPr>
        <w:t>Australian</w:t>
      </w:r>
      <w:r w:rsidR="000A5329" w:rsidRPr="002029AF">
        <w:rPr>
          <w:lang w:eastAsia="en-AU"/>
        </w:rPr>
        <w:t xml:space="preserve"> </w:t>
      </w:r>
      <w:r w:rsidRPr="002029AF">
        <w:rPr>
          <w:lang w:eastAsia="en-AU"/>
        </w:rPr>
        <w:t>Accounting</w:t>
      </w:r>
      <w:r w:rsidR="000A5329" w:rsidRPr="002029AF">
        <w:rPr>
          <w:lang w:eastAsia="en-AU"/>
        </w:rPr>
        <w:t xml:space="preserve"> </w:t>
      </w:r>
      <w:r w:rsidRPr="002029AF">
        <w:rPr>
          <w:lang w:eastAsia="en-AU"/>
        </w:rPr>
        <w:t>Standards</w:t>
      </w:r>
      <w:r w:rsidR="000A5329" w:rsidRPr="002029AF">
        <w:rPr>
          <w:lang w:eastAsia="en-AU"/>
        </w:rPr>
        <w:t xml:space="preserve"> </w:t>
      </w:r>
      <w:r w:rsidRPr="002029AF">
        <w:rPr>
          <w:lang w:eastAsia="en-AU"/>
        </w:rPr>
        <w:t>(AAS)</w:t>
      </w:r>
      <w:r w:rsidR="000A5329" w:rsidRPr="002029AF">
        <w:rPr>
          <w:lang w:eastAsia="en-AU"/>
        </w:rPr>
        <w:t xml:space="preserve"> </w:t>
      </w:r>
      <w:r w:rsidRPr="002029AF">
        <w:rPr>
          <w:lang w:eastAsia="en-AU"/>
        </w:rPr>
        <w:t>that</w:t>
      </w:r>
      <w:r w:rsidR="000A5329" w:rsidRPr="002029AF">
        <w:rPr>
          <w:lang w:eastAsia="en-AU"/>
        </w:rPr>
        <w:t xml:space="preserve"> </w:t>
      </w:r>
      <w:r w:rsidRPr="002029AF">
        <w:rPr>
          <w:lang w:eastAsia="en-AU"/>
        </w:rPr>
        <w:t>have</w:t>
      </w:r>
      <w:r w:rsidR="000A5329" w:rsidRPr="002029AF">
        <w:rPr>
          <w:lang w:eastAsia="en-AU"/>
        </w:rPr>
        <w:t xml:space="preserve"> </w:t>
      </w:r>
      <w:r w:rsidRPr="002029AF">
        <w:rPr>
          <w:lang w:eastAsia="en-AU"/>
        </w:rPr>
        <w:t>significant</w:t>
      </w:r>
      <w:r w:rsidR="000A5329" w:rsidRPr="002029AF">
        <w:rPr>
          <w:lang w:eastAsia="en-AU"/>
        </w:rPr>
        <w:t xml:space="preserve"> </w:t>
      </w:r>
      <w:r w:rsidRPr="002029AF">
        <w:rPr>
          <w:lang w:eastAsia="en-AU"/>
        </w:rPr>
        <w:t>effect</w:t>
      </w:r>
      <w:r w:rsidR="000A5329" w:rsidRPr="002029AF">
        <w:rPr>
          <w:lang w:eastAsia="en-AU"/>
        </w:rPr>
        <w:t xml:space="preserve"> </w:t>
      </w:r>
      <w:r w:rsidRPr="002029AF">
        <w:rPr>
          <w:lang w:eastAsia="en-AU"/>
        </w:rPr>
        <w:t>on</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financial</w:t>
      </w:r>
      <w:r w:rsidR="000A5329" w:rsidRPr="002029AF">
        <w:rPr>
          <w:lang w:eastAsia="en-AU"/>
        </w:rPr>
        <w:t xml:space="preserve"> </w:t>
      </w:r>
      <w:r w:rsidRPr="002029AF">
        <w:rPr>
          <w:lang w:eastAsia="en-AU"/>
        </w:rPr>
        <w:t>statements</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estimates,</w:t>
      </w:r>
      <w:r w:rsidR="000A5329" w:rsidRPr="002029AF">
        <w:rPr>
          <w:lang w:eastAsia="en-AU"/>
        </w:rPr>
        <w:t xml:space="preserve"> </w:t>
      </w:r>
      <w:r w:rsidRPr="002029AF">
        <w:rPr>
          <w:lang w:eastAsia="en-AU"/>
        </w:rPr>
        <w:t>relate</w:t>
      </w:r>
      <w:r w:rsidR="000A5329" w:rsidRPr="002029AF">
        <w:rPr>
          <w:lang w:eastAsia="en-AU"/>
        </w:rPr>
        <w:t xml:space="preserve"> </w:t>
      </w:r>
      <w:r w:rsidRPr="002029AF">
        <w:rPr>
          <w:lang w:eastAsia="en-AU"/>
        </w:rPr>
        <w:t>to:</w:t>
      </w:r>
    </w:p>
    <w:p w14:paraId="789B73CE" w14:textId="277DA74A" w:rsidR="0065586C" w:rsidRPr="002029AF" w:rsidRDefault="0065586C" w:rsidP="003566F1">
      <w:pPr>
        <w:pStyle w:val="ARbullet1"/>
        <w:rPr>
          <w:lang w:eastAsia="en-AU"/>
        </w:rPr>
      </w:pPr>
      <w:r w:rsidRPr="002029AF">
        <w:rPr>
          <w:lang w:eastAsia="en-AU"/>
        </w:rPr>
        <w:t>the</w:t>
      </w:r>
      <w:r w:rsidR="000A5329" w:rsidRPr="002029AF">
        <w:rPr>
          <w:lang w:eastAsia="en-AU"/>
        </w:rPr>
        <w:t xml:space="preserve"> </w:t>
      </w:r>
      <w:r w:rsidRPr="002029AF">
        <w:rPr>
          <w:lang w:eastAsia="en-AU"/>
        </w:rPr>
        <w:t>fair</w:t>
      </w:r>
      <w:r w:rsidR="000A5329" w:rsidRPr="002029AF">
        <w:rPr>
          <w:lang w:eastAsia="en-AU"/>
        </w:rPr>
        <w:t xml:space="preserve"> </w:t>
      </w:r>
      <w:r w:rsidRPr="002029AF">
        <w:rPr>
          <w:lang w:eastAsia="en-AU"/>
        </w:rPr>
        <w:t>value</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land,</w:t>
      </w:r>
      <w:r w:rsidR="000A5329" w:rsidRPr="002029AF">
        <w:rPr>
          <w:lang w:eastAsia="en-AU"/>
        </w:rPr>
        <w:t xml:space="preserve"> </w:t>
      </w:r>
      <w:r w:rsidRPr="002029AF">
        <w:rPr>
          <w:lang w:eastAsia="en-AU"/>
        </w:rPr>
        <w:t>buildings,</w:t>
      </w:r>
      <w:r w:rsidR="000A5329" w:rsidRPr="002029AF">
        <w:rPr>
          <w:lang w:eastAsia="en-AU"/>
        </w:rPr>
        <w:t xml:space="preserve"> </w:t>
      </w:r>
      <w:r w:rsidRPr="002029AF">
        <w:rPr>
          <w:lang w:eastAsia="en-AU"/>
        </w:rPr>
        <w:t>infrastructure,</w:t>
      </w:r>
      <w:r w:rsidR="000A5329" w:rsidRPr="002029AF">
        <w:rPr>
          <w:lang w:eastAsia="en-AU"/>
        </w:rPr>
        <w:t xml:space="preserve"> </w:t>
      </w:r>
      <w:r w:rsidRPr="002029AF">
        <w:rPr>
          <w:lang w:eastAsia="en-AU"/>
        </w:rPr>
        <w:t>plant</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equipment</w:t>
      </w:r>
      <w:r w:rsidR="000A5329" w:rsidRPr="002029AF">
        <w:rPr>
          <w:lang w:eastAsia="en-AU"/>
        </w:rPr>
        <w:t xml:space="preserve"> </w:t>
      </w:r>
      <w:r w:rsidRPr="002029AF">
        <w:rPr>
          <w:lang w:eastAsia="en-AU"/>
        </w:rPr>
        <w:t>(refer</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Note</w:t>
      </w:r>
      <w:r w:rsidR="000A5329" w:rsidRPr="002029AF">
        <w:rPr>
          <w:lang w:eastAsia="en-AU"/>
        </w:rPr>
        <w:t xml:space="preserve"> </w:t>
      </w:r>
      <w:r w:rsidRPr="002029AF">
        <w:rPr>
          <w:lang w:eastAsia="en-AU"/>
        </w:rPr>
        <w:t>8.3.2)</w:t>
      </w:r>
    </w:p>
    <w:p w14:paraId="7EB6AA88" w14:textId="1971016F" w:rsidR="0065586C" w:rsidRPr="002029AF" w:rsidRDefault="0065586C" w:rsidP="003566F1">
      <w:pPr>
        <w:pStyle w:val="ARbullet1"/>
        <w:rPr>
          <w:lang w:eastAsia="en-AU"/>
        </w:rPr>
      </w:pPr>
      <w:r w:rsidRPr="002029AF">
        <w:rPr>
          <w:lang w:eastAsia="en-AU"/>
        </w:rPr>
        <w:t>superannuation</w:t>
      </w:r>
      <w:r w:rsidR="000A5329" w:rsidRPr="002029AF">
        <w:rPr>
          <w:lang w:eastAsia="en-AU"/>
        </w:rPr>
        <w:t xml:space="preserve"> </w:t>
      </w:r>
      <w:r w:rsidRPr="002029AF">
        <w:rPr>
          <w:lang w:eastAsia="en-AU"/>
        </w:rPr>
        <w:t>expense</w:t>
      </w:r>
      <w:r w:rsidR="000A5329" w:rsidRPr="002029AF">
        <w:rPr>
          <w:lang w:eastAsia="en-AU"/>
        </w:rPr>
        <w:t xml:space="preserve"> </w:t>
      </w:r>
      <w:r w:rsidRPr="002029AF">
        <w:rPr>
          <w:lang w:eastAsia="en-AU"/>
        </w:rPr>
        <w:t>(refer</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Note</w:t>
      </w:r>
      <w:r w:rsidR="000A5329" w:rsidRPr="002029AF">
        <w:rPr>
          <w:lang w:eastAsia="en-AU"/>
        </w:rPr>
        <w:t xml:space="preserve"> </w:t>
      </w:r>
      <w:r w:rsidRPr="002029AF">
        <w:rPr>
          <w:lang w:eastAsia="en-AU"/>
        </w:rPr>
        <w:t>3.1.1(b))</w:t>
      </w:r>
    </w:p>
    <w:p w14:paraId="40B9179F" w14:textId="595B5E37" w:rsidR="0065586C" w:rsidRPr="002029AF" w:rsidRDefault="0065586C" w:rsidP="003566F1">
      <w:pPr>
        <w:pStyle w:val="ARbullet1"/>
        <w:rPr>
          <w:lang w:eastAsia="en-AU"/>
        </w:rPr>
      </w:pPr>
      <w:r w:rsidRPr="002029AF">
        <w:rPr>
          <w:lang w:eastAsia="en-AU"/>
        </w:rPr>
        <w:t>assumptions</w:t>
      </w:r>
      <w:r w:rsidR="000A5329" w:rsidRPr="002029AF">
        <w:rPr>
          <w:lang w:eastAsia="en-AU"/>
        </w:rPr>
        <w:t xml:space="preserve"> </w:t>
      </w:r>
      <w:r w:rsidRPr="002029AF">
        <w:rPr>
          <w:lang w:eastAsia="en-AU"/>
        </w:rPr>
        <w:t>for</w:t>
      </w:r>
      <w:r w:rsidR="000A5329" w:rsidRPr="002029AF">
        <w:rPr>
          <w:lang w:eastAsia="en-AU"/>
        </w:rPr>
        <w:t xml:space="preserve"> </w:t>
      </w:r>
      <w:r w:rsidRPr="002029AF">
        <w:rPr>
          <w:lang w:eastAsia="en-AU"/>
        </w:rPr>
        <w:t>employee</w:t>
      </w:r>
      <w:r w:rsidR="000A5329" w:rsidRPr="002029AF">
        <w:rPr>
          <w:lang w:eastAsia="en-AU"/>
        </w:rPr>
        <w:t xml:space="preserve"> </w:t>
      </w:r>
      <w:r w:rsidRPr="002029AF">
        <w:rPr>
          <w:lang w:eastAsia="en-AU"/>
        </w:rPr>
        <w:t>benefit</w:t>
      </w:r>
      <w:r w:rsidR="000A5329" w:rsidRPr="002029AF">
        <w:rPr>
          <w:lang w:eastAsia="en-AU"/>
        </w:rPr>
        <w:t xml:space="preserve"> </w:t>
      </w:r>
      <w:r w:rsidRPr="002029AF">
        <w:rPr>
          <w:lang w:eastAsia="en-AU"/>
        </w:rPr>
        <w:t>provisions</w:t>
      </w:r>
      <w:r w:rsidR="000A5329" w:rsidRPr="002029AF">
        <w:rPr>
          <w:lang w:eastAsia="en-AU"/>
        </w:rPr>
        <w:t xml:space="preserve"> </w:t>
      </w:r>
      <w:r w:rsidRPr="002029AF">
        <w:rPr>
          <w:lang w:eastAsia="en-AU"/>
        </w:rPr>
        <w:t>based</w:t>
      </w:r>
      <w:r w:rsidR="000A5329" w:rsidRPr="002029AF">
        <w:rPr>
          <w:lang w:eastAsia="en-AU"/>
        </w:rPr>
        <w:t xml:space="preserve"> </w:t>
      </w:r>
      <w:r w:rsidRPr="002029AF">
        <w:rPr>
          <w:lang w:eastAsia="en-AU"/>
        </w:rPr>
        <w:t>on</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likely</w:t>
      </w:r>
      <w:r w:rsidR="000A5329" w:rsidRPr="002029AF">
        <w:rPr>
          <w:lang w:eastAsia="en-AU"/>
        </w:rPr>
        <w:t xml:space="preserve"> </w:t>
      </w:r>
      <w:r w:rsidRPr="002029AF">
        <w:rPr>
          <w:lang w:eastAsia="en-AU"/>
        </w:rPr>
        <w:t>tenure</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existing</w:t>
      </w:r>
      <w:r w:rsidR="000A5329" w:rsidRPr="002029AF">
        <w:rPr>
          <w:lang w:eastAsia="en-AU"/>
        </w:rPr>
        <w:t xml:space="preserve"> </w:t>
      </w:r>
      <w:r w:rsidRPr="002029AF">
        <w:rPr>
          <w:lang w:eastAsia="en-AU"/>
        </w:rPr>
        <w:t>staff,</w:t>
      </w:r>
      <w:r w:rsidR="000A5329" w:rsidRPr="002029AF">
        <w:rPr>
          <w:lang w:eastAsia="en-AU"/>
        </w:rPr>
        <w:t xml:space="preserve"> </w:t>
      </w:r>
      <w:r w:rsidRPr="002029AF">
        <w:rPr>
          <w:lang w:eastAsia="en-AU"/>
        </w:rPr>
        <w:t>patterns</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leave</w:t>
      </w:r>
      <w:r w:rsidR="000A5329" w:rsidRPr="002029AF">
        <w:rPr>
          <w:lang w:eastAsia="en-AU"/>
        </w:rPr>
        <w:t xml:space="preserve"> </w:t>
      </w:r>
      <w:r w:rsidRPr="002029AF">
        <w:rPr>
          <w:lang w:eastAsia="en-AU"/>
        </w:rPr>
        <w:t>claims,</w:t>
      </w:r>
      <w:r w:rsidR="000A5329" w:rsidRPr="002029AF">
        <w:rPr>
          <w:lang w:eastAsia="en-AU"/>
        </w:rPr>
        <w:t xml:space="preserve"> </w:t>
      </w:r>
      <w:r w:rsidRPr="002029AF">
        <w:rPr>
          <w:lang w:eastAsia="en-AU"/>
        </w:rPr>
        <w:t>future</w:t>
      </w:r>
      <w:r w:rsidR="000A5329" w:rsidRPr="002029AF">
        <w:rPr>
          <w:lang w:eastAsia="en-AU"/>
        </w:rPr>
        <w:t xml:space="preserve"> </w:t>
      </w:r>
      <w:r w:rsidRPr="002029AF">
        <w:rPr>
          <w:lang w:eastAsia="en-AU"/>
        </w:rPr>
        <w:t>salary</w:t>
      </w:r>
      <w:r w:rsidR="000A5329" w:rsidRPr="002029AF">
        <w:rPr>
          <w:lang w:eastAsia="en-AU"/>
        </w:rPr>
        <w:t xml:space="preserve"> </w:t>
      </w:r>
      <w:r w:rsidRPr="002029AF">
        <w:rPr>
          <w:lang w:eastAsia="en-AU"/>
        </w:rPr>
        <w:t>movements</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future</w:t>
      </w:r>
      <w:r w:rsidR="000A5329" w:rsidRPr="002029AF">
        <w:rPr>
          <w:lang w:eastAsia="en-AU"/>
        </w:rPr>
        <w:t xml:space="preserve"> </w:t>
      </w:r>
      <w:r w:rsidRPr="002029AF">
        <w:rPr>
          <w:lang w:eastAsia="en-AU"/>
        </w:rPr>
        <w:t>discount</w:t>
      </w:r>
      <w:r w:rsidR="000A5329" w:rsidRPr="002029AF">
        <w:rPr>
          <w:lang w:eastAsia="en-AU"/>
        </w:rPr>
        <w:t xml:space="preserve"> </w:t>
      </w:r>
      <w:r w:rsidRPr="002029AF">
        <w:rPr>
          <w:lang w:eastAsia="en-AU"/>
        </w:rPr>
        <w:t>rates</w:t>
      </w:r>
      <w:r w:rsidR="000A5329" w:rsidRPr="002029AF">
        <w:rPr>
          <w:lang w:eastAsia="en-AU"/>
        </w:rPr>
        <w:t xml:space="preserve"> </w:t>
      </w:r>
      <w:r w:rsidRPr="002029AF">
        <w:rPr>
          <w:lang w:eastAsia="en-AU"/>
        </w:rPr>
        <w:t>(refer</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Note</w:t>
      </w:r>
      <w:r w:rsidR="000A5329" w:rsidRPr="002029AF">
        <w:rPr>
          <w:lang w:eastAsia="en-AU"/>
        </w:rPr>
        <w:t xml:space="preserve"> </w:t>
      </w:r>
      <w:r w:rsidRPr="002029AF">
        <w:rPr>
          <w:lang w:eastAsia="en-AU"/>
        </w:rPr>
        <w:t>3.1.1(b))</w:t>
      </w:r>
    </w:p>
    <w:p w14:paraId="17CBFE1D" w14:textId="31CD92B9" w:rsidR="0065586C" w:rsidRPr="002029AF" w:rsidRDefault="0065586C" w:rsidP="003566F1">
      <w:pPr>
        <w:pStyle w:val="ARbullet1"/>
        <w:rPr>
          <w:lang w:eastAsia="en-AU"/>
        </w:rPr>
      </w:pPr>
      <w:r w:rsidRPr="002029AF">
        <w:rPr>
          <w:lang w:eastAsia="en-AU"/>
        </w:rPr>
        <w:t>liability</w:t>
      </w:r>
      <w:r w:rsidR="000A5329" w:rsidRPr="002029AF">
        <w:rPr>
          <w:lang w:eastAsia="en-AU"/>
        </w:rPr>
        <w:t xml:space="preserve"> </w:t>
      </w:r>
      <w:r w:rsidRPr="002029AF">
        <w:rPr>
          <w:lang w:eastAsia="en-AU"/>
        </w:rPr>
        <w:t>for</w:t>
      </w:r>
      <w:r w:rsidR="000A5329" w:rsidRPr="002029AF">
        <w:rPr>
          <w:lang w:eastAsia="en-AU"/>
        </w:rPr>
        <w:t xml:space="preserve"> </w:t>
      </w:r>
      <w:r w:rsidRPr="002029AF">
        <w:rPr>
          <w:lang w:eastAsia="en-AU"/>
        </w:rPr>
        <w:t>outstanding</w:t>
      </w:r>
      <w:r w:rsidR="000A5329" w:rsidRPr="002029AF">
        <w:rPr>
          <w:lang w:eastAsia="en-AU"/>
        </w:rPr>
        <w:t xml:space="preserve"> </w:t>
      </w:r>
      <w:r w:rsidRPr="002029AF">
        <w:rPr>
          <w:lang w:eastAsia="en-AU"/>
        </w:rPr>
        <w:t>insurance</w:t>
      </w:r>
      <w:r w:rsidR="000A5329" w:rsidRPr="002029AF">
        <w:rPr>
          <w:lang w:eastAsia="en-AU"/>
        </w:rPr>
        <w:t xml:space="preserve"> </w:t>
      </w:r>
      <w:r w:rsidRPr="002029AF">
        <w:rPr>
          <w:lang w:eastAsia="en-AU"/>
        </w:rPr>
        <w:t>claims</w:t>
      </w:r>
      <w:r w:rsidR="000A5329" w:rsidRPr="002029AF">
        <w:rPr>
          <w:lang w:eastAsia="en-AU"/>
        </w:rPr>
        <w:t xml:space="preserve"> </w:t>
      </w:r>
      <w:r w:rsidRPr="002029AF">
        <w:rPr>
          <w:lang w:eastAsia="en-AU"/>
        </w:rPr>
        <w:t>(refer</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Note</w:t>
      </w:r>
      <w:r w:rsidR="000A5329" w:rsidRPr="002029AF">
        <w:rPr>
          <w:lang w:eastAsia="en-AU"/>
        </w:rPr>
        <w:t xml:space="preserve"> </w:t>
      </w:r>
      <w:r w:rsidRPr="002029AF">
        <w:rPr>
          <w:lang w:eastAsia="en-AU"/>
        </w:rPr>
        <w:t>6.5).</w:t>
      </w:r>
    </w:p>
    <w:p w14:paraId="07E05FBA" w14:textId="4CCDD241" w:rsidR="0065586C" w:rsidRPr="002029AF" w:rsidRDefault="0065586C" w:rsidP="003566F1">
      <w:pPr>
        <w:pStyle w:val="ARbodyafterbullets"/>
        <w:rPr>
          <w:lang w:eastAsia="en-AU"/>
        </w:rPr>
      </w:pPr>
      <w:r w:rsidRPr="002029AF">
        <w:rPr>
          <w:lang w:eastAsia="en-AU"/>
        </w:rPr>
        <w:t>These</w:t>
      </w:r>
      <w:r w:rsidR="000A5329" w:rsidRPr="002029AF">
        <w:rPr>
          <w:lang w:eastAsia="en-AU"/>
        </w:rPr>
        <w:t xml:space="preserve"> </w:t>
      </w:r>
      <w:r w:rsidRPr="002029AF">
        <w:rPr>
          <w:lang w:eastAsia="en-AU"/>
        </w:rPr>
        <w:t>financial</w:t>
      </w:r>
      <w:r w:rsidR="000A5329" w:rsidRPr="002029AF">
        <w:rPr>
          <w:lang w:eastAsia="en-AU"/>
        </w:rPr>
        <w:t xml:space="preserve"> </w:t>
      </w:r>
      <w:r w:rsidRPr="002029AF">
        <w:rPr>
          <w:lang w:eastAsia="en-AU"/>
        </w:rPr>
        <w:t>statements</w:t>
      </w:r>
      <w:r w:rsidR="000A5329" w:rsidRPr="002029AF">
        <w:rPr>
          <w:lang w:eastAsia="en-AU"/>
        </w:rPr>
        <w:t xml:space="preserve"> </w:t>
      </w:r>
      <w:r w:rsidRPr="002029AF">
        <w:rPr>
          <w:lang w:eastAsia="en-AU"/>
        </w:rPr>
        <w:t>cover</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Department</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Health</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Human</w:t>
      </w:r>
      <w:r w:rsidR="000A5329" w:rsidRPr="002029AF">
        <w:rPr>
          <w:lang w:eastAsia="en-AU"/>
        </w:rPr>
        <w:t xml:space="preserve"> </w:t>
      </w:r>
      <w:r w:rsidRPr="002029AF">
        <w:rPr>
          <w:lang w:eastAsia="en-AU"/>
        </w:rPr>
        <w:t>Services</w:t>
      </w:r>
      <w:r w:rsidR="000A5329" w:rsidRPr="002029AF">
        <w:rPr>
          <w:lang w:eastAsia="en-AU"/>
        </w:rPr>
        <w:t xml:space="preserve"> </w:t>
      </w:r>
      <w:r w:rsidRPr="002029AF">
        <w:rPr>
          <w:lang w:eastAsia="en-AU"/>
        </w:rPr>
        <w:t>as</w:t>
      </w:r>
      <w:r w:rsidR="000A5329" w:rsidRPr="002029AF">
        <w:rPr>
          <w:lang w:eastAsia="en-AU"/>
        </w:rPr>
        <w:t xml:space="preserve"> </w:t>
      </w:r>
      <w:r w:rsidRPr="002029AF">
        <w:rPr>
          <w:lang w:eastAsia="en-AU"/>
        </w:rPr>
        <w:t>an</w:t>
      </w:r>
      <w:r w:rsidR="000A5329" w:rsidRPr="002029AF">
        <w:rPr>
          <w:lang w:eastAsia="en-AU"/>
        </w:rPr>
        <w:t xml:space="preserve"> </w:t>
      </w:r>
      <w:r w:rsidRPr="002029AF">
        <w:rPr>
          <w:lang w:eastAsia="en-AU"/>
        </w:rPr>
        <w:t>individual</w:t>
      </w:r>
      <w:r w:rsidR="000A5329" w:rsidRPr="002029AF">
        <w:rPr>
          <w:lang w:eastAsia="en-AU"/>
        </w:rPr>
        <w:t xml:space="preserve"> </w:t>
      </w:r>
      <w:r w:rsidRPr="002029AF">
        <w:rPr>
          <w:lang w:eastAsia="en-AU"/>
        </w:rPr>
        <w:t>reporting</w:t>
      </w:r>
      <w:r w:rsidR="000A5329" w:rsidRPr="002029AF">
        <w:rPr>
          <w:lang w:eastAsia="en-AU"/>
        </w:rPr>
        <w:t xml:space="preserve"> </w:t>
      </w:r>
      <w:r w:rsidRPr="002029AF">
        <w:rPr>
          <w:lang w:eastAsia="en-AU"/>
        </w:rPr>
        <w:t>entity</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include</w:t>
      </w:r>
      <w:r w:rsidR="000A5329" w:rsidRPr="002029AF">
        <w:rPr>
          <w:lang w:eastAsia="en-AU"/>
        </w:rPr>
        <w:t xml:space="preserve"> </w:t>
      </w:r>
      <w:r w:rsidRPr="002029AF">
        <w:rPr>
          <w:lang w:eastAsia="en-AU"/>
        </w:rPr>
        <w:t>all</w:t>
      </w:r>
      <w:r w:rsidR="000A5329" w:rsidRPr="002029AF">
        <w:rPr>
          <w:lang w:eastAsia="en-AU"/>
        </w:rPr>
        <w:t xml:space="preserve"> </w:t>
      </w:r>
      <w:r w:rsidRPr="002029AF">
        <w:rPr>
          <w:lang w:eastAsia="en-AU"/>
        </w:rPr>
        <w:t>controlled</w:t>
      </w:r>
      <w:r w:rsidR="000A5329" w:rsidRPr="002029AF">
        <w:rPr>
          <w:lang w:eastAsia="en-AU"/>
        </w:rPr>
        <w:t xml:space="preserve"> </w:t>
      </w:r>
      <w:r w:rsidRPr="002029AF">
        <w:rPr>
          <w:lang w:eastAsia="en-AU"/>
        </w:rPr>
        <w:t>activities</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department.</w:t>
      </w:r>
    </w:p>
    <w:p w14:paraId="45C51718" w14:textId="68BF5CD2" w:rsidR="0065586C" w:rsidRPr="002029AF" w:rsidRDefault="0065586C" w:rsidP="003566F1">
      <w:pPr>
        <w:pStyle w:val="ARbody"/>
        <w:rPr>
          <w:lang w:eastAsia="en-AU"/>
        </w:rPr>
      </w:pPr>
      <w:r w:rsidRPr="002029AF">
        <w:rPr>
          <w:lang w:eastAsia="en-AU"/>
        </w:rPr>
        <w:lastRenderedPageBreak/>
        <w:t>The</w:t>
      </w:r>
      <w:r w:rsidR="000A5329" w:rsidRPr="002029AF">
        <w:rPr>
          <w:lang w:eastAsia="en-AU"/>
        </w:rPr>
        <w:t xml:space="preserve"> </w:t>
      </w:r>
      <w:r w:rsidRPr="002029AF">
        <w:rPr>
          <w:lang w:eastAsia="en-AU"/>
        </w:rPr>
        <w:t>following</w:t>
      </w:r>
      <w:r w:rsidR="000A5329" w:rsidRPr="002029AF">
        <w:rPr>
          <w:lang w:eastAsia="en-AU"/>
        </w:rPr>
        <w:t xml:space="preserve"> </w:t>
      </w:r>
      <w:r w:rsidRPr="002029AF">
        <w:rPr>
          <w:lang w:eastAsia="en-AU"/>
        </w:rPr>
        <w:t>entities</w:t>
      </w:r>
      <w:r w:rsidR="000A5329" w:rsidRPr="002029AF">
        <w:rPr>
          <w:lang w:eastAsia="en-AU"/>
        </w:rPr>
        <w:t xml:space="preserve"> </w:t>
      </w:r>
      <w:r w:rsidRPr="002029AF">
        <w:rPr>
          <w:lang w:eastAsia="en-AU"/>
        </w:rPr>
        <w:t>have</w:t>
      </w:r>
      <w:r w:rsidR="000A5329" w:rsidRPr="002029AF">
        <w:rPr>
          <w:lang w:eastAsia="en-AU"/>
        </w:rPr>
        <w:t xml:space="preserve"> </w:t>
      </w:r>
      <w:r w:rsidRPr="002029AF">
        <w:rPr>
          <w:lang w:eastAsia="en-AU"/>
        </w:rPr>
        <w:t>been</w:t>
      </w:r>
      <w:r w:rsidR="000A5329" w:rsidRPr="002029AF">
        <w:rPr>
          <w:lang w:eastAsia="en-AU"/>
        </w:rPr>
        <w:t xml:space="preserve"> </w:t>
      </w:r>
      <w:r w:rsidRPr="002029AF">
        <w:rPr>
          <w:lang w:eastAsia="en-AU"/>
        </w:rPr>
        <w:t>consolidated</w:t>
      </w:r>
      <w:r w:rsidR="000A5329" w:rsidRPr="002029AF">
        <w:rPr>
          <w:lang w:eastAsia="en-AU"/>
        </w:rPr>
        <w:t xml:space="preserve"> </w:t>
      </w:r>
      <w:r w:rsidRPr="002029AF">
        <w:rPr>
          <w:lang w:eastAsia="en-AU"/>
        </w:rPr>
        <w:t>into</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department’s</w:t>
      </w:r>
      <w:r w:rsidR="000A5329" w:rsidRPr="002029AF">
        <w:rPr>
          <w:lang w:eastAsia="en-AU"/>
        </w:rPr>
        <w:t xml:space="preserve"> </w:t>
      </w:r>
      <w:r w:rsidRPr="002029AF">
        <w:rPr>
          <w:lang w:eastAsia="en-AU"/>
        </w:rPr>
        <w:t>financial</w:t>
      </w:r>
      <w:r w:rsidR="000A5329" w:rsidRPr="002029AF">
        <w:rPr>
          <w:lang w:eastAsia="en-AU"/>
        </w:rPr>
        <w:t xml:space="preserve"> </w:t>
      </w:r>
      <w:r w:rsidRPr="002029AF">
        <w:rPr>
          <w:lang w:eastAsia="en-AU"/>
        </w:rPr>
        <w:t>statements</w:t>
      </w:r>
      <w:r w:rsidR="000A5329" w:rsidRPr="002029AF">
        <w:rPr>
          <w:lang w:eastAsia="en-AU"/>
        </w:rPr>
        <w:t xml:space="preserve"> </w:t>
      </w:r>
      <w:r w:rsidRPr="002029AF">
        <w:rPr>
          <w:lang w:eastAsia="en-AU"/>
        </w:rPr>
        <w:t>pursuant</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a</w:t>
      </w:r>
      <w:r w:rsidR="000A5329" w:rsidRPr="002029AF">
        <w:rPr>
          <w:lang w:eastAsia="en-AU"/>
        </w:rPr>
        <w:t xml:space="preserve"> </w:t>
      </w:r>
      <w:r w:rsidRPr="002029AF">
        <w:rPr>
          <w:lang w:eastAsia="en-AU"/>
        </w:rPr>
        <w:t>determination</w:t>
      </w:r>
      <w:r w:rsidR="000A5329" w:rsidRPr="002029AF">
        <w:rPr>
          <w:lang w:eastAsia="en-AU"/>
        </w:rPr>
        <w:t xml:space="preserve"> </w:t>
      </w:r>
      <w:r w:rsidRPr="002029AF">
        <w:rPr>
          <w:lang w:eastAsia="en-AU"/>
        </w:rPr>
        <w:t>made</w:t>
      </w:r>
      <w:r w:rsidR="000A5329" w:rsidRPr="002029AF">
        <w:rPr>
          <w:lang w:eastAsia="en-AU"/>
        </w:rPr>
        <w:t xml:space="preserve"> </w:t>
      </w:r>
      <w:r w:rsidRPr="002029AF">
        <w:rPr>
          <w:lang w:eastAsia="en-AU"/>
        </w:rPr>
        <w:t>by</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Assistant</w:t>
      </w:r>
      <w:r w:rsidR="000A5329" w:rsidRPr="002029AF">
        <w:rPr>
          <w:lang w:eastAsia="en-AU"/>
        </w:rPr>
        <w:t xml:space="preserve"> </w:t>
      </w:r>
      <w:r w:rsidRPr="002029AF">
        <w:rPr>
          <w:lang w:eastAsia="en-AU"/>
        </w:rPr>
        <w:t>Treasurer</w:t>
      </w:r>
      <w:r w:rsidR="000A5329" w:rsidRPr="002029AF">
        <w:rPr>
          <w:lang w:eastAsia="en-AU"/>
        </w:rPr>
        <w:t xml:space="preserve"> </w:t>
      </w:r>
      <w:r w:rsidRPr="002029AF">
        <w:rPr>
          <w:lang w:eastAsia="en-AU"/>
        </w:rPr>
        <w:t>under</w:t>
      </w:r>
      <w:r w:rsidR="000A5329" w:rsidRPr="002029AF">
        <w:rPr>
          <w:lang w:eastAsia="en-AU"/>
        </w:rPr>
        <w:t xml:space="preserve"> </w:t>
      </w:r>
      <w:r w:rsidRPr="002029AF">
        <w:rPr>
          <w:lang w:eastAsia="en-AU"/>
        </w:rPr>
        <w:t>s.</w:t>
      </w:r>
      <w:r w:rsidR="000A5329" w:rsidRPr="002029AF">
        <w:rPr>
          <w:lang w:eastAsia="en-AU"/>
        </w:rPr>
        <w:t xml:space="preserve"> </w:t>
      </w:r>
      <w:r w:rsidRPr="002029AF">
        <w:rPr>
          <w:lang w:eastAsia="en-AU"/>
        </w:rPr>
        <w:t>53(1)</w:t>
      </w:r>
      <w:r w:rsidR="000A5329" w:rsidRPr="002029AF">
        <w:rPr>
          <w:lang w:eastAsia="en-AU"/>
        </w:rPr>
        <w:t xml:space="preserve"> </w:t>
      </w:r>
      <w:r w:rsidRPr="002029AF">
        <w:rPr>
          <w:lang w:eastAsia="en-AU"/>
        </w:rPr>
        <w:t>(b)</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the</w:t>
      </w:r>
      <w:r w:rsidR="000A5329" w:rsidRPr="002029AF">
        <w:rPr>
          <w:lang w:eastAsia="en-AU"/>
        </w:rPr>
        <w:t xml:space="preserve"> </w:t>
      </w:r>
      <w:r w:rsidRPr="002029AF">
        <w:rPr>
          <w:rStyle w:val="Emphasis"/>
        </w:rPr>
        <w:t>Financial</w:t>
      </w:r>
      <w:r w:rsidR="000A5329" w:rsidRPr="002029AF">
        <w:rPr>
          <w:rStyle w:val="Emphasis"/>
        </w:rPr>
        <w:t xml:space="preserve"> </w:t>
      </w:r>
      <w:r w:rsidRPr="002029AF">
        <w:rPr>
          <w:rStyle w:val="Emphasis"/>
        </w:rPr>
        <w:t>Management</w:t>
      </w:r>
      <w:r w:rsidR="000A5329" w:rsidRPr="002029AF">
        <w:rPr>
          <w:rStyle w:val="Emphasis"/>
        </w:rPr>
        <w:t xml:space="preserve"> </w:t>
      </w:r>
      <w:r w:rsidRPr="002029AF">
        <w:rPr>
          <w:rStyle w:val="Emphasis"/>
        </w:rPr>
        <w:t>Act</w:t>
      </w:r>
      <w:r w:rsidR="000A5329" w:rsidRPr="002029AF">
        <w:rPr>
          <w:rStyle w:val="Emphasis"/>
        </w:rPr>
        <w:t xml:space="preserve"> </w:t>
      </w:r>
      <w:r w:rsidRPr="002029AF">
        <w:rPr>
          <w:rStyle w:val="Emphasis"/>
        </w:rPr>
        <w:t>1994</w:t>
      </w:r>
      <w:r w:rsidRPr="002029AF">
        <w:rPr>
          <w:lang w:eastAsia="en-AU"/>
        </w:rPr>
        <w:t>.</w:t>
      </w:r>
      <w:r w:rsidR="000A5329" w:rsidRPr="002029AF">
        <w:rPr>
          <w:lang w:eastAsia="en-AU"/>
        </w:rPr>
        <w:t xml:space="preserve"> </w:t>
      </w:r>
      <w:r w:rsidRPr="002029AF">
        <w:rPr>
          <w:lang w:eastAsia="en-AU"/>
        </w:rPr>
        <w:t>These</w:t>
      </w:r>
      <w:r w:rsidR="000A5329" w:rsidRPr="002029AF">
        <w:rPr>
          <w:lang w:eastAsia="en-AU"/>
        </w:rPr>
        <w:t xml:space="preserve"> </w:t>
      </w:r>
      <w:r w:rsidRPr="002029AF">
        <w:rPr>
          <w:lang w:eastAsia="en-AU"/>
        </w:rPr>
        <w:t>entities</w:t>
      </w:r>
      <w:r w:rsidR="000A5329" w:rsidRPr="002029AF">
        <w:rPr>
          <w:lang w:eastAsia="en-AU"/>
        </w:rPr>
        <w:t xml:space="preserve"> </w:t>
      </w:r>
      <w:r w:rsidRPr="002029AF">
        <w:rPr>
          <w:lang w:eastAsia="en-AU"/>
        </w:rPr>
        <w:t>are</w:t>
      </w:r>
      <w:r w:rsidR="000A5329" w:rsidRPr="002029AF">
        <w:rPr>
          <w:lang w:eastAsia="en-AU"/>
        </w:rPr>
        <w:t xml:space="preserve"> </w:t>
      </w:r>
      <w:r w:rsidRPr="002029AF">
        <w:rPr>
          <w:lang w:eastAsia="en-AU"/>
        </w:rPr>
        <w:t>reported</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aggregate</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are</w:t>
      </w:r>
      <w:r w:rsidR="000A5329" w:rsidRPr="002029AF">
        <w:rPr>
          <w:lang w:eastAsia="en-AU"/>
        </w:rPr>
        <w:t xml:space="preserve"> </w:t>
      </w:r>
      <w:r w:rsidRPr="002029AF">
        <w:rPr>
          <w:lang w:eastAsia="en-AU"/>
        </w:rPr>
        <w:t>not</w:t>
      </w:r>
      <w:r w:rsidR="000A5329" w:rsidRPr="002029AF">
        <w:rPr>
          <w:lang w:eastAsia="en-AU"/>
        </w:rPr>
        <w:t xml:space="preserve"> </w:t>
      </w:r>
      <w:r w:rsidRPr="002029AF">
        <w:rPr>
          <w:lang w:eastAsia="en-AU"/>
        </w:rPr>
        <w:t>controlled</w:t>
      </w:r>
      <w:r w:rsidR="000A5329" w:rsidRPr="002029AF">
        <w:rPr>
          <w:lang w:eastAsia="en-AU"/>
        </w:rPr>
        <w:t xml:space="preserve"> </w:t>
      </w:r>
      <w:r w:rsidRPr="002029AF">
        <w:rPr>
          <w:lang w:eastAsia="en-AU"/>
        </w:rPr>
        <w:t>by</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department:</w:t>
      </w:r>
    </w:p>
    <w:p w14:paraId="3513DA39" w14:textId="206BE7AB" w:rsidR="0065586C" w:rsidRPr="002029AF" w:rsidRDefault="0065586C" w:rsidP="003566F1">
      <w:pPr>
        <w:pStyle w:val="ARbullet1"/>
        <w:rPr>
          <w:lang w:eastAsia="en-AU"/>
        </w:rPr>
      </w:pPr>
      <w:r w:rsidRPr="002029AF">
        <w:rPr>
          <w:lang w:eastAsia="en-AU"/>
        </w:rPr>
        <w:t>Mental</w:t>
      </w:r>
      <w:r w:rsidR="000A5329" w:rsidRPr="002029AF">
        <w:rPr>
          <w:lang w:eastAsia="en-AU"/>
        </w:rPr>
        <w:t xml:space="preserve"> </w:t>
      </w:r>
      <w:r w:rsidRPr="002029AF">
        <w:rPr>
          <w:lang w:eastAsia="en-AU"/>
        </w:rPr>
        <w:t>Health</w:t>
      </w:r>
      <w:r w:rsidR="000A5329" w:rsidRPr="002029AF">
        <w:rPr>
          <w:lang w:eastAsia="en-AU"/>
        </w:rPr>
        <w:t xml:space="preserve"> </w:t>
      </w:r>
      <w:r w:rsidRPr="002029AF">
        <w:rPr>
          <w:lang w:eastAsia="en-AU"/>
        </w:rPr>
        <w:t>Tribunal</w:t>
      </w:r>
    </w:p>
    <w:p w14:paraId="55A782C4" w14:textId="5E49C699" w:rsidR="0065586C" w:rsidRPr="002029AF" w:rsidRDefault="0065586C" w:rsidP="003566F1">
      <w:pPr>
        <w:pStyle w:val="ARbullet1"/>
        <w:rPr>
          <w:lang w:eastAsia="en-AU"/>
        </w:rPr>
      </w:pPr>
      <w:r w:rsidRPr="002029AF">
        <w:rPr>
          <w:lang w:eastAsia="en-AU"/>
        </w:rPr>
        <w:t>Commission</w:t>
      </w:r>
      <w:r w:rsidR="000A5329" w:rsidRPr="002029AF">
        <w:rPr>
          <w:lang w:eastAsia="en-AU"/>
        </w:rPr>
        <w:t xml:space="preserve"> </w:t>
      </w:r>
      <w:r w:rsidRPr="002029AF">
        <w:rPr>
          <w:lang w:eastAsia="en-AU"/>
        </w:rPr>
        <w:t>for</w:t>
      </w:r>
      <w:r w:rsidR="000A5329" w:rsidRPr="002029AF">
        <w:rPr>
          <w:lang w:eastAsia="en-AU"/>
        </w:rPr>
        <w:t xml:space="preserve"> </w:t>
      </w:r>
      <w:r w:rsidRPr="002029AF">
        <w:rPr>
          <w:lang w:eastAsia="en-AU"/>
        </w:rPr>
        <w:t>Children</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Young</w:t>
      </w:r>
      <w:r w:rsidR="000A5329" w:rsidRPr="002029AF">
        <w:rPr>
          <w:lang w:eastAsia="en-AU"/>
        </w:rPr>
        <w:t xml:space="preserve"> </w:t>
      </w:r>
      <w:r w:rsidRPr="002029AF">
        <w:rPr>
          <w:lang w:eastAsia="en-AU"/>
        </w:rPr>
        <w:t>People</w:t>
      </w:r>
    </w:p>
    <w:p w14:paraId="16506CAD" w14:textId="3987B6F9" w:rsidR="0065586C" w:rsidRPr="002029AF" w:rsidRDefault="0065586C" w:rsidP="003566F1">
      <w:pPr>
        <w:pStyle w:val="ARbullet1"/>
        <w:rPr>
          <w:lang w:eastAsia="en-AU"/>
        </w:rPr>
      </w:pPr>
      <w:r w:rsidRPr="002029AF">
        <w:rPr>
          <w:lang w:eastAsia="en-AU"/>
        </w:rPr>
        <w:t>Director</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Housing.</w:t>
      </w:r>
    </w:p>
    <w:p w14:paraId="2665E9AA" w14:textId="70BA9E86" w:rsidR="0065586C" w:rsidRPr="002029AF" w:rsidRDefault="0065586C" w:rsidP="003566F1">
      <w:pPr>
        <w:pStyle w:val="ARbodyafterbullets"/>
        <w:rPr>
          <w:lang w:eastAsia="en-AU"/>
        </w:rPr>
      </w:pPr>
      <w:r w:rsidRPr="002029AF">
        <w:rPr>
          <w:lang w:eastAsia="en-AU"/>
        </w:rPr>
        <w:t>Where</w:t>
      </w:r>
      <w:r w:rsidR="000A5329" w:rsidRPr="002029AF">
        <w:rPr>
          <w:lang w:eastAsia="en-AU"/>
        </w:rPr>
        <w:t xml:space="preserve"> </w:t>
      </w:r>
      <w:r w:rsidRPr="002029AF">
        <w:rPr>
          <w:lang w:eastAsia="en-AU"/>
        </w:rPr>
        <w:t>control</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an</w:t>
      </w:r>
      <w:r w:rsidR="000A5329" w:rsidRPr="002029AF">
        <w:rPr>
          <w:lang w:eastAsia="en-AU"/>
        </w:rPr>
        <w:t xml:space="preserve"> </w:t>
      </w:r>
      <w:r w:rsidRPr="002029AF">
        <w:rPr>
          <w:lang w:eastAsia="en-AU"/>
        </w:rPr>
        <w:t>entity</w:t>
      </w:r>
      <w:r w:rsidR="000A5329" w:rsidRPr="002029AF">
        <w:rPr>
          <w:lang w:eastAsia="en-AU"/>
        </w:rPr>
        <w:t xml:space="preserve"> </w:t>
      </w:r>
      <w:r w:rsidRPr="002029AF">
        <w:rPr>
          <w:lang w:eastAsia="en-AU"/>
        </w:rPr>
        <w:t>is</w:t>
      </w:r>
      <w:r w:rsidR="000A5329" w:rsidRPr="002029AF">
        <w:rPr>
          <w:lang w:eastAsia="en-AU"/>
        </w:rPr>
        <w:t xml:space="preserve"> </w:t>
      </w:r>
      <w:r w:rsidRPr="002029AF">
        <w:rPr>
          <w:lang w:eastAsia="en-AU"/>
        </w:rPr>
        <w:t>obtained</w:t>
      </w:r>
      <w:r w:rsidR="000A5329" w:rsidRPr="002029AF">
        <w:rPr>
          <w:lang w:eastAsia="en-AU"/>
        </w:rPr>
        <w:t xml:space="preserve"> </w:t>
      </w:r>
      <w:r w:rsidRPr="002029AF">
        <w:rPr>
          <w:lang w:eastAsia="en-AU"/>
        </w:rPr>
        <w:t>during</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financial</w:t>
      </w:r>
      <w:r w:rsidR="000A5329" w:rsidRPr="002029AF">
        <w:rPr>
          <w:lang w:eastAsia="en-AU"/>
        </w:rPr>
        <w:t xml:space="preserve"> </w:t>
      </w:r>
      <w:r w:rsidRPr="002029AF">
        <w:rPr>
          <w:lang w:eastAsia="en-AU"/>
        </w:rPr>
        <w:t>year,</w:t>
      </w:r>
      <w:r w:rsidR="000A5329" w:rsidRPr="002029AF">
        <w:rPr>
          <w:lang w:eastAsia="en-AU"/>
        </w:rPr>
        <w:t xml:space="preserve"> </w:t>
      </w:r>
      <w:r w:rsidRPr="002029AF">
        <w:rPr>
          <w:lang w:eastAsia="en-AU"/>
        </w:rPr>
        <w:t>its</w:t>
      </w:r>
      <w:r w:rsidR="000A5329" w:rsidRPr="002029AF">
        <w:rPr>
          <w:lang w:eastAsia="en-AU"/>
        </w:rPr>
        <w:t xml:space="preserve"> </w:t>
      </w:r>
      <w:r w:rsidRPr="002029AF">
        <w:rPr>
          <w:lang w:eastAsia="en-AU"/>
        </w:rPr>
        <w:t>results</w:t>
      </w:r>
      <w:r w:rsidR="000A5329" w:rsidRPr="002029AF">
        <w:rPr>
          <w:lang w:eastAsia="en-AU"/>
        </w:rPr>
        <w:t xml:space="preserve"> </w:t>
      </w:r>
      <w:r w:rsidRPr="002029AF">
        <w:rPr>
          <w:lang w:eastAsia="en-AU"/>
        </w:rPr>
        <w:t>are</w:t>
      </w:r>
      <w:r w:rsidR="000A5329" w:rsidRPr="002029AF">
        <w:rPr>
          <w:lang w:eastAsia="en-AU"/>
        </w:rPr>
        <w:t xml:space="preserve"> </w:t>
      </w:r>
      <w:r w:rsidRPr="002029AF">
        <w:rPr>
          <w:lang w:eastAsia="en-AU"/>
        </w:rPr>
        <w:t>included</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comprehensive</w:t>
      </w:r>
      <w:r w:rsidR="000A5329" w:rsidRPr="002029AF">
        <w:rPr>
          <w:lang w:eastAsia="en-AU"/>
        </w:rPr>
        <w:t xml:space="preserve"> </w:t>
      </w:r>
      <w:r w:rsidRPr="002029AF">
        <w:rPr>
          <w:lang w:eastAsia="en-AU"/>
        </w:rPr>
        <w:t>operating</w:t>
      </w:r>
      <w:r w:rsidR="000A5329" w:rsidRPr="002029AF">
        <w:rPr>
          <w:lang w:eastAsia="en-AU"/>
        </w:rPr>
        <w:t xml:space="preserve"> </w:t>
      </w:r>
      <w:r w:rsidRPr="002029AF">
        <w:rPr>
          <w:lang w:eastAsia="en-AU"/>
        </w:rPr>
        <w:t>statement</w:t>
      </w:r>
      <w:r w:rsidR="000A5329" w:rsidRPr="002029AF">
        <w:rPr>
          <w:lang w:eastAsia="en-AU"/>
        </w:rPr>
        <w:t xml:space="preserve"> </w:t>
      </w:r>
      <w:r w:rsidRPr="002029AF">
        <w:rPr>
          <w:lang w:eastAsia="en-AU"/>
        </w:rPr>
        <w:t>from</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date</w:t>
      </w:r>
      <w:r w:rsidR="000A5329" w:rsidRPr="002029AF">
        <w:rPr>
          <w:lang w:eastAsia="en-AU"/>
        </w:rPr>
        <w:t xml:space="preserve"> </w:t>
      </w:r>
      <w:r w:rsidRPr="002029AF">
        <w:rPr>
          <w:lang w:eastAsia="en-AU"/>
        </w:rPr>
        <w:t>on</w:t>
      </w:r>
      <w:r w:rsidR="000A5329" w:rsidRPr="002029AF">
        <w:rPr>
          <w:lang w:eastAsia="en-AU"/>
        </w:rPr>
        <w:t xml:space="preserve"> </w:t>
      </w:r>
      <w:r w:rsidRPr="002029AF">
        <w:rPr>
          <w:lang w:eastAsia="en-AU"/>
        </w:rPr>
        <w:t>which</w:t>
      </w:r>
      <w:r w:rsidR="000A5329" w:rsidRPr="002029AF">
        <w:rPr>
          <w:lang w:eastAsia="en-AU"/>
        </w:rPr>
        <w:t xml:space="preserve"> </w:t>
      </w:r>
      <w:r w:rsidRPr="002029AF">
        <w:rPr>
          <w:lang w:eastAsia="en-AU"/>
        </w:rPr>
        <w:t>control</w:t>
      </w:r>
      <w:r w:rsidR="000A5329" w:rsidRPr="002029AF">
        <w:rPr>
          <w:lang w:eastAsia="en-AU"/>
        </w:rPr>
        <w:t xml:space="preserve"> </w:t>
      </w:r>
      <w:r w:rsidRPr="002029AF">
        <w:rPr>
          <w:lang w:eastAsia="en-AU"/>
        </w:rPr>
        <w:t>commenced.</w:t>
      </w:r>
      <w:r w:rsidR="000A5329" w:rsidRPr="002029AF">
        <w:rPr>
          <w:lang w:eastAsia="en-AU"/>
        </w:rPr>
        <w:t xml:space="preserve"> </w:t>
      </w:r>
      <w:r w:rsidRPr="002029AF">
        <w:rPr>
          <w:lang w:eastAsia="en-AU"/>
        </w:rPr>
        <w:t>Where</w:t>
      </w:r>
      <w:r w:rsidR="000A5329" w:rsidRPr="002029AF">
        <w:rPr>
          <w:lang w:eastAsia="en-AU"/>
        </w:rPr>
        <w:t xml:space="preserve"> </w:t>
      </w:r>
      <w:r w:rsidRPr="002029AF">
        <w:rPr>
          <w:lang w:eastAsia="en-AU"/>
        </w:rPr>
        <w:t>control</w:t>
      </w:r>
      <w:r w:rsidR="000A5329" w:rsidRPr="002029AF">
        <w:rPr>
          <w:lang w:eastAsia="en-AU"/>
        </w:rPr>
        <w:t xml:space="preserve"> </w:t>
      </w:r>
      <w:r w:rsidRPr="002029AF">
        <w:rPr>
          <w:lang w:eastAsia="en-AU"/>
        </w:rPr>
        <w:t>ceases</w:t>
      </w:r>
      <w:r w:rsidR="000A5329" w:rsidRPr="002029AF">
        <w:rPr>
          <w:lang w:eastAsia="en-AU"/>
        </w:rPr>
        <w:t xml:space="preserve"> </w:t>
      </w:r>
      <w:r w:rsidRPr="002029AF">
        <w:rPr>
          <w:lang w:eastAsia="en-AU"/>
        </w:rPr>
        <w:t>during</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financial</w:t>
      </w:r>
      <w:r w:rsidR="000A5329" w:rsidRPr="002029AF">
        <w:rPr>
          <w:lang w:eastAsia="en-AU"/>
        </w:rPr>
        <w:t xml:space="preserve"> </w:t>
      </w:r>
      <w:r w:rsidRPr="002029AF">
        <w:rPr>
          <w:lang w:eastAsia="en-AU"/>
        </w:rPr>
        <w:t>year,</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entity’s</w:t>
      </w:r>
      <w:r w:rsidR="000A5329" w:rsidRPr="002029AF">
        <w:rPr>
          <w:lang w:eastAsia="en-AU"/>
        </w:rPr>
        <w:t xml:space="preserve"> </w:t>
      </w:r>
      <w:r w:rsidRPr="002029AF">
        <w:rPr>
          <w:lang w:eastAsia="en-AU"/>
        </w:rPr>
        <w:t>results</w:t>
      </w:r>
      <w:r w:rsidR="000A5329" w:rsidRPr="002029AF">
        <w:rPr>
          <w:lang w:eastAsia="en-AU"/>
        </w:rPr>
        <w:t xml:space="preserve"> </w:t>
      </w:r>
      <w:r w:rsidRPr="002029AF">
        <w:rPr>
          <w:lang w:eastAsia="en-AU"/>
        </w:rPr>
        <w:t>are</w:t>
      </w:r>
      <w:r w:rsidR="000A5329" w:rsidRPr="002029AF">
        <w:rPr>
          <w:lang w:eastAsia="en-AU"/>
        </w:rPr>
        <w:t xml:space="preserve"> </w:t>
      </w:r>
      <w:r w:rsidRPr="002029AF">
        <w:rPr>
          <w:lang w:eastAsia="en-AU"/>
        </w:rPr>
        <w:t>included</w:t>
      </w:r>
      <w:r w:rsidR="000A5329" w:rsidRPr="002029AF">
        <w:rPr>
          <w:lang w:eastAsia="en-AU"/>
        </w:rPr>
        <w:t xml:space="preserve"> </w:t>
      </w:r>
      <w:r w:rsidRPr="002029AF">
        <w:rPr>
          <w:lang w:eastAsia="en-AU"/>
        </w:rPr>
        <w:t>for</w:t>
      </w:r>
      <w:r w:rsidR="000A5329" w:rsidRPr="002029AF">
        <w:rPr>
          <w:lang w:eastAsia="en-AU"/>
        </w:rPr>
        <w:t xml:space="preserve"> </w:t>
      </w:r>
      <w:r w:rsidRPr="002029AF">
        <w:rPr>
          <w:lang w:eastAsia="en-AU"/>
        </w:rPr>
        <w:t>that</w:t>
      </w:r>
      <w:r w:rsidR="000A5329" w:rsidRPr="002029AF">
        <w:rPr>
          <w:lang w:eastAsia="en-AU"/>
        </w:rPr>
        <w:t xml:space="preserve"> </w:t>
      </w:r>
      <w:r w:rsidRPr="002029AF">
        <w:rPr>
          <w:lang w:eastAsia="en-AU"/>
        </w:rPr>
        <w:t>part</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period</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which</w:t>
      </w:r>
      <w:r w:rsidR="000A5329" w:rsidRPr="002029AF">
        <w:rPr>
          <w:lang w:eastAsia="en-AU"/>
        </w:rPr>
        <w:t xml:space="preserve"> </w:t>
      </w:r>
      <w:r w:rsidRPr="002029AF">
        <w:rPr>
          <w:lang w:eastAsia="en-AU"/>
        </w:rPr>
        <w:t>control</w:t>
      </w:r>
      <w:r w:rsidR="000A5329" w:rsidRPr="002029AF">
        <w:rPr>
          <w:lang w:eastAsia="en-AU"/>
        </w:rPr>
        <w:t xml:space="preserve"> </w:t>
      </w:r>
      <w:r w:rsidRPr="002029AF">
        <w:rPr>
          <w:lang w:eastAsia="en-AU"/>
        </w:rPr>
        <w:t>existed.</w:t>
      </w:r>
      <w:r w:rsidR="000A5329" w:rsidRPr="002029AF">
        <w:rPr>
          <w:lang w:eastAsia="en-AU"/>
        </w:rPr>
        <w:t xml:space="preserve"> </w:t>
      </w:r>
      <w:r w:rsidRPr="002029AF">
        <w:rPr>
          <w:lang w:eastAsia="en-AU"/>
        </w:rPr>
        <w:t>Where</w:t>
      </w:r>
      <w:r w:rsidR="000A5329" w:rsidRPr="002029AF">
        <w:rPr>
          <w:lang w:eastAsia="en-AU"/>
        </w:rPr>
        <w:t xml:space="preserve"> </w:t>
      </w:r>
      <w:r w:rsidRPr="002029AF">
        <w:rPr>
          <w:lang w:eastAsia="en-AU"/>
        </w:rPr>
        <w:t>entities</w:t>
      </w:r>
      <w:r w:rsidR="000A5329" w:rsidRPr="002029AF">
        <w:rPr>
          <w:lang w:eastAsia="en-AU"/>
        </w:rPr>
        <w:t xml:space="preserve"> </w:t>
      </w:r>
      <w:r w:rsidRPr="002029AF">
        <w:rPr>
          <w:lang w:eastAsia="en-AU"/>
        </w:rPr>
        <w:t>adopt</w:t>
      </w:r>
      <w:r w:rsidR="000A5329" w:rsidRPr="002029AF">
        <w:rPr>
          <w:lang w:eastAsia="en-AU"/>
        </w:rPr>
        <w:t xml:space="preserve"> </w:t>
      </w:r>
      <w:r w:rsidRPr="002029AF">
        <w:rPr>
          <w:lang w:eastAsia="en-AU"/>
        </w:rPr>
        <w:t>dissimilar</w:t>
      </w:r>
      <w:r w:rsidR="000A5329" w:rsidRPr="002029AF">
        <w:rPr>
          <w:lang w:eastAsia="en-AU"/>
        </w:rPr>
        <w:t xml:space="preserve"> </w:t>
      </w:r>
      <w:r w:rsidRPr="002029AF">
        <w:rPr>
          <w:lang w:eastAsia="en-AU"/>
        </w:rPr>
        <w:t>accounting</w:t>
      </w:r>
      <w:r w:rsidR="000A5329" w:rsidRPr="002029AF">
        <w:rPr>
          <w:lang w:eastAsia="en-AU"/>
        </w:rPr>
        <w:t xml:space="preserve"> </w:t>
      </w:r>
      <w:r w:rsidRPr="002029AF">
        <w:rPr>
          <w:lang w:eastAsia="en-AU"/>
        </w:rPr>
        <w:t>policies</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their</w:t>
      </w:r>
      <w:r w:rsidR="000A5329" w:rsidRPr="002029AF">
        <w:rPr>
          <w:lang w:eastAsia="en-AU"/>
        </w:rPr>
        <w:t xml:space="preserve"> </w:t>
      </w:r>
      <w:r w:rsidRPr="002029AF">
        <w:rPr>
          <w:lang w:eastAsia="en-AU"/>
        </w:rPr>
        <w:t>effect</w:t>
      </w:r>
      <w:r w:rsidR="000A5329" w:rsidRPr="002029AF">
        <w:rPr>
          <w:lang w:eastAsia="en-AU"/>
        </w:rPr>
        <w:t xml:space="preserve"> </w:t>
      </w:r>
      <w:r w:rsidRPr="002029AF">
        <w:rPr>
          <w:lang w:eastAsia="en-AU"/>
        </w:rPr>
        <w:t>is</w:t>
      </w:r>
      <w:r w:rsidR="000A5329" w:rsidRPr="002029AF">
        <w:rPr>
          <w:lang w:eastAsia="en-AU"/>
        </w:rPr>
        <w:t xml:space="preserve"> </w:t>
      </w:r>
      <w:r w:rsidRPr="002029AF">
        <w:rPr>
          <w:lang w:eastAsia="en-AU"/>
        </w:rPr>
        <w:t>considered</w:t>
      </w:r>
      <w:r w:rsidR="000A5329" w:rsidRPr="002029AF">
        <w:rPr>
          <w:lang w:eastAsia="en-AU"/>
        </w:rPr>
        <w:t xml:space="preserve"> </w:t>
      </w:r>
      <w:r w:rsidRPr="002029AF">
        <w:rPr>
          <w:lang w:eastAsia="en-AU"/>
        </w:rPr>
        <w:t>material,</w:t>
      </w:r>
      <w:r w:rsidR="000A5329" w:rsidRPr="002029AF">
        <w:rPr>
          <w:lang w:eastAsia="en-AU"/>
        </w:rPr>
        <w:t xml:space="preserve"> </w:t>
      </w:r>
      <w:r w:rsidRPr="002029AF">
        <w:rPr>
          <w:lang w:eastAsia="en-AU"/>
        </w:rPr>
        <w:t>adjustments</w:t>
      </w:r>
      <w:r w:rsidR="000A5329" w:rsidRPr="002029AF">
        <w:rPr>
          <w:lang w:eastAsia="en-AU"/>
        </w:rPr>
        <w:t xml:space="preserve"> </w:t>
      </w:r>
      <w:r w:rsidRPr="002029AF">
        <w:rPr>
          <w:lang w:eastAsia="en-AU"/>
        </w:rPr>
        <w:t>are</w:t>
      </w:r>
      <w:r w:rsidR="000A5329" w:rsidRPr="002029AF">
        <w:rPr>
          <w:lang w:eastAsia="en-AU"/>
        </w:rPr>
        <w:t xml:space="preserve"> </w:t>
      </w:r>
      <w:r w:rsidRPr="002029AF">
        <w:rPr>
          <w:lang w:eastAsia="en-AU"/>
        </w:rPr>
        <w:t>made</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ensure</w:t>
      </w:r>
      <w:r w:rsidR="000A5329" w:rsidRPr="002029AF">
        <w:rPr>
          <w:lang w:eastAsia="en-AU"/>
        </w:rPr>
        <w:t xml:space="preserve"> </w:t>
      </w:r>
      <w:r w:rsidRPr="002029AF">
        <w:rPr>
          <w:lang w:eastAsia="en-AU"/>
        </w:rPr>
        <w:t>consistent</w:t>
      </w:r>
      <w:r w:rsidR="000A5329" w:rsidRPr="002029AF">
        <w:rPr>
          <w:lang w:eastAsia="en-AU"/>
        </w:rPr>
        <w:t xml:space="preserve"> </w:t>
      </w:r>
      <w:r w:rsidRPr="002029AF">
        <w:rPr>
          <w:lang w:eastAsia="en-AU"/>
        </w:rPr>
        <w:t>policies</w:t>
      </w:r>
      <w:r w:rsidR="000A5329" w:rsidRPr="002029AF">
        <w:rPr>
          <w:lang w:eastAsia="en-AU"/>
        </w:rPr>
        <w:t xml:space="preserve"> </w:t>
      </w:r>
      <w:r w:rsidRPr="002029AF">
        <w:rPr>
          <w:lang w:eastAsia="en-AU"/>
        </w:rPr>
        <w:t>are</w:t>
      </w:r>
      <w:r w:rsidR="000A5329" w:rsidRPr="002029AF">
        <w:rPr>
          <w:lang w:eastAsia="en-AU"/>
        </w:rPr>
        <w:t xml:space="preserve"> </w:t>
      </w:r>
      <w:r w:rsidRPr="002029AF">
        <w:rPr>
          <w:lang w:eastAsia="en-AU"/>
        </w:rPr>
        <w:t>adopted</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these</w:t>
      </w:r>
      <w:r w:rsidR="000A5329" w:rsidRPr="002029AF">
        <w:rPr>
          <w:lang w:eastAsia="en-AU"/>
        </w:rPr>
        <w:t xml:space="preserve"> </w:t>
      </w:r>
      <w:r w:rsidRPr="002029AF">
        <w:rPr>
          <w:lang w:eastAsia="en-AU"/>
        </w:rPr>
        <w:t>financial</w:t>
      </w:r>
      <w:r w:rsidR="000A5329" w:rsidRPr="002029AF">
        <w:rPr>
          <w:lang w:eastAsia="en-AU"/>
        </w:rPr>
        <w:t xml:space="preserve"> </w:t>
      </w:r>
      <w:r w:rsidRPr="002029AF">
        <w:rPr>
          <w:lang w:eastAsia="en-AU"/>
        </w:rPr>
        <w:t>statements.</w:t>
      </w:r>
    </w:p>
    <w:p w14:paraId="2EC1D6CE" w14:textId="15837651" w:rsidR="0065586C" w:rsidRPr="002029AF" w:rsidRDefault="0065586C" w:rsidP="003566F1">
      <w:pPr>
        <w:pStyle w:val="ARbody"/>
        <w:rPr>
          <w:lang w:eastAsia="en-AU"/>
        </w:rPr>
      </w:pPr>
      <w:r w:rsidRPr="002029AF">
        <w:rPr>
          <w:lang w:eastAsia="en-AU"/>
        </w:rPr>
        <w:t>In</w:t>
      </w:r>
      <w:r w:rsidR="000A5329" w:rsidRPr="002029AF">
        <w:rPr>
          <w:lang w:eastAsia="en-AU"/>
        </w:rPr>
        <w:t xml:space="preserve"> </w:t>
      </w:r>
      <w:r w:rsidRPr="002029AF">
        <w:rPr>
          <w:lang w:eastAsia="en-AU"/>
        </w:rPr>
        <w:t>preparing</w:t>
      </w:r>
      <w:r w:rsidR="000A5329" w:rsidRPr="002029AF">
        <w:rPr>
          <w:lang w:eastAsia="en-AU"/>
        </w:rPr>
        <w:t xml:space="preserve"> </w:t>
      </w:r>
      <w:r w:rsidRPr="002029AF">
        <w:rPr>
          <w:lang w:eastAsia="en-AU"/>
        </w:rPr>
        <w:t>consolidated</w:t>
      </w:r>
      <w:r w:rsidR="000A5329" w:rsidRPr="002029AF">
        <w:rPr>
          <w:lang w:eastAsia="en-AU"/>
        </w:rPr>
        <w:t xml:space="preserve"> </w:t>
      </w:r>
      <w:r w:rsidRPr="002029AF">
        <w:rPr>
          <w:lang w:eastAsia="en-AU"/>
        </w:rPr>
        <w:t>financial</w:t>
      </w:r>
      <w:r w:rsidR="000A5329" w:rsidRPr="002029AF">
        <w:rPr>
          <w:lang w:eastAsia="en-AU"/>
        </w:rPr>
        <w:t xml:space="preserve"> </w:t>
      </w:r>
      <w:r w:rsidRPr="002029AF">
        <w:rPr>
          <w:lang w:eastAsia="en-AU"/>
        </w:rPr>
        <w:t>statements</w:t>
      </w:r>
      <w:r w:rsidR="000A5329" w:rsidRPr="002029AF">
        <w:rPr>
          <w:lang w:eastAsia="en-AU"/>
        </w:rPr>
        <w:t xml:space="preserve"> </w:t>
      </w:r>
      <w:r w:rsidRPr="002029AF">
        <w:rPr>
          <w:lang w:eastAsia="en-AU"/>
        </w:rPr>
        <w:t>for</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department,</w:t>
      </w:r>
      <w:r w:rsidR="000A5329" w:rsidRPr="002029AF">
        <w:rPr>
          <w:lang w:eastAsia="en-AU"/>
        </w:rPr>
        <w:t xml:space="preserve"> </w:t>
      </w:r>
      <w:r w:rsidRPr="002029AF">
        <w:rPr>
          <w:lang w:eastAsia="en-AU"/>
        </w:rPr>
        <w:t>all</w:t>
      </w:r>
      <w:r w:rsidR="000A5329" w:rsidRPr="002029AF">
        <w:rPr>
          <w:lang w:eastAsia="en-AU"/>
        </w:rPr>
        <w:t xml:space="preserve"> </w:t>
      </w:r>
      <w:r w:rsidRPr="002029AF">
        <w:rPr>
          <w:lang w:eastAsia="en-AU"/>
        </w:rPr>
        <w:t>material</w:t>
      </w:r>
      <w:r w:rsidR="000A5329" w:rsidRPr="002029AF">
        <w:rPr>
          <w:lang w:eastAsia="en-AU"/>
        </w:rPr>
        <w:t xml:space="preserve"> </w:t>
      </w:r>
      <w:r w:rsidRPr="002029AF">
        <w:rPr>
          <w:lang w:eastAsia="en-AU"/>
        </w:rPr>
        <w:t>transactions</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balances</w:t>
      </w:r>
      <w:r w:rsidR="000A5329" w:rsidRPr="002029AF">
        <w:rPr>
          <w:lang w:eastAsia="en-AU"/>
        </w:rPr>
        <w:t xml:space="preserve"> </w:t>
      </w:r>
      <w:r w:rsidRPr="002029AF">
        <w:rPr>
          <w:lang w:eastAsia="en-AU"/>
        </w:rPr>
        <w:t>between</w:t>
      </w:r>
      <w:r w:rsidR="000A5329" w:rsidRPr="002029AF">
        <w:rPr>
          <w:lang w:eastAsia="en-AU"/>
        </w:rPr>
        <w:t xml:space="preserve"> </w:t>
      </w:r>
      <w:r w:rsidRPr="002029AF">
        <w:rPr>
          <w:lang w:eastAsia="en-AU"/>
        </w:rPr>
        <w:t>consolidated</w:t>
      </w:r>
      <w:r w:rsidR="000A5329" w:rsidRPr="002029AF">
        <w:rPr>
          <w:lang w:eastAsia="en-AU"/>
        </w:rPr>
        <w:t xml:space="preserve"> </w:t>
      </w:r>
      <w:r w:rsidRPr="002029AF">
        <w:rPr>
          <w:lang w:eastAsia="en-AU"/>
        </w:rPr>
        <w:t>entities</w:t>
      </w:r>
      <w:r w:rsidR="000A5329" w:rsidRPr="002029AF">
        <w:rPr>
          <w:lang w:eastAsia="en-AU"/>
        </w:rPr>
        <w:t xml:space="preserve"> </w:t>
      </w:r>
      <w:r w:rsidRPr="002029AF">
        <w:rPr>
          <w:lang w:eastAsia="en-AU"/>
        </w:rPr>
        <w:t>are</w:t>
      </w:r>
      <w:r w:rsidR="000A5329" w:rsidRPr="002029AF">
        <w:rPr>
          <w:lang w:eastAsia="en-AU"/>
        </w:rPr>
        <w:t xml:space="preserve"> </w:t>
      </w:r>
      <w:r w:rsidRPr="002029AF">
        <w:rPr>
          <w:lang w:eastAsia="en-AU"/>
        </w:rPr>
        <w:t>eliminated.</w:t>
      </w:r>
    </w:p>
    <w:p w14:paraId="5D5A7194" w14:textId="0A7A5EE4" w:rsidR="0065586C" w:rsidRPr="002029AF" w:rsidRDefault="0065586C" w:rsidP="003566F1">
      <w:pPr>
        <w:pStyle w:val="ARbody"/>
        <w:rPr>
          <w:lang w:eastAsia="en-AU"/>
        </w:rPr>
      </w:pPr>
      <w:r w:rsidRPr="002029AF">
        <w:rPr>
          <w:lang w:eastAsia="en-AU"/>
        </w:rPr>
        <w:t>All</w:t>
      </w:r>
      <w:r w:rsidR="000A5329" w:rsidRPr="002029AF">
        <w:rPr>
          <w:lang w:eastAsia="en-AU"/>
        </w:rPr>
        <w:t xml:space="preserve"> </w:t>
      </w:r>
      <w:r w:rsidRPr="002029AF">
        <w:rPr>
          <w:lang w:eastAsia="en-AU"/>
        </w:rPr>
        <w:t>amounts</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financial</w:t>
      </w:r>
      <w:r w:rsidR="000A5329" w:rsidRPr="002029AF">
        <w:rPr>
          <w:lang w:eastAsia="en-AU"/>
        </w:rPr>
        <w:t xml:space="preserve"> </w:t>
      </w:r>
      <w:r w:rsidRPr="002029AF">
        <w:rPr>
          <w:lang w:eastAsia="en-AU"/>
        </w:rPr>
        <w:t>statements</w:t>
      </w:r>
      <w:r w:rsidR="000A5329" w:rsidRPr="002029AF">
        <w:rPr>
          <w:lang w:eastAsia="en-AU"/>
        </w:rPr>
        <w:t xml:space="preserve"> </w:t>
      </w:r>
      <w:r w:rsidRPr="002029AF">
        <w:rPr>
          <w:lang w:eastAsia="en-AU"/>
        </w:rPr>
        <w:t>have</w:t>
      </w:r>
      <w:r w:rsidR="000A5329" w:rsidRPr="002029AF">
        <w:rPr>
          <w:lang w:eastAsia="en-AU"/>
        </w:rPr>
        <w:t xml:space="preserve"> </w:t>
      </w:r>
      <w:r w:rsidRPr="002029AF">
        <w:rPr>
          <w:lang w:eastAsia="en-AU"/>
        </w:rPr>
        <w:t>been</w:t>
      </w:r>
      <w:r w:rsidR="000A5329" w:rsidRPr="002029AF">
        <w:rPr>
          <w:lang w:eastAsia="en-AU"/>
        </w:rPr>
        <w:t xml:space="preserve"> </w:t>
      </w:r>
      <w:r w:rsidRPr="002029AF">
        <w:rPr>
          <w:lang w:eastAsia="en-AU"/>
        </w:rPr>
        <w:t>rounded</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nearest</w:t>
      </w:r>
      <w:r w:rsidR="000A5329" w:rsidRPr="002029AF">
        <w:rPr>
          <w:lang w:eastAsia="en-AU"/>
        </w:rPr>
        <w:t xml:space="preserve"> </w:t>
      </w:r>
      <w:r w:rsidRPr="002029AF">
        <w:rPr>
          <w:lang w:eastAsia="en-AU"/>
        </w:rPr>
        <w:t>$1,000,000</w:t>
      </w:r>
      <w:r w:rsidR="000A5329" w:rsidRPr="002029AF">
        <w:rPr>
          <w:lang w:eastAsia="en-AU"/>
        </w:rPr>
        <w:t xml:space="preserve"> </w:t>
      </w:r>
      <w:r w:rsidRPr="002029AF">
        <w:rPr>
          <w:lang w:eastAsia="en-AU"/>
        </w:rPr>
        <w:t>unless</w:t>
      </w:r>
      <w:r w:rsidR="000A5329" w:rsidRPr="002029AF">
        <w:rPr>
          <w:lang w:eastAsia="en-AU"/>
        </w:rPr>
        <w:t xml:space="preserve"> </w:t>
      </w:r>
      <w:r w:rsidRPr="002029AF">
        <w:rPr>
          <w:lang w:eastAsia="en-AU"/>
        </w:rPr>
        <w:t>otherwise</w:t>
      </w:r>
      <w:r w:rsidR="000A5329" w:rsidRPr="002029AF">
        <w:rPr>
          <w:lang w:eastAsia="en-AU"/>
        </w:rPr>
        <w:t xml:space="preserve"> </w:t>
      </w:r>
      <w:r w:rsidRPr="002029AF">
        <w:rPr>
          <w:lang w:eastAsia="en-AU"/>
        </w:rPr>
        <w:t>stated.</w:t>
      </w:r>
    </w:p>
    <w:p w14:paraId="71C42550" w14:textId="33E4F1A4" w:rsidR="0065586C" w:rsidRPr="002029AF" w:rsidRDefault="0065586C" w:rsidP="003566F1">
      <w:pPr>
        <w:pStyle w:val="ARbody"/>
        <w:rPr>
          <w:lang w:eastAsia="en-AU"/>
        </w:rPr>
      </w:pPr>
      <w:r w:rsidRPr="002029AF">
        <w:rPr>
          <w:lang w:eastAsia="en-AU"/>
        </w:rPr>
        <w:t>Where</w:t>
      </w:r>
      <w:r w:rsidR="000A5329" w:rsidRPr="002029AF">
        <w:rPr>
          <w:lang w:eastAsia="en-AU"/>
        </w:rPr>
        <w:t xml:space="preserve"> </w:t>
      </w:r>
      <w:r w:rsidRPr="002029AF">
        <w:rPr>
          <w:lang w:eastAsia="en-AU"/>
        </w:rPr>
        <w:t>applicable,</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comparative</w:t>
      </w:r>
      <w:r w:rsidR="000A5329" w:rsidRPr="002029AF">
        <w:rPr>
          <w:lang w:eastAsia="en-AU"/>
        </w:rPr>
        <w:t xml:space="preserve"> </w:t>
      </w:r>
      <w:r w:rsidRPr="002029AF">
        <w:rPr>
          <w:lang w:eastAsia="en-AU"/>
        </w:rPr>
        <w:t>figures</w:t>
      </w:r>
      <w:r w:rsidR="000A5329" w:rsidRPr="002029AF">
        <w:rPr>
          <w:lang w:eastAsia="en-AU"/>
        </w:rPr>
        <w:t xml:space="preserve"> </w:t>
      </w:r>
      <w:r w:rsidRPr="002029AF">
        <w:rPr>
          <w:lang w:eastAsia="en-AU"/>
        </w:rPr>
        <w:t>have</w:t>
      </w:r>
      <w:r w:rsidR="000A5329" w:rsidRPr="002029AF">
        <w:rPr>
          <w:lang w:eastAsia="en-AU"/>
        </w:rPr>
        <w:t xml:space="preserve"> </w:t>
      </w:r>
      <w:r w:rsidRPr="002029AF">
        <w:rPr>
          <w:lang w:eastAsia="en-AU"/>
        </w:rPr>
        <w:t>been</w:t>
      </w:r>
      <w:r w:rsidR="000A5329" w:rsidRPr="002029AF">
        <w:rPr>
          <w:lang w:eastAsia="en-AU"/>
        </w:rPr>
        <w:t xml:space="preserve"> </w:t>
      </w:r>
      <w:r w:rsidRPr="002029AF">
        <w:rPr>
          <w:lang w:eastAsia="en-AU"/>
        </w:rPr>
        <w:t>restated</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align</w:t>
      </w:r>
      <w:r w:rsidR="000A5329" w:rsidRPr="002029AF">
        <w:rPr>
          <w:lang w:eastAsia="en-AU"/>
        </w:rPr>
        <w:t xml:space="preserve"> </w:t>
      </w:r>
      <w:r w:rsidRPr="002029AF">
        <w:rPr>
          <w:lang w:eastAsia="en-AU"/>
        </w:rPr>
        <w:t>with</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presentation</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current</w:t>
      </w:r>
      <w:r w:rsidR="000A5329" w:rsidRPr="002029AF">
        <w:rPr>
          <w:lang w:eastAsia="en-AU"/>
        </w:rPr>
        <w:t xml:space="preserve"> </w:t>
      </w:r>
      <w:r w:rsidRPr="002029AF">
        <w:rPr>
          <w:lang w:eastAsia="en-AU"/>
        </w:rPr>
        <w:t>year.</w:t>
      </w:r>
    </w:p>
    <w:p w14:paraId="0CD85325" w14:textId="6F6FB3EE" w:rsidR="0065586C" w:rsidRPr="002029AF" w:rsidRDefault="0065586C" w:rsidP="003566F1">
      <w:pPr>
        <w:pStyle w:val="ARbody"/>
        <w:rPr>
          <w:lang w:eastAsia="en-AU"/>
        </w:rPr>
      </w:pPr>
      <w:r w:rsidRPr="002029AF">
        <w:rPr>
          <w:lang w:eastAsia="en-AU"/>
        </w:rPr>
        <w:t>A</w:t>
      </w:r>
      <w:r w:rsidR="000A5329" w:rsidRPr="002029AF">
        <w:rPr>
          <w:lang w:eastAsia="en-AU"/>
        </w:rPr>
        <w:t xml:space="preserve"> </w:t>
      </w:r>
      <w:r w:rsidRPr="002029AF">
        <w:rPr>
          <w:lang w:eastAsia="en-AU"/>
        </w:rPr>
        <w:t>state</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emergency</w:t>
      </w:r>
      <w:r w:rsidR="000A5329" w:rsidRPr="002029AF">
        <w:rPr>
          <w:lang w:eastAsia="en-AU"/>
        </w:rPr>
        <w:t xml:space="preserve"> </w:t>
      </w:r>
      <w:r w:rsidRPr="002029AF">
        <w:rPr>
          <w:lang w:eastAsia="en-AU"/>
        </w:rPr>
        <w:t>was</w:t>
      </w:r>
      <w:r w:rsidR="000A5329" w:rsidRPr="002029AF">
        <w:rPr>
          <w:lang w:eastAsia="en-AU"/>
        </w:rPr>
        <w:t xml:space="preserve"> </w:t>
      </w:r>
      <w:r w:rsidRPr="002029AF">
        <w:rPr>
          <w:lang w:eastAsia="en-AU"/>
        </w:rPr>
        <w:t>declared</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Victoria</w:t>
      </w:r>
      <w:r w:rsidR="000A5329" w:rsidRPr="002029AF">
        <w:rPr>
          <w:lang w:eastAsia="en-AU"/>
        </w:rPr>
        <w:t xml:space="preserve"> </w:t>
      </w:r>
      <w:r w:rsidRPr="002029AF">
        <w:rPr>
          <w:lang w:eastAsia="en-AU"/>
        </w:rPr>
        <w:t>on</w:t>
      </w:r>
      <w:r w:rsidR="000A5329" w:rsidRPr="002029AF">
        <w:rPr>
          <w:lang w:eastAsia="en-AU"/>
        </w:rPr>
        <w:t xml:space="preserve"> </w:t>
      </w:r>
      <w:r w:rsidRPr="002029AF">
        <w:rPr>
          <w:lang w:eastAsia="en-AU"/>
        </w:rPr>
        <w:t>16</w:t>
      </w:r>
      <w:r w:rsidR="000A5329" w:rsidRPr="002029AF">
        <w:rPr>
          <w:lang w:eastAsia="en-AU"/>
        </w:rPr>
        <w:t xml:space="preserve"> </w:t>
      </w:r>
      <w:r w:rsidRPr="002029AF">
        <w:rPr>
          <w:lang w:eastAsia="en-AU"/>
        </w:rPr>
        <w:t>March</w:t>
      </w:r>
      <w:r w:rsidR="000A5329" w:rsidRPr="002029AF">
        <w:rPr>
          <w:lang w:eastAsia="en-AU"/>
        </w:rPr>
        <w:t xml:space="preserve"> </w:t>
      </w:r>
      <w:r w:rsidRPr="002029AF">
        <w:rPr>
          <w:lang w:eastAsia="en-AU"/>
        </w:rPr>
        <w:t>2020</w:t>
      </w:r>
      <w:r w:rsidR="000A5329" w:rsidRPr="002029AF">
        <w:rPr>
          <w:lang w:eastAsia="en-AU"/>
        </w:rPr>
        <w:t xml:space="preserve"> </w:t>
      </w:r>
      <w:r w:rsidRPr="002029AF">
        <w:rPr>
          <w:lang w:eastAsia="en-AU"/>
        </w:rPr>
        <w:t>due</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coronavirus</w:t>
      </w:r>
      <w:r w:rsidR="000A5329" w:rsidRPr="002029AF">
        <w:rPr>
          <w:lang w:eastAsia="en-AU"/>
        </w:rPr>
        <w:t xml:space="preserve"> </w:t>
      </w:r>
      <w:r w:rsidR="1ED99A64" w:rsidRPr="002029AF">
        <w:rPr>
          <w:lang w:eastAsia="en-AU"/>
        </w:rPr>
        <w:t>(</w:t>
      </w:r>
      <w:r w:rsidRPr="002029AF">
        <w:rPr>
          <w:lang w:eastAsia="en-AU"/>
        </w:rPr>
        <w:t>COVID-19</w:t>
      </w:r>
      <w:r w:rsidR="1ED99A64" w:rsidRPr="002029AF">
        <w:rPr>
          <w:lang w:eastAsia="en-AU"/>
        </w:rPr>
        <w:t>)</w:t>
      </w:r>
      <w:r w:rsidR="000A5329" w:rsidRPr="002029AF">
        <w:rPr>
          <w:lang w:eastAsia="en-AU"/>
        </w:rPr>
        <w:t xml:space="preserve"> </w:t>
      </w:r>
      <w:r w:rsidRPr="002029AF">
        <w:rPr>
          <w:lang w:eastAsia="en-AU"/>
        </w:rPr>
        <w:t>pandemic.</w:t>
      </w:r>
      <w:r w:rsidR="000A5329" w:rsidRPr="002029AF">
        <w:rPr>
          <w:lang w:eastAsia="en-AU"/>
        </w:rPr>
        <w:t xml:space="preserve"> </w:t>
      </w:r>
      <w:r w:rsidRPr="002029AF">
        <w:rPr>
          <w:lang w:eastAsia="en-AU"/>
        </w:rPr>
        <w:t>A</w:t>
      </w:r>
      <w:r w:rsidR="000A5329" w:rsidRPr="002029AF">
        <w:rPr>
          <w:lang w:eastAsia="en-AU"/>
        </w:rPr>
        <w:t xml:space="preserve"> </w:t>
      </w:r>
      <w:r w:rsidRPr="002029AF">
        <w:rPr>
          <w:lang w:eastAsia="en-AU"/>
        </w:rPr>
        <w:t>state</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disaster</w:t>
      </w:r>
      <w:r w:rsidR="000A5329" w:rsidRPr="002029AF">
        <w:rPr>
          <w:lang w:eastAsia="en-AU"/>
        </w:rPr>
        <w:t xml:space="preserve"> </w:t>
      </w:r>
      <w:r w:rsidRPr="002029AF">
        <w:rPr>
          <w:lang w:eastAsia="en-AU"/>
        </w:rPr>
        <w:t>was</w:t>
      </w:r>
      <w:r w:rsidR="000A5329" w:rsidRPr="002029AF">
        <w:rPr>
          <w:lang w:eastAsia="en-AU"/>
        </w:rPr>
        <w:t xml:space="preserve"> </w:t>
      </w:r>
      <w:r w:rsidRPr="002029AF">
        <w:rPr>
          <w:lang w:eastAsia="en-AU"/>
        </w:rPr>
        <w:t>subsequently</w:t>
      </w:r>
      <w:r w:rsidR="000A5329" w:rsidRPr="002029AF">
        <w:rPr>
          <w:lang w:eastAsia="en-AU"/>
        </w:rPr>
        <w:t xml:space="preserve"> </w:t>
      </w:r>
      <w:r w:rsidRPr="002029AF">
        <w:rPr>
          <w:lang w:eastAsia="en-AU"/>
        </w:rPr>
        <w:t>declared</w:t>
      </w:r>
      <w:r w:rsidR="000A5329" w:rsidRPr="002029AF">
        <w:rPr>
          <w:lang w:eastAsia="en-AU"/>
        </w:rPr>
        <w:t xml:space="preserve"> </w:t>
      </w:r>
      <w:r w:rsidRPr="002029AF">
        <w:rPr>
          <w:lang w:eastAsia="en-AU"/>
        </w:rPr>
        <w:t>on</w:t>
      </w:r>
      <w:r w:rsidR="000A5329" w:rsidRPr="002029AF">
        <w:rPr>
          <w:lang w:eastAsia="en-AU"/>
        </w:rPr>
        <w:t xml:space="preserve"> </w:t>
      </w:r>
      <w:r w:rsidRPr="002029AF">
        <w:rPr>
          <w:lang w:eastAsia="en-AU"/>
        </w:rPr>
        <w:t>2</w:t>
      </w:r>
      <w:r w:rsidR="000A5329" w:rsidRPr="002029AF">
        <w:rPr>
          <w:lang w:eastAsia="en-AU"/>
        </w:rPr>
        <w:t xml:space="preserve"> </w:t>
      </w:r>
      <w:r w:rsidRPr="002029AF">
        <w:rPr>
          <w:lang w:eastAsia="en-AU"/>
        </w:rPr>
        <w:t>August</w:t>
      </w:r>
      <w:r w:rsidR="000A5329" w:rsidRPr="002029AF">
        <w:rPr>
          <w:lang w:eastAsia="en-AU"/>
        </w:rPr>
        <w:t xml:space="preserve"> </w:t>
      </w:r>
      <w:r w:rsidRPr="002029AF">
        <w:rPr>
          <w:lang w:eastAsia="en-AU"/>
        </w:rPr>
        <w:t>2020.</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contain</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spread</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virus</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prioritise</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health</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safety</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our</w:t>
      </w:r>
      <w:r w:rsidR="000A5329" w:rsidRPr="002029AF">
        <w:rPr>
          <w:lang w:eastAsia="en-AU"/>
        </w:rPr>
        <w:t xml:space="preserve"> </w:t>
      </w:r>
      <w:r w:rsidRPr="002029AF">
        <w:rPr>
          <w:lang w:eastAsia="en-AU"/>
        </w:rPr>
        <w:t>communities,</w:t>
      </w:r>
      <w:r w:rsidR="000A5329" w:rsidRPr="002029AF">
        <w:rPr>
          <w:lang w:eastAsia="en-AU"/>
        </w:rPr>
        <w:t xml:space="preserve"> </w:t>
      </w:r>
      <w:r w:rsidRPr="002029AF">
        <w:rPr>
          <w:lang w:eastAsia="en-AU"/>
        </w:rPr>
        <w:t>various</w:t>
      </w:r>
      <w:r w:rsidR="000A5329" w:rsidRPr="002029AF">
        <w:rPr>
          <w:lang w:eastAsia="en-AU"/>
        </w:rPr>
        <w:t xml:space="preserve"> </w:t>
      </w:r>
      <w:r w:rsidRPr="002029AF">
        <w:rPr>
          <w:lang w:eastAsia="en-AU"/>
        </w:rPr>
        <w:t>restrictions</w:t>
      </w:r>
      <w:r w:rsidR="000A5329" w:rsidRPr="002029AF">
        <w:rPr>
          <w:lang w:eastAsia="en-AU"/>
        </w:rPr>
        <w:t xml:space="preserve"> </w:t>
      </w:r>
      <w:r w:rsidR="6BF03C24" w:rsidRPr="002029AF">
        <w:rPr>
          <w:lang w:eastAsia="en-AU"/>
        </w:rPr>
        <w:t>were</w:t>
      </w:r>
      <w:r w:rsidR="000A5329" w:rsidRPr="002029AF">
        <w:rPr>
          <w:lang w:eastAsia="en-AU"/>
        </w:rPr>
        <w:t xml:space="preserve"> </w:t>
      </w:r>
      <w:r w:rsidRPr="002029AF">
        <w:rPr>
          <w:lang w:eastAsia="en-AU"/>
        </w:rPr>
        <w:t>announced</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implemented</w:t>
      </w:r>
      <w:r w:rsidR="000A5329" w:rsidRPr="002029AF">
        <w:rPr>
          <w:lang w:eastAsia="en-AU"/>
        </w:rPr>
        <w:t xml:space="preserve"> </w:t>
      </w:r>
      <w:r w:rsidRPr="002029AF">
        <w:rPr>
          <w:lang w:eastAsia="en-AU"/>
        </w:rPr>
        <w:t>by</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state</w:t>
      </w:r>
      <w:r w:rsidR="000A5329" w:rsidRPr="002029AF">
        <w:rPr>
          <w:lang w:eastAsia="en-AU"/>
        </w:rPr>
        <w:t xml:space="preserve"> </w:t>
      </w:r>
      <w:r w:rsidRPr="002029AF">
        <w:rPr>
          <w:lang w:eastAsia="en-AU"/>
        </w:rPr>
        <w:t>government,</w:t>
      </w:r>
      <w:r w:rsidR="000A5329" w:rsidRPr="002029AF">
        <w:rPr>
          <w:lang w:eastAsia="en-AU"/>
        </w:rPr>
        <w:t xml:space="preserve"> </w:t>
      </w:r>
      <w:r w:rsidRPr="002029AF">
        <w:rPr>
          <w:lang w:eastAsia="en-AU"/>
        </w:rPr>
        <w:t>which</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turn</w:t>
      </w:r>
      <w:r w:rsidR="000A5329" w:rsidRPr="002029AF">
        <w:rPr>
          <w:lang w:eastAsia="en-AU"/>
        </w:rPr>
        <w:t xml:space="preserve"> </w:t>
      </w:r>
      <w:r w:rsidRPr="002029AF">
        <w:rPr>
          <w:lang w:eastAsia="en-AU"/>
        </w:rPr>
        <w:t>has</w:t>
      </w:r>
      <w:r w:rsidR="000A5329" w:rsidRPr="002029AF">
        <w:rPr>
          <w:lang w:eastAsia="en-AU"/>
        </w:rPr>
        <w:t xml:space="preserve"> </w:t>
      </w:r>
      <w:r w:rsidRPr="002029AF">
        <w:rPr>
          <w:lang w:eastAsia="en-AU"/>
        </w:rPr>
        <w:t>impacted</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manner</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which</w:t>
      </w:r>
      <w:r w:rsidR="000A5329" w:rsidRPr="002029AF">
        <w:rPr>
          <w:lang w:eastAsia="en-AU"/>
        </w:rPr>
        <w:t xml:space="preserve"> </w:t>
      </w:r>
      <w:r w:rsidRPr="002029AF">
        <w:rPr>
          <w:lang w:eastAsia="en-AU"/>
        </w:rPr>
        <w:t>businesses</w:t>
      </w:r>
      <w:r w:rsidR="000A5329" w:rsidRPr="002029AF">
        <w:rPr>
          <w:lang w:eastAsia="en-AU"/>
        </w:rPr>
        <w:t xml:space="preserve"> </w:t>
      </w:r>
      <w:r w:rsidRPr="002029AF">
        <w:rPr>
          <w:lang w:eastAsia="en-AU"/>
        </w:rPr>
        <w:t>operate,</w:t>
      </w:r>
      <w:r w:rsidR="000A5329" w:rsidRPr="002029AF">
        <w:rPr>
          <w:lang w:eastAsia="en-AU"/>
        </w:rPr>
        <w:t xml:space="preserve"> </w:t>
      </w:r>
      <w:r w:rsidRPr="002029AF">
        <w:rPr>
          <w:lang w:eastAsia="en-AU"/>
        </w:rPr>
        <w:t>including</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department.</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response,</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department</w:t>
      </w:r>
      <w:r w:rsidR="000A5329" w:rsidRPr="002029AF">
        <w:rPr>
          <w:lang w:eastAsia="en-AU"/>
        </w:rPr>
        <w:t xml:space="preserve"> </w:t>
      </w:r>
      <w:r w:rsidRPr="002029AF">
        <w:rPr>
          <w:lang w:eastAsia="en-AU"/>
        </w:rPr>
        <w:t>implemented</w:t>
      </w:r>
      <w:r w:rsidR="000A5329" w:rsidRPr="002029AF">
        <w:rPr>
          <w:lang w:eastAsia="en-AU"/>
        </w:rPr>
        <w:t xml:space="preserve"> </w:t>
      </w:r>
      <w:r w:rsidRPr="002029AF">
        <w:rPr>
          <w:lang w:eastAsia="en-AU"/>
        </w:rPr>
        <w:t>working</w:t>
      </w:r>
      <w:r w:rsidR="000A5329" w:rsidRPr="002029AF">
        <w:rPr>
          <w:lang w:eastAsia="en-AU"/>
        </w:rPr>
        <w:t xml:space="preserve"> </w:t>
      </w:r>
      <w:r w:rsidRPr="002029AF">
        <w:rPr>
          <w:lang w:eastAsia="en-AU"/>
        </w:rPr>
        <w:t>from</w:t>
      </w:r>
      <w:r w:rsidR="000A5329" w:rsidRPr="002029AF">
        <w:rPr>
          <w:lang w:eastAsia="en-AU"/>
        </w:rPr>
        <w:t xml:space="preserve"> </w:t>
      </w:r>
      <w:r w:rsidRPr="002029AF">
        <w:rPr>
          <w:lang w:eastAsia="en-AU"/>
        </w:rPr>
        <w:t>home</w:t>
      </w:r>
      <w:r w:rsidR="000A5329" w:rsidRPr="002029AF">
        <w:rPr>
          <w:lang w:eastAsia="en-AU"/>
        </w:rPr>
        <w:t xml:space="preserve"> </w:t>
      </w:r>
      <w:r w:rsidRPr="002029AF">
        <w:rPr>
          <w:lang w:eastAsia="en-AU"/>
        </w:rPr>
        <w:t>arrangements</w:t>
      </w:r>
      <w:r w:rsidR="000A5329" w:rsidRPr="002029AF">
        <w:rPr>
          <w:lang w:eastAsia="en-AU"/>
        </w:rPr>
        <w:t xml:space="preserve"> </w:t>
      </w:r>
      <w:r w:rsidRPr="002029AF">
        <w:rPr>
          <w:lang w:eastAsia="en-AU"/>
        </w:rPr>
        <w:t>where</w:t>
      </w:r>
      <w:r w:rsidR="000A5329" w:rsidRPr="002029AF">
        <w:rPr>
          <w:lang w:eastAsia="en-AU"/>
        </w:rPr>
        <w:t xml:space="preserve"> </w:t>
      </w:r>
      <w:r w:rsidRPr="002029AF">
        <w:rPr>
          <w:lang w:eastAsia="en-AU"/>
        </w:rPr>
        <w:t>appropriate</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started</w:t>
      </w:r>
      <w:r w:rsidR="000A5329" w:rsidRPr="002029AF">
        <w:rPr>
          <w:lang w:eastAsia="en-AU"/>
        </w:rPr>
        <w:t xml:space="preserve"> </w:t>
      </w:r>
      <w:r w:rsidRPr="002029AF">
        <w:rPr>
          <w:lang w:eastAsia="en-AU"/>
        </w:rPr>
        <w:t>putting</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place</w:t>
      </w:r>
      <w:r w:rsidR="000A5329" w:rsidRPr="002029AF">
        <w:rPr>
          <w:lang w:eastAsia="en-AU"/>
        </w:rPr>
        <w:t xml:space="preserve"> </w:t>
      </w:r>
      <w:r w:rsidRPr="002029AF">
        <w:rPr>
          <w:lang w:eastAsia="en-AU"/>
        </w:rPr>
        <w:t>programs</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initiatives</w:t>
      </w:r>
      <w:r w:rsidR="000A5329" w:rsidRPr="002029AF">
        <w:rPr>
          <w:lang w:eastAsia="en-AU"/>
        </w:rPr>
        <w:t xml:space="preserve"> </w:t>
      </w:r>
      <w:r w:rsidRPr="002029AF">
        <w:rPr>
          <w:lang w:eastAsia="en-AU"/>
        </w:rPr>
        <w:t>as</w:t>
      </w:r>
      <w:r w:rsidR="000A5329" w:rsidRPr="002029AF">
        <w:rPr>
          <w:lang w:eastAsia="en-AU"/>
        </w:rPr>
        <w:t xml:space="preserve"> </w:t>
      </w:r>
      <w:r w:rsidRPr="002029AF">
        <w:rPr>
          <w:lang w:eastAsia="en-AU"/>
        </w:rPr>
        <w:t>part</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state’s</w:t>
      </w:r>
      <w:r w:rsidR="000A5329" w:rsidRPr="002029AF">
        <w:rPr>
          <w:lang w:eastAsia="en-AU"/>
        </w:rPr>
        <w:t xml:space="preserve"> </w:t>
      </w:r>
      <w:r w:rsidRPr="002029AF">
        <w:rPr>
          <w:lang w:eastAsia="en-AU"/>
        </w:rPr>
        <w:t>response</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pandemic.</w:t>
      </w:r>
    </w:p>
    <w:p w14:paraId="61FA6744" w14:textId="3649CB55" w:rsidR="0065586C" w:rsidRPr="002029AF" w:rsidRDefault="0065586C" w:rsidP="003566F1">
      <w:pPr>
        <w:pStyle w:val="Heading4"/>
      </w:pPr>
      <w:bookmarkStart w:id="272" w:name="_Ref51926370"/>
      <w:r w:rsidRPr="002029AF">
        <w:t>Compliance</w:t>
      </w:r>
      <w:r w:rsidR="000A5329" w:rsidRPr="002029AF">
        <w:t xml:space="preserve"> </w:t>
      </w:r>
      <w:r w:rsidRPr="002029AF">
        <w:t>information</w:t>
      </w:r>
      <w:bookmarkEnd w:id="272"/>
    </w:p>
    <w:p w14:paraId="5E5877B7" w14:textId="66073F17" w:rsidR="0065586C" w:rsidRPr="002029AF" w:rsidRDefault="0065586C" w:rsidP="003566F1">
      <w:pPr>
        <w:pStyle w:val="ARbody"/>
        <w:rPr>
          <w:lang w:eastAsia="en-AU"/>
        </w:rPr>
      </w:pPr>
      <w:r w:rsidRPr="002029AF">
        <w:rPr>
          <w:lang w:eastAsia="en-AU"/>
        </w:rPr>
        <w:t>These</w:t>
      </w:r>
      <w:r w:rsidR="000A5329" w:rsidRPr="002029AF">
        <w:rPr>
          <w:lang w:eastAsia="en-AU"/>
        </w:rPr>
        <w:t xml:space="preserve"> </w:t>
      </w:r>
      <w:r w:rsidR="000851FB" w:rsidRPr="002029AF">
        <w:rPr>
          <w:lang w:eastAsia="en-AU"/>
        </w:rPr>
        <w:t>general-purpose</w:t>
      </w:r>
      <w:r w:rsidR="000A5329" w:rsidRPr="002029AF">
        <w:rPr>
          <w:lang w:eastAsia="en-AU"/>
        </w:rPr>
        <w:t xml:space="preserve"> </w:t>
      </w:r>
      <w:r w:rsidRPr="002029AF">
        <w:rPr>
          <w:lang w:eastAsia="en-AU"/>
        </w:rPr>
        <w:t>financial</w:t>
      </w:r>
      <w:r w:rsidR="000A5329" w:rsidRPr="002029AF">
        <w:rPr>
          <w:lang w:eastAsia="en-AU"/>
        </w:rPr>
        <w:t xml:space="preserve"> </w:t>
      </w:r>
      <w:r w:rsidRPr="002029AF">
        <w:rPr>
          <w:lang w:eastAsia="en-AU"/>
        </w:rPr>
        <w:t>statements</w:t>
      </w:r>
      <w:r w:rsidR="000A5329" w:rsidRPr="002029AF">
        <w:rPr>
          <w:lang w:eastAsia="en-AU"/>
        </w:rPr>
        <w:t xml:space="preserve"> </w:t>
      </w:r>
      <w:r w:rsidRPr="002029AF">
        <w:rPr>
          <w:lang w:eastAsia="en-AU"/>
        </w:rPr>
        <w:t>have</w:t>
      </w:r>
      <w:r w:rsidR="000A5329" w:rsidRPr="002029AF">
        <w:rPr>
          <w:lang w:eastAsia="en-AU"/>
        </w:rPr>
        <w:t xml:space="preserve"> </w:t>
      </w:r>
      <w:r w:rsidRPr="002029AF">
        <w:rPr>
          <w:lang w:eastAsia="en-AU"/>
        </w:rPr>
        <w:t>been</w:t>
      </w:r>
      <w:r w:rsidR="000A5329" w:rsidRPr="002029AF">
        <w:rPr>
          <w:lang w:eastAsia="en-AU"/>
        </w:rPr>
        <w:t xml:space="preserve"> </w:t>
      </w:r>
      <w:r w:rsidRPr="002029AF">
        <w:rPr>
          <w:lang w:eastAsia="en-AU"/>
        </w:rPr>
        <w:t>prepared</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accordance</w:t>
      </w:r>
      <w:r w:rsidR="000A5329" w:rsidRPr="002029AF">
        <w:rPr>
          <w:lang w:eastAsia="en-AU"/>
        </w:rPr>
        <w:t xml:space="preserve"> </w:t>
      </w:r>
      <w:r w:rsidRPr="002029AF">
        <w:rPr>
          <w:lang w:eastAsia="en-AU"/>
        </w:rPr>
        <w:t>with</w:t>
      </w:r>
      <w:r w:rsidR="000A5329" w:rsidRPr="002029AF">
        <w:rPr>
          <w:lang w:eastAsia="en-AU"/>
        </w:rPr>
        <w:t xml:space="preserve"> </w:t>
      </w:r>
      <w:r w:rsidRPr="002029AF">
        <w:rPr>
          <w:lang w:eastAsia="en-AU"/>
        </w:rPr>
        <w:t>the</w:t>
      </w:r>
      <w:r w:rsidR="000A5329" w:rsidRPr="002029AF">
        <w:rPr>
          <w:lang w:eastAsia="en-AU"/>
        </w:rPr>
        <w:t xml:space="preserve"> </w:t>
      </w:r>
      <w:r w:rsidRPr="002029AF">
        <w:rPr>
          <w:rStyle w:val="Emphasis"/>
        </w:rPr>
        <w:t>Financial</w:t>
      </w:r>
      <w:r w:rsidR="000A5329" w:rsidRPr="002029AF">
        <w:rPr>
          <w:rStyle w:val="Emphasis"/>
        </w:rPr>
        <w:t xml:space="preserve"> </w:t>
      </w:r>
      <w:r w:rsidRPr="002029AF">
        <w:rPr>
          <w:rStyle w:val="Emphasis"/>
        </w:rPr>
        <w:t>Management</w:t>
      </w:r>
      <w:r w:rsidR="000A5329" w:rsidRPr="002029AF">
        <w:rPr>
          <w:rStyle w:val="Emphasis"/>
        </w:rPr>
        <w:t xml:space="preserve"> </w:t>
      </w:r>
      <w:r w:rsidRPr="002029AF">
        <w:rPr>
          <w:rStyle w:val="Emphasis"/>
        </w:rPr>
        <w:t>Act</w:t>
      </w:r>
      <w:r w:rsidR="000A5329" w:rsidRPr="002029AF">
        <w:rPr>
          <w:rStyle w:val="Emphasis"/>
        </w:rPr>
        <w:t xml:space="preserve"> </w:t>
      </w:r>
      <w:r w:rsidRPr="002029AF">
        <w:rPr>
          <w:rStyle w:val="Emphasis"/>
        </w:rPr>
        <w:t>1994</w:t>
      </w:r>
      <w:r w:rsidR="000A5329" w:rsidRPr="002029AF">
        <w:t xml:space="preserve"> </w:t>
      </w:r>
      <w:r w:rsidRPr="002029AF">
        <w:rPr>
          <w:lang w:eastAsia="en-AU"/>
        </w:rPr>
        <w:t>and</w:t>
      </w:r>
      <w:r w:rsidR="000A5329" w:rsidRPr="002029AF">
        <w:rPr>
          <w:lang w:eastAsia="en-AU"/>
        </w:rPr>
        <w:t xml:space="preserve"> </w:t>
      </w:r>
      <w:r w:rsidRPr="002029AF">
        <w:rPr>
          <w:lang w:eastAsia="en-AU"/>
        </w:rPr>
        <w:t>applicable</w:t>
      </w:r>
      <w:r w:rsidR="000A5329" w:rsidRPr="002029AF">
        <w:rPr>
          <w:lang w:eastAsia="en-AU"/>
        </w:rPr>
        <w:t xml:space="preserve"> </w:t>
      </w:r>
      <w:r w:rsidRPr="002029AF">
        <w:rPr>
          <w:lang w:eastAsia="en-AU"/>
        </w:rPr>
        <w:t>AASs</w:t>
      </w:r>
      <w:r w:rsidR="000A5329" w:rsidRPr="002029AF">
        <w:rPr>
          <w:lang w:eastAsia="en-AU"/>
        </w:rPr>
        <w:t xml:space="preserve"> </w:t>
      </w:r>
      <w:r w:rsidRPr="002029AF">
        <w:rPr>
          <w:lang w:eastAsia="en-AU"/>
        </w:rPr>
        <w:t>which</w:t>
      </w:r>
      <w:r w:rsidR="000A5329" w:rsidRPr="002029AF">
        <w:rPr>
          <w:lang w:eastAsia="en-AU"/>
        </w:rPr>
        <w:t xml:space="preserve"> </w:t>
      </w:r>
      <w:r w:rsidRPr="002029AF">
        <w:rPr>
          <w:lang w:eastAsia="en-AU"/>
        </w:rPr>
        <w:t>include</w:t>
      </w:r>
      <w:r w:rsidR="000A5329" w:rsidRPr="002029AF">
        <w:rPr>
          <w:lang w:eastAsia="en-AU"/>
        </w:rPr>
        <w:t xml:space="preserve"> </w:t>
      </w:r>
      <w:r w:rsidRPr="002029AF">
        <w:rPr>
          <w:lang w:eastAsia="en-AU"/>
        </w:rPr>
        <w:t>Interpretations</w:t>
      </w:r>
      <w:r w:rsidR="000A5329" w:rsidRPr="002029AF">
        <w:rPr>
          <w:lang w:eastAsia="en-AU"/>
        </w:rPr>
        <w:t xml:space="preserve"> </w:t>
      </w:r>
      <w:r w:rsidRPr="002029AF">
        <w:rPr>
          <w:lang w:eastAsia="en-AU"/>
        </w:rPr>
        <w:t>issued</w:t>
      </w:r>
      <w:r w:rsidR="000A5329" w:rsidRPr="002029AF">
        <w:rPr>
          <w:lang w:eastAsia="en-AU"/>
        </w:rPr>
        <w:t xml:space="preserve"> </w:t>
      </w:r>
      <w:r w:rsidRPr="002029AF">
        <w:rPr>
          <w:lang w:eastAsia="en-AU"/>
        </w:rPr>
        <w:t>by</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Australian</w:t>
      </w:r>
      <w:r w:rsidR="000A5329" w:rsidRPr="002029AF">
        <w:rPr>
          <w:lang w:eastAsia="en-AU"/>
        </w:rPr>
        <w:t xml:space="preserve"> </w:t>
      </w:r>
      <w:r w:rsidRPr="002029AF">
        <w:rPr>
          <w:lang w:eastAsia="en-AU"/>
        </w:rPr>
        <w:t>Accounting</w:t>
      </w:r>
      <w:r w:rsidR="000A5329" w:rsidRPr="002029AF">
        <w:rPr>
          <w:lang w:eastAsia="en-AU"/>
        </w:rPr>
        <w:t xml:space="preserve"> </w:t>
      </w:r>
      <w:r w:rsidRPr="002029AF">
        <w:rPr>
          <w:lang w:eastAsia="en-AU"/>
        </w:rPr>
        <w:t>Standards</w:t>
      </w:r>
      <w:r w:rsidR="000A5329" w:rsidRPr="002029AF">
        <w:rPr>
          <w:lang w:eastAsia="en-AU"/>
        </w:rPr>
        <w:t xml:space="preserve"> </w:t>
      </w:r>
      <w:r w:rsidRPr="002029AF">
        <w:rPr>
          <w:lang w:eastAsia="en-AU"/>
        </w:rPr>
        <w:t>Board</w:t>
      </w:r>
      <w:r w:rsidR="000A5329" w:rsidRPr="002029AF">
        <w:rPr>
          <w:lang w:eastAsia="en-AU"/>
        </w:rPr>
        <w:t xml:space="preserve"> </w:t>
      </w:r>
      <w:r w:rsidRPr="002029AF">
        <w:rPr>
          <w:lang w:eastAsia="en-AU"/>
        </w:rPr>
        <w:t>(AASB).</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particular,</w:t>
      </w:r>
      <w:r w:rsidR="000A5329" w:rsidRPr="002029AF">
        <w:rPr>
          <w:lang w:eastAsia="en-AU"/>
        </w:rPr>
        <w:t xml:space="preserve"> </w:t>
      </w:r>
      <w:r w:rsidRPr="002029AF">
        <w:rPr>
          <w:lang w:eastAsia="en-AU"/>
        </w:rPr>
        <w:t>they</w:t>
      </w:r>
      <w:r w:rsidR="000A5329" w:rsidRPr="002029AF">
        <w:rPr>
          <w:lang w:eastAsia="en-AU"/>
        </w:rPr>
        <w:t xml:space="preserve"> </w:t>
      </w:r>
      <w:r w:rsidRPr="002029AF">
        <w:rPr>
          <w:lang w:eastAsia="en-AU"/>
        </w:rPr>
        <w:t>are</w:t>
      </w:r>
      <w:r w:rsidR="000A5329" w:rsidRPr="002029AF">
        <w:rPr>
          <w:lang w:eastAsia="en-AU"/>
        </w:rPr>
        <w:t xml:space="preserve"> </w:t>
      </w:r>
      <w:r w:rsidRPr="002029AF">
        <w:rPr>
          <w:lang w:eastAsia="en-AU"/>
        </w:rPr>
        <w:t>presented</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a</w:t>
      </w:r>
      <w:r w:rsidR="000A5329" w:rsidRPr="002029AF">
        <w:rPr>
          <w:lang w:eastAsia="en-AU"/>
        </w:rPr>
        <w:t xml:space="preserve"> </w:t>
      </w:r>
      <w:r w:rsidRPr="002029AF">
        <w:rPr>
          <w:lang w:eastAsia="en-AU"/>
        </w:rPr>
        <w:t>manner</w:t>
      </w:r>
      <w:r w:rsidR="000A5329" w:rsidRPr="002029AF">
        <w:rPr>
          <w:lang w:eastAsia="en-AU"/>
        </w:rPr>
        <w:t xml:space="preserve"> </w:t>
      </w:r>
      <w:r w:rsidRPr="002029AF">
        <w:rPr>
          <w:lang w:eastAsia="en-AU"/>
        </w:rPr>
        <w:t>consistent</w:t>
      </w:r>
      <w:r w:rsidR="000A5329" w:rsidRPr="002029AF">
        <w:rPr>
          <w:lang w:eastAsia="en-AU"/>
        </w:rPr>
        <w:t xml:space="preserve"> </w:t>
      </w:r>
      <w:r w:rsidRPr="002029AF">
        <w:rPr>
          <w:lang w:eastAsia="en-AU"/>
        </w:rPr>
        <w:t>with</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requirements</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AASB</w:t>
      </w:r>
      <w:r w:rsidR="000A5329" w:rsidRPr="002029AF">
        <w:rPr>
          <w:lang w:eastAsia="en-AU"/>
        </w:rPr>
        <w:t xml:space="preserve"> </w:t>
      </w:r>
      <w:r w:rsidRPr="002029AF">
        <w:rPr>
          <w:lang w:eastAsia="en-AU"/>
        </w:rPr>
        <w:t>1049</w:t>
      </w:r>
      <w:r w:rsidR="000A5329" w:rsidRPr="002029AF">
        <w:rPr>
          <w:lang w:eastAsia="en-AU"/>
        </w:rPr>
        <w:t xml:space="preserve"> </w:t>
      </w:r>
      <w:r w:rsidRPr="002029AF">
        <w:rPr>
          <w:rStyle w:val="Emphasis"/>
        </w:rPr>
        <w:t>Whole</w:t>
      </w:r>
      <w:r w:rsidR="000A5329" w:rsidRPr="002029AF">
        <w:rPr>
          <w:rStyle w:val="Emphasis"/>
        </w:rPr>
        <w:t xml:space="preserve"> </w:t>
      </w:r>
      <w:r w:rsidRPr="002029AF">
        <w:rPr>
          <w:rStyle w:val="Emphasis"/>
        </w:rPr>
        <w:t>of</w:t>
      </w:r>
      <w:r w:rsidR="000A5329" w:rsidRPr="002029AF">
        <w:rPr>
          <w:rStyle w:val="Emphasis"/>
        </w:rPr>
        <w:t xml:space="preserve"> </w:t>
      </w:r>
      <w:r w:rsidRPr="002029AF">
        <w:rPr>
          <w:rStyle w:val="Emphasis"/>
        </w:rPr>
        <w:t>Government</w:t>
      </w:r>
      <w:r w:rsidR="000A5329" w:rsidRPr="002029AF">
        <w:rPr>
          <w:rStyle w:val="Emphasis"/>
        </w:rPr>
        <w:t xml:space="preserve"> </w:t>
      </w:r>
      <w:r w:rsidRPr="002029AF">
        <w:rPr>
          <w:rStyle w:val="Emphasis"/>
        </w:rPr>
        <w:t>and</w:t>
      </w:r>
      <w:r w:rsidR="000A5329" w:rsidRPr="002029AF">
        <w:rPr>
          <w:rStyle w:val="Emphasis"/>
        </w:rPr>
        <w:t xml:space="preserve"> </w:t>
      </w:r>
      <w:r w:rsidRPr="002029AF">
        <w:rPr>
          <w:rStyle w:val="Emphasis"/>
        </w:rPr>
        <w:t>General</w:t>
      </w:r>
      <w:r w:rsidR="000A5329" w:rsidRPr="002029AF">
        <w:rPr>
          <w:rStyle w:val="Emphasis"/>
        </w:rPr>
        <w:t xml:space="preserve"> </w:t>
      </w:r>
      <w:r w:rsidRPr="002029AF">
        <w:rPr>
          <w:rStyle w:val="Emphasis"/>
        </w:rPr>
        <w:t>Government</w:t>
      </w:r>
      <w:r w:rsidR="000A5329" w:rsidRPr="002029AF">
        <w:rPr>
          <w:rStyle w:val="Emphasis"/>
        </w:rPr>
        <w:t xml:space="preserve"> </w:t>
      </w:r>
      <w:r w:rsidRPr="002029AF">
        <w:rPr>
          <w:rStyle w:val="Emphasis"/>
        </w:rPr>
        <w:t>Sector</w:t>
      </w:r>
      <w:r w:rsidR="000A5329" w:rsidRPr="002029AF">
        <w:rPr>
          <w:rStyle w:val="Emphasis"/>
        </w:rPr>
        <w:t xml:space="preserve"> </w:t>
      </w:r>
      <w:r w:rsidRPr="002029AF">
        <w:rPr>
          <w:rStyle w:val="Emphasis"/>
        </w:rPr>
        <w:t>Financial</w:t>
      </w:r>
      <w:r w:rsidR="000A5329" w:rsidRPr="002029AF">
        <w:rPr>
          <w:rStyle w:val="Emphasis"/>
        </w:rPr>
        <w:t xml:space="preserve"> </w:t>
      </w:r>
      <w:r w:rsidRPr="002029AF">
        <w:rPr>
          <w:rStyle w:val="Emphasis"/>
        </w:rPr>
        <w:t>Reporting</w:t>
      </w:r>
      <w:r w:rsidRPr="002029AF">
        <w:rPr>
          <w:lang w:eastAsia="en-AU"/>
        </w:rPr>
        <w:t>.</w:t>
      </w:r>
    </w:p>
    <w:p w14:paraId="02F5836C" w14:textId="6DEF79C4" w:rsidR="0065586C" w:rsidRPr="002029AF" w:rsidRDefault="0065586C" w:rsidP="003566F1">
      <w:pPr>
        <w:pStyle w:val="ARbody"/>
        <w:rPr>
          <w:lang w:eastAsia="en-AU"/>
        </w:rPr>
      </w:pPr>
      <w:r w:rsidRPr="002029AF">
        <w:rPr>
          <w:lang w:eastAsia="en-AU"/>
        </w:rPr>
        <w:t>Where</w:t>
      </w:r>
      <w:r w:rsidR="000A5329" w:rsidRPr="002029AF">
        <w:rPr>
          <w:lang w:eastAsia="en-AU"/>
        </w:rPr>
        <w:t xml:space="preserve"> </w:t>
      </w:r>
      <w:r w:rsidRPr="002029AF">
        <w:rPr>
          <w:lang w:eastAsia="en-AU"/>
        </w:rPr>
        <w:t>appropriate,</w:t>
      </w:r>
      <w:r w:rsidR="000A5329" w:rsidRPr="002029AF">
        <w:rPr>
          <w:lang w:eastAsia="en-AU"/>
        </w:rPr>
        <w:t xml:space="preserve"> </w:t>
      </w:r>
      <w:r w:rsidRPr="002029AF">
        <w:rPr>
          <w:lang w:eastAsia="en-AU"/>
        </w:rPr>
        <w:t>those</w:t>
      </w:r>
      <w:r w:rsidR="000A5329" w:rsidRPr="002029AF">
        <w:rPr>
          <w:lang w:eastAsia="en-AU"/>
        </w:rPr>
        <w:t xml:space="preserve"> </w:t>
      </w:r>
      <w:r w:rsidRPr="002029AF">
        <w:rPr>
          <w:lang w:eastAsia="en-AU"/>
        </w:rPr>
        <w:t>AAS</w:t>
      </w:r>
      <w:r w:rsidR="000A5329" w:rsidRPr="002029AF">
        <w:rPr>
          <w:lang w:eastAsia="en-AU"/>
        </w:rPr>
        <w:t xml:space="preserve"> </w:t>
      </w:r>
      <w:r w:rsidRPr="002029AF">
        <w:rPr>
          <w:lang w:eastAsia="en-AU"/>
        </w:rPr>
        <w:t>paragraphs</w:t>
      </w:r>
      <w:r w:rsidR="000A5329" w:rsidRPr="002029AF">
        <w:rPr>
          <w:lang w:eastAsia="en-AU"/>
        </w:rPr>
        <w:t xml:space="preserve"> </w:t>
      </w:r>
      <w:r w:rsidRPr="002029AF">
        <w:rPr>
          <w:lang w:eastAsia="en-AU"/>
        </w:rPr>
        <w:t>applicable</w:t>
      </w:r>
      <w:r w:rsidR="000A5329" w:rsidRPr="002029AF">
        <w:rPr>
          <w:lang w:eastAsia="en-AU"/>
        </w:rPr>
        <w:t xml:space="preserve"> </w:t>
      </w:r>
      <w:r w:rsidRPr="002029AF">
        <w:rPr>
          <w:lang w:eastAsia="en-AU"/>
        </w:rPr>
        <w:t>to</w:t>
      </w:r>
      <w:r w:rsidR="000A5329" w:rsidRPr="002029AF">
        <w:rPr>
          <w:lang w:eastAsia="en-AU"/>
        </w:rPr>
        <w:t xml:space="preserve"> </w:t>
      </w:r>
      <w:r w:rsidRPr="002029AF">
        <w:rPr>
          <w:lang w:eastAsia="en-AU"/>
        </w:rPr>
        <w:t>not-for-profit</w:t>
      </w:r>
      <w:r w:rsidR="000A5329" w:rsidRPr="002029AF">
        <w:rPr>
          <w:lang w:eastAsia="en-AU"/>
        </w:rPr>
        <w:t xml:space="preserve"> </w:t>
      </w:r>
      <w:r w:rsidRPr="002029AF">
        <w:rPr>
          <w:lang w:eastAsia="en-AU"/>
        </w:rPr>
        <w:t>entities</w:t>
      </w:r>
      <w:r w:rsidR="000A5329" w:rsidRPr="002029AF">
        <w:rPr>
          <w:lang w:eastAsia="en-AU"/>
        </w:rPr>
        <w:t xml:space="preserve"> </w:t>
      </w:r>
      <w:r w:rsidRPr="002029AF">
        <w:rPr>
          <w:lang w:eastAsia="en-AU"/>
        </w:rPr>
        <w:t>have</w:t>
      </w:r>
      <w:r w:rsidR="000A5329" w:rsidRPr="002029AF">
        <w:rPr>
          <w:lang w:eastAsia="en-AU"/>
        </w:rPr>
        <w:t xml:space="preserve"> </w:t>
      </w:r>
      <w:r w:rsidRPr="002029AF">
        <w:rPr>
          <w:lang w:eastAsia="en-AU"/>
        </w:rPr>
        <w:t>been</w:t>
      </w:r>
      <w:r w:rsidR="000A5329" w:rsidRPr="002029AF">
        <w:rPr>
          <w:lang w:eastAsia="en-AU"/>
        </w:rPr>
        <w:t xml:space="preserve"> </w:t>
      </w:r>
      <w:r w:rsidRPr="002029AF">
        <w:rPr>
          <w:lang w:eastAsia="en-AU"/>
        </w:rPr>
        <w:t>applied.</w:t>
      </w:r>
      <w:r w:rsidR="000A5329" w:rsidRPr="002029AF">
        <w:rPr>
          <w:lang w:eastAsia="en-AU"/>
        </w:rPr>
        <w:t xml:space="preserve"> </w:t>
      </w:r>
      <w:r w:rsidRPr="002029AF">
        <w:rPr>
          <w:lang w:eastAsia="en-AU"/>
        </w:rPr>
        <w:t>Accounting</w:t>
      </w:r>
      <w:r w:rsidR="000A5329" w:rsidRPr="002029AF">
        <w:rPr>
          <w:lang w:eastAsia="en-AU"/>
        </w:rPr>
        <w:t xml:space="preserve"> </w:t>
      </w:r>
      <w:r w:rsidRPr="002029AF">
        <w:rPr>
          <w:lang w:eastAsia="en-AU"/>
        </w:rPr>
        <w:t>policies</w:t>
      </w:r>
      <w:r w:rsidR="000A5329" w:rsidRPr="002029AF">
        <w:rPr>
          <w:lang w:eastAsia="en-AU"/>
        </w:rPr>
        <w:t xml:space="preserve"> </w:t>
      </w:r>
      <w:r w:rsidRPr="002029AF">
        <w:rPr>
          <w:lang w:eastAsia="en-AU"/>
        </w:rPr>
        <w:t>selected</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applied</w:t>
      </w:r>
      <w:r w:rsidR="000A5329" w:rsidRPr="002029AF">
        <w:rPr>
          <w:lang w:eastAsia="en-AU"/>
        </w:rPr>
        <w:t xml:space="preserve"> </w:t>
      </w:r>
      <w:r w:rsidRPr="002029AF">
        <w:rPr>
          <w:lang w:eastAsia="en-AU"/>
        </w:rPr>
        <w:t>in</w:t>
      </w:r>
      <w:r w:rsidR="000A5329" w:rsidRPr="002029AF">
        <w:rPr>
          <w:lang w:eastAsia="en-AU"/>
        </w:rPr>
        <w:t xml:space="preserve"> </w:t>
      </w:r>
      <w:r w:rsidRPr="002029AF">
        <w:rPr>
          <w:lang w:eastAsia="en-AU"/>
        </w:rPr>
        <w:t>these</w:t>
      </w:r>
      <w:r w:rsidR="000A5329" w:rsidRPr="002029AF">
        <w:rPr>
          <w:lang w:eastAsia="en-AU"/>
        </w:rPr>
        <w:t xml:space="preserve"> </w:t>
      </w:r>
      <w:r w:rsidRPr="002029AF">
        <w:rPr>
          <w:lang w:eastAsia="en-AU"/>
        </w:rPr>
        <w:t>financial</w:t>
      </w:r>
      <w:r w:rsidR="000A5329" w:rsidRPr="002029AF">
        <w:rPr>
          <w:lang w:eastAsia="en-AU"/>
        </w:rPr>
        <w:t xml:space="preserve"> </w:t>
      </w:r>
      <w:r w:rsidRPr="002029AF">
        <w:rPr>
          <w:lang w:eastAsia="en-AU"/>
        </w:rPr>
        <w:t>statements</w:t>
      </w:r>
      <w:r w:rsidR="000A5329" w:rsidRPr="002029AF">
        <w:rPr>
          <w:lang w:eastAsia="en-AU"/>
        </w:rPr>
        <w:t xml:space="preserve"> </w:t>
      </w:r>
      <w:r w:rsidRPr="002029AF">
        <w:rPr>
          <w:lang w:eastAsia="en-AU"/>
        </w:rPr>
        <w:t>ensure</w:t>
      </w:r>
      <w:r w:rsidR="000A5329" w:rsidRPr="002029AF">
        <w:rPr>
          <w:lang w:eastAsia="en-AU"/>
        </w:rPr>
        <w:t xml:space="preserve"> </w:t>
      </w:r>
      <w:r w:rsidRPr="002029AF">
        <w:rPr>
          <w:lang w:eastAsia="en-AU"/>
        </w:rPr>
        <w:t>that</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resulting</w:t>
      </w:r>
      <w:r w:rsidR="000A5329" w:rsidRPr="002029AF">
        <w:rPr>
          <w:lang w:eastAsia="en-AU"/>
        </w:rPr>
        <w:t xml:space="preserve"> </w:t>
      </w:r>
      <w:r w:rsidRPr="002029AF">
        <w:rPr>
          <w:lang w:eastAsia="en-AU"/>
        </w:rPr>
        <w:t>financial</w:t>
      </w:r>
      <w:r w:rsidR="000A5329" w:rsidRPr="002029AF">
        <w:rPr>
          <w:lang w:eastAsia="en-AU"/>
        </w:rPr>
        <w:t xml:space="preserve"> </w:t>
      </w:r>
      <w:r w:rsidRPr="002029AF">
        <w:rPr>
          <w:lang w:eastAsia="en-AU"/>
        </w:rPr>
        <w:t>information</w:t>
      </w:r>
      <w:r w:rsidR="000A5329" w:rsidRPr="002029AF">
        <w:rPr>
          <w:lang w:eastAsia="en-AU"/>
        </w:rPr>
        <w:t xml:space="preserve"> </w:t>
      </w:r>
      <w:r w:rsidRPr="002029AF">
        <w:rPr>
          <w:lang w:eastAsia="en-AU"/>
        </w:rPr>
        <w:t>satisfies</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concepts</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relevance</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reliability,</w:t>
      </w:r>
      <w:r w:rsidR="000A5329" w:rsidRPr="002029AF">
        <w:rPr>
          <w:lang w:eastAsia="en-AU"/>
        </w:rPr>
        <w:t xml:space="preserve"> </w:t>
      </w:r>
      <w:r w:rsidRPr="002029AF">
        <w:rPr>
          <w:lang w:eastAsia="en-AU"/>
        </w:rPr>
        <w:t>thereby</w:t>
      </w:r>
      <w:r w:rsidR="000A5329" w:rsidRPr="002029AF">
        <w:rPr>
          <w:lang w:eastAsia="en-AU"/>
        </w:rPr>
        <w:t xml:space="preserve"> </w:t>
      </w:r>
      <w:r w:rsidRPr="002029AF">
        <w:rPr>
          <w:lang w:eastAsia="en-AU"/>
        </w:rPr>
        <w:t>ensuring</w:t>
      </w:r>
      <w:r w:rsidR="000A5329" w:rsidRPr="002029AF">
        <w:rPr>
          <w:lang w:eastAsia="en-AU"/>
        </w:rPr>
        <w:t xml:space="preserve"> </w:t>
      </w:r>
      <w:r w:rsidRPr="002029AF">
        <w:rPr>
          <w:lang w:eastAsia="en-AU"/>
        </w:rPr>
        <w:t>that</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substance</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underlying</w:t>
      </w:r>
      <w:r w:rsidR="000A5329" w:rsidRPr="002029AF">
        <w:rPr>
          <w:lang w:eastAsia="en-AU"/>
        </w:rPr>
        <w:t xml:space="preserve"> </w:t>
      </w:r>
      <w:r w:rsidRPr="002029AF">
        <w:rPr>
          <w:lang w:eastAsia="en-AU"/>
        </w:rPr>
        <w:t>transactions</w:t>
      </w:r>
      <w:r w:rsidR="000A5329" w:rsidRPr="002029AF">
        <w:rPr>
          <w:lang w:eastAsia="en-AU"/>
        </w:rPr>
        <w:t xml:space="preserve"> </w:t>
      </w:r>
      <w:r w:rsidRPr="002029AF">
        <w:rPr>
          <w:lang w:eastAsia="en-AU"/>
        </w:rPr>
        <w:t>or</w:t>
      </w:r>
      <w:r w:rsidR="000A5329" w:rsidRPr="002029AF">
        <w:rPr>
          <w:lang w:eastAsia="en-AU"/>
        </w:rPr>
        <w:t xml:space="preserve"> </w:t>
      </w:r>
      <w:r w:rsidRPr="002029AF">
        <w:rPr>
          <w:lang w:eastAsia="en-AU"/>
        </w:rPr>
        <w:t>other</w:t>
      </w:r>
      <w:r w:rsidR="000A5329" w:rsidRPr="002029AF">
        <w:rPr>
          <w:lang w:eastAsia="en-AU"/>
        </w:rPr>
        <w:t xml:space="preserve"> </w:t>
      </w:r>
      <w:r w:rsidRPr="002029AF">
        <w:rPr>
          <w:lang w:eastAsia="en-AU"/>
        </w:rPr>
        <w:t>events</w:t>
      </w:r>
      <w:r w:rsidR="000A5329" w:rsidRPr="002029AF">
        <w:rPr>
          <w:lang w:eastAsia="en-AU"/>
        </w:rPr>
        <w:t xml:space="preserve"> </w:t>
      </w:r>
      <w:r w:rsidRPr="002029AF">
        <w:rPr>
          <w:lang w:eastAsia="en-AU"/>
        </w:rPr>
        <w:t>is</w:t>
      </w:r>
      <w:r w:rsidR="000A5329" w:rsidRPr="002029AF">
        <w:rPr>
          <w:lang w:eastAsia="en-AU"/>
        </w:rPr>
        <w:t xml:space="preserve"> </w:t>
      </w:r>
      <w:r w:rsidRPr="002029AF">
        <w:rPr>
          <w:lang w:eastAsia="en-AU"/>
        </w:rPr>
        <w:t>reported.</w:t>
      </w:r>
    </w:p>
    <w:p w14:paraId="1FBF74D8" w14:textId="6C8C6B68" w:rsidR="0065586C" w:rsidRPr="002029AF" w:rsidRDefault="0065586C" w:rsidP="003566F1">
      <w:pPr>
        <w:pStyle w:val="ARbody"/>
        <w:rPr>
          <w:lang w:eastAsia="en-AU"/>
        </w:rPr>
      </w:pPr>
      <w:r w:rsidRPr="002029AF">
        <w:rPr>
          <w:lang w:eastAsia="en-AU"/>
        </w:rPr>
        <w:t>These</w:t>
      </w:r>
      <w:r w:rsidR="000A5329" w:rsidRPr="002029AF">
        <w:rPr>
          <w:lang w:eastAsia="en-AU"/>
        </w:rPr>
        <w:t xml:space="preserve"> </w:t>
      </w:r>
      <w:r w:rsidRPr="002029AF">
        <w:rPr>
          <w:lang w:eastAsia="en-AU"/>
        </w:rPr>
        <w:t>annual</w:t>
      </w:r>
      <w:r w:rsidR="000A5329" w:rsidRPr="002029AF">
        <w:rPr>
          <w:lang w:eastAsia="en-AU"/>
        </w:rPr>
        <w:t xml:space="preserve"> </w:t>
      </w:r>
      <w:r w:rsidRPr="002029AF">
        <w:rPr>
          <w:lang w:eastAsia="en-AU"/>
        </w:rPr>
        <w:t>financial</w:t>
      </w:r>
      <w:r w:rsidR="000A5329" w:rsidRPr="002029AF">
        <w:rPr>
          <w:lang w:eastAsia="en-AU"/>
        </w:rPr>
        <w:t xml:space="preserve"> </w:t>
      </w:r>
      <w:r w:rsidRPr="002029AF">
        <w:rPr>
          <w:lang w:eastAsia="en-AU"/>
        </w:rPr>
        <w:t>statements</w:t>
      </w:r>
      <w:r w:rsidR="000A5329" w:rsidRPr="002029AF">
        <w:rPr>
          <w:lang w:eastAsia="en-AU"/>
        </w:rPr>
        <w:t xml:space="preserve"> </w:t>
      </w:r>
      <w:r w:rsidRPr="002029AF">
        <w:rPr>
          <w:lang w:eastAsia="en-AU"/>
        </w:rPr>
        <w:t>were</w:t>
      </w:r>
      <w:r w:rsidR="000A5329" w:rsidRPr="002029AF">
        <w:rPr>
          <w:lang w:eastAsia="en-AU"/>
        </w:rPr>
        <w:t xml:space="preserve"> </w:t>
      </w:r>
      <w:r w:rsidRPr="002029AF">
        <w:rPr>
          <w:lang w:eastAsia="en-AU"/>
        </w:rPr>
        <w:t>authorised</w:t>
      </w:r>
      <w:r w:rsidR="000A5329" w:rsidRPr="002029AF">
        <w:rPr>
          <w:lang w:eastAsia="en-AU"/>
        </w:rPr>
        <w:t xml:space="preserve"> </w:t>
      </w:r>
      <w:r w:rsidRPr="002029AF">
        <w:rPr>
          <w:lang w:eastAsia="en-AU"/>
        </w:rPr>
        <w:t>for</w:t>
      </w:r>
      <w:r w:rsidR="000A5329" w:rsidRPr="002029AF">
        <w:rPr>
          <w:lang w:eastAsia="en-AU"/>
        </w:rPr>
        <w:t xml:space="preserve"> </w:t>
      </w:r>
      <w:r w:rsidRPr="002029AF">
        <w:rPr>
          <w:lang w:eastAsia="en-AU"/>
        </w:rPr>
        <w:t>issue</w:t>
      </w:r>
      <w:r w:rsidR="000A5329" w:rsidRPr="002029AF">
        <w:rPr>
          <w:lang w:eastAsia="en-AU"/>
        </w:rPr>
        <w:t xml:space="preserve"> </w:t>
      </w:r>
      <w:r w:rsidRPr="002029AF">
        <w:rPr>
          <w:lang w:eastAsia="en-AU"/>
        </w:rPr>
        <w:t>by</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Secretary</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the</w:t>
      </w:r>
      <w:r w:rsidR="000A5329" w:rsidRPr="002029AF">
        <w:rPr>
          <w:lang w:eastAsia="en-AU"/>
        </w:rPr>
        <w:t xml:space="preserve"> </w:t>
      </w:r>
      <w:r w:rsidRPr="002029AF">
        <w:rPr>
          <w:lang w:eastAsia="en-AU"/>
        </w:rPr>
        <w:t>Department</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Health</w:t>
      </w:r>
      <w:r w:rsidR="000A5329" w:rsidRPr="002029AF">
        <w:rPr>
          <w:lang w:eastAsia="en-AU"/>
        </w:rPr>
        <w:t xml:space="preserve"> </w:t>
      </w:r>
      <w:r w:rsidRPr="002029AF">
        <w:rPr>
          <w:lang w:eastAsia="en-AU"/>
        </w:rPr>
        <w:t>and</w:t>
      </w:r>
      <w:r w:rsidR="000A5329" w:rsidRPr="002029AF">
        <w:rPr>
          <w:lang w:eastAsia="en-AU"/>
        </w:rPr>
        <w:t xml:space="preserve"> </w:t>
      </w:r>
      <w:r w:rsidRPr="002029AF">
        <w:rPr>
          <w:lang w:eastAsia="en-AU"/>
        </w:rPr>
        <w:t>Human</w:t>
      </w:r>
      <w:r w:rsidR="000A5329" w:rsidRPr="002029AF">
        <w:rPr>
          <w:lang w:eastAsia="en-AU"/>
        </w:rPr>
        <w:t xml:space="preserve"> </w:t>
      </w:r>
      <w:r w:rsidRPr="002029AF">
        <w:rPr>
          <w:lang w:eastAsia="en-AU"/>
        </w:rPr>
        <w:t>Services</w:t>
      </w:r>
      <w:r w:rsidR="000A5329" w:rsidRPr="002029AF">
        <w:rPr>
          <w:lang w:eastAsia="en-AU"/>
        </w:rPr>
        <w:t xml:space="preserve"> </w:t>
      </w:r>
      <w:r w:rsidRPr="002029AF">
        <w:rPr>
          <w:lang w:eastAsia="en-AU"/>
        </w:rPr>
        <w:t>on</w:t>
      </w:r>
      <w:r w:rsidR="000A5329" w:rsidRPr="002029AF">
        <w:rPr>
          <w:lang w:eastAsia="en-AU"/>
        </w:rPr>
        <w:t xml:space="preserve"> </w:t>
      </w:r>
      <w:r w:rsidRPr="002029AF">
        <w:rPr>
          <w:lang w:eastAsia="en-AU"/>
        </w:rPr>
        <w:t>18</w:t>
      </w:r>
      <w:r w:rsidR="000A5329" w:rsidRPr="002029AF">
        <w:rPr>
          <w:lang w:eastAsia="en-AU"/>
        </w:rPr>
        <w:t xml:space="preserve"> </w:t>
      </w:r>
      <w:r w:rsidRPr="002029AF">
        <w:rPr>
          <w:lang w:eastAsia="en-AU"/>
        </w:rPr>
        <w:t>September</w:t>
      </w:r>
      <w:r w:rsidR="000A5329" w:rsidRPr="002029AF">
        <w:rPr>
          <w:lang w:eastAsia="en-AU"/>
        </w:rPr>
        <w:t xml:space="preserve"> </w:t>
      </w:r>
      <w:r w:rsidRPr="002029AF">
        <w:rPr>
          <w:lang w:eastAsia="en-AU"/>
        </w:rPr>
        <w:t>2020.</w:t>
      </w:r>
    </w:p>
    <w:p w14:paraId="0EF23533" w14:textId="77777777" w:rsidR="0065586C" w:rsidRPr="002029AF" w:rsidRDefault="0065586C" w:rsidP="003566F1">
      <w:pPr>
        <w:pStyle w:val="ARfinbody"/>
        <w:rPr>
          <w:highlight w:val="yellow"/>
        </w:rPr>
      </w:pPr>
      <w:r w:rsidRPr="002029AF">
        <w:rPr>
          <w:highlight w:val="yellow"/>
        </w:rPr>
        <w:br w:type="page"/>
      </w:r>
    </w:p>
    <w:p w14:paraId="25D834A1" w14:textId="7A3DEA63" w:rsidR="00087B91" w:rsidRPr="002029AF" w:rsidRDefault="00087B91" w:rsidP="00087B91">
      <w:pPr>
        <w:pStyle w:val="Heading3"/>
      </w:pPr>
      <w:bookmarkStart w:id="273" w:name="_Toc37777538"/>
      <w:bookmarkStart w:id="274" w:name="_Toc39136687"/>
      <w:bookmarkStart w:id="275" w:name="_Toc39242131"/>
      <w:bookmarkStart w:id="276" w:name="_Toc51235513"/>
      <w:bookmarkStart w:id="277" w:name="_Ref52274978"/>
      <w:bookmarkStart w:id="278" w:name="_Toc54690812"/>
      <w:r w:rsidRPr="002029AF">
        <w:lastRenderedPageBreak/>
        <w:t>2.</w:t>
      </w:r>
      <w:r w:rsidR="000A5329" w:rsidRPr="002029AF">
        <w:t xml:space="preserve"> </w:t>
      </w:r>
      <w:r w:rsidRPr="002029AF">
        <w:t>F</w:t>
      </w:r>
      <w:bookmarkEnd w:id="273"/>
      <w:r w:rsidRPr="002029AF">
        <w:t>unding</w:t>
      </w:r>
      <w:r w:rsidR="000A5329" w:rsidRPr="002029AF">
        <w:t xml:space="preserve"> </w:t>
      </w:r>
      <w:r w:rsidRPr="002029AF">
        <w:t>delivery</w:t>
      </w:r>
      <w:r w:rsidR="000A5329" w:rsidRPr="002029AF">
        <w:t xml:space="preserve"> </w:t>
      </w:r>
      <w:r w:rsidRPr="002029AF">
        <w:t>of</w:t>
      </w:r>
      <w:r w:rsidR="000A5329" w:rsidRPr="002029AF">
        <w:t xml:space="preserve"> </w:t>
      </w:r>
      <w:r w:rsidRPr="002029AF">
        <w:t>our</w:t>
      </w:r>
      <w:r w:rsidR="000A5329" w:rsidRPr="002029AF">
        <w:t xml:space="preserve"> </w:t>
      </w:r>
      <w:r w:rsidRPr="002029AF">
        <w:t>services</w:t>
      </w:r>
      <w:bookmarkEnd w:id="274"/>
      <w:bookmarkEnd w:id="275"/>
      <w:bookmarkEnd w:id="276"/>
      <w:bookmarkEnd w:id="277"/>
      <w:bookmarkEnd w:id="278"/>
    </w:p>
    <w:p w14:paraId="7267D3FC" w14:textId="77777777" w:rsidR="00087B91" w:rsidRPr="002029AF" w:rsidRDefault="00087B91" w:rsidP="00087B91">
      <w:pPr>
        <w:pStyle w:val="Heading4"/>
      </w:pPr>
      <w:r w:rsidRPr="002029AF">
        <w:t>Introduction</w:t>
      </w:r>
    </w:p>
    <w:p w14:paraId="143C600A" w14:textId="357CACB7" w:rsidR="00087B91" w:rsidRPr="002029AF" w:rsidRDefault="00087B91" w:rsidP="00087B91">
      <w:pPr>
        <w:pStyle w:val="ARfinbody"/>
      </w:pPr>
      <w:r w:rsidRPr="002029AF">
        <w:t>The</w:t>
      </w:r>
      <w:r w:rsidR="000A5329" w:rsidRPr="002029AF">
        <w:t xml:space="preserve"> </w:t>
      </w:r>
      <w:r w:rsidRPr="002029AF">
        <w:t>department’s</w:t>
      </w:r>
      <w:r w:rsidR="000A5329" w:rsidRPr="002029AF">
        <w:t xml:space="preserve"> </w:t>
      </w:r>
      <w:r w:rsidRPr="002029AF">
        <w:t>overall</w:t>
      </w:r>
      <w:r w:rsidR="000A5329" w:rsidRPr="002029AF">
        <w:t xml:space="preserve"> </w:t>
      </w:r>
      <w:r w:rsidRPr="002029AF">
        <w:t>objective</w:t>
      </w:r>
      <w:r w:rsidR="000A5329" w:rsidRPr="002029AF">
        <w:t xml:space="preserve"> </w:t>
      </w:r>
      <w:r w:rsidRPr="002029AF">
        <w:t>is</w:t>
      </w:r>
      <w:r w:rsidR="000A5329" w:rsidRPr="002029AF">
        <w:t xml:space="preserve"> </w:t>
      </w:r>
      <w:r w:rsidRPr="002029AF">
        <w:t>to</w:t>
      </w:r>
      <w:r w:rsidR="000A5329" w:rsidRPr="002029AF">
        <w:t xml:space="preserve"> </w:t>
      </w:r>
      <w:r w:rsidRPr="002029AF">
        <w:t>develop</w:t>
      </w:r>
      <w:r w:rsidR="000A5329" w:rsidRPr="002029AF">
        <w:t xml:space="preserve"> </w:t>
      </w:r>
      <w:r w:rsidRPr="002029AF">
        <w:t>and</w:t>
      </w:r>
      <w:r w:rsidR="000A5329" w:rsidRPr="002029AF">
        <w:t xml:space="preserve"> </w:t>
      </w:r>
      <w:r w:rsidRPr="002029AF">
        <w:t>deliver</w:t>
      </w:r>
      <w:r w:rsidR="000A5329" w:rsidRPr="002029AF">
        <w:t xml:space="preserve"> </w:t>
      </w:r>
      <w:r w:rsidRPr="002029AF">
        <w:t>policies,</w:t>
      </w:r>
      <w:r w:rsidR="000A5329" w:rsidRPr="002029AF">
        <w:t xml:space="preserve"> </w:t>
      </w:r>
      <w:r w:rsidRPr="002029AF">
        <w:t>programs</w:t>
      </w:r>
      <w:r w:rsidR="000A5329" w:rsidRPr="002029AF">
        <w:t xml:space="preserve"> </w:t>
      </w:r>
      <w:r w:rsidRPr="002029AF">
        <w:t>and</w:t>
      </w:r>
      <w:r w:rsidR="000A5329" w:rsidRPr="002029AF">
        <w:t xml:space="preserve"> </w:t>
      </w:r>
      <w:r w:rsidRPr="002029AF">
        <w:t>services</w:t>
      </w:r>
      <w:r w:rsidR="000A5329" w:rsidRPr="002029AF">
        <w:t xml:space="preserve"> </w:t>
      </w:r>
      <w:r w:rsidRPr="002029AF">
        <w:t>that</w:t>
      </w:r>
      <w:r w:rsidR="000A5329" w:rsidRPr="002029AF">
        <w:t xml:space="preserve"> </w:t>
      </w:r>
      <w:r w:rsidRPr="002029AF">
        <w:t>support</w:t>
      </w:r>
      <w:r w:rsidR="000A5329" w:rsidRPr="002029AF">
        <w:t xml:space="preserve"> </w:t>
      </w:r>
      <w:r w:rsidRPr="002029AF">
        <w:t>and</w:t>
      </w:r>
      <w:r w:rsidR="000A5329" w:rsidRPr="002029AF">
        <w:t xml:space="preserve"> </w:t>
      </w:r>
      <w:r w:rsidRPr="002029AF">
        <w:t>enhance</w:t>
      </w:r>
      <w:r w:rsidR="000A5329" w:rsidRPr="002029AF">
        <w:t xml:space="preserve"> </w:t>
      </w:r>
      <w:r w:rsidRPr="002029AF">
        <w:t>the</w:t>
      </w:r>
      <w:r w:rsidR="000A5329" w:rsidRPr="002029AF">
        <w:t xml:space="preserve"> </w:t>
      </w:r>
      <w:r w:rsidRPr="002029AF">
        <w:t>wellbeing</w:t>
      </w:r>
      <w:r w:rsidR="000A5329" w:rsidRPr="002029AF">
        <w:t xml:space="preserve"> </w:t>
      </w:r>
      <w:r w:rsidRPr="002029AF">
        <w:t>of</w:t>
      </w:r>
      <w:r w:rsidR="000A5329" w:rsidRPr="002029AF">
        <w:t xml:space="preserve"> </w:t>
      </w:r>
      <w:r w:rsidRPr="002029AF">
        <w:t>all</w:t>
      </w:r>
      <w:r w:rsidR="000A5329" w:rsidRPr="002029AF">
        <w:t xml:space="preserve"> </w:t>
      </w:r>
      <w:r w:rsidRPr="002029AF">
        <w:t>Victorians.</w:t>
      </w:r>
    </w:p>
    <w:p w14:paraId="6B3D0BEA" w14:textId="79B8D228" w:rsidR="00087B91" w:rsidRPr="002029AF" w:rsidRDefault="00087B91" w:rsidP="00087B91">
      <w:pPr>
        <w:pStyle w:val="ARfinbody"/>
      </w:pPr>
      <w:r w:rsidRPr="002029AF">
        <w:t>To</w:t>
      </w:r>
      <w:r w:rsidR="000A5329" w:rsidRPr="002029AF">
        <w:t xml:space="preserve"> </w:t>
      </w:r>
      <w:r w:rsidRPr="002029AF">
        <w:t>enable</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to</w:t>
      </w:r>
      <w:r w:rsidR="000A5329" w:rsidRPr="002029AF">
        <w:t xml:space="preserve"> </w:t>
      </w:r>
      <w:r w:rsidRPr="002029AF">
        <w:t>fulfil</w:t>
      </w:r>
      <w:r w:rsidR="000A5329" w:rsidRPr="002029AF">
        <w:t xml:space="preserve"> </w:t>
      </w:r>
      <w:r w:rsidRPr="002029AF">
        <w:t>its</w:t>
      </w:r>
      <w:r w:rsidR="000A5329" w:rsidRPr="002029AF">
        <w:t xml:space="preserve"> </w:t>
      </w:r>
      <w:r w:rsidRPr="002029AF">
        <w:t>objective</w:t>
      </w:r>
      <w:r w:rsidR="000A5329" w:rsidRPr="002029AF">
        <w:t xml:space="preserve"> </w:t>
      </w:r>
      <w:r w:rsidRPr="002029AF">
        <w:t>and</w:t>
      </w:r>
      <w:r w:rsidR="000A5329" w:rsidRPr="002029AF">
        <w:t xml:space="preserve"> </w:t>
      </w:r>
      <w:r w:rsidRPr="002029AF">
        <w:t>provide</w:t>
      </w:r>
      <w:r w:rsidR="000A5329" w:rsidRPr="002029AF">
        <w:t xml:space="preserve"> </w:t>
      </w:r>
      <w:r w:rsidRPr="002029AF">
        <w:t>outputs</w:t>
      </w:r>
      <w:r w:rsidR="000A5329" w:rsidRPr="002029AF">
        <w:t xml:space="preserve"> </w:t>
      </w:r>
      <w:r w:rsidRPr="002029AF">
        <w:t>as</w:t>
      </w:r>
      <w:r w:rsidR="000A5329" w:rsidRPr="002029AF">
        <w:t xml:space="preserve"> </w:t>
      </w:r>
      <w:r w:rsidRPr="002029AF">
        <w:t>described</w:t>
      </w:r>
      <w:r w:rsidR="000A5329" w:rsidRPr="002029AF">
        <w:t xml:space="preserve"> </w:t>
      </w:r>
      <w:r w:rsidRPr="002029AF">
        <w:t>in</w:t>
      </w:r>
      <w:r w:rsidR="000A5329" w:rsidRPr="002029AF">
        <w:t xml:space="preserve"> </w:t>
      </w:r>
      <w:r w:rsidRPr="002029AF">
        <w:t>section</w:t>
      </w:r>
      <w:r w:rsidR="000A5329" w:rsidRPr="002029AF">
        <w:t xml:space="preserve"> </w:t>
      </w:r>
      <w:r w:rsidRPr="002029AF">
        <w:t>4</w:t>
      </w:r>
      <w:r w:rsidR="000A5329" w:rsidRPr="002029AF">
        <w:t xml:space="preserve"> </w:t>
      </w:r>
      <w:r w:rsidRPr="002029AF">
        <w:t>‘Disaggregated</w:t>
      </w:r>
      <w:r w:rsidR="000A5329" w:rsidRPr="002029AF">
        <w:t xml:space="preserve"> </w:t>
      </w:r>
      <w:r w:rsidRPr="002029AF">
        <w:t>financial</w:t>
      </w:r>
      <w:r w:rsidR="000A5329" w:rsidRPr="002029AF">
        <w:t xml:space="preserve"> </w:t>
      </w:r>
      <w:r w:rsidRPr="002029AF">
        <w:t>information</w:t>
      </w:r>
      <w:r w:rsidR="000A5329" w:rsidRPr="002029AF">
        <w:t xml:space="preserve"> </w:t>
      </w:r>
      <w:r w:rsidRPr="002029AF">
        <w:t>by</w:t>
      </w:r>
      <w:r w:rsidR="000A5329" w:rsidRPr="002029AF">
        <w:t xml:space="preserve"> </w:t>
      </w:r>
      <w:r w:rsidRPr="002029AF">
        <w:t>output’,</w:t>
      </w:r>
      <w:r w:rsidR="000A5329" w:rsidRPr="002029AF">
        <w:t xml:space="preserve"> </w:t>
      </w:r>
      <w:r w:rsidRPr="002029AF">
        <w:t>it</w:t>
      </w:r>
      <w:r w:rsidR="000A5329" w:rsidRPr="002029AF">
        <w:t xml:space="preserve"> </w:t>
      </w:r>
      <w:r w:rsidRPr="002029AF">
        <w:t>receives</w:t>
      </w:r>
      <w:r w:rsidR="000A5329" w:rsidRPr="002029AF">
        <w:t xml:space="preserve"> </w:t>
      </w:r>
      <w:r w:rsidRPr="002029AF">
        <w:t>income</w:t>
      </w:r>
      <w:r w:rsidR="000A5329" w:rsidRPr="002029AF">
        <w:t xml:space="preserve"> </w:t>
      </w:r>
      <w:r w:rsidRPr="002029AF">
        <w:t>(predominantly</w:t>
      </w:r>
      <w:r w:rsidR="000A5329" w:rsidRPr="002029AF">
        <w:t xml:space="preserve"> </w:t>
      </w:r>
      <w:r w:rsidRPr="002029AF">
        <w:t>accrual-based</w:t>
      </w:r>
      <w:r w:rsidR="000A5329" w:rsidRPr="002029AF">
        <w:t xml:space="preserve"> </w:t>
      </w:r>
      <w:r w:rsidRPr="002029AF">
        <w:t>parliamentary</w:t>
      </w:r>
      <w:r w:rsidR="000A5329" w:rsidRPr="002029AF">
        <w:t xml:space="preserve"> </w:t>
      </w:r>
      <w:r w:rsidRPr="002029AF">
        <w:t>appropriations).</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also</w:t>
      </w:r>
      <w:r w:rsidR="000A5329" w:rsidRPr="002029AF">
        <w:t xml:space="preserve"> </w:t>
      </w:r>
      <w:r w:rsidRPr="002029AF">
        <w:t>receives</w:t>
      </w:r>
      <w:r w:rsidR="000A5329" w:rsidRPr="002029AF">
        <w:t xml:space="preserve"> </w:t>
      </w:r>
      <w:r w:rsidRPr="002029AF">
        <w:t>income</w:t>
      </w:r>
      <w:r w:rsidR="000A5329" w:rsidRPr="002029AF">
        <w:t xml:space="preserve"> </w:t>
      </w:r>
      <w:r w:rsidRPr="002029AF">
        <w:t>from</w:t>
      </w:r>
      <w:r w:rsidR="000A5329" w:rsidRPr="002029AF">
        <w:t xml:space="preserve"> </w:t>
      </w:r>
      <w:r w:rsidRPr="002029AF">
        <w:t>the</w:t>
      </w:r>
      <w:r w:rsidR="000A5329" w:rsidRPr="002029AF">
        <w:t xml:space="preserve"> </w:t>
      </w:r>
      <w:r w:rsidRPr="002029AF">
        <w:t>supply</w:t>
      </w:r>
      <w:r w:rsidR="000A5329" w:rsidRPr="002029AF">
        <w:t xml:space="preserve"> </w:t>
      </w:r>
      <w:r w:rsidRPr="002029AF">
        <w:t>of</w:t>
      </w:r>
      <w:r w:rsidR="000A5329" w:rsidRPr="002029AF">
        <w:t xml:space="preserve"> </w:t>
      </w:r>
      <w:r w:rsidRPr="002029AF">
        <w:t>services</w:t>
      </w:r>
      <w:r w:rsidR="000A5329" w:rsidRPr="002029AF">
        <w:t xml:space="preserve"> </w:t>
      </w:r>
      <w:r w:rsidRPr="002029AF">
        <w:t>and</w:t>
      </w:r>
      <w:r w:rsidR="000A5329" w:rsidRPr="002029AF">
        <w:t xml:space="preserve"> </w:t>
      </w:r>
      <w:r w:rsidRPr="002029AF">
        <w:t>tenancy</w:t>
      </w:r>
      <w:r w:rsidR="000A5329" w:rsidRPr="002029AF">
        <w:t xml:space="preserve"> </w:t>
      </w:r>
      <w:r w:rsidRPr="002029AF">
        <w:t>agreements.</w:t>
      </w:r>
    </w:p>
    <w:p w14:paraId="1FFEF743" w14:textId="5075F769" w:rsidR="00087B91" w:rsidRPr="002029AF" w:rsidRDefault="00087B91" w:rsidP="00087B91">
      <w:pPr>
        <w:pStyle w:val="Heading5"/>
      </w:pPr>
      <w:r w:rsidRPr="002029AF">
        <w:t>Significant</w:t>
      </w:r>
      <w:r w:rsidR="000A5329" w:rsidRPr="002029AF">
        <w:t xml:space="preserve"> </w:t>
      </w:r>
      <w:r w:rsidRPr="002029AF">
        <w:t>judgement:</w:t>
      </w:r>
      <w:r w:rsidR="000A5329" w:rsidRPr="002029AF">
        <w:t xml:space="preserve"> </w:t>
      </w:r>
      <w:r w:rsidRPr="002029AF">
        <w:t>Grants</w:t>
      </w:r>
      <w:r w:rsidR="000A5329" w:rsidRPr="002029AF">
        <w:t xml:space="preserve"> </w:t>
      </w:r>
      <w:r w:rsidRPr="002029AF">
        <w:t>revenue</w:t>
      </w:r>
    </w:p>
    <w:p w14:paraId="13608482" w14:textId="2D30C984" w:rsidR="00087B91" w:rsidRPr="002029AF" w:rsidRDefault="00087B91" w:rsidP="00087B91">
      <w:pPr>
        <w:pStyle w:val="ARfinbody"/>
      </w:pP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made</w:t>
      </w:r>
      <w:r w:rsidR="000A5329" w:rsidRPr="002029AF">
        <w:t xml:space="preserve"> </w:t>
      </w:r>
      <w:r w:rsidRPr="002029AF">
        <w:t>judgement</w:t>
      </w:r>
      <w:r w:rsidR="000A5329" w:rsidRPr="002029AF">
        <w:t xml:space="preserve"> </w:t>
      </w:r>
      <w:r w:rsidRPr="002029AF">
        <w:t>on</w:t>
      </w:r>
      <w:r w:rsidR="000A5329" w:rsidRPr="002029AF">
        <w:t xml:space="preserve"> </w:t>
      </w:r>
      <w:r w:rsidRPr="002029AF">
        <w:t>the</w:t>
      </w:r>
      <w:r w:rsidR="000A5329" w:rsidRPr="002029AF">
        <w:t xml:space="preserve"> </w:t>
      </w:r>
      <w:r w:rsidRPr="002029AF">
        <w:t>recognition</w:t>
      </w:r>
      <w:r w:rsidR="000A5329" w:rsidRPr="002029AF">
        <w:t xml:space="preserve"> </w:t>
      </w:r>
      <w:r w:rsidRPr="002029AF">
        <w:t>of</w:t>
      </w:r>
      <w:r w:rsidR="000A5329" w:rsidRPr="002029AF">
        <w:t xml:space="preserve"> </w:t>
      </w:r>
      <w:r w:rsidRPr="002029AF">
        <w:t>grants</w:t>
      </w:r>
      <w:r w:rsidR="000A5329" w:rsidRPr="002029AF">
        <w:t xml:space="preserve"> </w:t>
      </w:r>
      <w:r w:rsidRPr="002029AF">
        <w:t>revenue</w:t>
      </w:r>
      <w:r w:rsidR="000A5329" w:rsidRPr="002029AF">
        <w:t xml:space="preserve"> </w:t>
      </w:r>
      <w:r w:rsidRPr="002029AF">
        <w:t>as</w:t>
      </w:r>
      <w:r w:rsidR="000A5329" w:rsidRPr="002029AF">
        <w:t xml:space="preserve"> </w:t>
      </w:r>
      <w:r w:rsidRPr="002029AF">
        <w:t>income</w:t>
      </w:r>
      <w:r w:rsidR="000A5329" w:rsidRPr="002029AF">
        <w:t xml:space="preserve"> </w:t>
      </w:r>
      <w:r w:rsidRPr="002029AF">
        <w:t>of</w:t>
      </w:r>
      <w:r w:rsidR="000A5329" w:rsidRPr="002029AF">
        <w:t xml:space="preserve"> </w:t>
      </w:r>
      <w:r w:rsidRPr="002029AF">
        <w:t>not-for-profit</w:t>
      </w:r>
      <w:r w:rsidR="000A5329" w:rsidRPr="002029AF">
        <w:t xml:space="preserve"> </w:t>
      </w:r>
      <w:r w:rsidRPr="002029AF">
        <w:t>entities</w:t>
      </w:r>
      <w:r w:rsidR="000A5329" w:rsidRPr="002029AF">
        <w:t xml:space="preserve"> </w:t>
      </w:r>
      <w:r w:rsidRPr="002029AF">
        <w:t>where</w:t>
      </w:r>
      <w:r w:rsidR="000A5329" w:rsidRPr="002029AF">
        <w:t xml:space="preserve"> </w:t>
      </w:r>
      <w:r w:rsidRPr="002029AF">
        <w:t>they</w:t>
      </w:r>
      <w:r w:rsidR="000A5329" w:rsidRPr="002029AF">
        <w:t xml:space="preserve"> </w:t>
      </w:r>
      <w:r w:rsidRPr="002029AF">
        <w:t>do</w:t>
      </w:r>
      <w:r w:rsidR="000A5329" w:rsidRPr="002029AF">
        <w:t xml:space="preserve"> </w:t>
      </w:r>
      <w:r w:rsidRPr="002029AF">
        <w:t>not</w:t>
      </w:r>
      <w:r w:rsidR="000A5329" w:rsidRPr="002029AF">
        <w:t xml:space="preserve"> </w:t>
      </w:r>
      <w:r w:rsidRPr="002029AF">
        <w:t>contain</w:t>
      </w:r>
      <w:r w:rsidR="007920F7" w:rsidRPr="002029AF">
        <w:t> </w:t>
      </w:r>
      <w:r w:rsidRPr="002029AF">
        <w:t>sufficiently</w:t>
      </w:r>
      <w:r w:rsidR="000A5329" w:rsidRPr="002029AF">
        <w:t xml:space="preserve"> </w:t>
      </w:r>
      <w:r w:rsidRPr="002029AF">
        <w:t>specific</w:t>
      </w:r>
      <w:r w:rsidR="000A5329" w:rsidRPr="002029AF">
        <w:t xml:space="preserve"> </w:t>
      </w:r>
      <w:r w:rsidRPr="002029AF">
        <w:t>performance</w:t>
      </w:r>
      <w:r w:rsidR="000A5329" w:rsidRPr="002029AF">
        <w:t xml:space="preserve"> </w:t>
      </w:r>
      <w:r w:rsidRPr="002029AF">
        <w:t>obligations.</w:t>
      </w:r>
      <w:r w:rsidR="000A5329" w:rsidRPr="002029AF">
        <w:t xml:space="preserve"> </w:t>
      </w:r>
      <w:r w:rsidRPr="002029AF">
        <w:t>Income</w:t>
      </w:r>
      <w:r w:rsidR="000A5329" w:rsidRPr="002029AF">
        <w:t xml:space="preserve"> </w:t>
      </w:r>
      <w:r w:rsidRPr="002029AF">
        <w:t>from</w:t>
      </w:r>
      <w:r w:rsidR="000A5329" w:rsidRPr="002029AF">
        <w:t xml:space="preserve"> </w:t>
      </w:r>
      <w:r w:rsidRPr="002029AF">
        <w:t>grants</w:t>
      </w:r>
      <w:r w:rsidR="000A5329" w:rsidRPr="002029AF">
        <w:t xml:space="preserve"> </w:t>
      </w:r>
      <w:r w:rsidRPr="002029AF">
        <w:t>that</w:t>
      </w:r>
      <w:r w:rsidR="000A5329" w:rsidRPr="002029AF">
        <w:t xml:space="preserve"> </w:t>
      </w:r>
      <w:r w:rsidRPr="002029AF">
        <w:t>are</w:t>
      </w:r>
      <w:r w:rsidR="000A5329" w:rsidRPr="002029AF">
        <w:t xml:space="preserve"> </w:t>
      </w:r>
      <w:r w:rsidRPr="002029AF">
        <w:t>enforceable</w:t>
      </w:r>
      <w:r w:rsidR="000A5329" w:rsidRPr="002029AF">
        <w:t xml:space="preserve"> </w:t>
      </w:r>
      <w:r w:rsidRPr="002029AF">
        <w:t>and</w:t>
      </w:r>
      <w:r w:rsidR="000A5329" w:rsidRPr="002029AF">
        <w:t xml:space="preserve"> </w:t>
      </w:r>
      <w:r w:rsidRPr="002029AF">
        <w:t>with</w:t>
      </w:r>
      <w:r w:rsidR="000A5329" w:rsidRPr="002029AF">
        <w:t xml:space="preserve"> </w:t>
      </w:r>
      <w:r w:rsidRPr="002029AF">
        <w:t>sufficiently</w:t>
      </w:r>
      <w:r w:rsidR="000A5329" w:rsidRPr="002029AF">
        <w:t xml:space="preserve"> </w:t>
      </w:r>
      <w:r w:rsidRPr="002029AF">
        <w:t>specific</w:t>
      </w:r>
      <w:r w:rsidR="000A5329" w:rsidRPr="002029AF">
        <w:t xml:space="preserve"> </w:t>
      </w:r>
      <w:r w:rsidRPr="002029AF">
        <w:t>performance</w:t>
      </w:r>
      <w:r w:rsidR="000A5329" w:rsidRPr="002029AF">
        <w:t xml:space="preserve"> </w:t>
      </w:r>
      <w:r w:rsidRPr="002029AF">
        <w:t>obligations</w:t>
      </w:r>
      <w:r w:rsidR="000A5329" w:rsidRPr="002029AF">
        <w:t xml:space="preserve"> </w:t>
      </w:r>
      <w:r w:rsidRPr="002029AF">
        <w:t>and</w:t>
      </w:r>
      <w:r w:rsidR="000A5329" w:rsidRPr="002029AF">
        <w:t xml:space="preserve"> </w:t>
      </w:r>
      <w:r w:rsidRPr="002029AF">
        <w:t>accounted</w:t>
      </w:r>
      <w:r w:rsidR="000A5329" w:rsidRPr="002029AF">
        <w:t xml:space="preserve"> </w:t>
      </w:r>
      <w:r w:rsidRPr="002029AF">
        <w:t>for</w:t>
      </w:r>
      <w:r w:rsidR="000A5329" w:rsidRPr="002029AF">
        <w:t xml:space="preserve"> </w:t>
      </w:r>
      <w:r w:rsidRPr="002029AF">
        <w:t>as</w:t>
      </w:r>
      <w:r w:rsidR="000A5329" w:rsidRPr="002029AF">
        <w:t xml:space="preserve"> </w:t>
      </w:r>
      <w:r w:rsidRPr="002029AF">
        <w:t>revenue</w:t>
      </w:r>
      <w:r w:rsidR="000A5329" w:rsidRPr="002029AF">
        <w:t xml:space="preserve"> </w:t>
      </w:r>
      <w:r w:rsidRPr="002029AF">
        <w:t>from</w:t>
      </w:r>
      <w:r w:rsidR="000A5329" w:rsidRPr="002029AF">
        <w:t xml:space="preserve"> </w:t>
      </w:r>
      <w:r w:rsidRPr="002029AF">
        <w:t>contracts</w:t>
      </w:r>
      <w:r w:rsidR="000A5329" w:rsidRPr="002029AF">
        <w:t xml:space="preserve"> </w:t>
      </w:r>
      <w:r w:rsidRPr="002029AF">
        <w:t>with</w:t>
      </w:r>
      <w:r w:rsidR="000A5329" w:rsidRPr="002029AF">
        <w:t xml:space="preserve"> </w:t>
      </w:r>
      <w:r w:rsidRPr="002029AF">
        <w:t>customers</w:t>
      </w:r>
      <w:r w:rsidR="000A5329" w:rsidRPr="002029AF">
        <w:t xml:space="preserve"> </w:t>
      </w:r>
      <w:r w:rsidRPr="002029AF">
        <w:t>is</w:t>
      </w:r>
      <w:r w:rsidR="000A5329" w:rsidRPr="002029AF">
        <w:t xml:space="preserve"> </w:t>
      </w:r>
      <w:r w:rsidRPr="002029AF">
        <w:t>recognised</w:t>
      </w:r>
      <w:r w:rsidR="000A5329" w:rsidRPr="002029AF">
        <w:t xml:space="preserve"> </w:t>
      </w:r>
      <w:r w:rsidRPr="002029AF">
        <w:t>when</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satisfies</w:t>
      </w:r>
      <w:r w:rsidR="000A5329" w:rsidRPr="002029AF">
        <w:t xml:space="preserve"> </w:t>
      </w:r>
      <w:r w:rsidRPr="002029AF">
        <w:t>the</w:t>
      </w:r>
      <w:r w:rsidR="000A5329" w:rsidRPr="002029AF">
        <w:t xml:space="preserve"> </w:t>
      </w:r>
      <w:r w:rsidRPr="002029AF">
        <w:t>performance</w:t>
      </w:r>
      <w:r w:rsidR="000A5329" w:rsidRPr="002029AF">
        <w:t xml:space="preserve"> </w:t>
      </w:r>
      <w:r w:rsidRPr="002029AF">
        <w:t>obligation</w:t>
      </w:r>
      <w:r w:rsidR="000A5329" w:rsidRPr="002029AF">
        <w:t xml:space="preserve"> </w:t>
      </w:r>
      <w:r w:rsidRPr="002029AF">
        <w:t>by</w:t>
      </w:r>
      <w:r w:rsidR="000A5329" w:rsidRPr="002029AF">
        <w:t xml:space="preserve"> </w:t>
      </w:r>
      <w:r w:rsidRPr="002029AF">
        <w:t>providing</w:t>
      </w:r>
      <w:r w:rsidR="000A5329" w:rsidRPr="002029AF">
        <w:t xml:space="preserve"> </w:t>
      </w:r>
      <w:r w:rsidRPr="002029AF">
        <w:t>the</w:t>
      </w:r>
      <w:r w:rsidR="000A5329" w:rsidRPr="002029AF">
        <w:t xml:space="preserve"> </w:t>
      </w:r>
      <w:r w:rsidRPr="002029AF">
        <w:t>relevant</w:t>
      </w:r>
      <w:r w:rsidR="000A5329" w:rsidRPr="002029AF">
        <w:t xml:space="preserve"> </w:t>
      </w:r>
      <w:r w:rsidRPr="002029AF">
        <w:t>services</w:t>
      </w:r>
      <w:r w:rsidR="000A5329" w:rsidRPr="002029AF">
        <w:t xml:space="preserve"> </w:t>
      </w:r>
      <w:r w:rsidRPr="002029AF">
        <w:t>to</w:t>
      </w:r>
      <w:r w:rsidR="000A5329" w:rsidRPr="002029AF">
        <w:t xml:space="preserve"> </w:t>
      </w:r>
      <w:r w:rsidRPr="002029AF">
        <w:t>the</w:t>
      </w:r>
      <w:r w:rsidR="000A5329" w:rsidRPr="002029AF">
        <w:t xml:space="preserve"> </w:t>
      </w:r>
      <w:r w:rsidRPr="002029AF">
        <w:t>agencies.</w:t>
      </w:r>
      <w:r w:rsidR="000A5329" w:rsidRPr="002029AF">
        <w:t xml:space="preserve"> </w:t>
      </w:r>
      <w:r w:rsidRPr="002029AF">
        <w:t>Income</w:t>
      </w:r>
      <w:r w:rsidR="000A5329" w:rsidRPr="002029AF">
        <w:t xml:space="preserve"> </w:t>
      </w:r>
      <w:r w:rsidRPr="002029AF">
        <w:t>from</w:t>
      </w:r>
      <w:r w:rsidR="000A5329" w:rsidRPr="002029AF">
        <w:t xml:space="preserve"> </w:t>
      </w:r>
      <w:r w:rsidRPr="002029AF">
        <w:t>grants</w:t>
      </w:r>
      <w:r w:rsidR="000A5329" w:rsidRPr="002029AF">
        <w:t xml:space="preserve"> </w:t>
      </w:r>
      <w:r w:rsidRPr="002029AF">
        <w:t>to</w:t>
      </w:r>
      <w:r w:rsidR="000A5329" w:rsidRPr="002029AF">
        <w:t xml:space="preserve"> </w:t>
      </w:r>
      <w:r w:rsidRPr="002029AF">
        <w:t>construct</w:t>
      </w:r>
      <w:r w:rsidR="000A5329" w:rsidRPr="002029AF">
        <w:t xml:space="preserve"> </w:t>
      </w:r>
      <w:r w:rsidRPr="002029AF">
        <w:t>the</w:t>
      </w:r>
      <w:r w:rsidR="000A5329" w:rsidRPr="002029AF">
        <w:t xml:space="preserve"> </w:t>
      </w:r>
      <w:r w:rsidRPr="002029AF">
        <w:t>capital</w:t>
      </w:r>
      <w:r w:rsidR="000A5329" w:rsidRPr="002029AF">
        <w:t xml:space="preserve"> </w:t>
      </w:r>
      <w:r w:rsidRPr="002029AF">
        <w:t>assets</w:t>
      </w:r>
      <w:r w:rsidR="000A5329" w:rsidRPr="002029AF">
        <w:t xml:space="preserve"> </w:t>
      </w:r>
      <w:r w:rsidRPr="002029AF">
        <w:t>that</w:t>
      </w:r>
      <w:r w:rsidR="000A5329" w:rsidRPr="002029AF">
        <w:t xml:space="preserve"> </w:t>
      </w:r>
      <w:r w:rsidRPr="002029AF">
        <w:t>are</w:t>
      </w:r>
      <w:r w:rsidR="000A5329" w:rsidRPr="002029AF">
        <w:t xml:space="preserve"> </w:t>
      </w:r>
      <w:r w:rsidRPr="002029AF">
        <w:t>controlled</w:t>
      </w:r>
      <w:r w:rsidR="000A5329" w:rsidRPr="002029AF">
        <w:t xml:space="preserve"> </w:t>
      </w:r>
      <w:r w:rsidRPr="002029AF">
        <w:t>by</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is</w:t>
      </w:r>
      <w:r w:rsidR="000A5329" w:rsidRPr="002029AF">
        <w:t xml:space="preserve"> </w:t>
      </w:r>
      <w:r w:rsidRPr="002029AF">
        <w:t>recognised</w:t>
      </w:r>
      <w:r w:rsidR="000A5329" w:rsidRPr="002029AF">
        <w:t xml:space="preserve"> </w:t>
      </w:r>
      <w:r w:rsidRPr="002029AF">
        <w:t>progressively</w:t>
      </w:r>
      <w:r w:rsidR="000A5329" w:rsidRPr="002029AF">
        <w:t xml:space="preserve"> </w:t>
      </w:r>
      <w:r w:rsidRPr="002029AF">
        <w:t>as</w:t>
      </w:r>
      <w:r w:rsidR="000A5329" w:rsidRPr="002029AF">
        <w:t xml:space="preserve"> </w:t>
      </w:r>
      <w:r w:rsidRPr="002029AF">
        <w:t>the</w:t>
      </w:r>
      <w:r w:rsidR="000A5329" w:rsidRPr="002029AF">
        <w:t xml:space="preserve"> </w:t>
      </w:r>
      <w:r w:rsidRPr="002029AF">
        <w:t>asset</w:t>
      </w:r>
      <w:r w:rsidR="000A5329" w:rsidRPr="002029AF">
        <w:t xml:space="preserve"> </w:t>
      </w:r>
      <w:r w:rsidRPr="002029AF">
        <w:t>is</w:t>
      </w:r>
      <w:r w:rsidR="000A5329" w:rsidRPr="002029AF">
        <w:t xml:space="preserve"> </w:t>
      </w:r>
      <w:r w:rsidRPr="002029AF">
        <w:t>constructed.</w:t>
      </w:r>
      <w:r w:rsidR="000A5329" w:rsidRPr="002029AF">
        <w:t xml:space="preserve"> </w:t>
      </w:r>
      <w:r w:rsidRPr="002029AF">
        <w:t>The</w:t>
      </w:r>
      <w:r w:rsidR="000A5329" w:rsidRPr="002029AF">
        <w:t xml:space="preserve"> </w:t>
      </w:r>
      <w:r w:rsidRPr="002029AF">
        <w:t>progressive</w:t>
      </w:r>
      <w:r w:rsidR="000A5329" w:rsidRPr="002029AF">
        <w:t xml:space="preserve"> </w:t>
      </w:r>
      <w:r w:rsidRPr="002029AF">
        <w:t>percentage</w:t>
      </w:r>
      <w:r w:rsidR="000A5329" w:rsidRPr="002029AF">
        <w:t xml:space="preserve"> </w:t>
      </w:r>
      <w:r w:rsidRPr="002029AF">
        <w:t>costs</w:t>
      </w:r>
      <w:r w:rsidR="000A5329" w:rsidRPr="002029AF">
        <w:t xml:space="preserve"> </w:t>
      </w:r>
      <w:r w:rsidRPr="002029AF">
        <w:t>incurred</w:t>
      </w:r>
      <w:r w:rsidR="000A5329" w:rsidRPr="002029AF">
        <w:t xml:space="preserve"> </w:t>
      </w:r>
      <w:r w:rsidRPr="002029AF">
        <w:t>is</w:t>
      </w:r>
      <w:r w:rsidR="000A5329" w:rsidRPr="002029AF">
        <w:t xml:space="preserve"> </w:t>
      </w:r>
      <w:r w:rsidRPr="002029AF">
        <w:t>used</w:t>
      </w:r>
      <w:r w:rsidR="000A5329" w:rsidRPr="002029AF">
        <w:t xml:space="preserve"> </w:t>
      </w:r>
      <w:r w:rsidRPr="002029AF">
        <w:t>to</w:t>
      </w:r>
      <w:r w:rsidR="000A5329" w:rsidRPr="002029AF">
        <w:t xml:space="preserve"> </w:t>
      </w:r>
      <w:r w:rsidRPr="002029AF">
        <w:t>recognise</w:t>
      </w:r>
      <w:r w:rsidR="000A5329" w:rsidRPr="002029AF">
        <w:t xml:space="preserve"> </w:t>
      </w:r>
      <w:r w:rsidRPr="002029AF">
        <w:t>income</w:t>
      </w:r>
      <w:r w:rsidR="000A5329" w:rsidRPr="002029AF">
        <w:t xml:space="preserve"> </w:t>
      </w:r>
      <w:r w:rsidRPr="002029AF">
        <w:t>because</w:t>
      </w:r>
      <w:r w:rsidR="000A5329" w:rsidRPr="002029AF">
        <w:t xml:space="preserve"> </w:t>
      </w:r>
      <w:r w:rsidRPr="002029AF">
        <w:t>this</w:t>
      </w:r>
      <w:r w:rsidR="000A5329" w:rsidRPr="002029AF">
        <w:t xml:space="preserve"> </w:t>
      </w:r>
      <w:r w:rsidRPr="002029AF">
        <w:t>most</w:t>
      </w:r>
      <w:r w:rsidR="000A5329" w:rsidRPr="002029AF">
        <w:t xml:space="preserve"> </w:t>
      </w:r>
      <w:r w:rsidRPr="002029AF">
        <w:t>closely</w:t>
      </w:r>
      <w:r w:rsidR="000A5329" w:rsidRPr="002029AF">
        <w:t xml:space="preserve"> </w:t>
      </w:r>
      <w:r w:rsidRPr="002029AF">
        <w:t>reflects</w:t>
      </w:r>
      <w:r w:rsidR="000A5329" w:rsidRPr="002029AF">
        <w:t xml:space="preserve"> </w:t>
      </w:r>
      <w:r w:rsidRPr="002029AF">
        <w:t>the</w:t>
      </w:r>
      <w:r w:rsidR="000A5329" w:rsidRPr="002029AF">
        <w:t xml:space="preserve"> </w:t>
      </w:r>
      <w:r w:rsidRPr="002029AF">
        <w:t>progress</w:t>
      </w:r>
      <w:r w:rsidR="000A5329" w:rsidRPr="002029AF">
        <w:t xml:space="preserve"> </w:t>
      </w:r>
      <w:r w:rsidRPr="002029AF">
        <w:t>to</w:t>
      </w:r>
      <w:r w:rsidR="000A5329" w:rsidRPr="002029AF">
        <w:t xml:space="preserve"> </w:t>
      </w:r>
      <w:r w:rsidRPr="002029AF">
        <w:t>completion</w:t>
      </w:r>
      <w:r w:rsidR="000A5329" w:rsidRPr="002029AF">
        <w:t xml:space="preserve"> </w:t>
      </w:r>
      <w:r w:rsidRPr="002029AF">
        <w:t>as</w:t>
      </w:r>
      <w:r w:rsidR="000A5329" w:rsidRPr="002029AF">
        <w:t xml:space="preserve"> </w:t>
      </w:r>
      <w:r w:rsidRPr="002029AF">
        <w:t>costs</w:t>
      </w:r>
      <w:r w:rsidR="000A5329" w:rsidRPr="002029AF">
        <w:t xml:space="preserve"> </w:t>
      </w:r>
      <w:r w:rsidRPr="002029AF">
        <w:t>are</w:t>
      </w:r>
      <w:r w:rsidR="000A5329" w:rsidRPr="002029AF">
        <w:t xml:space="preserve"> </w:t>
      </w:r>
      <w:r w:rsidRPr="002029AF">
        <w:t>incurred</w:t>
      </w:r>
      <w:r w:rsidR="000A5329" w:rsidRPr="002029AF">
        <w:t xml:space="preserve"> </w:t>
      </w:r>
      <w:r w:rsidRPr="002029AF">
        <w:t>as</w:t>
      </w:r>
      <w:r w:rsidR="000A5329" w:rsidRPr="002029AF">
        <w:t xml:space="preserve"> </w:t>
      </w:r>
      <w:r w:rsidRPr="002029AF">
        <w:t>the</w:t>
      </w:r>
      <w:r w:rsidR="000A5329" w:rsidRPr="002029AF">
        <w:t xml:space="preserve"> </w:t>
      </w:r>
      <w:r w:rsidRPr="002029AF">
        <w:t>works</w:t>
      </w:r>
      <w:r w:rsidR="000A5329" w:rsidRPr="002029AF">
        <w:t xml:space="preserve"> </w:t>
      </w:r>
      <w:r w:rsidRPr="002029AF">
        <w:t>are</w:t>
      </w:r>
      <w:r w:rsidR="000A5329" w:rsidRPr="002029AF">
        <w:t xml:space="preserve"> </w:t>
      </w:r>
      <w:r w:rsidRPr="002029AF">
        <w:t>done.</w:t>
      </w:r>
    </w:p>
    <w:p w14:paraId="78C8276B" w14:textId="77777777" w:rsidR="00087B91" w:rsidRPr="002029AF" w:rsidRDefault="00087B91" w:rsidP="00087B91">
      <w:pPr>
        <w:pStyle w:val="Heading4"/>
      </w:pPr>
      <w:r w:rsidRPr="002029AF">
        <w:t>Structure</w:t>
      </w:r>
    </w:p>
    <w:p w14:paraId="319D3CEB" w14:textId="12947E07" w:rsidR="00087B91" w:rsidRPr="002029AF" w:rsidRDefault="00087B91" w:rsidP="00087B91">
      <w:pPr>
        <w:pStyle w:val="ARfinstructure1"/>
      </w:pPr>
      <w:r w:rsidRPr="002029AF">
        <w:t>2.1</w:t>
      </w:r>
      <w:r w:rsidRPr="002029AF">
        <w:tab/>
        <w:t>Summary</w:t>
      </w:r>
      <w:r w:rsidR="000A5329" w:rsidRPr="002029AF">
        <w:t xml:space="preserve"> </w:t>
      </w:r>
      <w:r w:rsidRPr="002029AF">
        <w:t>of</w:t>
      </w:r>
      <w:r w:rsidR="000A5329" w:rsidRPr="002029AF">
        <w:t xml:space="preserve"> </w:t>
      </w:r>
      <w:r w:rsidRPr="002029AF">
        <w:t>revenue</w:t>
      </w:r>
      <w:r w:rsidR="000A5329" w:rsidRPr="002029AF">
        <w:t xml:space="preserve"> </w:t>
      </w:r>
      <w:r w:rsidRPr="002029AF">
        <w:t>and</w:t>
      </w:r>
      <w:r w:rsidR="000A5329" w:rsidRPr="002029AF">
        <w:t xml:space="preserve"> </w:t>
      </w:r>
      <w:r w:rsidRPr="002029AF">
        <w:t>income</w:t>
      </w:r>
      <w:r w:rsidR="000A5329" w:rsidRPr="002029AF">
        <w:t xml:space="preserve"> </w:t>
      </w:r>
      <w:r w:rsidRPr="002029AF">
        <w:t>that</w:t>
      </w:r>
      <w:r w:rsidR="000A5329" w:rsidRPr="002029AF">
        <w:t xml:space="preserve"> </w:t>
      </w:r>
      <w:r w:rsidRPr="002029AF">
        <w:t>fund</w:t>
      </w:r>
      <w:r w:rsidR="000A5329" w:rsidRPr="002029AF">
        <w:t xml:space="preserve"> </w:t>
      </w:r>
      <w:r w:rsidRPr="002029AF">
        <w:t>the</w:t>
      </w:r>
      <w:r w:rsidR="000A5329" w:rsidRPr="002029AF">
        <w:t xml:space="preserve"> </w:t>
      </w:r>
      <w:r w:rsidRPr="002029AF">
        <w:t>delivery</w:t>
      </w:r>
      <w:r w:rsidR="000A5329" w:rsidRPr="002029AF">
        <w:t xml:space="preserve"> </w:t>
      </w:r>
      <w:r w:rsidRPr="002029AF">
        <w:t>of</w:t>
      </w:r>
      <w:r w:rsidR="000A5329" w:rsidRPr="002029AF">
        <w:t xml:space="preserve"> </w:t>
      </w:r>
      <w:r w:rsidRPr="002029AF">
        <w:t>our</w:t>
      </w:r>
      <w:r w:rsidR="000A5329" w:rsidRPr="002029AF">
        <w:t xml:space="preserve"> </w:t>
      </w:r>
      <w:r w:rsidRPr="002029AF">
        <w:t>services</w:t>
      </w:r>
    </w:p>
    <w:p w14:paraId="7836BF63" w14:textId="77777777" w:rsidR="00087B91" w:rsidRPr="002029AF" w:rsidRDefault="00087B91" w:rsidP="00087B91">
      <w:pPr>
        <w:pStyle w:val="ARfinstructure1"/>
      </w:pPr>
      <w:r w:rsidRPr="002029AF">
        <w:t>2.2</w:t>
      </w:r>
      <w:r w:rsidRPr="002029AF">
        <w:tab/>
        <w:t>Appropriations</w:t>
      </w:r>
    </w:p>
    <w:p w14:paraId="675925C2" w14:textId="7B4D7BAC" w:rsidR="00087B91" w:rsidRPr="002029AF" w:rsidRDefault="00087B91" w:rsidP="00087B91">
      <w:pPr>
        <w:pStyle w:val="ARfinstructure1"/>
      </w:pPr>
      <w:r w:rsidRPr="002029AF">
        <w:t>2.3</w:t>
      </w:r>
      <w:r w:rsidRPr="002029AF">
        <w:tab/>
        <w:t>Summary</w:t>
      </w:r>
      <w:r w:rsidR="000A5329" w:rsidRPr="002029AF">
        <w:t xml:space="preserve"> </w:t>
      </w:r>
      <w:r w:rsidRPr="002029AF">
        <w:t>of</w:t>
      </w:r>
      <w:r w:rsidR="000A5329" w:rsidRPr="002029AF">
        <w:t xml:space="preserve"> </w:t>
      </w:r>
      <w:r w:rsidRPr="002029AF">
        <w:t>compliance</w:t>
      </w:r>
      <w:r w:rsidR="000A5329" w:rsidRPr="002029AF">
        <w:t xml:space="preserve"> </w:t>
      </w:r>
      <w:r w:rsidRPr="002029AF">
        <w:t>with</w:t>
      </w:r>
      <w:r w:rsidR="000A5329" w:rsidRPr="002029AF">
        <w:t xml:space="preserve"> </w:t>
      </w:r>
      <w:r w:rsidRPr="002029AF">
        <w:t>annual</w:t>
      </w:r>
      <w:r w:rsidR="000A5329" w:rsidRPr="002029AF">
        <w:t xml:space="preserve"> </w:t>
      </w:r>
      <w:r w:rsidRPr="002029AF">
        <w:t>parliamentary</w:t>
      </w:r>
      <w:r w:rsidR="000A5329" w:rsidRPr="002029AF">
        <w:t xml:space="preserve"> </w:t>
      </w:r>
      <w:r w:rsidRPr="002029AF">
        <w:t>and</w:t>
      </w:r>
      <w:r w:rsidR="000A5329" w:rsidRPr="002029AF">
        <w:t xml:space="preserve"> </w:t>
      </w:r>
      <w:r w:rsidRPr="002029AF">
        <w:t>special</w:t>
      </w:r>
      <w:r w:rsidR="000A5329" w:rsidRPr="002029AF">
        <w:t xml:space="preserve"> </w:t>
      </w:r>
      <w:r w:rsidRPr="002029AF">
        <w:t>appropriations</w:t>
      </w:r>
    </w:p>
    <w:p w14:paraId="620A79C9" w14:textId="313510CF" w:rsidR="00087B91" w:rsidRPr="002029AF" w:rsidRDefault="00087B91" w:rsidP="00087B91">
      <w:pPr>
        <w:pStyle w:val="ARfinstructure1"/>
      </w:pPr>
      <w:r w:rsidRPr="002029AF">
        <w:t>2.4</w:t>
      </w:r>
      <w:r w:rsidRPr="002029AF">
        <w:tab/>
        <w:t>Revenue</w:t>
      </w:r>
      <w:r w:rsidR="000A5329" w:rsidRPr="002029AF">
        <w:t xml:space="preserve"> </w:t>
      </w:r>
      <w:r w:rsidRPr="002029AF">
        <w:t>and</w:t>
      </w:r>
      <w:r w:rsidR="000A5329" w:rsidRPr="002029AF">
        <w:t xml:space="preserve"> </w:t>
      </w:r>
      <w:r w:rsidRPr="002029AF">
        <w:t>income</w:t>
      </w:r>
      <w:r w:rsidR="000A5329" w:rsidRPr="002029AF">
        <w:t xml:space="preserve"> </w:t>
      </w:r>
      <w:r w:rsidRPr="002029AF">
        <w:t>from</w:t>
      </w:r>
      <w:r w:rsidR="000A5329" w:rsidRPr="002029AF">
        <w:t xml:space="preserve"> </w:t>
      </w:r>
      <w:r w:rsidRPr="002029AF">
        <w:t>transactions</w:t>
      </w:r>
    </w:p>
    <w:p w14:paraId="46EF0CF4" w14:textId="3A477EB0" w:rsidR="00087B91" w:rsidRPr="002029AF" w:rsidRDefault="00087B91" w:rsidP="00961519">
      <w:pPr>
        <w:pStyle w:val="ARfinstructure2"/>
        <w:ind w:left="720"/>
      </w:pPr>
      <w:r w:rsidRPr="002029AF">
        <w:t>2.4.1</w:t>
      </w:r>
      <w:r w:rsidRPr="002029AF">
        <w:tab/>
        <w:t>Interest</w:t>
      </w:r>
      <w:r w:rsidR="000A5329" w:rsidRPr="002029AF">
        <w:t xml:space="preserve"> </w:t>
      </w:r>
      <w:r w:rsidRPr="002029AF">
        <w:t>income</w:t>
      </w:r>
    </w:p>
    <w:p w14:paraId="5BD0CCEC" w14:textId="6D5F7112" w:rsidR="00087B91" w:rsidRPr="002029AF" w:rsidRDefault="00087B91" w:rsidP="00961519">
      <w:pPr>
        <w:pStyle w:val="ARfinstructure2"/>
        <w:ind w:left="720"/>
      </w:pPr>
      <w:r w:rsidRPr="002029AF">
        <w:t>2.4.2</w:t>
      </w:r>
      <w:r w:rsidRPr="002029AF">
        <w:tab/>
        <w:t>Rental</w:t>
      </w:r>
      <w:r w:rsidR="000A5329" w:rsidRPr="002029AF">
        <w:t xml:space="preserve"> </w:t>
      </w:r>
      <w:r w:rsidRPr="002029AF">
        <w:t>income</w:t>
      </w:r>
      <w:r w:rsidR="000A5329" w:rsidRPr="002029AF">
        <w:t xml:space="preserve"> </w:t>
      </w:r>
      <w:r w:rsidRPr="002029AF">
        <w:t>and</w:t>
      </w:r>
      <w:r w:rsidR="000A5329" w:rsidRPr="002029AF">
        <w:t xml:space="preserve"> </w:t>
      </w:r>
      <w:r w:rsidRPr="002029AF">
        <w:t>income</w:t>
      </w:r>
      <w:r w:rsidR="000A5329" w:rsidRPr="002029AF">
        <w:t xml:space="preserve"> </w:t>
      </w:r>
      <w:r w:rsidRPr="002029AF">
        <w:t>from</w:t>
      </w:r>
      <w:r w:rsidR="000A5329" w:rsidRPr="002029AF">
        <w:t xml:space="preserve"> </w:t>
      </w:r>
      <w:r w:rsidRPr="002029AF">
        <w:t>services</w:t>
      </w:r>
    </w:p>
    <w:p w14:paraId="7452633B" w14:textId="2EFE95BE" w:rsidR="00087B91" w:rsidRPr="002029AF" w:rsidRDefault="00087B91" w:rsidP="00961519">
      <w:pPr>
        <w:pStyle w:val="ARfinstructure2"/>
        <w:ind w:left="720"/>
      </w:pPr>
      <w:r w:rsidRPr="002029AF">
        <w:t>2.4.3</w:t>
      </w:r>
      <w:r w:rsidRPr="002029AF">
        <w:tab/>
        <w:t>Grants</w:t>
      </w:r>
      <w:r w:rsidR="000A5329" w:rsidRPr="002029AF">
        <w:t xml:space="preserve"> </w:t>
      </w:r>
      <w:r w:rsidRPr="002029AF">
        <w:t>and</w:t>
      </w:r>
      <w:r w:rsidR="000A5329" w:rsidRPr="002029AF">
        <w:t xml:space="preserve"> </w:t>
      </w:r>
      <w:r w:rsidRPr="002029AF">
        <w:t>other</w:t>
      </w:r>
      <w:r w:rsidR="000A5329" w:rsidRPr="002029AF">
        <w:t xml:space="preserve"> </w:t>
      </w:r>
      <w:r w:rsidRPr="002029AF">
        <w:t>income</w:t>
      </w:r>
      <w:r w:rsidR="000A5329" w:rsidRPr="002029AF">
        <w:t xml:space="preserve"> </w:t>
      </w:r>
      <w:r w:rsidRPr="002029AF">
        <w:t>transfers</w:t>
      </w:r>
    </w:p>
    <w:p w14:paraId="17B5C50C" w14:textId="1377FBD2" w:rsidR="00087B91" w:rsidRPr="002029AF" w:rsidRDefault="00087B91" w:rsidP="00961519">
      <w:pPr>
        <w:pStyle w:val="ARfinstructure2"/>
        <w:ind w:left="720"/>
      </w:pPr>
      <w:r w:rsidRPr="002029AF">
        <w:t>2.4.4</w:t>
      </w:r>
      <w:r w:rsidRPr="002029AF">
        <w:tab/>
        <w:t>Fair</w:t>
      </w:r>
      <w:r w:rsidR="000A5329" w:rsidRPr="002029AF">
        <w:t xml:space="preserve"> </w:t>
      </w:r>
      <w:r w:rsidRPr="002029AF">
        <w:t>value</w:t>
      </w:r>
      <w:r w:rsidR="000A5329" w:rsidRPr="002029AF">
        <w:t xml:space="preserve"> </w:t>
      </w:r>
      <w:r w:rsidRPr="002029AF">
        <w:t>of</w:t>
      </w:r>
      <w:r w:rsidR="000A5329" w:rsidRPr="002029AF">
        <w:t xml:space="preserve"> </w:t>
      </w:r>
      <w:r w:rsidRPr="002029AF">
        <w:t>assets</w:t>
      </w:r>
      <w:r w:rsidR="000A5329" w:rsidRPr="002029AF">
        <w:t xml:space="preserve"> </w:t>
      </w:r>
      <w:r w:rsidRPr="002029AF">
        <w:t>and</w:t>
      </w:r>
      <w:r w:rsidR="000A5329" w:rsidRPr="002029AF">
        <w:t xml:space="preserve"> </w:t>
      </w:r>
      <w:r w:rsidRPr="002029AF">
        <w:t>services</w:t>
      </w:r>
      <w:r w:rsidR="000A5329" w:rsidRPr="002029AF">
        <w:t xml:space="preserve"> </w:t>
      </w:r>
      <w:r w:rsidRPr="002029AF">
        <w:t>received</w:t>
      </w:r>
      <w:r w:rsidR="000A5329" w:rsidRPr="002029AF">
        <w:t xml:space="preserve"> </w:t>
      </w:r>
      <w:r w:rsidRPr="002029AF">
        <w:t>free</w:t>
      </w:r>
      <w:r w:rsidR="000A5329" w:rsidRPr="002029AF">
        <w:t xml:space="preserve"> </w:t>
      </w:r>
      <w:r w:rsidRPr="002029AF">
        <w:t>of</w:t>
      </w:r>
      <w:r w:rsidR="000A5329" w:rsidRPr="002029AF">
        <w:t xml:space="preserve"> </w:t>
      </w:r>
      <w:r w:rsidRPr="002029AF">
        <w:t>charge</w:t>
      </w:r>
      <w:r w:rsidR="000A5329" w:rsidRPr="002029AF">
        <w:t xml:space="preserve"> </w:t>
      </w:r>
      <w:r w:rsidRPr="002029AF">
        <w:t>or</w:t>
      </w:r>
      <w:r w:rsidR="000A5329" w:rsidRPr="002029AF">
        <w:t xml:space="preserve"> </w:t>
      </w:r>
      <w:r w:rsidRPr="002029AF">
        <w:t>for</w:t>
      </w:r>
      <w:r w:rsidR="000A5329" w:rsidRPr="002029AF">
        <w:t xml:space="preserve"> </w:t>
      </w:r>
      <w:r w:rsidRPr="002029AF">
        <w:t>nominal</w:t>
      </w:r>
      <w:r w:rsidR="000A5329" w:rsidRPr="002029AF">
        <w:t xml:space="preserve"> </w:t>
      </w:r>
      <w:r w:rsidRPr="002029AF">
        <w:t>consideration</w:t>
      </w:r>
    </w:p>
    <w:p w14:paraId="33552584" w14:textId="2D3D0A4E" w:rsidR="00087B91" w:rsidRPr="002029AF" w:rsidRDefault="00087B91" w:rsidP="00961519">
      <w:pPr>
        <w:pStyle w:val="ARfinstructure2"/>
        <w:ind w:left="720"/>
      </w:pPr>
      <w:r w:rsidRPr="002029AF">
        <w:t>2.4.5</w:t>
      </w:r>
      <w:r w:rsidRPr="002029AF">
        <w:tab/>
        <w:t>Other</w:t>
      </w:r>
      <w:r w:rsidR="000A5329" w:rsidRPr="002029AF">
        <w:t xml:space="preserve"> </w:t>
      </w:r>
      <w:r w:rsidRPr="002029AF">
        <w:t>income</w:t>
      </w:r>
    </w:p>
    <w:p w14:paraId="648D0FB8" w14:textId="7E2994AE" w:rsidR="00087B91" w:rsidRPr="002029AF" w:rsidRDefault="00087B91" w:rsidP="00087B91">
      <w:pPr>
        <w:pStyle w:val="ARfinstructure1"/>
        <w:rPr>
          <w:b/>
          <w:bCs/>
        </w:rPr>
      </w:pPr>
      <w:r w:rsidRPr="002029AF">
        <w:t>2.5</w:t>
      </w:r>
      <w:r w:rsidRPr="002029AF">
        <w:tab/>
        <w:t>Annotated</w:t>
      </w:r>
      <w:r w:rsidR="000A5329" w:rsidRPr="002029AF">
        <w:t xml:space="preserve"> </w:t>
      </w:r>
      <w:r w:rsidRPr="002029AF">
        <w:t>income</w:t>
      </w:r>
      <w:r w:rsidR="000A5329" w:rsidRPr="002029AF">
        <w:t xml:space="preserve"> </w:t>
      </w:r>
      <w:r w:rsidRPr="002029AF">
        <w:t>agreements</w:t>
      </w:r>
    </w:p>
    <w:p w14:paraId="12A0ECB9" w14:textId="3A002CC0" w:rsidR="00087B91" w:rsidRPr="002029AF" w:rsidRDefault="00087B91" w:rsidP="00087B91">
      <w:pPr>
        <w:pStyle w:val="Heading4"/>
      </w:pPr>
      <w:bookmarkStart w:id="279" w:name="_Toc39136688"/>
      <w:bookmarkStart w:id="280" w:name="_Toc39242132"/>
      <w:r w:rsidRPr="002029AF">
        <w:t>2.1</w:t>
      </w:r>
      <w:r w:rsidR="000A5329" w:rsidRPr="002029AF">
        <w:t xml:space="preserve"> </w:t>
      </w:r>
      <w:r w:rsidRPr="002029AF">
        <w:t>Summary</w:t>
      </w:r>
      <w:r w:rsidR="000A5329" w:rsidRPr="002029AF">
        <w:t xml:space="preserve"> </w:t>
      </w:r>
      <w:r w:rsidRPr="002029AF">
        <w:t>of</w:t>
      </w:r>
      <w:r w:rsidR="000A5329" w:rsidRPr="002029AF">
        <w:t xml:space="preserve"> </w:t>
      </w:r>
      <w:r w:rsidRPr="002029AF">
        <w:t>revenue</w:t>
      </w:r>
      <w:r w:rsidR="000A5329" w:rsidRPr="002029AF">
        <w:t xml:space="preserve"> </w:t>
      </w:r>
      <w:r w:rsidRPr="002029AF">
        <w:t>and</w:t>
      </w:r>
      <w:r w:rsidR="000A5329" w:rsidRPr="002029AF">
        <w:t xml:space="preserve"> </w:t>
      </w:r>
      <w:r w:rsidRPr="002029AF">
        <w:t>income</w:t>
      </w:r>
      <w:r w:rsidR="000A5329" w:rsidRPr="002029AF">
        <w:t xml:space="preserve"> </w:t>
      </w:r>
      <w:r w:rsidRPr="002029AF">
        <w:t>that</w:t>
      </w:r>
      <w:r w:rsidR="000A5329" w:rsidRPr="002029AF">
        <w:t xml:space="preserve"> </w:t>
      </w:r>
      <w:r w:rsidRPr="002029AF">
        <w:t>fund</w:t>
      </w:r>
      <w:r w:rsidR="000A5329" w:rsidRPr="002029AF">
        <w:t xml:space="preserve"> </w:t>
      </w:r>
      <w:r w:rsidRPr="002029AF">
        <w:t>the</w:t>
      </w:r>
      <w:r w:rsidR="000A5329" w:rsidRPr="002029AF">
        <w:t xml:space="preserve"> </w:t>
      </w:r>
      <w:r w:rsidRPr="002029AF">
        <w:t>delivery</w:t>
      </w:r>
      <w:r w:rsidR="000A5329" w:rsidRPr="002029AF">
        <w:t xml:space="preserve"> </w:t>
      </w:r>
      <w:r w:rsidRPr="002029AF">
        <w:t>of</w:t>
      </w:r>
      <w:r w:rsidR="000A5329" w:rsidRPr="002029AF">
        <w:t xml:space="preserve"> </w:t>
      </w:r>
      <w:r w:rsidRPr="002029AF">
        <w:t>our</w:t>
      </w:r>
      <w:r w:rsidR="000A5329" w:rsidRPr="002029AF">
        <w:t xml:space="preserve"> </w:t>
      </w:r>
      <w:r w:rsidRPr="002029AF">
        <w:t>services</w:t>
      </w:r>
      <w:bookmarkEnd w:id="279"/>
      <w:bookmarkEnd w:id="280"/>
      <w:r w:rsidR="000A5329" w:rsidRPr="002029AF">
        <w:t xml:space="preserve"> </w:t>
      </w:r>
      <w:r w:rsidRPr="002029AF">
        <w:rPr>
          <w:rStyle w:val="Superscript"/>
        </w:rPr>
        <w:t>(i)</w:t>
      </w:r>
    </w:p>
    <w:tbl>
      <w:tblPr>
        <w:tblStyle w:val="TableGrid"/>
        <w:tblW w:w="9637" w:type="dxa"/>
        <w:tblLayout w:type="fixed"/>
        <w:tblLook w:val="06A0" w:firstRow="1" w:lastRow="0" w:firstColumn="1" w:lastColumn="0" w:noHBand="1" w:noVBand="1"/>
      </w:tblPr>
      <w:tblGrid>
        <w:gridCol w:w="6518"/>
        <w:gridCol w:w="851"/>
        <w:gridCol w:w="1134"/>
        <w:gridCol w:w="1134"/>
      </w:tblGrid>
      <w:tr w:rsidR="00087B91" w:rsidRPr="002029AF" w14:paraId="6FE9B0DC" w14:textId="77777777" w:rsidTr="00C83719">
        <w:trPr>
          <w:cnfStyle w:val="100000000000" w:firstRow="1" w:lastRow="0" w:firstColumn="0" w:lastColumn="0" w:oddVBand="0" w:evenVBand="0" w:oddHBand="0" w:evenHBand="0" w:firstRowFirstColumn="0" w:firstRowLastColumn="0" w:lastRowFirstColumn="0" w:lastRowLastColumn="0"/>
          <w:tblHeader/>
        </w:trPr>
        <w:tc>
          <w:tcPr>
            <w:tcW w:w="6521" w:type="dxa"/>
            <w:tcBorders>
              <w:bottom w:val="single" w:sz="4" w:space="0" w:color="auto"/>
            </w:tcBorders>
            <w:noWrap/>
            <w:hideMark/>
          </w:tcPr>
          <w:p w14:paraId="42A637BE" w14:textId="77777777" w:rsidR="00087B91" w:rsidRPr="002029AF" w:rsidRDefault="00087B91" w:rsidP="00860E95">
            <w:pPr>
              <w:pStyle w:val="ARfintablecolhead"/>
            </w:pPr>
          </w:p>
        </w:tc>
        <w:tc>
          <w:tcPr>
            <w:tcW w:w="851" w:type="dxa"/>
            <w:tcBorders>
              <w:bottom w:val="single" w:sz="4" w:space="0" w:color="auto"/>
            </w:tcBorders>
            <w:noWrap/>
            <w:hideMark/>
          </w:tcPr>
          <w:p w14:paraId="7DB55940" w14:textId="77777777" w:rsidR="00087B91" w:rsidRPr="002029AF" w:rsidRDefault="00087B91" w:rsidP="00860E95">
            <w:pPr>
              <w:pStyle w:val="ARfintablecolheadright"/>
            </w:pPr>
            <w:r w:rsidRPr="002029AF">
              <w:t>Note</w:t>
            </w:r>
          </w:p>
        </w:tc>
        <w:tc>
          <w:tcPr>
            <w:tcW w:w="1134" w:type="dxa"/>
            <w:tcBorders>
              <w:bottom w:val="single" w:sz="4" w:space="0" w:color="auto"/>
            </w:tcBorders>
            <w:shd w:val="clear" w:color="auto" w:fill="E7E6E6"/>
            <w:hideMark/>
          </w:tcPr>
          <w:p w14:paraId="312DD54D" w14:textId="77777777" w:rsidR="00087B91" w:rsidRPr="002029AF" w:rsidRDefault="00087B91" w:rsidP="00860E95">
            <w:pPr>
              <w:pStyle w:val="ARfintablecolheadright"/>
            </w:pPr>
            <w:r w:rsidRPr="002029AF">
              <w:t>2020</w:t>
            </w:r>
          </w:p>
          <w:p w14:paraId="465CB7ED" w14:textId="77777777" w:rsidR="00087B91" w:rsidRPr="002029AF" w:rsidRDefault="00087B91" w:rsidP="00860E95">
            <w:pPr>
              <w:pStyle w:val="ARfintablecolheadright"/>
            </w:pPr>
            <w:r w:rsidRPr="002029AF">
              <w:t>$M</w:t>
            </w:r>
          </w:p>
        </w:tc>
        <w:tc>
          <w:tcPr>
            <w:tcW w:w="1134" w:type="dxa"/>
            <w:tcBorders>
              <w:bottom w:val="single" w:sz="4" w:space="0" w:color="auto"/>
            </w:tcBorders>
            <w:hideMark/>
          </w:tcPr>
          <w:p w14:paraId="6E08C77A" w14:textId="77777777" w:rsidR="00087B91" w:rsidRPr="002029AF" w:rsidRDefault="00087B91" w:rsidP="00860E95">
            <w:pPr>
              <w:pStyle w:val="ARfintablecolheadright"/>
            </w:pPr>
            <w:r w:rsidRPr="002029AF">
              <w:t>2019</w:t>
            </w:r>
          </w:p>
          <w:p w14:paraId="61D97EFE" w14:textId="77777777" w:rsidR="00087B91" w:rsidRPr="002029AF" w:rsidRDefault="00087B91" w:rsidP="00860E95">
            <w:pPr>
              <w:pStyle w:val="ARfintablecolheadright"/>
            </w:pPr>
            <w:r w:rsidRPr="002029AF">
              <w:t>$M</w:t>
            </w:r>
          </w:p>
        </w:tc>
      </w:tr>
      <w:tr w:rsidR="00087B91" w:rsidRPr="002029AF" w14:paraId="69045E45" w14:textId="77777777" w:rsidTr="00860E95">
        <w:tc>
          <w:tcPr>
            <w:tcW w:w="6521" w:type="dxa"/>
            <w:tcBorders>
              <w:top w:val="single" w:sz="4" w:space="0" w:color="auto"/>
              <w:bottom w:val="single" w:sz="4" w:space="0" w:color="A6A6A6"/>
            </w:tcBorders>
            <w:hideMark/>
          </w:tcPr>
          <w:p w14:paraId="7332D8E9" w14:textId="272FADDF" w:rsidR="00087B91" w:rsidRPr="002029AF" w:rsidRDefault="00087B91" w:rsidP="00860E95">
            <w:pPr>
              <w:pStyle w:val="ARfintablebody"/>
            </w:pPr>
            <w:r w:rsidRPr="002029AF">
              <w:t>Output</w:t>
            </w:r>
            <w:r w:rsidR="000A5329" w:rsidRPr="002029AF">
              <w:t xml:space="preserve"> </w:t>
            </w:r>
            <w:r w:rsidRPr="002029AF">
              <w:t>appropriations</w:t>
            </w:r>
          </w:p>
        </w:tc>
        <w:tc>
          <w:tcPr>
            <w:tcW w:w="851" w:type="dxa"/>
            <w:tcBorders>
              <w:top w:val="single" w:sz="4" w:space="0" w:color="auto"/>
              <w:bottom w:val="single" w:sz="4" w:space="0" w:color="A6A6A6"/>
            </w:tcBorders>
            <w:noWrap/>
            <w:hideMark/>
          </w:tcPr>
          <w:p w14:paraId="00B85F8E" w14:textId="77777777" w:rsidR="00087B91" w:rsidRPr="002029AF" w:rsidRDefault="00087B91" w:rsidP="00860E95">
            <w:pPr>
              <w:pStyle w:val="ARfintablebodyright"/>
            </w:pPr>
            <w:r w:rsidRPr="002029AF">
              <w:t>2.3</w:t>
            </w:r>
          </w:p>
        </w:tc>
        <w:tc>
          <w:tcPr>
            <w:tcW w:w="1134" w:type="dxa"/>
            <w:tcBorders>
              <w:top w:val="single" w:sz="4" w:space="0" w:color="auto"/>
              <w:bottom w:val="single" w:sz="4" w:space="0" w:color="A6A6A6"/>
            </w:tcBorders>
            <w:shd w:val="clear" w:color="auto" w:fill="E7E6E6"/>
            <w:noWrap/>
            <w:hideMark/>
          </w:tcPr>
          <w:p w14:paraId="3C367645" w14:textId="77777777" w:rsidR="00087B91" w:rsidRPr="002029AF" w:rsidRDefault="00087B91" w:rsidP="00860E95">
            <w:pPr>
              <w:pStyle w:val="ARfintablebodyright"/>
            </w:pPr>
            <w:r w:rsidRPr="002029AF">
              <w:t>17,600.0</w:t>
            </w:r>
          </w:p>
        </w:tc>
        <w:tc>
          <w:tcPr>
            <w:tcW w:w="1134" w:type="dxa"/>
            <w:tcBorders>
              <w:top w:val="single" w:sz="4" w:space="0" w:color="auto"/>
              <w:bottom w:val="single" w:sz="4" w:space="0" w:color="A6A6A6"/>
            </w:tcBorders>
            <w:noWrap/>
            <w:hideMark/>
          </w:tcPr>
          <w:p w14:paraId="10640AF0" w14:textId="77777777" w:rsidR="00087B91" w:rsidRPr="002029AF" w:rsidRDefault="00087B91" w:rsidP="00860E95">
            <w:pPr>
              <w:pStyle w:val="ARfintablebodyright"/>
            </w:pPr>
            <w:r w:rsidRPr="002029AF">
              <w:t>16,182.9</w:t>
            </w:r>
          </w:p>
        </w:tc>
      </w:tr>
      <w:tr w:rsidR="00087B91" w:rsidRPr="002029AF" w14:paraId="7A0F318C" w14:textId="77777777" w:rsidTr="00860E95">
        <w:tc>
          <w:tcPr>
            <w:tcW w:w="6521" w:type="dxa"/>
            <w:tcBorders>
              <w:top w:val="single" w:sz="4" w:space="0" w:color="A6A6A6"/>
              <w:bottom w:val="single" w:sz="4" w:space="0" w:color="A6A6A6"/>
            </w:tcBorders>
            <w:hideMark/>
          </w:tcPr>
          <w:p w14:paraId="67A16909" w14:textId="6147DC5E" w:rsidR="00087B91" w:rsidRPr="002029AF" w:rsidRDefault="00087B91" w:rsidP="00860E95">
            <w:pPr>
              <w:pStyle w:val="ARfintablebody"/>
            </w:pPr>
            <w:r w:rsidRPr="002029AF">
              <w:t>Special</w:t>
            </w:r>
            <w:r w:rsidR="000A5329" w:rsidRPr="002029AF">
              <w:t xml:space="preserve"> </w:t>
            </w:r>
            <w:r w:rsidRPr="002029AF">
              <w:t>appropriations</w:t>
            </w:r>
          </w:p>
        </w:tc>
        <w:tc>
          <w:tcPr>
            <w:tcW w:w="851" w:type="dxa"/>
            <w:tcBorders>
              <w:top w:val="single" w:sz="4" w:space="0" w:color="A6A6A6"/>
              <w:bottom w:val="single" w:sz="4" w:space="0" w:color="A6A6A6"/>
            </w:tcBorders>
            <w:noWrap/>
            <w:hideMark/>
          </w:tcPr>
          <w:p w14:paraId="364774A8" w14:textId="77777777" w:rsidR="00087B91" w:rsidRPr="002029AF" w:rsidRDefault="00087B91" w:rsidP="00860E95">
            <w:pPr>
              <w:pStyle w:val="ARfintablebodyright"/>
            </w:pPr>
            <w:r w:rsidRPr="002029AF">
              <w:t>2.3</w:t>
            </w:r>
          </w:p>
        </w:tc>
        <w:tc>
          <w:tcPr>
            <w:tcW w:w="1134" w:type="dxa"/>
            <w:tcBorders>
              <w:top w:val="single" w:sz="4" w:space="0" w:color="A6A6A6"/>
              <w:bottom w:val="single" w:sz="4" w:space="0" w:color="A6A6A6"/>
            </w:tcBorders>
            <w:shd w:val="clear" w:color="auto" w:fill="E7E6E6"/>
            <w:noWrap/>
            <w:hideMark/>
          </w:tcPr>
          <w:p w14:paraId="6E532A91" w14:textId="77777777" w:rsidR="00087B91" w:rsidRPr="002029AF" w:rsidRDefault="00087B91" w:rsidP="00860E95">
            <w:pPr>
              <w:pStyle w:val="ARfintablebodyright"/>
            </w:pPr>
            <w:r w:rsidRPr="002029AF">
              <w:t>1,371.9</w:t>
            </w:r>
          </w:p>
        </w:tc>
        <w:tc>
          <w:tcPr>
            <w:tcW w:w="1134" w:type="dxa"/>
            <w:tcBorders>
              <w:top w:val="single" w:sz="4" w:space="0" w:color="A6A6A6"/>
              <w:bottom w:val="single" w:sz="4" w:space="0" w:color="A6A6A6"/>
            </w:tcBorders>
            <w:noWrap/>
            <w:hideMark/>
          </w:tcPr>
          <w:p w14:paraId="0794FF34" w14:textId="77777777" w:rsidR="00087B91" w:rsidRPr="002029AF" w:rsidRDefault="00087B91" w:rsidP="00860E95">
            <w:pPr>
              <w:pStyle w:val="ARfintablebodyright"/>
            </w:pPr>
            <w:r w:rsidRPr="002029AF">
              <w:t>1,513.4</w:t>
            </w:r>
          </w:p>
        </w:tc>
      </w:tr>
      <w:tr w:rsidR="00087B91" w:rsidRPr="002029AF" w14:paraId="22A3F53A" w14:textId="77777777" w:rsidTr="00860E95">
        <w:tc>
          <w:tcPr>
            <w:tcW w:w="6521" w:type="dxa"/>
            <w:tcBorders>
              <w:top w:val="single" w:sz="4" w:space="0" w:color="A6A6A6"/>
              <w:bottom w:val="single" w:sz="4" w:space="0" w:color="A6A6A6"/>
            </w:tcBorders>
            <w:hideMark/>
          </w:tcPr>
          <w:p w14:paraId="33ECC8E3" w14:textId="0A359D95" w:rsidR="00087B91" w:rsidRPr="002029AF" w:rsidRDefault="00087B91" w:rsidP="00860E95">
            <w:pPr>
              <w:pStyle w:val="ARfintablebody"/>
            </w:pPr>
            <w:r w:rsidRPr="002029AF">
              <w:t>Interest</w:t>
            </w:r>
            <w:r w:rsidR="000A5329" w:rsidRPr="002029AF">
              <w:t xml:space="preserve"> </w:t>
            </w:r>
            <w:r w:rsidRPr="002029AF">
              <w:t>Income</w:t>
            </w:r>
          </w:p>
        </w:tc>
        <w:tc>
          <w:tcPr>
            <w:tcW w:w="851" w:type="dxa"/>
            <w:tcBorders>
              <w:top w:val="single" w:sz="4" w:space="0" w:color="A6A6A6"/>
              <w:bottom w:val="single" w:sz="4" w:space="0" w:color="A6A6A6"/>
            </w:tcBorders>
            <w:noWrap/>
            <w:hideMark/>
          </w:tcPr>
          <w:p w14:paraId="1DE37E37" w14:textId="77777777" w:rsidR="00087B91" w:rsidRPr="002029AF" w:rsidRDefault="00087B91" w:rsidP="00860E95">
            <w:pPr>
              <w:pStyle w:val="ARfintablebodyright"/>
            </w:pPr>
            <w:r w:rsidRPr="002029AF">
              <w:t>2.4.1</w:t>
            </w:r>
          </w:p>
        </w:tc>
        <w:tc>
          <w:tcPr>
            <w:tcW w:w="1134" w:type="dxa"/>
            <w:tcBorders>
              <w:top w:val="single" w:sz="4" w:space="0" w:color="A6A6A6"/>
              <w:bottom w:val="single" w:sz="4" w:space="0" w:color="A6A6A6"/>
            </w:tcBorders>
            <w:shd w:val="clear" w:color="auto" w:fill="E7E6E6"/>
            <w:noWrap/>
            <w:hideMark/>
          </w:tcPr>
          <w:p w14:paraId="3B6DBDFA" w14:textId="77777777" w:rsidR="00087B91" w:rsidRPr="002029AF" w:rsidRDefault="00087B91" w:rsidP="00860E95">
            <w:pPr>
              <w:pStyle w:val="ARfintablebodyright"/>
            </w:pPr>
            <w:r w:rsidRPr="002029AF">
              <w:t>6.9</w:t>
            </w:r>
          </w:p>
        </w:tc>
        <w:tc>
          <w:tcPr>
            <w:tcW w:w="1134" w:type="dxa"/>
            <w:tcBorders>
              <w:top w:val="single" w:sz="4" w:space="0" w:color="A6A6A6"/>
              <w:bottom w:val="single" w:sz="4" w:space="0" w:color="A6A6A6"/>
            </w:tcBorders>
            <w:noWrap/>
            <w:hideMark/>
          </w:tcPr>
          <w:p w14:paraId="7C1DE9EC" w14:textId="77777777" w:rsidR="00087B91" w:rsidRPr="002029AF" w:rsidRDefault="00087B91" w:rsidP="00860E95">
            <w:pPr>
              <w:pStyle w:val="ARfintablebodyright"/>
            </w:pPr>
            <w:r w:rsidRPr="002029AF">
              <w:t>13.2</w:t>
            </w:r>
          </w:p>
        </w:tc>
      </w:tr>
      <w:tr w:rsidR="00087B91" w:rsidRPr="002029AF" w14:paraId="0F611951" w14:textId="77777777" w:rsidTr="00860E95">
        <w:tc>
          <w:tcPr>
            <w:tcW w:w="6521" w:type="dxa"/>
            <w:tcBorders>
              <w:top w:val="single" w:sz="4" w:space="0" w:color="A6A6A6"/>
              <w:bottom w:val="single" w:sz="4" w:space="0" w:color="A6A6A6"/>
            </w:tcBorders>
            <w:hideMark/>
          </w:tcPr>
          <w:p w14:paraId="07037A88" w14:textId="463B2054" w:rsidR="00087B91" w:rsidRPr="002029AF" w:rsidRDefault="00087B91" w:rsidP="00860E95">
            <w:pPr>
              <w:pStyle w:val="ARfintablebody"/>
            </w:pPr>
            <w:r w:rsidRPr="002029AF">
              <w:t>Rental</w:t>
            </w:r>
            <w:r w:rsidR="000A5329" w:rsidRPr="002029AF">
              <w:t xml:space="preserve"> </w:t>
            </w:r>
            <w:r w:rsidRPr="002029AF">
              <w:t>income</w:t>
            </w:r>
            <w:r w:rsidR="000A5329" w:rsidRPr="002029AF">
              <w:t xml:space="preserve"> </w:t>
            </w:r>
            <w:r w:rsidRPr="002029AF">
              <w:t>and</w:t>
            </w:r>
            <w:r w:rsidR="000A5329" w:rsidRPr="002029AF">
              <w:t xml:space="preserve"> </w:t>
            </w:r>
            <w:r w:rsidRPr="002029AF">
              <w:t>income</w:t>
            </w:r>
            <w:r w:rsidR="000A5329" w:rsidRPr="002029AF">
              <w:t xml:space="preserve"> </w:t>
            </w:r>
            <w:r w:rsidRPr="002029AF">
              <w:t>from</w:t>
            </w:r>
            <w:r w:rsidR="000A5329" w:rsidRPr="002029AF">
              <w:t xml:space="preserve"> </w:t>
            </w:r>
            <w:r w:rsidRPr="002029AF">
              <w:t>services</w:t>
            </w:r>
          </w:p>
        </w:tc>
        <w:tc>
          <w:tcPr>
            <w:tcW w:w="851" w:type="dxa"/>
            <w:tcBorders>
              <w:top w:val="single" w:sz="4" w:space="0" w:color="A6A6A6"/>
              <w:bottom w:val="single" w:sz="4" w:space="0" w:color="A6A6A6"/>
            </w:tcBorders>
            <w:noWrap/>
            <w:hideMark/>
          </w:tcPr>
          <w:p w14:paraId="2B805952" w14:textId="77777777" w:rsidR="00087B91" w:rsidRPr="002029AF" w:rsidRDefault="00087B91" w:rsidP="00860E95">
            <w:pPr>
              <w:pStyle w:val="ARfintablebodyright"/>
            </w:pPr>
            <w:r w:rsidRPr="002029AF">
              <w:t>2.4.2</w:t>
            </w:r>
          </w:p>
        </w:tc>
        <w:tc>
          <w:tcPr>
            <w:tcW w:w="1134" w:type="dxa"/>
            <w:tcBorders>
              <w:top w:val="single" w:sz="4" w:space="0" w:color="A6A6A6"/>
              <w:bottom w:val="single" w:sz="4" w:space="0" w:color="A6A6A6"/>
            </w:tcBorders>
            <w:shd w:val="clear" w:color="auto" w:fill="E7E6E6"/>
            <w:noWrap/>
            <w:hideMark/>
          </w:tcPr>
          <w:p w14:paraId="75EF752E" w14:textId="77777777" w:rsidR="00087B91" w:rsidRPr="002029AF" w:rsidRDefault="00087B91" w:rsidP="00860E95">
            <w:pPr>
              <w:pStyle w:val="ARfintablebodyright"/>
            </w:pPr>
            <w:r w:rsidRPr="002029AF">
              <w:t>501.1</w:t>
            </w:r>
          </w:p>
        </w:tc>
        <w:tc>
          <w:tcPr>
            <w:tcW w:w="1134" w:type="dxa"/>
            <w:tcBorders>
              <w:top w:val="single" w:sz="4" w:space="0" w:color="A6A6A6"/>
              <w:bottom w:val="single" w:sz="4" w:space="0" w:color="A6A6A6"/>
            </w:tcBorders>
            <w:noWrap/>
            <w:hideMark/>
          </w:tcPr>
          <w:p w14:paraId="7E6F501B" w14:textId="77777777" w:rsidR="00087B91" w:rsidRPr="002029AF" w:rsidRDefault="00087B91" w:rsidP="00860E95">
            <w:pPr>
              <w:pStyle w:val="ARfintablebodyright"/>
            </w:pPr>
            <w:r w:rsidRPr="002029AF">
              <w:t>491.1</w:t>
            </w:r>
          </w:p>
        </w:tc>
      </w:tr>
      <w:tr w:rsidR="00087B91" w:rsidRPr="002029AF" w14:paraId="101E8686" w14:textId="77777777" w:rsidTr="00860E95">
        <w:tc>
          <w:tcPr>
            <w:tcW w:w="6521" w:type="dxa"/>
            <w:tcBorders>
              <w:top w:val="single" w:sz="4" w:space="0" w:color="A6A6A6"/>
              <w:bottom w:val="single" w:sz="4" w:space="0" w:color="A6A6A6"/>
            </w:tcBorders>
            <w:hideMark/>
          </w:tcPr>
          <w:p w14:paraId="1B14F57F" w14:textId="746E1C5E" w:rsidR="00087B91" w:rsidRPr="002029AF" w:rsidRDefault="00087B91" w:rsidP="00860E95">
            <w:pPr>
              <w:pStyle w:val="ARfintablebody"/>
            </w:pPr>
            <w:r w:rsidRPr="002029AF">
              <w:t>Grants</w:t>
            </w:r>
            <w:r w:rsidR="000A5329" w:rsidRPr="002029AF">
              <w:t xml:space="preserve"> </w:t>
            </w:r>
            <w:r w:rsidRPr="002029AF">
              <w:t>and</w:t>
            </w:r>
            <w:r w:rsidR="000A5329" w:rsidRPr="002029AF">
              <w:t xml:space="preserve"> </w:t>
            </w:r>
            <w:r w:rsidRPr="002029AF">
              <w:t>other</w:t>
            </w:r>
            <w:r w:rsidR="000A5329" w:rsidRPr="002029AF">
              <w:t xml:space="preserve"> </w:t>
            </w:r>
            <w:r w:rsidRPr="002029AF">
              <w:t>income</w:t>
            </w:r>
            <w:r w:rsidR="000A5329" w:rsidRPr="002029AF">
              <w:t xml:space="preserve"> </w:t>
            </w:r>
            <w:r w:rsidRPr="002029AF">
              <w:t>transfers</w:t>
            </w:r>
          </w:p>
        </w:tc>
        <w:tc>
          <w:tcPr>
            <w:tcW w:w="851" w:type="dxa"/>
            <w:tcBorders>
              <w:top w:val="single" w:sz="4" w:space="0" w:color="A6A6A6"/>
              <w:bottom w:val="single" w:sz="4" w:space="0" w:color="A6A6A6"/>
            </w:tcBorders>
            <w:noWrap/>
            <w:hideMark/>
          </w:tcPr>
          <w:p w14:paraId="0E1ABE0A" w14:textId="77777777" w:rsidR="00087B91" w:rsidRPr="002029AF" w:rsidRDefault="00087B91" w:rsidP="00860E95">
            <w:pPr>
              <w:pStyle w:val="ARfintablebodyright"/>
            </w:pPr>
            <w:r w:rsidRPr="002029AF">
              <w:t>2.4.3</w:t>
            </w:r>
          </w:p>
        </w:tc>
        <w:tc>
          <w:tcPr>
            <w:tcW w:w="1134" w:type="dxa"/>
            <w:tcBorders>
              <w:top w:val="single" w:sz="4" w:space="0" w:color="A6A6A6"/>
              <w:bottom w:val="single" w:sz="4" w:space="0" w:color="A6A6A6"/>
            </w:tcBorders>
            <w:shd w:val="clear" w:color="auto" w:fill="E7E6E6"/>
            <w:noWrap/>
            <w:hideMark/>
          </w:tcPr>
          <w:p w14:paraId="32F94240" w14:textId="77777777" w:rsidR="00087B91" w:rsidRPr="002029AF" w:rsidRDefault="00087B91" w:rsidP="00860E95">
            <w:pPr>
              <w:pStyle w:val="ARfintablebodyright"/>
            </w:pPr>
            <w:r w:rsidRPr="002029AF">
              <w:t>2,514.0</w:t>
            </w:r>
          </w:p>
        </w:tc>
        <w:tc>
          <w:tcPr>
            <w:tcW w:w="1134" w:type="dxa"/>
            <w:tcBorders>
              <w:top w:val="single" w:sz="4" w:space="0" w:color="A6A6A6"/>
              <w:bottom w:val="single" w:sz="4" w:space="0" w:color="A6A6A6"/>
            </w:tcBorders>
            <w:noWrap/>
            <w:hideMark/>
          </w:tcPr>
          <w:p w14:paraId="1F6F6911" w14:textId="77777777" w:rsidR="00087B91" w:rsidRPr="002029AF" w:rsidRDefault="00087B91" w:rsidP="00860E95">
            <w:pPr>
              <w:pStyle w:val="ARfintablebodyright"/>
            </w:pPr>
            <w:r w:rsidRPr="002029AF">
              <w:t>1,190.6</w:t>
            </w:r>
          </w:p>
        </w:tc>
      </w:tr>
      <w:tr w:rsidR="00087B91" w:rsidRPr="002029AF" w14:paraId="2EC33316" w14:textId="77777777" w:rsidTr="00860E95">
        <w:tc>
          <w:tcPr>
            <w:tcW w:w="6521" w:type="dxa"/>
            <w:tcBorders>
              <w:top w:val="single" w:sz="4" w:space="0" w:color="A6A6A6"/>
              <w:bottom w:val="single" w:sz="4" w:space="0" w:color="A6A6A6"/>
            </w:tcBorders>
            <w:hideMark/>
          </w:tcPr>
          <w:p w14:paraId="7E1B71E2" w14:textId="1D14CDFF" w:rsidR="00087B91" w:rsidRPr="002029AF" w:rsidRDefault="00087B91" w:rsidP="00860E95">
            <w:pPr>
              <w:pStyle w:val="ARfintablebody"/>
            </w:pPr>
            <w:r w:rsidRPr="002029AF">
              <w:t>Fair</w:t>
            </w:r>
            <w:r w:rsidR="000A5329" w:rsidRPr="002029AF">
              <w:t xml:space="preserve"> </w:t>
            </w:r>
            <w:r w:rsidRPr="002029AF">
              <w:t>value</w:t>
            </w:r>
            <w:r w:rsidR="000A5329" w:rsidRPr="002029AF">
              <w:t xml:space="preserve"> </w:t>
            </w:r>
            <w:r w:rsidRPr="002029AF">
              <w:t>of</w:t>
            </w:r>
            <w:r w:rsidR="000A5329" w:rsidRPr="002029AF">
              <w:t xml:space="preserve"> </w:t>
            </w:r>
            <w:r w:rsidRPr="002029AF">
              <w:t>assets</w:t>
            </w:r>
            <w:r w:rsidR="000A5329" w:rsidRPr="002029AF">
              <w:t xml:space="preserve"> </w:t>
            </w:r>
            <w:r w:rsidRPr="002029AF">
              <w:t>and</w:t>
            </w:r>
            <w:r w:rsidR="000A5329" w:rsidRPr="002029AF">
              <w:t xml:space="preserve"> </w:t>
            </w:r>
            <w:r w:rsidRPr="002029AF">
              <w:t>services</w:t>
            </w:r>
            <w:r w:rsidR="000A5329" w:rsidRPr="002029AF">
              <w:t xml:space="preserve"> </w:t>
            </w:r>
            <w:r w:rsidRPr="002029AF">
              <w:t>received</w:t>
            </w:r>
            <w:r w:rsidR="000A5329" w:rsidRPr="002029AF">
              <w:t xml:space="preserve"> </w:t>
            </w:r>
            <w:r w:rsidRPr="002029AF">
              <w:t>free</w:t>
            </w:r>
            <w:r w:rsidR="000A5329" w:rsidRPr="002029AF">
              <w:t xml:space="preserve"> </w:t>
            </w:r>
            <w:r w:rsidRPr="002029AF">
              <w:t>of</w:t>
            </w:r>
            <w:r w:rsidR="000A5329" w:rsidRPr="002029AF">
              <w:t xml:space="preserve"> </w:t>
            </w:r>
            <w:r w:rsidRPr="002029AF">
              <w:t>charge</w:t>
            </w:r>
            <w:r w:rsidR="000A5329" w:rsidRPr="002029AF">
              <w:t xml:space="preserve"> </w:t>
            </w:r>
            <w:r w:rsidRPr="002029AF">
              <w:t>or</w:t>
            </w:r>
            <w:r w:rsidR="000A5329" w:rsidRPr="002029AF">
              <w:t xml:space="preserve"> </w:t>
            </w:r>
            <w:r w:rsidRPr="002029AF">
              <w:t>for</w:t>
            </w:r>
            <w:r w:rsidR="000A5329" w:rsidRPr="002029AF">
              <w:t xml:space="preserve"> </w:t>
            </w:r>
            <w:r w:rsidRPr="002029AF">
              <w:t>nominal</w:t>
            </w:r>
            <w:r w:rsidR="000A5329" w:rsidRPr="002029AF">
              <w:t xml:space="preserve"> </w:t>
            </w:r>
            <w:r w:rsidRPr="002029AF">
              <w:t>consideration</w:t>
            </w:r>
          </w:p>
        </w:tc>
        <w:tc>
          <w:tcPr>
            <w:tcW w:w="851" w:type="dxa"/>
            <w:tcBorders>
              <w:top w:val="single" w:sz="4" w:space="0" w:color="A6A6A6"/>
              <w:bottom w:val="single" w:sz="4" w:space="0" w:color="A6A6A6"/>
            </w:tcBorders>
            <w:noWrap/>
            <w:hideMark/>
          </w:tcPr>
          <w:p w14:paraId="7DECD592" w14:textId="77777777" w:rsidR="00087B91" w:rsidRPr="002029AF" w:rsidRDefault="00087B91" w:rsidP="00860E95">
            <w:pPr>
              <w:pStyle w:val="ARfintablebodyright"/>
            </w:pPr>
            <w:r w:rsidRPr="002029AF">
              <w:t>2.4.4</w:t>
            </w:r>
          </w:p>
        </w:tc>
        <w:tc>
          <w:tcPr>
            <w:tcW w:w="1134" w:type="dxa"/>
            <w:tcBorders>
              <w:top w:val="single" w:sz="4" w:space="0" w:color="A6A6A6"/>
              <w:bottom w:val="single" w:sz="4" w:space="0" w:color="A6A6A6"/>
            </w:tcBorders>
            <w:shd w:val="clear" w:color="auto" w:fill="E7E6E6"/>
            <w:noWrap/>
            <w:hideMark/>
          </w:tcPr>
          <w:p w14:paraId="01CA4697" w14:textId="77777777" w:rsidR="00087B91" w:rsidRPr="002029AF" w:rsidRDefault="00087B91" w:rsidP="00860E95">
            <w:pPr>
              <w:pStyle w:val="ARfintablebodyright"/>
            </w:pPr>
            <w:r w:rsidRPr="002029AF">
              <w:t>3.6</w:t>
            </w:r>
          </w:p>
        </w:tc>
        <w:tc>
          <w:tcPr>
            <w:tcW w:w="1134" w:type="dxa"/>
            <w:tcBorders>
              <w:top w:val="single" w:sz="4" w:space="0" w:color="A6A6A6"/>
              <w:bottom w:val="single" w:sz="4" w:space="0" w:color="A6A6A6"/>
            </w:tcBorders>
            <w:noWrap/>
            <w:hideMark/>
          </w:tcPr>
          <w:p w14:paraId="4802CEC5" w14:textId="77777777" w:rsidR="00087B91" w:rsidRPr="002029AF" w:rsidRDefault="00087B91" w:rsidP="00860E95">
            <w:pPr>
              <w:pStyle w:val="ARfintablebodyright"/>
            </w:pPr>
            <w:r w:rsidRPr="002029AF">
              <w:t>10.1</w:t>
            </w:r>
          </w:p>
        </w:tc>
      </w:tr>
      <w:tr w:rsidR="00087B91" w:rsidRPr="002029AF" w14:paraId="667CF28A" w14:textId="77777777" w:rsidTr="00860E95">
        <w:tc>
          <w:tcPr>
            <w:tcW w:w="6521" w:type="dxa"/>
            <w:tcBorders>
              <w:top w:val="single" w:sz="4" w:space="0" w:color="A6A6A6"/>
            </w:tcBorders>
            <w:hideMark/>
          </w:tcPr>
          <w:p w14:paraId="118BA378" w14:textId="282D9F38" w:rsidR="00087B91" w:rsidRPr="002029AF" w:rsidRDefault="00087B91" w:rsidP="00860E95">
            <w:pPr>
              <w:pStyle w:val="ARfintablebody"/>
            </w:pPr>
            <w:r w:rsidRPr="002029AF">
              <w:t>Other</w:t>
            </w:r>
            <w:r w:rsidR="000A5329" w:rsidRPr="002029AF">
              <w:t xml:space="preserve"> </w:t>
            </w:r>
            <w:r w:rsidRPr="002029AF">
              <w:t>revenue</w:t>
            </w:r>
            <w:r w:rsidR="000A5329" w:rsidRPr="002029AF">
              <w:t xml:space="preserve"> </w:t>
            </w:r>
            <w:r w:rsidRPr="002029AF">
              <w:t>and</w:t>
            </w:r>
            <w:r w:rsidR="000A5329" w:rsidRPr="002029AF">
              <w:t xml:space="preserve"> </w:t>
            </w:r>
            <w:r w:rsidRPr="002029AF">
              <w:t>income</w:t>
            </w:r>
          </w:p>
        </w:tc>
        <w:tc>
          <w:tcPr>
            <w:tcW w:w="851" w:type="dxa"/>
            <w:tcBorders>
              <w:top w:val="single" w:sz="4" w:space="0" w:color="A6A6A6"/>
            </w:tcBorders>
            <w:noWrap/>
            <w:hideMark/>
          </w:tcPr>
          <w:p w14:paraId="350AE938" w14:textId="77777777" w:rsidR="00087B91" w:rsidRPr="002029AF" w:rsidRDefault="00087B91" w:rsidP="00860E95">
            <w:pPr>
              <w:pStyle w:val="ARfintablebodyright"/>
            </w:pPr>
            <w:r w:rsidRPr="002029AF">
              <w:t>2.4.5</w:t>
            </w:r>
          </w:p>
        </w:tc>
        <w:tc>
          <w:tcPr>
            <w:tcW w:w="1134" w:type="dxa"/>
            <w:tcBorders>
              <w:top w:val="single" w:sz="4" w:space="0" w:color="A6A6A6"/>
            </w:tcBorders>
            <w:shd w:val="clear" w:color="auto" w:fill="E7E6E6"/>
            <w:noWrap/>
            <w:hideMark/>
          </w:tcPr>
          <w:p w14:paraId="7EA1CCC7" w14:textId="77777777" w:rsidR="00087B91" w:rsidRPr="002029AF" w:rsidRDefault="00087B91" w:rsidP="00860E95">
            <w:pPr>
              <w:pStyle w:val="ARfintablebodyright"/>
            </w:pPr>
            <w:r w:rsidRPr="002029AF">
              <w:t>30.9</w:t>
            </w:r>
          </w:p>
        </w:tc>
        <w:tc>
          <w:tcPr>
            <w:tcW w:w="1134" w:type="dxa"/>
            <w:tcBorders>
              <w:top w:val="single" w:sz="4" w:space="0" w:color="A6A6A6"/>
            </w:tcBorders>
            <w:noWrap/>
            <w:hideMark/>
          </w:tcPr>
          <w:p w14:paraId="2039DA6B" w14:textId="77777777" w:rsidR="00087B91" w:rsidRPr="002029AF" w:rsidRDefault="00087B91" w:rsidP="00860E95">
            <w:pPr>
              <w:pStyle w:val="ARfintablebodyright"/>
            </w:pPr>
            <w:r w:rsidRPr="002029AF">
              <w:t>15.7</w:t>
            </w:r>
          </w:p>
        </w:tc>
      </w:tr>
      <w:tr w:rsidR="00087B91" w:rsidRPr="002029AF" w14:paraId="6DEA9C28" w14:textId="77777777" w:rsidTr="00860E95">
        <w:tc>
          <w:tcPr>
            <w:tcW w:w="6521" w:type="dxa"/>
            <w:hideMark/>
          </w:tcPr>
          <w:p w14:paraId="627196C3" w14:textId="2C330023" w:rsidR="00087B91" w:rsidRPr="002029AF" w:rsidRDefault="00087B91" w:rsidP="00860E95">
            <w:pPr>
              <w:pStyle w:val="ARfintablebodybold"/>
            </w:pPr>
            <w:r w:rsidRPr="002029AF">
              <w:t>Total</w:t>
            </w:r>
            <w:r w:rsidR="000A5329" w:rsidRPr="002029AF">
              <w:t xml:space="preserve"> </w:t>
            </w:r>
            <w:r w:rsidRPr="002029AF">
              <w:t>revenue</w:t>
            </w:r>
            <w:r w:rsidR="000A5329" w:rsidRPr="002029AF">
              <w:t xml:space="preserve"> </w:t>
            </w:r>
            <w:r w:rsidRPr="002029AF">
              <w:t>and</w:t>
            </w:r>
            <w:r w:rsidR="000A5329" w:rsidRPr="002029AF">
              <w:t xml:space="preserve"> </w:t>
            </w:r>
            <w:r w:rsidRPr="002029AF">
              <w:t>income</w:t>
            </w:r>
            <w:r w:rsidR="000A5329" w:rsidRPr="002029AF">
              <w:t xml:space="preserve"> </w:t>
            </w:r>
            <w:r w:rsidRPr="002029AF">
              <w:t>from</w:t>
            </w:r>
            <w:r w:rsidR="000A5329" w:rsidRPr="002029AF">
              <w:t xml:space="preserve"> </w:t>
            </w:r>
            <w:r w:rsidRPr="002029AF">
              <w:t>transactions</w:t>
            </w:r>
          </w:p>
        </w:tc>
        <w:tc>
          <w:tcPr>
            <w:tcW w:w="851" w:type="dxa"/>
            <w:hideMark/>
          </w:tcPr>
          <w:p w14:paraId="3AB18FA1" w14:textId="77777777" w:rsidR="00087B91" w:rsidRPr="002029AF" w:rsidRDefault="00087B91" w:rsidP="00860E95">
            <w:pPr>
              <w:pStyle w:val="ARfintablebodyrightbold"/>
            </w:pPr>
          </w:p>
        </w:tc>
        <w:tc>
          <w:tcPr>
            <w:tcW w:w="1134" w:type="dxa"/>
            <w:shd w:val="clear" w:color="auto" w:fill="E7E6E6"/>
            <w:noWrap/>
            <w:hideMark/>
          </w:tcPr>
          <w:p w14:paraId="48DFF6B1" w14:textId="77777777" w:rsidR="00087B91" w:rsidRPr="002029AF" w:rsidRDefault="00087B91" w:rsidP="00860E95">
            <w:pPr>
              <w:pStyle w:val="ARfintablebodyrightbold"/>
            </w:pPr>
            <w:r w:rsidRPr="002029AF">
              <w:t>22,028.4</w:t>
            </w:r>
          </w:p>
        </w:tc>
        <w:tc>
          <w:tcPr>
            <w:tcW w:w="1134" w:type="dxa"/>
            <w:noWrap/>
            <w:hideMark/>
          </w:tcPr>
          <w:p w14:paraId="5307D105" w14:textId="77777777" w:rsidR="00087B91" w:rsidRPr="002029AF" w:rsidRDefault="00087B91" w:rsidP="00860E95">
            <w:pPr>
              <w:pStyle w:val="ARfintablebodyrightbold"/>
            </w:pPr>
            <w:r w:rsidRPr="002029AF">
              <w:t>19,417.0</w:t>
            </w:r>
          </w:p>
        </w:tc>
      </w:tr>
    </w:tbl>
    <w:p w14:paraId="5C75A796" w14:textId="77777777" w:rsidR="00087B91" w:rsidRPr="002029AF" w:rsidRDefault="00087B91" w:rsidP="00087B91">
      <w:pPr>
        <w:pStyle w:val="ARfintablefootnote"/>
      </w:pPr>
      <w:r w:rsidRPr="002029AF">
        <w:t>Note:</w:t>
      </w:r>
    </w:p>
    <w:p w14:paraId="28AB057A" w14:textId="3B09E1F0" w:rsidR="00087B91" w:rsidRPr="002029AF" w:rsidRDefault="002A5CF0" w:rsidP="002A5CF0">
      <w:pPr>
        <w:pStyle w:val="ARfintablefootnoteindent"/>
      </w:pPr>
      <w:r w:rsidRPr="002029AF">
        <w:t>(i)</w:t>
      </w:r>
      <w:r w:rsidRPr="002029AF">
        <w:tab/>
      </w:r>
      <w:r w:rsidR="00087B91" w:rsidRPr="002029AF">
        <w:t>Includes</w:t>
      </w:r>
      <w:r w:rsidR="000A5329" w:rsidRPr="002029AF">
        <w:t xml:space="preserve"> </w:t>
      </w:r>
      <w:r w:rsidR="00087B91" w:rsidRPr="002029AF">
        <w:t>coronavirus</w:t>
      </w:r>
      <w:r w:rsidR="000A5329" w:rsidRPr="002029AF">
        <w:t xml:space="preserve"> </w:t>
      </w:r>
      <w:r w:rsidR="00087B91" w:rsidRPr="002029AF">
        <w:t>(COVID-19)-related</w:t>
      </w:r>
      <w:r w:rsidR="000A5329" w:rsidRPr="002029AF">
        <w:t xml:space="preserve"> </w:t>
      </w:r>
      <w:r w:rsidR="00087B91" w:rsidRPr="002029AF">
        <w:t>funding</w:t>
      </w:r>
      <w:r w:rsidR="000A5329" w:rsidRPr="002029AF">
        <w:t xml:space="preserve"> </w:t>
      </w:r>
      <w:r w:rsidR="00087B91" w:rsidRPr="002029AF">
        <w:t>in</w:t>
      </w:r>
      <w:r w:rsidR="000A5329" w:rsidRPr="002029AF">
        <w:t xml:space="preserve"> </w:t>
      </w:r>
      <w:r w:rsidR="00087B91" w:rsidRPr="002029AF">
        <w:t>2020</w:t>
      </w:r>
      <w:r w:rsidR="000A5329" w:rsidRPr="002029AF">
        <w:t xml:space="preserve"> </w:t>
      </w:r>
      <w:r w:rsidR="00087B91" w:rsidRPr="002029AF">
        <w:t>from</w:t>
      </w:r>
      <w:r w:rsidR="000A5329" w:rsidRPr="002029AF">
        <w:t xml:space="preserve"> </w:t>
      </w:r>
      <w:r w:rsidR="00087B91" w:rsidRPr="002029AF">
        <w:t>the</w:t>
      </w:r>
      <w:r w:rsidR="000A5329" w:rsidRPr="002029AF">
        <w:t xml:space="preserve"> </w:t>
      </w:r>
      <w:r w:rsidR="00087B91" w:rsidRPr="002029AF">
        <w:t>Victorian</w:t>
      </w:r>
      <w:r w:rsidR="000A5329" w:rsidRPr="002029AF">
        <w:t xml:space="preserve"> </w:t>
      </w:r>
      <w:r w:rsidR="00087B91" w:rsidRPr="002029AF">
        <w:t>and</w:t>
      </w:r>
      <w:r w:rsidR="000A5329" w:rsidRPr="002029AF">
        <w:t xml:space="preserve"> </w:t>
      </w:r>
      <w:r w:rsidR="00087B91" w:rsidRPr="002029AF">
        <w:t>Commonwealth</w:t>
      </w:r>
      <w:r w:rsidR="000A5329" w:rsidRPr="002029AF">
        <w:t xml:space="preserve"> </w:t>
      </w:r>
      <w:r w:rsidR="00087B91" w:rsidRPr="002029AF">
        <w:t>Governments.</w:t>
      </w:r>
    </w:p>
    <w:p w14:paraId="43FDE6F2" w14:textId="09D2BDC4" w:rsidR="00087B91" w:rsidRPr="002029AF" w:rsidRDefault="00087B91" w:rsidP="00087B91">
      <w:pPr>
        <w:pStyle w:val="ARfinbodyaftertable"/>
      </w:pPr>
      <w:r w:rsidRPr="002029AF">
        <w:t>Revenue</w:t>
      </w:r>
      <w:r w:rsidR="000A5329" w:rsidRPr="002029AF">
        <w:t xml:space="preserve"> </w:t>
      </w:r>
      <w:r w:rsidRPr="002029AF">
        <w:t>and</w:t>
      </w:r>
      <w:r w:rsidR="000A5329" w:rsidRPr="002029AF">
        <w:t xml:space="preserve"> </w:t>
      </w:r>
      <w:r w:rsidRPr="002029AF">
        <w:t>income</w:t>
      </w:r>
      <w:r w:rsidR="000A5329" w:rsidRPr="002029AF">
        <w:t xml:space="preserve"> </w:t>
      </w:r>
      <w:r w:rsidRPr="002029AF">
        <w:t>that</w:t>
      </w:r>
      <w:r w:rsidR="000A5329" w:rsidRPr="002029AF">
        <w:t xml:space="preserve"> </w:t>
      </w:r>
      <w:r w:rsidRPr="002029AF">
        <w:t>fund</w:t>
      </w:r>
      <w:r w:rsidR="000A5329" w:rsidRPr="002029AF">
        <w:t xml:space="preserve"> </w:t>
      </w:r>
      <w:r w:rsidRPr="002029AF">
        <w:t>delivery</w:t>
      </w:r>
      <w:r w:rsidR="000A5329" w:rsidRPr="002029AF">
        <w:t xml:space="preserve"> </w:t>
      </w:r>
      <w:r w:rsidRPr="002029AF">
        <w:t>of</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services</w:t>
      </w:r>
      <w:r w:rsidR="000A5329" w:rsidRPr="002029AF">
        <w:t xml:space="preserve"> </w:t>
      </w:r>
      <w:r w:rsidRPr="002029AF">
        <w:t>are</w:t>
      </w:r>
      <w:r w:rsidR="000A5329" w:rsidRPr="002029AF">
        <w:t xml:space="preserve"> </w:t>
      </w:r>
      <w:r w:rsidRPr="002029AF">
        <w:t>accounted</w:t>
      </w:r>
      <w:r w:rsidR="000A5329" w:rsidRPr="002029AF">
        <w:t xml:space="preserve"> </w:t>
      </w:r>
      <w:r w:rsidRPr="002029AF">
        <w:t>for</w:t>
      </w:r>
      <w:r w:rsidR="000A5329" w:rsidRPr="002029AF">
        <w:t xml:space="preserve"> </w:t>
      </w:r>
      <w:r w:rsidRPr="002029AF">
        <w:t>consistently</w:t>
      </w:r>
      <w:r w:rsidR="000A5329" w:rsidRPr="002029AF">
        <w:t xml:space="preserve"> </w:t>
      </w:r>
      <w:r w:rsidRPr="002029AF">
        <w:t>with</w:t>
      </w:r>
      <w:r w:rsidR="000A5329" w:rsidRPr="002029AF">
        <w:t xml:space="preserve"> </w:t>
      </w:r>
      <w:r w:rsidRPr="002029AF">
        <w:t>the</w:t>
      </w:r>
      <w:r w:rsidR="000A5329" w:rsidRPr="002029AF">
        <w:t xml:space="preserve"> </w:t>
      </w:r>
      <w:r w:rsidRPr="002029AF">
        <w:t>requirements</w:t>
      </w:r>
      <w:r w:rsidR="000A5329" w:rsidRPr="002029AF">
        <w:t xml:space="preserve"> </w:t>
      </w:r>
      <w:r w:rsidRPr="002029AF">
        <w:t>of</w:t>
      </w:r>
      <w:r w:rsidR="000A5329" w:rsidRPr="002029AF">
        <w:t xml:space="preserve"> </w:t>
      </w:r>
      <w:r w:rsidRPr="002029AF">
        <w:t>the</w:t>
      </w:r>
      <w:r w:rsidR="000A5329" w:rsidRPr="002029AF">
        <w:t xml:space="preserve"> </w:t>
      </w:r>
      <w:r w:rsidRPr="002029AF">
        <w:t>relevant</w:t>
      </w:r>
      <w:r w:rsidR="000A5329" w:rsidRPr="002029AF">
        <w:t xml:space="preserve"> </w:t>
      </w:r>
      <w:r w:rsidRPr="002029AF">
        <w:t>accounting</w:t>
      </w:r>
      <w:r w:rsidR="000A5329" w:rsidRPr="002029AF">
        <w:t xml:space="preserve"> </w:t>
      </w:r>
      <w:r w:rsidRPr="002029AF">
        <w:t>standards</w:t>
      </w:r>
      <w:r w:rsidR="000A5329" w:rsidRPr="002029AF">
        <w:t xml:space="preserve"> </w:t>
      </w:r>
      <w:r w:rsidRPr="002029AF">
        <w:t>in</w:t>
      </w:r>
      <w:r w:rsidR="000A5329" w:rsidRPr="002029AF">
        <w:t xml:space="preserve"> </w:t>
      </w:r>
      <w:r w:rsidRPr="002029AF">
        <w:t>the</w:t>
      </w:r>
      <w:r w:rsidR="000A5329" w:rsidRPr="002029AF">
        <w:t xml:space="preserve"> </w:t>
      </w:r>
      <w:r w:rsidRPr="002029AF">
        <w:t>following</w:t>
      </w:r>
      <w:r w:rsidR="000A5329" w:rsidRPr="002029AF">
        <w:t xml:space="preserve"> </w:t>
      </w:r>
      <w:r w:rsidRPr="002029AF">
        <w:t>notes.</w:t>
      </w:r>
    </w:p>
    <w:p w14:paraId="7E91B2A5" w14:textId="641C9BA2" w:rsidR="00087B91" w:rsidRPr="002029AF" w:rsidRDefault="00087B91" w:rsidP="00087B91">
      <w:pPr>
        <w:pStyle w:val="Heading5"/>
      </w:pPr>
      <w:r w:rsidRPr="002029AF">
        <w:t>Impact</w:t>
      </w:r>
      <w:r w:rsidR="000A5329" w:rsidRPr="002029AF">
        <w:t xml:space="preserve"> </w:t>
      </w:r>
      <w:r w:rsidRPr="002029AF">
        <w:t>of</w:t>
      </w:r>
      <w:r w:rsidR="000A5329" w:rsidRPr="002029AF">
        <w:t xml:space="preserve"> </w:t>
      </w:r>
      <w:r w:rsidRPr="002029AF">
        <w:t>COVID-19</w:t>
      </w:r>
      <w:r w:rsidR="000A5329" w:rsidRPr="002029AF">
        <w:t xml:space="preserve"> </w:t>
      </w:r>
      <w:r w:rsidRPr="002029AF">
        <w:t>on</w:t>
      </w:r>
      <w:r w:rsidR="000A5329" w:rsidRPr="002029AF">
        <w:t xml:space="preserve"> </w:t>
      </w:r>
      <w:r w:rsidRPr="002029AF">
        <w:t>revenue</w:t>
      </w:r>
      <w:r w:rsidR="000A5329" w:rsidRPr="002029AF">
        <w:t xml:space="preserve"> </w:t>
      </w:r>
      <w:r w:rsidRPr="002029AF">
        <w:t>and</w:t>
      </w:r>
      <w:r w:rsidR="000A5329" w:rsidRPr="002029AF">
        <w:t xml:space="preserve"> </w:t>
      </w:r>
      <w:r w:rsidRPr="002029AF">
        <w:t>income</w:t>
      </w:r>
    </w:p>
    <w:p w14:paraId="367F50E3" w14:textId="43317BD8" w:rsidR="00087B91" w:rsidRPr="002029AF" w:rsidRDefault="00087B91" w:rsidP="00087B91">
      <w:pPr>
        <w:pStyle w:val="ARfinbody"/>
      </w:pP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received</w:t>
      </w:r>
      <w:r w:rsidR="000A5329" w:rsidRPr="002029AF">
        <w:t xml:space="preserve"> </w:t>
      </w:r>
      <w:r w:rsidRPr="002029AF">
        <w:t>additional</w:t>
      </w:r>
      <w:r w:rsidR="000A5329" w:rsidRPr="002029AF">
        <w:t xml:space="preserve"> </w:t>
      </w:r>
      <w:r w:rsidRPr="002029AF">
        <w:t>funding</w:t>
      </w:r>
      <w:r w:rsidR="000A5329" w:rsidRPr="002029AF">
        <w:t xml:space="preserve"> </w:t>
      </w:r>
      <w:r w:rsidRPr="002029AF">
        <w:t>from</w:t>
      </w:r>
      <w:r w:rsidR="000A5329" w:rsidRPr="002029AF">
        <w:t xml:space="preserve"> </w:t>
      </w:r>
      <w:r w:rsidRPr="002029AF">
        <w:t>the</w:t>
      </w:r>
      <w:r w:rsidR="000A5329" w:rsidRPr="002029AF">
        <w:t xml:space="preserve"> </w:t>
      </w:r>
      <w:r w:rsidRPr="002029AF">
        <w:t>Victorian</w:t>
      </w:r>
      <w:r w:rsidR="000A5329" w:rsidRPr="002029AF">
        <w:t xml:space="preserve"> </w:t>
      </w:r>
      <w:r w:rsidRPr="002029AF">
        <w:t>and</w:t>
      </w:r>
      <w:r w:rsidR="000A5329" w:rsidRPr="002029AF">
        <w:t xml:space="preserve"> </w:t>
      </w:r>
      <w:r w:rsidRPr="002029AF">
        <w:t>Commonwealth</w:t>
      </w:r>
      <w:r w:rsidR="000A5329" w:rsidRPr="002029AF">
        <w:t xml:space="preserve"> </w:t>
      </w:r>
      <w:r w:rsidRPr="002029AF">
        <w:t>Governments</w:t>
      </w:r>
      <w:r w:rsidR="000A5329" w:rsidRPr="002029AF">
        <w:t xml:space="preserve"> </w:t>
      </w:r>
      <w:r w:rsidRPr="002029AF">
        <w:t>to</w:t>
      </w:r>
      <w:r w:rsidR="000A5329" w:rsidRPr="002029AF">
        <w:t xml:space="preserve"> </w:t>
      </w:r>
      <w:r w:rsidRPr="002029AF">
        <w:t>meet</w:t>
      </w:r>
      <w:r w:rsidR="000A5329" w:rsidRPr="002029AF">
        <w:t xml:space="preserve"> </w:t>
      </w:r>
      <w:r w:rsidRPr="002029AF">
        <w:t>coronavirus</w:t>
      </w:r>
      <w:r w:rsidR="000A5329" w:rsidRPr="002029AF">
        <w:t xml:space="preserve"> </w:t>
      </w:r>
      <w:r w:rsidR="007920F7" w:rsidRPr="002029AF">
        <w:br/>
      </w:r>
      <w:r w:rsidRPr="002029AF">
        <w:t>(COVID-19)-related</w:t>
      </w:r>
      <w:r w:rsidR="000A5329" w:rsidRPr="002029AF">
        <w:t xml:space="preserve"> </w:t>
      </w:r>
      <w:r w:rsidRPr="002029AF">
        <w:t>costs</w:t>
      </w:r>
      <w:r w:rsidR="000A5329" w:rsidRPr="002029AF">
        <w:t xml:space="preserve"> </w:t>
      </w:r>
      <w:r w:rsidRPr="002029AF">
        <w:t>and</w:t>
      </w:r>
      <w:r w:rsidR="000A5329" w:rsidRPr="002029AF">
        <w:t xml:space="preserve"> </w:t>
      </w:r>
      <w:r w:rsidRPr="002029AF">
        <w:t>to</w:t>
      </w:r>
      <w:r w:rsidR="000A5329" w:rsidRPr="002029AF">
        <w:t xml:space="preserve"> </w:t>
      </w:r>
      <w:r w:rsidRPr="002029AF">
        <w:t>provide</w:t>
      </w:r>
      <w:r w:rsidR="000A5329" w:rsidRPr="002029AF">
        <w:t xml:space="preserve"> </w:t>
      </w:r>
      <w:r w:rsidRPr="002029AF">
        <w:t>additional</w:t>
      </w:r>
      <w:r w:rsidR="000A5329" w:rsidRPr="002029AF">
        <w:t xml:space="preserve"> </w:t>
      </w:r>
      <w:r w:rsidRPr="002029AF">
        <w:t>funding</w:t>
      </w:r>
      <w:r w:rsidR="000A5329" w:rsidRPr="002029AF">
        <w:t xml:space="preserve"> </w:t>
      </w:r>
      <w:r w:rsidRPr="002029AF">
        <w:t>to</w:t>
      </w:r>
      <w:r w:rsidR="000A5329" w:rsidRPr="002029AF">
        <w:t xml:space="preserve"> </w:t>
      </w:r>
      <w:r w:rsidRPr="002029AF">
        <w:t>the</w:t>
      </w:r>
      <w:r w:rsidR="000A5329" w:rsidRPr="002029AF">
        <w:t xml:space="preserve"> </w:t>
      </w:r>
      <w:r w:rsidRPr="002029AF">
        <w:t>health</w:t>
      </w:r>
      <w:r w:rsidR="000A5329" w:rsidRPr="002029AF">
        <w:t xml:space="preserve"> </w:t>
      </w:r>
      <w:r w:rsidRPr="002029AF">
        <w:t>agencies</w:t>
      </w:r>
      <w:r w:rsidR="000A5329" w:rsidRPr="002029AF">
        <w:t xml:space="preserve"> </w:t>
      </w:r>
      <w:r w:rsidRPr="002029AF">
        <w:t>and</w:t>
      </w:r>
      <w:r w:rsidR="000A5329" w:rsidRPr="002029AF">
        <w:t xml:space="preserve"> </w:t>
      </w:r>
      <w:r w:rsidRPr="002029AF">
        <w:t>other</w:t>
      </w:r>
      <w:r w:rsidR="000A5329" w:rsidRPr="002029AF">
        <w:t xml:space="preserve"> </w:t>
      </w:r>
      <w:r w:rsidRPr="002029AF">
        <w:t>organisations</w:t>
      </w:r>
      <w:r w:rsidR="000A5329" w:rsidRPr="002029AF">
        <w:t xml:space="preserve"> </w:t>
      </w:r>
      <w:r w:rsidRPr="002029AF">
        <w:t>to</w:t>
      </w:r>
      <w:r w:rsidR="000A5329" w:rsidRPr="002029AF">
        <w:t xml:space="preserve"> </w:t>
      </w:r>
      <w:r w:rsidRPr="002029AF">
        <w:t>assist</w:t>
      </w:r>
      <w:r w:rsidR="000A5329" w:rsidRPr="002029AF">
        <w:t xml:space="preserve"> </w:t>
      </w:r>
      <w:r w:rsidRPr="002029AF">
        <w:t>with</w:t>
      </w:r>
      <w:r w:rsidR="000A5329" w:rsidRPr="002029AF">
        <w:t xml:space="preserve"> </w:t>
      </w:r>
      <w:r w:rsidRPr="002029AF">
        <w:t>their</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response.</w:t>
      </w:r>
    </w:p>
    <w:p w14:paraId="4D4EF280" w14:textId="3C6505A7" w:rsidR="00087B91" w:rsidRPr="002029AF" w:rsidRDefault="00087B91" w:rsidP="00087B91">
      <w:pPr>
        <w:pStyle w:val="Heading4"/>
      </w:pPr>
      <w:bookmarkStart w:id="281" w:name="_Toc39136689"/>
      <w:bookmarkStart w:id="282" w:name="_Toc39242133"/>
      <w:r w:rsidRPr="002029AF">
        <w:t>2.2</w:t>
      </w:r>
      <w:r w:rsidR="000A5329" w:rsidRPr="002029AF">
        <w:t xml:space="preserve"> </w:t>
      </w:r>
      <w:r w:rsidRPr="002029AF">
        <w:t>Appropriations</w:t>
      </w:r>
      <w:bookmarkEnd w:id="281"/>
      <w:bookmarkEnd w:id="282"/>
    </w:p>
    <w:p w14:paraId="68B9F0C3" w14:textId="7630D381" w:rsidR="00087B91" w:rsidRPr="002029AF" w:rsidRDefault="00087B91" w:rsidP="00087B91">
      <w:pPr>
        <w:pStyle w:val="ARfinbody"/>
      </w:pPr>
      <w:r w:rsidRPr="002029AF">
        <w:t>Once</w:t>
      </w:r>
      <w:r w:rsidR="000A5329" w:rsidRPr="002029AF">
        <w:t xml:space="preserve"> </w:t>
      </w:r>
      <w:r w:rsidRPr="002029AF">
        <w:t>annual</w:t>
      </w:r>
      <w:r w:rsidR="000A5329" w:rsidRPr="002029AF">
        <w:t xml:space="preserve"> </w:t>
      </w:r>
      <w:r w:rsidRPr="002029AF">
        <w:t>parliamentary</w:t>
      </w:r>
      <w:r w:rsidR="000A5329" w:rsidRPr="002029AF">
        <w:t xml:space="preserve"> </w:t>
      </w:r>
      <w:r w:rsidRPr="002029AF">
        <w:t>appropriations</w:t>
      </w:r>
      <w:r w:rsidR="000A5329" w:rsidRPr="002029AF">
        <w:t xml:space="preserve"> </w:t>
      </w:r>
      <w:r w:rsidRPr="002029AF">
        <w:t>are</w:t>
      </w:r>
      <w:r w:rsidR="000A5329" w:rsidRPr="002029AF">
        <w:t xml:space="preserve"> </w:t>
      </w:r>
      <w:r w:rsidRPr="002029AF">
        <w:t>applied</w:t>
      </w:r>
      <w:r w:rsidR="000A5329" w:rsidRPr="002029AF">
        <w:t xml:space="preserve"> </w:t>
      </w:r>
      <w:r w:rsidRPr="002029AF">
        <w:t>by</w:t>
      </w:r>
      <w:r w:rsidR="000A5329" w:rsidRPr="002029AF">
        <w:t xml:space="preserve"> </w:t>
      </w:r>
      <w:r w:rsidRPr="002029AF">
        <w:t>the</w:t>
      </w:r>
      <w:r w:rsidR="000A5329" w:rsidRPr="002029AF">
        <w:t xml:space="preserve"> </w:t>
      </w:r>
      <w:r w:rsidRPr="002029AF">
        <w:t>Treasurer,</w:t>
      </w:r>
      <w:r w:rsidR="000A5329" w:rsidRPr="002029AF">
        <w:t xml:space="preserve"> </w:t>
      </w:r>
      <w:r w:rsidRPr="002029AF">
        <w:t>they</w:t>
      </w:r>
      <w:r w:rsidR="000A5329" w:rsidRPr="002029AF">
        <w:t xml:space="preserve"> </w:t>
      </w:r>
      <w:r w:rsidRPr="002029AF">
        <w:t>become</w:t>
      </w:r>
      <w:r w:rsidR="000A5329" w:rsidRPr="002029AF">
        <w:t xml:space="preserve"> </w:t>
      </w:r>
      <w:r w:rsidRPr="002029AF">
        <w:t>controlled</w:t>
      </w:r>
      <w:r w:rsidR="000A5329" w:rsidRPr="002029AF">
        <w:t xml:space="preserve"> </w:t>
      </w:r>
      <w:r w:rsidRPr="002029AF">
        <w:t>by</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and</w:t>
      </w:r>
      <w:r w:rsidR="000A5329" w:rsidRPr="002029AF">
        <w:t xml:space="preserve"> </w:t>
      </w:r>
      <w:r w:rsidRPr="002029AF">
        <w:t>are</w:t>
      </w:r>
      <w:r w:rsidR="000A5329" w:rsidRPr="002029AF">
        <w:t xml:space="preserve"> </w:t>
      </w:r>
      <w:r w:rsidRPr="002029AF">
        <w:t>recognised</w:t>
      </w:r>
      <w:r w:rsidR="000A5329" w:rsidRPr="002029AF">
        <w:t xml:space="preserve"> </w:t>
      </w:r>
      <w:r w:rsidRPr="002029AF">
        <w:t>as</w:t>
      </w:r>
      <w:r w:rsidR="000A5329" w:rsidRPr="002029AF">
        <w:t xml:space="preserve"> </w:t>
      </w:r>
      <w:r w:rsidRPr="002029AF">
        <w:t>income</w:t>
      </w:r>
      <w:r w:rsidR="000A5329" w:rsidRPr="002029AF">
        <w:t xml:space="preserve"> </w:t>
      </w:r>
      <w:r w:rsidRPr="002029AF">
        <w:t>when</w:t>
      </w:r>
      <w:r w:rsidR="000A5329" w:rsidRPr="002029AF">
        <w:t xml:space="preserve"> </w:t>
      </w:r>
      <w:r w:rsidRPr="002029AF">
        <w:t>applied</w:t>
      </w:r>
      <w:r w:rsidR="000A5329" w:rsidRPr="002029AF">
        <w:t xml:space="preserve"> </w:t>
      </w:r>
      <w:r w:rsidRPr="002029AF">
        <w:t>to</w:t>
      </w:r>
      <w:r w:rsidR="000A5329" w:rsidRPr="002029AF">
        <w:t xml:space="preserve"> </w:t>
      </w:r>
      <w:r w:rsidRPr="002029AF">
        <w:t>the</w:t>
      </w:r>
      <w:r w:rsidR="000A5329" w:rsidRPr="002029AF">
        <w:t xml:space="preserve"> </w:t>
      </w:r>
      <w:r w:rsidRPr="002029AF">
        <w:t>purposes</w:t>
      </w:r>
      <w:r w:rsidR="000A5329" w:rsidRPr="002029AF">
        <w:t xml:space="preserve"> </w:t>
      </w:r>
      <w:r w:rsidRPr="002029AF">
        <w:t>defined</w:t>
      </w:r>
      <w:r w:rsidR="000A5329" w:rsidRPr="002029AF">
        <w:t xml:space="preserve"> </w:t>
      </w:r>
      <w:r w:rsidRPr="002029AF">
        <w:t>under</w:t>
      </w:r>
      <w:r w:rsidR="000A5329" w:rsidRPr="002029AF">
        <w:t xml:space="preserve"> </w:t>
      </w:r>
      <w:r w:rsidRPr="002029AF">
        <w:t>the</w:t>
      </w:r>
      <w:r w:rsidR="000A5329" w:rsidRPr="002029AF">
        <w:t xml:space="preserve"> </w:t>
      </w:r>
      <w:r w:rsidRPr="002029AF">
        <w:t>relevant</w:t>
      </w:r>
      <w:r w:rsidR="000A5329" w:rsidRPr="002029AF">
        <w:t xml:space="preserve"> </w:t>
      </w:r>
      <w:r w:rsidRPr="002029AF">
        <w:t>Appropriations</w:t>
      </w:r>
      <w:r w:rsidR="000A5329" w:rsidRPr="002029AF">
        <w:t xml:space="preserve"> </w:t>
      </w:r>
      <w:r w:rsidRPr="002029AF">
        <w:t>Act.</w:t>
      </w:r>
    </w:p>
    <w:p w14:paraId="405667FE" w14:textId="692D7B9A" w:rsidR="00087B91" w:rsidRPr="002029AF" w:rsidRDefault="00087B91" w:rsidP="00087B91">
      <w:pPr>
        <w:pStyle w:val="ARfinbody"/>
      </w:pPr>
      <w:r w:rsidRPr="002029AF">
        <w:rPr>
          <w:rStyle w:val="Strong"/>
        </w:rPr>
        <w:t>Output</w:t>
      </w:r>
      <w:r w:rsidR="000A5329" w:rsidRPr="002029AF">
        <w:rPr>
          <w:rStyle w:val="Strong"/>
        </w:rPr>
        <w:t xml:space="preserve"> </w:t>
      </w:r>
      <w:r w:rsidRPr="002029AF">
        <w:rPr>
          <w:rStyle w:val="Strong"/>
        </w:rPr>
        <w:t>appropriations:</w:t>
      </w:r>
      <w:r w:rsidR="000A5329" w:rsidRPr="002029AF">
        <w:t xml:space="preserve"> </w:t>
      </w:r>
      <w:r w:rsidRPr="002029AF">
        <w:t>Income</w:t>
      </w:r>
      <w:r w:rsidR="000A5329" w:rsidRPr="002029AF">
        <w:t xml:space="preserve"> </w:t>
      </w:r>
      <w:r w:rsidRPr="002029AF">
        <w:t>from</w:t>
      </w:r>
      <w:r w:rsidR="000A5329" w:rsidRPr="002029AF">
        <w:t xml:space="preserve"> </w:t>
      </w:r>
      <w:r w:rsidRPr="002029AF">
        <w:t>the</w:t>
      </w:r>
      <w:r w:rsidR="000A5329" w:rsidRPr="002029AF">
        <w:t xml:space="preserve"> </w:t>
      </w:r>
      <w:r w:rsidRPr="002029AF">
        <w:t>outputs</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provides</w:t>
      </w:r>
      <w:r w:rsidR="000A5329" w:rsidRPr="002029AF">
        <w:t xml:space="preserve"> </w:t>
      </w:r>
      <w:r w:rsidRPr="002029AF">
        <w:t>to</w:t>
      </w:r>
      <w:r w:rsidR="000A5329" w:rsidRPr="002029AF">
        <w:t xml:space="preserve"> </w:t>
      </w:r>
      <w:r w:rsidRPr="002029AF">
        <w:t>the</w:t>
      </w:r>
      <w:r w:rsidR="000A5329" w:rsidRPr="002029AF">
        <w:t xml:space="preserve"> </w:t>
      </w:r>
      <w:r w:rsidRPr="002029AF">
        <w:t>government</w:t>
      </w:r>
      <w:r w:rsidR="000A5329" w:rsidRPr="002029AF">
        <w:t xml:space="preserve"> </w:t>
      </w:r>
      <w:r w:rsidRPr="002029AF">
        <w:t>is</w:t>
      </w:r>
      <w:r w:rsidR="000A5329" w:rsidRPr="002029AF">
        <w:t xml:space="preserve"> </w:t>
      </w:r>
      <w:r w:rsidRPr="002029AF">
        <w:t>recognised</w:t>
      </w:r>
      <w:r w:rsidR="000A5329" w:rsidRPr="002029AF">
        <w:t xml:space="preserve"> </w:t>
      </w:r>
      <w:r w:rsidRPr="002029AF">
        <w:t>when</w:t>
      </w:r>
      <w:r w:rsidR="000A5329" w:rsidRPr="002029AF">
        <w:t xml:space="preserve"> </w:t>
      </w:r>
      <w:r w:rsidRPr="002029AF">
        <w:t>those</w:t>
      </w:r>
      <w:r w:rsidR="000A5329" w:rsidRPr="002029AF">
        <w:t xml:space="preserve"> </w:t>
      </w:r>
      <w:r w:rsidRPr="002029AF">
        <w:t>outputs</w:t>
      </w:r>
      <w:r w:rsidR="000A5329" w:rsidRPr="002029AF">
        <w:t xml:space="preserve"> </w:t>
      </w:r>
      <w:r w:rsidRPr="002029AF">
        <w:t>have</w:t>
      </w:r>
      <w:r w:rsidR="000A5329" w:rsidRPr="002029AF">
        <w:t xml:space="preserve"> </w:t>
      </w:r>
      <w:r w:rsidRPr="002029AF">
        <w:t>been</w:t>
      </w:r>
      <w:r w:rsidR="000A5329" w:rsidRPr="002029AF">
        <w:t xml:space="preserve"> </w:t>
      </w:r>
      <w:r w:rsidRPr="002029AF">
        <w:t>delivered</w:t>
      </w:r>
      <w:r w:rsidR="000A5329" w:rsidRPr="002029AF">
        <w:t xml:space="preserve"> </w:t>
      </w:r>
      <w:r w:rsidRPr="002029AF">
        <w:t>and</w:t>
      </w:r>
      <w:r w:rsidR="000A5329" w:rsidRPr="002029AF">
        <w:t xml:space="preserve"> </w:t>
      </w:r>
      <w:r w:rsidRPr="002029AF">
        <w:t>the</w:t>
      </w:r>
      <w:r w:rsidR="000A5329" w:rsidRPr="002029AF">
        <w:t xml:space="preserve"> </w:t>
      </w:r>
      <w:r w:rsidRPr="002029AF">
        <w:t>relevant</w:t>
      </w:r>
      <w:r w:rsidR="000A5329" w:rsidRPr="002029AF">
        <w:t xml:space="preserve"> </w:t>
      </w:r>
      <w:r w:rsidRPr="002029AF">
        <w:t>Minister</w:t>
      </w:r>
      <w:r w:rsidR="000A5329" w:rsidRPr="002029AF">
        <w:t xml:space="preserve"> </w:t>
      </w:r>
      <w:r w:rsidRPr="002029AF">
        <w:t>has</w:t>
      </w:r>
      <w:r w:rsidR="000A5329" w:rsidRPr="002029AF">
        <w:t xml:space="preserve"> </w:t>
      </w:r>
      <w:r w:rsidRPr="002029AF">
        <w:t>certified</w:t>
      </w:r>
      <w:r w:rsidR="000A5329" w:rsidRPr="002029AF">
        <w:t xml:space="preserve"> </w:t>
      </w:r>
      <w:r w:rsidRPr="002029AF">
        <w:t>delivery</w:t>
      </w:r>
      <w:r w:rsidR="000A5329" w:rsidRPr="002029AF">
        <w:t xml:space="preserve"> </w:t>
      </w:r>
      <w:r w:rsidRPr="002029AF">
        <w:t>of</w:t>
      </w:r>
      <w:r w:rsidR="000A5329" w:rsidRPr="002029AF">
        <w:t xml:space="preserve"> </w:t>
      </w:r>
      <w:r w:rsidRPr="002029AF">
        <w:t>those</w:t>
      </w:r>
      <w:r w:rsidR="000A5329" w:rsidRPr="002029AF">
        <w:t xml:space="preserve"> </w:t>
      </w:r>
      <w:r w:rsidRPr="002029AF">
        <w:t>outputs</w:t>
      </w:r>
      <w:r w:rsidR="000A5329" w:rsidRPr="002029AF">
        <w:t xml:space="preserve"> </w:t>
      </w:r>
      <w:r w:rsidRPr="002029AF">
        <w:t>in</w:t>
      </w:r>
      <w:r w:rsidR="000A5329" w:rsidRPr="002029AF">
        <w:t xml:space="preserve"> </w:t>
      </w:r>
      <w:r w:rsidRPr="002029AF">
        <w:t>accordance</w:t>
      </w:r>
      <w:r w:rsidR="000A5329" w:rsidRPr="002029AF">
        <w:t xml:space="preserve"> </w:t>
      </w:r>
      <w:r w:rsidRPr="002029AF">
        <w:t>with</w:t>
      </w:r>
      <w:r w:rsidR="000A5329" w:rsidRPr="002029AF">
        <w:t xml:space="preserve"> </w:t>
      </w:r>
      <w:r w:rsidRPr="002029AF">
        <w:t>specified</w:t>
      </w:r>
      <w:r w:rsidR="000A5329" w:rsidRPr="002029AF">
        <w:t xml:space="preserve"> </w:t>
      </w:r>
      <w:r w:rsidRPr="002029AF">
        <w:t>performance</w:t>
      </w:r>
      <w:r w:rsidR="000A5329" w:rsidRPr="002029AF">
        <w:t xml:space="preserve"> </w:t>
      </w:r>
      <w:r w:rsidRPr="002029AF">
        <w:t>criteria.</w:t>
      </w:r>
    </w:p>
    <w:p w14:paraId="4DE05E7A" w14:textId="3D5F4BD0" w:rsidR="00087B91" w:rsidRPr="002029AF" w:rsidRDefault="00087B91" w:rsidP="00087B91">
      <w:pPr>
        <w:pStyle w:val="ARfinbody"/>
        <w:sectPr w:rsidR="00087B91" w:rsidRPr="002029AF" w:rsidSect="007260D7">
          <w:headerReference w:type="even" r:id="rId198"/>
          <w:headerReference w:type="default" r:id="rId199"/>
          <w:footerReference w:type="even" r:id="rId200"/>
          <w:footerReference w:type="default" r:id="rId201"/>
          <w:headerReference w:type="first" r:id="rId202"/>
          <w:footerReference w:type="first" r:id="rId203"/>
          <w:pgSz w:w="11906" w:h="16838" w:code="9"/>
          <w:pgMar w:top="1531" w:right="851" w:bottom="851" w:left="1418" w:header="510" w:footer="340" w:gutter="0"/>
          <w:cols w:space="708"/>
          <w:docGrid w:linePitch="360"/>
          <w15:footnoteColumns w:val="1"/>
        </w:sectPr>
      </w:pPr>
      <w:r w:rsidRPr="002029AF">
        <w:rPr>
          <w:rStyle w:val="Strong"/>
        </w:rPr>
        <w:t>Special</w:t>
      </w:r>
      <w:r w:rsidR="000A5329" w:rsidRPr="002029AF">
        <w:rPr>
          <w:rStyle w:val="Strong"/>
        </w:rPr>
        <w:t xml:space="preserve"> </w:t>
      </w:r>
      <w:r w:rsidRPr="002029AF">
        <w:rPr>
          <w:rStyle w:val="Strong"/>
        </w:rPr>
        <w:t>appropriations:</w:t>
      </w:r>
      <w:r w:rsidR="000A5329" w:rsidRPr="002029AF">
        <w:t xml:space="preserve"> </w:t>
      </w:r>
      <w:r w:rsidRPr="002029AF">
        <w:t>Under</w:t>
      </w:r>
      <w:r w:rsidR="000A5329" w:rsidRPr="002029AF">
        <w:t xml:space="preserve"> </w:t>
      </w:r>
      <w:r w:rsidRPr="002029AF">
        <w:t>ss.</w:t>
      </w:r>
      <w:r w:rsidR="000A5329" w:rsidRPr="002029AF">
        <w:t xml:space="preserve"> </w:t>
      </w:r>
      <w:r w:rsidRPr="002029AF">
        <w:t>3.6.11,</w:t>
      </w:r>
      <w:r w:rsidR="000A5329" w:rsidRPr="002029AF">
        <w:t xml:space="preserve"> </w:t>
      </w:r>
      <w:r w:rsidRPr="002029AF">
        <w:t>4.4.11,</w:t>
      </w:r>
      <w:r w:rsidR="000A5329" w:rsidRPr="002029AF">
        <w:t xml:space="preserve"> </w:t>
      </w:r>
      <w:r w:rsidRPr="002029AF">
        <w:t>4.6.8,</w:t>
      </w:r>
      <w:r w:rsidR="000A5329" w:rsidRPr="002029AF">
        <w:t xml:space="preserve"> </w:t>
      </w:r>
      <w:r w:rsidRPr="002029AF">
        <w:t>5.4.6,</w:t>
      </w:r>
      <w:r w:rsidR="000A5329" w:rsidRPr="002029AF">
        <w:t xml:space="preserve"> </w:t>
      </w:r>
      <w:r w:rsidRPr="002029AF">
        <w:t>and</w:t>
      </w:r>
      <w:r w:rsidR="000A5329" w:rsidRPr="002029AF">
        <w:t xml:space="preserve"> </w:t>
      </w:r>
      <w:r w:rsidRPr="002029AF">
        <w:t>6A.4.4(1)</w:t>
      </w:r>
      <w:r w:rsidR="000A5329" w:rsidRPr="002029AF">
        <w:t xml:space="preserve"> </w:t>
      </w:r>
      <w:r w:rsidRPr="002029AF">
        <w:t>of</w:t>
      </w:r>
      <w:r w:rsidR="000A5329" w:rsidRPr="002029AF">
        <w:t xml:space="preserve"> </w:t>
      </w:r>
      <w:r w:rsidRPr="002029AF">
        <w:t>the</w:t>
      </w:r>
      <w:r w:rsidR="000A5329" w:rsidRPr="002029AF">
        <w:t xml:space="preserve"> </w:t>
      </w:r>
      <w:r w:rsidRPr="002029AF">
        <w:rPr>
          <w:rStyle w:val="Emphasis"/>
        </w:rPr>
        <w:t>Gambling</w:t>
      </w:r>
      <w:r w:rsidR="000A5329" w:rsidRPr="002029AF">
        <w:rPr>
          <w:rStyle w:val="Emphasis"/>
        </w:rPr>
        <w:t xml:space="preserve"> </w:t>
      </w:r>
      <w:r w:rsidRPr="002029AF">
        <w:rPr>
          <w:rStyle w:val="Emphasis"/>
        </w:rPr>
        <w:t>Regulation</w:t>
      </w:r>
      <w:r w:rsidR="000A5329" w:rsidRPr="002029AF">
        <w:rPr>
          <w:rStyle w:val="Emphasis"/>
        </w:rPr>
        <w:t xml:space="preserve"> </w:t>
      </w:r>
      <w:r w:rsidRPr="002029AF">
        <w:rPr>
          <w:rStyle w:val="Emphasis"/>
        </w:rPr>
        <w:t>Act</w:t>
      </w:r>
      <w:r w:rsidR="000A5329" w:rsidRPr="002029AF">
        <w:rPr>
          <w:rStyle w:val="Emphasis"/>
        </w:rPr>
        <w:t xml:space="preserve"> </w:t>
      </w:r>
      <w:r w:rsidRPr="002029AF">
        <w:rPr>
          <w:rStyle w:val="Emphasis"/>
        </w:rPr>
        <w:t>No.</w:t>
      </w:r>
      <w:r w:rsidR="000A5329" w:rsidRPr="002029AF">
        <w:rPr>
          <w:rStyle w:val="Emphasis"/>
        </w:rPr>
        <w:t xml:space="preserve"> </w:t>
      </w:r>
      <w:r w:rsidRPr="002029AF">
        <w:rPr>
          <w:rStyle w:val="Emphasis"/>
        </w:rPr>
        <w:t>114</w:t>
      </w:r>
      <w:r w:rsidR="000A5329" w:rsidRPr="002029AF">
        <w:rPr>
          <w:rStyle w:val="Emphasis"/>
        </w:rPr>
        <w:t xml:space="preserve"> </w:t>
      </w:r>
      <w:r w:rsidRPr="002029AF">
        <w:rPr>
          <w:rStyle w:val="Emphasis"/>
        </w:rPr>
        <w:t>of</w:t>
      </w:r>
      <w:r w:rsidR="000A5329" w:rsidRPr="002029AF">
        <w:rPr>
          <w:rStyle w:val="Emphasis"/>
        </w:rPr>
        <w:t xml:space="preserve"> </w:t>
      </w:r>
      <w:r w:rsidRPr="002029AF">
        <w:rPr>
          <w:rStyle w:val="Emphasis"/>
        </w:rPr>
        <w:t>2003</w:t>
      </w:r>
      <w:r w:rsidRPr="002029AF">
        <w:t>,</w:t>
      </w:r>
      <w:r w:rsidR="000A5329" w:rsidRPr="002029AF">
        <w:t xml:space="preserve"> </w:t>
      </w:r>
      <w:r w:rsidRPr="002029AF">
        <w:t>and</w:t>
      </w:r>
      <w:r w:rsidR="000A5329" w:rsidRPr="002029AF">
        <w:t xml:space="preserve"> </w:t>
      </w:r>
      <w:r w:rsidRPr="002029AF">
        <w:t>s.</w:t>
      </w:r>
      <w:r w:rsidR="007920F7" w:rsidRPr="002029AF">
        <w:t> </w:t>
      </w:r>
      <w:r w:rsidRPr="002029AF">
        <w:t>114</w:t>
      </w:r>
      <w:r w:rsidR="000A5329" w:rsidRPr="002029AF">
        <w:t xml:space="preserve"> </w:t>
      </w:r>
      <w:r w:rsidRPr="002029AF">
        <w:t>of</w:t>
      </w:r>
      <w:r w:rsidR="000A5329" w:rsidRPr="002029AF">
        <w:t xml:space="preserve"> </w:t>
      </w:r>
      <w:r w:rsidRPr="002029AF">
        <w:t>the</w:t>
      </w:r>
      <w:r w:rsidR="000A5329" w:rsidRPr="002029AF">
        <w:t xml:space="preserve"> </w:t>
      </w:r>
      <w:r w:rsidRPr="002029AF">
        <w:rPr>
          <w:rStyle w:val="Emphasis"/>
        </w:rPr>
        <w:t>Casino</w:t>
      </w:r>
      <w:r w:rsidR="000A5329" w:rsidRPr="002029AF">
        <w:rPr>
          <w:rStyle w:val="Emphasis"/>
        </w:rPr>
        <w:t xml:space="preserve"> </w:t>
      </w:r>
      <w:r w:rsidRPr="002029AF">
        <w:rPr>
          <w:rStyle w:val="Emphasis"/>
        </w:rPr>
        <w:t>Control</w:t>
      </w:r>
      <w:r w:rsidR="000A5329" w:rsidRPr="002029AF">
        <w:rPr>
          <w:rStyle w:val="Emphasis"/>
        </w:rPr>
        <w:t xml:space="preserve"> </w:t>
      </w:r>
      <w:r w:rsidRPr="002029AF">
        <w:rPr>
          <w:rStyle w:val="Emphasis"/>
        </w:rPr>
        <w:t>Act</w:t>
      </w:r>
      <w:r w:rsidR="000A5329" w:rsidRPr="002029AF">
        <w:rPr>
          <w:rStyle w:val="Emphasis"/>
        </w:rPr>
        <w:t xml:space="preserve"> </w:t>
      </w:r>
      <w:r w:rsidRPr="002029AF">
        <w:rPr>
          <w:rStyle w:val="Emphasis"/>
        </w:rPr>
        <w:t>No.</w:t>
      </w:r>
      <w:r w:rsidR="000A5329" w:rsidRPr="002029AF">
        <w:rPr>
          <w:rStyle w:val="Emphasis"/>
        </w:rPr>
        <w:t xml:space="preserve"> </w:t>
      </w:r>
      <w:r w:rsidRPr="002029AF">
        <w:rPr>
          <w:rStyle w:val="Emphasis"/>
        </w:rPr>
        <w:t>47</w:t>
      </w:r>
      <w:r w:rsidR="000A5329" w:rsidRPr="002029AF">
        <w:rPr>
          <w:rStyle w:val="Emphasis"/>
        </w:rPr>
        <w:t xml:space="preserve"> </w:t>
      </w:r>
      <w:r w:rsidRPr="002029AF">
        <w:rPr>
          <w:rStyle w:val="Emphasis"/>
        </w:rPr>
        <w:t>of</w:t>
      </w:r>
      <w:r w:rsidR="000A5329" w:rsidRPr="002029AF">
        <w:rPr>
          <w:rStyle w:val="Emphasis"/>
        </w:rPr>
        <w:t xml:space="preserve"> </w:t>
      </w:r>
      <w:r w:rsidRPr="002029AF">
        <w:rPr>
          <w:rStyle w:val="Emphasis"/>
        </w:rPr>
        <w:t>1991</w:t>
      </w:r>
      <w:r w:rsidRPr="002029AF">
        <w:t>,</w:t>
      </w:r>
      <w:r w:rsidR="000A5329" w:rsidRPr="002029AF">
        <w:t xml:space="preserve"> </w:t>
      </w:r>
      <w:r w:rsidRPr="002029AF">
        <w:t>income</w:t>
      </w:r>
      <w:r w:rsidR="000A5329" w:rsidRPr="002029AF">
        <w:t xml:space="preserve"> </w:t>
      </w:r>
      <w:r w:rsidRPr="002029AF">
        <w:t>related</w:t>
      </w:r>
      <w:r w:rsidR="000A5329" w:rsidRPr="002029AF">
        <w:t xml:space="preserve"> </w:t>
      </w:r>
      <w:r w:rsidRPr="002029AF">
        <w:t>to</w:t>
      </w:r>
      <w:r w:rsidR="000A5329" w:rsidRPr="002029AF">
        <w:t xml:space="preserve"> </w:t>
      </w:r>
      <w:r w:rsidRPr="002029AF">
        <w:t>the</w:t>
      </w:r>
      <w:r w:rsidR="000A5329" w:rsidRPr="002029AF">
        <w:t xml:space="preserve"> </w:t>
      </w:r>
      <w:r w:rsidRPr="002029AF">
        <w:t>Hospitals</w:t>
      </w:r>
      <w:r w:rsidR="000A5329" w:rsidRPr="002029AF">
        <w:t xml:space="preserve"> </w:t>
      </w:r>
      <w:r w:rsidRPr="002029AF">
        <w:t>and</w:t>
      </w:r>
      <w:r w:rsidR="000A5329" w:rsidRPr="002029AF">
        <w:t xml:space="preserve"> </w:t>
      </w:r>
      <w:r w:rsidRPr="002029AF">
        <w:t>Charities</w:t>
      </w:r>
      <w:r w:rsidR="000A5329" w:rsidRPr="002029AF">
        <w:t xml:space="preserve"> </w:t>
      </w:r>
      <w:r w:rsidRPr="002029AF">
        <w:t>Fund</w:t>
      </w:r>
      <w:r w:rsidR="000A5329" w:rsidRPr="002029AF">
        <w:t xml:space="preserve"> </w:t>
      </w:r>
      <w:r w:rsidRPr="002029AF">
        <w:t>and</w:t>
      </w:r>
      <w:r w:rsidR="000A5329" w:rsidRPr="002029AF">
        <w:t xml:space="preserve"> </w:t>
      </w:r>
      <w:r w:rsidRPr="002029AF">
        <w:t>Mental</w:t>
      </w:r>
      <w:r w:rsidR="000A5329" w:rsidRPr="002029AF">
        <w:t xml:space="preserve"> </w:t>
      </w:r>
      <w:r w:rsidRPr="002029AF">
        <w:t>Health</w:t>
      </w:r>
      <w:r w:rsidR="000A5329" w:rsidRPr="002029AF">
        <w:t xml:space="preserve"> </w:t>
      </w:r>
      <w:r w:rsidRPr="002029AF">
        <w:t>Fund</w:t>
      </w:r>
      <w:r w:rsidR="000A5329" w:rsidRPr="002029AF">
        <w:t xml:space="preserve"> </w:t>
      </w:r>
      <w:r w:rsidRPr="002029AF">
        <w:t>is</w:t>
      </w:r>
      <w:r w:rsidR="000A5329" w:rsidRPr="002029AF">
        <w:t xml:space="preserve"> </w:t>
      </w:r>
      <w:r w:rsidRPr="002029AF">
        <w:t>recognised</w:t>
      </w:r>
      <w:r w:rsidR="000A5329" w:rsidRPr="002029AF">
        <w:t xml:space="preserve"> </w:t>
      </w:r>
      <w:r w:rsidRPr="002029AF">
        <w:t>when</w:t>
      </w:r>
      <w:r w:rsidR="000A5329" w:rsidRPr="002029AF">
        <w:t xml:space="preserve"> </w:t>
      </w:r>
      <w:r w:rsidRPr="002029AF">
        <w:t>the</w:t>
      </w:r>
      <w:r w:rsidR="000A5329" w:rsidRPr="002029AF">
        <w:t xml:space="preserve"> </w:t>
      </w:r>
      <w:r w:rsidRPr="002029AF">
        <w:t>amounts</w:t>
      </w:r>
      <w:r w:rsidR="000A5329" w:rsidRPr="002029AF">
        <w:t xml:space="preserve"> </w:t>
      </w:r>
      <w:r w:rsidRPr="002029AF">
        <w:t>appropriated</w:t>
      </w:r>
      <w:r w:rsidR="000A5329" w:rsidRPr="002029AF">
        <w:t xml:space="preserve"> </w:t>
      </w:r>
      <w:r w:rsidRPr="002029AF">
        <w:t>for</w:t>
      </w:r>
      <w:r w:rsidR="000A5329" w:rsidRPr="002029AF">
        <w:t xml:space="preserve"> </w:t>
      </w:r>
      <w:r w:rsidRPr="002029AF">
        <w:t>that</w:t>
      </w:r>
      <w:r w:rsidR="000A5329" w:rsidRPr="002029AF">
        <w:t xml:space="preserve"> </w:t>
      </w:r>
      <w:r w:rsidRPr="002029AF">
        <w:t>purpose</w:t>
      </w:r>
      <w:r w:rsidR="000A5329" w:rsidRPr="002029AF">
        <w:t xml:space="preserve"> </w:t>
      </w:r>
      <w:r w:rsidRPr="002029AF">
        <w:t>are</w:t>
      </w:r>
      <w:r w:rsidR="000A5329" w:rsidRPr="002029AF">
        <w:t xml:space="preserve"> </w:t>
      </w:r>
      <w:r w:rsidRPr="002029AF">
        <w:t>due</w:t>
      </w:r>
      <w:r w:rsidR="000A5329" w:rsidRPr="002029AF">
        <w:t xml:space="preserve"> </w:t>
      </w:r>
      <w:r w:rsidRPr="002029AF">
        <w:t>and</w:t>
      </w:r>
      <w:r w:rsidR="000A5329" w:rsidRPr="002029AF">
        <w:t xml:space="preserve"> </w:t>
      </w:r>
      <w:r w:rsidRPr="002029AF">
        <w:t>payable</w:t>
      </w:r>
      <w:r w:rsidR="000A5329" w:rsidRPr="002029AF">
        <w:t xml:space="preserve"> </w:t>
      </w:r>
      <w:r w:rsidRPr="002029AF">
        <w:t>by</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also</w:t>
      </w:r>
      <w:r w:rsidR="000A5329" w:rsidRPr="002029AF">
        <w:t xml:space="preserve"> </w:t>
      </w:r>
      <w:r w:rsidRPr="002029AF">
        <w:t>receives</w:t>
      </w:r>
      <w:r w:rsidR="000A5329" w:rsidRPr="002029AF">
        <w:t xml:space="preserve"> </w:t>
      </w:r>
      <w:r w:rsidRPr="002029AF">
        <w:t>special</w:t>
      </w:r>
      <w:r w:rsidR="000A5329" w:rsidRPr="002029AF">
        <w:t xml:space="preserve"> </w:t>
      </w:r>
      <w:r w:rsidRPr="002029AF">
        <w:t>appropriations</w:t>
      </w:r>
      <w:r w:rsidR="000A5329" w:rsidRPr="002029AF">
        <w:t xml:space="preserve"> </w:t>
      </w:r>
      <w:r w:rsidRPr="002029AF">
        <w:t>for</w:t>
      </w:r>
      <w:r w:rsidR="000A5329" w:rsidRPr="002029AF">
        <w:t xml:space="preserve"> </w:t>
      </w:r>
      <w:r w:rsidRPr="002029AF">
        <w:t>various</w:t>
      </w:r>
      <w:r w:rsidR="000A5329" w:rsidRPr="002029AF">
        <w:t xml:space="preserve"> </w:t>
      </w:r>
      <w:r w:rsidRPr="002029AF">
        <w:t>purposes</w:t>
      </w:r>
      <w:r w:rsidR="000A5329" w:rsidRPr="002029AF">
        <w:t xml:space="preserve"> </w:t>
      </w:r>
      <w:r w:rsidRPr="002029AF">
        <w:t>approved</w:t>
      </w:r>
      <w:r w:rsidR="000A5329" w:rsidRPr="002029AF">
        <w:t xml:space="preserve"> </w:t>
      </w:r>
      <w:r w:rsidRPr="002029AF">
        <w:t>under</w:t>
      </w:r>
      <w:r w:rsidR="000A5329" w:rsidRPr="002029AF">
        <w:t xml:space="preserve"> </w:t>
      </w:r>
      <w:r w:rsidRPr="002029AF">
        <w:t>s.</w:t>
      </w:r>
      <w:r w:rsidR="000A5329" w:rsidRPr="002029AF">
        <w:t xml:space="preserve"> </w:t>
      </w:r>
      <w:r w:rsidRPr="002029AF">
        <w:t>10</w:t>
      </w:r>
      <w:r w:rsidR="000A5329" w:rsidRPr="002029AF">
        <w:t xml:space="preserve"> </w:t>
      </w:r>
      <w:r w:rsidRPr="002029AF">
        <w:t>of</w:t>
      </w:r>
      <w:r w:rsidR="000A5329" w:rsidRPr="002029AF">
        <w:t xml:space="preserve"> </w:t>
      </w:r>
      <w:r w:rsidRPr="002029AF">
        <w:t>the</w:t>
      </w:r>
      <w:r w:rsidR="000A5329" w:rsidRPr="002029AF">
        <w:t xml:space="preserve"> </w:t>
      </w:r>
      <w:r w:rsidRPr="002029AF">
        <w:rPr>
          <w:rStyle w:val="Emphasis"/>
        </w:rPr>
        <w:t>Financial</w:t>
      </w:r>
      <w:r w:rsidR="000A5329" w:rsidRPr="002029AF">
        <w:rPr>
          <w:rStyle w:val="Emphasis"/>
        </w:rPr>
        <w:t xml:space="preserve"> </w:t>
      </w:r>
      <w:r w:rsidRPr="002029AF">
        <w:rPr>
          <w:rStyle w:val="Emphasis"/>
        </w:rPr>
        <w:t>Management</w:t>
      </w:r>
      <w:r w:rsidR="000A5329" w:rsidRPr="002029AF">
        <w:rPr>
          <w:rStyle w:val="Emphasis"/>
        </w:rPr>
        <w:t xml:space="preserve"> </w:t>
      </w:r>
      <w:r w:rsidRPr="002029AF">
        <w:rPr>
          <w:rStyle w:val="Emphasis"/>
        </w:rPr>
        <w:t>Act</w:t>
      </w:r>
      <w:r w:rsidR="000A5329" w:rsidRPr="002029AF">
        <w:rPr>
          <w:rStyle w:val="Emphasis"/>
        </w:rPr>
        <w:t xml:space="preserve"> </w:t>
      </w:r>
      <w:r w:rsidRPr="002029AF">
        <w:rPr>
          <w:rStyle w:val="Emphasis"/>
        </w:rPr>
        <w:t>1994</w:t>
      </w:r>
      <w:r w:rsidRPr="002029AF">
        <w:t>.</w:t>
      </w:r>
    </w:p>
    <w:p w14:paraId="33955B0B" w14:textId="0F503681" w:rsidR="00087B91" w:rsidRPr="002029AF" w:rsidRDefault="00087B91" w:rsidP="00087B91">
      <w:pPr>
        <w:pStyle w:val="Heading4"/>
        <w:spacing w:before="0"/>
      </w:pPr>
      <w:bookmarkStart w:id="283" w:name="_Toc39136690"/>
      <w:bookmarkStart w:id="284" w:name="_Toc39242134"/>
      <w:bookmarkStart w:id="285" w:name="_Ref51926805"/>
      <w:bookmarkStart w:id="286" w:name="_Ref52454661"/>
      <w:r w:rsidRPr="002029AF">
        <w:lastRenderedPageBreak/>
        <w:t>2.3</w:t>
      </w:r>
      <w:r w:rsidR="000A5329" w:rsidRPr="002029AF">
        <w:t xml:space="preserve"> </w:t>
      </w:r>
      <w:r w:rsidRPr="002029AF">
        <w:t>Summary</w:t>
      </w:r>
      <w:r w:rsidR="000A5329" w:rsidRPr="002029AF">
        <w:t xml:space="preserve"> </w:t>
      </w:r>
      <w:r w:rsidRPr="002029AF">
        <w:t>of</w:t>
      </w:r>
      <w:r w:rsidR="000A5329" w:rsidRPr="002029AF">
        <w:t xml:space="preserve"> </w:t>
      </w:r>
      <w:r w:rsidRPr="002029AF">
        <w:t>compliance</w:t>
      </w:r>
      <w:r w:rsidR="000A5329" w:rsidRPr="002029AF">
        <w:t xml:space="preserve"> </w:t>
      </w:r>
      <w:r w:rsidRPr="002029AF">
        <w:t>with</w:t>
      </w:r>
      <w:r w:rsidR="000A5329" w:rsidRPr="002029AF">
        <w:t xml:space="preserve"> </w:t>
      </w:r>
      <w:r w:rsidRPr="002029AF">
        <w:t>annual</w:t>
      </w:r>
      <w:r w:rsidR="000A5329" w:rsidRPr="002029AF">
        <w:t xml:space="preserve"> </w:t>
      </w:r>
      <w:r w:rsidRPr="002029AF">
        <w:t>parliamentary</w:t>
      </w:r>
      <w:r w:rsidR="000A5329" w:rsidRPr="002029AF">
        <w:t xml:space="preserve"> </w:t>
      </w:r>
      <w:r w:rsidRPr="002029AF">
        <w:t>and</w:t>
      </w:r>
      <w:r w:rsidR="000A5329" w:rsidRPr="002029AF">
        <w:t xml:space="preserve"> </w:t>
      </w:r>
      <w:r w:rsidRPr="002029AF">
        <w:t>special</w:t>
      </w:r>
      <w:r w:rsidR="000A5329" w:rsidRPr="002029AF">
        <w:t xml:space="preserve"> </w:t>
      </w:r>
      <w:r w:rsidRPr="002029AF">
        <w:t>appropriations</w:t>
      </w:r>
      <w:bookmarkEnd w:id="283"/>
      <w:bookmarkEnd w:id="284"/>
      <w:bookmarkEnd w:id="285"/>
      <w:bookmarkEnd w:id="286"/>
    </w:p>
    <w:p w14:paraId="03D27DFB" w14:textId="5E703BCC" w:rsidR="00087B91" w:rsidRPr="002029AF" w:rsidRDefault="00087B91" w:rsidP="00087B91">
      <w:pPr>
        <w:pStyle w:val="ARfinbody"/>
        <w:spacing w:before="60"/>
      </w:pPr>
      <w:r w:rsidRPr="002029AF">
        <w:t>The</w:t>
      </w:r>
      <w:r w:rsidR="000A5329" w:rsidRPr="002029AF">
        <w:t xml:space="preserve"> </w:t>
      </w:r>
      <w:r w:rsidRPr="002029AF">
        <w:t>following</w:t>
      </w:r>
      <w:r w:rsidR="000A5329" w:rsidRPr="002029AF">
        <w:t xml:space="preserve"> </w:t>
      </w:r>
      <w:r w:rsidRPr="002029AF">
        <w:t>table</w:t>
      </w:r>
      <w:r w:rsidR="000A5329" w:rsidRPr="002029AF">
        <w:t xml:space="preserve"> </w:t>
      </w:r>
      <w:r w:rsidRPr="002029AF">
        <w:t>discloses</w:t>
      </w:r>
      <w:r w:rsidR="000A5329" w:rsidRPr="002029AF">
        <w:t xml:space="preserve"> </w:t>
      </w:r>
      <w:r w:rsidRPr="002029AF">
        <w:t>the</w:t>
      </w:r>
      <w:r w:rsidR="000A5329" w:rsidRPr="002029AF">
        <w:t xml:space="preserve"> </w:t>
      </w:r>
      <w:r w:rsidRPr="002029AF">
        <w:t>details</w:t>
      </w:r>
      <w:r w:rsidR="000A5329" w:rsidRPr="002029AF">
        <w:t xml:space="preserve"> </w:t>
      </w:r>
      <w:r w:rsidRPr="002029AF">
        <w:t>of</w:t>
      </w:r>
      <w:r w:rsidR="000A5329" w:rsidRPr="002029AF">
        <w:t xml:space="preserve"> </w:t>
      </w:r>
      <w:r w:rsidRPr="002029AF">
        <w:t>the</w:t>
      </w:r>
      <w:r w:rsidR="000A5329" w:rsidRPr="002029AF">
        <w:t xml:space="preserve"> </w:t>
      </w:r>
      <w:r w:rsidRPr="002029AF">
        <w:t>various</w:t>
      </w:r>
      <w:r w:rsidR="000A5329" w:rsidRPr="002029AF">
        <w:t xml:space="preserve"> </w:t>
      </w:r>
      <w:r w:rsidRPr="002029AF">
        <w:t>annual</w:t>
      </w:r>
      <w:r w:rsidR="000A5329" w:rsidRPr="002029AF">
        <w:t xml:space="preserve"> </w:t>
      </w:r>
      <w:r w:rsidRPr="002029AF">
        <w:t>parliamentary</w:t>
      </w:r>
      <w:r w:rsidR="000A5329" w:rsidRPr="002029AF">
        <w:t xml:space="preserve"> </w:t>
      </w:r>
      <w:r w:rsidRPr="002029AF">
        <w:t>appropriations</w:t>
      </w:r>
      <w:r w:rsidR="000A5329" w:rsidRPr="002029AF">
        <w:t xml:space="preserve"> </w:t>
      </w:r>
      <w:r w:rsidRPr="002029AF">
        <w:t>received</w:t>
      </w:r>
      <w:r w:rsidR="000A5329" w:rsidRPr="002029AF">
        <w:t xml:space="preserve"> </w:t>
      </w:r>
      <w:r w:rsidRPr="002029AF">
        <w:t>by</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for</w:t>
      </w:r>
      <w:r w:rsidR="000A5329" w:rsidRPr="002029AF">
        <w:t xml:space="preserve"> </w:t>
      </w:r>
      <w:r w:rsidRPr="002029AF">
        <w:t>the</w:t>
      </w:r>
      <w:r w:rsidR="000A5329" w:rsidRPr="002029AF">
        <w:t xml:space="preserve"> </w:t>
      </w:r>
      <w:r w:rsidRPr="002029AF">
        <w:t>year.</w:t>
      </w:r>
    </w:p>
    <w:p w14:paraId="3D37B683" w14:textId="427C846E" w:rsidR="00087B91" w:rsidRPr="002029AF" w:rsidRDefault="00087B91" w:rsidP="00087B91">
      <w:pPr>
        <w:pStyle w:val="ARfinbodylargespace"/>
      </w:pPr>
      <w:r w:rsidRPr="002029AF">
        <w:t>In</w:t>
      </w:r>
      <w:r w:rsidR="000A5329" w:rsidRPr="002029AF">
        <w:t xml:space="preserve"> </w:t>
      </w:r>
      <w:r w:rsidRPr="002029AF">
        <w:t>accordance</w:t>
      </w:r>
      <w:r w:rsidR="000A5329" w:rsidRPr="002029AF">
        <w:t xml:space="preserve"> </w:t>
      </w:r>
      <w:r w:rsidRPr="002029AF">
        <w:t>with</w:t>
      </w:r>
      <w:r w:rsidR="000A5329" w:rsidRPr="002029AF">
        <w:t xml:space="preserve"> </w:t>
      </w:r>
      <w:r w:rsidRPr="002029AF">
        <w:t>accrual</w:t>
      </w:r>
      <w:r w:rsidR="000A5329" w:rsidRPr="002029AF">
        <w:t xml:space="preserve"> </w:t>
      </w:r>
      <w:r w:rsidRPr="002029AF">
        <w:t>output-based</w:t>
      </w:r>
      <w:r w:rsidR="000A5329" w:rsidRPr="002029AF">
        <w:t xml:space="preserve"> </w:t>
      </w:r>
      <w:r w:rsidRPr="002029AF">
        <w:t>management</w:t>
      </w:r>
      <w:r w:rsidR="000A5329" w:rsidRPr="002029AF">
        <w:t xml:space="preserve"> </w:t>
      </w:r>
      <w:r w:rsidRPr="002029AF">
        <w:t>procedures</w:t>
      </w:r>
      <w:r w:rsidR="000A5329" w:rsidRPr="002029AF">
        <w:t xml:space="preserve"> </w:t>
      </w:r>
      <w:r w:rsidRPr="002029AF">
        <w:t>‘provision</w:t>
      </w:r>
      <w:r w:rsidR="000A5329" w:rsidRPr="002029AF">
        <w:t xml:space="preserve"> </w:t>
      </w:r>
      <w:r w:rsidRPr="002029AF">
        <w:t>of</w:t>
      </w:r>
      <w:r w:rsidR="000A5329" w:rsidRPr="002029AF">
        <w:t xml:space="preserve"> </w:t>
      </w:r>
      <w:r w:rsidRPr="002029AF">
        <w:t>outputs’</w:t>
      </w:r>
      <w:r w:rsidR="000A5329" w:rsidRPr="002029AF">
        <w:t xml:space="preserve"> </w:t>
      </w:r>
      <w:r w:rsidRPr="002029AF">
        <w:t>and</w:t>
      </w:r>
      <w:r w:rsidR="000A5329" w:rsidRPr="002029AF">
        <w:t xml:space="preserve"> </w:t>
      </w:r>
      <w:r w:rsidRPr="002029AF">
        <w:t>‘additions</w:t>
      </w:r>
      <w:r w:rsidR="000A5329" w:rsidRPr="002029AF">
        <w:t xml:space="preserve"> </w:t>
      </w:r>
      <w:r w:rsidRPr="002029AF">
        <w:t>to</w:t>
      </w:r>
      <w:r w:rsidR="000A5329" w:rsidRPr="002029AF">
        <w:t xml:space="preserve"> </w:t>
      </w:r>
      <w:r w:rsidRPr="002029AF">
        <w:t>net</w:t>
      </w:r>
      <w:r w:rsidR="000A5329" w:rsidRPr="002029AF">
        <w:t xml:space="preserve"> </w:t>
      </w:r>
      <w:r w:rsidRPr="002029AF">
        <w:t>assets’</w:t>
      </w:r>
      <w:r w:rsidR="000A5329" w:rsidRPr="002029AF">
        <w:t xml:space="preserve"> </w:t>
      </w:r>
      <w:r w:rsidRPr="002029AF">
        <w:t>are</w:t>
      </w:r>
      <w:r w:rsidR="000A5329" w:rsidRPr="002029AF">
        <w:t xml:space="preserve"> </w:t>
      </w:r>
      <w:r w:rsidRPr="002029AF">
        <w:t>disclosed</w:t>
      </w:r>
      <w:r w:rsidR="000A5329" w:rsidRPr="002029AF">
        <w:t xml:space="preserve"> </w:t>
      </w:r>
      <w:r w:rsidRPr="002029AF">
        <w:t>as</w:t>
      </w:r>
      <w:r w:rsidR="000A5329" w:rsidRPr="002029AF">
        <w:t xml:space="preserve"> </w:t>
      </w:r>
      <w:r w:rsidRPr="002029AF">
        <w:t>‘controlled’</w:t>
      </w:r>
      <w:r w:rsidR="000A5329" w:rsidRPr="002029AF">
        <w:t xml:space="preserve"> </w:t>
      </w:r>
      <w:r w:rsidRPr="002029AF">
        <w:t>activities</w:t>
      </w:r>
      <w:r w:rsidR="000A5329" w:rsidRPr="002029AF">
        <w:t xml:space="preserve"> </w:t>
      </w:r>
      <w:r w:rsidRPr="002029AF">
        <w:t>of</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Administered</w:t>
      </w:r>
      <w:r w:rsidR="000A5329" w:rsidRPr="002029AF">
        <w:t xml:space="preserve"> </w:t>
      </w:r>
      <w:r w:rsidRPr="002029AF">
        <w:t>transactions</w:t>
      </w:r>
      <w:r w:rsidR="000A5329" w:rsidRPr="002029AF">
        <w:t xml:space="preserve"> </w:t>
      </w:r>
      <w:r w:rsidRPr="002029AF">
        <w:t>are</w:t>
      </w:r>
      <w:r w:rsidR="000A5329" w:rsidRPr="002029AF">
        <w:t xml:space="preserve"> </w:t>
      </w:r>
      <w:r w:rsidRPr="002029AF">
        <w:t>those</w:t>
      </w:r>
      <w:r w:rsidR="000A5329" w:rsidRPr="002029AF">
        <w:t xml:space="preserve"> </w:t>
      </w:r>
      <w:r w:rsidRPr="002029AF">
        <w:t>that</w:t>
      </w:r>
      <w:r w:rsidR="000A5329" w:rsidRPr="002029AF">
        <w:t xml:space="preserve"> </w:t>
      </w:r>
      <w:r w:rsidRPr="002029AF">
        <w:t>are</w:t>
      </w:r>
      <w:r w:rsidR="000A5329" w:rsidRPr="002029AF">
        <w:t xml:space="preserve"> </w:t>
      </w:r>
      <w:r w:rsidRPr="002029AF">
        <w:t>undertaken</w:t>
      </w:r>
      <w:r w:rsidR="000A5329" w:rsidRPr="002029AF">
        <w:t xml:space="preserve"> </w:t>
      </w:r>
      <w:r w:rsidRPr="002029AF">
        <w:t>on</w:t>
      </w:r>
      <w:r w:rsidR="000A5329" w:rsidRPr="002029AF">
        <w:t xml:space="preserve"> </w:t>
      </w:r>
      <w:r w:rsidRPr="002029AF">
        <w:t>behalf</w:t>
      </w:r>
      <w:r w:rsidR="000A5329" w:rsidRPr="002029AF">
        <w:t xml:space="preserve"> </w:t>
      </w:r>
      <w:r w:rsidRPr="002029AF">
        <w:t>of</w:t>
      </w:r>
      <w:r w:rsidR="000A5329" w:rsidRPr="002029AF">
        <w:t xml:space="preserve"> </w:t>
      </w:r>
      <w:r w:rsidRPr="002029AF">
        <w:t>the</w:t>
      </w:r>
      <w:r w:rsidR="000A5329" w:rsidRPr="002029AF">
        <w:t xml:space="preserve"> </w:t>
      </w:r>
      <w:r w:rsidRPr="002029AF">
        <w:t>state</w:t>
      </w:r>
      <w:r w:rsidR="000A5329" w:rsidRPr="002029AF">
        <w:t xml:space="preserve"> </w:t>
      </w:r>
      <w:r w:rsidRPr="002029AF">
        <w:t>over</w:t>
      </w:r>
      <w:r w:rsidR="000A5329" w:rsidRPr="002029AF">
        <w:t xml:space="preserve"> </w:t>
      </w:r>
      <w:r w:rsidRPr="002029AF">
        <w:t>which</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no</w:t>
      </w:r>
      <w:r w:rsidR="000A5329" w:rsidRPr="002029AF">
        <w:t xml:space="preserve"> </w:t>
      </w:r>
      <w:r w:rsidRPr="002029AF">
        <w:t>control</w:t>
      </w:r>
      <w:r w:rsidR="000A5329" w:rsidRPr="002029AF">
        <w:t xml:space="preserve"> </w:t>
      </w:r>
      <w:r w:rsidRPr="002029AF">
        <w:t>or</w:t>
      </w:r>
      <w:r w:rsidR="000A5329" w:rsidRPr="002029AF">
        <w:t xml:space="preserve"> </w:t>
      </w:r>
      <w:r w:rsidRPr="002029AF">
        <w:t>discretion</w:t>
      </w:r>
      <w:r w:rsidR="000A5329" w:rsidRPr="002029AF">
        <w:t xml:space="preserve"> </w:t>
      </w:r>
      <w:r w:rsidRPr="002029AF">
        <w:t>(refer</w:t>
      </w:r>
      <w:r w:rsidR="000A5329" w:rsidRPr="002029AF">
        <w:t xml:space="preserve"> </w:t>
      </w:r>
      <w:r w:rsidRPr="002029AF">
        <w:t>to</w:t>
      </w:r>
      <w:r w:rsidR="000A5329" w:rsidRPr="002029AF">
        <w:t xml:space="preserve"> </w:t>
      </w:r>
      <w:r w:rsidRPr="002029AF">
        <w:t>Note</w:t>
      </w:r>
      <w:r w:rsidR="000A5329" w:rsidRPr="002029AF">
        <w:t xml:space="preserve"> </w:t>
      </w:r>
      <w:r w:rsidRPr="002029AF">
        <w:t>4.2).</w:t>
      </w:r>
    </w:p>
    <w:tbl>
      <w:tblPr>
        <w:tblStyle w:val="TableGrid"/>
        <w:tblW w:w="14459" w:type="dxa"/>
        <w:tblLayout w:type="fixed"/>
        <w:tblLook w:val="06A0" w:firstRow="1" w:lastRow="0" w:firstColumn="1" w:lastColumn="0" w:noHBand="1" w:noVBand="1"/>
      </w:tblPr>
      <w:tblGrid>
        <w:gridCol w:w="3340"/>
        <w:gridCol w:w="1085"/>
        <w:gridCol w:w="1075"/>
        <w:gridCol w:w="1040"/>
        <w:gridCol w:w="1040"/>
        <w:gridCol w:w="1072"/>
        <w:gridCol w:w="1072"/>
        <w:gridCol w:w="1072"/>
        <w:gridCol w:w="1085"/>
        <w:gridCol w:w="1078"/>
        <w:gridCol w:w="1067"/>
        <w:gridCol w:w="433"/>
      </w:tblGrid>
      <w:tr w:rsidR="00087B91" w:rsidRPr="002029AF" w14:paraId="2BF56C7A" w14:textId="77777777" w:rsidTr="00C83719">
        <w:trPr>
          <w:cnfStyle w:val="100000000000" w:firstRow="1" w:lastRow="0" w:firstColumn="0" w:lastColumn="0" w:oddVBand="0" w:evenVBand="0" w:oddHBand="0" w:evenHBand="0" w:firstRowFirstColumn="0" w:firstRowLastColumn="0" w:lastRowFirstColumn="0" w:lastRowLastColumn="0"/>
          <w:tblHeader/>
        </w:trPr>
        <w:tc>
          <w:tcPr>
            <w:tcW w:w="3340" w:type="dxa"/>
            <w:vMerge w:val="restart"/>
            <w:noWrap/>
          </w:tcPr>
          <w:p w14:paraId="1D619F80" w14:textId="77777777" w:rsidR="00087B91" w:rsidRPr="002029AF" w:rsidRDefault="00087B91" w:rsidP="00860E95">
            <w:pPr>
              <w:pStyle w:val="ARfintablecolhead"/>
            </w:pPr>
          </w:p>
        </w:tc>
        <w:tc>
          <w:tcPr>
            <w:tcW w:w="3200" w:type="dxa"/>
            <w:gridSpan w:val="3"/>
          </w:tcPr>
          <w:p w14:paraId="4530B828" w14:textId="6F3591C9" w:rsidR="00087B91" w:rsidRPr="002029AF" w:rsidRDefault="00087B91" w:rsidP="00860E95">
            <w:pPr>
              <w:pStyle w:val="ARfintablecolheadcentre"/>
            </w:pPr>
            <w:r w:rsidRPr="002029AF">
              <w:t>Appropriations</w:t>
            </w:r>
            <w:r w:rsidR="000A5329" w:rsidRPr="002029AF">
              <w:t xml:space="preserve"> </w:t>
            </w:r>
            <w:r w:rsidRPr="002029AF">
              <w:t>Act</w:t>
            </w:r>
          </w:p>
        </w:tc>
        <w:tc>
          <w:tcPr>
            <w:tcW w:w="4256" w:type="dxa"/>
            <w:gridSpan w:val="4"/>
            <w:tcBorders>
              <w:top w:val="nil"/>
            </w:tcBorders>
            <w:shd w:val="clear" w:color="auto" w:fill="E7E6E6"/>
          </w:tcPr>
          <w:p w14:paraId="7915BB62" w14:textId="3239E3B6" w:rsidR="00087B91" w:rsidRPr="002029AF" w:rsidRDefault="00087B91" w:rsidP="00860E95">
            <w:pPr>
              <w:pStyle w:val="ARfintablecolheadcentre"/>
            </w:pPr>
            <w:r w:rsidRPr="002029AF">
              <w:t>Financial</w:t>
            </w:r>
            <w:r w:rsidR="000A5329" w:rsidRPr="002029AF">
              <w:t xml:space="preserve"> </w:t>
            </w:r>
            <w:r w:rsidRPr="002029AF">
              <w:t>Management</w:t>
            </w:r>
            <w:r w:rsidR="000A5329" w:rsidRPr="002029AF">
              <w:t xml:space="preserve"> </w:t>
            </w:r>
            <w:r w:rsidRPr="002029AF">
              <w:t>Act</w:t>
            </w:r>
            <w:r w:rsidR="000A5329" w:rsidRPr="002029AF">
              <w:t xml:space="preserve"> </w:t>
            </w:r>
            <w:r w:rsidRPr="002029AF">
              <w:t>1994</w:t>
            </w:r>
          </w:p>
        </w:tc>
        <w:tc>
          <w:tcPr>
            <w:tcW w:w="1085" w:type="dxa"/>
            <w:vMerge w:val="restart"/>
          </w:tcPr>
          <w:p w14:paraId="51C28B2C" w14:textId="7A15F2CF" w:rsidR="00087B91" w:rsidRPr="002029AF" w:rsidRDefault="00087B91" w:rsidP="00860E95">
            <w:pPr>
              <w:pStyle w:val="ARfintablecolheadright"/>
            </w:pPr>
            <w:r w:rsidRPr="002029AF">
              <w:t>Total</w:t>
            </w:r>
            <w:r w:rsidR="000A5329" w:rsidRPr="002029AF">
              <w:t xml:space="preserve"> </w:t>
            </w:r>
            <w:r w:rsidRPr="002029AF">
              <w:t>parlia-</w:t>
            </w:r>
            <w:r w:rsidRPr="002029AF">
              <w:br/>
              <w:t>mentary</w:t>
            </w:r>
            <w:r w:rsidR="000A5329" w:rsidRPr="002029AF">
              <w:t xml:space="preserve"> </w:t>
            </w:r>
            <w:r w:rsidRPr="002029AF">
              <w:br/>
              <w:t>authority</w:t>
            </w:r>
          </w:p>
          <w:p w14:paraId="2F61F878" w14:textId="77777777" w:rsidR="00087B91" w:rsidRPr="002029AF" w:rsidRDefault="00087B91" w:rsidP="00860E95">
            <w:pPr>
              <w:pStyle w:val="ARfintablecolheadright"/>
            </w:pPr>
            <w:r w:rsidRPr="002029AF">
              <w:t>$M</w:t>
            </w:r>
          </w:p>
        </w:tc>
        <w:tc>
          <w:tcPr>
            <w:tcW w:w="1078" w:type="dxa"/>
            <w:vMerge w:val="restart"/>
          </w:tcPr>
          <w:p w14:paraId="5C85D322" w14:textId="1CAF3758" w:rsidR="00087B91" w:rsidRPr="002029AF" w:rsidRDefault="00087B91" w:rsidP="00860E95">
            <w:pPr>
              <w:pStyle w:val="ARfintablecolheadright"/>
            </w:pPr>
            <w:r w:rsidRPr="002029AF">
              <w:t>Appro-</w:t>
            </w:r>
            <w:r w:rsidRPr="002029AF">
              <w:br/>
              <w:t>priations</w:t>
            </w:r>
            <w:r w:rsidR="000A5329" w:rsidRPr="002029AF">
              <w:t xml:space="preserve"> </w:t>
            </w:r>
            <w:r w:rsidRPr="002029AF">
              <w:br/>
              <w:t>applied</w:t>
            </w:r>
          </w:p>
          <w:p w14:paraId="15019A64" w14:textId="77777777" w:rsidR="00087B91" w:rsidRPr="002029AF" w:rsidRDefault="00087B91" w:rsidP="00860E95">
            <w:pPr>
              <w:pStyle w:val="ARfintablecolheadright"/>
            </w:pPr>
            <w:r w:rsidRPr="002029AF">
              <w:t>$M</w:t>
            </w:r>
          </w:p>
        </w:tc>
        <w:tc>
          <w:tcPr>
            <w:tcW w:w="1067" w:type="dxa"/>
            <w:vMerge w:val="restart"/>
          </w:tcPr>
          <w:p w14:paraId="798CBC66" w14:textId="77777777" w:rsidR="00087B91" w:rsidRPr="002029AF" w:rsidRDefault="00087B91" w:rsidP="00860E95">
            <w:pPr>
              <w:pStyle w:val="ARfintablecolheadright"/>
            </w:pPr>
            <w:r w:rsidRPr="002029AF">
              <w:t>Variance</w:t>
            </w:r>
          </w:p>
          <w:p w14:paraId="27249F99" w14:textId="77777777" w:rsidR="00087B91" w:rsidRPr="002029AF" w:rsidRDefault="00087B91" w:rsidP="00860E95">
            <w:pPr>
              <w:pStyle w:val="ARfintablecolheadright"/>
            </w:pPr>
            <w:r w:rsidRPr="002029AF">
              <w:t>$M</w:t>
            </w:r>
          </w:p>
        </w:tc>
        <w:tc>
          <w:tcPr>
            <w:tcW w:w="433" w:type="dxa"/>
            <w:vMerge w:val="restart"/>
          </w:tcPr>
          <w:p w14:paraId="430B84E0" w14:textId="77777777" w:rsidR="00087B91" w:rsidRPr="002029AF" w:rsidRDefault="00087B91" w:rsidP="00860E95">
            <w:pPr>
              <w:pStyle w:val="ARfintablecolheadright"/>
            </w:pPr>
          </w:p>
        </w:tc>
      </w:tr>
      <w:tr w:rsidR="004538D0" w:rsidRPr="002029AF" w14:paraId="39017A70" w14:textId="77777777" w:rsidTr="00C83719">
        <w:trPr>
          <w:cnfStyle w:val="100000000000" w:firstRow="1" w:lastRow="0" w:firstColumn="0" w:lastColumn="0" w:oddVBand="0" w:evenVBand="0" w:oddHBand="0" w:evenHBand="0" w:firstRowFirstColumn="0" w:firstRowLastColumn="0" w:lastRowFirstColumn="0" w:lastRowLastColumn="0"/>
          <w:tblHeader/>
        </w:trPr>
        <w:tc>
          <w:tcPr>
            <w:tcW w:w="3340" w:type="dxa"/>
            <w:vMerge/>
            <w:noWrap/>
            <w:hideMark/>
          </w:tcPr>
          <w:p w14:paraId="014F5BC4" w14:textId="77777777" w:rsidR="00087B91" w:rsidRPr="002029AF" w:rsidRDefault="00087B91" w:rsidP="00860E95">
            <w:pPr>
              <w:pStyle w:val="ARfintablecolhead"/>
            </w:pPr>
          </w:p>
        </w:tc>
        <w:tc>
          <w:tcPr>
            <w:tcW w:w="1085" w:type="dxa"/>
            <w:hideMark/>
          </w:tcPr>
          <w:p w14:paraId="5C8020B4" w14:textId="37A0935A" w:rsidR="00087B91" w:rsidRPr="002029AF" w:rsidRDefault="00087B91" w:rsidP="00860E95">
            <w:pPr>
              <w:pStyle w:val="ARfintablecolheadright"/>
            </w:pPr>
            <w:r w:rsidRPr="002029AF">
              <w:t>Annual</w:t>
            </w:r>
            <w:r w:rsidR="000A5329" w:rsidRPr="002029AF">
              <w:t xml:space="preserve"> </w:t>
            </w:r>
            <w:r w:rsidRPr="002029AF">
              <w:t>appro-</w:t>
            </w:r>
            <w:r w:rsidRPr="002029AF">
              <w:br/>
              <w:t>priation</w:t>
            </w:r>
          </w:p>
          <w:p w14:paraId="3A738391" w14:textId="77777777" w:rsidR="00087B91" w:rsidRPr="002029AF" w:rsidRDefault="00087B91" w:rsidP="00860E95">
            <w:pPr>
              <w:pStyle w:val="ARfintablecolheadright"/>
            </w:pPr>
            <w:r w:rsidRPr="002029AF">
              <w:t>$M</w:t>
            </w:r>
          </w:p>
        </w:tc>
        <w:tc>
          <w:tcPr>
            <w:tcW w:w="1075" w:type="dxa"/>
            <w:hideMark/>
          </w:tcPr>
          <w:p w14:paraId="7C8B1F60" w14:textId="05219EEE" w:rsidR="00087B91" w:rsidRPr="002029AF" w:rsidRDefault="00087B91" w:rsidP="00860E95">
            <w:pPr>
              <w:pStyle w:val="ARfintablecolheadright"/>
            </w:pPr>
            <w:r w:rsidRPr="002029AF">
              <w:t>Advance</w:t>
            </w:r>
            <w:r w:rsidR="000A5329" w:rsidRPr="002029AF">
              <w:t xml:space="preserve"> </w:t>
            </w:r>
            <w:r w:rsidRPr="002029AF">
              <w:t>from</w:t>
            </w:r>
            <w:r w:rsidR="000A5329" w:rsidRPr="002029AF">
              <w:t xml:space="preserve"> </w:t>
            </w:r>
            <w:r w:rsidRPr="002029AF">
              <w:t>Treasurer</w:t>
            </w:r>
          </w:p>
          <w:p w14:paraId="003F8D94" w14:textId="77777777" w:rsidR="00087B91" w:rsidRPr="002029AF" w:rsidRDefault="00087B91" w:rsidP="00860E95">
            <w:pPr>
              <w:pStyle w:val="ARfintablecolheadright"/>
            </w:pPr>
            <w:r w:rsidRPr="002029AF">
              <w:t>$M</w:t>
            </w:r>
          </w:p>
        </w:tc>
        <w:tc>
          <w:tcPr>
            <w:tcW w:w="1040" w:type="dxa"/>
            <w:hideMark/>
          </w:tcPr>
          <w:p w14:paraId="2127293B" w14:textId="64090674" w:rsidR="00087B91" w:rsidRPr="002029AF" w:rsidRDefault="00087B91" w:rsidP="00860E95">
            <w:pPr>
              <w:pStyle w:val="ARfintablecolheadright"/>
            </w:pPr>
            <w:r w:rsidRPr="002029AF">
              <w:t>Section</w:t>
            </w:r>
            <w:r w:rsidR="000A5329" w:rsidRPr="002029AF">
              <w:t xml:space="preserve"> </w:t>
            </w:r>
            <w:r w:rsidRPr="002029AF">
              <w:br/>
              <w:t>3(2)</w:t>
            </w:r>
          </w:p>
          <w:p w14:paraId="76657454" w14:textId="77777777" w:rsidR="00087B91" w:rsidRPr="002029AF" w:rsidRDefault="00087B91" w:rsidP="00860E95">
            <w:pPr>
              <w:pStyle w:val="ARfintablecolheadright"/>
            </w:pPr>
            <w:r w:rsidRPr="002029AF">
              <w:t>$M</w:t>
            </w:r>
          </w:p>
        </w:tc>
        <w:tc>
          <w:tcPr>
            <w:tcW w:w="1040" w:type="dxa"/>
            <w:tcBorders>
              <w:top w:val="single" w:sz="4" w:space="0" w:color="auto"/>
              <w:right w:val="nil"/>
            </w:tcBorders>
            <w:shd w:val="clear" w:color="auto" w:fill="E7E6E6"/>
            <w:hideMark/>
          </w:tcPr>
          <w:p w14:paraId="153C4609" w14:textId="54D4962A" w:rsidR="000A5329" w:rsidRPr="002029AF" w:rsidRDefault="00087B91" w:rsidP="00860E95">
            <w:pPr>
              <w:pStyle w:val="ARfintablecolheadright"/>
              <w:rPr>
                <w:rStyle w:val="Superscript"/>
              </w:rPr>
            </w:pPr>
            <w:r w:rsidRPr="002029AF">
              <w:t>Section</w:t>
            </w:r>
            <w:r w:rsidR="000A5329" w:rsidRPr="002029AF">
              <w:t xml:space="preserve"> </w:t>
            </w:r>
            <w:r w:rsidRPr="002029AF">
              <w:br/>
              <w:t>29</w:t>
            </w:r>
            <w:r w:rsidR="000A5329" w:rsidRPr="002029AF">
              <w:t xml:space="preserve"> </w:t>
            </w:r>
            <w:r w:rsidRPr="002029AF">
              <w:rPr>
                <w:rStyle w:val="Superscript"/>
              </w:rPr>
              <w:t>(i)</w:t>
            </w:r>
          </w:p>
          <w:p w14:paraId="2751BE9C" w14:textId="5C612103" w:rsidR="00087B91" w:rsidRPr="002029AF" w:rsidRDefault="00087B91" w:rsidP="00860E95">
            <w:pPr>
              <w:pStyle w:val="ARfintablecolheadright"/>
            </w:pPr>
            <w:r w:rsidRPr="002029AF">
              <w:t>$M</w:t>
            </w:r>
          </w:p>
        </w:tc>
        <w:tc>
          <w:tcPr>
            <w:tcW w:w="1072" w:type="dxa"/>
            <w:tcBorders>
              <w:top w:val="single" w:sz="4" w:space="0" w:color="auto"/>
              <w:left w:val="nil"/>
              <w:right w:val="nil"/>
            </w:tcBorders>
            <w:shd w:val="clear" w:color="auto" w:fill="E7E6E6"/>
            <w:hideMark/>
          </w:tcPr>
          <w:p w14:paraId="060A39FF" w14:textId="13E23149" w:rsidR="00087B91" w:rsidRPr="002029AF" w:rsidRDefault="00087B91" w:rsidP="00860E95">
            <w:pPr>
              <w:pStyle w:val="ARfintablecolheadright"/>
            </w:pPr>
            <w:r w:rsidRPr="002029AF">
              <w:t>Section</w:t>
            </w:r>
            <w:r w:rsidR="000A5329" w:rsidRPr="002029AF">
              <w:t xml:space="preserve"> </w:t>
            </w:r>
            <w:r w:rsidRPr="002029AF">
              <w:br/>
              <w:t>30</w:t>
            </w:r>
            <w:r w:rsidR="000A5329" w:rsidRPr="002029AF">
              <w:t xml:space="preserve"> </w:t>
            </w:r>
            <w:r w:rsidRPr="002029AF">
              <w:rPr>
                <w:rStyle w:val="Superscript"/>
              </w:rPr>
              <w:t>(ii)</w:t>
            </w:r>
          </w:p>
          <w:p w14:paraId="515F9E83" w14:textId="77777777" w:rsidR="00087B91" w:rsidRPr="002029AF" w:rsidRDefault="00087B91" w:rsidP="00860E95">
            <w:pPr>
              <w:pStyle w:val="ARfintablecolheadright"/>
            </w:pPr>
            <w:r w:rsidRPr="002029AF">
              <w:t>$M</w:t>
            </w:r>
          </w:p>
        </w:tc>
        <w:tc>
          <w:tcPr>
            <w:tcW w:w="1072" w:type="dxa"/>
            <w:tcBorders>
              <w:top w:val="single" w:sz="4" w:space="0" w:color="auto"/>
              <w:left w:val="nil"/>
              <w:right w:val="nil"/>
            </w:tcBorders>
            <w:shd w:val="clear" w:color="auto" w:fill="E7E6E6"/>
            <w:hideMark/>
          </w:tcPr>
          <w:p w14:paraId="5C50EE3D" w14:textId="1F9B2E7B" w:rsidR="00087B91" w:rsidRPr="002029AF" w:rsidRDefault="00087B91" w:rsidP="00860E95">
            <w:pPr>
              <w:pStyle w:val="ARfintablecolheadright"/>
            </w:pPr>
            <w:r w:rsidRPr="002029AF">
              <w:t>Section</w:t>
            </w:r>
            <w:r w:rsidR="000A5329" w:rsidRPr="002029AF">
              <w:t xml:space="preserve"> </w:t>
            </w:r>
            <w:r w:rsidRPr="002029AF">
              <w:br/>
              <w:t>32</w:t>
            </w:r>
          </w:p>
          <w:p w14:paraId="27D09485" w14:textId="77777777" w:rsidR="00087B91" w:rsidRPr="002029AF" w:rsidRDefault="00087B91" w:rsidP="00860E95">
            <w:pPr>
              <w:pStyle w:val="ARfintablecolheadright"/>
            </w:pPr>
            <w:r w:rsidRPr="002029AF">
              <w:t>$M</w:t>
            </w:r>
          </w:p>
        </w:tc>
        <w:tc>
          <w:tcPr>
            <w:tcW w:w="1072" w:type="dxa"/>
            <w:tcBorders>
              <w:top w:val="single" w:sz="4" w:space="0" w:color="auto"/>
              <w:left w:val="nil"/>
            </w:tcBorders>
            <w:shd w:val="clear" w:color="auto" w:fill="E7E6E6"/>
            <w:hideMark/>
          </w:tcPr>
          <w:p w14:paraId="07DE7D8C" w14:textId="3142B1F8" w:rsidR="00087B91" w:rsidRPr="002029AF" w:rsidRDefault="00087B91" w:rsidP="00860E95">
            <w:pPr>
              <w:pStyle w:val="ARfintablecolheadright"/>
            </w:pPr>
            <w:r w:rsidRPr="002029AF">
              <w:t>Section</w:t>
            </w:r>
            <w:r w:rsidR="000A5329" w:rsidRPr="002029AF">
              <w:t xml:space="preserve"> </w:t>
            </w:r>
            <w:r w:rsidRPr="002029AF">
              <w:br/>
              <w:t>35</w:t>
            </w:r>
            <w:r w:rsidR="000A5329" w:rsidRPr="002029AF">
              <w:t xml:space="preserve"> </w:t>
            </w:r>
            <w:r w:rsidRPr="002029AF">
              <w:br/>
              <w:t>advances</w:t>
            </w:r>
          </w:p>
          <w:p w14:paraId="7D83256B" w14:textId="77777777" w:rsidR="00087B91" w:rsidRPr="002029AF" w:rsidRDefault="00087B91" w:rsidP="00860E95">
            <w:pPr>
              <w:pStyle w:val="ARfintablecolheadright"/>
            </w:pPr>
            <w:r w:rsidRPr="002029AF">
              <w:t>$M</w:t>
            </w:r>
          </w:p>
        </w:tc>
        <w:tc>
          <w:tcPr>
            <w:tcW w:w="1085" w:type="dxa"/>
            <w:vMerge/>
            <w:hideMark/>
          </w:tcPr>
          <w:p w14:paraId="2B3F779A" w14:textId="77777777" w:rsidR="00087B91" w:rsidRPr="002029AF" w:rsidRDefault="00087B91" w:rsidP="00860E95">
            <w:pPr>
              <w:pStyle w:val="ARfintablecolheadright"/>
            </w:pPr>
          </w:p>
        </w:tc>
        <w:tc>
          <w:tcPr>
            <w:tcW w:w="1078" w:type="dxa"/>
            <w:vMerge/>
            <w:hideMark/>
          </w:tcPr>
          <w:p w14:paraId="3CDC20FE" w14:textId="77777777" w:rsidR="00087B91" w:rsidRPr="002029AF" w:rsidRDefault="00087B91" w:rsidP="00860E95">
            <w:pPr>
              <w:pStyle w:val="ARfintablecolheadright"/>
            </w:pPr>
          </w:p>
        </w:tc>
        <w:tc>
          <w:tcPr>
            <w:tcW w:w="1067" w:type="dxa"/>
            <w:vMerge/>
            <w:hideMark/>
          </w:tcPr>
          <w:p w14:paraId="63EA8624" w14:textId="77777777" w:rsidR="00087B91" w:rsidRPr="002029AF" w:rsidRDefault="00087B91" w:rsidP="00860E95">
            <w:pPr>
              <w:pStyle w:val="ARfintablecolheadright"/>
            </w:pPr>
          </w:p>
        </w:tc>
        <w:tc>
          <w:tcPr>
            <w:tcW w:w="433" w:type="dxa"/>
            <w:vMerge/>
            <w:hideMark/>
          </w:tcPr>
          <w:p w14:paraId="3728F310" w14:textId="77777777" w:rsidR="00087B91" w:rsidRPr="002029AF" w:rsidRDefault="00087B91" w:rsidP="00860E95">
            <w:pPr>
              <w:pStyle w:val="ARfintablecolheadright"/>
            </w:pPr>
          </w:p>
        </w:tc>
      </w:tr>
      <w:tr w:rsidR="00087B91" w:rsidRPr="002029AF" w14:paraId="3B3424D1" w14:textId="77777777" w:rsidTr="00860E95">
        <w:tc>
          <w:tcPr>
            <w:tcW w:w="14459" w:type="dxa"/>
            <w:gridSpan w:val="12"/>
            <w:tcBorders>
              <w:bottom w:val="single" w:sz="4" w:space="0" w:color="auto"/>
            </w:tcBorders>
            <w:hideMark/>
          </w:tcPr>
          <w:p w14:paraId="08C2FB6C" w14:textId="77777777" w:rsidR="00087B91" w:rsidRPr="002029AF" w:rsidRDefault="00087B91" w:rsidP="00860E95">
            <w:pPr>
              <w:pStyle w:val="ARfintablebodybold"/>
            </w:pPr>
            <w:r w:rsidRPr="002029AF">
              <w:t>2020</w:t>
            </w:r>
          </w:p>
        </w:tc>
      </w:tr>
      <w:tr w:rsidR="00087B91" w:rsidRPr="002029AF" w14:paraId="5FB74CE4" w14:textId="77777777" w:rsidTr="00860E95">
        <w:tc>
          <w:tcPr>
            <w:tcW w:w="14459" w:type="dxa"/>
            <w:gridSpan w:val="12"/>
            <w:tcBorders>
              <w:top w:val="single" w:sz="4" w:space="0" w:color="auto"/>
              <w:bottom w:val="single" w:sz="4" w:space="0" w:color="A6A6A6"/>
            </w:tcBorders>
            <w:hideMark/>
          </w:tcPr>
          <w:p w14:paraId="5A7543CF" w14:textId="77777777" w:rsidR="00087B91" w:rsidRPr="002029AF" w:rsidRDefault="00087B91" w:rsidP="00860E95">
            <w:pPr>
              <w:pStyle w:val="ARfintablebodybold"/>
            </w:pPr>
            <w:r w:rsidRPr="002029AF">
              <w:t>Controlled</w:t>
            </w:r>
          </w:p>
        </w:tc>
      </w:tr>
      <w:tr w:rsidR="00087B91" w:rsidRPr="002029AF" w14:paraId="23F21FAD" w14:textId="77777777" w:rsidTr="00860E95">
        <w:tc>
          <w:tcPr>
            <w:tcW w:w="3340" w:type="dxa"/>
            <w:tcBorders>
              <w:top w:val="single" w:sz="4" w:space="0" w:color="A6A6A6"/>
              <w:bottom w:val="single" w:sz="4" w:space="0" w:color="A6A6A6"/>
            </w:tcBorders>
            <w:hideMark/>
          </w:tcPr>
          <w:p w14:paraId="160DA7DD" w14:textId="64603DB9" w:rsidR="00087B91" w:rsidRPr="002029AF" w:rsidRDefault="00087B91" w:rsidP="00860E95">
            <w:pPr>
              <w:pStyle w:val="ARfintablebody"/>
            </w:pPr>
            <w:r w:rsidRPr="002029AF">
              <w:t>Provision</w:t>
            </w:r>
            <w:r w:rsidR="000A5329" w:rsidRPr="002029AF">
              <w:t xml:space="preserve"> </w:t>
            </w:r>
            <w:r w:rsidRPr="002029AF">
              <w:t>of</w:t>
            </w:r>
            <w:r w:rsidR="000A5329" w:rsidRPr="002029AF">
              <w:t xml:space="preserve"> </w:t>
            </w:r>
            <w:r w:rsidRPr="002029AF">
              <w:t>outputs</w:t>
            </w:r>
          </w:p>
        </w:tc>
        <w:tc>
          <w:tcPr>
            <w:tcW w:w="1085" w:type="dxa"/>
            <w:tcBorders>
              <w:top w:val="single" w:sz="4" w:space="0" w:color="A6A6A6"/>
              <w:bottom w:val="single" w:sz="4" w:space="0" w:color="A6A6A6"/>
            </w:tcBorders>
            <w:noWrap/>
            <w:hideMark/>
          </w:tcPr>
          <w:p w14:paraId="24ED8561" w14:textId="77777777" w:rsidR="00087B91" w:rsidRPr="002029AF" w:rsidRDefault="00087B91" w:rsidP="00860E95">
            <w:pPr>
              <w:pStyle w:val="ARfintablebodyright"/>
            </w:pPr>
            <w:r w:rsidRPr="002029AF">
              <w:t>15,590.5</w:t>
            </w:r>
          </w:p>
        </w:tc>
        <w:tc>
          <w:tcPr>
            <w:tcW w:w="1075" w:type="dxa"/>
            <w:tcBorders>
              <w:top w:val="single" w:sz="4" w:space="0" w:color="A6A6A6"/>
              <w:bottom w:val="single" w:sz="4" w:space="0" w:color="A6A6A6"/>
            </w:tcBorders>
            <w:noWrap/>
            <w:hideMark/>
          </w:tcPr>
          <w:p w14:paraId="4722A7A4" w14:textId="77777777" w:rsidR="00087B91" w:rsidRPr="002029AF" w:rsidRDefault="00087B91" w:rsidP="00860E95">
            <w:pPr>
              <w:pStyle w:val="ARfintablebodyright"/>
            </w:pPr>
            <w:r w:rsidRPr="002029AF">
              <w:t>1,431.8</w:t>
            </w:r>
          </w:p>
        </w:tc>
        <w:tc>
          <w:tcPr>
            <w:tcW w:w="1040" w:type="dxa"/>
            <w:tcBorders>
              <w:top w:val="single" w:sz="4" w:space="0" w:color="A6A6A6"/>
              <w:bottom w:val="single" w:sz="4" w:space="0" w:color="A6A6A6"/>
            </w:tcBorders>
            <w:noWrap/>
            <w:hideMark/>
          </w:tcPr>
          <w:p w14:paraId="17860A69" w14:textId="77777777" w:rsidR="00087B91" w:rsidRPr="002029AF" w:rsidRDefault="00087B91" w:rsidP="00860E95">
            <w:pPr>
              <w:pStyle w:val="ARfintablebodyright"/>
            </w:pPr>
            <w:r w:rsidRPr="002029AF">
              <w:t>–</w:t>
            </w:r>
          </w:p>
        </w:tc>
        <w:tc>
          <w:tcPr>
            <w:tcW w:w="1040" w:type="dxa"/>
            <w:tcBorders>
              <w:top w:val="single" w:sz="4" w:space="0" w:color="A6A6A6"/>
              <w:bottom w:val="single" w:sz="4" w:space="0" w:color="A6A6A6"/>
              <w:right w:val="nil"/>
            </w:tcBorders>
            <w:shd w:val="clear" w:color="auto" w:fill="E7E6E6"/>
            <w:noWrap/>
            <w:hideMark/>
          </w:tcPr>
          <w:p w14:paraId="0C4A0ABB" w14:textId="77777777" w:rsidR="00087B91" w:rsidRPr="002029AF" w:rsidRDefault="00087B91" w:rsidP="00860E95">
            <w:pPr>
              <w:pStyle w:val="ARfintablebodyright"/>
            </w:pPr>
            <w:r w:rsidRPr="002029AF">
              <w:t>847.4</w:t>
            </w:r>
          </w:p>
        </w:tc>
        <w:tc>
          <w:tcPr>
            <w:tcW w:w="1072" w:type="dxa"/>
            <w:tcBorders>
              <w:top w:val="single" w:sz="4" w:space="0" w:color="A6A6A6"/>
              <w:left w:val="nil"/>
              <w:bottom w:val="single" w:sz="4" w:space="0" w:color="A6A6A6"/>
              <w:right w:val="nil"/>
            </w:tcBorders>
            <w:shd w:val="clear" w:color="auto" w:fill="E7E6E6"/>
            <w:noWrap/>
            <w:hideMark/>
          </w:tcPr>
          <w:p w14:paraId="0F8A5E56" w14:textId="77777777" w:rsidR="00087B91" w:rsidRPr="002029AF" w:rsidRDefault="00087B91" w:rsidP="00860E95">
            <w:pPr>
              <w:pStyle w:val="ARfintablebodyright"/>
            </w:pPr>
            <w:r w:rsidRPr="002029AF">
              <w:t>42.1</w:t>
            </w:r>
          </w:p>
        </w:tc>
        <w:tc>
          <w:tcPr>
            <w:tcW w:w="1072" w:type="dxa"/>
            <w:tcBorders>
              <w:top w:val="single" w:sz="4" w:space="0" w:color="A6A6A6"/>
              <w:left w:val="nil"/>
              <w:bottom w:val="single" w:sz="4" w:space="0" w:color="A6A6A6"/>
              <w:right w:val="nil"/>
            </w:tcBorders>
            <w:shd w:val="clear" w:color="auto" w:fill="E7E6E6"/>
            <w:noWrap/>
            <w:hideMark/>
          </w:tcPr>
          <w:p w14:paraId="4A51B7C6" w14:textId="77777777" w:rsidR="00087B91" w:rsidRPr="002029AF" w:rsidRDefault="00087B91" w:rsidP="00860E95">
            <w:pPr>
              <w:pStyle w:val="ARfintablebodyright"/>
            </w:pPr>
            <w:r w:rsidRPr="002029AF">
              <w:t>51.8</w:t>
            </w:r>
          </w:p>
        </w:tc>
        <w:tc>
          <w:tcPr>
            <w:tcW w:w="1072" w:type="dxa"/>
            <w:tcBorders>
              <w:top w:val="single" w:sz="4" w:space="0" w:color="A6A6A6"/>
              <w:left w:val="nil"/>
              <w:bottom w:val="single" w:sz="4" w:space="0" w:color="A6A6A6"/>
            </w:tcBorders>
            <w:shd w:val="clear" w:color="auto" w:fill="E7E6E6"/>
            <w:noWrap/>
            <w:hideMark/>
          </w:tcPr>
          <w:p w14:paraId="3C03F90D" w14:textId="77777777" w:rsidR="00087B91" w:rsidRPr="002029AF" w:rsidRDefault="00087B91" w:rsidP="00860E95">
            <w:pPr>
              <w:pStyle w:val="ARfintablebodyright"/>
            </w:pPr>
            <w:r w:rsidRPr="002029AF">
              <w:t>–</w:t>
            </w:r>
          </w:p>
        </w:tc>
        <w:tc>
          <w:tcPr>
            <w:tcW w:w="1085" w:type="dxa"/>
            <w:tcBorders>
              <w:top w:val="single" w:sz="4" w:space="0" w:color="A6A6A6"/>
              <w:bottom w:val="single" w:sz="4" w:space="0" w:color="A6A6A6"/>
            </w:tcBorders>
            <w:noWrap/>
            <w:hideMark/>
          </w:tcPr>
          <w:p w14:paraId="7F76448E" w14:textId="77777777" w:rsidR="00087B91" w:rsidRPr="002029AF" w:rsidRDefault="00087B91" w:rsidP="00860E95">
            <w:pPr>
              <w:pStyle w:val="ARfintablebodyright"/>
            </w:pPr>
            <w:r w:rsidRPr="002029AF">
              <w:t>17,963.6</w:t>
            </w:r>
          </w:p>
        </w:tc>
        <w:tc>
          <w:tcPr>
            <w:tcW w:w="1078" w:type="dxa"/>
            <w:tcBorders>
              <w:top w:val="single" w:sz="4" w:space="0" w:color="A6A6A6"/>
              <w:bottom w:val="single" w:sz="4" w:space="0" w:color="A6A6A6"/>
            </w:tcBorders>
            <w:noWrap/>
            <w:hideMark/>
          </w:tcPr>
          <w:p w14:paraId="7730FDCF" w14:textId="77777777" w:rsidR="00087B91" w:rsidRPr="002029AF" w:rsidRDefault="00087B91" w:rsidP="00860E95">
            <w:pPr>
              <w:pStyle w:val="ARfintablebodyright"/>
            </w:pPr>
            <w:r w:rsidRPr="002029AF">
              <w:t>17,600.0</w:t>
            </w:r>
          </w:p>
        </w:tc>
        <w:tc>
          <w:tcPr>
            <w:tcW w:w="1067" w:type="dxa"/>
            <w:tcBorders>
              <w:top w:val="single" w:sz="4" w:space="0" w:color="A6A6A6"/>
              <w:bottom w:val="single" w:sz="4" w:space="0" w:color="A6A6A6"/>
            </w:tcBorders>
            <w:noWrap/>
            <w:hideMark/>
          </w:tcPr>
          <w:p w14:paraId="2D85E2B7" w14:textId="77777777" w:rsidR="00087B91" w:rsidRPr="002029AF" w:rsidRDefault="00087B91" w:rsidP="00860E95">
            <w:pPr>
              <w:pStyle w:val="ARfintablebodyright"/>
            </w:pPr>
            <w:r w:rsidRPr="002029AF">
              <w:t>363.6</w:t>
            </w:r>
          </w:p>
        </w:tc>
        <w:tc>
          <w:tcPr>
            <w:tcW w:w="433" w:type="dxa"/>
            <w:tcBorders>
              <w:top w:val="single" w:sz="4" w:space="0" w:color="A6A6A6"/>
              <w:bottom w:val="single" w:sz="4" w:space="0" w:color="A6A6A6"/>
            </w:tcBorders>
            <w:noWrap/>
            <w:hideMark/>
          </w:tcPr>
          <w:p w14:paraId="04574B58" w14:textId="77777777" w:rsidR="00087B91" w:rsidRPr="002029AF" w:rsidRDefault="00087B91" w:rsidP="00860E95">
            <w:pPr>
              <w:pStyle w:val="ARfintablebodyright"/>
            </w:pPr>
            <w:r w:rsidRPr="002029AF">
              <w:rPr>
                <w:rStyle w:val="Superscript"/>
              </w:rPr>
              <w:t>(iii)</w:t>
            </w:r>
          </w:p>
        </w:tc>
      </w:tr>
      <w:tr w:rsidR="00087B91" w:rsidRPr="002029AF" w14:paraId="4F096C6D" w14:textId="77777777" w:rsidTr="00860E95">
        <w:tc>
          <w:tcPr>
            <w:tcW w:w="3340" w:type="dxa"/>
            <w:tcBorders>
              <w:top w:val="single" w:sz="4" w:space="0" w:color="A6A6A6"/>
              <w:bottom w:val="single" w:sz="4" w:space="0" w:color="A6A6A6"/>
            </w:tcBorders>
            <w:hideMark/>
          </w:tcPr>
          <w:p w14:paraId="1AB5E5E0" w14:textId="4F1D38A7" w:rsidR="00087B91" w:rsidRPr="002029AF" w:rsidRDefault="00087B91" w:rsidP="00860E95">
            <w:pPr>
              <w:pStyle w:val="ARfintablebody"/>
            </w:pPr>
            <w:r w:rsidRPr="002029AF">
              <w:t>Additions</w:t>
            </w:r>
            <w:r w:rsidR="000A5329" w:rsidRPr="002029AF">
              <w:t xml:space="preserve"> </w:t>
            </w:r>
            <w:r w:rsidRPr="002029AF">
              <w:t>to</w:t>
            </w:r>
            <w:r w:rsidR="000A5329" w:rsidRPr="002029AF">
              <w:t xml:space="preserve"> </w:t>
            </w:r>
            <w:r w:rsidRPr="002029AF">
              <w:t>net</w:t>
            </w:r>
            <w:r w:rsidR="000A5329" w:rsidRPr="002029AF">
              <w:t xml:space="preserve"> </w:t>
            </w:r>
            <w:r w:rsidRPr="002029AF">
              <w:t>assets</w:t>
            </w:r>
          </w:p>
        </w:tc>
        <w:tc>
          <w:tcPr>
            <w:tcW w:w="1085" w:type="dxa"/>
            <w:tcBorders>
              <w:top w:val="single" w:sz="4" w:space="0" w:color="A6A6A6"/>
              <w:bottom w:val="single" w:sz="4" w:space="0" w:color="A6A6A6"/>
            </w:tcBorders>
            <w:noWrap/>
            <w:hideMark/>
          </w:tcPr>
          <w:p w14:paraId="4F40746D" w14:textId="77777777" w:rsidR="00087B91" w:rsidRPr="002029AF" w:rsidRDefault="00087B91" w:rsidP="00860E95">
            <w:pPr>
              <w:pStyle w:val="ARfintablebodyright"/>
            </w:pPr>
            <w:r w:rsidRPr="002029AF">
              <w:t>261.6</w:t>
            </w:r>
          </w:p>
        </w:tc>
        <w:tc>
          <w:tcPr>
            <w:tcW w:w="1075" w:type="dxa"/>
            <w:tcBorders>
              <w:top w:val="single" w:sz="4" w:space="0" w:color="A6A6A6"/>
              <w:bottom w:val="single" w:sz="4" w:space="0" w:color="A6A6A6"/>
            </w:tcBorders>
            <w:noWrap/>
            <w:hideMark/>
          </w:tcPr>
          <w:p w14:paraId="76BF6052" w14:textId="77777777" w:rsidR="00087B91" w:rsidRPr="002029AF" w:rsidRDefault="00087B91" w:rsidP="00860E95">
            <w:pPr>
              <w:pStyle w:val="ARfintablebodyright"/>
            </w:pPr>
            <w:r w:rsidRPr="002029AF">
              <w:t>243.5</w:t>
            </w:r>
          </w:p>
        </w:tc>
        <w:tc>
          <w:tcPr>
            <w:tcW w:w="1040" w:type="dxa"/>
            <w:tcBorders>
              <w:top w:val="single" w:sz="4" w:space="0" w:color="A6A6A6"/>
              <w:bottom w:val="single" w:sz="4" w:space="0" w:color="A6A6A6"/>
            </w:tcBorders>
            <w:noWrap/>
            <w:hideMark/>
          </w:tcPr>
          <w:p w14:paraId="26DF2B1E" w14:textId="77777777" w:rsidR="00087B91" w:rsidRPr="002029AF" w:rsidRDefault="00087B91" w:rsidP="00860E95">
            <w:pPr>
              <w:pStyle w:val="ARfintablebodyright"/>
            </w:pPr>
            <w:r w:rsidRPr="002029AF">
              <w:t>–</w:t>
            </w:r>
          </w:p>
        </w:tc>
        <w:tc>
          <w:tcPr>
            <w:tcW w:w="1040" w:type="dxa"/>
            <w:tcBorders>
              <w:top w:val="single" w:sz="4" w:space="0" w:color="A6A6A6"/>
              <w:bottom w:val="single" w:sz="4" w:space="0" w:color="A6A6A6"/>
              <w:right w:val="nil"/>
            </w:tcBorders>
            <w:shd w:val="clear" w:color="auto" w:fill="E7E6E6"/>
            <w:noWrap/>
            <w:hideMark/>
          </w:tcPr>
          <w:p w14:paraId="5A85E527" w14:textId="77777777" w:rsidR="00087B91" w:rsidRPr="002029AF" w:rsidRDefault="00087B91" w:rsidP="00860E95">
            <w:pPr>
              <w:pStyle w:val="ARfintablebodyright"/>
            </w:pPr>
            <w:r w:rsidRPr="002029AF">
              <w:t>3.6</w:t>
            </w:r>
          </w:p>
        </w:tc>
        <w:tc>
          <w:tcPr>
            <w:tcW w:w="1072" w:type="dxa"/>
            <w:tcBorders>
              <w:top w:val="single" w:sz="4" w:space="0" w:color="A6A6A6"/>
              <w:left w:val="nil"/>
              <w:bottom w:val="single" w:sz="4" w:space="0" w:color="A6A6A6"/>
              <w:right w:val="nil"/>
            </w:tcBorders>
            <w:shd w:val="clear" w:color="auto" w:fill="E7E6E6"/>
            <w:noWrap/>
            <w:hideMark/>
          </w:tcPr>
          <w:p w14:paraId="5DB4FF67" w14:textId="77777777" w:rsidR="00087B91" w:rsidRPr="002029AF" w:rsidRDefault="00087B91" w:rsidP="00860E95">
            <w:pPr>
              <w:pStyle w:val="ARfintablebodyright"/>
            </w:pPr>
            <w:r w:rsidRPr="002029AF">
              <w:t>(42.1)</w:t>
            </w:r>
          </w:p>
        </w:tc>
        <w:tc>
          <w:tcPr>
            <w:tcW w:w="1072" w:type="dxa"/>
            <w:tcBorders>
              <w:top w:val="single" w:sz="4" w:space="0" w:color="A6A6A6"/>
              <w:left w:val="nil"/>
              <w:bottom w:val="single" w:sz="4" w:space="0" w:color="A6A6A6"/>
              <w:right w:val="nil"/>
            </w:tcBorders>
            <w:shd w:val="clear" w:color="auto" w:fill="E7E6E6"/>
            <w:noWrap/>
            <w:hideMark/>
          </w:tcPr>
          <w:p w14:paraId="03B70463" w14:textId="77777777" w:rsidR="00087B91" w:rsidRPr="002029AF" w:rsidRDefault="00087B91" w:rsidP="00860E95">
            <w:pPr>
              <w:pStyle w:val="ARfintablebodyright"/>
            </w:pPr>
            <w:r w:rsidRPr="002029AF">
              <w:t>–</w:t>
            </w:r>
          </w:p>
        </w:tc>
        <w:tc>
          <w:tcPr>
            <w:tcW w:w="1072" w:type="dxa"/>
            <w:tcBorders>
              <w:top w:val="single" w:sz="4" w:space="0" w:color="A6A6A6"/>
              <w:left w:val="nil"/>
              <w:bottom w:val="single" w:sz="4" w:space="0" w:color="A6A6A6"/>
            </w:tcBorders>
            <w:shd w:val="clear" w:color="auto" w:fill="E7E6E6"/>
            <w:noWrap/>
            <w:hideMark/>
          </w:tcPr>
          <w:p w14:paraId="1F300802" w14:textId="77777777" w:rsidR="00087B91" w:rsidRPr="002029AF" w:rsidRDefault="00087B91" w:rsidP="00860E95">
            <w:pPr>
              <w:pStyle w:val="ARfintablebodyright"/>
            </w:pPr>
            <w:r w:rsidRPr="002029AF">
              <w:t>–</w:t>
            </w:r>
          </w:p>
        </w:tc>
        <w:tc>
          <w:tcPr>
            <w:tcW w:w="1085" w:type="dxa"/>
            <w:tcBorders>
              <w:top w:val="single" w:sz="4" w:space="0" w:color="A6A6A6"/>
              <w:bottom w:val="single" w:sz="4" w:space="0" w:color="A6A6A6"/>
            </w:tcBorders>
            <w:noWrap/>
            <w:hideMark/>
          </w:tcPr>
          <w:p w14:paraId="10AFF77E" w14:textId="77777777" w:rsidR="00087B91" w:rsidRPr="002029AF" w:rsidRDefault="00087B91" w:rsidP="00860E95">
            <w:pPr>
              <w:pStyle w:val="ARfintablebodyright"/>
            </w:pPr>
            <w:r w:rsidRPr="002029AF">
              <w:t>466.6</w:t>
            </w:r>
          </w:p>
        </w:tc>
        <w:tc>
          <w:tcPr>
            <w:tcW w:w="1078" w:type="dxa"/>
            <w:tcBorders>
              <w:top w:val="single" w:sz="4" w:space="0" w:color="A6A6A6"/>
              <w:bottom w:val="single" w:sz="4" w:space="0" w:color="A6A6A6"/>
            </w:tcBorders>
            <w:noWrap/>
            <w:hideMark/>
          </w:tcPr>
          <w:p w14:paraId="49B64A2E" w14:textId="77777777" w:rsidR="00087B91" w:rsidRPr="002029AF" w:rsidRDefault="00087B91" w:rsidP="00860E95">
            <w:pPr>
              <w:pStyle w:val="ARfintablebodyright"/>
            </w:pPr>
            <w:r w:rsidRPr="002029AF">
              <w:t>266.6</w:t>
            </w:r>
          </w:p>
        </w:tc>
        <w:tc>
          <w:tcPr>
            <w:tcW w:w="1067" w:type="dxa"/>
            <w:tcBorders>
              <w:top w:val="single" w:sz="4" w:space="0" w:color="A6A6A6"/>
              <w:bottom w:val="single" w:sz="4" w:space="0" w:color="A6A6A6"/>
            </w:tcBorders>
            <w:noWrap/>
            <w:hideMark/>
          </w:tcPr>
          <w:p w14:paraId="7148A365" w14:textId="77777777" w:rsidR="00087B91" w:rsidRPr="002029AF" w:rsidRDefault="00087B91" w:rsidP="00860E95">
            <w:pPr>
              <w:pStyle w:val="ARfintablebodyright"/>
            </w:pPr>
            <w:r w:rsidRPr="002029AF">
              <w:t>200.0</w:t>
            </w:r>
          </w:p>
        </w:tc>
        <w:tc>
          <w:tcPr>
            <w:tcW w:w="433" w:type="dxa"/>
            <w:tcBorders>
              <w:top w:val="single" w:sz="4" w:space="0" w:color="A6A6A6"/>
              <w:bottom w:val="single" w:sz="4" w:space="0" w:color="A6A6A6"/>
            </w:tcBorders>
            <w:noWrap/>
            <w:hideMark/>
          </w:tcPr>
          <w:p w14:paraId="0AB14DFC" w14:textId="77777777" w:rsidR="00087B91" w:rsidRPr="002029AF" w:rsidRDefault="00087B91" w:rsidP="00860E95">
            <w:pPr>
              <w:pStyle w:val="ARfintablebodyright"/>
            </w:pPr>
            <w:r w:rsidRPr="002029AF">
              <w:rPr>
                <w:rStyle w:val="Superscript"/>
              </w:rPr>
              <w:t>(iv)</w:t>
            </w:r>
          </w:p>
        </w:tc>
      </w:tr>
      <w:tr w:rsidR="00087B91" w:rsidRPr="002029AF" w14:paraId="613814D5" w14:textId="77777777" w:rsidTr="00860E95">
        <w:tc>
          <w:tcPr>
            <w:tcW w:w="14459" w:type="dxa"/>
            <w:gridSpan w:val="12"/>
            <w:tcBorders>
              <w:top w:val="single" w:sz="4" w:space="0" w:color="A6A6A6"/>
              <w:bottom w:val="single" w:sz="4" w:space="0" w:color="A6A6A6"/>
            </w:tcBorders>
            <w:hideMark/>
          </w:tcPr>
          <w:p w14:paraId="37916E0F" w14:textId="77777777" w:rsidR="00087B91" w:rsidRPr="002029AF" w:rsidRDefault="00087B91" w:rsidP="00860E95">
            <w:pPr>
              <w:pStyle w:val="ARfintablebodybold"/>
            </w:pPr>
            <w:r w:rsidRPr="002029AF">
              <w:t>Administered</w:t>
            </w:r>
          </w:p>
        </w:tc>
      </w:tr>
      <w:tr w:rsidR="00087B91" w:rsidRPr="002029AF" w14:paraId="05D69702" w14:textId="77777777" w:rsidTr="00860E95">
        <w:tc>
          <w:tcPr>
            <w:tcW w:w="3340" w:type="dxa"/>
            <w:tcBorders>
              <w:top w:val="single" w:sz="4" w:space="0" w:color="A6A6A6"/>
            </w:tcBorders>
            <w:hideMark/>
          </w:tcPr>
          <w:p w14:paraId="3F8411FC" w14:textId="4280E9C0" w:rsidR="00087B91" w:rsidRPr="002029AF" w:rsidRDefault="00087B91" w:rsidP="00860E95">
            <w:pPr>
              <w:pStyle w:val="ARfintablebody"/>
            </w:pPr>
            <w:r w:rsidRPr="002029AF">
              <w:t>Payments</w:t>
            </w:r>
            <w:r w:rsidR="000A5329" w:rsidRPr="002029AF">
              <w:t xml:space="preserve"> </w:t>
            </w:r>
            <w:r w:rsidRPr="002029AF">
              <w:t>made</w:t>
            </w:r>
            <w:r w:rsidR="000A5329" w:rsidRPr="002029AF">
              <w:t xml:space="preserve"> </w:t>
            </w:r>
            <w:r w:rsidRPr="002029AF">
              <w:t>on</w:t>
            </w:r>
            <w:r w:rsidR="000A5329" w:rsidRPr="002029AF">
              <w:t xml:space="preserve"> </w:t>
            </w:r>
            <w:r w:rsidRPr="002029AF">
              <w:t>behalf</w:t>
            </w:r>
            <w:r w:rsidR="000A5329" w:rsidRPr="002029AF">
              <w:t xml:space="preserve"> </w:t>
            </w:r>
            <w:r w:rsidRPr="002029AF">
              <w:t>of</w:t>
            </w:r>
            <w:r w:rsidR="000A5329" w:rsidRPr="002029AF">
              <w:t xml:space="preserve"> </w:t>
            </w:r>
            <w:r w:rsidRPr="002029AF">
              <w:t>the</w:t>
            </w:r>
            <w:r w:rsidR="000A5329" w:rsidRPr="002029AF">
              <w:t xml:space="preserve"> </w:t>
            </w:r>
            <w:r w:rsidRPr="002029AF">
              <w:t>state</w:t>
            </w:r>
          </w:p>
        </w:tc>
        <w:tc>
          <w:tcPr>
            <w:tcW w:w="1085" w:type="dxa"/>
            <w:tcBorders>
              <w:top w:val="single" w:sz="4" w:space="0" w:color="A6A6A6"/>
            </w:tcBorders>
            <w:noWrap/>
            <w:hideMark/>
          </w:tcPr>
          <w:p w14:paraId="48B2CBE2" w14:textId="77777777" w:rsidR="00087B91" w:rsidRPr="002029AF" w:rsidRDefault="00087B91" w:rsidP="00860E95">
            <w:pPr>
              <w:pStyle w:val="ARfintablebodyright"/>
            </w:pPr>
            <w:r w:rsidRPr="002029AF">
              <w:t>63.8</w:t>
            </w:r>
          </w:p>
        </w:tc>
        <w:tc>
          <w:tcPr>
            <w:tcW w:w="1075" w:type="dxa"/>
            <w:tcBorders>
              <w:top w:val="single" w:sz="4" w:space="0" w:color="A6A6A6"/>
            </w:tcBorders>
            <w:noWrap/>
            <w:hideMark/>
          </w:tcPr>
          <w:p w14:paraId="0E44870E" w14:textId="77777777" w:rsidR="00087B91" w:rsidRPr="002029AF" w:rsidRDefault="00087B91" w:rsidP="00860E95">
            <w:pPr>
              <w:pStyle w:val="ARfintablebodyright"/>
            </w:pPr>
            <w:r w:rsidRPr="002029AF">
              <w:t>0.7</w:t>
            </w:r>
          </w:p>
        </w:tc>
        <w:tc>
          <w:tcPr>
            <w:tcW w:w="1040" w:type="dxa"/>
            <w:tcBorders>
              <w:top w:val="single" w:sz="4" w:space="0" w:color="A6A6A6"/>
            </w:tcBorders>
            <w:noWrap/>
            <w:hideMark/>
          </w:tcPr>
          <w:p w14:paraId="75FDD16A" w14:textId="77777777" w:rsidR="00087B91" w:rsidRPr="002029AF" w:rsidRDefault="00087B91" w:rsidP="00860E95">
            <w:pPr>
              <w:pStyle w:val="ARfintablebodyright"/>
            </w:pPr>
            <w:r w:rsidRPr="002029AF">
              <w:t>–</w:t>
            </w:r>
          </w:p>
        </w:tc>
        <w:tc>
          <w:tcPr>
            <w:tcW w:w="1040" w:type="dxa"/>
            <w:tcBorders>
              <w:top w:val="single" w:sz="4" w:space="0" w:color="A6A6A6"/>
              <w:right w:val="nil"/>
            </w:tcBorders>
            <w:shd w:val="clear" w:color="auto" w:fill="E7E6E6"/>
            <w:noWrap/>
            <w:hideMark/>
          </w:tcPr>
          <w:p w14:paraId="2557CB97" w14:textId="77777777" w:rsidR="00087B91" w:rsidRPr="002029AF" w:rsidRDefault="00087B91" w:rsidP="00860E95">
            <w:pPr>
              <w:pStyle w:val="ARfintablebodyright"/>
            </w:pPr>
            <w:r w:rsidRPr="002029AF">
              <w:t>–</w:t>
            </w:r>
          </w:p>
        </w:tc>
        <w:tc>
          <w:tcPr>
            <w:tcW w:w="1072" w:type="dxa"/>
            <w:tcBorders>
              <w:top w:val="single" w:sz="4" w:space="0" w:color="A6A6A6"/>
              <w:left w:val="nil"/>
              <w:right w:val="nil"/>
            </w:tcBorders>
            <w:shd w:val="clear" w:color="auto" w:fill="E7E6E6"/>
            <w:noWrap/>
            <w:hideMark/>
          </w:tcPr>
          <w:p w14:paraId="342A31E7" w14:textId="77777777" w:rsidR="00087B91" w:rsidRPr="002029AF" w:rsidRDefault="00087B91" w:rsidP="00860E95">
            <w:pPr>
              <w:pStyle w:val="ARfintablebodyright"/>
            </w:pPr>
            <w:r w:rsidRPr="002029AF">
              <w:t>–</w:t>
            </w:r>
          </w:p>
        </w:tc>
        <w:tc>
          <w:tcPr>
            <w:tcW w:w="1072" w:type="dxa"/>
            <w:tcBorders>
              <w:top w:val="single" w:sz="4" w:space="0" w:color="A6A6A6"/>
              <w:left w:val="nil"/>
              <w:right w:val="nil"/>
            </w:tcBorders>
            <w:shd w:val="clear" w:color="auto" w:fill="E7E6E6"/>
            <w:noWrap/>
            <w:hideMark/>
          </w:tcPr>
          <w:p w14:paraId="51C940C9" w14:textId="77777777" w:rsidR="00087B91" w:rsidRPr="002029AF" w:rsidRDefault="00087B91" w:rsidP="00860E95">
            <w:pPr>
              <w:pStyle w:val="ARfintablebodyright"/>
            </w:pPr>
            <w:r w:rsidRPr="002029AF">
              <w:t>–</w:t>
            </w:r>
          </w:p>
        </w:tc>
        <w:tc>
          <w:tcPr>
            <w:tcW w:w="1072" w:type="dxa"/>
            <w:tcBorders>
              <w:top w:val="single" w:sz="4" w:space="0" w:color="A6A6A6"/>
              <w:left w:val="nil"/>
            </w:tcBorders>
            <w:shd w:val="clear" w:color="auto" w:fill="E7E6E6"/>
            <w:noWrap/>
            <w:hideMark/>
          </w:tcPr>
          <w:p w14:paraId="30C73F01" w14:textId="77777777" w:rsidR="00087B91" w:rsidRPr="002029AF" w:rsidRDefault="00087B91" w:rsidP="00860E95">
            <w:pPr>
              <w:pStyle w:val="ARfintablebodyright"/>
            </w:pPr>
            <w:r w:rsidRPr="002029AF">
              <w:t>–</w:t>
            </w:r>
          </w:p>
        </w:tc>
        <w:tc>
          <w:tcPr>
            <w:tcW w:w="1085" w:type="dxa"/>
            <w:tcBorders>
              <w:top w:val="single" w:sz="4" w:space="0" w:color="A6A6A6"/>
            </w:tcBorders>
            <w:noWrap/>
            <w:hideMark/>
          </w:tcPr>
          <w:p w14:paraId="66C8D6FD" w14:textId="77777777" w:rsidR="00087B91" w:rsidRPr="002029AF" w:rsidRDefault="00087B91" w:rsidP="00860E95">
            <w:pPr>
              <w:pStyle w:val="ARfintablebodyright"/>
            </w:pPr>
            <w:r w:rsidRPr="002029AF">
              <w:t>64.5</w:t>
            </w:r>
          </w:p>
        </w:tc>
        <w:tc>
          <w:tcPr>
            <w:tcW w:w="1078" w:type="dxa"/>
            <w:tcBorders>
              <w:top w:val="single" w:sz="4" w:space="0" w:color="A6A6A6"/>
            </w:tcBorders>
            <w:noWrap/>
            <w:hideMark/>
          </w:tcPr>
          <w:p w14:paraId="41EC88A5" w14:textId="77777777" w:rsidR="00087B91" w:rsidRPr="002029AF" w:rsidRDefault="00087B91" w:rsidP="00860E95">
            <w:pPr>
              <w:pStyle w:val="ARfintablebodyright"/>
            </w:pPr>
            <w:r w:rsidRPr="002029AF">
              <w:t>64.5</w:t>
            </w:r>
          </w:p>
        </w:tc>
        <w:tc>
          <w:tcPr>
            <w:tcW w:w="1067" w:type="dxa"/>
            <w:tcBorders>
              <w:top w:val="single" w:sz="4" w:space="0" w:color="A6A6A6"/>
            </w:tcBorders>
            <w:noWrap/>
            <w:hideMark/>
          </w:tcPr>
          <w:p w14:paraId="2A42E887" w14:textId="77777777" w:rsidR="00087B91" w:rsidRPr="002029AF" w:rsidRDefault="00087B91" w:rsidP="00860E95">
            <w:pPr>
              <w:pStyle w:val="ARfintablebodyright"/>
            </w:pPr>
            <w:r w:rsidRPr="002029AF">
              <w:t>–</w:t>
            </w:r>
          </w:p>
        </w:tc>
        <w:tc>
          <w:tcPr>
            <w:tcW w:w="433" w:type="dxa"/>
            <w:tcBorders>
              <w:top w:val="single" w:sz="4" w:space="0" w:color="A6A6A6"/>
            </w:tcBorders>
            <w:noWrap/>
            <w:hideMark/>
          </w:tcPr>
          <w:p w14:paraId="63DF3A90" w14:textId="77777777" w:rsidR="00087B91" w:rsidRPr="002029AF" w:rsidRDefault="00087B91" w:rsidP="00860E95">
            <w:pPr>
              <w:pStyle w:val="ARfintablebodyright"/>
            </w:pPr>
          </w:p>
        </w:tc>
      </w:tr>
      <w:tr w:rsidR="00087B91" w:rsidRPr="002029AF" w14:paraId="0936F47F" w14:textId="77777777" w:rsidTr="00860E95">
        <w:tc>
          <w:tcPr>
            <w:tcW w:w="3340" w:type="dxa"/>
            <w:hideMark/>
          </w:tcPr>
          <w:p w14:paraId="146BE266" w14:textId="77777777" w:rsidR="00087B91" w:rsidRPr="002029AF" w:rsidRDefault="00087B91" w:rsidP="00860E95">
            <w:pPr>
              <w:pStyle w:val="ARfintablebodybold"/>
            </w:pPr>
            <w:r w:rsidRPr="002029AF">
              <w:t>Total</w:t>
            </w:r>
          </w:p>
        </w:tc>
        <w:tc>
          <w:tcPr>
            <w:tcW w:w="1085" w:type="dxa"/>
            <w:noWrap/>
            <w:hideMark/>
          </w:tcPr>
          <w:p w14:paraId="09D91F27" w14:textId="77777777" w:rsidR="00087B91" w:rsidRPr="002029AF" w:rsidRDefault="00087B91" w:rsidP="00860E95">
            <w:pPr>
              <w:pStyle w:val="ARfintablebodyrightbold"/>
            </w:pPr>
            <w:r w:rsidRPr="002029AF">
              <w:t>15,915.9</w:t>
            </w:r>
          </w:p>
        </w:tc>
        <w:tc>
          <w:tcPr>
            <w:tcW w:w="1075" w:type="dxa"/>
            <w:noWrap/>
            <w:hideMark/>
          </w:tcPr>
          <w:p w14:paraId="698CC234" w14:textId="77777777" w:rsidR="00087B91" w:rsidRPr="002029AF" w:rsidRDefault="00087B91" w:rsidP="00860E95">
            <w:pPr>
              <w:pStyle w:val="ARfintablebodyrightbold"/>
            </w:pPr>
            <w:r w:rsidRPr="002029AF">
              <w:t>1,675.9</w:t>
            </w:r>
          </w:p>
        </w:tc>
        <w:tc>
          <w:tcPr>
            <w:tcW w:w="1040" w:type="dxa"/>
            <w:noWrap/>
            <w:hideMark/>
          </w:tcPr>
          <w:p w14:paraId="58033715" w14:textId="77777777" w:rsidR="00087B91" w:rsidRPr="002029AF" w:rsidRDefault="00087B91" w:rsidP="00860E95">
            <w:pPr>
              <w:pStyle w:val="ARfintablebodyrightbold"/>
            </w:pPr>
            <w:r w:rsidRPr="002029AF">
              <w:t>–</w:t>
            </w:r>
          </w:p>
        </w:tc>
        <w:tc>
          <w:tcPr>
            <w:tcW w:w="1040" w:type="dxa"/>
            <w:tcBorders>
              <w:top w:val="single" w:sz="4" w:space="0" w:color="auto"/>
              <w:right w:val="nil"/>
            </w:tcBorders>
            <w:shd w:val="clear" w:color="auto" w:fill="E7E6E6"/>
            <w:noWrap/>
            <w:hideMark/>
          </w:tcPr>
          <w:p w14:paraId="0E64F394" w14:textId="77777777" w:rsidR="00087B91" w:rsidRPr="002029AF" w:rsidRDefault="00087B91" w:rsidP="00860E95">
            <w:pPr>
              <w:pStyle w:val="ARfintablebodyrightbold"/>
            </w:pPr>
            <w:r w:rsidRPr="002029AF">
              <w:t>851.0</w:t>
            </w:r>
          </w:p>
        </w:tc>
        <w:tc>
          <w:tcPr>
            <w:tcW w:w="1072" w:type="dxa"/>
            <w:tcBorders>
              <w:top w:val="single" w:sz="4" w:space="0" w:color="auto"/>
              <w:left w:val="nil"/>
              <w:right w:val="nil"/>
            </w:tcBorders>
            <w:shd w:val="clear" w:color="auto" w:fill="E7E6E6"/>
            <w:noWrap/>
            <w:hideMark/>
          </w:tcPr>
          <w:p w14:paraId="51E12B2A" w14:textId="77777777" w:rsidR="00087B91" w:rsidRPr="002029AF" w:rsidRDefault="00087B91" w:rsidP="00860E95">
            <w:pPr>
              <w:pStyle w:val="ARfintablebodyrightbold"/>
            </w:pPr>
            <w:r w:rsidRPr="002029AF">
              <w:t>–</w:t>
            </w:r>
          </w:p>
        </w:tc>
        <w:tc>
          <w:tcPr>
            <w:tcW w:w="1072" w:type="dxa"/>
            <w:tcBorders>
              <w:left w:val="nil"/>
              <w:right w:val="nil"/>
            </w:tcBorders>
            <w:shd w:val="clear" w:color="auto" w:fill="E7E6E6"/>
            <w:noWrap/>
            <w:hideMark/>
          </w:tcPr>
          <w:p w14:paraId="4641BF27" w14:textId="77777777" w:rsidR="00087B91" w:rsidRPr="002029AF" w:rsidRDefault="00087B91" w:rsidP="00860E95">
            <w:pPr>
              <w:pStyle w:val="ARfintablebodyrightbold"/>
            </w:pPr>
            <w:r w:rsidRPr="002029AF">
              <w:t>51.8</w:t>
            </w:r>
          </w:p>
        </w:tc>
        <w:tc>
          <w:tcPr>
            <w:tcW w:w="1072" w:type="dxa"/>
            <w:tcBorders>
              <w:left w:val="nil"/>
            </w:tcBorders>
            <w:shd w:val="clear" w:color="auto" w:fill="E7E6E6"/>
            <w:noWrap/>
            <w:hideMark/>
          </w:tcPr>
          <w:p w14:paraId="634F0D4A" w14:textId="77777777" w:rsidR="00087B91" w:rsidRPr="002029AF" w:rsidRDefault="00087B91" w:rsidP="00860E95">
            <w:pPr>
              <w:pStyle w:val="ARfintablebodyrightbold"/>
            </w:pPr>
            <w:r w:rsidRPr="002029AF">
              <w:t>–</w:t>
            </w:r>
          </w:p>
        </w:tc>
        <w:tc>
          <w:tcPr>
            <w:tcW w:w="1085" w:type="dxa"/>
            <w:noWrap/>
            <w:hideMark/>
          </w:tcPr>
          <w:p w14:paraId="6ABDACB7" w14:textId="77777777" w:rsidR="00087B91" w:rsidRPr="002029AF" w:rsidRDefault="00087B91" w:rsidP="00860E95">
            <w:pPr>
              <w:pStyle w:val="ARfintablebodyrightbold"/>
            </w:pPr>
            <w:r w:rsidRPr="002029AF">
              <w:t>18,494.6</w:t>
            </w:r>
          </w:p>
        </w:tc>
        <w:tc>
          <w:tcPr>
            <w:tcW w:w="1078" w:type="dxa"/>
            <w:noWrap/>
            <w:hideMark/>
          </w:tcPr>
          <w:p w14:paraId="0997EAB6" w14:textId="77777777" w:rsidR="00087B91" w:rsidRPr="002029AF" w:rsidRDefault="00087B91" w:rsidP="00860E95">
            <w:pPr>
              <w:pStyle w:val="ARfintablebodyrightbold"/>
            </w:pPr>
            <w:r w:rsidRPr="002029AF">
              <w:t>17,931.1</w:t>
            </w:r>
          </w:p>
        </w:tc>
        <w:tc>
          <w:tcPr>
            <w:tcW w:w="1067" w:type="dxa"/>
            <w:noWrap/>
            <w:hideMark/>
          </w:tcPr>
          <w:p w14:paraId="2413EFC2" w14:textId="77777777" w:rsidR="00087B91" w:rsidRPr="002029AF" w:rsidRDefault="00087B91" w:rsidP="00860E95">
            <w:pPr>
              <w:pStyle w:val="ARfintablebodyrightbold"/>
            </w:pPr>
            <w:r w:rsidRPr="002029AF">
              <w:t>563.5</w:t>
            </w:r>
          </w:p>
        </w:tc>
        <w:tc>
          <w:tcPr>
            <w:tcW w:w="433" w:type="dxa"/>
            <w:noWrap/>
            <w:hideMark/>
          </w:tcPr>
          <w:p w14:paraId="2BE19C53" w14:textId="77777777" w:rsidR="00087B91" w:rsidRPr="002029AF" w:rsidRDefault="00087B91" w:rsidP="00860E95">
            <w:pPr>
              <w:pStyle w:val="ARfintablebodyrightbold"/>
            </w:pPr>
          </w:p>
        </w:tc>
      </w:tr>
      <w:tr w:rsidR="00087B91" w:rsidRPr="002029AF" w14:paraId="0699F17E" w14:textId="77777777" w:rsidTr="00860E95">
        <w:tc>
          <w:tcPr>
            <w:tcW w:w="14459" w:type="dxa"/>
            <w:gridSpan w:val="12"/>
            <w:tcBorders>
              <w:bottom w:val="single" w:sz="4" w:space="0" w:color="auto"/>
            </w:tcBorders>
            <w:hideMark/>
          </w:tcPr>
          <w:p w14:paraId="1C4E6589" w14:textId="77777777" w:rsidR="00087B91" w:rsidRPr="002029AF" w:rsidRDefault="00087B91" w:rsidP="00860E95">
            <w:pPr>
              <w:pStyle w:val="ARfintablebodybold"/>
            </w:pPr>
            <w:r w:rsidRPr="002029AF">
              <w:t>2019</w:t>
            </w:r>
          </w:p>
        </w:tc>
      </w:tr>
      <w:tr w:rsidR="00087B91" w:rsidRPr="002029AF" w14:paraId="4D5B81AF" w14:textId="77777777" w:rsidTr="00860E95">
        <w:tc>
          <w:tcPr>
            <w:tcW w:w="14459" w:type="dxa"/>
            <w:gridSpan w:val="12"/>
            <w:tcBorders>
              <w:top w:val="single" w:sz="4" w:space="0" w:color="auto"/>
              <w:bottom w:val="single" w:sz="4" w:space="0" w:color="A6A6A6"/>
            </w:tcBorders>
            <w:hideMark/>
          </w:tcPr>
          <w:p w14:paraId="5AD23581" w14:textId="77777777" w:rsidR="00087B91" w:rsidRPr="002029AF" w:rsidRDefault="00087B91" w:rsidP="00860E95">
            <w:pPr>
              <w:pStyle w:val="ARfintablebodybold"/>
            </w:pPr>
            <w:r w:rsidRPr="002029AF">
              <w:t>Controlled</w:t>
            </w:r>
          </w:p>
        </w:tc>
      </w:tr>
      <w:tr w:rsidR="00087B91" w:rsidRPr="002029AF" w14:paraId="5E688EEB" w14:textId="77777777" w:rsidTr="00860E95">
        <w:tc>
          <w:tcPr>
            <w:tcW w:w="3340" w:type="dxa"/>
            <w:tcBorders>
              <w:top w:val="single" w:sz="4" w:space="0" w:color="A6A6A6"/>
              <w:bottom w:val="single" w:sz="4" w:space="0" w:color="A6A6A6"/>
            </w:tcBorders>
            <w:hideMark/>
          </w:tcPr>
          <w:p w14:paraId="4A8AFF06" w14:textId="3BEC49BD" w:rsidR="00087B91" w:rsidRPr="002029AF" w:rsidRDefault="00087B91" w:rsidP="00860E95">
            <w:pPr>
              <w:pStyle w:val="ARfintablebody"/>
            </w:pPr>
            <w:r w:rsidRPr="002029AF">
              <w:t>Provision</w:t>
            </w:r>
            <w:r w:rsidR="000A5329" w:rsidRPr="002029AF">
              <w:t xml:space="preserve"> </w:t>
            </w:r>
            <w:r w:rsidRPr="002029AF">
              <w:t>of</w:t>
            </w:r>
            <w:r w:rsidR="000A5329" w:rsidRPr="002029AF">
              <w:t xml:space="preserve"> </w:t>
            </w:r>
            <w:r w:rsidRPr="002029AF">
              <w:t>outputs</w:t>
            </w:r>
          </w:p>
        </w:tc>
        <w:tc>
          <w:tcPr>
            <w:tcW w:w="1085" w:type="dxa"/>
            <w:tcBorders>
              <w:top w:val="single" w:sz="4" w:space="0" w:color="A6A6A6"/>
              <w:bottom w:val="single" w:sz="4" w:space="0" w:color="A6A6A6"/>
            </w:tcBorders>
            <w:noWrap/>
            <w:hideMark/>
          </w:tcPr>
          <w:p w14:paraId="51666AF6" w14:textId="77777777" w:rsidR="00087B91" w:rsidRPr="002029AF" w:rsidRDefault="00087B91" w:rsidP="00860E95">
            <w:pPr>
              <w:pStyle w:val="ARfintablebodyright"/>
            </w:pPr>
            <w:r w:rsidRPr="002029AF">
              <w:t>15,246.7</w:t>
            </w:r>
          </w:p>
        </w:tc>
        <w:tc>
          <w:tcPr>
            <w:tcW w:w="1075" w:type="dxa"/>
            <w:tcBorders>
              <w:top w:val="single" w:sz="4" w:space="0" w:color="A6A6A6"/>
              <w:bottom w:val="single" w:sz="4" w:space="0" w:color="A6A6A6"/>
            </w:tcBorders>
            <w:noWrap/>
            <w:hideMark/>
          </w:tcPr>
          <w:p w14:paraId="61223AC7" w14:textId="77777777" w:rsidR="00087B91" w:rsidRPr="002029AF" w:rsidRDefault="00087B91" w:rsidP="00860E95">
            <w:pPr>
              <w:pStyle w:val="ARfintablebodyright"/>
            </w:pPr>
            <w:r w:rsidRPr="002029AF">
              <w:t>491.6</w:t>
            </w:r>
          </w:p>
        </w:tc>
        <w:tc>
          <w:tcPr>
            <w:tcW w:w="1040" w:type="dxa"/>
            <w:tcBorders>
              <w:top w:val="single" w:sz="4" w:space="0" w:color="A6A6A6"/>
              <w:bottom w:val="single" w:sz="4" w:space="0" w:color="A6A6A6"/>
            </w:tcBorders>
            <w:noWrap/>
            <w:hideMark/>
          </w:tcPr>
          <w:p w14:paraId="7935D535" w14:textId="77777777" w:rsidR="00087B91" w:rsidRPr="002029AF" w:rsidRDefault="00087B91" w:rsidP="00860E95">
            <w:pPr>
              <w:pStyle w:val="ARfintablebodyright"/>
            </w:pPr>
            <w:r w:rsidRPr="002029AF">
              <w:t>–</w:t>
            </w:r>
          </w:p>
        </w:tc>
        <w:tc>
          <w:tcPr>
            <w:tcW w:w="1040" w:type="dxa"/>
            <w:tcBorders>
              <w:top w:val="single" w:sz="4" w:space="0" w:color="A6A6A6"/>
              <w:bottom w:val="single" w:sz="4" w:space="0" w:color="A6A6A6"/>
              <w:right w:val="nil"/>
            </w:tcBorders>
            <w:shd w:val="clear" w:color="auto" w:fill="E7E6E6"/>
            <w:noWrap/>
            <w:hideMark/>
          </w:tcPr>
          <w:p w14:paraId="21414831" w14:textId="77777777" w:rsidR="00087B91" w:rsidRPr="002029AF" w:rsidRDefault="00087B91" w:rsidP="00860E95">
            <w:pPr>
              <w:pStyle w:val="ARfintablebodyright"/>
            </w:pPr>
            <w:r w:rsidRPr="002029AF">
              <w:t>1,007.7</w:t>
            </w:r>
          </w:p>
        </w:tc>
        <w:tc>
          <w:tcPr>
            <w:tcW w:w="1072" w:type="dxa"/>
            <w:tcBorders>
              <w:top w:val="single" w:sz="4" w:space="0" w:color="A6A6A6"/>
              <w:left w:val="nil"/>
              <w:bottom w:val="single" w:sz="4" w:space="0" w:color="A6A6A6"/>
              <w:right w:val="nil"/>
            </w:tcBorders>
            <w:shd w:val="clear" w:color="auto" w:fill="E7E6E6"/>
            <w:noWrap/>
            <w:hideMark/>
          </w:tcPr>
          <w:p w14:paraId="607B560B" w14:textId="77777777" w:rsidR="00087B91" w:rsidRPr="002029AF" w:rsidRDefault="00087B91" w:rsidP="00860E95">
            <w:pPr>
              <w:pStyle w:val="ARfintablebodyright"/>
            </w:pPr>
            <w:r w:rsidRPr="002029AF">
              <w:t>30.1</w:t>
            </w:r>
          </w:p>
        </w:tc>
        <w:tc>
          <w:tcPr>
            <w:tcW w:w="1072" w:type="dxa"/>
            <w:tcBorders>
              <w:top w:val="single" w:sz="4" w:space="0" w:color="A6A6A6"/>
              <w:left w:val="nil"/>
              <w:bottom w:val="single" w:sz="4" w:space="0" w:color="A6A6A6"/>
              <w:right w:val="nil"/>
            </w:tcBorders>
            <w:shd w:val="clear" w:color="auto" w:fill="E7E6E6"/>
            <w:noWrap/>
            <w:hideMark/>
          </w:tcPr>
          <w:p w14:paraId="76A0C074" w14:textId="77777777" w:rsidR="00087B91" w:rsidRPr="002029AF" w:rsidRDefault="00087B91" w:rsidP="00860E95">
            <w:pPr>
              <w:pStyle w:val="ARfintablebodyright"/>
            </w:pPr>
            <w:r w:rsidRPr="002029AF">
              <w:t>54.4</w:t>
            </w:r>
          </w:p>
        </w:tc>
        <w:tc>
          <w:tcPr>
            <w:tcW w:w="1072" w:type="dxa"/>
            <w:tcBorders>
              <w:top w:val="single" w:sz="4" w:space="0" w:color="A6A6A6"/>
              <w:left w:val="nil"/>
              <w:bottom w:val="single" w:sz="4" w:space="0" w:color="A6A6A6"/>
            </w:tcBorders>
            <w:shd w:val="clear" w:color="auto" w:fill="E7E6E6"/>
            <w:noWrap/>
            <w:hideMark/>
          </w:tcPr>
          <w:p w14:paraId="100427E4" w14:textId="77777777" w:rsidR="00087B91" w:rsidRPr="002029AF" w:rsidRDefault="00087B91" w:rsidP="00860E95">
            <w:pPr>
              <w:pStyle w:val="ARfintablebodyright"/>
            </w:pPr>
            <w:r w:rsidRPr="002029AF">
              <w:t>–</w:t>
            </w:r>
          </w:p>
        </w:tc>
        <w:tc>
          <w:tcPr>
            <w:tcW w:w="1085" w:type="dxa"/>
            <w:tcBorders>
              <w:top w:val="single" w:sz="4" w:space="0" w:color="A6A6A6"/>
              <w:bottom w:val="single" w:sz="4" w:space="0" w:color="A6A6A6"/>
            </w:tcBorders>
            <w:noWrap/>
            <w:hideMark/>
          </w:tcPr>
          <w:p w14:paraId="0A7B1226" w14:textId="77777777" w:rsidR="00087B91" w:rsidRPr="002029AF" w:rsidRDefault="00087B91" w:rsidP="00860E95">
            <w:pPr>
              <w:pStyle w:val="ARfintablebodyright"/>
            </w:pPr>
            <w:r w:rsidRPr="002029AF">
              <w:t>16,830.5</w:t>
            </w:r>
          </w:p>
        </w:tc>
        <w:tc>
          <w:tcPr>
            <w:tcW w:w="1078" w:type="dxa"/>
            <w:tcBorders>
              <w:top w:val="single" w:sz="4" w:space="0" w:color="A6A6A6"/>
              <w:bottom w:val="single" w:sz="4" w:space="0" w:color="A6A6A6"/>
            </w:tcBorders>
            <w:noWrap/>
            <w:hideMark/>
          </w:tcPr>
          <w:p w14:paraId="2E73F7C0" w14:textId="77777777" w:rsidR="00087B91" w:rsidRPr="002029AF" w:rsidRDefault="00087B91" w:rsidP="00860E95">
            <w:pPr>
              <w:pStyle w:val="ARfintablebodyright"/>
            </w:pPr>
            <w:r w:rsidRPr="002029AF">
              <w:t>16,182.9</w:t>
            </w:r>
          </w:p>
        </w:tc>
        <w:tc>
          <w:tcPr>
            <w:tcW w:w="1067" w:type="dxa"/>
            <w:tcBorders>
              <w:top w:val="single" w:sz="4" w:space="0" w:color="A6A6A6"/>
              <w:bottom w:val="single" w:sz="4" w:space="0" w:color="A6A6A6"/>
            </w:tcBorders>
            <w:noWrap/>
            <w:hideMark/>
          </w:tcPr>
          <w:p w14:paraId="31F44037" w14:textId="77777777" w:rsidR="00087B91" w:rsidRPr="002029AF" w:rsidRDefault="00087B91" w:rsidP="00860E95">
            <w:pPr>
              <w:pStyle w:val="ARfintablebodyright"/>
            </w:pPr>
            <w:r w:rsidRPr="002029AF">
              <w:t>647.6</w:t>
            </w:r>
          </w:p>
        </w:tc>
        <w:tc>
          <w:tcPr>
            <w:tcW w:w="433" w:type="dxa"/>
            <w:tcBorders>
              <w:top w:val="single" w:sz="4" w:space="0" w:color="A6A6A6"/>
              <w:bottom w:val="single" w:sz="4" w:space="0" w:color="A6A6A6"/>
            </w:tcBorders>
            <w:noWrap/>
            <w:hideMark/>
          </w:tcPr>
          <w:p w14:paraId="0250520E" w14:textId="77777777" w:rsidR="00087B91" w:rsidRPr="002029AF" w:rsidRDefault="00087B91" w:rsidP="00860E95">
            <w:pPr>
              <w:pStyle w:val="ARfintablebodyright"/>
            </w:pPr>
            <w:r w:rsidRPr="002029AF">
              <w:rPr>
                <w:rStyle w:val="Superscript"/>
              </w:rPr>
              <w:t>(v)</w:t>
            </w:r>
          </w:p>
        </w:tc>
      </w:tr>
      <w:tr w:rsidR="00087B91" w:rsidRPr="002029AF" w14:paraId="2858AD5D" w14:textId="77777777" w:rsidTr="00860E95">
        <w:tc>
          <w:tcPr>
            <w:tcW w:w="3340" w:type="dxa"/>
            <w:tcBorders>
              <w:top w:val="single" w:sz="4" w:space="0" w:color="A6A6A6"/>
              <w:bottom w:val="single" w:sz="4" w:space="0" w:color="A6A6A6"/>
            </w:tcBorders>
            <w:hideMark/>
          </w:tcPr>
          <w:p w14:paraId="6C3FB12D" w14:textId="4723E8E9" w:rsidR="00087B91" w:rsidRPr="002029AF" w:rsidRDefault="00087B91" w:rsidP="00860E95">
            <w:pPr>
              <w:pStyle w:val="ARfintablebody"/>
            </w:pPr>
            <w:r w:rsidRPr="002029AF">
              <w:t>Additions</w:t>
            </w:r>
            <w:r w:rsidR="000A5329" w:rsidRPr="002029AF">
              <w:t xml:space="preserve"> </w:t>
            </w:r>
            <w:r w:rsidRPr="002029AF">
              <w:t>to</w:t>
            </w:r>
            <w:r w:rsidR="000A5329" w:rsidRPr="002029AF">
              <w:t xml:space="preserve"> </w:t>
            </w:r>
            <w:r w:rsidRPr="002029AF">
              <w:t>net</w:t>
            </w:r>
            <w:r w:rsidR="000A5329" w:rsidRPr="002029AF">
              <w:t xml:space="preserve"> </w:t>
            </w:r>
            <w:r w:rsidRPr="002029AF">
              <w:t>assets</w:t>
            </w:r>
          </w:p>
        </w:tc>
        <w:tc>
          <w:tcPr>
            <w:tcW w:w="1085" w:type="dxa"/>
            <w:tcBorders>
              <w:top w:val="single" w:sz="4" w:space="0" w:color="A6A6A6"/>
              <w:bottom w:val="single" w:sz="4" w:space="0" w:color="A6A6A6"/>
            </w:tcBorders>
            <w:noWrap/>
            <w:hideMark/>
          </w:tcPr>
          <w:p w14:paraId="627CFA17" w14:textId="77777777" w:rsidR="00087B91" w:rsidRPr="002029AF" w:rsidRDefault="00087B91" w:rsidP="00860E95">
            <w:pPr>
              <w:pStyle w:val="ARfintablebodyright"/>
            </w:pPr>
            <w:r w:rsidRPr="002029AF">
              <w:t>305.3</w:t>
            </w:r>
          </w:p>
        </w:tc>
        <w:tc>
          <w:tcPr>
            <w:tcW w:w="1075" w:type="dxa"/>
            <w:tcBorders>
              <w:top w:val="single" w:sz="4" w:space="0" w:color="A6A6A6"/>
              <w:bottom w:val="single" w:sz="4" w:space="0" w:color="A6A6A6"/>
            </w:tcBorders>
            <w:noWrap/>
            <w:hideMark/>
          </w:tcPr>
          <w:p w14:paraId="6F93302D" w14:textId="77777777" w:rsidR="00087B91" w:rsidRPr="002029AF" w:rsidRDefault="00087B91" w:rsidP="00860E95">
            <w:pPr>
              <w:pStyle w:val="ARfintablebodyright"/>
            </w:pPr>
            <w:r w:rsidRPr="002029AF">
              <w:t>14.0</w:t>
            </w:r>
          </w:p>
        </w:tc>
        <w:tc>
          <w:tcPr>
            <w:tcW w:w="1040" w:type="dxa"/>
            <w:tcBorders>
              <w:top w:val="single" w:sz="4" w:space="0" w:color="A6A6A6"/>
              <w:bottom w:val="single" w:sz="4" w:space="0" w:color="A6A6A6"/>
            </w:tcBorders>
            <w:noWrap/>
            <w:hideMark/>
          </w:tcPr>
          <w:p w14:paraId="7CAC16CB" w14:textId="77777777" w:rsidR="00087B91" w:rsidRPr="002029AF" w:rsidRDefault="00087B91" w:rsidP="00860E95">
            <w:pPr>
              <w:pStyle w:val="ARfintablebodyright"/>
            </w:pPr>
            <w:r w:rsidRPr="002029AF">
              <w:t>–</w:t>
            </w:r>
          </w:p>
        </w:tc>
        <w:tc>
          <w:tcPr>
            <w:tcW w:w="1040" w:type="dxa"/>
            <w:tcBorders>
              <w:top w:val="single" w:sz="4" w:space="0" w:color="A6A6A6"/>
              <w:bottom w:val="single" w:sz="4" w:space="0" w:color="A6A6A6"/>
              <w:right w:val="nil"/>
            </w:tcBorders>
            <w:shd w:val="clear" w:color="auto" w:fill="E7E6E6"/>
            <w:noWrap/>
            <w:hideMark/>
          </w:tcPr>
          <w:p w14:paraId="70F3720A" w14:textId="77777777" w:rsidR="00087B91" w:rsidRPr="002029AF" w:rsidRDefault="00087B91" w:rsidP="00860E95">
            <w:pPr>
              <w:pStyle w:val="ARfintablebodyright"/>
            </w:pPr>
            <w:r w:rsidRPr="002029AF">
              <w:t>2.6</w:t>
            </w:r>
          </w:p>
        </w:tc>
        <w:tc>
          <w:tcPr>
            <w:tcW w:w="1072" w:type="dxa"/>
            <w:tcBorders>
              <w:top w:val="single" w:sz="4" w:space="0" w:color="A6A6A6"/>
              <w:left w:val="nil"/>
              <w:bottom w:val="single" w:sz="4" w:space="0" w:color="A6A6A6"/>
              <w:right w:val="nil"/>
            </w:tcBorders>
            <w:shd w:val="clear" w:color="auto" w:fill="E7E6E6"/>
            <w:noWrap/>
            <w:hideMark/>
          </w:tcPr>
          <w:p w14:paraId="466AD30F" w14:textId="77777777" w:rsidR="00087B91" w:rsidRPr="002029AF" w:rsidRDefault="00087B91" w:rsidP="00860E95">
            <w:pPr>
              <w:pStyle w:val="ARfintablebodyright"/>
            </w:pPr>
            <w:r w:rsidRPr="002029AF">
              <w:t>(30.1)</w:t>
            </w:r>
          </w:p>
        </w:tc>
        <w:tc>
          <w:tcPr>
            <w:tcW w:w="1072" w:type="dxa"/>
            <w:tcBorders>
              <w:top w:val="single" w:sz="4" w:space="0" w:color="A6A6A6"/>
              <w:left w:val="nil"/>
              <w:bottom w:val="single" w:sz="4" w:space="0" w:color="A6A6A6"/>
              <w:right w:val="nil"/>
            </w:tcBorders>
            <w:shd w:val="clear" w:color="auto" w:fill="E7E6E6"/>
            <w:noWrap/>
            <w:hideMark/>
          </w:tcPr>
          <w:p w14:paraId="0B2FAFCF" w14:textId="77777777" w:rsidR="00087B91" w:rsidRPr="002029AF" w:rsidRDefault="00087B91" w:rsidP="00860E95">
            <w:pPr>
              <w:pStyle w:val="ARfintablebodyright"/>
            </w:pPr>
            <w:r w:rsidRPr="002029AF">
              <w:t>–</w:t>
            </w:r>
          </w:p>
        </w:tc>
        <w:tc>
          <w:tcPr>
            <w:tcW w:w="1072" w:type="dxa"/>
            <w:tcBorders>
              <w:top w:val="single" w:sz="4" w:space="0" w:color="A6A6A6"/>
              <w:left w:val="nil"/>
              <w:bottom w:val="single" w:sz="4" w:space="0" w:color="A6A6A6"/>
            </w:tcBorders>
            <w:shd w:val="clear" w:color="auto" w:fill="E7E6E6"/>
            <w:noWrap/>
            <w:hideMark/>
          </w:tcPr>
          <w:p w14:paraId="3F784502" w14:textId="77777777" w:rsidR="00087B91" w:rsidRPr="002029AF" w:rsidRDefault="00087B91" w:rsidP="00860E95">
            <w:pPr>
              <w:pStyle w:val="ARfintablebodyright"/>
            </w:pPr>
            <w:r w:rsidRPr="002029AF">
              <w:t>–</w:t>
            </w:r>
          </w:p>
        </w:tc>
        <w:tc>
          <w:tcPr>
            <w:tcW w:w="1085" w:type="dxa"/>
            <w:tcBorders>
              <w:top w:val="single" w:sz="4" w:space="0" w:color="A6A6A6"/>
              <w:bottom w:val="single" w:sz="4" w:space="0" w:color="A6A6A6"/>
            </w:tcBorders>
            <w:noWrap/>
            <w:hideMark/>
          </w:tcPr>
          <w:p w14:paraId="03FC2909" w14:textId="77777777" w:rsidR="00087B91" w:rsidRPr="002029AF" w:rsidRDefault="00087B91" w:rsidP="00860E95">
            <w:pPr>
              <w:pStyle w:val="ARfintablebodyright"/>
            </w:pPr>
            <w:r w:rsidRPr="002029AF">
              <w:t>291.7</w:t>
            </w:r>
          </w:p>
        </w:tc>
        <w:tc>
          <w:tcPr>
            <w:tcW w:w="1078" w:type="dxa"/>
            <w:tcBorders>
              <w:top w:val="single" w:sz="4" w:space="0" w:color="A6A6A6"/>
              <w:bottom w:val="single" w:sz="4" w:space="0" w:color="A6A6A6"/>
            </w:tcBorders>
            <w:noWrap/>
            <w:hideMark/>
          </w:tcPr>
          <w:p w14:paraId="7BBEE06F" w14:textId="77777777" w:rsidR="00087B91" w:rsidRPr="002029AF" w:rsidRDefault="00087B91" w:rsidP="00860E95">
            <w:pPr>
              <w:pStyle w:val="ARfintablebodyright"/>
            </w:pPr>
            <w:r w:rsidRPr="002029AF">
              <w:t>159.2</w:t>
            </w:r>
          </w:p>
        </w:tc>
        <w:tc>
          <w:tcPr>
            <w:tcW w:w="1067" w:type="dxa"/>
            <w:tcBorders>
              <w:top w:val="single" w:sz="4" w:space="0" w:color="A6A6A6"/>
              <w:bottom w:val="single" w:sz="4" w:space="0" w:color="A6A6A6"/>
            </w:tcBorders>
            <w:noWrap/>
            <w:hideMark/>
          </w:tcPr>
          <w:p w14:paraId="64B4FBEE" w14:textId="77777777" w:rsidR="00087B91" w:rsidRPr="002029AF" w:rsidRDefault="00087B91" w:rsidP="00860E95">
            <w:pPr>
              <w:pStyle w:val="ARfintablebodyright"/>
            </w:pPr>
            <w:r w:rsidRPr="002029AF">
              <w:t>132.5</w:t>
            </w:r>
          </w:p>
        </w:tc>
        <w:tc>
          <w:tcPr>
            <w:tcW w:w="433" w:type="dxa"/>
            <w:tcBorders>
              <w:top w:val="single" w:sz="4" w:space="0" w:color="A6A6A6"/>
              <w:bottom w:val="single" w:sz="4" w:space="0" w:color="A6A6A6"/>
            </w:tcBorders>
            <w:noWrap/>
            <w:hideMark/>
          </w:tcPr>
          <w:p w14:paraId="0E31D22C" w14:textId="77777777" w:rsidR="00087B91" w:rsidRPr="002029AF" w:rsidRDefault="00087B91" w:rsidP="00860E95">
            <w:pPr>
              <w:pStyle w:val="ARfintablebodyright"/>
            </w:pPr>
            <w:r w:rsidRPr="002029AF">
              <w:rPr>
                <w:rStyle w:val="Superscript"/>
              </w:rPr>
              <w:t>(vi)</w:t>
            </w:r>
          </w:p>
        </w:tc>
      </w:tr>
      <w:tr w:rsidR="00087B91" w:rsidRPr="002029AF" w14:paraId="2481F7A5" w14:textId="77777777" w:rsidTr="00860E95">
        <w:tc>
          <w:tcPr>
            <w:tcW w:w="14459" w:type="dxa"/>
            <w:gridSpan w:val="12"/>
            <w:tcBorders>
              <w:top w:val="single" w:sz="4" w:space="0" w:color="A6A6A6"/>
              <w:bottom w:val="single" w:sz="4" w:space="0" w:color="A6A6A6"/>
            </w:tcBorders>
            <w:hideMark/>
          </w:tcPr>
          <w:p w14:paraId="6CFF9848" w14:textId="77777777" w:rsidR="00087B91" w:rsidRPr="002029AF" w:rsidRDefault="00087B91" w:rsidP="00860E95">
            <w:pPr>
              <w:pStyle w:val="ARfintablebodybold"/>
            </w:pPr>
            <w:r w:rsidRPr="002029AF">
              <w:t>Administered</w:t>
            </w:r>
          </w:p>
        </w:tc>
      </w:tr>
      <w:tr w:rsidR="00087B91" w:rsidRPr="002029AF" w14:paraId="7615E98C" w14:textId="77777777" w:rsidTr="00860E95">
        <w:tc>
          <w:tcPr>
            <w:tcW w:w="3340" w:type="dxa"/>
            <w:tcBorders>
              <w:top w:val="single" w:sz="4" w:space="0" w:color="A6A6A6"/>
            </w:tcBorders>
            <w:hideMark/>
          </w:tcPr>
          <w:p w14:paraId="29064797" w14:textId="70F225A1" w:rsidR="00087B91" w:rsidRPr="002029AF" w:rsidRDefault="00087B91" w:rsidP="00860E95">
            <w:pPr>
              <w:pStyle w:val="ARfintablebody"/>
            </w:pPr>
            <w:r w:rsidRPr="002029AF">
              <w:t>Payments</w:t>
            </w:r>
            <w:r w:rsidR="000A5329" w:rsidRPr="002029AF">
              <w:t xml:space="preserve"> </w:t>
            </w:r>
            <w:r w:rsidRPr="002029AF">
              <w:t>made</w:t>
            </w:r>
            <w:r w:rsidR="000A5329" w:rsidRPr="002029AF">
              <w:t xml:space="preserve"> </w:t>
            </w:r>
            <w:r w:rsidRPr="002029AF">
              <w:t>on</w:t>
            </w:r>
            <w:r w:rsidR="000A5329" w:rsidRPr="002029AF">
              <w:t xml:space="preserve"> </w:t>
            </w:r>
            <w:r w:rsidRPr="002029AF">
              <w:t>behalf</w:t>
            </w:r>
            <w:r w:rsidR="000A5329" w:rsidRPr="002029AF">
              <w:t xml:space="preserve"> </w:t>
            </w:r>
            <w:r w:rsidRPr="002029AF">
              <w:t>of</w:t>
            </w:r>
            <w:r w:rsidR="000A5329" w:rsidRPr="002029AF">
              <w:t xml:space="preserve"> </w:t>
            </w:r>
            <w:r w:rsidRPr="002029AF">
              <w:t>the</w:t>
            </w:r>
            <w:r w:rsidR="000A5329" w:rsidRPr="002029AF">
              <w:t xml:space="preserve"> </w:t>
            </w:r>
            <w:r w:rsidRPr="002029AF">
              <w:t>state</w:t>
            </w:r>
          </w:p>
        </w:tc>
        <w:tc>
          <w:tcPr>
            <w:tcW w:w="1085" w:type="dxa"/>
            <w:tcBorders>
              <w:top w:val="single" w:sz="4" w:space="0" w:color="A6A6A6"/>
            </w:tcBorders>
            <w:noWrap/>
            <w:hideMark/>
          </w:tcPr>
          <w:p w14:paraId="70F52CBE" w14:textId="77777777" w:rsidR="00087B91" w:rsidRPr="002029AF" w:rsidRDefault="00087B91" w:rsidP="00860E95">
            <w:pPr>
              <w:pStyle w:val="ARfintablebodyright"/>
            </w:pPr>
            <w:r w:rsidRPr="002029AF">
              <w:t>62.3</w:t>
            </w:r>
          </w:p>
        </w:tc>
        <w:tc>
          <w:tcPr>
            <w:tcW w:w="1075" w:type="dxa"/>
            <w:tcBorders>
              <w:top w:val="single" w:sz="4" w:space="0" w:color="A6A6A6"/>
            </w:tcBorders>
            <w:noWrap/>
            <w:hideMark/>
          </w:tcPr>
          <w:p w14:paraId="08C25A68" w14:textId="77777777" w:rsidR="00087B91" w:rsidRPr="002029AF" w:rsidRDefault="00087B91" w:rsidP="00860E95">
            <w:pPr>
              <w:pStyle w:val="ARfintablebodyright"/>
            </w:pPr>
            <w:r w:rsidRPr="002029AF">
              <w:t>–</w:t>
            </w:r>
          </w:p>
        </w:tc>
        <w:tc>
          <w:tcPr>
            <w:tcW w:w="1040" w:type="dxa"/>
            <w:tcBorders>
              <w:top w:val="single" w:sz="4" w:space="0" w:color="A6A6A6"/>
            </w:tcBorders>
            <w:noWrap/>
            <w:hideMark/>
          </w:tcPr>
          <w:p w14:paraId="2312F21E" w14:textId="77777777" w:rsidR="00087B91" w:rsidRPr="002029AF" w:rsidRDefault="00087B91" w:rsidP="00860E95">
            <w:pPr>
              <w:pStyle w:val="ARfintablebodyright"/>
            </w:pPr>
            <w:r w:rsidRPr="002029AF">
              <w:t>–</w:t>
            </w:r>
          </w:p>
        </w:tc>
        <w:tc>
          <w:tcPr>
            <w:tcW w:w="1040" w:type="dxa"/>
            <w:tcBorders>
              <w:top w:val="single" w:sz="4" w:space="0" w:color="A6A6A6"/>
              <w:right w:val="nil"/>
            </w:tcBorders>
            <w:shd w:val="clear" w:color="auto" w:fill="E7E6E6"/>
            <w:noWrap/>
            <w:hideMark/>
          </w:tcPr>
          <w:p w14:paraId="28DF346E" w14:textId="77777777" w:rsidR="00087B91" w:rsidRPr="002029AF" w:rsidRDefault="00087B91" w:rsidP="00860E95">
            <w:pPr>
              <w:pStyle w:val="ARfintablebodyright"/>
            </w:pPr>
            <w:r w:rsidRPr="002029AF">
              <w:t>–</w:t>
            </w:r>
          </w:p>
        </w:tc>
        <w:tc>
          <w:tcPr>
            <w:tcW w:w="1072" w:type="dxa"/>
            <w:tcBorders>
              <w:top w:val="single" w:sz="4" w:space="0" w:color="A6A6A6"/>
              <w:left w:val="nil"/>
              <w:right w:val="nil"/>
            </w:tcBorders>
            <w:shd w:val="clear" w:color="auto" w:fill="E7E6E6"/>
            <w:noWrap/>
            <w:hideMark/>
          </w:tcPr>
          <w:p w14:paraId="15EB1709" w14:textId="77777777" w:rsidR="00087B91" w:rsidRPr="002029AF" w:rsidRDefault="00087B91" w:rsidP="00860E95">
            <w:pPr>
              <w:pStyle w:val="ARfintablebodyright"/>
            </w:pPr>
            <w:r w:rsidRPr="002029AF">
              <w:t>–</w:t>
            </w:r>
          </w:p>
        </w:tc>
        <w:tc>
          <w:tcPr>
            <w:tcW w:w="1072" w:type="dxa"/>
            <w:tcBorders>
              <w:top w:val="single" w:sz="4" w:space="0" w:color="A6A6A6"/>
              <w:left w:val="nil"/>
              <w:right w:val="nil"/>
            </w:tcBorders>
            <w:shd w:val="clear" w:color="auto" w:fill="E7E6E6"/>
            <w:noWrap/>
            <w:hideMark/>
          </w:tcPr>
          <w:p w14:paraId="76DF7B26" w14:textId="77777777" w:rsidR="00087B91" w:rsidRPr="002029AF" w:rsidRDefault="00087B91" w:rsidP="00860E95">
            <w:pPr>
              <w:pStyle w:val="ARfintablebodyright"/>
            </w:pPr>
            <w:r w:rsidRPr="002029AF">
              <w:t>–</w:t>
            </w:r>
          </w:p>
        </w:tc>
        <w:tc>
          <w:tcPr>
            <w:tcW w:w="1072" w:type="dxa"/>
            <w:tcBorders>
              <w:top w:val="single" w:sz="4" w:space="0" w:color="A6A6A6"/>
              <w:left w:val="nil"/>
            </w:tcBorders>
            <w:shd w:val="clear" w:color="auto" w:fill="E7E6E6"/>
            <w:noWrap/>
            <w:hideMark/>
          </w:tcPr>
          <w:p w14:paraId="76845A8F" w14:textId="77777777" w:rsidR="00087B91" w:rsidRPr="002029AF" w:rsidRDefault="00087B91" w:rsidP="00860E95">
            <w:pPr>
              <w:pStyle w:val="ARfintablebodyright"/>
            </w:pPr>
            <w:r w:rsidRPr="002029AF">
              <w:t>–</w:t>
            </w:r>
          </w:p>
        </w:tc>
        <w:tc>
          <w:tcPr>
            <w:tcW w:w="1085" w:type="dxa"/>
            <w:tcBorders>
              <w:top w:val="single" w:sz="4" w:space="0" w:color="A6A6A6"/>
            </w:tcBorders>
            <w:noWrap/>
            <w:hideMark/>
          </w:tcPr>
          <w:p w14:paraId="4E932698" w14:textId="77777777" w:rsidR="00087B91" w:rsidRPr="002029AF" w:rsidRDefault="00087B91" w:rsidP="00860E95">
            <w:pPr>
              <w:pStyle w:val="ARfintablebodyright"/>
            </w:pPr>
            <w:r w:rsidRPr="002029AF">
              <w:t>62.3</w:t>
            </w:r>
          </w:p>
        </w:tc>
        <w:tc>
          <w:tcPr>
            <w:tcW w:w="1078" w:type="dxa"/>
            <w:tcBorders>
              <w:top w:val="single" w:sz="4" w:space="0" w:color="A6A6A6"/>
            </w:tcBorders>
            <w:noWrap/>
            <w:hideMark/>
          </w:tcPr>
          <w:p w14:paraId="7E3C7ECA" w14:textId="77777777" w:rsidR="00087B91" w:rsidRPr="002029AF" w:rsidRDefault="00087B91" w:rsidP="00860E95">
            <w:pPr>
              <w:pStyle w:val="ARfintablebodyright"/>
            </w:pPr>
            <w:r w:rsidRPr="002029AF">
              <w:t>62.3</w:t>
            </w:r>
          </w:p>
        </w:tc>
        <w:tc>
          <w:tcPr>
            <w:tcW w:w="1067" w:type="dxa"/>
            <w:tcBorders>
              <w:top w:val="single" w:sz="4" w:space="0" w:color="A6A6A6"/>
            </w:tcBorders>
            <w:noWrap/>
            <w:hideMark/>
          </w:tcPr>
          <w:p w14:paraId="71D908F6" w14:textId="77777777" w:rsidR="00087B91" w:rsidRPr="002029AF" w:rsidRDefault="00087B91" w:rsidP="00860E95">
            <w:pPr>
              <w:pStyle w:val="ARfintablebodyright"/>
            </w:pPr>
            <w:r w:rsidRPr="002029AF">
              <w:t>–</w:t>
            </w:r>
          </w:p>
        </w:tc>
        <w:tc>
          <w:tcPr>
            <w:tcW w:w="433" w:type="dxa"/>
            <w:tcBorders>
              <w:top w:val="single" w:sz="4" w:space="0" w:color="A6A6A6"/>
            </w:tcBorders>
            <w:noWrap/>
            <w:hideMark/>
          </w:tcPr>
          <w:p w14:paraId="2E39AFB1" w14:textId="77777777" w:rsidR="00087B91" w:rsidRPr="002029AF" w:rsidRDefault="00087B91" w:rsidP="00860E95">
            <w:pPr>
              <w:pStyle w:val="ARfintablebodyright"/>
            </w:pPr>
          </w:p>
        </w:tc>
      </w:tr>
      <w:tr w:rsidR="00087B91" w:rsidRPr="002029AF" w14:paraId="002812FB" w14:textId="77777777" w:rsidTr="00860E95">
        <w:tc>
          <w:tcPr>
            <w:tcW w:w="3340" w:type="dxa"/>
            <w:hideMark/>
          </w:tcPr>
          <w:p w14:paraId="41AD8E4E" w14:textId="77777777" w:rsidR="00087B91" w:rsidRPr="002029AF" w:rsidRDefault="00087B91" w:rsidP="00860E95">
            <w:pPr>
              <w:pStyle w:val="ARfintablebodybold"/>
            </w:pPr>
            <w:r w:rsidRPr="002029AF">
              <w:t>Total</w:t>
            </w:r>
          </w:p>
        </w:tc>
        <w:tc>
          <w:tcPr>
            <w:tcW w:w="1085" w:type="dxa"/>
            <w:noWrap/>
            <w:hideMark/>
          </w:tcPr>
          <w:p w14:paraId="3A391649" w14:textId="77777777" w:rsidR="00087B91" w:rsidRPr="002029AF" w:rsidRDefault="00087B91" w:rsidP="00860E95">
            <w:pPr>
              <w:pStyle w:val="ARfintablebodyrightbold"/>
            </w:pPr>
            <w:r w:rsidRPr="002029AF">
              <w:t>15,614.3</w:t>
            </w:r>
          </w:p>
        </w:tc>
        <w:tc>
          <w:tcPr>
            <w:tcW w:w="1075" w:type="dxa"/>
            <w:noWrap/>
            <w:hideMark/>
          </w:tcPr>
          <w:p w14:paraId="3B18C117" w14:textId="77777777" w:rsidR="00087B91" w:rsidRPr="002029AF" w:rsidRDefault="00087B91" w:rsidP="00860E95">
            <w:pPr>
              <w:pStyle w:val="ARfintablebodyrightbold"/>
            </w:pPr>
            <w:r w:rsidRPr="002029AF">
              <w:t>505.6</w:t>
            </w:r>
          </w:p>
        </w:tc>
        <w:tc>
          <w:tcPr>
            <w:tcW w:w="1040" w:type="dxa"/>
            <w:noWrap/>
            <w:hideMark/>
          </w:tcPr>
          <w:p w14:paraId="3FB46FA3" w14:textId="77777777" w:rsidR="00087B91" w:rsidRPr="002029AF" w:rsidRDefault="00087B91" w:rsidP="00860E95">
            <w:pPr>
              <w:pStyle w:val="ARfintablebodyrightbold"/>
            </w:pPr>
            <w:r w:rsidRPr="002029AF">
              <w:t>–</w:t>
            </w:r>
          </w:p>
        </w:tc>
        <w:tc>
          <w:tcPr>
            <w:tcW w:w="1040" w:type="dxa"/>
            <w:tcBorders>
              <w:top w:val="single" w:sz="4" w:space="0" w:color="auto"/>
              <w:right w:val="nil"/>
            </w:tcBorders>
            <w:shd w:val="clear" w:color="auto" w:fill="E7E6E6"/>
            <w:noWrap/>
            <w:hideMark/>
          </w:tcPr>
          <w:p w14:paraId="082BA9B8" w14:textId="77777777" w:rsidR="00087B91" w:rsidRPr="002029AF" w:rsidRDefault="00087B91" w:rsidP="00860E95">
            <w:pPr>
              <w:pStyle w:val="ARfintablebodyrightbold"/>
            </w:pPr>
            <w:r w:rsidRPr="002029AF">
              <w:t>1,010.3</w:t>
            </w:r>
          </w:p>
        </w:tc>
        <w:tc>
          <w:tcPr>
            <w:tcW w:w="1072" w:type="dxa"/>
            <w:tcBorders>
              <w:top w:val="single" w:sz="4" w:space="0" w:color="auto"/>
              <w:left w:val="nil"/>
              <w:right w:val="nil"/>
            </w:tcBorders>
            <w:shd w:val="clear" w:color="auto" w:fill="E7E6E6"/>
            <w:noWrap/>
            <w:hideMark/>
          </w:tcPr>
          <w:p w14:paraId="0E1AA1BB" w14:textId="77777777" w:rsidR="00087B91" w:rsidRPr="002029AF" w:rsidRDefault="00087B91" w:rsidP="00860E95">
            <w:pPr>
              <w:pStyle w:val="ARfintablebodyrightbold"/>
            </w:pPr>
            <w:r w:rsidRPr="002029AF">
              <w:t>–</w:t>
            </w:r>
          </w:p>
        </w:tc>
        <w:tc>
          <w:tcPr>
            <w:tcW w:w="1072" w:type="dxa"/>
            <w:tcBorders>
              <w:left w:val="nil"/>
              <w:right w:val="nil"/>
            </w:tcBorders>
            <w:shd w:val="clear" w:color="auto" w:fill="E7E6E6"/>
            <w:noWrap/>
            <w:hideMark/>
          </w:tcPr>
          <w:p w14:paraId="2EBB4B04" w14:textId="77777777" w:rsidR="00087B91" w:rsidRPr="002029AF" w:rsidRDefault="00087B91" w:rsidP="00860E95">
            <w:pPr>
              <w:pStyle w:val="ARfintablebodyrightbold"/>
            </w:pPr>
            <w:r w:rsidRPr="002029AF">
              <w:t>54.4</w:t>
            </w:r>
          </w:p>
        </w:tc>
        <w:tc>
          <w:tcPr>
            <w:tcW w:w="1072" w:type="dxa"/>
            <w:tcBorders>
              <w:left w:val="nil"/>
            </w:tcBorders>
            <w:shd w:val="clear" w:color="auto" w:fill="E7E6E6"/>
            <w:noWrap/>
            <w:hideMark/>
          </w:tcPr>
          <w:p w14:paraId="6239A840" w14:textId="77777777" w:rsidR="00087B91" w:rsidRPr="002029AF" w:rsidRDefault="00087B91" w:rsidP="00860E95">
            <w:pPr>
              <w:pStyle w:val="ARfintablebodyrightbold"/>
            </w:pPr>
            <w:r w:rsidRPr="002029AF">
              <w:t>–</w:t>
            </w:r>
          </w:p>
        </w:tc>
        <w:tc>
          <w:tcPr>
            <w:tcW w:w="1085" w:type="dxa"/>
            <w:noWrap/>
            <w:hideMark/>
          </w:tcPr>
          <w:p w14:paraId="58F88A3F" w14:textId="77777777" w:rsidR="00087B91" w:rsidRPr="002029AF" w:rsidRDefault="00087B91" w:rsidP="00860E95">
            <w:pPr>
              <w:pStyle w:val="ARfintablebodyrightbold"/>
            </w:pPr>
            <w:r w:rsidRPr="002029AF">
              <w:t>17,184.5</w:t>
            </w:r>
          </w:p>
        </w:tc>
        <w:tc>
          <w:tcPr>
            <w:tcW w:w="1078" w:type="dxa"/>
            <w:noWrap/>
            <w:hideMark/>
          </w:tcPr>
          <w:p w14:paraId="51DC7B69" w14:textId="77777777" w:rsidR="00087B91" w:rsidRPr="002029AF" w:rsidRDefault="00087B91" w:rsidP="00860E95">
            <w:pPr>
              <w:pStyle w:val="ARfintablebodyrightbold"/>
            </w:pPr>
            <w:r w:rsidRPr="002029AF">
              <w:t>16,404.4</w:t>
            </w:r>
          </w:p>
        </w:tc>
        <w:tc>
          <w:tcPr>
            <w:tcW w:w="1067" w:type="dxa"/>
            <w:noWrap/>
            <w:hideMark/>
          </w:tcPr>
          <w:p w14:paraId="127753E6" w14:textId="77777777" w:rsidR="00087B91" w:rsidRPr="002029AF" w:rsidRDefault="00087B91" w:rsidP="00860E95">
            <w:pPr>
              <w:pStyle w:val="ARfintablebodyrightbold"/>
            </w:pPr>
            <w:r w:rsidRPr="002029AF">
              <w:t>780.1</w:t>
            </w:r>
          </w:p>
        </w:tc>
        <w:tc>
          <w:tcPr>
            <w:tcW w:w="433" w:type="dxa"/>
            <w:noWrap/>
            <w:hideMark/>
          </w:tcPr>
          <w:p w14:paraId="06DA4F7D" w14:textId="77777777" w:rsidR="00087B91" w:rsidRPr="002029AF" w:rsidRDefault="00087B91" w:rsidP="00860E95">
            <w:pPr>
              <w:pStyle w:val="ARfintablebodyrightbold"/>
            </w:pPr>
          </w:p>
        </w:tc>
      </w:tr>
    </w:tbl>
    <w:p w14:paraId="1C6CCCE0" w14:textId="77777777" w:rsidR="00087B91" w:rsidRPr="002029AF" w:rsidRDefault="00087B91" w:rsidP="00087B91">
      <w:pPr>
        <w:pStyle w:val="ARfintablefootnote"/>
      </w:pPr>
      <w:r w:rsidRPr="002029AF">
        <w:t>Notes:</w:t>
      </w:r>
    </w:p>
    <w:p w14:paraId="14FC6EDE" w14:textId="2BBAA493" w:rsidR="00087B91" w:rsidRPr="002029AF" w:rsidRDefault="00087B91" w:rsidP="002A5CF0">
      <w:pPr>
        <w:pStyle w:val="ARfintablefootnoteindent"/>
      </w:pPr>
      <w:r w:rsidRPr="002029AF">
        <w:t>(i)</w:t>
      </w:r>
      <w:r w:rsidRPr="002029AF">
        <w:tab/>
        <w:t>Refer</w:t>
      </w:r>
      <w:r w:rsidR="000A5329" w:rsidRPr="002029AF">
        <w:t xml:space="preserve"> </w:t>
      </w:r>
      <w:r w:rsidRPr="002029AF">
        <w:t>to</w:t>
      </w:r>
      <w:r w:rsidR="000A5329" w:rsidRPr="002029AF">
        <w:t xml:space="preserve"> </w:t>
      </w:r>
      <w:r w:rsidRPr="002029AF">
        <w:t>Note</w:t>
      </w:r>
      <w:r w:rsidR="000A5329" w:rsidRPr="002029AF">
        <w:t xml:space="preserve"> </w:t>
      </w:r>
      <w:r w:rsidRPr="002029AF">
        <w:t>2.5</w:t>
      </w:r>
      <w:r w:rsidR="000A5329" w:rsidRPr="002029AF">
        <w:t xml:space="preserve"> </w:t>
      </w:r>
      <w:r w:rsidRPr="002029AF">
        <w:t>for</w:t>
      </w:r>
      <w:r w:rsidR="000A5329" w:rsidRPr="002029AF">
        <w:t xml:space="preserve"> </w:t>
      </w:r>
      <w:r w:rsidRPr="002029AF">
        <w:t>further</w:t>
      </w:r>
      <w:r w:rsidR="000A5329" w:rsidRPr="002029AF">
        <w:t xml:space="preserve"> </w:t>
      </w:r>
      <w:r w:rsidRPr="002029AF">
        <w:t>detail.</w:t>
      </w:r>
    </w:p>
    <w:p w14:paraId="3335F312" w14:textId="2EE6461B" w:rsidR="00087B91" w:rsidRPr="002029AF" w:rsidRDefault="00087B91" w:rsidP="002A5CF0">
      <w:pPr>
        <w:pStyle w:val="ARfintablefootnoteindent"/>
      </w:pPr>
      <w:r w:rsidRPr="002029AF">
        <w:t>(ii)</w:t>
      </w:r>
      <w:r w:rsidRPr="002029AF">
        <w:tab/>
        <w:t>Transfer</w:t>
      </w:r>
      <w:r w:rsidR="000A5329" w:rsidRPr="002029AF">
        <w:t xml:space="preserve"> </w:t>
      </w:r>
      <w:r w:rsidRPr="002029AF">
        <w:t>from</w:t>
      </w:r>
      <w:r w:rsidR="000A5329" w:rsidRPr="002029AF">
        <w:t xml:space="preserve"> </w:t>
      </w:r>
      <w:r w:rsidRPr="002029AF">
        <w:t>the</w:t>
      </w:r>
      <w:r w:rsidR="000A5329" w:rsidRPr="002029AF">
        <w:t xml:space="preserve"> </w:t>
      </w:r>
      <w:r w:rsidRPr="002029AF">
        <w:t>additions</w:t>
      </w:r>
      <w:r w:rsidR="000A5329" w:rsidRPr="002029AF">
        <w:t xml:space="preserve"> </w:t>
      </w:r>
      <w:r w:rsidRPr="002029AF">
        <w:t>to</w:t>
      </w:r>
      <w:r w:rsidR="000A5329" w:rsidRPr="002029AF">
        <w:t xml:space="preserve"> </w:t>
      </w:r>
      <w:r w:rsidRPr="002029AF">
        <w:t>net</w:t>
      </w:r>
      <w:r w:rsidR="000A5329" w:rsidRPr="002029AF">
        <w:t xml:space="preserve"> </w:t>
      </w:r>
      <w:r w:rsidRPr="002029AF">
        <w:t>assets</w:t>
      </w:r>
      <w:r w:rsidR="000A5329" w:rsidRPr="002029AF">
        <w:t xml:space="preserve"> </w:t>
      </w:r>
      <w:r w:rsidRPr="002029AF">
        <w:t>authority</w:t>
      </w:r>
      <w:r w:rsidR="000A5329" w:rsidRPr="002029AF">
        <w:t xml:space="preserve"> </w:t>
      </w:r>
      <w:r w:rsidRPr="002029AF">
        <w:t>to</w:t>
      </w:r>
      <w:r w:rsidR="000A5329" w:rsidRPr="002029AF">
        <w:t xml:space="preserve"> </w:t>
      </w:r>
      <w:r w:rsidRPr="002029AF">
        <w:t>appropriation</w:t>
      </w:r>
      <w:r w:rsidR="000A5329" w:rsidRPr="002029AF">
        <w:t xml:space="preserve"> </w:t>
      </w:r>
      <w:r w:rsidRPr="002029AF">
        <w:t>for</w:t>
      </w:r>
      <w:r w:rsidR="000A5329" w:rsidRPr="002029AF">
        <w:t xml:space="preserve"> </w:t>
      </w:r>
      <w:r w:rsidRPr="002029AF">
        <w:t>provision</w:t>
      </w:r>
      <w:r w:rsidR="000A5329" w:rsidRPr="002029AF">
        <w:t xml:space="preserve"> </w:t>
      </w:r>
      <w:r w:rsidRPr="002029AF">
        <w:t>of</w:t>
      </w:r>
      <w:r w:rsidR="000A5329" w:rsidRPr="002029AF">
        <w:t xml:space="preserve"> </w:t>
      </w:r>
      <w:r w:rsidRPr="002029AF">
        <w:t>outputs</w:t>
      </w:r>
      <w:r w:rsidR="000A5329" w:rsidRPr="002029AF">
        <w:t xml:space="preserve"> </w:t>
      </w:r>
      <w:r w:rsidRPr="002029AF">
        <w:t>mainly</w:t>
      </w:r>
      <w:r w:rsidR="000A5329" w:rsidRPr="002029AF">
        <w:t xml:space="preserve"> </w:t>
      </w:r>
      <w:r w:rsidRPr="002029AF">
        <w:t>relates</w:t>
      </w:r>
      <w:r w:rsidR="000A5329" w:rsidRPr="002029AF">
        <w:t xml:space="preserve"> </w:t>
      </w:r>
      <w:r w:rsidRPr="002029AF">
        <w:t>to</w:t>
      </w:r>
      <w:r w:rsidR="000A5329" w:rsidRPr="002029AF">
        <w:t xml:space="preserve"> </w:t>
      </w:r>
      <w:r w:rsidRPr="002029AF">
        <w:t>capital</w:t>
      </w:r>
      <w:r w:rsidR="000A5329" w:rsidRPr="002029AF">
        <w:t xml:space="preserve"> </w:t>
      </w:r>
      <w:r w:rsidRPr="002029AF">
        <w:t>projects</w:t>
      </w:r>
      <w:r w:rsidR="000A5329" w:rsidRPr="002029AF">
        <w:t xml:space="preserve"> </w:t>
      </w:r>
      <w:r w:rsidRPr="002029AF">
        <w:t>that</w:t>
      </w:r>
      <w:r w:rsidR="000A5329" w:rsidRPr="002029AF">
        <w:t xml:space="preserve"> </w:t>
      </w:r>
      <w:r w:rsidRPr="002029AF">
        <w:t>are</w:t>
      </w:r>
      <w:r w:rsidR="000A5329" w:rsidRPr="002029AF">
        <w:t xml:space="preserve"> </w:t>
      </w:r>
      <w:r w:rsidRPr="002029AF">
        <w:t>delivered</w:t>
      </w:r>
      <w:r w:rsidR="000A5329" w:rsidRPr="002029AF">
        <w:t xml:space="preserve"> </w:t>
      </w:r>
      <w:r w:rsidRPr="002029AF">
        <w:t>via</w:t>
      </w:r>
      <w:r w:rsidR="000A5329" w:rsidRPr="002029AF">
        <w:t xml:space="preserve"> </w:t>
      </w:r>
      <w:r w:rsidRPr="002029AF">
        <w:t>non-portfolio</w:t>
      </w:r>
      <w:r w:rsidR="000A5329" w:rsidRPr="002029AF">
        <w:t xml:space="preserve"> </w:t>
      </w:r>
      <w:r w:rsidRPr="002029AF">
        <w:t>agencies</w:t>
      </w:r>
      <w:r w:rsidR="000A5329" w:rsidRPr="002029AF">
        <w:t xml:space="preserve"> </w:t>
      </w:r>
      <w:r w:rsidRPr="002029AF">
        <w:t>and</w:t>
      </w:r>
      <w:r w:rsidR="000A5329" w:rsidRPr="002029AF">
        <w:t xml:space="preserve"> </w:t>
      </w:r>
      <w:r w:rsidRPr="002029AF">
        <w:t>result</w:t>
      </w:r>
      <w:r w:rsidR="000A5329" w:rsidRPr="002029AF">
        <w:t xml:space="preserve"> </w:t>
      </w:r>
      <w:r w:rsidRPr="002029AF">
        <w:t>in</w:t>
      </w:r>
      <w:r w:rsidR="000A5329" w:rsidRPr="002029AF">
        <w:t xml:space="preserve"> </w:t>
      </w:r>
      <w:r w:rsidRPr="002029AF">
        <w:t>output</w:t>
      </w:r>
      <w:r w:rsidR="000A5329" w:rsidRPr="002029AF">
        <w:t xml:space="preserve"> </w:t>
      </w:r>
      <w:r w:rsidRPr="002029AF">
        <w:t>appropriation</w:t>
      </w:r>
      <w:r w:rsidR="000A5329" w:rsidRPr="002029AF">
        <w:t xml:space="preserve"> </w:t>
      </w:r>
      <w:r w:rsidRPr="002029AF">
        <w:t>costs</w:t>
      </w:r>
      <w:r w:rsidR="000A5329" w:rsidRPr="002029AF">
        <w:t xml:space="preserve"> </w:t>
      </w:r>
      <w:r w:rsidRPr="002029AF">
        <w:t>to</w:t>
      </w:r>
      <w:r w:rsidR="000A5329" w:rsidRPr="002029AF">
        <w:t xml:space="preserve"> </w:t>
      </w:r>
      <w:r w:rsidRPr="002029AF">
        <w:t>the</w:t>
      </w:r>
      <w:r w:rsidR="000A5329" w:rsidRPr="002029AF">
        <w:t xml:space="preserve"> </w:t>
      </w:r>
      <w:r w:rsidRPr="002029AF">
        <w:t>department.</w:t>
      </w:r>
    </w:p>
    <w:p w14:paraId="37BACAC3" w14:textId="0FEB7553" w:rsidR="00087B91" w:rsidRPr="002029AF" w:rsidRDefault="00087B91" w:rsidP="002A5CF0">
      <w:pPr>
        <w:pStyle w:val="ARfintablefootnoteindent"/>
      </w:pPr>
      <w:r w:rsidRPr="002029AF">
        <w:t>(iii)</w:t>
      </w:r>
      <w:r w:rsidRPr="002029AF">
        <w:tab/>
        <w:t>The</w:t>
      </w:r>
      <w:r w:rsidR="000A5329" w:rsidRPr="002029AF">
        <w:t xml:space="preserve"> </w:t>
      </w:r>
      <w:r w:rsidRPr="002029AF">
        <w:t>provision</w:t>
      </w:r>
      <w:r w:rsidR="000A5329" w:rsidRPr="002029AF">
        <w:t xml:space="preserve"> </w:t>
      </w:r>
      <w:r w:rsidRPr="002029AF">
        <w:t>of</w:t>
      </w:r>
      <w:r w:rsidR="000A5329" w:rsidRPr="002029AF">
        <w:t xml:space="preserve"> </w:t>
      </w:r>
      <w:r w:rsidRPr="002029AF">
        <w:t>outputs</w:t>
      </w:r>
      <w:r w:rsidR="000A5329" w:rsidRPr="002029AF">
        <w:t xml:space="preserve"> </w:t>
      </w:r>
      <w:r w:rsidRPr="002029AF">
        <w:t>variance</w:t>
      </w:r>
      <w:r w:rsidR="000A5329" w:rsidRPr="002029AF">
        <w:t xml:space="preserve"> </w:t>
      </w:r>
      <w:r w:rsidRPr="002029AF">
        <w:t>of</w:t>
      </w:r>
      <w:r w:rsidR="000A5329" w:rsidRPr="002029AF">
        <w:t xml:space="preserve"> </w:t>
      </w:r>
      <w:r w:rsidRPr="002029AF">
        <w:t>$363.6</w:t>
      </w:r>
      <w:r w:rsidR="000A5329" w:rsidRPr="002029AF">
        <w:t xml:space="preserve"> </w:t>
      </w:r>
      <w:r w:rsidRPr="002029AF">
        <w:t>million</w:t>
      </w:r>
      <w:r w:rsidR="000A5329" w:rsidRPr="002029AF">
        <w:t xml:space="preserve"> </w:t>
      </w:r>
      <w:r w:rsidRPr="002029AF">
        <w:t>comprises</w:t>
      </w:r>
      <w:r w:rsidR="000A5329" w:rsidRPr="002029AF">
        <w:t xml:space="preserve"> </w:t>
      </w:r>
      <w:r w:rsidRPr="002029AF">
        <w:t>$44.9</w:t>
      </w:r>
      <w:r w:rsidR="000A5329" w:rsidRPr="002029AF">
        <w:t xml:space="preserve"> </w:t>
      </w:r>
      <w:r w:rsidRPr="002029AF">
        <w:t>million</w:t>
      </w:r>
      <w:r w:rsidR="000A5329" w:rsidRPr="002029AF">
        <w:t xml:space="preserve"> </w:t>
      </w:r>
      <w:r w:rsidRPr="002029AF">
        <w:t>relating</w:t>
      </w:r>
      <w:r w:rsidR="000A5329" w:rsidRPr="002029AF">
        <w:t xml:space="preserve"> </w:t>
      </w:r>
      <w:r w:rsidRPr="002029AF">
        <w:t>to</w:t>
      </w:r>
      <w:r w:rsidR="000A5329" w:rsidRPr="002029AF">
        <w:t xml:space="preserve"> </w:t>
      </w:r>
      <w:r w:rsidRPr="002029AF">
        <w:t>funding</w:t>
      </w:r>
      <w:r w:rsidR="000A5329" w:rsidRPr="002029AF">
        <w:t xml:space="preserve"> </w:t>
      </w:r>
      <w:r w:rsidRPr="002029AF">
        <w:t>for</w:t>
      </w:r>
      <w:r w:rsidR="000A5329" w:rsidRPr="002029AF">
        <w:t xml:space="preserve"> </w:t>
      </w:r>
      <w:r w:rsidRPr="002029AF">
        <w:t>services</w:t>
      </w:r>
      <w:r w:rsidR="000A5329" w:rsidRPr="002029AF">
        <w:t xml:space="preserve"> </w:t>
      </w:r>
      <w:r w:rsidRPr="002029AF">
        <w:t>and</w:t>
      </w:r>
      <w:r w:rsidR="000A5329" w:rsidRPr="002029AF">
        <w:t xml:space="preserve"> </w:t>
      </w:r>
      <w:r w:rsidRPr="002029AF">
        <w:t>projects</w:t>
      </w:r>
      <w:r w:rsidR="000A5329" w:rsidRPr="002029AF">
        <w:t xml:space="preserve"> </w:t>
      </w:r>
      <w:r w:rsidRPr="002029AF">
        <w:t>that</w:t>
      </w:r>
      <w:r w:rsidR="000A5329" w:rsidRPr="002029AF">
        <w:t xml:space="preserve"> </w:t>
      </w:r>
      <w:r w:rsidRPr="002029AF">
        <w:t>will</w:t>
      </w:r>
      <w:r w:rsidR="000A5329" w:rsidRPr="002029AF">
        <w:t xml:space="preserve"> </w:t>
      </w:r>
      <w:r w:rsidRPr="002029AF">
        <w:t>be</w:t>
      </w:r>
      <w:r w:rsidR="000A5329" w:rsidRPr="002029AF">
        <w:t xml:space="preserve"> </w:t>
      </w:r>
      <w:r w:rsidRPr="002029AF">
        <w:t>sought</w:t>
      </w:r>
      <w:r w:rsidR="000A5329" w:rsidRPr="002029AF">
        <w:t xml:space="preserve"> </w:t>
      </w:r>
      <w:r w:rsidRPr="002029AF">
        <w:t>in</w:t>
      </w:r>
      <w:r w:rsidR="000A5329" w:rsidRPr="002029AF">
        <w:t xml:space="preserve"> </w:t>
      </w:r>
      <w:r w:rsidRPr="002029AF">
        <w:t>2020–21,</w:t>
      </w:r>
      <w:r w:rsidR="000A5329" w:rsidRPr="002029AF">
        <w:t xml:space="preserve"> </w:t>
      </w:r>
      <w:r w:rsidRPr="002029AF">
        <w:t>and</w:t>
      </w:r>
      <w:r w:rsidR="000A5329" w:rsidRPr="002029AF">
        <w:t xml:space="preserve"> </w:t>
      </w:r>
      <w:r w:rsidRPr="002029AF">
        <w:t>$318.7</w:t>
      </w:r>
      <w:r w:rsidR="000A5329" w:rsidRPr="002029AF">
        <w:t xml:space="preserve"> </w:t>
      </w:r>
      <w:r w:rsidRPr="002029AF">
        <w:t>million</w:t>
      </w:r>
      <w:r w:rsidR="000A5329" w:rsidRPr="002029AF">
        <w:t xml:space="preserve"> </w:t>
      </w:r>
      <w:r w:rsidRPr="002029AF">
        <w:t>relating</w:t>
      </w:r>
      <w:r w:rsidR="000A5329" w:rsidRPr="002029AF">
        <w:t xml:space="preserve"> </w:t>
      </w:r>
      <w:r w:rsidRPr="002029AF">
        <w:t>to</w:t>
      </w:r>
      <w:r w:rsidR="000A5329" w:rsidRPr="002029AF">
        <w:t xml:space="preserve"> </w:t>
      </w:r>
      <w:r w:rsidRPr="002029AF">
        <w:t>output</w:t>
      </w:r>
      <w:r w:rsidR="000A5329" w:rsidRPr="002029AF">
        <w:t xml:space="preserve"> </w:t>
      </w:r>
      <w:r w:rsidRPr="002029AF">
        <w:t>appropriation</w:t>
      </w:r>
      <w:r w:rsidR="000A5329" w:rsidRPr="002029AF">
        <w:t xml:space="preserve"> </w:t>
      </w:r>
      <w:r w:rsidRPr="002029AF">
        <w:t>authority</w:t>
      </w:r>
      <w:r w:rsidR="000A5329" w:rsidRPr="002029AF">
        <w:t xml:space="preserve"> </w:t>
      </w:r>
      <w:r w:rsidRPr="002029AF">
        <w:t>not</w:t>
      </w:r>
      <w:r w:rsidR="000A5329" w:rsidRPr="002029AF">
        <w:t xml:space="preserve"> </w:t>
      </w:r>
      <w:r w:rsidRPr="002029AF">
        <w:t>applied</w:t>
      </w:r>
      <w:r w:rsidR="000A5329" w:rsidRPr="002029AF">
        <w:t xml:space="preserve"> </w:t>
      </w:r>
      <w:r w:rsidRPr="002029AF">
        <w:t>in</w:t>
      </w:r>
      <w:r w:rsidR="000A5329" w:rsidRPr="002029AF">
        <w:t xml:space="preserve"> </w:t>
      </w:r>
      <w:r w:rsidRPr="002029AF">
        <w:t>2019–20.</w:t>
      </w:r>
      <w:r w:rsidR="000A5329" w:rsidRPr="002029AF">
        <w:t xml:space="preserve"> </w:t>
      </w:r>
      <w:r w:rsidRPr="002029AF">
        <w:t>The</w:t>
      </w:r>
      <w:r w:rsidR="000A5329" w:rsidRPr="002029AF">
        <w:t xml:space="preserve"> </w:t>
      </w:r>
      <w:r w:rsidRPr="002029AF">
        <w:t>unapplied</w:t>
      </w:r>
      <w:r w:rsidR="000A5329" w:rsidRPr="002029AF">
        <w:t xml:space="preserve"> </w:t>
      </w:r>
      <w:r w:rsidRPr="002029AF">
        <w:t>authority</w:t>
      </w:r>
      <w:r w:rsidR="000A5329" w:rsidRPr="002029AF">
        <w:t xml:space="preserve"> </w:t>
      </w:r>
      <w:r w:rsidRPr="002029AF">
        <w:t>primarily</w:t>
      </w:r>
      <w:r w:rsidR="000A5329" w:rsidRPr="002029AF">
        <w:t xml:space="preserve"> </w:t>
      </w:r>
      <w:r w:rsidRPr="002029AF">
        <w:t>reflects</w:t>
      </w:r>
      <w:r w:rsidR="000A5329" w:rsidRPr="002029AF">
        <w:t xml:space="preserve"> </w:t>
      </w:r>
      <w:r w:rsidRPr="002029AF">
        <w:t>unutilised</w:t>
      </w:r>
      <w:r w:rsidR="000A5329" w:rsidRPr="002029AF">
        <w:t xml:space="preserve"> </w:t>
      </w:r>
      <w:r w:rsidRPr="002029AF">
        <w:t>Advance</w:t>
      </w:r>
      <w:r w:rsidR="000A5329" w:rsidRPr="002029AF">
        <w:t xml:space="preserve"> </w:t>
      </w:r>
      <w:r w:rsidRPr="002029AF">
        <w:t>to</w:t>
      </w:r>
      <w:r w:rsidR="000A5329" w:rsidRPr="002029AF">
        <w:t xml:space="preserve"> </w:t>
      </w:r>
      <w:r w:rsidRPr="002029AF">
        <w:t>Treasurer,</w:t>
      </w:r>
      <w:r w:rsidR="000A5329" w:rsidRPr="002029AF">
        <w:t xml:space="preserve"> </w:t>
      </w:r>
      <w:r w:rsidRPr="002029AF">
        <w:t>savings</w:t>
      </w:r>
      <w:r w:rsidR="000A5329" w:rsidRPr="002029AF">
        <w:t xml:space="preserve"> </w:t>
      </w:r>
      <w:r w:rsidRPr="002029AF">
        <w:t>and</w:t>
      </w:r>
      <w:r w:rsidR="000A5329" w:rsidRPr="002029AF">
        <w:t xml:space="preserve"> </w:t>
      </w:r>
      <w:r w:rsidRPr="002029AF">
        <w:t>funding</w:t>
      </w:r>
      <w:r w:rsidR="000A5329" w:rsidRPr="002029AF">
        <w:t xml:space="preserve"> </w:t>
      </w:r>
      <w:r w:rsidRPr="002029AF">
        <w:t>re-</w:t>
      </w:r>
      <w:r w:rsidR="00D1568B" w:rsidRPr="002029AF">
        <w:t>cash flowed</w:t>
      </w:r>
      <w:r w:rsidR="000A5329" w:rsidRPr="002029AF">
        <w:t xml:space="preserve"> </w:t>
      </w:r>
      <w:r w:rsidRPr="002029AF">
        <w:t>to</w:t>
      </w:r>
      <w:r w:rsidR="000A5329" w:rsidRPr="002029AF">
        <w:t xml:space="preserve"> </w:t>
      </w:r>
      <w:r w:rsidRPr="002029AF">
        <w:t>deliver</w:t>
      </w:r>
      <w:r w:rsidR="000A5329" w:rsidRPr="002029AF">
        <w:t xml:space="preserve"> </w:t>
      </w:r>
      <w:r w:rsidRPr="002029AF">
        <w:t>outputs</w:t>
      </w:r>
      <w:r w:rsidR="000A5329" w:rsidRPr="002029AF">
        <w:t xml:space="preserve"> </w:t>
      </w:r>
      <w:r w:rsidRPr="002029AF">
        <w:t>in</w:t>
      </w:r>
      <w:r w:rsidR="000A5329" w:rsidRPr="002029AF">
        <w:t xml:space="preserve"> </w:t>
      </w:r>
      <w:r w:rsidRPr="002029AF">
        <w:t>2020–21</w:t>
      </w:r>
      <w:r w:rsidR="000A5329" w:rsidRPr="002029AF">
        <w:t xml:space="preserve"> </w:t>
      </w:r>
      <w:r w:rsidRPr="002029AF">
        <w:t>and</w:t>
      </w:r>
      <w:r w:rsidR="000A5329" w:rsidRPr="002029AF">
        <w:t xml:space="preserve"> </w:t>
      </w:r>
      <w:r w:rsidRPr="002029AF">
        <w:t>outyears.</w:t>
      </w:r>
    </w:p>
    <w:p w14:paraId="140170C9" w14:textId="1452F0CA" w:rsidR="00087B91" w:rsidRPr="002029AF" w:rsidRDefault="00087B91" w:rsidP="002A5CF0">
      <w:pPr>
        <w:pStyle w:val="ARfintablefootnoteindent"/>
      </w:pPr>
      <w:r w:rsidRPr="002029AF">
        <w:t>(iv)</w:t>
      </w:r>
      <w:r w:rsidRPr="002029AF">
        <w:tab/>
        <w:t>The</w:t>
      </w:r>
      <w:r w:rsidR="000A5329" w:rsidRPr="002029AF">
        <w:t xml:space="preserve"> </w:t>
      </w:r>
      <w:r w:rsidRPr="002029AF">
        <w:t>additions</w:t>
      </w:r>
      <w:r w:rsidR="000A5329" w:rsidRPr="002029AF">
        <w:t xml:space="preserve"> </w:t>
      </w:r>
      <w:r w:rsidRPr="002029AF">
        <w:t>to</w:t>
      </w:r>
      <w:r w:rsidR="000A5329" w:rsidRPr="002029AF">
        <w:t xml:space="preserve"> </w:t>
      </w:r>
      <w:r w:rsidRPr="002029AF">
        <w:t>net</w:t>
      </w:r>
      <w:r w:rsidR="000A5329" w:rsidRPr="002029AF">
        <w:t xml:space="preserve"> </w:t>
      </w:r>
      <w:r w:rsidRPr="002029AF">
        <w:t>assets</w:t>
      </w:r>
      <w:r w:rsidR="000A5329" w:rsidRPr="002029AF">
        <w:t xml:space="preserve"> </w:t>
      </w:r>
      <w:r w:rsidRPr="002029AF">
        <w:t>variance</w:t>
      </w:r>
      <w:r w:rsidR="000A5329" w:rsidRPr="002029AF">
        <w:t xml:space="preserve"> </w:t>
      </w:r>
      <w:r w:rsidRPr="002029AF">
        <w:t>of</w:t>
      </w:r>
      <w:r w:rsidR="000A5329" w:rsidRPr="002029AF">
        <w:t xml:space="preserve"> </w:t>
      </w:r>
      <w:r w:rsidRPr="002029AF">
        <w:t>$200</w:t>
      </w:r>
      <w:r w:rsidR="000A5329" w:rsidRPr="002029AF">
        <w:t xml:space="preserve"> </w:t>
      </w:r>
      <w:r w:rsidRPr="002029AF">
        <w:t>million</w:t>
      </w:r>
      <w:r w:rsidR="000A5329" w:rsidRPr="002029AF">
        <w:t xml:space="preserve"> </w:t>
      </w:r>
      <w:r w:rsidRPr="002029AF">
        <w:t>comprises</w:t>
      </w:r>
      <w:r w:rsidR="000A5329" w:rsidRPr="002029AF">
        <w:t xml:space="preserve"> </w:t>
      </w:r>
      <w:r w:rsidRPr="002029AF">
        <w:t>$40.3</w:t>
      </w:r>
      <w:r w:rsidR="000A5329" w:rsidRPr="002029AF">
        <w:t xml:space="preserve"> </w:t>
      </w:r>
      <w:r w:rsidRPr="002029AF">
        <w:t>million</w:t>
      </w:r>
      <w:r w:rsidR="000A5329" w:rsidRPr="002029AF">
        <w:t xml:space="preserve"> </w:t>
      </w:r>
      <w:r w:rsidRPr="002029AF">
        <w:t>relating</w:t>
      </w:r>
      <w:r w:rsidR="000A5329" w:rsidRPr="002029AF">
        <w:t xml:space="preserve"> </w:t>
      </w:r>
      <w:r w:rsidRPr="002029AF">
        <w:t>to</w:t>
      </w:r>
      <w:r w:rsidR="000A5329" w:rsidRPr="002029AF">
        <w:t xml:space="preserve"> </w:t>
      </w:r>
      <w:r w:rsidRPr="002029AF">
        <w:t>funding</w:t>
      </w:r>
      <w:r w:rsidR="000A5329" w:rsidRPr="002029AF">
        <w:t xml:space="preserve"> </w:t>
      </w:r>
      <w:r w:rsidRPr="002029AF">
        <w:t>for</w:t>
      </w:r>
      <w:r w:rsidR="000A5329" w:rsidRPr="002029AF">
        <w:t xml:space="preserve"> </w:t>
      </w:r>
      <w:r w:rsidRPr="002029AF">
        <w:t>capital</w:t>
      </w:r>
      <w:r w:rsidR="000A5329" w:rsidRPr="002029AF">
        <w:t xml:space="preserve"> </w:t>
      </w:r>
      <w:r w:rsidRPr="002029AF">
        <w:t>projects</w:t>
      </w:r>
      <w:r w:rsidR="000A5329" w:rsidRPr="002029AF">
        <w:t xml:space="preserve"> </w:t>
      </w:r>
      <w:r w:rsidRPr="002029AF">
        <w:t>that</w:t>
      </w:r>
      <w:r w:rsidR="000A5329" w:rsidRPr="002029AF">
        <w:t xml:space="preserve"> </w:t>
      </w:r>
      <w:r w:rsidRPr="002029AF">
        <w:t>will</w:t>
      </w:r>
      <w:r w:rsidR="000A5329" w:rsidRPr="002029AF">
        <w:t xml:space="preserve"> </w:t>
      </w:r>
      <w:r w:rsidRPr="002029AF">
        <w:t>be</w:t>
      </w:r>
      <w:r w:rsidR="000A5329" w:rsidRPr="002029AF">
        <w:t xml:space="preserve"> </w:t>
      </w:r>
      <w:r w:rsidRPr="002029AF">
        <w:t>sought</w:t>
      </w:r>
      <w:r w:rsidR="000A5329" w:rsidRPr="002029AF">
        <w:t xml:space="preserve"> </w:t>
      </w:r>
      <w:r w:rsidRPr="002029AF">
        <w:t>in</w:t>
      </w:r>
      <w:r w:rsidR="000A5329" w:rsidRPr="002029AF">
        <w:t xml:space="preserve"> </w:t>
      </w:r>
      <w:r w:rsidRPr="002029AF">
        <w:t>2020–21</w:t>
      </w:r>
      <w:r w:rsidR="000A5329" w:rsidRPr="002029AF">
        <w:t xml:space="preserve"> </w:t>
      </w:r>
      <w:r w:rsidRPr="002029AF">
        <w:t>and</w:t>
      </w:r>
      <w:r w:rsidR="000A5329" w:rsidRPr="002029AF">
        <w:t xml:space="preserve"> </w:t>
      </w:r>
      <w:r w:rsidRPr="002029AF">
        <w:t>outyears</w:t>
      </w:r>
      <w:r w:rsidR="000A5329" w:rsidRPr="002029AF">
        <w:t xml:space="preserve"> </w:t>
      </w:r>
      <w:r w:rsidRPr="002029AF">
        <w:t>and</w:t>
      </w:r>
      <w:r w:rsidR="000A5329" w:rsidRPr="002029AF">
        <w:t xml:space="preserve"> </w:t>
      </w:r>
      <w:r w:rsidRPr="002029AF">
        <w:t>$159.7</w:t>
      </w:r>
      <w:r w:rsidR="000A5329" w:rsidRPr="002029AF">
        <w:t xml:space="preserve"> </w:t>
      </w:r>
      <w:r w:rsidRPr="002029AF">
        <w:t>million</w:t>
      </w:r>
      <w:r w:rsidR="000A5329" w:rsidRPr="002029AF">
        <w:t xml:space="preserve"> </w:t>
      </w:r>
      <w:r w:rsidRPr="002029AF">
        <w:t>relating</w:t>
      </w:r>
      <w:r w:rsidR="000A5329" w:rsidRPr="002029AF">
        <w:t xml:space="preserve"> </w:t>
      </w:r>
      <w:r w:rsidRPr="002029AF">
        <w:t>to</w:t>
      </w:r>
      <w:r w:rsidR="000A5329" w:rsidRPr="002029AF">
        <w:t xml:space="preserve"> </w:t>
      </w:r>
      <w:r w:rsidRPr="002029AF">
        <w:t>appropriation</w:t>
      </w:r>
      <w:r w:rsidR="000A5329" w:rsidRPr="002029AF">
        <w:t xml:space="preserve"> </w:t>
      </w:r>
      <w:r w:rsidRPr="002029AF">
        <w:t>authority</w:t>
      </w:r>
      <w:r w:rsidR="000A5329" w:rsidRPr="002029AF">
        <w:t xml:space="preserve"> </w:t>
      </w:r>
      <w:r w:rsidRPr="002029AF">
        <w:t>not</w:t>
      </w:r>
      <w:r w:rsidR="000A5329" w:rsidRPr="002029AF">
        <w:t xml:space="preserve"> </w:t>
      </w:r>
      <w:r w:rsidRPr="002029AF">
        <w:t>applied</w:t>
      </w:r>
      <w:r w:rsidR="000A5329" w:rsidRPr="002029AF">
        <w:t xml:space="preserve"> </w:t>
      </w:r>
      <w:r w:rsidRPr="002029AF">
        <w:t>in</w:t>
      </w:r>
      <w:r w:rsidR="000A5329" w:rsidRPr="002029AF">
        <w:t xml:space="preserve"> </w:t>
      </w:r>
      <w:r w:rsidRPr="002029AF">
        <w:t>2019–20.</w:t>
      </w:r>
      <w:r w:rsidR="000A5329" w:rsidRPr="002029AF">
        <w:t xml:space="preserve"> </w:t>
      </w:r>
      <w:r w:rsidRPr="002029AF">
        <w:t>The</w:t>
      </w:r>
      <w:r w:rsidR="000A5329" w:rsidRPr="002029AF">
        <w:t xml:space="preserve"> </w:t>
      </w:r>
      <w:r w:rsidRPr="002029AF">
        <w:t>unapplied</w:t>
      </w:r>
      <w:r w:rsidR="000A5329" w:rsidRPr="002029AF">
        <w:t xml:space="preserve"> </w:t>
      </w:r>
      <w:r w:rsidRPr="002029AF">
        <w:t>authority</w:t>
      </w:r>
      <w:r w:rsidR="000A5329" w:rsidRPr="002029AF">
        <w:t xml:space="preserve"> </w:t>
      </w:r>
      <w:r w:rsidRPr="002029AF">
        <w:t>reflects</w:t>
      </w:r>
      <w:r w:rsidR="000A5329" w:rsidRPr="002029AF">
        <w:t xml:space="preserve"> </w:t>
      </w:r>
      <w:r w:rsidRPr="002029AF">
        <w:t>utilisation</w:t>
      </w:r>
      <w:r w:rsidR="000A5329" w:rsidRPr="002029AF">
        <w:t xml:space="preserve"> </w:t>
      </w:r>
      <w:r w:rsidRPr="002029AF">
        <w:t>of</w:t>
      </w:r>
      <w:r w:rsidR="000A5329" w:rsidRPr="002029AF">
        <w:t xml:space="preserve"> </w:t>
      </w:r>
      <w:r w:rsidRPr="002029AF">
        <w:t>current</w:t>
      </w:r>
      <w:r w:rsidR="000A5329" w:rsidRPr="002029AF">
        <w:t xml:space="preserve"> </w:t>
      </w:r>
      <w:r w:rsidRPr="002029AF">
        <w:t>year</w:t>
      </w:r>
      <w:r w:rsidR="000A5329" w:rsidRPr="002029AF">
        <w:t xml:space="preserve"> </w:t>
      </w:r>
      <w:r w:rsidRPr="002029AF">
        <w:t>depreciation</w:t>
      </w:r>
      <w:r w:rsidR="000A5329" w:rsidRPr="002029AF">
        <w:t xml:space="preserve"> </w:t>
      </w:r>
      <w:r w:rsidRPr="002029AF">
        <w:t>equivalent</w:t>
      </w:r>
      <w:r w:rsidR="000A5329" w:rsidRPr="002029AF">
        <w:t xml:space="preserve"> </w:t>
      </w:r>
      <w:r w:rsidRPr="002029AF">
        <w:t>instead</w:t>
      </w:r>
      <w:r w:rsidR="000A5329" w:rsidRPr="002029AF">
        <w:t xml:space="preserve"> </w:t>
      </w:r>
      <w:r w:rsidRPr="002029AF">
        <w:t>of</w:t>
      </w:r>
      <w:r w:rsidR="000A5329" w:rsidRPr="002029AF">
        <w:t xml:space="preserve"> </w:t>
      </w:r>
      <w:r w:rsidRPr="002029AF">
        <w:t>additions</w:t>
      </w:r>
      <w:r w:rsidR="000A5329" w:rsidRPr="002029AF">
        <w:t xml:space="preserve"> </w:t>
      </w:r>
      <w:r w:rsidRPr="002029AF">
        <w:t>to</w:t>
      </w:r>
      <w:r w:rsidR="000A5329" w:rsidRPr="002029AF">
        <w:t xml:space="preserve"> </w:t>
      </w:r>
      <w:r w:rsidRPr="002029AF">
        <w:t>net</w:t>
      </w:r>
      <w:r w:rsidR="000A5329" w:rsidRPr="002029AF">
        <w:t xml:space="preserve"> </w:t>
      </w:r>
      <w:r w:rsidRPr="002029AF">
        <w:t>assets</w:t>
      </w:r>
      <w:r w:rsidR="000A5329" w:rsidRPr="002029AF">
        <w:t xml:space="preserve"> </w:t>
      </w:r>
      <w:r w:rsidRPr="002029AF">
        <w:t>and</w:t>
      </w:r>
      <w:r w:rsidR="000A5329" w:rsidRPr="002029AF">
        <w:t xml:space="preserve"> </w:t>
      </w:r>
      <w:r w:rsidRPr="002029AF">
        <w:t>unutilised</w:t>
      </w:r>
      <w:r w:rsidR="000A5329" w:rsidRPr="002029AF">
        <w:t xml:space="preserve"> </w:t>
      </w:r>
      <w:r w:rsidRPr="002029AF">
        <w:t>Advance</w:t>
      </w:r>
      <w:r w:rsidR="000A5329" w:rsidRPr="002029AF">
        <w:t xml:space="preserve"> </w:t>
      </w:r>
      <w:r w:rsidRPr="002029AF">
        <w:t>from</w:t>
      </w:r>
      <w:r w:rsidR="000A5329" w:rsidRPr="002029AF">
        <w:t xml:space="preserve"> </w:t>
      </w:r>
      <w:r w:rsidRPr="002029AF">
        <w:t>Treasurer.</w:t>
      </w:r>
    </w:p>
    <w:p w14:paraId="16508F9C" w14:textId="0BEC4F92" w:rsidR="00087B91" w:rsidRPr="002029AF" w:rsidRDefault="00087B91" w:rsidP="002A5CF0">
      <w:pPr>
        <w:pStyle w:val="ARfintablefootnoteindent"/>
      </w:pPr>
      <w:r w:rsidRPr="002029AF">
        <w:t>(v)</w:t>
      </w:r>
      <w:r w:rsidRPr="002029AF">
        <w:tab/>
        <w:t>The</w:t>
      </w:r>
      <w:r w:rsidR="000A5329" w:rsidRPr="002029AF">
        <w:t xml:space="preserve"> </w:t>
      </w:r>
      <w:r w:rsidRPr="002029AF">
        <w:t>provision</w:t>
      </w:r>
      <w:r w:rsidR="000A5329" w:rsidRPr="002029AF">
        <w:t xml:space="preserve"> </w:t>
      </w:r>
      <w:r w:rsidRPr="002029AF">
        <w:t>of</w:t>
      </w:r>
      <w:r w:rsidR="000A5329" w:rsidRPr="002029AF">
        <w:t xml:space="preserve"> </w:t>
      </w:r>
      <w:r w:rsidRPr="002029AF">
        <w:t>outputs</w:t>
      </w:r>
      <w:r w:rsidR="000A5329" w:rsidRPr="002029AF">
        <w:t xml:space="preserve"> </w:t>
      </w:r>
      <w:r w:rsidRPr="002029AF">
        <w:t>variance</w:t>
      </w:r>
      <w:r w:rsidR="000A5329" w:rsidRPr="002029AF">
        <w:t xml:space="preserve"> </w:t>
      </w:r>
      <w:r w:rsidRPr="002029AF">
        <w:t>of</w:t>
      </w:r>
      <w:r w:rsidR="000A5329" w:rsidRPr="002029AF">
        <w:t xml:space="preserve"> </w:t>
      </w:r>
      <w:r w:rsidRPr="002029AF">
        <w:t>$647.6</w:t>
      </w:r>
      <w:r w:rsidR="000A5329" w:rsidRPr="002029AF">
        <w:t xml:space="preserve"> </w:t>
      </w:r>
      <w:r w:rsidRPr="002029AF">
        <w:t>million</w:t>
      </w:r>
      <w:r w:rsidR="000A5329" w:rsidRPr="002029AF">
        <w:t xml:space="preserve"> </w:t>
      </w:r>
      <w:r w:rsidRPr="002029AF">
        <w:t>comprises</w:t>
      </w:r>
      <w:r w:rsidR="000A5329" w:rsidRPr="002029AF">
        <w:t xml:space="preserve"> </w:t>
      </w:r>
      <w:r w:rsidRPr="002029AF">
        <w:t>$56.9</w:t>
      </w:r>
      <w:r w:rsidR="000A5329" w:rsidRPr="002029AF">
        <w:t xml:space="preserve"> </w:t>
      </w:r>
      <w:r w:rsidRPr="002029AF">
        <w:t>million</w:t>
      </w:r>
      <w:r w:rsidR="000A5329" w:rsidRPr="002029AF">
        <w:t xml:space="preserve"> </w:t>
      </w:r>
      <w:r w:rsidRPr="002029AF">
        <w:t>relating</w:t>
      </w:r>
      <w:r w:rsidR="000A5329" w:rsidRPr="002029AF">
        <w:t xml:space="preserve"> </w:t>
      </w:r>
      <w:r w:rsidRPr="002029AF">
        <w:t>to</w:t>
      </w:r>
      <w:r w:rsidR="000A5329" w:rsidRPr="002029AF">
        <w:t xml:space="preserve"> </w:t>
      </w:r>
      <w:r w:rsidRPr="002029AF">
        <w:t>funding</w:t>
      </w:r>
      <w:r w:rsidR="000A5329" w:rsidRPr="002029AF">
        <w:t xml:space="preserve"> </w:t>
      </w:r>
      <w:r w:rsidRPr="002029AF">
        <w:t>for</w:t>
      </w:r>
      <w:r w:rsidR="000A5329" w:rsidRPr="002029AF">
        <w:t xml:space="preserve"> </w:t>
      </w:r>
      <w:r w:rsidRPr="002029AF">
        <w:t>services</w:t>
      </w:r>
      <w:r w:rsidR="000A5329" w:rsidRPr="002029AF">
        <w:t xml:space="preserve"> </w:t>
      </w:r>
      <w:r w:rsidRPr="002029AF">
        <w:t>and</w:t>
      </w:r>
      <w:r w:rsidR="000A5329" w:rsidRPr="002029AF">
        <w:t xml:space="preserve"> </w:t>
      </w:r>
      <w:r w:rsidRPr="002029AF">
        <w:t>projects</w:t>
      </w:r>
      <w:r w:rsidR="000A5329" w:rsidRPr="002029AF">
        <w:t xml:space="preserve"> </w:t>
      </w:r>
      <w:r w:rsidRPr="002029AF">
        <w:t>that</w:t>
      </w:r>
      <w:r w:rsidR="000A5329" w:rsidRPr="002029AF">
        <w:t xml:space="preserve"> </w:t>
      </w:r>
      <w:r w:rsidRPr="002029AF">
        <w:t>were</w:t>
      </w:r>
      <w:r w:rsidR="000A5329" w:rsidRPr="002029AF">
        <w:t xml:space="preserve"> </w:t>
      </w:r>
      <w:r w:rsidRPr="002029AF">
        <w:t>sought</w:t>
      </w:r>
      <w:r w:rsidR="000A5329" w:rsidRPr="002029AF">
        <w:t xml:space="preserve"> </w:t>
      </w:r>
      <w:r w:rsidRPr="002029AF">
        <w:t>in</w:t>
      </w:r>
      <w:r w:rsidR="000A5329" w:rsidRPr="002029AF">
        <w:t xml:space="preserve"> </w:t>
      </w:r>
      <w:r w:rsidRPr="002029AF">
        <w:t>2019–20,</w:t>
      </w:r>
      <w:r w:rsidR="000A5329" w:rsidRPr="002029AF">
        <w:t xml:space="preserve"> </w:t>
      </w:r>
      <w:r w:rsidRPr="002029AF">
        <w:t>and</w:t>
      </w:r>
      <w:r w:rsidR="000A5329" w:rsidRPr="002029AF">
        <w:t xml:space="preserve"> </w:t>
      </w:r>
      <w:r w:rsidRPr="002029AF">
        <w:t>$590.7</w:t>
      </w:r>
      <w:r w:rsidR="000A5329" w:rsidRPr="002029AF">
        <w:t xml:space="preserve"> </w:t>
      </w:r>
      <w:r w:rsidRPr="002029AF">
        <w:t>million</w:t>
      </w:r>
      <w:r w:rsidR="000A5329" w:rsidRPr="002029AF">
        <w:t xml:space="preserve"> </w:t>
      </w:r>
      <w:r w:rsidRPr="002029AF">
        <w:t>relating</w:t>
      </w:r>
      <w:r w:rsidR="000A5329" w:rsidRPr="002029AF">
        <w:t xml:space="preserve"> </w:t>
      </w:r>
      <w:r w:rsidRPr="002029AF">
        <w:t>to</w:t>
      </w:r>
      <w:r w:rsidR="000A5329" w:rsidRPr="002029AF">
        <w:t xml:space="preserve"> </w:t>
      </w:r>
      <w:r w:rsidRPr="002029AF">
        <w:t>output</w:t>
      </w:r>
      <w:r w:rsidR="000A5329" w:rsidRPr="002029AF">
        <w:t xml:space="preserve"> </w:t>
      </w:r>
      <w:r w:rsidRPr="002029AF">
        <w:t>appropriation</w:t>
      </w:r>
      <w:r w:rsidR="000A5329" w:rsidRPr="002029AF">
        <w:t xml:space="preserve"> </w:t>
      </w:r>
      <w:r w:rsidRPr="002029AF">
        <w:t>authority</w:t>
      </w:r>
      <w:r w:rsidR="000A5329" w:rsidRPr="002029AF">
        <w:t xml:space="preserve"> </w:t>
      </w:r>
      <w:r w:rsidRPr="002029AF">
        <w:t>not</w:t>
      </w:r>
      <w:r w:rsidR="000A5329" w:rsidRPr="002029AF">
        <w:t xml:space="preserve"> </w:t>
      </w:r>
      <w:r w:rsidRPr="002029AF">
        <w:t>applied</w:t>
      </w:r>
      <w:r w:rsidR="000A5329" w:rsidRPr="002029AF">
        <w:t xml:space="preserve"> </w:t>
      </w:r>
      <w:r w:rsidRPr="002029AF">
        <w:t>in</w:t>
      </w:r>
      <w:r w:rsidR="000A5329" w:rsidRPr="002029AF">
        <w:t xml:space="preserve"> </w:t>
      </w:r>
      <w:r w:rsidR="007920F7" w:rsidRPr="002029AF">
        <w:br/>
      </w:r>
      <w:r w:rsidRPr="002029AF">
        <w:t>2018–19.</w:t>
      </w:r>
      <w:r w:rsidR="000A5329" w:rsidRPr="002029AF">
        <w:t xml:space="preserve"> </w:t>
      </w:r>
      <w:r w:rsidRPr="002029AF">
        <w:t>The</w:t>
      </w:r>
      <w:r w:rsidR="000A5329" w:rsidRPr="002029AF">
        <w:t xml:space="preserve"> </w:t>
      </w:r>
      <w:r w:rsidRPr="002029AF">
        <w:t>unapplied</w:t>
      </w:r>
      <w:r w:rsidR="000A5329" w:rsidRPr="002029AF">
        <w:t xml:space="preserve"> </w:t>
      </w:r>
      <w:r w:rsidRPr="002029AF">
        <w:t>authority</w:t>
      </w:r>
      <w:r w:rsidR="000A5329" w:rsidRPr="002029AF">
        <w:t xml:space="preserve"> </w:t>
      </w:r>
      <w:r w:rsidRPr="002029AF">
        <w:t>primarily</w:t>
      </w:r>
      <w:r w:rsidR="000A5329" w:rsidRPr="002029AF">
        <w:t xml:space="preserve"> </w:t>
      </w:r>
      <w:r w:rsidRPr="002029AF">
        <w:t>reflects</w:t>
      </w:r>
      <w:r w:rsidR="000A5329" w:rsidRPr="002029AF">
        <w:t xml:space="preserve"> </w:t>
      </w:r>
      <w:r w:rsidRPr="002029AF">
        <w:t>lower</w:t>
      </w:r>
      <w:r w:rsidR="000A5329" w:rsidRPr="002029AF">
        <w:t xml:space="preserve"> </w:t>
      </w:r>
      <w:r w:rsidRPr="002029AF">
        <w:t>gaming</w:t>
      </w:r>
      <w:r w:rsidR="000A5329" w:rsidRPr="002029AF">
        <w:t xml:space="preserve"> </w:t>
      </w:r>
      <w:r w:rsidRPr="002029AF">
        <w:t>revenue</w:t>
      </w:r>
      <w:r w:rsidR="000A5329" w:rsidRPr="002029AF">
        <w:t xml:space="preserve"> </w:t>
      </w:r>
      <w:r w:rsidRPr="002029AF">
        <w:t>received</w:t>
      </w:r>
      <w:r w:rsidR="000A5329" w:rsidRPr="002029AF">
        <w:t xml:space="preserve"> </w:t>
      </w:r>
      <w:r w:rsidRPr="002029AF">
        <w:t>and</w:t>
      </w:r>
      <w:r w:rsidR="000A5329" w:rsidRPr="002029AF">
        <w:t xml:space="preserve"> </w:t>
      </w:r>
      <w:r w:rsidRPr="002029AF">
        <w:t>conversion</w:t>
      </w:r>
      <w:r w:rsidR="000A5329" w:rsidRPr="002029AF">
        <w:t xml:space="preserve"> </w:t>
      </w:r>
      <w:r w:rsidRPr="002029AF">
        <w:t>of</w:t>
      </w:r>
      <w:r w:rsidR="000A5329" w:rsidRPr="002029AF">
        <w:t xml:space="preserve"> </w:t>
      </w:r>
      <w:r w:rsidRPr="002029AF">
        <w:t>output</w:t>
      </w:r>
      <w:r w:rsidR="000A5329" w:rsidRPr="002029AF">
        <w:t xml:space="preserve"> </w:t>
      </w:r>
      <w:r w:rsidRPr="002029AF">
        <w:t>appropriation</w:t>
      </w:r>
      <w:r w:rsidR="000A5329" w:rsidRPr="002029AF">
        <w:t xml:space="preserve"> </w:t>
      </w:r>
      <w:r w:rsidRPr="002029AF">
        <w:t>authority</w:t>
      </w:r>
      <w:r w:rsidR="000A5329" w:rsidRPr="002029AF">
        <w:t xml:space="preserve"> </w:t>
      </w:r>
      <w:r w:rsidRPr="002029AF">
        <w:t>to</w:t>
      </w:r>
      <w:r w:rsidR="000A5329" w:rsidRPr="002029AF">
        <w:t xml:space="preserve"> </w:t>
      </w:r>
      <w:r w:rsidRPr="002029AF">
        <w:t>section</w:t>
      </w:r>
      <w:r w:rsidR="000A5329" w:rsidRPr="002029AF">
        <w:t xml:space="preserve"> </w:t>
      </w:r>
      <w:r w:rsidRPr="002029AF">
        <w:t>29</w:t>
      </w:r>
      <w:r w:rsidR="000A5329" w:rsidRPr="002029AF">
        <w:t xml:space="preserve"> </w:t>
      </w:r>
      <w:r w:rsidRPr="002029AF">
        <w:t>for</w:t>
      </w:r>
      <w:r w:rsidR="000A5329" w:rsidRPr="002029AF">
        <w:t xml:space="preserve"> </w:t>
      </w:r>
      <w:r w:rsidRPr="002029AF">
        <w:t>the</w:t>
      </w:r>
      <w:r w:rsidR="000A5329" w:rsidRPr="002029AF">
        <w:t xml:space="preserve"> </w:t>
      </w:r>
      <w:r w:rsidRPr="002029AF">
        <w:t>new</w:t>
      </w:r>
      <w:r w:rsidR="000A5329" w:rsidRPr="002029AF">
        <w:t xml:space="preserve"> </w:t>
      </w:r>
      <w:r w:rsidRPr="002029AF">
        <w:t>National</w:t>
      </w:r>
      <w:r w:rsidR="000A5329" w:rsidRPr="002029AF">
        <w:t xml:space="preserve"> </w:t>
      </w:r>
      <w:r w:rsidRPr="002029AF">
        <w:t>Housing</w:t>
      </w:r>
      <w:r w:rsidR="000A5329" w:rsidRPr="002029AF">
        <w:t xml:space="preserve"> </w:t>
      </w:r>
      <w:r w:rsidRPr="002029AF">
        <w:t>and</w:t>
      </w:r>
      <w:r w:rsidR="000A5329" w:rsidRPr="002029AF">
        <w:t xml:space="preserve"> </w:t>
      </w:r>
      <w:r w:rsidRPr="002029AF">
        <w:t>Homelessness</w:t>
      </w:r>
      <w:r w:rsidR="000A5329" w:rsidRPr="002029AF">
        <w:t xml:space="preserve"> </w:t>
      </w:r>
      <w:r w:rsidRPr="002029AF">
        <w:t>Agreement.</w:t>
      </w:r>
    </w:p>
    <w:p w14:paraId="2BA21D2E" w14:textId="7D8E91A2" w:rsidR="00087B91" w:rsidRPr="002029AF" w:rsidRDefault="00087B91" w:rsidP="002A5CF0">
      <w:pPr>
        <w:pStyle w:val="ARfintablefootnoteindent"/>
        <w:rPr>
          <w:rFonts w:cs="Arial"/>
          <w:sz w:val="16"/>
          <w:szCs w:val="16"/>
        </w:rPr>
        <w:sectPr w:rsidR="00087B91" w:rsidRPr="002029AF" w:rsidSect="00860E95">
          <w:footerReference w:type="even" r:id="rId204"/>
          <w:pgSz w:w="16838" w:h="11906" w:orient="landscape" w:code="9"/>
          <w:pgMar w:top="1418" w:right="1531" w:bottom="1418" w:left="851" w:header="851" w:footer="851" w:gutter="0"/>
          <w:cols w:space="708"/>
          <w:docGrid w:linePitch="360"/>
          <w15:footnoteColumns w:val="1"/>
        </w:sectPr>
      </w:pPr>
      <w:r w:rsidRPr="002029AF">
        <w:t>(vi)</w:t>
      </w:r>
      <w:r w:rsidRPr="002029AF">
        <w:tab/>
        <w:t>The</w:t>
      </w:r>
      <w:r w:rsidR="000A5329" w:rsidRPr="002029AF">
        <w:t xml:space="preserve"> </w:t>
      </w:r>
      <w:r w:rsidRPr="002029AF">
        <w:t>additions</w:t>
      </w:r>
      <w:r w:rsidR="000A5329" w:rsidRPr="002029AF">
        <w:t xml:space="preserve"> </w:t>
      </w:r>
      <w:r w:rsidRPr="002029AF">
        <w:t>to</w:t>
      </w:r>
      <w:r w:rsidR="000A5329" w:rsidRPr="002029AF">
        <w:t xml:space="preserve"> </w:t>
      </w:r>
      <w:r w:rsidRPr="002029AF">
        <w:t>net</w:t>
      </w:r>
      <w:r w:rsidR="000A5329" w:rsidRPr="002029AF">
        <w:t xml:space="preserve"> </w:t>
      </w:r>
      <w:r w:rsidRPr="002029AF">
        <w:t>assets</w:t>
      </w:r>
      <w:r w:rsidR="000A5329" w:rsidRPr="002029AF">
        <w:t xml:space="preserve"> </w:t>
      </w:r>
      <w:r w:rsidRPr="002029AF">
        <w:t>variance</w:t>
      </w:r>
      <w:r w:rsidR="000A5329" w:rsidRPr="002029AF">
        <w:t xml:space="preserve"> </w:t>
      </w:r>
      <w:r w:rsidRPr="002029AF">
        <w:t>of</w:t>
      </w:r>
      <w:r w:rsidR="000A5329" w:rsidRPr="002029AF">
        <w:t xml:space="preserve"> </w:t>
      </w:r>
      <w:r w:rsidRPr="002029AF">
        <w:t>$132.5</w:t>
      </w:r>
      <w:r w:rsidR="000A5329" w:rsidRPr="002029AF">
        <w:t xml:space="preserve"> </w:t>
      </w:r>
      <w:r w:rsidRPr="002029AF">
        <w:t>million</w:t>
      </w:r>
      <w:r w:rsidR="000A5329" w:rsidRPr="002029AF">
        <w:t xml:space="preserve"> </w:t>
      </w:r>
      <w:r w:rsidRPr="002029AF">
        <w:t>comprises</w:t>
      </w:r>
      <w:r w:rsidR="000A5329" w:rsidRPr="002029AF">
        <w:t xml:space="preserve"> </w:t>
      </w:r>
      <w:r w:rsidRPr="002029AF">
        <w:t>$1</w:t>
      </w:r>
      <w:r w:rsidR="000A5329" w:rsidRPr="002029AF">
        <w:t xml:space="preserve"> </w:t>
      </w:r>
      <w:r w:rsidRPr="002029AF">
        <w:t>million</w:t>
      </w:r>
      <w:r w:rsidR="000A5329" w:rsidRPr="002029AF">
        <w:t xml:space="preserve"> </w:t>
      </w:r>
      <w:r w:rsidRPr="002029AF">
        <w:t>relating</w:t>
      </w:r>
      <w:r w:rsidR="000A5329" w:rsidRPr="002029AF">
        <w:t xml:space="preserve"> </w:t>
      </w:r>
      <w:r w:rsidRPr="002029AF">
        <w:t>to</w:t>
      </w:r>
      <w:r w:rsidR="000A5329" w:rsidRPr="002029AF">
        <w:t xml:space="preserve"> </w:t>
      </w:r>
      <w:r w:rsidRPr="002029AF">
        <w:t>funding</w:t>
      </w:r>
      <w:r w:rsidR="000A5329" w:rsidRPr="002029AF">
        <w:t xml:space="preserve"> </w:t>
      </w:r>
      <w:r w:rsidRPr="002029AF">
        <w:t>for</w:t>
      </w:r>
      <w:r w:rsidR="000A5329" w:rsidRPr="002029AF">
        <w:t xml:space="preserve"> </w:t>
      </w:r>
      <w:r w:rsidRPr="002029AF">
        <w:t>capital</w:t>
      </w:r>
      <w:r w:rsidR="000A5329" w:rsidRPr="002029AF">
        <w:t xml:space="preserve"> </w:t>
      </w:r>
      <w:r w:rsidRPr="002029AF">
        <w:t>projects</w:t>
      </w:r>
      <w:r w:rsidR="000A5329" w:rsidRPr="002029AF">
        <w:t xml:space="preserve"> </w:t>
      </w:r>
      <w:r w:rsidRPr="002029AF">
        <w:t>that</w:t>
      </w:r>
      <w:r w:rsidR="000A5329" w:rsidRPr="002029AF">
        <w:t xml:space="preserve"> </w:t>
      </w:r>
      <w:r w:rsidRPr="002029AF">
        <w:t>were</w:t>
      </w:r>
      <w:r w:rsidR="000A5329" w:rsidRPr="002029AF">
        <w:t xml:space="preserve"> </w:t>
      </w:r>
      <w:r w:rsidRPr="002029AF">
        <w:t>sought</w:t>
      </w:r>
      <w:r w:rsidR="000A5329" w:rsidRPr="002029AF">
        <w:t xml:space="preserve"> </w:t>
      </w:r>
      <w:r w:rsidRPr="002029AF">
        <w:t>in</w:t>
      </w:r>
      <w:r w:rsidR="000A5329" w:rsidRPr="002029AF">
        <w:t xml:space="preserve"> </w:t>
      </w:r>
      <w:r w:rsidRPr="002029AF">
        <w:t>2019–20</w:t>
      </w:r>
      <w:r w:rsidR="000A5329" w:rsidRPr="002029AF">
        <w:t xml:space="preserve"> </w:t>
      </w:r>
      <w:r w:rsidRPr="002029AF">
        <w:t>and</w:t>
      </w:r>
      <w:r w:rsidR="000A5329" w:rsidRPr="002029AF">
        <w:t xml:space="preserve"> </w:t>
      </w:r>
      <w:r w:rsidRPr="002029AF">
        <w:t>outyears</w:t>
      </w:r>
      <w:r w:rsidR="000A5329" w:rsidRPr="002029AF">
        <w:t xml:space="preserve"> </w:t>
      </w:r>
      <w:r w:rsidRPr="002029AF">
        <w:t>and</w:t>
      </w:r>
      <w:r w:rsidR="000A5329" w:rsidRPr="002029AF">
        <w:t xml:space="preserve"> </w:t>
      </w:r>
      <w:r w:rsidRPr="002029AF">
        <w:t>$131.5</w:t>
      </w:r>
      <w:r w:rsidR="000A5329" w:rsidRPr="002029AF">
        <w:t xml:space="preserve"> </w:t>
      </w:r>
      <w:r w:rsidRPr="002029AF">
        <w:t>million</w:t>
      </w:r>
      <w:r w:rsidR="000A5329" w:rsidRPr="002029AF">
        <w:t xml:space="preserve"> </w:t>
      </w:r>
      <w:r w:rsidRPr="002029AF">
        <w:t>relating</w:t>
      </w:r>
      <w:r w:rsidR="000A5329" w:rsidRPr="002029AF">
        <w:t xml:space="preserve"> </w:t>
      </w:r>
      <w:r w:rsidRPr="002029AF">
        <w:t>to</w:t>
      </w:r>
      <w:r w:rsidR="000A5329" w:rsidRPr="002029AF">
        <w:t xml:space="preserve"> </w:t>
      </w:r>
      <w:r w:rsidRPr="002029AF">
        <w:t>appropriation</w:t>
      </w:r>
      <w:r w:rsidR="000A5329" w:rsidRPr="002029AF">
        <w:t xml:space="preserve"> </w:t>
      </w:r>
      <w:r w:rsidRPr="002029AF">
        <w:t>authority</w:t>
      </w:r>
      <w:r w:rsidR="000A5329" w:rsidRPr="002029AF">
        <w:t xml:space="preserve"> </w:t>
      </w:r>
      <w:r w:rsidRPr="002029AF">
        <w:t>not</w:t>
      </w:r>
      <w:r w:rsidR="000A5329" w:rsidRPr="002029AF">
        <w:t xml:space="preserve"> </w:t>
      </w:r>
      <w:r w:rsidRPr="002029AF">
        <w:t>applied</w:t>
      </w:r>
      <w:r w:rsidR="000A5329" w:rsidRPr="002029AF">
        <w:t xml:space="preserve"> </w:t>
      </w:r>
      <w:r w:rsidRPr="002029AF">
        <w:t>in</w:t>
      </w:r>
      <w:r w:rsidR="000A5329" w:rsidRPr="002029AF">
        <w:t xml:space="preserve"> </w:t>
      </w:r>
      <w:r w:rsidRPr="002029AF">
        <w:br/>
        <w:t>2018–19.</w:t>
      </w:r>
      <w:r w:rsidR="000A5329" w:rsidRPr="002029AF">
        <w:t xml:space="preserve"> </w:t>
      </w:r>
      <w:r w:rsidRPr="002029AF">
        <w:t>The</w:t>
      </w:r>
      <w:r w:rsidR="000A5329" w:rsidRPr="002029AF">
        <w:t xml:space="preserve"> </w:t>
      </w:r>
      <w:r w:rsidRPr="002029AF">
        <w:t>unapplied</w:t>
      </w:r>
      <w:r w:rsidR="000A5329" w:rsidRPr="002029AF">
        <w:t xml:space="preserve"> </w:t>
      </w:r>
      <w:r w:rsidRPr="002029AF">
        <w:t>authority</w:t>
      </w:r>
      <w:r w:rsidR="000A5329" w:rsidRPr="002029AF">
        <w:t xml:space="preserve"> </w:t>
      </w:r>
      <w:r w:rsidRPr="002029AF">
        <w:t>primarily</w:t>
      </w:r>
      <w:r w:rsidR="000A5329" w:rsidRPr="002029AF">
        <w:t xml:space="preserve"> </w:t>
      </w:r>
      <w:r w:rsidRPr="002029AF">
        <w:t>reflects</w:t>
      </w:r>
      <w:r w:rsidR="000A5329" w:rsidRPr="002029AF">
        <w:t xml:space="preserve"> </w:t>
      </w:r>
      <w:r w:rsidRPr="002029AF">
        <w:t>utilisation</w:t>
      </w:r>
      <w:r w:rsidR="000A5329" w:rsidRPr="002029AF">
        <w:t xml:space="preserve"> </w:t>
      </w:r>
      <w:r w:rsidRPr="002029AF">
        <w:t>of</w:t>
      </w:r>
      <w:r w:rsidR="000A5329" w:rsidRPr="002029AF">
        <w:t xml:space="preserve"> </w:t>
      </w:r>
      <w:r w:rsidRPr="002029AF">
        <w:t>current</w:t>
      </w:r>
      <w:r w:rsidR="000A5329" w:rsidRPr="002029AF">
        <w:t xml:space="preserve"> </w:t>
      </w:r>
      <w:r w:rsidRPr="002029AF">
        <w:t>year</w:t>
      </w:r>
      <w:r w:rsidR="000A5329" w:rsidRPr="002029AF">
        <w:t xml:space="preserve"> </w:t>
      </w:r>
      <w:r w:rsidRPr="002029AF">
        <w:t>depreciation</w:t>
      </w:r>
      <w:r w:rsidR="000A5329" w:rsidRPr="002029AF">
        <w:t xml:space="preserve"> </w:t>
      </w:r>
      <w:r w:rsidRPr="002029AF">
        <w:t>equivalent</w:t>
      </w:r>
      <w:r w:rsidR="000A5329" w:rsidRPr="002029AF">
        <w:t xml:space="preserve"> </w:t>
      </w:r>
      <w:r w:rsidRPr="002029AF">
        <w:t>instead</w:t>
      </w:r>
      <w:r w:rsidR="000A5329" w:rsidRPr="002029AF">
        <w:t xml:space="preserve"> </w:t>
      </w:r>
      <w:r w:rsidRPr="002029AF">
        <w:t>of</w:t>
      </w:r>
      <w:r w:rsidR="000A5329" w:rsidRPr="002029AF">
        <w:t xml:space="preserve"> </w:t>
      </w:r>
      <w:r w:rsidRPr="002029AF">
        <w:t>additions</w:t>
      </w:r>
      <w:r w:rsidR="000A5329" w:rsidRPr="002029AF">
        <w:t xml:space="preserve"> </w:t>
      </w:r>
      <w:r w:rsidRPr="002029AF">
        <w:t>to</w:t>
      </w:r>
      <w:r w:rsidR="000A5329" w:rsidRPr="002029AF">
        <w:t xml:space="preserve"> </w:t>
      </w:r>
      <w:r w:rsidRPr="002029AF">
        <w:t>net</w:t>
      </w:r>
      <w:r w:rsidR="000A5329" w:rsidRPr="002029AF">
        <w:t xml:space="preserve"> </w:t>
      </w:r>
      <w:r w:rsidRPr="002029AF">
        <w:t>assets.</w:t>
      </w:r>
      <w:r w:rsidR="000A5329" w:rsidRPr="002029AF">
        <w:t xml:space="preserve"> </w:t>
      </w:r>
    </w:p>
    <w:p w14:paraId="05462875" w14:textId="4892210B" w:rsidR="00087B91" w:rsidRPr="002029AF" w:rsidRDefault="00087B91" w:rsidP="00087B91">
      <w:pPr>
        <w:pStyle w:val="ARfinbodylargespace"/>
      </w:pPr>
      <w:r w:rsidRPr="002029AF">
        <w:lastRenderedPageBreak/>
        <w:t>The</w:t>
      </w:r>
      <w:r w:rsidR="000A5329" w:rsidRPr="002029AF">
        <w:t xml:space="preserve"> </w:t>
      </w:r>
      <w:r w:rsidRPr="002029AF">
        <w:t>following</w:t>
      </w:r>
      <w:r w:rsidR="000A5329" w:rsidRPr="002029AF">
        <w:t xml:space="preserve"> </w:t>
      </w:r>
      <w:r w:rsidRPr="002029AF">
        <w:t>table</w:t>
      </w:r>
      <w:r w:rsidR="000A5329" w:rsidRPr="002029AF">
        <w:t xml:space="preserve"> </w:t>
      </w:r>
      <w:r w:rsidRPr="002029AF">
        <w:t>discloses</w:t>
      </w:r>
      <w:r w:rsidR="000A5329" w:rsidRPr="002029AF">
        <w:t xml:space="preserve"> </w:t>
      </w:r>
      <w:r w:rsidRPr="002029AF">
        <w:t>the</w:t>
      </w:r>
      <w:r w:rsidR="000A5329" w:rsidRPr="002029AF">
        <w:t xml:space="preserve"> </w:t>
      </w:r>
      <w:r w:rsidRPr="002029AF">
        <w:t>details</w:t>
      </w:r>
      <w:r w:rsidR="000A5329" w:rsidRPr="002029AF">
        <w:t xml:space="preserve"> </w:t>
      </w:r>
      <w:r w:rsidRPr="002029AF">
        <w:t>of</w:t>
      </w:r>
      <w:r w:rsidR="000A5329" w:rsidRPr="002029AF">
        <w:t xml:space="preserve"> </w:t>
      </w:r>
      <w:r w:rsidRPr="002029AF">
        <w:t>compliance</w:t>
      </w:r>
      <w:r w:rsidR="000A5329" w:rsidRPr="002029AF">
        <w:t xml:space="preserve"> </w:t>
      </w:r>
      <w:r w:rsidRPr="002029AF">
        <w:t>with</w:t>
      </w:r>
      <w:r w:rsidR="000A5329" w:rsidRPr="002029AF">
        <w:t xml:space="preserve"> </w:t>
      </w:r>
      <w:r w:rsidRPr="002029AF">
        <w:t>special</w:t>
      </w:r>
      <w:r w:rsidR="000A5329" w:rsidRPr="002029AF">
        <w:t xml:space="preserve"> </w:t>
      </w:r>
      <w:r w:rsidRPr="002029AF">
        <w:t>appropriations:</w:t>
      </w:r>
    </w:p>
    <w:tbl>
      <w:tblPr>
        <w:tblStyle w:val="TableGrid"/>
        <w:tblW w:w="9637" w:type="dxa"/>
        <w:tblLayout w:type="fixed"/>
        <w:tblLook w:val="06A0" w:firstRow="1" w:lastRow="0" w:firstColumn="1" w:lastColumn="0" w:noHBand="1" w:noVBand="1"/>
      </w:tblPr>
      <w:tblGrid>
        <w:gridCol w:w="3684"/>
        <w:gridCol w:w="3685"/>
        <w:gridCol w:w="1134"/>
        <w:gridCol w:w="1134"/>
      </w:tblGrid>
      <w:tr w:rsidR="00087B91" w:rsidRPr="002029AF" w14:paraId="66E7116B" w14:textId="77777777" w:rsidTr="00C750BA">
        <w:trPr>
          <w:cnfStyle w:val="100000000000" w:firstRow="1" w:lastRow="0" w:firstColumn="0" w:lastColumn="0" w:oddVBand="0" w:evenVBand="0" w:oddHBand="0" w:evenHBand="0" w:firstRowFirstColumn="0" w:firstRowLastColumn="0" w:lastRowFirstColumn="0" w:lastRowLastColumn="0"/>
          <w:tblHeader/>
        </w:trPr>
        <w:tc>
          <w:tcPr>
            <w:tcW w:w="3686" w:type="dxa"/>
            <w:vMerge w:val="restart"/>
            <w:noWrap/>
            <w:hideMark/>
          </w:tcPr>
          <w:p w14:paraId="6F8AD390" w14:textId="77777777" w:rsidR="00087B91" w:rsidRPr="002029AF" w:rsidRDefault="00087B91" w:rsidP="00860E95">
            <w:pPr>
              <w:pStyle w:val="ARfintablecolhead"/>
            </w:pPr>
            <w:r w:rsidRPr="002029AF">
              <w:t>Authority</w:t>
            </w:r>
          </w:p>
        </w:tc>
        <w:tc>
          <w:tcPr>
            <w:tcW w:w="3686" w:type="dxa"/>
            <w:vMerge w:val="restart"/>
            <w:noWrap/>
            <w:hideMark/>
          </w:tcPr>
          <w:p w14:paraId="3BE32AF5" w14:textId="77777777" w:rsidR="00087B91" w:rsidRPr="002029AF" w:rsidRDefault="00087B91" w:rsidP="00860E95">
            <w:pPr>
              <w:pStyle w:val="ARfintablecolhead"/>
            </w:pPr>
            <w:r w:rsidRPr="002029AF">
              <w:t>Purpose</w:t>
            </w:r>
          </w:p>
        </w:tc>
        <w:tc>
          <w:tcPr>
            <w:tcW w:w="1134" w:type="dxa"/>
            <w:gridSpan w:val="2"/>
            <w:hideMark/>
          </w:tcPr>
          <w:p w14:paraId="14F3C55C" w14:textId="1124DDC6" w:rsidR="00087B91" w:rsidRPr="002029AF" w:rsidRDefault="00087B91" w:rsidP="00860E95">
            <w:pPr>
              <w:pStyle w:val="ARfintablecolheadright"/>
            </w:pPr>
            <w:r w:rsidRPr="002029AF">
              <w:t>Appropriation</w:t>
            </w:r>
            <w:r w:rsidR="000A5329" w:rsidRPr="002029AF">
              <w:t xml:space="preserve"> </w:t>
            </w:r>
            <w:r w:rsidRPr="002029AF">
              <w:t>applied</w:t>
            </w:r>
          </w:p>
        </w:tc>
      </w:tr>
      <w:tr w:rsidR="00087B91" w:rsidRPr="002029AF" w14:paraId="290F0AA9" w14:textId="77777777" w:rsidTr="00D0276F">
        <w:trPr>
          <w:cnfStyle w:val="100000000000" w:firstRow="1" w:lastRow="0" w:firstColumn="0" w:lastColumn="0" w:oddVBand="0" w:evenVBand="0" w:oddHBand="0" w:evenHBand="0" w:firstRowFirstColumn="0" w:firstRowLastColumn="0" w:lastRowFirstColumn="0" w:lastRowLastColumn="0"/>
          <w:tblHeader/>
        </w:trPr>
        <w:tc>
          <w:tcPr>
            <w:tcW w:w="3686" w:type="dxa"/>
            <w:vMerge/>
            <w:tcBorders>
              <w:bottom w:val="single" w:sz="4" w:space="0" w:color="auto"/>
            </w:tcBorders>
            <w:noWrap/>
            <w:hideMark/>
          </w:tcPr>
          <w:p w14:paraId="49941C26" w14:textId="77777777" w:rsidR="00087B91" w:rsidRPr="002029AF" w:rsidRDefault="00087B91" w:rsidP="00860E95">
            <w:pPr>
              <w:pStyle w:val="ARfintablecolhead"/>
            </w:pPr>
          </w:p>
        </w:tc>
        <w:tc>
          <w:tcPr>
            <w:tcW w:w="3686" w:type="dxa"/>
            <w:vMerge/>
            <w:tcBorders>
              <w:bottom w:val="single" w:sz="4" w:space="0" w:color="auto"/>
            </w:tcBorders>
            <w:noWrap/>
            <w:hideMark/>
          </w:tcPr>
          <w:p w14:paraId="5208B552" w14:textId="77777777" w:rsidR="00087B91" w:rsidRPr="002029AF" w:rsidRDefault="00087B91" w:rsidP="00860E95">
            <w:pPr>
              <w:pStyle w:val="ARfintablecolhead"/>
            </w:pPr>
          </w:p>
        </w:tc>
        <w:tc>
          <w:tcPr>
            <w:tcW w:w="1134" w:type="dxa"/>
            <w:tcBorders>
              <w:bottom w:val="single" w:sz="4" w:space="0" w:color="auto"/>
            </w:tcBorders>
            <w:shd w:val="clear" w:color="auto" w:fill="E7E6E6"/>
            <w:hideMark/>
          </w:tcPr>
          <w:p w14:paraId="3320EAA0" w14:textId="77777777" w:rsidR="00087B91" w:rsidRPr="002029AF" w:rsidRDefault="00087B91" w:rsidP="00860E95">
            <w:pPr>
              <w:pStyle w:val="ARfintablecolheadright"/>
            </w:pPr>
            <w:r w:rsidRPr="002029AF">
              <w:t>2020</w:t>
            </w:r>
          </w:p>
          <w:p w14:paraId="10D5BBD1" w14:textId="77777777" w:rsidR="00087B91" w:rsidRPr="002029AF" w:rsidRDefault="00087B91" w:rsidP="00860E95">
            <w:pPr>
              <w:pStyle w:val="ARfintablecolheadright"/>
            </w:pPr>
            <w:r w:rsidRPr="002029AF">
              <w:t>$M</w:t>
            </w:r>
          </w:p>
        </w:tc>
        <w:tc>
          <w:tcPr>
            <w:tcW w:w="1134" w:type="dxa"/>
            <w:tcBorders>
              <w:bottom w:val="single" w:sz="4" w:space="0" w:color="auto"/>
            </w:tcBorders>
            <w:hideMark/>
          </w:tcPr>
          <w:p w14:paraId="72930389" w14:textId="77777777" w:rsidR="00087B91" w:rsidRPr="002029AF" w:rsidRDefault="00087B91" w:rsidP="00860E95">
            <w:pPr>
              <w:pStyle w:val="ARfintablecolheadright"/>
            </w:pPr>
            <w:r w:rsidRPr="002029AF">
              <w:t>2019</w:t>
            </w:r>
          </w:p>
          <w:p w14:paraId="0CFB8AF8" w14:textId="77777777" w:rsidR="00087B91" w:rsidRPr="002029AF" w:rsidRDefault="00087B91" w:rsidP="00860E95">
            <w:pPr>
              <w:pStyle w:val="ARfintablecolheadright"/>
            </w:pPr>
            <w:r w:rsidRPr="002029AF">
              <w:t>$M</w:t>
            </w:r>
          </w:p>
        </w:tc>
      </w:tr>
      <w:tr w:rsidR="00087B91" w:rsidRPr="002029AF" w14:paraId="06487553" w14:textId="77777777" w:rsidTr="00860E95">
        <w:tc>
          <w:tcPr>
            <w:tcW w:w="3686" w:type="dxa"/>
            <w:tcBorders>
              <w:top w:val="single" w:sz="4" w:space="0" w:color="auto"/>
              <w:bottom w:val="single" w:sz="4" w:space="0" w:color="A6A6A6"/>
            </w:tcBorders>
            <w:hideMark/>
          </w:tcPr>
          <w:p w14:paraId="4118C292" w14:textId="00BFE2A6" w:rsidR="00087B91" w:rsidRPr="002029AF" w:rsidRDefault="00087B91" w:rsidP="00860E95">
            <w:pPr>
              <w:pStyle w:val="ARfintablebody"/>
            </w:pPr>
            <w:r w:rsidRPr="002029AF">
              <w:t>Section</w:t>
            </w:r>
            <w:r w:rsidR="000A5329" w:rsidRPr="002029AF">
              <w:t xml:space="preserve"> </w:t>
            </w:r>
            <w:r w:rsidRPr="002029AF">
              <w:t>4.4.11</w:t>
            </w:r>
            <w:r w:rsidR="000A5329" w:rsidRPr="002029AF">
              <w:t xml:space="preserve"> </w:t>
            </w:r>
            <w:r w:rsidRPr="002029AF">
              <w:t>and</w:t>
            </w:r>
            <w:r w:rsidR="000A5329" w:rsidRPr="002029AF">
              <w:t xml:space="preserve"> </w:t>
            </w:r>
            <w:r w:rsidRPr="002029AF">
              <w:t>4.6.8</w:t>
            </w:r>
            <w:r w:rsidR="000A5329" w:rsidRPr="002029AF">
              <w:t xml:space="preserve"> </w:t>
            </w:r>
            <w:r w:rsidRPr="002029AF">
              <w:t>of</w:t>
            </w:r>
            <w:r w:rsidR="000A5329" w:rsidRPr="002029AF">
              <w:t xml:space="preserve"> </w:t>
            </w:r>
            <w:r w:rsidRPr="002029AF">
              <w:t>the</w:t>
            </w:r>
            <w:r w:rsidR="000A5329" w:rsidRPr="002029AF">
              <w:t xml:space="preserve"> </w:t>
            </w:r>
            <w:r w:rsidRPr="002029AF">
              <w:rPr>
                <w:rStyle w:val="Emphasis"/>
              </w:rPr>
              <w:t>Gambling</w:t>
            </w:r>
            <w:r w:rsidR="000A5329" w:rsidRPr="002029AF">
              <w:rPr>
                <w:rStyle w:val="Emphasis"/>
              </w:rPr>
              <w:t xml:space="preserve"> </w:t>
            </w:r>
            <w:r w:rsidRPr="002029AF">
              <w:rPr>
                <w:rStyle w:val="Emphasis"/>
              </w:rPr>
              <w:t>Regulation</w:t>
            </w:r>
            <w:r w:rsidR="000A5329" w:rsidRPr="002029AF">
              <w:rPr>
                <w:rStyle w:val="Emphasis"/>
              </w:rPr>
              <w:t xml:space="preserve"> </w:t>
            </w:r>
            <w:r w:rsidRPr="002029AF">
              <w:rPr>
                <w:rStyle w:val="Emphasis"/>
              </w:rPr>
              <w:t>Act</w:t>
            </w:r>
            <w:r w:rsidR="000A5329" w:rsidRPr="002029AF">
              <w:rPr>
                <w:rStyle w:val="Emphasis"/>
              </w:rPr>
              <w:t xml:space="preserve"> </w:t>
            </w:r>
            <w:r w:rsidRPr="002029AF">
              <w:rPr>
                <w:rStyle w:val="Emphasis"/>
              </w:rPr>
              <w:t>No.</w:t>
            </w:r>
            <w:r w:rsidR="000A5329" w:rsidRPr="002029AF">
              <w:rPr>
                <w:rStyle w:val="Emphasis"/>
              </w:rPr>
              <w:t xml:space="preserve"> </w:t>
            </w:r>
            <w:r w:rsidRPr="002029AF">
              <w:rPr>
                <w:rStyle w:val="Emphasis"/>
              </w:rPr>
              <w:t>114</w:t>
            </w:r>
            <w:r w:rsidR="000A5329" w:rsidRPr="002029AF">
              <w:rPr>
                <w:rStyle w:val="Emphasis"/>
              </w:rPr>
              <w:t xml:space="preserve"> </w:t>
            </w:r>
            <w:r w:rsidRPr="002029AF">
              <w:rPr>
                <w:rStyle w:val="Emphasis"/>
              </w:rPr>
              <w:t>of</w:t>
            </w:r>
            <w:r w:rsidR="000A5329" w:rsidRPr="002029AF">
              <w:rPr>
                <w:rStyle w:val="Emphasis"/>
              </w:rPr>
              <w:t xml:space="preserve"> </w:t>
            </w:r>
            <w:r w:rsidRPr="002029AF">
              <w:rPr>
                <w:rStyle w:val="Emphasis"/>
              </w:rPr>
              <w:t>2003</w:t>
            </w:r>
          </w:p>
        </w:tc>
        <w:tc>
          <w:tcPr>
            <w:tcW w:w="3686" w:type="dxa"/>
            <w:tcBorders>
              <w:top w:val="single" w:sz="4" w:space="0" w:color="auto"/>
              <w:bottom w:val="single" w:sz="4" w:space="0" w:color="A6A6A6"/>
            </w:tcBorders>
            <w:hideMark/>
          </w:tcPr>
          <w:p w14:paraId="6DED3853" w14:textId="47E9682E" w:rsidR="00087B91" w:rsidRPr="002029AF" w:rsidRDefault="00087B91" w:rsidP="00860E95">
            <w:pPr>
              <w:pStyle w:val="ARfintablebody"/>
            </w:pPr>
            <w:r w:rsidRPr="002029AF">
              <w:t>Contribution</w:t>
            </w:r>
            <w:r w:rsidR="000A5329" w:rsidRPr="002029AF">
              <w:t xml:space="preserve"> </w:t>
            </w:r>
            <w:r w:rsidRPr="002029AF">
              <w:t>to</w:t>
            </w:r>
            <w:r w:rsidR="000A5329" w:rsidRPr="002029AF">
              <w:t xml:space="preserve"> </w:t>
            </w:r>
            <w:r w:rsidRPr="002029AF">
              <w:t>the</w:t>
            </w:r>
            <w:r w:rsidR="000A5329" w:rsidRPr="002029AF">
              <w:t xml:space="preserve"> </w:t>
            </w:r>
            <w:r w:rsidRPr="002029AF">
              <w:t>Hospitals</w:t>
            </w:r>
            <w:r w:rsidR="000A5329" w:rsidRPr="002029AF">
              <w:t xml:space="preserve"> </w:t>
            </w:r>
            <w:r w:rsidRPr="002029AF">
              <w:t>and</w:t>
            </w:r>
            <w:r w:rsidR="000A5329" w:rsidRPr="002029AF">
              <w:t xml:space="preserve"> </w:t>
            </w:r>
            <w:r w:rsidRPr="002029AF">
              <w:t>Charities</w:t>
            </w:r>
            <w:r w:rsidR="000A5329" w:rsidRPr="002029AF">
              <w:t xml:space="preserve"> </w:t>
            </w:r>
            <w:r w:rsidRPr="002029AF">
              <w:t>Fund</w:t>
            </w:r>
          </w:p>
        </w:tc>
        <w:tc>
          <w:tcPr>
            <w:tcW w:w="1134" w:type="dxa"/>
            <w:tcBorders>
              <w:top w:val="single" w:sz="4" w:space="0" w:color="auto"/>
              <w:bottom w:val="single" w:sz="4" w:space="0" w:color="A6A6A6"/>
            </w:tcBorders>
            <w:shd w:val="clear" w:color="auto" w:fill="E7E6E6"/>
            <w:noWrap/>
            <w:hideMark/>
          </w:tcPr>
          <w:p w14:paraId="4096A776" w14:textId="77777777" w:rsidR="00087B91" w:rsidRPr="002029AF" w:rsidRDefault="00087B91" w:rsidP="00860E95">
            <w:pPr>
              <w:pStyle w:val="ARfintablebodyright"/>
            </w:pPr>
            <w:r w:rsidRPr="002029AF">
              <w:t>108.7</w:t>
            </w:r>
          </w:p>
        </w:tc>
        <w:tc>
          <w:tcPr>
            <w:tcW w:w="1134" w:type="dxa"/>
            <w:tcBorders>
              <w:top w:val="single" w:sz="4" w:space="0" w:color="auto"/>
              <w:bottom w:val="single" w:sz="4" w:space="0" w:color="A6A6A6"/>
            </w:tcBorders>
            <w:noWrap/>
            <w:hideMark/>
          </w:tcPr>
          <w:p w14:paraId="6EA33581" w14:textId="77777777" w:rsidR="00087B91" w:rsidRPr="002029AF" w:rsidRDefault="00087B91" w:rsidP="00860E95">
            <w:pPr>
              <w:pStyle w:val="ARfintablebodyright"/>
            </w:pPr>
            <w:r w:rsidRPr="002029AF">
              <w:t>68.4</w:t>
            </w:r>
          </w:p>
        </w:tc>
      </w:tr>
      <w:tr w:rsidR="00087B91" w:rsidRPr="002029AF" w14:paraId="4402D75E" w14:textId="77777777" w:rsidTr="00860E95">
        <w:tc>
          <w:tcPr>
            <w:tcW w:w="3686" w:type="dxa"/>
            <w:tcBorders>
              <w:top w:val="single" w:sz="4" w:space="0" w:color="A6A6A6"/>
              <w:bottom w:val="single" w:sz="4" w:space="0" w:color="A6A6A6"/>
            </w:tcBorders>
            <w:hideMark/>
          </w:tcPr>
          <w:p w14:paraId="24C9B484" w14:textId="0B2A2D86" w:rsidR="00087B91" w:rsidRPr="002029AF" w:rsidRDefault="00087B91" w:rsidP="00860E95">
            <w:pPr>
              <w:pStyle w:val="ARfintablebody"/>
            </w:pPr>
            <w:r w:rsidRPr="002029AF">
              <w:t>Section</w:t>
            </w:r>
            <w:r w:rsidR="000A5329" w:rsidRPr="002029AF">
              <w:t xml:space="preserve"> </w:t>
            </w:r>
            <w:r w:rsidRPr="002029AF">
              <w:t>5.4.6</w:t>
            </w:r>
            <w:r w:rsidR="000A5329" w:rsidRPr="002029AF">
              <w:t xml:space="preserve"> </w:t>
            </w:r>
            <w:r w:rsidRPr="002029AF">
              <w:t>of</w:t>
            </w:r>
            <w:r w:rsidR="000A5329" w:rsidRPr="002029AF">
              <w:t xml:space="preserve"> </w:t>
            </w:r>
            <w:r w:rsidRPr="002029AF">
              <w:t>the</w:t>
            </w:r>
            <w:r w:rsidR="000A5329" w:rsidRPr="002029AF">
              <w:t xml:space="preserve"> </w:t>
            </w:r>
            <w:r w:rsidRPr="002029AF">
              <w:rPr>
                <w:rStyle w:val="Emphasis"/>
              </w:rPr>
              <w:t>Gambling</w:t>
            </w:r>
            <w:r w:rsidR="000A5329" w:rsidRPr="002029AF">
              <w:rPr>
                <w:rStyle w:val="Emphasis"/>
              </w:rPr>
              <w:t xml:space="preserve"> </w:t>
            </w:r>
            <w:r w:rsidRPr="002029AF">
              <w:rPr>
                <w:rStyle w:val="Emphasis"/>
              </w:rPr>
              <w:t>Regulation</w:t>
            </w:r>
            <w:r w:rsidR="000A5329" w:rsidRPr="002029AF">
              <w:rPr>
                <w:rStyle w:val="Emphasis"/>
              </w:rPr>
              <w:t xml:space="preserve"> </w:t>
            </w:r>
            <w:r w:rsidRPr="002029AF">
              <w:rPr>
                <w:rStyle w:val="Emphasis"/>
              </w:rPr>
              <w:t>Act</w:t>
            </w:r>
            <w:r w:rsidR="000A5329" w:rsidRPr="002029AF">
              <w:rPr>
                <w:rStyle w:val="Emphasis"/>
              </w:rPr>
              <w:t xml:space="preserve"> </w:t>
            </w:r>
            <w:r w:rsidRPr="002029AF">
              <w:rPr>
                <w:rStyle w:val="Emphasis"/>
              </w:rPr>
              <w:t>No.</w:t>
            </w:r>
            <w:r w:rsidR="000A5329" w:rsidRPr="002029AF">
              <w:rPr>
                <w:rStyle w:val="Emphasis"/>
              </w:rPr>
              <w:t xml:space="preserve"> </w:t>
            </w:r>
            <w:r w:rsidRPr="002029AF">
              <w:rPr>
                <w:rStyle w:val="Emphasis"/>
              </w:rPr>
              <w:t>114</w:t>
            </w:r>
            <w:r w:rsidR="000A5329" w:rsidRPr="002029AF">
              <w:rPr>
                <w:rStyle w:val="Emphasis"/>
              </w:rPr>
              <w:t xml:space="preserve"> </w:t>
            </w:r>
            <w:r w:rsidRPr="002029AF">
              <w:rPr>
                <w:rStyle w:val="Emphasis"/>
              </w:rPr>
              <w:t>of</w:t>
            </w:r>
            <w:r w:rsidR="000A5329" w:rsidRPr="002029AF">
              <w:rPr>
                <w:rStyle w:val="Emphasis"/>
              </w:rPr>
              <w:t xml:space="preserve"> </w:t>
            </w:r>
            <w:r w:rsidRPr="002029AF">
              <w:rPr>
                <w:rStyle w:val="Emphasis"/>
              </w:rPr>
              <w:t>2003</w:t>
            </w:r>
          </w:p>
        </w:tc>
        <w:tc>
          <w:tcPr>
            <w:tcW w:w="3686" w:type="dxa"/>
            <w:tcBorders>
              <w:top w:val="single" w:sz="4" w:space="0" w:color="A6A6A6"/>
              <w:bottom w:val="single" w:sz="4" w:space="0" w:color="A6A6A6"/>
            </w:tcBorders>
            <w:hideMark/>
          </w:tcPr>
          <w:p w14:paraId="691EEABE" w14:textId="656DA3A2" w:rsidR="00087B91" w:rsidRPr="002029AF" w:rsidRDefault="00087B91" w:rsidP="00860E95">
            <w:pPr>
              <w:pStyle w:val="ARfintablebody"/>
            </w:pPr>
            <w:r w:rsidRPr="002029AF">
              <w:t>Contribution</w:t>
            </w:r>
            <w:r w:rsidR="000A5329" w:rsidRPr="002029AF">
              <w:t xml:space="preserve"> </w:t>
            </w:r>
            <w:r w:rsidRPr="002029AF">
              <w:t>to</w:t>
            </w:r>
            <w:r w:rsidR="000A5329" w:rsidRPr="002029AF">
              <w:t xml:space="preserve"> </w:t>
            </w:r>
            <w:r w:rsidRPr="002029AF">
              <w:t>the</w:t>
            </w:r>
            <w:r w:rsidR="000A5329" w:rsidRPr="002029AF">
              <w:t xml:space="preserve"> </w:t>
            </w:r>
            <w:r w:rsidRPr="002029AF">
              <w:t>Hospitals</w:t>
            </w:r>
            <w:r w:rsidR="000A5329" w:rsidRPr="002029AF">
              <w:t xml:space="preserve"> </w:t>
            </w:r>
            <w:r w:rsidRPr="002029AF">
              <w:t>and</w:t>
            </w:r>
            <w:r w:rsidR="000A5329" w:rsidRPr="002029AF">
              <w:t xml:space="preserve"> </w:t>
            </w:r>
            <w:r w:rsidRPr="002029AF">
              <w:t>Charities</w:t>
            </w:r>
            <w:r w:rsidR="000A5329" w:rsidRPr="002029AF">
              <w:t xml:space="preserve"> </w:t>
            </w:r>
            <w:r w:rsidRPr="002029AF">
              <w:t>Fund</w:t>
            </w:r>
            <w:r w:rsidR="000A5329" w:rsidRPr="002029AF">
              <w:t xml:space="preserve"> </w:t>
            </w:r>
            <w:r w:rsidRPr="002029AF">
              <w:t>and</w:t>
            </w:r>
            <w:r w:rsidR="000A5329" w:rsidRPr="002029AF">
              <w:t xml:space="preserve"> </w:t>
            </w:r>
            <w:r w:rsidRPr="002029AF">
              <w:t>Mental</w:t>
            </w:r>
            <w:r w:rsidR="000A5329" w:rsidRPr="002029AF">
              <w:t xml:space="preserve"> </w:t>
            </w:r>
            <w:r w:rsidRPr="002029AF">
              <w:t>Health</w:t>
            </w:r>
            <w:r w:rsidR="000A5329" w:rsidRPr="002029AF">
              <w:t xml:space="preserve"> </w:t>
            </w:r>
            <w:r w:rsidRPr="002029AF">
              <w:t>Fund</w:t>
            </w:r>
          </w:p>
        </w:tc>
        <w:tc>
          <w:tcPr>
            <w:tcW w:w="1134" w:type="dxa"/>
            <w:tcBorders>
              <w:top w:val="single" w:sz="4" w:space="0" w:color="A6A6A6"/>
              <w:bottom w:val="single" w:sz="4" w:space="0" w:color="A6A6A6"/>
            </w:tcBorders>
            <w:shd w:val="clear" w:color="auto" w:fill="E7E6E6"/>
            <w:noWrap/>
            <w:hideMark/>
          </w:tcPr>
          <w:p w14:paraId="62205D1A" w14:textId="77777777" w:rsidR="00087B91" w:rsidRPr="002029AF" w:rsidRDefault="00087B91" w:rsidP="00860E95">
            <w:pPr>
              <w:pStyle w:val="ARfintablebodyright"/>
            </w:pPr>
            <w:r w:rsidRPr="002029AF">
              <w:t>563.8</w:t>
            </w:r>
          </w:p>
        </w:tc>
        <w:tc>
          <w:tcPr>
            <w:tcW w:w="1134" w:type="dxa"/>
            <w:tcBorders>
              <w:top w:val="single" w:sz="4" w:space="0" w:color="A6A6A6"/>
              <w:bottom w:val="single" w:sz="4" w:space="0" w:color="A6A6A6"/>
            </w:tcBorders>
            <w:noWrap/>
            <w:hideMark/>
          </w:tcPr>
          <w:p w14:paraId="0EA0A5BC" w14:textId="77777777" w:rsidR="00087B91" w:rsidRPr="002029AF" w:rsidRDefault="00087B91" w:rsidP="00860E95">
            <w:pPr>
              <w:pStyle w:val="ARfintablebodyright"/>
            </w:pPr>
            <w:r w:rsidRPr="002029AF">
              <w:t>541.9</w:t>
            </w:r>
          </w:p>
        </w:tc>
      </w:tr>
      <w:tr w:rsidR="00087B91" w:rsidRPr="002029AF" w14:paraId="7503A413" w14:textId="77777777" w:rsidTr="00860E95">
        <w:tc>
          <w:tcPr>
            <w:tcW w:w="3686" w:type="dxa"/>
            <w:tcBorders>
              <w:top w:val="single" w:sz="4" w:space="0" w:color="A6A6A6"/>
              <w:bottom w:val="single" w:sz="4" w:space="0" w:color="A6A6A6"/>
            </w:tcBorders>
            <w:hideMark/>
          </w:tcPr>
          <w:p w14:paraId="3C0D0239" w14:textId="29E747C7" w:rsidR="00087B91" w:rsidRPr="002029AF" w:rsidRDefault="00087B91" w:rsidP="00860E95">
            <w:pPr>
              <w:pStyle w:val="ARfintablebody"/>
            </w:pPr>
            <w:r w:rsidRPr="002029AF">
              <w:t>Section</w:t>
            </w:r>
            <w:r w:rsidR="000A5329" w:rsidRPr="002029AF">
              <w:t xml:space="preserve"> </w:t>
            </w:r>
            <w:r w:rsidRPr="002029AF">
              <w:t>114</w:t>
            </w:r>
            <w:r w:rsidR="000A5329" w:rsidRPr="002029AF">
              <w:t xml:space="preserve"> </w:t>
            </w:r>
            <w:r w:rsidRPr="002029AF">
              <w:t>of</w:t>
            </w:r>
            <w:r w:rsidR="000A5329" w:rsidRPr="002029AF">
              <w:t xml:space="preserve"> </w:t>
            </w:r>
            <w:r w:rsidRPr="002029AF">
              <w:t>the</w:t>
            </w:r>
            <w:r w:rsidR="000A5329" w:rsidRPr="002029AF">
              <w:t xml:space="preserve"> </w:t>
            </w:r>
            <w:r w:rsidRPr="002029AF">
              <w:rPr>
                <w:rStyle w:val="Emphasis"/>
              </w:rPr>
              <w:t>Casino</w:t>
            </w:r>
            <w:r w:rsidR="000A5329" w:rsidRPr="002029AF">
              <w:rPr>
                <w:rStyle w:val="Emphasis"/>
              </w:rPr>
              <w:t xml:space="preserve"> </w:t>
            </w:r>
            <w:r w:rsidRPr="002029AF">
              <w:rPr>
                <w:rStyle w:val="Emphasis"/>
              </w:rPr>
              <w:t>Control</w:t>
            </w:r>
            <w:r w:rsidR="000A5329" w:rsidRPr="002029AF">
              <w:rPr>
                <w:rStyle w:val="Emphasis"/>
              </w:rPr>
              <w:t xml:space="preserve"> </w:t>
            </w:r>
            <w:r w:rsidRPr="002029AF">
              <w:rPr>
                <w:rStyle w:val="Emphasis"/>
              </w:rPr>
              <w:t>Act</w:t>
            </w:r>
            <w:r w:rsidR="000A5329" w:rsidRPr="002029AF">
              <w:rPr>
                <w:rStyle w:val="Emphasis"/>
              </w:rPr>
              <w:t xml:space="preserve"> </w:t>
            </w:r>
            <w:r w:rsidRPr="002029AF">
              <w:rPr>
                <w:rStyle w:val="Emphasis"/>
              </w:rPr>
              <w:t>No.</w:t>
            </w:r>
            <w:r w:rsidR="000A5329" w:rsidRPr="002029AF">
              <w:rPr>
                <w:rStyle w:val="Emphasis"/>
              </w:rPr>
              <w:t xml:space="preserve"> </w:t>
            </w:r>
            <w:r w:rsidRPr="002029AF">
              <w:rPr>
                <w:rStyle w:val="Emphasis"/>
              </w:rPr>
              <w:t>47</w:t>
            </w:r>
            <w:r w:rsidR="000A5329" w:rsidRPr="002029AF">
              <w:rPr>
                <w:rStyle w:val="Emphasis"/>
              </w:rPr>
              <w:t xml:space="preserve"> </w:t>
            </w:r>
            <w:r w:rsidRPr="002029AF">
              <w:rPr>
                <w:rStyle w:val="Emphasis"/>
              </w:rPr>
              <w:t>of</w:t>
            </w:r>
            <w:r w:rsidR="000A5329" w:rsidRPr="002029AF">
              <w:rPr>
                <w:rStyle w:val="Emphasis"/>
              </w:rPr>
              <w:t xml:space="preserve"> </w:t>
            </w:r>
            <w:r w:rsidRPr="002029AF">
              <w:rPr>
                <w:rStyle w:val="Emphasis"/>
              </w:rPr>
              <w:t>1991</w:t>
            </w:r>
          </w:p>
        </w:tc>
        <w:tc>
          <w:tcPr>
            <w:tcW w:w="3686" w:type="dxa"/>
            <w:tcBorders>
              <w:top w:val="single" w:sz="4" w:space="0" w:color="A6A6A6"/>
              <w:bottom w:val="single" w:sz="4" w:space="0" w:color="A6A6A6"/>
            </w:tcBorders>
            <w:hideMark/>
          </w:tcPr>
          <w:p w14:paraId="5A1B0CB6" w14:textId="1352511D" w:rsidR="00087B91" w:rsidRPr="002029AF" w:rsidRDefault="00087B91" w:rsidP="00860E95">
            <w:pPr>
              <w:pStyle w:val="ARfintablebody"/>
            </w:pPr>
            <w:r w:rsidRPr="002029AF">
              <w:t>Contribution</w:t>
            </w:r>
            <w:r w:rsidR="000A5329" w:rsidRPr="002029AF">
              <w:t xml:space="preserve"> </w:t>
            </w:r>
            <w:r w:rsidRPr="002029AF">
              <w:t>to</w:t>
            </w:r>
            <w:r w:rsidR="000A5329" w:rsidRPr="002029AF">
              <w:t xml:space="preserve"> </w:t>
            </w:r>
            <w:r w:rsidRPr="002029AF">
              <w:t>the</w:t>
            </w:r>
            <w:r w:rsidR="000A5329" w:rsidRPr="002029AF">
              <w:t xml:space="preserve"> </w:t>
            </w:r>
            <w:r w:rsidRPr="002029AF">
              <w:t>Hospitals</w:t>
            </w:r>
            <w:r w:rsidR="000A5329" w:rsidRPr="002029AF">
              <w:t xml:space="preserve"> </w:t>
            </w:r>
            <w:r w:rsidRPr="002029AF">
              <w:t>and</w:t>
            </w:r>
            <w:r w:rsidR="000A5329" w:rsidRPr="002029AF">
              <w:t xml:space="preserve"> </w:t>
            </w:r>
            <w:r w:rsidRPr="002029AF">
              <w:t>Charities</w:t>
            </w:r>
            <w:r w:rsidR="000A5329" w:rsidRPr="002029AF">
              <w:t xml:space="preserve"> </w:t>
            </w:r>
            <w:r w:rsidRPr="002029AF">
              <w:t>Fund</w:t>
            </w:r>
          </w:p>
        </w:tc>
        <w:tc>
          <w:tcPr>
            <w:tcW w:w="1134" w:type="dxa"/>
            <w:tcBorders>
              <w:top w:val="single" w:sz="4" w:space="0" w:color="A6A6A6"/>
              <w:bottom w:val="single" w:sz="4" w:space="0" w:color="A6A6A6"/>
            </w:tcBorders>
            <w:shd w:val="clear" w:color="auto" w:fill="E7E6E6"/>
            <w:noWrap/>
            <w:hideMark/>
          </w:tcPr>
          <w:p w14:paraId="5AC3914F" w14:textId="77777777" w:rsidR="00087B91" w:rsidRPr="002029AF" w:rsidRDefault="00087B91" w:rsidP="00860E95">
            <w:pPr>
              <w:pStyle w:val="ARfintablebodyright"/>
            </w:pPr>
            <w:r w:rsidRPr="002029AF">
              <w:t>13.9</w:t>
            </w:r>
          </w:p>
        </w:tc>
        <w:tc>
          <w:tcPr>
            <w:tcW w:w="1134" w:type="dxa"/>
            <w:tcBorders>
              <w:top w:val="single" w:sz="4" w:space="0" w:color="A6A6A6"/>
              <w:bottom w:val="single" w:sz="4" w:space="0" w:color="A6A6A6"/>
            </w:tcBorders>
            <w:noWrap/>
            <w:hideMark/>
          </w:tcPr>
          <w:p w14:paraId="1BAA72D2" w14:textId="77777777" w:rsidR="00087B91" w:rsidRPr="002029AF" w:rsidRDefault="00087B91" w:rsidP="00860E95">
            <w:pPr>
              <w:pStyle w:val="ARfintablebodyright"/>
            </w:pPr>
            <w:r w:rsidRPr="002029AF">
              <w:t>16.5</w:t>
            </w:r>
          </w:p>
        </w:tc>
      </w:tr>
      <w:tr w:rsidR="00087B91" w:rsidRPr="002029AF" w14:paraId="6A79C6CA" w14:textId="77777777" w:rsidTr="00860E95">
        <w:tc>
          <w:tcPr>
            <w:tcW w:w="3686" w:type="dxa"/>
            <w:tcBorders>
              <w:top w:val="single" w:sz="4" w:space="0" w:color="A6A6A6"/>
              <w:bottom w:val="single" w:sz="4" w:space="0" w:color="A6A6A6"/>
            </w:tcBorders>
            <w:hideMark/>
          </w:tcPr>
          <w:p w14:paraId="27BA592D" w14:textId="0DB12793" w:rsidR="00087B91" w:rsidRPr="002029AF" w:rsidRDefault="00087B91" w:rsidP="00860E95">
            <w:pPr>
              <w:pStyle w:val="ARfintablebody"/>
            </w:pPr>
            <w:r w:rsidRPr="002029AF">
              <w:t>Section</w:t>
            </w:r>
            <w:r w:rsidR="000A5329" w:rsidRPr="002029AF">
              <w:t xml:space="preserve"> </w:t>
            </w:r>
            <w:r w:rsidRPr="002029AF">
              <w:t>3.6.11</w:t>
            </w:r>
            <w:r w:rsidR="000A5329" w:rsidRPr="002029AF">
              <w:t xml:space="preserve"> </w:t>
            </w:r>
            <w:r w:rsidRPr="002029AF">
              <w:t>of</w:t>
            </w:r>
            <w:r w:rsidR="000A5329" w:rsidRPr="002029AF">
              <w:t xml:space="preserve"> </w:t>
            </w:r>
            <w:r w:rsidRPr="002029AF">
              <w:t>the</w:t>
            </w:r>
            <w:r w:rsidR="000A5329" w:rsidRPr="002029AF">
              <w:t xml:space="preserve"> </w:t>
            </w:r>
            <w:r w:rsidRPr="002029AF">
              <w:rPr>
                <w:rStyle w:val="Emphasis"/>
              </w:rPr>
              <w:t>Gambling</w:t>
            </w:r>
            <w:r w:rsidR="000A5329" w:rsidRPr="002029AF">
              <w:rPr>
                <w:rStyle w:val="Emphasis"/>
              </w:rPr>
              <w:t xml:space="preserve"> </w:t>
            </w:r>
            <w:r w:rsidRPr="002029AF">
              <w:rPr>
                <w:rStyle w:val="Emphasis"/>
              </w:rPr>
              <w:t>Regulation</w:t>
            </w:r>
            <w:r w:rsidR="000A5329" w:rsidRPr="002029AF">
              <w:rPr>
                <w:rStyle w:val="Emphasis"/>
              </w:rPr>
              <w:t xml:space="preserve"> </w:t>
            </w:r>
            <w:r w:rsidRPr="002029AF">
              <w:rPr>
                <w:rStyle w:val="Emphasis"/>
              </w:rPr>
              <w:t>Act</w:t>
            </w:r>
            <w:r w:rsidR="000A5329" w:rsidRPr="002029AF">
              <w:rPr>
                <w:rStyle w:val="Emphasis"/>
              </w:rPr>
              <w:t xml:space="preserve"> </w:t>
            </w:r>
            <w:r w:rsidRPr="002029AF">
              <w:rPr>
                <w:rStyle w:val="Emphasis"/>
              </w:rPr>
              <w:t>No.</w:t>
            </w:r>
            <w:r w:rsidR="000A5329" w:rsidRPr="002029AF">
              <w:rPr>
                <w:rStyle w:val="Emphasis"/>
              </w:rPr>
              <w:t xml:space="preserve"> </w:t>
            </w:r>
            <w:r w:rsidRPr="002029AF">
              <w:rPr>
                <w:rStyle w:val="Emphasis"/>
              </w:rPr>
              <w:t>114</w:t>
            </w:r>
            <w:r w:rsidR="000A5329" w:rsidRPr="002029AF">
              <w:rPr>
                <w:rStyle w:val="Emphasis"/>
              </w:rPr>
              <w:t xml:space="preserve"> </w:t>
            </w:r>
            <w:r w:rsidRPr="002029AF">
              <w:rPr>
                <w:rStyle w:val="Emphasis"/>
              </w:rPr>
              <w:t>of</w:t>
            </w:r>
            <w:r w:rsidR="000A5329" w:rsidRPr="002029AF">
              <w:rPr>
                <w:rStyle w:val="Emphasis"/>
              </w:rPr>
              <w:t xml:space="preserve"> </w:t>
            </w:r>
            <w:r w:rsidRPr="002029AF">
              <w:rPr>
                <w:rStyle w:val="Emphasis"/>
              </w:rPr>
              <w:t>2003</w:t>
            </w:r>
          </w:p>
        </w:tc>
        <w:tc>
          <w:tcPr>
            <w:tcW w:w="3686" w:type="dxa"/>
            <w:tcBorders>
              <w:top w:val="single" w:sz="4" w:space="0" w:color="A6A6A6"/>
              <w:bottom w:val="single" w:sz="4" w:space="0" w:color="A6A6A6"/>
            </w:tcBorders>
            <w:hideMark/>
          </w:tcPr>
          <w:p w14:paraId="32FBD8F5" w14:textId="2703E21F" w:rsidR="00087B91" w:rsidRPr="002029AF" w:rsidRDefault="00087B91" w:rsidP="00860E95">
            <w:pPr>
              <w:pStyle w:val="ARfintablebody"/>
            </w:pPr>
            <w:r w:rsidRPr="002029AF">
              <w:t>Contribution</w:t>
            </w:r>
            <w:r w:rsidR="000A5329" w:rsidRPr="002029AF">
              <w:t xml:space="preserve"> </w:t>
            </w:r>
            <w:r w:rsidRPr="002029AF">
              <w:t>to</w:t>
            </w:r>
            <w:r w:rsidR="000A5329" w:rsidRPr="002029AF">
              <w:t xml:space="preserve"> </w:t>
            </w:r>
            <w:r w:rsidRPr="002029AF">
              <w:t>the</w:t>
            </w:r>
            <w:r w:rsidR="000A5329" w:rsidRPr="002029AF">
              <w:t xml:space="preserve"> </w:t>
            </w:r>
            <w:r w:rsidRPr="002029AF">
              <w:t>Hospitals</w:t>
            </w:r>
            <w:r w:rsidR="000A5329" w:rsidRPr="002029AF">
              <w:t xml:space="preserve"> </w:t>
            </w:r>
            <w:r w:rsidRPr="002029AF">
              <w:t>and</w:t>
            </w:r>
            <w:r w:rsidR="000A5329" w:rsidRPr="002029AF">
              <w:t xml:space="preserve"> </w:t>
            </w:r>
            <w:r w:rsidRPr="002029AF">
              <w:t>Charities</w:t>
            </w:r>
            <w:r w:rsidR="000A5329" w:rsidRPr="002029AF">
              <w:t xml:space="preserve"> </w:t>
            </w:r>
            <w:r w:rsidRPr="002029AF">
              <w:t>Fund</w:t>
            </w:r>
          </w:p>
        </w:tc>
        <w:tc>
          <w:tcPr>
            <w:tcW w:w="1134" w:type="dxa"/>
            <w:tcBorders>
              <w:top w:val="single" w:sz="4" w:space="0" w:color="A6A6A6"/>
              <w:bottom w:val="single" w:sz="4" w:space="0" w:color="A6A6A6"/>
            </w:tcBorders>
            <w:shd w:val="clear" w:color="auto" w:fill="E7E6E6"/>
            <w:noWrap/>
            <w:hideMark/>
          </w:tcPr>
          <w:p w14:paraId="02BEFF08" w14:textId="77777777" w:rsidR="00087B91" w:rsidRPr="002029AF" w:rsidRDefault="00087B91" w:rsidP="00860E95">
            <w:pPr>
              <w:pStyle w:val="ARfintablebodyright"/>
            </w:pPr>
            <w:r w:rsidRPr="002029AF">
              <w:t>675.4</w:t>
            </w:r>
          </w:p>
        </w:tc>
        <w:tc>
          <w:tcPr>
            <w:tcW w:w="1134" w:type="dxa"/>
            <w:tcBorders>
              <w:top w:val="single" w:sz="4" w:space="0" w:color="A6A6A6"/>
              <w:bottom w:val="single" w:sz="4" w:space="0" w:color="A6A6A6"/>
            </w:tcBorders>
            <w:noWrap/>
            <w:hideMark/>
          </w:tcPr>
          <w:p w14:paraId="744A8914" w14:textId="77777777" w:rsidR="00087B91" w:rsidRPr="002029AF" w:rsidRDefault="00087B91" w:rsidP="00860E95">
            <w:pPr>
              <w:pStyle w:val="ARfintablebodyright"/>
            </w:pPr>
            <w:r w:rsidRPr="002029AF">
              <w:t>880.7</w:t>
            </w:r>
          </w:p>
        </w:tc>
      </w:tr>
      <w:tr w:rsidR="00087B91" w:rsidRPr="002029AF" w14:paraId="1BD42FDA" w14:textId="77777777" w:rsidTr="00860E95">
        <w:tc>
          <w:tcPr>
            <w:tcW w:w="3686" w:type="dxa"/>
            <w:tcBorders>
              <w:top w:val="single" w:sz="4" w:space="0" w:color="A6A6A6"/>
              <w:bottom w:val="single" w:sz="4" w:space="0" w:color="A6A6A6"/>
            </w:tcBorders>
            <w:hideMark/>
          </w:tcPr>
          <w:p w14:paraId="5CCC3455" w14:textId="7AF60DD8" w:rsidR="00087B91" w:rsidRPr="002029AF" w:rsidRDefault="00087B91" w:rsidP="00860E95">
            <w:pPr>
              <w:pStyle w:val="ARfintablebody"/>
            </w:pPr>
            <w:r w:rsidRPr="002029AF">
              <w:t>Section</w:t>
            </w:r>
            <w:r w:rsidR="000A5329" w:rsidRPr="002029AF">
              <w:t xml:space="preserve"> </w:t>
            </w:r>
            <w:r w:rsidRPr="002029AF">
              <w:t>6A.4.4(1)</w:t>
            </w:r>
            <w:r w:rsidR="000A5329" w:rsidRPr="002029AF">
              <w:t xml:space="preserve"> </w:t>
            </w:r>
            <w:r w:rsidRPr="002029AF">
              <w:t>of</w:t>
            </w:r>
            <w:r w:rsidR="000A5329" w:rsidRPr="002029AF">
              <w:t xml:space="preserve"> </w:t>
            </w:r>
            <w:r w:rsidRPr="002029AF">
              <w:t>the</w:t>
            </w:r>
            <w:r w:rsidR="000A5329" w:rsidRPr="002029AF">
              <w:t xml:space="preserve"> </w:t>
            </w:r>
            <w:r w:rsidRPr="002029AF">
              <w:rPr>
                <w:rStyle w:val="Emphasis"/>
              </w:rPr>
              <w:t>Gambling</w:t>
            </w:r>
            <w:r w:rsidR="000A5329" w:rsidRPr="002029AF">
              <w:rPr>
                <w:rStyle w:val="Emphasis"/>
              </w:rPr>
              <w:t xml:space="preserve"> </w:t>
            </w:r>
            <w:r w:rsidRPr="002029AF">
              <w:rPr>
                <w:rStyle w:val="Emphasis"/>
              </w:rPr>
              <w:t>Regulation</w:t>
            </w:r>
            <w:r w:rsidR="000A5329" w:rsidRPr="002029AF">
              <w:rPr>
                <w:rStyle w:val="Emphasis"/>
              </w:rPr>
              <w:t xml:space="preserve"> </w:t>
            </w:r>
            <w:r w:rsidRPr="002029AF">
              <w:rPr>
                <w:rStyle w:val="Emphasis"/>
              </w:rPr>
              <w:t>Act</w:t>
            </w:r>
            <w:r w:rsidR="000A5329" w:rsidRPr="002029AF">
              <w:rPr>
                <w:rStyle w:val="Emphasis"/>
              </w:rPr>
              <w:t xml:space="preserve"> </w:t>
            </w:r>
            <w:r w:rsidRPr="002029AF">
              <w:rPr>
                <w:rStyle w:val="Emphasis"/>
              </w:rPr>
              <w:t>No.</w:t>
            </w:r>
            <w:r w:rsidR="000A5329" w:rsidRPr="002029AF">
              <w:rPr>
                <w:rStyle w:val="Emphasis"/>
              </w:rPr>
              <w:t xml:space="preserve"> </w:t>
            </w:r>
            <w:r w:rsidRPr="002029AF">
              <w:rPr>
                <w:rStyle w:val="Emphasis"/>
              </w:rPr>
              <w:t>114</w:t>
            </w:r>
            <w:r w:rsidR="000A5329" w:rsidRPr="002029AF">
              <w:rPr>
                <w:rStyle w:val="Emphasis"/>
              </w:rPr>
              <w:t xml:space="preserve"> </w:t>
            </w:r>
            <w:r w:rsidRPr="002029AF">
              <w:rPr>
                <w:rStyle w:val="Emphasis"/>
              </w:rPr>
              <w:t>of</w:t>
            </w:r>
            <w:r w:rsidR="000A5329" w:rsidRPr="002029AF">
              <w:rPr>
                <w:rStyle w:val="Emphasis"/>
              </w:rPr>
              <w:t xml:space="preserve"> </w:t>
            </w:r>
            <w:r w:rsidRPr="002029AF">
              <w:rPr>
                <w:rStyle w:val="Emphasis"/>
              </w:rPr>
              <w:t>2003</w:t>
            </w:r>
          </w:p>
        </w:tc>
        <w:tc>
          <w:tcPr>
            <w:tcW w:w="3686" w:type="dxa"/>
            <w:tcBorders>
              <w:top w:val="single" w:sz="4" w:space="0" w:color="A6A6A6"/>
              <w:bottom w:val="single" w:sz="4" w:space="0" w:color="A6A6A6"/>
            </w:tcBorders>
            <w:hideMark/>
          </w:tcPr>
          <w:p w14:paraId="210091DF" w14:textId="2E9E8700" w:rsidR="00087B91" w:rsidRPr="002029AF" w:rsidRDefault="00087B91" w:rsidP="00860E95">
            <w:pPr>
              <w:pStyle w:val="ARfintablebody"/>
            </w:pPr>
            <w:r w:rsidRPr="002029AF">
              <w:t>Contribution</w:t>
            </w:r>
            <w:r w:rsidR="000A5329" w:rsidRPr="002029AF">
              <w:t xml:space="preserve"> </w:t>
            </w:r>
            <w:r w:rsidRPr="002029AF">
              <w:t>to</w:t>
            </w:r>
            <w:r w:rsidR="000A5329" w:rsidRPr="002029AF">
              <w:t xml:space="preserve"> </w:t>
            </w:r>
            <w:r w:rsidRPr="002029AF">
              <w:t>the</w:t>
            </w:r>
            <w:r w:rsidR="000A5329" w:rsidRPr="002029AF">
              <w:t xml:space="preserve"> </w:t>
            </w:r>
            <w:r w:rsidRPr="002029AF">
              <w:t>Hospitals</w:t>
            </w:r>
            <w:r w:rsidR="000A5329" w:rsidRPr="002029AF">
              <w:t xml:space="preserve"> </w:t>
            </w:r>
            <w:r w:rsidRPr="002029AF">
              <w:t>and</w:t>
            </w:r>
            <w:r w:rsidR="000A5329" w:rsidRPr="002029AF">
              <w:t xml:space="preserve"> </w:t>
            </w:r>
            <w:r w:rsidRPr="002029AF">
              <w:t>Charities</w:t>
            </w:r>
            <w:r w:rsidR="000A5329" w:rsidRPr="002029AF">
              <w:t xml:space="preserve"> </w:t>
            </w:r>
            <w:r w:rsidRPr="002029AF">
              <w:t>Fund</w:t>
            </w:r>
          </w:p>
        </w:tc>
        <w:tc>
          <w:tcPr>
            <w:tcW w:w="1134" w:type="dxa"/>
            <w:tcBorders>
              <w:top w:val="single" w:sz="4" w:space="0" w:color="A6A6A6"/>
              <w:bottom w:val="single" w:sz="4" w:space="0" w:color="A6A6A6"/>
            </w:tcBorders>
            <w:shd w:val="clear" w:color="auto" w:fill="E7E6E6"/>
            <w:noWrap/>
            <w:hideMark/>
          </w:tcPr>
          <w:p w14:paraId="2DE8EE8E" w14:textId="77777777" w:rsidR="00087B91" w:rsidRPr="002029AF" w:rsidRDefault="00087B91" w:rsidP="00860E95">
            <w:pPr>
              <w:pStyle w:val="ARfintablebodyright"/>
            </w:pPr>
            <w:r w:rsidRPr="002029AF">
              <w:t>3.9</w:t>
            </w:r>
          </w:p>
        </w:tc>
        <w:tc>
          <w:tcPr>
            <w:tcW w:w="1134" w:type="dxa"/>
            <w:tcBorders>
              <w:top w:val="single" w:sz="4" w:space="0" w:color="A6A6A6"/>
              <w:bottom w:val="single" w:sz="4" w:space="0" w:color="A6A6A6"/>
            </w:tcBorders>
            <w:noWrap/>
            <w:hideMark/>
          </w:tcPr>
          <w:p w14:paraId="5C148F8E" w14:textId="77777777" w:rsidR="00087B91" w:rsidRPr="002029AF" w:rsidRDefault="00087B91" w:rsidP="00860E95">
            <w:pPr>
              <w:pStyle w:val="ARfintablebodyright"/>
            </w:pPr>
            <w:r w:rsidRPr="002029AF">
              <w:t>5.2</w:t>
            </w:r>
          </w:p>
        </w:tc>
      </w:tr>
      <w:tr w:rsidR="00087B91" w:rsidRPr="002029AF" w14:paraId="70FC91AB" w14:textId="77777777" w:rsidTr="00860E95">
        <w:tc>
          <w:tcPr>
            <w:tcW w:w="3686" w:type="dxa"/>
            <w:tcBorders>
              <w:top w:val="single" w:sz="4" w:space="0" w:color="A6A6A6"/>
            </w:tcBorders>
            <w:hideMark/>
          </w:tcPr>
          <w:p w14:paraId="363C7BF0" w14:textId="30D5EF0E" w:rsidR="00087B91" w:rsidRPr="002029AF" w:rsidRDefault="00087B91" w:rsidP="00860E95">
            <w:pPr>
              <w:pStyle w:val="ARfintablebody"/>
            </w:pPr>
            <w:r w:rsidRPr="002029AF">
              <w:t>Section</w:t>
            </w:r>
            <w:r w:rsidR="000A5329" w:rsidRPr="002029AF">
              <w:t xml:space="preserve"> </w:t>
            </w:r>
            <w:r w:rsidRPr="002029AF">
              <w:t>10</w:t>
            </w:r>
            <w:r w:rsidR="000A5329" w:rsidRPr="002029AF">
              <w:t xml:space="preserve"> </w:t>
            </w:r>
            <w:r w:rsidRPr="002029AF">
              <w:t>of</w:t>
            </w:r>
            <w:r w:rsidR="000A5329" w:rsidRPr="002029AF">
              <w:t xml:space="preserve"> </w:t>
            </w:r>
            <w:r w:rsidRPr="002029AF">
              <w:t>the</w:t>
            </w:r>
            <w:r w:rsidR="000A5329" w:rsidRPr="002029AF">
              <w:t xml:space="preserve"> </w:t>
            </w:r>
            <w:r w:rsidRPr="002029AF">
              <w:rPr>
                <w:rStyle w:val="Emphasis"/>
              </w:rPr>
              <w:t>Financial</w:t>
            </w:r>
            <w:r w:rsidR="000A5329" w:rsidRPr="002029AF">
              <w:rPr>
                <w:rStyle w:val="Emphasis"/>
              </w:rPr>
              <w:t xml:space="preserve"> </w:t>
            </w:r>
            <w:r w:rsidRPr="002029AF">
              <w:rPr>
                <w:rStyle w:val="Emphasis"/>
              </w:rPr>
              <w:t>Management</w:t>
            </w:r>
            <w:r w:rsidR="000A5329" w:rsidRPr="002029AF">
              <w:rPr>
                <w:rStyle w:val="Emphasis"/>
              </w:rPr>
              <w:t xml:space="preserve"> </w:t>
            </w:r>
            <w:r w:rsidRPr="002029AF">
              <w:rPr>
                <w:rStyle w:val="Emphasis"/>
              </w:rPr>
              <w:t>Act</w:t>
            </w:r>
            <w:r w:rsidR="000A5329" w:rsidRPr="002029AF">
              <w:rPr>
                <w:rStyle w:val="Emphasis"/>
              </w:rPr>
              <w:t xml:space="preserve"> </w:t>
            </w:r>
            <w:r w:rsidRPr="002029AF">
              <w:rPr>
                <w:rStyle w:val="Emphasis"/>
              </w:rPr>
              <w:t>1994</w:t>
            </w:r>
          </w:p>
        </w:tc>
        <w:tc>
          <w:tcPr>
            <w:tcW w:w="3686" w:type="dxa"/>
            <w:tcBorders>
              <w:top w:val="single" w:sz="4" w:space="0" w:color="A6A6A6"/>
            </w:tcBorders>
            <w:hideMark/>
          </w:tcPr>
          <w:p w14:paraId="496B7370" w14:textId="0596AEEA" w:rsidR="00087B91" w:rsidRPr="002029AF" w:rsidRDefault="00087B91" w:rsidP="00860E95">
            <w:pPr>
              <w:pStyle w:val="ARfintablebody"/>
            </w:pPr>
            <w:r w:rsidRPr="002029AF">
              <w:t>Access</w:t>
            </w:r>
            <w:r w:rsidR="000A5329" w:rsidRPr="002029AF">
              <w:t xml:space="preserve"> </w:t>
            </w:r>
            <w:r w:rsidRPr="002029AF">
              <w:t>to</w:t>
            </w:r>
            <w:r w:rsidR="000A5329" w:rsidRPr="002029AF">
              <w:t xml:space="preserve"> </w:t>
            </w:r>
            <w:r w:rsidRPr="002029AF">
              <w:t>various</w:t>
            </w:r>
            <w:r w:rsidR="000A5329" w:rsidRPr="002029AF">
              <w:t xml:space="preserve"> </w:t>
            </w:r>
            <w:r w:rsidRPr="002029AF">
              <w:t>Commonwealth</w:t>
            </w:r>
            <w:r w:rsidR="000A5329" w:rsidRPr="002029AF">
              <w:t xml:space="preserve"> </w:t>
            </w:r>
            <w:r w:rsidRPr="002029AF">
              <w:t>grants</w:t>
            </w:r>
            <w:r w:rsidR="000A5329" w:rsidRPr="002029AF">
              <w:t xml:space="preserve"> </w:t>
            </w:r>
            <w:r w:rsidRPr="002029AF">
              <w:br/>
              <w:t>–</w:t>
            </w:r>
            <w:r w:rsidR="000A5329" w:rsidRPr="002029AF">
              <w:t xml:space="preserve"> </w:t>
            </w:r>
            <w:r w:rsidRPr="002029AF">
              <w:t>provision</w:t>
            </w:r>
            <w:r w:rsidR="000A5329" w:rsidRPr="002029AF">
              <w:t xml:space="preserve"> </w:t>
            </w:r>
            <w:r w:rsidRPr="002029AF">
              <w:t>of</w:t>
            </w:r>
            <w:r w:rsidR="000A5329" w:rsidRPr="002029AF">
              <w:t xml:space="preserve"> </w:t>
            </w:r>
            <w:r w:rsidRPr="002029AF">
              <w:t>outputs</w:t>
            </w:r>
          </w:p>
        </w:tc>
        <w:tc>
          <w:tcPr>
            <w:tcW w:w="1134" w:type="dxa"/>
            <w:tcBorders>
              <w:top w:val="single" w:sz="4" w:space="0" w:color="A6A6A6"/>
            </w:tcBorders>
            <w:shd w:val="clear" w:color="auto" w:fill="E7E6E6"/>
            <w:noWrap/>
            <w:hideMark/>
          </w:tcPr>
          <w:p w14:paraId="3A3873F1" w14:textId="77777777" w:rsidR="00087B91" w:rsidRPr="002029AF" w:rsidRDefault="00087B91" w:rsidP="00860E95">
            <w:pPr>
              <w:pStyle w:val="ARfintablebodyright"/>
            </w:pPr>
            <w:r w:rsidRPr="002029AF">
              <w:t>6.1</w:t>
            </w:r>
          </w:p>
        </w:tc>
        <w:tc>
          <w:tcPr>
            <w:tcW w:w="1134" w:type="dxa"/>
            <w:tcBorders>
              <w:top w:val="single" w:sz="4" w:space="0" w:color="A6A6A6"/>
            </w:tcBorders>
            <w:noWrap/>
            <w:hideMark/>
          </w:tcPr>
          <w:p w14:paraId="22C4BFBE" w14:textId="77777777" w:rsidR="00087B91" w:rsidRPr="002029AF" w:rsidRDefault="00087B91" w:rsidP="00860E95">
            <w:pPr>
              <w:pStyle w:val="ARfintablebodyright"/>
            </w:pPr>
            <w:r w:rsidRPr="002029AF">
              <w:t>0.7</w:t>
            </w:r>
          </w:p>
        </w:tc>
      </w:tr>
      <w:tr w:rsidR="00087B91" w:rsidRPr="002029AF" w14:paraId="3070B2FF" w14:textId="77777777" w:rsidTr="00860E95">
        <w:tc>
          <w:tcPr>
            <w:tcW w:w="3686" w:type="dxa"/>
            <w:hideMark/>
          </w:tcPr>
          <w:p w14:paraId="246D4F6C" w14:textId="59EE6F9E" w:rsidR="00087B91" w:rsidRPr="002029AF" w:rsidRDefault="00087B91" w:rsidP="00860E95">
            <w:pPr>
              <w:pStyle w:val="ARfintablebodybold"/>
            </w:pPr>
            <w:r w:rsidRPr="002029AF">
              <w:t>Total</w:t>
            </w:r>
            <w:r w:rsidR="000A5329" w:rsidRPr="002029AF">
              <w:t xml:space="preserve"> </w:t>
            </w:r>
            <w:r w:rsidRPr="002029AF">
              <w:t>special</w:t>
            </w:r>
            <w:r w:rsidR="000A5329" w:rsidRPr="002029AF">
              <w:t xml:space="preserve"> </w:t>
            </w:r>
            <w:r w:rsidRPr="002029AF">
              <w:t>appropriations</w:t>
            </w:r>
            <w:r w:rsidR="000A5329" w:rsidRPr="002029AF">
              <w:t xml:space="preserve"> </w:t>
            </w:r>
            <w:r w:rsidRPr="002029AF">
              <w:br/>
              <w:t>–</w:t>
            </w:r>
            <w:r w:rsidR="000A5329" w:rsidRPr="002029AF">
              <w:t xml:space="preserve"> </w:t>
            </w:r>
            <w:r w:rsidRPr="002029AF">
              <w:t>Provision</w:t>
            </w:r>
            <w:r w:rsidR="000A5329" w:rsidRPr="002029AF">
              <w:t xml:space="preserve"> </w:t>
            </w:r>
            <w:r w:rsidRPr="002029AF">
              <w:t>of</w:t>
            </w:r>
            <w:r w:rsidR="000A5329" w:rsidRPr="002029AF">
              <w:t xml:space="preserve"> </w:t>
            </w:r>
            <w:r w:rsidRPr="002029AF">
              <w:t>outputs</w:t>
            </w:r>
          </w:p>
        </w:tc>
        <w:tc>
          <w:tcPr>
            <w:tcW w:w="3686" w:type="dxa"/>
            <w:hideMark/>
          </w:tcPr>
          <w:p w14:paraId="108CB748" w14:textId="77777777" w:rsidR="00087B91" w:rsidRPr="002029AF" w:rsidRDefault="00087B91" w:rsidP="00860E95">
            <w:pPr>
              <w:pStyle w:val="ARfintablebody"/>
            </w:pPr>
          </w:p>
        </w:tc>
        <w:tc>
          <w:tcPr>
            <w:tcW w:w="1134" w:type="dxa"/>
            <w:shd w:val="clear" w:color="auto" w:fill="E7E6E6"/>
            <w:noWrap/>
            <w:hideMark/>
          </w:tcPr>
          <w:p w14:paraId="015FFEDB" w14:textId="77777777" w:rsidR="00087B91" w:rsidRPr="002029AF" w:rsidRDefault="00087B91" w:rsidP="00860E95">
            <w:pPr>
              <w:pStyle w:val="ARfintablebodyrightbold"/>
            </w:pPr>
            <w:r w:rsidRPr="002029AF">
              <w:t>1,371.9</w:t>
            </w:r>
          </w:p>
        </w:tc>
        <w:tc>
          <w:tcPr>
            <w:tcW w:w="1134" w:type="dxa"/>
            <w:noWrap/>
            <w:hideMark/>
          </w:tcPr>
          <w:p w14:paraId="5AC0C5CA" w14:textId="77777777" w:rsidR="00087B91" w:rsidRPr="002029AF" w:rsidRDefault="00087B91" w:rsidP="00860E95">
            <w:pPr>
              <w:pStyle w:val="ARfintablebodyrightbold"/>
            </w:pPr>
            <w:r w:rsidRPr="002029AF">
              <w:t>1,513.4</w:t>
            </w:r>
          </w:p>
        </w:tc>
      </w:tr>
      <w:tr w:rsidR="00087B91" w:rsidRPr="002029AF" w14:paraId="1205C2AA" w14:textId="77777777" w:rsidTr="00860E95">
        <w:tc>
          <w:tcPr>
            <w:tcW w:w="3686" w:type="dxa"/>
            <w:hideMark/>
          </w:tcPr>
          <w:p w14:paraId="6E8FB30E" w14:textId="34A98D34" w:rsidR="00087B91" w:rsidRPr="002029AF" w:rsidRDefault="00087B91" w:rsidP="00860E95">
            <w:pPr>
              <w:pStyle w:val="ARfintablebody"/>
            </w:pPr>
            <w:r w:rsidRPr="002029AF">
              <w:t>Section</w:t>
            </w:r>
            <w:r w:rsidR="000A5329" w:rsidRPr="002029AF">
              <w:t xml:space="preserve"> </w:t>
            </w:r>
            <w:r w:rsidRPr="002029AF">
              <w:t>10</w:t>
            </w:r>
            <w:r w:rsidR="000A5329" w:rsidRPr="002029AF">
              <w:t xml:space="preserve"> </w:t>
            </w:r>
            <w:r w:rsidRPr="002029AF">
              <w:t>of</w:t>
            </w:r>
            <w:r w:rsidR="000A5329" w:rsidRPr="002029AF">
              <w:t xml:space="preserve"> </w:t>
            </w:r>
            <w:r w:rsidRPr="002029AF">
              <w:t>the</w:t>
            </w:r>
            <w:r w:rsidR="000A5329" w:rsidRPr="002029AF">
              <w:t xml:space="preserve"> </w:t>
            </w:r>
            <w:r w:rsidRPr="002029AF">
              <w:rPr>
                <w:rStyle w:val="Emphasis"/>
              </w:rPr>
              <w:t>Financial</w:t>
            </w:r>
            <w:r w:rsidR="000A5329" w:rsidRPr="002029AF">
              <w:rPr>
                <w:rStyle w:val="Emphasis"/>
              </w:rPr>
              <w:t xml:space="preserve"> </w:t>
            </w:r>
            <w:r w:rsidRPr="002029AF">
              <w:rPr>
                <w:rStyle w:val="Emphasis"/>
              </w:rPr>
              <w:t>Management</w:t>
            </w:r>
            <w:r w:rsidR="000A5329" w:rsidRPr="002029AF">
              <w:rPr>
                <w:rStyle w:val="Emphasis"/>
              </w:rPr>
              <w:t xml:space="preserve"> </w:t>
            </w:r>
            <w:r w:rsidRPr="002029AF">
              <w:rPr>
                <w:rStyle w:val="Emphasis"/>
              </w:rPr>
              <w:t>Act</w:t>
            </w:r>
            <w:r w:rsidR="000A5329" w:rsidRPr="002029AF">
              <w:rPr>
                <w:rStyle w:val="Emphasis"/>
              </w:rPr>
              <w:t xml:space="preserve"> </w:t>
            </w:r>
            <w:r w:rsidRPr="002029AF">
              <w:rPr>
                <w:rStyle w:val="Emphasis"/>
              </w:rPr>
              <w:t>1994</w:t>
            </w:r>
          </w:p>
        </w:tc>
        <w:tc>
          <w:tcPr>
            <w:tcW w:w="3686" w:type="dxa"/>
            <w:hideMark/>
          </w:tcPr>
          <w:p w14:paraId="19D518CC" w14:textId="38264437" w:rsidR="00087B91" w:rsidRPr="002029AF" w:rsidRDefault="00087B91" w:rsidP="00860E95">
            <w:pPr>
              <w:pStyle w:val="ARfintablebody"/>
            </w:pPr>
            <w:r w:rsidRPr="002029AF">
              <w:t>Access</w:t>
            </w:r>
            <w:r w:rsidR="000A5329" w:rsidRPr="002029AF">
              <w:t xml:space="preserve"> </w:t>
            </w:r>
            <w:r w:rsidRPr="002029AF">
              <w:t>to</w:t>
            </w:r>
            <w:r w:rsidR="000A5329" w:rsidRPr="002029AF">
              <w:t xml:space="preserve"> </w:t>
            </w:r>
            <w:r w:rsidRPr="002029AF">
              <w:t>various</w:t>
            </w:r>
            <w:r w:rsidR="000A5329" w:rsidRPr="002029AF">
              <w:t xml:space="preserve"> </w:t>
            </w:r>
            <w:r w:rsidRPr="002029AF">
              <w:t>Commonwealth</w:t>
            </w:r>
            <w:r w:rsidR="000A5329" w:rsidRPr="002029AF">
              <w:t xml:space="preserve"> </w:t>
            </w:r>
            <w:r w:rsidRPr="002029AF">
              <w:t>grants</w:t>
            </w:r>
            <w:r w:rsidR="000A5329" w:rsidRPr="002029AF">
              <w:t xml:space="preserve"> </w:t>
            </w:r>
            <w:r w:rsidRPr="002029AF">
              <w:t>–</w:t>
            </w:r>
            <w:r w:rsidR="000A5329" w:rsidRPr="002029AF">
              <w:t xml:space="preserve"> </w:t>
            </w:r>
            <w:r w:rsidRPr="002029AF">
              <w:t>ATNAB</w:t>
            </w:r>
          </w:p>
        </w:tc>
        <w:tc>
          <w:tcPr>
            <w:tcW w:w="1134" w:type="dxa"/>
            <w:shd w:val="clear" w:color="auto" w:fill="E7E6E6"/>
            <w:noWrap/>
            <w:hideMark/>
          </w:tcPr>
          <w:p w14:paraId="1F251591" w14:textId="77777777" w:rsidR="00087B91" w:rsidRPr="002029AF" w:rsidRDefault="00087B91" w:rsidP="00860E95">
            <w:pPr>
              <w:pStyle w:val="ARfintablebodyright"/>
            </w:pPr>
            <w:r w:rsidRPr="002029AF">
              <w:t>1.0</w:t>
            </w:r>
          </w:p>
        </w:tc>
        <w:tc>
          <w:tcPr>
            <w:tcW w:w="1134" w:type="dxa"/>
            <w:noWrap/>
            <w:hideMark/>
          </w:tcPr>
          <w:p w14:paraId="6CB90BC7" w14:textId="77777777" w:rsidR="00087B91" w:rsidRPr="002029AF" w:rsidRDefault="00087B91" w:rsidP="00860E95">
            <w:pPr>
              <w:pStyle w:val="ARfintablebodyright"/>
            </w:pPr>
            <w:r w:rsidRPr="002029AF">
              <w:t>4.0</w:t>
            </w:r>
          </w:p>
        </w:tc>
      </w:tr>
      <w:tr w:rsidR="00087B91" w:rsidRPr="002029AF" w14:paraId="00E5BBC6" w14:textId="77777777" w:rsidTr="00860E95">
        <w:tc>
          <w:tcPr>
            <w:tcW w:w="3686" w:type="dxa"/>
            <w:hideMark/>
          </w:tcPr>
          <w:p w14:paraId="0209A07E" w14:textId="5CAF358B" w:rsidR="00087B91" w:rsidRPr="002029AF" w:rsidRDefault="00087B91" w:rsidP="00860E95">
            <w:pPr>
              <w:pStyle w:val="ARfintablebodybold"/>
            </w:pPr>
            <w:r w:rsidRPr="002029AF">
              <w:t>Total</w:t>
            </w:r>
            <w:r w:rsidR="000A5329" w:rsidRPr="002029AF">
              <w:t xml:space="preserve"> </w:t>
            </w:r>
            <w:r w:rsidRPr="002029AF">
              <w:t>special</w:t>
            </w:r>
            <w:r w:rsidR="000A5329" w:rsidRPr="002029AF">
              <w:t xml:space="preserve"> </w:t>
            </w:r>
            <w:r w:rsidRPr="002029AF">
              <w:t>appropriations</w:t>
            </w:r>
            <w:r w:rsidR="000A5329" w:rsidRPr="002029AF">
              <w:t xml:space="preserve"> </w:t>
            </w:r>
            <w:r w:rsidRPr="002029AF">
              <w:br/>
              <w:t>–</w:t>
            </w:r>
            <w:r w:rsidR="000A5329" w:rsidRPr="002029AF">
              <w:t xml:space="preserve"> </w:t>
            </w:r>
            <w:r w:rsidRPr="002029AF">
              <w:t>Additions</w:t>
            </w:r>
            <w:r w:rsidR="000A5329" w:rsidRPr="002029AF">
              <w:t xml:space="preserve"> </w:t>
            </w:r>
            <w:r w:rsidRPr="002029AF">
              <w:t>to</w:t>
            </w:r>
            <w:r w:rsidR="000A5329" w:rsidRPr="002029AF">
              <w:t xml:space="preserve"> </w:t>
            </w:r>
            <w:r w:rsidRPr="002029AF">
              <w:t>net</w:t>
            </w:r>
            <w:r w:rsidR="000A5329" w:rsidRPr="002029AF">
              <w:t xml:space="preserve"> </w:t>
            </w:r>
            <w:r w:rsidRPr="002029AF">
              <w:t>assets</w:t>
            </w:r>
          </w:p>
        </w:tc>
        <w:tc>
          <w:tcPr>
            <w:tcW w:w="3686" w:type="dxa"/>
            <w:hideMark/>
          </w:tcPr>
          <w:p w14:paraId="465EC61C" w14:textId="77777777" w:rsidR="00087B91" w:rsidRPr="002029AF" w:rsidRDefault="00087B91" w:rsidP="00860E95">
            <w:pPr>
              <w:pStyle w:val="ARfintablebody"/>
            </w:pPr>
          </w:p>
        </w:tc>
        <w:tc>
          <w:tcPr>
            <w:tcW w:w="1134" w:type="dxa"/>
            <w:shd w:val="clear" w:color="auto" w:fill="E7E6E6"/>
            <w:noWrap/>
            <w:hideMark/>
          </w:tcPr>
          <w:p w14:paraId="3CE2ECD4" w14:textId="77777777" w:rsidR="00087B91" w:rsidRPr="002029AF" w:rsidRDefault="00087B91" w:rsidP="00860E95">
            <w:pPr>
              <w:pStyle w:val="ARfintablebodyrightbold"/>
            </w:pPr>
            <w:r w:rsidRPr="002029AF">
              <w:t>1.0</w:t>
            </w:r>
          </w:p>
        </w:tc>
        <w:tc>
          <w:tcPr>
            <w:tcW w:w="1134" w:type="dxa"/>
            <w:noWrap/>
            <w:hideMark/>
          </w:tcPr>
          <w:p w14:paraId="68A44486" w14:textId="77777777" w:rsidR="00087B91" w:rsidRPr="002029AF" w:rsidRDefault="00087B91" w:rsidP="00860E95">
            <w:pPr>
              <w:pStyle w:val="ARfintablebodyrightbold"/>
            </w:pPr>
            <w:r w:rsidRPr="002029AF">
              <w:t>4.0</w:t>
            </w:r>
          </w:p>
        </w:tc>
      </w:tr>
      <w:tr w:rsidR="00087B91" w:rsidRPr="002029AF" w14:paraId="7E89A7C8" w14:textId="77777777" w:rsidTr="00860E95">
        <w:tc>
          <w:tcPr>
            <w:tcW w:w="3686" w:type="dxa"/>
            <w:hideMark/>
          </w:tcPr>
          <w:p w14:paraId="08614E69" w14:textId="487380DA" w:rsidR="00087B91" w:rsidRPr="002029AF" w:rsidRDefault="00087B91" w:rsidP="00860E95">
            <w:pPr>
              <w:pStyle w:val="ARfintablebodybold"/>
            </w:pPr>
            <w:r w:rsidRPr="002029AF">
              <w:t>Total</w:t>
            </w:r>
            <w:r w:rsidR="000A5329" w:rsidRPr="002029AF">
              <w:t xml:space="preserve"> </w:t>
            </w:r>
            <w:r w:rsidRPr="002029AF">
              <w:t>special</w:t>
            </w:r>
            <w:r w:rsidR="000A5329" w:rsidRPr="002029AF">
              <w:t xml:space="preserve"> </w:t>
            </w:r>
            <w:r w:rsidRPr="002029AF">
              <w:t>appropriations</w:t>
            </w:r>
          </w:p>
        </w:tc>
        <w:tc>
          <w:tcPr>
            <w:tcW w:w="3686" w:type="dxa"/>
            <w:hideMark/>
          </w:tcPr>
          <w:p w14:paraId="1809BD75" w14:textId="77777777" w:rsidR="00087B91" w:rsidRPr="002029AF" w:rsidRDefault="00087B91" w:rsidP="00860E95">
            <w:pPr>
              <w:pStyle w:val="ARfintablebody"/>
            </w:pPr>
          </w:p>
        </w:tc>
        <w:tc>
          <w:tcPr>
            <w:tcW w:w="1134" w:type="dxa"/>
            <w:shd w:val="clear" w:color="auto" w:fill="E7E6E6"/>
            <w:noWrap/>
            <w:hideMark/>
          </w:tcPr>
          <w:p w14:paraId="48B5F008" w14:textId="77777777" w:rsidR="00087B91" w:rsidRPr="002029AF" w:rsidRDefault="00087B91" w:rsidP="00860E95">
            <w:pPr>
              <w:pStyle w:val="ARfintablebodyrightbold"/>
            </w:pPr>
            <w:r w:rsidRPr="002029AF">
              <w:t>1,372.9</w:t>
            </w:r>
          </w:p>
        </w:tc>
        <w:tc>
          <w:tcPr>
            <w:tcW w:w="1134" w:type="dxa"/>
            <w:noWrap/>
            <w:hideMark/>
          </w:tcPr>
          <w:p w14:paraId="06C63FC9" w14:textId="77777777" w:rsidR="00087B91" w:rsidRPr="002029AF" w:rsidRDefault="00087B91" w:rsidP="00860E95">
            <w:pPr>
              <w:pStyle w:val="ARfintablebodyrightbold"/>
            </w:pPr>
            <w:r w:rsidRPr="002029AF">
              <w:t>1,517.4</w:t>
            </w:r>
          </w:p>
        </w:tc>
      </w:tr>
    </w:tbl>
    <w:p w14:paraId="01F6927B" w14:textId="5DCCCB2B" w:rsidR="00087B91" w:rsidRPr="002029AF" w:rsidRDefault="00087B91" w:rsidP="00087B91">
      <w:pPr>
        <w:pStyle w:val="Heading4"/>
      </w:pPr>
      <w:bookmarkStart w:id="287" w:name="_Toc39136691"/>
      <w:bookmarkStart w:id="288" w:name="_Toc39242135"/>
      <w:bookmarkStart w:id="289" w:name="_Ref51926821"/>
      <w:bookmarkStart w:id="290" w:name="_Ref52454736"/>
      <w:r w:rsidRPr="002029AF">
        <w:t>2.4</w:t>
      </w:r>
      <w:r w:rsidR="000A5329" w:rsidRPr="002029AF">
        <w:t xml:space="preserve"> </w:t>
      </w:r>
      <w:r w:rsidRPr="002029AF">
        <w:t>Revenue</w:t>
      </w:r>
      <w:r w:rsidR="000A5329" w:rsidRPr="002029AF">
        <w:t xml:space="preserve"> </w:t>
      </w:r>
      <w:r w:rsidRPr="002029AF">
        <w:t>and</w:t>
      </w:r>
      <w:r w:rsidR="000A5329" w:rsidRPr="002029AF">
        <w:t xml:space="preserve"> </w:t>
      </w:r>
      <w:r w:rsidRPr="002029AF">
        <w:t>income</w:t>
      </w:r>
      <w:r w:rsidR="000A5329" w:rsidRPr="002029AF">
        <w:t xml:space="preserve"> </w:t>
      </w:r>
      <w:r w:rsidRPr="002029AF">
        <w:t>from</w:t>
      </w:r>
      <w:r w:rsidR="000A5329" w:rsidRPr="002029AF">
        <w:t xml:space="preserve"> </w:t>
      </w:r>
      <w:r w:rsidRPr="002029AF">
        <w:t>transactions</w:t>
      </w:r>
      <w:bookmarkEnd w:id="287"/>
      <w:bookmarkEnd w:id="288"/>
      <w:bookmarkEnd w:id="289"/>
      <w:bookmarkEnd w:id="290"/>
    </w:p>
    <w:p w14:paraId="6B5E1EAC" w14:textId="523343A1" w:rsidR="00087B91" w:rsidRPr="002029AF" w:rsidRDefault="00087B91" w:rsidP="00087B91">
      <w:pPr>
        <w:pStyle w:val="Heading5"/>
      </w:pPr>
      <w:bookmarkStart w:id="291" w:name="_Toc39136692"/>
      <w:r w:rsidRPr="002029AF">
        <w:t>2.4.1</w:t>
      </w:r>
      <w:r w:rsidR="000A5329" w:rsidRPr="002029AF">
        <w:t xml:space="preserve"> </w:t>
      </w:r>
      <w:r w:rsidRPr="002029AF">
        <w:t>Interest</w:t>
      </w:r>
      <w:r w:rsidR="000A5329" w:rsidRPr="002029AF">
        <w:t xml:space="preserve"> </w:t>
      </w:r>
      <w:r w:rsidRPr="002029AF">
        <w:t>income</w:t>
      </w:r>
      <w:bookmarkEnd w:id="291"/>
    </w:p>
    <w:tbl>
      <w:tblPr>
        <w:tblStyle w:val="TableGrid"/>
        <w:tblW w:w="9637" w:type="dxa"/>
        <w:tblLayout w:type="fixed"/>
        <w:tblLook w:val="06A0" w:firstRow="1" w:lastRow="0" w:firstColumn="1" w:lastColumn="0" w:noHBand="1" w:noVBand="1"/>
      </w:tblPr>
      <w:tblGrid>
        <w:gridCol w:w="7371"/>
        <w:gridCol w:w="1133"/>
        <w:gridCol w:w="1133"/>
      </w:tblGrid>
      <w:tr w:rsidR="00087B91" w:rsidRPr="002029AF" w14:paraId="381FAA19" w14:textId="77777777" w:rsidTr="00C83719">
        <w:trPr>
          <w:cnfStyle w:val="100000000000" w:firstRow="1" w:lastRow="0" w:firstColumn="0" w:lastColumn="0" w:oddVBand="0" w:evenVBand="0" w:oddHBand="0" w:evenHBand="0" w:firstRowFirstColumn="0" w:firstRowLastColumn="0" w:lastRowFirstColumn="0" w:lastRowLastColumn="0"/>
          <w:tblHeader/>
        </w:trPr>
        <w:tc>
          <w:tcPr>
            <w:tcW w:w="7371" w:type="dxa"/>
            <w:tcBorders>
              <w:bottom w:val="single" w:sz="4" w:space="0" w:color="auto"/>
            </w:tcBorders>
            <w:noWrap/>
            <w:hideMark/>
          </w:tcPr>
          <w:p w14:paraId="14CB89DA" w14:textId="77777777" w:rsidR="00087B91" w:rsidRPr="002029AF" w:rsidRDefault="00087B91" w:rsidP="00860E95">
            <w:pPr>
              <w:pStyle w:val="ARfintablecolhead"/>
            </w:pPr>
          </w:p>
        </w:tc>
        <w:tc>
          <w:tcPr>
            <w:tcW w:w="1133" w:type="dxa"/>
            <w:tcBorders>
              <w:bottom w:val="single" w:sz="4" w:space="0" w:color="auto"/>
            </w:tcBorders>
            <w:shd w:val="clear" w:color="auto" w:fill="E7E6E6"/>
            <w:hideMark/>
          </w:tcPr>
          <w:p w14:paraId="5F7420D2" w14:textId="77777777" w:rsidR="00087B91" w:rsidRPr="002029AF" w:rsidRDefault="00087B91" w:rsidP="00860E95">
            <w:pPr>
              <w:pStyle w:val="ARfintablecolheadright"/>
            </w:pPr>
            <w:r w:rsidRPr="002029AF">
              <w:t>2020</w:t>
            </w:r>
          </w:p>
          <w:p w14:paraId="051C1413" w14:textId="77777777" w:rsidR="00087B91" w:rsidRPr="002029AF" w:rsidRDefault="00087B91" w:rsidP="00860E95">
            <w:pPr>
              <w:pStyle w:val="ARfintablecolheadright"/>
            </w:pPr>
            <w:r w:rsidRPr="002029AF">
              <w:t>$M</w:t>
            </w:r>
          </w:p>
        </w:tc>
        <w:tc>
          <w:tcPr>
            <w:tcW w:w="1133" w:type="dxa"/>
            <w:tcBorders>
              <w:bottom w:val="single" w:sz="4" w:space="0" w:color="auto"/>
            </w:tcBorders>
            <w:hideMark/>
          </w:tcPr>
          <w:p w14:paraId="213AD314" w14:textId="77777777" w:rsidR="00087B91" w:rsidRPr="002029AF" w:rsidRDefault="00087B91" w:rsidP="00860E95">
            <w:pPr>
              <w:pStyle w:val="ARfintablecolheadright"/>
            </w:pPr>
            <w:r w:rsidRPr="002029AF">
              <w:t>2019</w:t>
            </w:r>
          </w:p>
          <w:p w14:paraId="68C06641" w14:textId="77777777" w:rsidR="00087B91" w:rsidRPr="002029AF" w:rsidRDefault="00087B91" w:rsidP="00860E95">
            <w:pPr>
              <w:pStyle w:val="ARfintablecolheadright"/>
            </w:pPr>
            <w:r w:rsidRPr="002029AF">
              <w:t>$M</w:t>
            </w:r>
          </w:p>
        </w:tc>
      </w:tr>
      <w:tr w:rsidR="00087B91" w:rsidRPr="002029AF" w14:paraId="2E6DBE2D" w14:textId="77777777" w:rsidTr="00860E95">
        <w:tc>
          <w:tcPr>
            <w:tcW w:w="9637" w:type="dxa"/>
            <w:gridSpan w:val="3"/>
            <w:tcBorders>
              <w:top w:val="single" w:sz="4" w:space="0" w:color="auto"/>
              <w:bottom w:val="single" w:sz="4" w:space="0" w:color="A6A6A6"/>
            </w:tcBorders>
            <w:hideMark/>
          </w:tcPr>
          <w:p w14:paraId="31CD5CCC" w14:textId="372BCCF8" w:rsidR="00087B91" w:rsidRPr="002029AF" w:rsidRDefault="00087B91" w:rsidP="00860E95">
            <w:pPr>
              <w:pStyle w:val="ARfintablebodybold"/>
            </w:pPr>
            <w:r w:rsidRPr="002029AF">
              <w:t>Interest</w:t>
            </w:r>
            <w:r w:rsidR="000A5329" w:rsidRPr="002029AF">
              <w:t xml:space="preserve"> </w:t>
            </w:r>
            <w:r w:rsidRPr="002029AF">
              <w:t>from</w:t>
            </w:r>
            <w:r w:rsidR="000A5329" w:rsidRPr="002029AF">
              <w:t xml:space="preserve"> </w:t>
            </w:r>
            <w:r w:rsidRPr="002029AF">
              <w:t>financial</w:t>
            </w:r>
            <w:r w:rsidR="000A5329" w:rsidRPr="002029AF">
              <w:t xml:space="preserve"> </w:t>
            </w:r>
            <w:r w:rsidRPr="002029AF">
              <w:t>assets</w:t>
            </w:r>
          </w:p>
        </w:tc>
      </w:tr>
      <w:tr w:rsidR="00087B91" w:rsidRPr="002029AF" w14:paraId="11A2FA27" w14:textId="77777777" w:rsidTr="00860E95">
        <w:tc>
          <w:tcPr>
            <w:tcW w:w="7371" w:type="dxa"/>
            <w:tcBorders>
              <w:top w:val="single" w:sz="4" w:space="0" w:color="A6A6A6"/>
              <w:bottom w:val="single" w:sz="4" w:space="0" w:color="A6A6A6"/>
            </w:tcBorders>
            <w:hideMark/>
          </w:tcPr>
          <w:p w14:paraId="43258370" w14:textId="7E90E59F" w:rsidR="00087B91" w:rsidRPr="002029AF" w:rsidRDefault="00087B91" w:rsidP="00860E95">
            <w:pPr>
              <w:pStyle w:val="ARfintablebody"/>
            </w:pPr>
            <w:r w:rsidRPr="002029AF">
              <w:t>–</w:t>
            </w:r>
            <w:r w:rsidR="000A5329" w:rsidRPr="002029AF">
              <w:t xml:space="preserve"> </w:t>
            </w:r>
            <w:r w:rsidRPr="002029AF">
              <w:t>Interest</w:t>
            </w:r>
            <w:r w:rsidR="000A5329" w:rsidRPr="002029AF">
              <w:t xml:space="preserve"> </w:t>
            </w:r>
            <w:r w:rsidRPr="002029AF">
              <w:t>on</w:t>
            </w:r>
            <w:r w:rsidR="000A5329" w:rsidRPr="002029AF">
              <w:t xml:space="preserve"> </w:t>
            </w:r>
            <w:r w:rsidRPr="002029AF">
              <w:t>short-term</w:t>
            </w:r>
            <w:r w:rsidR="000A5329" w:rsidRPr="002029AF">
              <w:t xml:space="preserve"> </w:t>
            </w:r>
            <w:r w:rsidRPr="002029AF">
              <w:t>deposits</w:t>
            </w:r>
          </w:p>
        </w:tc>
        <w:tc>
          <w:tcPr>
            <w:tcW w:w="1133" w:type="dxa"/>
            <w:tcBorders>
              <w:top w:val="single" w:sz="4" w:space="0" w:color="A6A6A6"/>
              <w:bottom w:val="single" w:sz="4" w:space="0" w:color="A6A6A6"/>
            </w:tcBorders>
            <w:shd w:val="clear" w:color="auto" w:fill="E7E6E6"/>
            <w:noWrap/>
            <w:hideMark/>
          </w:tcPr>
          <w:p w14:paraId="11303748" w14:textId="77777777" w:rsidR="00087B91" w:rsidRPr="002029AF" w:rsidRDefault="00087B91" w:rsidP="00860E95">
            <w:pPr>
              <w:pStyle w:val="ARfintablebodyright"/>
            </w:pPr>
            <w:r w:rsidRPr="002029AF">
              <w:t>6.4</w:t>
            </w:r>
          </w:p>
        </w:tc>
        <w:tc>
          <w:tcPr>
            <w:tcW w:w="1133" w:type="dxa"/>
            <w:tcBorders>
              <w:top w:val="single" w:sz="4" w:space="0" w:color="A6A6A6"/>
              <w:bottom w:val="single" w:sz="4" w:space="0" w:color="A6A6A6"/>
            </w:tcBorders>
            <w:noWrap/>
            <w:hideMark/>
          </w:tcPr>
          <w:p w14:paraId="01C58599" w14:textId="77777777" w:rsidR="00087B91" w:rsidRPr="002029AF" w:rsidRDefault="00087B91" w:rsidP="00860E95">
            <w:pPr>
              <w:pStyle w:val="ARfintablebodyright"/>
            </w:pPr>
            <w:r w:rsidRPr="002029AF">
              <w:t>12.6</w:t>
            </w:r>
          </w:p>
        </w:tc>
      </w:tr>
      <w:tr w:rsidR="00087B91" w:rsidRPr="002029AF" w14:paraId="516BCE3A" w14:textId="77777777" w:rsidTr="00860E95">
        <w:tc>
          <w:tcPr>
            <w:tcW w:w="7371" w:type="dxa"/>
            <w:tcBorders>
              <w:top w:val="single" w:sz="4" w:space="0" w:color="A6A6A6"/>
            </w:tcBorders>
            <w:hideMark/>
          </w:tcPr>
          <w:p w14:paraId="34636D28" w14:textId="65BAE0C2" w:rsidR="00087B91" w:rsidRPr="002029AF" w:rsidRDefault="00087B91" w:rsidP="00860E95">
            <w:pPr>
              <w:pStyle w:val="ARfintablebody"/>
            </w:pPr>
            <w:r w:rsidRPr="002029AF">
              <w:t>–</w:t>
            </w:r>
            <w:r w:rsidR="000A5329" w:rsidRPr="002029AF">
              <w:t xml:space="preserve"> </w:t>
            </w:r>
            <w:r w:rsidRPr="002029AF">
              <w:t>Interest</w:t>
            </w:r>
            <w:r w:rsidR="000A5329" w:rsidRPr="002029AF">
              <w:t xml:space="preserve"> </w:t>
            </w:r>
            <w:r w:rsidRPr="002029AF">
              <w:t>from</w:t>
            </w:r>
            <w:r w:rsidR="000A5329" w:rsidRPr="002029AF">
              <w:t xml:space="preserve"> </w:t>
            </w:r>
            <w:r w:rsidRPr="002029AF">
              <w:t>loans</w:t>
            </w:r>
          </w:p>
        </w:tc>
        <w:tc>
          <w:tcPr>
            <w:tcW w:w="1133" w:type="dxa"/>
            <w:tcBorders>
              <w:top w:val="single" w:sz="4" w:space="0" w:color="A6A6A6"/>
            </w:tcBorders>
            <w:shd w:val="clear" w:color="auto" w:fill="E7E6E6"/>
            <w:noWrap/>
            <w:hideMark/>
          </w:tcPr>
          <w:p w14:paraId="655F70D8" w14:textId="77777777" w:rsidR="00087B91" w:rsidRPr="002029AF" w:rsidRDefault="00087B91" w:rsidP="00860E95">
            <w:pPr>
              <w:pStyle w:val="ARfintablebodyright"/>
            </w:pPr>
            <w:r w:rsidRPr="002029AF">
              <w:t>0.5</w:t>
            </w:r>
          </w:p>
        </w:tc>
        <w:tc>
          <w:tcPr>
            <w:tcW w:w="1133" w:type="dxa"/>
            <w:tcBorders>
              <w:top w:val="single" w:sz="4" w:space="0" w:color="A6A6A6"/>
            </w:tcBorders>
            <w:noWrap/>
            <w:hideMark/>
          </w:tcPr>
          <w:p w14:paraId="1978FC17" w14:textId="77777777" w:rsidR="00087B91" w:rsidRPr="002029AF" w:rsidRDefault="00087B91" w:rsidP="00860E95">
            <w:pPr>
              <w:pStyle w:val="ARfintablebodyright"/>
            </w:pPr>
            <w:r w:rsidRPr="002029AF">
              <w:t>0.6</w:t>
            </w:r>
          </w:p>
        </w:tc>
      </w:tr>
      <w:tr w:rsidR="00087B91" w:rsidRPr="002029AF" w14:paraId="5B0C0971" w14:textId="77777777" w:rsidTr="00860E95">
        <w:tc>
          <w:tcPr>
            <w:tcW w:w="7371" w:type="dxa"/>
            <w:hideMark/>
          </w:tcPr>
          <w:p w14:paraId="2FD3790A" w14:textId="2C0213BE" w:rsidR="00087B91" w:rsidRPr="002029AF" w:rsidRDefault="00087B91" w:rsidP="00860E95">
            <w:pPr>
              <w:pStyle w:val="ARfintablebodybold"/>
            </w:pPr>
            <w:r w:rsidRPr="002029AF">
              <w:t>Total</w:t>
            </w:r>
            <w:r w:rsidR="000A5329" w:rsidRPr="002029AF">
              <w:t xml:space="preserve"> </w:t>
            </w:r>
            <w:r w:rsidRPr="002029AF">
              <w:t>interest</w:t>
            </w:r>
          </w:p>
        </w:tc>
        <w:tc>
          <w:tcPr>
            <w:tcW w:w="1133" w:type="dxa"/>
            <w:shd w:val="clear" w:color="auto" w:fill="E7E6E6"/>
            <w:noWrap/>
            <w:hideMark/>
          </w:tcPr>
          <w:p w14:paraId="5ED732AC" w14:textId="77777777" w:rsidR="00087B91" w:rsidRPr="002029AF" w:rsidRDefault="00087B91" w:rsidP="00860E95">
            <w:pPr>
              <w:pStyle w:val="ARfintablebodyrightbold"/>
            </w:pPr>
            <w:r w:rsidRPr="002029AF">
              <w:t>6.9</w:t>
            </w:r>
          </w:p>
        </w:tc>
        <w:tc>
          <w:tcPr>
            <w:tcW w:w="1133" w:type="dxa"/>
            <w:noWrap/>
            <w:hideMark/>
          </w:tcPr>
          <w:p w14:paraId="00BFD99D" w14:textId="77777777" w:rsidR="00087B91" w:rsidRPr="002029AF" w:rsidRDefault="00087B91" w:rsidP="00860E95">
            <w:pPr>
              <w:pStyle w:val="ARfintablebodyrightbold"/>
            </w:pPr>
            <w:r w:rsidRPr="002029AF">
              <w:t>13.2</w:t>
            </w:r>
          </w:p>
        </w:tc>
      </w:tr>
    </w:tbl>
    <w:p w14:paraId="77D310BC" w14:textId="37031D40" w:rsidR="00087B91" w:rsidRPr="002029AF" w:rsidRDefault="00087B91" w:rsidP="00087B91">
      <w:pPr>
        <w:pStyle w:val="ARfinbodyaftertable"/>
      </w:pPr>
      <w:r w:rsidRPr="002029AF">
        <w:t>Interest</w:t>
      </w:r>
      <w:r w:rsidR="000A5329" w:rsidRPr="002029AF">
        <w:t xml:space="preserve"> </w:t>
      </w:r>
      <w:r w:rsidRPr="002029AF">
        <w:t>income</w:t>
      </w:r>
      <w:r w:rsidR="000A5329" w:rsidRPr="002029AF">
        <w:t xml:space="preserve"> </w:t>
      </w:r>
      <w:r w:rsidRPr="002029AF">
        <w:t>includes</w:t>
      </w:r>
      <w:r w:rsidR="000A5329" w:rsidRPr="002029AF">
        <w:t xml:space="preserve"> </w:t>
      </w:r>
      <w:r w:rsidRPr="002029AF">
        <w:t>interest</w:t>
      </w:r>
      <w:r w:rsidR="000A5329" w:rsidRPr="002029AF">
        <w:t xml:space="preserve"> </w:t>
      </w:r>
      <w:r w:rsidRPr="002029AF">
        <w:t>received</w:t>
      </w:r>
      <w:r w:rsidR="000A5329" w:rsidRPr="002029AF">
        <w:t xml:space="preserve"> </w:t>
      </w:r>
      <w:r w:rsidRPr="002029AF">
        <w:t>on</w:t>
      </w:r>
      <w:r w:rsidR="000A5329" w:rsidRPr="002029AF">
        <w:t xml:space="preserve"> </w:t>
      </w:r>
      <w:r w:rsidRPr="002029AF">
        <w:t>bank,</w:t>
      </w:r>
      <w:r w:rsidR="000A5329" w:rsidRPr="002029AF">
        <w:t xml:space="preserve"> </w:t>
      </w:r>
      <w:r w:rsidRPr="002029AF">
        <w:t>term</w:t>
      </w:r>
      <w:r w:rsidR="000A5329" w:rsidRPr="002029AF">
        <w:t xml:space="preserve"> </w:t>
      </w:r>
      <w:r w:rsidRPr="002029AF">
        <w:t>deposits</w:t>
      </w:r>
      <w:r w:rsidR="000A5329" w:rsidRPr="002029AF">
        <w:t xml:space="preserve"> </w:t>
      </w:r>
      <w:r w:rsidRPr="002029AF">
        <w:t>and</w:t>
      </w:r>
      <w:r w:rsidR="000A5329" w:rsidRPr="002029AF">
        <w:t xml:space="preserve"> </w:t>
      </w:r>
      <w:r w:rsidRPr="002029AF">
        <w:t>other</w:t>
      </w:r>
      <w:r w:rsidR="000A5329" w:rsidRPr="002029AF">
        <w:t xml:space="preserve"> </w:t>
      </w:r>
      <w:r w:rsidRPr="002029AF">
        <w:t>investments.</w:t>
      </w:r>
      <w:r w:rsidR="000A5329" w:rsidRPr="002029AF">
        <w:t xml:space="preserve"> </w:t>
      </w:r>
      <w:r w:rsidRPr="002029AF">
        <w:t>Interest</w:t>
      </w:r>
      <w:r w:rsidR="000A5329" w:rsidRPr="002029AF">
        <w:t xml:space="preserve"> </w:t>
      </w:r>
      <w:r w:rsidRPr="002029AF">
        <w:t>income</w:t>
      </w:r>
      <w:r w:rsidR="000A5329" w:rsidRPr="002029AF">
        <w:t xml:space="preserve"> </w:t>
      </w:r>
      <w:r w:rsidRPr="002029AF">
        <w:t>is</w:t>
      </w:r>
      <w:r w:rsidR="000A5329" w:rsidRPr="002029AF">
        <w:t xml:space="preserve"> </w:t>
      </w:r>
      <w:r w:rsidRPr="002029AF">
        <w:t>recognised</w:t>
      </w:r>
      <w:r w:rsidR="000A5329" w:rsidRPr="002029AF">
        <w:t xml:space="preserve"> </w:t>
      </w:r>
      <w:r w:rsidRPr="002029AF">
        <w:t>using</w:t>
      </w:r>
      <w:r w:rsidR="000A5329" w:rsidRPr="002029AF">
        <w:t xml:space="preserve"> </w:t>
      </w:r>
      <w:r w:rsidRPr="002029AF">
        <w:t>the</w:t>
      </w:r>
      <w:r w:rsidR="000A5329" w:rsidRPr="002029AF">
        <w:t xml:space="preserve"> </w:t>
      </w:r>
      <w:r w:rsidRPr="002029AF">
        <w:t>effective</w:t>
      </w:r>
      <w:r w:rsidR="000A5329" w:rsidRPr="002029AF">
        <w:t xml:space="preserve"> </w:t>
      </w:r>
      <w:r w:rsidRPr="002029AF">
        <w:t>interest</w:t>
      </w:r>
      <w:r w:rsidR="000A5329" w:rsidRPr="002029AF">
        <w:t xml:space="preserve"> </w:t>
      </w:r>
      <w:r w:rsidRPr="002029AF">
        <w:t>method</w:t>
      </w:r>
      <w:r w:rsidR="000A5329" w:rsidRPr="002029AF">
        <w:t xml:space="preserve"> </w:t>
      </w:r>
      <w:r w:rsidRPr="002029AF">
        <w:t>which</w:t>
      </w:r>
      <w:r w:rsidR="000A5329" w:rsidRPr="002029AF">
        <w:t xml:space="preserve"> </w:t>
      </w:r>
      <w:r w:rsidRPr="002029AF">
        <w:t>allocates</w:t>
      </w:r>
      <w:r w:rsidR="000A5329" w:rsidRPr="002029AF">
        <w:t xml:space="preserve"> </w:t>
      </w:r>
      <w:r w:rsidRPr="002029AF">
        <w:t>the</w:t>
      </w:r>
      <w:r w:rsidR="000A5329" w:rsidRPr="002029AF">
        <w:t xml:space="preserve"> </w:t>
      </w:r>
      <w:r w:rsidRPr="002029AF">
        <w:t>interest</w:t>
      </w:r>
      <w:r w:rsidR="000A5329" w:rsidRPr="002029AF">
        <w:t xml:space="preserve"> </w:t>
      </w:r>
      <w:r w:rsidRPr="002029AF">
        <w:t>over</w:t>
      </w:r>
      <w:r w:rsidR="000A5329" w:rsidRPr="002029AF">
        <w:t xml:space="preserve"> </w:t>
      </w:r>
      <w:r w:rsidRPr="002029AF">
        <w:t>the</w:t>
      </w:r>
      <w:r w:rsidR="000A5329" w:rsidRPr="002029AF">
        <w:t xml:space="preserve"> </w:t>
      </w:r>
      <w:r w:rsidRPr="002029AF">
        <w:t>relevant</w:t>
      </w:r>
      <w:r w:rsidR="000A5329" w:rsidRPr="002029AF">
        <w:t xml:space="preserve"> </w:t>
      </w:r>
      <w:r w:rsidRPr="002029AF">
        <w:t>period.</w:t>
      </w:r>
    </w:p>
    <w:p w14:paraId="7735FC0C" w14:textId="1F9A38A8" w:rsidR="00087B91" w:rsidRPr="002029AF" w:rsidRDefault="00087B91" w:rsidP="00087B91">
      <w:pPr>
        <w:pStyle w:val="Heading5"/>
      </w:pPr>
      <w:bookmarkStart w:id="292" w:name="_Toc39136693"/>
      <w:r w:rsidRPr="002029AF">
        <w:t>2.4.2</w:t>
      </w:r>
      <w:r w:rsidR="000A5329" w:rsidRPr="002029AF">
        <w:t xml:space="preserve"> </w:t>
      </w:r>
      <w:r w:rsidRPr="002029AF">
        <w:t>Rental</w:t>
      </w:r>
      <w:r w:rsidR="000A5329" w:rsidRPr="002029AF">
        <w:t xml:space="preserve"> </w:t>
      </w:r>
      <w:r w:rsidRPr="002029AF">
        <w:t>income</w:t>
      </w:r>
      <w:r w:rsidR="000A5329" w:rsidRPr="002029AF">
        <w:t xml:space="preserve"> </w:t>
      </w:r>
      <w:r w:rsidRPr="002029AF">
        <w:t>and</w:t>
      </w:r>
      <w:r w:rsidR="000A5329" w:rsidRPr="002029AF">
        <w:t xml:space="preserve"> </w:t>
      </w:r>
      <w:r w:rsidRPr="002029AF">
        <w:t>income</w:t>
      </w:r>
      <w:r w:rsidR="000A5329" w:rsidRPr="002029AF">
        <w:t xml:space="preserve"> </w:t>
      </w:r>
      <w:r w:rsidRPr="002029AF">
        <w:t>from</w:t>
      </w:r>
      <w:r w:rsidR="000A5329" w:rsidRPr="002029AF">
        <w:t xml:space="preserve"> </w:t>
      </w:r>
      <w:r w:rsidRPr="002029AF">
        <w:t>services</w:t>
      </w:r>
      <w:bookmarkEnd w:id="292"/>
    </w:p>
    <w:tbl>
      <w:tblPr>
        <w:tblStyle w:val="TableGrid"/>
        <w:tblW w:w="9637" w:type="dxa"/>
        <w:tblLayout w:type="fixed"/>
        <w:tblLook w:val="06A0" w:firstRow="1" w:lastRow="0" w:firstColumn="1" w:lastColumn="0" w:noHBand="1" w:noVBand="1"/>
      </w:tblPr>
      <w:tblGrid>
        <w:gridCol w:w="7369"/>
        <w:gridCol w:w="1134"/>
        <w:gridCol w:w="1134"/>
      </w:tblGrid>
      <w:tr w:rsidR="00087B91" w:rsidRPr="002029AF" w14:paraId="4B979A4C" w14:textId="77777777" w:rsidTr="00C83719">
        <w:trPr>
          <w:cnfStyle w:val="100000000000" w:firstRow="1" w:lastRow="0" w:firstColumn="0" w:lastColumn="0" w:oddVBand="0" w:evenVBand="0" w:oddHBand="0" w:evenHBand="0" w:firstRowFirstColumn="0" w:firstRowLastColumn="0" w:lastRowFirstColumn="0" w:lastRowLastColumn="0"/>
          <w:tblHeader/>
        </w:trPr>
        <w:tc>
          <w:tcPr>
            <w:tcW w:w="7371" w:type="dxa"/>
            <w:tcBorders>
              <w:bottom w:val="single" w:sz="4" w:space="0" w:color="auto"/>
            </w:tcBorders>
            <w:noWrap/>
            <w:hideMark/>
          </w:tcPr>
          <w:p w14:paraId="6D134D05" w14:textId="77777777" w:rsidR="00087B91" w:rsidRPr="002029AF" w:rsidRDefault="00087B91" w:rsidP="00860E95">
            <w:pPr>
              <w:pStyle w:val="ARfintablecolhead"/>
            </w:pPr>
          </w:p>
        </w:tc>
        <w:tc>
          <w:tcPr>
            <w:tcW w:w="1134" w:type="dxa"/>
            <w:tcBorders>
              <w:bottom w:val="single" w:sz="4" w:space="0" w:color="auto"/>
            </w:tcBorders>
            <w:shd w:val="clear" w:color="auto" w:fill="E7E6E6"/>
            <w:hideMark/>
          </w:tcPr>
          <w:p w14:paraId="187EB1FA" w14:textId="77777777" w:rsidR="00087B91" w:rsidRPr="002029AF" w:rsidRDefault="00087B91" w:rsidP="00860E95">
            <w:pPr>
              <w:pStyle w:val="ARfintablecolheadright"/>
            </w:pPr>
            <w:r w:rsidRPr="002029AF">
              <w:t>2020</w:t>
            </w:r>
          </w:p>
          <w:p w14:paraId="4F7E92B8" w14:textId="77777777" w:rsidR="00087B91" w:rsidRPr="002029AF" w:rsidRDefault="00087B91" w:rsidP="00860E95">
            <w:pPr>
              <w:pStyle w:val="ARfintablecolheadright"/>
            </w:pPr>
            <w:r w:rsidRPr="002029AF">
              <w:t>$M</w:t>
            </w:r>
          </w:p>
        </w:tc>
        <w:tc>
          <w:tcPr>
            <w:tcW w:w="1134" w:type="dxa"/>
            <w:tcBorders>
              <w:bottom w:val="single" w:sz="4" w:space="0" w:color="auto"/>
            </w:tcBorders>
            <w:hideMark/>
          </w:tcPr>
          <w:p w14:paraId="45CF80F3" w14:textId="77777777" w:rsidR="00087B91" w:rsidRPr="002029AF" w:rsidRDefault="00087B91" w:rsidP="00860E95">
            <w:pPr>
              <w:pStyle w:val="ARfintablecolheadright"/>
            </w:pPr>
            <w:r w:rsidRPr="002029AF">
              <w:t>2019</w:t>
            </w:r>
          </w:p>
          <w:p w14:paraId="4492B787" w14:textId="77777777" w:rsidR="00087B91" w:rsidRPr="002029AF" w:rsidRDefault="00087B91" w:rsidP="00860E95">
            <w:pPr>
              <w:pStyle w:val="ARfintablecolheadright"/>
            </w:pPr>
            <w:r w:rsidRPr="002029AF">
              <w:t>$M</w:t>
            </w:r>
          </w:p>
        </w:tc>
      </w:tr>
      <w:tr w:rsidR="00087B91" w:rsidRPr="002029AF" w14:paraId="0889A480" w14:textId="77777777" w:rsidTr="00860E95">
        <w:tc>
          <w:tcPr>
            <w:tcW w:w="7371" w:type="dxa"/>
            <w:tcBorders>
              <w:top w:val="single" w:sz="4" w:space="0" w:color="auto"/>
              <w:bottom w:val="single" w:sz="4" w:space="0" w:color="A6A6A6"/>
            </w:tcBorders>
            <w:hideMark/>
          </w:tcPr>
          <w:p w14:paraId="120730CD" w14:textId="4708B360" w:rsidR="00087B91" w:rsidRPr="002029AF" w:rsidRDefault="00087B91" w:rsidP="00860E95">
            <w:pPr>
              <w:pStyle w:val="ARfintablebody"/>
            </w:pPr>
            <w:r w:rsidRPr="002029AF">
              <w:t>Rental</w:t>
            </w:r>
            <w:r w:rsidR="000A5329" w:rsidRPr="002029AF">
              <w:t xml:space="preserve"> </w:t>
            </w:r>
            <w:r w:rsidRPr="002029AF">
              <w:t>income</w:t>
            </w:r>
            <w:r w:rsidR="000A5329" w:rsidRPr="002029AF">
              <w:t xml:space="preserve"> </w:t>
            </w:r>
            <w:r w:rsidRPr="002029AF">
              <w:t>raised</w:t>
            </w:r>
          </w:p>
        </w:tc>
        <w:tc>
          <w:tcPr>
            <w:tcW w:w="1134" w:type="dxa"/>
            <w:tcBorders>
              <w:top w:val="single" w:sz="4" w:space="0" w:color="auto"/>
              <w:bottom w:val="single" w:sz="4" w:space="0" w:color="A6A6A6"/>
            </w:tcBorders>
            <w:shd w:val="clear" w:color="auto" w:fill="E7E6E6"/>
            <w:noWrap/>
            <w:hideMark/>
          </w:tcPr>
          <w:p w14:paraId="38E7DE1F" w14:textId="77777777" w:rsidR="00087B91" w:rsidRPr="002029AF" w:rsidRDefault="00087B91" w:rsidP="00860E95">
            <w:pPr>
              <w:pStyle w:val="ARfintablebodyright"/>
            </w:pPr>
            <w:r w:rsidRPr="002029AF">
              <w:t>1,025.3</w:t>
            </w:r>
          </w:p>
        </w:tc>
        <w:tc>
          <w:tcPr>
            <w:tcW w:w="1134" w:type="dxa"/>
            <w:tcBorders>
              <w:top w:val="single" w:sz="4" w:space="0" w:color="auto"/>
              <w:bottom w:val="single" w:sz="4" w:space="0" w:color="A6A6A6"/>
            </w:tcBorders>
            <w:noWrap/>
            <w:hideMark/>
          </w:tcPr>
          <w:p w14:paraId="32412733" w14:textId="77777777" w:rsidR="00087B91" w:rsidRPr="002029AF" w:rsidRDefault="00087B91" w:rsidP="00860E95">
            <w:pPr>
              <w:pStyle w:val="ARfintablebodyright"/>
            </w:pPr>
            <w:r w:rsidRPr="002029AF">
              <w:t>998.8</w:t>
            </w:r>
          </w:p>
        </w:tc>
      </w:tr>
      <w:tr w:rsidR="00087B91" w:rsidRPr="002029AF" w14:paraId="77C5B774" w14:textId="77777777" w:rsidTr="00860E95">
        <w:tc>
          <w:tcPr>
            <w:tcW w:w="7371" w:type="dxa"/>
            <w:tcBorders>
              <w:top w:val="single" w:sz="4" w:space="0" w:color="A6A6A6"/>
              <w:bottom w:val="single" w:sz="4" w:space="0" w:color="A6A6A6"/>
            </w:tcBorders>
            <w:hideMark/>
          </w:tcPr>
          <w:p w14:paraId="2378753B" w14:textId="3C52A7C7" w:rsidR="00087B91" w:rsidRPr="002029AF" w:rsidRDefault="00087B91" w:rsidP="00860E95">
            <w:pPr>
              <w:pStyle w:val="ARfintablebody"/>
            </w:pPr>
            <w:r w:rsidRPr="002029AF">
              <w:t>Rental</w:t>
            </w:r>
            <w:r w:rsidR="000A5329" w:rsidRPr="002029AF">
              <w:t xml:space="preserve"> </w:t>
            </w:r>
            <w:r w:rsidRPr="002029AF">
              <w:t>rebates</w:t>
            </w:r>
          </w:p>
        </w:tc>
        <w:tc>
          <w:tcPr>
            <w:tcW w:w="1134" w:type="dxa"/>
            <w:tcBorders>
              <w:top w:val="single" w:sz="4" w:space="0" w:color="A6A6A6"/>
              <w:bottom w:val="single" w:sz="4" w:space="0" w:color="A6A6A6"/>
            </w:tcBorders>
            <w:shd w:val="clear" w:color="auto" w:fill="E7E6E6"/>
            <w:noWrap/>
            <w:hideMark/>
          </w:tcPr>
          <w:p w14:paraId="5F360AC9" w14:textId="77777777" w:rsidR="00087B91" w:rsidRPr="002029AF" w:rsidRDefault="00087B91" w:rsidP="00860E95">
            <w:pPr>
              <w:pStyle w:val="ARfintablebodyright"/>
            </w:pPr>
            <w:r w:rsidRPr="002029AF">
              <w:t>(521.0)</w:t>
            </w:r>
          </w:p>
        </w:tc>
        <w:tc>
          <w:tcPr>
            <w:tcW w:w="1134" w:type="dxa"/>
            <w:tcBorders>
              <w:top w:val="single" w:sz="4" w:space="0" w:color="A6A6A6"/>
              <w:bottom w:val="single" w:sz="4" w:space="0" w:color="A6A6A6"/>
            </w:tcBorders>
            <w:noWrap/>
            <w:hideMark/>
          </w:tcPr>
          <w:p w14:paraId="37489D42" w14:textId="77777777" w:rsidR="00087B91" w:rsidRPr="002029AF" w:rsidRDefault="00087B91" w:rsidP="00860E95">
            <w:pPr>
              <w:pStyle w:val="ARfintablebodyright"/>
            </w:pPr>
            <w:r w:rsidRPr="002029AF">
              <w:t>(502.7)</w:t>
            </w:r>
          </w:p>
        </w:tc>
      </w:tr>
      <w:tr w:rsidR="00087B91" w:rsidRPr="002029AF" w14:paraId="75E68971" w14:textId="77777777" w:rsidTr="00860E95">
        <w:tc>
          <w:tcPr>
            <w:tcW w:w="7371" w:type="dxa"/>
            <w:tcBorders>
              <w:top w:val="single" w:sz="4" w:space="0" w:color="A6A6A6"/>
              <w:bottom w:val="single" w:sz="4" w:space="0" w:color="A6A6A6"/>
            </w:tcBorders>
            <w:hideMark/>
          </w:tcPr>
          <w:p w14:paraId="771BCC1B" w14:textId="69B27276" w:rsidR="00087B91" w:rsidRPr="002029AF" w:rsidRDefault="00087B91" w:rsidP="00860E95">
            <w:pPr>
              <w:pStyle w:val="ARfintablebody"/>
            </w:pPr>
            <w:r w:rsidRPr="002029AF">
              <w:t>Rental</w:t>
            </w:r>
            <w:r w:rsidR="000A5329" w:rsidRPr="002029AF">
              <w:t xml:space="preserve"> </w:t>
            </w:r>
            <w:r w:rsidRPr="002029AF">
              <w:t>subsidies</w:t>
            </w:r>
            <w:r w:rsidR="000A5329" w:rsidRPr="002029AF">
              <w:t xml:space="preserve"> </w:t>
            </w:r>
            <w:r w:rsidRPr="002029AF">
              <w:t>–</w:t>
            </w:r>
            <w:r w:rsidR="000A5329" w:rsidRPr="002029AF">
              <w:t xml:space="preserve"> </w:t>
            </w:r>
            <w:r w:rsidRPr="002029AF">
              <w:t>welfare</w:t>
            </w:r>
            <w:r w:rsidR="000A5329" w:rsidRPr="002029AF">
              <w:t xml:space="preserve"> </w:t>
            </w:r>
            <w:r w:rsidRPr="002029AF">
              <w:t>organisations</w:t>
            </w:r>
          </w:p>
        </w:tc>
        <w:tc>
          <w:tcPr>
            <w:tcW w:w="1134" w:type="dxa"/>
            <w:tcBorders>
              <w:top w:val="single" w:sz="4" w:space="0" w:color="A6A6A6"/>
              <w:bottom w:val="single" w:sz="4" w:space="0" w:color="A6A6A6"/>
            </w:tcBorders>
            <w:shd w:val="clear" w:color="auto" w:fill="E7E6E6"/>
            <w:noWrap/>
            <w:hideMark/>
          </w:tcPr>
          <w:p w14:paraId="00722877" w14:textId="77777777" w:rsidR="00087B91" w:rsidRPr="002029AF" w:rsidRDefault="00087B91" w:rsidP="00860E95">
            <w:pPr>
              <w:pStyle w:val="ARfintablebodyright"/>
            </w:pPr>
            <w:r w:rsidRPr="002029AF">
              <w:t>(10.1)</w:t>
            </w:r>
          </w:p>
        </w:tc>
        <w:tc>
          <w:tcPr>
            <w:tcW w:w="1134" w:type="dxa"/>
            <w:tcBorders>
              <w:top w:val="single" w:sz="4" w:space="0" w:color="A6A6A6"/>
              <w:bottom w:val="single" w:sz="4" w:space="0" w:color="A6A6A6"/>
            </w:tcBorders>
            <w:noWrap/>
            <w:hideMark/>
          </w:tcPr>
          <w:p w14:paraId="36870C10" w14:textId="77777777" w:rsidR="00087B91" w:rsidRPr="002029AF" w:rsidRDefault="00087B91" w:rsidP="00860E95">
            <w:pPr>
              <w:pStyle w:val="ARfintablebodyright"/>
            </w:pPr>
            <w:r w:rsidRPr="002029AF">
              <w:t>(11.8)</w:t>
            </w:r>
          </w:p>
        </w:tc>
      </w:tr>
      <w:tr w:rsidR="00087B91" w:rsidRPr="002029AF" w14:paraId="48891365" w14:textId="77777777" w:rsidTr="00860E95">
        <w:tc>
          <w:tcPr>
            <w:tcW w:w="7371" w:type="dxa"/>
            <w:tcBorders>
              <w:top w:val="single" w:sz="4" w:space="0" w:color="A6A6A6"/>
            </w:tcBorders>
            <w:hideMark/>
          </w:tcPr>
          <w:p w14:paraId="2833B23B" w14:textId="67E40859" w:rsidR="00087B91" w:rsidRPr="002029AF" w:rsidRDefault="00087B91" w:rsidP="00860E95">
            <w:pPr>
              <w:pStyle w:val="ARfintablebody"/>
            </w:pPr>
            <w:r w:rsidRPr="002029AF">
              <w:t>Shared</w:t>
            </w:r>
            <w:r w:rsidR="000A5329" w:rsidRPr="002029AF">
              <w:t xml:space="preserve"> </w:t>
            </w:r>
            <w:r w:rsidRPr="002029AF">
              <w:t>Home</w:t>
            </w:r>
            <w:r w:rsidR="000A5329" w:rsidRPr="002029AF">
              <w:t xml:space="preserve"> </w:t>
            </w:r>
            <w:r w:rsidRPr="002029AF">
              <w:t>Ownership</w:t>
            </w:r>
            <w:r w:rsidR="000A5329" w:rsidRPr="002029AF">
              <w:t xml:space="preserve"> </w:t>
            </w:r>
            <w:r w:rsidRPr="002029AF">
              <w:t>Scheme</w:t>
            </w:r>
            <w:r w:rsidR="000A5329" w:rsidRPr="002029AF">
              <w:t xml:space="preserve"> </w:t>
            </w:r>
            <w:r w:rsidRPr="002029AF">
              <w:t>–</w:t>
            </w:r>
            <w:r w:rsidR="000A5329" w:rsidRPr="002029AF">
              <w:t xml:space="preserve"> </w:t>
            </w:r>
            <w:r w:rsidRPr="002029AF">
              <w:t>rent</w:t>
            </w:r>
            <w:r w:rsidR="000A5329" w:rsidRPr="002029AF">
              <w:t xml:space="preserve"> </w:t>
            </w:r>
            <w:r w:rsidRPr="002029AF">
              <w:t>raised</w:t>
            </w:r>
          </w:p>
        </w:tc>
        <w:tc>
          <w:tcPr>
            <w:tcW w:w="1134" w:type="dxa"/>
            <w:tcBorders>
              <w:top w:val="single" w:sz="4" w:space="0" w:color="A6A6A6"/>
            </w:tcBorders>
            <w:shd w:val="clear" w:color="auto" w:fill="E7E6E6"/>
            <w:noWrap/>
            <w:hideMark/>
          </w:tcPr>
          <w:p w14:paraId="624956C6" w14:textId="77777777" w:rsidR="00087B91" w:rsidRPr="002029AF" w:rsidRDefault="00087B91" w:rsidP="00860E95">
            <w:pPr>
              <w:pStyle w:val="ARfintablebodyright"/>
            </w:pPr>
            <w:r w:rsidRPr="002029AF">
              <w:t>2.0</w:t>
            </w:r>
          </w:p>
        </w:tc>
        <w:tc>
          <w:tcPr>
            <w:tcW w:w="1134" w:type="dxa"/>
            <w:tcBorders>
              <w:top w:val="single" w:sz="4" w:space="0" w:color="A6A6A6"/>
            </w:tcBorders>
            <w:noWrap/>
            <w:hideMark/>
          </w:tcPr>
          <w:p w14:paraId="3292E5DD" w14:textId="77777777" w:rsidR="00087B91" w:rsidRPr="002029AF" w:rsidRDefault="00087B91" w:rsidP="00860E95">
            <w:pPr>
              <w:pStyle w:val="ARfintablebodyright"/>
            </w:pPr>
            <w:r w:rsidRPr="002029AF">
              <w:t>2.0</w:t>
            </w:r>
          </w:p>
        </w:tc>
      </w:tr>
      <w:tr w:rsidR="00087B91" w:rsidRPr="002029AF" w14:paraId="39A6C8F7" w14:textId="77777777" w:rsidTr="00860E95">
        <w:tc>
          <w:tcPr>
            <w:tcW w:w="7371" w:type="dxa"/>
            <w:tcBorders>
              <w:bottom w:val="single" w:sz="4" w:space="0" w:color="auto"/>
            </w:tcBorders>
            <w:hideMark/>
          </w:tcPr>
          <w:p w14:paraId="4DB9E7CD" w14:textId="58946A36" w:rsidR="00087B91" w:rsidRPr="002029AF" w:rsidRDefault="00087B91" w:rsidP="00860E95">
            <w:pPr>
              <w:pStyle w:val="ARfintablebodybold"/>
            </w:pPr>
            <w:r w:rsidRPr="002029AF">
              <w:t>Total</w:t>
            </w:r>
            <w:r w:rsidR="000A5329" w:rsidRPr="002029AF">
              <w:t xml:space="preserve"> </w:t>
            </w:r>
            <w:r w:rsidRPr="002029AF">
              <w:t>net</w:t>
            </w:r>
            <w:r w:rsidR="000A5329" w:rsidRPr="002029AF">
              <w:t xml:space="preserve"> </w:t>
            </w:r>
            <w:r w:rsidRPr="002029AF">
              <w:t>rent</w:t>
            </w:r>
            <w:r w:rsidR="000A5329" w:rsidRPr="002029AF">
              <w:t xml:space="preserve"> </w:t>
            </w:r>
            <w:r w:rsidRPr="002029AF">
              <w:t>receivable</w:t>
            </w:r>
          </w:p>
        </w:tc>
        <w:tc>
          <w:tcPr>
            <w:tcW w:w="1134" w:type="dxa"/>
            <w:tcBorders>
              <w:bottom w:val="single" w:sz="4" w:space="0" w:color="auto"/>
            </w:tcBorders>
            <w:shd w:val="clear" w:color="auto" w:fill="E7E6E6"/>
            <w:noWrap/>
            <w:hideMark/>
          </w:tcPr>
          <w:p w14:paraId="6FFE82B4" w14:textId="77777777" w:rsidR="00087B91" w:rsidRPr="002029AF" w:rsidRDefault="00087B91" w:rsidP="00860E95">
            <w:pPr>
              <w:pStyle w:val="ARfintablebodyrightbold"/>
            </w:pPr>
            <w:r w:rsidRPr="002029AF">
              <w:t>496.2</w:t>
            </w:r>
          </w:p>
        </w:tc>
        <w:tc>
          <w:tcPr>
            <w:tcW w:w="1134" w:type="dxa"/>
            <w:tcBorders>
              <w:bottom w:val="single" w:sz="4" w:space="0" w:color="auto"/>
            </w:tcBorders>
            <w:noWrap/>
            <w:hideMark/>
          </w:tcPr>
          <w:p w14:paraId="11E92E6D" w14:textId="77777777" w:rsidR="00087B91" w:rsidRPr="002029AF" w:rsidRDefault="00087B91" w:rsidP="00860E95">
            <w:pPr>
              <w:pStyle w:val="ARfintablebodyrightbold"/>
            </w:pPr>
            <w:r w:rsidRPr="002029AF">
              <w:t>486.3</w:t>
            </w:r>
          </w:p>
        </w:tc>
      </w:tr>
      <w:tr w:rsidR="00087B91" w:rsidRPr="002029AF" w14:paraId="6725FEEA" w14:textId="77777777" w:rsidTr="00860E95">
        <w:tc>
          <w:tcPr>
            <w:tcW w:w="7371" w:type="dxa"/>
            <w:tcBorders>
              <w:top w:val="single" w:sz="4" w:space="0" w:color="auto"/>
              <w:bottom w:val="single" w:sz="4" w:space="0" w:color="A6A6A6"/>
            </w:tcBorders>
            <w:hideMark/>
          </w:tcPr>
          <w:p w14:paraId="4E787C81" w14:textId="448D0F69" w:rsidR="00087B91" w:rsidRPr="002029AF" w:rsidRDefault="00087B91" w:rsidP="00860E95">
            <w:pPr>
              <w:pStyle w:val="ARfintablebody"/>
            </w:pPr>
            <w:r w:rsidRPr="002029AF">
              <w:t>Total</w:t>
            </w:r>
            <w:r w:rsidR="000A5329" w:rsidRPr="002029AF">
              <w:t xml:space="preserve"> </w:t>
            </w:r>
            <w:r w:rsidRPr="002029AF">
              <w:t>user</w:t>
            </w:r>
            <w:r w:rsidR="000A5329" w:rsidRPr="002029AF">
              <w:t xml:space="preserve"> </w:t>
            </w:r>
            <w:r w:rsidRPr="002029AF">
              <w:t>charges</w:t>
            </w:r>
            <w:r w:rsidR="000A5329" w:rsidRPr="002029AF">
              <w:t xml:space="preserve"> </w:t>
            </w:r>
            <w:r w:rsidRPr="002029AF">
              <w:t>–</w:t>
            </w:r>
            <w:r w:rsidR="000A5329" w:rsidRPr="002029AF">
              <w:t xml:space="preserve"> </w:t>
            </w:r>
            <w:r w:rsidRPr="002029AF">
              <w:t>rental</w:t>
            </w:r>
            <w:r w:rsidR="000A5329" w:rsidRPr="002029AF">
              <w:t xml:space="preserve"> </w:t>
            </w:r>
            <w:r w:rsidRPr="002029AF">
              <w:t>properties</w:t>
            </w:r>
          </w:p>
        </w:tc>
        <w:tc>
          <w:tcPr>
            <w:tcW w:w="1134" w:type="dxa"/>
            <w:tcBorders>
              <w:top w:val="single" w:sz="4" w:space="0" w:color="auto"/>
              <w:bottom w:val="single" w:sz="4" w:space="0" w:color="A6A6A6"/>
            </w:tcBorders>
            <w:shd w:val="clear" w:color="auto" w:fill="E7E6E6"/>
            <w:noWrap/>
            <w:hideMark/>
          </w:tcPr>
          <w:p w14:paraId="7F4D335B" w14:textId="77777777" w:rsidR="00087B91" w:rsidRPr="002029AF" w:rsidRDefault="00087B91" w:rsidP="00860E95">
            <w:pPr>
              <w:pStyle w:val="ARfintablebodyright"/>
            </w:pPr>
            <w:r w:rsidRPr="002029AF">
              <w:t>4.8</w:t>
            </w:r>
          </w:p>
        </w:tc>
        <w:tc>
          <w:tcPr>
            <w:tcW w:w="1134" w:type="dxa"/>
            <w:tcBorders>
              <w:top w:val="single" w:sz="4" w:space="0" w:color="auto"/>
              <w:bottom w:val="single" w:sz="4" w:space="0" w:color="A6A6A6"/>
            </w:tcBorders>
            <w:noWrap/>
            <w:hideMark/>
          </w:tcPr>
          <w:p w14:paraId="4FB829BC" w14:textId="77777777" w:rsidR="00087B91" w:rsidRPr="002029AF" w:rsidRDefault="00087B91" w:rsidP="00860E95">
            <w:pPr>
              <w:pStyle w:val="ARfintablebodyright"/>
            </w:pPr>
            <w:r w:rsidRPr="002029AF">
              <w:t>4.8</w:t>
            </w:r>
          </w:p>
        </w:tc>
      </w:tr>
      <w:tr w:rsidR="00087B91" w:rsidRPr="002029AF" w14:paraId="2BA274B0" w14:textId="77777777" w:rsidTr="00860E95">
        <w:tc>
          <w:tcPr>
            <w:tcW w:w="7371" w:type="dxa"/>
            <w:tcBorders>
              <w:top w:val="single" w:sz="4" w:space="0" w:color="A6A6A6"/>
            </w:tcBorders>
            <w:hideMark/>
          </w:tcPr>
          <w:p w14:paraId="37B14D3F" w14:textId="05822466" w:rsidR="00087B91" w:rsidRPr="002029AF" w:rsidRDefault="00087B91" w:rsidP="00860E95">
            <w:pPr>
              <w:pStyle w:val="ARfintablebody"/>
            </w:pPr>
            <w:r w:rsidRPr="002029AF">
              <w:t>Rendering</w:t>
            </w:r>
            <w:r w:rsidR="000A5329" w:rsidRPr="002029AF">
              <w:t xml:space="preserve"> </w:t>
            </w:r>
            <w:r w:rsidRPr="002029AF">
              <w:t>of</w:t>
            </w:r>
            <w:r w:rsidR="000A5329" w:rsidRPr="002029AF">
              <w:t xml:space="preserve"> </w:t>
            </w:r>
            <w:r w:rsidRPr="002029AF">
              <w:t>services</w:t>
            </w:r>
          </w:p>
        </w:tc>
        <w:tc>
          <w:tcPr>
            <w:tcW w:w="1134" w:type="dxa"/>
            <w:tcBorders>
              <w:top w:val="single" w:sz="4" w:space="0" w:color="A6A6A6"/>
            </w:tcBorders>
            <w:shd w:val="clear" w:color="auto" w:fill="E7E6E6"/>
            <w:noWrap/>
            <w:hideMark/>
          </w:tcPr>
          <w:p w14:paraId="27ED357E" w14:textId="77777777" w:rsidR="00087B91" w:rsidRPr="002029AF" w:rsidRDefault="00087B91" w:rsidP="00860E95">
            <w:pPr>
              <w:pStyle w:val="ARfintablebodyright"/>
            </w:pPr>
            <w:r w:rsidRPr="002029AF">
              <w:t>0.1</w:t>
            </w:r>
          </w:p>
        </w:tc>
        <w:tc>
          <w:tcPr>
            <w:tcW w:w="1134" w:type="dxa"/>
            <w:tcBorders>
              <w:top w:val="single" w:sz="4" w:space="0" w:color="A6A6A6"/>
            </w:tcBorders>
            <w:noWrap/>
            <w:hideMark/>
          </w:tcPr>
          <w:p w14:paraId="5229E0D0" w14:textId="77777777" w:rsidR="00087B91" w:rsidRPr="002029AF" w:rsidRDefault="00087B91" w:rsidP="00860E95">
            <w:pPr>
              <w:pStyle w:val="ARfintablebodyright"/>
            </w:pPr>
            <w:r w:rsidRPr="002029AF">
              <w:t>–</w:t>
            </w:r>
          </w:p>
        </w:tc>
      </w:tr>
      <w:tr w:rsidR="00087B91" w:rsidRPr="002029AF" w14:paraId="67412810" w14:textId="77777777" w:rsidTr="00860E95">
        <w:tc>
          <w:tcPr>
            <w:tcW w:w="7371" w:type="dxa"/>
            <w:hideMark/>
          </w:tcPr>
          <w:p w14:paraId="126357B6" w14:textId="3F2A4A65" w:rsidR="00087B91" w:rsidRPr="002029AF" w:rsidRDefault="00087B91" w:rsidP="00860E95">
            <w:pPr>
              <w:pStyle w:val="ARfintablebodybold"/>
            </w:pPr>
            <w:r w:rsidRPr="002029AF">
              <w:t>Total</w:t>
            </w:r>
            <w:r w:rsidR="000A5329" w:rsidRPr="002029AF">
              <w:t xml:space="preserve"> </w:t>
            </w:r>
            <w:r w:rsidRPr="002029AF">
              <w:t>rental</w:t>
            </w:r>
            <w:r w:rsidR="000A5329" w:rsidRPr="002029AF">
              <w:t xml:space="preserve"> </w:t>
            </w:r>
            <w:r w:rsidRPr="002029AF">
              <w:t>income</w:t>
            </w:r>
            <w:r w:rsidR="000A5329" w:rsidRPr="002029AF">
              <w:t xml:space="preserve"> </w:t>
            </w:r>
            <w:r w:rsidRPr="002029AF">
              <w:t>and</w:t>
            </w:r>
            <w:r w:rsidR="000A5329" w:rsidRPr="002029AF">
              <w:t xml:space="preserve"> </w:t>
            </w:r>
            <w:r w:rsidRPr="002029AF">
              <w:t>income</w:t>
            </w:r>
            <w:r w:rsidR="000A5329" w:rsidRPr="002029AF">
              <w:t xml:space="preserve"> </w:t>
            </w:r>
            <w:r w:rsidRPr="002029AF">
              <w:t>from</w:t>
            </w:r>
            <w:r w:rsidR="000A5329" w:rsidRPr="002029AF">
              <w:t xml:space="preserve"> </w:t>
            </w:r>
            <w:r w:rsidRPr="002029AF">
              <w:t>services</w:t>
            </w:r>
          </w:p>
        </w:tc>
        <w:tc>
          <w:tcPr>
            <w:tcW w:w="1134" w:type="dxa"/>
            <w:shd w:val="clear" w:color="auto" w:fill="E7E6E6"/>
            <w:noWrap/>
            <w:hideMark/>
          </w:tcPr>
          <w:p w14:paraId="08289772" w14:textId="77777777" w:rsidR="00087B91" w:rsidRPr="002029AF" w:rsidRDefault="00087B91" w:rsidP="00860E95">
            <w:pPr>
              <w:pStyle w:val="ARfintablebodyrightbold"/>
            </w:pPr>
            <w:r w:rsidRPr="002029AF">
              <w:t>501.1</w:t>
            </w:r>
          </w:p>
        </w:tc>
        <w:tc>
          <w:tcPr>
            <w:tcW w:w="1134" w:type="dxa"/>
            <w:noWrap/>
            <w:hideMark/>
          </w:tcPr>
          <w:p w14:paraId="184697FB" w14:textId="77777777" w:rsidR="00087B91" w:rsidRPr="002029AF" w:rsidRDefault="00087B91" w:rsidP="00860E95">
            <w:pPr>
              <w:pStyle w:val="ARfintablebodyrightbold"/>
            </w:pPr>
            <w:r w:rsidRPr="002029AF">
              <w:t>491.1</w:t>
            </w:r>
          </w:p>
        </w:tc>
      </w:tr>
    </w:tbl>
    <w:p w14:paraId="49AACA46" w14:textId="62B2B4FA" w:rsidR="00087B91" w:rsidRPr="002029AF" w:rsidRDefault="00087B91" w:rsidP="00087B91">
      <w:pPr>
        <w:pStyle w:val="ARfinbodyaftertable"/>
      </w:pPr>
      <w:r w:rsidRPr="002029AF">
        <w:rPr>
          <w:rStyle w:val="Strong"/>
        </w:rPr>
        <w:t>Rental</w:t>
      </w:r>
      <w:r w:rsidR="000A5329" w:rsidRPr="002029AF">
        <w:rPr>
          <w:rStyle w:val="Strong"/>
        </w:rPr>
        <w:t xml:space="preserve"> </w:t>
      </w:r>
      <w:r w:rsidRPr="002029AF">
        <w:rPr>
          <w:rStyle w:val="Strong"/>
        </w:rPr>
        <w:t>income</w:t>
      </w:r>
      <w:r w:rsidR="000A5329" w:rsidRPr="002029AF">
        <w:t xml:space="preserve"> </w:t>
      </w:r>
      <w:r w:rsidRPr="002029AF">
        <w:t>arising</w:t>
      </w:r>
      <w:r w:rsidR="000A5329" w:rsidRPr="002029AF">
        <w:t xml:space="preserve"> </w:t>
      </w:r>
      <w:r w:rsidRPr="002029AF">
        <w:t>from</w:t>
      </w:r>
      <w:r w:rsidR="000A5329" w:rsidRPr="002029AF">
        <w:t xml:space="preserve"> </w:t>
      </w:r>
      <w:r w:rsidRPr="002029AF">
        <w:t>tenancy</w:t>
      </w:r>
      <w:r w:rsidR="000A5329" w:rsidRPr="002029AF">
        <w:t xml:space="preserve"> </w:t>
      </w:r>
      <w:r w:rsidRPr="002029AF">
        <w:t>operating</w:t>
      </w:r>
      <w:r w:rsidR="000A5329" w:rsidRPr="002029AF">
        <w:t xml:space="preserve"> </w:t>
      </w:r>
      <w:r w:rsidRPr="002029AF">
        <w:t>agreements</w:t>
      </w:r>
      <w:r w:rsidR="000A5329" w:rsidRPr="002029AF">
        <w:t xml:space="preserve"> </w:t>
      </w:r>
      <w:r w:rsidRPr="002029AF">
        <w:t>is</w:t>
      </w:r>
      <w:r w:rsidR="000A5329" w:rsidRPr="002029AF">
        <w:t xml:space="preserve"> </w:t>
      </w:r>
      <w:r w:rsidRPr="002029AF">
        <w:t>recognised</w:t>
      </w:r>
      <w:r w:rsidR="000A5329" w:rsidRPr="002029AF">
        <w:t xml:space="preserve"> </w:t>
      </w:r>
      <w:r w:rsidRPr="002029AF">
        <w:t>on</w:t>
      </w:r>
      <w:r w:rsidR="000A5329" w:rsidRPr="002029AF">
        <w:t xml:space="preserve"> </w:t>
      </w:r>
      <w:r w:rsidRPr="002029AF">
        <w:t>a</w:t>
      </w:r>
      <w:r w:rsidR="000A5329" w:rsidRPr="002029AF">
        <w:t xml:space="preserve"> </w:t>
      </w:r>
      <w:r w:rsidRPr="002029AF">
        <w:t>straight-line</w:t>
      </w:r>
      <w:r w:rsidR="000A5329" w:rsidRPr="002029AF">
        <w:t xml:space="preserve"> </w:t>
      </w:r>
      <w:r w:rsidRPr="002029AF">
        <w:t>basis</w:t>
      </w:r>
      <w:r w:rsidR="000A5329" w:rsidRPr="002029AF">
        <w:t xml:space="preserve"> </w:t>
      </w:r>
      <w:r w:rsidRPr="002029AF">
        <w:t>over</w:t>
      </w:r>
      <w:r w:rsidR="000A5329" w:rsidRPr="002029AF">
        <w:t xml:space="preserve"> </w:t>
      </w:r>
      <w:r w:rsidRPr="002029AF">
        <w:t>the</w:t>
      </w:r>
      <w:r w:rsidR="000A5329" w:rsidRPr="002029AF">
        <w:t xml:space="preserve"> </w:t>
      </w:r>
      <w:r w:rsidRPr="002029AF">
        <w:t>terms</w:t>
      </w:r>
      <w:r w:rsidR="000A5329" w:rsidRPr="002029AF">
        <w:t xml:space="preserve"> </w:t>
      </w:r>
      <w:r w:rsidRPr="002029AF">
        <w:t>of</w:t>
      </w:r>
      <w:r w:rsidR="000A5329" w:rsidRPr="002029AF">
        <w:t xml:space="preserve"> </w:t>
      </w:r>
      <w:r w:rsidRPr="002029AF">
        <w:t>the</w:t>
      </w:r>
      <w:r w:rsidR="000A5329" w:rsidRPr="002029AF">
        <w:t xml:space="preserve"> </w:t>
      </w:r>
      <w:r w:rsidRPr="002029AF">
        <w:t>ongoing</w:t>
      </w:r>
      <w:r w:rsidR="000A5329" w:rsidRPr="002029AF">
        <w:t xml:space="preserve"> </w:t>
      </w:r>
      <w:r w:rsidRPr="002029AF">
        <w:t>agreements.</w:t>
      </w:r>
      <w:r w:rsidR="000A5329" w:rsidRPr="002029AF">
        <w:t xml:space="preserve"> </w:t>
      </w:r>
      <w:r w:rsidRPr="002029AF">
        <w:t>This</w:t>
      </w:r>
      <w:r w:rsidR="000A5329" w:rsidRPr="002029AF">
        <w:t xml:space="preserve"> </w:t>
      </w:r>
      <w:r w:rsidRPr="002029AF">
        <w:t>is</w:t>
      </w:r>
      <w:r w:rsidR="000A5329" w:rsidRPr="002029AF">
        <w:t xml:space="preserve"> </w:t>
      </w:r>
      <w:r w:rsidRPr="002029AF">
        <w:t>subject</w:t>
      </w:r>
      <w:r w:rsidR="000A5329" w:rsidRPr="002029AF">
        <w:t xml:space="preserve"> </w:t>
      </w:r>
      <w:r w:rsidRPr="002029AF">
        <w:t>to</w:t>
      </w:r>
      <w:r w:rsidR="000A5329" w:rsidRPr="002029AF">
        <w:t xml:space="preserve"> </w:t>
      </w:r>
      <w:r w:rsidRPr="002029AF">
        <w:t>annual</w:t>
      </w:r>
      <w:r w:rsidR="000A5329" w:rsidRPr="002029AF">
        <w:t xml:space="preserve"> </w:t>
      </w:r>
      <w:r w:rsidRPr="002029AF">
        <w:t>review.</w:t>
      </w:r>
      <w:r w:rsidR="000A5329" w:rsidRPr="002029AF">
        <w:t xml:space="preserve"> </w:t>
      </w:r>
      <w:r w:rsidRPr="002029AF">
        <w:t>Rental</w:t>
      </w:r>
      <w:r w:rsidR="000A5329" w:rsidRPr="002029AF">
        <w:t xml:space="preserve"> </w:t>
      </w:r>
      <w:r w:rsidRPr="002029AF">
        <w:t>rebates</w:t>
      </w:r>
      <w:r w:rsidR="000A5329" w:rsidRPr="002029AF">
        <w:t xml:space="preserve"> </w:t>
      </w:r>
      <w:r w:rsidRPr="002029AF">
        <w:t>or</w:t>
      </w:r>
      <w:r w:rsidR="000A5329" w:rsidRPr="002029AF">
        <w:t xml:space="preserve"> </w:t>
      </w:r>
      <w:r w:rsidRPr="002029AF">
        <w:t>subsidies</w:t>
      </w:r>
      <w:r w:rsidR="000A5329" w:rsidRPr="002029AF">
        <w:t xml:space="preserve"> </w:t>
      </w:r>
      <w:r w:rsidRPr="002029AF">
        <w:t>provided</w:t>
      </w:r>
      <w:r w:rsidR="000A5329" w:rsidRPr="002029AF">
        <w:t xml:space="preserve"> </w:t>
      </w:r>
      <w:r w:rsidRPr="002029AF">
        <w:t>to</w:t>
      </w:r>
      <w:r w:rsidR="000A5329" w:rsidRPr="002029AF">
        <w:t xml:space="preserve"> </w:t>
      </w:r>
      <w:r w:rsidRPr="002029AF">
        <w:t>tenants</w:t>
      </w:r>
      <w:r w:rsidR="000A5329" w:rsidRPr="002029AF">
        <w:t xml:space="preserve"> </w:t>
      </w:r>
      <w:r w:rsidRPr="002029AF">
        <w:t>are</w:t>
      </w:r>
      <w:r w:rsidR="000A5329" w:rsidRPr="002029AF">
        <w:t xml:space="preserve"> </w:t>
      </w:r>
      <w:r w:rsidRPr="002029AF">
        <w:t>recognised</w:t>
      </w:r>
      <w:r w:rsidR="000A5329" w:rsidRPr="002029AF">
        <w:t xml:space="preserve"> </w:t>
      </w:r>
      <w:r w:rsidRPr="002029AF">
        <w:t>on</w:t>
      </w:r>
      <w:r w:rsidR="000A5329" w:rsidRPr="002029AF">
        <w:t xml:space="preserve"> </w:t>
      </w:r>
      <w:r w:rsidRPr="002029AF">
        <w:t>a</w:t>
      </w:r>
      <w:r w:rsidR="000A5329" w:rsidRPr="002029AF">
        <w:t xml:space="preserve"> </w:t>
      </w:r>
      <w:r w:rsidRPr="002029AF">
        <w:t>straight-line</w:t>
      </w:r>
      <w:r w:rsidR="000A5329" w:rsidRPr="002029AF">
        <w:t xml:space="preserve"> </w:t>
      </w:r>
      <w:r w:rsidRPr="002029AF">
        <w:t>basis</w:t>
      </w:r>
      <w:r w:rsidR="000A5329" w:rsidRPr="002029AF">
        <w:t xml:space="preserve"> </w:t>
      </w:r>
      <w:r w:rsidRPr="002029AF">
        <w:t>over</w:t>
      </w:r>
      <w:r w:rsidR="000A5329" w:rsidRPr="002029AF">
        <w:t xml:space="preserve"> </w:t>
      </w:r>
      <w:r w:rsidRPr="002029AF">
        <w:t>the</w:t>
      </w:r>
      <w:r w:rsidR="000A5329" w:rsidRPr="002029AF">
        <w:t xml:space="preserve"> </w:t>
      </w:r>
      <w:r w:rsidRPr="002029AF">
        <w:t>term</w:t>
      </w:r>
      <w:r w:rsidR="000A5329" w:rsidRPr="002029AF">
        <w:t xml:space="preserve"> </w:t>
      </w:r>
      <w:r w:rsidRPr="002029AF">
        <w:t>of</w:t>
      </w:r>
      <w:r w:rsidR="000A5329" w:rsidRPr="002029AF">
        <w:t xml:space="preserve"> </w:t>
      </w:r>
      <w:r w:rsidRPr="002029AF">
        <w:t>the</w:t>
      </w:r>
      <w:r w:rsidR="000A5329" w:rsidRPr="002029AF">
        <w:t xml:space="preserve"> </w:t>
      </w:r>
      <w:r w:rsidRPr="002029AF">
        <w:t>agreements.</w:t>
      </w:r>
      <w:r w:rsidR="000A5329" w:rsidRPr="002029AF">
        <w:t xml:space="preserve"> </w:t>
      </w:r>
      <w:r w:rsidRPr="002029AF">
        <w:t>These</w:t>
      </w:r>
      <w:r w:rsidR="000A5329" w:rsidRPr="002029AF">
        <w:t xml:space="preserve"> </w:t>
      </w:r>
      <w:r w:rsidRPr="002029AF">
        <w:t>are</w:t>
      </w:r>
      <w:r w:rsidR="000A5329" w:rsidRPr="002029AF">
        <w:t xml:space="preserve"> </w:t>
      </w:r>
      <w:r w:rsidRPr="002029AF">
        <w:t>subject</w:t>
      </w:r>
      <w:r w:rsidR="000A5329" w:rsidRPr="002029AF">
        <w:t xml:space="preserve"> </w:t>
      </w:r>
      <w:r w:rsidRPr="002029AF">
        <w:t>to</w:t>
      </w:r>
      <w:r w:rsidR="000A5329" w:rsidRPr="002029AF">
        <w:t xml:space="preserve"> </w:t>
      </w:r>
      <w:r w:rsidRPr="002029AF">
        <w:t>bi-annual</w:t>
      </w:r>
      <w:r w:rsidR="000A5329" w:rsidRPr="002029AF">
        <w:t xml:space="preserve"> </w:t>
      </w:r>
      <w:r w:rsidRPr="002029AF">
        <w:t>review.</w:t>
      </w:r>
    </w:p>
    <w:p w14:paraId="381EBED0" w14:textId="426B8666" w:rsidR="00087B91" w:rsidRPr="002029AF" w:rsidRDefault="00087B91" w:rsidP="00087B91">
      <w:pPr>
        <w:pStyle w:val="Heading6"/>
        <w:rPr>
          <w:lang w:val="en-AU"/>
        </w:rPr>
      </w:pPr>
      <w:r w:rsidRPr="002029AF">
        <w:rPr>
          <w:lang w:val="en-AU"/>
        </w:rPr>
        <w:t>Operating</w:t>
      </w:r>
      <w:r w:rsidR="000A5329" w:rsidRPr="002029AF">
        <w:rPr>
          <w:lang w:val="en-AU"/>
        </w:rPr>
        <w:t xml:space="preserve"> </w:t>
      </w:r>
      <w:r w:rsidRPr="002029AF">
        <w:rPr>
          <w:lang w:val="en-AU"/>
        </w:rPr>
        <w:t>leases</w:t>
      </w:r>
      <w:r w:rsidR="000A5329" w:rsidRPr="002029AF">
        <w:rPr>
          <w:lang w:val="en-AU"/>
        </w:rPr>
        <w:t xml:space="preserve"> </w:t>
      </w:r>
      <w:r w:rsidRPr="002029AF">
        <w:rPr>
          <w:lang w:val="en-AU"/>
        </w:rPr>
        <w:t>–</w:t>
      </w:r>
      <w:r w:rsidR="000A5329" w:rsidRPr="002029AF">
        <w:rPr>
          <w:lang w:val="en-AU"/>
        </w:rPr>
        <w:t xml:space="preserve"> </w:t>
      </w:r>
      <w:r w:rsidRPr="002029AF">
        <w:rPr>
          <w:lang w:val="en-AU"/>
        </w:rPr>
        <w:t>lessors</w:t>
      </w:r>
    </w:p>
    <w:p w14:paraId="0E8B142C" w14:textId="4EAA494D" w:rsidR="00087B91" w:rsidRPr="002029AF" w:rsidRDefault="00087B91" w:rsidP="00087B91">
      <w:pPr>
        <w:pStyle w:val="ARfinbody"/>
      </w:pPr>
      <w:r w:rsidRPr="002029AF">
        <w:t>The</w:t>
      </w:r>
      <w:r w:rsidR="000A5329" w:rsidRPr="002029AF">
        <w:t xml:space="preserve"> </w:t>
      </w:r>
      <w:r w:rsidRPr="002029AF">
        <w:t>department</w:t>
      </w:r>
      <w:r w:rsidR="000A5329" w:rsidRPr="002029AF">
        <w:t xml:space="preserve"> </w:t>
      </w:r>
      <w:r w:rsidRPr="002029AF">
        <w:t>provides</w:t>
      </w:r>
      <w:r w:rsidR="000A5329" w:rsidRPr="002029AF">
        <w:t xml:space="preserve"> </w:t>
      </w:r>
      <w:r w:rsidRPr="002029AF">
        <w:t>rental</w:t>
      </w:r>
      <w:r w:rsidR="000A5329" w:rsidRPr="002029AF">
        <w:t xml:space="preserve"> </w:t>
      </w:r>
      <w:r w:rsidRPr="002029AF">
        <w:t>accommodation</w:t>
      </w:r>
      <w:r w:rsidR="000A5329" w:rsidRPr="002029AF">
        <w:t xml:space="preserve"> </w:t>
      </w:r>
      <w:r w:rsidRPr="002029AF">
        <w:t>for</w:t>
      </w:r>
      <w:r w:rsidR="000A5329" w:rsidRPr="002029AF">
        <w:t xml:space="preserve"> </w:t>
      </w:r>
      <w:r w:rsidRPr="002029AF">
        <w:t>a</w:t>
      </w:r>
      <w:r w:rsidR="000A5329" w:rsidRPr="002029AF">
        <w:t xml:space="preserve"> </w:t>
      </w:r>
      <w:r w:rsidRPr="002029AF">
        <w:t>range</w:t>
      </w:r>
      <w:r w:rsidR="000A5329" w:rsidRPr="002029AF">
        <w:t xml:space="preserve"> </w:t>
      </w:r>
      <w:r w:rsidRPr="002029AF">
        <w:t>of</w:t>
      </w:r>
      <w:r w:rsidR="000A5329" w:rsidRPr="002029AF">
        <w:t xml:space="preserve"> </w:t>
      </w:r>
      <w:r w:rsidRPr="002029AF">
        <w:t>clients.</w:t>
      </w:r>
      <w:r w:rsidR="000A5329" w:rsidRPr="002029AF">
        <w:t xml:space="preserve"> </w:t>
      </w:r>
      <w:r w:rsidRPr="002029AF">
        <w:t>These</w:t>
      </w:r>
      <w:r w:rsidR="000A5329" w:rsidRPr="002029AF">
        <w:t xml:space="preserve"> </w:t>
      </w:r>
      <w:r w:rsidRPr="002029AF">
        <w:t>are</w:t>
      </w:r>
      <w:r w:rsidR="000A5329" w:rsidRPr="002029AF">
        <w:t xml:space="preserve"> </w:t>
      </w:r>
      <w:r w:rsidRPr="002029AF">
        <w:t>public</w:t>
      </w:r>
      <w:r w:rsidR="000A5329" w:rsidRPr="002029AF">
        <w:t xml:space="preserve"> </w:t>
      </w:r>
      <w:r w:rsidRPr="002029AF">
        <w:t>rental</w:t>
      </w:r>
      <w:r w:rsidR="000A5329" w:rsidRPr="002029AF">
        <w:t xml:space="preserve"> </w:t>
      </w:r>
      <w:r w:rsidRPr="002029AF">
        <w:t>units</w:t>
      </w:r>
      <w:r w:rsidR="000A5329" w:rsidRPr="002029AF">
        <w:t xml:space="preserve"> </w:t>
      </w:r>
      <w:r w:rsidRPr="002029AF">
        <w:t>that</w:t>
      </w:r>
      <w:r w:rsidR="000A5329" w:rsidRPr="002029AF">
        <w:t xml:space="preserve"> </w:t>
      </w:r>
      <w:r w:rsidRPr="002029AF">
        <w:t>are</w:t>
      </w:r>
      <w:r w:rsidR="000A5329" w:rsidRPr="002029AF">
        <w:t xml:space="preserve"> </w:t>
      </w:r>
      <w:r w:rsidRPr="002029AF">
        <w:t>owned</w:t>
      </w:r>
      <w:r w:rsidR="000A5329" w:rsidRPr="002029AF">
        <w:t xml:space="preserve"> </w:t>
      </w:r>
      <w:r w:rsidRPr="002029AF">
        <w:t>and</w:t>
      </w:r>
      <w:r w:rsidR="000A5329" w:rsidRPr="002029AF">
        <w:t xml:space="preserve"> </w:t>
      </w:r>
      <w:r w:rsidRPr="002029AF">
        <w:t>operated</w:t>
      </w:r>
      <w:r w:rsidR="000A5329" w:rsidRPr="002029AF">
        <w:t xml:space="preserve"> </w:t>
      </w:r>
      <w:r w:rsidRPr="002029AF">
        <w:t>by</w:t>
      </w:r>
      <w:r w:rsidR="000A5329" w:rsidRPr="002029AF">
        <w:t xml:space="preserve"> </w:t>
      </w:r>
      <w:r w:rsidRPr="002029AF">
        <w:t>the</w:t>
      </w:r>
      <w:r w:rsidR="00C83719" w:rsidRPr="002029AF">
        <w:t> </w:t>
      </w:r>
      <w:r w:rsidRPr="002029AF">
        <w:t>Director</w:t>
      </w:r>
      <w:r w:rsidR="000A5329" w:rsidRPr="002029AF">
        <w:t xml:space="preserve"> </w:t>
      </w:r>
      <w:r w:rsidRPr="002029AF">
        <w:t>of</w:t>
      </w:r>
      <w:r w:rsidR="000A5329" w:rsidRPr="002029AF">
        <w:t xml:space="preserve"> </w:t>
      </w:r>
      <w:r w:rsidRPr="002029AF">
        <w:t>Housing</w:t>
      </w:r>
      <w:r w:rsidR="000A5329" w:rsidRPr="002029AF">
        <w:t xml:space="preserve"> </w:t>
      </w:r>
      <w:r w:rsidRPr="002029AF">
        <w:t>which</w:t>
      </w:r>
      <w:r w:rsidR="000A5329" w:rsidRPr="002029AF">
        <w:t xml:space="preserve"> </w:t>
      </w:r>
      <w:r w:rsidRPr="002029AF">
        <w:t>have</w:t>
      </w:r>
      <w:r w:rsidR="000A5329" w:rsidRPr="002029AF">
        <w:t xml:space="preserve"> </w:t>
      </w:r>
      <w:r w:rsidRPr="002029AF">
        <w:t>week-to-week</w:t>
      </w:r>
      <w:r w:rsidR="000A5329" w:rsidRPr="002029AF">
        <w:t xml:space="preserve"> </w:t>
      </w:r>
      <w:r w:rsidRPr="002029AF">
        <w:t>tenancy</w:t>
      </w:r>
      <w:r w:rsidR="000A5329" w:rsidRPr="002029AF">
        <w:t xml:space="preserve"> </w:t>
      </w:r>
      <w:r w:rsidRPr="002029AF">
        <w:t>agreements.</w:t>
      </w:r>
      <w:r w:rsidR="000A5329" w:rsidRPr="002029AF">
        <w:t xml:space="preserve"> </w:t>
      </w:r>
      <w:r w:rsidRPr="002029AF">
        <w:t>These</w:t>
      </w:r>
      <w:r w:rsidR="000A5329" w:rsidRPr="002029AF">
        <w:t xml:space="preserve"> </w:t>
      </w:r>
      <w:r w:rsidRPr="002029AF">
        <w:t>agreements</w:t>
      </w:r>
      <w:r w:rsidR="000A5329" w:rsidRPr="002029AF">
        <w:t xml:space="preserve"> </w:t>
      </w:r>
      <w:r w:rsidRPr="002029AF">
        <w:t>are</w:t>
      </w:r>
      <w:r w:rsidR="000A5329" w:rsidRPr="002029AF">
        <w:t xml:space="preserve"> </w:t>
      </w:r>
      <w:r w:rsidRPr="002029AF">
        <w:t>subject</w:t>
      </w:r>
      <w:r w:rsidR="000A5329" w:rsidRPr="002029AF">
        <w:t xml:space="preserve"> </w:t>
      </w:r>
      <w:r w:rsidRPr="002029AF">
        <w:t>to</w:t>
      </w:r>
      <w:r w:rsidR="000A5329" w:rsidRPr="002029AF">
        <w:t xml:space="preserve"> </w:t>
      </w:r>
      <w:r w:rsidRPr="002029AF">
        <w:t>the</w:t>
      </w:r>
      <w:r w:rsidR="000A5329" w:rsidRPr="002029AF">
        <w:t xml:space="preserve"> </w:t>
      </w:r>
      <w:r w:rsidRPr="002029AF">
        <w:t>Residential</w:t>
      </w:r>
      <w:r w:rsidR="000A5329" w:rsidRPr="002029AF">
        <w:t xml:space="preserve"> </w:t>
      </w:r>
      <w:r w:rsidRPr="002029AF">
        <w:t>Tenancy</w:t>
      </w:r>
      <w:r w:rsidR="000A5329" w:rsidRPr="002029AF">
        <w:t xml:space="preserve"> </w:t>
      </w:r>
      <w:r w:rsidRPr="002029AF">
        <w:t>Act</w:t>
      </w:r>
      <w:r w:rsidR="000A5329" w:rsidRPr="002029AF">
        <w:t xml:space="preserve"> </w:t>
      </w:r>
      <w:r w:rsidRPr="002029AF">
        <w:t>provisions</w:t>
      </w:r>
      <w:r w:rsidR="000A5329" w:rsidRPr="002029AF">
        <w:t xml:space="preserve"> </w:t>
      </w:r>
      <w:r w:rsidRPr="002029AF">
        <w:t>which</w:t>
      </w:r>
      <w:r w:rsidR="000A5329" w:rsidRPr="002029AF">
        <w:t xml:space="preserve"> </w:t>
      </w:r>
      <w:r w:rsidRPr="002029AF">
        <w:t>allow</w:t>
      </w:r>
      <w:r w:rsidR="000A5329" w:rsidRPr="002029AF">
        <w:t xml:space="preserve"> </w:t>
      </w:r>
      <w:r w:rsidRPr="002029AF">
        <w:t>termination</w:t>
      </w:r>
      <w:r w:rsidR="000A5329" w:rsidRPr="002029AF">
        <w:t xml:space="preserve"> </w:t>
      </w:r>
      <w:r w:rsidRPr="002029AF">
        <w:t>of</w:t>
      </w:r>
      <w:r w:rsidR="000A5329" w:rsidRPr="002029AF">
        <w:t xml:space="preserve"> </w:t>
      </w:r>
      <w:r w:rsidRPr="002029AF">
        <w:t>a</w:t>
      </w:r>
      <w:r w:rsidR="000A5329" w:rsidRPr="002029AF">
        <w:t xml:space="preserve"> </w:t>
      </w:r>
      <w:r w:rsidRPr="002029AF">
        <w:t>lease</w:t>
      </w:r>
      <w:r w:rsidR="000A5329" w:rsidRPr="002029AF">
        <w:t xml:space="preserve"> </w:t>
      </w:r>
      <w:r w:rsidRPr="002029AF">
        <w:t>under</w:t>
      </w:r>
      <w:r w:rsidR="000A5329" w:rsidRPr="002029AF">
        <w:t xml:space="preserve"> </w:t>
      </w:r>
      <w:r w:rsidRPr="002029AF">
        <w:t>certain</w:t>
      </w:r>
      <w:r w:rsidR="000A5329" w:rsidRPr="002029AF">
        <w:t xml:space="preserve"> </w:t>
      </w:r>
      <w:r w:rsidRPr="002029AF">
        <w:t>circumstances,</w:t>
      </w:r>
      <w:r w:rsidR="000A5329" w:rsidRPr="002029AF">
        <w:t xml:space="preserve"> </w:t>
      </w:r>
      <w:r w:rsidRPr="002029AF">
        <w:t>accordingly</w:t>
      </w:r>
      <w:r w:rsidR="000A5329" w:rsidRPr="002029AF">
        <w:t xml:space="preserve"> </w:t>
      </w:r>
      <w:r w:rsidRPr="002029AF">
        <w:t>the</w:t>
      </w:r>
      <w:r w:rsidR="000A5329" w:rsidRPr="002029AF">
        <w:t xml:space="preserve"> </w:t>
      </w:r>
      <w:r w:rsidRPr="002029AF">
        <w:t>future</w:t>
      </w:r>
      <w:r w:rsidR="000A5329" w:rsidRPr="002029AF">
        <w:t xml:space="preserve"> </w:t>
      </w:r>
      <w:r w:rsidRPr="002029AF">
        <w:t>revenue</w:t>
      </w:r>
      <w:r w:rsidR="000A5329" w:rsidRPr="002029AF">
        <w:t xml:space="preserve"> </w:t>
      </w:r>
      <w:r w:rsidRPr="002029AF">
        <w:t>streams</w:t>
      </w:r>
      <w:r w:rsidR="000A5329" w:rsidRPr="002029AF">
        <w:t xml:space="preserve"> </w:t>
      </w:r>
      <w:r w:rsidRPr="002029AF">
        <w:t>from</w:t>
      </w:r>
      <w:r w:rsidR="000A5329" w:rsidRPr="002029AF">
        <w:t xml:space="preserve"> </w:t>
      </w:r>
      <w:r w:rsidRPr="002029AF">
        <w:t>the</w:t>
      </w:r>
      <w:r w:rsidR="000A5329" w:rsidRPr="002029AF">
        <w:t xml:space="preserve"> </w:t>
      </w:r>
      <w:r w:rsidRPr="002029AF">
        <w:t>lease</w:t>
      </w:r>
      <w:r w:rsidR="000A5329" w:rsidRPr="002029AF">
        <w:t xml:space="preserve"> </w:t>
      </w:r>
      <w:r w:rsidRPr="002029AF">
        <w:t>agreements</w:t>
      </w:r>
      <w:r w:rsidR="000A5329" w:rsidRPr="002029AF">
        <w:t xml:space="preserve"> </w:t>
      </w:r>
      <w:r w:rsidRPr="002029AF">
        <w:t>are</w:t>
      </w:r>
      <w:r w:rsidR="000A5329" w:rsidRPr="002029AF">
        <w:t xml:space="preserve"> </w:t>
      </w:r>
      <w:r w:rsidRPr="002029AF">
        <w:t>not</w:t>
      </w:r>
      <w:r w:rsidR="000A5329" w:rsidRPr="002029AF">
        <w:t xml:space="preserve"> </w:t>
      </w:r>
      <w:r w:rsidRPr="002029AF">
        <w:t>required</w:t>
      </w:r>
      <w:r w:rsidR="000A5329" w:rsidRPr="002029AF">
        <w:t xml:space="preserve"> </w:t>
      </w:r>
      <w:r w:rsidRPr="002029AF">
        <w:t>to</w:t>
      </w:r>
      <w:r w:rsidR="000A5329" w:rsidRPr="002029AF">
        <w:t xml:space="preserve"> </w:t>
      </w:r>
      <w:r w:rsidRPr="002029AF">
        <w:t>be</w:t>
      </w:r>
      <w:r w:rsidR="000A5329" w:rsidRPr="002029AF">
        <w:t xml:space="preserve"> </w:t>
      </w:r>
      <w:r w:rsidRPr="002029AF">
        <w:t>reported</w:t>
      </w:r>
      <w:r w:rsidR="000A5329" w:rsidRPr="002029AF">
        <w:t xml:space="preserve"> </w:t>
      </w:r>
      <w:r w:rsidRPr="002029AF">
        <w:t>under</w:t>
      </w:r>
      <w:r w:rsidR="000A5329" w:rsidRPr="002029AF">
        <w:t xml:space="preserve"> </w:t>
      </w:r>
      <w:r w:rsidRPr="002029AF">
        <w:t>AASB</w:t>
      </w:r>
      <w:r w:rsidR="000A5329" w:rsidRPr="002029AF">
        <w:t xml:space="preserve"> </w:t>
      </w:r>
      <w:r w:rsidRPr="002029AF">
        <w:t>16.</w:t>
      </w:r>
    </w:p>
    <w:p w14:paraId="089190F6" w14:textId="62E0F1A5" w:rsidR="00087B91" w:rsidRPr="002029AF" w:rsidRDefault="00087B91" w:rsidP="00087B91">
      <w:pPr>
        <w:pStyle w:val="Heading5"/>
      </w:pPr>
      <w:bookmarkStart w:id="293" w:name="_Toc39136694"/>
      <w:r w:rsidRPr="002029AF">
        <w:lastRenderedPageBreak/>
        <w:t>2.4.3</w:t>
      </w:r>
      <w:r w:rsidR="000A5329" w:rsidRPr="002029AF">
        <w:t xml:space="preserve"> </w:t>
      </w:r>
      <w:r w:rsidRPr="002029AF">
        <w:t>Grants</w:t>
      </w:r>
      <w:r w:rsidR="000A5329" w:rsidRPr="002029AF">
        <w:t xml:space="preserve"> </w:t>
      </w:r>
      <w:r w:rsidRPr="002029AF">
        <w:t>and</w:t>
      </w:r>
      <w:r w:rsidR="000A5329" w:rsidRPr="002029AF">
        <w:t xml:space="preserve"> </w:t>
      </w:r>
      <w:r w:rsidRPr="002029AF">
        <w:t>other</w:t>
      </w:r>
      <w:r w:rsidR="000A5329" w:rsidRPr="002029AF">
        <w:t xml:space="preserve"> </w:t>
      </w:r>
      <w:r w:rsidRPr="002029AF">
        <w:t>income</w:t>
      </w:r>
      <w:r w:rsidR="000A5329" w:rsidRPr="002029AF">
        <w:t xml:space="preserve"> </w:t>
      </w:r>
      <w:r w:rsidRPr="002029AF">
        <w:t>transfers</w:t>
      </w:r>
      <w:bookmarkEnd w:id="293"/>
    </w:p>
    <w:tbl>
      <w:tblPr>
        <w:tblStyle w:val="TableGrid"/>
        <w:tblW w:w="9637" w:type="dxa"/>
        <w:tblLayout w:type="fixed"/>
        <w:tblLook w:val="06A0" w:firstRow="1" w:lastRow="0" w:firstColumn="1" w:lastColumn="0" w:noHBand="1" w:noVBand="1"/>
      </w:tblPr>
      <w:tblGrid>
        <w:gridCol w:w="7371"/>
        <w:gridCol w:w="1133"/>
        <w:gridCol w:w="1133"/>
      </w:tblGrid>
      <w:tr w:rsidR="00087B91" w:rsidRPr="002029AF" w14:paraId="7486EE01" w14:textId="77777777" w:rsidTr="00C83719">
        <w:trPr>
          <w:cnfStyle w:val="100000000000" w:firstRow="1" w:lastRow="0" w:firstColumn="0" w:lastColumn="0" w:oddVBand="0" w:evenVBand="0" w:oddHBand="0" w:evenHBand="0" w:firstRowFirstColumn="0" w:firstRowLastColumn="0" w:lastRowFirstColumn="0" w:lastRowLastColumn="0"/>
          <w:tblHeader/>
        </w:trPr>
        <w:tc>
          <w:tcPr>
            <w:tcW w:w="7371" w:type="dxa"/>
            <w:tcBorders>
              <w:bottom w:val="single" w:sz="4" w:space="0" w:color="auto"/>
            </w:tcBorders>
            <w:noWrap/>
            <w:hideMark/>
          </w:tcPr>
          <w:p w14:paraId="5372F0F4" w14:textId="77777777" w:rsidR="00087B91" w:rsidRPr="002029AF" w:rsidRDefault="00087B91" w:rsidP="00860E95">
            <w:pPr>
              <w:pStyle w:val="ARfintablecolhead"/>
            </w:pPr>
          </w:p>
        </w:tc>
        <w:tc>
          <w:tcPr>
            <w:tcW w:w="1133" w:type="dxa"/>
            <w:tcBorders>
              <w:bottom w:val="single" w:sz="4" w:space="0" w:color="auto"/>
            </w:tcBorders>
            <w:shd w:val="clear" w:color="auto" w:fill="E7E6E6"/>
            <w:hideMark/>
          </w:tcPr>
          <w:p w14:paraId="7B929455" w14:textId="77777777" w:rsidR="00087B91" w:rsidRPr="002029AF" w:rsidRDefault="00087B91" w:rsidP="00860E95">
            <w:pPr>
              <w:pStyle w:val="ARfintablecolheadright"/>
            </w:pPr>
            <w:r w:rsidRPr="002029AF">
              <w:t>2020</w:t>
            </w:r>
          </w:p>
          <w:p w14:paraId="41517CF6" w14:textId="77777777" w:rsidR="00087B91" w:rsidRPr="002029AF" w:rsidRDefault="00087B91" w:rsidP="00860E95">
            <w:pPr>
              <w:pStyle w:val="ARfintablecolheadright"/>
            </w:pPr>
            <w:r w:rsidRPr="002029AF">
              <w:t>$M</w:t>
            </w:r>
          </w:p>
        </w:tc>
        <w:tc>
          <w:tcPr>
            <w:tcW w:w="1133" w:type="dxa"/>
            <w:tcBorders>
              <w:bottom w:val="single" w:sz="4" w:space="0" w:color="auto"/>
            </w:tcBorders>
            <w:hideMark/>
          </w:tcPr>
          <w:p w14:paraId="6E33BB69" w14:textId="77777777" w:rsidR="00087B91" w:rsidRPr="002029AF" w:rsidRDefault="00087B91" w:rsidP="00860E95">
            <w:pPr>
              <w:pStyle w:val="ARfintablecolheadright"/>
            </w:pPr>
            <w:r w:rsidRPr="002029AF">
              <w:t>2019</w:t>
            </w:r>
          </w:p>
          <w:p w14:paraId="51A9A760" w14:textId="77777777" w:rsidR="00087B91" w:rsidRPr="002029AF" w:rsidRDefault="00087B91" w:rsidP="00860E95">
            <w:pPr>
              <w:pStyle w:val="ARfintablecolheadright"/>
            </w:pPr>
            <w:r w:rsidRPr="002029AF">
              <w:t>$M</w:t>
            </w:r>
          </w:p>
        </w:tc>
      </w:tr>
      <w:tr w:rsidR="00087B91" w:rsidRPr="002029AF" w14:paraId="0D687AC0" w14:textId="77777777" w:rsidTr="00860E95">
        <w:tc>
          <w:tcPr>
            <w:tcW w:w="7371" w:type="dxa"/>
            <w:tcBorders>
              <w:top w:val="single" w:sz="4" w:space="0" w:color="auto"/>
              <w:bottom w:val="single" w:sz="4" w:space="0" w:color="A6A6A6"/>
            </w:tcBorders>
            <w:hideMark/>
          </w:tcPr>
          <w:p w14:paraId="77659E49" w14:textId="62B8DE6D" w:rsidR="00087B91" w:rsidRPr="002029AF" w:rsidRDefault="00087B91" w:rsidP="00860E95">
            <w:pPr>
              <w:pStyle w:val="ARfintablebody"/>
            </w:pPr>
            <w:r w:rsidRPr="002029AF">
              <w:t>Department</w:t>
            </w:r>
            <w:r w:rsidR="000A5329" w:rsidRPr="002029AF">
              <w:t xml:space="preserve"> </w:t>
            </w:r>
            <w:r w:rsidRPr="002029AF">
              <w:t>of</w:t>
            </w:r>
            <w:r w:rsidR="000A5329" w:rsidRPr="002029AF">
              <w:t xml:space="preserve"> </w:t>
            </w:r>
            <w:r w:rsidRPr="002029AF">
              <w:t>Treasury</w:t>
            </w:r>
            <w:r w:rsidR="000A5329" w:rsidRPr="002029AF">
              <w:t xml:space="preserve"> </w:t>
            </w:r>
            <w:r w:rsidRPr="002029AF">
              <w:t>and</w:t>
            </w:r>
            <w:r w:rsidR="000A5329" w:rsidRPr="002029AF">
              <w:t xml:space="preserve"> </w:t>
            </w:r>
            <w:r w:rsidRPr="002029AF">
              <w:t>Finance</w:t>
            </w:r>
          </w:p>
        </w:tc>
        <w:tc>
          <w:tcPr>
            <w:tcW w:w="1133" w:type="dxa"/>
            <w:tcBorders>
              <w:top w:val="single" w:sz="4" w:space="0" w:color="auto"/>
              <w:bottom w:val="single" w:sz="4" w:space="0" w:color="A6A6A6"/>
            </w:tcBorders>
            <w:shd w:val="clear" w:color="auto" w:fill="E7E6E6"/>
            <w:noWrap/>
            <w:hideMark/>
          </w:tcPr>
          <w:p w14:paraId="10765587" w14:textId="77777777" w:rsidR="00087B91" w:rsidRPr="002029AF" w:rsidRDefault="00087B91" w:rsidP="00860E95">
            <w:pPr>
              <w:pStyle w:val="ARfintablebodyright"/>
            </w:pPr>
            <w:r w:rsidRPr="002029AF">
              <w:t>101.2</w:t>
            </w:r>
          </w:p>
        </w:tc>
        <w:tc>
          <w:tcPr>
            <w:tcW w:w="1133" w:type="dxa"/>
            <w:tcBorders>
              <w:top w:val="single" w:sz="4" w:space="0" w:color="auto"/>
              <w:bottom w:val="single" w:sz="4" w:space="0" w:color="A6A6A6"/>
            </w:tcBorders>
            <w:noWrap/>
            <w:hideMark/>
          </w:tcPr>
          <w:p w14:paraId="26BBCB06" w14:textId="77777777" w:rsidR="00087B91" w:rsidRPr="002029AF" w:rsidRDefault="00087B91" w:rsidP="00860E95">
            <w:pPr>
              <w:pStyle w:val="ARfintablebodyright"/>
            </w:pPr>
            <w:r w:rsidRPr="002029AF">
              <w:t>90.0</w:t>
            </w:r>
          </w:p>
        </w:tc>
      </w:tr>
      <w:tr w:rsidR="00087B91" w:rsidRPr="002029AF" w14:paraId="7F0F10BE" w14:textId="77777777" w:rsidTr="00860E95">
        <w:tc>
          <w:tcPr>
            <w:tcW w:w="7371" w:type="dxa"/>
            <w:tcBorders>
              <w:top w:val="single" w:sz="4" w:space="0" w:color="A6A6A6"/>
              <w:bottom w:val="single" w:sz="4" w:space="0" w:color="A6A6A6"/>
            </w:tcBorders>
            <w:hideMark/>
          </w:tcPr>
          <w:p w14:paraId="7C39DBDB" w14:textId="7977296F" w:rsidR="00087B91" w:rsidRPr="002029AF" w:rsidRDefault="00087B91" w:rsidP="00860E95">
            <w:pPr>
              <w:pStyle w:val="ARfintablebody"/>
            </w:pPr>
            <w:r w:rsidRPr="002029AF">
              <w:t>Department</w:t>
            </w:r>
            <w:r w:rsidR="000A5329" w:rsidRPr="002029AF">
              <w:t xml:space="preserve"> </w:t>
            </w:r>
            <w:r w:rsidRPr="002029AF">
              <w:t>of</w:t>
            </w:r>
            <w:r w:rsidR="000A5329" w:rsidRPr="002029AF">
              <w:t xml:space="preserve"> </w:t>
            </w:r>
            <w:r w:rsidRPr="002029AF">
              <w:t>Education</w:t>
            </w:r>
            <w:r w:rsidR="000A5329" w:rsidRPr="002029AF">
              <w:t xml:space="preserve"> </w:t>
            </w:r>
            <w:r w:rsidRPr="002029AF">
              <w:t>and</w:t>
            </w:r>
            <w:r w:rsidR="000A5329" w:rsidRPr="002029AF">
              <w:t xml:space="preserve"> </w:t>
            </w:r>
            <w:r w:rsidRPr="002029AF">
              <w:t>Training</w:t>
            </w:r>
          </w:p>
        </w:tc>
        <w:tc>
          <w:tcPr>
            <w:tcW w:w="1133" w:type="dxa"/>
            <w:tcBorders>
              <w:top w:val="single" w:sz="4" w:space="0" w:color="A6A6A6"/>
              <w:bottom w:val="single" w:sz="4" w:space="0" w:color="A6A6A6"/>
            </w:tcBorders>
            <w:shd w:val="clear" w:color="auto" w:fill="E7E6E6"/>
            <w:noWrap/>
            <w:hideMark/>
          </w:tcPr>
          <w:p w14:paraId="52B46508" w14:textId="77777777" w:rsidR="00087B91" w:rsidRPr="002029AF" w:rsidRDefault="00087B91" w:rsidP="00860E95">
            <w:pPr>
              <w:pStyle w:val="ARfintablebodyright"/>
            </w:pPr>
            <w:r w:rsidRPr="002029AF">
              <w:t>141.6</w:t>
            </w:r>
          </w:p>
        </w:tc>
        <w:tc>
          <w:tcPr>
            <w:tcW w:w="1133" w:type="dxa"/>
            <w:tcBorders>
              <w:top w:val="single" w:sz="4" w:space="0" w:color="A6A6A6"/>
              <w:bottom w:val="single" w:sz="4" w:space="0" w:color="A6A6A6"/>
            </w:tcBorders>
            <w:noWrap/>
            <w:hideMark/>
          </w:tcPr>
          <w:p w14:paraId="6D94C323" w14:textId="77777777" w:rsidR="00087B91" w:rsidRPr="002029AF" w:rsidRDefault="00087B91" w:rsidP="00860E95">
            <w:pPr>
              <w:pStyle w:val="ARfintablebodyright"/>
            </w:pPr>
            <w:r w:rsidRPr="002029AF">
              <w:t>31.7</w:t>
            </w:r>
          </w:p>
        </w:tc>
      </w:tr>
      <w:tr w:rsidR="00087B91" w:rsidRPr="002029AF" w14:paraId="53DBCC53" w14:textId="77777777" w:rsidTr="00860E95">
        <w:tc>
          <w:tcPr>
            <w:tcW w:w="7371" w:type="dxa"/>
            <w:tcBorders>
              <w:top w:val="single" w:sz="4" w:space="0" w:color="A6A6A6"/>
              <w:bottom w:val="single" w:sz="4" w:space="0" w:color="A6A6A6"/>
            </w:tcBorders>
            <w:hideMark/>
          </w:tcPr>
          <w:p w14:paraId="0002531F" w14:textId="46010C87" w:rsidR="00087B91" w:rsidRPr="002029AF" w:rsidRDefault="00087B91" w:rsidP="00860E95">
            <w:pPr>
              <w:pStyle w:val="ARfintablebody"/>
            </w:pPr>
            <w:r w:rsidRPr="002029AF">
              <w:t>Department</w:t>
            </w:r>
            <w:r w:rsidR="000A5329" w:rsidRPr="002029AF">
              <w:t xml:space="preserve"> </w:t>
            </w:r>
            <w:r w:rsidRPr="002029AF">
              <w:t>of</w:t>
            </w:r>
            <w:r w:rsidR="000A5329" w:rsidRPr="002029AF">
              <w:t xml:space="preserve"> </w:t>
            </w:r>
            <w:r w:rsidRPr="002029AF">
              <w:t>Economic</w:t>
            </w:r>
            <w:r w:rsidR="000A5329" w:rsidRPr="002029AF">
              <w:t xml:space="preserve"> </w:t>
            </w:r>
            <w:r w:rsidRPr="002029AF">
              <w:t>Development,</w:t>
            </w:r>
            <w:r w:rsidR="000A5329" w:rsidRPr="002029AF">
              <w:t xml:space="preserve"> </w:t>
            </w:r>
            <w:r w:rsidRPr="002029AF">
              <w:t>Jobs,</w:t>
            </w:r>
            <w:r w:rsidR="000A5329" w:rsidRPr="002029AF">
              <w:t xml:space="preserve"> </w:t>
            </w:r>
            <w:r w:rsidRPr="002029AF">
              <w:t>Transport</w:t>
            </w:r>
            <w:r w:rsidR="000A5329" w:rsidRPr="002029AF">
              <w:t xml:space="preserve"> </w:t>
            </w:r>
            <w:r w:rsidRPr="002029AF">
              <w:t>and</w:t>
            </w:r>
            <w:r w:rsidR="000A5329" w:rsidRPr="002029AF">
              <w:t xml:space="preserve"> </w:t>
            </w:r>
            <w:r w:rsidRPr="002029AF">
              <w:t>Resources</w:t>
            </w:r>
          </w:p>
        </w:tc>
        <w:tc>
          <w:tcPr>
            <w:tcW w:w="1133" w:type="dxa"/>
            <w:tcBorders>
              <w:top w:val="single" w:sz="4" w:space="0" w:color="A6A6A6"/>
              <w:bottom w:val="single" w:sz="4" w:space="0" w:color="A6A6A6"/>
            </w:tcBorders>
            <w:shd w:val="clear" w:color="auto" w:fill="E7E6E6"/>
            <w:noWrap/>
            <w:hideMark/>
          </w:tcPr>
          <w:p w14:paraId="743B76BE" w14:textId="77777777" w:rsidR="00087B91" w:rsidRPr="002029AF" w:rsidRDefault="00087B91" w:rsidP="00860E95">
            <w:pPr>
              <w:pStyle w:val="ARfintablebodyright"/>
            </w:pPr>
            <w:r w:rsidRPr="002029AF">
              <w:t>–</w:t>
            </w:r>
          </w:p>
        </w:tc>
        <w:tc>
          <w:tcPr>
            <w:tcW w:w="1133" w:type="dxa"/>
            <w:tcBorders>
              <w:top w:val="single" w:sz="4" w:space="0" w:color="A6A6A6"/>
              <w:bottom w:val="single" w:sz="4" w:space="0" w:color="A6A6A6"/>
            </w:tcBorders>
            <w:noWrap/>
            <w:hideMark/>
          </w:tcPr>
          <w:p w14:paraId="284756DB" w14:textId="77777777" w:rsidR="00087B91" w:rsidRPr="002029AF" w:rsidRDefault="00087B91" w:rsidP="00860E95">
            <w:pPr>
              <w:pStyle w:val="ARfintablebodyright"/>
            </w:pPr>
            <w:r w:rsidRPr="002029AF">
              <w:t>26.5</w:t>
            </w:r>
          </w:p>
        </w:tc>
      </w:tr>
      <w:tr w:rsidR="00087B91" w:rsidRPr="002029AF" w14:paraId="75BF79CC" w14:textId="77777777" w:rsidTr="00860E95">
        <w:tc>
          <w:tcPr>
            <w:tcW w:w="7371" w:type="dxa"/>
            <w:tcBorders>
              <w:top w:val="single" w:sz="4" w:space="0" w:color="A6A6A6"/>
              <w:bottom w:val="single" w:sz="4" w:space="0" w:color="A6A6A6"/>
            </w:tcBorders>
            <w:hideMark/>
          </w:tcPr>
          <w:p w14:paraId="323A71E8" w14:textId="6329EA8F" w:rsidR="00087B91" w:rsidRPr="002029AF" w:rsidRDefault="00087B91" w:rsidP="00860E95">
            <w:pPr>
              <w:pStyle w:val="ARfintablebody"/>
            </w:pPr>
            <w:r w:rsidRPr="002029AF">
              <w:t>Department</w:t>
            </w:r>
            <w:r w:rsidR="000A5329" w:rsidRPr="002029AF">
              <w:t xml:space="preserve"> </w:t>
            </w:r>
            <w:r w:rsidRPr="002029AF">
              <w:t>of</w:t>
            </w:r>
            <w:r w:rsidR="000A5329" w:rsidRPr="002029AF">
              <w:t xml:space="preserve"> </w:t>
            </w:r>
            <w:r w:rsidRPr="002029AF">
              <w:t>Environment,</w:t>
            </w:r>
            <w:r w:rsidR="000A5329" w:rsidRPr="002029AF">
              <w:t xml:space="preserve"> </w:t>
            </w:r>
            <w:r w:rsidRPr="002029AF">
              <w:t>Land,</w:t>
            </w:r>
            <w:r w:rsidR="000A5329" w:rsidRPr="002029AF">
              <w:t xml:space="preserve"> </w:t>
            </w:r>
            <w:r w:rsidRPr="002029AF">
              <w:t>Water</w:t>
            </w:r>
            <w:r w:rsidR="000A5329" w:rsidRPr="002029AF">
              <w:t xml:space="preserve"> </w:t>
            </w:r>
            <w:r w:rsidRPr="002029AF">
              <w:t>and</w:t>
            </w:r>
            <w:r w:rsidR="000A5329" w:rsidRPr="002029AF">
              <w:t xml:space="preserve"> </w:t>
            </w:r>
            <w:r w:rsidRPr="002029AF">
              <w:t>Planning</w:t>
            </w:r>
          </w:p>
        </w:tc>
        <w:tc>
          <w:tcPr>
            <w:tcW w:w="1133" w:type="dxa"/>
            <w:tcBorders>
              <w:top w:val="single" w:sz="4" w:space="0" w:color="A6A6A6"/>
              <w:bottom w:val="single" w:sz="4" w:space="0" w:color="A6A6A6"/>
            </w:tcBorders>
            <w:shd w:val="clear" w:color="auto" w:fill="E7E6E6"/>
            <w:noWrap/>
            <w:hideMark/>
          </w:tcPr>
          <w:p w14:paraId="07309E63" w14:textId="77777777" w:rsidR="00087B91" w:rsidRPr="002029AF" w:rsidRDefault="00087B91" w:rsidP="00860E95">
            <w:pPr>
              <w:pStyle w:val="ARfintablebodyright"/>
            </w:pPr>
            <w:r w:rsidRPr="002029AF">
              <w:t>3.7</w:t>
            </w:r>
          </w:p>
        </w:tc>
        <w:tc>
          <w:tcPr>
            <w:tcW w:w="1133" w:type="dxa"/>
            <w:tcBorders>
              <w:top w:val="single" w:sz="4" w:space="0" w:color="A6A6A6"/>
              <w:bottom w:val="single" w:sz="4" w:space="0" w:color="A6A6A6"/>
            </w:tcBorders>
            <w:noWrap/>
            <w:hideMark/>
          </w:tcPr>
          <w:p w14:paraId="6F38EBEB" w14:textId="77777777" w:rsidR="00087B91" w:rsidRPr="002029AF" w:rsidRDefault="00087B91" w:rsidP="00860E95">
            <w:pPr>
              <w:pStyle w:val="ARfintablebodyright"/>
            </w:pPr>
            <w:r w:rsidRPr="002029AF">
              <w:t>6.9</w:t>
            </w:r>
          </w:p>
        </w:tc>
      </w:tr>
      <w:tr w:rsidR="00087B91" w:rsidRPr="002029AF" w14:paraId="3B830E1C" w14:textId="77777777" w:rsidTr="00860E95">
        <w:tc>
          <w:tcPr>
            <w:tcW w:w="7371" w:type="dxa"/>
            <w:tcBorders>
              <w:top w:val="single" w:sz="4" w:space="0" w:color="A6A6A6"/>
              <w:bottom w:val="single" w:sz="4" w:space="0" w:color="A6A6A6"/>
            </w:tcBorders>
            <w:hideMark/>
          </w:tcPr>
          <w:p w14:paraId="4DB088CF" w14:textId="5BDB62CB" w:rsidR="00087B91" w:rsidRPr="002029AF" w:rsidRDefault="00087B91" w:rsidP="00860E95">
            <w:pPr>
              <w:pStyle w:val="ARfintablebody"/>
            </w:pPr>
            <w:r w:rsidRPr="002029AF">
              <w:t>Department</w:t>
            </w:r>
            <w:r w:rsidR="000A5329" w:rsidRPr="002029AF">
              <w:t xml:space="preserve"> </w:t>
            </w:r>
            <w:r w:rsidRPr="002029AF">
              <w:t>of</w:t>
            </w:r>
            <w:r w:rsidR="000A5329" w:rsidRPr="002029AF">
              <w:t xml:space="preserve"> </w:t>
            </w:r>
            <w:r w:rsidRPr="002029AF">
              <w:t>Justice</w:t>
            </w:r>
            <w:r w:rsidR="000A5329" w:rsidRPr="002029AF">
              <w:t xml:space="preserve"> </w:t>
            </w:r>
            <w:r w:rsidRPr="002029AF">
              <w:t>and</w:t>
            </w:r>
            <w:r w:rsidR="000A5329" w:rsidRPr="002029AF">
              <w:t xml:space="preserve"> </w:t>
            </w:r>
            <w:r w:rsidRPr="002029AF">
              <w:t>Regulation</w:t>
            </w:r>
          </w:p>
        </w:tc>
        <w:tc>
          <w:tcPr>
            <w:tcW w:w="1133" w:type="dxa"/>
            <w:tcBorders>
              <w:top w:val="single" w:sz="4" w:space="0" w:color="A6A6A6"/>
              <w:bottom w:val="single" w:sz="4" w:space="0" w:color="A6A6A6"/>
            </w:tcBorders>
            <w:shd w:val="clear" w:color="auto" w:fill="E7E6E6"/>
            <w:noWrap/>
            <w:hideMark/>
          </w:tcPr>
          <w:p w14:paraId="087D573A" w14:textId="77777777" w:rsidR="00087B91" w:rsidRPr="002029AF" w:rsidRDefault="00087B91" w:rsidP="00860E95">
            <w:pPr>
              <w:pStyle w:val="ARfintablebodyright"/>
            </w:pPr>
            <w:r w:rsidRPr="002029AF">
              <w:t>11.8</w:t>
            </w:r>
          </w:p>
        </w:tc>
        <w:tc>
          <w:tcPr>
            <w:tcW w:w="1133" w:type="dxa"/>
            <w:tcBorders>
              <w:top w:val="single" w:sz="4" w:space="0" w:color="A6A6A6"/>
              <w:bottom w:val="single" w:sz="4" w:space="0" w:color="A6A6A6"/>
            </w:tcBorders>
            <w:noWrap/>
            <w:hideMark/>
          </w:tcPr>
          <w:p w14:paraId="4B88005F" w14:textId="77777777" w:rsidR="00087B91" w:rsidRPr="002029AF" w:rsidRDefault="00087B91" w:rsidP="00860E95">
            <w:pPr>
              <w:pStyle w:val="ARfintablebodyright"/>
            </w:pPr>
            <w:r w:rsidRPr="002029AF">
              <w:t>12.3</w:t>
            </w:r>
          </w:p>
        </w:tc>
      </w:tr>
      <w:tr w:rsidR="00087B91" w:rsidRPr="002029AF" w14:paraId="037B3997" w14:textId="77777777" w:rsidTr="00860E95">
        <w:tc>
          <w:tcPr>
            <w:tcW w:w="7371" w:type="dxa"/>
            <w:tcBorders>
              <w:top w:val="single" w:sz="4" w:space="0" w:color="A6A6A6"/>
              <w:bottom w:val="single" w:sz="4" w:space="0" w:color="A6A6A6"/>
            </w:tcBorders>
            <w:hideMark/>
          </w:tcPr>
          <w:p w14:paraId="2DC11A98" w14:textId="599CFE6B" w:rsidR="00087B91" w:rsidRPr="002029AF" w:rsidRDefault="00087B91" w:rsidP="00860E95">
            <w:pPr>
              <w:pStyle w:val="ARfintablebody"/>
            </w:pPr>
            <w:r w:rsidRPr="002029AF">
              <w:t>Department</w:t>
            </w:r>
            <w:r w:rsidR="000A5329" w:rsidRPr="002029AF">
              <w:t xml:space="preserve"> </w:t>
            </w:r>
            <w:r w:rsidRPr="002029AF">
              <w:t>of</w:t>
            </w:r>
            <w:r w:rsidR="000A5329" w:rsidRPr="002029AF">
              <w:t xml:space="preserve"> </w:t>
            </w:r>
            <w:r w:rsidRPr="002029AF">
              <w:t>Jobs,</w:t>
            </w:r>
            <w:r w:rsidR="000A5329" w:rsidRPr="002029AF">
              <w:t xml:space="preserve"> </w:t>
            </w:r>
            <w:r w:rsidRPr="002029AF">
              <w:t>Precincts</w:t>
            </w:r>
            <w:r w:rsidR="000A5329" w:rsidRPr="002029AF">
              <w:t xml:space="preserve"> </w:t>
            </w:r>
            <w:r w:rsidRPr="002029AF">
              <w:t>and</w:t>
            </w:r>
            <w:r w:rsidR="000A5329" w:rsidRPr="002029AF">
              <w:t xml:space="preserve"> </w:t>
            </w:r>
            <w:r w:rsidRPr="002029AF">
              <w:t>Regions</w:t>
            </w:r>
          </w:p>
        </w:tc>
        <w:tc>
          <w:tcPr>
            <w:tcW w:w="1133" w:type="dxa"/>
            <w:tcBorders>
              <w:top w:val="single" w:sz="4" w:space="0" w:color="A6A6A6"/>
              <w:bottom w:val="single" w:sz="4" w:space="0" w:color="A6A6A6"/>
            </w:tcBorders>
            <w:shd w:val="clear" w:color="auto" w:fill="E7E6E6"/>
            <w:noWrap/>
            <w:hideMark/>
          </w:tcPr>
          <w:p w14:paraId="64260B90" w14:textId="77777777" w:rsidR="00087B91" w:rsidRPr="002029AF" w:rsidRDefault="00087B91" w:rsidP="00860E95">
            <w:pPr>
              <w:pStyle w:val="ARfintablebodyright"/>
            </w:pPr>
            <w:r w:rsidRPr="002029AF">
              <w:t>28.9</w:t>
            </w:r>
          </w:p>
        </w:tc>
        <w:tc>
          <w:tcPr>
            <w:tcW w:w="1133" w:type="dxa"/>
            <w:tcBorders>
              <w:top w:val="single" w:sz="4" w:space="0" w:color="A6A6A6"/>
              <w:bottom w:val="single" w:sz="4" w:space="0" w:color="A6A6A6"/>
            </w:tcBorders>
            <w:noWrap/>
            <w:hideMark/>
          </w:tcPr>
          <w:p w14:paraId="2296850E" w14:textId="77777777" w:rsidR="00087B91" w:rsidRPr="002029AF" w:rsidRDefault="00087B91" w:rsidP="00860E95">
            <w:pPr>
              <w:pStyle w:val="ARfintablebodyright"/>
            </w:pPr>
            <w:r w:rsidRPr="002029AF">
              <w:t>–</w:t>
            </w:r>
          </w:p>
        </w:tc>
      </w:tr>
      <w:tr w:rsidR="00087B91" w:rsidRPr="002029AF" w14:paraId="29B7056B" w14:textId="77777777" w:rsidTr="00860E95">
        <w:tc>
          <w:tcPr>
            <w:tcW w:w="7371" w:type="dxa"/>
            <w:tcBorders>
              <w:top w:val="single" w:sz="4" w:space="0" w:color="A6A6A6"/>
              <w:bottom w:val="single" w:sz="4" w:space="0" w:color="A6A6A6"/>
            </w:tcBorders>
            <w:hideMark/>
          </w:tcPr>
          <w:p w14:paraId="295CFE9E" w14:textId="610B1A7A" w:rsidR="00087B91" w:rsidRPr="002029AF" w:rsidRDefault="00087B91" w:rsidP="00860E95">
            <w:pPr>
              <w:pStyle w:val="ARfintablebody"/>
            </w:pPr>
            <w:r w:rsidRPr="002029AF">
              <w:t>Department</w:t>
            </w:r>
            <w:r w:rsidR="000A5329" w:rsidRPr="002029AF">
              <w:t xml:space="preserve"> </w:t>
            </w:r>
            <w:r w:rsidRPr="002029AF">
              <w:t>of</w:t>
            </w:r>
            <w:r w:rsidR="000A5329" w:rsidRPr="002029AF">
              <w:t xml:space="preserve"> </w:t>
            </w:r>
            <w:r w:rsidRPr="002029AF">
              <w:t>Premier</w:t>
            </w:r>
            <w:r w:rsidR="000A5329" w:rsidRPr="002029AF">
              <w:t xml:space="preserve"> </w:t>
            </w:r>
            <w:r w:rsidRPr="002029AF">
              <w:t>and</w:t>
            </w:r>
            <w:r w:rsidR="000A5329" w:rsidRPr="002029AF">
              <w:t xml:space="preserve"> </w:t>
            </w:r>
            <w:r w:rsidRPr="002029AF">
              <w:t>Cabinet</w:t>
            </w:r>
          </w:p>
        </w:tc>
        <w:tc>
          <w:tcPr>
            <w:tcW w:w="1133" w:type="dxa"/>
            <w:tcBorders>
              <w:top w:val="single" w:sz="4" w:space="0" w:color="A6A6A6"/>
              <w:bottom w:val="single" w:sz="4" w:space="0" w:color="A6A6A6"/>
            </w:tcBorders>
            <w:shd w:val="clear" w:color="auto" w:fill="E7E6E6"/>
            <w:noWrap/>
            <w:hideMark/>
          </w:tcPr>
          <w:p w14:paraId="6FA0C60B" w14:textId="77777777" w:rsidR="00087B91" w:rsidRPr="002029AF" w:rsidRDefault="00087B91" w:rsidP="00860E95">
            <w:pPr>
              <w:pStyle w:val="ARfintablebodyright"/>
            </w:pPr>
            <w:r w:rsidRPr="002029AF">
              <w:t>19.2</w:t>
            </w:r>
          </w:p>
        </w:tc>
        <w:tc>
          <w:tcPr>
            <w:tcW w:w="1133" w:type="dxa"/>
            <w:tcBorders>
              <w:top w:val="single" w:sz="4" w:space="0" w:color="A6A6A6"/>
              <w:bottom w:val="single" w:sz="4" w:space="0" w:color="A6A6A6"/>
            </w:tcBorders>
            <w:noWrap/>
            <w:hideMark/>
          </w:tcPr>
          <w:p w14:paraId="05DA7B40" w14:textId="77777777" w:rsidR="00087B91" w:rsidRPr="002029AF" w:rsidRDefault="00087B91" w:rsidP="00860E95">
            <w:pPr>
              <w:pStyle w:val="ARfintablebodyright"/>
            </w:pPr>
            <w:r w:rsidRPr="002029AF">
              <w:t>10.4</w:t>
            </w:r>
          </w:p>
        </w:tc>
      </w:tr>
      <w:tr w:rsidR="00087B91" w:rsidRPr="002029AF" w14:paraId="5B7622FB" w14:textId="77777777" w:rsidTr="00860E95">
        <w:tc>
          <w:tcPr>
            <w:tcW w:w="7371" w:type="dxa"/>
            <w:tcBorders>
              <w:top w:val="single" w:sz="4" w:space="0" w:color="A6A6A6"/>
              <w:bottom w:val="single" w:sz="4" w:space="0" w:color="A6A6A6"/>
            </w:tcBorders>
            <w:hideMark/>
          </w:tcPr>
          <w:p w14:paraId="6D579211" w14:textId="57AF5FEB" w:rsidR="00087B91" w:rsidRPr="002029AF" w:rsidRDefault="00087B91" w:rsidP="00860E95">
            <w:pPr>
              <w:pStyle w:val="ARfintablebody"/>
            </w:pPr>
            <w:r w:rsidRPr="002029AF">
              <w:t>Department</w:t>
            </w:r>
            <w:r w:rsidR="000A5329" w:rsidRPr="002029AF">
              <w:t xml:space="preserve"> </w:t>
            </w:r>
            <w:r w:rsidRPr="002029AF">
              <w:t>of</w:t>
            </w:r>
            <w:r w:rsidR="000A5329" w:rsidRPr="002029AF">
              <w:t xml:space="preserve"> </w:t>
            </w:r>
            <w:r w:rsidRPr="002029AF">
              <w:t>Transport</w:t>
            </w:r>
          </w:p>
        </w:tc>
        <w:tc>
          <w:tcPr>
            <w:tcW w:w="1133" w:type="dxa"/>
            <w:tcBorders>
              <w:top w:val="single" w:sz="4" w:space="0" w:color="A6A6A6"/>
              <w:bottom w:val="single" w:sz="4" w:space="0" w:color="A6A6A6"/>
            </w:tcBorders>
            <w:shd w:val="clear" w:color="auto" w:fill="E7E6E6"/>
            <w:noWrap/>
            <w:hideMark/>
          </w:tcPr>
          <w:p w14:paraId="538B78DB" w14:textId="77777777" w:rsidR="00087B91" w:rsidRPr="002029AF" w:rsidRDefault="00087B91" w:rsidP="00860E95">
            <w:pPr>
              <w:pStyle w:val="ARfintablebodyright"/>
            </w:pPr>
            <w:r w:rsidRPr="002029AF">
              <w:t>0.6</w:t>
            </w:r>
          </w:p>
        </w:tc>
        <w:tc>
          <w:tcPr>
            <w:tcW w:w="1133" w:type="dxa"/>
            <w:tcBorders>
              <w:top w:val="single" w:sz="4" w:space="0" w:color="A6A6A6"/>
              <w:bottom w:val="single" w:sz="4" w:space="0" w:color="A6A6A6"/>
            </w:tcBorders>
            <w:noWrap/>
            <w:hideMark/>
          </w:tcPr>
          <w:p w14:paraId="28A84BF1" w14:textId="77777777" w:rsidR="00087B91" w:rsidRPr="002029AF" w:rsidRDefault="00087B91" w:rsidP="00860E95">
            <w:pPr>
              <w:pStyle w:val="ARfintablebodyright"/>
            </w:pPr>
            <w:r w:rsidRPr="002029AF">
              <w:t>–</w:t>
            </w:r>
          </w:p>
        </w:tc>
      </w:tr>
      <w:tr w:rsidR="00087B91" w:rsidRPr="002029AF" w14:paraId="057F0DC6" w14:textId="77777777" w:rsidTr="00860E95">
        <w:tc>
          <w:tcPr>
            <w:tcW w:w="7371" w:type="dxa"/>
            <w:tcBorders>
              <w:top w:val="single" w:sz="4" w:space="0" w:color="A6A6A6"/>
              <w:bottom w:val="single" w:sz="4" w:space="0" w:color="A6A6A6"/>
            </w:tcBorders>
            <w:hideMark/>
          </w:tcPr>
          <w:p w14:paraId="5E28ED7E" w14:textId="4BCDD964" w:rsidR="00087B91" w:rsidRPr="002029AF" w:rsidRDefault="00087B91" w:rsidP="00860E95">
            <w:pPr>
              <w:pStyle w:val="ARfintablebody"/>
            </w:pPr>
            <w:r w:rsidRPr="002029AF">
              <w:t>Other</w:t>
            </w:r>
            <w:r w:rsidR="000A5329" w:rsidRPr="002029AF">
              <w:t xml:space="preserve"> </w:t>
            </w:r>
            <w:r w:rsidRPr="002029AF">
              <w:t>state</w:t>
            </w:r>
            <w:r w:rsidR="000A5329" w:rsidRPr="002029AF">
              <w:t xml:space="preserve"> </w:t>
            </w:r>
            <w:r w:rsidRPr="002029AF">
              <w:t>departments</w:t>
            </w:r>
          </w:p>
        </w:tc>
        <w:tc>
          <w:tcPr>
            <w:tcW w:w="1133" w:type="dxa"/>
            <w:tcBorders>
              <w:top w:val="single" w:sz="4" w:space="0" w:color="A6A6A6"/>
              <w:bottom w:val="single" w:sz="4" w:space="0" w:color="A6A6A6"/>
            </w:tcBorders>
            <w:shd w:val="clear" w:color="auto" w:fill="E7E6E6"/>
            <w:noWrap/>
            <w:hideMark/>
          </w:tcPr>
          <w:p w14:paraId="632BF3B5" w14:textId="77777777" w:rsidR="00087B91" w:rsidRPr="002029AF" w:rsidRDefault="00087B91" w:rsidP="00860E95">
            <w:pPr>
              <w:pStyle w:val="ARfintablebodyright"/>
            </w:pPr>
            <w:r w:rsidRPr="002029AF">
              <w:t>6.4</w:t>
            </w:r>
          </w:p>
        </w:tc>
        <w:tc>
          <w:tcPr>
            <w:tcW w:w="1133" w:type="dxa"/>
            <w:tcBorders>
              <w:top w:val="single" w:sz="4" w:space="0" w:color="A6A6A6"/>
              <w:bottom w:val="single" w:sz="4" w:space="0" w:color="A6A6A6"/>
            </w:tcBorders>
            <w:noWrap/>
            <w:hideMark/>
          </w:tcPr>
          <w:p w14:paraId="2831470A" w14:textId="77777777" w:rsidR="00087B91" w:rsidRPr="002029AF" w:rsidRDefault="00087B91" w:rsidP="00860E95">
            <w:pPr>
              <w:pStyle w:val="ARfintablebodyright"/>
            </w:pPr>
            <w:r w:rsidRPr="002029AF">
              <w:t>9.9</w:t>
            </w:r>
          </w:p>
        </w:tc>
      </w:tr>
      <w:tr w:rsidR="00087B91" w:rsidRPr="002029AF" w14:paraId="10149B6C" w14:textId="77777777" w:rsidTr="00860E95">
        <w:tc>
          <w:tcPr>
            <w:tcW w:w="7371" w:type="dxa"/>
            <w:tcBorders>
              <w:top w:val="single" w:sz="4" w:space="0" w:color="A6A6A6"/>
              <w:bottom w:val="single" w:sz="4" w:space="0" w:color="A6A6A6"/>
            </w:tcBorders>
            <w:hideMark/>
          </w:tcPr>
          <w:p w14:paraId="76400ED0" w14:textId="6E7BB20A" w:rsidR="00087B91" w:rsidRPr="002029AF" w:rsidRDefault="00087B91" w:rsidP="00860E95">
            <w:pPr>
              <w:pStyle w:val="ARfintablebody"/>
            </w:pPr>
            <w:r w:rsidRPr="002029AF">
              <w:t>Court</w:t>
            </w:r>
            <w:r w:rsidR="000A5329" w:rsidRPr="002029AF">
              <w:t xml:space="preserve"> </w:t>
            </w:r>
            <w:r w:rsidRPr="002029AF">
              <w:t>Services</w:t>
            </w:r>
            <w:r w:rsidR="000A5329" w:rsidRPr="002029AF">
              <w:t xml:space="preserve"> </w:t>
            </w:r>
            <w:r w:rsidRPr="002029AF">
              <w:t>Victoria</w:t>
            </w:r>
          </w:p>
        </w:tc>
        <w:tc>
          <w:tcPr>
            <w:tcW w:w="1133" w:type="dxa"/>
            <w:tcBorders>
              <w:top w:val="single" w:sz="4" w:space="0" w:color="A6A6A6"/>
              <w:bottom w:val="single" w:sz="4" w:space="0" w:color="A6A6A6"/>
            </w:tcBorders>
            <w:shd w:val="clear" w:color="auto" w:fill="E7E6E6"/>
            <w:noWrap/>
            <w:hideMark/>
          </w:tcPr>
          <w:p w14:paraId="12853003" w14:textId="77777777" w:rsidR="00087B91" w:rsidRPr="002029AF" w:rsidRDefault="00087B91" w:rsidP="00860E95">
            <w:pPr>
              <w:pStyle w:val="ARfintablebodyright"/>
            </w:pPr>
            <w:r w:rsidRPr="002029AF">
              <w:t>2.9</w:t>
            </w:r>
          </w:p>
        </w:tc>
        <w:tc>
          <w:tcPr>
            <w:tcW w:w="1133" w:type="dxa"/>
            <w:tcBorders>
              <w:top w:val="single" w:sz="4" w:space="0" w:color="A6A6A6"/>
              <w:bottom w:val="single" w:sz="4" w:space="0" w:color="A6A6A6"/>
            </w:tcBorders>
            <w:noWrap/>
            <w:hideMark/>
          </w:tcPr>
          <w:p w14:paraId="1A8F8CAD" w14:textId="77777777" w:rsidR="00087B91" w:rsidRPr="002029AF" w:rsidRDefault="00087B91" w:rsidP="00860E95">
            <w:pPr>
              <w:pStyle w:val="ARfintablebodyright"/>
            </w:pPr>
            <w:r w:rsidRPr="002029AF">
              <w:t>3.2</w:t>
            </w:r>
          </w:p>
        </w:tc>
      </w:tr>
      <w:tr w:rsidR="00087B91" w:rsidRPr="002029AF" w14:paraId="39B0610F" w14:textId="77777777" w:rsidTr="00860E95">
        <w:tc>
          <w:tcPr>
            <w:tcW w:w="7371" w:type="dxa"/>
            <w:tcBorders>
              <w:top w:val="single" w:sz="4" w:space="0" w:color="A6A6A6"/>
              <w:bottom w:val="single" w:sz="4" w:space="0" w:color="A6A6A6"/>
            </w:tcBorders>
            <w:hideMark/>
          </w:tcPr>
          <w:p w14:paraId="019B3828" w14:textId="72391213" w:rsidR="00087B91" w:rsidRPr="002029AF" w:rsidRDefault="00087B91" w:rsidP="00860E95">
            <w:pPr>
              <w:pStyle w:val="ARfintablebody"/>
            </w:pPr>
            <w:r w:rsidRPr="002029AF">
              <w:t>Commonwealth</w:t>
            </w:r>
            <w:r w:rsidR="000A5329" w:rsidRPr="002029AF">
              <w:t xml:space="preserve"> </w:t>
            </w:r>
            <w:r w:rsidRPr="002029AF">
              <w:t>Government</w:t>
            </w:r>
          </w:p>
        </w:tc>
        <w:tc>
          <w:tcPr>
            <w:tcW w:w="1133" w:type="dxa"/>
            <w:tcBorders>
              <w:top w:val="single" w:sz="4" w:space="0" w:color="A6A6A6"/>
              <w:bottom w:val="single" w:sz="4" w:space="0" w:color="A6A6A6"/>
            </w:tcBorders>
            <w:shd w:val="clear" w:color="auto" w:fill="E7E6E6"/>
            <w:noWrap/>
            <w:hideMark/>
          </w:tcPr>
          <w:p w14:paraId="3AC619AB" w14:textId="77777777" w:rsidR="00087B91" w:rsidRPr="002029AF" w:rsidRDefault="00087B91" w:rsidP="00860E95">
            <w:pPr>
              <w:pStyle w:val="ARfintablebodyright"/>
            </w:pPr>
            <w:r w:rsidRPr="002029AF">
              <w:t>2,190.7</w:t>
            </w:r>
          </w:p>
        </w:tc>
        <w:tc>
          <w:tcPr>
            <w:tcW w:w="1133" w:type="dxa"/>
            <w:tcBorders>
              <w:top w:val="single" w:sz="4" w:space="0" w:color="A6A6A6"/>
              <w:bottom w:val="single" w:sz="4" w:space="0" w:color="A6A6A6"/>
            </w:tcBorders>
            <w:noWrap/>
            <w:hideMark/>
          </w:tcPr>
          <w:p w14:paraId="5CD3855E" w14:textId="77777777" w:rsidR="00087B91" w:rsidRPr="002029AF" w:rsidRDefault="00087B91" w:rsidP="00860E95">
            <w:pPr>
              <w:pStyle w:val="ARfintablebodyright"/>
            </w:pPr>
            <w:r w:rsidRPr="002029AF">
              <w:t>978.4</w:t>
            </w:r>
          </w:p>
        </w:tc>
      </w:tr>
      <w:tr w:rsidR="00087B91" w:rsidRPr="002029AF" w14:paraId="0E673A2F" w14:textId="77777777" w:rsidTr="00860E95">
        <w:tc>
          <w:tcPr>
            <w:tcW w:w="7371" w:type="dxa"/>
            <w:tcBorders>
              <w:top w:val="single" w:sz="4" w:space="0" w:color="A6A6A6"/>
              <w:bottom w:val="single" w:sz="4" w:space="0" w:color="A6A6A6"/>
            </w:tcBorders>
            <w:hideMark/>
          </w:tcPr>
          <w:p w14:paraId="3E88443B" w14:textId="082D7FA0" w:rsidR="00087B91" w:rsidRPr="002029AF" w:rsidRDefault="00087B91" w:rsidP="00860E95">
            <w:pPr>
              <w:pStyle w:val="ARfintablebody"/>
            </w:pPr>
            <w:r w:rsidRPr="002029AF">
              <w:t>Development</w:t>
            </w:r>
            <w:r w:rsidR="000A5329" w:rsidRPr="002029AF">
              <w:t xml:space="preserve"> </w:t>
            </w:r>
            <w:r w:rsidRPr="002029AF">
              <w:t>Victoria</w:t>
            </w:r>
          </w:p>
        </w:tc>
        <w:tc>
          <w:tcPr>
            <w:tcW w:w="1133" w:type="dxa"/>
            <w:tcBorders>
              <w:top w:val="single" w:sz="4" w:space="0" w:color="A6A6A6"/>
              <w:bottom w:val="single" w:sz="4" w:space="0" w:color="A6A6A6"/>
            </w:tcBorders>
            <w:shd w:val="clear" w:color="auto" w:fill="E7E6E6"/>
            <w:noWrap/>
            <w:hideMark/>
          </w:tcPr>
          <w:p w14:paraId="0CAE65BA" w14:textId="77777777" w:rsidR="00087B91" w:rsidRPr="002029AF" w:rsidRDefault="00087B91" w:rsidP="00860E95">
            <w:pPr>
              <w:pStyle w:val="ARfintablebodyright"/>
            </w:pPr>
            <w:r w:rsidRPr="002029AF">
              <w:t>6.3</w:t>
            </w:r>
          </w:p>
        </w:tc>
        <w:tc>
          <w:tcPr>
            <w:tcW w:w="1133" w:type="dxa"/>
            <w:tcBorders>
              <w:top w:val="single" w:sz="4" w:space="0" w:color="A6A6A6"/>
              <w:bottom w:val="single" w:sz="4" w:space="0" w:color="A6A6A6"/>
            </w:tcBorders>
            <w:noWrap/>
            <w:hideMark/>
          </w:tcPr>
          <w:p w14:paraId="19813F54" w14:textId="77777777" w:rsidR="00087B91" w:rsidRPr="002029AF" w:rsidRDefault="00087B91" w:rsidP="00860E95">
            <w:pPr>
              <w:pStyle w:val="ARfintablebodyright"/>
            </w:pPr>
            <w:r w:rsidRPr="002029AF">
              <w:t>–</w:t>
            </w:r>
          </w:p>
        </w:tc>
      </w:tr>
      <w:tr w:rsidR="00087B91" w:rsidRPr="002029AF" w14:paraId="62FE4D02" w14:textId="77777777" w:rsidTr="00860E95">
        <w:tc>
          <w:tcPr>
            <w:tcW w:w="7371" w:type="dxa"/>
            <w:tcBorders>
              <w:top w:val="single" w:sz="4" w:space="0" w:color="A6A6A6"/>
              <w:bottom w:val="single" w:sz="4" w:space="0" w:color="A6A6A6"/>
            </w:tcBorders>
            <w:hideMark/>
          </w:tcPr>
          <w:p w14:paraId="292FC730" w14:textId="2F6675AD" w:rsidR="00087B91" w:rsidRPr="002029AF" w:rsidRDefault="00087B91" w:rsidP="00860E95">
            <w:pPr>
              <w:pStyle w:val="ARfintablebody"/>
            </w:pPr>
            <w:r w:rsidRPr="002029AF">
              <w:t>WorkSafe</w:t>
            </w:r>
            <w:r w:rsidR="000A5329" w:rsidRPr="002029AF">
              <w:t xml:space="preserve"> </w:t>
            </w:r>
            <w:r w:rsidRPr="002029AF">
              <w:t>Victoria</w:t>
            </w:r>
          </w:p>
        </w:tc>
        <w:tc>
          <w:tcPr>
            <w:tcW w:w="1133" w:type="dxa"/>
            <w:tcBorders>
              <w:top w:val="single" w:sz="4" w:space="0" w:color="A6A6A6"/>
              <w:bottom w:val="single" w:sz="4" w:space="0" w:color="A6A6A6"/>
            </w:tcBorders>
            <w:shd w:val="clear" w:color="auto" w:fill="E7E6E6"/>
            <w:noWrap/>
            <w:hideMark/>
          </w:tcPr>
          <w:p w14:paraId="28F93310" w14:textId="77777777" w:rsidR="00087B91" w:rsidRPr="002029AF" w:rsidRDefault="00087B91" w:rsidP="00860E95">
            <w:pPr>
              <w:pStyle w:val="ARfintablebodyright"/>
            </w:pPr>
            <w:r w:rsidRPr="002029AF">
              <w:t>–</w:t>
            </w:r>
          </w:p>
        </w:tc>
        <w:tc>
          <w:tcPr>
            <w:tcW w:w="1133" w:type="dxa"/>
            <w:tcBorders>
              <w:top w:val="single" w:sz="4" w:space="0" w:color="A6A6A6"/>
              <w:bottom w:val="single" w:sz="4" w:space="0" w:color="A6A6A6"/>
            </w:tcBorders>
            <w:noWrap/>
            <w:hideMark/>
          </w:tcPr>
          <w:p w14:paraId="7B28B03F" w14:textId="77777777" w:rsidR="00087B91" w:rsidRPr="002029AF" w:rsidRDefault="00087B91" w:rsidP="00860E95">
            <w:pPr>
              <w:pStyle w:val="ARfintablebodyright"/>
            </w:pPr>
            <w:r w:rsidRPr="002029AF">
              <w:t>20.0</w:t>
            </w:r>
          </w:p>
        </w:tc>
      </w:tr>
      <w:tr w:rsidR="00087B91" w:rsidRPr="002029AF" w14:paraId="345CACCA" w14:textId="77777777" w:rsidTr="00860E95">
        <w:tc>
          <w:tcPr>
            <w:tcW w:w="7371" w:type="dxa"/>
            <w:tcBorders>
              <w:top w:val="single" w:sz="4" w:space="0" w:color="A6A6A6"/>
            </w:tcBorders>
            <w:hideMark/>
          </w:tcPr>
          <w:p w14:paraId="50DD23C3" w14:textId="1FC5B978" w:rsidR="00087B91" w:rsidRPr="002029AF" w:rsidRDefault="00087B91" w:rsidP="00860E95">
            <w:pPr>
              <w:pStyle w:val="ARfintablebody"/>
            </w:pPr>
            <w:r w:rsidRPr="002029AF">
              <w:t>Other</w:t>
            </w:r>
            <w:r w:rsidR="000A5329" w:rsidRPr="002029AF">
              <w:t xml:space="preserve"> </w:t>
            </w:r>
            <w:r w:rsidRPr="002029AF">
              <w:t>public</w:t>
            </w:r>
            <w:r w:rsidR="000A5329" w:rsidRPr="002029AF">
              <w:t xml:space="preserve"> </w:t>
            </w:r>
            <w:r w:rsidRPr="002029AF">
              <w:t>bodies</w:t>
            </w:r>
          </w:p>
        </w:tc>
        <w:tc>
          <w:tcPr>
            <w:tcW w:w="1133" w:type="dxa"/>
            <w:tcBorders>
              <w:top w:val="single" w:sz="4" w:space="0" w:color="A6A6A6"/>
            </w:tcBorders>
            <w:shd w:val="clear" w:color="auto" w:fill="E7E6E6"/>
            <w:noWrap/>
            <w:hideMark/>
          </w:tcPr>
          <w:p w14:paraId="4EB1C81B" w14:textId="77777777" w:rsidR="00087B91" w:rsidRPr="002029AF" w:rsidRDefault="00087B91" w:rsidP="00860E95">
            <w:pPr>
              <w:pStyle w:val="ARfintablebodyright"/>
            </w:pPr>
            <w:r w:rsidRPr="002029AF">
              <w:t>0.4</w:t>
            </w:r>
          </w:p>
        </w:tc>
        <w:tc>
          <w:tcPr>
            <w:tcW w:w="1133" w:type="dxa"/>
            <w:tcBorders>
              <w:top w:val="single" w:sz="4" w:space="0" w:color="A6A6A6"/>
            </w:tcBorders>
            <w:noWrap/>
            <w:hideMark/>
          </w:tcPr>
          <w:p w14:paraId="15568C9A" w14:textId="77777777" w:rsidR="00087B91" w:rsidRPr="002029AF" w:rsidRDefault="00087B91" w:rsidP="00860E95">
            <w:pPr>
              <w:pStyle w:val="ARfintablebodyright"/>
            </w:pPr>
            <w:r w:rsidRPr="002029AF">
              <w:t>1.3</w:t>
            </w:r>
          </w:p>
        </w:tc>
      </w:tr>
      <w:tr w:rsidR="00087B91" w:rsidRPr="002029AF" w14:paraId="25BF56FF" w14:textId="77777777" w:rsidTr="00860E95">
        <w:tc>
          <w:tcPr>
            <w:tcW w:w="7371" w:type="dxa"/>
            <w:hideMark/>
          </w:tcPr>
          <w:p w14:paraId="625D87BD" w14:textId="507DA5F8" w:rsidR="00087B91" w:rsidRPr="002029AF" w:rsidRDefault="00087B91" w:rsidP="00860E95">
            <w:pPr>
              <w:pStyle w:val="ARfintablebodybold"/>
            </w:pPr>
            <w:r w:rsidRPr="002029AF">
              <w:t>Total</w:t>
            </w:r>
            <w:r w:rsidR="000A5329" w:rsidRPr="002029AF">
              <w:t xml:space="preserve"> </w:t>
            </w:r>
            <w:r w:rsidRPr="002029AF">
              <w:t>grants</w:t>
            </w:r>
            <w:r w:rsidR="000A5329" w:rsidRPr="002029AF">
              <w:t xml:space="preserve"> </w:t>
            </w:r>
            <w:r w:rsidRPr="002029AF">
              <w:t>and</w:t>
            </w:r>
            <w:r w:rsidR="000A5329" w:rsidRPr="002029AF">
              <w:t xml:space="preserve"> </w:t>
            </w:r>
            <w:r w:rsidRPr="002029AF">
              <w:t>other</w:t>
            </w:r>
            <w:r w:rsidR="000A5329" w:rsidRPr="002029AF">
              <w:t xml:space="preserve"> </w:t>
            </w:r>
            <w:r w:rsidRPr="002029AF">
              <w:t>income</w:t>
            </w:r>
            <w:r w:rsidR="000A5329" w:rsidRPr="002029AF">
              <w:t xml:space="preserve"> </w:t>
            </w:r>
            <w:r w:rsidRPr="002029AF">
              <w:t>transfers</w:t>
            </w:r>
          </w:p>
        </w:tc>
        <w:tc>
          <w:tcPr>
            <w:tcW w:w="1133" w:type="dxa"/>
            <w:shd w:val="clear" w:color="auto" w:fill="E7E6E6"/>
            <w:noWrap/>
            <w:hideMark/>
          </w:tcPr>
          <w:p w14:paraId="392D4D01" w14:textId="77777777" w:rsidR="00087B91" w:rsidRPr="002029AF" w:rsidRDefault="00087B91" w:rsidP="00860E95">
            <w:pPr>
              <w:pStyle w:val="ARfintablebodyrightbold"/>
            </w:pPr>
            <w:r w:rsidRPr="002029AF">
              <w:t>2,514.0</w:t>
            </w:r>
          </w:p>
        </w:tc>
        <w:tc>
          <w:tcPr>
            <w:tcW w:w="1133" w:type="dxa"/>
            <w:noWrap/>
            <w:hideMark/>
          </w:tcPr>
          <w:p w14:paraId="19EFF60F" w14:textId="77777777" w:rsidR="00087B91" w:rsidRPr="002029AF" w:rsidRDefault="00087B91" w:rsidP="00860E95">
            <w:pPr>
              <w:pStyle w:val="ARfintablebodyrightbold"/>
            </w:pPr>
            <w:r w:rsidRPr="002029AF">
              <w:t>1,190.6</w:t>
            </w:r>
          </w:p>
        </w:tc>
      </w:tr>
    </w:tbl>
    <w:p w14:paraId="38793B4B" w14:textId="25FB17F7" w:rsidR="00087B91" w:rsidRPr="002029AF" w:rsidRDefault="00087B91" w:rsidP="00087B91">
      <w:pPr>
        <w:pStyle w:val="ARfinbodyaftertable"/>
      </w:pPr>
      <w:r w:rsidRPr="002029AF">
        <w:t>Income</w:t>
      </w:r>
      <w:r w:rsidR="000A5329" w:rsidRPr="002029AF">
        <w:t xml:space="preserve"> </w:t>
      </w:r>
      <w:r w:rsidRPr="002029AF">
        <w:t>from</w:t>
      </w:r>
      <w:r w:rsidR="000A5329" w:rsidRPr="002029AF">
        <w:t xml:space="preserve"> </w:t>
      </w:r>
      <w:r w:rsidRPr="002029AF">
        <w:t>grants</w:t>
      </w:r>
      <w:r w:rsidR="000A5329" w:rsidRPr="002029AF">
        <w:t xml:space="preserve"> </w:t>
      </w:r>
      <w:r w:rsidRPr="002029AF">
        <w:t>that</w:t>
      </w:r>
      <w:r w:rsidR="000A5329" w:rsidRPr="002029AF">
        <w:t xml:space="preserve"> </w:t>
      </w:r>
      <w:r w:rsidRPr="002029AF">
        <w:t>are</w:t>
      </w:r>
      <w:r w:rsidR="000A5329" w:rsidRPr="002029AF">
        <w:t xml:space="preserve"> </w:t>
      </w:r>
      <w:r w:rsidRPr="002029AF">
        <w:t>enforceable</w:t>
      </w:r>
      <w:r w:rsidR="000A5329" w:rsidRPr="002029AF">
        <w:t xml:space="preserve"> </w:t>
      </w:r>
      <w:r w:rsidRPr="002029AF">
        <w:t>and</w:t>
      </w:r>
      <w:r w:rsidR="000A5329" w:rsidRPr="002029AF">
        <w:t xml:space="preserve"> </w:t>
      </w:r>
      <w:r w:rsidRPr="002029AF">
        <w:t>with</w:t>
      </w:r>
      <w:r w:rsidR="000A5329" w:rsidRPr="002029AF">
        <w:t xml:space="preserve"> </w:t>
      </w:r>
      <w:r w:rsidRPr="002029AF">
        <w:t>sufficiently</w:t>
      </w:r>
      <w:r w:rsidR="000A5329" w:rsidRPr="002029AF">
        <w:t xml:space="preserve"> </w:t>
      </w:r>
      <w:r w:rsidRPr="002029AF">
        <w:t>specific</w:t>
      </w:r>
      <w:r w:rsidR="000A5329" w:rsidRPr="002029AF">
        <w:t xml:space="preserve"> </w:t>
      </w:r>
      <w:r w:rsidRPr="002029AF">
        <w:t>performance</w:t>
      </w:r>
      <w:r w:rsidR="000A5329" w:rsidRPr="002029AF">
        <w:t xml:space="preserve"> </w:t>
      </w:r>
      <w:r w:rsidR="00D1568B" w:rsidRPr="002029AF">
        <w:t>obligations and</w:t>
      </w:r>
      <w:r w:rsidR="000A5329" w:rsidRPr="002029AF">
        <w:t xml:space="preserve"> </w:t>
      </w:r>
      <w:r w:rsidRPr="002029AF">
        <w:t>accounted</w:t>
      </w:r>
      <w:r w:rsidR="000A5329" w:rsidRPr="002029AF">
        <w:t xml:space="preserve"> </w:t>
      </w:r>
      <w:r w:rsidRPr="002029AF">
        <w:t>for</w:t>
      </w:r>
      <w:r w:rsidR="000A5329" w:rsidRPr="002029AF">
        <w:t xml:space="preserve"> </w:t>
      </w:r>
      <w:r w:rsidRPr="002029AF">
        <w:t>as</w:t>
      </w:r>
      <w:r w:rsidR="000A5329" w:rsidRPr="002029AF">
        <w:t xml:space="preserve"> </w:t>
      </w:r>
      <w:r w:rsidRPr="002029AF">
        <w:t>revenue</w:t>
      </w:r>
      <w:r w:rsidR="000A5329" w:rsidRPr="002029AF">
        <w:t xml:space="preserve"> </w:t>
      </w:r>
      <w:r w:rsidRPr="002029AF">
        <w:t>from</w:t>
      </w:r>
      <w:r w:rsidR="000A5329" w:rsidRPr="002029AF">
        <w:t xml:space="preserve"> </w:t>
      </w:r>
      <w:r w:rsidRPr="002029AF">
        <w:t>contracts</w:t>
      </w:r>
      <w:r w:rsidR="000A5329" w:rsidRPr="002029AF">
        <w:t xml:space="preserve"> </w:t>
      </w:r>
      <w:r w:rsidRPr="002029AF">
        <w:t>with</w:t>
      </w:r>
      <w:r w:rsidR="000A5329" w:rsidRPr="002029AF">
        <w:t xml:space="preserve"> </w:t>
      </w:r>
      <w:r w:rsidRPr="002029AF">
        <w:t>customers</w:t>
      </w:r>
      <w:r w:rsidR="000A5329" w:rsidRPr="002029AF">
        <w:t xml:space="preserve"> </w:t>
      </w:r>
      <w:r w:rsidRPr="002029AF">
        <w:t>is</w:t>
      </w:r>
      <w:r w:rsidR="000A5329" w:rsidRPr="002029AF">
        <w:t xml:space="preserve"> </w:t>
      </w:r>
      <w:r w:rsidRPr="002029AF">
        <w:t>recognised</w:t>
      </w:r>
      <w:r w:rsidR="000A5329" w:rsidRPr="002029AF">
        <w:t xml:space="preserve"> </w:t>
      </w:r>
      <w:r w:rsidRPr="002029AF">
        <w:t>when</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satisfies</w:t>
      </w:r>
      <w:r w:rsidR="000A5329" w:rsidRPr="002029AF">
        <w:t xml:space="preserve"> </w:t>
      </w:r>
      <w:r w:rsidRPr="002029AF">
        <w:t>the</w:t>
      </w:r>
      <w:r w:rsidR="000A5329" w:rsidRPr="002029AF">
        <w:t xml:space="preserve"> </w:t>
      </w:r>
      <w:r w:rsidRPr="002029AF">
        <w:t>performance</w:t>
      </w:r>
      <w:r w:rsidR="000A5329" w:rsidRPr="002029AF">
        <w:t xml:space="preserve"> </w:t>
      </w:r>
      <w:r w:rsidRPr="002029AF">
        <w:t>obligation</w:t>
      </w:r>
      <w:r w:rsidR="000A5329" w:rsidRPr="002029AF">
        <w:t xml:space="preserve"> </w:t>
      </w:r>
      <w:r w:rsidRPr="002029AF">
        <w:t>by</w:t>
      </w:r>
      <w:r w:rsidR="000A5329" w:rsidRPr="002029AF">
        <w:t xml:space="preserve"> </w:t>
      </w:r>
      <w:r w:rsidRPr="002029AF">
        <w:t>providing</w:t>
      </w:r>
      <w:r w:rsidR="000A5329" w:rsidRPr="002029AF">
        <w:t xml:space="preserve"> </w:t>
      </w:r>
      <w:r w:rsidRPr="002029AF">
        <w:t>the</w:t>
      </w:r>
      <w:r w:rsidR="000A5329" w:rsidRPr="002029AF">
        <w:t xml:space="preserve"> </w:t>
      </w:r>
      <w:r w:rsidRPr="002029AF">
        <w:t>relevant</w:t>
      </w:r>
      <w:r w:rsidR="000A5329" w:rsidRPr="002029AF">
        <w:t xml:space="preserve"> </w:t>
      </w:r>
      <w:r w:rsidRPr="002029AF">
        <w:t>services</w:t>
      </w:r>
      <w:r w:rsidR="000A5329" w:rsidRPr="002029AF">
        <w:t xml:space="preserve"> </w:t>
      </w:r>
      <w:r w:rsidRPr="002029AF">
        <w:t>to</w:t>
      </w:r>
      <w:r w:rsidR="000A5329" w:rsidRPr="002029AF">
        <w:t xml:space="preserve"> </w:t>
      </w:r>
      <w:r w:rsidRPr="002029AF">
        <w:t>the</w:t>
      </w:r>
      <w:r w:rsidR="000A5329" w:rsidRPr="002029AF">
        <w:t xml:space="preserve"> </w:t>
      </w:r>
      <w:r w:rsidRPr="002029AF">
        <w:t>relevant</w:t>
      </w:r>
      <w:r w:rsidR="000A5329" w:rsidRPr="002029AF">
        <w:t xml:space="preserve"> </w:t>
      </w:r>
      <w:r w:rsidRPr="002029AF">
        <w:t>organisations.</w:t>
      </w:r>
      <w:r w:rsidR="000A5329" w:rsidRPr="002029AF">
        <w:t xml:space="preserve"> </w:t>
      </w:r>
      <w:r w:rsidRPr="002029AF">
        <w:t>This</w:t>
      </w:r>
      <w:r w:rsidR="000A5329" w:rsidRPr="002029AF">
        <w:t xml:space="preserve"> </w:t>
      </w:r>
      <w:r w:rsidRPr="002029AF">
        <w:t>is</w:t>
      </w:r>
      <w:r w:rsidR="000A5329" w:rsidRPr="002029AF">
        <w:t xml:space="preserve"> </w:t>
      </w:r>
      <w:r w:rsidRPr="002029AF">
        <w:t>recognised</w:t>
      </w:r>
      <w:r w:rsidR="000A5329" w:rsidRPr="002029AF">
        <w:t xml:space="preserve"> </w:t>
      </w:r>
      <w:r w:rsidRPr="002029AF">
        <w:t>based</w:t>
      </w:r>
      <w:r w:rsidR="000A5329" w:rsidRPr="002029AF">
        <w:t xml:space="preserve"> </w:t>
      </w:r>
      <w:r w:rsidRPr="002029AF">
        <w:t>on</w:t>
      </w:r>
      <w:r w:rsidR="000A5329" w:rsidRPr="002029AF">
        <w:t xml:space="preserve"> </w:t>
      </w:r>
      <w:r w:rsidRPr="002029AF">
        <w:t>the</w:t>
      </w:r>
      <w:r w:rsidR="000A5329" w:rsidRPr="002029AF">
        <w:t xml:space="preserve"> </w:t>
      </w:r>
      <w:r w:rsidRPr="002029AF">
        <w:t>consideration</w:t>
      </w:r>
      <w:r w:rsidR="000A5329" w:rsidRPr="002029AF">
        <w:t xml:space="preserve"> </w:t>
      </w:r>
      <w:r w:rsidRPr="002029AF">
        <w:t>specified</w:t>
      </w:r>
      <w:r w:rsidR="000A5329" w:rsidRPr="002029AF">
        <w:t xml:space="preserve"> </w:t>
      </w:r>
      <w:r w:rsidRPr="002029AF">
        <w:t>in</w:t>
      </w:r>
      <w:r w:rsidR="000A5329" w:rsidRPr="002029AF">
        <w:t xml:space="preserve"> </w:t>
      </w:r>
      <w:r w:rsidRPr="002029AF">
        <w:t>the</w:t>
      </w:r>
      <w:r w:rsidR="000A5329" w:rsidRPr="002029AF">
        <w:t xml:space="preserve"> </w:t>
      </w:r>
      <w:r w:rsidRPr="002029AF">
        <w:t>funding</w:t>
      </w:r>
      <w:r w:rsidR="000A5329" w:rsidRPr="002029AF">
        <w:t xml:space="preserve"> </w:t>
      </w:r>
      <w:r w:rsidRPr="002029AF">
        <w:t>agreement</w:t>
      </w:r>
      <w:r w:rsidR="000A5329" w:rsidRPr="002029AF">
        <w:t xml:space="preserve"> </w:t>
      </w:r>
      <w:r w:rsidRPr="002029AF">
        <w:t>and</w:t>
      </w:r>
      <w:r w:rsidR="000A5329" w:rsidRPr="002029AF">
        <w:t xml:space="preserve"> </w:t>
      </w:r>
      <w:r w:rsidRPr="002029AF">
        <w:t>to</w:t>
      </w:r>
      <w:r w:rsidR="000A5329" w:rsidRPr="002029AF">
        <w:t xml:space="preserve"> </w:t>
      </w:r>
      <w:r w:rsidRPr="002029AF">
        <w:t>the</w:t>
      </w:r>
      <w:r w:rsidR="000A5329" w:rsidRPr="002029AF">
        <w:t xml:space="preserve"> </w:t>
      </w:r>
      <w:r w:rsidRPr="002029AF">
        <w:t>extent</w:t>
      </w:r>
      <w:r w:rsidR="000A5329" w:rsidRPr="002029AF">
        <w:t xml:space="preserve"> </w:t>
      </w:r>
      <w:r w:rsidRPr="002029AF">
        <w:t>that</w:t>
      </w:r>
      <w:r w:rsidR="000A5329" w:rsidRPr="002029AF">
        <w:t xml:space="preserve"> </w:t>
      </w:r>
      <w:r w:rsidRPr="002029AF">
        <w:t>it</w:t>
      </w:r>
      <w:r w:rsidR="000A5329" w:rsidRPr="002029AF">
        <w:t xml:space="preserve"> </w:t>
      </w:r>
      <w:r w:rsidRPr="002029AF">
        <w:t>is</w:t>
      </w:r>
      <w:r w:rsidR="000A5329" w:rsidRPr="002029AF">
        <w:t xml:space="preserve"> </w:t>
      </w:r>
      <w:r w:rsidRPr="002029AF">
        <w:t>highly</w:t>
      </w:r>
      <w:r w:rsidR="000A5329" w:rsidRPr="002029AF">
        <w:t xml:space="preserve"> </w:t>
      </w:r>
      <w:r w:rsidRPr="002029AF">
        <w:t>probable</w:t>
      </w:r>
      <w:r w:rsidR="000A5329" w:rsidRPr="002029AF">
        <w:t xml:space="preserve"> </w:t>
      </w:r>
      <w:r w:rsidRPr="002029AF">
        <w:t>a</w:t>
      </w:r>
      <w:r w:rsidR="000A5329" w:rsidRPr="002029AF">
        <w:t xml:space="preserve"> </w:t>
      </w:r>
      <w:r w:rsidRPr="002029AF">
        <w:t>significant</w:t>
      </w:r>
      <w:r w:rsidR="000A5329" w:rsidRPr="002029AF">
        <w:t xml:space="preserve"> </w:t>
      </w:r>
      <w:r w:rsidRPr="002029AF">
        <w:t>reversal</w:t>
      </w:r>
      <w:r w:rsidR="000A5329" w:rsidRPr="002029AF">
        <w:t xml:space="preserve"> </w:t>
      </w:r>
      <w:r w:rsidRPr="002029AF">
        <w:t>of</w:t>
      </w:r>
      <w:r w:rsidR="000A5329" w:rsidRPr="002029AF">
        <w:t xml:space="preserve"> </w:t>
      </w:r>
      <w:r w:rsidRPr="002029AF">
        <w:t>the</w:t>
      </w:r>
      <w:r w:rsidR="000A5329" w:rsidRPr="002029AF">
        <w:t xml:space="preserve"> </w:t>
      </w:r>
      <w:r w:rsidRPr="002029AF">
        <w:t>revenue</w:t>
      </w:r>
      <w:r w:rsidR="000A5329" w:rsidRPr="002029AF">
        <w:t xml:space="preserve"> </w:t>
      </w:r>
      <w:r w:rsidRPr="002029AF">
        <w:t>will</w:t>
      </w:r>
      <w:r w:rsidR="000A5329" w:rsidRPr="002029AF">
        <w:t xml:space="preserve"> </w:t>
      </w:r>
      <w:r w:rsidRPr="002029AF">
        <w:t>not</w:t>
      </w:r>
      <w:r w:rsidR="000A5329" w:rsidRPr="002029AF">
        <w:t xml:space="preserve"> </w:t>
      </w:r>
      <w:r w:rsidRPr="002029AF">
        <w:t>occur.</w:t>
      </w:r>
      <w:r w:rsidR="000A5329" w:rsidRPr="002029AF">
        <w:t xml:space="preserve"> </w:t>
      </w:r>
      <w:r w:rsidRPr="002029AF">
        <w:t>The</w:t>
      </w:r>
      <w:r w:rsidR="000A5329" w:rsidRPr="002029AF">
        <w:t xml:space="preserve"> </w:t>
      </w:r>
      <w:r w:rsidRPr="002029AF">
        <w:t>funding</w:t>
      </w:r>
      <w:r w:rsidR="000A5329" w:rsidRPr="002029AF">
        <w:t xml:space="preserve"> </w:t>
      </w:r>
      <w:r w:rsidRPr="002029AF">
        <w:t>payments</w:t>
      </w:r>
      <w:r w:rsidR="000A5329" w:rsidRPr="002029AF">
        <w:t xml:space="preserve"> </w:t>
      </w:r>
      <w:r w:rsidRPr="002029AF">
        <w:t>are</w:t>
      </w:r>
      <w:r w:rsidR="000A5329" w:rsidRPr="002029AF">
        <w:t xml:space="preserve"> </w:t>
      </w:r>
      <w:r w:rsidRPr="002029AF">
        <w:t>normally</w:t>
      </w:r>
      <w:r w:rsidR="000A5329" w:rsidRPr="002029AF">
        <w:t xml:space="preserve"> </w:t>
      </w:r>
      <w:r w:rsidRPr="002029AF">
        <w:t>received</w:t>
      </w:r>
      <w:r w:rsidR="000A5329" w:rsidRPr="002029AF">
        <w:t xml:space="preserve"> </w:t>
      </w:r>
      <w:r w:rsidRPr="002029AF">
        <w:t>in</w:t>
      </w:r>
      <w:r w:rsidR="000A5329" w:rsidRPr="002029AF">
        <w:t xml:space="preserve"> </w:t>
      </w:r>
      <w:r w:rsidRPr="002029AF">
        <w:t>advance</w:t>
      </w:r>
      <w:r w:rsidR="000A5329" w:rsidRPr="002029AF">
        <w:t xml:space="preserve"> </w:t>
      </w:r>
      <w:r w:rsidRPr="002029AF">
        <w:t>or</w:t>
      </w:r>
      <w:r w:rsidR="000A5329" w:rsidRPr="002029AF">
        <w:t xml:space="preserve"> </w:t>
      </w:r>
      <w:r w:rsidRPr="002029AF">
        <w:t>shortly</w:t>
      </w:r>
      <w:r w:rsidR="000A5329" w:rsidRPr="002029AF">
        <w:t xml:space="preserve"> </w:t>
      </w:r>
      <w:r w:rsidRPr="002029AF">
        <w:t>after</w:t>
      </w:r>
      <w:r w:rsidR="000A5329" w:rsidRPr="002029AF">
        <w:t xml:space="preserve"> </w:t>
      </w:r>
      <w:r w:rsidRPr="002029AF">
        <w:t>the</w:t>
      </w:r>
      <w:r w:rsidR="000A5329" w:rsidRPr="002029AF">
        <w:t xml:space="preserve"> </w:t>
      </w:r>
      <w:r w:rsidRPr="002029AF">
        <w:t>relevant</w:t>
      </w:r>
      <w:r w:rsidR="000A5329" w:rsidRPr="002029AF">
        <w:t xml:space="preserve"> </w:t>
      </w:r>
      <w:r w:rsidRPr="002029AF">
        <w:t>obligation</w:t>
      </w:r>
      <w:r w:rsidR="000A5329" w:rsidRPr="002029AF">
        <w:t xml:space="preserve"> </w:t>
      </w:r>
      <w:r w:rsidRPr="002029AF">
        <w:t>is</w:t>
      </w:r>
      <w:r w:rsidR="000A5329" w:rsidRPr="002029AF">
        <w:t xml:space="preserve"> </w:t>
      </w:r>
      <w:r w:rsidRPr="002029AF">
        <w:t>satisfied.</w:t>
      </w:r>
    </w:p>
    <w:p w14:paraId="1DE4911A" w14:textId="4A6D4725" w:rsidR="00087B91" w:rsidRPr="002029AF" w:rsidRDefault="00087B91" w:rsidP="00087B91">
      <w:pPr>
        <w:pStyle w:val="ARfinbody"/>
      </w:pPr>
      <w:r w:rsidRPr="002029AF">
        <w:t>Income</w:t>
      </w:r>
      <w:r w:rsidR="000A5329" w:rsidRPr="002029AF">
        <w:t xml:space="preserve"> </w:t>
      </w:r>
      <w:r w:rsidRPr="002029AF">
        <w:t>from</w:t>
      </w:r>
      <w:r w:rsidR="000A5329" w:rsidRPr="002029AF">
        <w:t xml:space="preserve"> </w:t>
      </w:r>
      <w:r w:rsidRPr="002029AF">
        <w:t>grants</w:t>
      </w:r>
      <w:r w:rsidR="000A5329" w:rsidRPr="002029AF">
        <w:t xml:space="preserve"> </w:t>
      </w:r>
      <w:r w:rsidRPr="002029AF">
        <w:t>without</w:t>
      </w:r>
      <w:r w:rsidR="000A5329" w:rsidRPr="002029AF">
        <w:t xml:space="preserve"> </w:t>
      </w:r>
      <w:r w:rsidRPr="002029AF">
        <w:t>any</w:t>
      </w:r>
      <w:r w:rsidR="000A5329" w:rsidRPr="002029AF">
        <w:t xml:space="preserve"> </w:t>
      </w:r>
      <w:r w:rsidRPr="002029AF">
        <w:t>sufficiently</w:t>
      </w:r>
      <w:r w:rsidR="000A5329" w:rsidRPr="002029AF">
        <w:t xml:space="preserve"> </w:t>
      </w:r>
      <w:r w:rsidRPr="002029AF">
        <w:t>specific</w:t>
      </w:r>
      <w:r w:rsidR="000A5329" w:rsidRPr="002029AF">
        <w:t xml:space="preserve"> </w:t>
      </w:r>
      <w:r w:rsidRPr="002029AF">
        <w:t>performance</w:t>
      </w:r>
      <w:r w:rsidR="000A5329" w:rsidRPr="002029AF">
        <w:t xml:space="preserve"> </w:t>
      </w:r>
      <w:r w:rsidRPr="002029AF">
        <w:t>obligations,</w:t>
      </w:r>
      <w:r w:rsidR="000A5329" w:rsidRPr="002029AF">
        <w:t xml:space="preserve"> </w:t>
      </w:r>
      <w:r w:rsidRPr="002029AF">
        <w:t>or</w:t>
      </w:r>
      <w:r w:rsidR="000A5329" w:rsidRPr="002029AF">
        <w:t xml:space="preserve"> </w:t>
      </w:r>
      <w:r w:rsidRPr="002029AF">
        <w:t>that</w:t>
      </w:r>
      <w:r w:rsidR="000A5329" w:rsidRPr="002029AF">
        <w:t xml:space="preserve"> </w:t>
      </w:r>
      <w:r w:rsidRPr="002029AF">
        <w:t>are</w:t>
      </w:r>
      <w:r w:rsidR="000A5329" w:rsidRPr="002029AF">
        <w:t xml:space="preserve"> </w:t>
      </w:r>
      <w:r w:rsidRPr="002029AF">
        <w:t>not</w:t>
      </w:r>
      <w:r w:rsidR="000A5329" w:rsidRPr="002029AF">
        <w:t xml:space="preserve"> </w:t>
      </w:r>
      <w:r w:rsidRPr="002029AF">
        <w:t>enforceable,</w:t>
      </w:r>
      <w:r w:rsidR="000A5329" w:rsidRPr="002029AF">
        <w:t xml:space="preserve"> </w:t>
      </w:r>
      <w:r w:rsidRPr="002029AF">
        <w:t>is</w:t>
      </w:r>
      <w:r w:rsidR="000A5329" w:rsidRPr="002029AF">
        <w:t xml:space="preserve"> </w:t>
      </w:r>
      <w:r w:rsidRPr="002029AF">
        <w:t>recognised</w:t>
      </w:r>
      <w:r w:rsidR="000A5329" w:rsidRPr="002029AF">
        <w:t xml:space="preserve"> </w:t>
      </w:r>
      <w:r w:rsidRPr="002029AF">
        <w:t>when</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an</w:t>
      </w:r>
      <w:r w:rsidR="000A5329" w:rsidRPr="002029AF">
        <w:t xml:space="preserve"> </w:t>
      </w:r>
      <w:r w:rsidRPr="002029AF">
        <w:t>unconditional</w:t>
      </w:r>
      <w:r w:rsidR="000A5329" w:rsidRPr="002029AF">
        <w:t xml:space="preserve"> </w:t>
      </w:r>
      <w:r w:rsidRPr="002029AF">
        <w:t>right</w:t>
      </w:r>
      <w:r w:rsidR="000A5329" w:rsidRPr="002029AF">
        <w:t xml:space="preserve"> </w:t>
      </w:r>
      <w:r w:rsidRPr="002029AF">
        <w:t>to</w:t>
      </w:r>
      <w:r w:rsidR="000A5329" w:rsidRPr="002029AF">
        <w:t xml:space="preserve"> </w:t>
      </w:r>
      <w:r w:rsidRPr="002029AF">
        <w:t>receive</w:t>
      </w:r>
      <w:r w:rsidR="000A5329" w:rsidRPr="002029AF">
        <w:t xml:space="preserve"> </w:t>
      </w:r>
      <w:r w:rsidRPr="002029AF">
        <w:t>the</w:t>
      </w:r>
      <w:r w:rsidR="000A5329" w:rsidRPr="002029AF">
        <w:t xml:space="preserve"> </w:t>
      </w:r>
      <w:r w:rsidRPr="002029AF">
        <w:t>cash</w:t>
      </w:r>
      <w:r w:rsidR="000A5329" w:rsidRPr="002029AF">
        <w:t xml:space="preserve"> </w:t>
      </w:r>
      <w:r w:rsidRPr="002029AF">
        <w:t>which</w:t>
      </w:r>
      <w:r w:rsidR="000A5329" w:rsidRPr="002029AF">
        <w:t xml:space="preserve"> </w:t>
      </w:r>
      <w:r w:rsidRPr="002029AF">
        <w:t>usually</w:t>
      </w:r>
      <w:r w:rsidR="000A5329" w:rsidRPr="002029AF">
        <w:t xml:space="preserve"> </w:t>
      </w:r>
      <w:r w:rsidRPr="002029AF">
        <w:t>coincides</w:t>
      </w:r>
      <w:r w:rsidR="000A5329" w:rsidRPr="002029AF">
        <w:t xml:space="preserve"> </w:t>
      </w:r>
      <w:r w:rsidRPr="002029AF">
        <w:t>with</w:t>
      </w:r>
      <w:r w:rsidR="000A5329" w:rsidRPr="002029AF">
        <w:t xml:space="preserve"> </w:t>
      </w:r>
      <w:r w:rsidRPr="002029AF">
        <w:t>receipt</w:t>
      </w:r>
      <w:r w:rsidR="000A5329" w:rsidRPr="002029AF">
        <w:t xml:space="preserve"> </w:t>
      </w:r>
      <w:r w:rsidRPr="002029AF">
        <w:t>of</w:t>
      </w:r>
      <w:r w:rsidR="000A5329" w:rsidRPr="002029AF">
        <w:t xml:space="preserve"> </w:t>
      </w:r>
      <w:r w:rsidRPr="002029AF">
        <w:t>cash.</w:t>
      </w:r>
      <w:r w:rsidR="000A5329" w:rsidRPr="002029AF">
        <w:t xml:space="preserve"> </w:t>
      </w:r>
      <w:r w:rsidRPr="002029AF">
        <w:t>On</w:t>
      </w:r>
      <w:r w:rsidR="000A5329" w:rsidRPr="002029AF">
        <w:t xml:space="preserve"> </w:t>
      </w:r>
      <w:r w:rsidRPr="002029AF">
        <w:t>initial</w:t>
      </w:r>
      <w:r w:rsidR="000A5329" w:rsidRPr="002029AF">
        <w:t xml:space="preserve"> </w:t>
      </w:r>
      <w:r w:rsidRPr="002029AF">
        <w:t>recognition</w:t>
      </w:r>
      <w:r w:rsidR="000A5329" w:rsidRPr="002029AF">
        <w:t xml:space="preserve"> </w:t>
      </w:r>
      <w:r w:rsidRPr="002029AF">
        <w:t>of</w:t>
      </w:r>
      <w:r w:rsidR="000A5329" w:rsidRPr="002029AF">
        <w:t xml:space="preserve"> </w:t>
      </w:r>
      <w:r w:rsidRPr="002029AF">
        <w:t>the</w:t>
      </w:r>
      <w:r w:rsidR="000A5329" w:rsidRPr="002029AF">
        <w:t xml:space="preserve"> </w:t>
      </w:r>
      <w:r w:rsidRPr="002029AF">
        <w:t>asset,</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recognises</w:t>
      </w:r>
      <w:r w:rsidR="000A5329" w:rsidRPr="002029AF">
        <w:t xml:space="preserve"> </w:t>
      </w:r>
      <w:r w:rsidRPr="002029AF">
        <w:t>any</w:t>
      </w:r>
      <w:r w:rsidR="000A5329" w:rsidRPr="002029AF">
        <w:t xml:space="preserve"> </w:t>
      </w:r>
      <w:r w:rsidRPr="002029AF">
        <w:t>related</w:t>
      </w:r>
      <w:r w:rsidR="000A5329" w:rsidRPr="002029AF">
        <w:t xml:space="preserve"> </w:t>
      </w:r>
      <w:r w:rsidRPr="002029AF">
        <w:t>contributions</w:t>
      </w:r>
      <w:r w:rsidR="000A5329" w:rsidRPr="002029AF">
        <w:t xml:space="preserve"> </w:t>
      </w:r>
      <w:r w:rsidRPr="002029AF">
        <w:t>by</w:t>
      </w:r>
      <w:r w:rsidR="000A5329" w:rsidRPr="002029AF">
        <w:t xml:space="preserve"> </w:t>
      </w:r>
      <w:r w:rsidRPr="002029AF">
        <w:t>owners,</w:t>
      </w:r>
      <w:r w:rsidR="000A5329" w:rsidRPr="002029AF">
        <w:t xml:space="preserve"> </w:t>
      </w:r>
      <w:r w:rsidRPr="002029AF">
        <w:t>increases</w:t>
      </w:r>
      <w:r w:rsidR="000A5329" w:rsidRPr="002029AF">
        <w:t xml:space="preserve"> </w:t>
      </w:r>
      <w:r w:rsidRPr="002029AF">
        <w:t>in</w:t>
      </w:r>
      <w:r w:rsidR="000A5329" w:rsidRPr="002029AF">
        <w:t xml:space="preserve"> </w:t>
      </w:r>
      <w:r w:rsidRPr="002029AF">
        <w:t>liabilities,</w:t>
      </w:r>
      <w:r w:rsidR="000A5329" w:rsidRPr="002029AF">
        <w:t xml:space="preserve"> </w:t>
      </w:r>
      <w:r w:rsidRPr="002029AF">
        <w:t>decreases</w:t>
      </w:r>
      <w:r w:rsidR="000A5329" w:rsidRPr="002029AF">
        <w:t xml:space="preserve"> </w:t>
      </w:r>
      <w:r w:rsidRPr="002029AF">
        <w:t>in</w:t>
      </w:r>
      <w:r w:rsidR="000A5329" w:rsidRPr="002029AF">
        <w:t xml:space="preserve"> </w:t>
      </w:r>
      <w:r w:rsidRPr="002029AF">
        <w:t>assets,</w:t>
      </w:r>
      <w:r w:rsidR="000A5329" w:rsidRPr="002029AF">
        <w:t xml:space="preserve"> </w:t>
      </w:r>
      <w:r w:rsidRPr="002029AF">
        <w:t>and</w:t>
      </w:r>
      <w:r w:rsidR="000A5329" w:rsidRPr="002029AF">
        <w:t xml:space="preserve"> </w:t>
      </w:r>
      <w:r w:rsidRPr="002029AF">
        <w:t>revenue</w:t>
      </w:r>
      <w:r w:rsidR="000A5329" w:rsidRPr="002029AF">
        <w:t xml:space="preserve"> </w:t>
      </w:r>
      <w:r w:rsidRPr="002029AF">
        <w:t>(‘related</w:t>
      </w:r>
      <w:r w:rsidR="00C83719" w:rsidRPr="002029AF">
        <w:t> </w:t>
      </w:r>
      <w:r w:rsidRPr="002029AF">
        <w:t>amounts’)</w:t>
      </w:r>
      <w:r w:rsidR="000A5329" w:rsidRPr="002029AF">
        <w:t xml:space="preserve"> </w:t>
      </w:r>
      <w:r w:rsidRPr="002029AF">
        <w:t>in</w:t>
      </w:r>
      <w:r w:rsidR="000A5329" w:rsidRPr="002029AF">
        <w:t xml:space="preserve"> </w:t>
      </w:r>
      <w:r w:rsidRPr="002029AF">
        <w:t>accordance</w:t>
      </w:r>
      <w:r w:rsidR="000A5329" w:rsidRPr="002029AF">
        <w:t xml:space="preserve"> </w:t>
      </w:r>
      <w:r w:rsidRPr="002029AF">
        <w:t>with</w:t>
      </w:r>
      <w:r w:rsidR="000A5329" w:rsidRPr="002029AF">
        <w:t xml:space="preserve"> </w:t>
      </w:r>
      <w:r w:rsidRPr="002029AF">
        <w:t>other</w:t>
      </w:r>
      <w:r w:rsidR="000A5329" w:rsidRPr="002029AF">
        <w:t xml:space="preserve"> </w:t>
      </w:r>
      <w:r w:rsidRPr="002029AF">
        <w:t>Australian</w:t>
      </w:r>
      <w:r w:rsidR="000A5329" w:rsidRPr="002029AF">
        <w:t xml:space="preserve"> </w:t>
      </w:r>
      <w:r w:rsidRPr="002029AF">
        <w:t>Accounting</w:t>
      </w:r>
      <w:r w:rsidR="000A5329" w:rsidRPr="002029AF">
        <w:t xml:space="preserve"> </w:t>
      </w:r>
      <w:r w:rsidRPr="002029AF">
        <w:t>Standards.</w:t>
      </w:r>
      <w:r w:rsidR="000A5329" w:rsidRPr="002029AF">
        <w:t xml:space="preserve"> </w:t>
      </w:r>
      <w:r w:rsidRPr="002029AF">
        <w:t>Related</w:t>
      </w:r>
      <w:r w:rsidR="000A5329" w:rsidRPr="002029AF">
        <w:t xml:space="preserve"> </w:t>
      </w:r>
      <w:r w:rsidRPr="002029AF">
        <w:t>amounts</w:t>
      </w:r>
      <w:r w:rsidR="000A5329" w:rsidRPr="002029AF">
        <w:t xml:space="preserve"> </w:t>
      </w:r>
      <w:r w:rsidRPr="002029AF">
        <w:t>may</w:t>
      </w:r>
      <w:r w:rsidR="000A5329" w:rsidRPr="002029AF">
        <w:t xml:space="preserve"> </w:t>
      </w:r>
      <w:r w:rsidRPr="002029AF">
        <w:t>take</w:t>
      </w:r>
      <w:r w:rsidR="000A5329" w:rsidRPr="002029AF">
        <w:t xml:space="preserve"> </w:t>
      </w:r>
      <w:r w:rsidRPr="002029AF">
        <w:t>the</w:t>
      </w:r>
      <w:r w:rsidR="000A5329" w:rsidRPr="002029AF">
        <w:t xml:space="preserve"> </w:t>
      </w:r>
      <w:r w:rsidRPr="002029AF">
        <w:t>form</w:t>
      </w:r>
      <w:r w:rsidR="000A5329" w:rsidRPr="002029AF">
        <w:t xml:space="preserve"> </w:t>
      </w:r>
      <w:r w:rsidRPr="002029AF">
        <w:t>of:</w:t>
      </w:r>
    </w:p>
    <w:p w14:paraId="649F58A7" w14:textId="33AAC79E" w:rsidR="00087B91" w:rsidRPr="002029AF" w:rsidRDefault="00087B91" w:rsidP="00087B91">
      <w:pPr>
        <w:pStyle w:val="ARfinnumberalpha1"/>
      </w:pPr>
      <w:r w:rsidRPr="002029AF">
        <w:t>contributions</w:t>
      </w:r>
      <w:r w:rsidR="000A5329" w:rsidRPr="002029AF">
        <w:t xml:space="preserve"> </w:t>
      </w:r>
      <w:r w:rsidRPr="002029AF">
        <w:t>by</w:t>
      </w:r>
      <w:r w:rsidR="000A5329" w:rsidRPr="002029AF">
        <w:t xml:space="preserve"> </w:t>
      </w:r>
      <w:r w:rsidRPr="002029AF">
        <w:t>owners,</w:t>
      </w:r>
      <w:r w:rsidR="000A5329" w:rsidRPr="002029AF">
        <w:t xml:space="preserve"> </w:t>
      </w:r>
      <w:r w:rsidRPr="002029AF">
        <w:t>in</w:t>
      </w:r>
      <w:r w:rsidR="000A5329" w:rsidRPr="002029AF">
        <w:t xml:space="preserve"> </w:t>
      </w:r>
      <w:r w:rsidRPr="002029AF">
        <w:t>accordance</w:t>
      </w:r>
      <w:r w:rsidR="000A5329" w:rsidRPr="002029AF">
        <w:t xml:space="preserve"> </w:t>
      </w:r>
      <w:r w:rsidRPr="002029AF">
        <w:t>with</w:t>
      </w:r>
      <w:r w:rsidR="000A5329" w:rsidRPr="002029AF">
        <w:t xml:space="preserve"> </w:t>
      </w:r>
      <w:r w:rsidRPr="002029AF">
        <w:t>AASB</w:t>
      </w:r>
      <w:r w:rsidR="000A5329" w:rsidRPr="002029AF">
        <w:t xml:space="preserve"> </w:t>
      </w:r>
      <w:r w:rsidRPr="002029AF">
        <w:t>1004</w:t>
      </w:r>
    </w:p>
    <w:p w14:paraId="5018E013" w14:textId="14FB8775" w:rsidR="00087B91" w:rsidRPr="002029AF" w:rsidRDefault="00087B91" w:rsidP="00087B91">
      <w:pPr>
        <w:pStyle w:val="ARfinnumberalpha1"/>
      </w:pPr>
      <w:r w:rsidRPr="002029AF">
        <w:t>revenue</w:t>
      </w:r>
      <w:r w:rsidR="000A5329" w:rsidRPr="002029AF">
        <w:t xml:space="preserve"> </w:t>
      </w:r>
      <w:r w:rsidRPr="002029AF">
        <w:t>or</w:t>
      </w:r>
      <w:r w:rsidR="000A5329" w:rsidRPr="002029AF">
        <w:t xml:space="preserve"> </w:t>
      </w:r>
      <w:r w:rsidRPr="002029AF">
        <w:t>a</w:t>
      </w:r>
      <w:r w:rsidR="000A5329" w:rsidRPr="002029AF">
        <w:t xml:space="preserve"> </w:t>
      </w:r>
      <w:r w:rsidRPr="002029AF">
        <w:t>contract</w:t>
      </w:r>
      <w:r w:rsidR="000A5329" w:rsidRPr="002029AF">
        <w:t xml:space="preserve"> </w:t>
      </w:r>
      <w:r w:rsidRPr="002029AF">
        <w:t>liability</w:t>
      </w:r>
      <w:r w:rsidR="000A5329" w:rsidRPr="002029AF">
        <w:t xml:space="preserve"> </w:t>
      </w:r>
      <w:r w:rsidRPr="002029AF">
        <w:t>arising</w:t>
      </w:r>
      <w:r w:rsidR="000A5329" w:rsidRPr="002029AF">
        <w:t xml:space="preserve"> </w:t>
      </w:r>
      <w:r w:rsidRPr="002029AF">
        <w:t>from</w:t>
      </w:r>
      <w:r w:rsidR="000A5329" w:rsidRPr="002029AF">
        <w:t xml:space="preserve"> </w:t>
      </w:r>
      <w:r w:rsidRPr="002029AF">
        <w:t>a</w:t>
      </w:r>
      <w:r w:rsidR="000A5329" w:rsidRPr="002029AF">
        <w:t xml:space="preserve"> </w:t>
      </w:r>
      <w:r w:rsidRPr="002029AF">
        <w:t>contract</w:t>
      </w:r>
      <w:r w:rsidR="000A5329" w:rsidRPr="002029AF">
        <w:t xml:space="preserve"> </w:t>
      </w:r>
      <w:r w:rsidRPr="002029AF">
        <w:t>with</w:t>
      </w:r>
      <w:r w:rsidR="000A5329" w:rsidRPr="002029AF">
        <w:t xml:space="preserve"> </w:t>
      </w:r>
      <w:r w:rsidRPr="002029AF">
        <w:t>a</w:t>
      </w:r>
      <w:r w:rsidR="000A5329" w:rsidRPr="002029AF">
        <w:t xml:space="preserve"> </w:t>
      </w:r>
      <w:r w:rsidRPr="002029AF">
        <w:t>customer,</w:t>
      </w:r>
      <w:r w:rsidR="000A5329" w:rsidRPr="002029AF">
        <w:t xml:space="preserve"> </w:t>
      </w:r>
      <w:r w:rsidRPr="002029AF">
        <w:t>in</w:t>
      </w:r>
      <w:r w:rsidR="000A5329" w:rsidRPr="002029AF">
        <w:t xml:space="preserve"> </w:t>
      </w:r>
      <w:r w:rsidRPr="002029AF">
        <w:t>accordance</w:t>
      </w:r>
      <w:r w:rsidR="000A5329" w:rsidRPr="002029AF">
        <w:t xml:space="preserve"> </w:t>
      </w:r>
      <w:r w:rsidRPr="002029AF">
        <w:t>with</w:t>
      </w:r>
      <w:r w:rsidR="000A5329" w:rsidRPr="002029AF">
        <w:t xml:space="preserve"> </w:t>
      </w:r>
      <w:r w:rsidRPr="002029AF">
        <w:t>AASB</w:t>
      </w:r>
      <w:r w:rsidR="000A5329" w:rsidRPr="002029AF">
        <w:t xml:space="preserve"> </w:t>
      </w:r>
      <w:r w:rsidRPr="002029AF">
        <w:t>15</w:t>
      </w:r>
    </w:p>
    <w:p w14:paraId="655917D6" w14:textId="419FC476" w:rsidR="00087B91" w:rsidRPr="002029AF" w:rsidRDefault="00087B91" w:rsidP="00087B91">
      <w:pPr>
        <w:pStyle w:val="ARfinnumberalpha1"/>
      </w:pPr>
      <w:r w:rsidRPr="002029AF">
        <w:t>a</w:t>
      </w:r>
      <w:r w:rsidR="000A5329" w:rsidRPr="002029AF">
        <w:t xml:space="preserve"> </w:t>
      </w:r>
      <w:r w:rsidRPr="002029AF">
        <w:t>lease</w:t>
      </w:r>
      <w:r w:rsidR="000A5329" w:rsidRPr="002029AF">
        <w:t xml:space="preserve"> </w:t>
      </w:r>
      <w:r w:rsidRPr="002029AF">
        <w:t>liability,</w:t>
      </w:r>
      <w:r w:rsidR="000A5329" w:rsidRPr="002029AF">
        <w:t xml:space="preserve"> </w:t>
      </w:r>
      <w:r w:rsidRPr="002029AF">
        <w:t>in</w:t>
      </w:r>
      <w:r w:rsidR="000A5329" w:rsidRPr="002029AF">
        <w:t xml:space="preserve"> </w:t>
      </w:r>
      <w:r w:rsidRPr="002029AF">
        <w:t>accordance</w:t>
      </w:r>
      <w:r w:rsidR="000A5329" w:rsidRPr="002029AF">
        <w:t xml:space="preserve"> </w:t>
      </w:r>
      <w:r w:rsidRPr="002029AF">
        <w:t>with</w:t>
      </w:r>
      <w:r w:rsidR="000A5329" w:rsidRPr="002029AF">
        <w:t xml:space="preserve"> </w:t>
      </w:r>
      <w:r w:rsidRPr="002029AF">
        <w:t>AASB</w:t>
      </w:r>
      <w:r w:rsidR="000A5329" w:rsidRPr="002029AF">
        <w:t xml:space="preserve"> </w:t>
      </w:r>
      <w:r w:rsidRPr="002029AF">
        <w:t>16</w:t>
      </w:r>
    </w:p>
    <w:p w14:paraId="25F44BE7" w14:textId="072338EF" w:rsidR="00087B91" w:rsidRPr="002029AF" w:rsidRDefault="00087B91" w:rsidP="00087B91">
      <w:pPr>
        <w:pStyle w:val="ARfinnumberalpha1"/>
      </w:pPr>
      <w:r w:rsidRPr="002029AF">
        <w:t>a</w:t>
      </w:r>
      <w:r w:rsidR="000A5329" w:rsidRPr="002029AF">
        <w:t xml:space="preserve"> </w:t>
      </w:r>
      <w:r w:rsidRPr="002029AF">
        <w:t>financial</w:t>
      </w:r>
      <w:r w:rsidR="000A5329" w:rsidRPr="002029AF">
        <w:t xml:space="preserve"> </w:t>
      </w:r>
      <w:r w:rsidRPr="002029AF">
        <w:t>instrument,</w:t>
      </w:r>
      <w:r w:rsidR="000A5329" w:rsidRPr="002029AF">
        <w:t xml:space="preserve"> </w:t>
      </w:r>
      <w:r w:rsidRPr="002029AF">
        <w:t>in</w:t>
      </w:r>
      <w:r w:rsidR="000A5329" w:rsidRPr="002029AF">
        <w:t xml:space="preserve"> </w:t>
      </w:r>
      <w:r w:rsidRPr="002029AF">
        <w:t>accordance</w:t>
      </w:r>
      <w:r w:rsidR="000A5329" w:rsidRPr="002029AF">
        <w:t xml:space="preserve"> </w:t>
      </w:r>
      <w:r w:rsidRPr="002029AF">
        <w:t>with</w:t>
      </w:r>
      <w:r w:rsidR="000A5329" w:rsidRPr="002029AF">
        <w:t xml:space="preserve"> </w:t>
      </w:r>
      <w:r w:rsidRPr="002029AF">
        <w:t>AASB</w:t>
      </w:r>
      <w:r w:rsidR="000A5329" w:rsidRPr="002029AF">
        <w:t xml:space="preserve"> </w:t>
      </w:r>
      <w:r w:rsidRPr="002029AF">
        <w:t>9,</w:t>
      </w:r>
      <w:r w:rsidR="000A5329" w:rsidRPr="002029AF">
        <w:t xml:space="preserve"> </w:t>
      </w:r>
      <w:r w:rsidRPr="002029AF">
        <w:t>or</w:t>
      </w:r>
    </w:p>
    <w:p w14:paraId="2810AA9F" w14:textId="65E05D85" w:rsidR="00087B91" w:rsidRPr="002029AF" w:rsidRDefault="00087B91" w:rsidP="00087B91">
      <w:pPr>
        <w:pStyle w:val="ARfinnumberalpha1"/>
      </w:pPr>
      <w:r w:rsidRPr="002029AF">
        <w:t>a</w:t>
      </w:r>
      <w:r w:rsidR="000A5329" w:rsidRPr="002029AF">
        <w:t xml:space="preserve"> </w:t>
      </w:r>
      <w:r w:rsidRPr="002029AF">
        <w:t>provision,</w:t>
      </w:r>
      <w:r w:rsidR="000A5329" w:rsidRPr="002029AF">
        <w:t xml:space="preserve"> </w:t>
      </w:r>
      <w:r w:rsidRPr="002029AF">
        <w:t>in</w:t>
      </w:r>
      <w:r w:rsidR="000A5329" w:rsidRPr="002029AF">
        <w:t xml:space="preserve"> </w:t>
      </w:r>
      <w:r w:rsidRPr="002029AF">
        <w:t>accordance</w:t>
      </w:r>
      <w:r w:rsidR="000A5329" w:rsidRPr="002029AF">
        <w:t xml:space="preserve"> </w:t>
      </w:r>
      <w:r w:rsidRPr="002029AF">
        <w:t>with</w:t>
      </w:r>
      <w:r w:rsidR="000A5329" w:rsidRPr="002029AF">
        <w:t xml:space="preserve"> </w:t>
      </w:r>
      <w:r w:rsidRPr="002029AF">
        <w:t>AASB</w:t>
      </w:r>
      <w:r w:rsidR="000A5329" w:rsidRPr="002029AF">
        <w:t xml:space="preserve"> </w:t>
      </w:r>
      <w:r w:rsidRPr="002029AF">
        <w:t>137</w:t>
      </w:r>
      <w:r w:rsidR="000A5329" w:rsidRPr="002029AF">
        <w:t xml:space="preserve"> </w:t>
      </w:r>
      <w:r w:rsidRPr="002029AF">
        <w:rPr>
          <w:rStyle w:val="Emphasis"/>
        </w:rPr>
        <w:t>Provisions,</w:t>
      </w:r>
      <w:r w:rsidR="000A5329" w:rsidRPr="002029AF">
        <w:rPr>
          <w:rStyle w:val="Emphasis"/>
        </w:rPr>
        <w:t xml:space="preserve"> </w:t>
      </w:r>
      <w:r w:rsidRPr="002029AF">
        <w:rPr>
          <w:rStyle w:val="Emphasis"/>
        </w:rPr>
        <w:t>Contingent</w:t>
      </w:r>
      <w:r w:rsidR="000A5329" w:rsidRPr="002029AF">
        <w:rPr>
          <w:rStyle w:val="Emphasis"/>
        </w:rPr>
        <w:t xml:space="preserve"> </w:t>
      </w:r>
      <w:r w:rsidRPr="002029AF">
        <w:rPr>
          <w:rStyle w:val="Emphasis"/>
        </w:rPr>
        <w:t>Liabilities</w:t>
      </w:r>
      <w:r w:rsidR="000A5329" w:rsidRPr="002029AF">
        <w:rPr>
          <w:rStyle w:val="Emphasis"/>
        </w:rPr>
        <w:t xml:space="preserve"> </w:t>
      </w:r>
      <w:r w:rsidRPr="002029AF">
        <w:rPr>
          <w:rStyle w:val="Emphasis"/>
        </w:rPr>
        <w:t>and</w:t>
      </w:r>
      <w:r w:rsidR="000A5329" w:rsidRPr="002029AF">
        <w:rPr>
          <w:rStyle w:val="Emphasis"/>
        </w:rPr>
        <w:t xml:space="preserve"> </w:t>
      </w:r>
      <w:r w:rsidRPr="002029AF">
        <w:rPr>
          <w:rStyle w:val="Emphasis"/>
        </w:rPr>
        <w:t>Contingent</w:t>
      </w:r>
      <w:r w:rsidR="000A5329" w:rsidRPr="002029AF">
        <w:rPr>
          <w:rStyle w:val="Emphasis"/>
        </w:rPr>
        <w:t xml:space="preserve"> </w:t>
      </w:r>
      <w:r w:rsidRPr="002029AF">
        <w:rPr>
          <w:rStyle w:val="Emphasis"/>
        </w:rPr>
        <w:t>Assets</w:t>
      </w:r>
      <w:r w:rsidRPr="002029AF">
        <w:t>.</w:t>
      </w:r>
    </w:p>
    <w:p w14:paraId="226E571A" w14:textId="03C31B3A" w:rsidR="00087B91" w:rsidRPr="002029AF" w:rsidRDefault="00087B91" w:rsidP="00087B91">
      <w:pPr>
        <w:pStyle w:val="Heading6"/>
        <w:rPr>
          <w:lang w:val="en-AU"/>
        </w:rPr>
      </w:pPr>
      <w:r w:rsidRPr="002029AF">
        <w:rPr>
          <w:lang w:val="en-AU"/>
        </w:rPr>
        <w:t>Previous</w:t>
      </w:r>
      <w:r w:rsidR="000A5329" w:rsidRPr="002029AF">
        <w:rPr>
          <w:lang w:val="en-AU"/>
        </w:rPr>
        <w:t xml:space="preserve"> </w:t>
      </w:r>
      <w:r w:rsidRPr="002029AF">
        <w:rPr>
          <w:lang w:val="en-AU"/>
        </w:rPr>
        <w:t>accounting</w:t>
      </w:r>
      <w:r w:rsidR="000A5329" w:rsidRPr="002029AF">
        <w:rPr>
          <w:lang w:val="en-AU"/>
        </w:rPr>
        <w:t xml:space="preserve"> </w:t>
      </w:r>
      <w:r w:rsidRPr="002029AF">
        <w:rPr>
          <w:lang w:val="en-AU"/>
        </w:rPr>
        <w:t>policy</w:t>
      </w:r>
      <w:r w:rsidR="000A5329" w:rsidRPr="002029AF">
        <w:rPr>
          <w:lang w:val="en-AU"/>
        </w:rPr>
        <w:t xml:space="preserve"> </w:t>
      </w:r>
      <w:r w:rsidRPr="002029AF">
        <w:rPr>
          <w:lang w:val="en-AU"/>
        </w:rPr>
        <w:t>for</w:t>
      </w:r>
      <w:r w:rsidR="000A5329" w:rsidRPr="002029AF">
        <w:rPr>
          <w:lang w:val="en-AU"/>
        </w:rPr>
        <w:t xml:space="preserve"> </w:t>
      </w:r>
      <w:r w:rsidRPr="002029AF">
        <w:rPr>
          <w:lang w:val="en-AU"/>
        </w:rPr>
        <w:t>30</w:t>
      </w:r>
      <w:r w:rsidR="000A5329" w:rsidRPr="002029AF">
        <w:rPr>
          <w:lang w:val="en-AU"/>
        </w:rPr>
        <w:t xml:space="preserve"> </w:t>
      </w:r>
      <w:r w:rsidRPr="002029AF">
        <w:rPr>
          <w:lang w:val="en-AU"/>
        </w:rPr>
        <w:t>June</w:t>
      </w:r>
      <w:r w:rsidR="000A5329" w:rsidRPr="002029AF">
        <w:rPr>
          <w:lang w:val="en-AU"/>
        </w:rPr>
        <w:t xml:space="preserve"> </w:t>
      </w:r>
      <w:r w:rsidRPr="002029AF">
        <w:rPr>
          <w:lang w:val="en-AU"/>
        </w:rPr>
        <w:t>2019</w:t>
      </w:r>
    </w:p>
    <w:p w14:paraId="7E1042E7" w14:textId="5778CBE6" w:rsidR="00087B91" w:rsidRPr="002029AF" w:rsidRDefault="00087B91" w:rsidP="00087B91">
      <w:pPr>
        <w:pStyle w:val="ARfinbody"/>
      </w:pPr>
      <w:r w:rsidRPr="002029AF">
        <w:rPr>
          <w:rStyle w:val="Strong"/>
        </w:rPr>
        <w:t>Grant</w:t>
      </w:r>
      <w:r w:rsidR="000A5329" w:rsidRPr="002029AF">
        <w:rPr>
          <w:rStyle w:val="Strong"/>
        </w:rPr>
        <w:t xml:space="preserve"> </w:t>
      </w:r>
      <w:r w:rsidRPr="002029AF">
        <w:rPr>
          <w:rStyle w:val="Strong"/>
        </w:rPr>
        <w:t>income</w:t>
      </w:r>
      <w:r w:rsidR="000A5329" w:rsidRPr="002029AF">
        <w:t xml:space="preserve"> </w:t>
      </w:r>
      <w:r w:rsidRPr="002029AF">
        <w:t>arises</w:t>
      </w:r>
      <w:r w:rsidR="000A5329" w:rsidRPr="002029AF">
        <w:t xml:space="preserve"> </w:t>
      </w:r>
      <w:r w:rsidRPr="002029AF">
        <w:t>from</w:t>
      </w:r>
      <w:r w:rsidR="000A5329" w:rsidRPr="002029AF">
        <w:t xml:space="preserve"> </w:t>
      </w:r>
      <w:r w:rsidRPr="002029AF">
        <w:t>transactions</w:t>
      </w:r>
      <w:r w:rsidR="000A5329" w:rsidRPr="002029AF">
        <w:t xml:space="preserve"> </w:t>
      </w:r>
      <w:r w:rsidRPr="002029AF">
        <w:t>in</w:t>
      </w:r>
      <w:r w:rsidR="000A5329" w:rsidRPr="002029AF">
        <w:t xml:space="preserve"> </w:t>
      </w:r>
      <w:r w:rsidRPr="002029AF">
        <w:t>which</w:t>
      </w:r>
      <w:r w:rsidR="000A5329" w:rsidRPr="002029AF">
        <w:t xml:space="preserve"> </w:t>
      </w:r>
      <w:r w:rsidRPr="002029AF">
        <w:t>a</w:t>
      </w:r>
      <w:r w:rsidR="000A5329" w:rsidRPr="002029AF">
        <w:t xml:space="preserve"> </w:t>
      </w:r>
      <w:r w:rsidRPr="002029AF">
        <w:t>party</w:t>
      </w:r>
      <w:r w:rsidR="000A5329" w:rsidRPr="002029AF">
        <w:t xml:space="preserve"> </w:t>
      </w:r>
      <w:r w:rsidRPr="002029AF">
        <w:t>provides</w:t>
      </w:r>
      <w:r w:rsidR="000A5329" w:rsidRPr="002029AF">
        <w:t xml:space="preserve"> </w:t>
      </w:r>
      <w:r w:rsidRPr="002029AF">
        <w:t>goods</w:t>
      </w:r>
      <w:r w:rsidR="000A5329" w:rsidRPr="002029AF">
        <w:t xml:space="preserve"> </w:t>
      </w:r>
      <w:r w:rsidRPr="002029AF">
        <w:t>or</w:t>
      </w:r>
      <w:r w:rsidR="000A5329" w:rsidRPr="002029AF">
        <w:t xml:space="preserve"> </w:t>
      </w:r>
      <w:r w:rsidRPr="002029AF">
        <w:t>assets</w:t>
      </w:r>
      <w:r w:rsidR="000A5329" w:rsidRPr="002029AF">
        <w:t xml:space="preserve"> </w:t>
      </w:r>
      <w:r w:rsidRPr="002029AF">
        <w:t>(or</w:t>
      </w:r>
      <w:r w:rsidR="000A5329" w:rsidRPr="002029AF">
        <w:t xml:space="preserve"> </w:t>
      </w:r>
      <w:r w:rsidRPr="002029AF">
        <w:t>extinguishes</w:t>
      </w:r>
      <w:r w:rsidR="000A5329" w:rsidRPr="002029AF">
        <w:t xml:space="preserve"> </w:t>
      </w:r>
      <w:r w:rsidRPr="002029AF">
        <w:t>a</w:t>
      </w:r>
      <w:r w:rsidR="000A5329" w:rsidRPr="002029AF">
        <w:t xml:space="preserve"> </w:t>
      </w:r>
      <w:r w:rsidRPr="002029AF">
        <w:t>liability)</w:t>
      </w:r>
      <w:r w:rsidR="000A5329" w:rsidRPr="002029AF">
        <w:t xml:space="preserve"> </w:t>
      </w:r>
      <w:r w:rsidRPr="002029AF">
        <w:t>to</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without</w:t>
      </w:r>
      <w:r w:rsidR="000A5329" w:rsidRPr="002029AF">
        <w:t xml:space="preserve"> </w:t>
      </w:r>
      <w:r w:rsidRPr="002029AF">
        <w:t>receiving</w:t>
      </w:r>
      <w:r w:rsidR="000A5329" w:rsidRPr="002029AF">
        <w:t xml:space="preserve"> </w:t>
      </w:r>
      <w:r w:rsidRPr="002029AF">
        <w:t>approximately</w:t>
      </w:r>
      <w:r w:rsidR="000A5329" w:rsidRPr="002029AF">
        <w:t xml:space="preserve"> </w:t>
      </w:r>
      <w:r w:rsidRPr="002029AF">
        <w:t>equal</w:t>
      </w:r>
      <w:r w:rsidR="000A5329" w:rsidRPr="002029AF">
        <w:t xml:space="preserve"> </w:t>
      </w:r>
      <w:r w:rsidRPr="002029AF">
        <w:t>value</w:t>
      </w:r>
      <w:r w:rsidR="000A5329" w:rsidRPr="002029AF">
        <w:t xml:space="preserve"> </w:t>
      </w:r>
      <w:r w:rsidRPr="002029AF">
        <w:t>in</w:t>
      </w:r>
      <w:r w:rsidR="000A5329" w:rsidRPr="002029AF">
        <w:t xml:space="preserve"> </w:t>
      </w:r>
      <w:r w:rsidRPr="002029AF">
        <w:t>return.</w:t>
      </w:r>
      <w:r w:rsidR="000A5329" w:rsidRPr="002029AF">
        <w:t xml:space="preserve"> </w:t>
      </w:r>
      <w:r w:rsidRPr="002029AF">
        <w:t>While</w:t>
      </w:r>
      <w:r w:rsidR="000A5329" w:rsidRPr="002029AF">
        <w:t xml:space="preserve"> </w:t>
      </w:r>
      <w:r w:rsidRPr="002029AF">
        <w:t>grants</w:t>
      </w:r>
      <w:r w:rsidR="000A5329" w:rsidRPr="002029AF">
        <w:t xml:space="preserve"> </w:t>
      </w:r>
      <w:r w:rsidRPr="002029AF">
        <w:t>may</w:t>
      </w:r>
      <w:r w:rsidR="000A5329" w:rsidRPr="002029AF">
        <w:t xml:space="preserve"> </w:t>
      </w:r>
      <w:r w:rsidRPr="002029AF">
        <w:t>result</w:t>
      </w:r>
      <w:r w:rsidR="000A5329" w:rsidRPr="002029AF">
        <w:t xml:space="preserve"> </w:t>
      </w:r>
      <w:r w:rsidRPr="002029AF">
        <w:t>in</w:t>
      </w:r>
      <w:r w:rsidR="000A5329" w:rsidRPr="002029AF">
        <w:t xml:space="preserve"> </w:t>
      </w:r>
      <w:r w:rsidRPr="002029AF">
        <w:t>the</w:t>
      </w:r>
      <w:r w:rsidR="000A5329" w:rsidRPr="002029AF">
        <w:t xml:space="preserve"> </w:t>
      </w:r>
      <w:r w:rsidRPr="002029AF">
        <w:t>provision</w:t>
      </w:r>
      <w:r w:rsidR="000A5329" w:rsidRPr="002029AF">
        <w:t xml:space="preserve"> </w:t>
      </w:r>
      <w:r w:rsidRPr="002029AF">
        <w:t>of</w:t>
      </w:r>
      <w:r w:rsidR="000A5329" w:rsidRPr="002029AF">
        <w:t xml:space="preserve"> </w:t>
      </w:r>
      <w:r w:rsidRPr="002029AF">
        <w:t>some</w:t>
      </w:r>
      <w:r w:rsidR="000A5329" w:rsidRPr="002029AF">
        <w:t xml:space="preserve"> </w:t>
      </w:r>
      <w:r w:rsidRPr="002029AF">
        <w:t>goods</w:t>
      </w:r>
      <w:r w:rsidR="000A5329" w:rsidRPr="002029AF">
        <w:t xml:space="preserve"> </w:t>
      </w:r>
      <w:r w:rsidRPr="002029AF">
        <w:t>or</w:t>
      </w:r>
      <w:r w:rsidR="000A5329" w:rsidRPr="002029AF">
        <w:t xml:space="preserve"> </w:t>
      </w:r>
      <w:r w:rsidRPr="002029AF">
        <w:t>services</w:t>
      </w:r>
      <w:r w:rsidR="000A5329" w:rsidRPr="002029AF">
        <w:t xml:space="preserve"> </w:t>
      </w:r>
      <w:r w:rsidRPr="002029AF">
        <w:t>to</w:t>
      </w:r>
      <w:r w:rsidR="000A5329" w:rsidRPr="002029AF">
        <w:t xml:space="preserve"> </w:t>
      </w:r>
      <w:r w:rsidRPr="002029AF">
        <w:t>the</w:t>
      </w:r>
      <w:r w:rsidR="000A5329" w:rsidRPr="002029AF">
        <w:t xml:space="preserve"> </w:t>
      </w:r>
      <w:r w:rsidRPr="002029AF">
        <w:t>transferring</w:t>
      </w:r>
      <w:r w:rsidR="000A5329" w:rsidRPr="002029AF">
        <w:t xml:space="preserve"> </w:t>
      </w:r>
      <w:r w:rsidRPr="002029AF">
        <w:t>party,</w:t>
      </w:r>
      <w:r w:rsidR="000A5329" w:rsidRPr="002029AF">
        <w:t xml:space="preserve"> </w:t>
      </w:r>
      <w:r w:rsidRPr="002029AF">
        <w:t>they</w:t>
      </w:r>
      <w:r w:rsidR="000A5329" w:rsidRPr="002029AF">
        <w:t xml:space="preserve"> </w:t>
      </w:r>
      <w:r w:rsidRPr="002029AF">
        <w:t>do</w:t>
      </w:r>
      <w:r w:rsidR="000A5329" w:rsidRPr="002029AF">
        <w:t xml:space="preserve"> </w:t>
      </w:r>
      <w:r w:rsidRPr="002029AF">
        <w:t>not</w:t>
      </w:r>
      <w:r w:rsidR="000A5329" w:rsidRPr="002029AF">
        <w:t xml:space="preserve"> </w:t>
      </w:r>
      <w:r w:rsidRPr="002029AF">
        <w:t>provide</w:t>
      </w:r>
      <w:r w:rsidR="000A5329" w:rsidRPr="002029AF">
        <w:t xml:space="preserve"> </w:t>
      </w:r>
      <w:r w:rsidRPr="002029AF">
        <w:t>a</w:t>
      </w:r>
      <w:r w:rsidR="000A5329" w:rsidRPr="002029AF">
        <w:t xml:space="preserve"> </w:t>
      </w:r>
      <w:r w:rsidRPr="002029AF">
        <w:t>claim</w:t>
      </w:r>
      <w:r w:rsidR="000A5329" w:rsidRPr="002029AF">
        <w:t xml:space="preserve"> </w:t>
      </w:r>
      <w:r w:rsidRPr="002029AF">
        <w:t>to</w:t>
      </w:r>
      <w:r w:rsidR="000A5329" w:rsidRPr="002029AF">
        <w:t xml:space="preserve"> </w:t>
      </w:r>
      <w:r w:rsidRPr="002029AF">
        <w:t>receive</w:t>
      </w:r>
      <w:r w:rsidR="000A5329" w:rsidRPr="002029AF">
        <w:t xml:space="preserve"> </w:t>
      </w:r>
      <w:r w:rsidRPr="002029AF">
        <w:t>benefits</w:t>
      </w:r>
      <w:r w:rsidR="000A5329" w:rsidRPr="002029AF">
        <w:t xml:space="preserve"> </w:t>
      </w:r>
      <w:r w:rsidRPr="002029AF">
        <w:t>directly</w:t>
      </w:r>
      <w:r w:rsidR="000A5329" w:rsidRPr="002029AF">
        <w:t xml:space="preserve"> </w:t>
      </w:r>
      <w:r w:rsidRPr="002029AF">
        <w:t>of</w:t>
      </w:r>
      <w:r w:rsidR="000A5329" w:rsidRPr="002029AF">
        <w:t xml:space="preserve"> </w:t>
      </w:r>
      <w:r w:rsidRPr="002029AF">
        <w:t>approximately</w:t>
      </w:r>
      <w:r w:rsidR="000A5329" w:rsidRPr="002029AF">
        <w:t xml:space="preserve"> </w:t>
      </w:r>
      <w:r w:rsidRPr="002029AF">
        <w:t>equal</w:t>
      </w:r>
      <w:r w:rsidR="000A5329" w:rsidRPr="002029AF">
        <w:t xml:space="preserve"> </w:t>
      </w:r>
      <w:r w:rsidRPr="002029AF">
        <w:t>value</w:t>
      </w:r>
      <w:r w:rsidR="000A5329" w:rsidRPr="002029AF">
        <w:t xml:space="preserve"> </w:t>
      </w:r>
      <w:r w:rsidRPr="002029AF">
        <w:t>(and</w:t>
      </w:r>
      <w:r w:rsidR="000A5329" w:rsidRPr="002029AF">
        <w:t xml:space="preserve"> </w:t>
      </w:r>
      <w:r w:rsidRPr="002029AF">
        <w:t>are</w:t>
      </w:r>
      <w:r w:rsidR="000A5329" w:rsidRPr="002029AF">
        <w:t xml:space="preserve"> </w:t>
      </w:r>
      <w:r w:rsidRPr="002029AF">
        <w:t>termed</w:t>
      </w:r>
      <w:r w:rsidR="000A5329" w:rsidRPr="002029AF">
        <w:t xml:space="preserve"> </w:t>
      </w:r>
      <w:r w:rsidRPr="002029AF">
        <w:t>‘non-reciprocal’</w:t>
      </w:r>
      <w:r w:rsidR="000A5329" w:rsidRPr="002029AF">
        <w:t xml:space="preserve"> </w:t>
      </w:r>
      <w:r w:rsidRPr="002029AF">
        <w:t>transfers).</w:t>
      </w:r>
      <w:r w:rsidR="000A5329" w:rsidRPr="002029AF">
        <w:t xml:space="preserve"> </w:t>
      </w:r>
      <w:r w:rsidRPr="002029AF">
        <w:t>Receipt</w:t>
      </w:r>
      <w:r w:rsidR="000A5329" w:rsidRPr="002029AF">
        <w:t xml:space="preserve"> </w:t>
      </w:r>
      <w:r w:rsidRPr="002029AF">
        <w:t>and</w:t>
      </w:r>
      <w:r w:rsidR="000A5329" w:rsidRPr="002029AF">
        <w:t xml:space="preserve"> </w:t>
      </w:r>
      <w:r w:rsidRPr="002029AF">
        <w:t>sacrifice</w:t>
      </w:r>
      <w:r w:rsidR="000A5329" w:rsidRPr="002029AF">
        <w:t xml:space="preserve"> </w:t>
      </w:r>
      <w:r w:rsidRPr="002029AF">
        <w:t>of</w:t>
      </w:r>
      <w:r w:rsidR="000A5329" w:rsidRPr="002029AF">
        <w:t xml:space="preserve"> </w:t>
      </w:r>
      <w:r w:rsidRPr="002029AF">
        <w:t>approximately</w:t>
      </w:r>
      <w:r w:rsidR="000A5329" w:rsidRPr="002029AF">
        <w:t xml:space="preserve"> </w:t>
      </w:r>
      <w:r w:rsidRPr="002029AF">
        <w:t>equal</w:t>
      </w:r>
      <w:r w:rsidR="000A5329" w:rsidRPr="002029AF">
        <w:t xml:space="preserve"> </w:t>
      </w:r>
      <w:r w:rsidRPr="002029AF">
        <w:t>value</w:t>
      </w:r>
      <w:r w:rsidR="000A5329" w:rsidRPr="002029AF">
        <w:t xml:space="preserve"> </w:t>
      </w:r>
      <w:r w:rsidRPr="002029AF">
        <w:t>may</w:t>
      </w:r>
      <w:r w:rsidR="000A5329" w:rsidRPr="002029AF">
        <w:t xml:space="preserve"> </w:t>
      </w:r>
      <w:r w:rsidRPr="002029AF">
        <w:t>occur,</w:t>
      </w:r>
      <w:r w:rsidR="000A5329" w:rsidRPr="002029AF">
        <w:t xml:space="preserve"> </w:t>
      </w:r>
      <w:r w:rsidRPr="002029AF">
        <w:t>but</w:t>
      </w:r>
      <w:r w:rsidR="000A5329" w:rsidRPr="002029AF">
        <w:t xml:space="preserve"> </w:t>
      </w:r>
      <w:r w:rsidRPr="002029AF">
        <w:t>only</w:t>
      </w:r>
      <w:r w:rsidR="000A5329" w:rsidRPr="002029AF">
        <w:t xml:space="preserve"> </w:t>
      </w:r>
      <w:r w:rsidRPr="002029AF">
        <w:t>by</w:t>
      </w:r>
      <w:r w:rsidR="000A5329" w:rsidRPr="002029AF">
        <w:t xml:space="preserve"> </w:t>
      </w:r>
      <w:r w:rsidRPr="002029AF">
        <w:t>coincidence.</w:t>
      </w:r>
      <w:r w:rsidR="000A5329" w:rsidRPr="002029AF">
        <w:t xml:space="preserve"> </w:t>
      </w:r>
      <w:r w:rsidRPr="002029AF">
        <w:t>For</w:t>
      </w:r>
      <w:r w:rsidR="000A5329" w:rsidRPr="002029AF">
        <w:t xml:space="preserve"> </w:t>
      </w:r>
      <w:r w:rsidRPr="002029AF">
        <w:t>non-reciprocal</w:t>
      </w:r>
      <w:r w:rsidR="000A5329" w:rsidRPr="002029AF">
        <w:t xml:space="preserve"> </w:t>
      </w:r>
      <w:r w:rsidRPr="002029AF">
        <w:t>grants,</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recognises</w:t>
      </w:r>
      <w:r w:rsidR="000A5329" w:rsidRPr="002029AF">
        <w:t xml:space="preserve"> </w:t>
      </w:r>
      <w:r w:rsidRPr="002029AF">
        <w:t>revenue</w:t>
      </w:r>
      <w:r w:rsidR="000A5329" w:rsidRPr="002029AF">
        <w:t xml:space="preserve"> </w:t>
      </w:r>
      <w:r w:rsidRPr="002029AF">
        <w:t>when</w:t>
      </w:r>
      <w:r w:rsidR="000A5329" w:rsidRPr="002029AF">
        <w:t xml:space="preserve"> </w:t>
      </w:r>
      <w:r w:rsidRPr="002029AF">
        <w:t>the</w:t>
      </w:r>
      <w:r w:rsidR="000A5329" w:rsidRPr="002029AF">
        <w:t xml:space="preserve"> </w:t>
      </w:r>
      <w:r w:rsidRPr="002029AF">
        <w:t>grant</w:t>
      </w:r>
      <w:r w:rsidR="000A5329" w:rsidRPr="002029AF">
        <w:t xml:space="preserve"> </w:t>
      </w:r>
      <w:r w:rsidRPr="002029AF">
        <w:t>is</w:t>
      </w:r>
      <w:r w:rsidR="000A5329" w:rsidRPr="002029AF">
        <w:t xml:space="preserve"> </w:t>
      </w:r>
      <w:r w:rsidRPr="002029AF">
        <w:t>receivable</w:t>
      </w:r>
      <w:r w:rsidR="000A5329" w:rsidRPr="002029AF">
        <w:t xml:space="preserve"> </w:t>
      </w:r>
      <w:r w:rsidRPr="002029AF">
        <w:t>or</w:t>
      </w:r>
      <w:r w:rsidR="000A5329" w:rsidRPr="002029AF">
        <w:t xml:space="preserve"> </w:t>
      </w:r>
      <w:r w:rsidRPr="002029AF">
        <w:t>received.</w:t>
      </w:r>
    </w:p>
    <w:p w14:paraId="50E39C8A" w14:textId="052F9B48" w:rsidR="00087B91" w:rsidRPr="002029AF" w:rsidRDefault="00087B91" w:rsidP="00087B91">
      <w:pPr>
        <w:pStyle w:val="ARfinbody"/>
      </w:pPr>
      <w:r w:rsidRPr="002029AF">
        <w:t>Some</w:t>
      </w:r>
      <w:r w:rsidR="000A5329" w:rsidRPr="002029AF">
        <w:t xml:space="preserve"> </w:t>
      </w:r>
      <w:r w:rsidRPr="002029AF">
        <w:t>grants</w:t>
      </w:r>
      <w:r w:rsidR="000A5329" w:rsidRPr="002029AF">
        <w:t xml:space="preserve"> </w:t>
      </w:r>
      <w:r w:rsidRPr="002029AF">
        <w:t>are</w:t>
      </w:r>
      <w:r w:rsidR="000A5329" w:rsidRPr="002029AF">
        <w:t xml:space="preserve"> </w:t>
      </w:r>
      <w:r w:rsidRPr="002029AF">
        <w:t>reciprocal</w:t>
      </w:r>
      <w:r w:rsidR="000A5329" w:rsidRPr="002029AF">
        <w:t xml:space="preserve"> </w:t>
      </w:r>
      <w:r w:rsidRPr="002029AF">
        <w:t>in</w:t>
      </w:r>
      <w:r w:rsidR="000A5329" w:rsidRPr="002029AF">
        <w:t xml:space="preserve"> </w:t>
      </w:r>
      <w:r w:rsidRPr="002029AF">
        <w:t>nature</w:t>
      </w:r>
      <w:r w:rsidR="000A5329" w:rsidRPr="002029AF">
        <w:t xml:space="preserve"> </w:t>
      </w:r>
      <w:r w:rsidRPr="002029AF">
        <w:t>(goods</w:t>
      </w:r>
      <w:r w:rsidR="000A5329" w:rsidRPr="002029AF">
        <w:t xml:space="preserve"> </w:t>
      </w:r>
      <w:r w:rsidRPr="002029AF">
        <w:t>or</w:t>
      </w:r>
      <w:r w:rsidR="000A5329" w:rsidRPr="002029AF">
        <w:t xml:space="preserve"> </w:t>
      </w:r>
      <w:r w:rsidRPr="002029AF">
        <w:t>services</w:t>
      </w:r>
      <w:r w:rsidR="000A5329" w:rsidRPr="002029AF">
        <w:t xml:space="preserve"> </w:t>
      </w:r>
      <w:r w:rsidRPr="002029AF">
        <w:t>of</w:t>
      </w:r>
      <w:r w:rsidR="000A5329" w:rsidRPr="002029AF">
        <w:t xml:space="preserve"> </w:t>
      </w:r>
      <w:r w:rsidRPr="002029AF">
        <w:t>an</w:t>
      </w:r>
      <w:r w:rsidR="000A5329" w:rsidRPr="002029AF">
        <w:t xml:space="preserve"> </w:t>
      </w:r>
      <w:r w:rsidRPr="002029AF">
        <w:t>equal</w:t>
      </w:r>
      <w:r w:rsidR="000A5329" w:rsidRPr="002029AF">
        <w:t xml:space="preserve"> </w:t>
      </w:r>
      <w:r w:rsidRPr="002029AF">
        <w:t>value</w:t>
      </w:r>
      <w:r w:rsidR="000A5329" w:rsidRPr="002029AF">
        <w:t xml:space="preserve"> </w:t>
      </w:r>
      <w:r w:rsidRPr="002029AF">
        <w:t>are</w:t>
      </w:r>
      <w:r w:rsidR="000A5329" w:rsidRPr="002029AF">
        <w:t xml:space="preserve"> </w:t>
      </w:r>
      <w:r w:rsidRPr="002029AF">
        <w:t>provided</w:t>
      </w:r>
      <w:r w:rsidR="000A5329" w:rsidRPr="002029AF">
        <w:t xml:space="preserve"> </w:t>
      </w:r>
      <w:r w:rsidRPr="002029AF">
        <w:t>by</w:t>
      </w:r>
      <w:r w:rsidR="000A5329" w:rsidRPr="002029AF">
        <w:t xml:space="preserve"> </w:t>
      </w:r>
      <w:r w:rsidRPr="002029AF">
        <w:t>the</w:t>
      </w:r>
      <w:r w:rsidR="000A5329" w:rsidRPr="002029AF">
        <w:t xml:space="preserve"> </w:t>
      </w:r>
      <w:r w:rsidRPr="002029AF">
        <w:t>recipient</w:t>
      </w:r>
      <w:r w:rsidR="000A5329" w:rsidRPr="002029AF">
        <w:t xml:space="preserve"> </w:t>
      </w:r>
      <w:r w:rsidRPr="002029AF">
        <w:t>of</w:t>
      </w:r>
      <w:r w:rsidR="000A5329" w:rsidRPr="002029AF">
        <w:t xml:space="preserve"> </w:t>
      </w:r>
      <w:r w:rsidRPr="002029AF">
        <w:t>the</w:t>
      </w:r>
      <w:r w:rsidR="000A5329" w:rsidRPr="002029AF">
        <w:t xml:space="preserve"> </w:t>
      </w:r>
      <w:r w:rsidRPr="002029AF">
        <w:t>grant</w:t>
      </w:r>
      <w:r w:rsidR="000A5329" w:rsidRPr="002029AF">
        <w:t xml:space="preserve"> </w:t>
      </w:r>
      <w:r w:rsidRPr="002029AF">
        <w:t>to</w:t>
      </w:r>
      <w:r w:rsidR="000A5329" w:rsidRPr="002029AF">
        <w:t xml:space="preserve"> </w:t>
      </w:r>
      <w:r w:rsidRPr="002029AF">
        <w:t>the</w:t>
      </w:r>
      <w:r w:rsidR="000A5329" w:rsidRPr="002029AF">
        <w:t xml:space="preserve"> </w:t>
      </w:r>
      <w:r w:rsidRPr="002029AF">
        <w:t>provider).</w:t>
      </w:r>
      <w:r w:rsidR="000A5329" w:rsidRPr="002029AF">
        <w:t xml:space="preserve"> </w:t>
      </w:r>
      <w:r w:rsidRPr="002029AF">
        <w:t>The</w:t>
      </w:r>
      <w:r w:rsidR="00C83719" w:rsidRPr="002029AF">
        <w:t> </w:t>
      </w:r>
      <w:r w:rsidRPr="002029AF">
        <w:t>department</w:t>
      </w:r>
      <w:r w:rsidR="000A5329" w:rsidRPr="002029AF">
        <w:t xml:space="preserve"> </w:t>
      </w:r>
      <w:r w:rsidRPr="002029AF">
        <w:t>recognises</w:t>
      </w:r>
      <w:r w:rsidR="000A5329" w:rsidRPr="002029AF">
        <w:t xml:space="preserve"> </w:t>
      </w:r>
      <w:r w:rsidRPr="002029AF">
        <w:t>income</w:t>
      </w:r>
      <w:r w:rsidR="000A5329" w:rsidRPr="002029AF">
        <w:t xml:space="preserve"> </w:t>
      </w:r>
      <w:r w:rsidRPr="002029AF">
        <w:t>when</w:t>
      </w:r>
      <w:r w:rsidR="000A5329" w:rsidRPr="002029AF">
        <w:t xml:space="preserve"> </w:t>
      </w:r>
      <w:r w:rsidRPr="002029AF">
        <w:t>it</w:t>
      </w:r>
      <w:r w:rsidR="000A5329" w:rsidRPr="002029AF">
        <w:t xml:space="preserve"> </w:t>
      </w:r>
      <w:r w:rsidRPr="002029AF">
        <w:t>has</w:t>
      </w:r>
      <w:r w:rsidR="000A5329" w:rsidRPr="002029AF">
        <w:t xml:space="preserve"> </w:t>
      </w:r>
      <w:r w:rsidRPr="002029AF">
        <w:t>satisfied</w:t>
      </w:r>
      <w:r w:rsidR="000A5329" w:rsidRPr="002029AF">
        <w:t xml:space="preserve"> </w:t>
      </w:r>
      <w:r w:rsidRPr="002029AF">
        <w:t>its</w:t>
      </w:r>
      <w:r w:rsidR="000A5329" w:rsidRPr="002029AF">
        <w:t xml:space="preserve"> </w:t>
      </w:r>
      <w:r w:rsidRPr="002029AF">
        <w:t>performance</w:t>
      </w:r>
      <w:r w:rsidR="000A5329" w:rsidRPr="002029AF">
        <w:t xml:space="preserve"> </w:t>
      </w:r>
      <w:r w:rsidRPr="002029AF">
        <w:t>obligations</w:t>
      </w:r>
      <w:r w:rsidR="000A5329" w:rsidRPr="002029AF">
        <w:t xml:space="preserve"> </w:t>
      </w:r>
      <w:r w:rsidRPr="002029AF">
        <w:t>under</w:t>
      </w:r>
      <w:r w:rsidR="000A5329" w:rsidRPr="002029AF">
        <w:t xml:space="preserve"> </w:t>
      </w:r>
      <w:r w:rsidRPr="002029AF">
        <w:t>the</w:t>
      </w:r>
      <w:r w:rsidR="000A5329" w:rsidRPr="002029AF">
        <w:t xml:space="preserve"> </w:t>
      </w:r>
      <w:r w:rsidRPr="002029AF">
        <w:t>terms</w:t>
      </w:r>
      <w:r w:rsidR="000A5329" w:rsidRPr="002029AF">
        <w:t xml:space="preserve"> </w:t>
      </w:r>
      <w:r w:rsidRPr="002029AF">
        <w:t>of</w:t>
      </w:r>
      <w:r w:rsidR="000A5329" w:rsidRPr="002029AF">
        <w:t xml:space="preserve"> </w:t>
      </w:r>
      <w:r w:rsidRPr="002029AF">
        <w:t>the</w:t>
      </w:r>
      <w:r w:rsidR="000A5329" w:rsidRPr="002029AF">
        <w:t xml:space="preserve"> </w:t>
      </w:r>
      <w:r w:rsidRPr="002029AF">
        <w:t>grant.</w:t>
      </w:r>
    </w:p>
    <w:p w14:paraId="6583AF6C" w14:textId="77777777" w:rsidR="00831154" w:rsidRPr="00E40AFC" w:rsidRDefault="00831154" w:rsidP="00E40AFC">
      <w:pPr>
        <w:pStyle w:val="ARbody"/>
      </w:pPr>
      <w:bookmarkStart w:id="294" w:name="_Toc39136695"/>
      <w:r w:rsidRPr="00E40AFC">
        <w:br w:type="page"/>
      </w:r>
    </w:p>
    <w:p w14:paraId="46F94774" w14:textId="240B6DE5" w:rsidR="00087B91" w:rsidRPr="002029AF" w:rsidRDefault="00087B91" w:rsidP="00087B91">
      <w:pPr>
        <w:pStyle w:val="Heading5"/>
      </w:pPr>
      <w:r w:rsidRPr="002029AF">
        <w:lastRenderedPageBreak/>
        <w:t>2.4.4</w:t>
      </w:r>
      <w:r w:rsidR="000A5329" w:rsidRPr="002029AF">
        <w:t xml:space="preserve"> </w:t>
      </w:r>
      <w:r w:rsidRPr="002029AF">
        <w:t>Fair</w:t>
      </w:r>
      <w:r w:rsidR="000A5329" w:rsidRPr="002029AF">
        <w:t xml:space="preserve"> </w:t>
      </w:r>
      <w:r w:rsidRPr="002029AF">
        <w:t>value</w:t>
      </w:r>
      <w:r w:rsidR="000A5329" w:rsidRPr="002029AF">
        <w:t xml:space="preserve"> </w:t>
      </w:r>
      <w:r w:rsidRPr="002029AF">
        <w:t>of</w:t>
      </w:r>
      <w:r w:rsidR="000A5329" w:rsidRPr="002029AF">
        <w:t xml:space="preserve"> </w:t>
      </w:r>
      <w:r w:rsidRPr="002029AF">
        <w:t>assets</w:t>
      </w:r>
      <w:r w:rsidR="000A5329" w:rsidRPr="002029AF">
        <w:t xml:space="preserve"> </w:t>
      </w:r>
      <w:r w:rsidRPr="002029AF">
        <w:t>and</w:t>
      </w:r>
      <w:r w:rsidR="000A5329" w:rsidRPr="002029AF">
        <w:t xml:space="preserve"> </w:t>
      </w:r>
      <w:r w:rsidRPr="002029AF">
        <w:t>services</w:t>
      </w:r>
      <w:r w:rsidR="000A5329" w:rsidRPr="002029AF">
        <w:t xml:space="preserve"> </w:t>
      </w:r>
      <w:r w:rsidRPr="002029AF">
        <w:t>received</w:t>
      </w:r>
      <w:r w:rsidR="000A5329" w:rsidRPr="002029AF">
        <w:t xml:space="preserve"> </w:t>
      </w:r>
      <w:r w:rsidRPr="002029AF">
        <w:t>free</w:t>
      </w:r>
      <w:r w:rsidR="000A5329" w:rsidRPr="002029AF">
        <w:t xml:space="preserve"> </w:t>
      </w:r>
      <w:r w:rsidRPr="002029AF">
        <w:t>of</w:t>
      </w:r>
      <w:r w:rsidR="000A5329" w:rsidRPr="002029AF">
        <w:t xml:space="preserve"> </w:t>
      </w:r>
      <w:r w:rsidRPr="002029AF">
        <w:t>charge</w:t>
      </w:r>
      <w:r w:rsidR="000A5329" w:rsidRPr="002029AF">
        <w:t xml:space="preserve"> </w:t>
      </w:r>
      <w:r w:rsidRPr="002029AF">
        <w:t>or</w:t>
      </w:r>
      <w:r w:rsidR="000A5329" w:rsidRPr="002029AF">
        <w:t xml:space="preserve"> </w:t>
      </w:r>
      <w:r w:rsidRPr="002029AF">
        <w:t>for</w:t>
      </w:r>
      <w:r w:rsidR="000A5329" w:rsidRPr="002029AF">
        <w:t xml:space="preserve"> </w:t>
      </w:r>
      <w:r w:rsidRPr="002029AF">
        <w:t>nominal</w:t>
      </w:r>
      <w:r w:rsidR="000A5329" w:rsidRPr="002029AF">
        <w:t xml:space="preserve"> </w:t>
      </w:r>
      <w:r w:rsidRPr="002029AF">
        <w:t>consideration</w:t>
      </w:r>
      <w:bookmarkEnd w:id="294"/>
    </w:p>
    <w:tbl>
      <w:tblPr>
        <w:tblStyle w:val="TableGrid"/>
        <w:tblW w:w="9637" w:type="dxa"/>
        <w:tblLayout w:type="fixed"/>
        <w:tblLook w:val="06A0" w:firstRow="1" w:lastRow="0" w:firstColumn="1" w:lastColumn="0" w:noHBand="1" w:noVBand="1"/>
      </w:tblPr>
      <w:tblGrid>
        <w:gridCol w:w="7369"/>
        <w:gridCol w:w="1134"/>
        <w:gridCol w:w="1134"/>
      </w:tblGrid>
      <w:tr w:rsidR="00087B91" w:rsidRPr="002029AF" w14:paraId="01D393BA" w14:textId="77777777" w:rsidTr="00C83719">
        <w:trPr>
          <w:cnfStyle w:val="100000000000" w:firstRow="1" w:lastRow="0" w:firstColumn="0" w:lastColumn="0" w:oddVBand="0" w:evenVBand="0" w:oddHBand="0" w:evenHBand="0" w:firstRowFirstColumn="0" w:firstRowLastColumn="0" w:lastRowFirstColumn="0" w:lastRowLastColumn="0"/>
          <w:tblHeader/>
        </w:trPr>
        <w:tc>
          <w:tcPr>
            <w:tcW w:w="7371" w:type="dxa"/>
            <w:tcBorders>
              <w:bottom w:val="single" w:sz="4" w:space="0" w:color="auto"/>
            </w:tcBorders>
            <w:noWrap/>
            <w:hideMark/>
          </w:tcPr>
          <w:p w14:paraId="64370781" w14:textId="77777777" w:rsidR="00087B91" w:rsidRPr="002029AF" w:rsidRDefault="00087B91" w:rsidP="00860E95">
            <w:pPr>
              <w:pStyle w:val="ARfintablecolhead"/>
            </w:pPr>
          </w:p>
        </w:tc>
        <w:tc>
          <w:tcPr>
            <w:tcW w:w="1134" w:type="dxa"/>
            <w:tcBorders>
              <w:bottom w:val="single" w:sz="4" w:space="0" w:color="auto"/>
            </w:tcBorders>
            <w:shd w:val="clear" w:color="auto" w:fill="E7E6E6"/>
            <w:hideMark/>
          </w:tcPr>
          <w:p w14:paraId="2E27BBF4" w14:textId="77777777" w:rsidR="00087B91" w:rsidRPr="002029AF" w:rsidRDefault="00087B91" w:rsidP="00860E95">
            <w:pPr>
              <w:pStyle w:val="ARfintablecolheadright"/>
            </w:pPr>
            <w:r w:rsidRPr="002029AF">
              <w:t>2020</w:t>
            </w:r>
          </w:p>
          <w:p w14:paraId="45623C2F" w14:textId="77777777" w:rsidR="00087B91" w:rsidRPr="002029AF" w:rsidRDefault="00087B91" w:rsidP="00860E95">
            <w:pPr>
              <w:pStyle w:val="ARfintablecolheadright"/>
            </w:pPr>
            <w:r w:rsidRPr="002029AF">
              <w:t>$M</w:t>
            </w:r>
          </w:p>
        </w:tc>
        <w:tc>
          <w:tcPr>
            <w:tcW w:w="1134" w:type="dxa"/>
            <w:tcBorders>
              <w:bottom w:val="single" w:sz="4" w:space="0" w:color="auto"/>
            </w:tcBorders>
            <w:hideMark/>
          </w:tcPr>
          <w:p w14:paraId="64ABA7EC" w14:textId="77777777" w:rsidR="00087B91" w:rsidRPr="002029AF" w:rsidRDefault="00087B91" w:rsidP="00860E95">
            <w:pPr>
              <w:pStyle w:val="ARfintablecolheadright"/>
            </w:pPr>
            <w:r w:rsidRPr="002029AF">
              <w:t>2019</w:t>
            </w:r>
          </w:p>
          <w:p w14:paraId="2855E233" w14:textId="77777777" w:rsidR="00087B91" w:rsidRPr="002029AF" w:rsidRDefault="00087B91" w:rsidP="00860E95">
            <w:pPr>
              <w:pStyle w:val="ARfintablecolheadright"/>
            </w:pPr>
            <w:r w:rsidRPr="002029AF">
              <w:t>$M</w:t>
            </w:r>
          </w:p>
        </w:tc>
      </w:tr>
      <w:tr w:rsidR="00087B91" w:rsidRPr="002029AF" w14:paraId="339FD4DC" w14:textId="77777777" w:rsidTr="00860E95">
        <w:tc>
          <w:tcPr>
            <w:tcW w:w="7371" w:type="dxa"/>
            <w:tcBorders>
              <w:top w:val="single" w:sz="4" w:space="0" w:color="auto"/>
              <w:bottom w:val="single" w:sz="4" w:space="0" w:color="A6A6A6"/>
            </w:tcBorders>
            <w:hideMark/>
          </w:tcPr>
          <w:p w14:paraId="2CD6E7D7" w14:textId="2BFC8522" w:rsidR="00087B91" w:rsidRPr="002029AF" w:rsidRDefault="00087B91" w:rsidP="00860E95">
            <w:pPr>
              <w:pStyle w:val="ARfintablebody"/>
            </w:pPr>
            <w:r w:rsidRPr="002029AF">
              <w:t>Land</w:t>
            </w:r>
            <w:r w:rsidR="000A5329" w:rsidRPr="002029AF">
              <w:t xml:space="preserve"> </w:t>
            </w:r>
            <w:r w:rsidRPr="002029AF">
              <w:t>received</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tc>
        <w:tc>
          <w:tcPr>
            <w:tcW w:w="1134" w:type="dxa"/>
            <w:tcBorders>
              <w:top w:val="single" w:sz="4" w:space="0" w:color="auto"/>
              <w:bottom w:val="single" w:sz="4" w:space="0" w:color="A6A6A6"/>
            </w:tcBorders>
            <w:shd w:val="clear" w:color="auto" w:fill="E7E6E6"/>
            <w:noWrap/>
            <w:hideMark/>
          </w:tcPr>
          <w:p w14:paraId="4B88EF76" w14:textId="77777777" w:rsidR="00087B91" w:rsidRPr="002029AF" w:rsidRDefault="00087B91" w:rsidP="00860E95">
            <w:pPr>
              <w:pStyle w:val="ARfintablebodyright"/>
            </w:pPr>
            <w:r w:rsidRPr="002029AF">
              <w:t>2.6</w:t>
            </w:r>
          </w:p>
        </w:tc>
        <w:tc>
          <w:tcPr>
            <w:tcW w:w="1134" w:type="dxa"/>
            <w:tcBorders>
              <w:top w:val="single" w:sz="4" w:space="0" w:color="auto"/>
              <w:bottom w:val="single" w:sz="4" w:space="0" w:color="A6A6A6"/>
            </w:tcBorders>
            <w:noWrap/>
            <w:hideMark/>
          </w:tcPr>
          <w:p w14:paraId="5F574FDE" w14:textId="77777777" w:rsidR="00087B91" w:rsidRPr="002029AF" w:rsidRDefault="00087B91" w:rsidP="00860E95">
            <w:pPr>
              <w:pStyle w:val="ARfintablebodyright"/>
            </w:pPr>
            <w:r w:rsidRPr="002029AF">
              <w:t>2.1</w:t>
            </w:r>
          </w:p>
        </w:tc>
      </w:tr>
      <w:tr w:rsidR="00087B91" w:rsidRPr="002029AF" w14:paraId="637D7C6D" w14:textId="77777777" w:rsidTr="00860E95">
        <w:tc>
          <w:tcPr>
            <w:tcW w:w="7371" w:type="dxa"/>
            <w:tcBorders>
              <w:top w:val="single" w:sz="4" w:space="0" w:color="A6A6A6"/>
              <w:bottom w:val="single" w:sz="4" w:space="0" w:color="A6A6A6"/>
            </w:tcBorders>
            <w:hideMark/>
          </w:tcPr>
          <w:p w14:paraId="15B5D444" w14:textId="43869816" w:rsidR="00087B91" w:rsidRPr="002029AF" w:rsidRDefault="00087B91" w:rsidP="00860E95">
            <w:pPr>
              <w:pStyle w:val="ARfintablebody"/>
            </w:pPr>
            <w:r w:rsidRPr="002029AF">
              <w:t>Buildings</w:t>
            </w:r>
            <w:r w:rsidR="000A5329" w:rsidRPr="002029AF">
              <w:t xml:space="preserve"> </w:t>
            </w:r>
            <w:r w:rsidRPr="002029AF">
              <w:t>received</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tc>
        <w:tc>
          <w:tcPr>
            <w:tcW w:w="1134" w:type="dxa"/>
            <w:tcBorders>
              <w:top w:val="single" w:sz="4" w:space="0" w:color="A6A6A6"/>
              <w:bottom w:val="single" w:sz="4" w:space="0" w:color="A6A6A6"/>
            </w:tcBorders>
            <w:shd w:val="clear" w:color="auto" w:fill="E7E6E6"/>
            <w:noWrap/>
            <w:hideMark/>
          </w:tcPr>
          <w:p w14:paraId="7B9CEE18" w14:textId="77777777" w:rsidR="00087B91" w:rsidRPr="002029AF" w:rsidRDefault="00087B91" w:rsidP="00860E95">
            <w:pPr>
              <w:pStyle w:val="ARfintablebodyright"/>
            </w:pPr>
            <w:r w:rsidRPr="002029AF">
              <w:t>0.2</w:t>
            </w:r>
          </w:p>
        </w:tc>
        <w:tc>
          <w:tcPr>
            <w:tcW w:w="1134" w:type="dxa"/>
            <w:tcBorders>
              <w:top w:val="single" w:sz="4" w:space="0" w:color="A6A6A6"/>
              <w:bottom w:val="single" w:sz="4" w:space="0" w:color="A6A6A6"/>
            </w:tcBorders>
            <w:noWrap/>
            <w:hideMark/>
          </w:tcPr>
          <w:p w14:paraId="4E67142A" w14:textId="77777777" w:rsidR="00087B91" w:rsidRPr="002029AF" w:rsidRDefault="00087B91" w:rsidP="00860E95">
            <w:pPr>
              <w:pStyle w:val="ARfintablebodyright"/>
            </w:pPr>
            <w:r w:rsidRPr="002029AF">
              <w:t>0.6</w:t>
            </w:r>
          </w:p>
        </w:tc>
      </w:tr>
      <w:tr w:rsidR="00087B91" w:rsidRPr="002029AF" w14:paraId="04B93850" w14:textId="77777777" w:rsidTr="00860E95">
        <w:tc>
          <w:tcPr>
            <w:tcW w:w="7371" w:type="dxa"/>
            <w:tcBorders>
              <w:top w:val="single" w:sz="4" w:space="0" w:color="A6A6A6"/>
              <w:bottom w:val="single" w:sz="4" w:space="0" w:color="A6A6A6"/>
            </w:tcBorders>
            <w:hideMark/>
          </w:tcPr>
          <w:p w14:paraId="601B5463" w14:textId="513931CA" w:rsidR="00087B91" w:rsidRPr="002029AF" w:rsidRDefault="00087B91" w:rsidP="00860E95">
            <w:pPr>
              <w:pStyle w:val="ARfintablebody"/>
            </w:pPr>
            <w:r w:rsidRPr="002029AF">
              <w:t>Plant</w:t>
            </w:r>
            <w:r w:rsidR="000A5329" w:rsidRPr="002029AF">
              <w:t xml:space="preserve"> </w:t>
            </w:r>
            <w:r w:rsidRPr="002029AF">
              <w:t>and</w:t>
            </w:r>
            <w:r w:rsidR="000A5329" w:rsidRPr="002029AF">
              <w:t xml:space="preserve"> </w:t>
            </w:r>
            <w:r w:rsidRPr="002029AF">
              <w:t>equipment</w:t>
            </w:r>
            <w:r w:rsidR="000A5329" w:rsidRPr="002029AF">
              <w:t xml:space="preserve"> </w:t>
            </w:r>
            <w:r w:rsidRPr="002029AF">
              <w:t>received</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tc>
        <w:tc>
          <w:tcPr>
            <w:tcW w:w="1134" w:type="dxa"/>
            <w:tcBorders>
              <w:top w:val="single" w:sz="4" w:space="0" w:color="A6A6A6"/>
              <w:bottom w:val="single" w:sz="4" w:space="0" w:color="A6A6A6"/>
            </w:tcBorders>
            <w:shd w:val="clear" w:color="auto" w:fill="E7E6E6"/>
            <w:noWrap/>
            <w:hideMark/>
          </w:tcPr>
          <w:p w14:paraId="13813E4C" w14:textId="77777777" w:rsidR="00087B91" w:rsidRPr="002029AF" w:rsidRDefault="00087B91" w:rsidP="00860E95">
            <w:pPr>
              <w:pStyle w:val="ARfintablebodyright"/>
            </w:pPr>
            <w:r w:rsidRPr="002029AF">
              <w:t>0.5</w:t>
            </w:r>
          </w:p>
        </w:tc>
        <w:tc>
          <w:tcPr>
            <w:tcW w:w="1134" w:type="dxa"/>
            <w:tcBorders>
              <w:top w:val="single" w:sz="4" w:space="0" w:color="A6A6A6"/>
              <w:bottom w:val="single" w:sz="4" w:space="0" w:color="A6A6A6"/>
            </w:tcBorders>
            <w:noWrap/>
            <w:hideMark/>
          </w:tcPr>
          <w:p w14:paraId="603FA567" w14:textId="77777777" w:rsidR="00087B91" w:rsidRPr="002029AF" w:rsidRDefault="00087B91" w:rsidP="00860E95">
            <w:pPr>
              <w:pStyle w:val="ARfintablebodyright"/>
            </w:pPr>
            <w:r w:rsidRPr="002029AF">
              <w:t>0.2</w:t>
            </w:r>
          </w:p>
        </w:tc>
      </w:tr>
      <w:tr w:rsidR="00087B91" w:rsidRPr="002029AF" w14:paraId="6EE78CFC" w14:textId="77777777" w:rsidTr="00860E95">
        <w:tc>
          <w:tcPr>
            <w:tcW w:w="7371" w:type="dxa"/>
            <w:tcBorders>
              <w:top w:val="single" w:sz="4" w:space="0" w:color="A6A6A6"/>
              <w:bottom w:val="single" w:sz="4" w:space="0" w:color="A6A6A6"/>
            </w:tcBorders>
            <w:hideMark/>
          </w:tcPr>
          <w:p w14:paraId="50B20B03" w14:textId="0F09F022" w:rsidR="00087B91" w:rsidRPr="002029AF" w:rsidRDefault="00087B91" w:rsidP="00860E95">
            <w:pPr>
              <w:pStyle w:val="ARfintablebody"/>
            </w:pPr>
            <w:r w:rsidRPr="002029AF">
              <w:t>Other</w:t>
            </w:r>
            <w:r w:rsidR="000A5329" w:rsidRPr="002029AF">
              <w:t xml:space="preserve"> </w:t>
            </w:r>
            <w:r w:rsidRPr="002029AF">
              <w:t>assets</w:t>
            </w:r>
            <w:r w:rsidR="000A5329" w:rsidRPr="002029AF">
              <w:t xml:space="preserve"> </w:t>
            </w:r>
            <w:r w:rsidRPr="002029AF">
              <w:t>received</w:t>
            </w:r>
            <w:r w:rsidR="000A5329" w:rsidRPr="002029AF">
              <w:t xml:space="preserve"> </w:t>
            </w:r>
            <w:r w:rsidRPr="002029AF">
              <w:t>free</w:t>
            </w:r>
            <w:r w:rsidR="000A5329" w:rsidRPr="002029AF">
              <w:t xml:space="preserve"> </w:t>
            </w:r>
            <w:r w:rsidRPr="002029AF">
              <w:t>of</w:t>
            </w:r>
            <w:r w:rsidR="000A5329" w:rsidRPr="002029AF">
              <w:t xml:space="preserve"> </w:t>
            </w:r>
            <w:r w:rsidRPr="002029AF">
              <w:t>charge</w:t>
            </w:r>
          </w:p>
        </w:tc>
        <w:tc>
          <w:tcPr>
            <w:tcW w:w="1134" w:type="dxa"/>
            <w:tcBorders>
              <w:top w:val="single" w:sz="4" w:space="0" w:color="A6A6A6"/>
              <w:bottom w:val="single" w:sz="4" w:space="0" w:color="A6A6A6"/>
            </w:tcBorders>
            <w:shd w:val="clear" w:color="auto" w:fill="E7E6E6"/>
            <w:noWrap/>
            <w:hideMark/>
          </w:tcPr>
          <w:p w14:paraId="595D4389"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69F4C99D" w14:textId="77777777" w:rsidR="00087B91" w:rsidRPr="002029AF" w:rsidRDefault="00087B91" w:rsidP="00860E95">
            <w:pPr>
              <w:pStyle w:val="ARfintablebodyright"/>
            </w:pPr>
            <w:r w:rsidRPr="002029AF">
              <w:t>2.4</w:t>
            </w:r>
          </w:p>
        </w:tc>
      </w:tr>
      <w:tr w:rsidR="00087B91" w:rsidRPr="002029AF" w14:paraId="7532C156" w14:textId="77777777" w:rsidTr="00860E95">
        <w:tc>
          <w:tcPr>
            <w:tcW w:w="7371" w:type="dxa"/>
            <w:tcBorders>
              <w:top w:val="single" w:sz="4" w:space="0" w:color="A6A6A6"/>
            </w:tcBorders>
            <w:hideMark/>
          </w:tcPr>
          <w:p w14:paraId="4418908A" w14:textId="62279050" w:rsidR="00087B91" w:rsidRPr="002029AF" w:rsidRDefault="00087B91" w:rsidP="00860E95">
            <w:pPr>
              <w:pStyle w:val="ARfintablebody"/>
            </w:pPr>
            <w:r w:rsidRPr="002029AF">
              <w:t>Resources</w:t>
            </w:r>
            <w:r w:rsidR="000A5329" w:rsidRPr="002029AF">
              <w:t xml:space="preserve"> </w:t>
            </w:r>
            <w:r w:rsidRPr="002029AF">
              <w:t>received</w:t>
            </w:r>
            <w:r w:rsidR="000A5329" w:rsidRPr="002029AF">
              <w:t xml:space="preserve"> </w:t>
            </w:r>
            <w:r w:rsidRPr="002029AF">
              <w:t>free</w:t>
            </w:r>
            <w:r w:rsidR="000A5329" w:rsidRPr="002029AF">
              <w:t xml:space="preserve"> </w:t>
            </w:r>
            <w:r w:rsidRPr="002029AF">
              <w:t>of</w:t>
            </w:r>
            <w:r w:rsidR="000A5329" w:rsidRPr="002029AF">
              <w:t xml:space="preserve"> </w:t>
            </w:r>
            <w:r w:rsidRPr="002029AF">
              <w:t>charge</w:t>
            </w:r>
          </w:p>
        </w:tc>
        <w:tc>
          <w:tcPr>
            <w:tcW w:w="1134" w:type="dxa"/>
            <w:tcBorders>
              <w:top w:val="single" w:sz="4" w:space="0" w:color="A6A6A6"/>
            </w:tcBorders>
            <w:shd w:val="clear" w:color="auto" w:fill="E7E6E6"/>
            <w:noWrap/>
            <w:hideMark/>
          </w:tcPr>
          <w:p w14:paraId="7D6DD4AC" w14:textId="77777777" w:rsidR="00087B91" w:rsidRPr="002029AF" w:rsidRDefault="00087B91" w:rsidP="00860E95">
            <w:pPr>
              <w:pStyle w:val="ARfintablebodyright"/>
            </w:pPr>
            <w:r w:rsidRPr="002029AF">
              <w:t>0.3</w:t>
            </w:r>
          </w:p>
        </w:tc>
        <w:tc>
          <w:tcPr>
            <w:tcW w:w="1134" w:type="dxa"/>
            <w:tcBorders>
              <w:top w:val="single" w:sz="4" w:space="0" w:color="A6A6A6"/>
            </w:tcBorders>
            <w:noWrap/>
            <w:hideMark/>
          </w:tcPr>
          <w:p w14:paraId="7984C2D1" w14:textId="77777777" w:rsidR="00087B91" w:rsidRPr="002029AF" w:rsidRDefault="00087B91" w:rsidP="00860E95">
            <w:pPr>
              <w:pStyle w:val="ARfintablebodyright"/>
            </w:pPr>
            <w:r w:rsidRPr="002029AF">
              <w:t>4.9</w:t>
            </w:r>
          </w:p>
        </w:tc>
      </w:tr>
      <w:tr w:rsidR="00087B91" w:rsidRPr="002029AF" w14:paraId="22A7D199" w14:textId="77777777" w:rsidTr="00860E95">
        <w:tc>
          <w:tcPr>
            <w:tcW w:w="7371" w:type="dxa"/>
            <w:hideMark/>
          </w:tcPr>
          <w:p w14:paraId="372FF25C" w14:textId="6660EDC1" w:rsidR="00087B91" w:rsidRPr="002029AF" w:rsidRDefault="00087B91" w:rsidP="00860E95">
            <w:pPr>
              <w:pStyle w:val="ARfintablebodybold"/>
            </w:pPr>
            <w:r w:rsidRPr="002029AF">
              <w:t>Total</w:t>
            </w:r>
            <w:r w:rsidR="000A5329" w:rsidRPr="002029AF">
              <w:t xml:space="preserve"> </w:t>
            </w:r>
            <w:r w:rsidRPr="002029AF">
              <w:t>fair</w:t>
            </w:r>
            <w:r w:rsidR="000A5329" w:rsidRPr="002029AF">
              <w:t xml:space="preserve"> </w:t>
            </w:r>
            <w:r w:rsidRPr="002029AF">
              <w:t>value</w:t>
            </w:r>
            <w:r w:rsidR="000A5329" w:rsidRPr="002029AF">
              <w:t xml:space="preserve"> </w:t>
            </w:r>
            <w:r w:rsidRPr="002029AF">
              <w:t>of</w:t>
            </w:r>
            <w:r w:rsidR="000A5329" w:rsidRPr="002029AF">
              <w:t xml:space="preserve"> </w:t>
            </w:r>
            <w:r w:rsidRPr="002029AF">
              <w:t>assets</w:t>
            </w:r>
            <w:r w:rsidR="000A5329" w:rsidRPr="002029AF">
              <w:t xml:space="preserve"> </w:t>
            </w:r>
            <w:r w:rsidRPr="002029AF">
              <w:t>and</w:t>
            </w:r>
            <w:r w:rsidR="000A5329" w:rsidRPr="002029AF">
              <w:t xml:space="preserve"> </w:t>
            </w:r>
            <w:r w:rsidRPr="002029AF">
              <w:t>services</w:t>
            </w:r>
            <w:r w:rsidR="000A5329" w:rsidRPr="002029AF">
              <w:t xml:space="preserve"> </w:t>
            </w:r>
            <w:r w:rsidRPr="002029AF">
              <w:t>received</w:t>
            </w:r>
            <w:r w:rsidR="000A5329" w:rsidRPr="002029AF">
              <w:t xml:space="preserve"> </w:t>
            </w:r>
            <w:r w:rsidRPr="002029AF">
              <w:t>free</w:t>
            </w:r>
            <w:r w:rsidR="000A5329" w:rsidRPr="002029AF">
              <w:t xml:space="preserve"> </w:t>
            </w:r>
            <w:r w:rsidRPr="002029AF">
              <w:t>of</w:t>
            </w:r>
            <w:r w:rsidR="000A5329" w:rsidRPr="002029AF">
              <w:t xml:space="preserve"> </w:t>
            </w:r>
            <w:r w:rsidRPr="002029AF">
              <w:t>charge</w:t>
            </w:r>
            <w:r w:rsidR="000A5329" w:rsidRPr="002029AF">
              <w:t xml:space="preserve"> </w:t>
            </w:r>
            <w:r w:rsidRPr="002029AF">
              <w:t>or</w:t>
            </w:r>
            <w:r w:rsidR="000A5329" w:rsidRPr="002029AF">
              <w:t xml:space="preserve"> </w:t>
            </w:r>
            <w:r w:rsidRPr="002029AF">
              <w:t>for</w:t>
            </w:r>
            <w:r w:rsidR="000A5329" w:rsidRPr="002029AF">
              <w:t xml:space="preserve"> </w:t>
            </w:r>
            <w:r w:rsidRPr="002029AF">
              <w:t>nominal</w:t>
            </w:r>
            <w:r w:rsidR="000A5329" w:rsidRPr="002029AF">
              <w:t xml:space="preserve"> </w:t>
            </w:r>
            <w:r w:rsidRPr="002029AF">
              <w:t>consideration</w:t>
            </w:r>
          </w:p>
        </w:tc>
        <w:tc>
          <w:tcPr>
            <w:tcW w:w="1134" w:type="dxa"/>
            <w:shd w:val="clear" w:color="auto" w:fill="E7E6E6"/>
            <w:noWrap/>
            <w:hideMark/>
          </w:tcPr>
          <w:p w14:paraId="45717F79" w14:textId="77777777" w:rsidR="00087B91" w:rsidRPr="002029AF" w:rsidRDefault="00087B91" w:rsidP="00860E95">
            <w:pPr>
              <w:pStyle w:val="ARfintablebodyrightbold"/>
            </w:pPr>
            <w:r w:rsidRPr="002029AF">
              <w:t>3.6</w:t>
            </w:r>
          </w:p>
        </w:tc>
        <w:tc>
          <w:tcPr>
            <w:tcW w:w="1134" w:type="dxa"/>
            <w:noWrap/>
            <w:hideMark/>
          </w:tcPr>
          <w:p w14:paraId="2E342CCF" w14:textId="77777777" w:rsidR="00087B91" w:rsidRPr="002029AF" w:rsidRDefault="00087B91" w:rsidP="00860E95">
            <w:pPr>
              <w:pStyle w:val="ARfintablebodyrightbold"/>
            </w:pPr>
            <w:r w:rsidRPr="002029AF">
              <w:t>10.1</w:t>
            </w:r>
          </w:p>
        </w:tc>
      </w:tr>
    </w:tbl>
    <w:p w14:paraId="1B20B09A" w14:textId="3B69AFEF" w:rsidR="00087B91" w:rsidRPr="002029AF" w:rsidRDefault="00087B91" w:rsidP="00087B91">
      <w:pPr>
        <w:pStyle w:val="ARfinbodyaftertable"/>
      </w:pPr>
      <w:r w:rsidRPr="002029AF">
        <w:rPr>
          <w:rStyle w:val="Strong"/>
        </w:rPr>
        <w:t>Contributions</w:t>
      </w:r>
      <w:r w:rsidR="000A5329" w:rsidRPr="002029AF">
        <w:rPr>
          <w:rStyle w:val="Strong"/>
        </w:rPr>
        <w:t xml:space="preserve"> </w:t>
      </w:r>
      <w:r w:rsidRPr="002029AF">
        <w:rPr>
          <w:rStyle w:val="Strong"/>
        </w:rPr>
        <w:t>of</w:t>
      </w:r>
      <w:r w:rsidR="000A5329" w:rsidRPr="002029AF">
        <w:rPr>
          <w:rStyle w:val="Strong"/>
        </w:rPr>
        <w:t xml:space="preserve"> </w:t>
      </w:r>
      <w:r w:rsidRPr="002029AF">
        <w:rPr>
          <w:rStyle w:val="Strong"/>
        </w:rPr>
        <w:t>resources</w:t>
      </w:r>
      <w:r w:rsidR="000A5329" w:rsidRPr="002029AF">
        <w:rPr>
          <w:rStyle w:val="Strong"/>
        </w:rPr>
        <w:t xml:space="preserve"> </w:t>
      </w:r>
      <w:r w:rsidRPr="002029AF">
        <w:rPr>
          <w:rStyle w:val="Strong"/>
        </w:rPr>
        <w:t>received</w:t>
      </w:r>
      <w:r w:rsidR="000A5329" w:rsidRPr="002029AF">
        <w:rPr>
          <w:rStyle w:val="Strong"/>
        </w:rPr>
        <w:t xml:space="preserve"> </w:t>
      </w:r>
      <w:r w:rsidRPr="002029AF">
        <w:rPr>
          <w:rStyle w:val="Strong"/>
        </w:rPr>
        <w:t>free</w:t>
      </w:r>
      <w:r w:rsidR="000A5329" w:rsidRPr="002029AF">
        <w:rPr>
          <w:rStyle w:val="Strong"/>
        </w:rPr>
        <w:t xml:space="preserve"> </w:t>
      </w:r>
      <w:r w:rsidRPr="002029AF">
        <w:rPr>
          <w:rStyle w:val="Strong"/>
        </w:rPr>
        <w:t>of</w:t>
      </w:r>
      <w:r w:rsidR="000A5329" w:rsidRPr="002029AF">
        <w:rPr>
          <w:rStyle w:val="Strong"/>
        </w:rPr>
        <w:t xml:space="preserve"> </w:t>
      </w:r>
      <w:r w:rsidRPr="002029AF">
        <w:rPr>
          <w:rStyle w:val="Strong"/>
        </w:rPr>
        <w:t>charge</w:t>
      </w:r>
      <w:r w:rsidR="000A5329" w:rsidRPr="002029AF">
        <w:rPr>
          <w:rStyle w:val="Strong"/>
        </w:rPr>
        <w:t xml:space="preserve"> </w:t>
      </w:r>
      <w:r w:rsidRPr="002029AF">
        <w:rPr>
          <w:rStyle w:val="Strong"/>
        </w:rPr>
        <w:t>or</w:t>
      </w:r>
      <w:r w:rsidR="000A5329" w:rsidRPr="002029AF">
        <w:rPr>
          <w:rStyle w:val="Strong"/>
        </w:rPr>
        <w:t xml:space="preserve"> </w:t>
      </w:r>
      <w:r w:rsidRPr="002029AF">
        <w:rPr>
          <w:rStyle w:val="Strong"/>
        </w:rPr>
        <w:t>for</w:t>
      </w:r>
      <w:r w:rsidR="000A5329" w:rsidRPr="002029AF">
        <w:rPr>
          <w:rStyle w:val="Strong"/>
        </w:rPr>
        <w:t xml:space="preserve"> </w:t>
      </w:r>
      <w:r w:rsidRPr="002029AF">
        <w:rPr>
          <w:rStyle w:val="Strong"/>
        </w:rPr>
        <w:t>nominal</w:t>
      </w:r>
      <w:r w:rsidR="000A5329" w:rsidRPr="002029AF">
        <w:rPr>
          <w:rStyle w:val="Strong"/>
        </w:rPr>
        <w:t xml:space="preserve"> </w:t>
      </w:r>
      <w:r w:rsidRPr="002029AF">
        <w:rPr>
          <w:rStyle w:val="Strong"/>
        </w:rPr>
        <w:t>consideration</w:t>
      </w:r>
      <w:r w:rsidR="000A5329" w:rsidRPr="002029AF">
        <w:t xml:space="preserve"> </w:t>
      </w:r>
      <w:r w:rsidRPr="002029AF">
        <w:t>are</w:t>
      </w:r>
      <w:r w:rsidR="000A5329" w:rsidRPr="002029AF">
        <w:t xml:space="preserve"> </w:t>
      </w:r>
      <w:r w:rsidRPr="002029AF">
        <w:t>recognised</w:t>
      </w:r>
      <w:r w:rsidR="000A5329" w:rsidRPr="002029AF">
        <w:t xml:space="preserve"> </w:t>
      </w:r>
      <w:r w:rsidRPr="002029AF">
        <w:t>at</w:t>
      </w:r>
      <w:r w:rsidR="000A5329" w:rsidRPr="002029AF">
        <w:t xml:space="preserve"> </w:t>
      </w:r>
      <w:r w:rsidRPr="002029AF">
        <w:t>their</w:t>
      </w:r>
      <w:r w:rsidR="000A5329" w:rsidRPr="002029AF">
        <w:t xml:space="preserve"> </w:t>
      </w:r>
      <w:r w:rsidRPr="002029AF">
        <w:t>fair</w:t>
      </w:r>
      <w:r w:rsidR="000A5329" w:rsidRPr="002029AF">
        <w:t xml:space="preserve"> </w:t>
      </w:r>
      <w:r w:rsidRPr="002029AF">
        <w:t>value</w:t>
      </w:r>
      <w:r w:rsidR="000A5329" w:rsidRPr="002029AF">
        <w:t xml:space="preserve"> </w:t>
      </w:r>
      <w:r w:rsidRPr="002029AF">
        <w:t>when</w:t>
      </w:r>
      <w:r w:rsidR="000A5329" w:rsidRPr="002029AF">
        <w:t xml:space="preserve"> </w:t>
      </w:r>
      <w:r w:rsidRPr="002029AF">
        <w:t>control</w:t>
      </w:r>
      <w:r w:rsidR="000A5329" w:rsidRPr="002029AF">
        <w:t xml:space="preserve"> </w:t>
      </w:r>
      <w:r w:rsidRPr="002029AF">
        <w:t>is</w:t>
      </w:r>
      <w:r w:rsidR="000A5329" w:rsidRPr="002029AF">
        <w:t xml:space="preserve"> </w:t>
      </w:r>
      <w:r w:rsidRPr="002029AF">
        <w:t>obtained</w:t>
      </w:r>
      <w:r w:rsidR="000A5329" w:rsidRPr="002029AF">
        <w:t xml:space="preserve"> </w:t>
      </w:r>
      <w:r w:rsidRPr="002029AF">
        <w:t>over</w:t>
      </w:r>
      <w:r w:rsidR="000A5329" w:rsidRPr="002029AF">
        <w:t xml:space="preserve"> </w:t>
      </w:r>
      <w:r w:rsidRPr="002029AF">
        <w:t>them,</w:t>
      </w:r>
      <w:r w:rsidR="000A5329" w:rsidRPr="002029AF">
        <w:t xml:space="preserve"> </w:t>
      </w:r>
      <w:r w:rsidRPr="002029AF">
        <w:t>irrespective</w:t>
      </w:r>
      <w:r w:rsidR="000A5329" w:rsidRPr="002029AF">
        <w:t xml:space="preserve"> </w:t>
      </w:r>
      <w:r w:rsidRPr="002029AF">
        <w:t>of</w:t>
      </w:r>
      <w:r w:rsidR="000A5329" w:rsidRPr="002029AF">
        <w:t xml:space="preserve"> </w:t>
      </w:r>
      <w:r w:rsidRPr="002029AF">
        <w:t>whether</w:t>
      </w:r>
      <w:r w:rsidR="000A5329" w:rsidRPr="002029AF">
        <w:t xml:space="preserve"> </w:t>
      </w:r>
      <w:r w:rsidRPr="002029AF">
        <w:t>these</w:t>
      </w:r>
      <w:r w:rsidR="000A5329" w:rsidRPr="002029AF">
        <w:t xml:space="preserve"> </w:t>
      </w:r>
      <w:r w:rsidRPr="002029AF">
        <w:t>contributions</w:t>
      </w:r>
      <w:r w:rsidR="000A5329" w:rsidRPr="002029AF">
        <w:t xml:space="preserve"> </w:t>
      </w:r>
      <w:r w:rsidRPr="002029AF">
        <w:t>are</w:t>
      </w:r>
      <w:r w:rsidR="000A5329" w:rsidRPr="002029AF">
        <w:t xml:space="preserve"> </w:t>
      </w:r>
      <w:r w:rsidRPr="002029AF">
        <w:t>subject</w:t>
      </w:r>
      <w:r w:rsidR="000A5329" w:rsidRPr="002029AF">
        <w:t xml:space="preserve"> </w:t>
      </w:r>
      <w:r w:rsidRPr="002029AF">
        <w:t>to</w:t>
      </w:r>
      <w:r w:rsidR="000A5329" w:rsidRPr="002029AF">
        <w:t xml:space="preserve"> </w:t>
      </w:r>
      <w:r w:rsidRPr="002029AF">
        <w:t>restrictions</w:t>
      </w:r>
      <w:r w:rsidR="000A5329" w:rsidRPr="002029AF">
        <w:t xml:space="preserve"> </w:t>
      </w:r>
      <w:r w:rsidRPr="002029AF">
        <w:t>or</w:t>
      </w:r>
      <w:r w:rsidR="000A5329" w:rsidRPr="002029AF">
        <w:t xml:space="preserve"> </w:t>
      </w:r>
      <w:r w:rsidRPr="002029AF">
        <w:t>conditions</w:t>
      </w:r>
      <w:r w:rsidR="000A5329" w:rsidRPr="002029AF">
        <w:t xml:space="preserve"> </w:t>
      </w:r>
      <w:r w:rsidRPr="002029AF">
        <w:t>over</w:t>
      </w:r>
      <w:r w:rsidR="000A5329" w:rsidRPr="002029AF">
        <w:t xml:space="preserve"> </w:t>
      </w:r>
      <w:r w:rsidRPr="002029AF">
        <w:t>their</w:t>
      </w:r>
      <w:r w:rsidR="000A5329" w:rsidRPr="002029AF">
        <w:t xml:space="preserve"> </w:t>
      </w:r>
      <w:r w:rsidRPr="002029AF">
        <w:t>use,</w:t>
      </w:r>
      <w:r w:rsidR="000A5329" w:rsidRPr="002029AF">
        <w:t xml:space="preserve"> </w:t>
      </w:r>
      <w:r w:rsidRPr="002029AF">
        <w:t>unless</w:t>
      </w:r>
      <w:r w:rsidR="000A5329" w:rsidRPr="002029AF">
        <w:t xml:space="preserve"> </w:t>
      </w:r>
      <w:r w:rsidRPr="002029AF">
        <w:t>received</w:t>
      </w:r>
      <w:r w:rsidR="000A5329" w:rsidRPr="002029AF">
        <w:t xml:space="preserve"> </w:t>
      </w:r>
      <w:r w:rsidRPr="002029AF">
        <w:t>from</w:t>
      </w:r>
      <w:r w:rsidR="000A5329" w:rsidRPr="002029AF">
        <w:t xml:space="preserve"> </w:t>
      </w:r>
      <w:r w:rsidRPr="002029AF">
        <w:t>another</w:t>
      </w:r>
      <w:r w:rsidR="000A5329" w:rsidRPr="002029AF">
        <w:t xml:space="preserve"> </w:t>
      </w:r>
      <w:r w:rsidRPr="002029AF">
        <w:t>government</w:t>
      </w:r>
      <w:r w:rsidR="000A5329" w:rsidRPr="002029AF">
        <w:t xml:space="preserve"> </w:t>
      </w:r>
      <w:r w:rsidRPr="002029AF">
        <w:t>department</w:t>
      </w:r>
      <w:r w:rsidR="000A5329" w:rsidRPr="002029AF">
        <w:t xml:space="preserve"> </w:t>
      </w:r>
      <w:r w:rsidRPr="002029AF">
        <w:t>or</w:t>
      </w:r>
      <w:r w:rsidR="000A5329" w:rsidRPr="002029AF">
        <w:t xml:space="preserve"> </w:t>
      </w:r>
      <w:r w:rsidRPr="002029AF">
        <w:t>agency</w:t>
      </w:r>
      <w:r w:rsidR="000A5329" w:rsidRPr="002029AF">
        <w:t xml:space="preserve"> </w:t>
      </w:r>
      <w:r w:rsidRPr="002029AF">
        <w:t>as</w:t>
      </w:r>
      <w:r w:rsidR="000A5329" w:rsidRPr="002029AF">
        <w:t xml:space="preserve"> </w:t>
      </w:r>
      <w:r w:rsidRPr="002029AF">
        <w:t>a</w:t>
      </w:r>
      <w:r w:rsidR="000A5329" w:rsidRPr="002029AF">
        <w:t xml:space="preserve"> </w:t>
      </w:r>
      <w:r w:rsidRPr="002029AF">
        <w:t>consequence</w:t>
      </w:r>
      <w:r w:rsidR="000A5329" w:rsidRPr="002029AF">
        <w:t xml:space="preserve"> </w:t>
      </w:r>
      <w:r w:rsidRPr="002029AF">
        <w:t>of</w:t>
      </w:r>
      <w:r w:rsidR="000A5329" w:rsidRPr="002029AF">
        <w:t xml:space="preserve"> </w:t>
      </w:r>
      <w:r w:rsidRPr="002029AF">
        <w:t>a</w:t>
      </w:r>
      <w:r w:rsidR="000A5329" w:rsidRPr="002029AF">
        <w:t xml:space="preserve"> </w:t>
      </w:r>
      <w:r w:rsidRPr="002029AF">
        <w:t>restructuring</w:t>
      </w:r>
      <w:r w:rsidR="000A5329" w:rsidRPr="002029AF">
        <w:t xml:space="preserve"> </w:t>
      </w:r>
      <w:r w:rsidRPr="002029AF">
        <w:t>of</w:t>
      </w:r>
      <w:r w:rsidR="000A5329" w:rsidRPr="002029AF">
        <w:t xml:space="preserve"> </w:t>
      </w:r>
      <w:r w:rsidRPr="002029AF">
        <w:t>administrative</w:t>
      </w:r>
      <w:r w:rsidR="000A5329" w:rsidRPr="002029AF">
        <w:t xml:space="preserve"> </w:t>
      </w:r>
      <w:r w:rsidRPr="002029AF">
        <w:t>arrangements.</w:t>
      </w:r>
      <w:r w:rsidR="000A5329" w:rsidRPr="002029AF">
        <w:t xml:space="preserve"> </w:t>
      </w:r>
      <w:r w:rsidRPr="002029AF">
        <w:t>In</w:t>
      </w:r>
      <w:r w:rsidR="000A5329" w:rsidRPr="002029AF">
        <w:t xml:space="preserve"> </w:t>
      </w:r>
      <w:r w:rsidRPr="002029AF">
        <w:t>the</w:t>
      </w:r>
      <w:r w:rsidR="000A5329" w:rsidRPr="002029AF">
        <w:t xml:space="preserve"> </w:t>
      </w:r>
      <w:r w:rsidRPr="002029AF">
        <w:t>latter</w:t>
      </w:r>
      <w:r w:rsidR="000A5329" w:rsidRPr="002029AF">
        <w:t xml:space="preserve"> </w:t>
      </w:r>
      <w:r w:rsidRPr="002029AF">
        <w:t>case,</w:t>
      </w:r>
      <w:r w:rsidR="000A5329" w:rsidRPr="002029AF">
        <w:t xml:space="preserve"> </w:t>
      </w:r>
      <w:r w:rsidRPr="002029AF">
        <w:t>such</w:t>
      </w:r>
      <w:r w:rsidR="000A5329" w:rsidRPr="002029AF">
        <w:t xml:space="preserve"> </w:t>
      </w:r>
      <w:r w:rsidRPr="002029AF">
        <w:t>a</w:t>
      </w:r>
      <w:r w:rsidR="000A5329" w:rsidRPr="002029AF">
        <w:t xml:space="preserve"> </w:t>
      </w:r>
      <w:r w:rsidRPr="002029AF">
        <w:t>transfer</w:t>
      </w:r>
      <w:r w:rsidR="000A5329" w:rsidRPr="002029AF">
        <w:t xml:space="preserve"> </w:t>
      </w:r>
      <w:r w:rsidRPr="002029AF">
        <w:t>is</w:t>
      </w:r>
      <w:r w:rsidR="000A5329" w:rsidRPr="002029AF">
        <w:t xml:space="preserve"> </w:t>
      </w:r>
      <w:r w:rsidRPr="002029AF">
        <w:t>recognised</w:t>
      </w:r>
      <w:r w:rsidR="000A5329" w:rsidRPr="002029AF">
        <w:t xml:space="preserve"> </w:t>
      </w:r>
      <w:r w:rsidRPr="002029AF">
        <w:t>at</w:t>
      </w:r>
      <w:r w:rsidR="000A5329" w:rsidRPr="002029AF">
        <w:t xml:space="preserve"> </w:t>
      </w:r>
      <w:r w:rsidRPr="002029AF">
        <w:t>its</w:t>
      </w:r>
      <w:r w:rsidR="000A5329" w:rsidRPr="002029AF">
        <w:t xml:space="preserve"> </w:t>
      </w:r>
      <w:r w:rsidRPr="002029AF">
        <w:t>carrying</w:t>
      </w:r>
      <w:r w:rsidR="000A5329" w:rsidRPr="002029AF">
        <w:t xml:space="preserve"> </w:t>
      </w:r>
      <w:r w:rsidRPr="002029AF">
        <w:t>value.</w:t>
      </w:r>
    </w:p>
    <w:p w14:paraId="5023CB80" w14:textId="25F86F83" w:rsidR="00087B91" w:rsidRPr="002029AF" w:rsidRDefault="00087B91" w:rsidP="00087B91">
      <w:pPr>
        <w:pStyle w:val="ARfinbody"/>
      </w:pPr>
      <w:r w:rsidRPr="002029AF">
        <w:t>Contributions</w:t>
      </w:r>
      <w:r w:rsidR="000A5329" w:rsidRPr="002029AF">
        <w:t xml:space="preserve"> </w:t>
      </w:r>
      <w:r w:rsidRPr="002029AF">
        <w:t>in</w:t>
      </w:r>
      <w:r w:rsidR="000A5329" w:rsidRPr="002029AF">
        <w:t xml:space="preserve"> </w:t>
      </w:r>
      <w:r w:rsidRPr="002029AF">
        <w:t>the</w:t>
      </w:r>
      <w:r w:rsidR="000A5329" w:rsidRPr="002029AF">
        <w:t xml:space="preserve"> </w:t>
      </w:r>
      <w:r w:rsidRPr="002029AF">
        <w:t>form</w:t>
      </w:r>
      <w:r w:rsidR="000A5329" w:rsidRPr="002029AF">
        <w:t xml:space="preserve"> </w:t>
      </w:r>
      <w:r w:rsidRPr="002029AF">
        <w:t>of</w:t>
      </w:r>
      <w:r w:rsidR="000A5329" w:rsidRPr="002029AF">
        <w:t xml:space="preserve"> </w:t>
      </w:r>
      <w:r w:rsidRPr="002029AF">
        <w:t>services</w:t>
      </w:r>
      <w:r w:rsidR="000A5329" w:rsidRPr="002029AF">
        <w:t xml:space="preserve"> </w:t>
      </w:r>
      <w:r w:rsidRPr="002029AF">
        <w:t>are</w:t>
      </w:r>
      <w:r w:rsidR="000A5329" w:rsidRPr="002029AF">
        <w:t xml:space="preserve"> </w:t>
      </w:r>
      <w:r w:rsidRPr="002029AF">
        <w:t>only</w:t>
      </w:r>
      <w:r w:rsidR="000A5329" w:rsidRPr="002029AF">
        <w:t xml:space="preserve"> </w:t>
      </w:r>
      <w:r w:rsidRPr="002029AF">
        <w:t>recognised</w:t>
      </w:r>
      <w:r w:rsidR="000A5329" w:rsidRPr="002029AF">
        <w:t xml:space="preserve"> </w:t>
      </w:r>
      <w:r w:rsidRPr="002029AF">
        <w:t>when</w:t>
      </w:r>
      <w:r w:rsidR="000A5329" w:rsidRPr="002029AF">
        <w:t xml:space="preserve"> </w:t>
      </w:r>
      <w:r w:rsidRPr="002029AF">
        <w:t>a</w:t>
      </w:r>
      <w:r w:rsidR="000A5329" w:rsidRPr="002029AF">
        <w:t xml:space="preserve"> </w:t>
      </w:r>
      <w:r w:rsidRPr="002029AF">
        <w:t>fair</w:t>
      </w:r>
      <w:r w:rsidR="000A5329" w:rsidRPr="002029AF">
        <w:t xml:space="preserve"> </w:t>
      </w:r>
      <w:r w:rsidRPr="002029AF">
        <w:t>value</w:t>
      </w:r>
      <w:r w:rsidR="000A5329" w:rsidRPr="002029AF">
        <w:t xml:space="preserve"> </w:t>
      </w:r>
      <w:r w:rsidRPr="002029AF">
        <w:t>can</w:t>
      </w:r>
      <w:r w:rsidR="000A5329" w:rsidRPr="002029AF">
        <w:t xml:space="preserve"> </w:t>
      </w:r>
      <w:r w:rsidRPr="002029AF">
        <w:t>be</w:t>
      </w:r>
      <w:r w:rsidR="000A5329" w:rsidRPr="002029AF">
        <w:t xml:space="preserve"> </w:t>
      </w:r>
      <w:r w:rsidRPr="002029AF">
        <w:t>reliably</w:t>
      </w:r>
      <w:r w:rsidR="000A5329" w:rsidRPr="002029AF">
        <w:t xml:space="preserve"> </w:t>
      </w:r>
      <w:r w:rsidR="009F4F40" w:rsidRPr="002029AF">
        <w:t>determined,</w:t>
      </w:r>
      <w:r w:rsidR="000A5329" w:rsidRPr="002029AF">
        <w:t xml:space="preserve"> </w:t>
      </w:r>
      <w:r w:rsidRPr="002029AF">
        <w:t>and</w:t>
      </w:r>
      <w:r w:rsidR="000A5329" w:rsidRPr="002029AF">
        <w:t xml:space="preserve"> </w:t>
      </w:r>
      <w:r w:rsidRPr="002029AF">
        <w:t>the</w:t>
      </w:r>
      <w:r w:rsidR="000A5329" w:rsidRPr="002029AF">
        <w:t xml:space="preserve"> </w:t>
      </w:r>
      <w:r w:rsidRPr="002029AF">
        <w:t>services</w:t>
      </w:r>
      <w:r w:rsidR="000A5329" w:rsidRPr="002029AF">
        <w:t xml:space="preserve"> </w:t>
      </w:r>
      <w:r w:rsidRPr="002029AF">
        <w:t>would</w:t>
      </w:r>
      <w:r w:rsidR="000A5329" w:rsidRPr="002029AF">
        <w:t xml:space="preserve"> </w:t>
      </w:r>
      <w:r w:rsidRPr="002029AF">
        <w:t>have</w:t>
      </w:r>
      <w:r w:rsidR="000A5329" w:rsidRPr="002029AF">
        <w:t xml:space="preserve"> </w:t>
      </w:r>
      <w:r w:rsidRPr="002029AF">
        <w:t>been</w:t>
      </w:r>
      <w:r w:rsidR="000A5329" w:rsidRPr="002029AF">
        <w:t xml:space="preserve"> </w:t>
      </w:r>
      <w:r w:rsidRPr="002029AF">
        <w:t>purchased</w:t>
      </w:r>
      <w:r w:rsidR="000A5329" w:rsidRPr="002029AF">
        <w:t xml:space="preserve"> </w:t>
      </w:r>
      <w:r w:rsidRPr="002029AF">
        <w:t>if</w:t>
      </w:r>
      <w:r w:rsidR="000A5329" w:rsidRPr="002029AF">
        <w:t xml:space="preserve"> </w:t>
      </w:r>
      <w:r w:rsidRPr="002029AF">
        <w:t>not</w:t>
      </w:r>
      <w:r w:rsidR="000A5329" w:rsidRPr="002029AF">
        <w:t xml:space="preserve"> </w:t>
      </w:r>
      <w:r w:rsidRPr="002029AF">
        <w:t>received</w:t>
      </w:r>
      <w:r w:rsidR="000A5329" w:rsidRPr="002029AF">
        <w:t xml:space="preserve"> </w:t>
      </w:r>
      <w:r w:rsidRPr="002029AF">
        <w:t>as</w:t>
      </w:r>
      <w:r w:rsidR="000A5329" w:rsidRPr="002029AF">
        <w:t xml:space="preserve"> </w:t>
      </w:r>
      <w:r w:rsidRPr="002029AF">
        <w:t>a</w:t>
      </w:r>
      <w:r w:rsidR="000A5329" w:rsidRPr="002029AF">
        <w:t xml:space="preserve"> </w:t>
      </w:r>
      <w:r w:rsidRPr="002029AF">
        <w:t>donation.</w:t>
      </w:r>
    </w:p>
    <w:p w14:paraId="0842D940" w14:textId="07100E97" w:rsidR="00087B91" w:rsidRPr="002029AF" w:rsidRDefault="00087B91" w:rsidP="00087B91">
      <w:pPr>
        <w:pStyle w:val="Heading5"/>
      </w:pPr>
      <w:bookmarkStart w:id="295" w:name="_Toc39136696"/>
      <w:r w:rsidRPr="002029AF">
        <w:t>2.4.5</w:t>
      </w:r>
      <w:r w:rsidR="000A5329" w:rsidRPr="002029AF">
        <w:t xml:space="preserve"> </w:t>
      </w:r>
      <w:r w:rsidRPr="002029AF">
        <w:t>Other</w:t>
      </w:r>
      <w:r w:rsidR="000A5329" w:rsidRPr="002029AF">
        <w:t xml:space="preserve"> </w:t>
      </w:r>
      <w:r w:rsidRPr="002029AF">
        <w:t>income</w:t>
      </w:r>
      <w:bookmarkEnd w:id="295"/>
    </w:p>
    <w:tbl>
      <w:tblPr>
        <w:tblStyle w:val="TableGrid"/>
        <w:tblW w:w="9637" w:type="dxa"/>
        <w:tblLayout w:type="fixed"/>
        <w:tblLook w:val="06A0" w:firstRow="1" w:lastRow="0" w:firstColumn="1" w:lastColumn="0" w:noHBand="1" w:noVBand="1"/>
      </w:tblPr>
      <w:tblGrid>
        <w:gridCol w:w="7371"/>
        <w:gridCol w:w="1133"/>
        <w:gridCol w:w="1133"/>
      </w:tblGrid>
      <w:tr w:rsidR="00087B91" w:rsidRPr="002029AF" w14:paraId="0AECBD20" w14:textId="77777777" w:rsidTr="00C83719">
        <w:trPr>
          <w:cnfStyle w:val="100000000000" w:firstRow="1" w:lastRow="0" w:firstColumn="0" w:lastColumn="0" w:oddVBand="0" w:evenVBand="0" w:oddHBand="0" w:evenHBand="0" w:firstRowFirstColumn="0" w:firstRowLastColumn="0" w:lastRowFirstColumn="0" w:lastRowLastColumn="0"/>
          <w:tblHeader/>
        </w:trPr>
        <w:tc>
          <w:tcPr>
            <w:tcW w:w="7371" w:type="dxa"/>
            <w:tcBorders>
              <w:bottom w:val="single" w:sz="4" w:space="0" w:color="auto"/>
            </w:tcBorders>
            <w:noWrap/>
            <w:hideMark/>
          </w:tcPr>
          <w:p w14:paraId="0795275F" w14:textId="77777777" w:rsidR="00087B91" w:rsidRPr="002029AF" w:rsidRDefault="00087B91" w:rsidP="00860E95">
            <w:pPr>
              <w:pStyle w:val="ARfintablecolhead"/>
            </w:pPr>
          </w:p>
        </w:tc>
        <w:tc>
          <w:tcPr>
            <w:tcW w:w="1133" w:type="dxa"/>
            <w:tcBorders>
              <w:bottom w:val="single" w:sz="4" w:space="0" w:color="auto"/>
            </w:tcBorders>
            <w:shd w:val="clear" w:color="auto" w:fill="E7E6E6"/>
            <w:hideMark/>
          </w:tcPr>
          <w:p w14:paraId="0014270E" w14:textId="77777777" w:rsidR="00087B91" w:rsidRPr="002029AF" w:rsidRDefault="00087B91" w:rsidP="00860E95">
            <w:pPr>
              <w:pStyle w:val="ARfintablecolheadright"/>
            </w:pPr>
            <w:r w:rsidRPr="002029AF">
              <w:t>2020</w:t>
            </w:r>
          </w:p>
          <w:p w14:paraId="202AF8C3" w14:textId="77777777" w:rsidR="00087B91" w:rsidRPr="002029AF" w:rsidRDefault="00087B91" w:rsidP="00860E95">
            <w:pPr>
              <w:pStyle w:val="ARfintablecolheadright"/>
            </w:pPr>
            <w:r w:rsidRPr="002029AF">
              <w:t>$M</w:t>
            </w:r>
          </w:p>
        </w:tc>
        <w:tc>
          <w:tcPr>
            <w:tcW w:w="1133" w:type="dxa"/>
            <w:tcBorders>
              <w:bottom w:val="single" w:sz="4" w:space="0" w:color="auto"/>
            </w:tcBorders>
            <w:hideMark/>
          </w:tcPr>
          <w:p w14:paraId="2B961EEB" w14:textId="77777777" w:rsidR="00087B91" w:rsidRPr="002029AF" w:rsidRDefault="00087B91" w:rsidP="00860E95">
            <w:pPr>
              <w:pStyle w:val="ARfintablecolheadright"/>
            </w:pPr>
            <w:r w:rsidRPr="002029AF">
              <w:t>2019</w:t>
            </w:r>
          </w:p>
          <w:p w14:paraId="392CE8D3" w14:textId="77777777" w:rsidR="00087B91" w:rsidRPr="002029AF" w:rsidRDefault="00087B91" w:rsidP="00860E95">
            <w:pPr>
              <w:pStyle w:val="ARfintablecolheadright"/>
            </w:pPr>
            <w:r w:rsidRPr="002029AF">
              <w:t>$M</w:t>
            </w:r>
          </w:p>
        </w:tc>
      </w:tr>
      <w:tr w:rsidR="00087B91" w:rsidRPr="002029AF" w14:paraId="418A4BF6" w14:textId="77777777" w:rsidTr="00860E95">
        <w:trPr>
          <w:trHeight w:val="255"/>
        </w:trPr>
        <w:tc>
          <w:tcPr>
            <w:tcW w:w="7371" w:type="dxa"/>
            <w:tcBorders>
              <w:top w:val="single" w:sz="4" w:space="0" w:color="auto"/>
              <w:bottom w:val="single" w:sz="4" w:space="0" w:color="A6A6A6"/>
            </w:tcBorders>
            <w:hideMark/>
          </w:tcPr>
          <w:p w14:paraId="37201944" w14:textId="2F771AEE" w:rsidR="00087B91" w:rsidRPr="002029AF" w:rsidRDefault="00087B91" w:rsidP="00860E95">
            <w:pPr>
              <w:pStyle w:val="ARfintablebody"/>
            </w:pPr>
            <w:r w:rsidRPr="002029AF">
              <w:t>State</w:t>
            </w:r>
            <w:r w:rsidR="000A5329" w:rsidRPr="002029AF">
              <w:t xml:space="preserve"> </w:t>
            </w:r>
            <w:r w:rsidRPr="002029AF">
              <w:t>trust</w:t>
            </w:r>
            <w:r w:rsidR="000A5329" w:rsidRPr="002029AF">
              <w:t xml:space="preserve"> </w:t>
            </w:r>
            <w:r w:rsidRPr="002029AF">
              <w:t>accounts</w:t>
            </w:r>
          </w:p>
        </w:tc>
        <w:tc>
          <w:tcPr>
            <w:tcW w:w="1133" w:type="dxa"/>
            <w:tcBorders>
              <w:top w:val="single" w:sz="4" w:space="0" w:color="auto"/>
              <w:bottom w:val="single" w:sz="4" w:space="0" w:color="A6A6A6"/>
            </w:tcBorders>
            <w:shd w:val="clear" w:color="auto" w:fill="E7E6E6"/>
            <w:noWrap/>
            <w:hideMark/>
          </w:tcPr>
          <w:p w14:paraId="657618B9" w14:textId="77777777" w:rsidR="00087B91" w:rsidRPr="002029AF" w:rsidRDefault="00087B91" w:rsidP="00860E95">
            <w:pPr>
              <w:pStyle w:val="ARfintablebodyright"/>
            </w:pPr>
            <w:r w:rsidRPr="002029AF">
              <w:t>29.1</w:t>
            </w:r>
          </w:p>
        </w:tc>
        <w:tc>
          <w:tcPr>
            <w:tcW w:w="1133" w:type="dxa"/>
            <w:tcBorders>
              <w:top w:val="single" w:sz="4" w:space="0" w:color="auto"/>
              <w:bottom w:val="single" w:sz="4" w:space="0" w:color="A6A6A6"/>
            </w:tcBorders>
            <w:noWrap/>
            <w:hideMark/>
          </w:tcPr>
          <w:p w14:paraId="7E9F54EF" w14:textId="77777777" w:rsidR="00087B91" w:rsidRPr="002029AF" w:rsidRDefault="00087B91" w:rsidP="00860E95">
            <w:pPr>
              <w:pStyle w:val="ARfintablebodyright"/>
            </w:pPr>
            <w:r w:rsidRPr="002029AF">
              <w:t>8.9</w:t>
            </w:r>
          </w:p>
        </w:tc>
      </w:tr>
      <w:tr w:rsidR="00087B91" w:rsidRPr="002029AF" w14:paraId="7B721EE8" w14:textId="77777777" w:rsidTr="00860E95">
        <w:trPr>
          <w:trHeight w:val="255"/>
        </w:trPr>
        <w:tc>
          <w:tcPr>
            <w:tcW w:w="7371" w:type="dxa"/>
            <w:tcBorders>
              <w:top w:val="single" w:sz="4" w:space="0" w:color="A6A6A6"/>
            </w:tcBorders>
            <w:hideMark/>
          </w:tcPr>
          <w:p w14:paraId="7190EF03" w14:textId="77777777" w:rsidR="00087B91" w:rsidRPr="002029AF" w:rsidRDefault="00087B91" w:rsidP="00860E95">
            <w:pPr>
              <w:pStyle w:val="ARfintablebody"/>
            </w:pPr>
            <w:r w:rsidRPr="002029AF">
              <w:t>Other</w:t>
            </w:r>
          </w:p>
        </w:tc>
        <w:tc>
          <w:tcPr>
            <w:tcW w:w="1133" w:type="dxa"/>
            <w:tcBorders>
              <w:top w:val="single" w:sz="4" w:space="0" w:color="A6A6A6"/>
            </w:tcBorders>
            <w:shd w:val="clear" w:color="auto" w:fill="E7E6E6"/>
            <w:noWrap/>
            <w:hideMark/>
          </w:tcPr>
          <w:p w14:paraId="602E2D57" w14:textId="77777777" w:rsidR="00087B91" w:rsidRPr="002029AF" w:rsidRDefault="00087B91" w:rsidP="00860E95">
            <w:pPr>
              <w:pStyle w:val="ARfintablebodyright"/>
            </w:pPr>
            <w:r w:rsidRPr="002029AF">
              <w:t>1.8</w:t>
            </w:r>
          </w:p>
        </w:tc>
        <w:tc>
          <w:tcPr>
            <w:tcW w:w="1133" w:type="dxa"/>
            <w:tcBorders>
              <w:top w:val="single" w:sz="4" w:space="0" w:color="A6A6A6"/>
            </w:tcBorders>
            <w:noWrap/>
            <w:hideMark/>
          </w:tcPr>
          <w:p w14:paraId="668E4822" w14:textId="77777777" w:rsidR="00087B91" w:rsidRPr="002029AF" w:rsidRDefault="00087B91" w:rsidP="00860E95">
            <w:pPr>
              <w:pStyle w:val="ARfintablebodyright"/>
            </w:pPr>
            <w:r w:rsidRPr="002029AF">
              <w:t>6.8</w:t>
            </w:r>
          </w:p>
        </w:tc>
      </w:tr>
      <w:tr w:rsidR="00087B91" w:rsidRPr="002029AF" w14:paraId="5780D1D7" w14:textId="77777777" w:rsidTr="00860E95">
        <w:trPr>
          <w:trHeight w:val="255"/>
        </w:trPr>
        <w:tc>
          <w:tcPr>
            <w:tcW w:w="7371" w:type="dxa"/>
            <w:hideMark/>
          </w:tcPr>
          <w:p w14:paraId="6418B353" w14:textId="0E35A6EC" w:rsidR="00087B91" w:rsidRPr="002029AF" w:rsidRDefault="00087B91" w:rsidP="00860E95">
            <w:pPr>
              <w:pStyle w:val="ARfintablebodybold"/>
            </w:pPr>
            <w:r w:rsidRPr="002029AF">
              <w:t>Total</w:t>
            </w:r>
            <w:r w:rsidR="000A5329" w:rsidRPr="002029AF">
              <w:t xml:space="preserve"> </w:t>
            </w:r>
            <w:r w:rsidRPr="002029AF">
              <w:t>other</w:t>
            </w:r>
            <w:r w:rsidR="000A5329" w:rsidRPr="002029AF">
              <w:t xml:space="preserve"> </w:t>
            </w:r>
            <w:r w:rsidRPr="002029AF">
              <w:t>income</w:t>
            </w:r>
          </w:p>
        </w:tc>
        <w:tc>
          <w:tcPr>
            <w:tcW w:w="1133" w:type="dxa"/>
            <w:shd w:val="clear" w:color="auto" w:fill="E7E6E6"/>
            <w:noWrap/>
            <w:hideMark/>
          </w:tcPr>
          <w:p w14:paraId="22A45989" w14:textId="77777777" w:rsidR="00087B91" w:rsidRPr="002029AF" w:rsidRDefault="00087B91" w:rsidP="00860E95">
            <w:pPr>
              <w:pStyle w:val="ARfintablebodyrightbold"/>
            </w:pPr>
            <w:r w:rsidRPr="002029AF">
              <w:t>30.9</w:t>
            </w:r>
          </w:p>
        </w:tc>
        <w:tc>
          <w:tcPr>
            <w:tcW w:w="1133" w:type="dxa"/>
            <w:noWrap/>
            <w:hideMark/>
          </w:tcPr>
          <w:p w14:paraId="160BA334" w14:textId="77777777" w:rsidR="00087B91" w:rsidRPr="002029AF" w:rsidRDefault="00087B91" w:rsidP="00860E95">
            <w:pPr>
              <w:pStyle w:val="ARfintablebodyrightbold"/>
            </w:pPr>
            <w:r w:rsidRPr="002029AF">
              <w:t>15.7</w:t>
            </w:r>
          </w:p>
        </w:tc>
      </w:tr>
    </w:tbl>
    <w:p w14:paraId="03FEF7AE" w14:textId="58DB59E9" w:rsidR="00087B91" w:rsidRPr="002029AF" w:rsidRDefault="00087B91" w:rsidP="00087B91">
      <w:pPr>
        <w:pStyle w:val="ARfinbodyaftertable"/>
      </w:pPr>
      <w:r w:rsidRPr="002029AF">
        <w:rPr>
          <w:rStyle w:val="Strong"/>
        </w:rPr>
        <w:t>Other</w:t>
      </w:r>
      <w:r w:rsidR="000A5329" w:rsidRPr="002029AF">
        <w:rPr>
          <w:rStyle w:val="Strong"/>
        </w:rPr>
        <w:t xml:space="preserve"> </w:t>
      </w:r>
      <w:r w:rsidRPr="002029AF">
        <w:rPr>
          <w:rStyle w:val="Strong"/>
        </w:rPr>
        <w:t>income</w:t>
      </w:r>
      <w:r w:rsidR="000A5329" w:rsidRPr="002029AF">
        <w:t xml:space="preserve"> </w:t>
      </w:r>
      <w:r w:rsidRPr="002029AF">
        <w:t>includes</w:t>
      </w:r>
      <w:r w:rsidR="000A5329" w:rsidRPr="002029AF">
        <w:t xml:space="preserve"> </w:t>
      </w:r>
      <w:r w:rsidRPr="002029AF">
        <w:t>income</w:t>
      </w:r>
      <w:r w:rsidR="000A5329" w:rsidRPr="002029AF">
        <w:t xml:space="preserve"> </w:t>
      </w:r>
      <w:r w:rsidRPr="002029AF">
        <w:t>received</w:t>
      </w:r>
      <w:r w:rsidR="000A5329" w:rsidRPr="002029AF">
        <w:t xml:space="preserve"> </w:t>
      </w:r>
      <w:r w:rsidRPr="002029AF">
        <w:t>from</w:t>
      </w:r>
      <w:r w:rsidR="000A5329" w:rsidRPr="002029AF">
        <w:t xml:space="preserve"> </w:t>
      </w:r>
      <w:r w:rsidRPr="002029AF">
        <w:t>departmental</w:t>
      </w:r>
      <w:r w:rsidR="000A5329" w:rsidRPr="002029AF">
        <w:t xml:space="preserve"> </w:t>
      </w:r>
      <w:r w:rsidRPr="002029AF">
        <w:t>controlled</w:t>
      </w:r>
      <w:r w:rsidR="000A5329" w:rsidRPr="002029AF">
        <w:t xml:space="preserve"> </w:t>
      </w:r>
      <w:r w:rsidRPr="002029AF">
        <w:t>trust</w:t>
      </w:r>
      <w:r w:rsidR="000A5329" w:rsidRPr="002029AF">
        <w:t xml:space="preserve"> </w:t>
      </w:r>
      <w:r w:rsidRPr="002029AF">
        <w:t>funds</w:t>
      </w:r>
      <w:r w:rsidR="000A5329" w:rsidRPr="002029AF">
        <w:t xml:space="preserve"> </w:t>
      </w:r>
      <w:r w:rsidRPr="002029AF">
        <w:t>and</w:t>
      </w:r>
      <w:r w:rsidR="000A5329" w:rsidRPr="002029AF">
        <w:t xml:space="preserve"> </w:t>
      </w:r>
      <w:r w:rsidRPr="002029AF">
        <w:t>is</w:t>
      </w:r>
      <w:r w:rsidR="000A5329" w:rsidRPr="002029AF">
        <w:t xml:space="preserve"> </w:t>
      </w:r>
      <w:r w:rsidRPr="002029AF">
        <w:t>recognised</w:t>
      </w:r>
      <w:r w:rsidR="000A5329" w:rsidRPr="002029AF">
        <w:t xml:space="preserve"> </w:t>
      </w:r>
      <w:r w:rsidRPr="002029AF">
        <w:t>when</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gains</w:t>
      </w:r>
      <w:r w:rsidR="000A5329" w:rsidRPr="002029AF">
        <w:t xml:space="preserve"> </w:t>
      </w:r>
      <w:r w:rsidRPr="002029AF">
        <w:t>control</w:t>
      </w:r>
      <w:r w:rsidR="000A5329" w:rsidRPr="002029AF">
        <w:t xml:space="preserve"> </w:t>
      </w:r>
      <w:r w:rsidRPr="002029AF">
        <w:t>over</w:t>
      </w:r>
      <w:r w:rsidR="000A5329" w:rsidRPr="002029AF">
        <w:t xml:space="preserve"> </w:t>
      </w:r>
      <w:r w:rsidRPr="002029AF">
        <w:t>the</w:t>
      </w:r>
      <w:r w:rsidR="000A5329" w:rsidRPr="002029AF">
        <w:t xml:space="preserve"> </w:t>
      </w:r>
      <w:r w:rsidRPr="002029AF">
        <w:t>funds.</w:t>
      </w:r>
      <w:r w:rsidR="000A5329" w:rsidRPr="002029AF">
        <w:t xml:space="preserve"> </w:t>
      </w:r>
      <w:r w:rsidRPr="002029AF">
        <w:t>It</w:t>
      </w:r>
      <w:r w:rsidR="000A5329" w:rsidRPr="002029AF">
        <w:t xml:space="preserve"> </w:t>
      </w:r>
      <w:r w:rsidRPr="002029AF">
        <w:t>also</w:t>
      </w:r>
      <w:r w:rsidR="000A5329" w:rsidRPr="002029AF">
        <w:t xml:space="preserve"> </w:t>
      </w:r>
      <w:r w:rsidRPr="002029AF">
        <w:t>includes</w:t>
      </w:r>
      <w:r w:rsidR="000A5329" w:rsidRPr="002029AF">
        <w:t xml:space="preserve"> </w:t>
      </w:r>
      <w:r w:rsidRPr="002029AF">
        <w:t>income</w:t>
      </w:r>
      <w:r w:rsidR="000A5329" w:rsidRPr="002029AF">
        <w:t xml:space="preserve"> </w:t>
      </w:r>
      <w:r w:rsidRPr="002029AF">
        <w:t>received</w:t>
      </w:r>
      <w:r w:rsidR="000A5329" w:rsidRPr="002029AF">
        <w:t xml:space="preserve"> </w:t>
      </w:r>
      <w:r w:rsidRPr="002029AF">
        <w:t>from</w:t>
      </w:r>
      <w:r w:rsidR="000A5329" w:rsidRPr="002029AF">
        <w:t xml:space="preserve"> </w:t>
      </w:r>
      <w:r w:rsidRPr="002029AF">
        <w:t>treasury</w:t>
      </w:r>
      <w:r w:rsidR="000A5329" w:rsidRPr="002029AF">
        <w:t xml:space="preserve"> </w:t>
      </w:r>
      <w:r w:rsidRPr="002029AF">
        <w:t>trusts.</w:t>
      </w:r>
    </w:p>
    <w:p w14:paraId="67708821" w14:textId="77777777" w:rsidR="00087B91" w:rsidRPr="002029AF" w:rsidRDefault="00087B91" w:rsidP="00087B91">
      <w:pPr>
        <w:pStyle w:val="ARfinbody"/>
      </w:pPr>
      <w:bookmarkStart w:id="296" w:name="_Toc39136697"/>
      <w:bookmarkStart w:id="297" w:name="_Toc39242136"/>
      <w:r w:rsidRPr="002029AF">
        <w:br w:type="page"/>
      </w:r>
    </w:p>
    <w:p w14:paraId="6323437C" w14:textId="1E501345" w:rsidR="00087B91" w:rsidRPr="002029AF" w:rsidRDefault="00087B91" w:rsidP="00087B91">
      <w:pPr>
        <w:pStyle w:val="Heading4"/>
      </w:pPr>
      <w:r w:rsidRPr="002029AF">
        <w:lastRenderedPageBreak/>
        <w:t>2.5</w:t>
      </w:r>
      <w:r w:rsidR="000A5329" w:rsidRPr="002029AF">
        <w:t xml:space="preserve"> </w:t>
      </w:r>
      <w:r w:rsidRPr="002029AF">
        <w:t>Annotated</w:t>
      </w:r>
      <w:r w:rsidR="000A5329" w:rsidRPr="002029AF">
        <w:t xml:space="preserve"> </w:t>
      </w:r>
      <w:r w:rsidRPr="002029AF">
        <w:t>income</w:t>
      </w:r>
      <w:r w:rsidR="000A5329" w:rsidRPr="002029AF">
        <w:t xml:space="preserve"> </w:t>
      </w:r>
      <w:r w:rsidRPr="002029AF">
        <w:t>agreements</w:t>
      </w:r>
      <w:bookmarkEnd w:id="296"/>
      <w:bookmarkEnd w:id="297"/>
    </w:p>
    <w:p w14:paraId="5AE0E2A8" w14:textId="42697E76" w:rsidR="00087B91" w:rsidRPr="002029AF" w:rsidRDefault="00087B91" w:rsidP="00087B91">
      <w:pPr>
        <w:pStyle w:val="ARfinbody"/>
      </w:pPr>
      <w:r w:rsidRPr="002029AF">
        <w:t>The</w:t>
      </w:r>
      <w:r w:rsidR="000A5329" w:rsidRPr="002029AF">
        <w:t xml:space="preserve"> </w:t>
      </w:r>
      <w:r w:rsidRPr="002029AF">
        <w:t>department</w:t>
      </w:r>
      <w:r w:rsidR="000A5329" w:rsidRPr="002029AF">
        <w:t xml:space="preserve"> </w:t>
      </w:r>
      <w:r w:rsidRPr="002029AF">
        <w:t>is</w:t>
      </w:r>
      <w:r w:rsidR="000A5329" w:rsidRPr="002029AF">
        <w:t xml:space="preserve"> </w:t>
      </w:r>
      <w:r w:rsidRPr="002029AF">
        <w:t>permitted</w:t>
      </w:r>
      <w:r w:rsidR="000A5329" w:rsidRPr="002029AF">
        <w:t xml:space="preserve"> </w:t>
      </w:r>
      <w:r w:rsidRPr="002029AF">
        <w:t>under</w:t>
      </w:r>
      <w:r w:rsidR="000A5329" w:rsidRPr="002029AF">
        <w:t xml:space="preserve"> </w:t>
      </w:r>
      <w:r w:rsidRPr="002029AF">
        <w:t>s.</w:t>
      </w:r>
      <w:r w:rsidR="000A5329" w:rsidRPr="002029AF">
        <w:t xml:space="preserve"> </w:t>
      </w:r>
      <w:r w:rsidRPr="002029AF">
        <w:t>29</w:t>
      </w:r>
      <w:r w:rsidR="000A5329" w:rsidRPr="002029AF">
        <w:t xml:space="preserve"> </w:t>
      </w:r>
      <w:r w:rsidRPr="002029AF">
        <w:t>of</w:t>
      </w:r>
      <w:r w:rsidR="000A5329" w:rsidRPr="002029AF">
        <w:t xml:space="preserve"> </w:t>
      </w:r>
      <w:r w:rsidRPr="002029AF">
        <w:t>the</w:t>
      </w:r>
      <w:r w:rsidR="000A5329" w:rsidRPr="002029AF">
        <w:t xml:space="preserve"> </w:t>
      </w:r>
      <w:r w:rsidRPr="002029AF">
        <w:rPr>
          <w:rStyle w:val="Emphasis"/>
        </w:rPr>
        <w:t>Financial</w:t>
      </w:r>
      <w:r w:rsidR="000A5329" w:rsidRPr="002029AF">
        <w:rPr>
          <w:rStyle w:val="Emphasis"/>
        </w:rPr>
        <w:t xml:space="preserve"> </w:t>
      </w:r>
      <w:r w:rsidRPr="002029AF">
        <w:rPr>
          <w:rStyle w:val="Emphasis"/>
        </w:rPr>
        <w:t>Management</w:t>
      </w:r>
      <w:r w:rsidR="000A5329" w:rsidRPr="002029AF">
        <w:rPr>
          <w:rStyle w:val="Emphasis"/>
        </w:rPr>
        <w:t xml:space="preserve"> </w:t>
      </w:r>
      <w:r w:rsidRPr="002029AF">
        <w:rPr>
          <w:rStyle w:val="Emphasis"/>
        </w:rPr>
        <w:t>Act</w:t>
      </w:r>
      <w:r w:rsidR="000A5329" w:rsidRPr="002029AF">
        <w:rPr>
          <w:rStyle w:val="Emphasis"/>
        </w:rPr>
        <w:t xml:space="preserve"> </w:t>
      </w:r>
      <w:r w:rsidRPr="002029AF">
        <w:rPr>
          <w:rStyle w:val="Emphasis"/>
        </w:rPr>
        <w:t>1994</w:t>
      </w:r>
      <w:r w:rsidR="000A5329" w:rsidRPr="002029AF">
        <w:t xml:space="preserve"> </w:t>
      </w:r>
      <w:r w:rsidRPr="002029AF">
        <w:t>to</w:t>
      </w:r>
      <w:r w:rsidR="000A5329" w:rsidRPr="002029AF">
        <w:t xml:space="preserve"> </w:t>
      </w:r>
      <w:r w:rsidRPr="002029AF">
        <w:t>have</w:t>
      </w:r>
      <w:r w:rsidR="000A5329" w:rsidRPr="002029AF">
        <w:t xml:space="preserve"> </w:t>
      </w:r>
      <w:r w:rsidRPr="002029AF">
        <w:t>certain</w:t>
      </w:r>
      <w:r w:rsidR="000A5329" w:rsidRPr="002029AF">
        <w:t xml:space="preserve"> </w:t>
      </w:r>
      <w:r w:rsidRPr="002029AF">
        <w:t>income</w:t>
      </w:r>
      <w:r w:rsidR="000A5329" w:rsidRPr="002029AF">
        <w:t xml:space="preserve"> </w:t>
      </w:r>
      <w:r w:rsidRPr="002029AF">
        <w:t>annotated</w:t>
      </w:r>
      <w:r w:rsidR="000A5329" w:rsidRPr="002029AF">
        <w:t xml:space="preserve"> </w:t>
      </w:r>
      <w:r w:rsidRPr="002029AF">
        <w:t>to</w:t>
      </w:r>
      <w:r w:rsidR="000A5329" w:rsidRPr="002029AF">
        <w:t xml:space="preserve"> </w:t>
      </w:r>
      <w:r w:rsidRPr="002029AF">
        <w:t>the</w:t>
      </w:r>
      <w:r w:rsidR="000A5329" w:rsidRPr="002029AF">
        <w:t xml:space="preserve"> </w:t>
      </w:r>
      <w:r w:rsidRPr="002029AF">
        <w:t>annual</w:t>
      </w:r>
      <w:r w:rsidR="000A5329" w:rsidRPr="002029AF">
        <w:t xml:space="preserve"> </w:t>
      </w:r>
      <w:r w:rsidRPr="002029AF">
        <w:t>appropriation.</w:t>
      </w:r>
      <w:r w:rsidR="000A5329" w:rsidRPr="002029AF">
        <w:t xml:space="preserve"> </w:t>
      </w:r>
      <w:r w:rsidRPr="002029AF">
        <w:t>The</w:t>
      </w:r>
      <w:r w:rsidR="000A5329" w:rsidRPr="002029AF">
        <w:t xml:space="preserve"> </w:t>
      </w:r>
      <w:r w:rsidRPr="002029AF">
        <w:t>income</w:t>
      </w:r>
      <w:r w:rsidR="000A5329" w:rsidRPr="002029AF">
        <w:t xml:space="preserve"> </w:t>
      </w:r>
      <w:r w:rsidRPr="002029AF">
        <w:t>which</w:t>
      </w:r>
      <w:r w:rsidR="000A5329" w:rsidRPr="002029AF">
        <w:t xml:space="preserve"> </w:t>
      </w:r>
      <w:r w:rsidRPr="002029AF">
        <w:t>forms</w:t>
      </w:r>
      <w:r w:rsidR="000A5329" w:rsidRPr="002029AF">
        <w:t xml:space="preserve"> </w:t>
      </w:r>
      <w:r w:rsidRPr="002029AF">
        <w:t>part</w:t>
      </w:r>
      <w:r w:rsidR="000A5329" w:rsidRPr="002029AF">
        <w:t xml:space="preserve"> </w:t>
      </w:r>
      <w:r w:rsidRPr="002029AF">
        <w:t>of</w:t>
      </w:r>
      <w:r w:rsidR="000A5329" w:rsidRPr="002029AF">
        <w:t xml:space="preserve"> </w:t>
      </w:r>
      <w:r w:rsidRPr="002029AF">
        <w:t>a</w:t>
      </w:r>
      <w:r w:rsidR="000A5329" w:rsidRPr="002029AF">
        <w:t xml:space="preserve"> </w:t>
      </w:r>
      <w:r w:rsidRPr="002029AF">
        <w:t>s.</w:t>
      </w:r>
      <w:r w:rsidR="000A5329" w:rsidRPr="002029AF">
        <w:t xml:space="preserve"> </w:t>
      </w:r>
      <w:r w:rsidRPr="002029AF">
        <w:t>29</w:t>
      </w:r>
      <w:r w:rsidR="000A5329" w:rsidRPr="002029AF">
        <w:t xml:space="preserve"> </w:t>
      </w:r>
      <w:r w:rsidRPr="002029AF">
        <w:t>agreement</w:t>
      </w:r>
      <w:r w:rsidR="000A5329" w:rsidRPr="002029AF">
        <w:t xml:space="preserve"> </w:t>
      </w:r>
      <w:r w:rsidRPr="002029AF">
        <w:t>is</w:t>
      </w:r>
      <w:r w:rsidR="000A5329" w:rsidRPr="002029AF">
        <w:t xml:space="preserve"> </w:t>
      </w:r>
      <w:r w:rsidRPr="002029AF">
        <w:t>recognised</w:t>
      </w:r>
      <w:r w:rsidR="000A5329" w:rsidRPr="002029AF">
        <w:t xml:space="preserve"> </w:t>
      </w:r>
      <w:r w:rsidRPr="002029AF">
        <w:t>by</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and</w:t>
      </w:r>
      <w:r w:rsidR="000A5329" w:rsidRPr="002029AF">
        <w:t xml:space="preserve"> </w:t>
      </w:r>
      <w:r w:rsidRPr="002029AF">
        <w:t>the</w:t>
      </w:r>
      <w:r w:rsidR="000A5329" w:rsidRPr="002029AF">
        <w:t xml:space="preserve"> </w:t>
      </w:r>
      <w:r w:rsidRPr="002029AF">
        <w:t>receipts</w:t>
      </w:r>
      <w:r w:rsidR="000A5329" w:rsidRPr="002029AF">
        <w:t xml:space="preserve"> </w:t>
      </w:r>
      <w:r w:rsidRPr="002029AF">
        <w:t>paid</w:t>
      </w:r>
      <w:r w:rsidR="000A5329" w:rsidRPr="002029AF">
        <w:t xml:space="preserve"> </w:t>
      </w:r>
      <w:r w:rsidRPr="002029AF">
        <w:t>into</w:t>
      </w:r>
      <w:r w:rsidR="000A5329" w:rsidRPr="002029AF">
        <w:t xml:space="preserve"> </w:t>
      </w:r>
      <w:r w:rsidRPr="002029AF">
        <w:t>the</w:t>
      </w:r>
      <w:r w:rsidR="000A5329" w:rsidRPr="002029AF">
        <w:t xml:space="preserve"> </w:t>
      </w:r>
      <w:r w:rsidRPr="002029AF">
        <w:t>consolidated</w:t>
      </w:r>
      <w:r w:rsidR="000A5329" w:rsidRPr="002029AF">
        <w:t xml:space="preserve"> </w:t>
      </w:r>
      <w:r w:rsidRPr="002029AF">
        <w:t>fund</w:t>
      </w:r>
      <w:r w:rsidR="000A5329" w:rsidRPr="002029AF">
        <w:t xml:space="preserve"> </w:t>
      </w:r>
      <w:r w:rsidRPr="002029AF">
        <w:t>as</w:t>
      </w:r>
      <w:r w:rsidR="000A5329" w:rsidRPr="002029AF">
        <w:t xml:space="preserve"> </w:t>
      </w:r>
      <w:r w:rsidRPr="002029AF">
        <w:t>an</w:t>
      </w:r>
      <w:r w:rsidR="000A5329" w:rsidRPr="002029AF">
        <w:t xml:space="preserve"> </w:t>
      </w:r>
      <w:r w:rsidRPr="002029AF">
        <w:t>administered</w:t>
      </w:r>
      <w:r w:rsidR="000A5329" w:rsidRPr="002029AF">
        <w:t xml:space="preserve"> </w:t>
      </w:r>
      <w:r w:rsidRPr="002029AF">
        <w:t>item.</w:t>
      </w:r>
      <w:r w:rsidR="000A5329" w:rsidRPr="002029AF">
        <w:t xml:space="preserve"> </w:t>
      </w:r>
      <w:r w:rsidRPr="002029AF">
        <w:t>At</w:t>
      </w:r>
      <w:r w:rsidR="000A5329" w:rsidRPr="002029AF">
        <w:t xml:space="preserve"> </w:t>
      </w:r>
      <w:r w:rsidRPr="002029AF">
        <w:t>the</w:t>
      </w:r>
      <w:r w:rsidR="000A5329" w:rsidRPr="002029AF">
        <w:t xml:space="preserve"> </w:t>
      </w:r>
      <w:r w:rsidRPr="002029AF">
        <w:t>point</w:t>
      </w:r>
      <w:r w:rsidR="000A5329" w:rsidRPr="002029AF">
        <w:t xml:space="preserve"> </w:t>
      </w:r>
      <w:r w:rsidRPr="002029AF">
        <w:t>of</w:t>
      </w:r>
      <w:r w:rsidR="000A5329" w:rsidRPr="002029AF">
        <w:t xml:space="preserve"> </w:t>
      </w:r>
      <w:r w:rsidRPr="002029AF">
        <w:t>income</w:t>
      </w:r>
      <w:r w:rsidR="000A5329" w:rsidRPr="002029AF">
        <w:t xml:space="preserve"> </w:t>
      </w:r>
      <w:r w:rsidRPr="002029AF">
        <w:t>recognition,</w:t>
      </w:r>
      <w:r w:rsidR="000A5329" w:rsidRPr="002029AF">
        <w:t xml:space="preserve"> </w:t>
      </w:r>
      <w:r w:rsidRPr="002029AF">
        <w:t>s.</w:t>
      </w:r>
      <w:r w:rsidR="000A5329" w:rsidRPr="002029AF">
        <w:t xml:space="preserve"> </w:t>
      </w:r>
      <w:r w:rsidRPr="002029AF">
        <w:t>29</w:t>
      </w:r>
      <w:r w:rsidR="000A5329" w:rsidRPr="002029AF">
        <w:t xml:space="preserve"> </w:t>
      </w:r>
      <w:r w:rsidRPr="002029AF">
        <w:t>provides</w:t>
      </w:r>
      <w:r w:rsidR="000A5329" w:rsidRPr="002029AF">
        <w:t xml:space="preserve"> </w:t>
      </w:r>
      <w:r w:rsidRPr="002029AF">
        <w:t>for</w:t>
      </w:r>
      <w:r w:rsidR="000A5329" w:rsidRPr="002029AF">
        <w:t xml:space="preserve"> </w:t>
      </w:r>
      <w:r w:rsidRPr="002029AF">
        <w:t>an</w:t>
      </w:r>
      <w:r w:rsidR="000A5329" w:rsidRPr="002029AF">
        <w:t xml:space="preserve"> </w:t>
      </w:r>
      <w:r w:rsidRPr="002029AF">
        <w:t>equivalent</w:t>
      </w:r>
      <w:r w:rsidR="000A5329" w:rsidRPr="002029AF">
        <w:t xml:space="preserve"> </w:t>
      </w:r>
      <w:r w:rsidRPr="002029AF">
        <w:t>amount</w:t>
      </w:r>
      <w:r w:rsidR="000A5329" w:rsidRPr="002029AF">
        <w:t xml:space="preserve"> </w:t>
      </w:r>
      <w:r w:rsidRPr="002029AF">
        <w:t>to</w:t>
      </w:r>
      <w:r w:rsidR="000A5329" w:rsidRPr="002029AF">
        <w:t xml:space="preserve"> </w:t>
      </w:r>
      <w:r w:rsidRPr="002029AF">
        <w:t>be</w:t>
      </w:r>
      <w:r w:rsidR="000A5329" w:rsidRPr="002029AF">
        <w:t xml:space="preserve"> </w:t>
      </w:r>
      <w:r w:rsidRPr="002029AF">
        <w:t>added</w:t>
      </w:r>
      <w:r w:rsidR="000A5329" w:rsidRPr="002029AF">
        <w:t xml:space="preserve"> </w:t>
      </w:r>
      <w:r w:rsidRPr="002029AF">
        <w:t>to</w:t>
      </w:r>
      <w:r w:rsidR="000A5329" w:rsidRPr="002029AF">
        <w:t xml:space="preserve"> </w:t>
      </w:r>
      <w:r w:rsidRPr="002029AF">
        <w:t>the</w:t>
      </w:r>
      <w:r w:rsidR="000A5329" w:rsidRPr="002029AF">
        <w:t xml:space="preserve"> </w:t>
      </w:r>
      <w:r w:rsidRPr="002029AF">
        <w:t>annual</w:t>
      </w:r>
      <w:r w:rsidR="000A5329" w:rsidRPr="002029AF">
        <w:t xml:space="preserve"> </w:t>
      </w:r>
      <w:r w:rsidRPr="002029AF">
        <w:t>appropriation.</w:t>
      </w:r>
    </w:p>
    <w:p w14:paraId="0064357B" w14:textId="3997C029" w:rsidR="00087B91" w:rsidRPr="002029AF" w:rsidRDefault="00087B91" w:rsidP="00087B91">
      <w:pPr>
        <w:pStyle w:val="ARfinbody"/>
      </w:pPr>
      <w:r w:rsidRPr="002029AF">
        <w:t>The</w:t>
      </w:r>
      <w:r w:rsidR="000A5329" w:rsidRPr="002029AF">
        <w:t xml:space="preserve"> </w:t>
      </w:r>
      <w:r w:rsidRPr="002029AF">
        <w:t>following</w:t>
      </w:r>
      <w:r w:rsidR="000A5329" w:rsidRPr="002029AF">
        <w:t xml:space="preserve"> </w:t>
      </w:r>
      <w:r w:rsidRPr="002029AF">
        <w:t>is</w:t>
      </w:r>
      <w:r w:rsidR="000A5329" w:rsidRPr="002029AF">
        <w:t xml:space="preserve"> </w:t>
      </w:r>
      <w:r w:rsidRPr="002029AF">
        <w:t>a</w:t>
      </w:r>
      <w:r w:rsidR="000A5329" w:rsidRPr="002029AF">
        <w:t xml:space="preserve"> </w:t>
      </w:r>
      <w:r w:rsidRPr="002029AF">
        <w:t>listing</w:t>
      </w:r>
      <w:r w:rsidR="000A5329" w:rsidRPr="002029AF">
        <w:t xml:space="preserve"> </w:t>
      </w:r>
      <w:r w:rsidRPr="002029AF">
        <w:t>of</w:t>
      </w:r>
      <w:r w:rsidR="000A5329" w:rsidRPr="002029AF">
        <w:t xml:space="preserve"> </w:t>
      </w:r>
      <w:r w:rsidRPr="002029AF">
        <w:t>annotated</w:t>
      </w:r>
      <w:r w:rsidR="000A5329" w:rsidRPr="002029AF">
        <w:t xml:space="preserve"> </w:t>
      </w:r>
      <w:r w:rsidRPr="002029AF">
        <w:t>income</w:t>
      </w:r>
      <w:r w:rsidR="000A5329" w:rsidRPr="002029AF">
        <w:t xml:space="preserve"> </w:t>
      </w:r>
      <w:r w:rsidRPr="002029AF">
        <w:t>agreements</w:t>
      </w:r>
      <w:r w:rsidR="000A5329" w:rsidRPr="002029AF">
        <w:t xml:space="preserve"> </w:t>
      </w:r>
      <w:r w:rsidRPr="002029AF">
        <w:t>under</w:t>
      </w:r>
      <w:r w:rsidR="000A5329" w:rsidRPr="002029AF">
        <w:t xml:space="preserve"> </w:t>
      </w:r>
      <w:r w:rsidRPr="002029AF">
        <w:t>s.</w:t>
      </w:r>
      <w:r w:rsidR="000A5329" w:rsidRPr="002029AF">
        <w:t xml:space="preserve"> </w:t>
      </w:r>
      <w:r w:rsidRPr="002029AF">
        <w:t>29</w:t>
      </w:r>
      <w:r w:rsidR="000A5329" w:rsidRPr="002029AF">
        <w:t xml:space="preserve"> </w:t>
      </w:r>
      <w:r w:rsidRPr="002029AF">
        <w:t>of</w:t>
      </w:r>
      <w:r w:rsidR="000A5329" w:rsidRPr="002029AF">
        <w:t xml:space="preserve"> </w:t>
      </w:r>
      <w:r w:rsidRPr="002029AF">
        <w:t>the</w:t>
      </w:r>
      <w:r w:rsidR="000A5329" w:rsidRPr="002029AF">
        <w:t xml:space="preserve"> </w:t>
      </w:r>
      <w:r w:rsidRPr="002029AF">
        <w:rPr>
          <w:rStyle w:val="Emphasis"/>
        </w:rPr>
        <w:t>Financial</w:t>
      </w:r>
      <w:r w:rsidR="000A5329" w:rsidRPr="002029AF">
        <w:rPr>
          <w:rStyle w:val="Emphasis"/>
        </w:rPr>
        <w:t xml:space="preserve"> </w:t>
      </w:r>
      <w:r w:rsidRPr="002029AF">
        <w:rPr>
          <w:rStyle w:val="Emphasis"/>
        </w:rPr>
        <w:t>Management</w:t>
      </w:r>
      <w:r w:rsidR="000A5329" w:rsidRPr="002029AF">
        <w:rPr>
          <w:rStyle w:val="Emphasis"/>
        </w:rPr>
        <w:t xml:space="preserve"> </w:t>
      </w:r>
      <w:r w:rsidRPr="002029AF">
        <w:rPr>
          <w:rStyle w:val="Emphasis"/>
        </w:rPr>
        <w:t>Act</w:t>
      </w:r>
      <w:r w:rsidR="000A5329" w:rsidRPr="002029AF">
        <w:rPr>
          <w:rStyle w:val="Emphasis"/>
        </w:rPr>
        <w:t xml:space="preserve"> </w:t>
      </w:r>
      <w:r w:rsidRPr="002029AF">
        <w:rPr>
          <w:rStyle w:val="Emphasis"/>
        </w:rPr>
        <w:t>1994</w:t>
      </w:r>
      <w:r w:rsidR="000A5329" w:rsidRPr="002029AF">
        <w:t xml:space="preserve"> </w:t>
      </w:r>
      <w:r w:rsidRPr="002029AF">
        <w:t>approved</w:t>
      </w:r>
      <w:r w:rsidR="000A5329" w:rsidRPr="002029AF">
        <w:t xml:space="preserve"> </w:t>
      </w:r>
      <w:r w:rsidRPr="002029AF">
        <w:t>by</w:t>
      </w:r>
      <w:r w:rsidR="000A5329" w:rsidRPr="002029AF">
        <w:t xml:space="preserve"> </w:t>
      </w:r>
      <w:r w:rsidRPr="002029AF">
        <w:t>the</w:t>
      </w:r>
      <w:r w:rsidR="000A5329" w:rsidRPr="002029AF">
        <w:t xml:space="preserve"> </w:t>
      </w:r>
      <w:r w:rsidRPr="002029AF">
        <w:t>Treasurer:</w:t>
      </w:r>
    </w:p>
    <w:tbl>
      <w:tblPr>
        <w:tblStyle w:val="TableGrid"/>
        <w:tblW w:w="9637" w:type="dxa"/>
        <w:tblLayout w:type="fixed"/>
        <w:tblLook w:val="06A0" w:firstRow="1" w:lastRow="0" w:firstColumn="1" w:lastColumn="0" w:noHBand="1" w:noVBand="1"/>
      </w:tblPr>
      <w:tblGrid>
        <w:gridCol w:w="7371"/>
        <w:gridCol w:w="1133"/>
        <w:gridCol w:w="1133"/>
      </w:tblGrid>
      <w:tr w:rsidR="00087B91" w:rsidRPr="002029AF" w14:paraId="08B0FF6F" w14:textId="77777777" w:rsidTr="00C83719">
        <w:trPr>
          <w:cnfStyle w:val="100000000000" w:firstRow="1" w:lastRow="0" w:firstColumn="0" w:lastColumn="0" w:oddVBand="0" w:evenVBand="0" w:oddHBand="0" w:evenHBand="0" w:firstRowFirstColumn="0" w:firstRowLastColumn="0" w:lastRowFirstColumn="0" w:lastRowLastColumn="0"/>
          <w:tblHeader/>
        </w:trPr>
        <w:tc>
          <w:tcPr>
            <w:tcW w:w="7371" w:type="dxa"/>
            <w:tcBorders>
              <w:bottom w:val="single" w:sz="4" w:space="0" w:color="auto"/>
            </w:tcBorders>
            <w:noWrap/>
            <w:hideMark/>
          </w:tcPr>
          <w:p w14:paraId="1F64591F" w14:textId="77777777" w:rsidR="00087B91" w:rsidRPr="002029AF" w:rsidRDefault="00087B91" w:rsidP="00860E95">
            <w:pPr>
              <w:pStyle w:val="ARfintablecolhead"/>
              <w:spacing w:before="30"/>
            </w:pPr>
          </w:p>
        </w:tc>
        <w:tc>
          <w:tcPr>
            <w:tcW w:w="1133" w:type="dxa"/>
            <w:tcBorders>
              <w:bottom w:val="single" w:sz="4" w:space="0" w:color="auto"/>
            </w:tcBorders>
            <w:shd w:val="clear" w:color="auto" w:fill="E7E6E6"/>
            <w:hideMark/>
          </w:tcPr>
          <w:p w14:paraId="67BBBEE5" w14:textId="77777777" w:rsidR="00087B91" w:rsidRPr="002029AF" w:rsidRDefault="00087B91" w:rsidP="00860E95">
            <w:pPr>
              <w:pStyle w:val="ARfintablecolheadright"/>
              <w:spacing w:before="30"/>
            </w:pPr>
            <w:r w:rsidRPr="002029AF">
              <w:t>2020</w:t>
            </w:r>
          </w:p>
          <w:p w14:paraId="28974E1B" w14:textId="77777777" w:rsidR="00087B91" w:rsidRPr="002029AF" w:rsidRDefault="00087B91" w:rsidP="00860E95">
            <w:pPr>
              <w:pStyle w:val="ARfintablecolheadright"/>
              <w:spacing w:before="30"/>
            </w:pPr>
            <w:r w:rsidRPr="002029AF">
              <w:t>$M</w:t>
            </w:r>
          </w:p>
        </w:tc>
        <w:tc>
          <w:tcPr>
            <w:tcW w:w="1133" w:type="dxa"/>
            <w:tcBorders>
              <w:bottom w:val="single" w:sz="4" w:space="0" w:color="auto"/>
            </w:tcBorders>
            <w:hideMark/>
          </w:tcPr>
          <w:p w14:paraId="4F9C1F66" w14:textId="77777777" w:rsidR="00087B91" w:rsidRPr="002029AF" w:rsidRDefault="00087B91" w:rsidP="00860E95">
            <w:pPr>
              <w:pStyle w:val="ARfintablecolheadright"/>
              <w:spacing w:before="30"/>
            </w:pPr>
            <w:r w:rsidRPr="002029AF">
              <w:t>2019</w:t>
            </w:r>
          </w:p>
          <w:p w14:paraId="336D71BC" w14:textId="77777777" w:rsidR="00087B91" w:rsidRPr="002029AF" w:rsidRDefault="00087B91" w:rsidP="00860E95">
            <w:pPr>
              <w:pStyle w:val="ARfintablecolheadright"/>
              <w:spacing w:before="30"/>
            </w:pPr>
            <w:r w:rsidRPr="002029AF">
              <w:t>$M</w:t>
            </w:r>
          </w:p>
        </w:tc>
      </w:tr>
      <w:tr w:rsidR="00087B91" w:rsidRPr="002029AF" w14:paraId="0FC3A11D" w14:textId="77777777" w:rsidTr="00860E95">
        <w:tc>
          <w:tcPr>
            <w:tcW w:w="9637" w:type="dxa"/>
            <w:gridSpan w:val="3"/>
            <w:tcBorders>
              <w:top w:val="single" w:sz="4" w:space="0" w:color="auto"/>
              <w:bottom w:val="single" w:sz="4" w:space="0" w:color="A6A6A6"/>
            </w:tcBorders>
            <w:hideMark/>
          </w:tcPr>
          <w:p w14:paraId="0943F967" w14:textId="0BB47352" w:rsidR="00087B91" w:rsidRPr="002029AF" w:rsidRDefault="00087B91" w:rsidP="00860E95">
            <w:pPr>
              <w:pStyle w:val="ARfintablebodybold"/>
              <w:spacing w:before="30"/>
            </w:pPr>
            <w:r w:rsidRPr="002029AF">
              <w:t>User</w:t>
            </w:r>
            <w:r w:rsidR="000A5329" w:rsidRPr="002029AF">
              <w:t xml:space="preserve"> </w:t>
            </w:r>
            <w:r w:rsidRPr="002029AF">
              <w:t>charges,</w:t>
            </w:r>
            <w:r w:rsidR="000A5329" w:rsidRPr="002029AF">
              <w:t xml:space="preserve"> </w:t>
            </w:r>
            <w:r w:rsidRPr="002029AF">
              <w:t>or</w:t>
            </w:r>
            <w:r w:rsidR="000A5329" w:rsidRPr="002029AF">
              <w:t xml:space="preserve"> </w:t>
            </w:r>
            <w:r w:rsidRPr="002029AF">
              <w:t>sales</w:t>
            </w:r>
            <w:r w:rsidR="000A5329" w:rsidRPr="002029AF">
              <w:t xml:space="preserve"> </w:t>
            </w:r>
            <w:r w:rsidRPr="002029AF">
              <w:t>of</w:t>
            </w:r>
            <w:r w:rsidR="000A5329" w:rsidRPr="002029AF">
              <w:t xml:space="preserve"> </w:t>
            </w:r>
            <w:r w:rsidRPr="002029AF">
              <w:t>goods</w:t>
            </w:r>
            <w:r w:rsidR="000A5329" w:rsidRPr="002029AF">
              <w:t xml:space="preserve"> </w:t>
            </w:r>
            <w:r w:rsidRPr="002029AF">
              <w:t>and</w:t>
            </w:r>
            <w:r w:rsidR="000A5329" w:rsidRPr="002029AF">
              <w:t xml:space="preserve"> </w:t>
            </w:r>
            <w:r w:rsidRPr="002029AF">
              <w:t>services</w:t>
            </w:r>
          </w:p>
        </w:tc>
      </w:tr>
      <w:tr w:rsidR="00087B91" w:rsidRPr="002029AF" w14:paraId="4787EE0B" w14:textId="77777777" w:rsidTr="00860E95">
        <w:tc>
          <w:tcPr>
            <w:tcW w:w="7371" w:type="dxa"/>
            <w:tcBorders>
              <w:top w:val="single" w:sz="4" w:space="0" w:color="A6A6A6"/>
              <w:bottom w:val="single" w:sz="4" w:space="0" w:color="A6A6A6"/>
            </w:tcBorders>
            <w:hideMark/>
          </w:tcPr>
          <w:p w14:paraId="5F088DF4" w14:textId="0F3A7E18" w:rsidR="00087B91" w:rsidRPr="002029AF" w:rsidRDefault="00087B91" w:rsidP="00860E95">
            <w:pPr>
              <w:pStyle w:val="ARfintablebody"/>
              <w:spacing w:before="30"/>
            </w:pPr>
            <w:r w:rsidRPr="002029AF">
              <w:t>Albury</w:t>
            </w:r>
            <w:r w:rsidR="000A5329" w:rsidRPr="002029AF">
              <w:t xml:space="preserve"> </w:t>
            </w:r>
            <w:r w:rsidRPr="002029AF">
              <w:t>Wodonga</w:t>
            </w:r>
            <w:r w:rsidR="000A5329" w:rsidRPr="002029AF">
              <w:t xml:space="preserve"> </w:t>
            </w:r>
            <w:r w:rsidRPr="002029AF">
              <w:t>Health</w:t>
            </w:r>
            <w:r w:rsidR="000A5329" w:rsidRPr="002029AF">
              <w:t xml:space="preserve"> </w:t>
            </w:r>
            <w:r w:rsidRPr="002029AF">
              <w:t>(Capital)</w:t>
            </w:r>
          </w:p>
        </w:tc>
        <w:tc>
          <w:tcPr>
            <w:tcW w:w="1133" w:type="dxa"/>
            <w:tcBorders>
              <w:top w:val="single" w:sz="4" w:space="0" w:color="A6A6A6"/>
              <w:bottom w:val="single" w:sz="4" w:space="0" w:color="A6A6A6"/>
            </w:tcBorders>
            <w:shd w:val="clear" w:color="auto" w:fill="E7E6E6"/>
            <w:noWrap/>
            <w:hideMark/>
          </w:tcPr>
          <w:p w14:paraId="663AC139" w14:textId="77777777" w:rsidR="00087B91" w:rsidRPr="002029AF" w:rsidRDefault="00087B91" w:rsidP="00860E95">
            <w:pPr>
              <w:pStyle w:val="ARfintablebodyright"/>
              <w:spacing w:before="30"/>
            </w:pPr>
            <w:r w:rsidRPr="002029AF">
              <w:t>1.6</w:t>
            </w:r>
          </w:p>
        </w:tc>
        <w:tc>
          <w:tcPr>
            <w:tcW w:w="1133" w:type="dxa"/>
            <w:tcBorders>
              <w:top w:val="single" w:sz="4" w:space="0" w:color="A6A6A6"/>
              <w:bottom w:val="single" w:sz="4" w:space="0" w:color="A6A6A6"/>
            </w:tcBorders>
            <w:noWrap/>
            <w:hideMark/>
          </w:tcPr>
          <w:p w14:paraId="7713A403" w14:textId="77777777" w:rsidR="00087B91" w:rsidRPr="002029AF" w:rsidRDefault="00087B91" w:rsidP="00860E95">
            <w:pPr>
              <w:pStyle w:val="ARfintablebodyright"/>
              <w:spacing w:before="30"/>
            </w:pPr>
            <w:r w:rsidRPr="002029AF">
              <w:t>1.6</w:t>
            </w:r>
          </w:p>
        </w:tc>
      </w:tr>
      <w:tr w:rsidR="00087B91" w:rsidRPr="002029AF" w14:paraId="250E8CFC" w14:textId="77777777" w:rsidTr="00860E95">
        <w:tc>
          <w:tcPr>
            <w:tcW w:w="7371" w:type="dxa"/>
            <w:tcBorders>
              <w:top w:val="single" w:sz="4" w:space="0" w:color="A6A6A6"/>
              <w:bottom w:val="single" w:sz="4" w:space="0" w:color="A6A6A6"/>
            </w:tcBorders>
            <w:hideMark/>
          </w:tcPr>
          <w:p w14:paraId="44C3E5A7" w14:textId="5CC57093" w:rsidR="00087B91" w:rsidRPr="002029AF" w:rsidRDefault="00087B91" w:rsidP="00860E95">
            <w:pPr>
              <w:pStyle w:val="ARfintablebody"/>
              <w:spacing w:before="30"/>
            </w:pPr>
            <w:r w:rsidRPr="002029AF">
              <w:t>Albury</w:t>
            </w:r>
            <w:r w:rsidR="000A5329" w:rsidRPr="002029AF">
              <w:t xml:space="preserve"> </w:t>
            </w:r>
            <w:r w:rsidRPr="002029AF">
              <w:t>Wodonga</w:t>
            </w:r>
            <w:r w:rsidR="000A5329" w:rsidRPr="002029AF">
              <w:t xml:space="preserve"> </w:t>
            </w:r>
            <w:r w:rsidRPr="002029AF">
              <w:t>Health</w:t>
            </w:r>
            <w:r w:rsidR="000A5329" w:rsidRPr="002029AF">
              <w:t xml:space="preserve"> </w:t>
            </w:r>
            <w:r w:rsidRPr="002029AF">
              <w:t>(Output)</w:t>
            </w:r>
          </w:p>
        </w:tc>
        <w:tc>
          <w:tcPr>
            <w:tcW w:w="1133" w:type="dxa"/>
            <w:tcBorders>
              <w:top w:val="single" w:sz="4" w:space="0" w:color="A6A6A6"/>
              <w:bottom w:val="single" w:sz="4" w:space="0" w:color="A6A6A6"/>
            </w:tcBorders>
            <w:shd w:val="clear" w:color="auto" w:fill="E7E6E6"/>
            <w:noWrap/>
            <w:hideMark/>
          </w:tcPr>
          <w:p w14:paraId="2A4E005A" w14:textId="77777777" w:rsidR="00087B91" w:rsidRPr="002029AF" w:rsidRDefault="00087B91" w:rsidP="00860E95">
            <w:pPr>
              <w:pStyle w:val="ARfintablebodyright"/>
              <w:spacing w:before="30"/>
            </w:pPr>
            <w:r w:rsidRPr="002029AF">
              <w:t>113.7</w:t>
            </w:r>
          </w:p>
        </w:tc>
        <w:tc>
          <w:tcPr>
            <w:tcW w:w="1133" w:type="dxa"/>
            <w:tcBorders>
              <w:top w:val="single" w:sz="4" w:space="0" w:color="A6A6A6"/>
              <w:bottom w:val="single" w:sz="4" w:space="0" w:color="A6A6A6"/>
            </w:tcBorders>
            <w:noWrap/>
            <w:hideMark/>
          </w:tcPr>
          <w:p w14:paraId="0D703784" w14:textId="77777777" w:rsidR="00087B91" w:rsidRPr="002029AF" w:rsidRDefault="00087B91" w:rsidP="00860E95">
            <w:pPr>
              <w:pStyle w:val="ARfintablebodyright"/>
              <w:spacing w:before="30"/>
            </w:pPr>
            <w:r w:rsidRPr="002029AF">
              <w:t>109.8</w:t>
            </w:r>
          </w:p>
        </w:tc>
      </w:tr>
      <w:tr w:rsidR="00087B91" w:rsidRPr="002029AF" w14:paraId="52A67A92" w14:textId="77777777" w:rsidTr="00860E95">
        <w:tc>
          <w:tcPr>
            <w:tcW w:w="7371" w:type="dxa"/>
            <w:tcBorders>
              <w:top w:val="single" w:sz="4" w:space="0" w:color="A6A6A6"/>
              <w:bottom w:val="single" w:sz="4" w:space="0" w:color="A6A6A6"/>
            </w:tcBorders>
            <w:hideMark/>
          </w:tcPr>
          <w:p w14:paraId="3A4364B5" w14:textId="43A12B72" w:rsidR="00087B91" w:rsidRPr="002029AF" w:rsidRDefault="00087B91" w:rsidP="00860E95">
            <w:pPr>
              <w:pStyle w:val="ARfintablebody"/>
              <w:spacing w:before="30"/>
            </w:pPr>
            <w:r w:rsidRPr="002029AF">
              <w:t>Community</w:t>
            </w:r>
            <w:r w:rsidR="000A5329" w:rsidRPr="002029AF">
              <w:t xml:space="preserve"> </w:t>
            </w:r>
            <w:r w:rsidRPr="002029AF">
              <w:t>Residential</w:t>
            </w:r>
            <w:r w:rsidR="000A5329" w:rsidRPr="002029AF">
              <w:t xml:space="preserve"> </w:t>
            </w:r>
            <w:r w:rsidRPr="002029AF">
              <w:t>Units</w:t>
            </w:r>
            <w:r w:rsidR="000A5329" w:rsidRPr="002029AF">
              <w:t xml:space="preserve"> </w:t>
            </w:r>
            <w:r w:rsidRPr="002029AF">
              <w:t>Accommodation</w:t>
            </w:r>
            <w:r w:rsidR="000A5329" w:rsidRPr="002029AF">
              <w:t xml:space="preserve"> </w:t>
            </w:r>
            <w:r w:rsidRPr="002029AF">
              <w:t>charges</w:t>
            </w:r>
            <w:r w:rsidR="000A5329" w:rsidRPr="002029AF">
              <w:t xml:space="preserve"> </w:t>
            </w:r>
            <w:r w:rsidRPr="002029AF">
              <w:t>includes</w:t>
            </w:r>
            <w:r w:rsidR="000A5329" w:rsidRPr="002029AF">
              <w:t xml:space="preserve"> </w:t>
            </w:r>
            <w:r w:rsidRPr="002029AF">
              <w:t>full</w:t>
            </w:r>
            <w:r w:rsidR="000A5329" w:rsidRPr="002029AF">
              <w:t xml:space="preserve"> </w:t>
            </w:r>
            <w:r w:rsidRPr="002029AF">
              <w:t>Board</w:t>
            </w:r>
            <w:r w:rsidR="000A5329" w:rsidRPr="002029AF">
              <w:t xml:space="preserve"> </w:t>
            </w:r>
            <w:r w:rsidRPr="002029AF">
              <w:t>and</w:t>
            </w:r>
            <w:r w:rsidR="000A5329" w:rsidRPr="002029AF">
              <w:t xml:space="preserve"> </w:t>
            </w:r>
            <w:r w:rsidRPr="002029AF">
              <w:t>Lodging</w:t>
            </w:r>
            <w:r w:rsidR="000A5329" w:rsidRPr="002029AF">
              <w:t xml:space="preserve"> </w:t>
            </w:r>
            <w:r w:rsidRPr="002029AF">
              <w:t>Model</w:t>
            </w:r>
            <w:r w:rsidR="000A5329" w:rsidRPr="002029AF">
              <w:t xml:space="preserve"> </w:t>
            </w:r>
            <w:r w:rsidRPr="002029AF">
              <w:t>(Output)</w:t>
            </w:r>
          </w:p>
        </w:tc>
        <w:tc>
          <w:tcPr>
            <w:tcW w:w="1133" w:type="dxa"/>
            <w:tcBorders>
              <w:top w:val="single" w:sz="4" w:space="0" w:color="A6A6A6"/>
              <w:bottom w:val="single" w:sz="4" w:space="0" w:color="A6A6A6"/>
            </w:tcBorders>
            <w:shd w:val="clear" w:color="auto" w:fill="E7E6E6"/>
            <w:noWrap/>
            <w:hideMark/>
          </w:tcPr>
          <w:p w14:paraId="467B4055" w14:textId="77777777" w:rsidR="00087B91" w:rsidRPr="002029AF" w:rsidRDefault="00087B91" w:rsidP="00860E95">
            <w:pPr>
              <w:pStyle w:val="ARfintablebodyright"/>
              <w:spacing w:before="30"/>
            </w:pPr>
            <w:r w:rsidRPr="002029AF">
              <w:t>9.2</w:t>
            </w:r>
          </w:p>
        </w:tc>
        <w:tc>
          <w:tcPr>
            <w:tcW w:w="1133" w:type="dxa"/>
            <w:tcBorders>
              <w:top w:val="single" w:sz="4" w:space="0" w:color="A6A6A6"/>
              <w:bottom w:val="single" w:sz="4" w:space="0" w:color="A6A6A6"/>
            </w:tcBorders>
            <w:noWrap/>
            <w:hideMark/>
          </w:tcPr>
          <w:p w14:paraId="015FC8C9" w14:textId="77777777" w:rsidR="00087B91" w:rsidRPr="002029AF" w:rsidRDefault="00087B91" w:rsidP="00860E95">
            <w:pPr>
              <w:pStyle w:val="ARfintablebodyright"/>
              <w:spacing w:before="30"/>
            </w:pPr>
            <w:r w:rsidRPr="002029AF">
              <w:t>26.8</w:t>
            </w:r>
          </w:p>
        </w:tc>
      </w:tr>
      <w:tr w:rsidR="00087B91" w:rsidRPr="002029AF" w14:paraId="7B9D8A2B" w14:textId="77777777" w:rsidTr="00860E95">
        <w:tc>
          <w:tcPr>
            <w:tcW w:w="7371" w:type="dxa"/>
            <w:tcBorders>
              <w:top w:val="single" w:sz="4" w:space="0" w:color="A6A6A6"/>
              <w:bottom w:val="single" w:sz="4" w:space="0" w:color="A6A6A6"/>
            </w:tcBorders>
            <w:hideMark/>
          </w:tcPr>
          <w:p w14:paraId="57B90BAE" w14:textId="5B7BEB14" w:rsidR="00087B91" w:rsidRPr="002029AF" w:rsidRDefault="00087B91" w:rsidP="00860E95">
            <w:pPr>
              <w:pStyle w:val="ARfintablebody"/>
              <w:spacing w:before="30"/>
            </w:pPr>
            <w:r w:rsidRPr="002029AF">
              <w:t>Department</w:t>
            </w:r>
            <w:r w:rsidR="000A5329" w:rsidRPr="002029AF">
              <w:t xml:space="preserve"> </w:t>
            </w:r>
            <w:r w:rsidRPr="002029AF">
              <w:t>of</w:t>
            </w:r>
            <w:r w:rsidR="000A5329" w:rsidRPr="002029AF">
              <w:t xml:space="preserve"> </w:t>
            </w:r>
            <w:r w:rsidRPr="002029AF">
              <w:t>Veteran</w:t>
            </w:r>
            <w:r w:rsidR="000A5329" w:rsidRPr="002029AF">
              <w:t xml:space="preserve"> </w:t>
            </w:r>
            <w:r w:rsidRPr="002029AF">
              <w:t>Affairs</w:t>
            </w:r>
            <w:r w:rsidR="000A5329" w:rsidRPr="002029AF">
              <w:t xml:space="preserve"> </w:t>
            </w:r>
            <w:r w:rsidRPr="002029AF">
              <w:t>Hospital</w:t>
            </w:r>
            <w:r w:rsidR="000A5329" w:rsidRPr="002029AF">
              <w:t xml:space="preserve"> </w:t>
            </w:r>
            <w:r w:rsidRPr="002029AF">
              <w:t>Services</w:t>
            </w:r>
            <w:r w:rsidR="000A5329" w:rsidRPr="002029AF">
              <w:t xml:space="preserve"> </w:t>
            </w:r>
            <w:r w:rsidRPr="002029AF">
              <w:t>(Output)</w:t>
            </w:r>
          </w:p>
        </w:tc>
        <w:tc>
          <w:tcPr>
            <w:tcW w:w="1133" w:type="dxa"/>
            <w:tcBorders>
              <w:top w:val="single" w:sz="4" w:space="0" w:color="A6A6A6"/>
              <w:bottom w:val="single" w:sz="4" w:space="0" w:color="A6A6A6"/>
            </w:tcBorders>
            <w:shd w:val="clear" w:color="auto" w:fill="E7E6E6"/>
            <w:noWrap/>
            <w:hideMark/>
          </w:tcPr>
          <w:p w14:paraId="7101F2F1" w14:textId="77777777" w:rsidR="00087B91" w:rsidRPr="002029AF" w:rsidRDefault="00087B91" w:rsidP="00860E95">
            <w:pPr>
              <w:pStyle w:val="ARfintablebodyright"/>
              <w:spacing w:before="30"/>
            </w:pPr>
            <w:r w:rsidRPr="002029AF">
              <w:t>89.5</w:t>
            </w:r>
          </w:p>
        </w:tc>
        <w:tc>
          <w:tcPr>
            <w:tcW w:w="1133" w:type="dxa"/>
            <w:tcBorders>
              <w:top w:val="single" w:sz="4" w:space="0" w:color="A6A6A6"/>
              <w:bottom w:val="single" w:sz="4" w:space="0" w:color="A6A6A6"/>
            </w:tcBorders>
            <w:noWrap/>
            <w:hideMark/>
          </w:tcPr>
          <w:p w14:paraId="72D1F47E" w14:textId="77777777" w:rsidR="00087B91" w:rsidRPr="002029AF" w:rsidRDefault="00087B91" w:rsidP="00860E95">
            <w:pPr>
              <w:pStyle w:val="ARfintablebodyright"/>
              <w:spacing w:before="30"/>
            </w:pPr>
            <w:r w:rsidRPr="002029AF">
              <w:t>78.2</w:t>
            </w:r>
          </w:p>
        </w:tc>
      </w:tr>
      <w:tr w:rsidR="00087B91" w:rsidRPr="002029AF" w14:paraId="7DD81C8E" w14:textId="77777777" w:rsidTr="00860E95">
        <w:tc>
          <w:tcPr>
            <w:tcW w:w="7371" w:type="dxa"/>
            <w:tcBorders>
              <w:top w:val="single" w:sz="4" w:space="0" w:color="A6A6A6"/>
              <w:bottom w:val="single" w:sz="4" w:space="0" w:color="A6A6A6"/>
            </w:tcBorders>
            <w:hideMark/>
          </w:tcPr>
          <w:p w14:paraId="65CA9253" w14:textId="69186F57" w:rsidR="00087B91" w:rsidRPr="002029AF" w:rsidRDefault="00087B91" w:rsidP="00860E95">
            <w:pPr>
              <w:pStyle w:val="ARfintablebody"/>
              <w:spacing w:before="30"/>
            </w:pPr>
            <w:r w:rsidRPr="002029AF">
              <w:t>Health</w:t>
            </w:r>
            <w:r w:rsidR="000A5329" w:rsidRPr="002029AF">
              <w:t xml:space="preserve"> </w:t>
            </w:r>
            <w:r w:rsidRPr="002029AF">
              <w:t>Technology</w:t>
            </w:r>
            <w:r w:rsidR="000A5329" w:rsidRPr="002029AF">
              <w:t xml:space="preserve"> </w:t>
            </w:r>
            <w:r w:rsidRPr="002029AF">
              <w:t>Services</w:t>
            </w:r>
            <w:r w:rsidR="000A5329" w:rsidRPr="002029AF">
              <w:t xml:space="preserve"> </w:t>
            </w:r>
            <w:r w:rsidRPr="002029AF">
              <w:t>(Output)</w:t>
            </w:r>
          </w:p>
        </w:tc>
        <w:tc>
          <w:tcPr>
            <w:tcW w:w="1133" w:type="dxa"/>
            <w:tcBorders>
              <w:top w:val="single" w:sz="4" w:space="0" w:color="A6A6A6"/>
              <w:bottom w:val="single" w:sz="4" w:space="0" w:color="A6A6A6"/>
            </w:tcBorders>
            <w:shd w:val="clear" w:color="auto" w:fill="E7E6E6"/>
            <w:noWrap/>
            <w:hideMark/>
          </w:tcPr>
          <w:p w14:paraId="275C59FD" w14:textId="77777777" w:rsidR="00087B91" w:rsidRPr="002029AF" w:rsidRDefault="00087B91" w:rsidP="00860E95">
            <w:pPr>
              <w:pStyle w:val="ARfintablebodyright"/>
              <w:spacing w:before="30"/>
            </w:pPr>
            <w:r w:rsidRPr="002029AF">
              <w:t>5.1</w:t>
            </w:r>
          </w:p>
        </w:tc>
        <w:tc>
          <w:tcPr>
            <w:tcW w:w="1133" w:type="dxa"/>
            <w:tcBorders>
              <w:top w:val="single" w:sz="4" w:space="0" w:color="A6A6A6"/>
              <w:bottom w:val="single" w:sz="4" w:space="0" w:color="A6A6A6"/>
            </w:tcBorders>
            <w:noWrap/>
            <w:hideMark/>
          </w:tcPr>
          <w:p w14:paraId="1CF4FE9A" w14:textId="77777777" w:rsidR="00087B91" w:rsidRPr="002029AF" w:rsidRDefault="00087B91" w:rsidP="00860E95">
            <w:pPr>
              <w:pStyle w:val="ARfintablebodyright"/>
              <w:spacing w:before="30"/>
            </w:pPr>
            <w:r w:rsidRPr="002029AF">
              <w:t>4.8</w:t>
            </w:r>
          </w:p>
        </w:tc>
      </w:tr>
      <w:tr w:rsidR="00087B91" w:rsidRPr="002029AF" w14:paraId="0987A869" w14:textId="77777777" w:rsidTr="00860E95">
        <w:tc>
          <w:tcPr>
            <w:tcW w:w="7371" w:type="dxa"/>
            <w:tcBorders>
              <w:top w:val="single" w:sz="4" w:space="0" w:color="A6A6A6"/>
              <w:bottom w:val="single" w:sz="4" w:space="0" w:color="A6A6A6"/>
            </w:tcBorders>
            <w:hideMark/>
          </w:tcPr>
          <w:p w14:paraId="66CC5FC8" w14:textId="1FE185A3" w:rsidR="00087B91" w:rsidRPr="002029AF" w:rsidRDefault="00087B91" w:rsidP="00860E95">
            <w:pPr>
              <w:pStyle w:val="ARfintablebody"/>
              <w:spacing w:before="30"/>
            </w:pPr>
            <w:r w:rsidRPr="002029AF">
              <w:t>Revenue</w:t>
            </w:r>
            <w:r w:rsidR="000A5329" w:rsidRPr="002029AF">
              <w:t xml:space="preserve"> </w:t>
            </w:r>
            <w:r w:rsidRPr="002029AF">
              <w:t>for</w:t>
            </w:r>
            <w:r w:rsidR="000A5329" w:rsidRPr="002029AF">
              <w:t xml:space="preserve"> </w:t>
            </w:r>
            <w:r w:rsidRPr="002029AF">
              <w:t>Services</w:t>
            </w:r>
            <w:r w:rsidR="000A5329" w:rsidRPr="002029AF">
              <w:t xml:space="preserve"> </w:t>
            </w:r>
            <w:r w:rsidRPr="002029AF">
              <w:t>Provided</w:t>
            </w:r>
            <w:r w:rsidR="000A5329" w:rsidRPr="002029AF">
              <w:t xml:space="preserve"> </w:t>
            </w:r>
            <w:r w:rsidRPr="002029AF">
              <w:t>for</w:t>
            </w:r>
            <w:r w:rsidR="000A5329" w:rsidRPr="002029AF">
              <w:t xml:space="preserve"> </w:t>
            </w:r>
            <w:r w:rsidRPr="002029AF">
              <w:t>the</w:t>
            </w:r>
            <w:r w:rsidR="000A5329" w:rsidRPr="002029AF">
              <w:t xml:space="preserve"> </w:t>
            </w:r>
            <w:r w:rsidRPr="002029AF">
              <w:t>National</w:t>
            </w:r>
            <w:r w:rsidR="000A5329" w:rsidRPr="002029AF">
              <w:t xml:space="preserve"> </w:t>
            </w:r>
            <w:r w:rsidRPr="002029AF">
              <w:t>Disability</w:t>
            </w:r>
            <w:r w:rsidR="000A5329" w:rsidRPr="002029AF">
              <w:t xml:space="preserve"> </w:t>
            </w:r>
            <w:r w:rsidRPr="002029AF">
              <w:t>Insurance</w:t>
            </w:r>
            <w:r w:rsidR="000A5329" w:rsidRPr="002029AF">
              <w:t xml:space="preserve"> </w:t>
            </w:r>
            <w:r w:rsidRPr="002029AF">
              <w:t>Agency</w:t>
            </w:r>
            <w:r w:rsidR="000A5329" w:rsidRPr="002029AF">
              <w:t xml:space="preserve"> </w:t>
            </w:r>
            <w:r w:rsidRPr="002029AF">
              <w:t>(Output)</w:t>
            </w:r>
          </w:p>
        </w:tc>
        <w:tc>
          <w:tcPr>
            <w:tcW w:w="1133" w:type="dxa"/>
            <w:tcBorders>
              <w:top w:val="single" w:sz="4" w:space="0" w:color="A6A6A6"/>
              <w:bottom w:val="single" w:sz="4" w:space="0" w:color="A6A6A6"/>
            </w:tcBorders>
            <w:shd w:val="clear" w:color="auto" w:fill="E7E6E6"/>
            <w:noWrap/>
            <w:hideMark/>
          </w:tcPr>
          <w:p w14:paraId="49836096" w14:textId="77777777" w:rsidR="00087B91" w:rsidRPr="002029AF" w:rsidRDefault="00087B91" w:rsidP="00860E95">
            <w:pPr>
              <w:pStyle w:val="ARfintablebodyright"/>
              <w:spacing w:before="30"/>
            </w:pPr>
            <w:r w:rsidRPr="002029AF">
              <w:t>8.9</w:t>
            </w:r>
          </w:p>
        </w:tc>
        <w:tc>
          <w:tcPr>
            <w:tcW w:w="1133" w:type="dxa"/>
            <w:tcBorders>
              <w:top w:val="single" w:sz="4" w:space="0" w:color="A6A6A6"/>
              <w:bottom w:val="single" w:sz="4" w:space="0" w:color="A6A6A6"/>
            </w:tcBorders>
            <w:noWrap/>
            <w:hideMark/>
          </w:tcPr>
          <w:p w14:paraId="501D27AB" w14:textId="77777777" w:rsidR="00087B91" w:rsidRPr="002029AF" w:rsidRDefault="00087B91" w:rsidP="00860E95">
            <w:pPr>
              <w:pStyle w:val="ARfintablebodyright"/>
              <w:spacing w:before="30"/>
            </w:pPr>
            <w:r w:rsidRPr="002029AF">
              <w:t>35.0</w:t>
            </w:r>
          </w:p>
        </w:tc>
      </w:tr>
      <w:tr w:rsidR="00087B91" w:rsidRPr="002029AF" w14:paraId="5617A882" w14:textId="77777777" w:rsidTr="00860E95">
        <w:tc>
          <w:tcPr>
            <w:tcW w:w="7371" w:type="dxa"/>
            <w:tcBorders>
              <w:top w:val="single" w:sz="4" w:space="0" w:color="A6A6A6"/>
              <w:bottom w:val="single" w:sz="4" w:space="0" w:color="A6A6A6"/>
            </w:tcBorders>
            <w:hideMark/>
          </w:tcPr>
          <w:p w14:paraId="34547D17" w14:textId="1875639F" w:rsidR="00087B91" w:rsidRPr="002029AF" w:rsidRDefault="00087B91" w:rsidP="00860E95">
            <w:pPr>
              <w:pStyle w:val="ARfintablebody"/>
              <w:spacing w:before="30"/>
            </w:pPr>
            <w:r w:rsidRPr="002029AF">
              <w:t>Seniors</w:t>
            </w:r>
            <w:r w:rsidR="000A5329" w:rsidRPr="002029AF">
              <w:t xml:space="preserve"> </w:t>
            </w:r>
            <w:r w:rsidRPr="002029AF">
              <w:t>Card</w:t>
            </w:r>
            <w:r w:rsidR="000A5329" w:rsidRPr="002029AF">
              <w:t xml:space="preserve"> </w:t>
            </w:r>
            <w:r w:rsidRPr="002029AF">
              <w:t>Directory</w:t>
            </w:r>
            <w:r w:rsidR="000A5329" w:rsidRPr="002029AF">
              <w:t xml:space="preserve"> </w:t>
            </w:r>
            <w:r w:rsidRPr="002029AF">
              <w:t>Advertising</w:t>
            </w:r>
            <w:r w:rsidR="000A5329" w:rsidRPr="002029AF">
              <w:t xml:space="preserve"> </w:t>
            </w:r>
            <w:r w:rsidRPr="002029AF">
              <w:t>(Output)</w:t>
            </w:r>
          </w:p>
        </w:tc>
        <w:tc>
          <w:tcPr>
            <w:tcW w:w="1133" w:type="dxa"/>
            <w:tcBorders>
              <w:top w:val="single" w:sz="4" w:space="0" w:color="A6A6A6"/>
              <w:bottom w:val="single" w:sz="4" w:space="0" w:color="A6A6A6"/>
            </w:tcBorders>
            <w:shd w:val="clear" w:color="auto" w:fill="E7E6E6"/>
            <w:noWrap/>
            <w:hideMark/>
          </w:tcPr>
          <w:p w14:paraId="284FB6FF" w14:textId="77777777" w:rsidR="00087B91" w:rsidRPr="002029AF" w:rsidRDefault="00087B91" w:rsidP="00860E95">
            <w:pPr>
              <w:pStyle w:val="ARfintablebodyright"/>
              <w:spacing w:before="30"/>
            </w:pPr>
            <w:r w:rsidRPr="002029AF">
              <w:t>0.3</w:t>
            </w:r>
          </w:p>
        </w:tc>
        <w:tc>
          <w:tcPr>
            <w:tcW w:w="1133" w:type="dxa"/>
            <w:tcBorders>
              <w:top w:val="single" w:sz="4" w:space="0" w:color="A6A6A6"/>
              <w:bottom w:val="single" w:sz="4" w:space="0" w:color="A6A6A6"/>
            </w:tcBorders>
            <w:noWrap/>
            <w:hideMark/>
          </w:tcPr>
          <w:p w14:paraId="152C0DBC" w14:textId="77777777" w:rsidR="00087B91" w:rsidRPr="002029AF" w:rsidRDefault="00087B91" w:rsidP="00860E95">
            <w:pPr>
              <w:pStyle w:val="ARfintablebodyright"/>
              <w:spacing w:before="30"/>
            </w:pPr>
            <w:r w:rsidRPr="002029AF">
              <w:t>0.5</w:t>
            </w:r>
          </w:p>
        </w:tc>
      </w:tr>
      <w:tr w:rsidR="00087B91" w:rsidRPr="002029AF" w14:paraId="63C05DD5" w14:textId="77777777" w:rsidTr="00860E95">
        <w:tc>
          <w:tcPr>
            <w:tcW w:w="7371" w:type="dxa"/>
            <w:tcBorders>
              <w:top w:val="single" w:sz="4" w:space="0" w:color="A6A6A6"/>
              <w:bottom w:val="single" w:sz="4" w:space="0" w:color="A6A6A6"/>
            </w:tcBorders>
            <w:hideMark/>
          </w:tcPr>
          <w:p w14:paraId="64A85A71" w14:textId="06B22491" w:rsidR="00087B91" w:rsidRPr="002029AF" w:rsidRDefault="00087B91" w:rsidP="00860E95">
            <w:pPr>
              <w:pStyle w:val="ARfintablebody"/>
              <w:spacing w:before="30"/>
            </w:pPr>
            <w:r w:rsidRPr="002029AF">
              <w:t>Seniors</w:t>
            </w:r>
            <w:r w:rsidR="000A5329" w:rsidRPr="002029AF">
              <w:t xml:space="preserve"> </w:t>
            </w:r>
            <w:r w:rsidRPr="002029AF">
              <w:t>Festival</w:t>
            </w:r>
            <w:r w:rsidR="000A5329" w:rsidRPr="002029AF">
              <w:t xml:space="preserve"> </w:t>
            </w:r>
            <w:r w:rsidRPr="002029AF">
              <w:t>Advertising</w:t>
            </w:r>
            <w:r w:rsidR="000A5329" w:rsidRPr="002029AF">
              <w:t xml:space="preserve"> </w:t>
            </w:r>
            <w:r w:rsidRPr="002029AF">
              <w:t>and</w:t>
            </w:r>
            <w:r w:rsidR="000A5329" w:rsidRPr="002029AF">
              <w:t xml:space="preserve"> </w:t>
            </w:r>
            <w:r w:rsidRPr="002029AF">
              <w:t>Sponsorship</w:t>
            </w:r>
            <w:r w:rsidR="000A5329" w:rsidRPr="002029AF">
              <w:t xml:space="preserve"> </w:t>
            </w:r>
            <w:r w:rsidRPr="002029AF">
              <w:t>(Output)</w:t>
            </w:r>
          </w:p>
        </w:tc>
        <w:tc>
          <w:tcPr>
            <w:tcW w:w="1133" w:type="dxa"/>
            <w:tcBorders>
              <w:top w:val="single" w:sz="4" w:space="0" w:color="A6A6A6"/>
              <w:bottom w:val="single" w:sz="4" w:space="0" w:color="A6A6A6"/>
            </w:tcBorders>
            <w:shd w:val="clear" w:color="auto" w:fill="E7E6E6"/>
            <w:noWrap/>
            <w:hideMark/>
          </w:tcPr>
          <w:p w14:paraId="29A28B60" w14:textId="77777777" w:rsidR="00087B91" w:rsidRPr="002029AF" w:rsidRDefault="00087B91" w:rsidP="00860E95">
            <w:pPr>
              <w:pStyle w:val="ARfintablebodyright"/>
              <w:spacing w:before="30"/>
            </w:pPr>
            <w:r w:rsidRPr="002029AF">
              <w:t>–</w:t>
            </w:r>
          </w:p>
        </w:tc>
        <w:tc>
          <w:tcPr>
            <w:tcW w:w="1133" w:type="dxa"/>
            <w:tcBorders>
              <w:top w:val="single" w:sz="4" w:space="0" w:color="A6A6A6"/>
              <w:bottom w:val="single" w:sz="4" w:space="0" w:color="A6A6A6"/>
            </w:tcBorders>
            <w:noWrap/>
            <w:hideMark/>
          </w:tcPr>
          <w:p w14:paraId="5BC9B20C" w14:textId="77777777" w:rsidR="00087B91" w:rsidRPr="002029AF" w:rsidRDefault="00087B91" w:rsidP="00860E95">
            <w:pPr>
              <w:pStyle w:val="ARfintablebodyright"/>
              <w:spacing w:before="30"/>
            </w:pPr>
            <w:r w:rsidRPr="002029AF">
              <w:t>0.2</w:t>
            </w:r>
          </w:p>
        </w:tc>
      </w:tr>
      <w:tr w:rsidR="00087B91" w:rsidRPr="002029AF" w14:paraId="0ED36A7F" w14:textId="77777777" w:rsidTr="00860E95">
        <w:tc>
          <w:tcPr>
            <w:tcW w:w="7371" w:type="dxa"/>
            <w:tcBorders>
              <w:top w:val="single" w:sz="4" w:space="0" w:color="A6A6A6"/>
            </w:tcBorders>
            <w:hideMark/>
          </w:tcPr>
          <w:p w14:paraId="65DCAEA9" w14:textId="5607CADB" w:rsidR="00087B91" w:rsidRPr="002029AF" w:rsidRDefault="00087B91" w:rsidP="00860E95">
            <w:pPr>
              <w:pStyle w:val="ARfintablebody"/>
              <w:spacing w:before="30"/>
            </w:pPr>
            <w:r w:rsidRPr="002029AF">
              <w:t>Transport</w:t>
            </w:r>
            <w:r w:rsidR="000A5329" w:rsidRPr="002029AF">
              <w:t xml:space="preserve"> </w:t>
            </w:r>
            <w:r w:rsidRPr="002029AF">
              <w:t>Accident</w:t>
            </w:r>
            <w:r w:rsidR="000A5329" w:rsidRPr="002029AF">
              <w:t xml:space="preserve"> </w:t>
            </w:r>
            <w:r w:rsidRPr="002029AF">
              <w:t>Commission</w:t>
            </w:r>
            <w:r w:rsidR="000A5329" w:rsidRPr="002029AF">
              <w:t xml:space="preserve"> </w:t>
            </w:r>
            <w:r w:rsidRPr="002029AF">
              <w:t>Agreement</w:t>
            </w:r>
            <w:r w:rsidR="000A5329" w:rsidRPr="002029AF">
              <w:t xml:space="preserve"> </w:t>
            </w:r>
            <w:r w:rsidRPr="002029AF">
              <w:t>(Output)</w:t>
            </w:r>
          </w:p>
        </w:tc>
        <w:tc>
          <w:tcPr>
            <w:tcW w:w="1133" w:type="dxa"/>
            <w:tcBorders>
              <w:top w:val="single" w:sz="4" w:space="0" w:color="A6A6A6"/>
            </w:tcBorders>
            <w:shd w:val="clear" w:color="auto" w:fill="E7E6E6"/>
            <w:noWrap/>
            <w:hideMark/>
          </w:tcPr>
          <w:p w14:paraId="5E257404" w14:textId="77777777" w:rsidR="00087B91" w:rsidRPr="002029AF" w:rsidRDefault="00087B91" w:rsidP="00860E95">
            <w:pPr>
              <w:pStyle w:val="ARfintablebodyright"/>
              <w:spacing w:before="30"/>
            </w:pPr>
            <w:r w:rsidRPr="002029AF">
              <w:t>28.9</w:t>
            </w:r>
          </w:p>
        </w:tc>
        <w:tc>
          <w:tcPr>
            <w:tcW w:w="1133" w:type="dxa"/>
            <w:tcBorders>
              <w:top w:val="single" w:sz="4" w:space="0" w:color="A6A6A6"/>
            </w:tcBorders>
            <w:noWrap/>
            <w:hideMark/>
          </w:tcPr>
          <w:p w14:paraId="5DE0A980" w14:textId="77777777" w:rsidR="00087B91" w:rsidRPr="002029AF" w:rsidRDefault="00087B91" w:rsidP="00860E95">
            <w:pPr>
              <w:pStyle w:val="ARfintablebodyright"/>
              <w:spacing w:before="30"/>
            </w:pPr>
            <w:r w:rsidRPr="002029AF">
              <w:t>102.1</w:t>
            </w:r>
          </w:p>
        </w:tc>
      </w:tr>
      <w:tr w:rsidR="00087B91" w:rsidRPr="002029AF" w14:paraId="4E6E9BDA" w14:textId="77777777" w:rsidTr="00860E95">
        <w:tc>
          <w:tcPr>
            <w:tcW w:w="7371" w:type="dxa"/>
            <w:tcBorders>
              <w:bottom w:val="single" w:sz="4" w:space="0" w:color="auto"/>
            </w:tcBorders>
            <w:hideMark/>
          </w:tcPr>
          <w:p w14:paraId="5FA93931" w14:textId="77777777" w:rsidR="00087B91" w:rsidRPr="002029AF" w:rsidRDefault="00087B91" w:rsidP="00860E95">
            <w:pPr>
              <w:pStyle w:val="ARfintablebodybold"/>
              <w:spacing w:before="30"/>
            </w:pPr>
          </w:p>
        </w:tc>
        <w:tc>
          <w:tcPr>
            <w:tcW w:w="1133" w:type="dxa"/>
            <w:tcBorders>
              <w:bottom w:val="single" w:sz="4" w:space="0" w:color="auto"/>
            </w:tcBorders>
            <w:shd w:val="clear" w:color="auto" w:fill="E7E6E6"/>
            <w:noWrap/>
            <w:hideMark/>
          </w:tcPr>
          <w:p w14:paraId="7A03E956" w14:textId="77777777" w:rsidR="00087B91" w:rsidRPr="002029AF" w:rsidRDefault="00087B91" w:rsidP="00860E95">
            <w:pPr>
              <w:pStyle w:val="ARfintablebodyrightbold"/>
              <w:spacing w:before="30"/>
            </w:pPr>
            <w:r w:rsidRPr="002029AF">
              <w:t>257.1</w:t>
            </w:r>
          </w:p>
        </w:tc>
        <w:tc>
          <w:tcPr>
            <w:tcW w:w="1133" w:type="dxa"/>
            <w:tcBorders>
              <w:bottom w:val="single" w:sz="4" w:space="0" w:color="auto"/>
            </w:tcBorders>
            <w:noWrap/>
            <w:hideMark/>
          </w:tcPr>
          <w:p w14:paraId="031B6E99" w14:textId="77777777" w:rsidR="00087B91" w:rsidRPr="002029AF" w:rsidRDefault="00087B91" w:rsidP="00860E95">
            <w:pPr>
              <w:pStyle w:val="ARfintablebodyrightbold"/>
              <w:spacing w:before="30"/>
            </w:pPr>
            <w:r w:rsidRPr="002029AF">
              <w:t>358.9</w:t>
            </w:r>
          </w:p>
        </w:tc>
      </w:tr>
      <w:tr w:rsidR="00087B91" w:rsidRPr="002029AF" w14:paraId="20FACAA9" w14:textId="77777777" w:rsidTr="00860E95">
        <w:tc>
          <w:tcPr>
            <w:tcW w:w="9637" w:type="dxa"/>
            <w:gridSpan w:val="3"/>
            <w:tcBorders>
              <w:top w:val="single" w:sz="4" w:space="0" w:color="auto"/>
              <w:bottom w:val="single" w:sz="4" w:space="0" w:color="A6A6A6"/>
            </w:tcBorders>
            <w:hideMark/>
          </w:tcPr>
          <w:p w14:paraId="045DE3DA" w14:textId="489C1975" w:rsidR="00087B91" w:rsidRPr="002029AF" w:rsidRDefault="00087B91" w:rsidP="00860E95">
            <w:pPr>
              <w:pStyle w:val="ARfintablebodybold"/>
              <w:spacing w:before="30"/>
            </w:pPr>
            <w:r w:rsidRPr="002029AF">
              <w:t>Asset</w:t>
            </w:r>
            <w:r w:rsidR="000A5329" w:rsidRPr="002029AF">
              <w:t xml:space="preserve"> </w:t>
            </w:r>
            <w:r w:rsidRPr="002029AF">
              <w:t>sales</w:t>
            </w:r>
          </w:p>
        </w:tc>
      </w:tr>
      <w:tr w:rsidR="00087B91" w:rsidRPr="002029AF" w14:paraId="563948E0" w14:textId="77777777" w:rsidTr="00860E95">
        <w:tc>
          <w:tcPr>
            <w:tcW w:w="7371" w:type="dxa"/>
            <w:tcBorders>
              <w:top w:val="single" w:sz="4" w:space="0" w:color="A6A6A6"/>
            </w:tcBorders>
            <w:hideMark/>
          </w:tcPr>
          <w:p w14:paraId="503D6C2B" w14:textId="294D6486" w:rsidR="00087B91" w:rsidRPr="002029AF" w:rsidRDefault="00087B91" w:rsidP="00860E95">
            <w:pPr>
              <w:pStyle w:val="ARfintablebody"/>
              <w:spacing w:before="30"/>
            </w:pPr>
            <w:r w:rsidRPr="002029AF">
              <w:t>Proceeds</w:t>
            </w:r>
            <w:r w:rsidR="000A5329" w:rsidRPr="002029AF">
              <w:t xml:space="preserve"> </w:t>
            </w:r>
            <w:r w:rsidRPr="002029AF">
              <w:t>from</w:t>
            </w:r>
            <w:r w:rsidR="000A5329" w:rsidRPr="002029AF">
              <w:t xml:space="preserve"> </w:t>
            </w:r>
            <w:r w:rsidRPr="002029AF">
              <w:t>sale</w:t>
            </w:r>
            <w:r w:rsidR="000A5329" w:rsidRPr="002029AF">
              <w:t xml:space="preserve"> </w:t>
            </w:r>
            <w:r w:rsidRPr="002029AF">
              <w:t>of</w:t>
            </w:r>
            <w:r w:rsidR="000A5329" w:rsidRPr="002029AF">
              <w:t xml:space="preserve"> </w:t>
            </w:r>
            <w:r w:rsidRPr="002029AF">
              <w:t>land</w:t>
            </w:r>
            <w:r w:rsidR="000A5329" w:rsidRPr="002029AF">
              <w:t xml:space="preserve"> </w:t>
            </w:r>
            <w:r w:rsidRPr="002029AF">
              <w:t>and</w:t>
            </w:r>
            <w:r w:rsidR="000A5329" w:rsidRPr="002029AF">
              <w:t xml:space="preserve"> </w:t>
            </w:r>
            <w:r w:rsidRPr="002029AF">
              <w:t>buildings</w:t>
            </w:r>
            <w:r w:rsidR="000A5329" w:rsidRPr="002029AF">
              <w:t xml:space="preserve"> </w:t>
            </w:r>
            <w:r w:rsidRPr="002029AF">
              <w:t>(Capital)</w:t>
            </w:r>
          </w:p>
        </w:tc>
        <w:tc>
          <w:tcPr>
            <w:tcW w:w="1133" w:type="dxa"/>
            <w:tcBorders>
              <w:top w:val="single" w:sz="4" w:space="0" w:color="A6A6A6"/>
            </w:tcBorders>
            <w:shd w:val="clear" w:color="auto" w:fill="E7E6E6"/>
            <w:noWrap/>
            <w:hideMark/>
          </w:tcPr>
          <w:p w14:paraId="5F6B7EFE" w14:textId="77777777" w:rsidR="00087B91" w:rsidRPr="002029AF" w:rsidRDefault="00087B91" w:rsidP="00860E95">
            <w:pPr>
              <w:pStyle w:val="ARfintablebodyright"/>
              <w:spacing w:before="30"/>
            </w:pPr>
            <w:r w:rsidRPr="002029AF">
              <w:t>1.6</w:t>
            </w:r>
          </w:p>
        </w:tc>
        <w:tc>
          <w:tcPr>
            <w:tcW w:w="1133" w:type="dxa"/>
            <w:tcBorders>
              <w:top w:val="single" w:sz="4" w:space="0" w:color="A6A6A6"/>
            </w:tcBorders>
            <w:noWrap/>
            <w:hideMark/>
          </w:tcPr>
          <w:p w14:paraId="39F3BA27" w14:textId="77777777" w:rsidR="00087B91" w:rsidRPr="002029AF" w:rsidRDefault="00087B91" w:rsidP="00860E95">
            <w:pPr>
              <w:pStyle w:val="ARfintablebodyright"/>
              <w:spacing w:before="30"/>
            </w:pPr>
            <w:r w:rsidRPr="002029AF">
              <w:t>0.1</w:t>
            </w:r>
          </w:p>
        </w:tc>
      </w:tr>
      <w:tr w:rsidR="00087B91" w:rsidRPr="002029AF" w14:paraId="6F8E110E" w14:textId="77777777" w:rsidTr="00860E95">
        <w:tc>
          <w:tcPr>
            <w:tcW w:w="7371" w:type="dxa"/>
            <w:tcBorders>
              <w:bottom w:val="single" w:sz="4" w:space="0" w:color="auto"/>
            </w:tcBorders>
            <w:hideMark/>
          </w:tcPr>
          <w:p w14:paraId="6EADA9FD" w14:textId="77777777" w:rsidR="00087B91" w:rsidRPr="002029AF" w:rsidRDefault="00087B91" w:rsidP="00860E95">
            <w:pPr>
              <w:pStyle w:val="ARfintablebodybold"/>
              <w:spacing w:before="30"/>
            </w:pPr>
          </w:p>
        </w:tc>
        <w:tc>
          <w:tcPr>
            <w:tcW w:w="1133" w:type="dxa"/>
            <w:tcBorders>
              <w:bottom w:val="single" w:sz="4" w:space="0" w:color="auto"/>
            </w:tcBorders>
            <w:shd w:val="clear" w:color="auto" w:fill="E7E6E6"/>
            <w:noWrap/>
            <w:hideMark/>
          </w:tcPr>
          <w:p w14:paraId="175F4F57" w14:textId="77777777" w:rsidR="00087B91" w:rsidRPr="002029AF" w:rsidRDefault="00087B91" w:rsidP="00860E95">
            <w:pPr>
              <w:pStyle w:val="ARfintablebodyrightbold"/>
              <w:spacing w:before="30"/>
            </w:pPr>
            <w:r w:rsidRPr="002029AF">
              <w:t>1.6</w:t>
            </w:r>
          </w:p>
        </w:tc>
        <w:tc>
          <w:tcPr>
            <w:tcW w:w="1133" w:type="dxa"/>
            <w:tcBorders>
              <w:bottom w:val="single" w:sz="4" w:space="0" w:color="auto"/>
            </w:tcBorders>
            <w:noWrap/>
            <w:hideMark/>
          </w:tcPr>
          <w:p w14:paraId="3E737CF8" w14:textId="77777777" w:rsidR="00087B91" w:rsidRPr="002029AF" w:rsidRDefault="00087B91" w:rsidP="00860E95">
            <w:pPr>
              <w:pStyle w:val="ARfintablebodyrightbold"/>
              <w:spacing w:before="30"/>
            </w:pPr>
            <w:r w:rsidRPr="002029AF">
              <w:t>0.1</w:t>
            </w:r>
          </w:p>
        </w:tc>
      </w:tr>
      <w:tr w:rsidR="00087B91" w:rsidRPr="002029AF" w14:paraId="5293B6F6" w14:textId="77777777" w:rsidTr="00860E95">
        <w:tc>
          <w:tcPr>
            <w:tcW w:w="9637" w:type="dxa"/>
            <w:gridSpan w:val="3"/>
            <w:tcBorders>
              <w:top w:val="single" w:sz="4" w:space="0" w:color="auto"/>
              <w:bottom w:val="single" w:sz="4" w:space="0" w:color="A6A6A6"/>
            </w:tcBorders>
            <w:hideMark/>
          </w:tcPr>
          <w:p w14:paraId="3831338F" w14:textId="4A68DAC9" w:rsidR="00087B91" w:rsidRPr="002029AF" w:rsidRDefault="00087B91" w:rsidP="00860E95">
            <w:pPr>
              <w:pStyle w:val="ARfintablebodybold"/>
              <w:spacing w:before="30"/>
              <w:rPr>
                <w:rFonts w:ascii="Calibri Light" w:hAnsi="Calibri Light"/>
              </w:rPr>
            </w:pPr>
            <w:r w:rsidRPr="002029AF">
              <w:t>Commonwealth</w:t>
            </w:r>
            <w:r w:rsidR="000A5329" w:rsidRPr="002029AF">
              <w:t xml:space="preserve"> </w:t>
            </w:r>
            <w:r w:rsidRPr="002029AF">
              <w:t>Specific</w:t>
            </w:r>
            <w:r w:rsidR="000A5329" w:rsidRPr="002029AF">
              <w:t xml:space="preserve"> </w:t>
            </w:r>
            <w:r w:rsidRPr="002029AF">
              <w:t>Purpose</w:t>
            </w:r>
            <w:r w:rsidR="000A5329" w:rsidRPr="002029AF">
              <w:t xml:space="preserve"> </w:t>
            </w:r>
            <w:r w:rsidRPr="002029AF">
              <w:t>Payments</w:t>
            </w:r>
          </w:p>
        </w:tc>
      </w:tr>
      <w:tr w:rsidR="00087B91" w:rsidRPr="002029AF" w14:paraId="0ACB8240" w14:textId="77777777" w:rsidTr="00860E95">
        <w:tc>
          <w:tcPr>
            <w:tcW w:w="9637" w:type="dxa"/>
            <w:gridSpan w:val="3"/>
            <w:tcBorders>
              <w:top w:val="single" w:sz="4" w:space="0" w:color="A6A6A6"/>
              <w:bottom w:val="single" w:sz="4" w:space="0" w:color="A6A6A6"/>
            </w:tcBorders>
            <w:hideMark/>
          </w:tcPr>
          <w:p w14:paraId="07DED62F" w14:textId="5EE78F0F" w:rsidR="00087B91" w:rsidRPr="002029AF" w:rsidRDefault="00087B91" w:rsidP="00860E95">
            <w:pPr>
              <w:pStyle w:val="ARfintablebody"/>
              <w:spacing w:before="30"/>
            </w:pPr>
            <w:r w:rsidRPr="002029AF">
              <w:t>National</w:t>
            </w:r>
            <w:r w:rsidR="000A5329" w:rsidRPr="002029AF">
              <w:t xml:space="preserve"> </w:t>
            </w:r>
            <w:r w:rsidRPr="002029AF">
              <w:t>Partnership</w:t>
            </w:r>
            <w:r w:rsidR="000A5329" w:rsidRPr="002029AF">
              <w:t xml:space="preserve"> </w:t>
            </w:r>
            <w:r w:rsidRPr="002029AF">
              <w:t>Agreements</w:t>
            </w:r>
          </w:p>
        </w:tc>
      </w:tr>
      <w:tr w:rsidR="00087B91" w:rsidRPr="002029AF" w14:paraId="5771A8DB" w14:textId="77777777" w:rsidTr="00860E95">
        <w:tc>
          <w:tcPr>
            <w:tcW w:w="7371" w:type="dxa"/>
            <w:tcBorders>
              <w:top w:val="single" w:sz="4" w:space="0" w:color="A6A6A6"/>
              <w:bottom w:val="single" w:sz="4" w:space="0" w:color="A6A6A6"/>
            </w:tcBorders>
            <w:hideMark/>
          </w:tcPr>
          <w:p w14:paraId="3C507511" w14:textId="1EF81099" w:rsidR="00087B91" w:rsidRPr="002029AF" w:rsidRDefault="00087B91" w:rsidP="00860E95">
            <w:pPr>
              <w:pStyle w:val="ARfintablebodyindent"/>
              <w:spacing w:before="30"/>
            </w:pPr>
            <w:r w:rsidRPr="002029AF">
              <w:t>Adult</w:t>
            </w:r>
            <w:r w:rsidR="000A5329" w:rsidRPr="002029AF">
              <w:t xml:space="preserve"> </w:t>
            </w:r>
            <w:r w:rsidRPr="002029AF">
              <w:t>Public</w:t>
            </w:r>
            <w:r w:rsidR="000A5329" w:rsidRPr="002029AF">
              <w:t xml:space="preserve"> </w:t>
            </w:r>
            <w:r w:rsidRPr="002029AF">
              <w:t>Dental</w:t>
            </w:r>
            <w:r w:rsidR="000A5329" w:rsidRPr="002029AF">
              <w:t xml:space="preserve"> </w:t>
            </w:r>
            <w:r w:rsidRPr="002029AF">
              <w:t>Services</w:t>
            </w:r>
            <w:r w:rsidR="000A5329" w:rsidRPr="002029AF">
              <w:t xml:space="preserve"> </w:t>
            </w:r>
            <w:r w:rsidRPr="002029AF">
              <w:t>(Output)</w:t>
            </w:r>
          </w:p>
        </w:tc>
        <w:tc>
          <w:tcPr>
            <w:tcW w:w="1133" w:type="dxa"/>
            <w:tcBorders>
              <w:top w:val="single" w:sz="4" w:space="0" w:color="A6A6A6"/>
              <w:bottom w:val="single" w:sz="4" w:space="0" w:color="A6A6A6"/>
            </w:tcBorders>
            <w:shd w:val="clear" w:color="auto" w:fill="E7E6E6"/>
            <w:noWrap/>
            <w:hideMark/>
          </w:tcPr>
          <w:p w14:paraId="75A7E045" w14:textId="77777777" w:rsidR="00087B91" w:rsidRPr="002029AF" w:rsidRDefault="00087B91" w:rsidP="00860E95">
            <w:pPr>
              <w:pStyle w:val="ARfintablebodyright"/>
              <w:spacing w:before="30"/>
            </w:pPr>
            <w:r w:rsidRPr="002029AF">
              <w:t>26.9</w:t>
            </w:r>
          </w:p>
        </w:tc>
        <w:tc>
          <w:tcPr>
            <w:tcW w:w="1133" w:type="dxa"/>
            <w:tcBorders>
              <w:top w:val="single" w:sz="4" w:space="0" w:color="A6A6A6"/>
              <w:bottom w:val="single" w:sz="4" w:space="0" w:color="A6A6A6"/>
            </w:tcBorders>
            <w:noWrap/>
            <w:hideMark/>
          </w:tcPr>
          <w:p w14:paraId="4453A1C4" w14:textId="77777777" w:rsidR="00087B91" w:rsidRPr="002029AF" w:rsidRDefault="00087B91" w:rsidP="00860E95">
            <w:pPr>
              <w:pStyle w:val="ARfintablebodyright"/>
              <w:spacing w:before="30"/>
            </w:pPr>
            <w:r w:rsidRPr="002029AF">
              <w:t>26.9</w:t>
            </w:r>
          </w:p>
        </w:tc>
      </w:tr>
      <w:tr w:rsidR="00087B91" w:rsidRPr="002029AF" w14:paraId="04B449BD" w14:textId="77777777" w:rsidTr="00860E95">
        <w:tc>
          <w:tcPr>
            <w:tcW w:w="7371" w:type="dxa"/>
            <w:tcBorders>
              <w:top w:val="single" w:sz="4" w:space="0" w:color="A6A6A6"/>
              <w:bottom w:val="single" w:sz="4" w:space="0" w:color="A6A6A6"/>
            </w:tcBorders>
            <w:hideMark/>
          </w:tcPr>
          <w:p w14:paraId="3E67AC6E" w14:textId="729B308A" w:rsidR="00087B91" w:rsidRPr="002029AF" w:rsidRDefault="00087B91" w:rsidP="00860E95">
            <w:pPr>
              <w:pStyle w:val="ARfintablebodyindent"/>
              <w:spacing w:before="30"/>
            </w:pPr>
            <w:r w:rsidRPr="002029AF">
              <w:t>Albury-Wodonga</w:t>
            </w:r>
            <w:r w:rsidR="000A5329" w:rsidRPr="002029AF">
              <w:t xml:space="preserve"> </w:t>
            </w:r>
            <w:r w:rsidRPr="002029AF">
              <w:t>Cardiac</w:t>
            </w:r>
            <w:r w:rsidR="000A5329" w:rsidRPr="002029AF">
              <w:t xml:space="preserve"> </w:t>
            </w:r>
            <w:r w:rsidRPr="002029AF">
              <w:t>Catheterisation</w:t>
            </w:r>
            <w:r w:rsidR="000A5329" w:rsidRPr="002029AF">
              <w:t xml:space="preserve"> </w:t>
            </w:r>
            <w:r w:rsidRPr="002029AF">
              <w:t>Laboratory</w:t>
            </w:r>
            <w:r w:rsidR="000A5329" w:rsidRPr="002029AF">
              <w:t xml:space="preserve"> </w:t>
            </w:r>
            <w:r w:rsidRPr="002029AF">
              <w:t>(Capital)</w:t>
            </w:r>
          </w:p>
        </w:tc>
        <w:tc>
          <w:tcPr>
            <w:tcW w:w="1133" w:type="dxa"/>
            <w:tcBorders>
              <w:top w:val="single" w:sz="4" w:space="0" w:color="A6A6A6"/>
              <w:bottom w:val="single" w:sz="4" w:space="0" w:color="A6A6A6"/>
            </w:tcBorders>
            <w:shd w:val="clear" w:color="auto" w:fill="E7E6E6"/>
            <w:noWrap/>
            <w:hideMark/>
          </w:tcPr>
          <w:p w14:paraId="2A4ECDC1" w14:textId="77777777" w:rsidR="00087B91" w:rsidRPr="002029AF" w:rsidRDefault="00087B91" w:rsidP="00860E95">
            <w:pPr>
              <w:pStyle w:val="ARfintablebodyright"/>
              <w:spacing w:before="30"/>
            </w:pPr>
            <w:r w:rsidRPr="002029AF">
              <w:t>–</w:t>
            </w:r>
          </w:p>
        </w:tc>
        <w:tc>
          <w:tcPr>
            <w:tcW w:w="1133" w:type="dxa"/>
            <w:tcBorders>
              <w:top w:val="single" w:sz="4" w:space="0" w:color="A6A6A6"/>
              <w:bottom w:val="single" w:sz="4" w:space="0" w:color="A6A6A6"/>
            </w:tcBorders>
            <w:noWrap/>
            <w:hideMark/>
          </w:tcPr>
          <w:p w14:paraId="2C383E21" w14:textId="77777777" w:rsidR="00087B91" w:rsidRPr="002029AF" w:rsidRDefault="00087B91" w:rsidP="00860E95">
            <w:pPr>
              <w:pStyle w:val="ARfintablebodyright"/>
              <w:spacing w:before="30"/>
            </w:pPr>
            <w:r w:rsidRPr="002029AF">
              <w:t>1.0</w:t>
            </w:r>
          </w:p>
        </w:tc>
      </w:tr>
      <w:tr w:rsidR="00087B91" w:rsidRPr="002029AF" w14:paraId="3D1C8CED" w14:textId="77777777" w:rsidTr="00860E95">
        <w:tc>
          <w:tcPr>
            <w:tcW w:w="7371" w:type="dxa"/>
            <w:tcBorders>
              <w:top w:val="single" w:sz="4" w:space="0" w:color="A6A6A6"/>
              <w:bottom w:val="single" w:sz="4" w:space="0" w:color="A6A6A6"/>
            </w:tcBorders>
            <w:hideMark/>
          </w:tcPr>
          <w:p w14:paraId="137D91A8" w14:textId="5675EFAA" w:rsidR="00087B91" w:rsidRPr="002029AF" w:rsidRDefault="00087B91" w:rsidP="00860E95">
            <w:pPr>
              <w:pStyle w:val="ARfintablebodyindent"/>
              <w:spacing w:before="30"/>
            </w:pPr>
            <w:r w:rsidRPr="002029AF">
              <w:t>COVID-19</w:t>
            </w:r>
            <w:r w:rsidR="000A5329" w:rsidRPr="002029AF">
              <w:t xml:space="preserve"> </w:t>
            </w:r>
            <w:r w:rsidRPr="002029AF">
              <w:t>Domestic</w:t>
            </w:r>
            <w:r w:rsidR="000A5329" w:rsidRPr="002029AF">
              <w:t xml:space="preserve"> </w:t>
            </w:r>
            <w:r w:rsidRPr="002029AF">
              <w:t>&amp;</w:t>
            </w:r>
            <w:r w:rsidR="000A5329" w:rsidRPr="002029AF">
              <w:t xml:space="preserve"> </w:t>
            </w:r>
            <w:r w:rsidRPr="002029AF">
              <w:t>Family</w:t>
            </w:r>
            <w:r w:rsidR="000A5329" w:rsidRPr="002029AF">
              <w:t xml:space="preserve"> </w:t>
            </w:r>
            <w:r w:rsidRPr="002029AF">
              <w:t>Violence</w:t>
            </w:r>
            <w:r w:rsidR="000A5329" w:rsidRPr="002029AF">
              <w:t xml:space="preserve"> </w:t>
            </w:r>
            <w:r w:rsidRPr="002029AF">
              <w:t>response</w:t>
            </w:r>
          </w:p>
        </w:tc>
        <w:tc>
          <w:tcPr>
            <w:tcW w:w="1133" w:type="dxa"/>
            <w:tcBorders>
              <w:top w:val="single" w:sz="4" w:space="0" w:color="A6A6A6"/>
              <w:bottom w:val="single" w:sz="4" w:space="0" w:color="A6A6A6"/>
            </w:tcBorders>
            <w:shd w:val="clear" w:color="auto" w:fill="E7E6E6"/>
            <w:noWrap/>
            <w:hideMark/>
          </w:tcPr>
          <w:p w14:paraId="5349A422" w14:textId="77777777" w:rsidR="00087B91" w:rsidRPr="002029AF" w:rsidRDefault="00087B91" w:rsidP="00860E95">
            <w:pPr>
              <w:pStyle w:val="ARfintablebodyright"/>
              <w:spacing w:before="30"/>
            </w:pPr>
            <w:r w:rsidRPr="002029AF">
              <w:t>7.2</w:t>
            </w:r>
          </w:p>
        </w:tc>
        <w:tc>
          <w:tcPr>
            <w:tcW w:w="1133" w:type="dxa"/>
            <w:tcBorders>
              <w:top w:val="single" w:sz="4" w:space="0" w:color="A6A6A6"/>
              <w:bottom w:val="single" w:sz="4" w:space="0" w:color="A6A6A6"/>
            </w:tcBorders>
            <w:noWrap/>
            <w:hideMark/>
          </w:tcPr>
          <w:p w14:paraId="4B2A9ED7" w14:textId="77777777" w:rsidR="00087B91" w:rsidRPr="002029AF" w:rsidRDefault="00087B91" w:rsidP="00860E95">
            <w:pPr>
              <w:pStyle w:val="ARfintablebodyright"/>
              <w:spacing w:before="30"/>
            </w:pPr>
            <w:r w:rsidRPr="002029AF">
              <w:t>–</w:t>
            </w:r>
          </w:p>
        </w:tc>
      </w:tr>
      <w:tr w:rsidR="00087B91" w:rsidRPr="002029AF" w14:paraId="60002896" w14:textId="77777777" w:rsidTr="00860E95">
        <w:tc>
          <w:tcPr>
            <w:tcW w:w="7371" w:type="dxa"/>
            <w:tcBorders>
              <w:top w:val="single" w:sz="4" w:space="0" w:color="A6A6A6"/>
              <w:bottom w:val="single" w:sz="4" w:space="0" w:color="A6A6A6"/>
            </w:tcBorders>
            <w:hideMark/>
          </w:tcPr>
          <w:p w14:paraId="0B572C61" w14:textId="206F54B1" w:rsidR="00087B91" w:rsidRPr="002029AF" w:rsidRDefault="00087B91" w:rsidP="00860E95">
            <w:pPr>
              <w:pStyle w:val="ARfintablebodyindent"/>
              <w:spacing w:before="30"/>
            </w:pPr>
            <w:r w:rsidRPr="002029AF">
              <w:t>Encouraging</w:t>
            </w:r>
            <w:r w:rsidR="000A5329" w:rsidRPr="002029AF">
              <w:t xml:space="preserve"> </w:t>
            </w:r>
            <w:r w:rsidRPr="002029AF">
              <w:t>More</w:t>
            </w:r>
            <w:r w:rsidR="000A5329" w:rsidRPr="002029AF">
              <w:t xml:space="preserve"> </w:t>
            </w:r>
            <w:r w:rsidRPr="002029AF">
              <w:t>Clinical</w:t>
            </w:r>
            <w:r w:rsidR="000A5329" w:rsidRPr="002029AF">
              <w:t xml:space="preserve"> </w:t>
            </w:r>
            <w:r w:rsidRPr="002029AF">
              <w:t>Trials</w:t>
            </w:r>
            <w:r w:rsidR="000A5329" w:rsidRPr="002029AF">
              <w:t xml:space="preserve"> </w:t>
            </w:r>
            <w:r w:rsidRPr="002029AF">
              <w:t>in</w:t>
            </w:r>
            <w:r w:rsidR="000A5329" w:rsidRPr="002029AF">
              <w:t xml:space="preserve"> </w:t>
            </w:r>
            <w:r w:rsidRPr="002029AF">
              <w:t>Australia</w:t>
            </w:r>
            <w:r w:rsidR="000A5329" w:rsidRPr="002029AF">
              <w:t xml:space="preserve"> </w:t>
            </w:r>
            <w:r w:rsidRPr="002029AF">
              <w:t>(Output)</w:t>
            </w:r>
          </w:p>
        </w:tc>
        <w:tc>
          <w:tcPr>
            <w:tcW w:w="1133" w:type="dxa"/>
            <w:tcBorders>
              <w:top w:val="single" w:sz="4" w:space="0" w:color="A6A6A6"/>
              <w:bottom w:val="single" w:sz="4" w:space="0" w:color="A6A6A6"/>
            </w:tcBorders>
            <w:shd w:val="clear" w:color="auto" w:fill="E7E6E6"/>
            <w:noWrap/>
            <w:hideMark/>
          </w:tcPr>
          <w:p w14:paraId="2A4E3545" w14:textId="77777777" w:rsidR="00087B91" w:rsidRPr="002029AF" w:rsidRDefault="00087B91" w:rsidP="00860E95">
            <w:pPr>
              <w:pStyle w:val="ARfintablebodyright"/>
              <w:spacing w:before="30"/>
            </w:pPr>
            <w:r w:rsidRPr="002029AF">
              <w:t>0.2</w:t>
            </w:r>
          </w:p>
        </w:tc>
        <w:tc>
          <w:tcPr>
            <w:tcW w:w="1133" w:type="dxa"/>
            <w:tcBorders>
              <w:top w:val="single" w:sz="4" w:space="0" w:color="A6A6A6"/>
              <w:bottom w:val="single" w:sz="4" w:space="0" w:color="A6A6A6"/>
            </w:tcBorders>
            <w:noWrap/>
            <w:hideMark/>
          </w:tcPr>
          <w:p w14:paraId="155E5C1B" w14:textId="77777777" w:rsidR="00087B91" w:rsidRPr="002029AF" w:rsidRDefault="00087B91" w:rsidP="00860E95">
            <w:pPr>
              <w:pStyle w:val="ARfintablebodyright"/>
              <w:spacing w:before="30"/>
            </w:pPr>
            <w:r w:rsidRPr="002029AF">
              <w:t>0.2</w:t>
            </w:r>
          </w:p>
        </w:tc>
      </w:tr>
      <w:tr w:rsidR="00087B91" w:rsidRPr="002029AF" w14:paraId="08E3C684" w14:textId="77777777" w:rsidTr="00860E95">
        <w:tc>
          <w:tcPr>
            <w:tcW w:w="7371" w:type="dxa"/>
            <w:tcBorders>
              <w:top w:val="single" w:sz="4" w:space="0" w:color="A6A6A6"/>
              <w:bottom w:val="single" w:sz="4" w:space="0" w:color="A6A6A6"/>
            </w:tcBorders>
            <w:hideMark/>
          </w:tcPr>
          <w:p w14:paraId="0121E5DA" w14:textId="322E3E76" w:rsidR="00087B91" w:rsidRPr="002029AF" w:rsidRDefault="00087B91" w:rsidP="00860E95">
            <w:pPr>
              <w:pStyle w:val="ARfintablebodyindent"/>
              <w:spacing w:before="30"/>
            </w:pPr>
            <w:r w:rsidRPr="002029AF">
              <w:t>Essential</w:t>
            </w:r>
            <w:r w:rsidR="000A5329" w:rsidRPr="002029AF">
              <w:t xml:space="preserve"> </w:t>
            </w:r>
            <w:r w:rsidRPr="002029AF">
              <w:t>Vaccines</w:t>
            </w:r>
            <w:r w:rsidR="000A5329" w:rsidRPr="002029AF">
              <w:t xml:space="preserve"> </w:t>
            </w:r>
            <w:r w:rsidRPr="002029AF">
              <w:t>(Output)</w:t>
            </w:r>
          </w:p>
        </w:tc>
        <w:tc>
          <w:tcPr>
            <w:tcW w:w="1133" w:type="dxa"/>
            <w:tcBorders>
              <w:top w:val="single" w:sz="4" w:space="0" w:color="A6A6A6"/>
              <w:bottom w:val="single" w:sz="4" w:space="0" w:color="A6A6A6"/>
            </w:tcBorders>
            <w:shd w:val="clear" w:color="auto" w:fill="E7E6E6"/>
            <w:noWrap/>
            <w:hideMark/>
          </w:tcPr>
          <w:p w14:paraId="0C7B8A21" w14:textId="77777777" w:rsidR="00087B91" w:rsidRPr="002029AF" w:rsidRDefault="00087B91" w:rsidP="00860E95">
            <w:pPr>
              <w:pStyle w:val="ARfintablebodyright"/>
              <w:spacing w:before="30"/>
            </w:pPr>
            <w:r w:rsidRPr="002029AF">
              <w:t>3.5</w:t>
            </w:r>
          </w:p>
        </w:tc>
        <w:tc>
          <w:tcPr>
            <w:tcW w:w="1133" w:type="dxa"/>
            <w:tcBorders>
              <w:top w:val="single" w:sz="4" w:space="0" w:color="A6A6A6"/>
              <w:bottom w:val="single" w:sz="4" w:space="0" w:color="A6A6A6"/>
            </w:tcBorders>
            <w:noWrap/>
            <w:hideMark/>
          </w:tcPr>
          <w:p w14:paraId="7A6ED4B9" w14:textId="77777777" w:rsidR="00087B91" w:rsidRPr="002029AF" w:rsidRDefault="00087B91" w:rsidP="00860E95">
            <w:pPr>
              <w:pStyle w:val="ARfintablebodyright"/>
              <w:spacing w:before="30"/>
            </w:pPr>
            <w:r w:rsidRPr="002029AF">
              <w:t>3.6</w:t>
            </w:r>
          </w:p>
        </w:tc>
      </w:tr>
      <w:tr w:rsidR="00087B91" w:rsidRPr="002029AF" w14:paraId="275FE00F" w14:textId="77777777" w:rsidTr="00860E95">
        <w:tc>
          <w:tcPr>
            <w:tcW w:w="7371" w:type="dxa"/>
            <w:tcBorders>
              <w:top w:val="single" w:sz="4" w:space="0" w:color="A6A6A6"/>
              <w:bottom w:val="single" w:sz="4" w:space="0" w:color="A6A6A6"/>
            </w:tcBorders>
            <w:hideMark/>
          </w:tcPr>
          <w:p w14:paraId="25437738" w14:textId="67E60F8E" w:rsidR="00087B91" w:rsidRPr="002029AF" w:rsidRDefault="00087B91" w:rsidP="00860E95">
            <w:pPr>
              <w:pStyle w:val="ARfintablebodyindent"/>
              <w:spacing w:before="30"/>
            </w:pPr>
            <w:r w:rsidRPr="002029AF">
              <w:t>Expansion</w:t>
            </w:r>
            <w:r w:rsidR="000A5329" w:rsidRPr="002029AF">
              <w:t xml:space="preserve"> </w:t>
            </w:r>
            <w:r w:rsidRPr="002029AF">
              <w:t>of</w:t>
            </w:r>
            <w:r w:rsidR="000A5329" w:rsidRPr="002029AF">
              <w:t xml:space="preserve"> </w:t>
            </w:r>
            <w:r w:rsidRPr="002029AF">
              <w:t>the</w:t>
            </w:r>
            <w:r w:rsidR="000A5329" w:rsidRPr="002029AF">
              <w:t xml:space="preserve"> </w:t>
            </w:r>
            <w:r w:rsidRPr="002029AF">
              <w:t>BreastScreen</w:t>
            </w:r>
            <w:r w:rsidR="000A5329" w:rsidRPr="002029AF">
              <w:t xml:space="preserve"> </w:t>
            </w:r>
            <w:r w:rsidRPr="002029AF">
              <w:t>Australia</w:t>
            </w:r>
            <w:r w:rsidR="000A5329" w:rsidRPr="002029AF">
              <w:t xml:space="preserve"> </w:t>
            </w:r>
            <w:r w:rsidRPr="002029AF">
              <w:t>Program</w:t>
            </w:r>
            <w:r w:rsidR="000A5329" w:rsidRPr="002029AF">
              <w:t xml:space="preserve"> </w:t>
            </w:r>
            <w:r w:rsidRPr="002029AF">
              <w:t>(Output)</w:t>
            </w:r>
          </w:p>
        </w:tc>
        <w:tc>
          <w:tcPr>
            <w:tcW w:w="1133" w:type="dxa"/>
            <w:tcBorders>
              <w:top w:val="single" w:sz="4" w:space="0" w:color="A6A6A6"/>
              <w:bottom w:val="single" w:sz="4" w:space="0" w:color="A6A6A6"/>
            </w:tcBorders>
            <w:shd w:val="clear" w:color="auto" w:fill="E7E6E6"/>
            <w:noWrap/>
            <w:hideMark/>
          </w:tcPr>
          <w:p w14:paraId="28415AD7" w14:textId="77777777" w:rsidR="00087B91" w:rsidRPr="002029AF" w:rsidRDefault="00087B91" w:rsidP="00860E95">
            <w:pPr>
              <w:pStyle w:val="ARfintablebodyright"/>
              <w:spacing w:before="30"/>
            </w:pPr>
            <w:r w:rsidRPr="002029AF">
              <w:t>3.8</w:t>
            </w:r>
          </w:p>
        </w:tc>
        <w:tc>
          <w:tcPr>
            <w:tcW w:w="1133" w:type="dxa"/>
            <w:tcBorders>
              <w:top w:val="single" w:sz="4" w:space="0" w:color="A6A6A6"/>
              <w:bottom w:val="single" w:sz="4" w:space="0" w:color="A6A6A6"/>
            </w:tcBorders>
            <w:noWrap/>
            <w:hideMark/>
          </w:tcPr>
          <w:p w14:paraId="6E46A61F" w14:textId="77777777" w:rsidR="00087B91" w:rsidRPr="002029AF" w:rsidRDefault="00087B91" w:rsidP="00860E95">
            <w:pPr>
              <w:pStyle w:val="ARfintablebodyright"/>
              <w:spacing w:before="30"/>
            </w:pPr>
            <w:r w:rsidRPr="002029AF">
              <w:t>7.5</w:t>
            </w:r>
          </w:p>
        </w:tc>
      </w:tr>
      <w:tr w:rsidR="00087B91" w:rsidRPr="002029AF" w14:paraId="7E450F5A" w14:textId="77777777" w:rsidTr="00860E95">
        <w:tc>
          <w:tcPr>
            <w:tcW w:w="7371" w:type="dxa"/>
            <w:tcBorders>
              <w:top w:val="single" w:sz="4" w:space="0" w:color="A6A6A6"/>
              <w:bottom w:val="single" w:sz="4" w:space="0" w:color="A6A6A6"/>
            </w:tcBorders>
            <w:hideMark/>
          </w:tcPr>
          <w:p w14:paraId="24236F66" w14:textId="2B35AD15" w:rsidR="00087B91" w:rsidRPr="002029AF" w:rsidRDefault="00087B91" w:rsidP="00860E95">
            <w:pPr>
              <w:pStyle w:val="ARfintablebodyindent"/>
              <w:spacing w:before="30"/>
            </w:pPr>
            <w:r w:rsidRPr="002029AF">
              <w:t>Family</w:t>
            </w:r>
            <w:r w:rsidR="000A5329" w:rsidRPr="002029AF">
              <w:t xml:space="preserve"> </w:t>
            </w:r>
            <w:r w:rsidRPr="002029AF">
              <w:t>Law</w:t>
            </w:r>
            <w:r w:rsidR="000A5329" w:rsidRPr="002029AF">
              <w:t xml:space="preserve"> </w:t>
            </w:r>
            <w:r w:rsidRPr="002029AF">
              <w:t>Information</w:t>
            </w:r>
            <w:r w:rsidR="000A5329" w:rsidRPr="002029AF">
              <w:t xml:space="preserve"> </w:t>
            </w:r>
            <w:r w:rsidRPr="002029AF">
              <w:t>Sharing</w:t>
            </w:r>
          </w:p>
        </w:tc>
        <w:tc>
          <w:tcPr>
            <w:tcW w:w="1133" w:type="dxa"/>
            <w:tcBorders>
              <w:top w:val="single" w:sz="4" w:space="0" w:color="A6A6A6"/>
              <w:bottom w:val="single" w:sz="4" w:space="0" w:color="A6A6A6"/>
            </w:tcBorders>
            <w:shd w:val="clear" w:color="auto" w:fill="E7E6E6"/>
            <w:noWrap/>
            <w:hideMark/>
          </w:tcPr>
          <w:p w14:paraId="7E756E9F" w14:textId="77777777" w:rsidR="00087B91" w:rsidRPr="002029AF" w:rsidRDefault="00087B91" w:rsidP="00860E95">
            <w:pPr>
              <w:pStyle w:val="ARfintablebodyright"/>
              <w:spacing w:before="30"/>
            </w:pPr>
            <w:r w:rsidRPr="002029AF">
              <w:t>0.3</w:t>
            </w:r>
          </w:p>
        </w:tc>
        <w:tc>
          <w:tcPr>
            <w:tcW w:w="1133" w:type="dxa"/>
            <w:tcBorders>
              <w:top w:val="single" w:sz="4" w:space="0" w:color="A6A6A6"/>
              <w:bottom w:val="single" w:sz="4" w:space="0" w:color="A6A6A6"/>
            </w:tcBorders>
            <w:noWrap/>
            <w:hideMark/>
          </w:tcPr>
          <w:p w14:paraId="7A21D068" w14:textId="77777777" w:rsidR="00087B91" w:rsidRPr="002029AF" w:rsidRDefault="00087B91" w:rsidP="00860E95">
            <w:pPr>
              <w:pStyle w:val="ARfintablebodyright"/>
              <w:spacing w:before="30"/>
            </w:pPr>
            <w:r w:rsidRPr="002029AF">
              <w:t>–</w:t>
            </w:r>
          </w:p>
        </w:tc>
      </w:tr>
      <w:tr w:rsidR="00087B91" w:rsidRPr="002029AF" w14:paraId="06655E18" w14:textId="77777777" w:rsidTr="00860E95">
        <w:tc>
          <w:tcPr>
            <w:tcW w:w="7371" w:type="dxa"/>
            <w:tcBorders>
              <w:top w:val="single" w:sz="4" w:space="0" w:color="A6A6A6"/>
              <w:bottom w:val="single" w:sz="4" w:space="0" w:color="A6A6A6"/>
            </w:tcBorders>
            <w:hideMark/>
          </w:tcPr>
          <w:p w14:paraId="3A6AED5A" w14:textId="28190764" w:rsidR="00087B91" w:rsidRPr="002029AF" w:rsidRDefault="00087B91" w:rsidP="00860E95">
            <w:pPr>
              <w:pStyle w:val="ARfintablebodyindent"/>
              <w:spacing w:before="30"/>
            </w:pPr>
            <w:r w:rsidRPr="002029AF">
              <w:t>Health</w:t>
            </w:r>
            <w:r w:rsidR="000A5329" w:rsidRPr="002029AF">
              <w:t xml:space="preserve"> </w:t>
            </w:r>
            <w:r w:rsidRPr="002029AF">
              <w:t>Services</w:t>
            </w:r>
            <w:r w:rsidR="000A5329" w:rsidRPr="002029AF">
              <w:t xml:space="preserve"> </w:t>
            </w:r>
            <w:r w:rsidRPr="002029AF">
              <w:t>–</w:t>
            </w:r>
            <w:r w:rsidR="000A5329" w:rsidRPr="002029AF">
              <w:t xml:space="preserve"> </w:t>
            </w:r>
            <w:r w:rsidRPr="002029AF">
              <w:t>National</w:t>
            </w:r>
            <w:r w:rsidR="000A5329" w:rsidRPr="002029AF">
              <w:t xml:space="preserve"> </w:t>
            </w:r>
            <w:r w:rsidRPr="002029AF">
              <w:t>Bowel</w:t>
            </w:r>
            <w:r w:rsidR="000A5329" w:rsidRPr="002029AF">
              <w:t xml:space="preserve"> </w:t>
            </w:r>
            <w:r w:rsidRPr="002029AF">
              <w:t>Cancer</w:t>
            </w:r>
            <w:r w:rsidR="000A5329" w:rsidRPr="002029AF">
              <w:t xml:space="preserve"> </w:t>
            </w:r>
            <w:r w:rsidRPr="002029AF">
              <w:t>Screening</w:t>
            </w:r>
            <w:r w:rsidR="000A5329" w:rsidRPr="002029AF">
              <w:t xml:space="preserve"> </w:t>
            </w:r>
            <w:r w:rsidRPr="002029AF">
              <w:t>Program</w:t>
            </w:r>
            <w:r w:rsidR="000A5329" w:rsidRPr="002029AF">
              <w:t xml:space="preserve"> </w:t>
            </w:r>
            <w:r w:rsidRPr="002029AF">
              <w:t>(Output)</w:t>
            </w:r>
          </w:p>
        </w:tc>
        <w:tc>
          <w:tcPr>
            <w:tcW w:w="1133" w:type="dxa"/>
            <w:tcBorders>
              <w:top w:val="single" w:sz="4" w:space="0" w:color="A6A6A6"/>
              <w:bottom w:val="single" w:sz="4" w:space="0" w:color="A6A6A6"/>
            </w:tcBorders>
            <w:shd w:val="clear" w:color="auto" w:fill="E7E6E6"/>
            <w:noWrap/>
            <w:hideMark/>
          </w:tcPr>
          <w:p w14:paraId="332060B3" w14:textId="77777777" w:rsidR="00087B91" w:rsidRPr="002029AF" w:rsidRDefault="00087B91" w:rsidP="00860E95">
            <w:pPr>
              <w:pStyle w:val="ARfintablebodyright"/>
              <w:spacing w:before="30"/>
            </w:pPr>
            <w:r w:rsidRPr="002029AF">
              <w:t>2.2</w:t>
            </w:r>
          </w:p>
        </w:tc>
        <w:tc>
          <w:tcPr>
            <w:tcW w:w="1133" w:type="dxa"/>
            <w:tcBorders>
              <w:top w:val="single" w:sz="4" w:space="0" w:color="A6A6A6"/>
              <w:bottom w:val="single" w:sz="4" w:space="0" w:color="A6A6A6"/>
            </w:tcBorders>
            <w:noWrap/>
            <w:hideMark/>
          </w:tcPr>
          <w:p w14:paraId="7C2A860B" w14:textId="77777777" w:rsidR="00087B91" w:rsidRPr="002029AF" w:rsidRDefault="00087B91" w:rsidP="00860E95">
            <w:pPr>
              <w:pStyle w:val="ARfintablebodyright"/>
              <w:spacing w:before="30"/>
            </w:pPr>
            <w:r w:rsidRPr="002029AF">
              <w:t>1.9</w:t>
            </w:r>
          </w:p>
        </w:tc>
      </w:tr>
      <w:tr w:rsidR="00087B91" w:rsidRPr="002029AF" w14:paraId="740FADFC" w14:textId="77777777" w:rsidTr="00860E95">
        <w:tc>
          <w:tcPr>
            <w:tcW w:w="7371" w:type="dxa"/>
            <w:tcBorders>
              <w:top w:val="single" w:sz="4" w:space="0" w:color="A6A6A6"/>
              <w:bottom w:val="single" w:sz="4" w:space="0" w:color="A6A6A6"/>
            </w:tcBorders>
            <w:hideMark/>
          </w:tcPr>
          <w:p w14:paraId="79D76933" w14:textId="525A5F61" w:rsidR="00087B91" w:rsidRPr="002029AF" w:rsidRDefault="00087B91" w:rsidP="00860E95">
            <w:pPr>
              <w:pStyle w:val="ARfintablebodyindent"/>
              <w:spacing w:before="30"/>
            </w:pPr>
            <w:r w:rsidRPr="002029AF">
              <w:t>Health</w:t>
            </w:r>
            <w:r w:rsidR="000A5329" w:rsidRPr="002029AF">
              <w:t xml:space="preserve"> </w:t>
            </w:r>
            <w:r w:rsidRPr="002029AF">
              <w:t>Services</w:t>
            </w:r>
            <w:r w:rsidR="000A5329" w:rsidRPr="002029AF">
              <w:t xml:space="preserve"> </w:t>
            </w:r>
            <w:r w:rsidRPr="002029AF">
              <w:t>–</w:t>
            </w:r>
            <w:r w:rsidR="000A5329" w:rsidRPr="002029AF">
              <w:t xml:space="preserve"> </w:t>
            </w:r>
            <w:r w:rsidRPr="002029AF">
              <w:t>OzFoodNet</w:t>
            </w:r>
            <w:r w:rsidR="000A5329" w:rsidRPr="002029AF">
              <w:t xml:space="preserve"> </w:t>
            </w:r>
            <w:r w:rsidRPr="002029AF">
              <w:t>(Output)</w:t>
            </w:r>
          </w:p>
        </w:tc>
        <w:tc>
          <w:tcPr>
            <w:tcW w:w="1133" w:type="dxa"/>
            <w:tcBorders>
              <w:top w:val="single" w:sz="4" w:space="0" w:color="A6A6A6"/>
              <w:bottom w:val="single" w:sz="4" w:space="0" w:color="A6A6A6"/>
            </w:tcBorders>
            <w:shd w:val="clear" w:color="auto" w:fill="E7E6E6"/>
            <w:noWrap/>
            <w:hideMark/>
          </w:tcPr>
          <w:p w14:paraId="57EBC95B" w14:textId="77777777" w:rsidR="00087B91" w:rsidRPr="002029AF" w:rsidRDefault="00087B91" w:rsidP="00860E95">
            <w:pPr>
              <w:pStyle w:val="ARfintablebodyright"/>
              <w:spacing w:before="30"/>
            </w:pPr>
            <w:r w:rsidRPr="002029AF">
              <w:t>0.3</w:t>
            </w:r>
          </w:p>
        </w:tc>
        <w:tc>
          <w:tcPr>
            <w:tcW w:w="1133" w:type="dxa"/>
            <w:tcBorders>
              <w:top w:val="single" w:sz="4" w:space="0" w:color="A6A6A6"/>
              <w:bottom w:val="single" w:sz="4" w:space="0" w:color="A6A6A6"/>
            </w:tcBorders>
            <w:noWrap/>
            <w:hideMark/>
          </w:tcPr>
          <w:p w14:paraId="0B987D68" w14:textId="77777777" w:rsidR="00087B91" w:rsidRPr="002029AF" w:rsidRDefault="00087B91" w:rsidP="00860E95">
            <w:pPr>
              <w:pStyle w:val="ARfintablebodyright"/>
              <w:spacing w:before="30"/>
            </w:pPr>
            <w:r w:rsidRPr="002029AF">
              <w:t>0.3</w:t>
            </w:r>
          </w:p>
        </w:tc>
      </w:tr>
      <w:tr w:rsidR="00087B91" w:rsidRPr="002029AF" w14:paraId="3F93DA70" w14:textId="77777777" w:rsidTr="00860E95">
        <w:tc>
          <w:tcPr>
            <w:tcW w:w="7371" w:type="dxa"/>
            <w:tcBorders>
              <w:top w:val="single" w:sz="4" w:space="0" w:color="A6A6A6"/>
              <w:bottom w:val="single" w:sz="4" w:space="0" w:color="A6A6A6"/>
            </w:tcBorders>
            <w:hideMark/>
          </w:tcPr>
          <w:p w14:paraId="18928706" w14:textId="27DBD0A0" w:rsidR="00087B91" w:rsidRPr="002029AF" w:rsidRDefault="00087B91" w:rsidP="00860E95">
            <w:pPr>
              <w:pStyle w:val="ARfintablebodyindent"/>
              <w:spacing w:before="30"/>
            </w:pPr>
            <w:r w:rsidRPr="002029AF">
              <w:t>Health</w:t>
            </w:r>
            <w:r w:rsidR="000A5329" w:rsidRPr="002029AF">
              <w:t xml:space="preserve"> </w:t>
            </w:r>
            <w:r w:rsidRPr="002029AF">
              <w:t>Services</w:t>
            </w:r>
            <w:r w:rsidR="000A5329" w:rsidRPr="002029AF">
              <w:t xml:space="preserve"> </w:t>
            </w:r>
            <w:r w:rsidRPr="002029AF">
              <w:t>–</w:t>
            </w:r>
            <w:r w:rsidR="000A5329" w:rsidRPr="002029AF">
              <w:t xml:space="preserve"> </w:t>
            </w:r>
            <w:r w:rsidRPr="002029AF">
              <w:t>Vaccine-Preventable</w:t>
            </w:r>
            <w:r w:rsidR="000A5329" w:rsidRPr="002029AF">
              <w:t xml:space="preserve"> </w:t>
            </w:r>
            <w:r w:rsidRPr="002029AF">
              <w:t>Diseases</w:t>
            </w:r>
            <w:r w:rsidR="000A5329" w:rsidRPr="002029AF">
              <w:t xml:space="preserve"> </w:t>
            </w:r>
            <w:r w:rsidRPr="002029AF">
              <w:t>Surveillance</w:t>
            </w:r>
            <w:r w:rsidR="000A5329" w:rsidRPr="002029AF">
              <w:t xml:space="preserve"> </w:t>
            </w:r>
            <w:r w:rsidRPr="002029AF">
              <w:t>Program</w:t>
            </w:r>
            <w:r w:rsidR="000A5329" w:rsidRPr="002029AF">
              <w:t xml:space="preserve"> </w:t>
            </w:r>
            <w:r w:rsidRPr="002029AF">
              <w:t>(Output)</w:t>
            </w:r>
          </w:p>
        </w:tc>
        <w:tc>
          <w:tcPr>
            <w:tcW w:w="1133" w:type="dxa"/>
            <w:tcBorders>
              <w:top w:val="single" w:sz="4" w:space="0" w:color="A6A6A6"/>
              <w:bottom w:val="single" w:sz="4" w:space="0" w:color="A6A6A6"/>
            </w:tcBorders>
            <w:shd w:val="clear" w:color="auto" w:fill="E7E6E6"/>
            <w:noWrap/>
            <w:hideMark/>
          </w:tcPr>
          <w:p w14:paraId="4852A900" w14:textId="77777777" w:rsidR="00087B91" w:rsidRPr="002029AF" w:rsidRDefault="00087B91" w:rsidP="00860E95">
            <w:pPr>
              <w:pStyle w:val="ARfintablebodyright"/>
              <w:spacing w:before="30"/>
            </w:pPr>
            <w:r w:rsidRPr="002029AF">
              <w:t>0.2</w:t>
            </w:r>
          </w:p>
        </w:tc>
        <w:tc>
          <w:tcPr>
            <w:tcW w:w="1133" w:type="dxa"/>
            <w:tcBorders>
              <w:top w:val="single" w:sz="4" w:space="0" w:color="A6A6A6"/>
              <w:bottom w:val="single" w:sz="4" w:space="0" w:color="A6A6A6"/>
            </w:tcBorders>
            <w:noWrap/>
            <w:hideMark/>
          </w:tcPr>
          <w:p w14:paraId="262A4B34" w14:textId="77777777" w:rsidR="00087B91" w:rsidRPr="002029AF" w:rsidRDefault="00087B91" w:rsidP="00860E95">
            <w:pPr>
              <w:pStyle w:val="ARfintablebodyright"/>
              <w:spacing w:before="30"/>
            </w:pPr>
            <w:r w:rsidRPr="002029AF">
              <w:t>0.2</w:t>
            </w:r>
          </w:p>
        </w:tc>
      </w:tr>
      <w:tr w:rsidR="00087B91" w:rsidRPr="002029AF" w14:paraId="2FA9259D" w14:textId="77777777" w:rsidTr="00860E95">
        <w:tc>
          <w:tcPr>
            <w:tcW w:w="7371" w:type="dxa"/>
            <w:tcBorders>
              <w:top w:val="single" w:sz="4" w:space="0" w:color="A6A6A6"/>
              <w:bottom w:val="single" w:sz="4" w:space="0" w:color="A6A6A6"/>
            </w:tcBorders>
            <w:hideMark/>
          </w:tcPr>
          <w:p w14:paraId="262FDEA5" w14:textId="114D5B6B" w:rsidR="00087B91" w:rsidRPr="002029AF" w:rsidRDefault="00087B91" w:rsidP="00860E95">
            <w:pPr>
              <w:pStyle w:val="ARfintablebodyindent"/>
              <w:spacing w:before="30"/>
            </w:pPr>
            <w:r w:rsidRPr="002029AF">
              <w:t>Health</w:t>
            </w:r>
            <w:r w:rsidR="000A5329" w:rsidRPr="002029AF">
              <w:t xml:space="preserve"> </w:t>
            </w:r>
            <w:r w:rsidRPr="002029AF">
              <w:t>Services</w:t>
            </w:r>
            <w:r w:rsidR="000A5329" w:rsidRPr="002029AF">
              <w:t xml:space="preserve"> </w:t>
            </w:r>
            <w:r w:rsidRPr="002029AF">
              <w:t>–</w:t>
            </w:r>
            <w:r w:rsidR="000A5329" w:rsidRPr="002029AF">
              <w:t xml:space="preserve"> </w:t>
            </w:r>
            <w:r w:rsidRPr="002029AF">
              <w:t>Victorian</w:t>
            </w:r>
            <w:r w:rsidR="000A5329" w:rsidRPr="002029AF">
              <w:t xml:space="preserve"> </w:t>
            </w:r>
            <w:r w:rsidRPr="002029AF">
              <w:t>Cytology</w:t>
            </w:r>
            <w:r w:rsidR="000A5329" w:rsidRPr="002029AF">
              <w:t xml:space="preserve"> </w:t>
            </w:r>
            <w:r w:rsidRPr="002029AF">
              <w:t>Service</w:t>
            </w:r>
            <w:r w:rsidR="000A5329" w:rsidRPr="002029AF">
              <w:t xml:space="preserve"> </w:t>
            </w:r>
            <w:r w:rsidRPr="002029AF">
              <w:t>(Output)</w:t>
            </w:r>
          </w:p>
        </w:tc>
        <w:tc>
          <w:tcPr>
            <w:tcW w:w="1133" w:type="dxa"/>
            <w:tcBorders>
              <w:top w:val="single" w:sz="4" w:space="0" w:color="A6A6A6"/>
              <w:bottom w:val="single" w:sz="4" w:space="0" w:color="A6A6A6"/>
            </w:tcBorders>
            <w:shd w:val="clear" w:color="auto" w:fill="E7E6E6"/>
            <w:noWrap/>
            <w:hideMark/>
          </w:tcPr>
          <w:p w14:paraId="157D1F42" w14:textId="77777777" w:rsidR="00087B91" w:rsidRPr="002029AF" w:rsidRDefault="00087B91" w:rsidP="00860E95">
            <w:pPr>
              <w:pStyle w:val="ARfintablebodyright"/>
              <w:spacing w:before="30"/>
            </w:pPr>
            <w:r w:rsidRPr="002029AF">
              <w:t>10.5</w:t>
            </w:r>
          </w:p>
        </w:tc>
        <w:tc>
          <w:tcPr>
            <w:tcW w:w="1133" w:type="dxa"/>
            <w:tcBorders>
              <w:top w:val="single" w:sz="4" w:space="0" w:color="A6A6A6"/>
              <w:bottom w:val="single" w:sz="4" w:space="0" w:color="A6A6A6"/>
            </w:tcBorders>
            <w:noWrap/>
            <w:hideMark/>
          </w:tcPr>
          <w:p w14:paraId="7C24ED1B" w14:textId="77777777" w:rsidR="00087B91" w:rsidRPr="002029AF" w:rsidRDefault="00087B91" w:rsidP="00860E95">
            <w:pPr>
              <w:pStyle w:val="ARfintablebodyright"/>
              <w:spacing w:before="30"/>
            </w:pPr>
            <w:r w:rsidRPr="002029AF">
              <w:t>10.3</w:t>
            </w:r>
          </w:p>
        </w:tc>
      </w:tr>
      <w:tr w:rsidR="00087B91" w:rsidRPr="002029AF" w14:paraId="3982C64D" w14:textId="77777777" w:rsidTr="00860E95">
        <w:tc>
          <w:tcPr>
            <w:tcW w:w="7371" w:type="dxa"/>
            <w:tcBorders>
              <w:top w:val="single" w:sz="4" w:space="0" w:color="A6A6A6"/>
              <w:bottom w:val="single" w:sz="4" w:space="0" w:color="A6A6A6"/>
            </w:tcBorders>
            <w:hideMark/>
          </w:tcPr>
          <w:p w14:paraId="0714B4CE" w14:textId="0AE8F307" w:rsidR="00087B91" w:rsidRPr="002029AF" w:rsidRDefault="00087B91" w:rsidP="00860E95">
            <w:pPr>
              <w:pStyle w:val="ARfintablebodyindent"/>
              <w:spacing w:before="30"/>
            </w:pPr>
            <w:r w:rsidRPr="002029AF">
              <w:t>Statewide</w:t>
            </w:r>
            <w:r w:rsidR="000A5329" w:rsidRPr="002029AF">
              <w:t xml:space="preserve"> </w:t>
            </w:r>
            <w:r w:rsidRPr="002029AF">
              <w:t>Enhancements</w:t>
            </w:r>
            <w:r w:rsidR="000A5329" w:rsidRPr="002029AF">
              <w:t xml:space="preserve"> </w:t>
            </w:r>
            <w:r w:rsidRPr="002029AF">
              <w:t>to</w:t>
            </w:r>
            <w:r w:rsidR="000A5329" w:rsidRPr="002029AF">
              <w:t xml:space="preserve"> </w:t>
            </w:r>
            <w:r w:rsidRPr="002029AF">
              <w:t>Regional</w:t>
            </w:r>
            <w:r w:rsidR="000A5329" w:rsidRPr="002029AF">
              <w:t xml:space="preserve"> </w:t>
            </w:r>
            <w:r w:rsidRPr="002029AF">
              <w:t>Cancer</w:t>
            </w:r>
            <w:r w:rsidR="000A5329" w:rsidRPr="002029AF">
              <w:t xml:space="preserve"> </w:t>
            </w:r>
            <w:r w:rsidRPr="002029AF">
              <w:t>Services</w:t>
            </w:r>
            <w:r w:rsidR="000A5329" w:rsidRPr="002029AF">
              <w:t xml:space="preserve"> </w:t>
            </w:r>
            <w:r w:rsidRPr="002029AF">
              <w:t>(Capital)</w:t>
            </w:r>
          </w:p>
        </w:tc>
        <w:tc>
          <w:tcPr>
            <w:tcW w:w="1133" w:type="dxa"/>
            <w:tcBorders>
              <w:top w:val="single" w:sz="4" w:space="0" w:color="A6A6A6"/>
              <w:bottom w:val="single" w:sz="4" w:space="0" w:color="A6A6A6"/>
            </w:tcBorders>
            <w:shd w:val="clear" w:color="auto" w:fill="E7E6E6"/>
            <w:noWrap/>
            <w:hideMark/>
          </w:tcPr>
          <w:p w14:paraId="4069023A" w14:textId="77777777" w:rsidR="00087B91" w:rsidRPr="002029AF" w:rsidRDefault="00087B91" w:rsidP="00860E95">
            <w:pPr>
              <w:pStyle w:val="ARfintablebodyright"/>
              <w:spacing w:before="30"/>
            </w:pPr>
            <w:r w:rsidRPr="002029AF">
              <w:t>0.5</w:t>
            </w:r>
          </w:p>
        </w:tc>
        <w:tc>
          <w:tcPr>
            <w:tcW w:w="1133" w:type="dxa"/>
            <w:tcBorders>
              <w:top w:val="single" w:sz="4" w:space="0" w:color="A6A6A6"/>
              <w:bottom w:val="single" w:sz="4" w:space="0" w:color="A6A6A6"/>
            </w:tcBorders>
            <w:noWrap/>
            <w:hideMark/>
          </w:tcPr>
          <w:p w14:paraId="1787382D" w14:textId="77777777" w:rsidR="00087B91" w:rsidRPr="002029AF" w:rsidRDefault="00087B91" w:rsidP="00860E95">
            <w:pPr>
              <w:pStyle w:val="ARfintablebodyright"/>
              <w:spacing w:before="30"/>
            </w:pPr>
            <w:r w:rsidRPr="002029AF">
              <w:t>–</w:t>
            </w:r>
          </w:p>
        </w:tc>
      </w:tr>
      <w:tr w:rsidR="00087B91" w:rsidRPr="002029AF" w14:paraId="67A76E9E" w14:textId="77777777" w:rsidTr="00860E95">
        <w:tc>
          <w:tcPr>
            <w:tcW w:w="7371" w:type="dxa"/>
            <w:tcBorders>
              <w:top w:val="single" w:sz="4" w:space="0" w:color="A6A6A6"/>
              <w:bottom w:val="single" w:sz="4" w:space="0" w:color="A6A6A6"/>
            </w:tcBorders>
            <w:hideMark/>
          </w:tcPr>
          <w:p w14:paraId="68FE5B66" w14:textId="443C7021" w:rsidR="00087B91" w:rsidRPr="002029AF" w:rsidRDefault="00087B91" w:rsidP="00860E95">
            <w:pPr>
              <w:pStyle w:val="ARfintablebodyindent"/>
              <w:spacing w:before="30"/>
            </w:pPr>
            <w:r w:rsidRPr="002029AF">
              <w:t>National</w:t>
            </w:r>
            <w:r w:rsidR="000A5329" w:rsidRPr="002029AF">
              <w:t xml:space="preserve"> </w:t>
            </w:r>
            <w:r w:rsidRPr="002029AF">
              <w:t>Housing</w:t>
            </w:r>
            <w:r w:rsidR="000A5329" w:rsidRPr="002029AF">
              <w:t xml:space="preserve"> </w:t>
            </w:r>
            <w:r w:rsidRPr="002029AF">
              <w:t>and</w:t>
            </w:r>
            <w:r w:rsidR="000A5329" w:rsidRPr="002029AF">
              <w:t xml:space="preserve"> </w:t>
            </w:r>
            <w:r w:rsidRPr="002029AF">
              <w:t>Homelessness</w:t>
            </w:r>
            <w:r w:rsidR="000A5329" w:rsidRPr="002029AF">
              <w:t xml:space="preserve"> </w:t>
            </w:r>
            <w:r w:rsidRPr="002029AF">
              <w:t>Agreement</w:t>
            </w:r>
          </w:p>
        </w:tc>
        <w:tc>
          <w:tcPr>
            <w:tcW w:w="1133" w:type="dxa"/>
            <w:tcBorders>
              <w:top w:val="single" w:sz="4" w:space="0" w:color="A6A6A6"/>
              <w:bottom w:val="single" w:sz="4" w:space="0" w:color="A6A6A6"/>
            </w:tcBorders>
            <w:shd w:val="clear" w:color="auto" w:fill="E7E6E6"/>
            <w:noWrap/>
            <w:hideMark/>
          </w:tcPr>
          <w:p w14:paraId="010559AF" w14:textId="77777777" w:rsidR="00087B91" w:rsidRPr="002029AF" w:rsidRDefault="00087B91" w:rsidP="00860E95">
            <w:pPr>
              <w:pStyle w:val="ARfintablebodyright"/>
              <w:spacing w:before="30"/>
            </w:pPr>
            <w:r w:rsidRPr="002029AF">
              <w:t>405.4</w:t>
            </w:r>
          </w:p>
        </w:tc>
        <w:tc>
          <w:tcPr>
            <w:tcW w:w="1133" w:type="dxa"/>
            <w:tcBorders>
              <w:top w:val="single" w:sz="4" w:space="0" w:color="A6A6A6"/>
              <w:bottom w:val="single" w:sz="4" w:space="0" w:color="A6A6A6"/>
            </w:tcBorders>
            <w:noWrap/>
            <w:hideMark/>
          </w:tcPr>
          <w:p w14:paraId="454E4B31" w14:textId="77777777" w:rsidR="00087B91" w:rsidRPr="002029AF" w:rsidRDefault="00087B91" w:rsidP="00860E95">
            <w:pPr>
              <w:pStyle w:val="ARfintablebodyright"/>
              <w:spacing w:before="30"/>
            </w:pPr>
            <w:r w:rsidRPr="002029AF">
              <w:t>395.4</w:t>
            </w:r>
          </w:p>
        </w:tc>
      </w:tr>
      <w:tr w:rsidR="00087B91" w:rsidRPr="002029AF" w14:paraId="2A7E78CD" w14:textId="77777777" w:rsidTr="00860E95">
        <w:tc>
          <w:tcPr>
            <w:tcW w:w="7371" w:type="dxa"/>
            <w:tcBorders>
              <w:top w:val="single" w:sz="4" w:space="0" w:color="A6A6A6"/>
              <w:bottom w:val="single" w:sz="4" w:space="0" w:color="A6A6A6"/>
            </w:tcBorders>
            <w:hideMark/>
          </w:tcPr>
          <w:p w14:paraId="1D4B8435" w14:textId="77D8E816" w:rsidR="00087B91" w:rsidRPr="002029AF" w:rsidRDefault="00087B91" w:rsidP="00860E95">
            <w:pPr>
              <w:pStyle w:val="ARfintablebodyindent"/>
              <w:spacing w:before="30"/>
            </w:pPr>
            <w:r w:rsidRPr="002029AF">
              <w:t>Pay</w:t>
            </w:r>
            <w:r w:rsidR="000A5329" w:rsidRPr="002029AF">
              <w:t xml:space="preserve"> </w:t>
            </w:r>
            <w:r w:rsidRPr="002029AF">
              <w:t>Equity</w:t>
            </w:r>
            <w:r w:rsidR="000A5329" w:rsidRPr="002029AF">
              <w:t xml:space="preserve"> </w:t>
            </w:r>
            <w:r w:rsidRPr="002029AF">
              <w:t>for</w:t>
            </w:r>
            <w:r w:rsidR="000A5329" w:rsidRPr="002029AF">
              <w:t xml:space="preserve"> </w:t>
            </w:r>
            <w:r w:rsidRPr="002029AF">
              <w:t>the</w:t>
            </w:r>
            <w:r w:rsidR="000A5329" w:rsidRPr="002029AF">
              <w:t xml:space="preserve"> </w:t>
            </w:r>
            <w:r w:rsidRPr="002029AF">
              <w:t>Social</w:t>
            </w:r>
            <w:r w:rsidR="000A5329" w:rsidRPr="002029AF">
              <w:t xml:space="preserve"> </w:t>
            </w:r>
            <w:r w:rsidRPr="002029AF">
              <w:t>and</w:t>
            </w:r>
            <w:r w:rsidR="000A5329" w:rsidRPr="002029AF">
              <w:t xml:space="preserve"> </w:t>
            </w:r>
            <w:r w:rsidRPr="002029AF">
              <w:t>Community</w:t>
            </w:r>
            <w:r w:rsidR="000A5329" w:rsidRPr="002029AF">
              <w:t xml:space="preserve"> </w:t>
            </w:r>
            <w:r w:rsidRPr="002029AF">
              <w:t>Services</w:t>
            </w:r>
            <w:r w:rsidR="000A5329" w:rsidRPr="002029AF">
              <w:t xml:space="preserve"> </w:t>
            </w:r>
            <w:r w:rsidRPr="002029AF">
              <w:t>Sector</w:t>
            </w:r>
            <w:r w:rsidR="000A5329" w:rsidRPr="002029AF">
              <w:t xml:space="preserve"> </w:t>
            </w:r>
            <w:r w:rsidRPr="002029AF">
              <w:t>(Output)</w:t>
            </w:r>
          </w:p>
        </w:tc>
        <w:tc>
          <w:tcPr>
            <w:tcW w:w="1133" w:type="dxa"/>
            <w:tcBorders>
              <w:top w:val="single" w:sz="4" w:space="0" w:color="A6A6A6"/>
              <w:bottom w:val="single" w:sz="4" w:space="0" w:color="A6A6A6"/>
            </w:tcBorders>
            <w:shd w:val="clear" w:color="auto" w:fill="E7E6E6"/>
            <w:noWrap/>
            <w:hideMark/>
          </w:tcPr>
          <w:p w14:paraId="751BB2CD" w14:textId="77777777" w:rsidR="00087B91" w:rsidRPr="002029AF" w:rsidRDefault="00087B91" w:rsidP="00860E95">
            <w:pPr>
              <w:pStyle w:val="ARfintablebodyright"/>
              <w:spacing w:before="30"/>
            </w:pPr>
            <w:r w:rsidRPr="002029AF">
              <w:t>–</w:t>
            </w:r>
          </w:p>
        </w:tc>
        <w:tc>
          <w:tcPr>
            <w:tcW w:w="1133" w:type="dxa"/>
            <w:tcBorders>
              <w:top w:val="single" w:sz="4" w:space="0" w:color="A6A6A6"/>
              <w:bottom w:val="single" w:sz="4" w:space="0" w:color="A6A6A6"/>
            </w:tcBorders>
            <w:noWrap/>
            <w:hideMark/>
          </w:tcPr>
          <w:p w14:paraId="42A7629A" w14:textId="77777777" w:rsidR="00087B91" w:rsidRPr="002029AF" w:rsidRDefault="00087B91" w:rsidP="00860E95">
            <w:pPr>
              <w:pStyle w:val="ARfintablebodyright"/>
              <w:spacing w:before="30"/>
            </w:pPr>
            <w:r w:rsidRPr="002029AF">
              <w:t>45.8</w:t>
            </w:r>
          </w:p>
        </w:tc>
      </w:tr>
      <w:tr w:rsidR="00087B91" w:rsidRPr="002029AF" w14:paraId="423AC6FF" w14:textId="77777777" w:rsidTr="00860E95">
        <w:tc>
          <w:tcPr>
            <w:tcW w:w="7371" w:type="dxa"/>
            <w:tcBorders>
              <w:top w:val="single" w:sz="4" w:space="0" w:color="A6A6A6"/>
              <w:bottom w:val="single" w:sz="4" w:space="0" w:color="A6A6A6"/>
            </w:tcBorders>
            <w:hideMark/>
          </w:tcPr>
          <w:p w14:paraId="50ED158E" w14:textId="4BBDA28D" w:rsidR="00087B91" w:rsidRPr="002029AF" w:rsidRDefault="00087B91" w:rsidP="00860E95">
            <w:pPr>
              <w:pStyle w:val="ARfintablebodyindent"/>
              <w:spacing w:before="30"/>
            </w:pPr>
            <w:r w:rsidRPr="002029AF">
              <w:t>Specialist</w:t>
            </w:r>
            <w:r w:rsidR="000A5329" w:rsidRPr="002029AF">
              <w:t xml:space="preserve"> </w:t>
            </w:r>
            <w:r w:rsidRPr="002029AF">
              <w:t>Dementia</w:t>
            </w:r>
            <w:r w:rsidR="000A5329" w:rsidRPr="002029AF">
              <w:t xml:space="preserve"> </w:t>
            </w:r>
            <w:r w:rsidRPr="002029AF">
              <w:t>Care</w:t>
            </w:r>
            <w:r w:rsidR="000A5329" w:rsidRPr="002029AF">
              <w:t xml:space="preserve"> </w:t>
            </w:r>
            <w:r w:rsidRPr="002029AF">
              <w:t>Program</w:t>
            </w:r>
          </w:p>
        </w:tc>
        <w:tc>
          <w:tcPr>
            <w:tcW w:w="1133" w:type="dxa"/>
            <w:tcBorders>
              <w:top w:val="single" w:sz="4" w:space="0" w:color="A6A6A6"/>
              <w:bottom w:val="single" w:sz="4" w:space="0" w:color="A6A6A6"/>
            </w:tcBorders>
            <w:shd w:val="clear" w:color="auto" w:fill="E7E6E6"/>
            <w:noWrap/>
            <w:hideMark/>
          </w:tcPr>
          <w:p w14:paraId="3260D48F" w14:textId="77777777" w:rsidR="00087B91" w:rsidRPr="002029AF" w:rsidRDefault="00087B91" w:rsidP="00860E95">
            <w:pPr>
              <w:pStyle w:val="ARfintablebodyright"/>
              <w:spacing w:before="30"/>
            </w:pPr>
            <w:r w:rsidRPr="002029AF">
              <w:t>0.4</w:t>
            </w:r>
          </w:p>
        </w:tc>
        <w:tc>
          <w:tcPr>
            <w:tcW w:w="1133" w:type="dxa"/>
            <w:tcBorders>
              <w:top w:val="single" w:sz="4" w:space="0" w:color="A6A6A6"/>
              <w:bottom w:val="single" w:sz="4" w:space="0" w:color="A6A6A6"/>
            </w:tcBorders>
            <w:noWrap/>
            <w:hideMark/>
          </w:tcPr>
          <w:p w14:paraId="47C741F9" w14:textId="77777777" w:rsidR="00087B91" w:rsidRPr="002029AF" w:rsidRDefault="00087B91" w:rsidP="00860E95">
            <w:pPr>
              <w:pStyle w:val="ARfintablebodyright"/>
              <w:spacing w:before="30"/>
            </w:pPr>
            <w:r w:rsidRPr="002029AF">
              <w:t>–</w:t>
            </w:r>
          </w:p>
        </w:tc>
      </w:tr>
      <w:tr w:rsidR="00087B91" w:rsidRPr="002029AF" w14:paraId="6D7D3A44" w14:textId="77777777" w:rsidTr="00860E95">
        <w:tc>
          <w:tcPr>
            <w:tcW w:w="7371" w:type="dxa"/>
            <w:tcBorders>
              <w:top w:val="single" w:sz="4" w:space="0" w:color="A6A6A6"/>
              <w:bottom w:val="single" w:sz="4" w:space="0" w:color="A6A6A6"/>
            </w:tcBorders>
            <w:hideMark/>
          </w:tcPr>
          <w:p w14:paraId="63F100CC" w14:textId="2EA33F49" w:rsidR="00087B91" w:rsidRPr="002029AF" w:rsidRDefault="00087B91" w:rsidP="00860E95">
            <w:pPr>
              <w:pStyle w:val="ARfintablebodyindent"/>
              <w:spacing w:before="30"/>
            </w:pPr>
            <w:r w:rsidRPr="002029AF">
              <w:t>Specialist</w:t>
            </w:r>
            <w:r w:rsidR="000A5329" w:rsidRPr="002029AF">
              <w:t xml:space="preserve"> </w:t>
            </w:r>
            <w:r w:rsidRPr="002029AF">
              <w:t>Disability</w:t>
            </w:r>
            <w:r w:rsidR="000A5329" w:rsidRPr="002029AF">
              <w:t xml:space="preserve"> </w:t>
            </w:r>
            <w:r w:rsidRPr="002029AF">
              <w:t>Services</w:t>
            </w:r>
            <w:r w:rsidR="000A5329" w:rsidRPr="002029AF">
              <w:t xml:space="preserve"> </w:t>
            </w:r>
            <w:r w:rsidRPr="002029AF">
              <w:t>for</w:t>
            </w:r>
            <w:r w:rsidR="000A5329" w:rsidRPr="002029AF">
              <w:t xml:space="preserve"> </w:t>
            </w:r>
            <w:r w:rsidRPr="002029AF">
              <w:t>over</w:t>
            </w:r>
            <w:r w:rsidR="000A5329" w:rsidRPr="002029AF">
              <w:t xml:space="preserve"> </w:t>
            </w:r>
            <w:r w:rsidRPr="002029AF">
              <w:t>65s</w:t>
            </w:r>
            <w:r w:rsidR="000A5329" w:rsidRPr="002029AF">
              <w:t xml:space="preserve"> </w:t>
            </w:r>
            <w:r w:rsidRPr="002029AF">
              <w:t>(Output)</w:t>
            </w:r>
          </w:p>
        </w:tc>
        <w:tc>
          <w:tcPr>
            <w:tcW w:w="1133" w:type="dxa"/>
            <w:tcBorders>
              <w:top w:val="single" w:sz="4" w:space="0" w:color="A6A6A6"/>
              <w:bottom w:val="single" w:sz="4" w:space="0" w:color="A6A6A6"/>
            </w:tcBorders>
            <w:shd w:val="clear" w:color="auto" w:fill="E7E6E6"/>
            <w:noWrap/>
            <w:hideMark/>
          </w:tcPr>
          <w:p w14:paraId="2FB87BFC" w14:textId="77777777" w:rsidR="00087B91" w:rsidRPr="002029AF" w:rsidRDefault="00087B91" w:rsidP="00860E95">
            <w:pPr>
              <w:pStyle w:val="ARfintablebodyright"/>
              <w:spacing w:before="30"/>
            </w:pPr>
            <w:r w:rsidRPr="002029AF">
              <w:t>–</w:t>
            </w:r>
          </w:p>
        </w:tc>
        <w:tc>
          <w:tcPr>
            <w:tcW w:w="1133" w:type="dxa"/>
            <w:tcBorders>
              <w:top w:val="single" w:sz="4" w:space="0" w:color="A6A6A6"/>
              <w:bottom w:val="single" w:sz="4" w:space="0" w:color="A6A6A6"/>
            </w:tcBorders>
            <w:noWrap/>
            <w:hideMark/>
          </w:tcPr>
          <w:p w14:paraId="53793F46" w14:textId="77777777" w:rsidR="00087B91" w:rsidRPr="002029AF" w:rsidRDefault="00087B91" w:rsidP="00860E95">
            <w:pPr>
              <w:pStyle w:val="ARfintablebodyright"/>
              <w:spacing w:before="30"/>
            </w:pPr>
            <w:r w:rsidRPr="002029AF">
              <w:t>76.6</w:t>
            </w:r>
          </w:p>
        </w:tc>
      </w:tr>
      <w:tr w:rsidR="00087B91" w:rsidRPr="002029AF" w14:paraId="13A73E34" w14:textId="77777777" w:rsidTr="00860E95">
        <w:tc>
          <w:tcPr>
            <w:tcW w:w="9637" w:type="dxa"/>
            <w:gridSpan w:val="3"/>
            <w:tcBorders>
              <w:top w:val="single" w:sz="4" w:space="0" w:color="A6A6A6"/>
              <w:bottom w:val="single" w:sz="4" w:space="0" w:color="A6A6A6"/>
            </w:tcBorders>
            <w:hideMark/>
          </w:tcPr>
          <w:p w14:paraId="78313ABC" w14:textId="77777777" w:rsidR="00087B91" w:rsidRPr="002029AF" w:rsidRDefault="00087B91" w:rsidP="00860E95">
            <w:pPr>
              <w:pStyle w:val="ARfintablebody"/>
              <w:spacing w:before="30"/>
            </w:pPr>
            <w:r w:rsidRPr="002029AF">
              <w:t>Other</w:t>
            </w:r>
          </w:p>
        </w:tc>
      </w:tr>
      <w:tr w:rsidR="00087B91" w:rsidRPr="002029AF" w14:paraId="6ECCC7EC" w14:textId="77777777" w:rsidTr="00860E95">
        <w:tc>
          <w:tcPr>
            <w:tcW w:w="7371" w:type="dxa"/>
            <w:tcBorders>
              <w:top w:val="single" w:sz="4" w:space="0" w:color="A6A6A6"/>
              <w:bottom w:val="single" w:sz="4" w:space="0" w:color="A6A6A6"/>
            </w:tcBorders>
            <w:hideMark/>
          </w:tcPr>
          <w:p w14:paraId="120A06C4" w14:textId="70F4D523" w:rsidR="00087B91" w:rsidRPr="002029AF" w:rsidRDefault="00087B91" w:rsidP="00860E95">
            <w:pPr>
              <w:pStyle w:val="ARfintablebodyindent"/>
              <w:spacing w:before="30"/>
            </w:pPr>
            <w:r w:rsidRPr="002029AF">
              <w:t>Aged</w:t>
            </w:r>
            <w:r w:rsidR="000A5329" w:rsidRPr="002029AF">
              <w:t xml:space="preserve"> </w:t>
            </w:r>
            <w:r w:rsidRPr="002029AF">
              <w:t>Care</w:t>
            </w:r>
            <w:r w:rsidR="000A5329" w:rsidRPr="002029AF">
              <w:t xml:space="preserve"> </w:t>
            </w:r>
            <w:r w:rsidRPr="002029AF">
              <w:t>Assessment</w:t>
            </w:r>
            <w:r w:rsidR="000A5329" w:rsidRPr="002029AF">
              <w:t xml:space="preserve"> </w:t>
            </w:r>
            <w:r w:rsidRPr="002029AF">
              <w:t>(Output)</w:t>
            </w:r>
          </w:p>
        </w:tc>
        <w:tc>
          <w:tcPr>
            <w:tcW w:w="1133" w:type="dxa"/>
            <w:tcBorders>
              <w:top w:val="single" w:sz="4" w:space="0" w:color="A6A6A6"/>
              <w:bottom w:val="single" w:sz="4" w:space="0" w:color="A6A6A6"/>
            </w:tcBorders>
            <w:shd w:val="clear" w:color="auto" w:fill="E7E6E6"/>
            <w:noWrap/>
            <w:hideMark/>
          </w:tcPr>
          <w:p w14:paraId="25B257AF" w14:textId="77777777" w:rsidR="00087B91" w:rsidRPr="002029AF" w:rsidRDefault="00087B91" w:rsidP="00860E95">
            <w:pPr>
              <w:pStyle w:val="ARfintablebodyright"/>
              <w:spacing w:before="30"/>
            </w:pPr>
            <w:r w:rsidRPr="002029AF">
              <w:t>31.4</w:t>
            </w:r>
          </w:p>
        </w:tc>
        <w:tc>
          <w:tcPr>
            <w:tcW w:w="1133" w:type="dxa"/>
            <w:tcBorders>
              <w:top w:val="single" w:sz="4" w:space="0" w:color="A6A6A6"/>
              <w:bottom w:val="single" w:sz="4" w:space="0" w:color="A6A6A6"/>
            </w:tcBorders>
            <w:noWrap/>
            <w:hideMark/>
          </w:tcPr>
          <w:p w14:paraId="45DA9D2E" w14:textId="77777777" w:rsidR="00087B91" w:rsidRPr="002029AF" w:rsidRDefault="00087B91" w:rsidP="00860E95">
            <w:pPr>
              <w:pStyle w:val="ARfintablebodyright"/>
              <w:spacing w:before="30"/>
            </w:pPr>
            <w:r w:rsidRPr="002029AF">
              <w:t>30.9</w:t>
            </w:r>
          </w:p>
        </w:tc>
      </w:tr>
      <w:tr w:rsidR="00087B91" w:rsidRPr="002029AF" w14:paraId="7957928B" w14:textId="77777777" w:rsidTr="00860E95">
        <w:tc>
          <w:tcPr>
            <w:tcW w:w="7371" w:type="dxa"/>
            <w:tcBorders>
              <w:top w:val="single" w:sz="4" w:space="0" w:color="A6A6A6"/>
              <w:bottom w:val="single" w:sz="4" w:space="0" w:color="A6A6A6"/>
            </w:tcBorders>
            <w:hideMark/>
          </w:tcPr>
          <w:p w14:paraId="411E9D40" w14:textId="34A9CC64" w:rsidR="00087B91" w:rsidRPr="002029AF" w:rsidRDefault="00087B91" w:rsidP="00860E95">
            <w:pPr>
              <w:pStyle w:val="ARfintablebodyindent"/>
              <w:spacing w:before="30"/>
            </w:pPr>
            <w:r w:rsidRPr="002029AF">
              <w:t>Home</w:t>
            </w:r>
            <w:r w:rsidR="000A5329" w:rsidRPr="002029AF">
              <w:t xml:space="preserve"> </w:t>
            </w:r>
            <w:r w:rsidRPr="002029AF">
              <w:t>Support</w:t>
            </w:r>
            <w:r w:rsidR="000A5329" w:rsidRPr="002029AF">
              <w:t xml:space="preserve"> </w:t>
            </w:r>
            <w:r w:rsidRPr="002029AF">
              <w:t>Program</w:t>
            </w:r>
            <w:r w:rsidR="000A5329" w:rsidRPr="002029AF">
              <w:t xml:space="preserve"> </w:t>
            </w:r>
            <w:r w:rsidRPr="002029AF">
              <w:t>(Output)</w:t>
            </w:r>
          </w:p>
        </w:tc>
        <w:tc>
          <w:tcPr>
            <w:tcW w:w="1133" w:type="dxa"/>
            <w:tcBorders>
              <w:top w:val="single" w:sz="4" w:space="0" w:color="A6A6A6"/>
              <w:bottom w:val="single" w:sz="4" w:space="0" w:color="A6A6A6"/>
            </w:tcBorders>
            <w:shd w:val="clear" w:color="auto" w:fill="E7E6E6"/>
            <w:noWrap/>
            <w:hideMark/>
          </w:tcPr>
          <w:p w14:paraId="4E83651C" w14:textId="77777777" w:rsidR="00087B91" w:rsidRPr="002029AF" w:rsidRDefault="00087B91" w:rsidP="00860E95">
            <w:pPr>
              <w:pStyle w:val="ARfintablebodyright"/>
              <w:spacing w:before="30"/>
            </w:pPr>
            <w:r w:rsidRPr="002029AF">
              <w:t>–</w:t>
            </w:r>
          </w:p>
        </w:tc>
        <w:tc>
          <w:tcPr>
            <w:tcW w:w="1133" w:type="dxa"/>
            <w:tcBorders>
              <w:top w:val="single" w:sz="4" w:space="0" w:color="A6A6A6"/>
              <w:bottom w:val="single" w:sz="4" w:space="0" w:color="A6A6A6"/>
            </w:tcBorders>
            <w:noWrap/>
            <w:hideMark/>
          </w:tcPr>
          <w:p w14:paraId="21CABA3E" w14:textId="77777777" w:rsidR="00087B91" w:rsidRPr="002029AF" w:rsidRDefault="00087B91" w:rsidP="00860E95">
            <w:pPr>
              <w:pStyle w:val="ARfintablebodyright"/>
              <w:spacing w:before="30"/>
            </w:pPr>
            <w:r w:rsidRPr="002029AF">
              <w:t>4.5</w:t>
            </w:r>
          </w:p>
        </w:tc>
      </w:tr>
      <w:tr w:rsidR="00087B91" w:rsidRPr="002029AF" w14:paraId="4D1D793E" w14:textId="77777777" w:rsidTr="00860E95">
        <w:tc>
          <w:tcPr>
            <w:tcW w:w="7371" w:type="dxa"/>
            <w:tcBorders>
              <w:top w:val="single" w:sz="4" w:space="0" w:color="A6A6A6"/>
              <w:bottom w:val="single" w:sz="4" w:space="0" w:color="A6A6A6"/>
            </w:tcBorders>
            <w:hideMark/>
          </w:tcPr>
          <w:p w14:paraId="2F9DDD47" w14:textId="0BAFC559" w:rsidR="00087B91" w:rsidRPr="002029AF" w:rsidRDefault="00087B91" w:rsidP="00860E95">
            <w:pPr>
              <w:pStyle w:val="ARfintablebodyindent"/>
              <w:spacing w:before="30"/>
            </w:pPr>
            <w:r w:rsidRPr="002029AF">
              <w:t>Regional</w:t>
            </w:r>
            <w:r w:rsidR="000A5329" w:rsidRPr="002029AF">
              <w:t xml:space="preserve"> </w:t>
            </w:r>
            <w:r w:rsidRPr="002029AF">
              <w:t>Assessment</w:t>
            </w:r>
            <w:r w:rsidR="000A5329" w:rsidRPr="002029AF">
              <w:t xml:space="preserve"> </w:t>
            </w:r>
            <w:r w:rsidRPr="002029AF">
              <w:t>Services</w:t>
            </w:r>
            <w:r w:rsidR="000A5329" w:rsidRPr="002029AF">
              <w:t xml:space="preserve"> </w:t>
            </w:r>
            <w:r w:rsidRPr="002029AF">
              <w:t>(Output)</w:t>
            </w:r>
          </w:p>
        </w:tc>
        <w:tc>
          <w:tcPr>
            <w:tcW w:w="1133" w:type="dxa"/>
            <w:tcBorders>
              <w:top w:val="single" w:sz="4" w:space="0" w:color="A6A6A6"/>
              <w:bottom w:val="single" w:sz="4" w:space="0" w:color="A6A6A6"/>
            </w:tcBorders>
            <w:shd w:val="clear" w:color="auto" w:fill="E7E6E6"/>
            <w:noWrap/>
            <w:hideMark/>
          </w:tcPr>
          <w:p w14:paraId="563EAD28" w14:textId="77777777" w:rsidR="00087B91" w:rsidRPr="002029AF" w:rsidRDefault="00087B91" w:rsidP="00860E95">
            <w:pPr>
              <w:pStyle w:val="ARfintablebodyright"/>
              <w:spacing w:before="30"/>
            </w:pPr>
            <w:r w:rsidRPr="002029AF">
              <w:t>34.3</w:t>
            </w:r>
          </w:p>
        </w:tc>
        <w:tc>
          <w:tcPr>
            <w:tcW w:w="1133" w:type="dxa"/>
            <w:tcBorders>
              <w:top w:val="single" w:sz="4" w:space="0" w:color="A6A6A6"/>
              <w:bottom w:val="single" w:sz="4" w:space="0" w:color="A6A6A6"/>
            </w:tcBorders>
            <w:noWrap/>
            <w:hideMark/>
          </w:tcPr>
          <w:p w14:paraId="3D85B27F" w14:textId="77777777" w:rsidR="00087B91" w:rsidRPr="002029AF" w:rsidRDefault="00087B91" w:rsidP="00860E95">
            <w:pPr>
              <w:pStyle w:val="ARfintablebodyright"/>
              <w:spacing w:before="30"/>
            </w:pPr>
            <w:r w:rsidRPr="002029AF">
              <w:t>33.5</w:t>
            </w:r>
          </w:p>
        </w:tc>
      </w:tr>
      <w:tr w:rsidR="00087B91" w:rsidRPr="002029AF" w14:paraId="6BF5B96B" w14:textId="77777777" w:rsidTr="00860E95">
        <w:tc>
          <w:tcPr>
            <w:tcW w:w="7371" w:type="dxa"/>
            <w:tcBorders>
              <w:top w:val="single" w:sz="4" w:space="0" w:color="A6A6A6"/>
              <w:bottom w:val="single" w:sz="4" w:space="0" w:color="A6A6A6"/>
            </w:tcBorders>
            <w:hideMark/>
          </w:tcPr>
          <w:p w14:paraId="7EC127D2" w14:textId="0B2B2FAD" w:rsidR="00087B91" w:rsidRPr="002029AF" w:rsidRDefault="00087B91" w:rsidP="00860E95">
            <w:pPr>
              <w:pStyle w:val="ARfintablebodyindent"/>
              <w:spacing w:before="30"/>
            </w:pPr>
            <w:r w:rsidRPr="002029AF">
              <w:t>Human</w:t>
            </w:r>
            <w:r w:rsidR="000A5329" w:rsidRPr="002029AF">
              <w:t xml:space="preserve"> </w:t>
            </w:r>
            <w:r w:rsidRPr="002029AF">
              <w:t>Quarantine</w:t>
            </w:r>
            <w:r w:rsidR="000A5329" w:rsidRPr="002029AF">
              <w:t xml:space="preserve"> </w:t>
            </w:r>
            <w:r w:rsidRPr="002029AF">
              <w:t>Services</w:t>
            </w:r>
            <w:r w:rsidR="000A5329" w:rsidRPr="002029AF">
              <w:t xml:space="preserve"> </w:t>
            </w:r>
            <w:r w:rsidRPr="002029AF">
              <w:t>(Output)</w:t>
            </w:r>
          </w:p>
        </w:tc>
        <w:tc>
          <w:tcPr>
            <w:tcW w:w="1133" w:type="dxa"/>
            <w:tcBorders>
              <w:top w:val="single" w:sz="4" w:space="0" w:color="A6A6A6"/>
              <w:bottom w:val="single" w:sz="4" w:space="0" w:color="A6A6A6"/>
            </w:tcBorders>
            <w:shd w:val="clear" w:color="auto" w:fill="E7E6E6"/>
            <w:noWrap/>
            <w:hideMark/>
          </w:tcPr>
          <w:p w14:paraId="53219D7F" w14:textId="77777777" w:rsidR="00087B91" w:rsidRPr="002029AF" w:rsidRDefault="00087B91" w:rsidP="00860E95">
            <w:pPr>
              <w:pStyle w:val="ARfintablebodyright"/>
              <w:spacing w:before="30"/>
            </w:pPr>
            <w:r w:rsidRPr="002029AF">
              <w:t>0.1</w:t>
            </w:r>
          </w:p>
        </w:tc>
        <w:tc>
          <w:tcPr>
            <w:tcW w:w="1133" w:type="dxa"/>
            <w:tcBorders>
              <w:top w:val="single" w:sz="4" w:space="0" w:color="A6A6A6"/>
              <w:bottom w:val="single" w:sz="4" w:space="0" w:color="A6A6A6"/>
            </w:tcBorders>
            <w:noWrap/>
            <w:hideMark/>
          </w:tcPr>
          <w:p w14:paraId="4BA3F4DE" w14:textId="77777777" w:rsidR="00087B91" w:rsidRPr="002029AF" w:rsidRDefault="00087B91" w:rsidP="00860E95">
            <w:pPr>
              <w:pStyle w:val="ARfintablebodyright"/>
              <w:spacing w:before="30"/>
            </w:pPr>
            <w:r w:rsidRPr="002029AF">
              <w:t>0.1</w:t>
            </w:r>
          </w:p>
        </w:tc>
      </w:tr>
      <w:tr w:rsidR="00087B91" w:rsidRPr="002029AF" w14:paraId="3798FFFE" w14:textId="77777777" w:rsidTr="00860E95">
        <w:tc>
          <w:tcPr>
            <w:tcW w:w="7371" w:type="dxa"/>
            <w:tcBorders>
              <w:top w:val="single" w:sz="4" w:space="0" w:color="A6A6A6"/>
              <w:bottom w:val="single" w:sz="4" w:space="0" w:color="A6A6A6"/>
            </w:tcBorders>
            <w:hideMark/>
          </w:tcPr>
          <w:p w14:paraId="4CD736BB" w14:textId="2C274830" w:rsidR="00087B91" w:rsidRPr="002029AF" w:rsidRDefault="00087B91" w:rsidP="00860E95">
            <w:pPr>
              <w:pStyle w:val="ARfintablebodyindent"/>
              <w:spacing w:before="30"/>
            </w:pPr>
            <w:r w:rsidRPr="002029AF">
              <w:t>Mental</w:t>
            </w:r>
            <w:r w:rsidR="000A5329" w:rsidRPr="002029AF">
              <w:t xml:space="preserve"> </w:t>
            </w:r>
            <w:r w:rsidRPr="002029AF">
              <w:t>Health</w:t>
            </w:r>
            <w:r w:rsidR="000A5329" w:rsidRPr="002029AF">
              <w:t xml:space="preserve"> </w:t>
            </w:r>
            <w:r w:rsidRPr="002029AF">
              <w:t>Professional</w:t>
            </w:r>
            <w:r w:rsidR="000A5329" w:rsidRPr="002029AF">
              <w:t xml:space="preserve"> </w:t>
            </w:r>
            <w:r w:rsidRPr="002029AF">
              <w:t>Online</w:t>
            </w:r>
            <w:r w:rsidR="000A5329" w:rsidRPr="002029AF">
              <w:t xml:space="preserve"> </w:t>
            </w:r>
            <w:r w:rsidRPr="002029AF">
              <w:t>Development</w:t>
            </w:r>
          </w:p>
        </w:tc>
        <w:tc>
          <w:tcPr>
            <w:tcW w:w="1133" w:type="dxa"/>
            <w:tcBorders>
              <w:top w:val="single" w:sz="4" w:space="0" w:color="A6A6A6"/>
              <w:bottom w:val="single" w:sz="4" w:space="0" w:color="A6A6A6"/>
            </w:tcBorders>
            <w:shd w:val="clear" w:color="auto" w:fill="E7E6E6"/>
            <w:noWrap/>
            <w:hideMark/>
          </w:tcPr>
          <w:p w14:paraId="775B7D52" w14:textId="77777777" w:rsidR="00087B91" w:rsidRPr="002029AF" w:rsidRDefault="00087B91" w:rsidP="00860E95">
            <w:pPr>
              <w:pStyle w:val="ARfintablebodyright"/>
              <w:spacing w:before="30"/>
            </w:pPr>
            <w:r w:rsidRPr="002029AF">
              <w:t>0.2</w:t>
            </w:r>
          </w:p>
        </w:tc>
        <w:tc>
          <w:tcPr>
            <w:tcW w:w="1133" w:type="dxa"/>
            <w:tcBorders>
              <w:top w:val="single" w:sz="4" w:space="0" w:color="A6A6A6"/>
              <w:bottom w:val="single" w:sz="4" w:space="0" w:color="A6A6A6"/>
            </w:tcBorders>
            <w:noWrap/>
            <w:hideMark/>
          </w:tcPr>
          <w:p w14:paraId="0BE3A762" w14:textId="77777777" w:rsidR="00087B91" w:rsidRPr="002029AF" w:rsidRDefault="00087B91" w:rsidP="00860E95">
            <w:pPr>
              <w:pStyle w:val="ARfintablebodyright"/>
              <w:spacing w:before="30"/>
            </w:pPr>
            <w:r w:rsidRPr="002029AF">
              <w:t>1.2</w:t>
            </w:r>
          </w:p>
        </w:tc>
      </w:tr>
      <w:tr w:rsidR="00087B91" w:rsidRPr="002029AF" w14:paraId="6754AFA7" w14:textId="77777777" w:rsidTr="00860E95">
        <w:tc>
          <w:tcPr>
            <w:tcW w:w="7371" w:type="dxa"/>
            <w:tcBorders>
              <w:top w:val="single" w:sz="4" w:space="0" w:color="A6A6A6"/>
              <w:bottom w:val="single" w:sz="4" w:space="0" w:color="A6A6A6"/>
            </w:tcBorders>
            <w:hideMark/>
          </w:tcPr>
          <w:p w14:paraId="03A17F41" w14:textId="5F501743" w:rsidR="00087B91" w:rsidRPr="002029AF" w:rsidRDefault="00087B91" w:rsidP="00860E95">
            <w:pPr>
              <w:pStyle w:val="ARfintablebodyindent"/>
              <w:spacing w:before="30"/>
            </w:pPr>
            <w:r w:rsidRPr="002029AF">
              <w:t>National</w:t>
            </w:r>
            <w:r w:rsidR="000A5329" w:rsidRPr="002029AF">
              <w:t xml:space="preserve"> </w:t>
            </w:r>
            <w:r w:rsidRPr="002029AF">
              <w:t>Reform</w:t>
            </w:r>
            <w:r w:rsidR="000A5329" w:rsidRPr="002029AF">
              <w:t xml:space="preserve"> </w:t>
            </w:r>
            <w:r w:rsidRPr="002029AF">
              <w:t>Agenda</w:t>
            </w:r>
            <w:r w:rsidR="000A5329" w:rsidRPr="002029AF">
              <w:t xml:space="preserve"> </w:t>
            </w:r>
            <w:r w:rsidRPr="002029AF">
              <w:t>for</w:t>
            </w:r>
            <w:r w:rsidR="000A5329" w:rsidRPr="002029AF">
              <w:t xml:space="preserve"> </w:t>
            </w:r>
            <w:r w:rsidRPr="002029AF">
              <w:t>Organ</w:t>
            </w:r>
            <w:r w:rsidR="000A5329" w:rsidRPr="002029AF">
              <w:t xml:space="preserve"> </w:t>
            </w:r>
            <w:r w:rsidRPr="002029AF">
              <w:t>and</w:t>
            </w:r>
            <w:r w:rsidR="000A5329" w:rsidRPr="002029AF">
              <w:t xml:space="preserve"> </w:t>
            </w:r>
            <w:r w:rsidRPr="002029AF">
              <w:t>Tissue</w:t>
            </w:r>
            <w:r w:rsidR="000A5329" w:rsidRPr="002029AF">
              <w:t xml:space="preserve"> </w:t>
            </w:r>
            <w:r w:rsidRPr="002029AF">
              <w:t>Donation</w:t>
            </w:r>
            <w:r w:rsidR="000A5329" w:rsidRPr="002029AF">
              <w:t xml:space="preserve"> </w:t>
            </w:r>
            <w:r w:rsidRPr="002029AF">
              <w:t>(Output)</w:t>
            </w:r>
          </w:p>
        </w:tc>
        <w:tc>
          <w:tcPr>
            <w:tcW w:w="1133" w:type="dxa"/>
            <w:tcBorders>
              <w:top w:val="single" w:sz="4" w:space="0" w:color="A6A6A6"/>
              <w:bottom w:val="single" w:sz="4" w:space="0" w:color="A6A6A6"/>
            </w:tcBorders>
            <w:shd w:val="clear" w:color="auto" w:fill="E7E6E6"/>
            <w:noWrap/>
            <w:hideMark/>
          </w:tcPr>
          <w:p w14:paraId="659B9B21" w14:textId="77777777" w:rsidR="00087B91" w:rsidRPr="002029AF" w:rsidRDefault="00087B91" w:rsidP="00860E95">
            <w:pPr>
              <w:pStyle w:val="ARfintablebodyright"/>
              <w:spacing w:before="30"/>
            </w:pPr>
            <w:r w:rsidRPr="002029AF">
              <w:t>9.9</w:t>
            </w:r>
          </w:p>
        </w:tc>
        <w:tc>
          <w:tcPr>
            <w:tcW w:w="1133" w:type="dxa"/>
            <w:tcBorders>
              <w:top w:val="single" w:sz="4" w:space="0" w:color="A6A6A6"/>
              <w:bottom w:val="single" w:sz="4" w:space="0" w:color="A6A6A6"/>
            </w:tcBorders>
            <w:noWrap/>
            <w:hideMark/>
          </w:tcPr>
          <w:p w14:paraId="1D9B3BE0" w14:textId="77777777" w:rsidR="00087B91" w:rsidRPr="002029AF" w:rsidRDefault="00087B91" w:rsidP="00860E95">
            <w:pPr>
              <w:pStyle w:val="ARfintablebodyright"/>
              <w:spacing w:before="30"/>
            </w:pPr>
            <w:r w:rsidRPr="002029AF">
              <w:t>10.0</w:t>
            </w:r>
          </w:p>
        </w:tc>
      </w:tr>
      <w:tr w:rsidR="00087B91" w:rsidRPr="002029AF" w14:paraId="75E8BD02" w14:textId="77777777" w:rsidTr="00860E95">
        <w:tc>
          <w:tcPr>
            <w:tcW w:w="7371" w:type="dxa"/>
            <w:tcBorders>
              <w:top w:val="single" w:sz="4" w:space="0" w:color="A6A6A6"/>
              <w:bottom w:val="single" w:sz="4" w:space="0" w:color="A6A6A6"/>
            </w:tcBorders>
            <w:hideMark/>
          </w:tcPr>
          <w:p w14:paraId="36E38B1C" w14:textId="01EE411A" w:rsidR="00087B91" w:rsidRPr="002029AF" w:rsidRDefault="00087B91" w:rsidP="00860E95">
            <w:pPr>
              <w:pStyle w:val="ARfintablebodyindent"/>
              <w:spacing w:before="30"/>
            </w:pPr>
            <w:r w:rsidRPr="002029AF">
              <w:t>Continuity</w:t>
            </w:r>
            <w:r w:rsidR="000A5329" w:rsidRPr="002029AF">
              <w:t xml:space="preserve"> </w:t>
            </w:r>
            <w:r w:rsidRPr="002029AF">
              <w:t>of</w:t>
            </w:r>
            <w:r w:rsidR="000A5329" w:rsidRPr="002029AF">
              <w:t xml:space="preserve"> </w:t>
            </w:r>
            <w:r w:rsidRPr="002029AF">
              <w:t>Support</w:t>
            </w:r>
            <w:r w:rsidR="000A5329" w:rsidRPr="002029AF">
              <w:t xml:space="preserve"> </w:t>
            </w:r>
            <w:r w:rsidRPr="002029AF">
              <w:t>Services</w:t>
            </w:r>
            <w:r w:rsidR="000A5329" w:rsidRPr="002029AF">
              <w:t xml:space="preserve"> </w:t>
            </w:r>
            <w:r w:rsidRPr="002029AF">
              <w:t>for</w:t>
            </w:r>
            <w:r w:rsidR="000A5329" w:rsidRPr="002029AF">
              <w:t xml:space="preserve"> </w:t>
            </w:r>
            <w:r w:rsidRPr="002029AF">
              <w:t>clients</w:t>
            </w:r>
            <w:r w:rsidR="000A5329" w:rsidRPr="002029AF">
              <w:t xml:space="preserve"> </w:t>
            </w:r>
            <w:r w:rsidRPr="002029AF">
              <w:t>over</w:t>
            </w:r>
            <w:r w:rsidR="000A5329" w:rsidRPr="002029AF">
              <w:t xml:space="preserve"> </w:t>
            </w:r>
            <w:r w:rsidRPr="002029AF">
              <w:t>65</w:t>
            </w:r>
            <w:r w:rsidR="000A5329" w:rsidRPr="002029AF">
              <w:t xml:space="preserve"> </w:t>
            </w:r>
            <w:r w:rsidRPr="002029AF">
              <w:t>(Output)</w:t>
            </w:r>
          </w:p>
        </w:tc>
        <w:tc>
          <w:tcPr>
            <w:tcW w:w="1133" w:type="dxa"/>
            <w:tcBorders>
              <w:top w:val="single" w:sz="4" w:space="0" w:color="A6A6A6"/>
              <w:bottom w:val="single" w:sz="4" w:space="0" w:color="A6A6A6"/>
            </w:tcBorders>
            <w:shd w:val="clear" w:color="auto" w:fill="E7E6E6"/>
            <w:noWrap/>
            <w:hideMark/>
          </w:tcPr>
          <w:p w14:paraId="525C8B29" w14:textId="77777777" w:rsidR="00087B91" w:rsidRPr="002029AF" w:rsidRDefault="00087B91" w:rsidP="00860E95">
            <w:pPr>
              <w:pStyle w:val="ARfintablebodyright"/>
              <w:spacing w:before="30"/>
            </w:pPr>
            <w:r w:rsidRPr="002029AF">
              <w:t>53.1</w:t>
            </w:r>
          </w:p>
        </w:tc>
        <w:tc>
          <w:tcPr>
            <w:tcW w:w="1133" w:type="dxa"/>
            <w:tcBorders>
              <w:top w:val="single" w:sz="4" w:space="0" w:color="A6A6A6"/>
              <w:bottom w:val="single" w:sz="4" w:space="0" w:color="A6A6A6"/>
            </w:tcBorders>
            <w:noWrap/>
            <w:hideMark/>
          </w:tcPr>
          <w:p w14:paraId="43538381" w14:textId="77777777" w:rsidR="00087B91" w:rsidRPr="002029AF" w:rsidRDefault="00087B91" w:rsidP="00860E95">
            <w:pPr>
              <w:pStyle w:val="ARfintablebodyright"/>
              <w:spacing w:before="30"/>
            </w:pPr>
            <w:r w:rsidRPr="002029AF">
              <w:t>–</w:t>
            </w:r>
          </w:p>
        </w:tc>
      </w:tr>
      <w:tr w:rsidR="00087B91" w:rsidRPr="002029AF" w14:paraId="57173F80" w14:textId="77777777" w:rsidTr="00860E95">
        <w:tc>
          <w:tcPr>
            <w:tcW w:w="7371" w:type="dxa"/>
            <w:tcBorders>
              <w:top w:val="single" w:sz="4" w:space="0" w:color="A6A6A6"/>
              <w:bottom w:val="single" w:sz="4" w:space="0" w:color="A6A6A6"/>
            </w:tcBorders>
            <w:hideMark/>
          </w:tcPr>
          <w:p w14:paraId="7CA7EB10" w14:textId="49911694" w:rsidR="00087B91" w:rsidRPr="002029AF" w:rsidRDefault="00087B91" w:rsidP="00860E95">
            <w:pPr>
              <w:pStyle w:val="ARfintablebodyindent"/>
              <w:spacing w:before="30"/>
            </w:pPr>
            <w:r w:rsidRPr="002029AF">
              <w:t>Unattached</w:t>
            </w:r>
            <w:r w:rsidR="000A5329" w:rsidRPr="002029AF">
              <w:t xml:space="preserve"> </w:t>
            </w:r>
            <w:r w:rsidRPr="002029AF">
              <w:t>Refugee</w:t>
            </w:r>
            <w:r w:rsidR="000A5329" w:rsidRPr="002029AF">
              <w:t xml:space="preserve"> </w:t>
            </w:r>
            <w:r w:rsidRPr="002029AF">
              <w:t>Children</w:t>
            </w:r>
            <w:r w:rsidR="000A5329" w:rsidRPr="002029AF">
              <w:t xml:space="preserve"> </w:t>
            </w:r>
            <w:r w:rsidRPr="002029AF">
              <w:t>(Output)</w:t>
            </w:r>
          </w:p>
        </w:tc>
        <w:tc>
          <w:tcPr>
            <w:tcW w:w="1133" w:type="dxa"/>
            <w:tcBorders>
              <w:top w:val="single" w:sz="4" w:space="0" w:color="A6A6A6"/>
              <w:bottom w:val="single" w:sz="4" w:space="0" w:color="A6A6A6"/>
            </w:tcBorders>
            <w:shd w:val="clear" w:color="auto" w:fill="E7E6E6"/>
            <w:noWrap/>
            <w:hideMark/>
          </w:tcPr>
          <w:p w14:paraId="50F1B009" w14:textId="77777777" w:rsidR="00087B91" w:rsidRPr="002029AF" w:rsidRDefault="00087B91" w:rsidP="00860E95">
            <w:pPr>
              <w:pStyle w:val="ARfintablebodyright"/>
              <w:spacing w:before="30"/>
            </w:pPr>
            <w:r w:rsidRPr="002029AF">
              <w:t>1.0</w:t>
            </w:r>
          </w:p>
        </w:tc>
        <w:tc>
          <w:tcPr>
            <w:tcW w:w="1133" w:type="dxa"/>
            <w:tcBorders>
              <w:top w:val="single" w:sz="4" w:space="0" w:color="A6A6A6"/>
              <w:bottom w:val="single" w:sz="4" w:space="0" w:color="A6A6A6"/>
            </w:tcBorders>
            <w:noWrap/>
            <w:hideMark/>
          </w:tcPr>
          <w:p w14:paraId="62FB2069" w14:textId="77777777" w:rsidR="00087B91" w:rsidRPr="002029AF" w:rsidRDefault="00087B91" w:rsidP="00860E95">
            <w:pPr>
              <w:pStyle w:val="ARfintablebodyright"/>
              <w:spacing w:before="30"/>
            </w:pPr>
            <w:r w:rsidRPr="002029AF">
              <w:t>1.4</w:t>
            </w:r>
          </w:p>
        </w:tc>
      </w:tr>
      <w:tr w:rsidR="00087B91" w:rsidRPr="002029AF" w14:paraId="384A9D4C" w14:textId="77777777" w:rsidTr="00860E95">
        <w:tc>
          <w:tcPr>
            <w:tcW w:w="7371" w:type="dxa"/>
            <w:tcBorders>
              <w:top w:val="single" w:sz="4" w:space="0" w:color="A6A6A6"/>
              <w:bottom w:val="single" w:sz="4" w:space="0" w:color="A6A6A6"/>
            </w:tcBorders>
            <w:hideMark/>
          </w:tcPr>
          <w:p w14:paraId="31EBE5CC" w14:textId="46A10E86" w:rsidR="00087B91" w:rsidRPr="002029AF" w:rsidRDefault="00087B91" w:rsidP="00860E95">
            <w:pPr>
              <w:pStyle w:val="ARfintablebodyindent"/>
              <w:spacing w:before="30"/>
            </w:pPr>
            <w:r w:rsidRPr="002029AF">
              <w:t>Women’s</w:t>
            </w:r>
            <w:r w:rsidR="000A5329" w:rsidRPr="002029AF">
              <w:t xml:space="preserve"> </w:t>
            </w:r>
            <w:r w:rsidRPr="002029AF">
              <w:t>Safety</w:t>
            </w:r>
            <w:r w:rsidR="000A5329" w:rsidRPr="002029AF">
              <w:t xml:space="preserve"> </w:t>
            </w:r>
            <w:r w:rsidRPr="002029AF">
              <w:t>Measures</w:t>
            </w:r>
            <w:r w:rsidR="000A5329" w:rsidRPr="002029AF">
              <w:t xml:space="preserve"> </w:t>
            </w:r>
            <w:r w:rsidRPr="002029AF">
              <w:t>–</w:t>
            </w:r>
            <w:r w:rsidR="000A5329" w:rsidRPr="002029AF">
              <w:t xml:space="preserve"> </w:t>
            </w:r>
            <w:r w:rsidRPr="002029AF">
              <w:t>Keeping</w:t>
            </w:r>
            <w:r w:rsidR="000A5329" w:rsidRPr="002029AF">
              <w:t xml:space="preserve"> </w:t>
            </w:r>
            <w:r w:rsidRPr="002029AF">
              <w:t>Women</w:t>
            </w:r>
            <w:r w:rsidR="000A5329" w:rsidRPr="002029AF">
              <w:t xml:space="preserve"> </w:t>
            </w:r>
            <w:r w:rsidRPr="002029AF">
              <w:t>Safe</w:t>
            </w:r>
            <w:r w:rsidR="000A5329" w:rsidRPr="002029AF">
              <w:t xml:space="preserve"> </w:t>
            </w:r>
            <w:r w:rsidRPr="002029AF">
              <w:t>in</w:t>
            </w:r>
            <w:r w:rsidR="000A5329" w:rsidRPr="002029AF">
              <w:t xml:space="preserve"> </w:t>
            </w:r>
            <w:r w:rsidRPr="002029AF">
              <w:t>Their</w:t>
            </w:r>
            <w:r w:rsidR="000A5329" w:rsidRPr="002029AF">
              <w:t xml:space="preserve"> </w:t>
            </w:r>
            <w:r w:rsidRPr="002029AF">
              <w:t>Homes</w:t>
            </w:r>
            <w:r w:rsidR="000A5329" w:rsidRPr="002029AF">
              <w:t xml:space="preserve"> </w:t>
            </w:r>
            <w:r w:rsidRPr="002029AF">
              <w:t>(Output)</w:t>
            </w:r>
          </w:p>
        </w:tc>
        <w:tc>
          <w:tcPr>
            <w:tcW w:w="1133" w:type="dxa"/>
            <w:tcBorders>
              <w:top w:val="single" w:sz="4" w:space="0" w:color="A6A6A6"/>
              <w:bottom w:val="single" w:sz="4" w:space="0" w:color="A6A6A6"/>
            </w:tcBorders>
            <w:shd w:val="clear" w:color="auto" w:fill="E7E6E6"/>
            <w:noWrap/>
            <w:hideMark/>
          </w:tcPr>
          <w:p w14:paraId="41DB83D9" w14:textId="77777777" w:rsidR="00087B91" w:rsidRPr="002029AF" w:rsidRDefault="00087B91" w:rsidP="00860E95">
            <w:pPr>
              <w:pStyle w:val="ARfintablebodyright"/>
              <w:spacing w:before="30"/>
            </w:pPr>
            <w:r w:rsidRPr="002029AF">
              <w:t>1.0</w:t>
            </w:r>
          </w:p>
        </w:tc>
        <w:tc>
          <w:tcPr>
            <w:tcW w:w="1133" w:type="dxa"/>
            <w:tcBorders>
              <w:top w:val="single" w:sz="4" w:space="0" w:color="A6A6A6"/>
              <w:bottom w:val="single" w:sz="4" w:space="0" w:color="A6A6A6"/>
            </w:tcBorders>
            <w:noWrap/>
            <w:hideMark/>
          </w:tcPr>
          <w:p w14:paraId="1D5DF347" w14:textId="77777777" w:rsidR="00087B91" w:rsidRPr="002029AF" w:rsidRDefault="00087B91" w:rsidP="00860E95">
            <w:pPr>
              <w:pStyle w:val="ARfintablebodyright"/>
              <w:spacing w:before="30"/>
            </w:pPr>
            <w:r w:rsidRPr="002029AF">
              <w:t>–</w:t>
            </w:r>
          </w:p>
        </w:tc>
      </w:tr>
      <w:tr w:rsidR="00087B91" w:rsidRPr="002029AF" w14:paraId="27E2584F" w14:textId="77777777" w:rsidTr="00860E95">
        <w:tc>
          <w:tcPr>
            <w:tcW w:w="7371" w:type="dxa"/>
            <w:tcBorders>
              <w:top w:val="single" w:sz="4" w:space="0" w:color="A6A6A6"/>
            </w:tcBorders>
            <w:hideMark/>
          </w:tcPr>
          <w:p w14:paraId="2181306C" w14:textId="31620F4C" w:rsidR="00087B91" w:rsidRPr="002029AF" w:rsidRDefault="00087B91" w:rsidP="00860E95">
            <w:pPr>
              <w:pStyle w:val="ARfintablebodyindent"/>
              <w:spacing w:before="30"/>
            </w:pPr>
            <w:r w:rsidRPr="002029AF">
              <w:t>Women’s</w:t>
            </w:r>
            <w:r w:rsidR="000A5329" w:rsidRPr="002029AF">
              <w:t xml:space="preserve"> </w:t>
            </w:r>
            <w:r w:rsidRPr="002029AF">
              <w:t>Safety</w:t>
            </w:r>
            <w:r w:rsidR="000A5329" w:rsidRPr="002029AF">
              <w:t xml:space="preserve"> </w:t>
            </w:r>
            <w:r w:rsidRPr="002029AF">
              <w:t>Measures</w:t>
            </w:r>
            <w:r w:rsidR="000A5329" w:rsidRPr="002029AF">
              <w:t xml:space="preserve"> </w:t>
            </w:r>
            <w:r w:rsidRPr="002029AF">
              <w:t>–</w:t>
            </w:r>
            <w:r w:rsidR="000A5329" w:rsidRPr="002029AF">
              <w:t xml:space="preserve"> </w:t>
            </w:r>
            <w:r w:rsidRPr="002029AF">
              <w:t>Local</w:t>
            </w:r>
            <w:r w:rsidR="000A5329" w:rsidRPr="002029AF">
              <w:t xml:space="preserve"> </w:t>
            </w:r>
            <w:r w:rsidRPr="002029AF">
              <w:t>Support</w:t>
            </w:r>
            <w:r w:rsidR="000A5329" w:rsidRPr="002029AF">
              <w:t xml:space="preserve"> </w:t>
            </w:r>
            <w:r w:rsidRPr="002029AF">
              <w:t>Coordinator</w:t>
            </w:r>
            <w:r w:rsidR="000A5329" w:rsidRPr="002029AF">
              <w:t xml:space="preserve"> </w:t>
            </w:r>
            <w:r w:rsidRPr="002029AF">
              <w:t>(Output)</w:t>
            </w:r>
          </w:p>
        </w:tc>
        <w:tc>
          <w:tcPr>
            <w:tcW w:w="1133" w:type="dxa"/>
            <w:tcBorders>
              <w:top w:val="single" w:sz="4" w:space="0" w:color="A6A6A6"/>
            </w:tcBorders>
            <w:shd w:val="clear" w:color="auto" w:fill="E7E6E6"/>
            <w:noWrap/>
            <w:hideMark/>
          </w:tcPr>
          <w:p w14:paraId="742B6178" w14:textId="77777777" w:rsidR="00087B91" w:rsidRPr="002029AF" w:rsidRDefault="00087B91" w:rsidP="00860E95">
            <w:pPr>
              <w:pStyle w:val="ARfintablebodyright"/>
              <w:spacing w:before="30"/>
            </w:pPr>
            <w:r w:rsidRPr="002029AF">
              <w:t>0.1</w:t>
            </w:r>
          </w:p>
        </w:tc>
        <w:tc>
          <w:tcPr>
            <w:tcW w:w="1133" w:type="dxa"/>
            <w:tcBorders>
              <w:top w:val="single" w:sz="4" w:space="0" w:color="A6A6A6"/>
            </w:tcBorders>
            <w:noWrap/>
            <w:hideMark/>
          </w:tcPr>
          <w:p w14:paraId="3F472850" w14:textId="77777777" w:rsidR="00087B91" w:rsidRPr="002029AF" w:rsidRDefault="00087B91" w:rsidP="00860E95">
            <w:pPr>
              <w:pStyle w:val="ARfintablebodyright"/>
              <w:spacing w:before="30"/>
            </w:pPr>
            <w:r w:rsidRPr="002029AF">
              <w:t>0.2</w:t>
            </w:r>
          </w:p>
        </w:tc>
      </w:tr>
      <w:tr w:rsidR="00087B91" w:rsidRPr="002029AF" w14:paraId="7568B1D0" w14:textId="77777777" w:rsidTr="00860E95">
        <w:tc>
          <w:tcPr>
            <w:tcW w:w="7371" w:type="dxa"/>
            <w:hideMark/>
          </w:tcPr>
          <w:p w14:paraId="3162A0F9" w14:textId="77777777" w:rsidR="00087B91" w:rsidRPr="002029AF" w:rsidRDefault="00087B91" w:rsidP="00860E95">
            <w:pPr>
              <w:pStyle w:val="ARfintablebodybold"/>
              <w:spacing w:before="30"/>
            </w:pPr>
          </w:p>
        </w:tc>
        <w:tc>
          <w:tcPr>
            <w:tcW w:w="1133" w:type="dxa"/>
            <w:shd w:val="clear" w:color="auto" w:fill="E7E6E6"/>
            <w:noWrap/>
            <w:hideMark/>
          </w:tcPr>
          <w:p w14:paraId="2FC634DE" w14:textId="77777777" w:rsidR="00087B91" w:rsidRPr="002029AF" w:rsidRDefault="00087B91" w:rsidP="00860E95">
            <w:pPr>
              <w:pStyle w:val="ARfintablebodyrightbold"/>
              <w:spacing w:before="30"/>
            </w:pPr>
            <w:r w:rsidRPr="002029AF">
              <w:t>592.3</w:t>
            </w:r>
          </w:p>
        </w:tc>
        <w:tc>
          <w:tcPr>
            <w:tcW w:w="1133" w:type="dxa"/>
            <w:noWrap/>
            <w:hideMark/>
          </w:tcPr>
          <w:p w14:paraId="61E6FC44" w14:textId="77777777" w:rsidR="00087B91" w:rsidRPr="002029AF" w:rsidRDefault="00087B91" w:rsidP="00860E95">
            <w:pPr>
              <w:pStyle w:val="ARfintablebodyrightbold"/>
              <w:spacing w:before="30"/>
            </w:pPr>
            <w:r w:rsidRPr="002029AF">
              <w:t>651.4</w:t>
            </w:r>
          </w:p>
        </w:tc>
      </w:tr>
      <w:tr w:rsidR="00087B91" w:rsidRPr="002029AF" w14:paraId="77683145" w14:textId="77777777" w:rsidTr="00860E95">
        <w:tc>
          <w:tcPr>
            <w:tcW w:w="7371" w:type="dxa"/>
            <w:hideMark/>
          </w:tcPr>
          <w:p w14:paraId="4C7A7518" w14:textId="3643B8AD" w:rsidR="00087B91" w:rsidRPr="002029AF" w:rsidRDefault="00087B91" w:rsidP="00860E95">
            <w:pPr>
              <w:pStyle w:val="ARfintablebodybold"/>
              <w:spacing w:before="30"/>
            </w:pPr>
            <w:r w:rsidRPr="002029AF">
              <w:t>Total</w:t>
            </w:r>
            <w:r w:rsidR="000A5329" w:rsidRPr="002029AF">
              <w:t xml:space="preserve"> </w:t>
            </w:r>
            <w:r w:rsidRPr="002029AF">
              <w:t>annotated</w:t>
            </w:r>
            <w:r w:rsidR="000A5329" w:rsidRPr="002029AF">
              <w:t xml:space="preserve"> </w:t>
            </w:r>
            <w:r w:rsidRPr="002029AF">
              <w:t>income</w:t>
            </w:r>
            <w:r w:rsidR="000A5329" w:rsidRPr="002029AF">
              <w:t xml:space="preserve"> </w:t>
            </w:r>
            <w:r w:rsidRPr="002029AF">
              <w:t>agreements</w:t>
            </w:r>
          </w:p>
        </w:tc>
        <w:tc>
          <w:tcPr>
            <w:tcW w:w="1133" w:type="dxa"/>
            <w:shd w:val="clear" w:color="auto" w:fill="E7E6E6"/>
            <w:noWrap/>
            <w:hideMark/>
          </w:tcPr>
          <w:p w14:paraId="10EAEF5D" w14:textId="77777777" w:rsidR="00087B91" w:rsidRPr="002029AF" w:rsidRDefault="00087B91" w:rsidP="00860E95">
            <w:pPr>
              <w:pStyle w:val="ARfintablebodyrightbold"/>
              <w:spacing w:before="30"/>
            </w:pPr>
            <w:r w:rsidRPr="002029AF">
              <w:t>851.0</w:t>
            </w:r>
          </w:p>
        </w:tc>
        <w:tc>
          <w:tcPr>
            <w:tcW w:w="1133" w:type="dxa"/>
            <w:noWrap/>
            <w:hideMark/>
          </w:tcPr>
          <w:p w14:paraId="1FED8DDE" w14:textId="77777777" w:rsidR="00087B91" w:rsidRPr="002029AF" w:rsidRDefault="00087B91" w:rsidP="00860E95">
            <w:pPr>
              <w:pStyle w:val="ARfintablebodyrightbold"/>
              <w:spacing w:before="30"/>
            </w:pPr>
            <w:r w:rsidRPr="002029AF">
              <w:t>1,010.3</w:t>
            </w:r>
          </w:p>
        </w:tc>
      </w:tr>
    </w:tbl>
    <w:p w14:paraId="73372A09" w14:textId="31B436A6" w:rsidR="00087B91" w:rsidRPr="002029AF" w:rsidRDefault="00087B91" w:rsidP="00087B91">
      <w:pPr>
        <w:pStyle w:val="Heading3"/>
      </w:pPr>
      <w:bookmarkStart w:id="298" w:name="_Toc39136698"/>
      <w:bookmarkStart w:id="299" w:name="_Toc39242137"/>
      <w:bookmarkStart w:id="300" w:name="_Toc51235514"/>
      <w:bookmarkStart w:id="301" w:name="_Ref52284174"/>
      <w:bookmarkStart w:id="302" w:name="_Ref52455262"/>
      <w:bookmarkStart w:id="303" w:name="_Toc54690813"/>
      <w:bookmarkStart w:id="304" w:name="_Toc443469540"/>
      <w:bookmarkStart w:id="305" w:name="_Toc444065794"/>
      <w:bookmarkStart w:id="306" w:name="_Toc444079991"/>
      <w:r w:rsidRPr="002029AF">
        <w:lastRenderedPageBreak/>
        <w:t>3.</w:t>
      </w:r>
      <w:r w:rsidR="000A5329" w:rsidRPr="002029AF">
        <w:t xml:space="preserve"> </w:t>
      </w:r>
      <w:r w:rsidRPr="002029AF">
        <w:t>The</w:t>
      </w:r>
      <w:r w:rsidR="000A5329" w:rsidRPr="002029AF">
        <w:t xml:space="preserve"> </w:t>
      </w:r>
      <w:r w:rsidRPr="002029AF">
        <w:t>cost</w:t>
      </w:r>
      <w:r w:rsidR="000A5329" w:rsidRPr="002029AF">
        <w:t xml:space="preserve"> </w:t>
      </w:r>
      <w:r w:rsidRPr="002029AF">
        <w:t>of</w:t>
      </w:r>
      <w:r w:rsidR="000A5329" w:rsidRPr="002029AF">
        <w:t xml:space="preserve"> </w:t>
      </w:r>
      <w:r w:rsidRPr="002029AF">
        <w:t>delivering</w:t>
      </w:r>
      <w:r w:rsidR="000A5329" w:rsidRPr="002029AF">
        <w:t xml:space="preserve"> </w:t>
      </w:r>
      <w:r w:rsidRPr="002029AF">
        <w:t>services</w:t>
      </w:r>
      <w:bookmarkEnd w:id="298"/>
      <w:bookmarkEnd w:id="299"/>
      <w:bookmarkEnd w:id="300"/>
      <w:bookmarkEnd w:id="301"/>
      <w:bookmarkEnd w:id="302"/>
      <w:bookmarkEnd w:id="303"/>
    </w:p>
    <w:p w14:paraId="265492C8" w14:textId="77777777" w:rsidR="00087B91" w:rsidRPr="002029AF" w:rsidRDefault="00087B91" w:rsidP="00087B91">
      <w:pPr>
        <w:pStyle w:val="Heading4"/>
      </w:pPr>
      <w:r w:rsidRPr="002029AF">
        <w:t>Introduction</w:t>
      </w:r>
    </w:p>
    <w:p w14:paraId="158FD1B5" w14:textId="345FA4F7" w:rsidR="00087B91" w:rsidRPr="002029AF" w:rsidRDefault="00087B91" w:rsidP="00087B91">
      <w:pPr>
        <w:pStyle w:val="ARfinbody"/>
      </w:pPr>
      <w:r w:rsidRPr="002029AF">
        <w:t>This</w:t>
      </w:r>
      <w:r w:rsidR="000A5329" w:rsidRPr="002029AF">
        <w:t xml:space="preserve"> </w:t>
      </w:r>
      <w:r w:rsidRPr="002029AF">
        <w:t>section</w:t>
      </w:r>
      <w:r w:rsidR="000A5329" w:rsidRPr="002029AF">
        <w:t xml:space="preserve"> </w:t>
      </w:r>
      <w:r w:rsidRPr="002029AF">
        <w:t>provides</w:t>
      </w:r>
      <w:r w:rsidR="000A5329" w:rsidRPr="002029AF">
        <w:t xml:space="preserve"> </w:t>
      </w:r>
      <w:r w:rsidRPr="002029AF">
        <w:t>an</w:t>
      </w:r>
      <w:r w:rsidR="000A5329" w:rsidRPr="002029AF">
        <w:t xml:space="preserve"> </w:t>
      </w:r>
      <w:r w:rsidRPr="002029AF">
        <w:t>account</w:t>
      </w:r>
      <w:r w:rsidR="000A5329" w:rsidRPr="002029AF">
        <w:t xml:space="preserve"> </w:t>
      </w:r>
      <w:r w:rsidRPr="002029AF">
        <w:t>of</w:t>
      </w:r>
      <w:r w:rsidR="000A5329" w:rsidRPr="002029AF">
        <w:t xml:space="preserve"> </w:t>
      </w:r>
      <w:r w:rsidRPr="002029AF">
        <w:t>the</w:t>
      </w:r>
      <w:r w:rsidR="000A5329" w:rsidRPr="002029AF">
        <w:t xml:space="preserve"> </w:t>
      </w:r>
      <w:r w:rsidRPr="002029AF">
        <w:t>expenses</w:t>
      </w:r>
      <w:r w:rsidR="000A5329" w:rsidRPr="002029AF">
        <w:t xml:space="preserve"> </w:t>
      </w:r>
      <w:r w:rsidRPr="002029AF">
        <w:t>incurred</w:t>
      </w:r>
      <w:r w:rsidR="000A5329" w:rsidRPr="002029AF">
        <w:t xml:space="preserve"> </w:t>
      </w:r>
      <w:r w:rsidRPr="002029AF">
        <w:t>by</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in</w:t>
      </w:r>
      <w:r w:rsidR="000A5329" w:rsidRPr="002029AF">
        <w:t xml:space="preserve"> </w:t>
      </w:r>
      <w:r w:rsidRPr="002029AF">
        <w:t>delivering</w:t>
      </w:r>
      <w:r w:rsidR="000A5329" w:rsidRPr="002029AF">
        <w:t xml:space="preserve"> </w:t>
      </w:r>
      <w:r w:rsidRPr="002029AF">
        <w:t>services</w:t>
      </w:r>
      <w:r w:rsidR="000A5329" w:rsidRPr="002029AF">
        <w:t xml:space="preserve"> </w:t>
      </w:r>
      <w:r w:rsidRPr="002029AF">
        <w:t>and</w:t>
      </w:r>
      <w:r w:rsidR="000A5329" w:rsidRPr="002029AF">
        <w:t xml:space="preserve"> </w:t>
      </w:r>
      <w:r w:rsidRPr="002029AF">
        <w:t>outputs.</w:t>
      </w:r>
      <w:r w:rsidR="000A5329" w:rsidRPr="002029AF">
        <w:t xml:space="preserve"> </w:t>
      </w:r>
      <w:r w:rsidRPr="002029AF">
        <w:t>In</w:t>
      </w:r>
      <w:r w:rsidR="000A5329" w:rsidRPr="002029AF">
        <w:t xml:space="preserve"> </w:t>
      </w:r>
      <w:r w:rsidRPr="002029AF">
        <w:t>section</w:t>
      </w:r>
      <w:r w:rsidR="000A5329" w:rsidRPr="002029AF">
        <w:t xml:space="preserve"> </w:t>
      </w:r>
      <w:r w:rsidRPr="002029AF">
        <w:t>2</w:t>
      </w:r>
      <w:r w:rsidR="000A5329" w:rsidRPr="002029AF">
        <w:t xml:space="preserve"> </w:t>
      </w:r>
      <w:r w:rsidRPr="002029AF">
        <w:t>‘Funding</w:t>
      </w:r>
      <w:r w:rsidR="000A5329" w:rsidRPr="002029AF">
        <w:t xml:space="preserve"> </w:t>
      </w:r>
      <w:r w:rsidRPr="002029AF">
        <w:t>delivery</w:t>
      </w:r>
      <w:r w:rsidR="000A5329" w:rsidRPr="002029AF">
        <w:t xml:space="preserve"> </w:t>
      </w:r>
      <w:r w:rsidRPr="002029AF">
        <w:t>of</w:t>
      </w:r>
      <w:r w:rsidR="000A5329" w:rsidRPr="002029AF">
        <w:t xml:space="preserve"> </w:t>
      </w:r>
      <w:r w:rsidRPr="002029AF">
        <w:t>our</w:t>
      </w:r>
      <w:r w:rsidR="000A5329" w:rsidRPr="002029AF">
        <w:t xml:space="preserve"> </w:t>
      </w:r>
      <w:r w:rsidRPr="002029AF">
        <w:t>services’,</w:t>
      </w:r>
      <w:r w:rsidR="000A5329" w:rsidRPr="002029AF">
        <w:t xml:space="preserve"> </w:t>
      </w:r>
      <w:r w:rsidRPr="002029AF">
        <w:t>the</w:t>
      </w:r>
      <w:r w:rsidR="000A5329" w:rsidRPr="002029AF">
        <w:t xml:space="preserve"> </w:t>
      </w:r>
      <w:r w:rsidRPr="002029AF">
        <w:t>funds</w:t>
      </w:r>
      <w:r w:rsidR="000A5329" w:rsidRPr="002029AF">
        <w:t xml:space="preserve"> </w:t>
      </w:r>
      <w:r w:rsidRPr="002029AF">
        <w:t>that</w:t>
      </w:r>
      <w:r w:rsidR="000A5329" w:rsidRPr="002029AF">
        <w:t xml:space="preserve"> </w:t>
      </w:r>
      <w:r w:rsidRPr="002029AF">
        <w:t>enable</w:t>
      </w:r>
      <w:r w:rsidR="000A5329" w:rsidRPr="002029AF">
        <w:t xml:space="preserve"> </w:t>
      </w:r>
      <w:r w:rsidRPr="002029AF">
        <w:t>the</w:t>
      </w:r>
      <w:r w:rsidR="000A5329" w:rsidRPr="002029AF">
        <w:t xml:space="preserve"> </w:t>
      </w:r>
      <w:r w:rsidRPr="002029AF">
        <w:t>provision</w:t>
      </w:r>
      <w:r w:rsidR="000A5329" w:rsidRPr="002029AF">
        <w:t xml:space="preserve"> </w:t>
      </w:r>
      <w:r w:rsidRPr="002029AF">
        <w:t>of</w:t>
      </w:r>
      <w:r w:rsidR="000A5329" w:rsidRPr="002029AF">
        <w:t xml:space="preserve"> </w:t>
      </w:r>
      <w:r w:rsidRPr="002029AF">
        <w:t>services</w:t>
      </w:r>
      <w:r w:rsidR="000A5329" w:rsidRPr="002029AF">
        <w:t xml:space="preserve"> </w:t>
      </w:r>
      <w:r w:rsidRPr="002029AF">
        <w:t>were</w:t>
      </w:r>
      <w:r w:rsidR="000A5329" w:rsidRPr="002029AF">
        <w:t xml:space="preserve"> </w:t>
      </w:r>
      <w:r w:rsidRPr="002029AF">
        <w:t>disclosed</w:t>
      </w:r>
      <w:r w:rsidR="000A5329" w:rsidRPr="002029AF">
        <w:t xml:space="preserve"> </w:t>
      </w:r>
      <w:r w:rsidRPr="002029AF">
        <w:t>and</w:t>
      </w:r>
      <w:r w:rsidR="000A5329" w:rsidRPr="002029AF">
        <w:t xml:space="preserve"> </w:t>
      </w:r>
      <w:r w:rsidRPr="002029AF">
        <w:t>in</w:t>
      </w:r>
      <w:r w:rsidR="000A5329" w:rsidRPr="002029AF">
        <w:t xml:space="preserve"> </w:t>
      </w:r>
      <w:r w:rsidRPr="002029AF">
        <w:t>this</w:t>
      </w:r>
      <w:r w:rsidR="000A5329" w:rsidRPr="002029AF">
        <w:t xml:space="preserve"> </w:t>
      </w:r>
      <w:r w:rsidRPr="002029AF">
        <w:t>note</w:t>
      </w:r>
      <w:r w:rsidR="000A5329" w:rsidRPr="002029AF">
        <w:t xml:space="preserve"> </w:t>
      </w:r>
      <w:r w:rsidRPr="002029AF">
        <w:t>the</w:t>
      </w:r>
      <w:r w:rsidR="000A5329" w:rsidRPr="002029AF">
        <w:t xml:space="preserve"> </w:t>
      </w:r>
      <w:r w:rsidRPr="002029AF">
        <w:t>costs</w:t>
      </w:r>
      <w:r w:rsidR="000A5329" w:rsidRPr="002029AF">
        <w:t xml:space="preserve"> </w:t>
      </w:r>
      <w:r w:rsidRPr="002029AF">
        <w:t>associated</w:t>
      </w:r>
      <w:r w:rsidR="000A5329" w:rsidRPr="002029AF">
        <w:t xml:space="preserve"> </w:t>
      </w:r>
      <w:r w:rsidRPr="002029AF">
        <w:t>with</w:t>
      </w:r>
      <w:r w:rsidR="000A5329" w:rsidRPr="002029AF">
        <w:t xml:space="preserve"> </w:t>
      </w:r>
      <w:r w:rsidRPr="002029AF">
        <w:t>the</w:t>
      </w:r>
      <w:r w:rsidR="000A5329" w:rsidRPr="002029AF">
        <w:t xml:space="preserve"> </w:t>
      </w:r>
      <w:r w:rsidRPr="002029AF">
        <w:t>provision</w:t>
      </w:r>
      <w:r w:rsidR="000A5329" w:rsidRPr="002029AF">
        <w:t xml:space="preserve"> </w:t>
      </w:r>
      <w:r w:rsidRPr="002029AF">
        <w:t>of</w:t>
      </w:r>
      <w:r w:rsidR="000A5329" w:rsidRPr="002029AF">
        <w:t xml:space="preserve"> </w:t>
      </w:r>
      <w:r w:rsidRPr="002029AF">
        <w:t>services</w:t>
      </w:r>
      <w:r w:rsidR="000A5329" w:rsidRPr="002029AF">
        <w:t xml:space="preserve"> </w:t>
      </w:r>
      <w:r w:rsidRPr="002029AF">
        <w:t>are</w:t>
      </w:r>
      <w:r w:rsidR="000A5329" w:rsidRPr="002029AF">
        <w:t xml:space="preserve"> </w:t>
      </w:r>
      <w:r w:rsidRPr="002029AF">
        <w:t>recorded.</w:t>
      </w:r>
      <w:r w:rsidR="000A5329" w:rsidRPr="002029AF">
        <w:t xml:space="preserve"> </w:t>
      </w:r>
      <w:r w:rsidRPr="002029AF">
        <w:t>Section</w:t>
      </w:r>
      <w:r w:rsidR="000A5329" w:rsidRPr="002029AF">
        <w:t xml:space="preserve"> </w:t>
      </w:r>
      <w:r w:rsidRPr="002029AF">
        <w:t>4</w:t>
      </w:r>
      <w:r w:rsidR="000A5329" w:rsidRPr="002029AF">
        <w:t xml:space="preserve"> </w:t>
      </w:r>
      <w:r w:rsidRPr="002029AF">
        <w:t>‘Disaggregated</w:t>
      </w:r>
      <w:r w:rsidR="000A5329" w:rsidRPr="002029AF">
        <w:t xml:space="preserve"> </w:t>
      </w:r>
      <w:r w:rsidRPr="002029AF">
        <w:t>financial</w:t>
      </w:r>
      <w:r w:rsidR="000A5329" w:rsidRPr="002029AF">
        <w:t xml:space="preserve"> </w:t>
      </w:r>
      <w:r w:rsidRPr="002029AF">
        <w:t>information</w:t>
      </w:r>
      <w:r w:rsidR="000A5329" w:rsidRPr="002029AF">
        <w:t xml:space="preserve"> </w:t>
      </w:r>
      <w:r w:rsidRPr="002029AF">
        <w:t>by</w:t>
      </w:r>
      <w:r w:rsidR="000A5329" w:rsidRPr="002029AF">
        <w:t xml:space="preserve"> </w:t>
      </w:r>
      <w:r w:rsidRPr="002029AF">
        <w:t>output’</w:t>
      </w:r>
      <w:r w:rsidR="000A5329" w:rsidRPr="002029AF">
        <w:t xml:space="preserve"> </w:t>
      </w:r>
      <w:r w:rsidRPr="002029AF">
        <w:t>discloses</w:t>
      </w:r>
      <w:r w:rsidR="000A5329" w:rsidRPr="002029AF">
        <w:t xml:space="preserve"> </w:t>
      </w:r>
      <w:r w:rsidRPr="002029AF">
        <w:t>aggregated</w:t>
      </w:r>
      <w:r w:rsidR="000A5329" w:rsidRPr="002029AF">
        <w:t xml:space="preserve"> </w:t>
      </w:r>
      <w:r w:rsidRPr="002029AF">
        <w:t>information</w:t>
      </w:r>
      <w:r w:rsidR="000A5329" w:rsidRPr="002029AF">
        <w:t xml:space="preserve"> </w:t>
      </w:r>
      <w:r w:rsidRPr="002029AF">
        <w:t>in</w:t>
      </w:r>
      <w:r w:rsidR="000A5329" w:rsidRPr="002029AF">
        <w:t xml:space="preserve"> </w:t>
      </w:r>
      <w:r w:rsidRPr="002029AF">
        <w:t>relation</w:t>
      </w:r>
      <w:r w:rsidR="000A5329" w:rsidRPr="002029AF">
        <w:t xml:space="preserve"> </w:t>
      </w:r>
      <w:r w:rsidRPr="002029AF">
        <w:t>to</w:t>
      </w:r>
      <w:r w:rsidR="000A5329" w:rsidRPr="002029AF">
        <w:t xml:space="preserve"> </w:t>
      </w:r>
      <w:r w:rsidRPr="002029AF">
        <w:t>the</w:t>
      </w:r>
      <w:r w:rsidR="000A5329" w:rsidRPr="002029AF">
        <w:t xml:space="preserve"> </w:t>
      </w:r>
      <w:r w:rsidRPr="002029AF">
        <w:t>income</w:t>
      </w:r>
      <w:r w:rsidR="000A5329" w:rsidRPr="002029AF">
        <w:t xml:space="preserve"> </w:t>
      </w:r>
      <w:r w:rsidRPr="002029AF">
        <w:t>and</w:t>
      </w:r>
      <w:r w:rsidR="000A5329" w:rsidRPr="002029AF">
        <w:t xml:space="preserve"> </w:t>
      </w:r>
      <w:r w:rsidRPr="002029AF">
        <w:t>expenses</w:t>
      </w:r>
      <w:r w:rsidR="000A5329" w:rsidRPr="002029AF">
        <w:t xml:space="preserve"> </w:t>
      </w:r>
      <w:r w:rsidRPr="002029AF">
        <w:t>by</w:t>
      </w:r>
      <w:r w:rsidR="000A5329" w:rsidRPr="002029AF">
        <w:t xml:space="preserve"> </w:t>
      </w:r>
      <w:r w:rsidRPr="002029AF">
        <w:t>output.</w:t>
      </w:r>
    </w:p>
    <w:p w14:paraId="496CD86E" w14:textId="77777777" w:rsidR="00087B91" w:rsidRPr="002029AF" w:rsidRDefault="00087B91" w:rsidP="00087B91">
      <w:pPr>
        <w:pStyle w:val="Heading4"/>
      </w:pPr>
      <w:r w:rsidRPr="002029AF">
        <w:t>Structure</w:t>
      </w:r>
    </w:p>
    <w:p w14:paraId="6FB7DF55" w14:textId="4592253A" w:rsidR="00087B91" w:rsidRPr="002029AF" w:rsidRDefault="00087B91" w:rsidP="00087B91">
      <w:pPr>
        <w:pStyle w:val="ARfinstructure1"/>
      </w:pPr>
      <w:r w:rsidRPr="002029AF">
        <w:t>3.1</w:t>
      </w:r>
      <w:r w:rsidRPr="002029AF">
        <w:tab/>
        <w:t>Expenses</w:t>
      </w:r>
      <w:r w:rsidR="000A5329" w:rsidRPr="002029AF">
        <w:t xml:space="preserve"> </w:t>
      </w:r>
      <w:r w:rsidRPr="002029AF">
        <w:t>incurred</w:t>
      </w:r>
      <w:r w:rsidR="000A5329" w:rsidRPr="002029AF">
        <w:t xml:space="preserve"> </w:t>
      </w:r>
      <w:r w:rsidRPr="002029AF">
        <w:t>in</w:t>
      </w:r>
      <w:r w:rsidR="000A5329" w:rsidRPr="002029AF">
        <w:t xml:space="preserve"> </w:t>
      </w:r>
      <w:r w:rsidRPr="002029AF">
        <w:t>the</w:t>
      </w:r>
      <w:r w:rsidR="000A5329" w:rsidRPr="002029AF">
        <w:t xml:space="preserve"> </w:t>
      </w:r>
      <w:r w:rsidRPr="002029AF">
        <w:t>delivery</w:t>
      </w:r>
      <w:r w:rsidR="000A5329" w:rsidRPr="002029AF">
        <w:t xml:space="preserve"> </w:t>
      </w:r>
      <w:r w:rsidRPr="002029AF">
        <w:t>of</w:t>
      </w:r>
      <w:r w:rsidR="000A5329" w:rsidRPr="002029AF">
        <w:t xml:space="preserve"> </w:t>
      </w:r>
      <w:r w:rsidRPr="002029AF">
        <w:t>services</w:t>
      </w:r>
    </w:p>
    <w:p w14:paraId="7BFFA4E1" w14:textId="45B6FDFF" w:rsidR="00087B91" w:rsidRPr="002029AF" w:rsidRDefault="00087B91" w:rsidP="00961519">
      <w:pPr>
        <w:pStyle w:val="ARfinstructure2"/>
        <w:ind w:left="720"/>
      </w:pPr>
      <w:r w:rsidRPr="002029AF">
        <w:t>3.1.1</w:t>
      </w:r>
      <w:r w:rsidRPr="002029AF">
        <w:tab/>
        <w:t>Employee</w:t>
      </w:r>
      <w:r w:rsidR="000A5329" w:rsidRPr="002029AF">
        <w:t xml:space="preserve"> </w:t>
      </w:r>
      <w:r w:rsidRPr="002029AF">
        <w:t>benefits</w:t>
      </w:r>
    </w:p>
    <w:p w14:paraId="19654640" w14:textId="6162D248" w:rsidR="00087B91" w:rsidRPr="002029AF" w:rsidRDefault="00087B91" w:rsidP="00961519">
      <w:pPr>
        <w:pStyle w:val="ARfinstructure2"/>
        <w:ind w:left="720"/>
      </w:pPr>
      <w:r w:rsidRPr="002029AF">
        <w:t>3.1.2</w:t>
      </w:r>
      <w:r w:rsidRPr="002029AF">
        <w:tab/>
        <w:t>Grants</w:t>
      </w:r>
      <w:r w:rsidR="000A5329" w:rsidRPr="002029AF">
        <w:t xml:space="preserve"> </w:t>
      </w:r>
      <w:r w:rsidRPr="002029AF">
        <w:t>and</w:t>
      </w:r>
      <w:r w:rsidR="000A5329" w:rsidRPr="002029AF">
        <w:t xml:space="preserve"> </w:t>
      </w:r>
      <w:r w:rsidRPr="002029AF">
        <w:t>other</w:t>
      </w:r>
      <w:r w:rsidR="000A5329" w:rsidRPr="002029AF">
        <w:t xml:space="preserve"> </w:t>
      </w:r>
      <w:r w:rsidRPr="002029AF">
        <w:t>expense</w:t>
      </w:r>
      <w:r w:rsidR="000A5329" w:rsidRPr="002029AF">
        <w:t xml:space="preserve"> </w:t>
      </w:r>
      <w:r w:rsidRPr="002029AF">
        <w:t>transfers</w:t>
      </w:r>
    </w:p>
    <w:p w14:paraId="5D44B820" w14:textId="66666F84" w:rsidR="00087B91" w:rsidRPr="002029AF" w:rsidRDefault="00087B91" w:rsidP="00961519">
      <w:pPr>
        <w:pStyle w:val="ARfinstructure2"/>
        <w:ind w:left="720"/>
      </w:pPr>
      <w:r w:rsidRPr="002029AF">
        <w:t>3.1.3</w:t>
      </w:r>
      <w:r w:rsidRPr="002029AF">
        <w:tab/>
        <w:t>Capital</w:t>
      </w:r>
      <w:r w:rsidR="000A5329" w:rsidRPr="002029AF">
        <w:t xml:space="preserve"> </w:t>
      </w:r>
      <w:r w:rsidRPr="002029AF">
        <w:t>asset</w:t>
      </w:r>
      <w:r w:rsidR="000A5329" w:rsidRPr="002029AF">
        <w:t xml:space="preserve"> </w:t>
      </w:r>
      <w:r w:rsidRPr="002029AF">
        <w:t>charge</w:t>
      </w:r>
    </w:p>
    <w:p w14:paraId="30588A47" w14:textId="45A57558" w:rsidR="00087B91" w:rsidRPr="002029AF" w:rsidRDefault="00087B91" w:rsidP="00961519">
      <w:pPr>
        <w:pStyle w:val="ARfinstructure2"/>
        <w:ind w:left="720"/>
      </w:pPr>
      <w:r w:rsidRPr="002029AF">
        <w:t>3.1.4</w:t>
      </w:r>
      <w:r w:rsidRPr="002029AF">
        <w:tab/>
        <w:t>Fair</w:t>
      </w:r>
      <w:r w:rsidR="000A5329" w:rsidRPr="002029AF">
        <w:t xml:space="preserve"> </w:t>
      </w:r>
      <w:r w:rsidRPr="002029AF">
        <w:t>value</w:t>
      </w:r>
      <w:r w:rsidR="000A5329" w:rsidRPr="002029AF">
        <w:t xml:space="preserve"> </w:t>
      </w:r>
      <w:r w:rsidRPr="002029AF">
        <w:t>of</w:t>
      </w:r>
      <w:r w:rsidR="000A5329" w:rsidRPr="002029AF">
        <w:t xml:space="preserve"> </w:t>
      </w:r>
      <w:r w:rsidRPr="002029AF">
        <w:t>assets</w:t>
      </w:r>
      <w:r w:rsidR="000A5329" w:rsidRPr="002029AF">
        <w:t xml:space="preserve"> </w:t>
      </w:r>
      <w:r w:rsidRPr="002029AF">
        <w:t>and</w:t>
      </w:r>
      <w:r w:rsidR="000A5329" w:rsidRPr="002029AF">
        <w:t xml:space="preserve"> </w:t>
      </w:r>
      <w:r w:rsidRPr="002029AF">
        <w:t>services</w:t>
      </w:r>
      <w:r w:rsidR="000A5329" w:rsidRPr="002029AF">
        <w:t xml:space="preserve"> </w:t>
      </w:r>
      <w:r w:rsidRPr="002029AF">
        <w:t>provided</w:t>
      </w:r>
      <w:r w:rsidR="000A5329" w:rsidRPr="002029AF">
        <w:t xml:space="preserve"> </w:t>
      </w:r>
      <w:r w:rsidRPr="002029AF">
        <w:t>free</w:t>
      </w:r>
      <w:r w:rsidR="000A5329" w:rsidRPr="002029AF">
        <w:t xml:space="preserve"> </w:t>
      </w:r>
      <w:r w:rsidRPr="002029AF">
        <w:t>of</w:t>
      </w:r>
      <w:r w:rsidR="000A5329" w:rsidRPr="002029AF">
        <w:t xml:space="preserve"> </w:t>
      </w:r>
      <w:r w:rsidRPr="002029AF">
        <w:t>charge</w:t>
      </w:r>
      <w:r w:rsidR="000A5329" w:rsidRPr="002029AF">
        <w:t xml:space="preserve"> </w:t>
      </w:r>
      <w:r w:rsidRPr="002029AF">
        <w:t>or</w:t>
      </w:r>
      <w:r w:rsidR="000A5329" w:rsidRPr="002029AF">
        <w:t xml:space="preserve"> </w:t>
      </w:r>
      <w:r w:rsidRPr="002029AF">
        <w:t>for</w:t>
      </w:r>
      <w:r w:rsidR="000A5329" w:rsidRPr="002029AF">
        <w:t xml:space="preserve"> </w:t>
      </w:r>
      <w:r w:rsidRPr="002029AF">
        <w:t>nominal</w:t>
      </w:r>
      <w:r w:rsidR="000A5329" w:rsidRPr="002029AF">
        <w:t xml:space="preserve"> </w:t>
      </w:r>
      <w:r w:rsidRPr="002029AF">
        <w:t>consideration</w:t>
      </w:r>
    </w:p>
    <w:p w14:paraId="4FBD99C9" w14:textId="530635A0" w:rsidR="00087B91" w:rsidRPr="002029AF" w:rsidRDefault="00087B91" w:rsidP="00961519">
      <w:pPr>
        <w:pStyle w:val="ARfinstructure2"/>
        <w:ind w:left="720"/>
      </w:pPr>
      <w:r w:rsidRPr="002029AF">
        <w:t>3.1.5</w:t>
      </w:r>
      <w:r w:rsidRPr="002029AF">
        <w:tab/>
        <w:t>Other</w:t>
      </w:r>
      <w:r w:rsidR="000A5329" w:rsidRPr="002029AF">
        <w:t xml:space="preserve"> </w:t>
      </w:r>
      <w:r w:rsidRPr="002029AF">
        <w:t>operating</w:t>
      </w:r>
      <w:r w:rsidR="000A5329" w:rsidRPr="002029AF">
        <w:t xml:space="preserve"> </w:t>
      </w:r>
      <w:r w:rsidRPr="002029AF">
        <w:t>expenses</w:t>
      </w:r>
    </w:p>
    <w:p w14:paraId="37C1A59D" w14:textId="4D710A6D" w:rsidR="00087B91" w:rsidRPr="002029AF" w:rsidRDefault="00087B91" w:rsidP="00961519">
      <w:pPr>
        <w:pStyle w:val="ARfinstructure2"/>
        <w:ind w:left="720"/>
        <w:rPr>
          <w:b/>
          <w:bCs/>
        </w:rPr>
      </w:pPr>
      <w:r w:rsidRPr="002029AF">
        <w:t>3.1.6</w:t>
      </w:r>
      <w:r w:rsidRPr="002029AF">
        <w:tab/>
        <w:t>Other</w:t>
      </w:r>
      <w:r w:rsidR="000A5329" w:rsidRPr="002029AF">
        <w:t xml:space="preserve"> </w:t>
      </w:r>
      <w:r w:rsidRPr="002029AF">
        <w:t>property</w:t>
      </w:r>
      <w:r w:rsidR="000A5329" w:rsidRPr="002029AF">
        <w:t xml:space="preserve"> </w:t>
      </w:r>
      <w:r w:rsidRPr="002029AF">
        <w:t>management</w:t>
      </w:r>
      <w:r w:rsidR="000A5329" w:rsidRPr="002029AF">
        <w:t xml:space="preserve"> </w:t>
      </w:r>
      <w:r w:rsidRPr="002029AF">
        <w:t>expenses</w:t>
      </w:r>
    </w:p>
    <w:p w14:paraId="1AFB399A" w14:textId="1F3C4C34" w:rsidR="00087B91" w:rsidRPr="002029AF" w:rsidRDefault="00087B91" w:rsidP="00087B91">
      <w:pPr>
        <w:pStyle w:val="Heading4"/>
      </w:pPr>
      <w:bookmarkStart w:id="307" w:name="_Toc39136699"/>
      <w:bookmarkStart w:id="308" w:name="_Toc39242138"/>
      <w:r w:rsidRPr="002029AF">
        <w:t>3.1</w:t>
      </w:r>
      <w:r w:rsidR="000A5329" w:rsidRPr="002029AF">
        <w:t xml:space="preserve"> </w:t>
      </w:r>
      <w:r w:rsidRPr="002029AF">
        <w:t>Expenses</w:t>
      </w:r>
      <w:r w:rsidR="000A5329" w:rsidRPr="002029AF">
        <w:t xml:space="preserve"> </w:t>
      </w:r>
      <w:r w:rsidRPr="002029AF">
        <w:t>incurred</w:t>
      </w:r>
      <w:r w:rsidR="000A5329" w:rsidRPr="002029AF">
        <w:t xml:space="preserve"> </w:t>
      </w:r>
      <w:r w:rsidRPr="002029AF">
        <w:t>in</w:t>
      </w:r>
      <w:r w:rsidR="000A5329" w:rsidRPr="002029AF">
        <w:t xml:space="preserve"> </w:t>
      </w:r>
      <w:r w:rsidRPr="002029AF">
        <w:t>the</w:t>
      </w:r>
      <w:r w:rsidR="000A5329" w:rsidRPr="002029AF">
        <w:t xml:space="preserve"> </w:t>
      </w:r>
      <w:r w:rsidRPr="002029AF">
        <w:t>delivery</w:t>
      </w:r>
      <w:r w:rsidR="000A5329" w:rsidRPr="002029AF">
        <w:t xml:space="preserve"> </w:t>
      </w:r>
      <w:r w:rsidRPr="002029AF">
        <w:t>of</w:t>
      </w:r>
      <w:r w:rsidR="000A5329" w:rsidRPr="002029AF">
        <w:t xml:space="preserve"> </w:t>
      </w:r>
      <w:r w:rsidRPr="002029AF">
        <w:t>services</w:t>
      </w:r>
      <w:bookmarkEnd w:id="307"/>
      <w:bookmarkEnd w:id="308"/>
    </w:p>
    <w:tbl>
      <w:tblPr>
        <w:tblStyle w:val="TableGrid"/>
        <w:tblW w:w="9637" w:type="dxa"/>
        <w:tblLayout w:type="fixed"/>
        <w:tblLook w:val="06A0" w:firstRow="1" w:lastRow="0" w:firstColumn="1" w:lastColumn="0" w:noHBand="1" w:noVBand="1"/>
      </w:tblPr>
      <w:tblGrid>
        <w:gridCol w:w="6518"/>
        <w:gridCol w:w="851"/>
        <w:gridCol w:w="1134"/>
        <w:gridCol w:w="1134"/>
      </w:tblGrid>
      <w:tr w:rsidR="00087B91" w:rsidRPr="002029AF" w14:paraId="6EFB29B1" w14:textId="77777777" w:rsidTr="00C83719">
        <w:trPr>
          <w:cnfStyle w:val="100000000000" w:firstRow="1" w:lastRow="0" w:firstColumn="0" w:lastColumn="0" w:oddVBand="0" w:evenVBand="0" w:oddHBand="0" w:evenHBand="0" w:firstRowFirstColumn="0" w:firstRowLastColumn="0" w:lastRowFirstColumn="0" w:lastRowLastColumn="0"/>
          <w:tblHeader/>
        </w:trPr>
        <w:tc>
          <w:tcPr>
            <w:tcW w:w="6521" w:type="dxa"/>
            <w:tcBorders>
              <w:bottom w:val="single" w:sz="4" w:space="0" w:color="auto"/>
            </w:tcBorders>
            <w:noWrap/>
            <w:hideMark/>
          </w:tcPr>
          <w:p w14:paraId="32DD79F3" w14:textId="77777777" w:rsidR="00087B91" w:rsidRPr="002029AF" w:rsidRDefault="00087B91" w:rsidP="00860E95">
            <w:pPr>
              <w:pStyle w:val="ARfintablecolhead"/>
            </w:pPr>
          </w:p>
        </w:tc>
        <w:tc>
          <w:tcPr>
            <w:tcW w:w="851" w:type="dxa"/>
            <w:tcBorders>
              <w:bottom w:val="single" w:sz="4" w:space="0" w:color="auto"/>
            </w:tcBorders>
            <w:noWrap/>
            <w:hideMark/>
          </w:tcPr>
          <w:p w14:paraId="759C312C" w14:textId="57E4A97D" w:rsidR="00087B91" w:rsidRPr="002029AF" w:rsidRDefault="00420810" w:rsidP="00860E95">
            <w:pPr>
              <w:pStyle w:val="ARfintablecolheadright"/>
            </w:pPr>
            <w:r w:rsidRPr="002029AF">
              <w:t>Note</w:t>
            </w:r>
          </w:p>
        </w:tc>
        <w:tc>
          <w:tcPr>
            <w:tcW w:w="1134" w:type="dxa"/>
            <w:tcBorders>
              <w:bottom w:val="single" w:sz="4" w:space="0" w:color="auto"/>
            </w:tcBorders>
            <w:shd w:val="clear" w:color="auto" w:fill="E7E6E6"/>
            <w:hideMark/>
          </w:tcPr>
          <w:p w14:paraId="04175348" w14:textId="77777777" w:rsidR="00087B91" w:rsidRPr="002029AF" w:rsidRDefault="00087B91" w:rsidP="00860E95">
            <w:pPr>
              <w:pStyle w:val="ARfintablecolheadright"/>
            </w:pPr>
            <w:r w:rsidRPr="002029AF">
              <w:t>2020</w:t>
            </w:r>
          </w:p>
          <w:p w14:paraId="0DE2B306" w14:textId="77777777" w:rsidR="00087B91" w:rsidRPr="002029AF" w:rsidRDefault="00087B91" w:rsidP="00860E95">
            <w:pPr>
              <w:pStyle w:val="ARfintablecolheadright"/>
            </w:pPr>
            <w:r w:rsidRPr="002029AF">
              <w:t>$M</w:t>
            </w:r>
          </w:p>
        </w:tc>
        <w:tc>
          <w:tcPr>
            <w:tcW w:w="1134" w:type="dxa"/>
            <w:tcBorders>
              <w:bottom w:val="single" w:sz="4" w:space="0" w:color="auto"/>
            </w:tcBorders>
            <w:hideMark/>
          </w:tcPr>
          <w:p w14:paraId="4CFA93B1" w14:textId="77777777" w:rsidR="00087B91" w:rsidRPr="002029AF" w:rsidRDefault="00087B91" w:rsidP="00860E95">
            <w:pPr>
              <w:pStyle w:val="ARfintablecolheadright"/>
            </w:pPr>
            <w:r w:rsidRPr="002029AF">
              <w:t>2019</w:t>
            </w:r>
          </w:p>
          <w:p w14:paraId="4400D514" w14:textId="77777777" w:rsidR="00087B91" w:rsidRPr="002029AF" w:rsidRDefault="00087B91" w:rsidP="00860E95">
            <w:pPr>
              <w:pStyle w:val="ARfintablecolheadright"/>
            </w:pPr>
            <w:r w:rsidRPr="002029AF">
              <w:t>$M</w:t>
            </w:r>
          </w:p>
        </w:tc>
      </w:tr>
      <w:tr w:rsidR="00087B91" w:rsidRPr="002029AF" w14:paraId="07CD6770" w14:textId="77777777" w:rsidTr="00860E95">
        <w:tc>
          <w:tcPr>
            <w:tcW w:w="6521" w:type="dxa"/>
            <w:tcBorders>
              <w:top w:val="single" w:sz="4" w:space="0" w:color="auto"/>
              <w:bottom w:val="single" w:sz="4" w:space="0" w:color="A6A6A6"/>
            </w:tcBorders>
            <w:hideMark/>
          </w:tcPr>
          <w:p w14:paraId="347B6BCE" w14:textId="3EDEC9D7" w:rsidR="00087B91" w:rsidRPr="002029AF" w:rsidRDefault="00087B91" w:rsidP="00860E95">
            <w:pPr>
              <w:pStyle w:val="ARfintablebody"/>
            </w:pPr>
            <w:r w:rsidRPr="002029AF">
              <w:t>Employee</w:t>
            </w:r>
            <w:r w:rsidR="000A5329" w:rsidRPr="002029AF">
              <w:t xml:space="preserve"> </w:t>
            </w:r>
            <w:r w:rsidRPr="002029AF">
              <w:t>benefits</w:t>
            </w:r>
          </w:p>
        </w:tc>
        <w:tc>
          <w:tcPr>
            <w:tcW w:w="851" w:type="dxa"/>
            <w:tcBorders>
              <w:top w:val="single" w:sz="4" w:space="0" w:color="auto"/>
              <w:bottom w:val="single" w:sz="4" w:space="0" w:color="A6A6A6"/>
            </w:tcBorders>
            <w:noWrap/>
            <w:hideMark/>
          </w:tcPr>
          <w:p w14:paraId="7DE38517" w14:textId="77777777" w:rsidR="00087B91" w:rsidRPr="002029AF" w:rsidRDefault="00087B91" w:rsidP="00860E95">
            <w:pPr>
              <w:pStyle w:val="ARfintablebodyright"/>
            </w:pPr>
            <w:r w:rsidRPr="002029AF">
              <w:t>3.1.1(a)</w:t>
            </w:r>
          </w:p>
        </w:tc>
        <w:tc>
          <w:tcPr>
            <w:tcW w:w="1134" w:type="dxa"/>
            <w:tcBorders>
              <w:top w:val="single" w:sz="4" w:space="0" w:color="auto"/>
              <w:bottom w:val="single" w:sz="4" w:space="0" w:color="A6A6A6"/>
            </w:tcBorders>
            <w:shd w:val="clear" w:color="auto" w:fill="E7E6E6"/>
            <w:noWrap/>
            <w:hideMark/>
          </w:tcPr>
          <w:p w14:paraId="1C75B998" w14:textId="77777777" w:rsidR="00087B91" w:rsidRPr="002029AF" w:rsidRDefault="00087B91" w:rsidP="00860E95">
            <w:pPr>
              <w:pStyle w:val="ARfintablebodyright"/>
            </w:pPr>
            <w:r w:rsidRPr="002029AF">
              <w:t>1,200.2</w:t>
            </w:r>
          </w:p>
        </w:tc>
        <w:tc>
          <w:tcPr>
            <w:tcW w:w="1134" w:type="dxa"/>
            <w:tcBorders>
              <w:top w:val="single" w:sz="4" w:space="0" w:color="auto"/>
              <w:bottom w:val="single" w:sz="4" w:space="0" w:color="A6A6A6"/>
            </w:tcBorders>
            <w:noWrap/>
            <w:hideMark/>
          </w:tcPr>
          <w:p w14:paraId="6B5DC7F8" w14:textId="77777777" w:rsidR="00087B91" w:rsidRPr="002029AF" w:rsidRDefault="00087B91" w:rsidP="00860E95">
            <w:pPr>
              <w:pStyle w:val="ARfintablebodyright"/>
            </w:pPr>
            <w:r w:rsidRPr="002029AF">
              <w:t>1,479.7</w:t>
            </w:r>
          </w:p>
        </w:tc>
      </w:tr>
      <w:tr w:rsidR="00087B91" w:rsidRPr="002029AF" w14:paraId="16486511" w14:textId="77777777" w:rsidTr="00860E95">
        <w:tc>
          <w:tcPr>
            <w:tcW w:w="6521" w:type="dxa"/>
            <w:tcBorders>
              <w:top w:val="single" w:sz="4" w:space="0" w:color="A6A6A6"/>
              <w:bottom w:val="single" w:sz="4" w:space="0" w:color="A6A6A6"/>
            </w:tcBorders>
            <w:hideMark/>
          </w:tcPr>
          <w:p w14:paraId="6E05EE5B" w14:textId="655C07B0" w:rsidR="00087B91" w:rsidRPr="002029AF" w:rsidRDefault="00087B91" w:rsidP="00860E95">
            <w:pPr>
              <w:pStyle w:val="ARfintablebody"/>
            </w:pPr>
            <w:r w:rsidRPr="002029AF">
              <w:t>Grant</w:t>
            </w:r>
            <w:r w:rsidR="000A5329" w:rsidRPr="002029AF">
              <w:t xml:space="preserve"> </w:t>
            </w:r>
            <w:r w:rsidRPr="002029AF">
              <w:t>and</w:t>
            </w:r>
            <w:r w:rsidR="000A5329" w:rsidRPr="002029AF">
              <w:t xml:space="preserve"> </w:t>
            </w:r>
            <w:r w:rsidRPr="002029AF">
              <w:t>other</w:t>
            </w:r>
            <w:r w:rsidR="000A5329" w:rsidRPr="002029AF">
              <w:t xml:space="preserve"> </w:t>
            </w:r>
            <w:r w:rsidRPr="002029AF">
              <w:t>expense</w:t>
            </w:r>
            <w:r w:rsidR="000A5329" w:rsidRPr="002029AF">
              <w:t xml:space="preserve"> </w:t>
            </w:r>
            <w:r w:rsidRPr="002029AF">
              <w:t>transfers</w:t>
            </w:r>
          </w:p>
        </w:tc>
        <w:tc>
          <w:tcPr>
            <w:tcW w:w="851" w:type="dxa"/>
            <w:tcBorders>
              <w:top w:val="single" w:sz="4" w:space="0" w:color="A6A6A6"/>
              <w:bottom w:val="single" w:sz="4" w:space="0" w:color="A6A6A6"/>
            </w:tcBorders>
            <w:noWrap/>
            <w:hideMark/>
          </w:tcPr>
          <w:p w14:paraId="7495FB83" w14:textId="77777777" w:rsidR="00087B91" w:rsidRPr="002029AF" w:rsidRDefault="00087B91" w:rsidP="00860E95">
            <w:pPr>
              <w:pStyle w:val="ARfintablebodyright"/>
            </w:pPr>
            <w:r w:rsidRPr="002029AF">
              <w:t>3.1.2</w:t>
            </w:r>
          </w:p>
        </w:tc>
        <w:tc>
          <w:tcPr>
            <w:tcW w:w="1134" w:type="dxa"/>
            <w:tcBorders>
              <w:top w:val="single" w:sz="4" w:space="0" w:color="A6A6A6"/>
              <w:bottom w:val="single" w:sz="4" w:space="0" w:color="A6A6A6"/>
            </w:tcBorders>
            <w:shd w:val="clear" w:color="auto" w:fill="E7E6E6"/>
            <w:noWrap/>
            <w:hideMark/>
          </w:tcPr>
          <w:p w14:paraId="38DEC481" w14:textId="77777777" w:rsidR="00087B91" w:rsidRPr="002029AF" w:rsidRDefault="00087B91" w:rsidP="00860E95">
            <w:pPr>
              <w:pStyle w:val="ARfintablebodyright"/>
            </w:pPr>
            <w:r w:rsidRPr="002029AF">
              <w:t>17,308.0</w:t>
            </w:r>
          </w:p>
        </w:tc>
        <w:tc>
          <w:tcPr>
            <w:tcW w:w="1134" w:type="dxa"/>
            <w:tcBorders>
              <w:top w:val="single" w:sz="4" w:space="0" w:color="A6A6A6"/>
              <w:bottom w:val="single" w:sz="4" w:space="0" w:color="A6A6A6"/>
            </w:tcBorders>
            <w:noWrap/>
            <w:hideMark/>
          </w:tcPr>
          <w:p w14:paraId="552562B4" w14:textId="77777777" w:rsidR="00087B91" w:rsidRPr="002029AF" w:rsidRDefault="00087B91" w:rsidP="00860E95">
            <w:pPr>
              <w:pStyle w:val="ARfintablebodyright"/>
            </w:pPr>
            <w:r w:rsidRPr="002029AF">
              <w:t>15,131.5</w:t>
            </w:r>
          </w:p>
        </w:tc>
      </w:tr>
      <w:tr w:rsidR="00087B91" w:rsidRPr="002029AF" w14:paraId="1432CBB3" w14:textId="77777777" w:rsidTr="00860E95">
        <w:tc>
          <w:tcPr>
            <w:tcW w:w="6521" w:type="dxa"/>
            <w:tcBorders>
              <w:top w:val="single" w:sz="4" w:space="0" w:color="A6A6A6"/>
              <w:bottom w:val="single" w:sz="4" w:space="0" w:color="A6A6A6"/>
            </w:tcBorders>
            <w:hideMark/>
          </w:tcPr>
          <w:p w14:paraId="7259F033" w14:textId="0072F0D2" w:rsidR="00087B91" w:rsidRPr="002029AF" w:rsidRDefault="00087B91" w:rsidP="00860E95">
            <w:pPr>
              <w:pStyle w:val="ARfintablebody"/>
            </w:pPr>
            <w:r w:rsidRPr="002029AF">
              <w:t>Capital</w:t>
            </w:r>
            <w:r w:rsidR="000A5329" w:rsidRPr="002029AF">
              <w:t xml:space="preserve"> </w:t>
            </w:r>
            <w:r w:rsidRPr="002029AF">
              <w:t>asset</w:t>
            </w:r>
            <w:r w:rsidR="000A5329" w:rsidRPr="002029AF">
              <w:t xml:space="preserve"> </w:t>
            </w:r>
            <w:r w:rsidRPr="002029AF">
              <w:t>charge</w:t>
            </w:r>
          </w:p>
        </w:tc>
        <w:tc>
          <w:tcPr>
            <w:tcW w:w="851" w:type="dxa"/>
            <w:tcBorders>
              <w:top w:val="single" w:sz="4" w:space="0" w:color="A6A6A6"/>
              <w:bottom w:val="single" w:sz="4" w:space="0" w:color="A6A6A6"/>
            </w:tcBorders>
            <w:noWrap/>
            <w:hideMark/>
          </w:tcPr>
          <w:p w14:paraId="7F60C91D" w14:textId="77777777" w:rsidR="00087B91" w:rsidRPr="002029AF" w:rsidRDefault="00087B91" w:rsidP="00860E95">
            <w:pPr>
              <w:pStyle w:val="ARfintablebodyright"/>
            </w:pPr>
            <w:r w:rsidRPr="002029AF">
              <w:t>3.1.3</w:t>
            </w:r>
          </w:p>
        </w:tc>
        <w:tc>
          <w:tcPr>
            <w:tcW w:w="1134" w:type="dxa"/>
            <w:tcBorders>
              <w:top w:val="single" w:sz="4" w:space="0" w:color="A6A6A6"/>
              <w:bottom w:val="single" w:sz="4" w:space="0" w:color="A6A6A6"/>
            </w:tcBorders>
            <w:shd w:val="clear" w:color="auto" w:fill="E7E6E6"/>
            <w:noWrap/>
            <w:hideMark/>
          </w:tcPr>
          <w:p w14:paraId="3F104FA7" w14:textId="77777777" w:rsidR="00087B91" w:rsidRPr="002029AF" w:rsidRDefault="00087B91" w:rsidP="00860E95">
            <w:pPr>
              <w:pStyle w:val="ARfintablebodyright"/>
            </w:pPr>
            <w:r w:rsidRPr="002029AF">
              <w:t>1,319.8</w:t>
            </w:r>
          </w:p>
        </w:tc>
        <w:tc>
          <w:tcPr>
            <w:tcW w:w="1134" w:type="dxa"/>
            <w:tcBorders>
              <w:top w:val="single" w:sz="4" w:space="0" w:color="A6A6A6"/>
              <w:bottom w:val="single" w:sz="4" w:space="0" w:color="A6A6A6"/>
            </w:tcBorders>
            <w:noWrap/>
            <w:hideMark/>
          </w:tcPr>
          <w:p w14:paraId="6FCC85B8" w14:textId="77777777" w:rsidR="00087B91" w:rsidRPr="002029AF" w:rsidRDefault="00087B91" w:rsidP="00860E95">
            <w:pPr>
              <w:pStyle w:val="ARfintablebodyright"/>
            </w:pPr>
            <w:r w:rsidRPr="002029AF">
              <w:t>1,266.0</w:t>
            </w:r>
          </w:p>
        </w:tc>
      </w:tr>
      <w:tr w:rsidR="00087B91" w:rsidRPr="002029AF" w14:paraId="7C157609" w14:textId="77777777" w:rsidTr="00860E95">
        <w:tc>
          <w:tcPr>
            <w:tcW w:w="6521" w:type="dxa"/>
            <w:tcBorders>
              <w:top w:val="single" w:sz="4" w:space="0" w:color="A6A6A6"/>
              <w:bottom w:val="single" w:sz="4" w:space="0" w:color="A6A6A6"/>
            </w:tcBorders>
            <w:hideMark/>
          </w:tcPr>
          <w:p w14:paraId="7BBD3C35" w14:textId="77777777" w:rsidR="00087B91" w:rsidRPr="002029AF" w:rsidRDefault="00087B91" w:rsidP="00860E95">
            <w:pPr>
              <w:pStyle w:val="ARfintablebody"/>
            </w:pPr>
            <w:r w:rsidRPr="002029AF">
              <w:t>Maintenance</w:t>
            </w:r>
          </w:p>
        </w:tc>
        <w:tc>
          <w:tcPr>
            <w:tcW w:w="851" w:type="dxa"/>
            <w:tcBorders>
              <w:top w:val="single" w:sz="4" w:space="0" w:color="A6A6A6"/>
              <w:bottom w:val="single" w:sz="4" w:space="0" w:color="A6A6A6"/>
            </w:tcBorders>
            <w:noWrap/>
            <w:hideMark/>
          </w:tcPr>
          <w:p w14:paraId="25BBC793" w14:textId="77777777" w:rsidR="00087B91" w:rsidRPr="002029AF" w:rsidRDefault="00087B91" w:rsidP="00860E95">
            <w:pPr>
              <w:pStyle w:val="ARfintablebodyright"/>
            </w:pPr>
          </w:p>
        </w:tc>
        <w:tc>
          <w:tcPr>
            <w:tcW w:w="1134" w:type="dxa"/>
            <w:tcBorders>
              <w:top w:val="single" w:sz="4" w:space="0" w:color="A6A6A6"/>
              <w:bottom w:val="single" w:sz="4" w:space="0" w:color="A6A6A6"/>
            </w:tcBorders>
            <w:shd w:val="clear" w:color="auto" w:fill="E7E6E6"/>
            <w:noWrap/>
            <w:hideMark/>
          </w:tcPr>
          <w:p w14:paraId="2FE411DE" w14:textId="77777777" w:rsidR="00087B91" w:rsidRPr="002029AF" w:rsidRDefault="00087B91" w:rsidP="00860E95">
            <w:pPr>
              <w:pStyle w:val="ARfintablebodyright"/>
            </w:pPr>
            <w:r w:rsidRPr="002029AF">
              <w:t>236.1</w:t>
            </w:r>
          </w:p>
        </w:tc>
        <w:tc>
          <w:tcPr>
            <w:tcW w:w="1134" w:type="dxa"/>
            <w:tcBorders>
              <w:top w:val="single" w:sz="4" w:space="0" w:color="A6A6A6"/>
              <w:bottom w:val="single" w:sz="4" w:space="0" w:color="A6A6A6"/>
            </w:tcBorders>
            <w:noWrap/>
            <w:hideMark/>
          </w:tcPr>
          <w:p w14:paraId="5B8E45B7" w14:textId="77777777" w:rsidR="00087B91" w:rsidRPr="002029AF" w:rsidRDefault="00087B91" w:rsidP="00860E95">
            <w:pPr>
              <w:pStyle w:val="ARfintablebodyright"/>
            </w:pPr>
            <w:r w:rsidRPr="002029AF">
              <w:t>231.5</w:t>
            </w:r>
          </w:p>
        </w:tc>
      </w:tr>
      <w:tr w:rsidR="00087B91" w:rsidRPr="002029AF" w14:paraId="08C12B90" w14:textId="77777777" w:rsidTr="00860E95">
        <w:tc>
          <w:tcPr>
            <w:tcW w:w="6521" w:type="dxa"/>
            <w:tcBorders>
              <w:top w:val="single" w:sz="4" w:space="0" w:color="A6A6A6"/>
              <w:bottom w:val="single" w:sz="4" w:space="0" w:color="A6A6A6"/>
            </w:tcBorders>
            <w:hideMark/>
          </w:tcPr>
          <w:p w14:paraId="5E5E4170" w14:textId="4B89028A" w:rsidR="00087B91" w:rsidRPr="002029AF" w:rsidRDefault="00087B91" w:rsidP="00860E95">
            <w:pPr>
              <w:pStyle w:val="ARfintablebody"/>
            </w:pPr>
            <w:r w:rsidRPr="002029AF">
              <w:t>Fair</w:t>
            </w:r>
            <w:r w:rsidR="000A5329" w:rsidRPr="002029AF">
              <w:t xml:space="preserve"> </w:t>
            </w:r>
            <w:r w:rsidRPr="002029AF">
              <w:t>value</w:t>
            </w:r>
            <w:r w:rsidR="000A5329" w:rsidRPr="002029AF">
              <w:t xml:space="preserve"> </w:t>
            </w:r>
            <w:r w:rsidRPr="002029AF">
              <w:t>of</w:t>
            </w:r>
            <w:r w:rsidR="000A5329" w:rsidRPr="002029AF">
              <w:t xml:space="preserve"> </w:t>
            </w:r>
            <w:r w:rsidRPr="002029AF">
              <w:t>assets</w:t>
            </w:r>
            <w:r w:rsidR="000A5329" w:rsidRPr="002029AF">
              <w:t xml:space="preserve"> </w:t>
            </w:r>
            <w:r w:rsidRPr="002029AF">
              <w:t>and</w:t>
            </w:r>
            <w:r w:rsidR="000A5329" w:rsidRPr="002029AF">
              <w:t xml:space="preserve"> </w:t>
            </w:r>
            <w:r w:rsidRPr="002029AF">
              <w:t>services</w:t>
            </w:r>
            <w:r w:rsidR="000A5329" w:rsidRPr="002029AF">
              <w:t xml:space="preserve"> </w:t>
            </w:r>
            <w:r w:rsidRPr="002029AF">
              <w:t>received</w:t>
            </w:r>
            <w:r w:rsidR="000A5329" w:rsidRPr="002029AF">
              <w:t xml:space="preserve"> </w:t>
            </w:r>
            <w:r w:rsidRPr="002029AF">
              <w:t>free</w:t>
            </w:r>
            <w:r w:rsidR="000A5329" w:rsidRPr="002029AF">
              <w:t xml:space="preserve"> </w:t>
            </w:r>
            <w:r w:rsidRPr="002029AF">
              <w:t>of</w:t>
            </w:r>
            <w:r w:rsidR="000A5329" w:rsidRPr="002029AF">
              <w:t xml:space="preserve"> </w:t>
            </w:r>
            <w:r w:rsidRPr="002029AF">
              <w:t>charge</w:t>
            </w:r>
            <w:r w:rsidR="000A5329" w:rsidRPr="002029AF">
              <w:t xml:space="preserve"> </w:t>
            </w:r>
            <w:r w:rsidRPr="002029AF">
              <w:t>or</w:t>
            </w:r>
            <w:r w:rsidR="000A5329" w:rsidRPr="002029AF">
              <w:t xml:space="preserve"> </w:t>
            </w:r>
            <w:r w:rsidRPr="002029AF">
              <w:t>for</w:t>
            </w:r>
            <w:r w:rsidR="000A5329" w:rsidRPr="002029AF">
              <w:t xml:space="preserve"> </w:t>
            </w:r>
            <w:r w:rsidRPr="002029AF">
              <w:t>nominal</w:t>
            </w:r>
            <w:r w:rsidR="000A5329" w:rsidRPr="002029AF">
              <w:t xml:space="preserve"> </w:t>
            </w:r>
            <w:r w:rsidRPr="002029AF">
              <w:t>consideration</w:t>
            </w:r>
          </w:p>
        </w:tc>
        <w:tc>
          <w:tcPr>
            <w:tcW w:w="851" w:type="dxa"/>
            <w:tcBorders>
              <w:top w:val="single" w:sz="4" w:space="0" w:color="A6A6A6"/>
              <w:bottom w:val="single" w:sz="4" w:space="0" w:color="A6A6A6"/>
            </w:tcBorders>
            <w:noWrap/>
            <w:hideMark/>
          </w:tcPr>
          <w:p w14:paraId="61013D6D" w14:textId="77777777" w:rsidR="00087B91" w:rsidRPr="002029AF" w:rsidRDefault="00087B91" w:rsidP="00860E95">
            <w:pPr>
              <w:pStyle w:val="ARfintablebodyright"/>
            </w:pPr>
            <w:r w:rsidRPr="002029AF">
              <w:t>3.1.4</w:t>
            </w:r>
          </w:p>
        </w:tc>
        <w:tc>
          <w:tcPr>
            <w:tcW w:w="1134" w:type="dxa"/>
            <w:tcBorders>
              <w:top w:val="single" w:sz="4" w:space="0" w:color="A6A6A6"/>
              <w:bottom w:val="single" w:sz="4" w:space="0" w:color="A6A6A6"/>
            </w:tcBorders>
            <w:shd w:val="clear" w:color="auto" w:fill="E7E6E6"/>
            <w:noWrap/>
            <w:hideMark/>
          </w:tcPr>
          <w:p w14:paraId="079E7357" w14:textId="77777777" w:rsidR="00087B91" w:rsidRPr="002029AF" w:rsidRDefault="00087B91" w:rsidP="00860E95">
            <w:pPr>
              <w:pStyle w:val="ARfintablebodyright"/>
            </w:pPr>
            <w:r w:rsidRPr="002029AF">
              <w:t>32.3</w:t>
            </w:r>
          </w:p>
        </w:tc>
        <w:tc>
          <w:tcPr>
            <w:tcW w:w="1134" w:type="dxa"/>
            <w:tcBorders>
              <w:top w:val="single" w:sz="4" w:space="0" w:color="A6A6A6"/>
              <w:bottom w:val="single" w:sz="4" w:space="0" w:color="A6A6A6"/>
            </w:tcBorders>
            <w:noWrap/>
            <w:hideMark/>
          </w:tcPr>
          <w:p w14:paraId="64BB83EE" w14:textId="77777777" w:rsidR="00087B91" w:rsidRPr="002029AF" w:rsidRDefault="00087B91" w:rsidP="00860E95">
            <w:pPr>
              <w:pStyle w:val="ARfintablebodyright"/>
            </w:pPr>
            <w:r w:rsidRPr="002029AF">
              <w:t>121.3</w:t>
            </w:r>
          </w:p>
        </w:tc>
      </w:tr>
      <w:tr w:rsidR="00087B91" w:rsidRPr="002029AF" w14:paraId="1EC051C5" w14:textId="77777777" w:rsidTr="00860E95">
        <w:tc>
          <w:tcPr>
            <w:tcW w:w="6521" w:type="dxa"/>
            <w:tcBorders>
              <w:top w:val="single" w:sz="4" w:space="0" w:color="A6A6A6"/>
              <w:bottom w:val="single" w:sz="4" w:space="0" w:color="A6A6A6"/>
            </w:tcBorders>
            <w:hideMark/>
          </w:tcPr>
          <w:p w14:paraId="75B0EE94" w14:textId="68D06691" w:rsidR="00087B91" w:rsidRPr="002029AF" w:rsidRDefault="00087B91" w:rsidP="00860E95">
            <w:pPr>
              <w:pStyle w:val="ARfintablebody"/>
            </w:pPr>
            <w:r w:rsidRPr="002029AF">
              <w:t>Other</w:t>
            </w:r>
            <w:r w:rsidR="000A5329" w:rsidRPr="002029AF">
              <w:t xml:space="preserve"> </w:t>
            </w:r>
            <w:r w:rsidRPr="002029AF">
              <w:t>operating</w:t>
            </w:r>
            <w:r w:rsidR="000A5329" w:rsidRPr="002029AF">
              <w:t xml:space="preserve"> </w:t>
            </w:r>
            <w:r w:rsidRPr="002029AF">
              <w:t>expenses</w:t>
            </w:r>
          </w:p>
        </w:tc>
        <w:tc>
          <w:tcPr>
            <w:tcW w:w="851" w:type="dxa"/>
            <w:tcBorders>
              <w:top w:val="single" w:sz="4" w:space="0" w:color="A6A6A6"/>
              <w:bottom w:val="single" w:sz="4" w:space="0" w:color="A6A6A6"/>
            </w:tcBorders>
            <w:noWrap/>
            <w:hideMark/>
          </w:tcPr>
          <w:p w14:paraId="1FBD979B" w14:textId="77777777" w:rsidR="00087B91" w:rsidRPr="002029AF" w:rsidRDefault="00087B91" w:rsidP="00860E95">
            <w:pPr>
              <w:pStyle w:val="ARfintablebodyright"/>
            </w:pPr>
            <w:r w:rsidRPr="002029AF">
              <w:t>3.1.5</w:t>
            </w:r>
          </w:p>
        </w:tc>
        <w:tc>
          <w:tcPr>
            <w:tcW w:w="1134" w:type="dxa"/>
            <w:tcBorders>
              <w:top w:val="single" w:sz="4" w:space="0" w:color="A6A6A6"/>
              <w:bottom w:val="single" w:sz="4" w:space="0" w:color="A6A6A6"/>
            </w:tcBorders>
            <w:shd w:val="clear" w:color="auto" w:fill="E7E6E6"/>
            <w:noWrap/>
            <w:hideMark/>
          </w:tcPr>
          <w:p w14:paraId="476DE841" w14:textId="77777777" w:rsidR="00087B91" w:rsidRPr="002029AF" w:rsidRDefault="00087B91" w:rsidP="00860E95">
            <w:pPr>
              <w:pStyle w:val="ARfintablebodyright"/>
            </w:pPr>
            <w:r w:rsidRPr="002029AF">
              <w:t>689.4</w:t>
            </w:r>
          </w:p>
        </w:tc>
        <w:tc>
          <w:tcPr>
            <w:tcW w:w="1134" w:type="dxa"/>
            <w:tcBorders>
              <w:top w:val="single" w:sz="4" w:space="0" w:color="A6A6A6"/>
              <w:bottom w:val="single" w:sz="4" w:space="0" w:color="A6A6A6"/>
            </w:tcBorders>
            <w:noWrap/>
            <w:hideMark/>
          </w:tcPr>
          <w:p w14:paraId="5E73E25F" w14:textId="77777777" w:rsidR="00087B91" w:rsidRPr="002029AF" w:rsidRDefault="00087B91" w:rsidP="00860E95">
            <w:pPr>
              <w:pStyle w:val="ARfintablebodyright"/>
            </w:pPr>
            <w:r w:rsidRPr="002029AF">
              <w:t>611.3</w:t>
            </w:r>
          </w:p>
        </w:tc>
      </w:tr>
      <w:tr w:rsidR="00087B91" w:rsidRPr="002029AF" w14:paraId="521F6099" w14:textId="77777777" w:rsidTr="00860E95">
        <w:tc>
          <w:tcPr>
            <w:tcW w:w="6521" w:type="dxa"/>
            <w:tcBorders>
              <w:top w:val="single" w:sz="4" w:space="0" w:color="A6A6A6"/>
            </w:tcBorders>
            <w:hideMark/>
          </w:tcPr>
          <w:p w14:paraId="530DC4B0" w14:textId="0E933B19" w:rsidR="00087B91" w:rsidRPr="002029AF" w:rsidRDefault="00087B91" w:rsidP="00860E95">
            <w:pPr>
              <w:pStyle w:val="ARfintablebody"/>
            </w:pPr>
            <w:r w:rsidRPr="002029AF">
              <w:t>Other</w:t>
            </w:r>
            <w:r w:rsidR="000A5329" w:rsidRPr="002029AF">
              <w:t xml:space="preserve"> </w:t>
            </w:r>
            <w:r w:rsidRPr="002029AF">
              <w:t>property</w:t>
            </w:r>
            <w:r w:rsidR="000A5329" w:rsidRPr="002029AF">
              <w:t xml:space="preserve"> </w:t>
            </w:r>
            <w:r w:rsidRPr="002029AF">
              <w:t>management</w:t>
            </w:r>
            <w:r w:rsidR="000A5329" w:rsidRPr="002029AF">
              <w:t xml:space="preserve"> </w:t>
            </w:r>
            <w:r w:rsidRPr="002029AF">
              <w:t>expenses</w:t>
            </w:r>
          </w:p>
        </w:tc>
        <w:tc>
          <w:tcPr>
            <w:tcW w:w="851" w:type="dxa"/>
            <w:tcBorders>
              <w:top w:val="single" w:sz="4" w:space="0" w:color="A6A6A6"/>
            </w:tcBorders>
            <w:noWrap/>
            <w:hideMark/>
          </w:tcPr>
          <w:p w14:paraId="523F70C6" w14:textId="77777777" w:rsidR="00087B91" w:rsidRPr="002029AF" w:rsidRDefault="00087B91" w:rsidP="00860E95">
            <w:pPr>
              <w:pStyle w:val="ARfintablebodyright"/>
            </w:pPr>
            <w:r w:rsidRPr="002029AF">
              <w:t>3.1.6</w:t>
            </w:r>
          </w:p>
        </w:tc>
        <w:tc>
          <w:tcPr>
            <w:tcW w:w="1134" w:type="dxa"/>
            <w:tcBorders>
              <w:top w:val="single" w:sz="4" w:space="0" w:color="A6A6A6"/>
            </w:tcBorders>
            <w:shd w:val="clear" w:color="auto" w:fill="E7E6E6"/>
            <w:noWrap/>
            <w:hideMark/>
          </w:tcPr>
          <w:p w14:paraId="66D637CA" w14:textId="77777777" w:rsidR="00087B91" w:rsidRPr="002029AF" w:rsidRDefault="00087B91" w:rsidP="00860E95">
            <w:pPr>
              <w:pStyle w:val="ARfintablebodyright"/>
            </w:pPr>
            <w:r w:rsidRPr="002029AF">
              <w:t>199.3</w:t>
            </w:r>
          </w:p>
        </w:tc>
        <w:tc>
          <w:tcPr>
            <w:tcW w:w="1134" w:type="dxa"/>
            <w:tcBorders>
              <w:top w:val="single" w:sz="4" w:space="0" w:color="A6A6A6"/>
            </w:tcBorders>
            <w:noWrap/>
            <w:hideMark/>
          </w:tcPr>
          <w:p w14:paraId="432734BF" w14:textId="77777777" w:rsidR="00087B91" w:rsidRPr="002029AF" w:rsidRDefault="00087B91" w:rsidP="00860E95">
            <w:pPr>
              <w:pStyle w:val="ARfintablebodyright"/>
            </w:pPr>
            <w:r w:rsidRPr="002029AF">
              <w:t>209.1</w:t>
            </w:r>
          </w:p>
        </w:tc>
      </w:tr>
      <w:tr w:rsidR="00087B91" w:rsidRPr="002029AF" w14:paraId="3E419E7D" w14:textId="77777777" w:rsidTr="00860E95">
        <w:tc>
          <w:tcPr>
            <w:tcW w:w="6521" w:type="dxa"/>
            <w:hideMark/>
          </w:tcPr>
          <w:p w14:paraId="18C9A5ED" w14:textId="7F78BF33" w:rsidR="00087B91" w:rsidRPr="002029AF" w:rsidRDefault="00087B91" w:rsidP="00860E95">
            <w:pPr>
              <w:pStyle w:val="ARfintablebodybold"/>
            </w:pPr>
            <w:r w:rsidRPr="002029AF">
              <w:t>Total</w:t>
            </w:r>
            <w:r w:rsidR="000A5329" w:rsidRPr="002029AF">
              <w:t xml:space="preserve"> </w:t>
            </w:r>
            <w:r w:rsidRPr="002029AF">
              <w:t>expenses</w:t>
            </w:r>
            <w:r w:rsidR="000A5329" w:rsidRPr="002029AF">
              <w:t xml:space="preserve"> </w:t>
            </w:r>
            <w:r w:rsidRPr="002029AF">
              <w:t>incurred</w:t>
            </w:r>
            <w:r w:rsidR="000A5329" w:rsidRPr="002029AF">
              <w:t xml:space="preserve"> </w:t>
            </w:r>
            <w:r w:rsidRPr="002029AF">
              <w:t>in</w:t>
            </w:r>
            <w:r w:rsidR="000A5329" w:rsidRPr="002029AF">
              <w:t xml:space="preserve"> </w:t>
            </w:r>
            <w:r w:rsidRPr="002029AF">
              <w:t>delivery</w:t>
            </w:r>
            <w:r w:rsidR="000A5329" w:rsidRPr="002029AF">
              <w:t xml:space="preserve"> </w:t>
            </w:r>
            <w:r w:rsidRPr="002029AF">
              <w:t>of</w:t>
            </w:r>
            <w:r w:rsidR="000A5329" w:rsidRPr="002029AF">
              <w:t xml:space="preserve"> </w:t>
            </w:r>
            <w:r w:rsidRPr="002029AF">
              <w:t>services</w:t>
            </w:r>
          </w:p>
        </w:tc>
        <w:tc>
          <w:tcPr>
            <w:tcW w:w="851" w:type="dxa"/>
            <w:hideMark/>
          </w:tcPr>
          <w:p w14:paraId="0AEF2E7F" w14:textId="77777777" w:rsidR="00087B91" w:rsidRPr="002029AF" w:rsidRDefault="00087B91" w:rsidP="00860E95">
            <w:pPr>
              <w:pStyle w:val="ARfintablebodyrightbold"/>
            </w:pPr>
          </w:p>
        </w:tc>
        <w:tc>
          <w:tcPr>
            <w:tcW w:w="1134" w:type="dxa"/>
            <w:shd w:val="clear" w:color="auto" w:fill="E7E6E6"/>
            <w:noWrap/>
            <w:hideMark/>
          </w:tcPr>
          <w:p w14:paraId="14D776DC" w14:textId="77777777" w:rsidR="00087B91" w:rsidRPr="002029AF" w:rsidRDefault="00087B91" w:rsidP="00860E95">
            <w:pPr>
              <w:pStyle w:val="ARfintablebodyrightbold"/>
            </w:pPr>
            <w:r w:rsidRPr="002029AF">
              <w:t>20,985.1</w:t>
            </w:r>
          </w:p>
        </w:tc>
        <w:tc>
          <w:tcPr>
            <w:tcW w:w="1134" w:type="dxa"/>
            <w:noWrap/>
            <w:hideMark/>
          </w:tcPr>
          <w:p w14:paraId="28F79CA8" w14:textId="77777777" w:rsidR="00087B91" w:rsidRPr="002029AF" w:rsidRDefault="00087B91" w:rsidP="00860E95">
            <w:pPr>
              <w:pStyle w:val="ARfintablebodyrightbold"/>
            </w:pPr>
            <w:r w:rsidRPr="002029AF">
              <w:t>19,050.3</w:t>
            </w:r>
          </w:p>
        </w:tc>
      </w:tr>
    </w:tbl>
    <w:p w14:paraId="766A09DB" w14:textId="10B521FB" w:rsidR="00087B91" w:rsidRPr="002029AF" w:rsidRDefault="00087B91" w:rsidP="00087B91">
      <w:pPr>
        <w:pStyle w:val="Heading5"/>
      </w:pPr>
      <w:bookmarkStart w:id="309" w:name="_Toc39136700"/>
      <w:bookmarkStart w:id="310" w:name="_Ref52283301"/>
      <w:r w:rsidRPr="002029AF">
        <w:t>3.1.1</w:t>
      </w:r>
      <w:r w:rsidR="000A5329" w:rsidRPr="002029AF">
        <w:t xml:space="preserve"> </w:t>
      </w:r>
      <w:r w:rsidRPr="002029AF">
        <w:t>Employee</w:t>
      </w:r>
      <w:r w:rsidR="000A5329" w:rsidRPr="002029AF">
        <w:t xml:space="preserve"> </w:t>
      </w:r>
      <w:r w:rsidRPr="002029AF">
        <w:t>benefits</w:t>
      </w:r>
      <w:bookmarkEnd w:id="309"/>
      <w:bookmarkEnd w:id="310"/>
    </w:p>
    <w:p w14:paraId="5D091EB4" w14:textId="30120B9B" w:rsidR="00087B91" w:rsidRPr="002029AF" w:rsidRDefault="00087B91" w:rsidP="00087B91">
      <w:pPr>
        <w:pStyle w:val="Heading6"/>
        <w:rPr>
          <w:lang w:val="en-AU"/>
        </w:rPr>
      </w:pPr>
      <w:r w:rsidRPr="002029AF">
        <w:rPr>
          <w:lang w:val="en-AU"/>
        </w:rPr>
        <w:t>3.1.1(a)</w:t>
      </w:r>
      <w:r w:rsidR="000A5329" w:rsidRPr="002029AF">
        <w:rPr>
          <w:lang w:val="en-AU"/>
        </w:rPr>
        <w:t xml:space="preserve"> </w:t>
      </w:r>
      <w:r w:rsidRPr="002029AF">
        <w:rPr>
          <w:lang w:val="en-AU"/>
        </w:rPr>
        <w:t>Employee</w:t>
      </w:r>
      <w:r w:rsidR="000A5329" w:rsidRPr="002029AF">
        <w:rPr>
          <w:lang w:val="en-AU"/>
        </w:rPr>
        <w:t xml:space="preserve"> </w:t>
      </w:r>
      <w:r w:rsidRPr="002029AF">
        <w:rPr>
          <w:lang w:val="en-AU"/>
        </w:rPr>
        <w:t>benefits</w:t>
      </w:r>
      <w:r w:rsidR="000A5329" w:rsidRPr="002029AF">
        <w:rPr>
          <w:lang w:val="en-AU"/>
        </w:rPr>
        <w:t xml:space="preserve"> </w:t>
      </w:r>
      <w:r w:rsidRPr="002029AF">
        <w:rPr>
          <w:lang w:val="en-AU"/>
        </w:rPr>
        <w:t>–</w:t>
      </w:r>
      <w:r w:rsidR="000A5329" w:rsidRPr="002029AF">
        <w:rPr>
          <w:lang w:val="en-AU"/>
        </w:rPr>
        <w:t xml:space="preserve"> </w:t>
      </w:r>
      <w:r w:rsidRPr="002029AF">
        <w:rPr>
          <w:lang w:val="en-AU"/>
        </w:rPr>
        <w:t>comprehensive</w:t>
      </w:r>
      <w:r w:rsidR="000A5329" w:rsidRPr="002029AF">
        <w:rPr>
          <w:lang w:val="en-AU"/>
        </w:rPr>
        <w:t xml:space="preserve"> </w:t>
      </w:r>
      <w:r w:rsidRPr="002029AF">
        <w:rPr>
          <w:lang w:val="en-AU"/>
        </w:rPr>
        <w:t>operating</w:t>
      </w:r>
      <w:r w:rsidR="000A5329" w:rsidRPr="002029AF">
        <w:rPr>
          <w:lang w:val="en-AU"/>
        </w:rPr>
        <w:t xml:space="preserve"> </w:t>
      </w:r>
      <w:r w:rsidRPr="002029AF">
        <w:rPr>
          <w:lang w:val="en-AU"/>
        </w:rPr>
        <w:t>statement</w:t>
      </w:r>
    </w:p>
    <w:tbl>
      <w:tblPr>
        <w:tblStyle w:val="TableGrid"/>
        <w:tblW w:w="9637" w:type="dxa"/>
        <w:tblLayout w:type="fixed"/>
        <w:tblLook w:val="06A0" w:firstRow="1" w:lastRow="0" w:firstColumn="1" w:lastColumn="0" w:noHBand="1" w:noVBand="1"/>
      </w:tblPr>
      <w:tblGrid>
        <w:gridCol w:w="7369"/>
        <w:gridCol w:w="1134"/>
        <w:gridCol w:w="1134"/>
      </w:tblGrid>
      <w:tr w:rsidR="00087B91" w:rsidRPr="002029AF" w14:paraId="1A874450" w14:textId="77777777" w:rsidTr="00C83719">
        <w:trPr>
          <w:cnfStyle w:val="100000000000" w:firstRow="1" w:lastRow="0" w:firstColumn="0" w:lastColumn="0" w:oddVBand="0" w:evenVBand="0" w:oddHBand="0" w:evenHBand="0" w:firstRowFirstColumn="0" w:firstRowLastColumn="0" w:lastRowFirstColumn="0" w:lastRowLastColumn="0"/>
          <w:tblHeader/>
        </w:trPr>
        <w:tc>
          <w:tcPr>
            <w:tcW w:w="7371" w:type="dxa"/>
            <w:tcBorders>
              <w:bottom w:val="single" w:sz="4" w:space="0" w:color="auto"/>
            </w:tcBorders>
            <w:noWrap/>
            <w:hideMark/>
          </w:tcPr>
          <w:p w14:paraId="41EBBAE1" w14:textId="77777777" w:rsidR="00087B91" w:rsidRPr="002029AF" w:rsidRDefault="00087B91" w:rsidP="00860E95">
            <w:pPr>
              <w:pStyle w:val="ARfintablecolhead"/>
            </w:pPr>
          </w:p>
        </w:tc>
        <w:tc>
          <w:tcPr>
            <w:tcW w:w="1134" w:type="dxa"/>
            <w:tcBorders>
              <w:bottom w:val="single" w:sz="4" w:space="0" w:color="auto"/>
            </w:tcBorders>
            <w:shd w:val="clear" w:color="auto" w:fill="E7E6E6"/>
            <w:hideMark/>
          </w:tcPr>
          <w:p w14:paraId="0B6D1B44" w14:textId="77777777" w:rsidR="00087B91" w:rsidRPr="002029AF" w:rsidRDefault="00087B91" w:rsidP="00860E95">
            <w:pPr>
              <w:pStyle w:val="ARfintablecolheadright"/>
            </w:pPr>
            <w:r w:rsidRPr="002029AF">
              <w:t>2020</w:t>
            </w:r>
          </w:p>
          <w:p w14:paraId="73BBA4CA" w14:textId="77777777" w:rsidR="00087B91" w:rsidRPr="002029AF" w:rsidRDefault="00087B91" w:rsidP="00860E95">
            <w:pPr>
              <w:pStyle w:val="ARfintablecolheadright"/>
            </w:pPr>
            <w:r w:rsidRPr="002029AF">
              <w:t>$M</w:t>
            </w:r>
          </w:p>
        </w:tc>
        <w:tc>
          <w:tcPr>
            <w:tcW w:w="1134" w:type="dxa"/>
            <w:tcBorders>
              <w:bottom w:val="single" w:sz="4" w:space="0" w:color="auto"/>
            </w:tcBorders>
            <w:hideMark/>
          </w:tcPr>
          <w:p w14:paraId="00ADD638" w14:textId="77777777" w:rsidR="00087B91" w:rsidRPr="002029AF" w:rsidRDefault="00087B91" w:rsidP="00860E95">
            <w:pPr>
              <w:pStyle w:val="ARfintablecolheadright"/>
            </w:pPr>
            <w:r w:rsidRPr="002029AF">
              <w:t>2019</w:t>
            </w:r>
          </w:p>
          <w:p w14:paraId="27FFC723" w14:textId="77777777" w:rsidR="00087B91" w:rsidRPr="002029AF" w:rsidRDefault="00087B91" w:rsidP="00860E95">
            <w:pPr>
              <w:pStyle w:val="ARfintablecolheadright"/>
            </w:pPr>
            <w:r w:rsidRPr="002029AF">
              <w:t>$M</w:t>
            </w:r>
          </w:p>
        </w:tc>
      </w:tr>
      <w:tr w:rsidR="00087B91" w:rsidRPr="002029AF" w14:paraId="38EC8DF2" w14:textId="77777777" w:rsidTr="00860E95">
        <w:tc>
          <w:tcPr>
            <w:tcW w:w="7371" w:type="dxa"/>
            <w:tcBorders>
              <w:top w:val="single" w:sz="4" w:space="0" w:color="auto"/>
              <w:bottom w:val="single" w:sz="4" w:space="0" w:color="A6A6A6"/>
            </w:tcBorders>
            <w:hideMark/>
          </w:tcPr>
          <w:p w14:paraId="525471B0" w14:textId="19636926" w:rsidR="00087B91" w:rsidRPr="002029AF" w:rsidRDefault="00087B91" w:rsidP="00860E95">
            <w:pPr>
              <w:pStyle w:val="ARfintablebody"/>
            </w:pPr>
            <w:r w:rsidRPr="002029AF">
              <w:t>Defined</w:t>
            </w:r>
            <w:r w:rsidR="000A5329" w:rsidRPr="002029AF">
              <w:t xml:space="preserve"> </w:t>
            </w:r>
            <w:r w:rsidRPr="002029AF">
              <w:t>contribution</w:t>
            </w:r>
            <w:r w:rsidR="000A5329" w:rsidRPr="002029AF">
              <w:t xml:space="preserve"> </w:t>
            </w:r>
            <w:r w:rsidRPr="002029AF">
              <w:t>superannuation</w:t>
            </w:r>
            <w:r w:rsidR="000A5329" w:rsidRPr="002029AF">
              <w:t xml:space="preserve"> </w:t>
            </w:r>
            <w:r w:rsidRPr="002029AF">
              <w:t>expense</w:t>
            </w:r>
          </w:p>
        </w:tc>
        <w:tc>
          <w:tcPr>
            <w:tcW w:w="1134" w:type="dxa"/>
            <w:tcBorders>
              <w:top w:val="single" w:sz="4" w:space="0" w:color="auto"/>
              <w:bottom w:val="single" w:sz="4" w:space="0" w:color="A6A6A6"/>
            </w:tcBorders>
            <w:shd w:val="clear" w:color="auto" w:fill="E7E6E6"/>
            <w:noWrap/>
            <w:hideMark/>
          </w:tcPr>
          <w:p w14:paraId="0C9A4D1D" w14:textId="77777777" w:rsidR="00087B91" w:rsidRPr="002029AF" w:rsidRDefault="00087B91" w:rsidP="00860E95">
            <w:pPr>
              <w:pStyle w:val="ARfintablebodyright"/>
            </w:pPr>
            <w:r w:rsidRPr="002029AF">
              <w:t>77.0</w:t>
            </w:r>
          </w:p>
        </w:tc>
        <w:tc>
          <w:tcPr>
            <w:tcW w:w="1134" w:type="dxa"/>
            <w:tcBorders>
              <w:top w:val="single" w:sz="4" w:space="0" w:color="auto"/>
              <w:bottom w:val="single" w:sz="4" w:space="0" w:color="A6A6A6"/>
            </w:tcBorders>
            <w:noWrap/>
            <w:hideMark/>
          </w:tcPr>
          <w:p w14:paraId="168CF701" w14:textId="77777777" w:rsidR="00087B91" w:rsidRPr="002029AF" w:rsidRDefault="00087B91" w:rsidP="00860E95">
            <w:pPr>
              <w:pStyle w:val="ARfintablebodyright"/>
            </w:pPr>
            <w:r w:rsidRPr="002029AF">
              <w:t>98.0</w:t>
            </w:r>
          </w:p>
        </w:tc>
      </w:tr>
      <w:tr w:rsidR="00087B91" w:rsidRPr="002029AF" w14:paraId="15EEED48" w14:textId="77777777" w:rsidTr="00860E95">
        <w:tc>
          <w:tcPr>
            <w:tcW w:w="7371" w:type="dxa"/>
            <w:tcBorders>
              <w:top w:val="single" w:sz="4" w:space="0" w:color="A6A6A6"/>
              <w:bottom w:val="single" w:sz="4" w:space="0" w:color="A6A6A6"/>
            </w:tcBorders>
            <w:hideMark/>
          </w:tcPr>
          <w:p w14:paraId="660E59AC" w14:textId="711A0CED" w:rsidR="00087B91" w:rsidRPr="002029AF" w:rsidRDefault="00087B91" w:rsidP="00860E95">
            <w:pPr>
              <w:pStyle w:val="ARfintablebody"/>
            </w:pPr>
            <w:r w:rsidRPr="002029AF">
              <w:t>Defined</w:t>
            </w:r>
            <w:r w:rsidR="000A5329" w:rsidRPr="002029AF">
              <w:t xml:space="preserve"> </w:t>
            </w:r>
            <w:r w:rsidRPr="002029AF">
              <w:t>benefit</w:t>
            </w:r>
            <w:r w:rsidR="000A5329" w:rsidRPr="002029AF">
              <w:t xml:space="preserve"> </w:t>
            </w:r>
            <w:r w:rsidRPr="002029AF">
              <w:t>superannuation</w:t>
            </w:r>
            <w:r w:rsidR="000A5329" w:rsidRPr="002029AF">
              <w:t xml:space="preserve"> </w:t>
            </w:r>
            <w:r w:rsidRPr="002029AF">
              <w:t>expense</w:t>
            </w:r>
          </w:p>
        </w:tc>
        <w:tc>
          <w:tcPr>
            <w:tcW w:w="1134" w:type="dxa"/>
            <w:tcBorders>
              <w:top w:val="single" w:sz="4" w:space="0" w:color="A6A6A6"/>
              <w:bottom w:val="single" w:sz="4" w:space="0" w:color="A6A6A6"/>
            </w:tcBorders>
            <w:shd w:val="clear" w:color="auto" w:fill="E7E6E6"/>
            <w:noWrap/>
            <w:hideMark/>
          </w:tcPr>
          <w:p w14:paraId="4F9316BE" w14:textId="77777777" w:rsidR="00087B91" w:rsidRPr="002029AF" w:rsidRDefault="00087B91" w:rsidP="00860E95">
            <w:pPr>
              <w:pStyle w:val="ARfintablebodyright"/>
            </w:pPr>
            <w:r w:rsidRPr="002029AF">
              <w:t>7.5</w:t>
            </w:r>
          </w:p>
        </w:tc>
        <w:tc>
          <w:tcPr>
            <w:tcW w:w="1134" w:type="dxa"/>
            <w:tcBorders>
              <w:top w:val="single" w:sz="4" w:space="0" w:color="A6A6A6"/>
              <w:bottom w:val="single" w:sz="4" w:space="0" w:color="A6A6A6"/>
            </w:tcBorders>
            <w:noWrap/>
            <w:hideMark/>
          </w:tcPr>
          <w:p w14:paraId="58DC4925" w14:textId="77777777" w:rsidR="00087B91" w:rsidRPr="002029AF" w:rsidRDefault="00087B91" w:rsidP="00860E95">
            <w:pPr>
              <w:pStyle w:val="ARfintablebodyright"/>
            </w:pPr>
            <w:r w:rsidRPr="002029AF">
              <w:t>11.6</w:t>
            </w:r>
          </w:p>
        </w:tc>
      </w:tr>
      <w:tr w:rsidR="00087B91" w:rsidRPr="002029AF" w14:paraId="5EC6323D" w14:textId="77777777" w:rsidTr="00860E95">
        <w:tc>
          <w:tcPr>
            <w:tcW w:w="7371" w:type="dxa"/>
            <w:tcBorders>
              <w:top w:val="single" w:sz="4" w:space="0" w:color="A6A6A6"/>
              <w:bottom w:val="single" w:sz="4" w:space="0" w:color="A6A6A6"/>
            </w:tcBorders>
            <w:hideMark/>
          </w:tcPr>
          <w:p w14:paraId="0A1198A9" w14:textId="282A638E" w:rsidR="00087B91" w:rsidRPr="002029AF" w:rsidRDefault="00087B91" w:rsidP="00860E95">
            <w:pPr>
              <w:pStyle w:val="ARfintablebody"/>
            </w:pPr>
            <w:r w:rsidRPr="002029AF">
              <w:t>Termination</w:t>
            </w:r>
            <w:r w:rsidR="000A5329" w:rsidRPr="002029AF">
              <w:t xml:space="preserve"> </w:t>
            </w:r>
            <w:r w:rsidRPr="002029AF">
              <w:t>benefits</w:t>
            </w:r>
          </w:p>
        </w:tc>
        <w:tc>
          <w:tcPr>
            <w:tcW w:w="1134" w:type="dxa"/>
            <w:tcBorders>
              <w:top w:val="single" w:sz="4" w:space="0" w:color="A6A6A6"/>
              <w:bottom w:val="single" w:sz="4" w:space="0" w:color="A6A6A6"/>
            </w:tcBorders>
            <w:shd w:val="clear" w:color="auto" w:fill="E7E6E6"/>
            <w:noWrap/>
            <w:hideMark/>
          </w:tcPr>
          <w:p w14:paraId="601A3308" w14:textId="77777777" w:rsidR="00087B91" w:rsidRPr="002029AF" w:rsidRDefault="00087B91" w:rsidP="00860E95">
            <w:pPr>
              <w:pStyle w:val="ARfintablebodyright"/>
            </w:pPr>
            <w:r w:rsidRPr="002029AF">
              <w:t>18.1</w:t>
            </w:r>
          </w:p>
        </w:tc>
        <w:tc>
          <w:tcPr>
            <w:tcW w:w="1134" w:type="dxa"/>
            <w:tcBorders>
              <w:top w:val="single" w:sz="4" w:space="0" w:color="A6A6A6"/>
              <w:bottom w:val="single" w:sz="4" w:space="0" w:color="A6A6A6"/>
            </w:tcBorders>
            <w:noWrap/>
            <w:hideMark/>
          </w:tcPr>
          <w:p w14:paraId="6824971D" w14:textId="77777777" w:rsidR="00087B91" w:rsidRPr="002029AF" w:rsidRDefault="00087B91" w:rsidP="00860E95">
            <w:pPr>
              <w:pStyle w:val="ARfintablebodyright"/>
            </w:pPr>
            <w:r w:rsidRPr="002029AF">
              <w:t>2.6</w:t>
            </w:r>
          </w:p>
        </w:tc>
      </w:tr>
      <w:tr w:rsidR="00087B91" w:rsidRPr="002029AF" w14:paraId="4887A37D" w14:textId="77777777" w:rsidTr="00860E95">
        <w:tc>
          <w:tcPr>
            <w:tcW w:w="7371" w:type="dxa"/>
            <w:tcBorders>
              <w:top w:val="single" w:sz="4" w:space="0" w:color="A6A6A6"/>
            </w:tcBorders>
            <w:hideMark/>
          </w:tcPr>
          <w:p w14:paraId="74822DEA" w14:textId="656EEF76" w:rsidR="00087B91" w:rsidRPr="002029AF" w:rsidRDefault="00087B91" w:rsidP="00860E95">
            <w:pPr>
              <w:pStyle w:val="ARfintablebody"/>
            </w:pPr>
            <w:r w:rsidRPr="002029AF">
              <w:t>Salaries</w:t>
            </w:r>
            <w:r w:rsidR="000A5329" w:rsidRPr="002029AF">
              <w:t xml:space="preserve"> </w:t>
            </w:r>
            <w:r w:rsidRPr="002029AF">
              <w:t>and</w:t>
            </w:r>
            <w:r w:rsidR="000A5329" w:rsidRPr="002029AF">
              <w:t xml:space="preserve"> </w:t>
            </w:r>
            <w:r w:rsidRPr="002029AF">
              <w:t>wages,</w:t>
            </w:r>
            <w:r w:rsidR="000A5329" w:rsidRPr="002029AF">
              <w:t xml:space="preserve"> </w:t>
            </w:r>
            <w:r w:rsidRPr="002029AF">
              <w:t>annual</w:t>
            </w:r>
            <w:r w:rsidR="000A5329" w:rsidRPr="002029AF">
              <w:t xml:space="preserve"> </w:t>
            </w:r>
            <w:r w:rsidRPr="002029AF">
              <w:t>leave</w:t>
            </w:r>
            <w:r w:rsidR="000A5329" w:rsidRPr="002029AF">
              <w:t xml:space="preserve"> </w:t>
            </w:r>
            <w:r w:rsidRPr="002029AF">
              <w:t>and</w:t>
            </w:r>
            <w:r w:rsidR="000A5329" w:rsidRPr="002029AF">
              <w:t xml:space="preserve"> </w:t>
            </w:r>
            <w:r w:rsidRPr="002029AF">
              <w:t>long</w:t>
            </w:r>
            <w:r w:rsidR="000A5329" w:rsidRPr="002029AF">
              <w:t xml:space="preserve"> </w:t>
            </w:r>
            <w:r w:rsidRPr="002029AF">
              <w:t>service</w:t>
            </w:r>
            <w:r w:rsidR="000A5329" w:rsidRPr="002029AF">
              <w:t xml:space="preserve"> </w:t>
            </w:r>
            <w:r w:rsidRPr="002029AF">
              <w:t>leave</w:t>
            </w:r>
          </w:p>
        </w:tc>
        <w:tc>
          <w:tcPr>
            <w:tcW w:w="1134" w:type="dxa"/>
            <w:tcBorders>
              <w:top w:val="single" w:sz="4" w:space="0" w:color="A6A6A6"/>
            </w:tcBorders>
            <w:shd w:val="clear" w:color="auto" w:fill="E7E6E6"/>
            <w:noWrap/>
            <w:hideMark/>
          </w:tcPr>
          <w:p w14:paraId="41286F75" w14:textId="77777777" w:rsidR="00087B91" w:rsidRPr="002029AF" w:rsidRDefault="00087B91" w:rsidP="00860E95">
            <w:pPr>
              <w:pStyle w:val="ARfintablebodyright"/>
            </w:pPr>
            <w:r w:rsidRPr="002029AF">
              <w:t>1,097.6</w:t>
            </w:r>
          </w:p>
        </w:tc>
        <w:tc>
          <w:tcPr>
            <w:tcW w:w="1134" w:type="dxa"/>
            <w:tcBorders>
              <w:top w:val="single" w:sz="4" w:space="0" w:color="A6A6A6"/>
            </w:tcBorders>
            <w:noWrap/>
            <w:hideMark/>
          </w:tcPr>
          <w:p w14:paraId="4748A250" w14:textId="77777777" w:rsidR="00087B91" w:rsidRPr="002029AF" w:rsidRDefault="00087B91" w:rsidP="00860E95">
            <w:pPr>
              <w:pStyle w:val="ARfintablebodyright"/>
            </w:pPr>
            <w:r w:rsidRPr="002029AF">
              <w:t>1,367.5</w:t>
            </w:r>
          </w:p>
        </w:tc>
      </w:tr>
      <w:tr w:rsidR="00087B91" w:rsidRPr="002029AF" w14:paraId="0532153E" w14:textId="77777777" w:rsidTr="00860E95">
        <w:tc>
          <w:tcPr>
            <w:tcW w:w="7371" w:type="dxa"/>
            <w:hideMark/>
          </w:tcPr>
          <w:p w14:paraId="1697D6BE" w14:textId="57C6C03C" w:rsidR="00087B91" w:rsidRPr="002029AF" w:rsidRDefault="00087B91" w:rsidP="00860E95">
            <w:pPr>
              <w:pStyle w:val="ARfintablebodybold"/>
            </w:pPr>
            <w:r w:rsidRPr="002029AF">
              <w:t>Total</w:t>
            </w:r>
            <w:r w:rsidR="000A5329" w:rsidRPr="002029AF">
              <w:t xml:space="preserve"> </w:t>
            </w:r>
            <w:r w:rsidRPr="002029AF">
              <w:t>employee</w:t>
            </w:r>
            <w:r w:rsidR="000A5329" w:rsidRPr="002029AF">
              <w:t xml:space="preserve"> </w:t>
            </w:r>
            <w:r w:rsidRPr="002029AF">
              <w:t>benefits</w:t>
            </w:r>
          </w:p>
        </w:tc>
        <w:tc>
          <w:tcPr>
            <w:tcW w:w="1134" w:type="dxa"/>
            <w:shd w:val="clear" w:color="auto" w:fill="E7E6E6"/>
            <w:noWrap/>
            <w:hideMark/>
          </w:tcPr>
          <w:p w14:paraId="5A15F2D1" w14:textId="77777777" w:rsidR="00087B91" w:rsidRPr="002029AF" w:rsidRDefault="00087B91" w:rsidP="00860E95">
            <w:pPr>
              <w:pStyle w:val="ARfintablebodyrightbold"/>
            </w:pPr>
            <w:r w:rsidRPr="002029AF">
              <w:t>1,200.2</w:t>
            </w:r>
          </w:p>
        </w:tc>
        <w:tc>
          <w:tcPr>
            <w:tcW w:w="1134" w:type="dxa"/>
            <w:noWrap/>
            <w:hideMark/>
          </w:tcPr>
          <w:p w14:paraId="171113D2" w14:textId="77777777" w:rsidR="00087B91" w:rsidRPr="002029AF" w:rsidRDefault="00087B91" w:rsidP="00860E95">
            <w:pPr>
              <w:pStyle w:val="ARfintablebodyrightbold"/>
            </w:pPr>
            <w:r w:rsidRPr="002029AF">
              <w:t>1,479.7</w:t>
            </w:r>
          </w:p>
        </w:tc>
      </w:tr>
    </w:tbl>
    <w:p w14:paraId="6D65969B" w14:textId="4090DC58" w:rsidR="00087B91" w:rsidRPr="002029AF" w:rsidRDefault="00087B91" w:rsidP="00087B91">
      <w:pPr>
        <w:pStyle w:val="ARfinbodyaftertable"/>
        <w:rPr>
          <w:strike/>
        </w:rPr>
      </w:pPr>
      <w:r w:rsidRPr="002029AF">
        <w:t>Employee</w:t>
      </w:r>
      <w:r w:rsidR="000A5329" w:rsidRPr="002029AF">
        <w:t xml:space="preserve"> </w:t>
      </w:r>
      <w:r w:rsidRPr="002029AF">
        <w:t>benefits</w:t>
      </w:r>
      <w:r w:rsidR="000A5329" w:rsidRPr="002029AF">
        <w:t xml:space="preserve"> </w:t>
      </w:r>
      <w:r w:rsidRPr="002029AF">
        <w:t>include</w:t>
      </w:r>
      <w:r w:rsidR="000A5329" w:rsidRPr="002029AF">
        <w:t xml:space="preserve"> </w:t>
      </w:r>
      <w:r w:rsidRPr="002029AF">
        <w:t>all</w:t>
      </w:r>
      <w:r w:rsidR="000A5329" w:rsidRPr="002029AF">
        <w:t xml:space="preserve"> </w:t>
      </w:r>
      <w:r w:rsidRPr="002029AF">
        <w:t>costs</w:t>
      </w:r>
      <w:r w:rsidR="000A5329" w:rsidRPr="002029AF">
        <w:t xml:space="preserve"> </w:t>
      </w:r>
      <w:r w:rsidRPr="002029AF">
        <w:t>related</w:t>
      </w:r>
      <w:r w:rsidR="000A5329" w:rsidRPr="002029AF">
        <w:t xml:space="preserve"> </w:t>
      </w:r>
      <w:r w:rsidRPr="002029AF">
        <w:t>to</w:t>
      </w:r>
      <w:r w:rsidR="000A5329" w:rsidRPr="002029AF">
        <w:t xml:space="preserve"> </w:t>
      </w:r>
      <w:r w:rsidRPr="002029AF">
        <w:t>employment</w:t>
      </w:r>
      <w:r w:rsidR="000A5329" w:rsidRPr="002029AF">
        <w:t xml:space="preserve"> </w:t>
      </w:r>
      <w:r w:rsidRPr="002029AF">
        <w:t>including</w:t>
      </w:r>
      <w:r w:rsidR="000A5329" w:rsidRPr="002029AF">
        <w:t xml:space="preserve"> </w:t>
      </w:r>
      <w:r w:rsidRPr="002029AF">
        <w:t>salaries</w:t>
      </w:r>
      <w:r w:rsidR="000A5329" w:rsidRPr="002029AF">
        <w:t xml:space="preserve"> </w:t>
      </w:r>
      <w:r w:rsidRPr="002029AF">
        <w:t>and</w:t>
      </w:r>
      <w:r w:rsidR="000A5329" w:rsidRPr="002029AF">
        <w:t xml:space="preserve"> </w:t>
      </w:r>
      <w:r w:rsidRPr="002029AF">
        <w:t>wages,</w:t>
      </w:r>
      <w:r w:rsidR="000A5329" w:rsidRPr="002029AF">
        <w:t xml:space="preserve"> </w:t>
      </w:r>
      <w:r w:rsidRPr="002029AF">
        <w:t>leave</w:t>
      </w:r>
      <w:r w:rsidR="000A5329" w:rsidRPr="002029AF">
        <w:t xml:space="preserve"> </w:t>
      </w:r>
      <w:r w:rsidRPr="002029AF">
        <w:t>entitlements,</w:t>
      </w:r>
      <w:r w:rsidR="000A5329" w:rsidRPr="002029AF">
        <w:t xml:space="preserve"> </w:t>
      </w:r>
      <w:r w:rsidRPr="002029AF">
        <w:t>fringe</w:t>
      </w:r>
      <w:r w:rsidR="000A5329" w:rsidRPr="002029AF">
        <w:t xml:space="preserve"> </w:t>
      </w:r>
      <w:r w:rsidRPr="002029AF">
        <w:t>benefits</w:t>
      </w:r>
      <w:r w:rsidR="000A5329" w:rsidRPr="002029AF">
        <w:t xml:space="preserve"> </w:t>
      </w:r>
      <w:r w:rsidRPr="002029AF">
        <w:t>tax,</w:t>
      </w:r>
      <w:r w:rsidR="000A5329" w:rsidRPr="002029AF">
        <w:t xml:space="preserve"> </w:t>
      </w:r>
      <w:r w:rsidRPr="002029AF">
        <w:t>termination</w:t>
      </w:r>
      <w:r w:rsidR="000A5329" w:rsidRPr="002029AF">
        <w:t xml:space="preserve"> </w:t>
      </w:r>
      <w:r w:rsidRPr="002029AF">
        <w:t>benefits,</w:t>
      </w:r>
      <w:r w:rsidR="000A5329" w:rsidRPr="002029AF">
        <w:t xml:space="preserve"> </w:t>
      </w:r>
      <w:r w:rsidRPr="002029AF">
        <w:t>payroll</w:t>
      </w:r>
      <w:r w:rsidR="000A5329" w:rsidRPr="002029AF">
        <w:t xml:space="preserve"> </w:t>
      </w:r>
      <w:r w:rsidRPr="002029AF">
        <w:t>tax</w:t>
      </w:r>
      <w:r w:rsidR="000A5329" w:rsidRPr="002029AF">
        <w:t xml:space="preserve"> </w:t>
      </w:r>
      <w:r w:rsidRPr="002029AF">
        <w:t>and</w:t>
      </w:r>
      <w:r w:rsidR="000A5329" w:rsidRPr="002029AF">
        <w:t xml:space="preserve"> </w:t>
      </w:r>
      <w:r w:rsidRPr="002029AF">
        <w:t>WorkCover</w:t>
      </w:r>
      <w:r w:rsidR="000A5329" w:rsidRPr="002029AF">
        <w:t xml:space="preserve"> </w:t>
      </w:r>
      <w:r w:rsidRPr="002029AF">
        <w:t>premiums.</w:t>
      </w:r>
    </w:p>
    <w:p w14:paraId="6D4FA327" w14:textId="6C821777" w:rsidR="00087B91" w:rsidRPr="002029AF" w:rsidRDefault="00087B91" w:rsidP="00087B91">
      <w:pPr>
        <w:pStyle w:val="ARfinbody"/>
      </w:pPr>
      <w:r w:rsidRPr="002029AF">
        <w:t>The</w:t>
      </w:r>
      <w:r w:rsidR="000A5329" w:rsidRPr="002029AF">
        <w:t xml:space="preserve"> </w:t>
      </w:r>
      <w:r w:rsidRPr="002029AF">
        <w:t>amount</w:t>
      </w:r>
      <w:r w:rsidR="000A5329" w:rsidRPr="002029AF">
        <w:t xml:space="preserve"> </w:t>
      </w:r>
      <w:r w:rsidRPr="002029AF">
        <w:t>recognised</w:t>
      </w:r>
      <w:r w:rsidR="000A5329" w:rsidRPr="002029AF">
        <w:t xml:space="preserve"> </w:t>
      </w:r>
      <w:r w:rsidRPr="002029AF">
        <w:t>in</w:t>
      </w:r>
      <w:r w:rsidR="000A5329" w:rsidRPr="002029AF">
        <w:t xml:space="preserve"> </w:t>
      </w:r>
      <w:r w:rsidRPr="002029AF">
        <w:t>the</w:t>
      </w:r>
      <w:r w:rsidR="000A5329" w:rsidRPr="002029AF">
        <w:t xml:space="preserve"> </w:t>
      </w:r>
      <w:r w:rsidRPr="002029AF">
        <w:t>comprehensive</w:t>
      </w:r>
      <w:r w:rsidR="000A5329" w:rsidRPr="002029AF">
        <w:t xml:space="preserve"> </w:t>
      </w:r>
      <w:r w:rsidRPr="002029AF">
        <w:t>operating</w:t>
      </w:r>
      <w:r w:rsidR="000A5329" w:rsidRPr="002029AF">
        <w:t xml:space="preserve"> </w:t>
      </w:r>
      <w:r w:rsidRPr="002029AF">
        <w:t>statement</w:t>
      </w:r>
      <w:r w:rsidR="000A5329" w:rsidRPr="002029AF">
        <w:t xml:space="preserve"> </w:t>
      </w:r>
      <w:r w:rsidRPr="002029AF">
        <w:t>in</w:t>
      </w:r>
      <w:r w:rsidR="000A5329" w:rsidRPr="002029AF">
        <w:t xml:space="preserve"> </w:t>
      </w:r>
      <w:r w:rsidRPr="002029AF">
        <w:t>relation</w:t>
      </w:r>
      <w:r w:rsidR="000A5329" w:rsidRPr="002029AF">
        <w:t xml:space="preserve"> </w:t>
      </w:r>
      <w:r w:rsidRPr="002029AF">
        <w:t>to</w:t>
      </w:r>
      <w:r w:rsidR="000A5329" w:rsidRPr="002029AF">
        <w:t xml:space="preserve"> </w:t>
      </w:r>
      <w:r w:rsidRPr="002029AF">
        <w:t>superannuation</w:t>
      </w:r>
      <w:r w:rsidR="000A5329" w:rsidRPr="002029AF">
        <w:t xml:space="preserve"> </w:t>
      </w:r>
      <w:r w:rsidRPr="002029AF">
        <w:t>is</w:t>
      </w:r>
      <w:r w:rsidR="000A5329" w:rsidRPr="002029AF">
        <w:t xml:space="preserve"> </w:t>
      </w:r>
      <w:r w:rsidRPr="002029AF">
        <w:t>employer</w:t>
      </w:r>
      <w:r w:rsidR="000A5329" w:rsidRPr="002029AF">
        <w:t xml:space="preserve"> </w:t>
      </w:r>
      <w:r w:rsidRPr="002029AF">
        <w:t>contributions</w:t>
      </w:r>
      <w:r w:rsidR="000A5329" w:rsidRPr="002029AF">
        <w:t xml:space="preserve"> </w:t>
      </w:r>
      <w:r w:rsidRPr="002029AF">
        <w:t>for</w:t>
      </w:r>
      <w:r w:rsidR="000A5329" w:rsidRPr="002029AF">
        <w:t xml:space="preserve"> </w:t>
      </w:r>
      <w:r w:rsidRPr="002029AF">
        <w:t>members</w:t>
      </w:r>
      <w:r w:rsidR="000A5329" w:rsidRPr="002029AF">
        <w:t xml:space="preserve"> </w:t>
      </w:r>
      <w:r w:rsidRPr="002029AF">
        <w:t>of</w:t>
      </w:r>
      <w:r w:rsidR="000A5329" w:rsidRPr="002029AF">
        <w:t xml:space="preserve"> </w:t>
      </w:r>
      <w:r w:rsidRPr="002029AF">
        <w:t>both</w:t>
      </w:r>
      <w:r w:rsidR="000A5329" w:rsidRPr="002029AF">
        <w:t xml:space="preserve"> </w:t>
      </w:r>
      <w:r w:rsidRPr="002029AF">
        <w:t>defined</w:t>
      </w:r>
      <w:r w:rsidR="000A5329" w:rsidRPr="002029AF">
        <w:t xml:space="preserve"> </w:t>
      </w:r>
      <w:r w:rsidRPr="002029AF">
        <w:t>benefit</w:t>
      </w:r>
      <w:r w:rsidR="000A5329" w:rsidRPr="002029AF">
        <w:t xml:space="preserve"> </w:t>
      </w:r>
      <w:r w:rsidRPr="002029AF">
        <w:t>and</w:t>
      </w:r>
      <w:r w:rsidR="000A5329" w:rsidRPr="002029AF">
        <w:t xml:space="preserve"> </w:t>
      </w:r>
      <w:r w:rsidRPr="002029AF">
        <w:t>defined</w:t>
      </w:r>
      <w:r w:rsidR="000A5329" w:rsidRPr="002029AF">
        <w:t xml:space="preserve"> </w:t>
      </w:r>
      <w:r w:rsidRPr="002029AF">
        <w:t>contribution</w:t>
      </w:r>
      <w:r w:rsidR="000A5329" w:rsidRPr="002029AF">
        <w:t xml:space="preserve"> </w:t>
      </w:r>
      <w:r w:rsidRPr="002029AF">
        <w:t>superannuation</w:t>
      </w:r>
      <w:r w:rsidR="000A5329" w:rsidRPr="002029AF">
        <w:t xml:space="preserve"> </w:t>
      </w:r>
      <w:r w:rsidRPr="002029AF">
        <w:t>plans</w:t>
      </w:r>
      <w:r w:rsidR="000A5329" w:rsidRPr="002029AF">
        <w:t xml:space="preserve"> </w:t>
      </w:r>
      <w:r w:rsidRPr="002029AF">
        <w:t>that</w:t>
      </w:r>
      <w:r w:rsidR="000A5329" w:rsidRPr="002029AF">
        <w:t xml:space="preserve"> </w:t>
      </w:r>
      <w:r w:rsidRPr="002029AF">
        <w:t>are</w:t>
      </w:r>
      <w:r w:rsidR="000A5329" w:rsidRPr="002029AF">
        <w:t xml:space="preserve"> </w:t>
      </w:r>
      <w:r w:rsidRPr="002029AF">
        <w:t>paid</w:t>
      </w:r>
      <w:r w:rsidR="000A5329" w:rsidRPr="002029AF">
        <w:t xml:space="preserve"> </w:t>
      </w:r>
      <w:r w:rsidRPr="002029AF">
        <w:t>or</w:t>
      </w:r>
      <w:r w:rsidR="000A5329" w:rsidRPr="002029AF">
        <w:t xml:space="preserve"> </w:t>
      </w:r>
      <w:r w:rsidRPr="002029AF">
        <w:t>payable</w:t>
      </w:r>
      <w:r w:rsidR="000A5329" w:rsidRPr="002029AF">
        <w:t xml:space="preserve"> </w:t>
      </w:r>
      <w:r w:rsidRPr="002029AF">
        <w:t>during</w:t>
      </w:r>
      <w:r w:rsidR="000A5329" w:rsidRPr="002029AF">
        <w:t xml:space="preserve"> </w:t>
      </w:r>
      <w:r w:rsidRPr="002029AF">
        <w:t>the</w:t>
      </w:r>
      <w:r w:rsidR="000A5329" w:rsidRPr="002029AF">
        <w:t xml:space="preserve"> </w:t>
      </w:r>
      <w:r w:rsidRPr="002029AF">
        <w:t>reporting</w:t>
      </w:r>
      <w:r w:rsidR="000A5329" w:rsidRPr="002029AF">
        <w:t xml:space="preserve"> </w:t>
      </w:r>
      <w:r w:rsidRPr="002029AF">
        <w:t>period.</w:t>
      </w:r>
      <w:r w:rsidR="000A5329" w:rsidRPr="002029AF">
        <w:t xml:space="preserve"> </w:t>
      </w:r>
      <w:r w:rsidRPr="002029AF">
        <w:t>Excluding</w:t>
      </w:r>
      <w:r w:rsidR="000A5329" w:rsidRPr="002029AF">
        <w:t xml:space="preserve"> </w:t>
      </w:r>
      <w:r w:rsidRPr="002029AF">
        <w:t>former</w:t>
      </w:r>
      <w:r w:rsidR="000A5329" w:rsidRPr="002029AF">
        <w:t xml:space="preserve"> </w:t>
      </w:r>
      <w:r w:rsidRPr="002029AF">
        <w:t>employees</w:t>
      </w:r>
      <w:r w:rsidR="000A5329" w:rsidRPr="002029AF">
        <w:t xml:space="preserve"> </w:t>
      </w:r>
      <w:r w:rsidRPr="002029AF">
        <w:t>of</w:t>
      </w:r>
      <w:r w:rsidR="000A5329" w:rsidRPr="002029AF">
        <w:t xml:space="preserve"> </w:t>
      </w:r>
      <w:r w:rsidRPr="002029AF">
        <w:t>the</w:t>
      </w:r>
      <w:r w:rsidR="000A5329" w:rsidRPr="002029AF">
        <w:t xml:space="preserve"> </w:t>
      </w:r>
      <w:r w:rsidRPr="002029AF">
        <w:t>Director</w:t>
      </w:r>
      <w:r w:rsidR="000A5329" w:rsidRPr="002029AF">
        <w:t xml:space="preserve"> </w:t>
      </w:r>
      <w:r w:rsidRPr="002029AF">
        <w:t>of</w:t>
      </w:r>
      <w:r w:rsidR="000A5329" w:rsidRPr="002029AF">
        <w:t xml:space="preserve"> </w:t>
      </w:r>
      <w:r w:rsidRPr="002029AF">
        <w:t>Housing,</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does</w:t>
      </w:r>
      <w:r w:rsidR="000A5329" w:rsidRPr="002029AF">
        <w:t xml:space="preserve"> </w:t>
      </w:r>
      <w:r w:rsidRPr="002029AF">
        <w:t>not</w:t>
      </w:r>
      <w:r w:rsidR="000A5329" w:rsidRPr="002029AF">
        <w:t xml:space="preserve"> </w:t>
      </w:r>
      <w:r w:rsidRPr="002029AF">
        <w:t>recognise</w:t>
      </w:r>
      <w:r w:rsidR="000A5329" w:rsidRPr="002029AF">
        <w:t xml:space="preserve"> </w:t>
      </w:r>
      <w:r w:rsidRPr="002029AF">
        <w:t>any</w:t>
      </w:r>
      <w:r w:rsidR="000A5329" w:rsidRPr="002029AF">
        <w:t xml:space="preserve"> </w:t>
      </w:r>
      <w:r w:rsidRPr="002029AF">
        <w:t>defined</w:t>
      </w:r>
      <w:r w:rsidR="000A5329" w:rsidRPr="002029AF">
        <w:t xml:space="preserve"> </w:t>
      </w:r>
      <w:r w:rsidRPr="002029AF">
        <w:t>benefit</w:t>
      </w:r>
      <w:r w:rsidR="000A5329" w:rsidRPr="002029AF">
        <w:t xml:space="preserve"> </w:t>
      </w:r>
      <w:r w:rsidRPr="002029AF">
        <w:t>liabilities</w:t>
      </w:r>
      <w:r w:rsidR="000A5329" w:rsidRPr="002029AF">
        <w:t xml:space="preserve"> </w:t>
      </w:r>
      <w:r w:rsidRPr="002029AF">
        <w:t>because</w:t>
      </w:r>
      <w:r w:rsidR="000A5329" w:rsidRPr="002029AF">
        <w:t xml:space="preserve"> </w:t>
      </w:r>
      <w:r w:rsidRPr="002029AF">
        <w:t>it</w:t>
      </w:r>
      <w:r w:rsidR="000A5329" w:rsidRPr="002029AF">
        <w:t xml:space="preserve"> </w:t>
      </w:r>
      <w:r w:rsidRPr="002029AF">
        <w:t>has</w:t>
      </w:r>
      <w:r w:rsidR="000A5329" w:rsidRPr="002029AF">
        <w:t xml:space="preserve"> </w:t>
      </w:r>
      <w:r w:rsidRPr="002029AF">
        <w:t>no</w:t>
      </w:r>
      <w:r w:rsidR="000A5329" w:rsidRPr="002029AF">
        <w:t xml:space="preserve"> </w:t>
      </w:r>
      <w:r w:rsidRPr="002029AF">
        <w:t>legal</w:t>
      </w:r>
      <w:r w:rsidR="000A5329" w:rsidRPr="002029AF">
        <w:t xml:space="preserve"> </w:t>
      </w:r>
      <w:r w:rsidRPr="002029AF">
        <w:t>or</w:t>
      </w:r>
      <w:r w:rsidR="000A5329" w:rsidRPr="002029AF">
        <w:t xml:space="preserve"> </w:t>
      </w:r>
      <w:r w:rsidRPr="002029AF">
        <w:t>constructive</w:t>
      </w:r>
      <w:r w:rsidR="000A5329" w:rsidRPr="002029AF">
        <w:t xml:space="preserve"> </w:t>
      </w:r>
      <w:r w:rsidRPr="002029AF">
        <w:t>obligation</w:t>
      </w:r>
      <w:r w:rsidR="000A5329" w:rsidRPr="002029AF">
        <w:t xml:space="preserve"> </w:t>
      </w:r>
      <w:r w:rsidRPr="002029AF">
        <w:t>to</w:t>
      </w:r>
      <w:r w:rsidR="000A5329" w:rsidRPr="002029AF">
        <w:t xml:space="preserve"> </w:t>
      </w:r>
      <w:r w:rsidRPr="002029AF">
        <w:t>pay</w:t>
      </w:r>
      <w:r w:rsidR="000A5329" w:rsidRPr="002029AF">
        <w:t xml:space="preserve"> </w:t>
      </w:r>
      <w:r w:rsidRPr="002029AF">
        <w:t>future</w:t>
      </w:r>
      <w:r w:rsidR="000A5329" w:rsidRPr="002029AF">
        <w:t xml:space="preserve"> </w:t>
      </w:r>
      <w:r w:rsidRPr="002029AF">
        <w:t>benefits</w:t>
      </w:r>
      <w:r w:rsidR="000A5329" w:rsidRPr="002029AF">
        <w:t xml:space="preserve"> </w:t>
      </w:r>
      <w:r w:rsidRPr="002029AF">
        <w:t>relating</w:t>
      </w:r>
      <w:r w:rsidR="000A5329" w:rsidRPr="002029AF">
        <w:t xml:space="preserve"> </w:t>
      </w:r>
      <w:r w:rsidRPr="002029AF">
        <w:t>to</w:t>
      </w:r>
      <w:r w:rsidR="000A5329" w:rsidRPr="002029AF">
        <w:t xml:space="preserve"> </w:t>
      </w:r>
      <w:r w:rsidRPr="002029AF">
        <w:t>its</w:t>
      </w:r>
      <w:r w:rsidR="000A5329" w:rsidRPr="002029AF">
        <w:t xml:space="preserve"> </w:t>
      </w:r>
      <w:r w:rsidRPr="002029AF">
        <w:t>employees.</w:t>
      </w:r>
      <w:r w:rsidR="000A5329" w:rsidRPr="002029AF">
        <w:t xml:space="preserve"> </w:t>
      </w:r>
      <w:r w:rsidRPr="002029AF">
        <w:t>Instead,</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of</w:t>
      </w:r>
      <w:r w:rsidR="000A5329" w:rsidRPr="002029AF">
        <w:t xml:space="preserve"> </w:t>
      </w:r>
      <w:r w:rsidRPr="002029AF">
        <w:t>Treasury</w:t>
      </w:r>
      <w:r w:rsidR="000A5329" w:rsidRPr="002029AF">
        <w:t xml:space="preserve"> </w:t>
      </w:r>
      <w:r w:rsidRPr="002029AF">
        <w:t>and</w:t>
      </w:r>
      <w:r w:rsidR="000A5329" w:rsidRPr="002029AF">
        <w:t xml:space="preserve"> </w:t>
      </w:r>
      <w:r w:rsidRPr="002029AF">
        <w:t>Finance</w:t>
      </w:r>
      <w:r w:rsidR="000A5329" w:rsidRPr="002029AF">
        <w:t xml:space="preserve"> </w:t>
      </w:r>
      <w:r w:rsidRPr="002029AF">
        <w:t>discloses</w:t>
      </w:r>
      <w:r w:rsidR="000A5329" w:rsidRPr="002029AF">
        <w:t xml:space="preserve"> </w:t>
      </w:r>
      <w:r w:rsidRPr="002029AF">
        <w:t>in</w:t>
      </w:r>
      <w:r w:rsidR="000A5329" w:rsidRPr="002029AF">
        <w:t xml:space="preserve"> </w:t>
      </w:r>
      <w:r w:rsidRPr="002029AF">
        <w:t>its</w:t>
      </w:r>
      <w:r w:rsidR="000A5329" w:rsidRPr="002029AF">
        <w:t xml:space="preserve"> </w:t>
      </w:r>
      <w:r w:rsidRPr="002029AF">
        <w:t>annual</w:t>
      </w:r>
      <w:r w:rsidR="000A5329" w:rsidRPr="002029AF">
        <w:t xml:space="preserve"> </w:t>
      </w:r>
      <w:r w:rsidRPr="002029AF">
        <w:t>financial</w:t>
      </w:r>
      <w:r w:rsidR="000A5329" w:rsidRPr="002029AF">
        <w:t xml:space="preserve"> </w:t>
      </w:r>
      <w:r w:rsidRPr="002029AF">
        <w:t>statements</w:t>
      </w:r>
      <w:r w:rsidR="000A5329" w:rsidRPr="002029AF">
        <w:t xml:space="preserve"> </w:t>
      </w:r>
      <w:r w:rsidRPr="002029AF">
        <w:t>the</w:t>
      </w:r>
      <w:r w:rsidR="000A5329" w:rsidRPr="002029AF">
        <w:t xml:space="preserve"> </w:t>
      </w:r>
      <w:r w:rsidRPr="002029AF">
        <w:t>net</w:t>
      </w:r>
      <w:r w:rsidR="000A5329" w:rsidRPr="002029AF">
        <w:t xml:space="preserve"> </w:t>
      </w:r>
      <w:r w:rsidRPr="002029AF">
        <w:t>defined</w:t>
      </w:r>
      <w:r w:rsidR="000A5329" w:rsidRPr="002029AF">
        <w:t xml:space="preserve"> </w:t>
      </w:r>
      <w:r w:rsidRPr="002029AF">
        <w:t>benefit</w:t>
      </w:r>
      <w:r w:rsidR="000A5329" w:rsidRPr="002029AF">
        <w:t xml:space="preserve"> </w:t>
      </w:r>
      <w:r w:rsidRPr="002029AF">
        <w:t>cost</w:t>
      </w:r>
      <w:r w:rsidR="000A5329" w:rsidRPr="002029AF">
        <w:t xml:space="preserve"> </w:t>
      </w:r>
      <w:r w:rsidRPr="002029AF">
        <w:t>related</w:t>
      </w:r>
      <w:r w:rsidR="000A5329" w:rsidRPr="002029AF">
        <w:t xml:space="preserve"> </w:t>
      </w:r>
      <w:r w:rsidRPr="002029AF">
        <w:t>to</w:t>
      </w:r>
      <w:r w:rsidR="000A5329" w:rsidRPr="002029AF">
        <w:t xml:space="preserve"> </w:t>
      </w:r>
      <w:r w:rsidRPr="002029AF">
        <w:t>the</w:t>
      </w:r>
      <w:r w:rsidR="000A5329" w:rsidRPr="002029AF">
        <w:t xml:space="preserve"> </w:t>
      </w:r>
      <w:r w:rsidRPr="002029AF">
        <w:t>members</w:t>
      </w:r>
      <w:r w:rsidR="000A5329" w:rsidRPr="002029AF">
        <w:t xml:space="preserve"> </w:t>
      </w:r>
      <w:r w:rsidRPr="002029AF">
        <w:t>of</w:t>
      </w:r>
      <w:r w:rsidR="000A5329" w:rsidRPr="002029AF">
        <w:t xml:space="preserve"> </w:t>
      </w:r>
      <w:r w:rsidRPr="002029AF">
        <w:t>these</w:t>
      </w:r>
      <w:r w:rsidR="000A5329" w:rsidRPr="002029AF">
        <w:t xml:space="preserve"> </w:t>
      </w:r>
      <w:r w:rsidRPr="002029AF">
        <w:t>plans</w:t>
      </w:r>
      <w:r w:rsidR="000A5329" w:rsidRPr="002029AF">
        <w:t xml:space="preserve"> </w:t>
      </w:r>
      <w:r w:rsidRPr="002029AF">
        <w:t>as</w:t>
      </w:r>
      <w:r w:rsidR="000A5329" w:rsidRPr="002029AF">
        <w:t xml:space="preserve"> </w:t>
      </w:r>
      <w:r w:rsidRPr="002029AF">
        <w:t>an</w:t>
      </w:r>
      <w:r w:rsidR="000A5329" w:rsidRPr="002029AF">
        <w:t xml:space="preserve"> </w:t>
      </w:r>
      <w:r w:rsidRPr="002029AF">
        <w:t>administered</w:t>
      </w:r>
      <w:r w:rsidR="000A5329" w:rsidRPr="002029AF">
        <w:t xml:space="preserve"> </w:t>
      </w:r>
      <w:r w:rsidRPr="002029AF">
        <w:t>liability</w:t>
      </w:r>
      <w:r w:rsidR="000A5329" w:rsidRPr="002029AF">
        <w:t xml:space="preserve"> </w:t>
      </w:r>
      <w:r w:rsidRPr="002029AF">
        <w:t>(on</w:t>
      </w:r>
      <w:r w:rsidR="000A5329" w:rsidRPr="002029AF">
        <w:t xml:space="preserve"> </w:t>
      </w:r>
      <w:r w:rsidRPr="002029AF">
        <w:t>behalf</w:t>
      </w:r>
      <w:r w:rsidR="000A5329" w:rsidRPr="002029AF">
        <w:t xml:space="preserve"> </w:t>
      </w:r>
      <w:r w:rsidRPr="002029AF">
        <w:t>of</w:t>
      </w:r>
      <w:r w:rsidR="000A5329" w:rsidRPr="002029AF">
        <w:t xml:space="preserve"> </w:t>
      </w:r>
      <w:r w:rsidRPr="002029AF">
        <w:t>the</w:t>
      </w:r>
      <w:r w:rsidR="000A5329" w:rsidRPr="002029AF">
        <w:t xml:space="preserve"> </w:t>
      </w:r>
      <w:r w:rsidRPr="002029AF">
        <w:t>state</w:t>
      </w:r>
      <w:r w:rsidR="000A5329" w:rsidRPr="002029AF">
        <w:t xml:space="preserve"> </w:t>
      </w:r>
      <w:r w:rsidRPr="002029AF">
        <w:t>as</w:t>
      </w:r>
      <w:r w:rsidR="000A5329" w:rsidRPr="002029AF">
        <w:t xml:space="preserve"> </w:t>
      </w:r>
      <w:r w:rsidRPr="002029AF">
        <w:t>the</w:t>
      </w:r>
      <w:r w:rsidR="000A5329" w:rsidRPr="002029AF">
        <w:t xml:space="preserve"> </w:t>
      </w:r>
      <w:r w:rsidRPr="002029AF">
        <w:t>sponsoring</w:t>
      </w:r>
      <w:r w:rsidR="000A5329" w:rsidRPr="002029AF">
        <w:t xml:space="preserve"> </w:t>
      </w:r>
      <w:r w:rsidRPr="002029AF">
        <w:t>employer).</w:t>
      </w:r>
    </w:p>
    <w:p w14:paraId="23331046" w14:textId="2D043BC0" w:rsidR="00087B91" w:rsidRPr="002029AF" w:rsidRDefault="00087B91" w:rsidP="00087B91">
      <w:pPr>
        <w:pStyle w:val="ARfinbody"/>
      </w:pPr>
      <w:r w:rsidRPr="002029AF">
        <w:t>Termination</w:t>
      </w:r>
      <w:r w:rsidR="000A5329" w:rsidRPr="002029AF">
        <w:t xml:space="preserve"> </w:t>
      </w:r>
      <w:r w:rsidRPr="002029AF">
        <w:t>benefits</w:t>
      </w:r>
      <w:r w:rsidR="000A5329" w:rsidRPr="002029AF">
        <w:t xml:space="preserve"> </w:t>
      </w:r>
      <w:r w:rsidRPr="002029AF">
        <w:t>are</w:t>
      </w:r>
      <w:r w:rsidR="000A5329" w:rsidRPr="002029AF">
        <w:t xml:space="preserve"> </w:t>
      </w:r>
      <w:r w:rsidRPr="002029AF">
        <w:t>payable</w:t>
      </w:r>
      <w:r w:rsidR="000A5329" w:rsidRPr="002029AF">
        <w:t xml:space="preserve"> </w:t>
      </w:r>
      <w:r w:rsidRPr="002029AF">
        <w:t>when</w:t>
      </w:r>
      <w:r w:rsidR="000A5329" w:rsidRPr="002029AF">
        <w:t xml:space="preserve"> </w:t>
      </w:r>
      <w:r w:rsidRPr="002029AF">
        <w:t>employment</w:t>
      </w:r>
      <w:r w:rsidR="000A5329" w:rsidRPr="002029AF">
        <w:t xml:space="preserve"> </w:t>
      </w:r>
      <w:r w:rsidRPr="002029AF">
        <w:t>is</w:t>
      </w:r>
      <w:r w:rsidR="000A5329" w:rsidRPr="002029AF">
        <w:t xml:space="preserve"> </w:t>
      </w:r>
      <w:r w:rsidRPr="002029AF">
        <w:t>terminated</w:t>
      </w:r>
      <w:r w:rsidR="000A5329" w:rsidRPr="002029AF">
        <w:t xml:space="preserve"> </w:t>
      </w:r>
      <w:r w:rsidRPr="002029AF">
        <w:t>before</w:t>
      </w:r>
      <w:r w:rsidR="000A5329" w:rsidRPr="002029AF">
        <w:t xml:space="preserve"> </w:t>
      </w:r>
      <w:r w:rsidRPr="002029AF">
        <w:t>normal</w:t>
      </w:r>
      <w:r w:rsidR="000A5329" w:rsidRPr="002029AF">
        <w:t xml:space="preserve"> </w:t>
      </w:r>
      <w:r w:rsidRPr="002029AF">
        <w:t>retirement</w:t>
      </w:r>
      <w:r w:rsidR="000A5329" w:rsidRPr="002029AF">
        <w:t xml:space="preserve"> </w:t>
      </w:r>
      <w:r w:rsidRPr="002029AF">
        <w:t>date,</w:t>
      </w:r>
      <w:r w:rsidR="000A5329" w:rsidRPr="002029AF">
        <w:t xml:space="preserve"> </w:t>
      </w:r>
      <w:r w:rsidRPr="002029AF">
        <w:t>or</w:t>
      </w:r>
      <w:r w:rsidR="000A5329" w:rsidRPr="002029AF">
        <w:t xml:space="preserve"> </w:t>
      </w:r>
      <w:r w:rsidRPr="002029AF">
        <w:t>when</w:t>
      </w:r>
      <w:r w:rsidR="000A5329" w:rsidRPr="002029AF">
        <w:t xml:space="preserve"> </w:t>
      </w:r>
      <w:r w:rsidRPr="002029AF">
        <w:t>an</w:t>
      </w:r>
      <w:r w:rsidR="000A5329" w:rsidRPr="002029AF">
        <w:t xml:space="preserve"> </w:t>
      </w:r>
      <w:r w:rsidRPr="002029AF">
        <w:t>employee</w:t>
      </w:r>
      <w:r w:rsidR="000A5329" w:rsidRPr="002029AF">
        <w:t xml:space="preserve"> </w:t>
      </w:r>
      <w:r w:rsidRPr="002029AF">
        <w:t>accepts</w:t>
      </w:r>
      <w:r w:rsidR="000A5329" w:rsidRPr="002029AF">
        <w:t xml:space="preserve"> </w:t>
      </w:r>
      <w:r w:rsidRPr="002029AF">
        <w:t>an</w:t>
      </w:r>
      <w:r w:rsidR="000A5329" w:rsidRPr="002029AF">
        <w:t xml:space="preserve"> </w:t>
      </w:r>
      <w:r w:rsidRPr="002029AF">
        <w:t>offer</w:t>
      </w:r>
      <w:r w:rsidR="000A5329" w:rsidRPr="002029AF">
        <w:t xml:space="preserve"> </w:t>
      </w:r>
      <w:r w:rsidRPr="002029AF">
        <w:t>of</w:t>
      </w:r>
      <w:r w:rsidR="000A5329" w:rsidRPr="002029AF">
        <w:t xml:space="preserve"> </w:t>
      </w:r>
      <w:r w:rsidRPr="002029AF">
        <w:t>benefits</w:t>
      </w:r>
      <w:r w:rsidR="000A5329" w:rsidRPr="002029AF">
        <w:t xml:space="preserve"> </w:t>
      </w:r>
      <w:r w:rsidRPr="002029AF">
        <w:t>in</w:t>
      </w:r>
      <w:r w:rsidR="000A5329" w:rsidRPr="002029AF">
        <w:t xml:space="preserve"> </w:t>
      </w:r>
      <w:r w:rsidRPr="002029AF">
        <w:t>exchange</w:t>
      </w:r>
      <w:r w:rsidR="000A5329" w:rsidRPr="002029AF">
        <w:t xml:space="preserve"> </w:t>
      </w:r>
      <w:r w:rsidRPr="002029AF">
        <w:t>for</w:t>
      </w:r>
      <w:r w:rsidR="000A5329" w:rsidRPr="002029AF">
        <w:t xml:space="preserve"> </w:t>
      </w:r>
      <w:r w:rsidRPr="002029AF">
        <w:t>the</w:t>
      </w:r>
      <w:r w:rsidR="000A5329" w:rsidRPr="002029AF">
        <w:t xml:space="preserve"> </w:t>
      </w:r>
      <w:r w:rsidRPr="002029AF">
        <w:t>termination</w:t>
      </w:r>
      <w:r w:rsidR="000A5329" w:rsidRPr="002029AF">
        <w:t xml:space="preserve"> </w:t>
      </w:r>
      <w:r w:rsidRPr="002029AF">
        <w:t>of</w:t>
      </w:r>
      <w:r w:rsidR="000A5329" w:rsidRPr="002029AF">
        <w:t xml:space="preserve"> </w:t>
      </w:r>
      <w:r w:rsidRPr="002029AF">
        <w:t>employment.</w:t>
      </w:r>
      <w:r w:rsidR="000A5329" w:rsidRPr="002029AF">
        <w:t xml:space="preserve"> </w:t>
      </w:r>
      <w:r w:rsidRPr="002029AF">
        <w:t>Termination</w:t>
      </w:r>
      <w:r w:rsidR="000A5329" w:rsidRPr="002029AF">
        <w:t xml:space="preserve"> </w:t>
      </w:r>
      <w:r w:rsidRPr="002029AF">
        <w:t>benefits</w:t>
      </w:r>
      <w:r w:rsidR="000A5329" w:rsidRPr="002029AF">
        <w:t xml:space="preserve"> </w:t>
      </w:r>
      <w:r w:rsidRPr="002029AF">
        <w:t>are</w:t>
      </w:r>
      <w:r w:rsidR="000A5329" w:rsidRPr="002029AF">
        <w:t xml:space="preserve"> </w:t>
      </w:r>
      <w:r w:rsidRPr="002029AF">
        <w:t>recognised</w:t>
      </w:r>
      <w:r w:rsidR="000A5329" w:rsidRPr="002029AF">
        <w:t xml:space="preserve"> </w:t>
      </w:r>
      <w:r w:rsidRPr="002029AF">
        <w:t>when</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is</w:t>
      </w:r>
      <w:r w:rsidR="000A5329" w:rsidRPr="002029AF">
        <w:t xml:space="preserve"> </w:t>
      </w:r>
      <w:r w:rsidRPr="002029AF">
        <w:t>demonstrably</w:t>
      </w:r>
      <w:r w:rsidR="000A5329" w:rsidRPr="002029AF">
        <w:t xml:space="preserve"> </w:t>
      </w:r>
      <w:r w:rsidRPr="002029AF">
        <w:t>committed</w:t>
      </w:r>
      <w:r w:rsidR="000A5329" w:rsidRPr="002029AF">
        <w:t xml:space="preserve"> </w:t>
      </w:r>
      <w:r w:rsidRPr="002029AF">
        <w:t>to</w:t>
      </w:r>
      <w:r w:rsidR="000A5329" w:rsidRPr="002029AF">
        <w:t xml:space="preserve"> </w:t>
      </w:r>
      <w:r w:rsidRPr="002029AF">
        <w:t>terminating</w:t>
      </w:r>
      <w:r w:rsidR="000A5329" w:rsidRPr="002029AF">
        <w:t xml:space="preserve"> </w:t>
      </w:r>
      <w:r w:rsidRPr="002029AF">
        <w:t>the</w:t>
      </w:r>
      <w:r w:rsidR="000A5329" w:rsidRPr="002029AF">
        <w:t xml:space="preserve"> </w:t>
      </w:r>
      <w:r w:rsidRPr="002029AF">
        <w:t>employment</w:t>
      </w:r>
      <w:r w:rsidR="000A5329" w:rsidRPr="002029AF">
        <w:t xml:space="preserve"> </w:t>
      </w:r>
      <w:r w:rsidRPr="002029AF">
        <w:t>of</w:t>
      </w:r>
      <w:r w:rsidR="000A5329" w:rsidRPr="002029AF">
        <w:t xml:space="preserve"> </w:t>
      </w:r>
      <w:r w:rsidRPr="002029AF">
        <w:t>current</w:t>
      </w:r>
      <w:r w:rsidR="000A5329" w:rsidRPr="002029AF">
        <w:t xml:space="preserve"> </w:t>
      </w:r>
      <w:r w:rsidRPr="002029AF">
        <w:t>employees</w:t>
      </w:r>
      <w:r w:rsidR="000A5329" w:rsidRPr="002029AF">
        <w:t xml:space="preserve"> </w:t>
      </w:r>
      <w:r w:rsidRPr="002029AF">
        <w:t>according</w:t>
      </w:r>
      <w:r w:rsidR="000A5329" w:rsidRPr="002029AF">
        <w:t xml:space="preserve"> </w:t>
      </w:r>
      <w:r w:rsidRPr="002029AF">
        <w:t>to</w:t>
      </w:r>
      <w:r w:rsidR="000A5329" w:rsidRPr="002029AF">
        <w:t xml:space="preserve"> </w:t>
      </w:r>
      <w:r w:rsidRPr="002029AF">
        <w:t>a</w:t>
      </w:r>
      <w:r w:rsidR="000A5329" w:rsidRPr="002029AF">
        <w:t xml:space="preserve"> </w:t>
      </w:r>
      <w:r w:rsidRPr="002029AF">
        <w:t>detailed</w:t>
      </w:r>
      <w:r w:rsidR="000A5329" w:rsidRPr="002029AF">
        <w:t xml:space="preserve"> </w:t>
      </w:r>
      <w:r w:rsidRPr="002029AF">
        <w:t>formal</w:t>
      </w:r>
      <w:r w:rsidR="000A5329" w:rsidRPr="002029AF">
        <w:t xml:space="preserve"> </w:t>
      </w:r>
      <w:r w:rsidRPr="002029AF">
        <w:t>plan</w:t>
      </w:r>
      <w:r w:rsidR="000A5329" w:rsidRPr="002029AF">
        <w:t xml:space="preserve"> </w:t>
      </w:r>
      <w:r w:rsidRPr="002029AF">
        <w:t>without</w:t>
      </w:r>
      <w:r w:rsidR="000A5329" w:rsidRPr="002029AF">
        <w:t xml:space="preserve"> </w:t>
      </w:r>
      <w:r w:rsidRPr="002029AF">
        <w:t>possibility</w:t>
      </w:r>
      <w:r w:rsidR="000A5329" w:rsidRPr="002029AF">
        <w:t xml:space="preserve"> </w:t>
      </w:r>
      <w:r w:rsidRPr="002029AF">
        <w:t>of</w:t>
      </w:r>
      <w:r w:rsidR="000A5329" w:rsidRPr="002029AF">
        <w:t xml:space="preserve"> </w:t>
      </w:r>
      <w:r w:rsidRPr="002029AF">
        <w:t>withdrawal</w:t>
      </w:r>
      <w:r w:rsidR="000A5329" w:rsidRPr="002029AF">
        <w:t xml:space="preserve"> </w:t>
      </w:r>
      <w:r w:rsidRPr="002029AF">
        <w:t>or</w:t>
      </w:r>
      <w:r w:rsidR="000A5329" w:rsidRPr="002029AF">
        <w:t xml:space="preserve"> </w:t>
      </w:r>
      <w:r w:rsidRPr="002029AF">
        <w:t>providing</w:t>
      </w:r>
      <w:r w:rsidR="000A5329" w:rsidRPr="002029AF">
        <w:t xml:space="preserve"> </w:t>
      </w:r>
      <w:r w:rsidRPr="002029AF">
        <w:t>termination</w:t>
      </w:r>
      <w:r w:rsidR="000A5329" w:rsidRPr="002029AF">
        <w:t xml:space="preserve"> </w:t>
      </w:r>
      <w:r w:rsidRPr="002029AF">
        <w:t>benefits</w:t>
      </w:r>
      <w:r w:rsidR="000A5329" w:rsidRPr="002029AF">
        <w:t xml:space="preserve"> </w:t>
      </w:r>
      <w:r w:rsidRPr="002029AF">
        <w:t>as</w:t>
      </w:r>
      <w:r w:rsidR="000A5329" w:rsidRPr="002029AF">
        <w:t xml:space="preserve"> </w:t>
      </w:r>
      <w:r w:rsidRPr="002029AF">
        <w:t>a</w:t>
      </w:r>
      <w:r w:rsidR="000A5329" w:rsidRPr="002029AF">
        <w:t xml:space="preserve"> </w:t>
      </w:r>
      <w:r w:rsidRPr="002029AF">
        <w:t>result</w:t>
      </w:r>
      <w:r w:rsidR="000A5329" w:rsidRPr="002029AF">
        <w:t xml:space="preserve"> </w:t>
      </w:r>
      <w:r w:rsidRPr="002029AF">
        <w:t>of</w:t>
      </w:r>
      <w:r w:rsidR="000A5329" w:rsidRPr="002029AF">
        <w:t xml:space="preserve"> </w:t>
      </w:r>
      <w:r w:rsidRPr="002029AF">
        <w:t>an</w:t>
      </w:r>
      <w:r w:rsidR="000A5329" w:rsidRPr="002029AF">
        <w:t xml:space="preserve"> </w:t>
      </w:r>
      <w:r w:rsidRPr="002029AF">
        <w:t>offer</w:t>
      </w:r>
      <w:r w:rsidR="000A5329" w:rsidRPr="002029AF">
        <w:t xml:space="preserve"> </w:t>
      </w:r>
      <w:r w:rsidRPr="002029AF">
        <w:t>made</w:t>
      </w:r>
      <w:r w:rsidR="000A5329" w:rsidRPr="002029AF">
        <w:t xml:space="preserve"> </w:t>
      </w:r>
      <w:r w:rsidRPr="002029AF">
        <w:t>to</w:t>
      </w:r>
      <w:r w:rsidR="000A5329" w:rsidRPr="002029AF">
        <w:t xml:space="preserve"> </w:t>
      </w:r>
      <w:r w:rsidRPr="002029AF">
        <w:t>encourage</w:t>
      </w:r>
      <w:r w:rsidR="000A5329" w:rsidRPr="002029AF">
        <w:t xml:space="preserve"> </w:t>
      </w:r>
      <w:r w:rsidRPr="002029AF">
        <w:t>voluntary</w:t>
      </w:r>
      <w:r w:rsidR="000A5329" w:rsidRPr="002029AF">
        <w:t xml:space="preserve"> </w:t>
      </w:r>
      <w:r w:rsidRPr="002029AF">
        <w:t>redundancy.</w:t>
      </w:r>
    </w:p>
    <w:p w14:paraId="7903FFB4" w14:textId="77777777" w:rsidR="00087B91" w:rsidRPr="002029AF" w:rsidRDefault="00087B91" w:rsidP="00087B91">
      <w:pPr>
        <w:pStyle w:val="ARfinbody"/>
      </w:pPr>
      <w:r w:rsidRPr="002029AF">
        <w:br w:type="page"/>
      </w:r>
    </w:p>
    <w:p w14:paraId="29759806" w14:textId="0A50C64D" w:rsidR="00087B91" w:rsidRPr="002029AF" w:rsidRDefault="00087B91" w:rsidP="00087B91">
      <w:pPr>
        <w:pStyle w:val="Heading6"/>
        <w:rPr>
          <w:lang w:val="en-AU"/>
        </w:rPr>
      </w:pPr>
      <w:r w:rsidRPr="002029AF">
        <w:rPr>
          <w:lang w:val="en-AU"/>
        </w:rPr>
        <w:lastRenderedPageBreak/>
        <w:t>3.1.1(b)</w:t>
      </w:r>
      <w:r w:rsidR="000A5329" w:rsidRPr="002029AF">
        <w:rPr>
          <w:lang w:val="en-AU"/>
        </w:rPr>
        <w:t xml:space="preserve"> </w:t>
      </w:r>
      <w:r w:rsidRPr="002029AF">
        <w:rPr>
          <w:lang w:val="en-AU"/>
        </w:rPr>
        <w:t>Employee</w:t>
      </w:r>
      <w:r w:rsidR="000A5329" w:rsidRPr="002029AF">
        <w:rPr>
          <w:lang w:val="en-AU"/>
        </w:rPr>
        <w:t xml:space="preserve"> </w:t>
      </w:r>
      <w:r w:rsidRPr="002029AF">
        <w:rPr>
          <w:lang w:val="en-AU"/>
        </w:rPr>
        <w:t>benefits</w:t>
      </w:r>
      <w:r w:rsidR="000A5329" w:rsidRPr="002029AF">
        <w:rPr>
          <w:lang w:val="en-AU"/>
        </w:rPr>
        <w:t xml:space="preserve"> </w:t>
      </w:r>
      <w:r w:rsidRPr="002029AF">
        <w:rPr>
          <w:lang w:val="en-AU"/>
        </w:rPr>
        <w:t>in</w:t>
      </w:r>
      <w:r w:rsidR="000A5329" w:rsidRPr="002029AF">
        <w:rPr>
          <w:lang w:val="en-AU"/>
        </w:rPr>
        <w:t xml:space="preserve"> </w:t>
      </w:r>
      <w:r w:rsidRPr="002029AF">
        <w:rPr>
          <w:lang w:val="en-AU"/>
        </w:rPr>
        <w:t>the</w:t>
      </w:r>
      <w:r w:rsidR="000A5329" w:rsidRPr="002029AF">
        <w:rPr>
          <w:lang w:val="en-AU"/>
        </w:rPr>
        <w:t xml:space="preserve"> </w:t>
      </w:r>
      <w:r w:rsidRPr="002029AF">
        <w:rPr>
          <w:lang w:val="en-AU"/>
        </w:rPr>
        <w:t>balance</w:t>
      </w:r>
      <w:r w:rsidR="000A5329" w:rsidRPr="002029AF">
        <w:rPr>
          <w:lang w:val="en-AU"/>
        </w:rPr>
        <w:t xml:space="preserve"> </w:t>
      </w:r>
      <w:r w:rsidRPr="002029AF">
        <w:rPr>
          <w:lang w:val="en-AU"/>
        </w:rPr>
        <w:t>sheet</w:t>
      </w:r>
    </w:p>
    <w:p w14:paraId="1F55ECEF" w14:textId="7CE65863" w:rsidR="00087B91" w:rsidRPr="002029AF" w:rsidRDefault="00087B91" w:rsidP="00087B91">
      <w:pPr>
        <w:pStyle w:val="ARfinbodylargespace"/>
      </w:pPr>
      <w:r w:rsidRPr="002029AF">
        <w:t>Provision</w:t>
      </w:r>
      <w:r w:rsidR="000A5329" w:rsidRPr="002029AF">
        <w:t xml:space="preserve"> </w:t>
      </w:r>
      <w:r w:rsidRPr="002029AF">
        <w:t>is</w:t>
      </w:r>
      <w:r w:rsidR="000A5329" w:rsidRPr="002029AF">
        <w:t xml:space="preserve"> </w:t>
      </w:r>
      <w:r w:rsidRPr="002029AF">
        <w:t>made</w:t>
      </w:r>
      <w:r w:rsidR="000A5329" w:rsidRPr="002029AF">
        <w:t xml:space="preserve"> </w:t>
      </w:r>
      <w:r w:rsidRPr="002029AF">
        <w:t>for</w:t>
      </w:r>
      <w:r w:rsidR="000A5329" w:rsidRPr="002029AF">
        <w:t xml:space="preserve"> </w:t>
      </w:r>
      <w:r w:rsidRPr="002029AF">
        <w:t>benefits</w:t>
      </w:r>
      <w:r w:rsidR="000A5329" w:rsidRPr="002029AF">
        <w:t xml:space="preserve"> </w:t>
      </w:r>
      <w:r w:rsidRPr="002029AF">
        <w:t>accruing</w:t>
      </w:r>
      <w:r w:rsidR="000A5329" w:rsidRPr="002029AF">
        <w:t xml:space="preserve"> </w:t>
      </w:r>
      <w:r w:rsidRPr="002029AF">
        <w:t>to</w:t>
      </w:r>
      <w:r w:rsidR="000A5329" w:rsidRPr="002029AF">
        <w:t xml:space="preserve"> </w:t>
      </w:r>
      <w:r w:rsidRPr="002029AF">
        <w:t>employees</w:t>
      </w:r>
      <w:r w:rsidR="000A5329" w:rsidRPr="002029AF">
        <w:t xml:space="preserve"> </w:t>
      </w:r>
      <w:r w:rsidRPr="002029AF">
        <w:t>in</w:t>
      </w:r>
      <w:r w:rsidR="000A5329" w:rsidRPr="002029AF">
        <w:t xml:space="preserve"> </w:t>
      </w:r>
      <w:r w:rsidRPr="002029AF">
        <w:t>respect</w:t>
      </w:r>
      <w:r w:rsidR="000A5329" w:rsidRPr="002029AF">
        <w:t xml:space="preserve"> </w:t>
      </w:r>
      <w:r w:rsidRPr="002029AF">
        <w:t>of</w:t>
      </w:r>
      <w:r w:rsidR="000A5329" w:rsidRPr="002029AF">
        <w:t xml:space="preserve"> </w:t>
      </w:r>
      <w:r w:rsidRPr="002029AF">
        <w:t>annual</w:t>
      </w:r>
      <w:r w:rsidR="000A5329" w:rsidRPr="002029AF">
        <w:t xml:space="preserve"> </w:t>
      </w:r>
      <w:r w:rsidRPr="002029AF">
        <w:t>leave</w:t>
      </w:r>
      <w:r w:rsidR="000A5329" w:rsidRPr="002029AF">
        <w:t xml:space="preserve"> </w:t>
      </w:r>
      <w:r w:rsidRPr="002029AF">
        <w:t>and</w:t>
      </w:r>
      <w:r w:rsidR="000A5329" w:rsidRPr="002029AF">
        <w:t xml:space="preserve"> </w:t>
      </w:r>
      <w:r w:rsidRPr="002029AF">
        <w:t>long</w:t>
      </w:r>
      <w:r w:rsidR="000A5329" w:rsidRPr="002029AF">
        <w:t xml:space="preserve"> </w:t>
      </w:r>
      <w:r w:rsidRPr="002029AF">
        <w:t>service</w:t>
      </w:r>
      <w:r w:rsidR="000A5329" w:rsidRPr="002029AF">
        <w:t xml:space="preserve"> </w:t>
      </w:r>
      <w:r w:rsidRPr="002029AF">
        <w:t>leave</w:t>
      </w:r>
      <w:r w:rsidR="000A5329" w:rsidRPr="002029AF">
        <w:t xml:space="preserve"> </w:t>
      </w:r>
      <w:r w:rsidRPr="002029AF">
        <w:t>(LSL)</w:t>
      </w:r>
      <w:r w:rsidR="000A5329" w:rsidRPr="002029AF">
        <w:t xml:space="preserve"> </w:t>
      </w:r>
      <w:r w:rsidRPr="002029AF">
        <w:t>for</w:t>
      </w:r>
      <w:r w:rsidR="000A5329" w:rsidRPr="002029AF">
        <w:t xml:space="preserve"> </w:t>
      </w:r>
      <w:r w:rsidRPr="002029AF">
        <w:t>services</w:t>
      </w:r>
      <w:r w:rsidR="000A5329" w:rsidRPr="002029AF">
        <w:t xml:space="preserve"> </w:t>
      </w:r>
      <w:r w:rsidRPr="002029AF">
        <w:t>rendered</w:t>
      </w:r>
      <w:r w:rsidR="000A5329" w:rsidRPr="002029AF">
        <w:t xml:space="preserve"> </w:t>
      </w:r>
      <w:r w:rsidRPr="002029AF">
        <w:t>to</w:t>
      </w:r>
      <w:r w:rsidR="000A5329" w:rsidRPr="002029AF">
        <w:t xml:space="preserve"> </w:t>
      </w:r>
      <w:r w:rsidRPr="002029AF">
        <w:t>the</w:t>
      </w:r>
      <w:r w:rsidR="000A5329" w:rsidRPr="002029AF">
        <w:t xml:space="preserve"> </w:t>
      </w:r>
      <w:r w:rsidRPr="002029AF">
        <w:t>reporting</w:t>
      </w:r>
      <w:r w:rsidR="000A5329" w:rsidRPr="002029AF">
        <w:t xml:space="preserve"> </w:t>
      </w:r>
      <w:r w:rsidRPr="002029AF">
        <w:t>date</w:t>
      </w:r>
      <w:r w:rsidR="000A5329" w:rsidRPr="002029AF">
        <w:t xml:space="preserve"> </w:t>
      </w:r>
      <w:r w:rsidRPr="002029AF">
        <w:t>and</w:t>
      </w:r>
      <w:r w:rsidR="000A5329" w:rsidRPr="002029AF">
        <w:t xml:space="preserve"> </w:t>
      </w:r>
      <w:r w:rsidRPr="002029AF">
        <w:t>recorded</w:t>
      </w:r>
      <w:r w:rsidR="000A5329" w:rsidRPr="002029AF">
        <w:t xml:space="preserve"> </w:t>
      </w:r>
      <w:r w:rsidRPr="002029AF">
        <w:t>as</w:t>
      </w:r>
      <w:r w:rsidR="000A5329" w:rsidRPr="002029AF">
        <w:t xml:space="preserve"> </w:t>
      </w:r>
      <w:r w:rsidRPr="002029AF">
        <w:t>an</w:t>
      </w:r>
      <w:r w:rsidR="000A5329" w:rsidRPr="002029AF">
        <w:t xml:space="preserve"> </w:t>
      </w:r>
      <w:r w:rsidRPr="002029AF">
        <w:t>expense</w:t>
      </w:r>
      <w:r w:rsidR="000A5329" w:rsidRPr="002029AF">
        <w:t xml:space="preserve"> </w:t>
      </w:r>
      <w:r w:rsidRPr="002029AF">
        <w:t>during</w:t>
      </w:r>
      <w:r w:rsidR="000A5329" w:rsidRPr="002029AF">
        <w:t xml:space="preserve"> </w:t>
      </w:r>
      <w:r w:rsidRPr="002029AF">
        <w:t>the</w:t>
      </w:r>
      <w:r w:rsidR="000A5329" w:rsidRPr="002029AF">
        <w:t xml:space="preserve"> </w:t>
      </w:r>
      <w:r w:rsidRPr="002029AF">
        <w:t>period</w:t>
      </w:r>
      <w:r w:rsidR="000A5329" w:rsidRPr="002029AF">
        <w:t xml:space="preserve"> </w:t>
      </w:r>
      <w:r w:rsidRPr="002029AF">
        <w:t>the</w:t>
      </w:r>
      <w:r w:rsidR="000A5329" w:rsidRPr="002029AF">
        <w:t xml:space="preserve"> </w:t>
      </w:r>
      <w:r w:rsidRPr="002029AF">
        <w:t>services</w:t>
      </w:r>
      <w:r w:rsidR="000A5329" w:rsidRPr="002029AF">
        <w:t xml:space="preserve"> </w:t>
      </w:r>
      <w:r w:rsidRPr="002029AF">
        <w:t>are</w:t>
      </w:r>
      <w:r w:rsidR="000A5329" w:rsidRPr="002029AF">
        <w:t xml:space="preserve"> </w:t>
      </w:r>
      <w:r w:rsidRPr="002029AF">
        <w:t>delivered.</w:t>
      </w:r>
    </w:p>
    <w:tbl>
      <w:tblPr>
        <w:tblStyle w:val="TableGrid"/>
        <w:tblW w:w="9637" w:type="dxa"/>
        <w:tblLayout w:type="fixed"/>
        <w:tblLook w:val="06A0" w:firstRow="1" w:lastRow="0" w:firstColumn="1" w:lastColumn="0" w:noHBand="1" w:noVBand="1"/>
      </w:tblPr>
      <w:tblGrid>
        <w:gridCol w:w="7371"/>
        <w:gridCol w:w="1133"/>
        <w:gridCol w:w="1133"/>
      </w:tblGrid>
      <w:tr w:rsidR="00087B91" w:rsidRPr="002029AF" w14:paraId="43563A06" w14:textId="77777777" w:rsidTr="00C83719">
        <w:trPr>
          <w:cnfStyle w:val="100000000000" w:firstRow="1" w:lastRow="0" w:firstColumn="0" w:lastColumn="0" w:oddVBand="0" w:evenVBand="0" w:oddHBand="0" w:evenHBand="0" w:firstRowFirstColumn="0" w:firstRowLastColumn="0" w:lastRowFirstColumn="0" w:lastRowLastColumn="0"/>
          <w:tblHeader/>
        </w:trPr>
        <w:tc>
          <w:tcPr>
            <w:tcW w:w="7371" w:type="dxa"/>
            <w:tcBorders>
              <w:bottom w:val="single" w:sz="4" w:space="0" w:color="auto"/>
            </w:tcBorders>
            <w:noWrap/>
            <w:hideMark/>
          </w:tcPr>
          <w:p w14:paraId="3E6F3CA1" w14:textId="77777777" w:rsidR="00087B91" w:rsidRPr="002029AF" w:rsidRDefault="00087B91" w:rsidP="00860E95">
            <w:pPr>
              <w:pStyle w:val="ARfintablecolhead"/>
            </w:pPr>
          </w:p>
        </w:tc>
        <w:tc>
          <w:tcPr>
            <w:tcW w:w="1133" w:type="dxa"/>
            <w:tcBorders>
              <w:bottom w:val="single" w:sz="4" w:space="0" w:color="auto"/>
            </w:tcBorders>
            <w:shd w:val="clear" w:color="auto" w:fill="E7E6E6"/>
            <w:hideMark/>
          </w:tcPr>
          <w:p w14:paraId="4C75C1FB" w14:textId="77777777" w:rsidR="00087B91" w:rsidRPr="002029AF" w:rsidRDefault="00087B91" w:rsidP="00860E95">
            <w:pPr>
              <w:pStyle w:val="ARfintablecolheadright"/>
            </w:pPr>
            <w:r w:rsidRPr="002029AF">
              <w:t>2020</w:t>
            </w:r>
          </w:p>
          <w:p w14:paraId="5C9F9DB0" w14:textId="77777777" w:rsidR="00087B91" w:rsidRPr="002029AF" w:rsidRDefault="00087B91" w:rsidP="00860E95">
            <w:pPr>
              <w:pStyle w:val="ARfintablecolheadright"/>
            </w:pPr>
            <w:r w:rsidRPr="002029AF">
              <w:t>$M</w:t>
            </w:r>
          </w:p>
        </w:tc>
        <w:tc>
          <w:tcPr>
            <w:tcW w:w="1133" w:type="dxa"/>
            <w:tcBorders>
              <w:bottom w:val="single" w:sz="4" w:space="0" w:color="auto"/>
            </w:tcBorders>
            <w:hideMark/>
          </w:tcPr>
          <w:p w14:paraId="72714B2A" w14:textId="77777777" w:rsidR="00087B91" w:rsidRPr="002029AF" w:rsidRDefault="00087B91" w:rsidP="00860E95">
            <w:pPr>
              <w:pStyle w:val="ARfintablecolheadright"/>
            </w:pPr>
            <w:r w:rsidRPr="002029AF">
              <w:t>2019</w:t>
            </w:r>
          </w:p>
          <w:p w14:paraId="7F5D8F7A" w14:textId="77777777" w:rsidR="00087B91" w:rsidRPr="002029AF" w:rsidRDefault="00087B91" w:rsidP="00860E95">
            <w:pPr>
              <w:pStyle w:val="ARfintablecolheadright"/>
            </w:pPr>
            <w:r w:rsidRPr="002029AF">
              <w:t>$M</w:t>
            </w:r>
          </w:p>
        </w:tc>
      </w:tr>
      <w:tr w:rsidR="00087B91" w:rsidRPr="002029AF" w14:paraId="47F7D124" w14:textId="77777777" w:rsidTr="00860E95">
        <w:tc>
          <w:tcPr>
            <w:tcW w:w="9637" w:type="dxa"/>
            <w:gridSpan w:val="3"/>
            <w:tcBorders>
              <w:top w:val="single" w:sz="4" w:space="0" w:color="auto"/>
              <w:bottom w:val="single" w:sz="4" w:space="0" w:color="A6A6A6"/>
            </w:tcBorders>
            <w:hideMark/>
          </w:tcPr>
          <w:p w14:paraId="5DFCD803" w14:textId="5D9EDB2D" w:rsidR="00087B91" w:rsidRPr="002029AF" w:rsidRDefault="00087B91" w:rsidP="00860E95">
            <w:pPr>
              <w:pStyle w:val="ARfintablebodybold"/>
            </w:pPr>
            <w:r w:rsidRPr="002029AF">
              <w:t>Current</w:t>
            </w:r>
            <w:r w:rsidR="000A5329" w:rsidRPr="002029AF">
              <w:t xml:space="preserve"> </w:t>
            </w:r>
            <w:r w:rsidRPr="002029AF">
              <w:t>provisions</w:t>
            </w:r>
          </w:p>
        </w:tc>
      </w:tr>
      <w:tr w:rsidR="00087B91" w:rsidRPr="002029AF" w14:paraId="0E294DEC" w14:textId="77777777" w:rsidTr="00860E95">
        <w:tc>
          <w:tcPr>
            <w:tcW w:w="9637" w:type="dxa"/>
            <w:gridSpan w:val="3"/>
            <w:tcBorders>
              <w:top w:val="single" w:sz="4" w:space="0" w:color="A6A6A6"/>
              <w:bottom w:val="single" w:sz="4" w:space="0" w:color="A6A6A6"/>
            </w:tcBorders>
            <w:hideMark/>
          </w:tcPr>
          <w:p w14:paraId="091F3B0E" w14:textId="0C0AE17F" w:rsidR="00087B91" w:rsidRPr="002029AF" w:rsidRDefault="00087B91" w:rsidP="00860E95">
            <w:pPr>
              <w:pStyle w:val="ARfintablebody"/>
            </w:pPr>
            <w:r w:rsidRPr="002029AF">
              <w:t>Annual</w:t>
            </w:r>
            <w:r w:rsidR="000A5329" w:rsidRPr="002029AF">
              <w:t xml:space="preserve"> </w:t>
            </w:r>
            <w:r w:rsidRPr="002029AF">
              <w:t>leave</w:t>
            </w:r>
          </w:p>
        </w:tc>
      </w:tr>
      <w:tr w:rsidR="00087B91" w:rsidRPr="002029AF" w14:paraId="58E2FCAA" w14:textId="77777777" w:rsidTr="00860E95">
        <w:tc>
          <w:tcPr>
            <w:tcW w:w="7371" w:type="dxa"/>
            <w:tcBorders>
              <w:top w:val="single" w:sz="4" w:space="0" w:color="A6A6A6"/>
              <w:bottom w:val="single" w:sz="4" w:space="0" w:color="A6A6A6"/>
            </w:tcBorders>
            <w:hideMark/>
          </w:tcPr>
          <w:p w14:paraId="619F154C" w14:textId="2FE0AE7A" w:rsidR="00087B91" w:rsidRPr="002029AF" w:rsidRDefault="00087B91" w:rsidP="00860E95">
            <w:pPr>
              <w:pStyle w:val="ARfintablebodyindent"/>
            </w:pPr>
            <w:r w:rsidRPr="002029AF">
              <w:t>Unconditional</w:t>
            </w:r>
            <w:r w:rsidR="000A5329" w:rsidRPr="002029AF">
              <w:t xml:space="preserve"> </w:t>
            </w:r>
            <w:r w:rsidRPr="002029AF">
              <w:t>and</w:t>
            </w:r>
            <w:r w:rsidR="000A5329" w:rsidRPr="002029AF">
              <w:t xml:space="preserve"> </w:t>
            </w:r>
            <w:r w:rsidRPr="002029AF">
              <w:t>expected</w:t>
            </w:r>
            <w:r w:rsidR="000A5329" w:rsidRPr="002029AF">
              <w:t xml:space="preserve"> </w:t>
            </w:r>
            <w:r w:rsidRPr="002029AF">
              <w:t>to</w:t>
            </w:r>
            <w:r w:rsidR="000A5329" w:rsidRPr="002029AF">
              <w:t xml:space="preserve"> </w:t>
            </w:r>
            <w:r w:rsidRPr="002029AF">
              <w:t>be</w:t>
            </w:r>
            <w:r w:rsidR="000A5329" w:rsidRPr="002029AF">
              <w:t xml:space="preserve"> </w:t>
            </w:r>
            <w:r w:rsidRPr="002029AF">
              <w:t>settled</w:t>
            </w:r>
            <w:r w:rsidR="000A5329" w:rsidRPr="002029AF">
              <w:t xml:space="preserve"> </w:t>
            </w:r>
            <w:r w:rsidRPr="002029AF">
              <w:t>within</w:t>
            </w:r>
            <w:r w:rsidR="000A5329" w:rsidRPr="002029AF">
              <w:t xml:space="preserve"> </w:t>
            </w:r>
            <w:r w:rsidRPr="002029AF">
              <w:t>12</w:t>
            </w:r>
            <w:r w:rsidR="000A5329" w:rsidRPr="002029AF">
              <w:t xml:space="preserve"> </w:t>
            </w:r>
            <w:r w:rsidRPr="002029AF">
              <w:t>months</w:t>
            </w:r>
          </w:p>
        </w:tc>
        <w:tc>
          <w:tcPr>
            <w:tcW w:w="1133" w:type="dxa"/>
            <w:tcBorders>
              <w:top w:val="single" w:sz="4" w:space="0" w:color="A6A6A6"/>
              <w:bottom w:val="single" w:sz="4" w:space="0" w:color="A6A6A6"/>
            </w:tcBorders>
            <w:shd w:val="clear" w:color="auto" w:fill="E7E6E6"/>
            <w:noWrap/>
            <w:hideMark/>
          </w:tcPr>
          <w:p w14:paraId="2F00F826" w14:textId="77777777" w:rsidR="00087B91" w:rsidRPr="002029AF" w:rsidRDefault="00087B91" w:rsidP="00860E95">
            <w:pPr>
              <w:pStyle w:val="ARfintablebodyright"/>
            </w:pPr>
            <w:r w:rsidRPr="002029AF">
              <w:t>91.2</w:t>
            </w:r>
          </w:p>
        </w:tc>
        <w:tc>
          <w:tcPr>
            <w:tcW w:w="1133" w:type="dxa"/>
            <w:tcBorders>
              <w:top w:val="single" w:sz="4" w:space="0" w:color="A6A6A6"/>
              <w:bottom w:val="single" w:sz="4" w:space="0" w:color="A6A6A6"/>
            </w:tcBorders>
            <w:noWrap/>
            <w:hideMark/>
          </w:tcPr>
          <w:p w14:paraId="533CA717" w14:textId="77777777" w:rsidR="00087B91" w:rsidRPr="002029AF" w:rsidRDefault="00087B91" w:rsidP="00860E95">
            <w:pPr>
              <w:pStyle w:val="ARfintablebodyright"/>
            </w:pPr>
            <w:r w:rsidRPr="002029AF">
              <w:t>78.7</w:t>
            </w:r>
          </w:p>
        </w:tc>
      </w:tr>
      <w:tr w:rsidR="00087B91" w:rsidRPr="002029AF" w14:paraId="1632A675" w14:textId="77777777" w:rsidTr="00860E95">
        <w:tc>
          <w:tcPr>
            <w:tcW w:w="7371" w:type="dxa"/>
            <w:tcBorders>
              <w:top w:val="single" w:sz="4" w:space="0" w:color="A6A6A6"/>
              <w:bottom w:val="single" w:sz="4" w:space="0" w:color="A6A6A6"/>
            </w:tcBorders>
            <w:hideMark/>
          </w:tcPr>
          <w:p w14:paraId="1703E166" w14:textId="321362EC" w:rsidR="00087B91" w:rsidRPr="002029AF" w:rsidRDefault="00087B91" w:rsidP="00860E95">
            <w:pPr>
              <w:pStyle w:val="ARfintablebodyindent"/>
            </w:pPr>
            <w:r w:rsidRPr="002029AF">
              <w:t>Unconditional</w:t>
            </w:r>
            <w:r w:rsidR="000A5329" w:rsidRPr="002029AF">
              <w:t xml:space="preserve"> </w:t>
            </w:r>
            <w:r w:rsidRPr="002029AF">
              <w:t>and</w:t>
            </w:r>
            <w:r w:rsidR="000A5329" w:rsidRPr="002029AF">
              <w:t xml:space="preserve"> </w:t>
            </w:r>
            <w:r w:rsidRPr="002029AF">
              <w:t>expected</w:t>
            </w:r>
            <w:r w:rsidR="000A5329" w:rsidRPr="002029AF">
              <w:t xml:space="preserve"> </w:t>
            </w:r>
            <w:r w:rsidRPr="002029AF">
              <w:t>to</w:t>
            </w:r>
            <w:r w:rsidR="000A5329" w:rsidRPr="002029AF">
              <w:t xml:space="preserve"> </w:t>
            </w:r>
            <w:r w:rsidRPr="002029AF">
              <w:t>be</w:t>
            </w:r>
            <w:r w:rsidR="000A5329" w:rsidRPr="002029AF">
              <w:t xml:space="preserve"> </w:t>
            </w:r>
            <w:r w:rsidRPr="002029AF">
              <w:t>settled</w:t>
            </w:r>
            <w:r w:rsidR="000A5329" w:rsidRPr="002029AF">
              <w:t xml:space="preserve"> </w:t>
            </w:r>
            <w:r w:rsidRPr="002029AF">
              <w:t>after</w:t>
            </w:r>
            <w:r w:rsidR="000A5329" w:rsidRPr="002029AF">
              <w:t xml:space="preserve"> </w:t>
            </w:r>
            <w:r w:rsidRPr="002029AF">
              <w:t>12</w:t>
            </w:r>
            <w:r w:rsidR="000A5329" w:rsidRPr="002029AF">
              <w:t xml:space="preserve"> </w:t>
            </w:r>
            <w:r w:rsidRPr="002029AF">
              <w:t>months</w:t>
            </w:r>
          </w:p>
        </w:tc>
        <w:tc>
          <w:tcPr>
            <w:tcW w:w="1133" w:type="dxa"/>
            <w:tcBorders>
              <w:top w:val="single" w:sz="4" w:space="0" w:color="A6A6A6"/>
              <w:bottom w:val="single" w:sz="4" w:space="0" w:color="A6A6A6"/>
            </w:tcBorders>
            <w:shd w:val="clear" w:color="auto" w:fill="E7E6E6"/>
            <w:noWrap/>
            <w:hideMark/>
          </w:tcPr>
          <w:p w14:paraId="0AEABF27" w14:textId="77777777" w:rsidR="00087B91" w:rsidRPr="002029AF" w:rsidRDefault="00087B91" w:rsidP="00860E95">
            <w:pPr>
              <w:pStyle w:val="ARfintablebodyright"/>
            </w:pPr>
            <w:r w:rsidRPr="002029AF">
              <w:t>49.5</w:t>
            </w:r>
          </w:p>
        </w:tc>
        <w:tc>
          <w:tcPr>
            <w:tcW w:w="1133" w:type="dxa"/>
            <w:tcBorders>
              <w:top w:val="single" w:sz="4" w:space="0" w:color="A6A6A6"/>
              <w:bottom w:val="single" w:sz="4" w:space="0" w:color="A6A6A6"/>
            </w:tcBorders>
            <w:noWrap/>
            <w:hideMark/>
          </w:tcPr>
          <w:p w14:paraId="6AB3FE60" w14:textId="77777777" w:rsidR="00087B91" w:rsidRPr="002029AF" w:rsidRDefault="00087B91" w:rsidP="00860E95">
            <w:pPr>
              <w:pStyle w:val="ARfintablebodyright"/>
            </w:pPr>
            <w:r w:rsidRPr="002029AF">
              <w:t>35.9</w:t>
            </w:r>
          </w:p>
        </w:tc>
      </w:tr>
      <w:tr w:rsidR="00087B91" w:rsidRPr="002029AF" w14:paraId="20BA9768" w14:textId="77777777" w:rsidTr="00860E95">
        <w:tc>
          <w:tcPr>
            <w:tcW w:w="9637" w:type="dxa"/>
            <w:gridSpan w:val="3"/>
            <w:tcBorders>
              <w:top w:val="single" w:sz="4" w:space="0" w:color="A6A6A6"/>
              <w:bottom w:val="single" w:sz="4" w:space="0" w:color="A6A6A6"/>
            </w:tcBorders>
            <w:hideMark/>
          </w:tcPr>
          <w:p w14:paraId="30289A77" w14:textId="5EE7AE2A" w:rsidR="00087B91" w:rsidRPr="002029AF" w:rsidRDefault="00087B91" w:rsidP="00860E95">
            <w:pPr>
              <w:pStyle w:val="ARfintablebody"/>
              <w:rPr>
                <w:b/>
                <w:bCs/>
              </w:rPr>
            </w:pPr>
            <w:r w:rsidRPr="002029AF">
              <w:t>Maternity</w:t>
            </w:r>
            <w:r w:rsidR="000A5329" w:rsidRPr="002029AF">
              <w:t xml:space="preserve"> </w:t>
            </w:r>
            <w:r w:rsidRPr="002029AF">
              <w:t>leave</w:t>
            </w:r>
          </w:p>
        </w:tc>
      </w:tr>
      <w:tr w:rsidR="00087B91" w:rsidRPr="002029AF" w14:paraId="73B385CA" w14:textId="77777777" w:rsidTr="00860E95">
        <w:tc>
          <w:tcPr>
            <w:tcW w:w="7371" w:type="dxa"/>
            <w:tcBorders>
              <w:top w:val="single" w:sz="4" w:space="0" w:color="A6A6A6"/>
              <w:bottom w:val="single" w:sz="4" w:space="0" w:color="A6A6A6"/>
            </w:tcBorders>
            <w:hideMark/>
          </w:tcPr>
          <w:p w14:paraId="314F31E5" w14:textId="2640BD9A" w:rsidR="00087B91" w:rsidRPr="002029AF" w:rsidRDefault="00087B91" w:rsidP="00860E95">
            <w:pPr>
              <w:pStyle w:val="ARfintablebodyindent"/>
            </w:pPr>
            <w:r w:rsidRPr="002029AF">
              <w:t>Unconditional</w:t>
            </w:r>
            <w:r w:rsidR="000A5329" w:rsidRPr="002029AF">
              <w:t xml:space="preserve"> </w:t>
            </w:r>
            <w:r w:rsidRPr="002029AF">
              <w:t>and</w:t>
            </w:r>
            <w:r w:rsidR="000A5329" w:rsidRPr="002029AF">
              <w:t xml:space="preserve"> </w:t>
            </w:r>
            <w:r w:rsidRPr="002029AF">
              <w:t>expected</w:t>
            </w:r>
            <w:r w:rsidR="000A5329" w:rsidRPr="002029AF">
              <w:t xml:space="preserve"> </w:t>
            </w:r>
            <w:r w:rsidRPr="002029AF">
              <w:t>to</w:t>
            </w:r>
            <w:r w:rsidR="000A5329" w:rsidRPr="002029AF">
              <w:t xml:space="preserve"> </w:t>
            </w:r>
            <w:r w:rsidRPr="002029AF">
              <w:t>be</w:t>
            </w:r>
            <w:r w:rsidR="000A5329" w:rsidRPr="002029AF">
              <w:t xml:space="preserve"> </w:t>
            </w:r>
            <w:r w:rsidRPr="002029AF">
              <w:t>settled</w:t>
            </w:r>
            <w:r w:rsidR="000A5329" w:rsidRPr="002029AF">
              <w:t xml:space="preserve"> </w:t>
            </w:r>
            <w:r w:rsidRPr="002029AF">
              <w:t>within</w:t>
            </w:r>
            <w:r w:rsidR="000A5329" w:rsidRPr="002029AF">
              <w:t xml:space="preserve"> </w:t>
            </w:r>
            <w:r w:rsidRPr="002029AF">
              <w:t>12</w:t>
            </w:r>
            <w:r w:rsidR="000A5329" w:rsidRPr="002029AF">
              <w:t xml:space="preserve"> </w:t>
            </w:r>
            <w:r w:rsidRPr="002029AF">
              <w:t>months</w:t>
            </w:r>
          </w:p>
        </w:tc>
        <w:tc>
          <w:tcPr>
            <w:tcW w:w="1133" w:type="dxa"/>
            <w:tcBorders>
              <w:top w:val="single" w:sz="4" w:space="0" w:color="A6A6A6"/>
              <w:bottom w:val="single" w:sz="4" w:space="0" w:color="A6A6A6"/>
            </w:tcBorders>
            <w:shd w:val="clear" w:color="auto" w:fill="E7E6E6"/>
            <w:noWrap/>
            <w:hideMark/>
          </w:tcPr>
          <w:p w14:paraId="4639F21C" w14:textId="77777777" w:rsidR="00087B91" w:rsidRPr="002029AF" w:rsidRDefault="00087B91" w:rsidP="00860E95">
            <w:pPr>
              <w:pStyle w:val="ARfintablebodyright"/>
            </w:pPr>
            <w:r w:rsidRPr="002029AF">
              <w:t>5.2</w:t>
            </w:r>
          </w:p>
        </w:tc>
        <w:tc>
          <w:tcPr>
            <w:tcW w:w="1133" w:type="dxa"/>
            <w:tcBorders>
              <w:top w:val="single" w:sz="4" w:space="0" w:color="A6A6A6"/>
              <w:bottom w:val="single" w:sz="4" w:space="0" w:color="A6A6A6"/>
            </w:tcBorders>
            <w:noWrap/>
            <w:hideMark/>
          </w:tcPr>
          <w:p w14:paraId="380A06CC" w14:textId="77777777" w:rsidR="00087B91" w:rsidRPr="002029AF" w:rsidRDefault="00087B91" w:rsidP="00860E95">
            <w:pPr>
              <w:pStyle w:val="ARfintablebodyright"/>
            </w:pPr>
            <w:r w:rsidRPr="002029AF">
              <w:t>6.4</w:t>
            </w:r>
          </w:p>
        </w:tc>
      </w:tr>
      <w:tr w:rsidR="00087B91" w:rsidRPr="002029AF" w14:paraId="01D08F28" w14:textId="77777777" w:rsidTr="00860E95">
        <w:tc>
          <w:tcPr>
            <w:tcW w:w="9637" w:type="dxa"/>
            <w:gridSpan w:val="3"/>
            <w:tcBorders>
              <w:top w:val="single" w:sz="4" w:space="0" w:color="A6A6A6"/>
              <w:bottom w:val="single" w:sz="4" w:space="0" w:color="A6A6A6"/>
            </w:tcBorders>
            <w:hideMark/>
          </w:tcPr>
          <w:p w14:paraId="492093BD" w14:textId="500A37DE" w:rsidR="00087B91" w:rsidRPr="002029AF" w:rsidRDefault="00087B91" w:rsidP="00860E95">
            <w:pPr>
              <w:pStyle w:val="ARfintablebody"/>
              <w:rPr>
                <w:b/>
                <w:bCs/>
              </w:rPr>
            </w:pPr>
            <w:r w:rsidRPr="002029AF">
              <w:t>Long</w:t>
            </w:r>
            <w:r w:rsidR="000A5329" w:rsidRPr="002029AF">
              <w:t xml:space="preserve"> </w:t>
            </w:r>
            <w:r w:rsidRPr="002029AF">
              <w:t>service</w:t>
            </w:r>
            <w:r w:rsidR="000A5329" w:rsidRPr="002029AF">
              <w:t xml:space="preserve"> </w:t>
            </w:r>
            <w:r w:rsidRPr="002029AF">
              <w:t>leave</w:t>
            </w:r>
          </w:p>
        </w:tc>
      </w:tr>
      <w:tr w:rsidR="00087B91" w:rsidRPr="002029AF" w14:paraId="39F6E718" w14:textId="77777777" w:rsidTr="00860E95">
        <w:tc>
          <w:tcPr>
            <w:tcW w:w="7371" w:type="dxa"/>
            <w:tcBorders>
              <w:top w:val="single" w:sz="4" w:space="0" w:color="A6A6A6"/>
              <w:bottom w:val="single" w:sz="4" w:space="0" w:color="A6A6A6"/>
            </w:tcBorders>
            <w:hideMark/>
          </w:tcPr>
          <w:p w14:paraId="3910AEAC" w14:textId="59CC7B57" w:rsidR="00087B91" w:rsidRPr="002029AF" w:rsidRDefault="00087B91" w:rsidP="00860E95">
            <w:pPr>
              <w:pStyle w:val="ARfintablebodyindent"/>
            </w:pPr>
            <w:r w:rsidRPr="002029AF">
              <w:t>Unconditional</w:t>
            </w:r>
            <w:r w:rsidR="000A5329" w:rsidRPr="002029AF">
              <w:t xml:space="preserve"> </w:t>
            </w:r>
            <w:r w:rsidRPr="002029AF">
              <w:t>and</w:t>
            </w:r>
            <w:r w:rsidR="000A5329" w:rsidRPr="002029AF">
              <w:t xml:space="preserve"> </w:t>
            </w:r>
            <w:r w:rsidRPr="002029AF">
              <w:t>expected</w:t>
            </w:r>
            <w:r w:rsidR="000A5329" w:rsidRPr="002029AF">
              <w:t xml:space="preserve"> </w:t>
            </w:r>
            <w:r w:rsidRPr="002029AF">
              <w:t>to</w:t>
            </w:r>
            <w:r w:rsidR="000A5329" w:rsidRPr="002029AF">
              <w:t xml:space="preserve"> </w:t>
            </w:r>
            <w:r w:rsidRPr="002029AF">
              <w:t>be</w:t>
            </w:r>
            <w:r w:rsidR="000A5329" w:rsidRPr="002029AF">
              <w:t xml:space="preserve"> </w:t>
            </w:r>
            <w:r w:rsidRPr="002029AF">
              <w:t>settled</w:t>
            </w:r>
            <w:r w:rsidR="000A5329" w:rsidRPr="002029AF">
              <w:t xml:space="preserve"> </w:t>
            </w:r>
            <w:r w:rsidRPr="002029AF">
              <w:t>within</w:t>
            </w:r>
            <w:r w:rsidR="000A5329" w:rsidRPr="002029AF">
              <w:t xml:space="preserve"> </w:t>
            </w:r>
            <w:r w:rsidRPr="002029AF">
              <w:t>12</w:t>
            </w:r>
            <w:r w:rsidR="000A5329" w:rsidRPr="002029AF">
              <w:t xml:space="preserve"> </w:t>
            </w:r>
            <w:r w:rsidRPr="002029AF">
              <w:t>months</w:t>
            </w:r>
          </w:p>
        </w:tc>
        <w:tc>
          <w:tcPr>
            <w:tcW w:w="1133" w:type="dxa"/>
            <w:tcBorders>
              <w:top w:val="single" w:sz="4" w:space="0" w:color="A6A6A6"/>
              <w:bottom w:val="single" w:sz="4" w:space="0" w:color="A6A6A6"/>
            </w:tcBorders>
            <w:shd w:val="clear" w:color="auto" w:fill="E7E6E6"/>
            <w:noWrap/>
            <w:hideMark/>
          </w:tcPr>
          <w:p w14:paraId="5009DEB8" w14:textId="77777777" w:rsidR="00087B91" w:rsidRPr="002029AF" w:rsidRDefault="00087B91" w:rsidP="00860E95">
            <w:pPr>
              <w:pStyle w:val="ARfintablebodyright"/>
            </w:pPr>
            <w:r w:rsidRPr="002029AF">
              <w:t>21.4</w:t>
            </w:r>
          </w:p>
        </w:tc>
        <w:tc>
          <w:tcPr>
            <w:tcW w:w="1133" w:type="dxa"/>
            <w:tcBorders>
              <w:top w:val="single" w:sz="4" w:space="0" w:color="A6A6A6"/>
              <w:bottom w:val="single" w:sz="4" w:space="0" w:color="A6A6A6"/>
            </w:tcBorders>
            <w:noWrap/>
            <w:hideMark/>
          </w:tcPr>
          <w:p w14:paraId="25B20858" w14:textId="77777777" w:rsidR="00087B91" w:rsidRPr="002029AF" w:rsidRDefault="00087B91" w:rsidP="00860E95">
            <w:pPr>
              <w:pStyle w:val="ARfintablebodyright"/>
            </w:pPr>
            <w:r w:rsidRPr="002029AF">
              <w:t>20.8</w:t>
            </w:r>
          </w:p>
        </w:tc>
      </w:tr>
      <w:tr w:rsidR="00087B91" w:rsidRPr="002029AF" w14:paraId="23C1B3EE" w14:textId="77777777" w:rsidTr="00860E95">
        <w:tc>
          <w:tcPr>
            <w:tcW w:w="7371" w:type="dxa"/>
            <w:tcBorders>
              <w:top w:val="single" w:sz="4" w:space="0" w:color="A6A6A6"/>
              <w:bottom w:val="single" w:sz="4" w:space="0" w:color="A6A6A6"/>
            </w:tcBorders>
            <w:hideMark/>
          </w:tcPr>
          <w:p w14:paraId="500C565D" w14:textId="27EC34C9" w:rsidR="00087B91" w:rsidRPr="002029AF" w:rsidRDefault="00087B91" w:rsidP="00860E95">
            <w:pPr>
              <w:pStyle w:val="ARfintablebodyindent"/>
            </w:pPr>
            <w:r w:rsidRPr="002029AF">
              <w:t>Unconditional</w:t>
            </w:r>
            <w:r w:rsidR="000A5329" w:rsidRPr="002029AF">
              <w:t xml:space="preserve"> </w:t>
            </w:r>
            <w:r w:rsidRPr="002029AF">
              <w:t>and</w:t>
            </w:r>
            <w:r w:rsidR="000A5329" w:rsidRPr="002029AF">
              <w:t xml:space="preserve"> </w:t>
            </w:r>
            <w:r w:rsidRPr="002029AF">
              <w:t>expected</w:t>
            </w:r>
            <w:r w:rsidR="000A5329" w:rsidRPr="002029AF">
              <w:t xml:space="preserve"> </w:t>
            </w:r>
            <w:r w:rsidRPr="002029AF">
              <w:t>to</w:t>
            </w:r>
            <w:r w:rsidR="000A5329" w:rsidRPr="002029AF">
              <w:t xml:space="preserve"> </w:t>
            </w:r>
            <w:r w:rsidRPr="002029AF">
              <w:t>be</w:t>
            </w:r>
            <w:r w:rsidR="000A5329" w:rsidRPr="002029AF">
              <w:t xml:space="preserve"> </w:t>
            </w:r>
            <w:r w:rsidRPr="002029AF">
              <w:t>settled</w:t>
            </w:r>
            <w:r w:rsidR="000A5329" w:rsidRPr="002029AF">
              <w:t xml:space="preserve"> </w:t>
            </w:r>
            <w:r w:rsidRPr="002029AF">
              <w:t>after</w:t>
            </w:r>
            <w:r w:rsidR="000A5329" w:rsidRPr="002029AF">
              <w:t xml:space="preserve"> </w:t>
            </w:r>
            <w:r w:rsidRPr="002029AF">
              <w:t>12</w:t>
            </w:r>
            <w:r w:rsidR="000A5329" w:rsidRPr="002029AF">
              <w:t xml:space="preserve"> </w:t>
            </w:r>
            <w:r w:rsidRPr="002029AF">
              <w:t>months</w:t>
            </w:r>
          </w:p>
        </w:tc>
        <w:tc>
          <w:tcPr>
            <w:tcW w:w="1133" w:type="dxa"/>
            <w:tcBorders>
              <w:top w:val="single" w:sz="4" w:space="0" w:color="A6A6A6"/>
              <w:bottom w:val="single" w:sz="4" w:space="0" w:color="A6A6A6"/>
            </w:tcBorders>
            <w:shd w:val="clear" w:color="auto" w:fill="E7E6E6"/>
            <w:noWrap/>
            <w:hideMark/>
          </w:tcPr>
          <w:p w14:paraId="045A150A" w14:textId="77777777" w:rsidR="00087B91" w:rsidRPr="002029AF" w:rsidRDefault="00087B91" w:rsidP="00860E95">
            <w:pPr>
              <w:pStyle w:val="ARfintablebodyright"/>
            </w:pPr>
            <w:r w:rsidRPr="002029AF">
              <w:t>193.1</w:t>
            </w:r>
          </w:p>
        </w:tc>
        <w:tc>
          <w:tcPr>
            <w:tcW w:w="1133" w:type="dxa"/>
            <w:tcBorders>
              <w:top w:val="single" w:sz="4" w:space="0" w:color="A6A6A6"/>
              <w:bottom w:val="single" w:sz="4" w:space="0" w:color="A6A6A6"/>
            </w:tcBorders>
            <w:noWrap/>
            <w:hideMark/>
          </w:tcPr>
          <w:p w14:paraId="0EE5DFA7" w14:textId="77777777" w:rsidR="00087B91" w:rsidRPr="002029AF" w:rsidRDefault="00087B91" w:rsidP="00860E95">
            <w:pPr>
              <w:pStyle w:val="ARfintablebodyright"/>
            </w:pPr>
            <w:r w:rsidRPr="002029AF">
              <w:t>188.2</w:t>
            </w:r>
          </w:p>
        </w:tc>
      </w:tr>
      <w:tr w:rsidR="00087B91" w:rsidRPr="002029AF" w14:paraId="4D5C7F5F" w14:textId="77777777" w:rsidTr="00860E95">
        <w:tc>
          <w:tcPr>
            <w:tcW w:w="9637" w:type="dxa"/>
            <w:gridSpan w:val="3"/>
            <w:tcBorders>
              <w:top w:val="single" w:sz="4" w:space="0" w:color="A6A6A6"/>
              <w:bottom w:val="single" w:sz="4" w:space="0" w:color="A6A6A6"/>
            </w:tcBorders>
            <w:hideMark/>
          </w:tcPr>
          <w:p w14:paraId="59207605" w14:textId="77777777" w:rsidR="00087B91" w:rsidRPr="002029AF" w:rsidRDefault="00087B91" w:rsidP="00860E95">
            <w:pPr>
              <w:pStyle w:val="ARfintablebody"/>
              <w:rPr>
                <w:b/>
                <w:bCs/>
              </w:rPr>
            </w:pPr>
            <w:r w:rsidRPr="002029AF">
              <w:t>Superannuation</w:t>
            </w:r>
          </w:p>
        </w:tc>
      </w:tr>
      <w:tr w:rsidR="00087B91" w:rsidRPr="002029AF" w14:paraId="30AD3DDD" w14:textId="77777777" w:rsidTr="00860E95">
        <w:tc>
          <w:tcPr>
            <w:tcW w:w="7371" w:type="dxa"/>
            <w:tcBorders>
              <w:top w:val="single" w:sz="4" w:space="0" w:color="A6A6A6"/>
              <w:bottom w:val="single" w:sz="4" w:space="0" w:color="A6A6A6"/>
            </w:tcBorders>
            <w:hideMark/>
          </w:tcPr>
          <w:p w14:paraId="708F4C61" w14:textId="18A0842C" w:rsidR="00087B91" w:rsidRPr="002029AF" w:rsidRDefault="00087B91" w:rsidP="00860E95">
            <w:pPr>
              <w:pStyle w:val="ARfintablebodyindent"/>
            </w:pPr>
            <w:r w:rsidRPr="002029AF">
              <w:t>Unconditional</w:t>
            </w:r>
            <w:r w:rsidR="000A5329" w:rsidRPr="002029AF">
              <w:t xml:space="preserve"> </w:t>
            </w:r>
            <w:r w:rsidRPr="002029AF">
              <w:t>and</w:t>
            </w:r>
            <w:r w:rsidR="000A5329" w:rsidRPr="002029AF">
              <w:t xml:space="preserve"> </w:t>
            </w:r>
            <w:r w:rsidRPr="002029AF">
              <w:t>expected</w:t>
            </w:r>
            <w:r w:rsidR="000A5329" w:rsidRPr="002029AF">
              <w:t xml:space="preserve"> </w:t>
            </w:r>
            <w:r w:rsidRPr="002029AF">
              <w:t>to</w:t>
            </w:r>
            <w:r w:rsidR="000A5329" w:rsidRPr="002029AF">
              <w:t xml:space="preserve"> </w:t>
            </w:r>
            <w:r w:rsidRPr="002029AF">
              <w:t>be</w:t>
            </w:r>
            <w:r w:rsidR="000A5329" w:rsidRPr="002029AF">
              <w:t xml:space="preserve"> </w:t>
            </w:r>
            <w:r w:rsidRPr="002029AF">
              <w:t>settled</w:t>
            </w:r>
            <w:r w:rsidR="000A5329" w:rsidRPr="002029AF">
              <w:t xml:space="preserve"> </w:t>
            </w:r>
            <w:r w:rsidRPr="002029AF">
              <w:t>within</w:t>
            </w:r>
            <w:r w:rsidR="000A5329" w:rsidRPr="002029AF">
              <w:t xml:space="preserve"> </w:t>
            </w:r>
            <w:r w:rsidRPr="002029AF">
              <w:t>12</w:t>
            </w:r>
            <w:r w:rsidR="000A5329" w:rsidRPr="002029AF">
              <w:t xml:space="preserve"> </w:t>
            </w:r>
            <w:r w:rsidRPr="002029AF">
              <w:t>months</w:t>
            </w:r>
          </w:p>
        </w:tc>
        <w:tc>
          <w:tcPr>
            <w:tcW w:w="1133" w:type="dxa"/>
            <w:tcBorders>
              <w:top w:val="single" w:sz="4" w:space="0" w:color="A6A6A6"/>
              <w:bottom w:val="single" w:sz="4" w:space="0" w:color="A6A6A6"/>
            </w:tcBorders>
            <w:shd w:val="clear" w:color="auto" w:fill="E7E6E6"/>
            <w:noWrap/>
            <w:hideMark/>
          </w:tcPr>
          <w:p w14:paraId="44722285" w14:textId="77777777" w:rsidR="00087B91" w:rsidRPr="002029AF" w:rsidRDefault="00087B91" w:rsidP="00860E95">
            <w:pPr>
              <w:pStyle w:val="ARfintablebodyright"/>
            </w:pPr>
            <w:r w:rsidRPr="002029AF">
              <w:t>2.6</w:t>
            </w:r>
          </w:p>
        </w:tc>
        <w:tc>
          <w:tcPr>
            <w:tcW w:w="1133" w:type="dxa"/>
            <w:tcBorders>
              <w:top w:val="single" w:sz="4" w:space="0" w:color="A6A6A6"/>
              <w:bottom w:val="single" w:sz="4" w:space="0" w:color="A6A6A6"/>
            </w:tcBorders>
            <w:noWrap/>
            <w:hideMark/>
          </w:tcPr>
          <w:p w14:paraId="69A316C4" w14:textId="77777777" w:rsidR="00087B91" w:rsidRPr="002029AF" w:rsidRDefault="00087B91" w:rsidP="00860E95">
            <w:pPr>
              <w:pStyle w:val="ARfintablebodyright"/>
            </w:pPr>
            <w:r w:rsidRPr="002029AF">
              <w:t>2.7</w:t>
            </w:r>
          </w:p>
        </w:tc>
      </w:tr>
      <w:tr w:rsidR="00087B91" w:rsidRPr="002029AF" w14:paraId="6AB4878F" w14:textId="77777777" w:rsidTr="00860E95">
        <w:tc>
          <w:tcPr>
            <w:tcW w:w="9637" w:type="dxa"/>
            <w:gridSpan w:val="3"/>
            <w:tcBorders>
              <w:top w:val="single" w:sz="4" w:space="0" w:color="A6A6A6"/>
              <w:bottom w:val="single" w:sz="4" w:space="0" w:color="A6A6A6"/>
            </w:tcBorders>
            <w:hideMark/>
          </w:tcPr>
          <w:p w14:paraId="012B06E7" w14:textId="16E98477" w:rsidR="00087B91" w:rsidRPr="002029AF" w:rsidRDefault="00087B91" w:rsidP="00860E95">
            <w:pPr>
              <w:pStyle w:val="ARfintablebody"/>
              <w:rPr>
                <w:b/>
                <w:bCs/>
              </w:rPr>
            </w:pPr>
            <w:r w:rsidRPr="002029AF">
              <w:t>Provisions</w:t>
            </w:r>
            <w:r w:rsidR="000A5329" w:rsidRPr="002029AF">
              <w:t xml:space="preserve"> </w:t>
            </w:r>
            <w:r w:rsidRPr="002029AF">
              <w:t>for</w:t>
            </w:r>
            <w:r w:rsidR="000A5329" w:rsidRPr="002029AF">
              <w:t xml:space="preserve"> </w:t>
            </w:r>
            <w:r w:rsidRPr="002029AF">
              <w:t>on-costs</w:t>
            </w:r>
          </w:p>
        </w:tc>
      </w:tr>
      <w:tr w:rsidR="00087B91" w:rsidRPr="002029AF" w14:paraId="2EA2EFA6" w14:textId="77777777" w:rsidTr="00860E95">
        <w:tc>
          <w:tcPr>
            <w:tcW w:w="7371" w:type="dxa"/>
            <w:tcBorders>
              <w:top w:val="single" w:sz="4" w:space="0" w:color="A6A6A6"/>
              <w:bottom w:val="single" w:sz="4" w:space="0" w:color="A6A6A6"/>
            </w:tcBorders>
            <w:hideMark/>
          </w:tcPr>
          <w:p w14:paraId="2AC16945" w14:textId="48EBAABD" w:rsidR="00087B91" w:rsidRPr="002029AF" w:rsidRDefault="00087B91" w:rsidP="00860E95">
            <w:pPr>
              <w:pStyle w:val="ARfintablebodyindent"/>
            </w:pPr>
            <w:r w:rsidRPr="002029AF">
              <w:t>Unconditional</w:t>
            </w:r>
            <w:r w:rsidR="000A5329" w:rsidRPr="002029AF">
              <w:t xml:space="preserve"> </w:t>
            </w:r>
            <w:r w:rsidRPr="002029AF">
              <w:t>and</w:t>
            </w:r>
            <w:r w:rsidR="000A5329" w:rsidRPr="002029AF">
              <w:t xml:space="preserve"> </w:t>
            </w:r>
            <w:r w:rsidRPr="002029AF">
              <w:t>expected</w:t>
            </w:r>
            <w:r w:rsidR="000A5329" w:rsidRPr="002029AF">
              <w:t xml:space="preserve"> </w:t>
            </w:r>
            <w:r w:rsidRPr="002029AF">
              <w:t>to</w:t>
            </w:r>
            <w:r w:rsidR="000A5329" w:rsidRPr="002029AF">
              <w:t xml:space="preserve"> </w:t>
            </w:r>
            <w:r w:rsidRPr="002029AF">
              <w:t>be</w:t>
            </w:r>
            <w:r w:rsidR="000A5329" w:rsidRPr="002029AF">
              <w:t xml:space="preserve"> </w:t>
            </w:r>
            <w:r w:rsidRPr="002029AF">
              <w:t>settled</w:t>
            </w:r>
            <w:r w:rsidR="000A5329" w:rsidRPr="002029AF">
              <w:t xml:space="preserve"> </w:t>
            </w:r>
            <w:r w:rsidRPr="002029AF">
              <w:t>within</w:t>
            </w:r>
            <w:r w:rsidR="000A5329" w:rsidRPr="002029AF">
              <w:t xml:space="preserve"> </w:t>
            </w:r>
            <w:r w:rsidRPr="002029AF">
              <w:t>12</w:t>
            </w:r>
            <w:r w:rsidR="000A5329" w:rsidRPr="002029AF">
              <w:t xml:space="preserve"> </w:t>
            </w:r>
            <w:r w:rsidRPr="002029AF">
              <w:t>months</w:t>
            </w:r>
          </w:p>
        </w:tc>
        <w:tc>
          <w:tcPr>
            <w:tcW w:w="1133" w:type="dxa"/>
            <w:tcBorders>
              <w:top w:val="single" w:sz="4" w:space="0" w:color="A6A6A6"/>
              <w:bottom w:val="single" w:sz="4" w:space="0" w:color="A6A6A6"/>
            </w:tcBorders>
            <w:shd w:val="clear" w:color="auto" w:fill="E7E6E6"/>
            <w:noWrap/>
            <w:hideMark/>
          </w:tcPr>
          <w:p w14:paraId="58F045B8" w14:textId="77777777" w:rsidR="00087B91" w:rsidRPr="002029AF" w:rsidRDefault="00087B91" w:rsidP="00860E95">
            <w:pPr>
              <w:pStyle w:val="ARfintablebodyright"/>
            </w:pPr>
            <w:r w:rsidRPr="002029AF">
              <w:t>17.3</w:t>
            </w:r>
          </w:p>
        </w:tc>
        <w:tc>
          <w:tcPr>
            <w:tcW w:w="1133" w:type="dxa"/>
            <w:tcBorders>
              <w:top w:val="single" w:sz="4" w:space="0" w:color="A6A6A6"/>
              <w:bottom w:val="single" w:sz="4" w:space="0" w:color="A6A6A6"/>
            </w:tcBorders>
            <w:noWrap/>
            <w:hideMark/>
          </w:tcPr>
          <w:p w14:paraId="14AF92E4" w14:textId="77777777" w:rsidR="00087B91" w:rsidRPr="002029AF" w:rsidRDefault="00087B91" w:rsidP="00860E95">
            <w:pPr>
              <w:pStyle w:val="ARfintablebodyright"/>
            </w:pPr>
            <w:r w:rsidRPr="002029AF">
              <w:t>17.3</w:t>
            </w:r>
          </w:p>
        </w:tc>
      </w:tr>
      <w:tr w:rsidR="00087B91" w:rsidRPr="002029AF" w14:paraId="491DCA8A" w14:textId="77777777" w:rsidTr="00860E95">
        <w:tc>
          <w:tcPr>
            <w:tcW w:w="7371" w:type="dxa"/>
            <w:tcBorders>
              <w:top w:val="single" w:sz="4" w:space="0" w:color="A6A6A6"/>
            </w:tcBorders>
            <w:hideMark/>
          </w:tcPr>
          <w:p w14:paraId="3BD07D56" w14:textId="6EB0D0DA" w:rsidR="00087B91" w:rsidRPr="002029AF" w:rsidRDefault="00087B91" w:rsidP="00860E95">
            <w:pPr>
              <w:pStyle w:val="ARfintablebodyindent"/>
            </w:pPr>
            <w:r w:rsidRPr="002029AF">
              <w:t>Unconditional</w:t>
            </w:r>
            <w:r w:rsidR="000A5329" w:rsidRPr="002029AF">
              <w:t xml:space="preserve"> </w:t>
            </w:r>
            <w:r w:rsidRPr="002029AF">
              <w:t>and</w:t>
            </w:r>
            <w:r w:rsidR="000A5329" w:rsidRPr="002029AF">
              <w:t xml:space="preserve"> </w:t>
            </w:r>
            <w:r w:rsidRPr="002029AF">
              <w:t>expected</w:t>
            </w:r>
            <w:r w:rsidR="000A5329" w:rsidRPr="002029AF">
              <w:t xml:space="preserve"> </w:t>
            </w:r>
            <w:r w:rsidRPr="002029AF">
              <w:t>to</w:t>
            </w:r>
            <w:r w:rsidR="000A5329" w:rsidRPr="002029AF">
              <w:t xml:space="preserve"> </w:t>
            </w:r>
            <w:r w:rsidRPr="002029AF">
              <w:t>be</w:t>
            </w:r>
            <w:r w:rsidR="000A5329" w:rsidRPr="002029AF">
              <w:t xml:space="preserve"> </w:t>
            </w:r>
            <w:r w:rsidRPr="002029AF">
              <w:t>settled</w:t>
            </w:r>
            <w:r w:rsidR="000A5329" w:rsidRPr="002029AF">
              <w:t xml:space="preserve"> </w:t>
            </w:r>
            <w:r w:rsidRPr="002029AF">
              <w:t>after</w:t>
            </w:r>
            <w:r w:rsidR="000A5329" w:rsidRPr="002029AF">
              <w:t xml:space="preserve"> </w:t>
            </w:r>
            <w:r w:rsidRPr="002029AF">
              <w:t>12</w:t>
            </w:r>
            <w:r w:rsidR="000A5329" w:rsidRPr="002029AF">
              <w:t xml:space="preserve"> </w:t>
            </w:r>
            <w:r w:rsidRPr="002029AF">
              <w:t>months</w:t>
            </w:r>
          </w:p>
        </w:tc>
        <w:tc>
          <w:tcPr>
            <w:tcW w:w="1133" w:type="dxa"/>
            <w:tcBorders>
              <w:top w:val="single" w:sz="4" w:space="0" w:color="A6A6A6"/>
            </w:tcBorders>
            <w:shd w:val="clear" w:color="auto" w:fill="E7E6E6"/>
            <w:noWrap/>
            <w:hideMark/>
          </w:tcPr>
          <w:p w14:paraId="48651167" w14:textId="77777777" w:rsidR="00087B91" w:rsidRPr="002029AF" w:rsidRDefault="00087B91" w:rsidP="00860E95">
            <w:pPr>
              <w:pStyle w:val="ARfintablebodyright"/>
            </w:pPr>
            <w:r w:rsidRPr="002029AF">
              <w:t>38.1</w:t>
            </w:r>
          </w:p>
        </w:tc>
        <w:tc>
          <w:tcPr>
            <w:tcW w:w="1133" w:type="dxa"/>
            <w:tcBorders>
              <w:top w:val="single" w:sz="4" w:space="0" w:color="A6A6A6"/>
            </w:tcBorders>
            <w:noWrap/>
            <w:hideMark/>
          </w:tcPr>
          <w:p w14:paraId="685968FE" w14:textId="77777777" w:rsidR="00087B91" w:rsidRPr="002029AF" w:rsidRDefault="00087B91" w:rsidP="00860E95">
            <w:pPr>
              <w:pStyle w:val="ARfintablebodyright"/>
            </w:pPr>
            <w:r w:rsidRPr="002029AF">
              <w:t>39.2</w:t>
            </w:r>
          </w:p>
        </w:tc>
      </w:tr>
      <w:tr w:rsidR="00087B91" w:rsidRPr="002029AF" w14:paraId="3F2EA5AB" w14:textId="77777777" w:rsidTr="00860E95">
        <w:tc>
          <w:tcPr>
            <w:tcW w:w="7371" w:type="dxa"/>
            <w:tcBorders>
              <w:bottom w:val="single" w:sz="4" w:space="0" w:color="auto"/>
            </w:tcBorders>
            <w:hideMark/>
          </w:tcPr>
          <w:p w14:paraId="16EFEA0D" w14:textId="64E1554D" w:rsidR="00087B91" w:rsidRPr="002029AF" w:rsidRDefault="00087B91" w:rsidP="00860E95">
            <w:pPr>
              <w:pStyle w:val="ARfintablebodybold"/>
            </w:pPr>
            <w:r w:rsidRPr="002029AF">
              <w:t>Total</w:t>
            </w:r>
            <w:r w:rsidR="000A5329" w:rsidRPr="002029AF">
              <w:t xml:space="preserve"> </w:t>
            </w:r>
            <w:r w:rsidRPr="002029AF">
              <w:t>current</w:t>
            </w:r>
            <w:r w:rsidR="000A5329" w:rsidRPr="002029AF">
              <w:t xml:space="preserve"> </w:t>
            </w:r>
            <w:r w:rsidRPr="002029AF">
              <w:t>provisions</w:t>
            </w:r>
            <w:r w:rsidR="000A5329" w:rsidRPr="002029AF">
              <w:t xml:space="preserve"> </w:t>
            </w:r>
            <w:r w:rsidRPr="002029AF">
              <w:t>for</w:t>
            </w:r>
            <w:r w:rsidR="000A5329" w:rsidRPr="002029AF">
              <w:t xml:space="preserve"> </w:t>
            </w:r>
            <w:r w:rsidRPr="002029AF">
              <w:t>employee</w:t>
            </w:r>
            <w:r w:rsidR="000A5329" w:rsidRPr="002029AF">
              <w:t xml:space="preserve"> </w:t>
            </w:r>
            <w:r w:rsidRPr="002029AF">
              <w:t>benefits</w:t>
            </w:r>
          </w:p>
        </w:tc>
        <w:tc>
          <w:tcPr>
            <w:tcW w:w="1133" w:type="dxa"/>
            <w:tcBorders>
              <w:bottom w:val="single" w:sz="4" w:space="0" w:color="auto"/>
            </w:tcBorders>
            <w:shd w:val="clear" w:color="auto" w:fill="E7E6E6"/>
            <w:noWrap/>
            <w:hideMark/>
          </w:tcPr>
          <w:p w14:paraId="0CF2A701" w14:textId="77777777" w:rsidR="00087B91" w:rsidRPr="002029AF" w:rsidRDefault="00087B91" w:rsidP="00860E95">
            <w:pPr>
              <w:pStyle w:val="ARfintablebodyrightbold"/>
            </w:pPr>
            <w:r w:rsidRPr="002029AF">
              <w:t>418.4</w:t>
            </w:r>
          </w:p>
        </w:tc>
        <w:tc>
          <w:tcPr>
            <w:tcW w:w="1133" w:type="dxa"/>
            <w:tcBorders>
              <w:bottom w:val="single" w:sz="4" w:space="0" w:color="auto"/>
            </w:tcBorders>
            <w:noWrap/>
            <w:hideMark/>
          </w:tcPr>
          <w:p w14:paraId="53FD8044" w14:textId="77777777" w:rsidR="00087B91" w:rsidRPr="002029AF" w:rsidRDefault="00087B91" w:rsidP="00860E95">
            <w:pPr>
              <w:pStyle w:val="ARfintablebodyrightbold"/>
            </w:pPr>
            <w:r w:rsidRPr="002029AF">
              <w:t>389.3</w:t>
            </w:r>
          </w:p>
        </w:tc>
      </w:tr>
      <w:tr w:rsidR="00087B91" w:rsidRPr="002029AF" w14:paraId="51EEAF6E" w14:textId="77777777" w:rsidTr="00860E95">
        <w:tc>
          <w:tcPr>
            <w:tcW w:w="9637" w:type="dxa"/>
            <w:gridSpan w:val="3"/>
            <w:tcBorders>
              <w:top w:val="single" w:sz="4" w:space="0" w:color="auto"/>
              <w:bottom w:val="single" w:sz="4" w:space="0" w:color="A6A6A6"/>
            </w:tcBorders>
            <w:hideMark/>
          </w:tcPr>
          <w:p w14:paraId="7B965959" w14:textId="0F637A59" w:rsidR="00087B91" w:rsidRPr="002029AF" w:rsidRDefault="00087B91" w:rsidP="00860E95">
            <w:pPr>
              <w:pStyle w:val="ARfintablebodybold"/>
            </w:pPr>
            <w:r w:rsidRPr="002029AF">
              <w:t>Non-current</w:t>
            </w:r>
            <w:r w:rsidR="000A5329" w:rsidRPr="002029AF">
              <w:t xml:space="preserve"> </w:t>
            </w:r>
            <w:r w:rsidRPr="002029AF">
              <w:t>provisions</w:t>
            </w:r>
          </w:p>
        </w:tc>
      </w:tr>
      <w:tr w:rsidR="00087B91" w:rsidRPr="002029AF" w14:paraId="74CA8802" w14:textId="77777777" w:rsidTr="00860E95">
        <w:tc>
          <w:tcPr>
            <w:tcW w:w="7371" w:type="dxa"/>
            <w:tcBorders>
              <w:top w:val="single" w:sz="4" w:space="0" w:color="A6A6A6"/>
              <w:bottom w:val="single" w:sz="4" w:space="0" w:color="A6A6A6"/>
            </w:tcBorders>
            <w:hideMark/>
          </w:tcPr>
          <w:p w14:paraId="4CCCF1CA" w14:textId="29B4114B" w:rsidR="00087B91" w:rsidRPr="002029AF" w:rsidRDefault="00087B91" w:rsidP="00860E95">
            <w:pPr>
              <w:pStyle w:val="ARfintablebody"/>
            </w:pPr>
            <w:r w:rsidRPr="002029AF">
              <w:t>Conditional</w:t>
            </w:r>
            <w:r w:rsidR="000A5329" w:rsidRPr="002029AF">
              <w:t xml:space="preserve"> </w:t>
            </w:r>
            <w:r w:rsidRPr="002029AF">
              <w:t>long</w:t>
            </w:r>
            <w:r w:rsidR="000A5329" w:rsidRPr="002029AF">
              <w:t xml:space="preserve"> </w:t>
            </w:r>
            <w:r w:rsidRPr="002029AF">
              <w:t>service</w:t>
            </w:r>
            <w:r w:rsidR="000A5329" w:rsidRPr="002029AF">
              <w:t xml:space="preserve"> </w:t>
            </w:r>
            <w:r w:rsidRPr="002029AF">
              <w:t>leave</w:t>
            </w:r>
            <w:r w:rsidR="000A5329" w:rsidRPr="002029AF">
              <w:t xml:space="preserve"> </w:t>
            </w:r>
            <w:r w:rsidRPr="002029AF">
              <w:t>entitlements</w:t>
            </w:r>
          </w:p>
        </w:tc>
        <w:tc>
          <w:tcPr>
            <w:tcW w:w="1133" w:type="dxa"/>
            <w:tcBorders>
              <w:top w:val="single" w:sz="4" w:space="0" w:color="A6A6A6"/>
              <w:bottom w:val="single" w:sz="4" w:space="0" w:color="A6A6A6"/>
            </w:tcBorders>
            <w:shd w:val="clear" w:color="auto" w:fill="E7E6E6"/>
            <w:noWrap/>
            <w:hideMark/>
          </w:tcPr>
          <w:p w14:paraId="6D64C29F" w14:textId="77777777" w:rsidR="00087B91" w:rsidRPr="002029AF" w:rsidRDefault="00087B91" w:rsidP="00860E95">
            <w:pPr>
              <w:pStyle w:val="ARfintablebodyright"/>
            </w:pPr>
            <w:r w:rsidRPr="002029AF">
              <w:t>31.1</w:t>
            </w:r>
          </w:p>
        </w:tc>
        <w:tc>
          <w:tcPr>
            <w:tcW w:w="1133" w:type="dxa"/>
            <w:tcBorders>
              <w:top w:val="single" w:sz="4" w:space="0" w:color="A6A6A6"/>
              <w:bottom w:val="single" w:sz="4" w:space="0" w:color="A6A6A6"/>
            </w:tcBorders>
            <w:noWrap/>
            <w:hideMark/>
          </w:tcPr>
          <w:p w14:paraId="4D8B51B6" w14:textId="77777777" w:rsidR="00087B91" w:rsidRPr="002029AF" w:rsidRDefault="00087B91" w:rsidP="00860E95">
            <w:pPr>
              <w:pStyle w:val="ARfintablebodyright"/>
            </w:pPr>
            <w:r w:rsidRPr="002029AF">
              <w:t>28.7</w:t>
            </w:r>
          </w:p>
        </w:tc>
      </w:tr>
      <w:tr w:rsidR="00087B91" w:rsidRPr="002029AF" w14:paraId="54106F5D" w14:textId="77777777" w:rsidTr="00860E95">
        <w:tc>
          <w:tcPr>
            <w:tcW w:w="7371" w:type="dxa"/>
            <w:tcBorders>
              <w:top w:val="single" w:sz="4" w:space="0" w:color="A6A6A6"/>
              <w:bottom w:val="single" w:sz="4" w:space="0" w:color="A6A6A6"/>
            </w:tcBorders>
            <w:hideMark/>
          </w:tcPr>
          <w:p w14:paraId="18D0AD37" w14:textId="77777777" w:rsidR="00087B91" w:rsidRPr="002029AF" w:rsidRDefault="00087B91" w:rsidP="00860E95">
            <w:pPr>
              <w:pStyle w:val="ARfintablebody"/>
            </w:pPr>
            <w:r w:rsidRPr="002029AF">
              <w:t>Superannuation</w:t>
            </w:r>
          </w:p>
        </w:tc>
        <w:tc>
          <w:tcPr>
            <w:tcW w:w="1133" w:type="dxa"/>
            <w:tcBorders>
              <w:top w:val="single" w:sz="4" w:space="0" w:color="A6A6A6"/>
              <w:bottom w:val="single" w:sz="4" w:space="0" w:color="A6A6A6"/>
            </w:tcBorders>
            <w:shd w:val="clear" w:color="auto" w:fill="E7E6E6"/>
            <w:noWrap/>
            <w:hideMark/>
          </w:tcPr>
          <w:p w14:paraId="1891CD75" w14:textId="77777777" w:rsidR="00087B91" w:rsidRPr="002029AF" w:rsidRDefault="00087B91" w:rsidP="00860E95">
            <w:pPr>
              <w:pStyle w:val="ARfintablebodyright"/>
            </w:pPr>
            <w:r w:rsidRPr="002029AF">
              <w:t>29.6</w:t>
            </w:r>
          </w:p>
        </w:tc>
        <w:tc>
          <w:tcPr>
            <w:tcW w:w="1133" w:type="dxa"/>
            <w:tcBorders>
              <w:top w:val="single" w:sz="4" w:space="0" w:color="A6A6A6"/>
              <w:bottom w:val="single" w:sz="4" w:space="0" w:color="A6A6A6"/>
            </w:tcBorders>
            <w:noWrap/>
            <w:hideMark/>
          </w:tcPr>
          <w:p w14:paraId="2C83B701" w14:textId="77777777" w:rsidR="00087B91" w:rsidRPr="002029AF" w:rsidRDefault="00087B91" w:rsidP="00860E95">
            <w:pPr>
              <w:pStyle w:val="ARfintablebodyright"/>
            </w:pPr>
            <w:r w:rsidRPr="002029AF">
              <w:t>32.0</w:t>
            </w:r>
          </w:p>
        </w:tc>
      </w:tr>
      <w:tr w:rsidR="00087B91" w:rsidRPr="002029AF" w14:paraId="2C95E3DA" w14:textId="77777777" w:rsidTr="00860E95">
        <w:tc>
          <w:tcPr>
            <w:tcW w:w="7371" w:type="dxa"/>
            <w:tcBorders>
              <w:top w:val="single" w:sz="4" w:space="0" w:color="A6A6A6"/>
            </w:tcBorders>
            <w:hideMark/>
          </w:tcPr>
          <w:p w14:paraId="158D2000" w14:textId="6307B05C" w:rsidR="00087B91" w:rsidRPr="002029AF" w:rsidRDefault="00087B91" w:rsidP="00860E95">
            <w:pPr>
              <w:pStyle w:val="ARfintablebody"/>
            </w:pPr>
            <w:r w:rsidRPr="002029AF">
              <w:t>Provisions</w:t>
            </w:r>
            <w:r w:rsidR="000A5329" w:rsidRPr="002029AF">
              <w:t xml:space="preserve"> </w:t>
            </w:r>
            <w:r w:rsidRPr="002029AF">
              <w:t>for</w:t>
            </w:r>
            <w:r w:rsidR="000A5329" w:rsidRPr="002029AF">
              <w:t xml:space="preserve"> </w:t>
            </w:r>
            <w:r w:rsidRPr="002029AF">
              <w:t>on-costs</w:t>
            </w:r>
          </w:p>
        </w:tc>
        <w:tc>
          <w:tcPr>
            <w:tcW w:w="1133" w:type="dxa"/>
            <w:tcBorders>
              <w:top w:val="single" w:sz="4" w:space="0" w:color="A6A6A6"/>
            </w:tcBorders>
            <w:shd w:val="clear" w:color="auto" w:fill="E7E6E6"/>
            <w:noWrap/>
            <w:hideMark/>
          </w:tcPr>
          <w:p w14:paraId="621151FA" w14:textId="77777777" w:rsidR="00087B91" w:rsidRPr="002029AF" w:rsidRDefault="00087B91" w:rsidP="00860E95">
            <w:pPr>
              <w:pStyle w:val="ARfintablebodyright"/>
            </w:pPr>
            <w:r w:rsidRPr="002029AF">
              <w:t>4.9</w:t>
            </w:r>
          </w:p>
        </w:tc>
        <w:tc>
          <w:tcPr>
            <w:tcW w:w="1133" w:type="dxa"/>
            <w:tcBorders>
              <w:top w:val="single" w:sz="4" w:space="0" w:color="A6A6A6"/>
            </w:tcBorders>
            <w:noWrap/>
            <w:hideMark/>
          </w:tcPr>
          <w:p w14:paraId="4D82C394" w14:textId="77777777" w:rsidR="00087B91" w:rsidRPr="002029AF" w:rsidRDefault="00087B91" w:rsidP="00860E95">
            <w:pPr>
              <w:pStyle w:val="ARfintablebodyright"/>
            </w:pPr>
            <w:r w:rsidRPr="002029AF">
              <w:t>5.0</w:t>
            </w:r>
          </w:p>
        </w:tc>
      </w:tr>
      <w:tr w:rsidR="00087B91" w:rsidRPr="002029AF" w14:paraId="4C1A4C12" w14:textId="77777777" w:rsidTr="00860E95">
        <w:tc>
          <w:tcPr>
            <w:tcW w:w="7371" w:type="dxa"/>
            <w:hideMark/>
          </w:tcPr>
          <w:p w14:paraId="0D52E8EE" w14:textId="4A0AEDE3" w:rsidR="00087B91" w:rsidRPr="002029AF" w:rsidRDefault="00087B91" w:rsidP="00860E95">
            <w:pPr>
              <w:pStyle w:val="ARfintablebodybold"/>
            </w:pPr>
            <w:r w:rsidRPr="002029AF">
              <w:t>Total</w:t>
            </w:r>
            <w:r w:rsidR="000A5329" w:rsidRPr="002029AF">
              <w:t xml:space="preserve"> </w:t>
            </w:r>
            <w:r w:rsidRPr="002029AF">
              <w:t>non-current</w:t>
            </w:r>
            <w:r w:rsidR="000A5329" w:rsidRPr="002029AF">
              <w:t xml:space="preserve"> </w:t>
            </w:r>
            <w:r w:rsidRPr="002029AF">
              <w:t>provisions</w:t>
            </w:r>
            <w:r w:rsidR="000A5329" w:rsidRPr="002029AF">
              <w:t xml:space="preserve"> </w:t>
            </w:r>
            <w:r w:rsidRPr="002029AF">
              <w:t>for</w:t>
            </w:r>
            <w:r w:rsidR="000A5329" w:rsidRPr="002029AF">
              <w:t xml:space="preserve"> </w:t>
            </w:r>
            <w:r w:rsidRPr="002029AF">
              <w:t>employee</w:t>
            </w:r>
            <w:r w:rsidR="000A5329" w:rsidRPr="002029AF">
              <w:t xml:space="preserve"> </w:t>
            </w:r>
            <w:r w:rsidRPr="002029AF">
              <w:t>benefits</w:t>
            </w:r>
          </w:p>
        </w:tc>
        <w:tc>
          <w:tcPr>
            <w:tcW w:w="1133" w:type="dxa"/>
            <w:shd w:val="clear" w:color="auto" w:fill="E7E6E6"/>
            <w:noWrap/>
            <w:hideMark/>
          </w:tcPr>
          <w:p w14:paraId="40BEB7EB" w14:textId="77777777" w:rsidR="00087B91" w:rsidRPr="002029AF" w:rsidRDefault="00087B91" w:rsidP="00860E95">
            <w:pPr>
              <w:pStyle w:val="ARfintablebodyrightbold"/>
            </w:pPr>
            <w:r w:rsidRPr="002029AF">
              <w:t>65.6</w:t>
            </w:r>
          </w:p>
        </w:tc>
        <w:tc>
          <w:tcPr>
            <w:tcW w:w="1133" w:type="dxa"/>
            <w:noWrap/>
            <w:hideMark/>
          </w:tcPr>
          <w:p w14:paraId="6FA29AD2" w14:textId="77777777" w:rsidR="00087B91" w:rsidRPr="002029AF" w:rsidRDefault="00087B91" w:rsidP="00860E95">
            <w:pPr>
              <w:pStyle w:val="ARfintablebodyrightbold"/>
            </w:pPr>
            <w:r w:rsidRPr="002029AF">
              <w:t>65.7</w:t>
            </w:r>
          </w:p>
        </w:tc>
      </w:tr>
      <w:tr w:rsidR="00087B91" w:rsidRPr="002029AF" w14:paraId="41B4B1F5" w14:textId="77777777" w:rsidTr="00860E95">
        <w:tc>
          <w:tcPr>
            <w:tcW w:w="7371" w:type="dxa"/>
            <w:hideMark/>
          </w:tcPr>
          <w:p w14:paraId="27E52A07" w14:textId="3EF9878E" w:rsidR="00087B91" w:rsidRPr="002029AF" w:rsidRDefault="00087B91" w:rsidP="00860E95">
            <w:pPr>
              <w:pStyle w:val="ARfintablebodybold"/>
            </w:pPr>
            <w:r w:rsidRPr="002029AF">
              <w:t>Total</w:t>
            </w:r>
            <w:r w:rsidR="000A5329" w:rsidRPr="002029AF">
              <w:t xml:space="preserve"> </w:t>
            </w:r>
            <w:r w:rsidRPr="002029AF">
              <w:t>provisions</w:t>
            </w:r>
            <w:r w:rsidR="000A5329" w:rsidRPr="002029AF">
              <w:t xml:space="preserve"> </w:t>
            </w:r>
            <w:r w:rsidRPr="002029AF">
              <w:t>for</w:t>
            </w:r>
            <w:r w:rsidR="000A5329" w:rsidRPr="002029AF">
              <w:t xml:space="preserve"> </w:t>
            </w:r>
            <w:r w:rsidRPr="002029AF">
              <w:t>employee</w:t>
            </w:r>
            <w:r w:rsidR="000A5329" w:rsidRPr="002029AF">
              <w:t xml:space="preserve"> </w:t>
            </w:r>
            <w:r w:rsidRPr="002029AF">
              <w:t>benefits</w:t>
            </w:r>
          </w:p>
        </w:tc>
        <w:tc>
          <w:tcPr>
            <w:tcW w:w="1133" w:type="dxa"/>
            <w:shd w:val="clear" w:color="auto" w:fill="E7E6E6"/>
            <w:noWrap/>
            <w:hideMark/>
          </w:tcPr>
          <w:p w14:paraId="1D8A2011" w14:textId="77777777" w:rsidR="00087B91" w:rsidRPr="002029AF" w:rsidRDefault="00087B91" w:rsidP="00860E95">
            <w:pPr>
              <w:pStyle w:val="ARfintablebodyrightbold"/>
            </w:pPr>
            <w:r w:rsidRPr="002029AF">
              <w:t>484.0</w:t>
            </w:r>
          </w:p>
        </w:tc>
        <w:tc>
          <w:tcPr>
            <w:tcW w:w="1133" w:type="dxa"/>
            <w:noWrap/>
            <w:hideMark/>
          </w:tcPr>
          <w:p w14:paraId="56FCF7A1" w14:textId="77777777" w:rsidR="00087B91" w:rsidRPr="002029AF" w:rsidRDefault="00087B91" w:rsidP="00860E95">
            <w:pPr>
              <w:pStyle w:val="ARfintablebodyrightbold"/>
            </w:pPr>
            <w:r w:rsidRPr="002029AF">
              <w:t>455.0</w:t>
            </w:r>
          </w:p>
        </w:tc>
      </w:tr>
    </w:tbl>
    <w:p w14:paraId="4C1BCF02" w14:textId="7CB93CE4" w:rsidR="00087B91" w:rsidRPr="002029AF" w:rsidRDefault="00087B91" w:rsidP="00087B91">
      <w:pPr>
        <w:pStyle w:val="Heading7"/>
      </w:pPr>
      <w:r w:rsidRPr="002029AF">
        <w:t>Reconciliation</w:t>
      </w:r>
      <w:r w:rsidR="000A5329" w:rsidRPr="002029AF">
        <w:t xml:space="preserve"> </w:t>
      </w:r>
      <w:r w:rsidRPr="002029AF">
        <w:t>of</w:t>
      </w:r>
      <w:r w:rsidR="000A5329" w:rsidRPr="002029AF">
        <w:t xml:space="preserve"> </w:t>
      </w:r>
      <w:r w:rsidRPr="002029AF">
        <w:t>movement</w:t>
      </w:r>
      <w:r w:rsidR="000A5329" w:rsidRPr="002029AF">
        <w:t xml:space="preserve"> </w:t>
      </w:r>
      <w:r w:rsidRPr="002029AF">
        <w:t>in</w:t>
      </w:r>
      <w:r w:rsidR="000A5329" w:rsidRPr="002029AF">
        <w:t xml:space="preserve"> </w:t>
      </w:r>
      <w:r w:rsidRPr="002029AF">
        <w:t>on-cost</w:t>
      </w:r>
      <w:r w:rsidR="000A5329" w:rsidRPr="002029AF">
        <w:t xml:space="preserve"> </w:t>
      </w:r>
      <w:r w:rsidRPr="002029AF">
        <w:t>provision</w:t>
      </w:r>
    </w:p>
    <w:tbl>
      <w:tblPr>
        <w:tblStyle w:val="TableGrid"/>
        <w:tblW w:w="8505" w:type="dxa"/>
        <w:tblLayout w:type="fixed"/>
        <w:tblLook w:val="06A0" w:firstRow="1" w:lastRow="0" w:firstColumn="1" w:lastColumn="0" w:noHBand="1" w:noVBand="1"/>
      </w:tblPr>
      <w:tblGrid>
        <w:gridCol w:w="7371"/>
        <w:gridCol w:w="1134"/>
      </w:tblGrid>
      <w:tr w:rsidR="00087B91" w:rsidRPr="002029AF" w14:paraId="3FEFC0FB" w14:textId="77777777" w:rsidTr="00C83719">
        <w:trPr>
          <w:cnfStyle w:val="100000000000" w:firstRow="1" w:lastRow="0" w:firstColumn="0" w:lastColumn="0" w:oddVBand="0" w:evenVBand="0" w:oddHBand="0" w:evenHBand="0" w:firstRowFirstColumn="0" w:firstRowLastColumn="0" w:lastRowFirstColumn="0" w:lastRowLastColumn="0"/>
          <w:tblHeader/>
        </w:trPr>
        <w:tc>
          <w:tcPr>
            <w:tcW w:w="7371" w:type="dxa"/>
            <w:tcBorders>
              <w:bottom w:val="single" w:sz="4" w:space="0" w:color="auto"/>
            </w:tcBorders>
            <w:noWrap/>
            <w:hideMark/>
          </w:tcPr>
          <w:p w14:paraId="61E152BF" w14:textId="77777777" w:rsidR="00087B91" w:rsidRPr="002029AF" w:rsidRDefault="00087B91" w:rsidP="00860E95">
            <w:pPr>
              <w:pStyle w:val="ARfintablecolhead"/>
            </w:pPr>
          </w:p>
        </w:tc>
        <w:tc>
          <w:tcPr>
            <w:tcW w:w="1134" w:type="dxa"/>
            <w:tcBorders>
              <w:bottom w:val="single" w:sz="4" w:space="0" w:color="auto"/>
            </w:tcBorders>
            <w:hideMark/>
          </w:tcPr>
          <w:p w14:paraId="1C304D1E" w14:textId="77777777" w:rsidR="00087B91" w:rsidRPr="002029AF" w:rsidRDefault="00087B91" w:rsidP="00860E95">
            <w:pPr>
              <w:pStyle w:val="ARfintablecolheadright"/>
            </w:pPr>
            <w:r w:rsidRPr="002029AF">
              <w:t>2020</w:t>
            </w:r>
          </w:p>
          <w:p w14:paraId="040B48AD" w14:textId="77777777" w:rsidR="00087B91" w:rsidRPr="002029AF" w:rsidRDefault="00087B91" w:rsidP="00860E95">
            <w:pPr>
              <w:pStyle w:val="ARfintablecolheadright"/>
            </w:pPr>
            <w:r w:rsidRPr="002029AF">
              <w:t>$M</w:t>
            </w:r>
          </w:p>
        </w:tc>
      </w:tr>
      <w:tr w:rsidR="00087B91" w:rsidRPr="002029AF" w14:paraId="278F496D" w14:textId="77777777" w:rsidTr="00860E95">
        <w:tc>
          <w:tcPr>
            <w:tcW w:w="7371" w:type="dxa"/>
            <w:tcBorders>
              <w:top w:val="single" w:sz="4" w:space="0" w:color="auto"/>
              <w:bottom w:val="single" w:sz="4" w:space="0" w:color="A6A6A6"/>
            </w:tcBorders>
            <w:hideMark/>
          </w:tcPr>
          <w:p w14:paraId="6BCB367F" w14:textId="6B99FEE5" w:rsidR="00087B91" w:rsidRPr="002029AF" w:rsidRDefault="00087B91" w:rsidP="00860E95">
            <w:pPr>
              <w:pStyle w:val="ARfintablebodybold"/>
            </w:pPr>
            <w:r w:rsidRPr="002029AF">
              <w:t>Opening</w:t>
            </w:r>
            <w:r w:rsidR="000A5329" w:rsidRPr="002029AF">
              <w:t xml:space="preserve"> </w:t>
            </w:r>
            <w:r w:rsidRPr="002029AF">
              <w:t>balance</w:t>
            </w:r>
          </w:p>
        </w:tc>
        <w:tc>
          <w:tcPr>
            <w:tcW w:w="1134" w:type="dxa"/>
            <w:tcBorders>
              <w:top w:val="single" w:sz="4" w:space="0" w:color="auto"/>
              <w:bottom w:val="single" w:sz="4" w:space="0" w:color="A6A6A6"/>
            </w:tcBorders>
            <w:noWrap/>
            <w:hideMark/>
          </w:tcPr>
          <w:p w14:paraId="6DF693C1" w14:textId="77777777" w:rsidR="00087B91" w:rsidRPr="002029AF" w:rsidRDefault="00087B91" w:rsidP="00860E95">
            <w:pPr>
              <w:pStyle w:val="ARfintablebodyrightbold"/>
            </w:pPr>
            <w:r w:rsidRPr="002029AF">
              <w:t>61.6</w:t>
            </w:r>
          </w:p>
        </w:tc>
      </w:tr>
      <w:tr w:rsidR="00087B91" w:rsidRPr="002029AF" w14:paraId="47C1334F" w14:textId="77777777" w:rsidTr="00860E95">
        <w:tc>
          <w:tcPr>
            <w:tcW w:w="7371" w:type="dxa"/>
            <w:tcBorders>
              <w:top w:val="single" w:sz="4" w:space="0" w:color="A6A6A6"/>
              <w:bottom w:val="single" w:sz="4" w:space="0" w:color="A6A6A6"/>
            </w:tcBorders>
            <w:hideMark/>
          </w:tcPr>
          <w:p w14:paraId="3F00AD3E" w14:textId="1C673D17" w:rsidR="00087B91" w:rsidRPr="002029AF" w:rsidRDefault="00087B91" w:rsidP="00860E95">
            <w:pPr>
              <w:pStyle w:val="ARfintablebody"/>
            </w:pPr>
            <w:r w:rsidRPr="002029AF">
              <w:t>Net</w:t>
            </w:r>
            <w:r w:rsidR="000A5329" w:rsidRPr="002029AF">
              <w:t xml:space="preserve"> </w:t>
            </w:r>
            <w:r w:rsidRPr="002029AF">
              <w:t>movement</w:t>
            </w:r>
            <w:r w:rsidR="000A5329" w:rsidRPr="002029AF">
              <w:t xml:space="preserve"> </w:t>
            </w:r>
            <w:r w:rsidRPr="002029AF">
              <w:t>in</w:t>
            </w:r>
            <w:r w:rsidR="000A5329" w:rsidRPr="002029AF">
              <w:t xml:space="preserve"> </w:t>
            </w:r>
            <w:r w:rsidRPr="002029AF">
              <w:t>provisions</w:t>
            </w:r>
            <w:r w:rsidR="000A5329" w:rsidRPr="002029AF">
              <w:t xml:space="preserve"> </w:t>
            </w:r>
            <w:r w:rsidRPr="002029AF">
              <w:t>recognised</w:t>
            </w:r>
          </w:p>
        </w:tc>
        <w:tc>
          <w:tcPr>
            <w:tcW w:w="1134" w:type="dxa"/>
            <w:tcBorders>
              <w:top w:val="single" w:sz="4" w:space="0" w:color="A6A6A6"/>
              <w:bottom w:val="single" w:sz="4" w:space="0" w:color="A6A6A6"/>
            </w:tcBorders>
            <w:noWrap/>
            <w:hideMark/>
          </w:tcPr>
          <w:p w14:paraId="18030AC7" w14:textId="77777777" w:rsidR="00087B91" w:rsidRPr="002029AF" w:rsidRDefault="00087B91" w:rsidP="00860E95">
            <w:pPr>
              <w:pStyle w:val="ARfintablebodyright"/>
            </w:pPr>
            <w:r w:rsidRPr="002029AF">
              <w:t>(2.2)</w:t>
            </w:r>
          </w:p>
        </w:tc>
      </w:tr>
      <w:tr w:rsidR="00087B91" w:rsidRPr="002029AF" w14:paraId="234C29AD" w14:textId="77777777" w:rsidTr="00860E95">
        <w:tc>
          <w:tcPr>
            <w:tcW w:w="7371" w:type="dxa"/>
            <w:tcBorders>
              <w:top w:val="single" w:sz="4" w:space="0" w:color="A6A6A6"/>
            </w:tcBorders>
            <w:hideMark/>
          </w:tcPr>
          <w:p w14:paraId="59DA2E52" w14:textId="2CCC3052" w:rsidR="00087B91" w:rsidRPr="002029AF" w:rsidRDefault="00087B91" w:rsidP="00860E95">
            <w:pPr>
              <w:pStyle w:val="ARfintablebody"/>
            </w:pPr>
            <w:r w:rsidRPr="002029AF">
              <w:t>Unwind</w:t>
            </w:r>
            <w:r w:rsidR="000A5329" w:rsidRPr="002029AF">
              <w:t xml:space="preserve"> </w:t>
            </w:r>
            <w:r w:rsidRPr="002029AF">
              <w:t>of</w:t>
            </w:r>
            <w:r w:rsidR="000A5329" w:rsidRPr="002029AF">
              <w:t xml:space="preserve"> </w:t>
            </w:r>
            <w:r w:rsidRPr="002029AF">
              <w:t>discount</w:t>
            </w:r>
            <w:r w:rsidR="000A5329" w:rsidRPr="002029AF">
              <w:t xml:space="preserve"> </w:t>
            </w:r>
            <w:r w:rsidRPr="002029AF">
              <w:t>and</w:t>
            </w:r>
            <w:r w:rsidR="000A5329" w:rsidRPr="002029AF">
              <w:t xml:space="preserve"> </w:t>
            </w:r>
            <w:r w:rsidRPr="002029AF">
              <w:t>effect</w:t>
            </w:r>
            <w:r w:rsidR="000A5329" w:rsidRPr="002029AF">
              <w:t xml:space="preserve"> </w:t>
            </w:r>
            <w:r w:rsidRPr="002029AF">
              <w:t>of</w:t>
            </w:r>
            <w:r w:rsidR="000A5329" w:rsidRPr="002029AF">
              <w:t xml:space="preserve"> </w:t>
            </w:r>
            <w:r w:rsidRPr="002029AF">
              <w:t>changes</w:t>
            </w:r>
            <w:r w:rsidR="000A5329" w:rsidRPr="002029AF">
              <w:t xml:space="preserve"> </w:t>
            </w:r>
            <w:r w:rsidRPr="002029AF">
              <w:t>in</w:t>
            </w:r>
            <w:r w:rsidR="000A5329" w:rsidRPr="002029AF">
              <w:t xml:space="preserve"> </w:t>
            </w:r>
            <w:r w:rsidRPr="002029AF">
              <w:t>the</w:t>
            </w:r>
            <w:r w:rsidR="000A5329" w:rsidRPr="002029AF">
              <w:t xml:space="preserve"> </w:t>
            </w:r>
            <w:r w:rsidRPr="002029AF">
              <w:t>discount</w:t>
            </w:r>
            <w:r w:rsidR="000A5329" w:rsidRPr="002029AF">
              <w:t xml:space="preserve"> </w:t>
            </w:r>
            <w:r w:rsidRPr="002029AF">
              <w:t>rate</w:t>
            </w:r>
          </w:p>
        </w:tc>
        <w:tc>
          <w:tcPr>
            <w:tcW w:w="1134" w:type="dxa"/>
            <w:tcBorders>
              <w:top w:val="single" w:sz="4" w:space="0" w:color="A6A6A6"/>
            </w:tcBorders>
            <w:noWrap/>
            <w:hideMark/>
          </w:tcPr>
          <w:p w14:paraId="222FEAB7" w14:textId="77777777" w:rsidR="00087B91" w:rsidRPr="002029AF" w:rsidRDefault="00087B91" w:rsidP="00860E95">
            <w:pPr>
              <w:pStyle w:val="ARfintablebodyright"/>
            </w:pPr>
            <w:r w:rsidRPr="002029AF">
              <w:t>0.9</w:t>
            </w:r>
          </w:p>
        </w:tc>
      </w:tr>
      <w:tr w:rsidR="00087B91" w:rsidRPr="002029AF" w14:paraId="4DD49245" w14:textId="77777777" w:rsidTr="00860E95">
        <w:tc>
          <w:tcPr>
            <w:tcW w:w="7371" w:type="dxa"/>
            <w:tcBorders>
              <w:bottom w:val="single" w:sz="4" w:space="0" w:color="auto"/>
            </w:tcBorders>
            <w:hideMark/>
          </w:tcPr>
          <w:p w14:paraId="3BE7985B" w14:textId="6652062A" w:rsidR="00087B91" w:rsidRPr="002029AF" w:rsidRDefault="00087B91" w:rsidP="00860E95">
            <w:pPr>
              <w:pStyle w:val="ARfintablebodybold"/>
            </w:pPr>
            <w:r w:rsidRPr="002029AF">
              <w:t>Closing</w:t>
            </w:r>
            <w:r w:rsidR="000A5329" w:rsidRPr="002029AF">
              <w:t xml:space="preserve"> </w:t>
            </w:r>
            <w:r w:rsidRPr="002029AF">
              <w:t>balance</w:t>
            </w:r>
          </w:p>
        </w:tc>
        <w:tc>
          <w:tcPr>
            <w:tcW w:w="1134" w:type="dxa"/>
            <w:tcBorders>
              <w:bottom w:val="single" w:sz="4" w:space="0" w:color="auto"/>
            </w:tcBorders>
            <w:noWrap/>
            <w:hideMark/>
          </w:tcPr>
          <w:p w14:paraId="3ECCB1FA" w14:textId="77777777" w:rsidR="00087B91" w:rsidRPr="002029AF" w:rsidRDefault="00087B91" w:rsidP="00860E95">
            <w:pPr>
              <w:pStyle w:val="ARfintablebodyrightbold"/>
            </w:pPr>
            <w:r w:rsidRPr="002029AF">
              <w:t>60.3</w:t>
            </w:r>
          </w:p>
        </w:tc>
      </w:tr>
      <w:tr w:rsidR="00087B91" w:rsidRPr="002029AF" w14:paraId="5F7BB927" w14:textId="77777777" w:rsidTr="00860E95">
        <w:tc>
          <w:tcPr>
            <w:tcW w:w="7371" w:type="dxa"/>
            <w:tcBorders>
              <w:top w:val="single" w:sz="4" w:space="0" w:color="auto"/>
              <w:bottom w:val="single" w:sz="4" w:space="0" w:color="A6A6A6"/>
            </w:tcBorders>
            <w:hideMark/>
          </w:tcPr>
          <w:p w14:paraId="6EFC41B9" w14:textId="77777777" w:rsidR="00087B91" w:rsidRPr="002029AF" w:rsidRDefault="00087B91" w:rsidP="00860E95">
            <w:pPr>
              <w:pStyle w:val="ARfintablebody"/>
            </w:pPr>
            <w:r w:rsidRPr="002029AF">
              <w:t>Current</w:t>
            </w:r>
          </w:p>
        </w:tc>
        <w:tc>
          <w:tcPr>
            <w:tcW w:w="1134" w:type="dxa"/>
            <w:tcBorders>
              <w:top w:val="single" w:sz="4" w:space="0" w:color="auto"/>
              <w:bottom w:val="single" w:sz="4" w:space="0" w:color="A6A6A6"/>
            </w:tcBorders>
            <w:noWrap/>
            <w:hideMark/>
          </w:tcPr>
          <w:p w14:paraId="5E723C2F" w14:textId="77777777" w:rsidR="00087B91" w:rsidRPr="002029AF" w:rsidRDefault="00087B91" w:rsidP="00860E95">
            <w:pPr>
              <w:pStyle w:val="ARfintablebodyright"/>
            </w:pPr>
            <w:r w:rsidRPr="002029AF">
              <w:t>55.4</w:t>
            </w:r>
          </w:p>
        </w:tc>
      </w:tr>
      <w:tr w:rsidR="00087B91" w:rsidRPr="002029AF" w14:paraId="0976F67A" w14:textId="77777777" w:rsidTr="00860E95">
        <w:tc>
          <w:tcPr>
            <w:tcW w:w="7371" w:type="dxa"/>
            <w:tcBorders>
              <w:top w:val="single" w:sz="4" w:space="0" w:color="A6A6A6"/>
            </w:tcBorders>
            <w:hideMark/>
          </w:tcPr>
          <w:p w14:paraId="287B0475" w14:textId="77777777" w:rsidR="00087B91" w:rsidRPr="002029AF" w:rsidRDefault="00087B91" w:rsidP="00860E95">
            <w:pPr>
              <w:pStyle w:val="ARfintablebody"/>
            </w:pPr>
            <w:r w:rsidRPr="002029AF">
              <w:t>Non-current</w:t>
            </w:r>
          </w:p>
        </w:tc>
        <w:tc>
          <w:tcPr>
            <w:tcW w:w="1134" w:type="dxa"/>
            <w:tcBorders>
              <w:top w:val="single" w:sz="4" w:space="0" w:color="A6A6A6"/>
            </w:tcBorders>
            <w:noWrap/>
            <w:hideMark/>
          </w:tcPr>
          <w:p w14:paraId="1266B694" w14:textId="77777777" w:rsidR="00087B91" w:rsidRPr="002029AF" w:rsidRDefault="00087B91" w:rsidP="00860E95">
            <w:pPr>
              <w:pStyle w:val="ARfintablebodyright"/>
            </w:pPr>
            <w:r w:rsidRPr="002029AF">
              <w:t>4.9</w:t>
            </w:r>
          </w:p>
        </w:tc>
      </w:tr>
    </w:tbl>
    <w:p w14:paraId="33DA6E54" w14:textId="2462049C" w:rsidR="00087B91" w:rsidRPr="002029AF" w:rsidRDefault="00087B91" w:rsidP="00087B91">
      <w:pPr>
        <w:pStyle w:val="ARfinbodyaftertable"/>
      </w:pPr>
      <w:r w:rsidRPr="002029AF">
        <w:rPr>
          <w:rStyle w:val="Strong"/>
        </w:rPr>
        <w:t>Annual</w:t>
      </w:r>
      <w:r w:rsidR="000A5329" w:rsidRPr="002029AF">
        <w:rPr>
          <w:rStyle w:val="Strong"/>
        </w:rPr>
        <w:t xml:space="preserve"> </w:t>
      </w:r>
      <w:r w:rsidRPr="002029AF">
        <w:rPr>
          <w:rStyle w:val="Strong"/>
        </w:rPr>
        <w:t>leave</w:t>
      </w:r>
      <w:r w:rsidR="000A5329" w:rsidRPr="002029AF">
        <w:rPr>
          <w:rStyle w:val="Strong"/>
        </w:rPr>
        <w:t xml:space="preserve"> </w:t>
      </w:r>
      <w:r w:rsidRPr="002029AF">
        <w:rPr>
          <w:rStyle w:val="Strong"/>
        </w:rPr>
        <w:t>and</w:t>
      </w:r>
      <w:r w:rsidR="000A5329" w:rsidRPr="002029AF">
        <w:rPr>
          <w:rStyle w:val="Strong"/>
        </w:rPr>
        <w:t xml:space="preserve"> </w:t>
      </w:r>
      <w:r w:rsidRPr="002029AF">
        <w:rPr>
          <w:rStyle w:val="Strong"/>
        </w:rPr>
        <w:t>sick</w:t>
      </w:r>
      <w:r w:rsidR="000A5329" w:rsidRPr="002029AF">
        <w:rPr>
          <w:rStyle w:val="Strong"/>
        </w:rPr>
        <w:t xml:space="preserve"> </w:t>
      </w:r>
      <w:r w:rsidRPr="002029AF">
        <w:rPr>
          <w:rStyle w:val="Strong"/>
        </w:rPr>
        <w:t>leave:</w:t>
      </w:r>
      <w:r w:rsidR="000A5329" w:rsidRPr="002029AF">
        <w:t xml:space="preserve"> </w:t>
      </w:r>
      <w:r w:rsidRPr="002029AF">
        <w:t>Liabilities</w:t>
      </w:r>
      <w:r w:rsidR="000A5329" w:rsidRPr="002029AF">
        <w:t xml:space="preserve"> </w:t>
      </w:r>
      <w:r w:rsidRPr="002029AF">
        <w:t>for</w:t>
      </w:r>
      <w:r w:rsidR="000A5329" w:rsidRPr="002029AF">
        <w:t xml:space="preserve"> </w:t>
      </w:r>
      <w:r w:rsidRPr="002029AF">
        <w:t>annual</w:t>
      </w:r>
      <w:r w:rsidR="000A5329" w:rsidRPr="002029AF">
        <w:t xml:space="preserve"> </w:t>
      </w:r>
      <w:r w:rsidRPr="002029AF">
        <w:t>leave</w:t>
      </w:r>
      <w:r w:rsidR="000A5329" w:rsidRPr="002029AF">
        <w:t xml:space="preserve"> </w:t>
      </w:r>
      <w:r w:rsidRPr="002029AF">
        <w:t>and</w:t>
      </w:r>
      <w:r w:rsidR="000A5329" w:rsidRPr="002029AF">
        <w:t xml:space="preserve"> </w:t>
      </w:r>
      <w:r w:rsidRPr="002029AF">
        <w:t>on-costs</w:t>
      </w:r>
      <w:r w:rsidR="000A5329" w:rsidRPr="002029AF">
        <w:t xml:space="preserve"> </w:t>
      </w:r>
      <w:r w:rsidRPr="002029AF">
        <w:t>are</w:t>
      </w:r>
      <w:r w:rsidR="000A5329" w:rsidRPr="002029AF">
        <w:t xml:space="preserve"> </w:t>
      </w:r>
      <w:r w:rsidRPr="002029AF">
        <w:t>recognised</w:t>
      </w:r>
      <w:r w:rsidR="000A5329" w:rsidRPr="002029AF">
        <w:t xml:space="preserve"> </w:t>
      </w:r>
      <w:r w:rsidRPr="002029AF">
        <w:t>as</w:t>
      </w:r>
      <w:r w:rsidR="000A5329" w:rsidRPr="002029AF">
        <w:t xml:space="preserve"> </w:t>
      </w:r>
      <w:r w:rsidRPr="002029AF">
        <w:t>part</w:t>
      </w:r>
      <w:r w:rsidR="000A5329" w:rsidRPr="002029AF">
        <w:t xml:space="preserve"> </w:t>
      </w:r>
      <w:r w:rsidRPr="002029AF">
        <w:t>of</w:t>
      </w:r>
      <w:r w:rsidR="000A5329" w:rsidRPr="002029AF">
        <w:t xml:space="preserve"> </w:t>
      </w:r>
      <w:r w:rsidRPr="002029AF">
        <w:t>the</w:t>
      </w:r>
      <w:r w:rsidR="000A5329" w:rsidRPr="002029AF">
        <w:t xml:space="preserve"> </w:t>
      </w:r>
      <w:r w:rsidRPr="002029AF">
        <w:t>provisions</w:t>
      </w:r>
      <w:r w:rsidR="000A5329" w:rsidRPr="002029AF">
        <w:t xml:space="preserve"> </w:t>
      </w:r>
      <w:r w:rsidRPr="002029AF">
        <w:t>for</w:t>
      </w:r>
      <w:r w:rsidR="000A5329" w:rsidRPr="002029AF">
        <w:t xml:space="preserve"> </w:t>
      </w:r>
      <w:r w:rsidRPr="002029AF">
        <w:t>employee</w:t>
      </w:r>
      <w:r w:rsidR="000A5329" w:rsidRPr="002029AF">
        <w:t xml:space="preserve"> </w:t>
      </w:r>
      <w:r w:rsidRPr="002029AF">
        <w:t>benefits</w:t>
      </w:r>
      <w:r w:rsidR="000A5329" w:rsidRPr="002029AF">
        <w:t xml:space="preserve"> </w:t>
      </w:r>
      <w:r w:rsidRPr="002029AF">
        <w:t>as</w:t>
      </w:r>
      <w:r w:rsidR="000A5329" w:rsidRPr="002029AF">
        <w:t xml:space="preserve"> </w:t>
      </w:r>
      <w:r w:rsidRPr="002029AF">
        <w:t>‘current</w:t>
      </w:r>
      <w:r w:rsidR="000A5329" w:rsidRPr="002029AF">
        <w:t xml:space="preserve"> </w:t>
      </w:r>
      <w:r w:rsidRPr="002029AF">
        <w:t>liabilities’,</w:t>
      </w:r>
      <w:r w:rsidR="000A5329" w:rsidRPr="002029AF">
        <w:t xml:space="preserve"> </w:t>
      </w:r>
      <w:r w:rsidRPr="002029AF">
        <w:t>because</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does</w:t>
      </w:r>
      <w:r w:rsidR="000A5329" w:rsidRPr="002029AF">
        <w:t xml:space="preserve"> </w:t>
      </w:r>
      <w:r w:rsidRPr="002029AF">
        <w:t>not</w:t>
      </w:r>
      <w:r w:rsidR="000A5329" w:rsidRPr="002029AF">
        <w:t xml:space="preserve"> </w:t>
      </w:r>
      <w:r w:rsidRPr="002029AF">
        <w:t>have</w:t>
      </w:r>
      <w:r w:rsidR="000A5329" w:rsidRPr="002029AF">
        <w:t xml:space="preserve"> </w:t>
      </w:r>
      <w:r w:rsidRPr="002029AF">
        <w:t>an</w:t>
      </w:r>
      <w:r w:rsidR="000A5329" w:rsidRPr="002029AF">
        <w:t xml:space="preserve"> </w:t>
      </w:r>
      <w:r w:rsidRPr="002029AF">
        <w:t>unconditional</w:t>
      </w:r>
      <w:r w:rsidR="000A5329" w:rsidRPr="002029AF">
        <w:t xml:space="preserve"> </w:t>
      </w:r>
      <w:r w:rsidRPr="002029AF">
        <w:t>right</w:t>
      </w:r>
      <w:r w:rsidR="000A5329" w:rsidRPr="002029AF">
        <w:t xml:space="preserve"> </w:t>
      </w:r>
      <w:r w:rsidRPr="002029AF">
        <w:t>to</w:t>
      </w:r>
      <w:r w:rsidR="000A5329" w:rsidRPr="002029AF">
        <w:t xml:space="preserve"> </w:t>
      </w:r>
      <w:r w:rsidRPr="002029AF">
        <w:t>defer</w:t>
      </w:r>
      <w:r w:rsidR="000A5329" w:rsidRPr="002029AF">
        <w:t xml:space="preserve"> </w:t>
      </w:r>
      <w:r w:rsidRPr="002029AF">
        <w:t>settlements</w:t>
      </w:r>
      <w:r w:rsidR="000A5329" w:rsidRPr="002029AF">
        <w:t xml:space="preserve"> </w:t>
      </w:r>
      <w:r w:rsidRPr="002029AF">
        <w:t>of</w:t>
      </w:r>
      <w:r w:rsidR="000A5329" w:rsidRPr="002029AF">
        <w:t xml:space="preserve"> </w:t>
      </w:r>
      <w:r w:rsidRPr="002029AF">
        <w:t>these</w:t>
      </w:r>
      <w:r w:rsidR="000A5329" w:rsidRPr="002029AF">
        <w:t xml:space="preserve"> </w:t>
      </w:r>
      <w:r w:rsidRPr="002029AF">
        <w:t>liabilities.</w:t>
      </w:r>
    </w:p>
    <w:p w14:paraId="5DC75558" w14:textId="798E5C94" w:rsidR="00087B91" w:rsidRPr="002029AF" w:rsidRDefault="00087B91" w:rsidP="00087B91">
      <w:pPr>
        <w:pStyle w:val="ARfinbody"/>
      </w:pPr>
      <w:r w:rsidRPr="002029AF">
        <w:t>The</w:t>
      </w:r>
      <w:r w:rsidR="000A5329" w:rsidRPr="002029AF">
        <w:t xml:space="preserve"> </w:t>
      </w:r>
      <w:r w:rsidRPr="002029AF">
        <w:t>annual</w:t>
      </w:r>
      <w:r w:rsidR="000A5329" w:rsidRPr="002029AF">
        <w:t xml:space="preserve"> </w:t>
      </w:r>
      <w:r w:rsidRPr="002029AF">
        <w:t>leave</w:t>
      </w:r>
      <w:r w:rsidR="000A5329" w:rsidRPr="002029AF">
        <w:t xml:space="preserve"> </w:t>
      </w:r>
      <w:r w:rsidRPr="002029AF">
        <w:t>liability</w:t>
      </w:r>
      <w:r w:rsidR="000A5329" w:rsidRPr="002029AF">
        <w:t xml:space="preserve"> </w:t>
      </w:r>
      <w:r w:rsidRPr="002029AF">
        <w:t>is</w:t>
      </w:r>
      <w:r w:rsidR="000A5329" w:rsidRPr="002029AF">
        <w:t xml:space="preserve"> </w:t>
      </w:r>
      <w:r w:rsidRPr="002029AF">
        <w:t>classified</w:t>
      </w:r>
      <w:r w:rsidR="000A5329" w:rsidRPr="002029AF">
        <w:t xml:space="preserve"> </w:t>
      </w:r>
      <w:r w:rsidRPr="002029AF">
        <w:t>as</w:t>
      </w:r>
      <w:r w:rsidR="000A5329" w:rsidRPr="002029AF">
        <w:t xml:space="preserve"> </w:t>
      </w:r>
      <w:r w:rsidRPr="002029AF">
        <w:t>a</w:t>
      </w:r>
      <w:r w:rsidR="000A5329" w:rsidRPr="002029AF">
        <w:t xml:space="preserve"> </w:t>
      </w:r>
      <w:r w:rsidRPr="002029AF">
        <w:t>current</w:t>
      </w:r>
      <w:r w:rsidR="000A5329" w:rsidRPr="002029AF">
        <w:t xml:space="preserve"> </w:t>
      </w:r>
      <w:r w:rsidRPr="002029AF">
        <w:t>liability</w:t>
      </w:r>
      <w:r w:rsidR="000A5329" w:rsidRPr="002029AF">
        <w:t xml:space="preserve"> </w:t>
      </w:r>
      <w:r w:rsidRPr="002029AF">
        <w:t>and</w:t>
      </w:r>
      <w:r w:rsidR="000A5329" w:rsidRPr="002029AF">
        <w:t xml:space="preserve"> </w:t>
      </w:r>
      <w:r w:rsidRPr="002029AF">
        <w:t>measured</w:t>
      </w:r>
      <w:r w:rsidR="000A5329" w:rsidRPr="002029AF">
        <w:t xml:space="preserve"> </w:t>
      </w:r>
      <w:r w:rsidRPr="002029AF">
        <w:t>at</w:t>
      </w:r>
      <w:r w:rsidR="000A5329" w:rsidRPr="002029AF">
        <w:t xml:space="preserve"> </w:t>
      </w:r>
      <w:r w:rsidRPr="002029AF">
        <w:t>the</w:t>
      </w:r>
      <w:r w:rsidR="000A5329" w:rsidRPr="002029AF">
        <w:t xml:space="preserve"> </w:t>
      </w:r>
      <w:r w:rsidRPr="002029AF">
        <w:t>undiscounted</w:t>
      </w:r>
      <w:r w:rsidR="000A5329" w:rsidRPr="002029AF">
        <w:t xml:space="preserve"> </w:t>
      </w:r>
      <w:r w:rsidRPr="002029AF">
        <w:t>amount</w:t>
      </w:r>
      <w:r w:rsidR="000A5329" w:rsidRPr="002029AF">
        <w:t xml:space="preserve"> </w:t>
      </w:r>
      <w:r w:rsidRPr="002029AF">
        <w:t>expected</w:t>
      </w:r>
      <w:r w:rsidR="000A5329" w:rsidRPr="002029AF">
        <w:t xml:space="preserve"> </w:t>
      </w:r>
      <w:r w:rsidRPr="002029AF">
        <w:t>to</w:t>
      </w:r>
      <w:r w:rsidR="000A5329" w:rsidRPr="002029AF">
        <w:t xml:space="preserve"> </w:t>
      </w:r>
      <w:r w:rsidRPr="002029AF">
        <w:t>be</w:t>
      </w:r>
      <w:r w:rsidR="000A5329" w:rsidRPr="002029AF">
        <w:t xml:space="preserve"> </w:t>
      </w:r>
      <w:r w:rsidRPr="002029AF">
        <w:t>paid,</w:t>
      </w:r>
      <w:r w:rsidR="000A5329" w:rsidRPr="002029AF">
        <w:t xml:space="preserve"> </w:t>
      </w:r>
      <w:r w:rsidRPr="002029AF">
        <w:t>as</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does</w:t>
      </w:r>
      <w:r w:rsidR="000A5329" w:rsidRPr="002029AF">
        <w:t xml:space="preserve"> </w:t>
      </w:r>
      <w:r w:rsidRPr="002029AF">
        <w:t>not</w:t>
      </w:r>
      <w:r w:rsidR="000A5329" w:rsidRPr="002029AF">
        <w:t xml:space="preserve"> </w:t>
      </w:r>
      <w:r w:rsidRPr="002029AF">
        <w:t>have</w:t>
      </w:r>
      <w:r w:rsidR="000A5329" w:rsidRPr="002029AF">
        <w:t xml:space="preserve"> </w:t>
      </w:r>
      <w:r w:rsidRPr="002029AF">
        <w:t>an</w:t>
      </w:r>
      <w:r w:rsidR="000A5329" w:rsidRPr="002029AF">
        <w:t xml:space="preserve"> </w:t>
      </w:r>
      <w:r w:rsidRPr="002029AF">
        <w:t>unconditional</w:t>
      </w:r>
      <w:r w:rsidR="000A5329" w:rsidRPr="002029AF">
        <w:t xml:space="preserve"> </w:t>
      </w:r>
      <w:r w:rsidRPr="002029AF">
        <w:t>right</w:t>
      </w:r>
      <w:r w:rsidR="000A5329" w:rsidRPr="002029AF">
        <w:t xml:space="preserve"> </w:t>
      </w:r>
      <w:r w:rsidRPr="002029AF">
        <w:t>to</w:t>
      </w:r>
      <w:r w:rsidR="000A5329" w:rsidRPr="002029AF">
        <w:t xml:space="preserve"> </w:t>
      </w:r>
      <w:r w:rsidRPr="002029AF">
        <w:t>defer</w:t>
      </w:r>
      <w:r w:rsidR="000A5329" w:rsidRPr="002029AF">
        <w:t xml:space="preserve"> </w:t>
      </w:r>
      <w:r w:rsidRPr="002029AF">
        <w:t>settlement</w:t>
      </w:r>
      <w:r w:rsidR="000A5329" w:rsidRPr="002029AF">
        <w:t xml:space="preserve"> </w:t>
      </w:r>
      <w:r w:rsidRPr="002029AF">
        <w:t>of</w:t>
      </w:r>
      <w:r w:rsidR="000A5329" w:rsidRPr="002029AF">
        <w:t xml:space="preserve"> </w:t>
      </w:r>
      <w:r w:rsidRPr="002029AF">
        <w:t>the</w:t>
      </w:r>
      <w:r w:rsidR="000A5329" w:rsidRPr="002029AF">
        <w:t xml:space="preserve"> </w:t>
      </w:r>
      <w:r w:rsidRPr="002029AF">
        <w:t>liability</w:t>
      </w:r>
      <w:r w:rsidR="000A5329" w:rsidRPr="002029AF">
        <w:t xml:space="preserve"> </w:t>
      </w:r>
      <w:r w:rsidRPr="002029AF">
        <w:t>for</w:t>
      </w:r>
      <w:r w:rsidR="000A5329" w:rsidRPr="002029AF">
        <w:t xml:space="preserve"> </w:t>
      </w:r>
      <w:r w:rsidRPr="002029AF">
        <w:t>at</w:t>
      </w:r>
      <w:r w:rsidR="000A5329" w:rsidRPr="002029AF">
        <w:t xml:space="preserve"> </w:t>
      </w:r>
      <w:r w:rsidRPr="002029AF">
        <w:t>least</w:t>
      </w:r>
      <w:r w:rsidR="000A5329" w:rsidRPr="002029AF">
        <w:t xml:space="preserve"> </w:t>
      </w:r>
      <w:r w:rsidRPr="002029AF">
        <w:t>12</w:t>
      </w:r>
      <w:r w:rsidR="000A5329" w:rsidRPr="002029AF">
        <w:t xml:space="preserve"> </w:t>
      </w:r>
      <w:r w:rsidRPr="002029AF">
        <w:t>months</w:t>
      </w:r>
      <w:r w:rsidR="000A5329" w:rsidRPr="002029AF">
        <w:t xml:space="preserve"> </w:t>
      </w:r>
      <w:r w:rsidRPr="002029AF">
        <w:t>after</w:t>
      </w:r>
      <w:r w:rsidR="000A5329" w:rsidRPr="002029AF">
        <w:t xml:space="preserve"> </w:t>
      </w:r>
      <w:r w:rsidRPr="002029AF">
        <w:t>the</w:t>
      </w:r>
      <w:r w:rsidR="000A5329" w:rsidRPr="002029AF">
        <w:t xml:space="preserve"> </w:t>
      </w:r>
      <w:r w:rsidRPr="002029AF">
        <w:t>end</w:t>
      </w:r>
      <w:r w:rsidR="000A5329" w:rsidRPr="002029AF">
        <w:t xml:space="preserve"> </w:t>
      </w:r>
      <w:r w:rsidRPr="002029AF">
        <w:t>of</w:t>
      </w:r>
      <w:r w:rsidR="000A5329" w:rsidRPr="002029AF">
        <w:t xml:space="preserve"> </w:t>
      </w:r>
      <w:r w:rsidRPr="002029AF">
        <w:t>the</w:t>
      </w:r>
      <w:r w:rsidR="000A5329" w:rsidRPr="002029AF">
        <w:t xml:space="preserve"> </w:t>
      </w:r>
      <w:r w:rsidRPr="002029AF">
        <w:t>reporting</w:t>
      </w:r>
      <w:r w:rsidR="000A5329" w:rsidRPr="002029AF">
        <w:t xml:space="preserve"> </w:t>
      </w:r>
      <w:r w:rsidRPr="002029AF">
        <w:t>period.</w:t>
      </w:r>
    </w:p>
    <w:p w14:paraId="43220016" w14:textId="13B6793E" w:rsidR="00087B91" w:rsidRPr="002029AF" w:rsidRDefault="00087B91" w:rsidP="00087B91">
      <w:pPr>
        <w:pStyle w:val="ARfinbody"/>
      </w:pPr>
      <w:r w:rsidRPr="002029AF">
        <w:t>No</w:t>
      </w:r>
      <w:r w:rsidR="000A5329" w:rsidRPr="002029AF">
        <w:t xml:space="preserve"> </w:t>
      </w:r>
      <w:r w:rsidRPr="002029AF">
        <w:t>provision</w:t>
      </w:r>
      <w:r w:rsidR="000A5329" w:rsidRPr="002029AF">
        <w:t xml:space="preserve"> </w:t>
      </w:r>
      <w:r w:rsidRPr="002029AF">
        <w:t>has</w:t>
      </w:r>
      <w:r w:rsidR="000A5329" w:rsidRPr="002029AF">
        <w:t xml:space="preserve"> </w:t>
      </w:r>
      <w:r w:rsidRPr="002029AF">
        <w:t>been</w:t>
      </w:r>
      <w:r w:rsidR="000A5329" w:rsidRPr="002029AF">
        <w:t xml:space="preserve"> </w:t>
      </w:r>
      <w:r w:rsidRPr="002029AF">
        <w:t>made</w:t>
      </w:r>
      <w:r w:rsidR="000A5329" w:rsidRPr="002029AF">
        <w:t xml:space="preserve"> </w:t>
      </w:r>
      <w:r w:rsidRPr="002029AF">
        <w:t>for</w:t>
      </w:r>
      <w:r w:rsidR="000A5329" w:rsidRPr="002029AF">
        <w:t xml:space="preserve"> </w:t>
      </w:r>
      <w:r w:rsidRPr="002029AF">
        <w:t>sick</w:t>
      </w:r>
      <w:r w:rsidR="000A5329" w:rsidRPr="002029AF">
        <w:t xml:space="preserve"> </w:t>
      </w:r>
      <w:r w:rsidRPr="002029AF">
        <w:t>leave</w:t>
      </w:r>
      <w:r w:rsidR="000A5329" w:rsidRPr="002029AF">
        <w:t xml:space="preserve"> </w:t>
      </w:r>
      <w:r w:rsidRPr="002029AF">
        <w:t>as</w:t>
      </w:r>
      <w:r w:rsidR="000A5329" w:rsidRPr="002029AF">
        <w:t xml:space="preserve"> </w:t>
      </w:r>
      <w:r w:rsidRPr="002029AF">
        <w:t>all</w:t>
      </w:r>
      <w:r w:rsidR="000A5329" w:rsidRPr="002029AF">
        <w:t xml:space="preserve"> </w:t>
      </w:r>
      <w:r w:rsidRPr="002029AF">
        <w:t>sick</w:t>
      </w:r>
      <w:r w:rsidR="000A5329" w:rsidRPr="002029AF">
        <w:t xml:space="preserve"> </w:t>
      </w:r>
      <w:r w:rsidRPr="002029AF">
        <w:t>leave</w:t>
      </w:r>
      <w:r w:rsidR="000A5329" w:rsidRPr="002029AF">
        <w:t xml:space="preserve"> </w:t>
      </w:r>
      <w:r w:rsidRPr="002029AF">
        <w:t>is</w:t>
      </w:r>
      <w:r w:rsidR="000A5329" w:rsidRPr="002029AF">
        <w:t xml:space="preserve"> </w:t>
      </w:r>
      <w:r w:rsidRPr="002029AF">
        <w:t>non-vesting</w:t>
      </w:r>
      <w:r w:rsidR="000A5329" w:rsidRPr="002029AF">
        <w:t xml:space="preserve"> </w:t>
      </w:r>
      <w:r w:rsidRPr="002029AF">
        <w:t>and</w:t>
      </w:r>
      <w:r w:rsidR="000A5329" w:rsidRPr="002029AF">
        <w:t xml:space="preserve"> </w:t>
      </w:r>
      <w:r w:rsidRPr="002029AF">
        <w:t>it</w:t>
      </w:r>
      <w:r w:rsidR="000A5329" w:rsidRPr="002029AF">
        <w:t xml:space="preserve"> </w:t>
      </w:r>
      <w:r w:rsidRPr="002029AF">
        <w:t>is</w:t>
      </w:r>
      <w:r w:rsidR="000A5329" w:rsidRPr="002029AF">
        <w:t xml:space="preserve"> </w:t>
      </w:r>
      <w:r w:rsidRPr="002029AF">
        <w:t>not</w:t>
      </w:r>
      <w:r w:rsidR="000A5329" w:rsidRPr="002029AF">
        <w:t xml:space="preserve"> </w:t>
      </w:r>
      <w:r w:rsidRPr="002029AF">
        <w:t>considered</w:t>
      </w:r>
      <w:r w:rsidR="000A5329" w:rsidRPr="002029AF">
        <w:t xml:space="preserve"> </w:t>
      </w:r>
      <w:r w:rsidRPr="002029AF">
        <w:t>probable</w:t>
      </w:r>
      <w:r w:rsidR="000A5329" w:rsidRPr="002029AF">
        <w:t xml:space="preserve"> </w:t>
      </w:r>
      <w:r w:rsidRPr="002029AF">
        <w:t>that</w:t>
      </w:r>
      <w:r w:rsidR="000A5329" w:rsidRPr="002029AF">
        <w:t xml:space="preserve"> </w:t>
      </w:r>
      <w:r w:rsidRPr="002029AF">
        <w:t>the</w:t>
      </w:r>
      <w:r w:rsidR="000A5329" w:rsidRPr="002029AF">
        <w:t xml:space="preserve"> </w:t>
      </w:r>
      <w:r w:rsidRPr="002029AF">
        <w:t>average</w:t>
      </w:r>
      <w:r w:rsidR="000A5329" w:rsidRPr="002029AF">
        <w:t xml:space="preserve"> </w:t>
      </w:r>
      <w:r w:rsidRPr="002029AF">
        <w:t>sick</w:t>
      </w:r>
      <w:r w:rsidR="000A5329" w:rsidRPr="002029AF">
        <w:t xml:space="preserve"> </w:t>
      </w:r>
      <w:r w:rsidRPr="002029AF">
        <w:t>leave</w:t>
      </w:r>
      <w:r w:rsidR="000A5329" w:rsidRPr="002029AF">
        <w:t xml:space="preserve"> </w:t>
      </w:r>
      <w:r w:rsidRPr="002029AF">
        <w:t>taken</w:t>
      </w:r>
      <w:r w:rsidR="000A5329" w:rsidRPr="002029AF">
        <w:t xml:space="preserve"> </w:t>
      </w:r>
      <w:r w:rsidRPr="002029AF">
        <w:t>in</w:t>
      </w:r>
      <w:r w:rsidR="000A5329" w:rsidRPr="002029AF">
        <w:t xml:space="preserve"> </w:t>
      </w:r>
      <w:r w:rsidRPr="002029AF">
        <w:t>the</w:t>
      </w:r>
      <w:r w:rsidR="000A5329" w:rsidRPr="002029AF">
        <w:t xml:space="preserve"> </w:t>
      </w:r>
      <w:r w:rsidRPr="002029AF">
        <w:t>future</w:t>
      </w:r>
      <w:r w:rsidR="000A5329" w:rsidRPr="002029AF">
        <w:t xml:space="preserve"> </w:t>
      </w:r>
      <w:r w:rsidRPr="002029AF">
        <w:t>will</w:t>
      </w:r>
      <w:r w:rsidR="000A5329" w:rsidRPr="002029AF">
        <w:t xml:space="preserve"> </w:t>
      </w:r>
      <w:r w:rsidRPr="002029AF">
        <w:t>be</w:t>
      </w:r>
      <w:r w:rsidR="000A5329" w:rsidRPr="002029AF">
        <w:t xml:space="preserve"> </w:t>
      </w:r>
      <w:r w:rsidRPr="002029AF">
        <w:t>greater</w:t>
      </w:r>
      <w:r w:rsidR="000A5329" w:rsidRPr="002029AF">
        <w:t xml:space="preserve"> </w:t>
      </w:r>
      <w:r w:rsidRPr="002029AF">
        <w:t>than</w:t>
      </w:r>
      <w:r w:rsidR="000A5329" w:rsidRPr="002029AF">
        <w:t xml:space="preserve"> </w:t>
      </w:r>
      <w:r w:rsidRPr="002029AF">
        <w:t>the</w:t>
      </w:r>
      <w:r w:rsidR="000A5329" w:rsidRPr="002029AF">
        <w:t xml:space="preserve"> </w:t>
      </w:r>
      <w:r w:rsidRPr="002029AF">
        <w:t>benefits</w:t>
      </w:r>
      <w:r w:rsidR="000A5329" w:rsidRPr="002029AF">
        <w:t xml:space="preserve"> </w:t>
      </w:r>
      <w:r w:rsidRPr="002029AF">
        <w:t>accrued</w:t>
      </w:r>
      <w:r w:rsidR="000A5329" w:rsidRPr="002029AF">
        <w:t xml:space="preserve"> </w:t>
      </w:r>
      <w:r w:rsidRPr="002029AF">
        <w:t>in</w:t>
      </w:r>
      <w:r w:rsidR="000A5329" w:rsidRPr="002029AF">
        <w:t xml:space="preserve"> </w:t>
      </w:r>
      <w:r w:rsidRPr="002029AF">
        <w:t>the</w:t>
      </w:r>
      <w:r w:rsidR="000A5329" w:rsidRPr="002029AF">
        <w:t xml:space="preserve"> </w:t>
      </w:r>
      <w:r w:rsidRPr="002029AF">
        <w:t>future.</w:t>
      </w:r>
      <w:r w:rsidR="000A5329" w:rsidRPr="002029AF">
        <w:t xml:space="preserve"> </w:t>
      </w:r>
      <w:r w:rsidRPr="002029AF">
        <w:t>As</w:t>
      </w:r>
      <w:r w:rsidR="000A5329" w:rsidRPr="002029AF">
        <w:t xml:space="preserve"> </w:t>
      </w:r>
      <w:r w:rsidRPr="002029AF">
        <w:t>sick</w:t>
      </w:r>
      <w:r w:rsidR="000A5329" w:rsidRPr="002029AF">
        <w:t xml:space="preserve"> </w:t>
      </w:r>
      <w:r w:rsidRPr="002029AF">
        <w:t>leave</w:t>
      </w:r>
      <w:r w:rsidR="000A5329" w:rsidRPr="002029AF">
        <w:t xml:space="preserve"> </w:t>
      </w:r>
      <w:r w:rsidRPr="002029AF">
        <w:t>is</w:t>
      </w:r>
      <w:r w:rsidR="000A5329" w:rsidRPr="002029AF">
        <w:t xml:space="preserve"> </w:t>
      </w:r>
      <w:r w:rsidRPr="002029AF">
        <w:t>non-vesting,</w:t>
      </w:r>
      <w:r w:rsidR="000A5329" w:rsidRPr="002029AF">
        <w:t xml:space="preserve"> </w:t>
      </w:r>
      <w:r w:rsidRPr="002029AF">
        <w:t>an</w:t>
      </w:r>
      <w:r w:rsidR="000A5329" w:rsidRPr="002029AF">
        <w:t xml:space="preserve"> </w:t>
      </w:r>
      <w:r w:rsidRPr="002029AF">
        <w:t>expense</w:t>
      </w:r>
      <w:r w:rsidR="000A5329" w:rsidRPr="002029AF">
        <w:t xml:space="preserve"> </w:t>
      </w:r>
      <w:r w:rsidRPr="002029AF">
        <w:t>is</w:t>
      </w:r>
      <w:r w:rsidR="000A5329" w:rsidRPr="002029AF">
        <w:t xml:space="preserve"> </w:t>
      </w:r>
      <w:r w:rsidRPr="002029AF">
        <w:t>recognised</w:t>
      </w:r>
      <w:r w:rsidR="000A5329" w:rsidRPr="002029AF">
        <w:t xml:space="preserve"> </w:t>
      </w:r>
      <w:r w:rsidRPr="002029AF">
        <w:t>in</w:t>
      </w:r>
      <w:r w:rsidR="000A5329" w:rsidRPr="002029AF">
        <w:t xml:space="preserve"> </w:t>
      </w:r>
      <w:r w:rsidRPr="002029AF">
        <w:t>the</w:t>
      </w:r>
      <w:r w:rsidR="000A5329" w:rsidRPr="002029AF">
        <w:t xml:space="preserve"> </w:t>
      </w:r>
      <w:r w:rsidRPr="002029AF">
        <w:t>comprehensive</w:t>
      </w:r>
      <w:r w:rsidR="000A5329" w:rsidRPr="002029AF">
        <w:t xml:space="preserve"> </w:t>
      </w:r>
      <w:r w:rsidRPr="002029AF">
        <w:t>operating</w:t>
      </w:r>
      <w:r w:rsidR="000A5329" w:rsidRPr="002029AF">
        <w:t xml:space="preserve"> </w:t>
      </w:r>
      <w:r w:rsidRPr="002029AF">
        <w:t>statement</w:t>
      </w:r>
      <w:r w:rsidR="000A5329" w:rsidRPr="002029AF">
        <w:t xml:space="preserve"> </w:t>
      </w:r>
      <w:r w:rsidRPr="002029AF">
        <w:t>as</w:t>
      </w:r>
      <w:r w:rsidR="000A5329" w:rsidRPr="002029AF">
        <w:t xml:space="preserve"> </w:t>
      </w:r>
      <w:r w:rsidRPr="002029AF">
        <w:t>it</w:t>
      </w:r>
      <w:r w:rsidR="000A5329" w:rsidRPr="002029AF">
        <w:t xml:space="preserve"> </w:t>
      </w:r>
      <w:r w:rsidRPr="002029AF">
        <w:t>is</w:t>
      </w:r>
      <w:r w:rsidR="000A5329" w:rsidRPr="002029AF">
        <w:t xml:space="preserve"> </w:t>
      </w:r>
      <w:r w:rsidRPr="002029AF">
        <w:t>taken.</w:t>
      </w:r>
    </w:p>
    <w:p w14:paraId="0A6A3425" w14:textId="2713940B" w:rsidR="00087B91" w:rsidRPr="002029AF" w:rsidRDefault="00087B91" w:rsidP="00087B91">
      <w:pPr>
        <w:pStyle w:val="ARfinbody"/>
      </w:pPr>
      <w:r w:rsidRPr="002029AF">
        <w:t>Employment</w:t>
      </w:r>
      <w:r w:rsidR="000A5329" w:rsidRPr="002029AF">
        <w:t xml:space="preserve"> </w:t>
      </w:r>
      <w:r w:rsidRPr="002029AF">
        <w:t>on-costs</w:t>
      </w:r>
      <w:r w:rsidR="000A5329" w:rsidRPr="002029AF">
        <w:t xml:space="preserve"> </w:t>
      </w:r>
      <w:r w:rsidRPr="002029AF">
        <w:t>such</w:t>
      </w:r>
      <w:r w:rsidR="000A5329" w:rsidRPr="002029AF">
        <w:t xml:space="preserve"> </w:t>
      </w:r>
      <w:r w:rsidRPr="002029AF">
        <w:t>as</w:t>
      </w:r>
      <w:r w:rsidR="000A5329" w:rsidRPr="002029AF">
        <w:t xml:space="preserve"> </w:t>
      </w:r>
      <w:r w:rsidRPr="002029AF">
        <w:t>payroll</w:t>
      </w:r>
      <w:r w:rsidR="000A5329" w:rsidRPr="002029AF">
        <w:t xml:space="preserve"> </w:t>
      </w:r>
      <w:r w:rsidRPr="002029AF">
        <w:t>tax,</w:t>
      </w:r>
      <w:r w:rsidR="000A5329" w:rsidRPr="002029AF">
        <w:t xml:space="preserve"> </w:t>
      </w:r>
      <w:r w:rsidRPr="002029AF">
        <w:t>workers</w:t>
      </w:r>
      <w:r w:rsidR="000A5329" w:rsidRPr="002029AF">
        <w:t xml:space="preserve"> </w:t>
      </w:r>
      <w:r w:rsidRPr="002029AF">
        <w:t>compensation</w:t>
      </w:r>
      <w:r w:rsidR="000A5329" w:rsidRPr="002029AF">
        <w:t xml:space="preserve"> </w:t>
      </w:r>
      <w:r w:rsidRPr="002029AF">
        <w:t>and</w:t>
      </w:r>
      <w:r w:rsidR="000A5329" w:rsidRPr="002029AF">
        <w:t xml:space="preserve"> </w:t>
      </w:r>
      <w:r w:rsidRPr="002029AF">
        <w:t>superannuation</w:t>
      </w:r>
      <w:r w:rsidR="000A5329" w:rsidRPr="002029AF">
        <w:t xml:space="preserve"> </w:t>
      </w:r>
      <w:r w:rsidRPr="002029AF">
        <w:t>are</w:t>
      </w:r>
      <w:r w:rsidR="000A5329" w:rsidRPr="002029AF">
        <w:t xml:space="preserve"> </w:t>
      </w:r>
      <w:r w:rsidRPr="002029AF">
        <w:t>not</w:t>
      </w:r>
      <w:r w:rsidR="000A5329" w:rsidRPr="002029AF">
        <w:t xml:space="preserve"> </w:t>
      </w:r>
      <w:r w:rsidRPr="002029AF">
        <w:t>employee</w:t>
      </w:r>
      <w:r w:rsidR="000A5329" w:rsidRPr="002029AF">
        <w:t xml:space="preserve"> </w:t>
      </w:r>
      <w:r w:rsidRPr="002029AF">
        <w:t>benefits.</w:t>
      </w:r>
      <w:r w:rsidR="000A5329" w:rsidRPr="002029AF">
        <w:t xml:space="preserve"> </w:t>
      </w:r>
      <w:r w:rsidRPr="002029AF">
        <w:t>They</w:t>
      </w:r>
      <w:r w:rsidR="000A5329" w:rsidRPr="002029AF">
        <w:t xml:space="preserve"> </w:t>
      </w:r>
      <w:r w:rsidRPr="002029AF">
        <w:t>are</w:t>
      </w:r>
      <w:r w:rsidR="000A5329" w:rsidRPr="002029AF">
        <w:t xml:space="preserve"> </w:t>
      </w:r>
      <w:r w:rsidRPr="002029AF">
        <w:t>disclosed</w:t>
      </w:r>
      <w:r w:rsidR="000A5329" w:rsidRPr="002029AF">
        <w:t xml:space="preserve"> </w:t>
      </w:r>
      <w:r w:rsidRPr="002029AF">
        <w:t>separately</w:t>
      </w:r>
      <w:r w:rsidR="000A5329" w:rsidRPr="002029AF">
        <w:t xml:space="preserve"> </w:t>
      </w:r>
      <w:r w:rsidRPr="002029AF">
        <w:t>as</w:t>
      </w:r>
      <w:r w:rsidR="000A5329" w:rsidRPr="002029AF">
        <w:t xml:space="preserve"> </w:t>
      </w:r>
      <w:r w:rsidRPr="002029AF">
        <w:t>a</w:t>
      </w:r>
      <w:r w:rsidR="000A5329" w:rsidRPr="002029AF">
        <w:t xml:space="preserve"> </w:t>
      </w:r>
      <w:r w:rsidRPr="002029AF">
        <w:t>component</w:t>
      </w:r>
      <w:r w:rsidR="000A5329" w:rsidRPr="002029AF">
        <w:t xml:space="preserve"> </w:t>
      </w:r>
      <w:r w:rsidRPr="002029AF">
        <w:t>of</w:t>
      </w:r>
      <w:r w:rsidR="000A5329" w:rsidRPr="002029AF">
        <w:t xml:space="preserve"> </w:t>
      </w:r>
      <w:r w:rsidRPr="002029AF">
        <w:t>the</w:t>
      </w:r>
      <w:r w:rsidR="000A5329" w:rsidRPr="002029AF">
        <w:t xml:space="preserve"> </w:t>
      </w:r>
      <w:r w:rsidRPr="002029AF">
        <w:t>provision</w:t>
      </w:r>
      <w:r w:rsidR="000A5329" w:rsidRPr="002029AF">
        <w:t xml:space="preserve"> </w:t>
      </w:r>
      <w:r w:rsidRPr="002029AF">
        <w:t>for</w:t>
      </w:r>
      <w:r w:rsidR="000A5329" w:rsidRPr="002029AF">
        <w:t xml:space="preserve"> </w:t>
      </w:r>
      <w:r w:rsidRPr="002029AF">
        <w:t>employee</w:t>
      </w:r>
      <w:r w:rsidR="000A5329" w:rsidRPr="002029AF">
        <w:t xml:space="preserve"> </w:t>
      </w:r>
      <w:r w:rsidRPr="002029AF">
        <w:t>benefits</w:t>
      </w:r>
      <w:r w:rsidR="000A5329" w:rsidRPr="002029AF">
        <w:t xml:space="preserve"> </w:t>
      </w:r>
      <w:r w:rsidRPr="002029AF">
        <w:t>when</w:t>
      </w:r>
      <w:r w:rsidR="000A5329" w:rsidRPr="002029AF">
        <w:t xml:space="preserve"> </w:t>
      </w:r>
      <w:r w:rsidRPr="002029AF">
        <w:t>the</w:t>
      </w:r>
      <w:r w:rsidR="000A5329" w:rsidRPr="002029AF">
        <w:t xml:space="preserve"> </w:t>
      </w:r>
      <w:r w:rsidRPr="002029AF">
        <w:t>employment</w:t>
      </w:r>
      <w:r w:rsidR="000A5329" w:rsidRPr="002029AF">
        <w:t xml:space="preserve"> </w:t>
      </w:r>
      <w:r w:rsidRPr="002029AF">
        <w:t>to</w:t>
      </w:r>
      <w:r w:rsidR="000A5329" w:rsidRPr="002029AF">
        <w:t xml:space="preserve"> </w:t>
      </w:r>
      <w:r w:rsidRPr="002029AF">
        <w:t>which</w:t>
      </w:r>
      <w:r w:rsidR="000A5329" w:rsidRPr="002029AF">
        <w:t xml:space="preserve"> </w:t>
      </w:r>
      <w:r w:rsidRPr="002029AF">
        <w:t>they</w:t>
      </w:r>
      <w:r w:rsidR="000A5329" w:rsidRPr="002029AF">
        <w:t xml:space="preserve"> </w:t>
      </w:r>
      <w:r w:rsidRPr="002029AF">
        <w:t>relate</w:t>
      </w:r>
      <w:r w:rsidR="000A5329" w:rsidRPr="002029AF">
        <w:t xml:space="preserve"> </w:t>
      </w:r>
      <w:r w:rsidRPr="002029AF">
        <w:t>has</w:t>
      </w:r>
      <w:r w:rsidR="000A5329" w:rsidRPr="002029AF">
        <w:t xml:space="preserve"> </w:t>
      </w:r>
      <w:r w:rsidRPr="002029AF">
        <w:t>occurred.</w:t>
      </w:r>
    </w:p>
    <w:p w14:paraId="275F355A" w14:textId="4663FB53" w:rsidR="00087B91" w:rsidRPr="002029AF" w:rsidRDefault="00087B91" w:rsidP="00087B91">
      <w:pPr>
        <w:pStyle w:val="ARfinbody"/>
      </w:pPr>
      <w:r w:rsidRPr="002029AF">
        <w:t>Any</w:t>
      </w:r>
      <w:r w:rsidR="000A5329" w:rsidRPr="002029AF">
        <w:t xml:space="preserve"> </w:t>
      </w:r>
      <w:r w:rsidRPr="002029AF">
        <w:t>gain</w:t>
      </w:r>
      <w:r w:rsidR="000A5329" w:rsidRPr="002029AF">
        <w:t xml:space="preserve"> </w:t>
      </w:r>
      <w:r w:rsidRPr="002029AF">
        <w:t>or</w:t>
      </w:r>
      <w:r w:rsidR="000A5329" w:rsidRPr="002029AF">
        <w:t xml:space="preserve"> </w:t>
      </w:r>
      <w:r w:rsidRPr="002029AF">
        <w:t>loss</w:t>
      </w:r>
      <w:r w:rsidR="000A5329" w:rsidRPr="002029AF">
        <w:t xml:space="preserve"> </w:t>
      </w:r>
      <w:r w:rsidRPr="002029AF">
        <w:t>following</w:t>
      </w:r>
      <w:r w:rsidR="000A5329" w:rsidRPr="002029AF">
        <w:t xml:space="preserve"> </w:t>
      </w:r>
      <w:r w:rsidRPr="002029AF">
        <w:t>the</w:t>
      </w:r>
      <w:r w:rsidR="000A5329" w:rsidRPr="002029AF">
        <w:t xml:space="preserve"> </w:t>
      </w:r>
      <w:r w:rsidRPr="002029AF">
        <w:t>revaluation</w:t>
      </w:r>
      <w:r w:rsidR="000A5329" w:rsidRPr="002029AF">
        <w:t xml:space="preserve"> </w:t>
      </w:r>
      <w:r w:rsidRPr="002029AF">
        <w:t>of</w:t>
      </w:r>
      <w:r w:rsidR="000A5329" w:rsidRPr="002029AF">
        <w:t xml:space="preserve"> </w:t>
      </w:r>
      <w:r w:rsidRPr="002029AF">
        <w:t>the</w:t>
      </w:r>
      <w:r w:rsidR="000A5329" w:rsidRPr="002029AF">
        <w:t xml:space="preserve"> </w:t>
      </w:r>
      <w:r w:rsidRPr="002029AF">
        <w:t>present</w:t>
      </w:r>
      <w:r w:rsidR="000A5329" w:rsidRPr="002029AF">
        <w:t xml:space="preserve"> </w:t>
      </w:r>
      <w:r w:rsidRPr="002029AF">
        <w:t>value</w:t>
      </w:r>
      <w:r w:rsidR="000A5329" w:rsidRPr="002029AF">
        <w:t xml:space="preserve"> </w:t>
      </w:r>
      <w:r w:rsidRPr="002029AF">
        <w:t>of</w:t>
      </w:r>
      <w:r w:rsidR="000A5329" w:rsidRPr="002029AF">
        <w:t xml:space="preserve"> </w:t>
      </w:r>
      <w:r w:rsidRPr="002029AF">
        <w:t>non-current</w:t>
      </w:r>
      <w:r w:rsidR="000A5329" w:rsidRPr="002029AF">
        <w:t xml:space="preserve"> </w:t>
      </w:r>
      <w:r w:rsidRPr="002029AF">
        <w:t>LSL</w:t>
      </w:r>
      <w:r w:rsidR="000A5329" w:rsidRPr="002029AF">
        <w:t xml:space="preserve"> </w:t>
      </w:r>
      <w:r w:rsidRPr="002029AF">
        <w:t>liability</w:t>
      </w:r>
      <w:r w:rsidR="000A5329" w:rsidRPr="002029AF">
        <w:t xml:space="preserve"> </w:t>
      </w:r>
      <w:r w:rsidRPr="002029AF">
        <w:t>is</w:t>
      </w:r>
      <w:r w:rsidR="000A5329" w:rsidRPr="002029AF">
        <w:t xml:space="preserve"> </w:t>
      </w:r>
      <w:r w:rsidRPr="002029AF">
        <w:t>recognised</w:t>
      </w:r>
      <w:r w:rsidR="000A5329" w:rsidRPr="002029AF">
        <w:t xml:space="preserve"> </w:t>
      </w:r>
      <w:r w:rsidRPr="002029AF">
        <w:t>as</w:t>
      </w:r>
      <w:r w:rsidR="000A5329" w:rsidRPr="002029AF">
        <w:t xml:space="preserve"> </w:t>
      </w:r>
      <w:r w:rsidRPr="002029AF">
        <w:t>a</w:t>
      </w:r>
      <w:r w:rsidR="000A5329" w:rsidRPr="002029AF">
        <w:t xml:space="preserve"> </w:t>
      </w:r>
      <w:r w:rsidRPr="002029AF">
        <w:t>transaction,</w:t>
      </w:r>
      <w:r w:rsidR="000A5329" w:rsidRPr="002029AF">
        <w:t xml:space="preserve"> </w:t>
      </w:r>
      <w:r w:rsidRPr="002029AF">
        <w:t>except</w:t>
      </w:r>
      <w:r w:rsidR="000A5329" w:rsidRPr="002029AF">
        <w:t xml:space="preserve"> </w:t>
      </w:r>
      <w:r w:rsidRPr="002029AF">
        <w:t>to</w:t>
      </w:r>
      <w:r w:rsidR="000A5329" w:rsidRPr="002029AF">
        <w:t xml:space="preserve"> </w:t>
      </w:r>
      <w:r w:rsidRPr="002029AF">
        <w:t>the</w:t>
      </w:r>
      <w:r w:rsidR="000A5329" w:rsidRPr="002029AF">
        <w:t xml:space="preserve"> </w:t>
      </w:r>
      <w:r w:rsidRPr="002029AF">
        <w:t>extent</w:t>
      </w:r>
      <w:r w:rsidR="000A5329" w:rsidRPr="002029AF">
        <w:t xml:space="preserve"> </w:t>
      </w:r>
      <w:r w:rsidRPr="002029AF">
        <w:t>that</w:t>
      </w:r>
      <w:r w:rsidR="000A5329" w:rsidRPr="002029AF">
        <w:t xml:space="preserve"> </w:t>
      </w:r>
      <w:r w:rsidRPr="002029AF">
        <w:t>a</w:t>
      </w:r>
      <w:r w:rsidR="000A5329" w:rsidRPr="002029AF">
        <w:t xml:space="preserve"> </w:t>
      </w:r>
      <w:r w:rsidRPr="002029AF">
        <w:t>gain</w:t>
      </w:r>
      <w:r w:rsidR="000A5329" w:rsidRPr="002029AF">
        <w:t xml:space="preserve"> </w:t>
      </w:r>
      <w:r w:rsidRPr="002029AF">
        <w:t>or</w:t>
      </w:r>
      <w:r w:rsidR="000A5329" w:rsidRPr="002029AF">
        <w:t xml:space="preserve"> </w:t>
      </w:r>
      <w:r w:rsidRPr="002029AF">
        <w:t>loss</w:t>
      </w:r>
      <w:r w:rsidR="000A5329" w:rsidRPr="002029AF">
        <w:t xml:space="preserve"> </w:t>
      </w:r>
      <w:r w:rsidRPr="002029AF">
        <w:t>arises</w:t>
      </w:r>
      <w:r w:rsidR="000A5329" w:rsidRPr="002029AF">
        <w:t xml:space="preserve"> </w:t>
      </w:r>
      <w:r w:rsidRPr="002029AF">
        <w:t>due</w:t>
      </w:r>
      <w:r w:rsidR="000A5329" w:rsidRPr="002029AF">
        <w:t xml:space="preserve"> </w:t>
      </w:r>
      <w:r w:rsidRPr="002029AF">
        <w:t>to</w:t>
      </w:r>
      <w:r w:rsidR="000A5329" w:rsidRPr="002029AF">
        <w:t xml:space="preserve"> </w:t>
      </w:r>
      <w:r w:rsidRPr="002029AF">
        <w:t>changes</w:t>
      </w:r>
      <w:r w:rsidR="000A5329" w:rsidRPr="002029AF">
        <w:t xml:space="preserve"> </w:t>
      </w:r>
      <w:r w:rsidRPr="002029AF">
        <w:t>in</w:t>
      </w:r>
      <w:r w:rsidR="000A5329" w:rsidRPr="002029AF">
        <w:t xml:space="preserve"> </w:t>
      </w:r>
      <w:r w:rsidRPr="002029AF">
        <w:t>bond</w:t>
      </w:r>
      <w:r w:rsidR="000A5329" w:rsidRPr="002029AF">
        <w:t xml:space="preserve"> </w:t>
      </w:r>
      <w:r w:rsidRPr="002029AF">
        <w:t>interest</w:t>
      </w:r>
      <w:r w:rsidR="000A5329" w:rsidRPr="002029AF">
        <w:t xml:space="preserve"> </w:t>
      </w:r>
      <w:r w:rsidRPr="002029AF">
        <w:t>rates</w:t>
      </w:r>
      <w:r w:rsidR="000A5329" w:rsidRPr="002029AF">
        <w:t xml:space="preserve"> </w:t>
      </w:r>
      <w:r w:rsidRPr="002029AF">
        <w:t>for</w:t>
      </w:r>
      <w:r w:rsidR="000A5329" w:rsidRPr="002029AF">
        <w:t xml:space="preserve"> </w:t>
      </w:r>
      <w:r w:rsidRPr="002029AF">
        <w:t>which</w:t>
      </w:r>
      <w:r w:rsidR="000A5329" w:rsidRPr="002029AF">
        <w:t xml:space="preserve"> </w:t>
      </w:r>
      <w:r w:rsidRPr="002029AF">
        <w:t>it</w:t>
      </w:r>
      <w:r w:rsidR="000A5329" w:rsidRPr="002029AF">
        <w:t xml:space="preserve"> </w:t>
      </w:r>
      <w:r w:rsidRPr="002029AF">
        <w:t>is</w:t>
      </w:r>
      <w:r w:rsidR="000A5329" w:rsidRPr="002029AF">
        <w:t xml:space="preserve"> </w:t>
      </w:r>
      <w:r w:rsidRPr="002029AF">
        <w:t>then</w:t>
      </w:r>
      <w:r w:rsidR="000A5329" w:rsidRPr="002029AF">
        <w:t xml:space="preserve"> </w:t>
      </w:r>
      <w:r w:rsidRPr="002029AF">
        <w:t>recognised</w:t>
      </w:r>
      <w:r w:rsidR="000A5329" w:rsidRPr="002029AF">
        <w:t xml:space="preserve"> </w:t>
      </w:r>
      <w:r w:rsidRPr="002029AF">
        <w:t>as</w:t>
      </w:r>
      <w:r w:rsidR="000A5329" w:rsidRPr="002029AF">
        <w:t xml:space="preserve"> </w:t>
      </w:r>
      <w:r w:rsidRPr="002029AF">
        <w:t>an</w:t>
      </w:r>
      <w:r w:rsidR="000A5329" w:rsidRPr="002029AF">
        <w:t xml:space="preserve"> </w:t>
      </w:r>
      <w:r w:rsidRPr="002029AF">
        <w:t>‘other</w:t>
      </w:r>
      <w:r w:rsidR="000A5329" w:rsidRPr="002029AF">
        <w:t xml:space="preserve"> </w:t>
      </w:r>
      <w:r w:rsidRPr="002029AF">
        <w:t>economic</w:t>
      </w:r>
      <w:r w:rsidR="000A5329" w:rsidRPr="002029AF">
        <w:t xml:space="preserve"> </w:t>
      </w:r>
      <w:r w:rsidRPr="002029AF">
        <w:t>flow’</w:t>
      </w:r>
      <w:r w:rsidR="000A5329" w:rsidRPr="002029AF">
        <w:t xml:space="preserve"> </w:t>
      </w:r>
      <w:r w:rsidRPr="002029AF">
        <w:t>in</w:t>
      </w:r>
      <w:r w:rsidR="000A5329" w:rsidRPr="002029AF">
        <w:t xml:space="preserve"> </w:t>
      </w:r>
      <w:r w:rsidRPr="002029AF">
        <w:t>the</w:t>
      </w:r>
      <w:r w:rsidR="000A5329" w:rsidRPr="002029AF">
        <w:t xml:space="preserve"> </w:t>
      </w:r>
      <w:r w:rsidRPr="002029AF">
        <w:t>net</w:t>
      </w:r>
      <w:r w:rsidR="000A5329" w:rsidRPr="002029AF">
        <w:t xml:space="preserve"> </w:t>
      </w:r>
      <w:r w:rsidRPr="002029AF">
        <w:t>result.</w:t>
      </w:r>
    </w:p>
    <w:p w14:paraId="0A8E833B" w14:textId="5ACED49E" w:rsidR="00087B91" w:rsidRPr="002029AF" w:rsidRDefault="00087B91" w:rsidP="00087B91">
      <w:pPr>
        <w:pStyle w:val="ARfinbody"/>
      </w:pPr>
      <w:r w:rsidRPr="002029AF">
        <w:rPr>
          <w:rStyle w:val="Strong"/>
        </w:rPr>
        <w:t>Unconditional</w:t>
      </w:r>
      <w:r w:rsidR="000A5329" w:rsidRPr="002029AF">
        <w:rPr>
          <w:rStyle w:val="Strong"/>
        </w:rPr>
        <w:t xml:space="preserve"> </w:t>
      </w:r>
      <w:r w:rsidRPr="002029AF">
        <w:rPr>
          <w:rStyle w:val="Strong"/>
        </w:rPr>
        <w:t>LSL</w:t>
      </w:r>
      <w:r w:rsidR="000A5329" w:rsidRPr="002029AF">
        <w:rPr>
          <w:b/>
          <w:bCs/>
        </w:rPr>
        <w:t xml:space="preserve"> </w:t>
      </w:r>
      <w:r w:rsidRPr="002029AF">
        <w:t>is</w:t>
      </w:r>
      <w:r w:rsidR="000A5329" w:rsidRPr="002029AF">
        <w:t xml:space="preserve"> </w:t>
      </w:r>
      <w:r w:rsidRPr="002029AF">
        <w:t>disclosed</w:t>
      </w:r>
      <w:r w:rsidR="000A5329" w:rsidRPr="002029AF">
        <w:t xml:space="preserve"> </w:t>
      </w:r>
      <w:r w:rsidRPr="002029AF">
        <w:t>as</w:t>
      </w:r>
      <w:r w:rsidR="000A5329" w:rsidRPr="002029AF">
        <w:t xml:space="preserve"> </w:t>
      </w:r>
      <w:r w:rsidRPr="002029AF">
        <w:t>a</w:t>
      </w:r>
      <w:r w:rsidR="000A5329" w:rsidRPr="002029AF">
        <w:t xml:space="preserve"> </w:t>
      </w:r>
      <w:r w:rsidRPr="002029AF">
        <w:t>current</w:t>
      </w:r>
      <w:r w:rsidR="000A5329" w:rsidRPr="002029AF">
        <w:t xml:space="preserve"> </w:t>
      </w:r>
      <w:r w:rsidRPr="002029AF">
        <w:t>liability;</w:t>
      </w:r>
      <w:r w:rsidR="000A5329" w:rsidRPr="002029AF">
        <w:t xml:space="preserve"> </w:t>
      </w:r>
      <w:r w:rsidRPr="002029AF">
        <w:t>even</w:t>
      </w:r>
      <w:r w:rsidR="000A5329" w:rsidRPr="002029AF">
        <w:t xml:space="preserve"> </w:t>
      </w:r>
      <w:r w:rsidRPr="002029AF">
        <w:t>where</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does</w:t>
      </w:r>
      <w:r w:rsidR="000A5329" w:rsidRPr="002029AF">
        <w:t xml:space="preserve"> </w:t>
      </w:r>
      <w:r w:rsidRPr="002029AF">
        <w:t>not</w:t>
      </w:r>
      <w:r w:rsidR="000A5329" w:rsidRPr="002029AF">
        <w:t xml:space="preserve"> </w:t>
      </w:r>
      <w:r w:rsidRPr="002029AF">
        <w:t>expect</w:t>
      </w:r>
      <w:r w:rsidR="000A5329" w:rsidRPr="002029AF">
        <w:t xml:space="preserve"> </w:t>
      </w:r>
      <w:r w:rsidRPr="002029AF">
        <w:t>to</w:t>
      </w:r>
      <w:r w:rsidR="000A5329" w:rsidRPr="002029AF">
        <w:t xml:space="preserve"> </w:t>
      </w:r>
      <w:r w:rsidRPr="002029AF">
        <w:t>settle</w:t>
      </w:r>
      <w:r w:rsidR="000A5329" w:rsidRPr="002029AF">
        <w:t xml:space="preserve"> </w:t>
      </w:r>
      <w:r w:rsidRPr="002029AF">
        <w:t>the</w:t>
      </w:r>
      <w:r w:rsidR="000A5329" w:rsidRPr="002029AF">
        <w:t xml:space="preserve"> </w:t>
      </w:r>
      <w:r w:rsidRPr="002029AF">
        <w:t>liability</w:t>
      </w:r>
      <w:r w:rsidR="000A5329" w:rsidRPr="002029AF">
        <w:t xml:space="preserve"> </w:t>
      </w:r>
      <w:r w:rsidRPr="002029AF">
        <w:t>within</w:t>
      </w:r>
      <w:r w:rsidR="000A5329" w:rsidRPr="002029AF">
        <w:t xml:space="preserve"> </w:t>
      </w:r>
      <w:r w:rsidRPr="002029AF">
        <w:t>12</w:t>
      </w:r>
      <w:r w:rsidR="000A5329" w:rsidRPr="002029AF">
        <w:t xml:space="preserve"> </w:t>
      </w:r>
      <w:r w:rsidRPr="002029AF">
        <w:t>months</w:t>
      </w:r>
      <w:r w:rsidR="000A5329" w:rsidRPr="002029AF">
        <w:t xml:space="preserve"> </w:t>
      </w:r>
      <w:r w:rsidRPr="002029AF">
        <w:t>because</w:t>
      </w:r>
      <w:r w:rsidR="000A5329" w:rsidRPr="002029AF">
        <w:t xml:space="preserve"> </w:t>
      </w:r>
      <w:r w:rsidRPr="002029AF">
        <w:t>it</w:t>
      </w:r>
      <w:r w:rsidR="000A5329" w:rsidRPr="002029AF">
        <w:t xml:space="preserve"> </w:t>
      </w:r>
      <w:r w:rsidRPr="002029AF">
        <w:t>will</w:t>
      </w:r>
      <w:r w:rsidR="000A5329" w:rsidRPr="002029AF">
        <w:t xml:space="preserve"> </w:t>
      </w:r>
      <w:r w:rsidRPr="002029AF">
        <w:t>not</w:t>
      </w:r>
      <w:r w:rsidR="000A5329" w:rsidRPr="002029AF">
        <w:t xml:space="preserve"> </w:t>
      </w:r>
      <w:r w:rsidRPr="002029AF">
        <w:t>have</w:t>
      </w:r>
      <w:r w:rsidR="000A5329" w:rsidRPr="002029AF">
        <w:t xml:space="preserve"> </w:t>
      </w:r>
      <w:r w:rsidRPr="002029AF">
        <w:t>the</w:t>
      </w:r>
      <w:r w:rsidR="000A5329" w:rsidRPr="002029AF">
        <w:t xml:space="preserve"> </w:t>
      </w:r>
      <w:r w:rsidRPr="002029AF">
        <w:t>unconditional</w:t>
      </w:r>
      <w:r w:rsidR="000A5329" w:rsidRPr="002029AF">
        <w:t xml:space="preserve"> </w:t>
      </w:r>
      <w:r w:rsidRPr="002029AF">
        <w:t>right</w:t>
      </w:r>
      <w:r w:rsidR="000A5329" w:rsidRPr="002029AF">
        <w:t xml:space="preserve"> </w:t>
      </w:r>
      <w:r w:rsidRPr="002029AF">
        <w:t>to</w:t>
      </w:r>
      <w:r w:rsidR="000A5329" w:rsidRPr="002029AF">
        <w:t xml:space="preserve"> </w:t>
      </w:r>
      <w:r w:rsidRPr="002029AF">
        <w:t>defer</w:t>
      </w:r>
      <w:r w:rsidR="000A5329" w:rsidRPr="002029AF">
        <w:t xml:space="preserve"> </w:t>
      </w:r>
      <w:r w:rsidRPr="002029AF">
        <w:t>the</w:t>
      </w:r>
      <w:r w:rsidR="000A5329" w:rsidRPr="002029AF">
        <w:t xml:space="preserve"> </w:t>
      </w:r>
      <w:r w:rsidRPr="002029AF">
        <w:t>settlement</w:t>
      </w:r>
      <w:r w:rsidR="000A5329" w:rsidRPr="002029AF">
        <w:t xml:space="preserve"> </w:t>
      </w:r>
      <w:r w:rsidRPr="002029AF">
        <w:t>of</w:t>
      </w:r>
      <w:r w:rsidR="000A5329" w:rsidRPr="002029AF">
        <w:t xml:space="preserve"> </w:t>
      </w:r>
      <w:r w:rsidRPr="002029AF">
        <w:t>the</w:t>
      </w:r>
      <w:r w:rsidR="000A5329" w:rsidRPr="002029AF">
        <w:t xml:space="preserve"> </w:t>
      </w:r>
      <w:r w:rsidRPr="002029AF">
        <w:t>entitlement</w:t>
      </w:r>
      <w:r w:rsidR="000A5329" w:rsidRPr="002029AF">
        <w:t xml:space="preserve"> </w:t>
      </w:r>
      <w:r w:rsidRPr="002029AF">
        <w:t>should</w:t>
      </w:r>
      <w:r w:rsidR="000A5329" w:rsidRPr="002029AF">
        <w:t xml:space="preserve"> </w:t>
      </w:r>
      <w:r w:rsidRPr="002029AF">
        <w:t>an</w:t>
      </w:r>
      <w:r w:rsidR="000A5329" w:rsidRPr="002029AF">
        <w:t xml:space="preserve"> </w:t>
      </w:r>
      <w:r w:rsidRPr="002029AF">
        <w:t>employee</w:t>
      </w:r>
      <w:r w:rsidR="000A5329" w:rsidRPr="002029AF">
        <w:t xml:space="preserve"> </w:t>
      </w:r>
      <w:r w:rsidRPr="002029AF">
        <w:t>take</w:t>
      </w:r>
      <w:r w:rsidR="000A5329" w:rsidRPr="002029AF">
        <w:t xml:space="preserve"> </w:t>
      </w:r>
      <w:r w:rsidRPr="002029AF">
        <w:t>leave</w:t>
      </w:r>
      <w:r w:rsidR="000A5329" w:rsidRPr="002029AF">
        <w:t xml:space="preserve"> </w:t>
      </w:r>
      <w:r w:rsidRPr="002029AF">
        <w:t>within</w:t>
      </w:r>
      <w:r w:rsidR="000A5329" w:rsidRPr="002029AF">
        <w:t xml:space="preserve"> </w:t>
      </w:r>
      <w:r w:rsidRPr="002029AF">
        <w:t>12</w:t>
      </w:r>
      <w:r w:rsidR="000A5329" w:rsidRPr="002029AF">
        <w:t xml:space="preserve"> </w:t>
      </w:r>
      <w:r w:rsidRPr="002029AF">
        <w:t>months.</w:t>
      </w:r>
    </w:p>
    <w:p w14:paraId="184D377E" w14:textId="09B7E4E2" w:rsidR="00087B91" w:rsidRPr="002029AF" w:rsidRDefault="00087B91" w:rsidP="00087B91">
      <w:pPr>
        <w:pStyle w:val="ARfinbody"/>
      </w:pPr>
      <w:r w:rsidRPr="002029AF">
        <w:t>The</w:t>
      </w:r>
      <w:r w:rsidR="000A5329" w:rsidRPr="002029AF">
        <w:t xml:space="preserve"> </w:t>
      </w:r>
      <w:r w:rsidRPr="002029AF">
        <w:t>components</w:t>
      </w:r>
      <w:r w:rsidR="000A5329" w:rsidRPr="002029AF">
        <w:t xml:space="preserve"> </w:t>
      </w:r>
      <w:r w:rsidRPr="002029AF">
        <w:t>of</w:t>
      </w:r>
      <w:r w:rsidR="000A5329" w:rsidRPr="002029AF">
        <w:t xml:space="preserve"> </w:t>
      </w:r>
      <w:r w:rsidRPr="002029AF">
        <w:t>this</w:t>
      </w:r>
      <w:r w:rsidR="000A5329" w:rsidRPr="002029AF">
        <w:t xml:space="preserve"> </w:t>
      </w:r>
      <w:r w:rsidRPr="002029AF">
        <w:t>current</w:t>
      </w:r>
      <w:r w:rsidR="000A5329" w:rsidRPr="002029AF">
        <w:t xml:space="preserve"> </w:t>
      </w:r>
      <w:r w:rsidRPr="002029AF">
        <w:t>LSL</w:t>
      </w:r>
      <w:r w:rsidR="000A5329" w:rsidRPr="002029AF">
        <w:t xml:space="preserve"> </w:t>
      </w:r>
      <w:r w:rsidRPr="002029AF">
        <w:t>liability</w:t>
      </w:r>
      <w:r w:rsidR="000A5329" w:rsidRPr="002029AF">
        <w:t xml:space="preserve"> </w:t>
      </w:r>
      <w:r w:rsidRPr="002029AF">
        <w:t>are</w:t>
      </w:r>
      <w:r w:rsidR="000A5329" w:rsidRPr="002029AF">
        <w:t xml:space="preserve"> </w:t>
      </w:r>
      <w:r w:rsidRPr="002029AF">
        <w:t>measured</w:t>
      </w:r>
      <w:r w:rsidR="000A5329" w:rsidRPr="002029AF">
        <w:t xml:space="preserve"> </w:t>
      </w:r>
      <w:r w:rsidRPr="002029AF">
        <w:t>at</w:t>
      </w:r>
      <w:r w:rsidR="000A5329" w:rsidRPr="002029AF">
        <w:t xml:space="preserve"> </w:t>
      </w:r>
      <w:r w:rsidRPr="002029AF">
        <w:t>present</w:t>
      </w:r>
      <w:r w:rsidR="000A5329" w:rsidRPr="002029AF">
        <w:t xml:space="preserve"> </w:t>
      </w:r>
      <w:r w:rsidRPr="002029AF">
        <w:t>value</w:t>
      </w:r>
      <w:r w:rsidR="000A5329" w:rsidRPr="002029AF">
        <w:t xml:space="preserve"> </w:t>
      </w:r>
      <w:r w:rsidRPr="002029AF">
        <w:t>because</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does</w:t>
      </w:r>
      <w:r w:rsidR="000A5329" w:rsidRPr="002029AF">
        <w:t xml:space="preserve"> </w:t>
      </w:r>
      <w:r w:rsidRPr="002029AF">
        <w:t>not</w:t>
      </w:r>
      <w:r w:rsidR="000A5329" w:rsidRPr="002029AF">
        <w:t xml:space="preserve"> </w:t>
      </w:r>
      <w:r w:rsidRPr="002029AF">
        <w:t>expect</w:t>
      </w:r>
      <w:r w:rsidR="000A5329" w:rsidRPr="002029AF">
        <w:t xml:space="preserve"> </w:t>
      </w:r>
      <w:r w:rsidRPr="002029AF">
        <w:t>to</w:t>
      </w:r>
      <w:r w:rsidR="000A5329" w:rsidRPr="002029AF">
        <w:t xml:space="preserve"> </w:t>
      </w:r>
      <w:r w:rsidRPr="002029AF">
        <w:t>wholly</w:t>
      </w:r>
      <w:r w:rsidR="000A5329" w:rsidRPr="002029AF">
        <w:t xml:space="preserve"> </w:t>
      </w:r>
      <w:r w:rsidRPr="002029AF">
        <w:t>settle</w:t>
      </w:r>
      <w:r w:rsidR="000A5329" w:rsidRPr="002029AF">
        <w:t xml:space="preserve"> </w:t>
      </w:r>
      <w:r w:rsidRPr="002029AF">
        <w:t>within</w:t>
      </w:r>
      <w:r w:rsidR="000A5329" w:rsidRPr="002029AF">
        <w:t xml:space="preserve"> </w:t>
      </w:r>
      <w:r w:rsidRPr="002029AF">
        <w:t>12</w:t>
      </w:r>
      <w:r w:rsidR="000A5329" w:rsidRPr="002029AF">
        <w:t xml:space="preserve"> </w:t>
      </w:r>
      <w:r w:rsidRPr="002029AF">
        <w:t>months.</w:t>
      </w:r>
      <w:r w:rsidR="000A5329" w:rsidRPr="002029AF">
        <w:t xml:space="preserve"> </w:t>
      </w:r>
      <w:r w:rsidRPr="002029AF">
        <w:t>The</w:t>
      </w:r>
      <w:r w:rsidR="000A5329" w:rsidRPr="002029AF">
        <w:t xml:space="preserve"> </w:t>
      </w:r>
      <w:r w:rsidRPr="002029AF">
        <w:t>components</w:t>
      </w:r>
      <w:r w:rsidR="000A5329" w:rsidRPr="002029AF">
        <w:t xml:space="preserve"> </w:t>
      </w:r>
      <w:r w:rsidRPr="002029AF">
        <w:t>of</w:t>
      </w:r>
      <w:r w:rsidR="000A5329" w:rsidRPr="002029AF">
        <w:t xml:space="preserve"> </w:t>
      </w:r>
      <w:r w:rsidRPr="002029AF">
        <w:t>current</w:t>
      </w:r>
      <w:r w:rsidR="000A5329" w:rsidRPr="002029AF">
        <w:t xml:space="preserve"> </w:t>
      </w:r>
      <w:r w:rsidRPr="002029AF">
        <w:t>LSL</w:t>
      </w:r>
      <w:r w:rsidR="000A5329" w:rsidRPr="002029AF">
        <w:t xml:space="preserve"> </w:t>
      </w:r>
      <w:r w:rsidRPr="002029AF">
        <w:t>liability</w:t>
      </w:r>
      <w:r w:rsidR="000A5329" w:rsidRPr="002029AF">
        <w:t xml:space="preserve"> </w:t>
      </w:r>
      <w:r w:rsidRPr="002029AF">
        <w:t>are</w:t>
      </w:r>
      <w:r w:rsidR="000A5329" w:rsidRPr="002029AF">
        <w:t xml:space="preserve"> </w:t>
      </w:r>
      <w:r w:rsidRPr="002029AF">
        <w:t>measured</w:t>
      </w:r>
      <w:r w:rsidR="000A5329" w:rsidRPr="002029AF">
        <w:t xml:space="preserve"> </w:t>
      </w:r>
      <w:r w:rsidRPr="002029AF">
        <w:t>at</w:t>
      </w:r>
      <w:r w:rsidR="000A5329" w:rsidRPr="002029AF">
        <w:t xml:space="preserve"> </w:t>
      </w:r>
      <w:r w:rsidRPr="002029AF">
        <w:t>nominal</w:t>
      </w:r>
      <w:r w:rsidR="000A5329" w:rsidRPr="002029AF">
        <w:t xml:space="preserve"> </w:t>
      </w:r>
      <w:r w:rsidRPr="002029AF">
        <w:t>value</w:t>
      </w:r>
      <w:r w:rsidR="000A5329" w:rsidRPr="002029AF">
        <w:t xml:space="preserve"> </w:t>
      </w:r>
      <w:r w:rsidRPr="002029AF">
        <w:t>where</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expect</w:t>
      </w:r>
      <w:r w:rsidR="000A5329" w:rsidRPr="002029AF">
        <w:t xml:space="preserve"> </w:t>
      </w:r>
      <w:r w:rsidRPr="002029AF">
        <w:t>to</w:t>
      </w:r>
      <w:r w:rsidR="000A5329" w:rsidRPr="002029AF">
        <w:t xml:space="preserve"> </w:t>
      </w:r>
      <w:r w:rsidRPr="002029AF">
        <w:t>settle</w:t>
      </w:r>
      <w:r w:rsidR="000A5329" w:rsidRPr="002029AF">
        <w:t xml:space="preserve"> </w:t>
      </w:r>
      <w:r w:rsidRPr="002029AF">
        <w:t>within</w:t>
      </w:r>
      <w:r w:rsidR="000A5329" w:rsidRPr="002029AF">
        <w:t xml:space="preserve"> </w:t>
      </w:r>
      <w:r w:rsidRPr="002029AF">
        <w:t>12</w:t>
      </w:r>
      <w:r w:rsidR="000A5329" w:rsidRPr="002029AF">
        <w:t xml:space="preserve"> </w:t>
      </w:r>
      <w:r w:rsidRPr="002029AF">
        <w:t>months.</w:t>
      </w:r>
    </w:p>
    <w:p w14:paraId="65569412" w14:textId="605779E3" w:rsidR="00087B91" w:rsidRPr="002029AF" w:rsidRDefault="00087B91" w:rsidP="00087B91">
      <w:pPr>
        <w:pStyle w:val="ARfinbody"/>
      </w:pPr>
      <w:r w:rsidRPr="002029AF">
        <w:rPr>
          <w:rStyle w:val="Strong"/>
        </w:rPr>
        <w:t>Conditional</w:t>
      </w:r>
      <w:r w:rsidR="000A5329" w:rsidRPr="002029AF">
        <w:rPr>
          <w:rStyle w:val="Strong"/>
        </w:rPr>
        <w:t xml:space="preserve"> </w:t>
      </w:r>
      <w:r w:rsidRPr="002029AF">
        <w:rPr>
          <w:rStyle w:val="Strong"/>
        </w:rPr>
        <w:t>LSL</w:t>
      </w:r>
      <w:r w:rsidR="000A5329" w:rsidRPr="002029AF">
        <w:t xml:space="preserve"> </w:t>
      </w:r>
      <w:r w:rsidRPr="002029AF">
        <w:t>is</w:t>
      </w:r>
      <w:r w:rsidR="000A5329" w:rsidRPr="002029AF">
        <w:t xml:space="preserve"> </w:t>
      </w:r>
      <w:r w:rsidRPr="002029AF">
        <w:t>disclosed</w:t>
      </w:r>
      <w:r w:rsidR="000A5329" w:rsidRPr="002029AF">
        <w:t xml:space="preserve"> </w:t>
      </w:r>
      <w:r w:rsidRPr="002029AF">
        <w:t>as</w:t>
      </w:r>
      <w:r w:rsidR="000A5329" w:rsidRPr="002029AF">
        <w:t xml:space="preserve"> </w:t>
      </w:r>
      <w:r w:rsidRPr="002029AF">
        <w:t>a</w:t>
      </w:r>
      <w:r w:rsidR="000A5329" w:rsidRPr="002029AF">
        <w:t xml:space="preserve"> </w:t>
      </w:r>
      <w:r w:rsidRPr="002029AF">
        <w:t>non-current</w:t>
      </w:r>
      <w:r w:rsidR="000A5329" w:rsidRPr="002029AF">
        <w:t xml:space="preserve"> </w:t>
      </w:r>
      <w:r w:rsidRPr="002029AF">
        <w:t>liability.</w:t>
      </w:r>
      <w:r w:rsidR="000A5329" w:rsidRPr="002029AF">
        <w:t xml:space="preserve"> </w:t>
      </w:r>
      <w:r w:rsidRPr="002029AF">
        <w:t>There</w:t>
      </w:r>
      <w:r w:rsidR="000A5329" w:rsidRPr="002029AF">
        <w:t xml:space="preserve"> </w:t>
      </w:r>
      <w:r w:rsidRPr="002029AF">
        <w:t>is</w:t>
      </w:r>
      <w:r w:rsidR="000A5329" w:rsidRPr="002029AF">
        <w:t xml:space="preserve"> </w:t>
      </w:r>
      <w:r w:rsidRPr="002029AF">
        <w:t>an</w:t>
      </w:r>
      <w:r w:rsidR="000A5329" w:rsidRPr="002029AF">
        <w:t xml:space="preserve"> </w:t>
      </w:r>
      <w:r w:rsidRPr="002029AF">
        <w:t>unconditional</w:t>
      </w:r>
      <w:r w:rsidR="000A5329" w:rsidRPr="002029AF">
        <w:t xml:space="preserve"> </w:t>
      </w:r>
      <w:r w:rsidRPr="002029AF">
        <w:t>right</w:t>
      </w:r>
      <w:r w:rsidR="000A5329" w:rsidRPr="002029AF">
        <w:t xml:space="preserve"> </w:t>
      </w:r>
      <w:r w:rsidRPr="002029AF">
        <w:t>to</w:t>
      </w:r>
      <w:r w:rsidR="000A5329" w:rsidRPr="002029AF">
        <w:t xml:space="preserve"> </w:t>
      </w:r>
      <w:r w:rsidRPr="002029AF">
        <w:t>defer</w:t>
      </w:r>
      <w:r w:rsidR="000A5329" w:rsidRPr="002029AF">
        <w:t xml:space="preserve"> </w:t>
      </w:r>
      <w:r w:rsidRPr="002029AF">
        <w:t>the</w:t>
      </w:r>
      <w:r w:rsidR="000A5329" w:rsidRPr="002029AF">
        <w:t xml:space="preserve"> </w:t>
      </w:r>
      <w:r w:rsidRPr="002029AF">
        <w:t>settlement</w:t>
      </w:r>
      <w:r w:rsidR="000A5329" w:rsidRPr="002029AF">
        <w:t xml:space="preserve"> </w:t>
      </w:r>
      <w:r w:rsidRPr="002029AF">
        <w:t>of</w:t>
      </w:r>
      <w:r w:rsidR="000A5329" w:rsidRPr="002029AF">
        <w:t xml:space="preserve"> </w:t>
      </w:r>
      <w:r w:rsidRPr="002029AF">
        <w:t>the</w:t>
      </w:r>
      <w:r w:rsidR="000A5329" w:rsidRPr="002029AF">
        <w:t xml:space="preserve"> </w:t>
      </w:r>
      <w:r w:rsidRPr="002029AF">
        <w:t>entitlement</w:t>
      </w:r>
      <w:r w:rsidR="000A5329" w:rsidRPr="002029AF">
        <w:t xml:space="preserve"> </w:t>
      </w:r>
      <w:r w:rsidRPr="002029AF">
        <w:t>until</w:t>
      </w:r>
      <w:r w:rsidR="000A5329" w:rsidRPr="002029AF">
        <w:t xml:space="preserve"> </w:t>
      </w:r>
      <w:r w:rsidRPr="002029AF">
        <w:t>the</w:t>
      </w:r>
      <w:r w:rsidR="000A5329" w:rsidRPr="002029AF">
        <w:t xml:space="preserve"> </w:t>
      </w:r>
      <w:r w:rsidRPr="002029AF">
        <w:t>employee</w:t>
      </w:r>
      <w:r w:rsidR="000A5329" w:rsidRPr="002029AF">
        <w:t xml:space="preserve"> </w:t>
      </w:r>
      <w:r w:rsidRPr="002029AF">
        <w:t>has</w:t>
      </w:r>
      <w:r w:rsidR="000A5329" w:rsidRPr="002029AF">
        <w:t xml:space="preserve"> </w:t>
      </w:r>
      <w:r w:rsidRPr="002029AF">
        <w:t>completed</w:t>
      </w:r>
      <w:r w:rsidR="000A5329" w:rsidRPr="002029AF">
        <w:t xml:space="preserve"> </w:t>
      </w:r>
      <w:r w:rsidRPr="002029AF">
        <w:t>the</w:t>
      </w:r>
      <w:r w:rsidR="000A5329" w:rsidRPr="002029AF">
        <w:t xml:space="preserve"> </w:t>
      </w:r>
      <w:r w:rsidRPr="002029AF">
        <w:t>requisite</w:t>
      </w:r>
      <w:r w:rsidR="000A5329" w:rsidRPr="002029AF">
        <w:t xml:space="preserve"> </w:t>
      </w:r>
      <w:r w:rsidRPr="002029AF">
        <w:t>years</w:t>
      </w:r>
      <w:r w:rsidR="000A5329" w:rsidRPr="002029AF">
        <w:t xml:space="preserve"> </w:t>
      </w:r>
      <w:r w:rsidRPr="002029AF">
        <w:t>of</w:t>
      </w:r>
      <w:r w:rsidR="000A5329" w:rsidRPr="002029AF">
        <w:t xml:space="preserve"> </w:t>
      </w:r>
      <w:r w:rsidRPr="002029AF">
        <w:t>service.</w:t>
      </w:r>
      <w:r w:rsidR="000A5329" w:rsidRPr="002029AF">
        <w:t xml:space="preserve"> </w:t>
      </w:r>
      <w:r w:rsidRPr="002029AF">
        <w:t>This</w:t>
      </w:r>
      <w:r w:rsidR="000A5329" w:rsidRPr="002029AF">
        <w:t xml:space="preserve"> </w:t>
      </w:r>
      <w:r w:rsidRPr="002029AF">
        <w:t>non-current</w:t>
      </w:r>
      <w:r w:rsidR="000A5329" w:rsidRPr="002029AF">
        <w:t xml:space="preserve"> </w:t>
      </w:r>
      <w:r w:rsidRPr="002029AF">
        <w:t>LSL</w:t>
      </w:r>
      <w:r w:rsidR="000A5329" w:rsidRPr="002029AF">
        <w:t xml:space="preserve"> </w:t>
      </w:r>
      <w:r w:rsidRPr="002029AF">
        <w:t>liability</w:t>
      </w:r>
      <w:r w:rsidR="000A5329" w:rsidRPr="002029AF">
        <w:t xml:space="preserve"> </w:t>
      </w:r>
      <w:r w:rsidRPr="002029AF">
        <w:t>is</w:t>
      </w:r>
      <w:r w:rsidR="000A5329" w:rsidRPr="002029AF">
        <w:t xml:space="preserve"> </w:t>
      </w:r>
      <w:r w:rsidRPr="002029AF">
        <w:t>measured</w:t>
      </w:r>
      <w:r w:rsidR="000A5329" w:rsidRPr="002029AF">
        <w:t xml:space="preserve"> </w:t>
      </w:r>
      <w:r w:rsidRPr="002029AF">
        <w:t>at</w:t>
      </w:r>
      <w:r w:rsidR="000A5329" w:rsidRPr="002029AF">
        <w:t xml:space="preserve"> </w:t>
      </w:r>
      <w:r w:rsidRPr="002029AF">
        <w:t>present</w:t>
      </w:r>
      <w:r w:rsidR="000A5329" w:rsidRPr="002029AF">
        <w:t xml:space="preserve"> </w:t>
      </w:r>
      <w:r w:rsidRPr="002029AF">
        <w:t>value.</w:t>
      </w:r>
    </w:p>
    <w:p w14:paraId="457B5254" w14:textId="77777777" w:rsidR="00087B91" w:rsidRPr="002029AF" w:rsidRDefault="00087B91" w:rsidP="00087B91">
      <w:pPr>
        <w:pStyle w:val="Heading7"/>
      </w:pPr>
      <w:r w:rsidRPr="002029AF">
        <w:lastRenderedPageBreak/>
        <w:t>Superannuation</w:t>
      </w:r>
    </w:p>
    <w:p w14:paraId="2712278D" w14:textId="080EF8B6" w:rsidR="00087B91" w:rsidRPr="002029AF" w:rsidRDefault="00087B91" w:rsidP="00087B91">
      <w:pPr>
        <w:pStyle w:val="ARfinbody"/>
      </w:pPr>
      <w:r w:rsidRPr="002029AF">
        <w:t>The</w:t>
      </w:r>
      <w:r w:rsidR="000A5329" w:rsidRPr="002029AF">
        <w:t xml:space="preserve"> </w:t>
      </w:r>
      <w:r w:rsidRPr="002029AF">
        <w:t>department</w:t>
      </w:r>
      <w:r w:rsidR="000A5329" w:rsidRPr="002029AF">
        <w:t xml:space="preserve"> </w:t>
      </w:r>
      <w:r w:rsidRPr="002029AF">
        <w:t>reports</w:t>
      </w:r>
      <w:r w:rsidR="000A5329" w:rsidRPr="002029AF">
        <w:t xml:space="preserve"> </w:t>
      </w:r>
      <w:r w:rsidRPr="002029AF">
        <w:t>a</w:t>
      </w:r>
      <w:r w:rsidR="000A5329" w:rsidRPr="002029AF">
        <w:t xml:space="preserve"> </w:t>
      </w:r>
      <w:r w:rsidRPr="002029AF">
        <w:t>liability</w:t>
      </w:r>
      <w:r w:rsidR="000A5329" w:rsidRPr="002029AF">
        <w:t xml:space="preserve"> </w:t>
      </w:r>
      <w:r w:rsidRPr="002029AF">
        <w:t>for</w:t>
      </w:r>
      <w:r w:rsidR="000A5329" w:rsidRPr="002029AF">
        <w:t xml:space="preserve"> </w:t>
      </w:r>
      <w:r w:rsidRPr="002029AF">
        <w:t>unfunded</w:t>
      </w:r>
      <w:r w:rsidR="000A5329" w:rsidRPr="002029AF">
        <w:t xml:space="preserve"> </w:t>
      </w:r>
      <w:r w:rsidRPr="002029AF">
        <w:t>superannuation</w:t>
      </w:r>
      <w:r w:rsidR="000A5329" w:rsidRPr="002029AF">
        <w:t xml:space="preserve"> </w:t>
      </w:r>
      <w:r w:rsidRPr="002029AF">
        <w:t>in</w:t>
      </w:r>
      <w:r w:rsidR="000A5329" w:rsidRPr="002029AF">
        <w:t xml:space="preserve"> </w:t>
      </w:r>
      <w:r w:rsidRPr="002029AF">
        <w:t>respect</w:t>
      </w:r>
      <w:r w:rsidR="000A5329" w:rsidRPr="002029AF">
        <w:t xml:space="preserve"> </w:t>
      </w:r>
      <w:r w:rsidRPr="002029AF">
        <w:t>of</w:t>
      </w:r>
      <w:r w:rsidR="000A5329" w:rsidRPr="002029AF">
        <w:t xml:space="preserve"> </w:t>
      </w:r>
      <w:r w:rsidRPr="002029AF">
        <w:t>former</w:t>
      </w:r>
      <w:r w:rsidR="000A5329" w:rsidRPr="002029AF">
        <w:t xml:space="preserve"> </w:t>
      </w:r>
      <w:r w:rsidRPr="002029AF">
        <w:t>employees</w:t>
      </w:r>
      <w:r w:rsidR="000A5329" w:rsidRPr="002029AF">
        <w:t xml:space="preserve"> </w:t>
      </w:r>
      <w:r w:rsidRPr="002029AF">
        <w:t>of</w:t>
      </w:r>
      <w:r w:rsidR="000A5329" w:rsidRPr="002029AF">
        <w:t xml:space="preserve"> </w:t>
      </w:r>
      <w:r w:rsidRPr="002029AF">
        <w:t>the</w:t>
      </w:r>
      <w:r w:rsidR="000A5329" w:rsidRPr="002029AF">
        <w:t xml:space="preserve"> </w:t>
      </w:r>
      <w:r w:rsidRPr="002029AF">
        <w:t>Director</w:t>
      </w:r>
      <w:r w:rsidR="000A5329" w:rsidRPr="002029AF">
        <w:t xml:space="preserve"> </w:t>
      </w:r>
      <w:r w:rsidRPr="002029AF">
        <w:t>of</w:t>
      </w:r>
      <w:r w:rsidR="000A5329" w:rsidRPr="002029AF">
        <w:t xml:space="preserve"> </w:t>
      </w:r>
      <w:r w:rsidRPr="002029AF">
        <w:t>Housing</w:t>
      </w:r>
      <w:r w:rsidR="000A5329" w:rsidRPr="002029AF">
        <w:t xml:space="preserve"> </w:t>
      </w:r>
      <w:r w:rsidRPr="002029AF">
        <w:t>for</w:t>
      </w:r>
      <w:r w:rsidR="000A5329" w:rsidRPr="002029AF">
        <w:t xml:space="preserve"> </w:t>
      </w:r>
      <w:r w:rsidRPr="002029AF">
        <w:t>the</w:t>
      </w:r>
      <w:r w:rsidR="000A5329" w:rsidRPr="002029AF">
        <w:t xml:space="preserve"> </w:t>
      </w:r>
      <w:r w:rsidRPr="002029AF">
        <w:t>shortfall</w:t>
      </w:r>
      <w:r w:rsidR="000A5329" w:rsidRPr="002029AF">
        <w:t xml:space="preserve"> </w:t>
      </w:r>
      <w:r w:rsidRPr="002029AF">
        <w:t>of</w:t>
      </w:r>
      <w:r w:rsidR="000A5329" w:rsidRPr="002029AF">
        <w:t xml:space="preserve"> </w:t>
      </w:r>
      <w:r w:rsidRPr="002029AF">
        <w:t>superannuation</w:t>
      </w:r>
      <w:r w:rsidR="000A5329" w:rsidRPr="002029AF">
        <w:t xml:space="preserve"> </w:t>
      </w:r>
      <w:r w:rsidRPr="002029AF">
        <w:t>benefits</w:t>
      </w:r>
      <w:r w:rsidR="000A5329" w:rsidRPr="002029AF">
        <w:t xml:space="preserve"> </w:t>
      </w:r>
      <w:r w:rsidRPr="002029AF">
        <w:t>paid</w:t>
      </w:r>
      <w:r w:rsidR="000A5329" w:rsidRPr="002029AF">
        <w:t xml:space="preserve"> </w:t>
      </w:r>
      <w:r w:rsidRPr="002029AF">
        <w:t>to</w:t>
      </w:r>
      <w:r w:rsidR="000A5329" w:rsidRPr="002029AF">
        <w:t xml:space="preserve"> </w:t>
      </w:r>
      <w:r w:rsidRPr="002029AF">
        <w:t>former</w:t>
      </w:r>
      <w:r w:rsidR="000A5329" w:rsidRPr="002029AF">
        <w:t xml:space="preserve"> </w:t>
      </w:r>
      <w:r w:rsidRPr="002029AF">
        <w:t>housing</w:t>
      </w:r>
      <w:r w:rsidR="000A5329" w:rsidRPr="002029AF">
        <w:t xml:space="preserve"> </w:t>
      </w:r>
      <w:r w:rsidRPr="002029AF">
        <w:t>staff</w:t>
      </w:r>
      <w:r w:rsidR="000A5329" w:rsidRPr="002029AF">
        <w:t xml:space="preserve"> </w:t>
      </w:r>
      <w:r w:rsidRPr="002029AF">
        <w:t>who</w:t>
      </w:r>
      <w:r w:rsidR="000A5329" w:rsidRPr="002029AF">
        <w:t xml:space="preserve"> </w:t>
      </w:r>
      <w:r w:rsidRPr="002029AF">
        <w:t>retired</w:t>
      </w:r>
      <w:r w:rsidR="000A5329" w:rsidRPr="002029AF">
        <w:t xml:space="preserve"> </w:t>
      </w:r>
      <w:r w:rsidRPr="002029AF">
        <w:t>or</w:t>
      </w:r>
      <w:r w:rsidR="000A5329" w:rsidRPr="002029AF">
        <w:t xml:space="preserve"> </w:t>
      </w:r>
      <w:r w:rsidRPr="002029AF">
        <w:t>resigned</w:t>
      </w:r>
      <w:r w:rsidR="000A5329" w:rsidRPr="002029AF">
        <w:t xml:space="preserve"> </w:t>
      </w:r>
      <w:r w:rsidRPr="002029AF">
        <w:t>on</w:t>
      </w:r>
      <w:r w:rsidR="000A5329" w:rsidRPr="002029AF">
        <w:t xml:space="preserve"> </w:t>
      </w:r>
      <w:r w:rsidRPr="002029AF">
        <w:t>or</w:t>
      </w:r>
      <w:r w:rsidR="000A5329" w:rsidRPr="002029AF">
        <w:t xml:space="preserve"> </w:t>
      </w:r>
      <w:r w:rsidRPr="002029AF">
        <w:t>before</w:t>
      </w:r>
      <w:r w:rsidR="000A5329" w:rsidRPr="002029AF">
        <w:t xml:space="preserve"> </w:t>
      </w:r>
      <w:r w:rsidRPr="002029AF">
        <w:t>14</w:t>
      </w:r>
      <w:r w:rsidR="000A5329" w:rsidRPr="002029AF">
        <w:t xml:space="preserve"> </w:t>
      </w:r>
      <w:r w:rsidRPr="002029AF">
        <w:t>December</w:t>
      </w:r>
      <w:r w:rsidR="000A5329" w:rsidRPr="002029AF">
        <w:t xml:space="preserve"> </w:t>
      </w:r>
      <w:r w:rsidRPr="002029AF">
        <w:t>1987</w:t>
      </w:r>
      <w:r w:rsidR="000A5329" w:rsidRPr="002029AF">
        <w:t xml:space="preserve"> </w:t>
      </w:r>
      <w:r w:rsidRPr="002029AF">
        <w:t>or</w:t>
      </w:r>
      <w:r w:rsidR="000A5329" w:rsidRPr="002029AF">
        <w:t xml:space="preserve"> </w:t>
      </w:r>
      <w:r w:rsidRPr="002029AF">
        <w:t>were</w:t>
      </w:r>
      <w:r w:rsidR="000A5329" w:rsidRPr="002029AF">
        <w:t xml:space="preserve"> </w:t>
      </w:r>
      <w:r w:rsidRPr="002029AF">
        <w:t>employed</w:t>
      </w:r>
      <w:r w:rsidR="000A5329" w:rsidRPr="002029AF">
        <w:t xml:space="preserve"> </w:t>
      </w:r>
      <w:r w:rsidRPr="002029AF">
        <w:t>by</w:t>
      </w:r>
      <w:r w:rsidR="000A5329" w:rsidRPr="002029AF">
        <w:t xml:space="preserve"> </w:t>
      </w:r>
      <w:r w:rsidRPr="002029AF">
        <w:t>the</w:t>
      </w:r>
      <w:r w:rsidR="000A5329" w:rsidRPr="002029AF">
        <w:t xml:space="preserve"> </w:t>
      </w:r>
      <w:r w:rsidRPr="002029AF">
        <w:t>Director</w:t>
      </w:r>
      <w:r w:rsidR="000A5329" w:rsidRPr="002029AF">
        <w:t xml:space="preserve"> </w:t>
      </w:r>
      <w:r w:rsidRPr="002029AF">
        <w:t>of</w:t>
      </w:r>
      <w:r w:rsidR="000A5329" w:rsidRPr="002029AF">
        <w:t xml:space="preserve"> </w:t>
      </w:r>
      <w:r w:rsidRPr="002029AF">
        <w:t>Housing</w:t>
      </w:r>
      <w:r w:rsidR="000A5329" w:rsidRPr="002029AF">
        <w:t xml:space="preserve"> </w:t>
      </w:r>
      <w:r w:rsidRPr="002029AF">
        <w:t>as</w:t>
      </w:r>
      <w:r w:rsidR="000A5329" w:rsidRPr="002029AF">
        <w:t xml:space="preserve"> </w:t>
      </w:r>
      <w:r w:rsidRPr="002029AF">
        <w:t>at</w:t>
      </w:r>
      <w:r w:rsidR="000A5329" w:rsidRPr="002029AF">
        <w:t xml:space="preserve"> </w:t>
      </w:r>
      <w:r w:rsidRPr="002029AF">
        <w:t>14</w:t>
      </w:r>
      <w:r w:rsidR="000A5329" w:rsidRPr="002029AF">
        <w:t xml:space="preserve"> </w:t>
      </w:r>
      <w:r w:rsidRPr="002029AF">
        <w:t>December</w:t>
      </w:r>
      <w:r w:rsidR="000A5329" w:rsidRPr="002029AF">
        <w:t xml:space="preserve"> </w:t>
      </w:r>
      <w:r w:rsidRPr="002029AF">
        <w:t>1987</w:t>
      </w:r>
      <w:r w:rsidR="000A5329" w:rsidRPr="002029AF">
        <w:t xml:space="preserve"> </w:t>
      </w:r>
      <w:r w:rsidRPr="002029AF">
        <w:t>and</w:t>
      </w:r>
      <w:r w:rsidR="000A5329" w:rsidRPr="002029AF">
        <w:t xml:space="preserve"> </w:t>
      </w:r>
      <w:r w:rsidRPr="002029AF">
        <w:t>retired</w:t>
      </w:r>
      <w:r w:rsidR="000A5329" w:rsidRPr="002029AF">
        <w:t xml:space="preserve"> </w:t>
      </w:r>
      <w:r w:rsidRPr="002029AF">
        <w:t>or</w:t>
      </w:r>
      <w:r w:rsidR="000A5329" w:rsidRPr="002029AF">
        <w:t xml:space="preserve"> </w:t>
      </w:r>
      <w:r w:rsidRPr="002029AF">
        <w:t>resigned</w:t>
      </w:r>
      <w:r w:rsidR="000A5329" w:rsidRPr="002029AF">
        <w:t xml:space="preserve"> </w:t>
      </w:r>
      <w:r w:rsidRPr="002029AF">
        <w:t>prior</w:t>
      </w:r>
      <w:r w:rsidR="000A5329" w:rsidRPr="002029AF">
        <w:t xml:space="preserve"> </w:t>
      </w:r>
      <w:r w:rsidRPr="002029AF">
        <w:t>to</w:t>
      </w:r>
      <w:r w:rsidR="000A5329" w:rsidRPr="002029AF">
        <w:t xml:space="preserve"> </w:t>
      </w:r>
      <w:r w:rsidRPr="002029AF">
        <w:t>or</w:t>
      </w:r>
      <w:r w:rsidR="000A5329" w:rsidRPr="002029AF">
        <w:t xml:space="preserve"> </w:t>
      </w:r>
      <w:r w:rsidRPr="002029AF">
        <w:t>on</w:t>
      </w:r>
      <w:r w:rsidR="000A5329" w:rsidRPr="002029AF">
        <w:t xml:space="preserve"> </w:t>
      </w:r>
      <w:r w:rsidRPr="002029AF">
        <w:t>30</w:t>
      </w:r>
      <w:r w:rsidR="000A5329" w:rsidRPr="002029AF">
        <w:t xml:space="preserve"> </w:t>
      </w:r>
      <w:r w:rsidRPr="002029AF">
        <w:t>June</w:t>
      </w:r>
      <w:r w:rsidR="000A5329" w:rsidRPr="002029AF">
        <w:t xml:space="preserve"> </w:t>
      </w:r>
      <w:r w:rsidRPr="002029AF">
        <w:t>1994.</w:t>
      </w:r>
    </w:p>
    <w:p w14:paraId="7E840730" w14:textId="5DD7FEAE" w:rsidR="00087B91" w:rsidRPr="002029AF" w:rsidRDefault="00087B91" w:rsidP="00087B91">
      <w:pPr>
        <w:pStyle w:val="ARfinbodylargespace"/>
      </w:pPr>
      <w:r w:rsidRPr="002029AF">
        <w:t>This</w:t>
      </w:r>
      <w:r w:rsidR="000A5329" w:rsidRPr="002029AF">
        <w:t xml:space="preserve"> </w:t>
      </w:r>
      <w:r w:rsidRPr="002029AF">
        <w:t>liability</w:t>
      </w:r>
      <w:r w:rsidR="000A5329" w:rsidRPr="002029AF">
        <w:t xml:space="preserve"> </w:t>
      </w:r>
      <w:r w:rsidRPr="002029AF">
        <w:t>represents</w:t>
      </w:r>
      <w:r w:rsidR="000A5329" w:rsidRPr="002029AF">
        <w:t xml:space="preserve"> </w:t>
      </w:r>
      <w:r w:rsidRPr="002029AF">
        <w:t>the</w:t>
      </w:r>
      <w:r w:rsidR="000A5329" w:rsidRPr="002029AF">
        <w:t xml:space="preserve"> </w:t>
      </w:r>
      <w:r w:rsidRPr="002029AF">
        <w:t>shortfall</w:t>
      </w:r>
      <w:r w:rsidR="000A5329" w:rsidRPr="002029AF">
        <w:t xml:space="preserve"> </w:t>
      </w:r>
      <w:r w:rsidRPr="002029AF">
        <w:t>between</w:t>
      </w:r>
      <w:r w:rsidR="000A5329" w:rsidRPr="002029AF">
        <w:t xml:space="preserve"> </w:t>
      </w:r>
      <w:r w:rsidRPr="002029AF">
        <w:t>the</w:t>
      </w:r>
      <w:r w:rsidR="000A5329" w:rsidRPr="002029AF">
        <w:t xml:space="preserve"> </w:t>
      </w:r>
      <w:r w:rsidRPr="002029AF">
        <w:t>total</w:t>
      </w:r>
      <w:r w:rsidR="000A5329" w:rsidRPr="002029AF">
        <w:t xml:space="preserve"> </w:t>
      </w:r>
      <w:r w:rsidRPr="002029AF">
        <w:t>net</w:t>
      </w:r>
      <w:r w:rsidR="000A5329" w:rsidRPr="002029AF">
        <w:t xml:space="preserve"> </w:t>
      </w:r>
      <w:r w:rsidRPr="002029AF">
        <w:t>assets</w:t>
      </w:r>
      <w:r w:rsidR="000A5329" w:rsidRPr="002029AF">
        <w:t xml:space="preserve"> </w:t>
      </w:r>
      <w:r w:rsidRPr="002029AF">
        <w:t>of</w:t>
      </w:r>
      <w:r w:rsidR="000A5329" w:rsidRPr="002029AF">
        <w:t xml:space="preserve"> </w:t>
      </w:r>
      <w:r w:rsidRPr="002029AF">
        <w:t>the</w:t>
      </w:r>
      <w:r w:rsidR="000A5329" w:rsidRPr="002029AF">
        <w:t xml:space="preserve"> </w:t>
      </w:r>
      <w:r w:rsidRPr="002029AF">
        <w:t>superannuation</w:t>
      </w:r>
      <w:r w:rsidR="000A5329" w:rsidRPr="002029AF">
        <w:t xml:space="preserve"> </w:t>
      </w:r>
      <w:r w:rsidRPr="002029AF">
        <w:t>fund</w:t>
      </w:r>
      <w:r w:rsidR="000A5329" w:rsidRPr="002029AF">
        <w:t xml:space="preserve"> </w:t>
      </w:r>
      <w:r w:rsidRPr="002029AF">
        <w:t>at</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r w:rsidR="000A5329" w:rsidRPr="002029AF">
        <w:t xml:space="preserve"> </w:t>
      </w:r>
      <w:r w:rsidRPr="002029AF">
        <w:t>and</w:t>
      </w:r>
      <w:r w:rsidR="000A5329" w:rsidRPr="002029AF">
        <w:t xml:space="preserve"> </w:t>
      </w:r>
      <w:r w:rsidRPr="002029AF">
        <w:t>the</w:t>
      </w:r>
      <w:r w:rsidR="000A5329" w:rsidRPr="002029AF">
        <w:t xml:space="preserve"> </w:t>
      </w:r>
      <w:r w:rsidRPr="002029AF">
        <w:t>total</w:t>
      </w:r>
      <w:r w:rsidR="000A5329" w:rsidRPr="002029AF">
        <w:t xml:space="preserve"> </w:t>
      </w:r>
      <w:r w:rsidRPr="002029AF">
        <w:t>benefits</w:t>
      </w:r>
      <w:r w:rsidR="000A5329" w:rsidRPr="002029AF">
        <w:t xml:space="preserve"> </w:t>
      </w:r>
      <w:r w:rsidRPr="002029AF">
        <w:t>that</w:t>
      </w:r>
      <w:r w:rsidR="000A5329" w:rsidRPr="002029AF">
        <w:t xml:space="preserve"> </w:t>
      </w:r>
      <w:r w:rsidRPr="002029AF">
        <w:t>members</w:t>
      </w:r>
      <w:r w:rsidR="000A5329" w:rsidRPr="002029AF">
        <w:t xml:space="preserve"> </w:t>
      </w:r>
      <w:r w:rsidRPr="002029AF">
        <w:t>have</w:t>
      </w:r>
      <w:r w:rsidR="000A5329" w:rsidRPr="002029AF">
        <w:t xml:space="preserve"> </w:t>
      </w:r>
      <w:r w:rsidRPr="002029AF">
        <w:t>accrued</w:t>
      </w:r>
      <w:r w:rsidR="000A5329" w:rsidRPr="002029AF">
        <w:t xml:space="preserve"> </w:t>
      </w:r>
      <w:r w:rsidRPr="002029AF">
        <w:t>up</w:t>
      </w:r>
      <w:r w:rsidR="000A5329" w:rsidRPr="002029AF">
        <w:t xml:space="preserve"> </w:t>
      </w:r>
      <w:r w:rsidRPr="002029AF">
        <w:t>to</w:t>
      </w:r>
      <w:r w:rsidR="000A5329" w:rsidRPr="002029AF">
        <w:t xml:space="preserve"> </w:t>
      </w:r>
      <w:r w:rsidRPr="002029AF">
        <w:t>that</w:t>
      </w:r>
      <w:r w:rsidR="000A5329" w:rsidRPr="002029AF">
        <w:t xml:space="preserve"> </w:t>
      </w:r>
      <w:r w:rsidRPr="002029AF">
        <w:t>date,</w:t>
      </w:r>
      <w:r w:rsidR="000A5329" w:rsidRPr="002029AF">
        <w:t xml:space="preserve"> </w:t>
      </w:r>
      <w:r w:rsidRPr="002029AF">
        <w:t>determined</w:t>
      </w:r>
      <w:r w:rsidR="000A5329" w:rsidRPr="002029AF">
        <w:t xml:space="preserve"> </w:t>
      </w:r>
      <w:r w:rsidRPr="002029AF">
        <w:t>by</w:t>
      </w:r>
      <w:r w:rsidR="000A5329" w:rsidRPr="002029AF">
        <w:t xml:space="preserve"> </w:t>
      </w:r>
      <w:r w:rsidRPr="002029AF">
        <w:t>an</w:t>
      </w:r>
      <w:r w:rsidR="000A5329" w:rsidRPr="002029AF">
        <w:t xml:space="preserve"> </w:t>
      </w:r>
      <w:r w:rsidRPr="002029AF">
        <w:t>actuarial</w:t>
      </w:r>
      <w:r w:rsidR="000A5329" w:rsidRPr="002029AF">
        <w:t xml:space="preserve"> </w:t>
      </w:r>
      <w:r w:rsidRPr="002029AF">
        <w:t>assessment.</w:t>
      </w:r>
      <w:r w:rsidR="000A5329" w:rsidRPr="002029AF">
        <w:t xml:space="preserve"> </w:t>
      </w:r>
      <w:r w:rsidRPr="002029AF">
        <w:t>Information</w:t>
      </w:r>
      <w:r w:rsidR="000A5329" w:rsidRPr="002029AF">
        <w:t xml:space="preserve"> </w:t>
      </w:r>
      <w:r w:rsidRPr="002029AF">
        <w:t>relating</w:t>
      </w:r>
      <w:r w:rsidR="000A5329" w:rsidRPr="002029AF">
        <w:t xml:space="preserve"> </w:t>
      </w:r>
      <w:r w:rsidRPr="002029AF">
        <w:t>to</w:t>
      </w:r>
      <w:r w:rsidR="000A5329" w:rsidRPr="002029AF">
        <w:t xml:space="preserve"> </w:t>
      </w:r>
      <w:r w:rsidRPr="002029AF">
        <w:t>the</w:t>
      </w:r>
      <w:r w:rsidR="000A5329" w:rsidRPr="002029AF">
        <w:t xml:space="preserve"> </w:t>
      </w:r>
      <w:r w:rsidRPr="002029AF">
        <w:t>fund</w:t>
      </w:r>
      <w:r w:rsidR="000A5329" w:rsidRPr="002029AF">
        <w:t xml:space="preserve"> </w:t>
      </w:r>
      <w:r w:rsidRPr="002029AF">
        <w:t>based</w:t>
      </w:r>
      <w:r w:rsidR="000A5329" w:rsidRPr="002029AF">
        <w:t xml:space="preserve"> </w:t>
      </w:r>
      <w:r w:rsidRPr="002029AF">
        <w:t>on</w:t>
      </w:r>
      <w:r w:rsidR="000A5329" w:rsidRPr="002029AF">
        <w:t xml:space="preserve"> </w:t>
      </w:r>
      <w:r w:rsidRPr="002029AF">
        <w:t>the</w:t>
      </w:r>
      <w:r w:rsidR="000A5329" w:rsidRPr="002029AF">
        <w:t xml:space="preserve"> </w:t>
      </w:r>
      <w:r w:rsidRPr="002029AF">
        <w:t>latest</w:t>
      </w:r>
      <w:r w:rsidR="000A5329" w:rsidRPr="002029AF">
        <w:t xml:space="preserve"> </w:t>
      </w:r>
      <w:r w:rsidRPr="002029AF">
        <w:t>actuarial</w:t>
      </w:r>
      <w:r w:rsidR="000A5329" w:rsidRPr="002029AF">
        <w:t xml:space="preserve"> </w:t>
      </w:r>
      <w:r w:rsidRPr="002029AF">
        <w:t>assessment</w:t>
      </w:r>
      <w:r w:rsidR="000A5329" w:rsidRPr="002029AF">
        <w:t xml:space="preserve"> </w:t>
      </w:r>
      <w:r w:rsidRPr="002029AF">
        <w:t>for</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r w:rsidR="000A5329" w:rsidRPr="002029AF">
        <w:t xml:space="preserve"> </w:t>
      </w:r>
      <w:r w:rsidRPr="002029AF">
        <w:t>is</w:t>
      </w:r>
      <w:r w:rsidR="000A5329" w:rsidRPr="002029AF">
        <w:t xml:space="preserve"> </w:t>
      </w:r>
      <w:r w:rsidRPr="002029AF">
        <w:t>set</w:t>
      </w:r>
      <w:r w:rsidR="000A5329" w:rsidRPr="002029AF">
        <w:t xml:space="preserve"> </w:t>
      </w:r>
      <w:r w:rsidRPr="002029AF">
        <w:t>out</w:t>
      </w:r>
      <w:r w:rsidR="000A5329" w:rsidRPr="002029AF">
        <w:t xml:space="preserve"> </w:t>
      </w:r>
      <w:r w:rsidRPr="002029AF">
        <w:t>below.</w:t>
      </w:r>
      <w:r w:rsidR="000A5329" w:rsidRPr="002029AF">
        <w:t xml:space="preserve"> </w:t>
      </w:r>
      <w:r w:rsidRPr="002029AF">
        <w:t>The</w:t>
      </w:r>
      <w:r w:rsidR="000A5329" w:rsidRPr="002029AF">
        <w:t xml:space="preserve"> </w:t>
      </w:r>
      <w:r w:rsidRPr="002029AF">
        <w:t>amount</w:t>
      </w:r>
      <w:r w:rsidR="000A5329" w:rsidRPr="002029AF">
        <w:t xml:space="preserve"> </w:t>
      </w:r>
      <w:r w:rsidRPr="002029AF">
        <w:t>expensed</w:t>
      </w:r>
      <w:r w:rsidR="000A5329" w:rsidRPr="002029AF">
        <w:t xml:space="preserve"> </w:t>
      </w:r>
      <w:r w:rsidRPr="002029AF">
        <w:t>in</w:t>
      </w:r>
      <w:r w:rsidR="000A5329" w:rsidRPr="002029AF">
        <w:t xml:space="preserve"> </w:t>
      </w:r>
      <w:r w:rsidRPr="002029AF">
        <w:t>respect</w:t>
      </w:r>
      <w:r w:rsidR="000A5329" w:rsidRPr="002029AF">
        <w:t xml:space="preserve"> </w:t>
      </w:r>
      <w:r w:rsidRPr="002029AF">
        <w:t>of</w:t>
      </w:r>
      <w:r w:rsidR="000A5329" w:rsidRPr="002029AF">
        <w:t xml:space="preserve"> </w:t>
      </w:r>
      <w:r w:rsidRPr="002029AF">
        <w:t>unfunded</w:t>
      </w:r>
      <w:r w:rsidR="000A5329" w:rsidRPr="002029AF">
        <w:t xml:space="preserve"> </w:t>
      </w:r>
      <w:r w:rsidRPr="002029AF">
        <w:t>superannuation</w:t>
      </w:r>
      <w:r w:rsidR="000A5329" w:rsidRPr="002029AF">
        <w:t xml:space="preserve"> </w:t>
      </w:r>
      <w:r w:rsidRPr="002029AF">
        <w:t>represents</w:t>
      </w:r>
      <w:r w:rsidR="000A5329" w:rsidRPr="002029AF">
        <w:t xml:space="preserve"> </w:t>
      </w:r>
      <w:r w:rsidRPr="002029AF">
        <w:t>the</w:t>
      </w:r>
      <w:r w:rsidR="000A5329" w:rsidRPr="002029AF">
        <w:t xml:space="preserve"> </w:t>
      </w:r>
      <w:r w:rsidRPr="002029AF">
        <w:t>contributions</w:t>
      </w:r>
      <w:r w:rsidR="000A5329" w:rsidRPr="002029AF">
        <w:t xml:space="preserve"> </w:t>
      </w:r>
      <w:r w:rsidRPr="002029AF">
        <w:t>made</w:t>
      </w:r>
      <w:r w:rsidR="000A5329" w:rsidRPr="002029AF">
        <w:t xml:space="preserve"> </w:t>
      </w:r>
      <w:r w:rsidRPr="002029AF">
        <w:t>by</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to</w:t>
      </w:r>
      <w:r w:rsidR="000A5329" w:rsidRPr="002029AF">
        <w:t xml:space="preserve"> </w:t>
      </w:r>
      <w:r w:rsidRPr="002029AF">
        <w:t>the</w:t>
      </w:r>
      <w:r w:rsidR="000A5329" w:rsidRPr="002029AF">
        <w:t xml:space="preserve"> </w:t>
      </w:r>
      <w:r w:rsidRPr="002029AF">
        <w:t>superannuation</w:t>
      </w:r>
      <w:r w:rsidR="000A5329" w:rsidRPr="002029AF">
        <w:t xml:space="preserve"> </w:t>
      </w:r>
      <w:r w:rsidRPr="002029AF">
        <w:t>fund,</w:t>
      </w:r>
      <w:r w:rsidR="000A5329" w:rsidRPr="002029AF">
        <w:t xml:space="preserve"> </w:t>
      </w:r>
      <w:r w:rsidRPr="002029AF">
        <w:t>adjusted</w:t>
      </w:r>
      <w:r w:rsidR="000A5329" w:rsidRPr="002029AF">
        <w:t xml:space="preserve"> </w:t>
      </w:r>
      <w:r w:rsidRPr="002029AF">
        <w:t>by</w:t>
      </w:r>
      <w:r w:rsidR="000A5329" w:rsidRPr="002029AF">
        <w:t xml:space="preserve"> </w:t>
      </w:r>
      <w:r w:rsidRPr="002029AF">
        <w:t>the</w:t>
      </w:r>
      <w:r w:rsidR="000A5329" w:rsidRPr="002029AF">
        <w:t xml:space="preserve"> </w:t>
      </w:r>
      <w:r w:rsidRPr="002029AF">
        <w:t>movement</w:t>
      </w:r>
      <w:r w:rsidR="000A5329" w:rsidRPr="002029AF">
        <w:t xml:space="preserve"> </w:t>
      </w:r>
      <w:r w:rsidRPr="002029AF">
        <w:t>in</w:t>
      </w:r>
      <w:r w:rsidR="000A5329" w:rsidRPr="002029AF">
        <w:t xml:space="preserve"> </w:t>
      </w:r>
      <w:r w:rsidRPr="002029AF">
        <w:t>the</w:t>
      </w:r>
      <w:r w:rsidR="000A5329" w:rsidRPr="002029AF">
        <w:t xml:space="preserve"> </w:t>
      </w:r>
      <w:r w:rsidRPr="002029AF">
        <w:t>liability</w:t>
      </w:r>
      <w:r w:rsidR="000A5329" w:rsidRPr="002029AF">
        <w:t xml:space="preserve"> </w:t>
      </w:r>
      <w:r w:rsidRPr="002029AF">
        <w:t>or</w:t>
      </w:r>
      <w:r w:rsidR="000A5329" w:rsidRPr="002029AF">
        <w:t xml:space="preserve"> </w:t>
      </w:r>
      <w:r w:rsidRPr="002029AF">
        <w:t>asset.</w:t>
      </w:r>
    </w:p>
    <w:tbl>
      <w:tblPr>
        <w:tblStyle w:val="TableGrid"/>
        <w:tblW w:w="9637" w:type="dxa"/>
        <w:tblLayout w:type="fixed"/>
        <w:tblLook w:val="06A0" w:firstRow="1" w:lastRow="0" w:firstColumn="1" w:lastColumn="0" w:noHBand="1" w:noVBand="1"/>
      </w:tblPr>
      <w:tblGrid>
        <w:gridCol w:w="7371"/>
        <w:gridCol w:w="1133"/>
        <w:gridCol w:w="1133"/>
      </w:tblGrid>
      <w:tr w:rsidR="00087B91" w:rsidRPr="002029AF" w14:paraId="406102B1" w14:textId="77777777" w:rsidTr="00C83719">
        <w:trPr>
          <w:cnfStyle w:val="100000000000" w:firstRow="1" w:lastRow="0" w:firstColumn="0" w:lastColumn="0" w:oddVBand="0" w:evenVBand="0" w:oddHBand="0" w:evenHBand="0" w:firstRowFirstColumn="0" w:firstRowLastColumn="0" w:lastRowFirstColumn="0" w:lastRowLastColumn="0"/>
          <w:tblHeader/>
        </w:trPr>
        <w:tc>
          <w:tcPr>
            <w:tcW w:w="7371" w:type="dxa"/>
            <w:tcBorders>
              <w:bottom w:val="single" w:sz="4" w:space="0" w:color="auto"/>
            </w:tcBorders>
            <w:noWrap/>
            <w:hideMark/>
          </w:tcPr>
          <w:p w14:paraId="2A14BAC5" w14:textId="77777777" w:rsidR="00087B91" w:rsidRPr="002029AF" w:rsidRDefault="00087B91" w:rsidP="00860E95">
            <w:pPr>
              <w:pStyle w:val="ARfintablecolhead"/>
            </w:pPr>
          </w:p>
        </w:tc>
        <w:tc>
          <w:tcPr>
            <w:tcW w:w="1133" w:type="dxa"/>
            <w:tcBorders>
              <w:bottom w:val="single" w:sz="4" w:space="0" w:color="auto"/>
            </w:tcBorders>
            <w:shd w:val="clear" w:color="auto" w:fill="E7E6E6"/>
            <w:hideMark/>
          </w:tcPr>
          <w:p w14:paraId="784DD4A1" w14:textId="77777777" w:rsidR="00087B91" w:rsidRPr="002029AF" w:rsidRDefault="00087B91" w:rsidP="00860E95">
            <w:pPr>
              <w:pStyle w:val="ARfintablecolheadright"/>
            </w:pPr>
            <w:r w:rsidRPr="002029AF">
              <w:t>2020</w:t>
            </w:r>
          </w:p>
          <w:p w14:paraId="5CE3261D" w14:textId="77777777" w:rsidR="00087B91" w:rsidRPr="002029AF" w:rsidRDefault="00087B91" w:rsidP="00860E95">
            <w:pPr>
              <w:pStyle w:val="ARfintablecolheadright"/>
            </w:pPr>
            <w:r w:rsidRPr="002029AF">
              <w:t>$M</w:t>
            </w:r>
          </w:p>
        </w:tc>
        <w:tc>
          <w:tcPr>
            <w:tcW w:w="1133" w:type="dxa"/>
            <w:tcBorders>
              <w:bottom w:val="single" w:sz="4" w:space="0" w:color="auto"/>
            </w:tcBorders>
            <w:hideMark/>
          </w:tcPr>
          <w:p w14:paraId="113A09AB" w14:textId="77777777" w:rsidR="00087B91" w:rsidRPr="002029AF" w:rsidRDefault="00087B91" w:rsidP="00860E95">
            <w:pPr>
              <w:pStyle w:val="ARfintablecolheadright"/>
            </w:pPr>
            <w:r w:rsidRPr="002029AF">
              <w:t>2019</w:t>
            </w:r>
          </w:p>
          <w:p w14:paraId="7A91A482" w14:textId="77777777" w:rsidR="00087B91" w:rsidRPr="002029AF" w:rsidRDefault="00087B91" w:rsidP="00860E95">
            <w:pPr>
              <w:pStyle w:val="ARfintablecolheadright"/>
            </w:pPr>
            <w:r w:rsidRPr="002029AF">
              <w:t>$M</w:t>
            </w:r>
          </w:p>
        </w:tc>
      </w:tr>
      <w:tr w:rsidR="00087B91" w:rsidRPr="002029AF" w14:paraId="78C06EB2" w14:textId="77777777" w:rsidTr="00860E95">
        <w:tc>
          <w:tcPr>
            <w:tcW w:w="9637" w:type="dxa"/>
            <w:gridSpan w:val="3"/>
            <w:tcBorders>
              <w:top w:val="single" w:sz="4" w:space="0" w:color="auto"/>
              <w:bottom w:val="single" w:sz="4" w:space="0" w:color="A6A6A6"/>
            </w:tcBorders>
            <w:hideMark/>
          </w:tcPr>
          <w:p w14:paraId="64B116B1" w14:textId="0CF0B403" w:rsidR="00087B91" w:rsidRPr="002029AF" w:rsidRDefault="00087B91" w:rsidP="00860E95">
            <w:pPr>
              <w:pStyle w:val="ARfintablebodybold"/>
            </w:pPr>
            <w:r w:rsidRPr="002029AF">
              <w:t>Reconciliation</w:t>
            </w:r>
            <w:r w:rsidR="000A5329" w:rsidRPr="002029AF">
              <w:t xml:space="preserve"> </w:t>
            </w:r>
            <w:r w:rsidRPr="002029AF">
              <w:t>of</w:t>
            </w:r>
            <w:r w:rsidR="000A5329" w:rsidRPr="002029AF">
              <w:t xml:space="preserve"> </w:t>
            </w:r>
            <w:r w:rsidRPr="002029AF">
              <w:t>the</w:t>
            </w:r>
            <w:r w:rsidR="000A5329" w:rsidRPr="002029AF">
              <w:t xml:space="preserve"> </w:t>
            </w:r>
            <w:r w:rsidRPr="002029AF">
              <w:t>superannuation</w:t>
            </w:r>
            <w:r w:rsidR="000A5329" w:rsidRPr="002029AF">
              <w:t xml:space="preserve"> </w:t>
            </w:r>
            <w:r w:rsidRPr="002029AF">
              <w:t>liability</w:t>
            </w:r>
            <w:r w:rsidR="000A5329" w:rsidRPr="002029AF">
              <w:t xml:space="preserve"> </w:t>
            </w:r>
            <w:r w:rsidRPr="002029AF">
              <w:t>in</w:t>
            </w:r>
            <w:r w:rsidR="000A5329" w:rsidRPr="002029AF">
              <w:t xml:space="preserve"> </w:t>
            </w:r>
            <w:r w:rsidRPr="002029AF">
              <w:t>the</w:t>
            </w:r>
            <w:r w:rsidR="000A5329" w:rsidRPr="002029AF">
              <w:t xml:space="preserve"> </w:t>
            </w:r>
            <w:r w:rsidRPr="002029AF">
              <w:t>balance</w:t>
            </w:r>
            <w:r w:rsidR="000A5329" w:rsidRPr="002029AF">
              <w:t xml:space="preserve"> </w:t>
            </w:r>
            <w:r w:rsidRPr="002029AF">
              <w:t>sheet</w:t>
            </w:r>
          </w:p>
        </w:tc>
      </w:tr>
      <w:tr w:rsidR="00087B91" w:rsidRPr="002029AF" w14:paraId="78E1FC86" w14:textId="77777777" w:rsidTr="00860E95">
        <w:tc>
          <w:tcPr>
            <w:tcW w:w="7371" w:type="dxa"/>
            <w:tcBorders>
              <w:top w:val="single" w:sz="4" w:space="0" w:color="A6A6A6"/>
            </w:tcBorders>
            <w:hideMark/>
          </w:tcPr>
          <w:p w14:paraId="0963A02C" w14:textId="4E22BAE2" w:rsidR="00087B91" w:rsidRPr="002029AF" w:rsidRDefault="00087B91" w:rsidP="00860E95">
            <w:pPr>
              <w:pStyle w:val="ARfintablebody"/>
            </w:pPr>
            <w:r w:rsidRPr="002029AF">
              <w:t>Defined</w:t>
            </w:r>
            <w:r w:rsidR="000A5329" w:rsidRPr="002029AF">
              <w:t xml:space="preserve"> </w:t>
            </w:r>
            <w:r w:rsidRPr="002029AF">
              <w:t>benefit</w:t>
            </w:r>
            <w:r w:rsidR="000A5329" w:rsidRPr="002029AF">
              <w:t xml:space="preserve"> </w:t>
            </w:r>
            <w:r w:rsidRPr="002029AF">
              <w:t>obligation</w:t>
            </w:r>
          </w:p>
        </w:tc>
        <w:tc>
          <w:tcPr>
            <w:tcW w:w="1133" w:type="dxa"/>
            <w:tcBorders>
              <w:top w:val="single" w:sz="4" w:space="0" w:color="A6A6A6"/>
            </w:tcBorders>
            <w:shd w:val="clear" w:color="auto" w:fill="E7E6E6"/>
            <w:noWrap/>
            <w:hideMark/>
          </w:tcPr>
          <w:p w14:paraId="4E04750D" w14:textId="77777777" w:rsidR="00087B91" w:rsidRPr="002029AF" w:rsidRDefault="00087B91" w:rsidP="00860E95">
            <w:pPr>
              <w:pStyle w:val="ARfintablebodyright"/>
            </w:pPr>
            <w:r w:rsidRPr="002029AF">
              <w:t>32.2</w:t>
            </w:r>
          </w:p>
        </w:tc>
        <w:tc>
          <w:tcPr>
            <w:tcW w:w="1133" w:type="dxa"/>
            <w:tcBorders>
              <w:top w:val="single" w:sz="4" w:space="0" w:color="A6A6A6"/>
            </w:tcBorders>
            <w:noWrap/>
            <w:hideMark/>
          </w:tcPr>
          <w:p w14:paraId="1C0B4EFD" w14:textId="77777777" w:rsidR="00087B91" w:rsidRPr="002029AF" w:rsidRDefault="00087B91" w:rsidP="00860E95">
            <w:pPr>
              <w:pStyle w:val="ARfintablebodyright"/>
            </w:pPr>
            <w:r w:rsidRPr="002029AF">
              <w:t>34.7</w:t>
            </w:r>
          </w:p>
        </w:tc>
      </w:tr>
      <w:tr w:rsidR="00087B91" w:rsidRPr="002029AF" w14:paraId="483F7A8A" w14:textId="77777777" w:rsidTr="00860E95">
        <w:tc>
          <w:tcPr>
            <w:tcW w:w="7371" w:type="dxa"/>
            <w:hideMark/>
          </w:tcPr>
          <w:p w14:paraId="10A19EDD" w14:textId="2E8481BB" w:rsidR="00087B91" w:rsidRPr="002029AF" w:rsidRDefault="00087B91" w:rsidP="00860E95">
            <w:pPr>
              <w:pStyle w:val="ARfintablebodybold"/>
            </w:pPr>
            <w:r w:rsidRPr="002029AF">
              <w:t>Net</w:t>
            </w:r>
            <w:r w:rsidR="000A5329" w:rsidRPr="002029AF">
              <w:t xml:space="preserve"> </w:t>
            </w:r>
            <w:r w:rsidRPr="002029AF">
              <w:t>liability/(asset)</w:t>
            </w:r>
          </w:p>
        </w:tc>
        <w:tc>
          <w:tcPr>
            <w:tcW w:w="1133" w:type="dxa"/>
            <w:shd w:val="clear" w:color="auto" w:fill="E7E6E6"/>
            <w:noWrap/>
            <w:hideMark/>
          </w:tcPr>
          <w:p w14:paraId="23583344" w14:textId="77777777" w:rsidR="00087B91" w:rsidRPr="002029AF" w:rsidRDefault="00087B91" w:rsidP="00860E95">
            <w:pPr>
              <w:pStyle w:val="ARfintablebodyrightbold"/>
            </w:pPr>
            <w:r w:rsidRPr="002029AF">
              <w:t>32.2</w:t>
            </w:r>
          </w:p>
        </w:tc>
        <w:tc>
          <w:tcPr>
            <w:tcW w:w="1133" w:type="dxa"/>
            <w:noWrap/>
            <w:hideMark/>
          </w:tcPr>
          <w:p w14:paraId="09B38D46" w14:textId="77777777" w:rsidR="00087B91" w:rsidRPr="002029AF" w:rsidRDefault="00087B91" w:rsidP="00860E95">
            <w:pPr>
              <w:pStyle w:val="ARfintablebodyrightbold"/>
            </w:pPr>
            <w:r w:rsidRPr="002029AF">
              <w:t>34.7</w:t>
            </w:r>
          </w:p>
        </w:tc>
      </w:tr>
      <w:tr w:rsidR="00087B91" w:rsidRPr="002029AF" w14:paraId="5030E105" w14:textId="77777777" w:rsidTr="00860E95">
        <w:tc>
          <w:tcPr>
            <w:tcW w:w="7371" w:type="dxa"/>
            <w:tcBorders>
              <w:bottom w:val="single" w:sz="4" w:space="0" w:color="auto"/>
            </w:tcBorders>
            <w:hideMark/>
          </w:tcPr>
          <w:p w14:paraId="464CDE3E" w14:textId="5B1B0462" w:rsidR="00087B91" w:rsidRPr="002029AF" w:rsidRDefault="00087B91" w:rsidP="00860E95">
            <w:pPr>
              <w:pStyle w:val="ARfintablebodybold"/>
            </w:pPr>
            <w:r w:rsidRPr="002029AF">
              <w:t>Total</w:t>
            </w:r>
            <w:r w:rsidR="000A5329" w:rsidRPr="002029AF">
              <w:t xml:space="preserve"> </w:t>
            </w:r>
            <w:r w:rsidRPr="002029AF">
              <w:t>obligation</w:t>
            </w:r>
            <w:r w:rsidR="000A5329" w:rsidRPr="002029AF">
              <w:t xml:space="preserve"> </w:t>
            </w:r>
            <w:r w:rsidRPr="002029AF">
              <w:t>and</w:t>
            </w:r>
            <w:r w:rsidR="000A5329" w:rsidRPr="002029AF">
              <w:t xml:space="preserve"> </w:t>
            </w:r>
            <w:r w:rsidRPr="002029AF">
              <w:t>liability</w:t>
            </w:r>
            <w:r w:rsidR="000A5329" w:rsidRPr="002029AF">
              <w:t xml:space="preserve"> </w:t>
            </w:r>
            <w:r w:rsidRPr="002029AF">
              <w:t>in</w:t>
            </w:r>
            <w:r w:rsidR="000A5329" w:rsidRPr="002029AF">
              <w:t xml:space="preserve"> </w:t>
            </w:r>
            <w:r w:rsidRPr="002029AF">
              <w:t>the</w:t>
            </w:r>
            <w:r w:rsidR="000A5329" w:rsidRPr="002029AF">
              <w:t xml:space="preserve"> </w:t>
            </w:r>
            <w:r w:rsidRPr="002029AF">
              <w:t>balance</w:t>
            </w:r>
            <w:r w:rsidR="000A5329" w:rsidRPr="002029AF">
              <w:t xml:space="preserve"> </w:t>
            </w:r>
            <w:r w:rsidRPr="002029AF">
              <w:t>sheet</w:t>
            </w:r>
          </w:p>
        </w:tc>
        <w:tc>
          <w:tcPr>
            <w:tcW w:w="1133" w:type="dxa"/>
            <w:tcBorders>
              <w:bottom w:val="single" w:sz="4" w:space="0" w:color="auto"/>
            </w:tcBorders>
            <w:shd w:val="clear" w:color="auto" w:fill="E7E6E6"/>
            <w:noWrap/>
            <w:hideMark/>
          </w:tcPr>
          <w:p w14:paraId="0DF6CFC3" w14:textId="77777777" w:rsidR="00087B91" w:rsidRPr="002029AF" w:rsidRDefault="00087B91" w:rsidP="00860E95">
            <w:pPr>
              <w:pStyle w:val="ARfintablebodyrightbold"/>
            </w:pPr>
            <w:r w:rsidRPr="002029AF">
              <w:t>32.2</w:t>
            </w:r>
          </w:p>
        </w:tc>
        <w:tc>
          <w:tcPr>
            <w:tcW w:w="1133" w:type="dxa"/>
            <w:tcBorders>
              <w:bottom w:val="single" w:sz="4" w:space="0" w:color="auto"/>
            </w:tcBorders>
            <w:noWrap/>
            <w:hideMark/>
          </w:tcPr>
          <w:p w14:paraId="508D1A25" w14:textId="77777777" w:rsidR="00087B91" w:rsidRPr="002029AF" w:rsidRDefault="00087B91" w:rsidP="00860E95">
            <w:pPr>
              <w:pStyle w:val="ARfintablebodyrightbold"/>
            </w:pPr>
            <w:r w:rsidRPr="002029AF">
              <w:t>34.7</w:t>
            </w:r>
          </w:p>
        </w:tc>
      </w:tr>
      <w:tr w:rsidR="00087B91" w:rsidRPr="002029AF" w14:paraId="61978231" w14:textId="77777777" w:rsidTr="00860E95">
        <w:tc>
          <w:tcPr>
            <w:tcW w:w="9637" w:type="dxa"/>
            <w:gridSpan w:val="3"/>
            <w:tcBorders>
              <w:top w:val="single" w:sz="4" w:space="0" w:color="auto"/>
              <w:bottom w:val="single" w:sz="4" w:space="0" w:color="A6A6A6"/>
            </w:tcBorders>
            <w:hideMark/>
          </w:tcPr>
          <w:p w14:paraId="7E356603" w14:textId="00960A1D" w:rsidR="00087B91" w:rsidRPr="002029AF" w:rsidRDefault="00087B91" w:rsidP="00860E95">
            <w:pPr>
              <w:pStyle w:val="ARfintablebodybold"/>
            </w:pPr>
            <w:r w:rsidRPr="002029AF">
              <w:t>Represented</w:t>
            </w:r>
            <w:r w:rsidR="000A5329" w:rsidRPr="002029AF">
              <w:t xml:space="preserve"> </w:t>
            </w:r>
            <w:r w:rsidRPr="002029AF">
              <w:t>by:</w:t>
            </w:r>
          </w:p>
        </w:tc>
      </w:tr>
      <w:tr w:rsidR="00087B91" w:rsidRPr="002029AF" w14:paraId="6BC0728F" w14:textId="77777777" w:rsidTr="00860E95">
        <w:tc>
          <w:tcPr>
            <w:tcW w:w="7371" w:type="dxa"/>
            <w:tcBorders>
              <w:top w:val="single" w:sz="4" w:space="0" w:color="A6A6A6"/>
              <w:bottom w:val="single" w:sz="4" w:space="0" w:color="A6A6A6"/>
            </w:tcBorders>
            <w:hideMark/>
          </w:tcPr>
          <w:p w14:paraId="0C6A6A72" w14:textId="2AFF8634" w:rsidR="00087B91" w:rsidRPr="002029AF" w:rsidRDefault="00087B91" w:rsidP="00860E95">
            <w:pPr>
              <w:pStyle w:val="ARfintablebody"/>
            </w:pPr>
            <w:r w:rsidRPr="002029AF">
              <w:t>Current</w:t>
            </w:r>
            <w:r w:rsidR="000A5329" w:rsidRPr="002029AF">
              <w:t xml:space="preserve"> </w:t>
            </w:r>
            <w:r w:rsidRPr="002029AF">
              <w:t>liability</w:t>
            </w:r>
          </w:p>
        </w:tc>
        <w:tc>
          <w:tcPr>
            <w:tcW w:w="1133" w:type="dxa"/>
            <w:tcBorders>
              <w:top w:val="single" w:sz="4" w:space="0" w:color="A6A6A6"/>
              <w:bottom w:val="single" w:sz="4" w:space="0" w:color="A6A6A6"/>
            </w:tcBorders>
            <w:shd w:val="clear" w:color="auto" w:fill="E7E6E6"/>
            <w:noWrap/>
            <w:hideMark/>
          </w:tcPr>
          <w:p w14:paraId="69824651" w14:textId="77777777" w:rsidR="00087B91" w:rsidRPr="002029AF" w:rsidRDefault="00087B91" w:rsidP="00860E95">
            <w:pPr>
              <w:pStyle w:val="ARfintablebodyright"/>
            </w:pPr>
            <w:r w:rsidRPr="002029AF">
              <w:t>2.6</w:t>
            </w:r>
          </w:p>
        </w:tc>
        <w:tc>
          <w:tcPr>
            <w:tcW w:w="1133" w:type="dxa"/>
            <w:tcBorders>
              <w:top w:val="single" w:sz="4" w:space="0" w:color="A6A6A6"/>
              <w:bottom w:val="single" w:sz="4" w:space="0" w:color="A6A6A6"/>
            </w:tcBorders>
            <w:noWrap/>
            <w:hideMark/>
          </w:tcPr>
          <w:p w14:paraId="45D08664" w14:textId="77777777" w:rsidR="00087B91" w:rsidRPr="002029AF" w:rsidRDefault="00087B91" w:rsidP="00860E95">
            <w:pPr>
              <w:pStyle w:val="ARfintablebodyright"/>
            </w:pPr>
            <w:r w:rsidRPr="002029AF">
              <w:t>2.7</w:t>
            </w:r>
          </w:p>
        </w:tc>
      </w:tr>
      <w:tr w:rsidR="00087B91" w:rsidRPr="002029AF" w14:paraId="092E38FC" w14:textId="77777777" w:rsidTr="00860E95">
        <w:tc>
          <w:tcPr>
            <w:tcW w:w="7371" w:type="dxa"/>
            <w:tcBorders>
              <w:top w:val="single" w:sz="4" w:space="0" w:color="A6A6A6"/>
            </w:tcBorders>
            <w:hideMark/>
          </w:tcPr>
          <w:p w14:paraId="50F7B5AF" w14:textId="6001060C" w:rsidR="00087B91" w:rsidRPr="002029AF" w:rsidRDefault="00087B91" w:rsidP="00860E95">
            <w:pPr>
              <w:pStyle w:val="ARfintablebody"/>
            </w:pPr>
            <w:r w:rsidRPr="002029AF">
              <w:t>Non-current</w:t>
            </w:r>
            <w:r w:rsidR="000A5329" w:rsidRPr="002029AF">
              <w:t xml:space="preserve"> </w:t>
            </w:r>
            <w:r w:rsidRPr="002029AF">
              <w:t>liability</w:t>
            </w:r>
          </w:p>
        </w:tc>
        <w:tc>
          <w:tcPr>
            <w:tcW w:w="1133" w:type="dxa"/>
            <w:tcBorders>
              <w:top w:val="single" w:sz="4" w:space="0" w:color="A6A6A6"/>
            </w:tcBorders>
            <w:shd w:val="clear" w:color="auto" w:fill="E7E6E6"/>
            <w:noWrap/>
            <w:hideMark/>
          </w:tcPr>
          <w:p w14:paraId="4A01DD68" w14:textId="77777777" w:rsidR="00087B91" w:rsidRPr="002029AF" w:rsidRDefault="00087B91" w:rsidP="00860E95">
            <w:pPr>
              <w:pStyle w:val="ARfintablebodyright"/>
            </w:pPr>
            <w:r w:rsidRPr="002029AF">
              <w:t>29.6</w:t>
            </w:r>
          </w:p>
        </w:tc>
        <w:tc>
          <w:tcPr>
            <w:tcW w:w="1133" w:type="dxa"/>
            <w:tcBorders>
              <w:top w:val="single" w:sz="4" w:space="0" w:color="A6A6A6"/>
            </w:tcBorders>
            <w:noWrap/>
            <w:hideMark/>
          </w:tcPr>
          <w:p w14:paraId="4497A8A9" w14:textId="77777777" w:rsidR="00087B91" w:rsidRPr="002029AF" w:rsidRDefault="00087B91" w:rsidP="00860E95">
            <w:pPr>
              <w:pStyle w:val="ARfintablebodyright"/>
            </w:pPr>
            <w:r w:rsidRPr="002029AF">
              <w:t>32.0</w:t>
            </w:r>
          </w:p>
        </w:tc>
      </w:tr>
      <w:tr w:rsidR="00087B91" w:rsidRPr="002029AF" w14:paraId="6762F921" w14:textId="77777777" w:rsidTr="00860E95">
        <w:tc>
          <w:tcPr>
            <w:tcW w:w="7371" w:type="dxa"/>
            <w:tcBorders>
              <w:bottom w:val="single" w:sz="4" w:space="0" w:color="auto"/>
            </w:tcBorders>
            <w:hideMark/>
          </w:tcPr>
          <w:p w14:paraId="4D4CCA00" w14:textId="388CE6FE" w:rsidR="00087B91" w:rsidRPr="002029AF" w:rsidRDefault="00087B91" w:rsidP="00860E95">
            <w:pPr>
              <w:pStyle w:val="ARfintablebodybold"/>
            </w:pPr>
            <w:r w:rsidRPr="002029AF">
              <w:t>Total</w:t>
            </w:r>
            <w:r w:rsidR="000A5329" w:rsidRPr="002029AF">
              <w:t xml:space="preserve"> </w:t>
            </w:r>
            <w:r w:rsidRPr="002029AF">
              <w:t>liability</w:t>
            </w:r>
          </w:p>
        </w:tc>
        <w:tc>
          <w:tcPr>
            <w:tcW w:w="1133" w:type="dxa"/>
            <w:tcBorders>
              <w:bottom w:val="single" w:sz="4" w:space="0" w:color="auto"/>
            </w:tcBorders>
            <w:shd w:val="clear" w:color="auto" w:fill="E7E6E6"/>
            <w:noWrap/>
            <w:hideMark/>
          </w:tcPr>
          <w:p w14:paraId="15EE5385" w14:textId="77777777" w:rsidR="00087B91" w:rsidRPr="002029AF" w:rsidRDefault="00087B91" w:rsidP="00860E95">
            <w:pPr>
              <w:pStyle w:val="ARfintablebodyrightbold"/>
            </w:pPr>
            <w:r w:rsidRPr="002029AF">
              <w:t>32.2</w:t>
            </w:r>
          </w:p>
        </w:tc>
        <w:tc>
          <w:tcPr>
            <w:tcW w:w="1133" w:type="dxa"/>
            <w:tcBorders>
              <w:bottom w:val="single" w:sz="4" w:space="0" w:color="auto"/>
            </w:tcBorders>
            <w:noWrap/>
            <w:hideMark/>
          </w:tcPr>
          <w:p w14:paraId="7306CFE8" w14:textId="77777777" w:rsidR="00087B91" w:rsidRPr="002029AF" w:rsidRDefault="00087B91" w:rsidP="00860E95">
            <w:pPr>
              <w:pStyle w:val="ARfintablebodyrightbold"/>
            </w:pPr>
            <w:r w:rsidRPr="002029AF">
              <w:t>34.7</w:t>
            </w:r>
          </w:p>
        </w:tc>
      </w:tr>
      <w:tr w:rsidR="00087B91" w:rsidRPr="002029AF" w14:paraId="1ED362B3" w14:textId="77777777" w:rsidTr="00860E95">
        <w:tc>
          <w:tcPr>
            <w:tcW w:w="9637" w:type="dxa"/>
            <w:gridSpan w:val="3"/>
            <w:tcBorders>
              <w:top w:val="single" w:sz="4" w:space="0" w:color="auto"/>
              <w:bottom w:val="single" w:sz="4" w:space="0" w:color="A6A6A6"/>
            </w:tcBorders>
            <w:hideMark/>
          </w:tcPr>
          <w:p w14:paraId="5AFC5EF2" w14:textId="5315D7BE" w:rsidR="00087B91" w:rsidRPr="002029AF" w:rsidRDefault="00087B91" w:rsidP="00860E95">
            <w:pPr>
              <w:pStyle w:val="ARfintablebodybold"/>
            </w:pPr>
            <w:r w:rsidRPr="002029AF">
              <w:t>Principal</w:t>
            </w:r>
            <w:r w:rsidR="000A5329" w:rsidRPr="002029AF">
              <w:t xml:space="preserve"> </w:t>
            </w:r>
            <w:r w:rsidRPr="002029AF">
              <w:t>actuarial</w:t>
            </w:r>
            <w:r w:rsidR="000A5329" w:rsidRPr="002029AF">
              <w:t xml:space="preserve"> </w:t>
            </w:r>
            <w:r w:rsidRPr="002029AF">
              <w:t>assumptions</w:t>
            </w:r>
          </w:p>
        </w:tc>
      </w:tr>
      <w:tr w:rsidR="00087B91" w:rsidRPr="002029AF" w14:paraId="6D2CB9A8" w14:textId="77777777" w:rsidTr="00860E95">
        <w:tc>
          <w:tcPr>
            <w:tcW w:w="7371" w:type="dxa"/>
            <w:tcBorders>
              <w:top w:val="single" w:sz="4" w:space="0" w:color="A6A6A6"/>
              <w:bottom w:val="single" w:sz="4" w:space="0" w:color="A6A6A6"/>
            </w:tcBorders>
            <w:hideMark/>
          </w:tcPr>
          <w:p w14:paraId="2E7E3F60" w14:textId="6117FF20" w:rsidR="00087B91" w:rsidRPr="002029AF" w:rsidRDefault="00087B91" w:rsidP="00860E95">
            <w:pPr>
              <w:pStyle w:val="ARfintablebody"/>
            </w:pPr>
            <w:r w:rsidRPr="002029AF">
              <w:t>Discount</w:t>
            </w:r>
            <w:r w:rsidR="000A5329" w:rsidRPr="002029AF">
              <w:t xml:space="preserve"> </w:t>
            </w:r>
            <w:r w:rsidRPr="002029AF">
              <w:t>rate</w:t>
            </w:r>
          </w:p>
        </w:tc>
        <w:tc>
          <w:tcPr>
            <w:tcW w:w="1133" w:type="dxa"/>
            <w:tcBorders>
              <w:top w:val="single" w:sz="4" w:space="0" w:color="A6A6A6"/>
              <w:bottom w:val="single" w:sz="4" w:space="0" w:color="A6A6A6"/>
            </w:tcBorders>
            <w:shd w:val="clear" w:color="auto" w:fill="E7E6E6"/>
            <w:noWrap/>
            <w:hideMark/>
          </w:tcPr>
          <w:p w14:paraId="3C521141" w14:textId="77777777" w:rsidR="00087B91" w:rsidRPr="002029AF" w:rsidRDefault="00087B91" w:rsidP="00860E95">
            <w:pPr>
              <w:pStyle w:val="ARfintablebodyright"/>
            </w:pPr>
            <w:r w:rsidRPr="002029AF">
              <w:t>1.0%</w:t>
            </w:r>
          </w:p>
        </w:tc>
        <w:tc>
          <w:tcPr>
            <w:tcW w:w="1133" w:type="dxa"/>
            <w:tcBorders>
              <w:top w:val="single" w:sz="4" w:space="0" w:color="A6A6A6"/>
              <w:bottom w:val="single" w:sz="4" w:space="0" w:color="A6A6A6"/>
            </w:tcBorders>
            <w:noWrap/>
            <w:hideMark/>
          </w:tcPr>
          <w:p w14:paraId="336CBA1D" w14:textId="77777777" w:rsidR="00087B91" w:rsidRPr="002029AF" w:rsidRDefault="00087B91" w:rsidP="00860E95">
            <w:pPr>
              <w:pStyle w:val="ARfintablebodyright"/>
            </w:pPr>
            <w:r w:rsidRPr="002029AF">
              <w:t>1.6%</w:t>
            </w:r>
          </w:p>
        </w:tc>
      </w:tr>
      <w:tr w:rsidR="00087B91" w:rsidRPr="002029AF" w14:paraId="3B515D33" w14:textId="77777777" w:rsidTr="00860E95">
        <w:tc>
          <w:tcPr>
            <w:tcW w:w="7371" w:type="dxa"/>
            <w:tcBorders>
              <w:top w:val="single" w:sz="4" w:space="0" w:color="A6A6A6"/>
              <w:bottom w:val="single" w:sz="4" w:space="0" w:color="A6A6A6"/>
            </w:tcBorders>
            <w:hideMark/>
          </w:tcPr>
          <w:p w14:paraId="67DB5B0A" w14:textId="07A18620" w:rsidR="00087B91" w:rsidRPr="002029AF" w:rsidRDefault="00087B91" w:rsidP="00860E95">
            <w:pPr>
              <w:pStyle w:val="ARfintablebody"/>
            </w:pPr>
            <w:r w:rsidRPr="002029AF">
              <w:t>Expected</w:t>
            </w:r>
            <w:r w:rsidR="000A5329" w:rsidRPr="002029AF">
              <w:t xml:space="preserve"> </w:t>
            </w:r>
            <w:r w:rsidRPr="002029AF">
              <w:t>return</w:t>
            </w:r>
            <w:r w:rsidR="000A5329" w:rsidRPr="002029AF">
              <w:t xml:space="preserve"> </w:t>
            </w:r>
            <w:r w:rsidRPr="002029AF">
              <w:t>on</w:t>
            </w:r>
            <w:r w:rsidR="000A5329" w:rsidRPr="002029AF">
              <w:t xml:space="preserve"> </w:t>
            </w:r>
            <w:r w:rsidRPr="002029AF">
              <w:t>plan</w:t>
            </w:r>
            <w:r w:rsidR="000A5329" w:rsidRPr="002029AF">
              <w:t xml:space="preserve"> </w:t>
            </w:r>
            <w:r w:rsidRPr="002029AF">
              <w:t>assets</w:t>
            </w:r>
          </w:p>
        </w:tc>
        <w:tc>
          <w:tcPr>
            <w:tcW w:w="1133" w:type="dxa"/>
            <w:tcBorders>
              <w:top w:val="single" w:sz="4" w:space="0" w:color="A6A6A6"/>
              <w:bottom w:val="single" w:sz="4" w:space="0" w:color="A6A6A6"/>
            </w:tcBorders>
            <w:shd w:val="clear" w:color="auto" w:fill="E7E6E6"/>
            <w:noWrap/>
            <w:hideMark/>
          </w:tcPr>
          <w:p w14:paraId="654075F5" w14:textId="77777777" w:rsidR="00087B91" w:rsidRPr="002029AF" w:rsidRDefault="00087B91" w:rsidP="00860E95">
            <w:pPr>
              <w:pStyle w:val="ARfintablebodyright"/>
            </w:pPr>
            <w:r w:rsidRPr="002029AF">
              <w:t>6.8%</w:t>
            </w:r>
          </w:p>
        </w:tc>
        <w:tc>
          <w:tcPr>
            <w:tcW w:w="1133" w:type="dxa"/>
            <w:tcBorders>
              <w:top w:val="single" w:sz="4" w:space="0" w:color="A6A6A6"/>
              <w:bottom w:val="single" w:sz="4" w:space="0" w:color="A6A6A6"/>
            </w:tcBorders>
            <w:noWrap/>
            <w:hideMark/>
          </w:tcPr>
          <w:p w14:paraId="74FA2459" w14:textId="77777777" w:rsidR="00087B91" w:rsidRPr="002029AF" w:rsidRDefault="00087B91" w:rsidP="00860E95">
            <w:pPr>
              <w:pStyle w:val="ARfintablebodyright"/>
            </w:pPr>
            <w:r w:rsidRPr="002029AF">
              <w:t>6.8%</w:t>
            </w:r>
          </w:p>
        </w:tc>
      </w:tr>
      <w:tr w:rsidR="00087B91" w:rsidRPr="002029AF" w14:paraId="24BFF812" w14:textId="77777777" w:rsidTr="00860E95">
        <w:tc>
          <w:tcPr>
            <w:tcW w:w="7371" w:type="dxa"/>
            <w:tcBorders>
              <w:top w:val="single" w:sz="4" w:space="0" w:color="A6A6A6"/>
              <w:bottom w:val="single" w:sz="4" w:space="0" w:color="A6A6A6"/>
            </w:tcBorders>
            <w:hideMark/>
          </w:tcPr>
          <w:p w14:paraId="3B713289" w14:textId="57FA668B" w:rsidR="00087B91" w:rsidRPr="002029AF" w:rsidRDefault="00087B91" w:rsidP="00860E95">
            <w:pPr>
              <w:pStyle w:val="ARfintablebody"/>
            </w:pPr>
            <w:r w:rsidRPr="002029AF">
              <w:t>Expected</w:t>
            </w:r>
            <w:r w:rsidR="000A5329" w:rsidRPr="002029AF">
              <w:t xml:space="preserve"> </w:t>
            </w:r>
            <w:r w:rsidRPr="002029AF">
              <w:t>rate</w:t>
            </w:r>
            <w:r w:rsidR="000A5329" w:rsidRPr="002029AF">
              <w:t xml:space="preserve"> </w:t>
            </w:r>
            <w:r w:rsidRPr="002029AF">
              <w:t>of</w:t>
            </w:r>
            <w:r w:rsidR="000A5329" w:rsidRPr="002029AF">
              <w:t xml:space="preserve"> </w:t>
            </w:r>
            <w:r w:rsidRPr="002029AF">
              <w:t>salary</w:t>
            </w:r>
            <w:r w:rsidR="000A5329" w:rsidRPr="002029AF">
              <w:t xml:space="preserve"> </w:t>
            </w:r>
            <w:r w:rsidRPr="002029AF">
              <w:t>increase</w:t>
            </w:r>
          </w:p>
        </w:tc>
        <w:tc>
          <w:tcPr>
            <w:tcW w:w="1133" w:type="dxa"/>
            <w:tcBorders>
              <w:top w:val="single" w:sz="4" w:space="0" w:color="A6A6A6"/>
              <w:bottom w:val="single" w:sz="4" w:space="0" w:color="A6A6A6"/>
            </w:tcBorders>
            <w:shd w:val="clear" w:color="auto" w:fill="E7E6E6"/>
            <w:noWrap/>
            <w:hideMark/>
          </w:tcPr>
          <w:p w14:paraId="00AC96C7" w14:textId="77777777" w:rsidR="00087B91" w:rsidRPr="002029AF" w:rsidRDefault="00087B91" w:rsidP="00860E95">
            <w:pPr>
              <w:pStyle w:val="ARfintablebodyright"/>
            </w:pPr>
            <w:r w:rsidRPr="002029AF">
              <w:t>2.3%</w:t>
            </w:r>
          </w:p>
        </w:tc>
        <w:tc>
          <w:tcPr>
            <w:tcW w:w="1133" w:type="dxa"/>
            <w:tcBorders>
              <w:top w:val="single" w:sz="4" w:space="0" w:color="A6A6A6"/>
              <w:bottom w:val="single" w:sz="4" w:space="0" w:color="A6A6A6"/>
            </w:tcBorders>
            <w:noWrap/>
            <w:hideMark/>
          </w:tcPr>
          <w:p w14:paraId="7820FE12" w14:textId="77777777" w:rsidR="00087B91" w:rsidRPr="002029AF" w:rsidRDefault="00087B91" w:rsidP="00860E95">
            <w:pPr>
              <w:pStyle w:val="ARfintablebodyright"/>
            </w:pPr>
            <w:r w:rsidRPr="002029AF">
              <w:t>2.9%</w:t>
            </w:r>
          </w:p>
        </w:tc>
      </w:tr>
      <w:tr w:rsidR="00087B91" w:rsidRPr="002029AF" w14:paraId="65294076" w14:textId="77777777" w:rsidTr="00860E95">
        <w:tc>
          <w:tcPr>
            <w:tcW w:w="7371" w:type="dxa"/>
            <w:tcBorders>
              <w:top w:val="single" w:sz="4" w:space="0" w:color="A6A6A6"/>
            </w:tcBorders>
            <w:hideMark/>
          </w:tcPr>
          <w:p w14:paraId="739C8F65" w14:textId="77777777" w:rsidR="00087B91" w:rsidRPr="002029AF" w:rsidRDefault="00087B91" w:rsidP="00860E95">
            <w:pPr>
              <w:pStyle w:val="ARfintablebody"/>
            </w:pPr>
            <w:r w:rsidRPr="002029AF">
              <w:t>Inflation</w:t>
            </w:r>
          </w:p>
        </w:tc>
        <w:tc>
          <w:tcPr>
            <w:tcW w:w="1133" w:type="dxa"/>
            <w:tcBorders>
              <w:top w:val="single" w:sz="4" w:space="0" w:color="A6A6A6"/>
            </w:tcBorders>
            <w:shd w:val="clear" w:color="auto" w:fill="E7E6E6"/>
            <w:noWrap/>
            <w:hideMark/>
          </w:tcPr>
          <w:p w14:paraId="5836131F" w14:textId="77777777" w:rsidR="00087B91" w:rsidRPr="002029AF" w:rsidRDefault="00087B91" w:rsidP="00860E95">
            <w:pPr>
              <w:pStyle w:val="ARfintablebodyright"/>
            </w:pPr>
            <w:r w:rsidRPr="002029AF">
              <w:t>0.8%</w:t>
            </w:r>
          </w:p>
        </w:tc>
        <w:tc>
          <w:tcPr>
            <w:tcW w:w="1133" w:type="dxa"/>
            <w:tcBorders>
              <w:top w:val="single" w:sz="4" w:space="0" w:color="A6A6A6"/>
            </w:tcBorders>
            <w:noWrap/>
            <w:hideMark/>
          </w:tcPr>
          <w:p w14:paraId="2D8868CD" w14:textId="77777777" w:rsidR="00087B91" w:rsidRPr="002029AF" w:rsidRDefault="00087B91" w:rsidP="00860E95">
            <w:pPr>
              <w:pStyle w:val="ARfintablebodyright"/>
            </w:pPr>
            <w:r w:rsidRPr="002029AF">
              <w:t>1.4%</w:t>
            </w:r>
          </w:p>
        </w:tc>
      </w:tr>
    </w:tbl>
    <w:p w14:paraId="7A9ACD59" w14:textId="56E98AD2" w:rsidR="00087B91" w:rsidRPr="002029AF" w:rsidRDefault="00087B91" w:rsidP="00087B91">
      <w:pPr>
        <w:pStyle w:val="ARfinbodyaftertable"/>
      </w:pPr>
      <w:r w:rsidRPr="002029AF">
        <w:t>The</w:t>
      </w:r>
      <w:r w:rsidR="000A5329" w:rsidRPr="002029AF">
        <w:t xml:space="preserve"> </w:t>
      </w:r>
      <w:r w:rsidRPr="002029AF">
        <w:t>expected</w:t>
      </w:r>
      <w:r w:rsidR="000A5329" w:rsidRPr="002029AF">
        <w:t xml:space="preserve"> </w:t>
      </w:r>
      <w:r w:rsidRPr="002029AF">
        <w:t>return</w:t>
      </w:r>
      <w:r w:rsidR="000A5329" w:rsidRPr="002029AF">
        <w:t xml:space="preserve"> </w:t>
      </w:r>
      <w:r w:rsidRPr="002029AF">
        <w:t>on</w:t>
      </w:r>
      <w:r w:rsidR="000A5329" w:rsidRPr="002029AF">
        <w:t xml:space="preserve"> </w:t>
      </w:r>
      <w:r w:rsidRPr="002029AF">
        <w:t>assets</w:t>
      </w:r>
      <w:r w:rsidR="000A5329" w:rsidRPr="002029AF">
        <w:t xml:space="preserve"> </w:t>
      </w:r>
      <w:r w:rsidRPr="002029AF">
        <w:t>assumption</w:t>
      </w:r>
      <w:r w:rsidR="000A5329" w:rsidRPr="002029AF">
        <w:t xml:space="preserve"> </w:t>
      </w:r>
      <w:r w:rsidRPr="002029AF">
        <w:t>is</w:t>
      </w:r>
      <w:r w:rsidR="000A5329" w:rsidRPr="002029AF">
        <w:t xml:space="preserve"> </w:t>
      </w:r>
      <w:r w:rsidRPr="002029AF">
        <w:t>determined</w:t>
      </w:r>
      <w:r w:rsidR="000A5329" w:rsidRPr="002029AF">
        <w:t xml:space="preserve"> </w:t>
      </w:r>
      <w:r w:rsidRPr="002029AF">
        <w:t>by</w:t>
      </w:r>
      <w:r w:rsidR="000A5329" w:rsidRPr="002029AF">
        <w:t xml:space="preserve"> </w:t>
      </w:r>
      <w:r w:rsidRPr="002029AF">
        <w:t>weighting</w:t>
      </w:r>
      <w:r w:rsidR="000A5329" w:rsidRPr="002029AF">
        <w:t xml:space="preserve"> </w:t>
      </w:r>
      <w:r w:rsidRPr="002029AF">
        <w:t>the</w:t>
      </w:r>
      <w:r w:rsidR="000A5329" w:rsidRPr="002029AF">
        <w:t xml:space="preserve"> </w:t>
      </w:r>
      <w:r w:rsidRPr="002029AF">
        <w:t>expected</w:t>
      </w:r>
      <w:r w:rsidR="000A5329" w:rsidRPr="002029AF">
        <w:t xml:space="preserve"> </w:t>
      </w:r>
      <w:r w:rsidRPr="002029AF">
        <w:t>long-term</w:t>
      </w:r>
      <w:r w:rsidR="000A5329" w:rsidRPr="002029AF">
        <w:t xml:space="preserve"> </w:t>
      </w:r>
      <w:r w:rsidRPr="002029AF">
        <w:t>return</w:t>
      </w:r>
      <w:r w:rsidR="000A5329" w:rsidRPr="002029AF">
        <w:t xml:space="preserve"> </w:t>
      </w:r>
      <w:r w:rsidRPr="002029AF">
        <w:t>for</w:t>
      </w:r>
      <w:r w:rsidR="000A5329" w:rsidRPr="002029AF">
        <w:t xml:space="preserve"> </w:t>
      </w:r>
      <w:r w:rsidRPr="002029AF">
        <w:t>each</w:t>
      </w:r>
      <w:r w:rsidR="000A5329" w:rsidRPr="002029AF">
        <w:t xml:space="preserve"> </w:t>
      </w:r>
      <w:r w:rsidRPr="002029AF">
        <w:t>asset</w:t>
      </w:r>
      <w:r w:rsidR="000A5329" w:rsidRPr="002029AF">
        <w:t xml:space="preserve"> </w:t>
      </w:r>
      <w:r w:rsidRPr="002029AF">
        <w:t>class</w:t>
      </w:r>
      <w:r w:rsidR="000A5329" w:rsidRPr="002029AF">
        <w:t xml:space="preserve"> </w:t>
      </w:r>
      <w:r w:rsidRPr="002029AF">
        <w:t>by</w:t>
      </w:r>
      <w:r w:rsidR="000A5329" w:rsidRPr="002029AF">
        <w:t xml:space="preserve"> </w:t>
      </w:r>
      <w:r w:rsidRPr="002029AF">
        <w:t>the</w:t>
      </w:r>
      <w:r w:rsidR="000A5329" w:rsidRPr="002029AF">
        <w:t xml:space="preserve"> </w:t>
      </w:r>
      <w:r w:rsidRPr="002029AF">
        <w:t>target</w:t>
      </w:r>
      <w:r w:rsidR="000A5329" w:rsidRPr="002029AF">
        <w:t xml:space="preserve"> </w:t>
      </w:r>
      <w:r w:rsidRPr="002029AF">
        <w:t>allocation</w:t>
      </w:r>
      <w:r w:rsidR="000A5329" w:rsidRPr="002029AF">
        <w:t xml:space="preserve"> </w:t>
      </w:r>
      <w:r w:rsidRPr="002029AF">
        <w:t>of</w:t>
      </w:r>
      <w:r w:rsidR="000A5329" w:rsidRPr="002029AF">
        <w:t xml:space="preserve"> </w:t>
      </w:r>
      <w:r w:rsidRPr="002029AF">
        <w:t>assets</w:t>
      </w:r>
      <w:r w:rsidR="000A5329" w:rsidRPr="002029AF">
        <w:t xml:space="preserve"> </w:t>
      </w:r>
      <w:r w:rsidRPr="002029AF">
        <w:t>to</w:t>
      </w:r>
      <w:r w:rsidR="000A5329" w:rsidRPr="002029AF">
        <w:t xml:space="preserve"> </w:t>
      </w:r>
      <w:r w:rsidRPr="002029AF">
        <w:t>each</w:t>
      </w:r>
      <w:r w:rsidR="000A5329" w:rsidRPr="002029AF">
        <w:t xml:space="preserve"> </w:t>
      </w:r>
      <w:r w:rsidRPr="002029AF">
        <w:t>asset</w:t>
      </w:r>
      <w:r w:rsidR="000A5329" w:rsidRPr="002029AF">
        <w:t xml:space="preserve"> </w:t>
      </w:r>
      <w:r w:rsidRPr="002029AF">
        <w:t>class</w:t>
      </w:r>
      <w:r w:rsidR="000A5329" w:rsidRPr="002029AF">
        <w:t xml:space="preserve"> </w:t>
      </w:r>
      <w:r w:rsidRPr="002029AF">
        <w:t>and</w:t>
      </w:r>
      <w:r w:rsidR="000A5329" w:rsidRPr="002029AF">
        <w:t xml:space="preserve"> </w:t>
      </w:r>
      <w:r w:rsidRPr="002029AF">
        <w:t>allowing</w:t>
      </w:r>
      <w:r w:rsidR="000A5329" w:rsidRPr="002029AF">
        <w:t xml:space="preserve"> </w:t>
      </w:r>
      <w:r w:rsidRPr="002029AF">
        <w:t>for</w:t>
      </w:r>
      <w:r w:rsidR="000A5329" w:rsidRPr="002029AF">
        <w:t xml:space="preserve"> </w:t>
      </w:r>
      <w:r w:rsidRPr="002029AF">
        <w:t>the</w:t>
      </w:r>
      <w:r w:rsidR="000A5329" w:rsidRPr="002029AF">
        <w:t xml:space="preserve"> </w:t>
      </w:r>
      <w:r w:rsidRPr="002029AF">
        <w:t>correlations</w:t>
      </w:r>
      <w:r w:rsidR="000A5329" w:rsidRPr="002029AF">
        <w:t xml:space="preserve"> </w:t>
      </w:r>
      <w:r w:rsidRPr="002029AF">
        <w:t>of</w:t>
      </w:r>
      <w:r w:rsidR="000A5329" w:rsidRPr="002029AF">
        <w:t xml:space="preserve"> </w:t>
      </w:r>
      <w:r w:rsidRPr="002029AF">
        <w:t>the</w:t>
      </w:r>
      <w:r w:rsidR="000A5329" w:rsidRPr="002029AF">
        <w:t xml:space="preserve"> </w:t>
      </w:r>
      <w:r w:rsidRPr="002029AF">
        <w:t>investment</w:t>
      </w:r>
      <w:r w:rsidR="000A5329" w:rsidRPr="002029AF">
        <w:t xml:space="preserve"> </w:t>
      </w:r>
      <w:r w:rsidRPr="002029AF">
        <w:t>returns</w:t>
      </w:r>
      <w:r w:rsidR="000A5329" w:rsidRPr="002029AF">
        <w:t xml:space="preserve"> </w:t>
      </w:r>
      <w:r w:rsidRPr="002029AF">
        <w:t>between</w:t>
      </w:r>
      <w:r w:rsidR="000A5329" w:rsidRPr="002029AF">
        <w:t xml:space="preserve"> </w:t>
      </w:r>
      <w:r w:rsidRPr="002029AF">
        <w:t>asset</w:t>
      </w:r>
      <w:r w:rsidR="000A5329" w:rsidRPr="002029AF">
        <w:t xml:space="preserve"> </w:t>
      </w:r>
      <w:r w:rsidRPr="002029AF">
        <w:t>classes.</w:t>
      </w:r>
      <w:r w:rsidR="000A5329" w:rsidRPr="002029AF">
        <w:t xml:space="preserve"> </w:t>
      </w:r>
      <w:r w:rsidRPr="002029AF">
        <w:t>The</w:t>
      </w:r>
      <w:r w:rsidR="000A5329" w:rsidRPr="002029AF">
        <w:t xml:space="preserve"> </w:t>
      </w:r>
      <w:r w:rsidRPr="002029AF">
        <w:t>returns</w:t>
      </w:r>
      <w:r w:rsidR="000A5329" w:rsidRPr="002029AF">
        <w:t xml:space="preserve"> </w:t>
      </w:r>
      <w:r w:rsidRPr="002029AF">
        <w:t>used</w:t>
      </w:r>
      <w:r w:rsidR="000A5329" w:rsidRPr="002029AF">
        <w:t xml:space="preserve"> </w:t>
      </w:r>
      <w:r w:rsidRPr="002029AF">
        <w:t>for</w:t>
      </w:r>
      <w:r w:rsidR="000A5329" w:rsidRPr="002029AF">
        <w:t xml:space="preserve"> </w:t>
      </w:r>
      <w:r w:rsidRPr="002029AF">
        <w:t>each</w:t>
      </w:r>
      <w:r w:rsidR="000A5329" w:rsidRPr="002029AF">
        <w:t xml:space="preserve"> </w:t>
      </w:r>
      <w:r w:rsidRPr="002029AF">
        <w:t>asset</w:t>
      </w:r>
      <w:r w:rsidR="000A5329" w:rsidRPr="002029AF">
        <w:t xml:space="preserve"> </w:t>
      </w:r>
      <w:r w:rsidRPr="002029AF">
        <w:t>class</w:t>
      </w:r>
      <w:r w:rsidR="000A5329" w:rsidRPr="002029AF">
        <w:t xml:space="preserve"> </w:t>
      </w:r>
      <w:r w:rsidRPr="002029AF">
        <w:t>are</w:t>
      </w:r>
      <w:r w:rsidR="000A5329" w:rsidRPr="002029AF">
        <w:t xml:space="preserve"> </w:t>
      </w:r>
      <w:r w:rsidRPr="002029AF">
        <w:t>net</w:t>
      </w:r>
      <w:r w:rsidR="000A5329" w:rsidRPr="002029AF">
        <w:t xml:space="preserve"> </w:t>
      </w:r>
      <w:r w:rsidRPr="002029AF">
        <w:t>of</w:t>
      </w:r>
      <w:r w:rsidR="000A5329" w:rsidRPr="002029AF">
        <w:t xml:space="preserve"> </w:t>
      </w:r>
      <w:r w:rsidRPr="002029AF">
        <w:t>investment</w:t>
      </w:r>
      <w:r w:rsidR="000A5329" w:rsidRPr="002029AF">
        <w:t xml:space="preserve"> </w:t>
      </w:r>
      <w:r w:rsidRPr="002029AF">
        <w:t>tax</w:t>
      </w:r>
      <w:r w:rsidR="000A5329" w:rsidRPr="002029AF">
        <w:t xml:space="preserve"> </w:t>
      </w:r>
      <w:r w:rsidRPr="002029AF">
        <w:t>(where</w:t>
      </w:r>
      <w:r w:rsidR="000A5329" w:rsidRPr="002029AF">
        <w:t xml:space="preserve"> </w:t>
      </w:r>
      <w:r w:rsidRPr="002029AF">
        <w:t>applicable)</w:t>
      </w:r>
      <w:r w:rsidR="000A5329" w:rsidRPr="002029AF">
        <w:t xml:space="preserve"> </w:t>
      </w:r>
      <w:r w:rsidRPr="002029AF">
        <w:t>and</w:t>
      </w:r>
      <w:r w:rsidR="000A5329" w:rsidRPr="002029AF">
        <w:t xml:space="preserve"> </w:t>
      </w:r>
      <w:r w:rsidRPr="002029AF">
        <w:t>investment</w:t>
      </w:r>
      <w:r w:rsidR="000A5329" w:rsidRPr="002029AF">
        <w:t xml:space="preserve"> </w:t>
      </w:r>
      <w:r w:rsidRPr="002029AF">
        <w:t>fees.</w:t>
      </w:r>
    </w:p>
    <w:p w14:paraId="1FC4D169" w14:textId="6E8F30CE" w:rsidR="00087B91" w:rsidRPr="002029AF" w:rsidRDefault="00087B91" w:rsidP="00087B91">
      <w:pPr>
        <w:pStyle w:val="Heading7"/>
        <w:rPr>
          <w:rFonts w:eastAsia="Times New Roman"/>
        </w:rPr>
      </w:pPr>
      <w:r w:rsidRPr="002029AF">
        <w:rPr>
          <w:rFonts w:eastAsia="Times New Roman"/>
        </w:rPr>
        <w:t>Reconciliation</w:t>
      </w:r>
      <w:r w:rsidR="000A5329" w:rsidRPr="002029AF">
        <w:rPr>
          <w:rFonts w:eastAsia="Times New Roman"/>
        </w:rPr>
        <w:t xml:space="preserve"> </w:t>
      </w:r>
      <w:r w:rsidRPr="002029AF">
        <w:rPr>
          <w:rFonts w:eastAsia="Times New Roman"/>
        </w:rPr>
        <w:t>of</w:t>
      </w:r>
      <w:r w:rsidR="000A5329" w:rsidRPr="002029AF">
        <w:rPr>
          <w:rFonts w:eastAsia="Times New Roman"/>
        </w:rPr>
        <w:t xml:space="preserve"> </w:t>
      </w:r>
      <w:r w:rsidRPr="002029AF">
        <w:rPr>
          <w:rFonts w:eastAsia="Times New Roman"/>
        </w:rPr>
        <w:t>opening</w:t>
      </w:r>
      <w:r w:rsidR="000A5329" w:rsidRPr="002029AF">
        <w:rPr>
          <w:rFonts w:eastAsia="Times New Roman"/>
        </w:rPr>
        <w:t xml:space="preserve"> </w:t>
      </w:r>
      <w:r w:rsidRPr="002029AF">
        <w:rPr>
          <w:rFonts w:eastAsia="Times New Roman"/>
        </w:rPr>
        <w:t>and</w:t>
      </w:r>
      <w:r w:rsidR="000A5329" w:rsidRPr="002029AF">
        <w:rPr>
          <w:rFonts w:eastAsia="Times New Roman"/>
        </w:rPr>
        <w:t xml:space="preserve"> </w:t>
      </w:r>
      <w:r w:rsidRPr="002029AF">
        <w:rPr>
          <w:rFonts w:eastAsia="Times New Roman"/>
        </w:rPr>
        <w:t>closing</w:t>
      </w:r>
      <w:r w:rsidR="000A5329" w:rsidRPr="002029AF">
        <w:rPr>
          <w:rFonts w:eastAsia="Times New Roman"/>
        </w:rPr>
        <w:t xml:space="preserve"> </w:t>
      </w:r>
      <w:r w:rsidRPr="002029AF">
        <w:rPr>
          <w:rFonts w:eastAsia="Times New Roman"/>
        </w:rPr>
        <w:t>balances</w:t>
      </w:r>
      <w:r w:rsidR="000A5329" w:rsidRPr="002029AF">
        <w:rPr>
          <w:rFonts w:eastAsia="Times New Roman"/>
        </w:rPr>
        <w:t xml:space="preserve"> </w:t>
      </w:r>
      <w:r w:rsidRPr="002029AF">
        <w:rPr>
          <w:rFonts w:eastAsia="Times New Roman"/>
        </w:rPr>
        <w:t>of</w:t>
      </w:r>
      <w:r w:rsidR="000A5329" w:rsidRPr="002029AF">
        <w:rPr>
          <w:rFonts w:eastAsia="Times New Roman"/>
        </w:rPr>
        <w:t xml:space="preserve"> </w:t>
      </w:r>
      <w:r w:rsidRPr="002029AF">
        <w:rPr>
          <w:rFonts w:eastAsia="Times New Roman"/>
        </w:rPr>
        <w:t>the</w:t>
      </w:r>
      <w:r w:rsidR="000A5329" w:rsidRPr="002029AF">
        <w:rPr>
          <w:rFonts w:eastAsia="Times New Roman"/>
        </w:rPr>
        <w:t xml:space="preserve"> </w:t>
      </w:r>
      <w:r w:rsidRPr="002029AF">
        <w:rPr>
          <w:rFonts w:eastAsia="Times New Roman"/>
        </w:rPr>
        <w:t>present</w:t>
      </w:r>
      <w:r w:rsidR="000A5329" w:rsidRPr="002029AF">
        <w:rPr>
          <w:rFonts w:eastAsia="Times New Roman"/>
        </w:rPr>
        <w:t xml:space="preserve"> </w:t>
      </w:r>
      <w:r w:rsidRPr="002029AF">
        <w:rPr>
          <w:rFonts w:eastAsia="Times New Roman"/>
        </w:rPr>
        <w:t>value</w:t>
      </w:r>
      <w:r w:rsidR="000A5329" w:rsidRPr="002029AF">
        <w:rPr>
          <w:rFonts w:eastAsia="Times New Roman"/>
        </w:rPr>
        <w:t xml:space="preserve"> </w:t>
      </w:r>
      <w:r w:rsidRPr="002029AF">
        <w:rPr>
          <w:rFonts w:eastAsia="Times New Roman"/>
        </w:rPr>
        <w:t>of</w:t>
      </w:r>
      <w:r w:rsidR="000A5329" w:rsidRPr="002029AF">
        <w:rPr>
          <w:rFonts w:eastAsia="Times New Roman"/>
        </w:rPr>
        <w:t xml:space="preserve"> </w:t>
      </w:r>
      <w:r w:rsidRPr="002029AF">
        <w:rPr>
          <w:rFonts w:eastAsia="Times New Roman"/>
        </w:rPr>
        <w:t>the</w:t>
      </w:r>
      <w:r w:rsidR="000A5329" w:rsidRPr="002029AF">
        <w:rPr>
          <w:rFonts w:eastAsia="Times New Roman"/>
        </w:rPr>
        <w:t xml:space="preserve"> </w:t>
      </w:r>
      <w:r w:rsidRPr="002029AF">
        <w:rPr>
          <w:rFonts w:eastAsia="Times New Roman"/>
        </w:rPr>
        <w:t>defined</w:t>
      </w:r>
      <w:r w:rsidR="000A5329" w:rsidRPr="002029AF">
        <w:rPr>
          <w:rFonts w:eastAsia="Times New Roman"/>
        </w:rPr>
        <w:t xml:space="preserve"> </w:t>
      </w:r>
      <w:r w:rsidRPr="002029AF">
        <w:rPr>
          <w:rFonts w:eastAsia="Times New Roman"/>
        </w:rPr>
        <w:t>benefit</w:t>
      </w:r>
      <w:r w:rsidR="000A5329" w:rsidRPr="002029AF">
        <w:rPr>
          <w:rFonts w:eastAsia="Times New Roman"/>
        </w:rPr>
        <w:t xml:space="preserve"> </w:t>
      </w:r>
      <w:r w:rsidRPr="002029AF">
        <w:rPr>
          <w:rFonts w:eastAsia="Times New Roman"/>
        </w:rPr>
        <w:t>obligation</w:t>
      </w:r>
    </w:p>
    <w:p w14:paraId="5CA26935" w14:textId="6CD5ED82" w:rsidR="00087B91" w:rsidRPr="002029AF" w:rsidRDefault="00087B91" w:rsidP="00087B91">
      <w:pPr>
        <w:pStyle w:val="ARfinbodylargespace"/>
      </w:pPr>
      <w:r w:rsidRPr="002029AF">
        <w:t>Movements</w:t>
      </w:r>
      <w:r w:rsidR="000A5329" w:rsidRPr="002029AF">
        <w:t xml:space="preserve"> </w:t>
      </w:r>
      <w:r w:rsidRPr="002029AF">
        <w:t>in</w:t>
      </w:r>
      <w:r w:rsidR="000A5329" w:rsidRPr="002029AF">
        <w:t xml:space="preserve"> </w:t>
      </w:r>
      <w:r w:rsidRPr="002029AF">
        <w:t>the</w:t>
      </w:r>
      <w:r w:rsidR="000A5329" w:rsidRPr="002029AF">
        <w:t xml:space="preserve"> </w:t>
      </w:r>
      <w:r w:rsidRPr="002029AF">
        <w:t>present</w:t>
      </w:r>
      <w:r w:rsidR="000A5329" w:rsidRPr="002029AF">
        <w:t xml:space="preserve"> </w:t>
      </w:r>
      <w:r w:rsidRPr="002029AF">
        <w:t>value</w:t>
      </w:r>
      <w:r w:rsidR="000A5329" w:rsidRPr="002029AF">
        <w:t xml:space="preserve"> </w:t>
      </w:r>
      <w:r w:rsidRPr="002029AF">
        <w:t>of</w:t>
      </w:r>
      <w:r w:rsidR="000A5329" w:rsidRPr="002029AF">
        <w:t xml:space="preserve"> </w:t>
      </w:r>
      <w:r w:rsidRPr="002029AF">
        <w:t>the</w:t>
      </w:r>
      <w:r w:rsidR="000A5329" w:rsidRPr="002029AF">
        <w:t xml:space="preserve"> </w:t>
      </w:r>
      <w:r w:rsidRPr="002029AF">
        <w:t>defined</w:t>
      </w:r>
      <w:r w:rsidR="000A5329" w:rsidRPr="002029AF">
        <w:t xml:space="preserve"> </w:t>
      </w:r>
      <w:r w:rsidRPr="002029AF">
        <w:t>benefit</w:t>
      </w:r>
      <w:r w:rsidR="000A5329" w:rsidRPr="002029AF">
        <w:t xml:space="preserve"> </w:t>
      </w:r>
      <w:r w:rsidRPr="002029AF">
        <w:t>obligation</w:t>
      </w:r>
      <w:r w:rsidR="000A5329" w:rsidRPr="002029AF">
        <w:t xml:space="preserve"> </w:t>
      </w:r>
      <w:r w:rsidRPr="002029AF">
        <w:t>in</w:t>
      </w:r>
      <w:r w:rsidR="000A5329" w:rsidRPr="002029AF">
        <w:t xml:space="preserve"> </w:t>
      </w:r>
      <w:r w:rsidRPr="002029AF">
        <w:t>the</w:t>
      </w:r>
      <w:r w:rsidR="000A5329" w:rsidRPr="002029AF">
        <w:t xml:space="preserve"> </w:t>
      </w:r>
      <w:r w:rsidRPr="002029AF">
        <w:t>current</w:t>
      </w:r>
      <w:r w:rsidR="000A5329" w:rsidRPr="002029AF">
        <w:t xml:space="preserve"> </w:t>
      </w:r>
      <w:r w:rsidRPr="002029AF">
        <w:t>period</w:t>
      </w:r>
      <w:r w:rsidR="000A5329" w:rsidRPr="002029AF">
        <w:t xml:space="preserve"> </w:t>
      </w:r>
      <w:r w:rsidRPr="002029AF">
        <w:t>were</w:t>
      </w:r>
      <w:r w:rsidR="000A5329" w:rsidRPr="002029AF">
        <w:t xml:space="preserve"> </w:t>
      </w:r>
      <w:r w:rsidRPr="002029AF">
        <w:t>as</w:t>
      </w:r>
      <w:r w:rsidR="000A5329" w:rsidRPr="002029AF">
        <w:t xml:space="preserve"> </w:t>
      </w:r>
      <w:r w:rsidRPr="002029AF">
        <w:t>follows:</w:t>
      </w:r>
    </w:p>
    <w:tbl>
      <w:tblPr>
        <w:tblStyle w:val="TableGrid"/>
        <w:tblW w:w="9637" w:type="dxa"/>
        <w:tblLayout w:type="fixed"/>
        <w:tblLook w:val="06A0" w:firstRow="1" w:lastRow="0" w:firstColumn="1" w:lastColumn="0" w:noHBand="1" w:noVBand="1"/>
      </w:tblPr>
      <w:tblGrid>
        <w:gridCol w:w="7371"/>
        <w:gridCol w:w="1133"/>
        <w:gridCol w:w="1133"/>
      </w:tblGrid>
      <w:tr w:rsidR="00087B91" w:rsidRPr="002029AF" w14:paraId="3B2B3D98" w14:textId="77777777" w:rsidTr="00C83719">
        <w:trPr>
          <w:cnfStyle w:val="100000000000" w:firstRow="1" w:lastRow="0" w:firstColumn="0" w:lastColumn="0" w:oddVBand="0" w:evenVBand="0" w:oddHBand="0" w:evenHBand="0" w:firstRowFirstColumn="0" w:firstRowLastColumn="0" w:lastRowFirstColumn="0" w:lastRowLastColumn="0"/>
          <w:tblHeader/>
        </w:trPr>
        <w:tc>
          <w:tcPr>
            <w:tcW w:w="7371" w:type="dxa"/>
            <w:tcBorders>
              <w:bottom w:val="single" w:sz="4" w:space="0" w:color="auto"/>
            </w:tcBorders>
            <w:noWrap/>
            <w:hideMark/>
          </w:tcPr>
          <w:p w14:paraId="5DAAFBB5" w14:textId="77777777" w:rsidR="00087B91" w:rsidRPr="002029AF" w:rsidRDefault="00087B91" w:rsidP="00860E95">
            <w:pPr>
              <w:pStyle w:val="ARfintablecolhead"/>
            </w:pPr>
          </w:p>
        </w:tc>
        <w:tc>
          <w:tcPr>
            <w:tcW w:w="1133" w:type="dxa"/>
            <w:tcBorders>
              <w:bottom w:val="single" w:sz="4" w:space="0" w:color="auto"/>
            </w:tcBorders>
            <w:shd w:val="clear" w:color="auto" w:fill="E7E6E6"/>
            <w:hideMark/>
          </w:tcPr>
          <w:p w14:paraId="03872659" w14:textId="77777777" w:rsidR="00087B91" w:rsidRPr="002029AF" w:rsidRDefault="00087B91" w:rsidP="00860E95">
            <w:pPr>
              <w:pStyle w:val="ARfintablecolheadright"/>
            </w:pPr>
            <w:r w:rsidRPr="002029AF">
              <w:t>2020</w:t>
            </w:r>
          </w:p>
          <w:p w14:paraId="72D6E4C5" w14:textId="77777777" w:rsidR="00087B91" w:rsidRPr="002029AF" w:rsidRDefault="00087B91" w:rsidP="00860E95">
            <w:pPr>
              <w:pStyle w:val="ARfintablecolheadright"/>
            </w:pPr>
            <w:r w:rsidRPr="002029AF">
              <w:t>$M</w:t>
            </w:r>
          </w:p>
        </w:tc>
        <w:tc>
          <w:tcPr>
            <w:tcW w:w="1133" w:type="dxa"/>
            <w:tcBorders>
              <w:bottom w:val="single" w:sz="4" w:space="0" w:color="auto"/>
            </w:tcBorders>
            <w:hideMark/>
          </w:tcPr>
          <w:p w14:paraId="39133B80" w14:textId="77777777" w:rsidR="00087B91" w:rsidRPr="002029AF" w:rsidRDefault="00087B91" w:rsidP="00860E95">
            <w:pPr>
              <w:pStyle w:val="ARfintablecolheadright"/>
            </w:pPr>
            <w:r w:rsidRPr="002029AF">
              <w:t>2019</w:t>
            </w:r>
          </w:p>
          <w:p w14:paraId="31DE6090" w14:textId="77777777" w:rsidR="00087B91" w:rsidRPr="002029AF" w:rsidRDefault="00087B91" w:rsidP="00860E95">
            <w:pPr>
              <w:pStyle w:val="ARfintablecolheadright"/>
            </w:pPr>
            <w:r w:rsidRPr="002029AF">
              <w:t>$M</w:t>
            </w:r>
          </w:p>
        </w:tc>
      </w:tr>
      <w:tr w:rsidR="00087B91" w:rsidRPr="002029AF" w14:paraId="22A6E0FE" w14:textId="77777777" w:rsidTr="00860E95">
        <w:tc>
          <w:tcPr>
            <w:tcW w:w="7371" w:type="dxa"/>
            <w:tcBorders>
              <w:top w:val="single" w:sz="4" w:space="0" w:color="auto"/>
              <w:bottom w:val="single" w:sz="4" w:space="0" w:color="A6A6A6"/>
            </w:tcBorders>
            <w:hideMark/>
          </w:tcPr>
          <w:p w14:paraId="04E6BC6D" w14:textId="035E64EA" w:rsidR="00087B91" w:rsidRPr="002029AF" w:rsidRDefault="00087B91" w:rsidP="00860E95">
            <w:pPr>
              <w:pStyle w:val="ARfintablebodybold"/>
            </w:pPr>
            <w:r w:rsidRPr="002029AF">
              <w:t>Opening</w:t>
            </w:r>
            <w:r w:rsidR="000A5329" w:rsidRPr="002029AF">
              <w:t xml:space="preserve"> </w:t>
            </w:r>
            <w:r w:rsidRPr="002029AF">
              <w:t>balance</w:t>
            </w:r>
            <w:r w:rsidR="000A5329" w:rsidRPr="002029AF">
              <w:t xml:space="preserve"> </w:t>
            </w:r>
            <w:r w:rsidRPr="002029AF">
              <w:t>of</w:t>
            </w:r>
            <w:r w:rsidR="000A5329" w:rsidRPr="002029AF">
              <w:t xml:space="preserve"> </w:t>
            </w:r>
            <w:r w:rsidRPr="002029AF">
              <w:t>defined</w:t>
            </w:r>
            <w:r w:rsidR="000A5329" w:rsidRPr="002029AF">
              <w:t xml:space="preserve"> </w:t>
            </w:r>
            <w:r w:rsidRPr="002029AF">
              <w:t>benefit</w:t>
            </w:r>
            <w:r w:rsidR="000A5329" w:rsidRPr="002029AF">
              <w:t xml:space="preserve"> </w:t>
            </w:r>
            <w:r w:rsidRPr="002029AF">
              <w:t>obligation</w:t>
            </w:r>
          </w:p>
        </w:tc>
        <w:tc>
          <w:tcPr>
            <w:tcW w:w="1133" w:type="dxa"/>
            <w:tcBorders>
              <w:top w:val="single" w:sz="4" w:space="0" w:color="auto"/>
              <w:bottom w:val="single" w:sz="4" w:space="0" w:color="A6A6A6"/>
            </w:tcBorders>
            <w:shd w:val="clear" w:color="auto" w:fill="E7E6E6"/>
            <w:noWrap/>
            <w:hideMark/>
          </w:tcPr>
          <w:p w14:paraId="22D74AA9" w14:textId="77777777" w:rsidR="00087B91" w:rsidRPr="002029AF" w:rsidRDefault="00087B91" w:rsidP="00860E95">
            <w:pPr>
              <w:pStyle w:val="ARfintablebodyrightbold"/>
            </w:pPr>
            <w:r w:rsidRPr="002029AF">
              <w:t>34.7</w:t>
            </w:r>
          </w:p>
        </w:tc>
        <w:tc>
          <w:tcPr>
            <w:tcW w:w="1133" w:type="dxa"/>
            <w:tcBorders>
              <w:top w:val="single" w:sz="4" w:space="0" w:color="auto"/>
              <w:bottom w:val="single" w:sz="4" w:space="0" w:color="A6A6A6"/>
            </w:tcBorders>
            <w:noWrap/>
            <w:hideMark/>
          </w:tcPr>
          <w:p w14:paraId="3857FD8D" w14:textId="77777777" w:rsidR="00087B91" w:rsidRPr="002029AF" w:rsidRDefault="00087B91" w:rsidP="00860E95">
            <w:pPr>
              <w:pStyle w:val="ARfintablebodyrightbold"/>
            </w:pPr>
            <w:r w:rsidRPr="002029AF">
              <w:t>33.9</w:t>
            </w:r>
          </w:p>
        </w:tc>
      </w:tr>
      <w:tr w:rsidR="00087B91" w:rsidRPr="002029AF" w14:paraId="0A9471A3" w14:textId="77777777" w:rsidTr="00860E95">
        <w:tc>
          <w:tcPr>
            <w:tcW w:w="7371" w:type="dxa"/>
            <w:tcBorders>
              <w:top w:val="single" w:sz="4" w:space="0" w:color="A6A6A6"/>
              <w:bottom w:val="single" w:sz="4" w:space="0" w:color="A6A6A6"/>
            </w:tcBorders>
            <w:hideMark/>
          </w:tcPr>
          <w:p w14:paraId="771230C9" w14:textId="02F824EE" w:rsidR="00087B91" w:rsidRPr="002029AF" w:rsidRDefault="00087B91" w:rsidP="00860E95">
            <w:pPr>
              <w:pStyle w:val="ARfintablebody"/>
            </w:pPr>
            <w:r w:rsidRPr="002029AF">
              <w:t>Interest</w:t>
            </w:r>
            <w:r w:rsidR="000A5329" w:rsidRPr="002029AF">
              <w:t xml:space="preserve"> </w:t>
            </w:r>
            <w:r w:rsidRPr="002029AF">
              <w:t>cost</w:t>
            </w:r>
          </w:p>
        </w:tc>
        <w:tc>
          <w:tcPr>
            <w:tcW w:w="1133" w:type="dxa"/>
            <w:tcBorders>
              <w:top w:val="single" w:sz="4" w:space="0" w:color="A6A6A6"/>
              <w:bottom w:val="single" w:sz="4" w:space="0" w:color="A6A6A6"/>
            </w:tcBorders>
            <w:shd w:val="clear" w:color="auto" w:fill="E7E6E6"/>
            <w:noWrap/>
            <w:hideMark/>
          </w:tcPr>
          <w:p w14:paraId="0FE677EC" w14:textId="77777777" w:rsidR="00087B91" w:rsidRPr="002029AF" w:rsidRDefault="00087B91" w:rsidP="00860E95">
            <w:pPr>
              <w:pStyle w:val="ARfintablebodyright"/>
            </w:pPr>
            <w:r w:rsidRPr="002029AF">
              <w:t>0.5</w:t>
            </w:r>
          </w:p>
        </w:tc>
        <w:tc>
          <w:tcPr>
            <w:tcW w:w="1133" w:type="dxa"/>
            <w:tcBorders>
              <w:top w:val="single" w:sz="4" w:space="0" w:color="A6A6A6"/>
              <w:bottom w:val="single" w:sz="4" w:space="0" w:color="A6A6A6"/>
            </w:tcBorders>
            <w:noWrap/>
            <w:hideMark/>
          </w:tcPr>
          <w:p w14:paraId="1793579A" w14:textId="77777777" w:rsidR="00087B91" w:rsidRPr="002029AF" w:rsidRDefault="00087B91" w:rsidP="00860E95">
            <w:pPr>
              <w:pStyle w:val="ARfintablebodyright"/>
            </w:pPr>
            <w:r w:rsidRPr="002029AF">
              <w:t>0.9</w:t>
            </w:r>
          </w:p>
        </w:tc>
      </w:tr>
      <w:tr w:rsidR="00087B91" w:rsidRPr="002029AF" w14:paraId="5C1CE4C6" w14:textId="77777777" w:rsidTr="00860E95">
        <w:tc>
          <w:tcPr>
            <w:tcW w:w="7371" w:type="dxa"/>
            <w:tcBorders>
              <w:top w:val="single" w:sz="4" w:space="0" w:color="A6A6A6"/>
              <w:bottom w:val="single" w:sz="4" w:space="0" w:color="A6A6A6"/>
            </w:tcBorders>
            <w:hideMark/>
          </w:tcPr>
          <w:p w14:paraId="7BD820A6" w14:textId="0DCD8C4C" w:rsidR="00087B91" w:rsidRPr="002029AF" w:rsidRDefault="00087B91" w:rsidP="00860E95">
            <w:pPr>
              <w:pStyle w:val="ARfintablebody"/>
            </w:pPr>
            <w:r w:rsidRPr="002029AF">
              <w:t>Actuarial</w:t>
            </w:r>
            <w:r w:rsidR="000A5329" w:rsidRPr="002029AF">
              <w:t xml:space="preserve"> </w:t>
            </w:r>
            <w:r w:rsidRPr="002029AF">
              <w:t>losses/(gains)</w:t>
            </w:r>
          </w:p>
        </w:tc>
        <w:tc>
          <w:tcPr>
            <w:tcW w:w="1133" w:type="dxa"/>
            <w:tcBorders>
              <w:top w:val="single" w:sz="4" w:space="0" w:color="A6A6A6"/>
              <w:bottom w:val="single" w:sz="4" w:space="0" w:color="A6A6A6"/>
            </w:tcBorders>
            <w:shd w:val="clear" w:color="auto" w:fill="E7E6E6"/>
            <w:noWrap/>
            <w:hideMark/>
          </w:tcPr>
          <w:p w14:paraId="2D69877A" w14:textId="77777777" w:rsidR="00087B91" w:rsidRPr="002029AF" w:rsidRDefault="00087B91" w:rsidP="00860E95">
            <w:pPr>
              <w:pStyle w:val="ARfintablebodyright"/>
            </w:pPr>
            <w:r w:rsidRPr="002029AF">
              <w:t>(0.3)</w:t>
            </w:r>
          </w:p>
        </w:tc>
        <w:tc>
          <w:tcPr>
            <w:tcW w:w="1133" w:type="dxa"/>
            <w:tcBorders>
              <w:top w:val="single" w:sz="4" w:space="0" w:color="A6A6A6"/>
              <w:bottom w:val="single" w:sz="4" w:space="0" w:color="A6A6A6"/>
            </w:tcBorders>
            <w:noWrap/>
            <w:hideMark/>
          </w:tcPr>
          <w:p w14:paraId="447F20DF" w14:textId="77777777" w:rsidR="00087B91" w:rsidRPr="002029AF" w:rsidRDefault="00087B91" w:rsidP="00860E95">
            <w:pPr>
              <w:pStyle w:val="ARfintablebodyright"/>
            </w:pPr>
            <w:r w:rsidRPr="002029AF">
              <w:t>2.5</w:t>
            </w:r>
          </w:p>
        </w:tc>
      </w:tr>
      <w:tr w:rsidR="00087B91" w:rsidRPr="002029AF" w14:paraId="659E034E" w14:textId="77777777" w:rsidTr="00860E95">
        <w:tc>
          <w:tcPr>
            <w:tcW w:w="7371" w:type="dxa"/>
            <w:tcBorders>
              <w:top w:val="single" w:sz="4" w:space="0" w:color="A6A6A6"/>
            </w:tcBorders>
            <w:hideMark/>
          </w:tcPr>
          <w:p w14:paraId="5B8170FF" w14:textId="0EE5409E" w:rsidR="00087B91" w:rsidRPr="002029AF" w:rsidRDefault="00087B91" w:rsidP="00860E95">
            <w:pPr>
              <w:pStyle w:val="ARfintablebody"/>
            </w:pPr>
            <w:r w:rsidRPr="002029AF">
              <w:t>Benefits</w:t>
            </w:r>
            <w:r w:rsidR="000A5329" w:rsidRPr="002029AF">
              <w:t xml:space="preserve"> </w:t>
            </w:r>
            <w:r w:rsidRPr="002029AF">
              <w:t>paid</w:t>
            </w:r>
          </w:p>
        </w:tc>
        <w:tc>
          <w:tcPr>
            <w:tcW w:w="1133" w:type="dxa"/>
            <w:tcBorders>
              <w:top w:val="single" w:sz="4" w:space="0" w:color="A6A6A6"/>
            </w:tcBorders>
            <w:shd w:val="clear" w:color="auto" w:fill="E7E6E6"/>
            <w:noWrap/>
            <w:hideMark/>
          </w:tcPr>
          <w:p w14:paraId="0FD8C427" w14:textId="77777777" w:rsidR="00087B91" w:rsidRPr="002029AF" w:rsidRDefault="00087B91" w:rsidP="00860E95">
            <w:pPr>
              <w:pStyle w:val="ARfintablebodyright"/>
            </w:pPr>
            <w:r w:rsidRPr="002029AF">
              <w:t>(2.7)</w:t>
            </w:r>
          </w:p>
        </w:tc>
        <w:tc>
          <w:tcPr>
            <w:tcW w:w="1133" w:type="dxa"/>
            <w:tcBorders>
              <w:top w:val="single" w:sz="4" w:space="0" w:color="A6A6A6"/>
            </w:tcBorders>
            <w:noWrap/>
            <w:hideMark/>
          </w:tcPr>
          <w:p w14:paraId="09E9B3A9" w14:textId="77777777" w:rsidR="00087B91" w:rsidRPr="002029AF" w:rsidRDefault="00087B91" w:rsidP="00860E95">
            <w:pPr>
              <w:pStyle w:val="ARfintablebodyright"/>
            </w:pPr>
            <w:r w:rsidRPr="002029AF">
              <w:t>(2.8)</w:t>
            </w:r>
          </w:p>
        </w:tc>
      </w:tr>
      <w:tr w:rsidR="00087B91" w:rsidRPr="002029AF" w14:paraId="1ABBBBBB" w14:textId="77777777" w:rsidTr="00860E95">
        <w:tc>
          <w:tcPr>
            <w:tcW w:w="7371" w:type="dxa"/>
            <w:hideMark/>
          </w:tcPr>
          <w:p w14:paraId="79F1A7EA" w14:textId="45807824" w:rsidR="00087B91" w:rsidRPr="002029AF" w:rsidRDefault="00087B91" w:rsidP="00860E95">
            <w:pPr>
              <w:pStyle w:val="ARfintablebodybold"/>
            </w:pPr>
            <w:r w:rsidRPr="002029AF">
              <w:t>Closing</w:t>
            </w:r>
            <w:r w:rsidR="000A5329" w:rsidRPr="002029AF">
              <w:t xml:space="preserve"> </w:t>
            </w:r>
            <w:r w:rsidRPr="002029AF">
              <w:t>balance</w:t>
            </w:r>
            <w:r w:rsidR="000A5329" w:rsidRPr="002029AF">
              <w:t xml:space="preserve"> </w:t>
            </w:r>
            <w:r w:rsidRPr="002029AF">
              <w:t>of</w:t>
            </w:r>
            <w:r w:rsidR="000A5329" w:rsidRPr="002029AF">
              <w:t xml:space="preserve"> </w:t>
            </w:r>
            <w:r w:rsidRPr="002029AF">
              <w:t>defined</w:t>
            </w:r>
            <w:r w:rsidR="000A5329" w:rsidRPr="002029AF">
              <w:t xml:space="preserve"> </w:t>
            </w:r>
            <w:r w:rsidRPr="002029AF">
              <w:t>benefit</w:t>
            </w:r>
            <w:r w:rsidR="000A5329" w:rsidRPr="002029AF">
              <w:t xml:space="preserve"> </w:t>
            </w:r>
            <w:r w:rsidRPr="002029AF">
              <w:t>obligation</w:t>
            </w:r>
          </w:p>
        </w:tc>
        <w:tc>
          <w:tcPr>
            <w:tcW w:w="1133" w:type="dxa"/>
            <w:shd w:val="clear" w:color="auto" w:fill="E7E6E6"/>
            <w:noWrap/>
            <w:hideMark/>
          </w:tcPr>
          <w:p w14:paraId="46C3C161" w14:textId="77777777" w:rsidR="00087B91" w:rsidRPr="002029AF" w:rsidRDefault="00087B91" w:rsidP="00860E95">
            <w:pPr>
              <w:pStyle w:val="ARfintablebodyrightbold"/>
            </w:pPr>
            <w:r w:rsidRPr="002029AF">
              <w:t>32.2</w:t>
            </w:r>
          </w:p>
        </w:tc>
        <w:tc>
          <w:tcPr>
            <w:tcW w:w="1133" w:type="dxa"/>
            <w:noWrap/>
            <w:hideMark/>
          </w:tcPr>
          <w:p w14:paraId="5EDE8C5D" w14:textId="77777777" w:rsidR="00087B91" w:rsidRPr="002029AF" w:rsidRDefault="00087B91" w:rsidP="00860E95">
            <w:pPr>
              <w:pStyle w:val="ARfintablebodyrightbold"/>
            </w:pPr>
            <w:r w:rsidRPr="002029AF">
              <w:t>34.7</w:t>
            </w:r>
          </w:p>
        </w:tc>
      </w:tr>
    </w:tbl>
    <w:p w14:paraId="2F1DB6A6" w14:textId="1AD2B519" w:rsidR="00087B91" w:rsidRPr="002029AF" w:rsidRDefault="00087B91" w:rsidP="00087B91">
      <w:pPr>
        <w:pStyle w:val="Heading7"/>
        <w:rPr>
          <w:rFonts w:eastAsia="Times New Roman"/>
        </w:rPr>
      </w:pPr>
      <w:r w:rsidRPr="002029AF">
        <w:rPr>
          <w:rFonts w:eastAsia="Times New Roman"/>
        </w:rPr>
        <w:t>Reconciliation</w:t>
      </w:r>
      <w:r w:rsidR="000A5329" w:rsidRPr="002029AF">
        <w:rPr>
          <w:rFonts w:eastAsia="Times New Roman"/>
        </w:rPr>
        <w:t xml:space="preserve"> </w:t>
      </w:r>
      <w:r w:rsidRPr="002029AF">
        <w:rPr>
          <w:rFonts w:eastAsia="Times New Roman"/>
        </w:rPr>
        <w:t>of</w:t>
      </w:r>
      <w:r w:rsidR="000A5329" w:rsidRPr="002029AF">
        <w:rPr>
          <w:rFonts w:eastAsia="Times New Roman"/>
        </w:rPr>
        <w:t xml:space="preserve"> </w:t>
      </w:r>
      <w:r w:rsidRPr="002029AF">
        <w:rPr>
          <w:rFonts w:eastAsia="Times New Roman"/>
        </w:rPr>
        <w:t>opening</w:t>
      </w:r>
      <w:r w:rsidR="000A5329" w:rsidRPr="002029AF">
        <w:rPr>
          <w:rFonts w:eastAsia="Times New Roman"/>
        </w:rPr>
        <w:t xml:space="preserve"> </w:t>
      </w:r>
      <w:r w:rsidRPr="002029AF">
        <w:rPr>
          <w:rFonts w:eastAsia="Times New Roman"/>
        </w:rPr>
        <w:t>and</w:t>
      </w:r>
      <w:r w:rsidR="000A5329" w:rsidRPr="002029AF">
        <w:rPr>
          <w:rFonts w:eastAsia="Times New Roman"/>
        </w:rPr>
        <w:t xml:space="preserve"> </w:t>
      </w:r>
      <w:r w:rsidRPr="002029AF">
        <w:rPr>
          <w:rFonts w:eastAsia="Times New Roman"/>
        </w:rPr>
        <w:t>closing</w:t>
      </w:r>
      <w:r w:rsidR="000A5329" w:rsidRPr="002029AF">
        <w:rPr>
          <w:rFonts w:eastAsia="Times New Roman"/>
        </w:rPr>
        <w:t xml:space="preserve"> </w:t>
      </w:r>
      <w:r w:rsidRPr="002029AF">
        <w:rPr>
          <w:rFonts w:eastAsia="Times New Roman"/>
        </w:rPr>
        <w:t>balances</w:t>
      </w:r>
      <w:r w:rsidR="000A5329" w:rsidRPr="002029AF">
        <w:rPr>
          <w:rFonts w:eastAsia="Times New Roman"/>
        </w:rPr>
        <w:t xml:space="preserve"> </w:t>
      </w:r>
      <w:r w:rsidRPr="002029AF">
        <w:rPr>
          <w:rFonts w:eastAsia="Times New Roman"/>
        </w:rPr>
        <w:t>of</w:t>
      </w:r>
      <w:r w:rsidR="000A5329" w:rsidRPr="002029AF">
        <w:rPr>
          <w:rFonts w:eastAsia="Times New Roman"/>
        </w:rPr>
        <w:t xml:space="preserve"> </w:t>
      </w:r>
      <w:r w:rsidRPr="002029AF">
        <w:rPr>
          <w:rFonts w:eastAsia="Times New Roman"/>
        </w:rPr>
        <w:t>the</w:t>
      </w:r>
      <w:r w:rsidR="000A5329" w:rsidRPr="002029AF">
        <w:rPr>
          <w:rFonts w:eastAsia="Times New Roman"/>
        </w:rPr>
        <w:t xml:space="preserve"> </w:t>
      </w:r>
      <w:r w:rsidRPr="002029AF">
        <w:rPr>
          <w:rFonts w:eastAsia="Times New Roman"/>
        </w:rPr>
        <w:t>fair</w:t>
      </w:r>
      <w:r w:rsidR="000A5329" w:rsidRPr="002029AF">
        <w:rPr>
          <w:rFonts w:eastAsia="Times New Roman"/>
        </w:rPr>
        <w:t xml:space="preserve"> </w:t>
      </w:r>
      <w:r w:rsidRPr="002029AF">
        <w:rPr>
          <w:rFonts w:eastAsia="Times New Roman"/>
        </w:rPr>
        <w:t>value</w:t>
      </w:r>
      <w:r w:rsidR="000A5329" w:rsidRPr="002029AF">
        <w:rPr>
          <w:rFonts w:eastAsia="Times New Roman"/>
        </w:rPr>
        <w:t xml:space="preserve"> </w:t>
      </w:r>
      <w:r w:rsidRPr="002029AF">
        <w:rPr>
          <w:rFonts w:eastAsia="Times New Roman"/>
        </w:rPr>
        <w:t>of</w:t>
      </w:r>
      <w:r w:rsidR="000A5329" w:rsidRPr="002029AF">
        <w:rPr>
          <w:rFonts w:eastAsia="Times New Roman"/>
        </w:rPr>
        <w:t xml:space="preserve"> </w:t>
      </w:r>
      <w:r w:rsidRPr="002029AF">
        <w:rPr>
          <w:rFonts w:eastAsia="Times New Roman"/>
        </w:rPr>
        <w:t>plan</w:t>
      </w:r>
      <w:r w:rsidR="000A5329" w:rsidRPr="002029AF">
        <w:rPr>
          <w:rFonts w:eastAsia="Times New Roman"/>
        </w:rPr>
        <w:t xml:space="preserve"> </w:t>
      </w:r>
      <w:r w:rsidRPr="002029AF">
        <w:rPr>
          <w:rFonts w:eastAsia="Times New Roman"/>
        </w:rPr>
        <w:t>assets</w:t>
      </w:r>
    </w:p>
    <w:p w14:paraId="21F4BD3F" w14:textId="3E6137B8" w:rsidR="00087B91" w:rsidRPr="002029AF" w:rsidRDefault="00087B91" w:rsidP="00087B91">
      <w:pPr>
        <w:pStyle w:val="ARfinbodylargespace"/>
      </w:pPr>
      <w:r w:rsidRPr="002029AF">
        <w:t>Movements</w:t>
      </w:r>
      <w:r w:rsidR="000A5329" w:rsidRPr="002029AF">
        <w:t xml:space="preserve"> </w:t>
      </w:r>
      <w:r w:rsidRPr="002029AF">
        <w:t>in</w:t>
      </w:r>
      <w:r w:rsidR="000A5329" w:rsidRPr="002029AF">
        <w:t xml:space="preserve"> </w:t>
      </w:r>
      <w:r w:rsidRPr="002029AF">
        <w:t>the</w:t>
      </w:r>
      <w:r w:rsidR="000A5329" w:rsidRPr="002029AF">
        <w:t xml:space="preserve"> </w:t>
      </w:r>
      <w:r w:rsidRPr="002029AF">
        <w:t>present</w:t>
      </w:r>
      <w:r w:rsidR="000A5329" w:rsidRPr="002029AF">
        <w:t xml:space="preserve"> </w:t>
      </w:r>
      <w:r w:rsidRPr="002029AF">
        <w:t>value</w:t>
      </w:r>
      <w:r w:rsidR="000A5329" w:rsidRPr="002029AF">
        <w:t xml:space="preserve"> </w:t>
      </w:r>
      <w:r w:rsidRPr="002029AF">
        <w:t>of</w:t>
      </w:r>
      <w:r w:rsidR="000A5329" w:rsidRPr="002029AF">
        <w:t xml:space="preserve"> </w:t>
      </w:r>
      <w:r w:rsidRPr="002029AF">
        <w:t>the</w:t>
      </w:r>
      <w:r w:rsidR="000A5329" w:rsidRPr="002029AF">
        <w:t xml:space="preserve"> </w:t>
      </w:r>
      <w:r w:rsidRPr="002029AF">
        <w:t>plan</w:t>
      </w:r>
      <w:r w:rsidR="000A5329" w:rsidRPr="002029AF">
        <w:t xml:space="preserve"> </w:t>
      </w:r>
      <w:r w:rsidRPr="002029AF">
        <w:t>assets</w:t>
      </w:r>
      <w:r w:rsidR="000A5329" w:rsidRPr="002029AF">
        <w:t xml:space="preserve"> </w:t>
      </w:r>
      <w:r w:rsidRPr="002029AF">
        <w:t>in</w:t>
      </w:r>
      <w:r w:rsidR="000A5329" w:rsidRPr="002029AF">
        <w:t xml:space="preserve"> </w:t>
      </w:r>
      <w:r w:rsidRPr="002029AF">
        <w:t>the</w:t>
      </w:r>
      <w:r w:rsidR="000A5329" w:rsidRPr="002029AF">
        <w:t xml:space="preserve"> </w:t>
      </w:r>
      <w:r w:rsidRPr="002029AF">
        <w:t>current</w:t>
      </w:r>
      <w:r w:rsidR="000A5329" w:rsidRPr="002029AF">
        <w:t xml:space="preserve"> </w:t>
      </w:r>
      <w:r w:rsidRPr="002029AF">
        <w:t>period</w:t>
      </w:r>
      <w:r w:rsidR="000A5329" w:rsidRPr="002029AF">
        <w:t xml:space="preserve"> </w:t>
      </w:r>
      <w:r w:rsidRPr="002029AF">
        <w:t>were</w:t>
      </w:r>
      <w:r w:rsidR="000A5329" w:rsidRPr="002029AF">
        <w:t xml:space="preserve"> </w:t>
      </w:r>
      <w:r w:rsidRPr="002029AF">
        <w:t>as</w:t>
      </w:r>
      <w:r w:rsidR="000A5329" w:rsidRPr="002029AF">
        <w:t xml:space="preserve"> </w:t>
      </w:r>
      <w:r w:rsidRPr="002029AF">
        <w:t>follows:</w:t>
      </w:r>
    </w:p>
    <w:tbl>
      <w:tblPr>
        <w:tblStyle w:val="TableGrid"/>
        <w:tblW w:w="9637" w:type="dxa"/>
        <w:tblLayout w:type="fixed"/>
        <w:tblLook w:val="06A0" w:firstRow="1" w:lastRow="0" w:firstColumn="1" w:lastColumn="0" w:noHBand="1" w:noVBand="1"/>
      </w:tblPr>
      <w:tblGrid>
        <w:gridCol w:w="7371"/>
        <w:gridCol w:w="1133"/>
        <w:gridCol w:w="1133"/>
      </w:tblGrid>
      <w:tr w:rsidR="00087B91" w:rsidRPr="002029AF" w14:paraId="1979BC69" w14:textId="77777777" w:rsidTr="00C83719">
        <w:trPr>
          <w:cnfStyle w:val="100000000000" w:firstRow="1" w:lastRow="0" w:firstColumn="0" w:lastColumn="0" w:oddVBand="0" w:evenVBand="0" w:oddHBand="0" w:evenHBand="0" w:firstRowFirstColumn="0" w:firstRowLastColumn="0" w:lastRowFirstColumn="0" w:lastRowLastColumn="0"/>
          <w:tblHeader/>
        </w:trPr>
        <w:tc>
          <w:tcPr>
            <w:tcW w:w="7371" w:type="dxa"/>
            <w:tcBorders>
              <w:bottom w:val="single" w:sz="4" w:space="0" w:color="auto"/>
            </w:tcBorders>
            <w:noWrap/>
            <w:hideMark/>
          </w:tcPr>
          <w:p w14:paraId="450CE38B" w14:textId="77777777" w:rsidR="00087B91" w:rsidRPr="002029AF" w:rsidRDefault="00087B91" w:rsidP="00860E95">
            <w:pPr>
              <w:pStyle w:val="ARfintablecolhead"/>
            </w:pPr>
          </w:p>
        </w:tc>
        <w:tc>
          <w:tcPr>
            <w:tcW w:w="1133" w:type="dxa"/>
            <w:tcBorders>
              <w:bottom w:val="single" w:sz="4" w:space="0" w:color="auto"/>
            </w:tcBorders>
            <w:shd w:val="clear" w:color="auto" w:fill="E7E6E6"/>
            <w:hideMark/>
          </w:tcPr>
          <w:p w14:paraId="1A82142E" w14:textId="77777777" w:rsidR="00087B91" w:rsidRPr="002029AF" w:rsidRDefault="00087B91" w:rsidP="00860E95">
            <w:pPr>
              <w:pStyle w:val="ARfintablecolheadright"/>
            </w:pPr>
            <w:r w:rsidRPr="002029AF">
              <w:t>2020</w:t>
            </w:r>
          </w:p>
          <w:p w14:paraId="0B4CE388" w14:textId="77777777" w:rsidR="00087B91" w:rsidRPr="002029AF" w:rsidRDefault="00087B91" w:rsidP="00860E95">
            <w:pPr>
              <w:pStyle w:val="ARfintablecolheadright"/>
            </w:pPr>
            <w:r w:rsidRPr="002029AF">
              <w:t>$M</w:t>
            </w:r>
          </w:p>
        </w:tc>
        <w:tc>
          <w:tcPr>
            <w:tcW w:w="1133" w:type="dxa"/>
            <w:tcBorders>
              <w:bottom w:val="single" w:sz="4" w:space="0" w:color="auto"/>
            </w:tcBorders>
            <w:hideMark/>
          </w:tcPr>
          <w:p w14:paraId="1FC1A270" w14:textId="77777777" w:rsidR="00087B91" w:rsidRPr="002029AF" w:rsidRDefault="00087B91" w:rsidP="00860E95">
            <w:pPr>
              <w:pStyle w:val="ARfintablecolheadright"/>
            </w:pPr>
            <w:r w:rsidRPr="002029AF">
              <w:t>2019</w:t>
            </w:r>
          </w:p>
          <w:p w14:paraId="628167D8" w14:textId="77777777" w:rsidR="00087B91" w:rsidRPr="002029AF" w:rsidRDefault="00087B91" w:rsidP="00860E95">
            <w:pPr>
              <w:pStyle w:val="ARfintablecolheadright"/>
            </w:pPr>
            <w:r w:rsidRPr="002029AF">
              <w:t>$M</w:t>
            </w:r>
          </w:p>
        </w:tc>
      </w:tr>
      <w:tr w:rsidR="00087B91" w:rsidRPr="002029AF" w14:paraId="03313FD0" w14:textId="77777777" w:rsidTr="00860E95">
        <w:tc>
          <w:tcPr>
            <w:tcW w:w="7371" w:type="dxa"/>
            <w:tcBorders>
              <w:top w:val="single" w:sz="4" w:space="0" w:color="auto"/>
              <w:bottom w:val="single" w:sz="4" w:space="0" w:color="A6A6A6"/>
            </w:tcBorders>
            <w:hideMark/>
          </w:tcPr>
          <w:p w14:paraId="6E3DD40B" w14:textId="31278D25" w:rsidR="00087B91" w:rsidRPr="002029AF" w:rsidRDefault="00087B91" w:rsidP="00860E95">
            <w:pPr>
              <w:pStyle w:val="ARfintablebody"/>
            </w:pPr>
            <w:r w:rsidRPr="002029AF">
              <w:t>Contributions</w:t>
            </w:r>
            <w:r w:rsidR="000A5329" w:rsidRPr="002029AF">
              <w:t xml:space="preserve"> </w:t>
            </w:r>
            <w:r w:rsidRPr="002029AF">
              <w:t>from</w:t>
            </w:r>
            <w:r w:rsidR="000A5329" w:rsidRPr="002029AF">
              <w:t xml:space="preserve"> </w:t>
            </w:r>
            <w:r w:rsidRPr="002029AF">
              <w:t>the</w:t>
            </w:r>
            <w:r w:rsidR="000A5329" w:rsidRPr="002029AF">
              <w:t xml:space="preserve"> </w:t>
            </w:r>
            <w:r w:rsidRPr="002029AF">
              <w:t>employer</w:t>
            </w:r>
          </w:p>
        </w:tc>
        <w:tc>
          <w:tcPr>
            <w:tcW w:w="1133" w:type="dxa"/>
            <w:tcBorders>
              <w:top w:val="single" w:sz="4" w:space="0" w:color="auto"/>
              <w:bottom w:val="single" w:sz="4" w:space="0" w:color="A6A6A6"/>
            </w:tcBorders>
            <w:shd w:val="clear" w:color="auto" w:fill="E7E6E6"/>
            <w:noWrap/>
            <w:hideMark/>
          </w:tcPr>
          <w:p w14:paraId="54FCAA46" w14:textId="77777777" w:rsidR="00087B91" w:rsidRPr="002029AF" w:rsidRDefault="00087B91" w:rsidP="00860E95">
            <w:pPr>
              <w:pStyle w:val="ARfintablebodyright"/>
            </w:pPr>
            <w:r w:rsidRPr="002029AF">
              <w:t>2.7</w:t>
            </w:r>
          </w:p>
        </w:tc>
        <w:tc>
          <w:tcPr>
            <w:tcW w:w="1133" w:type="dxa"/>
            <w:tcBorders>
              <w:top w:val="single" w:sz="4" w:space="0" w:color="auto"/>
              <w:bottom w:val="single" w:sz="4" w:space="0" w:color="A6A6A6"/>
            </w:tcBorders>
            <w:noWrap/>
            <w:hideMark/>
          </w:tcPr>
          <w:p w14:paraId="7C1D1811" w14:textId="77777777" w:rsidR="00087B91" w:rsidRPr="002029AF" w:rsidRDefault="00087B91" w:rsidP="00860E95">
            <w:pPr>
              <w:pStyle w:val="ARfintablebodyright"/>
            </w:pPr>
            <w:r w:rsidRPr="002029AF">
              <w:t>2.8</w:t>
            </w:r>
          </w:p>
        </w:tc>
      </w:tr>
      <w:tr w:rsidR="00087B91" w:rsidRPr="002029AF" w14:paraId="5867F015" w14:textId="77777777" w:rsidTr="00860E95">
        <w:tc>
          <w:tcPr>
            <w:tcW w:w="7371" w:type="dxa"/>
            <w:tcBorders>
              <w:top w:val="single" w:sz="4" w:space="0" w:color="A6A6A6"/>
            </w:tcBorders>
            <w:hideMark/>
          </w:tcPr>
          <w:p w14:paraId="1369B6F4" w14:textId="26DA4523" w:rsidR="00087B91" w:rsidRPr="002029AF" w:rsidRDefault="00087B91" w:rsidP="00860E95">
            <w:pPr>
              <w:pStyle w:val="ARfintablebody"/>
            </w:pPr>
            <w:r w:rsidRPr="002029AF">
              <w:t>Benefits</w:t>
            </w:r>
            <w:r w:rsidR="000A5329" w:rsidRPr="002029AF">
              <w:t xml:space="preserve"> </w:t>
            </w:r>
            <w:r w:rsidRPr="002029AF">
              <w:t>paid</w:t>
            </w:r>
          </w:p>
        </w:tc>
        <w:tc>
          <w:tcPr>
            <w:tcW w:w="1133" w:type="dxa"/>
            <w:tcBorders>
              <w:top w:val="single" w:sz="4" w:space="0" w:color="A6A6A6"/>
            </w:tcBorders>
            <w:shd w:val="clear" w:color="auto" w:fill="E7E6E6"/>
            <w:noWrap/>
            <w:hideMark/>
          </w:tcPr>
          <w:p w14:paraId="599C5E72" w14:textId="77777777" w:rsidR="00087B91" w:rsidRPr="002029AF" w:rsidRDefault="00087B91" w:rsidP="00860E95">
            <w:pPr>
              <w:pStyle w:val="ARfintablebodyright"/>
            </w:pPr>
            <w:r w:rsidRPr="002029AF">
              <w:t>(2.7)</w:t>
            </w:r>
          </w:p>
        </w:tc>
        <w:tc>
          <w:tcPr>
            <w:tcW w:w="1133" w:type="dxa"/>
            <w:tcBorders>
              <w:top w:val="single" w:sz="4" w:space="0" w:color="A6A6A6"/>
            </w:tcBorders>
            <w:noWrap/>
            <w:hideMark/>
          </w:tcPr>
          <w:p w14:paraId="5EE027E9" w14:textId="77777777" w:rsidR="00087B91" w:rsidRPr="002029AF" w:rsidRDefault="00087B91" w:rsidP="00860E95">
            <w:pPr>
              <w:pStyle w:val="ARfintablebodyright"/>
            </w:pPr>
            <w:r w:rsidRPr="002029AF">
              <w:t>(2.8)</w:t>
            </w:r>
          </w:p>
        </w:tc>
      </w:tr>
      <w:tr w:rsidR="00087B91" w:rsidRPr="002029AF" w14:paraId="211071E3" w14:textId="77777777" w:rsidTr="00860E95">
        <w:tc>
          <w:tcPr>
            <w:tcW w:w="7371" w:type="dxa"/>
            <w:hideMark/>
          </w:tcPr>
          <w:p w14:paraId="267238B0" w14:textId="5C4BA03F" w:rsidR="00087B91" w:rsidRPr="002029AF" w:rsidRDefault="00087B91" w:rsidP="00860E95">
            <w:pPr>
              <w:pStyle w:val="ARfintablebodybold"/>
            </w:pPr>
            <w:r w:rsidRPr="002029AF">
              <w:t>Closing</w:t>
            </w:r>
            <w:r w:rsidR="000A5329" w:rsidRPr="002029AF">
              <w:t xml:space="preserve"> </w:t>
            </w:r>
            <w:r w:rsidRPr="002029AF">
              <w:t>balance</w:t>
            </w:r>
            <w:r w:rsidR="000A5329" w:rsidRPr="002029AF">
              <w:t xml:space="preserve"> </w:t>
            </w:r>
            <w:r w:rsidRPr="002029AF">
              <w:t>of</w:t>
            </w:r>
            <w:r w:rsidR="000A5329" w:rsidRPr="002029AF">
              <w:t xml:space="preserve"> </w:t>
            </w:r>
            <w:r w:rsidRPr="002029AF">
              <w:t>plan</w:t>
            </w:r>
            <w:r w:rsidR="000A5329" w:rsidRPr="002029AF">
              <w:t xml:space="preserve"> </w:t>
            </w:r>
            <w:r w:rsidRPr="002029AF">
              <w:t>assets</w:t>
            </w:r>
          </w:p>
        </w:tc>
        <w:tc>
          <w:tcPr>
            <w:tcW w:w="1133" w:type="dxa"/>
            <w:shd w:val="clear" w:color="auto" w:fill="E7E6E6"/>
            <w:noWrap/>
            <w:hideMark/>
          </w:tcPr>
          <w:p w14:paraId="06F5705D" w14:textId="77777777" w:rsidR="00087B91" w:rsidRPr="002029AF" w:rsidRDefault="00087B91" w:rsidP="00860E95">
            <w:pPr>
              <w:pStyle w:val="ARfintablebodyrightbold"/>
            </w:pPr>
            <w:r w:rsidRPr="002029AF">
              <w:t>–</w:t>
            </w:r>
          </w:p>
        </w:tc>
        <w:tc>
          <w:tcPr>
            <w:tcW w:w="1133" w:type="dxa"/>
            <w:noWrap/>
            <w:hideMark/>
          </w:tcPr>
          <w:p w14:paraId="10E44AA6" w14:textId="77777777" w:rsidR="00087B91" w:rsidRPr="002029AF" w:rsidRDefault="00087B91" w:rsidP="00860E95">
            <w:pPr>
              <w:pStyle w:val="ARfintablebodyrightbold"/>
            </w:pPr>
            <w:r w:rsidRPr="002029AF">
              <w:t>–</w:t>
            </w:r>
          </w:p>
        </w:tc>
      </w:tr>
    </w:tbl>
    <w:p w14:paraId="0EEDD20E" w14:textId="058B7260" w:rsidR="00087B91" w:rsidRPr="002029AF" w:rsidRDefault="00087B91" w:rsidP="00087B91">
      <w:pPr>
        <w:pStyle w:val="Heading7"/>
      </w:pPr>
      <w:r w:rsidRPr="002029AF">
        <w:rPr>
          <w:rFonts w:eastAsia="Times New Roman"/>
        </w:rPr>
        <w:t>Superannuation</w:t>
      </w:r>
      <w:r w:rsidR="000A5329" w:rsidRPr="002029AF">
        <w:t xml:space="preserve"> </w:t>
      </w:r>
      <w:r w:rsidRPr="002029AF">
        <w:rPr>
          <w:rFonts w:eastAsia="Times New Roman"/>
        </w:rPr>
        <w:t>expense</w:t>
      </w:r>
      <w:r w:rsidR="000A5329" w:rsidRPr="002029AF">
        <w:rPr>
          <w:rFonts w:eastAsia="Times New Roman"/>
        </w:rPr>
        <w:t xml:space="preserve"> </w:t>
      </w:r>
      <w:r w:rsidRPr="002029AF">
        <w:rPr>
          <w:rFonts w:eastAsia="Times New Roman"/>
        </w:rPr>
        <w:t>recognised</w:t>
      </w:r>
      <w:r w:rsidR="000A5329" w:rsidRPr="002029AF">
        <w:rPr>
          <w:rFonts w:eastAsia="Times New Roman"/>
        </w:rPr>
        <w:t xml:space="preserve"> </w:t>
      </w:r>
      <w:r w:rsidRPr="002029AF">
        <w:rPr>
          <w:rFonts w:eastAsia="Times New Roman"/>
        </w:rPr>
        <w:t>in</w:t>
      </w:r>
      <w:r w:rsidR="000A5329" w:rsidRPr="002029AF">
        <w:rPr>
          <w:rFonts w:eastAsia="Times New Roman"/>
        </w:rPr>
        <w:t xml:space="preserve"> </w:t>
      </w:r>
      <w:r w:rsidRPr="002029AF">
        <w:rPr>
          <w:rFonts w:eastAsia="Times New Roman"/>
        </w:rPr>
        <w:t>the</w:t>
      </w:r>
      <w:r w:rsidR="000A5329" w:rsidRPr="002029AF">
        <w:rPr>
          <w:rFonts w:eastAsia="Times New Roman"/>
        </w:rPr>
        <w:t xml:space="preserve"> </w:t>
      </w:r>
      <w:r w:rsidRPr="002029AF">
        <w:rPr>
          <w:rFonts w:eastAsia="Times New Roman"/>
        </w:rPr>
        <w:t>comprehensive</w:t>
      </w:r>
      <w:r w:rsidR="000A5329" w:rsidRPr="002029AF">
        <w:rPr>
          <w:rFonts w:eastAsia="Times New Roman"/>
        </w:rPr>
        <w:t xml:space="preserve"> </w:t>
      </w:r>
      <w:r w:rsidRPr="002029AF">
        <w:rPr>
          <w:rFonts w:eastAsia="Times New Roman"/>
        </w:rPr>
        <w:t>operating</w:t>
      </w:r>
      <w:r w:rsidR="000A5329" w:rsidRPr="002029AF">
        <w:rPr>
          <w:rFonts w:eastAsia="Times New Roman"/>
        </w:rPr>
        <w:t xml:space="preserve"> </w:t>
      </w:r>
      <w:r w:rsidRPr="002029AF">
        <w:rPr>
          <w:rFonts w:eastAsia="Times New Roman"/>
        </w:rPr>
        <w:t>statement</w:t>
      </w:r>
    </w:p>
    <w:tbl>
      <w:tblPr>
        <w:tblStyle w:val="TableGrid"/>
        <w:tblW w:w="9637" w:type="dxa"/>
        <w:tblLayout w:type="fixed"/>
        <w:tblLook w:val="06A0" w:firstRow="1" w:lastRow="0" w:firstColumn="1" w:lastColumn="0" w:noHBand="1" w:noVBand="1"/>
      </w:tblPr>
      <w:tblGrid>
        <w:gridCol w:w="7371"/>
        <w:gridCol w:w="1133"/>
        <w:gridCol w:w="1133"/>
      </w:tblGrid>
      <w:tr w:rsidR="00087B91" w:rsidRPr="002029AF" w14:paraId="51736ECF" w14:textId="77777777" w:rsidTr="00C83719">
        <w:trPr>
          <w:cnfStyle w:val="100000000000" w:firstRow="1" w:lastRow="0" w:firstColumn="0" w:lastColumn="0" w:oddVBand="0" w:evenVBand="0" w:oddHBand="0" w:evenHBand="0" w:firstRowFirstColumn="0" w:firstRowLastColumn="0" w:lastRowFirstColumn="0" w:lastRowLastColumn="0"/>
          <w:tblHeader/>
        </w:trPr>
        <w:tc>
          <w:tcPr>
            <w:tcW w:w="7371" w:type="dxa"/>
            <w:tcBorders>
              <w:bottom w:val="single" w:sz="4" w:space="0" w:color="auto"/>
            </w:tcBorders>
            <w:noWrap/>
            <w:hideMark/>
          </w:tcPr>
          <w:p w14:paraId="54A02C97" w14:textId="77777777" w:rsidR="00087B91" w:rsidRPr="002029AF" w:rsidRDefault="00087B91" w:rsidP="00860E95">
            <w:pPr>
              <w:pStyle w:val="ARfintablecolhead"/>
            </w:pPr>
          </w:p>
        </w:tc>
        <w:tc>
          <w:tcPr>
            <w:tcW w:w="1133" w:type="dxa"/>
            <w:tcBorders>
              <w:bottom w:val="single" w:sz="4" w:space="0" w:color="auto"/>
            </w:tcBorders>
            <w:shd w:val="clear" w:color="auto" w:fill="E7E6E6"/>
            <w:hideMark/>
          </w:tcPr>
          <w:p w14:paraId="1FDB7DF7" w14:textId="77777777" w:rsidR="00087B91" w:rsidRPr="002029AF" w:rsidRDefault="00087B91" w:rsidP="00860E95">
            <w:pPr>
              <w:pStyle w:val="ARfintablecolheadright"/>
            </w:pPr>
            <w:r w:rsidRPr="002029AF">
              <w:t>2020</w:t>
            </w:r>
          </w:p>
          <w:p w14:paraId="427C2FCB" w14:textId="77777777" w:rsidR="00087B91" w:rsidRPr="002029AF" w:rsidRDefault="00087B91" w:rsidP="00860E95">
            <w:pPr>
              <w:pStyle w:val="ARfintablecolheadright"/>
            </w:pPr>
            <w:r w:rsidRPr="002029AF">
              <w:t>$M</w:t>
            </w:r>
          </w:p>
        </w:tc>
        <w:tc>
          <w:tcPr>
            <w:tcW w:w="1133" w:type="dxa"/>
            <w:tcBorders>
              <w:bottom w:val="single" w:sz="4" w:space="0" w:color="auto"/>
            </w:tcBorders>
            <w:hideMark/>
          </w:tcPr>
          <w:p w14:paraId="31424807" w14:textId="77777777" w:rsidR="00087B91" w:rsidRPr="002029AF" w:rsidRDefault="00087B91" w:rsidP="00860E95">
            <w:pPr>
              <w:pStyle w:val="ARfintablecolheadright"/>
            </w:pPr>
            <w:r w:rsidRPr="002029AF">
              <w:t>2019</w:t>
            </w:r>
          </w:p>
          <w:p w14:paraId="56D200BE" w14:textId="77777777" w:rsidR="00087B91" w:rsidRPr="002029AF" w:rsidRDefault="00087B91" w:rsidP="00860E95">
            <w:pPr>
              <w:pStyle w:val="ARfintablecolheadright"/>
            </w:pPr>
            <w:r w:rsidRPr="002029AF">
              <w:t>$M</w:t>
            </w:r>
          </w:p>
        </w:tc>
      </w:tr>
      <w:tr w:rsidR="00087B91" w:rsidRPr="002029AF" w14:paraId="304BACC3" w14:textId="77777777" w:rsidTr="00860E95">
        <w:trPr>
          <w:trHeight w:val="255"/>
        </w:trPr>
        <w:tc>
          <w:tcPr>
            <w:tcW w:w="7371" w:type="dxa"/>
            <w:tcBorders>
              <w:top w:val="single" w:sz="4" w:space="0" w:color="auto"/>
              <w:bottom w:val="single" w:sz="4" w:space="0" w:color="A6A6A6"/>
            </w:tcBorders>
            <w:hideMark/>
          </w:tcPr>
          <w:p w14:paraId="546EE9B8" w14:textId="53A83C34" w:rsidR="00087B91" w:rsidRPr="002029AF" w:rsidRDefault="00087B91" w:rsidP="00860E95">
            <w:pPr>
              <w:pStyle w:val="ARfintablebody"/>
            </w:pPr>
            <w:r w:rsidRPr="002029AF">
              <w:t>Interest</w:t>
            </w:r>
            <w:r w:rsidR="000A5329" w:rsidRPr="002029AF">
              <w:t xml:space="preserve"> </w:t>
            </w:r>
            <w:r w:rsidRPr="002029AF">
              <w:t>cost</w:t>
            </w:r>
          </w:p>
        </w:tc>
        <w:tc>
          <w:tcPr>
            <w:tcW w:w="1133" w:type="dxa"/>
            <w:tcBorders>
              <w:top w:val="single" w:sz="4" w:space="0" w:color="auto"/>
              <w:bottom w:val="single" w:sz="4" w:space="0" w:color="A6A6A6"/>
            </w:tcBorders>
            <w:shd w:val="clear" w:color="auto" w:fill="E7E6E6"/>
            <w:noWrap/>
            <w:hideMark/>
          </w:tcPr>
          <w:p w14:paraId="3E090E9C" w14:textId="77777777" w:rsidR="00087B91" w:rsidRPr="002029AF" w:rsidRDefault="00087B91" w:rsidP="00860E95">
            <w:pPr>
              <w:pStyle w:val="ARfintablebodyright"/>
            </w:pPr>
            <w:r w:rsidRPr="002029AF">
              <w:t>0.5</w:t>
            </w:r>
          </w:p>
        </w:tc>
        <w:tc>
          <w:tcPr>
            <w:tcW w:w="1133" w:type="dxa"/>
            <w:tcBorders>
              <w:top w:val="single" w:sz="4" w:space="0" w:color="auto"/>
              <w:bottom w:val="single" w:sz="4" w:space="0" w:color="A6A6A6"/>
            </w:tcBorders>
            <w:noWrap/>
            <w:hideMark/>
          </w:tcPr>
          <w:p w14:paraId="7C825D8C" w14:textId="77777777" w:rsidR="00087B91" w:rsidRPr="002029AF" w:rsidRDefault="00087B91" w:rsidP="00860E95">
            <w:pPr>
              <w:pStyle w:val="ARfintablebodyright"/>
            </w:pPr>
            <w:r w:rsidRPr="002029AF">
              <w:t>0.9</w:t>
            </w:r>
          </w:p>
        </w:tc>
      </w:tr>
      <w:tr w:rsidR="00087B91" w:rsidRPr="002029AF" w14:paraId="06AC2C02" w14:textId="77777777" w:rsidTr="00860E95">
        <w:trPr>
          <w:trHeight w:val="255"/>
        </w:trPr>
        <w:tc>
          <w:tcPr>
            <w:tcW w:w="7371" w:type="dxa"/>
            <w:tcBorders>
              <w:top w:val="single" w:sz="4" w:space="0" w:color="A6A6A6"/>
            </w:tcBorders>
            <w:hideMark/>
          </w:tcPr>
          <w:p w14:paraId="622F73B4" w14:textId="2C2987AA" w:rsidR="00087B91" w:rsidRPr="002029AF" w:rsidRDefault="00087B91" w:rsidP="00860E95">
            <w:pPr>
              <w:pStyle w:val="ARfintablebody"/>
            </w:pPr>
            <w:r w:rsidRPr="002029AF">
              <w:t>Actuarial</w:t>
            </w:r>
            <w:r w:rsidR="000A5329" w:rsidRPr="002029AF">
              <w:t xml:space="preserve"> </w:t>
            </w:r>
            <w:r w:rsidRPr="002029AF">
              <w:t>losses/(gains)</w:t>
            </w:r>
          </w:p>
        </w:tc>
        <w:tc>
          <w:tcPr>
            <w:tcW w:w="1133" w:type="dxa"/>
            <w:tcBorders>
              <w:top w:val="single" w:sz="4" w:space="0" w:color="A6A6A6"/>
            </w:tcBorders>
            <w:shd w:val="clear" w:color="auto" w:fill="E7E6E6"/>
            <w:noWrap/>
            <w:hideMark/>
          </w:tcPr>
          <w:p w14:paraId="5176A970" w14:textId="77777777" w:rsidR="00087B91" w:rsidRPr="002029AF" w:rsidRDefault="00087B91" w:rsidP="00860E95">
            <w:pPr>
              <w:pStyle w:val="ARfintablebodyright"/>
            </w:pPr>
            <w:r w:rsidRPr="002029AF">
              <w:t>(0.3)</w:t>
            </w:r>
          </w:p>
        </w:tc>
        <w:tc>
          <w:tcPr>
            <w:tcW w:w="1133" w:type="dxa"/>
            <w:tcBorders>
              <w:top w:val="single" w:sz="4" w:space="0" w:color="A6A6A6"/>
            </w:tcBorders>
            <w:noWrap/>
            <w:hideMark/>
          </w:tcPr>
          <w:p w14:paraId="504F20DA" w14:textId="77777777" w:rsidR="00087B91" w:rsidRPr="002029AF" w:rsidRDefault="00087B91" w:rsidP="00860E95">
            <w:pPr>
              <w:pStyle w:val="ARfintablebodyright"/>
            </w:pPr>
            <w:r w:rsidRPr="002029AF">
              <w:t>2.5</w:t>
            </w:r>
          </w:p>
        </w:tc>
      </w:tr>
      <w:tr w:rsidR="00087B91" w:rsidRPr="002029AF" w14:paraId="3BD3675D" w14:textId="77777777" w:rsidTr="00860E95">
        <w:trPr>
          <w:trHeight w:val="255"/>
        </w:trPr>
        <w:tc>
          <w:tcPr>
            <w:tcW w:w="7371" w:type="dxa"/>
            <w:hideMark/>
          </w:tcPr>
          <w:p w14:paraId="1620EFEB" w14:textId="0C1D40E6" w:rsidR="00087B91" w:rsidRPr="002029AF" w:rsidRDefault="00087B91" w:rsidP="00860E95">
            <w:pPr>
              <w:pStyle w:val="ARfintablebodybold"/>
            </w:pPr>
            <w:r w:rsidRPr="002029AF">
              <w:t>Total</w:t>
            </w:r>
            <w:r w:rsidR="000A5329" w:rsidRPr="002029AF">
              <w:t xml:space="preserve"> </w:t>
            </w:r>
            <w:r w:rsidRPr="002029AF">
              <w:t>expense</w:t>
            </w:r>
            <w:r w:rsidR="000A5329" w:rsidRPr="002029AF">
              <w:t xml:space="preserve"> </w:t>
            </w:r>
            <w:r w:rsidRPr="002029AF">
              <w:t>recognised</w:t>
            </w:r>
            <w:r w:rsidR="000A5329" w:rsidRPr="002029AF">
              <w:t xml:space="preserve"> </w:t>
            </w:r>
            <w:r w:rsidRPr="002029AF">
              <w:t>in</w:t>
            </w:r>
            <w:r w:rsidR="000A5329" w:rsidRPr="002029AF">
              <w:t xml:space="preserve"> </w:t>
            </w:r>
            <w:r w:rsidRPr="002029AF">
              <w:t>respect</w:t>
            </w:r>
            <w:r w:rsidR="000A5329" w:rsidRPr="002029AF">
              <w:t xml:space="preserve"> </w:t>
            </w:r>
            <w:r w:rsidRPr="002029AF">
              <w:t>of</w:t>
            </w:r>
            <w:r w:rsidR="000A5329" w:rsidRPr="002029AF">
              <w:t xml:space="preserve"> </w:t>
            </w:r>
            <w:r w:rsidRPr="002029AF">
              <w:t>defined</w:t>
            </w:r>
            <w:r w:rsidR="000A5329" w:rsidRPr="002029AF">
              <w:t xml:space="preserve"> </w:t>
            </w:r>
            <w:r w:rsidRPr="002029AF">
              <w:t>benefit</w:t>
            </w:r>
            <w:r w:rsidR="000A5329" w:rsidRPr="002029AF">
              <w:t xml:space="preserve"> </w:t>
            </w:r>
            <w:r w:rsidRPr="002029AF">
              <w:t>plans</w:t>
            </w:r>
          </w:p>
        </w:tc>
        <w:tc>
          <w:tcPr>
            <w:tcW w:w="1133" w:type="dxa"/>
            <w:shd w:val="clear" w:color="auto" w:fill="E7E6E6"/>
            <w:noWrap/>
            <w:hideMark/>
          </w:tcPr>
          <w:p w14:paraId="08A0BDC7" w14:textId="77777777" w:rsidR="00087B91" w:rsidRPr="002029AF" w:rsidRDefault="00087B91" w:rsidP="00860E95">
            <w:pPr>
              <w:pStyle w:val="ARfintablebodyrightbold"/>
            </w:pPr>
            <w:r w:rsidRPr="002029AF">
              <w:t>0.2</w:t>
            </w:r>
          </w:p>
        </w:tc>
        <w:tc>
          <w:tcPr>
            <w:tcW w:w="1133" w:type="dxa"/>
            <w:noWrap/>
            <w:hideMark/>
          </w:tcPr>
          <w:p w14:paraId="199D1FA3" w14:textId="77777777" w:rsidR="00087B91" w:rsidRPr="002029AF" w:rsidRDefault="00087B91" w:rsidP="00860E95">
            <w:pPr>
              <w:pStyle w:val="ARfintablebodyrightbold"/>
            </w:pPr>
            <w:r w:rsidRPr="002029AF">
              <w:t>3.5</w:t>
            </w:r>
          </w:p>
        </w:tc>
      </w:tr>
    </w:tbl>
    <w:p w14:paraId="383128A3" w14:textId="0C88672B" w:rsidR="00087B91" w:rsidRPr="002029AF" w:rsidRDefault="00087B91" w:rsidP="00087B91">
      <w:pPr>
        <w:pStyle w:val="ARfinbodyaftertable"/>
      </w:pPr>
      <w:r w:rsidRPr="002029AF">
        <w:t>Net</w:t>
      </w:r>
      <w:r w:rsidR="000A5329" w:rsidRPr="002029AF">
        <w:t xml:space="preserve"> </w:t>
      </w:r>
      <w:r w:rsidRPr="002029AF">
        <w:t>actuarial</w:t>
      </w:r>
      <w:r w:rsidR="000A5329" w:rsidRPr="002029AF">
        <w:t xml:space="preserve"> </w:t>
      </w:r>
      <w:r w:rsidRPr="002029AF">
        <w:t>gains</w:t>
      </w:r>
      <w:r w:rsidR="000A5329" w:rsidRPr="002029AF">
        <w:t xml:space="preserve"> </w:t>
      </w:r>
      <w:r w:rsidRPr="002029AF">
        <w:t>or</w:t>
      </w:r>
      <w:r w:rsidR="000A5329" w:rsidRPr="002029AF">
        <w:t xml:space="preserve"> </w:t>
      </w:r>
      <w:r w:rsidRPr="002029AF">
        <w:t>losses</w:t>
      </w:r>
      <w:r w:rsidR="000A5329" w:rsidRPr="002029AF">
        <w:t xml:space="preserve"> </w:t>
      </w:r>
      <w:r w:rsidRPr="002029AF">
        <w:t>reflect</w:t>
      </w:r>
      <w:r w:rsidR="000A5329" w:rsidRPr="002029AF">
        <w:t xml:space="preserve"> </w:t>
      </w:r>
      <w:r w:rsidRPr="002029AF">
        <w:t>the</w:t>
      </w:r>
      <w:r w:rsidR="000A5329" w:rsidRPr="002029AF">
        <w:t xml:space="preserve"> </w:t>
      </w:r>
      <w:r w:rsidRPr="002029AF">
        <w:t>change</w:t>
      </w:r>
      <w:r w:rsidR="000A5329" w:rsidRPr="002029AF">
        <w:t xml:space="preserve"> </w:t>
      </w:r>
      <w:r w:rsidRPr="002029AF">
        <w:t>in</w:t>
      </w:r>
      <w:r w:rsidR="000A5329" w:rsidRPr="002029AF">
        <w:t xml:space="preserve"> </w:t>
      </w:r>
      <w:r w:rsidRPr="002029AF">
        <w:t>superannuation</w:t>
      </w:r>
      <w:r w:rsidR="000A5329" w:rsidRPr="002029AF">
        <w:t xml:space="preserve"> </w:t>
      </w:r>
      <w:r w:rsidRPr="002029AF">
        <w:t>liability</w:t>
      </w:r>
      <w:r w:rsidR="000A5329" w:rsidRPr="002029AF">
        <w:t xml:space="preserve"> </w:t>
      </w:r>
      <w:r w:rsidRPr="002029AF">
        <w:t>that</w:t>
      </w:r>
      <w:r w:rsidR="000A5329" w:rsidRPr="002029AF">
        <w:t xml:space="preserve"> </w:t>
      </w:r>
      <w:r w:rsidRPr="002029AF">
        <w:t>arises</w:t>
      </w:r>
      <w:r w:rsidR="000A5329" w:rsidRPr="002029AF">
        <w:t xml:space="preserve"> </w:t>
      </w:r>
      <w:r w:rsidRPr="002029AF">
        <w:t>due</w:t>
      </w:r>
      <w:r w:rsidR="000A5329" w:rsidRPr="002029AF">
        <w:t xml:space="preserve"> </w:t>
      </w:r>
      <w:r w:rsidRPr="002029AF">
        <w:t>to</w:t>
      </w:r>
      <w:r w:rsidR="000A5329" w:rsidRPr="002029AF">
        <w:t xml:space="preserve"> </w:t>
      </w:r>
      <w:r w:rsidRPr="002029AF">
        <w:t>differences</w:t>
      </w:r>
      <w:r w:rsidR="000A5329" w:rsidRPr="002029AF">
        <w:t xml:space="preserve"> </w:t>
      </w:r>
      <w:r w:rsidRPr="002029AF">
        <w:t>between</w:t>
      </w:r>
      <w:r w:rsidR="000A5329" w:rsidRPr="002029AF">
        <w:t xml:space="preserve"> </w:t>
      </w:r>
      <w:r w:rsidRPr="002029AF">
        <w:t>the</w:t>
      </w:r>
      <w:r w:rsidR="000A5329" w:rsidRPr="002029AF">
        <w:t xml:space="preserve"> </w:t>
      </w:r>
      <w:r w:rsidRPr="002029AF">
        <w:t>assumptions</w:t>
      </w:r>
      <w:r w:rsidR="000A5329" w:rsidRPr="002029AF">
        <w:t xml:space="preserve"> </w:t>
      </w:r>
      <w:r w:rsidRPr="002029AF">
        <w:t>used</w:t>
      </w:r>
      <w:r w:rsidR="000A5329" w:rsidRPr="002029AF">
        <w:t xml:space="preserve"> </w:t>
      </w:r>
      <w:r w:rsidRPr="002029AF">
        <w:t>to</w:t>
      </w:r>
      <w:r w:rsidR="000A5329" w:rsidRPr="002029AF">
        <w:t xml:space="preserve"> </w:t>
      </w:r>
      <w:r w:rsidRPr="002029AF">
        <w:t>calculate</w:t>
      </w:r>
      <w:r w:rsidR="000A5329" w:rsidRPr="002029AF">
        <w:t xml:space="preserve"> </w:t>
      </w:r>
      <w:r w:rsidRPr="002029AF">
        <w:t>the</w:t>
      </w:r>
      <w:r w:rsidR="000A5329" w:rsidRPr="002029AF">
        <w:t xml:space="preserve"> </w:t>
      </w:r>
      <w:r w:rsidRPr="002029AF">
        <w:t>superannuation</w:t>
      </w:r>
      <w:r w:rsidR="000A5329" w:rsidRPr="002029AF">
        <w:t xml:space="preserve"> </w:t>
      </w:r>
      <w:r w:rsidRPr="002029AF">
        <w:t>expense</w:t>
      </w:r>
      <w:r w:rsidR="000A5329" w:rsidRPr="002029AF">
        <w:t xml:space="preserve"> </w:t>
      </w:r>
      <w:r w:rsidRPr="002029AF">
        <w:t>from</w:t>
      </w:r>
      <w:r w:rsidR="000A5329" w:rsidRPr="002029AF">
        <w:t xml:space="preserve"> </w:t>
      </w:r>
      <w:r w:rsidRPr="002029AF">
        <w:t>transactions</w:t>
      </w:r>
      <w:r w:rsidR="000A5329" w:rsidRPr="002029AF">
        <w:t xml:space="preserve"> </w:t>
      </w:r>
      <w:r w:rsidRPr="002029AF">
        <w:t>and</w:t>
      </w:r>
      <w:r w:rsidR="000A5329" w:rsidRPr="002029AF">
        <w:t xml:space="preserve"> </w:t>
      </w:r>
      <w:r w:rsidRPr="002029AF">
        <w:t>actual</w:t>
      </w:r>
      <w:r w:rsidR="000A5329" w:rsidRPr="002029AF">
        <w:t xml:space="preserve"> </w:t>
      </w:r>
      <w:r w:rsidRPr="002029AF">
        <w:t>outcomes.</w:t>
      </w:r>
      <w:r w:rsidR="000A5329" w:rsidRPr="002029AF">
        <w:t xml:space="preserve"> </w:t>
      </w:r>
      <w:r w:rsidRPr="002029AF">
        <w:t>The</w:t>
      </w:r>
      <w:r w:rsidR="000A5329" w:rsidRPr="002029AF">
        <w:t xml:space="preserve"> </w:t>
      </w:r>
      <w:r w:rsidRPr="002029AF">
        <w:t>effect</w:t>
      </w:r>
      <w:r w:rsidR="000A5329" w:rsidRPr="002029AF">
        <w:t xml:space="preserve"> </w:t>
      </w:r>
      <w:r w:rsidRPr="002029AF">
        <w:t>of</w:t>
      </w:r>
      <w:r w:rsidR="000A5329" w:rsidRPr="002029AF">
        <w:t xml:space="preserve"> </w:t>
      </w:r>
      <w:r w:rsidRPr="002029AF">
        <w:t>any</w:t>
      </w:r>
      <w:r w:rsidR="000A5329" w:rsidRPr="002029AF">
        <w:t xml:space="preserve"> </w:t>
      </w:r>
      <w:r w:rsidRPr="002029AF">
        <w:t>change</w:t>
      </w:r>
      <w:r w:rsidR="000A5329" w:rsidRPr="002029AF">
        <w:t xml:space="preserve"> </w:t>
      </w:r>
      <w:r w:rsidRPr="002029AF">
        <w:t>in</w:t>
      </w:r>
      <w:r w:rsidR="000A5329" w:rsidRPr="002029AF">
        <w:t xml:space="preserve"> </w:t>
      </w:r>
      <w:r w:rsidRPr="002029AF">
        <w:t>actuarial</w:t>
      </w:r>
      <w:r w:rsidR="000A5329" w:rsidRPr="002029AF">
        <w:t xml:space="preserve"> </w:t>
      </w:r>
      <w:r w:rsidRPr="002029AF">
        <w:t>assumptions</w:t>
      </w:r>
      <w:r w:rsidR="000A5329" w:rsidRPr="002029AF">
        <w:t xml:space="preserve"> </w:t>
      </w:r>
      <w:r w:rsidRPr="002029AF">
        <w:t>during</w:t>
      </w:r>
      <w:r w:rsidR="000A5329" w:rsidRPr="002029AF">
        <w:t xml:space="preserve"> </w:t>
      </w:r>
      <w:r w:rsidRPr="002029AF">
        <w:t>the</w:t>
      </w:r>
      <w:r w:rsidR="000A5329" w:rsidRPr="002029AF">
        <w:t xml:space="preserve"> </w:t>
      </w:r>
      <w:r w:rsidRPr="002029AF">
        <w:t>period</w:t>
      </w:r>
      <w:r w:rsidR="000A5329" w:rsidRPr="002029AF">
        <w:t xml:space="preserve"> </w:t>
      </w:r>
      <w:r w:rsidRPr="002029AF">
        <w:t>is</w:t>
      </w:r>
      <w:r w:rsidR="000A5329" w:rsidRPr="002029AF">
        <w:t xml:space="preserve"> </w:t>
      </w:r>
      <w:r w:rsidRPr="002029AF">
        <w:t>also</w:t>
      </w:r>
      <w:r w:rsidR="000A5329" w:rsidRPr="002029AF">
        <w:t xml:space="preserve"> </w:t>
      </w:r>
      <w:r w:rsidRPr="002029AF">
        <w:t>included.</w:t>
      </w:r>
      <w:r w:rsidR="000A5329" w:rsidRPr="002029AF">
        <w:t xml:space="preserve"> </w:t>
      </w:r>
      <w:r w:rsidRPr="002029AF">
        <w:t>Net</w:t>
      </w:r>
      <w:r w:rsidR="000A5329" w:rsidRPr="002029AF">
        <w:t xml:space="preserve"> </w:t>
      </w:r>
      <w:r w:rsidRPr="002029AF">
        <w:t>actuarial</w:t>
      </w:r>
      <w:r w:rsidR="000A5329" w:rsidRPr="002029AF">
        <w:t xml:space="preserve"> </w:t>
      </w:r>
      <w:r w:rsidRPr="002029AF">
        <w:t>gains</w:t>
      </w:r>
      <w:r w:rsidR="000A5329" w:rsidRPr="002029AF">
        <w:t xml:space="preserve"> </w:t>
      </w:r>
      <w:r w:rsidRPr="002029AF">
        <w:t>or</w:t>
      </w:r>
      <w:r w:rsidR="000A5329" w:rsidRPr="002029AF">
        <w:t xml:space="preserve"> </w:t>
      </w:r>
      <w:r w:rsidRPr="002029AF">
        <w:t>losses</w:t>
      </w:r>
      <w:r w:rsidR="000A5329" w:rsidRPr="002029AF">
        <w:t xml:space="preserve"> </w:t>
      </w:r>
      <w:r w:rsidRPr="002029AF">
        <w:t>are</w:t>
      </w:r>
      <w:r w:rsidR="000A5329" w:rsidRPr="002029AF">
        <w:t xml:space="preserve"> </w:t>
      </w:r>
      <w:r w:rsidRPr="002029AF">
        <w:t>recognised</w:t>
      </w:r>
      <w:r w:rsidR="000A5329" w:rsidRPr="002029AF">
        <w:t xml:space="preserve"> </w:t>
      </w:r>
      <w:r w:rsidRPr="002029AF">
        <w:t>in</w:t>
      </w:r>
      <w:r w:rsidR="000A5329" w:rsidRPr="002029AF">
        <w:t xml:space="preserve"> </w:t>
      </w:r>
      <w:r w:rsidRPr="002029AF">
        <w:t>the</w:t>
      </w:r>
      <w:r w:rsidR="000A5329" w:rsidRPr="002029AF">
        <w:t xml:space="preserve"> </w:t>
      </w:r>
      <w:r w:rsidRPr="002029AF">
        <w:t>period</w:t>
      </w:r>
      <w:r w:rsidR="000A5329" w:rsidRPr="002029AF">
        <w:t xml:space="preserve"> </w:t>
      </w:r>
      <w:r w:rsidRPr="002029AF">
        <w:t>in</w:t>
      </w:r>
      <w:r w:rsidR="000A5329" w:rsidRPr="002029AF">
        <w:t xml:space="preserve"> </w:t>
      </w:r>
      <w:r w:rsidRPr="002029AF">
        <w:t>which</w:t>
      </w:r>
      <w:r w:rsidR="000A5329" w:rsidRPr="002029AF">
        <w:t xml:space="preserve"> </w:t>
      </w:r>
      <w:r w:rsidRPr="002029AF">
        <w:t>they</w:t>
      </w:r>
      <w:r w:rsidR="000A5329" w:rsidRPr="002029AF">
        <w:t xml:space="preserve"> </w:t>
      </w:r>
      <w:r w:rsidRPr="002029AF">
        <w:t>occur.</w:t>
      </w:r>
    </w:p>
    <w:p w14:paraId="50F0C47D" w14:textId="77777777" w:rsidR="00087B91" w:rsidRPr="002029AF" w:rsidRDefault="00087B91" w:rsidP="00087B91">
      <w:pPr>
        <w:pStyle w:val="ARfinbody"/>
      </w:pPr>
      <w:r w:rsidRPr="002029AF">
        <w:br w:type="page"/>
      </w:r>
    </w:p>
    <w:p w14:paraId="3FAECFFE" w14:textId="5EE38986" w:rsidR="00087B91" w:rsidRPr="002029AF" w:rsidRDefault="00087B91" w:rsidP="00087B91">
      <w:pPr>
        <w:pStyle w:val="Heading6"/>
        <w:rPr>
          <w:lang w:val="en-AU"/>
        </w:rPr>
      </w:pPr>
      <w:bookmarkStart w:id="311" w:name="_Ref52455310"/>
      <w:r w:rsidRPr="002029AF">
        <w:rPr>
          <w:lang w:val="en-AU"/>
        </w:rPr>
        <w:lastRenderedPageBreak/>
        <w:t>3.1.1(c)</w:t>
      </w:r>
      <w:r w:rsidR="000A5329" w:rsidRPr="002029AF">
        <w:rPr>
          <w:lang w:val="en-AU"/>
        </w:rPr>
        <w:t xml:space="preserve"> </w:t>
      </w:r>
      <w:r w:rsidRPr="002029AF">
        <w:rPr>
          <w:lang w:val="en-AU"/>
        </w:rPr>
        <w:t>Superannuation</w:t>
      </w:r>
      <w:r w:rsidR="000A5329" w:rsidRPr="002029AF">
        <w:rPr>
          <w:lang w:val="en-AU"/>
        </w:rPr>
        <w:t xml:space="preserve"> </w:t>
      </w:r>
      <w:r w:rsidRPr="002029AF">
        <w:rPr>
          <w:lang w:val="en-AU"/>
        </w:rPr>
        <w:t>contributions</w:t>
      </w:r>
      <w:bookmarkEnd w:id="311"/>
    </w:p>
    <w:p w14:paraId="306E2249" w14:textId="61BD55B5" w:rsidR="00087B91" w:rsidRPr="002029AF" w:rsidRDefault="00087B91" w:rsidP="00087B91">
      <w:pPr>
        <w:pStyle w:val="ARfinbody"/>
      </w:pPr>
      <w:r w:rsidRPr="002029AF">
        <w:t>Employees</w:t>
      </w:r>
      <w:r w:rsidR="000A5329" w:rsidRPr="002029AF">
        <w:t xml:space="preserve"> </w:t>
      </w:r>
      <w:r w:rsidRPr="002029AF">
        <w:t>of</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are</w:t>
      </w:r>
      <w:r w:rsidR="000A5329" w:rsidRPr="002029AF">
        <w:t xml:space="preserve"> </w:t>
      </w:r>
      <w:r w:rsidRPr="002029AF">
        <w:t>entitled</w:t>
      </w:r>
      <w:r w:rsidR="000A5329" w:rsidRPr="002029AF">
        <w:t xml:space="preserve"> </w:t>
      </w:r>
      <w:r w:rsidRPr="002029AF">
        <w:t>to</w:t>
      </w:r>
      <w:r w:rsidR="000A5329" w:rsidRPr="002029AF">
        <w:t xml:space="preserve"> </w:t>
      </w:r>
      <w:r w:rsidRPr="002029AF">
        <w:t>receive</w:t>
      </w:r>
      <w:r w:rsidR="000A5329" w:rsidRPr="002029AF">
        <w:t xml:space="preserve"> </w:t>
      </w:r>
      <w:r w:rsidRPr="002029AF">
        <w:t>superannuation</w:t>
      </w:r>
      <w:r w:rsidR="000A5329" w:rsidRPr="002029AF">
        <w:t xml:space="preserve"> </w:t>
      </w:r>
      <w:r w:rsidRPr="002029AF">
        <w:t>benefits</w:t>
      </w:r>
      <w:r w:rsidR="000A5329" w:rsidRPr="002029AF">
        <w:t xml:space="preserve"> </w:t>
      </w:r>
      <w:r w:rsidRPr="002029AF">
        <w:t>and</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contributes</w:t>
      </w:r>
      <w:r w:rsidR="000A5329" w:rsidRPr="002029AF">
        <w:t xml:space="preserve"> </w:t>
      </w:r>
      <w:r w:rsidRPr="002029AF">
        <w:t>to</w:t>
      </w:r>
      <w:r w:rsidR="000A5329" w:rsidRPr="002029AF">
        <w:t xml:space="preserve"> </w:t>
      </w:r>
      <w:r w:rsidRPr="002029AF">
        <w:t>both</w:t>
      </w:r>
      <w:r w:rsidR="000A5329" w:rsidRPr="002029AF">
        <w:t xml:space="preserve"> </w:t>
      </w:r>
      <w:r w:rsidRPr="002029AF">
        <w:t>defined</w:t>
      </w:r>
      <w:r w:rsidR="000A5329" w:rsidRPr="002029AF">
        <w:t xml:space="preserve"> </w:t>
      </w:r>
      <w:r w:rsidRPr="002029AF">
        <w:t>benefit</w:t>
      </w:r>
      <w:r w:rsidR="000A5329" w:rsidRPr="002029AF">
        <w:t xml:space="preserve"> </w:t>
      </w:r>
      <w:r w:rsidRPr="002029AF">
        <w:t>and</w:t>
      </w:r>
      <w:r w:rsidR="000A5329" w:rsidRPr="002029AF">
        <w:t xml:space="preserve"> </w:t>
      </w:r>
      <w:r w:rsidRPr="002029AF">
        <w:t>defined</w:t>
      </w:r>
      <w:r w:rsidR="000A5329" w:rsidRPr="002029AF">
        <w:t xml:space="preserve"> </w:t>
      </w:r>
      <w:r w:rsidRPr="002029AF">
        <w:t>contribution</w:t>
      </w:r>
      <w:r w:rsidR="000A5329" w:rsidRPr="002029AF">
        <w:t xml:space="preserve"> </w:t>
      </w:r>
      <w:r w:rsidRPr="002029AF">
        <w:t>plans.</w:t>
      </w:r>
      <w:r w:rsidR="000A5329" w:rsidRPr="002029AF">
        <w:t xml:space="preserve"> </w:t>
      </w:r>
      <w:r w:rsidRPr="002029AF">
        <w:t>The</w:t>
      </w:r>
      <w:r w:rsidR="000A5329" w:rsidRPr="002029AF">
        <w:t xml:space="preserve"> </w:t>
      </w:r>
      <w:r w:rsidRPr="002029AF">
        <w:t>defined</w:t>
      </w:r>
      <w:r w:rsidR="000A5329" w:rsidRPr="002029AF">
        <w:t xml:space="preserve"> </w:t>
      </w:r>
      <w:r w:rsidRPr="002029AF">
        <w:t>benefit</w:t>
      </w:r>
      <w:r w:rsidR="000A5329" w:rsidRPr="002029AF">
        <w:t xml:space="preserve"> </w:t>
      </w:r>
      <w:r w:rsidRPr="002029AF">
        <w:t>plan(s)</w:t>
      </w:r>
      <w:r w:rsidR="000A5329" w:rsidRPr="002029AF">
        <w:t xml:space="preserve"> </w:t>
      </w:r>
      <w:r w:rsidRPr="002029AF">
        <w:t>provide</w:t>
      </w:r>
      <w:r w:rsidR="000A5329" w:rsidRPr="002029AF">
        <w:t xml:space="preserve"> </w:t>
      </w:r>
      <w:r w:rsidRPr="002029AF">
        <w:t>benefits</w:t>
      </w:r>
      <w:r w:rsidR="000A5329" w:rsidRPr="002029AF">
        <w:t xml:space="preserve"> </w:t>
      </w:r>
      <w:r w:rsidRPr="002029AF">
        <w:t>based</w:t>
      </w:r>
      <w:r w:rsidR="000A5329" w:rsidRPr="002029AF">
        <w:t xml:space="preserve"> </w:t>
      </w:r>
      <w:r w:rsidRPr="002029AF">
        <w:t>on</w:t>
      </w:r>
      <w:r w:rsidR="000A5329" w:rsidRPr="002029AF">
        <w:t xml:space="preserve"> </w:t>
      </w:r>
      <w:r w:rsidRPr="002029AF">
        <w:t>years</w:t>
      </w:r>
      <w:r w:rsidR="000A5329" w:rsidRPr="002029AF">
        <w:t xml:space="preserve"> </w:t>
      </w:r>
      <w:r w:rsidRPr="002029AF">
        <w:t>of</w:t>
      </w:r>
      <w:r w:rsidR="000A5329" w:rsidRPr="002029AF">
        <w:t xml:space="preserve"> </w:t>
      </w:r>
      <w:r w:rsidRPr="002029AF">
        <w:t>service</w:t>
      </w:r>
      <w:r w:rsidR="000A5329" w:rsidRPr="002029AF">
        <w:t xml:space="preserve"> </w:t>
      </w:r>
      <w:r w:rsidRPr="002029AF">
        <w:t>and</w:t>
      </w:r>
      <w:r w:rsidR="000A5329" w:rsidRPr="002029AF">
        <w:t xml:space="preserve"> </w:t>
      </w:r>
      <w:r w:rsidRPr="002029AF">
        <w:t>final</w:t>
      </w:r>
      <w:r w:rsidR="000A5329" w:rsidRPr="002029AF">
        <w:t xml:space="preserve"> </w:t>
      </w:r>
      <w:r w:rsidRPr="002029AF">
        <w:t>average</w:t>
      </w:r>
      <w:r w:rsidR="000A5329" w:rsidRPr="002029AF">
        <w:t xml:space="preserve"> </w:t>
      </w:r>
      <w:r w:rsidRPr="002029AF">
        <w:t>salary.</w:t>
      </w:r>
    </w:p>
    <w:p w14:paraId="0C260A49" w14:textId="4A16917B" w:rsidR="00087B91" w:rsidRPr="002029AF" w:rsidRDefault="00087B91" w:rsidP="00087B91">
      <w:pPr>
        <w:pStyle w:val="ARfinbodylargespace"/>
      </w:pPr>
      <w:r w:rsidRPr="002029AF">
        <w:t>As</w:t>
      </w:r>
      <w:r w:rsidR="000A5329" w:rsidRPr="002029AF">
        <w:t xml:space="preserve"> </w:t>
      </w:r>
      <w:r w:rsidR="009F4F40" w:rsidRPr="002029AF">
        <w:t>noted,</w:t>
      </w:r>
      <w:r w:rsidR="000A5329" w:rsidRPr="002029AF">
        <w:t xml:space="preserve"> </w:t>
      </w:r>
      <w:r w:rsidRPr="002029AF">
        <w:t>before,</w:t>
      </w:r>
      <w:r w:rsidR="000A5329" w:rsidRPr="002029AF">
        <w:t xml:space="preserve"> </w:t>
      </w:r>
      <w:r w:rsidRPr="002029AF">
        <w:t>other</w:t>
      </w:r>
      <w:r w:rsidR="000A5329" w:rsidRPr="002029AF">
        <w:t xml:space="preserve"> </w:t>
      </w:r>
      <w:r w:rsidRPr="002029AF">
        <w:t>than</w:t>
      </w:r>
      <w:r w:rsidR="000A5329" w:rsidRPr="002029AF">
        <w:t xml:space="preserve"> </w:t>
      </w:r>
      <w:r w:rsidRPr="002029AF">
        <w:t>former</w:t>
      </w:r>
      <w:r w:rsidR="000A5329" w:rsidRPr="002029AF">
        <w:t xml:space="preserve"> </w:t>
      </w:r>
      <w:r w:rsidRPr="002029AF">
        <w:t>employees</w:t>
      </w:r>
      <w:r w:rsidR="000A5329" w:rsidRPr="002029AF">
        <w:t xml:space="preserve"> </w:t>
      </w:r>
      <w:r w:rsidRPr="002029AF">
        <w:t>of</w:t>
      </w:r>
      <w:r w:rsidR="000A5329" w:rsidRPr="002029AF">
        <w:t xml:space="preserve"> </w:t>
      </w:r>
      <w:r w:rsidRPr="002029AF">
        <w:t>the</w:t>
      </w:r>
      <w:r w:rsidR="000A5329" w:rsidRPr="002029AF">
        <w:t xml:space="preserve"> </w:t>
      </w:r>
      <w:r w:rsidRPr="002029AF">
        <w:t>Director</w:t>
      </w:r>
      <w:r w:rsidR="000A5329" w:rsidRPr="002029AF">
        <w:t xml:space="preserve"> </w:t>
      </w:r>
      <w:r w:rsidRPr="002029AF">
        <w:t>of</w:t>
      </w:r>
      <w:r w:rsidR="000A5329" w:rsidRPr="002029AF">
        <w:t xml:space="preserve"> </w:t>
      </w:r>
      <w:r w:rsidRPr="002029AF">
        <w:t>Housing,</w:t>
      </w:r>
      <w:r w:rsidR="000A5329" w:rsidRPr="002029AF">
        <w:t xml:space="preserve"> </w:t>
      </w:r>
      <w:r w:rsidRPr="002029AF">
        <w:t>the</w:t>
      </w:r>
      <w:r w:rsidR="000A5329" w:rsidRPr="002029AF">
        <w:t xml:space="preserve"> </w:t>
      </w:r>
      <w:r w:rsidRPr="002029AF">
        <w:t>defined</w:t>
      </w:r>
      <w:r w:rsidR="000A5329" w:rsidRPr="002029AF">
        <w:t xml:space="preserve"> </w:t>
      </w:r>
      <w:r w:rsidRPr="002029AF">
        <w:t>benefit</w:t>
      </w:r>
      <w:r w:rsidR="000A5329" w:rsidRPr="002029AF">
        <w:t xml:space="preserve"> </w:t>
      </w:r>
      <w:r w:rsidRPr="002029AF">
        <w:t>liability</w:t>
      </w:r>
      <w:r w:rsidR="000A5329" w:rsidRPr="002029AF">
        <w:t xml:space="preserve"> </w:t>
      </w:r>
      <w:r w:rsidRPr="002029AF">
        <w:t>is</w:t>
      </w:r>
      <w:r w:rsidR="000A5329" w:rsidRPr="002029AF">
        <w:t xml:space="preserve"> </w:t>
      </w:r>
      <w:r w:rsidRPr="002029AF">
        <w:t>recognised</w:t>
      </w:r>
      <w:r w:rsidR="000A5329" w:rsidRPr="002029AF">
        <w:t xml:space="preserve"> </w:t>
      </w:r>
      <w:r w:rsidRPr="002029AF">
        <w:t>in</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of</w:t>
      </w:r>
      <w:r w:rsidR="000A5329" w:rsidRPr="002029AF">
        <w:t xml:space="preserve"> </w:t>
      </w:r>
      <w:r w:rsidRPr="002029AF">
        <w:t>Treasury</w:t>
      </w:r>
      <w:r w:rsidR="000A5329" w:rsidRPr="002029AF">
        <w:t xml:space="preserve"> </w:t>
      </w:r>
      <w:r w:rsidRPr="002029AF">
        <w:t>and</w:t>
      </w:r>
      <w:r w:rsidR="000A5329" w:rsidRPr="002029AF">
        <w:t xml:space="preserve"> </w:t>
      </w:r>
      <w:r w:rsidRPr="002029AF">
        <w:t>Finance</w:t>
      </w:r>
      <w:r w:rsidR="000A5329" w:rsidRPr="002029AF">
        <w:t xml:space="preserve"> </w:t>
      </w:r>
      <w:r w:rsidRPr="002029AF">
        <w:t>as</w:t>
      </w:r>
      <w:r w:rsidR="000A5329" w:rsidRPr="002029AF">
        <w:t xml:space="preserve"> </w:t>
      </w:r>
      <w:r w:rsidRPr="002029AF">
        <w:t>an</w:t>
      </w:r>
      <w:r w:rsidR="000A5329" w:rsidRPr="002029AF">
        <w:t xml:space="preserve"> </w:t>
      </w:r>
      <w:r w:rsidRPr="002029AF">
        <w:t>administered</w:t>
      </w:r>
      <w:r w:rsidR="000A5329" w:rsidRPr="002029AF">
        <w:t xml:space="preserve"> </w:t>
      </w:r>
      <w:r w:rsidRPr="002029AF">
        <w:t>liability.</w:t>
      </w:r>
      <w:r w:rsidR="000A5329" w:rsidRPr="002029AF">
        <w:t xml:space="preserve"> </w:t>
      </w:r>
      <w:r w:rsidRPr="002029AF">
        <w:t>However,</w:t>
      </w:r>
      <w:r w:rsidR="000A5329" w:rsidRPr="002029AF">
        <w:t xml:space="preserve"> </w:t>
      </w:r>
      <w:r w:rsidRPr="002029AF">
        <w:t>superannuation</w:t>
      </w:r>
      <w:r w:rsidR="000A5329" w:rsidRPr="002029AF">
        <w:t xml:space="preserve"> </w:t>
      </w:r>
      <w:r w:rsidRPr="002029AF">
        <w:t>contributions</w:t>
      </w:r>
      <w:r w:rsidR="000A5329" w:rsidRPr="002029AF">
        <w:t xml:space="preserve"> </w:t>
      </w:r>
      <w:r w:rsidRPr="002029AF">
        <w:t>paid</w:t>
      </w:r>
      <w:r w:rsidR="000A5329" w:rsidRPr="002029AF">
        <w:t xml:space="preserve"> </w:t>
      </w:r>
      <w:r w:rsidRPr="002029AF">
        <w:t>or</w:t>
      </w:r>
      <w:r w:rsidR="000A5329" w:rsidRPr="002029AF">
        <w:t xml:space="preserve"> </w:t>
      </w:r>
      <w:r w:rsidRPr="002029AF">
        <w:t>payable</w:t>
      </w:r>
      <w:r w:rsidR="000A5329" w:rsidRPr="002029AF">
        <w:t xml:space="preserve"> </w:t>
      </w:r>
      <w:r w:rsidRPr="002029AF">
        <w:t>for</w:t>
      </w:r>
      <w:r w:rsidR="000A5329" w:rsidRPr="002029AF">
        <w:t xml:space="preserve"> </w:t>
      </w:r>
      <w:r w:rsidRPr="002029AF">
        <w:t>the</w:t>
      </w:r>
      <w:r w:rsidR="000A5329" w:rsidRPr="002029AF">
        <w:t xml:space="preserve"> </w:t>
      </w:r>
      <w:r w:rsidRPr="002029AF">
        <w:t>reporting</w:t>
      </w:r>
      <w:r w:rsidR="000A5329" w:rsidRPr="002029AF">
        <w:t xml:space="preserve"> </w:t>
      </w:r>
      <w:r w:rsidRPr="002029AF">
        <w:t>period</w:t>
      </w:r>
      <w:r w:rsidR="000A5329" w:rsidRPr="002029AF">
        <w:t xml:space="preserve"> </w:t>
      </w:r>
      <w:r w:rsidRPr="002029AF">
        <w:t>are</w:t>
      </w:r>
      <w:r w:rsidR="000A5329" w:rsidRPr="002029AF">
        <w:t xml:space="preserve"> </w:t>
      </w:r>
      <w:r w:rsidRPr="002029AF">
        <w:t>included</w:t>
      </w:r>
      <w:r w:rsidR="000A5329" w:rsidRPr="002029AF">
        <w:t xml:space="preserve"> </w:t>
      </w:r>
      <w:r w:rsidRPr="002029AF">
        <w:t>as</w:t>
      </w:r>
      <w:r w:rsidR="000A5329" w:rsidRPr="002029AF">
        <w:t xml:space="preserve"> </w:t>
      </w:r>
      <w:r w:rsidRPr="002029AF">
        <w:t>part</w:t>
      </w:r>
      <w:r w:rsidR="000A5329" w:rsidRPr="002029AF">
        <w:t xml:space="preserve"> </w:t>
      </w:r>
      <w:r w:rsidRPr="002029AF">
        <w:t>of</w:t>
      </w:r>
      <w:r w:rsidR="000A5329" w:rsidRPr="002029AF">
        <w:t xml:space="preserve"> </w:t>
      </w:r>
      <w:r w:rsidRPr="002029AF">
        <w:t>employee</w:t>
      </w:r>
      <w:r w:rsidR="000A5329" w:rsidRPr="002029AF">
        <w:t xml:space="preserve"> </w:t>
      </w:r>
      <w:r w:rsidRPr="002029AF">
        <w:t>benefits</w:t>
      </w:r>
      <w:r w:rsidR="000A5329" w:rsidRPr="002029AF">
        <w:t xml:space="preserve"> </w:t>
      </w:r>
      <w:r w:rsidRPr="002029AF">
        <w:t>in</w:t>
      </w:r>
      <w:r w:rsidR="000A5329" w:rsidRPr="002029AF">
        <w:t xml:space="preserve"> </w:t>
      </w:r>
      <w:r w:rsidRPr="002029AF">
        <w:t>the</w:t>
      </w:r>
      <w:r w:rsidR="000A5329" w:rsidRPr="002029AF">
        <w:t xml:space="preserve"> </w:t>
      </w:r>
      <w:r w:rsidRPr="002029AF">
        <w:t>comprehensive</w:t>
      </w:r>
      <w:r w:rsidR="000A5329" w:rsidRPr="002029AF">
        <w:t xml:space="preserve"> </w:t>
      </w:r>
      <w:r w:rsidRPr="002029AF">
        <w:t>operating</w:t>
      </w:r>
      <w:r w:rsidR="000A5329" w:rsidRPr="002029AF">
        <w:t xml:space="preserve"> </w:t>
      </w:r>
      <w:r w:rsidRPr="002029AF">
        <w:t>statement</w:t>
      </w:r>
      <w:r w:rsidR="000A5329" w:rsidRPr="002029AF">
        <w:t xml:space="preserve"> </w:t>
      </w:r>
      <w:r w:rsidRPr="002029AF">
        <w:t>of</w:t>
      </w:r>
      <w:r w:rsidR="000A5329" w:rsidRPr="002029AF">
        <w:t xml:space="preserve"> </w:t>
      </w:r>
      <w:r w:rsidRPr="002029AF">
        <w:t>the</w:t>
      </w:r>
      <w:r w:rsidR="000A5329" w:rsidRPr="002029AF">
        <w:t xml:space="preserve"> </w:t>
      </w:r>
      <w:r w:rsidRPr="002029AF">
        <w:t>department.</w:t>
      </w:r>
    </w:p>
    <w:tbl>
      <w:tblPr>
        <w:tblStyle w:val="TableGrid"/>
        <w:tblW w:w="9637" w:type="dxa"/>
        <w:tblLayout w:type="fixed"/>
        <w:tblLook w:val="06A0" w:firstRow="1" w:lastRow="0" w:firstColumn="1" w:lastColumn="0" w:noHBand="1" w:noVBand="1"/>
      </w:tblPr>
      <w:tblGrid>
        <w:gridCol w:w="5101"/>
        <w:gridCol w:w="1134"/>
        <w:gridCol w:w="1134"/>
        <w:gridCol w:w="1134"/>
        <w:gridCol w:w="1134"/>
      </w:tblGrid>
      <w:tr w:rsidR="00087B91" w:rsidRPr="002029AF" w14:paraId="3AF43D66"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5101" w:type="dxa"/>
            <w:vMerge w:val="restart"/>
            <w:noWrap/>
            <w:hideMark/>
          </w:tcPr>
          <w:p w14:paraId="2A655C1A" w14:textId="77777777" w:rsidR="00087B91" w:rsidRPr="002029AF" w:rsidRDefault="00087B91" w:rsidP="00860E95">
            <w:pPr>
              <w:pStyle w:val="ARfintablecolhead"/>
            </w:pPr>
          </w:p>
        </w:tc>
        <w:tc>
          <w:tcPr>
            <w:tcW w:w="2268" w:type="dxa"/>
            <w:gridSpan w:val="2"/>
            <w:hideMark/>
          </w:tcPr>
          <w:p w14:paraId="0D8B1329" w14:textId="09C5D842" w:rsidR="00087B91" w:rsidRPr="002029AF" w:rsidRDefault="00087B91" w:rsidP="00860E95">
            <w:pPr>
              <w:pStyle w:val="ARfintablecolheadcentre"/>
            </w:pPr>
            <w:r w:rsidRPr="002029AF">
              <w:t>Paid</w:t>
            </w:r>
            <w:r w:rsidR="000A5329" w:rsidRPr="002029AF">
              <w:t xml:space="preserve"> </w:t>
            </w:r>
            <w:r w:rsidRPr="002029AF">
              <w:t>contribution</w:t>
            </w:r>
            <w:r w:rsidR="000A5329" w:rsidRPr="002029AF">
              <w:t xml:space="preserve"> </w:t>
            </w:r>
            <w:r w:rsidRPr="002029AF">
              <w:br/>
              <w:t>for</w:t>
            </w:r>
            <w:r w:rsidR="000A5329" w:rsidRPr="002029AF">
              <w:t xml:space="preserve"> </w:t>
            </w:r>
            <w:r w:rsidRPr="002029AF">
              <w:t>the</w:t>
            </w:r>
            <w:r w:rsidR="000A5329" w:rsidRPr="002029AF">
              <w:t xml:space="preserve"> </w:t>
            </w:r>
            <w:r w:rsidRPr="002029AF">
              <w:t>year</w:t>
            </w:r>
          </w:p>
        </w:tc>
        <w:tc>
          <w:tcPr>
            <w:tcW w:w="2268" w:type="dxa"/>
            <w:gridSpan w:val="2"/>
            <w:hideMark/>
          </w:tcPr>
          <w:p w14:paraId="2B6ACAD6" w14:textId="34A1DF3A" w:rsidR="00087B91" w:rsidRPr="002029AF" w:rsidRDefault="00087B91" w:rsidP="00860E95">
            <w:pPr>
              <w:pStyle w:val="ARfintablecolheadcentre"/>
            </w:pPr>
            <w:r w:rsidRPr="002029AF">
              <w:t>Contribution</w:t>
            </w:r>
            <w:r w:rsidR="000A5329" w:rsidRPr="002029AF">
              <w:t xml:space="preserve"> </w:t>
            </w:r>
            <w:r w:rsidRPr="002029AF">
              <w:t>outstanding</w:t>
            </w:r>
            <w:r w:rsidR="000A5329" w:rsidRPr="002029AF">
              <w:t xml:space="preserve"> </w:t>
            </w:r>
            <w:r w:rsidRPr="002029AF">
              <w:br/>
              <w:t>at</w:t>
            </w:r>
            <w:r w:rsidR="000A5329" w:rsidRPr="002029AF">
              <w:t xml:space="preserve"> </w:t>
            </w:r>
            <w:r w:rsidRPr="002029AF">
              <w:t>year</w:t>
            </w:r>
            <w:r w:rsidR="000A5329" w:rsidRPr="002029AF">
              <w:t xml:space="preserve"> </w:t>
            </w:r>
            <w:r w:rsidRPr="002029AF">
              <w:t>end</w:t>
            </w:r>
          </w:p>
        </w:tc>
      </w:tr>
      <w:tr w:rsidR="00087B91" w:rsidRPr="002029AF" w14:paraId="3906B588"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5101" w:type="dxa"/>
            <w:vMerge/>
            <w:tcBorders>
              <w:bottom w:val="single" w:sz="4" w:space="0" w:color="auto"/>
            </w:tcBorders>
            <w:noWrap/>
            <w:hideMark/>
          </w:tcPr>
          <w:p w14:paraId="46E43ABC" w14:textId="77777777" w:rsidR="00087B91" w:rsidRPr="002029AF" w:rsidRDefault="00087B91" w:rsidP="00860E95">
            <w:pPr>
              <w:pStyle w:val="ARfintablecolhead"/>
            </w:pPr>
          </w:p>
        </w:tc>
        <w:tc>
          <w:tcPr>
            <w:tcW w:w="1134" w:type="dxa"/>
            <w:tcBorders>
              <w:bottom w:val="single" w:sz="4" w:space="0" w:color="auto"/>
            </w:tcBorders>
            <w:shd w:val="clear" w:color="auto" w:fill="E7E6E6"/>
            <w:hideMark/>
          </w:tcPr>
          <w:p w14:paraId="3CAE1F7B" w14:textId="77777777" w:rsidR="00087B91" w:rsidRPr="002029AF" w:rsidRDefault="00087B91" w:rsidP="00860E95">
            <w:pPr>
              <w:pStyle w:val="ARfintablecolheadright"/>
            </w:pPr>
            <w:r w:rsidRPr="002029AF">
              <w:t>2020</w:t>
            </w:r>
          </w:p>
          <w:p w14:paraId="7EFA7BB6" w14:textId="77777777" w:rsidR="00087B91" w:rsidRPr="002029AF" w:rsidRDefault="00087B91" w:rsidP="00860E95">
            <w:pPr>
              <w:pStyle w:val="ARfintablecolheadright"/>
            </w:pPr>
            <w:r w:rsidRPr="002029AF">
              <w:t>$M</w:t>
            </w:r>
          </w:p>
        </w:tc>
        <w:tc>
          <w:tcPr>
            <w:tcW w:w="1134" w:type="dxa"/>
            <w:tcBorders>
              <w:bottom w:val="single" w:sz="4" w:space="0" w:color="auto"/>
            </w:tcBorders>
            <w:hideMark/>
          </w:tcPr>
          <w:p w14:paraId="6A68E0A3" w14:textId="77777777" w:rsidR="00087B91" w:rsidRPr="002029AF" w:rsidRDefault="00087B91" w:rsidP="00860E95">
            <w:pPr>
              <w:pStyle w:val="ARfintablecolheadright"/>
            </w:pPr>
            <w:r w:rsidRPr="002029AF">
              <w:t>2019</w:t>
            </w:r>
          </w:p>
          <w:p w14:paraId="547EC03B" w14:textId="77777777" w:rsidR="00087B91" w:rsidRPr="002029AF" w:rsidRDefault="00087B91" w:rsidP="00860E95">
            <w:pPr>
              <w:pStyle w:val="ARfintablecolheadright"/>
            </w:pPr>
            <w:r w:rsidRPr="002029AF">
              <w:t>$M</w:t>
            </w:r>
          </w:p>
        </w:tc>
        <w:tc>
          <w:tcPr>
            <w:tcW w:w="1134" w:type="dxa"/>
            <w:tcBorders>
              <w:bottom w:val="single" w:sz="4" w:space="0" w:color="auto"/>
            </w:tcBorders>
            <w:shd w:val="clear" w:color="auto" w:fill="E7E6E6"/>
            <w:hideMark/>
          </w:tcPr>
          <w:p w14:paraId="1DA16A4F" w14:textId="77777777" w:rsidR="00087B91" w:rsidRPr="002029AF" w:rsidRDefault="00087B91" w:rsidP="00860E95">
            <w:pPr>
              <w:pStyle w:val="ARfintablecolheadright"/>
            </w:pPr>
            <w:r w:rsidRPr="002029AF">
              <w:t>2020</w:t>
            </w:r>
          </w:p>
          <w:p w14:paraId="54780821" w14:textId="77777777" w:rsidR="00087B91" w:rsidRPr="002029AF" w:rsidRDefault="00087B91" w:rsidP="00860E95">
            <w:pPr>
              <w:pStyle w:val="ARfintablecolheadright"/>
            </w:pPr>
            <w:r w:rsidRPr="002029AF">
              <w:t>$M</w:t>
            </w:r>
          </w:p>
        </w:tc>
        <w:tc>
          <w:tcPr>
            <w:tcW w:w="1134" w:type="dxa"/>
            <w:tcBorders>
              <w:bottom w:val="single" w:sz="4" w:space="0" w:color="auto"/>
            </w:tcBorders>
            <w:hideMark/>
          </w:tcPr>
          <w:p w14:paraId="1BDCB301" w14:textId="77777777" w:rsidR="00087B91" w:rsidRPr="002029AF" w:rsidRDefault="00087B91" w:rsidP="00860E95">
            <w:pPr>
              <w:pStyle w:val="ARfintablecolheadright"/>
            </w:pPr>
            <w:r w:rsidRPr="002029AF">
              <w:t>2019</w:t>
            </w:r>
          </w:p>
          <w:p w14:paraId="7CCBFF1B" w14:textId="77777777" w:rsidR="00087B91" w:rsidRPr="002029AF" w:rsidRDefault="00087B91" w:rsidP="00860E95">
            <w:pPr>
              <w:pStyle w:val="ARfintablecolheadright"/>
            </w:pPr>
            <w:r w:rsidRPr="002029AF">
              <w:t>$M</w:t>
            </w:r>
          </w:p>
        </w:tc>
      </w:tr>
      <w:tr w:rsidR="00087B91" w:rsidRPr="002029AF" w14:paraId="2779E976" w14:textId="77777777" w:rsidTr="00860E95">
        <w:tc>
          <w:tcPr>
            <w:tcW w:w="9637" w:type="dxa"/>
            <w:gridSpan w:val="5"/>
            <w:tcBorders>
              <w:top w:val="single" w:sz="4" w:space="0" w:color="auto"/>
              <w:bottom w:val="single" w:sz="4" w:space="0" w:color="A6A6A6"/>
            </w:tcBorders>
            <w:hideMark/>
          </w:tcPr>
          <w:p w14:paraId="516EECA9" w14:textId="34C4BB5D" w:rsidR="00087B91" w:rsidRPr="002029AF" w:rsidRDefault="00087B91" w:rsidP="00860E95">
            <w:pPr>
              <w:pStyle w:val="ARfintablebodybold"/>
            </w:pPr>
            <w:r w:rsidRPr="002029AF">
              <w:t>Defined</w:t>
            </w:r>
            <w:r w:rsidR="000A5329" w:rsidRPr="002029AF">
              <w:t xml:space="preserve"> </w:t>
            </w:r>
            <w:r w:rsidRPr="002029AF">
              <w:t>benefit</w:t>
            </w:r>
            <w:r w:rsidR="000A5329" w:rsidRPr="002029AF">
              <w:t xml:space="preserve"> </w:t>
            </w:r>
            <w:r w:rsidRPr="002029AF">
              <w:t>plans</w:t>
            </w:r>
          </w:p>
        </w:tc>
      </w:tr>
      <w:tr w:rsidR="00087B91" w:rsidRPr="002029AF" w14:paraId="01AB8F50" w14:textId="77777777" w:rsidTr="00860E95">
        <w:tc>
          <w:tcPr>
            <w:tcW w:w="5101" w:type="dxa"/>
            <w:tcBorders>
              <w:top w:val="single" w:sz="4" w:space="0" w:color="A6A6A6"/>
              <w:bottom w:val="single" w:sz="4" w:space="0" w:color="A6A6A6"/>
            </w:tcBorders>
            <w:hideMark/>
          </w:tcPr>
          <w:p w14:paraId="0AFE1416" w14:textId="42E3897D" w:rsidR="00087B91" w:rsidRPr="002029AF" w:rsidRDefault="00087B91" w:rsidP="00860E95">
            <w:pPr>
              <w:pStyle w:val="ARfintablebody"/>
            </w:pPr>
            <w:r w:rsidRPr="002029AF">
              <w:t>State</w:t>
            </w:r>
            <w:r w:rsidR="000A5329" w:rsidRPr="002029AF">
              <w:t xml:space="preserve"> </w:t>
            </w:r>
            <w:r w:rsidRPr="002029AF">
              <w:t>superannuation</w:t>
            </w:r>
            <w:r w:rsidR="000A5329" w:rsidRPr="002029AF">
              <w:t xml:space="preserve"> </w:t>
            </w:r>
            <w:r w:rsidRPr="002029AF">
              <w:t>fund</w:t>
            </w:r>
          </w:p>
        </w:tc>
        <w:tc>
          <w:tcPr>
            <w:tcW w:w="1134" w:type="dxa"/>
            <w:tcBorders>
              <w:top w:val="single" w:sz="4" w:space="0" w:color="A6A6A6"/>
              <w:bottom w:val="single" w:sz="4" w:space="0" w:color="A6A6A6"/>
            </w:tcBorders>
            <w:shd w:val="clear" w:color="auto" w:fill="E7E6E6"/>
            <w:noWrap/>
            <w:hideMark/>
          </w:tcPr>
          <w:p w14:paraId="505536A8" w14:textId="77777777" w:rsidR="00087B91" w:rsidRPr="002029AF" w:rsidRDefault="00087B91" w:rsidP="00860E95">
            <w:pPr>
              <w:pStyle w:val="ARfintablebodyright"/>
            </w:pPr>
            <w:r w:rsidRPr="002029AF">
              <w:t>6.4</w:t>
            </w:r>
          </w:p>
        </w:tc>
        <w:tc>
          <w:tcPr>
            <w:tcW w:w="1134" w:type="dxa"/>
            <w:tcBorders>
              <w:top w:val="single" w:sz="4" w:space="0" w:color="A6A6A6"/>
              <w:bottom w:val="single" w:sz="4" w:space="0" w:color="A6A6A6"/>
            </w:tcBorders>
            <w:noWrap/>
            <w:hideMark/>
          </w:tcPr>
          <w:p w14:paraId="701E9A61" w14:textId="77777777" w:rsidR="00087B91" w:rsidRPr="002029AF" w:rsidRDefault="00087B91" w:rsidP="00860E95">
            <w:pPr>
              <w:pStyle w:val="ARfintablebodyright"/>
            </w:pPr>
            <w:r w:rsidRPr="002029AF">
              <w:t>7.4</w:t>
            </w:r>
          </w:p>
        </w:tc>
        <w:tc>
          <w:tcPr>
            <w:tcW w:w="1134" w:type="dxa"/>
            <w:tcBorders>
              <w:top w:val="single" w:sz="4" w:space="0" w:color="A6A6A6"/>
              <w:bottom w:val="single" w:sz="4" w:space="0" w:color="A6A6A6"/>
            </w:tcBorders>
            <w:shd w:val="clear" w:color="auto" w:fill="E7E6E6"/>
            <w:noWrap/>
            <w:hideMark/>
          </w:tcPr>
          <w:p w14:paraId="611562CA" w14:textId="77777777" w:rsidR="00087B91" w:rsidRPr="002029AF" w:rsidRDefault="00087B91" w:rsidP="00860E95">
            <w:pPr>
              <w:pStyle w:val="ARfintablebodyright"/>
            </w:pPr>
            <w:r w:rsidRPr="002029AF">
              <w:t>0.8</w:t>
            </w:r>
          </w:p>
        </w:tc>
        <w:tc>
          <w:tcPr>
            <w:tcW w:w="1134" w:type="dxa"/>
            <w:tcBorders>
              <w:top w:val="single" w:sz="4" w:space="0" w:color="A6A6A6"/>
              <w:bottom w:val="single" w:sz="4" w:space="0" w:color="A6A6A6"/>
            </w:tcBorders>
            <w:noWrap/>
            <w:hideMark/>
          </w:tcPr>
          <w:p w14:paraId="0C7BBA6D" w14:textId="77777777" w:rsidR="00087B91" w:rsidRPr="002029AF" w:rsidRDefault="00087B91" w:rsidP="00860E95">
            <w:pPr>
              <w:pStyle w:val="ARfintablebodyright"/>
            </w:pPr>
            <w:r w:rsidRPr="002029AF">
              <w:t>2.6</w:t>
            </w:r>
          </w:p>
        </w:tc>
      </w:tr>
      <w:tr w:rsidR="00087B91" w:rsidRPr="002029AF" w14:paraId="713DF319" w14:textId="77777777" w:rsidTr="00860E95">
        <w:tc>
          <w:tcPr>
            <w:tcW w:w="5101" w:type="dxa"/>
            <w:tcBorders>
              <w:top w:val="single" w:sz="4" w:space="0" w:color="A6A6A6"/>
              <w:bottom w:val="single" w:sz="4" w:space="0" w:color="A6A6A6"/>
            </w:tcBorders>
            <w:hideMark/>
          </w:tcPr>
          <w:p w14:paraId="2DA5ADE1" w14:textId="77777777" w:rsidR="00087B91" w:rsidRPr="002029AF" w:rsidRDefault="00087B91" w:rsidP="00860E95">
            <w:pPr>
              <w:pStyle w:val="ARfintablebody"/>
            </w:pPr>
            <w:r w:rsidRPr="002029AF">
              <w:t>Other</w:t>
            </w:r>
          </w:p>
        </w:tc>
        <w:tc>
          <w:tcPr>
            <w:tcW w:w="1134" w:type="dxa"/>
            <w:tcBorders>
              <w:top w:val="single" w:sz="4" w:space="0" w:color="A6A6A6"/>
              <w:bottom w:val="single" w:sz="4" w:space="0" w:color="A6A6A6"/>
            </w:tcBorders>
            <w:shd w:val="clear" w:color="auto" w:fill="E7E6E6"/>
            <w:noWrap/>
            <w:hideMark/>
          </w:tcPr>
          <w:p w14:paraId="480C64F6" w14:textId="77777777" w:rsidR="00087B91" w:rsidRPr="002029AF" w:rsidRDefault="00087B91" w:rsidP="00860E95">
            <w:pPr>
              <w:pStyle w:val="ARfintablebodyright"/>
            </w:pPr>
            <w:r w:rsidRPr="002029AF">
              <w:t>0.3</w:t>
            </w:r>
          </w:p>
        </w:tc>
        <w:tc>
          <w:tcPr>
            <w:tcW w:w="1134" w:type="dxa"/>
            <w:tcBorders>
              <w:top w:val="single" w:sz="4" w:space="0" w:color="A6A6A6"/>
              <w:bottom w:val="single" w:sz="4" w:space="0" w:color="A6A6A6"/>
            </w:tcBorders>
            <w:noWrap/>
            <w:hideMark/>
          </w:tcPr>
          <w:p w14:paraId="1E8A0224" w14:textId="77777777" w:rsidR="00087B91" w:rsidRPr="002029AF" w:rsidRDefault="00087B91" w:rsidP="00860E95">
            <w:pPr>
              <w:pStyle w:val="ARfintablebodyright"/>
            </w:pPr>
            <w:r w:rsidRPr="002029AF">
              <w:t>0.5</w:t>
            </w:r>
          </w:p>
        </w:tc>
        <w:tc>
          <w:tcPr>
            <w:tcW w:w="1134" w:type="dxa"/>
            <w:tcBorders>
              <w:top w:val="single" w:sz="4" w:space="0" w:color="A6A6A6"/>
              <w:bottom w:val="single" w:sz="4" w:space="0" w:color="A6A6A6"/>
            </w:tcBorders>
            <w:shd w:val="clear" w:color="auto" w:fill="E7E6E6"/>
            <w:noWrap/>
            <w:hideMark/>
          </w:tcPr>
          <w:p w14:paraId="2F80F193"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00C06DB9" w14:textId="77777777" w:rsidR="00087B91" w:rsidRPr="002029AF" w:rsidRDefault="00087B91" w:rsidP="00860E95">
            <w:pPr>
              <w:pStyle w:val="ARfintablebodyright"/>
            </w:pPr>
            <w:r w:rsidRPr="002029AF">
              <w:t>–</w:t>
            </w:r>
          </w:p>
        </w:tc>
      </w:tr>
      <w:tr w:rsidR="00087B91" w:rsidRPr="002029AF" w14:paraId="5E13ACEE" w14:textId="77777777" w:rsidTr="00860E95">
        <w:tc>
          <w:tcPr>
            <w:tcW w:w="9637" w:type="dxa"/>
            <w:gridSpan w:val="5"/>
            <w:tcBorders>
              <w:top w:val="single" w:sz="4" w:space="0" w:color="A6A6A6"/>
              <w:bottom w:val="single" w:sz="4" w:space="0" w:color="A6A6A6"/>
            </w:tcBorders>
            <w:hideMark/>
          </w:tcPr>
          <w:p w14:paraId="70A3FC51" w14:textId="44BDFD44" w:rsidR="00087B91" w:rsidRPr="002029AF" w:rsidRDefault="00087B91" w:rsidP="00860E95">
            <w:pPr>
              <w:pStyle w:val="ARfintablebodybold"/>
            </w:pPr>
            <w:r w:rsidRPr="002029AF">
              <w:t>Defined</w:t>
            </w:r>
            <w:r w:rsidR="000A5329" w:rsidRPr="002029AF">
              <w:t xml:space="preserve"> </w:t>
            </w:r>
            <w:r w:rsidRPr="002029AF">
              <w:t>contribution</w:t>
            </w:r>
            <w:r w:rsidR="000A5329" w:rsidRPr="002029AF">
              <w:t xml:space="preserve"> </w:t>
            </w:r>
            <w:r w:rsidRPr="002029AF">
              <w:t>plans</w:t>
            </w:r>
          </w:p>
        </w:tc>
      </w:tr>
      <w:tr w:rsidR="00087B91" w:rsidRPr="002029AF" w14:paraId="5E923C50" w14:textId="77777777" w:rsidTr="00860E95">
        <w:tc>
          <w:tcPr>
            <w:tcW w:w="5101" w:type="dxa"/>
            <w:tcBorders>
              <w:top w:val="single" w:sz="4" w:space="0" w:color="A6A6A6"/>
              <w:bottom w:val="single" w:sz="4" w:space="0" w:color="A6A6A6"/>
            </w:tcBorders>
            <w:hideMark/>
          </w:tcPr>
          <w:p w14:paraId="33DE09E4" w14:textId="77777777" w:rsidR="00087B91" w:rsidRPr="002029AF" w:rsidRDefault="00087B91" w:rsidP="00860E95">
            <w:pPr>
              <w:pStyle w:val="ARfintablebody"/>
            </w:pPr>
            <w:r w:rsidRPr="002029AF">
              <w:t>VicSuper</w:t>
            </w:r>
          </w:p>
        </w:tc>
        <w:tc>
          <w:tcPr>
            <w:tcW w:w="1134" w:type="dxa"/>
            <w:tcBorders>
              <w:top w:val="single" w:sz="4" w:space="0" w:color="A6A6A6"/>
              <w:bottom w:val="single" w:sz="4" w:space="0" w:color="A6A6A6"/>
            </w:tcBorders>
            <w:shd w:val="clear" w:color="auto" w:fill="E7E6E6"/>
            <w:noWrap/>
            <w:hideMark/>
          </w:tcPr>
          <w:p w14:paraId="682E4B17" w14:textId="77777777" w:rsidR="00087B91" w:rsidRPr="002029AF" w:rsidRDefault="00087B91" w:rsidP="00860E95">
            <w:pPr>
              <w:pStyle w:val="ARfintablebodyright"/>
            </w:pPr>
            <w:r w:rsidRPr="002029AF">
              <w:t>44.1</w:t>
            </w:r>
          </w:p>
        </w:tc>
        <w:tc>
          <w:tcPr>
            <w:tcW w:w="1134" w:type="dxa"/>
            <w:tcBorders>
              <w:top w:val="single" w:sz="4" w:space="0" w:color="A6A6A6"/>
              <w:bottom w:val="single" w:sz="4" w:space="0" w:color="A6A6A6"/>
            </w:tcBorders>
            <w:noWrap/>
            <w:hideMark/>
          </w:tcPr>
          <w:p w14:paraId="53039456" w14:textId="77777777" w:rsidR="00087B91" w:rsidRPr="002029AF" w:rsidRDefault="00087B91" w:rsidP="00860E95">
            <w:pPr>
              <w:pStyle w:val="ARfintablebodyright"/>
            </w:pPr>
            <w:r w:rsidRPr="002029AF">
              <w:t>64.9</w:t>
            </w:r>
          </w:p>
        </w:tc>
        <w:tc>
          <w:tcPr>
            <w:tcW w:w="1134" w:type="dxa"/>
            <w:tcBorders>
              <w:top w:val="single" w:sz="4" w:space="0" w:color="A6A6A6"/>
              <w:bottom w:val="single" w:sz="4" w:space="0" w:color="A6A6A6"/>
            </w:tcBorders>
            <w:shd w:val="clear" w:color="auto" w:fill="E7E6E6"/>
            <w:noWrap/>
            <w:hideMark/>
          </w:tcPr>
          <w:p w14:paraId="4B5E7F0F"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033D37CC" w14:textId="77777777" w:rsidR="00087B91" w:rsidRPr="002029AF" w:rsidRDefault="00087B91" w:rsidP="00860E95">
            <w:pPr>
              <w:pStyle w:val="ARfintablebodyright"/>
            </w:pPr>
            <w:r w:rsidRPr="002029AF">
              <w:t>–</w:t>
            </w:r>
          </w:p>
        </w:tc>
      </w:tr>
      <w:tr w:rsidR="00087B91" w:rsidRPr="002029AF" w14:paraId="5DC9943E" w14:textId="77777777" w:rsidTr="00860E95">
        <w:tc>
          <w:tcPr>
            <w:tcW w:w="5101" w:type="dxa"/>
            <w:tcBorders>
              <w:top w:val="single" w:sz="4" w:space="0" w:color="A6A6A6"/>
            </w:tcBorders>
            <w:hideMark/>
          </w:tcPr>
          <w:p w14:paraId="2B20B38A" w14:textId="77777777" w:rsidR="00087B91" w:rsidRPr="002029AF" w:rsidRDefault="00087B91" w:rsidP="00860E95">
            <w:pPr>
              <w:pStyle w:val="ARfintablebody"/>
            </w:pPr>
            <w:r w:rsidRPr="002029AF">
              <w:t>Other</w:t>
            </w:r>
          </w:p>
        </w:tc>
        <w:tc>
          <w:tcPr>
            <w:tcW w:w="1134" w:type="dxa"/>
            <w:tcBorders>
              <w:top w:val="single" w:sz="4" w:space="0" w:color="A6A6A6"/>
            </w:tcBorders>
            <w:shd w:val="clear" w:color="auto" w:fill="E7E6E6"/>
            <w:noWrap/>
            <w:hideMark/>
          </w:tcPr>
          <w:p w14:paraId="209483E2" w14:textId="77777777" w:rsidR="00087B91" w:rsidRPr="002029AF" w:rsidRDefault="00087B91" w:rsidP="00860E95">
            <w:pPr>
              <w:pStyle w:val="ARfintablebodyright"/>
            </w:pPr>
            <w:r w:rsidRPr="002029AF">
              <w:t>32.9</w:t>
            </w:r>
          </w:p>
        </w:tc>
        <w:tc>
          <w:tcPr>
            <w:tcW w:w="1134" w:type="dxa"/>
            <w:tcBorders>
              <w:top w:val="single" w:sz="4" w:space="0" w:color="A6A6A6"/>
            </w:tcBorders>
            <w:noWrap/>
            <w:hideMark/>
          </w:tcPr>
          <w:p w14:paraId="7C944B44" w14:textId="77777777" w:rsidR="00087B91" w:rsidRPr="002029AF" w:rsidRDefault="00087B91" w:rsidP="00860E95">
            <w:pPr>
              <w:pStyle w:val="ARfintablebodyright"/>
            </w:pPr>
            <w:r w:rsidRPr="002029AF">
              <w:t>34.0</w:t>
            </w:r>
          </w:p>
        </w:tc>
        <w:tc>
          <w:tcPr>
            <w:tcW w:w="1134" w:type="dxa"/>
            <w:tcBorders>
              <w:top w:val="single" w:sz="4" w:space="0" w:color="A6A6A6"/>
            </w:tcBorders>
            <w:shd w:val="clear" w:color="auto" w:fill="E7E6E6"/>
            <w:noWrap/>
            <w:hideMark/>
          </w:tcPr>
          <w:p w14:paraId="60186B8F" w14:textId="77777777" w:rsidR="00087B91" w:rsidRPr="002029AF" w:rsidRDefault="00087B91" w:rsidP="00860E95">
            <w:pPr>
              <w:pStyle w:val="ARfintablebodyright"/>
            </w:pPr>
            <w:r w:rsidRPr="002029AF">
              <w:t>–</w:t>
            </w:r>
          </w:p>
        </w:tc>
        <w:tc>
          <w:tcPr>
            <w:tcW w:w="1134" w:type="dxa"/>
            <w:tcBorders>
              <w:top w:val="single" w:sz="4" w:space="0" w:color="A6A6A6"/>
            </w:tcBorders>
            <w:noWrap/>
            <w:hideMark/>
          </w:tcPr>
          <w:p w14:paraId="23E33088" w14:textId="77777777" w:rsidR="00087B91" w:rsidRPr="002029AF" w:rsidRDefault="00087B91" w:rsidP="00860E95">
            <w:pPr>
              <w:pStyle w:val="ARfintablebodyright"/>
            </w:pPr>
            <w:r w:rsidRPr="002029AF">
              <w:t>–</w:t>
            </w:r>
          </w:p>
        </w:tc>
      </w:tr>
      <w:tr w:rsidR="00087B91" w:rsidRPr="002029AF" w14:paraId="418081FB" w14:textId="77777777" w:rsidTr="00860E95">
        <w:tc>
          <w:tcPr>
            <w:tcW w:w="5101" w:type="dxa"/>
            <w:hideMark/>
          </w:tcPr>
          <w:p w14:paraId="1948E944" w14:textId="77777777" w:rsidR="00087B91" w:rsidRPr="002029AF" w:rsidRDefault="00087B91" w:rsidP="00860E95">
            <w:pPr>
              <w:pStyle w:val="ARfintablebodybold"/>
            </w:pPr>
            <w:r w:rsidRPr="002029AF">
              <w:t>Total</w:t>
            </w:r>
          </w:p>
        </w:tc>
        <w:tc>
          <w:tcPr>
            <w:tcW w:w="1134" w:type="dxa"/>
            <w:shd w:val="clear" w:color="auto" w:fill="E7E6E6"/>
            <w:noWrap/>
            <w:hideMark/>
          </w:tcPr>
          <w:p w14:paraId="1D2987E8" w14:textId="77777777" w:rsidR="00087B91" w:rsidRPr="002029AF" w:rsidRDefault="00087B91" w:rsidP="00860E95">
            <w:pPr>
              <w:pStyle w:val="ARfintablebodyrightbold"/>
            </w:pPr>
            <w:r w:rsidRPr="002029AF">
              <w:t>83.7</w:t>
            </w:r>
          </w:p>
        </w:tc>
        <w:tc>
          <w:tcPr>
            <w:tcW w:w="1134" w:type="dxa"/>
            <w:noWrap/>
            <w:hideMark/>
          </w:tcPr>
          <w:p w14:paraId="5D4F9D94" w14:textId="77777777" w:rsidR="00087B91" w:rsidRPr="002029AF" w:rsidRDefault="00087B91" w:rsidP="00860E95">
            <w:pPr>
              <w:pStyle w:val="ARfintablebodyrightbold"/>
            </w:pPr>
            <w:r w:rsidRPr="002029AF">
              <w:t>106.8</w:t>
            </w:r>
          </w:p>
        </w:tc>
        <w:tc>
          <w:tcPr>
            <w:tcW w:w="1134" w:type="dxa"/>
            <w:shd w:val="clear" w:color="auto" w:fill="E7E6E6"/>
            <w:noWrap/>
            <w:hideMark/>
          </w:tcPr>
          <w:p w14:paraId="525D2FD9" w14:textId="77777777" w:rsidR="00087B91" w:rsidRPr="002029AF" w:rsidRDefault="00087B91" w:rsidP="00860E95">
            <w:pPr>
              <w:pStyle w:val="ARfintablebodyrightbold"/>
            </w:pPr>
            <w:r w:rsidRPr="002029AF">
              <w:t>0.8</w:t>
            </w:r>
          </w:p>
        </w:tc>
        <w:tc>
          <w:tcPr>
            <w:tcW w:w="1134" w:type="dxa"/>
            <w:noWrap/>
            <w:hideMark/>
          </w:tcPr>
          <w:p w14:paraId="5C01860D" w14:textId="77777777" w:rsidR="00087B91" w:rsidRPr="002029AF" w:rsidRDefault="00087B91" w:rsidP="00860E95">
            <w:pPr>
              <w:pStyle w:val="ARfintablebodyrightbold"/>
            </w:pPr>
            <w:r w:rsidRPr="002029AF">
              <w:t>2.6</w:t>
            </w:r>
          </w:p>
        </w:tc>
      </w:tr>
    </w:tbl>
    <w:p w14:paraId="7A074B2E" w14:textId="58D3DE44" w:rsidR="00087B91" w:rsidRPr="002029AF" w:rsidRDefault="00087B91" w:rsidP="00087B91">
      <w:pPr>
        <w:pStyle w:val="Heading5"/>
      </w:pPr>
      <w:bookmarkStart w:id="312" w:name="_Toc39136701"/>
      <w:r w:rsidRPr="002029AF">
        <w:t>3.1.2</w:t>
      </w:r>
      <w:r w:rsidR="000A5329" w:rsidRPr="002029AF">
        <w:t xml:space="preserve"> </w:t>
      </w:r>
      <w:r w:rsidRPr="002029AF">
        <w:t>Grants</w:t>
      </w:r>
      <w:r w:rsidR="000A5329" w:rsidRPr="002029AF">
        <w:t xml:space="preserve"> </w:t>
      </w:r>
      <w:r w:rsidRPr="002029AF">
        <w:t>and</w:t>
      </w:r>
      <w:r w:rsidR="000A5329" w:rsidRPr="002029AF">
        <w:t xml:space="preserve"> </w:t>
      </w:r>
      <w:r w:rsidRPr="002029AF">
        <w:t>other</w:t>
      </w:r>
      <w:r w:rsidR="000A5329" w:rsidRPr="002029AF">
        <w:t xml:space="preserve"> </w:t>
      </w:r>
      <w:r w:rsidRPr="002029AF">
        <w:t>expense</w:t>
      </w:r>
      <w:r w:rsidR="000A5329" w:rsidRPr="002029AF">
        <w:t xml:space="preserve"> </w:t>
      </w:r>
      <w:r w:rsidRPr="002029AF">
        <w:t>transfers</w:t>
      </w:r>
      <w:bookmarkEnd w:id="312"/>
    </w:p>
    <w:tbl>
      <w:tblPr>
        <w:tblStyle w:val="TableGrid"/>
        <w:tblW w:w="9637" w:type="dxa"/>
        <w:tblLayout w:type="fixed"/>
        <w:tblLook w:val="06A0" w:firstRow="1" w:lastRow="0" w:firstColumn="1" w:lastColumn="0" w:noHBand="1" w:noVBand="1"/>
      </w:tblPr>
      <w:tblGrid>
        <w:gridCol w:w="7369"/>
        <w:gridCol w:w="1134"/>
        <w:gridCol w:w="1134"/>
      </w:tblGrid>
      <w:tr w:rsidR="00087B91" w:rsidRPr="002029AF" w14:paraId="3E5F6A7A"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7369" w:type="dxa"/>
            <w:noWrap/>
            <w:hideMark/>
          </w:tcPr>
          <w:p w14:paraId="04DC0B1E" w14:textId="77777777" w:rsidR="00087B91" w:rsidRPr="002029AF" w:rsidRDefault="00087B91" w:rsidP="00860E95">
            <w:pPr>
              <w:pStyle w:val="ARfintablecolhead"/>
            </w:pPr>
          </w:p>
        </w:tc>
        <w:tc>
          <w:tcPr>
            <w:tcW w:w="1134" w:type="dxa"/>
            <w:shd w:val="clear" w:color="auto" w:fill="E7E6E6"/>
            <w:hideMark/>
          </w:tcPr>
          <w:p w14:paraId="08A3247D" w14:textId="77777777" w:rsidR="00087B91" w:rsidRPr="002029AF" w:rsidRDefault="00087B91" w:rsidP="00860E95">
            <w:pPr>
              <w:pStyle w:val="ARfintablecolheadright"/>
            </w:pPr>
            <w:r w:rsidRPr="002029AF">
              <w:t>2020</w:t>
            </w:r>
          </w:p>
          <w:p w14:paraId="75BB97CA" w14:textId="77777777" w:rsidR="00087B91" w:rsidRPr="002029AF" w:rsidRDefault="00087B91" w:rsidP="00860E95">
            <w:pPr>
              <w:pStyle w:val="ARfintablecolheadright"/>
            </w:pPr>
            <w:r w:rsidRPr="002029AF">
              <w:t>$M</w:t>
            </w:r>
          </w:p>
        </w:tc>
        <w:tc>
          <w:tcPr>
            <w:tcW w:w="1134" w:type="dxa"/>
            <w:hideMark/>
          </w:tcPr>
          <w:p w14:paraId="38BB0C0E" w14:textId="77777777" w:rsidR="00087B91" w:rsidRPr="002029AF" w:rsidRDefault="00087B91" w:rsidP="00860E95">
            <w:pPr>
              <w:pStyle w:val="ARfintablecolheadright"/>
            </w:pPr>
            <w:r w:rsidRPr="002029AF">
              <w:t>2019</w:t>
            </w:r>
          </w:p>
          <w:p w14:paraId="7ACA4FAC" w14:textId="77777777" w:rsidR="00087B91" w:rsidRPr="002029AF" w:rsidRDefault="00087B91" w:rsidP="00860E95">
            <w:pPr>
              <w:pStyle w:val="ARfintablecolheadright"/>
            </w:pPr>
            <w:r w:rsidRPr="002029AF">
              <w:t>$M</w:t>
            </w:r>
          </w:p>
        </w:tc>
      </w:tr>
      <w:tr w:rsidR="00087B91" w:rsidRPr="002029AF" w14:paraId="42B76F39" w14:textId="77777777" w:rsidTr="00860E95">
        <w:tc>
          <w:tcPr>
            <w:tcW w:w="7369" w:type="dxa"/>
            <w:tcBorders>
              <w:bottom w:val="single" w:sz="4" w:space="0" w:color="auto"/>
            </w:tcBorders>
            <w:hideMark/>
          </w:tcPr>
          <w:p w14:paraId="6D84A0DC" w14:textId="6B7F22C3" w:rsidR="00087B91" w:rsidRPr="002029AF" w:rsidRDefault="00087B91" w:rsidP="00860E95">
            <w:pPr>
              <w:pStyle w:val="ARfintablebody"/>
            </w:pPr>
            <w:r w:rsidRPr="002029AF">
              <w:t>State</w:t>
            </w:r>
            <w:r w:rsidR="000A5329" w:rsidRPr="002029AF">
              <w:t xml:space="preserve"> </w:t>
            </w:r>
            <w:r w:rsidRPr="002029AF">
              <w:t>contributions</w:t>
            </w:r>
            <w:r w:rsidR="000A5329" w:rsidRPr="002029AF">
              <w:t xml:space="preserve"> </w:t>
            </w:r>
            <w:r w:rsidRPr="002029AF">
              <w:t>to</w:t>
            </w:r>
            <w:r w:rsidR="000A5329" w:rsidRPr="002029AF">
              <w:t xml:space="preserve"> </w:t>
            </w:r>
            <w:r w:rsidRPr="002029AF">
              <w:t>the</w:t>
            </w:r>
            <w:r w:rsidR="000A5329" w:rsidRPr="002029AF">
              <w:t xml:space="preserve"> </w:t>
            </w:r>
            <w:r w:rsidRPr="002029AF">
              <w:t>Administrator</w:t>
            </w:r>
            <w:r w:rsidR="000A5329" w:rsidRPr="002029AF">
              <w:t xml:space="preserve"> </w:t>
            </w:r>
            <w:r w:rsidRPr="002029AF">
              <w:t>of</w:t>
            </w:r>
            <w:r w:rsidR="000A5329" w:rsidRPr="002029AF">
              <w:t xml:space="preserve"> </w:t>
            </w:r>
            <w:r w:rsidRPr="002029AF">
              <w:t>the</w:t>
            </w:r>
            <w:r w:rsidR="000A5329" w:rsidRPr="002029AF">
              <w:t xml:space="preserve"> </w:t>
            </w:r>
            <w:r w:rsidRPr="002029AF">
              <w:t>Victoria</w:t>
            </w:r>
            <w:r w:rsidR="000A5329" w:rsidRPr="002029AF">
              <w:t xml:space="preserve"> </w:t>
            </w:r>
            <w:r w:rsidRPr="002029AF">
              <w:t>Health</w:t>
            </w:r>
            <w:r w:rsidR="000A5329" w:rsidRPr="002029AF">
              <w:t xml:space="preserve"> </w:t>
            </w:r>
            <w:r w:rsidRPr="002029AF">
              <w:t>Funding</w:t>
            </w:r>
            <w:r w:rsidR="000A5329" w:rsidRPr="002029AF">
              <w:t xml:space="preserve"> </w:t>
            </w:r>
            <w:r w:rsidRPr="002029AF">
              <w:t>Pool</w:t>
            </w:r>
          </w:p>
        </w:tc>
        <w:tc>
          <w:tcPr>
            <w:tcW w:w="1134" w:type="dxa"/>
            <w:tcBorders>
              <w:bottom w:val="single" w:sz="4" w:space="0" w:color="auto"/>
            </w:tcBorders>
            <w:shd w:val="clear" w:color="auto" w:fill="E7E6E6"/>
            <w:noWrap/>
            <w:hideMark/>
          </w:tcPr>
          <w:p w14:paraId="141C1042" w14:textId="77777777" w:rsidR="00087B91" w:rsidRPr="002029AF" w:rsidRDefault="00087B91" w:rsidP="00860E95">
            <w:pPr>
              <w:pStyle w:val="ARfintablebodyright"/>
            </w:pPr>
            <w:r w:rsidRPr="002029AF">
              <w:t>6,239.3</w:t>
            </w:r>
          </w:p>
        </w:tc>
        <w:tc>
          <w:tcPr>
            <w:tcW w:w="1134" w:type="dxa"/>
            <w:tcBorders>
              <w:bottom w:val="single" w:sz="4" w:space="0" w:color="auto"/>
            </w:tcBorders>
            <w:noWrap/>
            <w:hideMark/>
          </w:tcPr>
          <w:p w14:paraId="13A88307" w14:textId="77777777" w:rsidR="00087B91" w:rsidRPr="002029AF" w:rsidRDefault="00087B91" w:rsidP="00860E95">
            <w:pPr>
              <w:pStyle w:val="ARfintablebodyright"/>
            </w:pPr>
            <w:r w:rsidRPr="002029AF">
              <w:t>5,308.5</w:t>
            </w:r>
          </w:p>
        </w:tc>
      </w:tr>
      <w:tr w:rsidR="00087B91" w:rsidRPr="002029AF" w14:paraId="3B992B7C" w14:textId="77777777" w:rsidTr="00860E95">
        <w:tc>
          <w:tcPr>
            <w:tcW w:w="9637" w:type="dxa"/>
            <w:gridSpan w:val="3"/>
            <w:tcBorders>
              <w:top w:val="single" w:sz="4" w:space="0" w:color="auto"/>
              <w:bottom w:val="single" w:sz="4" w:space="0" w:color="A6A6A6"/>
            </w:tcBorders>
            <w:hideMark/>
          </w:tcPr>
          <w:p w14:paraId="1232A2B8" w14:textId="5AFE2A66" w:rsidR="00087B91" w:rsidRPr="002029AF" w:rsidRDefault="00087B91" w:rsidP="00860E95">
            <w:pPr>
              <w:pStyle w:val="ARfintablebodybold"/>
            </w:pPr>
            <w:r w:rsidRPr="002029AF">
              <w:t>Public</w:t>
            </w:r>
            <w:r w:rsidR="000A5329" w:rsidRPr="002029AF">
              <w:t xml:space="preserve"> </w:t>
            </w:r>
            <w:r w:rsidRPr="002029AF">
              <w:t>hospitals</w:t>
            </w:r>
          </w:p>
        </w:tc>
      </w:tr>
      <w:tr w:rsidR="00087B91" w:rsidRPr="002029AF" w14:paraId="233BC95E" w14:textId="77777777" w:rsidTr="00860E95">
        <w:tc>
          <w:tcPr>
            <w:tcW w:w="7369" w:type="dxa"/>
            <w:tcBorders>
              <w:top w:val="single" w:sz="4" w:space="0" w:color="A6A6A6"/>
              <w:bottom w:val="single" w:sz="4" w:space="0" w:color="A6A6A6"/>
            </w:tcBorders>
            <w:hideMark/>
          </w:tcPr>
          <w:p w14:paraId="7E260830" w14:textId="1131F244" w:rsidR="00087B91" w:rsidRPr="002029AF" w:rsidRDefault="00087B91" w:rsidP="00860E95">
            <w:pPr>
              <w:pStyle w:val="ARfintablebody"/>
            </w:pPr>
            <w:r w:rsidRPr="002029AF">
              <w:t>Monash</w:t>
            </w:r>
            <w:r w:rsidR="000A5329" w:rsidRPr="002029AF">
              <w:t xml:space="preserve"> </w:t>
            </w:r>
            <w:r w:rsidRPr="002029AF">
              <w:t>Health</w:t>
            </w:r>
          </w:p>
        </w:tc>
        <w:tc>
          <w:tcPr>
            <w:tcW w:w="1134" w:type="dxa"/>
            <w:tcBorders>
              <w:top w:val="single" w:sz="4" w:space="0" w:color="A6A6A6"/>
              <w:bottom w:val="single" w:sz="4" w:space="0" w:color="A6A6A6"/>
            </w:tcBorders>
            <w:shd w:val="clear" w:color="auto" w:fill="E7E6E6"/>
            <w:noWrap/>
            <w:hideMark/>
          </w:tcPr>
          <w:p w14:paraId="141518F8" w14:textId="77777777" w:rsidR="00087B91" w:rsidRPr="002029AF" w:rsidRDefault="00087B91" w:rsidP="00860E95">
            <w:pPr>
              <w:pStyle w:val="ARfintablebodyright"/>
            </w:pPr>
            <w:r w:rsidRPr="002029AF">
              <w:t>532.1</w:t>
            </w:r>
          </w:p>
        </w:tc>
        <w:tc>
          <w:tcPr>
            <w:tcW w:w="1134" w:type="dxa"/>
            <w:tcBorders>
              <w:top w:val="single" w:sz="4" w:space="0" w:color="A6A6A6"/>
              <w:bottom w:val="single" w:sz="4" w:space="0" w:color="A6A6A6"/>
            </w:tcBorders>
            <w:noWrap/>
            <w:hideMark/>
          </w:tcPr>
          <w:p w14:paraId="086B9B91" w14:textId="77777777" w:rsidR="00087B91" w:rsidRPr="002029AF" w:rsidRDefault="00087B91" w:rsidP="00860E95">
            <w:pPr>
              <w:pStyle w:val="ARfintablebodyright"/>
            </w:pPr>
            <w:r w:rsidRPr="002029AF">
              <w:t>438.1</w:t>
            </w:r>
          </w:p>
        </w:tc>
      </w:tr>
      <w:tr w:rsidR="00087B91" w:rsidRPr="002029AF" w14:paraId="05FD8DB0" w14:textId="77777777" w:rsidTr="00860E95">
        <w:tc>
          <w:tcPr>
            <w:tcW w:w="7369" w:type="dxa"/>
            <w:tcBorders>
              <w:top w:val="single" w:sz="4" w:space="0" w:color="A6A6A6"/>
              <w:bottom w:val="single" w:sz="4" w:space="0" w:color="A6A6A6"/>
            </w:tcBorders>
            <w:hideMark/>
          </w:tcPr>
          <w:p w14:paraId="47A8DDC2" w14:textId="497EC575" w:rsidR="00087B91" w:rsidRPr="002029AF" w:rsidRDefault="00087B91" w:rsidP="00860E95">
            <w:pPr>
              <w:pStyle w:val="ARfintablebody"/>
            </w:pPr>
            <w:r w:rsidRPr="002029AF">
              <w:t>Melbourne</w:t>
            </w:r>
            <w:r w:rsidR="000A5329" w:rsidRPr="002029AF">
              <w:t xml:space="preserve"> </w:t>
            </w:r>
            <w:r w:rsidRPr="002029AF">
              <w:t>Health</w:t>
            </w:r>
          </w:p>
        </w:tc>
        <w:tc>
          <w:tcPr>
            <w:tcW w:w="1134" w:type="dxa"/>
            <w:tcBorders>
              <w:top w:val="single" w:sz="4" w:space="0" w:color="A6A6A6"/>
              <w:bottom w:val="single" w:sz="4" w:space="0" w:color="A6A6A6"/>
            </w:tcBorders>
            <w:shd w:val="clear" w:color="auto" w:fill="E7E6E6"/>
            <w:noWrap/>
            <w:hideMark/>
          </w:tcPr>
          <w:p w14:paraId="345047AD" w14:textId="77777777" w:rsidR="00087B91" w:rsidRPr="002029AF" w:rsidRDefault="00087B91" w:rsidP="00860E95">
            <w:pPr>
              <w:pStyle w:val="ARfintablebodyright"/>
            </w:pPr>
            <w:r w:rsidRPr="002029AF">
              <w:t>386.7</w:t>
            </w:r>
          </w:p>
        </w:tc>
        <w:tc>
          <w:tcPr>
            <w:tcW w:w="1134" w:type="dxa"/>
            <w:tcBorders>
              <w:top w:val="single" w:sz="4" w:space="0" w:color="A6A6A6"/>
              <w:bottom w:val="single" w:sz="4" w:space="0" w:color="A6A6A6"/>
            </w:tcBorders>
            <w:noWrap/>
            <w:hideMark/>
          </w:tcPr>
          <w:p w14:paraId="06DA766B" w14:textId="77777777" w:rsidR="00087B91" w:rsidRPr="002029AF" w:rsidRDefault="00087B91" w:rsidP="00860E95">
            <w:pPr>
              <w:pStyle w:val="ARfintablebodyright"/>
            </w:pPr>
            <w:r w:rsidRPr="002029AF">
              <w:t>335.5</w:t>
            </w:r>
          </w:p>
        </w:tc>
      </w:tr>
      <w:tr w:rsidR="00087B91" w:rsidRPr="002029AF" w14:paraId="7CEAF2FF" w14:textId="77777777" w:rsidTr="00860E95">
        <w:tc>
          <w:tcPr>
            <w:tcW w:w="7369" w:type="dxa"/>
            <w:tcBorders>
              <w:top w:val="single" w:sz="4" w:space="0" w:color="A6A6A6"/>
              <w:bottom w:val="single" w:sz="4" w:space="0" w:color="A6A6A6"/>
            </w:tcBorders>
            <w:hideMark/>
          </w:tcPr>
          <w:p w14:paraId="6B314FDC" w14:textId="3CAC7F88" w:rsidR="00087B91" w:rsidRPr="002029AF" w:rsidRDefault="00087B91" w:rsidP="00860E95">
            <w:pPr>
              <w:pStyle w:val="ARfintablebody"/>
            </w:pPr>
            <w:r w:rsidRPr="002029AF">
              <w:t>Alfred</w:t>
            </w:r>
            <w:r w:rsidR="000A5329" w:rsidRPr="002029AF">
              <w:t xml:space="preserve"> </w:t>
            </w:r>
            <w:r w:rsidRPr="002029AF">
              <w:t>Health</w:t>
            </w:r>
          </w:p>
        </w:tc>
        <w:tc>
          <w:tcPr>
            <w:tcW w:w="1134" w:type="dxa"/>
            <w:tcBorders>
              <w:top w:val="single" w:sz="4" w:space="0" w:color="A6A6A6"/>
              <w:bottom w:val="single" w:sz="4" w:space="0" w:color="A6A6A6"/>
            </w:tcBorders>
            <w:shd w:val="clear" w:color="auto" w:fill="E7E6E6"/>
            <w:noWrap/>
            <w:hideMark/>
          </w:tcPr>
          <w:p w14:paraId="5DD18A3B" w14:textId="77777777" w:rsidR="00087B91" w:rsidRPr="002029AF" w:rsidRDefault="00087B91" w:rsidP="00860E95">
            <w:pPr>
              <w:pStyle w:val="ARfintablebodyright"/>
            </w:pPr>
            <w:r w:rsidRPr="002029AF">
              <w:t>266.2</w:t>
            </w:r>
          </w:p>
        </w:tc>
        <w:tc>
          <w:tcPr>
            <w:tcW w:w="1134" w:type="dxa"/>
            <w:tcBorders>
              <w:top w:val="single" w:sz="4" w:space="0" w:color="A6A6A6"/>
              <w:bottom w:val="single" w:sz="4" w:space="0" w:color="A6A6A6"/>
            </w:tcBorders>
            <w:noWrap/>
            <w:hideMark/>
          </w:tcPr>
          <w:p w14:paraId="4AB0D512" w14:textId="77777777" w:rsidR="00087B91" w:rsidRPr="002029AF" w:rsidRDefault="00087B91" w:rsidP="00860E95">
            <w:pPr>
              <w:pStyle w:val="ARfintablebodyright"/>
            </w:pPr>
            <w:r w:rsidRPr="002029AF">
              <w:t>190.1</w:t>
            </w:r>
          </w:p>
        </w:tc>
      </w:tr>
      <w:tr w:rsidR="00087B91" w:rsidRPr="002029AF" w14:paraId="75A7A474" w14:textId="77777777" w:rsidTr="00860E95">
        <w:tc>
          <w:tcPr>
            <w:tcW w:w="7369" w:type="dxa"/>
            <w:tcBorders>
              <w:top w:val="single" w:sz="4" w:space="0" w:color="A6A6A6"/>
              <w:bottom w:val="single" w:sz="4" w:space="0" w:color="A6A6A6"/>
            </w:tcBorders>
            <w:hideMark/>
          </w:tcPr>
          <w:p w14:paraId="5C790A36" w14:textId="7DE2BC3B" w:rsidR="00087B91" w:rsidRPr="002029AF" w:rsidRDefault="00087B91" w:rsidP="00860E95">
            <w:pPr>
              <w:pStyle w:val="ARfintablebody"/>
            </w:pPr>
            <w:r w:rsidRPr="002029AF">
              <w:t>Peter</w:t>
            </w:r>
            <w:r w:rsidR="000A5329" w:rsidRPr="002029AF">
              <w:t xml:space="preserve"> </w:t>
            </w:r>
            <w:r w:rsidRPr="002029AF">
              <w:t>MacCallum</w:t>
            </w:r>
            <w:r w:rsidR="000A5329" w:rsidRPr="002029AF">
              <w:t xml:space="preserve"> </w:t>
            </w:r>
            <w:r w:rsidRPr="002029AF">
              <w:t>Cancer</w:t>
            </w:r>
            <w:r w:rsidR="000A5329" w:rsidRPr="002029AF">
              <w:t xml:space="preserve"> </w:t>
            </w:r>
            <w:r w:rsidRPr="002029AF">
              <w:t>Centre</w:t>
            </w:r>
          </w:p>
        </w:tc>
        <w:tc>
          <w:tcPr>
            <w:tcW w:w="1134" w:type="dxa"/>
            <w:tcBorders>
              <w:top w:val="single" w:sz="4" w:space="0" w:color="A6A6A6"/>
              <w:bottom w:val="single" w:sz="4" w:space="0" w:color="A6A6A6"/>
            </w:tcBorders>
            <w:shd w:val="clear" w:color="auto" w:fill="E7E6E6"/>
            <w:noWrap/>
            <w:hideMark/>
          </w:tcPr>
          <w:p w14:paraId="2A8990E9" w14:textId="77777777" w:rsidR="00087B91" w:rsidRPr="002029AF" w:rsidRDefault="00087B91" w:rsidP="00860E95">
            <w:pPr>
              <w:pStyle w:val="ARfintablebodyright"/>
            </w:pPr>
            <w:r w:rsidRPr="002029AF">
              <w:t>227.1</w:t>
            </w:r>
          </w:p>
        </w:tc>
        <w:tc>
          <w:tcPr>
            <w:tcW w:w="1134" w:type="dxa"/>
            <w:tcBorders>
              <w:top w:val="single" w:sz="4" w:space="0" w:color="A6A6A6"/>
              <w:bottom w:val="single" w:sz="4" w:space="0" w:color="A6A6A6"/>
            </w:tcBorders>
            <w:noWrap/>
            <w:hideMark/>
          </w:tcPr>
          <w:p w14:paraId="7A890592" w14:textId="77777777" w:rsidR="00087B91" w:rsidRPr="002029AF" w:rsidRDefault="00087B91" w:rsidP="00860E95">
            <w:pPr>
              <w:pStyle w:val="ARfintablebodyright"/>
            </w:pPr>
            <w:r w:rsidRPr="002029AF">
              <w:t>235.2</w:t>
            </w:r>
          </w:p>
        </w:tc>
      </w:tr>
      <w:tr w:rsidR="00087B91" w:rsidRPr="002029AF" w14:paraId="0BABB3AB" w14:textId="77777777" w:rsidTr="00860E95">
        <w:tc>
          <w:tcPr>
            <w:tcW w:w="7369" w:type="dxa"/>
            <w:tcBorders>
              <w:top w:val="single" w:sz="4" w:space="0" w:color="A6A6A6"/>
              <w:bottom w:val="single" w:sz="4" w:space="0" w:color="A6A6A6"/>
            </w:tcBorders>
            <w:hideMark/>
          </w:tcPr>
          <w:p w14:paraId="3B5CDE11" w14:textId="312606A6" w:rsidR="00087B91" w:rsidRPr="002029AF" w:rsidRDefault="00087B91" w:rsidP="00860E95">
            <w:pPr>
              <w:pStyle w:val="ARfintablebody"/>
            </w:pPr>
            <w:r w:rsidRPr="002029AF">
              <w:t>Western</w:t>
            </w:r>
            <w:r w:rsidR="000A5329" w:rsidRPr="002029AF">
              <w:t xml:space="preserve"> </w:t>
            </w:r>
            <w:r w:rsidRPr="002029AF">
              <w:t>Health</w:t>
            </w:r>
          </w:p>
        </w:tc>
        <w:tc>
          <w:tcPr>
            <w:tcW w:w="1134" w:type="dxa"/>
            <w:tcBorders>
              <w:top w:val="single" w:sz="4" w:space="0" w:color="A6A6A6"/>
              <w:bottom w:val="single" w:sz="4" w:space="0" w:color="A6A6A6"/>
            </w:tcBorders>
            <w:shd w:val="clear" w:color="auto" w:fill="E7E6E6"/>
            <w:noWrap/>
            <w:hideMark/>
          </w:tcPr>
          <w:p w14:paraId="74C0099D" w14:textId="77777777" w:rsidR="00087B91" w:rsidRPr="002029AF" w:rsidRDefault="00087B91" w:rsidP="00860E95">
            <w:pPr>
              <w:pStyle w:val="ARfintablebodyright"/>
            </w:pPr>
            <w:r w:rsidRPr="002029AF">
              <w:t>228.1</w:t>
            </w:r>
          </w:p>
        </w:tc>
        <w:tc>
          <w:tcPr>
            <w:tcW w:w="1134" w:type="dxa"/>
            <w:tcBorders>
              <w:top w:val="single" w:sz="4" w:space="0" w:color="A6A6A6"/>
              <w:bottom w:val="single" w:sz="4" w:space="0" w:color="A6A6A6"/>
            </w:tcBorders>
            <w:noWrap/>
            <w:hideMark/>
          </w:tcPr>
          <w:p w14:paraId="063DCB44" w14:textId="77777777" w:rsidR="00087B91" w:rsidRPr="002029AF" w:rsidRDefault="00087B91" w:rsidP="00860E95">
            <w:pPr>
              <w:pStyle w:val="ARfintablebodyright"/>
            </w:pPr>
            <w:r w:rsidRPr="002029AF">
              <w:t>228.1</w:t>
            </w:r>
          </w:p>
        </w:tc>
      </w:tr>
      <w:tr w:rsidR="00087B91" w:rsidRPr="002029AF" w14:paraId="35151E6F" w14:textId="77777777" w:rsidTr="00860E95">
        <w:tc>
          <w:tcPr>
            <w:tcW w:w="7369" w:type="dxa"/>
            <w:tcBorders>
              <w:top w:val="single" w:sz="4" w:space="0" w:color="A6A6A6"/>
              <w:bottom w:val="single" w:sz="4" w:space="0" w:color="A6A6A6"/>
            </w:tcBorders>
            <w:hideMark/>
          </w:tcPr>
          <w:p w14:paraId="551850EE" w14:textId="35D78BD8" w:rsidR="00087B91" w:rsidRPr="002029AF" w:rsidRDefault="00087B91" w:rsidP="00860E95">
            <w:pPr>
              <w:pStyle w:val="ARfintablebody"/>
            </w:pPr>
            <w:r w:rsidRPr="002029AF">
              <w:t>The</w:t>
            </w:r>
            <w:r w:rsidR="000A5329" w:rsidRPr="002029AF">
              <w:t xml:space="preserve"> </w:t>
            </w:r>
            <w:r w:rsidRPr="002029AF">
              <w:t>Royal</w:t>
            </w:r>
            <w:r w:rsidR="000A5329" w:rsidRPr="002029AF">
              <w:t xml:space="preserve"> </w:t>
            </w:r>
            <w:r w:rsidRPr="002029AF">
              <w:t>Children’s</w:t>
            </w:r>
            <w:r w:rsidR="000A5329" w:rsidRPr="002029AF">
              <w:t xml:space="preserve"> </w:t>
            </w:r>
            <w:r w:rsidRPr="002029AF">
              <w:t>Hospital</w:t>
            </w:r>
          </w:p>
        </w:tc>
        <w:tc>
          <w:tcPr>
            <w:tcW w:w="1134" w:type="dxa"/>
            <w:tcBorders>
              <w:top w:val="single" w:sz="4" w:space="0" w:color="A6A6A6"/>
              <w:bottom w:val="single" w:sz="4" w:space="0" w:color="A6A6A6"/>
            </w:tcBorders>
            <w:shd w:val="clear" w:color="auto" w:fill="E7E6E6"/>
            <w:noWrap/>
            <w:hideMark/>
          </w:tcPr>
          <w:p w14:paraId="20E5A1F0" w14:textId="77777777" w:rsidR="00087B91" w:rsidRPr="002029AF" w:rsidRDefault="00087B91" w:rsidP="00860E95">
            <w:pPr>
              <w:pStyle w:val="ARfintablebodyright"/>
            </w:pPr>
            <w:r w:rsidRPr="002029AF">
              <w:t>210.3</w:t>
            </w:r>
          </w:p>
        </w:tc>
        <w:tc>
          <w:tcPr>
            <w:tcW w:w="1134" w:type="dxa"/>
            <w:tcBorders>
              <w:top w:val="single" w:sz="4" w:space="0" w:color="A6A6A6"/>
              <w:bottom w:val="single" w:sz="4" w:space="0" w:color="A6A6A6"/>
            </w:tcBorders>
            <w:noWrap/>
            <w:hideMark/>
          </w:tcPr>
          <w:p w14:paraId="2482481C" w14:textId="77777777" w:rsidR="00087B91" w:rsidRPr="002029AF" w:rsidRDefault="00087B91" w:rsidP="00860E95">
            <w:pPr>
              <w:pStyle w:val="ARfintablebodyright"/>
            </w:pPr>
            <w:r w:rsidRPr="002029AF">
              <w:t>187.7</w:t>
            </w:r>
          </w:p>
        </w:tc>
      </w:tr>
      <w:tr w:rsidR="00087B91" w:rsidRPr="002029AF" w14:paraId="537EAFE0" w14:textId="77777777" w:rsidTr="00860E95">
        <w:tc>
          <w:tcPr>
            <w:tcW w:w="7369" w:type="dxa"/>
            <w:tcBorders>
              <w:top w:val="single" w:sz="4" w:space="0" w:color="A6A6A6"/>
              <w:bottom w:val="single" w:sz="4" w:space="0" w:color="A6A6A6"/>
            </w:tcBorders>
            <w:hideMark/>
          </w:tcPr>
          <w:p w14:paraId="063D4E03" w14:textId="4A7B085C" w:rsidR="00087B91" w:rsidRPr="002029AF" w:rsidRDefault="00087B91" w:rsidP="00860E95">
            <w:pPr>
              <w:pStyle w:val="ARfintablebody"/>
            </w:pPr>
            <w:r w:rsidRPr="002029AF">
              <w:t>Eastern</w:t>
            </w:r>
            <w:r w:rsidR="000A5329" w:rsidRPr="002029AF">
              <w:t xml:space="preserve"> </w:t>
            </w:r>
            <w:r w:rsidRPr="002029AF">
              <w:t>Health</w:t>
            </w:r>
          </w:p>
        </w:tc>
        <w:tc>
          <w:tcPr>
            <w:tcW w:w="1134" w:type="dxa"/>
            <w:tcBorders>
              <w:top w:val="single" w:sz="4" w:space="0" w:color="A6A6A6"/>
              <w:bottom w:val="single" w:sz="4" w:space="0" w:color="A6A6A6"/>
            </w:tcBorders>
            <w:shd w:val="clear" w:color="auto" w:fill="E7E6E6"/>
            <w:noWrap/>
            <w:hideMark/>
          </w:tcPr>
          <w:p w14:paraId="78E679B7" w14:textId="77777777" w:rsidR="00087B91" w:rsidRPr="002029AF" w:rsidRDefault="00087B91" w:rsidP="00860E95">
            <w:pPr>
              <w:pStyle w:val="ARfintablebodyright"/>
            </w:pPr>
            <w:r w:rsidRPr="002029AF">
              <w:t>193.9</w:t>
            </w:r>
          </w:p>
        </w:tc>
        <w:tc>
          <w:tcPr>
            <w:tcW w:w="1134" w:type="dxa"/>
            <w:tcBorders>
              <w:top w:val="single" w:sz="4" w:space="0" w:color="A6A6A6"/>
              <w:bottom w:val="single" w:sz="4" w:space="0" w:color="A6A6A6"/>
            </w:tcBorders>
            <w:noWrap/>
            <w:hideMark/>
          </w:tcPr>
          <w:p w14:paraId="3CD85D43" w14:textId="77777777" w:rsidR="00087B91" w:rsidRPr="002029AF" w:rsidRDefault="00087B91" w:rsidP="00860E95">
            <w:pPr>
              <w:pStyle w:val="ARfintablebodyright"/>
            </w:pPr>
            <w:r w:rsidRPr="002029AF">
              <w:t>186.4</w:t>
            </w:r>
          </w:p>
        </w:tc>
      </w:tr>
      <w:tr w:rsidR="00087B91" w:rsidRPr="002029AF" w14:paraId="3DCB7C89" w14:textId="77777777" w:rsidTr="00860E95">
        <w:tc>
          <w:tcPr>
            <w:tcW w:w="7369" w:type="dxa"/>
            <w:tcBorders>
              <w:top w:val="single" w:sz="4" w:space="0" w:color="A6A6A6"/>
              <w:bottom w:val="single" w:sz="4" w:space="0" w:color="A6A6A6"/>
            </w:tcBorders>
            <w:hideMark/>
          </w:tcPr>
          <w:p w14:paraId="3E2E0ABA" w14:textId="2DCDEE27" w:rsidR="00087B91" w:rsidRPr="002029AF" w:rsidRDefault="00087B91" w:rsidP="00860E95">
            <w:pPr>
              <w:pStyle w:val="ARfintablebody"/>
            </w:pPr>
            <w:r w:rsidRPr="002029AF">
              <w:t>Austin</w:t>
            </w:r>
            <w:r w:rsidR="000A5329" w:rsidRPr="002029AF">
              <w:t xml:space="preserve"> </w:t>
            </w:r>
            <w:r w:rsidRPr="002029AF">
              <w:t>Health</w:t>
            </w:r>
          </w:p>
        </w:tc>
        <w:tc>
          <w:tcPr>
            <w:tcW w:w="1134" w:type="dxa"/>
            <w:tcBorders>
              <w:top w:val="single" w:sz="4" w:space="0" w:color="A6A6A6"/>
              <w:bottom w:val="single" w:sz="4" w:space="0" w:color="A6A6A6"/>
            </w:tcBorders>
            <w:shd w:val="clear" w:color="auto" w:fill="E7E6E6"/>
            <w:noWrap/>
            <w:hideMark/>
          </w:tcPr>
          <w:p w14:paraId="075E600F" w14:textId="77777777" w:rsidR="00087B91" w:rsidRPr="002029AF" w:rsidRDefault="00087B91" w:rsidP="00860E95">
            <w:pPr>
              <w:pStyle w:val="ARfintablebodyright"/>
            </w:pPr>
            <w:r w:rsidRPr="002029AF">
              <w:t>184.9</w:t>
            </w:r>
          </w:p>
        </w:tc>
        <w:tc>
          <w:tcPr>
            <w:tcW w:w="1134" w:type="dxa"/>
            <w:tcBorders>
              <w:top w:val="single" w:sz="4" w:space="0" w:color="A6A6A6"/>
              <w:bottom w:val="single" w:sz="4" w:space="0" w:color="A6A6A6"/>
            </w:tcBorders>
            <w:noWrap/>
            <w:hideMark/>
          </w:tcPr>
          <w:p w14:paraId="4A97D4CC" w14:textId="77777777" w:rsidR="00087B91" w:rsidRPr="002029AF" w:rsidRDefault="00087B91" w:rsidP="00860E95">
            <w:pPr>
              <w:pStyle w:val="ARfintablebodyright"/>
            </w:pPr>
            <w:r w:rsidRPr="002029AF">
              <w:t>142.3</w:t>
            </w:r>
          </w:p>
        </w:tc>
      </w:tr>
      <w:tr w:rsidR="00087B91" w:rsidRPr="002029AF" w14:paraId="06E2CF14" w14:textId="77777777" w:rsidTr="00860E95">
        <w:tc>
          <w:tcPr>
            <w:tcW w:w="7369" w:type="dxa"/>
            <w:tcBorders>
              <w:top w:val="single" w:sz="4" w:space="0" w:color="A6A6A6"/>
              <w:bottom w:val="single" w:sz="4" w:space="0" w:color="A6A6A6"/>
            </w:tcBorders>
            <w:hideMark/>
          </w:tcPr>
          <w:p w14:paraId="42757939" w14:textId="4808ADA4" w:rsidR="00087B91" w:rsidRPr="002029AF" w:rsidRDefault="00087B91" w:rsidP="00860E95">
            <w:pPr>
              <w:pStyle w:val="ARfintablebody"/>
            </w:pPr>
            <w:r w:rsidRPr="002029AF">
              <w:t>Barwon</w:t>
            </w:r>
            <w:r w:rsidR="000A5329" w:rsidRPr="002029AF">
              <w:t xml:space="preserve"> </w:t>
            </w:r>
            <w:r w:rsidRPr="002029AF">
              <w:t>Health</w:t>
            </w:r>
          </w:p>
        </w:tc>
        <w:tc>
          <w:tcPr>
            <w:tcW w:w="1134" w:type="dxa"/>
            <w:tcBorders>
              <w:top w:val="single" w:sz="4" w:space="0" w:color="A6A6A6"/>
              <w:bottom w:val="single" w:sz="4" w:space="0" w:color="A6A6A6"/>
            </w:tcBorders>
            <w:shd w:val="clear" w:color="auto" w:fill="E7E6E6"/>
            <w:noWrap/>
            <w:hideMark/>
          </w:tcPr>
          <w:p w14:paraId="2FB8574D" w14:textId="77777777" w:rsidR="00087B91" w:rsidRPr="002029AF" w:rsidRDefault="00087B91" w:rsidP="00860E95">
            <w:pPr>
              <w:pStyle w:val="ARfintablebodyright"/>
            </w:pPr>
            <w:r w:rsidRPr="002029AF">
              <w:t>168.2</w:t>
            </w:r>
          </w:p>
        </w:tc>
        <w:tc>
          <w:tcPr>
            <w:tcW w:w="1134" w:type="dxa"/>
            <w:tcBorders>
              <w:top w:val="single" w:sz="4" w:space="0" w:color="A6A6A6"/>
              <w:bottom w:val="single" w:sz="4" w:space="0" w:color="A6A6A6"/>
            </w:tcBorders>
            <w:noWrap/>
            <w:hideMark/>
          </w:tcPr>
          <w:p w14:paraId="4DF9E569" w14:textId="77777777" w:rsidR="00087B91" w:rsidRPr="002029AF" w:rsidRDefault="00087B91" w:rsidP="00860E95">
            <w:pPr>
              <w:pStyle w:val="ARfintablebodyright"/>
            </w:pPr>
            <w:r w:rsidRPr="002029AF">
              <w:t>176.2</w:t>
            </w:r>
          </w:p>
        </w:tc>
      </w:tr>
      <w:tr w:rsidR="00087B91" w:rsidRPr="002029AF" w14:paraId="46E30249" w14:textId="77777777" w:rsidTr="00860E95">
        <w:tc>
          <w:tcPr>
            <w:tcW w:w="7369" w:type="dxa"/>
            <w:tcBorders>
              <w:top w:val="single" w:sz="4" w:space="0" w:color="A6A6A6"/>
              <w:bottom w:val="single" w:sz="4" w:space="0" w:color="A6A6A6"/>
            </w:tcBorders>
            <w:hideMark/>
          </w:tcPr>
          <w:p w14:paraId="462EF540" w14:textId="41DDD419" w:rsidR="00087B91" w:rsidRPr="002029AF" w:rsidRDefault="00087B91" w:rsidP="00860E95">
            <w:pPr>
              <w:pStyle w:val="ARfintablebody"/>
            </w:pPr>
            <w:r w:rsidRPr="002029AF">
              <w:t>Albury</w:t>
            </w:r>
            <w:r w:rsidR="000A5329" w:rsidRPr="002029AF">
              <w:t xml:space="preserve"> </w:t>
            </w:r>
            <w:r w:rsidRPr="002029AF">
              <w:t>Wodonga</w:t>
            </w:r>
            <w:r w:rsidR="000A5329" w:rsidRPr="002029AF">
              <w:t xml:space="preserve"> </w:t>
            </w:r>
            <w:r w:rsidRPr="002029AF">
              <w:t>Health</w:t>
            </w:r>
          </w:p>
        </w:tc>
        <w:tc>
          <w:tcPr>
            <w:tcW w:w="1134" w:type="dxa"/>
            <w:tcBorders>
              <w:top w:val="single" w:sz="4" w:space="0" w:color="A6A6A6"/>
              <w:bottom w:val="single" w:sz="4" w:space="0" w:color="A6A6A6"/>
            </w:tcBorders>
            <w:shd w:val="clear" w:color="auto" w:fill="E7E6E6"/>
            <w:noWrap/>
            <w:hideMark/>
          </w:tcPr>
          <w:p w14:paraId="128380EE" w14:textId="77777777" w:rsidR="00087B91" w:rsidRPr="002029AF" w:rsidRDefault="00087B91" w:rsidP="00860E95">
            <w:pPr>
              <w:pStyle w:val="ARfintablebodyright"/>
            </w:pPr>
            <w:r w:rsidRPr="002029AF">
              <w:t>164.5</w:t>
            </w:r>
          </w:p>
        </w:tc>
        <w:tc>
          <w:tcPr>
            <w:tcW w:w="1134" w:type="dxa"/>
            <w:tcBorders>
              <w:top w:val="single" w:sz="4" w:space="0" w:color="A6A6A6"/>
              <w:bottom w:val="single" w:sz="4" w:space="0" w:color="A6A6A6"/>
            </w:tcBorders>
            <w:noWrap/>
            <w:hideMark/>
          </w:tcPr>
          <w:p w14:paraId="59F5D46B" w14:textId="77777777" w:rsidR="00087B91" w:rsidRPr="002029AF" w:rsidRDefault="00087B91" w:rsidP="00860E95">
            <w:pPr>
              <w:pStyle w:val="ARfintablebodyright"/>
            </w:pPr>
            <w:r w:rsidRPr="002029AF">
              <w:t>139.4</w:t>
            </w:r>
          </w:p>
        </w:tc>
      </w:tr>
      <w:tr w:rsidR="00087B91" w:rsidRPr="002029AF" w14:paraId="135B7B14" w14:textId="77777777" w:rsidTr="00860E95">
        <w:tc>
          <w:tcPr>
            <w:tcW w:w="7369" w:type="dxa"/>
            <w:tcBorders>
              <w:top w:val="single" w:sz="4" w:space="0" w:color="A6A6A6"/>
              <w:bottom w:val="single" w:sz="4" w:space="0" w:color="A6A6A6"/>
            </w:tcBorders>
            <w:hideMark/>
          </w:tcPr>
          <w:p w14:paraId="0DDB7633" w14:textId="53D25307" w:rsidR="00087B91" w:rsidRPr="002029AF" w:rsidRDefault="00087B91" w:rsidP="00860E95">
            <w:pPr>
              <w:pStyle w:val="ARfintablebody"/>
            </w:pPr>
            <w:r w:rsidRPr="002029AF">
              <w:t>Goulburn</w:t>
            </w:r>
            <w:r w:rsidR="000A5329" w:rsidRPr="002029AF">
              <w:t xml:space="preserve"> </w:t>
            </w:r>
            <w:r w:rsidRPr="002029AF">
              <w:t>Valley</w:t>
            </w:r>
            <w:r w:rsidR="000A5329" w:rsidRPr="002029AF">
              <w:t xml:space="preserve"> </w:t>
            </w:r>
            <w:r w:rsidRPr="002029AF">
              <w:t>Health</w:t>
            </w:r>
          </w:p>
        </w:tc>
        <w:tc>
          <w:tcPr>
            <w:tcW w:w="1134" w:type="dxa"/>
            <w:tcBorders>
              <w:top w:val="single" w:sz="4" w:space="0" w:color="A6A6A6"/>
              <w:bottom w:val="single" w:sz="4" w:space="0" w:color="A6A6A6"/>
            </w:tcBorders>
            <w:shd w:val="clear" w:color="auto" w:fill="E7E6E6"/>
            <w:noWrap/>
            <w:hideMark/>
          </w:tcPr>
          <w:p w14:paraId="3752478A" w14:textId="77777777" w:rsidR="00087B91" w:rsidRPr="002029AF" w:rsidRDefault="00087B91" w:rsidP="00860E95">
            <w:pPr>
              <w:pStyle w:val="ARfintablebodyright"/>
            </w:pPr>
            <w:r w:rsidRPr="002029AF">
              <w:t>151.6</w:t>
            </w:r>
          </w:p>
        </w:tc>
        <w:tc>
          <w:tcPr>
            <w:tcW w:w="1134" w:type="dxa"/>
            <w:tcBorders>
              <w:top w:val="single" w:sz="4" w:space="0" w:color="A6A6A6"/>
              <w:bottom w:val="single" w:sz="4" w:space="0" w:color="A6A6A6"/>
            </w:tcBorders>
            <w:noWrap/>
            <w:hideMark/>
          </w:tcPr>
          <w:p w14:paraId="6A8F37C5" w14:textId="77777777" w:rsidR="00087B91" w:rsidRPr="002029AF" w:rsidRDefault="00087B91" w:rsidP="00860E95">
            <w:pPr>
              <w:pStyle w:val="ARfintablebodyright"/>
            </w:pPr>
            <w:r w:rsidRPr="002029AF">
              <w:t>94.1</w:t>
            </w:r>
          </w:p>
        </w:tc>
      </w:tr>
      <w:tr w:rsidR="00087B91" w:rsidRPr="002029AF" w14:paraId="3A37C27D" w14:textId="77777777" w:rsidTr="00860E95">
        <w:tc>
          <w:tcPr>
            <w:tcW w:w="7369" w:type="dxa"/>
            <w:tcBorders>
              <w:top w:val="single" w:sz="4" w:space="0" w:color="A6A6A6"/>
              <w:bottom w:val="single" w:sz="4" w:space="0" w:color="A6A6A6"/>
            </w:tcBorders>
            <w:hideMark/>
          </w:tcPr>
          <w:p w14:paraId="378D6111" w14:textId="06B2D7E0" w:rsidR="00087B91" w:rsidRPr="002029AF" w:rsidRDefault="00087B91" w:rsidP="00860E95">
            <w:pPr>
              <w:pStyle w:val="ARfintablebody"/>
            </w:pPr>
            <w:r w:rsidRPr="002029AF">
              <w:t>Bendigo</w:t>
            </w:r>
            <w:r w:rsidR="000A5329" w:rsidRPr="002029AF">
              <w:t xml:space="preserve"> </w:t>
            </w:r>
            <w:r w:rsidRPr="002029AF">
              <w:t>Health</w:t>
            </w:r>
          </w:p>
        </w:tc>
        <w:tc>
          <w:tcPr>
            <w:tcW w:w="1134" w:type="dxa"/>
            <w:tcBorders>
              <w:top w:val="single" w:sz="4" w:space="0" w:color="A6A6A6"/>
              <w:bottom w:val="single" w:sz="4" w:space="0" w:color="A6A6A6"/>
            </w:tcBorders>
            <w:shd w:val="clear" w:color="auto" w:fill="E7E6E6"/>
            <w:noWrap/>
            <w:hideMark/>
          </w:tcPr>
          <w:p w14:paraId="45D1A8DC" w14:textId="77777777" w:rsidR="00087B91" w:rsidRPr="002029AF" w:rsidRDefault="00087B91" w:rsidP="00860E95">
            <w:pPr>
              <w:pStyle w:val="ARfintablebodyright"/>
            </w:pPr>
            <w:r w:rsidRPr="002029AF">
              <w:t>150.5</w:t>
            </w:r>
          </w:p>
        </w:tc>
        <w:tc>
          <w:tcPr>
            <w:tcW w:w="1134" w:type="dxa"/>
            <w:tcBorders>
              <w:top w:val="single" w:sz="4" w:space="0" w:color="A6A6A6"/>
              <w:bottom w:val="single" w:sz="4" w:space="0" w:color="A6A6A6"/>
            </w:tcBorders>
            <w:noWrap/>
            <w:hideMark/>
          </w:tcPr>
          <w:p w14:paraId="1747D80A" w14:textId="77777777" w:rsidR="00087B91" w:rsidRPr="002029AF" w:rsidRDefault="00087B91" w:rsidP="00860E95">
            <w:pPr>
              <w:pStyle w:val="ARfintablebodyright"/>
            </w:pPr>
            <w:r w:rsidRPr="002029AF">
              <w:t>141.5</w:t>
            </w:r>
          </w:p>
        </w:tc>
      </w:tr>
      <w:tr w:rsidR="00087B91" w:rsidRPr="002029AF" w14:paraId="3325BFAF" w14:textId="77777777" w:rsidTr="00860E95">
        <w:tc>
          <w:tcPr>
            <w:tcW w:w="7369" w:type="dxa"/>
            <w:tcBorders>
              <w:top w:val="single" w:sz="4" w:space="0" w:color="A6A6A6"/>
              <w:bottom w:val="single" w:sz="4" w:space="0" w:color="A6A6A6"/>
            </w:tcBorders>
            <w:hideMark/>
          </w:tcPr>
          <w:p w14:paraId="082CFA7F" w14:textId="0341D5D9" w:rsidR="00087B91" w:rsidRPr="002029AF" w:rsidRDefault="00087B91" w:rsidP="00860E95">
            <w:pPr>
              <w:pStyle w:val="ARfintablebody"/>
            </w:pPr>
            <w:r w:rsidRPr="002029AF">
              <w:t>Ballarat</w:t>
            </w:r>
            <w:r w:rsidR="000A5329" w:rsidRPr="002029AF">
              <w:t xml:space="preserve"> </w:t>
            </w:r>
            <w:r w:rsidRPr="002029AF">
              <w:t>Health</w:t>
            </w:r>
            <w:r w:rsidR="000A5329" w:rsidRPr="002029AF">
              <w:t xml:space="preserve"> </w:t>
            </w:r>
            <w:r w:rsidRPr="002029AF">
              <w:t>Services</w:t>
            </w:r>
          </w:p>
        </w:tc>
        <w:tc>
          <w:tcPr>
            <w:tcW w:w="1134" w:type="dxa"/>
            <w:tcBorders>
              <w:top w:val="single" w:sz="4" w:space="0" w:color="A6A6A6"/>
              <w:bottom w:val="single" w:sz="4" w:space="0" w:color="A6A6A6"/>
            </w:tcBorders>
            <w:shd w:val="clear" w:color="auto" w:fill="E7E6E6"/>
            <w:noWrap/>
            <w:hideMark/>
          </w:tcPr>
          <w:p w14:paraId="40929FBF" w14:textId="77777777" w:rsidR="00087B91" w:rsidRPr="002029AF" w:rsidRDefault="00087B91" w:rsidP="00860E95">
            <w:pPr>
              <w:pStyle w:val="ARfintablebodyright"/>
            </w:pPr>
            <w:r w:rsidRPr="002029AF">
              <w:t>123.7</w:t>
            </w:r>
          </w:p>
        </w:tc>
        <w:tc>
          <w:tcPr>
            <w:tcW w:w="1134" w:type="dxa"/>
            <w:tcBorders>
              <w:top w:val="single" w:sz="4" w:space="0" w:color="A6A6A6"/>
              <w:bottom w:val="single" w:sz="4" w:space="0" w:color="A6A6A6"/>
            </w:tcBorders>
            <w:noWrap/>
            <w:hideMark/>
          </w:tcPr>
          <w:p w14:paraId="54073269" w14:textId="77777777" w:rsidR="00087B91" w:rsidRPr="002029AF" w:rsidRDefault="00087B91" w:rsidP="00860E95">
            <w:pPr>
              <w:pStyle w:val="ARfintablebodyright"/>
            </w:pPr>
            <w:r w:rsidRPr="002029AF">
              <w:t>92.0</w:t>
            </w:r>
          </w:p>
        </w:tc>
      </w:tr>
      <w:tr w:rsidR="00087B91" w:rsidRPr="002029AF" w14:paraId="156111F6" w14:textId="77777777" w:rsidTr="00860E95">
        <w:tc>
          <w:tcPr>
            <w:tcW w:w="7369" w:type="dxa"/>
            <w:tcBorders>
              <w:top w:val="single" w:sz="4" w:space="0" w:color="A6A6A6"/>
              <w:bottom w:val="single" w:sz="4" w:space="0" w:color="A6A6A6"/>
            </w:tcBorders>
            <w:hideMark/>
          </w:tcPr>
          <w:p w14:paraId="4A3778BC" w14:textId="45C431FE" w:rsidR="00087B91" w:rsidRPr="002029AF" w:rsidRDefault="00087B91" w:rsidP="00860E95">
            <w:pPr>
              <w:pStyle w:val="ARfintablebody"/>
            </w:pPr>
            <w:r w:rsidRPr="002029AF">
              <w:t>Peninsula</w:t>
            </w:r>
            <w:r w:rsidR="000A5329" w:rsidRPr="002029AF">
              <w:t xml:space="preserve"> </w:t>
            </w:r>
            <w:r w:rsidRPr="002029AF">
              <w:t>Health</w:t>
            </w:r>
          </w:p>
        </w:tc>
        <w:tc>
          <w:tcPr>
            <w:tcW w:w="1134" w:type="dxa"/>
            <w:tcBorders>
              <w:top w:val="single" w:sz="4" w:space="0" w:color="A6A6A6"/>
              <w:bottom w:val="single" w:sz="4" w:space="0" w:color="A6A6A6"/>
            </w:tcBorders>
            <w:shd w:val="clear" w:color="auto" w:fill="E7E6E6"/>
            <w:noWrap/>
            <w:hideMark/>
          </w:tcPr>
          <w:p w14:paraId="4D1FAE2C" w14:textId="77777777" w:rsidR="00087B91" w:rsidRPr="002029AF" w:rsidRDefault="00087B91" w:rsidP="00860E95">
            <w:pPr>
              <w:pStyle w:val="ARfintablebodyright"/>
            </w:pPr>
            <w:r w:rsidRPr="002029AF">
              <w:t>112.8</w:t>
            </w:r>
          </w:p>
        </w:tc>
        <w:tc>
          <w:tcPr>
            <w:tcW w:w="1134" w:type="dxa"/>
            <w:tcBorders>
              <w:top w:val="single" w:sz="4" w:space="0" w:color="A6A6A6"/>
              <w:bottom w:val="single" w:sz="4" w:space="0" w:color="A6A6A6"/>
            </w:tcBorders>
            <w:noWrap/>
            <w:hideMark/>
          </w:tcPr>
          <w:p w14:paraId="53699AB6" w14:textId="77777777" w:rsidR="00087B91" w:rsidRPr="002029AF" w:rsidRDefault="00087B91" w:rsidP="00860E95">
            <w:pPr>
              <w:pStyle w:val="ARfintablebodyright"/>
            </w:pPr>
            <w:r w:rsidRPr="002029AF">
              <w:t>99.6</w:t>
            </w:r>
          </w:p>
        </w:tc>
      </w:tr>
      <w:tr w:rsidR="00087B91" w:rsidRPr="002029AF" w14:paraId="53ED8AB7" w14:textId="77777777" w:rsidTr="00860E95">
        <w:tc>
          <w:tcPr>
            <w:tcW w:w="7369" w:type="dxa"/>
            <w:tcBorders>
              <w:top w:val="single" w:sz="4" w:space="0" w:color="A6A6A6"/>
              <w:bottom w:val="single" w:sz="4" w:space="0" w:color="A6A6A6"/>
            </w:tcBorders>
            <w:hideMark/>
          </w:tcPr>
          <w:p w14:paraId="47FAB5AD" w14:textId="3A49FC49" w:rsidR="00087B91" w:rsidRPr="002029AF" w:rsidRDefault="00087B91" w:rsidP="00860E95">
            <w:pPr>
              <w:pStyle w:val="ARfintablebody"/>
            </w:pPr>
            <w:r w:rsidRPr="002029AF">
              <w:t>Northern</w:t>
            </w:r>
            <w:r w:rsidR="000A5329" w:rsidRPr="002029AF">
              <w:t xml:space="preserve"> </w:t>
            </w:r>
            <w:r w:rsidRPr="002029AF">
              <w:t>Health</w:t>
            </w:r>
          </w:p>
        </w:tc>
        <w:tc>
          <w:tcPr>
            <w:tcW w:w="1134" w:type="dxa"/>
            <w:tcBorders>
              <w:top w:val="single" w:sz="4" w:space="0" w:color="A6A6A6"/>
              <w:bottom w:val="single" w:sz="4" w:space="0" w:color="A6A6A6"/>
            </w:tcBorders>
            <w:shd w:val="clear" w:color="auto" w:fill="E7E6E6"/>
            <w:noWrap/>
            <w:hideMark/>
          </w:tcPr>
          <w:p w14:paraId="7818873C" w14:textId="77777777" w:rsidR="00087B91" w:rsidRPr="002029AF" w:rsidRDefault="00087B91" w:rsidP="00860E95">
            <w:pPr>
              <w:pStyle w:val="ARfintablebodyright"/>
            </w:pPr>
            <w:r w:rsidRPr="002029AF">
              <w:t>102.3</w:t>
            </w:r>
          </w:p>
        </w:tc>
        <w:tc>
          <w:tcPr>
            <w:tcW w:w="1134" w:type="dxa"/>
            <w:tcBorders>
              <w:top w:val="single" w:sz="4" w:space="0" w:color="A6A6A6"/>
              <w:bottom w:val="single" w:sz="4" w:space="0" w:color="A6A6A6"/>
            </w:tcBorders>
            <w:noWrap/>
            <w:hideMark/>
          </w:tcPr>
          <w:p w14:paraId="6008FD62" w14:textId="77777777" w:rsidR="00087B91" w:rsidRPr="002029AF" w:rsidRDefault="00087B91" w:rsidP="00860E95">
            <w:pPr>
              <w:pStyle w:val="ARfintablebodyright"/>
            </w:pPr>
            <w:r w:rsidRPr="002029AF">
              <w:t>60.8</w:t>
            </w:r>
          </w:p>
        </w:tc>
      </w:tr>
      <w:tr w:rsidR="00087B91" w:rsidRPr="002029AF" w14:paraId="306AC782" w14:textId="77777777" w:rsidTr="00860E95">
        <w:tc>
          <w:tcPr>
            <w:tcW w:w="7369" w:type="dxa"/>
            <w:tcBorders>
              <w:top w:val="single" w:sz="4" w:space="0" w:color="A6A6A6"/>
              <w:bottom w:val="single" w:sz="4" w:space="0" w:color="A6A6A6"/>
            </w:tcBorders>
            <w:hideMark/>
          </w:tcPr>
          <w:p w14:paraId="5AEF80D2" w14:textId="2CD0C17B" w:rsidR="00087B91" w:rsidRPr="002029AF" w:rsidRDefault="00087B91" w:rsidP="00860E95">
            <w:pPr>
              <w:pStyle w:val="ARfintablebody"/>
            </w:pPr>
            <w:r w:rsidRPr="002029AF">
              <w:t>The</w:t>
            </w:r>
            <w:r w:rsidR="000A5329" w:rsidRPr="002029AF">
              <w:t xml:space="preserve"> </w:t>
            </w:r>
            <w:r w:rsidRPr="002029AF">
              <w:t>Royal</w:t>
            </w:r>
            <w:r w:rsidR="000A5329" w:rsidRPr="002029AF">
              <w:t xml:space="preserve"> </w:t>
            </w:r>
            <w:r w:rsidRPr="002029AF">
              <w:t>Women’s</w:t>
            </w:r>
            <w:r w:rsidR="000A5329" w:rsidRPr="002029AF">
              <w:t xml:space="preserve"> </w:t>
            </w:r>
            <w:r w:rsidRPr="002029AF">
              <w:t>Hospital</w:t>
            </w:r>
          </w:p>
        </w:tc>
        <w:tc>
          <w:tcPr>
            <w:tcW w:w="1134" w:type="dxa"/>
            <w:tcBorders>
              <w:top w:val="single" w:sz="4" w:space="0" w:color="A6A6A6"/>
              <w:bottom w:val="single" w:sz="4" w:space="0" w:color="A6A6A6"/>
            </w:tcBorders>
            <w:shd w:val="clear" w:color="auto" w:fill="E7E6E6"/>
            <w:noWrap/>
            <w:hideMark/>
          </w:tcPr>
          <w:p w14:paraId="312DD92C" w14:textId="77777777" w:rsidR="00087B91" w:rsidRPr="002029AF" w:rsidRDefault="00087B91" w:rsidP="00860E95">
            <w:pPr>
              <w:pStyle w:val="ARfintablebodyright"/>
            </w:pPr>
            <w:r w:rsidRPr="002029AF">
              <w:t>59.9</w:t>
            </w:r>
          </w:p>
        </w:tc>
        <w:tc>
          <w:tcPr>
            <w:tcW w:w="1134" w:type="dxa"/>
            <w:tcBorders>
              <w:top w:val="single" w:sz="4" w:space="0" w:color="A6A6A6"/>
              <w:bottom w:val="single" w:sz="4" w:space="0" w:color="A6A6A6"/>
            </w:tcBorders>
            <w:noWrap/>
            <w:hideMark/>
          </w:tcPr>
          <w:p w14:paraId="46F14181" w14:textId="77777777" w:rsidR="00087B91" w:rsidRPr="002029AF" w:rsidRDefault="00087B91" w:rsidP="00860E95">
            <w:pPr>
              <w:pStyle w:val="ARfintablebodyright"/>
            </w:pPr>
            <w:r w:rsidRPr="002029AF">
              <w:t>48.2</w:t>
            </w:r>
          </w:p>
        </w:tc>
      </w:tr>
      <w:tr w:rsidR="00087B91" w:rsidRPr="002029AF" w14:paraId="5CCAEBFC" w14:textId="77777777" w:rsidTr="00860E95">
        <w:tc>
          <w:tcPr>
            <w:tcW w:w="7369" w:type="dxa"/>
            <w:tcBorders>
              <w:top w:val="single" w:sz="4" w:space="0" w:color="A6A6A6"/>
              <w:bottom w:val="single" w:sz="4" w:space="0" w:color="A6A6A6"/>
            </w:tcBorders>
            <w:hideMark/>
          </w:tcPr>
          <w:p w14:paraId="0B74914F" w14:textId="5912CC6F" w:rsidR="00087B91" w:rsidRPr="002029AF" w:rsidRDefault="00087B91" w:rsidP="00860E95">
            <w:pPr>
              <w:pStyle w:val="ARfintablebody"/>
            </w:pPr>
            <w:r w:rsidRPr="002029AF">
              <w:t>Latrobe</w:t>
            </w:r>
            <w:r w:rsidR="000A5329" w:rsidRPr="002029AF">
              <w:t xml:space="preserve"> </w:t>
            </w:r>
            <w:r w:rsidRPr="002029AF">
              <w:t>Regional</w:t>
            </w:r>
            <w:r w:rsidR="000A5329" w:rsidRPr="002029AF">
              <w:t xml:space="preserve"> </w:t>
            </w:r>
            <w:r w:rsidRPr="002029AF">
              <w:t>Hospital</w:t>
            </w:r>
          </w:p>
        </w:tc>
        <w:tc>
          <w:tcPr>
            <w:tcW w:w="1134" w:type="dxa"/>
            <w:tcBorders>
              <w:top w:val="single" w:sz="4" w:space="0" w:color="A6A6A6"/>
              <w:bottom w:val="single" w:sz="4" w:space="0" w:color="A6A6A6"/>
            </w:tcBorders>
            <w:shd w:val="clear" w:color="auto" w:fill="E7E6E6"/>
            <w:noWrap/>
            <w:hideMark/>
          </w:tcPr>
          <w:p w14:paraId="11F73754" w14:textId="77777777" w:rsidR="00087B91" w:rsidRPr="002029AF" w:rsidRDefault="00087B91" w:rsidP="00860E95">
            <w:pPr>
              <w:pStyle w:val="ARfintablebodyright"/>
            </w:pPr>
            <w:r w:rsidRPr="002029AF">
              <w:t>60.3</w:t>
            </w:r>
          </w:p>
        </w:tc>
        <w:tc>
          <w:tcPr>
            <w:tcW w:w="1134" w:type="dxa"/>
            <w:tcBorders>
              <w:top w:val="single" w:sz="4" w:space="0" w:color="A6A6A6"/>
              <w:bottom w:val="single" w:sz="4" w:space="0" w:color="A6A6A6"/>
            </w:tcBorders>
            <w:noWrap/>
            <w:hideMark/>
          </w:tcPr>
          <w:p w14:paraId="54124AC3" w14:textId="77777777" w:rsidR="00087B91" w:rsidRPr="002029AF" w:rsidRDefault="00087B91" w:rsidP="00860E95">
            <w:pPr>
              <w:pStyle w:val="ARfintablebodyright"/>
            </w:pPr>
            <w:r w:rsidRPr="002029AF">
              <w:t>52.1</w:t>
            </w:r>
          </w:p>
        </w:tc>
      </w:tr>
      <w:tr w:rsidR="00087B91" w:rsidRPr="002029AF" w14:paraId="46595BD2" w14:textId="77777777" w:rsidTr="00860E95">
        <w:tc>
          <w:tcPr>
            <w:tcW w:w="7369" w:type="dxa"/>
            <w:tcBorders>
              <w:top w:val="single" w:sz="4" w:space="0" w:color="A6A6A6"/>
              <w:bottom w:val="single" w:sz="4" w:space="0" w:color="A6A6A6"/>
            </w:tcBorders>
            <w:hideMark/>
          </w:tcPr>
          <w:p w14:paraId="6FCC17E2" w14:textId="011854A1" w:rsidR="00087B91" w:rsidRPr="002029AF" w:rsidRDefault="00087B91" w:rsidP="00860E95">
            <w:pPr>
              <w:pStyle w:val="ARfintablebody"/>
            </w:pPr>
            <w:r w:rsidRPr="002029AF">
              <w:t>South</w:t>
            </w:r>
            <w:r w:rsidR="000A5329" w:rsidRPr="002029AF">
              <w:t xml:space="preserve"> </w:t>
            </w:r>
            <w:r w:rsidRPr="002029AF">
              <w:t>West</w:t>
            </w:r>
            <w:r w:rsidR="000A5329" w:rsidRPr="002029AF">
              <w:t xml:space="preserve"> </w:t>
            </w:r>
            <w:r w:rsidRPr="002029AF">
              <w:t>Healthcare</w:t>
            </w:r>
          </w:p>
        </w:tc>
        <w:tc>
          <w:tcPr>
            <w:tcW w:w="1134" w:type="dxa"/>
            <w:tcBorders>
              <w:top w:val="single" w:sz="4" w:space="0" w:color="A6A6A6"/>
              <w:bottom w:val="single" w:sz="4" w:space="0" w:color="A6A6A6"/>
            </w:tcBorders>
            <w:shd w:val="clear" w:color="auto" w:fill="E7E6E6"/>
            <w:noWrap/>
            <w:hideMark/>
          </w:tcPr>
          <w:p w14:paraId="03BD242E" w14:textId="77777777" w:rsidR="00087B91" w:rsidRPr="002029AF" w:rsidRDefault="00087B91" w:rsidP="00860E95">
            <w:pPr>
              <w:pStyle w:val="ARfintablebodyright"/>
            </w:pPr>
            <w:r w:rsidRPr="002029AF">
              <w:t>36.8</w:t>
            </w:r>
          </w:p>
        </w:tc>
        <w:tc>
          <w:tcPr>
            <w:tcW w:w="1134" w:type="dxa"/>
            <w:tcBorders>
              <w:top w:val="single" w:sz="4" w:space="0" w:color="A6A6A6"/>
              <w:bottom w:val="single" w:sz="4" w:space="0" w:color="A6A6A6"/>
            </w:tcBorders>
            <w:noWrap/>
            <w:hideMark/>
          </w:tcPr>
          <w:p w14:paraId="0A219B8E" w14:textId="77777777" w:rsidR="00087B91" w:rsidRPr="002029AF" w:rsidRDefault="00087B91" w:rsidP="00860E95">
            <w:pPr>
              <w:pStyle w:val="ARfintablebodyright"/>
            </w:pPr>
            <w:r w:rsidRPr="002029AF">
              <w:t>35.3</w:t>
            </w:r>
          </w:p>
        </w:tc>
      </w:tr>
      <w:tr w:rsidR="00087B91" w:rsidRPr="002029AF" w14:paraId="68F357F4" w14:textId="77777777" w:rsidTr="00860E95">
        <w:tc>
          <w:tcPr>
            <w:tcW w:w="7369" w:type="dxa"/>
            <w:tcBorders>
              <w:top w:val="single" w:sz="4" w:space="0" w:color="A6A6A6"/>
              <w:bottom w:val="single" w:sz="4" w:space="0" w:color="A6A6A6"/>
            </w:tcBorders>
            <w:hideMark/>
          </w:tcPr>
          <w:p w14:paraId="6D245AD5" w14:textId="23A4B192" w:rsidR="00087B91" w:rsidRPr="002029AF" w:rsidRDefault="00087B91" w:rsidP="00860E95">
            <w:pPr>
              <w:pStyle w:val="ARfintablebody"/>
            </w:pPr>
            <w:r w:rsidRPr="002029AF">
              <w:t>The</w:t>
            </w:r>
            <w:r w:rsidR="000A5329" w:rsidRPr="002029AF">
              <w:t xml:space="preserve"> </w:t>
            </w:r>
            <w:r w:rsidRPr="002029AF">
              <w:t>Royal</w:t>
            </w:r>
            <w:r w:rsidR="000A5329" w:rsidRPr="002029AF">
              <w:t xml:space="preserve"> </w:t>
            </w:r>
            <w:r w:rsidRPr="002029AF">
              <w:t>Victorian</w:t>
            </w:r>
            <w:r w:rsidR="000A5329" w:rsidRPr="002029AF">
              <w:t xml:space="preserve"> </w:t>
            </w:r>
            <w:r w:rsidRPr="002029AF">
              <w:t>Eye</w:t>
            </w:r>
            <w:r w:rsidR="000A5329" w:rsidRPr="002029AF">
              <w:t xml:space="preserve"> </w:t>
            </w:r>
            <w:r w:rsidRPr="002029AF">
              <w:t>and</w:t>
            </w:r>
            <w:r w:rsidR="000A5329" w:rsidRPr="002029AF">
              <w:t xml:space="preserve"> </w:t>
            </w:r>
            <w:r w:rsidRPr="002029AF">
              <w:t>Ear</w:t>
            </w:r>
            <w:r w:rsidR="000A5329" w:rsidRPr="002029AF">
              <w:t xml:space="preserve"> </w:t>
            </w:r>
            <w:r w:rsidRPr="002029AF">
              <w:t>Hospital</w:t>
            </w:r>
          </w:p>
        </w:tc>
        <w:tc>
          <w:tcPr>
            <w:tcW w:w="1134" w:type="dxa"/>
            <w:tcBorders>
              <w:top w:val="single" w:sz="4" w:space="0" w:color="A6A6A6"/>
              <w:bottom w:val="single" w:sz="4" w:space="0" w:color="A6A6A6"/>
            </w:tcBorders>
            <w:shd w:val="clear" w:color="auto" w:fill="E7E6E6"/>
            <w:noWrap/>
            <w:hideMark/>
          </w:tcPr>
          <w:p w14:paraId="26BD8B86" w14:textId="77777777" w:rsidR="00087B91" w:rsidRPr="002029AF" w:rsidRDefault="00087B91" w:rsidP="00860E95">
            <w:pPr>
              <w:pStyle w:val="ARfintablebodyright"/>
            </w:pPr>
            <w:r w:rsidRPr="002029AF">
              <w:t>32.8</w:t>
            </w:r>
          </w:p>
        </w:tc>
        <w:tc>
          <w:tcPr>
            <w:tcW w:w="1134" w:type="dxa"/>
            <w:tcBorders>
              <w:top w:val="single" w:sz="4" w:space="0" w:color="A6A6A6"/>
              <w:bottom w:val="single" w:sz="4" w:space="0" w:color="A6A6A6"/>
            </w:tcBorders>
            <w:noWrap/>
            <w:hideMark/>
          </w:tcPr>
          <w:p w14:paraId="509E6E1E" w14:textId="77777777" w:rsidR="00087B91" w:rsidRPr="002029AF" w:rsidRDefault="00087B91" w:rsidP="00860E95">
            <w:pPr>
              <w:pStyle w:val="ARfintablebodyright"/>
            </w:pPr>
            <w:r w:rsidRPr="002029AF">
              <w:t>32.8</w:t>
            </w:r>
          </w:p>
        </w:tc>
      </w:tr>
      <w:tr w:rsidR="00087B91" w:rsidRPr="002029AF" w14:paraId="510D1C62" w14:textId="77777777" w:rsidTr="00860E95">
        <w:tc>
          <w:tcPr>
            <w:tcW w:w="7369" w:type="dxa"/>
            <w:tcBorders>
              <w:top w:val="single" w:sz="4" w:space="0" w:color="A6A6A6"/>
            </w:tcBorders>
            <w:hideMark/>
          </w:tcPr>
          <w:p w14:paraId="5A820A6C" w14:textId="788CD1AD" w:rsidR="00087B91" w:rsidRPr="002029AF" w:rsidRDefault="00087B91" w:rsidP="00860E95">
            <w:pPr>
              <w:pStyle w:val="ARfintablebody"/>
            </w:pPr>
            <w:r w:rsidRPr="002029AF">
              <w:t>Other</w:t>
            </w:r>
            <w:r w:rsidR="000A5329" w:rsidRPr="002029AF">
              <w:t xml:space="preserve"> </w:t>
            </w:r>
            <w:r w:rsidRPr="002029AF">
              <w:t>public</w:t>
            </w:r>
            <w:r w:rsidR="000A5329" w:rsidRPr="002029AF">
              <w:t xml:space="preserve"> </w:t>
            </w:r>
            <w:r w:rsidRPr="002029AF">
              <w:t>hospitals</w:t>
            </w:r>
            <w:r w:rsidR="000A5329" w:rsidRPr="002029AF">
              <w:t xml:space="preserve"> </w:t>
            </w:r>
            <w:r w:rsidRPr="002029AF">
              <w:t>with</w:t>
            </w:r>
            <w:r w:rsidR="000A5329" w:rsidRPr="002029AF">
              <w:t xml:space="preserve"> </w:t>
            </w:r>
            <w:r w:rsidRPr="002029AF">
              <w:t>payments</w:t>
            </w:r>
            <w:r w:rsidR="000A5329" w:rsidRPr="002029AF">
              <w:t xml:space="preserve"> </w:t>
            </w:r>
            <w:r w:rsidRPr="002029AF">
              <w:t>totalling</w:t>
            </w:r>
            <w:r w:rsidR="000A5329" w:rsidRPr="002029AF">
              <w:t xml:space="preserve"> </w:t>
            </w:r>
            <w:r w:rsidRPr="002029AF">
              <w:t>less</w:t>
            </w:r>
            <w:r w:rsidR="000A5329" w:rsidRPr="002029AF">
              <w:t xml:space="preserve"> </w:t>
            </w:r>
            <w:r w:rsidRPr="002029AF">
              <w:t>than</w:t>
            </w:r>
            <w:r w:rsidR="000A5329" w:rsidRPr="002029AF">
              <w:t xml:space="preserve"> </w:t>
            </w:r>
            <w:r w:rsidRPr="002029AF">
              <w:t>$30</w:t>
            </w:r>
            <w:r w:rsidR="000A5329" w:rsidRPr="002029AF">
              <w:t xml:space="preserve"> </w:t>
            </w:r>
            <w:r w:rsidRPr="002029AF">
              <w:t>million</w:t>
            </w:r>
          </w:p>
        </w:tc>
        <w:tc>
          <w:tcPr>
            <w:tcW w:w="1134" w:type="dxa"/>
            <w:tcBorders>
              <w:top w:val="single" w:sz="4" w:space="0" w:color="A6A6A6"/>
            </w:tcBorders>
            <w:shd w:val="clear" w:color="auto" w:fill="E7E6E6"/>
            <w:noWrap/>
            <w:hideMark/>
          </w:tcPr>
          <w:p w14:paraId="49D6C8D2" w14:textId="77777777" w:rsidR="00087B91" w:rsidRPr="002029AF" w:rsidRDefault="00087B91" w:rsidP="00860E95">
            <w:pPr>
              <w:pStyle w:val="ARfintablebodyright"/>
            </w:pPr>
            <w:r w:rsidRPr="002029AF">
              <w:t>570.1</w:t>
            </w:r>
          </w:p>
        </w:tc>
        <w:tc>
          <w:tcPr>
            <w:tcW w:w="1134" w:type="dxa"/>
            <w:tcBorders>
              <w:top w:val="single" w:sz="4" w:space="0" w:color="A6A6A6"/>
            </w:tcBorders>
            <w:noWrap/>
            <w:hideMark/>
          </w:tcPr>
          <w:p w14:paraId="4FE2F63B" w14:textId="77777777" w:rsidR="00087B91" w:rsidRPr="002029AF" w:rsidRDefault="00087B91" w:rsidP="00860E95">
            <w:pPr>
              <w:pStyle w:val="ARfintablebodyright"/>
            </w:pPr>
            <w:r w:rsidRPr="002029AF">
              <w:t>551.8</w:t>
            </w:r>
          </w:p>
        </w:tc>
      </w:tr>
      <w:tr w:rsidR="00087B91" w:rsidRPr="002029AF" w14:paraId="30D62A6C" w14:textId="77777777" w:rsidTr="00860E95">
        <w:tc>
          <w:tcPr>
            <w:tcW w:w="7369" w:type="dxa"/>
            <w:tcBorders>
              <w:bottom w:val="single" w:sz="4" w:space="0" w:color="auto"/>
            </w:tcBorders>
            <w:hideMark/>
          </w:tcPr>
          <w:p w14:paraId="7F06CB77" w14:textId="77777777" w:rsidR="00087B91" w:rsidRPr="002029AF" w:rsidRDefault="00087B91" w:rsidP="00860E95">
            <w:pPr>
              <w:pStyle w:val="ARfintablebodybold"/>
            </w:pPr>
          </w:p>
        </w:tc>
        <w:tc>
          <w:tcPr>
            <w:tcW w:w="1134" w:type="dxa"/>
            <w:tcBorders>
              <w:bottom w:val="single" w:sz="4" w:space="0" w:color="auto"/>
            </w:tcBorders>
            <w:shd w:val="clear" w:color="auto" w:fill="E7E6E6"/>
            <w:noWrap/>
            <w:hideMark/>
          </w:tcPr>
          <w:p w14:paraId="42B89BB3" w14:textId="77777777" w:rsidR="00087B91" w:rsidRPr="002029AF" w:rsidRDefault="00087B91" w:rsidP="00860E95">
            <w:pPr>
              <w:pStyle w:val="ARfintablebodyrightbold"/>
            </w:pPr>
            <w:r w:rsidRPr="002029AF">
              <w:t>10,202.3</w:t>
            </w:r>
          </w:p>
        </w:tc>
        <w:tc>
          <w:tcPr>
            <w:tcW w:w="1134" w:type="dxa"/>
            <w:tcBorders>
              <w:bottom w:val="single" w:sz="4" w:space="0" w:color="auto"/>
            </w:tcBorders>
            <w:noWrap/>
            <w:hideMark/>
          </w:tcPr>
          <w:p w14:paraId="3F3A0B74" w14:textId="77777777" w:rsidR="00087B91" w:rsidRPr="002029AF" w:rsidRDefault="00087B91" w:rsidP="00860E95">
            <w:pPr>
              <w:pStyle w:val="ARfintablebodyrightbold"/>
            </w:pPr>
            <w:r w:rsidRPr="002029AF">
              <w:t>8,775.5</w:t>
            </w:r>
          </w:p>
        </w:tc>
      </w:tr>
      <w:tr w:rsidR="00087B91" w:rsidRPr="002029AF" w14:paraId="0D0FC11D" w14:textId="77777777" w:rsidTr="00860E95">
        <w:tc>
          <w:tcPr>
            <w:tcW w:w="9637" w:type="dxa"/>
            <w:gridSpan w:val="3"/>
            <w:tcBorders>
              <w:top w:val="single" w:sz="4" w:space="0" w:color="auto"/>
              <w:bottom w:val="single" w:sz="4" w:space="0" w:color="A6A6A6"/>
            </w:tcBorders>
            <w:hideMark/>
          </w:tcPr>
          <w:p w14:paraId="23263D70" w14:textId="4894B532" w:rsidR="00087B91" w:rsidRPr="002029AF" w:rsidRDefault="00087B91" w:rsidP="00860E95">
            <w:pPr>
              <w:pStyle w:val="ARfintablebodybold"/>
            </w:pPr>
            <w:r w:rsidRPr="002029AF">
              <w:t>Denominational</w:t>
            </w:r>
            <w:r w:rsidR="000A5329" w:rsidRPr="002029AF">
              <w:t xml:space="preserve"> </w:t>
            </w:r>
            <w:r w:rsidRPr="002029AF">
              <w:t>hospitals</w:t>
            </w:r>
          </w:p>
        </w:tc>
      </w:tr>
      <w:tr w:rsidR="00087B91" w:rsidRPr="002029AF" w14:paraId="6827D89F" w14:textId="77777777" w:rsidTr="00860E95">
        <w:tc>
          <w:tcPr>
            <w:tcW w:w="7369" w:type="dxa"/>
            <w:tcBorders>
              <w:top w:val="single" w:sz="4" w:space="0" w:color="A6A6A6"/>
              <w:bottom w:val="single" w:sz="4" w:space="0" w:color="A6A6A6"/>
            </w:tcBorders>
            <w:hideMark/>
          </w:tcPr>
          <w:p w14:paraId="30703DB1" w14:textId="1D93E3E5" w:rsidR="00087B91" w:rsidRPr="002029AF" w:rsidRDefault="00087B91" w:rsidP="00860E95">
            <w:pPr>
              <w:pStyle w:val="ARfintablebody"/>
            </w:pPr>
            <w:r w:rsidRPr="002029AF">
              <w:t>St</w:t>
            </w:r>
            <w:r w:rsidR="000A5329" w:rsidRPr="002029AF">
              <w:t xml:space="preserve"> </w:t>
            </w:r>
            <w:r w:rsidRPr="002029AF">
              <w:t>Vincent’s</w:t>
            </w:r>
            <w:r w:rsidR="000A5329" w:rsidRPr="002029AF">
              <w:t xml:space="preserve"> </w:t>
            </w:r>
            <w:r w:rsidRPr="002029AF">
              <w:t>Hospital</w:t>
            </w:r>
            <w:r w:rsidR="000A5329" w:rsidRPr="002029AF">
              <w:t xml:space="preserve"> </w:t>
            </w:r>
            <w:r w:rsidRPr="002029AF">
              <w:t>(Melbourne)</w:t>
            </w:r>
            <w:r w:rsidR="000A5329" w:rsidRPr="002029AF">
              <w:t xml:space="preserve"> </w:t>
            </w:r>
            <w:r w:rsidRPr="002029AF">
              <w:t>Limited</w:t>
            </w:r>
          </w:p>
        </w:tc>
        <w:tc>
          <w:tcPr>
            <w:tcW w:w="1134" w:type="dxa"/>
            <w:tcBorders>
              <w:top w:val="single" w:sz="4" w:space="0" w:color="A6A6A6"/>
              <w:bottom w:val="single" w:sz="4" w:space="0" w:color="A6A6A6"/>
            </w:tcBorders>
            <w:shd w:val="clear" w:color="auto" w:fill="E7E6E6"/>
            <w:noWrap/>
            <w:hideMark/>
          </w:tcPr>
          <w:p w14:paraId="5CFB8611" w14:textId="77777777" w:rsidR="00087B91" w:rsidRPr="002029AF" w:rsidRDefault="00087B91" w:rsidP="00860E95">
            <w:pPr>
              <w:pStyle w:val="ARfintablebodyright"/>
            </w:pPr>
            <w:r w:rsidRPr="002029AF">
              <w:t>144.7</w:t>
            </w:r>
          </w:p>
        </w:tc>
        <w:tc>
          <w:tcPr>
            <w:tcW w:w="1134" w:type="dxa"/>
            <w:tcBorders>
              <w:top w:val="single" w:sz="4" w:space="0" w:color="A6A6A6"/>
              <w:bottom w:val="single" w:sz="4" w:space="0" w:color="A6A6A6"/>
            </w:tcBorders>
            <w:noWrap/>
            <w:hideMark/>
          </w:tcPr>
          <w:p w14:paraId="3853210E" w14:textId="77777777" w:rsidR="00087B91" w:rsidRPr="002029AF" w:rsidRDefault="00087B91" w:rsidP="00860E95">
            <w:pPr>
              <w:pStyle w:val="ARfintablebodyright"/>
            </w:pPr>
            <w:r w:rsidRPr="002029AF">
              <w:t>106.2</w:t>
            </w:r>
          </w:p>
        </w:tc>
      </w:tr>
      <w:tr w:rsidR="00087B91" w:rsidRPr="002029AF" w14:paraId="5931E66D" w14:textId="77777777" w:rsidTr="00860E95">
        <w:tc>
          <w:tcPr>
            <w:tcW w:w="7369" w:type="dxa"/>
            <w:tcBorders>
              <w:top w:val="single" w:sz="4" w:space="0" w:color="A6A6A6"/>
              <w:bottom w:val="single" w:sz="4" w:space="0" w:color="A6A6A6"/>
            </w:tcBorders>
            <w:hideMark/>
          </w:tcPr>
          <w:p w14:paraId="5BAE30FD" w14:textId="2817F724" w:rsidR="00087B91" w:rsidRPr="002029AF" w:rsidRDefault="00087B91" w:rsidP="00860E95">
            <w:pPr>
              <w:pStyle w:val="ARfintablebody"/>
            </w:pPr>
            <w:r w:rsidRPr="002029AF">
              <w:t>Mercy</w:t>
            </w:r>
            <w:r w:rsidR="000A5329" w:rsidRPr="002029AF">
              <w:t xml:space="preserve"> </w:t>
            </w:r>
            <w:r w:rsidRPr="002029AF">
              <w:t>Hospitals</w:t>
            </w:r>
            <w:r w:rsidR="000A5329" w:rsidRPr="002029AF">
              <w:t xml:space="preserve"> </w:t>
            </w:r>
            <w:r w:rsidRPr="002029AF">
              <w:t>Victoria</w:t>
            </w:r>
            <w:r w:rsidR="000A5329" w:rsidRPr="002029AF">
              <w:t xml:space="preserve"> </w:t>
            </w:r>
            <w:r w:rsidRPr="002029AF">
              <w:t>Limited</w:t>
            </w:r>
          </w:p>
        </w:tc>
        <w:tc>
          <w:tcPr>
            <w:tcW w:w="1134" w:type="dxa"/>
            <w:tcBorders>
              <w:top w:val="single" w:sz="4" w:space="0" w:color="A6A6A6"/>
              <w:bottom w:val="single" w:sz="4" w:space="0" w:color="A6A6A6"/>
            </w:tcBorders>
            <w:shd w:val="clear" w:color="auto" w:fill="E7E6E6"/>
            <w:noWrap/>
            <w:hideMark/>
          </w:tcPr>
          <w:p w14:paraId="449A42F6" w14:textId="77777777" w:rsidR="00087B91" w:rsidRPr="002029AF" w:rsidRDefault="00087B91" w:rsidP="00860E95">
            <w:pPr>
              <w:pStyle w:val="ARfintablebodyright"/>
            </w:pPr>
            <w:r w:rsidRPr="002029AF">
              <w:t>59.1</w:t>
            </w:r>
          </w:p>
        </w:tc>
        <w:tc>
          <w:tcPr>
            <w:tcW w:w="1134" w:type="dxa"/>
            <w:tcBorders>
              <w:top w:val="single" w:sz="4" w:space="0" w:color="A6A6A6"/>
              <w:bottom w:val="single" w:sz="4" w:space="0" w:color="A6A6A6"/>
            </w:tcBorders>
            <w:noWrap/>
            <w:hideMark/>
          </w:tcPr>
          <w:p w14:paraId="6D07A42B" w14:textId="77777777" w:rsidR="00087B91" w:rsidRPr="002029AF" w:rsidRDefault="00087B91" w:rsidP="00860E95">
            <w:pPr>
              <w:pStyle w:val="ARfintablebodyright"/>
            </w:pPr>
            <w:r w:rsidRPr="002029AF">
              <w:t>58.8</w:t>
            </w:r>
          </w:p>
        </w:tc>
      </w:tr>
      <w:tr w:rsidR="00087B91" w:rsidRPr="002029AF" w14:paraId="2522755A" w14:textId="77777777" w:rsidTr="00860E95">
        <w:tc>
          <w:tcPr>
            <w:tcW w:w="7369" w:type="dxa"/>
            <w:tcBorders>
              <w:top w:val="single" w:sz="4" w:space="0" w:color="A6A6A6"/>
            </w:tcBorders>
            <w:hideMark/>
          </w:tcPr>
          <w:p w14:paraId="6A61D782" w14:textId="33FEF016" w:rsidR="00087B91" w:rsidRPr="002029AF" w:rsidRDefault="00087B91" w:rsidP="00860E95">
            <w:pPr>
              <w:pStyle w:val="ARfintablebody"/>
            </w:pPr>
            <w:r w:rsidRPr="002029AF">
              <w:t>Other</w:t>
            </w:r>
            <w:r w:rsidR="000A5329" w:rsidRPr="002029AF">
              <w:t xml:space="preserve"> </w:t>
            </w:r>
            <w:r w:rsidRPr="002029AF">
              <w:t>denominational</w:t>
            </w:r>
            <w:r w:rsidR="000A5329" w:rsidRPr="002029AF">
              <w:t xml:space="preserve"> </w:t>
            </w:r>
            <w:r w:rsidRPr="002029AF">
              <w:t>hospitals</w:t>
            </w:r>
            <w:r w:rsidR="000A5329" w:rsidRPr="002029AF">
              <w:t xml:space="preserve"> </w:t>
            </w:r>
            <w:r w:rsidRPr="002029AF">
              <w:t>with</w:t>
            </w:r>
            <w:r w:rsidR="000A5329" w:rsidRPr="002029AF">
              <w:t xml:space="preserve"> </w:t>
            </w:r>
            <w:r w:rsidRPr="002029AF">
              <w:t>payments</w:t>
            </w:r>
            <w:r w:rsidR="000A5329" w:rsidRPr="002029AF">
              <w:t xml:space="preserve"> </w:t>
            </w:r>
            <w:r w:rsidRPr="002029AF">
              <w:t>totalling</w:t>
            </w:r>
            <w:r w:rsidR="000A5329" w:rsidRPr="002029AF">
              <w:t xml:space="preserve"> </w:t>
            </w:r>
            <w:r w:rsidRPr="002029AF">
              <w:t>less</w:t>
            </w:r>
            <w:r w:rsidR="000A5329" w:rsidRPr="002029AF">
              <w:t xml:space="preserve"> </w:t>
            </w:r>
            <w:r w:rsidRPr="002029AF">
              <w:t>than</w:t>
            </w:r>
            <w:r w:rsidR="000A5329" w:rsidRPr="002029AF">
              <w:t xml:space="preserve"> </w:t>
            </w:r>
            <w:r w:rsidRPr="002029AF">
              <w:t>$30</w:t>
            </w:r>
            <w:r w:rsidR="000A5329" w:rsidRPr="002029AF">
              <w:t xml:space="preserve"> </w:t>
            </w:r>
            <w:r w:rsidRPr="002029AF">
              <w:t>million</w:t>
            </w:r>
          </w:p>
        </w:tc>
        <w:tc>
          <w:tcPr>
            <w:tcW w:w="1134" w:type="dxa"/>
            <w:tcBorders>
              <w:top w:val="single" w:sz="4" w:space="0" w:color="A6A6A6"/>
            </w:tcBorders>
            <w:shd w:val="clear" w:color="auto" w:fill="E7E6E6"/>
            <w:noWrap/>
            <w:hideMark/>
          </w:tcPr>
          <w:p w14:paraId="4695965B" w14:textId="77777777" w:rsidR="00087B91" w:rsidRPr="002029AF" w:rsidRDefault="00087B91" w:rsidP="00860E95">
            <w:pPr>
              <w:pStyle w:val="ARfintablebodyright"/>
            </w:pPr>
            <w:r w:rsidRPr="002029AF">
              <w:t>10.9</w:t>
            </w:r>
          </w:p>
        </w:tc>
        <w:tc>
          <w:tcPr>
            <w:tcW w:w="1134" w:type="dxa"/>
            <w:tcBorders>
              <w:top w:val="single" w:sz="4" w:space="0" w:color="A6A6A6"/>
            </w:tcBorders>
            <w:noWrap/>
            <w:hideMark/>
          </w:tcPr>
          <w:p w14:paraId="73B5EBC2" w14:textId="77777777" w:rsidR="00087B91" w:rsidRPr="002029AF" w:rsidRDefault="00087B91" w:rsidP="00860E95">
            <w:pPr>
              <w:pStyle w:val="ARfintablebodyright"/>
            </w:pPr>
            <w:r w:rsidRPr="002029AF">
              <w:t>10.6</w:t>
            </w:r>
          </w:p>
        </w:tc>
      </w:tr>
      <w:tr w:rsidR="00087B91" w:rsidRPr="002029AF" w14:paraId="6EB958D5" w14:textId="77777777" w:rsidTr="00860E95">
        <w:tc>
          <w:tcPr>
            <w:tcW w:w="7369" w:type="dxa"/>
            <w:tcBorders>
              <w:bottom w:val="single" w:sz="4" w:space="0" w:color="auto"/>
            </w:tcBorders>
            <w:hideMark/>
          </w:tcPr>
          <w:p w14:paraId="35FCCB8C" w14:textId="77777777" w:rsidR="00087B91" w:rsidRPr="002029AF" w:rsidRDefault="00087B91" w:rsidP="00860E95">
            <w:pPr>
              <w:pStyle w:val="ARfintablebodybold"/>
            </w:pPr>
          </w:p>
        </w:tc>
        <w:tc>
          <w:tcPr>
            <w:tcW w:w="1134" w:type="dxa"/>
            <w:tcBorders>
              <w:bottom w:val="single" w:sz="4" w:space="0" w:color="auto"/>
            </w:tcBorders>
            <w:shd w:val="clear" w:color="auto" w:fill="E7E6E6"/>
            <w:noWrap/>
            <w:hideMark/>
          </w:tcPr>
          <w:p w14:paraId="3E198922" w14:textId="77777777" w:rsidR="00087B91" w:rsidRPr="002029AF" w:rsidRDefault="00087B91" w:rsidP="00860E95">
            <w:pPr>
              <w:pStyle w:val="ARfintablebodyrightbold"/>
            </w:pPr>
            <w:r w:rsidRPr="002029AF">
              <w:t>214.7</w:t>
            </w:r>
          </w:p>
        </w:tc>
        <w:tc>
          <w:tcPr>
            <w:tcW w:w="1134" w:type="dxa"/>
            <w:tcBorders>
              <w:bottom w:val="single" w:sz="4" w:space="0" w:color="auto"/>
            </w:tcBorders>
            <w:noWrap/>
            <w:hideMark/>
          </w:tcPr>
          <w:p w14:paraId="74AEBDEE" w14:textId="77777777" w:rsidR="00087B91" w:rsidRPr="002029AF" w:rsidRDefault="00087B91" w:rsidP="00860E95">
            <w:pPr>
              <w:pStyle w:val="ARfintablebodyrightbold"/>
            </w:pPr>
            <w:r w:rsidRPr="002029AF">
              <w:t>175.6</w:t>
            </w:r>
          </w:p>
        </w:tc>
      </w:tr>
      <w:tr w:rsidR="00087B91" w:rsidRPr="002029AF" w14:paraId="0EEC49E2" w14:textId="77777777" w:rsidTr="00860E95">
        <w:tc>
          <w:tcPr>
            <w:tcW w:w="9637" w:type="dxa"/>
            <w:gridSpan w:val="3"/>
            <w:tcBorders>
              <w:top w:val="single" w:sz="4" w:space="0" w:color="auto"/>
              <w:bottom w:val="single" w:sz="4" w:space="0" w:color="A6A6A6"/>
            </w:tcBorders>
            <w:hideMark/>
          </w:tcPr>
          <w:p w14:paraId="5791C981" w14:textId="6DBAB6E1" w:rsidR="00087B91" w:rsidRPr="002029AF" w:rsidRDefault="00087B91" w:rsidP="00860E95">
            <w:pPr>
              <w:pStyle w:val="ARfintablebodybold"/>
            </w:pPr>
            <w:r w:rsidRPr="002029AF">
              <w:t>Ambulance</w:t>
            </w:r>
            <w:r w:rsidR="000A5329" w:rsidRPr="002029AF">
              <w:t xml:space="preserve"> </w:t>
            </w:r>
            <w:r w:rsidRPr="002029AF">
              <w:t>services</w:t>
            </w:r>
          </w:p>
        </w:tc>
      </w:tr>
      <w:tr w:rsidR="00087B91" w:rsidRPr="002029AF" w14:paraId="3270F5E0" w14:textId="77777777" w:rsidTr="00860E95">
        <w:tc>
          <w:tcPr>
            <w:tcW w:w="7369" w:type="dxa"/>
            <w:tcBorders>
              <w:top w:val="single" w:sz="4" w:space="0" w:color="A6A6A6"/>
            </w:tcBorders>
            <w:hideMark/>
          </w:tcPr>
          <w:p w14:paraId="19DB2BC9" w14:textId="321129E8" w:rsidR="00087B91" w:rsidRPr="002029AF" w:rsidRDefault="00087B91" w:rsidP="00860E95">
            <w:pPr>
              <w:pStyle w:val="ARfintablebody"/>
            </w:pPr>
            <w:r w:rsidRPr="002029AF">
              <w:t>Ambulance</w:t>
            </w:r>
            <w:r w:rsidR="000A5329" w:rsidRPr="002029AF">
              <w:t xml:space="preserve"> </w:t>
            </w:r>
            <w:r w:rsidRPr="002029AF">
              <w:t>Victoria</w:t>
            </w:r>
          </w:p>
        </w:tc>
        <w:tc>
          <w:tcPr>
            <w:tcW w:w="1134" w:type="dxa"/>
            <w:tcBorders>
              <w:top w:val="single" w:sz="4" w:space="0" w:color="A6A6A6"/>
            </w:tcBorders>
            <w:shd w:val="clear" w:color="auto" w:fill="E7E6E6"/>
            <w:noWrap/>
            <w:hideMark/>
          </w:tcPr>
          <w:p w14:paraId="082B78D8" w14:textId="77777777" w:rsidR="00087B91" w:rsidRPr="002029AF" w:rsidRDefault="00087B91" w:rsidP="00860E95">
            <w:pPr>
              <w:pStyle w:val="ARfintablebodyright"/>
            </w:pPr>
            <w:r w:rsidRPr="002029AF">
              <w:t>857.6</w:t>
            </w:r>
          </w:p>
        </w:tc>
        <w:tc>
          <w:tcPr>
            <w:tcW w:w="1134" w:type="dxa"/>
            <w:tcBorders>
              <w:top w:val="single" w:sz="4" w:space="0" w:color="A6A6A6"/>
            </w:tcBorders>
            <w:noWrap/>
            <w:hideMark/>
          </w:tcPr>
          <w:p w14:paraId="06C79A23" w14:textId="77777777" w:rsidR="00087B91" w:rsidRPr="002029AF" w:rsidRDefault="00087B91" w:rsidP="00860E95">
            <w:pPr>
              <w:pStyle w:val="ARfintablebodyright"/>
            </w:pPr>
            <w:r w:rsidRPr="002029AF">
              <w:t>821.9</w:t>
            </w:r>
          </w:p>
        </w:tc>
      </w:tr>
      <w:tr w:rsidR="00087B91" w:rsidRPr="002029AF" w14:paraId="0D34DCCA" w14:textId="77777777" w:rsidTr="00860E95">
        <w:tc>
          <w:tcPr>
            <w:tcW w:w="7369" w:type="dxa"/>
            <w:hideMark/>
          </w:tcPr>
          <w:p w14:paraId="32955EF4" w14:textId="77777777" w:rsidR="00087B91" w:rsidRPr="002029AF" w:rsidRDefault="00087B91" w:rsidP="00860E95">
            <w:pPr>
              <w:pStyle w:val="ARfintablebodybold"/>
            </w:pPr>
          </w:p>
        </w:tc>
        <w:tc>
          <w:tcPr>
            <w:tcW w:w="1134" w:type="dxa"/>
            <w:shd w:val="clear" w:color="auto" w:fill="E7E6E6"/>
            <w:noWrap/>
            <w:hideMark/>
          </w:tcPr>
          <w:p w14:paraId="2768828B" w14:textId="77777777" w:rsidR="00087B91" w:rsidRPr="002029AF" w:rsidRDefault="00087B91" w:rsidP="00860E95">
            <w:pPr>
              <w:pStyle w:val="ARfintablebodyrightbold"/>
            </w:pPr>
            <w:r w:rsidRPr="002029AF">
              <w:t>857.6</w:t>
            </w:r>
          </w:p>
        </w:tc>
        <w:tc>
          <w:tcPr>
            <w:tcW w:w="1134" w:type="dxa"/>
            <w:noWrap/>
            <w:hideMark/>
          </w:tcPr>
          <w:p w14:paraId="6F64E868" w14:textId="77777777" w:rsidR="00087B91" w:rsidRPr="002029AF" w:rsidRDefault="00087B91" w:rsidP="00860E95">
            <w:pPr>
              <w:pStyle w:val="ARfintablebodyrightbold"/>
            </w:pPr>
            <w:r w:rsidRPr="002029AF">
              <w:t>821.9</w:t>
            </w:r>
          </w:p>
        </w:tc>
      </w:tr>
      <w:tr w:rsidR="00087B91" w:rsidRPr="002029AF" w14:paraId="62DA255A" w14:textId="77777777" w:rsidTr="00860E95">
        <w:tc>
          <w:tcPr>
            <w:tcW w:w="9637" w:type="dxa"/>
            <w:gridSpan w:val="3"/>
            <w:tcBorders>
              <w:top w:val="single" w:sz="4" w:space="0" w:color="auto"/>
              <w:bottom w:val="single" w:sz="4" w:space="0" w:color="A6A6A6"/>
            </w:tcBorders>
            <w:hideMark/>
          </w:tcPr>
          <w:p w14:paraId="4006E05D" w14:textId="4FFCFA6D" w:rsidR="00087B91" w:rsidRPr="002029AF" w:rsidRDefault="00087B91" w:rsidP="00860E95">
            <w:pPr>
              <w:pStyle w:val="ARfintablebodybold"/>
              <w:keepNext/>
            </w:pPr>
            <w:r w:rsidRPr="002029AF">
              <w:lastRenderedPageBreak/>
              <w:t>Other</w:t>
            </w:r>
            <w:r w:rsidR="000A5329" w:rsidRPr="002029AF">
              <w:t xml:space="preserve"> </w:t>
            </w:r>
            <w:r w:rsidRPr="002029AF">
              <w:t>state</w:t>
            </w:r>
            <w:r w:rsidR="000A5329" w:rsidRPr="002029AF">
              <w:t xml:space="preserve"> </w:t>
            </w:r>
            <w:r w:rsidRPr="002029AF">
              <w:t>government</w:t>
            </w:r>
            <w:r w:rsidR="000A5329" w:rsidRPr="002029AF">
              <w:t xml:space="preserve"> </w:t>
            </w:r>
            <w:r w:rsidRPr="002029AF">
              <w:t>agencies</w:t>
            </w:r>
          </w:p>
        </w:tc>
      </w:tr>
      <w:tr w:rsidR="00087B91" w:rsidRPr="002029AF" w14:paraId="255FB64B" w14:textId="77777777" w:rsidTr="00860E95">
        <w:tc>
          <w:tcPr>
            <w:tcW w:w="7369" w:type="dxa"/>
            <w:tcBorders>
              <w:top w:val="single" w:sz="4" w:space="0" w:color="A6A6A6"/>
              <w:bottom w:val="single" w:sz="4" w:space="0" w:color="A6A6A6"/>
            </w:tcBorders>
            <w:hideMark/>
          </w:tcPr>
          <w:p w14:paraId="65D7D82B" w14:textId="5DF3E6B2" w:rsidR="00087B91" w:rsidRPr="002029AF" w:rsidRDefault="00087B91" w:rsidP="00860E95">
            <w:pPr>
              <w:pStyle w:val="ARfintablebody"/>
            </w:pPr>
            <w:r w:rsidRPr="002029AF">
              <w:t>Dental</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Victoria</w:t>
            </w:r>
          </w:p>
        </w:tc>
        <w:tc>
          <w:tcPr>
            <w:tcW w:w="1134" w:type="dxa"/>
            <w:tcBorders>
              <w:top w:val="single" w:sz="4" w:space="0" w:color="A6A6A6"/>
              <w:bottom w:val="single" w:sz="4" w:space="0" w:color="A6A6A6"/>
            </w:tcBorders>
            <w:shd w:val="clear" w:color="auto" w:fill="E7E6E6"/>
            <w:noWrap/>
            <w:hideMark/>
          </w:tcPr>
          <w:p w14:paraId="248CC7BC" w14:textId="77777777" w:rsidR="00087B91" w:rsidRPr="002029AF" w:rsidRDefault="00087B91" w:rsidP="00860E95">
            <w:pPr>
              <w:pStyle w:val="ARfintablebodyright"/>
            </w:pPr>
            <w:r w:rsidRPr="002029AF">
              <w:t>211.1</w:t>
            </w:r>
          </w:p>
        </w:tc>
        <w:tc>
          <w:tcPr>
            <w:tcW w:w="1134" w:type="dxa"/>
            <w:tcBorders>
              <w:top w:val="single" w:sz="4" w:space="0" w:color="A6A6A6"/>
              <w:bottom w:val="single" w:sz="4" w:space="0" w:color="A6A6A6"/>
            </w:tcBorders>
            <w:noWrap/>
            <w:hideMark/>
          </w:tcPr>
          <w:p w14:paraId="47D7302B" w14:textId="77777777" w:rsidR="00087B91" w:rsidRPr="002029AF" w:rsidRDefault="00087B91" w:rsidP="00860E95">
            <w:pPr>
              <w:pStyle w:val="ARfintablebodyright"/>
            </w:pPr>
            <w:r w:rsidRPr="002029AF">
              <w:t>185.5</w:t>
            </w:r>
          </w:p>
        </w:tc>
      </w:tr>
      <w:tr w:rsidR="00087B91" w:rsidRPr="002029AF" w14:paraId="184EC793" w14:textId="77777777" w:rsidTr="00860E95">
        <w:tc>
          <w:tcPr>
            <w:tcW w:w="7369" w:type="dxa"/>
            <w:tcBorders>
              <w:top w:val="single" w:sz="4" w:space="0" w:color="A6A6A6"/>
              <w:bottom w:val="single" w:sz="4" w:space="0" w:color="A6A6A6"/>
            </w:tcBorders>
            <w:hideMark/>
          </w:tcPr>
          <w:p w14:paraId="63E11876" w14:textId="67E90D45" w:rsidR="00087B91" w:rsidRPr="002029AF" w:rsidRDefault="00087B91" w:rsidP="00860E95">
            <w:pPr>
              <w:pStyle w:val="ARfintablebody"/>
            </w:pPr>
            <w:r w:rsidRPr="002029AF">
              <w:t>Victorian</w:t>
            </w:r>
            <w:r w:rsidR="000A5329" w:rsidRPr="002029AF">
              <w:t xml:space="preserve"> </w:t>
            </w:r>
            <w:r w:rsidRPr="002029AF">
              <w:t>Institute</w:t>
            </w:r>
            <w:r w:rsidR="000A5329" w:rsidRPr="002029AF">
              <w:t xml:space="preserve"> </w:t>
            </w:r>
            <w:r w:rsidRPr="002029AF">
              <w:t>of</w:t>
            </w:r>
            <w:r w:rsidR="000A5329" w:rsidRPr="002029AF">
              <w:t xml:space="preserve"> </w:t>
            </w:r>
            <w:r w:rsidRPr="002029AF">
              <w:t>Forensic</w:t>
            </w:r>
            <w:r w:rsidR="000A5329" w:rsidRPr="002029AF">
              <w:t xml:space="preserve"> </w:t>
            </w:r>
            <w:r w:rsidRPr="002029AF">
              <w:t>Mental</w:t>
            </w:r>
            <w:r w:rsidR="000A5329" w:rsidRPr="002029AF">
              <w:t xml:space="preserve"> </w:t>
            </w:r>
            <w:r w:rsidRPr="002029AF">
              <w:t>Health</w:t>
            </w:r>
          </w:p>
        </w:tc>
        <w:tc>
          <w:tcPr>
            <w:tcW w:w="1134" w:type="dxa"/>
            <w:tcBorders>
              <w:top w:val="single" w:sz="4" w:space="0" w:color="A6A6A6"/>
              <w:bottom w:val="single" w:sz="4" w:space="0" w:color="A6A6A6"/>
            </w:tcBorders>
            <w:shd w:val="clear" w:color="auto" w:fill="E7E6E6"/>
            <w:noWrap/>
            <w:hideMark/>
          </w:tcPr>
          <w:p w14:paraId="4D745011" w14:textId="77777777" w:rsidR="00087B91" w:rsidRPr="002029AF" w:rsidRDefault="00087B91" w:rsidP="00860E95">
            <w:pPr>
              <w:pStyle w:val="ARfintablebodyright"/>
            </w:pPr>
            <w:r w:rsidRPr="002029AF">
              <w:t>69.8</w:t>
            </w:r>
          </w:p>
        </w:tc>
        <w:tc>
          <w:tcPr>
            <w:tcW w:w="1134" w:type="dxa"/>
            <w:tcBorders>
              <w:top w:val="single" w:sz="4" w:space="0" w:color="A6A6A6"/>
              <w:bottom w:val="single" w:sz="4" w:space="0" w:color="A6A6A6"/>
            </w:tcBorders>
            <w:noWrap/>
            <w:hideMark/>
          </w:tcPr>
          <w:p w14:paraId="023076EB" w14:textId="77777777" w:rsidR="00087B91" w:rsidRPr="002029AF" w:rsidRDefault="00087B91" w:rsidP="00860E95">
            <w:pPr>
              <w:pStyle w:val="ARfintablebodyright"/>
            </w:pPr>
            <w:r w:rsidRPr="002029AF">
              <w:t>75.3</w:t>
            </w:r>
          </w:p>
        </w:tc>
      </w:tr>
      <w:tr w:rsidR="00087B91" w:rsidRPr="002029AF" w14:paraId="58D84604" w14:textId="77777777" w:rsidTr="00860E95">
        <w:tc>
          <w:tcPr>
            <w:tcW w:w="7369" w:type="dxa"/>
            <w:tcBorders>
              <w:top w:val="single" w:sz="4" w:space="0" w:color="A6A6A6"/>
              <w:bottom w:val="single" w:sz="4" w:space="0" w:color="A6A6A6"/>
            </w:tcBorders>
            <w:hideMark/>
          </w:tcPr>
          <w:p w14:paraId="214B20B5" w14:textId="2DA780BA" w:rsidR="00087B91" w:rsidRPr="002029AF" w:rsidRDefault="00087B91" w:rsidP="00860E95">
            <w:pPr>
              <w:pStyle w:val="ARfintablebody"/>
            </w:pPr>
            <w:r w:rsidRPr="002029AF">
              <w:t>Victorian</w:t>
            </w:r>
            <w:r w:rsidR="000A5329" w:rsidRPr="002029AF">
              <w:t xml:space="preserve"> </w:t>
            </w:r>
            <w:r w:rsidRPr="002029AF">
              <w:t>Health</w:t>
            </w:r>
            <w:r w:rsidR="000A5329" w:rsidRPr="002029AF">
              <w:t xml:space="preserve"> </w:t>
            </w:r>
            <w:r w:rsidRPr="002029AF">
              <w:t>Promotion</w:t>
            </w:r>
            <w:r w:rsidR="000A5329" w:rsidRPr="002029AF">
              <w:t xml:space="preserve"> </w:t>
            </w:r>
            <w:r w:rsidRPr="002029AF">
              <w:t>Foundation</w:t>
            </w:r>
          </w:p>
        </w:tc>
        <w:tc>
          <w:tcPr>
            <w:tcW w:w="1134" w:type="dxa"/>
            <w:tcBorders>
              <w:top w:val="single" w:sz="4" w:space="0" w:color="A6A6A6"/>
              <w:bottom w:val="single" w:sz="4" w:space="0" w:color="A6A6A6"/>
            </w:tcBorders>
            <w:shd w:val="clear" w:color="auto" w:fill="E7E6E6"/>
            <w:noWrap/>
            <w:hideMark/>
          </w:tcPr>
          <w:p w14:paraId="5A32831D" w14:textId="77777777" w:rsidR="00087B91" w:rsidRPr="002029AF" w:rsidRDefault="00087B91" w:rsidP="00860E95">
            <w:pPr>
              <w:pStyle w:val="ARfintablebodyright"/>
            </w:pPr>
            <w:r w:rsidRPr="002029AF">
              <w:t>41.2</w:t>
            </w:r>
          </w:p>
        </w:tc>
        <w:tc>
          <w:tcPr>
            <w:tcW w:w="1134" w:type="dxa"/>
            <w:tcBorders>
              <w:top w:val="single" w:sz="4" w:space="0" w:color="A6A6A6"/>
              <w:bottom w:val="single" w:sz="4" w:space="0" w:color="A6A6A6"/>
            </w:tcBorders>
            <w:noWrap/>
            <w:hideMark/>
          </w:tcPr>
          <w:p w14:paraId="5EDCD4B0" w14:textId="77777777" w:rsidR="00087B91" w:rsidRPr="002029AF" w:rsidRDefault="00087B91" w:rsidP="00860E95">
            <w:pPr>
              <w:pStyle w:val="ARfintablebodyright"/>
            </w:pPr>
            <w:r w:rsidRPr="002029AF">
              <w:t>40.2</w:t>
            </w:r>
          </w:p>
        </w:tc>
      </w:tr>
      <w:tr w:rsidR="00087B91" w:rsidRPr="002029AF" w14:paraId="4739399F" w14:textId="77777777" w:rsidTr="00860E95">
        <w:tc>
          <w:tcPr>
            <w:tcW w:w="7369" w:type="dxa"/>
            <w:tcBorders>
              <w:top w:val="single" w:sz="4" w:space="0" w:color="A6A6A6"/>
              <w:bottom w:val="single" w:sz="4" w:space="0" w:color="A6A6A6"/>
            </w:tcBorders>
            <w:hideMark/>
          </w:tcPr>
          <w:p w14:paraId="7C02FEBC" w14:textId="689C3879" w:rsidR="00087B91" w:rsidRPr="002029AF" w:rsidRDefault="00087B91" w:rsidP="00860E95">
            <w:pPr>
              <w:pStyle w:val="ARfintablebody"/>
            </w:pPr>
            <w:r w:rsidRPr="002029AF">
              <w:t>BreastScreen</w:t>
            </w:r>
            <w:r w:rsidR="000A5329" w:rsidRPr="002029AF">
              <w:t xml:space="preserve"> </w:t>
            </w:r>
            <w:r w:rsidRPr="002029AF">
              <w:t>Victoria</w:t>
            </w:r>
            <w:r w:rsidR="000A5329" w:rsidRPr="002029AF">
              <w:t xml:space="preserve"> </w:t>
            </w:r>
            <w:r w:rsidRPr="002029AF">
              <w:t>Inc</w:t>
            </w:r>
          </w:p>
        </w:tc>
        <w:tc>
          <w:tcPr>
            <w:tcW w:w="1134" w:type="dxa"/>
            <w:tcBorders>
              <w:top w:val="single" w:sz="4" w:space="0" w:color="A6A6A6"/>
              <w:bottom w:val="single" w:sz="4" w:space="0" w:color="A6A6A6"/>
            </w:tcBorders>
            <w:shd w:val="clear" w:color="auto" w:fill="E7E6E6"/>
            <w:noWrap/>
            <w:hideMark/>
          </w:tcPr>
          <w:p w14:paraId="19F37918" w14:textId="77777777" w:rsidR="00087B91" w:rsidRPr="002029AF" w:rsidRDefault="00087B91" w:rsidP="00860E95">
            <w:pPr>
              <w:pStyle w:val="ARfintablebodyright"/>
            </w:pPr>
            <w:r w:rsidRPr="002029AF">
              <w:t>51.6</w:t>
            </w:r>
          </w:p>
        </w:tc>
        <w:tc>
          <w:tcPr>
            <w:tcW w:w="1134" w:type="dxa"/>
            <w:tcBorders>
              <w:top w:val="single" w:sz="4" w:space="0" w:color="A6A6A6"/>
              <w:bottom w:val="single" w:sz="4" w:space="0" w:color="A6A6A6"/>
            </w:tcBorders>
            <w:noWrap/>
            <w:hideMark/>
          </w:tcPr>
          <w:p w14:paraId="2C795EDE" w14:textId="77777777" w:rsidR="00087B91" w:rsidRPr="002029AF" w:rsidRDefault="00087B91" w:rsidP="00860E95">
            <w:pPr>
              <w:pStyle w:val="ARfintablebodyright"/>
            </w:pPr>
            <w:r w:rsidRPr="002029AF">
              <w:t>47.5</w:t>
            </w:r>
          </w:p>
        </w:tc>
      </w:tr>
      <w:tr w:rsidR="00087B91" w:rsidRPr="002029AF" w14:paraId="15A9873F" w14:textId="77777777" w:rsidTr="00860E95">
        <w:tc>
          <w:tcPr>
            <w:tcW w:w="7369" w:type="dxa"/>
            <w:tcBorders>
              <w:top w:val="single" w:sz="4" w:space="0" w:color="A6A6A6"/>
            </w:tcBorders>
            <w:hideMark/>
          </w:tcPr>
          <w:p w14:paraId="796473D5" w14:textId="0E83644E" w:rsidR="00087B91" w:rsidRPr="002029AF" w:rsidRDefault="00087B91" w:rsidP="00860E95">
            <w:pPr>
              <w:pStyle w:val="ARfintablebody"/>
            </w:pPr>
            <w:r w:rsidRPr="002029AF">
              <w:t>Other</w:t>
            </w:r>
            <w:r w:rsidR="000A5329" w:rsidRPr="002029AF">
              <w:t xml:space="preserve"> </w:t>
            </w:r>
            <w:r w:rsidRPr="002029AF">
              <w:t>state</w:t>
            </w:r>
            <w:r w:rsidR="000A5329" w:rsidRPr="002029AF">
              <w:t xml:space="preserve"> </w:t>
            </w:r>
            <w:r w:rsidRPr="002029AF">
              <w:t>government</w:t>
            </w:r>
            <w:r w:rsidR="000A5329" w:rsidRPr="002029AF">
              <w:t xml:space="preserve"> </w:t>
            </w:r>
            <w:r w:rsidRPr="002029AF">
              <w:t>agencies</w:t>
            </w:r>
            <w:r w:rsidR="000A5329" w:rsidRPr="002029AF">
              <w:t xml:space="preserve"> </w:t>
            </w:r>
            <w:r w:rsidRPr="002029AF">
              <w:t>with</w:t>
            </w:r>
            <w:r w:rsidR="000A5329" w:rsidRPr="002029AF">
              <w:t xml:space="preserve"> </w:t>
            </w:r>
            <w:r w:rsidRPr="002029AF">
              <w:t>payments</w:t>
            </w:r>
            <w:r w:rsidR="000A5329" w:rsidRPr="002029AF">
              <w:t xml:space="preserve"> </w:t>
            </w:r>
            <w:r w:rsidRPr="002029AF">
              <w:t>totalling</w:t>
            </w:r>
            <w:r w:rsidR="000A5329" w:rsidRPr="002029AF">
              <w:t xml:space="preserve"> </w:t>
            </w:r>
            <w:r w:rsidRPr="002029AF">
              <w:t>less</w:t>
            </w:r>
            <w:r w:rsidR="000A5329" w:rsidRPr="002029AF">
              <w:t xml:space="preserve"> </w:t>
            </w:r>
            <w:r w:rsidRPr="002029AF">
              <w:t>than</w:t>
            </w:r>
            <w:r w:rsidR="000A5329" w:rsidRPr="002029AF">
              <w:t xml:space="preserve"> </w:t>
            </w:r>
            <w:r w:rsidRPr="002029AF">
              <w:t>$30</w:t>
            </w:r>
            <w:r w:rsidR="000A5329" w:rsidRPr="002029AF">
              <w:t xml:space="preserve"> </w:t>
            </w:r>
            <w:r w:rsidRPr="002029AF">
              <w:t>million</w:t>
            </w:r>
          </w:p>
        </w:tc>
        <w:tc>
          <w:tcPr>
            <w:tcW w:w="1134" w:type="dxa"/>
            <w:tcBorders>
              <w:top w:val="single" w:sz="4" w:space="0" w:color="A6A6A6"/>
            </w:tcBorders>
            <w:shd w:val="clear" w:color="auto" w:fill="E7E6E6"/>
            <w:noWrap/>
            <w:hideMark/>
          </w:tcPr>
          <w:p w14:paraId="1DBCA1E0" w14:textId="77777777" w:rsidR="00087B91" w:rsidRPr="002029AF" w:rsidRDefault="00087B91" w:rsidP="00860E95">
            <w:pPr>
              <w:pStyle w:val="ARfintablebodyright"/>
            </w:pPr>
            <w:r w:rsidRPr="002029AF">
              <w:t>2.2</w:t>
            </w:r>
          </w:p>
        </w:tc>
        <w:tc>
          <w:tcPr>
            <w:tcW w:w="1134" w:type="dxa"/>
            <w:tcBorders>
              <w:top w:val="single" w:sz="4" w:space="0" w:color="A6A6A6"/>
            </w:tcBorders>
            <w:noWrap/>
            <w:hideMark/>
          </w:tcPr>
          <w:p w14:paraId="689ACCA3" w14:textId="77777777" w:rsidR="00087B91" w:rsidRPr="002029AF" w:rsidRDefault="00087B91" w:rsidP="00860E95">
            <w:pPr>
              <w:pStyle w:val="ARfintablebodyright"/>
            </w:pPr>
            <w:r w:rsidRPr="002029AF">
              <w:t>90.8</w:t>
            </w:r>
          </w:p>
        </w:tc>
      </w:tr>
      <w:tr w:rsidR="00087B91" w:rsidRPr="002029AF" w14:paraId="30AF265B" w14:textId="77777777" w:rsidTr="00860E95">
        <w:tc>
          <w:tcPr>
            <w:tcW w:w="7369" w:type="dxa"/>
            <w:tcBorders>
              <w:bottom w:val="single" w:sz="4" w:space="0" w:color="auto"/>
            </w:tcBorders>
            <w:hideMark/>
          </w:tcPr>
          <w:p w14:paraId="23B6434C" w14:textId="77777777" w:rsidR="00087B91" w:rsidRPr="002029AF" w:rsidRDefault="00087B91" w:rsidP="00860E95">
            <w:pPr>
              <w:pStyle w:val="ARfintablebodybold"/>
            </w:pPr>
          </w:p>
        </w:tc>
        <w:tc>
          <w:tcPr>
            <w:tcW w:w="1134" w:type="dxa"/>
            <w:tcBorders>
              <w:bottom w:val="single" w:sz="4" w:space="0" w:color="auto"/>
            </w:tcBorders>
            <w:shd w:val="clear" w:color="auto" w:fill="E7E6E6"/>
            <w:noWrap/>
            <w:hideMark/>
          </w:tcPr>
          <w:p w14:paraId="2240720F" w14:textId="77777777" w:rsidR="00087B91" w:rsidRPr="002029AF" w:rsidRDefault="00087B91" w:rsidP="00860E95">
            <w:pPr>
              <w:pStyle w:val="ARfintablebodyrightbold"/>
            </w:pPr>
            <w:r w:rsidRPr="002029AF">
              <w:t>375.9</w:t>
            </w:r>
          </w:p>
        </w:tc>
        <w:tc>
          <w:tcPr>
            <w:tcW w:w="1134" w:type="dxa"/>
            <w:tcBorders>
              <w:bottom w:val="single" w:sz="4" w:space="0" w:color="auto"/>
            </w:tcBorders>
            <w:noWrap/>
            <w:hideMark/>
          </w:tcPr>
          <w:p w14:paraId="1D646CD0" w14:textId="77777777" w:rsidR="00087B91" w:rsidRPr="002029AF" w:rsidRDefault="00087B91" w:rsidP="00860E95">
            <w:pPr>
              <w:pStyle w:val="ARfintablebodyrightbold"/>
            </w:pPr>
            <w:r w:rsidRPr="002029AF">
              <w:t>439.4</w:t>
            </w:r>
          </w:p>
        </w:tc>
      </w:tr>
      <w:tr w:rsidR="00087B91" w:rsidRPr="002029AF" w14:paraId="40459F37" w14:textId="77777777" w:rsidTr="00860E95">
        <w:tc>
          <w:tcPr>
            <w:tcW w:w="9637" w:type="dxa"/>
            <w:gridSpan w:val="3"/>
            <w:tcBorders>
              <w:top w:val="single" w:sz="4" w:space="0" w:color="auto"/>
              <w:bottom w:val="single" w:sz="4" w:space="0" w:color="A6A6A6"/>
            </w:tcBorders>
            <w:hideMark/>
          </w:tcPr>
          <w:p w14:paraId="4A5F2CC7" w14:textId="11D48DF7" w:rsidR="00087B91" w:rsidRPr="002029AF" w:rsidRDefault="00087B91" w:rsidP="00860E95">
            <w:pPr>
              <w:pStyle w:val="ARfintablebodybold"/>
            </w:pPr>
            <w:r w:rsidRPr="002029AF">
              <w:t>Local</w:t>
            </w:r>
            <w:r w:rsidR="000A5329" w:rsidRPr="002029AF">
              <w:t xml:space="preserve"> </w:t>
            </w:r>
            <w:r w:rsidRPr="002029AF">
              <w:t>councils</w:t>
            </w:r>
          </w:p>
        </w:tc>
      </w:tr>
      <w:tr w:rsidR="00087B91" w:rsidRPr="002029AF" w14:paraId="5054238B" w14:textId="77777777" w:rsidTr="00860E95">
        <w:tc>
          <w:tcPr>
            <w:tcW w:w="7369" w:type="dxa"/>
            <w:tcBorders>
              <w:top w:val="single" w:sz="4" w:space="0" w:color="A6A6A6"/>
              <w:bottom w:val="single" w:sz="4" w:space="0" w:color="A6A6A6"/>
            </w:tcBorders>
            <w:hideMark/>
          </w:tcPr>
          <w:p w14:paraId="49F9E16A" w14:textId="2095F85D" w:rsidR="00087B91" w:rsidRPr="002029AF" w:rsidRDefault="00087B91" w:rsidP="00860E95">
            <w:pPr>
              <w:pStyle w:val="ARfintablebody"/>
            </w:pPr>
            <w:r w:rsidRPr="002029AF">
              <w:t>Casey</w:t>
            </w:r>
            <w:r w:rsidR="000A5329" w:rsidRPr="002029AF">
              <w:t xml:space="preserve"> </w:t>
            </w:r>
            <w:r w:rsidRPr="002029AF">
              <w:t>City</w:t>
            </w:r>
            <w:r w:rsidR="000A5329" w:rsidRPr="002029AF">
              <w:t xml:space="preserve"> </w:t>
            </w:r>
            <w:r w:rsidRPr="002029AF">
              <w:t>Council</w:t>
            </w:r>
          </w:p>
        </w:tc>
        <w:tc>
          <w:tcPr>
            <w:tcW w:w="1134" w:type="dxa"/>
            <w:tcBorders>
              <w:top w:val="single" w:sz="4" w:space="0" w:color="A6A6A6"/>
              <w:bottom w:val="single" w:sz="4" w:space="0" w:color="A6A6A6"/>
            </w:tcBorders>
            <w:shd w:val="clear" w:color="auto" w:fill="E7E6E6"/>
            <w:noWrap/>
            <w:hideMark/>
          </w:tcPr>
          <w:p w14:paraId="12497095" w14:textId="77777777" w:rsidR="00087B91" w:rsidRPr="002029AF" w:rsidRDefault="00087B91" w:rsidP="00860E95">
            <w:pPr>
              <w:pStyle w:val="ARfintablebodyright"/>
            </w:pPr>
            <w:r w:rsidRPr="002029AF">
              <w:t>9.8</w:t>
            </w:r>
          </w:p>
        </w:tc>
        <w:tc>
          <w:tcPr>
            <w:tcW w:w="1134" w:type="dxa"/>
            <w:tcBorders>
              <w:top w:val="single" w:sz="4" w:space="0" w:color="A6A6A6"/>
              <w:bottom w:val="single" w:sz="4" w:space="0" w:color="A6A6A6"/>
            </w:tcBorders>
            <w:noWrap/>
            <w:hideMark/>
          </w:tcPr>
          <w:p w14:paraId="2670CC23" w14:textId="77777777" w:rsidR="00087B91" w:rsidRPr="002029AF" w:rsidRDefault="00087B91" w:rsidP="00860E95">
            <w:pPr>
              <w:pStyle w:val="ARfintablebodyright"/>
            </w:pPr>
            <w:r w:rsidRPr="002029AF">
              <w:t>7.3</w:t>
            </w:r>
          </w:p>
        </w:tc>
      </w:tr>
      <w:tr w:rsidR="00087B91" w:rsidRPr="002029AF" w14:paraId="5E595FDD" w14:textId="77777777" w:rsidTr="00860E95">
        <w:tc>
          <w:tcPr>
            <w:tcW w:w="7369" w:type="dxa"/>
            <w:tcBorders>
              <w:top w:val="single" w:sz="4" w:space="0" w:color="A6A6A6"/>
              <w:bottom w:val="single" w:sz="4" w:space="0" w:color="A6A6A6"/>
            </w:tcBorders>
            <w:hideMark/>
          </w:tcPr>
          <w:p w14:paraId="46E47A9D" w14:textId="67B98CF0" w:rsidR="00087B91" w:rsidRPr="002029AF" w:rsidRDefault="00087B91" w:rsidP="00860E95">
            <w:pPr>
              <w:pStyle w:val="ARfintablebody"/>
            </w:pPr>
            <w:r w:rsidRPr="002029AF">
              <w:t>Wyndham</w:t>
            </w:r>
            <w:r w:rsidR="000A5329" w:rsidRPr="002029AF">
              <w:t xml:space="preserve"> </w:t>
            </w:r>
            <w:r w:rsidRPr="002029AF">
              <w:t>City</w:t>
            </w:r>
            <w:r w:rsidR="000A5329" w:rsidRPr="002029AF">
              <w:t xml:space="preserve"> </w:t>
            </w:r>
            <w:r w:rsidRPr="002029AF">
              <w:t>Council</w:t>
            </w:r>
          </w:p>
        </w:tc>
        <w:tc>
          <w:tcPr>
            <w:tcW w:w="1134" w:type="dxa"/>
            <w:tcBorders>
              <w:top w:val="single" w:sz="4" w:space="0" w:color="A6A6A6"/>
              <w:bottom w:val="single" w:sz="4" w:space="0" w:color="A6A6A6"/>
            </w:tcBorders>
            <w:shd w:val="clear" w:color="auto" w:fill="E7E6E6"/>
            <w:noWrap/>
            <w:hideMark/>
          </w:tcPr>
          <w:p w14:paraId="4640C12F" w14:textId="77777777" w:rsidR="00087B91" w:rsidRPr="002029AF" w:rsidRDefault="00087B91" w:rsidP="00860E95">
            <w:pPr>
              <w:pStyle w:val="ARfintablebodyright"/>
            </w:pPr>
            <w:r w:rsidRPr="002029AF">
              <w:t>7.5</w:t>
            </w:r>
          </w:p>
        </w:tc>
        <w:tc>
          <w:tcPr>
            <w:tcW w:w="1134" w:type="dxa"/>
            <w:tcBorders>
              <w:top w:val="single" w:sz="4" w:space="0" w:color="A6A6A6"/>
              <w:bottom w:val="single" w:sz="4" w:space="0" w:color="A6A6A6"/>
            </w:tcBorders>
            <w:noWrap/>
            <w:hideMark/>
          </w:tcPr>
          <w:p w14:paraId="3D401459" w14:textId="77777777" w:rsidR="00087B91" w:rsidRPr="002029AF" w:rsidRDefault="00087B91" w:rsidP="00860E95">
            <w:pPr>
              <w:pStyle w:val="ARfintablebodyright"/>
            </w:pPr>
            <w:r w:rsidRPr="002029AF">
              <w:t>3.6</w:t>
            </w:r>
          </w:p>
        </w:tc>
      </w:tr>
      <w:tr w:rsidR="00087B91" w:rsidRPr="002029AF" w14:paraId="5C55DD9F" w14:textId="77777777" w:rsidTr="00860E95">
        <w:tc>
          <w:tcPr>
            <w:tcW w:w="7369" w:type="dxa"/>
            <w:tcBorders>
              <w:top w:val="single" w:sz="4" w:space="0" w:color="A6A6A6"/>
              <w:bottom w:val="single" w:sz="4" w:space="0" w:color="A6A6A6"/>
            </w:tcBorders>
            <w:hideMark/>
          </w:tcPr>
          <w:p w14:paraId="25BF90B5" w14:textId="583ABB51" w:rsidR="00087B91" w:rsidRPr="002029AF" w:rsidRDefault="00087B91" w:rsidP="00860E95">
            <w:pPr>
              <w:pStyle w:val="ARfintablebody"/>
            </w:pPr>
            <w:r w:rsidRPr="002029AF">
              <w:t>City</w:t>
            </w:r>
            <w:r w:rsidR="000A5329" w:rsidRPr="002029AF">
              <w:t xml:space="preserve"> </w:t>
            </w:r>
            <w:r w:rsidRPr="002029AF">
              <w:t>of</w:t>
            </w:r>
            <w:r w:rsidR="000A5329" w:rsidRPr="002029AF">
              <w:t xml:space="preserve"> </w:t>
            </w:r>
            <w:r w:rsidRPr="002029AF">
              <w:t>Greater</w:t>
            </w:r>
            <w:r w:rsidR="000A5329" w:rsidRPr="002029AF">
              <w:t xml:space="preserve"> </w:t>
            </w:r>
            <w:r w:rsidRPr="002029AF">
              <w:t>Geelong</w:t>
            </w:r>
          </w:p>
        </w:tc>
        <w:tc>
          <w:tcPr>
            <w:tcW w:w="1134" w:type="dxa"/>
            <w:tcBorders>
              <w:top w:val="single" w:sz="4" w:space="0" w:color="A6A6A6"/>
              <w:bottom w:val="single" w:sz="4" w:space="0" w:color="A6A6A6"/>
            </w:tcBorders>
            <w:shd w:val="clear" w:color="auto" w:fill="E7E6E6"/>
            <w:noWrap/>
            <w:hideMark/>
          </w:tcPr>
          <w:p w14:paraId="411F270D" w14:textId="77777777" w:rsidR="00087B91" w:rsidRPr="002029AF" w:rsidRDefault="00087B91" w:rsidP="00860E95">
            <w:pPr>
              <w:pStyle w:val="ARfintablebodyright"/>
            </w:pPr>
            <w:r w:rsidRPr="002029AF">
              <w:t>6.7</w:t>
            </w:r>
          </w:p>
        </w:tc>
        <w:tc>
          <w:tcPr>
            <w:tcW w:w="1134" w:type="dxa"/>
            <w:tcBorders>
              <w:top w:val="single" w:sz="4" w:space="0" w:color="A6A6A6"/>
              <w:bottom w:val="single" w:sz="4" w:space="0" w:color="A6A6A6"/>
            </w:tcBorders>
            <w:noWrap/>
            <w:hideMark/>
          </w:tcPr>
          <w:p w14:paraId="6329F982" w14:textId="77777777" w:rsidR="00087B91" w:rsidRPr="002029AF" w:rsidRDefault="00087B91" w:rsidP="00860E95">
            <w:pPr>
              <w:pStyle w:val="ARfintablebodyright"/>
            </w:pPr>
            <w:r w:rsidRPr="002029AF">
              <w:t>5.3</w:t>
            </w:r>
          </w:p>
        </w:tc>
      </w:tr>
      <w:tr w:rsidR="00087B91" w:rsidRPr="002029AF" w14:paraId="2B46B0E3" w14:textId="77777777" w:rsidTr="00860E95">
        <w:tc>
          <w:tcPr>
            <w:tcW w:w="7369" w:type="dxa"/>
            <w:tcBorders>
              <w:top w:val="single" w:sz="4" w:space="0" w:color="A6A6A6"/>
              <w:bottom w:val="single" w:sz="4" w:space="0" w:color="A6A6A6"/>
            </w:tcBorders>
            <w:hideMark/>
          </w:tcPr>
          <w:p w14:paraId="6523FE17" w14:textId="4CFAD6F9" w:rsidR="00087B91" w:rsidRPr="002029AF" w:rsidRDefault="00087B91" w:rsidP="00860E95">
            <w:pPr>
              <w:pStyle w:val="ARfintablebody"/>
            </w:pPr>
            <w:r w:rsidRPr="002029AF">
              <w:t>City</w:t>
            </w:r>
            <w:r w:rsidR="000A5329" w:rsidRPr="002029AF">
              <w:t xml:space="preserve"> </w:t>
            </w:r>
            <w:r w:rsidRPr="002029AF">
              <w:t>of</w:t>
            </w:r>
            <w:r w:rsidR="000A5329" w:rsidRPr="002029AF">
              <w:t xml:space="preserve"> </w:t>
            </w:r>
            <w:r w:rsidRPr="002029AF">
              <w:t>Whittlesea</w:t>
            </w:r>
          </w:p>
        </w:tc>
        <w:tc>
          <w:tcPr>
            <w:tcW w:w="1134" w:type="dxa"/>
            <w:tcBorders>
              <w:top w:val="single" w:sz="4" w:space="0" w:color="A6A6A6"/>
              <w:bottom w:val="single" w:sz="4" w:space="0" w:color="A6A6A6"/>
            </w:tcBorders>
            <w:shd w:val="clear" w:color="auto" w:fill="E7E6E6"/>
            <w:noWrap/>
            <w:hideMark/>
          </w:tcPr>
          <w:p w14:paraId="30D7B6B0" w14:textId="77777777" w:rsidR="00087B91" w:rsidRPr="002029AF" w:rsidRDefault="00087B91" w:rsidP="00860E95">
            <w:pPr>
              <w:pStyle w:val="ARfintablebodyright"/>
            </w:pPr>
            <w:r w:rsidRPr="002029AF">
              <w:t>6.6</w:t>
            </w:r>
          </w:p>
        </w:tc>
        <w:tc>
          <w:tcPr>
            <w:tcW w:w="1134" w:type="dxa"/>
            <w:tcBorders>
              <w:top w:val="single" w:sz="4" w:space="0" w:color="A6A6A6"/>
              <w:bottom w:val="single" w:sz="4" w:space="0" w:color="A6A6A6"/>
            </w:tcBorders>
            <w:noWrap/>
            <w:hideMark/>
          </w:tcPr>
          <w:p w14:paraId="5E883ADA" w14:textId="77777777" w:rsidR="00087B91" w:rsidRPr="002029AF" w:rsidRDefault="00087B91" w:rsidP="00860E95">
            <w:pPr>
              <w:pStyle w:val="ARfintablebodyright"/>
            </w:pPr>
            <w:r w:rsidRPr="002029AF">
              <w:t>4.9</w:t>
            </w:r>
          </w:p>
        </w:tc>
      </w:tr>
      <w:tr w:rsidR="00087B91" w:rsidRPr="002029AF" w14:paraId="081C7A5A" w14:textId="77777777" w:rsidTr="00860E95">
        <w:tc>
          <w:tcPr>
            <w:tcW w:w="7369" w:type="dxa"/>
            <w:tcBorders>
              <w:top w:val="single" w:sz="4" w:space="0" w:color="A6A6A6"/>
              <w:bottom w:val="single" w:sz="4" w:space="0" w:color="A6A6A6"/>
            </w:tcBorders>
            <w:hideMark/>
          </w:tcPr>
          <w:p w14:paraId="51FCB953" w14:textId="0CF07B5C" w:rsidR="00087B91" w:rsidRPr="002029AF" w:rsidRDefault="00087B91" w:rsidP="00860E95">
            <w:pPr>
              <w:pStyle w:val="ARfintablebody"/>
            </w:pPr>
            <w:r w:rsidRPr="002029AF">
              <w:t>City</w:t>
            </w:r>
            <w:r w:rsidR="000A5329" w:rsidRPr="002029AF">
              <w:t xml:space="preserve"> </w:t>
            </w:r>
            <w:r w:rsidRPr="002029AF">
              <w:t>of</w:t>
            </w:r>
            <w:r w:rsidR="000A5329" w:rsidRPr="002029AF">
              <w:t xml:space="preserve"> </w:t>
            </w:r>
            <w:r w:rsidRPr="002029AF">
              <w:t>Greater</w:t>
            </w:r>
            <w:r w:rsidR="000A5329" w:rsidRPr="002029AF">
              <w:t xml:space="preserve"> </w:t>
            </w:r>
            <w:r w:rsidRPr="002029AF">
              <w:t>Dandenong</w:t>
            </w:r>
          </w:p>
        </w:tc>
        <w:tc>
          <w:tcPr>
            <w:tcW w:w="1134" w:type="dxa"/>
            <w:tcBorders>
              <w:top w:val="single" w:sz="4" w:space="0" w:color="A6A6A6"/>
              <w:bottom w:val="single" w:sz="4" w:space="0" w:color="A6A6A6"/>
            </w:tcBorders>
            <w:shd w:val="clear" w:color="auto" w:fill="E7E6E6"/>
            <w:noWrap/>
            <w:hideMark/>
          </w:tcPr>
          <w:p w14:paraId="675E7C38" w14:textId="77777777" w:rsidR="00087B91" w:rsidRPr="002029AF" w:rsidRDefault="00087B91" w:rsidP="00860E95">
            <w:pPr>
              <w:pStyle w:val="ARfintablebodyright"/>
            </w:pPr>
            <w:r w:rsidRPr="002029AF">
              <w:t>6.5</w:t>
            </w:r>
          </w:p>
        </w:tc>
        <w:tc>
          <w:tcPr>
            <w:tcW w:w="1134" w:type="dxa"/>
            <w:tcBorders>
              <w:top w:val="single" w:sz="4" w:space="0" w:color="A6A6A6"/>
              <w:bottom w:val="single" w:sz="4" w:space="0" w:color="A6A6A6"/>
            </w:tcBorders>
            <w:noWrap/>
            <w:hideMark/>
          </w:tcPr>
          <w:p w14:paraId="2ED04CBB" w14:textId="77777777" w:rsidR="00087B91" w:rsidRPr="002029AF" w:rsidRDefault="00087B91" w:rsidP="00860E95">
            <w:pPr>
              <w:pStyle w:val="ARfintablebodyright"/>
            </w:pPr>
            <w:r w:rsidRPr="002029AF">
              <w:t>5.0</w:t>
            </w:r>
          </w:p>
        </w:tc>
      </w:tr>
      <w:tr w:rsidR="00087B91" w:rsidRPr="002029AF" w14:paraId="23320956" w14:textId="77777777" w:rsidTr="00860E95">
        <w:tc>
          <w:tcPr>
            <w:tcW w:w="7369" w:type="dxa"/>
            <w:tcBorders>
              <w:top w:val="single" w:sz="4" w:space="0" w:color="A6A6A6"/>
              <w:bottom w:val="single" w:sz="4" w:space="0" w:color="A6A6A6"/>
            </w:tcBorders>
            <w:hideMark/>
          </w:tcPr>
          <w:p w14:paraId="478E8F0F" w14:textId="61B1F969" w:rsidR="00087B91" w:rsidRPr="002029AF" w:rsidRDefault="00087B91" w:rsidP="00860E95">
            <w:pPr>
              <w:pStyle w:val="ARfintablebody"/>
            </w:pPr>
            <w:r w:rsidRPr="002029AF">
              <w:t>Hume</w:t>
            </w:r>
            <w:r w:rsidR="000A5329" w:rsidRPr="002029AF">
              <w:t xml:space="preserve"> </w:t>
            </w:r>
            <w:r w:rsidRPr="002029AF">
              <w:t>City</w:t>
            </w:r>
            <w:r w:rsidR="000A5329" w:rsidRPr="002029AF">
              <w:t xml:space="preserve"> </w:t>
            </w:r>
            <w:r w:rsidRPr="002029AF">
              <w:t>Council</w:t>
            </w:r>
          </w:p>
        </w:tc>
        <w:tc>
          <w:tcPr>
            <w:tcW w:w="1134" w:type="dxa"/>
            <w:tcBorders>
              <w:top w:val="single" w:sz="4" w:space="0" w:color="A6A6A6"/>
              <w:bottom w:val="single" w:sz="4" w:space="0" w:color="A6A6A6"/>
            </w:tcBorders>
            <w:shd w:val="clear" w:color="auto" w:fill="E7E6E6"/>
            <w:noWrap/>
            <w:hideMark/>
          </w:tcPr>
          <w:p w14:paraId="43130D6A" w14:textId="77777777" w:rsidR="00087B91" w:rsidRPr="002029AF" w:rsidRDefault="00087B91" w:rsidP="00860E95">
            <w:pPr>
              <w:pStyle w:val="ARfintablebodyright"/>
            </w:pPr>
            <w:r w:rsidRPr="002029AF">
              <w:t>6.4</w:t>
            </w:r>
          </w:p>
        </w:tc>
        <w:tc>
          <w:tcPr>
            <w:tcW w:w="1134" w:type="dxa"/>
            <w:tcBorders>
              <w:top w:val="single" w:sz="4" w:space="0" w:color="A6A6A6"/>
              <w:bottom w:val="single" w:sz="4" w:space="0" w:color="A6A6A6"/>
            </w:tcBorders>
            <w:noWrap/>
            <w:hideMark/>
          </w:tcPr>
          <w:p w14:paraId="4CF6629D" w14:textId="77777777" w:rsidR="00087B91" w:rsidRPr="002029AF" w:rsidRDefault="00087B91" w:rsidP="00860E95">
            <w:pPr>
              <w:pStyle w:val="ARfintablebodyright"/>
            </w:pPr>
            <w:r w:rsidRPr="002029AF">
              <w:t>3.9</w:t>
            </w:r>
          </w:p>
        </w:tc>
      </w:tr>
      <w:tr w:rsidR="00087B91" w:rsidRPr="002029AF" w14:paraId="43549DCA" w14:textId="77777777" w:rsidTr="00860E95">
        <w:tc>
          <w:tcPr>
            <w:tcW w:w="7369" w:type="dxa"/>
            <w:tcBorders>
              <w:top w:val="single" w:sz="4" w:space="0" w:color="A6A6A6"/>
              <w:bottom w:val="single" w:sz="4" w:space="0" w:color="A6A6A6"/>
            </w:tcBorders>
            <w:hideMark/>
          </w:tcPr>
          <w:p w14:paraId="519CFC16" w14:textId="74820677" w:rsidR="00087B91" w:rsidRPr="002029AF" w:rsidRDefault="00087B91" w:rsidP="00860E95">
            <w:pPr>
              <w:pStyle w:val="ARfintablebody"/>
            </w:pPr>
            <w:r w:rsidRPr="002029AF">
              <w:t>City</w:t>
            </w:r>
            <w:r w:rsidR="000A5329" w:rsidRPr="002029AF">
              <w:t xml:space="preserve"> </w:t>
            </w:r>
            <w:r w:rsidRPr="002029AF">
              <w:t>of</w:t>
            </w:r>
            <w:r w:rsidR="000A5329" w:rsidRPr="002029AF">
              <w:t xml:space="preserve"> </w:t>
            </w:r>
            <w:r w:rsidRPr="002029AF">
              <w:t>Melton</w:t>
            </w:r>
          </w:p>
        </w:tc>
        <w:tc>
          <w:tcPr>
            <w:tcW w:w="1134" w:type="dxa"/>
            <w:tcBorders>
              <w:top w:val="single" w:sz="4" w:space="0" w:color="A6A6A6"/>
              <w:bottom w:val="single" w:sz="4" w:space="0" w:color="A6A6A6"/>
            </w:tcBorders>
            <w:shd w:val="clear" w:color="auto" w:fill="E7E6E6"/>
            <w:noWrap/>
            <w:hideMark/>
          </w:tcPr>
          <w:p w14:paraId="0E7FBBA6" w14:textId="77777777" w:rsidR="00087B91" w:rsidRPr="002029AF" w:rsidRDefault="00087B91" w:rsidP="00860E95">
            <w:pPr>
              <w:pStyle w:val="ARfintablebodyright"/>
            </w:pPr>
            <w:r w:rsidRPr="002029AF">
              <w:t>5.6</w:t>
            </w:r>
          </w:p>
        </w:tc>
        <w:tc>
          <w:tcPr>
            <w:tcW w:w="1134" w:type="dxa"/>
            <w:tcBorders>
              <w:top w:val="single" w:sz="4" w:space="0" w:color="A6A6A6"/>
              <w:bottom w:val="single" w:sz="4" w:space="0" w:color="A6A6A6"/>
            </w:tcBorders>
            <w:noWrap/>
            <w:hideMark/>
          </w:tcPr>
          <w:p w14:paraId="554E991C" w14:textId="77777777" w:rsidR="00087B91" w:rsidRPr="002029AF" w:rsidRDefault="00087B91" w:rsidP="00860E95">
            <w:pPr>
              <w:pStyle w:val="ARfintablebodyright"/>
            </w:pPr>
            <w:r w:rsidRPr="002029AF">
              <w:t>3.7</w:t>
            </w:r>
          </w:p>
        </w:tc>
      </w:tr>
      <w:tr w:rsidR="00087B91" w:rsidRPr="002029AF" w14:paraId="720FCA47" w14:textId="77777777" w:rsidTr="00860E95">
        <w:tc>
          <w:tcPr>
            <w:tcW w:w="7369" w:type="dxa"/>
            <w:tcBorders>
              <w:top w:val="single" w:sz="4" w:space="0" w:color="A6A6A6"/>
              <w:bottom w:val="single" w:sz="4" w:space="0" w:color="A6A6A6"/>
            </w:tcBorders>
            <w:hideMark/>
          </w:tcPr>
          <w:p w14:paraId="20362753" w14:textId="3D36E822" w:rsidR="00087B91" w:rsidRPr="002029AF" w:rsidRDefault="00087B91" w:rsidP="00860E95">
            <w:pPr>
              <w:pStyle w:val="ARfintablebody"/>
            </w:pPr>
            <w:r w:rsidRPr="002029AF">
              <w:t>Brimbank</w:t>
            </w:r>
            <w:r w:rsidR="000A5329" w:rsidRPr="002029AF">
              <w:t xml:space="preserve"> </w:t>
            </w:r>
            <w:r w:rsidRPr="002029AF">
              <w:t>City</w:t>
            </w:r>
            <w:r w:rsidR="000A5329" w:rsidRPr="002029AF">
              <w:t xml:space="preserve"> </w:t>
            </w:r>
            <w:r w:rsidRPr="002029AF">
              <w:t>Council</w:t>
            </w:r>
          </w:p>
        </w:tc>
        <w:tc>
          <w:tcPr>
            <w:tcW w:w="1134" w:type="dxa"/>
            <w:tcBorders>
              <w:top w:val="single" w:sz="4" w:space="0" w:color="A6A6A6"/>
              <w:bottom w:val="single" w:sz="4" w:space="0" w:color="A6A6A6"/>
            </w:tcBorders>
            <w:shd w:val="clear" w:color="auto" w:fill="E7E6E6"/>
            <w:noWrap/>
            <w:hideMark/>
          </w:tcPr>
          <w:p w14:paraId="588F65EE" w14:textId="77777777" w:rsidR="00087B91" w:rsidRPr="002029AF" w:rsidRDefault="00087B91" w:rsidP="00860E95">
            <w:pPr>
              <w:pStyle w:val="ARfintablebodyright"/>
            </w:pPr>
            <w:r w:rsidRPr="002029AF">
              <w:t>5.5</w:t>
            </w:r>
          </w:p>
        </w:tc>
        <w:tc>
          <w:tcPr>
            <w:tcW w:w="1134" w:type="dxa"/>
            <w:tcBorders>
              <w:top w:val="single" w:sz="4" w:space="0" w:color="A6A6A6"/>
              <w:bottom w:val="single" w:sz="4" w:space="0" w:color="A6A6A6"/>
            </w:tcBorders>
            <w:noWrap/>
            <w:hideMark/>
          </w:tcPr>
          <w:p w14:paraId="10463FF1" w14:textId="77777777" w:rsidR="00087B91" w:rsidRPr="002029AF" w:rsidRDefault="00087B91" w:rsidP="00860E95">
            <w:pPr>
              <w:pStyle w:val="ARfintablebodyright"/>
            </w:pPr>
            <w:r w:rsidRPr="002029AF">
              <w:t>3.3</w:t>
            </w:r>
          </w:p>
        </w:tc>
      </w:tr>
      <w:tr w:rsidR="00087B91" w:rsidRPr="002029AF" w14:paraId="5BD55FE5" w14:textId="77777777" w:rsidTr="00860E95">
        <w:tc>
          <w:tcPr>
            <w:tcW w:w="7369" w:type="dxa"/>
            <w:tcBorders>
              <w:top w:val="single" w:sz="4" w:space="0" w:color="A6A6A6"/>
            </w:tcBorders>
            <w:hideMark/>
          </w:tcPr>
          <w:p w14:paraId="62CFFBCE" w14:textId="3D7B501A" w:rsidR="00087B91" w:rsidRPr="002029AF" w:rsidRDefault="00087B91" w:rsidP="00860E95">
            <w:pPr>
              <w:pStyle w:val="ARfintablebody"/>
            </w:pPr>
            <w:r w:rsidRPr="002029AF">
              <w:t>Other</w:t>
            </w:r>
            <w:r w:rsidR="000A5329" w:rsidRPr="002029AF">
              <w:t xml:space="preserve"> </w:t>
            </w:r>
            <w:r w:rsidRPr="002029AF">
              <w:t>local</w:t>
            </w:r>
            <w:r w:rsidR="000A5329" w:rsidRPr="002029AF">
              <w:t xml:space="preserve"> </w:t>
            </w:r>
            <w:r w:rsidRPr="002029AF">
              <w:t>councils</w:t>
            </w:r>
            <w:r w:rsidR="000A5329" w:rsidRPr="002029AF">
              <w:t xml:space="preserve"> </w:t>
            </w:r>
            <w:r w:rsidRPr="002029AF">
              <w:t>with</w:t>
            </w:r>
            <w:r w:rsidR="000A5329" w:rsidRPr="002029AF">
              <w:t xml:space="preserve"> </w:t>
            </w:r>
            <w:r w:rsidRPr="002029AF">
              <w:t>payments</w:t>
            </w:r>
            <w:r w:rsidR="000A5329" w:rsidRPr="002029AF">
              <w:t xml:space="preserve"> </w:t>
            </w:r>
            <w:r w:rsidRPr="002029AF">
              <w:t>totalling</w:t>
            </w:r>
            <w:r w:rsidR="000A5329" w:rsidRPr="002029AF">
              <w:t xml:space="preserve"> </w:t>
            </w:r>
            <w:r w:rsidRPr="002029AF">
              <w:t>less</w:t>
            </w:r>
            <w:r w:rsidR="000A5329" w:rsidRPr="002029AF">
              <w:t xml:space="preserve"> </w:t>
            </w:r>
            <w:r w:rsidRPr="002029AF">
              <w:t>than</w:t>
            </w:r>
            <w:r w:rsidR="000A5329" w:rsidRPr="002029AF">
              <w:t xml:space="preserve"> </w:t>
            </w:r>
            <w:r w:rsidRPr="002029AF">
              <w:t>$5</w:t>
            </w:r>
            <w:r w:rsidR="000A5329" w:rsidRPr="002029AF">
              <w:t xml:space="preserve"> </w:t>
            </w:r>
            <w:r w:rsidRPr="002029AF">
              <w:t>million</w:t>
            </w:r>
          </w:p>
        </w:tc>
        <w:tc>
          <w:tcPr>
            <w:tcW w:w="1134" w:type="dxa"/>
            <w:tcBorders>
              <w:top w:val="single" w:sz="4" w:space="0" w:color="A6A6A6"/>
            </w:tcBorders>
            <w:shd w:val="clear" w:color="auto" w:fill="E7E6E6"/>
            <w:noWrap/>
            <w:hideMark/>
          </w:tcPr>
          <w:p w14:paraId="5FFBEAF8" w14:textId="77777777" w:rsidR="00087B91" w:rsidRPr="002029AF" w:rsidRDefault="00087B91" w:rsidP="00860E95">
            <w:pPr>
              <w:pStyle w:val="ARfintablebodyright"/>
            </w:pPr>
            <w:r w:rsidRPr="002029AF">
              <w:t>112.4</w:t>
            </w:r>
          </w:p>
        </w:tc>
        <w:tc>
          <w:tcPr>
            <w:tcW w:w="1134" w:type="dxa"/>
            <w:tcBorders>
              <w:top w:val="single" w:sz="4" w:space="0" w:color="A6A6A6"/>
            </w:tcBorders>
            <w:noWrap/>
            <w:hideMark/>
          </w:tcPr>
          <w:p w14:paraId="5E7223D4" w14:textId="77777777" w:rsidR="00087B91" w:rsidRPr="002029AF" w:rsidRDefault="00087B91" w:rsidP="00860E95">
            <w:pPr>
              <w:pStyle w:val="ARfintablebodyright"/>
            </w:pPr>
            <w:r w:rsidRPr="002029AF">
              <w:t>108.6</w:t>
            </w:r>
          </w:p>
        </w:tc>
      </w:tr>
      <w:tr w:rsidR="00087B91" w:rsidRPr="002029AF" w14:paraId="181B3F17" w14:textId="77777777" w:rsidTr="00860E95">
        <w:tc>
          <w:tcPr>
            <w:tcW w:w="7369" w:type="dxa"/>
            <w:tcBorders>
              <w:bottom w:val="single" w:sz="4" w:space="0" w:color="auto"/>
            </w:tcBorders>
            <w:hideMark/>
          </w:tcPr>
          <w:p w14:paraId="23CCB2E7" w14:textId="77777777" w:rsidR="00087B91" w:rsidRPr="002029AF" w:rsidRDefault="00087B91" w:rsidP="00860E95">
            <w:pPr>
              <w:pStyle w:val="ARfintablebodybold"/>
            </w:pPr>
          </w:p>
        </w:tc>
        <w:tc>
          <w:tcPr>
            <w:tcW w:w="1134" w:type="dxa"/>
            <w:tcBorders>
              <w:bottom w:val="single" w:sz="4" w:space="0" w:color="auto"/>
            </w:tcBorders>
            <w:shd w:val="clear" w:color="auto" w:fill="E7E6E6"/>
            <w:noWrap/>
            <w:hideMark/>
          </w:tcPr>
          <w:p w14:paraId="7EF8122B" w14:textId="77777777" w:rsidR="00087B91" w:rsidRPr="002029AF" w:rsidRDefault="00087B91" w:rsidP="00860E95">
            <w:pPr>
              <w:pStyle w:val="ARfintablebodyrightbold"/>
            </w:pPr>
            <w:r w:rsidRPr="002029AF">
              <w:t>167.0</w:t>
            </w:r>
          </w:p>
        </w:tc>
        <w:tc>
          <w:tcPr>
            <w:tcW w:w="1134" w:type="dxa"/>
            <w:tcBorders>
              <w:bottom w:val="single" w:sz="4" w:space="0" w:color="auto"/>
            </w:tcBorders>
            <w:noWrap/>
            <w:hideMark/>
          </w:tcPr>
          <w:p w14:paraId="0DDDFC0D" w14:textId="77777777" w:rsidR="00087B91" w:rsidRPr="002029AF" w:rsidRDefault="00087B91" w:rsidP="00860E95">
            <w:pPr>
              <w:pStyle w:val="ARfintablebodyrightbold"/>
            </w:pPr>
            <w:r w:rsidRPr="002029AF">
              <w:t>145.7</w:t>
            </w:r>
          </w:p>
        </w:tc>
      </w:tr>
      <w:tr w:rsidR="00087B91" w:rsidRPr="002029AF" w14:paraId="619AC31C" w14:textId="77777777" w:rsidTr="00860E95">
        <w:tc>
          <w:tcPr>
            <w:tcW w:w="9637" w:type="dxa"/>
            <w:gridSpan w:val="3"/>
            <w:tcBorders>
              <w:top w:val="single" w:sz="4" w:space="0" w:color="auto"/>
              <w:bottom w:val="single" w:sz="4" w:space="0" w:color="A6A6A6"/>
            </w:tcBorders>
            <w:hideMark/>
          </w:tcPr>
          <w:p w14:paraId="685009F4" w14:textId="6A131017" w:rsidR="00087B91" w:rsidRPr="002029AF" w:rsidRDefault="00087B91" w:rsidP="00860E95">
            <w:pPr>
              <w:pStyle w:val="ARfintablebodybold"/>
            </w:pPr>
            <w:r w:rsidRPr="002029AF">
              <w:t>Commonwealth</w:t>
            </w:r>
            <w:r w:rsidR="000A5329" w:rsidRPr="002029AF">
              <w:t xml:space="preserve"> </w:t>
            </w:r>
            <w:r w:rsidRPr="002029AF">
              <w:t>Government</w:t>
            </w:r>
          </w:p>
        </w:tc>
      </w:tr>
      <w:tr w:rsidR="00087B91" w:rsidRPr="002029AF" w14:paraId="09B479CC" w14:textId="77777777" w:rsidTr="00860E95">
        <w:tc>
          <w:tcPr>
            <w:tcW w:w="7369" w:type="dxa"/>
            <w:tcBorders>
              <w:top w:val="single" w:sz="4" w:space="0" w:color="A6A6A6"/>
              <w:bottom w:val="single" w:sz="4" w:space="0" w:color="A6A6A6"/>
            </w:tcBorders>
            <w:hideMark/>
          </w:tcPr>
          <w:p w14:paraId="093BF17A" w14:textId="33E91B0C" w:rsidR="00087B91" w:rsidRPr="002029AF" w:rsidRDefault="00087B91" w:rsidP="00860E95">
            <w:pPr>
              <w:pStyle w:val="ARfintablebody"/>
            </w:pPr>
            <w:r w:rsidRPr="002029AF">
              <w:t>National</w:t>
            </w:r>
            <w:r w:rsidR="000A5329" w:rsidRPr="002029AF">
              <w:t xml:space="preserve"> </w:t>
            </w:r>
            <w:r w:rsidRPr="002029AF">
              <w:t>Blood</w:t>
            </w:r>
            <w:r w:rsidR="000A5329" w:rsidRPr="002029AF">
              <w:t xml:space="preserve"> </w:t>
            </w:r>
            <w:r w:rsidRPr="002029AF">
              <w:t>Authority</w:t>
            </w:r>
          </w:p>
        </w:tc>
        <w:tc>
          <w:tcPr>
            <w:tcW w:w="1134" w:type="dxa"/>
            <w:tcBorders>
              <w:top w:val="single" w:sz="4" w:space="0" w:color="A6A6A6"/>
              <w:bottom w:val="single" w:sz="4" w:space="0" w:color="A6A6A6"/>
            </w:tcBorders>
            <w:shd w:val="clear" w:color="auto" w:fill="E7E6E6"/>
            <w:noWrap/>
            <w:hideMark/>
          </w:tcPr>
          <w:p w14:paraId="5BAB82CD" w14:textId="77777777" w:rsidR="00087B91" w:rsidRPr="002029AF" w:rsidRDefault="00087B91" w:rsidP="00860E95">
            <w:pPr>
              <w:pStyle w:val="ARfintablebodyright"/>
            </w:pPr>
            <w:r w:rsidRPr="002029AF">
              <w:t>115.0</w:t>
            </w:r>
          </w:p>
        </w:tc>
        <w:tc>
          <w:tcPr>
            <w:tcW w:w="1134" w:type="dxa"/>
            <w:tcBorders>
              <w:top w:val="single" w:sz="4" w:space="0" w:color="A6A6A6"/>
              <w:bottom w:val="single" w:sz="4" w:space="0" w:color="A6A6A6"/>
            </w:tcBorders>
            <w:noWrap/>
            <w:hideMark/>
          </w:tcPr>
          <w:p w14:paraId="5DC5D620" w14:textId="77777777" w:rsidR="00087B91" w:rsidRPr="002029AF" w:rsidRDefault="00087B91" w:rsidP="00860E95">
            <w:pPr>
              <w:pStyle w:val="ARfintablebodyright"/>
            </w:pPr>
            <w:r w:rsidRPr="002029AF">
              <w:t>108.5</w:t>
            </w:r>
          </w:p>
        </w:tc>
      </w:tr>
      <w:tr w:rsidR="00087B91" w:rsidRPr="002029AF" w14:paraId="2A3BF7AF" w14:textId="77777777" w:rsidTr="00860E95">
        <w:tc>
          <w:tcPr>
            <w:tcW w:w="7369" w:type="dxa"/>
            <w:tcBorders>
              <w:top w:val="single" w:sz="4" w:space="0" w:color="A6A6A6"/>
              <w:bottom w:val="single" w:sz="4" w:space="0" w:color="A6A6A6"/>
            </w:tcBorders>
            <w:hideMark/>
          </w:tcPr>
          <w:p w14:paraId="6BB1375C" w14:textId="68AFC06F" w:rsidR="00087B91" w:rsidRPr="002029AF" w:rsidRDefault="00087B91" w:rsidP="00860E95">
            <w:pPr>
              <w:pStyle w:val="ARfintablebody"/>
            </w:pPr>
            <w:r w:rsidRPr="002029AF">
              <w:t>Department</w:t>
            </w:r>
            <w:r w:rsidR="000A5329" w:rsidRPr="002029AF">
              <w:t xml:space="preserve"> </w:t>
            </w:r>
            <w:r w:rsidRPr="002029AF">
              <w:t>of</w:t>
            </w:r>
            <w:r w:rsidR="000A5329" w:rsidRPr="002029AF">
              <w:t xml:space="preserve"> </w:t>
            </w:r>
            <w:r w:rsidRPr="002029AF">
              <w:t>Health</w:t>
            </w:r>
          </w:p>
        </w:tc>
        <w:tc>
          <w:tcPr>
            <w:tcW w:w="1134" w:type="dxa"/>
            <w:tcBorders>
              <w:top w:val="single" w:sz="4" w:space="0" w:color="A6A6A6"/>
              <w:bottom w:val="single" w:sz="4" w:space="0" w:color="A6A6A6"/>
            </w:tcBorders>
            <w:shd w:val="clear" w:color="auto" w:fill="E7E6E6"/>
            <w:noWrap/>
            <w:hideMark/>
          </w:tcPr>
          <w:p w14:paraId="08A5C3BB" w14:textId="77777777" w:rsidR="00087B91" w:rsidRPr="002029AF" w:rsidRDefault="00087B91" w:rsidP="00860E95">
            <w:pPr>
              <w:pStyle w:val="ARfintablebodyright"/>
            </w:pPr>
            <w:r w:rsidRPr="002029AF">
              <w:t>46.2</w:t>
            </w:r>
          </w:p>
        </w:tc>
        <w:tc>
          <w:tcPr>
            <w:tcW w:w="1134" w:type="dxa"/>
            <w:tcBorders>
              <w:top w:val="single" w:sz="4" w:space="0" w:color="A6A6A6"/>
              <w:bottom w:val="single" w:sz="4" w:space="0" w:color="A6A6A6"/>
            </w:tcBorders>
            <w:noWrap/>
            <w:hideMark/>
          </w:tcPr>
          <w:p w14:paraId="5A52816C" w14:textId="77777777" w:rsidR="00087B91" w:rsidRPr="002029AF" w:rsidRDefault="00087B91" w:rsidP="00860E95">
            <w:pPr>
              <w:pStyle w:val="ARfintablebodyright"/>
            </w:pPr>
            <w:r w:rsidRPr="002029AF">
              <w:t>40.5</w:t>
            </w:r>
          </w:p>
        </w:tc>
      </w:tr>
      <w:tr w:rsidR="00087B91" w:rsidRPr="002029AF" w14:paraId="5E527CFF" w14:textId="77777777" w:rsidTr="00860E95">
        <w:tc>
          <w:tcPr>
            <w:tcW w:w="7369" w:type="dxa"/>
            <w:tcBorders>
              <w:top w:val="single" w:sz="4" w:space="0" w:color="A6A6A6"/>
            </w:tcBorders>
            <w:hideMark/>
          </w:tcPr>
          <w:p w14:paraId="5999BA2E" w14:textId="2E1387E9" w:rsidR="00087B91" w:rsidRPr="002029AF" w:rsidRDefault="00087B91" w:rsidP="00860E95">
            <w:pPr>
              <w:pStyle w:val="ARfintablebody"/>
            </w:pPr>
            <w:r w:rsidRPr="002029AF">
              <w:t>Other</w:t>
            </w:r>
            <w:r w:rsidR="000A5329" w:rsidRPr="002029AF">
              <w:t xml:space="preserve"> </w:t>
            </w:r>
            <w:r w:rsidRPr="002029AF">
              <w:t>Commonwealth</w:t>
            </w:r>
            <w:r w:rsidR="000A5329" w:rsidRPr="002029AF">
              <w:t xml:space="preserve"> </w:t>
            </w:r>
            <w:r w:rsidRPr="002029AF">
              <w:t>Government</w:t>
            </w:r>
            <w:r w:rsidR="000A5329" w:rsidRPr="002029AF">
              <w:t xml:space="preserve"> </w:t>
            </w:r>
            <w:r w:rsidRPr="002029AF">
              <w:t>with</w:t>
            </w:r>
            <w:r w:rsidR="000A5329" w:rsidRPr="002029AF">
              <w:t xml:space="preserve"> </w:t>
            </w:r>
            <w:r w:rsidRPr="002029AF">
              <w:t>payments</w:t>
            </w:r>
            <w:r w:rsidR="000A5329" w:rsidRPr="002029AF">
              <w:t xml:space="preserve"> </w:t>
            </w:r>
            <w:r w:rsidRPr="002029AF">
              <w:t>totalling</w:t>
            </w:r>
            <w:r w:rsidR="000A5329" w:rsidRPr="002029AF">
              <w:t xml:space="preserve"> </w:t>
            </w:r>
            <w:r w:rsidRPr="002029AF">
              <w:t>less</w:t>
            </w:r>
            <w:r w:rsidR="000A5329" w:rsidRPr="002029AF">
              <w:t xml:space="preserve"> </w:t>
            </w:r>
            <w:r w:rsidRPr="002029AF">
              <w:t>than</w:t>
            </w:r>
            <w:r w:rsidR="000A5329" w:rsidRPr="002029AF">
              <w:t xml:space="preserve"> </w:t>
            </w:r>
            <w:r w:rsidRPr="002029AF">
              <w:t>$30</w:t>
            </w:r>
            <w:r w:rsidR="000A5329" w:rsidRPr="002029AF">
              <w:t xml:space="preserve"> </w:t>
            </w:r>
            <w:r w:rsidRPr="002029AF">
              <w:t>million</w:t>
            </w:r>
          </w:p>
        </w:tc>
        <w:tc>
          <w:tcPr>
            <w:tcW w:w="1134" w:type="dxa"/>
            <w:tcBorders>
              <w:top w:val="single" w:sz="4" w:space="0" w:color="A6A6A6"/>
            </w:tcBorders>
            <w:shd w:val="clear" w:color="auto" w:fill="E7E6E6"/>
            <w:noWrap/>
            <w:hideMark/>
          </w:tcPr>
          <w:p w14:paraId="79886D18" w14:textId="77777777" w:rsidR="00087B91" w:rsidRPr="002029AF" w:rsidRDefault="00087B91" w:rsidP="00860E95">
            <w:pPr>
              <w:pStyle w:val="ARfintablebodyright"/>
            </w:pPr>
            <w:r w:rsidRPr="002029AF">
              <w:t>3.9</w:t>
            </w:r>
          </w:p>
        </w:tc>
        <w:tc>
          <w:tcPr>
            <w:tcW w:w="1134" w:type="dxa"/>
            <w:tcBorders>
              <w:top w:val="single" w:sz="4" w:space="0" w:color="A6A6A6"/>
            </w:tcBorders>
            <w:noWrap/>
            <w:hideMark/>
          </w:tcPr>
          <w:p w14:paraId="01CE31A0" w14:textId="77777777" w:rsidR="00087B91" w:rsidRPr="002029AF" w:rsidRDefault="00087B91" w:rsidP="00860E95">
            <w:pPr>
              <w:pStyle w:val="ARfintablebodyright"/>
            </w:pPr>
            <w:r w:rsidRPr="002029AF">
              <w:t>4.1</w:t>
            </w:r>
          </w:p>
        </w:tc>
      </w:tr>
      <w:tr w:rsidR="00087B91" w:rsidRPr="002029AF" w14:paraId="73CA44AA" w14:textId="77777777" w:rsidTr="00860E95">
        <w:tc>
          <w:tcPr>
            <w:tcW w:w="7369" w:type="dxa"/>
            <w:tcBorders>
              <w:bottom w:val="single" w:sz="4" w:space="0" w:color="auto"/>
            </w:tcBorders>
            <w:hideMark/>
          </w:tcPr>
          <w:p w14:paraId="1D92337C" w14:textId="77777777" w:rsidR="00087B91" w:rsidRPr="002029AF" w:rsidRDefault="00087B91" w:rsidP="00860E95">
            <w:pPr>
              <w:pStyle w:val="ARfintablebodybold"/>
            </w:pPr>
          </w:p>
        </w:tc>
        <w:tc>
          <w:tcPr>
            <w:tcW w:w="1134" w:type="dxa"/>
            <w:tcBorders>
              <w:bottom w:val="single" w:sz="4" w:space="0" w:color="auto"/>
            </w:tcBorders>
            <w:shd w:val="clear" w:color="auto" w:fill="E7E6E6"/>
            <w:noWrap/>
            <w:hideMark/>
          </w:tcPr>
          <w:p w14:paraId="0CCDD54C" w14:textId="77777777" w:rsidR="00087B91" w:rsidRPr="002029AF" w:rsidRDefault="00087B91" w:rsidP="00860E95">
            <w:pPr>
              <w:pStyle w:val="ARfintablebodyrightbold"/>
            </w:pPr>
            <w:r w:rsidRPr="002029AF">
              <w:t>165.1</w:t>
            </w:r>
          </w:p>
        </w:tc>
        <w:tc>
          <w:tcPr>
            <w:tcW w:w="1134" w:type="dxa"/>
            <w:tcBorders>
              <w:bottom w:val="single" w:sz="4" w:space="0" w:color="auto"/>
            </w:tcBorders>
            <w:noWrap/>
            <w:hideMark/>
          </w:tcPr>
          <w:p w14:paraId="4F7C6F65" w14:textId="77777777" w:rsidR="00087B91" w:rsidRPr="002029AF" w:rsidRDefault="00087B91" w:rsidP="00860E95">
            <w:pPr>
              <w:pStyle w:val="ARfintablebodyrightbold"/>
            </w:pPr>
            <w:r w:rsidRPr="002029AF">
              <w:t>153.1</w:t>
            </w:r>
          </w:p>
        </w:tc>
      </w:tr>
      <w:tr w:rsidR="00087B91" w:rsidRPr="002029AF" w14:paraId="24FA6C96" w14:textId="77777777" w:rsidTr="00860E95">
        <w:tc>
          <w:tcPr>
            <w:tcW w:w="9637" w:type="dxa"/>
            <w:gridSpan w:val="3"/>
            <w:tcBorders>
              <w:top w:val="single" w:sz="4" w:space="0" w:color="auto"/>
              <w:bottom w:val="single" w:sz="4" w:space="0" w:color="A6A6A6"/>
            </w:tcBorders>
            <w:hideMark/>
          </w:tcPr>
          <w:p w14:paraId="31B918D5" w14:textId="6246413A" w:rsidR="00087B91" w:rsidRPr="002029AF" w:rsidRDefault="00087B91" w:rsidP="00860E95">
            <w:pPr>
              <w:pStyle w:val="ARfintablebodybold"/>
            </w:pPr>
            <w:r w:rsidRPr="002029AF">
              <w:t>Non-government</w:t>
            </w:r>
            <w:r w:rsidR="000A5329" w:rsidRPr="002029AF">
              <w:t xml:space="preserve"> </w:t>
            </w:r>
            <w:r w:rsidRPr="002029AF">
              <w:t>agencies</w:t>
            </w:r>
            <w:r w:rsidR="000A5329" w:rsidRPr="002029AF">
              <w:t xml:space="preserve"> </w:t>
            </w:r>
            <w:r w:rsidRPr="002029AF">
              <w:t>and</w:t>
            </w:r>
            <w:r w:rsidR="000A5329" w:rsidRPr="002029AF">
              <w:t xml:space="preserve"> </w:t>
            </w:r>
            <w:r w:rsidRPr="002029AF">
              <w:t>individuals</w:t>
            </w:r>
          </w:p>
        </w:tc>
      </w:tr>
      <w:tr w:rsidR="00087B91" w:rsidRPr="002029AF" w14:paraId="5CBB4D80" w14:textId="77777777" w:rsidTr="00860E95">
        <w:tc>
          <w:tcPr>
            <w:tcW w:w="7369" w:type="dxa"/>
            <w:tcBorders>
              <w:top w:val="single" w:sz="4" w:space="0" w:color="A6A6A6"/>
              <w:bottom w:val="single" w:sz="4" w:space="0" w:color="A6A6A6"/>
            </w:tcBorders>
            <w:hideMark/>
          </w:tcPr>
          <w:p w14:paraId="36247BBA" w14:textId="3EF85B5B" w:rsidR="00087B91" w:rsidRPr="002029AF" w:rsidRDefault="00087B91" w:rsidP="00860E95">
            <w:pPr>
              <w:pStyle w:val="ARfintablebody"/>
            </w:pPr>
            <w:r w:rsidRPr="002029AF">
              <w:t>Scope</w:t>
            </w:r>
            <w:r w:rsidR="000A5329" w:rsidRPr="002029AF">
              <w:t xml:space="preserve"> </w:t>
            </w:r>
            <w:r w:rsidRPr="002029AF">
              <w:t>Vic</w:t>
            </w:r>
            <w:r w:rsidR="000A5329" w:rsidRPr="002029AF">
              <w:t xml:space="preserve"> </w:t>
            </w:r>
            <w:r w:rsidRPr="002029AF">
              <w:t>Ltd</w:t>
            </w:r>
          </w:p>
        </w:tc>
        <w:tc>
          <w:tcPr>
            <w:tcW w:w="1134" w:type="dxa"/>
            <w:tcBorders>
              <w:top w:val="single" w:sz="4" w:space="0" w:color="A6A6A6"/>
              <w:bottom w:val="single" w:sz="4" w:space="0" w:color="A6A6A6"/>
            </w:tcBorders>
            <w:shd w:val="clear" w:color="auto" w:fill="E7E6E6"/>
            <w:noWrap/>
            <w:hideMark/>
          </w:tcPr>
          <w:p w14:paraId="30AB621E" w14:textId="77777777" w:rsidR="00087B91" w:rsidRPr="002029AF" w:rsidRDefault="00087B91" w:rsidP="00860E95">
            <w:pPr>
              <w:pStyle w:val="ARfintablebodyright"/>
            </w:pPr>
            <w:r w:rsidRPr="002029AF">
              <w:t>238.9</w:t>
            </w:r>
          </w:p>
        </w:tc>
        <w:tc>
          <w:tcPr>
            <w:tcW w:w="1134" w:type="dxa"/>
            <w:tcBorders>
              <w:top w:val="single" w:sz="4" w:space="0" w:color="A6A6A6"/>
              <w:bottom w:val="single" w:sz="4" w:space="0" w:color="A6A6A6"/>
            </w:tcBorders>
            <w:noWrap/>
            <w:hideMark/>
          </w:tcPr>
          <w:p w14:paraId="39DFE0AE" w14:textId="77777777" w:rsidR="00087B91" w:rsidRPr="002029AF" w:rsidRDefault="00087B91" w:rsidP="00860E95">
            <w:pPr>
              <w:pStyle w:val="ARfintablebodyright"/>
            </w:pPr>
            <w:r w:rsidRPr="002029AF">
              <w:t>49.6</w:t>
            </w:r>
          </w:p>
        </w:tc>
      </w:tr>
      <w:tr w:rsidR="00087B91" w:rsidRPr="002029AF" w14:paraId="39237D87" w14:textId="77777777" w:rsidTr="00860E95">
        <w:tc>
          <w:tcPr>
            <w:tcW w:w="7369" w:type="dxa"/>
            <w:tcBorders>
              <w:top w:val="single" w:sz="4" w:space="0" w:color="A6A6A6"/>
              <w:bottom w:val="single" w:sz="4" w:space="0" w:color="A6A6A6"/>
            </w:tcBorders>
            <w:hideMark/>
          </w:tcPr>
          <w:p w14:paraId="1898FC9F" w14:textId="10C15216" w:rsidR="00087B91" w:rsidRPr="002029AF" w:rsidRDefault="00087B91" w:rsidP="00860E95">
            <w:pPr>
              <w:pStyle w:val="ARfintablebody"/>
            </w:pPr>
            <w:r w:rsidRPr="002029AF">
              <w:t>Anglicare</w:t>
            </w:r>
            <w:r w:rsidR="000A5329" w:rsidRPr="002029AF">
              <w:t xml:space="preserve"> </w:t>
            </w:r>
            <w:r w:rsidRPr="002029AF">
              <w:t>Victoria</w:t>
            </w:r>
          </w:p>
        </w:tc>
        <w:tc>
          <w:tcPr>
            <w:tcW w:w="1134" w:type="dxa"/>
            <w:tcBorders>
              <w:top w:val="single" w:sz="4" w:space="0" w:color="A6A6A6"/>
              <w:bottom w:val="single" w:sz="4" w:space="0" w:color="A6A6A6"/>
            </w:tcBorders>
            <w:shd w:val="clear" w:color="auto" w:fill="E7E6E6"/>
            <w:noWrap/>
            <w:hideMark/>
          </w:tcPr>
          <w:p w14:paraId="4020206D" w14:textId="77777777" w:rsidR="00087B91" w:rsidRPr="002029AF" w:rsidRDefault="00087B91" w:rsidP="00860E95">
            <w:pPr>
              <w:pStyle w:val="ARfintablebodyright"/>
            </w:pPr>
            <w:r w:rsidRPr="002029AF">
              <w:t>137.0</w:t>
            </w:r>
          </w:p>
        </w:tc>
        <w:tc>
          <w:tcPr>
            <w:tcW w:w="1134" w:type="dxa"/>
            <w:tcBorders>
              <w:top w:val="single" w:sz="4" w:space="0" w:color="A6A6A6"/>
              <w:bottom w:val="single" w:sz="4" w:space="0" w:color="A6A6A6"/>
            </w:tcBorders>
            <w:noWrap/>
            <w:hideMark/>
          </w:tcPr>
          <w:p w14:paraId="2B88C612" w14:textId="77777777" w:rsidR="00087B91" w:rsidRPr="002029AF" w:rsidRDefault="00087B91" w:rsidP="00860E95">
            <w:pPr>
              <w:pStyle w:val="ARfintablebodyright"/>
            </w:pPr>
            <w:r w:rsidRPr="002029AF">
              <w:t>122.1</w:t>
            </w:r>
          </w:p>
        </w:tc>
      </w:tr>
      <w:tr w:rsidR="00087B91" w:rsidRPr="002029AF" w14:paraId="378B9463" w14:textId="77777777" w:rsidTr="00860E95">
        <w:tc>
          <w:tcPr>
            <w:tcW w:w="7369" w:type="dxa"/>
            <w:tcBorders>
              <w:top w:val="single" w:sz="4" w:space="0" w:color="A6A6A6"/>
              <w:bottom w:val="single" w:sz="4" w:space="0" w:color="A6A6A6"/>
            </w:tcBorders>
            <w:hideMark/>
          </w:tcPr>
          <w:p w14:paraId="2193677B" w14:textId="6A60AD60" w:rsidR="00087B91" w:rsidRPr="002029AF" w:rsidRDefault="00087B91" w:rsidP="00860E95">
            <w:pPr>
              <w:pStyle w:val="ARfintablebody"/>
            </w:pPr>
            <w:r w:rsidRPr="002029AF">
              <w:t>Wesley</w:t>
            </w:r>
            <w:r w:rsidR="000A5329" w:rsidRPr="002029AF">
              <w:t xml:space="preserve"> </w:t>
            </w:r>
            <w:r w:rsidRPr="002029AF">
              <w:t>Mission</w:t>
            </w:r>
            <w:r w:rsidR="000A5329" w:rsidRPr="002029AF">
              <w:t xml:space="preserve"> </w:t>
            </w:r>
            <w:r w:rsidRPr="002029AF">
              <w:t>Victoria</w:t>
            </w:r>
          </w:p>
        </w:tc>
        <w:tc>
          <w:tcPr>
            <w:tcW w:w="1134" w:type="dxa"/>
            <w:tcBorders>
              <w:top w:val="single" w:sz="4" w:space="0" w:color="A6A6A6"/>
              <w:bottom w:val="single" w:sz="4" w:space="0" w:color="A6A6A6"/>
            </w:tcBorders>
            <w:shd w:val="clear" w:color="auto" w:fill="E7E6E6"/>
            <w:noWrap/>
            <w:hideMark/>
          </w:tcPr>
          <w:p w14:paraId="2EF59F71" w14:textId="77777777" w:rsidR="00087B91" w:rsidRPr="002029AF" w:rsidRDefault="00087B91" w:rsidP="00860E95">
            <w:pPr>
              <w:pStyle w:val="ARfintablebodyright"/>
            </w:pPr>
            <w:r w:rsidRPr="002029AF">
              <w:t>126.3</w:t>
            </w:r>
          </w:p>
        </w:tc>
        <w:tc>
          <w:tcPr>
            <w:tcW w:w="1134" w:type="dxa"/>
            <w:tcBorders>
              <w:top w:val="single" w:sz="4" w:space="0" w:color="A6A6A6"/>
              <w:bottom w:val="single" w:sz="4" w:space="0" w:color="A6A6A6"/>
            </w:tcBorders>
            <w:noWrap/>
            <w:hideMark/>
          </w:tcPr>
          <w:p w14:paraId="1FF29003" w14:textId="77777777" w:rsidR="00087B91" w:rsidRPr="002029AF" w:rsidRDefault="00087B91" w:rsidP="00860E95">
            <w:pPr>
              <w:pStyle w:val="ARfintablebodyright"/>
            </w:pPr>
            <w:r w:rsidRPr="002029AF">
              <w:t>136.2</w:t>
            </w:r>
          </w:p>
        </w:tc>
      </w:tr>
      <w:tr w:rsidR="00087B91" w:rsidRPr="002029AF" w14:paraId="16935271" w14:textId="77777777" w:rsidTr="00860E95">
        <w:tc>
          <w:tcPr>
            <w:tcW w:w="7369" w:type="dxa"/>
            <w:tcBorders>
              <w:top w:val="single" w:sz="4" w:space="0" w:color="A6A6A6"/>
              <w:bottom w:val="single" w:sz="4" w:space="0" w:color="A6A6A6"/>
            </w:tcBorders>
            <w:hideMark/>
          </w:tcPr>
          <w:p w14:paraId="00C876E1" w14:textId="2396D767" w:rsidR="00087B91" w:rsidRPr="002029AF" w:rsidRDefault="00087B91" w:rsidP="00860E95">
            <w:pPr>
              <w:pStyle w:val="ARfintablebody"/>
            </w:pPr>
            <w:r w:rsidRPr="002029AF">
              <w:t>Life</w:t>
            </w:r>
            <w:r w:rsidR="000A5329" w:rsidRPr="002029AF">
              <w:t xml:space="preserve"> </w:t>
            </w:r>
            <w:r w:rsidRPr="002029AF">
              <w:t>Without</w:t>
            </w:r>
            <w:r w:rsidR="000A5329" w:rsidRPr="002029AF">
              <w:t xml:space="preserve"> </w:t>
            </w:r>
            <w:r w:rsidRPr="002029AF">
              <w:t>Barriers</w:t>
            </w:r>
          </w:p>
        </w:tc>
        <w:tc>
          <w:tcPr>
            <w:tcW w:w="1134" w:type="dxa"/>
            <w:tcBorders>
              <w:top w:val="single" w:sz="4" w:space="0" w:color="A6A6A6"/>
              <w:bottom w:val="single" w:sz="4" w:space="0" w:color="A6A6A6"/>
            </w:tcBorders>
            <w:shd w:val="clear" w:color="auto" w:fill="E7E6E6"/>
            <w:noWrap/>
            <w:hideMark/>
          </w:tcPr>
          <w:p w14:paraId="25855235" w14:textId="77777777" w:rsidR="00087B91" w:rsidRPr="002029AF" w:rsidRDefault="00087B91" w:rsidP="00860E95">
            <w:pPr>
              <w:pStyle w:val="ARfintablebodyright"/>
            </w:pPr>
            <w:r w:rsidRPr="002029AF">
              <w:t>137.8</w:t>
            </w:r>
          </w:p>
        </w:tc>
        <w:tc>
          <w:tcPr>
            <w:tcW w:w="1134" w:type="dxa"/>
            <w:tcBorders>
              <w:top w:val="single" w:sz="4" w:space="0" w:color="A6A6A6"/>
              <w:bottom w:val="single" w:sz="4" w:space="0" w:color="A6A6A6"/>
            </w:tcBorders>
            <w:noWrap/>
            <w:hideMark/>
          </w:tcPr>
          <w:p w14:paraId="06AF8523" w14:textId="77777777" w:rsidR="00087B91" w:rsidRPr="002029AF" w:rsidRDefault="00087B91" w:rsidP="00860E95">
            <w:pPr>
              <w:pStyle w:val="ARfintablebodyright"/>
            </w:pPr>
            <w:r w:rsidRPr="002029AF">
              <w:t>36.0</w:t>
            </w:r>
          </w:p>
        </w:tc>
      </w:tr>
      <w:tr w:rsidR="00087B91" w:rsidRPr="002029AF" w14:paraId="2A12144B" w14:textId="77777777" w:rsidTr="00860E95">
        <w:tc>
          <w:tcPr>
            <w:tcW w:w="7369" w:type="dxa"/>
            <w:tcBorders>
              <w:top w:val="single" w:sz="4" w:space="0" w:color="A6A6A6"/>
              <w:bottom w:val="single" w:sz="4" w:space="0" w:color="A6A6A6"/>
            </w:tcBorders>
            <w:hideMark/>
          </w:tcPr>
          <w:p w14:paraId="2CCE7628" w14:textId="7576DB67" w:rsidR="00087B91" w:rsidRPr="002029AF" w:rsidRDefault="00087B91" w:rsidP="00860E95">
            <w:pPr>
              <w:pStyle w:val="ARfintablebody"/>
            </w:pPr>
            <w:r w:rsidRPr="002029AF">
              <w:t>Berry</w:t>
            </w:r>
            <w:r w:rsidR="000A5329" w:rsidRPr="002029AF">
              <w:t xml:space="preserve"> </w:t>
            </w:r>
            <w:r w:rsidRPr="002029AF">
              <w:t>Street</w:t>
            </w:r>
            <w:r w:rsidR="000A5329" w:rsidRPr="002029AF">
              <w:t xml:space="preserve"> </w:t>
            </w:r>
            <w:r w:rsidRPr="002029AF">
              <w:t>Victoria</w:t>
            </w:r>
            <w:r w:rsidR="000A5329" w:rsidRPr="002029AF">
              <w:t xml:space="preserve"> </w:t>
            </w:r>
            <w:r w:rsidRPr="002029AF">
              <w:t>Incorporated</w:t>
            </w:r>
          </w:p>
        </w:tc>
        <w:tc>
          <w:tcPr>
            <w:tcW w:w="1134" w:type="dxa"/>
            <w:tcBorders>
              <w:top w:val="single" w:sz="4" w:space="0" w:color="A6A6A6"/>
              <w:bottom w:val="single" w:sz="4" w:space="0" w:color="A6A6A6"/>
            </w:tcBorders>
            <w:shd w:val="clear" w:color="auto" w:fill="E7E6E6"/>
            <w:noWrap/>
            <w:hideMark/>
          </w:tcPr>
          <w:p w14:paraId="0797A81A" w14:textId="77777777" w:rsidR="00087B91" w:rsidRPr="002029AF" w:rsidRDefault="00087B91" w:rsidP="00860E95">
            <w:pPr>
              <w:pStyle w:val="ARfintablebodyright"/>
            </w:pPr>
            <w:r w:rsidRPr="002029AF">
              <w:t>104.2</w:t>
            </w:r>
          </w:p>
        </w:tc>
        <w:tc>
          <w:tcPr>
            <w:tcW w:w="1134" w:type="dxa"/>
            <w:tcBorders>
              <w:top w:val="single" w:sz="4" w:space="0" w:color="A6A6A6"/>
              <w:bottom w:val="single" w:sz="4" w:space="0" w:color="A6A6A6"/>
            </w:tcBorders>
            <w:noWrap/>
            <w:hideMark/>
          </w:tcPr>
          <w:p w14:paraId="601894D2" w14:textId="77777777" w:rsidR="00087B91" w:rsidRPr="002029AF" w:rsidRDefault="00087B91" w:rsidP="00860E95">
            <w:pPr>
              <w:pStyle w:val="ARfintablebodyright"/>
            </w:pPr>
            <w:r w:rsidRPr="002029AF">
              <w:t>97.8</w:t>
            </w:r>
          </w:p>
        </w:tc>
      </w:tr>
      <w:tr w:rsidR="00087B91" w:rsidRPr="002029AF" w14:paraId="4BE13233" w14:textId="77777777" w:rsidTr="00860E95">
        <w:tc>
          <w:tcPr>
            <w:tcW w:w="7369" w:type="dxa"/>
            <w:tcBorders>
              <w:top w:val="single" w:sz="4" w:space="0" w:color="A6A6A6"/>
              <w:bottom w:val="single" w:sz="4" w:space="0" w:color="A6A6A6"/>
            </w:tcBorders>
            <w:hideMark/>
          </w:tcPr>
          <w:p w14:paraId="12A154DF" w14:textId="715EF7C9" w:rsidR="00087B91" w:rsidRPr="002029AF" w:rsidRDefault="00087B91" w:rsidP="00860E95">
            <w:pPr>
              <w:pStyle w:val="ARfintablebody"/>
            </w:pPr>
            <w:r w:rsidRPr="002029AF">
              <w:t>Mackillop</w:t>
            </w:r>
            <w:r w:rsidR="000A5329" w:rsidRPr="002029AF">
              <w:t xml:space="preserve"> </w:t>
            </w:r>
            <w:r w:rsidRPr="002029AF">
              <w:t>Family</w:t>
            </w:r>
            <w:r w:rsidR="000A5329" w:rsidRPr="002029AF">
              <w:t xml:space="preserve"> </w:t>
            </w:r>
            <w:r w:rsidRPr="002029AF">
              <w:t>Services</w:t>
            </w:r>
            <w:r w:rsidR="000A5329" w:rsidRPr="002029AF">
              <w:t xml:space="preserve"> </w:t>
            </w:r>
            <w:r w:rsidRPr="002029AF">
              <w:t>Limited</w:t>
            </w:r>
          </w:p>
        </w:tc>
        <w:tc>
          <w:tcPr>
            <w:tcW w:w="1134" w:type="dxa"/>
            <w:tcBorders>
              <w:top w:val="single" w:sz="4" w:space="0" w:color="A6A6A6"/>
              <w:bottom w:val="single" w:sz="4" w:space="0" w:color="A6A6A6"/>
            </w:tcBorders>
            <w:shd w:val="clear" w:color="auto" w:fill="E7E6E6"/>
            <w:noWrap/>
            <w:hideMark/>
          </w:tcPr>
          <w:p w14:paraId="52419766" w14:textId="77777777" w:rsidR="00087B91" w:rsidRPr="002029AF" w:rsidRDefault="00087B91" w:rsidP="00860E95">
            <w:pPr>
              <w:pStyle w:val="ARfintablebodyright"/>
            </w:pPr>
            <w:r w:rsidRPr="002029AF">
              <w:t>81.7</w:t>
            </w:r>
          </w:p>
        </w:tc>
        <w:tc>
          <w:tcPr>
            <w:tcW w:w="1134" w:type="dxa"/>
            <w:tcBorders>
              <w:top w:val="single" w:sz="4" w:space="0" w:color="A6A6A6"/>
              <w:bottom w:val="single" w:sz="4" w:space="0" w:color="A6A6A6"/>
            </w:tcBorders>
            <w:noWrap/>
            <w:hideMark/>
          </w:tcPr>
          <w:p w14:paraId="3959FA39" w14:textId="77777777" w:rsidR="00087B91" w:rsidRPr="002029AF" w:rsidRDefault="00087B91" w:rsidP="00860E95">
            <w:pPr>
              <w:pStyle w:val="ARfintablebodyright"/>
            </w:pPr>
            <w:r w:rsidRPr="002029AF">
              <w:t>71.3</w:t>
            </w:r>
          </w:p>
        </w:tc>
      </w:tr>
      <w:tr w:rsidR="00087B91" w:rsidRPr="002029AF" w14:paraId="67335F97" w14:textId="77777777" w:rsidTr="00860E95">
        <w:tc>
          <w:tcPr>
            <w:tcW w:w="7369" w:type="dxa"/>
            <w:tcBorders>
              <w:top w:val="single" w:sz="4" w:space="0" w:color="A6A6A6"/>
              <w:bottom w:val="single" w:sz="4" w:space="0" w:color="A6A6A6"/>
            </w:tcBorders>
            <w:hideMark/>
          </w:tcPr>
          <w:p w14:paraId="194FB209" w14:textId="0DB19D51" w:rsidR="00087B91" w:rsidRPr="002029AF" w:rsidRDefault="00087B91" w:rsidP="00860E95">
            <w:pPr>
              <w:pStyle w:val="ARfintablebody"/>
            </w:pPr>
            <w:r w:rsidRPr="002029AF">
              <w:t>Salvation</w:t>
            </w:r>
            <w:r w:rsidR="000A5329" w:rsidRPr="002029AF">
              <w:t xml:space="preserve"> </w:t>
            </w:r>
            <w:r w:rsidRPr="002029AF">
              <w:t>Army</w:t>
            </w:r>
            <w:r w:rsidR="000A5329" w:rsidRPr="002029AF">
              <w:t xml:space="preserve"> </w:t>
            </w:r>
            <w:r w:rsidRPr="002029AF">
              <w:t>Property</w:t>
            </w:r>
            <w:r w:rsidR="000A5329" w:rsidRPr="002029AF">
              <w:t xml:space="preserve"> </w:t>
            </w:r>
            <w:r w:rsidRPr="002029AF">
              <w:t>Trust</w:t>
            </w:r>
          </w:p>
        </w:tc>
        <w:tc>
          <w:tcPr>
            <w:tcW w:w="1134" w:type="dxa"/>
            <w:tcBorders>
              <w:top w:val="single" w:sz="4" w:space="0" w:color="A6A6A6"/>
              <w:bottom w:val="single" w:sz="4" w:space="0" w:color="A6A6A6"/>
            </w:tcBorders>
            <w:shd w:val="clear" w:color="auto" w:fill="E7E6E6"/>
            <w:noWrap/>
            <w:hideMark/>
          </w:tcPr>
          <w:p w14:paraId="216DBF24" w14:textId="77777777" w:rsidR="00087B91" w:rsidRPr="002029AF" w:rsidRDefault="00087B91" w:rsidP="00860E95">
            <w:pPr>
              <w:pStyle w:val="ARfintablebodyright"/>
            </w:pPr>
            <w:r w:rsidRPr="002029AF">
              <w:t>78.8</w:t>
            </w:r>
          </w:p>
        </w:tc>
        <w:tc>
          <w:tcPr>
            <w:tcW w:w="1134" w:type="dxa"/>
            <w:tcBorders>
              <w:top w:val="single" w:sz="4" w:space="0" w:color="A6A6A6"/>
              <w:bottom w:val="single" w:sz="4" w:space="0" w:color="A6A6A6"/>
            </w:tcBorders>
            <w:noWrap/>
            <w:hideMark/>
          </w:tcPr>
          <w:p w14:paraId="0A4A8094" w14:textId="77777777" w:rsidR="00087B91" w:rsidRPr="002029AF" w:rsidRDefault="00087B91" w:rsidP="00860E95">
            <w:pPr>
              <w:pStyle w:val="ARfintablebodyright"/>
            </w:pPr>
            <w:r w:rsidRPr="002029AF">
              <w:t>84.4</w:t>
            </w:r>
          </w:p>
        </w:tc>
      </w:tr>
      <w:tr w:rsidR="00087B91" w:rsidRPr="002029AF" w14:paraId="12542233" w14:textId="77777777" w:rsidTr="00860E95">
        <w:tc>
          <w:tcPr>
            <w:tcW w:w="7369" w:type="dxa"/>
            <w:tcBorders>
              <w:top w:val="single" w:sz="4" w:space="0" w:color="A6A6A6"/>
              <w:bottom w:val="single" w:sz="4" w:space="0" w:color="A6A6A6"/>
            </w:tcBorders>
            <w:hideMark/>
          </w:tcPr>
          <w:p w14:paraId="38E71C0B" w14:textId="325AB7B5" w:rsidR="00087B91" w:rsidRPr="002029AF" w:rsidRDefault="00087B91" w:rsidP="00860E95">
            <w:pPr>
              <w:pStyle w:val="ARfintablebody"/>
            </w:pPr>
            <w:r w:rsidRPr="002029AF">
              <w:t>Melba</w:t>
            </w:r>
            <w:r w:rsidR="000A5329" w:rsidRPr="002029AF">
              <w:t xml:space="preserve"> </w:t>
            </w:r>
            <w:r w:rsidRPr="002029AF">
              <w:t>Support</w:t>
            </w:r>
            <w:r w:rsidR="000A5329" w:rsidRPr="002029AF">
              <w:t xml:space="preserve"> </w:t>
            </w:r>
            <w:r w:rsidRPr="002029AF">
              <w:t>Services</w:t>
            </w:r>
            <w:r w:rsidR="000A5329" w:rsidRPr="002029AF">
              <w:t xml:space="preserve"> </w:t>
            </w:r>
            <w:r w:rsidRPr="002029AF">
              <w:t>Australia</w:t>
            </w:r>
            <w:r w:rsidR="000A5329" w:rsidRPr="002029AF">
              <w:t xml:space="preserve"> </w:t>
            </w:r>
            <w:r w:rsidRPr="002029AF">
              <w:t>Ltd</w:t>
            </w:r>
          </w:p>
        </w:tc>
        <w:tc>
          <w:tcPr>
            <w:tcW w:w="1134" w:type="dxa"/>
            <w:tcBorders>
              <w:top w:val="single" w:sz="4" w:space="0" w:color="A6A6A6"/>
              <w:bottom w:val="single" w:sz="4" w:space="0" w:color="A6A6A6"/>
            </w:tcBorders>
            <w:shd w:val="clear" w:color="auto" w:fill="E7E6E6"/>
            <w:noWrap/>
            <w:hideMark/>
          </w:tcPr>
          <w:p w14:paraId="152B92F6" w14:textId="77777777" w:rsidR="00087B91" w:rsidRPr="002029AF" w:rsidRDefault="00087B91" w:rsidP="00860E95">
            <w:pPr>
              <w:pStyle w:val="ARfintablebodyright"/>
            </w:pPr>
            <w:r w:rsidRPr="002029AF">
              <w:t>77.2</w:t>
            </w:r>
          </w:p>
        </w:tc>
        <w:tc>
          <w:tcPr>
            <w:tcW w:w="1134" w:type="dxa"/>
            <w:tcBorders>
              <w:top w:val="single" w:sz="4" w:space="0" w:color="A6A6A6"/>
              <w:bottom w:val="single" w:sz="4" w:space="0" w:color="A6A6A6"/>
            </w:tcBorders>
            <w:noWrap/>
            <w:hideMark/>
          </w:tcPr>
          <w:p w14:paraId="43B1AD5A" w14:textId="77777777" w:rsidR="00087B91" w:rsidRPr="002029AF" w:rsidRDefault="00087B91" w:rsidP="00860E95">
            <w:pPr>
              <w:pStyle w:val="ARfintablebodyright"/>
            </w:pPr>
            <w:r w:rsidRPr="002029AF">
              <w:t>11.2</w:t>
            </w:r>
          </w:p>
        </w:tc>
      </w:tr>
      <w:tr w:rsidR="00087B91" w:rsidRPr="002029AF" w14:paraId="67F97CDD" w14:textId="77777777" w:rsidTr="00860E95">
        <w:tc>
          <w:tcPr>
            <w:tcW w:w="7369" w:type="dxa"/>
            <w:tcBorders>
              <w:top w:val="single" w:sz="4" w:space="0" w:color="A6A6A6"/>
              <w:bottom w:val="single" w:sz="4" w:space="0" w:color="A6A6A6"/>
            </w:tcBorders>
            <w:hideMark/>
          </w:tcPr>
          <w:p w14:paraId="40B0C376" w14:textId="4560A4DD" w:rsidR="00087B91" w:rsidRPr="002029AF" w:rsidRDefault="00087B91" w:rsidP="00860E95">
            <w:pPr>
              <w:pStyle w:val="ARfintablebody"/>
            </w:pPr>
            <w:r w:rsidRPr="002029AF">
              <w:t>Healthscope</w:t>
            </w:r>
            <w:r w:rsidR="000A5329" w:rsidRPr="002029AF">
              <w:t xml:space="preserve"> </w:t>
            </w:r>
            <w:r w:rsidRPr="002029AF">
              <w:t>Operations</w:t>
            </w:r>
            <w:r w:rsidR="000A5329" w:rsidRPr="002029AF">
              <w:t xml:space="preserve"> </w:t>
            </w:r>
            <w:r w:rsidRPr="002029AF">
              <w:t>Pty</w:t>
            </w:r>
            <w:r w:rsidR="000A5329" w:rsidRPr="002029AF">
              <w:t xml:space="preserve"> </w:t>
            </w:r>
            <w:r w:rsidRPr="002029AF">
              <w:t>Ltd</w:t>
            </w:r>
          </w:p>
        </w:tc>
        <w:tc>
          <w:tcPr>
            <w:tcW w:w="1134" w:type="dxa"/>
            <w:tcBorders>
              <w:top w:val="single" w:sz="4" w:space="0" w:color="A6A6A6"/>
              <w:bottom w:val="single" w:sz="4" w:space="0" w:color="A6A6A6"/>
            </w:tcBorders>
            <w:shd w:val="clear" w:color="auto" w:fill="E7E6E6"/>
            <w:noWrap/>
            <w:hideMark/>
          </w:tcPr>
          <w:p w14:paraId="584763E7" w14:textId="77777777" w:rsidR="00087B91" w:rsidRPr="002029AF" w:rsidRDefault="00087B91" w:rsidP="00860E95">
            <w:pPr>
              <w:pStyle w:val="ARfintablebodyright"/>
            </w:pPr>
            <w:r w:rsidRPr="002029AF">
              <w:t>63.7</w:t>
            </w:r>
          </w:p>
        </w:tc>
        <w:tc>
          <w:tcPr>
            <w:tcW w:w="1134" w:type="dxa"/>
            <w:tcBorders>
              <w:top w:val="single" w:sz="4" w:space="0" w:color="A6A6A6"/>
              <w:bottom w:val="single" w:sz="4" w:space="0" w:color="A6A6A6"/>
            </w:tcBorders>
            <w:noWrap/>
            <w:hideMark/>
          </w:tcPr>
          <w:p w14:paraId="45D06D2F" w14:textId="77777777" w:rsidR="00087B91" w:rsidRPr="002029AF" w:rsidRDefault="00087B91" w:rsidP="00860E95">
            <w:pPr>
              <w:pStyle w:val="ARfintablebodyright"/>
            </w:pPr>
            <w:r w:rsidRPr="002029AF">
              <w:t>–</w:t>
            </w:r>
          </w:p>
        </w:tc>
      </w:tr>
      <w:tr w:rsidR="00087B91" w:rsidRPr="002029AF" w14:paraId="2A217993" w14:textId="77777777" w:rsidTr="00860E95">
        <w:tc>
          <w:tcPr>
            <w:tcW w:w="7369" w:type="dxa"/>
            <w:tcBorders>
              <w:top w:val="single" w:sz="4" w:space="0" w:color="A6A6A6"/>
              <w:bottom w:val="single" w:sz="4" w:space="0" w:color="A6A6A6"/>
            </w:tcBorders>
            <w:hideMark/>
          </w:tcPr>
          <w:p w14:paraId="69380D7D" w14:textId="7ADFE0EC" w:rsidR="00087B91" w:rsidRPr="002029AF" w:rsidRDefault="00087B91" w:rsidP="00860E95">
            <w:pPr>
              <w:pStyle w:val="ARfintablebody"/>
            </w:pPr>
            <w:r w:rsidRPr="002029AF">
              <w:t>Epworth</w:t>
            </w:r>
            <w:r w:rsidR="000A5329" w:rsidRPr="002029AF">
              <w:t xml:space="preserve"> </w:t>
            </w:r>
            <w:r w:rsidRPr="002029AF">
              <w:t>Healthcare</w:t>
            </w:r>
          </w:p>
        </w:tc>
        <w:tc>
          <w:tcPr>
            <w:tcW w:w="1134" w:type="dxa"/>
            <w:tcBorders>
              <w:top w:val="single" w:sz="4" w:space="0" w:color="A6A6A6"/>
              <w:bottom w:val="single" w:sz="4" w:space="0" w:color="A6A6A6"/>
            </w:tcBorders>
            <w:shd w:val="clear" w:color="auto" w:fill="E7E6E6"/>
            <w:noWrap/>
            <w:hideMark/>
          </w:tcPr>
          <w:p w14:paraId="266A6122" w14:textId="77777777" w:rsidR="00087B91" w:rsidRPr="002029AF" w:rsidRDefault="00087B91" w:rsidP="00860E95">
            <w:pPr>
              <w:pStyle w:val="ARfintablebodyright"/>
            </w:pPr>
            <w:r w:rsidRPr="002029AF">
              <w:t>61.3</w:t>
            </w:r>
          </w:p>
        </w:tc>
        <w:tc>
          <w:tcPr>
            <w:tcW w:w="1134" w:type="dxa"/>
            <w:tcBorders>
              <w:top w:val="single" w:sz="4" w:space="0" w:color="A6A6A6"/>
              <w:bottom w:val="single" w:sz="4" w:space="0" w:color="A6A6A6"/>
            </w:tcBorders>
            <w:noWrap/>
            <w:hideMark/>
          </w:tcPr>
          <w:p w14:paraId="5A1D1E55" w14:textId="77777777" w:rsidR="00087B91" w:rsidRPr="002029AF" w:rsidRDefault="00087B91" w:rsidP="00860E95">
            <w:pPr>
              <w:pStyle w:val="ARfintablebodyright"/>
            </w:pPr>
            <w:r w:rsidRPr="002029AF">
              <w:t>–</w:t>
            </w:r>
          </w:p>
        </w:tc>
      </w:tr>
      <w:tr w:rsidR="00087B91" w:rsidRPr="002029AF" w14:paraId="1B75D36C" w14:textId="77777777" w:rsidTr="00860E95">
        <w:tc>
          <w:tcPr>
            <w:tcW w:w="7369" w:type="dxa"/>
            <w:tcBorders>
              <w:top w:val="single" w:sz="4" w:space="0" w:color="A6A6A6"/>
              <w:bottom w:val="single" w:sz="4" w:space="0" w:color="A6A6A6"/>
            </w:tcBorders>
            <w:hideMark/>
          </w:tcPr>
          <w:p w14:paraId="6141B5F2" w14:textId="2B7A6378" w:rsidR="00087B91" w:rsidRPr="002029AF" w:rsidRDefault="00087B91" w:rsidP="00860E95">
            <w:pPr>
              <w:pStyle w:val="ARfintablebody"/>
            </w:pPr>
            <w:r w:rsidRPr="002029AF">
              <w:t>Victorian</w:t>
            </w:r>
            <w:r w:rsidR="000A5329" w:rsidRPr="002029AF">
              <w:t xml:space="preserve"> </w:t>
            </w:r>
            <w:r w:rsidRPr="002029AF">
              <w:t>Aboriginal</w:t>
            </w:r>
            <w:r w:rsidR="000A5329" w:rsidRPr="002029AF">
              <w:t xml:space="preserve"> </w:t>
            </w:r>
            <w:r w:rsidRPr="002029AF">
              <w:t>Child</w:t>
            </w:r>
            <w:r w:rsidR="000A5329" w:rsidRPr="002029AF">
              <w:t xml:space="preserve"> </w:t>
            </w:r>
            <w:r w:rsidRPr="002029AF">
              <w:t>Care</w:t>
            </w:r>
            <w:r w:rsidR="000A5329" w:rsidRPr="002029AF">
              <w:t xml:space="preserve"> </w:t>
            </w:r>
            <w:r w:rsidRPr="002029AF">
              <w:t>Agency</w:t>
            </w:r>
          </w:p>
        </w:tc>
        <w:tc>
          <w:tcPr>
            <w:tcW w:w="1134" w:type="dxa"/>
            <w:tcBorders>
              <w:top w:val="single" w:sz="4" w:space="0" w:color="A6A6A6"/>
              <w:bottom w:val="single" w:sz="4" w:space="0" w:color="A6A6A6"/>
            </w:tcBorders>
            <w:shd w:val="clear" w:color="auto" w:fill="E7E6E6"/>
            <w:noWrap/>
            <w:hideMark/>
          </w:tcPr>
          <w:p w14:paraId="30EDF1F0" w14:textId="77777777" w:rsidR="00087B91" w:rsidRPr="002029AF" w:rsidRDefault="00087B91" w:rsidP="00860E95">
            <w:pPr>
              <w:pStyle w:val="ARfintablebodyright"/>
            </w:pPr>
            <w:r w:rsidRPr="002029AF">
              <w:t>56.8</w:t>
            </w:r>
          </w:p>
        </w:tc>
        <w:tc>
          <w:tcPr>
            <w:tcW w:w="1134" w:type="dxa"/>
            <w:tcBorders>
              <w:top w:val="single" w:sz="4" w:space="0" w:color="A6A6A6"/>
              <w:bottom w:val="single" w:sz="4" w:space="0" w:color="A6A6A6"/>
            </w:tcBorders>
            <w:noWrap/>
            <w:hideMark/>
          </w:tcPr>
          <w:p w14:paraId="336742AE" w14:textId="77777777" w:rsidR="00087B91" w:rsidRPr="002029AF" w:rsidRDefault="00087B91" w:rsidP="00860E95">
            <w:pPr>
              <w:pStyle w:val="ARfintablebodyright"/>
            </w:pPr>
            <w:r w:rsidRPr="002029AF">
              <w:t>50.3</w:t>
            </w:r>
          </w:p>
        </w:tc>
      </w:tr>
      <w:tr w:rsidR="00087B91" w:rsidRPr="002029AF" w14:paraId="530FC0A2" w14:textId="77777777" w:rsidTr="00860E95">
        <w:tc>
          <w:tcPr>
            <w:tcW w:w="7369" w:type="dxa"/>
            <w:tcBorders>
              <w:top w:val="single" w:sz="4" w:space="0" w:color="A6A6A6"/>
              <w:bottom w:val="single" w:sz="4" w:space="0" w:color="A6A6A6"/>
            </w:tcBorders>
            <w:hideMark/>
          </w:tcPr>
          <w:p w14:paraId="123C9148" w14:textId="61716EC6" w:rsidR="00087B91" w:rsidRPr="002029AF" w:rsidRDefault="00087B91" w:rsidP="00860E95">
            <w:pPr>
              <w:pStyle w:val="ARfintablebody"/>
            </w:pPr>
            <w:r w:rsidRPr="002029AF">
              <w:t>Optia</w:t>
            </w:r>
            <w:r w:rsidR="000A5329" w:rsidRPr="002029AF">
              <w:t xml:space="preserve"> </w:t>
            </w:r>
            <w:r w:rsidRPr="002029AF">
              <w:t>Ltd</w:t>
            </w:r>
          </w:p>
        </w:tc>
        <w:tc>
          <w:tcPr>
            <w:tcW w:w="1134" w:type="dxa"/>
            <w:tcBorders>
              <w:top w:val="single" w:sz="4" w:space="0" w:color="A6A6A6"/>
              <w:bottom w:val="single" w:sz="4" w:space="0" w:color="A6A6A6"/>
            </w:tcBorders>
            <w:shd w:val="clear" w:color="auto" w:fill="E7E6E6"/>
            <w:noWrap/>
            <w:hideMark/>
          </w:tcPr>
          <w:p w14:paraId="389E2FBA" w14:textId="77777777" w:rsidR="00087B91" w:rsidRPr="002029AF" w:rsidRDefault="00087B91" w:rsidP="00860E95">
            <w:pPr>
              <w:pStyle w:val="ARfintablebodyright"/>
            </w:pPr>
            <w:r w:rsidRPr="002029AF">
              <w:t>64.9</w:t>
            </w:r>
          </w:p>
        </w:tc>
        <w:tc>
          <w:tcPr>
            <w:tcW w:w="1134" w:type="dxa"/>
            <w:tcBorders>
              <w:top w:val="single" w:sz="4" w:space="0" w:color="A6A6A6"/>
              <w:bottom w:val="single" w:sz="4" w:space="0" w:color="A6A6A6"/>
            </w:tcBorders>
            <w:noWrap/>
            <w:hideMark/>
          </w:tcPr>
          <w:p w14:paraId="2799D1BB" w14:textId="77777777" w:rsidR="00087B91" w:rsidRPr="002029AF" w:rsidRDefault="00087B91" w:rsidP="00860E95">
            <w:pPr>
              <w:pStyle w:val="ARfintablebodyright"/>
            </w:pPr>
            <w:r w:rsidRPr="002029AF">
              <w:t>13.0</w:t>
            </w:r>
          </w:p>
        </w:tc>
      </w:tr>
      <w:tr w:rsidR="00087B91" w:rsidRPr="002029AF" w14:paraId="2595DC92" w14:textId="77777777" w:rsidTr="00860E95">
        <w:tc>
          <w:tcPr>
            <w:tcW w:w="7369" w:type="dxa"/>
            <w:tcBorders>
              <w:top w:val="single" w:sz="4" w:space="0" w:color="A6A6A6"/>
              <w:bottom w:val="single" w:sz="4" w:space="0" w:color="A6A6A6"/>
            </w:tcBorders>
            <w:hideMark/>
          </w:tcPr>
          <w:p w14:paraId="1E5DEE8E" w14:textId="2D688809" w:rsidR="00087B91" w:rsidRPr="002029AF" w:rsidRDefault="00087B91" w:rsidP="00860E95">
            <w:pPr>
              <w:pStyle w:val="ARfintablebody"/>
            </w:pPr>
            <w:r w:rsidRPr="002029AF">
              <w:t>Ramsay</w:t>
            </w:r>
            <w:r w:rsidR="000A5329" w:rsidRPr="002029AF">
              <w:t xml:space="preserve"> </w:t>
            </w:r>
            <w:r w:rsidRPr="002029AF">
              <w:t>Health</w:t>
            </w:r>
            <w:r w:rsidR="000A5329" w:rsidRPr="002029AF">
              <w:t xml:space="preserve"> </w:t>
            </w:r>
            <w:r w:rsidRPr="002029AF">
              <w:t>Care</w:t>
            </w:r>
          </w:p>
        </w:tc>
        <w:tc>
          <w:tcPr>
            <w:tcW w:w="1134" w:type="dxa"/>
            <w:tcBorders>
              <w:top w:val="single" w:sz="4" w:space="0" w:color="A6A6A6"/>
              <w:bottom w:val="single" w:sz="4" w:space="0" w:color="A6A6A6"/>
            </w:tcBorders>
            <w:shd w:val="clear" w:color="auto" w:fill="E7E6E6"/>
            <w:noWrap/>
            <w:hideMark/>
          </w:tcPr>
          <w:p w14:paraId="1495800D" w14:textId="77777777" w:rsidR="00087B91" w:rsidRPr="002029AF" w:rsidRDefault="00087B91" w:rsidP="00860E95">
            <w:pPr>
              <w:pStyle w:val="ARfintablebodyright"/>
            </w:pPr>
            <w:r w:rsidRPr="002029AF">
              <w:t>48.5</w:t>
            </w:r>
          </w:p>
        </w:tc>
        <w:tc>
          <w:tcPr>
            <w:tcW w:w="1134" w:type="dxa"/>
            <w:tcBorders>
              <w:top w:val="single" w:sz="4" w:space="0" w:color="A6A6A6"/>
              <w:bottom w:val="single" w:sz="4" w:space="0" w:color="A6A6A6"/>
            </w:tcBorders>
            <w:noWrap/>
            <w:hideMark/>
          </w:tcPr>
          <w:p w14:paraId="465E2A9E" w14:textId="77777777" w:rsidR="00087B91" w:rsidRPr="002029AF" w:rsidRDefault="00087B91" w:rsidP="00860E95">
            <w:pPr>
              <w:pStyle w:val="ARfintablebodyright"/>
            </w:pPr>
            <w:r w:rsidRPr="002029AF">
              <w:t>22.3</w:t>
            </w:r>
          </w:p>
        </w:tc>
      </w:tr>
      <w:tr w:rsidR="00087B91" w:rsidRPr="002029AF" w14:paraId="3FCE3D2A" w14:textId="77777777" w:rsidTr="00860E95">
        <w:tc>
          <w:tcPr>
            <w:tcW w:w="7369" w:type="dxa"/>
            <w:tcBorders>
              <w:top w:val="single" w:sz="4" w:space="0" w:color="A6A6A6"/>
              <w:bottom w:val="single" w:sz="4" w:space="0" w:color="A6A6A6"/>
            </w:tcBorders>
            <w:hideMark/>
          </w:tcPr>
          <w:p w14:paraId="013B9978" w14:textId="77777777" w:rsidR="00087B91" w:rsidRPr="002029AF" w:rsidRDefault="00087B91" w:rsidP="00860E95">
            <w:pPr>
              <w:pStyle w:val="ARfintablebody"/>
            </w:pPr>
            <w:r w:rsidRPr="002029AF">
              <w:t>Aruma</w:t>
            </w:r>
          </w:p>
        </w:tc>
        <w:tc>
          <w:tcPr>
            <w:tcW w:w="1134" w:type="dxa"/>
            <w:tcBorders>
              <w:top w:val="single" w:sz="4" w:space="0" w:color="A6A6A6"/>
              <w:bottom w:val="single" w:sz="4" w:space="0" w:color="A6A6A6"/>
            </w:tcBorders>
            <w:shd w:val="clear" w:color="auto" w:fill="E7E6E6"/>
            <w:noWrap/>
            <w:hideMark/>
          </w:tcPr>
          <w:p w14:paraId="667B4E8F" w14:textId="77777777" w:rsidR="00087B91" w:rsidRPr="002029AF" w:rsidRDefault="00087B91" w:rsidP="00860E95">
            <w:pPr>
              <w:pStyle w:val="ARfintablebodyright"/>
            </w:pPr>
            <w:r w:rsidRPr="002029AF">
              <w:t>59.5</w:t>
            </w:r>
          </w:p>
        </w:tc>
        <w:tc>
          <w:tcPr>
            <w:tcW w:w="1134" w:type="dxa"/>
            <w:tcBorders>
              <w:top w:val="single" w:sz="4" w:space="0" w:color="A6A6A6"/>
              <w:bottom w:val="single" w:sz="4" w:space="0" w:color="A6A6A6"/>
            </w:tcBorders>
            <w:noWrap/>
            <w:hideMark/>
          </w:tcPr>
          <w:p w14:paraId="2381A61C" w14:textId="77777777" w:rsidR="00087B91" w:rsidRPr="002029AF" w:rsidRDefault="00087B91" w:rsidP="00860E95">
            <w:pPr>
              <w:pStyle w:val="ARfintablebodyright"/>
            </w:pPr>
            <w:r w:rsidRPr="002029AF">
              <w:t>0.3</w:t>
            </w:r>
          </w:p>
        </w:tc>
      </w:tr>
      <w:tr w:rsidR="00087B91" w:rsidRPr="002029AF" w14:paraId="4FFF1B15" w14:textId="77777777" w:rsidTr="00860E95">
        <w:tc>
          <w:tcPr>
            <w:tcW w:w="7369" w:type="dxa"/>
            <w:tcBorders>
              <w:top w:val="single" w:sz="4" w:space="0" w:color="A6A6A6"/>
              <w:bottom w:val="single" w:sz="4" w:space="0" w:color="A6A6A6"/>
            </w:tcBorders>
            <w:hideMark/>
          </w:tcPr>
          <w:p w14:paraId="660D488D" w14:textId="23BEF5BB" w:rsidR="00087B91" w:rsidRPr="002029AF" w:rsidRDefault="00087B91" w:rsidP="00860E95">
            <w:pPr>
              <w:pStyle w:val="ARfintablebody"/>
            </w:pPr>
            <w:r w:rsidRPr="002029AF">
              <w:t>Cabrini</w:t>
            </w:r>
            <w:r w:rsidR="000A5329" w:rsidRPr="002029AF">
              <w:t xml:space="preserve"> </w:t>
            </w:r>
            <w:r w:rsidRPr="002029AF">
              <w:t>Health</w:t>
            </w:r>
            <w:r w:rsidR="000A5329" w:rsidRPr="002029AF">
              <w:t xml:space="preserve"> </w:t>
            </w:r>
            <w:r w:rsidRPr="002029AF">
              <w:t>Limited</w:t>
            </w:r>
          </w:p>
        </w:tc>
        <w:tc>
          <w:tcPr>
            <w:tcW w:w="1134" w:type="dxa"/>
            <w:tcBorders>
              <w:top w:val="single" w:sz="4" w:space="0" w:color="A6A6A6"/>
              <w:bottom w:val="single" w:sz="4" w:space="0" w:color="A6A6A6"/>
            </w:tcBorders>
            <w:shd w:val="clear" w:color="auto" w:fill="E7E6E6"/>
            <w:noWrap/>
            <w:hideMark/>
          </w:tcPr>
          <w:p w14:paraId="26A53053" w14:textId="77777777" w:rsidR="00087B91" w:rsidRPr="002029AF" w:rsidRDefault="00087B91" w:rsidP="00860E95">
            <w:pPr>
              <w:pStyle w:val="ARfintablebodyright"/>
            </w:pPr>
            <w:r w:rsidRPr="002029AF">
              <w:t>48.2</w:t>
            </w:r>
          </w:p>
        </w:tc>
        <w:tc>
          <w:tcPr>
            <w:tcW w:w="1134" w:type="dxa"/>
            <w:tcBorders>
              <w:top w:val="single" w:sz="4" w:space="0" w:color="A6A6A6"/>
              <w:bottom w:val="single" w:sz="4" w:space="0" w:color="A6A6A6"/>
            </w:tcBorders>
            <w:noWrap/>
            <w:hideMark/>
          </w:tcPr>
          <w:p w14:paraId="2A3BB798" w14:textId="77777777" w:rsidR="00087B91" w:rsidRPr="002029AF" w:rsidRDefault="00087B91" w:rsidP="00860E95">
            <w:pPr>
              <w:pStyle w:val="ARfintablebodyright"/>
            </w:pPr>
            <w:r w:rsidRPr="002029AF">
              <w:t>0.1</w:t>
            </w:r>
          </w:p>
        </w:tc>
      </w:tr>
      <w:tr w:rsidR="00087B91" w:rsidRPr="002029AF" w14:paraId="2F195026" w14:textId="77777777" w:rsidTr="00860E95">
        <w:tc>
          <w:tcPr>
            <w:tcW w:w="7369" w:type="dxa"/>
            <w:tcBorders>
              <w:top w:val="single" w:sz="4" w:space="0" w:color="A6A6A6"/>
              <w:bottom w:val="single" w:sz="4" w:space="0" w:color="A6A6A6"/>
            </w:tcBorders>
            <w:hideMark/>
          </w:tcPr>
          <w:p w14:paraId="08BEDECE" w14:textId="59ABFBAB" w:rsidR="00087B91" w:rsidRPr="002029AF" w:rsidRDefault="00087B91" w:rsidP="00860E95">
            <w:pPr>
              <w:pStyle w:val="ARfintablebody"/>
            </w:pPr>
            <w:r w:rsidRPr="002029AF">
              <w:t>Launch</w:t>
            </w:r>
            <w:r w:rsidR="000A5329" w:rsidRPr="002029AF">
              <w:t xml:space="preserve"> </w:t>
            </w:r>
            <w:r w:rsidRPr="002029AF">
              <w:t>Housing</w:t>
            </w:r>
            <w:r w:rsidR="000A5329" w:rsidRPr="002029AF">
              <w:t xml:space="preserve"> </w:t>
            </w:r>
            <w:r w:rsidRPr="002029AF">
              <w:t>Limited</w:t>
            </w:r>
          </w:p>
        </w:tc>
        <w:tc>
          <w:tcPr>
            <w:tcW w:w="1134" w:type="dxa"/>
            <w:tcBorders>
              <w:top w:val="single" w:sz="4" w:space="0" w:color="A6A6A6"/>
              <w:bottom w:val="single" w:sz="4" w:space="0" w:color="A6A6A6"/>
            </w:tcBorders>
            <w:shd w:val="clear" w:color="auto" w:fill="E7E6E6"/>
            <w:noWrap/>
            <w:hideMark/>
          </w:tcPr>
          <w:p w14:paraId="1D764713" w14:textId="77777777" w:rsidR="00087B91" w:rsidRPr="002029AF" w:rsidRDefault="00087B91" w:rsidP="00860E95">
            <w:pPr>
              <w:pStyle w:val="ARfintablebodyright"/>
            </w:pPr>
            <w:r w:rsidRPr="002029AF">
              <w:t>45.6</w:t>
            </w:r>
          </w:p>
        </w:tc>
        <w:tc>
          <w:tcPr>
            <w:tcW w:w="1134" w:type="dxa"/>
            <w:tcBorders>
              <w:top w:val="single" w:sz="4" w:space="0" w:color="A6A6A6"/>
              <w:bottom w:val="single" w:sz="4" w:space="0" w:color="A6A6A6"/>
            </w:tcBorders>
            <w:noWrap/>
            <w:hideMark/>
          </w:tcPr>
          <w:p w14:paraId="5D916D41" w14:textId="77777777" w:rsidR="00087B91" w:rsidRPr="002029AF" w:rsidRDefault="00087B91" w:rsidP="00860E95">
            <w:pPr>
              <w:pStyle w:val="ARfintablebodyright"/>
            </w:pPr>
            <w:r w:rsidRPr="002029AF">
              <w:t>40.0</w:t>
            </w:r>
          </w:p>
        </w:tc>
      </w:tr>
      <w:tr w:rsidR="00087B91" w:rsidRPr="002029AF" w14:paraId="52A7667C" w14:textId="77777777" w:rsidTr="00860E95">
        <w:tc>
          <w:tcPr>
            <w:tcW w:w="7369" w:type="dxa"/>
            <w:tcBorders>
              <w:top w:val="single" w:sz="4" w:space="0" w:color="A6A6A6"/>
              <w:bottom w:val="single" w:sz="4" w:space="0" w:color="A6A6A6"/>
            </w:tcBorders>
            <w:hideMark/>
          </w:tcPr>
          <w:p w14:paraId="79248D1B" w14:textId="7973AE02" w:rsidR="00087B91" w:rsidRPr="002029AF" w:rsidRDefault="00087B91" w:rsidP="00860E95">
            <w:pPr>
              <w:pStyle w:val="ARfintablebody"/>
            </w:pPr>
            <w:r w:rsidRPr="002029AF">
              <w:t>St</w:t>
            </w:r>
            <w:r w:rsidR="000A5329" w:rsidRPr="002029AF">
              <w:t xml:space="preserve"> </w:t>
            </w:r>
            <w:r w:rsidRPr="002029AF">
              <w:t>John</w:t>
            </w:r>
            <w:r w:rsidR="000A5329" w:rsidRPr="002029AF">
              <w:t xml:space="preserve"> </w:t>
            </w:r>
            <w:r w:rsidRPr="002029AF">
              <w:t>of</w:t>
            </w:r>
            <w:r w:rsidR="000A5329" w:rsidRPr="002029AF">
              <w:t xml:space="preserve"> </w:t>
            </w:r>
            <w:r w:rsidRPr="002029AF">
              <w:t>God</w:t>
            </w:r>
            <w:r w:rsidR="000A5329" w:rsidRPr="002029AF">
              <w:t xml:space="preserve"> </w:t>
            </w:r>
            <w:r w:rsidRPr="002029AF">
              <w:t>Health</w:t>
            </w:r>
            <w:r w:rsidR="000A5329" w:rsidRPr="002029AF">
              <w:t xml:space="preserve"> </w:t>
            </w:r>
            <w:r w:rsidRPr="002029AF">
              <w:t>Care</w:t>
            </w:r>
          </w:p>
        </w:tc>
        <w:tc>
          <w:tcPr>
            <w:tcW w:w="1134" w:type="dxa"/>
            <w:tcBorders>
              <w:top w:val="single" w:sz="4" w:space="0" w:color="A6A6A6"/>
              <w:bottom w:val="single" w:sz="4" w:space="0" w:color="A6A6A6"/>
            </w:tcBorders>
            <w:shd w:val="clear" w:color="auto" w:fill="E7E6E6"/>
            <w:noWrap/>
            <w:hideMark/>
          </w:tcPr>
          <w:p w14:paraId="0A4633B5" w14:textId="77777777" w:rsidR="00087B91" w:rsidRPr="002029AF" w:rsidRDefault="00087B91" w:rsidP="00860E95">
            <w:pPr>
              <w:pStyle w:val="ARfintablebodyright"/>
            </w:pPr>
            <w:r w:rsidRPr="002029AF">
              <w:t>44.4</w:t>
            </w:r>
          </w:p>
        </w:tc>
        <w:tc>
          <w:tcPr>
            <w:tcW w:w="1134" w:type="dxa"/>
            <w:tcBorders>
              <w:top w:val="single" w:sz="4" w:space="0" w:color="A6A6A6"/>
              <w:bottom w:val="single" w:sz="4" w:space="0" w:color="A6A6A6"/>
            </w:tcBorders>
            <w:noWrap/>
            <w:hideMark/>
          </w:tcPr>
          <w:p w14:paraId="423A53A3" w14:textId="77777777" w:rsidR="00087B91" w:rsidRPr="002029AF" w:rsidRDefault="00087B91" w:rsidP="00860E95">
            <w:pPr>
              <w:pStyle w:val="ARfintablebodyright"/>
            </w:pPr>
            <w:r w:rsidRPr="002029AF">
              <w:t>3.4</w:t>
            </w:r>
          </w:p>
        </w:tc>
      </w:tr>
      <w:tr w:rsidR="00087B91" w:rsidRPr="002029AF" w14:paraId="7397D1DB" w14:textId="77777777" w:rsidTr="00860E95">
        <w:tc>
          <w:tcPr>
            <w:tcW w:w="7369" w:type="dxa"/>
            <w:tcBorders>
              <w:top w:val="single" w:sz="4" w:space="0" w:color="A6A6A6"/>
              <w:bottom w:val="single" w:sz="4" w:space="0" w:color="A6A6A6"/>
            </w:tcBorders>
            <w:hideMark/>
          </w:tcPr>
          <w:p w14:paraId="7B138DD1" w14:textId="7C18677B" w:rsidR="00087B91" w:rsidRPr="002029AF" w:rsidRDefault="00087B91" w:rsidP="00860E95">
            <w:pPr>
              <w:pStyle w:val="ARfintablebody"/>
            </w:pPr>
            <w:r w:rsidRPr="002029AF">
              <w:t>Cohealth</w:t>
            </w:r>
            <w:r w:rsidR="000A5329" w:rsidRPr="002029AF">
              <w:t xml:space="preserve"> </w:t>
            </w:r>
            <w:r w:rsidRPr="002029AF">
              <w:t>Ltd</w:t>
            </w:r>
          </w:p>
        </w:tc>
        <w:tc>
          <w:tcPr>
            <w:tcW w:w="1134" w:type="dxa"/>
            <w:tcBorders>
              <w:top w:val="single" w:sz="4" w:space="0" w:color="A6A6A6"/>
              <w:bottom w:val="single" w:sz="4" w:space="0" w:color="A6A6A6"/>
            </w:tcBorders>
            <w:shd w:val="clear" w:color="auto" w:fill="E7E6E6"/>
            <w:noWrap/>
            <w:hideMark/>
          </w:tcPr>
          <w:p w14:paraId="383484E9" w14:textId="77777777" w:rsidR="00087B91" w:rsidRPr="002029AF" w:rsidRDefault="00087B91" w:rsidP="00860E95">
            <w:pPr>
              <w:pStyle w:val="ARfintablebodyright"/>
            </w:pPr>
            <w:r w:rsidRPr="002029AF">
              <w:t>38.7</w:t>
            </w:r>
          </w:p>
        </w:tc>
        <w:tc>
          <w:tcPr>
            <w:tcW w:w="1134" w:type="dxa"/>
            <w:tcBorders>
              <w:top w:val="single" w:sz="4" w:space="0" w:color="A6A6A6"/>
              <w:bottom w:val="single" w:sz="4" w:space="0" w:color="A6A6A6"/>
            </w:tcBorders>
            <w:noWrap/>
            <w:hideMark/>
          </w:tcPr>
          <w:p w14:paraId="51DBAD65" w14:textId="77777777" w:rsidR="00087B91" w:rsidRPr="002029AF" w:rsidRDefault="00087B91" w:rsidP="00860E95">
            <w:pPr>
              <w:pStyle w:val="ARfintablebodyright"/>
            </w:pPr>
            <w:r w:rsidRPr="002029AF">
              <w:t>44.4</w:t>
            </w:r>
          </w:p>
        </w:tc>
      </w:tr>
      <w:tr w:rsidR="00087B91" w:rsidRPr="002029AF" w14:paraId="74B08B89" w14:textId="77777777" w:rsidTr="00860E95">
        <w:tc>
          <w:tcPr>
            <w:tcW w:w="7369" w:type="dxa"/>
            <w:tcBorders>
              <w:top w:val="single" w:sz="4" w:space="0" w:color="A6A6A6"/>
              <w:bottom w:val="single" w:sz="4" w:space="0" w:color="A6A6A6"/>
            </w:tcBorders>
            <w:hideMark/>
          </w:tcPr>
          <w:p w14:paraId="225ABA6B" w14:textId="409BB534" w:rsidR="00087B91" w:rsidRPr="002029AF" w:rsidRDefault="00087B91" w:rsidP="00860E95">
            <w:pPr>
              <w:pStyle w:val="ARfintablebody"/>
            </w:pPr>
            <w:r w:rsidRPr="002029AF">
              <w:t>St</w:t>
            </w:r>
            <w:r w:rsidR="000A5329" w:rsidRPr="002029AF">
              <w:t xml:space="preserve"> </w:t>
            </w:r>
            <w:r w:rsidRPr="002029AF">
              <w:t>Vincent’s</w:t>
            </w:r>
            <w:r w:rsidR="000A5329" w:rsidRPr="002029AF">
              <w:t xml:space="preserve"> </w:t>
            </w:r>
            <w:r w:rsidRPr="002029AF">
              <w:t>Private</w:t>
            </w:r>
            <w:r w:rsidR="000A5329" w:rsidRPr="002029AF">
              <w:t xml:space="preserve"> </w:t>
            </w:r>
            <w:r w:rsidRPr="002029AF">
              <w:t>Hospital</w:t>
            </w:r>
          </w:p>
        </w:tc>
        <w:tc>
          <w:tcPr>
            <w:tcW w:w="1134" w:type="dxa"/>
            <w:tcBorders>
              <w:top w:val="single" w:sz="4" w:space="0" w:color="A6A6A6"/>
              <w:bottom w:val="single" w:sz="4" w:space="0" w:color="A6A6A6"/>
            </w:tcBorders>
            <w:shd w:val="clear" w:color="auto" w:fill="E7E6E6"/>
            <w:noWrap/>
            <w:hideMark/>
          </w:tcPr>
          <w:p w14:paraId="0DAE5817" w14:textId="77777777" w:rsidR="00087B91" w:rsidRPr="002029AF" w:rsidRDefault="00087B91" w:rsidP="00860E95">
            <w:pPr>
              <w:pStyle w:val="ARfintablebodyright"/>
            </w:pPr>
            <w:r w:rsidRPr="002029AF">
              <w:t>37.4</w:t>
            </w:r>
          </w:p>
        </w:tc>
        <w:tc>
          <w:tcPr>
            <w:tcW w:w="1134" w:type="dxa"/>
            <w:tcBorders>
              <w:top w:val="single" w:sz="4" w:space="0" w:color="A6A6A6"/>
              <w:bottom w:val="single" w:sz="4" w:space="0" w:color="A6A6A6"/>
            </w:tcBorders>
            <w:noWrap/>
            <w:hideMark/>
          </w:tcPr>
          <w:p w14:paraId="74762D30" w14:textId="77777777" w:rsidR="00087B91" w:rsidRPr="002029AF" w:rsidRDefault="00087B91" w:rsidP="00860E95">
            <w:pPr>
              <w:pStyle w:val="ARfintablebodyright"/>
            </w:pPr>
            <w:r w:rsidRPr="002029AF">
              <w:t>–</w:t>
            </w:r>
          </w:p>
        </w:tc>
      </w:tr>
      <w:tr w:rsidR="00087B91" w:rsidRPr="002029AF" w14:paraId="33DA4D1C" w14:textId="77777777" w:rsidTr="00860E95">
        <w:tc>
          <w:tcPr>
            <w:tcW w:w="7369" w:type="dxa"/>
            <w:tcBorders>
              <w:top w:val="single" w:sz="4" w:space="0" w:color="A6A6A6"/>
              <w:bottom w:val="single" w:sz="4" w:space="0" w:color="A6A6A6"/>
            </w:tcBorders>
            <w:hideMark/>
          </w:tcPr>
          <w:p w14:paraId="33E605C6" w14:textId="6D64A879" w:rsidR="00087B91" w:rsidRPr="002029AF" w:rsidRDefault="00087B91" w:rsidP="00860E95">
            <w:pPr>
              <w:pStyle w:val="ARfintablebody"/>
            </w:pPr>
            <w:r w:rsidRPr="002029AF">
              <w:t>Melbourne</w:t>
            </w:r>
            <w:r w:rsidR="000A5329" w:rsidRPr="002029AF">
              <w:t xml:space="preserve"> </w:t>
            </w:r>
            <w:r w:rsidRPr="002029AF">
              <w:t>City</w:t>
            </w:r>
            <w:r w:rsidR="000A5329" w:rsidRPr="002029AF">
              <w:t xml:space="preserve"> </w:t>
            </w:r>
            <w:r w:rsidRPr="002029AF">
              <w:t>Mission</w:t>
            </w:r>
            <w:r w:rsidR="000A5329" w:rsidRPr="002029AF">
              <w:t xml:space="preserve"> </w:t>
            </w:r>
            <w:r w:rsidRPr="002029AF">
              <w:t>Inc</w:t>
            </w:r>
          </w:p>
        </w:tc>
        <w:tc>
          <w:tcPr>
            <w:tcW w:w="1134" w:type="dxa"/>
            <w:tcBorders>
              <w:top w:val="single" w:sz="4" w:space="0" w:color="A6A6A6"/>
              <w:bottom w:val="single" w:sz="4" w:space="0" w:color="A6A6A6"/>
            </w:tcBorders>
            <w:shd w:val="clear" w:color="auto" w:fill="E7E6E6"/>
            <w:noWrap/>
            <w:hideMark/>
          </w:tcPr>
          <w:p w14:paraId="1A785247" w14:textId="77777777" w:rsidR="00087B91" w:rsidRPr="002029AF" w:rsidRDefault="00087B91" w:rsidP="00860E95">
            <w:pPr>
              <w:pStyle w:val="ARfintablebodyright"/>
            </w:pPr>
            <w:r w:rsidRPr="002029AF">
              <w:t>32.5</w:t>
            </w:r>
          </w:p>
        </w:tc>
        <w:tc>
          <w:tcPr>
            <w:tcW w:w="1134" w:type="dxa"/>
            <w:tcBorders>
              <w:top w:val="single" w:sz="4" w:space="0" w:color="A6A6A6"/>
              <w:bottom w:val="single" w:sz="4" w:space="0" w:color="A6A6A6"/>
            </w:tcBorders>
            <w:noWrap/>
            <w:hideMark/>
          </w:tcPr>
          <w:p w14:paraId="14F91D00" w14:textId="77777777" w:rsidR="00087B91" w:rsidRPr="002029AF" w:rsidRDefault="00087B91" w:rsidP="00860E95">
            <w:pPr>
              <w:pStyle w:val="ARfintablebodyright"/>
            </w:pPr>
            <w:r w:rsidRPr="002029AF">
              <w:t>38.2</w:t>
            </w:r>
          </w:p>
        </w:tc>
      </w:tr>
      <w:tr w:rsidR="00087B91" w:rsidRPr="002029AF" w14:paraId="3F8F8837" w14:textId="77777777" w:rsidTr="00860E95">
        <w:tc>
          <w:tcPr>
            <w:tcW w:w="7369" w:type="dxa"/>
            <w:tcBorders>
              <w:top w:val="single" w:sz="4" w:space="0" w:color="A6A6A6"/>
              <w:bottom w:val="single" w:sz="4" w:space="0" w:color="A6A6A6"/>
            </w:tcBorders>
            <w:hideMark/>
          </w:tcPr>
          <w:p w14:paraId="58CD0948" w14:textId="7070DBC0" w:rsidR="00087B91" w:rsidRPr="002029AF" w:rsidRDefault="00087B91" w:rsidP="00860E95">
            <w:pPr>
              <w:pStyle w:val="ARfintablebody"/>
            </w:pPr>
            <w:r w:rsidRPr="002029AF">
              <w:t>The</w:t>
            </w:r>
            <w:r w:rsidR="000A5329" w:rsidRPr="002029AF">
              <w:t xml:space="preserve"> </w:t>
            </w:r>
            <w:r w:rsidRPr="002029AF">
              <w:t>University</w:t>
            </w:r>
            <w:r w:rsidR="000A5329" w:rsidRPr="002029AF">
              <w:t xml:space="preserve"> </w:t>
            </w:r>
            <w:r w:rsidRPr="002029AF">
              <w:t>of</w:t>
            </w:r>
            <w:r w:rsidR="000A5329" w:rsidRPr="002029AF">
              <w:t xml:space="preserve"> </w:t>
            </w:r>
            <w:r w:rsidRPr="002029AF">
              <w:t>Melbourne</w:t>
            </w:r>
          </w:p>
        </w:tc>
        <w:tc>
          <w:tcPr>
            <w:tcW w:w="1134" w:type="dxa"/>
            <w:tcBorders>
              <w:top w:val="single" w:sz="4" w:space="0" w:color="A6A6A6"/>
              <w:bottom w:val="single" w:sz="4" w:space="0" w:color="A6A6A6"/>
            </w:tcBorders>
            <w:shd w:val="clear" w:color="auto" w:fill="E7E6E6"/>
            <w:noWrap/>
            <w:hideMark/>
          </w:tcPr>
          <w:p w14:paraId="4CE9EE64" w14:textId="77777777" w:rsidR="00087B91" w:rsidRPr="002029AF" w:rsidRDefault="00087B91" w:rsidP="00860E95">
            <w:pPr>
              <w:pStyle w:val="ARfintablebodyright"/>
            </w:pPr>
            <w:r w:rsidRPr="002029AF">
              <w:t>32.1</w:t>
            </w:r>
          </w:p>
        </w:tc>
        <w:tc>
          <w:tcPr>
            <w:tcW w:w="1134" w:type="dxa"/>
            <w:tcBorders>
              <w:top w:val="single" w:sz="4" w:space="0" w:color="A6A6A6"/>
              <w:bottom w:val="single" w:sz="4" w:space="0" w:color="A6A6A6"/>
            </w:tcBorders>
            <w:noWrap/>
            <w:hideMark/>
          </w:tcPr>
          <w:p w14:paraId="456B46FF" w14:textId="77777777" w:rsidR="00087B91" w:rsidRPr="002029AF" w:rsidRDefault="00087B91" w:rsidP="00860E95">
            <w:pPr>
              <w:pStyle w:val="ARfintablebodyright"/>
            </w:pPr>
            <w:r w:rsidRPr="002029AF">
              <w:t>18.0</w:t>
            </w:r>
          </w:p>
        </w:tc>
      </w:tr>
      <w:tr w:rsidR="00087B91" w:rsidRPr="002029AF" w14:paraId="1A4B12A8" w14:textId="77777777" w:rsidTr="00860E95">
        <w:tc>
          <w:tcPr>
            <w:tcW w:w="7369" w:type="dxa"/>
            <w:tcBorders>
              <w:top w:val="single" w:sz="4" w:space="0" w:color="A6A6A6"/>
              <w:bottom w:val="single" w:sz="4" w:space="0" w:color="A6A6A6"/>
            </w:tcBorders>
            <w:hideMark/>
          </w:tcPr>
          <w:p w14:paraId="00698F2F" w14:textId="2857AF76" w:rsidR="00087B91" w:rsidRPr="002029AF" w:rsidRDefault="00087B91" w:rsidP="00860E95">
            <w:pPr>
              <w:pStyle w:val="ARfintablebody"/>
            </w:pPr>
            <w:r w:rsidRPr="002029AF">
              <w:t>Client/assistance</w:t>
            </w:r>
            <w:r w:rsidR="000A5329" w:rsidRPr="002029AF">
              <w:t xml:space="preserve"> </w:t>
            </w:r>
            <w:r w:rsidRPr="002029AF">
              <w:t>payments</w:t>
            </w:r>
          </w:p>
        </w:tc>
        <w:tc>
          <w:tcPr>
            <w:tcW w:w="1134" w:type="dxa"/>
            <w:tcBorders>
              <w:top w:val="single" w:sz="4" w:space="0" w:color="A6A6A6"/>
              <w:bottom w:val="single" w:sz="4" w:space="0" w:color="A6A6A6"/>
            </w:tcBorders>
            <w:shd w:val="clear" w:color="auto" w:fill="E7E6E6"/>
            <w:noWrap/>
            <w:hideMark/>
          </w:tcPr>
          <w:p w14:paraId="6CA6B272" w14:textId="77777777" w:rsidR="00087B91" w:rsidRPr="002029AF" w:rsidRDefault="00087B91" w:rsidP="00860E95">
            <w:pPr>
              <w:pStyle w:val="ARfintablebodyright"/>
            </w:pPr>
            <w:r w:rsidRPr="002029AF">
              <w:t>727.6</w:t>
            </w:r>
          </w:p>
        </w:tc>
        <w:tc>
          <w:tcPr>
            <w:tcW w:w="1134" w:type="dxa"/>
            <w:tcBorders>
              <w:top w:val="single" w:sz="4" w:space="0" w:color="A6A6A6"/>
              <w:bottom w:val="single" w:sz="4" w:space="0" w:color="A6A6A6"/>
            </w:tcBorders>
            <w:noWrap/>
            <w:hideMark/>
          </w:tcPr>
          <w:p w14:paraId="5218BE58" w14:textId="77777777" w:rsidR="00087B91" w:rsidRPr="002029AF" w:rsidRDefault="00087B91" w:rsidP="00860E95">
            <w:pPr>
              <w:pStyle w:val="ARfintablebodyright"/>
            </w:pPr>
            <w:r w:rsidRPr="002029AF">
              <w:t>722.6</w:t>
            </w:r>
          </w:p>
        </w:tc>
      </w:tr>
      <w:tr w:rsidR="00087B91" w:rsidRPr="002029AF" w14:paraId="103877B8" w14:textId="77777777" w:rsidTr="00860E95">
        <w:tc>
          <w:tcPr>
            <w:tcW w:w="7369" w:type="dxa"/>
            <w:tcBorders>
              <w:top w:val="single" w:sz="4" w:space="0" w:color="A6A6A6"/>
            </w:tcBorders>
            <w:hideMark/>
          </w:tcPr>
          <w:p w14:paraId="4D1784F5" w14:textId="31FA49D5" w:rsidR="00087B91" w:rsidRPr="002029AF" w:rsidRDefault="00087B91" w:rsidP="00860E95">
            <w:pPr>
              <w:pStyle w:val="ARfintablebody"/>
            </w:pPr>
            <w:r w:rsidRPr="002029AF">
              <w:t>Other</w:t>
            </w:r>
            <w:r w:rsidR="000A5329" w:rsidRPr="002029AF">
              <w:t xml:space="preserve"> </w:t>
            </w:r>
            <w:r w:rsidRPr="002029AF">
              <w:t>non-government</w:t>
            </w:r>
            <w:r w:rsidR="000A5329" w:rsidRPr="002029AF">
              <w:t xml:space="preserve"> </w:t>
            </w:r>
            <w:r w:rsidRPr="002029AF">
              <w:t>agencies</w:t>
            </w:r>
            <w:r w:rsidR="000A5329" w:rsidRPr="002029AF">
              <w:t xml:space="preserve"> </w:t>
            </w:r>
            <w:r w:rsidRPr="002029AF">
              <w:t>with</w:t>
            </w:r>
            <w:r w:rsidR="000A5329" w:rsidRPr="002029AF">
              <w:t xml:space="preserve"> </w:t>
            </w:r>
            <w:r w:rsidRPr="002029AF">
              <w:t>payments</w:t>
            </w:r>
            <w:r w:rsidR="000A5329" w:rsidRPr="002029AF">
              <w:t xml:space="preserve"> </w:t>
            </w:r>
            <w:r w:rsidRPr="002029AF">
              <w:t>totalling</w:t>
            </w:r>
            <w:r w:rsidR="000A5329" w:rsidRPr="002029AF">
              <w:t xml:space="preserve"> </w:t>
            </w:r>
            <w:r w:rsidRPr="002029AF">
              <w:t>less</w:t>
            </w:r>
            <w:r w:rsidR="000A5329" w:rsidRPr="002029AF">
              <w:t xml:space="preserve"> </w:t>
            </w:r>
            <w:r w:rsidRPr="002029AF">
              <w:t>than</w:t>
            </w:r>
            <w:r w:rsidR="000A5329" w:rsidRPr="002029AF">
              <w:t xml:space="preserve"> </w:t>
            </w:r>
            <w:r w:rsidRPr="002029AF">
              <w:t>$30</w:t>
            </w:r>
            <w:r w:rsidR="000A5329" w:rsidRPr="002029AF">
              <w:t xml:space="preserve"> </w:t>
            </w:r>
            <w:r w:rsidRPr="002029AF">
              <w:t>million</w:t>
            </w:r>
          </w:p>
        </w:tc>
        <w:tc>
          <w:tcPr>
            <w:tcW w:w="1134" w:type="dxa"/>
            <w:tcBorders>
              <w:top w:val="single" w:sz="4" w:space="0" w:color="A6A6A6"/>
            </w:tcBorders>
            <w:shd w:val="clear" w:color="auto" w:fill="E7E6E6"/>
            <w:noWrap/>
            <w:hideMark/>
          </w:tcPr>
          <w:p w14:paraId="1A548140" w14:textId="77777777" w:rsidR="00087B91" w:rsidRPr="002029AF" w:rsidRDefault="00087B91" w:rsidP="00860E95">
            <w:pPr>
              <w:pStyle w:val="ARfintablebodyright"/>
            </w:pPr>
            <w:r w:rsidRPr="002029AF">
              <w:t>2,982.4</w:t>
            </w:r>
          </w:p>
        </w:tc>
        <w:tc>
          <w:tcPr>
            <w:tcW w:w="1134" w:type="dxa"/>
            <w:tcBorders>
              <w:top w:val="single" w:sz="4" w:space="0" w:color="A6A6A6"/>
            </w:tcBorders>
            <w:noWrap/>
            <w:hideMark/>
          </w:tcPr>
          <w:p w14:paraId="36EF2A59" w14:textId="77777777" w:rsidR="00087B91" w:rsidRPr="002029AF" w:rsidRDefault="00087B91" w:rsidP="00860E95">
            <w:pPr>
              <w:pStyle w:val="ARfintablebodyright"/>
            </w:pPr>
            <w:r w:rsidRPr="002029AF">
              <w:t>3,058.9</w:t>
            </w:r>
          </w:p>
        </w:tc>
      </w:tr>
      <w:tr w:rsidR="00087B91" w:rsidRPr="002029AF" w14:paraId="7A5779EC" w14:textId="77777777" w:rsidTr="00860E95">
        <w:tc>
          <w:tcPr>
            <w:tcW w:w="7369" w:type="dxa"/>
            <w:hideMark/>
          </w:tcPr>
          <w:p w14:paraId="61558A16" w14:textId="77777777" w:rsidR="00087B91" w:rsidRPr="002029AF" w:rsidRDefault="00087B91" w:rsidP="00860E95">
            <w:pPr>
              <w:pStyle w:val="ARfintablebodybold"/>
            </w:pPr>
          </w:p>
        </w:tc>
        <w:tc>
          <w:tcPr>
            <w:tcW w:w="1134" w:type="dxa"/>
            <w:shd w:val="clear" w:color="auto" w:fill="E7E6E6"/>
            <w:noWrap/>
            <w:hideMark/>
          </w:tcPr>
          <w:p w14:paraId="299F4955" w14:textId="77777777" w:rsidR="00087B91" w:rsidRPr="002029AF" w:rsidRDefault="00087B91" w:rsidP="00860E95">
            <w:pPr>
              <w:pStyle w:val="ARfintablebodyrightbold"/>
            </w:pPr>
            <w:r w:rsidRPr="002029AF">
              <w:t>5,325.5</w:t>
            </w:r>
          </w:p>
        </w:tc>
        <w:tc>
          <w:tcPr>
            <w:tcW w:w="1134" w:type="dxa"/>
            <w:noWrap/>
            <w:hideMark/>
          </w:tcPr>
          <w:p w14:paraId="5ECD0576" w14:textId="77777777" w:rsidR="00087B91" w:rsidRPr="002029AF" w:rsidRDefault="00087B91" w:rsidP="00860E95">
            <w:pPr>
              <w:pStyle w:val="ARfintablebodyrightbold"/>
            </w:pPr>
            <w:r w:rsidRPr="002029AF">
              <w:t>4,620.4</w:t>
            </w:r>
          </w:p>
        </w:tc>
      </w:tr>
      <w:tr w:rsidR="00087B91" w:rsidRPr="002029AF" w14:paraId="52061F22" w14:textId="77777777" w:rsidTr="00860E95">
        <w:tc>
          <w:tcPr>
            <w:tcW w:w="7369" w:type="dxa"/>
            <w:hideMark/>
          </w:tcPr>
          <w:p w14:paraId="08ED4ED2" w14:textId="26FA8488" w:rsidR="00087B91" w:rsidRPr="002029AF" w:rsidRDefault="00087B91" w:rsidP="00860E95">
            <w:pPr>
              <w:pStyle w:val="ARfintablebodybold"/>
            </w:pPr>
            <w:r w:rsidRPr="002029AF">
              <w:t>Total</w:t>
            </w:r>
            <w:r w:rsidR="000A5329" w:rsidRPr="002029AF">
              <w:t xml:space="preserve"> </w:t>
            </w:r>
            <w:r w:rsidRPr="002029AF">
              <w:t>grants</w:t>
            </w:r>
            <w:r w:rsidR="000A5329" w:rsidRPr="002029AF">
              <w:t xml:space="preserve"> </w:t>
            </w:r>
            <w:r w:rsidRPr="002029AF">
              <w:t>and</w:t>
            </w:r>
            <w:r w:rsidR="000A5329" w:rsidRPr="002029AF">
              <w:t xml:space="preserve"> </w:t>
            </w:r>
            <w:r w:rsidRPr="002029AF">
              <w:t>other</w:t>
            </w:r>
            <w:r w:rsidR="000A5329" w:rsidRPr="002029AF">
              <w:t xml:space="preserve"> </w:t>
            </w:r>
            <w:r w:rsidRPr="002029AF">
              <w:t>expense</w:t>
            </w:r>
            <w:r w:rsidR="000A5329" w:rsidRPr="002029AF">
              <w:t xml:space="preserve"> </w:t>
            </w:r>
            <w:r w:rsidRPr="002029AF">
              <w:t>transfers</w:t>
            </w:r>
          </w:p>
        </w:tc>
        <w:tc>
          <w:tcPr>
            <w:tcW w:w="1134" w:type="dxa"/>
            <w:shd w:val="clear" w:color="auto" w:fill="E7E6E6"/>
            <w:noWrap/>
            <w:hideMark/>
          </w:tcPr>
          <w:p w14:paraId="12F579FA" w14:textId="77777777" w:rsidR="00087B91" w:rsidRPr="002029AF" w:rsidRDefault="00087B91" w:rsidP="00860E95">
            <w:pPr>
              <w:pStyle w:val="ARfintablebodyrightbold"/>
            </w:pPr>
            <w:r w:rsidRPr="002029AF">
              <w:t>17,308.0</w:t>
            </w:r>
          </w:p>
        </w:tc>
        <w:tc>
          <w:tcPr>
            <w:tcW w:w="1134" w:type="dxa"/>
            <w:noWrap/>
            <w:hideMark/>
          </w:tcPr>
          <w:p w14:paraId="6E551B53" w14:textId="77777777" w:rsidR="00087B91" w:rsidRPr="002029AF" w:rsidRDefault="00087B91" w:rsidP="00860E95">
            <w:pPr>
              <w:pStyle w:val="ARfintablebodyrightbold"/>
            </w:pPr>
            <w:r w:rsidRPr="002029AF">
              <w:t>15,131.5</w:t>
            </w:r>
          </w:p>
        </w:tc>
      </w:tr>
    </w:tbl>
    <w:p w14:paraId="4FE54F6A" w14:textId="3A954C5C" w:rsidR="00087B91" w:rsidRPr="002029AF" w:rsidRDefault="00087B91" w:rsidP="00087B91">
      <w:pPr>
        <w:pStyle w:val="ARfinbodyaftertable"/>
      </w:pPr>
      <w:r w:rsidRPr="002029AF">
        <w:lastRenderedPageBreak/>
        <w:t>Transactions</w:t>
      </w:r>
      <w:r w:rsidR="000A5329" w:rsidRPr="002029AF">
        <w:t xml:space="preserve"> </w:t>
      </w:r>
      <w:r w:rsidRPr="002029AF">
        <w:t>in</w:t>
      </w:r>
      <w:r w:rsidR="000A5329" w:rsidRPr="002029AF">
        <w:t xml:space="preserve"> </w:t>
      </w:r>
      <w:r w:rsidRPr="002029AF">
        <w:t>which</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provides</w:t>
      </w:r>
      <w:r w:rsidR="000A5329" w:rsidRPr="002029AF">
        <w:t xml:space="preserve"> </w:t>
      </w:r>
      <w:r w:rsidRPr="002029AF">
        <w:t>goods,</w:t>
      </w:r>
      <w:r w:rsidR="000A5329" w:rsidRPr="002029AF">
        <w:t xml:space="preserve"> </w:t>
      </w:r>
      <w:r w:rsidRPr="002029AF">
        <w:t>services,</w:t>
      </w:r>
      <w:r w:rsidR="000A5329" w:rsidRPr="002029AF">
        <w:t xml:space="preserve"> </w:t>
      </w:r>
      <w:r w:rsidRPr="002029AF">
        <w:t>assets</w:t>
      </w:r>
      <w:r w:rsidR="000A5329" w:rsidRPr="002029AF">
        <w:t xml:space="preserve"> </w:t>
      </w:r>
      <w:r w:rsidRPr="002029AF">
        <w:t>(or</w:t>
      </w:r>
      <w:r w:rsidR="000A5329" w:rsidRPr="002029AF">
        <w:t xml:space="preserve"> </w:t>
      </w:r>
      <w:r w:rsidRPr="002029AF">
        <w:t>extinguishes</w:t>
      </w:r>
      <w:r w:rsidR="000A5329" w:rsidRPr="002029AF">
        <w:t xml:space="preserve"> </w:t>
      </w:r>
      <w:r w:rsidRPr="002029AF">
        <w:t>a</w:t>
      </w:r>
      <w:r w:rsidR="000A5329" w:rsidRPr="002029AF">
        <w:t xml:space="preserve"> </w:t>
      </w:r>
      <w:r w:rsidRPr="002029AF">
        <w:t>liability)</w:t>
      </w:r>
      <w:r w:rsidR="000A5329" w:rsidRPr="002029AF">
        <w:t xml:space="preserve"> </w:t>
      </w:r>
      <w:r w:rsidRPr="002029AF">
        <w:t>or</w:t>
      </w:r>
      <w:r w:rsidR="000A5329" w:rsidRPr="002029AF">
        <w:t xml:space="preserve"> </w:t>
      </w:r>
      <w:r w:rsidRPr="002029AF">
        <w:t>labour</w:t>
      </w:r>
      <w:r w:rsidR="000A5329" w:rsidRPr="002029AF">
        <w:t xml:space="preserve"> </w:t>
      </w:r>
      <w:r w:rsidRPr="002029AF">
        <w:t>to</w:t>
      </w:r>
      <w:r w:rsidR="000A5329" w:rsidRPr="002029AF">
        <w:t xml:space="preserve"> </w:t>
      </w:r>
      <w:r w:rsidRPr="002029AF">
        <w:t>another</w:t>
      </w:r>
      <w:r w:rsidR="000A5329" w:rsidRPr="002029AF">
        <w:t xml:space="preserve"> </w:t>
      </w:r>
      <w:r w:rsidRPr="002029AF">
        <w:t>party</w:t>
      </w:r>
      <w:r w:rsidR="000A5329" w:rsidRPr="002029AF">
        <w:t xml:space="preserve"> </w:t>
      </w:r>
      <w:r w:rsidRPr="002029AF">
        <w:t>without</w:t>
      </w:r>
      <w:r w:rsidR="000A5329" w:rsidRPr="002029AF">
        <w:t xml:space="preserve"> </w:t>
      </w:r>
      <w:r w:rsidRPr="002029AF">
        <w:t>receiving</w:t>
      </w:r>
      <w:r w:rsidR="000A5329" w:rsidRPr="002029AF">
        <w:t xml:space="preserve"> </w:t>
      </w:r>
      <w:r w:rsidRPr="002029AF">
        <w:t>approximately</w:t>
      </w:r>
      <w:r w:rsidR="000A5329" w:rsidRPr="002029AF">
        <w:t xml:space="preserve"> </w:t>
      </w:r>
      <w:r w:rsidRPr="002029AF">
        <w:t>equal</w:t>
      </w:r>
      <w:r w:rsidR="000A5329" w:rsidRPr="002029AF">
        <w:t xml:space="preserve"> </w:t>
      </w:r>
      <w:r w:rsidRPr="002029AF">
        <w:t>value</w:t>
      </w:r>
      <w:r w:rsidR="000A5329" w:rsidRPr="002029AF">
        <w:t xml:space="preserve"> </w:t>
      </w:r>
      <w:r w:rsidRPr="002029AF">
        <w:t>in</w:t>
      </w:r>
      <w:r w:rsidR="000A5329" w:rsidRPr="002029AF">
        <w:t xml:space="preserve"> </w:t>
      </w:r>
      <w:r w:rsidRPr="002029AF">
        <w:t>return</w:t>
      </w:r>
      <w:r w:rsidR="000A5329" w:rsidRPr="002029AF">
        <w:t xml:space="preserve"> </w:t>
      </w:r>
      <w:r w:rsidRPr="002029AF">
        <w:t>are</w:t>
      </w:r>
      <w:r w:rsidR="000A5329" w:rsidRPr="002029AF">
        <w:t xml:space="preserve"> </w:t>
      </w:r>
      <w:r w:rsidRPr="002029AF">
        <w:t>categorised</w:t>
      </w:r>
      <w:r w:rsidR="000A5329" w:rsidRPr="002029AF">
        <w:t xml:space="preserve"> </w:t>
      </w:r>
      <w:r w:rsidRPr="002029AF">
        <w:t>as</w:t>
      </w:r>
      <w:r w:rsidR="000A5329" w:rsidRPr="002029AF">
        <w:t xml:space="preserve"> </w:t>
      </w:r>
      <w:r w:rsidRPr="002029AF">
        <w:t>‘Grant</w:t>
      </w:r>
      <w:r w:rsidR="000A5329" w:rsidRPr="002029AF">
        <w:t xml:space="preserve"> </w:t>
      </w:r>
      <w:r w:rsidRPr="002029AF">
        <w:t>and</w:t>
      </w:r>
      <w:r w:rsidR="000A5329" w:rsidRPr="002029AF">
        <w:t xml:space="preserve"> </w:t>
      </w:r>
      <w:r w:rsidRPr="002029AF">
        <w:t>other</w:t>
      </w:r>
      <w:r w:rsidR="000A5329" w:rsidRPr="002029AF">
        <w:t xml:space="preserve"> </w:t>
      </w:r>
      <w:r w:rsidRPr="002029AF">
        <w:t>expense</w:t>
      </w:r>
      <w:r w:rsidR="000A5329" w:rsidRPr="002029AF">
        <w:t xml:space="preserve"> </w:t>
      </w:r>
      <w:r w:rsidRPr="002029AF">
        <w:t>transfers’.</w:t>
      </w:r>
      <w:r w:rsidR="000A5329" w:rsidRPr="002029AF">
        <w:t xml:space="preserve"> </w:t>
      </w:r>
      <w:r w:rsidRPr="002029AF">
        <w:t>Grants</w:t>
      </w:r>
      <w:r w:rsidR="000A5329" w:rsidRPr="002029AF">
        <w:t xml:space="preserve"> </w:t>
      </w:r>
      <w:r w:rsidRPr="002029AF">
        <w:t>can</w:t>
      </w:r>
      <w:r w:rsidR="000A5329" w:rsidRPr="002029AF">
        <w:t xml:space="preserve"> </w:t>
      </w:r>
      <w:r w:rsidRPr="002029AF">
        <w:t>either</w:t>
      </w:r>
      <w:r w:rsidR="000A5329" w:rsidRPr="002029AF">
        <w:t xml:space="preserve"> </w:t>
      </w:r>
      <w:r w:rsidRPr="002029AF">
        <w:t>be</w:t>
      </w:r>
      <w:r w:rsidR="000A5329" w:rsidRPr="002029AF">
        <w:t xml:space="preserve"> </w:t>
      </w:r>
      <w:r w:rsidRPr="002029AF">
        <w:t>operating</w:t>
      </w:r>
      <w:r w:rsidR="000A5329" w:rsidRPr="002029AF">
        <w:t xml:space="preserve"> </w:t>
      </w:r>
      <w:r w:rsidRPr="002029AF">
        <w:t>or</w:t>
      </w:r>
      <w:r w:rsidR="000A5329" w:rsidRPr="002029AF">
        <w:t xml:space="preserve"> </w:t>
      </w:r>
      <w:r w:rsidRPr="002029AF">
        <w:t>capital</w:t>
      </w:r>
      <w:r w:rsidR="000A5329" w:rsidRPr="002029AF">
        <w:t xml:space="preserve"> </w:t>
      </w:r>
      <w:r w:rsidRPr="002029AF">
        <w:t>in</w:t>
      </w:r>
      <w:r w:rsidR="000A5329" w:rsidRPr="002029AF">
        <w:t xml:space="preserve"> </w:t>
      </w:r>
      <w:r w:rsidRPr="002029AF">
        <w:t>nature.</w:t>
      </w:r>
    </w:p>
    <w:p w14:paraId="2B247D36" w14:textId="1E5264F1" w:rsidR="00087B91" w:rsidRPr="002029AF" w:rsidRDefault="00087B91" w:rsidP="00087B91">
      <w:pPr>
        <w:pStyle w:val="ARfinbody"/>
      </w:pPr>
      <w:r w:rsidRPr="002029AF">
        <w:t>Grants</w:t>
      </w:r>
      <w:r w:rsidR="000A5329" w:rsidRPr="002029AF">
        <w:t xml:space="preserve"> </w:t>
      </w:r>
      <w:r w:rsidRPr="002029AF">
        <w:t>and</w:t>
      </w:r>
      <w:r w:rsidR="000A5329" w:rsidRPr="002029AF">
        <w:t xml:space="preserve"> </w:t>
      </w:r>
      <w:r w:rsidRPr="002029AF">
        <w:t>other</w:t>
      </w:r>
      <w:r w:rsidR="000A5329" w:rsidRPr="002029AF">
        <w:t xml:space="preserve"> </w:t>
      </w:r>
      <w:r w:rsidRPr="002029AF">
        <w:t>transfers</w:t>
      </w:r>
      <w:r w:rsidR="000A5329" w:rsidRPr="002029AF">
        <w:t xml:space="preserve"> </w:t>
      </w:r>
      <w:r w:rsidRPr="002029AF">
        <w:t>to</w:t>
      </w:r>
      <w:r w:rsidR="000A5329" w:rsidRPr="002029AF">
        <w:t xml:space="preserve"> </w:t>
      </w:r>
      <w:r w:rsidRPr="002029AF">
        <w:t>third</w:t>
      </w:r>
      <w:r w:rsidR="000A5329" w:rsidRPr="002029AF">
        <w:t xml:space="preserve"> </w:t>
      </w:r>
      <w:r w:rsidRPr="002029AF">
        <w:t>parties</w:t>
      </w:r>
      <w:r w:rsidR="000A5329" w:rsidRPr="002029AF">
        <w:t xml:space="preserve"> </w:t>
      </w:r>
      <w:r w:rsidRPr="002029AF">
        <w:t>(other</w:t>
      </w:r>
      <w:r w:rsidR="000A5329" w:rsidRPr="002029AF">
        <w:t xml:space="preserve"> </w:t>
      </w:r>
      <w:r w:rsidRPr="002029AF">
        <w:t>than</w:t>
      </w:r>
      <w:r w:rsidR="000A5329" w:rsidRPr="002029AF">
        <w:t xml:space="preserve"> </w:t>
      </w:r>
      <w:r w:rsidRPr="002029AF">
        <w:t>contribution</w:t>
      </w:r>
      <w:r w:rsidR="000A5329" w:rsidRPr="002029AF">
        <w:t xml:space="preserve"> </w:t>
      </w:r>
      <w:r w:rsidRPr="002029AF">
        <w:t>to</w:t>
      </w:r>
      <w:r w:rsidR="000A5329" w:rsidRPr="002029AF">
        <w:t xml:space="preserve"> </w:t>
      </w:r>
      <w:r w:rsidRPr="002029AF">
        <w:t>owners)</w:t>
      </w:r>
      <w:r w:rsidR="000A5329" w:rsidRPr="002029AF">
        <w:t xml:space="preserve"> </w:t>
      </w:r>
      <w:r w:rsidRPr="002029AF">
        <w:t>are</w:t>
      </w:r>
      <w:r w:rsidR="000A5329" w:rsidRPr="002029AF">
        <w:t xml:space="preserve"> </w:t>
      </w:r>
      <w:r w:rsidRPr="002029AF">
        <w:t>recognised</w:t>
      </w:r>
      <w:r w:rsidR="000A5329" w:rsidRPr="002029AF">
        <w:t xml:space="preserve"> </w:t>
      </w:r>
      <w:r w:rsidRPr="002029AF">
        <w:t>as</w:t>
      </w:r>
      <w:r w:rsidR="000A5329" w:rsidRPr="002029AF">
        <w:t xml:space="preserve"> </w:t>
      </w:r>
      <w:r w:rsidRPr="002029AF">
        <w:t>an</w:t>
      </w:r>
      <w:r w:rsidR="000A5329" w:rsidRPr="002029AF">
        <w:t xml:space="preserve"> </w:t>
      </w:r>
      <w:r w:rsidRPr="002029AF">
        <w:t>expense</w:t>
      </w:r>
      <w:r w:rsidR="000A5329" w:rsidRPr="002029AF">
        <w:t xml:space="preserve"> </w:t>
      </w:r>
      <w:r w:rsidRPr="002029AF">
        <w:t>in</w:t>
      </w:r>
      <w:r w:rsidR="000A5329" w:rsidRPr="002029AF">
        <w:t xml:space="preserve"> </w:t>
      </w:r>
      <w:r w:rsidRPr="002029AF">
        <w:t>the</w:t>
      </w:r>
      <w:r w:rsidR="000A5329" w:rsidRPr="002029AF">
        <w:t xml:space="preserve"> </w:t>
      </w:r>
      <w:r w:rsidRPr="002029AF">
        <w:t>reporting</w:t>
      </w:r>
      <w:r w:rsidR="000A5329" w:rsidRPr="002029AF">
        <w:t xml:space="preserve"> </w:t>
      </w:r>
      <w:r w:rsidRPr="002029AF">
        <w:t>period</w:t>
      </w:r>
      <w:r w:rsidR="000A5329" w:rsidRPr="002029AF">
        <w:t xml:space="preserve"> </w:t>
      </w:r>
      <w:r w:rsidRPr="002029AF">
        <w:t>in</w:t>
      </w:r>
      <w:r w:rsidR="000A5329" w:rsidRPr="002029AF">
        <w:t xml:space="preserve"> </w:t>
      </w:r>
      <w:r w:rsidRPr="002029AF">
        <w:t>which</w:t>
      </w:r>
      <w:r w:rsidR="000A5329" w:rsidRPr="002029AF">
        <w:t xml:space="preserve"> </w:t>
      </w:r>
      <w:r w:rsidRPr="002029AF">
        <w:t>they</w:t>
      </w:r>
      <w:r w:rsidR="000A5329" w:rsidRPr="002029AF">
        <w:t xml:space="preserve"> </w:t>
      </w:r>
      <w:r w:rsidRPr="002029AF">
        <w:t>are</w:t>
      </w:r>
      <w:r w:rsidR="000A5329" w:rsidRPr="002029AF">
        <w:t xml:space="preserve"> </w:t>
      </w:r>
      <w:r w:rsidRPr="002029AF">
        <w:t>paid</w:t>
      </w:r>
      <w:r w:rsidR="000A5329" w:rsidRPr="002029AF">
        <w:t xml:space="preserve"> </w:t>
      </w:r>
      <w:r w:rsidRPr="002029AF">
        <w:t>or</w:t>
      </w:r>
      <w:r w:rsidR="000A5329" w:rsidRPr="002029AF">
        <w:t xml:space="preserve"> </w:t>
      </w:r>
      <w:r w:rsidRPr="002029AF">
        <w:t>payable.</w:t>
      </w:r>
      <w:r w:rsidR="000A5329" w:rsidRPr="002029AF">
        <w:t xml:space="preserve"> </w:t>
      </w:r>
      <w:r w:rsidRPr="002029AF">
        <w:t>They</w:t>
      </w:r>
      <w:r w:rsidR="000A5329" w:rsidRPr="002029AF">
        <w:t xml:space="preserve"> </w:t>
      </w:r>
      <w:r w:rsidRPr="002029AF">
        <w:t>include</w:t>
      </w:r>
      <w:r w:rsidR="000A5329" w:rsidRPr="002029AF">
        <w:t xml:space="preserve"> </w:t>
      </w:r>
      <w:r w:rsidRPr="002029AF">
        <w:t>transactions</w:t>
      </w:r>
      <w:r w:rsidR="000A5329" w:rsidRPr="002029AF">
        <w:t xml:space="preserve"> </w:t>
      </w:r>
      <w:r w:rsidRPr="002029AF">
        <w:t>such</w:t>
      </w:r>
      <w:r w:rsidR="000A5329" w:rsidRPr="002029AF">
        <w:t xml:space="preserve"> </w:t>
      </w:r>
      <w:r w:rsidRPr="002029AF">
        <w:t>as</w:t>
      </w:r>
      <w:r w:rsidR="000A5329" w:rsidRPr="002029AF">
        <w:t xml:space="preserve"> </w:t>
      </w:r>
      <w:r w:rsidRPr="002029AF">
        <w:t>grants,</w:t>
      </w:r>
      <w:r w:rsidR="000A5329" w:rsidRPr="002029AF">
        <w:t xml:space="preserve"> </w:t>
      </w:r>
      <w:r w:rsidRPr="002029AF">
        <w:t>subsidies</w:t>
      </w:r>
      <w:r w:rsidR="000A5329" w:rsidRPr="002029AF">
        <w:t xml:space="preserve"> </w:t>
      </w:r>
      <w:r w:rsidRPr="002029AF">
        <w:t>and</w:t>
      </w:r>
      <w:r w:rsidR="000A5329" w:rsidRPr="002029AF">
        <w:t xml:space="preserve"> </w:t>
      </w:r>
      <w:r w:rsidRPr="002029AF">
        <w:t>other</w:t>
      </w:r>
      <w:r w:rsidR="000A5329" w:rsidRPr="002029AF">
        <w:t xml:space="preserve"> </w:t>
      </w:r>
      <w:r w:rsidRPr="002029AF">
        <w:t>transfer</w:t>
      </w:r>
      <w:r w:rsidR="000A5329" w:rsidRPr="002029AF">
        <w:t xml:space="preserve"> </w:t>
      </w:r>
      <w:r w:rsidRPr="002029AF">
        <w:t>payments</w:t>
      </w:r>
      <w:r w:rsidR="000A5329" w:rsidRPr="002029AF">
        <w:t xml:space="preserve"> </w:t>
      </w:r>
      <w:r w:rsidRPr="002029AF">
        <w:t>to</w:t>
      </w:r>
      <w:r w:rsidR="000A5329" w:rsidRPr="002029AF">
        <w:t xml:space="preserve"> </w:t>
      </w:r>
      <w:r w:rsidRPr="002029AF">
        <w:t>public</w:t>
      </w:r>
      <w:r w:rsidR="000A5329" w:rsidRPr="002029AF">
        <w:t xml:space="preserve"> </w:t>
      </w:r>
      <w:r w:rsidRPr="002029AF">
        <w:t>and</w:t>
      </w:r>
      <w:r w:rsidR="000A5329" w:rsidRPr="002029AF">
        <w:t xml:space="preserve"> </w:t>
      </w:r>
      <w:r w:rsidRPr="002029AF">
        <w:t>denominational</w:t>
      </w:r>
      <w:r w:rsidR="000A5329" w:rsidRPr="002029AF">
        <w:t xml:space="preserve"> </w:t>
      </w:r>
      <w:r w:rsidRPr="002029AF">
        <w:t>hospitals,</w:t>
      </w:r>
      <w:r w:rsidR="000A5329" w:rsidRPr="002029AF">
        <w:t xml:space="preserve"> </w:t>
      </w:r>
      <w:r w:rsidRPr="002029AF">
        <w:t>other</w:t>
      </w:r>
      <w:r w:rsidR="000A5329" w:rsidRPr="002029AF">
        <w:t xml:space="preserve"> </w:t>
      </w:r>
      <w:r w:rsidRPr="002029AF">
        <w:t>state</w:t>
      </w:r>
      <w:r w:rsidR="000A5329" w:rsidRPr="002029AF">
        <w:t xml:space="preserve"> </w:t>
      </w:r>
      <w:r w:rsidRPr="002029AF">
        <w:t>government</w:t>
      </w:r>
      <w:r w:rsidR="000A5329" w:rsidRPr="002029AF">
        <w:t xml:space="preserve"> </w:t>
      </w:r>
      <w:r w:rsidRPr="002029AF">
        <w:t>agencies,</w:t>
      </w:r>
      <w:r w:rsidR="000A5329" w:rsidRPr="002029AF">
        <w:t xml:space="preserve"> </w:t>
      </w:r>
      <w:r w:rsidRPr="002029AF">
        <w:t>local</w:t>
      </w:r>
      <w:r w:rsidR="000A5329" w:rsidRPr="002029AF">
        <w:t xml:space="preserve"> </w:t>
      </w:r>
      <w:r w:rsidRPr="002029AF">
        <w:t>councils</w:t>
      </w:r>
      <w:r w:rsidR="000A5329" w:rsidRPr="002029AF">
        <w:t xml:space="preserve"> </w:t>
      </w:r>
      <w:r w:rsidRPr="002029AF">
        <w:t>and</w:t>
      </w:r>
      <w:r w:rsidR="000A5329" w:rsidRPr="002029AF">
        <w:t xml:space="preserve"> </w:t>
      </w:r>
      <w:r w:rsidRPr="002029AF">
        <w:t>non-government</w:t>
      </w:r>
      <w:r w:rsidR="000A5329" w:rsidRPr="002029AF">
        <w:t xml:space="preserve"> </w:t>
      </w:r>
      <w:r w:rsidRPr="002029AF">
        <w:t>agencies</w:t>
      </w:r>
      <w:r w:rsidR="000A5329" w:rsidRPr="002029AF">
        <w:t xml:space="preserve"> </w:t>
      </w:r>
      <w:r w:rsidRPr="002029AF">
        <w:t>and</w:t>
      </w:r>
      <w:r w:rsidR="000A5329" w:rsidRPr="002029AF">
        <w:t xml:space="preserve"> </w:t>
      </w:r>
      <w:r w:rsidRPr="002029AF">
        <w:t>individuals</w:t>
      </w:r>
      <w:r w:rsidR="000A5329" w:rsidRPr="002029AF">
        <w:t xml:space="preserve"> </w:t>
      </w:r>
      <w:r w:rsidRPr="002029AF">
        <w:t>and</w:t>
      </w:r>
      <w:r w:rsidR="000A5329" w:rsidRPr="002029AF">
        <w:t xml:space="preserve"> </w:t>
      </w:r>
      <w:r w:rsidRPr="002029AF">
        <w:t>the</w:t>
      </w:r>
      <w:r w:rsidR="000A5329" w:rsidRPr="002029AF">
        <w:t xml:space="preserve"> </w:t>
      </w:r>
      <w:r w:rsidRPr="002029AF">
        <w:t>state</w:t>
      </w:r>
      <w:r w:rsidR="000A5329" w:rsidRPr="002029AF">
        <w:t xml:space="preserve"> </w:t>
      </w:r>
      <w:r w:rsidRPr="002029AF">
        <w:t>contribution</w:t>
      </w:r>
      <w:r w:rsidR="000A5329" w:rsidRPr="002029AF">
        <w:t xml:space="preserve"> </w:t>
      </w:r>
      <w:r w:rsidRPr="002029AF">
        <w:t>to</w:t>
      </w:r>
      <w:r w:rsidR="000A5329" w:rsidRPr="002029AF">
        <w:t xml:space="preserve"> </w:t>
      </w:r>
      <w:r w:rsidRPr="002029AF">
        <w:t>the</w:t>
      </w:r>
      <w:r w:rsidR="000A5329" w:rsidRPr="002029AF">
        <w:t xml:space="preserve"> </w:t>
      </w:r>
      <w:r w:rsidRPr="002029AF">
        <w:t>National</w:t>
      </w:r>
      <w:r w:rsidR="000A5329" w:rsidRPr="002029AF">
        <w:t xml:space="preserve"> </w:t>
      </w:r>
      <w:r w:rsidRPr="002029AF">
        <w:t>Health</w:t>
      </w:r>
      <w:r w:rsidR="000A5329" w:rsidRPr="002029AF">
        <w:t xml:space="preserve"> </w:t>
      </w:r>
      <w:r w:rsidRPr="002029AF">
        <w:t>Funding</w:t>
      </w:r>
      <w:r w:rsidR="000A5329" w:rsidRPr="002029AF">
        <w:t xml:space="preserve"> </w:t>
      </w:r>
      <w:r w:rsidRPr="002029AF">
        <w:t>Pool.</w:t>
      </w:r>
    </w:p>
    <w:p w14:paraId="31E44314" w14:textId="15B82FCC" w:rsidR="00087B91" w:rsidRPr="002029AF" w:rsidRDefault="00087B91" w:rsidP="00087B91">
      <w:pPr>
        <w:pStyle w:val="ARfinbody"/>
      </w:pPr>
      <w:r w:rsidRPr="002029AF">
        <w:t>State</w:t>
      </w:r>
      <w:r w:rsidR="000A5329" w:rsidRPr="002029AF">
        <w:t xml:space="preserve"> </w:t>
      </w:r>
      <w:r w:rsidRPr="002029AF">
        <w:t>funds</w:t>
      </w:r>
      <w:r w:rsidR="000A5329" w:rsidRPr="002029AF">
        <w:t xml:space="preserve"> </w:t>
      </w:r>
      <w:r w:rsidRPr="002029AF">
        <w:t>in</w:t>
      </w:r>
      <w:r w:rsidR="000A5329" w:rsidRPr="002029AF">
        <w:t xml:space="preserve"> </w:t>
      </w:r>
      <w:r w:rsidRPr="002029AF">
        <w:t>the</w:t>
      </w:r>
      <w:r w:rsidR="000A5329" w:rsidRPr="002029AF">
        <w:t xml:space="preserve"> </w:t>
      </w:r>
      <w:r w:rsidRPr="002029AF">
        <w:t>National</w:t>
      </w:r>
      <w:r w:rsidR="000A5329" w:rsidRPr="002029AF">
        <w:t xml:space="preserve"> </w:t>
      </w:r>
      <w:r w:rsidRPr="002029AF">
        <w:t>Health</w:t>
      </w:r>
      <w:r w:rsidR="000A5329" w:rsidRPr="002029AF">
        <w:t xml:space="preserve"> </w:t>
      </w:r>
      <w:r w:rsidRPr="002029AF">
        <w:t>Funding</w:t>
      </w:r>
      <w:r w:rsidR="000A5329" w:rsidRPr="002029AF">
        <w:t xml:space="preserve"> </w:t>
      </w:r>
      <w:r w:rsidRPr="002029AF">
        <w:t>Pool</w:t>
      </w:r>
      <w:r w:rsidR="000A5329" w:rsidRPr="002029AF">
        <w:t xml:space="preserve"> </w:t>
      </w:r>
      <w:r w:rsidRPr="002029AF">
        <w:t>are</w:t>
      </w:r>
      <w:r w:rsidR="000A5329" w:rsidRPr="002029AF">
        <w:t xml:space="preserve"> </w:t>
      </w:r>
      <w:r w:rsidRPr="002029AF">
        <w:t>paid</w:t>
      </w:r>
      <w:r w:rsidR="000A5329" w:rsidRPr="002029AF">
        <w:t xml:space="preserve"> </w:t>
      </w:r>
      <w:r w:rsidRPr="002029AF">
        <w:t>to</w:t>
      </w:r>
      <w:r w:rsidR="000A5329" w:rsidRPr="002029AF">
        <w:t xml:space="preserve"> </w:t>
      </w:r>
      <w:r w:rsidRPr="002029AF">
        <w:t>health</w:t>
      </w:r>
      <w:r w:rsidR="000A5329" w:rsidRPr="002029AF">
        <w:t xml:space="preserve"> </w:t>
      </w:r>
      <w:r w:rsidRPr="002029AF">
        <w:t>agencies</w:t>
      </w:r>
      <w:r w:rsidR="000A5329" w:rsidRPr="002029AF">
        <w:t xml:space="preserve"> </w:t>
      </w:r>
      <w:r w:rsidRPr="002029AF">
        <w:t>for</w:t>
      </w:r>
      <w:r w:rsidR="000A5329" w:rsidRPr="002029AF">
        <w:t xml:space="preserve"> </w:t>
      </w:r>
      <w:r w:rsidRPr="002029AF">
        <w:t>Activity</w:t>
      </w:r>
      <w:r w:rsidR="000A5329" w:rsidRPr="002029AF">
        <w:t xml:space="preserve"> </w:t>
      </w:r>
      <w:r w:rsidRPr="002029AF">
        <w:t>Based</w:t>
      </w:r>
      <w:r w:rsidR="000A5329" w:rsidRPr="002029AF">
        <w:t xml:space="preserve"> </w:t>
      </w:r>
      <w:r w:rsidRPr="002029AF">
        <w:t>Funding</w:t>
      </w:r>
      <w:r w:rsidR="000A5329" w:rsidRPr="002029AF">
        <w:t xml:space="preserve"> </w:t>
      </w:r>
      <w:r w:rsidRPr="002029AF">
        <w:t>initiatives.</w:t>
      </w:r>
      <w:r w:rsidR="000A5329" w:rsidRPr="002029AF">
        <w:t xml:space="preserve"> </w:t>
      </w:r>
      <w:r w:rsidRPr="002029AF">
        <w:t>There</w:t>
      </w:r>
      <w:r w:rsidR="000A5329" w:rsidRPr="002029AF">
        <w:t xml:space="preserve"> </w:t>
      </w:r>
      <w:r w:rsidRPr="002029AF">
        <w:t>are,</w:t>
      </w:r>
      <w:r w:rsidR="000A5329" w:rsidRPr="002029AF">
        <w:t xml:space="preserve"> </w:t>
      </w:r>
      <w:r w:rsidRPr="002029AF">
        <w:t>however,</w:t>
      </w:r>
      <w:r w:rsidR="000A5329" w:rsidRPr="002029AF">
        <w:t xml:space="preserve"> </w:t>
      </w:r>
      <w:r w:rsidRPr="002029AF">
        <w:t>a</w:t>
      </w:r>
      <w:r w:rsidR="000A5329" w:rsidRPr="002029AF">
        <w:t xml:space="preserve"> </w:t>
      </w:r>
      <w:r w:rsidRPr="002029AF">
        <w:t>range</w:t>
      </w:r>
      <w:r w:rsidR="000A5329" w:rsidRPr="002029AF">
        <w:t xml:space="preserve"> </w:t>
      </w:r>
      <w:r w:rsidRPr="002029AF">
        <w:t>of</w:t>
      </w:r>
      <w:r w:rsidR="000A5329" w:rsidRPr="002029AF">
        <w:t xml:space="preserve"> </w:t>
      </w:r>
      <w:r w:rsidRPr="002029AF">
        <w:t>grant</w:t>
      </w:r>
      <w:r w:rsidR="000A5329" w:rsidRPr="002029AF">
        <w:t xml:space="preserve"> </w:t>
      </w:r>
      <w:r w:rsidRPr="002029AF">
        <w:t>payments</w:t>
      </w:r>
      <w:r w:rsidR="000A5329" w:rsidRPr="002029AF">
        <w:t xml:space="preserve"> </w:t>
      </w:r>
      <w:r w:rsidRPr="002029AF">
        <w:t>that</w:t>
      </w:r>
      <w:r w:rsidR="000A5329" w:rsidRPr="002029AF">
        <w:t xml:space="preserve"> </w:t>
      </w:r>
      <w:r w:rsidRPr="002029AF">
        <w:t>remain</w:t>
      </w:r>
      <w:r w:rsidR="000A5329" w:rsidRPr="002029AF">
        <w:t xml:space="preserve"> </w:t>
      </w:r>
      <w:r w:rsidRPr="002029AF">
        <w:t>out</w:t>
      </w:r>
      <w:r w:rsidR="000A5329" w:rsidRPr="002029AF">
        <w:t xml:space="preserve"> </w:t>
      </w:r>
      <w:r w:rsidRPr="002029AF">
        <w:t>of</w:t>
      </w:r>
      <w:r w:rsidR="000A5329" w:rsidRPr="002029AF">
        <w:t xml:space="preserve"> </w:t>
      </w:r>
      <w:r w:rsidRPr="002029AF">
        <w:t>scope</w:t>
      </w:r>
      <w:r w:rsidR="000A5329" w:rsidRPr="002029AF">
        <w:t xml:space="preserve"> </w:t>
      </w:r>
      <w:r w:rsidRPr="002029AF">
        <w:t>for</w:t>
      </w:r>
      <w:r w:rsidR="000A5329" w:rsidRPr="002029AF">
        <w:t xml:space="preserve"> </w:t>
      </w:r>
      <w:r w:rsidRPr="002029AF">
        <w:t>National</w:t>
      </w:r>
      <w:r w:rsidR="000A5329" w:rsidRPr="002029AF">
        <w:t xml:space="preserve"> </w:t>
      </w:r>
      <w:r w:rsidRPr="002029AF">
        <w:t>Health</w:t>
      </w:r>
      <w:r w:rsidR="000A5329" w:rsidRPr="002029AF">
        <w:t xml:space="preserve"> </w:t>
      </w:r>
      <w:r w:rsidRPr="002029AF">
        <w:t>Reform,</w:t>
      </w:r>
      <w:r w:rsidR="000A5329" w:rsidRPr="002029AF">
        <w:t xml:space="preserve"> </w:t>
      </w:r>
      <w:r w:rsidRPr="002029AF">
        <w:t>such</w:t>
      </w:r>
      <w:r w:rsidR="000A5329" w:rsidRPr="002029AF">
        <w:t xml:space="preserve"> </w:t>
      </w:r>
      <w:r w:rsidRPr="002029AF">
        <w:t>as</w:t>
      </w:r>
      <w:r w:rsidR="000A5329" w:rsidRPr="002029AF">
        <w:t xml:space="preserve"> </w:t>
      </w:r>
      <w:r w:rsidRPr="002029AF">
        <w:t>aged</w:t>
      </w:r>
      <w:r w:rsidR="000A5329" w:rsidRPr="002029AF">
        <w:t xml:space="preserve"> </w:t>
      </w:r>
      <w:r w:rsidRPr="002029AF">
        <w:t>care</w:t>
      </w:r>
      <w:r w:rsidR="000A5329" w:rsidRPr="002029AF">
        <w:t xml:space="preserve"> </w:t>
      </w:r>
      <w:r w:rsidRPr="002029AF">
        <w:t>subsidies,</w:t>
      </w:r>
      <w:r w:rsidR="000A5329" w:rsidRPr="002029AF">
        <w:t xml:space="preserve"> </w:t>
      </w:r>
      <w:r w:rsidRPr="002029AF">
        <w:t>home</w:t>
      </w:r>
      <w:r w:rsidR="000A5329" w:rsidRPr="002029AF">
        <w:t xml:space="preserve"> </w:t>
      </w:r>
      <w:r w:rsidRPr="002029AF">
        <w:t>and</w:t>
      </w:r>
      <w:r w:rsidR="000A5329" w:rsidRPr="002029AF">
        <w:t xml:space="preserve"> </w:t>
      </w:r>
      <w:r w:rsidRPr="002029AF">
        <w:t>community</w:t>
      </w:r>
      <w:r w:rsidR="000A5329" w:rsidRPr="002029AF">
        <w:t xml:space="preserve"> </w:t>
      </w:r>
      <w:r w:rsidRPr="002029AF">
        <w:t>care</w:t>
      </w:r>
      <w:r w:rsidR="000A5329" w:rsidRPr="002029AF">
        <w:t xml:space="preserve"> </w:t>
      </w:r>
      <w:r w:rsidRPr="002029AF">
        <w:t>payments</w:t>
      </w:r>
      <w:r w:rsidR="000A5329" w:rsidRPr="002029AF">
        <w:t xml:space="preserve"> </w:t>
      </w:r>
      <w:r w:rsidRPr="002029AF">
        <w:t>and</w:t>
      </w:r>
      <w:r w:rsidR="000A5329" w:rsidRPr="002029AF">
        <w:t xml:space="preserve"> </w:t>
      </w:r>
      <w:r w:rsidRPr="002029AF">
        <w:t>community-based</w:t>
      </w:r>
      <w:r w:rsidR="000A5329" w:rsidRPr="002029AF">
        <w:t xml:space="preserve"> </w:t>
      </w:r>
      <w:r w:rsidRPr="002029AF">
        <w:t>drug</w:t>
      </w:r>
      <w:r w:rsidR="000A5329" w:rsidRPr="002029AF">
        <w:t xml:space="preserve"> </w:t>
      </w:r>
      <w:r w:rsidRPr="002029AF">
        <w:t>and</w:t>
      </w:r>
      <w:r w:rsidR="000A5329" w:rsidRPr="002029AF">
        <w:t xml:space="preserve"> </w:t>
      </w:r>
      <w:r w:rsidRPr="002029AF">
        <w:t>alcohol</w:t>
      </w:r>
      <w:r w:rsidR="000A5329" w:rsidRPr="002029AF">
        <w:t xml:space="preserve"> </w:t>
      </w:r>
      <w:r w:rsidRPr="002029AF">
        <w:t>services</w:t>
      </w:r>
      <w:r w:rsidR="000A5329" w:rsidRPr="002029AF">
        <w:t xml:space="preserve"> </w:t>
      </w:r>
      <w:r w:rsidRPr="002029AF">
        <w:t>that</w:t>
      </w:r>
      <w:r w:rsidR="000A5329" w:rsidRPr="002029AF">
        <w:t xml:space="preserve"> </w:t>
      </w:r>
      <w:r w:rsidRPr="002029AF">
        <w:t>continue</w:t>
      </w:r>
      <w:r w:rsidR="000A5329" w:rsidRPr="002029AF">
        <w:t xml:space="preserve"> </w:t>
      </w:r>
      <w:r w:rsidRPr="002029AF">
        <w:t>to</w:t>
      </w:r>
      <w:r w:rsidR="000A5329" w:rsidRPr="002029AF">
        <w:t xml:space="preserve"> </w:t>
      </w:r>
      <w:r w:rsidRPr="002029AF">
        <w:t>be</w:t>
      </w:r>
      <w:r w:rsidR="000A5329" w:rsidRPr="002029AF">
        <w:t xml:space="preserve"> </w:t>
      </w:r>
      <w:r w:rsidRPr="002029AF">
        <w:t>paid</w:t>
      </w:r>
      <w:r w:rsidR="000A5329" w:rsidRPr="002029AF">
        <w:t xml:space="preserve"> </w:t>
      </w:r>
      <w:r w:rsidRPr="002029AF">
        <w:t>directly</w:t>
      </w:r>
      <w:r w:rsidR="000A5329" w:rsidRPr="002029AF">
        <w:t xml:space="preserve"> </w:t>
      </w:r>
      <w:r w:rsidRPr="002029AF">
        <w:t>to</w:t>
      </w:r>
      <w:r w:rsidR="000A5329" w:rsidRPr="002029AF">
        <w:t xml:space="preserve"> </w:t>
      </w:r>
      <w:r w:rsidRPr="002029AF">
        <w:t>health</w:t>
      </w:r>
      <w:r w:rsidR="000A5329" w:rsidRPr="002029AF">
        <w:t xml:space="preserve"> </w:t>
      </w:r>
      <w:r w:rsidRPr="002029AF">
        <w:t>agencies.</w:t>
      </w:r>
    </w:p>
    <w:p w14:paraId="1CEE3487" w14:textId="32F5274F" w:rsidR="00087B91" w:rsidRPr="002029AF" w:rsidRDefault="00087B91" w:rsidP="00087B91">
      <w:pPr>
        <w:pStyle w:val="Heading6"/>
        <w:rPr>
          <w:lang w:val="en-AU"/>
        </w:rPr>
      </w:pPr>
      <w:r w:rsidRPr="002029AF">
        <w:rPr>
          <w:lang w:val="en-AU"/>
        </w:rPr>
        <w:t>Impact</w:t>
      </w:r>
      <w:r w:rsidR="000A5329" w:rsidRPr="002029AF">
        <w:rPr>
          <w:lang w:val="en-AU"/>
        </w:rPr>
        <w:t xml:space="preserve"> </w:t>
      </w:r>
      <w:r w:rsidRPr="002029AF">
        <w:rPr>
          <w:lang w:val="en-AU"/>
        </w:rPr>
        <w:t>of</w:t>
      </w:r>
      <w:r w:rsidR="000A5329" w:rsidRPr="002029AF">
        <w:rPr>
          <w:lang w:val="en-AU"/>
        </w:rPr>
        <w:t xml:space="preserve"> </w:t>
      </w:r>
      <w:r w:rsidRPr="002029AF">
        <w:rPr>
          <w:lang w:val="en-AU"/>
        </w:rPr>
        <w:t>coronavirus</w:t>
      </w:r>
      <w:r w:rsidR="000A5329" w:rsidRPr="002029AF">
        <w:rPr>
          <w:lang w:val="en-AU"/>
        </w:rPr>
        <w:t xml:space="preserve"> </w:t>
      </w:r>
      <w:r w:rsidRPr="002029AF">
        <w:rPr>
          <w:lang w:val="en-AU"/>
        </w:rPr>
        <w:t>(COVID-19)</w:t>
      </w:r>
      <w:r w:rsidR="000A5329" w:rsidRPr="002029AF">
        <w:rPr>
          <w:lang w:val="en-AU"/>
        </w:rPr>
        <w:t xml:space="preserve"> </w:t>
      </w:r>
      <w:r w:rsidRPr="002029AF">
        <w:rPr>
          <w:lang w:val="en-AU"/>
        </w:rPr>
        <w:t>on</w:t>
      </w:r>
      <w:r w:rsidR="000A5329" w:rsidRPr="002029AF">
        <w:rPr>
          <w:lang w:val="en-AU"/>
        </w:rPr>
        <w:t xml:space="preserve"> </w:t>
      </w:r>
      <w:r w:rsidRPr="002029AF">
        <w:rPr>
          <w:lang w:val="en-AU"/>
        </w:rPr>
        <w:t>expenses</w:t>
      </w:r>
    </w:p>
    <w:p w14:paraId="7961E5D9" w14:textId="32E04C6E" w:rsidR="00087B91" w:rsidRPr="002029AF" w:rsidRDefault="00087B91" w:rsidP="00087B91">
      <w:pPr>
        <w:pStyle w:val="ARfinbodyaftertable"/>
      </w:pP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provided</w:t>
      </w:r>
      <w:r w:rsidR="000A5329" w:rsidRPr="002029AF">
        <w:t xml:space="preserve"> </w:t>
      </w:r>
      <w:r w:rsidRPr="002029AF">
        <w:t>additional</w:t>
      </w:r>
      <w:r w:rsidR="000A5329" w:rsidRPr="002029AF">
        <w:t xml:space="preserve"> </w:t>
      </w:r>
      <w:r w:rsidRPr="002029AF">
        <w:t>funding</w:t>
      </w:r>
      <w:r w:rsidR="000A5329" w:rsidRPr="002029AF">
        <w:t xml:space="preserve"> </w:t>
      </w:r>
      <w:r w:rsidRPr="002029AF">
        <w:t>to</w:t>
      </w:r>
      <w:r w:rsidR="000A5329" w:rsidRPr="002029AF">
        <w:t xml:space="preserve"> </w:t>
      </w:r>
      <w:r w:rsidRPr="002029AF">
        <w:t>the</w:t>
      </w:r>
      <w:r w:rsidR="000A5329" w:rsidRPr="002029AF">
        <w:t xml:space="preserve"> </w:t>
      </w:r>
      <w:r w:rsidRPr="002029AF">
        <w:t>health</w:t>
      </w:r>
      <w:r w:rsidR="000A5329" w:rsidRPr="002029AF">
        <w:t xml:space="preserve"> </w:t>
      </w:r>
      <w:r w:rsidRPr="002029AF">
        <w:t>agencies</w:t>
      </w:r>
      <w:r w:rsidR="000A5329" w:rsidRPr="002029AF">
        <w:t xml:space="preserve"> </w:t>
      </w:r>
      <w:r w:rsidRPr="002029AF">
        <w:t>and</w:t>
      </w:r>
      <w:r w:rsidR="000A5329" w:rsidRPr="002029AF">
        <w:t xml:space="preserve"> </w:t>
      </w:r>
      <w:r w:rsidRPr="002029AF">
        <w:t>other</w:t>
      </w:r>
      <w:r w:rsidR="000A5329" w:rsidRPr="002029AF">
        <w:t xml:space="preserve"> </w:t>
      </w:r>
      <w:r w:rsidRPr="002029AF">
        <w:t>organisations</w:t>
      </w:r>
      <w:r w:rsidR="000A5329" w:rsidRPr="002029AF">
        <w:t xml:space="preserve"> </w:t>
      </w:r>
      <w:r w:rsidRPr="002029AF">
        <w:t>to</w:t>
      </w:r>
      <w:r w:rsidR="000A5329" w:rsidRPr="002029AF">
        <w:t xml:space="preserve"> </w:t>
      </w:r>
      <w:r w:rsidRPr="002029AF">
        <w:t>assist</w:t>
      </w:r>
      <w:r w:rsidR="000A5329" w:rsidRPr="002029AF">
        <w:t xml:space="preserve"> </w:t>
      </w:r>
      <w:r w:rsidRPr="002029AF">
        <w:t>with</w:t>
      </w:r>
      <w:r w:rsidR="000A5329" w:rsidRPr="002029AF">
        <w:t xml:space="preserve"> </w:t>
      </w:r>
      <w:r w:rsidRPr="002029AF">
        <w:t>the</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response,</w:t>
      </w:r>
      <w:r w:rsidR="000A5329" w:rsidRPr="002029AF">
        <w:t xml:space="preserve"> </w:t>
      </w:r>
      <w:r w:rsidRPr="002029AF">
        <w:t>allocated</w:t>
      </w:r>
      <w:r w:rsidR="000A5329" w:rsidRPr="002029AF">
        <w:t xml:space="preserve"> </w:t>
      </w:r>
      <w:r w:rsidRPr="002029AF">
        <w:t>additional</w:t>
      </w:r>
      <w:r w:rsidR="000A5329" w:rsidRPr="002029AF">
        <w:t xml:space="preserve"> </w:t>
      </w:r>
      <w:r w:rsidRPr="002029AF">
        <w:t>resources</w:t>
      </w:r>
      <w:r w:rsidR="000A5329" w:rsidRPr="002029AF">
        <w:t xml:space="preserve"> </w:t>
      </w:r>
      <w:r w:rsidRPr="002029AF">
        <w:t>to</w:t>
      </w:r>
      <w:r w:rsidR="000A5329" w:rsidRPr="002029AF">
        <w:t xml:space="preserve"> </w:t>
      </w:r>
      <w:r w:rsidRPr="002029AF">
        <w:t>attend</w:t>
      </w:r>
      <w:r w:rsidR="000A5329" w:rsidRPr="002029AF">
        <w:t xml:space="preserve"> </w:t>
      </w:r>
      <w:r w:rsidRPr="002029AF">
        <w:t>to</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public</w:t>
      </w:r>
      <w:r w:rsidR="000A5329" w:rsidRPr="002029AF">
        <w:t xml:space="preserve"> </w:t>
      </w:r>
      <w:r w:rsidRPr="002029AF">
        <w:t>queries</w:t>
      </w:r>
      <w:r w:rsidR="000A5329" w:rsidRPr="002029AF">
        <w:t xml:space="preserve"> </w:t>
      </w:r>
      <w:r w:rsidRPr="002029AF">
        <w:t>and</w:t>
      </w:r>
      <w:r w:rsidR="000A5329" w:rsidRPr="002029AF">
        <w:t xml:space="preserve"> </w:t>
      </w:r>
      <w:r w:rsidRPr="002029AF">
        <w:t>contact</w:t>
      </w:r>
      <w:r w:rsidR="000A5329" w:rsidRPr="002029AF">
        <w:t xml:space="preserve"> </w:t>
      </w:r>
      <w:r w:rsidRPr="002029AF">
        <w:t>tracing</w:t>
      </w:r>
      <w:r w:rsidR="000A5329" w:rsidRPr="002029AF">
        <w:t xml:space="preserve"> </w:t>
      </w:r>
      <w:r w:rsidRPr="002029AF">
        <w:t>and</w:t>
      </w:r>
      <w:r w:rsidR="000A5329" w:rsidRPr="002029AF">
        <w:t xml:space="preserve"> </w:t>
      </w:r>
      <w:r w:rsidRPr="002029AF">
        <w:t>also</w:t>
      </w:r>
      <w:r w:rsidR="000A5329" w:rsidRPr="002029AF">
        <w:t xml:space="preserve"> </w:t>
      </w:r>
      <w:r w:rsidRPr="002029AF">
        <w:t>implemented</w:t>
      </w:r>
      <w:r w:rsidR="000A5329" w:rsidRPr="002029AF">
        <w:t xml:space="preserve"> </w:t>
      </w:r>
      <w:r w:rsidRPr="002029AF">
        <w:t>work</w:t>
      </w:r>
      <w:r w:rsidR="000A5329" w:rsidRPr="002029AF">
        <w:t xml:space="preserve"> </w:t>
      </w:r>
      <w:r w:rsidRPr="002029AF">
        <w:t>from</w:t>
      </w:r>
      <w:r w:rsidR="000A5329" w:rsidRPr="002029AF">
        <w:t xml:space="preserve"> </w:t>
      </w:r>
      <w:r w:rsidRPr="002029AF">
        <w:t>home</w:t>
      </w:r>
      <w:r w:rsidR="000A5329" w:rsidRPr="002029AF">
        <w:t xml:space="preserve"> </w:t>
      </w:r>
      <w:r w:rsidRPr="002029AF">
        <w:t>arrangements</w:t>
      </w:r>
      <w:r w:rsidR="000A5329" w:rsidRPr="002029AF">
        <w:t xml:space="preserve"> </w:t>
      </w:r>
      <w:r w:rsidRPr="002029AF">
        <w:t>where</w:t>
      </w:r>
      <w:r w:rsidR="000A5329" w:rsidRPr="002029AF">
        <w:t xml:space="preserve"> </w:t>
      </w:r>
      <w:r w:rsidRPr="002029AF">
        <w:t>appropriate.</w:t>
      </w:r>
    </w:p>
    <w:p w14:paraId="3BBBA89F" w14:textId="2FD17C49" w:rsidR="00087B91" w:rsidRPr="002029AF" w:rsidRDefault="00087B91" w:rsidP="00087B91">
      <w:pPr>
        <w:pStyle w:val="Heading5"/>
      </w:pPr>
      <w:bookmarkStart w:id="313" w:name="_Toc39136702"/>
      <w:r w:rsidRPr="002029AF">
        <w:t>3.1.3</w:t>
      </w:r>
      <w:r w:rsidR="000A5329" w:rsidRPr="002029AF">
        <w:t xml:space="preserve"> </w:t>
      </w:r>
      <w:r w:rsidRPr="002029AF">
        <w:t>Capital</w:t>
      </w:r>
      <w:r w:rsidR="000A5329" w:rsidRPr="002029AF">
        <w:t xml:space="preserve"> </w:t>
      </w:r>
      <w:r w:rsidRPr="002029AF">
        <w:t>asset</w:t>
      </w:r>
      <w:r w:rsidR="000A5329" w:rsidRPr="002029AF">
        <w:t xml:space="preserve"> </w:t>
      </w:r>
      <w:r w:rsidRPr="002029AF">
        <w:t>charge</w:t>
      </w:r>
      <w:bookmarkEnd w:id="313"/>
    </w:p>
    <w:tbl>
      <w:tblPr>
        <w:tblStyle w:val="TableGrid"/>
        <w:tblW w:w="9637" w:type="dxa"/>
        <w:tblLayout w:type="fixed"/>
        <w:tblLook w:val="06A0" w:firstRow="1" w:lastRow="0" w:firstColumn="1" w:lastColumn="0" w:noHBand="1" w:noVBand="1"/>
      </w:tblPr>
      <w:tblGrid>
        <w:gridCol w:w="7371"/>
        <w:gridCol w:w="1133"/>
        <w:gridCol w:w="1133"/>
      </w:tblGrid>
      <w:tr w:rsidR="00087B91" w:rsidRPr="002029AF" w14:paraId="3439C37A"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7371" w:type="dxa"/>
            <w:noWrap/>
            <w:hideMark/>
          </w:tcPr>
          <w:p w14:paraId="2940C018" w14:textId="77777777" w:rsidR="00087B91" w:rsidRPr="002029AF" w:rsidRDefault="00087B91" w:rsidP="00860E95">
            <w:pPr>
              <w:pStyle w:val="ARfintablecolhead"/>
            </w:pPr>
          </w:p>
        </w:tc>
        <w:tc>
          <w:tcPr>
            <w:tcW w:w="1133" w:type="dxa"/>
            <w:shd w:val="clear" w:color="auto" w:fill="E7E6E6"/>
            <w:hideMark/>
          </w:tcPr>
          <w:p w14:paraId="34161483" w14:textId="77777777" w:rsidR="00087B91" w:rsidRPr="002029AF" w:rsidRDefault="00087B91" w:rsidP="00860E95">
            <w:pPr>
              <w:pStyle w:val="ARfintablecolheadright"/>
            </w:pPr>
            <w:r w:rsidRPr="002029AF">
              <w:t>2020</w:t>
            </w:r>
          </w:p>
          <w:p w14:paraId="4E1DBD7B" w14:textId="77777777" w:rsidR="00087B91" w:rsidRPr="002029AF" w:rsidRDefault="00087B91" w:rsidP="00860E95">
            <w:pPr>
              <w:pStyle w:val="ARfintablecolheadright"/>
            </w:pPr>
            <w:r w:rsidRPr="002029AF">
              <w:t>$M</w:t>
            </w:r>
          </w:p>
        </w:tc>
        <w:tc>
          <w:tcPr>
            <w:tcW w:w="1133" w:type="dxa"/>
            <w:hideMark/>
          </w:tcPr>
          <w:p w14:paraId="65FAF3FE" w14:textId="77777777" w:rsidR="00087B91" w:rsidRPr="002029AF" w:rsidRDefault="00087B91" w:rsidP="00860E95">
            <w:pPr>
              <w:pStyle w:val="ARfintablecolheadright"/>
            </w:pPr>
            <w:r w:rsidRPr="002029AF">
              <w:t>2019</w:t>
            </w:r>
          </w:p>
          <w:p w14:paraId="676F4F15" w14:textId="77777777" w:rsidR="00087B91" w:rsidRPr="002029AF" w:rsidRDefault="00087B91" w:rsidP="00860E95">
            <w:pPr>
              <w:pStyle w:val="ARfintablecolheadright"/>
            </w:pPr>
            <w:r w:rsidRPr="002029AF">
              <w:t>$M</w:t>
            </w:r>
          </w:p>
        </w:tc>
      </w:tr>
      <w:tr w:rsidR="00087B91" w:rsidRPr="002029AF" w14:paraId="25DC436E" w14:textId="77777777" w:rsidTr="00860E95">
        <w:tc>
          <w:tcPr>
            <w:tcW w:w="7371" w:type="dxa"/>
            <w:hideMark/>
          </w:tcPr>
          <w:p w14:paraId="270CF9E9" w14:textId="3986C0DF" w:rsidR="00087B91" w:rsidRPr="002029AF" w:rsidRDefault="00087B91" w:rsidP="00860E95">
            <w:pPr>
              <w:pStyle w:val="ARfintablebody"/>
            </w:pPr>
            <w:r w:rsidRPr="002029AF">
              <w:t>Capital</w:t>
            </w:r>
            <w:r w:rsidR="000A5329" w:rsidRPr="002029AF">
              <w:t xml:space="preserve"> </w:t>
            </w:r>
            <w:r w:rsidRPr="002029AF">
              <w:t>asset</w:t>
            </w:r>
            <w:r w:rsidR="000A5329" w:rsidRPr="002029AF">
              <w:t xml:space="preserve"> </w:t>
            </w:r>
            <w:r w:rsidRPr="002029AF">
              <w:t>charge</w:t>
            </w:r>
          </w:p>
        </w:tc>
        <w:tc>
          <w:tcPr>
            <w:tcW w:w="1133" w:type="dxa"/>
            <w:shd w:val="clear" w:color="auto" w:fill="E7E6E6"/>
            <w:noWrap/>
            <w:hideMark/>
          </w:tcPr>
          <w:p w14:paraId="37DC2A46" w14:textId="77777777" w:rsidR="00087B91" w:rsidRPr="002029AF" w:rsidRDefault="00087B91" w:rsidP="00860E95">
            <w:pPr>
              <w:pStyle w:val="ARfintablebodyright"/>
            </w:pPr>
            <w:r w:rsidRPr="002029AF">
              <w:t>1,319.8</w:t>
            </w:r>
          </w:p>
        </w:tc>
        <w:tc>
          <w:tcPr>
            <w:tcW w:w="1133" w:type="dxa"/>
            <w:noWrap/>
            <w:hideMark/>
          </w:tcPr>
          <w:p w14:paraId="144E95FA" w14:textId="77777777" w:rsidR="00087B91" w:rsidRPr="002029AF" w:rsidRDefault="00087B91" w:rsidP="00860E95">
            <w:pPr>
              <w:pStyle w:val="ARfintablebodyright"/>
            </w:pPr>
            <w:r w:rsidRPr="002029AF">
              <w:t>1,266.0</w:t>
            </w:r>
          </w:p>
        </w:tc>
      </w:tr>
    </w:tbl>
    <w:p w14:paraId="0E13A1DD" w14:textId="6A0A03FC" w:rsidR="00087B91" w:rsidRPr="002029AF" w:rsidRDefault="00087B91" w:rsidP="00087B91">
      <w:pPr>
        <w:pStyle w:val="ARfinbodyaftertable"/>
      </w:pPr>
      <w:r w:rsidRPr="002029AF">
        <w:t>A</w:t>
      </w:r>
      <w:r w:rsidR="000A5329" w:rsidRPr="002029AF">
        <w:t xml:space="preserve"> </w:t>
      </w:r>
      <w:r w:rsidRPr="002029AF">
        <w:rPr>
          <w:rStyle w:val="Strong"/>
        </w:rPr>
        <w:t>capital</w:t>
      </w:r>
      <w:r w:rsidR="000A5329" w:rsidRPr="002029AF">
        <w:rPr>
          <w:rStyle w:val="Strong"/>
        </w:rPr>
        <w:t xml:space="preserve"> </w:t>
      </w:r>
      <w:r w:rsidRPr="002029AF">
        <w:rPr>
          <w:rStyle w:val="Strong"/>
        </w:rPr>
        <w:t>asset</w:t>
      </w:r>
      <w:r w:rsidR="000A5329" w:rsidRPr="002029AF">
        <w:rPr>
          <w:rStyle w:val="Strong"/>
        </w:rPr>
        <w:t xml:space="preserve"> </w:t>
      </w:r>
      <w:r w:rsidRPr="002029AF">
        <w:rPr>
          <w:rStyle w:val="Strong"/>
        </w:rPr>
        <w:t>charge</w:t>
      </w:r>
      <w:r w:rsidR="000A5329" w:rsidRPr="002029AF">
        <w:rPr>
          <w:b/>
          <w:bCs/>
        </w:rPr>
        <w:t xml:space="preserve"> </w:t>
      </w:r>
      <w:r w:rsidRPr="002029AF">
        <w:t>is</w:t>
      </w:r>
      <w:r w:rsidR="000A5329" w:rsidRPr="002029AF">
        <w:t xml:space="preserve"> </w:t>
      </w:r>
      <w:r w:rsidRPr="002029AF">
        <w:t>a</w:t>
      </w:r>
      <w:r w:rsidR="000A5329" w:rsidRPr="002029AF">
        <w:t xml:space="preserve"> </w:t>
      </w:r>
      <w:r w:rsidRPr="002029AF">
        <w:t>charge</w:t>
      </w:r>
      <w:r w:rsidR="000A5329" w:rsidRPr="002029AF">
        <w:t xml:space="preserve"> </w:t>
      </w:r>
      <w:r w:rsidRPr="002029AF">
        <w:t>levied</w:t>
      </w:r>
      <w:r w:rsidR="000A5329" w:rsidRPr="002029AF">
        <w:t xml:space="preserve"> </w:t>
      </w:r>
      <w:r w:rsidRPr="002029AF">
        <w:t>on</w:t>
      </w:r>
      <w:r w:rsidR="000A5329" w:rsidRPr="002029AF">
        <w:t xml:space="preserve"> </w:t>
      </w:r>
      <w:r w:rsidRPr="002029AF">
        <w:t>the</w:t>
      </w:r>
      <w:r w:rsidR="000A5329" w:rsidRPr="002029AF">
        <w:t xml:space="preserve"> </w:t>
      </w:r>
      <w:r w:rsidRPr="002029AF">
        <w:t>written</w:t>
      </w:r>
      <w:r w:rsidR="000A5329" w:rsidRPr="002029AF">
        <w:t xml:space="preserve"> </w:t>
      </w:r>
      <w:r w:rsidRPr="002029AF">
        <w:t>down</w:t>
      </w:r>
      <w:r w:rsidR="000A5329" w:rsidRPr="002029AF">
        <w:t xml:space="preserve"> </w:t>
      </w:r>
      <w:r w:rsidRPr="002029AF">
        <w:t>value</w:t>
      </w:r>
      <w:r w:rsidR="000A5329" w:rsidRPr="002029AF">
        <w:t xml:space="preserve"> </w:t>
      </w:r>
      <w:r w:rsidRPr="002029AF">
        <w:t>of</w:t>
      </w:r>
      <w:r w:rsidR="000A5329" w:rsidRPr="002029AF">
        <w:t xml:space="preserve"> </w:t>
      </w:r>
      <w:r w:rsidRPr="002029AF">
        <w:t>controlled</w:t>
      </w:r>
      <w:r w:rsidR="000A5329" w:rsidRPr="002029AF">
        <w:t xml:space="preserve"> </w:t>
      </w:r>
      <w:r w:rsidRPr="002029AF">
        <w:t>non-current</w:t>
      </w:r>
      <w:r w:rsidR="000A5329" w:rsidRPr="002029AF">
        <w:t xml:space="preserve"> </w:t>
      </w:r>
      <w:r w:rsidRPr="002029AF">
        <w:t>physical</w:t>
      </w:r>
      <w:r w:rsidR="000A5329" w:rsidRPr="002029AF">
        <w:t xml:space="preserve"> </w:t>
      </w:r>
      <w:r w:rsidRPr="002029AF">
        <w:t>assets</w:t>
      </w:r>
      <w:r w:rsidR="000A5329" w:rsidRPr="002029AF">
        <w:t xml:space="preserve"> </w:t>
      </w:r>
      <w:r w:rsidRPr="002029AF">
        <w:t>in</w:t>
      </w:r>
      <w:r w:rsidR="000A5329" w:rsidRPr="002029AF">
        <w:t xml:space="preserve"> </w:t>
      </w:r>
      <w:r w:rsidRPr="002029AF">
        <w:t>a</w:t>
      </w:r>
      <w:r w:rsidR="000A5329" w:rsidRPr="002029AF">
        <w:t xml:space="preserve"> </w:t>
      </w:r>
      <w:r w:rsidRPr="002029AF">
        <w:t>department’s</w:t>
      </w:r>
      <w:r w:rsidR="000A5329" w:rsidRPr="002029AF">
        <w:t xml:space="preserve"> </w:t>
      </w:r>
      <w:r w:rsidRPr="002029AF">
        <w:t>balance</w:t>
      </w:r>
      <w:r w:rsidR="000A5329" w:rsidRPr="002029AF">
        <w:t xml:space="preserve"> </w:t>
      </w:r>
      <w:r w:rsidRPr="002029AF">
        <w:t>sheet.</w:t>
      </w:r>
      <w:r w:rsidR="000A5329" w:rsidRPr="002029AF">
        <w:t xml:space="preserve"> </w:t>
      </w:r>
      <w:r w:rsidRPr="002029AF">
        <w:t>It</w:t>
      </w:r>
      <w:r w:rsidR="000A5329" w:rsidRPr="002029AF">
        <w:t xml:space="preserve"> </w:t>
      </w:r>
      <w:r w:rsidRPr="002029AF">
        <w:t>aims</w:t>
      </w:r>
      <w:r w:rsidR="000A5329" w:rsidRPr="002029AF">
        <w:t xml:space="preserve"> </w:t>
      </w:r>
      <w:r w:rsidRPr="002029AF">
        <w:t>to</w:t>
      </w:r>
      <w:r w:rsidR="000A5329" w:rsidRPr="002029AF">
        <w:t xml:space="preserve"> </w:t>
      </w:r>
      <w:r w:rsidRPr="002029AF">
        <w:t>attribute</w:t>
      </w:r>
      <w:r w:rsidR="000A5329" w:rsidRPr="002029AF">
        <w:t xml:space="preserve"> </w:t>
      </w:r>
      <w:r w:rsidRPr="002029AF">
        <w:t>to</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outputs,</w:t>
      </w:r>
      <w:r w:rsidR="000A5329" w:rsidRPr="002029AF">
        <w:t xml:space="preserve"> </w:t>
      </w:r>
      <w:r w:rsidRPr="002029AF">
        <w:t>a</w:t>
      </w:r>
      <w:r w:rsidR="000A5329" w:rsidRPr="002029AF">
        <w:t xml:space="preserve"> </w:t>
      </w:r>
      <w:r w:rsidRPr="002029AF">
        <w:t>cost</w:t>
      </w:r>
      <w:r w:rsidR="000A5329" w:rsidRPr="002029AF">
        <w:t xml:space="preserve"> </w:t>
      </w:r>
      <w:r w:rsidRPr="002029AF">
        <w:t>of</w:t>
      </w:r>
      <w:r w:rsidR="000A5329" w:rsidRPr="002029AF">
        <w:t xml:space="preserve"> </w:t>
      </w:r>
      <w:r w:rsidRPr="002029AF">
        <w:t>capital</w:t>
      </w:r>
      <w:r w:rsidR="000A5329" w:rsidRPr="002029AF">
        <w:t xml:space="preserve"> </w:t>
      </w:r>
      <w:r w:rsidRPr="002029AF">
        <w:t>used</w:t>
      </w:r>
      <w:r w:rsidR="000A5329" w:rsidRPr="002029AF">
        <w:t xml:space="preserve"> </w:t>
      </w:r>
      <w:r w:rsidRPr="002029AF">
        <w:t>in</w:t>
      </w:r>
      <w:r w:rsidR="000A5329" w:rsidRPr="002029AF">
        <w:t xml:space="preserve"> </w:t>
      </w:r>
      <w:r w:rsidRPr="002029AF">
        <w:t>service</w:t>
      </w:r>
      <w:r w:rsidR="000A5329" w:rsidRPr="002029AF">
        <w:t xml:space="preserve"> </w:t>
      </w:r>
      <w:r w:rsidRPr="002029AF">
        <w:t>delivery.</w:t>
      </w:r>
      <w:r w:rsidR="000A5329" w:rsidRPr="002029AF">
        <w:t xml:space="preserve"> </w:t>
      </w:r>
      <w:r w:rsidRPr="002029AF">
        <w:t>Imposing</w:t>
      </w:r>
      <w:r w:rsidR="000A5329" w:rsidRPr="002029AF">
        <w:t xml:space="preserve"> </w:t>
      </w:r>
      <w:r w:rsidRPr="002029AF">
        <w:t>this</w:t>
      </w:r>
      <w:r w:rsidR="000A5329" w:rsidRPr="002029AF">
        <w:t xml:space="preserve"> </w:t>
      </w:r>
      <w:r w:rsidRPr="002029AF">
        <w:t>charge</w:t>
      </w:r>
      <w:r w:rsidR="000A5329" w:rsidRPr="002029AF">
        <w:t xml:space="preserve"> </w:t>
      </w:r>
      <w:r w:rsidRPr="002029AF">
        <w:t>provides</w:t>
      </w:r>
      <w:r w:rsidR="000A5329" w:rsidRPr="002029AF">
        <w:t xml:space="preserve"> </w:t>
      </w:r>
      <w:r w:rsidRPr="002029AF">
        <w:t>incentives</w:t>
      </w:r>
      <w:r w:rsidR="000A5329" w:rsidRPr="002029AF">
        <w:t xml:space="preserve"> </w:t>
      </w:r>
      <w:r w:rsidRPr="002029AF">
        <w:t>for</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to</w:t>
      </w:r>
      <w:r w:rsidR="000A5329" w:rsidRPr="002029AF">
        <w:t xml:space="preserve"> </w:t>
      </w:r>
      <w:r w:rsidRPr="002029AF">
        <w:t>identify</w:t>
      </w:r>
      <w:r w:rsidR="000A5329" w:rsidRPr="002029AF">
        <w:t xml:space="preserve"> </w:t>
      </w:r>
      <w:r w:rsidRPr="002029AF">
        <w:t>and</w:t>
      </w:r>
      <w:r w:rsidR="000A5329" w:rsidRPr="002029AF">
        <w:t xml:space="preserve"> </w:t>
      </w:r>
      <w:r w:rsidRPr="002029AF">
        <w:t>dispose</w:t>
      </w:r>
      <w:r w:rsidR="000A5329" w:rsidRPr="002029AF">
        <w:t xml:space="preserve"> </w:t>
      </w:r>
      <w:r w:rsidRPr="002029AF">
        <w:t>of</w:t>
      </w:r>
      <w:r w:rsidR="000A5329" w:rsidRPr="002029AF">
        <w:t xml:space="preserve"> </w:t>
      </w:r>
      <w:r w:rsidRPr="002029AF">
        <w:t>underutilised</w:t>
      </w:r>
      <w:r w:rsidR="000A5329" w:rsidRPr="002029AF">
        <w:t xml:space="preserve"> </w:t>
      </w:r>
      <w:r w:rsidRPr="002029AF">
        <w:t>or</w:t>
      </w:r>
      <w:r w:rsidR="000A5329" w:rsidRPr="002029AF">
        <w:t xml:space="preserve"> </w:t>
      </w:r>
      <w:r w:rsidRPr="002029AF">
        <w:t>surplus</w:t>
      </w:r>
      <w:r w:rsidR="000A5329" w:rsidRPr="002029AF">
        <w:t xml:space="preserve"> </w:t>
      </w:r>
      <w:r w:rsidRPr="002029AF">
        <w:t>non-current</w:t>
      </w:r>
      <w:r w:rsidR="000A5329" w:rsidRPr="002029AF">
        <w:t xml:space="preserve"> </w:t>
      </w:r>
      <w:r w:rsidRPr="002029AF">
        <w:t>physical</w:t>
      </w:r>
      <w:r w:rsidR="000A5329" w:rsidRPr="002029AF">
        <w:t xml:space="preserve"> </w:t>
      </w:r>
      <w:r w:rsidRPr="002029AF">
        <w:t>assets.</w:t>
      </w:r>
    </w:p>
    <w:p w14:paraId="22355907" w14:textId="5EE40D95" w:rsidR="00087B91" w:rsidRPr="002029AF" w:rsidRDefault="00087B91" w:rsidP="00087B91">
      <w:pPr>
        <w:pStyle w:val="ARfinbody"/>
      </w:pPr>
      <w:r w:rsidRPr="002029AF">
        <w:t>The</w:t>
      </w:r>
      <w:r w:rsidR="000A5329" w:rsidRPr="002029AF">
        <w:t xml:space="preserve"> </w:t>
      </w:r>
      <w:r w:rsidRPr="002029AF">
        <w:t>capital</w:t>
      </w:r>
      <w:r w:rsidR="000A5329" w:rsidRPr="002029AF">
        <w:t xml:space="preserve"> </w:t>
      </w:r>
      <w:r w:rsidRPr="002029AF">
        <w:t>asset</w:t>
      </w:r>
      <w:r w:rsidR="000A5329" w:rsidRPr="002029AF">
        <w:t xml:space="preserve"> </w:t>
      </w:r>
      <w:r w:rsidRPr="002029AF">
        <w:t>charge</w:t>
      </w:r>
      <w:r w:rsidR="000A5329" w:rsidRPr="002029AF">
        <w:t xml:space="preserve"> </w:t>
      </w:r>
      <w:r w:rsidRPr="002029AF">
        <w:t>is</w:t>
      </w:r>
      <w:r w:rsidR="000A5329" w:rsidRPr="002029AF">
        <w:t xml:space="preserve"> </w:t>
      </w:r>
      <w:r w:rsidRPr="002029AF">
        <w:t>calculated</w:t>
      </w:r>
      <w:r w:rsidR="000A5329" w:rsidRPr="002029AF">
        <w:t xml:space="preserve"> </w:t>
      </w:r>
      <w:r w:rsidRPr="002029AF">
        <w:t>on</w:t>
      </w:r>
      <w:r w:rsidR="000A5329" w:rsidRPr="002029AF">
        <w:t xml:space="preserve"> </w:t>
      </w:r>
      <w:r w:rsidRPr="002029AF">
        <w:t>the</w:t>
      </w:r>
      <w:r w:rsidR="000A5329" w:rsidRPr="002029AF">
        <w:t xml:space="preserve"> </w:t>
      </w:r>
      <w:r w:rsidRPr="002029AF">
        <w:t>budgeted</w:t>
      </w:r>
      <w:r w:rsidR="000A5329" w:rsidRPr="002029AF">
        <w:t xml:space="preserve"> </w:t>
      </w:r>
      <w:r w:rsidRPr="002029AF">
        <w:t>carrying</w:t>
      </w:r>
      <w:r w:rsidR="000A5329" w:rsidRPr="002029AF">
        <w:t xml:space="preserve"> </w:t>
      </w:r>
      <w:r w:rsidRPr="002029AF">
        <w:t>amount</w:t>
      </w:r>
      <w:r w:rsidR="000A5329" w:rsidRPr="002029AF">
        <w:t xml:space="preserve"> </w:t>
      </w:r>
      <w:r w:rsidRPr="002029AF">
        <w:t>of</w:t>
      </w:r>
      <w:r w:rsidR="000A5329" w:rsidRPr="002029AF">
        <w:t xml:space="preserve"> </w:t>
      </w:r>
      <w:r w:rsidRPr="002029AF">
        <w:t>applicable</w:t>
      </w:r>
      <w:r w:rsidR="000A5329" w:rsidRPr="002029AF">
        <w:t xml:space="preserve"> </w:t>
      </w:r>
      <w:r w:rsidRPr="002029AF">
        <w:t>non-financial</w:t>
      </w:r>
      <w:r w:rsidR="000A5329" w:rsidRPr="002029AF">
        <w:t xml:space="preserve"> </w:t>
      </w:r>
      <w:r w:rsidRPr="002029AF">
        <w:t>physical</w:t>
      </w:r>
      <w:r w:rsidR="000A5329" w:rsidRPr="002029AF">
        <w:t xml:space="preserve"> </w:t>
      </w:r>
      <w:r w:rsidRPr="002029AF">
        <w:t>assets.</w:t>
      </w:r>
    </w:p>
    <w:p w14:paraId="73A52ECB" w14:textId="399BB59A" w:rsidR="00087B91" w:rsidRPr="002029AF" w:rsidRDefault="00087B91" w:rsidP="00087B91">
      <w:pPr>
        <w:pStyle w:val="Heading5"/>
      </w:pPr>
      <w:bookmarkStart w:id="314" w:name="_Toc39136703"/>
      <w:r w:rsidRPr="002029AF">
        <w:t>3.1.4</w:t>
      </w:r>
      <w:r w:rsidR="000A5329" w:rsidRPr="002029AF">
        <w:t xml:space="preserve"> </w:t>
      </w:r>
      <w:r w:rsidRPr="002029AF">
        <w:t>Fair</w:t>
      </w:r>
      <w:r w:rsidR="000A5329" w:rsidRPr="002029AF">
        <w:t xml:space="preserve"> </w:t>
      </w:r>
      <w:r w:rsidRPr="002029AF">
        <w:t>value</w:t>
      </w:r>
      <w:r w:rsidR="000A5329" w:rsidRPr="002029AF">
        <w:t xml:space="preserve"> </w:t>
      </w:r>
      <w:r w:rsidRPr="002029AF">
        <w:t>of</w:t>
      </w:r>
      <w:r w:rsidR="000A5329" w:rsidRPr="002029AF">
        <w:t xml:space="preserve"> </w:t>
      </w:r>
      <w:r w:rsidRPr="002029AF">
        <w:t>assets</w:t>
      </w:r>
      <w:r w:rsidR="000A5329" w:rsidRPr="002029AF">
        <w:t xml:space="preserve"> </w:t>
      </w:r>
      <w:r w:rsidRPr="002029AF">
        <w:t>and</w:t>
      </w:r>
      <w:r w:rsidR="000A5329" w:rsidRPr="002029AF">
        <w:t xml:space="preserve"> </w:t>
      </w:r>
      <w:r w:rsidRPr="002029AF">
        <w:t>services</w:t>
      </w:r>
      <w:r w:rsidR="000A5329" w:rsidRPr="002029AF">
        <w:t xml:space="preserve"> </w:t>
      </w:r>
      <w:r w:rsidRPr="002029AF">
        <w:t>provided</w:t>
      </w:r>
      <w:r w:rsidR="000A5329" w:rsidRPr="002029AF">
        <w:t xml:space="preserve"> </w:t>
      </w:r>
      <w:r w:rsidRPr="002029AF">
        <w:t>free</w:t>
      </w:r>
      <w:r w:rsidR="000A5329" w:rsidRPr="002029AF">
        <w:t xml:space="preserve"> </w:t>
      </w:r>
      <w:r w:rsidRPr="002029AF">
        <w:t>of</w:t>
      </w:r>
      <w:r w:rsidR="000A5329" w:rsidRPr="002029AF">
        <w:t xml:space="preserve"> </w:t>
      </w:r>
      <w:r w:rsidRPr="002029AF">
        <w:t>charge</w:t>
      </w:r>
      <w:r w:rsidR="000A5329" w:rsidRPr="002029AF">
        <w:t xml:space="preserve"> </w:t>
      </w:r>
      <w:r w:rsidRPr="002029AF">
        <w:t>or</w:t>
      </w:r>
      <w:r w:rsidR="000A5329" w:rsidRPr="002029AF">
        <w:t xml:space="preserve"> </w:t>
      </w:r>
      <w:r w:rsidRPr="002029AF">
        <w:t>for</w:t>
      </w:r>
      <w:r w:rsidR="000A5329" w:rsidRPr="002029AF">
        <w:t xml:space="preserve"> </w:t>
      </w:r>
      <w:r w:rsidRPr="002029AF">
        <w:t>nominal</w:t>
      </w:r>
      <w:r w:rsidR="000A5329" w:rsidRPr="002029AF">
        <w:t xml:space="preserve"> </w:t>
      </w:r>
      <w:r w:rsidRPr="002029AF">
        <w:t>consideration</w:t>
      </w:r>
      <w:bookmarkEnd w:id="314"/>
    </w:p>
    <w:tbl>
      <w:tblPr>
        <w:tblStyle w:val="TableGrid"/>
        <w:tblW w:w="9637" w:type="dxa"/>
        <w:tblLayout w:type="fixed"/>
        <w:tblLook w:val="06A0" w:firstRow="1" w:lastRow="0" w:firstColumn="1" w:lastColumn="0" w:noHBand="1" w:noVBand="1"/>
      </w:tblPr>
      <w:tblGrid>
        <w:gridCol w:w="7369"/>
        <w:gridCol w:w="1134"/>
        <w:gridCol w:w="1134"/>
      </w:tblGrid>
      <w:tr w:rsidR="00087B91" w:rsidRPr="002029AF" w14:paraId="4D4FDD63"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7371" w:type="dxa"/>
            <w:tcBorders>
              <w:bottom w:val="single" w:sz="4" w:space="0" w:color="auto"/>
            </w:tcBorders>
            <w:noWrap/>
            <w:hideMark/>
          </w:tcPr>
          <w:p w14:paraId="23010601" w14:textId="77777777" w:rsidR="00087B91" w:rsidRPr="002029AF" w:rsidRDefault="00087B91" w:rsidP="00860E95">
            <w:pPr>
              <w:pStyle w:val="ARfintablecolhead"/>
            </w:pPr>
          </w:p>
        </w:tc>
        <w:tc>
          <w:tcPr>
            <w:tcW w:w="1134" w:type="dxa"/>
            <w:tcBorders>
              <w:bottom w:val="single" w:sz="4" w:space="0" w:color="auto"/>
            </w:tcBorders>
            <w:shd w:val="clear" w:color="auto" w:fill="E7E6E6"/>
            <w:hideMark/>
          </w:tcPr>
          <w:p w14:paraId="79500956" w14:textId="77777777" w:rsidR="00087B91" w:rsidRPr="002029AF" w:rsidRDefault="00087B91" w:rsidP="00860E95">
            <w:pPr>
              <w:pStyle w:val="ARfintablecolheadright"/>
            </w:pPr>
            <w:r w:rsidRPr="002029AF">
              <w:t>2020</w:t>
            </w:r>
          </w:p>
          <w:p w14:paraId="0E831232" w14:textId="77777777" w:rsidR="00087B91" w:rsidRPr="002029AF" w:rsidRDefault="00087B91" w:rsidP="00860E95">
            <w:pPr>
              <w:pStyle w:val="ARfintablecolheadright"/>
            </w:pPr>
            <w:r w:rsidRPr="002029AF">
              <w:t>$M</w:t>
            </w:r>
          </w:p>
        </w:tc>
        <w:tc>
          <w:tcPr>
            <w:tcW w:w="1134" w:type="dxa"/>
            <w:tcBorders>
              <w:bottom w:val="single" w:sz="4" w:space="0" w:color="auto"/>
            </w:tcBorders>
            <w:hideMark/>
          </w:tcPr>
          <w:p w14:paraId="555DB5A5" w14:textId="77777777" w:rsidR="00087B91" w:rsidRPr="002029AF" w:rsidRDefault="00087B91" w:rsidP="00860E95">
            <w:pPr>
              <w:pStyle w:val="ARfintablecolheadright"/>
            </w:pPr>
            <w:r w:rsidRPr="002029AF">
              <w:t>2019</w:t>
            </w:r>
          </w:p>
          <w:p w14:paraId="070E5E9A" w14:textId="77777777" w:rsidR="00087B91" w:rsidRPr="002029AF" w:rsidRDefault="00087B91" w:rsidP="00860E95">
            <w:pPr>
              <w:pStyle w:val="ARfintablecolheadright"/>
            </w:pPr>
            <w:r w:rsidRPr="002029AF">
              <w:t>$M</w:t>
            </w:r>
          </w:p>
        </w:tc>
      </w:tr>
      <w:tr w:rsidR="00087B91" w:rsidRPr="002029AF" w14:paraId="60278EE7" w14:textId="77777777" w:rsidTr="00860E95">
        <w:tc>
          <w:tcPr>
            <w:tcW w:w="7371" w:type="dxa"/>
            <w:tcBorders>
              <w:top w:val="single" w:sz="4" w:space="0" w:color="auto"/>
              <w:bottom w:val="single" w:sz="4" w:space="0" w:color="A6A6A6"/>
            </w:tcBorders>
            <w:hideMark/>
          </w:tcPr>
          <w:p w14:paraId="0BECF596" w14:textId="299A7189" w:rsidR="00087B91" w:rsidRPr="002029AF" w:rsidRDefault="00087B91" w:rsidP="00860E95">
            <w:pPr>
              <w:pStyle w:val="ARfintablebody"/>
            </w:pPr>
            <w:r w:rsidRPr="002029AF">
              <w:t>Land</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r w:rsidR="000A5329" w:rsidRPr="002029AF">
              <w:t xml:space="preserve"> </w:t>
            </w:r>
            <w:r w:rsidRPr="002029AF">
              <w:rPr>
                <w:rStyle w:val="Superscript"/>
              </w:rPr>
              <w:t>(i)</w:t>
            </w:r>
          </w:p>
        </w:tc>
        <w:tc>
          <w:tcPr>
            <w:tcW w:w="1134" w:type="dxa"/>
            <w:tcBorders>
              <w:top w:val="single" w:sz="4" w:space="0" w:color="auto"/>
              <w:bottom w:val="single" w:sz="4" w:space="0" w:color="A6A6A6"/>
            </w:tcBorders>
            <w:shd w:val="clear" w:color="auto" w:fill="E7E6E6"/>
            <w:noWrap/>
            <w:hideMark/>
          </w:tcPr>
          <w:p w14:paraId="1C962E12" w14:textId="77777777" w:rsidR="00087B91" w:rsidRPr="002029AF" w:rsidRDefault="00087B91" w:rsidP="00860E95">
            <w:pPr>
              <w:pStyle w:val="ARfintablebodyright"/>
            </w:pPr>
            <w:r w:rsidRPr="002029AF">
              <w:t>–</w:t>
            </w:r>
          </w:p>
        </w:tc>
        <w:tc>
          <w:tcPr>
            <w:tcW w:w="1134" w:type="dxa"/>
            <w:tcBorders>
              <w:top w:val="single" w:sz="4" w:space="0" w:color="auto"/>
              <w:bottom w:val="single" w:sz="4" w:space="0" w:color="A6A6A6"/>
            </w:tcBorders>
            <w:noWrap/>
            <w:hideMark/>
          </w:tcPr>
          <w:p w14:paraId="48723351" w14:textId="77777777" w:rsidR="00087B91" w:rsidRPr="002029AF" w:rsidRDefault="00087B91" w:rsidP="00860E95">
            <w:pPr>
              <w:pStyle w:val="ARfintablebodyright"/>
            </w:pPr>
            <w:r w:rsidRPr="002029AF">
              <w:t>58.6</w:t>
            </w:r>
          </w:p>
        </w:tc>
      </w:tr>
      <w:tr w:rsidR="00087B91" w:rsidRPr="002029AF" w14:paraId="3E861C9C" w14:textId="77777777" w:rsidTr="00860E95">
        <w:tc>
          <w:tcPr>
            <w:tcW w:w="7371" w:type="dxa"/>
            <w:tcBorders>
              <w:top w:val="single" w:sz="4" w:space="0" w:color="A6A6A6"/>
              <w:bottom w:val="single" w:sz="4" w:space="0" w:color="A6A6A6"/>
            </w:tcBorders>
            <w:hideMark/>
          </w:tcPr>
          <w:p w14:paraId="68A22402" w14:textId="60B892B5" w:rsidR="00087B91" w:rsidRPr="002029AF" w:rsidRDefault="00087B91" w:rsidP="00860E95">
            <w:pPr>
              <w:pStyle w:val="ARfintablebody"/>
            </w:pPr>
            <w:r w:rsidRPr="002029AF">
              <w:t>Buildings</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r w:rsidR="000A5329" w:rsidRPr="002029AF">
              <w:t xml:space="preserve"> </w:t>
            </w:r>
            <w:r w:rsidRPr="002029AF">
              <w:rPr>
                <w:rStyle w:val="Superscript"/>
              </w:rPr>
              <w:t>(ii)</w:t>
            </w:r>
          </w:p>
        </w:tc>
        <w:tc>
          <w:tcPr>
            <w:tcW w:w="1134" w:type="dxa"/>
            <w:tcBorders>
              <w:top w:val="single" w:sz="4" w:space="0" w:color="A6A6A6"/>
              <w:bottom w:val="single" w:sz="4" w:space="0" w:color="A6A6A6"/>
            </w:tcBorders>
            <w:shd w:val="clear" w:color="auto" w:fill="E7E6E6"/>
            <w:noWrap/>
            <w:hideMark/>
          </w:tcPr>
          <w:p w14:paraId="2F4C56BD"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1EA86DB9" w14:textId="77777777" w:rsidR="00087B91" w:rsidRPr="002029AF" w:rsidRDefault="00087B91" w:rsidP="00860E95">
            <w:pPr>
              <w:pStyle w:val="ARfintablebodyright"/>
            </w:pPr>
            <w:r w:rsidRPr="002029AF">
              <w:t>57.6</w:t>
            </w:r>
          </w:p>
        </w:tc>
      </w:tr>
      <w:tr w:rsidR="00087B91" w:rsidRPr="002029AF" w14:paraId="79A9CA7A" w14:textId="77777777" w:rsidTr="00860E95">
        <w:tc>
          <w:tcPr>
            <w:tcW w:w="7371" w:type="dxa"/>
            <w:tcBorders>
              <w:top w:val="single" w:sz="4" w:space="0" w:color="A6A6A6"/>
            </w:tcBorders>
            <w:hideMark/>
          </w:tcPr>
          <w:p w14:paraId="3A0474AC" w14:textId="476C1CAE" w:rsidR="00087B91" w:rsidRPr="002029AF" w:rsidRDefault="00087B91" w:rsidP="00860E95">
            <w:pPr>
              <w:pStyle w:val="ARfintablebody"/>
            </w:pPr>
            <w:r w:rsidRPr="002029AF">
              <w:t>Resources</w:t>
            </w:r>
            <w:r w:rsidR="000A5329" w:rsidRPr="002029AF">
              <w:t xml:space="preserve"> </w:t>
            </w:r>
            <w:r w:rsidRPr="002029AF">
              <w:t>provided</w:t>
            </w:r>
            <w:r w:rsidR="000A5329" w:rsidRPr="002029AF">
              <w:t xml:space="preserve"> </w:t>
            </w:r>
            <w:r w:rsidRPr="002029AF">
              <w:t>free</w:t>
            </w:r>
            <w:r w:rsidR="000A5329" w:rsidRPr="002029AF">
              <w:t xml:space="preserve"> </w:t>
            </w:r>
            <w:r w:rsidRPr="002029AF">
              <w:t>of</w:t>
            </w:r>
            <w:r w:rsidR="000A5329" w:rsidRPr="002029AF">
              <w:t xml:space="preserve"> </w:t>
            </w:r>
            <w:r w:rsidRPr="002029AF">
              <w:t>charge</w:t>
            </w:r>
            <w:r w:rsidR="000A5329" w:rsidRPr="002029AF">
              <w:t xml:space="preserve"> </w:t>
            </w:r>
            <w:r w:rsidRPr="002029AF">
              <w:rPr>
                <w:rStyle w:val="Superscript"/>
              </w:rPr>
              <w:t>(iii)</w:t>
            </w:r>
          </w:p>
        </w:tc>
        <w:tc>
          <w:tcPr>
            <w:tcW w:w="1134" w:type="dxa"/>
            <w:tcBorders>
              <w:top w:val="single" w:sz="4" w:space="0" w:color="A6A6A6"/>
            </w:tcBorders>
            <w:shd w:val="clear" w:color="auto" w:fill="E7E6E6"/>
            <w:noWrap/>
            <w:hideMark/>
          </w:tcPr>
          <w:p w14:paraId="57FCC8D1" w14:textId="77777777" w:rsidR="00087B91" w:rsidRPr="002029AF" w:rsidRDefault="00087B91" w:rsidP="00860E95">
            <w:pPr>
              <w:pStyle w:val="ARfintablebodyright"/>
            </w:pPr>
            <w:r w:rsidRPr="002029AF">
              <w:t>32.3</w:t>
            </w:r>
          </w:p>
        </w:tc>
        <w:tc>
          <w:tcPr>
            <w:tcW w:w="1134" w:type="dxa"/>
            <w:tcBorders>
              <w:top w:val="single" w:sz="4" w:space="0" w:color="A6A6A6"/>
            </w:tcBorders>
            <w:noWrap/>
            <w:hideMark/>
          </w:tcPr>
          <w:p w14:paraId="17B0EE11" w14:textId="77777777" w:rsidR="00087B91" w:rsidRPr="002029AF" w:rsidRDefault="00087B91" w:rsidP="00860E95">
            <w:pPr>
              <w:pStyle w:val="ARfintablebodyright"/>
            </w:pPr>
            <w:r w:rsidRPr="002029AF">
              <w:t>5.1</w:t>
            </w:r>
          </w:p>
        </w:tc>
      </w:tr>
      <w:tr w:rsidR="00087B91" w:rsidRPr="002029AF" w14:paraId="1F01C4A0" w14:textId="77777777" w:rsidTr="00860E95">
        <w:tc>
          <w:tcPr>
            <w:tcW w:w="7371" w:type="dxa"/>
            <w:hideMark/>
          </w:tcPr>
          <w:p w14:paraId="01C9B564" w14:textId="0BAC85BF" w:rsidR="00087B91" w:rsidRPr="002029AF" w:rsidRDefault="00087B91" w:rsidP="00860E95">
            <w:pPr>
              <w:pStyle w:val="ARfintablebodybold"/>
            </w:pPr>
            <w:r w:rsidRPr="002029AF">
              <w:t>Total</w:t>
            </w:r>
            <w:r w:rsidR="000A5329" w:rsidRPr="002029AF">
              <w:t xml:space="preserve"> </w:t>
            </w:r>
            <w:r w:rsidRPr="002029AF">
              <w:t>fair</w:t>
            </w:r>
            <w:r w:rsidR="000A5329" w:rsidRPr="002029AF">
              <w:t xml:space="preserve"> </w:t>
            </w:r>
            <w:r w:rsidRPr="002029AF">
              <w:t>value</w:t>
            </w:r>
            <w:r w:rsidR="000A5329" w:rsidRPr="002029AF">
              <w:t xml:space="preserve"> </w:t>
            </w:r>
            <w:r w:rsidRPr="002029AF">
              <w:t>of</w:t>
            </w:r>
            <w:r w:rsidR="000A5329" w:rsidRPr="002029AF">
              <w:t xml:space="preserve"> </w:t>
            </w:r>
            <w:r w:rsidRPr="002029AF">
              <w:t>assets</w:t>
            </w:r>
            <w:r w:rsidR="000A5329" w:rsidRPr="002029AF">
              <w:t xml:space="preserve"> </w:t>
            </w:r>
            <w:r w:rsidRPr="002029AF">
              <w:t>and</w:t>
            </w:r>
            <w:r w:rsidR="000A5329" w:rsidRPr="002029AF">
              <w:t xml:space="preserve"> </w:t>
            </w:r>
            <w:r w:rsidRPr="002029AF">
              <w:t>services</w:t>
            </w:r>
            <w:r w:rsidR="000A5329" w:rsidRPr="002029AF">
              <w:t xml:space="preserve"> </w:t>
            </w:r>
            <w:r w:rsidRPr="002029AF">
              <w:t>provided</w:t>
            </w:r>
            <w:r w:rsidR="000A5329" w:rsidRPr="002029AF">
              <w:t xml:space="preserve"> </w:t>
            </w:r>
            <w:r w:rsidRPr="002029AF">
              <w:t>free</w:t>
            </w:r>
            <w:r w:rsidR="000A5329" w:rsidRPr="002029AF">
              <w:t xml:space="preserve"> </w:t>
            </w:r>
            <w:r w:rsidRPr="002029AF">
              <w:t>of</w:t>
            </w:r>
            <w:r w:rsidR="000A5329" w:rsidRPr="002029AF">
              <w:t xml:space="preserve"> </w:t>
            </w:r>
            <w:r w:rsidRPr="002029AF">
              <w:t>charge</w:t>
            </w:r>
            <w:r w:rsidR="000A5329" w:rsidRPr="002029AF">
              <w:t xml:space="preserve"> </w:t>
            </w:r>
            <w:r w:rsidRPr="002029AF">
              <w:t>or</w:t>
            </w:r>
            <w:r w:rsidR="000A5329" w:rsidRPr="002029AF">
              <w:t xml:space="preserve"> </w:t>
            </w:r>
            <w:r w:rsidRPr="002029AF">
              <w:t>for</w:t>
            </w:r>
            <w:r w:rsidR="000A5329" w:rsidRPr="002029AF">
              <w:t xml:space="preserve"> </w:t>
            </w:r>
            <w:r w:rsidRPr="002029AF">
              <w:t>nominal</w:t>
            </w:r>
            <w:r w:rsidR="000A5329" w:rsidRPr="002029AF">
              <w:t xml:space="preserve"> </w:t>
            </w:r>
            <w:r w:rsidRPr="002029AF">
              <w:t>consideration</w:t>
            </w:r>
          </w:p>
        </w:tc>
        <w:tc>
          <w:tcPr>
            <w:tcW w:w="1134" w:type="dxa"/>
            <w:shd w:val="clear" w:color="auto" w:fill="E7E6E6"/>
            <w:noWrap/>
            <w:hideMark/>
          </w:tcPr>
          <w:p w14:paraId="3240759A" w14:textId="77777777" w:rsidR="00087B91" w:rsidRPr="002029AF" w:rsidRDefault="00087B91" w:rsidP="00860E95">
            <w:pPr>
              <w:pStyle w:val="ARfintablebodyrightbold"/>
            </w:pPr>
            <w:r w:rsidRPr="002029AF">
              <w:t>32.3</w:t>
            </w:r>
          </w:p>
        </w:tc>
        <w:tc>
          <w:tcPr>
            <w:tcW w:w="1134" w:type="dxa"/>
            <w:noWrap/>
            <w:hideMark/>
          </w:tcPr>
          <w:p w14:paraId="6DEC583B" w14:textId="77777777" w:rsidR="00087B91" w:rsidRPr="002029AF" w:rsidRDefault="00087B91" w:rsidP="00860E95">
            <w:pPr>
              <w:pStyle w:val="ARfintablebodyrightbold"/>
            </w:pPr>
            <w:r w:rsidRPr="002029AF">
              <w:t>121.3</w:t>
            </w:r>
          </w:p>
        </w:tc>
      </w:tr>
    </w:tbl>
    <w:p w14:paraId="21E0E4E6" w14:textId="77777777" w:rsidR="00087B91" w:rsidRPr="002029AF" w:rsidRDefault="00087B91" w:rsidP="00087B91">
      <w:pPr>
        <w:pStyle w:val="ARfintablefootnote"/>
        <w:spacing w:line="240" w:lineRule="auto"/>
        <w:rPr>
          <w:lang w:eastAsia="en-AU"/>
        </w:rPr>
      </w:pPr>
      <w:r w:rsidRPr="002029AF">
        <w:rPr>
          <w:lang w:eastAsia="en-AU"/>
        </w:rPr>
        <w:t>Notes:</w:t>
      </w:r>
    </w:p>
    <w:p w14:paraId="4BBA1CED" w14:textId="49D16D4B" w:rsidR="00087B91" w:rsidRPr="002029AF" w:rsidRDefault="00087B91" w:rsidP="002A5CF0">
      <w:pPr>
        <w:pStyle w:val="ARfintablefootnoteindent"/>
      </w:pPr>
      <w:r w:rsidRPr="002029AF">
        <w:t>(i)</w:t>
      </w:r>
      <w:r w:rsidRPr="002029AF">
        <w:tab/>
        <w:t>Figure</w:t>
      </w:r>
      <w:r w:rsidR="000A5329" w:rsidRPr="002029AF">
        <w:t xml:space="preserve"> </w:t>
      </w:r>
      <w:r w:rsidRPr="002029AF">
        <w:t>includes</w:t>
      </w:r>
      <w:r w:rsidR="000A5329" w:rsidRPr="002029AF">
        <w:t xml:space="preserve"> </w:t>
      </w:r>
      <w:r w:rsidRPr="002029AF">
        <w:t>the</w:t>
      </w:r>
      <w:r w:rsidR="000A5329" w:rsidRPr="002029AF">
        <w:t xml:space="preserve"> </w:t>
      </w:r>
      <w:r w:rsidRPr="002029AF">
        <w:t>transfer</w:t>
      </w:r>
      <w:r w:rsidR="000A5329" w:rsidRPr="002029AF">
        <w:t xml:space="preserve"> </w:t>
      </w:r>
      <w:r w:rsidRPr="002029AF">
        <w:t>of</w:t>
      </w:r>
      <w:r w:rsidR="000A5329" w:rsidRPr="002029AF">
        <w:t xml:space="preserve"> </w:t>
      </w:r>
      <w:r w:rsidRPr="002029AF">
        <w:t>Director</w:t>
      </w:r>
      <w:r w:rsidR="000A5329" w:rsidRPr="002029AF">
        <w:t xml:space="preserve"> </w:t>
      </w:r>
      <w:r w:rsidRPr="002029AF">
        <w:t>of</w:t>
      </w:r>
      <w:r w:rsidR="000A5329" w:rsidRPr="002029AF">
        <w:t xml:space="preserve"> </w:t>
      </w:r>
      <w:r w:rsidRPr="002029AF">
        <w:t>Housing</w:t>
      </w:r>
      <w:r w:rsidR="000A5329" w:rsidRPr="002029AF">
        <w:t xml:space="preserve"> </w:t>
      </w:r>
      <w:r w:rsidRPr="002029AF">
        <w:t>owned</w:t>
      </w:r>
      <w:r w:rsidR="000A5329" w:rsidRPr="002029AF">
        <w:t xml:space="preserve"> </w:t>
      </w:r>
      <w:r w:rsidRPr="002029AF">
        <w:t>land</w:t>
      </w:r>
      <w:r w:rsidR="000A5329" w:rsidRPr="002029AF">
        <w:t xml:space="preserve"> </w:t>
      </w:r>
      <w:r w:rsidRPr="002029AF">
        <w:t>of</w:t>
      </w:r>
      <w:r w:rsidR="000A5329" w:rsidRPr="002029AF">
        <w:t xml:space="preserve"> </w:t>
      </w:r>
      <w:r w:rsidRPr="002029AF">
        <w:t>$58.5</w:t>
      </w:r>
      <w:r w:rsidR="000A5329" w:rsidRPr="002029AF">
        <w:t xml:space="preserve"> </w:t>
      </w:r>
      <w:r w:rsidRPr="002029AF">
        <w:t>million</w:t>
      </w:r>
      <w:r w:rsidR="000A5329" w:rsidRPr="002029AF">
        <w:t xml:space="preserve"> </w:t>
      </w:r>
      <w:r w:rsidRPr="002029AF">
        <w:t>in</w:t>
      </w:r>
      <w:r w:rsidR="000A5329" w:rsidRPr="002029AF">
        <w:t xml:space="preserve"> </w:t>
      </w:r>
      <w:r w:rsidRPr="002029AF">
        <w:t>2019</w:t>
      </w:r>
      <w:r w:rsidR="000A5329" w:rsidRPr="002029AF">
        <w:t xml:space="preserve"> </w:t>
      </w:r>
      <w:r w:rsidRPr="002029AF">
        <w:t>to</w:t>
      </w:r>
      <w:r w:rsidR="000A5329" w:rsidRPr="002029AF">
        <w:t xml:space="preserve"> </w:t>
      </w:r>
      <w:r w:rsidRPr="002029AF">
        <w:t>Aboriginal</w:t>
      </w:r>
      <w:r w:rsidR="000A5329" w:rsidRPr="002029AF">
        <w:t xml:space="preserve"> </w:t>
      </w:r>
      <w:r w:rsidRPr="002029AF">
        <w:t>Housing</w:t>
      </w:r>
      <w:r w:rsidR="000A5329" w:rsidRPr="002029AF">
        <w:t xml:space="preserve"> </w:t>
      </w:r>
      <w:r w:rsidRPr="002029AF">
        <w:t>Victoria.</w:t>
      </w:r>
    </w:p>
    <w:p w14:paraId="3DF493FA" w14:textId="79C19109" w:rsidR="00087B91" w:rsidRPr="002029AF" w:rsidRDefault="00087B91" w:rsidP="002A5CF0">
      <w:pPr>
        <w:pStyle w:val="ARfintablefootnoteindent"/>
      </w:pPr>
      <w:r w:rsidRPr="002029AF">
        <w:t>(ii)</w:t>
      </w:r>
      <w:r w:rsidRPr="002029AF">
        <w:tab/>
        <w:t>Figure</w:t>
      </w:r>
      <w:r w:rsidR="000A5329" w:rsidRPr="002029AF">
        <w:t xml:space="preserve"> </w:t>
      </w:r>
      <w:r w:rsidRPr="002029AF">
        <w:t>includes</w:t>
      </w:r>
      <w:r w:rsidR="000A5329" w:rsidRPr="002029AF">
        <w:t xml:space="preserve"> </w:t>
      </w:r>
      <w:r w:rsidRPr="002029AF">
        <w:t>the</w:t>
      </w:r>
      <w:r w:rsidR="000A5329" w:rsidRPr="002029AF">
        <w:t xml:space="preserve"> </w:t>
      </w:r>
      <w:r w:rsidRPr="002029AF">
        <w:t>transfer</w:t>
      </w:r>
      <w:r w:rsidR="000A5329" w:rsidRPr="002029AF">
        <w:t xml:space="preserve"> </w:t>
      </w:r>
      <w:r w:rsidRPr="002029AF">
        <w:t>of</w:t>
      </w:r>
      <w:r w:rsidR="000A5329" w:rsidRPr="002029AF">
        <w:t xml:space="preserve"> </w:t>
      </w:r>
      <w:r w:rsidRPr="002029AF">
        <w:t>Director</w:t>
      </w:r>
      <w:r w:rsidR="000A5329" w:rsidRPr="002029AF">
        <w:t xml:space="preserve"> </w:t>
      </w:r>
      <w:r w:rsidRPr="002029AF">
        <w:t>of</w:t>
      </w:r>
      <w:r w:rsidR="000A5329" w:rsidRPr="002029AF">
        <w:t xml:space="preserve"> </w:t>
      </w:r>
      <w:r w:rsidRPr="002029AF">
        <w:t>Housing</w:t>
      </w:r>
      <w:r w:rsidR="000A5329" w:rsidRPr="002029AF">
        <w:t xml:space="preserve"> </w:t>
      </w:r>
      <w:r w:rsidRPr="002029AF">
        <w:t>owned</w:t>
      </w:r>
      <w:r w:rsidR="000A5329" w:rsidRPr="002029AF">
        <w:t xml:space="preserve"> </w:t>
      </w:r>
      <w:r w:rsidRPr="002029AF">
        <w:t>buildings</w:t>
      </w:r>
      <w:r w:rsidR="000A5329" w:rsidRPr="002029AF">
        <w:t xml:space="preserve"> </w:t>
      </w:r>
      <w:r w:rsidRPr="002029AF">
        <w:t>of</w:t>
      </w:r>
      <w:r w:rsidR="000A5329" w:rsidRPr="002029AF">
        <w:t xml:space="preserve"> </w:t>
      </w:r>
      <w:r w:rsidRPr="002029AF">
        <w:t>$57.6</w:t>
      </w:r>
      <w:r w:rsidR="000A5329" w:rsidRPr="002029AF">
        <w:t xml:space="preserve"> </w:t>
      </w:r>
      <w:r w:rsidRPr="002029AF">
        <w:t>million</w:t>
      </w:r>
      <w:r w:rsidR="000A5329" w:rsidRPr="002029AF">
        <w:t xml:space="preserve"> </w:t>
      </w:r>
      <w:r w:rsidRPr="002029AF">
        <w:t>in</w:t>
      </w:r>
      <w:r w:rsidR="000A5329" w:rsidRPr="002029AF">
        <w:t xml:space="preserve"> </w:t>
      </w:r>
      <w:r w:rsidRPr="002029AF">
        <w:t>2019</w:t>
      </w:r>
      <w:r w:rsidR="000A5329" w:rsidRPr="002029AF">
        <w:t xml:space="preserve"> </w:t>
      </w:r>
      <w:r w:rsidRPr="002029AF">
        <w:t>to</w:t>
      </w:r>
      <w:r w:rsidR="000A5329" w:rsidRPr="002029AF">
        <w:t xml:space="preserve"> </w:t>
      </w:r>
      <w:r w:rsidRPr="002029AF">
        <w:t>Aboriginal</w:t>
      </w:r>
      <w:r w:rsidR="000A5329" w:rsidRPr="002029AF">
        <w:t xml:space="preserve"> </w:t>
      </w:r>
      <w:r w:rsidRPr="002029AF">
        <w:t>Housing</w:t>
      </w:r>
      <w:r w:rsidR="000A5329" w:rsidRPr="002029AF">
        <w:t xml:space="preserve"> </w:t>
      </w:r>
      <w:r w:rsidRPr="002029AF">
        <w:t>Victoria.</w:t>
      </w:r>
    </w:p>
    <w:p w14:paraId="6ADDBC87" w14:textId="57887F79" w:rsidR="00087B91" w:rsidRPr="002029AF" w:rsidRDefault="00087B91" w:rsidP="002A5CF0">
      <w:pPr>
        <w:pStyle w:val="ARfintablefootnoteindent"/>
      </w:pPr>
      <w:r w:rsidRPr="002029AF">
        <w:t>(iii)</w:t>
      </w:r>
      <w:r w:rsidRPr="002029AF">
        <w:tab/>
        <w:t>Figure</w:t>
      </w:r>
      <w:r w:rsidR="000A5329" w:rsidRPr="002029AF">
        <w:t xml:space="preserve"> </w:t>
      </w:r>
      <w:r w:rsidRPr="002029AF">
        <w:t>includes</w:t>
      </w:r>
      <w:r w:rsidR="000A5329" w:rsidRPr="002029AF">
        <w:t xml:space="preserve"> </w:t>
      </w:r>
      <w:r w:rsidRPr="002029AF">
        <w:t>the</w:t>
      </w:r>
      <w:r w:rsidR="000A5329" w:rsidRPr="002029AF">
        <w:t xml:space="preserve"> </w:t>
      </w:r>
      <w:r w:rsidRPr="002029AF">
        <w:t>transfer</w:t>
      </w:r>
      <w:r w:rsidR="000A5329" w:rsidRPr="002029AF">
        <w:t xml:space="preserve"> </w:t>
      </w:r>
      <w:r w:rsidRPr="002029AF">
        <w:t>of</w:t>
      </w:r>
      <w:r w:rsidR="000A5329" w:rsidRPr="002029AF">
        <w:t xml:space="preserve"> </w:t>
      </w:r>
      <w:r w:rsidRPr="002029AF">
        <w:t>personal</w:t>
      </w:r>
      <w:r w:rsidR="000A5329" w:rsidRPr="002029AF">
        <w:t xml:space="preserve"> </w:t>
      </w:r>
      <w:r w:rsidRPr="002029AF">
        <w:t>protective</w:t>
      </w:r>
      <w:r w:rsidR="000A5329" w:rsidRPr="002029AF">
        <w:t xml:space="preserve"> </w:t>
      </w:r>
      <w:r w:rsidRPr="002029AF">
        <w:t>equipment</w:t>
      </w:r>
      <w:r w:rsidR="000A5329" w:rsidRPr="002029AF">
        <w:t xml:space="preserve"> </w:t>
      </w:r>
      <w:r w:rsidRPr="002029AF">
        <w:t>to</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and</w:t>
      </w:r>
      <w:r w:rsidR="000A5329" w:rsidRPr="002029AF">
        <w:t xml:space="preserve"> </w:t>
      </w:r>
      <w:r w:rsidRPr="002029AF">
        <w:t>other</w:t>
      </w:r>
      <w:r w:rsidR="000A5329" w:rsidRPr="002029AF">
        <w:t xml:space="preserve"> </w:t>
      </w:r>
      <w:r w:rsidRPr="002029AF">
        <w:t>agencies</w:t>
      </w:r>
      <w:r w:rsidR="000A5329" w:rsidRPr="002029AF">
        <w:t xml:space="preserve"> </w:t>
      </w:r>
      <w:r w:rsidRPr="002029AF">
        <w:t>under</w:t>
      </w:r>
      <w:r w:rsidR="000A5329" w:rsidRPr="002029AF">
        <w:t xml:space="preserve"> </w:t>
      </w:r>
      <w:r w:rsidRPr="002029AF">
        <w:t>the</w:t>
      </w:r>
      <w:r w:rsidR="000A5329" w:rsidRPr="002029AF">
        <w:t xml:space="preserve"> </w:t>
      </w:r>
      <w:r w:rsidRPr="002029AF">
        <w:t>State</w:t>
      </w:r>
      <w:r w:rsidR="000A5329" w:rsidRPr="002029AF">
        <w:t xml:space="preserve"> </w:t>
      </w:r>
      <w:r w:rsidRPr="002029AF">
        <w:t>Supply</w:t>
      </w:r>
      <w:r w:rsidR="000A5329" w:rsidRPr="002029AF">
        <w:t xml:space="preserve"> </w:t>
      </w:r>
      <w:r w:rsidRPr="002029AF">
        <w:t>Arrangement</w:t>
      </w:r>
      <w:r w:rsidR="000A5329" w:rsidRPr="002029AF">
        <w:t xml:space="preserve"> </w:t>
      </w:r>
      <w:r w:rsidRPr="002029AF">
        <w:t>set</w:t>
      </w:r>
      <w:r w:rsidR="000A5329" w:rsidRPr="002029AF">
        <w:t xml:space="preserve"> </w:t>
      </w:r>
      <w:r w:rsidRPr="002029AF">
        <w:t>up</w:t>
      </w:r>
      <w:r w:rsidR="000A5329" w:rsidRPr="002029AF">
        <w:t xml:space="preserve"> </w:t>
      </w:r>
      <w:r w:rsidRPr="002029AF">
        <w:t>in</w:t>
      </w:r>
      <w:r w:rsidR="000A5329" w:rsidRPr="002029AF">
        <w:t xml:space="preserve"> </w:t>
      </w:r>
      <w:r w:rsidRPr="002029AF">
        <w:t>response</w:t>
      </w:r>
      <w:r w:rsidR="000A5329" w:rsidRPr="002029AF">
        <w:t xml:space="preserve"> </w:t>
      </w:r>
      <w:r w:rsidRPr="002029AF">
        <w:t>to</w:t>
      </w:r>
      <w:r w:rsidR="000A5329" w:rsidRPr="002029AF">
        <w:t xml:space="preserve"> </w:t>
      </w:r>
      <w:r w:rsidRPr="002029AF">
        <w:t>the</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pandemic.</w:t>
      </w:r>
    </w:p>
    <w:p w14:paraId="579677A9" w14:textId="455DE8C2" w:rsidR="00087B91" w:rsidRPr="002029AF" w:rsidRDefault="00087B91" w:rsidP="00087B91">
      <w:pPr>
        <w:pStyle w:val="ARfinbodyaftertable"/>
      </w:pPr>
      <w:r w:rsidRPr="002029AF">
        <w:rPr>
          <w:rStyle w:val="Strong"/>
        </w:rPr>
        <w:t>Contributions</w:t>
      </w:r>
      <w:r w:rsidR="000A5329" w:rsidRPr="002029AF">
        <w:rPr>
          <w:rStyle w:val="Strong"/>
        </w:rPr>
        <w:t xml:space="preserve"> </w:t>
      </w:r>
      <w:r w:rsidRPr="002029AF">
        <w:rPr>
          <w:rStyle w:val="Strong"/>
        </w:rPr>
        <w:t>of</w:t>
      </w:r>
      <w:r w:rsidR="000A5329" w:rsidRPr="002029AF">
        <w:rPr>
          <w:rStyle w:val="Strong"/>
        </w:rPr>
        <w:t xml:space="preserve"> </w:t>
      </w:r>
      <w:r w:rsidRPr="002029AF">
        <w:rPr>
          <w:rStyle w:val="Strong"/>
        </w:rPr>
        <w:t>resources</w:t>
      </w:r>
      <w:r w:rsidR="000A5329" w:rsidRPr="002029AF">
        <w:rPr>
          <w:rStyle w:val="Strong"/>
        </w:rPr>
        <w:t xml:space="preserve"> </w:t>
      </w:r>
      <w:r w:rsidRPr="002029AF">
        <w:rPr>
          <w:rStyle w:val="Strong"/>
        </w:rPr>
        <w:t>provided</w:t>
      </w:r>
      <w:r w:rsidR="000A5329" w:rsidRPr="002029AF">
        <w:rPr>
          <w:rStyle w:val="Strong"/>
        </w:rPr>
        <w:t xml:space="preserve"> </w:t>
      </w:r>
      <w:r w:rsidRPr="002029AF">
        <w:rPr>
          <w:rStyle w:val="Strong"/>
        </w:rPr>
        <w:t>free</w:t>
      </w:r>
      <w:r w:rsidR="000A5329" w:rsidRPr="002029AF">
        <w:rPr>
          <w:rStyle w:val="Strong"/>
        </w:rPr>
        <w:t xml:space="preserve"> </w:t>
      </w:r>
      <w:r w:rsidRPr="002029AF">
        <w:rPr>
          <w:rStyle w:val="Strong"/>
        </w:rPr>
        <w:t>of</w:t>
      </w:r>
      <w:r w:rsidR="000A5329" w:rsidRPr="002029AF">
        <w:rPr>
          <w:rStyle w:val="Strong"/>
        </w:rPr>
        <w:t xml:space="preserve"> </w:t>
      </w:r>
      <w:r w:rsidRPr="002029AF">
        <w:rPr>
          <w:rStyle w:val="Strong"/>
        </w:rPr>
        <w:t>charge</w:t>
      </w:r>
      <w:r w:rsidR="000A5329" w:rsidRPr="002029AF">
        <w:rPr>
          <w:rStyle w:val="Strong"/>
        </w:rPr>
        <w:t xml:space="preserve"> </w:t>
      </w:r>
      <w:r w:rsidRPr="002029AF">
        <w:rPr>
          <w:rStyle w:val="Strong"/>
        </w:rPr>
        <w:t>or</w:t>
      </w:r>
      <w:r w:rsidR="000A5329" w:rsidRPr="002029AF">
        <w:rPr>
          <w:rStyle w:val="Strong"/>
        </w:rPr>
        <w:t xml:space="preserve"> </w:t>
      </w:r>
      <w:r w:rsidRPr="002029AF">
        <w:rPr>
          <w:rStyle w:val="Strong"/>
        </w:rPr>
        <w:t>for</w:t>
      </w:r>
      <w:r w:rsidR="000A5329" w:rsidRPr="002029AF">
        <w:rPr>
          <w:rStyle w:val="Strong"/>
        </w:rPr>
        <w:t xml:space="preserve"> </w:t>
      </w:r>
      <w:r w:rsidRPr="002029AF">
        <w:rPr>
          <w:rStyle w:val="Strong"/>
        </w:rPr>
        <w:t>nominal</w:t>
      </w:r>
      <w:r w:rsidR="000A5329" w:rsidRPr="002029AF">
        <w:rPr>
          <w:rStyle w:val="Strong"/>
        </w:rPr>
        <w:t xml:space="preserve"> </w:t>
      </w:r>
      <w:r w:rsidRPr="002029AF">
        <w:rPr>
          <w:rStyle w:val="Strong"/>
        </w:rPr>
        <w:t>consideration</w:t>
      </w:r>
      <w:r w:rsidR="000A5329" w:rsidRPr="002029AF">
        <w:t xml:space="preserve"> </w:t>
      </w:r>
      <w:r w:rsidRPr="002029AF">
        <w:t>are</w:t>
      </w:r>
      <w:r w:rsidR="000A5329" w:rsidRPr="002029AF">
        <w:t xml:space="preserve"> </w:t>
      </w:r>
      <w:r w:rsidRPr="002029AF">
        <w:t>recognised</w:t>
      </w:r>
      <w:r w:rsidR="000A5329" w:rsidRPr="002029AF">
        <w:t xml:space="preserve"> </w:t>
      </w:r>
      <w:r w:rsidRPr="002029AF">
        <w:t>at</w:t>
      </w:r>
      <w:r w:rsidR="000A5329" w:rsidRPr="002029AF">
        <w:t xml:space="preserve"> </w:t>
      </w:r>
      <w:r w:rsidRPr="002029AF">
        <w:t>their</w:t>
      </w:r>
      <w:r w:rsidR="000A5329" w:rsidRPr="002029AF">
        <w:t xml:space="preserve"> </w:t>
      </w:r>
      <w:r w:rsidRPr="002029AF">
        <w:t>fair</w:t>
      </w:r>
      <w:r w:rsidR="000A5329" w:rsidRPr="002029AF">
        <w:t xml:space="preserve"> </w:t>
      </w:r>
      <w:r w:rsidRPr="002029AF">
        <w:t>value</w:t>
      </w:r>
      <w:r w:rsidR="000A5329" w:rsidRPr="002029AF">
        <w:t xml:space="preserve"> </w:t>
      </w:r>
      <w:r w:rsidRPr="002029AF">
        <w:t>when</w:t>
      </w:r>
      <w:r w:rsidR="000A5329" w:rsidRPr="002029AF">
        <w:t xml:space="preserve"> </w:t>
      </w:r>
      <w:r w:rsidRPr="002029AF">
        <w:t>the</w:t>
      </w:r>
      <w:r w:rsidR="000A5329" w:rsidRPr="002029AF">
        <w:t xml:space="preserve"> </w:t>
      </w:r>
      <w:r w:rsidRPr="002029AF">
        <w:t>recipient</w:t>
      </w:r>
      <w:r w:rsidR="000A5329" w:rsidRPr="002029AF">
        <w:t xml:space="preserve"> </w:t>
      </w:r>
      <w:r w:rsidRPr="002029AF">
        <w:t>obtains</w:t>
      </w:r>
      <w:r w:rsidR="000A5329" w:rsidRPr="002029AF">
        <w:t xml:space="preserve"> </w:t>
      </w:r>
      <w:r w:rsidRPr="002029AF">
        <w:t>control</w:t>
      </w:r>
      <w:r w:rsidR="000A5329" w:rsidRPr="002029AF">
        <w:t xml:space="preserve"> </w:t>
      </w:r>
      <w:r w:rsidRPr="002029AF">
        <w:t>over</w:t>
      </w:r>
      <w:r w:rsidR="000A5329" w:rsidRPr="002029AF">
        <w:t xml:space="preserve"> </w:t>
      </w:r>
      <w:r w:rsidRPr="002029AF">
        <w:t>the</w:t>
      </w:r>
      <w:r w:rsidR="000A5329" w:rsidRPr="002029AF">
        <w:t xml:space="preserve"> </w:t>
      </w:r>
      <w:r w:rsidRPr="002029AF">
        <w:t>resources,</w:t>
      </w:r>
      <w:r w:rsidR="000A5329" w:rsidRPr="002029AF">
        <w:t xml:space="preserve"> </w:t>
      </w:r>
      <w:r w:rsidRPr="002029AF">
        <w:t>irrespective</w:t>
      </w:r>
      <w:r w:rsidR="000A5329" w:rsidRPr="002029AF">
        <w:t xml:space="preserve"> </w:t>
      </w:r>
      <w:r w:rsidRPr="002029AF">
        <w:t>of</w:t>
      </w:r>
      <w:r w:rsidR="000A5329" w:rsidRPr="002029AF">
        <w:t xml:space="preserve"> </w:t>
      </w:r>
      <w:r w:rsidRPr="002029AF">
        <w:t>whether</w:t>
      </w:r>
      <w:r w:rsidR="000A5329" w:rsidRPr="002029AF">
        <w:t xml:space="preserve"> </w:t>
      </w:r>
      <w:r w:rsidRPr="002029AF">
        <w:t>restrictions</w:t>
      </w:r>
      <w:r w:rsidR="000A5329" w:rsidRPr="002029AF">
        <w:t xml:space="preserve"> </w:t>
      </w:r>
      <w:r w:rsidRPr="002029AF">
        <w:t>or</w:t>
      </w:r>
      <w:r w:rsidR="000A5329" w:rsidRPr="002029AF">
        <w:t xml:space="preserve"> </w:t>
      </w:r>
      <w:r w:rsidRPr="002029AF">
        <w:t>conditions</w:t>
      </w:r>
      <w:r w:rsidR="000A5329" w:rsidRPr="002029AF">
        <w:t xml:space="preserve"> </w:t>
      </w:r>
      <w:r w:rsidRPr="002029AF">
        <w:t>are</w:t>
      </w:r>
      <w:r w:rsidR="000A5329" w:rsidRPr="002029AF">
        <w:t xml:space="preserve"> </w:t>
      </w:r>
      <w:r w:rsidRPr="002029AF">
        <w:t>imposed</w:t>
      </w:r>
      <w:r w:rsidR="000A5329" w:rsidRPr="002029AF">
        <w:t xml:space="preserve"> </w:t>
      </w:r>
      <w:r w:rsidRPr="002029AF">
        <w:t>over</w:t>
      </w:r>
      <w:r w:rsidR="000A5329" w:rsidRPr="002029AF">
        <w:t xml:space="preserve"> </w:t>
      </w:r>
      <w:r w:rsidRPr="002029AF">
        <w:t>the</w:t>
      </w:r>
      <w:r w:rsidR="000A5329" w:rsidRPr="002029AF">
        <w:t xml:space="preserve"> </w:t>
      </w:r>
      <w:r w:rsidRPr="002029AF">
        <w:t>use</w:t>
      </w:r>
      <w:r w:rsidR="000A5329" w:rsidRPr="002029AF">
        <w:t xml:space="preserve"> </w:t>
      </w:r>
      <w:r w:rsidRPr="002029AF">
        <w:t>of</w:t>
      </w:r>
      <w:r w:rsidR="000A5329" w:rsidRPr="002029AF">
        <w:t xml:space="preserve"> </w:t>
      </w:r>
      <w:r w:rsidRPr="002029AF">
        <w:t>the</w:t>
      </w:r>
      <w:r w:rsidR="000A5329" w:rsidRPr="002029AF">
        <w:t xml:space="preserve"> </w:t>
      </w:r>
      <w:r w:rsidRPr="002029AF">
        <w:t>contributions.</w:t>
      </w:r>
      <w:r w:rsidR="000A5329" w:rsidRPr="002029AF">
        <w:t xml:space="preserve"> </w:t>
      </w:r>
      <w:r w:rsidRPr="002029AF">
        <w:t>The</w:t>
      </w:r>
      <w:r w:rsidR="000A5329" w:rsidRPr="002029AF">
        <w:t xml:space="preserve"> </w:t>
      </w:r>
      <w:r w:rsidRPr="002029AF">
        <w:t>exception</w:t>
      </w:r>
      <w:r w:rsidR="000A5329" w:rsidRPr="002029AF">
        <w:t xml:space="preserve"> </w:t>
      </w:r>
      <w:r w:rsidRPr="002029AF">
        <w:t>to</w:t>
      </w:r>
      <w:r w:rsidR="000A5329" w:rsidRPr="002029AF">
        <w:t xml:space="preserve"> </w:t>
      </w:r>
      <w:r w:rsidRPr="002029AF">
        <w:t>this</w:t>
      </w:r>
      <w:r w:rsidR="000A5329" w:rsidRPr="002029AF">
        <w:t xml:space="preserve"> </w:t>
      </w:r>
      <w:r w:rsidRPr="002029AF">
        <w:t>would</w:t>
      </w:r>
      <w:r w:rsidR="000A5329" w:rsidRPr="002029AF">
        <w:t xml:space="preserve"> </w:t>
      </w:r>
      <w:r w:rsidRPr="002029AF">
        <w:t>be</w:t>
      </w:r>
      <w:r w:rsidR="000A5329" w:rsidRPr="002029AF">
        <w:t xml:space="preserve"> </w:t>
      </w:r>
      <w:r w:rsidRPr="002029AF">
        <w:t>when</w:t>
      </w:r>
      <w:r w:rsidR="000A5329" w:rsidRPr="002029AF">
        <w:t xml:space="preserve"> </w:t>
      </w:r>
      <w:r w:rsidRPr="002029AF">
        <w:t>the</w:t>
      </w:r>
      <w:r w:rsidR="000A5329" w:rsidRPr="002029AF">
        <w:t xml:space="preserve"> </w:t>
      </w:r>
      <w:r w:rsidRPr="002029AF">
        <w:t>resource</w:t>
      </w:r>
      <w:r w:rsidR="000A5329" w:rsidRPr="002029AF">
        <w:t xml:space="preserve"> </w:t>
      </w:r>
      <w:r w:rsidRPr="002029AF">
        <w:t>is</w:t>
      </w:r>
      <w:r w:rsidR="000A5329" w:rsidRPr="002029AF">
        <w:t xml:space="preserve"> </w:t>
      </w:r>
      <w:r w:rsidRPr="002029AF">
        <w:t>provided</w:t>
      </w:r>
      <w:r w:rsidR="000A5329" w:rsidRPr="002029AF">
        <w:t xml:space="preserve"> </w:t>
      </w:r>
      <w:r w:rsidRPr="002029AF">
        <w:t>to</w:t>
      </w:r>
      <w:r w:rsidR="000A5329" w:rsidRPr="002029AF">
        <w:t xml:space="preserve"> </w:t>
      </w:r>
      <w:r w:rsidRPr="002029AF">
        <w:t>another</w:t>
      </w:r>
      <w:r w:rsidR="000A5329" w:rsidRPr="002029AF">
        <w:t xml:space="preserve"> </w:t>
      </w:r>
      <w:r w:rsidRPr="002029AF">
        <w:t>government</w:t>
      </w:r>
      <w:r w:rsidR="000A5329" w:rsidRPr="002029AF">
        <w:t xml:space="preserve"> </w:t>
      </w:r>
      <w:r w:rsidRPr="002029AF">
        <w:t>department</w:t>
      </w:r>
      <w:r w:rsidR="000A5329" w:rsidRPr="002029AF">
        <w:t xml:space="preserve"> </w:t>
      </w:r>
      <w:r w:rsidRPr="002029AF">
        <w:t>(or</w:t>
      </w:r>
      <w:r w:rsidR="000A5329" w:rsidRPr="002029AF">
        <w:t xml:space="preserve"> </w:t>
      </w:r>
      <w:r w:rsidRPr="002029AF">
        <w:t>agency)</w:t>
      </w:r>
      <w:r w:rsidR="000A5329" w:rsidRPr="002029AF">
        <w:t xml:space="preserve"> </w:t>
      </w:r>
      <w:r w:rsidRPr="002029AF">
        <w:t>as</w:t>
      </w:r>
      <w:r w:rsidR="000A5329" w:rsidRPr="002029AF">
        <w:t xml:space="preserve"> </w:t>
      </w:r>
      <w:r w:rsidRPr="002029AF">
        <w:t>a</w:t>
      </w:r>
      <w:r w:rsidR="000A5329" w:rsidRPr="002029AF">
        <w:t xml:space="preserve"> </w:t>
      </w:r>
      <w:r w:rsidRPr="002029AF">
        <w:t>consequence</w:t>
      </w:r>
      <w:r w:rsidR="000A5329" w:rsidRPr="002029AF">
        <w:t xml:space="preserve"> </w:t>
      </w:r>
      <w:r w:rsidRPr="002029AF">
        <w:t>of</w:t>
      </w:r>
      <w:r w:rsidR="000A5329" w:rsidRPr="002029AF">
        <w:t xml:space="preserve"> </w:t>
      </w:r>
      <w:r w:rsidRPr="002029AF">
        <w:t>a</w:t>
      </w:r>
      <w:r w:rsidR="000A5329" w:rsidRPr="002029AF">
        <w:t xml:space="preserve"> </w:t>
      </w:r>
      <w:r w:rsidRPr="002029AF">
        <w:t>restructuring</w:t>
      </w:r>
      <w:r w:rsidR="000A5329" w:rsidRPr="002029AF">
        <w:t xml:space="preserve"> </w:t>
      </w:r>
      <w:r w:rsidRPr="002029AF">
        <w:t>of</w:t>
      </w:r>
      <w:r w:rsidR="000A5329" w:rsidRPr="002029AF">
        <w:t xml:space="preserve"> </w:t>
      </w:r>
      <w:r w:rsidRPr="002029AF">
        <w:t>administrative</w:t>
      </w:r>
      <w:r w:rsidR="000A5329" w:rsidRPr="002029AF">
        <w:t xml:space="preserve"> </w:t>
      </w:r>
      <w:r w:rsidRPr="002029AF">
        <w:t>arrangements,</w:t>
      </w:r>
      <w:r w:rsidR="000A5329" w:rsidRPr="002029AF">
        <w:t xml:space="preserve"> </w:t>
      </w:r>
      <w:r w:rsidRPr="002029AF">
        <w:t>in</w:t>
      </w:r>
      <w:r w:rsidR="000A5329" w:rsidRPr="002029AF">
        <w:t xml:space="preserve"> </w:t>
      </w:r>
      <w:r w:rsidRPr="002029AF">
        <w:t>which</w:t>
      </w:r>
      <w:r w:rsidR="000A5329" w:rsidRPr="002029AF">
        <w:t xml:space="preserve"> </w:t>
      </w:r>
      <w:r w:rsidRPr="002029AF">
        <w:t>case</w:t>
      </w:r>
      <w:r w:rsidR="000A5329" w:rsidRPr="002029AF">
        <w:t xml:space="preserve"> </w:t>
      </w:r>
      <w:r w:rsidRPr="002029AF">
        <w:t>such</w:t>
      </w:r>
      <w:r w:rsidR="000A5329" w:rsidRPr="002029AF">
        <w:t xml:space="preserve"> </w:t>
      </w:r>
      <w:r w:rsidRPr="002029AF">
        <w:t>a</w:t>
      </w:r>
      <w:r w:rsidR="000A5329" w:rsidRPr="002029AF">
        <w:t xml:space="preserve"> </w:t>
      </w:r>
      <w:r w:rsidRPr="002029AF">
        <w:t>transfer</w:t>
      </w:r>
      <w:r w:rsidR="000A5329" w:rsidRPr="002029AF">
        <w:t xml:space="preserve"> </w:t>
      </w:r>
      <w:r w:rsidRPr="002029AF">
        <w:t>will</w:t>
      </w:r>
      <w:r w:rsidR="000A5329" w:rsidRPr="002029AF">
        <w:t xml:space="preserve"> </w:t>
      </w:r>
      <w:r w:rsidRPr="002029AF">
        <w:t>be</w:t>
      </w:r>
      <w:r w:rsidR="000A5329" w:rsidRPr="002029AF">
        <w:t xml:space="preserve"> </w:t>
      </w:r>
      <w:r w:rsidRPr="002029AF">
        <w:t>recognised</w:t>
      </w:r>
      <w:r w:rsidR="000A5329" w:rsidRPr="002029AF">
        <w:t xml:space="preserve"> </w:t>
      </w:r>
      <w:r w:rsidRPr="002029AF">
        <w:t>at</w:t>
      </w:r>
      <w:r w:rsidR="000A5329" w:rsidRPr="002029AF">
        <w:t xml:space="preserve"> </w:t>
      </w:r>
      <w:r w:rsidRPr="002029AF">
        <w:t>carrying</w:t>
      </w:r>
      <w:r w:rsidR="000A5329" w:rsidRPr="002029AF">
        <w:t xml:space="preserve"> </w:t>
      </w:r>
      <w:r w:rsidRPr="002029AF">
        <w:t>value.</w:t>
      </w:r>
    </w:p>
    <w:p w14:paraId="42796889" w14:textId="03F4C62E" w:rsidR="00087B91" w:rsidRPr="002029AF" w:rsidRDefault="00087B91" w:rsidP="00087B91">
      <w:pPr>
        <w:pStyle w:val="ARfinbody"/>
      </w:pPr>
      <w:r w:rsidRPr="002029AF">
        <w:t>Contributions</w:t>
      </w:r>
      <w:r w:rsidR="000A5329" w:rsidRPr="002029AF">
        <w:t xml:space="preserve"> </w:t>
      </w:r>
      <w:r w:rsidRPr="002029AF">
        <w:t>in</w:t>
      </w:r>
      <w:r w:rsidR="000A5329" w:rsidRPr="002029AF">
        <w:t xml:space="preserve"> </w:t>
      </w:r>
      <w:r w:rsidRPr="002029AF">
        <w:t>the</w:t>
      </w:r>
      <w:r w:rsidR="000A5329" w:rsidRPr="002029AF">
        <w:t xml:space="preserve"> </w:t>
      </w:r>
      <w:r w:rsidRPr="002029AF">
        <w:t>form</w:t>
      </w:r>
      <w:r w:rsidR="000A5329" w:rsidRPr="002029AF">
        <w:t xml:space="preserve"> </w:t>
      </w:r>
      <w:r w:rsidRPr="002029AF">
        <w:t>of</w:t>
      </w:r>
      <w:r w:rsidR="000A5329" w:rsidRPr="002029AF">
        <w:t xml:space="preserve"> </w:t>
      </w:r>
      <w:r w:rsidRPr="002029AF">
        <w:t>services</w:t>
      </w:r>
      <w:r w:rsidR="000A5329" w:rsidRPr="002029AF">
        <w:t xml:space="preserve"> </w:t>
      </w:r>
      <w:r w:rsidRPr="002029AF">
        <w:t>are</w:t>
      </w:r>
      <w:r w:rsidR="000A5329" w:rsidRPr="002029AF">
        <w:t xml:space="preserve"> </w:t>
      </w:r>
      <w:r w:rsidRPr="002029AF">
        <w:t>only</w:t>
      </w:r>
      <w:r w:rsidR="000A5329" w:rsidRPr="002029AF">
        <w:t xml:space="preserve"> </w:t>
      </w:r>
      <w:r w:rsidRPr="002029AF">
        <w:t>recognised</w:t>
      </w:r>
      <w:r w:rsidR="000A5329" w:rsidRPr="002029AF">
        <w:t xml:space="preserve"> </w:t>
      </w:r>
      <w:r w:rsidRPr="002029AF">
        <w:t>when</w:t>
      </w:r>
      <w:r w:rsidR="000A5329" w:rsidRPr="002029AF">
        <w:t xml:space="preserve"> </w:t>
      </w:r>
      <w:r w:rsidRPr="002029AF">
        <w:t>a</w:t>
      </w:r>
      <w:r w:rsidR="000A5329" w:rsidRPr="002029AF">
        <w:t xml:space="preserve"> </w:t>
      </w:r>
      <w:r w:rsidRPr="002029AF">
        <w:t>fair</w:t>
      </w:r>
      <w:r w:rsidR="000A5329" w:rsidRPr="002029AF">
        <w:t xml:space="preserve"> </w:t>
      </w:r>
      <w:r w:rsidRPr="002029AF">
        <w:t>value</w:t>
      </w:r>
      <w:r w:rsidR="000A5329" w:rsidRPr="002029AF">
        <w:t xml:space="preserve"> </w:t>
      </w:r>
      <w:r w:rsidRPr="002029AF">
        <w:t>can</w:t>
      </w:r>
      <w:r w:rsidR="000A5329" w:rsidRPr="002029AF">
        <w:t xml:space="preserve"> </w:t>
      </w:r>
      <w:r w:rsidRPr="002029AF">
        <w:t>be</w:t>
      </w:r>
      <w:r w:rsidR="000A5329" w:rsidRPr="002029AF">
        <w:t xml:space="preserve"> </w:t>
      </w:r>
      <w:r w:rsidRPr="002029AF">
        <w:t>reliably</w:t>
      </w:r>
      <w:r w:rsidR="000A5329" w:rsidRPr="002029AF">
        <w:t xml:space="preserve"> </w:t>
      </w:r>
      <w:r w:rsidR="00BE1141" w:rsidRPr="002029AF">
        <w:t>determined,</w:t>
      </w:r>
      <w:r w:rsidR="000A5329" w:rsidRPr="002029AF">
        <w:t xml:space="preserve"> </w:t>
      </w:r>
      <w:r w:rsidRPr="002029AF">
        <w:t>and</w:t>
      </w:r>
      <w:r w:rsidR="000A5329" w:rsidRPr="002029AF">
        <w:t xml:space="preserve"> </w:t>
      </w:r>
      <w:r w:rsidRPr="002029AF">
        <w:t>the</w:t>
      </w:r>
      <w:r w:rsidR="000A5329" w:rsidRPr="002029AF">
        <w:t xml:space="preserve"> </w:t>
      </w:r>
      <w:r w:rsidRPr="002029AF">
        <w:t>services</w:t>
      </w:r>
      <w:r w:rsidR="000A5329" w:rsidRPr="002029AF">
        <w:t xml:space="preserve"> </w:t>
      </w:r>
      <w:r w:rsidRPr="002029AF">
        <w:t>would</w:t>
      </w:r>
      <w:r w:rsidR="000A5329" w:rsidRPr="002029AF">
        <w:t xml:space="preserve"> </w:t>
      </w:r>
      <w:r w:rsidRPr="002029AF">
        <w:t>have</w:t>
      </w:r>
      <w:r w:rsidR="000A5329" w:rsidRPr="002029AF">
        <w:t xml:space="preserve"> </w:t>
      </w:r>
      <w:r w:rsidRPr="002029AF">
        <w:t>been</w:t>
      </w:r>
      <w:r w:rsidR="000A5329" w:rsidRPr="002029AF">
        <w:t xml:space="preserve"> </w:t>
      </w:r>
      <w:r w:rsidRPr="002029AF">
        <w:t>purchased</w:t>
      </w:r>
      <w:r w:rsidR="000A5329" w:rsidRPr="002029AF">
        <w:t xml:space="preserve"> </w:t>
      </w:r>
      <w:r w:rsidRPr="002029AF">
        <w:t>if</w:t>
      </w:r>
      <w:r w:rsidR="000A5329" w:rsidRPr="002029AF">
        <w:t xml:space="preserve"> </w:t>
      </w:r>
      <w:r w:rsidRPr="002029AF">
        <w:t>not</w:t>
      </w:r>
      <w:r w:rsidR="000A5329" w:rsidRPr="002029AF">
        <w:t xml:space="preserve"> </w:t>
      </w:r>
      <w:r w:rsidRPr="002029AF">
        <w:t>donated.</w:t>
      </w:r>
    </w:p>
    <w:p w14:paraId="46AC16F4" w14:textId="15AB0590" w:rsidR="00087B91" w:rsidRPr="002029AF" w:rsidRDefault="00087B91" w:rsidP="00087B91">
      <w:pPr>
        <w:pStyle w:val="Heading5"/>
      </w:pPr>
      <w:bookmarkStart w:id="315" w:name="_Toc39136704"/>
      <w:r w:rsidRPr="002029AF">
        <w:t>3.1.5</w:t>
      </w:r>
      <w:r w:rsidR="000A5329" w:rsidRPr="002029AF">
        <w:t xml:space="preserve"> </w:t>
      </w:r>
      <w:r w:rsidRPr="002029AF">
        <w:t>Other</w:t>
      </w:r>
      <w:r w:rsidR="000A5329" w:rsidRPr="002029AF">
        <w:t xml:space="preserve"> </w:t>
      </w:r>
      <w:r w:rsidRPr="002029AF">
        <w:t>operating</w:t>
      </w:r>
      <w:r w:rsidR="000A5329" w:rsidRPr="002029AF">
        <w:t xml:space="preserve"> </w:t>
      </w:r>
      <w:r w:rsidRPr="002029AF">
        <w:t>expenses</w:t>
      </w:r>
      <w:bookmarkEnd w:id="315"/>
    </w:p>
    <w:tbl>
      <w:tblPr>
        <w:tblStyle w:val="TableGrid"/>
        <w:tblW w:w="9637" w:type="dxa"/>
        <w:tblLayout w:type="fixed"/>
        <w:tblLook w:val="06A0" w:firstRow="1" w:lastRow="0" w:firstColumn="1" w:lastColumn="0" w:noHBand="1" w:noVBand="1"/>
      </w:tblPr>
      <w:tblGrid>
        <w:gridCol w:w="7371"/>
        <w:gridCol w:w="1133"/>
        <w:gridCol w:w="1133"/>
      </w:tblGrid>
      <w:tr w:rsidR="00087B91" w:rsidRPr="002029AF" w14:paraId="2B4EF206"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7371" w:type="dxa"/>
            <w:tcBorders>
              <w:bottom w:val="single" w:sz="4" w:space="0" w:color="auto"/>
            </w:tcBorders>
            <w:noWrap/>
            <w:hideMark/>
          </w:tcPr>
          <w:p w14:paraId="52F9578C" w14:textId="77777777" w:rsidR="00087B91" w:rsidRPr="002029AF" w:rsidRDefault="00087B91" w:rsidP="00860E95">
            <w:pPr>
              <w:pStyle w:val="ARfintablecolhead"/>
            </w:pPr>
          </w:p>
        </w:tc>
        <w:tc>
          <w:tcPr>
            <w:tcW w:w="1133" w:type="dxa"/>
            <w:tcBorders>
              <w:bottom w:val="single" w:sz="4" w:space="0" w:color="auto"/>
            </w:tcBorders>
            <w:shd w:val="clear" w:color="auto" w:fill="E7E6E6"/>
            <w:hideMark/>
          </w:tcPr>
          <w:p w14:paraId="42A06595" w14:textId="77777777" w:rsidR="00087B91" w:rsidRPr="002029AF" w:rsidRDefault="00087B91" w:rsidP="00860E95">
            <w:pPr>
              <w:pStyle w:val="ARfintablecolheadright"/>
            </w:pPr>
            <w:r w:rsidRPr="002029AF">
              <w:t>2020</w:t>
            </w:r>
          </w:p>
          <w:p w14:paraId="1E65E929" w14:textId="77777777" w:rsidR="00087B91" w:rsidRPr="002029AF" w:rsidRDefault="00087B91" w:rsidP="00860E95">
            <w:pPr>
              <w:pStyle w:val="ARfintablecolheadright"/>
            </w:pPr>
            <w:r w:rsidRPr="002029AF">
              <w:t>$M</w:t>
            </w:r>
          </w:p>
        </w:tc>
        <w:tc>
          <w:tcPr>
            <w:tcW w:w="1133" w:type="dxa"/>
            <w:tcBorders>
              <w:bottom w:val="single" w:sz="4" w:space="0" w:color="auto"/>
            </w:tcBorders>
            <w:hideMark/>
          </w:tcPr>
          <w:p w14:paraId="46AE902D" w14:textId="77777777" w:rsidR="00087B91" w:rsidRPr="002029AF" w:rsidRDefault="00087B91" w:rsidP="00860E95">
            <w:pPr>
              <w:pStyle w:val="ARfintablecolheadright"/>
            </w:pPr>
            <w:r w:rsidRPr="002029AF">
              <w:t>2019</w:t>
            </w:r>
          </w:p>
          <w:p w14:paraId="31DDF6B9" w14:textId="77777777" w:rsidR="00087B91" w:rsidRPr="002029AF" w:rsidRDefault="00087B91" w:rsidP="00860E95">
            <w:pPr>
              <w:pStyle w:val="ARfintablecolheadright"/>
            </w:pPr>
            <w:r w:rsidRPr="002029AF">
              <w:t>$M</w:t>
            </w:r>
          </w:p>
        </w:tc>
      </w:tr>
      <w:tr w:rsidR="00087B91" w:rsidRPr="002029AF" w14:paraId="5C6DDD4A" w14:textId="77777777" w:rsidTr="00860E95">
        <w:tc>
          <w:tcPr>
            <w:tcW w:w="7371" w:type="dxa"/>
            <w:tcBorders>
              <w:top w:val="single" w:sz="4" w:space="0" w:color="auto"/>
              <w:bottom w:val="single" w:sz="4" w:space="0" w:color="A6A6A6"/>
            </w:tcBorders>
            <w:hideMark/>
          </w:tcPr>
          <w:p w14:paraId="0EA7895A" w14:textId="311A24FB" w:rsidR="00087B91" w:rsidRPr="002029AF" w:rsidRDefault="00087B91" w:rsidP="00860E95">
            <w:pPr>
              <w:pStyle w:val="ARfintablebody"/>
            </w:pPr>
            <w:r w:rsidRPr="002029AF">
              <w:t>Accommodation</w:t>
            </w:r>
            <w:r w:rsidR="000A5329" w:rsidRPr="002029AF">
              <w:t xml:space="preserve"> </w:t>
            </w:r>
            <w:r w:rsidRPr="002029AF">
              <w:t>and</w:t>
            </w:r>
            <w:r w:rsidR="000A5329" w:rsidRPr="002029AF">
              <w:t xml:space="preserve"> </w:t>
            </w:r>
            <w:r w:rsidRPr="002029AF">
              <w:t>property</w:t>
            </w:r>
            <w:r w:rsidR="000A5329" w:rsidRPr="002029AF">
              <w:t xml:space="preserve"> </w:t>
            </w:r>
            <w:r w:rsidRPr="002029AF">
              <w:t>services</w:t>
            </w:r>
          </w:p>
        </w:tc>
        <w:tc>
          <w:tcPr>
            <w:tcW w:w="1133" w:type="dxa"/>
            <w:tcBorders>
              <w:top w:val="single" w:sz="4" w:space="0" w:color="auto"/>
              <w:bottom w:val="single" w:sz="4" w:space="0" w:color="A6A6A6"/>
            </w:tcBorders>
            <w:shd w:val="clear" w:color="auto" w:fill="E7E6E6"/>
            <w:noWrap/>
            <w:hideMark/>
          </w:tcPr>
          <w:p w14:paraId="4C4D0BE0" w14:textId="77777777" w:rsidR="00087B91" w:rsidRPr="002029AF" w:rsidRDefault="00087B91" w:rsidP="00860E95">
            <w:pPr>
              <w:pStyle w:val="ARfintablebodyright"/>
            </w:pPr>
            <w:r w:rsidRPr="002029AF">
              <w:t>63.7</w:t>
            </w:r>
          </w:p>
        </w:tc>
        <w:tc>
          <w:tcPr>
            <w:tcW w:w="1133" w:type="dxa"/>
            <w:tcBorders>
              <w:top w:val="single" w:sz="4" w:space="0" w:color="auto"/>
              <w:bottom w:val="single" w:sz="4" w:space="0" w:color="A6A6A6"/>
            </w:tcBorders>
            <w:noWrap/>
            <w:hideMark/>
          </w:tcPr>
          <w:p w14:paraId="42CD6378" w14:textId="77777777" w:rsidR="00087B91" w:rsidRPr="002029AF" w:rsidRDefault="00087B91" w:rsidP="00860E95">
            <w:pPr>
              <w:pStyle w:val="ARfintablebodyright"/>
            </w:pPr>
            <w:r w:rsidRPr="002029AF">
              <w:t>87.7</w:t>
            </w:r>
          </w:p>
        </w:tc>
      </w:tr>
      <w:tr w:rsidR="00087B91" w:rsidRPr="002029AF" w14:paraId="43FBE816" w14:textId="77777777" w:rsidTr="00860E95">
        <w:tc>
          <w:tcPr>
            <w:tcW w:w="7371" w:type="dxa"/>
            <w:tcBorders>
              <w:top w:val="single" w:sz="4" w:space="0" w:color="A6A6A6"/>
              <w:bottom w:val="single" w:sz="4" w:space="0" w:color="A6A6A6"/>
            </w:tcBorders>
            <w:hideMark/>
          </w:tcPr>
          <w:p w14:paraId="7DCF52E5" w14:textId="2F55604B" w:rsidR="00087B91" w:rsidRPr="002029AF" w:rsidRDefault="00087B91" w:rsidP="00860E95">
            <w:pPr>
              <w:pStyle w:val="ARfintablebody"/>
            </w:pPr>
            <w:r w:rsidRPr="002029AF">
              <w:t>Administrative</w:t>
            </w:r>
            <w:r w:rsidR="000A5329" w:rsidRPr="002029AF">
              <w:t xml:space="preserve"> </w:t>
            </w:r>
            <w:r w:rsidRPr="002029AF">
              <w:t>costs</w:t>
            </w:r>
          </w:p>
        </w:tc>
        <w:tc>
          <w:tcPr>
            <w:tcW w:w="1133" w:type="dxa"/>
            <w:tcBorders>
              <w:top w:val="single" w:sz="4" w:space="0" w:color="A6A6A6"/>
              <w:bottom w:val="single" w:sz="4" w:space="0" w:color="A6A6A6"/>
            </w:tcBorders>
            <w:shd w:val="clear" w:color="auto" w:fill="E7E6E6"/>
            <w:noWrap/>
            <w:hideMark/>
          </w:tcPr>
          <w:p w14:paraId="15AC146E" w14:textId="77777777" w:rsidR="00087B91" w:rsidRPr="002029AF" w:rsidRDefault="00087B91" w:rsidP="00860E95">
            <w:pPr>
              <w:pStyle w:val="ARfintablebodyright"/>
            </w:pPr>
            <w:r w:rsidRPr="002029AF">
              <w:t>372.4</w:t>
            </w:r>
          </w:p>
        </w:tc>
        <w:tc>
          <w:tcPr>
            <w:tcW w:w="1133" w:type="dxa"/>
            <w:tcBorders>
              <w:top w:val="single" w:sz="4" w:space="0" w:color="A6A6A6"/>
              <w:bottom w:val="single" w:sz="4" w:space="0" w:color="A6A6A6"/>
            </w:tcBorders>
            <w:noWrap/>
            <w:hideMark/>
          </w:tcPr>
          <w:p w14:paraId="05986F8B" w14:textId="77777777" w:rsidR="00087B91" w:rsidRPr="002029AF" w:rsidRDefault="00087B91" w:rsidP="00860E95">
            <w:pPr>
              <w:pStyle w:val="ARfintablebodyright"/>
            </w:pPr>
            <w:r w:rsidRPr="002029AF">
              <w:t>270.7</w:t>
            </w:r>
          </w:p>
        </w:tc>
      </w:tr>
      <w:tr w:rsidR="00087B91" w:rsidRPr="002029AF" w14:paraId="319F7C8F" w14:textId="77777777" w:rsidTr="00860E95">
        <w:tc>
          <w:tcPr>
            <w:tcW w:w="7371" w:type="dxa"/>
            <w:tcBorders>
              <w:top w:val="single" w:sz="4" w:space="0" w:color="A6A6A6"/>
              <w:bottom w:val="single" w:sz="4" w:space="0" w:color="A6A6A6"/>
            </w:tcBorders>
            <w:hideMark/>
          </w:tcPr>
          <w:p w14:paraId="32035D7F" w14:textId="1E37DD43" w:rsidR="00087B91" w:rsidRPr="002029AF" w:rsidRDefault="00087B91" w:rsidP="00860E95">
            <w:pPr>
              <w:pStyle w:val="ARfintablebody"/>
            </w:pPr>
            <w:r w:rsidRPr="002029AF">
              <w:t>Short-term</w:t>
            </w:r>
            <w:r w:rsidR="000A5329" w:rsidRPr="002029AF">
              <w:t xml:space="preserve"> </w:t>
            </w:r>
            <w:r w:rsidRPr="002029AF">
              <w:t>lease</w:t>
            </w:r>
            <w:r w:rsidR="000A5329" w:rsidRPr="002029AF">
              <w:t xml:space="preserve"> </w:t>
            </w:r>
            <w:r w:rsidRPr="002029AF">
              <w:t>expenses</w:t>
            </w:r>
          </w:p>
        </w:tc>
        <w:tc>
          <w:tcPr>
            <w:tcW w:w="1133" w:type="dxa"/>
            <w:tcBorders>
              <w:top w:val="single" w:sz="4" w:space="0" w:color="A6A6A6"/>
              <w:bottom w:val="single" w:sz="4" w:space="0" w:color="A6A6A6"/>
            </w:tcBorders>
            <w:shd w:val="clear" w:color="auto" w:fill="E7E6E6"/>
            <w:noWrap/>
            <w:hideMark/>
          </w:tcPr>
          <w:p w14:paraId="4626B23E" w14:textId="77777777" w:rsidR="00087B91" w:rsidRPr="002029AF" w:rsidRDefault="00087B91" w:rsidP="00860E95">
            <w:pPr>
              <w:pStyle w:val="ARfintablebodyright"/>
            </w:pPr>
            <w:r w:rsidRPr="002029AF">
              <w:t>6.9</w:t>
            </w:r>
          </w:p>
        </w:tc>
        <w:tc>
          <w:tcPr>
            <w:tcW w:w="1133" w:type="dxa"/>
            <w:tcBorders>
              <w:top w:val="single" w:sz="4" w:space="0" w:color="A6A6A6"/>
              <w:bottom w:val="single" w:sz="4" w:space="0" w:color="A6A6A6"/>
            </w:tcBorders>
            <w:noWrap/>
            <w:hideMark/>
          </w:tcPr>
          <w:p w14:paraId="5590DDF2" w14:textId="77777777" w:rsidR="00087B91" w:rsidRPr="002029AF" w:rsidRDefault="00087B91" w:rsidP="00860E95">
            <w:pPr>
              <w:pStyle w:val="ARfintablebodyright"/>
            </w:pPr>
            <w:r w:rsidRPr="002029AF">
              <w:t>–</w:t>
            </w:r>
          </w:p>
        </w:tc>
      </w:tr>
      <w:tr w:rsidR="00087B91" w:rsidRPr="002029AF" w14:paraId="1F43A9A5" w14:textId="77777777" w:rsidTr="00860E95">
        <w:tc>
          <w:tcPr>
            <w:tcW w:w="7371" w:type="dxa"/>
            <w:tcBorders>
              <w:top w:val="single" w:sz="4" w:space="0" w:color="A6A6A6"/>
              <w:bottom w:val="single" w:sz="4" w:space="0" w:color="A6A6A6"/>
            </w:tcBorders>
            <w:hideMark/>
          </w:tcPr>
          <w:p w14:paraId="4E7A4627" w14:textId="06CDBAD0" w:rsidR="00087B91" w:rsidRPr="002029AF" w:rsidRDefault="00087B91" w:rsidP="00860E95">
            <w:pPr>
              <w:pStyle w:val="ARfintablebody"/>
            </w:pPr>
            <w:r w:rsidRPr="002029AF">
              <w:t>Variable</w:t>
            </w:r>
            <w:r w:rsidR="000A5329" w:rsidRPr="002029AF">
              <w:t xml:space="preserve"> </w:t>
            </w:r>
            <w:r w:rsidRPr="002029AF">
              <w:t>lease</w:t>
            </w:r>
            <w:r w:rsidR="000A5329" w:rsidRPr="002029AF">
              <w:t xml:space="preserve"> </w:t>
            </w:r>
            <w:r w:rsidRPr="002029AF">
              <w:t>expenses</w:t>
            </w:r>
          </w:p>
        </w:tc>
        <w:tc>
          <w:tcPr>
            <w:tcW w:w="1133" w:type="dxa"/>
            <w:tcBorders>
              <w:top w:val="single" w:sz="4" w:space="0" w:color="A6A6A6"/>
              <w:bottom w:val="single" w:sz="4" w:space="0" w:color="A6A6A6"/>
            </w:tcBorders>
            <w:shd w:val="clear" w:color="auto" w:fill="E7E6E6"/>
            <w:noWrap/>
            <w:hideMark/>
          </w:tcPr>
          <w:p w14:paraId="43E21598" w14:textId="77777777" w:rsidR="00087B91" w:rsidRPr="002029AF" w:rsidRDefault="00087B91" w:rsidP="00860E95">
            <w:pPr>
              <w:pStyle w:val="ARfintablebodyright"/>
            </w:pPr>
            <w:r w:rsidRPr="002029AF">
              <w:t>2.3</w:t>
            </w:r>
          </w:p>
        </w:tc>
        <w:tc>
          <w:tcPr>
            <w:tcW w:w="1133" w:type="dxa"/>
            <w:tcBorders>
              <w:top w:val="single" w:sz="4" w:space="0" w:color="A6A6A6"/>
              <w:bottom w:val="single" w:sz="4" w:space="0" w:color="A6A6A6"/>
            </w:tcBorders>
            <w:noWrap/>
            <w:hideMark/>
          </w:tcPr>
          <w:p w14:paraId="53633060" w14:textId="77777777" w:rsidR="00087B91" w:rsidRPr="002029AF" w:rsidRDefault="00087B91" w:rsidP="00860E95">
            <w:pPr>
              <w:pStyle w:val="ARfintablebodyright"/>
            </w:pPr>
            <w:r w:rsidRPr="002029AF">
              <w:t>–</w:t>
            </w:r>
          </w:p>
        </w:tc>
      </w:tr>
      <w:tr w:rsidR="00087B91" w:rsidRPr="002029AF" w14:paraId="6BAF89F9" w14:textId="77777777" w:rsidTr="00860E95">
        <w:tc>
          <w:tcPr>
            <w:tcW w:w="7371" w:type="dxa"/>
            <w:tcBorders>
              <w:top w:val="single" w:sz="4" w:space="0" w:color="A6A6A6"/>
              <w:bottom w:val="single" w:sz="4" w:space="0" w:color="A6A6A6"/>
            </w:tcBorders>
            <w:hideMark/>
          </w:tcPr>
          <w:p w14:paraId="01CFDF75" w14:textId="0B35D30E" w:rsidR="00087B91" w:rsidRPr="002029AF" w:rsidRDefault="00087B91" w:rsidP="00860E95">
            <w:pPr>
              <w:pStyle w:val="ARfintablebody"/>
            </w:pPr>
            <w:r w:rsidRPr="002029AF">
              <w:t>Information,</w:t>
            </w:r>
            <w:r w:rsidR="000A5329" w:rsidRPr="002029AF">
              <w:t xml:space="preserve"> </w:t>
            </w:r>
            <w:r w:rsidRPr="002029AF">
              <w:t>communications</w:t>
            </w:r>
            <w:r w:rsidR="000A5329" w:rsidRPr="002029AF">
              <w:t xml:space="preserve"> </w:t>
            </w:r>
            <w:r w:rsidRPr="002029AF">
              <w:t>and</w:t>
            </w:r>
            <w:r w:rsidR="000A5329" w:rsidRPr="002029AF">
              <w:t xml:space="preserve"> </w:t>
            </w:r>
            <w:r w:rsidRPr="002029AF">
              <w:t>technology</w:t>
            </w:r>
            <w:r w:rsidR="000A5329" w:rsidRPr="002029AF">
              <w:t xml:space="preserve"> </w:t>
            </w:r>
            <w:r w:rsidRPr="002029AF">
              <w:t>costs</w:t>
            </w:r>
          </w:p>
        </w:tc>
        <w:tc>
          <w:tcPr>
            <w:tcW w:w="1133" w:type="dxa"/>
            <w:tcBorders>
              <w:top w:val="single" w:sz="4" w:space="0" w:color="A6A6A6"/>
              <w:bottom w:val="single" w:sz="4" w:space="0" w:color="A6A6A6"/>
            </w:tcBorders>
            <w:shd w:val="clear" w:color="auto" w:fill="E7E6E6"/>
            <w:noWrap/>
            <w:hideMark/>
          </w:tcPr>
          <w:p w14:paraId="1EBC4E0B" w14:textId="77777777" w:rsidR="00087B91" w:rsidRPr="002029AF" w:rsidRDefault="00087B91" w:rsidP="00860E95">
            <w:pPr>
              <w:pStyle w:val="ARfintablebodyright"/>
            </w:pPr>
            <w:r w:rsidRPr="002029AF">
              <w:t>199.9</w:t>
            </w:r>
          </w:p>
        </w:tc>
        <w:tc>
          <w:tcPr>
            <w:tcW w:w="1133" w:type="dxa"/>
            <w:tcBorders>
              <w:top w:val="single" w:sz="4" w:space="0" w:color="A6A6A6"/>
              <w:bottom w:val="single" w:sz="4" w:space="0" w:color="A6A6A6"/>
            </w:tcBorders>
            <w:noWrap/>
            <w:hideMark/>
          </w:tcPr>
          <w:p w14:paraId="390ABADD" w14:textId="77777777" w:rsidR="00087B91" w:rsidRPr="002029AF" w:rsidRDefault="00087B91" w:rsidP="00860E95">
            <w:pPr>
              <w:pStyle w:val="ARfintablebodyright"/>
            </w:pPr>
            <w:r w:rsidRPr="002029AF">
              <w:t>176.6</w:t>
            </w:r>
          </w:p>
        </w:tc>
      </w:tr>
      <w:tr w:rsidR="00087B91" w:rsidRPr="002029AF" w14:paraId="71F54415" w14:textId="77777777" w:rsidTr="00860E95">
        <w:tc>
          <w:tcPr>
            <w:tcW w:w="7371" w:type="dxa"/>
            <w:tcBorders>
              <w:top w:val="single" w:sz="4" w:space="0" w:color="A6A6A6"/>
              <w:bottom w:val="single" w:sz="4" w:space="0" w:color="A6A6A6"/>
            </w:tcBorders>
            <w:hideMark/>
          </w:tcPr>
          <w:p w14:paraId="484CFF8E" w14:textId="67D3D133" w:rsidR="00087B91" w:rsidRPr="002029AF" w:rsidRDefault="00087B91" w:rsidP="00860E95">
            <w:pPr>
              <w:pStyle w:val="ARfintablebody"/>
            </w:pPr>
            <w:r w:rsidRPr="002029AF">
              <w:t>Medicines</w:t>
            </w:r>
            <w:r w:rsidR="000A5329" w:rsidRPr="002029AF">
              <w:t xml:space="preserve"> </w:t>
            </w:r>
            <w:r w:rsidRPr="002029AF">
              <w:t>and</w:t>
            </w:r>
            <w:r w:rsidR="000A5329" w:rsidRPr="002029AF">
              <w:t xml:space="preserve"> </w:t>
            </w:r>
            <w:r w:rsidRPr="002029AF">
              <w:t>drugs</w:t>
            </w:r>
            <w:r w:rsidR="000A5329" w:rsidRPr="002029AF">
              <w:t xml:space="preserve"> </w:t>
            </w:r>
            <w:r w:rsidRPr="002029AF">
              <w:t>/</w:t>
            </w:r>
            <w:r w:rsidR="000A5329" w:rsidRPr="002029AF">
              <w:t xml:space="preserve"> </w:t>
            </w:r>
            <w:r w:rsidRPr="002029AF">
              <w:t>pharmacy</w:t>
            </w:r>
            <w:r w:rsidR="000A5329" w:rsidRPr="002029AF">
              <w:t xml:space="preserve"> </w:t>
            </w:r>
            <w:r w:rsidRPr="002029AF">
              <w:t>supplies</w:t>
            </w:r>
          </w:p>
        </w:tc>
        <w:tc>
          <w:tcPr>
            <w:tcW w:w="1133" w:type="dxa"/>
            <w:tcBorders>
              <w:top w:val="single" w:sz="4" w:space="0" w:color="A6A6A6"/>
              <w:bottom w:val="single" w:sz="4" w:space="0" w:color="A6A6A6"/>
            </w:tcBorders>
            <w:shd w:val="clear" w:color="auto" w:fill="E7E6E6"/>
            <w:noWrap/>
            <w:hideMark/>
          </w:tcPr>
          <w:p w14:paraId="4CF4CC38" w14:textId="77777777" w:rsidR="00087B91" w:rsidRPr="002029AF" w:rsidRDefault="00087B91" w:rsidP="00860E95">
            <w:pPr>
              <w:pStyle w:val="ARfintablebodyright"/>
            </w:pPr>
            <w:r w:rsidRPr="002029AF">
              <w:t>9.9</w:t>
            </w:r>
          </w:p>
        </w:tc>
        <w:tc>
          <w:tcPr>
            <w:tcW w:w="1133" w:type="dxa"/>
            <w:tcBorders>
              <w:top w:val="single" w:sz="4" w:space="0" w:color="A6A6A6"/>
              <w:bottom w:val="single" w:sz="4" w:space="0" w:color="A6A6A6"/>
            </w:tcBorders>
            <w:noWrap/>
            <w:hideMark/>
          </w:tcPr>
          <w:p w14:paraId="664B4DD1" w14:textId="77777777" w:rsidR="00087B91" w:rsidRPr="002029AF" w:rsidRDefault="00087B91" w:rsidP="00860E95">
            <w:pPr>
              <w:pStyle w:val="ARfintablebodyright"/>
            </w:pPr>
            <w:r w:rsidRPr="002029AF">
              <w:t>10.6</w:t>
            </w:r>
          </w:p>
        </w:tc>
      </w:tr>
      <w:tr w:rsidR="00087B91" w:rsidRPr="002029AF" w14:paraId="7861D6F3" w14:textId="77777777" w:rsidTr="00860E95">
        <w:tc>
          <w:tcPr>
            <w:tcW w:w="7371" w:type="dxa"/>
            <w:tcBorders>
              <w:top w:val="single" w:sz="4" w:space="0" w:color="A6A6A6"/>
            </w:tcBorders>
            <w:hideMark/>
          </w:tcPr>
          <w:p w14:paraId="6941CED1" w14:textId="145D2DE6" w:rsidR="00087B91" w:rsidRPr="002029AF" w:rsidRDefault="00087B91" w:rsidP="00860E95">
            <w:pPr>
              <w:pStyle w:val="ARfintablebody"/>
            </w:pPr>
            <w:r w:rsidRPr="002029AF">
              <w:t>Direct</w:t>
            </w:r>
            <w:r w:rsidR="000A5329" w:rsidRPr="002029AF">
              <w:t xml:space="preserve"> </w:t>
            </w:r>
            <w:r w:rsidRPr="002029AF">
              <w:t>care</w:t>
            </w:r>
            <w:r w:rsidR="000A5329" w:rsidRPr="002029AF">
              <w:t xml:space="preserve"> </w:t>
            </w:r>
            <w:r w:rsidRPr="002029AF">
              <w:t>operating</w:t>
            </w:r>
            <w:r w:rsidR="000A5329" w:rsidRPr="002029AF">
              <w:t xml:space="preserve"> </w:t>
            </w:r>
            <w:r w:rsidRPr="002029AF">
              <w:t>costs</w:t>
            </w:r>
          </w:p>
        </w:tc>
        <w:tc>
          <w:tcPr>
            <w:tcW w:w="1133" w:type="dxa"/>
            <w:tcBorders>
              <w:top w:val="single" w:sz="4" w:space="0" w:color="A6A6A6"/>
            </w:tcBorders>
            <w:shd w:val="clear" w:color="auto" w:fill="E7E6E6"/>
            <w:noWrap/>
            <w:hideMark/>
          </w:tcPr>
          <w:p w14:paraId="1CA80510" w14:textId="77777777" w:rsidR="00087B91" w:rsidRPr="002029AF" w:rsidRDefault="00087B91" w:rsidP="00860E95">
            <w:pPr>
              <w:pStyle w:val="ARfintablebodyright"/>
            </w:pPr>
            <w:r w:rsidRPr="002029AF">
              <w:t>34.3</w:t>
            </w:r>
          </w:p>
        </w:tc>
        <w:tc>
          <w:tcPr>
            <w:tcW w:w="1133" w:type="dxa"/>
            <w:tcBorders>
              <w:top w:val="single" w:sz="4" w:space="0" w:color="A6A6A6"/>
            </w:tcBorders>
            <w:noWrap/>
            <w:hideMark/>
          </w:tcPr>
          <w:p w14:paraId="74D7082F" w14:textId="77777777" w:rsidR="00087B91" w:rsidRPr="002029AF" w:rsidRDefault="00087B91" w:rsidP="00860E95">
            <w:pPr>
              <w:pStyle w:val="ARfintablebodyright"/>
            </w:pPr>
            <w:r w:rsidRPr="002029AF">
              <w:t>65.6</w:t>
            </w:r>
          </w:p>
        </w:tc>
      </w:tr>
      <w:tr w:rsidR="00087B91" w:rsidRPr="002029AF" w14:paraId="2DA23547" w14:textId="77777777" w:rsidTr="00860E95">
        <w:tc>
          <w:tcPr>
            <w:tcW w:w="7371" w:type="dxa"/>
            <w:hideMark/>
          </w:tcPr>
          <w:p w14:paraId="5C802D6C" w14:textId="3EEA563A" w:rsidR="00087B91" w:rsidRPr="002029AF" w:rsidRDefault="00087B91" w:rsidP="00860E95">
            <w:pPr>
              <w:pStyle w:val="ARfintablebodybold"/>
            </w:pPr>
            <w:r w:rsidRPr="002029AF">
              <w:t>Total</w:t>
            </w:r>
            <w:r w:rsidR="000A5329" w:rsidRPr="002029AF">
              <w:t xml:space="preserve"> </w:t>
            </w:r>
            <w:r w:rsidRPr="002029AF">
              <w:t>other</w:t>
            </w:r>
            <w:r w:rsidR="000A5329" w:rsidRPr="002029AF">
              <w:t xml:space="preserve"> </w:t>
            </w:r>
            <w:r w:rsidRPr="002029AF">
              <w:t>operating</w:t>
            </w:r>
            <w:r w:rsidR="000A5329" w:rsidRPr="002029AF">
              <w:t xml:space="preserve"> </w:t>
            </w:r>
            <w:r w:rsidRPr="002029AF">
              <w:t>expenses</w:t>
            </w:r>
          </w:p>
        </w:tc>
        <w:tc>
          <w:tcPr>
            <w:tcW w:w="1133" w:type="dxa"/>
            <w:shd w:val="clear" w:color="auto" w:fill="E7E6E6"/>
            <w:noWrap/>
            <w:hideMark/>
          </w:tcPr>
          <w:p w14:paraId="3C5B7FE5" w14:textId="77777777" w:rsidR="00087B91" w:rsidRPr="002029AF" w:rsidRDefault="00087B91" w:rsidP="00860E95">
            <w:pPr>
              <w:pStyle w:val="ARfintablebodyrightbold"/>
            </w:pPr>
            <w:r w:rsidRPr="002029AF">
              <w:t>689.4</w:t>
            </w:r>
          </w:p>
        </w:tc>
        <w:tc>
          <w:tcPr>
            <w:tcW w:w="1133" w:type="dxa"/>
            <w:noWrap/>
            <w:hideMark/>
          </w:tcPr>
          <w:p w14:paraId="1D46511B" w14:textId="77777777" w:rsidR="00087B91" w:rsidRPr="002029AF" w:rsidRDefault="00087B91" w:rsidP="00860E95">
            <w:pPr>
              <w:pStyle w:val="ARfintablebodyrightbold"/>
            </w:pPr>
            <w:r w:rsidRPr="002029AF">
              <w:t>611.3</w:t>
            </w:r>
          </w:p>
        </w:tc>
      </w:tr>
    </w:tbl>
    <w:p w14:paraId="42E2AEAC" w14:textId="58B82E00" w:rsidR="00087B91" w:rsidRPr="002029AF" w:rsidRDefault="00087B91" w:rsidP="00087B91">
      <w:pPr>
        <w:pStyle w:val="ARfinbodyaftertable"/>
      </w:pPr>
      <w:r w:rsidRPr="002029AF">
        <w:rPr>
          <w:rStyle w:val="Strong"/>
        </w:rPr>
        <w:t>Other</w:t>
      </w:r>
      <w:r w:rsidR="000A5329" w:rsidRPr="002029AF">
        <w:rPr>
          <w:rStyle w:val="Strong"/>
        </w:rPr>
        <w:t xml:space="preserve"> </w:t>
      </w:r>
      <w:r w:rsidRPr="002029AF">
        <w:rPr>
          <w:rStyle w:val="Strong"/>
        </w:rPr>
        <w:t>operating</w:t>
      </w:r>
      <w:r w:rsidR="000A5329" w:rsidRPr="002029AF">
        <w:rPr>
          <w:rStyle w:val="Strong"/>
        </w:rPr>
        <w:t xml:space="preserve"> </w:t>
      </w:r>
      <w:r w:rsidRPr="002029AF">
        <w:rPr>
          <w:rStyle w:val="Strong"/>
        </w:rPr>
        <w:t>expenses</w:t>
      </w:r>
      <w:r w:rsidR="000A5329" w:rsidRPr="002029AF">
        <w:t xml:space="preserve"> </w:t>
      </w:r>
      <w:r w:rsidRPr="002029AF">
        <w:t>generally</w:t>
      </w:r>
      <w:r w:rsidR="000A5329" w:rsidRPr="002029AF">
        <w:t xml:space="preserve"> </w:t>
      </w:r>
      <w:r w:rsidRPr="002029AF">
        <w:t>represent</w:t>
      </w:r>
      <w:r w:rsidR="000A5329" w:rsidRPr="002029AF">
        <w:t xml:space="preserve"> </w:t>
      </w:r>
      <w:r w:rsidRPr="002029AF">
        <w:t>the</w:t>
      </w:r>
      <w:r w:rsidR="000A5329" w:rsidRPr="002029AF">
        <w:t xml:space="preserve"> </w:t>
      </w:r>
      <w:r w:rsidRPr="002029AF">
        <w:t>day-to-day</w:t>
      </w:r>
      <w:r w:rsidR="000A5329" w:rsidRPr="002029AF">
        <w:t xml:space="preserve"> </w:t>
      </w:r>
      <w:r w:rsidRPr="002029AF">
        <w:t>running</w:t>
      </w:r>
      <w:r w:rsidR="000A5329" w:rsidRPr="002029AF">
        <w:t xml:space="preserve"> </w:t>
      </w:r>
      <w:r w:rsidRPr="002029AF">
        <w:t>costs</w:t>
      </w:r>
      <w:r w:rsidR="000A5329" w:rsidRPr="002029AF">
        <w:t xml:space="preserve"> </w:t>
      </w:r>
      <w:r w:rsidRPr="002029AF">
        <w:t>incurred</w:t>
      </w:r>
      <w:r w:rsidR="000A5329" w:rsidRPr="002029AF">
        <w:t xml:space="preserve"> </w:t>
      </w:r>
      <w:r w:rsidRPr="002029AF">
        <w:t>in</w:t>
      </w:r>
      <w:r w:rsidR="000A5329" w:rsidRPr="002029AF">
        <w:t xml:space="preserve"> </w:t>
      </w:r>
      <w:r w:rsidRPr="002029AF">
        <w:t>normal</w:t>
      </w:r>
      <w:r w:rsidR="000A5329" w:rsidRPr="002029AF">
        <w:t xml:space="preserve"> </w:t>
      </w:r>
      <w:r w:rsidRPr="002029AF">
        <w:t>operations.</w:t>
      </w:r>
      <w:r w:rsidR="000A5329" w:rsidRPr="002029AF">
        <w:t xml:space="preserve"> </w:t>
      </w:r>
      <w:r w:rsidRPr="002029AF">
        <w:t>It</w:t>
      </w:r>
      <w:r w:rsidR="000A5329" w:rsidRPr="002029AF">
        <w:t xml:space="preserve"> </w:t>
      </w:r>
      <w:r w:rsidRPr="002029AF">
        <w:t>also</w:t>
      </w:r>
      <w:r w:rsidR="000A5329" w:rsidRPr="002029AF">
        <w:t xml:space="preserve"> </w:t>
      </w:r>
      <w:r w:rsidRPr="002029AF">
        <w:t>includes</w:t>
      </w:r>
      <w:r w:rsidR="000A5329" w:rsidRPr="002029AF">
        <w:t xml:space="preserve"> </w:t>
      </w:r>
      <w:r w:rsidRPr="002029AF">
        <w:t>bad</w:t>
      </w:r>
      <w:r w:rsidR="000A5329" w:rsidRPr="002029AF">
        <w:t xml:space="preserve"> </w:t>
      </w:r>
      <w:r w:rsidRPr="002029AF">
        <w:t>debts</w:t>
      </w:r>
      <w:r w:rsidR="000A5329" w:rsidRPr="002029AF">
        <w:t xml:space="preserve"> </w:t>
      </w:r>
      <w:r w:rsidRPr="002029AF">
        <w:t>expense</w:t>
      </w:r>
      <w:r w:rsidR="000A5329" w:rsidRPr="002029AF">
        <w:t xml:space="preserve"> </w:t>
      </w:r>
      <w:r w:rsidRPr="002029AF">
        <w:t>from</w:t>
      </w:r>
      <w:r w:rsidR="000A5329" w:rsidRPr="002029AF">
        <w:t xml:space="preserve"> </w:t>
      </w:r>
      <w:r w:rsidRPr="002029AF">
        <w:t>transactions</w:t>
      </w:r>
      <w:r w:rsidR="000A5329" w:rsidRPr="002029AF">
        <w:t xml:space="preserve"> </w:t>
      </w:r>
      <w:r w:rsidRPr="002029AF">
        <w:t>that</w:t>
      </w:r>
      <w:r w:rsidR="000A5329" w:rsidRPr="002029AF">
        <w:t xml:space="preserve"> </w:t>
      </w:r>
      <w:r w:rsidRPr="002029AF">
        <w:t>are</w:t>
      </w:r>
      <w:r w:rsidR="000A5329" w:rsidRPr="002029AF">
        <w:t xml:space="preserve"> </w:t>
      </w:r>
      <w:r w:rsidRPr="002029AF">
        <w:t>mutually</w:t>
      </w:r>
      <w:r w:rsidR="000A5329" w:rsidRPr="002029AF">
        <w:t xml:space="preserve"> </w:t>
      </w:r>
      <w:r w:rsidRPr="002029AF">
        <w:t>agreed.</w:t>
      </w:r>
    </w:p>
    <w:p w14:paraId="0D53DA13" w14:textId="426890BD" w:rsidR="00087B91" w:rsidRPr="002029AF" w:rsidRDefault="00087B91" w:rsidP="00087B91">
      <w:pPr>
        <w:pStyle w:val="ARfinbody"/>
      </w:pPr>
      <w:r w:rsidRPr="002029AF">
        <w:lastRenderedPageBreak/>
        <w:t>Supplies</w:t>
      </w:r>
      <w:r w:rsidR="000A5329" w:rsidRPr="002029AF">
        <w:t xml:space="preserve"> </w:t>
      </w:r>
      <w:r w:rsidRPr="002029AF">
        <w:t>and</w:t>
      </w:r>
      <w:r w:rsidR="000A5329" w:rsidRPr="002029AF">
        <w:t xml:space="preserve"> </w:t>
      </w:r>
      <w:r w:rsidRPr="002029AF">
        <w:t>services</w:t>
      </w:r>
      <w:r w:rsidR="000A5329" w:rsidRPr="002029AF">
        <w:t xml:space="preserve"> </w:t>
      </w:r>
      <w:r w:rsidRPr="002029AF">
        <w:t>are</w:t>
      </w:r>
      <w:r w:rsidR="000A5329" w:rsidRPr="002029AF">
        <w:t xml:space="preserve"> </w:t>
      </w:r>
      <w:r w:rsidRPr="002029AF">
        <w:t>recognised</w:t>
      </w:r>
      <w:r w:rsidR="000A5329" w:rsidRPr="002029AF">
        <w:t xml:space="preserve"> </w:t>
      </w:r>
      <w:r w:rsidRPr="002029AF">
        <w:t>as</w:t>
      </w:r>
      <w:r w:rsidR="000A5329" w:rsidRPr="002029AF">
        <w:t xml:space="preserve"> </w:t>
      </w:r>
      <w:r w:rsidRPr="002029AF">
        <w:t>an</w:t>
      </w:r>
      <w:r w:rsidR="000A5329" w:rsidRPr="002029AF">
        <w:t xml:space="preserve"> </w:t>
      </w:r>
      <w:r w:rsidRPr="002029AF">
        <w:t>expense</w:t>
      </w:r>
      <w:r w:rsidR="000A5329" w:rsidRPr="002029AF">
        <w:t xml:space="preserve"> </w:t>
      </w:r>
      <w:r w:rsidRPr="002029AF">
        <w:t>in</w:t>
      </w:r>
      <w:r w:rsidR="000A5329" w:rsidRPr="002029AF">
        <w:t xml:space="preserve"> </w:t>
      </w:r>
      <w:r w:rsidRPr="002029AF">
        <w:t>the</w:t>
      </w:r>
      <w:r w:rsidR="000A5329" w:rsidRPr="002029AF">
        <w:t xml:space="preserve"> </w:t>
      </w:r>
      <w:r w:rsidRPr="002029AF">
        <w:t>reporting</w:t>
      </w:r>
      <w:r w:rsidR="000A5329" w:rsidRPr="002029AF">
        <w:t xml:space="preserve"> </w:t>
      </w:r>
      <w:r w:rsidRPr="002029AF">
        <w:t>period</w:t>
      </w:r>
      <w:r w:rsidR="000A5329" w:rsidRPr="002029AF">
        <w:t xml:space="preserve"> </w:t>
      </w:r>
      <w:r w:rsidRPr="002029AF">
        <w:t>in</w:t>
      </w:r>
      <w:r w:rsidR="000A5329" w:rsidRPr="002029AF">
        <w:t xml:space="preserve"> </w:t>
      </w:r>
      <w:r w:rsidRPr="002029AF">
        <w:t>which</w:t>
      </w:r>
      <w:r w:rsidR="000A5329" w:rsidRPr="002029AF">
        <w:t xml:space="preserve"> </w:t>
      </w:r>
      <w:r w:rsidRPr="002029AF">
        <w:t>they</w:t>
      </w:r>
      <w:r w:rsidR="000A5329" w:rsidRPr="002029AF">
        <w:t xml:space="preserve"> </w:t>
      </w:r>
      <w:r w:rsidRPr="002029AF">
        <w:t>are</w:t>
      </w:r>
      <w:r w:rsidR="000A5329" w:rsidRPr="002029AF">
        <w:t xml:space="preserve"> </w:t>
      </w:r>
      <w:r w:rsidRPr="002029AF">
        <w:t>incurred.</w:t>
      </w:r>
    </w:p>
    <w:p w14:paraId="64E1B95B" w14:textId="17F394EC" w:rsidR="00087B91" w:rsidRPr="002029AF" w:rsidRDefault="00087B91" w:rsidP="00087B91">
      <w:pPr>
        <w:pStyle w:val="ARfinbodyaftertable"/>
      </w:pPr>
      <w:r w:rsidRPr="002029AF">
        <w:t>From</w:t>
      </w:r>
      <w:r w:rsidR="000A5329" w:rsidRPr="002029AF">
        <w:t xml:space="preserve"> </w:t>
      </w:r>
      <w:r w:rsidRPr="002029AF">
        <w:t>1</w:t>
      </w:r>
      <w:r w:rsidR="000A5329" w:rsidRPr="002029AF">
        <w:t xml:space="preserve"> </w:t>
      </w:r>
      <w:r w:rsidRPr="002029AF">
        <w:t>July</w:t>
      </w:r>
      <w:r w:rsidR="000A5329" w:rsidRPr="002029AF">
        <w:t xml:space="preserve"> </w:t>
      </w:r>
      <w:r w:rsidRPr="002029AF">
        <w:t>2019,</w:t>
      </w:r>
      <w:r w:rsidR="000A5329" w:rsidRPr="002029AF">
        <w:t xml:space="preserve"> </w:t>
      </w:r>
      <w:r w:rsidRPr="002029AF">
        <w:t>the</w:t>
      </w:r>
      <w:r w:rsidR="000A5329" w:rsidRPr="002029AF">
        <w:t xml:space="preserve"> </w:t>
      </w:r>
      <w:r w:rsidRPr="002029AF">
        <w:t>following</w:t>
      </w:r>
      <w:r w:rsidR="000A5329" w:rsidRPr="002029AF">
        <w:t xml:space="preserve"> </w:t>
      </w:r>
      <w:r w:rsidRPr="002029AF">
        <w:t>lease</w:t>
      </w:r>
      <w:r w:rsidR="000A5329" w:rsidRPr="002029AF">
        <w:t xml:space="preserve"> </w:t>
      </w:r>
      <w:r w:rsidRPr="002029AF">
        <w:t>payments</w:t>
      </w:r>
      <w:r w:rsidR="000A5329" w:rsidRPr="002029AF">
        <w:t xml:space="preserve"> </w:t>
      </w:r>
      <w:r w:rsidRPr="002029AF">
        <w:t>are</w:t>
      </w:r>
      <w:r w:rsidR="000A5329" w:rsidRPr="002029AF">
        <w:t xml:space="preserve"> </w:t>
      </w:r>
      <w:r w:rsidRPr="002029AF">
        <w:t>recognised</w:t>
      </w:r>
      <w:r w:rsidR="000A5329" w:rsidRPr="002029AF">
        <w:t xml:space="preserve"> </w:t>
      </w:r>
      <w:r w:rsidRPr="002029AF">
        <w:t>on</w:t>
      </w:r>
      <w:r w:rsidR="000A5329" w:rsidRPr="002029AF">
        <w:t xml:space="preserve"> </w:t>
      </w:r>
      <w:r w:rsidRPr="002029AF">
        <w:t>a</w:t>
      </w:r>
      <w:r w:rsidR="000A5329" w:rsidRPr="002029AF">
        <w:t xml:space="preserve"> </w:t>
      </w:r>
      <w:r w:rsidRPr="002029AF">
        <w:t>straight-line</w:t>
      </w:r>
      <w:r w:rsidR="000A5329" w:rsidRPr="002029AF">
        <w:t xml:space="preserve"> </w:t>
      </w:r>
      <w:r w:rsidRPr="002029AF">
        <w:t>basis:</w:t>
      </w:r>
    </w:p>
    <w:p w14:paraId="4290C993" w14:textId="70D499E1" w:rsidR="00087B91" w:rsidRPr="002029AF" w:rsidRDefault="00087B91" w:rsidP="00FF3CAB">
      <w:pPr>
        <w:pStyle w:val="ARfinbullet1"/>
        <w:numPr>
          <w:ilvl w:val="0"/>
          <w:numId w:val="13"/>
        </w:numPr>
        <w:textAlignment w:val="auto"/>
        <w:rPr>
          <w:rStyle w:val="Strong"/>
          <w:b w:val="0"/>
          <w:bCs w:val="0"/>
        </w:rPr>
      </w:pPr>
      <w:r w:rsidRPr="002029AF">
        <w:rPr>
          <w:rStyle w:val="Strong"/>
          <w:b w:val="0"/>
          <w:bCs w:val="0"/>
        </w:rPr>
        <w:t>Short-term</w:t>
      </w:r>
      <w:r w:rsidR="000A5329" w:rsidRPr="002029AF">
        <w:rPr>
          <w:rStyle w:val="Strong"/>
          <w:b w:val="0"/>
          <w:bCs w:val="0"/>
        </w:rPr>
        <w:t xml:space="preserve"> </w:t>
      </w:r>
      <w:r w:rsidRPr="002029AF">
        <w:rPr>
          <w:rStyle w:val="Strong"/>
          <w:b w:val="0"/>
          <w:bCs w:val="0"/>
        </w:rPr>
        <w:t>leases</w:t>
      </w:r>
      <w:r w:rsidR="000A5329" w:rsidRPr="002029AF">
        <w:rPr>
          <w:rStyle w:val="Strong"/>
          <w:b w:val="0"/>
          <w:bCs w:val="0"/>
        </w:rPr>
        <w:t xml:space="preserve"> </w:t>
      </w:r>
      <w:r w:rsidRPr="002029AF">
        <w:rPr>
          <w:rStyle w:val="Strong"/>
          <w:b w:val="0"/>
          <w:bCs w:val="0"/>
        </w:rPr>
        <w:t>–</w:t>
      </w:r>
      <w:r w:rsidR="000A5329" w:rsidRPr="002029AF">
        <w:rPr>
          <w:rStyle w:val="Strong"/>
          <w:b w:val="0"/>
          <w:bCs w:val="0"/>
        </w:rPr>
        <w:t xml:space="preserve"> </w:t>
      </w:r>
      <w:r w:rsidRPr="002029AF">
        <w:rPr>
          <w:rStyle w:val="Strong"/>
          <w:b w:val="0"/>
          <w:bCs w:val="0"/>
        </w:rPr>
        <w:t>leases</w:t>
      </w:r>
      <w:r w:rsidR="000A5329" w:rsidRPr="002029AF">
        <w:rPr>
          <w:rStyle w:val="Strong"/>
          <w:b w:val="0"/>
          <w:bCs w:val="0"/>
        </w:rPr>
        <w:t xml:space="preserve"> </w:t>
      </w:r>
      <w:r w:rsidRPr="002029AF">
        <w:rPr>
          <w:rStyle w:val="Strong"/>
          <w:b w:val="0"/>
          <w:bCs w:val="0"/>
        </w:rPr>
        <w:t>with</w:t>
      </w:r>
      <w:r w:rsidR="000A5329" w:rsidRPr="002029AF">
        <w:rPr>
          <w:rStyle w:val="Strong"/>
          <w:b w:val="0"/>
          <w:bCs w:val="0"/>
        </w:rPr>
        <w:t xml:space="preserve"> </w:t>
      </w:r>
      <w:r w:rsidRPr="002029AF">
        <w:rPr>
          <w:rStyle w:val="Strong"/>
          <w:b w:val="0"/>
          <w:bCs w:val="0"/>
        </w:rPr>
        <w:t>a</w:t>
      </w:r>
      <w:r w:rsidR="000A5329" w:rsidRPr="002029AF">
        <w:rPr>
          <w:rStyle w:val="Strong"/>
          <w:b w:val="0"/>
          <w:bCs w:val="0"/>
        </w:rPr>
        <w:t xml:space="preserve"> </w:t>
      </w:r>
      <w:r w:rsidRPr="002029AF">
        <w:rPr>
          <w:rStyle w:val="Strong"/>
          <w:b w:val="0"/>
          <w:bCs w:val="0"/>
        </w:rPr>
        <w:t>term</w:t>
      </w:r>
      <w:r w:rsidR="000A5329" w:rsidRPr="002029AF">
        <w:rPr>
          <w:rStyle w:val="Strong"/>
          <w:b w:val="0"/>
          <w:bCs w:val="0"/>
        </w:rPr>
        <w:t xml:space="preserve"> </w:t>
      </w:r>
      <w:r w:rsidRPr="002029AF">
        <w:rPr>
          <w:rStyle w:val="Strong"/>
          <w:b w:val="0"/>
          <w:bCs w:val="0"/>
        </w:rPr>
        <w:t>less</w:t>
      </w:r>
      <w:r w:rsidR="000A5329" w:rsidRPr="002029AF">
        <w:rPr>
          <w:rStyle w:val="Strong"/>
          <w:b w:val="0"/>
          <w:bCs w:val="0"/>
        </w:rPr>
        <w:t xml:space="preserve"> </w:t>
      </w:r>
      <w:r w:rsidRPr="002029AF">
        <w:rPr>
          <w:rStyle w:val="Strong"/>
          <w:b w:val="0"/>
          <w:bCs w:val="0"/>
        </w:rPr>
        <w:t>than</w:t>
      </w:r>
      <w:r w:rsidR="000A5329" w:rsidRPr="002029AF">
        <w:rPr>
          <w:rStyle w:val="Strong"/>
          <w:b w:val="0"/>
          <w:bCs w:val="0"/>
        </w:rPr>
        <w:t xml:space="preserve"> </w:t>
      </w:r>
      <w:r w:rsidRPr="002029AF">
        <w:rPr>
          <w:rStyle w:val="Strong"/>
          <w:b w:val="0"/>
          <w:bCs w:val="0"/>
        </w:rPr>
        <w:t>12</w:t>
      </w:r>
      <w:r w:rsidR="000A5329" w:rsidRPr="002029AF">
        <w:rPr>
          <w:rStyle w:val="Strong"/>
          <w:b w:val="0"/>
          <w:bCs w:val="0"/>
        </w:rPr>
        <w:t xml:space="preserve"> </w:t>
      </w:r>
      <w:r w:rsidRPr="002029AF">
        <w:rPr>
          <w:rStyle w:val="Strong"/>
          <w:b w:val="0"/>
          <w:bCs w:val="0"/>
        </w:rPr>
        <w:t>months</w:t>
      </w:r>
    </w:p>
    <w:p w14:paraId="4791ED5C" w14:textId="3AE46A46" w:rsidR="00087B91" w:rsidRPr="002029AF" w:rsidRDefault="00087B91" w:rsidP="00FF3CAB">
      <w:pPr>
        <w:pStyle w:val="ARfinbullet1"/>
        <w:numPr>
          <w:ilvl w:val="0"/>
          <w:numId w:val="13"/>
        </w:numPr>
        <w:textAlignment w:val="auto"/>
        <w:rPr>
          <w:rStyle w:val="Strong"/>
          <w:b w:val="0"/>
          <w:bCs w:val="0"/>
        </w:rPr>
      </w:pPr>
      <w:r w:rsidRPr="002029AF">
        <w:rPr>
          <w:rStyle w:val="Strong"/>
          <w:b w:val="0"/>
          <w:bCs w:val="0"/>
        </w:rPr>
        <w:t>Low-value</w:t>
      </w:r>
      <w:r w:rsidR="000A5329" w:rsidRPr="002029AF">
        <w:t xml:space="preserve"> </w:t>
      </w:r>
      <w:r w:rsidRPr="002029AF">
        <w:t>leases</w:t>
      </w:r>
      <w:r w:rsidR="000A5329" w:rsidRPr="002029AF">
        <w:t xml:space="preserve"> </w:t>
      </w:r>
      <w:r w:rsidRPr="002029AF">
        <w:t>–</w:t>
      </w:r>
      <w:r w:rsidR="000A5329" w:rsidRPr="002029AF">
        <w:t xml:space="preserve"> </w:t>
      </w:r>
      <w:r w:rsidRPr="002029AF">
        <w:t>leases</w:t>
      </w:r>
      <w:r w:rsidR="000A5329" w:rsidRPr="002029AF">
        <w:t xml:space="preserve"> </w:t>
      </w:r>
      <w:r w:rsidRPr="002029AF">
        <w:t>where</w:t>
      </w:r>
      <w:r w:rsidR="000A5329" w:rsidRPr="002029AF">
        <w:t xml:space="preserve"> </w:t>
      </w:r>
      <w:r w:rsidRPr="002029AF">
        <w:t>the</w:t>
      </w:r>
      <w:r w:rsidR="000A5329" w:rsidRPr="002029AF">
        <w:t xml:space="preserve"> </w:t>
      </w:r>
      <w:r w:rsidRPr="002029AF">
        <w:t>underlying</w:t>
      </w:r>
      <w:r w:rsidR="000A5329" w:rsidRPr="002029AF">
        <w:t xml:space="preserve"> </w:t>
      </w:r>
      <w:r w:rsidRPr="002029AF">
        <w:t>asset’s</w:t>
      </w:r>
      <w:r w:rsidR="000A5329" w:rsidRPr="002029AF">
        <w:t xml:space="preserve"> </w:t>
      </w:r>
      <w:r w:rsidRPr="002029AF">
        <w:t>fair</w:t>
      </w:r>
      <w:r w:rsidR="000A5329" w:rsidRPr="002029AF">
        <w:t xml:space="preserve"> </w:t>
      </w:r>
      <w:r w:rsidRPr="002029AF">
        <w:t>value</w:t>
      </w:r>
      <w:r w:rsidR="000A5329" w:rsidRPr="002029AF">
        <w:t xml:space="preserve"> </w:t>
      </w:r>
      <w:r w:rsidRPr="002029AF">
        <w:t>(when</w:t>
      </w:r>
      <w:r w:rsidR="000A5329" w:rsidRPr="002029AF">
        <w:t xml:space="preserve"> </w:t>
      </w:r>
      <w:r w:rsidRPr="002029AF">
        <w:t>new,</w:t>
      </w:r>
      <w:r w:rsidR="000A5329" w:rsidRPr="002029AF">
        <w:t xml:space="preserve"> </w:t>
      </w:r>
      <w:r w:rsidRPr="002029AF">
        <w:t>regardless</w:t>
      </w:r>
      <w:r w:rsidR="000A5329" w:rsidRPr="002029AF">
        <w:t xml:space="preserve"> </w:t>
      </w:r>
      <w:r w:rsidRPr="002029AF">
        <w:t>of</w:t>
      </w:r>
      <w:r w:rsidR="000A5329" w:rsidRPr="002029AF">
        <w:t xml:space="preserve"> </w:t>
      </w:r>
      <w:r w:rsidRPr="002029AF">
        <w:t>the</w:t>
      </w:r>
      <w:r w:rsidR="000A5329" w:rsidRPr="002029AF">
        <w:t xml:space="preserve"> </w:t>
      </w:r>
      <w:r w:rsidRPr="002029AF">
        <w:t>age</w:t>
      </w:r>
      <w:r w:rsidR="000A5329" w:rsidRPr="002029AF">
        <w:t xml:space="preserve"> </w:t>
      </w:r>
      <w:r w:rsidRPr="002029AF">
        <w:t>of</w:t>
      </w:r>
      <w:r w:rsidR="000A5329" w:rsidRPr="002029AF">
        <w:t xml:space="preserve"> </w:t>
      </w:r>
      <w:r w:rsidRPr="002029AF">
        <w:t>the</w:t>
      </w:r>
      <w:r w:rsidR="000A5329" w:rsidRPr="002029AF">
        <w:t xml:space="preserve"> </w:t>
      </w:r>
      <w:r w:rsidRPr="002029AF">
        <w:t>asset</w:t>
      </w:r>
      <w:r w:rsidR="000A5329" w:rsidRPr="002029AF">
        <w:t xml:space="preserve"> </w:t>
      </w:r>
      <w:r w:rsidRPr="002029AF">
        <w:t>being</w:t>
      </w:r>
      <w:r w:rsidR="000A5329" w:rsidRPr="002029AF">
        <w:t xml:space="preserve"> </w:t>
      </w:r>
      <w:r w:rsidRPr="002029AF">
        <w:t>leased)</w:t>
      </w:r>
      <w:r w:rsidR="000A5329" w:rsidRPr="002029AF">
        <w:t xml:space="preserve"> </w:t>
      </w:r>
      <w:r w:rsidRPr="002029AF">
        <w:t>is</w:t>
      </w:r>
      <w:r w:rsidR="000A5329" w:rsidRPr="002029AF">
        <w:t xml:space="preserve"> </w:t>
      </w:r>
      <w:r w:rsidRPr="002029AF">
        <w:t>no</w:t>
      </w:r>
      <w:r w:rsidR="000A5329" w:rsidRPr="002029AF">
        <w:t xml:space="preserve"> </w:t>
      </w:r>
      <w:r w:rsidRPr="002029AF">
        <w:t>more</w:t>
      </w:r>
      <w:r w:rsidR="000A5329" w:rsidRPr="002029AF">
        <w:t xml:space="preserve"> </w:t>
      </w:r>
      <w:r w:rsidRPr="002029AF">
        <w:t>than</w:t>
      </w:r>
      <w:r w:rsidR="000A5329" w:rsidRPr="002029AF">
        <w:t xml:space="preserve"> </w:t>
      </w:r>
      <w:r w:rsidRPr="002029AF">
        <w:t>$10,000.</w:t>
      </w:r>
    </w:p>
    <w:p w14:paraId="444BBDE9" w14:textId="5FCCED0C" w:rsidR="00087B91" w:rsidRPr="002029AF" w:rsidRDefault="00087B91" w:rsidP="00087B91">
      <w:pPr>
        <w:pStyle w:val="ARfinbody"/>
      </w:pPr>
      <w:r w:rsidRPr="002029AF">
        <w:t>Variable</w:t>
      </w:r>
      <w:r w:rsidR="000A5329" w:rsidRPr="002029AF">
        <w:t xml:space="preserve"> </w:t>
      </w:r>
      <w:r w:rsidRPr="002029AF">
        <w:t>lease</w:t>
      </w:r>
      <w:r w:rsidR="000A5329" w:rsidRPr="002029AF">
        <w:t xml:space="preserve"> </w:t>
      </w:r>
      <w:r w:rsidRPr="002029AF">
        <w:t>payments</w:t>
      </w:r>
      <w:r w:rsidR="000A5329" w:rsidRPr="002029AF">
        <w:t xml:space="preserve"> </w:t>
      </w:r>
      <w:r w:rsidRPr="002029AF">
        <w:t>that</w:t>
      </w:r>
      <w:r w:rsidR="000A5329" w:rsidRPr="002029AF">
        <w:t xml:space="preserve"> </w:t>
      </w:r>
      <w:r w:rsidRPr="002029AF">
        <w:t>are</w:t>
      </w:r>
      <w:r w:rsidR="000A5329" w:rsidRPr="002029AF">
        <w:t xml:space="preserve"> </w:t>
      </w:r>
      <w:r w:rsidRPr="002029AF">
        <w:t>not</w:t>
      </w:r>
      <w:r w:rsidR="000A5329" w:rsidRPr="002029AF">
        <w:t xml:space="preserve"> </w:t>
      </w:r>
      <w:r w:rsidRPr="002029AF">
        <w:t>included</w:t>
      </w:r>
      <w:r w:rsidR="000A5329" w:rsidRPr="002029AF">
        <w:t xml:space="preserve"> </w:t>
      </w:r>
      <w:r w:rsidRPr="002029AF">
        <w:t>in</w:t>
      </w:r>
      <w:r w:rsidR="000A5329" w:rsidRPr="002029AF">
        <w:t xml:space="preserve"> </w:t>
      </w:r>
      <w:r w:rsidRPr="002029AF">
        <w:t>the</w:t>
      </w:r>
      <w:r w:rsidR="000A5329" w:rsidRPr="002029AF">
        <w:t xml:space="preserve"> </w:t>
      </w:r>
      <w:r w:rsidRPr="002029AF">
        <w:t>measurement</w:t>
      </w:r>
      <w:r w:rsidR="000A5329" w:rsidRPr="002029AF">
        <w:t xml:space="preserve"> </w:t>
      </w:r>
      <w:r w:rsidRPr="002029AF">
        <w:t>of</w:t>
      </w:r>
      <w:r w:rsidR="000A5329" w:rsidRPr="002029AF">
        <w:t xml:space="preserve"> </w:t>
      </w:r>
      <w:r w:rsidRPr="002029AF">
        <w:t>the</w:t>
      </w:r>
      <w:r w:rsidR="000A5329" w:rsidRPr="002029AF">
        <w:t xml:space="preserve"> </w:t>
      </w:r>
      <w:r w:rsidRPr="002029AF">
        <w:t>lease</w:t>
      </w:r>
      <w:r w:rsidR="000A5329" w:rsidRPr="002029AF">
        <w:t xml:space="preserve"> </w:t>
      </w:r>
      <w:r w:rsidRPr="002029AF">
        <w:t>liability</w:t>
      </w:r>
      <w:r w:rsidR="000A5329" w:rsidRPr="002029AF">
        <w:t xml:space="preserve"> </w:t>
      </w:r>
      <w:r w:rsidRPr="002029AF">
        <w:t>(i.e.</w:t>
      </w:r>
      <w:r w:rsidR="000A5329" w:rsidRPr="002029AF">
        <w:t xml:space="preserve"> </w:t>
      </w:r>
      <w:r w:rsidRPr="002029AF">
        <w:t>variable</w:t>
      </w:r>
      <w:r w:rsidR="000A5329" w:rsidRPr="002029AF">
        <w:t xml:space="preserve"> </w:t>
      </w:r>
      <w:r w:rsidRPr="002029AF">
        <w:t>lease</w:t>
      </w:r>
      <w:r w:rsidR="000A5329" w:rsidRPr="002029AF">
        <w:t xml:space="preserve"> </w:t>
      </w:r>
      <w:r w:rsidRPr="002029AF">
        <w:t>payments</w:t>
      </w:r>
      <w:r w:rsidR="000A5329" w:rsidRPr="002029AF">
        <w:t xml:space="preserve"> </w:t>
      </w:r>
      <w:r w:rsidRPr="002029AF">
        <w:t>that</w:t>
      </w:r>
      <w:r w:rsidR="000A5329" w:rsidRPr="002029AF">
        <w:t xml:space="preserve"> </w:t>
      </w:r>
      <w:r w:rsidRPr="002029AF">
        <w:t>do</w:t>
      </w:r>
      <w:r w:rsidR="000A5329" w:rsidRPr="002029AF">
        <w:t xml:space="preserve"> </w:t>
      </w:r>
      <w:r w:rsidRPr="002029AF">
        <w:t>not</w:t>
      </w:r>
      <w:r w:rsidR="000A5329" w:rsidRPr="002029AF">
        <w:t xml:space="preserve"> </w:t>
      </w:r>
      <w:r w:rsidRPr="002029AF">
        <w:t>depend</w:t>
      </w:r>
      <w:r w:rsidR="000A5329" w:rsidRPr="002029AF">
        <w:t xml:space="preserve"> </w:t>
      </w:r>
      <w:r w:rsidRPr="002029AF">
        <w:t>on</w:t>
      </w:r>
      <w:r w:rsidR="000A5329" w:rsidRPr="002029AF">
        <w:t xml:space="preserve"> </w:t>
      </w:r>
      <w:r w:rsidRPr="002029AF">
        <w:t>an</w:t>
      </w:r>
      <w:r w:rsidR="000A5329" w:rsidRPr="002029AF">
        <w:t xml:space="preserve"> </w:t>
      </w:r>
      <w:r w:rsidRPr="002029AF">
        <w:t>index</w:t>
      </w:r>
      <w:r w:rsidR="000A5329" w:rsidRPr="002029AF">
        <w:t xml:space="preserve"> </w:t>
      </w:r>
      <w:r w:rsidRPr="002029AF">
        <w:t>or</w:t>
      </w:r>
      <w:r w:rsidR="000A5329" w:rsidRPr="002029AF">
        <w:t xml:space="preserve"> </w:t>
      </w:r>
      <w:r w:rsidRPr="002029AF">
        <w:t>a</w:t>
      </w:r>
      <w:r w:rsidR="000A5329" w:rsidRPr="002029AF">
        <w:t xml:space="preserve"> </w:t>
      </w:r>
      <w:r w:rsidRPr="002029AF">
        <w:t>rate</w:t>
      </w:r>
      <w:r w:rsidR="000A5329" w:rsidRPr="002029AF">
        <w:t xml:space="preserve"> </w:t>
      </w:r>
      <w:r w:rsidRPr="002029AF">
        <w:t>and</w:t>
      </w:r>
      <w:r w:rsidR="000A5329" w:rsidRPr="002029AF">
        <w:t xml:space="preserve"> </w:t>
      </w:r>
      <w:r w:rsidRPr="002029AF">
        <w:t>which</w:t>
      </w:r>
      <w:r w:rsidR="000A5329" w:rsidRPr="002029AF">
        <w:t xml:space="preserve"> </w:t>
      </w:r>
      <w:r w:rsidRPr="002029AF">
        <w:t>are</w:t>
      </w:r>
      <w:r w:rsidR="000A5329" w:rsidRPr="002029AF">
        <w:t xml:space="preserve"> </w:t>
      </w:r>
      <w:r w:rsidRPr="002029AF">
        <w:t>not,</w:t>
      </w:r>
      <w:r w:rsidR="000A5329" w:rsidRPr="002029AF">
        <w:t xml:space="preserve"> </w:t>
      </w:r>
      <w:r w:rsidRPr="002029AF">
        <w:t>in</w:t>
      </w:r>
      <w:r w:rsidR="000A5329" w:rsidRPr="002029AF">
        <w:t xml:space="preserve"> </w:t>
      </w:r>
      <w:r w:rsidRPr="002029AF">
        <w:t>substance</w:t>
      </w:r>
      <w:r w:rsidR="000A5329" w:rsidRPr="002029AF">
        <w:t xml:space="preserve"> </w:t>
      </w:r>
      <w:r w:rsidRPr="002029AF">
        <w:t>fixed)</w:t>
      </w:r>
      <w:r w:rsidR="000A5329" w:rsidRPr="002029AF">
        <w:t xml:space="preserve"> </w:t>
      </w:r>
      <w:r w:rsidRPr="002029AF">
        <w:t>such</w:t>
      </w:r>
      <w:r w:rsidR="000A5329" w:rsidRPr="002029AF">
        <w:t xml:space="preserve"> </w:t>
      </w:r>
      <w:r w:rsidRPr="002029AF">
        <w:t>as</w:t>
      </w:r>
      <w:r w:rsidR="000A5329" w:rsidRPr="002029AF">
        <w:t xml:space="preserve"> </w:t>
      </w:r>
      <w:r w:rsidRPr="002029AF">
        <w:t>those</w:t>
      </w:r>
      <w:r w:rsidR="000A5329" w:rsidRPr="002029AF">
        <w:t xml:space="preserve"> </w:t>
      </w:r>
      <w:r w:rsidRPr="002029AF">
        <w:t>based</w:t>
      </w:r>
      <w:r w:rsidR="000A5329" w:rsidRPr="002029AF">
        <w:t xml:space="preserve"> </w:t>
      </w:r>
      <w:r w:rsidRPr="002029AF">
        <w:t>on</w:t>
      </w:r>
      <w:r w:rsidR="000A5329" w:rsidRPr="002029AF">
        <w:t xml:space="preserve"> </w:t>
      </w:r>
      <w:r w:rsidRPr="002029AF">
        <w:t>performance</w:t>
      </w:r>
      <w:r w:rsidR="000A5329" w:rsidRPr="002029AF">
        <w:t xml:space="preserve"> </w:t>
      </w:r>
      <w:r w:rsidRPr="002029AF">
        <w:t>or</w:t>
      </w:r>
      <w:r w:rsidR="000A5329" w:rsidRPr="002029AF">
        <w:t xml:space="preserve"> </w:t>
      </w:r>
      <w:r w:rsidRPr="002029AF">
        <w:t>usage</w:t>
      </w:r>
      <w:r w:rsidR="000A5329" w:rsidRPr="002029AF">
        <w:t xml:space="preserve"> </w:t>
      </w:r>
      <w:r w:rsidRPr="002029AF">
        <w:t>of</w:t>
      </w:r>
      <w:r w:rsidR="000A5329" w:rsidRPr="002029AF">
        <w:t xml:space="preserve"> </w:t>
      </w:r>
      <w:r w:rsidRPr="002029AF">
        <w:t>the</w:t>
      </w:r>
      <w:r w:rsidR="000A5329" w:rsidRPr="002029AF">
        <w:t xml:space="preserve"> </w:t>
      </w:r>
      <w:r w:rsidRPr="002029AF">
        <w:t>underlying</w:t>
      </w:r>
      <w:r w:rsidR="000A5329" w:rsidRPr="002029AF">
        <w:t xml:space="preserve"> </w:t>
      </w:r>
      <w:r w:rsidRPr="002029AF">
        <w:t>asset,</w:t>
      </w:r>
      <w:r w:rsidR="000A5329" w:rsidRPr="002029AF">
        <w:t xml:space="preserve"> </w:t>
      </w:r>
      <w:r w:rsidRPr="002029AF">
        <w:t>are</w:t>
      </w:r>
      <w:r w:rsidR="000A5329" w:rsidRPr="002029AF">
        <w:t xml:space="preserve"> </w:t>
      </w:r>
      <w:r w:rsidRPr="002029AF">
        <w:t>recognised</w:t>
      </w:r>
      <w:r w:rsidR="000A5329" w:rsidRPr="002029AF">
        <w:t xml:space="preserve"> </w:t>
      </w:r>
      <w:r w:rsidRPr="002029AF">
        <w:t>in</w:t>
      </w:r>
      <w:r w:rsidR="000A5329" w:rsidRPr="002029AF">
        <w:t xml:space="preserve"> </w:t>
      </w:r>
      <w:r w:rsidRPr="002029AF">
        <w:t>the</w:t>
      </w:r>
      <w:r w:rsidR="000A5329" w:rsidRPr="002029AF">
        <w:t xml:space="preserve"> </w:t>
      </w:r>
      <w:r w:rsidRPr="002029AF">
        <w:t>comprehensive</w:t>
      </w:r>
      <w:r w:rsidR="000A5329" w:rsidRPr="002029AF">
        <w:t xml:space="preserve"> </w:t>
      </w:r>
      <w:r w:rsidRPr="002029AF">
        <w:t>operating</w:t>
      </w:r>
      <w:r w:rsidR="000A5329" w:rsidRPr="002029AF">
        <w:t xml:space="preserve"> </w:t>
      </w:r>
      <w:r w:rsidRPr="002029AF">
        <w:t>statement</w:t>
      </w:r>
      <w:r w:rsidR="000A5329" w:rsidRPr="002029AF">
        <w:t xml:space="preserve"> </w:t>
      </w:r>
      <w:r w:rsidRPr="002029AF">
        <w:t>(except</w:t>
      </w:r>
      <w:r w:rsidR="000A5329" w:rsidRPr="002029AF">
        <w:t xml:space="preserve"> </w:t>
      </w:r>
      <w:r w:rsidRPr="002029AF">
        <w:t>for</w:t>
      </w:r>
      <w:r w:rsidR="000A5329" w:rsidRPr="002029AF">
        <w:t xml:space="preserve"> </w:t>
      </w:r>
      <w:r w:rsidRPr="002029AF">
        <w:t>payments</w:t>
      </w:r>
      <w:r w:rsidR="000A5329" w:rsidRPr="002029AF">
        <w:t xml:space="preserve"> </w:t>
      </w:r>
      <w:r w:rsidRPr="002029AF">
        <w:t>which</w:t>
      </w:r>
      <w:r w:rsidR="000A5329" w:rsidRPr="002029AF">
        <w:t xml:space="preserve"> </w:t>
      </w:r>
      <w:r w:rsidRPr="002029AF">
        <w:t>have</w:t>
      </w:r>
      <w:r w:rsidR="000A5329" w:rsidRPr="002029AF">
        <w:t xml:space="preserve"> </w:t>
      </w:r>
      <w:r w:rsidRPr="002029AF">
        <w:t>been</w:t>
      </w:r>
      <w:r w:rsidR="000A5329" w:rsidRPr="002029AF">
        <w:t xml:space="preserve"> </w:t>
      </w:r>
      <w:r w:rsidRPr="002029AF">
        <w:t>included</w:t>
      </w:r>
      <w:r w:rsidR="000A5329" w:rsidRPr="002029AF">
        <w:t xml:space="preserve"> </w:t>
      </w:r>
      <w:r w:rsidRPr="002029AF">
        <w:t>in</w:t>
      </w:r>
      <w:r w:rsidR="000A5329" w:rsidRPr="002029AF">
        <w:t xml:space="preserve"> </w:t>
      </w:r>
      <w:r w:rsidRPr="002029AF">
        <w:t>the</w:t>
      </w:r>
      <w:r w:rsidR="000A5329" w:rsidRPr="002029AF">
        <w:t xml:space="preserve"> </w:t>
      </w:r>
      <w:r w:rsidRPr="002029AF">
        <w:t>carrying</w:t>
      </w:r>
      <w:r w:rsidR="000A5329" w:rsidRPr="002029AF">
        <w:t xml:space="preserve"> </w:t>
      </w:r>
      <w:r w:rsidRPr="002029AF">
        <w:t>amount</w:t>
      </w:r>
      <w:r w:rsidR="000A5329" w:rsidRPr="002029AF">
        <w:t xml:space="preserve"> </w:t>
      </w:r>
      <w:r w:rsidRPr="002029AF">
        <w:t>of</w:t>
      </w:r>
      <w:r w:rsidR="000A5329" w:rsidRPr="002029AF">
        <w:t xml:space="preserve"> </w:t>
      </w:r>
      <w:r w:rsidRPr="002029AF">
        <w:t>another</w:t>
      </w:r>
      <w:r w:rsidR="000A5329" w:rsidRPr="002029AF">
        <w:t xml:space="preserve"> </w:t>
      </w:r>
      <w:r w:rsidRPr="002029AF">
        <w:t>asset)</w:t>
      </w:r>
      <w:r w:rsidR="000A5329" w:rsidRPr="002029AF">
        <w:t xml:space="preserve"> </w:t>
      </w:r>
      <w:r w:rsidRPr="002029AF">
        <w:t>in</w:t>
      </w:r>
      <w:r w:rsidR="000A5329" w:rsidRPr="002029AF">
        <w:t xml:space="preserve"> </w:t>
      </w:r>
      <w:r w:rsidRPr="002029AF">
        <w:t>the</w:t>
      </w:r>
      <w:r w:rsidR="000A5329" w:rsidRPr="002029AF">
        <w:t xml:space="preserve"> </w:t>
      </w:r>
      <w:r w:rsidRPr="002029AF">
        <w:t>period</w:t>
      </w:r>
      <w:r w:rsidR="000A5329" w:rsidRPr="002029AF">
        <w:t xml:space="preserve"> </w:t>
      </w:r>
      <w:r w:rsidRPr="002029AF">
        <w:t>in</w:t>
      </w:r>
      <w:r w:rsidR="000A5329" w:rsidRPr="002029AF">
        <w:t xml:space="preserve"> </w:t>
      </w:r>
      <w:r w:rsidRPr="002029AF">
        <w:t>which</w:t>
      </w:r>
      <w:r w:rsidR="000A5329" w:rsidRPr="002029AF">
        <w:t xml:space="preserve"> </w:t>
      </w:r>
      <w:r w:rsidRPr="002029AF">
        <w:t>the</w:t>
      </w:r>
      <w:r w:rsidR="000A5329" w:rsidRPr="002029AF">
        <w:t xml:space="preserve"> </w:t>
      </w:r>
      <w:r w:rsidRPr="002029AF">
        <w:t>event</w:t>
      </w:r>
      <w:r w:rsidR="000A5329" w:rsidRPr="002029AF">
        <w:t xml:space="preserve"> </w:t>
      </w:r>
      <w:r w:rsidRPr="002029AF">
        <w:t>or</w:t>
      </w:r>
      <w:r w:rsidR="000A5329" w:rsidRPr="002029AF">
        <w:t xml:space="preserve"> </w:t>
      </w:r>
      <w:r w:rsidRPr="002029AF">
        <w:t>condition</w:t>
      </w:r>
      <w:r w:rsidR="000A5329" w:rsidRPr="002029AF">
        <w:t xml:space="preserve"> </w:t>
      </w:r>
      <w:r w:rsidRPr="002029AF">
        <w:t>that</w:t>
      </w:r>
      <w:r w:rsidR="000A5329" w:rsidRPr="002029AF">
        <w:t xml:space="preserve"> </w:t>
      </w:r>
      <w:r w:rsidRPr="002029AF">
        <w:t>triggers</w:t>
      </w:r>
      <w:r w:rsidR="000A5329" w:rsidRPr="002029AF">
        <w:t xml:space="preserve"> </w:t>
      </w:r>
      <w:r w:rsidRPr="002029AF">
        <w:t>those</w:t>
      </w:r>
      <w:r w:rsidR="000A5329" w:rsidRPr="002029AF">
        <w:t xml:space="preserve"> </w:t>
      </w:r>
      <w:r w:rsidRPr="002029AF">
        <w:t>payments</w:t>
      </w:r>
      <w:r w:rsidR="000A5329" w:rsidRPr="002029AF">
        <w:t xml:space="preserve"> </w:t>
      </w:r>
      <w:r w:rsidRPr="002029AF">
        <w:t>occurs.</w:t>
      </w:r>
    </w:p>
    <w:p w14:paraId="28C1652B" w14:textId="5ADE14DC" w:rsidR="00087B91" w:rsidRPr="002029AF" w:rsidRDefault="00087B91" w:rsidP="00087B91">
      <w:pPr>
        <w:pStyle w:val="Heading5"/>
      </w:pPr>
      <w:bookmarkStart w:id="316" w:name="_Toc39136705"/>
      <w:r w:rsidRPr="002029AF">
        <w:t>3.1.6</w:t>
      </w:r>
      <w:r w:rsidR="000A5329" w:rsidRPr="002029AF">
        <w:t xml:space="preserve"> </w:t>
      </w:r>
      <w:r w:rsidRPr="002029AF">
        <w:t>Other</w:t>
      </w:r>
      <w:r w:rsidR="000A5329" w:rsidRPr="002029AF">
        <w:t xml:space="preserve"> </w:t>
      </w:r>
      <w:r w:rsidRPr="002029AF">
        <w:t>property</w:t>
      </w:r>
      <w:r w:rsidR="000A5329" w:rsidRPr="002029AF">
        <w:t xml:space="preserve"> </w:t>
      </w:r>
      <w:r w:rsidRPr="002029AF">
        <w:t>management</w:t>
      </w:r>
      <w:r w:rsidR="000A5329" w:rsidRPr="002029AF">
        <w:t xml:space="preserve"> </w:t>
      </w:r>
      <w:r w:rsidRPr="002029AF">
        <w:t>expenses</w:t>
      </w:r>
      <w:bookmarkEnd w:id="316"/>
    </w:p>
    <w:tbl>
      <w:tblPr>
        <w:tblStyle w:val="TableGrid"/>
        <w:tblW w:w="9637" w:type="dxa"/>
        <w:tblLayout w:type="fixed"/>
        <w:tblLook w:val="06A0" w:firstRow="1" w:lastRow="0" w:firstColumn="1" w:lastColumn="0" w:noHBand="1" w:noVBand="1"/>
      </w:tblPr>
      <w:tblGrid>
        <w:gridCol w:w="7369"/>
        <w:gridCol w:w="1134"/>
        <w:gridCol w:w="1134"/>
      </w:tblGrid>
      <w:tr w:rsidR="00087B91" w:rsidRPr="002029AF" w14:paraId="115E921B"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7371" w:type="dxa"/>
            <w:tcBorders>
              <w:bottom w:val="single" w:sz="4" w:space="0" w:color="auto"/>
            </w:tcBorders>
            <w:noWrap/>
            <w:hideMark/>
          </w:tcPr>
          <w:p w14:paraId="1E52EE14" w14:textId="77777777" w:rsidR="00087B91" w:rsidRPr="002029AF" w:rsidRDefault="00087B91" w:rsidP="00860E95">
            <w:pPr>
              <w:pStyle w:val="ARfintablecolhead"/>
            </w:pPr>
          </w:p>
        </w:tc>
        <w:tc>
          <w:tcPr>
            <w:tcW w:w="1134" w:type="dxa"/>
            <w:tcBorders>
              <w:bottom w:val="single" w:sz="4" w:space="0" w:color="auto"/>
            </w:tcBorders>
            <w:shd w:val="clear" w:color="auto" w:fill="E7E6E6"/>
            <w:hideMark/>
          </w:tcPr>
          <w:p w14:paraId="6E84255E" w14:textId="77777777" w:rsidR="00087B91" w:rsidRPr="002029AF" w:rsidRDefault="00087B91" w:rsidP="00860E95">
            <w:pPr>
              <w:pStyle w:val="ARfintablecolheadright"/>
            </w:pPr>
            <w:r w:rsidRPr="002029AF">
              <w:t>2020</w:t>
            </w:r>
          </w:p>
          <w:p w14:paraId="5E9A7883" w14:textId="77777777" w:rsidR="00087B91" w:rsidRPr="002029AF" w:rsidRDefault="00087B91" w:rsidP="00860E95">
            <w:pPr>
              <w:pStyle w:val="ARfintablecolheadright"/>
            </w:pPr>
            <w:r w:rsidRPr="002029AF">
              <w:t>$M</w:t>
            </w:r>
          </w:p>
        </w:tc>
        <w:tc>
          <w:tcPr>
            <w:tcW w:w="1134" w:type="dxa"/>
            <w:tcBorders>
              <w:bottom w:val="single" w:sz="4" w:space="0" w:color="auto"/>
            </w:tcBorders>
            <w:hideMark/>
          </w:tcPr>
          <w:p w14:paraId="670E330C" w14:textId="77777777" w:rsidR="00087B91" w:rsidRPr="002029AF" w:rsidRDefault="00087B91" w:rsidP="00860E95">
            <w:pPr>
              <w:pStyle w:val="ARfintablecolheadright"/>
            </w:pPr>
            <w:r w:rsidRPr="002029AF">
              <w:t>2019</w:t>
            </w:r>
          </w:p>
          <w:p w14:paraId="26C93E0F" w14:textId="77777777" w:rsidR="00087B91" w:rsidRPr="002029AF" w:rsidRDefault="00087B91" w:rsidP="00860E95">
            <w:pPr>
              <w:pStyle w:val="ARfintablecolheadright"/>
            </w:pPr>
            <w:r w:rsidRPr="002029AF">
              <w:t>$M</w:t>
            </w:r>
          </w:p>
        </w:tc>
      </w:tr>
      <w:tr w:rsidR="00087B91" w:rsidRPr="002029AF" w14:paraId="5059EF0A" w14:textId="77777777" w:rsidTr="00860E95">
        <w:trPr>
          <w:trHeight w:val="255"/>
        </w:trPr>
        <w:tc>
          <w:tcPr>
            <w:tcW w:w="7371" w:type="dxa"/>
            <w:tcBorders>
              <w:top w:val="single" w:sz="4" w:space="0" w:color="auto"/>
              <w:bottom w:val="single" w:sz="4" w:space="0" w:color="A6A6A6"/>
            </w:tcBorders>
            <w:hideMark/>
          </w:tcPr>
          <w:p w14:paraId="7417C250" w14:textId="2277E38C" w:rsidR="00087B91" w:rsidRPr="002029AF" w:rsidRDefault="00087B91" w:rsidP="00860E95">
            <w:pPr>
              <w:pStyle w:val="ARfintablebody"/>
            </w:pPr>
            <w:r w:rsidRPr="002029AF">
              <w:t>Rates</w:t>
            </w:r>
            <w:r w:rsidR="000A5329" w:rsidRPr="002029AF">
              <w:t xml:space="preserve"> </w:t>
            </w:r>
            <w:r w:rsidRPr="002029AF">
              <w:t>to</w:t>
            </w:r>
            <w:r w:rsidR="000A5329" w:rsidRPr="002029AF">
              <w:t xml:space="preserve"> </w:t>
            </w:r>
            <w:r w:rsidRPr="002029AF">
              <w:t>local</w:t>
            </w:r>
            <w:r w:rsidR="000A5329" w:rsidRPr="002029AF">
              <w:t xml:space="preserve"> </w:t>
            </w:r>
            <w:r w:rsidRPr="002029AF">
              <w:t>authorities</w:t>
            </w:r>
          </w:p>
        </w:tc>
        <w:tc>
          <w:tcPr>
            <w:tcW w:w="1134" w:type="dxa"/>
            <w:tcBorders>
              <w:top w:val="single" w:sz="4" w:space="0" w:color="auto"/>
              <w:bottom w:val="single" w:sz="4" w:space="0" w:color="A6A6A6"/>
            </w:tcBorders>
            <w:shd w:val="clear" w:color="auto" w:fill="E7E6E6"/>
            <w:noWrap/>
            <w:hideMark/>
          </w:tcPr>
          <w:p w14:paraId="4E867338" w14:textId="77777777" w:rsidR="00087B91" w:rsidRPr="002029AF" w:rsidRDefault="00087B91" w:rsidP="00860E95">
            <w:pPr>
              <w:pStyle w:val="ARfintablebodyright"/>
            </w:pPr>
            <w:r w:rsidRPr="002029AF">
              <w:t>118.8</w:t>
            </w:r>
          </w:p>
        </w:tc>
        <w:tc>
          <w:tcPr>
            <w:tcW w:w="1134" w:type="dxa"/>
            <w:tcBorders>
              <w:top w:val="single" w:sz="4" w:space="0" w:color="auto"/>
              <w:bottom w:val="single" w:sz="4" w:space="0" w:color="A6A6A6"/>
            </w:tcBorders>
            <w:noWrap/>
            <w:hideMark/>
          </w:tcPr>
          <w:p w14:paraId="16FF0470" w14:textId="77777777" w:rsidR="00087B91" w:rsidRPr="002029AF" w:rsidRDefault="00087B91" w:rsidP="00860E95">
            <w:pPr>
              <w:pStyle w:val="ARfintablebodyright"/>
            </w:pPr>
            <w:r w:rsidRPr="002029AF">
              <w:t>117.6</w:t>
            </w:r>
          </w:p>
        </w:tc>
      </w:tr>
      <w:tr w:rsidR="00087B91" w:rsidRPr="002029AF" w14:paraId="1035A875" w14:textId="77777777" w:rsidTr="00860E95">
        <w:trPr>
          <w:trHeight w:val="255"/>
        </w:trPr>
        <w:tc>
          <w:tcPr>
            <w:tcW w:w="7371" w:type="dxa"/>
            <w:tcBorders>
              <w:top w:val="single" w:sz="4" w:space="0" w:color="A6A6A6"/>
              <w:bottom w:val="single" w:sz="4" w:space="0" w:color="A6A6A6"/>
            </w:tcBorders>
            <w:hideMark/>
          </w:tcPr>
          <w:p w14:paraId="25342EDF" w14:textId="432CFFE8" w:rsidR="00087B91" w:rsidRPr="002029AF" w:rsidRDefault="00087B91" w:rsidP="00860E95">
            <w:pPr>
              <w:pStyle w:val="ARfintablebody"/>
            </w:pPr>
            <w:r w:rsidRPr="002029AF">
              <w:t>Rental</w:t>
            </w:r>
            <w:r w:rsidR="000A5329" w:rsidRPr="002029AF">
              <w:t xml:space="preserve"> </w:t>
            </w:r>
            <w:r w:rsidRPr="002029AF">
              <w:t>property</w:t>
            </w:r>
            <w:r w:rsidR="000A5329" w:rsidRPr="002029AF">
              <w:t xml:space="preserve"> </w:t>
            </w:r>
            <w:r w:rsidRPr="002029AF">
              <w:t>lease</w:t>
            </w:r>
            <w:r w:rsidR="000A5329" w:rsidRPr="002029AF">
              <w:t xml:space="preserve"> </w:t>
            </w:r>
            <w:r w:rsidRPr="002029AF">
              <w:t>expenses</w:t>
            </w:r>
            <w:r w:rsidR="000A5329" w:rsidRPr="002029AF">
              <w:t xml:space="preserve"> </w:t>
            </w:r>
            <w:r w:rsidRPr="002029AF">
              <w:rPr>
                <w:rStyle w:val="Superscript"/>
              </w:rPr>
              <w:t>(i)</w:t>
            </w:r>
          </w:p>
        </w:tc>
        <w:tc>
          <w:tcPr>
            <w:tcW w:w="1134" w:type="dxa"/>
            <w:tcBorders>
              <w:top w:val="single" w:sz="4" w:space="0" w:color="A6A6A6"/>
              <w:bottom w:val="single" w:sz="4" w:space="0" w:color="A6A6A6"/>
            </w:tcBorders>
            <w:shd w:val="clear" w:color="auto" w:fill="E7E6E6"/>
            <w:noWrap/>
            <w:hideMark/>
          </w:tcPr>
          <w:p w14:paraId="5DF6EB7D"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64B50961" w14:textId="77777777" w:rsidR="00087B91" w:rsidRPr="002029AF" w:rsidRDefault="00087B91" w:rsidP="00860E95">
            <w:pPr>
              <w:pStyle w:val="ARfintablebodyright"/>
            </w:pPr>
            <w:r w:rsidRPr="002029AF">
              <w:t>16.9</w:t>
            </w:r>
          </w:p>
        </w:tc>
      </w:tr>
      <w:tr w:rsidR="00087B91" w:rsidRPr="002029AF" w14:paraId="006C879E" w14:textId="77777777" w:rsidTr="00860E95">
        <w:trPr>
          <w:trHeight w:val="255"/>
        </w:trPr>
        <w:tc>
          <w:tcPr>
            <w:tcW w:w="7371" w:type="dxa"/>
            <w:tcBorders>
              <w:top w:val="single" w:sz="4" w:space="0" w:color="A6A6A6"/>
            </w:tcBorders>
            <w:hideMark/>
          </w:tcPr>
          <w:p w14:paraId="758C384A" w14:textId="79325D61" w:rsidR="00087B91" w:rsidRPr="002029AF" w:rsidRDefault="00087B91" w:rsidP="00860E95">
            <w:pPr>
              <w:pStyle w:val="ARfintablebody"/>
            </w:pPr>
            <w:r w:rsidRPr="002029AF">
              <w:t>Tenant</w:t>
            </w:r>
            <w:r w:rsidR="000A5329" w:rsidRPr="002029AF">
              <w:t xml:space="preserve"> </w:t>
            </w:r>
            <w:r w:rsidRPr="002029AF">
              <w:t>utilities</w:t>
            </w:r>
            <w:r w:rsidR="000A5329" w:rsidRPr="002029AF">
              <w:t xml:space="preserve"> </w:t>
            </w:r>
            <w:r w:rsidRPr="002029AF">
              <w:t>and</w:t>
            </w:r>
            <w:r w:rsidR="000A5329" w:rsidRPr="002029AF">
              <w:t xml:space="preserve"> </w:t>
            </w:r>
            <w:r w:rsidRPr="002029AF">
              <w:t>other</w:t>
            </w:r>
            <w:r w:rsidR="000A5329" w:rsidRPr="002029AF">
              <w:t xml:space="preserve"> </w:t>
            </w:r>
            <w:r w:rsidRPr="002029AF">
              <w:t>expenses</w:t>
            </w:r>
          </w:p>
        </w:tc>
        <w:tc>
          <w:tcPr>
            <w:tcW w:w="1134" w:type="dxa"/>
            <w:tcBorders>
              <w:top w:val="single" w:sz="4" w:space="0" w:color="A6A6A6"/>
            </w:tcBorders>
            <w:shd w:val="clear" w:color="auto" w:fill="E7E6E6"/>
            <w:noWrap/>
            <w:hideMark/>
          </w:tcPr>
          <w:p w14:paraId="1F585A08" w14:textId="77777777" w:rsidR="00087B91" w:rsidRPr="002029AF" w:rsidRDefault="00087B91" w:rsidP="00860E95">
            <w:pPr>
              <w:pStyle w:val="ARfintablebodyright"/>
            </w:pPr>
            <w:r w:rsidRPr="002029AF">
              <w:t>80.5</w:t>
            </w:r>
          </w:p>
        </w:tc>
        <w:tc>
          <w:tcPr>
            <w:tcW w:w="1134" w:type="dxa"/>
            <w:tcBorders>
              <w:top w:val="single" w:sz="4" w:space="0" w:color="A6A6A6"/>
            </w:tcBorders>
            <w:noWrap/>
            <w:hideMark/>
          </w:tcPr>
          <w:p w14:paraId="1B82B528" w14:textId="77777777" w:rsidR="00087B91" w:rsidRPr="002029AF" w:rsidRDefault="00087B91" w:rsidP="00860E95">
            <w:pPr>
              <w:pStyle w:val="ARfintablebodyright"/>
            </w:pPr>
            <w:r w:rsidRPr="002029AF">
              <w:t>74.5</w:t>
            </w:r>
          </w:p>
        </w:tc>
      </w:tr>
      <w:tr w:rsidR="00087B91" w:rsidRPr="002029AF" w14:paraId="4CE32804" w14:textId="77777777" w:rsidTr="00860E95">
        <w:trPr>
          <w:trHeight w:val="255"/>
        </w:trPr>
        <w:tc>
          <w:tcPr>
            <w:tcW w:w="7371" w:type="dxa"/>
            <w:hideMark/>
          </w:tcPr>
          <w:p w14:paraId="5E9B61D5" w14:textId="4CC84DD3" w:rsidR="00087B91" w:rsidRPr="002029AF" w:rsidRDefault="00087B91" w:rsidP="00860E95">
            <w:pPr>
              <w:pStyle w:val="ARfintablebodybold"/>
            </w:pPr>
            <w:r w:rsidRPr="002029AF">
              <w:t>Total</w:t>
            </w:r>
            <w:r w:rsidR="000A5329" w:rsidRPr="002029AF">
              <w:t xml:space="preserve"> </w:t>
            </w:r>
            <w:r w:rsidRPr="002029AF">
              <w:t>other</w:t>
            </w:r>
            <w:r w:rsidR="000A5329" w:rsidRPr="002029AF">
              <w:t xml:space="preserve"> </w:t>
            </w:r>
            <w:r w:rsidRPr="002029AF">
              <w:t>property</w:t>
            </w:r>
            <w:r w:rsidR="000A5329" w:rsidRPr="002029AF">
              <w:t xml:space="preserve"> </w:t>
            </w:r>
            <w:r w:rsidRPr="002029AF">
              <w:t>management</w:t>
            </w:r>
            <w:r w:rsidR="000A5329" w:rsidRPr="002029AF">
              <w:t xml:space="preserve"> </w:t>
            </w:r>
            <w:r w:rsidRPr="002029AF">
              <w:t>expenses</w:t>
            </w:r>
          </w:p>
        </w:tc>
        <w:tc>
          <w:tcPr>
            <w:tcW w:w="1134" w:type="dxa"/>
            <w:shd w:val="clear" w:color="auto" w:fill="E7E6E6"/>
            <w:noWrap/>
            <w:hideMark/>
          </w:tcPr>
          <w:p w14:paraId="0A051362" w14:textId="77777777" w:rsidR="00087B91" w:rsidRPr="002029AF" w:rsidRDefault="00087B91" w:rsidP="00860E95">
            <w:pPr>
              <w:pStyle w:val="ARfintablebodyrightbold"/>
            </w:pPr>
            <w:r w:rsidRPr="002029AF">
              <w:t>199.3</w:t>
            </w:r>
          </w:p>
        </w:tc>
        <w:tc>
          <w:tcPr>
            <w:tcW w:w="1134" w:type="dxa"/>
            <w:noWrap/>
            <w:hideMark/>
          </w:tcPr>
          <w:p w14:paraId="7FC53DDC" w14:textId="77777777" w:rsidR="00087B91" w:rsidRPr="002029AF" w:rsidRDefault="00087B91" w:rsidP="00860E95">
            <w:pPr>
              <w:pStyle w:val="ARfintablebodyrightbold"/>
            </w:pPr>
            <w:r w:rsidRPr="002029AF">
              <w:t>209.1</w:t>
            </w:r>
          </w:p>
        </w:tc>
      </w:tr>
    </w:tbl>
    <w:p w14:paraId="41830E79" w14:textId="77777777" w:rsidR="00087B91" w:rsidRPr="002029AF" w:rsidRDefault="00087B91" w:rsidP="00087B91">
      <w:pPr>
        <w:pStyle w:val="ARfintablefootnote"/>
      </w:pPr>
      <w:r w:rsidRPr="002029AF">
        <w:t>Note:</w:t>
      </w:r>
    </w:p>
    <w:p w14:paraId="5BCF1CCF" w14:textId="408219DE" w:rsidR="00087B91" w:rsidRPr="002029AF" w:rsidRDefault="00087B91" w:rsidP="002A5CF0">
      <w:pPr>
        <w:pStyle w:val="ARfintablefootnoteindent"/>
      </w:pPr>
      <w:r w:rsidRPr="002029AF">
        <w:t>(i)</w:t>
      </w:r>
      <w:r w:rsidRPr="002029AF">
        <w:tab/>
        <w:t>Rental</w:t>
      </w:r>
      <w:r w:rsidR="000A5329" w:rsidRPr="002029AF">
        <w:t xml:space="preserve"> </w:t>
      </w:r>
      <w:r w:rsidRPr="002029AF">
        <w:t>property</w:t>
      </w:r>
      <w:r w:rsidR="000A5329" w:rsidRPr="002029AF">
        <w:t xml:space="preserve"> </w:t>
      </w:r>
      <w:r w:rsidRPr="002029AF">
        <w:t>lease</w:t>
      </w:r>
      <w:r w:rsidR="000A5329" w:rsidRPr="002029AF">
        <w:t xml:space="preserve"> </w:t>
      </w:r>
      <w:r w:rsidRPr="002029AF">
        <w:t>payments</w:t>
      </w:r>
      <w:r w:rsidR="000A5329" w:rsidRPr="002029AF">
        <w:t xml:space="preserve"> </w:t>
      </w:r>
      <w:r w:rsidRPr="002029AF">
        <w:t>were</w:t>
      </w:r>
      <w:r w:rsidR="000A5329" w:rsidRPr="002029AF">
        <w:t xml:space="preserve"> </w:t>
      </w:r>
      <w:r w:rsidRPr="002029AF">
        <w:t>recognised</w:t>
      </w:r>
      <w:r w:rsidR="000A5329" w:rsidRPr="002029AF">
        <w:t xml:space="preserve"> </w:t>
      </w:r>
      <w:r w:rsidRPr="002029AF">
        <w:t>as</w:t>
      </w:r>
      <w:r w:rsidR="000A5329" w:rsidRPr="002029AF">
        <w:t xml:space="preserve"> </w:t>
      </w:r>
      <w:r w:rsidRPr="002029AF">
        <w:t>short-term</w:t>
      </w:r>
      <w:r w:rsidR="000A5329" w:rsidRPr="002029AF">
        <w:t xml:space="preserve"> </w:t>
      </w:r>
      <w:r w:rsidRPr="002029AF">
        <w:t>expenses,</w:t>
      </w:r>
      <w:r w:rsidR="000A5329" w:rsidRPr="002029AF">
        <w:t xml:space="preserve"> </w:t>
      </w:r>
      <w:r w:rsidRPr="002029AF">
        <w:t>reduction</w:t>
      </w:r>
      <w:r w:rsidR="000A5329" w:rsidRPr="002029AF">
        <w:t xml:space="preserve"> </w:t>
      </w:r>
      <w:r w:rsidRPr="002029AF">
        <w:t>in</w:t>
      </w:r>
      <w:r w:rsidR="000A5329" w:rsidRPr="002029AF">
        <w:t xml:space="preserve"> </w:t>
      </w:r>
      <w:r w:rsidRPr="002029AF">
        <w:t>lease</w:t>
      </w:r>
      <w:r w:rsidR="000A5329" w:rsidRPr="002029AF">
        <w:t xml:space="preserve"> </w:t>
      </w:r>
      <w:r w:rsidRPr="002029AF">
        <w:t>liabilities</w:t>
      </w:r>
      <w:r w:rsidR="000A5329" w:rsidRPr="002029AF">
        <w:t xml:space="preserve"> </w:t>
      </w:r>
      <w:r w:rsidRPr="002029AF">
        <w:t>and</w:t>
      </w:r>
      <w:r w:rsidR="000A5329" w:rsidRPr="002029AF">
        <w:t xml:space="preserve"> </w:t>
      </w:r>
      <w:r w:rsidRPr="002029AF">
        <w:t>increase</w:t>
      </w:r>
      <w:r w:rsidR="000A5329" w:rsidRPr="002029AF">
        <w:t xml:space="preserve"> </w:t>
      </w:r>
      <w:r w:rsidRPr="002029AF">
        <w:t>in</w:t>
      </w:r>
      <w:r w:rsidR="000A5329" w:rsidRPr="002029AF">
        <w:t xml:space="preserve"> </w:t>
      </w:r>
      <w:r w:rsidRPr="002029AF">
        <w:t>interest</w:t>
      </w:r>
      <w:r w:rsidR="000A5329" w:rsidRPr="002029AF">
        <w:t xml:space="preserve"> </w:t>
      </w:r>
      <w:r w:rsidRPr="002029AF">
        <w:t>expense</w:t>
      </w:r>
      <w:r w:rsidR="000A5329" w:rsidRPr="002029AF">
        <w:t xml:space="preserve"> </w:t>
      </w:r>
      <w:r w:rsidRPr="002029AF">
        <w:t>under</w:t>
      </w:r>
      <w:r w:rsidR="000A5329" w:rsidRPr="002029AF">
        <w:t xml:space="preserve"> </w:t>
      </w:r>
      <w:r w:rsidRPr="002029AF">
        <w:t>AASB</w:t>
      </w:r>
      <w:r w:rsidR="000A5329" w:rsidRPr="002029AF">
        <w:t xml:space="preserve"> </w:t>
      </w:r>
      <w:r w:rsidRPr="002029AF">
        <w:t>16</w:t>
      </w:r>
      <w:r w:rsidR="000A5329" w:rsidRPr="002029AF">
        <w:t xml:space="preserve"> </w:t>
      </w:r>
      <w:r w:rsidRPr="002029AF">
        <w:rPr>
          <w:rStyle w:val="Emphasis"/>
        </w:rPr>
        <w:t>Leases</w:t>
      </w:r>
      <w:r w:rsidRPr="002029AF">
        <w:t>.</w:t>
      </w:r>
    </w:p>
    <w:p w14:paraId="33911DC5" w14:textId="638C2B95" w:rsidR="00087B91" w:rsidRPr="002029AF" w:rsidRDefault="00087B91" w:rsidP="00087B91">
      <w:pPr>
        <w:pStyle w:val="ARfinbodyaftertable"/>
      </w:pPr>
      <w:r w:rsidRPr="002029AF">
        <w:rPr>
          <w:rStyle w:val="Strong"/>
        </w:rPr>
        <w:t>Other</w:t>
      </w:r>
      <w:r w:rsidR="000A5329" w:rsidRPr="002029AF">
        <w:rPr>
          <w:rStyle w:val="Strong"/>
        </w:rPr>
        <w:t xml:space="preserve"> </w:t>
      </w:r>
      <w:r w:rsidRPr="002029AF">
        <w:rPr>
          <w:rStyle w:val="Strong"/>
        </w:rPr>
        <w:t>property</w:t>
      </w:r>
      <w:r w:rsidR="000A5329" w:rsidRPr="002029AF">
        <w:rPr>
          <w:rStyle w:val="Strong"/>
        </w:rPr>
        <w:t xml:space="preserve"> </w:t>
      </w:r>
      <w:r w:rsidRPr="002029AF">
        <w:rPr>
          <w:rStyle w:val="Strong"/>
        </w:rPr>
        <w:t>management</w:t>
      </w:r>
      <w:r w:rsidR="000A5329" w:rsidRPr="002029AF">
        <w:rPr>
          <w:rStyle w:val="Strong"/>
        </w:rPr>
        <w:t xml:space="preserve"> </w:t>
      </w:r>
      <w:r w:rsidRPr="002029AF">
        <w:rPr>
          <w:rStyle w:val="Strong"/>
        </w:rPr>
        <w:t>expenses</w:t>
      </w:r>
      <w:r w:rsidR="000A5329" w:rsidRPr="002029AF">
        <w:t xml:space="preserve"> </w:t>
      </w:r>
      <w:r w:rsidRPr="002029AF">
        <w:t>generally</w:t>
      </w:r>
      <w:r w:rsidR="000A5329" w:rsidRPr="002029AF">
        <w:t xml:space="preserve"> </w:t>
      </w:r>
      <w:r w:rsidRPr="002029AF">
        <w:t>include</w:t>
      </w:r>
      <w:r w:rsidR="000A5329" w:rsidRPr="002029AF">
        <w:t xml:space="preserve"> </w:t>
      </w:r>
      <w:r w:rsidRPr="002029AF">
        <w:t>all</w:t>
      </w:r>
      <w:r w:rsidR="000A5329" w:rsidRPr="002029AF">
        <w:t xml:space="preserve"> </w:t>
      </w:r>
      <w:r w:rsidRPr="002029AF">
        <w:t>costs</w:t>
      </w:r>
      <w:r w:rsidR="000A5329" w:rsidRPr="002029AF">
        <w:t xml:space="preserve"> </w:t>
      </w:r>
      <w:r w:rsidRPr="002029AF">
        <w:t>and</w:t>
      </w:r>
      <w:r w:rsidR="000A5329" w:rsidRPr="002029AF">
        <w:t xml:space="preserve"> </w:t>
      </w:r>
      <w:r w:rsidRPr="002029AF">
        <w:t>incidental</w:t>
      </w:r>
      <w:r w:rsidR="000A5329" w:rsidRPr="002029AF">
        <w:t xml:space="preserve"> </w:t>
      </w:r>
      <w:r w:rsidRPr="002029AF">
        <w:t>expenses</w:t>
      </w:r>
      <w:r w:rsidR="000A5329" w:rsidRPr="002029AF">
        <w:t xml:space="preserve"> </w:t>
      </w:r>
      <w:r w:rsidRPr="002029AF">
        <w:t>associated</w:t>
      </w:r>
      <w:r w:rsidR="000A5329" w:rsidRPr="002029AF">
        <w:t xml:space="preserve"> </w:t>
      </w:r>
      <w:r w:rsidRPr="002029AF">
        <w:t>with</w:t>
      </w:r>
      <w:r w:rsidR="000A5329" w:rsidRPr="002029AF">
        <w:t xml:space="preserve"> </w:t>
      </w:r>
      <w:r w:rsidRPr="002029AF">
        <w:t>the</w:t>
      </w:r>
      <w:r w:rsidR="000A5329" w:rsidRPr="002029AF">
        <w:t xml:space="preserve"> </w:t>
      </w:r>
      <w:r w:rsidRPr="002029AF">
        <w:t>management</w:t>
      </w:r>
      <w:r w:rsidR="000A5329" w:rsidRPr="002029AF">
        <w:t xml:space="preserve"> </w:t>
      </w:r>
      <w:r w:rsidRPr="002029AF">
        <w:t>of</w:t>
      </w:r>
      <w:r w:rsidR="000A5329" w:rsidRPr="002029AF">
        <w:t xml:space="preserve"> </w:t>
      </w:r>
      <w:r w:rsidRPr="002029AF">
        <w:t>properties.</w:t>
      </w:r>
      <w:r w:rsidR="000A5329" w:rsidRPr="002029AF">
        <w:t xml:space="preserve"> </w:t>
      </w:r>
      <w:r w:rsidRPr="002029AF">
        <w:t>The</w:t>
      </w:r>
      <w:r w:rsidR="000A5329" w:rsidRPr="002029AF">
        <w:t xml:space="preserve"> </w:t>
      </w:r>
      <w:r w:rsidRPr="002029AF">
        <w:t>bulk</w:t>
      </w:r>
      <w:r w:rsidR="000A5329" w:rsidRPr="002029AF">
        <w:t xml:space="preserve"> </w:t>
      </w:r>
      <w:r w:rsidRPr="002029AF">
        <w:t>of</w:t>
      </w:r>
      <w:r w:rsidR="000A5329" w:rsidRPr="002029AF">
        <w:t xml:space="preserve"> </w:t>
      </w:r>
      <w:r w:rsidRPr="002029AF">
        <w:t>these</w:t>
      </w:r>
      <w:r w:rsidR="000A5329" w:rsidRPr="002029AF">
        <w:t xml:space="preserve"> </w:t>
      </w:r>
      <w:r w:rsidRPr="002029AF">
        <w:t>expenses</w:t>
      </w:r>
      <w:r w:rsidR="000A5329" w:rsidRPr="002029AF">
        <w:t xml:space="preserve"> </w:t>
      </w:r>
      <w:r w:rsidRPr="002029AF">
        <w:t>are</w:t>
      </w:r>
      <w:r w:rsidR="000A5329" w:rsidRPr="002029AF">
        <w:t xml:space="preserve"> </w:t>
      </w:r>
      <w:r w:rsidRPr="002029AF">
        <w:t>rates</w:t>
      </w:r>
      <w:r w:rsidR="000A5329" w:rsidRPr="002029AF">
        <w:t xml:space="preserve"> </w:t>
      </w:r>
      <w:r w:rsidRPr="002029AF">
        <w:t>and</w:t>
      </w:r>
      <w:r w:rsidR="000A5329" w:rsidRPr="002029AF">
        <w:t xml:space="preserve"> </w:t>
      </w:r>
      <w:r w:rsidRPr="002029AF">
        <w:t>utilities.</w:t>
      </w:r>
    </w:p>
    <w:p w14:paraId="612FEFF9" w14:textId="5C17ED20" w:rsidR="00087B91" w:rsidRPr="002029AF" w:rsidRDefault="00087B91" w:rsidP="00087B91">
      <w:pPr>
        <w:pStyle w:val="ARfinbody"/>
      </w:pPr>
      <w:r w:rsidRPr="002029AF">
        <w:t>Home</w:t>
      </w:r>
      <w:r w:rsidR="000A5329" w:rsidRPr="002029AF">
        <w:t xml:space="preserve"> </w:t>
      </w:r>
      <w:r w:rsidRPr="002029AF">
        <w:t>finance</w:t>
      </w:r>
      <w:r w:rsidR="000A5329" w:rsidRPr="002029AF">
        <w:t xml:space="preserve"> </w:t>
      </w:r>
      <w:r w:rsidRPr="002029AF">
        <w:t>operating</w:t>
      </w:r>
      <w:r w:rsidR="000A5329" w:rsidRPr="002029AF">
        <w:t xml:space="preserve"> </w:t>
      </w:r>
      <w:r w:rsidRPr="002029AF">
        <w:t>costs</w:t>
      </w:r>
      <w:r w:rsidR="000A5329" w:rsidRPr="002029AF">
        <w:t xml:space="preserve"> </w:t>
      </w:r>
      <w:r w:rsidRPr="002029AF">
        <w:t>which</w:t>
      </w:r>
      <w:r w:rsidR="000A5329" w:rsidRPr="002029AF">
        <w:t xml:space="preserve"> </w:t>
      </w:r>
      <w:r w:rsidRPr="002029AF">
        <w:t>were</w:t>
      </w:r>
      <w:r w:rsidR="000A5329" w:rsidRPr="002029AF">
        <w:t xml:space="preserve"> </w:t>
      </w:r>
      <w:r w:rsidRPr="002029AF">
        <w:t>previously</w:t>
      </w:r>
      <w:r w:rsidR="000A5329" w:rsidRPr="002029AF">
        <w:t xml:space="preserve"> </w:t>
      </w:r>
      <w:r w:rsidRPr="002029AF">
        <w:t>reported</w:t>
      </w:r>
      <w:r w:rsidR="000A5329" w:rsidRPr="002029AF">
        <w:t xml:space="preserve"> </w:t>
      </w:r>
      <w:r w:rsidRPr="002029AF">
        <w:t>as</w:t>
      </w:r>
      <w:r w:rsidR="000A5329" w:rsidRPr="002029AF">
        <w:t xml:space="preserve"> </w:t>
      </w:r>
      <w:r w:rsidRPr="002029AF">
        <w:t>a</w:t>
      </w:r>
      <w:r w:rsidR="000A5329" w:rsidRPr="002029AF">
        <w:t xml:space="preserve"> </w:t>
      </w:r>
      <w:r w:rsidRPr="002029AF">
        <w:t>separate</w:t>
      </w:r>
      <w:r w:rsidR="000A5329" w:rsidRPr="002029AF">
        <w:t xml:space="preserve"> </w:t>
      </w:r>
      <w:r w:rsidRPr="002029AF">
        <w:t>line</w:t>
      </w:r>
      <w:r w:rsidR="000A5329" w:rsidRPr="002029AF">
        <w:t xml:space="preserve"> </w:t>
      </w:r>
      <w:r w:rsidRPr="002029AF">
        <w:t>item</w:t>
      </w:r>
      <w:r w:rsidR="000A5329" w:rsidRPr="002029AF">
        <w:t xml:space="preserve"> </w:t>
      </w:r>
      <w:r w:rsidRPr="002029AF">
        <w:t>are</w:t>
      </w:r>
      <w:r w:rsidR="000A5329" w:rsidRPr="002029AF">
        <w:t xml:space="preserve"> </w:t>
      </w:r>
      <w:r w:rsidRPr="002029AF">
        <w:t>now</w:t>
      </w:r>
      <w:r w:rsidR="000A5329" w:rsidRPr="002029AF">
        <w:t xml:space="preserve"> </w:t>
      </w:r>
      <w:r w:rsidRPr="002029AF">
        <w:t>included</w:t>
      </w:r>
      <w:r w:rsidR="000A5329" w:rsidRPr="002029AF">
        <w:t xml:space="preserve"> </w:t>
      </w:r>
      <w:r w:rsidRPr="002029AF">
        <w:t>in</w:t>
      </w:r>
      <w:r w:rsidR="000A5329" w:rsidRPr="002029AF">
        <w:t xml:space="preserve"> </w:t>
      </w:r>
      <w:r w:rsidRPr="002029AF">
        <w:t>tenant</w:t>
      </w:r>
      <w:r w:rsidR="000A5329" w:rsidRPr="002029AF">
        <w:t xml:space="preserve"> </w:t>
      </w:r>
      <w:r w:rsidRPr="002029AF">
        <w:t>utilities</w:t>
      </w:r>
      <w:r w:rsidR="000A5329" w:rsidRPr="002029AF">
        <w:t xml:space="preserve"> </w:t>
      </w:r>
      <w:r w:rsidRPr="002029AF">
        <w:t>and</w:t>
      </w:r>
      <w:r w:rsidR="000A5329" w:rsidRPr="002029AF">
        <w:t xml:space="preserve"> </w:t>
      </w:r>
      <w:r w:rsidRPr="002029AF">
        <w:t>other</w:t>
      </w:r>
      <w:r w:rsidR="000A5329" w:rsidRPr="002029AF">
        <w:t xml:space="preserve"> </w:t>
      </w:r>
      <w:r w:rsidRPr="002029AF">
        <w:t>expenses.</w:t>
      </w:r>
    </w:p>
    <w:p w14:paraId="07160265" w14:textId="77777777" w:rsidR="00087B91" w:rsidRPr="002029AF" w:rsidRDefault="00087B91" w:rsidP="00087B91">
      <w:pPr>
        <w:pStyle w:val="ARfinbody"/>
      </w:pPr>
      <w:bookmarkStart w:id="317" w:name="_Toc443469546"/>
      <w:bookmarkStart w:id="318" w:name="_Toc444065801"/>
      <w:bookmarkStart w:id="319" w:name="_Toc444079997"/>
      <w:r w:rsidRPr="002029AF">
        <w:br w:type="page"/>
      </w:r>
    </w:p>
    <w:p w14:paraId="7266957C" w14:textId="2429FD88" w:rsidR="00087B91" w:rsidRPr="002029AF" w:rsidRDefault="00087B91" w:rsidP="00087B91">
      <w:pPr>
        <w:pStyle w:val="Heading3"/>
      </w:pPr>
      <w:bookmarkStart w:id="320" w:name="_Toc39136706"/>
      <w:bookmarkStart w:id="321" w:name="_Toc39242139"/>
      <w:bookmarkStart w:id="322" w:name="_Toc51235515"/>
      <w:bookmarkStart w:id="323" w:name="_Toc54690814"/>
      <w:bookmarkEnd w:id="304"/>
      <w:bookmarkEnd w:id="305"/>
      <w:bookmarkEnd w:id="306"/>
      <w:bookmarkEnd w:id="317"/>
      <w:bookmarkEnd w:id="318"/>
      <w:bookmarkEnd w:id="319"/>
      <w:r w:rsidRPr="002029AF">
        <w:lastRenderedPageBreak/>
        <w:t>4.</w:t>
      </w:r>
      <w:r w:rsidR="000A5329" w:rsidRPr="002029AF">
        <w:t xml:space="preserve"> </w:t>
      </w:r>
      <w:r w:rsidRPr="002029AF">
        <w:t>Disaggregated</w:t>
      </w:r>
      <w:r w:rsidR="000A5329" w:rsidRPr="002029AF">
        <w:t xml:space="preserve"> </w:t>
      </w:r>
      <w:r w:rsidRPr="002029AF">
        <w:t>financial</w:t>
      </w:r>
      <w:r w:rsidR="000A5329" w:rsidRPr="002029AF">
        <w:t xml:space="preserve"> </w:t>
      </w:r>
      <w:r w:rsidRPr="002029AF">
        <w:t>information</w:t>
      </w:r>
      <w:r w:rsidR="000A5329" w:rsidRPr="002029AF">
        <w:t xml:space="preserve"> </w:t>
      </w:r>
      <w:r w:rsidRPr="002029AF">
        <w:t>by</w:t>
      </w:r>
      <w:r w:rsidR="000A5329" w:rsidRPr="002029AF">
        <w:t xml:space="preserve"> </w:t>
      </w:r>
      <w:r w:rsidRPr="002029AF">
        <w:t>output</w:t>
      </w:r>
      <w:bookmarkEnd w:id="320"/>
      <w:bookmarkEnd w:id="321"/>
      <w:bookmarkEnd w:id="322"/>
      <w:bookmarkEnd w:id="323"/>
    </w:p>
    <w:p w14:paraId="6481AA1C" w14:textId="77777777" w:rsidR="00087B91" w:rsidRPr="002029AF" w:rsidRDefault="00087B91" w:rsidP="00087B91">
      <w:pPr>
        <w:pStyle w:val="Heading4"/>
      </w:pPr>
      <w:r w:rsidRPr="002029AF">
        <w:t>Introduction</w:t>
      </w:r>
    </w:p>
    <w:p w14:paraId="5D67DBF2" w14:textId="2DB7643E" w:rsidR="00087B91" w:rsidRPr="002029AF" w:rsidRDefault="00087B91" w:rsidP="00087B91">
      <w:pPr>
        <w:pStyle w:val="ARfinbody"/>
      </w:pPr>
      <w:r w:rsidRPr="002029AF">
        <w:t>The</w:t>
      </w:r>
      <w:r w:rsidR="000A5329" w:rsidRPr="002029AF">
        <w:t xml:space="preserve"> </w:t>
      </w:r>
      <w:r w:rsidRPr="002029AF">
        <w:t>d</w:t>
      </w:r>
      <w:r w:rsidR="00C02D9D" w:rsidRPr="002029AF">
        <w:t>epartment</w:t>
      </w:r>
      <w:r w:rsidR="000A5329" w:rsidRPr="002029AF">
        <w:t xml:space="preserve"> </w:t>
      </w:r>
      <w:r w:rsidRPr="002029AF">
        <w:t>is</w:t>
      </w:r>
      <w:r w:rsidR="000A5329" w:rsidRPr="002029AF">
        <w:t xml:space="preserve"> </w:t>
      </w:r>
      <w:r w:rsidRPr="002029AF">
        <w:t>predominantly</w:t>
      </w:r>
      <w:r w:rsidR="000A5329" w:rsidRPr="002029AF">
        <w:t xml:space="preserve"> </w:t>
      </w:r>
      <w:r w:rsidRPr="002029AF">
        <w:t>funded</w:t>
      </w:r>
      <w:r w:rsidR="000A5329" w:rsidRPr="002029AF">
        <w:t xml:space="preserve"> </w:t>
      </w:r>
      <w:r w:rsidRPr="002029AF">
        <w:t>by</w:t>
      </w:r>
      <w:r w:rsidR="000A5329" w:rsidRPr="002029AF">
        <w:t xml:space="preserve"> </w:t>
      </w:r>
      <w:r w:rsidRPr="002029AF">
        <w:t>accrual-based</w:t>
      </w:r>
      <w:r w:rsidR="000A5329" w:rsidRPr="002029AF">
        <w:t xml:space="preserve"> </w:t>
      </w:r>
      <w:r w:rsidRPr="002029AF">
        <w:t>parliamentary</w:t>
      </w:r>
      <w:r w:rsidR="000A5329" w:rsidRPr="002029AF">
        <w:t xml:space="preserve"> </w:t>
      </w:r>
      <w:r w:rsidRPr="002029AF">
        <w:t>appropriations</w:t>
      </w:r>
      <w:r w:rsidR="000A5329" w:rsidRPr="002029AF">
        <w:t xml:space="preserve"> </w:t>
      </w:r>
      <w:r w:rsidRPr="002029AF">
        <w:t>for</w:t>
      </w:r>
      <w:r w:rsidR="000A5329" w:rsidRPr="002029AF">
        <w:t xml:space="preserve"> </w:t>
      </w:r>
      <w:r w:rsidRPr="002029AF">
        <w:t>the</w:t>
      </w:r>
      <w:r w:rsidR="000A5329" w:rsidRPr="002029AF">
        <w:t xml:space="preserve"> </w:t>
      </w:r>
      <w:r w:rsidRPr="002029AF">
        <w:t>provision</w:t>
      </w:r>
      <w:r w:rsidR="000A5329" w:rsidRPr="002029AF">
        <w:t xml:space="preserve"> </w:t>
      </w:r>
      <w:r w:rsidRPr="002029AF">
        <w:t>of</w:t>
      </w:r>
      <w:r w:rsidR="000A5329" w:rsidRPr="002029AF">
        <w:t xml:space="preserve"> </w:t>
      </w:r>
      <w:r w:rsidRPr="002029AF">
        <w:t>outputs.</w:t>
      </w:r>
      <w:r w:rsidR="000A5329" w:rsidRPr="002029AF">
        <w:t xml:space="preserve"> </w:t>
      </w:r>
      <w:r w:rsidRPr="002029AF">
        <w:t>This</w:t>
      </w:r>
      <w:r w:rsidR="000A5329" w:rsidRPr="002029AF">
        <w:t xml:space="preserve"> </w:t>
      </w:r>
      <w:r w:rsidRPr="002029AF">
        <w:t>section</w:t>
      </w:r>
      <w:r w:rsidR="000A5329" w:rsidRPr="002029AF">
        <w:t xml:space="preserve"> </w:t>
      </w:r>
      <w:r w:rsidRPr="002029AF">
        <w:t>provides</w:t>
      </w:r>
      <w:r w:rsidR="000A5329" w:rsidRPr="002029AF">
        <w:t xml:space="preserve"> </w:t>
      </w:r>
      <w:r w:rsidRPr="002029AF">
        <w:t>a</w:t>
      </w:r>
      <w:r w:rsidR="000A5329" w:rsidRPr="002029AF">
        <w:t xml:space="preserve"> </w:t>
      </w:r>
      <w:r w:rsidRPr="002029AF">
        <w:t>description</w:t>
      </w:r>
      <w:r w:rsidR="000A5329" w:rsidRPr="002029AF">
        <w:t xml:space="preserve"> </w:t>
      </w:r>
      <w:r w:rsidRPr="002029AF">
        <w:t>of</w:t>
      </w:r>
      <w:r w:rsidR="000A5329" w:rsidRPr="002029AF">
        <w:t xml:space="preserve"> </w:t>
      </w:r>
      <w:r w:rsidRPr="002029AF">
        <w:t>the</w:t>
      </w:r>
      <w:r w:rsidR="000A5329" w:rsidRPr="002029AF">
        <w:t xml:space="preserve"> </w:t>
      </w:r>
      <w:r w:rsidRPr="002029AF">
        <w:t>departmental</w:t>
      </w:r>
      <w:r w:rsidR="000A5329" w:rsidRPr="002029AF">
        <w:t xml:space="preserve"> </w:t>
      </w:r>
      <w:r w:rsidRPr="002029AF">
        <w:t>outputs</w:t>
      </w:r>
      <w:r w:rsidR="000A5329" w:rsidRPr="002029AF">
        <w:t xml:space="preserve"> </w:t>
      </w:r>
      <w:r w:rsidRPr="002029AF">
        <w:t>delivered</w:t>
      </w:r>
      <w:r w:rsidR="000A5329" w:rsidRPr="002029AF">
        <w:t xml:space="preserve"> </w:t>
      </w:r>
      <w:r w:rsidRPr="002029AF">
        <w:t>during</w:t>
      </w:r>
      <w:r w:rsidR="000A5329" w:rsidRPr="002029AF">
        <w:t xml:space="preserve"> </w:t>
      </w:r>
      <w:r w:rsidRPr="002029AF">
        <w:t>the</w:t>
      </w:r>
      <w:r w:rsidR="000A5329" w:rsidRPr="002029AF">
        <w:t xml:space="preserve"> </w:t>
      </w:r>
      <w:r w:rsidRPr="002029AF">
        <w:t>year</w:t>
      </w:r>
      <w:r w:rsidR="000A5329" w:rsidRPr="002029AF">
        <w:t xml:space="preserve"> </w:t>
      </w:r>
      <w:r w:rsidRPr="002029AF">
        <w:t>ended</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r w:rsidR="000A5329" w:rsidRPr="002029AF">
        <w:t xml:space="preserve"> </w:t>
      </w:r>
      <w:r w:rsidRPr="002029AF">
        <w:t>along</w:t>
      </w:r>
      <w:r w:rsidR="000A5329" w:rsidRPr="002029AF">
        <w:t xml:space="preserve"> </w:t>
      </w:r>
      <w:r w:rsidRPr="002029AF">
        <w:t>with</w:t>
      </w:r>
      <w:r w:rsidR="000A5329" w:rsidRPr="002029AF">
        <w:t xml:space="preserve"> </w:t>
      </w:r>
      <w:r w:rsidRPr="002029AF">
        <w:t>the</w:t>
      </w:r>
      <w:r w:rsidR="000A5329" w:rsidRPr="002029AF">
        <w:t xml:space="preserve"> </w:t>
      </w:r>
      <w:r w:rsidRPr="002029AF">
        <w:t>objectives</w:t>
      </w:r>
      <w:r w:rsidR="000A5329" w:rsidRPr="002029AF">
        <w:t xml:space="preserve"> </w:t>
      </w:r>
      <w:r w:rsidRPr="002029AF">
        <w:t>of</w:t>
      </w:r>
      <w:r w:rsidR="000A5329" w:rsidRPr="002029AF">
        <w:t xml:space="preserve"> </w:t>
      </w:r>
      <w:r w:rsidRPr="002029AF">
        <w:t>those</w:t>
      </w:r>
      <w:r w:rsidR="000A5329" w:rsidRPr="002029AF">
        <w:t xml:space="preserve"> </w:t>
      </w:r>
      <w:r w:rsidRPr="002029AF">
        <w:t>outputs.</w:t>
      </w:r>
    </w:p>
    <w:p w14:paraId="746DC2B4" w14:textId="20086623" w:rsidR="00087B91" w:rsidRPr="002029AF" w:rsidRDefault="00087B91" w:rsidP="00087B91">
      <w:pPr>
        <w:pStyle w:val="ARfinbody"/>
      </w:pPr>
      <w:r w:rsidRPr="002029AF">
        <w:t>This</w:t>
      </w:r>
      <w:r w:rsidR="000A5329" w:rsidRPr="002029AF">
        <w:t xml:space="preserve"> </w:t>
      </w:r>
      <w:r w:rsidRPr="002029AF">
        <w:t>section</w:t>
      </w:r>
      <w:r w:rsidR="000A5329" w:rsidRPr="002029AF">
        <w:t xml:space="preserve"> </w:t>
      </w:r>
      <w:r w:rsidRPr="002029AF">
        <w:t>disaggregates</w:t>
      </w:r>
      <w:r w:rsidR="000A5329" w:rsidRPr="002029AF">
        <w:t xml:space="preserve"> </w:t>
      </w:r>
      <w:r w:rsidRPr="002029AF">
        <w:t>revenue</w:t>
      </w:r>
      <w:r w:rsidR="000A5329" w:rsidRPr="002029AF">
        <w:t xml:space="preserve"> </w:t>
      </w:r>
      <w:r w:rsidRPr="002029AF">
        <w:t>and</w:t>
      </w:r>
      <w:r w:rsidR="000A5329" w:rsidRPr="002029AF">
        <w:t xml:space="preserve"> </w:t>
      </w:r>
      <w:r w:rsidRPr="002029AF">
        <w:t>expenses</w:t>
      </w:r>
      <w:r w:rsidR="000A5329" w:rsidRPr="002029AF">
        <w:t xml:space="preserve"> </w:t>
      </w:r>
      <w:r w:rsidRPr="002029AF">
        <w:t>that</w:t>
      </w:r>
      <w:r w:rsidR="000A5329" w:rsidRPr="002029AF">
        <w:t xml:space="preserve"> </w:t>
      </w:r>
      <w:r w:rsidRPr="002029AF">
        <w:t>enables</w:t>
      </w:r>
      <w:r w:rsidR="000A5329" w:rsidRPr="002029AF">
        <w:t xml:space="preserve"> </w:t>
      </w:r>
      <w:r w:rsidRPr="002029AF">
        <w:t>the</w:t>
      </w:r>
      <w:r w:rsidR="000A5329" w:rsidRPr="002029AF">
        <w:t xml:space="preserve"> </w:t>
      </w:r>
      <w:r w:rsidRPr="002029AF">
        <w:t>delivery</w:t>
      </w:r>
      <w:r w:rsidR="000A5329" w:rsidRPr="002029AF">
        <w:t xml:space="preserve"> </w:t>
      </w:r>
      <w:r w:rsidRPr="002029AF">
        <w:t>of</w:t>
      </w:r>
      <w:r w:rsidR="000A5329" w:rsidRPr="002029AF">
        <w:t xml:space="preserve"> </w:t>
      </w:r>
      <w:r w:rsidRPr="002029AF">
        <w:t>services</w:t>
      </w:r>
      <w:r w:rsidR="000A5329" w:rsidRPr="002029AF">
        <w:t xml:space="preserve"> </w:t>
      </w:r>
      <w:r w:rsidRPr="002029AF">
        <w:t>(described</w:t>
      </w:r>
      <w:r w:rsidR="000A5329" w:rsidRPr="002029AF">
        <w:t xml:space="preserve"> </w:t>
      </w:r>
      <w:r w:rsidRPr="002029AF">
        <w:t>in</w:t>
      </w:r>
      <w:r w:rsidR="000A5329" w:rsidRPr="002029AF">
        <w:t xml:space="preserve"> </w:t>
      </w:r>
      <w:r w:rsidRPr="002029AF">
        <w:t>section</w:t>
      </w:r>
      <w:r w:rsidR="000A5329" w:rsidRPr="002029AF">
        <w:t xml:space="preserve"> </w:t>
      </w:r>
      <w:r w:rsidRPr="002029AF">
        <w:t>2</w:t>
      </w:r>
      <w:r w:rsidR="000A5329" w:rsidRPr="002029AF">
        <w:t xml:space="preserve"> </w:t>
      </w:r>
      <w:r w:rsidRPr="002029AF">
        <w:t>‘Funding</w:t>
      </w:r>
      <w:r w:rsidR="000A5329" w:rsidRPr="002029AF">
        <w:t xml:space="preserve"> </w:t>
      </w:r>
      <w:r w:rsidRPr="002029AF">
        <w:t>delivery</w:t>
      </w:r>
      <w:r w:rsidR="000A5329" w:rsidRPr="002029AF">
        <w:t xml:space="preserve"> </w:t>
      </w:r>
      <w:r w:rsidRPr="002029AF">
        <w:t>of</w:t>
      </w:r>
      <w:r w:rsidR="000A5329" w:rsidRPr="002029AF">
        <w:t xml:space="preserve"> </w:t>
      </w:r>
      <w:r w:rsidRPr="002029AF">
        <w:t>our</w:t>
      </w:r>
      <w:r w:rsidR="000A5329" w:rsidRPr="002029AF">
        <w:t xml:space="preserve"> </w:t>
      </w:r>
      <w:r w:rsidRPr="002029AF">
        <w:t>services’)</w:t>
      </w:r>
      <w:r w:rsidR="000A5329" w:rsidRPr="002029AF">
        <w:t xml:space="preserve"> </w:t>
      </w:r>
      <w:r w:rsidRPr="002029AF">
        <w:t>by</w:t>
      </w:r>
      <w:r w:rsidR="000A5329" w:rsidRPr="002029AF">
        <w:t xml:space="preserve"> </w:t>
      </w:r>
      <w:r w:rsidRPr="002029AF">
        <w:t>output</w:t>
      </w:r>
      <w:r w:rsidR="000A5329" w:rsidRPr="002029AF">
        <w:t xml:space="preserve"> </w:t>
      </w:r>
      <w:r w:rsidRPr="002029AF">
        <w:t>and</w:t>
      </w:r>
      <w:r w:rsidR="000A5329" w:rsidRPr="002029AF">
        <w:t xml:space="preserve"> </w:t>
      </w:r>
      <w:r w:rsidRPr="002029AF">
        <w:t>records</w:t>
      </w:r>
      <w:r w:rsidR="000A5329" w:rsidRPr="002029AF">
        <w:t xml:space="preserve"> </w:t>
      </w:r>
      <w:r w:rsidRPr="002029AF">
        <w:t>the</w:t>
      </w:r>
      <w:r w:rsidR="000A5329" w:rsidRPr="002029AF">
        <w:t xml:space="preserve"> </w:t>
      </w:r>
      <w:r w:rsidRPr="002029AF">
        <w:t>allocation</w:t>
      </w:r>
      <w:r w:rsidR="000A5329" w:rsidRPr="002029AF">
        <w:t xml:space="preserve"> </w:t>
      </w:r>
      <w:r w:rsidRPr="002029AF">
        <w:t>of</w:t>
      </w:r>
      <w:r w:rsidR="000A5329" w:rsidRPr="002029AF">
        <w:t xml:space="preserve"> </w:t>
      </w:r>
      <w:r w:rsidRPr="002029AF">
        <w:t>expenses</w:t>
      </w:r>
      <w:r w:rsidR="000A5329" w:rsidRPr="002029AF">
        <w:t xml:space="preserve"> </w:t>
      </w:r>
      <w:r w:rsidRPr="002029AF">
        <w:t>incurred</w:t>
      </w:r>
      <w:r w:rsidR="000A5329" w:rsidRPr="002029AF">
        <w:t xml:space="preserve"> </w:t>
      </w:r>
      <w:r w:rsidRPr="002029AF">
        <w:t>(described</w:t>
      </w:r>
      <w:r w:rsidR="000A5329" w:rsidRPr="002029AF">
        <w:t xml:space="preserve"> </w:t>
      </w:r>
      <w:r w:rsidRPr="002029AF">
        <w:t>in</w:t>
      </w:r>
      <w:r w:rsidR="000A5329" w:rsidRPr="002029AF">
        <w:t xml:space="preserve"> </w:t>
      </w:r>
      <w:r w:rsidRPr="002029AF">
        <w:t>section</w:t>
      </w:r>
      <w:r w:rsidR="000A5329" w:rsidRPr="002029AF">
        <w:t xml:space="preserve"> </w:t>
      </w:r>
      <w:r w:rsidRPr="002029AF">
        <w:t>3</w:t>
      </w:r>
      <w:r w:rsidR="000A5329" w:rsidRPr="002029AF">
        <w:t xml:space="preserve"> </w:t>
      </w:r>
      <w:r w:rsidRPr="002029AF">
        <w:t>‘The</w:t>
      </w:r>
      <w:r w:rsidR="000A5329" w:rsidRPr="002029AF">
        <w:t xml:space="preserve"> </w:t>
      </w:r>
      <w:r w:rsidRPr="002029AF">
        <w:t>cost</w:t>
      </w:r>
      <w:r w:rsidR="000A5329" w:rsidRPr="002029AF">
        <w:t xml:space="preserve"> </w:t>
      </w:r>
      <w:r w:rsidRPr="002029AF">
        <w:t>of</w:t>
      </w:r>
      <w:r w:rsidR="000A5329" w:rsidRPr="002029AF">
        <w:t xml:space="preserve"> </w:t>
      </w:r>
      <w:r w:rsidRPr="002029AF">
        <w:t>delivering</w:t>
      </w:r>
      <w:r w:rsidR="000A5329" w:rsidRPr="002029AF">
        <w:t xml:space="preserve"> </w:t>
      </w:r>
      <w:r w:rsidRPr="002029AF">
        <w:t>services’)</w:t>
      </w:r>
      <w:r w:rsidR="000A5329" w:rsidRPr="002029AF">
        <w:t xml:space="preserve"> </w:t>
      </w:r>
      <w:r w:rsidRPr="002029AF">
        <w:t>also</w:t>
      </w:r>
      <w:r w:rsidR="000A5329" w:rsidRPr="002029AF">
        <w:t xml:space="preserve"> </w:t>
      </w:r>
      <w:r w:rsidRPr="002029AF">
        <w:t>by</w:t>
      </w:r>
      <w:r w:rsidR="000A5329" w:rsidRPr="002029AF">
        <w:t xml:space="preserve"> </w:t>
      </w:r>
      <w:r w:rsidRPr="002029AF">
        <w:t>output,</w:t>
      </w:r>
      <w:r w:rsidR="000A5329" w:rsidRPr="002029AF">
        <w:t xml:space="preserve"> </w:t>
      </w:r>
      <w:r w:rsidRPr="002029AF">
        <w:t>which</w:t>
      </w:r>
      <w:r w:rsidR="000A5329" w:rsidRPr="002029AF">
        <w:t xml:space="preserve"> </w:t>
      </w:r>
      <w:r w:rsidRPr="002029AF">
        <w:t>form</w:t>
      </w:r>
      <w:r w:rsidR="000A5329" w:rsidRPr="002029AF">
        <w:t xml:space="preserve"> </w:t>
      </w:r>
      <w:r w:rsidRPr="002029AF">
        <w:t>part</w:t>
      </w:r>
      <w:r w:rsidR="000A5329" w:rsidRPr="002029AF">
        <w:t xml:space="preserve"> </w:t>
      </w:r>
      <w:r w:rsidRPr="002029AF">
        <w:t>of</w:t>
      </w:r>
      <w:r w:rsidR="000A5329" w:rsidRPr="002029AF">
        <w:t xml:space="preserve"> </w:t>
      </w:r>
      <w:r w:rsidRPr="002029AF">
        <w:t>controlled</w:t>
      </w:r>
      <w:r w:rsidR="000A5329" w:rsidRPr="002029AF">
        <w:t xml:space="preserve"> </w:t>
      </w:r>
      <w:r w:rsidRPr="002029AF">
        <w:t>balances</w:t>
      </w:r>
      <w:r w:rsidR="000A5329" w:rsidRPr="002029AF">
        <w:t xml:space="preserve"> </w:t>
      </w:r>
      <w:r w:rsidRPr="002029AF">
        <w:t>of</w:t>
      </w:r>
      <w:r w:rsidR="000A5329" w:rsidRPr="002029AF">
        <w:t xml:space="preserve"> </w:t>
      </w:r>
      <w:r w:rsidRPr="002029AF">
        <w:t>the</w:t>
      </w:r>
      <w:r w:rsidR="000A5329" w:rsidRPr="002029AF">
        <w:t xml:space="preserve"> </w:t>
      </w:r>
      <w:r w:rsidRPr="002029AF">
        <w:t>department.</w:t>
      </w:r>
    </w:p>
    <w:p w14:paraId="31D373E5" w14:textId="32141196" w:rsidR="00087B91" w:rsidRPr="002029AF" w:rsidRDefault="00087B91" w:rsidP="00087B91">
      <w:pPr>
        <w:pStyle w:val="ARfinbody"/>
      </w:pPr>
      <w:r w:rsidRPr="002029AF">
        <w:t>It</w:t>
      </w:r>
      <w:r w:rsidR="000A5329" w:rsidRPr="002029AF">
        <w:t xml:space="preserve"> </w:t>
      </w:r>
      <w:r w:rsidRPr="002029AF">
        <w:t>also</w:t>
      </w:r>
      <w:r w:rsidR="000A5329" w:rsidRPr="002029AF">
        <w:t xml:space="preserve"> </w:t>
      </w:r>
      <w:r w:rsidRPr="002029AF">
        <w:t>provides</w:t>
      </w:r>
      <w:r w:rsidR="000A5329" w:rsidRPr="002029AF">
        <w:t xml:space="preserve"> </w:t>
      </w:r>
      <w:r w:rsidRPr="002029AF">
        <w:t>information</w:t>
      </w:r>
      <w:r w:rsidR="000A5329" w:rsidRPr="002029AF">
        <w:t xml:space="preserve"> </w:t>
      </w:r>
      <w:r w:rsidRPr="002029AF">
        <w:t>on</w:t>
      </w:r>
      <w:r w:rsidR="000A5329" w:rsidRPr="002029AF">
        <w:t xml:space="preserve"> </w:t>
      </w:r>
      <w:r w:rsidRPr="002029AF">
        <w:t>items</w:t>
      </w:r>
      <w:r w:rsidR="000A5329" w:rsidRPr="002029AF">
        <w:t xml:space="preserve"> </w:t>
      </w:r>
      <w:r w:rsidRPr="002029AF">
        <w:t>administered</w:t>
      </w:r>
      <w:r w:rsidR="000A5329" w:rsidRPr="002029AF">
        <w:t xml:space="preserve"> </w:t>
      </w:r>
      <w:r w:rsidRPr="002029AF">
        <w:t>in</w:t>
      </w:r>
      <w:r w:rsidR="000A5329" w:rsidRPr="002029AF">
        <w:t xml:space="preserve"> </w:t>
      </w:r>
      <w:r w:rsidRPr="002029AF">
        <w:t>connection</w:t>
      </w:r>
      <w:r w:rsidR="000A5329" w:rsidRPr="002029AF">
        <w:t xml:space="preserve"> </w:t>
      </w:r>
      <w:r w:rsidRPr="002029AF">
        <w:t>with</w:t>
      </w:r>
      <w:r w:rsidR="000A5329" w:rsidRPr="002029AF">
        <w:t xml:space="preserve"> </w:t>
      </w:r>
      <w:r w:rsidRPr="002029AF">
        <w:t>these</w:t>
      </w:r>
      <w:r w:rsidR="000A5329" w:rsidRPr="002029AF">
        <w:t xml:space="preserve"> </w:t>
      </w:r>
      <w:r w:rsidRPr="002029AF">
        <w:t>outputs.</w:t>
      </w:r>
    </w:p>
    <w:p w14:paraId="1811DF73" w14:textId="6C8BBD3A" w:rsidR="00087B91" w:rsidRPr="002029AF" w:rsidRDefault="00087B91" w:rsidP="00087B91">
      <w:pPr>
        <w:pStyle w:val="ARfinbody"/>
      </w:pPr>
      <w:r w:rsidRPr="002029AF">
        <w:t>Judgement</w:t>
      </w:r>
      <w:r w:rsidR="000A5329" w:rsidRPr="002029AF">
        <w:t xml:space="preserve"> </w:t>
      </w:r>
      <w:r w:rsidRPr="002029AF">
        <w:t>is</w:t>
      </w:r>
      <w:r w:rsidR="000A5329" w:rsidRPr="002029AF">
        <w:t xml:space="preserve"> </w:t>
      </w:r>
      <w:r w:rsidRPr="002029AF">
        <w:t>required</w:t>
      </w:r>
      <w:r w:rsidR="000A5329" w:rsidRPr="002029AF">
        <w:t xml:space="preserve"> </w:t>
      </w:r>
      <w:r w:rsidRPr="002029AF">
        <w:t>in</w:t>
      </w:r>
      <w:r w:rsidR="000A5329" w:rsidRPr="002029AF">
        <w:t xml:space="preserve"> </w:t>
      </w:r>
      <w:r w:rsidRPr="002029AF">
        <w:t>allocating</w:t>
      </w:r>
      <w:r w:rsidR="000A5329" w:rsidRPr="002029AF">
        <w:t xml:space="preserve"> </w:t>
      </w:r>
      <w:r w:rsidRPr="002029AF">
        <w:t>income</w:t>
      </w:r>
      <w:r w:rsidR="000A5329" w:rsidRPr="002029AF">
        <w:t xml:space="preserve"> </w:t>
      </w:r>
      <w:r w:rsidRPr="002029AF">
        <w:t>and</w:t>
      </w:r>
      <w:r w:rsidR="000A5329" w:rsidRPr="002029AF">
        <w:t xml:space="preserve"> </w:t>
      </w:r>
      <w:r w:rsidRPr="002029AF">
        <w:t>expenditure</w:t>
      </w:r>
      <w:r w:rsidR="000A5329" w:rsidRPr="002029AF">
        <w:t xml:space="preserve"> </w:t>
      </w:r>
      <w:r w:rsidRPr="002029AF">
        <w:t>to</w:t>
      </w:r>
      <w:r w:rsidR="000A5329" w:rsidRPr="002029AF">
        <w:t xml:space="preserve"> </w:t>
      </w:r>
      <w:r w:rsidRPr="002029AF">
        <w:t>specific</w:t>
      </w:r>
      <w:r w:rsidR="000A5329" w:rsidRPr="002029AF">
        <w:t xml:space="preserve"> </w:t>
      </w:r>
      <w:r w:rsidRPr="002029AF">
        <w:t>outputs.</w:t>
      </w:r>
      <w:r w:rsidR="000A5329" w:rsidRPr="002029AF">
        <w:t xml:space="preserve"> </w:t>
      </w:r>
      <w:r w:rsidRPr="002029AF">
        <w:t>For</w:t>
      </w:r>
      <w:r w:rsidR="000A5329" w:rsidRPr="002029AF">
        <w:t xml:space="preserve"> </w:t>
      </w:r>
      <w:r w:rsidRPr="002029AF">
        <w:t>the</w:t>
      </w:r>
      <w:r w:rsidR="000A5329" w:rsidRPr="002029AF">
        <w:t xml:space="preserve"> </w:t>
      </w:r>
      <w:r w:rsidRPr="002029AF">
        <w:t>period</w:t>
      </w:r>
      <w:r w:rsidR="000A5329" w:rsidRPr="002029AF">
        <w:t xml:space="preserve"> </w:t>
      </w:r>
      <w:r w:rsidRPr="002029AF">
        <w:t>under</w:t>
      </w:r>
      <w:r w:rsidR="000A5329" w:rsidRPr="002029AF">
        <w:t xml:space="preserve"> </w:t>
      </w:r>
      <w:r w:rsidRPr="002029AF">
        <w:t>review</w:t>
      </w:r>
      <w:r w:rsidR="000A5329" w:rsidRPr="002029AF">
        <w:t xml:space="preserve"> </w:t>
      </w:r>
      <w:r w:rsidRPr="002029AF">
        <w:t>there</w:t>
      </w:r>
      <w:r w:rsidR="000A5329" w:rsidRPr="002029AF">
        <w:t xml:space="preserve"> </w:t>
      </w:r>
      <w:r w:rsidRPr="002029AF">
        <w:t>were</w:t>
      </w:r>
      <w:r w:rsidR="000A5329" w:rsidRPr="002029AF">
        <w:t xml:space="preserve"> </w:t>
      </w:r>
      <w:r w:rsidRPr="002029AF">
        <w:t>no</w:t>
      </w:r>
      <w:r w:rsidR="000A5329" w:rsidRPr="002029AF">
        <w:t xml:space="preserve"> </w:t>
      </w:r>
      <w:r w:rsidRPr="002029AF">
        <w:t>amounts</w:t>
      </w:r>
      <w:r w:rsidR="000A5329" w:rsidRPr="002029AF">
        <w:t xml:space="preserve"> </w:t>
      </w:r>
      <w:r w:rsidRPr="002029AF">
        <w:t>unallocated.</w:t>
      </w:r>
    </w:p>
    <w:p w14:paraId="00B60EA8" w14:textId="45982A85" w:rsidR="00087B91" w:rsidRPr="002029AF" w:rsidRDefault="00087B91" w:rsidP="00087B91">
      <w:pPr>
        <w:pStyle w:val="ARfinbody"/>
      </w:pPr>
      <w:r w:rsidRPr="002029AF">
        <w:t>The</w:t>
      </w:r>
      <w:r w:rsidR="000A5329" w:rsidRPr="002029AF">
        <w:t xml:space="preserve"> </w:t>
      </w:r>
      <w:r w:rsidRPr="002029AF">
        <w:t>distinction</w:t>
      </w:r>
      <w:r w:rsidR="000A5329" w:rsidRPr="002029AF">
        <w:t xml:space="preserve"> </w:t>
      </w:r>
      <w:r w:rsidRPr="002029AF">
        <w:t>between</w:t>
      </w:r>
      <w:r w:rsidR="000A5329" w:rsidRPr="002029AF">
        <w:t xml:space="preserve"> </w:t>
      </w:r>
      <w:r w:rsidRPr="002029AF">
        <w:t>controlled</w:t>
      </w:r>
      <w:r w:rsidR="000A5329" w:rsidRPr="002029AF">
        <w:t xml:space="preserve"> </w:t>
      </w:r>
      <w:r w:rsidRPr="002029AF">
        <w:t>and</w:t>
      </w:r>
      <w:r w:rsidR="000A5329" w:rsidRPr="002029AF">
        <w:t xml:space="preserve"> </w:t>
      </w:r>
      <w:r w:rsidRPr="002029AF">
        <w:t>administered</w:t>
      </w:r>
      <w:r w:rsidR="000A5329" w:rsidRPr="002029AF">
        <w:t xml:space="preserve"> </w:t>
      </w:r>
      <w:r w:rsidRPr="002029AF">
        <w:t>items</w:t>
      </w:r>
      <w:r w:rsidR="000A5329" w:rsidRPr="002029AF">
        <w:t xml:space="preserve"> </w:t>
      </w:r>
      <w:r w:rsidRPr="002029AF">
        <w:t>is</w:t>
      </w:r>
      <w:r w:rsidR="000A5329" w:rsidRPr="002029AF">
        <w:t xml:space="preserve"> </w:t>
      </w:r>
      <w:r w:rsidRPr="002029AF">
        <w:t>drawn</w:t>
      </w:r>
      <w:r w:rsidR="000A5329" w:rsidRPr="002029AF">
        <w:t xml:space="preserve"> </w:t>
      </w:r>
      <w:r w:rsidRPr="002029AF">
        <w:t>based</w:t>
      </w:r>
      <w:r w:rsidR="000A5329" w:rsidRPr="002029AF">
        <w:t xml:space="preserve"> </w:t>
      </w:r>
      <w:r w:rsidRPr="002029AF">
        <w:t>on</w:t>
      </w:r>
      <w:r w:rsidR="000A5329" w:rsidRPr="002029AF">
        <w:t xml:space="preserve"> </w:t>
      </w:r>
      <w:r w:rsidRPr="002029AF">
        <w:t>whether</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the</w:t>
      </w:r>
      <w:r w:rsidR="000A5329" w:rsidRPr="002029AF">
        <w:t xml:space="preserve"> </w:t>
      </w:r>
      <w:r w:rsidRPr="002029AF">
        <w:t>ability</w:t>
      </w:r>
      <w:r w:rsidR="000A5329" w:rsidRPr="002029AF">
        <w:t xml:space="preserve"> </w:t>
      </w:r>
      <w:r w:rsidRPr="002029AF">
        <w:t>to</w:t>
      </w:r>
      <w:r w:rsidR="000A5329" w:rsidRPr="002029AF">
        <w:t xml:space="preserve"> </w:t>
      </w:r>
      <w:r w:rsidRPr="002029AF">
        <w:t>deploy</w:t>
      </w:r>
      <w:r w:rsidR="000A5329" w:rsidRPr="002029AF">
        <w:t xml:space="preserve"> </w:t>
      </w:r>
      <w:r w:rsidRPr="002029AF">
        <w:t>the</w:t>
      </w:r>
      <w:r w:rsidR="000A5329" w:rsidRPr="002029AF">
        <w:t xml:space="preserve"> </w:t>
      </w:r>
      <w:r w:rsidRPr="002029AF">
        <w:t>resources</w:t>
      </w:r>
      <w:r w:rsidR="000A5329" w:rsidRPr="002029AF">
        <w:t xml:space="preserve"> </w:t>
      </w:r>
      <w:r w:rsidRPr="002029AF">
        <w:t>in</w:t>
      </w:r>
      <w:r w:rsidR="000A5329" w:rsidRPr="002029AF">
        <w:t xml:space="preserve"> </w:t>
      </w:r>
      <w:r w:rsidRPr="002029AF">
        <w:t>question</w:t>
      </w:r>
      <w:r w:rsidR="000A5329" w:rsidRPr="002029AF">
        <w:t xml:space="preserve"> </w:t>
      </w:r>
      <w:r w:rsidRPr="002029AF">
        <w:t>for</w:t>
      </w:r>
      <w:r w:rsidR="000A5329" w:rsidRPr="002029AF">
        <w:t xml:space="preserve"> </w:t>
      </w:r>
      <w:r w:rsidRPr="002029AF">
        <w:t>its</w:t>
      </w:r>
      <w:r w:rsidR="000A5329" w:rsidRPr="002029AF">
        <w:t xml:space="preserve"> </w:t>
      </w:r>
      <w:r w:rsidRPr="002029AF">
        <w:t>own</w:t>
      </w:r>
      <w:r w:rsidR="000A5329" w:rsidRPr="002029AF">
        <w:t xml:space="preserve"> </w:t>
      </w:r>
      <w:r w:rsidRPr="002029AF">
        <w:t>benefit</w:t>
      </w:r>
      <w:r w:rsidR="000A5329" w:rsidRPr="002029AF">
        <w:t xml:space="preserve"> </w:t>
      </w:r>
      <w:r w:rsidRPr="002029AF">
        <w:t>(controlled</w:t>
      </w:r>
      <w:r w:rsidR="000A5329" w:rsidRPr="002029AF">
        <w:t xml:space="preserve"> </w:t>
      </w:r>
      <w:r w:rsidRPr="002029AF">
        <w:t>items)</w:t>
      </w:r>
      <w:r w:rsidR="000A5329" w:rsidRPr="002029AF">
        <w:t xml:space="preserve"> </w:t>
      </w:r>
      <w:r w:rsidRPr="002029AF">
        <w:t>or</w:t>
      </w:r>
      <w:r w:rsidR="000A5329" w:rsidRPr="002029AF">
        <w:t xml:space="preserve"> </w:t>
      </w:r>
      <w:r w:rsidRPr="002029AF">
        <w:t>whether</w:t>
      </w:r>
      <w:r w:rsidR="000A5329" w:rsidRPr="002029AF">
        <w:t xml:space="preserve"> </w:t>
      </w:r>
      <w:r w:rsidRPr="002029AF">
        <w:t>it</w:t>
      </w:r>
      <w:r w:rsidR="000A5329" w:rsidRPr="002029AF">
        <w:t xml:space="preserve"> </w:t>
      </w:r>
      <w:r w:rsidRPr="002029AF">
        <w:t>does</w:t>
      </w:r>
      <w:r w:rsidR="000A5329" w:rsidRPr="002029AF">
        <w:t xml:space="preserve"> </w:t>
      </w:r>
      <w:r w:rsidRPr="002029AF">
        <w:t>so</w:t>
      </w:r>
      <w:r w:rsidR="000A5329" w:rsidRPr="002029AF">
        <w:t xml:space="preserve"> </w:t>
      </w:r>
      <w:r w:rsidRPr="002029AF">
        <w:t>on</w:t>
      </w:r>
      <w:r w:rsidR="000A5329" w:rsidRPr="002029AF">
        <w:t xml:space="preserve"> </w:t>
      </w:r>
      <w:r w:rsidRPr="002029AF">
        <w:t>behalf</w:t>
      </w:r>
      <w:r w:rsidR="000A5329" w:rsidRPr="002029AF">
        <w:t xml:space="preserve"> </w:t>
      </w:r>
      <w:r w:rsidRPr="002029AF">
        <w:t>of</w:t>
      </w:r>
      <w:r w:rsidR="000A5329" w:rsidRPr="002029AF">
        <w:t xml:space="preserve"> </w:t>
      </w:r>
      <w:r w:rsidRPr="002029AF">
        <w:t>the</w:t>
      </w:r>
      <w:r w:rsidR="000A5329" w:rsidRPr="002029AF">
        <w:t xml:space="preserve"> </w:t>
      </w:r>
      <w:r w:rsidRPr="002029AF">
        <w:t>state</w:t>
      </w:r>
      <w:r w:rsidR="000A5329" w:rsidRPr="002029AF">
        <w:t xml:space="preserve"> </w:t>
      </w:r>
      <w:r w:rsidRPr="002029AF">
        <w:t>(administered).</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remains</w:t>
      </w:r>
      <w:r w:rsidR="000A5329" w:rsidRPr="002029AF">
        <w:t xml:space="preserve"> </w:t>
      </w:r>
      <w:r w:rsidRPr="002029AF">
        <w:t>accountable</w:t>
      </w:r>
      <w:r w:rsidR="000A5329" w:rsidRPr="002029AF">
        <w:t xml:space="preserve"> </w:t>
      </w:r>
      <w:r w:rsidRPr="002029AF">
        <w:t>for</w:t>
      </w:r>
      <w:r w:rsidR="000A5329" w:rsidRPr="002029AF">
        <w:t xml:space="preserve"> </w:t>
      </w:r>
      <w:r w:rsidRPr="002029AF">
        <w:t>transactions</w:t>
      </w:r>
      <w:r w:rsidR="000A5329" w:rsidRPr="002029AF">
        <w:t xml:space="preserve"> </w:t>
      </w:r>
      <w:r w:rsidRPr="002029AF">
        <w:t>involving</w:t>
      </w:r>
      <w:r w:rsidR="000A5329" w:rsidRPr="002029AF">
        <w:t xml:space="preserve"> </w:t>
      </w:r>
      <w:r w:rsidRPr="002029AF">
        <w:t>administered</w:t>
      </w:r>
      <w:r w:rsidR="000A5329" w:rsidRPr="002029AF">
        <w:t xml:space="preserve"> </w:t>
      </w:r>
      <w:r w:rsidRPr="002029AF">
        <w:t>items,</w:t>
      </w:r>
      <w:r w:rsidR="000A5329" w:rsidRPr="002029AF">
        <w:t xml:space="preserve"> </w:t>
      </w:r>
      <w:r w:rsidRPr="002029AF">
        <w:t>but</w:t>
      </w:r>
      <w:r w:rsidR="000A5329" w:rsidRPr="002029AF">
        <w:t xml:space="preserve"> </w:t>
      </w:r>
      <w:r w:rsidRPr="002029AF">
        <w:t>it</w:t>
      </w:r>
      <w:r w:rsidR="000A5329" w:rsidRPr="002029AF">
        <w:t xml:space="preserve"> </w:t>
      </w:r>
      <w:r w:rsidRPr="002029AF">
        <w:t>does</w:t>
      </w:r>
      <w:r w:rsidR="000A5329" w:rsidRPr="002029AF">
        <w:t xml:space="preserve"> </w:t>
      </w:r>
      <w:r w:rsidRPr="002029AF">
        <w:t>not</w:t>
      </w:r>
      <w:r w:rsidR="000A5329" w:rsidRPr="002029AF">
        <w:t xml:space="preserve"> </w:t>
      </w:r>
      <w:r w:rsidRPr="002029AF">
        <w:t>recognise</w:t>
      </w:r>
      <w:r w:rsidR="000A5329" w:rsidRPr="002029AF">
        <w:t xml:space="preserve"> </w:t>
      </w:r>
      <w:r w:rsidRPr="002029AF">
        <w:t>these</w:t>
      </w:r>
      <w:r w:rsidR="000A5329" w:rsidRPr="002029AF">
        <w:t xml:space="preserve"> </w:t>
      </w:r>
      <w:r w:rsidRPr="002029AF">
        <w:t>items</w:t>
      </w:r>
      <w:r w:rsidR="000A5329" w:rsidRPr="002029AF">
        <w:t xml:space="preserve"> </w:t>
      </w:r>
      <w:r w:rsidRPr="002029AF">
        <w:t>in</w:t>
      </w:r>
      <w:r w:rsidR="000A5329" w:rsidRPr="002029AF">
        <w:t xml:space="preserve"> </w:t>
      </w:r>
      <w:r w:rsidRPr="002029AF">
        <w:t>its</w:t>
      </w:r>
      <w:r w:rsidR="000A5329" w:rsidRPr="002029AF">
        <w:t xml:space="preserve"> </w:t>
      </w:r>
      <w:r w:rsidRPr="002029AF">
        <w:t>financial</w:t>
      </w:r>
      <w:r w:rsidR="000A5329" w:rsidRPr="002029AF">
        <w:t xml:space="preserve"> </w:t>
      </w:r>
      <w:r w:rsidRPr="002029AF">
        <w:t>statements.</w:t>
      </w:r>
    </w:p>
    <w:p w14:paraId="635CE845" w14:textId="77777777" w:rsidR="00087B91" w:rsidRPr="002029AF" w:rsidRDefault="00087B91" w:rsidP="00087B91">
      <w:pPr>
        <w:pStyle w:val="Heading4"/>
      </w:pPr>
      <w:r w:rsidRPr="002029AF">
        <w:t>Structure</w:t>
      </w:r>
    </w:p>
    <w:p w14:paraId="7E478378" w14:textId="27655857" w:rsidR="00087B91" w:rsidRPr="002029AF" w:rsidRDefault="00087B91" w:rsidP="00087B91">
      <w:pPr>
        <w:pStyle w:val="ARfinstructure1"/>
      </w:pPr>
      <w:r w:rsidRPr="002029AF">
        <w:t>4.1</w:t>
      </w:r>
      <w:r w:rsidRPr="002029AF">
        <w:tab/>
        <w:t>Departmental</w:t>
      </w:r>
      <w:r w:rsidR="000A5329" w:rsidRPr="002029AF">
        <w:t xml:space="preserve"> </w:t>
      </w:r>
      <w:r w:rsidRPr="002029AF">
        <w:t>outputs</w:t>
      </w:r>
    </w:p>
    <w:p w14:paraId="188B872F" w14:textId="6B0F3D61" w:rsidR="00087B91" w:rsidRPr="002029AF" w:rsidRDefault="00087B91" w:rsidP="00961519">
      <w:pPr>
        <w:pStyle w:val="ARfinstructure2"/>
        <w:ind w:left="720"/>
      </w:pPr>
      <w:r w:rsidRPr="002029AF">
        <w:t>4.1.1</w:t>
      </w:r>
      <w:r w:rsidRPr="002029AF">
        <w:tab/>
        <w:t>Departmental</w:t>
      </w:r>
      <w:r w:rsidR="000A5329" w:rsidRPr="002029AF">
        <w:t xml:space="preserve"> </w:t>
      </w:r>
      <w:r w:rsidRPr="002029AF">
        <w:t>outputs</w:t>
      </w:r>
      <w:r w:rsidR="000A5329" w:rsidRPr="002029AF">
        <w:t xml:space="preserve"> </w:t>
      </w:r>
      <w:r w:rsidRPr="002029AF">
        <w:t>–</w:t>
      </w:r>
      <w:r w:rsidR="000A5329" w:rsidRPr="002029AF">
        <w:t xml:space="preserve"> </w:t>
      </w:r>
      <w:r w:rsidRPr="002029AF">
        <w:t>Descriptions</w:t>
      </w:r>
      <w:r w:rsidR="000A5329" w:rsidRPr="002029AF">
        <w:t xml:space="preserve"> </w:t>
      </w:r>
      <w:r w:rsidRPr="002029AF">
        <w:t>and</w:t>
      </w:r>
      <w:r w:rsidR="000A5329" w:rsidRPr="002029AF">
        <w:t xml:space="preserve"> </w:t>
      </w:r>
      <w:r w:rsidRPr="002029AF">
        <w:t>objectives</w:t>
      </w:r>
    </w:p>
    <w:p w14:paraId="3BCDE1D4" w14:textId="0ECBECFC" w:rsidR="00087B91" w:rsidRPr="002029AF" w:rsidRDefault="00087B91" w:rsidP="00961519">
      <w:pPr>
        <w:pStyle w:val="ARfinstructure2"/>
        <w:ind w:left="720"/>
      </w:pPr>
      <w:r w:rsidRPr="002029AF">
        <w:t>4.1.2</w:t>
      </w:r>
      <w:r w:rsidRPr="002029AF">
        <w:tab/>
        <w:t>Departmental</w:t>
      </w:r>
      <w:r w:rsidR="000A5329" w:rsidRPr="002029AF">
        <w:t xml:space="preserve"> </w:t>
      </w:r>
      <w:r w:rsidRPr="002029AF">
        <w:t>outputs</w:t>
      </w:r>
      <w:r w:rsidR="000A5329" w:rsidRPr="002029AF">
        <w:t xml:space="preserve"> </w:t>
      </w:r>
      <w:r w:rsidRPr="002029AF">
        <w:t>–</w:t>
      </w:r>
      <w:r w:rsidR="000A5329" w:rsidRPr="002029AF">
        <w:t xml:space="preserve"> </w:t>
      </w:r>
      <w:r w:rsidRPr="002029AF">
        <w:t>Controlled</w:t>
      </w:r>
      <w:r w:rsidR="000A5329" w:rsidRPr="002029AF">
        <w:t xml:space="preserve"> </w:t>
      </w:r>
      <w:r w:rsidRPr="002029AF">
        <w:t>income</w:t>
      </w:r>
      <w:r w:rsidR="000A5329" w:rsidRPr="002029AF">
        <w:t xml:space="preserve"> </w:t>
      </w:r>
      <w:r w:rsidRPr="002029AF">
        <w:t>and</w:t>
      </w:r>
      <w:r w:rsidR="000A5329" w:rsidRPr="002029AF">
        <w:t xml:space="preserve"> </w:t>
      </w:r>
      <w:r w:rsidRPr="002029AF">
        <w:t>expenses</w:t>
      </w:r>
    </w:p>
    <w:p w14:paraId="645D4DFE" w14:textId="726F94DA" w:rsidR="00087B91" w:rsidRPr="002029AF" w:rsidRDefault="00087B91" w:rsidP="00087B91">
      <w:pPr>
        <w:pStyle w:val="ARfinstructure1"/>
      </w:pPr>
      <w:r w:rsidRPr="002029AF">
        <w:t>4.2</w:t>
      </w:r>
      <w:r w:rsidRPr="002029AF">
        <w:tab/>
        <w:t>Administered</w:t>
      </w:r>
      <w:r w:rsidR="000A5329" w:rsidRPr="002029AF">
        <w:t xml:space="preserve"> </w:t>
      </w:r>
      <w:r w:rsidRPr="002029AF">
        <w:t>(non-controlled)</w:t>
      </w:r>
      <w:r w:rsidR="000A5329" w:rsidRPr="002029AF">
        <w:t xml:space="preserve"> </w:t>
      </w:r>
      <w:r w:rsidRPr="002029AF">
        <w:t>items</w:t>
      </w:r>
    </w:p>
    <w:p w14:paraId="6A85EA27" w14:textId="6E6695BE" w:rsidR="00087B91" w:rsidRPr="002029AF" w:rsidRDefault="00087B91" w:rsidP="00961519">
      <w:pPr>
        <w:pStyle w:val="ARfinstructure2"/>
        <w:ind w:left="720"/>
      </w:pPr>
      <w:r w:rsidRPr="002029AF">
        <w:t>4.2.1</w:t>
      </w:r>
      <w:r w:rsidRPr="002029AF">
        <w:tab/>
        <w:t>Administered</w:t>
      </w:r>
      <w:r w:rsidR="000A5329" w:rsidRPr="002029AF">
        <w:t xml:space="preserve"> </w:t>
      </w:r>
      <w:r w:rsidRPr="002029AF">
        <w:t>income</w:t>
      </w:r>
      <w:r w:rsidR="000A5329" w:rsidRPr="002029AF">
        <w:t xml:space="preserve"> </w:t>
      </w:r>
      <w:r w:rsidRPr="002029AF">
        <w:t>and</w:t>
      </w:r>
      <w:r w:rsidR="000A5329" w:rsidRPr="002029AF">
        <w:t xml:space="preserve"> </w:t>
      </w:r>
      <w:r w:rsidRPr="002029AF">
        <w:t>expenses</w:t>
      </w:r>
    </w:p>
    <w:p w14:paraId="2E74D50D" w14:textId="027C5F90" w:rsidR="00087B91" w:rsidRPr="002029AF" w:rsidRDefault="00087B91" w:rsidP="00961519">
      <w:pPr>
        <w:pStyle w:val="ARfinstructure2"/>
        <w:ind w:left="720"/>
      </w:pPr>
      <w:r w:rsidRPr="002029AF">
        <w:t>4.2.2</w:t>
      </w:r>
      <w:r w:rsidRPr="002029AF">
        <w:tab/>
        <w:t>Administered</w:t>
      </w:r>
      <w:r w:rsidR="000A5329" w:rsidRPr="002029AF">
        <w:t xml:space="preserve"> </w:t>
      </w:r>
      <w:r w:rsidRPr="002029AF">
        <w:t>assets</w:t>
      </w:r>
      <w:r w:rsidR="000A5329" w:rsidRPr="002029AF">
        <w:t xml:space="preserve"> </w:t>
      </w:r>
      <w:r w:rsidRPr="002029AF">
        <w:t>and</w:t>
      </w:r>
      <w:r w:rsidR="000A5329" w:rsidRPr="002029AF">
        <w:t xml:space="preserve"> </w:t>
      </w:r>
      <w:r w:rsidRPr="002029AF">
        <w:t>liabilities</w:t>
      </w:r>
    </w:p>
    <w:p w14:paraId="531E295D" w14:textId="3B6ACB49" w:rsidR="00087B91" w:rsidRPr="002029AF" w:rsidRDefault="00087B91" w:rsidP="00961519">
      <w:pPr>
        <w:pStyle w:val="ARfinstructure2"/>
        <w:ind w:left="720"/>
      </w:pPr>
      <w:r w:rsidRPr="002029AF">
        <w:t>4.2.3</w:t>
      </w:r>
      <w:r w:rsidRPr="002029AF">
        <w:tab/>
        <w:t>Administered</w:t>
      </w:r>
      <w:r w:rsidR="000A5329" w:rsidRPr="002029AF">
        <w:t xml:space="preserve"> </w:t>
      </w:r>
      <w:r w:rsidRPr="002029AF">
        <w:t>grants</w:t>
      </w:r>
      <w:r w:rsidR="000A5329" w:rsidRPr="002029AF">
        <w:t xml:space="preserve"> </w:t>
      </w:r>
      <w:r w:rsidRPr="002029AF">
        <w:t>and</w:t>
      </w:r>
      <w:r w:rsidR="000A5329" w:rsidRPr="002029AF">
        <w:t xml:space="preserve"> </w:t>
      </w:r>
      <w:r w:rsidRPr="002029AF">
        <w:t>other</w:t>
      </w:r>
      <w:r w:rsidR="000A5329" w:rsidRPr="002029AF">
        <w:t xml:space="preserve"> </w:t>
      </w:r>
      <w:r w:rsidRPr="002029AF">
        <w:t>expense</w:t>
      </w:r>
      <w:r w:rsidR="000A5329" w:rsidRPr="002029AF">
        <w:t xml:space="preserve"> </w:t>
      </w:r>
      <w:r w:rsidRPr="002029AF">
        <w:t>transfers</w:t>
      </w:r>
    </w:p>
    <w:p w14:paraId="4725C63A" w14:textId="4FD13A45" w:rsidR="00087B91" w:rsidRPr="002029AF" w:rsidRDefault="00087B91" w:rsidP="00087B91">
      <w:pPr>
        <w:pStyle w:val="ARfinstructure1"/>
        <w:rPr>
          <w:b/>
          <w:bCs/>
        </w:rPr>
      </w:pPr>
      <w:r w:rsidRPr="002029AF">
        <w:t>4.3</w:t>
      </w:r>
      <w:r w:rsidRPr="002029AF">
        <w:tab/>
        <w:t>Restructuring</w:t>
      </w:r>
      <w:r w:rsidR="000A5329" w:rsidRPr="002029AF">
        <w:t xml:space="preserve"> </w:t>
      </w:r>
      <w:r w:rsidRPr="002029AF">
        <w:t>of</w:t>
      </w:r>
      <w:r w:rsidR="000A5329" w:rsidRPr="002029AF">
        <w:t xml:space="preserve"> </w:t>
      </w:r>
      <w:r w:rsidRPr="002029AF">
        <w:t>administrative</w:t>
      </w:r>
      <w:r w:rsidR="000A5329" w:rsidRPr="002029AF">
        <w:t xml:space="preserve"> </w:t>
      </w:r>
      <w:r w:rsidRPr="002029AF">
        <w:t>arrangements</w:t>
      </w:r>
    </w:p>
    <w:p w14:paraId="0F327910" w14:textId="02F3F524" w:rsidR="00087B91" w:rsidRPr="002029AF" w:rsidRDefault="00087B91" w:rsidP="00087B91">
      <w:pPr>
        <w:pStyle w:val="Heading4"/>
      </w:pPr>
      <w:bookmarkStart w:id="324" w:name="_Toc39136707"/>
      <w:bookmarkStart w:id="325" w:name="_Toc39242140"/>
      <w:r w:rsidRPr="002029AF">
        <w:t>4.1</w:t>
      </w:r>
      <w:r w:rsidR="000A5329" w:rsidRPr="002029AF">
        <w:t xml:space="preserve"> </w:t>
      </w:r>
      <w:r w:rsidRPr="002029AF">
        <w:t>Departmental</w:t>
      </w:r>
      <w:r w:rsidR="000A5329" w:rsidRPr="002029AF">
        <w:t xml:space="preserve"> </w:t>
      </w:r>
      <w:r w:rsidRPr="002029AF">
        <w:t>outputs</w:t>
      </w:r>
      <w:bookmarkEnd w:id="324"/>
      <w:bookmarkEnd w:id="325"/>
    </w:p>
    <w:p w14:paraId="1E5B140F" w14:textId="7CCEB022" w:rsidR="00087B91" w:rsidRPr="002029AF" w:rsidRDefault="00087B91" w:rsidP="00087B91">
      <w:pPr>
        <w:pStyle w:val="Heading5"/>
      </w:pPr>
      <w:bookmarkStart w:id="326" w:name="_Toc39136708"/>
      <w:bookmarkStart w:id="327" w:name="_Ref338146507"/>
      <w:r w:rsidRPr="002029AF">
        <w:t>4.1.1</w:t>
      </w:r>
      <w:r w:rsidR="000A5329" w:rsidRPr="002029AF">
        <w:t xml:space="preserve"> </w:t>
      </w:r>
      <w:r w:rsidRPr="002029AF">
        <w:t>Departmental</w:t>
      </w:r>
      <w:r w:rsidR="000A5329" w:rsidRPr="002029AF">
        <w:t xml:space="preserve"> </w:t>
      </w:r>
      <w:r w:rsidRPr="002029AF">
        <w:t>outputs</w:t>
      </w:r>
      <w:r w:rsidR="000A5329" w:rsidRPr="002029AF">
        <w:t xml:space="preserve"> </w:t>
      </w:r>
      <w:r w:rsidRPr="002029AF">
        <w:t>–</w:t>
      </w:r>
      <w:r w:rsidR="000A5329" w:rsidRPr="002029AF">
        <w:t xml:space="preserve"> </w:t>
      </w:r>
      <w:r w:rsidRPr="002029AF">
        <w:t>Descriptions</w:t>
      </w:r>
      <w:r w:rsidR="000A5329" w:rsidRPr="002029AF">
        <w:t xml:space="preserve"> </w:t>
      </w:r>
      <w:r w:rsidRPr="002029AF">
        <w:t>and</w:t>
      </w:r>
      <w:r w:rsidR="000A5329" w:rsidRPr="002029AF">
        <w:t xml:space="preserve"> </w:t>
      </w:r>
      <w:r w:rsidRPr="002029AF">
        <w:t>objectives</w:t>
      </w:r>
      <w:bookmarkEnd w:id="326"/>
    </w:p>
    <w:p w14:paraId="271D5499" w14:textId="7995FAEE" w:rsidR="00087B91" w:rsidRPr="002029AF" w:rsidRDefault="00087B91" w:rsidP="00087B91">
      <w:pPr>
        <w:pStyle w:val="Heading6"/>
        <w:rPr>
          <w:lang w:val="en-AU"/>
        </w:rPr>
      </w:pPr>
      <w:r w:rsidRPr="002029AF">
        <w:rPr>
          <w:lang w:val="en-AU"/>
        </w:rPr>
        <w:t>Output</w:t>
      </w:r>
      <w:r w:rsidR="000A5329" w:rsidRPr="002029AF">
        <w:rPr>
          <w:lang w:val="en-AU"/>
        </w:rPr>
        <w:t xml:space="preserve"> </w:t>
      </w:r>
      <w:r w:rsidRPr="002029AF">
        <w:rPr>
          <w:lang w:val="en-AU"/>
        </w:rPr>
        <w:t>group</w:t>
      </w:r>
      <w:r w:rsidR="000A5329" w:rsidRPr="002029AF">
        <w:rPr>
          <w:lang w:val="en-AU"/>
        </w:rPr>
        <w:t xml:space="preserve"> </w:t>
      </w:r>
      <w:r w:rsidRPr="002029AF">
        <w:rPr>
          <w:lang w:val="en-AU"/>
        </w:rPr>
        <w:t>1:</w:t>
      </w:r>
      <w:r w:rsidR="000A5329" w:rsidRPr="002029AF">
        <w:rPr>
          <w:lang w:val="en-AU"/>
        </w:rPr>
        <w:t xml:space="preserve"> </w:t>
      </w:r>
      <w:r w:rsidRPr="002029AF">
        <w:rPr>
          <w:lang w:val="en-AU"/>
        </w:rPr>
        <w:t>Acute</w:t>
      </w:r>
      <w:r w:rsidR="000A5329" w:rsidRPr="002029AF">
        <w:rPr>
          <w:lang w:val="en-AU"/>
        </w:rPr>
        <w:t xml:space="preserve"> </w:t>
      </w:r>
      <w:r w:rsidRPr="002029AF">
        <w:rPr>
          <w:lang w:val="en-AU"/>
        </w:rPr>
        <w:t>Health</w:t>
      </w:r>
      <w:r w:rsidR="000A5329" w:rsidRPr="002029AF">
        <w:rPr>
          <w:lang w:val="en-AU"/>
        </w:rPr>
        <w:t xml:space="preserve"> </w:t>
      </w:r>
      <w:r w:rsidRPr="002029AF">
        <w:rPr>
          <w:lang w:val="en-AU"/>
        </w:rPr>
        <w:t>Services</w:t>
      </w:r>
    </w:p>
    <w:p w14:paraId="2B43408F" w14:textId="3500C161" w:rsidR="00087B91" w:rsidRPr="002029AF" w:rsidRDefault="00087B91" w:rsidP="00087B91">
      <w:pPr>
        <w:pStyle w:val="ARfinbody"/>
      </w:pPr>
      <w:r w:rsidRPr="002029AF">
        <w:t>Acute</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output</w:t>
      </w:r>
      <w:r w:rsidR="000A5329" w:rsidRPr="002029AF">
        <w:t xml:space="preserve"> </w:t>
      </w:r>
      <w:r w:rsidRPr="002029AF">
        <w:t>includes</w:t>
      </w:r>
      <w:r w:rsidR="000A5329" w:rsidRPr="002029AF">
        <w:t xml:space="preserve"> </w:t>
      </w:r>
      <w:r w:rsidRPr="002029AF">
        <w:t>a</w:t>
      </w:r>
      <w:r w:rsidR="000A5329" w:rsidRPr="002029AF">
        <w:t xml:space="preserve"> </w:t>
      </w:r>
      <w:r w:rsidRPr="002029AF">
        <w:t>range</w:t>
      </w:r>
      <w:r w:rsidR="000A5329" w:rsidRPr="002029AF">
        <w:t xml:space="preserve"> </w:t>
      </w:r>
      <w:r w:rsidRPr="002029AF">
        <w:t>of</w:t>
      </w:r>
      <w:r w:rsidR="000A5329" w:rsidRPr="002029AF">
        <w:t xml:space="preserve"> </w:t>
      </w:r>
      <w:r w:rsidRPr="002029AF">
        <w:t>timely</w:t>
      </w:r>
      <w:r w:rsidR="000A5329" w:rsidRPr="002029AF">
        <w:t xml:space="preserve"> </w:t>
      </w:r>
      <w:r w:rsidRPr="002029AF">
        <w:t>and</w:t>
      </w:r>
      <w:r w:rsidR="000A5329" w:rsidRPr="002029AF">
        <w:t xml:space="preserve"> </w:t>
      </w:r>
      <w:r w:rsidR="00BE1141" w:rsidRPr="002029AF">
        <w:t>high-quality</w:t>
      </w:r>
      <w:r w:rsidR="000A5329" w:rsidRPr="002029AF">
        <w:t xml:space="preserve"> </w:t>
      </w:r>
      <w:r w:rsidRPr="002029AF">
        <w:t>acute</w:t>
      </w:r>
      <w:r w:rsidR="000A5329" w:rsidRPr="002029AF">
        <w:t xml:space="preserve"> </w:t>
      </w:r>
      <w:r w:rsidRPr="002029AF">
        <w:t>hospital</w:t>
      </w:r>
      <w:r w:rsidR="000A5329" w:rsidRPr="002029AF">
        <w:t xml:space="preserve"> </w:t>
      </w:r>
      <w:r w:rsidRPr="002029AF">
        <w:t>inpatient,</w:t>
      </w:r>
      <w:r w:rsidR="000A5329" w:rsidRPr="002029AF">
        <w:t xml:space="preserve"> </w:t>
      </w:r>
      <w:r w:rsidRPr="002029AF">
        <w:t>ambulatory,</w:t>
      </w:r>
      <w:r w:rsidR="000A5329" w:rsidRPr="002029AF">
        <w:t xml:space="preserve"> </w:t>
      </w:r>
      <w:r w:rsidRPr="002029AF">
        <w:t>emergency,</w:t>
      </w:r>
      <w:r w:rsidR="000A5329" w:rsidRPr="002029AF">
        <w:t xml:space="preserve"> </w:t>
      </w:r>
      <w:r w:rsidRPr="002029AF">
        <w:br/>
        <w:t>community-based</w:t>
      </w:r>
      <w:r w:rsidR="000A5329" w:rsidRPr="002029AF">
        <w:t xml:space="preserve"> </w:t>
      </w:r>
      <w:r w:rsidRPr="002029AF">
        <w:t>and</w:t>
      </w:r>
      <w:r w:rsidR="000A5329" w:rsidRPr="002029AF">
        <w:t xml:space="preserve"> </w:t>
      </w:r>
      <w:r w:rsidRPr="002029AF">
        <w:t>specialist</w:t>
      </w:r>
      <w:r w:rsidR="000A5329" w:rsidRPr="002029AF">
        <w:t xml:space="preserve"> </w:t>
      </w:r>
      <w:r w:rsidRPr="002029AF">
        <w:t>services.</w:t>
      </w:r>
    </w:p>
    <w:p w14:paraId="4E1072A8" w14:textId="6F6A2A00" w:rsidR="00087B91" w:rsidRPr="002029AF" w:rsidRDefault="00087B91" w:rsidP="00087B91">
      <w:pPr>
        <w:pStyle w:val="Heading6"/>
        <w:rPr>
          <w:lang w:val="en-AU"/>
        </w:rPr>
      </w:pPr>
      <w:r w:rsidRPr="002029AF">
        <w:rPr>
          <w:lang w:val="en-AU"/>
        </w:rPr>
        <w:t>Output</w:t>
      </w:r>
      <w:r w:rsidR="000A5329" w:rsidRPr="002029AF">
        <w:rPr>
          <w:lang w:val="en-AU"/>
        </w:rPr>
        <w:t xml:space="preserve"> </w:t>
      </w:r>
      <w:r w:rsidRPr="002029AF">
        <w:rPr>
          <w:lang w:val="en-AU"/>
        </w:rPr>
        <w:t>group</w:t>
      </w:r>
      <w:r w:rsidR="000A5329" w:rsidRPr="002029AF">
        <w:rPr>
          <w:lang w:val="en-AU"/>
        </w:rPr>
        <w:t xml:space="preserve"> </w:t>
      </w:r>
      <w:r w:rsidRPr="002029AF">
        <w:rPr>
          <w:lang w:val="en-AU"/>
        </w:rPr>
        <w:t>2:</w:t>
      </w:r>
      <w:r w:rsidR="000A5329" w:rsidRPr="002029AF">
        <w:rPr>
          <w:lang w:val="en-AU"/>
        </w:rPr>
        <w:t xml:space="preserve"> </w:t>
      </w:r>
      <w:r w:rsidRPr="002029AF">
        <w:rPr>
          <w:lang w:val="en-AU"/>
        </w:rPr>
        <w:t>Ambulance</w:t>
      </w:r>
      <w:r w:rsidR="000A5329" w:rsidRPr="002029AF">
        <w:rPr>
          <w:lang w:val="en-AU"/>
        </w:rPr>
        <w:t xml:space="preserve"> </w:t>
      </w:r>
      <w:r w:rsidRPr="002029AF">
        <w:rPr>
          <w:lang w:val="en-AU"/>
        </w:rPr>
        <w:t>Services</w:t>
      </w:r>
    </w:p>
    <w:p w14:paraId="680B8686" w14:textId="2898A6A7" w:rsidR="00087B91" w:rsidRPr="002029AF" w:rsidRDefault="00087B91" w:rsidP="00087B91">
      <w:pPr>
        <w:pStyle w:val="ARfinbody"/>
      </w:pPr>
      <w:r w:rsidRPr="002029AF">
        <w:t>Ambulance</w:t>
      </w:r>
      <w:r w:rsidR="000A5329" w:rsidRPr="002029AF">
        <w:t xml:space="preserve"> </w:t>
      </w:r>
      <w:r w:rsidRPr="002029AF">
        <w:t>Services</w:t>
      </w:r>
      <w:r w:rsidR="000A5329" w:rsidRPr="002029AF">
        <w:t xml:space="preserve"> </w:t>
      </w:r>
      <w:r w:rsidRPr="002029AF">
        <w:t>output</w:t>
      </w:r>
      <w:r w:rsidR="000A5329" w:rsidRPr="002029AF">
        <w:t xml:space="preserve"> </w:t>
      </w:r>
      <w:r w:rsidRPr="002029AF">
        <w:t>includes</w:t>
      </w:r>
      <w:r w:rsidR="000A5329" w:rsidRPr="002029AF">
        <w:t xml:space="preserve"> </w:t>
      </w:r>
      <w:r w:rsidRPr="002029AF">
        <w:t>emergency</w:t>
      </w:r>
      <w:r w:rsidR="000A5329" w:rsidRPr="002029AF">
        <w:t xml:space="preserve"> </w:t>
      </w:r>
      <w:r w:rsidRPr="002029AF">
        <w:t>and</w:t>
      </w:r>
      <w:r w:rsidR="000A5329" w:rsidRPr="002029AF">
        <w:t xml:space="preserve"> </w:t>
      </w:r>
      <w:r w:rsidRPr="002029AF">
        <w:t>non-emergency</w:t>
      </w:r>
      <w:r w:rsidR="000A5329" w:rsidRPr="002029AF">
        <w:t xml:space="preserve"> </w:t>
      </w:r>
      <w:r w:rsidRPr="002029AF">
        <w:t>ambulance</w:t>
      </w:r>
      <w:r w:rsidR="000A5329" w:rsidRPr="002029AF">
        <w:t xml:space="preserve"> </w:t>
      </w:r>
      <w:r w:rsidRPr="002029AF">
        <w:t>services.</w:t>
      </w:r>
    </w:p>
    <w:p w14:paraId="1D34A750" w14:textId="2A9F1AFB" w:rsidR="00087B91" w:rsidRPr="002029AF" w:rsidRDefault="00087B91" w:rsidP="00087B91">
      <w:pPr>
        <w:pStyle w:val="Heading6"/>
        <w:rPr>
          <w:lang w:val="en-AU"/>
        </w:rPr>
      </w:pPr>
      <w:r w:rsidRPr="002029AF">
        <w:rPr>
          <w:lang w:val="en-AU"/>
        </w:rPr>
        <w:t>Output</w:t>
      </w:r>
      <w:r w:rsidR="000A5329" w:rsidRPr="002029AF">
        <w:rPr>
          <w:lang w:val="en-AU"/>
        </w:rPr>
        <w:t xml:space="preserve"> </w:t>
      </w:r>
      <w:r w:rsidRPr="002029AF">
        <w:rPr>
          <w:lang w:val="en-AU"/>
        </w:rPr>
        <w:t>group</w:t>
      </w:r>
      <w:r w:rsidR="000A5329" w:rsidRPr="002029AF">
        <w:rPr>
          <w:lang w:val="en-AU"/>
        </w:rPr>
        <w:t xml:space="preserve"> </w:t>
      </w:r>
      <w:r w:rsidRPr="002029AF">
        <w:rPr>
          <w:lang w:val="en-AU"/>
        </w:rPr>
        <w:t>3:</w:t>
      </w:r>
      <w:r w:rsidR="000A5329" w:rsidRPr="002029AF">
        <w:rPr>
          <w:lang w:val="en-AU"/>
        </w:rPr>
        <w:t xml:space="preserve"> </w:t>
      </w:r>
      <w:r w:rsidRPr="002029AF">
        <w:rPr>
          <w:lang w:val="en-AU"/>
        </w:rPr>
        <w:t>Mental</w:t>
      </w:r>
      <w:r w:rsidR="000A5329" w:rsidRPr="002029AF">
        <w:rPr>
          <w:lang w:val="en-AU"/>
        </w:rPr>
        <w:t xml:space="preserve"> </w:t>
      </w:r>
      <w:r w:rsidRPr="002029AF">
        <w:rPr>
          <w:lang w:val="en-AU"/>
        </w:rPr>
        <w:t>Health</w:t>
      </w:r>
    </w:p>
    <w:p w14:paraId="0803595E" w14:textId="71226923" w:rsidR="00087B91" w:rsidRPr="002029AF" w:rsidRDefault="00087B91" w:rsidP="00087B91">
      <w:pPr>
        <w:pStyle w:val="ARfinbody"/>
      </w:pPr>
      <w:r w:rsidRPr="002029AF">
        <w:t>Mental</w:t>
      </w:r>
      <w:r w:rsidR="000A5329" w:rsidRPr="002029AF">
        <w:t xml:space="preserve"> </w:t>
      </w:r>
      <w:r w:rsidRPr="002029AF">
        <w:t>Health</w:t>
      </w:r>
      <w:r w:rsidR="000A5329" w:rsidRPr="002029AF">
        <w:t xml:space="preserve"> </w:t>
      </w:r>
      <w:r w:rsidRPr="002029AF">
        <w:t>output</w:t>
      </w:r>
      <w:r w:rsidR="000A5329" w:rsidRPr="002029AF">
        <w:t xml:space="preserve"> </w:t>
      </w:r>
      <w:r w:rsidRPr="002029AF">
        <w:t>includes</w:t>
      </w:r>
      <w:r w:rsidR="000A5329" w:rsidRPr="002029AF">
        <w:t xml:space="preserve"> </w:t>
      </w:r>
      <w:r w:rsidRPr="002029AF">
        <w:t>a</w:t>
      </w:r>
      <w:r w:rsidR="000A5329" w:rsidRPr="002029AF">
        <w:t xml:space="preserve"> </w:t>
      </w:r>
      <w:r w:rsidRPr="002029AF">
        <w:t>range</w:t>
      </w:r>
      <w:r w:rsidR="000A5329" w:rsidRPr="002029AF">
        <w:t xml:space="preserve"> </w:t>
      </w:r>
      <w:r w:rsidRPr="002029AF">
        <w:t>of</w:t>
      </w:r>
      <w:r w:rsidR="000A5329" w:rsidRPr="002029AF">
        <w:t xml:space="preserve"> </w:t>
      </w:r>
      <w:r w:rsidRPr="002029AF">
        <w:t>inpatient,</w:t>
      </w:r>
      <w:r w:rsidR="000A5329" w:rsidRPr="002029AF">
        <w:t xml:space="preserve"> </w:t>
      </w:r>
      <w:r w:rsidRPr="002029AF">
        <w:t>community-based</w:t>
      </w:r>
      <w:r w:rsidR="000A5329" w:rsidRPr="002029AF">
        <w:t xml:space="preserve"> </w:t>
      </w:r>
      <w:r w:rsidRPr="002029AF">
        <w:t>residential</w:t>
      </w:r>
      <w:r w:rsidR="000A5329" w:rsidRPr="002029AF">
        <w:t xml:space="preserve"> </w:t>
      </w:r>
      <w:r w:rsidRPr="002029AF">
        <w:t>and</w:t>
      </w:r>
      <w:r w:rsidR="000A5329" w:rsidRPr="002029AF">
        <w:t xml:space="preserve"> </w:t>
      </w:r>
      <w:r w:rsidRPr="002029AF">
        <w:t>ambulatory</w:t>
      </w:r>
      <w:r w:rsidR="000A5329" w:rsidRPr="002029AF">
        <w:t xml:space="preserve"> </w:t>
      </w:r>
      <w:r w:rsidRPr="002029AF">
        <w:t>services</w:t>
      </w:r>
      <w:r w:rsidR="000A5329" w:rsidRPr="002029AF">
        <w:t xml:space="preserve"> </w:t>
      </w:r>
      <w:r w:rsidRPr="002029AF">
        <w:t>which</w:t>
      </w:r>
      <w:r w:rsidR="000A5329" w:rsidRPr="002029AF">
        <w:t xml:space="preserve"> </w:t>
      </w:r>
      <w:r w:rsidRPr="002029AF">
        <w:t>treat</w:t>
      </w:r>
      <w:r w:rsidR="000A5329" w:rsidRPr="002029AF">
        <w:t xml:space="preserve"> </w:t>
      </w:r>
      <w:r w:rsidRPr="002029AF">
        <w:t>and</w:t>
      </w:r>
      <w:r w:rsidR="000A5329" w:rsidRPr="002029AF">
        <w:t xml:space="preserve"> </w:t>
      </w:r>
      <w:r w:rsidRPr="002029AF">
        <w:t>support</w:t>
      </w:r>
      <w:r w:rsidR="000A5329" w:rsidRPr="002029AF">
        <w:t xml:space="preserve"> </w:t>
      </w:r>
      <w:r w:rsidRPr="002029AF">
        <w:t>people</w:t>
      </w:r>
      <w:r w:rsidR="000A5329" w:rsidRPr="002029AF">
        <w:t xml:space="preserve"> </w:t>
      </w:r>
      <w:r w:rsidRPr="002029AF">
        <w:t>with</w:t>
      </w:r>
      <w:r w:rsidR="000A5329" w:rsidRPr="002029AF">
        <w:t xml:space="preserve"> </w:t>
      </w:r>
      <w:r w:rsidRPr="002029AF">
        <w:t>a</w:t>
      </w:r>
      <w:r w:rsidR="000A5329" w:rsidRPr="002029AF">
        <w:t xml:space="preserve"> </w:t>
      </w:r>
      <w:r w:rsidRPr="002029AF">
        <w:t>mental</w:t>
      </w:r>
      <w:r w:rsidR="000A5329" w:rsidRPr="002029AF">
        <w:t xml:space="preserve"> </w:t>
      </w:r>
      <w:r w:rsidRPr="002029AF">
        <w:t>illness</w:t>
      </w:r>
      <w:r w:rsidR="000A5329" w:rsidRPr="002029AF">
        <w:t xml:space="preserve"> </w:t>
      </w:r>
      <w:r w:rsidRPr="002029AF">
        <w:t>and</w:t>
      </w:r>
      <w:r w:rsidR="000A5329" w:rsidRPr="002029AF">
        <w:t xml:space="preserve"> </w:t>
      </w:r>
      <w:r w:rsidRPr="002029AF">
        <w:t>their</w:t>
      </w:r>
      <w:r w:rsidR="000A5329" w:rsidRPr="002029AF">
        <w:t xml:space="preserve"> </w:t>
      </w:r>
      <w:r w:rsidRPr="002029AF">
        <w:t>families</w:t>
      </w:r>
      <w:r w:rsidR="000A5329" w:rsidRPr="002029AF">
        <w:t xml:space="preserve"> </w:t>
      </w:r>
      <w:r w:rsidRPr="002029AF">
        <w:t>and</w:t>
      </w:r>
      <w:r w:rsidR="000A5329" w:rsidRPr="002029AF">
        <w:t xml:space="preserve"> </w:t>
      </w:r>
      <w:r w:rsidRPr="002029AF">
        <w:t>carers.</w:t>
      </w:r>
    </w:p>
    <w:p w14:paraId="0388328F" w14:textId="54289720" w:rsidR="00087B91" w:rsidRPr="002029AF" w:rsidRDefault="00087B91" w:rsidP="00087B91">
      <w:pPr>
        <w:pStyle w:val="Heading6"/>
        <w:rPr>
          <w:lang w:val="en-AU"/>
        </w:rPr>
      </w:pPr>
      <w:r w:rsidRPr="002029AF">
        <w:rPr>
          <w:lang w:val="en-AU"/>
        </w:rPr>
        <w:t>Output</w:t>
      </w:r>
      <w:r w:rsidR="000A5329" w:rsidRPr="002029AF">
        <w:rPr>
          <w:lang w:val="en-AU"/>
        </w:rPr>
        <w:t xml:space="preserve"> </w:t>
      </w:r>
      <w:r w:rsidRPr="002029AF">
        <w:rPr>
          <w:lang w:val="en-AU"/>
        </w:rPr>
        <w:t>group</w:t>
      </w:r>
      <w:r w:rsidR="000A5329" w:rsidRPr="002029AF">
        <w:rPr>
          <w:lang w:val="en-AU"/>
        </w:rPr>
        <w:t xml:space="preserve"> </w:t>
      </w:r>
      <w:r w:rsidRPr="002029AF">
        <w:rPr>
          <w:lang w:val="en-AU"/>
        </w:rPr>
        <w:t>4:</w:t>
      </w:r>
      <w:r w:rsidR="000A5329" w:rsidRPr="002029AF">
        <w:rPr>
          <w:lang w:val="en-AU"/>
        </w:rPr>
        <w:t xml:space="preserve"> </w:t>
      </w:r>
      <w:r w:rsidRPr="002029AF">
        <w:rPr>
          <w:lang w:val="en-AU"/>
        </w:rPr>
        <w:t>Ageing,</w:t>
      </w:r>
      <w:r w:rsidR="000A5329" w:rsidRPr="002029AF">
        <w:rPr>
          <w:lang w:val="en-AU"/>
        </w:rPr>
        <w:t xml:space="preserve"> </w:t>
      </w:r>
      <w:r w:rsidRPr="002029AF">
        <w:rPr>
          <w:lang w:val="en-AU"/>
        </w:rPr>
        <w:t>Aged</w:t>
      </w:r>
      <w:r w:rsidR="000A5329" w:rsidRPr="002029AF">
        <w:rPr>
          <w:lang w:val="en-AU"/>
        </w:rPr>
        <w:t xml:space="preserve"> </w:t>
      </w:r>
      <w:r w:rsidRPr="002029AF">
        <w:rPr>
          <w:lang w:val="en-AU"/>
        </w:rPr>
        <w:t>and</w:t>
      </w:r>
      <w:r w:rsidR="000A5329" w:rsidRPr="002029AF">
        <w:rPr>
          <w:lang w:val="en-AU"/>
        </w:rPr>
        <w:t xml:space="preserve"> </w:t>
      </w:r>
      <w:r w:rsidRPr="002029AF">
        <w:rPr>
          <w:lang w:val="en-AU"/>
        </w:rPr>
        <w:t>Home</w:t>
      </w:r>
      <w:r w:rsidR="000A5329" w:rsidRPr="002029AF">
        <w:rPr>
          <w:lang w:val="en-AU"/>
        </w:rPr>
        <w:t xml:space="preserve"> </w:t>
      </w:r>
      <w:r w:rsidRPr="002029AF">
        <w:rPr>
          <w:lang w:val="en-AU"/>
        </w:rPr>
        <w:t>Care</w:t>
      </w:r>
    </w:p>
    <w:p w14:paraId="1B084F66" w14:textId="1E75CB57" w:rsidR="00087B91" w:rsidRPr="002029AF" w:rsidRDefault="00087B91" w:rsidP="00087B91">
      <w:pPr>
        <w:pStyle w:val="ARfinbody"/>
      </w:pPr>
      <w:r w:rsidRPr="002029AF">
        <w:t>Ageing,</w:t>
      </w:r>
      <w:r w:rsidR="000A5329" w:rsidRPr="002029AF">
        <w:t xml:space="preserve"> </w:t>
      </w:r>
      <w:r w:rsidRPr="002029AF">
        <w:t>Aged</w:t>
      </w:r>
      <w:r w:rsidR="000A5329" w:rsidRPr="002029AF">
        <w:t xml:space="preserve"> </w:t>
      </w:r>
      <w:r w:rsidRPr="002029AF">
        <w:t>and</w:t>
      </w:r>
      <w:r w:rsidR="000A5329" w:rsidRPr="002029AF">
        <w:t xml:space="preserve"> </w:t>
      </w:r>
      <w:r w:rsidRPr="002029AF">
        <w:t>Home</w:t>
      </w:r>
      <w:r w:rsidR="000A5329" w:rsidRPr="002029AF">
        <w:t xml:space="preserve"> </w:t>
      </w:r>
      <w:r w:rsidRPr="002029AF">
        <w:t>Care</w:t>
      </w:r>
      <w:r w:rsidR="000A5329" w:rsidRPr="002029AF">
        <w:t xml:space="preserve"> </w:t>
      </w:r>
      <w:r w:rsidRPr="002029AF">
        <w:t>output</w:t>
      </w:r>
      <w:r w:rsidR="000A5329" w:rsidRPr="002029AF">
        <w:t xml:space="preserve"> </w:t>
      </w:r>
      <w:r w:rsidRPr="002029AF">
        <w:t>encompasses</w:t>
      </w:r>
      <w:r w:rsidR="000A5329" w:rsidRPr="002029AF">
        <w:t xml:space="preserve"> </w:t>
      </w:r>
      <w:r w:rsidRPr="002029AF">
        <w:t>leading</w:t>
      </w:r>
      <w:r w:rsidR="000A5329" w:rsidRPr="002029AF">
        <w:t xml:space="preserve"> </w:t>
      </w:r>
      <w:r w:rsidRPr="002029AF">
        <w:t>and</w:t>
      </w:r>
      <w:r w:rsidR="000A5329" w:rsidRPr="002029AF">
        <w:t xml:space="preserve"> </w:t>
      </w:r>
      <w:r w:rsidRPr="002029AF">
        <w:t>coordinating</w:t>
      </w:r>
      <w:r w:rsidR="000A5329" w:rsidRPr="002029AF">
        <w:t xml:space="preserve"> </w:t>
      </w:r>
      <w:r w:rsidRPr="002029AF">
        <w:t>the</w:t>
      </w:r>
      <w:r w:rsidR="000A5329" w:rsidRPr="002029AF">
        <w:t xml:space="preserve"> </w:t>
      </w:r>
      <w:r w:rsidRPr="002029AF">
        <w:t>whole</w:t>
      </w:r>
      <w:r w:rsidR="000A5329" w:rsidRPr="002029AF">
        <w:t xml:space="preserve"> </w:t>
      </w:r>
      <w:r w:rsidRPr="002029AF">
        <w:t>of</w:t>
      </w:r>
      <w:r w:rsidR="000A5329" w:rsidRPr="002029AF">
        <w:t xml:space="preserve"> </w:t>
      </w:r>
      <w:r w:rsidRPr="002029AF">
        <w:t>government</w:t>
      </w:r>
      <w:r w:rsidR="000A5329" w:rsidRPr="002029AF">
        <w:t xml:space="preserve"> </w:t>
      </w:r>
      <w:r w:rsidRPr="002029AF">
        <w:t>policy</w:t>
      </w:r>
      <w:r w:rsidR="000A5329" w:rsidRPr="002029AF">
        <w:t xml:space="preserve"> </w:t>
      </w:r>
      <w:r w:rsidRPr="002029AF">
        <w:t>on</w:t>
      </w:r>
      <w:r w:rsidR="000A5329" w:rsidRPr="002029AF">
        <w:t xml:space="preserve"> </w:t>
      </w:r>
      <w:r w:rsidRPr="002029AF">
        <w:t>issues</w:t>
      </w:r>
      <w:r w:rsidR="000A5329" w:rsidRPr="002029AF">
        <w:t xml:space="preserve"> </w:t>
      </w:r>
      <w:r w:rsidRPr="002029AF">
        <w:t>affecting</w:t>
      </w:r>
      <w:r w:rsidR="000A5329" w:rsidRPr="002029AF">
        <w:t xml:space="preserve"> </w:t>
      </w:r>
      <w:r w:rsidRPr="002029AF">
        <w:t>our</w:t>
      </w:r>
      <w:r w:rsidR="000A5329" w:rsidRPr="002029AF">
        <w:t xml:space="preserve"> </w:t>
      </w:r>
      <w:r w:rsidRPr="002029AF">
        <w:t>ageing</w:t>
      </w:r>
      <w:r w:rsidR="000A5329" w:rsidRPr="002029AF">
        <w:t xml:space="preserve"> </w:t>
      </w:r>
      <w:r w:rsidRPr="002029AF">
        <w:t>community.</w:t>
      </w:r>
      <w:r w:rsidR="000A5329" w:rsidRPr="002029AF">
        <w:t xml:space="preserve"> </w:t>
      </w:r>
      <w:r w:rsidRPr="002029AF">
        <w:t>It</w:t>
      </w:r>
      <w:r w:rsidR="000A5329" w:rsidRPr="002029AF">
        <w:t xml:space="preserve"> </w:t>
      </w:r>
      <w:r w:rsidRPr="002029AF">
        <w:t>includes</w:t>
      </w:r>
      <w:r w:rsidR="000A5329" w:rsidRPr="002029AF">
        <w:t xml:space="preserve"> </w:t>
      </w:r>
      <w:r w:rsidRPr="002029AF">
        <w:t>a</w:t>
      </w:r>
      <w:r w:rsidR="000A5329" w:rsidRPr="002029AF">
        <w:t xml:space="preserve"> </w:t>
      </w:r>
      <w:r w:rsidRPr="002029AF">
        <w:t>range</w:t>
      </w:r>
      <w:r w:rsidR="000A5329" w:rsidRPr="002029AF">
        <w:t xml:space="preserve"> </w:t>
      </w:r>
      <w:r w:rsidRPr="002029AF">
        <w:t>of</w:t>
      </w:r>
      <w:r w:rsidR="000A5329" w:rsidRPr="002029AF">
        <w:t xml:space="preserve"> </w:t>
      </w:r>
      <w:r w:rsidRPr="002029AF">
        <w:t>in-home,</w:t>
      </w:r>
      <w:r w:rsidR="000A5329" w:rsidRPr="002029AF">
        <w:t xml:space="preserve"> </w:t>
      </w:r>
      <w:r w:rsidRPr="002029AF">
        <w:t>specialist</w:t>
      </w:r>
      <w:r w:rsidR="000A5329" w:rsidRPr="002029AF">
        <w:t xml:space="preserve"> </w:t>
      </w:r>
      <w:r w:rsidRPr="002029AF">
        <w:t>geriatric,</w:t>
      </w:r>
      <w:r w:rsidR="000A5329" w:rsidRPr="002029AF">
        <w:t xml:space="preserve"> </w:t>
      </w:r>
      <w:r w:rsidRPr="002029AF">
        <w:t>residential</w:t>
      </w:r>
      <w:r w:rsidR="000A5329" w:rsidRPr="002029AF">
        <w:t xml:space="preserve"> </w:t>
      </w:r>
      <w:r w:rsidRPr="002029AF">
        <w:t>care</w:t>
      </w:r>
      <w:r w:rsidR="000A5329" w:rsidRPr="002029AF">
        <w:t xml:space="preserve"> </w:t>
      </w:r>
      <w:r w:rsidRPr="002029AF">
        <w:t>and</w:t>
      </w:r>
      <w:r w:rsidR="000A5329" w:rsidRPr="002029AF">
        <w:t xml:space="preserve"> </w:t>
      </w:r>
      <w:r w:rsidRPr="002029AF">
        <w:t>community-based</w:t>
      </w:r>
      <w:r w:rsidR="000A5329" w:rsidRPr="002029AF">
        <w:t xml:space="preserve"> </w:t>
      </w:r>
      <w:r w:rsidRPr="002029AF">
        <w:t>programs,</w:t>
      </w:r>
      <w:r w:rsidR="000A5329" w:rsidRPr="002029AF">
        <w:t xml:space="preserve"> </w:t>
      </w:r>
      <w:r w:rsidRPr="002029AF">
        <w:t>such</w:t>
      </w:r>
      <w:r w:rsidR="000A5329" w:rsidRPr="002029AF">
        <w:t xml:space="preserve"> </w:t>
      </w:r>
      <w:r w:rsidRPr="002029AF">
        <w:t>as</w:t>
      </w:r>
      <w:r w:rsidR="000A5329" w:rsidRPr="002029AF">
        <w:t xml:space="preserve"> </w:t>
      </w:r>
      <w:r w:rsidRPr="002029AF">
        <w:t>Home</w:t>
      </w:r>
      <w:r w:rsidR="000A5329" w:rsidRPr="002029AF">
        <w:t xml:space="preserve"> </w:t>
      </w:r>
      <w:r w:rsidRPr="002029AF">
        <w:t>and</w:t>
      </w:r>
      <w:r w:rsidR="000A5329" w:rsidRPr="002029AF">
        <w:t xml:space="preserve"> </w:t>
      </w:r>
      <w:r w:rsidRPr="002029AF">
        <w:t>Community</w:t>
      </w:r>
      <w:r w:rsidR="000A5329" w:rsidRPr="002029AF">
        <w:t xml:space="preserve"> </w:t>
      </w:r>
      <w:r w:rsidRPr="002029AF">
        <w:t>Care</w:t>
      </w:r>
      <w:r w:rsidR="000A5329" w:rsidRPr="002029AF">
        <w:t xml:space="preserve"> </w:t>
      </w:r>
      <w:r w:rsidRPr="002029AF">
        <w:t>(HACC),</w:t>
      </w:r>
      <w:r w:rsidR="000A5329" w:rsidRPr="002029AF">
        <w:t xml:space="preserve"> </w:t>
      </w:r>
      <w:r w:rsidRPr="002029AF">
        <w:t>that</w:t>
      </w:r>
      <w:r w:rsidR="000A5329" w:rsidRPr="002029AF">
        <w:t xml:space="preserve"> </w:t>
      </w:r>
      <w:r w:rsidRPr="002029AF">
        <w:t>are</w:t>
      </w:r>
      <w:r w:rsidR="000A5329" w:rsidRPr="002029AF">
        <w:t xml:space="preserve"> </w:t>
      </w:r>
      <w:r w:rsidRPr="002029AF">
        <w:t>targeted</w:t>
      </w:r>
      <w:r w:rsidR="000A5329" w:rsidRPr="002029AF">
        <w:t xml:space="preserve"> </w:t>
      </w:r>
      <w:r w:rsidRPr="002029AF">
        <w:t>to</w:t>
      </w:r>
      <w:r w:rsidR="000A5329" w:rsidRPr="002029AF">
        <w:t xml:space="preserve"> </w:t>
      </w:r>
      <w:r w:rsidRPr="002029AF">
        <w:t>older</w:t>
      </w:r>
      <w:r w:rsidR="000A5329" w:rsidRPr="002029AF">
        <w:t xml:space="preserve"> </w:t>
      </w:r>
      <w:r w:rsidRPr="002029AF">
        <w:t>people,</w:t>
      </w:r>
      <w:r w:rsidR="000A5329" w:rsidRPr="002029AF">
        <w:t xml:space="preserve"> </w:t>
      </w:r>
      <w:r w:rsidRPr="002029AF">
        <w:t>people</w:t>
      </w:r>
      <w:r w:rsidR="000A5329" w:rsidRPr="002029AF">
        <w:t xml:space="preserve"> </w:t>
      </w:r>
      <w:r w:rsidRPr="002029AF">
        <w:t>with</w:t>
      </w:r>
      <w:r w:rsidR="000A5329" w:rsidRPr="002029AF">
        <w:t xml:space="preserve"> </w:t>
      </w:r>
      <w:r w:rsidRPr="002029AF">
        <w:t>a</w:t>
      </w:r>
      <w:r w:rsidR="000A5329" w:rsidRPr="002029AF">
        <w:t xml:space="preserve"> </w:t>
      </w:r>
      <w:r w:rsidRPr="002029AF">
        <w:t>disability,</w:t>
      </w:r>
      <w:r w:rsidR="000A5329" w:rsidRPr="002029AF">
        <w:t xml:space="preserve"> </w:t>
      </w:r>
      <w:r w:rsidRPr="002029AF">
        <w:t>and</w:t>
      </w:r>
      <w:r w:rsidR="000A5329" w:rsidRPr="002029AF">
        <w:t xml:space="preserve"> </w:t>
      </w:r>
      <w:r w:rsidRPr="002029AF">
        <w:t>their</w:t>
      </w:r>
      <w:r w:rsidR="000A5329" w:rsidRPr="002029AF">
        <w:t xml:space="preserve"> </w:t>
      </w:r>
      <w:r w:rsidRPr="002029AF">
        <w:t>carers.</w:t>
      </w:r>
    </w:p>
    <w:p w14:paraId="28DABF6B" w14:textId="6EF8AAE1" w:rsidR="00087B91" w:rsidRPr="002029AF" w:rsidRDefault="00087B91" w:rsidP="00087B91">
      <w:pPr>
        <w:pStyle w:val="Heading6"/>
        <w:rPr>
          <w:lang w:val="en-AU"/>
        </w:rPr>
      </w:pPr>
      <w:r w:rsidRPr="002029AF">
        <w:rPr>
          <w:lang w:val="en-AU"/>
        </w:rPr>
        <w:t>Output</w:t>
      </w:r>
      <w:r w:rsidR="000A5329" w:rsidRPr="002029AF">
        <w:rPr>
          <w:lang w:val="en-AU"/>
        </w:rPr>
        <w:t xml:space="preserve"> </w:t>
      </w:r>
      <w:r w:rsidRPr="002029AF">
        <w:rPr>
          <w:lang w:val="en-AU"/>
        </w:rPr>
        <w:t>group</w:t>
      </w:r>
      <w:r w:rsidR="000A5329" w:rsidRPr="002029AF">
        <w:rPr>
          <w:lang w:val="en-AU"/>
        </w:rPr>
        <w:t xml:space="preserve"> </w:t>
      </w:r>
      <w:r w:rsidRPr="002029AF">
        <w:rPr>
          <w:lang w:val="en-AU"/>
        </w:rPr>
        <w:t>5:</w:t>
      </w:r>
      <w:r w:rsidR="000A5329" w:rsidRPr="002029AF">
        <w:rPr>
          <w:lang w:val="en-AU"/>
        </w:rPr>
        <w:t xml:space="preserve"> </w:t>
      </w:r>
      <w:r w:rsidRPr="002029AF">
        <w:rPr>
          <w:lang w:val="en-AU"/>
        </w:rPr>
        <w:t>Primary,</w:t>
      </w:r>
      <w:r w:rsidR="000A5329" w:rsidRPr="002029AF">
        <w:rPr>
          <w:lang w:val="en-AU"/>
        </w:rPr>
        <w:t xml:space="preserve"> </w:t>
      </w:r>
      <w:r w:rsidRPr="002029AF">
        <w:rPr>
          <w:lang w:val="en-AU"/>
        </w:rPr>
        <w:t>Community</w:t>
      </w:r>
      <w:r w:rsidR="000A5329" w:rsidRPr="002029AF">
        <w:rPr>
          <w:lang w:val="en-AU"/>
        </w:rPr>
        <w:t xml:space="preserve"> </w:t>
      </w:r>
      <w:r w:rsidRPr="002029AF">
        <w:rPr>
          <w:lang w:val="en-AU"/>
        </w:rPr>
        <w:t>and</w:t>
      </w:r>
      <w:r w:rsidR="000A5329" w:rsidRPr="002029AF">
        <w:rPr>
          <w:lang w:val="en-AU"/>
        </w:rPr>
        <w:t xml:space="preserve"> </w:t>
      </w:r>
      <w:r w:rsidRPr="002029AF">
        <w:rPr>
          <w:lang w:val="en-AU"/>
        </w:rPr>
        <w:t>Dental</w:t>
      </w:r>
      <w:r w:rsidR="000A5329" w:rsidRPr="002029AF">
        <w:rPr>
          <w:lang w:val="en-AU"/>
        </w:rPr>
        <w:t xml:space="preserve"> </w:t>
      </w:r>
      <w:r w:rsidRPr="002029AF">
        <w:rPr>
          <w:lang w:val="en-AU"/>
        </w:rPr>
        <w:t>Health</w:t>
      </w:r>
    </w:p>
    <w:p w14:paraId="6AEE2AA9" w14:textId="5F16C65C" w:rsidR="00087B91" w:rsidRPr="002029AF" w:rsidRDefault="00087B91" w:rsidP="00087B91">
      <w:pPr>
        <w:pStyle w:val="ARfinbody"/>
      </w:pPr>
      <w:r w:rsidRPr="002029AF">
        <w:t>Primary,</w:t>
      </w:r>
      <w:r w:rsidR="000A5329" w:rsidRPr="002029AF">
        <w:t xml:space="preserve"> </w:t>
      </w:r>
      <w:r w:rsidRPr="002029AF">
        <w:t>Community</w:t>
      </w:r>
      <w:r w:rsidR="000A5329" w:rsidRPr="002029AF">
        <w:t xml:space="preserve"> </w:t>
      </w:r>
      <w:r w:rsidRPr="002029AF">
        <w:t>and</w:t>
      </w:r>
      <w:r w:rsidR="000A5329" w:rsidRPr="002029AF">
        <w:t xml:space="preserve"> </w:t>
      </w:r>
      <w:r w:rsidRPr="002029AF">
        <w:t>Dental</w:t>
      </w:r>
      <w:r w:rsidR="000A5329" w:rsidRPr="002029AF">
        <w:t xml:space="preserve"> </w:t>
      </w:r>
      <w:r w:rsidRPr="002029AF">
        <w:t>Health</w:t>
      </w:r>
      <w:r w:rsidR="000A5329" w:rsidRPr="002029AF">
        <w:t xml:space="preserve"> </w:t>
      </w:r>
      <w:r w:rsidRPr="002029AF">
        <w:t>output</w:t>
      </w:r>
      <w:r w:rsidR="000A5329" w:rsidRPr="002029AF">
        <w:t xml:space="preserve"> </w:t>
      </w:r>
      <w:r w:rsidRPr="002029AF">
        <w:t>includes</w:t>
      </w:r>
      <w:r w:rsidR="000A5329" w:rsidRPr="002029AF">
        <w:t xml:space="preserve"> </w:t>
      </w:r>
      <w:r w:rsidRPr="002029AF">
        <w:t>a</w:t>
      </w:r>
      <w:r w:rsidR="000A5329" w:rsidRPr="002029AF">
        <w:t xml:space="preserve"> </w:t>
      </w:r>
      <w:r w:rsidRPr="002029AF">
        <w:t>range</w:t>
      </w:r>
      <w:r w:rsidR="000A5329" w:rsidRPr="002029AF">
        <w:t xml:space="preserve"> </w:t>
      </w:r>
      <w:r w:rsidRPr="002029AF">
        <w:t>of</w:t>
      </w:r>
      <w:r w:rsidR="000A5329" w:rsidRPr="002029AF">
        <w:t xml:space="preserve"> </w:t>
      </w:r>
      <w:r w:rsidRPr="002029AF">
        <w:t>in-home,</w:t>
      </w:r>
      <w:r w:rsidR="000A5329" w:rsidRPr="002029AF">
        <w:t xml:space="preserve"> </w:t>
      </w:r>
      <w:r w:rsidRPr="002029AF">
        <w:t>community-based</w:t>
      </w:r>
      <w:r w:rsidR="000A5329" w:rsidRPr="002029AF">
        <w:t xml:space="preserve"> </w:t>
      </w:r>
      <w:r w:rsidRPr="002029AF">
        <w:t>(including</w:t>
      </w:r>
      <w:r w:rsidR="000A5329" w:rsidRPr="002029AF">
        <w:t xml:space="preserve"> </w:t>
      </w:r>
      <w:r w:rsidRPr="002029AF">
        <w:t>maternal</w:t>
      </w:r>
      <w:r w:rsidR="000A5329" w:rsidRPr="002029AF">
        <w:t xml:space="preserve"> </w:t>
      </w:r>
      <w:r w:rsidRPr="002029AF">
        <w:t>and</w:t>
      </w:r>
      <w:r w:rsidR="000A5329" w:rsidRPr="002029AF">
        <w:t xml:space="preserve"> </w:t>
      </w:r>
      <w:r w:rsidRPr="002029AF">
        <w:t>child</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community,</w:t>
      </w:r>
      <w:r w:rsidR="000A5329" w:rsidRPr="002029AF">
        <w:t xml:space="preserve"> </w:t>
      </w:r>
      <w:r w:rsidRPr="002029AF">
        <w:t>primary</w:t>
      </w:r>
      <w:r w:rsidR="000A5329" w:rsidRPr="002029AF">
        <w:t xml:space="preserve"> </w:t>
      </w:r>
      <w:r w:rsidRPr="002029AF">
        <w:t>health</w:t>
      </w:r>
      <w:r w:rsidR="000A5329" w:rsidRPr="002029AF">
        <w:t xml:space="preserve"> </w:t>
      </w:r>
      <w:r w:rsidRPr="002029AF">
        <w:t>and</w:t>
      </w:r>
      <w:r w:rsidR="000A5329" w:rsidRPr="002029AF">
        <w:t xml:space="preserve"> </w:t>
      </w:r>
      <w:r w:rsidRPr="002029AF">
        <w:t>dental</w:t>
      </w:r>
      <w:r w:rsidR="000A5329" w:rsidRPr="002029AF">
        <w:t xml:space="preserve"> </w:t>
      </w:r>
      <w:r w:rsidRPr="002029AF">
        <w:t>services</w:t>
      </w:r>
      <w:r w:rsidR="000A5329" w:rsidRPr="002029AF">
        <w:t xml:space="preserve"> </w:t>
      </w:r>
      <w:r w:rsidRPr="002029AF">
        <w:t>designed</w:t>
      </w:r>
      <w:r w:rsidR="000A5329" w:rsidRPr="002029AF">
        <w:t xml:space="preserve"> </w:t>
      </w:r>
      <w:r w:rsidRPr="002029AF">
        <w:t>to</w:t>
      </w:r>
      <w:r w:rsidR="000A5329" w:rsidRPr="002029AF">
        <w:t xml:space="preserve"> </w:t>
      </w:r>
      <w:r w:rsidRPr="002029AF">
        <w:t>promote</w:t>
      </w:r>
      <w:r w:rsidR="000A5329" w:rsidRPr="002029AF">
        <w:t xml:space="preserve"> </w:t>
      </w:r>
      <w:r w:rsidRPr="002029AF">
        <w:t>health</w:t>
      </w:r>
      <w:r w:rsidR="000A5329" w:rsidRPr="002029AF">
        <w:t xml:space="preserve"> </w:t>
      </w:r>
      <w:r w:rsidRPr="002029AF">
        <w:t>and</w:t>
      </w:r>
      <w:r w:rsidR="000A5329" w:rsidRPr="002029AF">
        <w:t xml:space="preserve"> </w:t>
      </w:r>
      <w:r w:rsidRPr="002029AF">
        <w:t>wellbeing</w:t>
      </w:r>
      <w:r w:rsidR="000A5329" w:rsidRPr="002029AF">
        <w:t xml:space="preserve"> </w:t>
      </w:r>
      <w:r w:rsidRPr="002029AF">
        <w:t>and</w:t>
      </w:r>
      <w:r w:rsidR="000A5329" w:rsidRPr="002029AF">
        <w:t xml:space="preserve"> </w:t>
      </w:r>
      <w:r w:rsidRPr="002029AF">
        <w:t>prevent</w:t>
      </w:r>
      <w:r w:rsidR="000A5329" w:rsidRPr="002029AF">
        <w:t xml:space="preserve"> </w:t>
      </w:r>
      <w:r w:rsidRPr="002029AF">
        <w:t>the</w:t>
      </w:r>
      <w:r w:rsidR="000A5329" w:rsidRPr="002029AF">
        <w:t xml:space="preserve"> </w:t>
      </w:r>
      <w:r w:rsidRPr="002029AF">
        <w:t>onset</w:t>
      </w:r>
      <w:r w:rsidR="000A5329" w:rsidRPr="002029AF">
        <w:t xml:space="preserve"> </w:t>
      </w:r>
      <w:r w:rsidRPr="002029AF">
        <w:t>of</w:t>
      </w:r>
      <w:r w:rsidR="000A5329" w:rsidRPr="002029AF">
        <w:t xml:space="preserve"> </w:t>
      </w:r>
      <w:r w:rsidRPr="002029AF">
        <w:t>more</w:t>
      </w:r>
      <w:r w:rsidR="000A5329" w:rsidRPr="002029AF">
        <w:t xml:space="preserve"> </w:t>
      </w:r>
      <w:r w:rsidRPr="002029AF">
        <w:t>serious</w:t>
      </w:r>
      <w:r w:rsidR="000A5329" w:rsidRPr="002029AF">
        <w:t xml:space="preserve"> </w:t>
      </w:r>
      <w:r w:rsidRPr="002029AF">
        <w:t>illnesses.</w:t>
      </w:r>
    </w:p>
    <w:p w14:paraId="4DE7777A" w14:textId="4CEC1FE2" w:rsidR="00087B91" w:rsidRPr="002029AF" w:rsidRDefault="00087B91" w:rsidP="00087B91">
      <w:pPr>
        <w:pStyle w:val="Heading6"/>
        <w:rPr>
          <w:lang w:val="en-AU"/>
        </w:rPr>
      </w:pPr>
      <w:r w:rsidRPr="002029AF">
        <w:rPr>
          <w:lang w:val="en-AU"/>
        </w:rPr>
        <w:t>Output</w:t>
      </w:r>
      <w:r w:rsidR="000A5329" w:rsidRPr="002029AF">
        <w:rPr>
          <w:lang w:val="en-AU"/>
        </w:rPr>
        <w:t xml:space="preserve"> </w:t>
      </w:r>
      <w:r w:rsidRPr="002029AF">
        <w:rPr>
          <w:lang w:val="en-AU"/>
        </w:rPr>
        <w:t>group</w:t>
      </w:r>
      <w:r w:rsidR="000A5329" w:rsidRPr="002029AF">
        <w:rPr>
          <w:lang w:val="en-AU"/>
        </w:rPr>
        <w:t xml:space="preserve"> </w:t>
      </w:r>
      <w:r w:rsidRPr="002029AF">
        <w:rPr>
          <w:lang w:val="en-AU"/>
        </w:rPr>
        <w:t>6:</w:t>
      </w:r>
      <w:r w:rsidR="000A5329" w:rsidRPr="002029AF">
        <w:rPr>
          <w:lang w:val="en-AU"/>
        </w:rPr>
        <w:t xml:space="preserve"> </w:t>
      </w:r>
      <w:r w:rsidRPr="002029AF">
        <w:rPr>
          <w:lang w:val="en-AU"/>
        </w:rPr>
        <w:t>Small</w:t>
      </w:r>
      <w:r w:rsidR="000A5329" w:rsidRPr="002029AF">
        <w:rPr>
          <w:lang w:val="en-AU"/>
        </w:rPr>
        <w:t xml:space="preserve"> </w:t>
      </w:r>
      <w:r w:rsidRPr="002029AF">
        <w:rPr>
          <w:lang w:val="en-AU"/>
        </w:rPr>
        <w:t>Rural</w:t>
      </w:r>
      <w:r w:rsidR="000A5329" w:rsidRPr="002029AF">
        <w:rPr>
          <w:lang w:val="en-AU"/>
        </w:rPr>
        <w:t xml:space="preserve"> </w:t>
      </w:r>
      <w:r w:rsidRPr="002029AF">
        <w:rPr>
          <w:lang w:val="en-AU"/>
        </w:rPr>
        <w:t>Services</w:t>
      </w:r>
    </w:p>
    <w:p w14:paraId="43DF5451" w14:textId="4603212E" w:rsidR="00087B91" w:rsidRPr="002029AF" w:rsidRDefault="00087B91" w:rsidP="00087B91">
      <w:pPr>
        <w:pStyle w:val="ARfinbody"/>
      </w:pPr>
      <w:r w:rsidRPr="002029AF">
        <w:t>Small</w:t>
      </w:r>
      <w:r w:rsidR="000A5329" w:rsidRPr="002029AF">
        <w:t xml:space="preserve"> </w:t>
      </w:r>
      <w:r w:rsidRPr="002029AF">
        <w:t>Rural</w:t>
      </w:r>
      <w:r w:rsidR="000A5329" w:rsidRPr="002029AF">
        <w:t xml:space="preserve"> </w:t>
      </w:r>
      <w:r w:rsidRPr="002029AF">
        <w:t>Services</w:t>
      </w:r>
      <w:r w:rsidR="000A5329" w:rsidRPr="002029AF">
        <w:t xml:space="preserve"> </w:t>
      </w:r>
      <w:r w:rsidRPr="002029AF">
        <w:t>output</w:t>
      </w:r>
      <w:r w:rsidR="000A5329" w:rsidRPr="002029AF">
        <w:t xml:space="preserve"> </w:t>
      </w:r>
      <w:r w:rsidRPr="002029AF">
        <w:t>includes</w:t>
      </w:r>
      <w:r w:rsidR="000A5329" w:rsidRPr="002029AF">
        <w:t xml:space="preserve"> </w:t>
      </w:r>
      <w:r w:rsidRPr="002029AF">
        <w:t>a</w:t>
      </w:r>
      <w:r w:rsidR="000A5329" w:rsidRPr="002029AF">
        <w:t xml:space="preserve"> </w:t>
      </w:r>
      <w:r w:rsidRPr="002029AF">
        <w:t>range</w:t>
      </w:r>
      <w:r w:rsidR="000A5329" w:rsidRPr="002029AF">
        <w:t xml:space="preserve"> </w:t>
      </w:r>
      <w:r w:rsidRPr="002029AF">
        <w:t>of</w:t>
      </w:r>
      <w:r w:rsidR="000A5329" w:rsidRPr="002029AF">
        <w:t xml:space="preserve"> </w:t>
      </w:r>
      <w:r w:rsidRPr="002029AF">
        <w:t>health</w:t>
      </w:r>
      <w:r w:rsidR="000A5329" w:rsidRPr="002029AF">
        <w:t xml:space="preserve"> </w:t>
      </w:r>
      <w:r w:rsidRPr="002029AF">
        <w:t>and</w:t>
      </w:r>
      <w:r w:rsidR="000A5329" w:rsidRPr="002029AF">
        <w:t xml:space="preserve"> </w:t>
      </w:r>
      <w:r w:rsidRPr="002029AF">
        <w:t>aged</w:t>
      </w:r>
      <w:r w:rsidR="000A5329" w:rsidRPr="002029AF">
        <w:t xml:space="preserve"> </w:t>
      </w:r>
      <w:r w:rsidRPr="002029AF">
        <w:t>care</w:t>
      </w:r>
      <w:r w:rsidR="000A5329" w:rsidRPr="002029AF">
        <w:t xml:space="preserve"> </w:t>
      </w:r>
      <w:r w:rsidRPr="002029AF">
        <w:t>services</w:t>
      </w:r>
      <w:r w:rsidR="000A5329" w:rsidRPr="002029AF">
        <w:t xml:space="preserve"> </w:t>
      </w:r>
      <w:r w:rsidRPr="002029AF">
        <w:t>delivered</w:t>
      </w:r>
      <w:r w:rsidR="000A5329" w:rsidRPr="002029AF">
        <w:t xml:space="preserve"> </w:t>
      </w:r>
      <w:r w:rsidRPr="002029AF">
        <w:t>in</w:t>
      </w:r>
      <w:r w:rsidR="000A5329" w:rsidRPr="002029AF">
        <w:t xml:space="preserve"> </w:t>
      </w:r>
      <w:r w:rsidRPr="002029AF">
        <w:t>small</w:t>
      </w:r>
      <w:r w:rsidR="000A5329" w:rsidRPr="002029AF">
        <w:t xml:space="preserve"> </w:t>
      </w:r>
      <w:r w:rsidRPr="002029AF">
        <w:t>rural</w:t>
      </w:r>
      <w:r w:rsidR="000A5329" w:rsidRPr="002029AF">
        <w:t xml:space="preserve"> </w:t>
      </w:r>
      <w:r w:rsidRPr="002029AF">
        <w:t>towns.</w:t>
      </w:r>
      <w:r w:rsidR="000A5329" w:rsidRPr="002029AF">
        <w:t xml:space="preserve"> </w:t>
      </w:r>
      <w:r w:rsidRPr="002029AF">
        <w:t>The</w:t>
      </w:r>
      <w:r w:rsidR="000A5329" w:rsidRPr="002029AF">
        <w:t xml:space="preserve"> </w:t>
      </w:r>
      <w:r w:rsidRPr="002029AF">
        <w:t>funding</w:t>
      </w:r>
      <w:r w:rsidR="000A5329" w:rsidRPr="002029AF">
        <w:t xml:space="preserve"> </w:t>
      </w:r>
      <w:r w:rsidRPr="002029AF">
        <w:t>and</w:t>
      </w:r>
      <w:r w:rsidR="000A5329" w:rsidRPr="002029AF">
        <w:t xml:space="preserve"> </w:t>
      </w:r>
      <w:r w:rsidRPr="002029AF">
        <w:t>service</w:t>
      </w:r>
      <w:r w:rsidR="000A5329" w:rsidRPr="002029AF">
        <w:t xml:space="preserve"> </w:t>
      </w:r>
      <w:r w:rsidRPr="002029AF">
        <w:t>delivery</w:t>
      </w:r>
      <w:r w:rsidR="000A5329" w:rsidRPr="002029AF">
        <w:t xml:space="preserve"> </w:t>
      </w:r>
      <w:r w:rsidRPr="002029AF">
        <w:t>approach</w:t>
      </w:r>
      <w:r w:rsidR="000A5329" w:rsidRPr="002029AF">
        <w:t xml:space="preserve"> </w:t>
      </w:r>
      <w:r w:rsidRPr="002029AF">
        <w:t>focuses</w:t>
      </w:r>
      <w:r w:rsidR="000A5329" w:rsidRPr="002029AF">
        <w:t xml:space="preserve"> </w:t>
      </w:r>
      <w:r w:rsidRPr="002029AF">
        <w:t>on</w:t>
      </w:r>
      <w:r w:rsidR="000A5329" w:rsidRPr="002029AF">
        <w:t xml:space="preserve"> </w:t>
      </w:r>
      <w:r w:rsidRPr="002029AF">
        <w:t>achieving</w:t>
      </w:r>
      <w:r w:rsidR="000A5329" w:rsidRPr="002029AF">
        <w:t xml:space="preserve"> </w:t>
      </w:r>
      <w:r w:rsidRPr="002029AF">
        <w:t>a</w:t>
      </w:r>
      <w:r w:rsidR="000A5329" w:rsidRPr="002029AF">
        <w:t xml:space="preserve"> </w:t>
      </w:r>
      <w:r w:rsidRPr="002029AF">
        <w:t>sustainable,</w:t>
      </w:r>
      <w:r w:rsidR="000A5329" w:rsidRPr="002029AF">
        <w:t xml:space="preserve"> </w:t>
      </w:r>
      <w:r w:rsidRPr="002029AF">
        <w:t>flexible</w:t>
      </w:r>
      <w:r w:rsidR="000A5329" w:rsidRPr="002029AF">
        <w:t xml:space="preserve"> </w:t>
      </w:r>
      <w:r w:rsidRPr="002029AF">
        <w:t>service</w:t>
      </w:r>
      <w:r w:rsidR="000A5329" w:rsidRPr="002029AF">
        <w:t xml:space="preserve"> </w:t>
      </w:r>
      <w:r w:rsidRPr="002029AF">
        <w:t>mix</w:t>
      </w:r>
      <w:r w:rsidR="000A5329" w:rsidRPr="002029AF">
        <w:t xml:space="preserve"> </w:t>
      </w:r>
      <w:r w:rsidRPr="002029AF">
        <w:t>that</w:t>
      </w:r>
      <w:r w:rsidR="000A5329" w:rsidRPr="002029AF">
        <w:t xml:space="preserve"> </w:t>
      </w:r>
      <w:r w:rsidRPr="002029AF">
        <w:t>is</w:t>
      </w:r>
      <w:r w:rsidR="000A5329" w:rsidRPr="002029AF">
        <w:t xml:space="preserve"> </w:t>
      </w:r>
      <w:r w:rsidRPr="002029AF">
        <w:t>responsive</w:t>
      </w:r>
      <w:r w:rsidR="000A5329" w:rsidRPr="002029AF">
        <w:t xml:space="preserve"> </w:t>
      </w:r>
      <w:r w:rsidRPr="002029AF">
        <w:t>to</w:t>
      </w:r>
      <w:r w:rsidR="000A5329" w:rsidRPr="002029AF">
        <w:t xml:space="preserve"> </w:t>
      </w:r>
      <w:r w:rsidRPr="002029AF">
        <w:t>local</w:t>
      </w:r>
      <w:r w:rsidR="000A5329" w:rsidRPr="002029AF">
        <w:t xml:space="preserve"> </w:t>
      </w:r>
      <w:r w:rsidRPr="002029AF">
        <w:t>needs.</w:t>
      </w:r>
      <w:r w:rsidR="000A5329" w:rsidRPr="002029AF">
        <w:t xml:space="preserve"> </w:t>
      </w:r>
      <w:r w:rsidRPr="002029AF">
        <w:t>Service</w:t>
      </w:r>
      <w:r w:rsidR="000A5329" w:rsidRPr="002029AF">
        <w:t xml:space="preserve"> </w:t>
      </w:r>
      <w:r w:rsidRPr="002029AF">
        <w:t>providers</w:t>
      </w:r>
      <w:r w:rsidR="000A5329" w:rsidRPr="002029AF">
        <w:t xml:space="preserve"> </w:t>
      </w:r>
      <w:r w:rsidRPr="002029AF">
        <w:t>include</w:t>
      </w:r>
      <w:r w:rsidR="000A5329" w:rsidRPr="002029AF">
        <w:t xml:space="preserve"> </w:t>
      </w:r>
      <w:r w:rsidRPr="002029AF">
        <w:t>small</w:t>
      </w:r>
      <w:r w:rsidR="000A5329" w:rsidRPr="002029AF">
        <w:t xml:space="preserve"> </w:t>
      </w:r>
      <w:r w:rsidRPr="002029AF">
        <w:t>rural</w:t>
      </w:r>
      <w:r w:rsidR="000A5329" w:rsidRPr="002029AF">
        <w:t xml:space="preserve"> </w:t>
      </w:r>
      <w:r w:rsidRPr="002029AF">
        <w:t>hospitals,</w:t>
      </w:r>
      <w:r w:rsidR="000A5329" w:rsidRPr="002029AF">
        <w:t xml:space="preserve"> </w:t>
      </w:r>
      <w:r w:rsidRPr="002029AF">
        <w:t>community</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bush</w:t>
      </w:r>
      <w:r w:rsidR="000A5329" w:rsidRPr="002029AF">
        <w:t xml:space="preserve"> </w:t>
      </w:r>
      <w:r w:rsidRPr="002029AF">
        <w:t>nursing</w:t>
      </w:r>
      <w:r w:rsidR="000A5329" w:rsidRPr="002029AF">
        <w:t xml:space="preserve"> </w:t>
      </w:r>
      <w:r w:rsidRPr="002029AF">
        <w:t>centres,</w:t>
      </w:r>
      <w:r w:rsidR="000A5329" w:rsidRPr="002029AF">
        <w:t xml:space="preserve"> </w:t>
      </w:r>
      <w:r w:rsidRPr="002029AF">
        <w:t>multipurpose</w:t>
      </w:r>
      <w:r w:rsidR="000A5329" w:rsidRPr="002029AF">
        <w:t xml:space="preserve"> </w:t>
      </w:r>
      <w:r w:rsidRPr="002029AF">
        <w:t>services</w:t>
      </w:r>
      <w:r w:rsidR="000A5329" w:rsidRPr="002029AF">
        <w:t xml:space="preserve"> </w:t>
      </w:r>
      <w:r w:rsidRPr="002029AF">
        <w:t>and</w:t>
      </w:r>
      <w:r w:rsidR="000A5329" w:rsidRPr="002029AF">
        <w:t xml:space="preserve"> </w:t>
      </w:r>
      <w:r w:rsidRPr="002029AF">
        <w:t>public</w:t>
      </w:r>
      <w:r w:rsidR="000A5329" w:rsidRPr="002029AF">
        <w:t xml:space="preserve"> </w:t>
      </w:r>
      <w:r w:rsidRPr="002029AF">
        <w:t>sector</w:t>
      </w:r>
      <w:r w:rsidR="000A5329" w:rsidRPr="002029AF">
        <w:t xml:space="preserve"> </w:t>
      </w:r>
      <w:r w:rsidRPr="002029AF">
        <w:t>residential</w:t>
      </w:r>
      <w:r w:rsidR="000A5329" w:rsidRPr="002029AF">
        <w:t xml:space="preserve"> </w:t>
      </w:r>
      <w:r w:rsidRPr="002029AF">
        <w:t>aged</w:t>
      </w:r>
      <w:r w:rsidR="000A5329" w:rsidRPr="002029AF">
        <w:t xml:space="preserve"> </w:t>
      </w:r>
      <w:r w:rsidRPr="002029AF">
        <w:t>care</w:t>
      </w:r>
      <w:r w:rsidR="000A5329" w:rsidRPr="002029AF">
        <w:t xml:space="preserve"> </w:t>
      </w:r>
      <w:r w:rsidRPr="002029AF">
        <w:t>services.</w:t>
      </w:r>
    </w:p>
    <w:p w14:paraId="69B28ED3" w14:textId="6267655E" w:rsidR="00087B91" w:rsidRPr="002029AF" w:rsidRDefault="00087B91" w:rsidP="00087B91">
      <w:pPr>
        <w:pStyle w:val="Heading6"/>
        <w:rPr>
          <w:lang w:val="en-AU"/>
        </w:rPr>
      </w:pPr>
      <w:r w:rsidRPr="002029AF">
        <w:rPr>
          <w:lang w:val="en-AU"/>
        </w:rPr>
        <w:t>Output</w:t>
      </w:r>
      <w:r w:rsidR="000A5329" w:rsidRPr="002029AF">
        <w:rPr>
          <w:lang w:val="en-AU"/>
        </w:rPr>
        <w:t xml:space="preserve"> </w:t>
      </w:r>
      <w:r w:rsidRPr="002029AF">
        <w:rPr>
          <w:lang w:val="en-AU"/>
        </w:rPr>
        <w:t>group</w:t>
      </w:r>
      <w:r w:rsidR="000A5329" w:rsidRPr="002029AF">
        <w:rPr>
          <w:lang w:val="en-AU"/>
        </w:rPr>
        <w:t xml:space="preserve"> </w:t>
      </w:r>
      <w:r w:rsidRPr="002029AF">
        <w:rPr>
          <w:lang w:val="en-AU"/>
        </w:rPr>
        <w:t>7:</w:t>
      </w:r>
      <w:r w:rsidR="000A5329" w:rsidRPr="002029AF">
        <w:rPr>
          <w:lang w:val="en-AU"/>
        </w:rPr>
        <w:t xml:space="preserve"> </w:t>
      </w:r>
      <w:r w:rsidRPr="002029AF">
        <w:rPr>
          <w:lang w:val="en-AU"/>
        </w:rPr>
        <w:t>Public</w:t>
      </w:r>
      <w:r w:rsidR="000A5329" w:rsidRPr="002029AF">
        <w:rPr>
          <w:lang w:val="en-AU"/>
        </w:rPr>
        <w:t xml:space="preserve"> </w:t>
      </w:r>
      <w:r w:rsidRPr="002029AF">
        <w:rPr>
          <w:lang w:val="en-AU"/>
        </w:rPr>
        <w:t>Health</w:t>
      </w:r>
    </w:p>
    <w:p w14:paraId="021E27F9" w14:textId="7773F785" w:rsidR="00087B91" w:rsidRPr="002029AF" w:rsidRDefault="00087B91" w:rsidP="00087B91">
      <w:pPr>
        <w:pStyle w:val="ARfinbody"/>
      </w:pPr>
      <w:r w:rsidRPr="002029AF">
        <w:t>Public</w:t>
      </w:r>
      <w:r w:rsidR="000A5329" w:rsidRPr="002029AF">
        <w:t xml:space="preserve"> </w:t>
      </w:r>
      <w:r w:rsidRPr="002029AF">
        <w:t>Health</w:t>
      </w:r>
      <w:r w:rsidR="000A5329" w:rsidRPr="002029AF">
        <w:t xml:space="preserve"> </w:t>
      </w:r>
      <w:r w:rsidRPr="002029AF">
        <w:t>output</w:t>
      </w:r>
      <w:r w:rsidR="000A5329" w:rsidRPr="002029AF">
        <w:t xml:space="preserve"> </w:t>
      </w:r>
      <w:r w:rsidRPr="002029AF">
        <w:t>encompasses</w:t>
      </w:r>
      <w:r w:rsidR="000A5329" w:rsidRPr="002029AF">
        <w:t xml:space="preserve"> </w:t>
      </w:r>
      <w:r w:rsidRPr="002029AF">
        <w:t>services</w:t>
      </w:r>
      <w:r w:rsidR="000A5329" w:rsidRPr="002029AF">
        <w:t xml:space="preserve"> </w:t>
      </w:r>
      <w:r w:rsidRPr="002029AF">
        <w:t>and</w:t>
      </w:r>
      <w:r w:rsidR="000A5329" w:rsidRPr="002029AF">
        <w:t xml:space="preserve"> </w:t>
      </w:r>
      <w:r w:rsidRPr="002029AF">
        <w:t>support,</w:t>
      </w:r>
      <w:r w:rsidR="000A5329" w:rsidRPr="002029AF">
        <w:t xml:space="preserve"> </w:t>
      </w:r>
      <w:r w:rsidRPr="002029AF">
        <w:t>including</w:t>
      </w:r>
      <w:r w:rsidR="000A5329" w:rsidRPr="002029AF">
        <w:t xml:space="preserve"> </w:t>
      </w:r>
      <w:r w:rsidRPr="002029AF">
        <w:t>screening</w:t>
      </w:r>
      <w:r w:rsidR="000A5329" w:rsidRPr="002029AF">
        <w:t xml:space="preserve"> </w:t>
      </w:r>
      <w:r w:rsidRPr="002029AF">
        <w:t>for</w:t>
      </w:r>
      <w:r w:rsidR="000A5329" w:rsidRPr="002029AF">
        <w:t xml:space="preserve"> </w:t>
      </w:r>
      <w:r w:rsidRPr="002029AF">
        <w:t>health</w:t>
      </w:r>
      <w:r w:rsidR="000A5329" w:rsidRPr="002029AF">
        <w:t xml:space="preserve"> </w:t>
      </w:r>
      <w:r w:rsidRPr="002029AF">
        <w:t>conditions</w:t>
      </w:r>
      <w:r w:rsidR="000A5329" w:rsidRPr="002029AF">
        <w:t xml:space="preserve"> </w:t>
      </w:r>
      <w:r w:rsidRPr="002029AF">
        <w:t>and</w:t>
      </w:r>
      <w:r w:rsidR="000A5329" w:rsidRPr="002029AF">
        <w:t xml:space="preserve"> </w:t>
      </w:r>
      <w:r w:rsidRPr="002029AF">
        <w:t>safety</w:t>
      </w:r>
      <w:r w:rsidR="000A5329" w:rsidRPr="002029AF">
        <w:t xml:space="preserve"> </w:t>
      </w:r>
      <w:r w:rsidRPr="002029AF">
        <w:t>inspections</w:t>
      </w:r>
      <w:r w:rsidR="000A5329" w:rsidRPr="002029AF">
        <w:t xml:space="preserve"> </w:t>
      </w:r>
      <w:r w:rsidRPr="002029AF">
        <w:t>that</w:t>
      </w:r>
      <w:r w:rsidR="000A5329" w:rsidRPr="002029AF">
        <w:t xml:space="preserve"> </w:t>
      </w:r>
      <w:r w:rsidRPr="002029AF">
        <w:t>promote</w:t>
      </w:r>
      <w:r w:rsidR="000A5329" w:rsidRPr="002029AF">
        <w:t xml:space="preserve"> </w:t>
      </w:r>
      <w:r w:rsidRPr="002029AF">
        <w:t>and</w:t>
      </w:r>
      <w:r w:rsidR="000A5329" w:rsidRPr="002029AF">
        <w:t xml:space="preserve"> </w:t>
      </w:r>
      <w:r w:rsidRPr="002029AF">
        <w:t>protect</w:t>
      </w:r>
      <w:r w:rsidR="000A5329" w:rsidRPr="002029AF">
        <w:t xml:space="preserve"> </w:t>
      </w:r>
      <w:r w:rsidRPr="002029AF">
        <w:t>the</w:t>
      </w:r>
      <w:r w:rsidR="000A5329" w:rsidRPr="002029AF">
        <w:t xml:space="preserve"> </w:t>
      </w:r>
      <w:r w:rsidRPr="002029AF">
        <w:t>health</w:t>
      </w:r>
      <w:r w:rsidR="000A5329" w:rsidRPr="002029AF">
        <w:t xml:space="preserve"> </w:t>
      </w:r>
      <w:r w:rsidRPr="002029AF">
        <w:t>and</w:t>
      </w:r>
      <w:r w:rsidR="000A5329" w:rsidRPr="002029AF">
        <w:t xml:space="preserve"> </w:t>
      </w:r>
      <w:r w:rsidRPr="002029AF">
        <w:t>wellbeing</w:t>
      </w:r>
      <w:r w:rsidR="000A5329" w:rsidRPr="002029AF">
        <w:t xml:space="preserve"> </w:t>
      </w:r>
      <w:r w:rsidRPr="002029AF">
        <w:t>of</w:t>
      </w:r>
      <w:r w:rsidR="000A5329" w:rsidRPr="002029AF">
        <w:t xml:space="preserve"> </w:t>
      </w:r>
      <w:r w:rsidRPr="002029AF">
        <w:t>all</w:t>
      </w:r>
      <w:r w:rsidR="000A5329" w:rsidRPr="002029AF">
        <w:t xml:space="preserve"> </w:t>
      </w:r>
      <w:r w:rsidRPr="002029AF">
        <w:t>Victorians.</w:t>
      </w:r>
    </w:p>
    <w:p w14:paraId="59F01D79" w14:textId="2FF5AD3D" w:rsidR="00087B91" w:rsidRPr="002029AF" w:rsidRDefault="00087B91" w:rsidP="00087B91">
      <w:pPr>
        <w:pStyle w:val="Heading6"/>
        <w:rPr>
          <w:lang w:val="en-AU"/>
        </w:rPr>
      </w:pPr>
      <w:r w:rsidRPr="002029AF">
        <w:rPr>
          <w:lang w:val="en-AU"/>
        </w:rPr>
        <w:lastRenderedPageBreak/>
        <w:t>Output</w:t>
      </w:r>
      <w:r w:rsidR="000A5329" w:rsidRPr="002029AF">
        <w:rPr>
          <w:lang w:val="en-AU"/>
        </w:rPr>
        <w:t xml:space="preserve"> </w:t>
      </w:r>
      <w:r w:rsidRPr="002029AF">
        <w:rPr>
          <w:lang w:val="en-AU"/>
        </w:rPr>
        <w:t>group</w:t>
      </w:r>
      <w:r w:rsidR="000A5329" w:rsidRPr="002029AF">
        <w:rPr>
          <w:lang w:val="en-AU"/>
        </w:rPr>
        <w:t xml:space="preserve"> </w:t>
      </w:r>
      <w:r w:rsidRPr="002029AF">
        <w:rPr>
          <w:lang w:val="en-AU"/>
        </w:rPr>
        <w:t>8:</w:t>
      </w:r>
      <w:r w:rsidR="000A5329" w:rsidRPr="002029AF">
        <w:rPr>
          <w:lang w:val="en-AU"/>
        </w:rPr>
        <w:t xml:space="preserve"> </w:t>
      </w:r>
      <w:r w:rsidRPr="002029AF">
        <w:rPr>
          <w:lang w:val="en-AU"/>
        </w:rPr>
        <w:t>Drug</w:t>
      </w:r>
      <w:r w:rsidR="000A5329" w:rsidRPr="002029AF">
        <w:rPr>
          <w:lang w:val="en-AU"/>
        </w:rPr>
        <w:t xml:space="preserve"> </w:t>
      </w:r>
      <w:r w:rsidRPr="002029AF">
        <w:rPr>
          <w:lang w:val="en-AU"/>
        </w:rPr>
        <w:t>Services</w:t>
      </w:r>
    </w:p>
    <w:p w14:paraId="6BA796A1" w14:textId="79663CE8" w:rsidR="00087B91" w:rsidRPr="002029AF" w:rsidRDefault="00087B91" w:rsidP="00087B91">
      <w:pPr>
        <w:pStyle w:val="ARfinbody"/>
      </w:pPr>
      <w:r w:rsidRPr="002029AF">
        <w:t>Drug</w:t>
      </w:r>
      <w:r w:rsidR="000A5329" w:rsidRPr="002029AF">
        <w:t xml:space="preserve"> </w:t>
      </w:r>
      <w:r w:rsidRPr="002029AF">
        <w:t>Services</w:t>
      </w:r>
      <w:r w:rsidR="000A5329" w:rsidRPr="002029AF">
        <w:t xml:space="preserve"> </w:t>
      </w:r>
      <w:r w:rsidRPr="002029AF">
        <w:t>output</w:t>
      </w:r>
      <w:r w:rsidR="000A5329" w:rsidRPr="002029AF">
        <w:t xml:space="preserve"> </w:t>
      </w:r>
      <w:r w:rsidRPr="002029AF">
        <w:t>includes</w:t>
      </w:r>
      <w:r w:rsidR="000A5329" w:rsidRPr="002029AF">
        <w:t xml:space="preserve"> </w:t>
      </w:r>
      <w:r w:rsidRPr="002029AF">
        <w:t>programs</w:t>
      </w:r>
      <w:r w:rsidR="000A5329" w:rsidRPr="002029AF">
        <w:t xml:space="preserve"> </w:t>
      </w:r>
      <w:r w:rsidRPr="002029AF">
        <w:t>and</w:t>
      </w:r>
      <w:r w:rsidR="000A5329" w:rsidRPr="002029AF">
        <w:t xml:space="preserve"> </w:t>
      </w:r>
      <w:r w:rsidRPr="002029AF">
        <w:t>services</w:t>
      </w:r>
      <w:r w:rsidR="000A5329" w:rsidRPr="002029AF">
        <w:t xml:space="preserve"> </w:t>
      </w:r>
      <w:r w:rsidRPr="002029AF">
        <w:t>aimed</w:t>
      </w:r>
      <w:r w:rsidR="000A5329" w:rsidRPr="002029AF">
        <w:t xml:space="preserve"> </w:t>
      </w:r>
      <w:r w:rsidRPr="002029AF">
        <w:t>at</w:t>
      </w:r>
      <w:r w:rsidR="000A5329" w:rsidRPr="002029AF">
        <w:t xml:space="preserve"> </w:t>
      </w:r>
      <w:r w:rsidRPr="002029AF">
        <w:t>promoting</w:t>
      </w:r>
      <w:r w:rsidR="000A5329" w:rsidRPr="002029AF">
        <w:t xml:space="preserve"> </w:t>
      </w:r>
      <w:r w:rsidRPr="002029AF">
        <w:t>and</w:t>
      </w:r>
      <w:r w:rsidR="000A5329" w:rsidRPr="002029AF">
        <w:t xml:space="preserve"> </w:t>
      </w:r>
      <w:r w:rsidRPr="002029AF">
        <w:t>protecting</w:t>
      </w:r>
      <w:r w:rsidR="000A5329" w:rsidRPr="002029AF">
        <w:t xml:space="preserve"> </w:t>
      </w:r>
      <w:r w:rsidRPr="002029AF">
        <w:t>health</w:t>
      </w:r>
      <w:r w:rsidR="000A5329" w:rsidRPr="002029AF">
        <w:t xml:space="preserve"> </w:t>
      </w:r>
      <w:r w:rsidRPr="002029AF">
        <w:t>by</w:t>
      </w:r>
      <w:r w:rsidR="000A5329" w:rsidRPr="002029AF">
        <w:t xml:space="preserve"> </w:t>
      </w:r>
      <w:r w:rsidRPr="002029AF">
        <w:t>reducing</w:t>
      </w:r>
      <w:r w:rsidR="000A5329" w:rsidRPr="002029AF">
        <w:t xml:space="preserve"> </w:t>
      </w:r>
      <w:r w:rsidRPr="002029AF">
        <w:t>death,</w:t>
      </w:r>
      <w:r w:rsidR="000A5329" w:rsidRPr="002029AF">
        <w:t xml:space="preserve"> </w:t>
      </w:r>
      <w:r w:rsidRPr="002029AF">
        <w:t>disease</w:t>
      </w:r>
      <w:r w:rsidR="000A5329" w:rsidRPr="002029AF">
        <w:t xml:space="preserve"> </w:t>
      </w:r>
      <w:r w:rsidRPr="002029AF">
        <w:t>and</w:t>
      </w:r>
      <w:r w:rsidR="000A5329" w:rsidRPr="002029AF">
        <w:t xml:space="preserve"> </w:t>
      </w:r>
      <w:r w:rsidRPr="002029AF">
        <w:t>social</w:t>
      </w:r>
      <w:r w:rsidR="000A5329" w:rsidRPr="002029AF">
        <w:t xml:space="preserve"> </w:t>
      </w:r>
      <w:r w:rsidRPr="002029AF">
        <w:t>harm</w:t>
      </w:r>
      <w:r w:rsidR="000A5329" w:rsidRPr="002029AF">
        <w:t xml:space="preserve"> </w:t>
      </w:r>
      <w:r w:rsidRPr="002029AF">
        <w:t>caused</w:t>
      </w:r>
      <w:r w:rsidR="000A5329" w:rsidRPr="002029AF">
        <w:t xml:space="preserve"> </w:t>
      </w:r>
      <w:r w:rsidRPr="002029AF">
        <w:t>by</w:t>
      </w:r>
      <w:r w:rsidR="000A5329" w:rsidRPr="002029AF">
        <w:t xml:space="preserve"> </w:t>
      </w:r>
      <w:r w:rsidRPr="002029AF">
        <w:t>the</w:t>
      </w:r>
      <w:r w:rsidR="000A5329" w:rsidRPr="002029AF">
        <w:t xml:space="preserve"> </w:t>
      </w:r>
      <w:r w:rsidRPr="002029AF">
        <w:t>use</w:t>
      </w:r>
      <w:r w:rsidR="000A5329" w:rsidRPr="002029AF">
        <w:t xml:space="preserve"> </w:t>
      </w:r>
      <w:r w:rsidRPr="002029AF">
        <w:t>and</w:t>
      </w:r>
      <w:r w:rsidR="000A5329" w:rsidRPr="002029AF">
        <w:t xml:space="preserve"> </w:t>
      </w:r>
      <w:r w:rsidRPr="002029AF">
        <w:t>misuse</w:t>
      </w:r>
      <w:r w:rsidR="000A5329" w:rsidRPr="002029AF">
        <w:t xml:space="preserve"> </w:t>
      </w:r>
      <w:r w:rsidRPr="002029AF">
        <w:t>of</w:t>
      </w:r>
      <w:r w:rsidR="000A5329" w:rsidRPr="002029AF">
        <w:t xml:space="preserve"> </w:t>
      </w:r>
      <w:r w:rsidRPr="002029AF">
        <w:t>licit</w:t>
      </w:r>
      <w:r w:rsidR="000A5329" w:rsidRPr="002029AF">
        <w:t xml:space="preserve"> </w:t>
      </w:r>
      <w:r w:rsidRPr="002029AF">
        <w:t>and</w:t>
      </w:r>
      <w:r w:rsidR="000A5329" w:rsidRPr="002029AF">
        <w:t xml:space="preserve"> </w:t>
      </w:r>
      <w:r w:rsidRPr="002029AF">
        <w:t>illicit</w:t>
      </w:r>
      <w:r w:rsidR="000A5329" w:rsidRPr="002029AF">
        <w:t xml:space="preserve"> </w:t>
      </w:r>
      <w:r w:rsidRPr="002029AF">
        <w:t>drugs.</w:t>
      </w:r>
    </w:p>
    <w:p w14:paraId="174A9002" w14:textId="129D7A0C" w:rsidR="00087B91" w:rsidRPr="002029AF" w:rsidRDefault="00087B91" w:rsidP="00087B91">
      <w:pPr>
        <w:pStyle w:val="Heading6"/>
        <w:rPr>
          <w:lang w:val="en-AU"/>
        </w:rPr>
      </w:pPr>
      <w:r w:rsidRPr="002029AF">
        <w:rPr>
          <w:lang w:val="en-AU"/>
        </w:rPr>
        <w:t>Output</w:t>
      </w:r>
      <w:r w:rsidR="000A5329" w:rsidRPr="002029AF">
        <w:rPr>
          <w:lang w:val="en-AU"/>
        </w:rPr>
        <w:t xml:space="preserve"> </w:t>
      </w:r>
      <w:r w:rsidRPr="002029AF">
        <w:rPr>
          <w:lang w:val="en-AU"/>
        </w:rPr>
        <w:t>group</w:t>
      </w:r>
      <w:r w:rsidR="000A5329" w:rsidRPr="002029AF">
        <w:rPr>
          <w:lang w:val="en-AU"/>
        </w:rPr>
        <w:t xml:space="preserve"> </w:t>
      </w:r>
      <w:r w:rsidRPr="002029AF">
        <w:rPr>
          <w:lang w:val="en-AU"/>
        </w:rPr>
        <w:t>9:</w:t>
      </w:r>
      <w:r w:rsidR="000A5329" w:rsidRPr="002029AF">
        <w:rPr>
          <w:lang w:val="en-AU"/>
        </w:rPr>
        <w:t xml:space="preserve"> </w:t>
      </w:r>
      <w:r w:rsidRPr="002029AF">
        <w:rPr>
          <w:lang w:val="en-AU"/>
        </w:rPr>
        <w:t>Disability</w:t>
      </w:r>
      <w:r w:rsidR="000A5329" w:rsidRPr="002029AF">
        <w:rPr>
          <w:lang w:val="en-AU"/>
        </w:rPr>
        <w:t xml:space="preserve"> </w:t>
      </w:r>
      <w:r w:rsidRPr="002029AF">
        <w:rPr>
          <w:lang w:val="en-AU"/>
        </w:rPr>
        <w:t>Services</w:t>
      </w:r>
    </w:p>
    <w:p w14:paraId="22835766" w14:textId="4158C713" w:rsidR="00087B91" w:rsidRPr="002029AF" w:rsidRDefault="00087B91" w:rsidP="00087B91">
      <w:pPr>
        <w:pStyle w:val="ARfinbody"/>
      </w:pPr>
      <w:r w:rsidRPr="002029AF">
        <w:t>Disability</w:t>
      </w:r>
      <w:r w:rsidR="000A5329" w:rsidRPr="002029AF">
        <w:t xml:space="preserve"> </w:t>
      </w:r>
      <w:r w:rsidRPr="002029AF">
        <w:t>Services</w:t>
      </w:r>
      <w:r w:rsidR="000A5329" w:rsidRPr="002029AF">
        <w:t xml:space="preserve"> </w:t>
      </w:r>
      <w:r w:rsidRPr="002029AF">
        <w:t>output</w:t>
      </w:r>
      <w:r w:rsidR="000A5329" w:rsidRPr="002029AF">
        <w:t xml:space="preserve"> </w:t>
      </w:r>
      <w:r w:rsidRPr="002029AF">
        <w:t>includes</w:t>
      </w:r>
      <w:r w:rsidR="000A5329" w:rsidRPr="002029AF">
        <w:t xml:space="preserve"> </w:t>
      </w:r>
      <w:r w:rsidRPr="002029AF">
        <w:t>provision</w:t>
      </w:r>
      <w:r w:rsidR="000A5329" w:rsidRPr="002029AF">
        <w:t xml:space="preserve"> </w:t>
      </w:r>
      <w:r w:rsidRPr="002029AF">
        <w:t>of</w:t>
      </w:r>
      <w:r w:rsidR="000A5329" w:rsidRPr="002029AF">
        <w:t xml:space="preserve"> </w:t>
      </w:r>
      <w:r w:rsidRPr="002029AF">
        <w:t>continuing</w:t>
      </w:r>
      <w:r w:rsidR="000A5329" w:rsidRPr="002029AF">
        <w:t xml:space="preserve"> </w:t>
      </w:r>
      <w:r w:rsidRPr="002029AF">
        <w:t>care</w:t>
      </w:r>
      <w:r w:rsidR="000A5329" w:rsidRPr="002029AF">
        <w:t xml:space="preserve"> </w:t>
      </w:r>
      <w:r w:rsidRPr="002029AF">
        <w:t>and</w:t>
      </w:r>
      <w:r w:rsidR="000A5329" w:rsidRPr="002029AF">
        <w:t xml:space="preserve"> </w:t>
      </w:r>
      <w:r w:rsidRPr="002029AF">
        <w:t>support</w:t>
      </w:r>
      <w:r w:rsidR="000A5329" w:rsidRPr="002029AF">
        <w:t xml:space="preserve"> </w:t>
      </w:r>
      <w:r w:rsidRPr="002029AF">
        <w:t>services</w:t>
      </w:r>
      <w:r w:rsidR="000A5329" w:rsidRPr="002029AF">
        <w:t xml:space="preserve"> </w:t>
      </w:r>
      <w:r w:rsidRPr="002029AF">
        <w:t>for</w:t>
      </w:r>
      <w:r w:rsidR="000A5329" w:rsidRPr="002029AF">
        <w:t xml:space="preserve"> </w:t>
      </w:r>
      <w:r w:rsidRPr="002029AF">
        <w:t>people</w:t>
      </w:r>
      <w:r w:rsidR="000A5329" w:rsidRPr="002029AF">
        <w:t xml:space="preserve"> </w:t>
      </w:r>
      <w:r w:rsidRPr="002029AF">
        <w:t>with</w:t>
      </w:r>
      <w:r w:rsidR="000A5329" w:rsidRPr="002029AF">
        <w:t xml:space="preserve"> </w:t>
      </w:r>
      <w:r w:rsidRPr="002029AF">
        <w:t>disabilities,</w:t>
      </w:r>
      <w:r w:rsidR="000A5329" w:rsidRPr="002029AF">
        <w:t xml:space="preserve"> </w:t>
      </w:r>
      <w:r w:rsidRPr="002029AF">
        <w:t>their</w:t>
      </w:r>
      <w:r w:rsidR="000A5329" w:rsidRPr="002029AF">
        <w:t xml:space="preserve"> </w:t>
      </w:r>
      <w:r w:rsidRPr="002029AF">
        <w:t>carers</w:t>
      </w:r>
      <w:r w:rsidR="000A5329" w:rsidRPr="002029AF">
        <w:t xml:space="preserve"> </w:t>
      </w:r>
      <w:r w:rsidRPr="002029AF">
        <w:t>and</w:t>
      </w:r>
      <w:r w:rsidR="000A5329" w:rsidRPr="002029AF">
        <w:t xml:space="preserve"> </w:t>
      </w:r>
      <w:r w:rsidRPr="002029AF">
        <w:t>their</w:t>
      </w:r>
      <w:r w:rsidR="000A5329" w:rsidRPr="002029AF">
        <w:t xml:space="preserve"> </w:t>
      </w:r>
      <w:r w:rsidRPr="002029AF">
        <w:t>families,</w:t>
      </w:r>
      <w:r w:rsidR="000A5329" w:rsidRPr="002029AF">
        <w:t xml:space="preserve"> </w:t>
      </w:r>
      <w:r w:rsidRPr="002029AF">
        <w:t>and</w:t>
      </w:r>
      <w:r w:rsidR="000A5329" w:rsidRPr="002029AF">
        <w:t xml:space="preserve"> </w:t>
      </w:r>
      <w:r w:rsidRPr="002029AF">
        <w:t>aims</w:t>
      </w:r>
      <w:r w:rsidR="000A5329" w:rsidRPr="002029AF">
        <w:t xml:space="preserve"> </w:t>
      </w:r>
      <w:r w:rsidRPr="002029AF">
        <w:t>to</w:t>
      </w:r>
      <w:r w:rsidR="000A5329" w:rsidRPr="002029AF">
        <w:t xml:space="preserve"> </w:t>
      </w:r>
      <w:r w:rsidRPr="002029AF">
        <w:t>make</w:t>
      </w:r>
      <w:r w:rsidR="000A5329" w:rsidRPr="002029AF">
        <w:t xml:space="preserve"> </w:t>
      </w:r>
      <w:r w:rsidRPr="002029AF">
        <w:t>a</w:t>
      </w:r>
      <w:r w:rsidR="000A5329" w:rsidRPr="002029AF">
        <w:t xml:space="preserve"> </w:t>
      </w:r>
      <w:r w:rsidRPr="002029AF">
        <w:t>positive</w:t>
      </w:r>
      <w:r w:rsidR="000A5329" w:rsidRPr="002029AF">
        <w:t xml:space="preserve"> </w:t>
      </w:r>
      <w:r w:rsidRPr="002029AF">
        <w:t>difference</w:t>
      </w:r>
      <w:r w:rsidR="000A5329" w:rsidRPr="002029AF">
        <w:t xml:space="preserve"> </w:t>
      </w:r>
      <w:r w:rsidRPr="002029AF">
        <w:t>for</w:t>
      </w:r>
      <w:r w:rsidR="000A5329" w:rsidRPr="002029AF">
        <w:t xml:space="preserve"> </w:t>
      </w:r>
      <w:r w:rsidRPr="002029AF">
        <w:t>Victorians</w:t>
      </w:r>
      <w:r w:rsidR="000A5329" w:rsidRPr="002029AF">
        <w:t xml:space="preserve"> </w:t>
      </w:r>
      <w:r w:rsidRPr="002029AF">
        <w:t>experiencing</w:t>
      </w:r>
      <w:r w:rsidR="000A5329" w:rsidRPr="002029AF">
        <w:t xml:space="preserve"> </w:t>
      </w:r>
      <w:r w:rsidRPr="002029AF">
        <w:t>disadvantage</w:t>
      </w:r>
      <w:r w:rsidR="000A5329" w:rsidRPr="002029AF">
        <w:t xml:space="preserve"> </w:t>
      </w:r>
      <w:r w:rsidRPr="002029AF">
        <w:t>and</w:t>
      </w:r>
      <w:r w:rsidR="000A5329" w:rsidRPr="002029AF">
        <w:t xml:space="preserve"> </w:t>
      </w:r>
      <w:r w:rsidRPr="002029AF">
        <w:t>provide</w:t>
      </w:r>
      <w:r w:rsidR="000A5329" w:rsidRPr="002029AF">
        <w:t xml:space="preserve"> </w:t>
      </w:r>
      <w:r w:rsidRPr="002029AF">
        <w:t>excellent</w:t>
      </w:r>
      <w:r w:rsidR="000A5329" w:rsidRPr="002029AF">
        <w:t xml:space="preserve"> </w:t>
      </w:r>
      <w:r w:rsidRPr="002029AF">
        <w:t>community</w:t>
      </w:r>
      <w:r w:rsidR="000A5329" w:rsidRPr="002029AF">
        <w:t xml:space="preserve"> </w:t>
      </w:r>
      <w:r w:rsidRPr="002029AF">
        <w:t>services</w:t>
      </w:r>
      <w:r w:rsidR="000A5329" w:rsidRPr="002029AF">
        <w:t xml:space="preserve"> </w:t>
      </w:r>
      <w:r w:rsidRPr="002029AF">
        <w:t>to</w:t>
      </w:r>
      <w:r w:rsidR="000A5329" w:rsidRPr="002029AF">
        <w:t xml:space="preserve"> </w:t>
      </w:r>
      <w:r w:rsidRPr="002029AF">
        <w:t>meet</w:t>
      </w:r>
      <w:r w:rsidR="000A5329" w:rsidRPr="002029AF">
        <w:t xml:space="preserve"> </w:t>
      </w:r>
      <w:r w:rsidRPr="002029AF">
        <w:t>clients’</w:t>
      </w:r>
      <w:r w:rsidR="000A5329" w:rsidRPr="002029AF">
        <w:t xml:space="preserve"> </w:t>
      </w:r>
      <w:r w:rsidRPr="002029AF">
        <w:t>needs.</w:t>
      </w:r>
    </w:p>
    <w:p w14:paraId="23BCA026" w14:textId="41955448" w:rsidR="00087B91" w:rsidRPr="002029AF" w:rsidRDefault="00087B91" w:rsidP="00087B91">
      <w:pPr>
        <w:pStyle w:val="Heading6"/>
        <w:rPr>
          <w:lang w:val="en-AU"/>
        </w:rPr>
      </w:pPr>
      <w:r w:rsidRPr="002029AF">
        <w:rPr>
          <w:lang w:val="en-AU"/>
        </w:rPr>
        <w:t>Output</w:t>
      </w:r>
      <w:r w:rsidR="000A5329" w:rsidRPr="002029AF">
        <w:rPr>
          <w:lang w:val="en-AU"/>
        </w:rPr>
        <w:t xml:space="preserve"> </w:t>
      </w:r>
      <w:r w:rsidRPr="002029AF">
        <w:rPr>
          <w:lang w:val="en-AU"/>
        </w:rPr>
        <w:t>group</w:t>
      </w:r>
      <w:r w:rsidR="000A5329" w:rsidRPr="002029AF">
        <w:rPr>
          <w:lang w:val="en-AU"/>
        </w:rPr>
        <w:t xml:space="preserve"> </w:t>
      </w:r>
      <w:r w:rsidRPr="002029AF">
        <w:rPr>
          <w:lang w:val="en-AU"/>
        </w:rPr>
        <w:t>10:</w:t>
      </w:r>
      <w:r w:rsidR="000A5329" w:rsidRPr="002029AF">
        <w:rPr>
          <w:lang w:val="en-AU"/>
        </w:rPr>
        <w:t xml:space="preserve"> </w:t>
      </w:r>
      <w:r w:rsidRPr="002029AF">
        <w:rPr>
          <w:lang w:val="en-AU"/>
        </w:rPr>
        <w:t>Child</w:t>
      </w:r>
      <w:r w:rsidR="000A5329" w:rsidRPr="002029AF">
        <w:rPr>
          <w:lang w:val="en-AU"/>
        </w:rPr>
        <w:t xml:space="preserve"> </w:t>
      </w:r>
      <w:r w:rsidRPr="002029AF">
        <w:rPr>
          <w:lang w:val="en-AU"/>
        </w:rPr>
        <w:t>Protection</w:t>
      </w:r>
      <w:r w:rsidR="000A5329" w:rsidRPr="002029AF">
        <w:rPr>
          <w:lang w:val="en-AU"/>
        </w:rPr>
        <w:t xml:space="preserve"> </w:t>
      </w:r>
      <w:r w:rsidRPr="002029AF">
        <w:rPr>
          <w:lang w:val="en-AU"/>
        </w:rPr>
        <w:t>and</w:t>
      </w:r>
      <w:r w:rsidR="000A5329" w:rsidRPr="002029AF">
        <w:rPr>
          <w:lang w:val="en-AU"/>
        </w:rPr>
        <w:t xml:space="preserve"> </w:t>
      </w:r>
      <w:r w:rsidRPr="002029AF">
        <w:rPr>
          <w:lang w:val="en-AU"/>
        </w:rPr>
        <w:t>Family</w:t>
      </w:r>
      <w:r w:rsidR="000A5329" w:rsidRPr="002029AF">
        <w:rPr>
          <w:lang w:val="en-AU"/>
        </w:rPr>
        <w:t xml:space="preserve"> </w:t>
      </w:r>
      <w:r w:rsidRPr="002029AF">
        <w:rPr>
          <w:lang w:val="en-AU"/>
        </w:rPr>
        <w:t>Services</w:t>
      </w:r>
    </w:p>
    <w:p w14:paraId="16589F35" w14:textId="38599399" w:rsidR="00087B91" w:rsidRPr="002029AF" w:rsidRDefault="00087B91" w:rsidP="00087B91">
      <w:pPr>
        <w:pStyle w:val="ARfinbody"/>
      </w:pPr>
      <w:r w:rsidRPr="002029AF">
        <w:t>Child</w:t>
      </w:r>
      <w:r w:rsidR="000A5329" w:rsidRPr="002029AF">
        <w:t xml:space="preserve"> </w:t>
      </w:r>
      <w:r w:rsidRPr="002029AF">
        <w:t>Protection</w:t>
      </w:r>
      <w:r w:rsidR="000A5329" w:rsidRPr="002029AF">
        <w:t xml:space="preserve"> </w:t>
      </w:r>
      <w:r w:rsidRPr="002029AF">
        <w:t>and</w:t>
      </w:r>
      <w:r w:rsidR="000A5329" w:rsidRPr="002029AF">
        <w:t xml:space="preserve"> </w:t>
      </w:r>
      <w:r w:rsidRPr="002029AF">
        <w:t>Family</w:t>
      </w:r>
      <w:r w:rsidR="000A5329" w:rsidRPr="002029AF">
        <w:t xml:space="preserve"> </w:t>
      </w:r>
      <w:r w:rsidRPr="002029AF">
        <w:t>Services</w:t>
      </w:r>
      <w:r w:rsidR="000A5329" w:rsidRPr="002029AF">
        <w:t xml:space="preserve"> </w:t>
      </w:r>
      <w:r w:rsidRPr="002029AF">
        <w:t>output</w:t>
      </w:r>
      <w:r w:rsidR="000A5329" w:rsidRPr="002029AF">
        <w:t xml:space="preserve"> </w:t>
      </w:r>
      <w:r w:rsidRPr="002029AF">
        <w:t>funds</w:t>
      </w:r>
      <w:r w:rsidR="000A5329" w:rsidRPr="002029AF">
        <w:t xml:space="preserve"> </w:t>
      </w:r>
      <w:r w:rsidRPr="002029AF">
        <w:t>statutory</w:t>
      </w:r>
      <w:r w:rsidR="000A5329" w:rsidRPr="002029AF">
        <w:t xml:space="preserve"> </w:t>
      </w:r>
      <w:r w:rsidRPr="002029AF">
        <w:t>child</w:t>
      </w:r>
      <w:r w:rsidR="000A5329" w:rsidRPr="002029AF">
        <w:t xml:space="preserve"> </w:t>
      </w:r>
      <w:r w:rsidRPr="002029AF">
        <w:t>protection</w:t>
      </w:r>
      <w:r w:rsidR="000A5329" w:rsidRPr="002029AF">
        <w:t xml:space="preserve"> </w:t>
      </w:r>
      <w:r w:rsidRPr="002029AF">
        <w:t>services,</w:t>
      </w:r>
      <w:r w:rsidR="000A5329" w:rsidRPr="002029AF">
        <w:t xml:space="preserve"> </w:t>
      </w:r>
      <w:r w:rsidRPr="002029AF">
        <w:t>family</w:t>
      </w:r>
      <w:r w:rsidR="000A5329" w:rsidRPr="002029AF">
        <w:t xml:space="preserve"> </w:t>
      </w:r>
      <w:r w:rsidRPr="002029AF">
        <w:t>support</w:t>
      </w:r>
      <w:r w:rsidR="000A5329" w:rsidRPr="002029AF">
        <w:t xml:space="preserve"> </w:t>
      </w:r>
      <w:r w:rsidRPr="002029AF">
        <w:t>and</w:t>
      </w:r>
      <w:r w:rsidR="000A5329" w:rsidRPr="002029AF">
        <w:t xml:space="preserve"> </w:t>
      </w:r>
      <w:r w:rsidRPr="002029AF">
        <w:t>early</w:t>
      </w:r>
      <w:r w:rsidR="000A5329" w:rsidRPr="002029AF">
        <w:t xml:space="preserve"> </w:t>
      </w:r>
      <w:r w:rsidRPr="002029AF">
        <w:t>parenting</w:t>
      </w:r>
      <w:r w:rsidR="000A5329" w:rsidRPr="002029AF">
        <w:t xml:space="preserve"> </w:t>
      </w:r>
      <w:r w:rsidRPr="002029AF">
        <w:t>services,</w:t>
      </w:r>
      <w:r w:rsidR="000A5329" w:rsidRPr="002029AF">
        <w:t xml:space="preserve"> </w:t>
      </w:r>
      <w:r w:rsidRPr="002029AF">
        <w:t>family</w:t>
      </w:r>
      <w:r w:rsidR="000A5329" w:rsidRPr="002029AF">
        <w:t xml:space="preserve"> </w:t>
      </w:r>
      <w:r w:rsidRPr="002029AF">
        <w:t>violence</w:t>
      </w:r>
      <w:r w:rsidR="000A5329" w:rsidRPr="002029AF">
        <w:t xml:space="preserve"> </w:t>
      </w:r>
      <w:r w:rsidRPr="002029AF">
        <w:t>and</w:t>
      </w:r>
      <w:r w:rsidR="000A5329" w:rsidRPr="002029AF">
        <w:t xml:space="preserve"> </w:t>
      </w:r>
      <w:r w:rsidRPr="002029AF">
        <w:t>sexual</w:t>
      </w:r>
      <w:r w:rsidR="000A5329" w:rsidRPr="002029AF">
        <w:t xml:space="preserve"> </w:t>
      </w:r>
      <w:r w:rsidRPr="002029AF">
        <w:t>assault</w:t>
      </w:r>
      <w:r w:rsidR="000A5329" w:rsidRPr="002029AF">
        <w:t xml:space="preserve"> </w:t>
      </w:r>
      <w:r w:rsidRPr="002029AF">
        <w:t>services,</w:t>
      </w:r>
      <w:r w:rsidR="000A5329" w:rsidRPr="002029AF">
        <w:t xml:space="preserve"> </w:t>
      </w:r>
      <w:r w:rsidRPr="002029AF">
        <w:t>placement</w:t>
      </w:r>
      <w:r w:rsidR="000A5329" w:rsidRPr="002029AF">
        <w:t xml:space="preserve"> </w:t>
      </w:r>
      <w:r w:rsidRPr="002029AF">
        <w:t>care</w:t>
      </w:r>
      <w:r w:rsidR="000A5329" w:rsidRPr="002029AF">
        <w:t xml:space="preserve"> </w:t>
      </w:r>
      <w:r w:rsidRPr="002029AF">
        <w:t>services</w:t>
      </w:r>
      <w:r w:rsidR="000A5329" w:rsidRPr="002029AF">
        <w:t xml:space="preserve"> </w:t>
      </w:r>
      <w:r w:rsidRPr="002029AF">
        <w:t>and</w:t>
      </w:r>
      <w:r w:rsidR="000A5329" w:rsidRPr="002029AF">
        <w:t xml:space="preserve"> </w:t>
      </w:r>
      <w:r w:rsidRPr="002029AF">
        <w:t>specialist</w:t>
      </w:r>
      <w:r w:rsidR="000A5329" w:rsidRPr="002029AF">
        <w:t xml:space="preserve"> </w:t>
      </w:r>
      <w:r w:rsidRPr="002029AF">
        <w:t>support</w:t>
      </w:r>
      <w:r w:rsidR="000A5329" w:rsidRPr="002029AF">
        <w:t xml:space="preserve"> </w:t>
      </w:r>
      <w:r w:rsidRPr="002029AF">
        <w:t>services</w:t>
      </w:r>
      <w:r w:rsidR="000A5329" w:rsidRPr="002029AF">
        <w:t xml:space="preserve"> </w:t>
      </w:r>
      <w:r w:rsidRPr="002029AF">
        <w:t>to</w:t>
      </w:r>
      <w:r w:rsidR="000A5329" w:rsidRPr="002029AF">
        <w:t xml:space="preserve"> </w:t>
      </w:r>
      <w:r w:rsidRPr="002029AF">
        <w:t>ensure</w:t>
      </w:r>
      <w:r w:rsidR="000A5329" w:rsidRPr="002029AF">
        <w:t xml:space="preserve"> </w:t>
      </w:r>
      <w:r w:rsidRPr="002029AF">
        <w:t>the</w:t>
      </w:r>
      <w:r w:rsidR="000A5329" w:rsidRPr="002029AF">
        <w:t xml:space="preserve"> </w:t>
      </w:r>
      <w:r w:rsidRPr="002029AF">
        <w:t>safety</w:t>
      </w:r>
      <w:r w:rsidR="000A5329" w:rsidRPr="002029AF">
        <w:t xml:space="preserve"> </w:t>
      </w:r>
      <w:r w:rsidRPr="002029AF">
        <w:t>and</w:t>
      </w:r>
      <w:r w:rsidR="000A5329" w:rsidRPr="002029AF">
        <w:t xml:space="preserve"> </w:t>
      </w:r>
      <w:r w:rsidRPr="002029AF">
        <w:t>wellbeing</w:t>
      </w:r>
      <w:r w:rsidR="000A5329" w:rsidRPr="002029AF">
        <w:t xml:space="preserve"> </w:t>
      </w:r>
      <w:r w:rsidRPr="002029AF">
        <w:t>of</w:t>
      </w:r>
      <w:r w:rsidR="000A5329" w:rsidRPr="002029AF">
        <w:t xml:space="preserve"> </w:t>
      </w:r>
      <w:r w:rsidRPr="002029AF">
        <w:t>adolescents</w:t>
      </w:r>
      <w:r w:rsidR="000A5329" w:rsidRPr="002029AF">
        <w:t xml:space="preserve"> </w:t>
      </w:r>
      <w:r w:rsidRPr="002029AF">
        <w:t>and</w:t>
      </w:r>
      <w:r w:rsidR="000A5329" w:rsidRPr="002029AF">
        <w:t xml:space="preserve"> </w:t>
      </w:r>
      <w:r w:rsidRPr="002029AF">
        <w:t>children</w:t>
      </w:r>
      <w:r w:rsidR="000A5329" w:rsidRPr="002029AF">
        <w:t xml:space="preserve"> </w:t>
      </w:r>
      <w:r w:rsidRPr="002029AF">
        <w:t>at</w:t>
      </w:r>
      <w:r w:rsidR="000A5329" w:rsidRPr="002029AF">
        <w:t xml:space="preserve"> </w:t>
      </w:r>
      <w:r w:rsidRPr="002029AF">
        <w:t>risk</w:t>
      </w:r>
      <w:r w:rsidR="000A5329" w:rsidRPr="002029AF">
        <w:t xml:space="preserve"> </w:t>
      </w:r>
      <w:r w:rsidRPr="002029AF">
        <w:t>of</w:t>
      </w:r>
      <w:r w:rsidR="000A5329" w:rsidRPr="002029AF">
        <w:t xml:space="preserve"> </w:t>
      </w:r>
      <w:r w:rsidRPr="002029AF">
        <w:t>harm,</w:t>
      </w:r>
      <w:r w:rsidR="000A5329" w:rsidRPr="002029AF">
        <w:t xml:space="preserve"> </w:t>
      </w:r>
      <w:r w:rsidRPr="002029AF">
        <w:t>abuse</w:t>
      </w:r>
      <w:r w:rsidR="000A5329" w:rsidRPr="002029AF">
        <w:t xml:space="preserve"> </w:t>
      </w:r>
      <w:r w:rsidRPr="002029AF">
        <w:t>and</w:t>
      </w:r>
      <w:r w:rsidR="000A5329" w:rsidRPr="002029AF">
        <w:t xml:space="preserve"> </w:t>
      </w:r>
      <w:r w:rsidRPr="002029AF">
        <w:t>neglect.</w:t>
      </w:r>
    </w:p>
    <w:p w14:paraId="60E08014" w14:textId="328E34E7" w:rsidR="00087B91" w:rsidRPr="002029AF" w:rsidRDefault="00087B91" w:rsidP="00087B91">
      <w:pPr>
        <w:pStyle w:val="Heading6"/>
        <w:rPr>
          <w:lang w:val="en-AU"/>
        </w:rPr>
      </w:pPr>
      <w:r w:rsidRPr="002029AF">
        <w:rPr>
          <w:lang w:val="en-AU"/>
        </w:rPr>
        <w:t>Output</w:t>
      </w:r>
      <w:r w:rsidR="000A5329" w:rsidRPr="002029AF">
        <w:rPr>
          <w:lang w:val="en-AU"/>
        </w:rPr>
        <w:t xml:space="preserve"> </w:t>
      </w:r>
      <w:r w:rsidRPr="002029AF">
        <w:rPr>
          <w:lang w:val="en-AU"/>
        </w:rPr>
        <w:t>group</w:t>
      </w:r>
      <w:r w:rsidR="000A5329" w:rsidRPr="002029AF">
        <w:rPr>
          <w:lang w:val="en-AU"/>
        </w:rPr>
        <w:t xml:space="preserve"> </w:t>
      </w:r>
      <w:r w:rsidRPr="002029AF">
        <w:rPr>
          <w:lang w:val="en-AU"/>
        </w:rPr>
        <w:t>11:</w:t>
      </w:r>
      <w:r w:rsidR="000A5329" w:rsidRPr="002029AF">
        <w:rPr>
          <w:lang w:val="en-AU"/>
        </w:rPr>
        <w:t xml:space="preserve"> </w:t>
      </w:r>
      <w:r w:rsidRPr="002029AF">
        <w:rPr>
          <w:lang w:val="en-AU"/>
        </w:rPr>
        <w:t>Concessions</w:t>
      </w:r>
      <w:r w:rsidR="000A5329" w:rsidRPr="002029AF">
        <w:rPr>
          <w:lang w:val="en-AU"/>
        </w:rPr>
        <w:t xml:space="preserve"> </w:t>
      </w:r>
      <w:r w:rsidRPr="002029AF">
        <w:rPr>
          <w:lang w:val="en-AU"/>
        </w:rPr>
        <w:t>to</w:t>
      </w:r>
      <w:r w:rsidR="000A5329" w:rsidRPr="002029AF">
        <w:rPr>
          <w:lang w:val="en-AU"/>
        </w:rPr>
        <w:t xml:space="preserve"> </w:t>
      </w:r>
      <w:r w:rsidRPr="002029AF">
        <w:rPr>
          <w:lang w:val="en-AU"/>
        </w:rPr>
        <w:t>Pensioners</w:t>
      </w:r>
      <w:r w:rsidR="000A5329" w:rsidRPr="002029AF">
        <w:rPr>
          <w:lang w:val="en-AU"/>
        </w:rPr>
        <w:t xml:space="preserve"> </w:t>
      </w:r>
      <w:r w:rsidRPr="002029AF">
        <w:rPr>
          <w:lang w:val="en-AU"/>
        </w:rPr>
        <w:t>and</w:t>
      </w:r>
      <w:r w:rsidR="000A5329" w:rsidRPr="002029AF">
        <w:rPr>
          <w:lang w:val="en-AU"/>
        </w:rPr>
        <w:t xml:space="preserve"> </w:t>
      </w:r>
      <w:r w:rsidRPr="002029AF">
        <w:rPr>
          <w:lang w:val="en-AU"/>
        </w:rPr>
        <w:t>Beneficiaries</w:t>
      </w:r>
    </w:p>
    <w:p w14:paraId="1F9E7894" w14:textId="72FE8942" w:rsidR="00087B91" w:rsidRPr="002029AF" w:rsidRDefault="00087B91" w:rsidP="00087B91">
      <w:pPr>
        <w:pStyle w:val="ARfinbody"/>
      </w:pPr>
      <w:r w:rsidRPr="002029AF">
        <w:t>Concessions</w:t>
      </w:r>
      <w:r w:rsidR="000A5329" w:rsidRPr="002029AF">
        <w:t xml:space="preserve"> </w:t>
      </w:r>
      <w:r w:rsidRPr="002029AF">
        <w:t>to</w:t>
      </w:r>
      <w:r w:rsidR="000A5329" w:rsidRPr="002029AF">
        <w:t xml:space="preserve"> </w:t>
      </w:r>
      <w:r w:rsidRPr="002029AF">
        <w:t>Pensioners</w:t>
      </w:r>
      <w:r w:rsidR="000A5329" w:rsidRPr="002029AF">
        <w:t xml:space="preserve"> </w:t>
      </w:r>
      <w:r w:rsidRPr="002029AF">
        <w:t>and</w:t>
      </w:r>
      <w:r w:rsidR="000A5329" w:rsidRPr="002029AF">
        <w:t xml:space="preserve"> </w:t>
      </w:r>
      <w:r w:rsidRPr="002029AF">
        <w:t>Beneficiaries</w:t>
      </w:r>
      <w:r w:rsidR="000A5329" w:rsidRPr="002029AF">
        <w:t xml:space="preserve"> </w:t>
      </w:r>
      <w:r w:rsidRPr="002029AF">
        <w:t>output</w:t>
      </w:r>
      <w:r w:rsidR="000A5329" w:rsidRPr="002029AF">
        <w:t xml:space="preserve"> </w:t>
      </w:r>
      <w:r w:rsidRPr="002029AF">
        <w:t>includes</w:t>
      </w:r>
      <w:r w:rsidR="000A5329" w:rsidRPr="002029AF">
        <w:t xml:space="preserve"> </w:t>
      </w:r>
      <w:r w:rsidRPr="002029AF">
        <w:t>the</w:t>
      </w:r>
      <w:r w:rsidR="000A5329" w:rsidRPr="002029AF">
        <w:t xml:space="preserve"> </w:t>
      </w:r>
      <w:r w:rsidRPr="002029AF">
        <w:t>development</w:t>
      </w:r>
      <w:r w:rsidR="000A5329" w:rsidRPr="002029AF">
        <w:t xml:space="preserve"> </w:t>
      </w:r>
      <w:r w:rsidRPr="002029AF">
        <w:t>and</w:t>
      </w:r>
      <w:r w:rsidR="000A5329" w:rsidRPr="002029AF">
        <w:t xml:space="preserve"> </w:t>
      </w:r>
      <w:r w:rsidRPr="002029AF">
        <w:t>coordination</w:t>
      </w:r>
      <w:r w:rsidR="000A5329" w:rsidRPr="002029AF">
        <w:t xml:space="preserve"> </w:t>
      </w:r>
      <w:r w:rsidRPr="002029AF">
        <w:t>of</w:t>
      </w:r>
      <w:r w:rsidR="000A5329" w:rsidRPr="002029AF">
        <w:t xml:space="preserve"> </w:t>
      </w:r>
      <w:r w:rsidRPr="002029AF">
        <w:t>the</w:t>
      </w:r>
      <w:r w:rsidR="000A5329" w:rsidRPr="002029AF">
        <w:t xml:space="preserve"> </w:t>
      </w:r>
      <w:r w:rsidRPr="002029AF">
        <w:t>delivery</w:t>
      </w:r>
      <w:r w:rsidR="000A5329" w:rsidRPr="002029AF">
        <w:t xml:space="preserve"> </w:t>
      </w:r>
      <w:r w:rsidRPr="002029AF">
        <w:t>of</w:t>
      </w:r>
      <w:r w:rsidR="000A5329" w:rsidRPr="002029AF">
        <w:t xml:space="preserve"> </w:t>
      </w:r>
      <w:r w:rsidRPr="002029AF">
        <w:t>concessions</w:t>
      </w:r>
      <w:r w:rsidR="000A5329" w:rsidRPr="002029AF">
        <w:t xml:space="preserve"> </w:t>
      </w:r>
      <w:r w:rsidRPr="002029AF">
        <w:t>and</w:t>
      </w:r>
      <w:r w:rsidR="000A5329" w:rsidRPr="002029AF">
        <w:t xml:space="preserve"> </w:t>
      </w:r>
      <w:r w:rsidRPr="002029AF">
        <w:t>relief</w:t>
      </w:r>
      <w:r w:rsidR="000A5329" w:rsidRPr="002029AF">
        <w:t xml:space="preserve"> </w:t>
      </w:r>
      <w:r w:rsidRPr="002029AF">
        <w:t>grants</w:t>
      </w:r>
      <w:r w:rsidR="000A5329" w:rsidRPr="002029AF">
        <w:t xml:space="preserve"> </w:t>
      </w:r>
      <w:r w:rsidRPr="002029AF">
        <w:t>to</w:t>
      </w:r>
      <w:r w:rsidR="000A5329" w:rsidRPr="002029AF">
        <w:t xml:space="preserve"> </w:t>
      </w:r>
      <w:r w:rsidRPr="002029AF">
        <w:t>eligible</w:t>
      </w:r>
      <w:r w:rsidR="000A5329" w:rsidRPr="002029AF">
        <w:t xml:space="preserve"> </w:t>
      </w:r>
      <w:r w:rsidRPr="002029AF">
        <w:t>consumers</w:t>
      </w:r>
      <w:r w:rsidR="000A5329" w:rsidRPr="002029AF">
        <w:t xml:space="preserve"> </w:t>
      </w:r>
      <w:r w:rsidRPr="002029AF">
        <w:t>and</w:t>
      </w:r>
      <w:r w:rsidR="000A5329" w:rsidRPr="002029AF">
        <w:t xml:space="preserve"> </w:t>
      </w:r>
      <w:r w:rsidRPr="002029AF">
        <w:t>concession</w:t>
      </w:r>
      <w:r w:rsidR="000A5329" w:rsidRPr="002029AF">
        <w:t xml:space="preserve"> </w:t>
      </w:r>
      <w:r w:rsidRPr="002029AF">
        <w:t>card</w:t>
      </w:r>
      <w:r w:rsidR="000A5329" w:rsidRPr="002029AF">
        <w:t xml:space="preserve"> </w:t>
      </w:r>
      <w:r w:rsidRPr="002029AF">
        <w:t>holders.</w:t>
      </w:r>
    </w:p>
    <w:p w14:paraId="1D847C2A" w14:textId="51BD8480" w:rsidR="00087B91" w:rsidRPr="002029AF" w:rsidRDefault="00087B91" w:rsidP="00087B91">
      <w:pPr>
        <w:pStyle w:val="Heading6"/>
        <w:rPr>
          <w:lang w:val="en-AU"/>
        </w:rPr>
      </w:pPr>
      <w:r w:rsidRPr="002029AF">
        <w:rPr>
          <w:lang w:val="en-AU"/>
        </w:rPr>
        <w:t>Output</w:t>
      </w:r>
      <w:r w:rsidR="000A5329" w:rsidRPr="002029AF">
        <w:rPr>
          <w:lang w:val="en-AU"/>
        </w:rPr>
        <w:t xml:space="preserve"> </w:t>
      </w:r>
      <w:r w:rsidRPr="002029AF">
        <w:rPr>
          <w:lang w:val="en-AU"/>
        </w:rPr>
        <w:t>group</w:t>
      </w:r>
      <w:r w:rsidR="000A5329" w:rsidRPr="002029AF">
        <w:rPr>
          <w:lang w:val="en-AU"/>
        </w:rPr>
        <w:t xml:space="preserve"> </w:t>
      </w:r>
      <w:r w:rsidRPr="002029AF">
        <w:rPr>
          <w:lang w:val="en-AU"/>
        </w:rPr>
        <w:t>12:</w:t>
      </w:r>
      <w:r w:rsidR="000A5329" w:rsidRPr="002029AF">
        <w:rPr>
          <w:lang w:val="en-AU"/>
        </w:rPr>
        <w:t xml:space="preserve"> </w:t>
      </w:r>
      <w:r w:rsidRPr="002029AF">
        <w:rPr>
          <w:lang w:val="en-AU"/>
        </w:rPr>
        <w:t>Empowering</w:t>
      </w:r>
      <w:r w:rsidR="000A5329" w:rsidRPr="002029AF">
        <w:rPr>
          <w:lang w:val="en-AU"/>
        </w:rPr>
        <w:t xml:space="preserve"> </w:t>
      </w:r>
      <w:r w:rsidRPr="002029AF">
        <w:rPr>
          <w:lang w:val="en-AU"/>
        </w:rPr>
        <w:t>Individuals</w:t>
      </w:r>
      <w:r w:rsidR="000A5329" w:rsidRPr="002029AF">
        <w:rPr>
          <w:lang w:val="en-AU"/>
        </w:rPr>
        <w:t xml:space="preserve"> </w:t>
      </w:r>
      <w:r w:rsidRPr="002029AF">
        <w:rPr>
          <w:lang w:val="en-AU"/>
        </w:rPr>
        <w:t>and</w:t>
      </w:r>
      <w:r w:rsidR="000A5329" w:rsidRPr="002029AF">
        <w:rPr>
          <w:lang w:val="en-AU"/>
        </w:rPr>
        <w:t xml:space="preserve"> </w:t>
      </w:r>
      <w:r w:rsidRPr="002029AF">
        <w:rPr>
          <w:lang w:val="en-AU"/>
        </w:rPr>
        <w:t>Communities</w:t>
      </w:r>
    </w:p>
    <w:p w14:paraId="7E9C2C26" w14:textId="47653DEA" w:rsidR="00087B91" w:rsidRPr="002029AF" w:rsidRDefault="00087B91" w:rsidP="00087B91">
      <w:pPr>
        <w:pStyle w:val="ARfinbody"/>
      </w:pPr>
      <w:r w:rsidRPr="002029AF">
        <w:t>Empowering</w:t>
      </w:r>
      <w:r w:rsidR="000A5329" w:rsidRPr="002029AF">
        <w:t xml:space="preserve"> </w:t>
      </w:r>
      <w:r w:rsidRPr="002029AF">
        <w:t>Individuals</w:t>
      </w:r>
      <w:r w:rsidR="000A5329" w:rsidRPr="002029AF">
        <w:t xml:space="preserve"> </w:t>
      </w:r>
      <w:r w:rsidRPr="002029AF">
        <w:t>and</w:t>
      </w:r>
      <w:r w:rsidR="000A5329" w:rsidRPr="002029AF">
        <w:t xml:space="preserve"> </w:t>
      </w:r>
      <w:r w:rsidRPr="002029AF">
        <w:t>Communities</w:t>
      </w:r>
      <w:r w:rsidR="000A5329" w:rsidRPr="002029AF">
        <w:t xml:space="preserve"> </w:t>
      </w:r>
      <w:r w:rsidRPr="002029AF">
        <w:t>output</w:t>
      </w:r>
      <w:r w:rsidR="000A5329" w:rsidRPr="002029AF">
        <w:t xml:space="preserve"> </w:t>
      </w:r>
      <w:r w:rsidRPr="002029AF">
        <w:t>funds</w:t>
      </w:r>
      <w:r w:rsidR="000A5329" w:rsidRPr="002029AF">
        <w:t xml:space="preserve"> </w:t>
      </w:r>
      <w:r w:rsidRPr="002029AF">
        <w:t>programs</w:t>
      </w:r>
      <w:r w:rsidR="000A5329" w:rsidRPr="002029AF">
        <w:t xml:space="preserve"> </w:t>
      </w:r>
      <w:r w:rsidRPr="002029AF">
        <w:t>that</w:t>
      </w:r>
      <w:r w:rsidR="000A5329" w:rsidRPr="002029AF">
        <w:t xml:space="preserve"> </w:t>
      </w:r>
      <w:r w:rsidRPr="002029AF">
        <w:t>support</w:t>
      </w:r>
      <w:r w:rsidR="000A5329" w:rsidRPr="002029AF">
        <w:t xml:space="preserve"> </w:t>
      </w:r>
      <w:r w:rsidRPr="002029AF">
        <w:t>community</w:t>
      </w:r>
      <w:r w:rsidR="000A5329" w:rsidRPr="002029AF">
        <w:t xml:space="preserve"> </w:t>
      </w:r>
      <w:r w:rsidRPr="002029AF">
        <w:t>participation</w:t>
      </w:r>
      <w:r w:rsidR="000A5329" w:rsidRPr="002029AF">
        <w:t xml:space="preserve"> </w:t>
      </w:r>
      <w:r w:rsidRPr="002029AF">
        <w:t>including</w:t>
      </w:r>
      <w:r w:rsidR="000A5329" w:rsidRPr="002029AF">
        <w:t xml:space="preserve"> </w:t>
      </w:r>
      <w:r w:rsidRPr="002029AF">
        <w:t>Neighbourhood</w:t>
      </w:r>
      <w:r w:rsidR="000A5329" w:rsidRPr="002029AF">
        <w:t xml:space="preserve"> </w:t>
      </w:r>
      <w:r w:rsidRPr="002029AF">
        <w:t>Houses,</w:t>
      </w:r>
      <w:r w:rsidR="000A5329" w:rsidRPr="002029AF">
        <w:t xml:space="preserve"> </w:t>
      </w:r>
      <w:r w:rsidRPr="002029AF">
        <w:t>Men’s</w:t>
      </w:r>
      <w:r w:rsidR="000A5329" w:rsidRPr="002029AF">
        <w:t xml:space="preserve"> </w:t>
      </w:r>
      <w:r w:rsidRPr="002029AF">
        <w:t>Sheds,</w:t>
      </w:r>
      <w:r w:rsidR="000A5329" w:rsidRPr="002029AF">
        <w:t xml:space="preserve"> </w:t>
      </w:r>
      <w:r w:rsidRPr="002029AF">
        <w:t>community</w:t>
      </w:r>
      <w:r w:rsidR="000A5329" w:rsidRPr="002029AF">
        <w:t xml:space="preserve"> </w:t>
      </w:r>
      <w:r w:rsidRPr="002029AF">
        <w:t>support</w:t>
      </w:r>
      <w:r w:rsidR="000A5329" w:rsidRPr="002029AF">
        <w:t xml:space="preserve"> </w:t>
      </w:r>
      <w:r w:rsidRPr="002029AF">
        <w:t>projects</w:t>
      </w:r>
      <w:r w:rsidR="000A5329" w:rsidRPr="002029AF">
        <w:t xml:space="preserve"> </w:t>
      </w:r>
      <w:r w:rsidRPr="002029AF">
        <w:t>and</w:t>
      </w:r>
      <w:r w:rsidR="000A5329" w:rsidRPr="002029AF">
        <w:t xml:space="preserve"> </w:t>
      </w:r>
      <w:r w:rsidRPr="002029AF">
        <w:t>programs</w:t>
      </w:r>
      <w:r w:rsidR="000A5329" w:rsidRPr="002029AF">
        <w:t xml:space="preserve"> </w:t>
      </w:r>
      <w:r w:rsidRPr="002029AF">
        <w:t>for</w:t>
      </w:r>
      <w:r w:rsidR="000A5329" w:rsidRPr="002029AF">
        <w:t xml:space="preserve"> </w:t>
      </w:r>
      <w:r w:rsidRPr="002029AF">
        <w:t>people</w:t>
      </w:r>
      <w:r w:rsidR="000A5329" w:rsidRPr="002029AF">
        <w:t xml:space="preserve"> </w:t>
      </w:r>
      <w:r w:rsidRPr="002029AF">
        <w:t>with</w:t>
      </w:r>
      <w:r w:rsidR="000A5329" w:rsidRPr="002029AF">
        <w:t xml:space="preserve"> </w:t>
      </w:r>
      <w:r w:rsidRPr="002029AF">
        <w:t>disability.</w:t>
      </w:r>
    </w:p>
    <w:p w14:paraId="4856A64A" w14:textId="529C1257" w:rsidR="00087B91" w:rsidRPr="002029AF" w:rsidRDefault="00087B91" w:rsidP="00087B91">
      <w:pPr>
        <w:pStyle w:val="Heading6"/>
        <w:rPr>
          <w:lang w:val="en-AU"/>
        </w:rPr>
      </w:pPr>
      <w:r w:rsidRPr="002029AF">
        <w:rPr>
          <w:lang w:val="en-AU"/>
        </w:rPr>
        <w:t>Output</w:t>
      </w:r>
      <w:r w:rsidR="000A5329" w:rsidRPr="002029AF">
        <w:rPr>
          <w:lang w:val="en-AU"/>
        </w:rPr>
        <w:t xml:space="preserve"> </w:t>
      </w:r>
      <w:r w:rsidRPr="002029AF">
        <w:rPr>
          <w:lang w:val="en-AU"/>
        </w:rPr>
        <w:t>group</w:t>
      </w:r>
      <w:r w:rsidR="000A5329" w:rsidRPr="002029AF">
        <w:rPr>
          <w:lang w:val="en-AU"/>
        </w:rPr>
        <w:t xml:space="preserve"> </w:t>
      </w:r>
      <w:r w:rsidRPr="002029AF">
        <w:rPr>
          <w:lang w:val="en-AU"/>
        </w:rPr>
        <w:t>13:</w:t>
      </w:r>
      <w:r w:rsidR="000A5329" w:rsidRPr="002029AF">
        <w:rPr>
          <w:lang w:val="en-AU"/>
        </w:rPr>
        <w:t xml:space="preserve"> </w:t>
      </w:r>
      <w:r w:rsidRPr="002029AF">
        <w:rPr>
          <w:lang w:val="en-AU"/>
        </w:rPr>
        <w:t>Gender</w:t>
      </w:r>
      <w:r w:rsidR="000A5329" w:rsidRPr="002029AF">
        <w:rPr>
          <w:lang w:val="en-AU"/>
        </w:rPr>
        <w:t xml:space="preserve"> </w:t>
      </w:r>
      <w:r w:rsidRPr="002029AF">
        <w:rPr>
          <w:lang w:val="en-AU"/>
        </w:rPr>
        <w:t>Equality</w:t>
      </w:r>
      <w:r w:rsidR="000A5329" w:rsidRPr="002029AF">
        <w:rPr>
          <w:lang w:val="en-AU"/>
        </w:rPr>
        <w:t xml:space="preserve"> </w:t>
      </w:r>
      <w:r w:rsidRPr="002029AF">
        <w:rPr>
          <w:lang w:val="en-AU"/>
        </w:rPr>
        <w:t>and</w:t>
      </w:r>
      <w:r w:rsidR="000A5329" w:rsidRPr="002029AF">
        <w:rPr>
          <w:lang w:val="en-AU"/>
        </w:rPr>
        <w:t xml:space="preserve"> </w:t>
      </w:r>
      <w:r w:rsidRPr="002029AF">
        <w:rPr>
          <w:lang w:val="en-AU"/>
        </w:rPr>
        <w:t>the</w:t>
      </w:r>
      <w:r w:rsidR="000A5329" w:rsidRPr="002029AF">
        <w:rPr>
          <w:lang w:val="en-AU"/>
        </w:rPr>
        <w:t xml:space="preserve"> </w:t>
      </w:r>
      <w:r w:rsidRPr="002029AF">
        <w:rPr>
          <w:lang w:val="en-AU"/>
        </w:rPr>
        <w:t>Prevention</w:t>
      </w:r>
      <w:r w:rsidR="000A5329" w:rsidRPr="002029AF">
        <w:rPr>
          <w:lang w:val="en-AU"/>
        </w:rPr>
        <w:t xml:space="preserve"> </w:t>
      </w:r>
      <w:r w:rsidRPr="002029AF">
        <w:rPr>
          <w:lang w:val="en-AU"/>
        </w:rPr>
        <w:t>of</w:t>
      </w:r>
      <w:r w:rsidR="000A5329" w:rsidRPr="002029AF">
        <w:rPr>
          <w:lang w:val="en-AU"/>
        </w:rPr>
        <w:t xml:space="preserve"> </w:t>
      </w:r>
      <w:r w:rsidRPr="002029AF">
        <w:rPr>
          <w:lang w:val="en-AU"/>
        </w:rPr>
        <w:t>Family</w:t>
      </w:r>
      <w:r w:rsidR="000A5329" w:rsidRPr="002029AF">
        <w:rPr>
          <w:lang w:val="en-AU"/>
        </w:rPr>
        <w:t xml:space="preserve"> </w:t>
      </w:r>
      <w:r w:rsidRPr="002029AF">
        <w:rPr>
          <w:lang w:val="en-AU"/>
        </w:rPr>
        <w:t>Violence</w:t>
      </w:r>
    </w:p>
    <w:p w14:paraId="3F3641B8" w14:textId="2FF608B9" w:rsidR="00087B91" w:rsidRPr="002029AF" w:rsidRDefault="00087B91" w:rsidP="00087B91">
      <w:pPr>
        <w:pStyle w:val="ARfinbody"/>
      </w:pPr>
      <w:r w:rsidRPr="002029AF">
        <w:t>Gender</w:t>
      </w:r>
      <w:r w:rsidR="000A5329" w:rsidRPr="002029AF">
        <w:t xml:space="preserve"> </w:t>
      </w:r>
      <w:r w:rsidRPr="002029AF">
        <w:t>Equality</w:t>
      </w:r>
      <w:r w:rsidR="000A5329" w:rsidRPr="002029AF">
        <w:t xml:space="preserve"> </w:t>
      </w:r>
      <w:r w:rsidRPr="002029AF">
        <w:t>and</w:t>
      </w:r>
      <w:r w:rsidR="000A5329" w:rsidRPr="002029AF">
        <w:t xml:space="preserve"> </w:t>
      </w:r>
      <w:r w:rsidRPr="002029AF">
        <w:t>the</w:t>
      </w:r>
      <w:r w:rsidR="000A5329" w:rsidRPr="002029AF">
        <w:t xml:space="preserve"> </w:t>
      </w:r>
      <w:r w:rsidRPr="002029AF">
        <w:t>Prevention</w:t>
      </w:r>
      <w:r w:rsidR="000A5329" w:rsidRPr="002029AF">
        <w:t xml:space="preserve"> </w:t>
      </w:r>
      <w:r w:rsidRPr="002029AF">
        <w:t>of</w:t>
      </w:r>
      <w:r w:rsidR="000A5329" w:rsidRPr="002029AF">
        <w:t xml:space="preserve"> </w:t>
      </w:r>
      <w:r w:rsidRPr="002029AF">
        <w:t>Family</w:t>
      </w:r>
      <w:r w:rsidR="000A5329" w:rsidRPr="002029AF">
        <w:t xml:space="preserve"> </w:t>
      </w:r>
      <w:r w:rsidRPr="002029AF">
        <w:t>Violence</w:t>
      </w:r>
      <w:r w:rsidR="000A5329" w:rsidRPr="002029AF">
        <w:t xml:space="preserve"> </w:t>
      </w:r>
      <w:r w:rsidRPr="002029AF">
        <w:t>output</w:t>
      </w:r>
      <w:r w:rsidR="000A5329" w:rsidRPr="002029AF">
        <w:t xml:space="preserve"> </w:t>
      </w:r>
      <w:r w:rsidRPr="002029AF">
        <w:t>provides</w:t>
      </w:r>
      <w:r w:rsidR="000A5329" w:rsidRPr="002029AF">
        <w:t xml:space="preserve"> </w:t>
      </w:r>
      <w:r w:rsidRPr="002029AF">
        <w:t>initiatives</w:t>
      </w:r>
      <w:r w:rsidR="000A5329" w:rsidRPr="002029AF">
        <w:t xml:space="preserve"> </w:t>
      </w:r>
      <w:r w:rsidRPr="002029AF">
        <w:t>that</w:t>
      </w:r>
      <w:r w:rsidR="000A5329" w:rsidRPr="002029AF">
        <w:t xml:space="preserve"> </w:t>
      </w:r>
      <w:r w:rsidRPr="002029AF">
        <w:t>support</w:t>
      </w:r>
      <w:r w:rsidR="000A5329" w:rsidRPr="002029AF">
        <w:t xml:space="preserve"> </w:t>
      </w:r>
      <w:r w:rsidRPr="002029AF">
        <w:t>women</w:t>
      </w:r>
      <w:r w:rsidR="000A5329" w:rsidRPr="002029AF">
        <w:t xml:space="preserve"> </w:t>
      </w:r>
      <w:r w:rsidRPr="002029AF">
        <w:t>and</w:t>
      </w:r>
      <w:r w:rsidR="000A5329" w:rsidRPr="002029AF">
        <w:t xml:space="preserve"> </w:t>
      </w:r>
      <w:r w:rsidRPr="002029AF">
        <w:t>the</w:t>
      </w:r>
      <w:r w:rsidR="000A5329" w:rsidRPr="002029AF">
        <w:t xml:space="preserve"> </w:t>
      </w:r>
      <w:r w:rsidRPr="002029AF">
        <w:t>prevention</w:t>
      </w:r>
      <w:r w:rsidR="000A5329" w:rsidRPr="002029AF">
        <w:t xml:space="preserve"> </w:t>
      </w:r>
      <w:r w:rsidRPr="002029AF">
        <w:t>of</w:t>
      </w:r>
      <w:r w:rsidR="000A5329" w:rsidRPr="002029AF">
        <w:t xml:space="preserve"> </w:t>
      </w:r>
      <w:r w:rsidRPr="002029AF">
        <w:t>family</w:t>
      </w:r>
      <w:r w:rsidR="000A5329" w:rsidRPr="002029AF">
        <w:t xml:space="preserve"> </w:t>
      </w:r>
      <w:r w:rsidRPr="002029AF">
        <w:t>violence</w:t>
      </w:r>
      <w:r w:rsidR="000A5329" w:rsidRPr="002029AF">
        <w:t xml:space="preserve"> </w:t>
      </w:r>
      <w:r w:rsidRPr="002029AF">
        <w:t>and</w:t>
      </w:r>
      <w:r w:rsidR="000A5329" w:rsidRPr="002029AF">
        <w:t xml:space="preserve"> </w:t>
      </w:r>
      <w:r w:rsidRPr="002029AF">
        <w:t>support</w:t>
      </w:r>
      <w:r w:rsidR="000A5329" w:rsidRPr="002029AF">
        <w:t xml:space="preserve"> </w:t>
      </w:r>
      <w:r w:rsidRPr="002029AF">
        <w:t>the</w:t>
      </w:r>
      <w:r w:rsidR="000A5329" w:rsidRPr="002029AF">
        <w:t xml:space="preserve"> </w:t>
      </w:r>
      <w:r w:rsidRPr="002029AF">
        <w:t>economic,</w:t>
      </w:r>
      <w:r w:rsidR="000A5329" w:rsidRPr="002029AF">
        <w:t xml:space="preserve"> </w:t>
      </w:r>
      <w:r w:rsidRPr="002029AF">
        <w:t>social</w:t>
      </w:r>
      <w:r w:rsidR="000A5329" w:rsidRPr="002029AF">
        <w:t xml:space="preserve"> </w:t>
      </w:r>
      <w:r w:rsidRPr="002029AF">
        <w:t>and</w:t>
      </w:r>
      <w:r w:rsidR="000A5329" w:rsidRPr="002029AF">
        <w:t xml:space="preserve"> </w:t>
      </w:r>
      <w:r w:rsidRPr="002029AF">
        <w:t>civic</w:t>
      </w:r>
      <w:r w:rsidR="000A5329" w:rsidRPr="002029AF">
        <w:t xml:space="preserve"> </w:t>
      </w:r>
      <w:r w:rsidRPr="002029AF">
        <w:t>participation</w:t>
      </w:r>
      <w:r w:rsidR="000A5329" w:rsidRPr="002029AF">
        <w:t xml:space="preserve"> </w:t>
      </w:r>
      <w:r w:rsidRPr="002029AF">
        <w:t>and</w:t>
      </w:r>
      <w:r w:rsidR="000A5329" w:rsidRPr="002029AF">
        <w:t xml:space="preserve"> </w:t>
      </w:r>
      <w:r w:rsidRPr="002029AF">
        <w:t>inclusion</w:t>
      </w:r>
      <w:r w:rsidR="000A5329" w:rsidRPr="002029AF">
        <w:t xml:space="preserve"> </w:t>
      </w:r>
      <w:r w:rsidRPr="002029AF">
        <w:t>of</w:t>
      </w:r>
      <w:r w:rsidR="000A5329" w:rsidRPr="002029AF">
        <w:t xml:space="preserve"> </w:t>
      </w:r>
      <w:r w:rsidRPr="002029AF">
        <w:t>all</w:t>
      </w:r>
      <w:r w:rsidR="000A5329" w:rsidRPr="002029AF">
        <w:t xml:space="preserve"> </w:t>
      </w:r>
      <w:r w:rsidRPr="002029AF">
        <w:t>Victorians.</w:t>
      </w:r>
      <w:r w:rsidR="000A5329" w:rsidRPr="002029AF">
        <w:t xml:space="preserve"> </w:t>
      </w:r>
      <w:r w:rsidRPr="002029AF">
        <w:t>The</w:t>
      </w:r>
      <w:r w:rsidR="000A5329" w:rsidRPr="002029AF">
        <w:t xml:space="preserve"> </w:t>
      </w:r>
      <w:r w:rsidRPr="002029AF">
        <w:t>output</w:t>
      </w:r>
      <w:r w:rsidR="000A5329" w:rsidRPr="002029AF">
        <w:t xml:space="preserve"> </w:t>
      </w:r>
      <w:r w:rsidRPr="002029AF">
        <w:t>was</w:t>
      </w:r>
      <w:r w:rsidR="000A5329" w:rsidRPr="002029AF">
        <w:t xml:space="preserve"> </w:t>
      </w:r>
      <w:r w:rsidRPr="002029AF">
        <w:t>transferred</w:t>
      </w:r>
      <w:r w:rsidR="000A5329" w:rsidRPr="002029AF">
        <w:t xml:space="preserve"> </w:t>
      </w:r>
      <w:r w:rsidRPr="002029AF">
        <w:t>to</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of</w:t>
      </w:r>
      <w:r w:rsidR="000A5329" w:rsidRPr="002029AF">
        <w:t xml:space="preserve"> </w:t>
      </w:r>
      <w:r w:rsidRPr="002029AF">
        <w:t>Premier</w:t>
      </w:r>
      <w:r w:rsidR="000A5329" w:rsidRPr="002029AF">
        <w:t xml:space="preserve"> </w:t>
      </w:r>
      <w:r w:rsidRPr="002029AF">
        <w:t>and</w:t>
      </w:r>
      <w:r w:rsidR="000A5329" w:rsidRPr="002029AF">
        <w:t xml:space="preserve"> </w:t>
      </w:r>
      <w:r w:rsidRPr="002029AF">
        <w:t>Cabinet</w:t>
      </w:r>
      <w:r w:rsidR="000A5329" w:rsidRPr="002029AF">
        <w:t xml:space="preserve"> </w:t>
      </w:r>
      <w:r w:rsidRPr="002029AF">
        <w:t>as</w:t>
      </w:r>
      <w:r w:rsidR="000A5329" w:rsidRPr="002029AF">
        <w:t xml:space="preserve"> </w:t>
      </w:r>
      <w:r w:rsidRPr="002029AF">
        <w:t>a</w:t>
      </w:r>
      <w:r w:rsidR="000A5329" w:rsidRPr="002029AF">
        <w:t xml:space="preserve"> </w:t>
      </w:r>
      <w:r w:rsidRPr="002029AF">
        <w:t>result</w:t>
      </w:r>
      <w:r w:rsidR="000A5329" w:rsidRPr="002029AF">
        <w:t xml:space="preserve"> </w:t>
      </w:r>
      <w:r w:rsidRPr="002029AF">
        <w:t>of</w:t>
      </w:r>
      <w:r w:rsidR="000A5329" w:rsidRPr="002029AF">
        <w:t xml:space="preserve"> </w:t>
      </w:r>
      <w:r w:rsidRPr="002029AF">
        <w:t>machinery</w:t>
      </w:r>
      <w:r w:rsidR="000A5329" w:rsidRPr="002029AF">
        <w:t xml:space="preserve"> </w:t>
      </w:r>
      <w:r w:rsidRPr="002029AF">
        <w:t>of</w:t>
      </w:r>
      <w:r w:rsidR="000A5329" w:rsidRPr="002029AF">
        <w:t xml:space="preserve"> </w:t>
      </w:r>
      <w:r w:rsidRPr="002029AF">
        <w:t>government</w:t>
      </w:r>
      <w:r w:rsidR="000A5329" w:rsidRPr="002029AF">
        <w:t xml:space="preserve"> </w:t>
      </w:r>
      <w:r w:rsidRPr="002029AF">
        <w:t>changes</w:t>
      </w:r>
      <w:r w:rsidR="000A5329" w:rsidRPr="002029AF">
        <w:t xml:space="preserve"> </w:t>
      </w:r>
      <w:r w:rsidRPr="002029AF">
        <w:t>from</w:t>
      </w:r>
      <w:r w:rsidR="000A5329" w:rsidRPr="002029AF">
        <w:t xml:space="preserve"> </w:t>
      </w:r>
      <w:r w:rsidRPr="002029AF">
        <w:t>1</w:t>
      </w:r>
      <w:r w:rsidR="000A5329" w:rsidRPr="002029AF">
        <w:t xml:space="preserve"> </w:t>
      </w:r>
      <w:r w:rsidRPr="002029AF">
        <w:t>January</w:t>
      </w:r>
      <w:r w:rsidR="000A5329" w:rsidRPr="002029AF">
        <w:t xml:space="preserve"> </w:t>
      </w:r>
      <w:r w:rsidRPr="002029AF">
        <w:t>2019.</w:t>
      </w:r>
    </w:p>
    <w:p w14:paraId="1F840BB5" w14:textId="541D3D10" w:rsidR="00087B91" w:rsidRPr="002029AF" w:rsidRDefault="00087B91" w:rsidP="00087B91">
      <w:pPr>
        <w:pStyle w:val="Heading6"/>
        <w:rPr>
          <w:lang w:val="en-AU"/>
        </w:rPr>
      </w:pPr>
      <w:r w:rsidRPr="002029AF">
        <w:rPr>
          <w:lang w:val="en-AU"/>
        </w:rPr>
        <w:t>Output</w:t>
      </w:r>
      <w:r w:rsidR="000A5329" w:rsidRPr="002029AF">
        <w:rPr>
          <w:lang w:val="en-AU"/>
        </w:rPr>
        <w:t xml:space="preserve"> </w:t>
      </w:r>
      <w:r w:rsidRPr="002029AF">
        <w:rPr>
          <w:lang w:val="en-AU"/>
        </w:rPr>
        <w:t>group</w:t>
      </w:r>
      <w:r w:rsidR="000A5329" w:rsidRPr="002029AF">
        <w:rPr>
          <w:lang w:val="en-AU"/>
        </w:rPr>
        <w:t xml:space="preserve"> </w:t>
      </w:r>
      <w:r w:rsidRPr="002029AF">
        <w:rPr>
          <w:lang w:val="en-AU"/>
        </w:rPr>
        <w:t>14:</w:t>
      </w:r>
      <w:r w:rsidR="000A5329" w:rsidRPr="002029AF">
        <w:rPr>
          <w:lang w:val="en-AU"/>
        </w:rPr>
        <w:t xml:space="preserve"> </w:t>
      </w:r>
      <w:r w:rsidRPr="002029AF">
        <w:rPr>
          <w:lang w:val="en-AU"/>
        </w:rPr>
        <w:t>Family</w:t>
      </w:r>
      <w:r w:rsidR="000A5329" w:rsidRPr="002029AF">
        <w:rPr>
          <w:lang w:val="en-AU"/>
        </w:rPr>
        <w:t xml:space="preserve"> </w:t>
      </w:r>
      <w:r w:rsidRPr="002029AF">
        <w:rPr>
          <w:lang w:val="en-AU"/>
        </w:rPr>
        <w:t>Violence</w:t>
      </w:r>
      <w:r w:rsidR="000A5329" w:rsidRPr="002029AF">
        <w:rPr>
          <w:lang w:val="en-AU"/>
        </w:rPr>
        <w:t xml:space="preserve"> </w:t>
      </w:r>
      <w:r w:rsidRPr="002029AF">
        <w:rPr>
          <w:lang w:val="en-AU"/>
        </w:rPr>
        <w:t>Service</w:t>
      </w:r>
      <w:r w:rsidR="000A5329" w:rsidRPr="002029AF">
        <w:rPr>
          <w:lang w:val="en-AU"/>
        </w:rPr>
        <w:t xml:space="preserve"> </w:t>
      </w:r>
      <w:r w:rsidRPr="002029AF">
        <w:rPr>
          <w:lang w:val="en-AU"/>
        </w:rPr>
        <w:t>Delivery</w:t>
      </w:r>
    </w:p>
    <w:p w14:paraId="27C1ECC2" w14:textId="7CC73DF3" w:rsidR="00087B91" w:rsidRPr="002029AF" w:rsidRDefault="00087B91" w:rsidP="00087B91">
      <w:pPr>
        <w:pStyle w:val="ARfinbody"/>
      </w:pPr>
      <w:r w:rsidRPr="002029AF">
        <w:t>Family</w:t>
      </w:r>
      <w:r w:rsidR="000A5329" w:rsidRPr="002029AF">
        <w:t xml:space="preserve"> </w:t>
      </w:r>
      <w:r w:rsidRPr="002029AF">
        <w:t>Violence</w:t>
      </w:r>
      <w:r w:rsidR="000A5329" w:rsidRPr="002029AF">
        <w:t xml:space="preserve"> </w:t>
      </w:r>
      <w:r w:rsidRPr="002029AF">
        <w:t>Service</w:t>
      </w:r>
      <w:r w:rsidR="000A5329" w:rsidRPr="002029AF">
        <w:t xml:space="preserve"> </w:t>
      </w:r>
      <w:r w:rsidRPr="002029AF">
        <w:t>Delivery</w:t>
      </w:r>
      <w:r w:rsidR="000A5329" w:rsidRPr="002029AF">
        <w:t xml:space="preserve"> </w:t>
      </w:r>
      <w:r w:rsidRPr="002029AF">
        <w:t>output</w:t>
      </w:r>
      <w:r w:rsidR="000A5329" w:rsidRPr="002029AF">
        <w:t xml:space="preserve"> </w:t>
      </w:r>
      <w:r w:rsidRPr="002029AF">
        <w:t>leads</w:t>
      </w:r>
      <w:r w:rsidR="000A5329" w:rsidRPr="002029AF">
        <w:t xml:space="preserve"> </w:t>
      </w:r>
      <w:r w:rsidRPr="002029AF">
        <w:t>and</w:t>
      </w:r>
      <w:r w:rsidR="000A5329" w:rsidRPr="002029AF">
        <w:t xml:space="preserve"> </w:t>
      </w:r>
      <w:r w:rsidRPr="002029AF">
        <w:t>coordinates</w:t>
      </w:r>
      <w:r w:rsidR="000A5329" w:rsidRPr="002029AF">
        <w:t xml:space="preserve"> </w:t>
      </w:r>
      <w:r w:rsidRPr="002029AF">
        <w:t>whole</w:t>
      </w:r>
      <w:r w:rsidR="000A5329" w:rsidRPr="002029AF">
        <w:t xml:space="preserve"> </w:t>
      </w:r>
      <w:r w:rsidRPr="002029AF">
        <w:t>of</w:t>
      </w:r>
      <w:r w:rsidR="000A5329" w:rsidRPr="002029AF">
        <w:t xml:space="preserve"> </w:t>
      </w:r>
      <w:r w:rsidRPr="002029AF">
        <w:t>government</w:t>
      </w:r>
      <w:r w:rsidR="000A5329" w:rsidRPr="002029AF">
        <w:t xml:space="preserve"> </w:t>
      </w:r>
      <w:r w:rsidRPr="002029AF">
        <w:t>family</w:t>
      </w:r>
      <w:r w:rsidR="000A5329" w:rsidRPr="002029AF">
        <w:t xml:space="preserve"> </w:t>
      </w:r>
      <w:r w:rsidRPr="002029AF">
        <w:t>violence</w:t>
      </w:r>
      <w:r w:rsidR="000A5329" w:rsidRPr="002029AF">
        <w:t xml:space="preserve"> </w:t>
      </w:r>
      <w:r w:rsidR="0086448C" w:rsidRPr="002029AF">
        <w:t>policy and</w:t>
      </w:r>
      <w:r w:rsidR="000A5329" w:rsidRPr="002029AF">
        <w:t xml:space="preserve"> </w:t>
      </w:r>
      <w:r w:rsidRPr="002029AF">
        <w:t>implement</w:t>
      </w:r>
      <w:r w:rsidR="000A5329" w:rsidRPr="002029AF">
        <w:t xml:space="preserve"> </w:t>
      </w:r>
      <w:r w:rsidRPr="002029AF">
        <w:t>and</w:t>
      </w:r>
      <w:r w:rsidR="000A5329" w:rsidRPr="002029AF">
        <w:t xml:space="preserve"> </w:t>
      </w:r>
      <w:r w:rsidRPr="002029AF">
        <w:t>deliver</w:t>
      </w:r>
      <w:r w:rsidR="000A5329" w:rsidRPr="002029AF">
        <w:t xml:space="preserve"> </w:t>
      </w:r>
      <w:r w:rsidRPr="002029AF">
        <w:t>the</w:t>
      </w:r>
      <w:r w:rsidR="000A5329" w:rsidRPr="002029AF">
        <w:t xml:space="preserve"> </w:t>
      </w:r>
      <w:r w:rsidRPr="002029AF">
        <w:t>government’s</w:t>
      </w:r>
      <w:r w:rsidR="000A5329" w:rsidRPr="002029AF">
        <w:t xml:space="preserve"> </w:t>
      </w:r>
      <w:r w:rsidRPr="002029AF">
        <w:t>family</w:t>
      </w:r>
      <w:r w:rsidR="000A5329" w:rsidRPr="002029AF">
        <w:t xml:space="preserve"> </w:t>
      </w:r>
      <w:r w:rsidRPr="002029AF">
        <w:t>violence</w:t>
      </w:r>
      <w:r w:rsidR="000A5329" w:rsidRPr="002029AF">
        <w:t xml:space="preserve"> </w:t>
      </w:r>
      <w:r w:rsidRPr="002029AF">
        <w:t>reform</w:t>
      </w:r>
      <w:r w:rsidR="000A5329" w:rsidRPr="002029AF">
        <w:t xml:space="preserve"> </w:t>
      </w:r>
      <w:r w:rsidRPr="002029AF">
        <w:t>agenda.</w:t>
      </w:r>
    </w:p>
    <w:p w14:paraId="55A48553" w14:textId="7EACEE76" w:rsidR="00087B91" w:rsidRPr="002029AF" w:rsidRDefault="00087B91" w:rsidP="00087B91">
      <w:pPr>
        <w:pStyle w:val="Heading6"/>
        <w:rPr>
          <w:lang w:val="en-AU"/>
        </w:rPr>
      </w:pPr>
      <w:r w:rsidRPr="002029AF">
        <w:rPr>
          <w:lang w:val="en-AU"/>
        </w:rPr>
        <w:t>Output</w:t>
      </w:r>
      <w:r w:rsidR="000A5329" w:rsidRPr="002029AF">
        <w:rPr>
          <w:lang w:val="en-AU"/>
        </w:rPr>
        <w:t xml:space="preserve"> </w:t>
      </w:r>
      <w:r w:rsidRPr="002029AF">
        <w:rPr>
          <w:lang w:val="en-AU"/>
        </w:rPr>
        <w:t>group</w:t>
      </w:r>
      <w:r w:rsidR="000A5329" w:rsidRPr="002029AF">
        <w:rPr>
          <w:lang w:val="en-AU"/>
        </w:rPr>
        <w:t xml:space="preserve"> </w:t>
      </w:r>
      <w:r w:rsidRPr="002029AF">
        <w:rPr>
          <w:lang w:val="en-AU"/>
        </w:rPr>
        <w:t>15:</w:t>
      </w:r>
      <w:r w:rsidR="000A5329" w:rsidRPr="002029AF">
        <w:rPr>
          <w:lang w:val="en-AU"/>
        </w:rPr>
        <w:t xml:space="preserve"> </w:t>
      </w:r>
      <w:r w:rsidRPr="002029AF">
        <w:rPr>
          <w:lang w:val="en-AU"/>
        </w:rPr>
        <w:t>Housing</w:t>
      </w:r>
      <w:r w:rsidR="000A5329" w:rsidRPr="002029AF">
        <w:rPr>
          <w:lang w:val="en-AU"/>
        </w:rPr>
        <w:t xml:space="preserve"> </w:t>
      </w:r>
      <w:r w:rsidRPr="002029AF">
        <w:rPr>
          <w:lang w:val="en-AU"/>
        </w:rPr>
        <w:t>Assistance</w:t>
      </w:r>
    </w:p>
    <w:p w14:paraId="239B997F" w14:textId="76589EDC" w:rsidR="00087B91" w:rsidRPr="002029AF" w:rsidRDefault="00087B91" w:rsidP="00087B91">
      <w:pPr>
        <w:pStyle w:val="ARfinbody"/>
      </w:pPr>
      <w:r w:rsidRPr="002029AF">
        <w:t>Housing</w:t>
      </w:r>
      <w:r w:rsidR="000A5329" w:rsidRPr="002029AF">
        <w:t xml:space="preserve"> </w:t>
      </w:r>
      <w:r w:rsidRPr="002029AF">
        <w:t>Assistance</w:t>
      </w:r>
      <w:r w:rsidR="000A5329" w:rsidRPr="002029AF">
        <w:t xml:space="preserve"> </w:t>
      </w:r>
      <w:r w:rsidRPr="002029AF">
        <w:t>output</w:t>
      </w:r>
      <w:r w:rsidR="000A5329" w:rsidRPr="002029AF">
        <w:t xml:space="preserve"> </w:t>
      </w:r>
      <w:r w:rsidRPr="002029AF">
        <w:t>includes</w:t>
      </w:r>
      <w:r w:rsidR="000A5329" w:rsidRPr="002029AF">
        <w:t xml:space="preserve"> </w:t>
      </w:r>
      <w:r w:rsidRPr="002029AF">
        <w:t>the</w:t>
      </w:r>
      <w:r w:rsidR="000A5329" w:rsidRPr="002029AF">
        <w:t xml:space="preserve"> </w:t>
      </w:r>
      <w:r w:rsidRPr="002029AF">
        <w:t>provision</w:t>
      </w:r>
      <w:r w:rsidR="000A5329" w:rsidRPr="002029AF">
        <w:t xml:space="preserve"> </w:t>
      </w:r>
      <w:r w:rsidRPr="002029AF">
        <w:t>of</w:t>
      </w:r>
      <w:r w:rsidR="000A5329" w:rsidRPr="002029AF">
        <w:t xml:space="preserve"> </w:t>
      </w:r>
      <w:r w:rsidRPr="002029AF">
        <w:t>homelessness</w:t>
      </w:r>
      <w:r w:rsidR="000A5329" w:rsidRPr="002029AF">
        <w:t xml:space="preserve"> </w:t>
      </w:r>
      <w:r w:rsidRPr="002029AF">
        <w:t>services,</w:t>
      </w:r>
      <w:r w:rsidR="000A5329" w:rsidRPr="002029AF">
        <w:t xml:space="preserve"> </w:t>
      </w:r>
      <w:r w:rsidRPr="002029AF">
        <w:t>crisis</w:t>
      </w:r>
      <w:r w:rsidR="000A5329" w:rsidRPr="002029AF">
        <w:t xml:space="preserve"> </w:t>
      </w:r>
      <w:r w:rsidRPr="002029AF">
        <w:t>and</w:t>
      </w:r>
      <w:r w:rsidR="000A5329" w:rsidRPr="002029AF">
        <w:t xml:space="preserve"> </w:t>
      </w:r>
      <w:r w:rsidRPr="002029AF">
        <w:t>transitional</w:t>
      </w:r>
      <w:r w:rsidR="000A5329" w:rsidRPr="002029AF">
        <w:t xml:space="preserve"> </w:t>
      </w:r>
      <w:r w:rsidRPr="002029AF">
        <w:t>accommodation</w:t>
      </w:r>
      <w:r w:rsidR="000A5329" w:rsidRPr="002029AF">
        <w:t xml:space="preserve"> </w:t>
      </w:r>
      <w:r w:rsidRPr="002029AF">
        <w:t>and</w:t>
      </w:r>
      <w:r w:rsidR="000A5329" w:rsidRPr="002029AF">
        <w:t xml:space="preserve"> </w:t>
      </w:r>
      <w:r w:rsidRPr="002029AF">
        <w:t>long-term</w:t>
      </w:r>
      <w:r w:rsidR="000A5329" w:rsidRPr="002029AF">
        <w:t xml:space="preserve"> </w:t>
      </w:r>
      <w:r w:rsidRPr="002029AF">
        <w:t>adequate,</w:t>
      </w:r>
      <w:r w:rsidR="000A5329" w:rsidRPr="002029AF">
        <w:t xml:space="preserve"> </w:t>
      </w:r>
      <w:r w:rsidRPr="002029AF">
        <w:t>affordable</w:t>
      </w:r>
      <w:r w:rsidR="000A5329" w:rsidRPr="002029AF">
        <w:t xml:space="preserve"> </w:t>
      </w:r>
      <w:r w:rsidRPr="002029AF">
        <w:t>and</w:t>
      </w:r>
      <w:r w:rsidR="000A5329" w:rsidRPr="002029AF">
        <w:t xml:space="preserve"> </w:t>
      </w:r>
      <w:r w:rsidRPr="002029AF">
        <w:t>accessible</w:t>
      </w:r>
      <w:r w:rsidR="000A5329" w:rsidRPr="002029AF">
        <w:t xml:space="preserve"> </w:t>
      </w:r>
      <w:r w:rsidRPr="002029AF">
        <w:t>housing</w:t>
      </w:r>
      <w:r w:rsidR="000A5329" w:rsidRPr="002029AF">
        <w:t xml:space="preserve"> </w:t>
      </w:r>
      <w:r w:rsidRPr="002029AF">
        <w:t>assistance,</w:t>
      </w:r>
      <w:r w:rsidR="000A5329" w:rsidRPr="002029AF">
        <w:t xml:space="preserve"> </w:t>
      </w:r>
      <w:r w:rsidRPr="002029AF">
        <w:t>coordinated</w:t>
      </w:r>
      <w:r w:rsidR="000A5329" w:rsidRPr="002029AF">
        <w:t xml:space="preserve"> </w:t>
      </w:r>
      <w:r w:rsidRPr="002029AF">
        <w:t>with</w:t>
      </w:r>
      <w:r w:rsidR="000A5329" w:rsidRPr="002029AF">
        <w:t xml:space="preserve"> </w:t>
      </w:r>
      <w:r w:rsidRPr="002029AF">
        <w:t>support</w:t>
      </w:r>
      <w:r w:rsidR="000A5329" w:rsidRPr="002029AF">
        <w:t xml:space="preserve"> </w:t>
      </w:r>
      <w:r w:rsidRPr="002029AF">
        <w:t>services</w:t>
      </w:r>
      <w:r w:rsidR="000A5329" w:rsidRPr="002029AF">
        <w:t xml:space="preserve"> </w:t>
      </w:r>
      <w:r w:rsidRPr="002029AF">
        <w:t>where</w:t>
      </w:r>
      <w:r w:rsidR="000A5329" w:rsidRPr="002029AF">
        <w:t xml:space="preserve"> </w:t>
      </w:r>
      <w:r w:rsidRPr="002029AF">
        <w:t>required,</w:t>
      </w:r>
      <w:r w:rsidR="000A5329" w:rsidRPr="002029AF">
        <w:t xml:space="preserve"> </w:t>
      </w:r>
      <w:r w:rsidRPr="002029AF">
        <w:t>home</w:t>
      </w:r>
      <w:r w:rsidR="000A5329" w:rsidRPr="002029AF">
        <w:t xml:space="preserve"> </w:t>
      </w:r>
      <w:r w:rsidRPr="002029AF">
        <w:t>renovation</w:t>
      </w:r>
      <w:r w:rsidR="000A5329" w:rsidRPr="002029AF">
        <w:t xml:space="preserve"> </w:t>
      </w:r>
      <w:r w:rsidRPr="002029AF">
        <w:t>assistance</w:t>
      </w:r>
      <w:r w:rsidR="000A5329" w:rsidRPr="002029AF">
        <w:t xml:space="preserve"> </w:t>
      </w:r>
      <w:r w:rsidRPr="002029AF">
        <w:t>and</w:t>
      </w:r>
      <w:r w:rsidR="000A5329" w:rsidRPr="002029AF">
        <w:t xml:space="preserve"> </w:t>
      </w:r>
      <w:r w:rsidRPr="002029AF">
        <w:t>the</w:t>
      </w:r>
      <w:r w:rsidR="000A5329" w:rsidRPr="002029AF">
        <w:t xml:space="preserve"> </w:t>
      </w:r>
      <w:r w:rsidRPr="002029AF">
        <w:t>management</w:t>
      </w:r>
      <w:r w:rsidR="000A5329" w:rsidRPr="002029AF">
        <w:t xml:space="preserve"> </w:t>
      </w:r>
      <w:r w:rsidRPr="002029AF">
        <w:t>of</w:t>
      </w:r>
      <w:r w:rsidR="000A5329" w:rsidRPr="002029AF">
        <w:t xml:space="preserve"> </w:t>
      </w:r>
      <w:r w:rsidRPr="002029AF">
        <w:t>the</w:t>
      </w:r>
      <w:r w:rsidR="000A5329" w:rsidRPr="002029AF">
        <w:t xml:space="preserve"> </w:t>
      </w:r>
      <w:r w:rsidRPr="002029AF">
        <w:t>home</w:t>
      </w:r>
      <w:r w:rsidR="000A5329" w:rsidRPr="002029AF">
        <w:t xml:space="preserve"> </w:t>
      </w:r>
      <w:r w:rsidRPr="002029AF">
        <w:t>loan</w:t>
      </w:r>
      <w:r w:rsidR="000A5329" w:rsidRPr="002029AF">
        <w:t xml:space="preserve"> </w:t>
      </w:r>
      <w:r w:rsidRPr="002029AF">
        <w:t>portfolio.</w:t>
      </w:r>
    </w:p>
    <w:p w14:paraId="235C5689" w14:textId="107C18A5" w:rsidR="00087B91" w:rsidRPr="002029AF" w:rsidRDefault="00087B91" w:rsidP="00087B91">
      <w:pPr>
        <w:pStyle w:val="Heading6"/>
        <w:rPr>
          <w:lang w:val="en-AU"/>
        </w:rPr>
      </w:pPr>
      <w:r w:rsidRPr="002029AF">
        <w:rPr>
          <w:lang w:val="en-AU"/>
        </w:rPr>
        <w:t>Output</w:t>
      </w:r>
      <w:r w:rsidR="000A5329" w:rsidRPr="002029AF">
        <w:rPr>
          <w:lang w:val="en-AU"/>
        </w:rPr>
        <w:t xml:space="preserve"> </w:t>
      </w:r>
      <w:r w:rsidRPr="002029AF">
        <w:rPr>
          <w:lang w:val="en-AU"/>
        </w:rPr>
        <w:t>group</w:t>
      </w:r>
      <w:r w:rsidR="000A5329" w:rsidRPr="002029AF">
        <w:rPr>
          <w:lang w:val="en-AU"/>
        </w:rPr>
        <w:t xml:space="preserve"> </w:t>
      </w:r>
      <w:r w:rsidRPr="002029AF">
        <w:rPr>
          <w:lang w:val="en-AU"/>
        </w:rPr>
        <w:t>16:</w:t>
      </w:r>
      <w:r w:rsidR="000A5329" w:rsidRPr="002029AF">
        <w:rPr>
          <w:lang w:val="en-AU"/>
        </w:rPr>
        <w:t xml:space="preserve"> </w:t>
      </w:r>
      <w:r w:rsidRPr="002029AF">
        <w:rPr>
          <w:lang w:val="en-AU"/>
        </w:rPr>
        <w:t>Shared</w:t>
      </w:r>
      <w:r w:rsidR="000A5329" w:rsidRPr="002029AF">
        <w:rPr>
          <w:lang w:val="en-AU"/>
        </w:rPr>
        <w:t xml:space="preserve"> </w:t>
      </w:r>
      <w:r w:rsidRPr="002029AF">
        <w:rPr>
          <w:lang w:val="en-AU"/>
        </w:rPr>
        <w:t>Services</w:t>
      </w:r>
    </w:p>
    <w:p w14:paraId="28707E7E" w14:textId="2CDC7216" w:rsidR="00087B91" w:rsidRPr="002029AF" w:rsidRDefault="00087B91" w:rsidP="00087B91">
      <w:pPr>
        <w:pStyle w:val="ARfinbody"/>
      </w:pPr>
      <w:r w:rsidRPr="002029AF">
        <w:t>Shared</w:t>
      </w:r>
      <w:r w:rsidR="000A5329" w:rsidRPr="002029AF">
        <w:t xml:space="preserve"> </w:t>
      </w:r>
      <w:r w:rsidRPr="002029AF">
        <w:t>Services</w:t>
      </w:r>
      <w:r w:rsidR="000A5329" w:rsidRPr="002029AF">
        <w:t xml:space="preserve"> </w:t>
      </w:r>
      <w:r w:rsidRPr="002029AF">
        <w:t>output</w:t>
      </w:r>
      <w:r w:rsidR="000A5329" w:rsidRPr="002029AF">
        <w:t xml:space="preserve"> </w:t>
      </w:r>
      <w:r w:rsidRPr="002029AF">
        <w:t>reflects</w:t>
      </w:r>
      <w:r w:rsidR="000A5329" w:rsidRPr="002029AF">
        <w:t xml:space="preserve"> </w:t>
      </w:r>
      <w:r w:rsidRPr="002029AF">
        <w:t>the</w:t>
      </w:r>
      <w:r w:rsidR="000A5329" w:rsidRPr="002029AF">
        <w:t xml:space="preserve"> </w:t>
      </w:r>
      <w:r w:rsidRPr="002029AF">
        <w:t>range</w:t>
      </w:r>
      <w:r w:rsidR="000A5329" w:rsidRPr="002029AF">
        <w:t xml:space="preserve"> </w:t>
      </w:r>
      <w:r w:rsidRPr="002029AF">
        <w:t>of</w:t>
      </w:r>
      <w:r w:rsidR="000A5329" w:rsidRPr="002029AF">
        <w:t xml:space="preserve"> </w:t>
      </w:r>
      <w:r w:rsidRPr="002029AF">
        <w:t>corporate</w:t>
      </w:r>
      <w:r w:rsidR="000A5329" w:rsidRPr="002029AF">
        <w:t xml:space="preserve"> </w:t>
      </w:r>
      <w:r w:rsidRPr="002029AF">
        <w:t>services</w:t>
      </w:r>
      <w:r w:rsidR="000A5329" w:rsidRPr="002029AF">
        <w:t xml:space="preserve"> </w:t>
      </w:r>
      <w:r w:rsidRPr="002029AF">
        <w:t>that</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provides</w:t>
      </w:r>
      <w:r w:rsidR="000A5329" w:rsidRPr="002029AF">
        <w:t xml:space="preserve"> </w:t>
      </w:r>
      <w:r w:rsidRPr="002029AF">
        <w:t>to</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of</w:t>
      </w:r>
      <w:r w:rsidR="000A5329" w:rsidRPr="002029AF">
        <w:t xml:space="preserve"> </w:t>
      </w:r>
      <w:r w:rsidRPr="002029AF">
        <w:t>Education</w:t>
      </w:r>
      <w:r w:rsidR="000A5329" w:rsidRPr="002029AF">
        <w:t xml:space="preserve"> </w:t>
      </w:r>
      <w:r w:rsidRPr="002029AF">
        <w:t>and</w:t>
      </w:r>
      <w:r w:rsidR="000A5329" w:rsidRPr="002029AF">
        <w:t xml:space="preserve"> </w:t>
      </w:r>
      <w:r w:rsidRPr="002029AF">
        <w:t>Training.</w:t>
      </w:r>
      <w:r w:rsidR="000A5329" w:rsidRPr="002029AF">
        <w:t xml:space="preserve"> </w:t>
      </w:r>
      <w:r w:rsidRPr="002029AF">
        <w:t>These</w:t>
      </w:r>
      <w:r w:rsidR="000A5329" w:rsidRPr="002029AF">
        <w:t xml:space="preserve"> </w:t>
      </w:r>
      <w:r w:rsidRPr="002029AF">
        <w:t>costs</w:t>
      </w:r>
      <w:r w:rsidR="000A5329" w:rsidRPr="002029AF">
        <w:t xml:space="preserve"> </w:t>
      </w:r>
      <w:r w:rsidRPr="002029AF">
        <w:t>are</w:t>
      </w:r>
      <w:r w:rsidR="000A5329" w:rsidRPr="002029AF">
        <w:t xml:space="preserve"> </w:t>
      </w:r>
      <w:r w:rsidRPr="002029AF">
        <w:t>included</w:t>
      </w:r>
      <w:r w:rsidR="000A5329" w:rsidRPr="002029AF">
        <w:t xml:space="preserve"> </w:t>
      </w:r>
      <w:r w:rsidRPr="002029AF">
        <w:t>across</w:t>
      </w:r>
      <w:r w:rsidR="000A5329" w:rsidRPr="002029AF">
        <w:t xml:space="preserve"> </w:t>
      </w:r>
      <w:r w:rsidRPr="002029AF">
        <w:t>the</w:t>
      </w:r>
      <w:r w:rsidR="000A5329" w:rsidRPr="002029AF">
        <w:t xml:space="preserve"> </w:t>
      </w:r>
      <w:r w:rsidRPr="002029AF">
        <w:t>outputs</w:t>
      </w:r>
      <w:r w:rsidR="000A5329" w:rsidRPr="002029AF">
        <w:t xml:space="preserve"> </w:t>
      </w:r>
      <w:r w:rsidRPr="002029AF">
        <w:t>of</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of</w:t>
      </w:r>
      <w:r w:rsidR="000A5329" w:rsidRPr="002029AF">
        <w:t xml:space="preserve"> </w:t>
      </w:r>
      <w:r w:rsidRPr="002029AF">
        <w:t>Education</w:t>
      </w:r>
      <w:r w:rsidR="000A5329" w:rsidRPr="002029AF">
        <w:t xml:space="preserve"> </w:t>
      </w:r>
      <w:r w:rsidRPr="002029AF">
        <w:t>and</w:t>
      </w:r>
      <w:r w:rsidR="000A5329" w:rsidRPr="002029AF">
        <w:t xml:space="preserve"> </w:t>
      </w:r>
      <w:r w:rsidRPr="002029AF">
        <w:t>Training.</w:t>
      </w:r>
    </w:p>
    <w:p w14:paraId="7EB16E81" w14:textId="23C9A002" w:rsidR="00087B91" w:rsidRPr="002029AF" w:rsidRDefault="00087B91" w:rsidP="00087B91">
      <w:pPr>
        <w:pStyle w:val="ARfinbody"/>
      </w:pPr>
      <w:r w:rsidRPr="002029AF">
        <w:t>Further</w:t>
      </w:r>
      <w:r w:rsidR="000A5329" w:rsidRPr="002029AF">
        <w:t xml:space="preserve"> </w:t>
      </w:r>
      <w:r w:rsidRPr="002029AF">
        <w:t>details</w:t>
      </w:r>
      <w:r w:rsidR="000A5329" w:rsidRPr="002029AF">
        <w:t xml:space="preserve"> </w:t>
      </w:r>
      <w:r w:rsidRPr="002029AF">
        <w:t>on</w:t>
      </w:r>
      <w:r w:rsidR="000A5329" w:rsidRPr="002029AF">
        <w:t xml:space="preserve"> </w:t>
      </w:r>
      <w:r w:rsidRPr="002029AF">
        <w:t>the</w:t>
      </w:r>
      <w:r w:rsidR="000A5329" w:rsidRPr="002029AF">
        <w:t xml:space="preserve"> </w:t>
      </w:r>
      <w:r w:rsidRPr="002029AF">
        <w:t>objectives</w:t>
      </w:r>
      <w:r w:rsidR="000A5329" w:rsidRPr="002029AF">
        <w:t xml:space="preserve"> </w:t>
      </w:r>
      <w:r w:rsidRPr="002029AF">
        <w:t>of</w:t>
      </w:r>
      <w:r w:rsidR="000A5329" w:rsidRPr="002029AF">
        <w:t xml:space="preserve"> </w:t>
      </w:r>
      <w:r w:rsidRPr="002029AF">
        <w:t>each</w:t>
      </w:r>
      <w:r w:rsidR="000A5329" w:rsidRPr="002029AF">
        <w:t xml:space="preserve"> </w:t>
      </w:r>
      <w:r w:rsidRPr="002029AF">
        <w:t>output</w:t>
      </w:r>
      <w:r w:rsidR="000A5329" w:rsidRPr="002029AF">
        <w:t xml:space="preserve"> </w:t>
      </w:r>
      <w:r w:rsidRPr="002029AF">
        <w:t>can</w:t>
      </w:r>
      <w:r w:rsidR="000A5329" w:rsidRPr="002029AF">
        <w:t xml:space="preserve"> </w:t>
      </w:r>
      <w:r w:rsidRPr="002029AF">
        <w:t>be</w:t>
      </w:r>
      <w:r w:rsidR="000A5329" w:rsidRPr="002029AF">
        <w:t xml:space="preserve"> </w:t>
      </w:r>
      <w:r w:rsidRPr="002029AF">
        <w:t>found</w:t>
      </w:r>
      <w:r w:rsidR="000A5329" w:rsidRPr="002029AF">
        <w:t xml:space="preserve"> </w:t>
      </w:r>
      <w:r w:rsidRPr="002029AF">
        <w:t>in</w:t>
      </w:r>
      <w:r w:rsidR="000A5329" w:rsidRPr="002029AF">
        <w:t xml:space="preserve"> </w:t>
      </w:r>
      <w:bookmarkStart w:id="328" w:name="_Hlk39681152"/>
      <w:r w:rsidRPr="002029AF">
        <w:t>Budget</w:t>
      </w:r>
      <w:r w:rsidR="000A5329" w:rsidRPr="002029AF">
        <w:t xml:space="preserve"> </w:t>
      </w:r>
      <w:r w:rsidRPr="002029AF">
        <w:t>Paper</w:t>
      </w:r>
      <w:r w:rsidR="000A5329" w:rsidRPr="002029AF">
        <w:t xml:space="preserve"> </w:t>
      </w:r>
      <w:r w:rsidRPr="002029AF">
        <w:t>No.</w:t>
      </w:r>
      <w:r w:rsidR="000A5329" w:rsidRPr="002029AF">
        <w:t xml:space="preserve"> </w:t>
      </w:r>
      <w:r w:rsidRPr="002029AF">
        <w:t>3</w:t>
      </w:r>
      <w:r w:rsidR="000A5329" w:rsidRPr="002029AF">
        <w:t xml:space="preserve"> </w:t>
      </w:r>
      <w:r w:rsidRPr="002029AF">
        <w:t>Service</w:t>
      </w:r>
      <w:r w:rsidR="000A5329" w:rsidRPr="002029AF">
        <w:t xml:space="preserve"> </w:t>
      </w:r>
      <w:r w:rsidRPr="002029AF">
        <w:t>Delivery</w:t>
      </w:r>
      <w:bookmarkEnd w:id="328"/>
      <w:r w:rsidRPr="002029AF">
        <w:t>.</w:t>
      </w:r>
    </w:p>
    <w:p w14:paraId="77E936AF" w14:textId="77777777" w:rsidR="00087B91" w:rsidRPr="002029AF" w:rsidRDefault="00087B91" w:rsidP="00087B91">
      <w:pPr>
        <w:pStyle w:val="ARfinbody"/>
      </w:pPr>
    </w:p>
    <w:p w14:paraId="48E3C019" w14:textId="77777777" w:rsidR="00087B91" w:rsidRPr="002029AF" w:rsidRDefault="00087B91" w:rsidP="00087B91">
      <w:pPr>
        <w:pStyle w:val="ARfinbody"/>
        <w:sectPr w:rsidR="00087B91" w:rsidRPr="002029AF" w:rsidSect="00860E95">
          <w:headerReference w:type="default" r:id="rId205"/>
          <w:footerReference w:type="even" r:id="rId206"/>
          <w:pgSz w:w="11906" w:h="16838" w:code="9"/>
          <w:pgMar w:top="1531" w:right="851" w:bottom="851" w:left="1418" w:header="510" w:footer="340" w:gutter="0"/>
          <w:cols w:space="708"/>
          <w:docGrid w:linePitch="360"/>
          <w15:footnoteColumns w:val="1"/>
        </w:sectPr>
      </w:pPr>
    </w:p>
    <w:p w14:paraId="644D67E8" w14:textId="2222AED5" w:rsidR="00087B91" w:rsidRPr="002029AF" w:rsidRDefault="00087B91" w:rsidP="00087B91">
      <w:pPr>
        <w:pStyle w:val="Heading5"/>
        <w:spacing w:before="0"/>
      </w:pPr>
      <w:bookmarkStart w:id="329" w:name="_Toc39136709"/>
      <w:r w:rsidRPr="002029AF">
        <w:lastRenderedPageBreak/>
        <w:t>4.1.2</w:t>
      </w:r>
      <w:r w:rsidR="000A5329" w:rsidRPr="002029AF">
        <w:t xml:space="preserve"> </w:t>
      </w:r>
      <w:r w:rsidRPr="002029AF">
        <w:t>Departmental</w:t>
      </w:r>
      <w:r w:rsidR="000A5329" w:rsidRPr="002029AF">
        <w:t xml:space="preserve"> </w:t>
      </w:r>
      <w:r w:rsidRPr="002029AF">
        <w:t>outputs</w:t>
      </w:r>
      <w:r w:rsidR="000A5329" w:rsidRPr="002029AF">
        <w:t xml:space="preserve"> </w:t>
      </w:r>
      <w:r w:rsidRPr="002029AF">
        <w:t>–</w:t>
      </w:r>
      <w:r w:rsidR="000A5329" w:rsidRPr="002029AF">
        <w:t xml:space="preserve"> </w:t>
      </w:r>
      <w:r w:rsidRPr="002029AF">
        <w:t>Controlled</w:t>
      </w:r>
      <w:r w:rsidR="000A5329" w:rsidRPr="002029AF">
        <w:t xml:space="preserve"> </w:t>
      </w:r>
      <w:r w:rsidRPr="002029AF">
        <w:t>income</w:t>
      </w:r>
      <w:r w:rsidR="000A5329" w:rsidRPr="002029AF">
        <w:t xml:space="preserve"> </w:t>
      </w:r>
      <w:r w:rsidRPr="002029AF">
        <w:t>and</w:t>
      </w:r>
      <w:r w:rsidR="000A5329" w:rsidRPr="002029AF">
        <w:t xml:space="preserve"> </w:t>
      </w:r>
      <w:r w:rsidRPr="002029AF">
        <w:t>expenses</w:t>
      </w:r>
      <w:bookmarkEnd w:id="329"/>
    </w:p>
    <w:tbl>
      <w:tblPr>
        <w:tblStyle w:val="TableGrid"/>
        <w:tblW w:w="14459" w:type="dxa"/>
        <w:tblLayout w:type="fixed"/>
        <w:tblCellMar>
          <w:right w:w="0" w:type="dxa"/>
        </w:tblCellMar>
        <w:tblLook w:val="06A0" w:firstRow="1" w:lastRow="0" w:firstColumn="1" w:lastColumn="0" w:noHBand="1" w:noVBand="1"/>
      </w:tblPr>
      <w:tblGrid>
        <w:gridCol w:w="2189"/>
        <w:gridCol w:w="891"/>
        <w:gridCol w:w="701"/>
        <w:gridCol w:w="569"/>
        <w:gridCol w:w="674"/>
        <w:gridCol w:w="720"/>
        <w:gridCol w:w="608"/>
        <w:gridCol w:w="673"/>
        <w:gridCol w:w="673"/>
        <w:gridCol w:w="712"/>
        <w:gridCol w:w="702"/>
        <w:gridCol w:w="702"/>
        <w:gridCol w:w="702"/>
        <w:gridCol w:w="561"/>
        <w:gridCol w:w="701"/>
        <w:gridCol w:w="702"/>
        <w:gridCol w:w="702"/>
        <w:gridCol w:w="561"/>
        <w:gridCol w:w="707"/>
        <w:gridCol w:w="9"/>
      </w:tblGrid>
      <w:tr w:rsidR="00C750BA" w:rsidRPr="002029AF" w14:paraId="2A4E9119" w14:textId="77777777" w:rsidTr="00C81A0B">
        <w:trPr>
          <w:gridAfter w:val="1"/>
          <w:cnfStyle w:val="100000000000" w:firstRow="1" w:lastRow="0" w:firstColumn="0" w:lastColumn="0" w:oddVBand="0" w:evenVBand="0" w:oddHBand="0" w:evenHBand="0" w:firstRowFirstColumn="0" w:firstRowLastColumn="0" w:lastRowFirstColumn="0" w:lastRowLastColumn="0"/>
          <w:wAfter w:w="9" w:type="dxa"/>
          <w:trHeight w:val="170"/>
          <w:tblHeader/>
        </w:trPr>
        <w:tc>
          <w:tcPr>
            <w:tcW w:w="2213" w:type="dxa"/>
            <w:tcBorders>
              <w:bottom w:val="single" w:sz="4" w:space="0" w:color="auto"/>
            </w:tcBorders>
            <w:hideMark/>
          </w:tcPr>
          <w:p w14:paraId="08980D8B" w14:textId="2DC716A0" w:rsidR="00087B91" w:rsidRPr="002029AF" w:rsidRDefault="00087B91" w:rsidP="00860E95">
            <w:pPr>
              <w:pStyle w:val="ARfintablecolhead"/>
            </w:pPr>
            <w:r w:rsidRPr="002029AF">
              <w:t>Output</w:t>
            </w:r>
            <w:r w:rsidR="000A5329" w:rsidRPr="002029AF">
              <w:t xml:space="preserve"> </w:t>
            </w:r>
            <w:r w:rsidRPr="002029AF">
              <w:t>group</w:t>
            </w:r>
            <w:r w:rsidR="000A5329" w:rsidRPr="002029AF">
              <w:t xml:space="preserve"> </w:t>
            </w:r>
            <w:r w:rsidRPr="002029AF">
              <w:rPr>
                <w:rStyle w:val="Superscript"/>
              </w:rPr>
              <w:t>(i)</w:t>
            </w:r>
          </w:p>
          <w:p w14:paraId="4C4C544E" w14:textId="77777777" w:rsidR="00087B91" w:rsidRPr="002029AF" w:rsidRDefault="00087B91" w:rsidP="00860E95">
            <w:pPr>
              <w:pStyle w:val="ARfintablecolhead"/>
            </w:pPr>
            <w:r w:rsidRPr="002029AF">
              <w:t>2020</w:t>
            </w:r>
          </w:p>
        </w:tc>
        <w:tc>
          <w:tcPr>
            <w:tcW w:w="901" w:type="dxa"/>
            <w:tcBorders>
              <w:bottom w:val="single" w:sz="4" w:space="0" w:color="auto"/>
            </w:tcBorders>
            <w:hideMark/>
          </w:tcPr>
          <w:p w14:paraId="274B00C4" w14:textId="77777777" w:rsidR="00087B91" w:rsidRPr="002029AF" w:rsidRDefault="00087B91" w:rsidP="00860E95">
            <w:pPr>
              <w:pStyle w:val="ARfintablecolheadright"/>
              <w:ind w:right="0"/>
            </w:pPr>
            <w:r w:rsidRPr="002029AF">
              <w:t>1</w:t>
            </w:r>
          </w:p>
          <w:p w14:paraId="03691D2C" w14:textId="77777777" w:rsidR="00087B91" w:rsidRPr="002029AF" w:rsidRDefault="00087B91" w:rsidP="00860E95">
            <w:pPr>
              <w:pStyle w:val="ARfintablecolheadright"/>
              <w:ind w:right="0"/>
            </w:pPr>
            <w:r w:rsidRPr="002029AF">
              <w:t>$M</w:t>
            </w:r>
          </w:p>
        </w:tc>
        <w:tc>
          <w:tcPr>
            <w:tcW w:w="709" w:type="dxa"/>
            <w:tcBorders>
              <w:bottom w:val="single" w:sz="4" w:space="0" w:color="auto"/>
            </w:tcBorders>
            <w:hideMark/>
          </w:tcPr>
          <w:p w14:paraId="7290DCC6" w14:textId="77777777" w:rsidR="00087B91" w:rsidRPr="002029AF" w:rsidRDefault="00087B91" w:rsidP="00860E95">
            <w:pPr>
              <w:pStyle w:val="ARfintablecolheadright"/>
              <w:ind w:right="0"/>
            </w:pPr>
            <w:r w:rsidRPr="002029AF">
              <w:t>2</w:t>
            </w:r>
          </w:p>
          <w:p w14:paraId="3A72962F" w14:textId="77777777" w:rsidR="00087B91" w:rsidRPr="002029AF" w:rsidRDefault="00087B91" w:rsidP="00860E95">
            <w:pPr>
              <w:pStyle w:val="ARfintablecolheadright"/>
              <w:ind w:right="0"/>
            </w:pPr>
            <w:r w:rsidRPr="002029AF">
              <w:t>$M</w:t>
            </w:r>
          </w:p>
        </w:tc>
        <w:tc>
          <w:tcPr>
            <w:tcW w:w="575" w:type="dxa"/>
            <w:tcBorders>
              <w:bottom w:val="single" w:sz="4" w:space="0" w:color="auto"/>
            </w:tcBorders>
            <w:hideMark/>
          </w:tcPr>
          <w:p w14:paraId="58F86576" w14:textId="77777777" w:rsidR="00087B91" w:rsidRPr="002029AF" w:rsidRDefault="00087B91" w:rsidP="00860E95">
            <w:pPr>
              <w:pStyle w:val="ARfintablecolheadright"/>
              <w:ind w:right="0"/>
            </w:pPr>
            <w:r w:rsidRPr="002029AF">
              <w:t>3</w:t>
            </w:r>
          </w:p>
          <w:p w14:paraId="4C593848" w14:textId="77777777" w:rsidR="00087B91" w:rsidRPr="002029AF" w:rsidRDefault="00087B91" w:rsidP="00860E95">
            <w:pPr>
              <w:pStyle w:val="ARfintablecolheadright"/>
              <w:ind w:right="0"/>
            </w:pPr>
            <w:r w:rsidRPr="002029AF">
              <w:t>$M</w:t>
            </w:r>
          </w:p>
        </w:tc>
        <w:tc>
          <w:tcPr>
            <w:tcW w:w="681" w:type="dxa"/>
            <w:tcBorders>
              <w:bottom w:val="single" w:sz="4" w:space="0" w:color="auto"/>
            </w:tcBorders>
            <w:hideMark/>
          </w:tcPr>
          <w:p w14:paraId="15D108E3" w14:textId="77777777" w:rsidR="00087B91" w:rsidRPr="002029AF" w:rsidRDefault="00087B91" w:rsidP="00860E95">
            <w:pPr>
              <w:pStyle w:val="ARfintablecolheadright"/>
              <w:ind w:right="0"/>
            </w:pPr>
            <w:r w:rsidRPr="002029AF">
              <w:t>4</w:t>
            </w:r>
          </w:p>
          <w:p w14:paraId="0F4EA111" w14:textId="77777777" w:rsidR="00087B91" w:rsidRPr="002029AF" w:rsidRDefault="00087B91" w:rsidP="00860E95">
            <w:pPr>
              <w:pStyle w:val="ARfintablecolheadright"/>
              <w:ind w:right="0"/>
            </w:pPr>
            <w:r w:rsidRPr="002029AF">
              <w:t>$M</w:t>
            </w:r>
          </w:p>
        </w:tc>
        <w:tc>
          <w:tcPr>
            <w:tcW w:w="728" w:type="dxa"/>
            <w:tcBorders>
              <w:bottom w:val="single" w:sz="4" w:space="0" w:color="auto"/>
            </w:tcBorders>
            <w:hideMark/>
          </w:tcPr>
          <w:p w14:paraId="5685D048" w14:textId="77777777" w:rsidR="00087B91" w:rsidRPr="002029AF" w:rsidRDefault="00087B91" w:rsidP="00860E95">
            <w:pPr>
              <w:pStyle w:val="ARfintablecolheadright"/>
              <w:ind w:right="0"/>
            </w:pPr>
            <w:r w:rsidRPr="002029AF">
              <w:t>5</w:t>
            </w:r>
          </w:p>
          <w:p w14:paraId="66944274" w14:textId="77777777" w:rsidR="00087B91" w:rsidRPr="002029AF" w:rsidRDefault="00087B91" w:rsidP="00860E95">
            <w:pPr>
              <w:pStyle w:val="ARfintablecolheadright"/>
              <w:ind w:right="0"/>
            </w:pPr>
            <w:r w:rsidRPr="002029AF">
              <w:t>$M</w:t>
            </w:r>
          </w:p>
        </w:tc>
        <w:tc>
          <w:tcPr>
            <w:tcW w:w="614" w:type="dxa"/>
            <w:tcBorders>
              <w:bottom w:val="single" w:sz="4" w:space="0" w:color="auto"/>
            </w:tcBorders>
            <w:hideMark/>
          </w:tcPr>
          <w:p w14:paraId="60C65659" w14:textId="77777777" w:rsidR="00087B91" w:rsidRPr="002029AF" w:rsidRDefault="00087B91" w:rsidP="00860E95">
            <w:pPr>
              <w:pStyle w:val="ARfintablecolheadright"/>
              <w:ind w:right="0"/>
            </w:pPr>
            <w:r w:rsidRPr="002029AF">
              <w:t>6</w:t>
            </w:r>
          </w:p>
          <w:p w14:paraId="33EB77FD" w14:textId="77777777" w:rsidR="00087B91" w:rsidRPr="002029AF" w:rsidRDefault="00087B91" w:rsidP="00860E95">
            <w:pPr>
              <w:pStyle w:val="ARfintablecolheadright"/>
              <w:ind w:right="0"/>
            </w:pPr>
            <w:r w:rsidRPr="002029AF">
              <w:t>$M</w:t>
            </w:r>
          </w:p>
        </w:tc>
        <w:tc>
          <w:tcPr>
            <w:tcW w:w="680" w:type="dxa"/>
            <w:tcBorders>
              <w:bottom w:val="single" w:sz="4" w:space="0" w:color="auto"/>
            </w:tcBorders>
            <w:hideMark/>
          </w:tcPr>
          <w:p w14:paraId="6B66EEB6" w14:textId="77777777" w:rsidR="00087B91" w:rsidRPr="002029AF" w:rsidRDefault="00087B91" w:rsidP="00860E95">
            <w:pPr>
              <w:pStyle w:val="ARfintablecolheadright"/>
              <w:ind w:right="0"/>
            </w:pPr>
            <w:r w:rsidRPr="002029AF">
              <w:t>7</w:t>
            </w:r>
          </w:p>
          <w:p w14:paraId="66E0B918" w14:textId="77777777" w:rsidR="00087B91" w:rsidRPr="002029AF" w:rsidRDefault="00087B91" w:rsidP="00860E95">
            <w:pPr>
              <w:pStyle w:val="ARfintablecolheadright"/>
              <w:ind w:right="0"/>
            </w:pPr>
            <w:r w:rsidRPr="002029AF">
              <w:t>$M</w:t>
            </w:r>
          </w:p>
        </w:tc>
        <w:tc>
          <w:tcPr>
            <w:tcW w:w="680" w:type="dxa"/>
            <w:tcBorders>
              <w:bottom w:val="single" w:sz="4" w:space="0" w:color="auto"/>
            </w:tcBorders>
            <w:hideMark/>
          </w:tcPr>
          <w:p w14:paraId="5629CD05" w14:textId="77777777" w:rsidR="00087B91" w:rsidRPr="002029AF" w:rsidRDefault="00087B91" w:rsidP="00860E95">
            <w:pPr>
              <w:pStyle w:val="ARfintablecolheadright"/>
              <w:ind w:right="0"/>
            </w:pPr>
            <w:r w:rsidRPr="002029AF">
              <w:t>8</w:t>
            </w:r>
          </w:p>
          <w:p w14:paraId="1CAB29F6" w14:textId="77777777" w:rsidR="00087B91" w:rsidRPr="002029AF" w:rsidRDefault="00087B91" w:rsidP="00860E95">
            <w:pPr>
              <w:pStyle w:val="ARfintablecolheadright"/>
              <w:ind w:right="0"/>
            </w:pPr>
            <w:r w:rsidRPr="002029AF">
              <w:t>$M</w:t>
            </w:r>
          </w:p>
        </w:tc>
        <w:tc>
          <w:tcPr>
            <w:tcW w:w="719" w:type="dxa"/>
            <w:tcBorders>
              <w:bottom w:val="single" w:sz="4" w:space="0" w:color="auto"/>
            </w:tcBorders>
            <w:hideMark/>
          </w:tcPr>
          <w:p w14:paraId="6D75807B" w14:textId="77777777" w:rsidR="00087B91" w:rsidRPr="002029AF" w:rsidRDefault="00087B91" w:rsidP="00860E95">
            <w:pPr>
              <w:pStyle w:val="ARfintablecolheadright"/>
              <w:ind w:right="0"/>
            </w:pPr>
            <w:r w:rsidRPr="002029AF">
              <w:t>9</w:t>
            </w:r>
          </w:p>
          <w:p w14:paraId="4FCEDEC7" w14:textId="77777777" w:rsidR="00087B91" w:rsidRPr="002029AF" w:rsidRDefault="00087B91" w:rsidP="00860E95">
            <w:pPr>
              <w:pStyle w:val="ARfintablecolheadright"/>
              <w:ind w:right="0"/>
            </w:pPr>
            <w:r w:rsidRPr="002029AF">
              <w:t>$M</w:t>
            </w:r>
          </w:p>
        </w:tc>
        <w:tc>
          <w:tcPr>
            <w:tcW w:w="709" w:type="dxa"/>
            <w:tcBorders>
              <w:bottom w:val="single" w:sz="4" w:space="0" w:color="auto"/>
            </w:tcBorders>
            <w:hideMark/>
          </w:tcPr>
          <w:p w14:paraId="4E4547F1" w14:textId="77777777" w:rsidR="00087B91" w:rsidRPr="002029AF" w:rsidRDefault="00087B91" w:rsidP="00860E95">
            <w:pPr>
              <w:pStyle w:val="ARfintablecolheadright"/>
              <w:ind w:right="0"/>
            </w:pPr>
            <w:r w:rsidRPr="002029AF">
              <w:t>10</w:t>
            </w:r>
          </w:p>
          <w:p w14:paraId="52E5C59C" w14:textId="77777777" w:rsidR="00087B91" w:rsidRPr="002029AF" w:rsidRDefault="00087B91" w:rsidP="00860E95">
            <w:pPr>
              <w:pStyle w:val="ARfintablecolheadright"/>
              <w:ind w:right="0"/>
            </w:pPr>
            <w:r w:rsidRPr="002029AF">
              <w:t>$M</w:t>
            </w:r>
          </w:p>
        </w:tc>
        <w:tc>
          <w:tcPr>
            <w:tcW w:w="709" w:type="dxa"/>
            <w:tcBorders>
              <w:bottom w:val="single" w:sz="4" w:space="0" w:color="auto"/>
            </w:tcBorders>
            <w:hideMark/>
          </w:tcPr>
          <w:p w14:paraId="53DAE270" w14:textId="77777777" w:rsidR="00087B91" w:rsidRPr="002029AF" w:rsidRDefault="00087B91" w:rsidP="00860E95">
            <w:pPr>
              <w:pStyle w:val="ARfintablecolheadright"/>
              <w:ind w:right="0"/>
            </w:pPr>
            <w:r w:rsidRPr="002029AF">
              <w:t>11</w:t>
            </w:r>
          </w:p>
          <w:p w14:paraId="0F2DCAB1" w14:textId="77777777" w:rsidR="00087B91" w:rsidRPr="002029AF" w:rsidRDefault="00087B91" w:rsidP="00860E95">
            <w:pPr>
              <w:pStyle w:val="ARfintablecolheadright"/>
              <w:ind w:right="0"/>
            </w:pPr>
            <w:r w:rsidRPr="002029AF">
              <w:t>$M</w:t>
            </w:r>
          </w:p>
        </w:tc>
        <w:tc>
          <w:tcPr>
            <w:tcW w:w="709" w:type="dxa"/>
            <w:tcBorders>
              <w:bottom w:val="single" w:sz="4" w:space="0" w:color="auto"/>
            </w:tcBorders>
            <w:hideMark/>
          </w:tcPr>
          <w:p w14:paraId="6AC5A045" w14:textId="77777777" w:rsidR="00087B91" w:rsidRPr="002029AF" w:rsidRDefault="00087B91" w:rsidP="00860E95">
            <w:pPr>
              <w:pStyle w:val="ARfintablecolheadright"/>
              <w:ind w:right="0"/>
            </w:pPr>
            <w:r w:rsidRPr="002029AF">
              <w:t>12</w:t>
            </w:r>
          </w:p>
          <w:p w14:paraId="3AA26B35" w14:textId="77777777" w:rsidR="00087B91" w:rsidRPr="002029AF" w:rsidRDefault="00087B91" w:rsidP="00860E95">
            <w:pPr>
              <w:pStyle w:val="ARfintablecolheadright"/>
              <w:ind w:right="0"/>
            </w:pPr>
            <w:r w:rsidRPr="002029AF">
              <w:t>$M</w:t>
            </w:r>
          </w:p>
        </w:tc>
        <w:tc>
          <w:tcPr>
            <w:tcW w:w="567" w:type="dxa"/>
            <w:tcBorders>
              <w:bottom w:val="single" w:sz="4" w:space="0" w:color="auto"/>
            </w:tcBorders>
            <w:hideMark/>
          </w:tcPr>
          <w:p w14:paraId="03F798B7" w14:textId="77777777" w:rsidR="00087B91" w:rsidRPr="002029AF" w:rsidRDefault="00087B91" w:rsidP="00860E95">
            <w:pPr>
              <w:pStyle w:val="ARfintablecolheadright"/>
              <w:ind w:right="0"/>
            </w:pPr>
            <w:r w:rsidRPr="002029AF">
              <w:t>13</w:t>
            </w:r>
          </w:p>
          <w:p w14:paraId="4CAA4A65" w14:textId="77777777" w:rsidR="00087B91" w:rsidRPr="002029AF" w:rsidRDefault="00087B91" w:rsidP="00860E95">
            <w:pPr>
              <w:pStyle w:val="ARfintablecolheadright"/>
              <w:ind w:right="0"/>
            </w:pPr>
            <w:r w:rsidRPr="002029AF">
              <w:t>$M</w:t>
            </w:r>
          </w:p>
        </w:tc>
        <w:tc>
          <w:tcPr>
            <w:tcW w:w="708" w:type="dxa"/>
            <w:tcBorders>
              <w:bottom w:val="single" w:sz="4" w:space="0" w:color="auto"/>
            </w:tcBorders>
            <w:hideMark/>
          </w:tcPr>
          <w:p w14:paraId="3BF4DB16" w14:textId="77777777" w:rsidR="00087B91" w:rsidRPr="002029AF" w:rsidRDefault="00087B91" w:rsidP="00860E95">
            <w:pPr>
              <w:pStyle w:val="ARfintablecolheadright"/>
              <w:ind w:right="0"/>
            </w:pPr>
            <w:r w:rsidRPr="002029AF">
              <w:t>14</w:t>
            </w:r>
          </w:p>
          <w:p w14:paraId="3B859F07" w14:textId="77777777" w:rsidR="00087B91" w:rsidRPr="002029AF" w:rsidRDefault="00087B91" w:rsidP="00860E95">
            <w:pPr>
              <w:pStyle w:val="ARfintablecolheadright"/>
              <w:ind w:right="0"/>
            </w:pPr>
            <w:r w:rsidRPr="002029AF">
              <w:t>$M</w:t>
            </w:r>
          </w:p>
        </w:tc>
        <w:tc>
          <w:tcPr>
            <w:tcW w:w="709" w:type="dxa"/>
            <w:tcBorders>
              <w:bottom w:val="single" w:sz="4" w:space="0" w:color="auto"/>
            </w:tcBorders>
            <w:hideMark/>
          </w:tcPr>
          <w:p w14:paraId="1032A6B0" w14:textId="77777777" w:rsidR="00087B91" w:rsidRPr="002029AF" w:rsidRDefault="00087B91" w:rsidP="00860E95">
            <w:pPr>
              <w:pStyle w:val="ARfintablecolheadright"/>
              <w:ind w:right="0"/>
            </w:pPr>
            <w:r w:rsidRPr="002029AF">
              <w:t>15</w:t>
            </w:r>
          </w:p>
          <w:p w14:paraId="02316AEF" w14:textId="77777777" w:rsidR="00087B91" w:rsidRPr="002029AF" w:rsidRDefault="00087B91" w:rsidP="00860E95">
            <w:pPr>
              <w:pStyle w:val="ARfintablecolheadright"/>
              <w:ind w:right="0"/>
            </w:pPr>
            <w:r w:rsidRPr="002029AF">
              <w:t>$M</w:t>
            </w:r>
          </w:p>
        </w:tc>
        <w:tc>
          <w:tcPr>
            <w:tcW w:w="709" w:type="dxa"/>
            <w:tcBorders>
              <w:bottom w:val="single" w:sz="4" w:space="0" w:color="auto"/>
            </w:tcBorders>
            <w:hideMark/>
          </w:tcPr>
          <w:p w14:paraId="3CE000C1" w14:textId="77777777" w:rsidR="00087B91" w:rsidRPr="002029AF" w:rsidRDefault="00087B91" w:rsidP="00860E95">
            <w:pPr>
              <w:pStyle w:val="ARfintablecolheadright"/>
              <w:ind w:right="0"/>
            </w:pPr>
            <w:r w:rsidRPr="002029AF">
              <w:t>16</w:t>
            </w:r>
          </w:p>
          <w:p w14:paraId="7889D337" w14:textId="77777777" w:rsidR="00087B91" w:rsidRPr="002029AF" w:rsidRDefault="00087B91" w:rsidP="00860E95">
            <w:pPr>
              <w:pStyle w:val="ARfintablecolheadright"/>
              <w:ind w:right="0"/>
            </w:pPr>
            <w:r w:rsidRPr="002029AF">
              <w:t>$M</w:t>
            </w:r>
          </w:p>
        </w:tc>
        <w:tc>
          <w:tcPr>
            <w:tcW w:w="567" w:type="dxa"/>
            <w:tcBorders>
              <w:bottom w:val="single" w:sz="4" w:space="0" w:color="auto"/>
            </w:tcBorders>
            <w:hideMark/>
          </w:tcPr>
          <w:p w14:paraId="5A78D36C" w14:textId="77777777" w:rsidR="00087B91" w:rsidRPr="002029AF" w:rsidRDefault="00087B91" w:rsidP="00860E95">
            <w:pPr>
              <w:pStyle w:val="ARfintablecolheadright"/>
              <w:ind w:right="0"/>
            </w:pPr>
            <w:r w:rsidRPr="002029AF">
              <w:t>Elimin-</w:t>
            </w:r>
            <w:r w:rsidRPr="002029AF">
              <w:br/>
              <w:t>ation</w:t>
            </w:r>
          </w:p>
          <w:p w14:paraId="6853CC8B" w14:textId="77777777" w:rsidR="00087B91" w:rsidRPr="002029AF" w:rsidRDefault="00087B91" w:rsidP="00860E95">
            <w:pPr>
              <w:pStyle w:val="ARfintablecolheadright"/>
              <w:ind w:right="0"/>
            </w:pPr>
            <w:r w:rsidRPr="002029AF">
              <w:t>$M</w:t>
            </w:r>
          </w:p>
        </w:tc>
        <w:tc>
          <w:tcPr>
            <w:tcW w:w="714" w:type="dxa"/>
            <w:tcBorders>
              <w:bottom w:val="single" w:sz="4" w:space="0" w:color="auto"/>
            </w:tcBorders>
            <w:hideMark/>
          </w:tcPr>
          <w:p w14:paraId="71DAE96D" w14:textId="77777777" w:rsidR="00087B91" w:rsidRPr="002029AF" w:rsidRDefault="00087B91" w:rsidP="00860E95">
            <w:pPr>
              <w:pStyle w:val="ARfintablecolheadright"/>
              <w:ind w:right="0"/>
            </w:pPr>
            <w:r w:rsidRPr="002029AF">
              <w:t>Total</w:t>
            </w:r>
          </w:p>
          <w:p w14:paraId="763A013E" w14:textId="77777777" w:rsidR="00087B91" w:rsidRPr="002029AF" w:rsidRDefault="00087B91" w:rsidP="00860E95">
            <w:pPr>
              <w:pStyle w:val="ARfintablecolheadright"/>
              <w:ind w:right="0"/>
            </w:pPr>
            <w:r w:rsidRPr="002029AF">
              <w:t>$M</w:t>
            </w:r>
          </w:p>
        </w:tc>
      </w:tr>
      <w:tr w:rsidR="00087B91" w:rsidRPr="002029AF" w14:paraId="4E2284CE" w14:textId="77777777" w:rsidTr="00C81A0B">
        <w:trPr>
          <w:trHeight w:val="170"/>
        </w:trPr>
        <w:tc>
          <w:tcPr>
            <w:tcW w:w="14610" w:type="dxa"/>
            <w:gridSpan w:val="20"/>
            <w:tcBorders>
              <w:top w:val="single" w:sz="4" w:space="0" w:color="auto"/>
              <w:bottom w:val="single" w:sz="4" w:space="0" w:color="A6A6A6"/>
            </w:tcBorders>
            <w:hideMark/>
          </w:tcPr>
          <w:p w14:paraId="23214360" w14:textId="1CFD054C" w:rsidR="00087B91" w:rsidRPr="002029AF" w:rsidRDefault="00087B91" w:rsidP="00860E95">
            <w:pPr>
              <w:pStyle w:val="ARfintablebodybold"/>
              <w:ind w:right="0"/>
            </w:pPr>
            <w:r w:rsidRPr="002029AF">
              <w:t>Income</w:t>
            </w:r>
            <w:r w:rsidR="000A5329" w:rsidRPr="002029AF">
              <w:t xml:space="preserve"> </w:t>
            </w:r>
            <w:r w:rsidRPr="002029AF">
              <w:t>from</w:t>
            </w:r>
            <w:r w:rsidR="000A5329" w:rsidRPr="002029AF">
              <w:t xml:space="preserve"> </w:t>
            </w:r>
            <w:r w:rsidRPr="002029AF">
              <w:t>transactions</w:t>
            </w:r>
          </w:p>
        </w:tc>
      </w:tr>
      <w:tr w:rsidR="00595FA8" w:rsidRPr="002029AF" w14:paraId="1B8411A0" w14:textId="77777777" w:rsidTr="00C81A0B">
        <w:trPr>
          <w:gridAfter w:val="1"/>
          <w:wAfter w:w="9" w:type="dxa"/>
          <w:trHeight w:val="170"/>
        </w:trPr>
        <w:tc>
          <w:tcPr>
            <w:tcW w:w="2213" w:type="dxa"/>
            <w:tcBorders>
              <w:top w:val="single" w:sz="4" w:space="0" w:color="A6A6A6"/>
              <w:bottom w:val="single" w:sz="4" w:space="0" w:color="A6A6A6"/>
            </w:tcBorders>
            <w:hideMark/>
          </w:tcPr>
          <w:p w14:paraId="1D4D9EE4" w14:textId="53C7A0CE" w:rsidR="00087B91" w:rsidRPr="002029AF" w:rsidRDefault="00087B91" w:rsidP="00860E95">
            <w:pPr>
              <w:pStyle w:val="ARfintablebody"/>
            </w:pPr>
            <w:r w:rsidRPr="002029AF">
              <w:t>Output</w:t>
            </w:r>
            <w:r w:rsidR="000A5329" w:rsidRPr="002029AF">
              <w:t xml:space="preserve"> </w:t>
            </w:r>
            <w:r w:rsidRPr="002029AF">
              <w:t>appropriations</w:t>
            </w:r>
          </w:p>
        </w:tc>
        <w:tc>
          <w:tcPr>
            <w:tcW w:w="901" w:type="dxa"/>
            <w:tcBorders>
              <w:top w:val="single" w:sz="4" w:space="0" w:color="A6A6A6"/>
              <w:bottom w:val="single" w:sz="4" w:space="0" w:color="A6A6A6"/>
            </w:tcBorders>
            <w:noWrap/>
            <w:hideMark/>
          </w:tcPr>
          <w:p w14:paraId="45D55251" w14:textId="77777777" w:rsidR="00087B91" w:rsidRPr="002029AF" w:rsidRDefault="00087B91" w:rsidP="00860E95">
            <w:pPr>
              <w:pStyle w:val="ARfintablebodyright"/>
              <w:ind w:right="0"/>
            </w:pPr>
            <w:r w:rsidRPr="002029AF">
              <w:t>8,305.1</w:t>
            </w:r>
          </w:p>
        </w:tc>
        <w:tc>
          <w:tcPr>
            <w:tcW w:w="709" w:type="dxa"/>
            <w:tcBorders>
              <w:top w:val="single" w:sz="4" w:space="0" w:color="A6A6A6"/>
              <w:bottom w:val="single" w:sz="4" w:space="0" w:color="A6A6A6"/>
            </w:tcBorders>
            <w:noWrap/>
            <w:hideMark/>
          </w:tcPr>
          <w:p w14:paraId="23C3BDD3" w14:textId="77777777" w:rsidR="00087B91" w:rsidRPr="002029AF" w:rsidRDefault="00087B91" w:rsidP="00860E95">
            <w:pPr>
              <w:pStyle w:val="ARfintablebodyright"/>
              <w:ind w:right="0"/>
            </w:pPr>
            <w:r w:rsidRPr="002029AF">
              <w:t>854.5</w:t>
            </w:r>
          </w:p>
        </w:tc>
        <w:tc>
          <w:tcPr>
            <w:tcW w:w="575" w:type="dxa"/>
            <w:tcBorders>
              <w:top w:val="single" w:sz="4" w:space="0" w:color="A6A6A6"/>
              <w:bottom w:val="single" w:sz="4" w:space="0" w:color="A6A6A6"/>
            </w:tcBorders>
            <w:noWrap/>
            <w:hideMark/>
          </w:tcPr>
          <w:p w14:paraId="27561DAC" w14:textId="77777777" w:rsidR="00087B91" w:rsidRPr="002029AF" w:rsidRDefault="00087B91" w:rsidP="00860E95">
            <w:pPr>
              <w:pStyle w:val="ARfintablebodyright"/>
              <w:ind w:right="0"/>
            </w:pPr>
            <w:r w:rsidRPr="002029AF">
              <w:t>1,142.7</w:t>
            </w:r>
          </w:p>
        </w:tc>
        <w:tc>
          <w:tcPr>
            <w:tcW w:w="681" w:type="dxa"/>
            <w:tcBorders>
              <w:top w:val="single" w:sz="4" w:space="0" w:color="A6A6A6"/>
              <w:bottom w:val="single" w:sz="4" w:space="0" w:color="A6A6A6"/>
            </w:tcBorders>
            <w:noWrap/>
            <w:hideMark/>
          </w:tcPr>
          <w:p w14:paraId="2DBD170B" w14:textId="77777777" w:rsidR="00087B91" w:rsidRPr="002029AF" w:rsidRDefault="00087B91" w:rsidP="00860E95">
            <w:pPr>
              <w:pStyle w:val="ARfintablebodyright"/>
              <w:ind w:right="0"/>
            </w:pPr>
            <w:r w:rsidRPr="002029AF">
              <w:t>536.3</w:t>
            </w:r>
          </w:p>
        </w:tc>
        <w:tc>
          <w:tcPr>
            <w:tcW w:w="728" w:type="dxa"/>
            <w:tcBorders>
              <w:top w:val="single" w:sz="4" w:space="0" w:color="A6A6A6"/>
              <w:bottom w:val="single" w:sz="4" w:space="0" w:color="A6A6A6"/>
            </w:tcBorders>
            <w:noWrap/>
            <w:hideMark/>
          </w:tcPr>
          <w:p w14:paraId="4A29C661" w14:textId="77777777" w:rsidR="00087B91" w:rsidRPr="002029AF" w:rsidRDefault="00087B91" w:rsidP="00860E95">
            <w:pPr>
              <w:pStyle w:val="ARfintablebodyright"/>
              <w:ind w:right="0"/>
            </w:pPr>
            <w:r w:rsidRPr="002029AF">
              <w:t>618.3</w:t>
            </w:r>
          </w:p>
        </w:tc>
        <w:tc>
          <w:tcPr>
            <w:tcW w:w="614" w:type="dxa"/>
            <w:tcBorders>
              <w:top w:val="single" w:sz="4" w:space="0" w:color="A6A6A6"/>
              <w:bottom w:val="single" w:sz="4" w:space="0" w:color="A6A6A6"/>
            </w:tcBorders>
            <w:noWrap/>
            <w:hideMark/>
          </w:tcPr>
          <w:p w14:paraId="3FAC58B8" w14:textId="77777777" w:rsidR="00087B91" w:rsidRPr="002029AF" w:rsidRDefault="00087B91" w:rsidP="00860E95">
            <w:pPr>
              <w:pStyle w:val="ARfintablebodyright"/>
              <w:ind w:right="0"/>
            </w:pPr>
            <w:r w:rsidRPr="002029AF">
              <w:t>334.2</w:t>
            </w:r>
          </w:p>
        </w:tc>
        <w:tc>
          <w:tcPr>
            <w:tcW w:w="680" w:type="dxa"/>
            <w:tcBorders>
              <w:top w:val="single" w:sz="4" w:space="0" w:color="A6A6A6"/>
              <w:bottom w:val="single" w:sz="4" w:space="0" w:color="A6A6A6"/>
            </w:tcBorders>
            <w:noWrap/>
            <w:hideMark/>
          </w:tcPr>
          <w:p w14:paraId="51D470BF" w14:textId="77777777" w:rsidR="00087B91" w:rsidRPr="002029AF" w:rsidRDefault="00087B91" w:rsidP="00860E95">
            <w:pPr>
              <w:pStyle w:val="ARfintablebodyright"/>
              <w:ind w:right="0"/>
            </w:pPr>
            <w:r w:rsidRPr="002029AF">
              <w:t>335.7</w:t>
            </w:r>
          </w:p>
        </w:tc>
        <w:tc>
          <w:tcPr>
            <w:tcW w:w="680" w:type="dxa"/>
            <w:tcBorders>
              <w:top w:val="single" w:sz="4" w:space="0" w:color="A6A6A6"/>
              <w:bottom w:val="single" w:sz="4" w:space="0" w:color="A6A6A6"/>
            </w:tcBorders>
            <w:noWrap/>
            <w:hideMark/>
          </w:tcPr>
          <w:p w14:paraId="5DF62A6C" w14:textId="77777777" w:rsidR="00087B91" w:rsidRPr="002029AF" w:rsidRDefault="00087B91" w:rsidP="00860E95">
            <w:pPr>
              <w:pStyle w:val="ARfintablebodyright"/>
              <w:ind w:right="0"/>
            </w:pPr>
            <w:r w:rsidRPr="002029AF">
              <w:t>173.8</w:t>
            </w:r>
          </w:p>
        </w:tc>
        <w:tc>
          <w:tcPr>
            <w:tcW w:w="719" w:type="dxa"/>
            <w:tcBorders>
              <w:top w:val="single" w:sz="4" w:space="0" w:color="A6A6A6"/>
              <w:bottom w:val="single" w:sz="4" w:space="0" w:color="A6A6A6"/>
            </w:tcBorders>
            <w:noWrap/>
            <w:hideMark/>
          </w:tcPr>
          <w:p w14:paraId="47C665AC" w14:textId="77777777" w:rsidR="00087B91" w:rsidRPr="002029AF" w:rsidRDefault="00087B91" w:rsidP="00860E95">
            <w:pPr>
              <w:pStyle w:val="ARfintablebodyright"/>
              <w:ind w:right="0"/>
            </w:pPr>
            <w:r w:rsidRPr="002029AF">
              <w:t>2,056.2</w:t>
            </w:r>
          </w:p>
        </w:tc>
        <w:tc>
          <w:tcPr>
            <w:tcW w:w="709" w:type="dxa"/>
            <w:tcBorders>
              <w:top w:val="single" w:sz="4" w:space="0" w:color="A6A6A6"/>
              <w:bottom w:val="single" w:sz="4" w:space="0" w:color="A6A6A6"/>
            </w:tcBorders>
            <w:noWrap/>
            <w:hideMark/>
          </w:tcPr>
          <w:p w14:paraId="21375BAA" w14:textId="77777777" w:rsidR="00087B91" w:rsidRPr="002029AF" w:rsidRDefault="00087B91" w:rsidP="00860E95">
            <w:pPr>
              <w:pStyle w:val="ARfintablebodyright"/>
              <w:ind w:right="0"/>
            </w:pPr>
            <w:r w:rsidRPr="002029AF">
              <w:t>1,505.5</w:t>
            </w:r>
          </w:p>
        </w:tc>
        <w:tc>
          <w:tcPr>
            <w:tcW w:w="709" w:type="dxa"/>
            <w:tcBorders>
              <w:top w:val="single" w:sz="4" w:space="0" w:color="A6A6A6"/>
              <w:bottom w:val="single" w:sz="4" w:space="0" w:color="A6A6A6"/>
            </w:tcBorders>
            <w:noWrap/>
            <w:hideMark/>
          </w:tcPr>
          <w:p w14:paraId="63C45CFA" w14:textId="77777777" w:rsidR="00087B91" w:rsidRPr="002029AF" w:rsidRDefault="00087B91" w:rsidP="00860E95">
            <w:pPr>
              <w:pStyle w:val="ARfintablebodyright"/>
              <w:ind w:right="0"/>
            </w:pPr>
            <w:r w:rsidRPr="002029AF">
              <w:t>752.8</w:t>
            </w:r>
          </w:p>
        </w:tc>
        <w:tc>
          <w:tcPr>
            <w:tcW w:w="709" w:type="dxa"/>
            <w:tcBorders>
              <w:top w:val="single" w:sz="4" w:space="0" w:color="A6A6A6"/>
              <w:bottom w:val="single" w:sz="4" w:space="0" w:color="A6A6A6"/>
            </w:tcBorders>
            <w:noWrap/>
            <w:hideMark/>
          </w:tcPr>
          <w:p w14:paraId="7F2FC2F3" w14:textId="77777777" w:rsidR="00087B91" w:rsidRPr="002029AF" w:rsidRDefault="00087B91" w:rsidP="00860E95">
            <w:pPr>
              <w:pStyle w:val="ARfintablebodyright"/>
              <w:ind w:right="0"/>
            </w:pPr>
            <w:r w:rsidRPr="002029AF">
              <w:t>61.9</w:t>
            </w:r>
          </w:p>
        </w:tc>
        <w:tc>
          <w:tcPr>
            <w:tcW w:w="567" w:type="dxa"/>
            <w:tcBorders>
              <w:top w:val="single" w:sz="4" w:space="0" w:color="A6A6A6"/>
              <w:bottom w:val="single" w:sz="4" w:space="0" w:color="A6A6A6"/>
            </w:tcBorders>
            <w:noWrap/>
            <w:hideMark/>
          </w:tcPr>
          <w:p w14:paraId="6656E633" w14:textId="77777777" w:rsidR="00087B91" w:rsidRPr="002029AF" w:rsidRDefault="00087B91" w:rsidP="00860E95">
            <w:pPr>
              <w:pStyle w:val="ARfintablebodyright"/>
              <w:ind w:right="0"/>
            </w:pPr>
            <w:r w:rsidRPr="002029AF">
              <w:t>–</w:t>
            </w:r>
          </w:p>
        </w:tc>
        <w:tc>
          <w:tcPr>
            <w:tcW w:w="708" w:type="dxa"/>
            <w:tcBorders>
              <w:top w:val="single" w:sz="4" w:space="0" w:color="A6A6A6"/>
              <w:bottom w:val="single" w:sz="4" w:space="0" w:color="A6A6A6"/>
            </w:tcBorders>
            <w:noWrap/>
            <w:hideMark/>
          </w:tcPr>
          <w:p w14:paraId="2ECA3188" w14:textId="77777777" w:rsidR="00087B91" w:rsidRPr="002029AF" w:rsidRDefault="00087B91" w:rsidP="00860E95">
            <w:pPr>
              <w:pStyle w:val="ARfintablebodyright"/>
              <w:ind w:right="0"/>
            </w:pPr>
            <w:r w:rsidRPr="002029AF">
              <w:t>276.7</w:t>
            </w:r>
          </w:p>
        </w:tc>
        <w:tc>
          <w:tcPr>
            <w:tcW w:w="709" w:type="dxa"/>
            <w:tcBorders>
              <w:top w:val="single" w:sz="4" w:space="0" w:color="A6A6A6"/>
              <w:bottom w:val="single" w:sz="4" w:space="0" w:color="A6A6A6"/>
            </w:tcBorders>
            <w:noWrap/>
            <w:hideMark/>
          </w:tcPr>
          <w:p w14:paraId="1DDB03AD" w14:textId="77777777" w:rsidR="00087B91" w:rsidRPr="002029AF" w:rsidRDefault="00087B91" w:rsidP="00860E95">
            <w:pPr>
              <w:pStyle w:val="ARfintablebodyright"/>
              <w:ind w:right="0"/>
            </w:pPr>
            <w:r w:rsidRPr="002029AF">
              <w:t>646.2</w:t>
            </w:r>
          </w:p>
        </w:tc>
        <w:tc>
          <w:tcPr>
            <w:tcW w:w="709" w:type="dxa"/>
            <w:tcBorders>
              <w:top w:val="single" w:sz="4" w:space="0" w:color="A6A6A6"/>
              <w:bottom w:val="single" w:sz="4" w:space="0" w:color="A6A6A6"/>
            </w:tcBorders>
            <w:noWrap/>
            <w:hideMark/>
          </w:tcPr>
          <w:p w14:paraId="7628D272" w14:textId="77777777" w:rsidR="00087B91" w:rsidRPr="002029AF" w:rsidRDefault="00087B91" w:rsidP="00860E95">
            <w:pPr>
              <w:pStyle w:val="ARfintablebodyright"/>
              <w:ind w:right="0"/>
            </w:pPr>
            <w:r w:rsidRPr="002029AF">
              <w:t>–</w:t>
            </w:r>
          </w:p>
        </w:tc>
        <w:tc>
          <w:tcPr>
            <w:tcW w:w="567" w:type="dxa"/>
            <w:tcBorders>
              <w:top w:val="single" w:sz="4" w:space="0" w:color="A6A6A6"/>
              <w:bottom w:val="single" w:sz="4" w:space="0" w:color="A6A6A6"/>
            </w:tcBorders>
            <w:noWrap/>
            <w:hideMark/>
          </w:tcPr>
          <w:p w14:paraId="171E4E03" w14:textId="77777777" w:rsidR="00087B91" w:rsidRPr="002029AF" w:rsidRDefault="00087B91" w:rsidP="00860E95">
            <w:pPr>
              <w:pStyle w:val="ARfintablebodyright"/>
              <w:ind w:right="0"/>
            </w:pPr>
            <w:r w:rsidRPr="002029AF">
              <w:t>–</w:t>
            </w:r>
          </w:p>
        </w:tc>
        <w:tc>
          <w:tcPr>
            <w:tcW w:w="714" w:type="dxa"/>
            <w:tcBorders>
              <w:top w:val="single" w:sz="4" w:space="0" w:color="A6A6A6"/>
              <w:bottom w:val="single" w:sz="4" w:space="0" w:color="A6A6A6"/>
            </w:tcBorders>
            <w:noWrap/>
            <w:hideMark/>
          </w:tcPr>
          <w:p w14:paraId="00A38077" w14:textId="77777777" w:rsidR="00087B91" w:rsidRPr="002029AF" w:rsidRDefault="00087B91" w:rsidP="00860E95">
            <w:pPr>
              <w:pStyle w:val="ARfintablebodyright"/>
              <w:ind w:right="0"/>
            </w:pPr>
            <w:r w:rsidRPr="002029AF">
              <w:t>17,600.0</w:t>
            </w:r>
          </w:p>
        </w:tc>
      </w:tr>
      <w:tr w:rsidR="00595FA8" w:rsidRPr="002029AF" w14:paraId="43630C09" w14:textId="77777777" w:rsidTr="00C81A0B">
        <w:trPr>
          <w:gridAfter w:val="1"/>
          <w:wAfter w:w="9" w:type="dxa"/>
          <w:trHeight w:val="170"/>
        </w:trPr>
        <w:tc>
          <w:tcPr>
            <w:tcW w:w="2213" w:type="dxa"/>
            <w:tcBorders>
              <w:top w:val="single" w:sz="4" w:space="0" w:color="A6A6A6"/>
              <w:bottom w:val="single" w:sz="4" w:space="0" w:color="A6A6A6"/>
            </w:tcBorders>
            <w:hideMark/>
          </w:tcPr>
          <w:p w14:paraId="34A4EA0A" w14:textId="025A3DD3" w:rsidR="00087B91" w:rsidRPr="002029AF" w:rsidRDefault="00087B91" w:rsidP="00860E95">
            <w:pPr>
              <w:pStyle w:val="ARfintablebody"/>
            </w:pPr>
            <w:r w:rsidRPr="002029AF">
              <w:t>Special</w:t>
            </w:r>
            <w:r w:rsidR="000A5329" w:rsidRPr="002029AF">
              <w:t xml:space="preserve"> </w:t>
            </w:r>
            <w:r w:rsidRPr="002029AF">
              <w:t>appropriations</w:t>
            </w:r>
          </w:p>
        </w:tc>
        <w:tc>
          <w:tcPr>
            <w:tcW w:w="901" w:type="dxa"/>
            <w:tcBorders>
              <w:top w:val="single" w:sz="4" w:space="0" w:color="A6A6A6"/>
              <w:bottom w:val="single" w:sz="4" w:space="0" w:color="A6A6A6"/>
            </w:tcBorders>
            <w:noWrap/>
            <w:hideMark/>
          </w:tcPr>
          <w:p w14:paraId="35B3487A" w14:textId="77777777" w:rsidR="00087B91" w:rsidRPr="002029AF" w:rsidRDefault="00087B91" w:rsidP="00860E95">
            <w:pPr>
              <w:pStyle w:val="ARfintablebodyright"/>
              <w:ind w:right="0"/>
            </w:pPr>
            <w:r w:rsidRPr="002029AF">
              <w:t>1,135.7</w:t>
            </w:r>
          </w:p>
        </w:tc>
        <w:tc>
          <w:tcPr>
            <w:tcW w:w="709" w:type="dxa"/>
            <w:tcBorders>
              <w:top w:val="single" w:sz="4" w:space="0" w:color="A6A6A6"/>
              <w:bottom w:val="single" w:sz="4" w:space="0" w:color="A6A6A6"/>
            </w:tcBorders>
            <w:noWrap/>
            <w:hideMark/>
          </w:tcPr>
          <w:p w14:paraId="39F0536A" w14:textId="77777777" w:rsidR="00087B91" w:rsidRPr="002029AF" w:rsidRDefault="00087B91" w:rsidP="00860E95">
            <w:pPr>
              <w:pStyle w:val="ARfintablebodyright"/>
              <w:ind w:right="0"/>
            </w:pPr>
            <w:r w:rsidRPr="002029AF">
              <w:t>48.0</w:t>
            </w:r>
          </w:p>
        </w:tc>
        <w:tc>
          <w:tcPr>
            <w:tcW w:w="575" w:type="dxa"/>
            <w:tcBorders>
              <w:top w:val="single" w:sz="4" w:space="0" w:color="A6A6A6"/>
              <w:bottom w:val="single" w:sz="4" w:space="0" w:color="A6A6A6"/>
            </w:tcBorders>
            <w:noWrap/>
            <w:hideMark/>
          </w:tcPr>
          <w:p w14:paraId="53BCD8A2" w14:textId="77777777" w:rsidR="00087B91" w:rsidRPr="002029AF" w:rsidRDefault="00087B91" w:rsidP="00860E95">
            <w:pPr>
              <w:pStyle w:val="ARfintablebodyright"/>
              <w:ind w:right="0"/>
            </w:pPr>
            <w:r w:rsidRPr="002029AF">
              <w:t>34.7</w:t>
            </w:r>
          </w:p>
        </w:tc>
        <w:tc>
          <w:tcPr>
            <w:tcW w:w="681" w:type="dxa"/>
            <w:tcBorders>
              <w:top w:val="single" w:sz="4" w:space="0" w:color="A6A6A6"/>
              <w:bottom w:val="single" w:sz="4" w:space="0" w:color="A6A6A6"/>
            </w:tcBorders>
            <w:noWrap/>
            <w:hideMark/>
          </w:tcPr>
          <w:p w14:paraId="0ECF9180" w14:textId="77777777" w:rsidR="00087B91" w:rsidRPr="002029AF" w:rsidRDefault="00087B91" w:rsidP="00860E95">
            <w:pPr>
              <w:pStyle w:val="ARfintablebodyright"/>
              <w:ind w:right="0"/>
            </w:pPr>
            <w:r w:rsidRPr="002029AF">
              <w:t>20.4</w:t>
            </w:r>
          </w:p>
        </w:tc>
        <w:tc>
          <w:tcPr>
            <w:tcW w:w="728" w:type="dxa"/>
            <w:tcBorders>
              <w:top w:val="single" w:sz="4" w:space="0" w:color="A6A6A6"/>
              <w:bottom w:val="single" w:sz="4" w:space="0" w:color="A6A6A6"/>
            </w:tcBorders>
            <w:noWrap/>
            <w:hideMark/>
          </w:tcPr>
          <w:p w14:paraId="4C0D9C63" w14:textId="77777777" w:rsidR="00087B91" w:rsidRPr="002029AF" w:rsidRDefault="00087B91" w:rsidP="00860E95">
            <w:pPr>
              <w:pStyle w:val="ARfintablebodyright"/>
              <w:ind w:right="0"/>
            </w:pPr>
            <w:r w:rsidRPr="002029AF">
              <w:t>39.9</w:t>
            </w:r>
          </w:p>
        </w:tc>
        <w:tc>
          <w:tcPr>
            <w:tcW w:w="614" w:type="dxa"/>
            <w:tcBorders>
              <w:top w:val="single" w:sz="4" w:space="0" w:color="A6A6A6"/>
              <w:bottom w:val="single" w:sz="4" w:space="0" w:color="A6A6A6"/>
            </w:tcBorders>
            <w:noWrap/>
            <w:hideMark/>
          </w:tcPr>
          <w:p w14:paraId="41356758" w14:textId="77777777" w:rsidR="00087B91" w:rsidRPr="002029AF" w:rsidRDefault="00087B91" w:rsidP="00860E95">
            <w:pPr>
              <w:pStyle w:val="ARfintablebodyright"/>
              <w:ind w:right="0"/>
            </w:pPr>
            <w:r w:rsidRPr="002029AF">
              <w:t>7.3</w:t>
            </w:r>
          </w:p>
        </w:tc>
        <w:tc>
          <w:tcPr>
            <w:tcW w:w="680" w:type="dxa"/>
            <w:tcBorders>
              <w:top w:val="single" w:sz="4" w:space="0" w:color="A6A6A6"/>
              <w:bottom w:val="single" w:sz="4" w:space="0" w:color="A6A6A6"/>
            </w:tcBorders>
            <w:noWrap/>
            <w:hideMark/>
          </w:tcPr>
          <w:p w14:paraId="38CA6B98" w14:textId="77777777" w:rsidR="00087B91" w:rsidRPr="002029AF" w:rsidRDefault="00087B91" w:rsidP="00860E95">
            <w:pPr>
              <w:pStyle w:val="ARfintablebodyright"/>
              <w:ind w:right="0"/>
            </w:pPr>
            <w:r w:rsidRPr="002029AF">
              <w:t>10.8</w:t>
            </w:r>
          </w:p>
        </w:tc>
        <w:tc>
          <w:tcPr>
            <w:tcW w:w="680" w:type="dxa"/>
            <w:tcBorders>
              <w:top w:val="single" w:sz="4" w:space="0" w:color="A6A6A6"/>
              <w:bottom w:val="single" w:sz="4" w:space="0" w:color="A6A6A6"/>
            </w:tcBorders>
            <w:noWrap/>
            <w:hideMark/>
          </w:tcPr>
          <w:p w14:paraId="488E6AC7" w14:textId="77777777" w:rsidR="00087B91" w:rsidRPr="002029AF" w:rsidRDefault="00087B91" w:rsidP="00860E95">
            <w:pPr>
              <w:pStyle w:val="ARfintablebodyright"/>
              <w:ind w:right="0"/>
            </w:pPr>
            <w:r w:rsidRPr="002029AF">
              <w:t>6.3</w:t>
            </w:r>
          </w:p>
        </w:tc>
        <w:tc>
          <w:tcPr>
            <w:tcW w:w="719" w:type="dxa"/>
            <w:tcBorders>
              <w:top w:val="single" w:sz="4" w:space="0" w:color="A6A6A6"/>
              <w:bottom w:val="single" w:sz="4" w:space="0" w:color="A6A6A6"/>
            </w:tcBorders>
            <w:noWrap/>
            <w:hideMark/>
          </w:tcPr>
          <w:p w14:paraId="1AA335DA" w14:textId="77777777" w:rsidR="00087B91" w:rsidRPr="002029AF" w:rsidRDefault="00087B91" w:rsidP="00860E95">
            <w:pPr>
              <w:pStyle w:val="ARfintablebodyright"/>
              <w:ind w:right="0"/>
            </w:pPr>
            <w:r w:rsidRPr="002029AF">
              <w:t>68.8</w:t>
            </w:r>
          </w:p>
        </w:tc>
        <w:tc>
          <w:tcPr>
            <w:tcW w:w="709" w:type="dxa"/>
            <w:tcBorders>
              <w:top w:val="single" w:sz="4" w:space="0" w:color="A6A6A6"/>
              <w:bottom w:val="single" w:sz="4" w:space="0" w:color="A6A6A6"/>
            </w:tcBorders>
            <w:noWrap/>
            <w:hideMark/>
          </w:tcPr>
          <w:p w14:paraId="0255B2B5" w14:textId="77777777" w:rsidR="00087B91" w:rsidRPr="002029AF" w:rsidRDefault="00087B91" w:rsidP="00860E95">
            <w:pPr>
              <w:pStyle w:val="ARfintablebodyright"/>
              <w:ind w:right="0"/>
            </w:pPr>
            <w:r w:rsidRPr="002029AF">
              <w:t>–</w:t>
            </w:r>
          </w:p>
        </w:tc>
        <w:tc>
          <w:tcPr>
            <w:tcW w:w="709" w:type="dxa"/>
            <w:tcBorders>
              <w:top w:val="single" w:sz="4" w:space="0" w:color="A6A6A6"/>
              <w:bottom w:val="single" w:sz="4" w:space="0" w:color="A6A6A6"/>
            </w:tcBorders>
            <w:noWrap/>
            <w:hideMark/>
          </w:tcPr>
          <w:p w14:paraId="2CB57A4F" w14:textId="77777777" w:rsidR="00087B91" w:rsidRPr="002029AF" w:rsidRDefault="00087B91" w:rsidP="00860E95">
            <w:pPr>
              <w:pStyle w:val="ARfintablebodyright"/>
              <w:ind w:right="0"/>
            </w:pPr>
            <w:r w:rsidRPr="002029AF">
              <w:t>–</w:t>
            </w:r>
          </w:p>
        </w:tc>
        <w:tc>
          <w:tcPr>
            <w:tcW w:w="709" w:type="dxa"/>
            <w:tcBorders>
              <w:top w:val="single" w:sz="4" w:space="0" w:color="A6A6A6"/>
              <w:bottom w:val="single" w:sz="4" w:space="0" w:color="A6A6A6"/>
            </w:tcBorders>
            <w:noWrap/>
            <w:hideMark/>
          </w:tcPr>
          <w:p w14:paraId="4921F727" w14:textId="77777777" w:rsidR="00087B91" w:rsidRPr="002029AF" w:rsidRDefault="00087B91" w:rsidP="00860E95">
            <w:pPr>
              <w:pStyle w:val="ARfintablebodyright"/>
              <w:ind w:right="0"/>
            </w:pPr>
            <w:r w:rsidRPr="002029AF">
              <w:t>–</w:t>
            </w:r>
          </w:p>
        </w:tc>
        <w:tc>
          <w:tcPr>
            <w:tcW w:w="567" w:type="dxa"/>
            <w:tcBorders>
              <w:top w:val="single" w:sz="4" w:space="0" w:color="A6A6A6"/>
              <w:bottom w:val="single" w:sz="4" w:space="0" w:color="A6A6A6"/>
            </w:tcBorders>
            <w:noWrap/>
            <w:hideMark/>
          </w:tcPr>
          <w:p w14:paraId="37136477" w14:textId="77777777" w:rsidR="00087B91" w:rsidRPr="002029AF" w:rsidRDefault="00087B91" w:rsidP="00860E95">
            <w:pPr>
              <w:pStyle w:val="ARfintablebodyright"/>
              <w:ind w:right="0"/>
            </w:pPr>
            <w:r w:rsidRPr="002029AF">
              <w:t>–</w:t>
            </w:r>
          </w:p>
        </w:tc>
        <w:tc>
          <w:tcPr>
            <w:tcW w:w="708" w:type="dxa"/>
            <w:tcBorders>
              <w:top w:val="single" w:sz="4" w:space="0" w:color="A6A6A6"/>
              <w:bottom w:val="single" w:sz="4" w:space="0" w:color="A6A6A6"/>
            </w:tcBorders>
            <w:noWrap/>
            <w:hideMark/>
          </w:tcPr>
          <w:p w14:paraId="7E020623" w14:textId="77777777" w:rsidR="00087B91" w:rsidRPr="002029AF" w:rsidRDefault="00087B91" w:rsidP="00860E95">
            <w:pPr>
              <w:pStyle w:val="ARfintablebodyright"/>
              <w:ind w:right="0"/>
            </w:pPr>
            <w:r w:rsidRPr="002029AF">
              <w:t>–</w:t>
            </w:r>
          </w:p>
        </w:tc>
        <w:tc>
          <w:tcPr>
            <w:tcW w:w="709" w:type="dxa"/>
            <w:tcBorders>
              <w:top w:val="single" w:sz="4" w:space="0" w:color="A6A6A6"/>
              <w:bottom w:val="single" w:sz="4" w:space="0" w:color="A6A6A6"/>
            </w:tcBorders>
            <w:noWrap/>
            <w:hideMark/>
          </w:tcPr>
          <w:p w14:paraId="2EB275E9" w14:textId="77777777" w:rsidR="00087B91" w:rsidRPr="002029AF" w:rsidRDefault="00087B91" w:rsidP="00860E95">
            <w:pPr>
              <w:pStyle w:val="ARfintablebodyright"/>
              <w:ind w:right="0"/>
            </w:pPr>
            <w:r w:rsidRPr="002029AF">
              <w:t>–</w:t>
            </w:r>
          </w:p>
        </w:tc>
        <w:tc>
          <w:tcPr>
            <w:tcW w:w="709" w:type="dxa"/>
            <w:tcBorders>
              <w:top w:val="single" w:sz="4" w:space="0" w:color="A6A6A6"/>
              <w:bottom w:val="single" w:sz="4" w:space="0" w:color="A6A6A6"/>
            </w:tcBorders>
            <w:noWrap/>
            <w:hideMark/>
          </w:tcPr>
          <w:p w14:paraId="0F62359A" w14:textId="77777777" w:rsidR="00087B91" w:rsidRPr="002029AF" w:rsidRDefault="00087B91" w:rsidP="00860E95">
            <w:pPr>
              <w:pStyle w:val="ARfintablebodyright"/>
              <w:ind w:right="0"/>
            </w:pPr>
            <w:r w:rsidRPr="002029AF">
              <w:t>–</w:t>
            </w:r>
          </w:p>
        </w:tc>
        <w:tc>
          <w:tcPr>
            <w:tcW w:w="567" w:type="dxa"/>
            <w:tcBorders>
              <w:top w:val="single" w:sz="4" w:space="0" w:color="A6A6A6"/>
              <w:bottom w:val="single" w:sz="4" w:space="0" w:color="A6A6A6"/>
            </w:tcBorders>
            <w:noWrap/>
            <w:hideMark/>
          </w:tcPr>
          <w:p w14:paraId="45AF1323" w14:textId="77777777" w:rsidR="00087B91" w:rsidRPr="002029AF" w:rsidRDefault="00087B91" w:rsidP="00860E95">
            <w:pPr>
              <w:pStyle w:val="ARfintablebodyright"/>
              <w:ind w:right="0"/>
            </w:pPr>
            <w:r w:rsidRPr="002029AF">
              <w:t>–</w:t>
            </w:r>
          </w:p>
        </w:tc>
        <w:tc>
          <w:tcPr>
            <w:tcW w:w="714" w:type="dxa"/>
            <w:tcBorders>
              <w:top w:val="single" w:sz="4" w:space="0" w:color="A6A6A6"/>
              <w:bottom w:val="single" w:sz="4" w:space="0" w:color="A6A6A6"/>
            </w:tcBorders>
            <w:noWrap/>
            <w:hideMark/>
          </w:tcPr>
          <w:p w14:paraId="687DF669" w14:textId="77777777" w:rsidR="00087B91" w:rsidRPr="002029AF" w:rsidRDefault="00087B91" w:rsidP="00860E95">
            <w:pPr>
              <w:pStyle w:val="ARfintablebodyright"/>
              <w:ind w:right="0"/>
            </w:pPr>
            <w:r w:rsidRPr="002029AF">
              <w:t>1,371.9</w:t>
            </w:r>
          </w:p>
        </w:tc>
      </w:tr>
      <w:tr w:rsidR="00595FA8" w:rsidRPr="002029AF" w14:paraId="43EDEB24" w14:textId="77777777" w:rsidTr="00C81A0B">
        <w:trPr>
          <w:gridAfter w:val="1"/>
          <w:wAfter w:w="9" w:type="dxa"/>
          <w:trHeight w:val="170"/>
        </w:trPr>
        <w:tc>
          <w:tcPr>
            <w:tcW w:w="2213" w:type="dxa"/>
            <w:tcBorders>
              <w:top w:val="single" w:sz="4" w:space="0" w:color="A6A6A6"/>
              <w:bottom w:val="single" w:sz="4" w:space="0" w:color="A6A6A6"/>
            </w:tcBorders>
            <w:hideMark/>
          </w:tcPr>
          <w:p w14:paraId="49D192B4" w14:textId="062F75B7" w:rsidR="00087B91" w:rsidRPr="002029AF" w:rsidRDefault="00087B91" w:rsidP="00860E95">
            <w:pPr>
              <w:pStyle w:val="ARfintablebody"/>
            </w:pPr>
            <w:r w:rsidRPr="002029AF">
              <w:t>Interest</w:t>
            </w:r>
            <w:r w:rsidR="000A5329" w:rsidRPr="002029AF">
              <w:t xml:space="preserve"> </w:t>
            </w:r>
            <w:r w:rsidRPr="002029AF">
              <w:t>income</w:t>
            </w:r>
          </w:p>
        </w:tc>
        <w:tc>
          <w:tcPr>
            <w:tcW w:w="901" w:type="dxa"/>
            <w:tcBorders>
              <w:top w:val="single" w:sz="4" w:space="0" w:color="A6A6A6"/>
              <w:bottom w:val="single" w:sz="4" w:space="0" w:color="A6A6A6"/>
            </w:tcBorders>
            <w:noWrap/>
            <w:hideMark/>
          </w:tcPr>
          <w:p w14:paraId="07F5F0A4" w14:textId="77777777" w:rsidR="00087B91" w:rsidRPr="002029AF" w:rsidRDefault="00087B91" w:rsidP="00860E95">
            <w:pPr>
              <w:pStyle w:val="ARfintablebodyright"/>
              <w:ind w:right="0"/>
            </w:pPr>
            <w:r w:rsidRPr="002029AF">
              <w:t>–</w:t>
            </w:r>
          </w:p>
        </w:tc>
        <w:tc>
          <w:tcPr>
            <w:tcW w:w="709" w:type="dxa"/>
            <w:tcBorders>
              <w:top w:val="single" w:sz="4" w:space="0" w:color="A6A6A6"/>
              <w:bottom w:val="single" w:sz="4" w:space="0" w:color="A6A6A6"/>
            </w:tcBorders>
            <w:noWrap/>
            <w:hideMark/>
          </w:tcPr>
          <w:p w14:paraId="011D709D" w14:textId="77777777" w:rsidR="00087B91" w:rsidRPr="002029AF" w:rsidRDefault="00087B91" w:rsidP="00860E95">
            <w:pPr>
              <w:pStyle w:val="ARfintablebodyright"/>
              <w:ind w:right="0"/>
            </w:pPr>
            <w:r w:rsidRPr="002029AF">
              <w:t>–</w:t>
            </w:r>
          </w:p>
        </w:tc>
        <w:tc>
          <w:tcPr>
            <w:tcW w:w="575" w:type="dxa"/>
            <w:tcBorders>
              <w:top w:val="single" w:sz="4" w:space="0" w:color="A6A6A6"/>
              <w:bottom w:val="single" w:sz="4" w:space="0" w:color="A6A6A6"/>
            </w:tcBorders>
            <w:noWrap/>
            <w:hideMark/>
          </w:tcPr>
          <w:p w14:paraId="6175F0E1" w14:textId="77777777" w:rsidR="00087B91" w:rsidRPr="002029AF" w:rsidRDefault="00087B91" w:rsidP="00860E95">
            <w:pPr>
              <w:pStyle w:val="ARfintablebodyright"/>
              <w:ind w:right="0"/>
            </w:pPr>
            <w:r w:rsidRPr="002029AF">
              <w:t>–</w:t>
            </w:r>
          </w:p>
        </w:tc>
        <w:tc>
          <w:tcPr>
            <w:tcW w:w="681" w:type="dxa"/>
            <w:tcBorders>
              <w:top w:val="single" w:sz="4" w:space="0" w:color="A6A6A6"/>
              <w:bottom w:val="single" w:sz="4" w:space="0" w:color="A6A6A6"/>
            </w:tcBorders>
            <w:noWrap/>
            <w:hideMark/>
          </w:tcPr>
          <w:p w14:paraId="04A6CA46" w14:textId="77777777" w:rsidR="00087B91" w:rsidRPr="002029AF" w:rsidRDefault="00087B91" w:rsidP="00860E95">
            <w:pPr>
              <w:pStyle w:val="ARfintablebodyright"/>
              <w:ind w:right="0"/>
            </w:pPr>
            <w:r w:rsidRPr="002029AF">
              <w:t>–</w:t>
            </w:r>
          </w:p>
        </w:tc>
        <w:tc>
          <w:tcPr>
            <w:tcW w:w="728" w:type="dxa"/>
            <w:tcBorders>
              <w:top w:val="single" w:sz="4" w:space="0" w:color="A6A6A6"/>
              <w:bottom w:val="single" w:sz="4" w:space="0" w:color="A6A6A6"/>
            </w:tcBorders>
            <w:noWrap/>
            <w:hideMark/>
          </w:tcPr>
          <w:p w14:paraId="0DAA98E7" w14:textId="77777777" w:rsidR="00087B91" w:rsidRPr="002029AF" w:rsidRDefault="00087B91" w:rsidP="00860E95">
            <w:pPr>
              <w:pStyle w:val="ARfintablebodyright"/>
              <w:ind w:right="0"/>
            </w:pPr>
            <w:r w:rsidRPr="002029AF">
              <w:t>–</w:t>
            </w:r>
          </w:p>
        </w:tc>
        <w:tc>
          <w:tcPr>
            <w:tcW w:w="614" w:type="dxa"/>
            <w:tcBorders>
              <w:top w:val="single" w:sz="4" w:space="0" w:color="A6A6A6"/>
              <w:bottom w:val="single" w:sz="4" w:space="0" w:color="A6A6A6"/>
            </w:tcBorders>
            <w:noWrap/>
            <w:hideMark/>
          </w:tcPr>
          <w:p w14:paraId="64B8959B" w14:textId="77777777" w:rsidR="00087B91" w:rsidRPr="002029AF" w:rsidRDefault="00087B91" w:rsidP="00860E95">
            <w:pPr>
              <w:pStyle w:val="ARfintablebodyright"/>
              <w:ind w:right="0"/>
            </w:pPr>
            <w:r w:rsidRPr="002029AF">
              <w:t>–</w:t>
            </w:r>
          </w:p>
        </w:tc>
        <w:tc>
          <w:tcPr>
            <w:tcW w:w="680" w:type="dxa"/>
            <w:tcBorders>
              <w:top w:val="single" w:sz="4" w:space="0" w:color="A6A6A6"/>
              <w:bottom w:val="single" w:sz="4" w:space="0" w:color="A6A6A6"/>
            </w:tcBorders>
            <w:noWrap/>
            <w:hideMark/>
          </w:tcPr>
          <w:p w14:paraId="18504449" w14:textId="77777777" w:rsidR="00087B91" w:rsidRPr="002029AF" w:rsidRDefault="00087B91" w:rsidP="00860E95">
            <w:pPr>
              <w:pStyle w:val="ARfintablebodyright"/>
              <w:ind w:right="0"/>
            </w:pPr>
            <w:r w:rsidRPr="002029AF">
              <w:t>–</w:t>
            </w:r>
          </w:p>
        </w:tc>
        <w:tc>
          <w:tcPr>
            <w:tcW w:w="680" w:type="dxa"/>
            <w:tcBorders>
              <w:top w:val="single" w:sz="4" w:space="0" w:color="A6A6A6"/>
              <w:bottom w:val="single" w:sz="4" w:space="0" w:color="A6A6A6"/>
            </w:tcBorders>
            <w:noWrap/>
            <w:hideMark/>
          </w:tcPr>
          <w:p w14:paraId="5A586A5A" w14:textId="77777777" w:rsidR="00087B91" w:rsidRPr="002029AF" w:rsidRDefault="00087B91" w:rsidP="00860E95">
            <w:pPr>
              <w:pStyle w:val="ARfintablebodyright"/>
              <w:ind w:right="0"/>
            </w:pPr>
            <w:r w:rsidRPr="002029AF">
              <w:t>–</w:t>
            </w:r>
          </w:p>
        </w:tc>
        <w:tc>
          <w:tcPr>
            <w:tcW w:w="719" w:type="dxa"/>
            <w:tcBorders>
              <w:top w:val="single" w:sz="4" w:space="0" w:color="A6A6A6"/>
              <w:bottom w:val="single" w:sz="4" w:space="0" w:color="A6A6A6"/>
            </w:tcBorders>
            <w:noWrap/>
            <w:hideMark/>
          </w:tcPr>
          <w:p w14:paraId="0CF4E3A1" w14:textId="77777777" w:rsidR="00087B91" w:rsidRPr="002029AF" w:rsidRDefault="00087B91" w:rsidP="00860E95">
            <w:pPr>
              <w:pStyle w:val="ARfintablebodyright"/>
              <w:ind w:right="0"/>
            </w:pPr>
            <w:r w:rsidRPr="002029AF">
              <w:t>–</w:t>
            </w:r>
          </w:p>
        </w:tc>
        <w:tc>
          <w:tcPr>
            <w:tcW w:w="709" w:type="dxa"/>
            <w:tcBorders>
              <w:top w:val="single" w:sz="4" w:space="0" w:color="A6A6A6"/>
              <w:bottom w:val="single" w:sz="4" w:space="0" w:color="A6A6A6"/>
            </w:tcBorders>
            <w:noWrap/>
            <w:hideMark/>
          </w:tcPr>
          <w:p w14:paraId="29CD3E4E" w14:textId="77777777" w:rsidR="00087B91" w:rsidRPr="002029AF" w:rsidRDefault="00087B91" w:rsidP="00860E95">
            <w:pPr>
              <w:pStyle w:val="ARfintablebodyright"/>
              <w:ind w:right="0"/>
            </w:pPr>
            <w:r w:rsidRPr="002029AF">
              <w:t>–</w:t>
            </w:r>
          </w:p>
        </w:tc>
        <w:tc>
          <w:tcPr>
            <w:tcW w:w="709" w:type="dxa"/>
            <w:tcBorders>
              <w:top w:val="single" w:sz="4" w:space="0" w:color="A6A6A6"/>
              <w:bottom w:val="single" w:sz="4" w:space="0" w:color="A6A6A6"/>
            </w:tcBorders>
            <w:noWrap/>
            <w:hideMark/>
          </w:tcPr>
          <w:p w14:paraId="41DBED42" w14:textId="77777777" w:rsidR="00087B91" w:rsidRPr="002029AF" w:rsidRDefault="00087B91" w:rsidP="00860E95">
            <w:pPr>
              <w:pStyle w:val="ARfintablebodyright"/>
              <w:ind w:right="0"/>
            </w:pPr>
            <w:r w:rsidRPr="002029AF">
              <w:t>–</w:t>
            </w:r>
          </w:p>
        </w:tc>
        <w:tc>
          <w:tcPr>
            <w:tcW w:w="709" w:type="dxa"/>
            <w:tcBorders>
              <w:top w:val="single" w:sz="4" w:space="0" w:color="A6A6A6"/>
              <w:bottom w:val="single" w:sz="4" w:space="0" w:color="A6A6A6"/>
            </w:tcBorders>
            <w:noWrap/>
            <w:hideMark/>
          </w:tcPr>
          <w:p w14:paraId="2D29DC49" w14:textId="77777777" w:rsidR="00087B91" w:rsidRPr="002029AF" w:rsidRDefault="00087B91" w:rsidP="00860E95">
            <w:pPr>
              <w:pStyle w:val="ARfintablebodyright"/>
              <w:ind w:right="0"/>
            </w:pPr>
            <w:r w:rsidRPr="002029AF">
              <w:t>–</w:t>
            </w:r>
          </w:p>
        </w:tc>
        <w:tc>
          <w:tcPr>
            <w:tcW w:w="567" w:type="dxa"/>
            <w:tcBorders>
              <w:top w:val="single" w:sz="4" w:space="0" w:color="A6A6A6"/>
              <w:bottom w:val="single" w:sz="4" w:space="0" w:color="A6A6A6"/>
            </w:tcBorders>
            <w:noWrap/>
            <w:hideMark/>
          </w:tcPr>
          <w:p w14:paraId="39F4B828" w14:textId="77777777" w:rsidR="00087B91" w:rsidRPr="002029AF" w:rsidRDefault="00087B91" w:rsidP="00860E95">
            <w:pPr>
              <w:pStyle w:val="ARfintablebodyright"/>
              <w:ind w:right="0"/>
            </w:pPr>
            <w:r w:rsidRPr="002029AF">
              <w:t>–</w:t>
            </w:r>
          </w:p>
        </w:tc>
        <w:tc>
          <w:tcPr>
            <w:tcW w:w="708" w:type="dxa"/>
            <w:tcBorders>
              <w:top w:val="single" w:sz="4" w:space="0" w:color="A6A6A6"/>
              <w:bottom w:val="single" w:sz="4" w:space="0" w:color="A6A6A6"/>
            </w:tcBorders>
            <w:noWrap/>
            <w:hideMark/>
          </w:tcPr>
          <w:p w14:paraId="7C49B5FD" w14:textId="77777777" w:rsidR="00087B91" w:rsidRPr="002029AF" w:rsidRDefault="00087B91" w:rsidP="00860E95">
            <w:pPr>
              <w:pStyle w:val="ARfintablebodyright"/>
              <w:ind w:right="0"/>
            </w:pPr>
            <w:r w:rsidRPr="002029AF">
              <w:t>–</w:t>
            </w:r>
          </w:p>
        </w:tc>
        <w:tc>
          <w:tcPr>
            <w:tcW w:w="709" w:type="dxa"/>
            <w:tcBorders>
              <w:top w:val="single" w:sz="4" w:space="0" w:color="A6A6A6"/>
              <w:bottom w:val="single" w:sz="4" w:space="0" w:color="A6A6A6"/>
            </w:tcBorders>
            <w:noWrap/>
            <w:hideMark/>
          </w:tcPr>
          <w:p w14:paraId="32D7947C" w14:textId="77777777" w:rsidR="00087B91" w:rsidRPr="002029AF" w:rsidRDefault="00087B91" w:rsidP="00860E95">
            <w:pPr>
              <w:pStyle w:val="ARfintablebodyright"/>
              <w:ind w:right="0"/>
            </w:pPr>
            <w:r w:rsidRPr="002029AF">
              <w:t>6.9</w:t>
            </w:r>
          </w:p>
        </w:tc>
        <w:tc>
          <w:tcPr>
            <w:tcW w:w="709" w:type="dxa"/>
            <w:tcBorders>
              <w:top w:val="single" w:sz="4" w:space="0" w:color="A6A6A6"/>
              <w:bottom w:val="single" w:sz="4" w:space="0" w:color="A6A6A6"/>
            </w:tcBorders>
            <w:noWrap/>
            <w:hideMark/>
          </w:tcPr>
          <w:p w14:paraId="13683057" w14:textId="77777777" w:rsidR="00087B91" w:rsidRPr="002029AF" w:rsidRDefault="00087B91" w:rsidP="00860E95">
            <w:pPr>
              <w:pStyle w:val="ARfintablebodyright"/>
              <w:ind w:right="0"/>
            </w:pPr>
            <w:r w:rsidRPr="002029AF">
              <w:t>–</w:t>
            </w:r>
          </w:p>
        </w:tc>
        <w:tc>
          <w:tcPr>
            <w:tcW w:w="567" w:type="dxa"/>
            <w:tcBorders>
              <w:top w:val="single" w:sz="4" w:space="0" w:color="A6A6A6"/>
              <w:bottom w:val="single" w:sz="4" w:space="0" w:color="A6A6A6"/>
            </w:tcBorders>
            <w:noWrap/>
            <w:hideMark/>
          </w:tcPr>
          <w:p w14:paraId="1F134489" w14:textId="77777777" w:rsidR="00087B91" w:rsidRPr="002029AF" w:rsidRDefault="00087B91" w:rsidP="00860E95">
            <w:pPr>
              <w:pStyle w:val="ARfintablebodyright"/>
              <w:ind w:right="0"/>
            </w:pPr>
            <w:r w:rsidRPr="002029AF">
              <w:t>–</w:t>
            </w:r>
          </w:p>
        </w:tc>
        <w:tc>
          <w:tcPr>
            <w:tcW w:w="714" w:type="dxa"/>
            <w:tcBorders>
              <w:top w:val="single" w:sz="4" w:space="0" w:color="A6A6A6"/>
              <w:bottom w:val="single" w:sz="4" w:space="0" w:color="A6A6A6"/>
            </w:tcBorders>
            <w:noWrap/>
            <w:hideMark/>
          </w:tcPr>
          <w:p w14:paraId="413907D2" w14:textId="77777777" w:rsidR="00087B91" w:rsidRPr="002029AF" w:rsidRDefault="00087B91" w:rsidP="00860E95">
            <w:pPr>
              <w:pStyle w:val="ARfintablebodyright"/>
              <w:ind w:right="0"/>
            </w:pPr>
            <w:r w:rsidRPr="002029AF">
              <w:t>6.9</w:t>
            </w:r>
          </w:p>
        </w:tc>
      </w:tr>
      <w:tr w:rsidR="00595FA8" w:rsidRPr="002029AF" w14:paraId="18D5F745" w14:textId="77777777" w:rsidTr="00C81A0B">
        <w:trPr>
          <w:gridAfter w:val="1"/>
          <w:wAfter w:w="9" w:type="dxa"/>
          <w:trHeight w:val="170"/>
        </w:trPr>
        <w:tc>
          <w:tcPr>
            <w:tcW w:w="2213" w:type="dxa"/>
            <w:tcBorders>
              <w:top w:val="single" w:sz="4" w:space="0" w:color="A6A6A6"/>
              <w:bottom w:val="single" w:sz="4" w:space="0" w:color="A6A6A6"/>
            </w:tcBorders>
            <w:hideMark/>
          </w:tcPr>
          <w:p w14:paraId="1962947B" w14:textId="23436318" w:rsidR="00087B91" w:rsidRPr="002029AF" w:rsidRDefault="00087B91" w:rsidP="00860E95">
            <w:pPr>
              <w:pStyle w:val="ARfintablebody"/>
            </w:pPr>
            <w:r w:rsidRPr="002029AF">
              <w:t>Rental</w:t>
            </w:r>
            <w:r w:rsidR="000A5329" w:rsidRPr="002029AF">
              <w:t xml:space="preserve"> </w:t>
            </w:r>
            <w:r w:rsidRPr="002029AF">
              <w:t>income</w:t>
            </w:r>
            <w:r w:rsidR="000A5329" w:rsidRPr="002029AF">
              <w:t xml:space="preserve"> </w:t>
            </w:r>
            <w:r w:rsidRPr="002029AF">
              <w:t>and</w:t>
            </w:r>
            <w:r w:rsidR="000A5329" w:rsidRPr="002029AF">
              <w:t xml:space="preserve"> </w:t>
            </w:r>
            <w:r w:rsidRPr="002029AF">
              <w:t>income</w:t>
            </w:r>
            <w:r w:rsidR="000A5329" w:rsidRPr="002029AF">
              <w:t xml:space="preserve"> </w:t>
            </w:r>
            <w:r w:rsidRPr="002029AF">
              <w:t>from</w:t>
            </w:r>
            <w:r w:rsidR="000A5329" w:rsidRPr="002029AF">
              <w:t xml:space="preserve"> </w:t>
            </w:r>
            <w:r w:rsidRPr="002029AF">
              <w:t>services</w:t>
            </w:r>
          </w:p>
        </w:tc>
        <w:tc>
          <w:tcPr>
            <w:tcW w:w="901" w:type="dxa"/>
            <w:tcBorders>
              <w:top w:val="single" w:sz="4" w:space="0" w:color="A6A6A6"/>
              <w:bottom w:val="single" w:sz="4" w:space="0" w:color="A6A6A6"/>
            </w:tcBorders>
            <w:noWrap/>
            <w:hideMark/>
          </w:tcPr>
          <w:p w14:paraId="75E6E256" w14:textId="77777777" w:rsidR="00087B91" w:rsidRPr="002029AF" w:rsidRDefault="00087B91" w:rsidP="00860E95">
            <w:pPr>
              <w:pStyle w:val="ARfintablebodyright"/>
              <w:ind w:right="0"/>
            </w:pPr>
            <w:r w:rsidRPr="002029AF">
              <w:t>–</w:t>
            </w:r>
          </w:p>
        </w:tc>
        <w:tc>
          <w:tcPr>
            <w:tcW w:w="709" w:type="dxa"/>
            <w:tcBorders>
              <w:top w:val="single" w:sz="4" w:space="0" w:color="A6A6A6"/>
              <w:bottom w:val="single" w:sz="4" w:space="0" w:color="A6A6A6"/>
            </w:tcBorders>
            <w:noWrap/>
            <w:hideMark/>
          </w:tcPr>
          <w:p w14:paraId="3585EB2A" w14:textId="77777777" w:rsidR="00087B91" w:rsidRPr="002029AF" w:rsidRDefault="00087B91" w:rsidP="00860E95">
            <w:pPr>
              <w:pStyle w:val="ARfintablebodyright"/>
              <w:ind w:right="0"/>
            </w:pPr>
            <w:r w:rsidRPr="002029AF">
              <w:t>–</w:t>
            </w:r>
          </w:p>
        </w:tc>
        <w:tc>
          <w:tcPr>
            <w:tcW w:w="575" w:type="dxa"/>
            <w:tcBorders>
              <w:top w:val="single" w:sz="4" w:space="0" w:color="A6A6A6"/>
              <w:bottom w:val="single" w:sz="4" w:space="0" w:color="A6A6A6"/>
            </w:tcBorders>
            <w:noWrap/>
            <w:hideMark/>
          </w:tcPr>
          <w:p w14:paraId="6D9B6FB7" w14:textId="77777777" w:rsidR="00087B91" w:rsidRPr="002029AF" w:rsidRDefault="00087B91" w:rsidP="00860E95">
            <w:pPr>
              <w:pStyle w:val="ARfintablebodyright"/>
              <w:ind w:right="0"/>
            </w:pPr>
            <w:r w:rsidRPr="002029AF">
              <w:t>–</w:t>
            </w:r>
          </w:p>
        </w:tc>
        <w:tc>
          <w:tcPr>
            <w:tcW w:w="681" w:type="dxa"/>
            <w:tcBorders>
              <w:top w:val="single" w:sz="4" w:space="0" w:color="A6A6A6"/>
              <w:bottom w:val="single" w:sz="4" w:space="0" w:color="A6A6A6"/>
            </w:tcBorders>
            <w:noWrap/>
            <w:hideMark/>
          </w:tcPr>
          <w:p w14:paraId="7F19A7ED" w14:textId="77777777" w:rsidR="00087B91" w:rsidRPr="002029AF" w:rsidRDefault="00087B91" w:rsidP="00860E95">
            <w:pPr>
              <w:pStyle w:val="ARfintablebodyright"/>
              <w:ind w:right="0"/>
            </w:pPr>
            <w:r w:rsidRPr="002029AF">
              <w:t>–</w:t>
            </w:r>
          </w:p>
        </w:tc>
        <w:tc>
          <w:tcPr>
            <w:tcW w:w="728" w:type="dxa"/>
            <w:tcBorders>
              <w:top w:val="single" w:sz="4" w:space="0" w:color="A6A6A6"/>
              <w:bottom w:val="single" w:sz="4" w:space="0" w:color="A6A6A6"/>
            </w:tcBorders>
            <w:noWrap/>
            <w:hideMark/>
          </w:tcPr>
          <w:p w14:paraId="164C3765" w14:textId="77777777" w:rsidR="00087B91" w:rsidRPr="002029AF" w:rsidRDefault="00087B91" w:rsidP="00860E95">
            <w:pPr>
              <w:pStyle w:val="ARfintablebodyright"/>
              <w:ind w:right="0"/>
            </w:pPr>
            <w:r w:rsidRPr="002029AF">
              <w:t>–</w:t>
            </w:r>
          </w:p>
        </w:tc>
        <w:tc>
          <w:tcPr>
            <w:tcW w:w="614" w:type="dxa"/>
            <w:tcBorders>
              <w:top w:val="single" w:sz="4" w:space="0" w:color="A6A6A6"/>
              <w:bottom w:val="single" w:sz="4" w:space="0" w:color="A6A6A6"/>
            </w:tcBorders>
            <w:noWrap/>
            <w:hideMark/>
          </w:tcPr>
          <w:p w14:paraId="04F5E0C2" w14:textId="77777777" w:rsidR="00087B91" w:rsidRPr="002029AF" w:rsidRDefault="00087B91" w:rsidP="00860E95">
            <w:pPr>
              <w:pStyle w:val="ARfintablebodyright"/>
              <w:ind w:right="0"/>
            </w:pPr>
            <w:r w:rsidRPr="002029AF">
              <w:t>–</w:t>
            </w:r>
          </w:p>
        </w:tc>
        <w:tc>
          <w:tcPr>
            <w:tcW w:w="680" w:type="dxa"/>
            <w:tcBorders>
              <w:top w:val="single" w:sz="4" w:space="0" w:color="A6A6A6"/>
              <w:bottom w:val="single" w:sz="4" w:space="0" w:color="A6A6A6"/>
            </w:tcBorders>
            <w:noWrap/>
            <w:hideMark/>
          </w:tcPr>
          <w:p w14:paraId="67BC1564" w14:textId="77777777" w:rsidR="00087B91" w:rsidRPr="002029AF" w:rsidRDefault="00087B91" w:rsidP="00860E95">
            <w:pPr>
              <w:pStyle w:val="ARfintablebodyright"/>
              <w:ind w:right="0"/>
            </w:pPr>
            <w:r w:rsidRPr="002029AF">
              <w:t>–</w:t>
            </w:r>
          </w:p>
        </w:tc>
        <w:tc>
          <w:tcPr>
            <w:tcW w:w="680" w:type="dxa"/>
            <w:tcBorders>
              <w:top w:val="single" w:sz="4" w:space="0" w:color="A6A6A6"/>
              <w:bottom w:val="single" w:sz="4" w:space="0" w:color="A6A6A6"/>
            </w:tcBorders>
            <w:noWrap/>
            <w:hideMark/>
          </w:tcPr>
          <w:p w14:paraId="358D8FE5" w14:textId="77777777" w:rsidR="00087B91" w:rsidRPr="002029AF" w:rsidRDefault="00087B91" w:rsidP="00860E95">
            <w:pPr>
              <w:pStyle w:val="ARfintablebodyright"/>
              <w:ind w:right="0"/>
            </w:pPr>
            <w:r w:rsidRPr="002029AF">
              <w:t>–</w:t>
            </w:r>
          </w:p>
        </w:tc>
        <w:tc>
          <w:tcPr>
            <w:tcW w:w="719" w:type="dxa"/>
            <w:tcBorders>
              <w:top w:val="single" w:sz="4" w:space="0" w:color="A6A6A6"/>
              <w:bottom w:val="single" w:sz="4" w:space="0" w:color="A6A6A6"/>
            </w:tcBorders>
            <w:noWrap/>
            <w:hideMark/>
          </w:tcPr>
          <w:p w14:paraId="12D6139E" w14:textId="77777777" w:rsidR="00087B91" w:rsidRPr="002029AF" w:rsidRDefault="00087B91" w:rsidP="00860E95">
            <w:pPr>
              <w:pStyle w:val="ARfintablebodyright"/>
              <w:ind w:right="0"/>
            </w:pPr>
            <w:r w:rsidRPr="002029AF">
              <w:t>–</w:t>
            </w:r>
          </w:p>
        </w:tc>
        <w:tc>
          <w:tcPr>
            <w:tcW w:w="709" w:type="dxa"/>
            <w:tcBorders>
              <w:top w:val="single" w:sz="4" w:space="0" w:color="A6A6A6"/>
              <w:bottom w:val="single" w:sz="4" w:space="0" w:color="A6A6A6"/>
            </w:tcBorders>
            <w:noWrap/>
            <w:hideMark/>
          </w:tcPr>
          <w:p w14:paraId="39BB5C8E" w14:textId="77777777" w:rsidR="00087B91" w:rsidRPr="002029AF" w:rsidRDefault="00087B91" w:rsidP="00860E95">
            <w:pPr>
              <w:pStyle w:val="ARfintablebodyright"/>
              <w:ind w:right="0"/>
            </w:pPr>
            <w:r w:rsidRPr="002029AF">
              <w:t>–</w:t>
            </w:r>
          </w:p>
        </w:tc>
        <w:tc>
          <w:tcPr>
            <w:tcW w:w="709" w:type="dxa"/>
            <w:tcBorders>
              <w:top w:val="single" w:sz="4" w:space="0" w:color="A6A6A6"/>
              <w:bottom w:val="single" w:sz="4" w:space="0" w:color="A6A6A6"/>
            </w:tcBorders>
            <w:noWrap/>
            <w:hideMark/>
          </w:tcPr>
          <w:p w14:paraId="63DA8A5A" w14:textId="77777777" w:rsidR="00087B91" w:rsidRPr="002029AF" w:rsidRDefault="00087B91" w:rsidP="00860E95">
            <w:pPr>
              <w:pStyle w:val="ARfintablebodyright"/>
              <w:ind w:right="0"/>
            </w:pPr>
            <w:r w:rsidRPr="002029AF">
              <w:t>–</w:t>
            </w:r>
          </w:p>
        </w:tc>
        <w:tc>
          <w:tcPr>
            <w:tcW w:w="709" w:type="dxa"/>
            <w:tcBorders>
              <w:top w:val="single" w:sz="4" w:space="0" w:color="A6A6A6"/>
              <w:bottom w:val="single" w:sz="4" w:space="0" w:color="A6A6A6"/>
            </w:tcBorders>
            <w:noWrap/>
            <w:hideMark/>
          </w:tcPr>
          <w:p w14:paraId="51FA8592" w14:textId="77777777" w:rsidR="00087B91" w:rsidRPr="002029AF" w:rsidRDefault="00087B91" w:rsidP="00860E95">
            <w:pPr>
              <w:pStyle w:val="ARfintablebodyright"/>
              <w:ind w:right="0"/>
            </w:pPr>
            <w:r w:rsidRPr="002029AF">
              <w:t>–</w:t>
            </w:r>
          </w:p>
        </w:tc>
        <w:tc>
          <w:tcPr>
            <w:tcW w:w="567" w:type="dxa"/>
            <w:tcBorders>
              <w:top w:val="single" w:sz="4" w:space="0" w:color="A6A6A6"/>
              <w:bottom w:val="single" w:sz="4" w:space="0" w:color="A6A6A6"/>
            </w:tcBorders>
            <w:noWrap/>
            <w:hideMark/>
          </w:tcPr>
          <w:p w14:paraId="12E31AF1" w14:textId="77777777" w:rsidR="00087B91" w:rsidRPr="002029AF" w:rsidRDefault="00087B91" w:rsidP="00860E95">
            <w:pPr>
              <w:pStyle w:val="ARfintablebodyright"/>
              <w:ind w:right="0"/>
            </w:pPr>
            <w:r w:rsidRPr="002029AF">
              <w:t>–</w:t>
            </w:r>
          </w:p>
        </w:tc>
        <w:tc>
          <w:tcPr>
            <w:tcW w:w="708" w:type="dxa"/>
            <w:tcBorders>
              <w:top w:val="single" w:sz="4" w:space="0" w:color="A6A6A6"/>
              <w:bottom w:val="single" w:sz="4" w:space="0" w:color="A6A6A6"/>
            </w:tcBorders>
            <w:noWrap/>
            <w:hideMark/>
          </w:tcPr>
          <w:p w14:paraId="2D8D4E6B" w14:textId="77777777" w:rsidR="00087B91" w:rsidRPr="002029AF" w:rsidRDefault="00087B91" w:rsidP="00860E95">
            <w:pPr>
              <w:pStyle w:val="ARfintablebodyright"/>
              <w:ind w:right="0"/>
            </w:pPr>
            <w:r w:rsidRPr="002029AF">
              <w:t>–</w:t>
            </w:r>
          </w:p>
        </w:tc>
        <w:tc>
          <w:tcPr>
            <w:tcW w:w="709" w:type="dxa"/>
            <w:tcBorders>
              <w:top w:val="single" w:sz="4" w:space="0" w:color="A6A6A6"/>
              <w:bottom w:val="single" w:sz="4" w:space="0" w:color="A6A6A6"/>
            </w:tcBorders>
            <w:noWrap/>
            <w:hideMark/>
          </w:tcPr>
          <w:p w14:paraId="2106218F" w14:textId="77777777" w:rsidR="00087B91" w:rsidRPr="002029AF" w:rsidRDefault="00087B91" w:rsidP="00860E95">
            <w:pPr>
              <w:pStyle w:val="ARfintablebodyright"/>
              <w:ind w:right="0"/>
            </w:pPr>
            <w:r w:rsidRPr="002029AF">
              <w:t>501.1</w:t>
            </w:r>
          </w:p>
        </w:tc>
        <w:tc>
          <w:tcPr>
            <w:tcW w:w="709" w:type="dxa"/>
            <w:tcBorders>
              <w:top w:val="single" w:sz="4" w:space="0" w:color="A6A6A6"/>
              <w:bottom w:val="single" w:sz="4" w:space="0" w:color="A6A6A6"/>
            </w:tcBorders>
            <w:noWrap/>
            <w:hideMark/>
          </w:tcPr>
          <w:p w14:paraId="034237C1" w14:textId="77777777" w:rsidR="00087B91" w:rsidRPr="002029AF" w:rsidRDefault="00087B91" w:rsidP="00860E95">
            <w:pPr>
              <w:pStyle w:val="ARfintablebodyright"/>
              <w:ind w:right="0"/>
            </w:pPr>
            <w:r w:rsidRPr="002029AF">
              <w:t>–</w:t>
            </w:r>
          </w:p>
        </w:tc>
        <w:tc>
          <w:tcPr>
            <w:tcW w:w="567" w:type="dxa"/>
            <w:tcBorders>
              <w:top w:val="single" w:sz="4" w:space="0" w:color="A6A6A6"/>
              <w:bottom w:val="single" w:sz="4" w:space="0" w:color="A6A6A6"/>
            </w:tcBorders>
            <w:noWrap/>
            <w:hideMark/>
          </w:tcPr>
          <w:p w14:paraId="1E61A18F" w14:textId="77777777" w:rsidR="00087B91" w:rsidRPr="002029AF" w:rsidRDefault="00087B91" w:rsidP="00860E95">
            <w:pPr>
              <w:pStyle w:val="ARfintablebodyright"/>
              <w:ind w:right="0"/>
            </w:pPr>
            <w:r w:rsidRPr="002029AF">
              <w:t>–</w:t>
            </w:r>
          </w:p>
        </w:tc>
        <w:tc>
          <w:tcPr>
            <w:tcW w:w="714" w:type="dxa"/>
            <w:tcBorders>
              <w:top w:val="single" w:sz="4" w:space="0" w:color="A6A6A6"/>
              <w:bottom w:val="single" w:sz="4" w:space="0" w:color="A6A6A6"/>
            </w:tcBorders>
            <w:noWrap/>
            <w:hideMark/>
          </w:tcPr>
          <w:p w14:paraId="227FB881" w14:textId="77777777" w:rsidR="00087B91" w:rsidRPr="002029AF" w:rsidRDefault="00087B91" w:rsidP="00860E95">
            <w:pPr>
              <w:pStyle w:val="ARfintablebodyright"/>
              <w:ind w:right="0"/>
            </w:pPr>
            <w:r w:rsidRPr="002029AF">
              <w:t>501.1</w:t>
            </w:r>
          </w:p>
        </w:tc>
      </w:tr>
      <w:tr w:rsidR="00595FA8" w:rsidRPr="002029AF" w14:paraId="49201626" w14:textId="77777777" w:rsidTr="00C81A0B">
        <w:trPr>
          <w:gridAfter w:val="1"/>
          <w:wAfter w:w="9" w:type="dxa"/>
          <w:trHeight w:val="170"/>
        </w:trPr>
        <w:tc>
          <w:tcPr>
            <w:tcW w:w="2213" w:type="dxa"/>
            <w:tcBorders>
              <w:top w:val="single" w:sz="4" w:space="0" w:color="A6A6A6"/>
              <w:bottom w:val="single" w:sz="4" w:space="0" w:color="A6A6A6"/>
            </w:tcBorders>
            <w:hideMark/>
          </w:tcPr>
          <w:p w14:paraId="637BD3B4" w14:textId="1557EBDC" w:rsidR="00087B91" w:rsidRPr="002029AF" w:rsidRDefault="00087B91" w:rsidP="00860E95">
            <w:pPr>
              <w:pStyle w:val="ARfintablebody"/>
            </w:pPr>
            <w:r w:rsidRPr="002029AF">
              <w:t>Grants</w:t>
            </w:r>
            <w:r w:rsidR="000A5329" w:rsidRPr="002029AF">
              <w:t xml:space="preserve"> </w:t>
            </w:r>
            <w:r w:rsidRPr="002029AF">
              <w:t>and</w:t>
            </w:r>
            <w:r w:rsidR="000A5329" w:rsidRPr="002029AF">
              <w:t xml:space="preserve"> </w:t>
            </w:r>
            <w:r w:rsidRPr="002029AF">
              <w:t>other</w:t>
            </w:r>
            <w:r w:rsidR="000A5329" w:rsidRPr="002029AF">
              <w:t xml:space="preserve"> </w:t>
            </w:r>
            <w:r w:rsidRPr="002029AF">
              <w:t>income</w:t>
            </w:r>
            <w:r w:rsidR="000A5329" w:rsidRPr="002029AF">
              <w:t xml:space="preserve"> </w:t>
            </w:r>
            <w:r w:rsidRPr="002029AF">
              <w:t>transfers</w:t>
            </w:r>
          </w:p>
        </w:tc>
        <w:tc>
          <w:tcPr>
            <w:tcW w:w="901" w:type="dxa"/>
            <w:tcBorders>
              <w:top w:val="single" w:sz="4" w:space="0" w:color="A6A6A6"/>
              <w:bottom w:val="single" w:sz="4" w:space="0" w:color="A6A6A6"/>
            </w:tcBorders>
            <w:noWrap/>
            <w:hideMark/>
          </w:tcPr>
          <w:p w14:paraId="20757EBA" w14:textId="77777777" w:rsidR="00087B91" w:rsidRPr="002029AF" w:rsidRDefault="00087B91" w:rsidP="00860E95">
            <w:pPr>
              <w:pStyle w:val="ARfintablebodyright"/>
              <w:ind w:right="0"/>
            </w:pPr>
            <w:r w:rsidRPr="002029AF">
              <w:t>1,733.7</w:t>
            </w:r>
          </w:p>
        </w:tc>
        <w:tc>
          <w:tcPr>
            <w:tcW w:w="709" w:type="dxa"/>
            <w:tcBorders>
              <w:top w:val="single" w:sz="4" w:space="0" w:color="A6A6A6"/>
              <w:bottom w:val="single" w:sz="4" w:space="0" w:color="A6A6A6"/>
            </w:tcBorders>
            <w:noWrap/>
            <w:hideMark/>
          </w:tcPr>
          <w:p w14:paraId="568B7358" w14:textId="77777777" w:rsidR="00087B91" w:rsidRPr="002029AF" w:rsidRDefault="00087B91" w:rsidP="00860E95">
            <w:pPr>
              <w:pStyle w:val="ARfintablebodyright"/>
              <w:ind w:right="0"/>
            </w:pPr>
            <w:r w:rsidRPr="002029AF">
              <w:t>–</w:t>
            </w:r>
          </w:p>
        </w:tc>
        <w:tc>
          <w:tcPr>
            <w:tcW w:w="575" w:type="dxa"/>
            <w:tcBorders>
              <w:top w:val="single" w:sz="4" w:space="0" w:color="A6A6A6"/>
              <w:bottom w:val="single" w:sz="4" w:space="0" w:color="A6A6A6"/>
            </w:tcBorders>
            <w:noWrap/>
            <w:hideMark/>
          </w:tcPr>
          <w:p w14:paraId="3ED4E5A3" w14:textId="77777777" w:rsidR="00087B91" w:rsidRPr="002029AF" w:rsidRDefault="00087B91" w:rsidP="00860E95">
            <w:pPr>
              <w:pStyle w:val="ARfintablebodyright"/>
              <w:ind w:right="0"/>
            </w:pPr>
            <w:r w:rsidRPr="002029AF">
              <w:t>368.7</w:t>
            </w:r>
          </w:p>
        </w:tc>
        <w:tc>
          <w:tcPr>
            <w:tcW w:w="681" w:type="dxa"/>
            <w:tcBorders>
              <w:top w:val="single" w:sz="4" w:space="0" w:color="A6A6A6"/>
              <w:bottom w:val="single" w:sz="4" w:space="0" w:color="A6A6A6"/>
            </w:tcBorders>
            <w:noWrap/>
            <w:hideMark/>
          </w:tcPr>
          <w:p w14:paraId="087A82EC" w14:textId="77777777" w:rsidR="00087B91" w:rsidRPr="002029AF" w:rsidRDefault="00087B91" w:rsidP="00860E95">
            <w:pPr>
              <w:pStyle w:val="ARfintablebodyright"/>
              <w:ind w:right="0"/>
            </w:pPr>
            <w:r w:rsidRPr="002029AF">
              <w:t>0.5</w:t>
            </w:r>
          </w:p>
        </w:tc>
        <w:tc>
          <w:tcPr>
            <w:tcW w:w="728" w:type="dxa"/>
            <w:tcBorders>
              <w:top w:val="single" w:sz="4" w:space="0" w:color="A6A6A6"/>
              <w:bottom w:val="single" w:sz="4" w:space="0" w:color="A6A6A6"/>
            </w:tcBorders>
            <w:noWrap/>
            <w:hideMark/>
          </w:tcPr>
          <w:p w14:paraId="5EFD5001" w14:textId="77777777" w:rsidR="00087B91" w:rsidRPr="002029AF" w:rsidRDefault="00087B91" w:rsidP="00860E95">
            <w:pPr>
              <w:pStyle w:val="ARfintablebodyright"/>
              <w:ind w:right="0"/>
            </w:pPr>
            <w:r w:rsidRPr="002029AF">
              <w:t>0.4</w:t>
            </w:r>
          </w:p>
        </w:tc>
        <w:tc>
          <w:tcPr>
            <w:tcW w:w="614" w:type="dxa"/>
            <w:tcBorders>
              <w:top w:val="single" w:sz="4" w:space="0" w:color="A6A6A6"/>
              <w:bottom w:val="single" w:sz="4" w:space="0" w:color="A6A6A6"/>
            </w:tcBorders>
            <w:noWrap/>
            <w:hideMark/>
          </w:tcPr>
          <w:p w14:paraId="36F32003" w14:textId="77777777" w:rsidR="00087B91" w:rsidRPr="002029AF" w:rsidRDefault="00087B91" w:rsidP="00860E95">
            <w:pPr>
              <w:pStyle w:val="ARfintablebodyright"/>
              <w:ind w:right="0"/>
            </w:pPr>
            <w:r w:rsidRPr="002029AF">
              <w:t>128.7</w:t>
            </w:r>
          </w:p>
        </w:tc>
        <w:tc>
          <w:tcPr>
            <w:tcW w:w="680" w:type="dxa"/>
            <w:tcBorders>
              <w:top w:val="single" w:sz="4" w:space="0" w:color="A6A6A6"/>
              <w:bottom w:val="single" w:sz="4" w:space="0" w:color="A6A6A6"/>
            </w:tcBorders>
            <w:noWrap/>
            <w:hideMark/>
          </w:tcPr>
          <w:p w14:paraId="281FF147" w14:textId="77777777" w:rsidR="00087B91" w:rsidRPr="002029AF" w:rsidRDefault="00087B91" w:rsidP="00860E95">
            <w:pPr>
              <w:pStyle w:val="ARfintablebodyright"/>
              <w:ind w:right="0"/>
            </w:pPr>
            <w:r w:rsidRPr="002029AF">
              <w:t>123.2</w:t>
            </w:r>
          </w:p>
        </w:tc>
        <w:tc>
          <w:tcPr>
            <w:tcW w:w="680" w:type="dxa"/>
            <w:tcBorders>
              <w:top w:val="single" w:sz="4" w:space="0" w:color="A6A6A6"/>
              <w:bottom w:val="single" w:sz="4" w:space="0" w:color="A6A6A6"/>
            </w:tcBorders>
            <w:noWrap/>
            <w:hideMark/>
          </w:tcPr>
          <w:p w14:paraId="6C77F0A1" w14:textId="77777777" w:rsidR="00087B91" w:rsidRPr="002029AF" w:rsidRDefault="00087B91" w:rsidP="00860E95">
            <w:pPr>
              <w:pStyle w:val="ARfintablebodyright"/>
              <w:ind w:right="0"/>
            </w:pPr>
            <w:r w:rsidRPr="002029AF">
              <w:t>88.5</w:t>
            </w:r>
          </w:p>
        </w:tc>
        <w:tc>
          <w:tcPr>
            <w:tcW w:w="719" w:type="dxa"/>
            <w:tcBorders>
              <w:top w:val="single" w:sz="4" w:space="0" w:color="A6A6A6"/>
              <w:bottom w:val="single" w:sz="4" w:space="0" w:color="A6A6A6"/>
            </w:tcBorders>
            <w:noWrap/>
            <w:hideMark/>
          </w:tcPr>
          <w:p w14:paraId="50574766" w14:textId="77777777" w:rsidR="00087B91" w:rsidRPr="002029AF" w:rsidRDefault="00087B91" w:rsidP="00860E95">
            <w:pPr>
              <w:pStyle w:val="ARfintablebodyright"/>
              <w:ind w:right="0"/>
            </w:pPr>
            <w:r w:rsidRPr="002029AF">
              <w:t>8.8</w:t>
            </w:r>
          </w:p>
        </w:tc>
        <w:tc>
          <w:tcPr>
            <w:tcW w:w="709" w:type="dxa"/>
            <w:tcBorders>
              <w:top w:val="single" w:sz="4" w:space="0" w:color="A6A6A6"/>
              <w:bottom w:val="single" w:sz="4" w:space="0" w:color="A6A6A6"/>
            </w:tcBorders>
            <w:noWrap/>
            <w:hideMark/>
          </w:tcPr>
          <w:p w14:paraId="3F5AF816" w14:textId="77777777" w:rsidR="00087B91" w:rsidRPr="002029AF" w:rsidRDefault="00087B91" w:rsidP="00860E95">
            <w:pPr>
              <w:pStyle w:val="ARfintablebodyright"/>
              <w:ind w:right="0"/>
            </w:pPr>
            <w:r w:rsidRPr="002029AF">
              <w:t>6.8</w:t>
            </w:r>
          </w:p>
        </w:tc>
        <w:tc>
          <w:tcPr>
            <w:tcW w:w="709" w:type="dxa"/>
            <w:tcBorders>
              <w:top w:val="single" w:sz="4" w:space="0" w:color="A6A6A6"/>
              <w:bottom w:val="single" w:sz="4" w:space="0" w:color="A6A6A6"/>
            </w:tcBorders>
            <w:noWrap/>
            <w:hideMark/>
          </w:tcPr>
          <w:p w14:paraId="1FEC2A47" w14:textId="77777777" w:rsidR="00087B91" w:rsidRPr="002029AF" w:rsidRDefault="00087B91" w:rsidP="00860E95">
            <w:pPr>
              <w:pStyle w:val="ARfintablebodyright"/>
              <w:ind w:right="0"/>
            </w:pPr>
            <w:r w:rsidRPr="002029AF">
              <w:t>–</w:t>
            </w:r>
          </w:p>
        </w:tc>
        <w:tc>
          <w:tcPr>
            <w:tcW w:w="709" w:type="dxa"/>
            <w:tcBorders>
              <w:top w:val="single" w:sz="4" w:space="0" w:color="A6A6A6"/>
              <w:bottom w:val="single" w:sz="4" w:space="0" w:color="A6A6A6"/>
            </w:tcBorders>
            <w:noWrap/>
            <w:hideMark/>
          </w:tcPr>
          <w:p w14:paraId="421EA7CE" w14:textId="77777777" w:rsidR="00087B91" w:rsidRPr="002029AF" w:rsidRDefault="00087B91" w:rsidP="00860E95">
            <w:pPr>
              <w:pStyle w:val="ARfintablebodyright"/>
              <w:ind w:right="0"/>
            </w:pPr>
            <w:r w:rsidRPr="002029AF">
              <w:t>0.5</w:t>
            </w:r>
          </w:p>
        </w:tc>
        <w:tc>
          <w:tcPr>
            <w:tcW w:w="567" w:type="dxa"/>
            <w:tcBorders>
              <w:top w:val="single" w:sz="4" w:space="0" w:color="A6A6A6"/>
              <w:bottom w:val="single" w:sz="4" w:space="0" w:color="A6A6A6"/>
            </w:tcBorders>
            <w:noWrap/>
            <w:hideMark/>
          </w:tcPr>
          <w:p w14:paraId="2D1864A7" w14:textId="77777777" w:rsidR="00087B91" w:rsidRPr="002029AF" w:rsidRDefault="00087B91" w:rsidP="00860E95">
            <w:pPr>
              <w:pStyle w:val="ARfintablebodyright"/>
              <w:ind w:right="0"/>
            </w:pPr>
            <w:r w:rsidRPr="002029AF">
              <w:t>–</w:t>
            </w:r>
          </w:p>
        </w:tc>
        <w:tc>
          <w:tcPr>
            <w:tcW w:w="708" w:type="dxa"/>
            <w:tcBorders>
              <w:top w:val="single" w:sz="4" w:space="0" w:color="A6A6A6"/>
              <w:bottom w:val="single" w:sz="4" w:space="0" w:color="A6A6A6"/>
            </w:tcBorders>
            <w:noWrap/>
            <w:hideMark/>
          </w:tcPr>
          <w:p w14:paraId="1BDA13D7" w14:textId="77777777" w:rsidR="00087B91" w:rsidRPr="002029AF" w:rsidRDefault="00087B91" w:rsidP="00860E95">
            <w:pPr>
              <w:pStyle w:val="ARfintablebodyright"/>
              <w:ind w:right="0"/>
            </w:pPr>
            <w:r w:rsidRPr="002029AF">
              <w:t>13.0</w:t>
            </w:r>
          </w:p>
        </w:tc>
        <w:tc>
          <w:tcPr>
            <w:tcW w:w="709" w:type="dxa"/>
            <w:tcBorders>
              <w:top w:val="single" w:sz="4" w:space="0" w:color="A6A6A6"/>
              <w:bottom w:val="single" w:sz="4" w:space="0" w:color="A6A6A6"/>
            </w:tcBorders>
            <w:noWrap/>
            <w:hideMark/>
          </w:tcPr>
          <w:p w14:paraId="1837E94A" w14:textId="77777777" w:rsidR="00087B91" w:rsidRPr="002029AF" w:rsidRDefault="00087B91" w:rsidP="00860E95">
            <w:pPr>
              <w:pStyle w:val="ARfintablebodyright"/>
              <w:ind w:right="0"/>
            </w:pPr>
            <w:r w:rsidRPr="002029AF">
              <w:t>49.8</w:t>
            </w:r>
          </w:p>
        </w:tc>
        <w:tc>
          <w:tcPr>
            <w:tcW w:w="709" w:type="dxa"/>
            <w:tcBorders>
              <w:top w:val="single" w:sz="4" w:space="0" w:color="A6A6A6"/>
              <w:bottom w:val="single" w:sz="4" w:space="0" w:color="A6A6A6"/>
            </w:tcBorders>
            <w:noWrap/>
            <w:hideMark/>
          </w:tcPr>
          <w:p w14:paraId="33FD689E" w14:textId="77777777" w:rsidR="00087B91" w:rsidRPr="002029AF" w:rsidRDefault="00087B91" w:rsidP="00860E95">
            <w:pPr>
              <w:pStyle w:val="ARfintablebodyright"/>
              <w:ind w:right="0"/>
            </w:pPr>
            <w:r w:rsidRPr="002029AF">
              <w:t>2.6</w:t>
            </w:r>
          </w:p>
        </w:tc>
        <w:tc>
          <w:tcPr>
            <w:tcW w:w="567" w:type="dxa"/>
            <w:tcBorders>
              <w:top w:val="single" w:sz="4" w:space="0" w:color="A6A6A6"/>
              <w:bottom w:val="single" w:sz="4" w:space="0" w:color="A6A6A6"/>
            </w:tcBorders>
            <w:noWrap/>
            <w:hideMark/>
          </w:tcPr>
          <w:p w14:paraId="1BA339BC" w14:textId="77777777" w:rsidR="00087B91" w:rsidRPr="002029AF" w:rsidRDefault="00087B91" w:rsidP="00860E95">
            <w:pPr>
              <w:pStyle w:val="ARfintablebodyright"/>
              <w:ind w:right="0"/>
            </w:pPr>
            <w:r w:rsidRPr="002029AF">
              <w:t>(11.2)</w:t>
            </w:r>
          </w:p>
        </w:tc>
        <w:tc>
          <w:tcPr>
            <w:tcW w:w="714" w:type="dxa"/>
            <w:tcBorders>
              <w:top w:val="single" w:sz="4" w:space="0" w:color="A6A6A6"/>
              <w:bottom w:val="single" w:sz="4" w:space="0" w:color="A6A6A6"/>
            </w:tcBorders>
            <w:noWrap/>
            <w:hideMark/>
          </w:tcPr>
          <w:p w14:paraId="5FEAADF2" w14:textId="77777777" w:rsidR="00087B91" w:rsidRPr="002029AF" w:rsidRDefault="00087B91" w:rsidP="00860E95">
            <w:pPr>
              <w:pStyle w:val="ARfintablebodyright"/>
              <w:ind w:right="0"/>
            </w:pPr>
            <w:r w:rsidRPr="002029AF">
              <w:t>2,514.0</w:t>
            </w:r>
          </w:p>
        </w:tc>
      </w:tr>
      <w:tr w:rsidR="00595FA8" w:rsidRPr="002029AF" w14:paraId="2299246F" w14:textId="77777777" w:rsidTr="00C81A0B">
        <w:trPr>
          <w:gridAfter w:val="1"/>
          <w:wAfter w:w="9" w:type="dxa"/>
          <w:trHeight w:val="170"/>
        </w:trPr>
        <w:tc>
          <w:tcPr>
            <w:tcW w:w="2213" w:type="dxa"/>
            <w:tcBorders>
              <w:top w:val="single" w:sz="4" w:space="0" w:color="A6A6A6"/>
              <w:bottom w:val="single" w:sz="4" w:space="0" w:color="A6A6A6"/>
            </w:tcBorders>
            <w:hideMark/>
          </w:tcPr>
          <w:p w14:paraId="6EFE8598" w14:textId="3AD17CBC" w:rsidR="00087B91" w:rsidRPr="002029AF" w:rsidRDefault="00087B91" w:rsidP="00860E95">
            <w:pPr>
              <w:pStyle w:val="ARfintablebody"/>
            </w:pPr>
            <w:r w:rsidRPr="002029AF">
              <w:t>Other</w:t>
            </w:r>
            <w:r w:rsidR="000A5329" w:rsidRPr="002029AF">
              <w:t xml:space="preserve"> </w:t>
            </w:r>
            <w:r w:rsidRPr="002029AF">
              <w:t>revenue</w:t>
            </w:r>
            <w:r w:rsidR="000A5329" w:rsidRPr="002029AF">
              <w:t xml:space="preserve"> </w:t>
            </w:r>
            <w:r w:rsidRPr="002029AF">
              <w:t>and</w:t>
            </w:r>
            <w:r w:rsidR="000A5329" w:rsidRPr="002029AF">
              <w:t xml:space="preserve"> </w:t>
            </w:r>
            <w:r w:rsidRPr="002029AF">
              <w:t>income</w:t>
            </w:r>
          </w:p>
        </w:tc>
        <w:tc>
          <w:tcPr>
            <w:tcW w:w="901" w:type="dxa"/>
            <w:tcBorders>
              <w:top w:val="single" w:sz="4" w:space="0" w:color="A6A6A6"/>
              <w:bottom w:val="single" w:sz="4" w:space="0" w:color="A6A6A6"/>
            </w:tcBorders>
            <w:noWrap/>
            <w:hideMark/>
          </w:tcPr>
          <w:p w14:paraId="35581799" w14:textId="77777777" w:rsidR="00087B91" w:rsidRPr="002029AF" w:rsidRDefault="00087B91" w:rsidP="00860E95">
            <w:pPr>
              <w:pStyle w:val="ARfintablebodyright"/>
              <w:ind w:right="0"/>
            </w:pPr>
            <w:r w:rsidRPr="002029AF">
              <w:t>22.7</w:t>
            </w:r>
          </w:p>
        </w:tc>
        <w:tc>
          <w:tcPr>
            <w:tcW w:w="709" w:type="dxa"/>
            <w:tcBorders>
              <w:top w:val="single" w:sz="4" w:space="0" w:color="A6A6A6"/>
              <w:bottom w:val="single" w:sz="4" w:space="0" w:color="A6A6A6"/>
            </w:tcBorders>
            <w:noWrap/>
            <w:hideMark/>
          </w:tcPr>
          <w:p w14:paraId="0F8E1A55" w14:textId="77777777" w:rsidR="00087B91" w:rsidRPr="002029AF" w:rsidRDefault="00087B91" w:rsidP="00860E95">
            <w:pPr>
              <w:pStyle w:val="ARfintablebodyright"/>
              <w:ind w:right="0"/>
            </w:pPr>
            <w:r w:rsidRPr="002029AF">
              <w:t>–</w:t>
            </w:r>
          </w:p>
        </w:tc>
        <w:tc>
          <w:tcPr>
            <w:tcW w:w="575" w:type="dxa"/>
            <w:tcBorders>
              <w:top w:val="single" w:sz="4" w:space="0" w:color="A6A6A6"/>
              <w:bottom w:val="single" w:sz="4" w:space="0" w:color="A6A6A6"/>
            </w:tcBorders>
            <w:noWrap/>
            <w:hideMark/>
          </w:tcPr>
          <w:p w14:paraId="5994E8DF" w14:textId="77777777" w:rsidR="00087B91" w:rsidRPr="002029AF" w:rsidRDefault="00087B91" w:rsidP="00860E95">
            <w:pPr>
              <w:pStyle w:val="ARfintablebodyright"/>
              <w:ind w:right="0"/>
            </w:pPr>
            <w:r w:rsidRPr="002029AF">
              <w:t>2.3</w:t>
            </w:r>
          </w:p>
        </w:tc>
        <w:tc>
          <w:tcPr>
            <w:tcW w:w="681" w:type="dxa"/>
            <w:tcBorders>
              <w:top w:val="single" w:sz="4" w:space="0" w:color="A6A6A6"/>
              <w:bottom w:val="single" w:sz="4" w:space="0" w:color="A6A6A6"/>
            </w:tcBorders>
            <w:noWrap/>
            <w:hideMark/>
          </w:tcPr>
          <w:p w14:paraId="40B6A37B" w14:textId="77777777" w:rsidR="00087B91" w:rsidRPr="002029AF" w:rsidRDefault="00087B91" w:rsidP="00860E95">
            <w:pPr>
              <w:pStyle w:val="ARfintablebodyright"/>
              <w:ind w:right="0"/>
            </w:pPr>
            <w:r w:rsidRPr="002029AF">
              <w:t>0.8</w:t>
            </w:r>
          </w:p>
        </w:tc>
        <w:tc>
          <w:tcPr>
            <w:tcW w:w="728" w:type="dxa"/>
            <w:tcBorders>
              <w:top w:val="single" w:sz="4" w:space="0" w:color="A6A6A6"/>
              <w:bottom w:val="single" w:sz="4" w:space="0" w:color="A6A6A6"/>
            </w:tcBorders>
            <w:noWrap/>
            <w:hideMark/>
          </w:tcPr>
          <w:p w14:paraId="39AA71D0" w14:textId="77777777" w:rsidR="00087B91" w:rsidRPr="002029AF" w:rsidRDefault="00087B91" w:rsidP="00860E95">
            <w:pPr>
              <w:pStyle w:val="ARfintablebodyright"/>
              <w:ind w:right="0"/>
            </w:pPr>
            <w:r w:rsidRPr="002029AF">
              <w:t>–</w:t>
            </w:r>
          </w:p>
        </w:tc>
        <w:tc>
          <w:tcPr>
            <w:tcW w:w="614" w:type="dxa"/>
            <w:tcBorders>
              <w:top w:val="single" w:sz="4" w:space="0" w:color="A6A6A6"/>
              <w:bottom w:val="single" w:sz="4" w:space="0" w:color="A6A6A6"/>
            </w:tcBorders>
            <w:noWrap/>
            <w:hideMark/>
          </w:tcPr>
          <w:p w14:paraId="5ADD0104" w14:textId="77777777" w:rsidR="00087B91" w:rsidRPr="002029AF" w:rsidRDefault="00087B91" w:rsidP="00860E95">
            <w:pPr>
              <w:pStyle w:val="ARfintablebodyright"/>
              <w:ind w:right="0"/>
            </w:pPr>
            <w:r w:rsidRPr="002029AF">
              <w:t>–</w:t>
            </w:r>
          </w:p>
        </w:tc>
        <w:tc>
          <w:tcPr>
            <w:tcW w:w="680" w:type="dxa"/>
            <w:tcBorders>
              <w:top w:val="single" w:sz="4" w:space="0" w:color="A6A6A6"/>
              <w:bottom w:val="single" w:sz="4" w:space="0" w:color="A6A6A6"/>
            </w:tcBorders>
            <w:noWrap/>
            <w:hideMark/>
          </w:tcPr>
          <w:p w14:paraId="6B7CE917" w14:textId="77777777" w:rsidR="00087B91" w:rsidRPr="002029AF" w:rsidRDefault="00087B91" w:rsidP="00860E95">
            <w:pPr>
              <w:pStyle w:val="ARfintablebodyright"/>
              <w:ind w:right="0"/>
            </w:pPr>
            <w:r w:rsidRPr="002029AF">
              <w:t>2.2</w:t>
            </w:r>
          </w:p>
        </w:tc>
        <w:tc>
          <w:tcPr>
            <w:tcW w:w="680" w:type="dxa"/>
            <w:tcBorders>
              <w:top w:val="single" w:sz="4" w:space="0" w:color="A6A6A6"/>
              <w:bottom w:val="single" w:sz="4" w:space="0" w:color="A6A6A6"/>
            </w:tcBorders>
            <w:noWrap/>
            <w:hideMark/>
          </w:tcPr>
          <w:p w14:paraId="3207141D" w14:textId="77777777" w:rsidR="00087B91" w:rsidRPr="002029AF" w:rsidRDefault="00087B91" w:rsidP="00860E95">
            <w:pPr>
              <w:pStyle w:val="ARfintablebodyright"/>
              <w:ind w:right="0"/>
            </w:pPr>
            <w:r w:rsidRPr="002029AF">
              <w:t>–</w:t>
            </w:r>
          </w:p>
        </w:tc>
        <w:tc>
          <w:tcPr>
            <w:tcW w:w="719" w:type="dxa"/>
            <w:tcBorders>
              <w:top w:val="single" w:sz="4" w:space="0" w:color="A6A6A6"/>
              <w:bottom w:val="single" w:sz="4" w:space="0" w:color="A6A6A6"/>
            </w:tcBorders>
            <w:noWrap/>
            <w:hideMark/>
          </w:tcPr>
          <w:p w14:paraId="549B60A5" w14:textId="77777777" w:rsidR="00087B91" w:rsidRPr="002029AF" w:rsidRDefault="00087B91" w:rsidP="00860E95">
            <w:pPr>
              <w:pStyle w:val="ARfintablebodyright"/>
              <w:ind w:right="0"/>
            </w:pPr>
            <w:r w:rsidRPr="002029AF">
              <w:t>1.6</w:t>
            </w:r>
          </w:p>
        </w:tc>
        <w:tc>
          <w:tcPr>
            <w:tcW w:w="709" w:type="dxa"/>
            <w:tcBorders>
              <w:top w:val="single" w:sz="4" w:space="0" w:color="A6A6A6"/>
              <w:bottom w:val="single" w:sz="4" w:space="0" w:color="A6A6A6"/>
            </w:tcBorders>
            <w:noWrap/>
            <w:hideMark/>
          </w:tcPr>
          <w:p w14:paraId="67D7780D" w14:textId="77777777" w:rsidR="00087B91" w:rsidRPr="002029AF" w:rsidRDefault="00087B91" w:rsidP="00860E95">
            <w:pPr>
              <w:pStyle w:val="ARfintablebodyright"/>
              <w:ind w:right="0"/>
            </w:pPr>
            <w:r w:rsidRPr="002029AF">
              <w:t>–</w:t>
            </w:r>
          </w:p>
        </w:tc>
        <w:tc>
          <w:tcPr>
            <w:tcW w:w="709" w:type="dxa"/>
            <w:tcBorders>
              <w:top w:val="single" w:sz="4" w:space="0" w:color="A6A6A6"/>
              <w:bottom w:val="single" w:sz="4" w:space="0" w:color="A6A6A6"/>
            </w:tcBorders>
            <w:noWrap/>
            <w:hideMark/>
          </w:tcPr>
          <w:p w14:paraId="502569F5" w14:textId="77777777" w:rsidR="00087B91" w:rsidRPr="002029AF" w:rsidRDefault="00087B91" w:rsidP="00860E95">
            <w:pPr>
              <w:pStyle w:val="ARfintablebodyright"/>
              <w:ind w:right="0"/>
            </w:pPr>
            <w:r w:rsidRPr="002029AF">
              <w:t>0.2</w:t>
            </w:r>
          </w:p>
        </w:tc>
        <w:tc>
          <w:tcPr>
            <w:tcW w:w="709" w:type="dxa"/>
            <w:tcBorders>
              <w:top w:val="single" w:sz="4" w:space="0" w:color="A6A6A6"/>
              <w:bottom w:val="single" w:sz="4" w:space="0" w:color="A6A6A6"/>
            </w:tcBorders>
            <w:noWrap/>
            <w:hideMark/>
          </w:tcPr>
          <w:p w14:paraId="465EB0AC" w14:textId="77777777" w:rsidR="00087B91" w:rsidRPr="002029AF" w:rsidRDefault="00087B91" w:rsidP="00860E95">
            <w:pPr>
              <w:pStyle w:val="ARfintablebodyright"/>
              <w:ind w:right="0"/>
            </w:pPr>
            <w:r w:rsidRPr="002029AF">
              <w:t>–</w:t>
            </w:r>
          </w:p>
        </w:tc>
        <w:tc>
          <w:tcPr>
            <w:tcW w:w="567" w:type="dxa"/>
            <w:tcBorders>
              <w:top w:val="single" w:sz="4" w:space="0" w:color="A6A6A6"/>
              <w:bottom w:val="single" w:sz="4" w:space="0" w:color="A6A6A6"/>
            </w:tcBorders>
            <w:noWrap/>
            <w:hideMark/>
          </w:tcPr>
          <w:p w14:paraId="39AC9A11" w14:textId="77777777" w:rsidR="00087B91" w:rsidRPr="002029AF" w:rsidRDefault="00087B91" w:rsidP="00860E95">
            <w:pPr>
              <w:pStyle w:val="ARfintablebodyright"/>
              <w:ind w:right="0"/>
            </w:pPr>
            <w:r w:rsidRPr="002029AF">
              <w:t>–</w:t>
            </w:r>
          </w:p>
        </w:tc>
        <w:tc>
          <w:tcPr>
            <w:tcW w:w="708" w:type="dxa"/>
            <w:tcBorders>
              <w:top w:val="single" w:sz="4" w:space="0" w:color="A6A6A6"/>
              <w:bottom w:val="single" w:sz="4" w:space="0" w:color="A6A6A6"/>
            </w:tcBorders>
            <w:noWrap/>
            <w:hideMark/>
          </w:tcPr>
          <w:p w14:paraId="2D9F4103" w14:textId="77777777" w:rsidR="00087B91" w:rsidRPr="002029AF" w:rsidRDefault="00087B91" w:rsidP="00860E95">
            <w:pPr>
              <w:pStyle w:val="ARfintablebodyright"/>
              <w:ind w:right="0"/>
            </w:pPr>
            <w:r w:rsidRPr="002029AF">
              <w:t>–</w:t>
            </w:r>
          </w:p>
        </w:tc>
        <w:tc>
          <w:tcPr>
            <w:tcW w:w="709" w:type="dxa"/>
            <w:tcBorders>
              <w:top w:val="single" w:sz="4" w:space="0" w:color="A6A6A6"/>
              <w:bottom w:val="single" w:sz="4" w:space="0" w:color="A6A6A6"/>
            </w:tcBorders>
            <w:noWrap/>
            <w:hideMark/>
          </w:tcPr>
          <w:p w14:paraId="518DEAD4" w14:textId="77777777" w:rsidR="00087B91" w:rsidRPr="002029AF" w:rsidRDefault="00087B91" w:rsidP="00860E95">
            <w:pPr>
              <w:pStyle w:val="ARfintablebodyright"/>
              <w:ind w:right="0"/>
            </w:pPr>
            <w:r w:rsidRPr="002029AF">
              <w:t>0.4</w:t>
            </w:r>
          </w:p>
        </w:tc>
        <w:tc>
          <w:tcPr>
            <w:tcW w:w="709" w:type="dxa"/>
            <w:tcBorders>
              <w:top w:val="single" w:sz="4" w:space="0" w:color="A6A6A6"/>
              <w:bottom w:val="single" w:sz="4" w:space="0" w:color="A6A6A6"/>
            </w:tcBorders>
            <w:noWrap/>
            <w:hideMark/>
          </w:tcPr>
          <w:p w14:paraId="4C769F95" w14:textId="77777777" w:rsidR="00087B91" w:rsidRPr="002029AF" w:rsidRDefault="00087B91" w:rsidP="00860E95">
            <w:pPr>
              <w:pStyle w:val="ARfintablebodyright"/>
              <w:ind w:right="0"/>
            </w:pPr>
            <w:r w:rsidRPr="002029AF">
              <w:t>0.7</w:t>
            </w:r>
          </w:p>
        </w:tc>
        <w:tc>
          <w:tcPr>
            <w:tcW w:w="567" w:type="dxa"/>
            <w:tcBorders>
              <w:top w:val="single" w:sz="4" w:space="0" w:color="A6A6A6"/>
              <w:bottom w:val="single" w:sz="4" w:space="0" w:color="A6A6A6"/>
            </w:tcBorders>
            <w:noWrap/>
            <w:hideMark/>
          </w:tcPr>
          <w:p w14:paraId="7DD4E56D" w14:textId="77777777" w:rsidR="00087B91" w:rsidRPr="002029AF" w:rsidRDefault="00087B91" w:rsidP="00860E95">
            <w:pPr>
              <w:pStyle w:val="ARfintablebodyright"/>
              <w:ind w:right="0"/>
            </w:pPr>
            <w:r w:rsidRPr="002029AF">
              <w:t>–</w:t>
            </w:r>
          </w:p>
        </w:tc>
        <w:tc>
          <w:tcPr>
            <w:tcW w:w="714" w:type="dxa"/>
            <w:tcBorders>
              <w:top w:val="single" w:sz="4" w:space="0" w:color="A6A6A6"/>
              <w:bottom w:val="single" w:sz="4" w:space="0" w:color="A6A6A6"/>
            </w:tcBorders>
            <w:noWrap/>
            <w:hideMark/>
          </w:tcPr>
          <w:p w14:paraId="6B727FAE" w14:textId="77777777" w:rsidR="00087B91" w:rsidRPr="002029AF" w:rsidRDefault="00087B91" w:rsidP="00860E95">
            <w:pPr>
              <w:pStyle w:val="ARfintablebodyright"/>
              <w:ind w:right="0"/>
            </w:pPr>
            <w:r w:rsidRPr="002029AF">
              <w:t>30.9</w:t>
            </w:r>
          </w:p>
        </w:tc>
      </w:tr>
      <w:tr w:rsidR="00595FA8" w:rsidRPr="002029AF" w14:paraId="1D3C904A" w14:textId="77777777" w:rsidTr="00C81A0B">
        <w:trPr>
          <w:gridAfter w:val="1"/>
          <w:wAfter w:w="9" w:type="dxa"/>
          <w:trHeight w:val="170"/>
        </w:trPr>
        <w:tc>
          <w:tcPr>
            <w:tcW w:w="2213" w:type="dxa"/>
            <w:tcBorders>
              <w:top w:val="single" w:sz="4" w:space="0" w:color="A6A6A6"/>
            </w:tcBorders>
            <w:hideMark/>
          </w:tcPr>
          <w:p w14:paraId="6817714A" w14:textId="6C19D501" w:rsidR="00087B91" w:rsidRPr="002029AF" w:rsidRDefault="00087B91" w:rsidP="00860E95">
            <w:pPr>
              <w:pStyle w:val="ARfintablebody"/>
            </w:pPr>
            <w:r w:rsidRPr="002029AF">
              <w:t>Fair</w:t>
            </w:r>
            <w:r w:rsidR="000A5329" w:rsidRPr="002029AF">
              <w:t xml:space="preserve"> </w:t>
            </w:r>
            <w:r w:rsidRPr="002029AF">
              <w:t>value</w:t>
            </w:r>
            <w:r w:rsidR="000A5329" w:rsidRPr="002029AF">
              <w:t xml:space="preserve"> </w:t>
            </w:r>
            <w:r w:rsidRPr="002029AF">
              <w:t>of</w:t>
            </w:r>
            <w:r w:rsidR="000A5329" w:rsidRPr="002029AF">
              <w:t xml:space="preserve"> </w:t>
            </w:r>
            <w:r w:rsidRPr="002029AF">
              <w:t>assets</w:t>
            </w:r>
            <w:r w:rsidR="000A5329" w:rsidRPr="002029AF">
              <w:t xml:space="preserve"> </w:t>
            </w:r>
            <w:r w:rsidRPr="002029AF">
              <w:t>and</w:t>
            </w:r>
            <w:r w:rsidR="000A5329" w:rsidRPr="002029AF">
              <w:t xml:space="preserve"> </w:t>
            </w:r>
            <w:r w:rsidRPr="002029AF">
              <w:t>services</w:t>
            </w:r>
            <w:r w:rsidR="000A5329" w:rsidRPr="002029AF">
              <w:t xml:space="preserve"> </w:t>
            </w:r>
            <w:r w:rsidRPr="002029AF">
              <w:t>received</w:t>
            </w:r>
            <w:r w:rsidR="000A5329" w:rsidRPr="002029AF">
              <w:t xml:space="preserve"> </w:t>
            </w:r>
            <w:r w:rsidRPr="002029AF">
              <w:t>free</w:t>
            </w:r>
            <w:r w:rsidR="000A5329" w:rsidRPr="002029AF">
              <w:t xml:space="preserve"> </w:t>
            </w:r>
            <w:r w:rsidRPr="002029AF">
              <w:t>of</w:t>
            </w:r>
            <w:r w:rsidR="000A5329" w:rsidRPr="002029AF">
              <w:t xml:space="preserve"> </w:t>
            </w:r>
            <w:r w:rsidRPr="002029AF">
              <w:t>charge</w:t>
            </w:r>
            <w:r w:rsidR="000A5329" w:rsidRPr="002029AF">
              <w:t xml:space="preserve"> </w:t>
            </w:r>
            <w:r w:rsidRPr="002029AF">
              <w:t>or</w:t>
            </w:r>
            <w:r w:rsidR="000A5329" w:rsidRPr="002029AF">
              <w:t xml:space="preserve"> </w:t>
            </w:r>
            <w:r w:rsidRPr="002029AF">
              <w:t>for</w:t>
            </w:r>
            <w:r w:rsidR="000A5329" w:rsidRPr="002029AF">
              <w:t xml:space="preserve"> </w:t>
            </w:r>
            <w:r w:rsidRPr="002029AF">
              <w:t>nominal</w:t>
            </w:r>
            <w:r w:rsidR="000A5329" w:rsidRPr="002029AF">
              <w:t xml:space="preserve"> </w:t>
            </w:r>
            <w:r w:rsidRPr="002029AF">
              <w:t>consideration</w:t>
            </w:r>
          </w:p>
        </w:tc>
        <w:tc>
          <w:tcPr>
            <w:tcW w:w="901" w:type="dxa"/>
            <w:tcBorders>
              <w:top w:val="single" w:sz="4" w:space="0" w:color="A6A6A6"/>
            </w:tcBorders>
            <w:noWrap/>
            <w:hideMark/>
          </w:tcPr>
          <w:p w14:paraId="66622236" w14:textId="77777777" w:rsidR="00087B91" w:rsidRPr="002029AF" w:rsidRDefault="00087B91" w:rsidP="00860E95">
            <w:pPr>
              <w:pStyle w:val="ARfintablebodyright"/>
              <w:ind w:right="0"/>
            </w:pPr>
            <w:r w:rsidRPr="002029AF">
              <w:t>–</w:t>
            </w:r>
          </w:p>
        </w:tc>
        <w:tc>
          <w:tcPr>
            <w:tcW w:w="709" w:type="dxa"/>
            <w:tcBorders>
              <w:top w:val="single" w:sz="4" w:space="0" w:color="A6A6A6"/>
            </w:tcBorders>
            <w:noWrap/>
            <w:hideMark/>
          </w:tcPr>
          <w:p w14:paraId="5DC754E5" w14:textId="77777777" w:rsidR="00087B91" w:rsidRPr="002029AF" w:rsidRDefault="00087B91" w:rsidP="00860E95">
            <w:pPr>
              <w:pStyle w:val="ARfintablebodyright"/>
              <w:ind w:right="0"/>
            </w:pPr>
            <w:r w:rsidRPr="002029AF">
              <w:t>–</w:t>
            </w:r>
          </w:p>
        </w:tc>
        <w:tc>
          <w:tcPr>
            <w:tcW w:w="575" w:type="dxa"/>
            <w:tcBorders>
              <w:top w:val="single" w:sz="4" w:space="0" w:color="A6A6A6"/>
            </w:tcBorders>
            <w:noWrap/>
            <w:hideMark/>
          </w:tcPr>
          <w:p w14:paraId="4310C8E1" w14:textId="77777777" w:rsidR="00087B91" w:rsidRPr="002029AF" w:rsidRDefault="00087B91" w:rsidP="00860E95">
            <w:pPr>
              <w:pStyle w:val="ARfintablebodyright"/>
              <w:ind w:right="0"/>
            </w:pPr>
            <w:r w:rsidRPr="002029AF">
              <w:t>–</w:t>
            </w:r>
          </w:p>
        </w:tc>
        <w:tc>
          <w:tcPr>
            <w:tcW w:w="681" w:type="dxa"/>
            <w:tcBorders>
              <w:top w:val="single" w:sz="4" w:space="0" w:color="A6A6A6"/>
            </w:tcBorders>
            <w:noWrap/>
            <w:hideMark/>
          </w:tcPr>
          <w:p w14:paraId="75F74AF5" w14:textId="77777777" w:rsidR="00087B91" w:rsidRPr="002029AF" w:rsidRDefault="00087B91" w:rsidP="00860E95">
            <w:pPr>
              <w:pStyle w:val="ARfintablebodyright"/>
              <w:ind w:right="0"/>
            </w:pPr>
            <w:r w:rsidRPr="002029AF">
              <w:t>–</w:t>
            </w:r>
          </w:p>
        </w:tc>
        <w:tc>
          <w:tcPr>
            <w:tcW w:w="728" w:type="dxa"/>
            <w:tcBorders>
              <w:top w:val="single" w:sz="4" w:space="0" w:color="A6A6A6"/>
            </w:tcBorders>
            <w:noWrap/>
            <w:hideMark/>
          </w:tcPr>
          <w:p w14:paraId="2B03966F" w14:textId="77777777" w:rsidR="00087B91" w:rsidRPr="002029AF" w:rsidRDefault="00087B91" w:rsidP="00860E95">
            <w:pPr>
              <w:pStyle w:val="ARfintablebodyright"/>
              <w:ind w:right="0"/>
            </w:pPr>
            <w:r w:rsidRPr="002029AF">
              <w:t>–</w:t>
            </w:r>
          </w:p>
        </w:tc>
        <w:tc>
          <w:tcPr>
            <w:tcW w:w="614" w:type="dxa"/>
            <w:tcBorders>
              <w:top w:val="single" w:sz="4" w:space="0" w:color="A6A6A6"/>
            </w:tcBorders>
            <w:noWrap/>
            <w:hideMark/>
          </w:tcPr>
          <w:p w14:paraId="43AEFCDC" w14:textId="77777777" w:rsidR="00087B91" w:rsidRPr="002029AF" w:rsidRDefault="00087B91" w:rsidP="00860E95">
            <w:pPr>
              <w:pStyle w:val="ARfintablebodyright"/>
              <w:ind w:right="0"/>
            </w:pPr>
            <w:r w:rsidRPr="002029AF">
              <w:t>–</w:t>
            </w:r>
          </w:p>
        </w:tc>
        <w:tc>
          <w:tcPr>
            <w:tcW w:w="680" w:type="dxa"/>
            <w:tcBorders>
              <w:top w:val="single" w:sz="4" w:space="0" w:color="A6A6A6"/>
            </w:tcBorders>
            <w:noWrap/>
            <w:hideMark/>
          </w:tcPr>
          <w:p w14:paraId="2B276A47" w14:textId="77777777" w:rsidR="00087B91" w:rsidRPr="002029AF" w:rsidRDefault="00087B91" w:rsidP="00860E95">
            <w:pPr>
              <w:pStyle w:val="ARfintablebodyright"/>
              <w:ind w:right="0"/>
            </w:pPr>
            <w:r w:rsidRPr="002029AF">
              <w:t>–</w:t>
            </w:r>
          </w:p>
        </w:tc>
        <w:tc>
          <w:tcPr>
            <w:tcW w:w="680" w:type="dxa"/>
            <w:tcBorders>
              <w:top w:val="single" w:sz="4" w:space="0" w:color="A6A6A6"/>
            </w:tcBorders>
            <w:noWrap/>
            <w:hideMark/>
          </w:tcPr>
          <w:p w14:paraId="2224DDEB" w14:textId="77777777" w:rsidR="00087B91" w:rsidRPr="002029AF" w:rsidRDefault="00087B91" w:rsidP="00860E95">
            <w:pPr>
              <w:pStyle w:val="ARfintablebodyright"/>
              <w:ind w:right="0"/>
            </w:pPr>
            <w:r w:rsidRPr="002029AF">
              <w:t>–</w:t>
            </w:r>
          </w:p>
        </w:tc>
        <w:tc>
          <w:tcPr>
            <w:tcW w:w="719" w:type="dxa"/>
            <w:tcBorders>
              <w:top w:val="single" w:sz="4" w:space="0" w:color="A6A6A6"/>
            </w:tcBorders>
            <w:noWrap/>
            <w:hideMark/>
          </w:tcPr>
          <w:p w14:paraId="7B6235B7" w14:textId="77777777" w:rsidR="00087B91" w:rsidRPr="002029AF" w:rsidRDefault="00087B91" w:rsidP="00860E95">
            <w:pPr>
              <w:pStyle w:val="ARfintablebodyright"/>
              <w:ind w:right="0"/>
            </w:pPr>
            <w:r w:rsidRPr="002029AF">
              <w:t>0.5</w:t>
            </w:r>
          </w:p>
        </w:tc>
        <w:tc>
          <w:tcPr>
            <w:tcW w:w="709" w:type="dxa"/>
            <w:tcBorders>
              <w:top w:val="single" w:sz="4" w:space="0" w:color="A6A6A6"/>
            </w:tcBorders>
            <w:noWrap/>
            <w:hideMark/>
          </w:tcPr>
          <w:p w14:paraId="01B3BA46" w14:textId="77777777" w:rsidR="00087B91" w:rsidRPr="002029AF" w:rsidRDefault="00087B91" w:rsidP="00860E95">
            <w:pPr>
              <w:pStyle w:val="ARfintablebodyright"/>
              <w:ind w:right="0"/>
            </w:pPr>
            <w:r w:rsidRPr="002029AF">
              <w:t>–</w:t>
            </w:r>
          </w:p>
        </w:tc>
        <w:tc>
          <w:tcPr>
            <w:tcW w:w="709" w:type="dxa"/>
            <w:tcBorders>
              <w:top w:val="single" w:sz="4" w:space="0" w:color="A6A6A6"/>
            </w:tcBorders>
            <w:noWrap/>
            <w:hideMark/>
          </w:tcPr>
          <w:p w14:paraId="66FDCE98" w14:textId="77777777" w:rsidR="00087B91" w:rsidRPr="002029AF" w:rsidRDefault="00087B91" w:rsidP="00860E95">
            <w:pPr>
              <w:pStyle w:val="ARfintablebodyright"/>
              <w:ind w:right="0"/>
            </w:pPr>
            <w:r w:rsidRPr="002029AF">
              <w:t>–</w:t>
            </w:r>
          </w:p>
        </w:tc>
        <w:tc>
          <w:tcPr>
            <w:tcW w:w="709" w:type="dxa"/>
            <w:tcBorders>
              <w:top w:val="single" w:sz="4" w:space="0" w:color="A6A6A6"/>
            </w:tcBorders>
            <w:noWrap/>
            <w:hideMark/>
          </w:tcPr>
          <w:p w14:paraId="31EB7BC8" w14:textId="77777777" w:rsidR="00087B91" w:rsidRPr="002029AF" w:rsidRDefault="00087B91" w:rsidP="00860E95">
            <w:pPr>
              <w:pStyle w:val="ARfintablebodyright"/>
              <w:ind w:right="0"/>
            </w:pPr>
            <w:r w:rsidRPr="002029AF">
              <w:t>–</w:t>
            </w:r>
          </w:p>
        </w:tc>
        <w:tc>
          <w:tcPr>
            <w:tcW w:w="567" w:type="dxa"/>
            <w:tcBorders>
              <w:top w:val="single" w:sz="4" w:space="0" w:color="A6A6A6"/>
            </w:tcBorders>
            <w:noWrap/>
            <w:hideMark/>
          </w:tcPr>
          <w:p w14:paraId="31F87AFA" w14:textId="77777777" w:rsidR="00087B91" w:rsidRPr="002029AF" w:rsidRDefault="00087B91" w:rsidP="00860E95">
            <w:pPr>
              <w:pStyle w:val="ARfintablebodyright"/>
              <w:ind w:right="0"/>
            </w:pPr>
            <w:r w:rsidRPr="002029AF">
              <w:t>–</w:t>
            </w:r>
          </w:p>
        </w:tc>
        <w:tc>
          <w:tcPr>
            <w:tcW w:w="708" w:type="dxa"/>
            <w:tcBorders>
              <w:top w:val="single" w:sz="4" w:space="0" w:color="A6A6A6"/>
            </w:tcBorders>
            <w:noWrap/>
            <w:hideMark/>
          </w:tcPr>
          <w:p w14:paraId="2492A210" w14:textId="77777777" w:rsidR="00087B91" w:rsidRPr="002029AF" w:rsidRDefault="00087B91" w:rsidP="00860E95">
            <w:pPr>
              <w:pStyle w:val="ARfintablebodyright"/>
              <w:ind w:right="0"/>
            </w:pPr>
            <w:r w:rsidRPr="002029AF">
              <w:t>–</w:t>
            </w:r>
          </w:p>
        </w:tc>
        <w:tc>
          <w:tcPr>
            <w:tcW w:w="709" w:type="dxa"/>
            <w:tcBorders>
              <w:top w:val="single" w:sz="4" w:space="0" w:color="A6A6A6"/>
            </w:tcBorders>
            <w:noWrap/>
            <w:hideMark/>
          </w:tcPr>
          <w:p w14:paraId="2860001A" w14:textId="77777777" w:rsidR="00087B91" w:rsidRPr="002029AF" w:rsidRDefault="00087B91" w:rsidP="00860E95">
            <w:pPr>
              <w:pStyle w:val="ARfintablebodyright"/>
              <w:ind w:right="0"/>
            </w:pPr>
            <w:r w:rsidRPr="002029AF">
              <w:t>3.1</w:t>
            </w:r>
          </w:p>
        </w:tc>
        <w:tc>
          <w:tcPr>
            <w:tcW w:w="709" w:type="dxa"/>
            <w:tcBorders>
              <w:top w:val="single" w:sz="4" w:space="0" w:color="A6A6A6"/>
            </w:tcBorders>
            <w:noWrap/>
            <w:hideMark/>
          </w:tcPr>
          <w:p w14:paraId="05F0B972" w14:textId="77777777" w:rsidR="00087B91" w:rsidRPr="002029AF" w:rsidRDefault="00087B91" w:rsidP="00860E95">
            <w:pPr>
              <w:pStyle w:val="ARfintablebodyright"/>
              <w:ind w:right="0"/>
            </w:pPr>
            <w:r w:rsidRPr="002029AF">
              <w:t>–</w:t>
            </w:r>
          </w:p>
        </w:tc>
        <w:tc>
          <w:tcPr>
            <w:tcW w:w="567" w:type="dxa"/>
            <w:tcBorders>
              <w:top w:val="single" w:sz="4" w:space="0" w:color="A6A6A6"/>
            </w:tcBorders>
            <w:noWrap/>
            <w:hideMark/>
          </w:tcPr>
          <w:p w14:paraId="7F06EF46" w14:textId="77777777" w:rsidR="00087B91" w:rsidRPr="002029AF" w:rsidRDefault="00087B91" w:rsidP="00860E95">
            <w:pPr>
              <w:pStyle w:val="ARfintablebodyright"/>
              <w:ind w:right="0"/>
            </w:pPr>
            <w:r w:rsidRPr="002029AF">
              <w:t>–</w:t>
            </w:r>
          </w:p>
        </w:tc>
        <w:tc>
          <w:tcPr>
            <w:tcW w:w="714" w:type="dxa"/>
            <w:tcBorders>
              <w:top w:val="single" w:sz="4" w:space="0" w:color="A6A6A6"/>
            </w:tcBorders>
            <w:noWrap/>
            <w:hideMark/>
          </w:tcPr>
          <w:p w14:paraId="48165EB8" w14:textId="77777777" w:rsidR="00087B91" w:rsidRPr="002029AF" w:rsidRDefault="00087B91" w:rsidP="00860E95">
            <w:pPr>
              <w:pStyle w:val="ARfintablebodyright"/>
              <w:ind w:right="0"/>
            </w:pPr>
            <w:r w:rsidRPr="002029AF">
              <w:t>3.6</w:t>
            </w:r>
          </w:p>
        </w:tc>
      </w:tr>
      <w:tr w:rsidR="00595FA8" w:rsidRPr="002029AF" w14:paraId="649819E4" w14:textId="77777777" w:rsidTr="00C81A0B">
        <w:trPr>
          <w:gridAfter w:val="1"/>
          <w:wAfter w:w="9" w:type="dxa"/>
          <w:trHeight w:val="170"/>
        </w:trPr>
        <w:tc>
          <w:tcPr>
            <w:tcW w:w="2213" w:type="dxa"/>
            <w:tcBorders>
              <w:bottom w:val="single" w:sz="4" w:space="0" w:color="auto"/>
            </w:tcBorders>
            <w:hideMark/>
          </w:tcPr>
          <w:p w14:paraId="37781963" w14:textId="3FC0AC70" w:rsidR="00087B91" w:rsidRPr="002029AF" w:rsidRDefault="00087B91" w:rsidP="00860E95">
            <w:pPr>
              <w:pStyle w:val="ARfintablebodybold"/>
            </w:pPr>
            <w:r w:rsidRPr="002029AF">
              <w:t>Total</w:t>
            </w:r>
            <w:r w:rsidR="000A5329" w:rsidRPr="002029AF">
              <w:t xml:space="preserve"> </w:t>
            </w:r>
            <w:r w:rsidRPr="002029AF">
              <w:t>revenue</w:t>
            </w:r>
            <w:r w:rsidR="000A5329" w:rsidRPr="002029AF">
              <w:t xml:space="preserve"> </w:t>
            </w:r>
            <w:r w:rsidRPr="002029AF">
              <w:t>and</w:t>
            </w:r>
            <w:r w:rsidR="000A5329" w:rsidRPr="002029AF">
              <w:t xml:space="preserve"> </w:t>
            </w:r>
            <w:r w:rsidRPr="002029AF">
              <w:t>income</w:t>
            </w:r>
            <w:r w:rsidR="000A5329" w:rsidRPr="002029AF">
              <w:t xml:space="preserve"> </w:t>
            </w:r>
            <w:r w:rsidRPr="002029AF">
              <w:t>from</w:t>
            </w:r>
            <w:r w:rsidR="000A5329" w:rsidRPr="002029AF">
              <w:t xml:space="preserve"> </w:t>
            </w:r>
            <w:r w:rsidRPr="002029AF">
              <w:t>transactions</w:t>
            </w:r>
          </w:p>
        </w:tc>
        <w:tc>
          <w:tcPr>
            <w:tcW w:w="901" w:type="dxa"/>
            <w:tcBorders>
              <w:bottom w:val="single" w:sz="4" w:space="0" w:color="auto"/>
            </w:tcBorders>
            <w:noWrap/>
            <w:hideMark/>
          </w:tcPr>
          <w:p w14:paraId="1572AEC7" w14:textId="77777777" w:rsidR="00087B91" w:rsidRPr="002029AF" w:rsidRDefault="00087B91" w:rsidP="00860E95">
            <w:pPr>
              <w:pStyle w:val="ARfintablebodyrightbold"/>
              <w:ind w:right="0"/>
            </w:pPr>
            <w:r w:rsidRPr="002029AF">
              <w:t>11,197.2</w:t>
            </w:r>
          </w:p>
        </w:tc>
        <w:tc>
          <w:tcPr>
            <w:tcW w:w="709" w:type="dxa"/>
            <w:tcBorders>
              <w:bottom w:val="single" w:sz="4" w:space="0" w:color="auto"/>
            </w:tcBorders>
            <w:noWrap/>
            <w:hideMark/>
          </w:tcPr>
          <w:p w14:paraId="6BA7CA87" w14:textId="77777777" w:rsidR="00087B91" w:rsidRPr="002029AF" w:rsidRDefault="00087B91" w:rsidP="00860E95">
            <w:pPr>
              <w:pStyle w:val="ARfintablebodyrightbold"/>
              <w:ind w:right="0"/>
            </w:pPr>
            <w:r w:rsidRPr="002029AF">
              <w:t>902.5</w:t>
            </w:r>
          </w:p>
        </w:tc>
        <w:tc>
          <w:tcPr>
            <w:tcW w:w="575" w:type="dxa"/>
            <w:tcBorders>
              <w:bottom w:val="single" w:sz="4" w:space="0" w:color="auto"/>
            </w:tcBorders>
            <w:noWrap/>
            <w:hideMark/>
          </w:tcPr>
          <w:p w14:paraId="1F118CC3" w14:textId="77777777" w:rsidR="00087B91" w:rsidRPr="002029AF" w:rsidRDefault="00087B91" w:rsidP="00860E95">
            <w:pPr>
              <w:pStyle w:val="ARfintablebodyrightbold"/>
              <w:ind w:right="0"/>
            </w:pPr>
            <w:r w:rsidRPr="002029AF">
              <w:t>1,548.4</w:t>
            </w:r>
          </w:p>
        </w:tc>
        <w:tc>
          <w:tcPr>
            <w:tcW w:w="681" w:type="dxa"/>
            <w:tcBorders>
              <w:bottom w:val="single" w:sz="4" w:space="0" w:color="auto"/>
            </w:tcBorders>
            <w:noWrap/>
            <w:hideMark/>
          </w:tcPr>
          <w:p w14:paraId="7F51E815" w14:textId="77777777" w:rsidR="00087B91" w:rsidRPr="002029AF" w:rsidRDefault="00087B91" w:rsidP="00860E95">
            <w:pPr>
              <w:pStyle w:val="ARfintablebodyrightbold"/>
              <w:ind w:right="0"/>
            </w:pPr>
            <w:r w:rsidRPr="002029AF">
              <w:t>558.0</w:t>
            </w:r>
          </w:p>
        </w:tc>
        <w:tc>
          <w:tcPr>
            <w:tcW w:w="728" w:type="dxa"/>
            <w:tcBorders>
              <w:bottom w:val="single" w:sz="4" w:space="0" w:color="auto"/>
            </w:tcBorders>
            <w:noWrap/>
            <w:hideMark/>
          </w:tcPr>
          <w:p w14:paraId="04416644" w14:textId="77777777" w:rsidR="00087B91" w:rsidRPr="002029AF" w:rsidRDefault="00087B91" w:rsidP="00860E95">
            <w:pPr>
              <w:pStyle w:val="ARfintablebodyrightbold"/>
              <w:ind w:right="0"/>
            </w:pPr>
            <w:r w:rsidRPr="002029AF">
              <w:t>658.6</w:t>
            </w:r>
          </w:p>
        </w:tc>
        <w:tc>
          <w:tcPr>
            <w:tcW w:w="614" w:type="dxa"/>
            <w:tcBorders>
              <w:bottom w:val="single" w:sz="4" w:space="0" w:color="auto"/>
            </w:tcBorders>
            <w:noWrap/>
            <w:hideMark/>
          </w:tcPr>
          <w:p w14:paraId="5BFD0343" w14:textId="77777777" w:rsidR="00087B91" w:rsidRPr="002029AF" w:rsidRDefault="00087B91" w:rsidP="00860E95">
            <w:pPr>
              <w:pStyle w:val="ARfintablebodyrightbold"/>
              <w:ind w:right="0"/>
            </w:pPr>
            <w:r w:rsidRPr="002029AF">
              <w:t>470.2</w:t>
            </w:r>
          </w:p>
        </w:tc>
        <w:tc>
          <w:tcPr>
            <w:tcW w:w="680" w:type="dxa"/>
            <w:tcBorders>
              <w:bottom w:val="single" w:sz="4" w:space="0" w:color="auto"/>
            </w:tcBorders>
            <w:noWrap/>
            <w:hideMark/>
          </w:tcPr>
          <w:p w14:paraId="147302E6" w14:textId="77777777" w:rsidR="00087B91" w:rsidRPr="002029AF" w:rsidRDefault="00087B91" w:rsidP="00860E95">
            <w:pPr>
              <w:pStyle w:val="ARfintablebodyrightbold"/>
              <w:ind w:right="0"/>
            </w:pPr>
            <w:r w:rsidRPr="002029AF">
              <w:t>471.9</w:t>
            </w:r>
          </w:p>
        </w:tc>
        <w:tc>
          <w:tcPr>
            <w:tcW w:w="680" w:type="dxa"/>
            <w:tcBorders>
              <w:bottom w:val="single" w:sz="4" w:space="0" w:color="auto"/>
            </w:tcBorders>
            <w:noWrap/>
            <w:hideMark/>
          </w:tcPr>
          <w:p w14:paraId="1B42F811" w14:textId="77777777" w:rsidR="00087B91" w:rsidRPr="002029AF" w:rsidRDefault="00087B91" w:rsidP="00860E95">
            <w:pPr>
              <w:pStyle w:val="ARfintablebodyrightbold"/>
              <w:ind w:right="0"/>
            </w:pPr>
            <w:r w:rsidRPr="002029AF">
              <w:t>268.6</w:t>
            </w:r>
          </w:p>
        </w:tc>
        <w:tc>
          <w:tcPr>
            <w:tcW w:w="719" w:type="dxa"/>
            <w:tcBorders>
              <w:bottom w:val="single" w:sz="4" w:space="0" w:color="auto"/>
            </w:tcBorders>
            <w:noWrap/>
            <w:hideMark/>
          </w:tcPr>
          <w:p w14:paraId="733354BA" w14:textId="77777777" w:rsidR="00087B91" w:rsidRPr="002029AF" w:rsidRDefault="00087B91" w:rsidP="00860E95">
            <w:pPr>
              <w:pStyle w:val="ARfintablebodyrightbold"/>
              <w:ind w:right="0"/>
            </w:pPr>
            <w:r w:rsidRPr="002029AF">
              <w:t>2,135.9</w:t>
            </w:r>
          </w:p>
        </w:tc>
        <w:tc>
          <w:tcPr>
            <w:tcW w:w="709" w:type="dxa"/>
            <w:tcBorders>
              <w:bottom w:val="single" w:sz="4" w:space="0" w:color="auto"/>
            </w:tcBorders>
            <w:noWrap/>
            <w:hideMark/>
          </w:tcPr>
          <w:p w14:paraId="13465863" w14:textId="77777777" w:rsidR="00087B91" w:rsidRPr="002029AF" w:rsidRDefault="00087B91" w:rsidP="00860E95">
            <w:pPr>
              <w:pStyle w:val="ARfintablebodyrightbold"/>
              <w:ind w:right="0"/>
            </w:pPr>
            <w:r w:rsidRPr="002029AF">
              <w:t>1,512.3</w:t>
            </w:r>
          </w:p>
        </w:tc>
        <w:tc>
          <w:tcPr>
            <w:tcW w:w="709" w:type="dxa"/>
            <w:tcBorders>
              <w:bottom w:val="single" w:sz="4" w:space="0" w:color="auto"/>
            </w:tcBorders>
            <w:noWrap/>
            <w:hideMark/>
          </w:tcPr>
          <w:p w14:paraId="0CB98856" w14:textId="77777777" w:rsidR="00087B91" w:rsidRPr="002029AF" w:rsidRDefault="00087B91" w:rsidP="00860E95">
            <w:pPr>
              <w:pStyle w:val="ARfintablebodyrightbold"/>
              <w:ind w:right="0"/>
            </w:pPr>
            <w:r w:rsidRPr="002029AF">
              <w:t>753.0</w:t>
            </w:r>
          </w:p>
        </w:tc>
        <w:tc>
          <w:tcPr>
            <w:tcW w:w="709" w:type="dxa"/>
            <w:tcBorders>
              <w:bottom w:val="single" w:sz="4" w:space="0" w:color="auto"/>
            </w:tcBorders>
            <w:noWrap/>
            <w:hideMark/>
          </w:tcPr>
          <w:p w14:paraId="44B011D3" w14:textId="77777777" w:rsidR="00087B91" w:rsidRPr="002029AF" w:rsidRDefault="00087B91" w:rsidP="00860E95">
            <w:pPr>
              <w:pStyle w:val="ARfintablebodyrightbold"/>
              <w:ind w:right="0"/>
            </w:pPr>
            <w:r w:rsidRPr="002029AF">
              <w:t>62.4</w:t>
            </w:r>
          </w:p>
        </w:tc>
        <w:tc>
          <w:tcPr>
            <w:tcW w:w="567" w:type="dxa"/>
            <w:tcBorders>
              <w:bottom w:val="single" w:sz="4" w:space="0" w:color="auto"/>
            </w:tcBorders>
            <w:noWrap/>
            <w:hideMark/>
          </w:tcPr>
          <w:p w14:paraId="31A8A98A" w14:textId="77777777" w:rsidR="00087B91" w:rsidRPr="002029AF" w:rsidRDefault="00087B91" w:rsidP="00860E95">
            <w:pPr>
              <w:pStyle w:val="ARfintablebodyrightbold"/>
              <w:ind w:right="0"/>
            </w:pPr>
            <w:r w:rsidRPr="002029AF">
              <w:t>–</w:t>
            </w:r>
          </w:p>
        </w:tc>
        <w:tc>
          <w:tcPr>
            <w:tcW w:w="708" w:type="dxa"/>
            <w:tcBorders>
              <w:bottom w:val="single" w:sz="4" w:space="0" w:color="auto"/>
            </w:tcBorders>
            <w:noWrap/>
            <w:hideMark/>
          </w:tcPr>
          <w:p w14:paraId="2E7CDD77" w14:textId="77777777" w:rsidR="00087B91" w:rsidRPr="002029AF" w:rsidRDefault="00087B91" w:rsidP="00860E95">
            <w:pPr>
              <w:pStyle w:val="ARfintablebodyrightbold"/>
              <w:ind w:right="0"/>
            </w:pPr>
            <w:r w:rsidRPr="002029AF">
              <w:t>289.7</w:t>
            </w:r>
          </w:p>
        </w:tc>
        <w:tc>
          <w:tcPr>
            <w:tcW w:w="709" w:type="dxa"/>
            <w:tcBorders>
              <w:bottom w:val="single" w:sz="4" w:space="0" w:color="auto"/>
            </w:tcBorders>
            <w:noWrap/>
            <w:hideMark/>
          </w:tcPr>
          <w:p w14:paraId="0748D8E7" w14:textId="77777777" w:rsidR="00087B91" w:rsidRPr="002029AF" w:rsidRDefault="00087B91" w:rsidP="00860E95">
            <w:pPr>
              <w:pStyle w:val="ARfintablebodyrightbold"/>
              <w:ind w:right="0"/>
            </w:pPr>
            <w:r w:rsidRPr="002029AF">
              <w:t>1,207.5</w:t>
            </w:r>
          </w:p>
        </w:tc>
        <w:tc>
          <w:tcPr>
            <w:tcW w:w="709" w:type="dxa"/>
            <w:tcBorders>
              <w:bottom w:val="single" w:sz="4" w:space="0" w:color="auto"/>
            </w:tcBorders>
            <w:noWrap/>
            <w:hideMark/>
          </w:tcPr>
          <w:p w14:paraId="10B5D204" w14:textId="77777777" w:rsidR="00087B91" w:rsidRPr="002029AF" w:rsidRDefault="00087B91" w:rsidP="00860E95">
            <w:pPr>
              <w:pStyle w:val="ARfintablebodyrightbold"/>
              <w:ind w:right="0"/>
            </w:pPr>
            <w:r w:rsidRPr="002029AF">
              <w:t>3.3</w:t>
            </w:r>
          </w:p>
        </w:tc>
        <w:tc>
          <w:tcPr>
            <w:tcW w:w="567" w:type="dxa"/>
            <w:tcBorders>
              <w:bottom w:val="single" w:sz="4" w:space="0" w:color="auto"/>
            </w:tcBorders>
            <w:noWrap/>
            <w:hideMark/>
          </w:tcPr>
          <w:p w14:paraId="2A468A7E" w14:textId="77777777" w:rsidR="00087B91" w:rsidRPr="002029AF" w:rsidRDefault="00087B91" w:rsidP="00860E95">
            <w:pPr>
              <w:pStyle w:val="ARfintablebodyrightbold"/>
              <w:ind w:right="0"/>
            </w:pPr>
            <w:r w:rsidRPr="002029AF">
              <w:t>(11.2)</w:t>
            </w:r>
          </w:p>
        </w:tc>
        <w:tc>
          <w:tcPr>
            <w:tcW w:w="714" w:type="dxa"/>
            <w:tcBorders>
              <w:bottom w:val="single" w:sz="4" w:space="0" w:color="auto"/>
            </w:tcBorders>
            <w:noWrap/>
            <w:hideMark/>
          </w:tcPr>
          <w:p w14:paraId="6F3BCF99" w14:textId="77777777" w:rsidR="00087B91" w:rsidRPr="002029AF" w:rsidRDefault="00087B91" w:rsidP="00860E95">
            <w:pPr>
              <w:pStyle w:val="ARfintablebodyrightbold"/>
              <w:ind w:right="0"/>
            </w:pPr>
            <w:r w:rsidRPr="002029AF">
              <w:t>22,028.4</w:t>
            </w:r>
          </w:p>
        </w:tc>
      </w:tr>
      <w:tr w:rsidR="00087B91" w:rsidRPr="002029AF" w14:paraId="6326819E" w14:textId="77777777" w:rsidTr="00C81A0B">
        <w:trPr>
          <w:trHeight w:val="170"/>
        </w:trPr>
        <w:tc>
          <w:tcPr>
            <w:tcW w:w="14610" w:type="dxa"/>
            <w:gridSpan w:val="20"/>
            <w:tcBorders>
              <w:top w:val="single" w:sz="4" w:space="0" w:color="auto"/>
              <w:bottom w:val="single" w:sz="4" w:space="0" w:color="A6A6A6"/>
            </w:tcBorders>
            <w:hideMark/>
          </w:tcPr>
          <w:p w14:paraId="3A261CAA" w14:textId="542FB34C" w:rsidR="00087B91" w:rsidRPr="002029AF" w:rsidRDefault="00087B91" w:rsidP="00860E95">
            <w:pPr>
              <w:pStyle w:val="ARfintablebodybold"/>
              <w:ind w:right="0"/>
            </w:pPr>
            <w:r w:rsidRPr="002029AF">
              <w:t>Expenses</w:t>
            </w:r>
            <w:r w:rsidR="000A5329" w:rsidRPr="002029AF">
              <w:t xml:space="preserve"> </w:t>
            </w:r>
            <w:r w:rsidRPr="002029AF">
              <w:t>from</w:t>
            </w:r>
            <w:r w:rsidR="000A5329" w:rsidRPr="002029AF">
              <w:t xml:space="preserve"> </w:t>
            </w:r>
            <w:r w:rsidRPr="002029AF">
              <w:t>transactions</w:t>
            </w:r>
          </w:p>
        </w:tc>
      </w:tr>
      <w:tr w:rsidR="00595FA8" w:rsidRPr="002029AF" w14:paraId="67B6B042" w14:textId="77777777" w:rsidTr="00C81A0B">
        <w:trPr>
          <w:gridAfter w:val="1"/>
          <w:wAfter w:w="9" w:type="dxa"/>
          <w:trHeight w:val="170"/>
        </w:trPr>
        <w:tc>
          <w:tcPr>
            <w:tcW w:w="2213" w:type="dxa"/>
            <w:tcBorders>
              <w:top w:val="single" w:sz="4" w:space="0" w:color="A6A6A6"/>
              <w:bottom w:val="single" w:sz="4" w:space="0" w:color="A6A6A6"/>
            </w:tcBorders>
            <w:hideMark/>
          </w:tcPr>
          <w:p w14:paraId="57477EC3" w14:textId="6D29B831" w:rsidR="00087B91" w:rsidRPr="002029AF" w:rsidRDefault="00087B91" w:rsidP="00860E95">
            <w:pPr>
              <w:pStyle w:val="ARfintablebody"/>
            </w:pPr>
            <w:r w:rsidRPr="002029AF">
              <w:t>Employee</w:t>
            </w:r>
            <w:r w:rsidR="000A5329" w:rsidRPr="002029AF">
              <w:t xml:space="preserve"> </w:t>
            </w:r>
            <w:r w:rsidRPr="002029AF">
              <w:t>benefits</w:t>
            </w:r>
          </w:p>
        </w:tc>
        <w:tc>
          <w:tcPr>
            <w:tcW w:w="901" w:type="dxa"/>
            <w:tcBorders>
              <w:top w:val="single" w:sz="4" w:space="0" w:color="A6A6A6"/>
              <w:bottom w:val="single" w:sz="4" w:space="0" w:color="A6A6A6"/>
            </w:tcBorders>
            <w:noWrap/>
            <w:hideMark/>
          </w:tcPr>
          <w:p w14:paraId="6CD6DC0C" w14:textId="77777777" w:rsidR="00087B91" w:rsidRPr="002029AF" w:rsidRDefault="00087B91" w:rsidP="00860E95">
            <w:pPr>
              <w:pStyle w:val="ARfintablebodyright"/>
              <w:ind w:right="0"/>
            </w:pPr>
            <w:r w:rsidRPr="002029AF">
              <w:t>154.8</w:t>
            </w:r>
          </w:p>
        </w:tc>
        <w:tc>
          <w:tcPr>
            <w:tcW w:w="709" w:type="dxa"/>
            <w:tcBorders>
              <w:top w:val="single" w:sz="4" w:space="0" w:color="A6A6A6"/>
              <w:bottom w:val="single" w:sz="4" w:space="0" w:color="A6A6A6"/>
            </w:tcBorders>
            <w:noWrap/>
            <w:hideMark/>
          </w:tcPr>
          <w:p w14:paraId="09C4B711" w14:textId="77777777" w:rsidR="00087B91" w:rsidRPr="002029AF" w:rsidRDefault="00087B91" w:rsidP="00860E95">
            <w:pPr>
              <w:pStyle w:val="ARfintablebodyright"/>
              <w:ind w:right="0"/>
            </w:pPr>
            <w:r w:rsidRPr="002029AF">
              <w:t>1.6</w:t>
            </w:r>
          </w:p>
        </w:tc>
        <w:tc>
          <w:tcPr>
            <w:tcW w:w="575" w:type="dxa"/>
            <w:tcBorders>
              <w:top w:val="single" w:sz="4" w:space="0" w:color="A6A6A6"/>
              <w:bottom w:val="single" w:sz="4" w:space="0" w:color="A6A6A6"/>
            </w:tcBorders>
            <w:noWrap/>
            <w:hideMark/>
          </w:tcPr>
          <w:p w14:paraId="5AAFC0A5" w14:textId="77777777" w:rsidR="00087B91" w:rsidRPr="002029AF" w:rsidRDefault="00087B91" w:rsidP="00860E95">
            <w:pPr>
              <w:pStyle w:val="ARfintablebodyright"/>
              <w:ind w:right="0"/>
            </w:pPr>
            <w:r w:rsidRPr="002029AF">
              <w:t>41.6</w:t>
            </w:r>
          </w:p>
        </w:tc>
        <w:tc>
          <w:tcPr>
            <w:tcW w:w="681" w:type="dxa"/>
            <w:tcBorders>
              <w:top w:val="single" w:sz="4" w:space="0" w:color="A6A6A6"/>
              <w:bottom w:val="single" w:sz="4" w:space="0" w:color="A6A6A6"/>
            </w:tcBorders>
            <w:noWrap/>
            <w:hideMark/>
          </w:tcPr>
          <w:p w14:paraId="237E5FFF" w14:textId="77777777" w:rsidR="00087B91" w:rsidRPr="002029AF" w:rsidRDefault="00087B91" w:rsidP="00860E95">
            <w:pPr>
              <w:pStyle w:val="ARfintablebodyright"/>
              <w:ind w:right="0"/>
            </w:pPr>
            <w:r w:rsidRPr="002029AF">
              <w:t>7.6</w:t>
            </w:r>
          </w:p>
        </w:tc>
        <w:tc>
          <w:tcPr>
            <w:tcW w:w="728" w:type="dxa"/>
            <w:tcBorders>
              <w:top w:val="single" w:sz="4" w:space="0" w:color="A6A6A6"/>
              <w:bottom w:val="single" w:sz="4" w:space="0" w:color="A6A6A6"/>
            </w:tcBorders>
            <w:noWrap/>
            <w:hideMark/>
          </w:tcPr>
          <w:p w14:paraId="42357C40" w14:textId="77777777" w:rsidR="00087B91" w:rsidRPr="002029AF" w:rsidRDefault="00087B91" w:rsidP="00860E95">
            <w:pPr>
              <w:pStyle w:val="ARfintablebodyright"/>
              <w:ind w:right="0"/>
            </w:pPr>
            <w:r w:rsidRPr="002029AF">
              <w:t>22.8</w:t>
            </w:r>
          </w:p>
        </w:tc>
        <w:tc>
          <w:tcPr>
            <w:tcW w:w="614" w:type="dxa"/>
            <w:tcBorders>
              <w:top w:val="single" w:sz="4" w:space="0" w:color="A6A6A6"/>
              <w:bottom w:val="single" w:sz="4" w:space="0" w:color="A6A6A6"/>
            </w:tcBorders>
            <w:noWrap/>
            <w:hideMark/>
          </w:tcPr>
          <w:p w14:paraId="18EC6916" w14:textId="77777777" w:rsidR="00087B91" w:rsidRPr="002029AF" w:rsidRDefault="00087B91" w:rsidP="00860E95">
            <w:pPr>
              <w:pStyle w:val="ARfintablebodyright"/>
              <w:ind w:right="0"/>
            </w:pPr>
            <w:r w:rsidRPr="002029AF">
              <w:t>7.2</w:t>
            </w:r>
          </w:p>
        </w:tc>
        <w:tc>
          <w:tcPr>
            <w:tcW w:w="680" w:type="dxa"/>
            <w:tcBorders>
              <w:top w:val="single" w:sz="4" w:space="0" w:color="A6A6A6"/>
              <w:bottom w:val="single" w:sz="4" w:space="0" w:color="A6A6A6"/>
            </w:tcBorders>
            <w:noWrap/>
            <w:hideMark/>
          </w:tcPr>
          <w:p w14:paraId="40882F8F" w14:textId="77777777" w:rsidR="00087B91" w:rsidRPr="002029AF" w:rsidRDefault="00087B91" w:rsidP="00860E95">
            <w:pPr>
              <w:pStyle w:val="ARfintablebodyright"/>
              <w:ind w:right="0"/>
            </w:pPr>
            <w:r w:rsidRPr="002029AF">
              <w:t>80.5</w:t>
            </w:r>
          </w:p>
        </w:tc>
        <w:tc>
          <w:tcPr>
            <w:tcW w:w="680" w:type="dxa"/>
            <w:tcBorders>
              <w:top w:val="single" w:sz="4" w:space="0" w:color="A6A6A6"/>
              <w:bottom w:val="single" w:sz="4" w:space="0" w:color="A6A6A6"/>
            </w:tcBorders>
            <w:noWrap/>
            <w:hideMark/>
          </w:tcPr>
          <w:p w14:paraId="43954E20" w14:textId="77777777" w:rsidR="00087B91" w:rsidRPr="002029AF" w:rsidRDefault="00087B91" w:rsidP="00860E95">
            <w:pPr>
              <w:pStyle w:val="ARfintablebodyright"/>
              <w:ind w:right="0"/>
            </w:pPr>
            <w:r w:rsidRPr="002029AF">
              <w:t>11.0</w:t>
            </w:r>
          </w:p>
        </w:tc>
        <w:tc>
          <w:tcPr>
            <w:tcW w:w="719" w:type="dxa"/>
            <w:tcBorders>
              <w:top w:val="single" w:sz="4" w:space="0" w:color="A6A6A6"/>
              <w:bottom w:val="single" w:sz="4" w:space="0" w:color="A6A6A6"/>
            </w:tcBorders>
            <w:noWrap/>
            <w:hideMark/>
          </w:tcPr>
          <w:p w14:paraId="51E2FEE9" w14:textId="77777777" w:rsidR="00087B91" w:rsidRPr="002029AF" w:rsidRDefault="00087B91" w:rsidP="00860E95">
            <w:pPr>
              <w:pStyle w:val="ARfintablebodyright"/>
              <w:ind w:right="0"/>
            </w:pPr>
            <w:r w:rsidRPr="002029AF">
              <w:t>298.5</w:t>
            </w:r>
          </w:p>
        </w:tc>
        <w:tc>
          <w:tcPr>
            <w:tcW w:w="709" w:type="dxa"/>
            <w:tcBorders>
              <w:top w:val="single" w:sz="4" w:space="0" w:color="A6A6A6"/>
              <w:bottom w:val="single" w:sz="4" w:space="0" w:color="A6A6A6"/>
            </w:tcBorders>
            <w:noWrap/>
            <w:hideMark/>
          </w:tcPr>
          <w:p w14:paraId="0C5A0FF5" w14:textId="77777777" w:rsidR="00087B91" w:rsidRPr="002029AF" w:rsidRDefault="00087B91" w:rsidP="00860E95">
            <w:pPr>
              <w:pStyle w:val="ARfintablebodyright"/>
              <w:ind w:right="0"/>
            </w:pPr>
            <w:r w:rsidRPr="002029AF">
              <w:t>397.4</w:t>
            </w:r>
          </w:p>
        </w:tc>
        <w:tc>
          <w:tcPr>
            <w:tcW w:w="709" w:type="dxa"/>
            <w:tcBorders>
              <w:top w:val="single" w:sz="4" w:space="0" w:color="A6A6A6"/>
              <w:bottom w:val="single" w:sz="4" w:space="0" w:color="A6A6A6"/>
            </w:tcBorders>
            <w:noWrap/>
            <w:hideMark/>
          </w:tcPr>
          <w:p w14:paraId="7622DF46" w14:textId="77777777" w:rsidR="00087B91" w:rsidRPr="002029AF" w:rsidRDefault="00087B91" w:rsidP="00860E95">
            <w:pPr>
              <w:pStyle w:val="ARfintablebodyright"/>
              <w:ind w:right="0"/>
            </w:pPr>
            <w:r w:rsidRPr="002029AF">
              <w:t>10.7</w:t>
            </w:r>
          </w:p>
        </w:tc>
        <w:tc>
          <w:tcPr>
            <w:tcW w:w="709" w:type="dxa"/>
            <w:tcBorders>
              <w:top w:val="single" w:sz="4" w:space="0" w:color="A6A6A6"/>
              <w:bottom w:val="single" w:sz="4" w:space="0" w:color="A6A6A6"/>
            </w:tcBorders>
            <w:noWrap/>
            <w:hideMark/>
          </w:tcPr>
          <w:p w14:paraId="32DC8641" w14:textId="77777777" w:rsidR="00087B91" w:rsidRPr="002029AF" w:rsidRDefault="00087B91" w:rsidP="00860E95">
            <w:pPr>
              <w:pStyle w:val="ARfintablebodyright"/>
              <w:ind w:right="0"/>
            </w:pPr>
            <w:r w:rsidRPr="002029AF">
              <w:t>7.1</w:t>
            </w:r>
          </w:p>
        </w:tc>
        <w:tc>
          <w:tcPr>
            <w:tcW w:w="567" w:type="dxa"/>
            <w:tcBorders>
              <w:top w:val="single" w:sz="4" w:space="0" w:color="A6A6A6"/>
              <w:bottom w:val="single" w:sz="4" w:space="0" w:color="A6A6A6"/>
            </w:tcBorders>
            <w:noWrap/>
            <w:hideMark/>
          </w:tcPr>
          <w:p w14:paraId="51172EF9" w14:textId="77777777" w:rsidR="00087B91" w:rsidRPr="002029AF" w:rsidRDefault="00087B91" w:rsidP="00860E95">
            <w:pPr>
              <w:pStyle w:val="ARfintablebodyright"/>
              <w:ind w:right="0"/>
            </w:pPr>
            <w:r w:rsidRPr="002029AF">
              <w:t>–</w:t>
            </w:r>
          </w:p>
        </w:tc>
        <w:tc>
          <w:tcPr>
            <w:tcW w:w="708" w:type="dxa"/>
            <w:tcBorders>
              <w:top w:val="single" w:sz="4" w:space="0" w:color="A6A6A6"/>
              <w:bottom w:val="single" w:sz="4" w:space="0" w:color="A6A6A6"/>
            </w:tcBorders>
            <w:noWrap/>
            <w:hideMark/>
          </w:tcPr>
          <w:p w14:paraId="0171EB9D" w14:textId="77777777" w:rsidR="00087B91" w:rsidRPr="002029AF" w:rsidRDefault="00087B91" w:rsidP="00860E95">
            <w:pPr>
              <w:pStyle w:val="ARfintablebodyright"/>
              <w:ind w:right="0"/>
            </w:pPr>
            <w:r w:rsidRPr="002029AF">
              <w:t>39.0</w:t>
            </w:r>
          </w:p>
        </w:tc>
        <w:tc>
          <w:tcPr>
            <w:tcW w:w="709" w:type="dxa"/>
            <w:tcBorders>
              <w:top w:val="single" w:sz="4" w:space="0" w:color="A6A6A6"/>
              <w:bottom w:val="single" w:sz="4" w:space="0" w:color="A6A6A6"/>
            </w:tcBorders>
            <w:noWrap/>
            <w:hideMark/>
          </w:tcPr>
          <w:p w14:paraId="0A68A1C2" w14:textId="77777777" w:rsidR="00087B91" w:rsidRPr="002029AF" w:rsidRDefault="00087B91" w:rsidP="00860E95">
            <w:pPr>
              <w:pStyle w:val="ARfintablebodyright"/>
              <w:ind w:right="0"/>
            </w:pPr>
            <w:r w:rsidRPr="002029AF">
              <w:t>118.4</w:t>
            </w:r>
          </w:p>
        </w:tc>
        <w:tc>
          <w:tcPr>
            <w:tcW w:w="709" w:type="dxa"/>
            <w:tcBorders>
              <w:top w:val="single" w:sz="4" w:space="0" w:color="A6A6A6"/>
              <w:bottom w:val="single" w:sz="4" w:space="0" w:color="A6A6A6"/>
            </w:tcBorders>
            <w:noWrap/>
            <w:hideMark/>
          </w:tcPr>
          <w:p w14:paraId="6B123A09" w14:textId="77777777" w:rsidR="00087B91" w:rsidRPr="002029AF" w:rsidRDefault="00087B91" w:rsidP="00860E95">
            <w:pPr>
              <w:pStyle w:val="ARfintablebodyright"/>
              <w:ind w:right="0"/>
            </w:pPr>
            <w:r w:rsidRPr="002029AF">
              <w:t>2.0</w:t>
            </w:r>
          </w:p>
        </w:tc>
        <w:tc>
          <w:tcPr>
            <w:tcW w:w="567" w:type="dxa"/>
            <w:tcBorders>
              <w:top w:val="single" w:sz="4" w:space="0" w:color="A6A6A6"/>
              <w:bottom w:val="single" w:sz="4" w:space="0" w:color="A6A6A6"/>
            </w:tcBorders>
            <w:noWrap/>
            <w:hideMark/>
          </w:tcPr>
          <w:p w14:paraId="35495734" w14:textId="77777777" w:rsidR="00087B91" w:rsidRPr="002029AF" w:rsidRDefault="00087B91" w:rsidP="00860E95">
            <w:pPr>
              <w:pStyle w:val="ARfintablebodyright"/>
              <w:ind w:right="0"/>
            </w:pPr>
            <w:r w:rsidRPr="002029AF">
              <w:t>–</w:t>
            </w:r>
          </w:p>
        </w:tc>
        <w:tc>
          <w:tcPr>
            <w:tcW w:w="714" w:type="dxa"/>
            <w:tcBorders>
              <w:top w:val="single" w:sz="4" w:space="0" w:color="A6A6A6"/>
              <w:bottom w:val="single" w:sz="4" w:space="0" w:color="A6A6A6"/>
            </w:tcBorders>
            <w:noWrap/>
            <w:hideMark/>
          </w:tcPr>
          <w:p w14:paraId="59A345B9" w14:textId="77777777" w:rsidR="00087B91" w:rsidRPr="002029AF" w:rsidRDefault="00087B91" w:rsidP="00860E95">
            <w:pPr>
              <w:pStyle w:val="ARfintablebodyright"/>
              <w:ind w:right="0"/>
            </w:pPr>
            <w:r w:rsidRPr="002029AF">
              <w:t>1,200.2</w:t>
            </w:r>
          </w:p>
        </w:tc>
      </w:tr>
      <w:tr w:rsidR="00595FA8" w:rsidRPr="002029AF" w14:paraId="4B00BB84" w14:textId="77777777" w:rsidTr="00C81A0B">
        <w:trPr>
          <w:gridAfter w:val="1"/>
          <w:wAfter w:w="9" w:type="dxa"/>
          <w:trHeight w:val="170"/>
        </w:trPr>
        <w:tc>
          <w:tcPr>
            <w:tcW w:w="2213" w:type="dxa"/>
            <w:tcBorders>
              <w:top w:val="single" w:sz="4" w:space="0" w:color="A6A6A6"/>
              <w:bottom w:val="single" w:sz="4" w:space="0" w:color="A6A6A6"/>
            </w:tcBorders>
            <w:hideMark/>
          </w:tcPr>
          <w:p w14:paraId="6694BCF3" w14:textId="67A0067E" w:rsidR="00087B91" w:rsidRPr="002029AF" w:rsidRDefault="00087B91" w:rsidP="00860E95">
            <w:pPr>
              <w:pStyle w:val="ARfintablebody"/>
            </w:pPr>
            <w:r w:rsidRPr="002029AF">
              <w:t>Depreciation</w:t>
            </w:r>
            <w:r w:rsidR="000A5329" w:rsidRPr="002029AF">
              <w:t xml:space="preserve"> </w:t>
            </w:r>
            <w:r w:rsidRPr="002029AF">
              <w:t>and</w:t>
            </w:r>
            <w:r w:rsidR="000A5329" w:rsidRPr="002029AF">
              <w:t xml:space="preserve"> </w:t>
            </w:r>
            <w:r w:rsidRPr="002029AF">
              <w:t>amortisation</w:t>
            </w:r>
          </w:p>
        </w:tc>
        <w:tc>
          <w:tcPr>
            <w:tcW w:w="901" w:type="dxa"/>
            <w:tcBorders>
              <w:top w:val="single" w:sz="4" w:space="0" w:color="A6A6A6"/>
              <w:bottom w:val="single" w:sz="4" w:space="0" w:color="A6A6A6"/>
            </w:tcBorders>
            <w:noWrap/>
            <w:hideMark/>
          </w:tcPr>
          <w:p w14:paraId="7321A279" w14:textId="77777777" w:rsidR="00087B91" w:rsidRPr="002029AF" w:rsidRDefault="00087B91" w:rsidP="00860E95">
            <w:pPr>
              <w:pStyle w:val="ARfintablebodyright"/>
              <w:ind w:right="0"/>
            </w:pPr>
            <w:r w:rsidRPr="002029AF">
              <w:t>23.1</w:t>
            </w:r>
          </w:p>
        </w:tc>
        <w:tc>
          <w:tcPr>
            <w:tcW w:w="709" w:type="dxa"/>
            <w:tcBorders>
              <w:top w:val="single" w:sz="4" w:space="0" w:color="A6A6A6"/>
              <w:bottom w:val="single" w:sz="4" w:space="0" w:color="A6A6A6"/>
            </w:tcBorders>
            <w:noWrap/>
            <w:hideMark/>
          </w:tcPr>
          <w:p w14:paraId="6C62E0E2" w14:textId="77777777" w:rsidR="00087B91" w:rsidRPr="002029AF" w:rsidRDefault="00087B91" w:rsidP="00860E95">
            <w:pPr>
              <w:pStyle w:val="ARfintablebodyright"/>
              <w:ind w:right="0"/>
            </w:pPr>
            <w:r w:rsidRPr="002029AF">
              <w:t>0.4</w:t>
            </w:r>
          </w:p>
        </w:tc>
        <w:tc>
          <w:tcPr>
            <w:tcW w:w="575" w:type="dxa"/>
            <w:tcBorders>
              <w:top w:val="single" w:sz="4" w:space="0" w:color="A6A6A6"/>
              <w:bottom w:val="single" w:sz="4" w:space="0" w:color="A6A6A6"/>
            </w:tcBorders>
            <w:noWrap/>
            <w:hideMark/>
          </w:tcPr>
          <w:p w14:paraId="285A31B8" w14:textId="77777777" w:rsidR="00087B91" w:rsidRPr="002029AF" w:rsidRDefault="00087B91" w:rsidP="00860E95">
            <w:pPr>
              <w:pStyle w:val="ARfintablebodyright"/>
              <w:ind w:right="0"/>
            </w:pPr>
            <w:r w:rsidRPr="002029AF">
              <w:t>13.0</w:t>
            </w:r>
          </w:p>
        </w:tc>
        <w:tc>
          <w:tcPr>
            <w:tcW w:w="681" w:type="dxa"/>
            <w:tcBorders>
              <w:top w:val="single" w:sz="4" w:space="0" w:color="A6A6A6"/>
              <w:bottom w:val="single" w:sz="4" w:space="0" w:color="A6A6A6"/>
            </w:tcBorders>
            <w:noWrap/>
            <w:hideMark/>
          </w:tcPr>
          <w:p w14:paraId="27321DD0" w14:textId="77777777" w:rsidR="00087B91" w:rsidRPr="002029AF" w:rsidRDefault="00087B91" w:rsidP="00860E95">
            <w:pPr>
              <w:pStyle w:val="ARfintablebodyright"/>
              <w:ind w:right="0"/>
            </w:pPr>
            <w:r w:rsidRPr="002029AF">
              <w:t>2.1</w:t>
            </w:r>
          </w:p>
        </w:tc>
        <w:tc>
          <w:tcPr>
            <w:tcW w:w="728" w:type="dxa"/>
            <w:tcBorders>
              <w:top w:val="single" w:sz="4" w:space="0" w:color="A6A6A6"/>
              <w:bottom w:val="single" w:sz="4" w:space="0" w:color="A6A6A6"/>
            </w:tcBorders>
            <w:noWrap/>
            <w:hideMark/>
          </w:tcPr>
          <w:p w14:paraId="48AE705B" w14:textId="77777777" w:rsidR="00087B91" w:rsidRPr="002029AF" w:rsidRDefault="00087B91" w:rsidP="00860E95">
            <w:pPr>
              <w:pStyle w:val="ARfintablebodyright"/>
              <w:ind w:right="0"/>
            </w:pPr>
            <w:r w:rsidRPr="002029AF">
              <w:t>5.5</w:t>
            </w:r>
          </w:p>
        </w:tc>
        <w:tc>
          <w:tcPr>
            <w:tcW w:w="614" w:type="dxa"/>
            <w:tcBorders>
              <w:top w:val="single" w:sz="4" w:space="0" w:color="A6A6A6"/>
              <w:bottom w:val="single" w:sz="4" w:space="0" w:color="A6A6A6"/>
            </w:tcBorders>
            <w:noWrap/>
            <w:hideMark/>
          </w:tcPr>
          <w:p w14:paraId="67192AF3" w14:textId="77777777" w:rsidR="00087B91" w:rsidRPr="002029AF" w:rsidRDefault="00087B91" w:rsidP="00860E95">
            <w:pPr>
              <w:pStyle w:val="ARfintablebodyright"/>
              <w:ind w:right="0"/>
            </w:pPr>
            <w:r w:rsidRPr="002029AF">
              <w:t>0.1</w:t>
            </w:r>
          </w:p>
        </w:tc>
        <w:tc>
          <w:tcPr>
            <w:tcW w:w="680" w:type="dxa"/>
            <w:tcBorders>
              <w:top w:val="single" w:sz="4" w:space="0" w:color="A6A6A6"/>
              <w:bottom w:val="single" w:sz="4" w:space="0" w:color="A6A6A6"/>
            </w:tcBorders>
            <w:noWrap/>
            <w:hideMark/>
          </w:tcPr>
          <w:p w14:paraId="4B918897" w14:textId="77777777" w:rsidR="00087B91" w:rsidRPr="002029AF" w:rsidRDefault="00087B91" w:rsidP="00860E95">
            <w:pPr>
              <w:pStyle w:val="ARfintablebodyright"/>
              <w:ind w:right="0"/>
            </w:pPr>
            <w:r w:rsidRPr="002029AF">
              <w:t>3.6</w:t>
            </w:r>
          </w:p>
        </w:tc>
        <w:tc>
          <w:tcPr>
            <w:tcW w:w="680" w:type="dxa"/>
            <w:tcBorders>
              <w:top w:val="single" w:sz="4" w:space="0" w:color="A6A6A6"/>
              <w:bottom w:val="single" w:sz="4" w:space="0" w:color="A6A6A6"/>
            </w:tcBorders>
            <w:noWrap/>
            <w:hideMark/>
          </w:tcPr>
          <w:p w14:paraId="2931DA4E" w14:textId="77777777" w:rsidR="00087B91" w:rsidRPr="002029AF" w:rsidRDefault="00087B91" w:rsidP="00860E95">
            <w:pPr>
              <w:pStyle w:val="ARfintablebodyright"/>
              <w:ind w:right="0"/>
            </w:pPr>
            <w:r w:rsidRPr="002029AF">
              <w:t>0.7</w:t>
            </w:r>
          </w:p>
        </w:tc>
        <w:tc>
          <w:tcPr>
            <w:tcW w:w="719" w:type="dxa"/>
            <w:tcBorders>
              <w:top w:val="single" w:sz="4" w:space="0" w:color="A6A6A6"/>
              <w:bottom w:val="single" w:sz="4" w:space="0" w:color="A6A6A6"/>
            </w:tcBorders>
            <w:noWrap/>
            <w:hideMark/>
          </w:tcPr>
          <w:p w14:paraId="7890A6D1" w14:textId="77777777" w:rsidR="00087B91" w:rsidRPr="002029AF" w:rsidRDefault="00087B91" w:rsidP="00860E95">
            <w:pPr>
              <w:pStyle w:val="ARfintablebodyright"/>
              <w:ind w:right="0"/>
            </w:pPr>
            <w:r w:rsidRPr="002029AF">
              <w:t>18.1</w:t>
            </w:r>
          </w:p>
        </w:tc>
        <w:tc>
          <w:tcPr>
            <w:tcW w:w="709" w:type="dxa"/>
            <w:tcBorders>
              <w:top w:val="single" w:sz="4" w:space="0" w:color="A6A6A6"/>
              <w:bottom w:val="single" w:sz="4" w:space="0" w:color="A6A6A6"/>
            </w:tcBorders>
            <w:noWrap/>
            <w:hideMark/>
          </w:tcPr>
          <w:p w14:paraId="605CA0E0" w14:textId="77777777" w:rsidR="00087B91" w:rsidRPr="002029AF" w:rsidRDefault="00087B91" w:rsidP="00860E95">
            <w:pPr>
              <w:pStyle w:val="ARfintablebodyright"/>
              <w:ind w:right="0"/>
            </w:pPr>
            <w:r w:rsidRPr="002029AF">
              <w:t>18.4</w:t>
            </w:r>
          </w:p>
        </w:tc>
        <w:tc>
          <w:tcPr>
            <w:tcW w:w="709" w:type="dxa"/>
            <w:tcBorders>
              <w:top w:val="single" w:sz="4" w:space="0" w:color="A6A6A6"/>
              <w:bottom w:val="single" w:sz="4" w:space="0" w:color="A6A6A6"/>
            </w:tcBorders>
            <w:noWrap/>
            <w:hideMark/>
          </w:tcPr>
          <w:p w14:paraId="5C94A271" w14:textId="77777777" w:rsidR="00087B91" w:rsidRPr="002029AF" w:rsidRDefault="00087B91" w:rsidP="00860E95">
            <w:pPr>
              <w:pStyle w:val="ARfintablebodyright"/>
              <w:ind w:right="0"/>
            </w:pPr>
            <w:r w:rsidRPr="002029AF">
              <w:t>0.4</w:t>
            </w:r>
          </w:p>
        </w:tc>
        <w:tc>
          <w:tcPr>
            <w:tcW w:w="709" w:type="dxa"/>
            <w:tcBorders>
              <w:top w:val="single" w:sz="4" w:space="0" w:color="A6A6A6"/>
              <w:bottom w:val="single" w:sz="4" w:space="0" w:color="A6A6A6"/>
            </w:tcBorders>
            <w:noWrap/>
            <w:hideMark/>
          </w:tcPr>
          <w:p w14:paraId="4D28A690" w14:textId="77777777" w:rsidR="00087B91" w:rsidRPr="002029AF" w:rsidRDefault="00087B91" w:rsidP="00860E95">
            <w:pPr>
              <w:pStyle w:val="ARfintablebodyright"/>
              <w:ind w:right="0"/>
            </w:pPr>
            <w:r w:rsidRPr="002029AF">
              <w:t>0.2</w:t>
            </w:r>
          </w:p>
        </w:tc>
        <w:tc>
          <w:tcPr>
            <w:tcW w:w="567" w:type="dxa"/>
            <w:tcBorders>
              <w:top w:val="single" w:sz="4" w:space="0" w:color="A6A6A6"/>
              <w:bottom w:val="single" w:sz="4" w:space="0" w:color="A6A6A6"/>
            </w:tcBorders>
            <w:noWrap/>
            <w:hideMark/>
          </w:tcPr>
          <w:p w14:paraId="2B8AB02A" w14:textId="77777777" w:rsidR="00087B91" w:rsidRPr="002029AF" w:rsidRDefault="00087B91" w:rsidP="00860E95">
            <w:pPr>
              <w:pStyle w:val="ARfintablebodyright"/>
              <w:ind w:right="0"/>
            </w:pPr>
            <w:r w:rsidRPr="002029AF">
              <w:t>–</w:t>
            </w:r>
          </w:p>
        </w:tc>
        <w:tc>
          <w:tcPr>
            <w:tcW w:w="708" w:type="dxa"/>
            <w:tcBorders>
              <w:top w:val="single" w:sz="4" w:space="0" w:color="A6A6A6"/>
              <w:bottom w:val="single" w:sz="4" w:space="0" w:color="A6A6A6"/>
            </w:tcBorders>
            <w:noWrap/>
            <w:hideMark/>
          </w:tcPr>
          <w:p w14:paraId="02950A89" w14:textId="77777777" w:rsidR="00087B91" w:rsidRPr="002029AF" w:rsidRDefault="00087B91" w:rsidP="00860E95">
            <w:pPr>
              <w:pStyle w:val="ARfintablebodyright"/>
              <w:ind w:right="0"/>
            </w:pPr>
            <w:r w:rsidRPr="002029AF">
              <w:t>8.6</w:t>
            </w:r>
          </w:p>
        </w:tc>
        <w:tc>
          <w:tcPr>
            <w:tcW w:w="709" w:type="dxa"/>
            <w:tcBorders>
              <w:top w:val="single" w:sz="4" w:space="0" w:color="A6A6A6"/>
              <w:bottom w:val="single" w:sz="4" w:space="0" w:color="A6A6A6"/>
            </w:tcBorders>
            <w:noWrap/>
            <w:hideMark/>
          </w:tcPr>
          <w:p w14:paraId="2AC1E3FE" w14:textId="77777777" w:rsidR="00087B91" w:rsidRPr="002029AF" w:rsidRDefault="00087B91" w:rsidP="00860E95">
            <w:pPr>
              <w:pStyle w:val="ARfintablebodyright"/>
              <w:ind w:right="0"/>
            </w:pPr>
            <w:r w:rsidRPr="002029AF">
              <w:t>333.8</w:t>
            </w:r>
          </w:p>
        </w:tc>
        <w:tc>
          <w:tcPr>
            <w:tcW w:w="709" w:type="dxa"/>
            <w:tcBorders>
              <w:top w:val="single" w:sz="4" w:space="0" w:color="A6A6A6"/>
              <w:bottom w:val="single" w:sz="4" w:space="0" w:color="A6A6A6"/>
            </w:tcBorders>
            <w:noWrap/>
            <w:hideMark/>
          </w:tcPr>
          <w:p w14:paraId="6B543FEB" w14:textId="77777777" w:rsidR="00087B91" w:rsidRPr="002029AF" w:rsidRDefault="00087B91" w:rsidP="00860E95">
            <w:pPr>
              <w:pStyle w:val="ARfintablebodyright"/>
              <w:ind w:right="0"/>
            </w:pPr>
            <w:r w:rsidRPr="002029AF">
              <w:t>0.1</w:t>
            </w:r>
          </w:p>
        </w:tc>
        <w:tc>
          <w:tcPr>
            <w:tcW w:w="567" w:type="dxa"/>
            <w:tcBorders>
              <w:top w:val="single" w:sz="4" w:space="0" w:color="A6A6A6"/>
              <w:bottom w:val="single" w:sz="4" w:space="0" w:color="A6A6A6"/>
            </w:tcBorders>
            <w:noWrap/>
            <w:hideMark/>
          </w:tcPr>
          <w:p w14:paraId="1A251781" w14:textId="77777777" w:rsidR="00087B91" w:rsidRPr="002029AF" w:rsidRDefault="00087B91" w:rsidP="00860E95">
            <w:pPr>
              <w:pStyle w:val="ARfintablebodyright"/>
              <w:ind w:right="0"/>
            </w:pPr>
            <w:r w:rsidRPr="002029AF">
              <w:t>–</w:t>
            </w:r>
          </w:p>
        </w:tc>
        <w:tc>
          <w:tcPr>
            <w:tcW w:w="714" w:type="dxa"/>
            <w:tcBorders>
              <w:top w:val="single" w:sz="4" w:space="0" w:color="A6A6A6"/>
              <w:bottom w:val="single" w:sz="4" w:space="0" w:color="A6A6A6"/>
            </w:tcBorders>
            <w:noWrap/>
            <w:hideMark/>
          </w:tcPr>
          <w:p w14:paraId="1C037087" w14:textId="77777777" w:rsidR="00087B91" w:rsidRPr="002029AF" w:rsidRDefault="00087B91" w:rsidP="00860E95">
            <w:pPr>
              <w:pStyle w:val="ARfintablebodyright"/>
              <w:ind w:right="0"/>
            </w:pPr>
            <w:r w:rsidRPr="002029AF">
              <w:t>428.1</w:t>
            </w:r>
          </w:p>
        </w:tc>
      </w:tr>
      <w:tr w:rsidR="00595FA8" w:rsidRPr="002029AF" w14:paraId="40B71C87" w14:textId="77777777" w:rsidTr="00C81A0B">
        <w:trPr>
          <w:gridAfter w:val="1"/>
          <w:wAfter w:w="9" w:type="dxa"/>
          <w:trHeight w:val="170"/>
        </w:trPr>
        <w:tc>
          <w:tcPr>
            <w:tcW w:w="2213" w:type="dxa"/>
            <w:tcBorders>
              <w:top w:val="single" w:sz="4" w:space="0" w:color="A6A6A6"/>
              <w:bottom w:val="single" w:sz="4" w:space="0" w:color="A6A6A6"/>
            </w:tcBorders>
            <w:hideMark/>
          </w:tcPr>
          <w:p w14:paraId="762693F0" w14:textId="2A401284" w:rsidR="00087B91" w:rsidRPr="002029AF" w:rsidRDefault="00087B91" w:rsidP="00860E95">
            <w:pPr>
              <w:pStyle w:val="ARfintablebody"/>
            </w:pPr>
            <w:r w:rsidRPr="002029AF">
              <w:t>Interest</w:t>
            </w:r>
            <w:r w:rsidR="000A5329" w:rsidRPr="002029AF">
              <w:t xml:space="preserve"> </w:t>
            </w:r>
            <w:r w:rsidRPr="002029AF">
              <w:t>expense</w:t>
            </w:r>
          </w:p>
        </w:tc>
        <w:tc>
          <w:tcPr>
            <w:tcW w:w="901" w:type="dxa"/>
            <w:tcBorders>
              <w:top w:val="single" w:sz="4" w:space="0" w:color="A6A6A6"/>
              <w:bottom w:val="single" w:sz="4" w:space="0" w:color="A6A6A6"/>
            </w:tcBorders>
            <w:noWrap/>
            <w:hideMark/>
          </w:tcPr>
          <w:p w14:paraId="410647FD" w14:textId="77777777" w:rsidR="00087B91" w:rsidRPr="002029AF" w:rsidRDefault="00087B91" w:rsidP="00860E95">
            <w:pPr>
              <w:pStyle w:val="ARfintablebodyright"/>
              <w:ind w:right="0"/>
            </w:pPr>
            <w:r w:rsidRPr="002029AF">
              <w:t>0.7</w:t>
            </w:r>
          </w:p>
        </w:tc>
        <w:tc>
          <w:tcPr>
            <w:tcW w:w="709" w:type="dxa"/>
            <w:tcBorders>
              <w:top w:val="single" w:sz="4" w:space="0" w:color="A6A6A6"/>
              <w:bottom w:val="single" w:sz="4" w:space="0" w:color="A6A6A6"/>
            </w:tcBorders>
            <w:noWrap/>
            <w:hideMark/>
          </w:tcPr>
          <w:p w14:paraId="29047AAC" w14:textId="77777777" w:rsidR="00087B91" w:rsidRPr="002029AF" w:rsidRDefault="00087B91" w:rsidP="00860E95">
            <w:pPr>
              <w:pStyle w:val="ARfintablebodyright"/>
              <w:ind w:right="0"/>
            </w:pPr>
            <w:r w:rsidRPr="002029AF">
              <w:t>–</w:t>
            </w:r>
          </w:p>
        </w:tc>
        <w:tc>
          <w:tcPr>
            <w:tcW w:w="575" w:type="dxa"/>
            <w:tcBorders>
              <w:top w:val="single" w:sz="4" w:space="0" w:color="A6A6A6"/>
              <w:bottom w:val="single" w:sz="4" w:space="0" w:color="A6A6A6"/>
            </w:tcBorders>
            <w:noWrap/>
            <w:hideMark/>
          </w:tcPr>
          <w:p w14:paraId="2BE2D015" w14:textId="77777777" w:rsidR="00087B91" w:rsidRPr="002029AF" w:rsidRDefault="00087B91" w:rsidP="00860E95">
            <w:pPr>
              <w:pStyle w:val="ARfintablebodyright"/>
              <w:ind w:right="0"/>
            </w:pPr>
            <w:r w:rsidRPr="002029AF">
              <w:t>0.2</w:t>
            </w:r>
          </w:p>
        </w:tc>
        <w:tc>
          <w:tcPr>
            <w:tcW w:w="681" w:type="dxa"/>
            <w:tcBorders>
              <w:top w:val="single" w:sz="4" w:space="0" w:color="A6A6A6"/>
              <w:bottom w:val="single" w:sz="4" w:space="0" w:color="A6A6A6"/>
            </w:tcBorders>
            <w:noWrap/>
            <w:hideMark/>
          </w:tcPr>
          <w:p w14:paraId="375586ED" w14:textId="77777777" w:rsidR="00087B91" w:rsidRPr="002029AF" w:rsidRDefault="00087B91" w:rsidP="00860E95">
            <w:pPr>
              <w:pStyle w:val="ARfintablebodyright"/>
              <w:ind w:right="0"/>
            </w:pPr>
            <w:r w:rsidRPr="002029AF">
              <w:t>0.3</w:t>
            </w:r>
          </w:p>
        </w:tc>
        <w:tc>
          <w:tcPr>
            <w:tcW w:w="728" w:type="dxa"/>
            <w:tcBorders>
              <w:top w:val="single" w:sz="4" w:space="0" w:color="A6A6A6"/>
              <w:bottom w:val="single" w:sz="4" w:space="0" w:color="A6A6A6"/>
            </w:tcBorders>
            <w:noWrap/>
            <w:hideMark/>
          </w:tcPr>
          <w:p w14:paraId="67260F02" w14:textId="77777777" w:rsidR="00087B91" w:rsidRPr="002029AF" w:rsidRDefault="00087B91" w:rsidP="00860E95">
            <w:pPr>
              <w:pStyle w:val="ARfintablebodyright"/>
              <w:ind w:right="0"/>
            </w:pPr>
            <w:r w:rsidRPr="002029AF">
              <w:t>0.1</w:t>
            </w:r>
          </w:p>
        </w:tc>
        <w:tc>
          <w:tcPr>
            <w:tcW w:w="614" w:type="dxa"/>
            <w:tcBorders>
              <w:top w:val="single" w:sz="4" w:space="0" w:color="A6A6A6"/>
              <w:bottom w:val="single" w:sz="4" w:space="0" w:color="A6A6A6"/>
            </w:tcBorders>
            <w:noWrap/>
            <w:hideMark/>
          </w:tcPr>
          <w:p w14:paraId="3A1AA28F" w14:textId="77777777" w:rsidR="00087B91" w:rsidRPr="002029AF" w:rsidRDefault="00087B91" w:rsidP="00860E95">
            <w:pPr>
              <w:pStyle w:val="ARfintablebodyright"/>
              <w:ind w:right="0"/>
            </w:pPr>
            <w:r w:rsidRPr="002029AF">
              <w:t>–</w:t>
            </w:r>
          </w:p>
        </w:tc>
        <w:tc>
          <w:tcPr>
            <w:tcW w:w="680" w:type="dxa"/>
            <w:tcBorders>
              <w:top w:val="single" w:sz="4" w:space="0" w:color="A6A6A6"/>
              <w:bottom w:val="single" w:sz="4" w:space="0" w:color="A6A6A6"/>
            </w:tcBorders>
            <w:noWrap/>
            <w:hideMark/>
          </w:tcPr>
          <w:p w14:paraId="2ADB11D5" w14:textId="77777777" w:rsidR="00087B91" w:rsidRPr="002029AF" w:rsidRDefault="00087B91" w:rsidP="00860E95">
            <w:pPr>
              <w:pStyle w:val="ARfintablebodyright"/>
              <w:ind w:right="0"/>
            </w:pPr>
            <w:r w:rsidRPr="002029AF">
              <w:t>0.5</w:t>
            </w:r>
          </w:p>
        </w:tc>
        <w:tc>
          <w:tcPr>
            <w:tcW w:w="680" w:type="dxa"/>
            <w:tcBorders>
              <w:top w:val="single" w:sz="4" w:space="0" w:color="A6A6A6"/>
              <w:bottom w:val="single" w:sz="4" w:space="0" w:color="A6A6A6"/>
            </w:tcBorders>
            <w:noWrap/>
            <w:hideMark/>
          </w:tcPr>
          <w:p w14:paraId="3147CF9A" w14:textId="77777777" w:rsidR="00087B91" w:rsidRPr="002029AF" w:rsidRDefault="00087B91" w:rsidP="00860E95">
            <w:pPr>
              <w:pStyle w:val="ARfintablebodyright"/>
              <w:ind w:right="0"/>
            </w:pPr>
            <w:r w:rsidRPr="002029AF">
              <w:t>0.1</w:t>
            </w:r>
          </w:p>
        </w:tc>
        <w:tc>
          <w:tcPr>
            <w:tcW w:w="719" w:type="dxa"/>
            <w:tcBorders>
              <w:top w:val="single" w:sz="4" w:space="0" w:color="A6A6A6"/>
              <w:bottom w:val="single" w:sz="4" w:space="0" w:color="A6A6A6"/>
            </w:tcBorders>
            <w:noWrap/>
            <w:hideMark/>
          </w:tcPr>
          <w:p w14:paraId="2AF41BC4" w14:textId="77777777" w:rsidR="00087B91" w:rsidRPr="002029AF" w:rsidRDefault="00087B91" w:rsidP="00860E95">
            <w:pPr>
              <w:pStyle w:val="ARfintablebodyright"/>
              <w:ind w:right="0"/>
            </w:pPr>
            <w:r w:rsidRPr="002029AF">
              <w:t>1.3</w:t>
            </w:r>
          </w:p>
        </w:tc>
        <w:tc>
          <w:tcPr>
            <w:tcW w:w="709" w:type="dxa"/>
            <w:tcBorders>
              <w:top w:val="single" w:sz="4" w:space="0" w:color="A6A6A6"/>
              <w:bottom w:val="single" w:sz="4" w:space="0" w:color="A6A6A6"/>
            </w:tcBorders>
            <w:noWrap/>
            <w:hideMark/>
          </w:tcPr>
          <w:p w14:paraId="71D9F95A" w14:textId="77777777" w:rsidR="00087B91" w:rsidRPr="002029AF" w:rsidRDefault="00087B91" w:rsidP="00860E95">
            <w:pPr>
              <w:pStyle w:val="ARfintablebodyright"/>
              <w:ind w:right="0"/>
            </w:pPr>
            <w:r w:rsidRPr="002029AF">
              <w:t>2.5</w:t>
            </w:r>
          </w:p>
        </w:tc>
        <w:tc>
          <w:tcPr>
            <w:tcW w:w="709" w:type="dxa"/>
            <w:tcBorders>
              <w:top w:val="single" w:sz="4" w:space="0" w:color="A6A6A6"/>
              <w:bottom w:val="single" w:sz="4" w:space="0" w:color="A6A6A6"/>
            </w:tcBorders>
            <w:noWrap/>
            <w:hideMark/>
          </w:tcPr>
          <w:p w14:paraId="523FF904" w14:textId="77777777" w:rsidR="00087B91" w:rsidRPr="002029AF" w:rsidRDefault="00087B91" w:rsidP="00860E95">
            <w:pPr>
              <w:pStyle w:val="ARfintablebodyright"/>
              <w:ind w:right="0"/>
            </w:pPr>
            <w:r w:rsidRPr="002029AF">
              <w:t>–</w:t>
            </w:r>
          </w:p>
        </w:tc>
        <w:tc>
          <w:tcPr>
            <w:tcW w:w="709" w:type="dxa"/>
            <w:tcBorders>
              <w:top w:val="single" w:sz="4" w:space="0" w:color="A6A6A6"/>
              <w:bottom w:val="single" w:sz="4" w:space="0" w:color="A6A6A6"/>
            </w:tcBorders>
            <w:noWrap/>
            <w:hideMark/>
          </w:tcPr>
          <w:p w14:paraId="7B40EA16" w14:textId="77777777" w:rsidR="00087B91" w:rsidRPr="002029AF" w:rsidRDefault="00087B91" w:rsidP="00860E95">
            <w:pPr>
              <w:pStyle w:val="ARfintablebodyright"/>
              <w:ind w:right="0"/>
            </w:pPr>
            <w:r w:rsidRPr="002029AF">
              <w:t>–</w:t>
            </w:r>
          </w:p>
        </w:tc>
        <w:tc>
          <w:tcPr>
            <w:tcW w:w="567" w:type="dxa"/>
            <w:tcBorders>
              <w:top w:val="single" w:sz="4" w:space="0" w:color="A6A6A6"/>
              <w:bottom w:val="single" w:sz="4" w:space="0" w:color="A6A6A6"/>
            </w:tcBorders>
            <w:noWrap/>
            <w:hideMark/>
          </w:tcPr>
          <w:p w14:paraId="046153D1" w14:textId="77777777" w:rsidR="00087B91" w:rsidRPr="002029AF" w:rsidRDefault="00087B91" w:rsidP="00860E95">
            <w:pPr>
              <w:pStyle w:val="ARfintablebodyright"/>
              <w:ind w:right="0"/>
            </w:pPr>
            <w:r w:rsidRPr="002029AF">
              <w:t>–</w:t>
            </w:r>
          </w:p>
        </w:tc>
        <w:tc>
          <w:tcPr>
            <w:tcW w:w="708" w:type="dxa"/>
            <w:tcBorders>
              <w:top w:val="single" w:sz="4" w:space="0" w:color="A6A6A6"/>
              <w:bottom w:val="single" w:sz="4" w:space="0" w:color="A6A6A6"/>
            </w:tcBorders>
            <w:noWrap/>
            <w:hideMark/>
          </w:tcPr>
          <w:p w14:paraId="24D93C4A" w14:textId="77777777" w:rsidR="00087B91" w:rsidRPr="002029AF" w:rsidRDefault="00087B91" w:rsidP="00860E95">
            <w:pPr>
              <w:pStyle w:val="ARfintablebodyright"/>
              <w:ind w:right="0"/>
            </w:pPr>
            <w:r w:rsidRPr="002029AF">
              <w:t>0.1</w:t>
            </w:r>
          </w:p>
        </w:tc>
        <w:tc>
          <w:tcPr>
            <w:tcW w:w="709" w:type="dxa"/>
            <w:tcBorders>
              <w:top w:val="single" w:sz="4" w:space="0" w:color="A6A6A6"/>
              <w:bottom w:val="single" w:sz="4" w:space="0" w:color="A6A6A6"/>
            </w:tcBorders>
            <w:noWrap/>
            <w:hideMark/>
          </w:tcPr>
          <w:p w14:paraId="3CEAA1AC" w14:textId="77777777" w:rsidR="00087B91" w:rsidRPr="002029AF" w:rsidRDefault="00087B91" w:rsidP="00860E95">
            <w:pPr>
              <w:pStyle w:val="ARfintablebodyright"/>
              <w:ind w:right="0"/>
            </w:pPr>
            <w:r w:rsidRPr="002029AF">
              <w:t>1.2</w:t>
            </w:r>
          </w:p>
        </w:tc>
        <w:tc>
          <w:tcPr>
            <w:tcW w:w="709" w:type="dxa"/>
            <w:tcBorders>
              <w:top w:val="single" w:sz="4" w:space="0" w:color="A6A6A6"/>
              <w:bottom w:val="single" w:sz="4" w:space="0" w:color="A6A6A6"/>
            </w:tcBorders>
            <w:noWrap/>
            <w:hideMark/>
          </w:tcPr>
          <w:p w14:paraId="10492592" w14:textId="77777777" w:rsidR="00087B91" w:rsidRPr="002029AF" w:rsidRDefault="00087B91" w:rsidP="00860E95">
            <w:pPr>
              <w:pStyle w:val="ARfintablebodyright"/>
              <w:ind w:right="0"/>
            </w:pPr>
            <w:r w:rsidRPr="002029AF">
              <w:t>–</w:t>
            </w:r>
          </w:p>
        </w:tc>
        <w:tc>
          <w:tcPr>
            <w:tcW w:w="567" w:type="dxa"/>
            <w:tcBorders>
              <w:top w:val="single" w:sz="4" w:space="0" w:color="A6A6A6"/>
              <w:bottom w:val="single" w:sz="4" w:space="0" w:color="A6A6A6"/>
            </w:tcBorders>
            <w:noWrap/>
            <w:hideMark/>
          </w:tcPr>
          <w:p w14:paraId="6132FC99" w14:textId="77777777" w:rsidR="00087B91" w:rsidRPr="002029AF" w:rsidRDefault="00087B91" w:rsidP="00860E95">
            <w:pPr>
              <w:pStyle w:val="ARfintablebodyright"/>
              <w:ind w:right="0"/>
            </w:pPr>
            <w:r w:rsidRPr="002029AF">
              <w:t>–</w:t>
            </w:r>
          </w:p>
        </w:tc>
        <w:tc>
          <w:tcPr>
            <w:tcW w:w="714" w:type="dxa"/>
            <w:tcBorders>
              <w:top w:val="single" w:sz="4" w:space="0" w:color="A6A6A6"/>
              <w:bottom w:val="single" w:sz="4" w:space="0" w:color="A6A6A6"/>
            </w:tcBorders>
            <w:noWrap/>
            <w:hideMark/>
          </w:tcPr>
          <w:p w14:paraId="7C115A03" w14:textId="77777777" w:rsidR="00087B91" w:rsidRPr="002029AF" w:rsidRDefault="00087B91" w:rsidP="00860E95">
            <w:pPr>
              <w:pStyle w:val="ARfintablebodyright"/>
              <w:ind w:right="0"/>
            </w:pPr>
            <w:r w:rsidRPr="002029AF">
              <w:t>7.0</w:t>
            </w:r>
          </w:p>
        </w:tc>
      </w:tr>
      <w:tr w:rsidR="00595FA8" w:rsidRPr="002029AF" w14:paraId="2710A3AF" w14:textId="77777777" w:rsidTr="00C81A0B">
        <w:trPr>
          <w:gridAfter w:val="1"/>
          <w:wAfter w:w="9" w:type="dxa"/>
          <w:trHeight w:val="170"/>
        </w:trPr>
        <w:tc>
          <w:tcPr>
            <w:tcW w:w="2213" w:type="dxa"/>
            <w:tcBorders>
              <w:top w:val="single" w:sz="4" w:space="0" w:color="A6A6A6"/>
              <w:bottom w:val="single" w:sz="4" w:space="0" w:color="A6A6A6"/>
            </w:tcBorders>
            <w:hideMark/>
          </w:tcPr>
          <w:p w14:paraId="4BCE2F33" w14:textId="77777777" w:rsidR="00087B91" w:rsidRPr="002029AF" w:rsidRDefault="00087B91" w:rsidP="00860E95">
            <w:pPr>
              <w:pStyle w:val="ARfintablebody"/>
            </w:pPr>
            <w:r w:rsidRPr="002029AF">
              <w:t>Maintenance</w:t>
            </w:r>
          </w:p>
        </w:tc>
        <w:tc>
          <w:tcPr>
            <w:tcW w:w="901" w:type="dxa"/>
            <w:tcBorders>
              <w:top w:val="single" w:sz="4" w:space="0" w:color="A6A6A6"/>
              <w:bottom w:val="single" w:sz="4" w:space="0" w:color="A6A6A6"/>
            </w:tcBorders>
            <w:noWrap/>
            <w:hideMark/>
          </w:tcPr>
          <w:p w14:paraId="3FF58E4B" w14:textId="77777777" w:rsidR="00087B91" w:rsidRPr="002029AF" w:rsidRDefault="00087B91" w:rsidP="00860E95">
            <w:pPr>
              <w:pStyle w:val="ARfintablebodyright"/>
              <w:ind w:right="0"/>
            </w:pPr>
            <w:r w:rsidRPr="002029AF">
              <w:t>0.2</w:t>
            </w:r>
          </w:p>
        </w:tc>
        <w:tc>
          <w:tcPr>
            <w:tcW w:w="709" w:type="dxa"/>
            <w:tcBorders>
              <w:top w:val="single" w:sz="4" w:space="0" w:color="A6A6A6"/>
              <w:bottom w:val="single" w:sz="4" w:space="0" w:color="A6A6A6"/>
            </w:tcBorders>
            <w:noWrap/>
            <w:hideMark/>
          </w:tcPr>
          <w:p w14:paraId="4A60BA1F" w14:textId="77777777" w:rsidR="00087B91" w:rsidRPr="002029AF" w:rsidRDefault="00087B91" w:rsidP="00860E95">
            <w:pPr>
              <w:pStyle w:val="ARfintablebodyright"/>
              <w:ind w:right="0"/>
            </w:pPr>
            <w:r w:rsidRPr="002029AF">
              <w:t>–</w:t>
            </w:r>
          </w:p>
        </w:tc>
        <w:tc>
          <w:tcPr>
            <w:tcW w:w="575" w:type="dxa"/>
            <w:tcBorders>
              <w:top w:val="single" w:sz="4" w:space="0" w:color="A6A6A6"/>
              <w:bottom w:val="single" w:sz="4" w:space="0" w:color="A6A6A6"/>
            </w:tcBorders>
            <w:noWrap/>
            <w:hideMark/>
          </w:tcPr>
          <w:p w14:paraId="7BD12028" w14:textId="77777777" w:rsidR="00087B91" w:rsidRPr="002029AF" w:rsidRDefault="00087B91" w:rsidP="00860E95">
            <w:pPr>
              <w:pStyle w:val="ARfintablebodyright"/>
              <w:ind w:right="0"/>
            </w:pPr>
            <w:r w:rsidRPr="002029AF">
              <w:t>0.4</w:t>
            </w:r>
          </w:p>
        </w:tc>
        <w:tc>
          <w:tcPr>
            <w:tcW w:w="681" w:type="dxa"/>
            <w:tcBorders>
              <w:top w:val="single" w:sz="4" w:space="0" w:color="A6A6A6"/>
              <w:bottom w:val="single" w:sz="4" w:space="0" w:color="A6A6A6"/>
            </w:tcBorders>
            <w:noWrap/>
            <w:hideMark/>
          </w:tcPr>
          <w:p w14:paraId="20CBAA20" w14:textId="77777777" w:rsidR="00087B91" w:rsidRPr="002029AF" w:rsidRDefault="00087B91" w:rsidP="00860E95">
            <w:pPr>
              <w:pStyle w:val="ARfintablebodyright"/>
              <w:ind w:right="0"/>
            </w:pPr>
            <w:r w:rsidRPr="002029AF">
              <w:t>–</w:t>
            </w:r>
          </w:p>
        </w:tc>
        <w:tc>
          <w:tcPr>
            <w:tcW w:w="728" w:type="dxa"/>
            <w:tcBorders>
              <w:top w:val="single" w:sz="4" w:space="0" w:color="A6A6A6"/>
              <w:bottom w:val="single" w:sz="4" w:space="0" w:color="A6A6A6"/>
            </w:tcBorders>
            <w:noWrap/>
            <w:hideMark/>
          </w:tcPr>
          <w:p w14:paraId="404A5063" w14:textId="77777777" w:rsidR="00087B91" w:rsidRPr="002029AF" w:rsidRDefault="00087B91" w:rsidP="00860E95">
            <w:pPr>
              <w:pStyle w:val="ARfintablebodyright"/>
              <w:ind w:right="0"/>
            </w:pPr>
            <w:r w:rsidRPr="002029AF">
              <w:t>0.1</w:t>
            </w:r>
          </w:p>
        </w:tc>
        <w:tc>
          <w:tcPr>
            <w:tcW w:w="614" w:type="dxa"/>
            <w:tcBorders>
              <w:top w:val="single" w:sz="4" w:space="0" w:color="A6A6A6"/>
              <w:bottom w:val="single" w:sz="4" w:space="0" w:color="A6A6A6"/>
            </w:tcBorders>
            <w:noWrap/>
            <w:hideMark/>
          </w:tcPr>
          <w:p w14:paraId="7DFAB9BB" w14:textId="77777777" w:rsidR="00087B91" w:rsidRPr="002029AF" w:rsidRDefault="00087B91" w:rsidP="00860E95">
            <w:pPr>
              <w:pStyle w:val="ARfintablebodyright"/>
              <w:ind w:right="0"/>
            </w:pPr>
            <w:r w:rsidRPr="002029AF">
              <w:t>–</w:t>
            </w:r>
          </w:p>
        </w:tc>
        <w:tc>
          <w:tcPr>
            <w:tcW w:w="680" w:type="dxa"/>
            <w:tcBorders>
              <w:top w:val="single" w:sz="4" w:space="0" w:color="A6A6A6"/>
              <w:bottom w:val="single" w:sz="4" w:space="0" w:color="A6A6A6"/>
            </w:tcBorders>
            <w:noWrap/>
            <w:hideMark/>
          </w:tcPr>
          <w:p w14:paraId="16B43DFC" w14:textId="77777777" w:rsidR="00087B91" w:rsidRPr="002029AF" w:rsidRDefault="00087B91" w:rsidP="00860E95">
            <w:pPr>
              <w:pStyle w:val="ARfintablebodyright"/>
              <w:ind w:right="0"/>
            </w:pPr>
            <w:r w:rsidRPr="002029AF">
              <w:t>–</w:t>
            </w:r>
          </w:p>
        </w:tc>
        <w:tc>
          <w:tcPr>
            <w:tcW w:w="680" w:type="dxa"/>
            <w:tcBorders>
              <w:top w:val="single" w:sz="4" w:space="0" w:color="A6A6A6"/>
              <w:bottom w:val="single" w:sz="4" w:space="0" w:color="A6A6A6"/>
            </w:tcBorders>
            <w:noWrap/>
            <w:hideMark/>
          </w:tcPr>
          <w:p w14:paraId="1BBABA8D" w14:textId="77777777" w:rsidR="00087B91" w:rsidRPr="002029AF" w:rsidRDefault="00087B91" w:rsidP="00860E95">
            <w:pPr>
              <w:pStyle w:val="ARfintablebodyright"/>
              <w:ind w:right="0"/>
            </w:pPr>
            <w:r w:rsidRPr="002029AF">
              <w:t>–</w:t>
            </w:r>
          </w:p>
        </w:tc>
        <w:tc>
          <w:tcPr>
            <w:tcW w:w="719" w:type="dxa"/>
            <w:tcBorders>
              <w:top w:val="single" w:sz="4" w:space="0" w:color="A6A6A6"/>
              <w:bottom w:val="single" w:sz="4" w:space="0" w:color="A6A6A6"/>
            </w:tcBorders>
            <w:noWrap/>
            <w:hideMark/>
          </w:tcPr>
          <w:p w14:paraId="65936A11" w14:textId="77777777" w:rsidR="00087B91" w:rsidRPr="002029AF" w:rsidRDefault="00087B91" w:rsidP="00860E95">
            <w:pPr>
              <w:pStyle w:val="ARfintablebodyright"/>
              <w:ind w:right="0"/>
            </w:pPr>
            <w:r w:rsidRPr="002029AF">
              <w:t>11.1</w:t>
            </w:r>
          </w:p>
        </w:tc>
        <w:tc>
          <w:tcPr>
            <w:tcW w:w="709" w:type="dxa"/>
            <w:tcBorders>
              <w:top w:val="single" w:sz="4" w:space="0" w:color="A6A6A6"/>
              <w:bottom w:val="single" w:sz="4" w:space="0" w:color="A6A6A6"/>
            </w:tcBorders>
            <w:noWrap/>
            <w:hideMark/>
          </w:tcPr>
          <w:p w14:paraId="63590CE1" w14:textId="77777777" w:rsidR="00087B91" w:rsidRPr="002029AF" w:rsidRDefault="00087B91" w:rsidP="00860E95">
            <w:pPr>
              <w:pStyle w:val="ARfintablebodyright"/>
              <w:ind w:right="0"/>
            </w:pPr>
            <w:r w:rsidRPr="002029AF">
              <w:t>6.0</w:t>
            </w:r>
          </w:p>
        </w:tc>
        <w:tc>
          <w:tcPr>
            <w:tcW w:w="709" w:type="dxa"/>
            <w:tcBorders>
              <w:top w:val="single" w:sz="4" w:space="0" w:color="A6A6A6"/>
              <w:bottom w:val="single" w:sz="4" w:space="0" w:color="A6A6A6"/>
            </w:tcBorders>
            <w:noWrap/>
            <w:hideMark/>
          </w:tcPr>
          <w:p w14:paraId="6A4FF37F" w14:textId="77777777" w:rsidR="00087B91" w:rsidRPr="002029AF" w:rsidRDefault="00087B91" w:rsidP="00860E95">
            <w:pPr>
              <w:pStyle w:val="ARfintablebodyright"/>
              <w:ind w:right="0"/>
            </w:pPr>
            <w:r w:rsidRPr="002029AF">
              <w:t>–</w:t>
            </w:r>
          </w:p>
        </w:tc>
        <w:tc>
          <w:tcPr>
            <w:tcW w:w="709" w:type="dxa"/>
            <w:tcBorders>
              <w:top w:val="single" w:sz="4" w:space="0" w:color="A6A6A6"/>
              <w:bottom w:val="single" w:sz="4" w:space="0" w:color="A6A6A6"/>
            </w:tcBorders>
            <w:noWrap/>
            <w:hideMark/>
          </w:tcPr>
          <w:p w14:paraId="183D2E39" w14:textId="77777777" w:rsidR="00087B91" w:rsidRPr="002029AF" w:rsidRDefault="00087B91" w:rsidP="00860E95">
            <w:pPr>
              <w:pStyle w:val="ARfintablebodyright"/>
              <w:ind w:right="0"/>
            </w:pPr>
            <w:r w:rsidRPr="002029AF">
              <w:t>–</w:t>
            </w:r>
          </w:p>
        </w:tc>
        <w:tc>
          <w:tcPr>
            <w:tcW w:w="567" w:type="dxa"/>
            <w:tcBorders>
              <w:top w:val="single" w:sz="4" w:space="0" w:color="A6A6A6"/>
              <w:bottom w:val="single" w:sz="4" w:space="0" w:color="A6A6A6"/>
            </w:tcBorders>
            <w:noWrap/>
            <w:hideMark/>
          </w:tcPr>
          <w:p w14:paraId="7E230770" w14:textId="77777777" w:rsidR="00087B91" w:rsidRPr="002029AF" w:rsidRDefault="00087B91" w:rsidP="00860E95">
            <w:pPr>
              <w:pStyle w:val="ARfintablebodyright"/>
              <w:ind w:right="0"/>
            </w:pPr>
            <w:r w:rsidRPr="002029AF">
              <w:t>–</w:t>
            </w:r>
          </w:p>
        </w:tc>
        <w:tc>
          <w:tcPr>
            <w:tcW w:w="708" w:type="dxa"/>
            <w:tcBorders>
              <w:top w:val="single" w:sz="4" w:space="0" w:color="A6A6A6"/>
              <w:bottom w:val="single" w:sz="4" w:space="0" w:color="A6A6A6"/>
            </w:tcBorders>
            <w:noWrap/>
            <w:hideMark/>
          </w:tcPr>
          <w:p w14:paraId="20E13F83" w14:textId="77777777" w:rsidR="00087B91" w:rsidRPr="002029AF" w:rsidRDefault="00087B91" w:rsidP="00860E95">
            <w:pPr>
              <w:pStyle w:val="ARfintablebodyright"/>
              <w:ind w:right="0"/>
            </w:pPr>
            <w:r w:rsidRPr="002029AF">
              <w:t>–</w:t>
            </w:r>
          </w:p>
        </w:tc>
        <w:tc>
          <w:tcPr>
            <w:tcW w:w="709" w:type="dxa"/>
            <w:tcBorders>
              <w:top w:val="single" w:sz="4" w:space="0" w:color="A6A6A6"/>
              <w:bottom w:val="single" w:sz="4" w:space="0" w:color="A6A6A6"/>
            </w:tcBorders>
            <w:noWrap/>
            <w:hideMark/>
          </w:tcPr>
          <w:p w14:paraId="7C4E46C0" w14:textId="77777777" w:rsidR="00087B91" w:rsidRPr="002029AF" w:rsidRDefault="00087B91" w:rsidP="00860E95">
            <w:pPr>
              <w:pStyle w:val="ARfintablebodyright"/>
              <w:ind w:right="0"/>
            </w:pPr>
            <w:r w:rsidRPr="002029AF">
              <w:t>218.3</w:t>
            </w:r>
          </w:p>
        </w:tc>
        <w:tc>
          <w:tcPr>
            <w:tcW w:w="709" w:type="dxa"/>
            <w:tcBorders>
              <w:top w:val="single" w:sz="4" w:space="0" w:color="A6A6A6"/>
              <w:bottom w:val="single" w:sz="4" w:space="0" w:color="A6A6A6"/>
            </w:tcBorders>
            <w:noWrap/>
            <w:hideMark/>
          </w:tcPr>
          <w:p w14:paraId="61FD1C7F" w14:textId="77777777" w:rsidR="00087B91" w:rsidRPr="002029AF" w:rsidRDefault="00087B91" w:rsidP="00860E95">
            <w:pPr>
              <w:pStyle w:val="ARfintablebodyright"/>
              <w:ind w:right="0"/>
            </w:pPr>
            <w:r w:rsidRPr="002029AF">
              <w:t>–</w:t>
            </w:r>
          </w:p>
        </w:tc>
        <w:tc>
          <w:tcPr>
            <w:tcW w:w="567" w:type="dxa"/>
            <w:tcBorders>
              <w:top w:val="single" w:sz="4" w:space="0" w:color="A6A6A6"/>
              <w:bottom w:val="single" w:sz="4" w:space="0" w:color="A6A6A6"/>
            </w:tcBorders>
            <w:noWrap/>
            <w:hideMark/>
          </w:tcPr>
          <w:p w14:paraId="463B31F1" w14:textId="77777777" w:rsidR="00087B91" w:rsidRPr="002029AF" w:rsidRDefault="00087B91" w:rsidP="00860E95">
            <w:pPr>
              <w:pStyle w:val="ARfintablebodyright"/>
              <w:ind w:right="0"/>
            </w:pPr>
            <w:r w:rsidRPr="002029AF">
              <w:t>–</w:t>
            </w:r>
          </w:p>
        </w:tc>
        <w:tc>
          <w:tcPr>
            <w:tcW w:w="714" w:type="dxa"/>
            <w:tcBorders>
              <w:top w:val="single" w:sz="4" w:space="0" w:color="A6A6A6"/>
              <w:bottom w:val="single" w:sz="4" w:space="0" w:color="A6A6A6"/>
            </w:tcBorders>
            <w:noWrap/>
            <w:hideMark/>
          </w:tcPr>
          <w:p w14:paraId="67F7C36A" w14:textId="77777777" w:rsidR="00087B91" w:rsidRPr="002029AF" w:rsidRDefault="00087B91" w:rsidP="00860E95">
            <w:pPr>
              <w:pStyle w:val="ARfintablebodyright"/>
              <w:ind w:right="0"/>
            </w:pPr>
            <w:r w:rsidRPr="002029AF">
              <w:t>236.1</w:t>
            </w:r>
          </w:p>
        </w:tc>
      </w:tr>
      <w:tr w:rsidR="00595FA8" w:rsidRPr="002029AF" w14:paraId="3C6BE4B4" w14:textId="77777777" w:rsidTr="00C81A0B">
        <w:trPr>
          <w:gridAfter w:val="1"/>
          <w:wAfter w:w="9" w:type="dxa"/>
          <w:trHeight w:val="170"/>
        </w:trPr>
        <w:tc>
          <w:tcPr>
            <w:tcW w:w="2213" w:type="dxa"/>
            <w:tcBorders>
              <w:top w:val="single" w:sz="4" w:space="0" w:color="A6A6A6"/>
              <w:bottom w:val="single" w:sz="4" w:space="0" w:color="A6A6A6"/>
            </w:tcBorders>
            <w:hideMark/>
          </w:tcPr>
          <w:p w14:paraId="446432D0" w14:textId="485853FC" w:rsidR="00087B91" w:rsidRPr="002029AF" w:rsidRDefault="00087B91" w:rsidP="00860E95">
            <w:pPr>
              <w:pStyle w:val="ARfintablebody"/>
            </w:pPr>
            <w:r w:rsidRPr="002029AF">
              <w:t>Fair</w:t>
            </w:r>
            <w:r w:rsidR="000A5329" w:rsidRPr="002029AF">
              <w:t xml:space="preserve"> </w:t>
            </w:r>
            <w:r w:rsidRPr="002029AF">
              <w:t>value</w:t>
            </w:r>
            <w:r w:rsidR="000A5329" w:rsidRPr="002029AF">
              <w:t xml:space="preserve"> </w:t>
            </w:r>
            <w:r w:rsidRPr="002029AF">
              <w:t>of</w:t>
            </w:r>
            <w:r w:rsidR="000A5329" w:rsidRPr="002029AF">
              <w:t xml:space="preserve"> </w:t>
            </w:r>
            <w:r w:rsidRPr="002029AF">
              <w:t>assets</w:t>
            </w:r>
            <w:r w:rsidR="000A5329" w:rsidRPr="002029AF">
              <w:t xml:space="preserve"> </w:t>
            </w:r>
            <w:r w:rsidRPr="002029AF">
              <w:t>and</w:t>
            </w:r>
            <w:r w:rsidR="000A5329" w:rsidRPr="002029AF">
              <w:t xml:space="preserve"> </w:t>
            </w:r>
            <w:r w:rsidRPr="002029AF">
              <w:t>services</w:t>
            </w:r>
            <w:r w:rsidR="000A5329" w:rsidRPr="002029AF">
              <w:t xml:space="preserve"> </w:t>
            </w:r>
            <w:r w:rsidRPr="002029AF">
              <w:t>provided</w:t>
            </w:r>
            <w:r w:rsidR="000A5329" w:rsidRPr="002029AF">
              <w:t xml:space="preserve"> </w:t>
            </w:r>
            <w:r w:rsidRPr="002029AF">
              <w:t>free</w:t>
            </w:r>
            <w:r w:rsidR="000A5329" w:rsidRPr="002029AF">
              <w:t xml:space="preserve"> </w:t>
            </w:r>
            <w:r w:rsidRPr="002029AF">
              <w:t>of</w:t>
            </w:r>
            <w:r w:rsidR="000A5329" w:rsidRPr="002029AF">
              <w:t xml:space="preserve"> </w:t>
            </w:r>
            <w:r w:rsidRPr="002029AF">
              <w:t>charge</w:t>
            </w:r>
            <w:r w:rsidR="000A5329" w:rsidRPr="002029AF">
              <w:t xml:space="preserve"> </w:t>
            </w:r>
            <w:r w:rsidRPr="002029AF">
              <w:t>or</w:t>
            </w:r>
            <w:r w:rsidR="000A5329" w:rsidRPr="002029AF">
              <w:t xml:space="preserve"> </w:t>
            </w:r>
            <w:r w:rsidRPr="002029AF">
              <w:t>for</w:t>
            </w:r>
            <w:r w:rsidR="000A5329" w:rsidRPr="002029AF">
              <w:t xml:space="preserve"> </w:t>
            </w:r>
            <w:r w:rsidRPr="002029AF">
              <w:t>nominal</w:t>
            </w:r>
            <w:r w:rsidR="000A5329" w:rsidRPr="002029AF">
              <w:t xml:space="preserve"> </w:t>
            </w:r>
            <w:r w:rsidRPr="002029AF">
              <w:t>consideration</w:t>
            </w:r>
          </w:p>
        </w:tc>
        <w:tc>
          <w:tcPr>
            <w:tcW w:w="901" w:type="dxa"/>
            <w:tcBorders>
              <w:top w:val="single" w:sz="4" w:space="0" w:color="A6A6A6"/>
              <w:bottom w:val="single" w:sz="4" w:space="0" w:color="A6A6A6"/>
            </w:tcBorders>
            <w:noWrap/>
            <w:hideMark/>
          </w:tcPr>
          <w:p w14:paraId="52FE1EEB" w14:textId="77777777" w:rsidR="00087B91" w:rsidRPr="002029AF" w:rsidRDefault="00087B91" w:rsidP="00860E95">
            <w:pPr>
              <w:pStyle w:val="ARfintablebodyright"/>
              <w:ind w:right="0"/>
            </w:pPr>
            <w:r w:rsidRPr="002029AF">
              <w:t>31.6</w:t>
            </w:r>
          </w:p>
        </w:tc>
        <w:tc>
          <w:tcPr>
            <w:tcW w:w="709" w:type="dxa"/>
            <w:tcBorders>
              <w:top w:val="single" w:sz="4" w:space="0" w:color="A6A6A6"/>
              <w:bottom w:val="single" w:sz="4" w:space="0" w:color="A6A6A6"/>
            </w:tcBorders>
            <w:noWrap/>
            <w:hideMark/>
          </w:tcPr>
          <w:p w14:paraId="79F4F08A" w14:textId="77777777" w:rsidR="00087B91" w:rsidRPr="002029AF" w:rsidRDefault="00087B91" w:rsidP="00860E95">
            <w:pPr>
              <w:pStyle w:val="ARfintablebodyright"/>
              <w:ind w:right="0"/>
            </w:pPr>
            <w:r w:rsidRPr="002029AF">
              <w:t>–</w:t>
            </w:r>
          </w:p>
        </w:tc>
        <w:tc>
          <w:tcPr>
            <w:tcW w:w="575" w:type="dxa"/>
            <w:tcBorders>
              <w:top w:val="single" w:sz="4" w:space="0" w:color="A6A6A6"/>
              <w:bottom w:val="single" w:sz="4" w:space="0" w:color="A6A6A6"/>
            </w:tcBorders>
            <w:noWrap/>
            <w:hideMark/>
          </w:tcPr>
          <w:p w14:paraId="44BCCFCD" w14:textId="77777777" w:rsidR="00087B91" w:rsidRPr="002029AF" w:rsidRDefault="00087B91" w:rsidP="00860E95">
            <w:pPr>
              <w:pStyle w:val="ARfintablebodyright"/>
              <w:ind w:right="0"/>
            </w:pPr>
            <w:r w:rsidRPr="002029AF">
              <w:t>–</w:t>
            </w:r>
          </w:p>
        </w:tc>
        <w:tc>
          <w:tcPr>
            <w:tcW w:w="681" w:type="dxa"/>
            <w:tcBorders>
              <w:top w:val="single" w:sz="4" w:space="0" w:color="A6A6A6"/>
              <w:bottom w:val="single" w:sz="4" w:space="0" w:color="A6A6A6"/>
            </w:tcBorders>
            <w:noWrap/>
            <w:hideMark/>
          </w:tcPr>
          <w:p w14:paraId="1A7CB415" w14:textId="77777777" w:rsidR="00087B91" w:rsidRPr="002029AF" w:rsidRDefault="00087B91" w:rsidP="00860E95">
            <w:pPr>
              <w:pStyle w:val="ARfintablebodyright"/>
              <w:ind w:right="0"/>
            </w:pPr>
            <w:r w:rsidRPr="002029AF">
              <w:t>–</w:t>
            </w:r>
          </w:p>
        </w:tc>
        <w:tc>
          <w:tcPr>
            <w:tcW w:w="728" w:type="dxa"/>
            <w:tcBorders>
              <w:top w:val="single" w:sz="4" w:space="0" w:color="A6A6A6"/>
              <w:bottom w:val="single" w:sz="4" w:space="0" w:color="A6A6A6"/>
            </w:tcBorders>
            <w:noWrap/>
            <w:hideMark/>
          </w:tcPr>
          <w:p w14:paraId="3D153D7B" w14:textId="77777777" w:rsidR="00087B91" w:rsidRPr="002029AF" w:rsidRDefault="00087B91" w:rsidP="00860E95">
            <w:pPr>
              <w:pStyle w:val="ARfintablebodyright"/>
              <w:ind w:right="0"/>
            </w:pPr>
            <w:r w:rsidRPr="002029AF">
              <w:t>–</w:t>
            </w:r>
          </w:p>
        </w:tc>
        <w:tc>
          <w:tcPr>
            <w:tcW w:w="614" w:type="dxa"/>
            <w:tcBorders>
              <w:top w:val="single" w:sz="4" w:space="0" w:color="A6A6A6"/>
              <w:bottom w:val="single" w:sz="4" w:space="0" w:color="A6A6A6"/>
            </w:tcBorders>
            <w:noWrap/>
            <w:hideMark/>
          </w:tcPr>
          <w:p w14:paraId="72E465D5" w14:textId="77777777" w:rsidR="00087B91" w:rsidRPr="002029AF" w:rsidRDefault="00087B91" w:rsidP="00860E95">
            <w:pPr>
              <w:pStyle w:val="ARfintablebodyright"/>
              <w:ind w:right="0"/>
            </w:pPr>
            <w:r w:rsidRPr="002029AF">
              <w:t>–</w:t>
            </w:r>
          </w:p>
        </w:tc>
        <w:tc>
          <w:tcPr>
            <w:tcW w:w="680" w:type="dxa"/>
            <w:tcBorders>
              <w:top w:val="single" w:sz="4" w:space="0" w:color="A6A6A6"/>
              <w:bottom w:val="single" w:sz="4" w:space="0" w:color="A6A6A6"/>
            </w:tcBorders>
            <w:noWrap/>
            <w:hideMark/>
          </w:tcPr>
          <w:p w14:paraId="3F238787" w14:textId="77777777" w:rsidR="00087B91" w:rsidRPr="002029AF" w:rsidRDefault="00087B91" w:rsidP="00860E95">
            <w:pPr>
              <w:pStyle w:val="ARfintablebodyright"/>
              <w:ind w:right="0"/>
            </w:pPr>
            <w:r w:rsidRPr="002029AF">
              <w:t>–</w:t>
            </w:r>
          </w:p>
        </w:tc>
        <w:tc>
          <w:tcPr>
            <w:tcW w:w="680" w:type="dxa"/>
            <w:tcBorders>
              <w:top w:val="single" w:sz="4" w:space="0" w:color="A6A6A6"/>
              <w:bottom w:val="single" w:sz="4" w:space="0" w:color="A6A6A6"/>
            </w:tcBorders>
            <w:noWrap/>
            <w:hideMark/>
          </w:tcPr>
          <w:p w14:paraId="5113164A" w14:textId="77777777" w:rsidR="00087B91" w:rsidRPr="002029AF" w:rsidRDefault="00087B91" w:rsidP="00860E95">
            <w:pPr>
              <w:pStyle w:val="ARfintablebodyright"/>
              <w:ind w:right="0"/>
            </w:pPr>
            <w:r w:rsidRPr="002029AF">
              <w:t>–</w:t>
            </w:r>
          </w:p>
        </w:tc>
        <w:tc>
          <w:tcPr>
            <w:tcW w:w="719" w:type="dxa"/>
            <w:tcBorders>
              <w:top w:val="single" w:sz="4" w:space="0" w:color="A6A6A6"/>
              <w:bottom w:val="single" w:sz="4" w:space="0" w:color="A6A6A6"/>
            </w:tcBorders>
            <w:noWrap/>
            <w:hideMark/>
          </w:tcPr>
          <w:p w14:paraId="644B0353" w14:textId="77777777" w:rsidR="00087B91" w:rsidRPr="002029AF" w:rsidRDefault="00087B91" w:rsidP="00860E95">
            <w:pPr>
              <w:pStyle w:val="ARfintablebodyright"/>
              <w:ind w:right="0"/>
            </w:pPr>
            <w:r w:rsidRPr="002029AF">
              <w:t>0.6</w:t>
            </w:r>
          </w:p>
        </w:tc>
        <w:tc>
          <w:tcPr>
            <w:tcW w:w="709" w:type="dxa"/>
            <w:tcBorders>
              <w:top w:val="single" w:sz="4" w:space="0" w:color="A6A6A6"/>
              <w:bottom w:val="single" w:sz="4" w:space="0" w:color="A6A6A6"/>
            </w:tcBorders>
            <w:noWrap/>
            <w:hideMark/>
          </w:tcPr>
          <w:p w14:paraId="2CCB7D51" w14:textId="77777777" w:rsidR="00087B91" w:rsidRPr="002029AF" w:rsidRDefault="00087B91" w:rsidP="00860E95">
            <w:pPr>
              <w:pStyle w:val="ARfintablebodyright"/>
              <w:ind w:right="0"/>
            </w:pPr>
            <w:r w:rsidRPr="002029AF">
              <w:t>0.1</w:t>
            </w:r>
          </w:p>
        </w:tc>
        <w:tc>
          <w:tcPr>
            <w:tcW w:w="709" w:type="dxa"/>
            <w:tcBorders>
              <w:top w:val="single" w:sz="4" w:space="0" w:color="A6A6A6"/>
              <w:bottom w:val="single" w:sz="4" w:space="0" w:color="A6A6A6"/>
            </w:tcBorders>
            <w:noWrap/>
            <w:hideMark/>
          </w:tcPr>
          <w:p w14:paraId="15935110" w14:textId="77777777" w:rsidR="00087B91" w:rsidRPr="002029AF" w:rsidRDefault="00087B91" w:rsidP="00860E95">
            <w:pPr>
              <w:pStyle w:val="ARfintablebodyright"/>
              <w:ind w:right="0"/>
            </w:pPr>
            <w:r w:rsidRPr="002029AF">
              <w:t>–</w:t>
            </w:r>
          </w:p>
        </w:tc>
        <w:tc>
          <w:tcPr>
            <w:tcW w:w="709" w:type="dxa"/>
            <w:tcBorders>
              <w:top w:val="single" w:sz="4" w:space="0" w:color="A6A6A6"/>
              <w:bottom w:val="single" w:sz="4" w:space="0" w:color="A6A6A6"/>
            </w:tcBorders>
            <w:noWrap/>
            <w:hideMark/>
          </w:tcPr>
          <w:p w14:paraId="4F9994F9" w14:textId="77777777" w:rsidR="00087B91" w:rsidRPr="002029AF" w:rsidRDefault="00087B91" w:rsidP="00860E95">
            <w:pPr>
              <w:pStyle w:val="ARfintablebodyright"/>
              <w:ind w:right="0"/>
            </w:pPr>
            <w:r w:rsidRPr="002029AF">
              <w:t>–</w:t>
            </w:r>
          </w:p>
        </w:tc>
        <w:tc>
          <w:tcPr>
            <w:tcW w:w="567" w:type="dxa"/>
            <w:tcBorders>
              <w:top w:val="single" w:sz="4" w:space="0" w:color="A6A6A6"/>
              <w:bottom w:val="single" w:sz="4" w:space="0" w:color="A6A6A6"/>
            </w:tcBorders>
            <w:noWrap/>
            <w:hideMark/>
          </w:tcPr>
          <w:p w14:paraId="51F4FD35" w14:textId="77777777" w:rsidR="00087B91" w:rsidRPr="002029AF" w:rsidRDefault="00087B91" w:rsidP="00860E95">
            <w:pPr>
              <w:pStyle w:val="ARfintablebodyright"/>
              <w:ind w:right="0"/>
            </w:pPr>
            <w:r w:rsidRPr="002029AF">
              <w:t>–</w:t>
            </w:r>
          </w:p>
        </w:tc>
        <w:tc>
          <w:tcPr>
            <w:tcW w:w="708" w:type="dxa"/>
            <w:tcBorders>
              <w:top w:val="single" w:sz="4" w:space="0" w:color="A6A6A6"/>
              <w:bottom w:val="single" w:sz="4" w:space="0" w:color="A6A6A6"/>
            </w:tcBorders>
            <w:noWrap/>
            <w:hideMark/>
          </w:tcPr>
          <w:p w14:paraId="3EA2B18C" w14:textId="77777777" w:rsidR="00087B91" w:rsidRPr="002029AF" w:rsidRDefault="00087B91" w:rsidP="00860E95">
            <w:pPr>
              <w:pStyle w:val="ARfintablebodyright"/>
              <w:ind w:right="0"/>
            </w:pPr>
            <w:r w:rsidRPr="002029AF">
              <w:t>–</w:t>
            </w:r>
          </w:p>
        </w:tc>
        <w:tc>
          <w:tcPr>
            <w:tcW w:w="709" w:type="dxa"/>
            <w:tcBorders>
              <w:top w:val="single" w:sz="4" w:space="0" w:color="A6A6A6"/>
              <w:bottom w:val="single" w:sz="4" w:space="0" w:color="A6A6A6"/>
            </w:tcBorders>
            <w:noWrap/>
            <w:hideMark/>
          </w:tcPr>
          <w:p w14:paraId="028212CB" w14:textId="77777777" w:rsidR="00087B91" w:rsidRPr="002029AF" w:rsidRDefault="00087B91" w:rsidP="00860E95">
            <w:pPr>
              <w:pStyle w:val="ARfintablebodyright"/>
              <w:ind w:right="0"/>
            </w:pPr>
            <w:r w:rsidRPr="002029AF">
              <w:t>–</w:t>
            </w:r>
          </w:p>
        </w:tc>
        <w:tc>
          <w:tcPr>
            <w:tcW w:w="709" w:type="dxa"/>
            <w:tcBorders>
              <w:top w:val="single" w:sz="4" w:space="0" w:color="A6A6A6"/>
              <w:bottom w:val="single" w:sz="4" w:space="0" w:color="A6A6A6"/>
            </w:tcBorders>
            <w:noWrap/>
            <w:hideMark/>
          </w:tcPr>
          <w:p w14:paraId="53179B6F" w14:textId="77777777" w:rsidR="00087B91" w:rsidRPr="002029AF" w:rsidRDefault="00087B91" w:rsidP="00860E95">
            <w:pPr>
              <w:pStyle w:val="ARfintablebodyright"/>
              <w:ind w:right="0"/>
            </w:pPr>
            <w:r w:rsidRPr="002029AF">
              <w:t>–</w:t>
            </w:r>
          </w:p>
        </w:tc>
        <w:tc>
          <w:tcPr>
            <w:tcW w:w="567" w:type="dxa"/>
            <w:tcBorders>
              <w:top w:val="single" w:sz="4" w:space="0" w:color="A6A6A6"/>
              <w:bottom w:val="single" w:sz="4" w:space="0" w:color="A6A6A6"/>
            </w:tcBorders>
            <w:noWrap/>
            <w:hideMark/>
          </w:tcPr>
          <w:p w14:paraId="4BB2D92D" w14:textId="77777777" w:rsidR="00087B91" w:rsidRPr="002029AF" w:rsidRDefault="00087B91" w:rsidP="00860E95">
            <w:pPr>
              <w:pStyle w:val="ARfintablebodyright"/>
              <w:ind w:right="0"/>
            </w:pPr>
            <w:r w:rsidRPr="002029AF">
              <w:t>–</w:t>
            </w:r>
          </w:p>
        </w:tc>
        <w:tc>
          <w:tcPr>
            <w:tcW w:w="714" w:type="dxa"/>
            <w:tcBorders>
              <w:top w:val="single" w:sz="4" w:space="0" w:color="A6A6A6"/>
              <w:bottom w:val="single" w:sz="4" w:space="0" w:color="A6A6A6"/>
            </w:tcBorders>
            <w:noWrap/>
            <w:hideMark/>
          </w:tcPr>
          <w:p w14:paraId="27427AC0" w14:textId="77777777" w:rsidR="00087B91" w:rsidRPr="002029AF" w:rsidRDefault="00087B91" w:rsidP="00860E95">
            <w:pPr>
              <w:pStyle w:val="ARfintablebodyright"/>
              <w:ind w:right="0"/>
            </w:pPr>
            <w:r w:rsidRPr="002029AF">
              <w:t>32.3</w:t>
            </w:r>
          </w:p>
        </w:tc>
      </w:tr>
      <w:tr w:rsidR="00595FA8" w:rsidRPr="002029AF" w14:paraId="16578698" w14:textId="77777777" w:rsidTr="00C81A0B">
        <w:trPr>
          <w:gridAfter w:val="1"/>
          <w:wAfter w:w="9" w:type="dxa"/>
          <w:trHeight w:val="170"/>
        </w:trPr>
        <w:tc>
          <w:tcPr>
            <w:tcW w:w="2213" w:type="dxa"/>
            <w:tcBorders>
              <w:top w:val="single" w:sz="4" w:space="0" w:color="A6A6A6"/>
              <w:bottom w:val="single" w:sz="4" w:space="0" w:color="A6A6A6"/>
            </w:tcBorders>
            <w:hideMark/>
          </w:tcPr>
          <w:p w14:paraId="123195C6" w14:textId="08969E84" w:rsidR="00087B91" w:rsidRPr="002029AF" w:rsidRDefault="00087B91" w:rsidP="00860E95">
            <w:pPr>
              <w:pStyle w:val="ARfintablebody"/>
            </w:pPr>
            <w:r w:rsidRPr="002029AF">
              <w:t>Other</w:t>
            </w:r>
            <w:r w:rsidR="000A5329" w:rsidRPr="002029AF">
              <w:t xml:space="preserve"> </w:t>
            </w:r>
            <w:r w:rsidRPr="002029AF">
              <w:t>operating</w:t>
            </w:r>
            <w:r w:rsidR="000A5329" w:rsidRPr="002029AF">
              <w:t xml:space="preserve"> </w:t>
            </w:r>
            <w:r w:rsidRPr="002029AF">
              <w:t>expenses</w:t>
            </w:r>
          </w:p>
        </w:tc>
        <w:tc>
          <w:tcPr>
            <w:tcW w:w="901" w:type="dxa"/>
            <w:tcBorders>
              <w:top w:val="single" w:sz="4" w:space="0" w:color="A6A6A6"/>
              <w:bottom w:val="single" w:sz="4" w:space="0" w:color="A6A6A6"/>
            </w:tcBorders>
            <w:noWrap/>
            <w:hideMark/>
          </w:tcPr>
          <w:p w14:paraId="134B923E" w14:textId="77777777" w:rsidR="00087B91" w:rsidRPr="002029AF" w:rsidRDefault="00087B91" w:rsidP="00860E95">
            <w:pPr>
              <w:pStyle w:val="ARfintablebodyright"/>
              <w:ind w:right="0"/>
            </w:pPr>
            <w:r w:rsidRPr="002029AF">
              <w:t>176.1</w:t>
            </w:r>
          </w:p>
        </w:tc>
        <w:tc>
          <w:tcPr>
            <w:tcW w:w="709" w:type="dxa"/>
            <w:tcBorders>
              <w:top w:val="single" w:sz="4" w:space="0" w:color="A6A6A6"/>
              <w:bottom w:val="single" w:sz="4" w:space="0" w:color="A6A6A6"/>
            </w:tcBorders>
            <w:noWrap/>
            <w:hideMark/>
          </w:tcPr>
          <w:p w14:paraId="553608AC" w14:textId="77777777" w:rsidR="00087B91" w:rsidRPr="002029AF" w:rsidRDefault="00087B91" w:rsidP="00860E95">
            <w:pPr>
              <w:pStyle w:val="ARfintablebodyright"/>
              <w:ind w:right="0"/>
            </w:pPr>
            <w:r w:rsidRPr="002029AF">
              <w:t>0.8</w:t>
            </w:r>
          </w:p>
        </w:tc>
        <w:tc>
          <w:tcPr>
            <w:tcW w:w="575" w:type="dxa"/>
            <w:tcBorders>
              <w:top w:val="single" w:sz="4" w:space="0" w:color="A6A6A6"/>
              <w:bottom w:val="single" w:sz="4" w:space="0" w:color="A6A6A6"/>
            </w:tcBorders>
            <w:noWrap/>
            <w:hideMark/>
          </w:tcPr>
          <w:p w14:paraId="14F79883" w14:textId="77777777" w:rsidR="00087B91" w:rsidRPr="002029AF" w:rsidRDefault="00087B91" w:rsidP="00860E95">
            <w:pPr>
              <w:pStyle w:val="ARfintablebodyright"/>
              <w:ind w:right="0"/>
            </w:pPr>
            <w:r w:rsidRPr="002029AF">
              <w:t>19.4</w:t>
            </w:r>
          </w:p>
        </w:tc>
        <w:tc>
          <w:tcPr>
            <w:tcW w:w="681" w:type="dxa"/>
            <w:tcBorders>
              <w:top w:val="single" w:sz="4" w:space="0" w:color="A6A6A6"/>
              <w:bottom w:val="single" w:sz="4" w:space="0" w:color="A6A6A6"/>
            </w:tcBorders>
            <w:noWrap/>
            <w:hideMark/>
          </w:tcPr>
          <w:p w14:paraId="79A28DE3" w14:textId="77777777" w:rsidR="00087B91" w:rsidRPr="002029AF" w:rsidRDefault="00087B91" w:rsidP="00860E95">
            <w:pPr>
              <w:pStyle w:val="ARfintablebodyright"/>
              <w:ind w:right="0"/>
            </w:pPr>
            <w:r w:rsidRPr="002029AF">
              <w:t>19.4</w:t>
            </w:r>
          </w:p>
        </w:tc>
        <w:tc>
          <w:tcPr>
            <w:tcW w:w="728" w:type="dxa"/>
            <w:tcBorders>
              <w:top w:val="single" w:sz="4" w:space="0" w:color="A6A6A6"/>
              <w:bottom w:val="single" w:sz="4" w:space="0" w:color="A6A6A6"/>
            </w:tcBorders>
            <w:noWrap/>
            <w:hideMark/>
          </w:tcPr>
          <w:p w14:paraId="6C2A356C" w14:textId="77777777" w:rsidR="00087B91" w:rsidRPr="002029AF" w:rsidRDefault="00087B91" w:rsidP="00860E95">
            <w:pPr>
              <w:pStyle w:val="ARfintablebodyright"/>
              <w:ind w:right="0"/>
            </w:pPr>
            <w:r w:rsidRPr="002029AF">
              <w:t>95.3</w:t>
            </w:r>
          </w:p>
        </w:tc>
        <w:tc>
          <w:tcPr>
            <w:tcW w:w="614" w:type="dxa"/>
            <w:tcBorders>
              <w:top w:val="single" w:sz="4" w:space="0" w:color="A6A6A6"/>
              <w:bottom w:val="single" w:sz="4" w:space="0" w:color="A6A6A6"/>
            </w:tcBorders>
            <w:noWrap/>
            <w:hideMark/>
          </w:tcPr>
          <w:p w14:paraId="2A506918" w14:textId="77777777" w:rsidR="00087B91" w:rsidRPr="002029AF" w:rsidRDefault="00087B91" w:rsidP="00860E95">
            <w:pPr>
              <w:pStyle w:val="ARfintablebodyright"/>
              <w:ind w:right="0"/>
            </w:pPr>
            <w:r w:rsidRPr="002029AF">
              <w:t>3.6</w:t>
            </w:r>
          </w:p>
        </w:tc>
        <w:tc>
          <w:tcPr>
            <w:tcW w:w="680" w:type="dxa"/>
            <w:tcBorders>
              <w:top w:val="single" w:sz="4" w:space="0" w:color="A6A6A6"/>
              <w:bottom w:val="single" w:sz="4" w:space="0" w:color="A6A6A6"/>
            </w:tcBorders>
            <w:noWrap/>
            <w:hideMark/>
          </w:tcPr>
          <w:p w14:paraId="69DC971B" w14:textId="77777777" w:rsidR="00087B91" w:rsidRPr="002029AF" w:rsidRDefault="00087B91" w:rsidP="00860E95">
            <w:pPr>
              <w:pStyle w:val="ARfintablebodyright"/>
              <w:ind w:right="0"/>
            </w:pPr>
            <w:r w:rsidRPr="002029AF">
              <w:t>74.1</w:t>
            </w:r>
          </w:p>
        </w:tc>
        <w:tc>
          <w:tcPr>
            <w:tcW w:w="680" w:type="dxa"/>
            <w:tcBorders>
              <w:top w:val="single" w:sz="4" w:space="0" w:color="A6A6A6"/>
              <w:bottom w:val="single" w:sz="4" w:space="0" w:color="A6A6A6"/>
            </w:tcBorders>
            <w:noWrap/>
            <w:hideMark/>
          </w:tcPr>
          <w:p w14:paraId="4E9DDB65" w14:textId="77777777" w:rsidR="00087B91" w:rsidRPr="002029AF" w:rsidRDefault="00087B91" w:rsidP="00860E95">
            <w:pPr>
              <w:pStyle w:val="ARfintablebodyright"/>
              <w:ind w:right="0"/>
            </w:pPr>
            <w:r w:rsidRPr="002029AF">
              <w:t>7.3</w:t>
            </w:r>
          </w:p>
        </w:tc>
        <w:tc>
          <w:tcPr>
            <w:tcW w:w="719" w:type="dxa"/>
            <w:tcBorders>
              <w:top w:val="single" w:sz="4" w:space="0" w:color="A6A6A6"/>
              <w:bottom w:val="single" w:sz="4" w:space="0" w:color="A6A6A6"/>
            </w:tcBorders>
            <w:noWrap/>
            <w:hideMark/>
          </w:tcPr>
          <w:p w14:paraId="18F6A3CF" w14:textId="77777777" w:rsidR="00087B91" w:rsidRPr="002029AF" w:rsidRDefault="00087B91" w:rsidP="00860E95">
            <w:pPr>
              <w:pStyle w:val="ARfintablebodyright"/>
              <w:ind w:right="0"/>
            </w:pPr>
            <w:r w:rsidRPr="002029AF">
              <w:t>74.4</w:t>
            </w:r>
          </w:p>
        </w:tc>
        <w:tc>
          <w:tcPr>
            <w:tcW w:w="709" w:type="dxa"/>
            <w:tcBorders>
              <w:top w:val="single" w:sz="4" w:space="0" w:color="A6A6A6"/>
              <w:bottom w:val="single" w:sz="4" w:space="0" w:color="A6A6A6"/>
            </w:tcBorders>
            <w:noWrap/>
            <w:hideMark/>
          </w:tcPr>
          <w:p w14:paraId="48F7082D" w14:textId="77777777" w:rsidR="00087B91" w:rsidRPr="002029AF" w:rsidRDefault="00087B91" w:rsidP="00860E95">
            <w:pPr>
              <w:pStyle w:val="ARfintablebodyright"/>
              <w:ind w:right="0"/>
            </w:pPr>
            <w:r w:rsidRPr="002029AF">
              <w:t>132.9</w:t>
            </w:r>
          </w:p>
        </w:tc>
        <w:tc>
          <w:tcPr>
            <w:tcW w:w="709" w:type="dxa"/>
            <w:tcBorders>
              <w:top w:val="single" w:sz="4" w:space="0" w:color="A6A6A6"/>
              <w:bottom w:val="single" w:sz="4" w:space="0" w:color="A6A6A6"/>
            </w:tcBorders>
            <w:noWrap/>
            <w:hideMark/>
          </w:tcPr>
          <w:p w14:paraId="4801873B" w14:textId="77777777" w:rsidR="00087B91" w:rsidRPr="002029AF" w:rsidRDefault="00087B91" w:rsidP="00860E95">
            <w:pPr>
              <w:pStyle w:val="ARfintablebodyright"/>
              <w:ind w:right="0"/>
            </w:pPr>
            <w:r w:rsidRPr="002029AF">
              <w:t>4.1</w:t>
            </w:r>
          </w:p>
        </w:tc>
        <w:tc>
          <w:tcPr>
            <w:tcW w:w="709" w:type="dxa"/>
            <w:tcBorders>
              <w:top w:val="single" w:sz="4" w:space="0" w:color="A6A6A6"/>
              <w:bottom w:val="single" w:sz="4" w:space="0" w:color="A6A6A6"/>
            </w:tcBorders>
            <w:noWrap/>
            <w:hideMark/>
          </w:tcPr>
          <w:p w14:paraId="7DADB6F3" w14:textId="77777777" w:rsidR="00087B91" w:rsidRPr="002029AF" w:rsidRDefault="00087B91" w:rsidP="00860E95">
            <w:pPr>
              <w:pStyle w:val="ARfintablebodyright"/>
              <w:ind w:right="0"/>
            </w:pPr>
            <w:r w:rsidRPr="002029AF">
              <w:t>1.1</w:t>
            </w:r>
          </w:p>
        </w:tc>
        <w:tc>
          <w:tcPr>
            <w:tcW w:w="567" w:type="dxa"/>
            <w:tcBorders>
              <w:top w:val="single" w:sz="4" w:space="0" w:color="A6A6A6"/>
              <w:bottom w:val="single" w:sz="4" w:space="0" w:color="A6A6A6"/>
            </w:tcBorders>
            <w:noWrap/>
            <w:hideMark/>
          </w:tcPr>
          <w:p w14:paraId="0C50844A" w14:textId="77777777" w:rsidR="00087B91" w:rsidRPr="002029AF" w:rsidRDefault="00087B91" w:rsidP="00860E95">
            <w:pPr>
              <w:pStyle w:val="ARfintablebodyright"/>
              <w:ind w:right="0"/>
            </w:pPr>
            <w:r w:rsidRPr="002029AF">
              <w:t>–</w:t>
            </w:r>
          </w:p>
        </w:tc>
        <w:tc>
          <w:tcPr>
            <w:tcW w:w="708" w:type="dxa"/>
            <w:tcBorders>
              <w:top w:val="single" w:sz="4" w:space="0" w:color="A6A6A6"/>
              <w:bottom w:val="single" w:sz="4" w:space="0" w:color="A6A6A6"/>
            </w:tcBorders>
            <w:noWrap/>
            <w:hideMark/>
          </w:tcPr>
          <w:p w14:paraId="07EFAFAD" w14:textId="77777777" w:rsidR="00087B91" w:rsidRPr="002029AF" w:rsidRDefault="00087B91" w:rsidP="00860E95">
            <w:pPr>
              <w:pStyle w:val="ARfintablebodyright"/>
              <w:ind w:right="0"/>
            </w:pPr>
            <w:r w:rsidRPr="002029AF">
              <w:t>27.1</w:t>
            </w:r>
          </w:p>
        </w:tc>
        <w:tc>
          <w:tcPr>
            <w:tcW w:w="709" w:type="dxa"/>
            <w:tcBorders>
              <w:top w:val="single" w:sz="4" w:space="0" w:color="A6A6A6"/>
              <w:bottom w:val="single" w:sz="4" w:space="0" w:color="A6A6A6"/>
            </w:tcBorders>
            <w:noWrap/>
            <w:hideMark/>
          </w:tcPr>
          <w:p w14:paraId="11333A72" w14:textId="77777777" w:rsidR="00087B91" w:rsidRPr="002029AF" w:rsidRDefault="00087B91" w:rsidP="00860E95">
            <w:pPr>
              <w:pStyle w:val="ARfintablebodyright"/>
              <w:ind w:right="0"/>
            </w:pPr>
            <w:r w:rsidRPr="002029AF">
              <w:t>52.0</w:t>
            </w:r>
          </w:p>
        </w:tc>
        <w:tc>
          <w:tcPr>
            <w:tcW w:w="709" w:type="dxa"/>
            <w:tcBorders>
              <w:top w:val="single" w:sz="4" w:space="0" w:color="A6A6A6"/>
              <w:bottom w:val="single" w:sz="4" w:space="0" w:color="A6A6A6"/>
            </w:tcBorders>
            <w:noWrap/>
            <w:hideMark/>
          </w:tcPr>
          <w:p w14:paraId="7555DC89" w14:textId="77777777" w:rsidR="00087B91" w:rsidRPr="002029AF" w:rsidRDefault="00087B91" w:rsidP="00860E95">
            <w:pPr>
              <w:pStyle w:val="ARfintablebodyright"/>
              <w:ind w:right="0"/>
            </w:pPr>
            <w:r w:rsidRPr="002029AF">
              <w:t>1.8</w:t>
            </w:r>
          </w:p>
        </w:tc>
        <w:tc>
          <w:tcPr>
            <w:tcW w:w="567" w:type="dxa"/>
            <w:tcBorders>
              <w:top w:val="single" w:sz="4" w:space="0" w:color="A6A6A6"/>
              <w:bottom w:val="single" w:sz="4" w:space="0" w:color="A6A6A6"/>
            </w:tcBorders>
            <w:noWrap/>
            <w:hideMark/>
          </w:tcPr>
          <w:p w14:paraId="79FA6BA7" w14:textId="77777777" w:rsidR="00087B91" w:rsidRPr="002029AF" w:rsidRDefault="00087B91" w:rsidP="00860E95">
            <w:pPr>
              <w:pStyle w:val="ARfintablebodyright"/>
              <w:ind w:right="0"/>
            </w:pPr>
            <w:r w:rsidRPr="002029AF">
              <w:t>–</w:t>
            </w:r>
          </w:p>
        </w:tc>
        <w:tc>
          <w:tcPr>
            <w:tcW w:w="714" w:type="dxa"/>
            <w:tcBorders>
              <w:top w:val="single" w:sz="4" w:space="0" w:color="A6A6A6"/>
              <w:bottom w:val="single" w:sz="4" w:space="0" w:color="A6A6A6"/>
            </w:tcBorders>
            <w:noWrap/>
            <w:hideMark/>
          </w:tcPr>
          <w:p w14:paraId="1700D77D" w14:textId="77777777" w:rsidR="00087B91" w:rsidRPr="002029AF" w:rsidRDefault="00087B91" w:rsidP="00860E95">
            <w:pPr>
              <w:pStyle w:val="ARfintablebodyright"/>
              <w:ind w:right="0"/>
            </w:pPr>
            <w:r w:rsidRPr="002029AF">
              <w:t>689.4</w:t>
            </w:r>
          </w:p>
        </w:tc>
      </w:tr>
      <w:tr w:rsidR="00595FA8" w:rsidRPr="002029AF" w14:paraId="769BCADA" w14:textId="77777777" w:rsidTr="00C81A0B">
        <w:trPr>
          <w:gridAfter w:val="1"/>
          <w:wAfter w:w="9" w:type="dxa"/>
          <w:trHeight w:val="170"/>
        </w:trPr>
        <w:tc>
          <w:tcPr>
            <w:tcW w:w="2213" w:type="dxa"/>
            <w:tcBorders>
              <w:top w:val="single" w:sz="4" w:space="0" w:color="A6A6A6"/>
              <w:bottom w:val="single" w:sz="4" w:space="0" w:color="A6A6A6"/>
            </w:tcBorders>
            <w:hideMark/>
          </w:tcPr>
          <w:p w14:paraId="36D320D4" w14:textId="766EA88C" w:rsidR="00087B91" w:rsidRPr="002029AF" w:rsidRDefault="00087B91" w:rsidP="00860E95">
            <w:pPr>
              <w:pStyle w:val="ARfintablebody"/>
            </w:pPr>
            <w:r w:rsidRPr="002029AF">
              <w:t>Grants</w:t>
            </w:r>
            <w:r w:rsidR="000A5329" w:rsidRPr="002029AF">
              <w:t xml:space="preserve"> </w:t>
            </w:r>
            <w:r w:rsidRPr="002029AF">
              <w:t>and</w:t>
            </w:r>
            <w:r w:rsidR="000A5329" w:rsidRPr="002029AF">
              <w:t xml:space="preserve"> </w:t>
            </w:r>
            <w:r w:rsidRPr="002029AF">
              <w:t>other</w:t>
            </w:r>
            <w:r w:rsidR="000A5329" w:rsidRPr="002029AF">
              <w:t xml:space="preserve"> </w:t>
            </w:r>
            <w:r w:rsidRPr="002029AF">
              <w:t>expense</w:t>
            </w:r>
            <w:r w:rsidR="000A5329" w:rsidRPr="002029AF">
              <w:t xml:space="preserve"> </w:t>
            </w:r>
            <w:r w:rsidRPr="002029AF">
              <w:t>transfers</w:t>
            </w:r>
          </w:p>
        </w:tc>
        <w:tc>
          <w:tcPr>
            <w:tcW w:w="901" w:type="dxa"/>
            <w:tcBorders>
              <w:top w:val="single" w:sz="4" w:space="0" w:color="A6A6A6"/>
              <w:bottom w:val="single" w:sz="4" w:space="0" w:color="A6A6A6"/>
            </w:tcBorders>
            <w:noWrap/>
            <w:hideMark/>
          </w:tcPr>
          <w:p w14:paraId="5C9F33EA" w14:textId="77777777" w:rsidR="00087B91" w:rsidRPr="002029AF" w:rsidRDefault="00087B91" w:rsidP="00860E95">
            <w:pPr>
              <w:pStyle w:val="ARfintablebodyright"/>
              <w:ind w:right="0"/>
            </w:pPr>
            <w:r w:rsidRPr="002029AF">
              <w:t>9,163.4</w:t>
            </w:r>
          </w:p>
        </w:tc>
        <w:tc>
          <w:tcPr>
            <w:tcW w:w="709" w:type="dxa"/>
            <w:tcBorders>
              <w:top w:val="single" w:sz="4" w:space="0" w:color="A6A6A6"/>
              <w:bottom w:val="single" w:sz="4" w:space="0" w:color="A6A6A6"/>
            </w:tcBorders>
            <w:noWrap/>
            <w:hideMark/>
          </w:tcPr>
          <w:p w14:paraId="62977C1C" w14:textId="77777777" w:rsidR="00087B91" w:rsidRPr="002029AF" w:rsidRDefault="00087B91" w:rsidP="00860E95">
            <w:pPr>
              <w:pStyle w:val="ARfintablebodyright"/>
              <w:ind w:right="0"/>
            </w:pPr>
            <w:r w:rsidRPr="002029AF">
              <w:t>807.1</w:t>
            </w:r>
          </w:p>
        </w:tc>
        <w:tc>
          <w:tcPr>
            <w:tcW w:w="575" w:type="dxa"/>
            <w:tcBorders>
              <w:top w:val="single" w:sz="4" w:space="0" w:color="A6A6A6"/>
              <w:bottom w:val="single" w:sz="4" w:space="0" w:color="A6A6A6"/>
            </w:tcBorders>
            <w:noWrap/>
            <w:hideMark/>
          </w:tcPr>
          <w:p w14:paraId="688131C9" w14:textId="77777777" w:rsidR="00087B91" w:rsidRPr="002029AF" w:rsidRDefault="00087B91" w:rsidP="00860E95">
            <w:pPr>
              <w:pStyle w:val="ARfintablebodyright"/>
              <w:ind w:right="0"/>
            </w:pPr>
            <w:r w:rsidRPr="002029AF">
              <w:t>1,344.9</w:t>
            </w:r>
          </w:p>
        </w:tc>
        <w:tc>
          <w:tcPr>
            <w:tcW w:w="681" w:type="dxa"/>
            <w:tcBorders>
              <w:top w:val="single" w:sz="4" w:space="0" w:color="A6A6A6"/>
              <w:bottom w:val="single" w:sz="4" w:space="0" w:color="A6A6A6"/>
            </w:tcBorders>
            <w:noWrap/>
            <w:hideMark/>
          </w:tcPr>
          <w:p w14:paraId="3F5FD046" w14:textId="77777777" w:rsidR="00087B91" w:rsidRPr="002029AF" w:rsidRDefault="00087B91" w:rsidP="00860E95">
            <w:pPr>
              <w:pStyle w:val="ARfintablebodyright"/>
              <w:ind w:right="0"/>
            </w:pPr>
            <w:r w:rsidRPr="002029AF">
              <w:t>416.6</w:t>
            </w:r>
          </w:p>
        </w:tc>
        <w:tc>
          <w:tcPr>
            <w:tcW w:w="728" w:type="dxa"/>
            <w:tcBorders>
              <w:top w:val="single" w:sz="4" w:space="0" w:color="A6A6A6"/>
              <w:bottom w:val="single" w:sz="4" w:space="0" w:color="A6A6A6"/>
            </w:tcBorders>
            <w:noWrap/>
            <w:hideMark/>
          </w:tcPr>
          <w:p w14:paraId="59C5E89E" w14:textId="77777777" w:rsidR="00087B91" w:rsidRPr="002029AF" w:rsidRDefault="00087B91" w:rsidP="00860E95">
            <w:pPr>
              <w:pStyle w:val="ARfintablebodyright"/>
              <w:ind w:right="0"/>
            </w:pPr>
            <w:r w:rsidRPr="002029AF">
              <w:t>512.5</w:t>
            </w:r>
          </w:p>
        </w:tc>
        <w:tc>
          <w:tcPr>
            <w:tcW w:w="614" w:type="dxa"/>
            <w:tcBorders>
              <w:top w:val="single" w:sz="4" w:space="0" w:color="A6A6A6"/>
              <w:bottom w:val="single" w:sz="4" w:space="0" w:color="A6A6A6"/>
            </w:tcBorders>
            <w:noWrap/>
            <w:hideMark/>
          </w:tcPr>
          <w:p w14:paraId="1879D16A" w14:textId="77777777" w:rsidR="00087B91" w:rsidRPr="002029AF" w:rsidRDefault="00087B91" w:rsidP="00860E95">
            <w:pPr>
              <w:pStyle w:val="ARfintablebodyright"/>
              <w:ind w:right="0"/>
            </w:pPr>
            <w:r w:rsidRPr="002029AF">
              <w:t>380.4</w:t>
            </w:r>
          </w:p>
        </w:tc>
        <w:tc>
          <w:tcPr>
            <w:tcW w:w="680" w:type="dxa"/>
            <w:tcBorders>
              <w:top w:val="single" w:sz="4" w:space="0" w:color="A6A6A6"/>
              <w:bottom w:val="single" w:sz="4" w:space="0" w:color="A6A6A6"/>
            </w:tcBorders>
            <w:noWrap/>
            <w:hideMark/>
          </w:tcPr>
          <w:p w14:paraId="14638516" w14:textId="77777777" w:rsidR="00087B91" w:rsidRPr="002029AF" w:rsidRDefault="00087B91" w:rsidP="00860E95">
            <w:pPr>
              <w:pStyle w:val="ARfintablebodyright"/>
              <w:ind w:right="0"/>
            </w:pPr>
            <w:r w:rsidRPr="002029AF">
              <w:t>326.5</w:t>
            </w:r>
          </w:p>
        </w:tc>
        <w:tc>
          <w:tcPr>
            <w:tcW w:w="680" w:type="dxa"/>
            <w:tcBorders>
              <w:top w:val="single" w:sz="4" w:space="0" w:color="A6A6A6"/>
              <w:bottom w:val="single" w:sz="4" w:space="0" w:color="A6A6A6"/>
            </w:tcBorders>
            <w:noWrap/>
            <w:hideMark/>
          </w:tcPr>
          <w:p w14:paraId="48F54B99" w14:textId="77777777" w:rsidR="00087B91" w:rsidRPr="002029AF" w:rsidRDefault="00087B91" w:rsidP="00860E95">
            <w:pPr>
              <w:pStyle w:val="ARfintablebodyright"/>
              <w:ind w:right="0"/>
            </w:pPr>
            <w:r w:rsidRPr="002029AF">
              <w:t>246.3</w:t>
            </w:r>
          </w:p>
        </w:tc>
        <w:tc>
          <w:tcPr>
            <w:tcW w:w="719" w:type="dxa"/>
            <w:tcBorders>
              <w:top w:val="single" w:sz="4" w:space="0" w:color="A6A6A6"/>
              <w:bottom w:val="single" w:sz="4" w:space="0" w:color="A6A6A6"/>
            </w:tcBorders>
            <w:noWrap/>
            <w:hideMark/>
          </w:tcPr>
          <w:p w14:paraId="056205AD" w14:textId="77777777" w:rsidR="00087B91" w:rsidRPr="002029AF" w:rsidRDefault="00087B91" w:rsidP="00860E95">
            <w:pPr>
              <w:pStyle w:val="ARfintablebodyright"/>
              <w:ind w:right="0"/>
            </w:pPr>
            <w:r w:rsidRPr="002029AF">
              <w:t>1,698.5</w:t>
            </w:r>
          </w:p>
        </w:tc>
        <w:tc>
          <w:tcPr>
            <w:tcW w:w="709" w:type="dxa"/>
            <w:tcBorders>
              <w:top w:val="single" w:sz="4" w:space="0" w:color="A6A6A6"/>
              <w:bottom w:val="single" w:sz="4" w:space="0" w:color="A6A6A6"/>
            </w:tcBorders>
            <w:noWrap/>
            <w:hideMark/>
          </w:tcPr>
          <w:p w14:paraId="1C807034" w14:textId="77777777" w:rsidR="00087B91" w:rsidRPr="002029AF" w:rsidRDefault="00087B91" w:rsidP="00860E95">
            <w:pPr>
              <w:pStyle w:val="ARfintablebodyright"/>
              <w:ind w:right="0"/>
            </w:pPr>
            <w:r w:rsidRPr="002029AF">
              <w:t>947.1</w:t>
            </w:r>
          </w:p>
        </w:tc>
        <w:tc>
          <w:tcPr>
            <w:tcW w:w="709" w:type="dxa"/>
            <w:tcBorders>
              <w:top w:val="single" w:sz="4" w:space="0" w:color="A6A6A6"/>
              <w:bottom w:val="single" w:sz="4" w:space="0" w:color="A6A6A6"/>
            </w:tcBorders>
            <w:noWrap/>
            <w:hideMark/>
          </w:tcPr>
          <w:p w14:paraId="065D30C5" w14:textId="77777777" w:rsidR="00087B91" w:rsidRPr="002029AF" w:rsidRDefault="00087B91" w:rsidP="00860E95">
            <w:pPr>
              <w:pStyle w:val="ARfintablebodyright"/>
              <w:ind w:right="0"/>
            </w:pPr>
            <w:r w:rsidRPr="002029AF">
              <w:t>737.6</w:t>
            </w:r>
          </w:p>
        </w:tc>
        <w:tc>
          <w:tcPr>
            <w:tcW w:w="709" w:type="dxa"/>
            <w:tcBorders>
              <w:top w:val="single" w:sz="4" w:space="0" w:color="A6A6A6"/>
              <w:bottom w:val="single" w:sz="4" w:space="0" w:color="A6A6A6"/>
            </w:tcBorders>
            <w:noWrap/>
            <w:hideMark/>
          </w:tcPr>
          <w:p w14:paraId="402499AF" w14:textId="77777777" w:rsidR="00087B91" w:rsidRPr="002029AF" w:rsidRDefault="00087B91" w:rsidP="00860E95">
            <w:pPr>
              <w:pStyle w:val="ARfintablebodyright"/>
              <w:ind w:right="0"/>
            </w:pPr>
            <w:r w:rsidRPr="002029AF">
              <w:t>53.9</w:t>
            </w:r>
          </w:p>
        </w:tc>
        <w:tc>
          <w:tcPr>
            <w:tcW w:w="567" w:type="dxa"/>
            <w:tcBorders>
              <w:top w:val="single" w:sz="4" w:space="0" w:color="A6A6A6"/>
              <w:bottom w:val="single" w:sz="4" w:space="0" w:color="A6A6A6"/>
            </w:tcBorders>
            <w:noWrap/>
            <w:hideMark/>
          </w:tcPr>
          <w:p w14:paraId="5728972E" w14:textId="77777777" w:rsidR="00087B91" w:rsidRPr="002029AF" w:rsidRDefault="00087B91" w:rsidP="00860E95">
            <w:pPr>
              <w:pStyle w:val="ARfintablebodyright"/>
              <w:ind w:right="0"/>
            </w:pPr>
            <w:r w:rsidRPr="002029AF">
              <w:t>–</w:t>
            </w:r>
          </w:p>
        </w:tc>
        <w:tc>
          <w:tcPr>
            <w:tcW w:w="708" w:type="dxa"/>
            <w:tcBorders>
              <w:top w:val="single" w:sz="4" w:space="0" w:color="A6A6A6"/>
              <w:bottom w:val="single" w:sz="4" w:space="0" w:color="A6A6A6"/>
            </w:tcBorders>
            <w:noWrap/>
            <w:hideMark/>
          </w:tcPr>
          <w:p w14:paraId="4B3C99ED" w14:textId="77777777" w:rsidR="00087B91" w:rsidRPr="002029AF" w:rsidRDefault="00087B91" w:rsidP="00860E95">
            <w:pPr>
              <w:pStyle w:val="ARfintablebodyright"/>
              <w:ind w:right="0"/>
            </w:pPr>
            <w:r w:rsidRPr="002029AF">
              <w:t>210.0</w:t>
            </w:r>
          </w:p>
        </w:tc>
        <w:tc>
          <w:tcPr>
            <w:tcW w:w="709" w:type="dxa"/>
            <w:tcBorders>
              <w:top w:val="single" w:sz="4" w:space="0" w:color="A6A6A6"/>
              <w:bottom w:val="single" w:sz="4" w:space="0" w:color="A6A6A6"/>
            </w:tcBorders>
            <w:noWrap/>
            <w:hideMark/>
          </w:tcPr>
          <w:p w14:paraId="6EE9E73F" w14:textId="77777777" w:rsidR="00087B91" w:rsidRPr="002029AF" w:rsidRDefault="00087B91" w:rsidP="00860E95">
            <w:pPr>
              <w:pStyle w:val="ARfintablebodyright"/>
              <w:ind w:right="0"/>
            </w:pPr>
            <w:r w:rsidRPr="002029AF">
              <w:t>474.4</w:t>
            </w:r>
          </w:p>
        </w:tc>
        <w:tc>
          <w:tcPr>
            <w:tcW w:w="709" w:type="dxa"/>
            <w:tcBorders>
              <w:top w:val="single" w:sz="4" w:space="0" w:color="A6A6A6"/>
              <w:bottom w:val="single" w:sz="4" w:space="0" w:color="A6A6A6"/>
            </w:tcBorders>
            <w:noWrap/>
            <w:hideMark/>
          </w:tcPr>
          <w:p w14:paraId="1E594709" w14:textId="77777777" w:rsidR="00087B91" w:rsidRPr="002029AF" w:rsidRDefault="00087B91" w:rsidP="00860E95">
            <w:pPr>
              <w:pStyle w:val="ARfintablebodyright"/>
              <w:ind w:right="0"/>
            </w:pPr>
            <w:r w:rsidRPr="002029AF">
              <w:t>–</w:t>
            </w:r>
          </w:p>
        </w:tc>
        <w:tc>
          <w:tcPr>
            <w:tcW w:w="567" w:type="dxa"/>
            <w:tcBorders>
              <w:top w:val="single" w:sz="4" w:space="0" w:color="A6A6A6"/>
              <w:bottom w:val="single" w:sz="4" w:space="0" w:color="A6A6A6"/>
            </w:tcBorders>
            <w:noWrap/>
            <w:hideMark/>
          </w:tcPr>
          <w:p w14:paraId="6206F484" w14:textId="77777777" w:rsidR="00087B91" w:rsidRPr="002029AF" w:rsidRDefault="00087B91" w:rsidP="00860E95">
            <w:pPr>
              <w:pStyle w:val="ARfintablebodyright"/>
              <w:ind w:right="0"/>
            </w:pPr>
            <w:r w:rsidRPr="002029AF">
              <w:t>(11.2)</w:t>
            </w:r>
          </w:p>
        </w:tc>
        <w:tc>
          <w:tcPr>
            <w:tcW w:w="714" w:type="dxa"/>
            <w:tcBorders>
              <w:top w:val="single" w:sz="4" w:space="0" w:color="A6A6A6"/>
              <w:bottom w:val="single" w:sz="4" w:space="0" w:color="A6A6A6"/>
            </w:tcBorders>
            <w:noWrap/>
            <w:hideMark/>
          </w:tcPr>
          <w:p w14:paraId="3FDF5A66" w14:textId="77777777" w:rsidR="00087B91" w:rsidRPr="002029AF" w:rsidRDefault="00087B91" w:rsidP="00860E95">
            <w:pPr>
              <w:pStyle w:val="ARfintablebodyright"/>
              <w:ind w:right="0"/>
            </w:pPr>
            <w:r w:rsidRPr="002029AF">
              <w:t>17,308.0</w:t>
            </w:r>
          </w:p>
        </w:tc>
      </w:tr>
      <w:tr w:rsidR="00595FA8" w:rsidRPr="002029AF" w14:paraId="241401AA" w14:textId="77777777" w:rsidTr="00C81A0B">
        <w:trPr>
          <w:gridAfter w:val="1"/>
          <w:wAfter w:w="9" w:type="dxa"/>
          <w:trHeight w:val="170"/>
        </w:trPr>
        <w:tc>
          <w:tcPr>
            <w:tcW w:w="2213" w:type="dxa"/>
            <w:tcBorders>
              <w:top w:val="single" w:sz="4" w:space="0" w:color="A6A6A6"/>
              <w:bottom w:val="single" w:sz="4" w:space="0" w:color="A6A6A6"/>
            </w:tcBorders>
            <w:hideMark/>
          </w:tcPr>
          <w:p w14:paraId="51C1F831" w14:textId="39E0552C" w:rsidR="00087B91" w:rsidRPr="002029AF" w:rsidRDefault="00087B91" w:rsidP="00860E95">
            <w:pPr>
              <w:pStyle w:val="ARfintablebody"/>
            </w:pPr>
            <w:r w:rsidRPr="002029AF">
              <w:t>Capital</w:t>
            </w:r>
            <w:r w:rsidR="000A5329" w:rsidRPr="002029AF">
              <w:t xml:space="preserve"> </w:t>
            </w:r>
            <w:r w:rsidRPr="002029AF">
              <w:t>asset</w:t>
            </w:r>
            <w:r w:rsidR="000A5329" w:rsidRPr="002029AF">
              <w:t xml:space="preserve"> </w:t>
            </w:r>
            <w:r w:rsidRPr="002029AF">
              <w:t>charge</w:t>
            </w:r>
          </w:p>
        </w:tc>
        <w:tc>
          <w:tcPr>
            <w:tcW w:w="901" w:type="dxa"/>
            <w:tcBorders>
              <w:top w:val="single" w:sz="4" w:space="0" w:color="A6A6A6"/>
              <w:bottom w:val="single" w:sz="4" w:space="0" w:color="A6A6A6"/>
            </w:tcBorders>
            <w:noWrap/>
            <w:hideMark/>
          </w:tcPr>
          <w:p w14:paraId="195B5854" w14:textId="77777777" w:rsidR="00087B91" w:rsidRPr="002029AF" w:rsidRDefault="00087B91" w:rsidP="00860E95">
            <w:pPr>
              <w:pStyle w:val="ARfintablebodyright"/>
              <w:ind w:right="0"/>
            </w:pPr>
            <w:r w:rsidRPr="002029AF">
              <w:t>1,028.1</w:t>
            </w:r>
          </w:p>
        </w:tc>
        <w:tc>
          <w:tcPr>
            <w:tcW w:w="709" w:type="dxa"/>
            <w:tcBorders>
              <w:top w:val="single" w:sz="4" w:space="0" w:color="A6A6A6"/>
              <w:bottom w:val="single" w:sz="4" w:space="0" w:color="A6A6A6"/>
            </w:tcBorders>
            <w:noWrap/>
            <w:hideMark/>
          </w:tcPr>
          <w:p w14:paraId="605850E7" w14:textId="77777777" w:rsidR="00087B91" w:rsidRPr="002029AF" w:rsidRDefault="00087B91" w:rsidP="00860E95">
            <w:pPr>
              <w:pStyle w:val="ARfintablebodyright"/>
              <w:ind w:right="0"/>
            </w:pPr>
            <w:r w:rsidRPr="002029AF">
              <w:t>26.4</w:t>
            </w:r>
          </w:p>
        </w:tc>
        <w:tc>
          <w:tcPr>
            <w:tcW w:w="575" w:type="dxa"/>
            <w:tcBorders>
              <w:top w:val="single" w:sz="4" w:space="0" w:color="A6A6A6"/>
              <w:bottom w:val="single" w:sz="4" w:space="0" w:color="A6A6A6"/>
            </w:tcBorders>
            <w:noWrap/>
            <w:hideMark/>
          </w:tcPr>
          <w:p w14:paraId="37248536" w14:textId="77777777" w:rsidR="00087B91" w:rsidRPr="002029AF" w:rsidRDefault="00087B91" w:rsidP="00860E95">
            <w:pPr>
              <w:pStyle w:val="ARfintablebodyright"/>
              <w:ind w:right="0"/>
            </w:pPr>
            <w:r w:rsidRPr="002029AF">
              <w:t>83.6</w:t>
            </w:r>
          </w:p>
        </w:tc>
        <w:tc>
          <w:tcPr>
            <w:tcW w:w="681" w:type="dxa"/>
            <w:tcBorders>
              <w:top w:val="single" w:sz="4" w:space="0" w:color="A6A6A6"/>
              <w:bottom w:val="single" w:sz="4" w:space="0" w:color="A6A6A6"/>
            </w:tcBorders>
            <w:noWrap/>
            <w:hideMark/>
          </w:tcPr>
          <w:p w14:paraId="0F17338C" w14:textId="77777777" w:rsidR="00087B91" w:rsidRPr="002029AF" w:rsidRDefault="00087B91" w:rsidP="00860E95">
            <w:pPr>
              <w:pStyle w:val="ARfintablebodyright"/>
              <w:ind w:right="0"/>
            </w:pPr>
            <w:r w:rsidRPr="002029AF">
              <w:t>55.4</w:t>
            </w:r>
          </w:p>
        </w:tc>
        <w:tc>
          <w:tcPr>
            <w:tcW w:w="728" w:type="dxa"/>
            <w:tcBorders>
              <w:top w:val="single" w:sz="4" w:space="0" w:color="A6A6A6"/>
              <w:bottom w:val="single" w:sz="4" w:space="0" w:color="A6A6A6"/>
            </w:tcBorders>
            <w:noWrap/>
            <w:hideMark/>
          </w:tcPr>
          <w:p w14:paraId="08214DEA" w14:textId="77777777" w:rsidR="00087B91" w:rsidRPr="002029AF" w:rsidRDefault="00087B91" w:rsidP="00860E95">
            <w:pPr>
              <w:pStyle w:val="ARfintablebodyright"/>
              <w:ind w:right="0"/>
            </w:pPr>
            <w:r w:rsidRPr="002029AF">
              <w:t>26.4</w:t>
            </w:r>
          </w:p>
        </w:tc>
        <w:tc>
          <w:tcPr>
            <w:tcW w:w="614" w:type="dxa"/>
            <w:tcBorders>
              <w:top w:val="single" w:sz="4" w:space="0" w:color="A6A6A6"/>
              <w:bottom w:val="single" w:sz="4" w:space="0" w:color="A6A6A6"/>
            </w:tcBorders>
            <w:noWrap/>
            <w:hideMark/>
          </w:tcPr>
          <w:p w14:paraId="00B6CB80" w14:textId="77777777" w:rsidR="00087B91" w:rsidRPr="002029AF" w:rsidRDefault="00087B91" w:rsidP="00860E95">
            <w:pPr>
              <w:pStyle w:val="ARfintablebodyright"/>
              <w:ind w:right="0"/>
            </w:pPr>
            <w:r w:rsidRPr="002029AF">
              <w:t>35.8</w:t>
            </w:r>
          </w:p>
        </w:tc>
        <w:tc>
          <w:tcPr>
            <w:tcW w:w="680" w:type="dxa"/>
            <w:tcBorders>
              <w:top w:val="single" w:sz="4" w:space="0" w:color="A6A6A6"/>
              <w:bottom w:val="single" w:sz="4" w:space="0" w:color="A6A6A6"/>
            </w:tcBorders>
            <w:noWrap/>
            <w:hideMark/>
          </w:tcPr>
          <w:p w14:paraId="7FA99788" w14:textId="77777777" w:rsidR="00087B91" w:rsidRPr="002029AF" w:rsidRDefault="00087B91" w:rsidP="00860E95">
            <w:pPr>
              <w:pStyle w:val="ARfintablebodyright"/>
              <w:ind w:right="0"/>
            </w:pPr>
            <w:r w:rsidRPr="002029AF">
              <w:t>2.5</w:t>
            </w:r>
          </w:p>
        </w:tc>
        <w:tc>
          <w:tcPr>
            <w:tcW w:w="680" w:type="dxa"/>
            <w:tcBorders>
              <w:top w:val="single" w:sz="4" w:space="0" w:color="A6A6A6"/>
              <w:bottom w:val="single" w:sz="4" w:space="0" w:color="A6A6A6"/>
            </w:tcBorders>
            <w:noWrap/>
            <w:hideMark/>
          </w:tcPr>
          <w:p w14:paraId="282738CA" w14:textId="77777777" w:rsidR="00087B91" w:rsidRPr="002029AF" w:rsidRDefault="00087B91" w:rsidP="00860E95">
            <w:pPr>
              <w:pStyle w:val="ARfintablebodyright"/>
              <w:ind w:right="0"/>
            </w:pPr>
            <w:r w:rsidRPr="002029AF">
              <w:t>4.3</w:t>
            </w:r>
          </w:p>
        </w:tc>
        <w:tc>
          <w:tcPr>
            <w:tcW w:w="719" w:type="dxa"/>
            <w:tcBorders>
              <w:top w:val="single" w:sz="4" w:space="0" w:color="A6A6A6"/>
              <w:bottom w:val="single" w:sz="4" w:space="0" w:color="A6A6A6"/>
            </w:tcBorders>
            <w:noWrap/>
            <w:hideMark/>
          </w:tcPr>
          <w:p w14:paraId="03BA707B" w14:textId="77777777" w:rsidR="00087B91" w:rsidRPr="002029AF" w:rsidRDefault="00087B91" w:rsidP="00860E95">
            <w:pPr>
              <w:pStyle w:val="ARfintablebodyright"/>
              <w:ind w:right="0"/>
            </w:pPr>
            <w:r w:rsidRPr="002029AF">
              <w:t>39.9</w:t>
            </w:r>
          </w:p>
        </w:tc>
        <w:tc>
          <w:tcPr>
            <w:tcW w:w="709" w:type="dxa"/>
            <w:tcBorders>
              <w:top w:val="single" w:sz="4" w:space="0" w:color="A6A6A6"/>
              <w:bottom w:val="single" w:sz="4" w:space="0" w:color="A6A6A6"/>
            </w:tcBorders>
            <w:noWrap/>
            <w:hideMark/>
          </w:tcPr>
          <w:p w14:paraId="2279E305" w14:textId="77777777" w:rsidR="00087B91" w:rsidRPr="002029AF" w:rsidRDefault="00087B91" w:rsidP="00860E95">
            <w:pPr>
              <w:pStyle w:val="ARfintablebodyright"/>
              <w:ind w:right="0"/>
            </w:pPr>
            <w:r w:rsidRPr="002029AF">
              <w:t>14.6</w:t>
            </w:r>
          </w:p>
        </w:tc>
        <w:tc>
          <w:tcPr>
            <w:tcW w:w="709" w:type="dxa"/>
            <w:tcBorders>
              <w:top w:val="single" w:sz="4" w:space="0" w:color="A6A6A6"/>
              <w:bottom w:val="single" w:sz="4" w:space="0" w:color="A6A6A6"/>
            </w:tcBorders>
            <w:noWrap/>
            <w:hideMark/>
          </w:tcPr>
          <w:p w14:paraId="39070378" w14:textId="77777777" w:rsidR="00087B91" w:rsidRPr="002029AF" w:rsidRDefault="00087B91" w:rsidP="00860E95">
            <w:pPr>
              <w:pStyle w:val="ARfintablebodyright"/>
              <w:ind w:right="0"/>
            </w:pPr>
            <w:r w:rsidRPr="002029AF">
              <w:t>–</w:t>
            </w:r>
          </w:p>
        </w:tc>
        <w:tc>
          <w:tcPr>
            <w:tcW w:w="709" w:type="dxa"/>
            <w:tcBorders>
              <w:top w:val="single" w:sz="4" w:space="0" w:color="A6A6A6"/>
              <w:bottom w:val="single" w:sz="4" w:space="0" w:color="A6A6A6"/>
            </w:tcBorders>
            <w:noWrap/>
            <w:hideMark/>
          </w:tcPr>
          <w:p w14:paraId="5D1CE577" w14:textId="77777777" w:rsidR="00087B91" w:rsidRPr="002029AF" w:rsidRDefault="00087B91" w:rsidP="00860E95">
            <w:pPr>
              <w:pStyle w:val="ARfintablebodyright"/>
              <w:ind w:right="0"/>
            </w:pPr>
            <w:r w:rsidRPr="002029AF">
              <w:t>–</w:t>
            </w:r>
          </w:p>
        </w:tc>
        <w:tc>
          <w:tcPr>
            <w:tcW w:w="567" w:type="dxa"/>
            <w:tcBorders>
              <w:top w:val="single" w:sz="4" w:space="0" w:color="A6A6A6"/>
              <w:bottom w:val="single" w:sz="4" w:space="0" w:color="A6A6A6"/>
            </w:tcBorders>
            <w:noWrap/>
            <w:hideMark/>
          </w:tcPr>
          <w:p w14:paraId="389BDC06" w14:textId="77777777" w:rsidR="00087B91" w:rsidRPr="002029AF" w:rsidRDefault="00087B91" w:rsidP="00860E95">
            <w:pPr>
              <w:pStyle w:val="ARfintablebodyright"/>
              <w:ind w:right="0"/>
            </w:pPr>
            <w:r w:rsidRPr="002029AF">
              <w:t>–</w:t>
            </w:r>
          </w:p>
        </w:tc>
        <w:tc>
          <w:tcPr>
            <w:tcW w:w="708" w:type="dxa"/>
            <w:tcBorders>
              <w:top w:val="single" w:sz="4" w:space="0" w:color="A6A6A6"/>
              <w:bottom w:val="single" w:sz="4" w:space="0" w:color="A6A6A6"/>
            </w:tcBorders>
            <w:noWrap/>
            <w:hideMark/>
          </w:tcPr>
          <w:p w14:paraId="4E54AB32" w14:textId="77777777" w:rsidR="00087B91" w:rsidRPr="002029AF" w:rsidRDefault="00087B91" w:rsidP="00860E95">
            <w:pPr>
              <w:pStyle w:val="ARfintablebodyright"/>
              <w:ind w:right="0"/>
            </w:pPr>
            <w:r w:rsidRPr="002029AF">
              <w:t>2.8</w:t>
            </w:r>
          </w:p>
        </w:tc>
        <w:tc>
          <w:tcPr>
            <w:tcW w:w="709" w:type="dxa"/>
            <w:tcBorders>
              <w:top w:val="single" w:sz="4" w:space="0" w:color="A6A6A6"/>
              <w:bottom w:val="single" w:sz="4" w:space="0" w:color="A6A6A6"/>
            </w:tcBorders>
            <w:noWrap/>
            <w:hideMark/>
          </w:tcPr>
          <w:p w14:paraId="21386EEA" w14:textId="77777777" w:rsidR="00087B91" w:rsidRPr="002029AF" w:rsidRDefault="00087B91" w:rsidP="00860E95">
            <w:pPr>
              <w:pStyle w:val="ARfintablebodyright"/>
              <w:ind w:right="0"/>
            </w:pPr>
            <w:r w:rsidRPr="002029AF">
              <w:t>–</w:t>
            </w:r>
          </w:p>
        </w:tc>
        <w:tc>
          <w:tcPr>
            <w:tcW w:w="709" w:type="dxa"/>
            <w:tcBorders>
              <w:top w:val="single" w:sz="4" w:space="0" w:color="A6A6A6"/>
              <w:bottom w:val="single" w:sz="4" w:space="0" w:color="A6A6A6"/>
            </w:tcBorders>
            <w:noWrap/>
            <w:hideMark/>
          </w:tcPr>
          <w:p w14:paraId="0D03C101" w14:textId="77777777" w:rsidR="00087B91" w:rsidRPr="002029AF" w:rsidRDefault="00087B91" w:rsidP="00860E95">
            <w:pPr>
              <w:pStyle w:val="ARfintablebodyright"/>
              <w:ind w:right="0"/>
            </w:pPr>
            <w:r w:rsidRPr="002029AF">
              <w:t>–</w:t>
            </w:r>
          </w:p>
        </w:tc>
        <w:tc>
          <w:tcPr>
            <w:tcW w:w="567" w:type="dxa"/>
            <w:tcBorders>
              <w:top w:val="single" w:sz="4" w:space="0" w:color="A6A6A6"/>
              <w:bottom w:val="single" w:sz="4" w:space="0" w:color="A6A6A6"/>
            </w:tcBorders>
            <w:noWrap/>
            <w:hideMark/>
          </w:tcPr>
          <w:p w14:paraId="64100D77" w14:textId="77777777" w:rsidR="00087B91" w:rsidRPr="002029AF" w:rsidRDefault="00087B91" w:rsidP="00860E95">
            <w:pPr>
              <w:pStyle w:val="ARfintablebodyright"/>
              <w:ind w:right="0"/>
            </w:pPr>
            <w:r w:rsidRPr="002029AF">
              <w:t>–</w:t>
            </w:r>
          </w:p>
        </w:tc>
        <w:tc>
          <w:tcPr>
            <w:tcW w:w="714" w:type="dxa"/>
            <w:tcBorders>
              <w:top w:val="single" w:sz="4" w:space="0" w:color="A6A6A6"/>
              <w:bottom w:val="single" w:sz="4" w:space="0" w:color="A6A6A6"/>
            </w:tcBorders>
            <w:noWrap/>
            <w:hideMark/>
          </w:tcPr>
          <w:p w14:paraId="56E180B8" w14:textId="77777777" w:rsidR="00087B91" w:rsidRPr="002029AF" w:rsidRDefault="00087B91" w:rsidP="00860E95">
            <w:pPr>
              <w:pStyle w:val="ARfintablebodyright"/>
              <w:ind w:right="0"/>
            </w:pPr>
            <w:r w:rsidRPr="002029AF">
              <w:t>1,319.8</w:t>
            </w:r>
          </w:p>
        </w:tc>
      </w:tr>
      <w:tr w:rsidR="00595FA8" w:rsidRPr="002029AF" w14:paraId="69043CFA" w14:textId="77777777" w:rsidTr="00C81A0B">
        <w:trPr>
          <w:gridAfter w:val="1"/>
          <w:wAfter w:w="9" w:type="dxa"/>
          <w:trHeight w:val="170"/>
        </w:trPr>
        <w:tc>
          <w:tcPr>
            <w:tcW w:w="2213" w:type="dxa"/>
            <w:tcBorders>
              <w:top w:val="single" w:sz="4" w:space="0" w:color="A6A6A6"/>
            </w:tcBorders>
            <w:hideMark/>
          </w:tcPr>
          <w:p w14:paraId="2E90A309" w14:textId="5F0AEF53" w:rsidR="00087B91" w:rsidRPr="002029AF" w:rsidRDefault="00087B91" w:rsidP="00860E95">
            <w:pPr>
              <w:pStyle w:val="ARfintablebody"/>
            </w:pPr>
            <w:r w:rsidRPr="002029AF">
              <w:t>Other</w:t>
            </w:r>
            <w:r w:rsidR="000A5329" w:rsidRPr="002029AF">
              <w:t xml:space="preserve"> </w:t>
            </w:r>
            <w:r w:rsidRPr="002029AF">
              <w:t>property</w:t>
            </w:r>
            <w:r w:rsidR="000A5329" w:rsidRPr="002029AF">
              <w:t xml:space="preserve"> </w:t>
            </w:r>
            <w:r w:rsidRPr="002029AF">
              <w:t>management</w:t>
            </w:r>
            <w:r w:rsidR="000A5329" w:rsidRPr="002029AF">
              <w:t xml:space="preserve"> </w:t>
            </w:r>
            <w:r w:rsidRPr="002029AF">
              <w:t>expenses</w:t>
            </w:r>
          </w:p>
        </w:tc>
        <w:tc>
          <w:tcPr>
            <w:tcW w:w="901" w:type="dxa"/>
            <w:tcBorders>
              <w:top w:val="single" w:sz="4" w:space="0" w:color="A6A6A6"/>
            </w:tcBorders>
            <w:noWrap/>
            <w:hideMark/>
          </w:tcPr>
          <w:p w14:paraId="7DCB66A9" w14:textId="77777777" w:rsidR="00087B91" w:rsidRPr="002029AF" w:rsidRDefault="00087B91" w:rsidP="00860E95">
            <w:pPr>
              <w:pStyle w:val="ARfintablebodyright"/>
              <w:ind w:right="0"/>
            </w:pPr>
            <w:r w:rsidRPr="002029AF">
              <w:t>–</w:t>
            </w:r>
          </w:p>
        </w:tc>
        <w:tc>
          <w:tcPr>
            <w:tcW w:w="709" w:type="dxa"/>
            <w:tcBorders>
              <w:top w:val="single" w:sz="4" w:space="0" w:color="A6A6A6"/>
            </w:tcBorders>
            <w:noWrap/>
            <w:hideMark/>
          </w:tcPr>
          <w:p w14:paraId="7F2E4BCA" w14:textId="77777777" w:rsidR="00087B91" w:rsidRPr="002029AF" w:rsidRDefault="00087B91" w:rsidP="00860E95">
            <w:pPr>
              <w:pStyle w:val="ARfintablebodyright"/>
              <w:ind w:right="0"/>
            </w:pPr>
            <w:r w:rsidRPr="002029AF">
              <w:t>–</w:t>
            </w:r>
          </w:p>
        </w:tc>
        <w:tc>
          <w:tcPr>
            <w:tcW w:w="575" w:type="dxa"/>
            <w:tcBorders>
              <w:top w:val="single" w:sz="4" w:space="0" w:color="A6A6A6"/>
            </w:tcBorders>
            <w:noWrap/>
            <w:hideMark/>
          </w:tcPr>
          <w:p w14:paraId="2E1E81E4" w14:textId="77777777" w:rsidR="00087B91" w:rsidRPr="002029AF" w:rsidRDefault="00087B91" w:rsidP="00860E95">
            <w:pPr>
              <w:pStyle w:val="ARfintablebodyright"/>
              <w:ind w:right="0"/>
            </w:pPr>
            <w:r w:rsidRPr="002029AF">
              <w:t>–</w:t>
            </w:r>
          </w:p>
        </w:tc>
        <w:tc>
          <w:tcPr>
            <w:tcW w:w="681" w:type="dxa"/>
            <w:tcBorders>
              <w:top w:val="single" w:sz="4" w:space="0" w:color="A6A6A6"/>
            </w:tcBorders>
            <w:noWrap/>
            <w:hideMark/>
          </w:tcPr>
          <w:p w14:paraId="6369C4E5" w14:textId="77777777" w:rsidR="00087B91" w:rsidRPr="002029AF" w:rsidRDefault="00087B91" w:rsidP="00860E95">
            <w:pPr>
              <w:pStyle w:val="ARfintablebodyright"/>
              <w:ind w:right="0"/>
            </w:pPr>
            <w:r w:rsidRPr="002029AF">
              <w:t>–</w:t>
            </w:r>
          </w:p>
        </w:tc>
        <w:tc>
          <w:tcPr>
            <w:tcW w:w="728" w:type="dxa"/>
            <w:tcBorders>
              <w:top w:val="single" w:sz="4" w:space="0" w:color="A6A6A6"/>
            </w:tcBorders>
            <w:noWrap/>
            <w:hideMark/>
          </w:tcPr>
          <w:p w14:paraId="6BB36074" w14:textId="77777777" w:rsidR="00087B91" w:rsidRPr="002029AF" w:rsidRDefault="00087B91" w:rsidP="00860E95">
            <w:pPr>
              <w:pStyle w:val="ARfintablebodyright"/>
              <w:ind w:right="0"/>
            </w:pPr>
            <w:r w:rsidRPr="002029AF">
              <w:t>–</w:t>
            </w:r>
          </w:p>
        </w:tc>
        <w:tc>
          <w:tcPr>
            <w:tcW w:w="614" w:type="dxa"/>
            <w:tcBorders>
              <w:top w:val="single" w:sz="4" w:space="0" w:color="A6A6A6"/>
            </w:tcBorders>
            <w:noWrap/>
            <w:hideMark/>
          </w:tcPr>
          <w:p w14:paraId="5B88251F" w14:textId="77777777" w:rsidR="00087B91" w:rsidRPr="002029AF" w:rsidRDefault="00087B91" w:rsidP="00860E95">
            <w:pPr>
              <w:pStyle w:val="ARfintablebodyright"/>
              <w:ind w:right="0"/>
            </w:pPr>
            <w:r w:rsidRPr="002029AF">
              <w:t>–</w:t>
            </w:r>
          </w:p>
        </w:tc>
        <w:tc>
          <w:tcPr>
            <w:tcW w:w="680" w:type="dxa"/>
            <w:tcBorders>
              <w:top w:val="single" w:sz="4" w:space="0" w:color="A6A6A6"/>
            </w:tcBorders>
            <w:noWrap/>
            <w:hideMark/>
          </w:tcPr>
          <w:p w14:paraId="1104EE28" w14:textId="77777777" w:rsidR="00087B91" w:rsidRPr="002029AF" w:rsidRDefault="00087B91" w:rsidP="00860E95">
            <w:pPr>
              <w:pStyle w:val="ARfintablebodyright"/>
              <w:ind w:right="0"/>
            </w:pPr>
            <w:r w:rsidRPr="002029AF">
              <w:t>–</w:t>
            </w:r>
          </w:p>
        </w:tc>
        <w:tc>
          <w:tcPr>
            <w:tcW w:w="680" w:type="dxa"/>
            <w:tcBorders>
              <w:top w:val="single" w:sz="4" w:space="0" w:color="A6A6A6"/>
            </w:tcBorders>
            <w:noWrap/>
            <w:hideMark/>
          </w:tcPr>
          <w:p w14:paraId="05312A7C" w14:textId="77777777" w:rsidR="00087B91" w:rsidRPr="002029AF" w:rsidRDefault="00087B91" w:rsidP="00860E95">
            <w:pPr>
              <w:pStyle w:val="ARfintablebodyright"/>
              <w:ind w:right="0"/>
            </w:pPr>
            <w:r w:rsidRPr="002029AF">
              <w:t>–</w:t>
            </w:r>
          </w:p>
        </w:tc>
        <w:tc>
          <w:tcPr>
            <w:tcW w:w="719" w:type="dxa"/>
            <w:tcBorders>
              <w:top w:val="single" w:sz="4" w:space="0" w:color="A6A6A6"/>
            </w:tcBorders>
            <w:noWrap/>
            <w:hideMark/>
          </w:tcPr>
          <w:p w14:paraId="4A378221" w14:textId="77777777" w:rsidR="00087B91" w:rsidRPr="002029AF" w:rsidRDefault="00087B91" w:rsidP="00860E95">
            <w:pPr>
              <w:pStyle w:val="ARfintablebodyright"/>
              <w:ind w:right="0"/>
            </w:pPr>
            <w:r w:rsidRPr="002029AF">
              <w:t>0.4</w:t>
            </w:r>
          </w:p>
        </w:tc>
        <w:tc>
          <w:tcPr>
            <w:tcW w:w="709" w:type="dxa"/>
            <w:tcBorders>
              <w:top w:val="single" w:sz="4" w:space="0" w:color="A6A6A6"/>
            </w:tcBorders>
            <w:noWrap/>
            <w:hideMark/>
          </w:tcPr>
          <w:p w14:paraId="4E8816D6" w14:textId="77777777" w:rsidR="00087B91" w:rsidRPr="002029AF" w:rsidRDefault="00087B91" w:rsidP="00860E95">
            <w:pPr>
              <w:pStyle w:val="ARfintablebodyright"/>
              <w:ind w:right="0"/>
            </w:pPr>
            <w:r w:rsidRPr="002029AF">
              <w:t>0.2</w:t>
            </w:r>
          </w:p>
        </w:tc>
        <w:tc>
          <w:tcPr>
            <w:tcW w:w="709" w:type="dxa"/>
            <w:tcBorders>
              <w:top w:val="single" w:sz="4" w:space="0" w:color="A6A6A6"/>
            </w:tcBorders>
            <w:noWrap/>
            <w:hideMark/>
          </w:tcPr>
          <w:p w14:paraId="55E0EA54" w14:textId="77777777" w:rsidR="00087B91" w:rsidRPr="002029AF" w:rsidRDefault="00087B91" w:rsidP="00860E95">
            <w:pPr>
              <w:pStyle w:val="ARfintablebodyright"/>
              <w:ind w:right="0"/>
            </w:pPr>
            <w:r w:rsidRPr="002029AF">
              <w:t>–</w:t>
            </w:r>
          </w:p>
        </w:tc>
        <w:tc>
          <w:tcPr>
            <w:tcW w:w="709" w:type="dxa"/>
            <w:tcBorders>
              <w:top w:val="single" w:sz="4" w:space="0" w:color="A6A6A6"/>
            </w:tcBorders>
            <w:noWrap/>
            <w:hideMark/>
          </w:tcPr>
          <w:p w14:paraId="308A8982" w14:textId="77777777" w:rsidR="00087B91" w:rsidRPr="002029AF" w:rsidRDefault="00087B91" w:rsidP="00860E95">
            <w:pPr>
              <w:pStyle w:val="ARfintablebodyright"/>
              <w:ind w:right="0"/>
            </w:pPr>
            <w:r w:rsidRPr="002029AF">
              <w:t>–</w:t>
            </w:r>
          </w:p>
        </w:tc>
        <w:tc>
          <w:tcPr>
            <w:tcW w:w="567" w:type="dxa"/>
            <w:tcBorders>
              <w:top w:val="single" w:sz="4" w:space="0" w:color="A6A6A6"/>
            </w:tcBorders>
            <w:noWrap/>
            <w:hideMark/>
          </w:tcPr>
          <w:p w14:paraId="4DCA16C5" w14:textId="77777777" w:rsidR="00087B91" w:rsidRPr="002029AF" w:rsidRDefault="00087B91" w:rsidP="00860E95">
            <w:pPr>
              <w:pStyle w:val="ARfintablebodyright"/>
              <w:ind w:right="0"/>
            </w:pPr>
            <w:r w:rsidRPr="002029AF">
              <w:t>–</w:t>
            </w:r>
          </w:p>
        </w:tc>
        <w:tc>
          <w:tcPr>
            <w:tcW w:w="708" w:type="dxa"/>
            <w:tcBorders>
              <w:top w:val="single" w:sz="4" w:space="0" w:color="A6A6A6"/>
            </w:tcBorders>
            <w:noWrap/>
            <w:hideMark/>
          </w:tcPr>
          <w:p w14:paraId="5CD85589" w14:textId="77777777" w:rsidR="00087B91" w:rsidRPr="002029AF" w:rsidRDefault="00087B91" w:rsidP="00860E95">
            <w:pPr>
              <w:pStyle w:val="ARfintablebodyright"/>
              <w:ind w:right="0"/>
            </w:pPr>
            <w:r w:rsidRPr="002029AF">
              <w:t>–</w:t>
            </w:r>
          </w:p>
        </w:tc>
        <w:tc>
          <w:tcPr>
            <w:tcW w:w="709" w:type="dxa"/>
            <w:tcBorders>
              <w:top w:val="single" w:sz="4" w:space="0" w:color="A6A6A6"/>
            </w:tcBorders>
            <w:noWrap/>
            <w:hideMark/>
          </w:tcPr>
          <w:p w14:paraId="72565E08" w14:textId="77777777" w:rsidR="00087B91" w:rsidRPr="002029AF" w:rsidRDefault="00087B91" w:rsidP="00860E95">
            <w:pPr>
              <w:pStyle w:val="ARfintablebodyright"/>
              <w:ind w:right="0"/>
            </w:pPr>
            <w:r w:rsidRPr="002029AF">
              <w:t>198.7</w:t>
            </w:r>
          </w:p>
        </w:tc>
        <w:tc>
          <w:tcPr>
            <w:tcW w:w="709" w:type="dxa"/>
            <w:tcBorders>
              <w:top w:val="single" w:sz="4" w:space="0" w:color="A6A6A6"/>
            </w:tcBorders>
            <w:noWrap/>
            <w:hideMark/>
          </w:tcPr>
          <w:p w14:paraId="76623D02" w14:textId="77777777" w:rsidR="00087B91" w:rsidRPr="002029AF" w:rsidRDefault="00087B91" w:rsidP="00860E95">
            <w:pPr>
              <w:pStyle w:val="ARfintablebodyright"/>
              <w:ind w:right="0"/>
            </w:pPr>
            <w:r w:rsidRPr="002029AF">
              <w:t>–</w:t>
            </w:r>
          </w:p>
        </w:tc>
        <w:tc>
          <w:tcPr>
            <w:tcW w:w="567" w:type="dxa"/>
            <w:tcBorders>
              <w:top w:val="single" w:sz="4" w:space="0" w:color="A6A6A6"/>
            </w:tcBorders>
            <w:noWrap/>
            <w:hideMark/>
          </w:tcPr>
          <w:p w14:paraId="31CB6958" w14:textId="77777777" w:rsidR="00087B91" w:rsidRPr="002029AF" w:rsidRDefault="00087B91" w:rsidP="00860E95">
            <w:pPr>
              <w:pStyle w:val="ARfintablebodyright"/>
              <w:ind w:right="0"/>
            </w:pPr>
            <w:r w:rsidRPr="002029AF">
              <w:t>–</w:t>
            </w:r>
          </w:p>
        </w:tc>
        <w:tc>
          <w:tcPr>
            <w:tcW w:w="714" w:type="dxa"/>
            <w:tcBorders>
              <w:top w:val="single" w:sz="4" w:space="0" w:color="A6A6A6"/>
            </w:tcBorders>
            <w:noWrap/>
            <w:hideMark/>
          </w:tcPr>
          <w:p w14:paraId="639512EF" w14:textId="77777777" w:rsidR="00087B91" w:rsidRPr="002029AF" w:rsidRDefault="00087B91" w:rsidP="00860E95">
            <w:pPr>
              <w:pStyle w:val="ARfintablebodyright"/>
              <w:ind w:right="0"/>
            </w:pPr>
            <w:r w:rsidRPr="002029AF">
              <w:t>199.3</w:t>
            </w:r>
          </w:p>
        </w:tc>
      </w:tr>
      <w:tr w:rsidR="00595FA8" w:rsidRPr="002029AF" w14:paraId="52A6F3A9" w14:textId="77777777" w:rsidTr="00C81A0B">
        <w:trPr>
          <w:gridAfter w:val="1"/>
          <w:wAfter w:w="9" w:type="dxa"/>
          <w:trHeight w:val="170"/>
        </w:trPr>
        <w:tc>
          <w:tcPr>
            <w:tcW w:w="2213" w:type="dxa"/>
            <w:hideMark/>
          </w:tcPr>
          <w:p w14:paraId="62A44113" w14:textId="58718E93" w:rsidR="00087B91" w:rsidRPr="002029AF" w:rsidRDefault="00087B91" w:rsidP="00860E95">
            <w:pPr>
              <w:pStyle w:val="ARfintablebodybold"/>
            </w:pPr>
            <w:r w:rsidRPr="002029AF">
              <w:lastRenderedPageBreak/>
              <w:t>Total</w:t>
            </w:r>
            <w:r w:rsidR="000A5329" w:rsidRPr="002029AF">
              <w:t xml:space="preserve"> </w:t>
            </w:r>
            <w:r w:rsidRPr="002029AF">
              <w:t>expenses</w:t>
            </w:r>
            <w:r w:rsidR="000A5329" w:rsidRPr="002029AF">
              <w:t xml:space="preserve"> </w:t>
            </w:r>
            <w:r w:rsidRPr="002029AF">
              <w:t>from</w:t>
            </w:r>
            <w:r w:rsidR="000A5329" w:rsidRPr="002029AF">
              <w:t xml:space="preserve"> </w:t>
            </w:r>
            <w:r w:rsidRPr="002029AF">
              <w:t>transactions</w:t>
            </w:r>
          </w:p>
        </w:tc>
        <w:tc>
          <w:tcPr>
            <w:tcW w:w="901" w:type="dxa"/>
            <w:noWrap/>
            <w:hideMark/>
          </w:tcPr>
          <w:p w14:paraId="52615237" w14:textId="77777777" w:rsidR="00087B91" w:rsidRPr="002029AF" w:rsidRDefault="00087B91" w:rsidP="00860E95">
            <w:pPr>
              <w:pStyle w:val="ARfintablebodyrightbold"/>
              <w:ind w:right="0"/>
            </w:pPr>
            <w:r w:rsidRPr="002029AF">
              <w:t>10,578.0</w:t>
            </w:r>
          </w:p>
        </w:tc>
        <w:tc>
          <w:tcPr>
            <w:tcW w:w="709" w:type="dxa"/>
            <w:noWrap/>
            <w:hideMark/>
          </w:tcPr>
          <w:p w14:paraId="7A9BD96D" w14:textId="77777777" w:rsidR="00087B91" w:rsidRPr="002029AF" w:rsidRDefault="00087B91" w:rsidP="00860E95">
            <w:pPr>
              <w:pStyle w:val="ARfintablebodyrightbold"/>
              <w:ind w:right="0"/>
            </w:pPr>
            <w:r w:rsidRPr="002029AF">
              <w:t>836.3</w:t>
            </w:r>
          </w:p>
        </w:tc>
        <w:tc>
          <w:tcPr>
            <w:tcW w:w="575" w:type="dxa"/>
            <w:noWrap/>
            <w:hideMark/>
          </w:tcPr>
          <w:p w14:paraId="47F11572" w14:textId="77777777" w:rsidR="00087B91" w:rsidRPr="002029AF" w:rsidRDefault="00087B91" w:rsidP="00860E95">
            <w:pPr>
              <w:pStyle w:val="ARfintablebodyrightbold"/>
              <w:ind w:right="0"/>
            </w:pPr>
            <w:r w:rsidRPr="002029AF">
              <w:t>1,503.1</w:t>
            </w:r>
          </w:p>
        </w:tc>
        <w:tc>
          <w:tcPr>
            <w:tcW w:w="681" w:type="dxa"/>
            <w:noWrap/>
            <w:hideMark/>
          </w:tcPr>
          <w:p w14:paraId="06D09128" w14:textId="77777777" w:rsidR="00087B91" w:rsidRPr="002029AF" w:rsidRDefault="00087B91" w:rsidP="00860E95">
            <w:pPr>
              <w:pStyle w:val="ARfintablebodyrightbold"/>
              <w:ind w:right="0"/>
            </w:pPr>
            <w:r w:rsidRPr="002029AF">
              <w:t>501.4</w:t>
            </w:r>
          </w:p>
        </w:tc>
        <w:tc>
          <w:tcPr>
            <w:tcW w:w="728" w:type="dxa"/>
            <w:noWrap/>
            <w:hideMark/>
          </w:tcPr>
          <w:p w14:paraId="0A5D5DBD" w14:textId="77777777" w:rsidR="00087B91" w:rsidRPr="002029AF" w:rsidRDefault="00087B91" w:rsidP="00860E95">
            <w:pPr>
              <w:pStyle w:val="ARfintablebodyrightbold"/>
              <w:ind w:right="0"/>
            </w:pPr>
            <w:r w:rsidRPr="002029AF">
              <w:t>662.7</w:t>
            </w:r>
          </w:p>
        </w:tc>
        <w:tc>
          <w:tcPr>
            <w:tcW w:w="614" w:type="dxa"/>
            <w:noWrap/>
            <w:hideMark/>
          </w:tcPr>
          <w:p w14:paraId="3AE1C399" w14:textId="77777777" w:rsidR="00087B91" w:rsidRPr="002029AF" w:rsidRDefault="00087B91" w:rsidP="00860E95">
            <w:pPr>
              <w:pStyle w:val="ARfintablebodyrightbold"/>
              <w:ind w:right="0"/>
            </w:pPr>
            <w:r w:rsidRPr="002029AF">
              <w:t>427.1</w:t>
            </w:r>
          </w:p>
        </w:tc>
        <w:tc>
          <w:tcPr>
            <w:tcW w:w="680" w:type="dxa"/>
            <w:noWrap/>
            <w:hideMark/>
          </w:tcPr>
          <w:p w14:paraId="0219974F" w14:textId="77777777" w:rsidR="00087B91" w:rsidRPr="002029AF" w:rsidRDefault="00087B91" w:rsidP="00860E95">
            <w:pPr>
              <w:pStyle w:val="ARfintablebodyrightbold"/>
              <w:ind w:right="0"/>
            </w:pPr>
            <w:r w:rsidRPr="002029AF">
              <w:t>487.7</w:t>
            </w:r>
          </w:p>
        </w:tc>
        <w:tc>
          <w:tcPr>
            <w:tcW w:w="680" w:type="dxa"/>
            <w:noWrap/>
            <w:hideMark/>
          </w:tcPr>
          <w:p w14:paraId="2ACE5332" w14:textId="77777777" w:rsidR="00087B91" w:rsidRPr="002029AF" w:rsidRDefault="00087B91" w:rsidP="00860E95">
            <w:pPr>
              <w:pStyle w:val="ARfintablebodyrightbold"/>
              <w:ind w:right="0"/>
            </w:pPr>
            <w:r w:rsidRPr="002029AF">
              <w:t>269.7</w:t>
            </w:r>
          </w:p>
        </w:tc>
        <w:tc>
          <w:tcPr>
            <w:tcW w:w="719" w:type="dxa"/>
            <w:noWrap/>
            <w:hideMark/>
          </w:tcPr>
          <w:p w14:paraId="485A600F" w14:textId="77777777" w:rsidR="00087B91" w:rsidRPr="002029AF" w:rsidRDefault="00087B91" w:rsidP="00860E95">
            <w:pPr>
              <w:pStyle w:val="ARfintablebodyrightbold"/>
              <w:ind w:right="0"/>
            </w:pPr>
            <w:r w:rsidRPr="002029AF">
              <w:t>2,142.8</w:t>
            </w:r>
          </w:p>
        </w:tc>
        <w:tc>
          <w:tcPr>
            <w:tcW w:w="709" w:type="dxa"/>
            <w:noWrap/>
            <w:hideMark/>
          </w:tcPr>
          <w:p w14:paraId="4E240773" w14:textId="77777777" w:rsidR="00087B91" w:rsidRPr="002029AF" w:rsidRDefault="00087B91" w:rsidP="00860E95">
            <w:pPr>
              <w:pStyle w:val="ARfintablebodyrightbold"/>
              <w:ind w:right="0"/>
            </w:pPr>
            <w:r w:rsidRPr="002029AF">
              <w:t>1,519.2</w:t>
            </w:r>
          </w:p>
        </w:tc>
        <w:tc>
          <w:tcPr>
            <w:tcW w:w="709" w:type="dxa"/>
            <w:noWrap/>
            <w:hideMark/>
          </w:tcPr>
          <w:p w14:paraId="573EA51C" w14:textId="77777777" w:rsidR="00087B91" w:rsidRPr="002029AF" w:rsidRDefault="00087B91" w:rsidP="00860E95">
            <w:pPr>
              <w:pStyle w:val="ARfintablebodyrightbold"/>
              <w:ind w:right="0"/>
            </w:pPr>
            <w:r w:rsidRPr="002029AF">
              <w:t>752.8</w:t>
            </w:r>
          </w:p>
        </w:tc>
        <w:tc>
          <w:tcPr>
            <w:tcW w:w="709" w:type="dxa"/>
            <w:noWrap/>
            <w:hideMark/>
          </w:tcPr>
          <w:p w14:paraId="19511750" w14:textId="77777777" w:rsidR="00087B91" w:rsidRPr="002029AF" w:rsidRDefault="00087B91" w:rsidP="00860E95">
            <w:pPr>
              <w:pStyle w:val="ARfintablebodyrightbold"/>
              <w:ind w:right="0"/>
            </w:pPr>
            <w:r w:rsidRPr="002029AF">
              <w:t>62.3</w:t>
            </w:r>
          </w:p>
        </w:tc>
        <w:tc>
          <w:tcPr>
            <w:tcW w:w="567" w:type="dxa"/>
            <w:noWrap/>
            <w:hideMark/>
          </w:tcPr>
          <w:p w14:paraId="56F8205E" w14:textId="77777777" w:rsidR="00087B91" w:rsidRPr="002029AF" w:rsidRDefault="00087B91" w:rsidP="00860E95">
            <w:pPr>
              <w:pStyle w:val="ARfintablebodyrightbold"/>
              <w:ind w:right="0"/>
            </w:pPr>
            <w:r w:rsidRPr="002029AF">
              <w:t>–</w:t>
            </w:r>
          </w:p>
        </w:tc>
        <w:tc>
          <w:tcPr>
            <w:tcW w:w="708" w:type="dxa"/>
            <w:noWrap/>
            <w:hideMark/>
          </w:tcPr>
          <w:p w14:paraId="07FE9ADB" w14:textId="77777777" w:rsidR="00087B91" w:rsidRPr="002029AF" w:rsidRDefault="00087B91" w:rsidP="00860E95">
            <w:pPr>
              <w:pStyle w:val="ARfintablebodyrightbold"/>
              <w:ind w:right="0"/>
            </w:pPr>
            <w:r w:rsidRPr="002029AF">
              <w:t>287.6</w:t>
            </w:r>
          </w:p>
        </w:tc>
        <w:tc>
          <w:tcPr>
            <w:tcW w:w="709" w:type="dxa"/>
            <w:noWrap/>
            <w:hideMark/>
          </w:tcPr>
          <w:p w14:paraId="4D877BD4" w14:textId="77777777" w:rsidR="00087B91" w:rsidRPr="002029AF" w:rsidRDefault="00087B91" w:rsidP="00860E95">
            <w:pPr>
              <w:pStyle w:val="ARfintablebodyrightbold"/>
              <w:ind w:right="0"/>
            </w:pPr>
            <w:r w:rsidRPr="002029AF">
              <w:t>1,396.8</w:t>
            </w:r>
          </w:p>
        </w:tc>
        <w:tc>
          <w:tcPr>
            <w:tcW w:w="709" w:type="dxa"/>
            <w:noWrap/>
            <w:hideMark/>
          </w:tcPr>
          <w:p w14:paraId="61A65DAA" w14:textId="77777777" w:rsidR="00087B91" w:rsidRPr="002029AF" w:rsidRDefault="00087B91" w:rsidP="00860E95">
            <w:pPr>
              <w:pStyle w:val="ARfintablebodyrightbold"/>
              <w:ind w:right="0"/>
            </w:pPr>
            <w:r w:rsidRPr="002029AF">
              <w:t>3.9</w:t>
            </w:r>
          </w:p>
        </w:tc>
        <w:tc>
          <w:tcPr>
            <w:tcW w:w="567" w:type="dxa"/>
            <w:noWrap/>
            <w:hideMark/>
          </w:tcPr>
          <w:p w14:paraId="466420F1" w14:textId="77777777" w:rsidR="00087B91" w:rsidRPr="002029AF" w:rsidRDefault="00087B91" w:rsidP="00860E95">
            <w:pPr>
              <w:pStyle w:val="ARfintablebodyrightbold"/>
              <w:ind w:right="0"/>
            </w:pPr>
            <w:r w:rsidRPr="002029AF">
              <w:t>(11.2)</w:t>
            </w:r>
          </w:p>
        </w:tc>
        <w:tc>
          <w:tcPr>
            <w:tcW w:w="714" w:type="dxa"/>
            <w:noWrap/>
            <w:hideMark/>
          </w:tcPr>
          <w:p w14:paraId="0A50A3C2" w14:textId="77777777" w:rsidR="00087B91" w:rsidRPr="002029AF" w:rsidRDefault="00087B91" w:rsidP="00860E95">
            <w:pPr>
              <w:pStyle w:val="ARfintablebodyrightbold"/>
              <w:ind w:right="0"/>
            </w:pPr>
            <w:r w:rsidRPr="002029AF">
              <w:t>21,420.3</w:t>
            </w:r>
          </w:p>
        </w:tc>
      </w:tr>
      <w:tr w:rsidR="00595FA8" w:rsidRPr="002029AF" w14:paraId="61BD85FB" w14:textId="77777777" w:rsidTr="00C81A0B">
        <w:trPr>
          <w:gridAfter w:val="1"/>
          <w:wAfter w:w="9" w:type="dxa"/>
          <w:trHeight w:val="170"/>
        </w:trPr>
        <w:tc>
          <w:tcPr>
            <w:tcW w:w="2213" w:type="dxa"/>
            <w:tcBorders>
              <w:bottom w:val="single" w:sz="4" w:space="0" w:color="auto"/>
            </w:tcBorders>
            <w:hideMark/>
          </w:tcPr>
          <w:p w14:paraId="69DE7E59" w14:textId="5E7990D2" w:rsidR="00087B91" w:rsidRPr="002029AF" w:rsidRDefault="00087B91" w:rsidP="00860E95">
            <w:pPr>
              <w:pStyle w:val="ARfintablebodybold"/>
            </w:pPr>
            <w:r w:rsidRPr="002029AF">
              <w:t>Net</w:t>
            </w:r>
            <w:r w:rsidR="000A5329" w:rsidRPr="002029AF">
              <w:t xml:space="preserve"> </w:t>
            </w:r>
            <w:r w:rsidRPr="002029AF">
              <w:t>result</w:t>
            </w:r>
            <w:r w:rsidR="000A5329" w:rsidRPr="002029AF">
              <w:t xml:space="preserve"> </w:t>
            </w:r>
            <w:r w:rsidRPr="002029AF">
              <w:t>from</w:t>
            </w:r>
            <w:r w:rsidR="000A5329" w:rsidRPr="002029AF">
              <w:t xml:space="preserve"> </w:t>
            </w:r>
            <w:r w:rsidRPr="002029AF">
              <w:t>transactions</w:t>
            </w:r>
            <w:r w:rsidR="000A5329" w:rsidRPr="002029AF">
              <w:t xml:space="preserve"> </w:t>
            </w:r>
            <w:r w:rsidRPr="002029AF">
              <w:t>(net</w:t>
            </w:r>
            <w:r w:rsidR="000A5329" w:rsidRPr="002029AF">
              <w:t xml:space="preserve"> </w:t>
            </w:r>
            <w:r w:rsidRPr="002029AF">
              <w:t>operating</w:t>
            </w:r>
            <w:r w:rsidR="000A5329" w:rsidRPr="002029AF">
              <w:t xml:space="preserve"> </w:t>
            </w:r>
            <w:r w:rsidRPr="002029AF">
              <w:t>balance)</w:t>
            </w:r>
          </w:p>
        </w:tc>
        <w:tc>
          <w:tcPr>
            <w:tcW w:w="901" w:type="dxa"/>
            <w:tcBorders>
              <w:bottom w:val="single" w:sz="4" w:space="0" w:color="auto"/>
            </w:tcBorders>
            <w:noWrap/>
            <w:hideMark/>
          </w:tcPr>
          <w:p w14:paraId="17A20203" w14:textId="77777777" w:rsidR="00087B91" w:rsidRPr="002029AF" w:rsidRDefault="00087B91" w:rsidP="00860E95">
            <w:pPr>
              <w:pStyle w:val="ARfintablebodyrightbold"/>
              <w:ind w:right="0"/>
            </w:pPr>
            <w:r w:rsidRPr="002029AF">
              <w:t>619.2</w:t>
            </w:r>
          </w:p>
        </w:tc>
        <w:tc>
          <w:tcPr>
            <w:tcW w:w="709" w:type="dxa"/>
            <w:tcBorders>
              <w:bottom w:val="single" w:sz="4" w:space="0" w:color="auto"/>
            </w:tcBorders>
            <w:noWrap/>
            <w:hideMark/>
          </w:tcPr>
          <w:p w14:paraId="3D33F339" w14:textId="77777777" w:rsidR="00087B91" w:rsidRPr="002029AF" w:rsidRDefault="00087B91" w:rsidP="00860E95">
            <w:pPr>
              <w:pStyle w:val="ARfintablebodyrightbold"/>
              <w:ind w:right="0"/>
            </w:pPr>
            <w:r w:rsidRPr="002029AF">
              <w:t>66.2</w:t>
            </w:r>
          </w:p>
        </w:tc>
        <w:tc>
          <w:tcPr>
            <w:tcW w:w="575" w:type="dxa"/>
            <w:tcBorders>
              <w:bottom w:val="single" w:sz="4" w:space="0" w:color="auto"/>
            </w:tcBorders>
            <w:noWrap/>
            <w:hideMark/>
          </w:tcPr>
          <w:p w14:paraId="0D06AC26" w14:textId="77777777" w:rsidR="00087B91" w:rsidRPr="002029AF" w:rsidRDefault="00087B91" w:rsidP="00860E95">
            <w:pPr>
              <w:pStyle w:val="ARfintablebodyrightbold"/>
              <w:ind w:right="0"/>
            </w:pPr>
            <w:r w:rsidRPr="002029AF">
              <w:t>45.3</w:t>
            </w:r>
          </w:p>
        </w:tc>
        <w:tc>
          <w:tcPr>
            <w:tcW w:w="681" w:type="dxa"/>
            <w:tcBorders>
              <w:bottom w:val="single" w:sz="4" w:space="0" w:color="auto"/>
            </w:tcBorders>
            <w:noWrap/>
            <w:hideMark/>
          </w:tcPr>
          <w:p w14:paraId="5406EA7F" w14:textId="77777777" w:rsidR="00087B91" w:rsidRPr="002029AF" w:rsidRDefault="00087B91" w:rsidP="00860E95">
            <w:pPr>
              <w:pStyle w:val="ARfintablebodyrightbold"/>
              <w:ind w:right="0"/>
            </w:pPr>
            <w:r w:rsidRPr="002029AF">
              <w:t>56.6</w:t>
            </w:r>
          </w:p>
        </w:tc>
        <w:tc>
          <w:tcPr>
            <w:tcW w:w="728" w:type="dxa"/>
            <w:tcBorders>
              <w:bottom w:val="single" w:sz="4" w:space="0" w:color="auto"/>
            </w:tcBorders>
            <w:noWrap/>
            <w:hideMark/>
          </w:tcPr>
          <w:p w14:paraId="285EE8EC" w14:textId="77777777" w:rsidR="00087B91" w:rsidRPr="002029AF" w:rsidRDefault="00087B91" w:rsidP="00860E95">
            <w:pPr>
              <w:pStyle w:val="ARfintablebodyrightbold"/>
              <w:ind w:right="0"/>
            </w:pPr>
            <w:r w:rsidRPr="002029AF">
              <w:t>(4.1)</w:t>
            </w:r>
          </w:p>
        </w:tc>
        <w:tc>
          <w:tcPr>
            <w:tcW w:w="614" w:type="dxa"/>
            <w:tcBorders>
              <w:bottom w:val="single" w:sz="4" w:space="0" w:color="auto"/>
            </w:tcBorders>
            <w:noWrap/>
            <w:hideMark/>
          </w:tcPr>
          <w:p w14:paraId="5C1A76F5" w14:textId="77777777" w:rsidR="00087B91" w:rsidRPr="002029AF" w:rsidRDefault="00087B91" w:rsidP="00860E95">
            <w:pPr>
              <w:pStyle w:val="ARfintablebodyrightbold"/>
              <w:ind w:right="0"/>
            </w:pPr>
            <w:r w:rsidRPr="002029AF">
              <w:t>43.1</w:t>
            </w:r>
          </w:p>
        </w:tc>
        <w:tc>
          <w:tcPr>
            <w:tcW w:w="680" w:type="dxa"/>
            <w:tcBorders>
              <w:bottom w:val="single" w:sz="4" w:space="0" w:color="auto"/>
            </w:tcBorders>
            <w:noWrap/>
            <w:hideMark/>
          </w:tcPr>
          <w:p w14:paraId="7E526AF1" w14:textId="77777777" w:rsidR="00087B91" w:rsidRPr="002029AF" w:rsidRDefault="00087B91" w:rsidP="00860E95">
            <w:pPr>
              <w:pStyle w:val="ARfintablebodyrightbold"/>
              <w:ind w:right="0"/>
            </w:pPr>
            <w:r w:rsidRPr="002029AF">
              <w:t>(15.8)</w:t>
            </w:r>
          </w:p>
        </w:tc>
        <w:tc>
          <w:tcPr>
            <w:tcW w:w="680" w:type="dxa"/>
            <w:tcBorders>
              <w:bottom w:val="single" w:sz="4" w:space="0" w:color="auto"/>
            </w:tcBorders>
            <w:noWrap/>
            <w:hideMark/>
          </w:tcPr>
          <w:p w14:paraId="3ADDACDE" w14:textId="77777777" w:rsidR="00087B91" w:rsidRPr="002029AF" w:rsidRDefault="00087B91" w:rsidP="00860E95">
            <w:pPr>
              <w:pStyle w:val="ARfintablebodyrightbold"/>
              <w:ind w:right="0"/>
            </w:pPr>
            <w:r w:rsidRPr="002029AF">
              <w:t>(1.1)</w:t>
            </w:r>
          </w:p>
        </w:tc>
        <w:tc>
          <w:tcPr>
            <w:tcW w:w="719" w:type="dxa"/>
            <w:tcBorders>
              <w:bottom w:val="single" w:sz="4" w:space="0" w:color="auto"/>
            </w:tcBorders>
            <w:noWrap/>
            <w:hideMark/>
          </w:tcPr>
          <w:p w14:paraId="653D8A4D" w14:textId="77777777" w:rsidR="00087B91" w:rsidRPr="002029AF" w:rsidRDefault="00087B91" w:rsidP="00860E95">
            <w:pPr>
              <w:pStyle w:val="ARfintablebodyrightbold"/>
              <w:ind w:right="0"/>
            </w:pPr>
            <w:r w:rsidRPr="002029AF">
              <w:t>(6.9)</w:t>
            </w:r>
          </w:p>
        </w:tc>
        <w:tc>
          <w:tcPr>
            <w:tcW w:w="709" w:type="dxa"/>
            <w:tcBorders>
              <w:bottom w:val="single" w:sz="4" w:space="0" w:color="auto"/>
            </w:tcBorders>
            <w:noWrap/>
            <w:hideMark/>
          </w:tcPr>
          <w:p w14:paraId="04EF9B05" w14:textId="77777777" w:rsidR="00087B91" w:rsidRPr="002029AF" w:rsidRDefault="00087B91" w:rsidP="00860E95">
            <w:pPr>
              <w:pStyle w:val="ARfintablebodyrightbold"/>
              <w:ind w:right="0"/>
            </w:pPr>
            <w:r w:rsidRPr="002029AF">
              <w:t>(6.8)</w:t>
            </w:r>
          </w:p>
        </w:tc>
        <w:tc>
          <w:tcPr>
            <w:tcW w:w="709" w:type="dxa"/>
            <w:tcBorders>
              <w:bottom w:val="single" w:sz="4" w:space="0" w:color="auto"/>
            </w:tcBorders>
            <w:noWrap/>
            <w:hideMark/>
          </w:tcPr>
          <w:p w14:paraId="771AC9A2" w14:textId="77777777" w:rsidR="00087B91" w:rsidRPr="002029AF" w:rsidRDefault="00087B91" w:rsidP="00860E95">
            <w:pPr>
              <w:pStyle w:val="ARfintablebodyrightbold"/>
              <w:ind w:right="0"/>
            </w:pPr>
            <w:r w:rsidRPr="002029AF">
              <w:t>0.2</w:t>
            </w:r>
          </w:p>
        </w:tc>
        <w:tc>
          <w:tcPr>
            <w:tcW w:w="709" w:type="dxa"/>
            <w:tcBorders>
              <w:bottom w:val="single" w:sz="4" w:space="0" w:color="auto"/>
            </w:tcBorders>
            <w:noWrap/>
            <w:hideMark/>
          </w:tcPr>
          <w:p w14:paraId="59B63C3E" w14:textId="77777777" w:rsidR="00087B91" w:rsidRPr="002029AF" w:rsidRDefault="00087B91" w:rsidP="00860E95">
            <w:pPr>
              <w:pStyle w:val="ARfintablebodyrightbold"/>
              <w:ind w:right="0"/>
            </w:pPr>
            <w:r w:rsidRPr="002029AF">
              <w:t>0.1</w:t>
            </w:r>
          </w:p>
        </w:tc>
        <w:tc>
          <w:tcPr>
            <w:tcW w:w="567" w:type="dxa"/>
            <w:tcBorders>
              <w:bottom w:val="single" w:sz="4" w:space="0" w:color="auto"/>
            </w:tcBorders>
            <w:noWrap/>
            <w:hideMark/>
          </w:tcPr>
          <w:p w14:paraId="3F32020C" w14:textId="77777777" w:rsidR="00087B91" w:rsidRPr="002029AF" w:rsidRDefault="00087B91" w:rsidP="00860E95">
            <w:pPr>
              <w:pStyle w:val="ARfintablebodyrightbold"/>
              <w:ind w:right="0"/>
            </w:pPr>
            <w:r w:rsidRPr="002029AF">
              <w:t>–</w:t>
            </w:r>
          </w:p>
        </w:tc>
        <w:tc>
          <w:tcPr>
            <w:tcW w:w="708" w:type="dxa"/>
            <w:tcBorders>
              <w:bottom w:val="single" w:sz="4" w:space="0" w:color="auto"/>
            </w:tcBorders>
            <w:noWrap/>
            <w:hideMark/>
          </w:tcPr>
          <w:p w14:paraId="7C8552EF" w14:textId="77777777" w:rsidR="00087B91" w:rsidRPr="002029AF" w:rsidRDefault="00087B91" w:rsidP="00860E95">
            <w:pPr>
              <w:pStyle w:val="ARfintablebodyrightbold"/>
              <w:ind w:right="0"/>
            </w:pPr>
            <w:r w:rsidRPr="002029AF">
              <w:t>2.1</w:t>
            </w:r>
          </w:p>
        </w:tc>
        <w:tc>
          <w:tcPr>
            <w:tcW w:w="709" w:type="dxa"/>
            <w:tcBorders>
              <w:bottom w:val="single" w:sz="4" w:space="0" w:color="auto"/>
            </w:tcBorders>
            <w:noWrap/>
            <w:hideMark/>
          </w:tcPr>
          <w:p w14:paraId="21CB8D18" w14:textId="77777777" w:rsidR="00087B91" w:rsidRPr="002029AF" w:rsidRDefault="00087B91" w:rsidP="00860E95">
            <w:pPr>
              <w:pStyle w:val="ARfintablebodyrightbold"/>
              <w:ind w:right="0"/>
            </w:pPr>
            <w:r w:rsidRPr="002029AF">
              <w:t>(189.3)</w:t>
            </w:r>
          </w:p>
        </w:tc>
        <w:tc>
          <w:tcPr>
            <w:tcW w:w="709" w:type="dxa"/>
            <w:tcBorders>
              <w:bottom w:val="single" w:sz="4" w:space="0" w:color="auto"/>
            </w:tcBorders>
            <w:noWrap/>
            <w:hideMark/>
          </w:tcPr>
          <w:p w14:paraId="18F08559" w14:textId="77777777" w:rsidR="00087B91" w:rsidRPr="002029AF" w:rsidRDefault="00087B91" w:rsidP="00860E95">
            <w:pPr>
              <w:pStyle w:val="ARfintablebodyrightbold"/>
              <w:ind w:right="0"/>
            </w:pPr>
            <w:r w:rsidRPr="002029AF">
              <w:t>(0.6)</w:t>
            </w:r>
          </w:p>
        </w:tc>
        <w:tc>
          <w:tcPr>
            <w:tcW w:w="567" w:type="dxa"/>
            <w:tcBorders>
              <w:bottom w:val="single" w:sz="4" w:space="0" w:color="auto"/>
            </w:tcBorders>
            <w:noWrap/>
            <w:hideMark/>
          </w:tcPr>
          <w:p w14:paraId="5E386093" w14:textId="77777777" w:rsidR="00087B91" w:rsidRPr="002029AF" w:rsidRDefault="00087B91" w:rsidP="00860E95">
            <w:pPr>
              <w:pStyle w:val="ARfintablebodyrightbold"/>
              <w:ind w:right="0"/>
            </w:pPr>
            <w:r w:rsidRPr="002029AF">
              <w:t>–</w:t>
            </w:r>
          </w:p>
        </w:tc>
        <w:tc>
          <w:tcPr>
            <w:tcW w:w="714" w:type="dxa"/>
            <w:tcBorders>
              <w:bottom w:val="single" w:sz="4" w:space="0" w:color="auto"/>
            </w:tcBorders>
            <w:noWrap/>
            <w:hideMark/>
          </w:tcPr>
          <w:p w14:paraId="33DDDEEA" w14:textId="77777777" w:rsidR="00087B91" w:rsidRPr="002029AF" w:rsidRDefault="00087B91" w:rsidP="00860E95">
            <w:pPr>
              <w:pStyle w:val="ARfintablebodyrightbold"/>
              <w:ind w:right="0"/>
            </w:pPr>
            <w:r w:rsidRPr="002029AF">
              <w:t>608.1</w:t>
            </w:r>
          </w:p>
        </w:tc>
      </w:tr>
      <w:tr w:rsidR="00087B91" w:rsidRPr="002029AF" w14:paraId="60A0821B" w14:textId="77777777" w:rsidTr="00C81A0B">
        <w:trPr>
          <w:trHeight w:val="170"/>
        </w:trPr>
        <w:tc>
          <w:tcPr>
            <w:tcW w:w="14610" w:type="dxa"/>
            <w:gridSpan w:val="20"/>
            <w:tcBorders>
              <w:top w:val="single" w:sz="4" w:space="0" w:color="auto"/>
              <w:bottom w:val="single" w:sz="4" w:space="0" w:color="A6A6A6"/>
            </w:tcBorders>
            <w:hideMark/>
          </w:tcPr>
          <w:p w14:paraId="3EC9D942" w14:textId="1F497B73" w:rsidR="00087B91" w:rsidRPr="002029AF" w:rsidRDefault="00087B91" w:rsidP="00860E95">
            <w:pPr>
              <w:pStyle w:val="ARfintablebodybold"/>
              <w:keepNext/>
              <w:ind w:right="0"/>
            </w:pPr>
            <w:r w:rsidRPr="002029AF">
              <w:t>Other</w:t>
            </w:r>
            <w:r w:rsidR="000A5329" w:rsidRPr="002029AF">
              <w:t xml:space="preserve"> </w:t>
            </w:r>
            <w:r w:rsidRPr="002029AF">
              <w:t>economic</w:t>
            </w:r>
            <w:r w:rsidR="000A5329" w:rsidRPr="002029AF">
              <w:t xml:space="preserve"> </w:t>
            </w:r>
            <w:r w:rsidRPr="002029AF">
              <w:t>flows</w:t>
            </w:r>
            <w:r w:rsidR="000A5329" w:rsidRPr="002029AF">
              <w:t xml:space="preserve"> </w:t>
            </w:r>
            <w:r w:rsidRPr="002029AF">
              <w:t>included</w:t>
            </w:r>
            <w:r w:rsidR="000A5329" w:rsidRPr="002029AF">
              <w:t xml:space="preserve"> </w:t>
            </w:r>
            <w:r w:rsidRPr="002029AF">
              <w:t>in</w:t>
            </w:r>
            <w:r w:rsidR="000A5329" w:rsidRPr="002029AF">
              <w:t xml:space="preserve"> </w:t>
            </w:r>
            <w:r w:rsidRPr="002029AF">
              <w:t>net</w:t>
            </w:r>
            <w:r w:rsidR="000A5329" w:rsidRPr="002029AF">
              <w:t xml:space="preserve"> </w:t>
            </w:r>
            <w:r w:rsidRPr="002029AF">
              <w:t>result</w:t>
            </w:r>
          </w:p>
        </w:tc>
      </w:tr>
      <w:tr w:rsidR="00595FA8" w:rsidRPr="002029AF" w14:paraId="28AD968F" w14:textId="77777777" w:rsidTr="00C81A0B">
        <w:trPr>
          <w:gridAfter w:val="1"/>
          <w:wAfter w:w="9" w:type="dxa"/>
          <w:trHeight w:val="170"/>
        </w:trPr>
        <w:tc>
          <w:tcPr>
            <w:tcW w:w="2213" w:type="dxa"/>
            <w:tcBorders>
              <w:top w:val="single" w:sz="4" w:space="0" w:color="A6A6A6"/>
              <w:bottom w:val="single" w:sz="4" w:space="0" w:color="A6A6A6"/>
            </w:tcBorders>
            <w:hideMark/>
          </w:tcPr>
          <w:p w14:paraId="08AC2A71" w14:textId="66D2DE83" w:rsidR="00087B91" w:rsidRPr="002029AF" w:rsidRDefault="00087B91" w:rsidP="00860E95">
            <w:pPr>
              <w:pStyle w:val="ARfintablebody"/>
              <w:keepNext/>
            </w:pPr>
            <w:r w:rsidRPr="002029AF">
              <w:t>Net</w:t>
            </w:r>
            <w:r w:rsidR="000A5329" w:rsidRPr="002029AF">
              <w:t xml:space="preserve"> </w:t>
            </w:r>
            <w:r w:rsidRPr="002029AF">
              <w:t>gain/(loss)</w:t>
            </w:r>
            <w:r w:rsidR="000A5329" w:rsidRPr="002029AF">
              <w:t xml:space="preserve"> </w:t>
            </w:r>
            <w:r w:rsidRPr="002029AF">
              <w:t>on</w:t>
            </w:r>
            <w:r w:rsidR="000A5329" w:rsidRPr="002029AF">
              <w:t xml:space="preserve"> </w:t>
            </w:r>
            <w:r w:rsidRPr="002029AF">
              <w:t>non-financial</w:t>
            </w:r>
            <w:r w:rsidR="000A5329" w:rsidRPr="002029AF">
              <w:t xml:space="preserve"> </w:t>
            </w:r>
            <w:r w:rsidRPr="002029AF">
              <w:t>assets</w:t>
            </w:r>
          </w:p>
        </w:tc>
        <w:tc>
          <w:tcPr>
            <w:tcW w:w="901" w:type="dxa"/>
            <w:tcBorders>
              <w:top w:val="single" w:sz="4" w:space="0" w:color="A6A6A6"/>
              <w:bottom w:val="single" w:sz="4" w:space="0" w:color="A6A6A6"/>
            </w:tcBorders>
            <w:noWrap/>
            <w:hideMark/>
          </w:tcPr>
          <w:p w14:paraId="4FE4E25A" w14:textId="77777777" w:rsidR="00087B91" w:rsidRPr="002029AF" w:rsidRDefault="00087B91" w:rsidP="00860E95">
            <w:pPr>
              <w:pStyle w:val="ARfintablebodyright"/>
              <w:ind w:right="0"/>
            </w:pPr>
            <w:r w:rsidRPr="002029AF">
              <w:t>0.1</w:t>
            </w:r>
          </w:p>
        </w:tc>
        <w:tc>
          <w:tcPr>
            <w:tcW w:w="709" w:type="dxa"/>
            <w:tcBorders>
              <w:top w:val="single" w:sz="4" w:space="0" w:color="A6A6A6"/>
              <w:bottom w:val="single" w:sz="4" w:space="0" w:color="A6A6A6"/>
            </w:tcBorders>
            <w:noWrap/>
            <w:hideMark/>
          </w:tcPr>
          <w:p w14:paraId="1ACC8478" w14:textId="77777777" w:rsidR="00087B91" w:rsidRPr="002029AF" w:rsidRDefault="00087B91" w:rsidP="00860E95">
            <w:pPr>
              <w:pStyle w:val="ARfintablebodyright"/>
              <w:ind w:right="0"/>
            </w:pPr>
            <w:r w:rsidRPr="002029AF">
              <w:t>–</w:t>
            </w:r>
          </w:p>
        </w:tc>
        <w:tc>
          <w:tcPr>
            <w:tcW w:w="575" w:type="dxa"/>
            <w:tcBorders>
              <w:top w:val="single" w:sz="4" w:space="0" w:color="A6A6A6"/>
              <w:bottom w:val="single" w:sz="4" w:space="0" w:color="A6A6A6"/>
            </w:tcBorders>
            <w:noWrap/>
            <w:hideMark/>
          </w:tcPr>
          <w:p w14:paraId="3302A70B" w14:textId="77777777" w:rsidR="00087B91" w:rsidRPr="002029AF" w:rsidRDefault="00087B91" w:rsidP="00860E95">
            <w:pPr>
              <w:pStyle w:val="ARfintablebodyright"/>
              <w:ind w:right="0"/>
            </w:pPr>
            <w:r w:rsidRPr="002029AF">
              <w:t>–</w:t>
            </w:r>
          </w:p>
        </w:tc>
        <w:tc>
          <w:tcPr>
            <w:tcW w:w="681" w:type="dxa"/>
            <w:tcBorders>
              <w:top w:val="single" w:sz="4" w:space="0" w:color="A6A6A6"/>
              <w:bottom w:val="single" w:sz="4" w:space="0" w:color="A6A6A6"/>
            </w:tcBorders>
            <w:noWrap/>
            <w:hideMark/>
          </w:tcPr>
          <w:p w14:paraId="07CF145C" w14:textId="77777777" w:rsidR="00087B91" w:rsidRPr="002029AF" w:rsidRDefault="00087B91" w:rsidP="00860E95">
            <w:pPr>
              <w:pStyle w:val="ARfintablebodyright"/>
              <w:ind w:right="0"/>
            </w:pPr>
            <w:r w:rsidRPr="002029AF">
              <w:t>–</w:t>
            </w:r>
          </w:p>
        </w:tc>
        <w:tc>
          <w:tcPr>
            <w:tcW w:w="728" w:type="dxa"/>
            <w:tcBorders>
              <w:top w:val="single" w:sz="4" w:space="0" w:color="A6A6A6"/>
              <w:bottom w:val="single" w:sz="4" w:space="0" w:color="A6A6A6"/>
            </w:tcBorders>
            <w:noWrap/>
            <w:hideMark/>
          </w:tcPr>
          <w:p w14:paraId="2E4CCC37" w14:textId="77777777" w:rsidR="00087B91" w:rsidRPr="002029AF" w:rsidRDefault="00087B91" w:rsidP="00860E95">
            <w:pPr>
              <w:pStyle w:val="ARfintablebodyright"/>
              <w:ind w:right="0"/>
            </w:pPr>
            <w:r w:rsidRPr="002029AF">
              <w:t>–</w:t>
            </w:r>
          </w:p>
        </w:tc>
        <w:tc>
          <w:tcPr>
            <w:tcW w:w="614" w:type="dxa"/>
            <w:tcBorders>
              <w:top w:val="single" w:sz="4" w:space="0" w:color="A6A6A6"/>
              <w:bottom w:val="single" w:sz="4" w:space="0" w:color="A6A6A6"/>
            </w:tcBorders>
            <w:noWrap/>
            <w:hideMark/>
          </w:tcPr>
          <w:p w14:paraId="534315B3" w14:textId="77777777" w:rsidR="00087B91" w:rsidRPr="002029AF" w:rsidRDefault="00087B91" w:rsidP="00860E95">
            <w:pPr>
              <w:pStyle w:val="ARfintablebodyright"/>
              <w:ind w:right="0"/>
            </w:pPr>
            <w:r w:rsidRPr="002029AF">
              <w:t>–</w:t>
            </w:r>
          </w:p>
        </w:tc>
        <w:tc>
          <w:tcPr>
            <w:tcW w:w="680" w:type="dxa"/>
            <w:tcBorders>
              <w:top w:val="single" w:sz="4" w:space="0" w:color="A6A6A6"/>
              <w:bottom w:val="single" w:sz="4" w:space="0" w:color="A6A6A6"/>
            </w:tcBorders>
            <w:noWrap/>
            <w:hideMark/>
          </w:tcPr>
          <w:p w14:paraId="4FA444F3" w14:textId="77777777" w:rsidR="00087B91" w:rsidRPr="002029AF" w:rsidRDefault="00087B91" w:rsidP="00860E95">
            <w:pPr>
              <w:pStyle w:val="ARfintablebodyright"/>
              <w:ind w:right="0"/>
            </w:pPr>
            <w:r w:rsidRPr="002029AF">
              <w:t>0.1</w:t>
            </w:r>
          </w:p>
        </w:tc>
        <w:tc>
          <w:tcPr>
            <w:tcW w:w="680" w:type="dxa"/>
            <w:tcBorders>
              <w:top w:val="single" w:sz="4" w:space="0" w:color="A6A6A6"/>
              <w:bottom w:val="single" w:sz="4" w:space="0" w:color="A6A6A6"/>
            </w:tcBorders>
            <w:noWrap/>
            <w:hideMark/>
          </w:tcPr>
          <w:p w14:paraId="6BF5FEB5" w14:textId="77777777" w:rsidR="00087B91" w:rsidRPr="002029AF" w:rsidRDefault="00087B91" w:rsidP="00860E95">
            <w:pPr>
              <w:pStyle w:val="ARfintablebodyright"/>
              <w:ind w:right="0"/>
            </w:pPr>
            <w:r w:rsidRPr="002029AF">
              <w:t>–</w:t>
            </w:r>
          </w:p>
        </w:tc>
        <w:tc>
          <w:tcPr>
            <w:tcW w:w="719" w:type="dxa"/>
            <w:tcBorders>
              <w:top w:val="single" w:sz="4" w:space="0" w:color="A6A6A6"/>
              <w:bottom w:val="single" w:sz="4" w:space="0" w:color="A6A6A6"/>
            </w:tcBorders>
            <w:noWrap/>
            <w:hideMark/>
          </w:tcPr>
          <w:p w14:paraId="57395D30" w14:textId="77777777" w:rsidR="00087B91" w:rsidRPr="002029AF" w:rsidRDefault="00087B91" w:rsidP="00860E95">
            <w:pPr>
              <w:pStyle w:val="ARfintablebodyright"/>
              <w:ind w:right="0"/>
            </w:pPr>
            <w:r w:rsidRPr="002029AF">
              <w:t>(0.1)</w:t>
            </w:r>
          </w:p>
        </w:tc>
        <w:tc>
          <w:tcPr>
            <w:tcW w:w="709" w:type="dxa"/>
            <w:tcBorders>
              <w:top w:val="single" w:sz="4" w:space="0" w:color="A6A6A6"/>
              <w:bottom w:val="single" w:sz="4" w:space="0" w:color="A6A6A6"/>
            </w:tcBorders>
            <w:noWrap/>
            <w:hideMark/>
          </w:tcPr>
          <w:p w14:paraId="4EB8E8F5" w14:textId="77777777" w:rsidR="00087B91" w:rsidRPr="002029AF" w:rsidRDefault="00087B91" w:rsidP="00860E95">
            <w:pPr>
              <w:pStyle w:val="ARfintablebodyright"/>
              <w:ind w:right="0"/>
            </w:pPr>
            <w:r w:rsidRPr="002029AF">
              <w:t>1.0</w:t>
            </w:r>
          </w:p>
        </w:tc>
        <w:tc>
          <w:tcPr>
            <w:tcW w:w="709" w:type="dxa"/>
            <w:tcBorders>
              <w:top w:val="single" w:sz="4" w:space="0" w:color="A6A6A6"/>
              <w:bottom w:val="single" w:sz="4" w:space="0" w:color="A6A6A6"/>
            </w:tcBorders>
            <w:noWrap/>
            <w:hideMark/>
          </w:tcPr>
          <w:p w14:paraId="26CDD5C6" w14:textId="77777777" w:rsidR="00087B91" w:rsidRPr="002029AF" w:rsidRDefault="00087B91" w:rsidP="00860E95">
            <w:pPr>
              <w:pStyle w:val="ARfintablebodyright"/>
              <w:ind w:right="0"/>
            </w:pPr>
            <w:r w:rsidRPr="002029AF">
              <w:t>–</w:t>
            </w:r>
          </w:p>
        </w:tc>
        <w:tc>
          <w:tcPr>
            <w:tcW w:w="709" w:type="dxa"/>
            <w:tcBorders>
              <w:top w:val="single" w:sz="4" w:space="0" w:color="A6A6A6"/>
              <w:bottom w:val="single" w:sz="4" w:space="0" w:color="A6A6A6"/>
            </w:tcBorders>
            <w:noWrap/>
            <w:hideMark/>
          </w:tcPr>
          <w:p w14:paraId="418ECD71" w14:textId="77777777" w:rsidR="00087B91" w:rsidRPr="002029AF" w:rsidRDefault="00087B91" w:rsidP="00860E95">
            <w:pPr>
              <w:pStyle w:val="ARfintablebodyright"/>
              <w:ind w:right="0"/>
            </w:pPr>
            <w:r w:rsidRPr="002029AF">
              <w:t>–</w:t>
            </w:r>
          </w:p>
        </w:tc>
        <w:tc>
          <w:tcPr>
            <w:tcW w:w="567" w:type="dxa"/>
            <w:tcBorders>
              <w:top w:val="single" w:sz="4" w:space="0" w:color="A6A6A6"/>
              <w:bottom w:val="single" w:sz="4" w:space="0" w:color="A6A6A6"/>
            </w:tcBorders>
            <w:noWrap/>
            <w:hideMark/>
          </w:tcPr>
          <w:p w14:paraId="1E6C50F4" w14:textId="77777777" w:rsidR="00087B91" w:rsidRPr="002029AF" w:rsidRDefault="00087B91" w:rsidP="00860E95">
            <w:pPr>
              <w:pStyle w:val="ARfintablebodyright"/>
              <w:ind w:right="0"/>
            </w:pPr>
            <w:r w:rsidRPr="002029AF">
              <w:t>–</w:t>
            </w:r>
          </w:p>
        </w:tc>
        <w:tc>
          <w:tcPr>
            <w:tcW w:w="708" w:type="dxa"/>
            <w:tcBorders>
              <w:top w:val="single" w:sz="4" w:space="0" w:color="A6A6A6"/>
              <w:bottom w:val="single" w:sz="4" w:space="0" w:color="A6A6A6"/>
            </w:tcBorders>
            <w:noWrap/>
            <w:hideMark/>
          </w:tcPr>
          <w:p w14:paraId="3C6A5F82" w14:textId="77777777" w:rsidR="00087B91" w:rsidRPr="002029AF" w:rsidRDefault="00087B91" w:rsidP="00860E95">
            <w:pPr>
              <w:pStyle w:val="ARfintablebodyright"/>
              <w:ind w:right="0"/>
            </w:pPr>
            <w:r w:rsidRPr="002029AF">
              <w:t>–</w:t>
            </w:r>
          </w:p>
        </w:tc>
        <w:tc>
          <w:tcPr>
            <w:tcW w:w="709" w:type="dxa"/>
            <w:tcBorders>
              <w:top w:val="single" w:sz="4" w:space="0" w:color="A6A6A6"/>
              <w:bottom w:val="single" w:sz="4" w:space="0" w:color="A6A6A6"/>
            </w:tcBorders>
            <w:noWrap/>
            <w:hideMark/>
          </w:tcPr>
          <w:p w14:paraId="57DEC0E9" w14:textId="77777777" w:rsidR="00087B91" w:rsidRPr="002029AF" w:rsidRDefault="00087B91" w:rsidP="00860E95">
            <w:pPr>
              <w:pStyle w:val="ARfintablebodyright"/>
              <w:ind w:right="0"/>
            </w:pPr>
            <w:r w:rsidRPr="002029AF">
              <w:t>(5.6)</w:t>
            </w:r>
          </w:p>
        </w:tc>
        <w:tc>
          <w:tcPr>
            <w:tcW w:w="709" w:type="dxa"/>
            <w:tcBorders>
              <w:top w:val="single" w:sz="4" w:space="0" w:color="A6A6A6"/>
              <w:bottom w:val="single" w:sz="4" w:space="0" w:color="A6A6A6"/>
            </w:tcBorders>
            <w:noWrap/>
            <w:hideMark/>
          </w:tcPr>
          <w:p w14:paraId="179B9DD0" w14:textId="77777777" w:rsidR="00087B91" w:rsidRPr="002029AF" w:rsidRDefault="00087B91" w:rsidP="00860E95">
            <w:pPr>
              <w:pStyle w:val="ARfintablebodyright"/>
              <w:ind w:right="0"/>
            </w:pPr>
            <w:r w:rsidRPr="002029AF">
              <w:t>–</w:t>
            </w:r>
          </w:p>
        </w:tc>
        <w:tc>
          <w:tcPr>
            <w:tcW w:w="567" w:type="dxa"/>
            <w:tcBorders>
              <w:top w:val="single" w:sz="4" w:space="0" w:color="A6A6A6"/>
              <w:bottom w:val="single" w:sz="4" w:space="0" w:color="A6A6A6"/>
            </w:tcBorders>
            <w:noWrap/>
            <w:hideMark/>
          </w:tcPr>
          <w:p w14:paraId="4801EF02" w14:textId="77777777" w:rsidR="00087B91" w:rsidRPr="002029AF" w:rsidRDefault="00087B91" w:rsidP="00860E95">
            <w:pPr>
              <w:pStyle w:val="ARfintablebodyright"/>
              <w:ind w:right="0"/>
            </w:pPr>
            <w:r w:rsidRPr="002029AF">
              <w:t>–</w:t>
            </w:r>
          </w:p>
        </w:tc>
        <w:tc>
          <w:tcPr>
            <w:tcW w:w="714" w:type="dxa"/>
            <w:tcBorders>
              <w:top w:val="single" w:sz="4" w:space="0" w:color="A6A6A6"/>
              <w:bottom w:val="single" w:sz="4" w:space="0" w:color="A6A6A6"/>
            </w:tcBorders>
            <w:noWrap/>
            <w:hideMark/>
          </w:tcPr>
          <w:p w14:paraId="0D3AED48" w14:textId="77777777" w:rsidR="00087B91" w:rsidRPr="002029AF" w:rsidRDefault="00087B91" w:rsidP="00860E95">
            <w:pPr>
              <w:pStyle w:val="ARfintablebodyright"/>
              <w:ind w:right="0"/>
            </w:pPr>
            <w:r w:rsidRPr="002029AF">
              <w:t>(4.5)</w:t>
            </w:r>
          </w:p>
        </w:tc>
      </w:tr>
      <w:tr w:rsidR="00595FA8" w:rsidRPr="002029AF" w14:paraId="05745456" w14:textId="77777777" w:rsidTr="00C81A0B">
        <w:trPr>
          <w:gridAfter w:val="1"/>
          <w:wAfter w:w="9" w:type="dxa"/>
          <w:trHeight w:val="170"/>
        </w:trPr>
        <w:tc>
          <w:tcPr>
            <w:tcW w:w="2213" w:type="dxa"/>
            <w:tcBorders>
              <w:top w:val="single" w:sz="4" w:space="0" w:color="A6A6A6"/>
              <w:bottom w:val="single" w:sz="4" w:space="0" w:color="A6A6A6"/>
            </w:tcBorders>
            <w:hideMark/>
          </w:tcPr>
          <w:p w14:paraId="2675B6A8" w14:textId="553C360D" w:rsidR="00087B91" w:rsidRPr="002029AF" w:rsidRDefault="00087B91" w:rsidP="00860E95">
            <w:pPr>
              <w:pStyle w:val="ARfintablebody"/>
              <w:keepNext/>
            </w:pPr>
            <w:r w:rsidRPr="002029AF">
              <w:t>Net</w:t>
            </w:r>
            <w:r w:rsidR="000A5329" w:rsidRPr="002029AF">
              <w:t xml:space="preserve"> </w:t>
            </w:r>
            <w:r w:rsidRPr="002029AF">
              <w:t>gain/(loss)</w:t>
            </w:r>
            <w:r w:rsidR="000A5329" w:rsidRPr="002029AF">
              <w:t xml:space="preserve"> </w:t>
            </w:r>
            <w:r w:rsidRPr="002029AF">
              <w:t>on</w:t>
            </w:r>
            <w:r w:rsidR="000A5329" w:rsidRPr="002029AF">
              <w:t xml:space="preserve"> </w:t>
            </w:r>
            <w:r w:rsidRPr="002029AF">
              <w:t>financial</w:t>
            </w:r>
            <w:r w:rsidR="000A5329" w:rsidRPr="002029AF">
              <w:t xml:space="preserve"> </w:t>
            </w:r>
            <w:r w:rsidRPr="002029AF">
              <w:t>instruments</w:t>
            </w:r>
          </w:p>
        </w:tc>
        <w:tc>
          <w:tcPr>
            <w:tcW w:w="901" w:type="dxa"/>
            <w:tcBorders>
              <w:top w:val="single" w:sz="4" w:space="0" w:color="A6A6A6"/>
              <w:bottom w:val="single" w:sz="4" w:space="0" w:color="A6A6A6"/>
            </w:tcBorders>
            <w:noWrap/>
            <w:hideMark/>
          </w:tcPr>
          <w:p w14:paraId="0CED022F" w14:textId="77777777" w:rsidR="00087B91" w:rsidRPr="002029AF" w:rsidRDefault="00087B91" w:rsidP="00860E95">
            <w:pPr>
              <w:pStyle w:val="ARfintablebodyright"/>
              <w:ind w:right="0"/>
            </w:pPr>
            <w:r w:rsidRPr="002029AF">
              <w:t>0.3</w:t>
            </w:r>
          </w:p>
        </w:tc>
        <w:tc>
          <w:tcPr>
            <w:tcW w:w="709" w:type="dxa"/>
            <w:tcBorders>
              <w:top w:val="single" w:sz="4" w:space="0" w:color="A6A6A6"/>
              <w:bottom w:val="single" w:sz="4" w:space="0" w:color="A6A6A6"/>
            </w:tcBorders>
            <w:noWrap/>
            <w:hideMark/>
          </w:tcPr>
          <w:p w14:paraId="7B796C8F" w14:textId="77777777" w:rsidR="00087B91" w:rsidRPr="002029AF" w:rsidRDefault="00087B91" w:rsidP="00860E95">
            <w:pPr>
              <w:pStyle w:val="ARfintablebodyright"/>
              <w:ind w:right="0"/>
            </w:pPr>
            <w:r w:rsidRPr="002029AF">
              <w:t>–</w:t>
            </w:r>
          </w:p>
        </w:tc>
        <w:tc>
          <w:tcPr>
            <w:tcW w:w="575" w:type="dxa"/>
            <w:tcBorders>
              <w:top w:val="single" w:sz="4" w:space="0" w:color="A6A6A6"/>
              <w:bottom w:val="single" w:sz="4" w:space="0" w:color="A6A6A6"/>
            </w:tcBorders>
            <w:noWrap/>
            <w:hideMark/>
          </w:tcPr>
          <w:p w14:paraId="7C469F95" w14:textId="77777777" w:rsidR="00087B91" w:rsidRPr="002029AF" w:rsidRDefault="00087B91" w:rsidP="00860E95">
            <w:pPr>
              <w:pStyle w:val="ARfintablebodyright"/>
              <w:ind w:right="0"/>
            </w:pPr>
            <w:r w:rsidRPr="002029AF">
              <w:t>0.1</w:t>
            </w:r>
          </w:p>
        </w:tc>
        <w:tc>
          <w:tcPr>
            <w:tcW w:w="681" w:type="dxa"/>
            <w:tcBorders>
              <w:top w:val="single" w:sz="4" w:space="0" w:color="A6A6A6"/>
              <w:bottom w:val="single" w:sz="4" w:space="0" w:color="A6A6A6"/>
            </w:tcBorders>
            <w:noWrap/>
            <w:hideMark/>
          </w:tcPr>
          <w:p w14:paraId="3C651E3A" w14:textId="77777777" w:rsidR="00087B91" w:rsidRPr="002029AF" w:rsidRDefault="00087B91" w:rsidP="00860E95">
            <w:pPr>
              <w:pStyle w:val="ARfintablebodyright"/>
              <w:ind w:right="0"/>
            </w:pPr>
            <w:r w:rsidRPr="002029AF">
              <w:t>0.1</w:t>
            </w:r>
          </w:p>
        </w:tc>
        <w:tc>
          <w:tcPr>
            <w:tcW w:w="728" w:type="dxa"/>
            <w:tcBorders>
              <w:top w:val="single" w:sz="4" w:space="0" w:color="A6A6A6"/>
              <w:bottom w:val="single" w:sz="4" w:space="0" w:color="A6A6A6"/>
            </w:tcBorders>
            <w:noWrap/>
            <w:hideMark/>
          </w:tcPr>
          <w:p w14:paraId="0E455DBB" w14:textId="77777777" w:rsidR="00087B91" w:rsidRPr="002029AF" w:rsidRDefault="00087B91" w:rsidP="00860E95">
            <w:pPr>
              <w:pStyle w:val="ARfintablebodyright"/>
              <w:ind w:right="0"/>
            </w:pPr>
            <w:r w:rsidRPr="002029AF">
              <w:t>–</w:t>
            </w:r>
          </w:p>
        </w:tc>
        <w:tc>
          <w:tcPr>
            <w:tcW w:w="614" w:type="dxa"/>
            <w:tcBorders>
              <w:top w:val="single" w:sz="4" w:space="0" w:color="A6A6A6"/>
              <w:bottom w:val="single" w:sz="4" w:space="0" w:color="A6A6A6"/>
            </w:tcBorders>
            <w:noWrap/>
            <w:hideMark/>
          </w:tcPr>
          <w:p w14:paraId="16298D6D" w14:textId="77777777" w:rsidR="00087B91" w:rsidRPr="002029AF" w:rsidRDefault="00087B91" w:rsidP="00860E95">
            <w:pPr>
              <w:pStyle w:val="ARfintablebodyright"/>
              <w:ind w:right="0"/>
            </w:pPr>
            <w:r w:rsidRPr="002029AF">
              <w:t>–</w:t>
            </w:r>
          </w:p>
        </w:tc>
        <w:tc>
          <w:tcPr>
            <w:tcW w:w="680" w:type="dxa"/>
            <w:tcBorders>
              <w:top w:val="single" w:sz="4" w:space="0" w:color="A6A6A6"/>
              <w:bottom w:val="single" w:sz="4" w:space="0" w:color="A6A6A6"/>
            </w:tcBorders>
            <w:noWrap/>
            <w:hideMark/>
          </w:tcPr>
          <w:p w14:paraId="532354CE" w14:textId="77777777" w:rsidR="00087B91" w:rsidRPr="002029AF" w:rsidRDefault="00087B91" w:rsidP="00860E95">
            <w:pPr>
              <w:pStyle w:val="ARfintablebodyright"/>
              <w:ind w:right="0"/>
            </w:pPr>
            <w:r w:rsidRPr="002029AF">
              <w:t>–</w:t>
            </w:r>
          </w:p>
        </w:tc>
        <w:tc>
          <w:tcPr>
            <w:tcW w:w="680" w:type="dxa"/>
            <w:tcBorders>
              <w:top w:val="single" w:sz="4" w:space="0" w:color="A6A6A6"/>
              <w:bottom w:val="single" w:sz="4" w:space="0" w:color="A6A6A6"/>
            </w:tcBorders>
            <w:noWrap/>
            <w:hideMark/>
          </w:tcPr>
          <w:p w14:paraId="0D79443F" w14:textId="77777777" w:rsidR="00087B91" w:rsidRPr="002029AF" w:rsidRDefault="00087B91" w:rsidP="00860E95">
            <w:pPr>
              <w:pStyle w:val="ARfintablebodyright"/>
              <w:ind w:right="0"/>
            </w:pPr>
            <w:r w:rsidRPr="002029AF">
              <w:t>–</w:t>
            </w:r>
          </w:p>
        </w:tc>
        <w:tc>
          <w:tcPr>
            <w:tcW w:w="719" w:type="dxa"/>
            <w:tcBorders>
              <w:top w:val="single" w:sz="4" w:space="0" w:color="A6A6A6"/>
              <w:bottom w:val="single" w:sz="4" w:space="0" w:color="A6A6A6"/>
            </w:tcBorders>
            <w:noWrap/>
            <w:hideMark/>
          </w:tcPr>
          <w:p w14:paraId="003BDD76" w14:textId="77777777" w:rsidR="00087B91" w:rsidRPr="002029AF" w:rsidRDefault="00087B91" w:rsidP="00860E95">
            <w:pPr>
              <w:pStyle w:val="ARfintablebodyright"/>
              <w:ind w:right="0"/>
            </w:pPr>
            <w:r w:rsidRPr="002029AF">
              <w:t>(0.1)</w:t>
            </w:r>
          </w:p>
        </w:tc>
        <w:tc>
          <w:tcPr>
            <w:tcW w:w="709" w:type="dxa"/>
            <w:tcBorders>
              <w:top w:val="single" w:sz="4" w:space="0" w:color="A6A6A6"/>
              <w:bottom w:val="single" w:sz="4" w:space="0" w:color="A6A6A6"/>
            </w:tcBorders>
            <w:noWrap/>
            <w:hideMark/>
          </w:tcPr>
          <w:p w14:paraId="13ABB0AA" w14:textId="77777777" w:rsidR="00087B91" w:rsidRPr="002029AF" w:rsidRDefault="00087B91" w:rsidP="00860E95">
            <w:pPr>
              <w:pStyle w:val="ARfintablebodyright"/>
              <w:ind w:right="0"/>
            </w:pPr>
            <w:r w:rsidRPr="002029AF">
              <w:t>–</w:t>
            </w:r>
          </w:p>
        </w:tc>
        <w:tc>
          <w:tcPr>
            <w:tcW w:w="709" w:type="dxa"/>
            <w:tcBorders>
              <w:top w:val="single" w:sz="4" w:space="0" w:color="A6A6A6"/>
              <w:bottom w:val="single" w:sz="4" w:space="0" w:color="A6A6A6"/>
            </w:tcBorders>
            <w:noWrap/>
            <w:hideMark/>
          </w:tcPr>
          <w:p w14:paraId="3CA53776" w14:textId="77777777" w:rsidR="00087B91" w:rsidRPr="002029AF" w:rsidRDefault="00087B91" w:rsidP="00860E95">
            <w:pPr>
              <w:pStyle w:val="ARfintablebodyright"/>
              <w:ind w:right="0"/>
            </w:pPr>
            <w:r w:rsidRPr="002029AF">
              <w:t>–</w:t>
            </w:r>
          </w:p>
        </w:tc>
        <w:tc>
          <w:tcPr>
            <w:tcW w:w="709" w:type="dxa"/>
            <w:tcBorders>
              <w:top w:val="single" w:sz="4" w:space="0" w:color="A6A6A6"/>
              <w:bottom w:val="single" w:sz="4" w:space="0" w:color="A6A6A6"/>
            </w:tcBorders>
            <w:noWrap/>
            <w:hideMark/>
          </w:tcPr>
          <w:p w14:paraId="294D7993" w14:textId="77777777" w:rsidR="00087B91" w:rsidRPr="002029AF" w:rsidRDefault="00087B91" w:rsidP="00860E95">
            <w:pPr>
              <w:pStyle w:val="ARfintablebodyright"/>
              <w:ind w:right="0"/>
            </w:pPr>
            <w:r w:rsidRPr="002029AF">
              <w:t>–</w:t>
            </w:r>
          </w:p>
        </w:tc>
        <w:tc>
          <w:tcPr>
            <w:tcW w:w="567" w:type="dxa"/>
            <w:tcBorders>
              <w:top w:val="single" w:sz="4" w:space="0" w:color="A6A6A6"/>
              <w:bottom w:val="single" w:sz="4" w:space="0" w:color="A6A6A6"/>
            </w:tcBorders>
            <w:noWrap/>
            <w:hideMark/>
          </w:tcPr>
          <w:p w14:paraId="1C3DC1F0" w14:textId="77777777" w:rsidR="00087B91" w:rsidRPr="002029AF" w:rsidRDefault="00087B91" w:rsidP="00860E95">
            <w:pPr>
              <w:pStyle w:val="ARfintablebodyright"/>
              <w:ind w:right="0"/>
            </w:pPr>
            <w:r w:rsidRPr="002029AF">
              <w:t>–</w:t>
            </w:r>
          </w:p>
        </w:tc>
        <w:tc>
          <w:tcPr>
            <w:tcW w:w="708" w:type="dxa"/>
            <w:tcBorders>
              <w:top w:val="single" w:sz="4" w:space="0" w:color="A6A6A6"/>
              <w:bottom w:val="single" w:sz="4" w:space="0" w:color="A6A6A6"/>
            </w:tcBorders>
            <w:noWrap/>
            <w:hideMark/>
          </w:tcPr>
          <w:p w14:paraId="0845DD3F" w14:textId="77777777" w:rsidR="00087B91" w:rsidRPr="002029AF" w:rsidRDefault="00087B91" w:rsidP="00860E95">
            <w:pPr>
              <w:pStyle w:val="ARfintablebodyright"/>
              <w:ind w:right="0"/>
            </w:pPr>
            <w:r w:rsidRPr="002029AF">
              <w:t>–</w:t>
            </w:r>
          </w:p>
        </w:tc>
        <w:tc>
          <w:tcPr>
            <w:tcW w:w="709" w:type="dxa"/>
            <w:tcBorders>
              <w:top w:val="single" w:sz="4" w:space="0" w:color="A6A6A6"/>
              <w:bottom w:val="single" w:sz="4" w:space="0" w:color="A6A6A6"/>
            </w:tcBorders>
            <w:noWrap/>
            <w:hideMark/>
          </w:tcPr>
          <w:p w14:paraId="7B45712E" w14:textId="77777777" w:rsidR="00087B91" w:rsidRPr="002029AF" w:rsidRDefault="00087B91" w:rsidP="00860E95">
            <w:pPr>
              <w:pStyle w:val="ARfintablebodyright"/>
              <w:ind w:right="0"/>
            </w:pPr>
            <w:r w:rsidRPr="002029AF">
              <w:t>–</w:t>
            </w:r>
          </w:p>
        </w:tc>
        <w:tc>
          <w:tcPr>
            <w:tcW w:w="709" w:type="dxa"/>
            <w:tcBorders>
              <w:top w:val="single" w:sz="4" w:space="0" w:color="A6A6A6"/>
              <w:bottom w:val="single" w:sz="4" w:space="0" w:color="A6A6A6"/>
            </w:tcBorders>
            <w:noWrap/>
            <w:hideMark/>
          </w:tcPr>
          <w:p w14:paraId="3213F3DD" w14:textId="77777777" w:rsidR="00087B91" w:rsidRPr="002029AF" w:rsidRDefault="00087B91" w:rsidP="00860E95">
            <w:pPr>
              <w:pStyle w:val="ARfintablebodyright"/>
              <w:ind w:right="0"/>
            </w:pPr>
            <w:r w:rsidRPr="002029AF">
              <w:t>–</w:t>
            </w:r>
          </w:p>
        </w:tc>
        <w:tc>
          <w:tcPr>
            <w:tcW w:w="567" w:type="dxa"/>
            <w:tcBorders>
              <w:top w:val="single" w:sz="4" w:space="0" w:color="A6A6A6"/>
              <w:bottom w:val="single" w:sz="4" w:space="0" w:color="A6A6A6"/>
            </w:tcBorders>
            <w:noWrap/>
            <w:hideMark/>
          </w:tcPr>
          <w:p w14:paraId="427F2C64" w14:textId="77777777" w:rsidR="00087B91" w:rsidRPr="002029AF" w:rsidRDefault="00087B91" w:rsidP="00860E95">
            <w:pPr>
              <w:pStyle w:val="ARfintablebodyright"/>
              <w:ind w:right="0"/>
            </w:pPr>
            <w:r w:rsidRPr="002029AF">
              <w:t>–</w:t>
            </w:r>
          </w:p>
        </w:tc>
        <w:tc>
          <w:tcPr>
            <w:tcW w:w="714" w:type="dxa"/>
            <w:tcBorders>
              <w:top w:val="single" w:sz="4" w:space="0" w:color="A6A6A6"/>
              <w:bottom w:val="single" w:sz="4" w:space="0" w:color="A6A6A6"/>
            </w:tcBorders>
            <w:noWrap/>
            <w:hideMark/>
          </w:tcPr>
          <w:p w14:paraId="23D6E0A1" w14:textId="77777777" w:rsidR="00087B91" w:rsidRPr="002029AF" w:rsidRDefault="00087B91" w:rsidP="00860E95">
            <w:pPr>
              <w:pStyle w:val="ARfintablebodyright"/>
              <w:ind w:right="0"/>
            </w:pPr>
            <w:r w:rsidRPr="002029AF">
              <w:t>0.4</w:t>
            </w:r>
          </w:p>
        </w:tc>
      </w:tr>
      <w:tr w:rsidR="00595FA8" w:rsidRPr="002029AF" w14:paraId="092FC95F" w14:textId="77777777" w:rsidTr="00C81A0B">
        <w:trPr>
          <w:gridAfter w:val="1"/>
          <w:wAfter w:w="9" w:type="dxa"/>
          <w:trHeight w:val="170"/>
        </w:trPr>
        <w:tc>
          <w:tcPr>
            <w:tcW w:w="2213" w:type="dxa"/>
            <w:tcBorders>
              <w:top w:val="single" w:sz="4" w:space="0" w:color="A6A6A6"/>
              <w:bottom w:val="single" w:sz="4" w:space="0" w:color="A6A6A6"/>
            </w:tcBorders>
            <w:hideMark/>
          </w:tcPr>
          <w:p w14:paraId="5AD42488" w14:textId="106F096C" w:rsidR="00087B91" w:rsidRPr="002029AF" w:rsidRDefault="00087B91" w:rsidP="00860E95">
            <w:pPr>
              <w:pStyle w:val="ARfintablebody"/>
            </w:pPr>
            <w:r w:rsidRPr="002029AF">
              <w:t>Impairment</w:t>
            </w:r>
            <w:r w:rsidR="000A5329" w:rsidRPr="002029AF">
              <w:t xml:space="preserve"> </w:t>
            </w:r>
            <w:r w:rsidRPr="002029AF">
              <w:t>of</w:t>
            </w:r>
            <w:r w:rsidR="000A5329" w:rsidRPr="002029AF">
              <w:t xml:space="preserve"> </w:t>
            </w:r>
            <w:r w:rsidRPr="002029AF">
              <w:t>joint</w:t>
            </w:r>
            <w:r w:rsidR="000A5329" w:rsidRPr="002029AF">
              <w:t xml:space="preserve"> </w:t>
            </w:r>
            <w:r w:rsidRPr="002029AF">
              <w:t>venture</w:t>
            </w:r>
          </w:p>
        </w:tc>
        <w:tc>
          <w:tcPr>
            <w:tcW w:w="901" w:type="dxa"/>
            <w:tcBorders>
              <w:top w:val="single" w:sz="4" w:space="0" w:color="A6A6A6"/>
              <w:bottom w:val="single" w:sz="4" w:space="0" w:color="A6A6A6"/>
            </w:tcBorders>
            <w:noWrap/>
            <w:hideMark/>
          </w:tcPr>
          <w:p w14:paraId="178A6594" w14:textId="77777777" w:rsidR="00087B91" w:rsidRPr="002029AF" w:rsidRDefault="00087B91" w:rsidP="00860E95">
            <w:pPr>
              <w:pStyle w:val="ARfintablebodyright"/>
              <w:ind w:right="0"/>
            </w:pPr>
            <w:r w:rsidRPr="002029AF">
              <w:t>(35.0)</w:t>
            </w:r>
          </w:p>
        </w:tc>
        <w:tc>
          <w:tcPr>
            <w:tcW w:w="709" w:type="dxa"/>
            <w:tcBorders>
              <w:top w:val="single" w:sz="4" w:space="0" w:color="A6A6A6"/>
              <w:bottom w:val="single" w:sz="4" w:space="0" w:color="A6A6A6"/>
            </w:tcBorders>
            <w:noWrap/>
            <w:hideMark/>
          </w:tcPr>
          <w:p w14:paraId="33678F05" w14:textId="77777777" w:rsidR="00087B91" w:rsidRPr="002029AF" w:rsidRDefault="00087B91" w:rsidP="00860E95">
            <w:pPr>
              <w:pStyle w:val="ARfintablebodyright"/>
              <w:ind w:right="0"/>
            </w:pPr>
            <w:r w:rsidRPr="002029AF">
              <w:t>–</w:t>
            </w:r>
          </w:p>
        </w:tc>
        <w:tc>
          <w:tcPr>
            <w:tcW w:w="575" w:type="dxa"/>
            <w:tcBorders>
              <w:top w:val="single" w:sz="4" w:space="0" w:color="A6A6A6"/>
              <w:bottom w:val="single" w:sz="4" w:space="0" w:color="A6A6A6"/>
            </w:tcBorders>
            <w:noWrap/>
            <w:hideMark/>
          </w:tcPr>
          <w:p w14:paraId="26E68BC2" w14:textId="77777777" w:rsidR="00087B91" w:rsidRPr="002029AF" w:rsidRDefault="00087B91" w:rsidP="00860E95">
            <w:pPr>
              <w:pStyle w:val="ARfintablebodyright"/>
              <w:ind w:right="0"/>
            </w:pPr>
            <w:r w:rsidRPr="002029AF">
              <w:t>–</w:t>
            </w:r>
          </w:p>
        </w:tc>
        <w:tc>
          <w:tcPr>
            <w:tcW w:w="681" w:type="dxa"/>
            <w:tcBorders>
              <w:top w:val="single" w:sz="4" w:space="0" w:color="A6A6A6"/>
              <w:bottom w:val="single" w:sz="4" w:space="0" w:color="A6A6A6"/>
            </w:tcBorders>
            <w:noWrap/>
            <w:hideMark/>
          </w:tcPr>
          <w:p w14:paraId="758C5C41" w14:textId="77777777" w:rsidR="00087B91" w:rsidRPr="002029AF" w:rsidRDefault="00087B91" w:rsidP="00860E95">
            <w:pPr>
              <w:pStyle w:val="ARfintablebodyright"/>
              <w:ind w:right="0"/>
            </w:pPr>
            <w:r w:rsidRPr="002029AF">
              <w:t>–</w:t>
            </w:r>
          </w:p>
        </w:tc>
        <w:tc>
          <w:tcPr>
            <w:tcW w:w="728" w:type="dxa"/>
            <w:tcBorders>
              <w:top w:val="single" w:sz="4" w:space="0" w:color="A6A6A6"/>
              <w:bottom w:val="single" w:sz="4" w:space="0" w:color="A6A6A6"/>
            </w:tcBorders>
            <w:noWrap/>
            <w:hideMark/>
          </w:tcPr>
          <w:p w14:paraId="24BC0E18" w14:textId="77777777" w:rsidR="00087B91" w:rsidRPr="002029AF" w:rsidRDefault="00087B91" w:rsidP="00860E95">
            <w:pPr>
              <w:pStyle w:val="ARfintablebodyright"/>
              <w:ind w:right="0"/>
            </w:pPr>
            <w:r w:rsidRPr="002029AF">
              <w:t>–</w:t>
            </w:r>
          </w:p>
        </w:tc>
        <w:tc>
          <w:tcPr>
            <w:tcW w:w="614" w:type="dxa"/>
            <w:tcBorders>
              <w:top w:val="single" w:sz="4" w:space="0" w:color="A6A6A6"/>
              <w:bottom w:val="single" w:sz="4" w:space="0" w:color="A6A6A6"/>
            </w:tcBorders>
            <w:noWrap/>
            <w:hideMark/>
          </w:tcPr>
          <w:p w14:paraId="5D757886" w14:textId="77777777" w:rsidR="00087B91" w:rsidRPr="002029AF" w:rsidRDefault="00087B91" w:rsidP="00860E95">
            <w:pPr>
              <w:pStyle w:val="ARfintablebodyright"/>
              <w:ind w:right="0"/>
            </w:pPr>
            <w:r w:rsidRPr="002029AF">
              <w:t>–</w:t>
            </w:r>
          </w:p>
        </w:tc>
        <w:tc>
          <w:tcPr>
            <w:tcW w:w="680" w:type="dxa"/>
            <w:tcBorders>
              <w:top w:val="single" w:sz="4" w:space="0" w:color="A6A6A6"/>
              <w:bottom w:val="single" w:sz="4" w:space="0" w:color="A6A6A6"/>
            </w:tcBorders>
            <w:noWrap/>
            <w:hideMark/>
          </w:tcPr>
          <w:p w14:paraId="7E9D834B" w14:textId="77777777" w:rsidR="00087B91" w:rsidRPr="002029AF" w:rsidRDefault="00087B91" w:rsidP="00860E95">
            <w:pPr>
              <w:pStyle w:val="ARfintablebodyright"/>
              <w:ind w:right="0"/>
            </w:pPr>
            <w:r w:rsidRPr="002029AF">
              <w:t>–</w:t>
            </w:r>
          </w:p>
        </w:tc>
        <w:tc>
          <w:tcPr>
            <w:tcW w:w="680" w:type="dxa"/>
            <w:tcBorders>
              <w:top w:val="single" w:sz="4" w:space="0" w:color="A6A6A6"/>
              <w:bottom w:val="single" w:sz="4" w:space="0" w:color="A6A6A6"/>
            </w:tcBorders>
            <w:noWrap/>
            <w:hideMark/>
          </w:tcPr>
          <w:p w14:paraId="7BC2D38C" w14:textId="77777777" w:rsidR="00087B91" w:rsidRPr="002029AF" w:rsidRDefault="00087B91" w:rsidP="00860E95">
            <w:pPr>
              <w:pStyle w:val="ARfintablebodyright"/>
              <w:ind w:right="0"/>
            </w:pPr>
            <w:r w:rsidRPr="002029AF">
              <w:t>–</w:t>
            </w:r>
          </w:p>
        </w:tc>
        <w:tc>
          <w:tcPr>
            <w:tcW w:w="719" w:type="dxa"/>
            <w:tcBorders>
              <w:top w:val="single" w:sz="4" w:space="0" w:color="A6A6A6"/>
              <w:bottom w:val="single" w:sz="4" w:space="0" w:color="A6A6A6"/>
            </w:tcBorders>
            <w:noWrap/>
            <w:hideMark/>
          </w:tcPr>
          <w:p w14:paraId="7C3A9313" w14:textId="77777777" w:rsidR="00087B91" w:rsidRPr="002029AF" w:rsidRDefault="00087B91" w:rsidP="00860E95">
            <w:pPr>
              <w:pStyle w:val="ARfintablebodyright"/>
              <w:ind w:right="0"/>
            </w:pPr>
            <w:r w:rsidRPr="002029AF">
              <w:t>–</w:t>
            </w:r>
          </w:p>
        </w:tc>
        <w:tc>
          <w:tcPr>
            <w:tcW w:w="709" w:type="dxa"/>
            <w:tcBorders>
              <w:top w:val="single" w:sz="4" w:space="0" w:color="A6A6A6"/>
              <w:bottom w:val="single" w:sz="4" w:space="0" w:color="A6A6A6"/>
            </w:tcBorders>
            <w:noWrap/>
            <w:hideMark/>
          </w:tcPr>
          <w:p w14:paraId="6E292B6C" w14:textId="77777777" w:rsidR="00087B91" w:rsidRPr="002029AF" w:rsidRDefault="00087B91" w:rsidP="00860E95">
            <w:pPr>
              <w:pStyle w:val="ARfintablebodyright"/>
              <w:ind w:right="0"/>
            </w:pPr>
            <w:r w:rsidRPr="002029AF">
              <w:t>–</w:t>
            </w:r>
          </w:p>
        </w:tc>
        <w:tc>
          <w:tcPr>
            <w:tcW w:w="709" w:type="dxa"/>
            <w:tcBorders>
              <w:top w:val="single" w:sz="4" w:space="0" w:color="A6A6A6"/>
              <w:bottom w:val="single" w:sz="4" w:space="0" w:color="A6A6A6"/>
            </w:tcBorders>
            <w:noWrap/>
            <w:hideMark/>
          </w:tcPr>
          <w:p w14:paraId="3C73C140" w14:textId="77777777" w:rsidR="00087B91" w:rsidRPr="002029AF" w:rsidRDefault="00087B91" w:rsidP="00860E95">
            <w:pPr>
              <w:pStyle w:val="ARfintablebodyright"/>
              <w:ind w:right="0"/>
            </w:pPr>
            <w:r w:rsidRPr="002029AF">
              <w:t>–</w:t>
            </w:r>
          </w:p>
        </w:tc>
        <w:tc>
          <w:tcPr>
            <w:tcW w:w="709" w:type="dxa"/>
            <w:tcBorders>
              <w:top w:val="single" w:sz="4" w:space="0" w:color="A6A6A6"/>
              <w:bottom w:val="single" w:sz="4" w:space="0" w:color="A6A6A6"/>
            </w:tcBorders>
            <w:noWrap/>
            <w:hideMark/>
          </w:tcPr>
          <w:p w14:paraId="3FC98732" w14:textId="77777777" w:rsidR="00087B91" w:rsidRPr="002029AF" w:rsidRDefault="00087B91" w:rsidP="00860E95">
            <w:pPr>
              <w:pStyle w:val="ARfintablebodyright"/>
              <w:ind w:right="0"/>
            </w:pPr>
            <w:r w:rsidRPr="002029AF">
              <w:t>–</w:t>
            </w:r>
          </w:p>
        </w:tc>
        <w:tc>
          <w:tcPr>
            <w:tcW w:w="567" w:type="dxa"/>
            <w:tcBorders>
              <w:top w:val="single" w:sz="4" w:space="0" w:color="A6A6A6"/>
              <w:bottom w:val="single" w:sz="4" w:space="0" w:color="A6A6A6"/>
            </w:tcBorders>
            <w:noWrap/>
            <w:hideMark/>
          </w:tcPr>
          <w:p w14:paraId="315465ED" w14:textId="77777777" w:rsidR="00087B91" w:rsidRPr="002029AF" w:rsidRDefault="00087B91" w:rsidP="00860E95">
            <w:pPr>
              <w:pStyle w:val="ARfintablebodyright"/>
              <w:ind w:right="0"/>
            </w:pPr>
            <w:r w:rsidRPr="002029AF">
              <w:t>–</w:t>
            </w:r>
          </w:p>
        </w:tc>
        <w:tc>
          <w:tcPr>
            <w:tcW w:w="708" w:type="dxa"/>
            <w:tcBorders>
              <w:top w:val="single" w:sz="4" w:space="0" w:color="A6A6A6"/>
              <w:bottom w:val="single" w:sz="4" w:space="0" w:color="A6A6A6"/>
            </w:tcBorders>
            <w:noWrap/>
            <w:hideMark/>
          </w:tcPr>
          <w:p w14:paraId="0DD709FF" w14:textId="77777777" w:rsidR="00087B91" w:rsidRPr="002029AF" w:rsidRDefault="00087B91" w:rsidP="00860E95">
            <w:pPr>
              <w:pStyle w:val="ARfintablebodyright"/>
              <w:ind w:right="0"/>
            </w:pPr>
            <w:r w:rsidRPr="002029AF">
              <w:t>–</w:t>
            </w:r>
          </w:p>
        </w:tc>
        <w:tc>
          <w:tcPr>
            <w:tcW w:w="709" w:type="dxa"/>
            <w:tcBorders>
              <w:top w:val="single" w:sz="4" w:space="0" w:color="A6A6A6"/>
              <w:bottom w:val="single" w:sz="4" w:space="0" w:color="A6A6A6"/>
            </w:tcBorders>
            <w:noWrap/>
            <w:hideMark/>
          </w:tcPr>
          <w:p w14:paraId="0DA72766" w14:textId="77777777" w:rsidR="00087B91" w:rsidRPr="002029AF" w:rsidRDefault="00087B91" w:rsidP="00860E95">
            <w:pPr>
              <w:pStyle w:val="ARfintablebodyright"/>
              <w:ind w:right="0"/>
            </w:pPr>
            <w:r w:rsidRPr="002029AF">
              <w:t>–</w:t>
            </w:r>
          </w:p>
        </w:tc>
        <w:tc>
          <w:tcPr>
            <w:tcW w:w="709" w:type="dxa"/>
            <w:tcBorders>
              <w:top w:val="single" w:sz="4" w:space="0" w:color="A6A6A6"/>
              <w:bottom w:val="single" w:sz="4" w:space="0" w:color="A6A6A6"/>
            </w:tcBorders>
            <w:noWrap/>
            <w:hideMark/>
          </w:tcPr>
          <w:p w14:paraId="609F2A87" w14:textId="77777777" w:rsidR="00087B91" w:rsidRPr="002029AF" w:rsidRDefault="00087B91" w:rsidP="00860E95">
            <w:pPr>
              <w:pStyle w:val="ARfintablebodyright"/>
              <w:ind w:right="0"/>
            </w:pPr>
            <w:r w:rsidRPr="002029AF">
              <w:t>–</w:t>
            </w:r>
          </w:p>
        </w:tc>
        <w:tc>
          <w:tcPr>
            <w:tcW w:w="567" w:type="dxa"/>
            <w:tcBorders>
              <w:top w:val="single" w:sz="4" w:space="0" w:color="A6A6A6"/>
              <w:bottom w:val="single" w:sz="4" w:space="0" w:color="A6A6A6"/>
            </w:tcBorders>
            <w:noWrap/>
            <w:hideMark/>
          </w:tcPr>
          <w:p w14:paraId="552F58E7" w14:textId="77777777" w:rsidR="00087B91" w:rsidRPr="002029AF" w:rsidRDefault="00087B91" w:rsidP="00860E95">
            <w:pPr>
              <w:pStyle w:val="ARfintablebodyright"/>
              <w:ind w:right="0"/>
            </w:pPr>
            <w:r w:rsidRPr="002029AF">
              <w:t>–</w:t>
            </w:r>
          </w:p>
        </w:tc>
        <w:tc>
          <w:tcPr>
            <w:tcW w:w="714" w:type="dxa"/>
            <w:tcBorders>
              <w:top w:val="single" w:sz="4" w:space="0" w:color="A6A6A6"/>
              <w:bottom w:val="single" w:sz="4" w:space="0" w:color="A6A6A6"/>
            </w:tcBorders>
            <w:noWrap/>
            <w:hideMark/>
          </w:tcPr>
          <w:p w14:paraId="14728A49" w14:textId="77777777" w:rsidR="00087B91" w:rsidRPr="002029AF" w:rsidRDefault="00087B91" w:rsidP="00860E95">
            <w:pPr>
              <w:pStyle w:val="ARfintablebodyright"/>
              <w:ind w:right="0"/>
            </w:pPr>
            <w:r w:rsidRPr="002029AF">
              <w:t>(35.0)</w:t>
            </w:r>
          </w:p>
        </w:tc>
      </w:tr>
      <w:tr w:rsidR="00595FA8" w:rsidRPr="002029AF" w14:paraId="56C63C10" w14:textId="77777777" w:rsidTr="00C81A0B">
        <w:trPr>
          <w:gridAfter w:val="1"/>
          <w:wAfter w:w="9" w:type="dxa"/>
          <w:trHeight w:val="170"/>
        </w:trPr>
        <w:tc>
          <w:tcPr>
            <w:tcW w:w="2213" w:type="dxa"/>
            <w:tcBorders>
              <w:top w:val="single" w:sz="4" w:space="0" w:color="A6A6A6"/>
            </w:tcBorders>
            <w:hideMark/>
          </w:tcPr>
          <w:p w14:paraId="094CF37E" w14:textId="03F1DD3C" w:rsidR="00087B91" w:rsidRPr="002029AF" w:rsidRDefault="00087B91" w:rsidP="00860E95">
            <w:pPr>
              <w:pStyle w:val="ARfintablebody"/>
            </w:pPr>
            <w:r w:rsidRPr="002029AF">
              <w:t>Other</w:t>
            </w:r>
            <w:r w:rsidR="000A5329" w:rsidRPr="002029AF">
              <w:t xml:space="preserve"> </w:t>
            </w:r>
            <w:r w:rsidRPr="002029AF">
              <w:t>gains/(losses)</w:t>
            </w:r>
            <w:r w:rsidR="000A5329" w:rsidRPr="002029AF">
              <w:t xml:space="preserve"> </w:t>
            </w:r>
            <w:r w:rsidRPr="002029AF">
              <w:t>from</w:t>
            </w:r>
            <w:r w:rsidR="000A5329" w:rsidRPr="002029AF">
              <w:t xml:space="preserve"> </w:t>
            </w:r>
            <w:r w:rsidRPr="002029AF">
              <w:t>other</w:t>
            </w:r>
            <w:r w:rsidR="000A5329" w:rsidRPr="002029AF">
              <w:t xml:space="preserve"> </w:t>
            </w:r>
            <w:r w:rsidRPr="002029AF">
              <w:t>economic</w:t>
            </w:r>
            <w:r w:rsidR="000A5329" w:rsidRPr="002029AF">
              <w:t xml:space="preserve"> </w:t>
            </w:r>
            <w:r w:rsidRPr="002029AF">
              <w:t>flows</w:t>
            </w:r>
          </w:p>
        </w:tc>
        <w:tc>
          <w:tcPr>
            <w:tcW w:w="901" w:type="dxa"/>
            <w:tcBorders>
              <w:top w:val="single" w:sz="4" w:space="0" w:color="A6A6A6"/>
            </w:tcBorders>
            <w:noWrap/>
            <w:hideMark/>
          </w:tcPr>
          <w:p w14:paraId="6825E22B" w14:textId="77777777" w:rsidR="00087B91" w:rsidRPr="002029AF" w:rsidRDefault="00087B91" w:rsidP="00860E95">
            <w:pPr>
              <w:pStyle w:val="ARfintablebodyright"/>
              <w:ind w:right="0"/>
            </w:pPr>
            <w:r w:rsidRPr="002029AF">
              <w:t>(7.2)</w:t>
            </w:r>
          </w:p>
        </w:tc>
        <w:tc>
          <w:tcPr>
            <w:tcW w:w="709" w:type="dxa"/>
            <w:tcBorders>
              <w:top w:val="single" w:sz="4" w:space="0" w:color="A6A6A6"/>
            </w:tcBorders>
            <w:noWrap/>
            <w:hideMark/>
          </w:tcPr>
          <w:p w14:paraId="10626AB5" w14:textId="77777777" w:rsidR="00087B91" w:rsidRPr="002029AF" w:rsidRDefault="00087B91" w:rsidP="00860E95">
            <w:pPr>
              <w:pStyle w:val="ARfintablebodyright"/>
              <w:ind w:right="0"/>
            </w:pPr>
            <w:r w:rsidRPr="002029AF">
              <w:t>(0.1)</w:t>
            </w:r>
          </w:p>
        </w:tc>
        <w:tc>
          <w:tcPr>
            <w:tcW w:w="575" w:type="dxa"/>
            <w:tcBorders>
              <w:top w:val="single" w:sz="4" w:space="0" w:color="A6A6A6"/>
            </w:tcBorders>
            <w:noWrap/>
            <w:hideMark/>
          </w:tcPr>
          <w:p w14:paraId="2AA4687D" w14:textId="77777777" w:rsidR="00087B91" w:rsidRPr="002029AF" w:rsidRDefault="00087B91" w:rsidP="00860E95">
            <w:pPr>
              <w:pStyle w:val="ARfintablebodyright"/>
              <w:ind w:right="0"/>
            </w:pPr>
            <w:r w:rsidRPr="002029AF">
              <w:t>(0.8)</w:t>
            </w:r>
          </w:p>
        </w:tc>
        <w:tc>
          <w:tcPr>
            <w:tcW w:w="681" w:type="dxa"/>
            <w:tcBorders>
              <w:top w:val="single" w:sz="4" w:space="0" w:color="A6A6A6"/>
            </w:tcBorders>
            <w:noWrap/>
            <w:hideMark/>
          </w:tcPr>
          <w:p w14:paraId="004948DF" w14:textId="77777777" w:rsidR="00087B91" w:rsidRPr="002029AF" w:rsidRDefault="00087B91" w:rsidP="00860E95">
            <w:pPr>
              <w:pStyle w:val="ARfintablebodyright"/>
              <w:ind w:right="0"/>
            </w:pPr>
            <w:r w:rsidRPr="002029AF">
              <w:t>(0.8)</w:t>
            </w:r>
          </w:p>
        </w:tc>
        <w:tc>
          <w:tcPr>
            <w:tcW w:w="728" w:type="dxa"/>
            <w:tcBorders>
              <w:top w:val="single" w:sz="4" w:space="0" w:color="A6A6A6"/>
            </w:tcBorders>
            <w:noWrap/>
            <w:hideMark/>
          </w:tcPr>
          <w:p w14:paraId="167D551A" w14:textId="77777777" w:rsidR="00087B91" w:rsidRPr="002029AF" w:rsidRDefault="00087B91" w:rsidP="00860E95">
            <w:pPr>
              <w:pStyle w:val="ARfintablebodyright"/>
              <w:ind w:right="0"/>
            </w:pPr>
            <w:r w:rsidRPr="002029AF">
              <w:t>(0.4)</w:t>
            </w:r>
          </w:p>
        </w:tc>
        <w:tc>
          <w:tcPr>
            <w:tcW w:w="614" w:type="dxa"/>
            <w:tcBorders>
              <w:top w:val="single" w:sz="4" w:space="0" w:color="A6A6A6"/>
            </w:tcBorders>
            <w:noWrap/>
            <w:hideMark/>
          </w:tcPr>
          <w:p w14:paraId="613681DD" w14:textId="77777777" w:rsidR="00087B91" w:rsidRPr="002029AF" w:rsidRDefault="00087B91" w:rsidP="00860E95">
            <w:pPr>
              <w:pStyle w:val="ARfintablebodyright"/>
              <w:ind w:right="0"/>
            </w:pPr>
            <w:r w:rsidRPr="002029AF">
              <w:t>(0.3)</w:t>
            </w:r>
          </w:p>
        </w:tc>
        <w:tc>
          <w:tcPr>
            <w:tcW w:w="680" w:type="dxa"/>
            <w:tcBorders>
              <w:top w:val="single" w:sz="4" w:space="0" w:color="A6A6A6"/>
            </w:tcBorders>
            <w:noWrap/>
            <w:hideMark/>
          </w:tcPr>
          <w:p w14:paraId="0320E512" w14:textId="77777777" w:rsidR="00087B91" w:rsidRPr="002029AF" w:rsidRDefault="00087B91" w:rsidP="00860E95">
            <w:pPr>
              <w:pStyle w:val="ARfintablebodyright"/>
              <w:ind w:right="0"/>
            </w:pPr>
            <w:r w:rsidRPr="002029AF">
              <w:t>(0.5)</w:t>
            </w:r>
          </w:p>
        </w:tc>
        <w:tc>
          <w:tcPr>
            <w:tcW w:w="680" w:type="dxa"/>
            <w:tcBorders>
              <w:top w:val="single" w:sz="4" w:space="0" w:color="A6A6A6"/>
            </w:tcBorders>
            <w:noWrap/>
            <w:hideMark/>
          </w:tcPr>
          <w:p w14:paraId="20008ACE" w14:textId="77777777" w:rsidR="00087B91" w:rsidRPr="002029AF" w:rsidRDefault="00087B91" w:rsidP="00860E95">
            <w:pPr>
              <w:pStyle w:val="ARfintablebodyright"/>
              <w:ind w:right="0"/>
            </w:pPr>
            <w:r w:rsidRPr="002029AF">
              <w:t>(0.2)</w:t>
            </w:r>
          </w:p>
        </w:tc>
        <w:tc>
          <w:tcPr>
            <w:tcW w:w="719" w:type="dxa"/>
            <w:tcBorders>
              <w:top w:val="single" w:sz="4" w:space="0" w:color="A6A6A6"/>
            </w:tcBorders>
            <w:noWrap/>
            <w:hideMark/>
          </w:tcPr>
          <w:p w14:paraId="4FD9BB35" w14:textId="77777777" w:rsidR="00087B91" w:rsidRPr="002029AF" w:rsidRDefault="00087B91" w:rsidP="00860E95">
            <w:pPr>
              <w:pStyle w:val="ARfintablebodyright"/>
              <w:ind w:right="0"/>
            </w:pPr>
            <w:r w:rsidRPr="002029AF">
              <w:t>(5.2)</w:t>
            </w:r>
          </w:p>
        </w:tc>
        <w:tc>
          <w:tcPr>
            <w:tcW w:w="709" w:type="dxa"/>
            <w:tcBorders>
              <w:top w:val="single" w:sz="4" w:space="0" w:color="A6A6A6"/>
            </w:tcBorders>
            <w:noWrap/>
            <w:hideMark/>
          </w:tcPr>
          <w:p w14:paraId="6EEFBDD6" w14:textId="77777777" w:rsidR="00087B91" w:rsidRPr="002029AF" w:rsidRDefault="00087B91" w:rsidP="00860E95">
            <w:pPr>
              <w:pStyle w:val="ARfintablebodyright"/>
              <w:ind w:right="0"/>
            </w:pPr>
            <w:r w:rsidRPr="002029AF">
              <w:t>(3.5)</w:t>
            </w:r>
          </w:p>
        </w:tc>
        <w:tc>
          <w:tcPr>
            <w:tcW w:w="709" w:type="dxa"/>
            <w:tcBorders>
              <w:top w:val="single" w:sz="4" w:space="0" w:color="A6A6A6"/>
            </w:tcBorders>
            <w:noWrap/>
            <w:hideMark/>
          </w:tcPr>
          <w:p w14:paraId="7E52B5EC" w14:textId="77777777" w:rsidR="00087B91" w:rsidRPr="002029AF" w:rsidRDefault="00087B91" w:rsidP="00860E95">
            <w:pPr>
              <w:pStyle w:val="ARfintablebodyright"/>
              <w:ind w:right="0"/>
            </w:pPr>
            <w:r w:rsidRPr="002029AF">
              <w:t>(0.1)</w:t>
            </w:r>
          </w:p>
        </w:tc>
        <w:tc>
          <w:tcPr>
            <w:tcW w:w="709" w:type="dxa"/>
            <w:tcBorders>
              <w:top w:val="single" w:sz="4" w:space="0" w:color="A6A6A6"/>
            </w:tcBorders>
            <w:noWrap/>
            <w:hideMark/>
          </w:tcPr>
          <w:p w14:paraId="461A1040" w14:textId="77777777" w:rsidR="00087B91" w:rsidRPr="002029AF" w:rsidRDefault="00087B91" w:rsidP="00860E95">
            <w:pPr>
              <w:pStyle w:val="ARfintablebodyright"/>
              <w:ind w:right="0"/>
            </w:pPr>
            <w:r w:rsidRPr="002029AF">
              <w:t>–</w:t>
            </w:r>
          </w:p>
        </w:tc>
        <w:tc>
          <w:tcPr>
            <w:tcW w:w="567" w:type="dxa"/>
            <w:tcBorders>
              <w:top w:val="single" w:sz="4" w:space="0" w:color="A6A6A6"/>
            </w:tcBorders>
            <w:noWrap/>
            <w:hideMark/>
          </w:tcPr>
          <w:p w14:paraId="70EE4848" w14:textId="77777777" w:rsidR="00087B91" w:rsidRPr="002029AF" w:rsidRDefault="00087B91" w:rsidP="00860E95">
            <w:pPr>
              <w:pStyle w:val="ARfintablebodyright"/>
              <w:ind w:right="0"/>
            </w:pPr>
            <w:r w:rsidRPr="002029AF">
              <w:t>–</w:t>
            </w:r>
          </w:p>
        </w:tc>
        <w:tc>
          <w:tcPr>
            <w:tcW w:w="708" w:type="dxa"/>
            <w:tcBorders>
              <w:top w:val="single" w:sz="4" w:space="0" w:color="A6A6A6"/>
            </w:tcBorders>
            <w:noWrap/>
            <w:hideMark/>
          </w:tcPr>
          <w:p w14:paraId="0057D49E" w14:textId="77777777" w:rsidR="00087B91" w:rsidRPr="002029AF" w:rsidRDefault="00087B91" w:rsidP="00860E95">
            <w:pPr>
              <w:pStyle w:val="ARfintablebodyright"/>
              <w:ind w:right="0"/>
            </w:pPr>
            <w:r w:rsidRPr="002029AF">
              <w:t>(0.2)</w:t>
            </w:r>
          </w:p>
        </w:tc>
        <w:tc>
          <w:tcPr>
            <w:tcW w:w="709" w:type="dxa"/>
            <w:tcBorders>
              <w:top w:val="single" w:sz="4" w:space="0" w:color="A6A6A6"/>
            </w:tcBorders>
            <w:noWrap/>
            <w:hideMark/>
          </w:tcPr>
          <w:p w14:paraId="44845896" w14:textId="77777777" w:rsidR="00087B91" w:rsidRPr="002029AF" w:rsidRDefault="00087B91" w:rsidP="00860E95">
            <w:pPr>
              <w:pStyle w:val="ARfintablebodyright"/>
              <w:ind w:right="0"/>
            </w:pPr>
            <w:r w:rsidRPr="002029AF">
              <w:t>(4.3)</w:t>
            </w:r>
          </w:p>
        </w:tc>
        <w:tc>
          <w:tcPr>
            <w:tcW w:w="709" w:type="dxa"/>
            <w:tcBorders>
              <w:top w:val="single" w:sz="4" w:space="0" w:color="A6A6A6"/>
            </w:tcBorders>
            <w:noWrap/>
            <w:hideMark/>
          </w:tcPr>
          <w:p w14:paraId="24474C42" w14:textId="77777777" w:rsidR="00087B91" w:rsidRPr="002029AF" w:rsidRDefault="00087B91" w:rsidP="00860E95">
            <w:pPr>
              <w:pStyle w:val="ARfintablebodyright"/>
              <w:ind w:right="0"/>
            </w:pPr>
            <w:r w:rsidRPr="002029AF">
              <w:t>–</w:t>
            </w:r>
          </w:p>
        </w:tc>
        <w:tc>
          <w:tcPr>
            <w:tcW w:w="567" w:type="dxa"/>
            <w:tcBorders>
              <w:top w:val="single" w:sz="4" w:space="0" w:color="A6A6A6"/>
            </w:tcBorders>
            <w:noWrap/>
            <w:hideMark/>
          </w:tcPr>
          <w:p w14:paraId="5E455911" w14:textId="77777777" w:rsidR="00087B91" w:rsidRPr="002029AF" w:rsidRDefault="00087B91" w:rsidP="00860E95">
            <w:pPr>
              <w:pStyle w:val="ARfintablebodyright"/>
              <w:ind w:right="0"/>
            </w:pPr>
            <w:r w:rsidRPr="002029AF">
              <w:t>–</w:t>
            </w:r>
          </w:p>
        </w:tc>
        <w:tc>
          <w:tcPr>
            <w:tcW w:w="714" w:type="dxa"/>
            <w:tcBorders>
              <w:top w:val="single" w:sz="4" w:space="0" w:color="A6A6A6"/>
            </w:tcBorders>
            <w:noWrap/>
            <w:hideMark/>
          </w:tcPr>
          <w:p w14:paraId="2576B9E5" w14:textId="77777777" w:rsidR="00087B91" w:rsidRPr="002029AF" w:rsidRDefault="00087B91" w:rsidP="00860E95">
            <w:pPr>
              <w:pStyle w:val="ARfintablebodyright"/>
              <w:ind w:right="0"/>
            </w:pPr>
            <w:r w:rsidRPr="002029AF">
              <w:t>(23.6)</w:t>
            </w:r>
          </w:p>
        </w:tc>
      </w:tr>
      <w:tr w:rsidR="00595FA8" w:rsidRPr="002029AF" w14:paraId="481DEBC9" w14:textId="77777777" w:rsidTr="00C81A0B">
        <w:trPr>
          <w:gridAfter w:val="1"/>
          <w:wAfter w:w="9" w:type="dxa"/>
          <w:trHeight w:val="170"/>
        </w:trPr>
        <w:tc>
          <w:tcPr>
            <w:tcW w:w="2213" w:type="dxa"/>
            <w:hideMark/>
          </w:tcPr>
          <w:p w14:paraId="0DFB22A8" w14:textId="4A9D2641" w:rsidR="00087B91" w:rsidRPr="002029AF" w:rsidRDefault="00087B91" w:rsidP="00860E95">
            <w:pPr>
              <w:pStyle w:val="ARfintablebodybold"/>
            </w:pPr>
            <w:r w:rsidRPr="002029AF">
              <w:t>Total</w:t>
            </w:r>
            <w:r w:rsidR="000A5329" w:rsidRPr="002029AF">
              <w:t xml:space="preserve"> </w:t>
            </w:r>
            <w:r w:rsidRPr="002029AF">
              <w:t>other</w:t>
            </w:r>
            <w:r w:rsidR="000A5329" w:rsidRPr="002029AF">
              <w:t xml:space="preserve"> </w:t>
            </w:r>
            <w:r w:rsidRPr="002029AF">
              <w:t>economic</w:t>
            </w:r>
            <w:r w:rsidR="000A5329" w:rsidRPr="002029AF">
              <w:t xml:space="preserve"> </w:t>
            </w:r>
            <w:r w:rsidRPr="002029AF">
              <w:t>flows</w:t>
            </w:r>
            <w:r w:rsidR="000A5329" w:rsidRPr="002029AF">
              <w:t xml:space="preserve"> </w:t>
            </w:r>
            <w:r w:rsidRPr="002029AF">
              <w:t>included</w:t>
            </w:r>
            <w:r w:rsidR="000A5329" w:rsidRPr="002029AF">
              <w:t xml:space="preserve"> </w:t>
            </w:r>
            <w:r w:rsidRPr="002029AF">
              <w:t>in</w:t>
            </w:r>
            <w:r w:rsidR="000A5329" w:rsidRPr="002029AF">
              <w:t xml:space="preserve"> </w:t>
            </w:r>
            <w:r w:rsidRPr="002029AF">
              <w:t>net</w:t>
            </w:r>
            <w:r w:rsidR="000A5329" w:rsidRPr="002029AF">
              <w:t xml:space="preserve"> </w:t>
            </w:r>
            <w:r w:rsidRPr="002029AF">
              <w:t>result</w:t>
            </w:r>
          </w:p>
        </w:tc>
        <w:tc>
          <w:tcPr>
            <w:tcW w:w="901" w:type="dxa"/>
            <w:noWrap/>
            <w:hideMark/>
          </w:tcPr>
          <w:p w14:paraId="766D4FA2" w14:textId="77777777" w:rsidR="00087B91" w:rsidRPr="002029AF" w:rsidRDefault="00087B91" w:rsidP="00860E95">
            <w:pPr>
              <w:pStyle w:val="ARfintablebodyrightbold"/>
              <w:ind w:right="0"/>
            </w:pPr>
            <w:r w:rsidRPr="002029AF">
              <w:t>(41.8)</w:t>
            </w:r>
          </w:p>
        </w:tc>
        <w:tc>
          <w:tcPr>
            <w:tcW w:w="709" w:type="dxa"/>
            <w:noWrap/>
            <w:hideMark/>
          </w:tcPr>
          <w:p w14:paraId="5A94FA6D" w14:textId="77777777" w:rsidR="00087B91" w:rsidRPr="002029AF" w:rsidRDefault="00087B91" w:rsidP="00860E95">
            <w:pPr>
              <w:pStyle w:val="ARfintablebodyrightbold"/>
              <w:ind w:right="0"/>
            </w:pPr>
            <w:r w:rsidRPr="002029AF">
              <w:t>(0.1)</w:t>
            </w:r>
          </w:p>
        </w:tc>
        <w:tc>
          <w:tcPr>
            <w:tcW w:w="575" w:type="dxa"/>
            <w:noWrap/>
            <w:hideMark/>
          </w:tcPr>
          <w:p w14:paraId="20581C1D" w14:textId="77777777" w:rsidR="00087B91" w:rsidRPr="002029AF" w:rsidRDefault="00087B91" w:rsidP="00860E95">
            <w:pPr>
              <w:pStyle w:val="ARfintablebodyrightbold"/>
              <w:ind w:right="0"/>
            </w:pPr>
            <w:r w:rsidRPr="002029AF">
              <w:t>(0.7)</w:t>
            </w:r>
          </w:p>
        </w:tc>
        <w:tc>
          <w:tcPr>
            <w:tcW w:w="681" w:type="dxa"/>
            <w:noWrap/>
            <w:hideMark/>
          </w:tcPr>
          <w:p w14:paraId="6F3B4951" w14:textId="77777777" w:rsidR="00087B91" w:rsidRPr="002029AF" w:rsidRDefault="00087B91" w:rsidP="00860E95">
            <w:pPr>
              <w:pStyle w:val="ARfintablebodyrightbold"/>
              <w:ind w:right="0"/>
            </w:pPr>
            <w:r w:rsidRPr="002029AF">
              <w:t>(0.7)</w:t>
            </w:r>
          </w:p>
        </w:tc>
        <w:tc>
          <w:tcPr>
            <w:tcW w:w="728" w:type="dxa"/>
            <w:noWrap/>
            <w:hideMark/>
          </w:tcPr>
          <w:p w14:paraId="50789EE3" w14:textId="77777777" w:rsidR="00087B91" w:rsidRPr="002029AF" w:rsidRDefault="00087B91" w:rsidP="00860E95">
            <w:pPr>
              <w:pStyle w:val="ARfintablebodyrightbold"/>
              <w:ind w:right="0"/>
            </w:pPr>
            <w:r w:rsidRPr="002029AF">
              <w:t>(0.4)</w:t>
            </w:r>
          </w:p>
        </w:tc>
        <w:tc>
          <w:tcPr>
            <w:tcW w:w="614" w:type="dxa"/>
            <w:noWrap/>
            <w:hideMark/>
          </w:tcPr>
          <w:p w14:paraId="3E744B0C" w14:textId="77777777" w:rsidR="00087B91" w:rsidRPr="002029AF" w:rsidRDefault="00087B91" w:rsidP="00860E95">
            <w:pPr>
              <w:pStyle w:val="ARfintablebodyrightbold"/>
              <w:ind w:right="0"/>
            </w:pPr>
            <w:r w:rsidRPr="002029AF">
              <w:t>(0.3)</w:t>
            </w:r>
          </w:p>
        </w:tc>
        <w:tc>
          <w:tcPr>
            <w:tcW w:w="680" w:type="dxa"/>
            <w:noWrap/>
            <w:hideMark/>
          </w:tcPr>
          <w:p w14:paraId="0E6FEA5F" w14:textId="77777777" w:rsidR="00087B91" w:rsidRPr="002029AF" w:rsidRDefault="00087B91" w:rsidP="00860E95">
            <w:pPr>
              <w:pStyle w:val="ARfintablebodyrightbold"/>
              <w:ind w:right="0"/>
            </w:pPr>
            <w:r w:rsidRPr="002029AF">
              <w:t>(0.4)</w:t>
            </w:r>
          </w:p>
        </w:tc>
        <w:tc>
          <w:tcPr>
            <w:tcW w:w="680" w:type="dxa"/>
            <w:noWrap/>
            <w:hideMark/>
          </w:tcPr>
          <w:p w14:paraId="767EFE46" w14:textId="77777777" w:rsidR="00087B91" w:rsidRPr="002029AF" w:rsidRDefault="00087B91" w:rsidP="00860E95">
            <w:pPr>
              <w:pStyle w:val="ARfintablebodyrightbold"/>
              <w:ind w:right="0"/>
            </w:pPr>
            <w:r w:rsidRPr="002029AF">
              <w:t>(0.2)</w:t>
            </w:r>
          </w:p>
        </w:tc>
        <w:tc>
          <w:tcPr>
            <w:tcW w:w="719" w:type="dxa"/>
            <w:noWrap/>
            <w:hideMark/>
          </w:tcPr>
          <w:p w14:paraId="00EDB360" w14:textId="77777777" w:rsidR="00087B91" w:rsidRPr="002029AF" w:rsidRDefault="00087B91" w:rsidP="00860E95">
            <w:pPr>
              <w:pStyle w:val="ARfintablebodyrightbold"/>
              <w:ind w:right="0"/>
            </w:pPr>
            <w:r w:rsidRPr="002029AF">
              <w:t>(5.4)</w:t>
            </w:r>
          </w:p>
        </w:tc>
        <w:tc>
          <w:tcPr>
            <w:tcW w:w="709" w:type="dxa"/>
            <w:noWrap/>
            <w:hideMark/>
          </w:tcPr>
          <w:p w14:paraId="3A072BBD" w14:textId="77777777" w:rsidR="00087B91" w:rsidRPr="002029AF" w:rsidRDefault="00087B91" w:rsidP="00860E95">
            <w:pPr>
              <w:pStyle w:val="ARfintablebodyrightbold"/>
              <w:ind w:right="0"/>
            </w:pPr>
            <w:r w:rsidRPr="002029AF">
              <w:t>(2.5)</w:t>
            </w:r>
          </w:p>
        </w:tc>
        <w:tc>
          <w:tcPr>
            <w:tcW w:w="709" w:type="dxa"/>
            <w:noWrap/>
            <w:hideMark/>
          </w:tcPr>
          <w:p w14:paraId="4025BE8A" w14:textId="77777777" w:rsidR="00087B91" w:rsidRPr="002029AF" w:rsidRDefault="00087B91" w:rsidP="00860E95">
            <w:pPr>
              <w:pStyle w:val="ARfintablebodyrightbold"/>
              <w:ind w:right="0"/>
            </w:pPr>
            <w:r w:rsidRPr="002029AF">
              <w:t>(0.1)</w:t>
            </w:r>
          </w:p>
        </w:tc>
        <w:tc>
          <w:tcPr>
            <w:tcW w:w="709" w:type="dxa"/>
            <w:noWrap/>
            <w:hideMark/>
          </w:tcPr>
          <w:p w14:paraId="030B8103" w14:textId="77777777" w:rsidR="00087B91" w:rsidRPr="002029AF" w:rsidRDefault="00087B91" w:rsidP="00860E95">
            <w:pPr>
              <w:pStyle w:val="ARfintablebodyrightbold"/>
              <w:ind w:right="0"/>
            </w:pPr>
            <w:r w:rsidRPr="002029AF">
              <w:t>–</w:t>
            </w:r>
          </w:p>
        </w:tc>
        <w:tc>
          <w:tcPr>
            <w:tcW w:w="567" w:type="dxa"/>
            <w:noWrap/>
            <w:hideMark/>
          </w:tcPr>
          <w:p w14:paraId="6B611180" w14:textId="77777777" w:rsidR="00087B91" w:rsidRPr="002029AF" w:rsidRDefault="00087B91" w:rsidP="00860E95">
            <w:pPr>
              <w:pStyle w:val="ARfintablebodyrightbold"/>
              <w:ind w:right="0"/>
            </w:pPr>
            <w:r w:rsidRPr="002029AF">
              <w:t>–</w:t>
            </w:r>
          </w:p>
        </w:tc>
        <w:tc>
          <w:tcPr>
            <w:tcW w:w="708" w:type="dxa"/>
            <w:noWrap/>
            <w:hideMark/>
          </w:tcPr>
          <w:p w14:paraId="05E94B4D" w14:textId="77777777" w:rsidR="00087B91" w:rsidRPr="002029AF" w:rsidRDefault="00087B91" w:rsidP="00860E95">
            <w:pPr>
              <w:pStyle w:val="ARfintablebodyrightbold"/>
              <w:ind w:right="0"/>
            </w:pPr>
            <w:r w:rsidRPr="002029AF">
              <w:t>(0.2)</w:t>
            </w:r>
          </w:p>
        </w:tc>
        <w:tc>
          <w:tcPr>
            <w:tcW w:w="709" w:type="dxa"/>
            <w:noWrap/>
            <w:hideMark/>
          </w:tcPr>
          <w:p w14:paraId="61FA6D76" w14:textId="77777777" w:rsidR="00087B91" w:rsidRPr="002029AF" w:rsidRDefault="00087B91" w:rsidP="00860E95">
            <w:pPr>
              <w:pStyle w:val="ARfintablebodyrightbold"/>
              <w:ind w:right="0"/>
            </w:pPr>
            <w:r w:rsidRPr="002029AF">
              <w:t>(9.9)</w:t>
            </w:r>
          </w:p>
        </w:tc>
        <w:tc>
          <w:tcPr>
            <w:tcW w:w="709" w:type="dxa"/>
            <w:noWrap/>
            <w:hideMark/>
          </w:tcPr>
          <w:p w14:paraId="5F463350" w14:textId="77777777" w:rsidR="00087B91" w:rsidRPr="002029AF" w:rsidRDefault="00087B91" w:rsidP="00860E95">
            <w:pPr>
              <w:pStyle w:val="ARfintablebodyrightbold"/>
              <w:ind w:right="0"/>
            </w:pPr>
            <w:r w:rsidRPr="002029AF">
              <w:t>–</w:t>
            </w:r>
          </w:p>
        </w:tc>
        <w:tc>
          <w:tcPr>
            <w:tcW w:w="567" w:type="dxa"/>
            <w:noWrap/>
            <w:hideMark/>
          </w:tcPr>
          <w:p w14:paraId="232B7009" w14:textId="77777777" w:rsidR="00087B91" w:rsidRPr="002029AF" w:rsidRDefault="00087B91" w:rsidP="00860E95">
            <w:pPr>
              <w:pStyle w:val="ARfintablebodyrightbold"/>
              <w:ind w:right="0"/>
            </w:pPr>
            <w:r w:rsidRPr="002029AF">
              <w:t>–</w:t>
            </w:r>
          </w:p>
        </w:tc>
        <w:tc>
          <w:tcPr>
            <w:tcW w:w="714" w:type="dxa"/>
            <w:noWrap/>
            <w:hideMark/>
          </w:tcPr>
          <w:p w14:paraId="5475D94B" w14:textId="77777777" w:rsidR="00087B91" w:rsidRPr="002029AF" w:rsidRDefault="00087B91" w:rsidP="00860E95">
            <w:pPr>
              <w:pStyle w:val="ARfintablebodyrightbold"/>
              <w:ind w:right="0"/>
            </w:pPr>
            <w:r w:rsidRPr="002029AF">
              <w:t>(62.7)</w:t>
            </w:r>
          </w:p>
        </w:tc>
      </w:tr>
      <w:tr w:rsidR="00595FA8" w:rsidRPr="002029AF" w14:paraId="104A83AE" w14:textId="77777777" w:rsidTr="00C81A0B">
        <w:trPr>
          <w:gridAfter w:val="1"/>
          <w:wAfter w:w="9" w:type="dxa"/>
          <w:trHeight w:val="170"/>
        </w:trPr>
        <w:tc>
          <w:tcPr>
            <w:tcW w:w="2213" w:type="dxa"/>
            <w:hideMark/>
          </w:tcPr>
          <w:p w14:paraId="3EEB5A2F" w14:textId="431C4E92" w:rsidR="00087B91" w:rsidRPr="002029AF" w:rsidRDefault="00087B91" w:rsidP="00860E95">
            <w:pPr>
              <w:pStyle w:val="ARfintablebodybold"/>
            </w:pPr>
            <w:r w:rsidRPr="002029AF">
              <w:t>Net</w:t>
            </w:r>
            <w:r w:rsidR="000A5329" w:rsidRPr="002029AF">
              <w:t xml:space="preserve"> </w:t>
            </w:r>
            <w:r w:rsidRPr="002029AF">
              <w:t>result</w:t>
            </w:r>
          </w:p>
        </w:tc>
        <w:tc>
          <w:tcPr>
            <w:tcW w:w="901" w:type="dxa"/>
            <w:noWrap/>
            <w:hideMark/>
          </w:tcPr>
          <w:p w14:paraId="65EF8095" w14:textId="77777777" w:rsidR="00087B91" w:rsidRPr="002029AF" w:rsidRDefault="00087B91" w:rsidP="00860E95">
            <w:pPr>
              <w:pStyle w:val="ARfintablebodyrightbold"/>
              <w:ind w:right="0"/>
            </w:pPr>
            <w:r w:rsidRPr="002029AF">
              <w:t>577.4</w:t>
            </w:r>
          </w:p>
        </w:tc>
        <w:tc>
          <w:tcPr>
            <w:tcW w:w="709" w:type="dxa"/>
            <w:noWrap/>
            <w:hideMark/>
          </w:tcPr>
          <w:p w14:paraId="3024C738" w14:textId="77777777" w:rsidR="00087B91" w:rsidRPr="002029AF" w:rsidRDefault="00087B91" w:rsidP="00860E95">
            <w:pPr>
              <w:pStyle w:val="ARfintablebodyrightbold"/>
              <w:ind w:right="0"/>
            </w:pPr>
            <w:r w:rsidRPr="002029AF">
              <w:t>66.1</w:t>
            </w:r>
          </w:p>
        </w:tc>
        <w:tc>
          <w:tcPr>
            <w:tcW w:w="575" w:type="dxa"/>
            <w:noWrap/>
            <w:hideMark/>
          </w:tcPr>
          <w:p w14:paraId="0DFB8930" w14:textId="77777777" w:rsidR="00087B91" w:rsidRPr="002029AF" w:rsidRDefault="00087B91" w:rsidP="00860E95">
            <w:pPr>
              <w:pStyle w:val="ARfintablebodyrightbold"/>
              <w:ind w:right="0"/>
            </w:pPr>
            <w:r w:rsidRPr="002029AF">
              <w:t>44.6</w:t>
            </w:r>
          </w:p>
        </w:tc>
        <w:tc>
          <w:tcPr>
            <w:tcW w:w="681" w:type="dxa"/>
            <w:noWrap/>
            <w:hideMark/>
          </w:tcPr>
          <w:p w14:paraId="05CAA1C0" w14:textId="77777777" w:rsidR="00087B91" w:rsidRPr="002029AF" w:rsidRDefault="00087B91" w:rsidP="00860E95">
            <w:pPr>
              <w:pStyle w:val="ARfintablebodyrightbold"/>
              <w:ind w:right="0"/>
            </w:pPr>
            <w:r w:rsidRPr="002029AF">
              <w:t>55.9</w:t>
            </w:r>
          </w:p>
        </w:tc>
        <w:tc>
          <w:tcPr>
            <w:tcW w:w="728" w:type="dxa"/>
            <w:noWrap/>
            <w:hideMark/>
          </w:tcPr>
          <w:p w14:paraId="49ABF5C7" w14:textId="77777777" w:rsidR="00087B91" w:rsidRPr="002029AF" w:rsidRDefault="00087B91" w:rsidP="00860E95">
            <w:pPr>
              <w:pStyle w:val="ARfintablebodyrightbold"/>
              <w:ind w:right="0"/>
            </w:pPr>
            <w:r w:rsidRPr="002029AF">
              <w:t>(4.5)</w:t>
            </w:r>
          </w:p>
        </w:tc>
        <w:tc>
          <w:tcPr>
            <w:tcW w:w="614" w:type="dxa"/>
            <w:noWrap/>
            <w:hideMark/>
          </w:tcPr>
          <w:p w14:paraId="6500A184" w14:textId="77777777" w:rsidR="00087B91" w:rsidRPr="002029AF" w:rsidRDefault="00087B91" w:rsidP="00860E95">
            <w:pPr>
              <w:pStyle w:val="ARfintablebodyrightbold"/>
              <w:ind w:right="0"/>
            </w:pPr>
            <w:r w:rsidRPr="002029AF">
              <w:t>42.8</w:t>
            </w:r>
          </w:p>
        </w:tc>
        <w:tc>
          <w:tcPr>
            <w:tcW w:w="680" w:type="dxa"/>
            <w:noWrap/>
            <w:hideMark/>
          </w:tcPr>
          <w:p w14:paraId="64413711" w14:textId="77777777" w:rsidR="00087B91" w:rsidRPr="002029AF" w:rsidRDefault="00087B91" w:rsidP="00860E95">
            <w:pPr>
              <w:pStyle w:val="ARfintablebodyrightbold"/>
              <w:ind w:right="0"/>
            </w:pPr>
            <w:r w:rsidRPr="002029AF">
              <w:t>(16.2)</w:t>
            </w:r>
          </w:p>
        </w:tc>
        <w:tc>
          <w:tcPr>
            <w:tcW w:w="680" w:type="dxa"/>
            <w:noWrap/>
            <w:hideMark/>
          </w:tcPr>
          <w:p w14:paraId="34EA7984" w14:textId="77777777" w:rsidR="00087B91" w:rsidRPr="002029AF" w:rsidRDefault="00087B91" w:rsidP="00860E95">
            <w:pPr>
              <w:pStyle w:val="ARfintablebodyrightbold"/>
              <w:ind w:right="0"/>
            </w:pPr>
            <w:r w:rsidRPr="002029AF">
              <w:t>(1.3)</w:t>
            </w:r>
          </w:p>
        </w:tc>
        <w:tc>
          <w:tcPr>
            <w:tcW w:w="719" w:type="dxa"/>
            <w:noWrap/>
            <w:hideMark/>
          </w:tcPr>
          <w:p w14:paraId="22449DD6" w14:textId="77777777" w:rsidR="00087B91" w:rsidRPr="002029AF" w:rsidRDefault="00087B91" w:rsidP="00860E95">
            <w:pPr>
              <w:pStyle w:val="ARfintablebodyrightbold"/>
              <w:ind w:right="0"/>
            </w:pPr>
            <w:r w:rsidRPr="002029AF">
              <w:t>(12.3)</w:t>
            </w:r>
          </w:p>
        </w:tc>
        <w:tc>
          <w:tcPr>
            <w:tcW w:w="709" w:type="dxa"/>
            <w:noWrap/>
            <w:hideMark/>
          </w:tcPr>
          <w:p w14:paraId="3D67EF43" w14:textId="77777777" w:rsidR="00087B91" w:rsidRPr="002029AF" w:rsidRDefault="00087B91" w:rsidP="00860E95">
            <w:pPr>
              <w:pStyle w:val="ARfintablebodyrightbold"/>
              <w:ind w:right="0"/>
            </w:pPr>
            <w:r w:rsidRPr="002029AF">
              <w:t>(9.3)</w:t>
            </w:r>
          </w:p>
        </w:tc>
        <w:tc>
          <w:tcPr>
            <w:tcW w:w="709" w:type="dxa"/>
            <w:noWrap/>
            <w:hideMark/>
          </w:tcPr>
          <w:p w14:paraId="5752B2FB" w14:textId="77777777" w:rsidR="00087B91" w:rsidRPr="002029AF" w:rsidRDefault="00087B91" w:rsidP="00860E95">
            <w:pPr>
              <w:pStyle w:val="ARfintablebodyrightbold"/>
              <w:ind w:right="0"/>
            </w:pPr>
            <w:r w:rsidRPr="002029AF">
              <w:t>0.1</w:t>
            </w:r>
          </w:p>
        </w:tc>
        <w:tc>
          <w:tcPr>
            <w:tcW w:w="709" w:type="dxa"/>
            <w:noWrap/>
            <w:hideMark/>
          </w:tcPr>
          <w:p w14:paraId="1AA938A1" w14:textId="77777777" w:rsidR="00087B91" w:rsidRPr="002029AF" w:rsidRDefault="00087B91" w:rsidP="00860E95">
            <w:pPr>
              <w:pStyle w:val="ARfintablebodyrightbold"/>
              <w:ind w:right="0"/>
            </w:pPr>
            <w:r w:rsidRPr="002029AF">
              <w:t>0.1</w:t>
            </w:r>
          </w:p>
        </w:tc>
        <w:tc>
          <w:tcPr>
            <w:tcW w:w="567" w:type="dxa"/>
            <w:noWrap/>
            <w:hideMark/>
          </w:tcPr>
          <w:p w14:paraId="68EE2C1D" w14:textId="77777777" w:rsidR="00087B91" w:rsidRPr="002029AF" w:rsidRDefault="00087B91" w:rsidP="00860E95">
            <w:pPr>
              <w:pStyle w:val="ARfintablebodyrightbold"/>
              <w:ind w:right="0"/>
            </w:pPr>
            <w:r w:rsidRPr="002029AF">
              <w:t>–</w:t>
            </w:r>
          </w:p>
        </w:tc>
        <w:tc>
          <w:tcPr>
            <w:tcW w:w="708" w:type="dxa"/>
            <w:noWrap/>
            <w:hideMark/>
          </w:tcPr>
          <w:p w14:paraId="141F3426" w14:textId="77777777" w:rsidR="00087B91" w:rsidRPr="002029AF" w:rsidRDefault="00087B91" w:rsidP="00860E95">
            <w:pPr>
              <w:pStyle w:val="ARfintablebodyrightbold"/>
              <w:ind w:right="0"/>
            </w:pPr>
            <w:r w:rsidRPr="002029AF">
              <w:t>1.9</w:t>
            </w:r>
          </w:p>
        </w:tc>
        <w:tc>
          <w:tcPr>
            <w:tcW w:w="709" w:type="dxa"/>
            <w:noWrap/>
            <w:hideMark/>
          </w:tcPr>
          <w:p w14:paraId="0C204098" w14:textId="77777777" w:rsidR="00087B91" w:rsidRPr="002029AF" w:rsidRDefault="00087B91" w:rsidP="00860E95">
            <w:pPr>
              <w:pStyle w:val="ARfintablebodyrightbold"/>
              <w:ind w:right="0"/>
            </w:pPr>
            <w:r w:rsidRPr="002029AF">
              <w:t>(199.2)</w:t>
            </w:r>
          </w:p>
        </w:tc>
        <w:tc>
          <w:tcPr>
            <w:tcW w:w="709" w:type="dxa"/>
            <w:noWrap/>
            <w:hideMark/>
          </w:tcPr>
          <w:p w14:paraId="4C5AAFD4" w14:textId="77777777" w:rsidR="00087B91" w:rsidRPr="002029AF" w:rsidRDefault="00087B91" w:rsidP="00860E95">
            <w:pPr>
              <w:pStyle w:val="ARfintablebodyrightbold"/>
              <w:ind w:right="0"/>
            </w:pPr>
            <w:r w:rsidRPr="002029AF">
              <w:t>(0.6)</w:t>
            </w:r>
          </w:p>
        </w:tc>
        <w:tc>
          <w:tcPr>
            <w:tcW w:w="567" w:type="dxa"/>
            <w:noWrap/>
            <w:hideMark/>
          </w:tcPr>
          <w:p w14:paraId="4E184316" w14:textId="77777777" w:rsidR="00087B91" w:rsidRPr="002029AF" w:rsidRDefault="00087B91" w:rsidP="00860E95">
            <w:pPr>
              <w:pStyle w:val="ARfintablebodyrightbold"/>
              <w:ind w:right="0"/>
            </w:pPr>
            <w:r w:rsidRPr="002029AF">
              <w:t>–</w:t>
            </w:r>
          </w:p>
        </w:tc>
        <w:tc>
          <w:tcPr>
            <w:tcW w:w="714" w:type="dxa"/>
            <w:noWrap/>
            <w:hideMark/>
          </w:tcPr>
          <w:p w14:paraId="13D2927D" w14:textId="77777777" w:rsidR="00087B91" w:rsidRPr="002029AF" w:rsidRDefault="00087B91" w:rsidP="00860E95">
            <w:pPr>
              <w:pStyle w:val="ARfintablebodyrightbold"/>
              <w:ind w:right="0"/>
            </w:pPr>
            <w:r w:rsidRPr="002029AF">
              <w:t>545.4</w:t>
            </w:r>
          </w:p>
        </w:tc>
      </w:tr>
    </w:tbl>
    <w:p w14:paraId="15AA5B84" w14:textId="77777777" w:rsidR="00087B91" w:rsidRPr="002029AF" w:rsidRDefault="00087B91" w:rsidP="00087B91">
      <w:pPr>
        <w:pStyle w:val="ARfintablefootnote"/>
      </w:pPr>
      <w:r w:rsidRPr="002029AF">
        <w:t>Note:</w:t>
      </w:r>
    </w:p>
    <w:p w14:paraId="43859E5C" w14:textId="166D7C02" w:rsidR="00087B91" w:rsidRPr="002029AF" w:rsidRDefault="00087B91" w:rsidP="00087B91">
      <w:pPr>
        <w:pStyle w:val="ARfintablefootnoteindent"/>
        <w:rPr>
          <w:rFonts w:cs="Arial"/>
          <w:sz w:val="18"/>
          <w:szCs w:val="18"/>
        </w:rPr>
      </w:pPr>
      <w:r w:rsidRPr="002029AF">
        <w:t>(i)</w:t>
      </w:r>
      <w:r w:rsidRPr="002029AF">
        <w:tab/>
        <w:t>Refer</w:t>
      </w:r>
      <w:r w:rsidR="000A5329" w:rsidRPr="002029AF">
        <w:t xml:space="preserve"> </w:t>
      </w:r>
      <w:r w:rsidRPr="002029AF">
        <w:t>to</w:t>
      </w:r>
      <w:r w:rsidR="000A5329" w:rsidRPr="002029AF">
        <w:t xml:space="preserve"> </w:t>
      </w:r>
      <w:r w:rsidRPr="002029AF">
        <w:t>Note</w:t>
      </w:r>
      <w:r w:rsidR="000A5329" w:rsidRPr="002029AF">
        <w:t xml:space="preserve"> </w:t>
      </w:r>
      <w:r w:rsidRPr="002029AF">
        <w:t>4.1.1</w:t>
      </w:r>
      <w:r w:rsidR="000A5329" w:rsidRPr="002029AF">
        <w:t xml:space="preserve"> </w:t>
      </w:r>
      <w:r w:rsidRPr="002029AF">
        <w:t>for</w:t>
      </w:r>
      <w:r w:rsidR="000A5329" w:rsidRPr="002029AF">
        <w:t xml:space="preserve"> </w:t>
      </w:r>
      <w:r w:rsidRPr="002029AF">
        <w:t>output</w:t>
      </w:r>
      <w:r w:rsidR="000A5329" w:rsidRPr="002029AF">
        <w:t xml:space="preserve"> </w:t>
      </w:r>
      <w:r w:rsidRPr="002029AF">
        <w:t>definitions.</w:t>
      </w:r>
    </w:p>
    <w:tbl>
      <w:tblPr>
        <w:tblStyle w:val="TableGrid"/>
        <w:tblW w:w="14459" w:type="dxa"/>
        <w:tblLayout w:type="fixed"/>
        <w:tblCellMar>
          <w:right w:w="0" w:type="dxa"/>
        </w:tblCellMar>
        <w:tblLook w:val="06A0" w:firstRow="1" w:lastRow="0" w:firstColumn="1" w:lastColumn="0" w:noHBand="1" w:noVBand="1"/>
      </w:tblPr>
      <w:tblGrid>
        <w:gridCol w:w="2228"/>
        <w:gridCol w:w="839"/>
        <w:gridCol w:w="699"/>
        <w:gridCol w:w="558"/>
        <w:gridCol w:w="698"/>
        <w:gridCol w:w="697"/>
        <w:gridCol w:w="558"/>
        <w:gridCol w:w="698"/>
        <w:gridCol w:w="698"/>
        <w:gridCol w:w="697"/>
        <w:gridCol w:w="697"/>
        <w:gridCol w:w="698"/>
        <w:gridCol w:w="699"/>
        <w:gridCol w:w="558"/>
        <w:gridCol w:w="735"/>
        <w:gridCol w:w="698"/>
        <w:gridCol w:w="630"/>
        <w:gridCol w:w="630"/>
        <w:gridCol w:w="657"/>
        <w:gridCol w:w="87"/>
      </w:tblGrid>
      <w:tr w:rsidR="002A3743" w:rsidRPr="002029AF" w14:paraId="34B1C311" w14:textId="77777777" w:rsidTr="00C81A0B">
        <w:trPr>
          <w:gridAfter w:val="1"/>
          <w:cnfStyle w:val="100000000000" w:firstRow="1" w:lastRow="0" w:firstColumn="0" w:lastColumn="0" w:oddVBand="0" w:evenVBand="0" w:oddHBand="0" w:evenHBand="0" w:firstRowFirstColumn="0" w:firstRowLastColumn="0" w:lastRowFirstColumn="0" w:lastRowLastColumn="0"/>
          <w:wAfter w:w="88" w:type="dxa"/>
          <w:tblHeader/>
        </w:trPr>
        <w:tc>
          <w:tcPr>
            <w:tcW w:w="2263" w:type="dxa"/>
            <w:tcBorders>
              <w:bottom w:val="single" w:sz="4" w:space="0" w:color="auto"/>
            </w:tcBorders>
            <w:hideMark/>
          </w:tcPr>
          <w:p w14:paraId="6D03CC6D" w14:textId="203525BE" w:rsidR="000A5329" w:rsidRPr="002029AF" w:rsidRDefault="00087B91" w:rsidP="00C81A0B">
            <w:pPr>
              <w:pStyle w:val="ARfintablecolhead"/>
              <w:spacing w:before="30" w:after="20"/>
            </w:pPr>
            <w:r w:rsidRPr="002029AF">
              <w:t>Output</w:t>
            </w:r>
            <w:r w:rsidR="000A5329" w:rsidRPr="002029AF">
              <w:t xml:space="preserve"> </w:t>
            </w:r>
            <w:r w:rsidRPr="002029AF">
              <w:t>group</w:t>
            </w:r>
            <w:r w:rsidR="000A5329" w:rsidRPr="002029AF">
              <w:t xml:space="preserve"> </w:t>
            </w:r>
            <w:r w:rsidRPr="002029AF">
              <w:rPr>
                <w:rStyle w:val="Superscript"/>
              </w:rPr>
              <w:t>(i)</w:t>
            </w:r>
          </w:p>
          <w:p w14:paraId="741D7A28" w14:textId="445787DC" w:rsidR="00087B91" w:rsidRPr="002029AF" w:rsidRDefault="00087B91" w:rsidP="00C81A0B">
            <w:pPr>
              <w:pStyle w:val="ARfintablecolhead"/>
              <w:spacing w:before="30" w:after="20"/>
            </w:pPr>
            <w:r w:rsidRPr="002029AF">
              <w:t>2019</w:t>
            </w:r>
          </w:p>
        </w:tc>
        <w:tc>
          <w:tcPr>
            <w:tcW w:w="851" w:type="dxa"/>
            <w:tcBorders>
              <w:bottom w:val="single" w:sz="4" w:space="0" w:color="auto"/>
            </w:tcBorders>
            <w:hideMark/>
          </w:tcPr>
          <w:p w14:paraId="29E435C3" w14:textId="77777777" w:rsidR="00087B91" w:rsidRPr="002029AF" w:rsidRDefault="00087B91" w:rsidP="00C81A0B">
            <w:pPr>
              <w:pStyle w:val="ARfintablecolheadright"/>
              <w:spacing w:before="30" w:after="20"/>
              <w:ind w:right="0"/>
            </w:pPr>
            <w:r w:rsidRPr="002029AF">
              <w:t>1</w:t>
            </w:r>
          </w:p>
          <w:p w14:paraId="32EF3C9A" w14:textId="77777777" w:rsidR="00087B91" w:rsidRPr="002029AF" w:rsidRDefault="00087B91" w:rsidP="00C81A0B">
            <w:pPr>
              <w:pStyle w:val="ARfintablecolheadright"/>
              <w:spacing w:before="30" w:after="20"/>
              <w:ind w:right="0"/>
            </w:pPr>
            <w:r w:rsidRPr="002029AF">
              <w:t>$M</w:t>
            </w:r>
          </w:p>
        </w:tc>
        <w:tc>
          <w:tcPr>
            <w:tcW w:w="709" w:type="dxa"/>
            <w:tcBorders>
              <w:bottom w:val="single" w:sz="4" w:space="0" w:color="auto"/>
            </w:tcBorders>
            <w:hideMark/>
          </w:tcPr>
          <w:p w14:paraId="1EF4B3B8" w14:textId="77777777" w:rsidR="00087B91" w:rsidRPr="002029AF" w:rsidRDefault="00087B91" w:rsidP="00C81A0B">
            <w:pPr>
              <w:pStyle w:val="ARfintablecolheadright"/>
              <w:spacing w:before="30" w:after="20"/>
              <w:ind w:right="0"/>
            </w:pPr>
            <w:r w:rsidRPr="002029AF">
              <w:t>2</w:t>
            </w:r>
          </w:p>
          <w:p w14:paraId="2C9F502B" w14:textId="77777777" w:rsidR="00087B91" w:rsidRPr="002029AF" w:rsidRDefault="00087B91" w:rsidP="00C81A0B">
            <w:pPr>
              <w:pStyle w:val="ARfintablecolheadright"/>
              <w:spacing w:before="30" w:after="20"/>
              <w:ind w:right="0"/>
            </w:pPr>
            <w:r w:rsidRPr="002029AF">
              <w:t>$M</w:t>
            </w:r>
          </w:p>
        </w:tc>
        <w:tc>
          <w:tcPr>
            <w:tcW w:w="567" w:type="dxa"/>
            <w:tcBorders>
              <w:bottom w:val="single" w:sz="4" w:space="0" w:color="auto"/>
            </w:tcBorders>
            <w:hideMark/>
          </w:tcPr>
          <w:p w14:paraId="76D34F8B" w14:textId="77777777" w:rsidR="00087B91" w:rsidRPr="002029AF" w:rsidRDefault="00087B91" w:rsidP="00C81A0B">
            <w:pPr>
              <w:pStyle w:val="ARfintablecolheadright"/>
              <w:spacing w:before="30" w:after="20"/>
              <w:ind w:right="0"/>
            </w:pPr>
            <w:r w:rsidRPr="002029AF">
              <w:t>3</w:t>
            </w:r>
          </w:p>
          <w:p w14:paraId="239F841B" w14:textId="77777777" w:rsidR="00087B91" w:rsidRPr="002029AF" w:rsidRDefault="00087B91" w:rsidP="00C81A0B">
            <w:pPr>
              <w:pStyle w:val="ARfintablecolheadright"/>
              <w:spacing w:before="30" w:after="20"/>
              <w:ind w:right="0"/>
            </w:pPr>
            <w:r w:rsidRPr="002029AF">
              <w:t>$M</w:t>
            </w:r>
          </w:p>
        </w:tc>
        <w:tc>
          <w:tcPr>
            <w:tcW w:w="709" w:type="dxa"/>
            <w:tcBorders>
              <w:bottom w:val="single" w:sz="4" w:space="0" w:color="auto"/>
            </w:tcBorders>
            <w:hideMark/>
          </w:tcPr>
          <w:p w14:paraId="399BB5FC" w14:textId="77777777" w:rsidR="00087B91" w:rsidRPr="002029AF" w:rsidRDefault="00087B91" w:rsidP="00C81A0B">
            <w:pPr>
              <w:pStyle w:val="ARfintablecolheadright"/>
              <w:spacing w:before="30" w:after="20"/>
              <w:ind w:right="0"/>
            </w:pPr>
            <w:r w:rsidRPr="002029AF">
              <w:t>4</w:t>
            </w:r>
          </w:p>
          <w:p w14:paraId="25A1448A" w14:textId="77777777" w:rsidR="00087B91" w:rsidRPr="002029AF" w:rsidRDefault="00087B91" w:rsidP="00C81A0B">
            <w:pPr>
              <w:pStyle w:val="ARfintablecolheadright"/>
              <w:spacing w:before="30" w:after="20"/>
              <w:ind w:right="0"/>
            </w:pPr>
            <w:r w:rsidRPr="002029AF">
              <w:t>$M</w:t>
            </w:r>
          </w:p>
        </w:tc>
        <w:tc>
          <w:tcPr>
            <w:tcW w:w="708" w:type="dxa"/>
            <w:tcBorders>
              <w:bottom w:val="single" w:sz="4" w:space="0" w:color="auto"/>
            </w:tcBorders>
            <w:hideMark/>
          </w:tcPr>
          <w:p w14:paraId="36CF1A41" w14:textId="77777777" w:rsidR="00087B91" w:rsidRPr="002029AF" w:rsidRDefault="00087B91" w:rsidP="00C81A0B">
            <w:pPr>
              <w:pStyle w:val="ARfintablecolheadright"/>
              <w:spacing w:before="30" w:after="20"/>
              <w:ind w:right="0"/>
            </w:pPr>
            <w:r w:rsidRPr="002029AF">
              <w:t>5</w:t>
            </w:r>
          </w:p>
          <w:p w14:paraId="422F0B53" w14:textId="77777777" w:rsidR="00087B91" w:rsidRPr="002029AF" w:rsidRDefault="00087B91" w:rsidP="00C81A0B">
            <w:pPr>
              <w:pStyle w:val="ARfintablecolheadright"/>
              <w:spacing w:before="30" w:after="20"/>
              <w:ind w:right="0"/>
            </w:pPr>
            <w:r w:rsidRPr="002029AF">
              <w:t>$M</w:t>
            </w:r>
          </w:p>
        </w:tc>
        <w:tc>
          <w:tcPr>
            <w:tcW w:w="567" w:type="dxa"/>
            <w:tcBorders>
              <w:bottom w:val="single" w:sz="4" w:space="0" w:color="auto"/>
            </w:tcBorders>
            <w:hideMark/>
          </w:tcPr>
          <w:p w14:paraId="21D25595" w14:textId="77777777" w:rsidR="00087B91" w:rsidRPr="002029AF" w:rsidRDefault="00087B91" w:rsidP="00C81A0B">
            <w:pPr>
              <w:pStyle w:val="ARfintablecolheadright"/>
              <w:spacing w:before="30" w:after="20"/>
              <w:ind w:right="0"/>
            </w:pPr>
            <w:r w:rsidRPr="002029AF">
              <w:t>6</w:t>
            </w:r>
          </w:p>
          <w:p w14:paraId="1D29F439" w14:textId="77777777" w:rsidR="00087B91" w:rsidRPr="002029AF" w:rsidRDefault="00087B91" w:rsidP="00C81A0B">
            <w:pPr>
              <w:pStyle w:val="ARfintablecolheadright"/>
              <w:spacing w:before="30" w:after="20"/>
              <w:ind w:right="0"/>
            </w:pPr>
            <w:r w:rsidRPr="002029AF">
              <w:t>$M</w:t>
            </w:r>
          </w:p>
        </w:tc>
        <w:tc>
          <w:tcPr>
            <w:tcW w:w="709" w:type="dxa"/>
            <w:tcBorders>
              <w:bottom w:val="single" w:sz="4" w:space="0" w:color="auto"/>
            </w:tcBorders>
            <w:hideMark/>
          </w:tcPr>
          <w:p w14:paraId="6D8ADFEF" w14:textId="77777777" w:rsidR="00087B91" w:rsidRPr="002029AF" w:rsidRDefault="00087B91" w:rsidP="00C81A0B">
            <w:pPr>
              <w:pStyle w:val="ARfintablecolheadright"/>
              <w:spacing w:before="30" w:after="20"/>
              <w:ind w:right="0"/>
            </w:pPr>
            <w:r w:rsidRPr="002029AF">
              <w:t>7</w:t>
            </w:r>
          </w:p>
          <w:p w14:paraId="03BDBAA1" w14:textId="77777777" w:rsidR="00087B91" w:rsidRPr="002029AF" w:rsidRDefault="00087B91" w:rsidP="00C81A0B">
            <w:pPr>
              <w:pStyle w:val="ARfintablecolheadright"/>
              <w:spacing w:before="30" w:after="20"/>
              <w:ind w:right="0"/>
            </w:pPr>
            <w:r w:rsidRPr="002029AF">
              <w:t>$M</w:t>
            </w:r>
          </w:p>
        </w:tc>
        <w:tc>
          <w:tcPr>
            <w:tcW w:w="709" w:type="dxa"/>
            <w:tcBorders>
              <w:bottom w:val="single" w:sz="4" w:space="0" w:color="auto"/>
            </w:tcBorders>
            <w:hideMark/>
          </w:tcPr>
          <w:p w14:paraId="20AD6E0F" w14:textId="77777777" w:rsidR="00087B91" w:rsidRPr="002029AF" w:rsidRDefault="00087B91" w:rsidP="00C81A0B">
            <w:pPr>
              <w:pStyle w:val="ARfintablecolheadright"/>
              <w:spacing w:before="30" w:after="20"/>
              <w:ind w:right="0"/>
            </w:pPr>
            <w:r w:rsidRPr="002029AF">
              <w:t>8</w:t>
            </w:r>
          </w:p>
          <w:p w14:paraId="3863F870" w14:textId="77777777" w:rsidR="00087B91" w:rsidRPr="002029AF" w:rsidRDefault="00087B91" w:rsidP="00C81A0B">
            <w:pPr>
              <w:pStyle w:val="ARfintablecolheadright"/>
              <w:spacing w:before="30" w:after="20"/>
              <w:ind w:right="0"/>
            </w:pPr>
            <w:r w:rsidRPr="002029AF">
              <w:t>$M</w:t>
            </w:r>
          </w:p>
        </w:tc>
        <w:tc>
          <w:tcPr>
            <w:tcW w:w="708" w:type="dxa"/>
            <w:tcBorders>
              <w:bottom w:val="single" w:sz="4" w:space="0" w:color="auto"/>
            </w:tcBorders>
            <w:hideMark/>
          </w:tcPr>
          <w:p w14:paraId="6E3EA2FF" w14:textId="77777777" w:rsidR="00087B91" w:rsidRPr="002029AF" w:rsidRDefault="00087B91" w:rsidP="00C81A0B">
            <w:pPr>
              <w:pStyle w:val="ARfintablecolheadright"/>
              <w:spacing w:before="30" w:after="20"/>
              <w:ind w:right="0"/>
            </w:pPr>
            <w:r w:rsidRPr="002029AF">
              <w:t>9</w:t>
            </w:r>
          </w:p>
          <w:p w14:paraId="74000752" w14:textId="77777777" w:rsidR="00087B91" w:rsidRPr="002029AF" w:rsidRDefault="00087B91" w:rsidP="00C81A0B">
            <w:pPr>
              <w:pStyle w:val="ARfintablecolheadright"/>
              <w:spacing w:before="30" w:after="20"/>
              <w:ind w:right="0"/>
            </w:pPr>
            <w:r w:rsidRPr="002029AF">
              <w:t>$M</w:t>
            </w:r>
          </w:p>
        </w:tc>
        <w:tc>
          <w:tcPr>
            <w:tcW w:w="708" w:type="dxa"/>
            <w:tcBorders>
              <w:bottom w:val="single" w:sz="4" w:space="0" w:color="auto"/>
            </w:tcBorders>
            <w:hideMark/>
          </w:tcPr>
          <w:p w14:paraId="4025CA34" w14:textId="77777777" w:rsidR="00087B91" w:rsidRPr="002029AF" w:rsidRDefault="00087B91" w:rsidP="00C81A0B">
            <w:pPr>
              <w:pStyle w:val="ARfintablecolheadright"/>
              <w:spacing w:before="30" w:after="20"/>
              <w:ind w:right="0"/>
            </w:pPr>
            <w:r w:rsidRPr="002029AF">
              <w:t>10</w:t>
            </w:r>
          </w:p>
          <w:p w14:paraId="04CAF8A6" w14:textId="77777777" w:rsidR="00087B91" w:rsidRPr="002029AF" w:rsidRDefault="00087B91" w:rsidP="00C81A0B">
            <w:pPr>
              <w:pStyle w:val="ARfintablecolheadright"/>
              <w:spacing w:before="30" w:after="20"/>
              <w:ind w:right="0"/>
            </w:pPr>
            <w:r w:rsidRPr="002029AF">
              <w:t>$M</w:t>
            </w:r>
          </w:p>
        </w:tc>
        <w:tc>
          <w:tcPr>
            <w:tcW w:w="709" w:type="dxa"/>
            <w:tcBorders>
              <w:bottom w:val="single" w:sz="4" w:space="0" w:color="auto"/>
            </w:tcBorders>
            <w:hideMark/>
          </w:tcPr>
          <w:p w14:paraId="79B19DEA" w14:textId="77777777" w:rsidR="00087B91" w:rsidRPr="002029AF" w:rsidRDefault="00087B91" w:rsidP="00C81A0B">
            <w:pPr>
              <w:pStyle w:val="ARfintablecolheadright"/>
              <w:spacing w:before="30" w:after="20"/>
              <w:ind w:right="0"/>
            </w:pPr>
            <w:r w:rsidRPr="002029AF">
              <w:t>11</w:t>
            </w:r>
          </w:p>
          <w:p w14:paraId="2E042141" w14:textId="77777777" w:rsidR="00087B91" w:rsidRPr="002029AF" w:rsidRDefault="00087B91" w:rsidP="00C81A0B">
            <w:pPr>
              <w:pStyle w:val="ARfintablecolheadright"/>
              <w:spacing w:before="30" w:after="20"/>
              <w:ind w:right="0"/>
            </w:pPr>
            <w:r w:rsidRPr="002029AF">
              <w:t>$M</w:t>
            </w:r>
          </w:p>
        </w:tc>
        <w:tc>
          <w:tcPr>
            <w:tcW w:w="710" w:type="dxa"/>
            <w:tcBorders>
              <w:bottom w:val="single" w:sz="4" w:space="0" w:color="auto"/>
            </w:tcBorders>
            <w:hideMark/>
          </w:tcPr>
          <w:p w14:paraId="6F7C8F34" w14:textId="77777777" w:rsidR="00087B91" w:rsidRPr="002029AF" w:rsidRDefault="00087B91" w:rsidP="00C81A0B">
            <w:pPr>
              <w:pStyle w:val="ARfintablecolheadright"/>
              <w:spacing w:before="30" w:after="20"/>
              <w:ind w:right="0"/>
            </w:pPr>
            <w:r w:rsidRPr="002029AF">
              <w:t>12</w:t>
            </w:r>
          </w:p>
          <w:p w14:paraId="188EC0DE" w14:textId="77777777" w:rsidR="00087B91" w:rsidRPr="002029AF" w:rsidRDefault="00087B91" w:rsidP="00C81A0B">
            <w:pPr>
              <w:pStyle w:val="ARfintablecolheadright"/>
              <w:spacing w:before="30" w:after="20"/>
              <w:ind w:right="0"/>
            </w:pPr>
            <w:r w:rsidRPr="002029AF">
              <w:t>$M</w:t>
            </w:r>
          </w:p>
        </w:tc>
        <w:tc>
          <w:tcPr>
            <w:tcW w:w="567" w:type="dxa"/>
            <w:tcBorders>
              <w:bottom w:val="single" w:sz="4" w:space="0" w:color="auto"/>
            </w:tcBorders>
            <w:hideMark/>
          </w:tcPr>
          <w:p w14:paraId="3789CB9B" w14:textId="77777777" w:rsidR="00087B91" w:rsidRPr="002029AF" w:rsidRDefault="00087B91" w:rsidP="00C81A0B">
            <w:pPr>
              <w:pStyle w:val="ARfintablecolheadright"/>
              <w:spacing w:before="30" w:after="20"/>
              <w:ind w:right="0"/>
            </w:pPr>
            <w:r w:rsidRPr="002029AF">
              <w:t>13</w:t>
            </w:r>
          </w:p>
          <w:p w14:paraId="3C54D3AC" w14:textId="77777777" w:rsidR="00087B91" w:rsidRPr="002029AF" w:rsidRDefault="00087B91" w:rsidP="00C81A0B">
            <w:pPr>
              <w:pStyle w:val="ARfintablecolheadright"/>
              <w:spacing w:before="30" w:after="20"/>
              <w:ind w:right="0"/>
            </w:pPr>
            <w:r w:rsidRPr="002029AF">
              <w:t>$M</w:t>
            </w:r>
          </w:p>
        </w:tc>
        <w:tc>
          <w:tcPr>
            <w:tcW w:w="746" w:type="dxa"/>
            <w:tcBorders>
              <w:bottom w:val="single" w:sz="4" w:space="0" w:color="auto"/>
            </w:tcBorders>
            <w:hideMark/>
          </w:tcPr>
          <w:p w14:paraId="1D494993" w14:textId="77777777" w:rsidR="00087B91" w:rsidRPr="002029AF" w:rsidRDefault="00087B91" w:rsidP="00C81A0B">
            <w:pPr>
              <w:pStyle w:val="ARfintablecolheadright"/>
              <w:spacing w:before="30" w:after="20"/>
              <w:ind w:right="0"/>
            </w:pPr>
            <w:r w:rsidRPr="002029AF">
              <w:t>14</w:t>
            </w:r>
          </w:p>
          <w:p w14:paraId="1F9848F2" w14:textId="77777777" w:rsidR="00087B91" w:rsidRPr="002029AF" w:rsidRDefault="00087B91" w:rsidP="00C81A0B">
            <w:pPr>
              <w:pStyle w:val="ARfintablecolheadright"/>
              <w:spacing w:before="30" w:after="20"/>
              <w:ind w:right="0"/>
            </w:pPr>
            <w:r w:rsidRPr="002029AF">
              <w:t>$M</w:t>
            </w:r>
          </w:p>
        </w:tc>
        <w:tc>
          <w:tcPr>
            <w:tcW w:w="709" w:type="dxa"/>
            <w:tcBorders>
              <w:bottom w:val="single" w:sz="4" w:space="0" w:color="auto"/>
            </w:tcBorders>
            <w:hideMark/>
          </w:tcPr>
          <w:p w14:paraId="30333CC3" w14:textId="77777777" w:rsidR="00087B91" w:rsidRPr="002029AF" w:rsidRDefault="00087B91" w:rsidP="00C81A0B">
            <w:pPr>
              <w:pStyle w:val="ARfintablecolheadright"/>
              <w:spacing w:before="30" w:after="20"/>
              <w:ind w:right="0"/>
            </w:pPr>
            <w:r w:rsidRPr="002029AF">
              <w:t>15</w:t>
            </w:r>
          </w:p>
          <w:p w14:paraId="38AEDE4E" w14:textId="77777777" w:rsidR="00087B91" w:rsidRPr="002029AF" w:rsidRDefault="00087B91" w:rsidP="00C81A0B">
            <w:pPr>
              <w:pStyle w:val="ARfintablecolheadright"/>
              <w:spacing w:before="30" w:after="20"/>
              <w:ind w:right="0"/>
            </w:pPr>
            <w:r w:rsidRPr="002029AF">
              <w:t>$M</w:t>
            </w:r>
          </w:p>
        </w:tc>
        <w:tc>
          <w:tcPr>
            <w:tcW w:w="640" w:type="dxa"/>
            <w:tcBorders>
              <w:bottom w:val="single" w:sz="4" w:space="0" w:color="auto"/>
            </w:tcBorders>
            <w:hideMark/>
          </w:tcPr>
          <w:p w14:paraId="27932B88" w14:textId="77777777" w:rsidR="00087B91" w:rsidRPr="002029AF" w:rsidRDefault="00087B91" w:rsidP="00C81A0B">
            <w:pPr>
              <w:pStyle w:val="ARfintablecolheadright"/>
              <w:spacing w:before="30" w:after="20"/>
              <w:ind w:right="0"/>
            </w:pPr>
            <w:r w:rsidRPr="002029AF">
              <w:t>16</w:t>
            </w:r>
          </w:p>
          <w:p w14:paraId="53F9C809" w14:textId="77777777" w:rsidR="00087B91" w:rsidRPr="002029AF" w:rsidRDefault="00087B91" w:rsidP="00C81A0B">
            <w:pPr>
              <w:pStyle w:val="ARfintablecolheadright"/>
              <w:spacing w:before="30" w:after="20"/>
              <w:ind w:right="0"/>
            </w:pPr>
            <w:r w:rsidRPr="002029AF">
              <w:t>$M</w:t>
            </w:r>
          </w:p>
        </w:tc>
        <w:tc>
          <w:tcPr>
            <w:tcW w:w="640" w:type="dxa"/>
            <w:tcBorders>
              <w:bottom w:val="single" w:sz="4" w:space="0" w:color="auto"/>
            </w:tcBorders>
            <w:hideMark/>
          </w:tcPr>
          <w:p w14:paraId="307BF3FC" w14:textId="77777777" w:rsidR="00087B91" w:rsidRPr="002029AF" w:rsidRDefault="00087B91" w:rsidP="00C81A0B">
            <w:pPr>
              <w:pStyle w:val="ARfintablecolheadright"/>
              <w:spacing w:before="30" w:after="20"/>
              <w:ind w:right="0"/>
            </w:pPr>
            <w:r w:rsidRPr="002029AF">
              <w:t>Elimin-</w:t>
            </w:r>
            <w:r w:rsidRPr="002029AF">
              <w:br/>
              <w:t>ation</w:t>
            </w:r>
          </w:p>
          <w:p w14:paraId="1E4BE7E9" w14:textId="77777777" w:rsidR="00087B91" w:rsidRPr="002029AF" w:rsidRDefault="00087B91" w:rsidP="00C81A0B">
            <w:pPr>
              <w:pStyle w:val="ARfintablecolheadright"/>
              <w:spacing w:before="30" w:after="20"/>
              <w:ind w:right="0"/>
            </w:pPr>
            <w:r w:rsidRPr="002029AF">
              <w:t>$M</w:t>
            </w:r>
          </w:p>
        </w:tc>
        <w:tc>
          <w:tcPr>
            <w:tcW w:w="667" w:type="dxa"/>
            <w:tcBorders>
              <w:bottom w:val="single" w:sz="4" w:space="0" w:color="auto"/>
            </w:tcBorders>
            <w:hideMark/>
          </w:tcPr>
          <w:p w14:paraId="610C958F" w14:textId="77777777" w:rsidR="00087B91" w:rsidRPr="002029AF" w:rsidRDefault="00087B91" w:rsidP="00C81A0B">
            <w:pPr>
              <w:pStyle w:val="ARfintablecolheadright"/>
              <w:spacing w:before="30" w:after="20"/>
              <w:ind w:right="0"/>
            </w:pPr>
            <w:r w:rsidRPr="002029AF">
              <w:t>Total</w:t>
            </w:r>
          </w:p>
          <w:p w14:paraId="3AD26677" w14:textId="77777777" w:rsidR="00087B91" w:rsidRPr="002029AF" w:rsidRDefault="00087B91" w:rsidP="00C81A0B">
            <w:pPr>
              <w:pStyle w:val="ARfintablecolheadright"/>
              <w:spacing w:before="30" w:after="20"/>
              <w:ind w:right="0"/>
            </w:pPr>
            <w:r w:rsidRPr="002029AF">
              <w:t>$M</w:t>
            </w:r>
          </w:p>
        </w:tc>
      </w:tr>
      <w:tr w:rsidR="00C82BF1" w:rsidRPr="002029AF" w14:paraId="4E676142" w14:textId="77777777" w:rsidTr="00C81A0B">
        <w:tc>
          <w:tcPr>
            <w:tcW w:w="14684" w:type="dxa"/>
            <w:gridSpan w:val="20"/>
            <w:tcBorders>
              <w:top w:val="single" w:sz="4" w:space="0" w:color="auto"/>
              <w:bottom w:val="single" w:sz="4" w:space="0" w:color="A6A6A6"/>
            </w:tcBorders>
            <w:hideMark/>
          </w:tcPr>
          <w:p w14:paraId="229522DE" w14:textId="3CD7125D" w:rsidR="00087B91" w:rsidRPr="002029AF" w:rsidRDefault="00087B91" w:rsidP="00C81A0B">
            <w:pPr>
              <w:pStyle w:val="ARfintablebodybold"/>
              <w:spacing w:before="30"/>
              <w:ind w:right="0"/>
            </w:pPr>
            <w:r w:rsidRPr="002029AF">
              <w:t>Income</w:t>
            </w:r>
            <w:r w:rsidR="000A5329" w:rsidRPr="002029AF">
              <w:t xml:space="preserve"> </w:t>
            </w:r>
            <w:r w:rsidRPr="002029AF">
              <w:t>from</w:t>
            </w:r>
            <w:r w:rsidR="000A5329" w:rsidRPr="002029AF">
              <w:t xml:space="preserve"> </w:t>
            </w:r>
            <w:r w:rsidRPr="002029AF">
              <w:t>transactions</w:t>
            </w:r>
          </w:p>
        </w:tc>
      </w:tr>
      <w:tr w:rsidR="002A3743" w:rsidRPr="002029AF" w14:paraId="10C191B4" w14:textId="77777777" w:rsidTr="00C81A0B">
        <w:trPr>
          <w:gridAfter w:val="1"/>
          <w:wAfter w:w="88" w:type="dxa"/>
        </w:trPr>
        <w:tc>
          <w:tcPr>
            <w:tcW w:w="2263" w:type="dxa"/>
            <w:tcBorders>
              <w:top w:val="single" w:sz="4" w:space="0" w:color="A6A6A6"/>
              <w:bottom w:val="single" w:sz="4" w:space="0" w:color="A6A6A6"/>
            </w:tcBorders>
            <w:hideMark/>
          </w:tcPr>
          <w:p w14:paraId="6F0B0D2C" w14:textId="685B989D" w:rsidR="00087B91" w:rsidRPr="002029AF" w:rsidRDefault="00087B91" w:rsidP="00C81A0B">
            <w:pPr>
              <w:pStyle w:val="ARfintablebody"/>
              <w:spacing w:before="30"/>
            </w:pPr>
            <w:r w:rsidRPr="002029AF">
              <w:t>Output</w:t>
            </w:r>
            <w:r w:rsidR="000A5329" w:rsidRPr="002029AF">
              <w:t xml:space="preserve"> </w:t>
            </w:r>
            <w:r w:rsidRPr="002029AF">
              <w:t>appropriations</w:t>
            </w:r>
          </w:p>
        </w:tc>
        <w:tc>
          <w:tcPr>
            <w:tcW w:w="851" w:type="dxa"/>
            <w:tcBorders>
              <w:top w:val="single" w:sz="4" w:space="0" w:color="A6A6A6"/>
              <w:bottom w:val="single" w:sz="4" w:space="0" w:color="A6A6A6"/>
            </w:tcBorders>
            <w:noWrap/>
            <w:hideMark/>
          </w:tcPr>
          <w:p w14:paraId="160535EA" w14:textId="77777777" w:rsidR="00087B91" w:rsidRPr="002029AF" w:rsidRDefault="00087B91" w:rsidP="00C81A0B">
            <w:pPr>
              <w:pStyle w:val="ARfintablebodyright"/>
              <w:spacing w:before="30"/>
              <w:ind w:right="0"/>
            </w:pPr>
            <w:r w:rsidRPr="002029AF">
              <w:t>7,273.0</w:t>
            </w:r>
          </w:p>
        </w:tc>
        <w:tc>
          <w:tcPr>
            <w:tcW w:w="709" w:type="dxa"/>
            <w:tcBorders>
              <w:top w:val="single" w:sz="4" w:space="0" w:color="A6A6A6"/>
              <w:bottom w:val="single" w:sz="4" w:space="0" w:color="A6A6A6"/>
            </w:tcBorders>
            <w:noWrap/>
            <w:hideMark/>
          </w:tcPr>
          <w:p w14:paraId="60F21F42" w14:textId="77777777" w:rsidR="00087B91" w:rsidRPr="002029AF" w:rsidRDefault="00087B91" w:rsidP="00C81A0B">
            <w:pPr>
              <w:pStyle w:val="ARfintablebodyright"/>
              <w:spacing w:before="30"/>
              <w:ind w:right="0"/>
            </w:pPr>
            <w:r w:rsidRPr="002029AF">
              <w:t>747.4</w:t>
            </w:r>
          </w:p>
        </w:tc>
        <w:tc>
          <w:tcPr>
            <w:tcW w:w="567" w:type="dxa"/>
            <w:tcBorders>
              <w:top w:val="single" w:sz="4" w:space="0" w:color="A6A6A6"/>
              <w:bottom w:val="single" w:sz="4" w:space="0" w:color="A6A6A6"/>
            </w:tcBorders>
            <w:noWrap/>
            <w:hideMark/>
          </w:tcPr>
          <w:p w14:paraId="43A60B3B" w14:textId="77777777" w:rsidR="00087B91" w:rsidRPr="002029AF" w:rsidRDefault="00087B91" w:rsidP="00C81A0B">
            <w:pPr>
              <w:pStyle w:val="ARfintablebodyright"/>
              <w:spacing w:before="30"/>
              <w:ind w:right="0"/>
            </w:pPr>
            <w:r w:rsidRPr="002029AF">
              <w:t>961.0</w:t>
            </w:r>
          </w:p>
        </w:tc>
        <w:tc>
          <w:tcPr>
            <w:tcW w:w="709" w:type="dxa"/>
            <w:tcBorders>
              <w:top w:val="single" w:sz="4" w:space="0" w:color="A6A6A6"/>
              <w:bottom w:val="single" w:sz="4" w:space="0" w:color="A6A6A6"/>
            </w:tcBorders>
            <w:noWrap/>
            <w:hideMark/>
          </w:tcPr>
          <w:p w14:paraId="5409B19F" w14:textId="77777777" w:rsidR="00087B91" w:rsidRPr="002029AF" w:rsidRDefault="00087B91" w:rsidP="00C81A0B">
            <w:pPr>
              <w:pStyle w:val="ARfintablebodyright"/>
              <w:spacing w:before="30"/>
              <w:ind w:right="0"/>
            </w:pPr>
            <w:r w:rsidRPr="002029AF">
              <w:t>513.4</w:t>
            </w:r>
          </w:p>
        </w:tc>
        <w:tc>
          <w:tcPr>
            <w:tcW w:w="708" w:type="dxa"/>
            <w:tcBorders>
              <w:top w:val="single" w:sz="4" w:space="0" w:color="A6A6A6"/>
              <w:bottom w:val="single" w:sz="4" w:space="0" w:color="A6A6A6"/>
            </w:tcBorders>
            <w:noWrap/>
            <w:hideMark/>
          </w:tcPr>
          <w:p w14:paraId="12EFFCC7" w14:textId="77777777" w:rsidR="00087B91" w:rsidRPr="002029AF" w:rsidRDefault="00087B91" w:rsidP="00C81A0B">
            <w:pPr>
              <w:pStyle w:val="ARfintablebodyright"/>
              <w:spacing w:before="30"/>
              <w:ind w:right="0"/>
            </w:pPr>
            <w:r w:rsidRPr="002029AF">
              <w:t>473.8</w:t>
            </w:r>
          </w:p>
        </w:tc>
        <w:tc>
          <w:tcPr>
            <w:tcW w:w="567" w:type="dxa"/>
            <w:tcBorders>
              <w:top w:val="single" w:sz="4" w:space="0" w:color="A6A6A6"/>
              <w:bottom w:val="single" w:sz="4" w:space="0" w:color="A6A6A6"/>
            </w:tcBorders>
            <w:noWrap/>
            <w:hideMark/>
          </w:tcPr>
          <w:p w14:paraId="1BC113DF" w14:textId="77777777" w:rsidR="00087B91" w:rsidRPr="002029AF" w:rsidRDefault="00087B91" w:rsidP="00C81A0B">
            <w:pPr>
              <w:pStyle w:val="ARfintablebodyright"/>
              <w:spacing w:before="30"/>
              <w:ind w:right="0"/>
            </w:pPr>
            <w:r w:rsidRPr="002029AF">
              <w:t>336.4</w:t>
            </w:r>
          </w:p>
        </w:tc>
        <w:tc>
          <w:tcPr>
            <w:tcW w:w="709" w:type="dxa"/>
            <w:tcBorders>
              <w:top w:val="single" w:sz="4" w:space="0" w:color="A6A6A6"/>
              <w:bottom w:val="single" w:sz="4" w:space="0" w:color="A6A6A6"/>
            </w:tcBorders>
            <w:noWrap/>
            <w:hideMark/>
          </w:tcPr>
          <w:p w14:paraId="5924009E" w14:textId="77777777" w:rsidR="00087B91" w:rsidRPr="002029AF" w:rsidRDefault="00087B91" w:rsidP="00C81A0B">
            <w:pPr>
              <w:pStyle w:val="ARfintablebodyright"/>
              <w:spacing w:before="30"/>
              <w:ind w:right="0"/>
            </w:pPr>
            <w:r w:rsidRPr="002029AF">
              <w:t>275.0</w:t>
            </w:r>
          </w:p>
        </w:tc>
        <w:tc>
          <w:tcPr>
            <w:tcW w:w="709" w:type="dxa"/>
            <w:tcBorders>
              <w:top w:val="single" w:sz="4" w:space="0" w:color="A6A6A6"/>
              <w:bottom w:val="single" w:sz="4" w:space="0" w:color="A6A6A6"/>
            </w:tcBorders>
            <w:noWrap/>
            <w:hideMark/>
          </w:tcPr>
          <w:p w14:paraId="5538867D" w14:textId="77777777" w:rsidR="00087B91" w:rsidRPr="002029AF" w:rsidRDefault="00087B91" w:rsidP="00C81A0B">
            <w:pPr>
              <w:pStyle w:val="ARfintablebodyright"/>
              <w:spacing w:before="30"/>
              <w:ind w:right="0"/>
            </w:pPr>
            <w:r w:rsidRPr="002029AF">
              <w:t>175.8</w:t>
            </w:r>
          </w:p>
        </w:tc>
        <w:tc>
          <w:tcPr>
            <w:tcW w:w="708" w:type="dxa"/>
            <w:tcBorders>
              <w:top w:val="single" w:sz="4" w:space="0" w:color="A6A6A6"/>
              <w:bottom w:val="single" w:sz="4" w:space="0" w:color="A6A6A6"/>
            </w:tcBorders>
            <w:noWrap/>
            <w:hideMark/>
          </w:tcPr>
          <w:p w14:paraId="748C421F" w14:textId="77777777" w:rsidR="00087B91" w:rsidRPr="002029AF" w:rsidRDefault="00087B91" w:rsidP="00C81A0B">
            <w:pPr>
              <w:pStyle w:val="ARfintablebodyright"/>
              <w:spacing w:before="30"/>
              <w:ind w:right="0"/>
            </w:pPr>
            <w:r w:rsidRPr="002029AF">
              <w:t>2,175.6</w:t>
            </w:r>
          </w:p>
        </w:tc>
        <w:tc>
          <w:tcPr>
            <w:tcW w:w="708" w:type="dxa"/>
            <w:tcBorders>
              <w:top w:val="single" w:sz="4" w:space="0" w:color="A6A6A6"/>
              <w:bottom w:val="single" w:sz="4" w:space="0" w:color="A6A6A6"/>
            </w:tcBorders>
            <w:noWrap/>
            <w:hideMark/>
          </w:tcPr>
          <w:p w14:paraId="43D1A1DD" w14:textId="77777777" w:rsidR="00087B91" w:rsidRPr="002029AF" w:rsidRDefault="00087B91" w:rsidP="00C81A0B">
            <w:pPr>
              <w:pStyle w:val="ARfintablebodyright"/>
              <w:spacing w:before="30"/>
              <w:ind w:right="0"/>
            </w:pPr>
            <w:r w:rsidRPr="002029AF">
              <w:t>1,604.9</w:t>
            </w:r>
          </w:p>
        </w:tc>
        <w:tc>
          <w:tcPr>
            <w:tcW w:w="709" w:type="dxa"/>
            <w:tcBorders>
              <w:top w:val="single" w:sz="4" w:space="0" w:color="A6A6A6"/>
              <w:bottom w:val="single" w:sz="4" w:space="0" w:color="A6A6A6"/>
            </w:tcBorders>
            <w:noWrap/>
            <w:hideMark/>
          </w:tcPr>
          <w:p w14:paraId="5C3B65D6" w14:textId="77777777" w:rsidR="00087B91" w:rsidRPr="002029AF" w:rsidRDefault="00087B91" w:rsidP="00C81A0B">
            <w:pPr>
              <w:pStyle w:val="ARfintablebodyright"/>
              <w:spacing w:before="30"/>
              <w:ind w:right="0"/>
            </w:pPr>
            <w:r w:rsidRPr="002029AF">
              <w:t>737.4</w:t>
            </w:r>
          </w:p>
        </w:tc>
        <w:tc>
          <w:tcPr>
            <w:tcW w:w="710" w:type="dxa"/>
            <w:tcBorders>
              <w:top w:val="single" w:sz="4" w:space="0" w:color="A6A6A6"/>
              <w:bottom w:val="single" w:sz="4" w:space="0" w:color="A6A6A6"/>
            </w:tcBorders>
            <w:noWrap/>
            <w:hideMark/>
          </w:tcPr>
          <w:p w14:paraId="6DBEB8AD" w14:textId="77777777" w:rsidR="00087B91" w:rsidRPr="002029AF" w:rsidRDefault="00087B91" w:rsidP="00C81A0B">
            <w:pPr>
              <w:pStyle w:val="ARfintablebodyright"/>
              <w:spacing w:before="30"/>
              <w:ind w:right="0"/>
            </w:pPr>
            <w:r w:rsidRPr="002029AF">
              <w:t>152.6</w:t>
            </w:r>
          </w:p>
        </w:tc>
        <w:tc>
          <w:tcPr>
            <w:tcW w:w="567" w:type="dxa"/>
            <w:tcBorders>
              <w:top w:val="single" w:sz="4" w:space="0" w:color="A6A6A6"/>
              <w:bottom w:val="single" w:sz="4" w:space="0" w:color="A6A6A6"/>
            </w:tcBorders>
            <w:noWrap/>
            <w:hideMark/>
          </w:tcPr>
          <w:p w14:paraId="48BFC14E" w14:textId="77777777" w:rsidR="00087B91" w:rsidRPr="002029AF" w:rsidRDefault="00087B91" w:rsidP="00C81A0B">
            <w:pPr>
              <w:pStyle w:val="ARfintablebodyright"/>
              <w:spacing w:before="30"/>
              <w:ind w:right="0"/>
            </w:pPr>
            <w:r w:rsidRPr="002029AF">
              <w:t>18.6</w:t>
            </w:r>
          </w:p>
        </w:tc>
        <w:tc>
          <w:tcPr>
            <w:tcW w:w="746" w:type="dxa"/>
            <w:tcBorders>
              <w:top w:val="single" w:sz="4" w:space="0" w:color="A6A6A6"/>
              <w:bottom w:val="single" w:sz="4" w:space="0" w:color="A6A6A6"/>
            </w:tcBorders>
            <w:noWrap/>
            <w:hideMark/>
          </w:tcPr>
          <w:p w14:paraId="7F679BEF" w14:textId="77777777" w:rsidR="00087B91" w:rsidRPr="002029AF" w:rsidRDefault="00087B91" w:rsidP="00C81A0B">
            <w:pPr>
              <w:pStyle w:val="ARfintablebodyright"/>
              <w:spacing w:before="30"/>
              <w:ind w:right="0"/>
            </w:pPr>
            <w:r w:rsidRPr="002029AF">
              <w:t>119.2</w:t>
            </w:r>
          </w:p>
        </w:tc>
        <w:tc>
          <w:tcPr>
            <w:tcW w:w="709" w:type="dxa"/>
            <w:tcBorders>
              <w:top w:val="single" w:sz="4" w:space="0" w:color="A6A6A6"/>
              <w:bottom w:val="single" w:sz="4" w:space="0" w:color="A6A6A6"/>
            </w:tcBorders>
            <w:noWrap/>
            <w:hideMark/>
          </w:tcPr>
          <w:p w14:paraId="44D60E6B" w14:textId="77777777" w:rsidR="00087B91" w:rsidRPr="002029AF" w:rsidRDefault="00087B91" w:rsidP="00C81A0B">
            <w:pPr>
              <w:pStyle w:val="ARfintablebodyright"/>
              <w:spacing w:before="30"/>
              <w:ind w:right="0"/>
            </w:pPr>
            <w:r w:rsidRPr="002029AF">
              <w:t>618.8</w:t>
            </w:r>
          </w:p>
        </w:tc>
        <w:tc>
          <w:tcPr>
            <w:tcW w:w="640" w:type="dxa"/>
            <w:tcBorders>
              <w:top w:val="single" w:sz="4" w:space="0" w:color="A6A6A6"/>
              <w:bottom w:val="single" w:sz="4" w:space="0" w:color="A6A6A6"/>
            </w:tcBorders>
            <w:noWrap/>
            <w:hideMark/>
          </w:tcPr>
          <w:p w14:paraId="62F3FC9B" w14:textId="77777777" w:rsidR="00087B91" w:rsidRPr="002029AF" w:rsidRDefault="00087B91" w:rsidP="00C81A0B">
            <w:pPr>
              <w:pStyle w:val="ARfintablebodyright"/>
              <w:spacing w:before="30"/>
              <w:ind w:right="0"/>
            </w:pPr>
            <w:r w:rsidRPr="002029AF">
              <w:t>–</w:t>
            </w:r>
          </w:p>
        </w:tc>
        <w:tc>
          <w:tcPr>
            <w:tcW w:w="640" w:type="dxa"/>
            <w:tcBorders>
              <w:top w:val="single" w:sz="4" w:space="0" w:color="A6A6A6"/>
              <w:bottom w:val="single" w:sz="4" w:space="0" w:color="A6A6A6"/>
            </w:tcBorders>
            <w:noWrap/>
            <w:hideMark/>
          </w:tcPr>
          <w:p w14:paraId="452EA910" w14:textId="77777777" w:rsidR="00087B91" w:rsidRPr="002029AF" w:rsidRDefault="00087B91" w:rsidP="00C81A0B">
            <w:pPr>
              <w:pStyle w:val="ARfintablebodyright"/>
              <w:spacing w:before="30"/>
              <w:ind w:right="0"/>
            </w:pPr>
            <w:r w:rsidRPr="002029AF">
              <w:t>–</w:t>
            </w:r>
          </w:p>
        </w:tc>
        <w:tc>
          <w:tcPr>
            <w:tcW w:w="667" w:type="dxa"/>
            <w:tcBorders>
              <w:top w:val="single" w:sz="4" w:space="0" w:color="A6A6A6"/>
              <w:bottom w:val="single" w:sz="4" w:space="0" w:color="A6A6A6"/>
            </w:tcBorders>
            <w:noWrap/>
            <w:hideMark/>
          </w:tcPr>
          <w:p w14:paraId="2A18B417" w14:textId="77777777" w:rsidR="00087B91" w:rsidRPr="002029AF" w:rsidRDefault="00087B91" w:rsidP="00C81A0B">
            <w:pPr>
              <w:pStyle w:val="ARfintablebodyright"/>
              <w:spacing w:before="30"/>
              <w:ind w:right="0"/>
            </w:pPr>
            <w:r w:rsidRPr="002029AF">
              <w:t>16,182.9</w:t>
            </w:r>
          </w:p>
        </w:tc>
      </w:tr>
      <w:tr w:rsidR="002A3743" w:rsidRPr="002029AF" w14:paraId="6A1304ED" w14:textId="77777777" w:rsidTr="00C81A0B">
        <w:trPr>
          <w:gridAfter w:val="1"/>
          <w:wAfter w:w="88" w:type="dxa"/>
        </w:trPr>
        <w:tc>
          <w:tcPr>
            <w:tcW w:w="2263" w:type="dxa"/>
            <w:tcBorders>
              <w:top w:val="single" w:sz="4" w:space="0" w:color="A6A6A6"/>
              <w:bottom w:val="single" w:sz="4" w:space="0" w:color="A6A6A6"/>
            </w:tcBorders>
            <w:hideMark/>
          </w:tcPr>
          <w:p w14:paraId="6CFF5478" w14:textId="5981C499" w:rsidR="00087B91" w:rsidRPr="002029AF" w:rsidRDefault="00087B91" w:rsidP="00C81A0B">
            <w:pPr>
              <w:pStyle w:val="ARfintablebody"/>
              <w:spacing w:before="30"/>
            </w:pPr>
            <w:r w:rsidRPr="002029AF">
              <w:t>Special</w:t>
            </w:r>
            <w:r w:rsidR="000A5329" w:rsidRPr="002029AF">
              <w:t xml:space="preserve"> </w:t>
            </w:r>
            <w:r w:rsidRPr="002029AF">
              <w:t>appropriations</w:t>
            </w:r>
          </w:p>
        </w:tc>
        <w:tc>
          <w:tcPr>
            <w:tcW w:w="851" w:type="dxa"/>
            <w:tcBorders>
              <w:top w:val="single" w:sz="4" w:space="0" w:color="A6A6A6"/>
              <w:bottom w:val="single" w:sz="4" w:space="0" w:color="A6A6A6"/>
            </w:tcBorders>
            <w:noWrap/>
            <w:hideMark/>
          </w:tcPr>
          <w:p w14:paraId="1A5874A2" w14:textId="77777777" w:rsidR="00087B91" w:rsidRPr="002029AF" w:rsidRDefault="00087B91" w:rsidP="00C81A0B">
            <w:pPr>
              <w:pStyle w:val="ARfintablebodyright"/>
              <w:spacing w:before="30"/>
              <w:ind w:right="0"/>
            </w:pPr>
            <w:r w:rsidRPr="002029AF">
              <w:t>1,230.4</w:t>
            </w:r>
          </w:p>
        </w:tc>
        <w:tc>
          <w:tcPr>
            <w:tcW w:w="709" w:type="dxa"/>
            <w:tcBorders>
              <w:top w:val="single" w:sz="4" w:space="0" w:color="A6A6A6"/>
              <w:bottom w:val="single" w:sz="4" w:space="0" w:color="A6A6A6"/>
            </w:tcBorders>
            <w:noWrap/>
            <w:hideMark/>
          </w:tcPr>
          <w:p w14:paraId="4E7F3A33" w14:textId="77777777" w:rsidR="00087B91" w:rsidRPr="002029AF" w:rsidRDefault="00087B91" w:rsidP="00C81A0B">
            <w:pPr>
              <w:pStyle w:val="ARfintablebodyright"/>
              <w:spacing w:before="30"/>
              <w:ind w:right="0"/>
            </w:pPr>
            <w:r w:rsidRPr="002029AF">
              <w:t>62.6</w:t>
            </w:r>
          </w:p>
        </w:tc>
        <w:tc>
          <w:tcPr>
            <w:tcW w:w="567" w:type="dxa"/>
            <w:tcBorders>
              <w:top w:val="single" w:sz="4" w:space="0" w:color="A6A6A6"/>
              <w:bottom w:val="single" w:sz="4" w:space="0" w:color="A6A6A6"/>
            </w:tcBorders>
            <w:noWrap/>
            <w:hideMark/>
          </w:tcPr>
          <w:p w14:paraId="01E89E15" w14:textId="77777777" w:rsidR="00087B91" w:rsidRPr="002029AF" w:rsidRDefault="00087B91" w:rsidP="00C81A0B">
            <w:pPr>
              <w:pStyle w:val="ARfintablebodyright"/>
              <w:spacing w:before="30"/>
              <w:ind w:right="0"/>
            </w:pPr>
            <w:r w:rsidRPr="002029AF">
              <w:t>45.3</w:t>
            </w:r>
          </w:p>
        </w:tc>
        <w:tc>
          <w:tcPr>
            <w:tcW w:w="709" w:type="dxa"/>
            <w:tcBorders>
              <w:top w:val="single" w:sz="4" w:space="0" w:color="A6A6A6"/>
              <w:bottom w:val="single" w:sz="4" w:space="0" w:color="A6A6A6"/>
            </w:tcBorders>
            <w:noWrap/>
            <w:hideMark/>
          </w:tcPr>
          <w:p w14:paraId="54054027" w14:textId="77777777" w:rsidR="00087B91" w:rsidRPr="002029AF" w:rsidRDefault="00087B91" w:rsidP="00C81A0B">
            <w:pPr>
              <w:pStyle w:val="ARfintablebodyright"/>
              <w:spacing w:before="30"/>
              <w:ind w:right="0"/>
            </w:pPr>
            <w:r w:rsidRPr="002029AF">
              <w:t>26.6</w:t>
            </w:r>
          </w:p>
        </w:tc>
        <w:tc>
          <w:tcPr>
            <w:tcW w:w="708" w:type="dxa"/>
            <w:tcBorders>
              <w:top w:val="single" w:sz="4" w:space="0" w:color="A6A6A6"/>
              <w:bottom w:val="single" w:sz="4" w:space="0" w:color="A6A6A6"/>
            </w:tcBorders>
            <w:noWrap/>
            <w:hideMark/>
          </w:tcPr>
          <w:p w14:paraId="687AFEAC" w14:textId="77777777" w:rsidR="00087B91" w:rsidRPr="002029AF" w:rsidRDefault="00087B91" w:rsidP="00C81A0B">
            <w:pPr>
              <w:pStyle w:val="ARfintablebodyright"/>
              <w:spacing w:before="30"/>
              <w:ind w:right="0"/>
            </w:pPr>
            <w:r w:rsidRPr="002029AF">
              <w:t>52.4</w:t>
            </w:r>
          </w:p>
        </w:tc>
        <w:tc>
          <w:tcPr>
            <w:tcW w:w="567" w:type="dxa"/>
            <w:tcBorders>
              <w:top w:val="single" w:sz="4" w:space="0" w:color="A6A6A6"/>
              <w:bottom w:val="single" w:sz="4" w:space="0" w:color="A6A6A6"/>
            </w:tcBorders>
            <w:noWrap/>
            <w:hideMark/>
          </w:tcPr>
          <w:p w14:paraId="5188E98B" w14:textId="77777777" w:rsidR="00087B91" w:rsidRPr="002029AF" w:rsidRDefault="00087B91" w:rsidP="00C81A0B">
            <w:pPr>
              <w:pStyle w:val="ARfintablebodyright"/>
              <w:spacing w:before="30"/>
              <w:ind w:right="0"/>
            </w:pPr>
            <w:r w:rsidRPr="002029AF">
              <w:t>9.5</w:t>
            </w:r>
          </w:p>
        </w:tc>
        <w:tc>
          <w:tcPr>
            <w:tcW w:w="709" w:type="dxa"/>
            <w:tcBorders>
              <w:top w:val="single" w:sz="4" w:space="0" w:color="A6A6A6"/>
              <w:bottom w:val="single" w:sz="4" w:space="0" w:color="A6A6A6"/>
            </w:tcBorders>
            <w:noWrap/>
            <w:hideMark/>
          </w:tcPr>
          <w:p w14:paraId="0C746A44" w14:textId="77777777" w:rsidR="00087B91" w:rsidRPr="002029AF" w:rsidRDefault="00087B91" w:rsidP="00C81A0B">
            <w:pPr>
              <w:pStyle w:val="ARfintablebodyright"/>
              <w:spacing w:before="30"/>
              <w:ind w:right="0"/>
            </w:pPr>
            <w:r w:rsidRPr="002029AF">
              <w:t>14.1</w:t>
            </w:r>
          </w:p>
        </w:tc>
        <w:tc>
          <w:tcPr>
            <w:tcW w:w="709" w:type="dxa"/>
            <w:tcBorders>
              <w:top w:val="single" w:sz="4" w:space="0" w:color="A6A6A6"/>
              <w:bottom w:val="single" w:sz="4" w:space="0" w:color="A6A6A6"/>
            </w:tcBorders>
            <w:noWrap/>
            <w:hideMark/>
          </w:tcPr>
          <w:p w14:paraId="691D7457" w14:textId="77777777" w:rsidR="00087B91" w:rsidRPr="002029AF" w:rsidRDefault="00087B91" w:rsidP="00C81A0B">
            <w:pPr>
              <w:pStyle w:val="ARfintablebodyright"/>
              <w:spacing w:before="30"/>
              <w:ind w:right="0"/>
            </w:pPr>
            <w:r w:rsidRPr="002029AF">
              <w:t>8.3</w:t>
            </w:r>
          </w:p>
        </w:tc>
        <w:tc>
          <w:tcPr>
            <w:tcW w:w="708" w:type="dxa"/>
            <w:tcBorders>
              <w:top w:val="single" w:sz="4" w:space="0" w:color="A6A6A6"/>
              <w:bottom w:val="single" w:sz="4" w:space="0" w:color="A6A6A6"/>
            </w:tcBorders>
            <w:noWrap/>
            <w:hideMark/>
          </w:tcPr>
          <w:p w14:paraId="2A050BF1" w14:textId="77777777" w:rsidR="00087B91" w:rsidRPr="002029AF" w:rsidRDefault="00087B91" w:rsidP="00C81A0B">
            <w:pPr>
              <w:pStyle w:val="ARfintablebodyright"/>
              <w:spacing w:before="30"/>
              <w:ind w:right="0"/>
            </w:pPr>
            <w:r w:rsidRPr="002029AF">
              <w:t>63.9</w:t>
            </w:r>
          </w:p>
        </w:tc>
        <w:tc>
          <w:tcPr>
            <w:tcW w:w="708" w:type="dxa"/>
            <w:tcBorders>
              <w:top w:val="single" w:sz="4" w:space="0" w:color="A6A6A6"/>
              <w:bottom w:val="single" w:sz="4" w:space="0" w:color="A6A6A6"/>
            </w:tcBorders>
            <w:noWrap/>
            <w:hideMark/>
          </w:tcPr>
          <w:p w14:paraId="1EA7EA54"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bottom w:val="single" w:sz="4" w:space="0" w:color="A6A6A6"/>
            </w:tcBorders>
            <w:noWrap/>
            <w:hideMark/>
          </w:tcPr>
          <w:p w14:paraId="2AD560D3" w14:textId="77777777" w:rsidR="00087B91" w:rsidRPr="002029AF" w:rsidRDefault="00087B91" w:rsidP="00C81A0B">
            <w:pPr>
              <w:pStyle w:val="ARfintablebodyright"/>
              <w:spacing w:before="30"/>
              <w:ind w:right="0"/>
            </w:pPr>
            <w:r w:rsidRPr="002029AF">
              <w:t>–</w:t>
            </w:r>
          </w:p>
        </w:tc>
        <w:tc>
          <w:tcPr>
            <w:tcW w:w="710" w:type="dxa"/>
            <w:tcBorders>
              <w:top w:val="single" w:sz="4" w:space="0" w:color="A6A6A6"/>
              <w:bottom w:val="single" w:sz="4" w:space="0" w:color="A6A6A6"/>
            </w:tcBorders>
            <w:noWrap/>
            <w:hideMark/>
          </w:tcPr>
          <w:p w14:paraId="56F03CFE" w14:textId="77777777" w:rsidR="00087B91" w:rsidRPr="002029AF" w:rsidRDefault="00087B91" w:rsidP="00C81A0B">
            <w:pPr>
              <w:pStyle w:val="ARfintablebodyright"/>
              <w:spacing w:before="30"/>
              <w:ind w:right="0"/>
            </w:pPr>
            <w:r w:rsidRPr="002029AF">
              <w:t>0.3</w:t>
            </w:r>
          </w:p>
        </w:tc>
        <w:tc>
          <w:tcPr>
            <w:tcW w:w="567" w:type="dxa"/>
            <w:tcBorders>
              <w:top w:val="single" w:sz="4" w:space="0" w:color="A6A6A6"/>
              <w:bottom w:val="single" w:sz="4" w:space="0" w:color="A6A6A6"/>
            </w:tcBorders>
            <w:noWrap/>
            <w:hideMark/>
          </w:tcPr>
          <w:p w14:paraId="5960BAE8" w14:textId="77777777" w:rsidR="00087B91" w:rsidRPr="002029AF" w:rsidRDefault="00087B91" w:rsidP="00C81A0B">
            <w:pPr>
              <w:pStyle w:val="ARfintablebodyright"/>
              <w:spacing w:before="30"/>
              <w:ind w:right="0"/>
            </w:pPr>
            <w:r w:rsidRPr="002029AF">
              <w:t>–</w:t>
            </w:r>
          </w:p>
        </w:tc>
        <w:tc>
          <w:tcPr>
            <w:tcW w:w="746" w:type="dxa"/>
            <w:tcBorders>
              <w:top w:val="single" w:sz="4" w:space="0" w:color="A6A6A6"/>
              <w:bottom w:val="single" w:sz="4" w:space="0" w:color="A6A6A6"/>
            </w:tcBorders>
            <w:noWrap/>
            <w:hideMark/>
          </w:tcPr>
          <w:p w14:paraId="6EEF3FED"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bottom w:val="single" w:sz="4" w:space="0" w:color="A6A6A6"/>
            </w:tcBorders>
            <w:noWrap/>
            <w:hideMark/>
          </w:tcPr>
          <w:p w14:paraId="6B746BA5" w14:textId="77777777" w:rsidR="00087B91" w:rsidRPr="002029AF" w:rsidRDefault="00087B91" w:rsidP="00C81A0B">
            <w:pPr>
              <w:pStyle w:val="ARfintablebodyright"/>
              <w:spacing w:before="30"/>
              <w:ind w:right="0"/>
            </w:pPr>
            <w:r w:rsidRPr="002029AF">
              <w:t>–</w:t>
            </w:r>
          </w:p>
        </w:tc>
        <w:tc>
          <w:tcPr>
            <w:tcW w:w="640" w:type="dxa"/>
            <w:tcBorders>
              <w:top w:val="single" w:sz="4" w:space="0" w:color="A6A6A6"/>
              <w:bottom w:val="single" w:sz="4" w:space="0" w:color="A6A6A6"/>
            </w:tcBorders>
            <w:noWrap/>
            <w:hideMark/>
          </w:tcPr>
          <w:p w14:paraId="6C527F37" w14:textId="77777777" w:rsidR="00087B91" w:rsidRPr="002029AF" w:rsidRDefault="00087B91" w:rsidP="00C81A0B">
            <w:pPr>
              <w:pStyle w:val="ARfintablebodyright"/>
              <w:spacing w:before="30"/>
              <w:ind w:right="0"/>
            </w:pPr>
            <w:r w:rsidRPr="002029AF">
              <w:t>–</w:t>
            </w:r>
          </w:p>
        </w:tc>
        <w:tc>
          <w:tcPr>
            <w:tcW w:w="640" w:type="dxa"/>
            <w:tcBorders>
              <w:top w:val="single" w:sz="4" w:space="0" w:color="A6A6A6"/>
              <w:bottom w:val="single" w:sz="4" w:space="0" w:color="A6A6A6"/>
            </w:tcBorders>
            <w:noWrap/>
            <w:hideMark/>
          </w:tcPr>
          <w:p w14:paraId="33E75EF0" w14:textId="77777777" w:rsidR="00087B91" w:rsidRPr="002029AF" w:rsidRDefault="00087B91" w:rsidP="00C81A0B">
            <w:pPr>
              <w:pStyle w:val="ARfintablebodyright"/>
              <w:spacing w:before="30"/>
              <w:ind w:right="0"/>
            </w:pPr>
            <w:r w:rsidRPr="002029AF">
              <w:t>–</w:t>
            </w:r>
          </w:p>
        </w:tc>
        <w:tc>
          <w:tcPr>
            <w:tcW w:w="667" w:type="dxa"/>
            <w:tcBorders>
              <w:top w:val="single" w:sz="4" w:space="0" w:color="A6A6A6"/>
              <w:bottom w:val="single" w:sz="4" w:space="0" w:color="A6A6A6"/>
            </w:tcBorders>
            <w:noWrap/>
            <w:hideMark/>
          </w:tcPr>
          <w:p w14:paraId="4E31DDB3" w14:textId="77777777" w:rsidR="00087B91" w:rsidRPr="002029AF" w:rsidRDefault="00087B91" w:rsidP="00C81A0B">
            <w:pPr>
              <w:pStyle w:val="ARfintablebodyright"/>
              <w:spacing w:before="30"/>
              <w:ind w:right="0"/>
            </w:pPr>
            <w:r w:rsidRPr="002029AF">
              <w:t>1,513.4</w:t>
            </w:r>
          </w:p>
        </w:tc>
      </w:tr>
      <w:tr w:rsidR="002A3743" w:rsidRPr="002029AF" w14:paraId="76C428ED" w14:textId="77777777" w:rsidTr="00C81A0B">
        <w:trPr>
          <w:gridAfter w:val="1"/>
          <w:wAfter w:w="88" w:type="dxa"/>
        </w:trPr>
        <w:tc>
          <w:tcPr>
            <w:tcW w:w="2263" w:type="dxa"/>
            <w:tcBorders>
              <w:top w:val="single" w:sz="4" w:space="0" w:color="A6A6A6"/>
              <w:bottom w:val="single" w:sz="4" w:space="0" w:color="A6A6A6"/>
            </w:tcBorders>
            <w:hideMark/>
          </w:tcPr>
          <w:p w14:paraId="76B0DD53" w14:textId="1BA11D58" w:rsidR="00087B91" w:rsidRPr="002029AF" w:rsidRDefault="00087B91" w:rsidP="00C81A0B">
            <w:pPr>
              <w:pStyle w:val="ARfintablebody"/>
              <w:spacing w:before="30"/>
            </w:pPr>
            <w:r w:rsidRPr="002029AF">
              <w:t>Interest</w:t>
            </w:r>
            <w:r w:rsidR="000A5329" w:rsidRPr="002029AF">
              <w:t xml:space="preserve"> </w:t>
            </w:r>
            <w:r w:rsidRPr="002029AF">
              <w:t>income</w:t>
            </w:r>
          </w:p>
        </w:tc>
        <w:tc>
          <w:tcPr>
            <w:tcW w:w="851" w:type="dxa"/>
            <w:tcBorders>
              <w:top w:val="single" w:sz="4" w:space="0" w:color="A6A6A6"/>
              <w:bottom w:val="single" w:sz="4" w:space="0" w:color="A6A6A6"/>
            </w:tcBorders>
            <w:noWrap/>
            <w:hideMark/>
          </w:tcPr>
          <w:p w14:paraId="7A27A233"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bottom w:val="single" w:sz="4" w:space="0" w:color="A6A6A6"/>
            </w:tcBorders>
            <w:noWrap/>
            <w:hideMark/>
          </w:tcPr>
          <w:p w14:paraId="5D8671D7" w14:textId="77777777" w:rsidR="00087B91" w:rsidRPr="002029AF" w:rsidRDefault="00087B91" w:rsidP="00C81A0B">
            <w:pPr>
              <w:pStyle w:val="ARfintablebodyright"/>
              <w:spacing w:before="30"/>
              <w:ind w:right="0"/>
            </w:pPr>
            <w:r w:rsidRPr="002029AF">
              <w:t>–</w:t>
            </w:r>
          </w:p>
        </w:tc>
        <w:tc>
          <w:tcPr>
            <w:tcW w:w="567" w:type="dxa"/>
            <w:tcBorders>
              <w:top w:val="single" w:sz="4" w:space="0" w:color="A6A6A6"/>
              <w:bottom w:val="single" w:sz="4" w:space="0" w:color="A6A6A6"/>
            </w:tcBorders>
            <w:noWrap/>
            <w:hideMark/>
          </w:tcPr>
          <w:p w14:paraId="09CA33EE"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bottom w:val="single" w:sz="4" w:space="0" w:color="A6A6A6"/>
            </w:tcBorders>
            <w:noWrap/>
            <w:hideMark/>
          </w:tcPr>
          <w:p w14:paraId="2D36D760" w14:textId="77777777" w:rsidR="00087B91" w:rsidRPr="002029AF" w:rsidRDefault="00087B91" w:rsidP="00C81A0B">
            <w:pPr>
              <w:pStyle w:val="ARfintablebodyright"/>
              <w:spacing w:before="30"/>
              <w:ind w:right="0"/>
            </w:pPr>
            <w:r w:rsidRPr="002029AF">
              <w:t>–</w:t>
            </w:r>
          </w:p>
        </w:tc>
        <w:tc>
          <w:tcPr>
            <w:tcW w:w="708" w:type="dxa"/>
            <w:tcBorders>
              <w:top w:val="single" w:sz="4" w:space="0" w:color="A6A6A6"/>
              <w:bottom w:val="single" w:sz="4" w:space="0" w:color="A6A6A6"/>
            </w:tcBorders>
            <w:noWrap/>
            <w:hideMark/>
          </w:tcPr>
          <w:p w14:paraId="2BF15445" w14:textId="77777777" w:rsidR="00087B91" w:rsidRPr="002029AF" w:rsidRDefault="00087B91" w:rsidP="00C81A0B">
            <w:pPr>
              <w:pStyle w:val="ARfintablebodyright"/>
              <w:spacing w:before="30"/>
              <w:ind w:right="0"/>
            </w:pPr>
            <w:r w:rsidRPr="002029AF">
              <w:t>–</w:t>
            </w:r>
          </w:p>
        </w:tc>
        <w:tc>
          <w:tcPr>
            <w:tcW w:w="567" w:type="dxa"/>
            <w:tcBorders>
              <w:top w:val="single" w:sz="4" w:space="0" w:color="A6A6A6"/>
              <w:bottom w:val="single" w:sz="4" w:space="0" w:color="A6A6A6"/>
            </w:tcBorders>
            <w:noWrap/>
            <w:hideMark/>
          </w:tcPr>
          <w:p w14:paraId="643A9F19"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bottom w:val="single" w:sz="4" w:space="0" w:color="A6A6A6"/>
            </w:tcBorders>
            <w:noWrap/>
            <w:hideMark/>
          </w:tcPr>
          <w:p w14:paraId="37F67F96"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bottom w:val="single" w:sz="4" w:space="0" w:color="A6A6A6"/>
            </w:tcBorders>
            <w:noWrap/>
            <w:hideMark/>
          </w:tcPr>
          <w:p w14:paraId="068980DA" w14:textId="77777777" w:rsidR="00087B91" w:rsidRPr="002029AF" w:rsidRDefault="00087B91" w:rsidP="00C81A0B">
            <w:pPr>
              <w:pStyle w:val="ARfintablebodyright"/>
              <w:spacing w:before="30"/>
              <w:ind w:right="0"/>
            </w:pPr>
            <w:r w:rsidRPr="002029AF">
              <w:t>–</w:t>
            </w:r>
          </w:p>
        </w:tc>
        <w:tc>
          <w:tcPr>
            <w:tcW w:w="708" w:type="dxa"/>
            <w:tcBorders>
              <w:top w:val="single" w:sz="4" w:space="0" w:color="A6A6A6"/>
              <w:bottom w:val="single" w:sz="4" w:space="0" w:color="A6A6A6"/>
            </w:tcBorders>
            <w:noWrap/>
            <w:hideMark/>
          </w:tcPr>
          <w:p w14:paraId="6420D920" w14:textId="77777777" w:rsidR="00087B91" w:rsidRPr="002029AF" w:rsidRDefault="00087B91" w:rsidP="00C81A0B">
            <w:pPr>
              <w:pStyle w:val="ARfintablebodyright"/>
              <w:spacing w:before="30"/>
              <w:ind w:right="0"/>
            </w:pPr>
            <w:r w:rsidRPr="002029AF">
              <w:t>–</w:t>
            </w:r>
          </w:p>
        </w:tc>
        <w:tc>
          <w:tcPr>
            <w:tcW w:w="708" w:type="dxa"/>
            <w:tcBorders>
              <w:top w:val="single" w:sz="4" w:space="0" w:color="A6A6A6"/>
              <w:bottom w:val="single" w:sz="4" w:space="0" w:color="A6A6A6"/>
            </w:tcBorders>
            <w:noWrap/>
            <w:hideMark/>
          </w:tcPr>
          <w:p w14:paraId="5B3687BA"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bottom w:val="single" w:sz="4" w:space="0" w:color="A6A6A6"/>
            </w:tcBorders>
            <w:noWrap/>
            <w:hideMark/>
          </w:tcPr>
          <w:p w14:paraId="5601C203" w14:textId="77777777" w:rsidR="00087B91" w:rsidRPr="002029AF" w:rsidRDefault="00087B91" w:rsidP="00C81A0B">
            <w:pPr>
              <w:pStyle w:val="ARfintablebodyright"/>
              <w:spacing w:before="30"/>
              <w:ind w:right="0"/>
            </w:pPr>
            <w:r w:rsidRPr="002029AF">
              <w:t>–</w:t>
            </w:r>
          </w:p>
        </w:tc>
        <w:tc>
          <w:tcPr>
            <w:tcW w:w="710" w:type="dxa"/>
            <w:tcBorders>
              <w:top w:val="single" w:sz="4" w:space="0" w:color="A6A6A6"/>
              <w:bottom w:val="single" w:sz="4" w:space="0" w:color="A6A6A6"/>
            </w:tcBorders>
            <w:noWrap/>
            <w:hideMark/>
          </w:tcPr>
          <w:p w14:paraId="1C7CC5F5" w14:textId="77777777" w:rsidR="00087B91" w:rsidRPr="002029AF" w:rsidRDefault="00087B91" w:rsidP="00C81A0B">
            <w:pPr>
              <w:pStyle w:val="ARfintablebodyright"/>
              <w:spacing w:before="30"/>
              <w:ind w:right="0"/>
            </w:pPr>
            <w:r w:rsidRPr="002029AF">
              <w:t>–</w:t>
            </w:r>
          </w:p>
        </w:tc>
        <w:tc>
          <w:tcPr>
            <w:tcW w:w="567" w:type="dxa"/>
            <w:tcBorders>
              <w:top w:val="single" w:sz="4" w:space="0" w:color="A6A6A6"/>
              <w:bottom w:val="single" w:sz="4" w:space="0" w:color="A6A6A6"/>
            </w:tcBorders>
            <w:noWrap/>
            <w:hideMark/>
          </w:tcPr>
          <w:p w14:paraId="79C30BD0" w14:textId="77777777" w:rsidR="00087B91" w:rsidRPr="002029AF" w:rsidRDefault="00087B91" w:rsidP="00C81A0B">
            <w:pPr>
              <w:pStyle w:val="ARfintablebodyright"/>
              <w:spacing w:before="30"/>
              <w:ind w:right="0"/>
            </w:pPr>
            <w:r w:rsidRPr="002029AF">
              <w:t>–</w:t>
            </w:r>
          </w:p>
        </w:tc>
        <w:tc>
          <w:tcPr>
            <w:tcW w:w="746" w:type="dxa"/>
            <w:tcBorders>
              <w:top w:val="single" w:sz="4" w:space="0" w:color="A6A6A6"/>
              <w:bottom w:val="single" w:sz="4" w:space="0" w:color="A6A6A6"/>
            </w:tcBorders>
            <w:noWrap/>
            <w:hideMark/>
          </w:tcPr>
          <w:p w14:paraId="4AA91329"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bottom w:val="single" w:sz="4" w:space="0" w:color="A6A6A6"/>
            </w:tcBorders>
            <w:noWrap/>
            <w:hideMark/>
          </w:tcPr>
          <w:p w14:paraId="5350FB9D" w14:textId="77777777" w:rsidR="00087B91" w:rsidRPr="002029AF" w:rsidRDefault="00087B91" w:rsidP="00C81A0B">
            <w:pPr>
              <w:pStyle w:val="ARfintablebodyright"/>
              <w:spacing w:before="30"/>
              <w:ind w:right="0"/>
            </w:pPr>
            <w:r w:rsidRPr="002029AF">
              <w:t>13.2</w:t>
            </w:r>
          </w:p>
        </w:tc>
        <w:tc>
          <w:tcPr>
            <w:tcW w:w="640" w:type="dxa"/>
            <w:tcBorders>
              <w:top w:val="single" w:sz="4" w:space="0" w:color="A6A6A6"/>
              <w:bottom w:val="single" w:sz="4" w:space="0" w:color="A6A6A6"/>
            </w:tcBorders>
            <w:noWrap/>
            <w:hideMark/>
          </w:tcPr>
          <w:p w14:paraId="64D18934" w14:textId="77777777" w:rsidR="00087B91" w:rsidRPr="002029AF" w:rsidRDefault="00087B91" w:rsidP="00C81A0B">
            <w:pPr>
              <w:pStyle w:val="ARfintablebodyright"/>
              <w:spacing w:before="30"/>
              <w:ind w:right="0"/>
            </w:pPr>
            <w:r w:rsidRPr="002029AF">
              <w:t>–</w:t>
            </w:r>
          </w:p>
        </w:tc>
        <w:tc>
          <w:tcPr>
            <w:tcW w:w="640" w:type="dxa"/>
            <w:tcBorders>
              <w:top w:val="single" w:sz="4" w:space="0" w:color="A6A6A6"/>
              <w:bottom w:val="single" w:sz="4" w:space="0" w:color="A6A6A6"/>
            </w:tcBorders>
            <w:noWrap/>
            <w:hideMark/>
          </w:tcPr>
          <w:p w14:paraId="5589818E" w14:textId="77777777" w:rsidR="00087B91" w:rsidRPr="002029AF" w:rsidRDefault="00087B91" w:rsidP="00C81A0B">
            <w:pPr>
              <w:pStyle w:val="ARfintablebodyright"/>
              <w:spacing w:before="30"/>
              <w:ind w:right="0"/>
            </w:pPr>
            <w:r w:rsidRPr="002029AF">
              <w:t>–</w:t>
            </w:r>
          </w:p>
        </w:tc>
        <w:tc>
          <w:tcPr>
            <w:tcW w:w="667" w:type="dxa"/>
            <w:tcBorders>
              <w:top w:val="single" w:sz="4" w:space="0" w:color="A6A6A6"/>
              <w:bottom w:val="single" w:sz="4" w:space="0" w:color="A6A6A6"/>
            </w:tcBorders>
            <w:noWrap/>
            <w:hideMark/>
          </w:tcPr>
          <w:p w14:paraId="173C137C" w14:textId="77777777" w:rsidR="00087B91" w:rsidRPr="002029AF" w:rsidRDefault="00087B91" w:rsidP="00C81A0B">
            <w:pPr>
              <w:pStyle w:val="ARfintablebodyright"/>
              <w:spacing w:before="30"/>
              <w:ind w:right="0"/>
            </w:pPr>
            <w:r w:rsidRPr="002029AF">
              <w:t>13.2</w:t>
            </w:r>
          </w:p>
        </w:tc>
      </w:tr>
      <w:tr w:rsidR="002A3743" w:rsidRPr="002029AF" w14:paraId="76C193D3" w14:textId="77777777" w:rsidTr="00C81A0B">
        <w:trPr>
          <w:gridAfter w:val="1"/>
          <w:wAfter w:w="88" w:type="dxa"/>
        </w:trPr>
        <w:tc>
          <w:tcPr>
            <w:tcW w:w="2263" w:type="dxa"/>
            <w:tcBorders>
              <w:top w:val="single" w:sz="4" w:space="0" w:color="A6A6A6"/>
              <w:bottom w:val="single" w:sz="4" w:space="0" w:color="A6A6A6"/>
            </w:tcBorders>
            <w:hideMark/>
          </w:tcPr>
          <w:p w14:paraId="5E6304BB" w14:textId="4F33A3EB" w:rsidR="00087B91" w:rsidRPr="002029AF" w:rsidRDefault="00087B91" w:rsidP="00C81A0B">
            <w:pPr>
              <w:pStyle w:val="ARfintablebody"/>
              <w:spacing w:before="30"/>
            </w:pPr>
            <w:r w:rsidRPr="002029AF">
              <w:t>Rental</w:t>
            </w:r>
            <w:r w:rsidR="000A5329" w:rsidRPr="002029AF">
              <w:t xml:space="preserve"> </w:t>
            </w:r>
            <w:r w:rsidRPr="002029AF">
              <w:t>income</w:t>
            </w:r>
            <w:r w:rsidR="000A5329" w:rsidRPr="002029AF">
              <w:t xml:space="preserve"> </w:t>
            </w:r>
            <w:r w:rsidRPr="002029AF">
              <w:t>and</w:t>
            </w:r>
            <w:r w:rsidR="000A5329" w:rsidRPr="002029AF">
              <w:t xml:space="preserve"> </w:t>
            </w:r>
            <w:r w:rsidRPr="002029AF">
              <w:t>income</w:t>
            </w:r>
            <w:r w:rsidR="000A5329" w:rsidRPr="002029AF">
              <w:t xml:space="preserve"> </w:t>
            </w:r>
            <w:r w:rsidRPr="002029AF">
              <w:t>from</w:t>
            </w:r>
            <w:r w:rsidR="000A5329" w:rsidRPr="002029AF">
              <w:t xml:space="preserve"> </w:t>
            </w:r>
            <w:r w:rsidRPr="002029AF">
              <w:t>services</w:t>
            </w:r>
          </w:p>
        </w:tc>
        <w:tc>
          <w:tcPr>
            <w:tcW w:w="851" w:type="dxa"/>
            <w:tcBorders>
              <w:top w:val="single" w:sz="4" w:space="0" w:color="A6A6A6"/>
              <w:bottom w:val="single" w:sz="4" w:space="0" w:color="A6A6A6"/>
            </w:tcBorders>
            <w:noWrap/>
            <w:hideMark/>
          </w:tcPr>
          <w:p w14:paraId="17B964DC"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bottom w:val="single" w:sz="4" w:space="0" w:color="A6A6A6"/>
            </w:tcBorders>
            <w:noWrap/>
            <w:hideMark/>
          </w:tcPr>
          <w:p w14:paraId="3E5F071E" w14:textId="77777777" w:rsidR="00087B91" w:rsidRPr="002029AF" w:rsidRDefault="00087B91" w:rsidP="00C81A0B">
            <w:pPr>
              <w:pStyle w:val="ARfintablebodyright"/>
              <w:spacing w:before="30"/>
              <w:ind w:right="0"/>
            </w:pPr>
            <w:r w:rsidRPr="002029AF">
              <w:t>–</w:t>
            </w:r>
          </w:p>
        </w:tc>
        <w:tc>
          <w:tcPr>
            <w:tcW w:w="567" w:type="dxa"/>
            <w:tcBorders>
              <w:top w:val="single" w:sz="4" w:space="0" w:color="A6A6A6"/>
              <w:bottom w:val="single" w:sz="4" w:space="0" w:color="A6A6A6"/>
            </w:tcBorders>
            <w:noWrap/>
            <w:hideMark/>
          </w:tcPr>
          <w:p w14:paraId="5EA0D068"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bottom w:val="single" w:sz="4" w:space="0" w:color="A6A6A6"/>
            </w:tcBorders>
            <w:noWrap/>
            <w:hideMark/>
          </w:tcPr>
          <w:p w14:paraId="5A67FCB2" w14:textId="77777777" w:rsidR="00087B91" w:rsidRPr="002029AF" w:rsidRDefault="00087B91" w:rsidP="00C81A0B">
            <w:pPr>
              <w:pStyle w:val="ARfintablebodyright"/>
              <w:spacing w:before="30"/>
              <w:ind w:right="0"/>
            </w:pPr>
            <w:r w:rsidRPr="002029AF">
              <w:t>–</w:t>
            </w:r>
          </w:p>
        </w:tc>
        <w:tc>
          <w:tcPr>
            <w:tcW w:w="708" w:type="dxa"/>
            <w:tcBorders>
              <w:top w:val="single" w:sz="4" w:space="0" w:color="A6A6A6"/>
              <w:bottom w:val="single" w:sz="4" w:space="0" w:color="A6A6A6"/>
            </w:tcBorders>
            <w:noWrap/>
            <w:hideMark/>
          </w:tcPr>
          <w:p w14:paraId="62562D7A" w14:textId="77777777" w:rsidR="00087B91" w:rsidRPr="002029AF" w:rsidRDefault="00087B91" w:rsidP="00C81A0B">
            <w:pPr>
              <w:pStyle w:val="ARfintablebodyright"/>
              <w:spacing w:before="30"/>
              <w:ind w:right="0"/>
            </w:pPr>
            <w:r w:rsidRPr="002029AF">
              <w:t>–</w:t>
            </w:r>
          </w:p>
        </w:tc>
        <w:tc>
          <w:tcPr>
            <w:tcW w:w="567" w:type="dxa"/>
            <w:tcBorders>
              <w:top w:val="single" w:sz="4" w:space="0" w:color="A6A6A6"/>
              <w:bottom w:val="single" w:sz="4" w:space="0" w:color="A6A6A6"/>
            </w:tcBorders>
            <w:noWrap/>
            <w:hideMark/>
          </w:tcPr>
          <w:p w14:paraId="1F1B81FB"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bottom w:val="single" w:sz="4" w:space="0" w:color="A6A6A6"/>
            </w:tcBorders>
            <w:noWrap/>
            <w:hideMark/>
          </w:tcPr>
          <w:p w14:paraId="7D5639CB"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bottom w:val="single" w:sz="4" w:space="0" w:color="A6A6A6"/>
            </w:tcBorders>
            <w:noWrap/>
            <w:hideMark/>
          </w:tcPr>
          <w:p w14:paraId="6FF4291D" w14:textId="77777777" w:rsidR="00087B91" w:rsidRPr="002029AF" w:rsidRDefault="00087B91" w:rsidP="00C81A0B">
            <w:pPr>
              <w:pStyle w:val="ARfintablebodyright"/>
              <w:spacing w:before="30"/>
              <w:ind w:right="0"/>
            </w:pPr>
            <w:r w:rsidRPr="002029AF">
              <w:t>–</w:t>
            </w:r>
          </w:p>
        </w:tc>
        <w:tc>
          <w:tcPr>
            <w:tcW w:w="708" w:type="dxa"/>
            <w:tcBorders>
              <w:top w:val="single" w:sz="4" w:space="0" w:color="A6A6A6"/>
              <w:bottom w:val="single" w:sz="4" w:space="0" w:color="A6A6A6"/>
            </w:tcBorders>
            <w:noWrap/>
            <w:hideMark/>
          </w:tcPr>
          <w:p w14:paraId="04DA2DDB" w14:textId="77777777" w:rsidR="00087B91" w:rsidRPr="002029AF" w:rsidRDefault="00087B91" w:rsidP="00C81A0B">
            <w:pPr>
              <w:pStyle w:val="ARfintablebodyright"/>
              <w:spacing w:before="30"/>
              <w:ind w:right="0"/>
            </w:pPr>
            <w:r w:rsidRPr="002029AF">
              <w:t>–</w:t>
            </w:r>
          </w:p>
        </w:tc>
        <w:tc>
          <w:tcPr>
            <w:tcW w:w="708" w:type="dxa"/>
            <w:tcBorders>
              <w:top w:val="single" w:sz="4" w:space="0" w:color="A6A6A6"/>
              <w:bottom w:val="single" w:sz="4" w:space="0" w:color="A6A6A6"/>
            </w:tcBorders>
            <w:noWrap/>
            <w:hideMark/>
          </w:tcPr>
          <w:p w14:paraId="411DE8D3"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bottom w:val="single" w:sz="4" w:space="0" w:color="A6A6A6"/>
            </w:tcBorders>
            <w:noWrap/>
            <w:hideMark/>
          </w:tcPr>
          <w:p w14:paraId="3379BE52" w14:textId="77777777" w:rsidR="00087B91" w:rsidRPr="002029AF" w:rsidRDefault="00087B91" w:rsidP="00C81A0B">
            <w:pPr>
              <w:pStyle w:val="ARfintablebodyright"/>
              <w:spacing w:before="30"/>
              <w:ind w:right="0"/>
            </w:pPr>
            <w:r w:rsidRPr="002029AF">
              <w:t>–</w:t>
            </w:r>
          </w:p>
        </w:tc>
        <w:tc>
          <w:tcPr>
            <w:tcW w:w="710" w:type="dxa"/>
            <w:tcBorders>
              <w:top w:val="single" w:sz="4" w:space="0" w:color="A6A6A6"/>
              <w:bottom w:val="single" w:sz="4" w:space="0" w:color="A6A6A6"/>
            </w:tcBorders>
            <w:noWrap/>
            <w:hideMark/>
          </w:tcPr>
          <w:p w14:paraId="60871732" w14:textId="77777777" w:rsidR="00087B91" w:rsidRPr="002029AF" w:rsidRDefault="00087B91" w:rsidP="00C81A0B">
            <w:pPr>
              <w:pStyle w:val="ARfintablebodyright"/>
              <w:spacing w:before="30"/>
              <w:ind w:right="0"/>
            </w:pPr>
            <w:r w:rsidRPr="002029AF">
              <w:t>–</w:t>
            </w:r>
          </w:p>
        </w:tc>
        <w:tc>
          <w:tcPr>
            <w:tcW w:w="567" w:type="dxa"/>
            <w:tcBorders>
              <w:top w:val="single" w:sz="4" w:space="0" w:color="A6A6A6"/>
              <w:bottom w:val="single" w:sz="4" w:space="0" w:color="A6A6A6"/>
            </w:tcBorders>
            <w:noWrap/>
            <w:hideMark/>
          </w:tcPr>
          <w:p w14:paraId="3991B6FA" w14:textId="77777777" w:rsidR="00087B91" w:rsidRPr="002029AF" w:rsidRDefault="00087B91" w:rsidP="00C81A0B">
            <w:pPr>
              <w:pStyle w:val="ARfintablebodyright"/>
              <w:spacing w:before="30"/>
              <w:ind w:right="0"/>
            </w:pPr>
            <w:r w:rsidRPr="002029AF">
              <w:t>–</w:t>
            </w:r>
          </w:p>
        </w:tc>
        <w:tc>
          <w:tcPr>
            <w:tcW w:w="746" w:type="dxa"/>
            <w:tcBorders>
              <w:top w:val="single" w:sz="4" w:space="0" w:color="A6A6A6"/>
              <w:bottom w:val="single" w:sz="4" w:space="0" w:color="A6A6A6"/>
            </w:tcBorders>
            <w:noWrap/>
            <w:hideMark/>
          </w:tcPr>
          <w:p w14:paraId="2625582F"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bottom w:val="single" w:sz="4" w:space="0" w:color="A6A6A6"/>
            </w:tcBorders>
            <w:noWrap/>
            <w:hideMark/>
          </w:tcPr>
          <w:p w14:paraId="01B4C1DE" w14:textId="77777777" w:rsidR="00087B91" w:rsidRPr="002029AF" w:rsidRDefault="00087B91" w:rsidP="00C81A0B">
            <w:pPr>
              <w:pStyle w:val="ARfintablebodyright"/>
              <w:spacing w:before="30"/>
              <w:ind w:right="0"/>
            </w:pPr>
            <w:r w:rsidRPr="002029AF">
              <w:t>491.1</w:t>
            </w:r>
          </w:p>
        </w:tc>
        <w:tc>
          <w:tcPr>
            <w:tcW w:w="640" w:type="dxa"/>
            <w:tcBorders>
              <w:top w:val="single" w:sz="4" w:space="0" w:color="A6A6A6"/>
              <w:bottom w:val="single" w:sz="4" w:space="0" w:color="A6A6A6"/>
            </w:tcBorders>
            <w:noWrap/>
            <w:hideMark/>
          </w:tcPr>
          <w:p w14:paraId="0E7E1D5F" w14:textId="77777777" w:rsidR="00087B91" w:rsidRPr="002029AF" w:rsidRDefault="00087B91" w:rsidP="00C81A0B">
            <w:pPr>
              <w:pStyle w:val="ARfintablebodyright"/>
              <w:spacing w:before="30"/>
              <w:ind w:right="0"/>
            </w:pPr>
            <w:r w:rsidRPr="002029AF">
              <w:t>–</w:t>
            </w:r>
          </w:p>
        </w:tc>
        <w:tc>
          <w:tcPr>
            <w:tcW w:w="640" w:type="dxa"/>
            <w:tcBorders>
              <w:top w:val="single" w:sz="4" w:space="0" w:color="A6A6A6"/>
              <w:bottom w:val="single" w:sz="4" w:space="0" w:color="A6A6A6"/>
            </w:tcBorders>
            <w:noWrap/>
            <w:hideMark/>
          </w:tcPr>
          <w:p w14:paraId="17397013" w14:textId="77777777" w:rsidR="00087B91" w:rsidRPr="002029AF" w:rsidRDefault="00087B91" w:rsidP="00C81A0B">
            <w:pPr>
              <w:pStyle w:val="ARfintablebodyright"/>
              <w:spacing w:before="30"/>
              <w:ind w:right="0"/>
            </w:pPr>
            <w:r w:rsidRPr="002029AF">
              <w:t>–</w:t>
            </w:r>
          </w:p>
        </w:tc>
        <w:tc>
          <w:tcPr>
            <w:tcW w:w="667" w:type="dxa"/>
            <w:tcBorders>
              <w:top w:val="single" w:sz="4" w:space="0" w:color="A6A6A6"/>
              <w:bottom w:val="single" w:sz="4" w:space="0" w:color="A6A6A6"/>
            </w:tcBorders>
            <w:noWrap/>
            <w:hideMark/>
          </w:tcPr>
          <w:p w14:paraId="118D59FA" w14:textId="77777777" w:rsidR="00087B91" w:rsidRPr="002029AF" w:rsidRDefault="00087B91" w:rsidP="00C81A0B">
            <w:pPr>
              <w:pStyle w:val="ARfintablebodyright"/>
              <w:spacing w:before="30"/>
              <w:ind w:right="0"/>
            </w:pPr>
            <w:r w:rsidRPr="002029AF">
              <w:t>491.1</w:t>
            </w:r>
          </w:p>
        </w:tc>
      </w:tr>
      <w:tr w:rsidR="002A3743" w:rsidRPr="002029AF" w14:paraId="19DE58A9" w14:textId="77777777" w:rsidTr="00C81A0B">
        <w:trPr>
          <w:gridAfter w:val="1"/>
          <w:wAfter w:w="88" w:type="dxa"/>
        </w:trPr>
        <w:tc>
          <w:tcPr>
            <w:tcW w:w="2263" w:type="dxa"/>
            <w:tcBorders>
              <w:top w:val="single" w:sz="4" w:space="0" w:color="A6A6A6"/>
              <w:bottom w:val="single" w:sz="4" w:space="0" w:color="A6A6A6"/>
            </w:tcBorders>
            <w:hideMark/>
          </w:tcPr>
          <w:p w14:paraId="7B50F4D8" w14:textId="4EDF4B39" w:rsidR="00087B91" w:rsidRPr="002029AF" w:rsidRDefault="00087B91" w:rsidP="00C81A0B">
            <w:pPr>
              <w:pStyle w:val="ARfintablebody"/>
              <w:spacing w:before="30"/>
            </w:pPr>
            <w:r w:rsidRPr="002029AF">
              <w:t>Grants</w:t>
            </w:r>
            <w:r w:rsidR="000A5329" w:rsidRPr="002029AF">
              <w:t xml:space="preserve"> </w:t>
            </w:r>
            <w:r w:rsidRPr="002029AF">
              <w:t>and</w:t>
            </w:r>
            <w:r w:rsidR="000A5329" w:rsidRPr="002029AF">
              <w:t xml:space="preserve"> </w:t>
            </w:r>
            <w:r w:rsidRPr="002029AF">
              <w:t>other</w:t>
            </w:r>
            <w:r w:rsidR="000A5329" w:rsidRPr="002029AF">
              <w:t xml:space="preserve"> </w:t>
            </w:r>
            <w:r w:rsidRPr="002029AF">
              <w:t>income</w:t>
            </w:r>
            <w:r w:rsidR="000A5329" w:rsidRPr="002029AF">
              <w:t xml:space="preserve"> </w:t>
            </w:r>
            <w:r w:rsidRPr="002029AF">
              <w:t>transfers</w:t>
            </w:r>
          </w:p>
        </w:tc>
        <w:tc>
          <w:tcPr>
            <w:tcW w:w="851" w:type="dxa"/>
            <w:tcBorders>
              <w:top w:val="single" w:sz="4" w:space="0" w:color="A6A6A6"/>
              <w:bottom w:val="single" w:sz="4" w:space="0" w:color="A6A6A6"/>
            </w:tcBorders>
            <w:noWrap/>
            <w:hideMark/>
          </w:tcPr>
          <w:p w14:paraId="6BCDF196" w14:textId="77777777" w:rsidR="00087B91" w:rsidRPr="002029AF" w:rsidRDefault="00087B91" w:rsidP="00C81A0B">
            <w:pPr>
              <w:pStyle w:val="ARfintablebodyright"/>
              <w:spacing w:before="30"/>
              <w:ind w:right="0"/>
            </w:pPr>
            <w:r w:rsidRPr="002029AF">
              <w:t>416.8</w:t>
            </w:r>
          </w:p>
        </w:tc>
        <w:tc>
          <w:tcPr>
            <w:tcW w:w="709" w:type="dxa"/>
            <w:tcBorders>
              <w:top w:val="single" w:sz="4" w:space="0" w:color="A6A6A6"/>
              <w:bottom w:val="single" w:sz="4" w:space="0" w:color="A6A6A6"/>
            </w:tcBorders>
            <w:noWrap/>
            <w:hideMark/>
          </w:tcPr>
          <w:p w14:paraId="56B9EFB7" w14:textId="77777777" w:rsidR="00087B91" w:rsidRPr="002029AF" w:rsidRDefault="00087B91" w:rsidP="00C81A0B">
            <w:pPr>
              <w:pStyle w:val="ARfintablebodyright"/>
              <w:spacing w:before="30"/>
              <w:ind w:right="0"/>
            </w:pPr>
            <w:r w:rsidRPr="002029AF">
              <w:t>5.7</w:t>
            </w:r>
          </w:p>
        </w:tc>
        <w:tc>
          <w:tcPr>
            <w:tcW w:w="567" w:type="dxa"/>
            <w:tcBorders>
              <w:top w:val="single" w:sz="4" w:space="0" w:color="A6A6A6"/>
              <w:bottom w:val="single" w:sz="4" w:space="0" w:color="A6A6A6"/>
            </w:tcBorders>
            <w:noWrap/>
            <w:hideMark/>
          </w:tcPr>
          <w:p w14:paraId="362E32CC" w14:textId="77777777" w:rsidR="00087B91" w:rsidRPr="002029AF" w:rsidRDefault="00087B91" w:rsidP="00C81A0B">
            <w:pPr>
              <w:pStyle w:val="ARfintablebodyright"/>
              <w:spacing w:before="30"/>
              <w:ind w:right="0"/>
            </w:pPr>
            <w:r w:rsidRPr="002029AF">
              <w:t>400.9</w:t>
            </w:r>
          </w:p>
        </w:tc>
        <w:tc>
          <w:tcPr>
            <w:tcW w:w="709" w:type="dxa"/>
            <w:tcBorders>
              <w:top w:val="single" w:sz="4" w:space="0" w:color="A6A6A6"/>
              <w:bottom w:val="single" w:sz="4" w:space="0" w:color="A6A6A6"/>
            </w:tcBorders>
            <w:noWrap/>
            <w:hideMark/>
          </w:tcPr>
          <w:p w14:paraId="255F847E" w14:textId="77777777" w:rsidR="00087B91" w:rsidRPr="002029AF" w:rsidRDefault="00087B91" w:rsidP="00C81A0B">
            <w:pPr>
              <w:pStyle w:val="ARfintablebodyright"/>
              <w:spacing w:before="30"/>
              <w:ind w:right="0"/>
            </w:pPr>
            <w:r w:rsidRPr="002029AF">
              <w:t>0.9</w:t>
            </w:r>
          </w:p>
        </w:tc>
        <w:tc>
          <w:tcPr>
            <w:tcW w:w="708" w:type="dxa"/>
            <w:tcBorders>
              <w:top w:val="single" w:sz="4" w:space="0" w:color="A6A6A6"/>
              <w:bottom w:val="single" w:sz="4" w:space="0" w:color="A6A6A6"/>
            </w:tcBorders>
            <w:noWrap/>
            <w:hideMark/>
          </w:tcPr>
          <w:p w14:paraId="5C6A9B15" w14:textId="77777777" w:rsidR="00087B91" w:rsidRPr="002029AF" w:rsidRDefault="00087B91" w:rsidP="00C81A0B">
            <w:pPr>
              <w:pStyle w:val="ARfintablebodyright"/>
              <w:spacing w:before="30"/>
              <w:ind w:right="0"/>
            </w:pPr>
            <w:r w:rsidRPr="002029AF">
              <w:t>–</w:t>
            </w:r>
          </w:p>
        </w:tc>
        <w:tc>
          <w:tcPr>
            <w:tcW w:w="567" w:type="dxa"/>
            <w:tcBorders>
              <w:top w:val="single" w:sz="4" w:space="0" w:color="A6A6A6"/>
              <w:bottom w:val="single" w:sz="4" w:space="0" w:color="A6A6A6"/>
            </w:tcBorders>
            <w:noWrap/>
            <w:hideMark/>
          </w:tcPr>
          <w:p w14:paraId="00CC4F25" w14:textId="77777777" w:rsidR="00087B91" w:rsidRPr="002029AF" w:rsidRDefault="00087B91" w:rsidP="00C81A0B">
            <w:pPr>
              <w:pStyle w:val="ARfintablebodyright"/>
              <w:spacing w:before="30"/>
              <w:ind w:right="0"/>
            </w:pPr>
            <w:r w:rsidRPr="002029AF">
              <w:t>92.1</w:t>
            </w:r>
          </w:p>
        </w:tc>
        <w:tc>
          <w:tcPr>
            <w:tcW w:w="709" w:type="dxa"/>
            <w:tcBorders>
              <w:top w:val="single" w:sz="4" w:space="0" w:color="A6A6A6"/>
              <w:bottom w:val="single" w:sz="4" w:space="0" w:color="A6A6A6"/>
            </w:tcBorders>
            <w:noWrap/>
            <w:hideMark/>
          </w:tcPr>
          <w:p w14:paraId="3905021A" w14:textId="77777777" w:rsidR="00087B91" w:rsidRPr="002029AF" w:rsidRDefault="00087B91" w:rsidP="00C81A0B">
            <w:pPr>
              <w:pStyle w:val="ARfintablebodyright"/>
              <w:spacing w:before="30"/>
              <w:ind w:right="0"/>
            </w:pPr>
            <w:r w:rsidRPr="002029AF">
              <w:t>147.5</w:t>
            </w:r>
          </w:p>
        </w:tc>
        <w:tc>
          <w:tcPr>
            <w:tcW w:w="709" w:type="dxa"/>
            <w:tcBorders>
              <w:top w:val="single" w:sz="4" w:space="0" w:color="A6A6A6"/>
              <w:bottom w:val="single" w:sz="4" w:space="0" w:color="A6A6A6"/>
            </w:tcBorders>
            <w:noWrap/>
            <w:hideMark/>
          </w:tcPr>
          <w:p w14:paraId="102E7A1D" w14:textId="77777777" w:rsidR="00087B91" w:rsidRPr="002029AF" w:rsidRDefault="00087B91" w:rsidP="00C81A0B">
            <w:pPr>
              <w:pStyle w:val="ARfintablebodyright"/>
              <w:spacing w:before="30"/>
              <w:ind w:right="0"/>
            </w:pPr>
            <w:r w:rsidRPr="002029AF">
              <w:t>87.3</w:t>
            </w:r>
          </w:p>
        </w:tc>
        <w:tc>
          <w:tcPr>
            <w:tcW w:w="708" w:type="dxa"/>
            <w:tcBorders>
              <w:top w:val="single" w:sz="4" w:space="0" w:color="A6A6A6"/>
              <w:bottom w:val="single" w:sz="4" w:space="0" w:color="A6A6A6"/>
            </w:tcBorders>
            <w:noWrap/>
            <w:hideMark/>
          </w:tcPr>
          <w:p w14:paraId="620F613B" w14:textId="77777777" w:rsidR="00087B91" w:rsidRPr="002029AF" w:rsidRDefault="00087B91" w:rsidP="00C81A0B">
            <w:pPr>
              <w:pStyle w:val="ARfintablebodyright"/>
              <w:spacing w:before="30"/>
              <w:ind w:right="0"/>
            </w:pPr>
            <w:r w:rsidRPr="002029AF">
              <w:t>4.4</w:t>
            </w:r>
          </w:p>
        </w:tc>
        <w:tc>
          <w:tcPr>
            <w:tcW w:w="708" w:type="dxa"/>
            <w:tcBorders>
              <w:top w:val="single" w:sz="4" w:space="0" w:color="A6A6A6"/>
              <w:bottom w:val="single" w:sz="4" w:space="0" w:color="A6A6A6"/>
            </w:tcBorders>
            <w:noWrap/>
            <w:hideMark/>
          </w:tcPr>
          <w:p w14:paraId="03120534" w14:textId="77777777" w:rsidR="00087B91" w:rsidRPr="002029AF" w:rsidRDefault="00087B91" w:rsidP="00C81A0B">
            <w:pPr>
              <w:pStyle w:val="ARfintablebodyright"/>
              <w:spacing w:before="30"/>
              <w:ind w:right="0"/>
            </w:pPr>
            <w:r w:rsidRPr="002029AF">
              <w:t>9.6</w:t>
            </w:r>
          </w:p>
        </w:tc>
        <w:tc>
          <w:tcPr>
            <w:tcW w:w="709" w:type="dxa"/>
            <w:tcBorders>
              <w:top w:val="single" w:sz="4" w:space="0" w:color="A6A6A6"/>
              <w:bottom w:val="single" w:sz="4" w:space="0" w:color="A6A6A6"/>
            </w:tcBorders>
            <w:noWrap/>
            <w:hideMark/>
          </w:tcPr>
          <w:p w14:paraId="655E5D87" w14:textId="77777777" w:rsidR="00087B91" w:rsidRPr="002029AF" w:rsidRDefault="00087B91" w:rsidP="00C81A0B">
            <w:pPr>
              <w:pStyle w:val="ARfintablebodyright"/>
              <w:spacing w:before="30"/>
              <w:ind w:right="0"/>
            </w:pPr>
            <w:r w:rsidRPr="002029AF">
              <w:t>–</w:t>
            </w:r>
          </w:p>
        </w:tc>
        <w:tc>
          <w:tcPr>
            <w:tcW w:w="710" w:type="dxa"/>
            <w:tcBorders>
              <w:top w:val="single" w:sz="4" w:space="0" w:color="A6A6A6"/>
              <w:bottom w:val="single" w:sz="4" w:space="0" w:color="A6A6A6"/>
            </w:tcBorders>
            <w:noWrap/>
            <w:hideMark/>
          </w:tcPr>
          <w:p w14:paraId="7036E261" w14:textId="77777777" w:rsidR="00087B91" w:rsidRPr="002029AF" w:rsidRDefault="00087B91" w:rsidP="00C81A0B">
            <w:pPr>
              <w:pStyle w:val="ARfintablebodyright"/>
              <w:spacing w:before="30"/>
              <w:ind w:right="0"/>
            </w:pPr>
            <w:r w:rsidRPr="002029AF">
              <w:t>2.2</w:t>
            </w:r>
          </w:p>
        </w:tc>
        <w:tc>
          <w:tcPr>
            <w:tcW w:w="567" w:type="dxa"/>
            <w:tcBorders>
              <w:top w:val="single" w:sz="4" w:space="0" w:color="A6A6A6"/>
              <w:bottom w:val="single" w:sz="4" w:space="0" w:color="A6A6A6"/>
            </w:tcBorders>
            <w:noWrap/>
            <w:hideMark/>
          </w:tcPr>
          <w:p w14:paraId="04978805" w14:textId="77777777" w:rsidR="00087B91" w:rsidRPr="002029AF" w:rsidRDefault="00087B91" w:rsidP="00C81A0B">
            <w:pPr>
              <w:pStyle w:val="ARfintablebodyright"/>
              <w:spacing w:before="30"/>
              <w:ind w:right="0"/>
            </w:pPr>
            <w:r w:rsidRPr="002029AF">
              <w:t>–</w:t>
            </w:r>
          </w:p>
        </w:tc>
        <w:tc>
          <w:tcPr>
            <w:tcW w:w="746" w:type="dxa"/>
            <w:tcBorders>
              <w:top w:val="single" w:sz="4" w:space="0" w:color="A6A6A6"/>
              <w:bottom w:val="single" w:sz="4" w:space="0" w:color="A6A6A6"/>
            </w:tcBorders>
            <w:noWrap/>
            <w:hideMark/>
          </w:tcPr>
          <w:p w14:paraId="4449E722" w14:textId="77777777" w:rsidR="00087B91" w:rsidRPr="002029AF" w:rsidRDefault="00087B91" w:rsidP="00C81A0B">
            <w:pPr>
              <w:pStyle w:val="ARfintablebodyright"/>
              <w:spacing w:before="30"/>
              <w:ind w:right="0"/>
            </w:pPr>
            <w:r w:rsidRPr="002029AF">
              <w:t>18.8</w:t>
            </w:r>
          </w:p>
        </w:tc>
        <w:tc>
          <w:tcPr>
            <w:tcW w:w="709" w:type="dxa"/>
            <w:tcBorders>
              <w:top w:val="single" w:sz="4" w:space="0" w:color="A6A6A6"/>
              <w:bottom w:val="single" w:sz="4" w:space="0" w:color="A6A6A6"/>
            </w:tcBorders>
            <w:noWrap/>
            <w:hideMark/>
          </w:tcPr>
          <w:p w14:paraId="6234C97C" w14:textId="77777777" w:rsidR="00087B91" w:rsidRPr="002029AF" w:rsidRDefault="00087B91" w:rsidP="00C81A0B">
            <w:pPr>
              <w:pStyle w:val="ARfintablebodyright"/>
              <w:spacing w:before="30"/>
              <w:ind w:right="0"/>
            </w:pPr>
            <w:r w:rsidRPr="002029AF">
              <w:t>11.4</w:t>
            </w:r>
          </w:p>
        </w:tc>
        <w:tc>
          <w:tcPr>
            <w:tcW w:w="640" w:type="dxa"/>
            <w:tcBorders>
              <w:top w:val="single" w:sz="4" w:space="0" w:color="A6A6A6"/>
              <w:bottom w:val="single" w:sz="4" w:space="0" w:color="A6A6A6"/>
            </w:tcBorders>
            <w:noWrap/>
            <w:hideMark/>
          </w:tcPr>
          <w:p w14:paraId="1E22747D" w14:textId="77777777" w:rsidR="00087B91" w:rsidRPr="002029AF" w:rsidRDefault="00087B91" w:rsidP="00C81A0B">
            <w:pPr>
              <w:pStyle w:val="ARfintablebodyright"/>
              <w:spacing w:before="30"/>
              <w:ind w:right="0"/>
            </w:pPr>
            <w:r w:rsidRPr="002029AF">
              <w:t>2.4</w:t>
            </w:r>
          </w:p>
        </w:tc>
        <w:tc>
          <w:tcPr>
            <w:tcW w:w="640" w:type="dxa"/>
            <w:tcBorders>
              <w:top w:val="single" w:sz="4" w:space="0" w:color="A6A6A6"/>
              <w:bottom w:val="single" w:sz="4" w:space="0" w:color="A6A6A6"/>
            </w:tcBorders>
            <w:noWrap/>
            <w:hideMark/>
          </w:tcPr>
          <w:p w14:paraId="2ADB9C1B" w14:textId="77777777" w:rsidR="00087B91" w:rsidRPr="002029AF" w:rsidRDefault="00087B91" w:rsidP="00C81A0B">
            <w:pPr>
              <w:pStyle w:val="ARfintablebodyright"/>
              <w:spacing w:before="30"/>
              <w:ind w:right="0"/>
            </w:pPr>
            <w:r w:rsidRPr="002029AF">
              <w:t>(9.5)</w:t>
            </w:r>
          </w:p>
        </w:tc>
        <w:tc>
          <w:tcPr>
            <w:tcW w:w="667" w:type="dxa"/>
            <w:tcBorders>
              <w:top w:val="single" w:sz="4" w:space="0" w:color="A6A6A6"/>
              <w:bottom w:val="single" w:sz="4" w:space="0" w:color="A6A6A6"/>
            </w:tcBorders>
            <w:noWrap/>
            <w:hideMark/>
          </w:tcPr>
          <w:p w14:paraId="4600703B" w14:textId="77777777" w:rsidR="00087B91" w:rsidRPr="002029AF" w:rsidRDefault="00087B91" w:rsidP="00C81A0B">
            <w:pPr>
              <w:pStyle w:val="ARfintablebodyright"/>
              <w:spacing w:before="30"/>
              <w:ind w:right="0"/>
            </w:pPr>
            <w:r w:rsidRPr="002029AF">
              <w:t>1,190.6</w:t>
            </w:r>
          </w:p>
        </w:tc>
      </w:tr>
      <w:tr w:rsidR="002A3743" w:rsidRPr="002029AF" w14:paraId="1ED3F9EE" w14:textId="77777777" w:rsidTr="00C81A0B">
        <w:trPr>
          <w:gridAfter w:val="1"/>
          <w:wAfter w:w="88" w:type="dxa"/>
        </w:trPr>
        <w:tc>
          <w:tcPr>
            <w:tcW w:w="2263" w:type="dxa"/>
            <w:tcBorders>
              <w:top w:val="single" w:sz="4" w:space="0" w:color="A6A6A6"/>
              <w:bottom w:val="single" w:sz="4" w:space="0" w:color="A6A6A6"/>
            </w:tcBorders>
            <w:hideMark/>
          </w:tcPr>
          <w:p w14:paraId="01FBFAFA" w14:textId="0F5EC538" w:rsidR="00087B91" w:rsidRPr="002029AF" w:rsidRDefault="00087B91" w:rsidP="00C81A0B">
            <w:pPr>
              <w:pStyle w:val="ARfintablebody"/>
              <w:spacing w:before="30"/>
            </w:pPr>
            <w:r w:rsidRPr="002029AF">
              <w:t>Other</w:t>
            </w:r>
            <w:r w:rsidR="000A5329" w:rsidRPr="002029AF">
              <w:t xml:space="preserve"> </w:t>
            </w:r>
            <w:r w:rsidRPr="002029AF">
              <w:t>revenue</w:t>
            </w:r>
            <w:r w:rsidR="000A5329" w:rsidRPr="002029AF">
              <w:t xml:space="preserve"> </w:t>
            </w:r>
            <w:r w:rsidRPr="002029AF">
              <w:t>and</w:t>
            </w:r>
            <w:r w:rsidR="000A5329" w:rsidRPr="002029AF">
              <w:t xml:space="preserve"> </w:t>
            </w:r>
            <w:r w:rsidRPr="002029AF">
              <w:t>income</w:t>
            </w:r>
          </w:p>
        </w:tc>
        <w:tc>
          <w:tcPr>
            <w:tcW w:w="851" w:type="dxa"/>
            <w:tcBorders>
              <w:top w:val="single" w:sz="4" w:space="0" w:color="A6A6A6"/>
              <w:bottom w:val="single" w:sz="4" w:space="0" w:color="A6A6A6"/>
            </w:tcBorders>
            <w:noWrap/>
            <w:hideMark/>
          </w:tcPr>
          <w:p w14:paraId="3AD80969" w14:textId="77777777" w:rsidR="00087B91" w:rsidRPr="002029AF" w:rsidRDefault="00087B91" w:rsidP="00C81A0B">
            <w:pPr>
              <w:pStyle w:val="ARfintablebodyright"/>
              <w:spacing w:before="30"/>
              <w:ind w:right="0"/>
            </w:pPr>
            <w:r w:rsidRPr="002029AF">
              <w:t>6.5</w:t>
            </w:r>
          </w:p>
        </w:tc>
        <w:tc>
          <w:tcPr>
            <w:tcW w:w="709" w:type="dxa"/>
            <w:tcBorders>
              <w:top w:val="single" w:sz="4" w:space="0" w:color="A6A6A6"/>
              <w:bottom w:val="single" w:sz="4" w:space="0" w:color="A6A6A6"/>
            </w:tcBorders>
            <w:noWrap/>
            <w:hideMark/>
          </w:tcPr>
          <w:p w14:paraId="0CEDCAA8" w14:textId="77777777" w:rsidR="00087B91" w:rsidRPr="002029AF" w:rsidRDefault="00087B91" w:rsidP="00C81A0B">
            <w:pPr>
              <w:pStyle w:val="ARfintablebodyright"/>
              <w:spacing w:before="30"/>
              <w:ind w:right="0"/>
            </w:pPr>
            <w:r w:rsidRPr="002029AF">
              <w:t>–</w:t>
            </w:r>
          </w:p>
        </w:tc>
        <w:tc>
          <w:tcPr>
            <w:tcW w:w="567" w:type="dxa"/>
            <w:tcBorders>
              <w:top w:val="single" w:sz="4" w:space="0" w:color="A6A6A6"/>
              <w:bottom w:val="single" w:sz="4" w:space="0" w:color="A6A6A6"/>
            </w:tcBorders>
            <w:noWrap/>
            <w:hideMark/>
          </w:tcPr>
          <w:p w14:paraId="19843A6B"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bottom w:val="single" w:sz="4" w:space="0" w:color="A6A6A6"/>
            </w:tcBorders>
            <w:noWrap/>
            <w:hideMark/>
          </w:tcPr>
          <w:p w14:paraId="00C1D4DF" w14:textId="77777777" w:rsidR="00087B91" w:rsidRPr="002029AF" w:rsidRDefault="00087B91" w:rsidP="00C81A0B">
            <w:pPr>
              <w:pStyle w:val="ARfintablebodyright"/>
              <w:spacing w:before="30"/>
              <w:ind w:right="0"/>
            </w:pPr>
            <w:r w:rsidRPr="002029AF">
              <w:t>–</w:t>
            </w:r>
          </w:p>
        </w:tc>
        <w:tc>
          <w:tcPr>
            <w:tcW w:w="708" w:type="dxa"/>
            <w:tcBorders>
              <w:top w:val="single" w:sz="4" w:space="0" w:color="A6A6A6"/>
              <w:bottom w:val="single" w:sz="4" w:space="0" w:color="A6A6A6"/>
            </w:tcBorders>
            <w:noWrap/>
            <w:hideMark/>
          </w:tcPr>
          <w:p w14:paraId="271012C1" w14:textId="77777777" w:rsidR="00087B91" w:rsidRPr="002029AF" w:rsidRDefault="00087B91" w:rsidP="00C81A0B">
            <w:pPr>
              <w:pStyle w:val="ARfintablebodyright"/>
              <w:spacing w:before="30"/>
              <w:ind w:right="0"/>
            </w:pPr>
            <w:r w:rsidRPr="002029AF">
              <w:t>–</w:t>
            </w:r>
          </w:p>
        </w:tc>
        <w:tc>
          <w:tcPr>
            <w:tcW w:w="567" w:type="dxa"/>
            <w:tcBorders>
              <w:top w:val="single" w:sz="4" w:space="0" w:color="A6A6A6"/>
              <w:bottom w:val="single" w:sz="4" w:space="0" w:color="A6A6A6"/>
            </w:tcBorders>
            <w:noWrap/>
            <w:hideMark/>
          </w:tcPr>
          <w:p w14:paraId="2EAC423E" w14:textId="77777777" w:rsidR="00087B91" w:rsidRPr="002029AF" w:rsidRDefault="00087B91" w:rsidP="00C81A0B">
            <w:pPr>
              <w:pStyle w:val="ARfintablebodyright"/>
              <w:spacing w:before="30"/>
              <w:ind w:right="0"/>
            </w:pPr>
            <w:r w:rsidRPr="002029AF">
              <w:t>0.1</w:t>
            </w:r>
          </w:p>
        </w:tc>
        <w:tc>
          <w:tcPr>
            <w:tcW w:w="709" w:type="dxa"/>
            <w:tcBorders>
              <w:top w:val="single" w:sz="4" w:space="0" w:color="A6A6A6"/>
              <w:bottom w:val="single" w:sz="4" w:space="0" w:color="A6A6A6"/>
            </w:tcBorders>
            <w:noWrap/>
            <w:hideMark/>
          </w:tcPr>
          <w:p w14:paraId="2176187C" w14:textId="77777777" w:rsidR="00087B91" w:rsidRPr="002029AF" w:rsidRDefault="00087B91" w:rsidP="00C81A0B">
            <w:pPr>
              <w:pStyle w:val="ARfintablebodyright"/>
              <w:spacing w:before="30"/>
              <w:ind w:right="0"/>
            </w:pPr>
            <w:r w:rsidRPr="002029AF">
              <w:t>1.5</w:t>
            </w:r>
          </w:p>
        </w:tc>
        <w:tc>
          <w:tcPr>
            <w:tcW w:w="709" w:type="dxa"/>
            <w:tcBorders>
              <w:top w:val="single" w:sz="4" w:space="0" w:color="A6A6A6"/>
              <w:bottom w:val="single" w:sz="4" w:space="0" w:color="A6A6A6"/>
            </w:tcBorders>
            <w:noWrap/>
            <w:hideMark/>
          </w:tcPr>
          <w:p w14:paraId="4A96019C" w14:textId="77777777" w:rsidR="00087B91" w:rsidRPr="002029AF" w:rsidRDefault="00087B91" w:rsidP="00C81A0B">
            <w:pPr>
              <w:pStyle w:val="ARfintablebodyright"/>
              <w:spacing w:before="30"/>
              <w:ind w:right="0"/>
            </w:pPr>
            <w:r w:rsidRPr="002029AF">
              <w:t>–</w:t>
            </w:r>
          </w:p>
        </w:tc>
        <w:tc>
          <w:tcPr>
            <w:tcW w:w="708" w:type="dxa"/>
            <w:tcBorders>
              <w:top w:val="single" w:sz="4" w:space="0" w:color="A6A6A6"/>
              <w:bottom w:val="single" w:sz="4" w:space="0" w:color="A6A6A6"/>
            </w:tcBorders>
            <w:noWrap/>
            <w:hideMark/>
          </w:tcPr>
          <w:p w14:paraId="77C89479" w14:textId="77777777" w:rsidR="00087B91" w:rsidRPr="002029AF" w:rsidRDefault="00087B91" w:rsidP="00C81A0B">
            <w:pPr>
              <w:pStyle w:val="ARfintablebodyright"/>
              <w:spacing w:before="30"/>
              <w:ind w:right="0"/>
            </w:pPr>
            <w:r w:rsidRPr="002029AF">
              <w:t>0.5</w:t>
            </w:r>
          </w:p>
        </w:tc>
        <w:tc>
          <w:tcPr>
            <w:tcW w:w="708" w:type="dxa"/>
            <w:tcBorders>
              <w:top w:val="single" w:sz="4" w:space="0" w:color="A6A6A6"/>
              <w:bottom w:val="single" w:sz="4" w:space="0" w:color="A6A6A6"/>
            </w:tcBorders>
            <w:noWrap/>
            <w:hideMark/>
          </w:tcPr>
          <w:p w14:paraId="64F4E389" w14:textId="77777777" w:rsidR="00087B91" w:rsidRPr="002029AF" w:rsidRDefault="00087B91" w:rsidP="00C81A0B">
            <w:pPr>
              <w:pStyle w:val="ARfintablebodyright"/>
              <w:spacing w:before="30"/>
              <w:ind w:right="0"/>
            </w:pPr>
            <w:r w:rsidRPr="002029AF">
              <w:t>0.8</w:t>
            </w:r>
          </w:p>
        </w:tc>
        <w:tc>
          <w:tcPr>
            <w:tcW w:w="709" w:type="dxa"/>
            <w:tcBorders>
              <w:top w:val="single" w:sz="4" w:space="0" w:color="A6A6A6"/>
              <w:bottom w:val="single" w:sz="4" w:space="0" w:color="A6A6A6"/>
            </w:tcBorders>
            <w:noWrap/>
            <w:hideMark/>
          </w:tcPr>
          <w:p w14:paraId="21C9E918" w14:textId="77777777" w:rsidR="00087B91" w:rsidRPr="002029AF" w:rsidRDefault="00087B91" w:rsidP="00C81A0B">
            <w:pPr>
              <w:pStyle w:val="ARfintablebodyright"/>
              <w:spacing w:before="30"/>
              <w:ind w:right="0"/>
            </w:pPr>
            <w:r w:rsidRPr="002029AF">
              <w:t>–</w:t>
            </w:r>
          </w:p>
        </w:tc>
        <w:tc>
          <w:tcPr>
            <w:tcW w:w="710" w:type="dxa"/>
            <w:tcBorders>
              <w:top w:val="single" w:sz="4" w:space="0" w:color="A6A6A6"/>
              <w:bottom w:val="single" w:sz="4" w:space="0" w:color="A6A6A6"/>
            </w:tcBorders>
            <w:noWrap/>
            <w:hideMark/>
          </w:tcPr>
          <w:p w14:paraId="5A000DE4" w14:textId="77777777" w:rsidR="00087B91" w:rsidRPr="002029AF" w:rsidRDefault="00087B91" w:rsidP="00C81A0B">
            <w:pPr>
              <w:pStyle w:val="ARfintablebodyright"/>
              <w:spacing w:before="30"/>
              <w:ind w:right="0"/>
            </w:pPr>
            <w:r w:rsidRPr="002029AF">
              <w:t>2.8</w:t>
            </w:r>
          </w:p>
        </w:tc>
        <w:tc>
          <w:tcPr>
            <w:tcW w:w="567" w:type="dxa"/>
            <w:tcBorders>
              <w:top w:val="single" w:sz="4" w:space="0" w:color="A6A6A6"/>
              <w:bottom w:val="single" w:sz="4" w:space="0" w:color="A6A6A6"/>
            </w:tcBorders>
            <w:noWrap/>
            <w:hideMark/>
          </w:tcPr>
          <w:p w14:paraId="4F21CB4E" w14:textId="77777777" w:rsidR="00087B91" w:rsidRPr="002029AF" w:rsidRDefault="00087B91" w:rsidP="00C81A0B">
            <w:pPr>
              <w:pStyle w:val="ARfintablebodyright"/>
              <w:spacing w:before="30"/>
              <w:ind w:right="0"/>
            </w:pPr>
            <w:r w:rsidRPr="002029AF">
              <w:t>–</w:t>
            </w:r>
          </w:p>
        </w:tc>
        <w:tc>
          <w:tcPr>
            <w:tcW w:w="746" w:type="dxa"/>
            <w:tcBorders>
              <w:top w:val="single" w:sz="4" w:space="0" w:color="A6A6A6"/>
              <w:bottom w:val="single" w:sz="4" w:space="0" w:color="A6A6A6"/>
            </w:tcBorders>
            <w:noWrap/>
            <w:hideMark/>
          </w:tcPr>
          <w:p w14:paraId="5E814341"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bottom w:val="single" w:sz="4" w:space="0" w:color="A6A6A6"/>
            </w:tcBorders>
            <w:noWrap/>
            <w:hideMark/>
          </w:tcPr>
          <w:p w14:paraId="1FFDFF3D" w14:textId="77777777" w:rsidR="00087B91" w:rsidRPr="002029AF" w:rsidRDefault="00087B91" w:rsidP="00C81A0B">
            <w:pPr>
              <w:pStyle w:val="ARfintablebodyright"/>
              <w:spacing w:before="30"/>
              <w:ind w:right="0"/>
            </w:pPr>
            <w:r w:rsidRPr="002029AF">
              <w:t>3.5</w:t>
            </w:r>
          </w:p>
        </w:tc>
        <w:tc>
          <w:tcPr>
            <w:tcW w:w="640" w:type="dxa"/>
            <w:tcBorders>
              <w:top w:val="single" w:sz="4" w:space="0" w:color="A6A6A6"/>
              <w:bottom w:val="single" w:sz="4" w:space="0" w:color="A6A6A6"/>
            </w:tcBorders>
            <w:noWrap/>
            <w:hideMark/>
          </w:tcPr>
          <w:p w14:paraId="6E358CD7" w14:textId="77777777" w:rsidR="00087B91" w:rsidRPr="002029AF" w:rsidRDefault="00087B91" w:rsidP="00C81A0B">
            <w:pPr>
              <w:pStyle w:val="ARfintablebodyright"/>
              <w:spacing w:before="30"/>
              <w:ind w:right="0"/>
            </w:pPr>
            <w:r w:rsidRPr="002029AF">
              <w:t>–</w:t>
            </w:r>
          </w:p>
        </w:tc>
        <w:tc>
          <w:tcPr>
            <w:tcW w:w="640" w:type="dxa"/>
            <w:tcBorders>
              <w:top w:val="single" w:sz="4" w:space="0" w:color="A6A6A6"/>
              <w:bottom w:val="single" w:sz="4" w:space="0" w:color="A6A6A6"/>
            </w:tcBorders>
            <w:noWrap/>
            <w:hideMark/>
          </w:tcPr>
          <w:p w14:paraId="17691177" w14:textId="77777777" w:rsidR="00087B91" w:rsidRPr="002029AF" w:rsidRDefault="00087B91" w:rsidP="00C81A0B">
            <w:pPr>
              <w:pStyle w:val="ARfintablebodyright"/>
              <w:spacing w:before="30"/>
              <w:ind w:right="0"/>
            </w:pPr>
            <w:r w:rsidRPr="002029AF">
              <w:t>–</w:t>
            </w:r>
          </w:p>
        </w:tc>
        <w:tc>
          <w:tcPr>
            <w:tcW w:w="667" w:type="dxa"/>
            <w:tcBorders>
              <w:top w:val="single" w:sz="4" w:space="0" w:color="A6A6A6"/>
              <w:bottom w:val="single" w:sz="4" w:space="0" w:color="A6A6A6"/>
            </w:tcBorders>
            <w:noWrap/>
            <w:hideMark/>
          </w:tcPr>
          <w:p w14:paraId="34CFB15D" w14:textId="77777777" w:rsidR="00087B91" w:rsidRPr="002029AF" w:rsidRDefault="00087B91" w:rsidP="00C81A0B">
            <w:pPr>
              <w:pStyle w:val="ARfintablebodyright"/>
              <w:spacing w:before="30"/>
              <w:ind w:right="0"/>
            </w:pPr>
            <w:r w:rsidRPr="002029AF">
              <w:t>15.7</w:t>
            </w:r>
          </w:p>
        </w:tc>
      </w:tr>
      <w:tr w:rsidR="002A3743" w:rsidRPr="002029AF" w14:paraId="124C4F36" w14:textId="77777777" w:rsidTr="00C81A0B">
        <w:trPr>
          <w:gridAfter w:val="1"/>
          <w:wAfter w:w="88" w:type="dxa"/>
        </w:trPr>
        <w:tc>
          <w:tcPr>
            <w:tcW w:w="2263" w:type="dxa"/>
            <w:tcBorders>
              <w:top w:val="single" w:sz="4" w:space="0" w:color="A6A6A6"/>
            </w:tcBorders>
            <w:hideMark/>
          </w:tcPr>
          <w:p w14:paraId="4527DB54" w14:textId="2EA28D64" w:rsidR="00087B91" w:rsidRPr="002029AF" w:rsidRDefault="00087B91" w:rsidP="00C81A0B">
            <w:pPr>
              <w:pStyle w:val="ARfintablebody"/>
              <w:spacing w:before="30"/>
            </w:pPr>
            <w:r w:rsidRPr="002029AF">
              <w:t>Fair</w:t>
            </w:r>
            <w:r w:rsidR="000A5329" w:rsidRPr="002029AF">
              <w:t xml:space="preserve"> </w:t>
            </w:r>
            <w:r w:rsidRPr="002029AF">
              <w:t>value</w:t>
            </w:r>
            <w:r w:rsidR="000A5329" w:rsidRPr="002029AF">
              <w:t xml:space="preserve"> </w:t>
            </w:r>
            <w:r w:rsidRPr="002029AF">
              <w:t>of</w:t>
            </w:r>
            <w:r w:rsidR="000A5329" w:rsidRPr="002029AF">
              <w:t xml:space="preserve"> </w:t>
            </w:r>
            <w:r w:rsidRPr="002029AF">
              <w:t>assets</w:t>
            </w:r>
            <w:r w:rsidR="000A5329" w:rsidRPr="002029AF">
              <w:t xml:space="preserve"> </w:t>
            </w:r>
            <w:r w:rsidRPr="002029AF">
              <w:t>and</w:t>
            </w:r>
            <w:r w:rsidR="000A5329" w:rsidRPr="002029AF">
              <w:t xml:space="preserve"> </w:t>
            </w:r>
            <w:r w:rsidRPr="002029AF">
              <w:t>services</w:t>
            </w:r>
            <w:r w:rsidR="000A5329" w:rsidRPr="002029AF">
              <w:t xml:space="preserve"> </w:t>
            </w:r>
            <w:r w:rsidRPr="002029AF">
              <w:t>received</w:t>
            </w:r>
            <w:r w:rsidR="000A5329" w:rsidRPr="002029AF">
              <w:t xml:space="preserve"> </w:t>
            </w:r>
            <w:r w:rsidRPr="002029AF">
              <w:t>free</w:t>
            </w:r>
            <w:r w:rsidR="000A5329" w:rsidRPr="002029AF">
              <w:t xml:space="preserve"> </w:t>
            </w:r>
            <w:r w:rsidRPr="002029AF">
              <w:t>of</w:t>
            </w:r>
            <w:r w:rsidR="000A5329" w:rsidRPr="002029AF">
              <w:t xml:space="preserve"> </w:t>
            </w:r>
            <w:r w:rsidRPr="002029AF">
              <w:t>charge</w:t>
            </w:r>
            <w:r w:rsidR="000A5329" w:rsidRPr="002029AF">
              <w:t xml:space="preserve"> </w:t>
            </w:r>
            <w:r w:rsidRPr="002029AF">
              <w:t>or</w:t>
            </w:r>
            <w:r w:rsidR="000A5329" w:rsidRPr="002029AF">
              <w:t xml:space="preserve"> </w:t>
            </w:r>
            <w:r w:rsidRPr="002029AF">
              <w:t>for</w:t>
            </w:r>
            <w:r w:rsidR="000A5329" w:rsidRPr="002029AF">
              <w:t xml:space="preserve"> </w:t>
            </w:r>
            <w:r w:rsidRPr="002029AF">
              <w:t>nominal</w:t>
            </w:r>
            <w:r w:rsidR="000A5329" w:rsidRPr="002029AF">
              <w:t xml:space="preserve"> </w:t>
            </w:r>
            <w:r w:rsidRPr="002029AF">
              <w:t>consideration</w:t>
            </w:r>
          </w:p>
        </w:tc>
        <w:tc>
          <w:tcPr>
            <w:tcW w:w="851" w:type="dxa"/>
            <w:tcBorders>
              <w:top w:val="single" w:sz="4" w:space="0" w:color="A6A6A6"/>
            </w:tcBorders>
            <w:noWrap/>
            <w:hideMark/>
          </w:tcPr>
          <w:p w14:paraId="25160460" w14:textId="77777777" w:rsidR="00087B91" w:rsidRPr="002029AF" w:rsidRDefault="00087B91" w:rsidP="00C81A0B">
            <w:pPr>
              <w:pStyle w:val="ARfintablebodyright"/>
              <w:spacing w:before="30"/>
              <w:ind w:right="0"/>
            </w:pPr>
            <w:r w:rsidRPr="002029AF">
              <w:t>2.4</w:t>
            </w:r>
          </w:p>
        </w:tc>
        <w:tc>
          <w:tcPr>
            <w:tcW w:w="709" w:type="dxa"/>
            <w:tcBorders>
              <w:top w:val="single" w:sz="4" w:space="0" w:color="A6A6A6"/>
            </w:tcBorders>
            <w:noWrap/>
            <w:hideMark/>
          </w:tcPr>
          <w:p w14:paraId="58B2AF10" w14:textId="77777777" w:rsidR="00087B91" w:rsidRPr="002029AF" w:rsidRDefault="00087B91" w:rsidP="00C81A0B">
            <w:pPr>
              <w:pStyle w:val="ARfintablebodyright"/>
              <w:spacing w:before="30"/>
              <w:ind w:right="0"/>
            </w:pPr>
            <w:r w:rsidRPr="002029AF">
              <w:t>–</w:t>
            </w:r>
          </w:p>
        </w:tc>
        <w:tc>
          <w:tcPr>
            <w:tcW w:w="567" w:type="dxa"/>
            <w:tcBorders>
              <w:top w:val="single" w:sz="4" w:space="0" w:color="A6A6A6"/>
            </w:tcBorders>
            <w:noWrap/>
            <w:hideMark/>
          </w:tcPr>
          <w:p w14:paraId="59F2F0FF"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tcBorders>
            <w:noWrap/>
            <w:hideMark/>
          </w:tcPr>
          <w:p w14:paraId="58144DF6" w14:textId="77777777" w:rsidR="00087B91" w:rsidRPr="002029AF" w:rsidRDefault="00087B91" w:rsidP="00C81A0B">
            <w:pPr>
              <w:pStyle w:val="ARfintablebodyright"/>
              <w:spacing w:before="30"/>
              <w:ind w:right="0"/>
            </w:pPr>
            <w:r w:rsidRPr="002029AF">
              <w:t>–</w:t>
            </w:r>
          </w:p>
        </w:tc>
        <w:tc>
          <w:tcPr>
            <w:tcW w:w="708" w:type="dxa"/>
            <w:tcBorders>
              <w:top w:val="single" w:sz="4" w:space="0" w:color="A6A6A6"/>
            </w:tcBorders>
            <w:noWrap/>
            <w:hideMark/>
          </w:tcPr>
          <w:p w14:paraId="1DFFC2B7" w14:textId="77777777" w:rsidR="00087B91" w:rsidRPr="002029AF" w:rsidRDefault="00087B91" w:rsidP="00C81A0B">
            <w:pPr>
              <w:pStyle w:val="ARfintablebodyright"/>
              <w:spacing w:before="30"/>
              <w:ind w:right="0"/>
            </w:pPr>
            <w:r w:rsidRPr="002029AF">
              <w:t>–</w:t>
            </w:r>
          </w:p>
        </w:tc>
        <w:tc>
          <w:tcPr>
            <w:tcW w:w="567" w:type="dxa"/>
            <w:tcBorders>
              <w:top w:val="single" w:sz="4" w:space="0" w:color="A6A6A6"/>
            </w:tcBorders>
            <w:noWrap/>
            <w:hideMark/>
          </w:tcPr>
          <w:p w14:paraId="77DDB2FB"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tcBorders>
            <w:noWrap/>
            <w:hideMark/>
          </w:tcPr>
          <w:p w14:paraId="0F28327C"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tcBorders>
            <w:noWrap/>
            <w:hideMark/>
          </w:tcPr>
          <w:p w14:paraId="142576B9" w14:textId="77777777" w:rsidR="00087B91" w:rsidRPr="002029AF" w:rsidRDefault="00087B91" w:rsidP="00C81A0B">
            <w:pPr>
              <w:pStyle w:val="ARfintablebodyright"/>
              <w:spacing w:before="30"/>
              <w:ind w:right="0"/>
            </w:pPr>
            <w:r w:rsidRPr="002029AF">
              <w:t>–</w:t>
            </w:r>
          </w:p>
        </w:tc>
        <w:tc>
          <w:tcPr>
            <w:tcW w:w="708" w:type="dxa"/>
            <w:tcBorders>
              <w:top w:val="single" w:sz="4" w:space="0" w:color="A6A6A6"/>
            </w:tcBorders>
            <w:noWrap/>
            <w:hideMark/>
          </w:tcPr>
          <w:p w14:paraId="7C48491B" w14:textId="77777777" w:rsidR="00087B91" w:rsidRPr="002029AF" w:rsidRDefault="00087B91" w:rsidP="00C81A0B">
            <w:pPr>
              <w:pStyle w:val="ARfintablebodyright"/>
              <w:spacing w:before="30"/>
              <w:ind w:right="0"/>
            </w:pPr>
            <w:r w:rsidRPr="002029AF">
              <w:t>0.2</w:t>
            </w:r>
          </w:p>
        </w:tc>
        <w:tc>
          <w:tcPr>
            <w:tcW w:w="708" w:type="dxa"/>
            <w:tcBorders>
              <w:top w:val="single" w:sz="4" w:space="0" w:color="A6A6A6"/>
            </w:tcBorders>
            <w:noWrap/>
            <w:hideMark/>
          </w:tcPr>
          <w:p w14:paraId="7C298FF5"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tcBorders>
            <w:noWrap/>
            <w:hideMark/>
          </w:tcPr>
          <w:p w14:paraId="6184B3A5" w14:textId="77777777" w:rsidR="00087B91" w:rsidRPr="002029AF" w:rsidRDefault="00087B91" w:rsidP="00C81A0B">
            <w:pPr>
              <w:pStyle w:val="ARfintablebodyright"/>
              <w:spacing w:before="30"/>
              <w:ind w:right="0"/>
            </w:pPr>
            <w:r w:rsidRPr="002029AF">
              <w:t>–</w:t>
            </w:r>
          </w:p>
        </w:tc>
        <w:tc>
          <w:tcPr>
            <w:tcW w:w="710" w:type="dxa"/>
            <w:tcBorders>
              <w:top w:val="single" w:sz="4" w:space="0" w:color="A6A6A6"/>
            </w:tcBorders>
            <w:noWrap/>
            <w:hideMark/>
          </w:tcPr>
          <w:p w14:paraId="3AECB4B5" w14:textId="77777777" w:rsidR="00087B91" w:rsidRPr="002029AF" w:rsidRDefault="00087B91" w:rsidP="00C81A0B">
            <w:pPr>
              <w:pStyle w:val="ARfintablebodyright"/>
              <w:spacing w:before="30"/>
              <w:ind w:right="0"/>
            </w:pPr>
            <w:r w:rsidRPr="002029AF">
              <w:t>–</w:t>
            </w:r>
          </w:p>
        </w:tc>
        <w:tc>
          <w:tcPr>
            <w:tcW w:w="567" w:type="dxa"/>
            <w:tcBorders>
              <w:top w:val="single" w:sz="4" w:space="0" w:color="A6A6A6"/>
            </w:tcBorders>
            <w:noWrap/>
            <w:hideMark/>
          </w:tcPr>
          <w:p w14:paraId="25DD4F95" w14:textId="77777777" w:rsidR="00087B91" w:rsidRPr="002029AF" w:rsidRDefault="00087B91" w:rsidP="00C81A0B">
            <w:pPr>
              <w:pStyle w:val="ARfintablebodyright"/>
              <w:spacing w:before="30"/>
              <w:ind w:right="0"/>
            </w:pPr>
            <w:r w:rsidRPr="002029AF">
              <w:t>–</w:t>
            </w:r>
          </w:p>
        </w:tc>
        <w:tc>
          <w:tcPr>
            <w:tcW w:w="746" w:type="dxa"/>
            <w:tcBorders>
              <w:top w:val="single" w:sz="4" w:space="0" w:color="A6A6A6"/>
            </w:tcBorders>
            <w:noWrap/>
            <w:hideMark/>
          </w:tcPr>
          <w:p w14:paraId="3642DA13"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tcBorders>
            <w:noWrap/>
            <w:hideMark/>
          </w:tcPr>
          <w:p w14:paraId="3DB4E7AA" w14:textId="77777777" w:rsidR="00087B91" w:rsidRPr="002029AF" w:rsidRDefault="00087B91" w:rsidP="00C81A0B">
            <w:pPr>
              <w:pStyle w:val="ARfintablebodyright"/>
              <w:spacing w:before="30"/>
              <w:ind w:right="0"/>
            </w:pPr>
            <w:r w:rsidRPr="002029AF">
              <w:t>7.5</w:t>
            </w:r>
          </w:p>
        </w:tc>
        <w:tc>
          <w:tcPr>
            <w:tcW w:w="640" w:type="dxa"/>
            <w:tcBorders>
              <w:top w:val="single" w:sz="4" w:space="0" w:color="A6A6A6"/>
            </w:tcBorders>
            <w:noWrap/>
            <w:hideMark/>
          </w:tcPr>
          <w:p w14:paraId="602839A6" w14:textId="77777777" w:rsidR="00087B91" w:rsidRPr="002029AF" w:rsidRDefault="00087B91" w:rsidP="00C81A0B">
            <w:pPr>
              <w:pStyle w:val="ARfintablebodyright"/>
              <w:spacing w:before="30"/>
              <w:ind w:right="0"/>
            </w:pPr>
            <w:r w:rsidRPr="002029AF">
              <w:t>–</w:t>
            </w:r>
          </w:p>
        </w:tc>
        <w:tc>
          <w:tcPr>
            <w:tcW w:w="640" w:type="dxa"/>
            <w:tcBorders>
              <w:top w:val="single" w:sz="4" w:space="0" w:color="A6A6A6"/>
            </w:tcBorders>
            <w:noWrap/>
            <w:hideMark/>
          </w:tcPr>
          <w:p w14:paraId="02388DCB" w14:textId="77777777" w:rsidR="00087B91" w:rsidRPr="002029AF" w:rsidRDefault="00087B91" w:rsidP="00C81A0B">
            <w:pPr>
              <w:pStyle w:val="ARfintablebodyright"/>
              <w:spacing w:before="30"/>
              <w:ind w:right="0"/>
            </w:pPr>
            <w:r w:rsidRPr="002029AF">
              <w:t>–</w:t>
            </w:r>
          </w:p>
        </w:tc>
        <w:tc>
          <w:tcPr>
            <w:tcW w:w="667" w:type="dxa"/>
            <w:tcBorders>
              <w:top w:val="single" w:sz="4" w:space="0" w:color="A6A6A6"/>
            </w:tcBorders>
            <w:noWrap/>
            <w:hideMark/>
          </w:tcPr>
          <w:p w14:paraId="4EA45B38" w14:textId="77777777" w:rsidR="00087B91" w:rsidRPr="002029AF" w:rsidRDefault="00087B91" w:rsidP="00C81A0B">
            <w:pPr>
              <w:pStyle w:val="ARfintablebodyright"/>
              <w:spacing w:before="30"/>
              <w:ind w:right="0"/>
            </w:pPr>
            <w:r w:rsidRPr="002029AF">
              <w:t>10.1</w:t>
            </w:r>
          </w:p>
        </w:tc>
      </w:tr>
      <w:tr w:rsidR="002A3743" w:rsidRPr="002029AF" w14:paraId="47260798" w14:textId="77777777" w:rsidTr="00C81A0B">
        <w:trPr>
          <w:gridAfter w:val="1"/>
          <w:wAfter w:w="88" w:type="dxa"/>
        </w:trPr>
        <w:tc>
          <w:tcPr>
            <w:tcW w:w="2263" w:type="dxa"/>
            <w:tcBorders>
              <w:bottom w:val="single" w:sz="4" w:space="0" w:color="auto"/>
            </w:tcBorders>
            <w:hideMark/>
          </w:tcPr>
          <w:p w14:paraId="14878943" w14:textId="669C949B" w:rsidR="00087B91" w:rsidRPr="002029AF" w:rsidRDefault="00087B91" w:rsidP="00C81A0B">
            <w:pPr>
              <w:pStyle w:val="ARfintablebodybold"/>
              <w:spacing w:before="30"/>
            </w:pPr>
            <w:r w:rsidRPr="002029AF">
              <w:lastRenderedPageBreak/>
              <w:t>Total</w:t>
            </w:r>
            <w:r w:rsidR="000A5329" w:rsidRPr="002029AF">
              <w:t xml:space="preserve"> </w:t>
            </w:r>
            <w:r w:rsidRPr="002029AF">
              <w:t>revenue</w:t>
            </w:r>
            <w:r w:rsidR="000A5329" w:rsidRPr="002029AF">
              <w:t xml:space="preserve"> </w:t>
            </w:r>
            <w:r w:rsidRPr="002029AF">
              <w:t>and</w:t>
            </w:r>
            <w:r w:rsidR="000A5329" w:rsidRPr="002029AF">
              <w:t xml:space="preserve"> </w:t>
            </w:r>
            <w:r w:rsidRPr="002029AF">
              <w:t>income</w:t>
            </w:r>
            <w:r w:rsidR="000A5329" w:rsidRPr="002029AF">
              <w:t xml:space="preserve"> </w:t>
            </w:r>
            <w:r w:rsidRPr="002029AF">
              <w:t>from</w:t>
            </w:r>
            <w:r w:rsidR="000A5329" w:rsidRPr="002029AF">
              <w:t xml:space="preserve"> </w:t>
            </w:r>
            <w:r w:rsidRPr="002029AF">
              <w:t>transactions</w:t>
            </w:r>
          </w:p>
        </w:tc>
        <w:tc>
          <w:tcPr>
            <w:tcW w:w="851" w:type="dxa"/>
            <w:tcBorders>
              <w:bottom w:val="single" w:sz="4" w:space="0" w:color="auto"/>
            </w:tcBorders>
            <w:noWrap/>
            <w:hideMark/>
          </w:tcPr>
          <w:p w14:paraId="2EA97D1F" w14:textId="77777777" w:rsidR="00087B91" w:rsidRPr="002029AF" w:rsidRDefault="00087B91" w:rsidP="00C81A0B">
            <w:pPr>
              <w:pStyle w:val="ARfintablebodyrightbold"/>
              <w:spacing w:before="30"/>
              <w:ind w:right="0"/>
            </w:pPr>
            <w:r w:rsidRPr="002029AF">
              <w:t>8,929.1</w:t>
            </w:r>
          </w:p>
        </w:tc>
        <w:tc>
          <w:tcPr>
            <w:tcW w:w="709" w:type="dxa"/>
            <w:tcBorders>
              <w:bottom w:val="single" w:sz="4" w:space="0" w:color="auto"/>
            </w:tcBorders>
            <w:noWrap/>
            <w:hideMark/>
          </w:tcPr>
          <w:p w14:paraId="3731E76D" w14:textId="77777777" w:rsidR="00087B91" w:rsidRPr="002029AF" w:rsidRDefault="00087B91" w:rsidP="00C81A0B">
            <w:pPr>
              <w:pStyle w:val="ARfintablebodyrightbold"/>
              <w:spacing w:before="30"/>
              <w:ind w:right="0"/>
            </w:pPr>
            <w:r w:rsidRPr="002029AF">
              <w:t>815.7</w:t>
            </w:r>
          </w:p>
        </w:tc>
        <w:tc>
          <w:tcPr>
            <w:tcW w:w="567" w:type="dxa"/>
            <w:tcBorders>
              <w:bottom w:val="single" w:sz="4" w:space="0" w:color="auto"/>
            </w:tcBorders>
            <w:noWrap/>
            <w:hideMark/>
          </w:tcPr>
          <w:p w14:paraId="10882049" w14:textId="77777777" w:rsidR="00087B91" w:rsidRPr="002029AF" w:rsidRDefault="00087B91" w:rsidP="00C81A0B">
            <w:pPr>
              <w:pStyle w:val="ARfintablebodyrightbold"/>
              <w:spacing w:before="30"/>
              <w:ind w:right="0"/>
            </w:pPr>
            <w:r w:rsidRPr="002029AF">
              <w:t>1,407.2</w:t>
            </w:r>
          </w:p>
        </w:tc>
        <w:tc>
          <w:tcPr>
            <w:tcW w:w="709" w:type="dxa"/>
            <w:tcBorders>
              <w:bottom w:val="single" w:sz="4" w:space="0" w:color="auto"/>
            </w:tcBorders>
            <w:noWrap/>
            <w:hideMark/>
          </w:tcPr>
          <w:p w14:paraId="514B4245" w14:textId="77777777" w:rsidR="00087B91" w:rsidRPr="002029AF" w:rsidRDefault="00087B91" w:rsidP="00C81A0B">
            <w:pPr>
              <w:pStyle w:val="ARfintablebodyrightbold"/>
              <w:spacing w:before="30"/>
              <w:ind w:right="0"/>
            </w:pPr>
            <w:r w:rsidRPr="002029AF">
              <w:t>540.9</w:t>
            </w:r>
          </w:p>
        </w:tc>
        <w:tc>
          <w:tcPr>
            <w:tcW w:w="708" w:type="dxa"/>
            <w:tcBorders>
              <w:bottom w:val="single" w:sz="4" w:space="0" w:color="auto"/>
            </w:tcBorders>
            <w:noWrap/>
            <w:hideMark/>
          </w:tcPr>
          <w:p w14:paraId="4F3A4248" w14:textId="77777777" w:rsidR="00087B91" w:rsidRPr="002029AF" w:rsidRDefault="00087B91" w:rsidP="00C81A0B">
            <w:pPr>
              <w:pStyle w:val="ARfintablebodyrightbold"/>
              <w:spacing w:before="30"/>
              <w:ind w:right="0"/>
            </w:pPr>
            <w:r w:rsidRPr="002029AF">
              <w:t>526.2</w:t>
            </w:r>
          </w:p>
        </w:tc>
        <w:tc>
          <w:tcPr>
            <w:tcW w:w="567" w:type="dxa"/>
            <w:tcBorders>
              <w:bottom w:val="single" w:sz="4" w:space="0" w:color="auto"/>
            </w:tcBorders>
            <w:noWrap/>
            <w:hideMark/>
          </w:tcPr>
          <w:p w14:paraId="090DAF9B" w14:textId="77777777" w:rsidR="00087B91" w:rsidRPr="002029AF" w:rsidRDefault="00087B91" w:rsidP="00C81A0B">
            <w:pPr>
              <w:pStyle w:val="ARfintablebodyrightbold"/>
              <w:spacing w:before="30"/>
              <w:ind w:right="0"/>
            </w:pPr>
            <w:r w:rsidRPr="002029AF">
              <w:t>438.1</w:t>
            </w:r>
          </w:p>
        </w:tc>
        <w:tc>
          <w:tcPr>
            <w:tcW w:w="709" w:type="dxa"/>
            <w:tcBorders>
              <w:bottom w:val="single" w:sz="4" w:space="0" w:color="auto"/>
            </w:tcBorders>
            <w:noWrap/>
            <w:hideMark/>
          </w:tcPr>
          <w:p w14:paraId="6D1692EA" w14:textId="77777777" w:rsidR="00087B91" w:rsidRPr="002029AF" w:rsidRDefault="00087B91" w:rsidP="00C81A0B">
            <w:pPr>
              <w:pStyle w:val="ARfintablebodyrightbold"/>
              <w:spacing w:before="30"/>
              <w:ind w:right="0"/>
            </w:pPr>
            <w:r w:rsidRPr="002029AF">
              <w:t>438.1</w:t>
            </w:r>
          </w:p>
        </w:tc>
        <w:tc>
          <w:tcPr>
            <w:tcW w:w="709" w:type="dxa"/>
            <w:tcBorders>
              <w:bottom w:val="single" w:sz="4" w:space="0" w:color="auto"/>
            </w:tcBorders>
            <w:noWrap/>
            <w:hideMark/>
          </w:tcPr>
          <w:p w14:paraId="160F1166" w14:textId="77777777" w:rsidR="00087B91" w:rsidRPr="002029AF" w:rsidRDefault="00087B91" w:rsidP="00C81A0B">
            <w:pPr>
              <w:pStyle w:val="ARfintablebodyrightbold"/>
              <w:spacing w:before="30"/>
              <w:ind w:right="0"/>
            </w:pPr>
            <w:r w:rsidRPr="002029AF">
              <w:t>271.4</w:t>
            </w:r>
          </w:p>
        </w:tc>
        <w:tc>
          <w:tcPr>
            <w:tcW w:w="708" w:type="dxa"/>
            <w:tcBorders>
              <w:bottom w:val="single" w:sz="4" w:space="0" w:color="auto"/>
            </w:tcBorders>
            <w:noWrap/>
            <w:hideMark/>
          </w:tcPr>
          <w:p w14:paraId="5B1B293B" w14:textId="77777777" w:rsidR="00087B91" w:rsidRPr="002029AF" w:rsidRDefault="00087B91" w:rsidP="00C81A0B">
            <w:pPr>
              <w:pStyle w:val="ARfintablebodyrightbold"/>
              <w:spacing w:before="30"/>
              <w:ind w:right="0"/>
            </w:pPr>
            <w:r w:rsidRPr="002029AF">
              <w:t>2,244.6</w:t>
            </w:r>
          </w:p>
        </w:tc>
        <w:tc>
          <w:tcPr>
            <w:tcW w:w="708" w:type="dxa"/>
            <w:tcBorders>
              <w:bottom w:val="single" w:sz="4" w:space="0" w:color="auto"/>
            </w:tcBorders>
            <w:noWrap/>
            <w:hideMark/>
          </w:tcPr>
          <w:p w14:paraId="3C099899" w14:textId="77777777" w:rsidR="00087B91" w:rsidRPr="002029AF" w:rsidRDefault="00087B91" w:rsidP="00C81A0B">
            <w:pPr>
              <w:pStyle w:val="ARfintablebodyrightbold"/>
              <w:spacing w:before="30"/>
              <w:ind w:right="0"/>
            </w:pPr>
            <w:r w:rsidRPr="002029AF">
              <w:t>1,615.3</w:t>
            </w:r>
          </w:p>
        </w:tc>
        <w:tc>
          <w:tcPr>
            <w:tcW w:w="709" w:type="dxa"/>
            <w:tcBorders>
              <w:bottom w:val="single" w:sz="4" w:space="0" w:color="auto"/>
            </w:tcBorders>
            <w:noWrap/>
            <w:hideMark/>
          </w:tcPr>
          <w:p w14:paraId="572FE917" w14:textId="77777777" w:rsidR="00087B91" w:rsidRPr="002029AF" w:rsidRDefault="00087B91" w:rsidP="00C81A0B">
            <w:pPr>
              <w:pStyle w:val="ARfintablebodyrightbold"/>
              <w:spacing w:before="30"/>
              <w:ind w:right="0"/>
            </w:pPr>
            <w:r w:rsidRPr="002029AF">
              <w:t>737.4</w:t>
            </w:r>
          </w:p>
        </w:tc>
        <w:tc>
          <w:tcPr>
            <w:tcW w:w="710" w:type="dxa"/>
            <w:tcBorders>
              <w:bottom w:val="single" w:sz="4" w:space="0" w:color="auto"/>
            </w:tcBorders>
            <w:noWrap/>
            <w:hideMark/>
          </w:tcPr>
          <w:p w14:paraId="640E0A72" w14:textId="77777777" w:rsidR="00087B91" w:rsidRPr="002029AF" w:rsidRDefault="00087B91" w:rsidP="00C81A0B">
            <w:pPr>
              <w:pStyle w:val="ARfintablebodyrightbold"/>
              <w:spacing w:before="30"/>
              <w:ind w:right="0"/>
            </w:pPr>
            <w:r w:rsidRPr="002029AF">
              <w:t>157.9</w:t>
            </w:r>
          </w:p>
        </w:tc>
        <w:tc>
          <w:tcPr>
            <w:tcW w:w="567" w:type="dxa"/>
            <w:tcBorders>
              <w:bottom w:val="single" w:sz="4" w:space="0" w:color="auto"/>
            </w:tcBorders>
            <w:noWrap/>
            <w:hideMark/>
          </w:tcPr>
          <w:p w14:paraId="09B39142" w14:textId="77777777" w:rsidR="00087B91" w:rsidRPr="002029AF" w:rsidRDefault="00087B91" w:rsidP="00C81A0B">
            <w:pPr>
              <w:pStyle w:val="ARfintablebodyrightbold"/>
              <w:spacing w:before="30"/>
              <w:ind w:right="0"/>
            </w:pPr>
            <w:r w:rsidRPr="002029AF">
              <w:t>18.6</w:t>
            </w:r>
          </w:p>
        </w:tc>
        <w:tc>
          <w:tcPr>
            <w:tcW w:w="746" w:type="dxa"/>
            <w:tcBorders>
              <w:bottom w:val="single" w:sz="4" w:space="0" w:color="auto"/>
            </w:tcBorders>
            <w:noWrap/>
            <w:hideMark/>
          </w:tcPr>
          <w:p w14:paraId="48D83C49" w14:textId="77777777" w:rsidR="00087B91" w:rsidRPr="002029AF" w:rsidRDefault="00087B91" w:rsidP="00C81A0B">
            <w:pPr>
              <w:pStyle w:val="ARfintablebodyrightbold"/>
              <w:spacing w:before="30"/>
              <w:ind w:right="0"/>
            </w:pPr>
            <w:r w:rsidRPr="002029AF">
              <w:t>138.0</w:t>
            </w:r>
          </w:p>
        </w:tc>
        <w:tc>
          <w:tcPr>
            <w:tcW w:w="709" w:type="dxa"/>
            <w:tcBorders>
              <w:bottom w:val="single" w:sz="4" w:space="0" w:color="auto"/>
            </w:tcBorders>
            <w:noWrap/>
            <w:hideMark/>
          </w:tcPr>
          <w:p w14:paraId="2A8D95E9" w14:textId="77777777" w:rsidR="00087B91" w:rsidRPr="002029AF" w:rsidRDefault="00087B91" w:rsidP="00C81A0B">
            <w:pPr>
              <w:pStyle w:val="ARfintablebodyrightbold"/>
              <w:spacing w:before="30"/>
              <w:ind w:right="0"/>
            </w:pPr>
            <w:r w:rsidRPr="002029AF">
              <w:t>1,145.7</w:t>
            </w:r>
          </w:p>
        </w:tc>
        <w:tc>
          <w:tcPr>
            <w:tcW w:w="640" w:type="dxa"/>
            <w:tcBorders>
              <w:bottom w:val="single" w:sz="4" w:space="0" w:color="auto"/>
            </w:tcBorders>
            <w:noWrap/>
            <w:hideMark/>
          </w:tcPr>
          <w:p w14:paraId="14BCD9DF" w14:textId="77777777" w:rsidR="00087B91" w:rsidRPr="002029AF" w:rsidRDefault="00087B91" w:rsidP="00C81A0B">
            <w:pPr>
              <w:pStyle w:val="ARfintablebodyrightbold"/>
              <w:spacing w:before="30"/>
              <w:ind w:right="0"/>
            </w:pPr>
            <w:r w:rsidRPr="002029AF">
              <w:t>2.4</w:t>
            </w:r>
          </w:p>
        </w:tc>
        <w:tc>
          <w:tcPr>
            <w:tcW w:w="640" w:type="dxa"/>
            <w:tcBorders>
              <w:bottom w:val="single" w:sz="4" w:space="0" w:color="auto"/>
            </w:tcBorders>
            <w:noWrap/>
            <w:hideMark/>
          </w:tcPr>
          <w:p w14:paraId="2BFF0BC4" w14:textId="77777777" w:rsidR="00087B91" w:rsidRPr="002029AF" w:rsidRDefault="00087B91" w:rsidP="00C81A0B">
            <w:pPr>
              <w:pStyle w:val="ARfintablebodyrightbold"/>
              <w:spacing w:before="30"/>
              <w:ind w:right="0"/>
            </w:pPr>
            <w:r w:rsidRPr="002029AF">
              <w:t>(9.5)</w:t>
            </w:r>
          </w:p>
        </w:tc>
        <w:tc>
          <w:tcPr>
            <w:tcW w:w="667" w:type="dxa"/>
            <w:tcBorders>
              <w:bottom w:val="single" w:sz="4" w:space="0" w:color="auto"/>
            </w:tcBorders>
            <w:noWrap/>
            <w:hideMark/>
          </w:tcPr>
          <w:p w14:paraId="72732A2D" w14:textId="77777777" w:rsidR="00087B91" w:rsidRPr="002029AF" w:rsidRDefault="00087B91" w:rsidP="00C81A0B">
            <w:pPr>
              <w:pStyle w:val="ARfintablebodyrightbold"/>
              <w:spacing w:before="30"/>
              <w:ind w:right="0"/>
            </w:pPr>
            <w:r w:rsidRPr="002029AF">
              <w:t>19,417.0</w:t>
            </w:r>
          </w:p>
        </w:tc>
      </w:tr>
      <w:tr w:rsidR="00C82BF1" w:rsidRPr="002029AF" w14:paraId="6923D62C" w14:textId="77777777" w:rsidTr="00C81A0B">
        <w:tc>
          <w:tcPr>
            <w:tcW w:w="14684" w:type="dxa"/>
            <w:gridSpan w:val="20"/>
            <w:tcBorders>
              <w:top w:val="single" w:sz="4" w:space="0" w:color="auto"/>
              <w:bottom w:val="single" w:sz="4" w:space="0" w:color="A6A6A6"/>
            </w:tcBorders>
            <w:hideMark/>
          </w:tcPr>
          <w:p w14:paraId="18FE26D1" w14:textId="37929429" w:rsidR="00087B91" w:rsidRPr="002029AF" w:rsidRDefault="00087B91" w:rsidP="00C81A0B">
            <w:pPr>
              <w:pStyle w:val="ARfintablebodybold"/>
              <w:spacing w:before="30"/>
              <w:ind w:right="0"/>
            </w:pPr>
            <w:r w:rsidRPr="002029AF">
              <w:t>Expenses</w:t>
            </w:r>
            <w:r w:rsidR="000A5329" w:rsidRPr="002029AF">
              <w:t xml:space="preserve"> </w:t>
            </w:r>
            <w:r w:rsidRPr="002029AF">
              <w:t>from</w:t>
            </w:r>
            <w:r w:rsidR="000A5329" w:rsidRPr="002029AF">
              <w:t xml:space="preserve"> </w:t>
            </w:r>
            <w:r w:rsidRPr="002029AF">
              <w:t>transactions</w:t>
            </w:r>
          </w:p>
        </w:tc>
      </w:tr>
      <w:tr w:rsidR="002A3743" w:rsidRPr="002029AF" w14:paraId="6F7DBD1E" w14:textId="77777777" w:rsidTr="00C81A0B">
        <w:trPr>
          <w:gridAfter w:val="1"/>
          <w:wAfter w:w="88" w:type="dxa"/>
        </w:trPr>
        <w:tc>
          <w:tcPr>
            <w:tcW w:w="2263" w:type="dxa"/>
            <w:tcBorders>
              <w:top w:val="single" w:sz="4" w:space="0" w:color="A6A6A6"/>
              <w:bottom w:val="single" w:sz="4" w:space="0" w:color="A6A6A6"/>
            </w:tcBorders>
            <w:hideMark/>
          </w:tcPr>
          <w:p w14:paraId="1EDC434F" w14:textId="051B1AA2" w:rsidR="00087B91" w:rsidRPr="002029AF" w:rsidRDefault="00087B91" w:rsidP="00C81A0B">
            <w:pPr>
              <w:pStyle w:val="ARfintablebody"/>
              <w:spacing w:before="30"/>
            </w:pPr>
            <w:r w:rsidRPr="002029AF">
              <w:t>Employee</w:t>
            </w:r>
            <w:r w:rsidR="000A5329" w:rsidRPr="002029AF">
              <w:t xml:space="preserve"> </w:t>
            </w:r>
            <w:r w:rsidRPr="002029AF">
              <w:t>benefits</w:t>
            </w:r>
          </w:p>
        </w:tc>
        <w:tc>
          <w:tcPr>
            <w:tcW w:w="851" w:type="dxa"/>
            <w:tcBorders>
              <w:top w:val="single" w:sz="4" w:space="0" w:color="A6A6A6"/>
              <w:bottom w:val="single" w:sz="4" w:space="0" w:color="A6A6A6"/>
            </w:tcBorders>
            <w:noWrap/>
            <w:hideMark/>
          </w:tcPr>
          <w:p w14:paraId="030EE1B4" w14:textId="77777777" w:rsidR="00087B91" w:rsidRPr="002029AF" w:rsidRDefault="00087B91" w:rsidP="00C81A0B">
            <w:pPr>
              <w:pStyle w:val="ARfintablebodyright"/>
              <w:spacing w:before="30"/>
              <w:ind w:right="0"/>
            </w:pPr>
            <w:r w:rsidRPr="002029AF">
              <w:t>146.6</w:t>
            </w:r>
          </w:p>
        </w:tc>
        <w:tc>
          <w:tcPr>
            <w:tcW w:w="709" w:type="dxa"/>
            <w:tcBorders>
              <w:top w:val="single" w:sz="4" w:space="0" w:color="A6A6A6"/>
              <w:bottom w:val="single" w:sz="4" w:space="0" w:color="A6A6A6"/>
            </w:tcBorders>
            <w:noWrap/>
            <w:hideMark/>
          </w:tcPr>
          <w:p w14:paraId="6CF56C1D" w14:textId="77777777" w:rsidR="00087B91" w:rsidRPr="002029AF" w:rsidRDefault="00087B91" w:rsidP="00C81A0B">
            <w:pPr>
              <w:pStyle w:val="ARfintablebodyright"/>
              <w:spacing w:before="30"/>
              <w:ind w:right="0"/>
            </w:pPr>
            <w:r w:rsidRPr="002029AF">
              <w:t>2.0</w:t>
            </w:r>
          </w:p>
        </w:tc>
        <w:tc>
          <w:tcPr>
            <w:tcW w:w="567" w:type="dxa"/>
            <w:tcBorders>
              <w:top w:val="single" w:sz="4" w:space="0" w:color="A6A6A6"/>
              <w:bottom w:val="single" w:sz="4" w:space="0" w:color="A6A6A6"/>
            </w:tcBorders>
            <w:noWrap/>
            <w:hideMark/>
          </w:tcPr>
          <w:p w14:paraId="1E417772" w14:textId="77777777" w:rsidR="00087B91" w:rsidRPr="002029AF" w:rsidRDefault="00087B91" w:rsidP="00C81A0B">
            <w:pPr>
              <w:pStyle w:val="ARfintablebodyright"/>
              <w:spacing w:before="30"/>
              <w:ind w:right="0"/>
            </w:pPr>
            <w:r w:rsidRPr="002029AF">
              <w:t>38.1</w:t>
            </w:r>
          </w:p>
        </w:tc>
        <w:tc>
          <w:tcPr>
            <w:tcW w:w="709" w:type="dxa"/>
            <w:tcBorders>
              <w:top w:val="single" w:sz="4" w:space="0" w:color="A6A6A6"/>
              <w:bottom w:val="single" w:sz="4" w:space="0" w:color="A6A6A6"/>
            </w:tcBorders>
            <w:noWrap/>
            <w:hideMark/>
          </w:tcPr>
          <w:p w14:paraId="509011FA" w14:textId="77777777" w:rsidR="00087B91" w:rsidRPr="002029AF" w:rsidRDefault="00087B91" w:rsidP="00C81A0B">
            <w:pPr>
              <w:pStyle w:val="ARfintablebodyright"/>
              <w:spacing w:before="30"/>
              <w:ind w:right="0"/>
            </w:pPr>
            <w:r w:rsidRPr="002029AF">
              <w:t>7.4</w:t>
            </w:r>
          </w:p>
        </w:tc>
        <w:tc>
          <w:tcPr>
            <w:tcW w:w="708" w:type="dxa"/>
            <w:tcBorders>
              <w:top w:val="single" w:sz="4" w:space="0" w:color="A6A6A6"/>
              <w:bottom w:val="single" w:sz="4" w:space="0" w:color="A6A6A6"/>
            </w:tcBorders>
            <w:noWrap/>
            <w:hideMark/>
          </w:tcPr>
          <w:p w14:paraId="420E7B30" w14:textId="77777777" w:rsidR="00087B91" w:rsidRPr="002029AF" w:rsidRDefault="00087B91" w:rsidP="00C81A0B">
            <w:pPr>
              <w:pStyle w:val="ARfintablebodyright"/>
              <w:spacing w:before="30"/>
              <w:ind w:right="0"/>
            </w:pPr>
            <w:r w:rsidRPr="002029AF">
              <w:t>21.5</w:t>
            </w:r>
          </w:p>
        </w:tc>
        <w:tc>
          <w:tcPr>
            <w:tcW w:w="567" w:type="dxa"/>
            <w:tcBorders>
              <w:top w:val="single" w:sz="4" w:space="0" w:color="A6A6A6"/>
              <w:bottom w:val="single" w:sz="4" w:space="0" w:color="A6A6A6"/>
            </w:tcBorders>
            <w:noWrap/>
            <w:hideMark/>
          </w:tcPr>
          <w:p w14:paraId="4098B256" w14:textId="77777777" w:rsidR="00087B91" w:rsidRPr="002029AF" w:rsidRDefault="00087B91" w:rsidP="00C81A0B">
            <w:pPr>
              <w:pStyle w:val="ARfintablebodyright"/>
              <w:spacing w:before="30"/>
              <w:ind w:right="0"/>
            </w:pPr>
            <w:r w:rsidRPr="002029AF">
              <w:t>8.7</w:t>
            </w:r>
          </w:p>
        </w:tc>
        <w:tc>
          <w:tcPr>
            <w:tcW w:w="709" w:type="dxa"/>
            <w:tcBorders>
              <w:top w:val="single" w:sz="4" w:space="0" w:color="A6A6A6"/>
              <w:bottom w:val="single" w:sz="4" w:space="0" w:color="A6A6A6"/>
            </w:tcBorders>
            <w:noWrap/>
            <w:hideMark/>
          </w:tcPr>
          <w:p w14:paraId="3CFE552D" w14:textId="77777777" w:rsidR="00087B91" w:rsidRPr="002029AF" w:rsidRDefault="00087B91" w:rsidP="00C81A0B">
            <w:pPr>
              <w:pStyle w:val="ARfintablebodyright"/>
              <w:spacing w:before="30"/>
              <w:ind w:right="0"/>
            </w:pPr>
            <w:r w:rsidRPr="002029AF">
              <w:t>56.1</w:t>
            </w:r>
          </w:p>
        </w:tc>
        <w:tc>
          <w:tcPr>
            <w:tcW w:w="709" w:type="dxa"/>
            <w:tcBorders>
              <w:top w:val="single" w:sz="4" w:space="0" w:color="A6A6A6"/>
              <w:bottom w:val="single" w:sz="4" w:space="0" w:color="A6A6A6"/>
            </w:tcBorders>
            <w:noWrap/>
            <w:hideMark/>
          </w:tcPr>
          <w:p w14:paraId="04166137" w14:textId="77777777" w:rsidR="00087B91" w:rsidRPr="002029AF" w:rsidRDefault="00087B91" w:rsidP="00C81A0B">
            <w:pPr>
              <w:pStyle w:val="ARfintablebodyright"/>
              <w:spacing w:before="30"/>
              <w:ind w:right="0"/>
            </w:pPr>
            <w:r w:rsidRPr="002029AF">
              <w:t>13.6</w:t>
            </w:r>
          </w:p>
        </w:tc>
        <w:tc>
          <w:tcPr>
            <w:tcW w:w="708" w:type="dxa"/>
            <w:tcBorders>
              <w:top w:val="single" w:sz="4" w:space="0" w:color="A6A6A6"/>
              <w:bottom w:val="single" w:sz="4" w:space="0" w:color="A6A6A6"/>
            </w:tcBorders>
            <w:noWrap/>
            <w:hideMark/>
          </w:tcPr>
          <w:p w14:paraId="699C217E" w14:textId="77777777" w:rsidR="00087B91" w:rsidRPr="002029AF" w:rsidRDefault="00087B91" w:rsidP="00C81A0B">
            <w:pPr>
              <w:pStyle w:val="ARfintablebodyright"/>
              <w:spacing w:before="30"/>
              <w:ind w:right="0"/>
            </w:pPr>
            <w:r w:rsidRPr="002029AF">
              <w:t>616.9</w:t>
            </w:r>
          </w:p>
        </w:tc>
        <w:tc>
          <w:tcPr>
            <w:tcW w:w="708" w:type="dxa"/>
            <w:tcBorders>
              <w:top w:val="single" w:sz="4" w:space="0" w:color="A6A6A6"/>
              <w:bottom w:val="single" w:sz="4" w:space="0" w:color="A6A6A6"/>
            </w:tcBorders>
            <w:noWrap/>
            <w:hideMark/>
          </w:tcPr>
          <w:p w14:paraId="25BDC68D" w14:textId="77777777" w:rsidR="00087B91" w:rsidRPr="002029AF" w:rsidRDefault="00087B91" w:rsidP="00C81A0B">
            <w:pPr>
              <w:pStyle w:val="ARfintablebodyright"/>
              <w:spacing w:before="30"/>
              <w:ind w:right="0"/>
            </w:pPr>
            <w:r w:rsidRPr="002029AF">
              <w:t>391.8</w:t>
            </w:r>
          </w:p>
        </w:tc>
        <w:tc>
          <w:tcPr>
            <w:tcW w:w="709" w:type="dxa"/>
            <w:tcBorders>
              <w:top w:val="single" w:sz="4" w:space="0" w:color="A6A6A6"/>
              <w:bottom w:val="single" w:sz="4" w:space="0" w:color="A6A6A6"/>
            </w:tcBorders>
            <w:noWrap/>
            <w:hideMark/>
          </w:tcPr>
          <w:p w14:paraId="7C76D8A6" w14:textId="77777777" w:rsidR="00087B91" w:rsidRPr="002029AF" w:rsidRDefault="00087B91" w:rsidP="00C81A0B">
            <w:pPr>
              <w:pStyle w:val="ARfintablebodyright"/>
              <w:spacing w:before="30"/>
              <w:ind w:right="0"/>
            </w:pPr>
            <w:r w:rsidRPr="002029AF">
              <w:t>9.7</w:t>
            </w:r>
          </w:p>
        </w:tc>
        <w:tc>
          <w:tcPr>
            <w:tcW w:w="710" w:type="dxa"/>
            <w:tcBorders>
              <w:top w:val="single" w:sz="4" w:space="0" w:color="A6A6A6"/>
              <w:bottom w:val="single" w:sz="4" w:space="0" w:color="A6A6A6"/>
            </w:tcBorders>
            <w:noWrap/>
            <w:hideMark/>
          </w:tcPr>
          <w:p w14:paraId="766258CE" w14:textId="77777777" w:rsidR="00087B91" w:rsidRPr="002029AF" w:rsidRDefault="00087B91" w:rsidP="00C81A0B">
            <w:pPr>
              <w:pStyle w:val="ARfintablebodyright"/>
              <w:spacing w:before="30"/>
              <w:ind w:right="0"/>
            </w:pPr>
            <w:r w:rsidRPr="002029AF">
              <w:t>13.8</w:t>
            </w:r>
          </w:p>
        </w:tc>
        <w:tc>
          <w:tcPr>
            <w:tcW w:w="567" w:type="dxa"/>
            <w:tcBorders>
              <w:top w:val="single" w:sz="4" w:space="0" w:color="A6A6A6"/>
              <w:bottom w:val="single" w:sz="4" w:space="0" w:color="A6A6A6"/>
            </w:tcBorders>
            <w:noWrap/>
            <w:hideMark/>
          </w:tcPr>
          <w:p w14:paraId="35F5C475" w14:textId="77777777" w:rsidR="00087B91" w:rsidRPr="002029AF" w:rsidRDefault="00087B91" w:rsidP="00C81A0B">
            <w:pPr>
              <w:pStyle w:val="ARfintablebodyright"/>
              <w:spacing w:before="30"/>
              <w:ind w:right="0"/>
            </w:pPr>
            <w:r w:rsidRPr="002029AF">
              <w:t>4.1</w:t>
            </w:r>
          </w:p>
        </w:tc>
        <w:tc>
          <w:tcPr>
            <w:tcW w:w="746" w:type="dxa"/>
            <w:tcBorders>
              <w:top w:val="single" w:sz="4" w:space="0" w:color="A6A6A6"/>
              <w:bottom w:val="single" w:sz="4" w:space="0" w:color="A6A6A6"/>
            </w:tcBorders>
            <w:noWrap/>
            <w:hideMark/>
          </w:tcPr>
          <w:p w14:paraId="307E8C74" w14:textId="77777777" w:rsidR="00087B91" w:rsidRPr="002029AF" w:rsidRDefault="00087B91" w:rsidP="00C81A0B">
            <w:pPr>
              <w:pStyle w:val="ARfintablebodyright"/>
              <w:spacing w:before="30"/>
              <w:ind w:right="0"/>
            </w:pPr>
            <w:r w:rsidRPr="002029AF">
              <w:t>33.1</w:t>
            </w:r>
          </w:p>
        </w:tc>
        <w:tc>
          <w:tcPr>
            <w:tcW w:w="709" w:type="dxa"/>
            <w:tcBorders>
              <w:top w:val="single" w:sz="4" w:space="0" w:color="A6A6A6"/>
              <w:bottom w:val="single" w:sz="4" w:space="0" w:color="A6A6A6"/>
            </w:tcBorders>
            <w:noWrap/>
            <w:hideMark/>
          </w:tcPr>
          <w:p w14:paraId="01DF10B7" w14:textId="77777777" w:rsidR="00087B91" w:rsidRPr="002029AF" w:rsidRDefault="00087B91" w:rsidP="00C81A0B">
            <w:pPr>
              <w:pStyle w:val="ARfintablebodyright"/>
              <w:spacing w:before="30"/>
              <w:ind w:right="0"/>
            </w:pPr>
            <w:r w:rsidRPr="002029AF">
              <w:t>114.6</w:t>
            </w:r>
          </w:p>
        </w:tc>
        <w:tc>
          <w:tcPr>
            <w:tcW w:w="640" w:type="dxa"/>
            <w:tcBorders>
              <w:top w:val="single" w:sz="4" w:space="0" w:color="A6A6A6"/>
              <w:bottom w:val="single" w:sz="4" w:space="0" w:color="A6A6A6"/>
            </w:tcBorders>
            <w:noWrap/>
            <w:hideMark/>
          </w:tcPr>
          <w:p w14:paraId="6590F666" w14:textId="77777777" w:rsidR="00087B91" w:rsidRPr="002029AF" w:rsidRDefault="00087B91" w:rsidP="00C81A0B">
            <w:pPr>
              <w:pStyle w:val="ARfintablebodyright"/>
              <w:spacing w:before="30"/>
              <w:ind w:right="0"/>
            </w:pPr>
            <w:r w:rsidRPr="002029AF">
              <w:t>1.6</w:t>
            </w:r>
          </w:p>
        </w:tc>
        <w:tc>
          <w:tcPr>
            <w:tcW w:w="640" w:type="dxa"/>
            <w:tcBorders>
              <w:top w:val="single" w:sz="4" w:space="0" w:color="A6A6A6"/>
              <w:bottom w:val="single" w:sz="4" w:space="0" w:color="A6A6A6"/>
            </w:tcBorders>
            <w:noWrap/>
            <w:hideMark/>
          </w:tcPr>
          <w:p w14:paraId="0549908F" w14:textId="77777777" w:rsidR="00087B91" w:rsidRPr="002029AF" w:rsidRDefault="00087B91" w:rsidP="00C81A0B">
            <w:pPr>
              <w:pStyle w:val="ARfintablebodyright"/>
              <w:spacing w:before="30"/>
              <w:ind w:right="0"/>
            </w:pPr>
            <w:r w:rsidRPr="002029AF">
              <w:t>–</w:t>
            </w:r>
          </w:p>
        </w:tc>
        <w:tc>
          <w:tcPr>
            <w:tcW w:w="667" w:type="dxa"/>
            <w:tcBorders>
              <w:top w:val="single" w:sz="4" w:space="0" w:color="A6A6A6"/>
              <w:bottom w:val="single" w:sz="4" w:space="0" w:color="A6A6A6"/>
            </w:tcBorders>
            <w:noWrap/>
            <w:hideMark/>
          </w:tcPr>
          <w:p w14:paraId="723B7ED6" w14:textId="77777777" w:rsidR="00087B91" w:rsidRPr="002029AF" w:rsidRDefault="00087B91" w:rsidP="00C81A0B">
            <w:pPr>
              <w:pStyle w:val="ARfintablebodyright"/>
              <w:spacing w:before="30"/>
              <w:ind w:right="0"/>
            </w:pPr>
            <w:r w:rsidRPr="002029AF">
              <w:t>1,479.7</w:t>
            </w:r>
          </w:p>
        </w:tc>
      </w:tr>
      <w:tr w:rsidR="002A3743" w:rsidRPr="002029AF" w14:paraId="2049BF9C" w14:textId="77777777" w:rsidTr="00C81A0B">
        <w:trPr>
          <w:gridAfter w:val="1"/>
          <w:wAfter w:w="88" w:type="dxa"/>
        </w:trPr>
        <w:tc>
          <w:tcPr>
            <w:tcW w:w="2263" w:type="dxa"/>
            <w:tcBorders>
              <w:top w:val="single" w:sz="4" w:space="0" w:color="A6A6A6"/>
              <w:bottom w:val="single" w:sz="4" w:space="0" w:color="A6A6A6"/>
            </w:tcBorders>
            <w:hideMark/>
          </w:tcPr>
          <w:p w14:paraId="45CD1EF6" w14:textId="5F4E4220" w:rsidR="00087B91" w:rsidRPr="002029AF" w:rsidRDefault="00087B91" w:rsidP="00C81A0B">
            <w:pPr>
              <w:pStyle w:val="ARfintablebody"/>
              <w:spacing w:before="30"/>
            </w:pPr>
            <w:r w:rsidRPr="002029AF">
              <w:t>Depreciation</w:t>
            </w:r>
            <w:r w:rsidR="000A5329" w:rsidRPr="002029AF">
              <w:t xml:space="preserve"> </w:t>
            </w:r>
            <w:r w:rsidRPr="002029AF">
              <w:t>and</w:t>
            </w:r>
            <w:r w:rsidR="000A5329" w:rsidRPr="002029AF">
              <w:t xml:space="preserve"> </w:t>
            </w:r>
            <w:r w:rsidRPr="002029AF">
              <w:t>amortisation</w:t>
            </w:r>
          </w:p>
        </w:tc>
        <w:tc>
          <w:tcPr>
            <w:tcW w:w="851" w:type="dxa"/>
            <w:tcBorders>
              <w:top w:val="single" w:sz="4" w:space="0" w:color="A6A6A6"/>
              <w:bottom w:val="single" w:sz="4" w:space="0" w:color="A6A6A6"/>
            </w:tcBorders>
            <w:noWrap/>
            <w:hideMark/>
          </w:tcPr>
          <w:p w14:paraId="69298EF8" w14:textId="77777777" w:rsidR="00087B91" w:rsidRPr="002029AF" w:rsidRDefault="00087B91" w:rsidP="00C81A0B">
            <w:pPr>
              <w:pStyle w:val="ARfintablebodyright"/>
              <w:spacing w:before="30"/>
              <w:ind w:right="0"/>
            </w:pPr>
            <w:r w:rsidRPr="002029AF">
              <w:t>14.2</w:t>
            </w:r>
          </w:p>
        </w:tc>
        <w:tc>
          <w:tcPr>
            <w:tcW w:w="709" w:type="dxa"/>
            <w:tcBorders>
              <w:top w:val="single" w:sz="4" w:space="0" w:color="A6A6A6"/>
              <w:bottom w:val="single" w:sz="4" w:space="0" w:color="A6A6A6"/>
            </w:tcBorders>
            <w:noWrap/>
            <w:hideMark/>
          </w:tcPr>
          <w:p w14:paraId="7A5EA47F" w14:textId="77777777" w:rsidR="00087B91" w:rsidRPr="002029AF" w:rsidRDefault="00087B91" w:rsidP="00C81A0B">
            <w:pPr>
              <w:pStyle w:val="ARfintablebodyright"/>
              <w:spacing w:before="30"/>
              <w:ind w:right="0"/>
            </w:pPr>
            <w:r w:rsidRPr="002029AF">
              <w:t>–</w:t>
            </w:r>
          </w:p>
        </w:tc>
        <w:tc>
          <w:tcPr>
            <w:tcW w:w="567" w:type="dxa"/>
            <w:tcBorders>
              <w:top w:val="single" w:sz="4" w:space="0" w:color="A6A6A6"/>
              <w:bottom w:val="single" w:sz="4" w:space="0" w:color="A6A6A6"/>
            </w:tcBorders>
            <w:noWrap/>
            <w:hideMark/>
          </w:tcPr>
          <w:p w14:paraId="1BD98543" w14:textId="77777777" w:rsidR="00087B91" w:rsidRPr="002029AF" w:rsidRDefault="00087B91" w:rsidP="00C81A0B">
            <w:pPr>
              <w:pStyle w:val="ARfintablebodyright"/>
              <w:spacing w:before="30"/>
              <w:ind w:right="0"/>
            </w:pPr>
            <w:r w:rsidRPr="002029AF">
              <w:t>10.5</w:t>
            </w:r>
          </w:p>
        </w:tc>
        <w:tc>
          <w:tcPr>
            <w:tcW w:w="709" w:type="dxa"/>
            <w:tcBorders>
              <w:top w:val="single" w:sz="4" w:space="0" w:color="A6A6A6"/>
              <w:bottom w:val="single" w:sz="4" w:space="0" w:color="A6A6A6"/>
            </w:tcBorders>
            <w:noWrap/>
            <w:hideMark/>
          </w:tcPr>
          <w:p w14:paraId="02DA2F30" w14:textId="77777777" w:rsidR="00087B91" w:rsidRPr="002029AF" w:rsidRDefault="00087B91" w:rsidP="00C81A0B">
            <w:pPr>
              <w:pStyle w:val="ARfintablebodyright"/>
              <w:spacing w:before="30"/>
              <w:ind w:right="0"/>
            </w:pPr>
            <w:r w:rsidRPr="002029AF">
              <w:t>0.9</w:t>
            </w:r>
          </w:p>
        </w:tc>
        <w:tc>
          <w:tcPr>
            <w:tcW w:w="708" w:type="dxa"/>
            <w:tcBorders>
              <w:top w:val="single" w:sz="4" w:space="0" w:color="A6A6A6"/>
              <w:bottom w:val="single" w:sz="4" w:space="0" w:color="A6A6A6"/>
            </w:tcBorders>
            <w:noWrap/>
            <w:hideMark/>
          </w:tcPr>
          <w:p w14:paraId="075101BC" w14:textId="77777777" w:rsidR="00087B91" w:rsidRPr="002029AF" w:rsidRDefault="00087B91" w:rsidP="00C81A0B">
            <w:pPr>
              <w:pStyle w:val="ARfintablebodyright"/>
              <w:spacing w:before="30"/>
              <w:ind w:right="0"/>
            </w:pPr>
            <w:r w:rsidRPr="002029AF">
              <w:t>1.8</w:t>
            </w:r>
          </w:p>
        </w:tc>
        <w:tc>
          <w:tcPr>
            <w:tcW w:w="567" w:type="dxa"/>
            <w:tcBorders>
              <w:top w:val="single" w:sz="4" w:space="0" w:color="A6A6A6"/>
              <w:bottom w:val="single" w:sz="4" w:space="0" w:color="A6A6A6"/>
            </w:tcBorders>
            <w:noWrap/>
            <w:hideMark/>
          </w:tcPr>
          <w:p w14:paraId="49BC2CBD"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bottom w:val="single" w:sz="4" w:space="0" w:color="A6A6A6"/>
            </w:tcBorders>
            <w:noWrap/>
            <w:hideMark/>
          </w:tcPr>
          <w:p w14:paraId="530D3C45" w14:textId="77777777" w:rsidR="00087B91" w:rsidRPr="002029AF" w:rsidRDefault="00087B91" w:rsidP="00C81A0B">
            <w:pPr>
              <w:pStyle w:val="ARfintablebodyright"/>
              <w:spacing w:before="30"/>
              <w:ind w:right="0"/>
            </w:pPr>
            <w:r w:rsidRPr="002029AF">
              <w:t>1.5</w:t>
            </w:r>
          </w:p>
        </w:tc>
        <w:tc>
          <w:tcPr>
            <w:tcW w:w="709" w:type="dxa"/>
            <w:tcBorders>
              <w:top w:val="single" w:sz="4" w:space="0" w:color="A6A6A6"/>
              <w:bottom w:val="single" w:sz="4" w:space="0" w:color="A6A6A6"/>
            </w:tcBorders>
            <w:noWrap/>
            <w:hideMark/>
          </w:tcPr>
          <w:p w14:paraId="3DCE0A05" w14:textId="77777777" w:rsidR="00087B91" w:rsidRPr="002029AF" w:rsidRDefault="00087B91" w:rsidP="00C81A0B">
            <w:pPr>
              <w:pStyle w:val="ARfintablebodyright"/>
              <w:spacing w:before="30"/>
              <w:ind w:right="0"/>
            </w:pPr>
            <w:r w:rsidRPr="002029AF">
              <w:t>0.3</w:t>
            </w:r>
          </w:p>
        </w:tc>
        <w:tc>
          <w:tcPr>
            <w:tcW w:w="708" w:type="dxa"/>
            <w:tcBorders>
              <w:top w:val="single" w:sz="4" w:space="0" w:color="A6A6A6"/>
              <w:bottom w:val="single" w:sz="4" w:space="0" w:color="A6A6A6"/>
            </w:tcBorders>
            <w:noWrap/>
            <w:hideMark/>
          </w:tcPr>
          <w:p w14:paraId="24632B53" w14:textId="77777777" w:rsidR="00087B91" w:rsidRPr="002029AF" w:rsidRDefault="00087B91" w:rsidP="00C81A0B">
            <w:pPr>
              <w:pStyle w:val="ARfintablebodyright"/>
              <w:spacing w:before="30"/>
              <w:ind w:right="0"/>
            </w:pPr>
            <w:r w:rsidRPr="002029AF">
              <w:t>14.3</w:t>
            </w:r>
          </w:p>
        </w:tc>
        <w:tc>
          <w:tcPr>
            <w:tcW w:w="708" w:type="dxa"/>
            <w:tcBorders>
              <w:top w:val="single" w:sz="4" w:space="0" w:color="A6A6A6"/>
              <w:bottom w:val="single" w:sz="4" w:space="0" w:color="A6A6A6"/>
            </w:tcBorders>
            <w:noWrap/>
            <w:hideMark/>
          </w:tcPr>
          <w:p w14:paraId="0B81C9E6" w14:textId="77777777" w:rsidR="00087B91" w:rsidRPr="002029AF" w:rsidRDefault="00087B91" w:rsidP="00C81A0B">
            <w:pPr>
              <w:pStyle w:val="ARfintablebodyright"/>
              <w:spacing w:before="30"/>
              <w:ind w:right="0"/>
            </w:pPr>
            <w:r w:rsidRPr="002029AF">
              <w:t>10.7</w:t>
            </w:r>
          </w:p>
        </w:tc>
        <w:tc>
          <w:tcPr>
            <w:tcW w:w="709" w:type="dxa"/>
            <w:tcBorders>
              <w:top w:val="single" w:sz="4" w:space="0" w:color="A6A6A6"/>
              <w:bottom w:val="single" w:sz="4" w:space="0" w:color="A6A6A6"/>
            </w:tcBorders>
            <w:noWrap/>
            <w:hideMark/>
          </w:tcPr>
          <w:p w14:paraId="0D2B3F9E" w14:textId="77777777" w:rsidR="00087B91" w:rsidRPr="002029AF" w:rsidRDefault="00087B91" w:rsidP="00C81A0B">
            <w:pPr>
              <w:pStyle w:val="ARfintablebodyright"/>
              <w:spacing w:before="30"/>
              <w:ind w:right="0"/>
            </w:pPr>
            <w:r w:rsidRPr="002029AF">
              <w:t>–</w:t>
            </w:r>
          </w:p>
        </w:tc>
        <w:tc>
          <w:tcPr>
            <w:tcW w:w="710" w:type="dxa"/>
            <w:tcBorders>
              <w:top w:val="single" w:sz="4" w:space="0" w:color="A6A6A6"/>
              <w:bottom w:val="single" w:sz="4" w:space="0" w:color="A6A6A6"/>
            </w:tcBorders>
            <w:noWrap/>
            <w:hideMark/>
          </w:tcPr>
          <w:p w14:paraId="4F3459AD" w14:textId="77777777" w:rsidR="00087B91" w:rsidRPr="002029AF" w:rsidRDefault="00087B91" w:rsidP="00C81A0B">
            <w:pPr>
              <w:pStyle w:val="ARfintablebodyright"/>
              <w:spacing w:before="30"/>
              <w:ind w:right="0"/>
            </w:pPr>
            <w:r w:rsidRPr="002029AF">
              <w:t>0.6</w:t>
            </w:r>
          </w:p>
        </w:tc>
        <w:tc>
          <w:tcPr>
            <w:tcW w:w="567" w:type="dxa"/>
            <w:tcBorders>
              <w:top w:val="single" w:sz="4" w:space="0" w:color="A6A6A6"/>
              <w:bottom w:val="single" w:sz="4" w:space="0" w:color="A6A6A6"/>
            </w:tcBorders>
            <w:noWrap/>
            <w:hideMark/>
          </w:tcPr>
          <w:p w14:paraId="2661346A" w14:textId="77777777" w:rsidR="00087B91" w:rsidRPr="002029AF" w:rsidRDefault="00087B91" w:rsidP="00C81A0B">
            <w:pPr>
              <w:pStyle w:val="ARfintablebodyright"/>
              <w:spacing w:before="30"/>
              <w:ind w:right="0"/>
            </w:pPr>
            <w:r w:rsidRPr="002029AF">
              <w:t>–</w:t>
            </w:r>
          </w:p>
        </w:tc>
        <w:tc>
          <w:tcPr>
            <w:tcW w:w="746" w:type="dxa"/>
            <w:tcBorders>
              <w:top w:val="single" w:sz="4" w:space="0" w:color="A6A6A6"/>
              <w:bottom w:val="single" w:sz="4" w:space="0" w:color="A6A6A6"/>
            </w:tcBorders>
            <w:noWrap/>
            <w:hideMark/>
          </w:tcPr>
          <w:p w14:paraId="7A2495EE" w14:textId="77777777" w:rsidR="00087B91" w:rsidRPr="002029AF" w:rsidRDefault="00087B91" w:rsidP="00C81A0B">
            <w:pPr>
              <w:pStyle w:val="ARfintablebodyright"/>
              <w:spacing w:before="30"/>
              <w:ind w:right="0"/>
            </w:pPr>
            <w:r w:rsidRPr="002029AF">
              <w:t>5.0</w:t>
            </w:r>
          </w:p>
        </w:tc>
        <w:tc>
          <w:tcPr>
            <w:tcW w:w="709" w:type="dxa"/>
            <w:tcBorders>
              <w:top w:val="single" w:sz="4" w:space="0" w:color="A6A6A6"/>
              <w:bottom w:val="single" w:sz="4" w:space="0" w:color="A6A6A6"/>
            </w:tcBorders>
            <w:noWrap/>
            <w:hideMark/>
          </w:tcPr>
          <w:p w14:paraId="6898B9FA" w14:textId="77777777" w:rsidR="00087B91" w:rsidRPr="002029AF" w:rsidRDefault="00087B91" w:rsidP="00C81A0B">
            <w:pPr>
              <w:pStyle w:val="ARfintablebodyright"/>
              <w:spacing w:before="30"/>
              <w:ind w:right="0"/>
            </w:pPr>
            <w:r w:rsidRPr="002029AF">
              <w:t>280.6</w:t>
            </w:r>
          </w:p>
        </w:tc>
        <w:tc>
          <w:tcPr>
            <w:tcW w:w="640" w:type="dxa"/>
            <w:tcBorders>
              <w:top w:val="single" w:sz="4" w:space="0" w:color="A6A6A6"/>
              <w:bottom w:val="single" w:sz="4" w:space="0" w:color="A6A6A6"/>
            </w:tcBorders>
            <w:noWrap/>
            <w:hideMark/>
          </w:tcPr>
          <w:p w14:paraId="4623A907" w14:textId="77777777" w:rsidR="00087B91" w:rsidRPr="002029AF" w:rsidRDefault="00087B91" w:rsidP="00C81A0B">
            <w:pPr>
              <w:pStyle w:val="ARfintablebodyright"/>
              <w:spacing w:before="30"/>
              <w:ind w:right="0"/>
            </w:pPr>
            <w:r w:rsidRPr="002029AF">
              <w:t>0.2</w:t>
            </w:r>
          </w:p>
        </w:tc>
        <w:tc>
          <w:tcPr>
            <w:tcW w:w="640" w:type="dxa"/>
            <w:tcBorders>
              <w:top w:val="single" w:sz="4" w:space="0" w:color="A6A6A6"/>
              <w:bottom w:val="single" w:sz="4" w:space="0" w:color="A6A6A6"/>
            </w:tcBorders>
            <w:noWrap/>
            <w:hideMark/>
          </w:tcPr>
          <w:p w14:paraId="61183906" w14:textId="77777777" w:rsidR="00087B91" w:rsidRPr="002029AF" w:rsidRDefault="00087B91" w:rsidP="00C81A0B">
            <w:pPr>
              <w:pStyle w:val="ARfintablebodyright"/>
              <w:spacing w:before="30"/>
              <w:ind w:right="0"/>
            </w:pPr>
            <w:r w:rsidRPr="002029AF">
              <w:t>–</w:t>
            </w:r>
          </w:p>
        </w:tc>
        <w:tc>
          <w:tcPr>
            <w:tcW w:w="667" w:type="dxa"/>
            <w:tcBorders>
              <w:top w:val="single" w:sz="4" w:space="0" w:color="A6A6A6"/>
              <w:bottom w:val="single" w:sz="4" w:space="0" w:color="A6A6A6"/>
            </w:tcBorders>
            <w:noWrap/>
            <w:hideMark/>
          </w:tcPr>
          <w:p w14:paraId="79507FF4" w14:textId="77777777" w:rsidR="00087B91" w:rsidRPr="002029AF" w:rsidRDefault="00087B91" w:rsidP="00C81A0B">
            <w:pPr>
              <w:pStyle w:val="ARfintablebodyright"/>
              <w:spacing w:before="30"/>
              <w:ind w:right="0"/>
            </w:pPr>
            <w:r w:rsidRPr="002029AF">
              <w:t>340.5</w:t>
            </w:r>
          </w:p>
        </w:tc>
      </w:tr>
      <w:tr w:rsidR="002A3743" w:rsidRPr="002029AF" w14:paraId="539D5621" w14:textId="77777777" w:rsidTr="00C81A0B">
        <w:trPr>
          <w:gridAfter w:val="1"/>
          <w:wAfter w:w="88" w:type="dxa"/>
        </w:trPr>
        <w:tc>
          <w:tcPr>
            <w:tcW w:w="2263" w:type="dxa"/>
            <w:tcBorders>
              <w:top w:val="single" w:sz="4" w:space="0" w:color="A6A6A6"/>
              <w:bottom w:val="single" w:sz="4" w:space="0" w:color="A6A6A6"/>
            </w:tcBorders>
            <w:hideMark/>
          </w:tcPr>
          <w:p w14:paraId="484882D6" w14:textId="68C6E32D" w:rsidR="00087B91" w:rsidRPr="002029AF" w:rsidRDefault="00087B91" w:rsidP="00C81A0B">
            <w:pPr>
              <w:pStyle w:val="ARfintablebody"/>
              <w:spacing w:before="30"/>
            </w:pPr>
            <w:r w:rsidRPr="002029AF">
              <w:t>Interest</w:t>
            </w:r>
            <w:r w:rsidR="000A5329" w:rsidRPr="002029AF">
              <w:t xml:space="preserve"> </w:t>
            </w:r>
            <w:r w:rsidRPr="002029AF">
              <w:t>expense</w:t>
            </w:r>
          </w:p>
        </w:tc>
        <w:tc>
          <w:tcPr>
            <w:tcW w:w="851" w:type="dxa"/>
            <w:tcBorders>
              <w:top w:val="single" w:sz="4" w:space="0" w:color="A6A6A6"/>
              <w:bottom w:val="single" w:sz="4" w:space="0" w:color="A6A6A6"/>
            </w:tcBorders>
            <w:noWrap/>
            <w:hideMark/>
          </w:tcPr>
          <w:p w14:paraId="20D02A4E"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bottom w:val="single" w:sz="4" w:space="0" w:color="A6A6A6"/>
            </w:tcBorders>
            <w:noWrap/>
            <w:hideMark/>
          </w:tcPr>
          <w:p w14:paraId="6CF3AEA7" w14:textId="77777777" w:rsidR="00087B91" w:rsidRPr="002029AF" w:rsidRDefault="00087B91" w:rsidP="00C81A0B">
            <w:pPr>
              <w:pStyle w:val="ARfintablebodyright"/>
              <w:spacing w:before="30"/>
              <w:ind w:right="0"/>
            </w:pPr>
            <w:r w:rsidRPr="002029AF">
              <w:t>–</w:t>
            </w:r>
          </w:p>
        </w:tc>
        <w:tc>
          <w:tcPr>
            <w:tcW w:w="567" w:type="dxa"/>
            <w:tcBorders>
              <w:top w:val="single" w:sz="4" w:space="0" w:color="A6A6A6"/>
              <w:bottom w:val="single" w:sz="4" w:space="0" w:color="A6A6A6"/>
            </w:tcBorders>
            <w:noWrap/>
            <w:hideMark/>
          </w:tcPr>
          <w:p w14:paraId="5B801EF9"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bottom w:val="single" w:sz="4" w:space="0" w:color="A6A6A6"/>
            </w:tcBorders>
            <w:noWrap/>
            <w:hideMark/>
          </w:tcPr>
          <w:p w14:paraId="5D311C48" w14:textId="77777777" w:rsidR="00087B91" w:rsidRPr="002029AF" w:rsidRDefault="00087B91" w:rsidP="00C81A0B">
            <w:pPr>
              <w:pStyle w:val="ARfintablebodyright"/>
              <w:spacing w:before="30"/>
              <w:ind w:right="0"/>
            </w:pPr>
            <w:r w:rsidRPr="002029AF">
              <w:t>–</w:t>
            </w:r>
          </w:p>
        </w:tc>
        <w:tc>
          <w:tcPr>
            <w:tcW w:w="708" w:type="dxa"/>
            <w:tcBorders>
              <w:top w:val="single" w:sz="4" w:space="0" w:color="A6A6A6"/>
              <w:bottom w:val="single" w:sz="4" w:space="0" w:color="A6A6A6"/>
            </w:tcBorders>
            <w:noWrap/>
            <w:hideMark/>
          </w:tcPr>
          <w:p w14:paraId="4016F097" w14:textId="77777777" w:rsidR="00087B91" w:rsidRPr="002029AF" w:rsidRDefault="00087B91" w:rsidP="00C81A0B">
            <w:pPr>
              <w:pStyle w:val="ARfintablebodyright"/>
              <w:spacing w:before="30"/>
              <w:ind w:right="0"/>
            </w:pPr>
            <w:r w:rsidRPr="002029AF">
              <w:t>–</w:t>
            </w:r>
          </w:p>
        </w:tc>
        <w:tc>
          <w:tcPr>
            <w:tcW w:w="567" w:type="dxa"/>
            <w:tcBorders>
              <w:top w:val="single" w:sz="4" w:space="0" w:color="A6A6A6"/>
              <w:bottom w:val="single" w:sz="4" w:space="0" w:color="A6A6A6"/>
            </w:tcBorders>
            <w:noWrap/>
            <w:hideMark/>
          </w:tcPr>
          <w:p w14:paraId="4B18A30D"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bottom w:val="single" w:sz="4" w:space="0" w:color="A6A6A6"/>
            </w:tcBorders>
            <w:noWrap/>
            <w:hideMark/>
          </w:tcPr>
          <w:p w14:paraId="0B340D88"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bottom w:val="single" w:sz="4" w:space="0" w:color="A6A6A6"/>
            </w:tcBorders>
            <w:noWrap/>
            <w:hideMark/>
          </w:tcPr>
          <w:p w14:paraId="66F7CBC8" w14:textId="77777777" w:rsidR="00087B91" w:rsidRPr="002029AF" w:rsidRDefault="00087B91" w:rsidP="00C81A0B">
            <w:pPr>
              <w:pStyle w:val="ARfintablebodyright"/>
              <w:spacing w:before="30"/>
              <w:ind w:right="0"/>
            </w:pPr>
            <w:r w:rsidRPr="002029AF">
              <w:t>–</w:t>
            </w:r>
          </w:p>
        </w:tc>
        <w:tc>
          <w:tcPr>
            <w:tcW w:w="708" w:type="dxa"/>
            <w:tcBorders>
              <w:top w:val="single" w:sz="4" w:space="0" w:color="A6A6A6"/>
              <w:bottom w:val="single" w:sz="4" w:space="0" w:color="A6A6A6"/>
            </w:tcBorders>
            <w:noWrap/>
            <w:hideMark/>
          </w:tcPr>
          <w:p w14:paraId="4B51AC65" w14:textId="77777777" w:rsidR="00087B91" w:rsidRPr="002029AF" w:rsidRDefault="00087B91" w:rsidP="00C81A0B">
            <w:pPr>
              <w:pStyle w:val="ARfintablebodyright"/>
              <w:spacing w:before="30"/>
              <w:ind w:right="0"/>
            </w:pPr>
            <w:r w:rsidRPr="002029AF">
              <w:t>0.2</w:t>
            </w:r>
          </w:p>
        </w:tc>
        <w:tc>
          <w:tcPr>
            <w:tcW w:w="708" w:type="dxa"/>
            <w:tcBorders>
              <w:top w:val="single" w:sz="4" w:space="0" w:color="A6A6A6"/>
              <w:bottom w:val="single" w:sz="4" w:space="0" w:color="A6A6A6"/>
            </w:tcBorders>
            <w:noWrap/>
            <w:hideMark/>
          </w:tcPr>
          <w:p w14:paraId="174F7862" w14:textId="77777777" w:rsidR="00087B91" w:rsidRPr="002029AF" w:rsidRDefault="00087B91" w:rsidP="00C81A0B">
            <w:pPr>
              <w:pStyle w:val="ARfintablebodyright"/>
              <w:spacing w:before="30"/>
              <w:ind w:right="0"/>
            </w:pPr>
            <w:r w:rsidRPr="002029AF">
              <w:t>0.4</w:t>
            </w:r>
          </w:p>
        </w:tc>
        <w:tc>
          <w:tcPr>
            <w:tcW w:w="709" w:type="dxa"/>
            <w:tcBorders>
              <w:top w:val="single" w:sz="4" w:space="0" w:color="A6A6A6"/>
              <w:bottom w:val="single" w:sz="4" w:space="0" w:color="A6A6A6"/>
            </w:tcBorders>
            <w:noWrap/>
            <w:hideMark/>
          </w:tcPr>
          <w:p w14:paraId="5ECA0B56" w14:textId="77777777" w:rsidR="00087B91" w:rsidRPr="002029AF" w:rsidRDefault="00087B91" w:rsidP="00C81A0B">
            <w:pPr>
              <w:pStyle w:val="ARfintablebodyright"/>
              <w:spacing w:before="30"/>
              <w:ind w:right="0"/>
            </w:pPr>
            <w:r w:rsidRPr="002029AF">
              <w:t>–</w:t>
            </w:r>
          </w:p>
        </w:tc>
        <w:tc>
          <w:tcPr>
            <w:tcW w:w="710" w:type="dxa"/>
            <w:tcBorders>
              <w:top w:val="single" w:sz="4" w:space="0" w:color="A6A6A6"/>
              <w:bottom w:val="single" w:sz="4" w:space="0" w:color="A6A6A6"/>
            </w:tcBorders>
            <w:noWrap/>
            <w:hideMark/>
          </w:tcPr>
          <w:p w14:paraId="0821C3E1" w14:textId="77777777" w:rsidR="00087B91" w:rsidRPr="002029AF" w:rsidRDefault="00087B91" w:rsidP="00C81A0B">
            <w:pPr>
              <w:pStyle w:val="ARfintablebodyright"/>
              <w:spacing w:before="30"/>
              <w:ind w:right="0"/>
            </w:pPr>
            <w:r w:rsidRPr="002029AF">
              <w:t>–</w:t>
            </w:r>
          </w:p>
        </w:tc>
        <w:tc>
          <w:tcPr>
            <w:tcW w:w="567" w:type="dxa"/>
            <w:tcBorders>
              <w:top w:val="single" w:sz="4" w:space="0" w:color="A6A6A6"/>
              <w:bottom w:val="single" w:sz="4" w:space="0" w:color="A6A6A6"/>
            </w:tcBorders>
            <w:noWrap/>
            <w:hideMark/>
          </w:tcPr>
          <w:p w14:paraId="126435DB" w14:textId="77777777" w:rsidR="00087B91" w:rsidRPr="002029AF" w:rsidRDefault="00087B91" w:rsidP="00C81A0B">
            <w:pPr>
              <w:pStyle w:val="ARfintablebodyright"/>
              <w:spacing w:before="30"/>
              <w:ind w:right="0"/>
            </w:pPr>
            <w:r w:rsidRPr="002029AF">
              <w:t>–</w:t>
            </w:r>
          </w:p>
        </w:tc>
        <w:tc>
          <w:tcPr>
            <w:tcW w:w="746" w:type="dxa"/>
            <w:tcBorders>
              <w:top w:val="single" w:sz="4" w:space="0" w:color="A6A6A6"/>
              <w:bottom w:val="single" w:sz="4" w:space="0" w:color="A6A6A6"/>
            </w:tcBorders>
            <w:noWrap/>
            <w:hideMark/>
          </w:tcPr>
          <w:p w14:paraId="2972BEFE"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bottom w:val="single" w:sz="4" w:space="0" w:color="A6A6A6"/>
            </w:tcBorders>
            <w:noWrap/>
            <w:hideMark/>
          </w:tcPr>
          <w:p w14:paraId="3215E519" w14:textId="77777777" w:rsidR="00087B91" w:rsidRPr="002029AF" w:rsidRDefault="00087B91" w:rsidP="00C81A0B">
            <w:pPr>
              <w:pStyle w:val="ARfintablebodyright"/>
              <w:spacing w:before="30"/>
              <w:ind w:right="0"/>
            </w:pPr>
            <w:r w:rsidRPr="002029AF">
              <w:t>–</w:t>
            </w:r>
          </w:p>
        </w:tc>
        <w:tc>
          <w:tcPr>
            <w:tcW w:w="640" w:type="dxa"/>
            <w:tcBorders>
              <w:top w:val="single" w:sz="4" w:space="0" w:color="A6A6A6"/>
              <w:bottom w:val="single" w:sz="4" w:space="0" w:color="A6A6A6"/>
            </w:tcBorders>
            <w:noWrap/>
            <w:hideMark/>
          </w:tcPr>
          <w:p w14:paraId="0D02CD39" w14:textId="77777777" w:rsidR="00087B91" w:rsidRPr="002029AF" w:rsidRDefault="00087B91" w:rsidP="00C81A0B">
            <w:pPr>
              <w:pStyle w:val="ARfintablebodyright"/>
              <w:spacing w:before="30"/>
              <w:ind w:right="0"/>
            </w:pPr>
            <w:r w:rsidRPr="002029AF">
              <w:t>–</w:t>
            </w:r>
          </w:p>
        </w:tc>
        <w:tc>
          <w:tcPr>
            <w:tcW w:w="640" w:type="dxa"/>
            <w:tcBorders>
              <w:top w:val="single" w:sz="4" w:space="0" w:color="A6A6A6"/>
              <w:bottom w:val="single" w:sz="4" w:space="0" w:color="A6A6A6"/>
            </w:tcBorders>
            <w:noWrap/>
            <w:hideMark/>
          </w:tcPr>
          <w:p w14:paraId="3F87AEB7" w14:textId="77777777" w:rsidR="00087B91" w:rsidRPr="002029AF" w:rsidRDefault="00087B91" w:rsidP="00C81A0B">
            <w:pPr>
              <w:pStyle w:val="ARfintablebodyright"/>
              <w:spacing w:before="30"/>
              <w:ind w:right="0"/>
            </w:pPr>
            <w:r w:rsidRPr="002029AF">
              <w:t>–</w:t>
            </w:r>
          </w:p>
        </w:tc>
        <w:tc>
          <w:tcPr>
            <w:tcW w:w="667" w:type="dxa"/>
            <w:tcBorders>
              <w:top w:val="single" w:sz="4" w:space="0" w:color="A6A6A6"/>
              <w:bottom w:val="single" w:sz="4" w:space="0" w:color="A6A6A6"/>
            </w:tcBorders>
            <w:noWrap/>
            <w:hideMark/>
          </w:tcPr>
          <w:p w14:paraId="5346865C" w14:textId="77777777" w:rsidR="00087B91" w:rsidRPr="002029AF" w:rsidRDefault="00087B91" w:rsidP="00C81A0B">
            <w:pPr>
              <w:pStyle w:val="ARfintablebodyright"/>
              <w:spacing w:before="30"/>
              <w:ind w:right="0"/>
            </w:pPr>
            <w:r w:rsidRPr="002029AF">
              <w:t>0.6</w:t>
            </w:r>
          </w:p>
        </w:tc>
      </w:tr>
      <w:tr w:rsidR="002A3743" w:rsidRPr="002029AF" w14:paraId="111CFD10" w14:textId="77777777" w:rsidTr="00C81A0B">
        <w:trPr>
          <w:gridAfter w:val="1"/>
          <w:wAfter w:w="88" w:type="dxa"/>
        </w:trPr>
        <w:tc>
          <w:tcPr>
            <w:tcW w:w="2263" w:type="dxa"/>
            <w:tcBorders>
              <w:top w:val="single" w:sz="4" w:space="0" w:color="A6A6A6"/>
              <w:bottom w:val="single" w:sz="4" w:space="0" w:color="A6A6A6"/>
            </w:tcBorders>
            <w:hideMark/>
          </w:tcPr>
          <w:p w14:paraId="55FE209B" w14:textId="77777777" w:rsidR="00087B91" w:rsidRPr="002029AF" w:rsidRDefault="00087B91" w:rsidP="00C81A0B">
            <w:pPr>
              <w:pStyle w:val="ARfintablebody"/>
              <w:spacing w:before="30"/>
            </w:pPr>
            <w:r w:rsidRPr="002029AF">
              <w:t>Maintenance</w:t>
            </w:r>
          </w:p>
        </w:tc>
        <w:tc>
          <w:tcPr>
            <w:tcW w:w="851" w:type="dxa"/>
            <w:tcBorders>
              <w:top w:val="single" w:sz="4" w:space="0" w:color="A6A6A6"/>
              <w:bottom w:val="single" w:sz="4" w:space="0" w:color="A6A6A6"/>
            </w:tcBorders>
            <w:noWrap/>
            <w:hideMark/>
          </w:tcPr>
          <w:p w14:paraId="1135B460" w14:textId="77777777" w:rsidR="00087B91" w:rsidRPr="002029AF" w:rsidRDefault="00087B91" w:rsidP="00C81A0B">
            <w:pPr>
              <w:pStyle w:val="ARfintablebodyright"/>
              <w:spacing w:before="30"/>
              <w:ind w:right="0"/>
            </w:pPr>
            <w:r w:rsidRPr="002029AF">
              <w:t>0.4</w:t>
            </w:r>
          </w:p>
        </w:tc>
        <w:tc>
          <w:tcPr>
            <w:tcW w:w="709" w:type="dxa"/>
            <w:tcBorders>
              <w:top w:val="single" w:sz="4" w:space="0" w:color="A6A6A6"/>
              <w:bottom w:val="single" w:sz="4" w:space="0" w:color="A6A6A6"/>
            </w:tcBorders>
            <w:noWrap/>
            <w:hideMark/>
          </w:tcPr>
          <w:p w14:paraId="54558716" w14:textId="77777777" w:rsidR="00087B91" w:rsidRPr="002029AF" w:rsidRDefault="00087B91" w:rsidP="00C81A0B">
            <w:pPr>
              <w:pStyle w:val="ARfintablebodyright"/>
              <w:spacing w:before="30"/>
              <w:ind w:right="0"/>
            </w:pPr>
            <w:r w:rsidRPr="002029AF">
              <w:t>–</w:t>
            </w:r>
          </w:p>
        </w:tc>
        <w:tc>
          <w:tcPr>
            <w:tcW w:w="567" w:type="dxa"/>
            <w:tcBorders>
              <w:top w:val="single" w:sz="4" w:space="0" w:color="A6A6A6"/>
              <w:bottom w:val="single" w:sz="4" w:space="0" w:color="A6A6A6"/>
            </w:tcBorders>
            <w:noWrap/>
            <w:hideMark/>
          </w:tcPr>
          <w:p w14:paraId="702C4A61" w14:textId="77777777" w:rsidR="00087B91" w:rsidRPr="002029AF" w:rsidRDefault="00087B91" w:rsidP="00C81A0B">
            <w:pPr>
              <w:pStyle w:val="ARfintablebodyright"/>
              <w:spacing w:before="30"/>
              <w:ind w:right="0"/>
            </w:pPr>
            <w:r w:rsidRPr="002029AF">
              <w:t>0.2</w:t>
            </w:r>
          </w:p>
        </w:tc>
        <w:tc>
          <w:tcPr>
            <w:tcW w:w="709" w:type="dxa"/>
            <w:tcBorders>
              <w:top w:val="single" w:sz="4" w:space="0" w:color="A6A6A6"/>
              <w:bottom w:val="single" w:sz="4" w:space="0" w:color="A6A6A6"/>
            </w:tcBorders>
            <w:noWrap/>
            <w:hideMark/>
          </w:tcPr>
          <w:p w14:paraId="6E2E60F3" w14:textId="77777777" w:rsidR="00087B91" w:rsidRPr="002029AF" w:rsidRDefault="00087B91" w:rsidP="00C81A0B">
            <w:pPr>
              <w:pStyle w:val="ARfintablebodyright"/>
              <w:spacing w:before="30"/>
              <w:ind w:right="0"/>
            </w:pPr>
            <w:r w:rsidRPr="002029AF">
              <w:t>–</w:t>
            </w:r>
          </w:p>
        </w:tc>
        <w:tc>
          <w:tcPr>
            <w:tcW w:w="708" w:type="dxa"/>
            <w:tcBorders>
              <w:top w:val="single" w:sz="4" w:space="0" w:color="A6A6A6"/>
              <w:bottom w:val="single" w:sz="4" w:space="0" w:color="A6A6A6"/>
            </w:tcBorders>
            <w:noWrap/>
            <w:hideMark/>
          </w:tcPr>
          <w:p w14:paraId="044A31E8" w14:textId="77777777" w:rsidR="00087B91" w:rsidRPr="002029AF" w:rsidRDefault="00087B91" w:rsidP="00C81A0B">
            <w:pPr>
              <w:pStyle w:val="ARfintablebodyright"/>
              <w:spacing w:before="30"/>
              <w:ind w:right="0"/>
            </w:pPr>
            <w:r w:rsidRPr="002029AF">
              <w:t>–</w:t>
            </w:r>
          </w:p>
        </w:tc>
        <w:tc>
          <w:tcPr>
            <w:tcW w:w="567" w:type="dxa"/>
            <w:tcBorders>
              <w:top w:val="single" w:sz="4" w:space="0" w:color="A6A6A6"/>
              <w:bottom w:val="single" w:sz="4" w:space="0" w:color="A6A6A6"/>
            </w:tcBorders>
            <w:noWrap/>
            <w:hideMark/>
          </w:tcPr>
          <w:p w14:paraId="2D694CDA"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bottom w:val="single" w:sz="4" w:space="0" w:color="A6A6A6"/>
            </w:tcBorders>
            <w:noWrap/>
            <w:hideMark/>
          </w:tcPr>
          <w:p w14:paraId="3BB60A2F"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bottom w:val="single" w:sz="4" w:space="0" w:color="A6A6A6"/>
            </w:tcBorders>
            <w:noWrap/>
            <w:hideMark/>
          </w:tcPr>
          <w:p w14:paraId="51B16F63" w14:textId="77777777" w:rsidR="00087B91" w:rsidRPr="002029AF" w:rsidRDefault="00087B91" w:rsidP="00C81A0B">
            <w:pPr>
              <w:pStyle w:val="ARfintablebodyright"/>
              <w:spacing w:before="30"/>
              <w:ind w:right="0"/>
            </w:pPr>
            <w:r w:rsidRPr="002029AF">
              <w:t>0.1</w:t>
            </w:r>
          </w:p>
        </w:tc>
        <w:tc>
          <w:tcPr>
            <w:tcW w:w="708" w:type="dxa"/>
            <w:tcBorders>
              <w:top w:val="single" w:sz="4" w:space="0" w:color="A6A6A6"/>
              <w:bottom w:val="single" w:sz="4" w:space="0" w:color="A6A6A6"/>
            </w:tcBorders>
            <w:noWrap/>
            <w:hideMark/>
          </w:tcPr>
          <w:p w14:paraId="1F0AF94A" w14:textId="77777777" w:rsidR="00087B91" w:rsidRPr="002029AF" w:rsidRDefault="00087B91" w:rsidP="00C81A0B">
            <w:pPr>
              <w:pStyle w:val="ARfintablebodyright"/>
              <w:spacing w:before="30"/>
              <w:ind w:right="0"/>
            </w:pPr>
            <w:r w:rsidRPr="002029AF">
              <w:t>12.4</w:t>
            </w:r>
          </w:p>
        </w:tc>
        <w:tc>
          <w:tcPr>
            <w:tcW w:w="708" w:type="dxa"/>
            <w:tcBorders>
              <w:top w:val="single" w:sz="4" w:space="0" w:color="A6A6A6"/>
              <w:bottom w:val="single" w:sz="4" w:space="0" w:color="A6A6A6"/>
            </w:tcBorders>
            <w:noWrap/>
            <w:hideMark/>
          </w:tcPr>
          <w:p w14:paraId="030A5AF0" w14:textId="77777777" w:rsidR="00087B91" w:rsidRPr="002029AF" w:rsidRDefault="00087B91" w:rsidP="00C81A0B">
            <w:pPr>
              <w:pStyle w:val="ARfintablebodyright"/>
              <w:spacing w:before="30"/>
              <w:ind w:right="0"/>
            </w:pPr>
            <w:r w:rsidRPr="002029AF">
              <w:t>5.6</w:t>
            </w:r>
          </w:p>
        </w:tc>
        <w:tc>
          <w:tcPr>
            <w:tcW w:w="709" w:type="dxa"/>
            <w:tcBorders>
              <w:top w:val="single" w:sz="4" w:space="0" w:color="A6A6A6"/>
              <w:bottom w:val="single" w:sz="4" w:space="0" w:color="A6A6A6"/>
            </w:tcBorders>
            <w:noWrap/>
            <w:hideMark/>
          </w:tcPr>
          <w:p w14:paraId="3F4F4E81" w14:textId="77777777" w:rsidR="00087B91" w:rsidRPr="002029AF" w:rsidRDefault="00087B91" w:rsidP="00C81A0B">
            <w:pPr>
              <w:pStyle w:val="ARfintablebodyright"/>
              <w:spacing w:before="30"/>
              <w:ind w:right="0"/>
            </w:pPr>
            <w:r w:rsidRPr="002029AF">
              <w:t>–</w:t>
            </w:r>
          </w:p>
        </w:tc>
        <w:tc>
          <w:tcPr>
            <w:tcW w:w="710" w:type="dxa"/>
            <w:tcBorders>
              <w:top w:val="single" w:sz="4" w:space="0" w:color="A6A6A6"/>
              <w:bottom w:val="single" w:sz="4" w:space="0" w:color="A6A6A6"/>
            </w:tcBorders>
            <w:noWrap/>
            <w:hideMark/>
          </w:tcPr>
          <w:p w14:paraId="60836FDF" w14:textId="77777777" w:rsidR="00087B91" w:rsidRPr="002029AF" w:rsidRDefault="00087B91" w:rsidP="00C81A0B">
            <w:pPr>
              <w:pStyle w:val="ARfintablebodyright"/>
              <w:spacing w:before="30"/>
              <w:ind w:right="0"/>
            </w:pPr>
            <w:r w:rsidRPr="002029AF">
              <w:t>–</w:t>
            </w:r>
          </w:p>
        </w:tc>
        <w:tc>
          <w:tcPr>
            <w:tcW w:w="567" w:type="dxa"/>
            <w:tcBorders>
              <w:top w:val="single" w:sz="4" w:space="0" w:color="A6A6A6"/>
              <w:bottom w:val="single" w:sz="4" w:space="0" w:color="A6A6A6"/>
            </w:tcBorders>
            <w:noWrap/>
            <w:hideMark/>
          </w:tcPr>
          <w:p w14:paraId="2D67BA05" w14:textId="77777777" w:rsidR="00087B91" w:rsidRPr="002029AF" w:rsidRDefault="00087B91" w:rsidP="00C81A0B">
            <w:pPr>
              <w:pStyle w:val="ARfintablebodyright"/>
              <w:spacing w:before="30"/>
              <w:ind w:right="0"/>
            </w:pPr>
            <w:r w:rsidRPr="002029AF">
              <w:t>–</w:t>
            </w:r>
          </w:p>
        </w:tc>
        <w:tc>
          <w:tcPr>
            <w:tcW w:w="746" w:type="dxa"/>
            <w:tcBorders>
              <w:top w:val="single" w:sz="4" w:space="0" w:color="A6A6A6"/>
              <w:bottom w:val="single" w:sz="4" w:space="0" w:color="A6A6A6"/>
            </w:tcBorders>
            <w:noWrap/>
            <w:hideMark/>
          </w:tcPr>
          <w:p w14:paraId="7F581CE4"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bottom w:val="single" w:sz="4" w:space="0" w:color="A6A6A6"/>
            </w:tcBorders>
            <w:noWrap/>
            <w:hideMark/>
          </w:tcPr>
          <w:p w14:paraId="7259572D" w14:textId="77777777" w:rsidR="00087B91" w:rsidRPr="002029AF" w:rsidRDefault="00087B91" w:rsidP="00C81A0B">
            <w:pPr>
              <w:pStyle w:val="ARfintablebodyright"/>
              <w:spacing w:before="30"/>
              <w:ind w:right="0"/>
            </w:pPr>
            <w:r w:rsidRPr="002029AF">
              <w:t>212.7</w:t>
            </w:r>
          </w:p>
        </w:tc>
        <w:tc>
          <w:tcPr>
            <w:tcW w:w="640" w:type="dxa"/>
            <w:tcBorders>
              <w:top w:val="single" w:sz="4" w:space="0" w:color="A6A6A6"/>
              <w:bottom w:val="single" w:sz="4" w:space="0" w:color="A6A6A6"/>
            </w:tcBorders>
            <w:noWrap/>
            <w:hideMark/>
          </w:tcPr>
          <w:p w14:paraId="68725F64" w14:textId="77777777" w:rsidR="00087B91" w:rsidRPr="002029AF" w:rsidRDefault="00087B91" w:rsidP="00C81A0B">
            <w:pPr>
              <w:pStyle w:val="ARfintablebodyright"/>
              <w:spacing w:before="30"/>
              <w:ind w:right="0"/>
            </w:pPr>
            <w:r w:rsidRPr="002029AF">
              <w:t>–</w:t>
            </w:r>
          </w:p>
        </w:tc>
        <w:tc>
          <w:tcPr>
            <w:tcW w:w="640" w:type="dxa"/>
            <w:tcBorders>
              <w:top w:val="single" w:sz="4" w:space="0" w:color="A6A6A6"/>
              <w:bottom w:val="single" w:sz="4" w:space="0" w:color="A6A6A6"/>
            </w:tcBorders>
            <w:noWrap/>
            <w:hideMark/>
          </w:tcPr>
          <w:p w14:paraId="06C27DE3" w14:textId="77777777" w:rsidR="00087B91" w:rsidRPr="002029AF" w:rsidRDefault="00087B91" w:rsidP="00C81A0B">
            <w:pPr>
              <w:pStyle w:val="ARfintablebodyright"/>
              <w:spacing w:before="30"/>
              <w:ind w:right="0"/>
            </w:pPr>
            <w:r w:rsidRPr="002029AF">
              <w:t>–</w:t>
            </w:r>
          </w:p>
        </w:tc>
        <w:tc>
          <w:tcPr>
            <w:tcW w:w="667" w:type="dxa"/>
            <w:tcBorders>
              <w:top w:val="single" w:sz="4" w:space="0" w:color="A6A6A6"/>
              <w:bottom w:val="single" w:sz="4" w:space="0" w:color="A6A6A6"/>
            </w:tcBorders>
            <w:noWrap/>
            <w:hideMark/>
          </w:tcPr>
          <w:p w14:paraId="6E6418EC" w14:textId="77777777" w:rsidR="00087B91" w:rsidRPr="002029AF" w:rsidRDefault="00087B91" w:rsidP="00C81A0B">
            <w:pPr>
              <w:pStyle w:val="ARfintablebodyright"/>
              <w:spacing w:before="30"/>
              <w:ind w:right="0"/>
            </w:pPr>
            <w:r w:rsidRPr="002029AF">
              <w:t>231.5</w:t>
            </w:r>
          </w:p>
        </w:tc>
      </w:tr>
      <w:tr w:rsidR="002A3743" w:rsidRPr="002029AF" w14:paraId="4355DF75" w14:textId="77777777" w:rsidTr="00C81A0B">
        <w:trPr>
          <w:gridAfter w:val="1"/>
          <w:wAfter w:w="88" w:type="dxa"/>
        </w:trPr>
        <w:tc>
          <w:tcPr>
            <w:tcW w:w="2263" w:type="dxa"/>
            <w:tcBorders>
              <w:top w:val="single" w:sz="4" w:space="0" w:color="A6A6A6"/>
              <w:bottom w:val="single" w:sz="4" w:space="0" w:color="A6A6A6"/>
            </w:tcBorders>
            <w:hideMark/>
          </w:tcPr>
          <w:p w14:paraId="202514DF" w14:textId="596EB13D" w:rsidR="00087B91" w:rsidRPr="002029AF" w:rsidRDefault="00087B91" w:rsidP="00C81A0B">
            <w:pPr>
              <w:pStyle w:val="ARfintablebody"/>
              <w:spacing w:before="30"/>
            </w:pPr>
            <w:r w:rsidRPr="002029AF">
              <w:t>Fair</w:t>
            </w:r>
            <w:r w:rsidR="000A5329" w:rsidRPr="002029AF">
              <w:t xml:space="preserve"> </w:t>
            </w:r>
            <w:r w:rsidRPr="002029AF">
              <w:t>value</w:t>
            </w:r>
            <w:r w:rsidR="000A5329" w:rsidRPr="002029AF">
              <w:t xml:space="preserve"> </w:t>
            </w:r>
            <w:r w:rsidRPr="002029AF">
              <w:t>of</w:t>
            </w:r>
            <w:r w:rsidR="000A5329" w:rsidRPr="002029AF">
              <w:t xml:space="preserve"> </w:t>
            </w:r>
            <w:r w:rsidRPr="002029AF">
              <w:t>assets</w:t>
            </w:r>
            <w:r w:rsidR="000A5329" w:rsidRPr="002029AF">
              <w:t xml:space="preserve"> </w:t>
            </w:r>
            <w:r w:rsidRPr="002029AF">
              <w:t>and</w:t>
            </w:r>
            <w:r w:rsidR="000A5329" w:rsidRPr="002029AF">
              <w:t xml:space="preserve"> </w:t>
            </w:r>
            <w:r w:rsidRPr="002029AF">
              <w:t>services</w:t>
            </w:r>
            <w:r w:rsidR="000A5329" w:rsidRPr="002029AF">
              <w:t xml:space="preserve"> </w:t>
            </w:r>
            <w:r w:rsidRPr="002029AF">
              <w:t>provided</w:t>
            </w:r>
            <w:r w:rsidR="000A5329" w:rsidRPr="002029AF">
              <w:t xml:space="preserve"> </w:t>
            </w:r>
            <w:r w:rsidRPr="002029AF">
              <w:t>free</w:t>
            </w:r>
            <w:r w:rsidR="000A5329" w:rsidRPr="002029AF">
              <w:t xml:space="preserve"> </w:t>
            </w:r>
            <w:r w:rsidRPr="002029AF">
              <w:t>of</w:t>
            </w:r>
            <w:r w:rsidR="000A5329" w:rsidRPr="002029AF">
              <w:t xml:space="preserve"> </w:t>
            </w:r>
            <w:r w:rsidRPr="002029AF">
              <w:t>charge</w:t>
            </w:r>
            <w:r w:rsidR="000A5329" w:rsidRPr="002029AF">
              <w:t xml:space="preserve"> </w:t>
            </w:r>
            <w:r w:rsidRPr="002029AF">
              <w:t>or</w:t>
            </w:r>
            <w:r w:rsidR="000A5329" w:rsidRPr="002029AF">
              <w:t xml:space="preserve"> </w:t>
            </w:r>
            <w:r w:rsidRPr="002029AF">
              <w:t>for</w:t>
            </w:r>
            <w:r w:rsidR="000A5329" w:rsidRPr="002029AF">
              <w:t xml:space="preserve"> </w:t>
            </w:r>
            <w:r w:rsidRPr="002029AF">
              <w:t>nominal</w:t>
            </w:r>
            <w:r w:rsidR="000A5329" w:rsidRPr="002029AF">
              <w:t xml:space="preserve"> </w:t>
            </w:r>
            <w:r w:rsidRPr="002029AF">
              <w:t>consideration</w:t>
            </w:r>
          </w:p>
        </w:tc>
        <w:tc>
          <w:tcPr>
            <w:tcW w:w="851" w:type="dxa"/>
            <w:tcBorders>
              <w:top w:val="single" w:sz="4" w:space="0" w:color="A6A6A6"/>
              <w:bottom w:val="single" w:sz="4" w:space="0" w:color="A6A6A6"/>
            </w:tcBorders>
            <w:noWrap/>
            <w:hideMark/>
          </w:tcPr>
          <w:p w14:paraId="499E827B"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bottom w:val="single" w:sz="4" w:space="0" w:color="A6A6A6"/>
            </w:tcBorders>
            <w:noWrap/>
            <w:hideMark/>
          </w:tcPr>
          <w:p w14:paraId="61008FDC" w14:textId="77777777" w:rsidR="00087B91" w:rsidRPr="002029AF" w:rsidRDefault="00087B91" w:rsidP="00C81A0B">
            <w:pPr>
              <w:pStyle w:val="ARfintablebodyright"/>
              <w:spacing w:before="30"/>
              <w:ind w:right="0"/>
            </w:pPr>
            <w:r w:rsidRPr="002029AF">
              <w:t>–</w:t>
            </w:r>
          </w:p>
        </w:tc>
        <w:tc>
          <w:tcPr>
            <w:tcW w:w="567" w:type="dxa"/>
            <w:tcBorders>
              <w:top w:val="single" w:sz="4" w:space="0" w:color="A6A6A6"/>
              <w:bottom w:val="single" w:sz="4" w:space="0" w:color="A6A6A6"/>
            </w:tcBorders>
            <w:noWrap/>
            <w:hideMark/>
          </w:tcPr>
          <w:p w14:paraId="6D9BC954"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bottom w:val="single" w:sz="4" w:space="0" w:color="A6A6A6"/>
            </w:tcBorders>
            <w:noWrap/>
            <w:hideMark/>
          </w:tcPr>
          <w:p w14:paraId="0C8796A0" w14:textId="77777777" w:rsidR="00087B91" w:rsidRPr="002029AF" w:rsidRDefault="00087B91" w:rsidP="00C81A0B">
            <w:pPr>
              <w:pStyle w:val="ARfintablebodyright"/>
              <w:spacing w:before="30"/>
              <w:ind w:right="0"/>
            </w:pPr>
            <w:r w:rsidRPr="002029AF">
              <w:t>–</w:t>
            </w:r>
          </w:p>
        </w:tc>
        <w:tc>
          <w:tcPr>
            <w:tcW w:w="708" w:type="dxa"/>
            <w:tcBorders>
              <w:top w:val="single" w:sz="4" w:space="0" w:color="A6A6A6"/>
              <w:bottom w:val="single" w:sz="4" w:space="0" w:color="A6A6A6"/>
            </w:tcBorders>
            <w:noWrap/>
            <w:hideMark/>
          </w:tcPr>
          <w:p w14:paraId="48AA3C62" w14:textId="77777777" w:rsidR="00087B91" w:rsidRPr="002029AF" w:rsidRDefault="00087B91" w:rsidP="00C81A0B">
            <w:pPr>
              <w:pStyle w:val="ARfintablebodyright"/>
              <w:spacing w:before="30"/>
              <w:ind w:right="0"/>
            </w:pPr>
            <w:r w:rsidRPr="002029AF">
              <w:t>–</w:t>
            </w:r>
          </w:p>
        </w:tc>
        <w:tc>
          <w:tcPr>
            <w:tcW w:w="567" w:type="dxa"/>
            <w:tcBorders>
              <w:top w:val="single" w:sz="4" w:space="0" w:color="A6A6A6"/>
              <w:bottom w:val="single" w:sz="4" w:space="0" w:color="A6A6A6"/>
            </w:tcBorders>
            <w:noWrap/>
            <w:hideMark/>
          </w:tcPr>
          <w:p w14:paraId="45DB67A6"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bottom w:val="single" w:sz="4" w:space="0" w:color="A6A6A6"/>
            </w:tcBorders>
            <w:noWrap/>
            <w:hideMark/>
          </w:tcPr>
          <w:p w14:paraId="0D24224D"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bottom w:val="single" w:sz="4" w:space="0" w:color="A6A6A6"/>
            </w:tcBorders>
            <w:noWrap/>
            <w:hideMark/>
          </w:tcPr>
          <w:p w14:paraId="3E449307" w14:textId="77777777" w:rsidR="00087B91" w:rsidRPr="002029AF" w:rsidRDefault="00087B91" w:rsidP="00C81A0B">
            <w:pPr>
              <w:pStyle w:val="ARfintablebodyright"/>
              <w:spacing w:before="30"/>
              <w:ind w:right="0"/>
            </w:pPr>
            <w:r w:rsidRPr="002029AF">
              <w:t>–</w:t>
            </w:r>
          </w:p>
        </w:tc>
        <w:tc>
          <w:tcPr>
            <w:tcW w:w="708" w:type="dxa"/>
            <w:tcBorders>
              <w:top w:val="single" w:sz="4" w:space="0" w:color="A6A6A6"/>
              <w:bottom w:val="single" w:sz="4" w:space="0" w:color="A6A6A6"/>
            </w:tcBorders>
            <w:noWrap/>
            <w:hideMark/>
          </w:tcPr>
          <w:p w14:paraId="67C95014" w14:textId="77777777" w:rsidR="00087B91" w:rsidRPr="002029AF" w:rsidRDefault="00087B91" w:rsidP="00C81A0B">
            <w:pPr>
              <w:pStyle w:val="ARfintablebodyright"/>
              <w:spacing w:before="30"/>
              <w:ind w:right="0"/>
            </w:pPr>
            <w:r w:rsidRPr="002029AF">
              <w:t>5.0</w:t>
            </w:r>
          </w:p>
        </w:tc>
        <w:tc>
          <w:tcPr>
            <w:tcW w:w="708" w:type="dxa"/>
            <w:tcBorders>
              <w:top w:val="single" w:sz="4" w:space="0" w:color="A6A6A6"/>
              <w:bottom w:val="single" w:sz="4" w:space="0" w:color="A6A6A6"/>
            </w:tcBorders>
            <w:noWrap/>
            <w:hideMark/>
          </w:tcPr>
          <w:p w14:paraId="3111F59E"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bottom w:val="single" w:sz="4" w:space="0" w:color="A6A6A6"/>
            </w:tcBorders>
            <w:noWrap/>
            <w:hideMark/>
          </w:tcPr>
          <w:p w14:paraId="19088CE3" w14:textId="77777777" w:rsidR="00087B91" w:rsidRPr="002029AF" w:rsidRDefault="00087B91" w:rsidP="00C81A0B">
            <w:pPr>
              <w:pStyle w:val="ARfintablebodyright"/>
              <w:spacing w:before="30"/>
              <w:ind w:right="0"/>
            </w:pPr>
            <w:r w:rsidRPr="002029AF">
              <w:t>–</w:t>
            </w:r>
          </w:p>
        </w:tc>
        <w:tc>
          <w:tcPr>
            <w:tcW w:w="710" w:type="dxa"/>
            <w:tcBorders>
              <w:top w:val="single" w:sz="4" w:space="0" w:color="A6A6A6"/>
              <w:bottom w:val="single" w:sz="4" w:space="0" w:color="A6A6A6"/>
            </w:tcBorders>
            <w:noWrap/>
            <w:hideMark/>
          </w:tcPr>
          <w:p w14:paraId="781195D0" w14:textId="77777777" w:rsidR="00087B91" w:rsidRPr="002029AF" w:rsidRDefault="00087B91" w:rsidP="00C81A0B">
            <w:pPr>
              <w:pStyle w:val="ARfintablebodyright"/>
              <w:spacing w:before="30"/>
              <w:ind w:right="0"/>
            </w:pPr>
            <w:r w:rsidRPr="002029AF">
              <w:t>–</w:t>
            </w:r>
          </w:p>
        </w:tc>
        <w:tc>
          <w:tcPr>
            <w:tcW w:w="567" w:type="dxa"/>
            <w:tcBorders>
              <w:top w:val="single" w:sz="4" w:space="0" w:color="A6A6A6"/>
              <w:bottom w:val="single" w:sz="4" w:space="0" w:color="A6A6A6"/>
            </w:tcBorders>
            <w:noWrap/>
            <w:hideMark/>
          </w:tcPr>
          <w:p w14:paraId="55AD32FD" w14:textId="77777777" w:rsidR="00087B91" w:rsidRPr="002029AF" w:rsidRDefault="00087B91" w:rsidP="00C81A0B">
            <w:pPr>
              <w:pStyle w:val="ARfintablebodyright"/>
              <w:spacing w:before="30"/>
              <w:ind w:right="0"/>
            </w:pPr>
            <w:r w:rsidRPr="002029AF">
              <w:t>–</w:t>
            </w:r>
          </w:p>
        </w:tc>
        <w:tc>
          <w:tcPr>
            <w:tcW w:w="746" w:type="dxa"/>
            <w:tcBorders>
              <w:top w:val="single" w:sz="4" w:space="0" w:color="A6A6A6"/>
              <w:bottom w:val="single" w:sz="4" w:space="0" w:color="A6A6A6"/>
            </w:tcBorders>
            <w:noWrap/>
            <w:hideMark/>
          </w:tcPr>
          <w:p w14:paraId="7089F96F"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bottom w:val="single" w:sz="4" w:space="0" w:color="A6A6A6"/>
            </w:tcBorders>
            <w:noWrap/>
            <w:hideMark/>
          </w:tcPr>
          <w:p w14:paraId="78331C3E" w14:textId="77777777" w:rsidR="00087B91" w:rsidRPr="002029AF" w:rsidRDefault="00087B91" w:rsidP="00C81A0B">
            <w:pPr>
              <w:pStyle w:val="ARfintablebodyright"/>
              <w:spacing w:before="30"/>
              <w:ind w:right="0"/>
            </w:pPr>
            <w:r w:rsidRPr="002029AF">
              <w:t>116.2</w:t>
            </w:r>
          </w:p>
        </w:tc>
        <w:tc>
          <w:tcPr>
            <w:tcW w:w="640" w:type="dxa"/>
            <w:tcBorders>
              <w:top w:val="single" w:sz="4" w:space="0" w:color="A6A6A6"/>
              <w:bottom w:val="single" w:sz="4" w:space="0" w:color="A6A6A6"/>
            </w:tcBorders>
            <w:noWrap/>
            <w:hideMark/>
          </w:tcPr>
          <w:p w14:paraId="5BCF7FB7" w14:textId="77777777" w:rsidR="00087B91" w:rsidRPr="002029AF" w:rsidRDefault="00087B91" w:rsidP="00C81A0B">
            <w:pPr>
              <w:pStyle w:val="ARfintablebodyright"/>
              <w:spacing w:before="30"/>
              <w:ind w:right="0"/>
            </w:pPr>
            <w:r w:rsidRPr="002029AF">
              <w:t>–</w:t>
            </w:r>
          </w:p>
        </w:tc>
        <w:tc>
          <w:tcPr>
            <w:tcW w:w="640" w:type="dxa"/>
            <w:tcBorders>
              <w:top w:val="single" w:sz="4" w:space="0" w:color="A6A6A6"/>
              <w:bottom w:val="single" w:sz="4" w:space="0" w:color="A6A6A6"/>
            </w:tcBorders>
            <w:noWrap/>
            <w:hideMark/>
          </w:tcPr>
          <w:p w14:paraId="42637FCC" w14:textId="77777777" w:rsidR="00087B91" w:rsidRPr="002029AF" w:rsidRDefault="00087B91" w:rsidP="00C81A0B">
            <w:pPr>
              <w:pStyle w:val="ARfintablebodyright"/>
              <w:spacing w:before="30"/>
              <w:ind w:right="0"/>
            </w:pPr>
            <w:r w:rsidRPr="002029AF">
              <w:t>–</w:t>
            </w:r>
          </w:p>
        </w:tc>
        <w:tc>
          <w:tcPr>
            <w:tcW w:w="667" w:type="dxa"/>
            <w:tcBorders>
              <w:top w:val="single" w:sz="4" w:space="0" w:color="A6A6A6"/>
              <w:bottom w:val="single" w:sz="4" w:space="0" w:color="A6A6A6"/>
            </w:tcBorders>
            <w:noWrap/>
            <w:hideMark/>
          </w:tcPr>
          <w:p w14:paraId="7E2A99A9" w14:textId="77777777" w:rsidR="00087B91" w:rsidRPr="002029AF" w:rsidRDefault="00087B91" w:rsidP="00C81A0B">
            <w:pPr>
              <w:pStyle w:val="ARfintablebodyright"/>
              <w:spacing w:before="30"/>
              <w:ind w:right="0"/>
            </w:pPr>
            <w:r w:rsidRPr="002029AF">
              <w:t>121.3</w:t>
            </w:r>
          </w:p>
        </w:tc>
      </w:tr>
      <w:tr w:rsidR="002A3743" w:rsidRPr="002029AF" w14:paraId="3D7C64C2" w14:textId="77777777" w:rsidTr="00C81A0B">
        <w:trPr>
          <w:gridAfter w:val="1"/>
          <w:wAfter w:w="88" w:type="dxa"/>
        </w:trPr>
        <w:tc>
          <w:tcPr>
            <w:tcW w:w="2263" w:type="dxa"/>
            <w:tcBorders>
              <w:top w:val="single" w:sz="4" w:space="0" w:color="A6A6A6"/>
              <w:bottom w:val="single" w:sz="4" w:space="0" w:color="A6A6A6"/>
            </w:tcBorders>
            <w:hideMark/>
          </w:tcPr>
          <w:p w14:paraId="506A571B" w14:textId="2E43A40A" w:rsidR="00087B91" w:rsidRPr="002029AF" w:rsidRDefault="00087B91" w:rsidP="00C81A0B">
            <w:pPr>
              <w:pStyle w:val="ARfintablebody"/>
              <w:spacing w:before="30"/>
            </w:pPr>
            <w:r w:rsidRPr="002029AF">
              <w:t>Other</w:t>
            </w:r>
            <w:r w:rsidR="000A5329" w:rsidRPr="002029AF">
              <w:t xml:space="preserve"> </w:t>
            </w:r>
            <w:r w:rsidRPr="002029AF">
              <w:t>operating</w:t>
            </w:r>
            <w:r w:rsidR="000A5329" w:rsidRPr="002029AF">
              <w:t xml:space="preserve"> </w:t>
            </w:r>
            <w:r w:rsidRPr="002029AF">
              <w:t>expenses</w:t>
            </w:r>
          </w:p>
        </w:tc>
        <w:tc>
          <w:tcPr>
            <w:tcW w:w="851" w:type="dxa"/>
            <w:tcBorders>
              <w:top w:val="single" w:sz="4" w:space="0" w:color="A6A6A6"/>
              <w:bottom w:val="single" w:sz="4" w:space="0" w:color="A6A6A6"/>
            </w:tcBorders>
            <w:noWrap/>
            <w:hideMark/>
          </w:tcPr>
          <w:p w14:paraId="1A9C8B37" w14:textId="77777777" w:rsidR="00087B91" w:rsidRPr="002029AF" w:rsidRDefault="00087B91" w:rsidP="00C81A0B">
            <w:pPr>
              <w:pStyle w:val="ARfintablebodyright"/>
              <w:spacing w:before="30"/>
              <w:ind w:right="0"/>
            </w:pPr>
            <w:r w:rsidRPr="002029AF">
              <w:t>154.5</w:t>
            </w:r>
          </w:p>
        </w:tc>
        <w:tc>
          <w:tcPr>
            <w:tcW w:w="709" w:type="dxa"/>
            <w:tcBorders>
              <w:top w:val="single" w:sz="4" w:space="0" w:color="A6A6A6"/>
              <w:bottom w:val="single" w:sz="4" w:space="0" w:color="A6A6A6"/>
            </w:tcBorders>
            <w:noWrap/>
            <w:hideMark/>
          </w:tcPr>
          <w:p w14:paraId="02957FBF" w14:textId="77777777" w:rsidR="00087B91" w:rsidRPr="002029AF" w:rsidRDefault="00087B91" w:rsidP="00C81A0B">
            <w:pPr>
              <w:pStyle w:val="ARfintablebodyright"/>
              <w:spacing w:before="30"/>
              <w:ind w:right="0"/>
            </w:pPr>
            <w:r w:rsidRPr="002029AF">
              <w:t>1.7</w:t>
            </w:r>
          </w:p>
        </w:tc>
        <w:tc>
          <w:tcPr>
            <w:tcW w:w="567" w:type="dxa"/>
            <w:tcBorders>
              <w:top w:val="single" w:sz="4" w:space="0" w:color="A6A6A6"/>
              <w:bottom w:val="single" w:sz="4" w:space="0" w:color="A6A6A6"/>
            </w:tcBorders>
            <w:noWrap/>
            <w:hideMark/>
          </w:tcPr>
          <w:p w14:paraId="3C526FCB" w14:textId="77777777" w:rsidR="00087B91" w:rsidRPr="002029AF" w:rsidRDefault="00087B91" w:rsidP="00C81A0B">
            <w:pPr>
              <w:pStyle w:val="ARfintablebodyright"/>
              <w:spacing w:before="30"/>
              <w:ind w:right="0"/>
            </w:pPr>
            <w:r w:rsidRPr="002029AF">
              <w:t>13.2</w:t>
            </w:r>
          </w:p>
        </w:tc>
        <w:tc>
          <w:tcPr>
            <w:tcW w:w="709" w:type="dxa"/>
            <w:tcBorders>
              <w:top w:val="single" w:sz="4" w:space="0" w:color="A6A6A6"/>
              <w:bottom w:val="single" w:sz="4" w:space="0" w:color="A6A6A6"/>
            </w:tcBorders>
            <w:noWrap/>
            <w:hideMark/>
          </w:tcPr>
          <w:p w14:paraId="41979B6F" w14:textId="77777777" w:rsidR="00087B91" w:rsidRPr="002029AF" w:rsidRDefault="00087B91" w:rsidP="00C81A0B">
            <w:pPr>
              <w:pStyle w:val="ARfintablebodyright"/>
              <w:spacing w:before="30"/>
              <w:ind w:right="0"/>
            </w:pPr>
            <w:r w:rsidRPr="002029AF">
              <w:t>15.2</w:t>
            </w:r>
          </w:p>
        </w:tc>
        <w:tc>
          <w:tcPr>
            <w:tcW w:w="708" w:type="dxa"/>
            <w:tcBorders>
              <w:top w:val="single" w:sz="4" w:space="0" w:color="A6A6A6"/>
              <w:bottom w:val="single" w:sz="4" w:space="0" w:color="A6A6A6"/>
            </w:tcBorders>
            <w:noWrap/>
            <w:hideMark/>
          </w:tcPr>
          <w:p w14:paraId="7032D640" w14:textId="77777777" w:rsidR="00087B91" w:rsidRPr="002029AF" w:rsidRDefault="00087B91" w:rsidP="00C81A0B">
            <w:pPr>
              <w:pStyle w:val="ARfintablebodyright"/>
              <w:spacing w:before="30"/>
              <w:ind w:right="0"/>
            </w:pPr>
            <w:r w:rsidRPr="002029AF">
              <w:t>10.7</w:t>
            </w:r>
          </w:p>
        </w:tc>
        <w:tc>
          <w:tcPr>
            <w:tcW w:w="567" w:type="dxa"/>
            <w:tcBorders>
              <w:top w:val="single" w:sz="4" w:space="0" w:color="A6A6A6"/>
              <w:bottom w:val="single" w:sz="4" w:space="0" w:color="A6A6A6"/>
            </w:tcBorders>
            <w:noWrap/>
            <w:hideMark/>
          </w:tcPr>
          <w:p w14:paraId="695248CA" w14:textId="77777777" w:rsidR="00087B91" w:rsidRPr="002029AF" w:rsidRDefault="00087B91" w:rsidP="00C81A0B">
            <w:pPr>
              <w:pStyle w:val="ARfintablebodyright"/>
              <w:spacing w:before="30"/>
              <w:ind w:right="0"/>
            </w:pPr>
            <w:r w:rsidRPr="002029AF">
              <w:t>2.5</w:t>
            </w:r>
          </w:p>
        </w:tc>
        <w:tc>
          <w:tcPr>
            <w:tcW w:w="709" w:type="dxa"/>
            <w:tcBorders>
              <w:top w:val="single" w:sz="4" w:space="0" w:color="A6A6A6"/>
              <w:bottom w:val="single" w:sz="4" w:space="0" w:color="A6A6A6"/>
            </w:tcBorders>
            <w:noWrap/>
            <w:hideMark/>
          </w:tcPr>
          <w:p w14:paraId="14BF4AD2" w14:textId="77777777" w:rsidR="00087B91" w:rsidRPr="002029AF" w:rsidRDefault="00087B91" w:rsidP="00C81A0B">
            <w:pPr>
              <w:pStyle w:val="ARfintablebodyright"/>
              <w:spacing w:before="30"/>
              <w:ind w:right="0"/>
            </w:pPr>
            <w:r w:rsidRPr="002029AF">
              <w:t>52.4</w:t>
            </w:r>
          </w:p>
        </w:tc>
        <w:tc>
          <w:tcPr>
            <w:tcW w:w="709" w:type="dxa"/>
            <w:tcBorders>
              <w:top w:val="single" w:sz="4" w:space="0" w:color="A6A6A6"/>
              <w:bottom w:val="single" w:sz="4" w:space="0" w:color="A6A6A6"/>
            </w:tcBorders>
            <w:noWrap/>
            <w:hideMark/>
          </w:tcPr>
          <w:p w14:paraId="09A6212D" w14:textId="77777777" w:rsidR="00087B91" w:rsidRPr="002029AF" w:rsidRDefault="00087B91" w:rsidP="00C81A0B">
            <w:pPr>
              <w:pStyle w:val="ARfintablebodyright"/>
              <w:spacing w:before="30"/>
              <w:ind w:right="0"/>
            </w:pPr>
            <w:r w:rsidRPr="002029AF">
              <w:t>8.1</w:t>
            </w:r>
          </w:p>
        </w:tc>
        <w:tc>
          <w:tcPr>
            <w:tcW w:w="708" w:type="dxa"/>
            <w:tcBorders>
              <w:top w:val="single" w:sz="4" w:space="0" w:color="A6A6A6"/>
              <w:bottom w:val="single" w:sz="4" w:space="0" w:color="A6A6A6"/>
            </w:tcBorders>
            <w:noWrap/>
            <w:hideMark/>
          </w:tcPr>
          <w:p w14:paraId="45536861" w14:textId="77777777" w:rsidR="00087B91" w:rsidRPr="002029AF" w:rsidRDefault="00087B91" w:rsidP="00C81A0B">
            <w:pPr>
              <w:pStyle w:val="ARfintablebodyright"/>
              <w:spacing w:before="30"/>
              <w:ind w:right="0"/>
            </w:pPr>
            <w:r w:rsidRPr="002029AF">
              <w:t>126.8</w:t>
            </w:r>
          </w:p>
        </w:tc>
        <w:tc>
          <w:tcPr>
            <w:tcW w:w="708" w:type="dxa"/>
            <w:tcBorders>
              <w:top w:val="single" w:sz="4" w:space="0" w:color="A6A6A6"/>
              <w:bottom w:val="single" w:sz="4" w:space="0" w:color="A6A6A6"/>
            </w:tcBorders>
            <w:noWrap/>
            <w:hideMark/>
          </w:tcPr>
          <w:p w14:paraId="2BD83173" w14:textId="77777777" w:rsidR="00087B91" w:rsidRPr="002029AF" w:rsidRDefault="00087B91" w:rsidP="00C81A0B">
            <w:pPr>
              <w:pStyle w:val="ARfintablebodyright"/>
              <w:spacing w:before="30"/>
              <w:ind w:right="0"/>
            </w:pPr>
            <w:r w:rsidRPr="002029AF">
              <w:t>140.4</w:t>
            </w:r>
          </w:p>
        </w:tc>
        <w:tc>
          <w:tcPr>
            <w:tcW w:w="709" w:type="dxa"/>
            <w:tcBorders>
              <w:top w:val="single" w:sz="4" w:space="0" w:color="A6A6A6"/>
              <w:bottom w:val="single" w:sz="4" w:space="0" w:color="A6A6A6"/>
            </w:tcBorders>
            <w:noWrap/>
            <w:hideMark/>
          </w:tcPr>
          <w:p w14:paraId="1FEDC4F2" w14:textId="77777777" w:rsidR="00087B91" w:rsidRPr="002029AF" w:rsidRDefault="00087B91" w:rsidP="00C81A0B">
            <w:pPr>
              <w:pStyle w:val="ARfintablebodyright"/>
              <w:spacing w:before="30"/>
              <w:ind w:right="0"/>
            </w:pPr>
            <w:r w:rsidRPr="002029AF">
              <w:t>4.0</w:t>
            </w:r>
          </w:p>
        </w:tc>
        <w:tc>
          <w:tcPr>
            <w:tcW w:w="710" w:type="dxa"/>
            <w:tcBorders>
              <w:top w:val="single" w:sz="4" w:space="0" w:color="A6A6A6"/>
              <w:bottom w:val="single" w:sz="4" w:space="0" w:color="A6A6A6"/>
            </w:tcBorders>
            <w:noWrap/>
            <w:hideMark/>
          </w:tcPr>
          <w:p w14:paraId="7FA94C48" w14:textId="77777777" w:rsidR="00087B91" w:rsidRPr="002029AF" w:rsidRDefault="00087B91" w:rsidP="00C81A0B">
            <w:pPr>
              <w:pStyle w:val="ARfintablebodyright"/>
              <w:spacing w:before="30"/>
              <w:ind w:right="0"/>
            </w:pPr>
            <w:r w:rsidRPr="002029AF">
              <w:t>4.5</w:t>
            </w:r>
          </w:p>
        </w:tc>
        <w:tc>
          <w:tcPr>
            <w:tcW w:w="567" w:type="dxa"/>
            <w:tcBorders>
              <w:top w:val="single" w:sz="4" w:space="0" w:color="A6A6A6"/>
              <w:bottom w:val="single" w:sz="4" w:space="0" w:color="A6A6A6"/>
            </w:tcBorders>
            <w:noWrap/>
            <w:hideMark/>
          </w:tcPr>
          <w:p w14:paraId="1CE0543A" w14:textId="77777777" w:rsidR="00087B91" w:rsidRPr="002029AF" w:rsidRDefault="00087B91" w:rsidP="00C81A0B">
            <w:pPr>
              <w:pStyle w:val="ARfintablebodyright"/>
              <w:spacing w:before="30"/>
              <w:ind w:right="0"/>
            </w:pPr>
            <w:r w:rsidRPr="002029AF">
              <w:t>7.2</w:t>
            </w:r>
          </w:p>
        </w:tc>
        <w:tc>
          <w:tcPr>
            <w:tcW w:w="746" w:type="dxa"/>
            <w:tcBorders>
              <w:top w:val="single" w:sz="4" w:space="0" w:color="A6A6A6"/>
              <w:bottom w:val="single" w:sz="4" w:space="0" w:color="A6A6A6"/>
            </w:tcBorders>
            <w:noWrap/>
            <w:hideMark/>
          </w:tcPr>
          <w:p w14:paraId="650C0877" w14:textId="77777777" w:rsidR="00087B91" w:rsidRPr="002029AF" w:rsidRDefault="00087B91" w:rsidP="00C81A0B">
            <w:pPr>
              <w:pStyle w:val="ARfintablebodyright"/>
              <w:spacing w:before="30"/>
              <w:ind w:right="0"/>
            </w:pPr>
            <w:r w:rsidRPr="002029AF">
              <w:t>23.3</w:t>
            </w:r>
          </w:p>
        </w:tc>
        <w:tc>
          <w:tcPr>
            <w:tcW w:w="709" w:type="dxa"/>
            <w:tcBorders>
              <w:top w:val="single" w:sz="4" w:space="0" w:color="A6A6A6"/>
              <w:bottom w:val="single" w:sz="4" w:space="0" w:color="A6A6A6"/>
            </w:tcBorders>
            <w:noWrap/>
            <w:hideMark/>
          </w:tcPr>
          <w:p w14:paraId="19AD9D71" w14:textId="77777777" w:rsidR="00087B91" w:rsidRPr="002029AF" w:rsidRDefault="00087B91" w:rsidP="00C81A0B">
            <w:pPr>
              <w:pStyle w:val="ARfintablebodyright"/>
              <w:spacing w:before="30"/>
              <w:ind w:right="0"/>
            </w:pPr>
            <w:r w:rsidRPr="002029AF">
              <w:t>45.8</w:t>
            </w:r>
          </w:p>
        </w:tc>
        <w:tc>
          <w:tcPr>
            <w:tcW w:w="640" w:type="dxa"/>
            <w:tcBorders>
              <w:top w:val="single" w:sz="4" w:space="0" w:color="A6A6A6"/>
              <w:bottom w:val="single" w:sz="4" w:space="0" w:color="A6A6A6"/>
            </w:tcBorders>
            <w:noWrap/>
            <w:hideMark/>
          </w:tcPr>
          <w:p w14:paraId="347DB438" w14:textId="77777777" w:rsidR="00087B91" w:rsidRPr="002029AF" w:rsidRDefault="00087B91" w:rsidP="00C81A0B">
            <w:pPr>
              <w:pStyle w:val="ARfintablebodyright"/>
              <w:spacing w:before="30"/>
              <w:ind w:right="0"/>
            </w:pPr>
            <w:r w:rsidRPr="002029AF">
              <w:t>0.9</w:t>
            </w:r>
          </w:p>
        </w:tc>
        <w:tc>
          <w:tcPr>
            <w:tcW w:w="640" w:type="dxa"/>
            <w:tcBorders>
              <w:top w:val="single" w:sz="4" w:space="0" w:color="A6A6A6"/>
              <w:bottom w:val="single" w:sz="4" w:space="0" w:color="A6A6A6"/>
            </w:tcBorders>
            <w:noWrap/>
            <w:hideMark/>
          </w:tcPr>
          <w:p w14:paraId="55779CB6" w14:textId="77777777" w:rsidR="00087B91" w:rsidRPr="002029AF" w:rsidRDefault="00087B91" w:rsidP="00C81A0B">
            <w:pPr>
              <w:pStyle w:val="ARfintablebodyright"/>
              <w:spacing w:before="30"/>
              <w:ind w:right="0"/>
            </w:pPr>
            <w:r w:rsidRPr="002029AF">
              <w:t>–</w:t>
            </w:r>
          </w:p>
        </w:tc>
        <w:tc>
          <w:tcPr>
            <w:tcW w:w="667" w:type="dxa"/>
            <w:tcBorders>
              <w:top w:val="single" w:sz="4" w:space="0" w:color="A6A6A6"/>
              <w:bottom w:val="single" w:sz="4" w:space="0" w:color="A6A6A6"/>
            </w:tcBorders>
            <w:noWrap/>
            <w:hideMark/>
          </w:tcPr>
          <w:p w14:paraId="68C3E02F" w14:textId="77777777" w:rsidR="00087B91" w:rsidRPr="002029AF" w:rsidRDefault="00087B91" w:rsidP="00C81A0B">
            <w:pPr>
              <w:pStyle w:val="ARfintablebodyright"/>
              <w:spacing w:before="30"/>
              <w:ind w:right="0"/>
            </w:pPr>
            <w:r w:rsidRPr="002029AF">
              <w:t>611.3</w:t>
            </w:r>
          </w:p>
        </w:tc>
      </w:tr>
      <w:tr w:rsidR="002A3743" w:rsidRPr="002029AF" w14:paraId="662BF958" w14:textId="77777777" w:rsidTr="00C81A0B">
        <w:trPr>
          <w:gridAfter w:val="1"/>
          <w:wAfter w:w="88" w:type="dxa"/>
        </w:trPr>
        <w:tc>
          <w:tcPr>
            <w:tcW w:w="2263" w:type="dxa"/>
            <w:tcBorders>
              <w:top w:val="single" w:sz="4" w:space="0" w:color="A6A6A6"/>
              <w:bottom w:val="single" w:sz="4" w:space="0" w:color="A6A6A6"/>
            </w:tcBorders>
            <w:hideMark/>
          </w:tcPr>
          <w:p w14:paraId="68323FB7" w14:textId="79AC7534" w:rsidR="00087B91" w:rsidRPr="002029AF" w:rsidRDefault="00087B91" w:rsidP="00C81A0B">
            <w:pPr>
              <w:pStyle w:val="ARfintablebody"/>
              <w:spacing w:before="30"/>
            </w:pPr>
            <w:r w:rsidRPr="002029AF">
              <w:t>Grants</w:t>
            </w:r>
            <w:r w:rsidR="000A5329" w:rsidRPr="002029AF">
              <w:t xml:space="preserve"> </w:t>
            </w:r>
            <w:r w:rsidRPr="002029AF">
              <w:t>and</w:t>
            </w:r>
            <w:r w:rsidR="000A5329" w:rsidRPr="002029AF">
              <w:t xml:space="preserve"> </w:t>
            </w:r>
            <w:r w:rsidRPr="002029AF">
              <w:t>other</w:t>
            </w:r>
            <w:r w:rsidR="000A5329" w:rsidRPr="002029AF">
              <w:t xml:space="preserve"> </w:t>
            </w:r>
            <w:r w:rsidRPr="002029AF">
              <w:t>expense</w:t>
            </w:r>
            <w:r w:rsidR="000A5329" w:rsidRPr="002029AF">
              <w:t xml:space="preserve"> </w:t>
            </w:r>
            <w:r w:rsidRPr="002029AF">
              <w:t>transfers</w:t>
            </w:r>
          </w:p>
        </w:tc>
        <w:tc>
          <w:tcPr>
            <w:tcW w:w="851" w:type="dxa"/>
            <w:tcBorders>
              <w:top w:val="single" w:sz="4" w:space="0" w:color="A6A6A6"/>
              <w:bottom w:val="single" w:sz="4" w:space="0" w:color="A6A6A6"/>
            </w:tcBorders>
            <w:noWrap/>
            <w:hideMark/>
          </w:tcPr>
          <w:p w14:paraId="6AC33621" w14:textId="77777777" w:rsidR="00087B91" w:rsidRPr="002029AF" w:rsidRDefault="00087B91" w:rsidP="00C81A0B">
            <w:pPr>
              <w:pStyle w:val="ARfintablebodyright"/>
              <w:spacing w:before="30"/>
              <w:ind w:right="0"/>
            </w:pPr>
            <w:r w:rsidRPr="002029AF">
              <w:t>7,480.0</w:t>
            </w:r>
          </w:p>
        </w:tc>
        <w:tc>
          <w:tcPr>
            <w:tcW w:w="709" w:type="dxa"/>
            <w:tcBorders>
              <w:top w:val="single" w:sz="4" w:space="0" w:color="A6A6A6"/>
              <w:bottom w:val="single" w:sz="4" w:space="0" w:color="A6A6A6"/>
            </w:tcBorders>
            <w:noWrap/>
            <w:hideMark/>
          </w:tcPr>
          <w:p w14:paraId="5E008A58" w14:textId="77777777" w:rsidR="00087B91" w:rsidRPr="002029AF" w:rsidRDefault="00087B91" w:rsidP="00C81A0B">
            <w:pPr>
              <w:pStyle w:val="ARfintablebodyright"/>
              <w:spacing w:before="30"/>
              <w:ind w:right="0"/>
            </w:pPr>
            <w:r w:rsidRPr="002029AF">
              <w:t>792.1</w:t>
            </w:r>
          </w:p>
        </w:tc>
        <w:tc>
          <w:tcPr>
            <w:tcW w:w="567" w:type="dxa"/>
            <w:tcBorders>
              <w:top w:val="single" w:sz="4" w:space="0" w:color="A6A6A6"/>
              <w:bottom w:val="single" w:sz="4" w:space="0" w:color="A6A6A6"/>
            </w:tcBorders>
            <w:noWrap/>
            <w:hideMark/>
          </w:tcPr>
          <w:p w14:paraId="55C8438F" w14:textId="77777777" w:rsidR="00087B91" w:rsidRPr="002029AF" w:rsidRDefault="00087B91" w:rsidP="00C81A0B">
            <w:pPr>
              <w:pStyle w:val="ARfintablebodyright"/>
              <w:spacing w:before="30"/>
              <w:ind w:right="0"/>
            </w:pPr>
            <w:r w:rsidRPr="002029AF">
              <w:t>1,263.1</w:t>
            </w:r>
          </w:p>
        </w:tc>
        <w:tc>
          <w:tcPr>
            <w:tcW w:w="709" w:type="dxa"/>
            <w:tcBorders>
              <w:top w:val="single" w:sz="4" w:space="0" w:color="A6A6A6"/>
              <w:bottom w:val="single" w:sz="4" w:space="0" w:color="A6A6A6"/>
            </w:tcBorders>
            <w:noWrap/>
            <w:hideMark/>
          </w:tcPr>
          <w:p w14:paraId="7ED4ACDF" w14:textId="77777777" w:rsidR="00087B91" w:rsidRPr="002029AF" w:rsidRDefault="00087B91" w:rsidP="00C81A0B">
            <w:pPr>
              <w:pStyle w:val="ARfintablebodyright"/>
              <w:spacing w:before="30"/>
              <w:ind w:right="0"/>
            </w:pPr>
            <w:r w:rsidRPr="002029AF">
              <w:t>403.6</w:t>
            </w:r>
          </w:p>
        </w:tc>
        <w:tc>
          <w:tcPr>
            <w:tcW w:w="708" w:type="dxa"/>
            <w:tcBorders>
              <w:top w:val="single" w:sz="4" w:space="0" w:color="A6A6A6"/>
              <w:bottom w:val="single" w:sz="4" w:space="0" w:color="A6A6A6"/>
            </w:tcBorders>
            <w:noWrap/>
            <w:hideMark/>
          </w:tcPr>
          <w:p w14:paraId="3FF8E4BE" w14:textId="77777777" w:rsidR="00087B91" w:rsidRPr="002029AF" w:rsidRDefault="00087B91" w:rsidP="00C81A0B">
            <w:pPr>
              <w:pStyle w:val="ARfintablebodyright"/>
              <w:spacing w:before="30"/>
              <w:ind w:right="0"/>
            </w:pPr>
            <w:r w:rsidRPr="002029AF">
              <w:t>482.7</w:t>
            </w:r>
          </w:p>
        </w:tc>
        <w:tc>
          <w:tcPr>
            <w:tcW w:w="567" w:type="dxa"/>
            <w:tcBorders>
              <w:top w:val="single" w:sz="4" w:space="0" w:color="A6A6A6"/>
              <w:bottom w:val="single" w:sz="4" w:space="0" w:color="A6A6A6"/>
            </w:tcBorders>
            <w:noWrap/>
            <w:hideMark/>
          </w:tcPr>
          <w:p w14:paraId="4A6C1F12" w14:textId="77777777" w:rsidR="00087B91" w:rsidRPr="002029AF" w:rsidRDefault="00087B91" w:rsidP="00C81A0B">
            <w:pPr>
              <w:pStyle w:val="ARfintablebodyright"/>
              <w:spacing w:before="30"/>
              <w:ind w:right="0"/>
            </w:pPr>
            <w:r w:rsidRPr="002029AF">
              <w:t>369.7</w:t>
            </w:r>
          </w:p>
        </w:tc>
        <w:tc>
          <w:tcPr>
            <w:tcW w:w="709" w:type="dxa"/>
            <w:tcBorders>
              <w:top w:val="single" w:sz="4" w:space="0" w:color="A6A6A6"/>
              <w:bottom w:val="single" w:sz="4" w:space="0" w:color="A6A6A6"/>
            </w:tcBorders>
            <w:noWrap/>
            <w:hideMark/>
          </w:tcPr>
          <w:p w14:paraId="30F0CB68" w14:textId="77777777" w:rsidR="00087B91" w:rsidRPr="002029AF" w:rsidRDefault="00087B91" w:rsidP="00C81A0B">
            <w:pPr>
              <w:pStyle w:val="ARfintablebodyright"/>
              <w:spacing w:before="30"/>
              <w:ind w:right="0"/>
            </w:pPr>
            <w:r w:rsidRPr="002029AF">
              <w:t>269.3</w:t>
            </w:r>
          </w:p>
        </w:tc>
        <w:tc>
          <w:tcPr>
            <w:tcW w:w="709" w:type="dxa"/>
            <w:tcBorders>
              <w:top w:val="single" w:sz="4" w:space="0" w:color="A6A6A6"/>
              <w:bottom w:val="single" w:sz="4" w:space="0" w:color="A6A6A6"/>
            </w:tcBorders>
            <w:noWrap/>
            <w:hideMark/>
          </w:tcPr>
          <w:p w14:paraId="20B834C4" w14:textId="77777777" w:rsidR="00087B91" w:rsidRPr="002029AF" w:rsidRDefault="00087B91" w:rsidP="00C81A0B">
            <w:pPr>
              <w:pStyle w:val="ARfintablebodyright"/>
              <w:spacing w:before="30"/>
              <w:ind w:right="0"/>
            </w:pPr>
            <w:r w:rsidRPr="002029AF">
              <w:t>241.1</w:t>
            </w:r>
          </w:p>
        </w:tc>
        <w:tc>
          <w:tcPr>
            <w:tcW w:w="708" w:type="dxa"/>
            <w:tcBorders>
              <w:top w:val="single" w:sz="4" w:space="0" w:color="A6A6A6"/>
              <w:bottom w:val="single" w:sz="4" w:space="0" w:color="A6A6A6"/>
            </w:tcBorders>
            <w:noWrap/>
            <w:hideMark/>
          </w:tcPr>
          <w:p w14:paraId="55CD10D4" w14:textId="77777777" w:rsidR="00087B91" w:rsidRPr="002029AF" w:rsidRDefault="00087B91" w:rsidP="00C81A0B">
            <w:pPr>
              <w:pStyle w:val="ARfintablebodyright"/>
              <w:spacing w:before="30"/>
              <w:ind w:right="0"/>
            </w:pPr>
            <w:r w:rsidRPr="002029AF">
              <w:t>1,421.7</w:t>
            </w:r>
          </w:p>
        </w:tc>
        <w:tc>
          <w:tcPr>
            <w:tcW w:w="708" w:type="dxa"/>
            <w:tcBorders>
              <w:top w:val="single" w:sz="4" w:space="0" w:color="A6A6A6"/>
              <w:bottom w:val="single" w:sz="4" w:space="0" w:color="A6A6A6"/>
            </w:tcBorders>
            <w:noWrap/>
            <w:hideMark/>
          </w:tcPr>
          <w:p w14:paraId="370B75C0" w14:textId="77777777" w:rsidR="00087B91" w:rsidRPr="002029AF" w:rsidRDefault="00087B91" w:rsidP="00C81A0B">
            <w:pPr>
              <w:pStyle w:val="ARfintablebodyright"/>
              <w:spacing w:before="30"/>
              <w:ind w:right="0"/>
            </w:pPr>
            <w:r w:rsidRPr="002029AF">
              <w:t>1,054.0</w:t>
            </w:r>
          </w:p>
        </w:tc>
        <w:tc>
          <w:tcPr>
            <w:tcW w:w="709" w:type="dxa"/>
            <w:tcBorders>
              <w:top w:val="single" w:sz="4" w:space="0" w:color="A6A6A6"/>
              <w:bottom w:val="single" w:sz="4" w:space="0" w:color="A6A6A6"/>
            </w:tcBorders>
            <w:noWrap/>
            <w:hideMark/>
          </w:tcPr>
          <w:p w14:paraId="4DB10D55" w14:textId="77777777" w:rsidR="00087B91" w:rsidRPr="002029AF" w:rsidRDefault="00087B91" w:rsidP="00C81A0B">
            <w:pPr>
              <w:pStyle w:val="ARfintablebodyright"/>
              <w:spacing w:before="30"/>
              <w:ind w:right="0"/>
            </w:pPr>
            <w:r w:rsidRPr="002029AF">
              <w:t>722.7</w:t>
            </w:r>
          </w:p>
        </w:tc>
        <w:tc>
          <w:tcPr>
            <w:tcW w:w="710" w:type="dxa"/>
            <w:tcBorders>
              <w:top w:val="single" w:sz="4" w:space="0" w:color="A6A6A6"/>
              <w:bottom w:val="single" w:sz="4" w:space="0" w:color="A6A6A6"/>
            </w:tcBorders>
            <w:noWrap/>
            <w:hideMark/>
          </w:tcPr>
          <w:p w14:paraId="1C5953C4" w14:textId="77777777" w:rsidR="00087B91" w:rsidRPr="002029AF" w:rsidRDefault="00087B91" w:rsidP="00C81A0B">
            <w:pPr>
              <w:pStyle w:val="ARfintablebodyright"/>
              <w:spacing w:before="30"/>
              <w:ind w:right="0"/>
            </w:pPr>
            <w:r w:rsidRPr="002029AF">
              <w:t>147.4</w:t>
            </w:r>
          </w:p>
        </w:tc>
        <w:tc>
          <w:tcPr>
            <w:tcW w:w="567" w:type="dxa"/>
            <w:tcBorders>
              <w:top w:val="single" w:sz="4" w:space="0" w:color="A6A6A6"/>
              <w:bottom w:val="single" w:sz="4" w:space="0" w:color="A6A6A6"/>
            </w:tcBorders>
            <w:noWrap/>
            <w:hideMark/>
          </w:tcPr>
          <w:p w14:paraId="29EF5089" w14:textId="77777777" w:rsidR="00087B91" w:rsidRPr="002029AF" w:rsidRDefault="00087B91" w:rsidP="00C81A0B">
            <w:pPr>
              <w:pStyle w:val="ARfintablebodyright"/>
              <w:spacing w:before="30"/>
              <w:ind w:right="0"/>
            </w:pPr>
            <w:r w:rsidRPr="002029AF">
              <w:t>7.3</w:t>
            </w:r>
          </w:p>
        </w:tc>
        <w:tc>
          <w:tcPr>
            <w:tcW w:w="746" w:type="dxa"/>
            <w:tcBorders>
              <w:top w:val="single" w:sz="4" w:space="0" w:color="A6A6A6"/>
              <w:bottom w:val="single" w:sz="4" w:space="0" w:color="A6A6A6"/>
            </w:tcBorders>
            <w:noWrap/>
            <w:hideMark/>
          </w:tcPr>
          <w:p w14:paraId="5CF15270" w14:textId="77777777" w:rsidR="00087B91" w:rsidRPr="002029AF" w:rsidRDefault="00087B91" w:rsidP="00C81A0B">
            <w:pPr>
              <w:pStyle w:val="ARfintablebodyright"/>
              <w:spacing w:before="30"/>
              <w:ind w:right="0"/>
            </w:pPr>
            <w:r w:rsidRPr="002029AF">
              <w:t>59.9</w:t>
            </w:r>
          </w:p>
        </w:tc>
        <w:tc>
          <w:tcPr>
            <w:tcW w:w="709" w:type="dxa"/>
            <w:tcBorders>
              <w:top w:val="single" w:sz="4" w:space="0" w:color="A6A6A6"/>
              <w:bottom w:val="single" w:sz="4" w:space="0" w:color="A6A6A6"/>
            </w:tcBorders>
            <w:noWrap/>
            <w:hideMark/>
          </w:tcPr>
          <w:p w14:paraId="30F47525" w14:textId="77777777" w:rsidR="00087B91" w:rsidRPr="002029AF" w:rsidRDefault="00087B91" w:rsidP="00C81A0B">
            <w:pPr>
              <w:pStyle w:val="ARfintablebodyright"/>
              <w:spacing w:before="30"/>
              <w:ind w:right="0"/>
            </w:pPr>
            <w:r w:rsidRPr="002029AF">
              <w:t>426.3</w:t>
            </w:r>
          </w:p>
        </w:tc>
        <w:tc>
          <w:tcPr>
            <w:tcW w:w="640" w:type="dxa"/>
            <w:tcBorders>
              <w:top w:val="single" w:sz="4" w:space="0" w:color="A6A6A6"/>
              <w:bottom w:val="single" w:sz="4" w:space="0" w:color="A6A6A6"/>
            </w:tcBorders>
            <w:noWrap/>
            <w:hideMark/>
          </w:tcPr>
          <w:p w14:paraId="2D3ED9D8" w14:textId="77777777" w:rsidR="00087B91" w:rsidRPr="002029AF" w:rsidRDefault="00087B91" w:rsidP="00C81A0B">
            <w:pPr>
              <w:pStyle w:val="ARfintablebodyright"/>
              <w:spacing w:before="30"/>
              <w:ind w:right="0"/>
            </w:pPr>
            <w:r w:rsidRPr="002029AF">
              <w:t>–</w:t>
            </w:r>
          </w:p>
        </w:tc>
        <w:tc>
          <w:tcPr>
            <w:tcW w:w="640" w:type="dxa"/>
            <w:tcBorders>
              <w:top w:val="single" w:sz="4" w:space="0" w:color="A6A6A6"/>
              <w:bottom w:val="single" w:sz="4" w:space="0" w:color="A6A6A6"/>
            </w:tcBorders>
            <w:noWrap/>
            <w:hideMark/>
          </w:tcPr>
          <w:p w14:paraId="5F37FF4B" w14:textId="77777777" w:rsidR="00087B91" w:rsidRPr="002029AF" w:rsidRDefault="00087B91" w:rsidP="00C81A0B">
            <w:pPr>
              <w:pStyle w:val="ARfintablebodyright"/>
              <w:spacing w:before="30"/>
              <w:ind w:right="0"/>
            </w:pPr>
            <w:r w:rsidRPr="002029AF">
              <w:t>(9.5)</w:t>
            </w:r>
          </w:p>
        </w:tc>
        <w:tc>
          <w:tcPr>
            <w:tcW w:w="667" w:type="dxa"/>
            <w:tcBorders>
              <w:top w:val="single" w:sz="4" w:space="0" w:color="A6A6A6"/>
              <w:bottom w:val="single" w:sz="4" w:space="0" w:color="A6A6A6"/>
            </w:tcBorders>
            <w:noWrap/>
            <w:hideMark/>
          </w:tcPr>
          <w:p w14:paraId="0249D98F" w14:textId="77777777" w:rsidR="00087B91" w:rsidRPr="002029AF" w:rsidRDefault="00087B91" w:rsidP="00C81A0B">
            <w:pPr>
              <w:pStyle w:val="ARfintablebodyright"/>
              <w:spacing w:before="30"/>
              <w:ind w:right="0"/>
            </w:pPr>
            <w:r w:rsidRPr="002029AF">
              <w:t>15,131.5</w:t>
            </w:r>
          </w:p>
        </w:tc>
      </w:tr>
      <w:tr w:rsidR="002A3743" w:rsidRPr="002029AF" w14:paraId="6A7EC7B9" w14:textId="77777777" w:rsidTr="00C81A0B">
        <w:trPr>
          <w:gridAfter w:val="1"/>
          <w:wAfter w:w="88" w:type="dxa"/>
        </w:trPr>
        <w:tc>
          <w:tcPr>
            <w:tcW w:w="2263" w:type="dxa"/>
            <w:tcBorders>
              <w:top w:val="single" w:sz="4" w:space="0" w:color="A6A6A6"/>
              <w:bottom w:val="single" w:sz="4" w:space="0" w:color="A6A6A6"/>
            </w:tcBorders>
            <w:hideMark/>
          </w:tcPr>
          <w:p w14:paraId="4009A03A" w14:textId="15440DA6" w:rsidR="00087B91" w:rsidRPr="002029AF" w:rsidRDefault="00087B91" w:rsidP="00C81A0B">
            <w:pPr>
              <w:pStyle w:val="ARfintablebody"/>
              <w:spacing w:before="30"/>
            </w:pPr>
            <w:r w:rsidRPr="002029AF">
              <w:t>Capital</w:t>
            </w:r>
            <w:r w:rsidR="000A5329" w:rsidRPr="002029AF">
              <w:t xml:space="preserve"> </w:t>
            </w:r>
            <w:r w:rsidRPr="002029AF">
              <w:t>asset</w:t>
            </w:r>
            <w:r w:rsidR="000A5329" w:rsidRPr="002029AF">
              <w:t xml:space="preserve"> </w:t>
            </w:r>
            <w:r w:rsidRPr="002029AF">
              <w:t>charge</w:t>
            </w:r>
          </w:p>
        </w:tc>
        <w:tc>
          <w:tcPr>
            <w:tcW w:w="851" w:type="dxa"/>
            <w:tcBorders>
              <w:top w:val="single" w:sz="4" w:space="0" w:color="A6A6A6"/>
              <w:bottom w:val="single" w:sz="4" w:space="0" w:color="A6A6A6"/>
            </w:tcBorders>
            <w:noWrap/>
            <w:hideMark/>
          </w:tcPr>
          <w:p w14:paraId="4C54BA32" w14:textId="77777777" w:rsidR="00087B91" w:rsidRPr="002029AF" w:rsidRDefault="00087B91" w:rsidP="00C81A0B">
            <w:pPr>
              <w:pStyle w:val="ARfintablebodyright"/>
              <w:spacing w:before="30"/>
              <w:ind w:right="0"/>
            </w:pPr>
            <w:r w:rsidRPr="002029AF">
              <w:t>977.2</w:t>
            </w:r>
          </w:p>
        </w:tc>
        <w:tc>
          <w:tcPr>
            <w:tcW w:w="709" w:type="dxa"/>
            <w:tcBorders>
              <w:top w:val="single" w:sz="4" w:space="0" w:color="A6A6A6"/>
              <w:bottom w:val="single" w:sz="4" w:space="0" w:color="A6A6A6"/>
            </w:tcBorders>
            <w:noWrap/>
            <w:hideMark/>
          </w:tcPr>
          <w:p w14:paraId="6977E3EF" w14:textId="77777777" w:rsidR="00087B91" w:rsidRPr="002029AF" w:rsidRDefault="00087B91" w:rsidP="00C81A0B">
            <w:pPr>
              <w:pStyle w:val="ARfintablebodyright"/>
              <w:spacing w:before="30"/>
              <w:ind w:right="0"/>
            </w:pPr>
            <w:r w:rsidRPr="002029AF">
              <w:t>26.8</w:t>
            </w:r>
          </w:p>
        </w:tc>
        <w:tc>
          <w:tcPr>
            <w:tcW w:w="567" w:type="dxa"/>
            <w:tcBorders>
              <w:top w:val="single" w:sz="4" w:space="0" w:color="A6A6A6"/>
              <w:bottom w:val="single" w:sz="4" w:space="0" w:color="A6A6A6"/>
            </w:tcBorders>
            <w:noWrap/>
            <w:hideMark/>
          </w:tcPr>
          <w:p w14:paraId="37702483" w14:textId="77777777" w:rsidR="00087B91" w:rsidRPr="002029AF" w:rsidRDefault="00087B91" w:rsidP="00C81A0B">
            <w:pPr>
              <w:pStyle w:val="ARfintablebodyright"/>
              <w:spacing w:before="30"/>
              <w:ind w:right="0"/>
            </w:pPr>
            <w:r w:rsidRPr="002029AF">
              <w:t>81.3</w:t>
            </w:r>
          </w:p>
        </w:tc>
        <w:tc>
          <w:tcPr>
            <w:tcW w:w="709" w:type="dxa"/>
            <w:tcBorders>
              <w:top w:val="single" w:sz="4" w:space="0" w:color="A6A6A6"/>
              <w:bottom w:val="single" w:sz="4" w:space="0" w:color="A6A6A6"/>
            </w:tcBorders>
            <w:noWrap/>
            <w:hideMark/>
          </w:tcPr>
          <w:p w14:paraId="64358383" w14:textId="77777777" w:rsidR="00087B91" w:rsidRPr="002029AF" w:rsidRDefault="00087B91" w:rsidP="00C81A0B">
            <w:pPr>
              <w:pStyle w:val="ARfintablebodyright"/>
              <w:spacing w:before="30"/>
              <w:ind w:right="0"/>
            </w:pPr>
            <w:r w:rsidRPr="002029AF">
              <w:t>55.6</w:t>
            </w:r>
          </w:p>
        </w:tc>
        <w:tc>
          <w:tcPr>
            <w:tcW w:w="708" w:type="dxa"/>
            <w:tcBorders>
              <w:top w:val="single" w:sz="4" w:space="0" w:color="A6A6A6"/>
              <w:bottom w:val="single" w:sz="4" w:space="0" w:color="A6A6A6"/>
            </w:tcBorders>
            <w:noWrap/>
            <w:hideMark/>
          </w:tcPr>
          <w:p w14:paraId="74033531" w14:textId="77777777" w:rsidR="00087B91" w:rsidRPr="002029AF" w:rsidRDefault="00087B91" w:rsidP="00C81A0B">
            <w:pPr>
              <w:pStyle w:val="ARfintablebodyright"/>
              <w:spacing w:before="30"/>
              <w:ind w:right="0"/>
            </w:pPr>
            <w:r w:rsidRPr="002029AF">
              <w:t>26.4</w:t>
            </w:r>
          </w:p>
        </w:tc>
        <w:tc>
          <w:tcPr>
            <w:tcW w:w="567" w:type="dxa"/>
            <w:tcBorders>
              <w:top w:val="single" w:sz="4" w:space="0" w:color="A6A6A6"/>
              <w:bottom w:val="single" w:sz="4" w:space="0" w:color="A6A6A6"/>
            </w:tcBorders>
            <w:noWrap/>
            <w:hideMark/>
          </w:tcPr>
          <w:p w14:paraId="3A1C9BA0" w14:textId="77777777" w:rsidR="00087B91" w:rsidRPr="002029AF" w:rsidRDefault="00087B91" w:rsidP="00C81A0B">
            <w:pPr>
              <w:pStyle w:val="ARfintablebodyright"/>
              <w:spacing w:before="30"/>
              <w:ind w:right="0"/>
            </w:pPr>
            <w:r w:rsidRPr="002029AF">
              <w:t>35.8</w:t>
            </w:r>
          </w:p>
        </w:tc>
        <w:tc>
          <w:tcPr>
            <w:tcW w:w="709" w:type="dxa"/>
            <w:tcBorders>
              <w:top w:val="single" w:sz="4" w:space="0" w:color="A6A6A6"/>
              <w:bottom w:val="single" w:sz="4" w:space="0" w:color="A6A6A6"/>
            </w:tcBorders>
            <w:noWrap/>
            <w:hideMark/>
          </w:tcPr>
          <w:p w14:paraId="768B28A8" w14:textId="77777777" w:rsidR="00087B91" w:rsidRPr="002029AF" w:rsidRDefault="00087B91" w:rsidP="00C81A0B">
            <w:pPr>
              <w:pStyle w:val="ARfintablebodyright"/>
              <w:spacing w:before="30"/>
              <w:ind w:right="0"/>
            </w:pPr>
            <w:r w:rsidRPr="002029AF">
              <w:t>2.5</w:t>
            </w:r>
          </w:p>
        </w:tc>
        <w:tc>
          <w:tcPr>
            <w:tcW w:w="709" w:type="dxa"/>
            <w:tcBorders>
              <w:top w:val="single" w:sz="4" w:space="0" w:color="A6A6A6"/>
              <w:bottom w:val="single" w:sz="4" w:space="0" w:color="A6A6A6"/>
            </w:tcBorders>
            <w:noWrap/>
            <w:hideMark/>
          </w:tcPr>
          <w:p w14:paraId="53A3A593" w14:textId="77777777" w:rsidR="00087B91" w:rsidRPr="002029AF" w:rsidRDefault="00087B91" w:rsidP="00C81A0B">
            <w:pPr>
              <w:pStyle w:val="ARfintablebodyright"/>
              <w:spacing w:before="30"/>
              <w:ind w:right="0"/>
            </w:pPr>
            <w:r w:rsidRPr="002029AF">
              <w:t>3.6</w:t>
            </w:r>
          </w:p>
        </w:tc>
        <w:tc>
          <w:tcPr>
            <w:tcW w:w="708" w:type="dxa"/>
            <w:tcBorders>
              <w:top w:val="single" w:sz="4" w:space="0" w:color="A6A6A6"/>
              <w:bottom w:val="single" w:sz="4" w:space="0" w:color="A6A6A6"/>
            </w:tcBorders>
            <w:noWrap/>
            <w:hideMark/>
          </w:tcPr>
          <w:p w14:paraId="4813CBA6" w14:textId="77777777" w:rsidR="00087B91" w:rsidRPr="002029AF" w:rsidRDefault="00087B91" w:rsidP="00C81A0B">
            <w:pPr>
              <w:pStyle w:val="ARfintablebodyright"/>
              <w:spacing w:before="30"/>
              <w:ind w:right="0"/>
            </w:pPr>
            <w:r w:rsidRPr="002029AF">
              <w:t>39.6</w:t>
            </w:r>
          </w:p>
        </w:tc>
        <w:tc>
          <w:tcPr>
            <w:tcW w:w="708" w:type="dxa"/>
            <w:tcBorders>
              <w:top w:val="single" w:sz="4" w:space="0" w:color="A6A6A6"/>
              <w:bottom w:val="single" w:sz="4" w:space="0" w:color="A6A6A6"/>
            </w:tcBorders>
            <w:noWrap/>
            <w:hideMark/>
          </w:tcPr>
          <w:p w14:paraId="3A787194" w14:textId="77777777" w:rsidR="00087B91" w:rsidRPr="002029AF" w:rsidRDefault="00087B91" w:rsidP="00C81A0B">
            <w:pPr>
              <w:pStyle w:val="ARfintablebodyright"/>
              <w:spacing w:before="30"/>
              <w:ind w:right="0"/>
            </w:pPr>
            <w:r w:rsidRPr="002029AF">
              <w:t>14.6</w:t>
            </w:r>
          </w:p>
        </w:tc>
        <w:tc>
          <w:tcPr>
            <w:tcW w:w="709" w:type="dxa"/>
            <w:tcBorders>
              <w:top w:val="single" w:sz="4" w:space="0" w:color="A6A6A6"/>
              <w:bottom w:val="single" w:sz="4" w:space="0" w:color="A6A6A6"/>
            </w:tcBorders>
            <w:noWrap/>
            <w:hideMark/>
          </w:tcPr>
          <w:p w14:paraId="39A9FF2D" w14:textId="77777777" w:rsidR="00087B91" w:rsidRPr="002029AF" w:rsidRDefault="00087B91" w:rsidP="00C81A0B">
            <w:pPr>
              <w:pStyle w:val="ARfintablebodyright"/>
              <w:spacing w:before="30"/>
              <w:ind w:right="0"/>
            </w:pPr>
            <w:r w:rsidRPr="002029AF">
              <w:t>–</w:t>
            </w:r>
          </w:p>
        </w:tc>
        <w:tc>
          <w:tcPr>
            <w:tcW w:w="710" w:type="dxa"/>
            <w:tcBorders>
              <w:top w:val="single" w:sz="4" w:space="0" w:color="A6A6A6"/>
              <w:bottom w:val="single" w:sz="4" w:space="0" w:color="A6A6A6"/>
            </w:tcBorders>
            <w:noWrap/>
            <w:hideMark/>
          </w:tcPr>
          <w:p w14:paraId="49AF34F8" w14:textId="77777777" w:rsidR="00087B91" w:rsidRPr="002029AF" w:rsidRDefault="00087B91" w:rsidP="00C81A0B">
            <w:pPr>
              <w:pStyle w:val="ARfintablebodyright"/>
              <w:spacing w:before="30"/>
              <w:ind w:right="0"/>
            </w:pPr>
            <w:r w:rsidRPr="002029AF">
              <w:t>0.9</w:t>
            </w:r>
          </w:p>
        </w:tc>
        <w:tc>
          <w:tcPr>
            <w:tcW w:w="567" w:type="dxa"/>
            <w:tcBorders>
              <w:top w:val="single" w:sz="4" w:space="0" w:color="A6A6A6"/>
              <w:bottom w:val="single" w:sz="4" w:space="0" w:color="A6A6A6"/>
            </w:tcBorders>
            <w:noWrap/>
            <w:hideMark/>
          </w:tcPr>
          <w:p w14:paraId="618FDCD7" w14:textId="77777777" w:rsidR="00087B91" w:rsidRPr="002029AF" w:rsidRDefault="00087B91" w:rsidP="00C81A0B">
            <w:pPr>
              <w:pStyle w:val="ARfintablebodyright"/>
              <w:spacing w:before="30"/>
              <w:ind w:right="0"/>
            </w:pPr>
            <w:r w:rsidRPr="002029AF">
              <w:t>–</w:t>
            </w:r>
          </w:p>
        </w:tc>
        <w:tc>
          <w:tcPr>
            <w:tcW w:w="746" w:type="dxa"/>
            <w:tcBorders>
              <w:top w:val="single" w:sz="4" w:space="0" w:color="A6A6A6"/>
              <w:bottom w:val="single" w:sz="4" w:space="0" w:color="A6A6A6"/>
            </w:tcBorders>
            <w:noWrap/>
            <w:hideMark/>
          </w:tcPr>
          <w:p w14:paraId="671820A2" w14:textId="77777777" w:rsidR="00087B91" w:rsidRPr="002029AF" w:rsidRDefault="00087B91" w:rsidP="00C81A0B">
            <w:pPr>
              <w:pStyle w:val="ARfintablebodyright"/>
              <w:spacing w:before="30"/>
              <w:ind w:right="0"/>
            </w:pPr>
            <w:r w:rsidRPr="002029AF">
              <w:t>1.9</w:t>
            </w:r>
          </w:p>
        </w:tc>
        <w:tc>
          <w:tcPr>
            <w:tcW w:w="709" w:type="dxa"/>
            <w:tcBorders>
              <w:top w:val="single" w:sz="4" w:space="0" w:color="A6A6A6"/>
              <w:bottom w:val="single" w:sz="4" w:space="0" w:color="A6A6A6"/>
            </w:tcBorders>
            <w:noWrap/>
            <w:hideMark/>
          </w:tcPr>
          <w:p w14:paraId="23A8E2B6" w14:textId="77777777" w:rsidR="00087B91" w:rsidRPr="002029AF" w:rsidRDefault="00087B91" w:rsidP="00C81A0B">
            <w:pPr>
              <w:pStyle w:val="ARfintablebodyright"/>
              <w:spacing w:before="30"/>
              <w:ind w:right="0"/>
            </w:pPr>
            <w:r w:rsidRPr="002029AF">
              <w:t>–</w:t>
            </w:r>
          </w:p>
        </w:tc>
        <w:tc>
          <w:tcPr>
            <w:tcW w:w="640" w:type="dxa"/>
            <w:tcBorders>
              <w:top w:val="single" w:sz="4" w:space="0" w:color="A6A6A6"/>
              <w:bottom w:val="single" w:sz="4" w:space="0" w:color="A6A6A6"/>
            </w:tcBorders>
            <w:noWrap/>
            <w:hideMark/>
          </w:tcPr>
          <w:p w14:paraId="210E1D43" w14:textId="77777777" w:rsidR="00087B91" w:rsidRPr="002029AF" w:rsidRDefault="00087B91" w:rsidP="00C81A0B">
            <w:pPr>
              <w:pStyle w:val="ARfintablebodyright"/>
              <w:spacing w:before="30"/>
              <w:ind w:right="0"/>
            </w:pPr>
            <w:r w:rsidRPr="002029AF">
              <w:t>–</w:t>
            </w:r>
          </w:p>
        </w:tc>
        <w:tc>
          <w:tcPr>
            <w:tcW w:w="640" w:type="dxa"/>
            <w:tcBorders>
              <w:top w:val="single" w:sz="4" w:space="0" w:color="A6A6A6"/>
              <w:bottom w:val="single" w:sz="4" w:space="0" w:color="A6A6A6"/>
            </w:tcBorders>
            <w:noWrap/>
            <w:hideMark/>
          </w:tcPr>
          <w:p w14:paraId="35854F35" w14:textId="77777777" w:rsidR="00087B91" w:rsidRPr="002029AF" w:rsidRDefault="00087B91" w:rsidP="00C81A0B">
            <w:pPr>
              <w:pStyle w:val="ARfintablebodyright"/>
              <w:spacing w:before="30"/>
              <w:ind w:right="0"/>
            </w:pPr>
            <w:r w:rsidRPr="002029AF">
              <w:t>–</w:t>
            </w:r>
          </w:p>
        </w:tc>
        <w:tc>
          <w:tcPr>
            <w:tcW w:w="667" w:type="dxa"/>
            <w:tcBorders>
              <w:top w:val="single" w:sz="4" w:space="0" w:color="A6A6A6"/>
              <w:bottom w:val="single" w:sz="4" w:space="0" w:color="A6A6A6"/>
            </w:tcBorders>
            <w:noWrap/>
            <w:hideMark/>
          </w:tcPr>
          <w:p w14:paraId="563C831D" w14:textId="77777777" w:rsidR="00087B91" w:rsidRPr="002029AF" w:rsidRDefault="00087B91" w:rsidP="00C81A0B">
            <w:pPr>
              <w:pStyle w:val="ARfintablebodyright"/>
              <w:spacing w:before="30"/>
              <w:ind w:right="0"/>
            </w:pPr>
            <w:r w:rsidRPr="002029AF">
              <w:t>1,266.0</w:t>
            </w:r>
          </w:p>
        </w:tc>
      </w:tr>
      <w:tr w:rsidR="002A3743" w:rsidRPr="002029AF" w14:paraId="5BC4960D" w14:textId="77777777" w:rsidTr="00C81A0B">
        <w:trPr>
          <w:gridAfter w:val="1"/>
          <w:wAfter w:w="88" w:type="dxa"/>
        </w:trPr>
        <w:tc>
          <w:tcPr>
            <w:tcW w:w="2263" w:type="dxa"/>
            <w:tcBorders>
              <w:top w:val="single" w:sz="4" w:space="0" w:color="A6A6A6"/>
            </w:tcBorders>
            <w:hideMark/>
          </w:tcPr>
          <w:p w14:paraId="1CC0FC65" w14:textId="2ED3DFD1" w:rsidR="00087B91" w:rsidRPr="002029AF" w:rsidRDefault="00087B91" w:rsidP="00C81A0B">
            <w:pPr>
              <w:pStyle w:val="ARfintablebody"/>
              <w:spacing w:before="30"/>
            </w:pPr>
            <w:r w:rsidRPr="002029AF">
              <w:t>Other</w:t>
            </w:r>
            <w:r w:rsidR="000A5329" w:rsidRPr="002029AF">
              <w:t xml:space="preserve"> </w:t>
            </w:r>
            <w:r w:rsidRPr="002029AF">
              <w:t>property</w:t>
            </w:r>
            <w:r w:rsidR="000A5329" w:rsidRPr="002029AF">
              <w:t xml:space="preserve"> </w:t>
            </w:r>
            <w:r w:rsidRPr="002029AF">
              <w:t>management</w:t>
            </w:r>
            <w:r w:rsidR="000A5329" w:rsidRPr="002029AF">
              <w:t xml:space="preserve"> </w:t>
            </w:r>
            <w:r w:rsidRPr="002029AF">
              <w:t>expenses</w:t>
            </w:r>
          </w:p>
        </w:tc>
        <w:tc>
          <w:tcPr>
            <w:tcW w:w="851" w:type="dxa"/>
            <w:tcBorders>
              <w:top w:val="single" w:sz="4" w:space="0" w:color="A6A6A6"/>
            </w:tcBorders>
            <w:noWrap/>
            <w:hideMark/>
          </w:tcPr>
          <w:p w14:paraId="329F6FA8"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tcBorders>
            <w:noWrap/>
            <w:hideMark/>
          </w:tcPr>
          <w:p w14:paraId="298B4604" w14:textId="77777777" w:rsidR="00087B91" w:rsidRPr="002029AF" w:rsidRDefault="00087B91" w:rsidP="00C81A0B">
            <w:pPr>
              <w:pStyle w:val="ARfintablebodyright"/>
              <w:spacing w:before="30"/>
              <w:ind w:right="0"/>
            </w:pPr>
            <w:r w:rsidRPr="002029AF">
              <w:t>–</w:t>
            </w:r>
          </w:p>
        </w:tc>
        <w:tc>
          <w:tcPr>
            <w:tcW w:w="567" w:type="dxa"/>
            <w:tcBorders>
              <w:top w:val="single" w:sz="4" w:space="0" w:color="A6A6A6"/>
            </w:tcBorders>
            <w:noWrap/>
            <w:hideMark/>
          </w:tcPr>
          <w:p w14:paraId="5F09D3F4"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tcBorders>
            <w:noWrap/>
            <w:hideMark/>
          </w:tcPr>
          <w:p w14:paraId="171522F1" w14:textId="77777777" w:rsidR="00087B91" w:rsidRPr="002029AF" w:rsidRDefault="00087B91" w:rsidP="00C81A0B">
            <w:pPr>
              <w:pStyle w:val="ARfintablebodyright"/>
              <w:spacing w:before="30"/>
              <w:ind w:right="0"/>
            </w:pPr>
            <w:r w:rsidRPr="002029AF">
              <w:t>–</w:t>
            </w:r>
          </w:p>
        </w:tc>
        <w:tc>
          <w:tcPr>
            <w:tcW w:w="708" w:type="dxa"/>
            <w:tcBorders>
              <w:top w:val="single" w:sz="4" w:space="0" w:color="A6A6A6"/>
            </w:tcBorders>
            <w:noWrap/>
            <w:hideMark/>
          </w:tcPr>
          <w:p w14:paraId="20EA2F3A" w14:textId="77777777" w:rsidR="00087B91" w:rsidRPr="002029AF" w:rsidRDefault="00087B91" w:rsidP="00C81A0B">
            <w:pPr>
              <w:pStyle w:val="ARfintablebodyright"/>
              <w:spacing w:before="30"/>
              <w:ind w:right="0"/>
            </w:pPr>
            <w:r w:rsidRPr="002029AF">
              <w:t>–</w:t>
            </w:r>
          </w:p>
        </w:tc>
        <w:tc>
          <w:tcPr>
            <w:tcW w:w="567" w:type="dxa"/>
            <w:tcBorders>
              <w:top w:val="single" w:sz="4" w:space="0" w:color="A6A6A6"/>
            </w:tcBorders>
            <w:noWrap/>
            <w:hideMark/>
          </w:tcPr>
          <w:p w14:paraId="532275F9"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tcBorders>
            <w:noWrap/>
            <w:hideMark/>
          </w:tcPr>
          <w:p w14:paraId="6C14AA3F"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tcBorders>
            <w:noWrap/>
            <w:hideMark/>
          </w:tcPr>
          <w:p w14:paraId="6FD41617" w14:textId="77777777" w:rsidR="00087B91" w:rsidRPr="002029AF" w:rsidRDefault="00087B91" w:rsidP="00C81A0B">
            <w:pPr>
              <w:pStyle w:val="ARfintablebodyright"/>
              <w:spacing w:before="30"/>
              <w:ind w:right="0"/>
            </w:pPr>
            <w:r w:rsidRPr="002029AF">
              <w:t>–</w:t>
            </w:r>
          </w:p>
        </w:tc>
        <w:tc>
          <w:tcPr>
            <w:tcW w:w="708" w:type="dxa"/>
            <w:tcBorders>
              <w:top w:val="single" w:sz="4" w:space="0" w:color="A6A6A6"/>
            </w:tcBorders>
            <w:noWrap/>
            <w:hideMark/>
          </w:tcPr>
          <w:p w14:paraId="36605D14" w14:textId="77777777" w:rsidR="00087B91" w:rsidRPr="002029AF" w:rsidRDefault="00087B91" w:rsidP="00C81A0B">
            <w:pPr>
              <w:pStyle w:val="ARfintablebodyright"/>
              <w:spacing w:before="30"/>
              <w:ind w:right="0"/>
            </w:pPr>
            <w:r w:rsidRPr="002029AF">
              <w:t>0.1</w:t>
            </w:r>
          </w:p>
        </w:tc>
        <w:tc>
          <w:tcPr>
            <w:tcW w:w="708" w:type="dxa"/>
            <w:tcBorders>
              <w:top w:val="single" w:sz="4" w:space="0" w:color="A6A6A6"/>
            </w:tcBorders>
            <w:noWrap/>
            <w:hideMark/>
          </w:tcPr>
          <w:p w14:paraId="29DF9153" w14:textId="77777777" w:rsidR="00087B91" w:rsidRPr="002029AF" w:rsidRDefault="00087B91" w:rsidP="00C81A0B">
            <w:pPr>
              <w:pStyle w:val="ARfintablebodyright"/>
              <w:spacing w:before="30"/>
              <w:ind w:right="0"/>
            </w:pPr>
            <w:r w:rsidRPr="002029AF">
              <w:t>0.1</w:t>
            </w:r>
          </w:p>
        </w:tc>
        <w:tc>
          <w:tcPr>
            <w:tcW w:w="709" w:type="dxa"/>
            <w:tcBorders>
              <w:top w:val="single" w:sz="4" w:space="0" w:color="A6A6A6"/>
            </w:tcBorders>
            <w:noWrap/>
            <w:hideMark/>
          </w:tcPr>
          <w:p w14:paraId="00D6D474" w14:textId="77777777" w:rsidR="00087B91" w:rsidRPr="002029AF" w:rsidRDefault="00087B91" w:rsidP="00C81A0B">
            <w:pPr>
              <w:pStyle w:val="ARfintablebodyright"/>
              <w:spacing w:before="30"/>
              <w:ind w:right="0"/>
            </w:pPr>
            <w:r w:rsidRPr="002029AF">
              <w:t>–</w:t>
            </w:r>
          </w:p>
        </w:tc>
        <w:tc>
          <w:tcPr>
            <w:tcW w:w="710" w:type="dxa"/>
            <w:tcBorders>
              <w:top w:val="single" w:sz="4" w:space="0" w:color="A6A6A6"/>
            </w:tcBorders>
            <w:noWrap/>
            <w:hideMark/>
          </w:tcPr>
          <w:p w14:paraId="4CA11B90" w14:textId="77777777" w:rsidR="00087B91" w:rsidRPr="002029AF" w:rsidRDefault="00087B91" w:rsidP="00C81A0B">
            <w:pPr>
              <w:pStyle w:val="ARfintablebodyright"/>
              <w:spacing w:before="30"/>
              <w:ind w:right="0"/>
            </w:pPr>
            <w:r w:rsidRPr="002029AF">
              <w:t>–</w:t>
            </w:r>
          </w:p>
        </w:tc>
        <w:tc>
          <w:tcPr>
            <w:tcW w:w="567" w:type="dxa"/>
            <w:tcBorders>
              <w:top w:val="single" w:sz="4" w:space="0" w:color="A6A6A6"/>
            </w:tcBorders>
            <w:noWrap/>
            <w:hideMark/>
          </w:tcPr>
          <w:p w14:paraId="5BAB50B5" w14:textId="77777777" w:rsidR="00087B91" w:rsidRPr="002029AF" w:rsidRDefault="00087B91" w:rsidP="00C81A0B">
            <w:pPr>
              <w:pStyle w:val="ARfintablebodyright"/>
              <w:spacing w:before="30"/>
              <w:ind w:right="0"/>
            </w:pPr>
            <w:r w:rsidRPr="002029AF">
              <w:t>–</w:t>
            </w:r>
          </w:p>
        </w:tc>
        <w:tc>
          <w:tcPr>
            <w:tcW w:w="746" w:type="dxa"/>
            <w:tcBorders>
              <w:top w:val="single" w:sz="4" w:space="0" w:color="A6A6A6"/>
            </w:tcBorders>
            <w:noWrap/>
            <w:hideMark/>
          </w:tcPr>
          <w:p w14:paraId="56441C8C"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tcBorders>
            <w:noWrap/>
            <w:hideMark/>
          </w:tcPr>
          <w:p w14:paraId="0E081D2D" w14:textId="77777777" w:rsidR="00087B91" w:rsidRPr="002029AF" w:rsidRDefault="00087B91" w:rsidP="00C81A0B">
            <w:pPr>
              <w:pStyle w:val="ARfintablebodyright"/>
              <w:spacing w:before="30"/>
              <w:ind w:right="0"/>
            </w:pPr>
            <w:r w:rsidRPr="002029AF">
              <w:t>208.9</w:t>
            </w:r>
          </w:p>
        </w:tc>
        <w:tc>
          <w:tcPr>
            <w:tcW w:w="640" w:type="dxa"/>
            <w:tcBorders>
              <w:top w:val="single" w:sz="4" w:space="0" w:color="A6A6A6"/>
            </w:tcBorders>
            <w:noWrap/>
            <w:hideMark/>
          </w:tcPr>
          <w:p w14:paraId="6853F38E" w14:textId="77777777" w:rsidR="00087B91" w:rsidRPr="002029AF" w:rsidRDefault="00087B91" w:rsidP="00C81A0B">
            <w:pPr>
              <w:pStyle w:val="ARfintablebodyright"/>
              <w:spacing w:before="30"/>
              <w:ind w:right="0"/>
            </w:pPr>
            <w:r w:rsidRPr="002029AF">
              <w:t>–</w:t>
            </w:r>
          </w:p>
        </w:tc>
        <w:tc>
          <w:tcPr>
            <w:tcW w:w="640" w:type="dxa"/>
            <w:tcBorders>
              <w:top w:val="single" w:sz="4" w:space="0" w:color="A6A6A6"/>
            </w:tcBorders>
            <w:noWrap/>
            <w:hideMark/>
          </w:tcPr>
          <w:p w14:paraId="77B36EDE" w14:textId="77777777" w:rsidR="00087B91" w:rsidRPr="002029AF" w:rsidRDefault="00087B91" w:rsidP="00C81A0B">
            <w:pPr>
              <w:pStyle w:val="ARfintablebodyright"/>
              <w:spacing w:before="30"/>
              <w:ind w:right="0"/>
            </w:pPr>
            <w:r w:rsidRPr="002029AF">
              <w:t>–</w:t>
            </w:r>
          </w:p>
        </w:tc>
        <w:tc>
          <w:tcPr>
            <w:tcW w:w="667" w:type="dxa"/>
            <w:tcBorders>
              <w:top w:val="single" w:sz="4" w:space="0" w:color="A6A6A6"/>
            </w:tcBorders>
            <w:noWrap/>
            <w:hideMark/>
          </w:tcPr>
          <w:p w14:paraId="39B12426" w14:textId="77777777" w:rsidR="00087B91" w:rsidRPr="002029AF" w:rsidRDefault="00087B91" w:rsidP="00C81A0B">
            <w:pPr>
              <w:pStyle w:val="ARfintablebodyright"/>
              <w:spacing w:before="30"/>
              <w:ind w:right="0"/>
            </w:pPr>
            <w:r w:rsidRPr="002029AF">
              <w:t>209.1</w:t>
            </w:r>
          </w:p>
        </w:tc>
      </w:tr>
      <w:tr w:rsidR="002A3743" w:rsidRPr="002029AF" w14:paraId="32551A55" w14:textId="77777777" w:rsidTr="00C81A0B">
        <w:trPr>
          <w:gridAfter w:val="1"/>
          <w:wAfter w:w="88" w:type="dxa"/>
        </w:trPr>
        <w:tc>
          <w:tcPr>
            <w:tcW w:w="2263" w:type="dxa"/>
            <w:hideMark/>
          </w:tcPr>
          <w:p w14:paraId="1FBD5F2B" w14:textId="2E729CDF" w:rsidR="00087B91" w:rsidRPr="002029AF" w:rsidRDefault="00087B91" w:rsidP="00C81A0B">
            <w:pPr>
              <w:pStyle w:val="ARfintablebodybold"/>
              <w:spacing w:before="30"/>
            </w:pPr>
            <w:r w:rsidRPr="002029AF">
              <w:t>Total</w:t>
            </w:r>
            <w:r w:rsidR="000A5329" w:rsidRPr="002029AF">
              <w:t xml:space="preserve"> </w:t>
            </w:r>
            <w:r w:rsidRPr="002029AF">
              <w:t>expenses</w:t>
            </w:r>
            <w:r w:rsidR="000A5329" w:rsidRPr="002029AF">
              <w:t xml:space="preserve"> </w:t>
            </w:r>
            <w:r w:rsidRPr="002029AF">
              <w:t>from</w:t>
            </w:r>
            <w:r w:rsidR="000A5329" w:rsidRPr="002029AF">
              <w:t xml:space="preserve"> </w:t>
            </w:r>
            <w:r w:rsidRPr="002029AF">
              <w:t>transactions</w:t>
            </w:r>
          </w:p>
        </w:tc>
        <w:tc>
          <w:tcPr>
            <w:tcW w:w="851" w:type="dxa"/>
            <w:noWrap/>
            <w:hideMark/>
          </w:tcPr>
          <w:p w14:paraId="3EF8C46C" w14:textId="77777777" w:rsidR="00087B91" w:rsidRPr="002029AF" w:rsidRDefault="00087B91" w:rsidP="00C81A0B">
            <w:pPr>
              <w:pStyle w:val="ARfintablebodyrightbold"/>
              <w:spacing w:before="30"/>
              <w:ind w:right="0"/>
            </w:pPr>
            <w:r w:rsidRPr="002029AF">
              <w:t>8,772.9</w:t>
            </w:r>
          </w:p>
        </w:tc>
        <w:tc>
          <w:tcPr>
            <w:tcW w:w="709" w:type="dxa"/>
            <w:noWrap/>
            <w:hideMark/>
          </w:tcPr>
          <w:p w14:paraId="689427DE" w14:textId="77777777" w:rsidR="00087B91" w:rsidRPr="002029AF" w:rsidRDefault="00087B91" w:rsidP="00C81A0B">
            <w:pPr>
              <w:pStyle w:val="ARfintablebodyrightbold"/>
              <w:spacing w:before="30"/>
              <w:ind w:right="0"/>
            </w:pPr>
            <w:r w:rsidRPr="002029AF">
              <w:t>822.6</w:t>
            </w:r>
          </w:p>
        </w:tc>
        <w:tc>
          <w:tcPr>
            <w:tcW w:w="567" w:type="dxa"/>
            <w:noWrap/>
            <w:hideMark/>
          </w:tcPr>
          <w:p w14:paraId="16CA582D" w14:textId="77777777" w:rsidR="00087B91" w:rsidRPr="002029AF" w:rsidRDefault="00087B91" w:rsidP="00C81A0B">
            <w:pPr>
              <w:pStyle w:val="ARfintablebodyrightbold"/>
              <w:spacing w:before="30"/>
              <w:ind w:right="0"/>
            </w:pPr>
            <w:r w:rsidRPr="002029AF">
              <w:t>1,406.4</w:t>
            </w:r>
          </w:p>
        </w:tc>
        <w:tc>
          <w:tcPr>
            <w:tcW w:w="709" w:type="dxa"/>
            <w:noWrap/>
            <w:hideMark/>
          </w:tcPr>
          <w:p w14:paraId="6BA578BB" w14:textId="77777777" w:rsidR="00087B91" w:rsidRPr="002029AF" w:rsidRDefault="00087B91" w:rsidP="00C81A0B">
            <w:pPr>
              <w:pStyle w:val="ARfintablebodyrightbold"/>
              <w:spacing w:before="30"/>
              <w:ind w:right="0"/>
            </w:pPr>
            <w:r w:rsidRPr="002029AF">
              <w:t>482.7</w:t>
            </w:r>
          </w:p>
        </w:tc>
        <w:tc>
          <w:tcPr>
            <w:tcW w:w="708" w:type="dxa"/>
            <w:noWrap/>
            <w:hideMark/>
          </w:tcPr>
          <w:p w14:paraId="46159B97" w14:textId="77777777" w:rsidR="00087B91" w:rsidRPr="002029AF" w:rsidRDefault="00087B91" w:rsidP="00C81A0B">
            <w:pPr>
              <w:pStyle w:val="ARfintablebodyrightbold"/>
              <w:spacing w:before="30"/>
              <w:ind w:right="0"/>
            </w:pPr>
            <w:r w:rsidRPr="002029AF">
              <w:t>543.1</w:t>
            </w:r>
          </w:p>
        </w:tc>
        <w:tc>
          <w:tcPr>
            <w:tcW w:w="567" w:type="dxa"/>
            <w:noWrap/>
            <w:hideMark/>
          </w:tcPr>
          <w:p w14:paraId="45FEBADC" w14:textId="77777777" w:rsidR="00087B91" w:rsidRPr="002029AF" w:rsidRDefault="00087B91" w:rsidP="00C81A0B">
            <w:pPr>
              <w:pStyle w:val="ARfintablebodyrightbold"/>
              <w:spacing w:before="30"/>
              <w:ind w:right="0"/>
            </w:pPr>
            <w:r w:rsidRPr="002029AF">
              <w:t>416.7</w:t>
            </w:r>
          </w:p>
        </w:tc>
        <w:tc>
          <w:tcPr>
            <w:tcW w:w="709" w:type="dxa"/>
            <w:noWrap/>
            <w:hideMark/>
          </w:tcPr>
          <w:p w14:paraId="58535CF1" w14:textId="77777777" w:rsidR="00087B91" w:rsidRPr="002029AF" w:rsidRDefault="00087B91" w:rsidP="00C81A0B">
            <w:pPr>
              <w:pStyle w:val="ARfintablebodyrightbold"/>
              <w:spacing w:before="30"/>
              <w:ind w:right="0"/>
            </w:pPr>
            <w:r w:rsidRPr="002029AF">
              <w:t>381.8</w:t>
            </w:r>
          </w:p>
        </w:tc>
        <w:tc>
          <w:tcPr>
            <w:tcW w:w="709" w:type="dxa"/>
            <w:noWrap/>
            <w:hideMark/>
          </w:tcPr>
          <w:p w14:paraId="11216D49" w14:textId="77777777" w:rsidR="00087B91" w:rsidRPr="002029AF" w:rsidRDefault="00087B91" w:rsidP="00C81A0B">
            <w:pPr>
              <w:pStyle w:val="ARfintablebodyrightbold"/>
              <w:spacing w:before="30"/>
              <w:ind w:right="0"/>
            </w:pPr>
            <w:r w:rsidRPr="002029AF">
              <w:t>266.8</w:t>
            </w:r>
          </w:p>
        </w:tc>
        <w:tc>
          <w:tcPr>
            <w:tcW w:w="708" w:type="dxa"/>
            <w:noWrap/>
            <w:hideMark/>
          </w:tcPr>
          <w:p w14:paraId="4A6A33EE" w14:textId="77777777" w:rsidR="00087B91" w:rsidRPr="002029AF" w:rsidRDefault="00087B91" w:rsidP="00C81A0B">
            <w:pPr>
              <w:pStyle w:val="ARfintablebodyrightbold"/>
              <w:spacing w:before="30"/>
              <w:ind w:right="0"/>
            </w:pPr>
            <w:r w:rsidRPr="002029AF">
              <w:t>2,237.0</w:t>
            </w:r>
          </w:p>
        </w:tc>
        <w:tc>
          <w:tcPr>
            <w:tcW w:w="708" w:type="dxa"/>
            <w:noWrap/>
            <w:hideMark/>
          </w:tcPr>
          <w:p w14:paraId="675703F4" w14:textId="77777777" w:rsidR="00087B91" w:rsidRPr="002029AF" w:rsidRDefault="00087B91" w:rsidP="00C81A0B">
            <w:pPr>
              <w:pStyle w:val="ARfintablebodyrightbold"/>
              <w:spacing w:before="30"/>
              <w:ind w:right="0"/>
            </w:pPr>
            <w:r w:rsidRPr="002029AF">
              <w:t>1,617.7</w:t>
            </w:r>
          </w:p>
        </w:tc>
        <w:tc>
          <w:tcPr>
            <w:tcW w:w="709" w:type="dxa"/>
            <w:noWrap/>
            <w:hideMark/>
          </w:tcPr>
          <w:p w14:paraId="103FA752" w14:textId="77777777" w:rsidR="00087B91" w:rsidRPr="002029AF" w:rsidRDefault="00087B91" w:rsidP="00C81A0B">
            <w:pPr>
              <w:pStyle w:val="ARfintablebodyrightbold"/>
              <w:spacing w:before="30"/>
              <w:ind w:right="0"/>
            </w:pPr>
            <w:r w:rsidRPr="002029AF">
              <w:t>736.5</w:t>
            </w:r>
          </w:p>
        </w:tc>
        <w:tc>
          <w:tcPr>
            <w:tcW w:w="710" w:type="dxa"/>
            <w:noWrap/>
            <w:hideMark/>
          </w:tcPr>
          <w:p w14:paraId="7502BC0B" w14:textId="77777777" w:rsidR="00087B91" w:rsidRPr="002029AF" w:rsidRDefault="00087B91" w:rsidP="00C81A0B">
            <w:pPr>
              <w:pStyle w:val="ARfintablebodyrightbold"/>
              <w:spacing w:before="30"/>
              <w:ind w:right="0"/>
            </w:pPr>
            <w:r w:rsidRPr="002029AF">
              <w:t>167.2</w:t>
            </w:r>
          </w:p>
        </w:tc>
        <w:tc>
          <w:tcPr>
            <w:tcW w:w="567" w:type="dxa"/>
            <w:noWrap/>
            <w:hideMark/>
          </w:tcPr>
          <w:p w14:paraId="04F4E83D" w14:textId="77777777" w:rsidR="00087B91" w:rsidRPr="002029AF" w:rsidRDefault="00087B91" w:rsidP="00C81A0B">
            <w:pPr>
              <w:pStyle w:val="ARfintablebodyrightbold"/>
              <w:spacing w:before="30"/>
              <w:ind w:right="0"/>
            </w:pPr>
            <w:r w:rsidRPr="002029AF">
              <w:t>18.6</w:t>
            </w:r>
          </w:p>
        </w:tc>
        <w:tc>
          <w:tcPr>
            <w:tcW w:w="746" w:type="dxa"/>
            <w:noWrap/>
            <w:hideMark/>
          </w:tcPr>
          <w:p w14:paraId="427E118D" w14:textId="77777777" w:rsidR="00087B91" w:rsidRPr="002029AF" w:rsidRDefault="00087B91" w:rsidP="00C81A0B">
            <w:pPr>
              <w:pStyle w:val="ARfintablebodyrightbold"/>
              <w:spacing w:before="30"/>
              <w:ind w:right="0"/>
            </w:pPr>
            <w:r w:rsidRPr="002029AF">
              <w:t>123.2</w:t>
            </w:r>
          </w:p>
        </w:tc>
        <w:tc>
          <w:tcPr>
            <w:tcW w:w="709" w:type="dxa"/>
            <w:noWrap/>
            <w:hideMark/>
          </w:tcPr>
          <w:p w14:paraId="79741A32" w14:textId="77777777" w:rsidR="00087B91" w:rsidRPr="002029AF" w:rsidRDefault="00087B91" w:rsidP="00C81A0B">
            <w:pPr>
              <w:pStyle w:val="ARfintablebodyrightbold"/>
              <w:spacing w:before="30"/>
              <w:ind w:right="0"/>
            </w:pPr>
            <w:r w:rsidRPr="002029AF">
              <w:t>1,405.1</w:t>
            </w:r>
          </w:p>
        </w:tc>
        <w:tc>
          <w:tcPr>
            <w:tcW w:w="640" w:type="dxa"/>
            <w:noWrap/>
            <w:hideMark/>
          </w:tcPr>
          <w:p w14:paraId="761DF768" w14:textId="77777777" w:rsidR="00087B91" w:rsidRPr="002029AF" w:rsidRDefault="00087B91" w:rsidP="00C81A0B">
            <w:pPr>
              <w:pStyle w:val="ARfintablebodyrightbold"/>
              <w:spacing w:before="30"/>
              <w:ind w:right="0"/>
            </w:pPr>
            <w:r w:rsidRPr="002029AF">
              <w:t>2.7</w:t>
            </w:r>
          </w:p>
        </w:tc>
        <w:tc>
          <w:tcPr>
            <w:tcW w:w="640" w:type="dxa"/>
            <w:noWrap/>
            <w:hideMark/>
          </w:tcPr>
          <w:p w14:paraId="76A94BBC" w14:textId="77777777" w:rsidR="00087B91" w:rsidRPr="002029AF" w:rsidRDefault="00087B91" w:rsidP="00C81A0B">
            <w:pPr>
              <w:pStyle w:val="ARfintablebodyrightbold"/>
              <w:spacing w:before="30"/>
              <w:ind w:right="0"/>
            </w:pPr>
            <w:r w:rsidRPr="002029AF">
              <w:t>(9.5)</w:t>
            </w:r>
          </w:p>
        </w:tc>
        <w:tc>
          <w:tcPr>
            <w:tcW w:w="667" w:type="dxa"/>
            <w:noWrap/>
            <w:hideMark/>
          </w:tcPr>
          <w:p w14:paraId="57CB6E58" w14:textId="77777777" w:rsidR="00087B91" w:rsidRPr="002029AF" w:rsidRDefault="00087B91" w:rsidP="00C81A0B">
            <w:pPr>
              <w:pStyle w:val="ARfintablebodyrightbold"/>
              <w:spacing w:before="30"/>
              <w:ind w:right="0"/>
            </w:pPr>
            <w:r w:rsidRPr="002029AF">
              <w:t>19,391.5</w:t>
            </w:r>
          </w:p>
        </w:tc>
      </w:tr>
      <w:tr w:rsidR="002A3743" w:rsidRPr="002029AF" w14:paraId="6CF070AA" w14:textId="77777777" w:rsidTr="00C81A0B">
        <w:trPr>
          <w:gridAfter w:val="1"/>
          <w:wAfter w:w="88" w:type="dxa"/>
        </w:trPr>
        <w:tc>
          <w:tcPr>
            <w:tcW w:w="2263" w:type="dxa"/>
            <w:tcBorders>
              <w:bottom w:val="single" w:sz="4" w:space="0" w:color="auto"/>
            </w:tcBorders>
            <w:hideMark/>
          </w:tcPr>
          <w:p w14:paraId="05E00C18" w14:textId="3C313A6C" w:rsidR="00087B91" w:rsidRPr="002029AF" w:rsidRDefault="00087B91" w:rsidP="00C81A0B">
            <w:pPr>
              <w:pStyle w:val="ARfintablebodybold"/>
              <w:spacing w:before="30"/>
            </w:pPr>
            <w:r w:rsidRPr="002029AF">
              <w:t>Net</w:t>
            </w:r>
            <w:r w:rsidR="000A5329" w:rsidRPr="002029AF">
              <w:t xml:space="preserve"> </w:t>
            </w:r>
            <w:r w:rsidRPr="002029AF">
              <w:t>result</w:t>
            </w:r>
            <w:r w:rsidR="000A5329" w:rsidRPr="002029AF">
              <w:t xml:space="preserve"> </w:t>
            </w:r>
            <w:r w:rsidRPr="002029AF">
              <w:t>from</w:t>
            </w:r>
            <w:r w:rsidR="000A5329" w:rsidRPr="002029AF">
              <w:t xml:space="preserve"> </w:t>
            </w:r>
            <w:r w:rsidRPr="002029AF">
              <w:t>transactions</w:t>
            </w:r>
            <w:r w:rsidR="000A5329" w:rsidRPr="002029AF">
              <w:t xml:space="preserve"> </w:t>
            </w:r>
            <w:r w:rsidRPr="002029AF">
              <w:t>(net</w:t>
            </w:r>
            <w:r w:rsidR="000A5329" w:rsidRPr="002029AF">
              <w:t xml:space="preserve"> </w:t>
            </w:r>
            <w:r w:rsidRPr="002029AF">
              <w:t>operating</w:t>
            </w:r>
            <w:r w:rsidR="000A5329" w:rsidRPr="002029AF">
              <w:t xml:space="preserve"> </w:t>
            </w:r>
            <w:r w:rsidRPr="002029AF">
              <w:t>balance)</w:t>
            </w:r>
          </w:p>
        </w:tc>
        <w:tc>
          <w:tcPr>
            <w:tcW w:w="851" w:type="dxa"/>
            <w:tcBorders>
              <w:bottom w:val="single" w:sz="4" w:space="0" w:color="auto"/>
            </w:tcBorders>
            <w:noWrap/>
            <w:hideMark/>
          </w:tcPr>
          <w:p w14:paraId="7F3CA6B1" w14:textId="77777777" w:rsidR="00087B91" w:rsidRPr="002029AF" w:rsidRDefault="00087B91" w:rsidP="00C81A0B">
            <w:pPr>
              <w:pStyle w:val="ARfintablebodyrightbold"/>
              <w:spacing w:before="30"/>
              <w:ind w:right="0"/>
            </w:pPr>
            <w:r w:rsidRPr="002029AF">
              <w:t>156.2</w:t>
            </w:r>
          </w:p>
        </w:tc>
        <w:tc>
          <w:tcPr>
            <w:tcW w:w="709" w:type="dxa"/>
            <w:tcBorders>
              <w:bottom w:val="single" w:sz="4" w:space="0" w:color="auto"/>
            </w:tcBorders>
            <w:noWrap/>
            <w:hideMark/>
          </w:tcPr>
          <w:p w14:paraId="54D3DA6C" w14:textId="77777777" w:rsidR="00087B91" w:rsidRPr="002029AF" w:rsidRDefault="00087B91" w:rsidP="00C81A0B">
            <w:pPr>
              <w:pStyle w:val="ARfintablebodyrightbold"/>
              <w:spacing w:before="30"/>
              <w:ind w:right="0"/>
            </w:pPr>
            <w:r w:rsidRPr="002029AF">
              <w:t>(6.9)</w:t>
            </w:r>
          </w:p>
        </w:tc>
        <w:tc>
          <w:tcPr>
            <w:tcW w:w="567" w:type="dxa"/>
            <w:tcBorders>
              <w:bottom w:val="single" w:sz="4" w:space="0" w:color="auto"/>
            </w:tcBorders>
            <w:noWrap/>
            <w:hideMark/>
          </w:tcPr>
          <w:p w14:paraId="5E6F4077" w14:textId="77777777" w:rsidR="00087B91" w:rsidRPr="002029AF" w:rsidRDefault="00087B91" w:rsidP="00C81A0B">
            <w:pPr>
              <w:pStyle w:val="ARfintablebodyrightbold"/>
              <w:spacing w:before="30"/>
              <w:ind w:right="0"/>
            </w:pPr>
            <w:r w:rsidRPr="002029AF">
              <w:t>0.8</w:t>
            </w:r>
          </w:p>
        </w:tc>
        <w:tc>
          <w:tcPr>
            <w:tcW w:w="709" w:type="dxa"/>
            <w:tcBorders>
              <w:bottom w:val="single" w:sz="4" w:space="0" w:color="auto"/>
            </w:tcBorders>
            <w:noWrap/>
            <w:hideMark/>
          </w:tcPr>
          <w:p w14:paraId="6D091043" w14:textId="77777777" w:rsidR="00087B91" w:rsidRPr="002029AF" w:rsidRDefault="00087B91" w:rsidP="00C81A0B">
            <w:pPr>
              <w:pStyle w:val="ARfintablebodyrightbold"/>
              <w:spacing w:before="30"/>
              <w:ind w:right="0"/>
            </w:pPr>
            <w:r w:rsidRPr="002029AF">
              <w:t>58.1</w:t>
            </w:r>
          </w:p>
        </w:tc>
        <w:tc>
          <w:tcPr>
            <w:tcW w:w="708" w:type="dxa"/>
            <w:tcBorders>
              <w:bottom w:val="single" w:sz="4" w:space="0" w:color="auto"/>
            </w:tcBorders>
            <w:noWrap/>
            <w:hideMark/>
          </w:tcPr>
          <w:p w14:paraId="0FC1BDEC" w14:textId="77777777" w:rsidR="00087B91" w:rsidRPr="002029AF" w:rsidRDefault="00087B91" w:rsidP="00C81A0B">
            <w:pPr>
              <w:pStyle w:val="ARfintablebodyrightbold"/>
              <w:spacing w:before="30"/>
              <w:ind w:right="0"/>
            </w:pPr>
            <w:r w:rsidRPr="002029AF">
              <w:t>(16.8)</w:t>
            </w:r>
          </w:p>
        </w:tc>
        <w:tc>
          <w:tcPr>
            <w:tcW w:w="567" w:type="dxa"/>
            <w:tcBorders>
              <w:bottom w:val="single" w:sz="4" w:space="0" w:color="auto"/>
            </w:tcBorders>
            <w:noWrap/>
            <w:hideMark/>
          </w:tcPr>
          <w:p w14:paraId="169FC9A6" w14:textId="77777777" w:rsidR="00087B91" w:rsidRPr="002029AF" w:rsidRDefault="00087B91" w:rsidP="00C81A0B">
            <w:pPr>
              <w:pStyle w:val="ARfintablebodyrightbold"/>
              <w:spacing w:before="30"/>
              <w:ind w:right="0"/>
            </w:pPr>
            <w:r w:rsidRPr="002029AF">
              <w:t>21.4</w:t>
            </w:r>
          </w:p>
        </w:tc>
        <w:tc>
          <w:tcPr>
            <w:tcW w:w="709" w:type="dxa"/>
            <w:tcBorders>
              <w:bottom w:val="single" w:sz="4" w:space="0" w:color="auto"/>
            </w:tcBorders>
            <w:noWrap/>
            <w:hideMark/>
          </w:tcPr>
          <w:p w14:paraId="0B07A0A7" w14:textId="77777777" w:rsidR="00087B91" w:rsidRPr="002029AF" w:rsidRDefault="00087B91" w:rsidP="00C81A0B">
            <w:pPr>
              <w:pStyle w:val="ARfintablebodyrightbold"/>
              <w:spacing w:before="30"/>
              <w:ind w:right="0"/>
            </w:pPr>
            <w:r w:rsidRPr="002029AF">
              <w:t>56.4</w:t>
            </w:r>
          </w:p>
        </w:tc>
        <w:tc>
          <w:tcPr>
            <w:tcW w:w="709" w:type="dxa"/>
            <w:tcBorders>
              <w:bottom w:val="single" w:sz="4" w:space="0" w:color="auto"/>
            </w:tcBorders>
            <w:noWrap/>
            <w:hideMark/>
          </w:tcPr>
          <w:p w14:paraId="3EAAD4C0" w14:textId="77777777" w:rsidR="00087B91" w:rsidRPr="002029AF" w:rsidRDefault="00087B91" w:rsidP="00C81A0B">
            <w:pPr>
              <w:pStyle w:val="ARfintablebodyrightbold"/>
              <w:spacing w:before="30"/>
              <w:ind w:right="0"/>
            </w:pPr>
            <w:r w:rsidRPr="002029AF">
              <w:t>4.7</w:t>
            </w:r>
          </w:p>
        </w:tc>
        <w:tc>
          <w:tcPr>
            <w:tcW w:w="708" w:type="dxa"/>
            <w:tcBorders>
              <w:bottom w:val="single" w:sz="4" w:space="0" w:color="auto"/>
            </w:tcBorders>
            <w:noWrap/>
            <w:hideMark/>
          </w:tcPr>
          <w:p w14:paraId="3AB0986D" w14:textId="77777777" w:rsidR="00087B91" w:rsidRPr="002029AF" w:rsidRDefault="00087B91" w:rsidP="00C81A0B">
            <w:pPr>
              <w:pStyle w:val="ARfintablebodyrightbold"/>
              <w:spacing w:before="30"/>
              <w:ind w:right="0"/>
            </w:pPr>
            <w:r w:rsidRPr="002029AF">
              <w:t>7.5</w:t>
            </w:r>
          </w:p>
        </w:tc>
        <w:tc>
          <w:tcPr>
            <w:tcW w:w="708" w:type="dxa"/>
            <w:tcBorders>
              <w:bottom w:val="single" w:sz="4" w:space="0" w:color="auto"/>
            </w:tcBorders>
            <w:noWrap/>
            <w:hideMark/>
          </w:tcPr>
          <w:p w14:paraId="23D45CCD" w14:textId="77777777" w:rsidR="00087B91" w:rsidRPr="002029AF" w:rsidRDefault="00087B91" w:rsidP="00C81A0B">
            <w:pPr>
              <w:pStyle w:val="ARfintablebodyrightbold"/>
              <w:spacing w:before="30"/>
              <w:ind w:right="0"/>
            </w:pPr>
            <w:r w:rsidRPr="002029AF">
              <w:t>(2.4)</w:t>
            </w:r>
          </w:p>
        </w:tc>
        <w:tc>
          <w:tcPr>
            <w:tcW w:w="709" w:type="dxa"/>
            <w:tcBorders>
              <w:bottom w:val="single" w:sz="4" w:space="0" w:color="auto"/>
            </w:tcBorders>
            <w:noWrap/>
            <w:hideMark/>
          </w:tcPr>
          <w:p w14:paraId="24F8D7BA" w14:textId="77777777" w:rsidR="00087B91" w:rsidRPr="002029AF" w:rsidRDefault="00087B91" w:rsidP="00C81A0B">
            <w:pPr>
              <w:pStyle w:val="ARfintablebodyrightbold"/>
              <w:spacing w:before="30"/>
              <w:ind w:right="0"/>
            </w:pPr>
            <w:r w:rsidRPr="002029AF">
              <w:t>0.9</w:t>
            </w:r>
          </w:p>
        </w:tc>
        <w:tc>
          <w:tcPr>
            <w:tcW w:w="710" w:type="dxa"/>
            <w:tcBorders>
              <w:bottom w:val="single" w:sz="4" w:space="0" w:color="auto"/>
            </w:tcBorders>
            <w:noWrap/>
            <w:hideMark/>
          </w:tcPr>
          <w:p w14:paraId="7978B755" w14:textId="77777777" w:rsidR="00087B91" w:rsidRPr="002029AF" w:rsidRDefault="00087B91" w:rsidP="00C81A0B">
            <w:pPr>
              <w:pStyle w:val="ARfintablebodyrightbold"/>
              <w:spacing w:before="30"/>
              <w:ind w:right="0"/>
            </w:pPr>
            <w:r w:rsidRPr="002029AF">
              <w:t>(9.4)</w:t>
            </w:r>
          </w:p>
        </w:tc>
        <w:tc>
          <w:tcPr>
            <w:tcW w:w="567" w:type="dxa"/>
            <w:tcBorders>
              <w:bottom w:val="single" w:sz="4" w:space="0" w:color="auto"/>
            </w:tcBorders>
            <w:noWrap/>
            <w:hideMark/>
          </w:tcPr>
          <w:p w14:paraId="271E43FF" w14:textId="77777777" w:rsidR="00087B91" w:rsidRPr="002029AF" w:rsidRDefault="00087B91" w:rsidP="00C81A0B">
            <w:pPr>
              <w:pStyle w:val="ARfintablebodyrightbold"/>
              <w:spacing w:before="30"/>
              <w:ind w:right="0"/>
            </w:pPr>
            <w:r w:rsidRPr="002029AF">
              <w:t>–</w:t>
            </w:r>
          </w:p>
        </w:tc>
        <w:tc>
          <w:tcPr>
            <w:tcW w:w="746" w:type="dxa"/>
            <w:tcBorders>
              <w:bottom w:val="single" w:sz="4" w:space="0" w:color="auto"/>
            </w:tcBorders>
            <w:noWrap/>
            <w:hideMark/>
          </w:tcPr>
          <w:p w14:paraId="4F235AE3" w14:textId="77777777" w:rsidR="00087B91" w:rsidRPr="002029AF" w:rsidRDefault="00087B91" w:rsidP="00C81A0B">
            <w:pPr>
              <w:pStyle w:val="ARfintablebodyrightbold"/>
              <w:spacing w:before="30"/>
              <w:ind w:right="0"/>
            </w:pPr>
            <w:r w:rsidRPr="002029AF">
              <w:t>14.8</w:t>
            </w:r>
          </w:p>
        </w:tc>
        <w:tc>
          <w:tcPr>
            <w:tcW w:w="709" w:type="dxa"/>
            <w:tcBorders>
              <w:bottom w:val="single" w:sz="4" w:space="0" w:color="auto"/>
            </w:tcBorders>
            <w:noWrap/>
            <w:hideMark/>
          </w:tcPr>
          <w:p w14:paraId="1A629AB9" w14:textId="77777777" w:rsidR="00087B91" w:rsidRPr="002029AF" w:rsidRDefault="00087B91" w:rsidP="00C81A0B">
            <w:pPr>
              <w:pStyle w:val="ARfintablebodyrightbold"/>
              <w:spacing w:before="30"/>
              <w:ind w:right="0"/>
            </w:pPr>
            <w:r w:rsidRPr="002029AF">
              <w:t>(259.5)</w:t>
            </w:r>
          </w:p>
        </w:tc>
        <w:tc>
          <w:tcPr>
            <w:tcW w:w="640" w:type="dxa"/>
            <w:tcBorders>
              <w:bottom w:val="single" w:sz="4" w:space="0" w:color="auto"/>
            </w:tcBorders>
            <w:noWrap/>
            <w:hideMark/>
          </w:tcPr>
          <w:p w14:paraId="53D66008" w14:textId="77777777" w:rsidR="00087B91" w:rsidRPr="002029AF" w:rsidRDefault="00087B91" w:rsidP="00C81A0B">
            <w:pPr>
              <w:pStyle w:val="ARfintablebodyrightbold"/>
              <w:spacing w:before="30"/>
              <w:ind w:right="0"/>
            </w:pPr>
            <w:r w:rsidRPr="002029AF">
              <w:t>(0.3)</w:t>
            </w:r>
          </w:p>
        </w:tc>
        <w:tc>
          <w:tcPr>
            <w:tcW w:w="640" w:type="dxa"/>
            <w:tcBorders>
              <w:bottom w:val="single" w:sz="4" w:space="0" w:color="auto"/>
            </w:tcBorders>
            <w:noWrap/>
            <w:hideMark/>
          </w:tcPr>
          <w:p w14:paraId="622EEEEB" w14:textId="77777777" w:rsidR="00087B91" w:rsidRPr="002029AF" w:rsidRDefault="00087B91" w:rsidP="00C81A0B">
            <w:pPr>
              <w:pStyle w:val="ARfintablebodyrightbold"/>
              <w:spacing w:before="30"/>
              <w:ind w:right="0"/>
            </w:pPr>
            <w:r w:rsidRPr="002029AF">
              <w:t>–</w:t>
            </w:r>
          </w:p>
        </w:tc>
        <w:tc>
          <w:tcPr>
            <w:tcW w:w="667" w:type="dxa"/>
            <w:tcBorders>
              <w:bottom w:val="single" w:sz="4" w:space="0" w:color="auto"/>
            </w:tcBorders>
            <w:noWrap/>
            <w:hideMark/>
          </w:tcPr>
          <w:p w14:paraId="3D90894F" w14:textId="77777777" w:rsidR="00087B91" w:rsidRPr="002029AF" w:rsidRDefault="00087B91" w:rsidP="00C81A0B">
            <w:pPr>
              <w:pStyle w:val="ARfintablebodyrightbold"/>
              <w:spacing w:before="30"/>
              <w:ind w:right="0"/>
            </w:pPr>
            <w:r w:rsidRPr="002029AF">
              <w:t>25.5</w:t>
            </w:r>
          </w:p>
        </w:tc>
      </w:tr>
      <w:tr w:rsidR="00C82BF1" w:rsidRPr="002029AF" w14:paraId="497CD568" w14:textId="77777777" w:rsidTr="00C81A0B">
        <w:tc>
          <w:tcPr>
            <w:tcW w:w="14684" w:type="dxa"/>
            <w:gridSpan w:val="20"/>
            <w:tcBorders>
              <w:top w:val="single" w:sz="4" w:space="0" w:color="auto"/>
              <w:bottom w:val="single" w:sz="4" w:space="0" w:color="A6A6A6"/>
            </w:tcBorders>
            <w:hideMark/>
          </w:tcPr>
          <w:p w14:paraId="5F1F2936" w14:textId="10801516" w:rsidR="00087B91" w:rsidRPr="002029AF" w:rsidRDefault="00087B91" w:rsidP="00C81A0B">
            <w:pPr>
              <w:pStyle w:val="ARfintablebodybold"/>
              <w:spacing w:before="30"/>
              <w:ind w:right="0"/>
            </w:pPr>
            <w:r w:rsidRPr="002029AF">
              <w:t>Other</w:t>
            </w:r>
            <w:r w:rsidR="000A5329" w:rsidRPr="002029AF">
              <w:t xml:space="preserve"> </w:t>
            </w:r>
            <w:r w:rsidRPr="002029AF">
              <w:t>economic</w:t>
            </w:r>
            <w:r w:rsidR="000A5329" w:rsidRPr="002029AF">
              <w:t xml:space="preserve"> </w:t>
            </w:r>
            <w:r w:rsidRPr="002029AF">
              <w:t>flows</w:t>
            </w:r>
            <w:r w:rsidR="000A5329" w:rsidRPr="002029AF">
              <w:t xml:space="preserve"> </w:t>
            </w:r>
            <w:r w:rsidRPr="002029AF">
              <w:t>included</w:t>
            </w:r>
            <w:r w:rsidR="000A5329" w:rsidRPr="002029AF">
              <w:t xml:space="preserve"> </w:t>
            </w:r>
            <w:r w:rsidRPr="002029AF">
              <w:t>in</w:t>
            </w:r>
            <w:r w:rsidR="000A5329" w:rsidRPr="002029AF">
              <w:t xml:space="preserve"> </w:t>
            </w:r>
            <w:r w:rsidRPr="002029AF">
              <w:t>net</w:t>
            </w:r>
            <w:r w:rsidR="000A5329" w:rsidRPr="002029AF">
              <w:t xml:space="preserve"> </w:t>
            </w:r>
            <w:r w:rsidRPr="002029AF">
              <w:t>result</w:t>
            </w:r>
          </w:p>
        </w:tc>
      </w:tr>
      <w:tr w:rsidR="002A3743" w:rsidRPr="002029AF" w14:paraId="0836467B" w14:textId="77777777" w:rsidTr="00C81A0B">
        <w:trPr>
          <w:gridAfter w:val="1"/>
          <w:wAfter w:w="88" w:type="dxa"/>
        </w:trPr>
        <w:tc>
          <w:tcPr>
            <w:tcW w:w="2263" w:type="dxa"/>
            <w:tcBorders>
              <w:top w:val="single" w:sz="4" w:space="0" w:color="A6A6A6"/>
              <w:bottom w:val="single" w:sz="4" w:space="0" w:color="A6A6A6"/>
            </w:tcBorders>
            <w:hideMark/>
          </w:tcPr>
          <w:p w14:paraId="5513D9FC" w14:textId="55F51C47" w:rsidR="00087B91" w:rsidRPr="002029AF" w:rsidRDefault="00087B91" w:rsidP="00C81A0B">
            <w:pPr>
              <w:pStyle w:val="ARfintablebody"/>
              <w:spacing w:before="30"/>
            </w:pPr>
            <w:r w:rsidRPr="002029AF">
              <w:t>Net</w:t>
            </w:r>
            <w:r w:rsidR="000A5329" w:rsidRPr="002029AF">
              <w:t xml:space="preserve"> </w:t>
            </w:r>
            <w:r w:rsidRPr="002029AF">
              <w:t>gain/(loss)</w:t>
            </w:r>
            <w:r w:rsidR="000A5329" w:rsidRPr="002029AF">
              <w:t xml:space="preserve"> </w:t>
            </w:r>
            <w:r w:rsidRPr="002029AF">
              <w:t>on</w:t>
            </w:r>
            <w:r w:rsidR="000A5329" w:rsidRPr="002029AF">
              <w:t xml:space="preserve"> </w:t>
            </w:r>
            <w:r w:rsidRPr="002029AF">
              <w:t>non-financial</w:t>
            </w:r>
            <w:r w:rsidR="000A5329" w:rsidRPr="002029AF">
              <w:t xml:space="preserve"> </w:t>
            </w:r>
            <w:r w:rsidRPr="002029AF">
              <w:t>assets</w:t>
            </w:r>
          </w:p>
        </w:tc>
        <w:tc>
          <w:tcPr>
            <w:tcW w:w="851" w:type="dxa"/>
            <w:tcBorders>
              <w:top w:val="single" w:sz="4" w:space="0" w:color="A6A6A6"/>
              <w:bottom w:val="single" w:sz="4" w:space="0" w:color="A6A6A6"/>
            </w:tcBorders>
            <w:noWrap/>
            <w:hideMark/>
          </w:tcPr>
          <w:p w14:paraId="759E8544" w14:textId="77777777" w:rsidR="00087B91" w:rsidRPr="002029AF" w:rsidRDefault="00087B91" w:rsidP="00C81A0B">
            <w:pPr>
              <w:pStyle w:val="ARfintablebodyright"/>
              <w:spacing w:before="30"/>
              <w:ind w:right="0"/>
            </w:pPr>
            <w:r w:rsidRPr="002029AF">
              <w:t>0.1</w:t>
            </w:r>
          </w:p>
        </w:tc>
        <w:tc>
          <w:tcPr>
            <w:tcW w:w="709" w:type="dxa"/>
            <w:tcBorders>
              <w:top w:val="single" w:sz="4" w:space="0" w:color="A6A6A6"/>
              <w:bottom w:val="single" w:sz="4" w:space="0" w:color="A6A6A6"/>
            </w:tcBorders>
            <w:noWrap/>
            <w:hideMark/>
          </w:tcPr>
          <w:p w14:paraId="5D6B710C" w14:textId="77777777" w:rsidR="00087B91" w:rsidRPr="002029AF" w:rsidRDefault="00087B91" w:rsidP="00C81A0B">
            <w:pPr>
              <w:pStyle w:val="ARfintablebodyright"/>
              <w:spacing w:before="30"/>
              <w:ind w:right="0"/>
            </w:pPr>
            <w:r w:rsidRPr="002029AF">
              <w:t>–</w:t>
            </w:r>
          </w:p>
        </w:tc>
        <w:tc>
          <w:tcPr>
            <w:tcW w:w="567" w:type="dxa"/>
            <w:tcBorders>
              <w:top w:val="single" w:sz="4" w:space="0" w:color="A6A6A6"/>
              <w:bottom w:val="single" w:sz="4" w:space="0" w:color="A6A6A6"/>
            </w:tcBorders>
            <w:noWrap/>
            <w:hideMark/>
          </w:tcPr>
          <w:p w14:paraId="7DDCB033"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bottom w:val="single" w:sz="4" w:space="0" w:color="A6A6A6"/>
            </w:tcBorders>
            <w:noWrap/>
            <w:hideMark/>
          </w:tcPr>
          <w:p w14:paraId="16608260" w14:textId="77777777" w:rsidR="00087B91" w:rsidRPr="002029AF" w:rsidRDefault="00087B91" w:rsidP="00C81A0B">
            <w:pPr>
              <w:pStyle w:val="ARfintablebodyright"/>
              <w:spacing w:before="30"/>
              <w:ind w:right="0"/>
            </w:pPr>
            <w:r w:rsidRPr="002029AF">
              <w:t>–</w:t>
            </w:r>
          </w:p>
        </w:tc>
        <w:tc>
          <w:tcPr>
            <w:tcW w:w="708" w:type="dxa"/>
            <w:tcBorders>
              <w:top w:val="single" w:sz="4" w:space="0" w:color="A6A6A6"/>
              <w:bottom w:val="single" w:sz="4" w:space="0" w:color="A6A6A6"/>
            </w:tcBorders>
            <w:noWrap/>
            <w:hideMark/>
          </w:tcPr>
          <w:p w14:paraId="0F765B72" w14:textId="77777777" w:rsidR="00087B91" w:rsidRPr="002029AF" w:rsidRDefault="00087B91" w:rsidP="00C81A0B">
            <w:pPr>
              <w:pStyle w:val="ARfintablebodyright"/>
              <w:spacing w:before="30"/>
              <w:ind w:right="0"/>
            </w:pPr>
            <w:r w:rsidRPr="002029AF">
              <w:t>–</w:t>
            </w:r>
          </w:p>
        </w:tc>
        <w:tc>
          <w:tcPr>
            <w:tcW w:w="567" w:type="dxa"/>
            <w:tcBorders>
              <w:top w:val="single" w:sz="4" w:space="0" w:color="A6A6A6"/>
              <w:bottom w:val="single" w:sz="4" w:space="0" w:color="A6A6A6"/>
            </w:tcBorders>
            <w:noWrap/>
            <w:hideMark/>
          </w:tcPr>
          <w:p w14:paraId="4A9ECB3A"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bottom w:val="single" w:sz="4" w:space="0" w:color="A6A6A6"/>
            </w:tcBorders>
            <w:noWrap/>
            <w:hideMark/>
          </w:tcPr>
          <w:p w14:paraId="48E74D5B" w14:textId="77777777" w:rsidR="00087B91" w:rsidRPr="002029AF" w:rsidRDefault="00087B91" w:rsidP="00C81A0B">
            <w:pPr>
              <w:pStyle w:val="ARfintablebodyright"/>
              <w:spacing w:before="30"/>
              <w:ind w:right="0"/>
            </w:pPr>
            <w:r w:rsidRPr="002029AF">
              <w:t>0.1</w:t>
            </w:r>
          </w:p>
        </w:tc>
        <w:tc>
          <w:tcPr>
            <w:tcW w:w="709" w:type="dxa"/>
            <w:tcBorders>
              <w:top w:val="single" w:sz="4" w:space="0" w:color="A6A6A6"/>
              <w:bottom w:val="single" w:sz="4" w:space="0" w:color="A6A6A6"/>
            </w:tcBorders>
            <w:noWrap/>
            <w:hideMark/>
          </w:tcPr>
          <w:p w14:paraId="6C8F7B5D" w14:textId="77777777" w:rsidR="00087B91" w:rsidRPr="002029AF" w:rsidRDefault="00087B91" w:rsidP="00C81A0B">
            <w:pPr>
              <w:pStyle w:val="ARfintablebodyright"/>
              <w:spacing w:before="30"/>
              <w:ind w:right="0"/>
            </w:pPr>
            <w:r w:rsidRPr="002029AF">
              <w:t>–</w:t>
            </w:r>
          </w:p>
        </w:tc>
        <w:tc>
          <w:tcPr>
            <w:tcW w:w="708" w:type="dxa"/>
            <w:tcBorders>
              <w:top w:val="single" w:sz="4" w:space="0" w:color="A6A6A6"/>
              <w:bottom w:val="single" w:sz="4" w:space="0" w:color="A6A6A6"/>
            </w:tcBorders>
            <w:noWrap/>
            <w:hideMark/>
          </w:tcPr>
          <w:p w14:paraId="577CA0C9" w14:textId="77777777" w:rsidR="00087B91" w:rsidRPr="002029AF" w:rsidRDefault="00087B91" w:rsidP="00C81A0B">
            <w:pPr>
              <w:pStyle w:val="ARfintablebodyright"/>
              <w:spacing w:before="30"/>
              <w:ind w:right="0"/>
            </w:pPr>
            <w:r w:rsidRPr="002029AF">
              <w:t>0.7</w:t>
            </w:r>
          </w:p>
        </w:tc>
        <w:tc>
          <w:tcPr>
            <w:tcW w:w="708" w:type="dxa"/>
            <w:tcBorders>
              <w:top w:val="single" w:sz="4" w:space="0" w:color="A6A6A6"/>
              <w:bottom w:val="single" w:sz="4" w:space="0" w:color="A6A6A6"/>
            </w:tcBorders>
            <w:noWrap/>
            <w:hideMark/>
          </w:tcPr>
          <w:p w14:paraId="63311E8D" w14:textId="77777777" w:rsidR="00087B91" w:rsidRPr="002029AF" w:rsidRDefault="00087B91" w:rsidP="00C81A0B">
            <w:pPr>
              <w:pStyle w:val="ARfintablebodyright"/>
              <w:spacing w:before="30"/>
              <w:ind w:right="0"/>
            </w:pPr>
            <w:r w:rsidRPr="002029AF">
              <w:t>1.1</w:t>
            </w:r>
          </w:p>
        </w:tc>
        <w:tc>
          <w:tcPr>
            <w:tcW w:w="709" w:type="dxa"/>
            <w:tcBorders>
              <w:top w:val="single" w:sz="4" w:space="0" w:color="A6A6A6"/>
              <w:bottom w:val="single" w:sz="4" w:space="0" w:color="A6A6A6"/>
            </w:tcBorders>
            <w:noWrap/>
            <w:hideMark/>
          </w:tcPr>
          <w:p w14:paraId="6E6DF7C3" w14:textId="77777777" w:rsidR="00087B91" w:rsidRPr="002029AF" w:rsidRDefault="00087B91" w:rsidP="00C81A0B">
            <w:pPr>
              <w:pStyle w:val="ARfintablebodyright"/>
              <w:spacing w:before="30"/>
              <w:ind w:right="0"/>
            </w:pPr>
            <w:r w:rsidRPr="002029AF">
              <w:t>–</w:t>
            </w:r>
          </w:p>
        </w:tc>
        <w:tc>
          <w:tcPr>
            <w:tcW w:w="710" w:type="dxa"/>
            <w:tcBorders>
              <w:top w:val="single" w:sz="4" w:space="0" w:color="A6A6A6"/>
              <w:bottom w:val="single" w:sz="4" w:space="0" w:color="A6A6A6"/>
            </w:tcBorders>
            <w:noWrap/>
            <w:hideMark/>
          </w:tcPr>
          <w:p w14:paraId="0BC6ED4D" w14:textId="77777777" w:rsidR="00087B91" w:rsidRPr="002029AF" w:rsidRDefault="00087B91" w:rsidP="00C81A0B">
            <w:pPr>
              <w:pStyle w:val="ARfintablebodyright"/>
              <w:spacing w:before="30"/>
              <w:ind w:right="0"/>
            </w:pPr>
            <w:r w:rsidRPr="002029AF">
              <w:t>–</w:t>
            </w:r>
          </w:p>
        </w:tc>
        <w:tc>
          <w:tcPr>
            <w:tcW w:w="567" w:type="dxa"/>
            <w:tcBorders>
              <w:top w:val="single" w:sz="4" w:space="0" w:color="A6A6A6"/>
              <w:bottom w:val="single" w:sz="4" w:space="0" w:color="A6A6A6"/>
            </w:tcBorders>
            <w:noWrap/>
            <w:hideMark/>
          </w:tcPr>
          <w:p w14:paraId="698A6761" w14:textId="77777777" w:rsidR="00087B91" w:rsidRPr="002029AF" w:rsidRDefault="00087B91" w:rsidP="00C81A0B">
            <w:pPr>
              <w:pStyle w:val="ARfintablebodyright"/>
              <w:spacing w:before="30"/>
              <w:ind w:right="0"/>
            </w:pPr>
            <w:r w:rsidRPr="002029AF">
              <w:t>–</w:t>
            </w:r>
          </w:p>
        </w:tc>
        <w:tc>
          <w:tcPr>
            <w:tcW w:w="746" w:type="dxa"/>
            <w:tcBorders>
              <w:top w:val="single" w:sz="4" w:space="0" w:color="A6A6A6"/>
              <w:bottom w:val="single" w:sz="4" w:space="0" w:color="A6A6A6"/>
            </w:tcBorders>
            <w:noWrap/>
            <w:hideMark/>
          </w:tcPr>
          <w:p w14:paraId="7DACEE38"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bottom w:val="single" w:sz="4" w:space="0" w:color="A6A6A6"/>
            </w:tcBorders>
            <w:noWrap/>
            <w:hideMark/>
          </w:tcPr>
          <w:p w14:paraId="6E3BCF74" w14:textId="77777777" w:rsidR="00087B91" w:rsidRPr="002029AF" w:rsidRDefault="00087B91" w:rsidP="00C81A0B">
            <w:pPr>
              <w:pStyle w:val="ARfintablebodyright"/>
              <w:spacing w:before="30"/>
              <w:ind w:right="0"/>
            </w:pPr>
            <w:r w:rsidRPr="002029AF">
              <w:t>(8.6)</w:t>
            </w:r>
          </w:p>
        </w:tc>
        <w:tc>
          <w:tcPr>
            <w:tcW w:w="640" w:type="dxa"/>
            <w:tcBorders>
              <w:top w:val="single" w:sz="4" w:space="0" w:color="A6A6A6"/>
              <w:bottom w:val="single" w:sz="4" w:space="0" w:color="A6A6A6"/>
            </w:tcBorders>
            <w:noWrap/>
            <w:hideMark/>
          </w:tcPr>
          <w:p w14:paraId="079291C0" w14:textId="77777777" w:rsidR="00087B91" w:rsidRPr="002029AF" w:rsidRDefault="00087B91" w:rsidP="00C81A0B">
            <w:pPr>
              <w:pStyle w:val="ARfintablebodyright"/>
              <w:spacing w:before="30"/>
              <w:ind w:right="0"/>
            </w:pPr>
            <w:r w:rsidRPr="002029AF">
              <w:t>–</w:t>
            </w:r>
          </w:p>
        </w:tc>
        <w:tc>
          <w:tcPr>
            <w:tcW w:w="640" w:type="dxa"/>
            <w:tcBorders>
              <w:top w:val="single" w:sz="4" w:space="0" w:color="A6A6A6"/>
              <w:bottom w:val="single" w:sz="4" w:space="0" w:color="A6A6A6"/>
            </w:tcBorders>
            <w:noWrap/>
            <w:hideMark/>
          </w:tcPr>
          <w:p w14:paraId="1CEE28ED" w14:textId="77777777" w:rsidR="00087B91" w:rsidRPr="002029AF" w:rsidRDefault="00087B91" w:rsidP="00C81A0B">
            <w:pPr>
              <w:pStyle w:val="ARfintablebodyright"/>
              <w:spacing w:before="30"/>
              <w:ind w:right="0"/>
            </w:pPr>
            <w:r w:rsidRPr="002029AF">
              <w:t>–</w:t>
            </w:r>
          </w:p>
        </w:tc>
        <w:tc>
          <w:tcPr>
            <w:tcW w:w="667" w:type="dxa"/>
            <w:tcBorders>
              <w:top w:val="single" w:sz="4" w:space="0" w:color="A6A6A6"/>
              <w:bottom w:val="single" w:sz="4" w:space="0" w:color="A6A6A6"/>
            </w:tcBorders>
            <w:noWrap/>
            <w:hideMark/>
          </w:tcPr>
          <w:p w14:paraId="77A4CC15" w14:textId="77777777" w:rsidR="00087B91" w:rsidRPr="002029AF" w:rsidRDefault="00087B91" w:rsidP="00C81A0B">
            <w:pPr>
              <w:pStyle w:val="ARfintablebodyright"/>
              <w:spacing w:before="30"/>
              <w:ind w:right="0"/>
            </w:pPr>
            <w:r w:rsidRPr="002029AF">
              <w:t>(6.5)</w:t>
            </w:r>
          </w:p>
        </w:tc>
      </w:tr>
      <w:tr w:rsidR="002A3743" w:rsidRPr="002029AF" w14:paraId="09498BCF" w14:textId="77777777" w:rsidTr="00C81A0B">
        <w:trPr>
          <w:gridAfter w:val="1"/>
          <w:wAfter w:w="88" w:type="dxa"/>
        </w:trPr>
        <w:tc>
          <w:tcPr>
            <w:tcW w:w="2263" w:type="dxa"/>
            <w:tcBorders>
              <w:top w:val="single" w:sz="4" w:space="0" w:color="A6A6A6"/>
              <w:bottom w:val="single" w:sz="4" w:space="0" w:color="A6A6A6"/>
            </w:tcBorders>
            <w:hideMark/>
          </w:tcPr>
          <w:p w14:paraId="253A921C" w14:textId="67C1BF89" w:rsidR="00087B91" w:rsidRPr="002029AF" w:rsidRDefault="00087B91" w:rsidP="00C81A0B">
            <w:pPr>
              <w:pStyle w:val="ARfintablebody"/>
              <w:spacing w:before="30"/>
            </w:pPr>
            <w:r w:rsidRPr="002029AF">
              <w:t>Net</w:t>
            </w:r>
            <w:r w:rsidR="000A5329" w:rsidRPr="002029AF">
              <w:t xml:space="preserve"> </w:t>
            </w:r>
            <w:r w:rsidRPr="002029AF">
              <w:t>gain/(loss)</w:t>
            </w:r>
            <w:r w:rsidR="000A5329" w:rsidRPr="002029AF">
              <w:t xml:space="preserve"> </w:t>
            </w:r>
            <w:r w:rsidRPr="002029AF">
              <w:t>on</w:t>
            </w:r>
            <w:r w:rsidR="000A5329" w:rsidRPr="002029AF">
              <w:t xml:space="preserve"> </w:t>
            </w:r>
            <w:r w:rsidRPr="002029AF">
              <w:t>financial</w:t>
            </w:r>
            <w:r w:rsidR="000A5329" w:rsidRPr="002029AF">
              <w:t xml:space="preserve"> </w:t>
            </w:r>
            <w:r w:rsidRPr="002029AF">
              <w:t>instruments</w:t>
            </w:r>
          </w:p>
        </w:tc>
        <w:tc>
          <w:tcPr>
            <w:tcW w:w="851" w:type="dxa"/>
            <w:tcBorders>
              <w:top w:val="single" w:sz="4" w:space="0" w:color="A6A6A6"/>
              <w:bottom w:val="single" w:sz="4" w:space="0" w:color="A6A6A6"/>
            </w:tcBorders>
            <w:noWrap/>
            <w:hideMark/>
          </w:tcPr>
          <w:p w14:paraId="53040334" w14:textId="77777777" w:rsidR="00087B91" w:rsidRPr="002029AF" w:rsidRDefault="00087B91" w:rsidP="00C81A0B">
            <w:pPr>
              <w:pStyle w:val="ARfintablebodyright"/>
              <w:spacing w:before="30"/>
              <w:ind w:right="0"/>
            </w:pPr>
            <w:r w:rsidRPr="002029AF">
              <w:t>0.1</w:t>
            </w:r>
          </w:p>
        </w:tc>
        <w:tc>
          <w:tcPr>
            <w:tcW w:w="709" w:type="dxa"/>
            <w:tcBorders>
              <w:top w:val="single" w:sz="4" w:space="0" w:color="A6A6A6"/>
              <w:bottom w:val="single" w:sz="4" w:space="0" w:color="A6A6A6"/>
            </w:tcBorders>
            <w:noWrap/>
            <w:hideMark/>
          </w:tcPr>
          <w:p w14:paraId="5BFBC339" w14:textId="77777777" w:rsidR="00087B91" w:rsidRPr="002029AF" w:rsidRDefault="00087B91" w:rsidP="00C81A0B">
            <w:pPr>
              <w:pStyle w:val="ARfintablebodyright"/>
              <w:spacing w:before="30"/>
              <w:ind w:right="0"/>
            </w:pPr>
            <w:r w:rsidRPr="002029AF">
              <w:t>–</w:t>
            </w:r>
          </w:p>
        </w:tc>
        <w:tc>
          <w:tcPr>
            <w:tcW w:w="567" w:type="dxa"/>
            <w:tcBorders>
              <w:top w:val="single" w:sz="4" w:space="0" w:color="A6A6A6"/>
              <w:bottom w:val="single" w:sz="4" w:space="0" w:color="A6A6A6"/>
            </w:tcBorders>
            <w:noWrap/>
            <w:hideMark/>
          </w:tcPr>
          <w:p w14:paraId="647D39AC"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bottom w:val="single" w:sz="4" w:space="0" w:color="A6A6A6"/>
            </w:tcBorders>
            <w:noWrap/>
            <w:hideMark/>
          </w:tcPr>
          <w:p w14:paraId="331A5EC4" w14:textId="77777777" w:rsidR="00087B91" w:rsidRPr="002029AF" w:rsidRDefault="00087B91" w:rsidP="00C81A0B">
            <w:pPr>
              <w:pStyle w:val="ARfintablebodyright"/>
              <w:spacing w:before="30"/>
              <w:ind w:right="0"/>
            </w:pPr>
            <w:r w:rsidRPr="002029AF">
              <w:t>–</w:t>
            </w:r>
          </w:p>
        </w:tc>
        <w:tc>
          <w:tcPr>
            <w:tcW w:w="708" w:type="dxa"/>
            <w:tcBorders>
              <w:top w:val="single" w:sz="4" w:space="0" w:color="A6A6A6"/>
              <w:bottom w:val="single" w:sz="4" w:space="0" w:color="A6A6A6"/>
            </w:tcBorders>
            <w:noWrap/>
            <w:hideMark/>
          </w:tcPr>
          <w:p w14:paraId="15B25288" w14:textId="77777777" w:rsidR="00087B91" w:rsidRPr="002029AF" w:rsidRDefault="00087B91" w:rsidP="00C81A0B">
            <w:pPr>
              <w:pStyle w:val="ARfintablebodyright"/>
              <w:spacing w:before="30"/>
              <w:ind w:right="0"/>
            </w:pPr>
            <w:r w:rsidRPr="002029AF">
              <w:t>–</w:t>
            </w:r>
          </w:p>
        </w:tc>
        <w:tc>
          <w:tcPr>
            <w:tcW w:w="567" w:type="dxa"/>
            <w:tcBorders>
              <w:top w:val="single" w:sz="4" w:space="0" w:color="A6A6A6"/>
              <w:bottom w:val="single" w:sz="4" w:space="0" w:color="A6A6A6"/>
            </w:tcBorders>
            <w:noWrap/>
            <w:hideMark/>
          </w:tcPr>
          <w:p w14:paraId="7514F043"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bottom w:val="single" w:sz="4" w:space="0" w:color="A6A6A6"/>
            </w:tcBorders>
            <w:noWrap/>
            <w:hideMark/>
          </w:tcPr>
          <w:p w14:paraId="3F5237C5"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bottom w:val="single" w:sz="4" w:space="0" w:color="A6A6A6"/>
            </w:tcBorders>
            <w:noWrap/>
            <w:hideMark/>
          </w:tcPr>
          <w:p w14:paraId="50325D1A" w14:textId="77777777" w:rsidR="00087B91" w:rsidRPr="002029AF" w:rsidRDefault="00087B91" w:rsidP="00C81A0B">
            <w:pPr>
              <w:pStyle w:val="ARfintablebodyright"/>
              <w:spacing w:before="30"/>
              <w:ind w:right="0"/>
            </w:pPr>
            <w:r w:rsidRPr="002029AF">
              <w:t>–</w:t>
            </w:r>
          </w:p>
        </w:tc>
        <w:tc>
          <w:tcPr>
            <w:tcW w:w="708" w:type="dxa"/>
            <w:tcBorders>
              <w:top w:val="single" w:sz="4" w:space="0" w:color="A6A6A6"/>
              <w:bottom w:val="single" w:sz="4" w:space="0" w:color="A6A6A6"/>
            </w:tcBorders>
            <w:noWrap/>
            <w:hideMark/>
          </w:tcPr>
          <w:p w14:paraId="372A94CC" w14:textId="77777777" w:rsidR="00087B91" w:rsidRPr="002029AF" w:rsidRDefault="00087B91" w:rsidP="00C81A0B">
            <w:pPr>
              <w:pStyle w:val="ARfintablebodyright"/>
              <w:spacing w:before="30"/>
              <w:ind w:right="0"/>
            </w:pPr>
            <w:r w:rsidRPr="002029AF">
              <w:t>0.1</w:t>
            </w:r>
          </w:p>
        </w:tc>
        <w:tc>
          <w:tcPr>
            <w:tcW w:w="708" w:type="dxa"/>
            <w:tcBorders>
              <w:top w:val="single" w:sz="4" w:space="0" w:color="A6A6A6"/>
              <w:bottom w:val="single" w:sz="4" w:space="0" w:color="A6A6A6"/>
            </w:tcBorders>
            <w:noWrap/>
            <w:hideMark/>
          </w:tcPr>
          <w:p w14:paraId="779B3497"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bottom w:val="single" w:sz="4" w:space="0" w:color="A6A6A6"/>
            </w:tcBorders>
            <w:noWrap/>
            <w:hideMark/>
          </w:tcPr>
          <w:p w14:paraId="183D86EF" w14:textId="77777777" w:rsidR="00087B91" w:rsidRPr="002029AF" w:rsidRDefault="00087B91" w:rsidP="00C81A0B">
            <w:pPr>
              <w:pStyle w:val="ARfintablebodyright"/>
              <w:spacing w:before="30"/>
              <w:ind w:right="0"/>
            </w:pPr>
            <w:r w:rsidRPr="002029AF">
              <w:t>–</w:t>
            </w:r>
          </w:p>
        </w:tc>
        <w:tc>
          <w:tcPr>
            <w:tcW w:w="710" w:type="dxa"/>
            <w:tcBorders>
              <w:top w:val="single" w:sz="4" w:space="0" w:color="A6A6A6"/>
              <w:bottom w:val="single" w:sz="4" w:space="0" w:color="A6A6A6"/>
            </w:tcBorders>
            <w:noWrap/>
            <w:hideMark/>
          </w:tcPr>
          <w:p w14:paraId="0B6E3EE4" w14:textId="77777777" w:rsidR="00087B91" w:rsidRPr="002029AF" w:rsidRDefault="00087B91" w:rsidP="00C81A0B">
            <w:pPr>
              <w:pStyle w:val="ARfintablebodyright"/>
              <w:spacing w:before="30"/>
              <w:ind w:right="0"/>
            </w:pPr>
            <w:r w:rsidRPr="002029AF">
              <w:t>–</w:t>
            </w:r>
          </w:p>
        </w:tc>
        <w:tc>
          <w:tcPr>
            <w:tcW w:w="567" w:type="dxa"/>
            <w:tcBorders>
              <w:top w:val="single" w:sz="4" w:space="0" w:color="A6A6A6"/>
              <w:bottom w:val="single" w:sz="4" w:space="0" w:color="A6A6A6"/>
            </w:tcBorders>
            <w:noWrap/>
            <w:hideMark/>
          </w:tcPr>
          <w:p w14:paraId="1F6F6FEC" w14:textId="77777777" w:rsidR="00087B91" w:rsidRPr="002029AF" w:rsidRDefault="00087B91" w:rsidP="00C81A0B">
            <w:pPr>
              <w:pStyle w:val="ARfintablebodyright"/>
              <w:spacing w:before="30"/>
              <w:ind w:right="0"/>
            </w:pPr>
            <w:r w:rsidRPr="002029AF">
              <w:t>–</w:t>
            </w:r>
          </w:p>
        </w:tc>
        <w:tc>
          <w:tcPr>
            <w:tcW w:w="746" w:type="dxa"/>
            <w:tcBorders>
              <w:top w:val="single" w:sz="4" w:space="0" w:color="A6A6A6"/>
              <w:bottom w:val="single" w:sz="4" w:space="0" w:color="A6A6A6"/>
            </w:tcBorders>
            <w:noWrap/>
            <w:hideMark/>
          </w:tcPr>
          <w:p w14:paraId="112561F7" w14:textId="77777777" w:rsidR="00087B91" w:rsidRPr="002029AF" w:rsidRDefault="00087B91" w:rsidP="00C81A0B">
            <w:pPr>
              <w:pStyle w:val="ARfintablebodyright"/>
              <w:spacing w:before="30"/>
              <w:ind w:right="0"/>
            </w:pPr>
            <w:r w:rsidRPr="002029AF">
              <w:t>–</w:t>
            </w:r>
          </w:p>
        </w:tc>
        <w:tc>
          <w:tcPr>
            <w:tcW w:w="709" w:type="dxa"/>
            <w:tcBorders>
              <w:top w:val="single" w:sz="4" w:space="0" w:color="A6A6A6"/>
              <w:bottom w:val="single" w:sz="4" w:space="0" w:color="A6A6A6"/>
            </w:tcBorders>
            <w:noWrap/>
            <w:hideMark/>
          </w:tcPr>
          <w:p w14:paraId="622C012B" w14:textId="77777777" w:rsidR="00087B91" w:rsidRPr="002029AF" w:rsidRDefault="00087B91" w:rsidP="00C81A0B">
            <w:pPr>
              <w:pStyle w:val="ARfintablebodyright"/>
              <w:spacing w:before="30"/>
              <w:ind w:right="0"/>
            </w:pPr>
            <w:r w:rsidRPr="002029AF">
              <w:t>–</w:t>
            </w:r>
          </w:p>
        </w:tc>
        <w:tc>
          <w:tcPr>
            <w:tcW w:w="640" w:type="dxa"/>
            <w:tcBorders>
              <w:top w:val="single" w:sz="4" w:space="0" w:color="A6A6A6"/>
              <w:bottom w:val="single" w:sz="4" w:space="0" w:color="A6A6A6"/>
            </w:tcBorders>
            <w:noWrap/>
            <w:hideMark/>
          </w:tcPr>
          <w:p w14:paraId="4D35B08D" w14:textId="77777777" w:rsidR="00087B91" w:rsidRPr="002029AF" w:rsidRDefault="00087B91" w:rsidP="00C81A0B">
            <w:pPr>
              <w:pStyle w:val="ARfintablebodyright"/>
              <w:spacing w:before="30"/>
              <w:ind w:right="0"/>
            </w:pPr>
            <w:r w:rsidRPr="002029AF">
              <w:t>–</w:t>
            </w:r>
          </w:p>
        </w:tc>
        <w:tc>
          <w:tcPr>
            <w:tcW w:w="640" w:type="dxa"/>
            <w:tcBorders>
              <w:top w:val="single" w:sz="4" w:space="0" w:color="A6A6A6"/>
              <w:bottom w:val="single" w:sz="4" w:space="0" w:color="A6A6A6"/>
            </w:tcBorders>
            <w:noWrap/>
            <w:hideMark/>
          </w:tcPr>
          <w:p w14:paraId="1FC2FA93" w14:textId="77777777" w:rsidR="00087B91" w:rsidRPr="002029AF" w:rsidRDefault="00087B91" w:rsidP="00C81A0B">
            <w:pPr>
              <w:pStyle w:val="ARfintablebodyright"/>
              <w:spacing w:before="30"/>
              <w:ind w:right="0"/>
            </w:pPr>
            <w:r w:rsidRPr="002029AF">
              <w:t>–</w:t>
            </w:r>
          </w:p>
        </w:tc>
        <w:tc>
          <w:tcPr>
            <w:tcW w:w="667" w:type="dxa"/>
            <w:tcBorders>
              <w:top w:val="single" w:sz="4" w:space="0" w:color="A6A6A6"/>
              <w:bottom w:val="single" w:sz="4" w:space="0" w:color="A6A6A6"/>
            </w:tcBorders>
            <w:noWrap/>
            <w:hideMark/>
          </w:tcPr>
          <w:p w14:paraId="16139BB7" w14:textId="77777777" w:rsidR="00087B91" w:rsidRPr="002029AF" w:rsidRDefault="00087B91" w:rsidP="00C81A0B">
            <w:pPr>
              <w:pStyle w:val="ARfintablebodyright"/>
              <w:spacing w:before="30"/>
              <w:ind w:right="0"/>
            </w:pPr>
            <w:r w:rsidRPr="002029AF">
              <w:t>0.2</w:t>
            </w:r>
          </w:p>
        </w:tc>
      </w:tr>
      <w:tr w:rsidR="002A3743" w:rsidRPr="002029AF" w14:paraId="344590F6" w14:textId="77777777" w:rsidTr="00C81A0B">
        <w:trPr>
          <w:gridAfter w:val="1"/>
          <w:wAfter w:w="88" w:type="dxa"/>
        </w:trPr>
        <w:tc>
          <w:tcPr>
            <w:tcW w:w="2263" w:type="dxa"/>
            <w:tcBorders>
              <w:top w:val="single" w:sz="4" w:space="0" w:color="A6A6A6"/>
            </w:tcBorders>
            <w:hideMark/>
          </w:tcPr>
          <w:p w14:paraId="65852CE2" w14:textId="64167682" w:rsidR="00087B91" w:rsidRPr="002029AF" w:rsidRDefault="00087B91" w:rsidP="00C81A0B">
            <w:pPr>
              <w:pStyle w:val="ARfintablebody"/>
              <w:spacing w:before="30"/>
            </w:pPr>
            <w:r w:rsidRPr="002029AF">
              <w:t>Other</w:t>
            </w:r>
            <w:r w:rsidR="000A5329" w:rsidRPr="002029AF">
              <w:t xml:space="preserve"> </w:t>
            </w:r>
            <w:r w:rsidRPr="002029AF">
              <w:t>gains/(losses)</w:t>
            </w:r>
            <w:r w:rsidR="000A5329" w:rsidRPr="002029AF">
              <w:t xml:space="preserve"> </w:t>
            </w:r>
            <w:r w:rsidRPr="002029AF">
              <w:t>from</w:t>
            </w:r>
            <w:r w:rsidR="000A5329" w:rsidRPr="002029AF">
              <w:t xml:space="preserve"> </w:t>
            </w:r>
            <w:r w:rsidRPr="002029AF">
              <w:t>other</w:t>
            </w:r>
            <w:r w:rsidR="000A5329" w:rsidRPr="002029AF">
              <w:t xml:space="preserve"> </w:t>
            </w:r>
            <w:r w:rsidRPr="002029AF">
              <w:t>economic</w:t>
            </w:r>
            <w:r w:rsidR="000A5329" w:rsidRPr="002029AF">
              <w:t xml:space="preserve"> </w:t>
            </w:r>
            <w:r w:rsidRPr="002029AF">
              <w:t>flows</w:t>
            </w:r>
          </w:p>
        </w:tc>
        <w:tc>
          <w:tcPr>
            <w:tcW w:w="851" w:type="dxa"/>
            <w:tcBorders>
              <w:top w:val="single" w:sz="4" w:space="0" w:color="A6A6A6"/>
            </w:tcBorders>
            <w:noWrap/>
            <w:hideMark/>
          </w:tcPr>
          <w:p w14:paraId="4117CC25" w14:textId="77777777" w:rsidR="00087B91" w:rsidRPr="002029AF" w:rsidRDefault="00087B91" w:rsidP="00C81A0B">
            <w:pPr>
              <w:pStyle w:val="ARfintablebodyright"/>
              <w:spacing w:before="30"/>
              <w:ind w:right="0"/>
            </w:pPr>
            <w:r w:rsidRPr="002029AF">
              <w:t>(3.0)</w:t>
            </w:r>
          </w:p>
        </w:tc>
        <w:tc>
          <w:tcPr>
            <w:tcW w:w="709" w:type="dxa"/>
            <w:tcBorders>
              <w:top w:val="single" w:sz="4" w:space="0" w:color="A6A6A6"/>
            </w:tcBorders>
            <w:noWrap/>
            <w:hideMark/>
          </w:tcPr>
          <w:p w14:paraId="48FF6C73" w14:textId="77777777" w:rsidR="00087B91" w:rsidRPr="002029AF" w:rsidRDefault="00087B91" w:rsidP="00C81A0B">
            <w:pPr>
              <w:pStyle w:val="ARfintablebodyright"/>
              <w:spacing w:before="30"/>
              <w:ind w:right="0"/>
            </w:pPr>
            <w:r w:rsidRPr="002029AF">
              <w:t>–</w:t>
            </w:r>
          </w:p>
        </w:tc>
        <w:tc>
          <w:tcPr>
            <w:tcW w:w="567" w:type="dxa"/>
            <w:tcBorders>
              <w:top w:val="single" w:sz="4" w:space="0" w:color="A6A6A6"/>
            </w:tcBorders>
            <w:noWrap/>
            <w:hideMark/>
          </w:tcPr>
          <w:p w14:paraId="09F05CC9" w14:textId="77777777" w:rsidR="00087B91" w:rsidRPr="002029AF" w:rsidRDefault="00087B91" w:rsidP="00C81A0B">
            <w:pPr>
              <w:pStyle w:val="ARfintablebodyright"/>
              <w:spacing w:before="30"/>
              <w:ind w:right="0"/>
            </w:pPr>
            <w:r w:rsidRPr="002029AF">
              <w:t>(0.8)</w:t>
            </w:r>
          </w:p>
        </w:tc>
        <w:tc>
          <w:tcPr>
            <w:tcW w:w="709" w:type="dxa"/>
            <w:tcBorders>
              <w:top w:val="single" w:sz="4" w:space="0" w:color="A6A6A6"/>
            </w:tcBorders>
            <w:noWrap/>
            <w:hideMark/>
          </w:tcPr>
          <w:p w14:paraId="652438CC" w14:textId="77777777" w:rsidR="00087B91" w:rsidRPr="002029AF" w:rsidRDefault="00087B91" w:rsidP="00C81A0B">
            <w:pPr>
              <w:pStyle w:val="ARfintablebodyright"/>
              <w:spacing w:before="30"/>
              <w:ind w:right="0"/>
            </w:pPr>
            <w:r w:rsidRPr="002029AF">
              <w:t>(0.6)</w:t>
            </w:r>
          </w:p>
        </w:tc>
        <w:tc>
          <w:tcPr>
            <w:tcW w:w="708" w:type="dxa"/>
            <w:tcBorders>
              <w:top w:val="single" w:sz="4" w:space="0" w:color="A6A6A6"/>
            </w:tcBorders>
            <w:noWrap/>
            <w:hideMark/>
          </w:tcPr>
          <w:p w14:paraId="39A3E9A3" w14:textId="77777777" w:rsidR="00087B91" w:rsidRPr="002029AF" w:rsidRDefault="00087B91" w:rsidP="00C81A0B">
            <w:pPr>
              <w:pStyle w:val="ARfintablebodyright"/>
              <w:spacing w:before="30"/>
              <w:ind w:right="0"/>
            </w:pPr>
            <w:r w:rsidRPr="002029AF">
              <w:t>(0.3)</w:t>
            </w:r>
          </w:p>
        </w:tc>
        <w:tc>
          <w:tcPr>
            <w:tcW w:w="567" w:type="dxa"/>
            <w:tcBorders>
              <w:top w:val="single" w:sz="4" w:space="0" w:color="A6A6A6"/>
            </w:tcBorders>
            <w:noWrap/>
            <w:hideMark/>
          </w:tcPr>
          <w:p w14:paraId="6046F1E6" w14:textId="77777777" w:rsidR="00087B91" w:rsidRPr="002029AF" w:rsidRDefault="00087B91" w:rsidP="00C81A0B">
            <w:pPr>
              <w:pStyle w:val="ARfintablebodyright"/>
              <w:spacing w:before="30"/>
              <w:ind w:right="0"/>
            </w:pPr>
            <w:r w:rsidRPr="002029AF">
              <w:t>(0.2)</w:t>
            </w:r>
          </w:p>
        </w:tc>
        <w:tc>
          <w:tcPr>
            <w:tcW w:w="709" w:type="dxa"/>
            <w:tcBorders>
              <w:top w:val="single" w:sz="4" w:space="0" w:color="A6A6A6"/>
            </w:tcBorders>
            <w:noWrap/>
            <w:hideMark/>
          </w:tcPr>
          <w:p w14:paraId="1CBADCAC" w14:textId="77777777" w:rsidR="00087B91" w:rsidRPr="002029AF" w:rsidRDefault="00087B91" w:rsidP="00C81A0B">
            <w:pPr>
              <w:pStyle w:val="ARfintablebodyright"/>
              <w:spacing w:before="30"/>
              <w:ind w:right="0"/>
            </w:pPr>
            <w:r w:rsidRPr="002029AF">
              <w:t>(1.2)</w:t>
            </w:r>
          </w:p>
        </w:tc>
        <w:tc>
          <w:tcPr>
            <w:tcW w:w="709" w:type="dxa"/>
            <w:tcBorders>
              <w:top w:val="single" w:sz="4" w:space="0" w:color="A6A6A6"/>
            </w:tcBorders>
            <w:noWrap/>
            <w:hideMark/>
          </w:tcPr>
          <w:p w14:paraId="47B07D56" w14:textId="77777777" w:rsidR="00087B91" w:rsidRPr="002029AF" w:rsidRDefault="00087B91" w:rsidP="00C81A0B">
            <w:pPr>
              <w:pStyle w:val="ARfintablebodyright"/>
              <w:spacing w:before="30"/>
              <w:ind w:right="0"/>
            </w:pPr>
            <w:r w:rsidRPr="002029AF">
              <w:t>(0.2)</w:t>
            </w:r>
          </w:p>
        </w:tc>
        <w:tc>
          <w:tcPr>
            <w:tcW w:w="708" w:type="dxa"/>
            <w:tcBorders>
              <w:top w:val="single" w:sz="4" w:space="0" w:color="A6A6A6"/>
            </w:tcBorders>
            <w:noWrap/>
            <w:hideMark/>
          </w:tcPr>
          <w:p w14:paraId="58C537B0" w14:textId="77777777" w:rsidR="00087B91" w:rsidRPr="002029AF" w:rsidRDefault="00087B91" w:rsidP="00C81A0B">
            <w:pPr>
              <w:pStyle w:val="ARfintablebodyright"/>
              <w:spacing w:before="30"/>
              <w:ind w:right="0"/>
            </w:pPr>
            <w:r w:rsidRPr="002029AF">
              <w:t>(9.6)</w:t>
            </w:r>
          </w:p>
        </w:tc>
        <w:tc>
          <w:tcPr>
            <w:tcW w:w="708" w:type="dxa"/>
            <w:tcBorders>
              <w:top w:val="single" w:sz="4" w:space="0" w:color="A6A6A6"/>
            </w:tcBorders>
            <w:noWrap/>
            <w:hideMark/>
          </w:tcPr>
          <w:p w14:paraId="20F646E9" w14:textId="77777777" w:rsidR="00087B91" w:rsidRPr="002029AF" w:rsidRDefault="00087B91" w:rsidP="00C81A0B">
            <w:pPr>
              <w:pStyle w:val="ARfintablebodyright"/>
              <w:spacing w:before="30"/>
              <w:ind w:right="0"/>
            </w:pPr>
            <w:r w:rsidRPr="002029AF">
              <w:t>(5.9)</w:t>
            </w:r>
          </w:p>
        </w:tc>
        <w:tc>
          <w:tcPr>
            <w:tcW w:w="709" w:type="dxa"/>
            <w:tcBorders>
              <w:top w:val="single" w:sz="4" w:space="0" w:color="A6A6A6"/>
            </w:tcBorders>
            <w:noWrap/>
            <w:hideMark/>
          </w:tcPr>
          <w:p w14:paraId="230B28AC" w14:textId="77777777" w:rsidR="00087B91" w:rsidRPr="002029AF" w:rsidRDefault="00087B91" w:rsidP="00C81A0B">
            <w:pPr>
              <w:pStyle w:val="ARfintablebodyright"/>
              <w:spacing w:before="30"/>
              <w:ind w:right="0"/>
            </w:pPr>
            <w:r w:rsidRPr="002029AF">
              <w:t>(0.1)</w:t>
            </w:r>
          </w:p>
        </w:tc>
        <w:tc>
          <w:tcPr>
            <w:tcW w:w="710" w:type="dxa"/>
            <w:tcBorders>
              <w:top w:val="single" w:sz="4" w:space="0" w:color="A6A6A6"/>
            </w:tcBorders>
            <w:noWrap/>
            <w:hideMark/>
          </w:tcPr>
          <w:p w14:paraId="7E2401A8" w14:textId="77777777" w:rsidR="00087B91" w:rsidRPr="002029AF" w:rsidRDefault="00087B91" w:rsidP="00C81A0B">
            <w:pPr>
              <w:pStyle w:val="ARfintablebodyright"/>
              <w:spacing w:before="30"/>
              <w:ind w:right="0"/>
            </w:pPr>
            <w:r w:rsidRPr="002029AF">
              <w:t>(0.1)</w:t>
            </w:r>
          </w:p>
        </w:tc>
        <w:tc>
          <w:tcPr>
            <w:tcW w:w="567" w:type="dxa"/>
            <w:tcBorders>
              <w:top w:val="single" w:sz="4" w:space="0" w:color="A6A6A6"/>
            </w:tcBorders>
            <w:noWrap/>
            <w:hideMark/>
          </w:tcPr>
          <w:p w14:paraId="46608C8E" w14:textId="77777777" w:rsidR="00087B91" w:rsidRPr="002029AF" w:rsidRDefault="00087B91" w:rsidP="00C81A0B">
            <w:pPr>
              <w:pStyle w:val="ARfintablebodyright"/>
              <w:spacing w:before="30"/>
              <w:ind w:right="0"/>
            </w:pPr>
            <w:r w:rsidRPr="002029AF">
              <w:t>–</w:t>
            </w:r>
          </w:p>
        </w:tc>
        <w:tc>
          <w:tcPr>
            <w:tcW w:w="746" w:type="dxa"/>
            <w:tcBorders>
              <w:top w:val="single" w:sz="4" w:space="0" w:color="A6A6A6"/>
            </w:tcBorders>
            <w:noWrap/>
            <w:hideMark/>
          </w:tcPr>
          <w:p w14:paraId="00FD0D9D" w14:textId="77777777" w:rsidR="00087B91" w:rsidRPr="002029AF" w:rsidRDefault="00087B91" w:rsidP="00C81A0B">
            <w:pPr>
              <w:pStyle w:val="ARfintablebodyright"/>
              <w:spacing w:before="30"/>
              <w:ind w:right="0"/>
            </w:pPr>
            <w:r w:rsidRPr="002029AF">
              <w:t>(0.5)</w:t>
            </w:r>
          </w:p>
        </w:tc>
        <w:tc>
          <w:tcPr>
            <w:tcW w:w="709" w:type="dxa"/>
            <w:tcBorders>
              <w:top w:val="single" w:sz="4" w:space="0" w:color="A6A6A6"/>
            </w:tcBorders>
            <w:noWrap/>
            <w:hideMark/>
          </w:tcPr>
          <w:p w14:paraId="06FFF457" w14:textId="77777777" w:rsidR="00087B91" w:rsidRPr="002029AF" w:rsidRDefault="00087B91" w:rsidP="00C81A0B">
            <w:pPr>
              <w:pStyle w:val="ARfintablebodyright"/>
              <w:spacing w:before="30"/>
              <w:ind w:right="0"/>
            </w:pPr>
            <w:r w:rsidRPr="002029AF">
              <w:t>(5.6)</w:t>
            </w:r>
          </w:p>
        </w:tc>
        <w:tc>
          <w:tcPr>
            <w:tcW w:w="640" w:type="dxa"/>
            <w:tcBorders>
              <w:top w:val="single" w:sz="4" w:space="0" w:color="A6A6A6"/>
            </w:tcBorders>
            <w:noWrap/>
            <w:hideMark/>
          </w:tcPr>
          <w:p w14:paraId="244D58D8" w14:textId="77777777" w:rsidR="00087B91" w:rsidRPr="002029AF" w:rsidRDefault="00087B91" w:rsidP="00C81A0B">
            <w:pPr>
              <w:pStyle w:val="ARfintablebodyright"/>
              <w:spacing w:before="30"/>
              <w:ind w:right="0"/>
            </w:pPr>
            <w:r w:rsidRPr="002029AF">
              <w:t>–</w:t>
            </w:r>
          </w:p>
        </w:tc>
        <w:tc>
          <w:tcPr>
            <w:tcW w:w="640" w:type="dxa"/>
            <w:tcBorders>
              <w:top w:val="single" w:sz="4" w:space="0" w:color="A6A6A6"/>
            </w:tcBorders>
            <w:noWrap/>
            <w:hideMark/>
          </w:tcPr>
          <w:p w14:paraId="46560E07" w14:textId="77777777" w:rsidR="00087B91" w:rsidRPr="002029AF" w:rsidRDefault="00087B91" w:rsidP="00C81A0B">
            <w:pPr>
              <w:pStyle w:val="ARfintablebodyright"/>
              <w:spacing w:before="30"/>
              <w:ind w:right="0"/>
            </w:pPr>
            <w:r w:rsidRPr="002029AF">
              <w:t>–</w:t>
            </w:r>
          </w:p>
        </w:tc>
        <w:tc>
          <w:tcPr>
            <w:tcW w:w="667" w:type="dxa"/>
            <w:tcBorders>
              <w:top w:val="single" w:sz="4" w:space="0" w:color="A6A6A6"/>
            </w:tcBorders>
            <w:noWrap/>
            <w:hideMark/>
          </w:tcPr>
          <w:p w14:paraId="6E650389" w14:textId="77777777" w:rsidR="00087B91" w:rsidRPr="002029AF" w:rsidRDefault="00087B91" w:rsidP="00C81A0B">
            <w:pPr>
              <w:pStyle w:val="ARfintablebodyright"/>
              <w:spacing w:before="30"/>
              <w:ind w:right="0"/>
            </w:pPr>
            <w:r w:rsidRPr="002029AF">
              <w:t>(28.1)</w:t>
            </w:r>
          </w:p>
        </w:tc>
      </w:tr>
      <w:tr w:rsidR="002A3743" w:rsidRPr="002029AF" w14:paraId="3608C985" w14:textId="77777777" w:rsidTr="00C81A0B">
        <w:trPr>
          <w:gridAfter w:val="1"/>
          <w:wAfter w:w="88" w:type="dxa"/>
        </w:trPr>
        <w:tc>
          <w:tcPr>
            <w:tcW w:w="2263" w:type="dxa"/>
            <w:hideMark/>
          </w:tcPr>
          <w:p w14:paraId="6BD7004F" w14:textId="427F78B8" w:rsidR="00087B91" w:rsidRPr="002029AF" w:rsidRDefault="00087B91" w:rsidP="00C81A0B">
            <w:pPr>
              <w:pStyle w:val="ARfintablebodybold"/>
              <w:spacing w:before="30"/>
            </w:pPr>
            <w:r w:rsidRPr="002029AF">
              <w:t>Total</w:t>
            </w:r>
            <w:r w:rsidR="000A5329" w:rsidRPr="002029AF">
              <w:t xml:space="preserve"> </w:t>
            </w:r>
            <w:r w:rsidRPr="002029AF">
              <w:t>other</w:t>
            </w:r>
            <w:r w:rsidR="000A5329" w:rsidRPr="002029AF">
              <w:t xml:space="preserve"> </w:t>
            </w:r>
            <w:r w:rsidRPr="002029AF">
              <w:t>economic</w:t>
            </w:r>
            <w:r w:rsidR="000A5329" w:rsidRPr="002029AF">
              <w:t xml:space="preserve"> </w:t>
            </w:r>
            <w:r w:rsidRPr="002029AF">
              <w:t>flows</w:t>
            </w:r>
            <w:r w:rsidR="000A5329" w:rsidRPr="002029AF">
              <w:t xml:space="preserve"> </w:t>
            </w:r>
            <w:r w:rsidRPr="002029AF">
              <w:t>included</w:t>
            </w:r>
            <w:r w:rsidR="000A5329" w:rsidRPr="002029AF">
              <w:t xml:space="preserve"> </w:t>
            </w:r>
            <w:r w:rsidRPr="002029AF">
              <w:t>in</w:t>
            </w:r>
            <w:r w:rsidR="000A5329" w:rsidRPr="002029AF">
              <w:t xml:space="preserve"> </w:t>
            </w:r>
            <w:r w:rsidRPr="002029AF">
              <w:t>net</w:t>
            </w:r>
            <w:r w:rsidR="000A5329" w:rsidRPr="002029AF">
              <w:t xml:space="preserve"> </w:t>
            </w:r>
            <w:r w:rsidRPr="002029AF">
              <w:t>result</w:t>
            </w:r>
          </w:p>
        </w:tc>
        <w:tc>
          <w:tcPr>
            <w:tcW w:w="851" w:type="dxa"/>
            <w:noWrap/>
            <w:hideMark/>
          </w:tcPr>
          <w:p w14:paraId="3233D9D3" w14:textId="77777777" w:rsidR="00087B91" w:rsidRPr="002029AF" w:rsidRDefault="00087B91" w:rsidP="00C81A0B">
            <w:pPr>
              <w:pStyle w:val="ARfintablebodyrightbold"/>
              <w:spacing w:before="30"/>
              <w:ind w:right="0"/>
            </w:pPr>
            <w:r w:rsidRPr="002029AF">
              <w:t>(2.9)</w:t>
            </w:r>
          </w:p>
        </w:tc>
        <w:tc>
          <w:tcPr>
            <w:tcW w:w="709" w:type="dxa"/>
            <w:noWrap/>
            <w:hideMark/>
          </w:tcPr>
          <w:p w14:paraId="0A3848B3" w14:textId="77777777" w:rsidR="00087B91" w:rsidRPr="002029AF" w:rsidRDefault="00087B91" w:rsidP="00C81A0B">
            <w:pPr>
              <w:pStyle w:val="ARfintablebodyrightbold"/>
              <w:spacing w:before="30"/>
              <w:ind w:right="0"/>
            </w:pPr>
            <w:r w:rsidRPr="002029AF">
              <w:t>–</w:t>
            </w:r>
          </w:p>
        </w:tc>
        <w:tc>
          <w:tcPr>
            <w:tcW w:w="567" w:type="dxa"/>
            <w:noWrap/>
            <w:hideMark/>
          </w:tcPr>
          <w:p w14:paraId="2C49B4B9" w14:textId="77777777" w:rsidR="00087B91" w:rsidRPr="002029AF" w:rsidRDefault="00087B91" w:rsidP="00C81A0B">
            <w:pPr>
              <w:pStyle w:val="ARfintablebodyrightbold"/>
              <w:spacing w:before="30"/>
              <w:ind w:right="0"/>
            </w:pPr>
            <w:r w:rsidRPr="002029AF">
              <w:t>(0.8)</w:t>
            </w:r>
          </w:p>
        </w:tc>
        <w:tc>
          <w:tcPr>
            <w:tcW w:w="709" w:type="dxa"/>
            <w:noWrap/>
            <w:hideMark/>
          </w:tcPr>
          <w:p w14:paraId="22A6F1CE" w14:textId="77777777" w:rsidR="00087B91" w:rsidRPr="002029AF" w:rsidRDefault="00087B91" w:rsidP="00C81A0B">
            <w:pPr>
              <w:pStyle w:val="ARfintablebodyrightbold"/>
              <w:spacing w:before="30"/>
              <w:ind w:right="0"/>
            </w:pPr>
            <w:r w:rsidRPr="002029AF">
              <w:t>(0.5)</w:t>
            </w:r>
          </w:p>
        </w:tc>
        <w:tc>
          <w:tcPr>
            <w:tcW w:w="708" w:type="dxa"/>
            <w:noWrap/>
            <w:hideMark/>
          </w:tcPr>
          <w:p w14:paraId="79972215" w14:textId="77777777" w:rsidR="00087B91" w:rsidRPr="002029AF" w:rsidRDefault="00087B91" w:rsidP="00C81A0B">
            <w:pPr>
              <w:pStyle w:val="ARfintablebodyrightbold"/>
              <w:spacing w:before="30"/>
              <w:ind w:right="0"/>
            </w:pPr>
            <w:r w:rsidRPr="002029AF">
              <w:t>(0.3)</w:t>
            </w:r>
          </w:p>
        </w:tc>
        <w:tc>
          <w:tcPr>
            <w:tcW w:w="567" w:type="dxa"/>
            <w:noWrap/>
            <w:hideMark/>
          </w:tcPr>
          <w:p w14:paraId="36036CF3" w14:textId="77777777" w:rsidR="00087B91" w:rsidRPr="002029AF" w:rsidRDefault="00087B91" w:rsidP="00C81A0B">
            <w:pPr>
              <w:pStyle w:val="ARfintablebodyrightbold"/>
              <w:spacing w:before="30"/>
              <w:ind w:right="0"/>
            </w:pPr>
            <w:r w:rsidRPr="002029AF">
              <w:t>(0.2)</w:t>
            </w:r>
          </w:p>
        </w:tc>
        <w:tc>
          <w:tcPr>
            <w:tcW w:w="709" w:type="dxa"/>
            <w:noWrap/>
            <w:hideMark/>
          </w:tcPr>
          <w:p w14:paraId="3C7780B7" w14:textId="77777777" w:rsidR="00087B91" w:rsidRPr="002029AF" w:rsidRDefault="00087B91" w:rsidP="00C81A0B">
            <w:pPr>
              <w:pStyle w:val="ARfintablebodyrightbold"/>
              <w:spacing w:before="30"/>
              <w:ind w:right="0"/>
            </w:pPr>
            <w:r w:rsidRPr="002029AF">
              <w:t>(1.1)</w:t>
            </w:r>
          </w:p>
        </w:tc>
        <w:tc>
          <w:tcPr>
            <w:tcW w:w="709" w:type="dxa"/>
            <w:noWrap/>
            <w:hideMark/>
          </w:tcPr>
          <w:p w14:paraId="4F91CF89" w14:textId="77777777" w:rsidR="00087B91" w:rsidRPr="002029AF" w:rsidRDefault="00087B91" w:rsidP="00C81A0B">
            <w:pPr>
              <w:pStyle w:val="ARfintablebodyrightbold"/>
              <w:spacing w:before="30"/>
              <w:ind w:right="0"/>
            </w:pPr>
            <w:r w:rsidRPr="002029AF">
              <w:t>(0.2)</w:t>
            </w:r>
          </w:p>
        </w:tc>
        <w:tc>
          <w:tcPr>
            <w:tcW w:w="708" w:type="dxa"/>
            <w:noWrap/>
            <w:hideMark/>
          </w:tcPr>
          <w:p w14:paraId="27D3998E" w14:textId="77777777" w:rsidR="00087B91" w:rsidRPr="002029AF" w:rsidRDefault="00087B91" w:rsidP="00C81A0B">
            <w:pPr>
              <w:pStyle w:val="ARfintablebodyrightbold"/>
              <w:spacing w:before="30"/>
              <w:ind w:right="0"/>
            </w:pPr>
            <w:r w:rsidRPr="002029AF">
              <w:t>(8.8)</w:t>
            </w:r>
          </w:p>
        </w:tc>
        <w:tc>
          <w:tcPr>
            <w:tcW w:w="708" w:type="dxa"/>
            <w:noWrap/>
            <w:hideMark/>
          </w:tcPr>
          <w:p w14:paraId="7BB6ADCE" w14:textId="77777777" w:rsidR="00087B91" w:rsidRPr="002029AF" w:rsidRDefault="00087B91" w:rsidP="00C81A0B">
            <w:pPr>
              <w:pStyle w:val="ARfintablebodyrightbold"/>
              <w:spacing w:before="30"/>
              <w:ind w:right="0"/>
            </w:pPr>
            <w:r w:rsidRPr="002029AF">
              <w:t>(4.8)</w:t>
            </w:r>
          </w:p>
        </w:tc>
        <w:tc>
          <w:tcPr>
            <w:tcW w:w="709" w:type="dxa"/>
            <w:noWrap/>
            <w:hideMark/>
          </w:tcPr>
          <w:p w14:paraId="2A36B425" w14:textId="77777777" w:rsidR="00087B91" w:rsidRPr="002029AF" w:rsidRDefault="00087B91" w:rsidP="00C81A0B">
            <w:pPr>
              <w:pStyle w:val="ARfintablebodyrightbold"/>
              <w:spacing w:before="30"/>
              <w:ind w:right="0"/>
            </w:pPr>
            <w:r w:rsidRPr="002029AF">
              <w:t>(0.1)</w:t>
            </w:r>
          </w:p>
        </w:tc>
        <w:tc>
          <w:tcPr>
            <w:tcW w:w="710" w:type="dxa"/>
            <w:noWrap/>
            <w:hideMark/>
          </w:tcPr>
          <w:p w14:paraId="0FA9B01C" w14:textId="77777777" w:rsidR="00087B91" w:rsidRPr="002029AF" w:rsidRDefault="00087B91" w:rsidP="00C81A0B">
            <w:pPr>
              <w:pStyle w:val="ARfintablebodyrightbold"/>
              <w:spacing w:before="30"/>
              <w:ind w:right="0"/>
            </w:pPr>
            <w:r w:rsidRPr="002029AF">
              <w:t>(0.1)</w:t>
            </w:r>
          </w:p>
        </w:tc>
        <w:tc>
          <w:tcPr>
            <w:tcW w:w="567" w:type="dxa"/>
            <w:noWrap/>
            <w:hideMark/>
          </w:tcPr>
          <w:p w14:paraId="7BD5CC47" w14:textId="77777777" w:rsidR="00087B91" w:rsidRPr="002029AF" w:rsidRDefault="00087B91" w:rsidP="00C81A0B">
            <w:pPr>
              <w:pStyle w:val="ARfintablebodyrightbold"/>
              <w:spacing w:before="30"/>
              <w:ind w:right="0"/>
            </w:pPr>
            <w:r w:rsidRPr="002029AF">
              <w:t>–</w:t>
            </w:r>
          </w:p>
        </w:tc>
        <w:tc>
          <w:tcPr>
            <w:tcW w:w="746" w:type="dxa"/>
            <w:noWrap/>
            <w:hideMark/>
          </w:tcPr>
          <w:p w14:paraId="540AC324" w14:textId="77777777" w:rsidR="00087B91" w:rsidRPr="002029AF" w:rsidRDefault="00087B91" w:rsidP="00C81A0B">
            <w:pPr>
              <w:pStyle w:val="ARfintablebodyrightbold"/>
              <w:spacing w:before="30"/>
              <w:ind w:right="0"/>
            </w:pPr>
            <w:r w:rsidRPr="002029AF">
              <w:t>(0.5)</w:t>
            </w:r>
          </w:p>
        </w:tc>
        <w:tc>
          <w:tcPr>
            <w:tcW w:w="709" w:type="dxa"/>
            <w:noWrap/>
            <w:hideMark/>
          </w:tcPr>
          <w:p w14:paraId="3BED25F4" w14:textId="77777777" w:rsidR="00087B91" w:rsidRPr="002029AF" w:rsidRDefault="00087B91" w:rsidP="00C81A0B">
            <w:pPr>
              <w:pStyle w:val="ARfintablebodyrightbold"/>
              <w:spacing w:before="30"/>
              <w:ind w:right="0"/>
            </w:pPr>
            <w:r w:rsidRPr="002029AF">
              <w:t>(14.2)</w:t>
            </w:r>
          </w:p>
        </w:tc>
        <w:tc>
          <w:tcPr>
            <w:tcW w:w="640" w:type="dxa"/>
            <w:noWrap/>
            <w:hideMark/>
          </w:tcPr>
          <w:p w14:paraId="13D5CE5F" w14:textId="77777777" w:rsidR="00087B91" w:rsidRPr="002029AF" w:rsidRDefault="00087B91" w:rsidP="00C81A0B">
            <w:pPr>
              <w:pStyle w:val="ARfintablebodyrightbold"/>
              <w:spacing w:before="30"/>
              <w:ind w:right="0"/>
            </w:pPr>
            <w:r w:rsidRPr="002029AF">
              <w:t>–</w:t>
            </w:r>
          </w:p>
        </w:tc>
        <w:tc>
          <w:tcPr>
            <w:tcW w:w="640" w:type="dxa"/>
            <w:noWrap/>
            <w:hideMark/>
          </w:tcPr>
          <w:p w14:paraId="0C5AC5FE" w14:textId="77777777" w:rsidR="00087B91" w:rsidRPr="002029AF" w:rsidRDefault="00087B91" w:rsidP="00C81A0B">
            <w:pPr>
              <w:pStyle w:val="ARfintablebodyrightbold"/>
              <w:spacing w:before="30"/>
              <w:ind w:right="0"/>
            </w:pPr>
            <w:r w:rsidRPr="002029AF">
              <w:t>–</w:t>
            </w:r>
          </w:p>
        </w:tc>
        <w:tc>
          <w:tcPr>
            <w:tcW w:w="667" w:type="dxa"/>
            <w:noWrap/>
            <w:hideMark/>
          </w:tcPr>
          <w:p w14:paraId="116A4C96" w14:textId="77777777" w:rsidR="00087B91" w:rsidRPr="002029AF" w:rsidRDefault="00087B91" w:rsidP="00C81A0B">
            <w:pPr>
              <w:pStyle w:val="ARfintablebodyrightbold"/>
              <w:spacing w:before="30"/>
              <w:ind w:right="0"/>
            </w:pPr>
            <w:r w:rsidRPr="002029AF">
              <w:t>(34.5)</w:t>
            </w:r>
          </w:p>
        </w:tc>
      </w:tr>
      <w:tr w:rsidR="002A3743" w:rsidRPr="002029AF" w14:paraId="4AC3F054" w14:textId="77777777" w:rsidTr="00C81A0B">
        <w:trPr>
          <w:gridAfter w:val="1"/>
          <w:wAfter w:w="88" w:type="dxa"/>
        </w:trPr>
        <w:tc>
          <w:tcPr>
            <w:tcW w:w="2263" w:type="dxa"/>
            <w:hideMark/>
          </w:tcPr>
          <w:p w14:paraId="0A27C18C" w14:textId="54CA6561" w:rsidR="00087B91" w:rsidRPr="002029AF" w:rsidRDefault="00087B91" w:rsidP="00C81A0B">
            <w:pPr>
              <w:pStyle w:val="ARfintablebodybold"/>
              <w:spacing w:before="30"/>
            </w:pPr>
            <w:r w:rsidRPr="002029AF">
              <w:t>Net</w:t>
            </w:r>
            <w:r w:rsidR="000A5329" w:rsidRPr="002029AF">
              <w:t xml:space="preserve"> </w:t>
            </w:r>
            <w:r w:rsidRPr="002029AF">
              <w:t>result</w:t>
            </w:r>
          </w:p>
        </w:tc>
        <w:tc>
          <w:tcPr>
            <w:tcW w:w="851" w:type="dxa"/>
            <w:noWrap/>
            <w:hideMark/>
          </w:tcPr>
          <w:p w14:paraId="3238BD40" w14:textId="77777777" w:rsidR="00087B91" w:rsidRPr="002029AF" w:rsidRDefault="00087B91" w:rsidP="00C81A0B">
            <w:pPr>
              <w:pStyle w:val="ARfintablebodyrightbold"/>
              <w:spacing w:before="30"/>
              <w:ind w:right="0"/>
            </w:pPr>
            <w:r w:rsidRPr="002029AF">
              <w:t>153.4</w:t>
            </w:r>
          </w:p>
        </w:tc>
        <w:tc>
          <w:tcPr>
            <w:tcW w:w="709" w:type="dxa"/>
            <w:noWrap/>
            <w:hideMark/>
          </w:tcPr>
          <w:p w14:paraId="45C10C3A" w14:textId="77777777" w:rsidR="00087B91" w:rsidRPr="002029AF" w:rsidRDefault="00087B91" w:rsidP="00C81A0B">
            <w:pPr>
              <w:pStyle w:val="ARfintablebodyrightbold"/>
              <w:spacing w:before="30"/>
              <w:ind w:right="0"/>
            </w:pPr>
            <w:r w:rsidRPr="002029AF">
              <w:t>(6.9)</w:t>
            </w:r>
          </w:p>
        </w:tc>
        <w:tc>
          <w:tcPr>
            <w:tcW w:w="567" w:type="dxa"/>
            <w:noWrap/>
            <w:hideMark/>
          </w:tcPr>
          <w:p w14:paraId="19FEEDF5" w14:textId="77777777" w:rsidR="00087B91" w:rsidRPr="002029AF" w:rsidRDefault="00087B91" w:rsidP="00C81A0B">
            <w:pPr>
              <w:pStyle w:val="ARfintablebodyrightbold"/>
              <w:spacing w:before="30"/>
              <w:ind w:right="0"/>
            </w:pPr>
            <w:r w:rsidRPr="002029AF">
              <w:t>–</w:t>
            </w:r>
          </w:p>
        </w:tc>
        <w:tc>
          <w:tcPr>
            <w:tcW w:w="709" w:type="dxa"/>
            <w:noWrap/>
            <w:hideMark/>
          </w:tcPr>
          <w:p w14:paraId="63FB7E28" w14:textId="77777777" w:rsidR="00087B91" w:rsidRPr="002029AF" w:rsidRDefault="00087B91" w:rsidP="00C81A0B">
            <w:pPr>
              <w:pStyle w:val="ARfintablebodyrightbold"/>
              <w:spacing w:before="30"/>
              <w:ind w:right="0"/>
            </w:pPr>
            <w:r w:rsidRPr="002029AF">
              <w:t>57.6</w:t>
            </w:r>
          </w:p>
        </w:tc>
        <w:tc>
          <w:tcPr>
            <w:tcW w:w="708" w:type="dxa"/>
            <w:noWrap/>
            <w:hideMark/>
          </w:tcPr>
          <w:p w14:paraId="4223C08A" w14:textId="77777777" w:rsidR="00087B91" w:rsidRPr="002029AF" w:rsidRDefault="00087B91" w:rsidP="00C81A0B">
            <w:pPr>
              <w:pStyle w:val="ARfintablebodyrightbold"/>
              <w:spacing w:before="30"/>
              <w:ind w:right="0"/>
            </w:pPr>
            <w:r w:rsidRPr="002029AF">
              <w:t>(17.1)</w:t>
            </w:r>
          </w:p>
        </w:tc>
        <w:tc>
          <w:tcPr>
            <w:tcW w:w="567" w:type="dxa"/>
            <w:noWrap/>
            <w:hideMark/>
          </w:tcPr>
          <w:p w14:paraId="709E3935" w14:textId="77777777" w:rsidR="00087B91" w:rsidRPr="002029AF" w:rsidRDefault="00087B91" w:rsidP="00C81A0B">
            <w:pPr>
              <w:pStyle w:val="ARfintablebodyrightbold"/>
              <w:spacing w:before="30"/>
              <w:ind w:right="0"/>
            </w:pPr>
            <w:r w:rsidRPr="002029AF">
              <w:t>21.2</w:t>
            </w:r>
          </w:p>
        </w:tc>
        <w:tc>
          <w:tcPr>
            <w:tcW w:w="709" w:type="dxa"/>
            <w:noWrap/>
            <w:hideMark/>
          </w:tcPr>
          <w:p w14:paraId="0105A69C" w14:textId="77777777" w:rsidR="00087B91" w:rsidRPr="002029AF" w:rsidRDefault="00087B91" w:rsidP="00C81A0B">
            <w:pPr>
              <w:pStyle w:val="ARfintablebodyrightbold"/>
              <w:spacing w:before="30"/>
              <w:ind w:right="0"/>
            </w:pPr>
            <w:r w:rsidRPr="002029AF">
              <w:t>55.3</w:t>
            </w:r>
          </w:p>
        </w:tc>
        <w:tc>
          <w:tcPr>
            <w:tcW w:w="709" w:type="dxa"/>
            <w:noWrap/>
            <w:hideMark/>
          </w:tcPr>
          <w:p w14:paraId="50D567FE" w14:textId="77777777" w:rsidR="00087B91" w:rsidRPr="002029AF" w:rsidRDefault="00087B91" w:rsidP="00C81A0B">
            <w:pPr>
              <w:pStyle w:val="ARfintablebodyrightbold"/>
              <w:spacing w:before="30"/>
              <w:ind w:right="0"/>
            </w:pPr>
            <w:r w:rsidRPr="002029AF">
              <w:t>4.5</w:t>
            </w:r>
          </w:p>
        </w:tc>
        <w:tc>
          <w:tcPr>
            <w:tcW w:w="708" w:type="dxa"/>
            <w:noWrap/>
            <w:hideMark/>
          </w:tcPr>
          <w:p w14:paraId="26035364" w14:textId="77777777" w:rsidR="00087B91" w:rsidRPr="002029AF" w:rsidRDefault="00087B91" w:rsidP="00C81A0B">
            <w:pPr>
              <w:pStyle w:val="ARfintablebodyrightbold"/>
              <w:spacing w:before="30"/>
              <w:ind w:right="0"/>
            </w:pPr>
            <w:r w:rsidRPr="002029AF">
              <w:t>(1.2)</w:t>
            </w:r>
          </w:p>
        </w:tc>
        <w:tc>
          <w:tcPr>
            <w:tcW w:w="708" w:type="dxa"/>
            <w:noWrap/>
            <w:hideMark/>
          </w:tcPr>
          <w:p w14:paraId="68A2F9A5" w14:textId="77777777" w:rsidR="00087B91" w:rsidRPr="002029AF" w:rsidRDefault="00087B91" w:rsidP="00C81A0B">
            <w:pPr>
              <w:pStyle w:val="ARfintablebodyrightbold"/>
              <w:spacing w:before="30"/>
              <w:ind w:right="0"/>
            </w:pPr>
            <w:r w:rsidRPr="002029AF">
              <w:t>(7.2)</w:t>
            </w:r>
          </w:p>
        </w:tc>
        <w:tc>
          <w:tcPr>
            <w:tcW w:w="709" w:type="dxa"/>
            <w:noWrap/>
            <w:hideMark/>
          </w:tcPr>
          <w:p w14:paraId="4F50125F" w14:textId="77777777" w:rsidR="00087B91" w:rsidRPr="002029AF" w:rsidRDefault="00087B91" w:rsidP="00C81A0B">
            <w:pPr>
              <w:pStyle w:val="ARfintablebodyrightbold"/>
              <w:spacing w:before="30"/>
              <w:ind w:right="0"/>
            </w:pPr>
            <w:r w:rsidRPr="002029AF">
              <w:t>0.7</w:t>
            </w:r>
          </w:p>
        </w:tc>
        <w:tc>
          <w:tcPr>
            <w:tcW w:w="710" w:type="dxa"/>
            <w:noWrap/>
            <w:hideMark/>
          </w:tcPr>
          <w:p w14:paraId="4DDDA1C6" w14:textId="77777777" w:rsidR="00087B91" w:rsidRPr="002029AF" w:rsidRDefault="00087B91" w:rsidP="00C81A0B">
            <w:pPr>
              <w:pStyle w:val="ARfintablebodyrightbold"/>
              <w:spacing w:before="30"/>
              <w:ind w:right="0"/>
            </w:pPr>
            <w:r w:rsidRPr="002029AF">
              <w:t>(9.5)</w:t>
            </w:r>
          </w:p>
        </w:tc>
        <w:tc>
          <w:tcPr>
            <w:tcW w:w="567" w:type="dxa"/>
            <w:noWrap/>
            <w:hideMark/>
          </w:tcPr>
          <w:p w14:paraId="4A940BE9" w14:textId="77777777" w:rsidR="00087B91" w:rsidRPr="002029AF" w:rsidRDefault="00087B91" w:rsidP="00C81A0B">
            <w:pPr>
              <w:pStyle w:val="ARfintablebodyrightbold"/>
              <w:spacing w:before="30"/>
              <w:ind w:right="0"/>
            </w:pPr>
            <w:r w:rsidRPr="002029AF">
              <w:t>–</w:t>
            </w:r>
          </w:p>
        </w:tc>
        <w:tc>
          <w:tcPr>
            <w:tcW w:w="746" w:type="dxa"/>
            <w:noWrap/>
            <w:hideMark/>
          </w:tcPr>
          <w:p w14:paraId="2C99C176" w14:textId="77777777" w:rsidR="00087B91" w:rsidRPr="002029AF" w:rsidRDefault="00087B91" w:rsidP="00C81A0B">
            <w:pPr>
              <w:pStyle w:val="ARfintablebodyrightbold"/>
              <w:spacing w:before="30"/>
              <w:ind w:right="0"/>
            </w:pPr>
            <w:r w:rsidRPr="002029AF">
              <w:t>14.3</w:t>
            </w:r>
          </w:p>
        </w:tc>
        <w:tc>
          <w:tcPr>
            <w:tcW w:w="709" w:type="dxa"/>
            <w:noWrap/>
            <w:hideMark/>
          </w:tcPr>
          <w:p w14:paraId="219FA136" w14:textId="77777777" w:rsidR="00087B91" w:rsidRPr="002029AF" w:rsidRDefault="00087B91" w:rsidP="00C81A0B">
            <w:pPr>
              <w:pStyle w:val="ARfintablebodyrightbold"/>
              <w:spacing w:before="30"/>
              <w:ind w:right="0"/>
            </w:pPr>
            <w:r w:rsidRPr="002029AF">
              <w:t>(273.7)</w:t>
            </w:r>
          </w:p>
        </w:tc>
        <w:tc>
          <w:tcPr>
            <w:tcW w:w="640" w:type="dxa"/>
            <w:noWrap/>
            <w:hideMark/>
          </w:tcPr>
          <w:p w14:paraId="03F86A30" w14:textId="77777777" w:rsidR="00087B91" w:rsidRPr="002029AF" w:rsidRDefault="00087B91" w:rsidP="00C81A0B">
            <w:pPr>
              <w:pStyle w:val="ARfintablebodyrightbold"/>
              <w:spacing w:before="30"/>
              <w:ind w:right="0"/>
            </w:pPr>
            <w:r w:rsidRPr="002029AF">
              <w:t>(0.3)</w:t>
            </w:r>
          </w:p>
        </w:tc>
        <w:tc>
          <w:tcPr>
            <w:tcW w:w="640" w:type="dxa"/>
            <w:noWrap/>
            <w:hideMark/>
          </w:tcPr>
          <w:p w14:paraId="6C0E778C" w14:textId="77777777" w:rsidR="00087B91" w:rsidRPr="002029AF" w:rsidRDefault="00087B91" w:rsidP="00C81A0B">
            <w:pPr>
              <w:pStyle w:val="ARfintablebodyrightbold"/>
              <w:spacing w:before="30"/>
              <w:ind w:right="0"/>
            </w:pPr>
            <w:r w:rsidRPr="002029AF">
              <w:t>–</w:t>
            </w:r>
          </w:p>
        </w:tc>
        <w:tc>
          <w:tcPr>
            <w:tcW w:w="667" w:type="dxa"/>
            <w:noWrap/>
            <w:hideMark/>
          </w:tcPr>
          <w:p w14:paraId="020D13F9" w14:textId="77777777" w:rsidR="00087B91" w:rsidRPr="002029AF" w:rsidRDefault="00087B91" w:rsidP="00C81A0B">
            <w:pPr>
              <w:pStyle w:val="ARfintablebodyrightbold"/>
              <w:spacing w:before="30"/>
              <w:ind w:right="0"/>
            </w:pPr>
            <w:r w:rsidRPr="002029AF">
              <w:t>(9.0)</w:t>
            </w:r>
          </w:p>
        </w:tc>
      </w:tr>
    </w:tbl>
    <w:p w14:paraId="59E79B30" w14:textId="77777777" w:rsidR="00087B91" w:rsidRPr="002029AF" w:rsidRDefault="00087B91" w:rsidP="00087B91">
      <w:pPr>
        <w:pStyle w:val="ARfintablefootnote"/>
      </w:pPr>
      <w:r w:rsidRPr="002029AF">
        <w:t>Note:</w:t>
      </w:r>
    </w:p>
    <w:p w14:paraId="253954A9" w14:textId="196F7A75" w:rsidR="00087B91" w:rsidRPr="002029AF" w:rsidRDefault="00087B91" w:rsidP="00087B91">
      <w:pPr>
        <w:pStyle w:val="ARfintablefootnoteindent"/>
      </w:pPr>
      <w:r w:rsidRPr="002029AF">
        <w:t>(i)</w:t>
      </w:r>
      <w:r w:rsidRPr="002029AF">
        <w:tab/>
        <w:t>Refer</w:t>
      </w:r>
      <w:r w:rsidR="000A5329" w:rsidRPr="002029AF">
        <w:t xml:space="preserve"> </w:t>
      </w:r>
      <w:r w:rsidRPr="002029AF">
        <w:t>to</w:t>
      </w:r>
      <w:r w:rsidR="000A5329" w:rsidRPr="002029AF">
        <w:t xml:space="preserve"> </w:t>
      </w:r>
      <w:r w:rsidRPr="002029AF">
        <w:t>Note</w:t>
      </w:r>
      <w:r w:rsidR="000A5329" w:rsidRPr="002029AF">
        <w:t xml:space="preserve"> </w:t>
      </w:r>
      <w:r w:rsidRPr="002029AF">
        <w:t>4.1.1</w:t>
      </w:r>
      <w:r w:rsidR="000A5329" w:rsidRPr="002029AF">
        <w:t xml:space="preserve"> </w:t>
      </w:r>
      <w:r w:rsidRPr="002029AF">
        <w:t>for</w:t>
      </w:r>
      <w:r w:rsidR="000A5329" w:rsidRPr="002029AF">
        <w:t xml:space="preserve"> </w:t>
      </w:r>
      <w:r w:rsidRPr="002029AF">
        <w:t>output</w:t>
      </w:r>
      <w:r w:rsidR="000A5329" w:rsidRPr="002029AF">
        <w:t xml:space="preserve"> </w:t>
      </w:r>
      <w:r w:rsidRPr="002029AF">
        <w:t>definitions.</w:t>
      </w:r>
    </w:p>
    <w:p w14:paraId="56DAD3D2" w14:textId="5E90AE84" w:rsidR="00087B91" w:rsidRPr="002029AF" w:rsidRDefault="00087B91" w:rsidP="00C81A0B">
      <w:pPr>
        <w:pStyle w:val="Heading4"/>
        <w:spacing w:before="0"/>
      </w:pPr>
      <w:bookmarkStart w:id="330" w:name="_Toc39136710"/>
      <w:bookmarkStart w:id="331" w:name="_Toc39242141"/>
      <w:r w:rsidRPr="002029AF">
        <w:lastRenderedPageBreak/>
        <w:t>4.2</w:t>
      </w:r>
      <w:r w:rsidR="000A5329" w:rsidRPr="002029AF">
        <w:t xml:space="preserve"> </w:t>
      </w:r>
      <w:r w:rsidRPr="002029AF">
        <w:t>Administered</w:t>
      </w:r>
      <w:r w:rsidR="000A5329" w:rsidRPr="002029AF">
        <w:t xml:space="preserve"> </w:t>
      </w:r>
      <w:r w:rsidRPr="002029AF">
        <w:t>(non-controlled</w:t>
      </w:r>
      <w:r w:rsidR="000A5329" w:rsidRPr="002029AF">
        <w:t xml:space="preserve"> </w:t>
      </w:r>
      <w:r w:rsidRPr="002029AF">
        <w:t>items)</w:t>
      </w:r>
      <w:bookmarkEnd w:id="330"/>
      <w:bookmarkEnd w:id="331"/>
    </w:p>
    <w:p w14:paraId="23FCF7C8" w14:textId="270129E6" w:rsidR="00087B91" w:rsidRPr="002029AF" w:rsidRDefault="00087B91" w:rsidP="00087B91">
      <w:pPr>
        <w:pStyle w:val="ARfinbody"/>
      </w:pPr>
      <w:bookmarkStart w:id="332" w:name="_Toc39136711"/>
      <w:r w:rsidRPr="002029AF">
        <w:t>Administered</w:t>
      </w:r>
      <w:r w:rsidR="000A5329" w:rsidRPr="002029AF">
        <w:t xml:space="preserve"> </w:t>
      </w:r>
      <w:r w:rsidRPr="002029AF">
        <w:t>income</w:t>
      </w:r>
      <w:r w:rsidR="000A5329" w:rsidRPr="002029AF">
        <w:t xml:space="preserve"> </w:t>
      </w:r>
      <w:r w:rsidRPr="002029AF">
        <w:t>includes</w:t>
      </w:r>
      <w:r w:rsidR="000A5329" w:rsidRPr="002029AF">
        <w:t xml:space="preserve"> </w:t>
      </w:r>
      <w:r w:rsidRPr="002029AF">
        <w:t>taxes,</w:t>
      </w:r>
      <w:r w:rsidR="000A5329" w:rsidRPr="002029AF">
        <w:t xml:space="preserve"> </w:t>
      </w:r>
      <w:r w:rsidRPr="002029AF">
        <w:t>fees</w:t>
      </w:r>
      <w:r w:rsidR="000A5329" w:rsidRPr="002029AF">
        <w:t xml:space="preserve"> </w:t>
      </w:r>
      <w:r w:rsidRPr="002029AF">
        <w:t>and</w:t>
      </w:r>
      <w:r w:rsidR="000A5329" w:rsidRPr="002029AF">
        <w:t xml:space="preserve"> </w:t>
      </w:r>
      <w:r w:rsidRPr="002029AF">
        <w:t>fines</w:t>
      </w:r>
      <w:r w:rsidR="000A5329" w:rsidRPr="002029AF">
        <w:t xml:space="preserve"> </w:t>
      </w:r>
      <w:r w:rsidRPr="002029AF">
        <w:t>and</w:t>
      </w:r>
      <w:r w:rsidR="000A5329" w:rsidRPr="002029AF">
        <w:t xml:space="preserve"> </w:t>
      </w:r>
      <w:r w:rsidRPr="002029AF">
        <w:t>the</w:t>
      </w:r>
      <w:r w:rsidR="000A5329" w:rsidRPr="002029AF">
        <w:t xml:space="preserve"> </w:t>
      </w:r>
      <w:r w:rsidRPr="002029AF">
        <w:t>proceeds</w:t>
      </w:r>
      <w:r w:rsidR="000A5329" w:rsidRPr="002029AF">
        <w:t xml:space="preserve"> </w:t>
      </w:r>
      <w:r w:rsidRPr="002029AF">
        <w:t>from</w:t>
      </w:r>
      <w:r w:rsidR="000A5329" w:rsidRPr="002029AF">
        <w:t xml:space="preserve"> </w:t>
      </w:r>
      <w:r w:rsidRPr="002029AF">
        <w:t>the</w:t>
      </w:r>
      <w:r w:rsidR="000A5329" w:rsidRPr="002029AF">
        <w:t xml:space="preserve"> </w:t>
      </w:r>
      <w:r w:rsidRPr="002029AF">
        <w:t>sale</w:t>
      </w:r>
      <w:r w:rsidR="000A5329" w:rsidRPr="002029AF">
        <w:t xml:space="preserve"> </w:t>
      </w:r>
      <w:r w:rsidRPr="002029AF">
        <w:t>of</w:t>
      </w:r>
      <w:r w:rsidR="000A5329" w:rsidRPr="002029AF">
        <w:t xml:space="preserve"> </w:t>
      </w:r>
      <w:r w:rsidRPr="002029AF">
        <w:t>administered</w:t>
      </w:r>
      <w:r w:rsidR="000A5329" w:rsidRPr="002029AF">
        <w:t xml:space="preserve"> </w:t>
      </w:r>
      <w:r w:rsidRPr="002029AF">
        <w:t>surplus</w:t>
      </w:r>
      <w:r w:rsidR="000A5329" w:rsidRPr="002029AF">
        <w:t xml:space="preserve"> </w:t>
      </w:r>
      <w:r w:rsidRPr="002029AF">
        <w:t>land</w:t>
      </w:r>
      <w:r w:rsidR="000A5329" w:rsidRPr="002029AF">
        <w:t xml:space="preserve"> </w:t>
      </w:r>
      <w:r w:rsidRPr="002029AF">
        <w:t>and</w:t>
      </w:r>
      <w:r w:rsidR="000A5329" w:rsidRPr="002029AF">
        <w:t xml:space="preserve"> </w:t>
      </w:r>
      <w:r w:rsidRPr="002029AF">
        <w:t>buildings.</w:t>
      </w:r>
      <w:r w:rsidR="000A5329" w:rsidRPr="002029AF">
        <w:t xml:space="preserve"> </w:t>
      </w:r>
      <w:r w:rsidRPr="002029AF">
        <w:t>Administered</w:t>
      </w:r>
      <w:r w:rsidR="000A5329" w:rsidRPr="002029AF">
        <w:t xml:space="preserve"> </w:t>
      </w:r>
      <w:r w:rsidRPr="002029AF">
        <w:t>expenses</w:t>
      </w:r>
      <w:r w:rsidR="000A5329" w:rsidRPr="002029AF">
        <w:t xml:space="preserve"> </w:t>
      </w:r>
      <w:r w:rsidRPr="002029AF">
        <w:t>include</w:t>
      </w:r>
      <w:r w:rsidR="000A5329" w:rsidRPr="002029AF">
        <w:t xml:space="preserve"> </w:t>
      </w:r>
      <w:r w:rsidRPr="002029AF">
        <w:t>payments</w:t>
      </w:r>
      <w:r w:rsidR="000A5329" w:rsidRPr="002029AF">
        <w:t xml:space="preserve"> </w:t>
      </w:r>
      <w:r w:rsidRPr="002029AF">
        <w:t>made</w:t>
      </w:r>
      <w:r w:rsidR="000A5329" w:rsidRPr="002029AF">
        <w:t xml:space="preserve"> </w:t>
      </w:r>
      <w:r w:rsidRPr="002029AF">
        <w:t>on</w:t>
      </w:r>
      <w:r w:rsidR="000A5329" w:rsidRPr="002029AF">
        <w:t xml:space="preserve"> </w:t>
      </w:r>
      <w:r w:rsidRPr="002029AF">
        <w:t>behalf</w:t>
      </w:r>
      <w:r w:rsidR="000A5329" w:rsidRPr="002029AF">
        <w:t xml:space="preserve"> </w:t>
      </w:r>
      <w:r w:rsidRPr="002029AF">
        <w:t>of</w:t>
      </w:r>
      <w:r w:rsidR="000A5329" w:rsidRPr="002029AF">
        <w:t xml:space="preserve"> </w:t>
      </w:r>
      <w:r w:rsidRPr="002029AF">
        <w:t>the</w:t>
      </w:r>
      <w:r w:rsidR="000A5329" w:rsidRPr="002029AF">
        <w:t xml:space="preserve"> </w:t>
      </w:r>
      <w:r w:rsidRPr="002029AF">
        <w:t>state</w:t>
      </w:r>
      <w:r w:rsidR="000A5329" w:rsidRPr="002029AF">
        <w:t xml:space="preserve"> </w:t>
      </w:r>
      <w:r w:rsidRPr="002029AF">
        <w:t>and</w:t>
      </w:r>
      <w:r w:rsidR="000A5329" w:rsidRPr="002029AF">
        <w:t xml:space="preserve"> </w:t>
      </w:r>
      <w:r w:rsidRPr="002029AF">
        <w:t>payments</w:t>
      </w:r>
      <w:r w:rsidR="000A5329" w:rsidRPr="002029AF">
        <w:t xml:space="preserve"> </w:t>
      </w:r>
      <w:r w:rsidRPr="002029AF">
        <w:t>into</w:t>
      </w:r>
      <w:r w:rsidR="000A5329" w:rsidRPr="002029AF">
        <w:t xml:space="preserve"> </w:t>
      </w:r>
      <w:r w:rsidRPr="002029AF">
        <w:t>the</w:t>
      </w:r>
      <w:r w:rsidR="000A5329" w:rsidRPr="002029AF">
        <w:t xml:space="preserve"> </w:t>
      </w:r>
      <w:r w:rsidRPr="002029AF">
        <w:t>consolidated</w:t>
      </w:r>
      <w:r w:rsidR="000A5329" w:rsidRPr="002029AF">
        <w:t xml:space="preserve"> </w:t>
      </w:r>
      <w:r w:rsidRPr="002029AF">
        <w:t>fund.</w:t>
      </w:r>
      <w:r w:rsidR="000A5329" w:rsidRPr="002029AF">
        <w:t xml:space="preserve"> </w:t>
      </w:r>
      <w:r w:rsidRPr="002029AF">
        <w:t>Administered</w:t>
      </w:r>
      <w:r w:rsidR="000A5329" w:rsidRPr="002029AF">
        <w:t xml:space="preserve"> </w:t>
      </w:r>
      <w:r w:rsidRPr="002029AF">
        <w:t>assets</w:t>
      </w:r>
      <w:r w:rsidR="000A5329" w:rsidRPr="002029AF">
        <w:t xml:space="preserve"> </w:t>
      </w:r>
      <w:r w:rsidRPr="002029AF">
        <w:t>include</w:t>
      </w:r>
      <w:r w:rsidR="000A5329" w:rsidRPr="002029AF">
        <w:t xml:space="preserve"> </w:t>
      </w:r>
      <w:r w:rsidRPr="002029AF">
        <w:t>government</w:t>
      </w:r>
      <w:r w:rsidR="000A5329" w:rsidRPr="002029AF">
        <w:t xml:space="preserve"> </w:t>
      </w:r>
      <w:r w:rsidRPr="002029AF">
        <w:t>income</w:t>
      </w:r>
      <w:r w:rsidR="000A5329" w:rsidRPr="002029AF">
        <w:t xml:space="preserve"> </w:t>
      </w:r>
      <w:r w:rsidRPr="002029AF">
        <w:t>earned</w:t>
      </w:r>
      <w:r w:rsidR="000A5329" w:rsidRPr="002029AF">
        <w:t xml:space="preserve"> </w:t>
      </w:r>
      <w:r w:rsidRPr="002029AF">
        <w:t>but</w:t>
      </w:r>
      <w:r w:rsidR="000A5329" w:rsidRPr="002029AF">
        <w:t xml:space="preserve"> </w:t>
      </w:r>
      <w:r w:rsidRPr="002029AF">
        <w:t>yet</w:t>
      </w:r>
      <w:r w:rsidR="000A5329" w:rsidRPr="002029AF">
        <w:t xml:space="preserve"> </w:t>
      </w:r>
      <w:r w:rsidRPr="002029AF">
        <w:t>to</w:t>
      </w:r>
      <w:r w:rsidR="000A5329" w:rsidRPr="002029AF">
        <w:t xml:space="preserve"> </w:t>
      </w:r>
      <w:r w:rsidRPr="002029AF">
        <w:t>be</w:t>
      </w:r>
      <w:r w:rsidR="000A5329" w:rsidRPr="002029AF">
        <w:t xml:space="preserve"> </w:t>
      </w:r>
      <w:r w:rsidRPr="002029AF">
        <w:t>collected.</w:t>
      </w:r>
      <w:r w:rsidR="000A5329" w:rsidRPr="002029AF">
        <w:t xml:space="preserve"> </w:t>
      </w:r>
      <w:r w:rsidRPr="002029AF">
        <w:t>Administered</w:t>
      </w:r>
      <w:r w:rsidR="000A5329" w:rsidRPr="002029AF">
        <w:t xml:space="preserve"> </w:t>
      </w:r>
      <w:r w:rsidRPr="002029AF">
        <w:t>liabilities</w:t>
      </w:r>
      <w:r w:rsidR="000A5329" w:rsidRPr="002029AF">
        <w:t xml:space="preserve"> </w:t>
      </w:r>
      <w:r w:rsidRPr="002029AF">
        <w:t>include</w:t>
      </w:r>
      <w:r w:rsidR="000A5329" w:rsidRPr="002029AF">
        <w:t xml:space="preserve"> </w:t>
      </w:r>
      <w:r w:rsidRPr="002029AF">
        <w:t>government</w:t>
      </w:r>
      <w:r w:rsidR="000A5329" w:rsidRPr="002029AF">
        <w:t xml:space="preserve"> </w:t>
      </w:r>
      <w:r w:rsidRPr="002029AF">
        <w:t>expenses</w:t>
      </w:r>
      <w:r w:rsidR="000A5329" w:rsidRPr="002029AF">
        <w:t xml:space="preserve"> </w:t>
      </w:r>
      <w:r w:rsidRPr="002029AF">
        <w:t>incurred</w:t>
      </w:r>
      <w:r w:rsidR="000A5329" w:rsidRPr="002029AF">
        <w:t xml:space="preserve"> </w:t>
      </w:r>
      <w:r w:rsidRPr="002029AF">
        <w:t>but</w:t>
      </w:r>
      <w:r w:rsidR="000A5329" w:rsidRPr="002029AF">
        <w:t xml:space="preserve"> </w:t>
      </w:r>
      <w:r w:rsidRPr="002029AF">
        <w:t>yet</w:t>
      </w:r>
      <w:r w:rsidR="000A5329" w:rsidRPr="002029AF">
        <w:t xml:space="preserve"> </w:t>
      </w:r>
      <w:r w:rsidRPr="002029AF">
        <w:t>to</w:t>
      </w:r>
      <w:r w:rsidR="000A5329" w:rsidRPr="002029AF">
        <w:t xml:space="preserve"> </w:t>
      </w:r>
      <w:r w:rsidRPr="002029AF">
        <w:t>be</w:t>
      </w:r>
      <w:r w:rsidR="000A5329" w:rsidRPr="002029AF">
        <w:t xml:space="preserve"> </w:t>
      </w:r>
      <w:r w:rsidRPr="002029AF">
        <w:t>paid.</w:t>
      </w:r>
      <w:r w:rsidR="000A5329" w:rsidRPr="002029AF">
        <w:t xml:space="preserve"> </w:t>
      </w:r>
      <w:r w:rsidRPr="002029AF">
        <w:t>Except</w:t>
      </w:r>
      <w:r w:rsidR="000A5329" w:rsidRPr="002029AF">
        <w:t xml:space="preserve"> </w:t>
      </w:r>
      <w:r w:rsidRPr="002029AF">
        <w:t>as</w:t>
      </w:r>
      <w:r w:rsidR="000A5329" w:rsidRPr="002029AF">
        <w:t xml:space="preserve"> </w:t>
      </w:r>
      <w:r w:rsidRPr="002029AF">
        <w:t>otherwise</w:t>
      </w:r>
      <w:r w:rsidR="000A5329" w:rsidRPr="002029AF">
        <w:t xml:space="preserve"> </w:t>
      </w:r>
      <w:r w:rsidRPr="002029AF">
        <w:t>disclosed,</w:t>
      </w:r>
      <w:r w:rsidR="000A5329" w:rsidRPr="002029AF">
        <w:t xml:space="preserve"> </w:t>
      </w:r>
      <w:r w:rsidRPr="002029AF">
        <w:t>administered</w:t>
      </w:r>
      <w:r w:rsidR="000A5329" w:rsidRPr="002029AF">
        <w:t xml:space="preserve"> </w:t>
      </w:r>
      <w:r w:rsidRPr="002029AF">
        <w:t>resources</w:t>
      </w:r>
      <w:r w:rsidR="000A5329" w:rsidRPr="002029AF">
        <w:t xml:space="preserve"> </w:t>
      </w:r>
      <w:r w:rsidRPr="002029AF">
        <w:t>are</w:t>
      </w:r>
      <w:r w:rsidR="000A5329" w:rsidRPr="002029AF">
        <w:t xml:space="preserve"> </w:t>
      </w:r>
      <w:r w:rsidRPr="002029AF">
        <w:t>accounted</w:t>
      </w:r>
      <w:r w:rsidR="000A5329" w:rsidRPr="002029AF">
        <w:t xml:space="preserve"> </w:t>
      </w:r>
      <w:r w:rsidRPr="002029AF">
        <w:t>for</w:t>
      </w:r>
      <w:r w:rsidR="000A5329" w:rsidRPr="002029AF">
        <w:t xml:space="preserve"> </w:t>
      </w:r>
      <w:r w:rsidRPr="002029AF">
        <w:t>on</w:t>
      </w:r>
      <w:r w:rsidR="000A5329" w:rsidRPr="002029AF">
        <w:t xml:space="preserve"> </w:t>
      </w:r>
      <w:r w:rsidRPr="002029AF">
        <w:t>an</w:t>
      </w:r>
      <w:r w:rsidR="000A5329" w:rsidRPr="002029AF">
        <w:t xml:space="preserve"> </w:t>
      </w:r>
      <w:r w:rsidRPr="002029AF">
        <w:t>accrual</w:t>
      </w:r>
      <w:r w:rsidR="000A5329" w:rsidRPr="002029AF">
        <w:t xml:space="preserve"> </w:t>
      </w:r>
      <w:r w:rsidRPr="002029AF">
        <w:t>basis</w:t>
      </w:r>
      <w:r w:rsidR="000A5329" w:rsidRPr="002029AF">
        <w:t xml:space="preserve"> </w:t>
      </w:r>
      <w:r w:rsidRPr="002029AF">
        <w:t>using</w:t>
      </w:r>
      <w:r w:rsidR="000A5329" w:rsidRPr="002029AF">
        <w:t xml:space="preserve"> </w:t>
      </w:r>
      <w:r w:rsidRPr="002029AF">
        <w:t>the</w:t>
      </w:r>
      <w:r w:rsidR="000A5329" w:rsidRPr="002029AF">
        <w:t xml:space="preserve"> </w:t>
      </w:r>
      <w:r w:rsidRPr="002029AF">
        <w:t>same</w:t>
      </w:r>
      <w:r w:rsidR="000A5329" w:rsidRPr="002029AF">
        <w:t xml:space="preserve"> </w:t>
      </w:r>
      <w:r w:rsidRPr="002029AF">
        <w:t>accounting</w:t>
      </w:r>
      <w:r w:rsidR="000A5329" w:rsidRPr="002029AF">
        <w:t xml:space="preserve"> </w:t>
      </w:r>
      <w:r w:rsidRPr="002029AF">
        <w:t>policies</w:t>
      </w:r>
      <w:r w:rsidR="000A5329" w:rsidRPr="002029AF">
        <w:t xml:space="preserve"> </w:t>
      </w:r>
      <w:r w:rsidRPr="002029AF">
        <w:t>adopted</w:t>
      </w:r>
      <w:r w:rsidR="000A5329" w:rsidRPr="002029AF">
        <w:t xml:space="preserve"> </w:t>
      </w:r>
      <w:r w:rsidRPr="002029AF">
        <w:t>for</w:t>
      </w:r>
      <w:r w:rsidR="000A5329" w:rsidRPr="002029AF">
        <w:t xml:space="preserve"> </w:t>
      </w:r>
      <w:r w:rsidRPr="002029AF">
        <w:t>recognition</w:t>
      </w:r>
      <w:r w:rsidR="000A5329" w:rsidRPr="002029AF">
        <w:t xml:space="preserve"> </w:t>
      </w:r>
      <w:r w:rsidRPr="002029AF">
        <w:t>of</w:t>
      </w:r>
      <w:r w:rsidR="000A5329" w:rsidRPr="002029AF">
        <w:t xml:space="preserve"> </w:t>
      </w:r>
      <w:r w:rsidRPr="002029AF">
        <w:t>the</w:t>
      </w:r>
      <w:r w:rsidR="000A5329" w:rsidRPr="002029AF">
        <w:t xml:space="preserve"> </w:t>
      </w:r>
      <w:r w:rsidRPr="002029AF">
        <w:t>departmental</w:t>
      </w:r>
      <w:r w:rsidR="000A5329" w:rsidRPr="002029AF">
        <w:t xml:space="preserve"> </w:t>
      </w:r>
      <w:r w:rsidRPr="002029AF">
        <w:t>items</w:t>
      </w:r>
      <w:r w:rsidR="000A5329" w:rsidRPr="002029AF">
        <w:t xml:space="preserve"> </w:t>
      </w:r>
      <w:r w:rsidRPr="002029AF">
        <w:t>in</w:t>
      </w:r>
      <w:r w:rsidR="000A5329" w:rsidRPr="002029AF">
        <w:t xml:space="preserve"> </w:t>
      </w:r>
      <w:r w:rsidRPr="002029AF">
        <w:t>the</w:t>
      </w:r>
      <w:r w:rsidR="000A5329" w:rsidRPr="002029AF">
        <w:t xml:space="preserve"> </w:t>
      </w:r>
      <w:r w:rsidRPr="002029AF">
        <w:t>financial</w:t>
      </w:r>
      <w:r w:rsidR="000A5329" w:rsidRPr="002029AF">
        <w:t xml:space="preserve"> </w:t>
      </w:r>
      <w:r w:rsidRPr="002029AF">
        <w:t>statements.</w:t>
      </w:r>
      <w:r w:rsidR="000A5329" w:rsidRPr="002029AF">
        <w:t xml:space="preserve"> </w:t>
      </w:r>
      <w:r w:rsidRPr="002029AF">
        <w:t>Both</w:t>
      </w:r>
      <w:r w:rsidR="000A5329" w:rsidRPr="002029AF">
        <w:t xml:space="preserve"> </w:t>
      </w:r>
      <w:r w:rsidRPr="002029AF">
        <w:t>the</w:t>
      </w:r>
      <w:r w:rsidR="000A5329" w:rsidRPr="002029AF">
        <w:t xml:space="preserve"> </w:t>
      </w:r>
      <w:r w:rsidRPr="002029AF">
        <w:t>controlled</w:t>
      </w:r>
      <w:r w:rsidR="000A5329" w:rsidRPr="002029AF">
        <w:t xml:space="preserve"> </w:t>
      </w:r>
      <w:r w:rsidRPr="002029AF">
        <w:t>department</w:t>
      </w:r>
      <w:r w:rsidR="000A5329" w:rsidRPr="002029AF">
        <w:t xml:space="preserve"> </w:t>
      </w:r>
      <w:r w:rsidRPr="002029AF">
        <w:t>financial</w:t>
      </w:r>
      <w:r w:rsidR="000A5329" w:rsidRPr="002029AF">
        <w:t xml:space="preserve"> </w:t>
      </w:r>
      <w:r w:rsidRPr="002029AF">
        <w:t>statements</w:t>
      </w:r>
      <w:r w:rsidR="000A5329" w:rsidRPr="002029AF">
        <w:t xml:space="preserve"> </w:t>
      </w:r>
      <w:r w:rsidRPr="002029AF">
        <w:t>and</w:t>
      </w:r>
      <w:r w:rsidR="000A5329" w:rsidRPr="002029AF">
        <w:t xml:space="preserve"> </w:t>
      </w:r>
      <w:r w:rsidRPr="002029AF">
        <w:t>these</w:t>
      </w:r>
      <w:r w:rsidR="000A5329" w:rsidRPr="002029AF">
        <w:t xml:space="preserve"> </w:t>
      </w:r>
      <w:r w:rsidRPr="002029AF">
        <w:t>administered</w:t>
      </w:r>
      <w:r w:rsidR="000A5329" w:rsidRPr="002029AF">
        <w:t xml:space="preserve"> </w:t>
      </w:r>
      <w:r w:rsidRPr="002029AF">
        <w:t>items</w:t>
      </w:r>
      <w:r w:rsidR="000A5329" w:rsidRPr="002029AF">
        <w:t xml:space="preserve"> </w:t>
      </w:r>
      <w:r w:rsidRPr="002029AF">
        <w:t>are</w:t>
      </w:r>
      <w:r w:rsidR="000A5329" w:rsidRPr="002029AF">
        <w:t xml:space="preserve"> </w:t>
      </w:r>
      <w:r w:rsidRPr="002029AF">
        <w:t>consolidated</w:t>
      </w:r>
      <w:r w:rsidR="000A5329" w:rsidRPr="002029AF">
        <w:t xml:space="preserve"> </w:t>
      </w:r>
      <w:r w:rsidRPr="002029AF">
        <w:t>into</w:t>
      </w:r>
      <w:r w:rsidR="000A5329" w:rsidRPr="002029AF">
        <w:t xml:space="preserve"> </w:t>
      </w:r>
      <w:r w:rsidRPr="002029AF">
        <w:t>the</w:t>
      </w:r>
      <w:r w:rsidR="000A5329" w:rsidRPr="002029AF">
        <w:t xml:space="preserve"> </w:t>
      </w:r>
      <w:r w:rsidRPr="002029AF">
        <w:t>financial</w:t>
      </w:r>
      <w:r w:rsidR="000A5329" w:rsidRPr="002029AF">
        <w:t xml:space="preserve"> </w:t>
      </w:r>
      <w:r w:rsidRPr="002029AF">
        <w:t>statements</w:t>
      </w:r>
      <w:r w:rsidR="000A5329" w:rsidRPr="002029AF">
        <w:t xml:space="preserve"> </w:t>
      </w:r>
      <w:r w:rsidRPr="002029AF">
        <w:t>of</w:t>
      </w:r>
      <w:r w:rsidR="000A5329" w:rsidRPr="002029AF">
        <w:t xml:space="preserve"> </w:t>
      </w:r>
      <w:r w:rsidRPr="002029AF">
        <w:t>the</w:t>
      </w:r>
      <w:r w:rsidR="000A5329" w:rsidRPr="002029AF">
        <w:t xml:space="preserve"> </w:t>
      </w:r>
      <w:r w:rsidRPr="002029AF">
        <w:t>state.</w:t>
      </w:r>
    </w:p>
    <w:p w14:paraId="3ABA7AFD" w14:textId="4D6491AD" w:rsidR="00087B91" w:rsidRPr="002029AF" w:rsidRDefault="00087B91" w:rsidP="00087B91">
      <w:pPr>
        <w:pStyle w:val="ARfinbody"/>
      </w:pPr>
      <w:r w:rsidRPr="002029AF">
        <w:t>The</w:t>
      </w:r>
      <w:r w:rsidR="000A5329" w:rsidRPr="002029AF">
        <w:t xml:space="preserve"> </w:t>
      </w:r>
      <w:r w:rsidRPr="002029AF">
        <w:t>department</w:t>
      </w:r>
      <w:r w:rsidR="000A5329" w:rsidRPr="002029AF">
        <w:t xml:space="preserve"> </w:t>
      </w:r>
      <w:r w:rsidRPr="002029AF">
        <w:t>does</w:t>
      </w:r>
      <w:r w:rsidR="000A5329" w:rsidRPr="002029AF">
        <w:t xml:space="preserve"> </w:t>
      </w:r>
      <w:r w:rsidRPr="002029AF">
        <w:t>not</w:t>
      </w:r>
      <w:r w:rsidR="000A5329" w:rsidRPr="002029AF">
        <w:t xml:space="preserve"> </w:t>
      </w:r>
      <w:r w:rsidRPr="002029AF">
        <w:t>gain</w:t>
      </w:r>
      <w:r w:rsidR="000A5329" w:rsidRPr="002029AF">
        <w:t xml:space="preserve"> </w:t>
      </w:r>
      <w:r w:rsidRPr="002029AF">
        <w:t>control</w:t>
      </w:r>
      <w:r w:rsidR="000A5329" w:rsidRPr="002029AF">
        <w:t xml:space="preserve"> </w:t>
      </w:r>
      <w:r w:rsidRPr="002029AF">
        <w:t>over</w:t>
      </w:r>
      <w:r w:rsidR="000A5329" w:rsidRPr="002029AF">
        <w:t xml:space="preserve"> </w:t>
      </w:r>
      <w:r w:rsidRPr="002029AF">
        <w:t>assets</w:t>
      </w:r>
      <w:r w:rsidR="000A5329" w:rsidRPr="002029AF">
        <w:t xml:space="preserve"> </w:t>
      </w:r>
      <w:r w:rsidRPr="002029AF">
        <w:t>arising</w:t>
      </w:r>
      <w:r w:rsidR="000A5329" w:rsidRPr="002029AF">
        <w:t xml:space="preserve"> </w:t>
      </w:r>
      <w:r w:rsidRPr="002029AF">
        <w:t>from</w:t>
      </w:r>
      <w:r w:rsidR="000A5329" w:rsidRPr="002029AF">
        <w:t xml:space="preserve"> </w:t>
      </w:r>
      <w:r w:rsidRPr="002029AF">
        <w:t>taxes,</w:t>
      </w:r>
      <w:r w:rsidR="000A5329" w:rsidRPr="002029AF">
        <w:t xml:space="preserve"> </w:t>
      </w:r>
      <w:r w:rsidRPr="002029AF">
        <w:t>fines</w:t>
      </w:r>
      <w:r w:rsidR="000A5329" w:rsidRPr="002029AF">
        <w:t xml:space="preserve"> </w:t>
      </w:r>
      <w:r w:rsidRPr="002029AF">
        <w:t>and</w:t>
      </w:r>
      <w:r w:rsidR="000A5329" w:rsidRPr="002029AF">
        <w:t xml:space="preserve"> </w:t>
      </w:r>
      <w:r w:rsidRPr="002029AF">
        <w:t>regulatory</w:t>
      </w:r>
      <w:r w:rsidR="000A5329" w:rsidRPr="002029AF">
        <w:t xml:space="preserve"> </w:t>
      </w:r>
      <w:r w:rsidRPr="002029AF">
        <w:t>fees,</w:t>
      </w:r>
      <w:r w:rsidR="000A5329" w:rsidRPr="002029AF">
        <w:t xml:space="preserve"> </w:t>
      </w:r>
      <w:r w:rsidRPr="002029AF">
        <w:t>consequently</w:t>
      </w:r>
      <w:r w:rsidR="000A5329" w:rsidRPr="002029AF">
        <w:t xml:space="preserve"> </w:t>
      </w:r>
      <w:r w:rsidRPr="002029AF">
        <w:t>no</w:t>
      </w:r>
      <w:r w:rsidR="000A5329" w:rsidRPr="002029AF">
        <w:t xml:space="preserve"> </w:t>
      </w:r>
      <w:r w:rsidRPr="002029AF">
        <w:t>income</w:t>
      </w:r>
      <w:r w:rsidR="000A5329" w:rsidRPr="002029AF">
        <w:t xml:space="preserve"> </w:t>
      </w:r>
      <w:r w:rsidRPr="002029AF">
        <w:t>is</w:t>
      </w:r>
      <w:r w:rsidR="000A5329" w:rsidRPr="002029AF">
        <w:t xml:space="preserve"> </w:t>
      </w:r>
      <w:r w:rsidRPr="002029AF">
        <w:t>recognised</w:t>
      </w:r>
      <w:r w:rsidR="000A5329" w:rsidRPr="002029AF">
        <w:t xml:space="preserve"> </w:t>
      </w:r>
      <w:r w:rsidRPr="002029AF">
        <w:t>in</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financial</w:t>
      </w:r>
      <w:r w:rsidR="000A5329" w:rsidRPr="002029AF">
        <w:t xml:space="preserve"> </w:t>
      </w:r>
      <w:r w:rsidRPr="002029AF">
        <w:t>statements.</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collects</w:t>
      </w:r>
      <w:r w:rsidR="000A5329" w:rsidRPr="002029AF">
        <w:t xml:space="preserve"> </w:t>
      </w:r>
      <w:r w:rsidRPr="002029AF">
        <w:t>these</w:t>
      </w:r>
      <w:r w:rsidR="000A5329" w:rsidRPr="002029AF">
        <w:t xml:space="preserve"> </w:t>
      </w:r>
      <w:r w:rsidRPr="002029AF">
        <w:t>amounts</w:t>
      </w:r>
      <w:r w:rsidR="000A5329" w:rsidRPr="002029AF">
        <w:t xml:space="preserve"> </w:t>
      </w:r>
      <w:r w:rsidRPr="002029AF">
        <w:t>on</w:t>
      </w:r>
      <w:r w:rsidR="000A5329" w:rsidRPr="002029AF">
        <w:t xml:space="preserve"> </w:t>
      </w:r>
      <w:r w:rsidRPr="002029AF">
        <w:t>behalf</w:t>
      </w:r>
      <w:r w:rsidR="000A5329" w:rsidRPr="002029AF">
        <w:t xml:space="preserve"> </w:t>
      </w:r>
      <w:r w:rsidRPr="002029AF">
        <w:t>of</w:t>
      </w:r>
      <w:r w:rsidR="000A5329" w:rsidRPr="002029AF">
        <w:t xml:space="preserve"> </w:t>
      </w:r>
      <w:r w:rsidRPr="002029AF">
        <w:t>the</w:t>
      </w:r>
      <w:r w:rsidR="000A5329" w:rsidRPr="002029AF">
        <w:t xml:space="preserve"> </w:t>
      </w:r>
      <w:r w:rsidRPr="002029AF">
        <w:t>state.</w:t>
      </w:r>
      <w:r w:rsidR="000A5329" w:rsidRPr="002029AF">
        <w:t xml:space="preserve"> </w:t>
      </w:r>
      <w:r w:rsidRPr="002029AF">
        <w:t>Accordingly,</w:t>
      </w:r>
      <w:r w:rsidR="000A5329" w:rsidRPr="002029AF">
        <w:t xml:space="preserve"> </w:t>
      </w:r>
      <w:r w:rsidRPr="002029AF">
        <w:t>the</w:t>
      </w:r>
      <w:r w:rsidR="000A5329" w:rsidRPr="002029AF">
        <w:t xml:space="preserve"> </w:t>
      </w:r>
      <w:r w:rsidRPr="002029AF">
        <w:t>amounts</w:t>
      </w:r>
      <w:r w:rsidR="000A5329" w:rsidRPr="002029AF">
        <w:t xml:space="preserve"> </w:t>
      </w:r>
      <w:r w:rsidRPr="002029AF">
        <w:t>are</w:t>
      </w:r>
      <w:r w:rsidR="000A5329" w:rsidRPr="002029AF">
        <w:t xml:space="preserve"> </w:t>
      </w:r>
      <w:r w:rsidRPr="002029AF">
        <w:t>disclosed</w:t>
      </w:r>
      <w:r w:rsidR="000A5329" w:rsidRPr="002029AF">
        <w:t xml:space="preserve"> </w:t>
      </w:r>
      <w:r w:rsidRPr="002029AF">
        <w:t>as</w:t>
      </w:r>
      <w:r w:rsidR="000A5329" w:rsidRPr="002029AF">
        <w:t xml:space="preserve"> </w:t>
      </w:r>
      <w:r w:rsidRPr="002029AF">
        <w:t>income</w:t>
      </w:r>
      <w:r w:rsidR="000A5329" w:rsidRPr="002029AF">
        <w:t xml:space="preserve"> </w:t>
      </w:r>
      <w:r w:rsidRPr="002029AF">
        <w:t>in</w:t>
      </w:r>
      <w:r w:rsidR="000A5329" w:rsidRPr="002029AF">
        <w:t xml:space="preserve"> </w:t>
      </w:r>
      <w:r w:rsidRPr="002029AF">
        <w:t>the</w:t>
      </w:r>
      <w:r w:rsidR="000A5329" w:rsidRPr="002029AF">
        <w:t xml:space="preserve"> </w:t>
      </w:r>
      <w:r w:rsidRPr="002029AF">
        <w:t>schedule</w:t>
      </w:r>
      <w:r w:rsidR="000A5329" w:rsidRPr="002029AF">
        <w:t xml:space="preserve"> </w:t>
      </w:r>
      <w:r w:rsidRPr="002029AF">
        <w:t>of</w:t>
      </w:r>
      <w:r w:rsidR="000A5329" w:rsidRPr="002029AF">
        <w:t xml:space="preserve"> </w:t>
      </w:r>
      <w:r w:rsidRPr="002029AF">
        <w:t>Administered</w:t>
      </w:r>
      <w:r w:rsidR="000A5329" w:rsidRPr="002029AF">
        <w:t xml:space="preserve"> </w:t>
      </w:r>
      <w:r w:rsidRPr="002029AF">
        <w:t>Items.</w:t>
      </w:r>
    </w:p>
    <w:p w14:paraId="1F0D12C1" w14:textId="4249AD4D" w:rsidR="00087B91" w:rsidRPr="002029AF" w:rsidRDefault="00087B91" w:rsidP="00087B91">
      <w:pPr>
        <w:pStyle w:val="Heading5"/>
      </w:pPr>
      <w:r w:rsidRPr="002029AF">
        <w:t>4.2.1</w:t>
      </w:r>
      <w:r w:rsidR="000A5329" w:rsidRPr="002029AF">
        <w:t xml:space="preserve"> </w:t>
      </w:r>
      <w:r w:rsidRPr="002029AF">
        <w:t>Administered</w:t>
      </w:r>
      <w:r w:rsidR="000A5329" w:rsidRPr="002029AF">
        <w:t xml:space="preserve"> </w:t>
      </w:r>
      <w:r w:rsidRPr="002029AF">
        <w:t>income</w:t>
      </w:r>
      <w:r w:rsidR="000A5329" w:rsidRPr="002029AF">
        <w:t xml:space="preserve"> </w:t>
      </w:r>
      <w:r w:rsidRPr="002029AF">
        <w:t>and</w:t>
      </w:r>
      <w:r w:rsidR="000A5329" w:rsidRPr="002029AF">
        <w:t xml:space="preserve"> </w:t>
      </w:r>
      <w:r w:rsidRPr="002029AF">
        <w:t>expenses</w:t>
      </w:r>
      <w:bookmarkEnd w:id="332"/>
    </w:p>
    <w:tbl>
      <w:tblPr>
        <w:tblStyle w:val="TableGrid"/>
        <w:tblW w:w="14459" w:type="dxa"/>
        <w:tblLayout w:type="fixed"/>
        <w:tblCellMar>
          <w:right w:w="0" w:type="dxa"/>
        </w:tblCellMar>
        <w:tblLook w:val="06A0" w:firstRow="1" w:lastRow="0" w:firstColumn="1" w:lastColumn="0" w:noHBand="1" w:noVBand="1"/>
      </w:tblPr>
      <w:tblGrid>
        <w:gridCol w:w="3156"/>
        <w:gridCol w:w="801"/>
        <w:gridCol w:w="629"/>
        <w:gridCol w:w="629"/>
        <w:gridCol w:w="627"/>
        <w:gridCol w:w="627"/>
        <w:gridCol w:w="627"/>
        <w:gridCol w:w="627"/>
        <w:gridCol w:w="627"/>
        <w:gridCol w:w="918"/>
        <w:gridCol w:w="627"/>
        <w:gridCol w:w="627"/>
        <w:gridCol w:w="627"/>
        <w:gridCol w:w="627"/>
        <w:gridCol w:w="627"/>
        <w:gridCol w:w="627"/>
        <w:gridCol w:w="627"/>
        <w:gridCol w:w="802"/>
      </w:tblGrid>
      <w:tr w:rsidR="00087B91" w:rsidRPr="002029AF" w14:paraId="75961B4D" w14:textId="77777777" w:rsidTr="00C81A0B">
        <w:trPr>
          <w:cnfStyle w:val="100000000000" w:firstRow="1" w:lastRow="0" w:firstColumn="0" w:lastColumn="0" w:oddVBand="0" w:evenVBand="0" w:oddHBand="0" w:evenHBand="0" w:firstRowFirstColumn="0" w:firstRowLastColumn="0" w:lastRowFirstColumn="0" w:lastRowLastColumn="0"/>
          <w:tblHeader/>
        </w:trPr>
        <w:tc>
          <w:tcPr>
            <w:tcW w:w="3185" w:type="dxa"/>
            <w:tcBorders>
              <w:bottom w:val="single" w:sz="4" w:space="0" w:color="auto"/>
            </w:tcBorders>
            <w:hideMark/>
          </w:tcPr>
          <w:p w14:paraId="53953D98" w14:textId="4EBB2AE3" w:rsidR="00087B91" w:rsidRPr="002029AF" w:rsidRDefault="00087B91" w:rsidP="00860E95">
            <w:pPr>
              <w:pStyle w:val="ARfintablecolhead"/>
            </w:pPr>
            <w:r w:rsidRPr="002029AF">
              <w:t>Output</w:t>
            </w:r>
            <w:r w:rsidR="000A5329" w:rsidRPr="002029AF">
              <w:t xml:space="preserve"> </w:t>
            </w:r>
            <w:r w:rsidRPr="002029AF">
              <w:t>group</w:t>
            </w:r>
            <w:r w:rsidR="000A5329" w:rsidRPr="002029AF">
              <w:t xml:space="preserve"> </w:t>
            </w:r>
            <w:r w:rsidRPr="002029AF">
              <w:rPr>
                <w:rStyle w:val="Superscript"/>
              </w:rPr>
              <w:t>(i)(ii)</w:t>
            </w:r>
          </w:p>
          <w:p w14:paraId="1F68D500" w14:textId="77777777" w:rsidR="00087B91" w:rsidRPr="002029AF" w:rsidRDefault="00087B91" w:rsidP="00860E95">
            <w:pPr>
              <w:pStyle w:val="ARfintablecolhead"/>
            </w:pPr>
            <w:r w:rsidRPr="002029AF">
              <w:t>2020</w:t>
            </w:r>
          </w:p>
        </w:tc>
        <w:tc>
          <w:tcPr>
            <w:tcW w:w="807" w:type="dxa"/>
            <w:tcBorders>
              <w:bottom w:val="single" w:sz="4" w:space="0" w:color="auto"/>
            </w:tcBorders>
            <w:hideMark/>
          </w:tcPr>
          <w:p w14:paraId="13C0203E" w14:textId="77777777" w:rsidR="00087B91" w:rsidRPr="002029AF" w:rsidRDefault="00087B91" w:rsidP="00860E95">
            <w:pPr>
              <w:pStyle w:val="ARfintablecolheadright"/>
              <w:ind w:right="0"/>
            </w:pPr>
            <w:r w:rsidRPr="002029AF">
              <w:t>1</w:t>
            </w:r>
          </w:p>
          <w:p w14:paraId="4CA1A9B0" w14:textId="77777777" w:rsidR="00087B91" w:rsidRPr="002029AF" w:rsidRDefault="00087B91" w:rsidP="00860E95">
            <w:pPr>
              <w:pStyle w:val="ARfintablecolheadright"/>
              <w:ind w:right="0"/>
            </w:pPr>
            <w:r w:rsidRPr="002029AF">
              <w:t>$M</w:t>
            </w:r>
          </w:p>
        </w:tc>
        <w:tc>
          <w:tcPr>
            <w:tcW w:w="634" w:type="dxa"/>
            <w:tcBorders>
              <w:bottom w:val="single" w:sz="4" w:space="0" w:color="auto"/>
            </w:tcBorders>
            <w:hideMark/>
          </w:tcPr>
          <w:p w14:paraId="70F7A37F" w14:textId="77777777" w:rsidR="00087B91" w:rsidRPr="002029AF" w:rsidRDefault="00087B91" w:rsidP="00860E95">
            <w:pPr>
              <w:pStyle w:val="ARfintablecolheadright"/>
              <w:ind w:right="0"/>
            </w:pPr>
            <w:r w:rsidRPr="002029AF">
              <w:t>2</w:t>
            </w:r>
          </w:p>
          <w:p w14:paraId="674821D1" w14:textId="77777777" w:rsidR="00087B91" w:rsidRPr="002029AF" w:rsidRDefault="00087B91" w:rsidP="00860E95">
            <w:pPr>
              <w:pStyle w:val="ARfintablecolheadright"/>
              <w:ind w:right="0"/>
            </w:pPr>
            <w:r w:rsidRPr="002029AF">
              <w:t>$M</w:t>
            </w:r>
          </w:p>
        </w:tc>
        <w:tc>
          <w:tcPr>
            <w:tcW w:w="634" w:type="dxa"/>
            <w:tcBorders>
              <w:bottom w:val="single" w:sz="4" w:space="0" w:color="auto"/>
            </w:tcBorders>
            <w:hideMark/>
          </w:tcPr>
          <w:p w14:paraId="5546314E" w14:textId="77777777" w:rsidR="00087B91" w:rsidRPr="002029AF" w:rsidRDefault="00087B91" w:rsidP="00860E95">
            <w:pPr>
              <w:pStyle w:val="ARfintablecolheadright"/>
              <w:ind w:right="0"/>
            </w:pPr>
            <w:r w:rsidRPr="002029AF">
              <w:t>3</w:t>
            </w:r>
          </w:p>
          <w:p w14:paraId="00DE6A23" w14:textId="77777777" w:rsidR="00087B91" w:rsidRPr="002029AF" w:rsidRDefault="00087B91" w:rsidP="00860E95">
            <w:pPr>
              <w:pStyle w:val="ARfintablecolheadright"/>
              <w:ind w:right="0"/>
            </w:pPr>
            <w:r w:rsidRPr="002029AF">
              <w:t>$M</w:t>
            </w:r>
          </w:p>
        </w:tc>
        <w:tc>
          <w:tcPr>
            <w:tcW w:w="633" w:type="dxa"/>
            <w:tcBorders>
              <w:bottom w:val="single" w:sz="4" w:space="0" w:color="auto"/>
            </w:tcBorders>
            <w:hideMark/>
          </w:tcPr>
          <w:p w14:paraId="6F9A6A4C" w14:textId="77777777" w:rsidR="00087B91" w:rsidRPr="002029AF" w:rsidRDefault="00087B91" w:rsidP="00860E95">
            <w:pPr>
              <w:pStyle w:val="ARfintablecolheadright"/>
              <w:ind w:right="0"/>
            </w:pPr>
            <w:r w:rsidRPr="002029AF">
              <w:t>4</w:t>
            </w:r>
          </w:p>
          <w:p w14:paraId="11ECDE8C" w14:textId="77777777" w:rsidR="00087B91" w:rsidRPr="002029AF" w:rsidRDefault="00087B91" w:rsidP="00860E95">
            <w:pPr>
              <w:pStyle w:val="ARfintablecolheadright"/>
              <w:ind w:right="0"/>
            </w:pPr>
            <w:r w:rsidRPr="002029AF">
              <w:t>$M</w:t>
            </w:r>
          </w:p>
        </w:tc>
        <w:tc>
          <w:tcPr>
            <w:tcW w:w="633" w:type="dxa"/>
            <w:tcBorders>
              <w:bottom w:val="single" w:sz="4" w:space="0" w:color="auto"/>
            </w:tcBorders>
            <w:hideMark/>
          </w:tcPr>
          <w:p w14:paraId="47226651" w14:textId="77777777" w:rsidR="00087B91" w:rsidRPr="002029AF" w:rsidRDefault="00087B91" w:rsidP="00860E95">
            <w:pPr>
              <w:pStyle w:val="ARfintablecolheadright"/>
              <w:ind w:right="0"/>
            </w:pPr>
            <w:r w:rsidRPr="002029AF">
              <w:t>5</w:t>
            </w:r>
          </w:p>
          <w:p w14:paraId="0DBC19E1" w14:textId="77777777" w:rsidR="00087B91" w:rsidRPr="002029AF" w:rsidRDefault="00087B91" w:rsidP="00860E95">
            <w:pPr>
              <w:pStyle w:val="ARfintablecolheadright"/>
              <w:ind w:right="0"/>
            </w:pPr>
            <w:r w:rsidRPr="002029AF">
              <w:t>$M</w:t>
            </w:r>
          </w:p>
        </w:tc>
        <w:tc>
          <w:tcPr>
            <w:tcW w:w="633" w:type="dxa"/>
            <w:tcBorders>
              <w:bottom w:val="single" w:sz="4" w:space="0" w:color="auto"/>
            </w:tcBorders>
            <w:hideMark/>
          </w:tcPr>
          <w:p w14:paraId="04398829" w14:textId="77777777" w:rsidR="00087B91" w:rsidRPr="002029AF" w:rsidRDefault="00087B91" w:rsidP="00860E95">
            <w:pPr>
              <w:pStyle w:val="ARfintablecolheadright"/>
              <w:ind w:right="0"/>
            </w:pPr>
            <w:r w:rsidRPr="002029AF">
              <w:t>6</w:t>
            </w:r>
          </w:p>
          <w:p w14:paraId="2E2941F2" w14:textId="77777777" w:rsidR="00087B91" w:rsidRPr="002029AF" w:rsidRDefault="00087B91" w:rsidP="00860E95">
            <w:pPr>
              <w:pStyle w:val="ARfintablecolheadright"/>
              <w:ind w:right="0"/>
            </w:pPr>
            <w:r w:rsidRPr="002029AF">
              <w:t>$M</w:t>
            </w:r>
          </w:p>
        </w:tc>
        <w:tc>
          <w:tcPr>
            <w:tcW w:w="633" w:type="dxa"/>
            <w:tcBorders>
              <w:bottom w:val="single" w:sz="4" w:space="0" w:color="auto"/>
            </w:tcBorders>
            <w:hideMark/>
          </w:tcPr>
          <w:p w14:paraId="7FD3AB77" w14:textId="77777777" w:rsidR="00087B91" w:rsidRPr="002029AF" w:rsidRDefault="00087B91" w:rsidP="00860E95">
            <w:pPr>
              <w:pStyle w:val="ARfintablecolheadright"/>
              <w:ind w:right="0"/>
            </w:pPr>
            <w:r w:rsidRPr="002029AF">
              <w:t>7</w:t>
            </w:r>
          </w:p>
          <w:p w14:paraId="7665EA2A" w14:textId="77777777" w:rsidR="00087B91" w:rsidRPr="002029AF" w:rsidRDefault="00087B91" w:rsidP="00860E95">
            <w:pPr>
              <w:pStyle w:val="ARfintablecolheadright"/>
              <w:ind w:right="0"/>
            </w:pPr>
            <w:r w:rsidRPr="002029AF">
              <w:t>$M</w:t>
            </w:r>
          </w:p>
        </w:tc>
        <w:tc>
          <w:tcPr>
            <w:tcW w:w="633" w:type="dxa"/>
            <w:tcBorders>
              <w:bottom w:val="single" w:sz="4" w:space="0" w:color="auto"/>
            </w:tcBorders>
            <w:hideMark/>
          </w:tcPr>
          <w:p w14:paraId="3ED549DD" w14:textId="77777777" w:rsidR="00087B91" w:rsidRPr="002029AF" w:rsidRDefault="00087B91" w:rsidP="00860E95">
            <w:pPr>
              <w:pStyle w:val="ARfintablecolheadright"/>
              <w:ind w:right="0"/>
            </w:pPr>
            <w:r w:rsidRPr="002029AF">
              <w:t>8</w:t>
            </w:r>
          </w:p>
          <w:p w14:paraId="177F7FD3" w14:textId="77777777" w:rsidR="00087B91" w:rsidRPr="002029AF" w:rsidRDefault="00087B91" w:rsidP="00860E95">
            <w:pPr>
              <w:pStyle w:val="ARfintablecolheadright"/>
              <w:ind w:right="0"/>
            </w:pPr>
            <w:r w:rsidRPr="002029AF">
              <w:t>$M</w:t>
            </w:r>
          </w:p>
        </w:tc>
        <w:tc>
          <w:tcPr>
            <w:tcW w:w="926" w:type="dxa"/>
            <w:tcBorders>
              <w:bottom w:val="single" w:sz="4" w:space="0" w:color="auto"/>
            </w:tcBorders>
            <w:hideMark/>
          </w:tcPr>
          <w:p w14:paraId="115781A5" w14:textId="77777777" w:rsidR="00087B91" w:rsidRPr="002029AF" w:rsidRDefault="00087B91" w:rsidP="00860E95">
            <w:pPr>
              <w:pStyle w:val="ARfintablecolheadright"/>
              <w:ind w:right="0"/>
            </w:pPr>
            <w:r w:rsidRPr="002029AF">
              <w:t>9</w:t>
            </w:r>
          </w:p>
          <w:p w14:paraId="65154F10" w14:textId="77777777" w:rsidR="00087B91" w:rsidRPr="002029AF" w:rsidRDefault="00087B91" w:rsidP="00860E95">
            <w:pPr>
              <w:pStyle w:val="ARfintablecolheadright"/>
              <w:ind w:right="0"/>
            </w:pPr>
            <w:r w:rsidRPr="002029AF">
              <w:t>$M</w:t>
            </w:r>
          </w:p>
        </w:tc>
        <w:tc>
          <w:tcPr>
            <w:tcW w:w="633" w:type="dxa"/>
            <w:tcBorders>
              <w:bottom w:val="single" w:sz="4" w:space="0" w:color="auto"/>
            </w:tcBorders>
            <w:hideMark/>
          </w:tcPr>
          <w:p w14:paraId="7D86F485" w14:textId="77777777" w:rsidR="00087B91" w:rsidRPr="002029AF" w:rsidRDefault="00087B91" w:rsidP="00860E95">
            <w:pPr>
              <w:pStyle w:val="ARfintablecolheadright"/>
              <w:ind w:right="0"/>
            </w:pPr>
            <w:r w:rsidRPr="002029AF">
              <w:t>10</w:t>
            </w:r>
          </w:p>
          <w:p w14:paraId="3D5F9F1B" w14:textId="77777777" w:rsidR="00087B91" w:rsidRPr="002029AF" w:rsidRDefault="00087B91" w:rsidP="00860E95">
            <w:pPr>
              <w:pStyle w:val="ARfintablecolheadright"/>
              <w:ind w:right="0"/>
            </w:pPr>
            <w:r w:rsidRPr="002029AF">
              <w:t>$M</w:t>
            </w:r>
          </w:p>
        </w:tc>
        <w:tc>
          <w:tcPr>
            <w:tcW w:w="633" w:type="dxa"/>
            <w:tcBorders>
              <w:bottom w:val="single" w:sz="4" w:space="0" w:color="auto"/>
            </w:tcBorders>
            <w:hideMark/>
          </w:tcPr>
          <w:p w14:paraId="1867B457" w14:textId="77777777" w:rsidR="00087B91" w:rsidRPr="002029AF" w:rsidRDefault="00087B91" w:rsidP="00860E95">
            <w:pPr>
              <w:pStyle w:val="ARfintablecolheadright"/>
              <w:ind w:right="0"/>
            </w:pPr>
            <w:r w:rsidRPr="002029AF">
              <w:t>11</w:t>
            </w:r>
          </w:p>
          <w:p w14:paraId="5D7E25CD" w14:textId="77777777" w:rsidR="00087B91" w:rsidRPr="002029AF" w:rsidRDefault="00087B91" w:rsidP="00860E95">
            <w:pPr>
              <w:pStyle w:val="ARfintablecolheadright"/>
              <w:ind w:right="0"/>
            </w:pPr>
            <w:r w:rsidRPr="002029AF">
              <w:t>$M</w:t>
            </w:r>
          </w:p>
        </w:tc>
        <w:tc>
          <w:tcPr>
            <w:tcW w:w="633" w:type="dxa"/>
            <w:tcBorders>
              <w:bottom w:val="single" w:sz="4" w:space="0" w:color="auto"/>
            </w:tcBorders>
            <w:hideMark/>
          </w:tcPr>
          <w:p w14:paraId="4B7D0C27" w14:textId="77777777" w:rsidR="00087B91" w:rsidRPr="002029AF" w:rsidRDefault="00087B91" w:rsidP="00860E95">
            <w:pPr>
              <w:pStyle w:val="ARfintablecolheadright"/>
              <w:ind w:right="0"/>
            </w:pPr>
            <w:r w:rsidRPr="002029AF">
              <w:t>12</w:t>
            </w:r>
          </w:p>
          <w:p w14:paraId="1748167A" w14:textId="77777777" w:rsidR="00087B91" w:rsidRPr="002029AF" w:rsidRDefault="00087B91" w:rsidP="00860E95">
            <w:pPr>
              <w:pStyle w:val="ARfintablecolheadright"/>
              <w:ind w:right="0"/>
            </w:pPr>
            <w:r w:rsidRPr="002029AF">
              <w:t>$M</w:t>
            </w:r>
          </w:p>
        </w:tc>
        <w:tc>
          <w:tcPr>
            <w:tcW w:w="633" w:type="dxa"/>
            <w:tcBorders>
              <w:bottom w:val="single" w:sz="4" w:space="0" w:color="auto"/>
            </w:tcBorders>
            <w:hideMark/>
          </w:tcPr>
          <w:p w14:paraId="439305C9" w14:textId="77777777" w:rsidR="00087B91" w:rsidRPr="002029AF" w:rsidRDefault="00087B91" w:rsidP="00860E95">
            <w:pPr>
              <w:pStyle w:val="ARfintablecolheadright"/>
              <w:ind w:right="0"/>
            </w:pPr>
            <w:r w:rsidRPr="002029AF">
              <w:t>13</w:t>
            </w:r>
          </w:p>
          <w:p w14:paraId="7A51C416" w14:textId="77777777" w:rsidR="00087B91" w:rsidRPr="002029AF" w:rsidRDefault="00087B91" w:rsidP="00860E95">
            <w:pPr>
              <w:pStyle w:val="ARfintablecolheadright"/>
              <w:ind w:right="0"/>
            </w:pPr>
            <w:r w:rsidRPr="002029AF">
              <w:t>$M</w:t>
            </w:r>
          </w:p>
        </w:tc>
        <w:tc>
          <w:tcPr>
            <w:tcW w:w="633" w:type="dxa"/>
            <w:tcBorders>
              <w:bottom w:val="single" w:sz="4" w:space="0" w:color="auto"/>
            </w:tcBorders>
            <w:hideMark/>
          </w:tcPr>
          <w:p w14:paraId="2DDC788E" w14:textId="77777777" w:rsidR="00087B91" w:rsidRPr="002029AF" w:rsidRDefault="00087B91" w:rsidP="00860E95">
            <w:pPr>
              <w:pStyle w:val="ARfintablecolheadright"/>
              <w:ind w:right="0"/>
            </w:pPr>
            <w:r w:rsidRPr="002029AF">
              <w:t>14</w:t>
            </w:r>
          </w:p>
          <w:p w14:paraId="7E099D19" w14:textId="77777777" w:rsidR="00087B91" w:rsidRPr="002029AF" w:rsidRDefault="00087B91" w:rsidP="00860E95">
            <w:pPr>
              <w:pStyle w:val="ARfintablecolheadright"/>
              <w:ind w:right="0"/>
            </w:pPr>
            <w:r w:rsidRPr="002029AF">
              <w:t>$M</w:t>
            </w:r>
          </w:p>
        </w:tc>
        <w:tc>
          <w:tcPr>
            <w:tcW w:w="633" w:type="dxa"/>
            <w:tcBorders>
              <w:bottom w:val="single" w:sz="4" w:space="0" w:color="auto"/>
            </w:tcBorders>
            <w:hideMark/>
          </w:tcPr>
          <w:p w14:paraId="51DCCD27" w14:textId="77777777" w:rsidR="00087B91" w:rsidRPr="002029AF" w:rsidRDefault="00087B91" w:rsidP="00860E95">
            <w:pPr>
              <w:pStyle w:val="ARfintablecolheadright"/>
              <w:ind w:right="0"/>
            </w:pPr>
            <w:r w:rsidRPr="002029AF">
              <w:t>15</w:t>
            </w:r>
          </w:p>
          <w:p w14:paraId="1EB741CA" w14:textId="77777777" w:rsidR="00087B91" w:rsidRPr="002029AF" w:rsidRDefault="00087B91" w:rsidP="00860E95">
            <w:pPr>
              <w:pStyle w:val="ARfintablecolheadright"/>
              <w:ind w:right="0"/>
            </w:pPr>
            <w:r w:rsidRPr="002029AF">
              <w:t>$M</w:t>
            </w:r>
          </w:p>
        </w:tc>
        <w:tc>
          <w:tcPr>
            <w:tcW w:w="633" w:type="dxa"/>
            <w:tcBorders>
              <w:bottom w:val="single" w:sz="4" w:space="0" w:color="auto"/>
            </w:tcBorders>
            <w:hideMark/>
          </w:tcPr>
          <w:p w14:paraId="77639615" w14:textId="77777777" w:rsidR="00087B91" w:rsidRPr="002029AF" w:rsidRDefault="00087B91" w:rsidP="00860E95">
            <w:pPr>
              <w:pStyle w:val="ARfintablecolheadright"/>
              <w:ind w:right="0"/>
            </w:pPr>
            <w:r w:rsidRPr="002029AF">
              <w:t>16</w:t>
            </w:r>
          </w:p>
          <w:p w14:paraId="42818A35" w14:textId="77777777" w:rsidR="00087B91" w:rsidRPr="002029AF" w:rsidRDefault="00087B91" w:rsidP="00860E95">
            <w:pPr>
              <w:pStyle w:val="ARfintablecolheadright"/>
              <w:ind w:right="0"/>
            </w:pPr>
            <w:r w:rsidRPr="002029AF">
              <w:t>$M</w:t>
            </w:r>
          </w:p>
        </w:tc>
        <w:tc>
          <w:tcPr>
            <w:tcW w:w="806" w:type="dxa"/>
            <w:tcBorders>
              <w:bottom w:val="single" w:sz="4" w:space="0" w:color="auto"/>
            </w:tcBorders>
            <w:hideMark/>
          </w:tcPr>
          <w:p w14:paraId="7E9FE05A" w14:textId="77777777" w:rsidR="00087B91" w:rsidRPr="002029AF" w:rsidRDefault="00087B91" w:rsidP="00860E95">
            <w:pPr>
              <w:pStyle w:val="ARfintablecolheadright"/>
              <w:ind w:right="0"/>
            </w:pPr>
            <w:r w:rsidRPr="002029AF">
              <w:t>Total</w:t>
            </w:r>
          </w:p>
          <w:p w14:paraId="566ED960" w14:textId="77777777" w:rsidR="00087B91" w:rsidRPr="002029AF" w:rsidRDefault="00087B91" w:rsidP="00860E95">
            <w:pPr>
              <w:pStyle w:val="ARfintablecolheadright"/>
              <w:ind w:right="0"/>
            </w:pPr>
            <w:r w:rsidRPr="002029AF">
              <w:t>$M</w:t>
            </w:r>
          </w:p>
        </w:tc>
      </w:tr>
      <w:tr w:rsidR="00087B91" w:rsidRPr="002029AF" w14:paraId="617A82B6" w14:textId="77777777" w:rsidTr="00C81A0B">
        <w:tc>
          <w:tcPr>
            <w:tcW w:w="14591" w:type="dxa"/>
            <w:gridSpan w:val="18"/>
            <w:tcBorders>
              <w:top w:val="single" w:sz="4" w:space="0" w:color="auto"/>
              <w:bottom w:val="single" w:sz="4" w:space="0" w:color="A6A6A6"/>
            </w:tcBorders>
            <w:hideMark/>
          </w:tcPr>
          <w:p w14:paraId="1AA25A9A" w14:textId="5B47ADBE" w:rsidR="00087B91" w:rsidRPr="002029AF" w:rsidRDefault="00087B91" w:rsidP="00860E95">
            <w:pPr>
              <w:pStyle w:val="ARfintablebodybold"/>
              <w:ind w:right="0"/>
            </w:pPr>
            <w:r w:rsidRPr="002029AF">
              <w:t>Administered</w:t>
            </w:r>
            <w:r w:rsidR="000A5329" w:rsidRPr="002029AF">
              <w:t xml:space="preserve"> </w:t>
            </w:r>
            <w:r w:rsidRPr="002029AF">
              <w:t>income</w:t>
            </w:r>
            <w:r w:rsidR="000A5329" w:rsidRPr="002029AF">
              <w:t xml:space="preserve"> </w:t>
            </w:r>
            <w:r w:rsidRPr="002029AF">
              <w:t>from</w:t>
            </w:r>
            <w:r w:rsidR="000A5329" w:rsidRPr="002029AF">
              <w:t xml:space="preserve"> </w:t>
            </w:r>
            <w:r w:rsidRPr="002029AF">
              <w:t>transactions</w:t>
            </w:r>
          </w:p>
        </w:tc>
      </w:tr>
      <w:tr w:rsidR="00087B91" w:rsidRPr="002029AF" w14:paraId="135D901A" w14:textId="77777777" w:rsidTr="00C81A0B">
        <w:tc>
          <w:tcPr>
            <w:tcW w:w="3185" w:type="dxa"/>
            <w:tcBorders>
              <w:top w:val="single" w:sz="4" w:space="0" w:color="A6A6A6"/>
              <w:bottom w:val="single" w:sz="4" w:space="0" w:color="A6A6A6"/>
            </w:tcBorders>
            <w:hideMark/>
          </w:tcPr>
          <w:p w14:paraId="33F565DF" w14:textId="518F2D4C" w:rsidR="00087B91" w:rsidRPr="002029AF" w:rsidRDefault="00087B91" w:rsidP="00860E95">
            <w:pPr>
              <w:pStyle w:val="ARfintablebody"/>
            </w:pPr>
            <w:r w:rsidRPr="002029AF">
              <w:t>Commonwealth</w:t>
            </w:r>
            <w:r w:rsidR="000A5329" w:rsidRPr="002029AF">
              <w:t xml:space="preserve"> </w:t>
            </w:r>
            <w:r w:rsidRPr="002029AF">
              <w:t>contribution</w:t>
            </w:r>
            <w:r w:rsidR="000A5329" w:rsidRPr="002029AF">
              <w:t xml:space="preserve"> </w:t>
            </w:r>
            <w:r w:rsidRPr="002029AF">
              <w:t>to</w:t>
            </w:r>
            <w:r w:rsidR="000A5329" w:rsidRPr="002029AF">
              <w:t xml:space="preserve"> </w:t>
            </w:r>
            <w:r w:rsidRPr="002029AF">
              <w:t>the</w:t>
            </w:r>
            <w:r w:rsidR="000A5329" w:rsidRPr="002029AF">
              <w:t xml:space="preserve"> </w:t>
            </w:r>
            <w:r w:rsidRPr="002029AF">
              <w:t>national</w:t>
            </w:r>
            <w:r w:rsidR="000A5329" w:rsidRPr="002029AF">
              <w:t xml:space="preserve"> </w:t>
            </w:r>
            <w:r w:rsidRPr="002029AF">
              <w:t>health</w:t>
            </w:r>
            <w:r w:rsidR="000A5329" w:rsidRPr="002029AF">
              <w:t xml:space="preserve"> </w:t>
            </w:r>
            <w:r w:rsidRPr="002029AF">
              <w:t>reform</w:t>
            </w:r>
          </w:p>
        </w:tc>
        <w:tc>
          <w:tcPr>
            <w:tcW w:w="807" w:type="dxa"/>
            <w:tcBorders>
              <w:top w:val="single" w:sz="4" w:space="0" w:color="A6A6A6"/>
              <w:bottom w:val="single" w:sz="4" w:space="0" w:color="A6A6A6"/>
            </w:tcBorders>
            <w:noWrap/>
            <w:hideMark/>
          </w:tcPr>
          <w:p w14:paraId="6851E91C" w14:textId="77777777" w:rsidR="00087B91" w:rsidRPr="002029AF" w:rsidRDefault="00087B91" w:rsidP="00860E95">
            <w:pPr>
              <w:pStyle w:val="ARfintablebodyright"/>
              <w:ind w:right="0"/>
            </w:pPr>
            <w:r w:rsidRPr="002029AF">
              <w:t>4,763.0</w:t>
            </w:r>
          </w:p>
        </w:tc>
        <w:tc>
          <w:tcPr>
            <w:tcW w:w="634" w:type="dxa"/>
            <w:tcBorders>
              <w:top w:val="single" w:sz="4" w:space="0" w:color="A6A6A6"/>
              <w:bottom w:val="single" w:sz="4" w:space="0" w:color="A6A6A6"/>
            </w:tcBorders>
            <w:noWrap/>
            <w:hideMark/>
          </w:tcPr>
          <w:p w14:paraId="2968D3DB" w14:textId="77777777" w:rsidR="00087B91" w:rsidRPr="002029AF" w:rsidRDefault="00087B91" w:rsidP="00860E95">
            <w:pPr>
              <w:pStyle w:val="ARfintablebodyright"/>
              <w:ind w:right="0"/>
            </w:pPr>
            <w:r w:rsidRPr="002029AF">
              <w:t>–</w:t>
            </w:r>
          </w:p>
        </w:tc>
        <w:tc>
          <w:tcPr>
            <w:tcW w:w="634" w:type="dxa"/>
            <w:tcBorders>
              <w:top w:val="single" w:sz="4" w:space="0" w:color="A6A6A6"/>
              <w:bottom w:val="single" w:sz="4" w:space="0" w:color="A6A6A6"/>
            </w:tcBorders>
            <w:noWrap/>
            <w:hideMark/>
          </w:tcPr>
          <w:p w14:paraId="359435A0" w14:textId="77777777" w:rsidR="00087B91" w:rsidRPr="002029AF" w:rsidRDefault="00087B91" w:rsidP="00860E95">
            <w:pPr>
              <w:pStyle w:val="ARfintablebodyright"/>
              <w:ind w:right="0"/>
            </w:pPr>
            <w:r w:rsidRPr="002029AF">
              <w:t>493.1</w:t>
            </w:r>
          </w:p>
        </w:tc>
        <w:tc>
          <w:tcPr>
            <w:tcW w:w="633" w:type="dxa"/>
            <w:tcBorders>
              <w:top w:val="single" w:sz="4" w:space="0" w:color="A6A6A6"/>
              <w:bottom w:val="single" w:sz="4" w:space="0" w:color="A6A6A6"/>
            </w:tcBorders>
            <w:noWrap/>
            <w:hideMark/>
          </w:tcPr>
          <w:p w14:paraId="11DA1664"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7699B6F1" w14:textId="77777777" w:rsidR="00087B91" w:rsidRPr="002029AF" w:rsidRDefault="00087B91" w:rsidP="00860E95">
            <w:pPr>
              <w:pStyle w:val="ARfintablebodyright"/>
              <w:ind w:right="0"/>
            </w:pPr>
            <w:r w:rsidRPr="002029AF">
              <w:t>0.3</w:t>
            </w:r>
          </w:p>
        </w:tc>
        <w:tc>
          <w:tcPr>
            <w:tcW w:w="633" w:type="dxa"/>
            <w:tcBorders>
              <w:top w:val="single" w:sz="4" w:space="0" w:color="A6A6A6"/>
              <w:bottom w:val="single" w:sz="4" w:space="0" w:color="A6A6A6"/>
            </w:tcBorders>
            <w:noWrap/>
            <w:hideMark/>
          </w:tcPr>
          <w:p w14:paraId="020C39BC" w14:textId="77777777" w:rsidR="00087B91" w:rsidRPr="002029AF" w:rsidRDefault="00087B91" w:rsidP="00860E95">
            <w:pPr>
              <w:pStyle w:val="ARfintablebodyright"/>
              <w:ind w:right="0"/>
            </w:pPr>
            <w:r w:rsidRPr="002029AF">
              <w:t>136.9</w:t>
            </w:r>
          </w:p>
        </w:tc>
        <w:tc>
          <w:tcPr>
            <w:tcW w:w="633" w:type="dxa"/>
            <w:tcBorders>
              <w:top w:val="single" w:sz="4" w:space="0" w:color="A6A6A6"/>
              <w:bottom w:val="single" w:sz="4" w:space="0" w:color="A6A6A6"/>
            </w:tcBorders>
            <w:noWrap/>
            <w:hideMark/>
          </w:tcPr>
          <w:p w14:paraId="2A0F9047" w14:textId="77777777" w:rsidR="00087B91" w:rsidRPr="002029AF" w:rsidRDefault="00087B91" w:rsidP="00860E95">
            <w:pPr>
              <w:pStyle w:val="ARfintablebodyright"/>
              <w:ind w:right="0"/>
            </w:pPr>
            <w:r w:rsidRPr="002029AF">
              <w:t>112.4</w:t>
            </w:r>
          </w:p>
        </w:tc>
        <w:tc>
          <w:tcPr>
            <w:tcW w:w="633" w:type="dxa"/>
            <w:tcBorders>
              <w:top w:val="single" w:sz="4" w:space="0" w:color="A6A6A6"/>
              <w:bottom w:val="single" w:sz="4" w:space="0" w:color="A6A6A6"/>
            </w:tcBorders>
            <w:noWrap/>
            <w:hideMark/>
          </w:tcPr>
          <w:p w14:paraId="321EC95D" w14:textId="77777777" w:rsidR="00087B91" w:rsidRPr="002029AF" w:rsidRDefault="00087B91" w:rsidP="00860E95">
            <w:pPr>
              <w:pStyle w:val="ARfintablebodyright"/>
              <w:ind w:right="0"/>
            </w:pPr>
            <w:r w:rsidRPr="002029AF">
              <w:t>12.6</w:t>
            </w:r>
          </w:p>
        </w:tc>
        <w:tc>
          <w:tcPr>
            <w:tcW w:w="926" w:type="dxa"/>
            <w:tcBorders>
              <w:top w:val="single" w:sz="4" w:space="0" w:color="A6A6A6"/>
              <w:bottom w:val="single" w:sz="4" w:space="0" w:color="A6A6A6"/>
            </w:tcBorders>
            <w:noWrap/>
            <w:hideMark/>
          </w:tcPr>
          <w:p w14:paraId="621FCFE5"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79777F98"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7866F0A3"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202A9853"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1D226C6A"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4CA5E431"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133002CC"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33E7FB2A" w14:textId="77777777" w:rsidR="00087B91" w:rsidRPr="002029AF" w:rsidRDefault="00087B91" w:rsidP="00860E95">
            <w:pPr>
              <w:pStyle w:val="ARfintablebodyright"/>
              <w:ind w:right="0"/>
            </w:pPr>
            <w:r w:rsidRPr="002029AF">
              <w:t>–</w:t>
            </w:r>
          </w:p>
        </w:tc>
        <w:tc>
          <w:tcPr>
            <w:tcW w:w="806" w:type="dxa"/>
            <w:tcBorders>
              <w:top w:val="single" w:sz="4" w:space="0" w:color="A6A6A6"/>
              <w:bottom w:val="single" w:sz="4" w:space="0" w:color="A6A6A6"/>
            </w:tcBorders>
            <w:noWrap/>
            <w:hideMark/>
          </w:tcPr>
          <w:p w14:paraId="659B56CB" w14:textId="77777777" w:rsidR="00087B91" w:rsidRPr="002029AF" w:rsidRDefault="00087B91" w:rsidP="00860E95">
            <w:pPr>
              <w:pStyle w:val="ARfintablebodyright"/>
              <w:ind w:right="0"/>
            </w:pPr>
            <w:r w:rsidRPr="002029AF">
              <w:t>5,518.2</w:t>
            </w:r>
          </w:p>
        </w:tc>
      </w:tr>
      <w:tr w:rsidR="00087B91" w:rsidRPr="002029AF" w14:paraId="0CAAF005" w14:textId="77777777" w:rsidTr="00C81A0B">
        <w:tc>
          <w:tcPr>
            <w:tcW w:w="3185" w:type="dxa"/>
            <w:tcBorders>
              <w:top w:val="single" w:sz="4" w:space="0" w:color="A6A6A6"/>
              <w:bottom w:val="single" w:sz="4" w:space="0" w:color="A6A6A6"/>
            </w:tcBorders>
            <w:hideMark/>
          </w:tcPr>
          <w:p w14:paraId="076DED92" w14:textId="44F21C84" w:rsidR="00087B91" w:rsidRPr="002029AF" w:rsidRDefault="00087B91" w:rsidP="00860E95">
            <w:pPr>
              <w:pStyle w:val="ARfintablebody"/>
            </w:pPr>
            <w:r w:rsidRPr="002029AF">
              <w:t>State</w:t>
            </w:r>
            <w:r w:rsidR="000A5329" w:rsidRPr="002029AF">
              <w:t xml:space="preserve"> </w:t>
            </w:r>
            <w:r w:rsidRPr="002029AF">
              <w:t>contribution</w:t>
            </w:r>
            <w:r w:rsidR="000A5329" w:rsidRPr="002029AF">
              <w:t xml:space="preserve"> </w:t>
            </w:r>
            <w:r w:rsidRPr="002029AF">
              <w:t>to</w:t>
            </w:r>
            <w:r w:rsidR="000A5329" w:rsidRPr="002029AF">
              <w:t xml:space="preserve"> </w:t>
            </w:r>
            <w:r w:rsidRPr="002029AF">
              <w:t>the</w:t>
            </w:r>
            <w:r w:rsidR="000A5329" w:rsidRPr="002029AF">
              <w:t xml:space="preserve"> </w:t>
            </w:r>
            <w:r w:rsidRPr="002029AF">
              <w:t>national</w:t>
            </w:r>
            <w:r w:rsidR="000A5329" w:rsidRPr="002029AF">
              <w:t xml:space="preserve"> </w:t>
            </w:r>
            <w:r w:rsidRPr="002029AF">
              <w:t>health</w:t>
            </w:r>
            <w:r w:rsidR="000A5329" w:rsidRPr="002029AF">
              <w:t xml:space="preserve"> </w:t>
            </w:r>
            <w:r w:rsidRPr="002029AF">
              <w:t>reform</w:t>
            </w:r>
          </w:p>
        </w:tc>
        <w:tc>
          <w:tcPr>
            <w:tcW w:w="807" w:type="dxa"/>
            <w:tcBorders>
              <w:top w:val="single" w:sz="4" w:space="0" w:color="A6A6A6"/>
              <w:bottom w:val="single" w:sz="4" w:space="0" w:color="A6A6A6"/>
            </w:tcBorders>
            <w:noWrap/>
            <w:hideMark/>
          </w:tcPr>
          <w:p w14:paraId="1F3FAF64" w14:textId="77777777" w:rsidR="00087B91" w:rsidRPr="002029AF" w:rsidRDefault="00087B91" w:rsidP="00860E95">
            <w:pPr>
              <w:pStyle w:val="ARfintablebodyright"/>
              <w:ind w:right="0"/>
            </w:pPr>
            <w:r w:rsidRPr="002029AF">
              <w:t>5,968.9</w:t>
            </w:r>
          </w:p>
        </w:tc>
        <w:tc>
          <w:tcPr>
            <w:tcW w:w="634" w:type="dxa"/>
            <w:tcBorders>
              <w:top w:val="single" w:sz="4" w:space="0" w:color="A6A6A6"/>
              <w:bottom w:val="single" w:sz="4" w:space="0" w:color="A6A6A6"/>
            </w:tcBorders>
            <w:noWrap/>
            <w:hideMark/>
          </w:tcPr>
          <w:p w14:paraId="69384F64" w14:textId="77777777" w:rsidR="00087B91" w:rsidRPr="002029AF" w:rsidRDefault="00087B91" w:rsidP="00860E95">
            <w:pPr>
              <w:pStyle w:val="ARfintablebodyright"/>
              <w:ind w:right="0"/>
            </w:pPr>
            <w:r w:rsidRPr="002029AF">
              <w:t>–</w:t>
            </w:r>
          </w:p>
        </w:tc>
        <w:tc>
          <w:tcPr>
            <w:tcW w:w="634" w:type="dxa"/>
            <w:tcBorders>
              <w:top w:val="single" w:sz="4" w:space="0" w:color="A6A6A6"/>
              <w:bottom w:val="single" w:sz="4" w:space="0" w:color="A6A6A6"/>
            </w:tcBorders>
            <w:noWrap/>
            <w:hideMark/>
          </w:tcPr>
          <w:p w14:paraId="304A94C8" w14:textId="77777777" w:rsidR="00087B91" w:rsidRPr="002029AF" w:rsidRDefault="00087B91" w:rsidP="00860E95">
            <w:pPr>
              <w:pStyle w:val="ARfintablebodyright"/>
              <w:ind w:right="0"/>
            </w:pPr>
            <w:r w:rsidRPr="002029AF">
              <w:t>270.5</w:t>
            </w:r>
          </w:p>
        </w:tc>
        <w:tc>
          <w:tcPr>
            <w:tcW w:w="633" w:type="dxa"/>
            <w:tcBorders>
              <w:top w:val="single" w:sz="4" w:space="0" w:color="A6A6A6"/>
              <w:bottom w:val="single" w:sz="4" w:space="0" w:color="A6A6A6"/>
            </w:tcBorders>
            <w:noWrap/>
            <w:hideMark/>
          </w:tcPr>
          <w:p w14:paraId="383A9440"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3A561BB0"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147110DF"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50A0FDFF"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4B3D0850" w14:textId="77777777" w:rsidR="00087B91" w:rsidRPr="002029AF" w:rsidRDefault="00087B91" w:rsidP="00860E95">
            <w:pPr>
              <w:pStyle w:val="ARfintablebodyright"/>
              <w:ind w:right="0"/>
            </w:pPr>
            <w:r w:rsidRPr="002029AF">
              <w:t>–</w:t>
            </w:r>
          </w:p>
        </w:tc>
        <w:tc>
          <w:tcPr>
            <w:tcW w:w="926" w:type="dxa"/>
            <w:tcBorders>
              <w:top w:val="single" w:sz="4" w:space="0" w:color="A6A6A6"/>
              <w:bottom w:val="single" w:sz="4" w:space="0" w:color="A6A6A6"/>
            </w:tcBorders>
            <w:noWrap/>
            <w:hideMark/>
          </w:tcPr>
          <w:p w14:paraId="7F74B562"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3B5F6604"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55D97334"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1225843C"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444EAC51"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193573F3"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32ADE08F"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538C9907" w14:textId="77777777" w:rsidR="00087B91" w:rsidRPr="002029AF" w:rsidRDefault="00087B91" w:rsidP="00860E95">
            <w:pPr>
              <w:pStyle w:val="ARfintablebodyright"/>
              <w:ind w:right="0"/>
            </w:pPr>
            <w:r w:rsidRPr="002029AF">
              <w:t>–</w:t>
            </w:r>
          </w:p>
        </w:tc>
        <w:tc>
          <w:tcPr>
            <w:tcW w:w="806" w:type="dxa"/>
            <w:tcBorders>
              <w:top w:val="single" w:sz="4" w:space="0" w:color="A6A6A6"/>
              <w:bottom w:val="single" w:sz="4" w:space="0" w:color="A6A6A6"/>
            </w:tcBorders>
            <w:noWrap/>
            <w:hideMark/>
          </w:tcPr>
          <w:p w14:paraId="53D77B88" w14:textId="77777777" w:rsidR="00087B91" w:rsidRPr="002029AF" w:rsidRDefault="00087B91" w:rsidP="00860E95">
            <w:pPr>
              <w:pStyle w:val="ARfintablebodyright"/>
              <w:ind w:right="0"/>
            </w:pPr>
            <w:r w:rsidRPr="002029AF">
              <w:t>6,239.3</w:t>
            </w:r>
          </w:p>
        </w:tc>
      </w:tr>
      <w:tr w:rsidR="00087B91" w:rsidRPr="002029AF" w14:paraId="4247EAF6" w14:textId="77777777" w:rsidTr="00C81A0B">
        <w:tc>
          <w:tcPr>
            <w:tcW w:w="3185" w:type="dxa"/>
            <w:tcBorders>
              <w:top w:val="single" w:sz="4" w:space="0" w:color="A6A6A6"/>
              <w:bottom w:val="single" w:sz="4" w:space="0" w:color="A6A6A6"/>
            </w:tcBorders>
            <w:hideMark/>
          </w:tcPr>
          <w:p w14:paraId="14C69A9A" w14:textId="4C997B1D" w:rsidR="00087B91" w:rsidRPr="002029AF" w:rsidRDefault="00087B91" w:rsidP="00860E95">
            <w:pPr>
              <w:pStyle w:val="ARfintablebody"/>
            </w:pPr>
            <w:r w:rsidRPr="002029AF">
              <w:t>State</w:t>
            </w:r>
            <w:r w:rsidR="000A5329" w:rsidRPr="002029AF">
              <w:t xml:space="preserve"> </w:t>
            </w:r>
            <w:r w:rsidRPr="002029AF">
              <w:t>contribution</w:t>
            </w:r>
            <w:r w:rsidR="000A5329" w:rsidRPr="002029AF">
              <w:t xml:space="preserve"> </w:t>
            </w:r>
            <w:r w:rsidRPr="002029AF">
              <w:t>to</w:t>
            </w:r>
            <w:r w:rsidR="000A5329" w:rsidRPr="002029AF">
              <w:t xml:space="preserve"> </w:t>
            </w:r>
            <w:r w:rsidRPr="002029AF">
              <w:t>the</w:t>
            </w:r>
            <w:r w:rsidR="000A5329" w:rsidRPr="002029AF">
              <w:t xml:space="preserve"> </w:t>
            </w:r>
            <w:r w:rsidRPr="002029AF">
              <w:t>National</w:t>
            </w:r>
            <w:r w:rsidR="000A5329" w:rsidRPr="002029AF">
              <w:t xml:space="preserve"> </w:t>
            </w:r>
            <w:r w:rsidRPr="002029AF">
              <w:t>Disability</w:t>
            </w:r>
            <w:r w:rsidR="000A5329" w:rsidRPr="002029AF">
              <w:t xml:space="preserve"> </w:t>
            </w:r>
            <w:r w:rsidRPr="002029AF">
              <w:t>Insurance</w:t>
            </w:r>
            <w:r w:rsidR="000A5329" w:rsidRPr="002029AF">
              <w:t xml:space="preserve"> </w:t>
            </w:r>
            <w:r w:rsidRPr="002029AF">
              <w:t>Agency</w:t>
            </w:r>
          </w:p>
        </w:tc>
        <w:tc>
          <w:tcPr>
            <w:tcW w:w="807" w:type="dxa"/>
            <w:tcBorders>
              <w:top w:val="single" w:sz="4" w:space="0" w:color="A6A6A6"/>
              <w:bottom w:val="single" w:sz="4" w:space="0" w:color="A6A6A6"/>
            </w:tcBorders>
            <w:noWrap/>
            <w:hideMark/>
          </w:tcPr>
          <w:p w14:paraId="2225D4EC" w14:textId="77777777" w:rsidR="00087B91" w:rsidRPr="002029AF" w:rsidRDefault="00087B91" w:rsidP="00860E95">
            <w:pPr>
              <w:pStyle w:val="ARfintablebodyright"/>
              <w:ind w:right="0"/>
            </w:pPr>
            <w:r w:rsidRPr="002029AF">
              <w:t>–</w:t>
            </w:r>
          </w:p>
        </w:tc>
        <w:tc>
          <w:tcPr>
            <w:tcW w:w="634" w:type="dxa"/>
            <w:tcBorders>
              <w:top w:val="single" w:sz="4" w:space="0" w:color="A6A6A6"/>
              <w:bottom w:val="single" w:sz="4" w:space="0" w:color="A6A6A6"/>
            </w:tcBorders>
            <w:noWrap/>
            <w:hideMark/>
          </w:tcPr>
          <w:p w14:paraId="20662672" w14:textId="77777777" w:rsidR="00087B91" w:rsidRPr="002029AF" w:rsidRDefault="00087B91" w:rsidP="00860E95">
            <w:pPr>
              <w:pStyle w:val="ARfintablebodyright"/>
              <w:ind w:right="0"/>
            </w:pPr>
            <w:r w:rsidRPr="002029AF">
              <w:t>–</w:t>
            </w:r>
          </w:p>
        </w:tc>
        <w:tc>
          <w:tcPr>
            <w:tcW w:w="634" w:type="dxa"/>
            <w:tcBorders>
              <w:top w:val="single" w:sz="4" w:space="0" w:color="A6A6A6"/>
              <w:bottom w:val="single" w:sz="4" w:space="0" w:color="A6A6A6"/>
            </w:tcBorders>
            <w:noWrap/>
            <w:hideMark/>
          </w:tcPr>
          <w:p w14:paraId="09DDAC8C"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18313521"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32CFE44B"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6C75D8A6"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00055C7B"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68B99E0B" w14:textId="77777777" w:rsidR="00087B91" w:rsidRPr="002029AF" w:rsidRDefault="00087B91" w:rsidP="00860E95">
            <w:pPr>
              <w:pStyle w:val="ARfintablebodyright"/>
              <w:ind w:right="0"/>
            </w:pPr>
            <w:r w:rsidRPr="002029AF">
              <w:t>–</w:t>
            </w:r>
          </w:p>
        </w:tc>
        <w:tc>
          <w:tcPr>
            <w:tcW w:w="926" w:type="dxa"/>
            <w:tcBorders>
              <w:top w:val="single" w:sz="4" w:space="0" w:color="A6A6A6"/>
              <w:bottom w:val="single" w:sz="4" w:space="0" w:color="A6A6A6"/>
            </w:tcBorders>
            <w:noWrap/>
            <w:hideMark/>
          </w:tcPr>
          <w:p w14:paraId="33F0F127" w14:textId="77777777" w:rsidR="00087B91" w:rsidRPr="002029AF" w:rsidRDefault="00087B91" w:rsidP="00860E95">
            <w:pPr>
              <w:pStyle w:val="ARfintablebodyright"/>
              <w:ind w:right="0"/>
            </w:pPr>
            <w:r w:rsidRPr="002029AF">
              <w:t>1,019.6</w:t>
            </w:r>
          </w:p>
        </w:tc>
        <w:tc>
          <w:tcPr>
            <w:tcW w:w="633" w:type="dxa"/>
            <w:tcBorders>
              <w:top w:val="single" w:sz="4" w:space="0" w:color="A6A6A6"/>
              <w:bottom w:val="single" w:sz="4" w:space="0" w:color="A6A6A6"/>
            </w:tcBorders>
            <w:noWrap/>
            <w:hideMark/>
          </w:tcPr>
          <w:p w14:paraId="3D602EBF"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2DEE3D77"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27B8BD2C"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753E0AA3"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682AFE42"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54690B4F"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5CE3ADAA" w14:textId="77777777" w:rsidR="00087B91" w:rsidRPr="002029AF" w:rsidRDefault="00087B91" w:rsidP="00860E95">
            <w:pPr>
              <w:pStyle w:val="ARfintablebodyright"/>
              <w:ind w:right="0"/>
            </w:pPr>
            <w:r w:rsidRPr="002029AF">
              <w:t>–</w:t>
            </w:r>
          </w:p>
        </w:tc>
        <w:tc>
          <w:tcPr>
            <w:tcW w:w="806" w:type="dxa"/>
            <w:tcBorders>
              <w:top w:val="single" w:sz="4" w:space="0" w:color="A6A6A6"/>
              <w:bottom w:val="single" w:sz="4" w:space="0" w:color="A6A6A6"/>
            </w:tcBorders>
            <w:noWrap/>
            <w:hideMark/>
          </w:tcPr>
          <w:p w14:paraId="258A360A" w14:textId="77777777" w:rsidR="00087B91" w:rsidRPr="002029AF" w:rsidRDefault="00087B91" w:rsidP="00860E95">
            <w:pPr>
              <w:pStyle w:val="ARfintablebodyright"/>
              <w:ind w:right="0"/>
            </w:pPr>
            <w:r w:rsidRPr="002029AF">
              <w:t>1,019.6</w:t>
            </w:r>
          </w:p>
        </w:tc>
      </w:tr>
      <w:tr w:rsidR="00087B91" w:rsidRPr="002029AF" w14:paraId="4903A114" w14:textId="77777777" w:rsidTr="00C81A0B">
        <w:tc>
          <w:tcPr>
            <w:tcW w:w="3185" w:type="dxa"/>
            <w:tcBorders>
              <w:top w:val="single" w:sz="4" w:space="0" w:color="A6A6A6"/>
              <w:bottom w:val="single" w:sz="4" w:space="0" w:color="A6A6A6"/>
            </w:tcBorders>
            <w:hideMark/>
          </w:tcPr>
          <w:p w14:paraId="5C0DA43A" w14:textId="38840120" w:rsidR="00087B91" w:rsidRPr="002029AF" w:rsidRDefault="00087B91" w:rsidP="00860E95">
            <w:pPr>
              <w:pStyle w:val="ARfintablebody"/>
            </w:pPr>
            <w:r w:rsidRPr="002029AF">
              <w:t>Commonwealth</w:t>
            </w:r>
            <w:r w:rsidR="000A5329" w:rsidRPr="002029AF">
              <w:t xml:space="preserve"> </w:t>
            </w:r>
            <w:r w:rsidRPr="002029AF">
              <w:t>grants</w:t>
            </w:r>
          </w:p>
        </w:tc>
        <w:tc>
          <w:tcPr>
            <w:tcW w:w="807" w:type="dxa"/>
            <w:tcBorders>
              <w:top w:val="single" w:sz="4" w:space="0" w:color="A6A6A6"/>
              <w:bottom w:val="single" w:sz="4" w:space="0" w:color="A6A6A6"/>
            </w:tcBorders>
            <w:noWrap/>
            <w:hideMark/>
          </w:tcPr>
          <w:p w14:paraId="12621C24" w14:textId="77777777" w:rsidR="00087B91" w:rsidRPr="002029AF" w:rsidRDefault="00087B91" w:rsidP="00860E95">
            <w:pPr>
              <w:pStyle w:val="ARfintablebodyright"/>
              <w:ind w:right="0"/>
            </w:pPr>
            <w:r w:rsidRPr="002029AF">
              <w:t>986.5</w:t>
            </w:r>
          </w:p>
        </w:tc>
        <w:tc>
          <w:tcPr>
            <w:tcW w:w="634" w:type="dxa"/>
            <w:tcBorders>
              <w:top w:val="single" w:sz="4" w:space="0" w:color="A6A6A6"/>
              <w:bottom w:val="single" w:sz="4" w:space="0" w:color="A6A6A6"/>
            </w:tcBorders>
            <w:noWrap/>
            <w:hideMark/>
          </w:tcPr>
          <w:p w14:paraId="58DE471A" w14:textId="77777777" w:rsidR="00087B91" w:rsidRPr="002029AF" w:rsidRDefault="00087B91" w:rsidP="00860E95">
            <w:pPr>
              <w:pStyle w:val="ARfintablebodyright"/>
              <w:ind w:right="0"/>
            </w:pPr>
            <w:r w:rsidRPr="002029AF">
              <w:t>–</w:t>
            </w:r>
          </w:p>
        </w:tc>
        <w:tc>
          <w:tcPr>
            <w:tcW w:w="634" w:type="dxa"/>
            <w:tcBorders>
              <w:top w:val="single" w:sz="4" w:space="0" w:color="A6A6A6"/>
              <w:bottom w:val="single" w:sz="4" w:space="0" w:color="A6A6A6"/>
            </w:tcBorders>
            <w:noWrap/>
            <w:hideMark/>
          </w:tcPr>
          <w:p w14:paraId="625A88DC" w14:textId="77777777" w:rsidR="00087B91" w:rsidRPr="002029AF" w:rsidRDefault="00087B91" w:rsidP="00860E95">
            <w:pPr>
              <w:pStyle w:val="ARfintablebodyright"/>
              <w:ind w:right="0"/>
            </w:pPr>
            <w:r w:rsidRPr="002029AF">
              <w:t>0.2</w:t>
            </w:r>
          </w:p>
        </w:tc>
        <w:tc>
          <w:tcPr>
            <w:tcW w:w="633" w:type="dxa"/>
            <w:tcBorders>
              <w:top w:val="single" w:sz="4" w:space="0" w:color="A6A6A6"/>
              <w:bottom w:val="single" w:sz="4" w:space="0" w:color="A6A6A6"/>
            </w:tcBorders>
            <w:noWrap/>
            <w:hideMark/>
          </w:tcPr>
          <w:p w14:paraId="464146A6" w14:textId="77777777" w:rsidR="00087B91" w:rsidRPr="002029AF" w:rsidRDefault="00087B91" w:rsidP="00860E95">
            <w:pPr>
              <w:pStyle w:val="ARfintablebodyright"/>
              <w:ind w:right="0"/>
            </w:pPr>
            <w:r w:rsidRPr="002029AF">
              <w:t>65.7</w:t>
            </w:r>
          </w:p>
        </w:tc>
        <w:tc>
          <w:tcPr>
            <w:tcW w:w="633" w:type="dxa"/>
            <w:tcBorders>
              <w:top w:val="single" w:sz="4" w:space="0" w:color="A6A6A6"/>
              <w:bottom w:val="single" w:sz="4" w:space="0" w:color="A6A6A6"/>
            </w:tcBorders>
            <w:noWrap/>
            <w:hideMark/>
          </w:tcPr>
          <w:p w14:paraId="51402944"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257C032D"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21929749" w14:textId="77777777" w:rsidR="00087B91" w:rsidRPr="002029AF" w:rsidRDefault="00087B91" w:rsidP="00860E95">
            <w:pPr>
              <w:pStyle w:val="ARfintablebodyright"/>
              <w:ind w:right="0"/>
            </w:pPr>
            <w:r w:rsidRPr="002029AF">
              <w:t>0.1</w:t>
            </w:r>
          </w:p>
        </w:tc>
        <w:tc>
          <w:tcPr>
            <w:tcW w:w="633" w:type="dxa"/>
            <w:tcBorders>
              <w:top w:val="single" w:sz="4" w:space="0" w:color="A6A6A6"/>
              <w:bottom w:val="single" w:sz="4" w:space="0" w:color="A6A6A6"/>
            </w:tcBorders>
            <w:noWrap/>
            <w:hideMark/>
          </w:tcPr>
          <w:p w14:paraId="0FC29F5E" w14:textId="77777777" w:rsidR="00087B91" w:rsidRPr="002029AF" w:rsidRDefault="00087B91" w:rsidP="00860E95">
            <w:pPr>
              <w:pStyle w:val="ARfintablebodyright"/>
              <w:ind w:right="0"/>
            </w:pPr>
            <w:r w:rsidRPr="002029AF">
              <w:t>–</w:t>
            </w:r>
          </w:p>
        </w:tc>
        <w:tc>
          <w:tcPr>
            <w:tcW w:w="926" w:type="dxa"/>
            <w:tcBorders>
              <w:top w:val="single" w:sz="4" w:space="0" w:color="A6A6A6"/>
              <w:bottom w:val="single" w:sz="4" w:space="0" w:color="A6A6A6"/>
            </w:tcBorders>
            <w:noWrap/>
            <w:hideMark/>
          </w:tcPr>
          <w:p w14:paraId="38689671" w14:textId="77777777" w:rsidR="00087B91" w:rsidRPr="002029AF" w:rsidRDefault="00087B91" w:rsidP="00860E95">
            <w:pPr>
              <w:pStyle w:val="ARfintablebodyright"/>
              <w:ind w:right="0"/>
            </w:pPr>
            <w:r w:rsidRPr="002029AF">
              <w:t>53.1</w:t>
            </w:r>
          </w:p>
        </w:tc>
        <w:tc>
          <w:tcPr>
            <w:tcW w:w="633" w:type="dxa"/>
            <w:tcBorders>
              <w:top w:val="single" w:sz="4" w:space="0" w:color="A6A6A6"/>
              <w:bottom w:val="single" w:sz="4" w:space="0" w:color="A6A6A6"/>
            </w:tcBorders>
            <w:noWrap/>
            <w:hideMark/>
          </w:tcPr>
          <w:p w14:paraId="1F6036DC" w14:textId="77777777" w:rsidR="00087B91" w:rsidRPr="002029AF" w:rsidRDefault="00087B91" w:rsidP="00860E95">
            <w:pPr>
              <w:pStyle w:val="ARfintablebodyright"/>
              <w:ind w:right="0"/>
            </w:pPr>
            <w:r w:rsidRPr="002029AF">
              <w:t>2.0</w:t>
            </w:r>
          </w:p>
        </w:tc>
        <w:tc>
          <w:tcPr>
            <w:tcW w:w="633" w:type="dxa"/>
            <w:tcBorders>
              <w:top w:val="single" w:sz="4" w:space="0" w:color="A6A6A6"/>
              <w:bottom w:val="single" w:sz="4" w:space="0" w:color="A6A6A6"/>
            </w:tcBorders>
            <w:noWrap/>
            <w:hideMark/>
          </w:tcPr>
          <w:p w14:paraId="4925462D"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3602054A"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0691B2AA"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1E7FE1E0"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2B09181B"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16EE9376" w14:textId="77777777" w:rsidR="00087B91" w:rsidRPr="002029AF" w:rsidRDefault="00087B91" w:rsidP="00860E95">
            <w:pPr>
              <w:pStyle w:val="ARfintablebodyright"/>
              <w:ind w:right="0"/>
            </w:pPr>
            <w:r w:rsidRPr="002029AF">
              <w:t>–</w:t>
            </w:r>
          </w:p>
        </w:tc>
        <w:tc>
          <w:tcPr>
            <w:tcW w:w="806" w:type="dxa"/>
            <w:tcBorders>
              <w:top w:val="single" w:sz="4" w:space="0" w:color="A6A6A6"/>
              <w:bottom w:val="single" w:sz="4" w:space="0" w:color="A6A6A6"/>
            </w:tcBorders>
            <w:noWrap/>
            <w:hideMark/>
          </w:tcPr>
          <w:p w14:paraId="599BCC90" w14:textId="77777777" w:rsidR="00087B91" w:rsidRPr="002029AF" w:rsidRDefault="00087B91" w:rsidP="00860E95">
            <w:pPr>
              <w:pStyle w:val="ARfintablebodyright"/>
              <w:ind w:right="0"/>
            </w:pPr>
            <w:r w:rsidRPr="002029AF">
              <w:t>1,107.5</w:t>
            </w:r>
          </w:p>
        </w:tc>
      </w:tr>
      <w:tr w:rsidR="00087B91" w:rsidRPr="002029AF" w14:paraId="71FB4BB2" w14:textId="77777777" w:rsidTr="00C81A0B">
        <w:tc>
          <w:tcPr>
            <w:tcW w:w="3185" w:type="dxa"/>
            <w:tcBorders>
              <w:top w:val="single" w:sz="4" w:space="0" w:color="A6A6A6"/>
              <w:bottom w:val="single" w:sz="4" w:space="0" w:color="A6A6A6"/>
            </w:tcBorders>
            <w:hideMark/>
          </w:tcPr>
          <w:p w14:paraId="2B476445" w14:textId="5A4BD0ED" w:rsidR="00087B91" w:rsidRPr="002029AF" w:rsidRDefault="00087B91" w:rsidP="00860E95">
            <w:pPr>
              <w:pStyle w:val="ARfintablebody"/>
            </w:pPr>
            <w:r w:rsidRPr="002029AF">
              <w:t>Sales</w:t>
            </w:r>
            <w:r w:rsidR="000A5329" w:rsidRPr="002029AF">
              <w:t xml:space="preserve"> </w:t>
            </w:r>
            <w:r w:rsidRPr="002029AF">
              <w:t>of</w:t>
            </w:r>
            <w:r w:rsidR="000A5329" w:rsidRPr="002029AF">
              <w:t xml:space="preserve"> </w:t>
            </w:r>
            <w:r w:rsidRPr="002029AF">
              <w:t>goods</w:t>
            </w:r>
            <w:r w:rsidR="000A5329" w:rsidRPr="002029AF">
              <w:t xml:space="preserve"> </w:t>
            </w:r>
            <w:r w:rsidRPr="002029AF">
              <w:t>and</w:t>
            </w:r>
            <w:r w:rsidR="000A5329" w:rsidRPr="002029AF">
              <w:t xml:space="preserve"> </w:t>
            </w:r>
            <w:r w:rsidRPr="002029AF">
              <w:t>services</w:t>
            </w:r>
          </w:p>
        </w:tc>
        <w:tc>
          <w:tcPr>
            <w:tcW w:w="807" w:type="dxa"/>
            <w:tcBorders>
              <w:top w:val="single" w:sz="4" w:space="0" w:color="A6A6A6"/>
              <w:bottom w:val="single" w:sz="4" w:space="0" w:color="A6A6A6"/>
            </w:tcBorders>
            <w:noWrap/>
            <w:hideMark/>
          </w:tcPr>
          <w:p w14:paraId="6CDE6309" w14:textId="77777777" w:rsidR="00087B91" w:rsidRPr="002029AF" w:rsidRDefault="00087B91" w:rsidP="00860E95">
            <w:pPr>
              <w:pStyle w:val="ARfintablebodyright"/>
              <w:ind w:right="0"/>
            </w:pPr>
            <w:r w:rsidRPr="002029AF">
              <w:t>211.9</w:t>
            </w:r>
          </w:p>
        </w:tc>
        <w:tc>
          <w:tcPr>
            <w:tcW w:w="634" w:type="dxa"/>
            <w:tcBorders>
              <w:top w:val="single" w:sz="4" w:space="0" w:color="A6A6A6"/>
              <w:bottom w:val="single" w:sz="4" w:space="0" w:color="A6A6A6"/>
            </w:tcBorders>
            <w:noWrap/>
            <w:hideMark/>
          </w:tcPr>
          <w:p w14:paraId="2A8A4469" w14:textId="77777777" w:rsidR="00087B91" w:rsidRPr="002029AF" w:rsidRDefault="00087B91" w:rsidP="00860E95">
            <w:pPr>
              <w:pStyle w:val="ARfintablebodyright"/>
              <w:ind w:right="0"/>
            </w:pPr>
            <w:r w:rsidRPr="002029AF">
              <w:t>–</w:t>
            </w:r>
          </w:p>
        </w:tc>
        <w:tc>
          <w:tcPr>
            <w:tcW w:w="634" w:type="dxa"/>
            <w:tcBorders>
              <w:top w:val="single" w:sz="4" w:space="0" w:color="A6A6A6"/>
              <w:bottom w:val="single" w:sz="4" w:space="0" w:color="A6A6A6"/>
            </w:tcBorders>
            <w:noWrap/>
            <w:hideMark/>
          </w:tcPr>
          <w:p w14:paraId="156F389A" w14:textId="77777777" w:rsidR="00087B91" w:rsidRPr="002029AF" w:rsidRDefault="00087B91" w:rsidP="00860E95">
            <w:pPr>
              <w:pStyle w:val="ARfintablebodyright"/>
              <w:ind w:right="0"/>
            </w:pPr>
            <w:r w:rsidRPr="002029AF">
              <w:t>17.0</w:t>
            </w:r>
          </w:p>
        </w:tc>
        <w:tc>
          <w:tcPr>
            <w:tcW w:w="633" w:type="dxa"/>
            <w:tcBorders>
              <w:top w:val="single" w:sz="4" w:space="0" w:color="A6A6A6"/>
              <w:bottom w:val="single" w:sz="4" w:space="0" w:color="A6A6A6"/>
            </w:tcBorders>
            <w:noWrap/>
            <w:hideMark/>
          </w:tcPr>
          <w:p w14:paraId="66DB3838" w14:textId="77777777" w:rsidR="00087B91" w:rsidRPr="002029AF" w:rsidRDefault="00087B91" w:rsidP="00860E95">
            <w:pPr>
              <w:pStyle w:val="ARfintablebodyright"/>
              <w:ind w:right="0"/>
            </w:pPr>
            <w:r w:rsidRPr="002029AF">
              <w:t>1.5</w:t>
            </w:r>
          </w:p>
        </w:tc>
        <w:tc>
          <w:tcPr>
            <w:tcW w:w="633" w:type="dxa"/>
            <w:tcBorders>
              <w:top w:val="single" w:sz="4" w:space="0" w:color="A6A6A6"/>
              <w:bottom w:val="single" w:sz="4" w:space="0" w:color="A6A6A6"/>
            </w:tcBorders>
            <w:noWrap/>
            <w:hideMark/>
          </w:tcPr>
          <w:p w14:paraId="0308B91A" w14:textId="77777777" w:rsidR="00087B91" w:rsidRPr="002029AF" w:rsidRDefault="00087B91" w:rsidP="00860E95">
            <w:pPr>
              <w:pStyle w:val="ARfintablebodyright"/>
              <w:ind w:right="0"/>
            </w:pPr>
            <w:r w:rsidRPr="002029AF">
              <w:t>4.0</w:t>
            </w:r>
          </w:p>
        </w:tc>
        <w:tc>
          <w:tcPr>
            <w:tcW w:w="633" w:type="dxa"/>
            <w:tcBorders>
              <w:top w:val="single" w:sz="4" w:space="0" w:color="A6A6A6"/>
              <w:bottom w:val="single" w:sz="4" w:space="0" w:color="A6A6A6"/>
            </w:tcBorders>
            <w:noWrap/>
            <w:hideMark/>
          </w:tcPr>
          <w:p w14:paraId="00B1DE7C" w14:textId="77777777" w:rsidR="00087B91" w:rsidRPr="002029AF" w:rsidRDefault="00087B91" w:rsidP="00860E95">
            <w:pPr>
              <w:pStyle w:val="ARfintablebodyright"/>
              <w:ind w:right="0"/>
            </w:pPr>
            <w:r w:rsidRPr="002029AF">
              <w:t>4.5</w:t>
            </w:r>
          </w:p>
        </w:tc>
        <w:tc>
          <w:tcPr>
            <w:tcW w:w="633" w:type="dxa"/>
            <w:tcBorders>
              <w:top w:val="single" w:sz="4" w:space="0" w:color="A6A6A6"/>
              <w:bottom w:val="single" w:sz="4" w:space="0" w:color="A6A6A6"/>
            </w:tcBorders>
            <w:noWrap/>
            <w:hideMark/>
          </w:tcPr>
          <w:p w14:paraId="42B0EBD4"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1853F802" w14:textId="77777777" w:rsidR="00087B91" w:rsidRPr="002029AF" w:rsidRDefault="00087B91" w:rsidP="00860E95">
            <w:pPr>
              <w:pStyle w:val="ARfintablebodyright"/>
              <w:ind w:right="0"/>
            </w:pPr>
            <w:r w:rsidRPr="002029AF">
              <w:t>0.7</w:t>
            </w:r>
          </w:p>
        </w:tc>
        <w:tc>
          <w:tcPr>
            <w:tcW w:w="926" w:type="dxa"/>
            <w:tcBorders>
              <w:top w:val="single" w:sz="4" w:space="0" w:color="A6A6A6"/>
              <w:bottom w:val="single" w:sz="4" w:space="0" w:color="A6A6A6"/>
            </w:tcBorders>
            <w:noWrap/>
            <w:hideMark/>
          </w:tcPr>
          <w:p w14:paraId="685E1CD9" w14:textId="77777777" w:rsidR="00087B91" w:rsidRPr="002029AF" w:rsidRDefault="00087B91" w:rsidP="00860E95">
            <w:pPr>
              <w:pStyle w:val="ARfintablebodyright"/>
              <w:ind w:right="0"/>
            </w:pPr>
            <w:r w:rsidRPr="002029AF">
              <w:t>18.2</w:t>
            </w:r>
          </w:p>
        </w:tc>
        <w:tc>
          <w:tcPr>
            <w:tcW w:w="633" w:type="dxa"/>
            <w:tcBorders>
              <w:top w:val="single" w:sz="4" w:space="0" w:color="A6A6A6"/>
              <w:bottom w:val="single" w:sz="4" w:space="0" w:color="A6A6A6"/>
            </w:tcBorders>
            <w:noWrap/>
            <w:hideMark/>
          </w:tcPr>
          <w:p w14:paraId="7D858C8A"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076D96ED"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1243C144"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4C5A05E6"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34A12B3C"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26047F1B"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158CEE47" w14:textId="77777777" w:rsidR="00087B91" w:rsidRPr="002029AF" w:rsidRDefault="00087B91" w:rsidP="00860E95">
            <w:pPr>
              <w:pStyle w:val="ARfintablebodyright"/>
              <w:ind w:right="0"/>
            </w:pPr>
            <w:r w:rsidRPr="002029AF">
              <w:t>–</w:t>
            </w:r>
          </w:p>
        </w:tc>
        <w:tc>
          <w:tcPr>
            <w:tcW w:w="806" w:type="dxa"/>
            <w:tcBorders>
              <w:top w:val="single" w:sz="4" w:space="0" w:color="A6A6A6"/>
              <w:bottom w:val="single" w:sz="4" w:space="0" w:color="A6A6A6"/>
            </w:tcBorders>
            <w:noWrap/>
            <w:hideMark/>
          </w:tcPr>
          <w:p w14:paraId="5A9DC77F" w14:textId="77777777" w:rsidR="00087B91" w:rsidRPr="002029AF" w:rsidRDefault="00087B91" w:rsidP="00860E95">
            <w:pPr>
              <w:pStyle w:val="ARfintablebodyright"/>
              <w:ind w:right="0"/>
            </w:pPr>
            <w:r w:rsidRPr="002029AF">
              <w:t>257.7</w:t>
            </w:r>
          </w:p>
        </w:tc>
      </w:tr>
      <w:tr w:rsidR="00087B91" w:rsidRPr="002029AF" w14:paraId="3ECDC5F0" w14:textId="77777777" w:rsidTr="00C81A0B">
        <w:tc>
          <w:tcPr>
            <w:tcW w:w="3185" w:type="dxa"/>
            <w:tcBorders>
              <w:top w:val="single" w:sz="4" w:space="0" w:color="A6A6A6"/>
              <w:bottom w:val="single" w:sz="4" w:space="0" w:color="A6A6A6"/>
            </w:tcBorders>
            <w:hideMark/>
          </w:tcPr>
          <w:p w14:paraId="5093CF78" w14:textId="2ABE55D9" w:rsidR="00087B91" w:rsidRPr="002029AF" w:rsidRDefault="00087B91" w:rsidP="00860E95">
            <w:pPr>
              <w:pStyle w:val="ARfintablebody"/>
            </w:pPr>
            <w:r w:rsidRPr="002029AF">
              <w:t>Appropriations</w:t>
            </w:r>
            <w:r w:rsidR="000A5329" w:rsidRPr="002029AF">
              <w:t xml:space="preserve"> </w:t>
            </w:r>
            <w:r w:rsidRPr="002029AF">
              <w:t>–</w:t>
            </w:r>
            <w:r w:rsidR="000A5329" w:rsidRPr="002029AF">
              <w:t xml:space="preserve"> </w:t>
            </w:r>
            <w:r w:rsidRPr="002029AF">
              <w:t>payments</w:t>
            </w:r>
            <w:r w:rsidR="000A5329" w:rsidRPr="002029AF">
              <w:t xml:space="preserve"> </w:t>
            </w:r>
            <w:r w:rsidRPr="002029AF">
              <w:t>made</w:t>
            </w:r>
            <w:r w:rsidR="000A5329" w:rsidRPr="002029AF">
              <w:t xml:space="preserve"> </w:t>
            </w:r>
            <w:r w:rsidRPr="002029AF">
              <w:t>on</w:t>
            </w:r>
            <w:r w:rsidR="000A5329" w:rsidRPr="002029AF">
              <w:t xml:space="preserve"> </w:t>
            </w:r>
            <w:r w:rsidRPr="002029AF">
              <w:t>behalf</w:t>
            </w:r>
            <w:r w:rsidR="000A5329" w:rsidRPr="002029AF">
              <w:t xml:space="preserve"> </w:t>
            </w:r>
            <w:r w:rsidRPr="002029AF">
              <w:t>of</w:t>
            </w:r>
            <w:r w:rsidR="000A5329" w:rsidRPr="002029AF">
              <w:t xml:space="preserve"> </w:t>
            </w:r>
            <w:r w:rsidRPr="002029AF">
              <w:t>the</w:t>
            </w:r>
            <w:r w:rsidR="000A5329" w:rsidRPr="002029AF">
              <w:t xml:space="preserve"> </w:t>
            </w:r>
            <w:r w:rsidRPr="002029AF">
              <w:t>state</w:t>
            </w:r>
          </w:p>
        </w:tc>
        <w:tc>
          <w:tcPr>
            <w:tcW w:w="807" w:type="dxa"/>
            <w:tcBorders>
              <w:top w:val="single" w:sz="4" w:space="0" w:color="A6A6A6"/>
              <w:bottom w:val="single" w:sz="4" w:space="0" w:color="A6A6A6"/>
            </w:tcBorders>
            <w:noWrap/>
            <w:hideMark/>
          </w:tcPr>
          <w:p w14:paraId="518B0656" w14:textId="77777777" w:rsidR="00087B91" w:rsidRPr="002029AF" w:rsidRDefault="00087B91" w:rsidP="00860E95">
            <w:pPr>
              <w:pStyle w:val="ARfintablebodyright"/>
              <w:ind w:right="0"/>
            </w:pPr>
            <w:r w:rsidRPr="002029AF">
              <w:t>–</w:t>
            </w:r>
          </w:p>
        </w:tc>
        <w:tc>
          <w:tcPr>
            <w:tcW w:w="634" w:type="dxa"/>
            <w:tcBorders>
              <w:top w:val="single" w:sz="4" w:space="0" w:color="A6A6A6"/>
              <w:bottom w:val="single" w:sz="4" w:space="0" w:color="A6A6A6"/>
            </w:tcBorders>
            <w:noWrap/>
            <w:hideMark/>
          </w:tcPr>
          <w:p w14:paraId="5D7EDF9E" w14:textId="77777777" w:rsidR="00087B91" w:rsidRPr="002029AF" w:rsidRDefault="00087B91" w:rsidP="00860E95">
            <w:pPr>
              <w:pStyle w:val="ARfintablebodyright"/>
              <w:ind w:right="0"/>
            </w:pPr>
            <w:r w:rsidRPr="002029AF">
              <w:t>–</w:t>
            </w:r>
          </w:p>
        </w:tc>
        <w:tc>
          <w:tcPr>
            <w:tcW w:w="634" w:type="dxa"/>
            <w:tcBorders>
              <w:top w:val="single" w:sz="4" w:space="0" w:color="A6A6A6"/>
              <w:bottom w:val="single" w:sz="4" w:space="0" w:color="A6A6A6"/>
            </w:tcBorders>
            <w:noWrap/>
            <w:hideMark/>
          </w:tcPr>
          <w:p w14:paraId="67558A16"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579F5817" w14:textId="77777777" w:rsidR="00087B91" w:rsidRPr="002029AF" w:rsidRDefault="00087B91" w:rsidP="00860E95">
            <w:pPr>
              <w:pStyle w:val="ARfintablebodyright"/>
              <w:ind w:right="0"/>
            </w:pPr>
            <w:r w:rsidRPr="002029AF">
              <w:t>64.5</w:t>
            </w:r>
          </w:p>
        </w:tc>
        <w:tc>
          <w:tcPr>
            <w:tcW w:w="633" w:type="dxa"/>
            <w:tcBorders>
              <w:top w:val="single" w:sz="4" w:space="0" w:color="A6A6A6"/>
              <w:bottom w:val="single" w:sz="4" w:space="0" w:color="A6A6A6"/>
            </w:tcBorders>
            <w:noWrap/>
            <w:hideMark/>
          </w:tcPr>
          <w:p w14:paraId="17034BFD"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7486F662"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78A706C2"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3ABB35BD" w14:textId="77777777" w:rsidR="00087B91" w:rsidRPr="002029AF" w:rsidRDefault="00087B91" w:rsidP="00860E95">
            <w:pPr>
              <w:pStyle w:val="ARfintablebodyright"/>
              <w:ind w:right="0"/>
            </w:pPr>
            <w:r w:rsidRPr="002029AF">
              <w:t>–</w:t>
            </w:r>
          </w:p>
        </w:tc>
        <w:tc>
          <w:tcPr>
            <w:tcW w:w="926" w:type="dxa"/>
            <w:tcBorders>
              <w:top w:val="single" w:sz="4" w:space="0" w:color="A6A6A6"/>
              <w:bottom w:val="single" w:sz="4" w:space="0" w:color="A6A6A6"/>
            </w:tcBorders>
            <w:noWrap/>
            <w:hideMark/>
          </w:tcPr>
          <w:p w14:paraId="3B0977D7"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75474752"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4A881B49"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628B9B28"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20CC2CFE"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53E6CF7C"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58B29F43"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5794B7A9" w14:textId="77777777" w:rsidR="00087B91" w:rsidRPr="002029AF" w:rsidRDefault="00087B91" w:rsidP="00860E95">
            <w:pPr>
              <w:pStyle w:val="ARfintablebodyright"/>
              <w:ind w:right="0"/>
            </w:pPr>
            <w:r w:rsidRPr="002029AF">
              <w:t>–</w:t>
            </w:r>
          </w:p>
        </w:tc>
        <w:tc>
          <w:tcPr>
            <w:tcW w:w="806" w:type="dxa"/>
            <w:tcBorders>
              <w:top w:val="single" w:sz="4" w:space="0" w:color="A6A6A6"/>
              <w:bottom w:val="single" w:sz="4" w:space="0" w:color="A6A6A6"/>
            </w:tcBorders>
            <w:noWrap/>
            <w:hideMark/>
          </w:tcPr>
          <w:p w14:paraId="7F56C4ED" w14:textId="77777777" w:rsidR="00087B91" w:rsidRPr="002029AF" w:rsidRDefault="00087B91" w:rsidP="00860E95">
            <w:pPr>
              <w:pStyle w:val="ARfintablebodyright"/>
              <w:ind w:right="0"/>
            </w:pPr>
            <w:r w:rsidRPr="002029AF">
              <w:t>64.5</w:t>
            </w:r>
          </w:p>
        </w:tc>
      </w:tr>
      <w:tr w:rsidR="00087B91" w:rsidRPr="002029AF" w14:paraId="1DD34715" w14:textId="77777777" w:rsidTr="00C81A0B">
        <w:tc>
          <w:tcPr>
            <w:tcW w:w="3185" w:type="dxa"/>
            <w:tcBorders>
              <w:top w:val="single" w:sz="4" w:space="0" w:color="A6A6A6"/>
              <w:bottom w:val="single" w:sz="4" w:space="0" w:color="A6A6A6"/>
            </w:tcBorders>
            <w:hideMark/>
          </w:tcPr>
          <w:p w14:paraId="772F5C2E" w14:textId="32384427" w:rsidR="00087B91" w:rsidRPr="002029AF" w:rsidRDefault="00087B91" w:rsidP="00860E95">
            <w:pPr>
              <w:pStyle w:val="ARfintablebody"/>
            </w:pPr>
            <w:r w:rsidRPr="002029AF">
              <w:t>Interest</w:t>
            </w:r>
            <w:r w:rsidR="000A5329" w:rsidRPr="002029AF">
              <w:t xml:space="preserve"> </w:t>
            </w:r>
            <w:r w:rsidRPr="002029AF">
              <w:t>income</w:t>
            </w:r>
          </w:p>
        </w:tc>
        <w:tc>
          <w:tcPr>
            <w:tcW w:w="807" w:type="dxa"/>
            <w:tcBorders>
              <w:top w:val="single" w:sz="4" w:space="0" w:color="A6A6A6"/>
              <w:bottom w:val="single" w:sz="4" w:space="0" w:color="A6A6A6"/>
            </w:tcBorders>
            <w:noWrap/>
            <w:hideMark/>
          </w:tcPr>
          <w:p w14:paraId="6EF0424D" w14:textId="77777777" w:rsidR="00087B91" w:rsidRPr="002029AF" w:rsidRDefault="00087B91" w:rsidP="00860E95">
            <w:pPr>
              <w:pStyle w:val="ARfintablebodyright"/>
              <w:ind w:right="0"/>
            </w:pPr>
            <w:r w:rsidRPr="002029AF">
              <w:t>0.6</w:t>
            </w:r>
          </w:p>
        </w:tc>
        <w:tc>
          <w:tcPr>
            <w:tcW w:w="634" w:type="dxa"/>
            <w:tcBorders>
              <w:top w:val="single" w:sz="4" w:space="0" w:color="A6A6A6"/>
              <w:bottom w:val="single" w:sz="4" w:space="0" w:color="A6A6A6"/>
            </w:tcBorders>
            <w:noWrap/>
            <w:hideMark/>
          </w:tcPr>
          <w:p w14:paraId="122C6BE7" w14:textId="77777777" w:rsidR="00087B91" w:rsidRPr="002029AF" w:rsidRDefault="00087B91" w:rsidP="00860E95">
            <w:pPr>
              <w:pStyle w:val="ARfintablebodyright"/>
              <w:ind w:right="0"/>
            </w:pPr>
            <w:r w:rsidRPr="002029AF">
              <w:t>–</w:t>
            </w:r>
          </w:p>
        </w:tc>
        <w:tc>
          <w:tcPr>
            <w:tcW w:w="634" w:type="dxa"/>
            <w:tcBorders>
              <w:top w:val="single" w:sz="4" w:space="0" w:color="A6A6A6"/>
              <w:bottom w:val="single" w:sz="4" w:space="0" w:color="A6A6A6"/>
            </w:tcBorders>
            <w:noWrap/>
            <w:hideMark/>
          </w:tcPr>
          <w:p w14:paraId="4D342DFF"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65D56880"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4716E0AC"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53B60F15"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0A6D885A"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27149181" w14:textId="77777777" w:rsidR="00087B91" w:rsidRPr="002029AF" w:rsidRDefault="00087B91" w:rsidP="00860E95">
            <w:pPr>
              <w:pStyle w:val="ARfintablebodyright"/>
              <w:ind w:right="0"/>
            </w:pPr>
            <w:r w:rsidRPr="002029AF">
              <w:t>–</w:t>
            </w:r>
          </w:p>
        </w:tc>
        <w:tc>
          <w:tcPr>
            <w:tcW w:w="926" w:type="dxa"/>
            <w:tcBorders>
              <w:top w:val="single" w:sz="4" w:space="0" w:color="A6A6A6"/>
              <w:bottom w:val="single" w:sz="4" w:space="0" w:color="A6A6A6"/>
            </w:tcBorders>
            <w:noWrap/>
            <w:hideMark/>
          </w:tcPr>
          <w:p w14:paraId="5B1ECD2A"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47B1B327"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0732B26B"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3EF35EC8"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1987E312"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0D1ED6CD"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73231EDB"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2563B417" w14:textId="77777777" w:rsidR="00087B91" w:rsidRPr="002029AF" w:rsidRDefault="00087B91" w:rsidP="00860E95">
            <w:pPr>
              <w:pStyle w:val="ARfintablebodyright"/>
              <w:ind w:right="0"/>
            </w:pPr>
            <w:r w:rsidRPr="002029AF">
              <w:t>–</w:t>
            </w:r>
          </w:p>
        </w:tc>
        <w:tc>
          <w:tcPr>
            <w:tcW w:w="806" w:type="dxa"/>
            <w:tcBorders>
              <w:top w:val="single" w:sz="4" w:space="0" w:color="A6A6A6"/>
              <w:bottom w:val="single" w:sz="4" w:space="0" w:color="A6A6A6"/>
            </w:tcBorders>
            <w:noWrap/>
            <w:hideMark/>
          </w:tcPr>
          <w:p w14:paraId="7D00ABFF" w14:textId="77777777" w:rsidR="00087B91" w:rsidRPr="002029AF" w:rsidRDefault="00087B91" w:rsidP="00860E95">
            <w:pPr>
              <w:pStyle w:val="ARfintablebodyright"/>
              <w:ind w:right="0"/>
            </w:pPr>
            <w:r w:rsidRPr="002029AF">
              <w:t>0.6</w:t>
            </w:r>
          </w:p>
        </w:tc>
      </w:tr>
      <w:tr w:rsidR="00087B91" w:rsidRPr="002029AF" w14:paraId="658D5BC2" w14:textId="77777777" w:rsidTr="00C81A0B">
        <w:tc>
          <w:tcPr>
            <w:tcW w:w="3185" w:type="dxa"/>
            <w:tcBorders>
              <w:top w:val="single" w:sz="4" w:space="0" w:color="A6A6A6"/>
              <w:bottom w:val="single" w:sz="4" w:space="0" w:color="A6A6A6"/>
            </w:tcBorders>
            <w:hideMark/>
          </w:tcPr>
          <w:p w14:paraId="4D5AA467" w14:textId="77777777" w:rsidR="00087B91" w:rsidRPr="002029AF" w:rsidRDefault="00087B91" w:rsidP="00860E95">
            <w:pPr>
              <w:pStyle w:val="ARfintablebody"/>
            </w:pPr>
            <w:r w:rsidRPr="002029AF">
              <w:t>Fees</w:t>
            </w:r>
          </w:p>
        </w:tc>
        <w:tc>
          <w:tcPr>
            <w:tcW w:w="807" w:type="dxa"/>
            <w:tcBorders>
              <w:top w:val="single" w:sz="4" w:space="0" w:color="A6A6A6"/>
              <w:bottom w:val="single" w:sz="4" w:space="0" w:color="A6A6A6"/>
            </w:tcBorders>
            <w:noWrap/>
            <w:hideMark/>
          </w:tcPr>
          <w:p w14:paraId="2961F0F7" w14:textId="77777777" w:rsidR="00087B91" w:rsidRPr="002029AF" w:rsidRDefault="00087B91" w:rsidP="00860E95">
            <w:pPr>
              <w:pStyle w:val="ARfintablebodyright"/>
              <w:ind w:right="0"/>
            </w:pPr>
            <w:r w:rsidRPr="002029AF">
              <w:t>–</w:t>
            </w:r>
          </w:p>
        </w:tc>
        <w:tc>
          <w:tcPr>
            <w:tcW w:w="634" w:type="dxa"/>
            <w:tcBorders>
              <w:top w:val="single" w:sz="4" w:space="0" w:color="A6A6A6"/>
              <w:bottom w:val="single" w:sz="4" w:space="0" w:color="A6A6A6"/>
            </w:tcBorders>
            <w:noWrap/>
            <w:hideMark/>
          </w:tcPr>
          <w:p w14:paraId="2D65FCA3" w14:textId="77777777" w:rsidR="00087B91" w:rsidRPr="002029AF" w:rsidRDefault="00087B91" w:rsidP="00860E95">
            <w:pPr>
              <w:pStyle w:val="ARfintablebodyright"/>
              <w:ind w:right="0"/>
            </w:pPr>
            <w:r w:rsidRPr="002029AF">
              <w:t>–</w:t>
            </w:r>
          </w:p>
        </w:tc>
        <w:tc>
          <w:tcPr>
            <w:tcW w:w="634" w:type="dxa"/>
            <w:tcBorders>
              <w:top w:val="single" w:sz="4" w:space="0" w:color="A6A6A6"/>
              <w:bottom w:val="single" w:sz="4" w:space="0" w:color="A6A6A6"/>
            </w:tcBorders>
            <w:noWrap/>
            <w:hideMark/>
          </w:tcPr>
          <w:p w14:paraId="3C99C8F0"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72BE8337"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11BCC1A1"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115CFFA7"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37C86C0E" w14:textId="77777777" w:rsidR="00087B91" w:rsidRPr="002029AF" w:rsidRDefault="00087B91" w:rsidP="00860E95">
            <w:pPr>
              <w:pStyle w:val="ARfintablebodyright"/>
              <w:ind w:right="0"/>
            </w:pPr>
            <w:r w:rsidRPr="002029AF">
              <w:t>10.3</w:t>
            </w:r>
          </w:p>
        </w:tc>
        <w:tc>
          <w:tcPr>
            <w:tcW w:w="633" w:type="dxa"/>
            <w:tcBorders>
              <w:top w:val="single" w:sz="4" w:space="0" w:color="A6A6A6"/>
              <w:bottom w:val="single" w:sz="4" w:space="0" w:color="A6A6A6"/>
            </w:tcBorders>
            <w:noWrap/>
            <w:hideMark/>
          </w:tcPr>
          <w:p w14:paraId="1EE62C61" w14:textId="77777777" w:rsidR="00087B91" w:rsidRPr="002029AF" w:rsidRDefault="00087B91" w:rsidP="00860E95">
            <w:pPr>
              <w:pStyle w:val="ARfintablebodyright"/>
              <w:ind w:right="0"/>
            </w:pPr>
            <w:r w:rsidRPr="002029AF">
              <w:t>0.8</w:t>
            </w:r>
          </w:p>
        </w:tc>
        <w:tc>
          <w:tcPr>
            <w:tcW w:w="926" w:type="dxa"/>
            <w:tcBorders>
              <w:top w:val="single" w:sz="4" w:space="0" w:color="A6A6A6"/>
              <w:bottom w:val="single" w:sz="4" w:space="0" w:color="A6A6A6"/>
            </w:tcBorders>
            <w:noWrap/>
            <w:hideMark/>
          </w:tcPr>
          <w:p w14:paraId="7F41502A"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07AD4DAD"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1E89A76A"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21E83E83"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65B2F97C"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1E19F858"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655909D4"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23DAFD42" w14:textId="77777777" w:rsidR="00087B91" w:rsidRPr="002029AF" w:rsidRDefault="00087B91" w:rsidP="00860E95">
            <w:pPr>
              <w:pStyle w:val="ARfintablebodyright"/>
              <w:ind w:right="0"/>
            </w:pPr>
            <w:r w:rsidRPr="002029AF">
              <w:t>–</w:t>
            </w:r>
          </w:p>
        </w:tc>
        <w:tc>
          <w:tcPr>
            <w:tcW w:w="806" w:type="dxa"/>
            <w:tcBorders>
              <w:top w:val="single" w:sz="4" w:space="0" w:color="A6A6A6"/>
              <w:bottom w:val="single" w:sz="4" w:space="0" w:color="A6A6A6"/>
            </w:tcBorders>
            <w:noWrap/>
            <w:hideMark/>
          </w:tcPr>
          <w:p w14:paraId="23328E64" w14:textId="77777777" w:rsidR="00087B91" w:rsidRPr="002029AF" w:rsidRDefault="00087B91" w:rsidP="00860E95">
            <w:pPr>
              <w:pStyle w:val="ARfintablebodyright"/>
              <w:ind w:right="0"/>
            </w:pPr>
            <w:r w:rsidRPr="002029AF">
              <w:t>11.0</w:t>
            </w:r>
          </w:p>
        </w:tc>
      </w:tr>
      <w:tr w:rsidR="00087B91" w:rsidRPr="002029AF" w14:paraId="6F1135C6" w14:textId="77777777" w:rsidTr="00C81A0B">
        <w:tc>
          <w:tcPr>
            <w:tcW w:w="3185" w:type="dxa"/>
            <w:tcBorders>
              <w:top w:val="single" w:sz="4" w:space="0" w:color="A6A6A6"/>
              <w:bottom w:val="single" w:sz="4" w:space="0" w:color="A6A6A6"/>
            </w:tcBorders>
            <w:hideMark/>
          </w:tcPr>
          <w:p w14:paraId="7B05FB9D" w14:textId="12B507B2" w:rsidR="00087B91" w:rsidRPr="002029AF" w:rsidRDefault="00087B91" w:rsidP="00860E95">
            <w:pPr>
              <w:pStyle w:val="ARfintablebody"/>
            </w:pPr>
            <w:r w:rsidRPr="002029AF">
              <w:t>Grants</w:t>
            </w:r>
            <w:r w:rsidR="000A5329" w:rsidRPr="002029AF">
              <w:t xml:space="preserve"> </w:t>
            </w:r>
            <w:r w:rsidRPr="002029AF">
              <w:t>and</w:t>
            </w:r>
            <w:r w:rsidR="000A5329" w:rsidRPr="002029AF">
              <w:t xml:space="preserve"> </w:t>
            </w:r>
            <w:r w:rsidRPr="002029AF">
              <w:t>other</w:t>
            </w:r>
            <w:r w:rsidR="000A5329" w:rsidRPr="002029AF">
              <w:t xml:space="preserve"> </w:t>
            </w:r>
            <w:r w:rsidRPr="002029AF">
              <w:t>income</w:t>
            </w:r>
            <w:r w:rsidR="000A5329" w:rsidRPr="002029AF">
              <w:t xml:space="preserve"> </w:t>
            </w:r>
            <w:r w:rsidRPr="002029AF">
              <w:t>transfers</w:t>
            </w:r>
          </w:p>
        </w:tc>
        <w:tc>
          <w:tcPr>
            <w:tcW w:w="807" w:type="dxa"/>
            <w:tcBorders>
              <w:top w:val="single" w:sz="4" w:space="0" w:color="A6A6A6"/>
              <w:bottom w:val="single" w:sz="4" w:space="0" w:color="A6A6A6"/>
            </w:tcBorders>
            <w:noWrap/>
            <w:hideMark/>
          </w:tcPr>
          <w:p w14:paraId="2F92A395" w14:textId="77777777" w:rsidR="00087B91" w:rsidRPr="002029AF" w:rsidRDefault="00087B91" w:rsidP="00860E95">
            <w:pPr>
              <w:pStyle w:val="ARfintablebodyright"/>
              <w:ind w:right="0"/>
            </w:pPr>
            <w:r w:rsidRPr="002029AF">
              <w:t>244.4</w:t>
            </w:r>
          </w:p>
        </w:tc>
        <w:tc>
          <w:tcPr>
            <w:tcW w:w="634" w:type="dxa"/>
            <w:tcBorders>
              <w:top w:val="single" w:sz="4" w:space="0" w:color="A6A6A6"/>
              <w:bottom w:val="single" w:sz="4" w:space="0" w:color="A6A6A6"/>
            </w:tcBorders>
            <w:noWrap/>
            <w:hideMark/>
          </w:tcPr>
          <w:p w14:paraId="279A5430" w14:textId="77777777" w:rsidR="00087B91" w:rsidRPr="002029AF" w:rsidRDefault="00087B91" w:rsidP="00860E95">
            <w:pPr>
              <w:pStyle w:val="ARfintablebodyright"/>
              <w:ind w:right="0"/>
            </w:pPr>
            <w:r w:rsidRPr="002029AF">
              <w:t>–</w:t>
            </w:r>
          </w:p>
        </w:tc>
        <w:tc>
          <w:tcPr>
            <w:tcW w:w="634" w:type="dxa"/>
            <w:tcBorders>
              <w:top w:val="single" w:sz="4" w:space="0" w:color="A6A6A6"/>
              <w:bottom w:val="single" w:sz="4" w:space="0" w:color="A6A6A6"/>
            </w:tcBorders>
            <w:noWrap/>
            <w:hideMark/>
          </w:tcPr>
          <w:p w14:paraId="669C6CBC"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1A044416"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30B4C707" w14:textId="77777777" w:rsidR="00087B91" w:rsidRPr="002029AF" w:rsidRDefault="00087B91" w:rsidP="00860E95">
            <w:pPr>
              <w:pStyle w:val="ARfintablebodyright"/>
              <w:ind w:right="0"/>
            </w:pPr>
            <w:r w:rsidRPr="002029AF">
              <w:t>0.3</w:t>
            </w:r>
          </w:p>
        </w:tc>
        <w:tc>
          <w:tcPr>
            <w:tcW w:w="633" w:type="dxa"/>
            <w:tcBorders>
              <w:top w:val="single" w:sz="4" w:space="0" w:color="A6A6A6"/>
              <w:bottom w:val="single" w:sz="4" w:space="0" w:color="A6A6A6"/>
            </w:tcBorders>
            <w:noWrap/>
            <w:hideMark/>
          </w:tcPr>
          <w:p w14:paraId="22441284"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2887038F"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5EA041DD" w14:textId="77777777" w:rsidR="00087B91" w:rsidRPr="002029AF" w:rsidRDefault="00087B91" w:rsidP="00860E95">
            <w:pPr>
              <w:pStyle w:val="ARfintablebodyright"/>
              <w:ind w:right="0"/>
            </w:pPr>
            <w:r w:rsidRPr="002029AF">
              <w:t>–</w:t>
            </w:r>
          </w:p>
        </w:tc>
        <w:tc>
          <w:tcPr>
            <w:tcW w:w="926" w:type="dxa"/>
            <w:tcBorders>
              <w:top w:val="single" w:sz="4" w:space="0" w:color="A6A6A6"/>
              <w:bottom w:val="single" w:sz="4" w:space="0" w:color="A6A6A6"/>
            </w:tcBorders>
            <w:noWrap/>
            <w:hideMark/>
          </w:tcPr>
          <w:p w14:paraId="450BAEF9" w14:textId="77777777" w:rsidR="00087B91" w:rsidRPr="002029AF" w:rsidRDefault="00087B91" w:rsidP="00860E95">
            <w:pPr>
              <w:pStyle w:val="ARfintablebodyright"/>
              <w:ind w:right="0"/>
            </w:pPr>
            <w:r w:rsidRPr="002029AF">
              <w:t>558.2</w:t>
            </w:r>
          </w:p>
        </w:tc>
        <w:tc>
          <w:tcPr>
            <w:tcW w:w="633" w:type="dxa"/>
            <w:tcBorders>
              <w:top w:val="single" w:sz="4" w:space="0" w:color="A6A6A6"/>
              <w:bottom w:val="single" w:sz="4" w:space="0" w:color="A6A6A6"/>
            </w:tcBorders>
            <w:noWrap/>
            <w:hideMark/>
          </w:tcPr>
          <w:p w14:paraId="6C4471AD" w14:textId="77777777" w:rsidR="00087B91" w:rsidRPr="002029AF" w:rsidRDefault="00087B91" w:rsidP="00860E95">
            <w:pPr>
              <w:pStyle w:val="ARfintablebodyright"/>
              <w:ind w:right="0"/>
            </w:pPr>
            <w:r w:rsidRPr="002029AF">
              <w:t>7.8</w:t>
            </w:r>
          </w:p>
        </w:tc>
        <w:tc>
          <w:tcPr>
            <w:tcW w:w="633" w:type="dxa"/>
            <w:tcBorders>
              <w:top w:val="single" w:sz="4" w:space="0" w:color="A6A6A6"/>
              <w:bottom w:val="single" w:sz="4" w:space="0" w:color="A6A6A6"/>
            </w:tcBorders>
            <w:noWrap/>
            <w:hideMark/>
          </w:tcPr>
          <w:p w14:paraId="18C9F748" w14:textId="77777777" w:rsidR="00087B91" w:rsidRPr="002029AF" w:rsidRDefault="00087B91" w:rsidP="00860E95">
            <w:pPr>
              <w:pStyle w:val="ARfintablebodyright"/>
              <w:ind w:right="0"/>
            </w:pPr>
            <w:r w:rsidRPr="002029AF">
              <w:t>17.3</w:t>
            </w:r>
          </w:p>
        </w:tc>
        <w:tc>
          <w:tcPr>
            <w:tcW w:w="633" w:type="dxa"/>
            <w:tcBorders>
              <w:top w:val="single" w:sz="4" w:space="0" w:color="A6A6A6"/>
              <w:bottom w:val="single" w:sz="4" w:space="0" w:color="A6A6A6"/>
            </w:tcBorders>
            <w:noWrap/>
            <w:hideMark/>
          </w:tcPr>
          <w:p w14:paraId="17203B55"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4A90EBDE"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34B58222"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324E2E11"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7C4A023C" w14:textId="77777777" w:rsidR="00087B91" w:rsidRPr="002029AF" w:rsidRDefault="00087B91" w:rsidP="00860E95">
            <w:pPr>
              <w:pStyle w:val="ARfintablebodyright"/>
              <w:ind w:right="0"/>
            </w:pPr>
            <w:r w:rsidRPr="002029AF">
              <w:t>–</w:t>
            </w:r>
          </w:p>
        </w:tc>
        <w:tc>
          <w:tcPr>
            <w:tcW w:w="806" w:type="dxa"/>
            <w:tcBorders>
              <w:top w:val="single" w:sz="4" w:space="0" w:color="A6A6A6"/>
              <w:bottom w:val="single" w:sz="4" w:space="0" w:color="A6A6A6"/>
            </w:tcBorders>
            <w:noWrap/>
            <w:hideMark/>
          </w:tcPr>
          <w:p w14:paraId="3E44C39D" w14:textId="77777777" w:rsidR="00087B91" w:rsidRPr="002029AF" w:rsidRDefault="00087B91" w:rsidP="00860E95">
            <w:pPr>
              <w:pStyle w:val="ARfintablebodyright"/>
              <w:ind w:right="0"/>
            </w:pPr>
            <w:r w:rsidRPr="002029AF">
              <w:t>828.0</w:t>
            </w:r>
          </w:p>
        </w:tc>
      </w:tr>
      <w:tr w:rsidR="00087B91" w:rsidRPr="002029AF" w14:paraId="57842EB0" w14:textId="77777777" w:rsidTr="00C81A0B">
        <w:tc>
          <w:tcPr>
            <w:tcW w:w="3185" w:type="dxa"/>
            <w:tcBorders>
              <w:top w:val="single" w:sz="4" w:space="0" w:color="A6A6A6"/>
              <w:bottom w:val="single" w:sz="4" w:space="0" w:color="A6A6A6"/>
            </w:tcBorders>
            <w:hideMark/>
          </w:tcPr>
          <w:p w14:paraId="0248E1AC" w14:textId="77777777" w:rsidR="00087B91" w:rsidRPr="002029AF" w:rsidRDefault="00087B91" w:rsidP="00860E95">
            <w:pPr>
              <w:pStyle w:val="ARfintablebody"/>
            </w:pPr>
            <w:r w:rsidRPr="002029AF">
              <w:t>Other</w:t>
            </w:r>
          </w:p>
        </w:tc>
        <w:tc>
          <w:tcPr>
            <w:tcW w:w="807" w:type="dxa"/>
            <w:tcBorders>
              <w:top w:val="single" w:sz="4" w:space="0" w:color="A6A6A6"/>
              <w:bottom w:val="single" w:sz="4" w:space="0" w:color="A6A6A6"/>
            </w:tcBorders>
            <w:noWrap/>
            <w:hideMark/>
          </w:tcPr>
          <w:p w14:paraId="410636F6" w14:textId="77777777" w:rsidR="00087B91" w:rsidRPr="002029AF" w:rsidRDefault="00087B91" w:rsidP="00860E95">
            <w:pPr>
              <w:pStyle w:val="ARfintablebodyright"/>
              <w:ind w:right="0"/>
            </w:pPr>
            <w:r w:rsidRPr="002029AF">
              <w:t>103.4</w:t>
            </w:r>
          </w:p>
        </w:tc>
        <w:tc>
          <w:tcPr>
            <w:tcW w:w="634" w:type="dxa"/>
            <w:tcBorders>
              <w:top w:val="single" w:sz="4" w:space="0" w:color="A6A6A6"/>
              <w:bottom w:val="single" w:sz="4" w:space="0" w:color="A6A6A6"/>
            </w:tcBorders>
            <w:noWrap/>
            <w:hideMark/>
          </w:tcPr>
          <w:p w14:paraId="26774D0B" w14:textId="77777777" w:rsidR="00087B91" w:rsidRPr="002029AF" w:rsidRDefault="00087B91" w:rsidP="00860E95">
            <w:pPr>
              <w:pStyle w:val="ARfintablebodyright"/>
              <w:ind w:right="0"/>
            </w:pPr>
            <w:r w:rsidRPr="002029AF">
              <w:t>–</w:t>
            </w:r>
          </w:p>
        </w:tc>
        <w:tc>
          <w:tcPr>
            <w:tcW w:w="634" w:type="dxa"/>
            <w:tcBorders>
              <w:top w:val="single" w:sz="4" w:space="0" w:color="A6A6A6"/>
              <w:bottom w:val="single" w:sz="4" w:space="0" w:color="A6A6A6"/>
            </w:tcBorders>
            <w:noWrap/>
            <w:hideMark/>
          </w:tcPr>
          <w:p w14:paraId="49D36906" w14:textId="77777777" w:rsidR="00087B91" w:rsidRPr="002029AF" w:rsidRDefault="00087B91" w:rsidP="00860E95">
            <w:pPr>
              <w:pStyle w:val="ARfintablebodyright"/>
              <w:ind w:right="0"/>
            </w:pPr>
            <w:r w:rsidRPr="002029AF">
              <w:t>0.1</w:t>
            </w:r>
          </w:p>
        </w:tc>
        <w:tc>
          <w:tcPr>
            <w:tcW w:w="633" w:type="dxa"/>
            <w:tcBorders>
              <w:top w:val="single" w:sz="4" w:space="0" w:color="A6A6A6"/>
              <w:bottom w:val="single" w:sz="4" w:space="0" w:color="A6A6A6"/>
            </w:tcBorders>
            <w:noWrap/>
            <w:hideMark/>
          </w:tcPr>
          <w:p w14:paraId="4E70F6B4"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5EB523F7" w14:textId="77777777" w:rsidR="00087B91" w:rsidRPr="002029AF" w:rsidRDefault="00087B91" w:rsidP="00860E95">
            <w:pPr>
              <w:pStyle w:val="ARfintablebodyright"/>
              <w:ind w:right="0"/>
            </w:pPr>
            <w:r w:rsidRPr="002029AF">
              <w:t>0.1</w:t>
            </w:r>
          </w:p>
        </w:tc>
        <w:tc>
          <w:tcPr>
            <w:tcW w:w="633" w:type="dxa"/>
            <w:tcBorders>
              <w:top w:val="single" w:sz="4" w:space="0" w:color="A6A6A6"/>
              <w:bottom w:val="single" w:sz="4" w:space="0" w:color="A6A6A6"/>
            </w:tcBorders>
            <w:noWrap/>
            <w:hideMark/>
          </w:tcPr>
          <w:p w14:paraId="6631ACFE"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1AC68C8E" w14:textId="77777777" w:rsidR="00087B91" w:rsidRPr="002029AF" w:rsidRDefault="00087B91" w:rsidP="00860E95">
            <w:pPr>
              <w:pStyle w:val="ARfintablebodyright"/>
              <w:ind w:right="0"/>
            </w:pPr>
            <w:r w:rsidRPr="002029AF">
              <w:t>0.3</w:t>
            </w:r>
          </w:p>
        </w:tc>
        <w:tc>
          <w:tcPr>
            <w:tcW w:w="633" w:type="dxa"/>
            <w:tcBorders>
              <w:top w:val="single" w:sz="4" w:space="0" w:color="A6A6A6"/>
              <w:bottom w:val="single" w:sz="4" w:space="0" w:color="A6A6A6"/>
            </w:tcBorders>
            <w:noWrap/>
            <w:hideMark/>
          </w:tcPr>
          <w:p w14:paraId="4E0AD5DD" w14:textId="77777777" w:rsidR="00087B91" w:rsidRPr="002029AF" w:rsidRDefault="00087B91" w:rsidP="00860E95">
            <w:pPr>
              <w:pStyle w:val="ARfintablebodyright"/>
              <w:ind w:right="0"/>
            </w:pPr>
            <w:r w:rsidRPr="002029AF">
              <w:t>–</w:t>
            </w:r>
          </w:p>
        </w:tc>
        <w:tc>
          <w:tcPr>
            <w:tcW w:w="926" w:type="dxa"/>
            <w:tcBorders>
              <w:top w:val="single" w:sz="4" w:space="0" w:color="A6A6A6"/>
              <w:bottom w:val="single" w:sz="4" w:space="0" w:color="A6A6A6"/>
            </w:tcBorders>
            <w:noWrap/>
            <w:hideMark/>
          </w:tcPr>
          <w:p w14:paraId="10BB548F" w14:textId="77777777" w:rsidR="00087B91" w:rsidRPr="002029AF" w:rsidRDefault="00087B91" w:rsidP="00860E95">
            <w:pPr>
              <w:pStyle w:val="ARfintablebodyright"/>
              <w:ind w:right="0"/>
            </w:pPr>
            <w:r w:rsidRPr="002029AF">
              <w:t>0.4</w:t>
            </w:r>
          </w:p>
        </w:tc>
        <w:tc>
          <w:tcPr>
            <w:tcW w:w="633" w:type="dxa"/>
            <w:tcBorders>
              <w:top w:val="single" w:sz="4" w:space="0" w:color="A6A6A6"/>
              <w:bottom w:val="single" w:sz="4" w:space="0" w:color="A6A6A6"/>
            </w:tcBorders>
            <w:noWrap/>
            <w:hideMark/>
          </w:tcPr>
          <w:p w14:paraId="7DA79A2F" w14:textId="77777777" w:rsidR="00087B91" w:rsidRPr="002029AF" w:rsidRDefault="00087B91" w:rsidP="00860E95">
            <w:pPr>
              <w:pStyle w:val="ARfintablebodyright"/>
              <w:ind w:right="0"/>
            </w:pPr>
            <w:r w:rsidRPr="002029AF">
              <w:t>0.5</w:t>
            </w:r>
          </w:p>
        </w:tc>
        <w:tc>
          <w:tcPr>
            <w:tcW w:w="633" w:type="dxa"/>
            <w:tcBorders>
              <w:top w:val="single" w:sz="4" w:space="0" w:color="A6A6A6"/>
              <w:bottom w:val="single" w:sz="4" w:space="0" w:color="A6A6A6"/>
            </w:tcBorders>
            <w:noWrap/>
            <w:hideMark/>
          </w:tcPr>
          <w:p w14:paraId="21D2EBAC"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33A7DCDC" w14:textId="77777777" w:rsidR="00087B91" w:rsidRPr="002029AF" w:rsidRDefault="00087B91" w:rsidP="00860E95">
            <w:pPr>
              <w:pStyle w:val="ARfintablebodyright"/>
              <w:ind w:right="0"/>
            </w:pPr>
            <w:r w:rsidRPr="002029AF">
              <w:t>0.1</w:t>
            </w:r>
          </w:p>
        </w:tc>
        <w:tc>
          <w:tcPr>
            <w:tcW w:w="633" w:type="dxa"/>
            <w:tcBorders>
              <w:top w:val="single" w:sz="4" w:space="0" w:color="A6A6A6"/>
              <w:bottom w:val="single" w:sz="4" w:space="0" w:color="A6A6A6"/>
            </w:tcBorders>
            <w:noWrap/>
            <w:hideMark/>
          </w:tcPr>
          <w:p w14:paraId="49D0A050"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63A30656"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0036F2F4" w14:textId="77777777" w:rsidR="00087B91" w:rsidRPr="002029AF" w:rsidRDefault="00087B91" w:rsidP="00860E95">
            <w:pPr>
              <w:pStyle w:val="ARfintablebodyright"/>
              <w:ind w:right="0"/>
            </w:pPr>
            <w:r w:rsidRPr="002029AF">
              <w:t>–</w:t>
            </w:r>
          </w:p>
        </w:tc>
        <w:tc>
          <w:tcPr>
            <w:tcW w:w="633" w:type="dxa"/>
            <w:tcBorders>
              <w:top w:val="single" w:sz="4" w:space="0" w:color="A6A6A6"/>
              <w:bottom w:val="single" w:sz="4" w:space="0" w:color="A6A6A6"/>
            </w:tcBorders>
            <w:noWrap/>
            <w:hideMark/>
          </w:tcPr>
          <w:p w14:paraId="571328B8" w14:textId="77777777" w:rsidR="00087B91" w:rsidRPr="002029AF" w:rsidRDefault="00087B91" w:rsidP="00860E95">
            <w:pPr>
              <w:pStyle w:val="ARfintablebodyright"/>
              <w:ind w:right="0"/>
            </w:pPr>
            <w:r w:rsidRPr="002029AF">
              <w:t>–</w:t>
            </w:r>
          </w:p>
        </w:tc>
        <w:tc>
          <w:tcPr>
            <w:tcW w:w="806" w:type="dxa"/>
            <w:tcBorders>
              <w:top w:val="single" w:sz="4" w:space="0" w:color="A6A6A6"/>
              <w:bottom w:val="single" w:sz="4" w:space="0" w:color="A6A6A6"/>
            </w:tcBorders>
            <w:noWrap/>
            <w:hideMark/>
          </w:tcPr>
          <w:p w14:paraId="150E0FE3" w14:textId="77777777" w:rsidR="00087B91" w:rsidRPr="002029AF" w:rsidRDefault="00087B91" w:rsidP="00860E95">
            <w:pPr>
              <w:pStyle w:val="ARfintablebodyright"/>
              <w:ind w:right="0"/>
            </w:pPr>
            <w:r w:rsidRPr="002029AF">
              <w:t>104.9</w:t>
            </w:r>
          </w:p>
        </w:tc>
      </w:tr>
      <w:tr w:rsidR="00087B91" w:rsidRPr="002029AF" w14:paraId="61272155" w14:textId="77777777" w:rsidTr="00C81A0B">
        <w:tc>
          <w:tcPr>
            <w:tcW w:w="3185" w:type="dxa"/>
            <w:tcBorders>
              <w:top w:val="single" w:sz="4" w:space="0" w:color="A6A6A6"/>
            </w:tcBorders>
            <w:hideMark/>
          </w:tcPr>
          <w:p w14:paraId="04FFEAC3" w14:textId="1C4EFE39" w:rsidR="00087B91" w:rsidRPr="002029AF" w:rsidRDefault="00087B91" w:rsidP="00860E95">
            <w:pPr>
              <w:pStyle w:val="ARfintablebody"/>
            </w:pPr>
            <w:r w:rsidRPr="002029AF">
              <w:t>Fair</w:t>
            </w:r>
            <w:r w:rsidR="000A5329" w:rsidRPr="002029AF">
              <w:t xml:space="preserve"> </w:t>
            </w:r>
            <w:r w:rsidRPr="002029AF">
              <w:t>value</w:t>
            </w:r>
            <w:r w:rsidR="000A5329" w:rsidRPr="002029AF">
              <w:t xml:space="preserve"> </w:t>
            </w:r>
            <w:r w:rsidRPr="002029AF">
              <w:t>of</w:t>
            </w:r>
            <w:r w:rsidR="000A5329" w:rsidRPr="002029AF">
              <w:t xml:space="preserve"> </w:t>
            </w:r>
            <w:r w:rsidRPr="002029AF">
              <w:t>assets</w:t>
            </w:r>
            <w:r w:rsidR="000A5329" w:rsidRPr="002029AF">
              <w:t xml:space="preserve"> </w:t>
            </w:r>
            <w:r w:rsidRPr="002029AF">
              <w:t>and</w:t>
            </w:r>
            <w:r w:rsidR="000A5329" w:rsidRPr="002029AF">
              <w:t xml:space="preserve"> </w:t>
            </w:r>
            <w:r w:rsidRPr="002029AF">
              <w:t>services</w:t>
            </w:r>
            <w:r w:rsidR="000A5329" w:rsidRPr="002029AF">
              <w:t xml:space="preserve"> </w:t>
            </w:r>
            <w:r w:rsidRPr="002029AF">
              <w:t>received</w:t>
            </w:r>
            <w:r w:rsidR="000A5329" w:rsidRPr="002029AF">
              <w:t xml:space="preserve"> </w:t>
            </w:r>
            <w:r w:rsidRPr="002029AF">
              <w:t>free</w:t>
            </w:r>
            <w:r w:rsidR="000A5329" w:rsidRPr="002029AF">
              <w:t xml:space="preserve"> </w:t>
            </w:r>
            <w:r w:rsidRPr="002029AF">
              <w:t>of</w:t>
            </w:r>
            <w:r w:rsidR="000A5329" w:rsidRPr="002029AF">
              <w:t xml:space="preserve"> </w:t>
            </w:r>
            <w:r w:rsidRPr="002029AF">
              <w:t>charge</w:t>
            </w:r>
            <w:r w:rsidR="000A5329" w:rsidRPr="002029AF">
              <w:t xml:space="preserve"> </w:t>
            </w:r>
            <w:r w:rsidRPr="002029AF">
              <w:t>or</w:t>
            </w:r>
            <w:r w:rsidR="000A5329" w:rsidRPr="002029AF">
              <w:t xml:space="preserve"> </w:t>
            </w:r>
            <w:r w:rsidRPr="002029AF">
              <w:t>for</w:t>
            </w:r>
            <w:r w:rsidR="000A5329" w:rsidRPr="002029AF">
              <w:t xml:space="preserve"> </w:t>
            </w:r>
            <w:r w:rsidRPr="002029AF">
              <w:t>nominal</w:t>
            </w:r>
            <w:r w:rsidR="000A5329" w:rsidRPr="002029AF">
              <w:t xml:space="preserve"> </w:t>
            </w:r>
            <w:r w:rsidRPr="002029AF">
              <w:t>consideration</w:t>
            </w:r>
          </w:p>
        </w:tc>
        <w:tc>
          <w:tcPr>
            <w:tcW w:w="807" w:type="dxa"/>
            <w:tcBorders>
              <w:top w:val="single" w:sz="4" w:space="0" w:color="A6A6A6"/>
            </w:tcBorders>
            <w:noWrap/>
            <w:hideMark/>
          </w:tcPr>
          <w:p w14:paraId="68DDDFA1" w14:textId="77777777" w:rsidR="00087B91" w:rsidRPr="002029AF" w:rsidRDefault="00087B91" w:rsidP="00860E95">
            <w:pPr>
              <w:pStyle w:val="ARfintablebodyright"/>
              <w:ind w:right="0"/>
            </w:pPr>
            <w:r w:rsidRPr="002029AF">
              <w:t>–</w:t>
            </w:r>
          </w:p>
        </w:tc>
        <w:tc>
          <w:tcPr>
            <w:tcW w:w="634" w:type="dxa"/>
            <w:tcBorders>
              <w:top w:val="single" w:sz="4" w:space="0" w:color="A6A6A6"/>
            </w:tcBorders>
            <w:noWrap/>
            <w:hideMark/>
          </w:tcPr>
          <w:p w14:paraId="22D90473" w14:textId="77777777" w:rsidR="00087B91" w:rsidRPr="002029AF" w:rsidRDefault="00087B91" w:rsidP="00860E95">
            <w:pPr>
              <w:pStyle w:val="ARfintablebodyright"/>
              <w:ind w:right="0"/>
            </w:pPr>
            <w:r w:rsidRPr="002029AF">
              <w:t>–</w:t>
            </w:r>
          </w:p>
        </w:tc>
        <w:tc>
          <w:tcPr>
            <w:tcW w:w="634" w:type="dxa"/>
            <w:tcBorders>
              <w:top w:val="single" w:sz="4" w:space="0" w:color="A6A6A6"/>
            </w:tcBorders>
            <w:noWrap/>
            <w:hideMark/>
          </w:tcPr>
          <w:p w14:paraId="7A8C64E6" w14:textId="77777777" w:rsidR="00087B91" w:rsidRPr="002029AF" w:rsidRDefault="00087B91" w:rsidP="00860E95">
            <w:pPr>
              <w:pStyle w:val="ARfintablebodyright"/>
              <w:ind w:right="0"/>
            </w:pPr>
            <w:r w:rsidRPr="002029AF">
              <w:t>–</w:t>
            </w:r>
          </w:p>
        </w:tc>
        <w:tc>
          <w:tcPr>
            <w:tcW w:w="633" w:type="dxa"/>
            <w:tcBorders>
              <w:top w:val="single" w:sz="4" w:space="0" w:color="A6A6A6"/>
            </w:tcBorders>
            <w:noWrap/>
            <w:hideMark/>
          </w:tcPr>
          <w:p w14:paraId="7707C370" w14:textId="77777777" w:rsidR="00087B91" w:rsidRPr="002029AF" w:rsidRDefault="00087B91" w:rsidP="00860E95">
            <w:pPr>
              <w:pStyle w:val="ARfintablebodyright"/>
              <w:ind w:right="0"/>
            </w:pPr>
            <w:r w:rsidRPr="002029AF">
              <w:t>–</w:t>
            </w:r>
          </w:p>
        </w:tc>
        <w:tc>
          <w:tcPr>
            <w:tcW w:w="633" w:type="dxa"/>
            <w:tcBorders>
              <w:top w:val="single" w:sz="4" w:space="0" w:color="A6A6A6"/>
            </w:tcBorders>
            <w:noWrap/>
            <w:hideMark/>
          </w:tcPr>
          <w:p w14:paraId="7FE19180" w14:textId="77777777" w:rsidR="00087B91" w:rsidRPr="002029AF" w:rsidRDefault="00087B91" w:rsidP="00860E95">
            <w:pPr>
              <w:pStyle w:val="ARfintablebodyright"/>
              <w:ind w:right="0"/>
            </w:pPr>
            <w:r w:rsidRPr="002029AF">
              <w:t>–</w:t>
            </w:r>
          </w:p>
        </w:tc>
        <w:tc>
          <w:tcPr>
            <w:tcW w:w="633" w:type="dxa"/>
            <w:tcBorders>
              <w:top w:val="single" w:sz="4" w:space="0" w:color="A6A6A6"/>
            </w:tcBorders>
            <w:noWrap/>
            <w:hideMark/>
          </w:tcPr>
          <w:p w14:paraId="0B97D869" w14:textId="77777777" w:rsidR="00087B91" w:rsidRPr="002029AF" w:rsidRDefault="00087B91" w:rsidP="00860E95">
            <w:pPr>
              <w:pStyle w:val="ARfintablebodyright"/>
              <w:ind w:right="0"/>
            </w:pPr>
            <w:r w:rsidRPr="002029AF">
              <w:t>–</w:t>
            </w:r>
          </w:p>
        </w:tc>
        <w:tc>
          <w:tcPr>
            <w:tcW w:w="633" w:type="dxa"/>
            <w:tcBorders>
              <w:top w:val="single" w:sz="4" w:space="0" w:color="A6A6A6"/>
            </w:tcBorders>
            <w:noWrap/>
            <w:hideMark/>
          </w:tcPr>
          <w:p w14:paraId="5B55DFD4" w14:textId="77777777" w:rsidR="00087B91" w:rsidRPr="002029AF" w:rsidRDefault="00087B91" w:rsidP="00860E95">
            <w:pPr>
              <w:pStyle w:val="ARfintablebodyright"/>
              <w:ind w:right="0"/>
            </w:pPr>
            <w:r w:rsidRPr="002029AF">
              <w:t>–</w:t>
            </w:r>
          </w:p>
        </w:tc>
        <w:tc>
          <w:tcPr>
            <w:tcW w:w="633" w:type="dxa"/>
            <w:tcBorders>
              <w:top w:val="single" w:sz="4" w:space="0" w:color="A6A6A6"/>
            </w:tcBorders>
            <w:noWrap/>
            <w:hideMark/>
          </w:tcPr>
          <w:p w14:paraId="08789DE3" w14:textId="77777777" w:rsidR="00087B91" w:rsidRPr="002029AF" w:rsidRDefault="00087B91" w:rsidP="00860E95">
            <w:pPr>
              <w:pStyle w:val="ARfintablebodyright"/>
              <w:ind w:right="0"/>
            </w:pPr>
            <w:r w:rsidRPr="002029AF">
              <w:t>–</w:t>
            </w:r>
          </w:p>
        </w:tc>
        <w:tc>
          <w:tcPr>
            <w:tcW w:w="926" w:type="dxa"/>
            <w:tcBorders>
              <w:top w:val="single" w:sz="4" w:space="0" w:color="A6A6A6"/>
            </w:tcBorders>
            <w:noWrap/>
            <w:hideMark/>
          </w:tcPr>
          <w:p w14:paraId="164DC716" w14:textId="77777777" w:rsidR="00087B91" w:rsidRPr="002029AF" w:rsidRDefault="00087B91" w:rsidP="00860E95">
            <w:pPr>
              <w:pStyle w:val="ARfintablebodyright"/>
              <w:ind w:right="0"/>
            </w:pPr>
            <w:r w:rsidRPr="002029AF">
              <w:t>–</w:t>
            </w:r>
          </w:p>
        </w:tc>
        <w:tc>
          <w:tcPr>
            <w:tcW w:w="633" w:type="dxa"/>
            <w:tcBorders>
              <w:top w:val="single" w:sz="4" w:space="0" w:color="A6A6A6"/>
            </w:tcBorders>
            <w:noWrap/>
            <w:hideMark/>
          </w:tcPr>
          <w:p w14:paraId="40DB649E" w14:textId="77777777" w:rsidR="00087B91" w:rsidRPr="002029AF" w:rsidRDefault="00087B91" w:rsidP="00860E95">
            <w:pPr>
              <w:pStyle w:val="ARfintablebodyright"/>
              <w:ind w:right="0"/>
            </w:pPr>
            <w:r w:rsidRPr="002029AF">
              <w:t>–</w:t>
            </w:r>
          </w:p>
        </w:tc>
        <w:tc>
          <w:tcPr>
            <w:tcW w:w="633" w:type="dxa"/>
            <w:tcBorders>
              <w:top w:val="single" w:sz="4" w:space="0" w:color="A6A6A6"/>
            </w:tcBorders>
            <w:noWrap/>
            <w:hideMark/>
          </w:tcPr>
          <w:p w14:paraId="3BAFE222" w14:textId="77777777" w:rsidR="00087B91" w:rsidRPr="002029AF" w:rsidRDefault="00087B91" w:rsidP="00860E95">
            <w:pPr>
              <w:pStyle w:val="ARfintablebodyright"/>
              <w:ind w:right="0"/>
            </w:pPr>
            <w:r w:rsidRPr="002029AF">
              <w:t>–</w:t>
            </w:r>
          </w:p>
        </w:tc>
        <w:tc>
          <w:tcPr>
            <w:tcW w:w="633" w:type="dxa"/>
            <w:tcBorders>
              <w:top w:val="single" w:sz="4" w:space="0" w:color="A6A6A6"/>
            </w:tcBorders>
            <w:noWrap/>
            <w:hideMark/>
          </w:tcPr>
          <w:p w14:paraId="6582F8EF" w14:textId="77777777" w:rsidR="00087B91" w:rsidRPr="002029AF" w:rsidRDefault="00087B91" w:rsidP="00860E95">
            <w:pPr>
              <w:pStyle w:val="ARfintablebodyright"/>
              <w:ind w:right="0"/>
            </w:pPr>
            <w:r w:rsidRPr="002029AF">
              <w:t>–</w:t>
            </w:r>
          </w:p>
        </w:tc>
        <w:tc>
          <w:tcPr>
            <w:tcW w:w="633" w:type="dxa"/>
            <w:tcBorders>
              <w:top w:val="single" w:sz="4" w:space="0" w:color="A6A6A6"/>
            </w:tcBorders>
            <w:noWrap/>
            <w:hideMark/>
          </w:tcPr>
          <w:p w14:paraId="6C94C6B5" w14:textId="77777777" w:rsidR="00087B91" w:rsidRPr="002029AF" w:rsidRDefault="00087B91" w:rsidP="00860E95">
            <w:pPr>
              <w:pStyle w:val="ARfintablebodyright"/>
              <w:ind w:right="0"/>
            </w:pPr>
            <w:r w:rsidRPr="002029AF">
              <w:t>–</w:t>
            </w:r>
          </w:p>
        </w:tc>
        <w:tc>
          <w:tcPr>
            <w:tcW w:w="633" w:type="dxa"/>
            <w:tcBorders>
              <w:top w:val="single" w:sz="4" w:space="0" w:color="A6A6A6"/>
            </w:tcBorders>
            <w:noWrap/>
            <w:hideMark/>
          </w:tcPr>
          <w:p w14:paraId="2297FE73" w14:textId="77777777" w:rsidR="00087B91" w:rsidRPr="002029AF" w:rsidRDefault="00087B91" w:rsidP="00860E95">
            <w:pPr>
              <w:pStyle w:val="ARfintablebodyright"/>
              <w:ind w:right="0"/>
            </w:pPr>
            <w:r w:rsidRPr="002029AF">
              <w:t>–</w:t>
            </w:r>
          </w:p>
        </w:tc>
        <w:tc>
          <w:tcPr>
            <w:tcW w:w="633" w:type="dxa"/>
            <w:tcBorders>
              <w:top w:val="single" w:sz="4" w:space="0" w:color="A6A6A6"/>
            </w:tcBorders>
            <w:noWrap/>
            <w:hideMark/>
          </w:tcPr>
          <w:p w14:paraId="3C093C72" w14:textId="77777777" w:rsidR="00087B91" w:rsidRPr="002029AF" w:rsidRDefault="00087B91" w:rsidP="00860E95">
            <w:pPr>
              <w:pStyle w:val="ARfintablebodyright"/>
              <w:ind w:right="0"/>
            </w:pPr>
            <w:r w:rsidRPr="002029AF">
              <w:t>–</w:t>
            </w:r>
          </w:p>
        </w:tc>
        <w:tc>
          <w:tcPr>
            <w:tcW w:w="633" w:type="dxa"/>
            <w:tcBorders>
              <w:top w:val="single" w:sz="4" w:space="0" w:color="A6A6A6"/>
            </w:tcBorders>
            <w:noWrap/>
            <w:hideMark/>
          </w:tcPr>
          <w:p w14:paraId="4960C3DF" w14:textId="77777777" w:rsidR="00087B91" w:rsidRPr="002029AF" w:rsidRDefault="00087B91" w:rsidP="00860E95">
            <w:pPr>
              <w:pStyle w:val="ARfintablebodyright"/>
              <w:ind w:right="0"/>
            </w:pPr>
            <w:r w:rsidRPr="002029AF">
              <w:t>–</w:t>
            </w:r>
          </w:p>
        </w:tc>
        <w:tc>
          <w:tcPr>
            <w:tcW w:w="806" w:type="dxa"/>
            <w:tcBorders>
              <w:top w:val="single" w:sz="4" w:space="0" w:color="A6A6A6"/>
            </w:tcBorders>
            <w:noWrap/>
            <w:hideMark/>
          </w:tcPr>
          <w:p w14:paraId="20470F6A" w14:textId="77777777" w:rsidR="00087B91" w:rsidRPr="002029AF" w:rsidRDefault="00087B91" w:rsidP="00860E95">
            <w:pPr>
              <w:pStyle w:val="ARfintablebodyright"/>
              <w:ind w:right="0"/>
            </w:pPr>
            <w:r w:rsidRPr="002029AF">
              <w:t>–</w:t>
            </w:r>
          </w:p>
        </w:tc>
      </w:tr>
      <w:tr w:rsidR="00087B91" w:rsidRPr="002029AF" w14:paraId="2779C37E" w14:textId="77777777" w:rsidTr="00C81A0B">
        <w:tc>
          <w:tcPr>
            <w:tcW w:w="3185" w:type="dxa"/>
            <w:hideMark/>
          </w:tcPr>
          <w:p w14:paraId="3536B330" w14:textId="6C8520AB" w:rsidR="00087B91" w:rsidRPr="002029AF" w:rsidRDefault="00087B91" w:rsidP="00860E95">
            <w:pPr>
              <w:pStyle w:val="ARfintablebodybold"/>
            </w:pPr>
            <w:r w:rsidRPr="002029AF">
              <w:t>Total</w:t>
            </w:r>
            <w:r w:rsidR="000A5329" w:rsidRPr="002029AF">
              <w:t xml:space="preserve"> </w:t>
            </w:r>
            <w:r w:rsidRPr="002029AF">
              <w:t>administered</w:t>
            </w:r>
            <w:r w:rsidR="000A5329" w:rsidRPr="002029AF">
              <w:t xml:space="preserve"> </w:t>
            </w:r>
            <w:r w:rsidRPr="002029AF">
              <w:t>revenue</w:t>
            </w:r>
            <w:r w:rsidR="000A5329" w:rsidRPr="002029AF">
              <w:t xml:space="preserve"> </w:t>
            </w:r>
            <w:r w:rsidRPr="002029AF">
              <w:t>and</w:t>
            </w:r>
            <w:r w:rsidR="000A5329" w:rsidRPr="002029AF">
              <w:t xml:space="preserve"> </w:t>
            </w:r>
            <w:r w:rsidRPr="002029AF">
              <w:t>income</w:t>
            </w:r>
            <w:r w:rsidR="000A5329" w:rsidRPr="002029AF">
              <w:t xml:space="preserve"> </w:t>
            </w:r>
            <w:r w:rsidRPr="002029AF">
              <w:t>from</w:t>
            </w:r>
            <w:r w:rsidR="000A5329" w:rsidRPr="002029AF">
              <w:t xml:space="preserve"> </w:t>
            </w:r>
            <w:r w:rsidRPr="002029AF">
              <w:t>transactions</w:t>
            </w:r>
          </w:p>
        </w:tc>
        <w:tc>
          <w:tcPr>
            <w:tcW w:w="807" w:type="dxa"/>
            <w:noWrap/>
            <w:hideMark/>
          </w:tcPr>
          <w:p w14:paraId="0E851534" w14:textId="77777777" w:rsidR="00087B91" w:rsidRPr="002029AF" w:rsidRDefault="00087B91" w:rsidP="00860E95">
            <w:pPr>
              <w:pStyle w:val="ARfintablebodyrightbold"/>
              <w:ind w:right="0"/>
            </w:pPr>
            <w:r w:rsidRPr="002029AF">
              <w:t>12,278.6</w:t>
            </w:r>
          </w:p>
        </w:tc>
        <w:tc>
          <w:tcPr>
            <w:tcW w:w="634" w:type="dxa"/>
            <w:noWrap/>
            <w:hideMark/>
          </w:tcPr>
          <w:p w14:paraId="228B1A6C" w14:textId="77777777" w:rsidR="00087B91" w:rsidRPr="002029AF" w:rsidRDefault="00087B91" w:rsidP="00860E95">
            <w:pPr>
              <w:pStyle w:val="ARfintablebodyrightbold"/>
              <w:ind w:right="0"/>
            </w:pPr>
            <w:r w:rsidRPr="002029AF">
              <w:t>–</w:t>
            </w:r>
          </w:p>
        </w:tc>
        <w:tc>
          <w:tcPr>
            <w:tcW w:w="634" w:type="dxa"/>
            <w:noWrap/>
            <w:hideMark/>
          </w:tcPr>
          <w:p w14:paraId="4D81735B" w14:textId="77777777" w:rsidR="00087B91" w:rsidRPr="002029AF" w:rsidRDefault="00087B91" w:rsidP="00860E95">
            <w:pPr>
              <w:pStyle w:val="ARfintablebodyrightbold"/>
              <w:ind w:right="0"/>
            </w:pPr>
            <w:r w:rsidRPr="002029AF">
              <w:t>780.8</w:t>
            </w:r>
          </w:p>
        </w:tc>
        <w:tc>
          <w:tcPr>
            <w:tcW w:w="633" w:type="dxa"/>
            <w:noWrap/>
            <w:hideMark/>
          </w:tcPr>
          <w:p w14:paraId="7A3346E4" w14:textId="77777777" w:rsidR="00087B91" w:rsidRPr="002029AF" w:rsidRDefault="00087B91" w:rsidP="00860E95">
            <w:pPr>
              <w:pStyle w:val="ARfintablebodyrightbold"/>
              <w:ind w:right="0"/>
            </w:pPr>
            <w:r w:rsidRPr="002029AF">
              <w:t>131.7</w:t>
            </w:r>
          </w:p>
        </w:tc>
        <w:tc>
          <w:tcPr>
            <w:tcW w:w="633" w:type="dxa"/>
            <w:noWrap/>
            <w:hideMark/>
          </w:tcPr>
          <w:p w14:paraId="1C339B0E" w14:textId="77777777" w:rsidR="00087B91" w:rsidRPr="002029AF" w:rsidRDefault="00087B91" w:rsidP="00860E95">
            <w:pPr>
              <w:pStyle w:val="ARfintablebodyrightbold"/>
              <w:ind w:right="0"/>
            </w:pPr>
            <w:r w:rsidRPr="002029AF">
              <w:t>4.7</w:t>
            </w:r>
          </w:p>
        </w:tc>
        <w:tc>
          <w:tcPr>
            <w:tcW w:w="633" w:type="dxa"/>
            <w:noWrap/>
            <w:hideMark/>
          </w:tcPr>
          <w:p w14:paraId="02D0363D" w14:textId="77777777" w:rsidR="00087B91" w:rsidRPr="002029AF" w:rsidRDefault="00087B91" w:rsidP="00860E95">
            <w:pPr>
              <w:pStyle w:val="ARfintablebodyrightbold"/>
              <w:ind w:right="0"/>
            </w:pPr>
            <w:r w:rsidRPr="002029AF">
              <w:t>141.4</w:t>
            </w:r>
          </w:p>
        </w:tc>
        <w:tc>
          <w:tcPr>
            <w:tcW w:w="633" w:type="dxa"/>
            <w:noWrap/>
            <w:hideMark/>
          </w:tcPr>
          <w:p w14:paraId="08BD86F3" w14:textId="77777777" w:rsidR="00087B91" w:rsidRPr="002029AF" w:rsidRDefault="00087B91" w:rsidP="00860E95">
            <w:pPr>
              <w:pStyle w:val="ARfintablebodyrightbold"/>
              <w:ind w:right="0"/>
            </w:pPr>
            <w:r w:rsidRPr="002029AF">
              <w:t>123.0</w:t>
            </w:r>
          </w:p>
        </w:tc>
        <w:tc>
          <w:tcPr>
            <w:tcW w:w="633" w:type="dxa"/>
            <w:noWrap/>
            <w:hideMark/>
          </w:tcPr>
          <w:p w14:paraId="69EEC203" w14:textId="77777777" w:rsidR="00087B91" w:rsidRPr="002029AF" w:rsidRDefault="00087B91" w:rsidP="00860E95">
            <w:pPr>
              <w:pStyle w:val="ARfintablebodyrightbold"/>
              <w:ind w:right="0"/>
            </w:pPr>
            <w:r w:rsidRPr="002029AF">
              <w:t>14.1</w:t>
            </w:r>
          </w:p>
        </w:tc>
        <w:tc>
          <w:tcPr>
            <w:tcW w:w="926" w:type="dxa"/>
            <w:noWrap/>
            <w:hideMark/>
          </w:tcPr>
          <w:p w14:paraId="0795E498" w14:textId="77777777" w:rsidR="00087B91" w:rsidRPr="002029AF" w:rsidRDefault="00087B91" w:rsidP="00860E95">
            <w:pPr>
              <w:pStyle w:val="ARfintablebodyrightbold"/>
              <w:ind w:right="0"/>
            </w:pPr>
            <w:r w:rsidRPr="002029AF">
              <w:t>1,649.4</w:t>
            </w:r>
          </w:p>
        </w:tc>
        <w:tc>
          <w:tcPr>
            <w:tcW w:w="633" w:type="dxa"/>
            <w:noWrap/>
            <w:hideMark/>
          </w:tcPr>
          <w:p w14:paraId="1C6F5AE9" w14:textId="77777777" w:rsidR="00087B91" w:rsidRPr="002029AF" w:rsidRDefault="00087B91" w:rsidP="00860E95">
            <w:pPr>
              <w:pStyle w:val="ARfintablebodyrightbold"/>
              <w:ind w:right="0"/>
            </w:pPr>
            <w:r w:rsidRPr="002029AF">
              <w:t>10.4</w:t>
            </w:r>
          </w:p>
        </w:tc>
        <w:tc>
          <w:tcPr>
            <w:tcW w:w="633" w:type="dxa"/>
            <w:noWrap/>
            <w:hideMark/>
          </w:tcPr>
          <w:p w14:paraId="76FF5F41" w14:textId="77777777" w:rsidR="00087B91" w:rsidRPr="002029AF" w:rsidRDefault="00087B91" w:rsidP="00860E95">
            <w:pPr>
              <w:pStyle w:val="ARfintablebodyrightbold"/>
              <w:ind w:right="0"/>
            </w:pPr>
            <w:r w:rsidRPr="002029AF">
              <w:t>17.3</w:t>
            </w:r>
          </w:p>
        </w:tc>
        <w:tc>
          <w:tcPr>
            <w:tcW w:w="633" w:type="dxa"/>
            <w:noWrap/>
            <w:hideMark/>
          </w:tcPr>
          <w:p w14:paraId="3DF62CCF" w14:textId="77777777" w:rsidR="00087B91" w:rsidRPr="002029AF" w:rsidRDefault="00087B91" w:rsidP="00860E95">
            <w:pPr>
              <w:pStyle w:val="ARfintablebodyrightbold"/>
              <w:ind w:right="0"/>
            </w:pPr>
            <w:r w:rsidRPr="002029AF">
              <w:t>0.1</w:t>
            </w:r>
          </w:p>
        </w:tc>
        <w:tc>
          <w:tcPr>
            <w:tcW w:w="633" w:type="dxa"/>
            <w:noWrap/>
            <w:hideMark/>
          </w:tcPr>
          <w:p w14:paraId="2821E621" w14:textId="77777777" w:rsidR="00087B91" w:rsidRPr="002029AF" w:rsidRDefault="00087B91" w:rsidP="00860E95">
            <w:pPr>
              <w:pStyle w:val="ARfintablebodyrightbold"/>
              <w:ind w:right="0"/>
            </w:pPr>
            <w:r w:rsidRPr="002029AF">
              <w:t>–</w:t>
            </w:r>
          </w:p>
        </w:tc>
        <w:tc>
          <w:tcPr>
            <w:tcW w:w="633" w:type="dxa"/>
            <w:noWrap/>
            <w:hideMark/>
          </w:tcPr>
          <w:p w14:paraId="37864D2A" w14:textId="77777777" w:rsidR="00087B91" w:rsidRPr="002029AF" w:rsidRDefault="00087B91" w:rsidP="00860E95">
            <w:pPr>
              <w:pStyle w:val="ARfintablebodyrightbold"/>
              <w:ind w:right="0"/>
            </w:pPr>
            <w:r w:rsidRPr="002029AF">
              <w:t>–</w:t>
            </w:r>
          </w:p>
        </w:tc>
        <w:tc>
          <w:tcPr>
            <w:tcW w:w="633" w:type="dxa"/>
            <w:noWrap/>
            <w:hideMark/>
          </w:tcPr>
          <w:p w14:paraId="364B218B" w14:textId="77777777" w:rsidR="00087B91" w:rsidRPr="002029AF" w:rsidRDefault="00087B91" w:rsidP="00860E95">
            <w:pPr>
              <w:pStyle w:val="ARfintablebodyrightbold"/>
              <w:ind w:right="0"/>
            </w:pPr>
            <w:r w:rsidRPr="002029AF">
              <w:t>–</w:t>
            </w:r>
          </w:p>
        </w:tc>
        <w:tc>
          <w:tcPr>
            <w:tcW w:w="633" w:type="dxa"/>
            <w:noWrap/>
            <w:hideMark/>
          </w:tcPr>
          <w:p w14:paraId="7B52B0CD" w14:textId="77777777" w:rsidR="00087B91" w:rsidRPr="002029AF" w:rsidRDefault="00087B91" w:rsidP="00860E95">
            <w:pPr>
              <w:pStyle w:val="ARfintablebodyrightbold"/>
              <w:ind w:right="0"/>
            </w:pPr>
            <w:r w:rsidRPr="002029AF">
              <w:t>–</w:t>
            </w:r>
          </w:p>
        </w:tc>
        <w:tc>
          <w:tcPr>
            <w:tcW w:w="806" w:type="dxa"/>
            <w:noWrap/>
            <w:hideMark/>
          </w:tcPr>
          <w:p w14:paraId="2E55AA7A" w14:textId="77777777" w:rsidR="00087B91" w:rsidRPr="002029AF" w:rsidRDefault="00087B91" w:rsidP="00860E95">
            <w:pPr>
              <w:pStyle w:val="ARfintablebodyrightbold"/>
              <w:ind w:right="0"/>
            </w:pPr>
            <w:r w:rsidRPr="002029AF">
              <w:t>15,151.3</w:t>
            </w:r>
          </w:p>
        </w:tc>
      </w:tr>
    </w:tbl>
    <w:p w14:paraId="054D82F5" w14:textId="77777777" w:rsidR="00087B91" w:rsidRPr="002029AF" w:rsidRDefault="00087B91" w:rsidP="00087B91">
      <w:pPr>
        <w:pStyle w:val="ARfinbody"/>
      </w:pPr>
      <w:r w:rsidRPr="002029AF">
        <w:br w:type="page"/>
      </w:r>
    </w:p>
    <w:tbl>
      <w:tblPr>
        <w:tblStyle w:val="TableGrid"/>
        <w:tblW w:w="14459" w:type="dxa"/>
        <w:tblLayout w:type="fixed"/>
        <w:tblCellMar>
          <w:right w:w="0" w:type="dxa"/>
        </w:tblCellMar>
        <w:tblLook w:val="06A0" w:firstRow="1" w:lastRow="0" w:firstColumn="1" w:lastColumn="0" w:noHBand="1" w:noVBand="1"/>
      </w:tblPr>
      <w:tblGrid>
        <w:gridCol w:w="3186"/>
        <w:gridCol w:w="797"/>
        <w:gridCol w:w="627"/>
        <w:gridCol w:w="627"/>
        <w:gridCol w:w="626"/>
        <w:gridCol w:w="626"/>
        <w:gridCol w:w="626"/>
        <w:gridCol w:w="626"/>
        <w:gridCol w:w="626"/>
        <w:gridCol w:w="908"/>
        <w:gridCol w:w="626"/>
        <w:gridCol w:w="626"/>
        <w:gridCol w:w="626"/>
        <w:gridCol w:w="626"/>
        <w:gridCol w:w="626"/>
        <w:gridCol w:w="626"/>
        <w:gridCol w:w="626"/>
        <w:gridCol w:w="796"/>
        <w:gridCol w:w="6"/>
      </w:tblGrid>
      <w:tr w:rsidR="00087B91" w:rsidRPr="002029AF" w14:paraId="1FC9D9D7" w14:textId="77777777" w:rsidTr="00C81A0B">
        <w:trPr>
          <w:gridAfter w:val="1"/>
          <w:cnfStyle w:val="100000000000" w:firstRow="1" w:lastRow="0" w:firstColumn="0" w:lastColumn="0" w:oddVBand="0" w:evenVBand="0" w:oddHBand="0" w:evenHBand="0" w:firstRowFirstColumn="0" w:firstRowLastColumn="0" w:lastRowFirstColumn="0" w:lastRowLastColumn="0"/>
          <w:wAfter w:w="6" w:type="dxa"/>
          <w:tblHeader/>
        </w:trPr>
        <w:tc>
          <w:tcPr>
            <w:tcW w:w="3213" w:type="dxa"/>
            <w:tcBorders>
              <w:bottom w:val="single" w:sz="4" w:space="0" w:color="auto"/>
            </w:tcBorders>
            <w:hideMark/>
          </w:tcPr>
          <w:p w14:paraId="09A59DBD" w14:textId="329D40A9" w:rsidR="00087B91" w:rsidRPr="002029AF" w:rsidRDefault="00087B91" w:rsidP="00860E95">
            <w:pPr>
              <w:pStyle w:val="ARfintablecolhead"/>
            </w:pPr>
            <w:r w:rsidRPr="002029AF">
              <w:lastRenderedPageBreak/>
              <w:t>Output</w:t>
            </w:r>
            <w:r w:rsidR="000A5329" w:rsidRPr="002029AF">
              <w:t xml:space="preserve"> </w:t>
            </w:r>
            <w:r w:rsidRPr="002029AF">
              <w:t>group</w:t>
            </w:r>
            <w:r w:rsidR="000A5329" w:rsidRPr="002029AF">
              <w:t xml:space="preserve"> </w:t>
            </w:r>
            <w:r w:rsidRPr="002029AF">
              <w:rPr>
                <w:rStyle w:val="Superscript"/>
              </w:rPr>
              <w:t>(i)(ii)</w:t>
            </w:r>
          </w:p>
          <w:p w14:paraId="31A11FFF" w14:textId="77777777" w:rsidR="00087B91" w:rsidRPr="002029AF" w:rsidRDefault="00087B91" w:rsidP="00860E95">
            <w:pPr>
              <w:pStyle w:val="ARfintablecolhead"/>
            </w:pPr>
            <w:r w:rsidRPr="002029AF">
              <w:t>2020</w:t>
            </w:r>
          </w:p>
        </w:tc>
        <w:tc>
          <w:tcPr>
            <w:tcW w:w="804" w:type="dxa"/>
            <w:tcBorders>
              <w:bottom w:val="single" w:sz="4" w:space="0" w:color="auto"/>
            </w:tcBorders>
            <w:hideMark/>
          </w:tcPr>
          <w:p w14:paraId="0D55464B" w14:textId="77777777" w:rsidR="00087B91" w:rsidRPr="002029AF" w:rsidRDefault="00087B91" w:rsidP="00860E95">
            <w:pPr>
              <w:pStyle w:val="ARfintablecolheadright"/>
              <w:ind w:right="0"/>
            </w:pPr>
            <w:r w:rsidRPr="002029AF">
              <w:t>1</w:t>
            </w:r>
          </w:p>
          <w:p w14:paraId="1B7657C2" w14:textId="77777777" w:rsidR="00087B91" w:rsidRPr="002029AF" w:rsidRDefault="00087B91" w:rsidP="00860E95">
            <w:pPr>
              <w:pStyle w:val="ARfintablecolheadright"/>
              <w:ind w:right="0"/>
            </w:pPr>
            <w:r w:rsidRPr="002029AF">
              <w:t>$M</w:t>
            </w:r>
          </w:p>
        </w:tc>
        <w:tc>
          <w:tcPr>
            <w:tcW w:w="632" w:type="dxa"/>
            <w:tcBorders>
              <w:bottom w:val="single" w:sz="4" w:space="0" w:color="auto"/>
            </w:tcBorders>
            <w:hideMark/>
          </w:tcPr>
          <w:p w14:paraId="26115CE8" w14:textId="77777777" w:rsidR="00087B91" w:rsidRPr="002029AF" w:rsidRDefault="00087B91" w:rsidP="00860E95">
            <w:pPr>
              <w:pStyle w:val="ARfintablecolheadright"/>
              <w:ind w:right="0"/>
            </w:pPr>
            <w:r w:rsidRPr="002029AF">
              <w:t>2</w:t>
            </w:r>
          </w:p>
          <w:p w14:paraId="0326094D" w14:textId="77777777" w:rsidR="00087B91" w:rsidRPr="002029AF" w:rsidRDefault="00087B91" w:rsidP="00860E95">
            <w:pPr>
              <w:pStyle w:val="ARfintablecolheadright"/>
              <w:ind w:right="0"/>
            </w:pPr>
            <w:r w:rsidRPr="002029AF">
              <w:t>$M</w:t>
            </w:r>
          </w:p>
        </w:tc>
        <w:tc>
          <w:tcPr>
            <w:tcW w:w="632" w:type="dxa"/>
            <w:tcBorders>
              <w:bottom w:val="single" w:sz="4" w:space="0" w:color="auto"/>
            </w:tcBorders>
            <w:hideMark/>
          </w:tcPr>
          <w:p w14:paraId="653F7A5B" w14:textId="77777777" w:rsidR="00087B91" w:rsidRPr="002029AF" w:rsidRDefault="00087B91" w:rsidP="00860E95">
            <w:pPr>
              <w:pStyle w:val="ARfintablecolheadright"/>
              <w:ind w:right="0"/>
            </w:pPr>
            <w:r w:rsidRPr="002029AF">
              <w:t>3</w:t>
            </w:r>
          </w:p>
          <w:p w14:paraId="4F45D56B" w14:textId="77777777" w:rsidR="00087B91" w:rsidRPr="002029AF" w:rsidRDefault="00087B91" w:rsidP="00860E95">
            <w:pPr>
              <w:pStyle w:val="ARfintablecolheadright"/>
              <w:ind w:right="0"/>
            </w:pPr>
            <w:r w:rsidRPr="002029AF">
              <w:t>$M</w:t>
            </w:r>
          </w:p>
        </w:tc>
        <w:tc>
          <w:tcPr>
            <w:tcW w:w="631" w:type="dxa"/>
            <w:tcBorders>
              <w:bottom w:val="single" w:sz="4" w:space="0" w:color="auto"/>
            </w:tcBorders>
            <w:hideMark/>
          </w:tcPr>
          <w:p w14:paraId="45194AFA" w14:textId="77777777" w:rsidR="00087B91" w:rsidRPr="002029AF" w:rsidRDefault="00087B91" w:rsidP="00860E95">
            <w:pPr>
              <w:pStyle w:val="ARfintablecolheadright"/>
              <w:ind w:right="0"/>
            </w:pPr>
            <w:r w:rsidRPr="002029AF">
              <w:t>4</w:t>
            </w:r>
          </w:p>
          <w:p w14:paraId="765E423E" w14:textId="77777777" w:rsidR="00087B91" w:rsidRPr="002029AF" w:rsidRDefault="00087B91" w:rsidP="00860E95">
            <w:pPr>
              <w:pStyle w:val="ARfintablecolheadright"/>
              <w:ind w:right="0"/>
            </w:pPr>
            <w:r w:rsidRPr="002029AF">
              <w:t>$M</w:t>
            </w:r>
          </w:p>
        </w:tc>
        <w:tc>
          <w:tcPr>
            <w:tcW w:w="631" w:type="dxa"/>
            <w:tcBorders>
              <w:bottom w:val="single" w:sz="4" w:space="0" w:color="auto"/>
            </w:tcBorders>
            <w:hideMark/>
          </w:tcPr>
          <w:p w14:paraId="1920342B" w14:textId="77777777" w:rsidR="00087B91" w:rsidRPr="002029AF" w:rsidRDefault="00087B91" w:rsidP="00860E95">
            <w:pPr>
              <w:pStyle w:val="ARfintablecolheadright"/>
              <w:ind w:right="0"/>
            </w:pPr>
            <w:r w:rsidRPr="002029AF">
              <w:t>5</w:t>
            </w:r>
          </w:p>
          <w:p w14:paraId="037E21FA" w14:textId="77777777" w:rsidR="00087B91" w:rsidRPr="002029AF" w:rsidRDefault="00087B91" w:rsidP="00860E95">
            <w:pPr>
              <w:pStyle w:val="ARfintablecolheadright"/>
              <w:ind w:right="0"/>
            </w:pPr>
            <w:r w:rsidRPr="002029AF">
              <w:t>$M</w:t>
            </w:r>
          </w:p>
        </w:tc>
        <w:tc>
          <w:tcPr>
            <w:tcW w:w="631" w:type="dxa"/>
            <w:tcBorders>
              <w:bottom w:val="single" w:sz="4" w:space="0" w:color="auto"/>
            </w:tcBorders>
            <w:hideMark/>
          </w:tcPr>
          <w:p w14:paraId="18EA2AD2" w14:textId="77777777" w:rsidR="00087B91" w:rsidRPr="002029AF" w:rsidRDefault="00087B91" w:rsidP="00860E95">
            <w:pPr>
              <w:pStyle w:val="ARfintablecolheadright"/>
              <w:ind w:right="0"/>
            </w:pPr>
            <w:r w:rsidRPr="002029AF">
              <w:t>6</w:t>
            </w:r>
          </w:p>
          <w:p w14:paraId="6A797A33" w14:textId="77777777" w:rsidR="00087B91" w:rsidRPr="002029AF" w:rsidRDefault="00087B91" w:rsidP="00860E95">
            <w:pPr>
              <w:pStyle w:val="ARfintablecolheadright"/>
              <w:ind w:right="0"/>
            </w:pPr>
            <w:r w:rsidRPr="002029AF">
              <w:t>$M</w:t>
            </w:r>
          </w:p>
        </w:tc>
        <w:tc>
          <w:tcPr>
            <w:tcW w:w="631" w:type="dxa"/>
            <w:tcBorders>
              <w:bottom w:val="single" w:sz="4" w:space="0" w:color="auto"/>
            </w:tcBorders>
            <w:hideMark/>
          </w:tcPr>
          <w:p w14:paraId="5151F468" w14:textId="77777777" w:rsidR="00087B91" w:rsidRPr="002029AF" w:rsidRDefault="00087B91" w:rsidP="00860E95">
            <w:pPr>
              <w:pStyle w:val="ARfintablecolheadright"/>
              <w:ind w:right="0"/>
            </w:pPr>
            <w:r w:rsidRPr="002029AF">
              <w:t>7</w:t>
            </w:r>
          </w:p>
          <w:p w14:paraId="501A199D" w14:textId="77777777" w:rsidR="00087B91" w:rsidRPr="002029AF" w:rsidRDefault="00087B91" w:rsidP="00860E95">
            <w:pPr>
              <w:pStyle w:val="ARfintablecolheadright"/>
              <w:ind w:right="0"/>
            </w:pPr>
            <w:r w:rsidRPr="002029AF">
              <w:t>$M</w:t>
            </w:r>
          </w:p>
        </w:tc>
        <w:tc>
          <w:tcPr>
            <w:tcW w:w="631" w:type="dxa"/>
            <w:tcBorders>
              <w:bottom w:val="single" w:sz="4" w:space="0" w:color="auto"/>
            </w:tcBorders>
            <w:hideMark/>
          </w:tcPr>
          <w:p w14:paraId="14558217" w14:textId="77777777" w:rsidR="00087B91" w:rsidRPr="002029AF" w:rsidRDefault="00087B91" w:rsidP="00860E95">
            <w:pPr>
              <w:pStyle w:val="ARfintablecolheadright"/>
              <w:ind w:right="0"/>
            </w:pPr>
            <w:r w:rsidRPr="002029AF">
              <w:t>8</w:t>
            </w:r>
          </w:p>
          <w:p w14:paraId="2F6C6EF8" w14:textId="77777777" w:rsidR="00087B91" w:rsidRPr="002029AF" w:rsidRDefault="00087B91" w:rsidP="00860E95">
            <w:pPr>
              <w:pStyle w:val="ARfintablecolheadright"/>
              <w:ind w:right="0"/>
            </w:pPr>
            <w:r w:rsidRPr="002029AF">
              <w:t>$M</w:t>
            </w:r>
          </w:p>
        </w:tc>
        <w:tc>
          <w:tcPr>
            <w:tcW w:w="915" w:type="dxa"/>
            <w:tcBorders>
              <w:bottom w:val="single" w:sz="4" w:space="0" w:color="auto"/>
            </w:tcBorders>
            <w:hideMark/>
          </w:tcPr>
          <w:p w14:paraId="6DE9E5ED" w14:textId="77777777" w:rsidR="00087B91" w:rsidRPr="002029AF" w:rsidRDefault="00087B91" w:rsidP="00860E95">
            <w:pPr>
              <w:pStyle w:val="ARfintablecolheadright"/>
              <w:ind w:right="0"/>
            </w:pPr>
            <w:r w:rsidRPr="002029AF">
              <w:t>9</w:t>
            </w:r>
          </w:p>
          <w:p w14:paraId="41269A07" w14:textId="77777777" w:rsidR="00087B91" w:rsidRPr="002029AF" w:rsidRDefault="00087B91" w:rsidP="00860E95">
            <w:pPr>
              <w:pStyle w:val="ARfintablecolheadright"/>
              <w:ind w:right="0"/>
            </w:pPr>
            <w:r w:rsidRPr="002029AF">
              <w:t>$M</w:t>
            </w:r>
          </w:p>
        </w:tc>
        <w:tc>
          <w:tcPr>
            <w:tcW w:w="631" w:type="dxa"/>
            <w:tcBorders>
              <w:bottom w:val="single" w:sz="4" w:space="0" w:color="auto"/>
            </w:tcBorders>
            <w:hideMark/>
          </w:tcPr>
          <w:p w14:paraId="00EFCBCC" w14:textId="77777777" w:rsidR="00087B91" w:rsidRPr="002029AF" w:rsidRDefault="00087B91" w:rsidP="00860E95">
            <w:pPr>
              <w:pStyle w:val="ARfintablecolheadright"/>
              <w:ind w:right="0"/>
            </w:pPr>
            <w:r w:rsidRPr="002029AF">
              <w:t>10</w:t>
            </w:r>
          </w:p>
          <w:p w14:paraId="0A6A0F01" w14:textId="77777777" w:rsidR="00087B91" w:rsidRPr="002029AF" w:rsidRDefault="00087B91" w:rsidP="00860E95">
            <w:pPr>
              <w:pStyle w:val="ARfintablecolheadright"/>
              <w:ind w:right="0"/>
            </w:pPr>
            <w:r w:rsidRPr="002029AF">
              <w:t>$M</w:t>
            </w:r>
          </w:p>
        </w:tc>
        <w:tc>
          <w:tcPr>
            <w:tcW w:w="631" w:type="dxa"/>
            <w:tcBorders>
              <w:bottom w:val="single" w:sz="4" w:space="0" w:color="auto"/>
            </w:tcBorders>
            <w:hideMark/>
          </w:tcPr>
          <w:p w14:paraId="21CE4E31" w14:textId="77777777" w:rsidR="00087B91" w:rsidRPr="002029AF" w:rsidRDefault="00087B91" w:rsidP="00860E95">
            <w:pPr>
              <w:pStyle w:val="ARfintablecolheadright"/>
              <w:ind w:right="0"/>
            </w:pPr>
            <w:r w:rsidRPr="002029AF">
              <w:t>11</w:t>
            </w:r>
          </w:p>
          <w:p w14:paraId="029A6EF4" w14:textId="77777777" w:rsidR="00087B91" w:rsidRPr="002029AF" w:rsidRDefault="00087B91" w:rsidP="00860E95">
            <w:pPr>
              <w:pStyle w:val="ARfintablecolheadright"/>
              <w:ind w:right="0"/>
            </w:pPr>
            <w:r w:rsidRPr="002029AF">
              <w:t>$M</w:t>
            </w:r>
          </w:p>
        </w:tc>
        <w:tc>
          <w:tcPr>
            <w:tcW w:w="631" w:type="dxa"/>
            <w:tcBorders>
              <w:bottom w:val="single" w:sz="4" w:space="0" w:color="auto"/>
            </w:tcBorders>
            <w:hideMark/>
          </w:tcPr>
          <w:p w14:paraId="799F4ADC" w14:textId="77777777" w:rsidR="00087B91" w:rsidRPr="002029AF" w:rsidRDefault="00087B91" w:rsidP="00860E95">
            <w:pPr>
              <w:pStyle w:val="ARfintablecolheadright"/>
              <w:ind w:right="0"/>
            </w:pPr>
            <w:r w:rsidRPr="002029AF">
              <w:t>12</w:t>
            </w:r>
          </w:p>
          <w:p w14:paraId="6F07D5AA" w14:textId="77777777" w:rsidR="00087B91" w:rsidRPr="002029AF" w:rsidRDefault="00087B91" w:rsidP="00860E95">
            <w:pPr>
              <w:pStyle w:val="ARfintablecolheadright"/>
              <w:ind w:right="0"/>
            </w:pPr>
            <w:r w:rsidRPr="002029AF">
              <w:t>$M</w:t>
            </w:r>
          </w:p>
        </w:tc>
        <w:tc>
          <w:tcPr>
            <w:tcW w:w="631" w:type="dxa"/>
            <w:tcBorders>
              <w:bottom w:val="single" w:sz="4" w:space="0" w:color="auto"/>
            </w:tcBorders>
            <w:hideMark/>
          </w:tcPr>
          <w:p w14:paraId="1A9CDE1C" w14:textId="77777777" w:rsidR="00087B91" w:rsidRPr="002029AF" w:rsidRDefault="00087B91" w:rsidP="00860E95">
            <w:pPr>
              <w:pStyle w:val="ARfintablecolheadright"/>
              <w:ind w:right="0"/>
            </w:pPr>
            <w:r w:rsidRPr="002029AF">
              <w:t>13</w:t>
            </w:r>
          </w:p>
          <w:p w14:paraId="0F019BB0" w14:textId="77777777" w:rsidR="00087B91" w:rsidRPr="002029AF" w:rsidRDefault="00087B91" w:rsidP="00860E95">
            <w:pPr>
              <w:pStyle w:val="ARfintablecolheadright"/>
              <w:ind w:right="0"/>
            </w:pPr>
            <w:r w:rsidRPr="002029AF">
              <w:t>$M</w:t>
            </w:r>
          </w:p>
        </w:tc>
        <w:tc>
          <w:tcPr>
            <w:tcW w:w="631" w:type="dxa"/>
            <w:tcBorders>
              <w:bottom w:val="single" w:sz="4" w:space="0" w:color="auto"/>
            </w:tcBorders>
            <w:hideMark/>
          </w:tcPr>
          <w:p w14:paraId="4BBE554D" w14:textId="77777777" w:rsidR="00087B91" w:rsidRPr="002029AF" w:rsidRDefault="00087B91" w:rsidP="00860E95">
            <w:pPr>
              <w:pStyle w:val="ARfintablecolheadright"/>
              <w:ind w:right="0"/>
            </w:pPr>
            <w:r w:rsidRPr="002029AF">
              <w:t>14</w:t>
            </w:r>
          </w:p>
          <w:p w14:paraId="5FDB44CF" w14:textId="77777777" w:rsidR="00087B91" w:rsidRPr="002029AF" w:rsidRDefault="00087B91" w:rsidP="00860E95">
            <w:pPr>
              <w:pStyle w:val="ARfintablecolheadright"/>
              <w:ind w:right="0"/>
            </w:pPr>
            <w:r w:rsidRPr="002029AF">
              <w:t>$M</w:t>
            </w:r>
          </w:p>
        </w:tc>
        <w:tc>
          <w:tcPr>
            <w:tcW w:w="631" w:type="dxa"/>
            <w:tcBorders>
              <w:bottom w:val="single" w:sz="4" w:space="0" w:color="auto"/>
            </w:tcBorders>
            <w:hideMark/>
          </w:tcPr>
          <w:p w14:paraId="79EBB13B" w14:textId="77777777" w:rsidR="00087B91" w:rsidRPr="002029AF" w:rsidRDefault="00087B91" w:rsidP="00860E95">
            <w:pPr>
              <w:pStyle w:val="ARfintablecolheadright"/>
              <w:ind w:right="0"/>
            </w:pPr>
            <w:r w:rsidRPr="002029AF">
              <w:t>15</w:t>
            </w:r>
          </w:p>
          <w:p w14:paraId="61FB242F" w14:textId="77777777" w:rsidR="00087B91" w:rsidRPr="002029AF" w:rsidRDefault="00087B91" w:rsidP="00860E95">
            <w:pPr>
              <w:pStyle w:val="ARfintablecolheadright"/>
              <w:ind w:right="0"/>
            </w:pPr>
            <w:r w:rsidRPr="002029AF">
              <w:t>$M</w:t>
            </w:r>
          </w:p>
        </w:tc>
        <w:tc>
          <w:tcPr>
            <w:tcW w:w="631" w:type="dxa"/>
            <w:tcBorders>
              <w:bottom w:val="single" w:sz="4" w:space="0" w:color="auto"/>
            </w:tcBorders>
            <w:hideMark/>
          </w:tcPr>
          <w:p w14:paraId="7AA813BC" w14:textId="77777777" w:rsidR="00087B91" w:rsidRPr="002029AF" w:rsidRDefault="00087B91" w:rsidP="00860E95">
            <w:pPr>
              <w:pStyle w:val="ARfintablecolheadright"/>
              <w:ind w:right="0"/>
            </w:pPr>
            <w:r w:rsidRPr="002029AF">
              <w:t>16</w:t>
            </w:r>
          </w:p>
          <w:p w14:paraId="1D0A0C62" w14:textId="77777777" w:rsidR="00087B91" w:rsidRPr="002029AF" w:rsidRDefault="00087B91" w:rsidP="00860E95">
            <w:pPr>
              <w:pStyle w:val="ARfintablecolheadright"/>
              <w:ind w:right="0"/>
            </w:pPr>
            <w:r w:rsidRPr="002029AF">
              <w:t>$M</w:t>
            </w:r>
          </w:p>
        </w:tc>
        <w:tc>
          <w:tcPr>
            <w:tcW w:w="803" w:type="dxa"/>
            <w:tcBorders>
              <w:bottom w:val="single" w:sz="4" w:space="0" w:color="auto"/>
            </w:tcBorders>
            <w:hideMark/>
          </w:tcPr>
          <w:p w14:paraId="2589D376" w14:textId="77777777" w:rsidR="00087B91" w:rsidRPr="002029AF" w:rsidRDefault="00087B91" w:rsidP="00860E95">
            <w:pPr>
              <w:pStyle w:val="ARfintablecolheadright"/>
              <w:ind w:right="0"/>
            </w:pPr>
            <w:r w:rsidRPr="002029AF">
              <w:t>Total</w:t>
            </w:r>
          </w:p>
          <w:p w14:paraId="338210C3" w14:textId="77777777" w:rsidR="00087B91" w:rsidRPr="002029AF" w:rsidRDefault="00087B91" w:rsidP="00860E95">
            <w:pPr>
              <w:pStyle w:val="ARfintablecolheadright"/>
              <w:ind w:right="0"/>
            </w:pPr>
            <w:r w:rsidRPr="002029AF">
              <w:t>$M</w:t>
            </w:r>
          </w:p>
        </w:tc>
      </w:tr>
      <w:tr w:rsidR="00087B91" w:rsidRPr="002029AF" w14:paraId="090F2E65" w14:textId="77777777" w:rsidTr="00C81A0B">
        <w:tc>
          <w:tcPr>
            <w:tcW w:w="14577" w:type="dxa"/>
            <w:gridSpan w:val="19"/>
            <w:tcBorders>
              <w:top w:val="single" w:sz="4" w:space="0" w:color="auto"/>
              <w:bottom w:val="single" w:sz="4" w:space="0" w:color="A6A6A6"/>
            </w:tcBorders>
            <w:hideMark/>
          </w:tcPr>
          <w:p w14:paraId="1DB6CE25" w14:textId="4FE1E893" w:rsidR="00087B91" w:rsidRPr="002029AF" w:rsidRDefault="00087B91" w:rsidP="00860E95">
            <w:pPr>
              <w:pStyle w:val="ARfintablebodybold"/>
              <w:ind w:right="0"/>
            </w:pPr>
            <w:r w:rsidRPr="002029AF">
              <w:t>Administered</w:t>
            </w:r>
            <w:r w:rsidR="000A5329" w:rsidRPr="002029AF">
              <w:t xml:space="preserve"> </w:t>
            </w:r>
            <w:r w:rsidRPr="002029AF">
              <w:t>expenses</w:t>
            </w:r>
            <w:r w:rsidR="000A5329" w:rsidRPr="002029AF">
              <w:t xml:space="preserve"> </w:t>
            </w:r>
            <w:r w:rsidRPr="002029AF">
              <w:t>from</w:t>
            </w:r>
            <w:r w:rsidR="000A5329" w:rsidRPr="002029AF">
              <w:t xml:space="preserve"> </w:t>
            </w:r>
            <w:r w:rsidRPr="002029AF">
              <w:t>transactions</w:t>
            </w:r>
          </w:p>
        </w:tc>
      </w:tr>
      <w:tr w:rsidR="00087B91" w:rsidRPr="002029AF" w14:paraId="2E1233BD" w14:textId="77777777" w:rsidTr="00C81A0B">
        <w:trPr>
          <w:gridAfter w:val="1"/>
          <w:wAfter w:w="6" w:type="dxa"/>
        </w:trPr>
        <w:tc>
          <w:tcPr>
            <w:tcW w:w="3213" w:type="dxa"/>
            <w:tcBorders>
              <w:top w:val="single" w:sz="4" w:space="0" w:color="A6A6A6"/>
              <w:bottom w:val="single" w:sz="4" w:space="0" w:color="A6A6A6"/>
            </w:tcBorders>
            <w:hideMark/>
          </w:tcPr>
          <w:p w14:paraId="2673A113" w14:textId="04100D78" w:rsidR="00087B91" w:rsidRPr="002029AF" w:rsidRDefault="00087B91" w:rsidP="00860E95">
            <w:pPr>
              <w:pStyle w:val="ARfintablebody"/>
            </w:pPr>
            <w:r w:rsidRPr="002029AF">
              <w:t>Grants</w:t>
            </w:r>
            <w:r w:rsidR="000A5329" w:rsidRPr="002029AF">
              <w:t xml:space="preserve"> </w:t>
            </w:r>
            <w:r w:rsidRPr="002029AF">
              <w:t>and</w:t>
            </w:r>
            <w:r w:rsidR="000A5329" w:rsidRPr="002029AF">
              <w:t xml:space="preserve"> </w:t>
            </w:r>
            <w:r w:rsidRPr="002029AF">
              <w:t>other</w:t>
            </w:r>
            <w:r w:rsidR="000A5329" w:rsidRPr="002029AF">
              <w:t xml:space="preserve"> </w:t>
            </w:r>
            <w:r w:rsidRPr="002029AF">
              <w:t>expense</w:t>
            </w:r>
            <w:r w:rsidR="000A5329" w:rsidRPr="002029AF">
              <w:t xml:space="preserve"> </w:t>
            </w:r>
            <w:r w:rsidRPr="002029AF">
              <w:t>transfers</w:t>
            </w:r>
          </w:p>
        </w:tc>
        <w:tc>
          <w:tcPr>
            <w:tcW w:w="804" w:type="dxa"/>
            <w:tcBorders>
              <w:top w:val="single" w:sz="4" w:space="0" w:color="A6A6A6"/>
              <w:bottom w:val="single" w:sz="4" w:space="0" w:color="A6A6A6"/>
            </w:tcBorders>
            <w:noWrap/>
            <w:hideMark/>
          </w:tcPr>
          <w:p w14:paraId="3CF71B36" w14:textId="77777777" w:rsidR="00087B91" w:rsidRPr="002029AF" w:rsidRDefault="00087B91" w:rsidP="00860E95">
            <w:pPr>
              <w:pStyle w:val="ARfintablebodyright"/>
              <w:ind w:right="0"/>
            </w:pPr>
            <w:r w:rsidRPr="002029AF">
              <w:t>10,357.1</w:t>
            </w:r>
          </w:p>
        </w:tc>
        <w:tc>
          <w:tcPr>
            <w:tcW w:w="632" w:type="dxa"/>
            <w:tcBorders>
              <w:top w:val="single" w:sz="4" w:space="0" w:color="A6A6A6"/>
              <w:bottom w:val="single" w:sz="4" w:space="0" w:color="A6A6A6"/>
            </w:tcBorders>
            <w:noWrap/>
            <w:hideMark/>
          </w:tcPr>
          <w:p w14:paraId="6EDBC121" w14:textId="77777777" w:rsidR="00087B91" w:rsidRPr="002029AF" w:rsidRDefault="00087B91" w:rsidP="00860E95">
            <w:pPr>
              <w:pStyle w:val="ARfintablebodyright"/>
              <w:ind w:right="0"/>
            </w:pPr>
            <w:r w:rsidRPr="002029AF">
              <w:t>–</w:t>
            </w:r>
          </w:p>
        </w:tc>
        <w:tc>
          <w:tcPr>
            <w:tcW w:w="632" w:type="dxa"/>
            <w:tcBorders>
              <w:top w:val="single" w:sz="4" w:space="0" w:color="A6A6A6"/>
              <w:bottom w:val="single" w:sz="4" w:space="0" w:color="A6A6A6"/>
            </w:tcBorders>
            <w:noWrap/>
            <w:hideMark/>
          </w:tcPr>
          <w:p w14:paraId="7F8CF902" w14:textId="77777777" w:rsidR="00087B91" w:rsidRPr="002029AF" w:rsidRDefault="00087B91" w:rsidP="00860E95">
            <w:pPr>
              <w:pStyle w:val="ARfintablebodyright"/>
              <w:ind w:right="0"/>
            </w:pPr>
            <w:r w:rsidRPr="002029AF">
              <w:t>428.1</w:t>
            </w:r>
          </w:p>
        </w:tc>
        <w:tc>
          <w:tcPr>
            <w:tcW w:w="631" w:type="dxa"/>
            <w:tcBorders>
              <w:top w:val="single" w:sz="4" w:space="0" w:color="A6A6A6"/>
              <w:bottom w:val="single" w:sz="4" w:space="0" w:color="A6A6A6"/>
            </w:tcBorders>
            <w:noWrap/>
            <w:hideMark/>
          </w:tcPr>
          <w:p w14:paraId="5E39C2D4" w14:textId="77777777" w:rsidR="00087B91" w:rsidRPr="002029AF" w:rsidRDefault="00087B91" w:rsidP="00860E95">
            <w:pPr>
              <w:pStyle w:val="ARfintablebodyright"/>
              <w:ind w:right="0"/>
            </w:pPr>
            <w:r w:rsidRPr="002029AF">
              <w:t>64.5</w:t>
            </w:r>
          </w:p>
        </w:tc>
        <w:tc>
          <w:tcPr>
            <w:tcW w:w="631" w:type="dxa"/>
            <w:tcBorders>
              <w:top w:val="single" w:sz="4" w:space="0" w:color="A6A6A6"/>
              <w:bottom w:val="single" w:sz="4" w:space="0" w:color="A6A6A6"/>
            </w:tcBorders>
            <w:noWrap/>
            <w:hideMark/>
          </w:tcPr>
          <w:p w14:paraId="68F417A7"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773C5D4C"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61D42192"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2218CCB6" w14:textId="77777777" w:rsidR="00087B91" w:rsidRPr="002029AF" w:rsidRDefault="00087B91" w:rsidP="00860E95">
            <w:pPr>
              <w:pStyle w:val="ARfintablebodyright"/>
              <w:ind w:right="0"/>
            </w:pPr>
            <w:r w:rsidRPr="002029AF">
              <w:t>–</w:t>
            </w:r>
          </w:p>
        </w:tc>
        <w:tc>
          <w:tcPr>
            <w:tcW w:w="915" w:type="dxa"/>
            <w:tcBorders>
              <w:top w:val="single" w:sz="4" w:space="0" w:color="A6A6A6"/>
              <w:bottom w:val="single" w:sz="4" w:space="0" w:color="A6A6A6"/>
            </w:tcBorders>
            <w:noWrap/>
            <w:hideMark/>
          </w:tcPr>
          <w:p w14:paraId="2C722076" w14:textId="77777777" w:rsidR="00087B91" w:rsidRPr="002029AF" w:rsidRDefault="00087B91" w:rsidP="00860E95">
            <w:pPr>
              <w:pStyle w:val="ARfintablebodyright"/>
              <w:ind w:right="0"/>
            </w:pPr>
            <w:r w:rsidRPr="002029AF">
              <w:t>1,236.1</w:t>
            </w:r>
          </w:p>
        </w:tc>
        <w:tc>
          <w:tcPr>
            <w:tcW w:w="631" w:type="dxa"/>
            <w:tcBorders>
              <w:top w:val="single" w:sz="4" w:space="0" w:color="A6A6A6"/>
              <w:bottom w:val="single" w:sz="4" w:space="0" w:color="A6A6A6"/>
            </w:tcBorders>
            <w:noWrap/>
            <w:hideMark/>
          </w:tcPr>
          <w:p w14:paraId="31540724" w14:textId="77777777" w:rsidR="00087B91" w:rsidRPr="002029AF" w:rsidRDefault="00087B91" w:rsidP="00860E95">
            <w:pPr>
              <w:pStyle w:val="ARfintablebodyright"/>
              <w:ind w:right="0"/>
            </w:pPr>
            <w:r w:rsidRPr="002029AF">
              <w:t>7.8</w:t>
            </w:r>
          </w:p>
        </w:tc>
        <w:tc>
          <w:tcPr>
            <w:tcW w:w="631" w:type="dxa"/>
            <w:tcBorders>
              <w:top w:val="single" w:sz="4" w:space="0" w:color="A6A6A6"/>
              <w:bottom w:val="single" w:sz="4" w:space="0" w:color="A6A6A6"/>
            </w:tcBorders>
            <w:noWrap/>
            <w:hideMark/>
          </w:tcPr>
          <w:p w14:paraId="7FA2B35C" w14:textId="77777777" w:rsidR="00087B91" w:rsidRPr="002029AF" w:rsidRDefault="00087B91" w:rsidP="00860E95">
            <w:pPr>
              <w:pStyle w:val="ARfintablebodyright"/>
              <w:ind w:right="0"/>
            </w:pPr>
            <w:r w:rsidRPr="002029AF">
              <w:t>17.6</w:t>
            </w:r>
          </w:p>
        </w:tc>
        <w:tc>
          <w:tcPr>
            <w:tcW w:w="631" w:type="dxa"/>
            <w:tcBorders>
              <w:top w:val="single" w:sz="4" w:space="0" w:color="A6A6A6"/>
              <w:bottom w:val="single" w:sz="4" w:space="0" w:color="A6A6A6"/>
            </w:tcBorders>
            <w:noWrap/>
            <w:hideMark/>
          </w:tcPr>
          <w:p w14:paraId="1FC7D4F9"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5042145F"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12145808"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3181E461"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5F231CED" w14:textId="77777777" w:rsidR="00087B91" w:rsidRPr="002029AF" w:rsidRDefault="00087B91" w:rsidP="00860E95">
            <w:pPr>
              <w:pStyle w:val="ARfintablebodyright"/>
              <w:ind w:right="0"/>
            </w:pPr>
            <w:r w:rsidRPr="002029AF">
              <w:t>–</w:t>
            </w:r>
          </w:p>
        </w:tc>
        <w:tc>
          <w:tcPr>
            <w:tcW w:w="803" w:type="dxa"/>
            <w:tcBorders>
              <w:top w:val="single" w:sz="4" w:space="0" w:color="A6A6A6"/>
              <w:bottom w:val="single" w:sz="4" w:space="0" w:color="A6A6A6"/>
            </w:tcBorders>
            <w:noWrap/>
            <w:hideMark/>
          </w:tcPr>
          <w:p w14:paraId="61199912" w14:textId="77777777" w:rsidR="00087B91" w:rsidRPr="002029AF" w:rsidRDefault="00087B91" w:rsidP="00860E95">
            <w:pPr>
              <w:pStyle w:val="ARfintablebodyright"/>
              <w:ind w:right="0"/>
            </w:pPr>
            <w:r w:rsidRPr="002029AF">
              <w:t>12,111.2</w:t>
            </w:r>
          </w:p>
        </w:tc>
      </w:tr>
      <w:tr w:rsidR="00087B91" w:rsidRPr="002029AF" w14:paraId="468C5929" w14:textId="77777777" w:rsidTr="00C81A0B">
        <w:trPr>
          <w:gridAfter w:val="1"/>
          <w:wAfter w:w="6" w:type="dxa"/>
        </w:trPr>
        <w:tc>
          <w:tcPr>
            <w:tcW w:w="3213" w:type="dxa"/>
            <w:tcBorders>
              <w:top w:val="single" w:sz="4" w:space="0" w:color="A6A6A6"/>
              <w:bottom w:val="single" w:sz="4" w:space="0" w:color="A6A6A6"/>
            </w:tcBorders>
            <w:hideMark/>
          </w:tcPr>
          <w:p w14:paraId="0B57983B" w14:textId="3D882D0F" w:rsidR="00087B91" w:rsidRPr="002029AF" w:rsidRDefault="00087B91" w:rsidP="00860E95">
            <w:pPr>
              <w:pStyle w:val="ARfintablebody"/>
            </w:pPr>
            <w:r w:rsidRPr="002029AF">
              <w:t>Employee</w:t>
            </w:r>
            <w:r w:rsidR="000A5329" w:rsidRPr="002029AF">
              <w:t xml:space="preserve"> </w:t>
            </w:r>
            <w:r w:rsidRPr="002029AF">
              <w:t>benefits</w:t>
            </w:r>
          </w:p>
        </w:tc>
        <w:tc>
          <w:tcPr>
            <w:tcW w:w="804" w:type="dxa"/>
            <w:tcBorders>
              <w:top w:val="single" w:sz="4" w:space="0" w:color="A6A6A6"/>
              <w:bottom w:val="single" w:sz="4" w:space="0" w:color="A6A6A6"/>
            </w:tcBorders>
            <w:noWrap/>
            <w:hideMark/>
          </w:tcPr>
          <w:p w14:paraId="3A77B63F" w14:textId="77777777" w:rsidR="00087B91" w:rsidRPr="002029AF" w:rsidRDefault="00087B91" w:rsidP="00860E95">
            <w:pPr>
              <w:pStyle w:val="ARfintablebodyright"/>
              <w:ind w:right="0"/>
            </w:pPr>
            <w:r w:rsidRPr="002029AF">
              <w:t>–</w:t>
            </w:r>
          </w:p>
        </w:tc>
        <w:tc>
          <w:tcPr>
            <w:tcW w:w="632" w:type="dxa"/>
            <w:tcBorders>
              <w:top w:val="single" w:sz="4" w:space="0" w:color="A6A6A6"/>
              <w:bottom w:val="single" w:sz="4" w:space="0" w:color="A6A6A6"/>
            </w:tcBorders>
            <w:noWrap/>
            <w:hideMark/>
          </w:tcPr>
          <w:p w14:paraId="1D976C2D" w14:textId="77777777" w:rsidR="00087B91" w:rsidRPr="002029AF" w:rsidRDefault="00087B91" w:rsidP="00860E95">
            <w:pPr>
              <w:pStyle w:val="ARfintablebodyright"/>
              <w:ind w:right="0"/>
            </w:pPr>
            <w:r w:rsidRPr="002029AF">
              <w:t>–</w:t>
            </w:r>
          </w:p>
        </w:tc>
        <w:tc>
          <w:tcPr>
            <w:tcW w:w="632" w:type="dxa"/>
            <w:tcBorders>
              <w:top w:val="single" w:sz="4" w:space="0" w:color="A6A6A6"/>
              <w:bottom w:val="single" w:sz="4" w:space="0" w:color="A6A6A6"/>
            </w:tcBorders>
            <w:noWrap/>
            <w:hideMark/>
          </w:tcPr>
          <w:p w14:paraId="551DB34B"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6F741FE1"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54F8008F"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493A57AC"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5E4246A3"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2F9CBD4C" w14:textId="77777777" w:rsidR="00087B91" w:rsidRPr="002029AF" w:rsidRDefault="00087B91" w:rsidP="00860E95">
            <w:pPr>
              <w:pStyle w:val="ARfintablebodyright"/>
              <w:ind w:right="0"/>
            </w:pPr>
            <w:r w:rsidRPr="002029AF">
              <w:t>–</w:t>
            </w:r>
          </w:p>
        </w:tc>
        <w:tc>
          <w:tcPr>
            <w:tcW w:w="915" w:type="dxa"/>
            <w:tcBorders>
              <w:top w:val="single" w:sz="4" w:space="0" w:color="A6A6A6"/>
              <w:bottom w:val="single" w:sz="4" w:space="0" w:color="A6A6A6"/>
            </w:tcBorders>
            <w:noWrap/>
            <w:hideMark/>
          </w:tcPr>
          <w:p w14:paraId="2B16DD89"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273D8AD7"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7F042B2D"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5DF94BB7"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3FDA9AC0"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406F8779"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11AD10FD"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37718032" w14:textId="77777777" w:rsidR="00087B91" w:rsidRPr="002029AF" w:rsidRDefault="00087B91" w:rsidP="00860E95">
            <w:pPr>
              <w:pStyle w:val="ARfintablebodyright"/>
              <w:ind w:right="0"/>
            </w:pPr>
            <w:r w:rsidRPr="002029AF">
              <w:t>–</w:t>
            </w:r>
          </w:p>
        </w:tc>
        <w:tc>
          <w:tcPr>
            <w:tcW w:w="803" w:type="dxa"/>
            <w:tcBorders>
              <w:top w:val="single" w:sz="4" w:space="0" w:color="A6A6A6"/>
              <w:bottom w:val="single" w:sz="4" w:space="0" w:color="A6A6A6"/>
            </w:tcBorders>
            <w:noWrap/>
            <w:hideMark/>
          </w:tcPr>
          <w:p w14:paraId="184FC02E" w14:textId="77777777" w:rsidR="00087B91" w:rsidRPr="002029AF" w:rsidRDefault="00087B91" w:rsidP="00860E95">
            <w:pPr>
              <w:pStyle w:val="ARfintablebodyright"/>
              <w:ind w:right="0"/>
            </w:pPr>
            <w:r w:rsidRPr="002029AF">
              <w:t>–</w:t>
            </w:r>
          </w:p>
        </w:tc>
      </w:tr>
      <w:tr w:rsidR="00087B91" w:rsidRPr="002029AF" w14:paraId="5AD3AD63" w14:textId="77777777" w:rsidTr="00C81A0B">
        <w:trPr>
          <w:gridAfter w:val="1"/>
          <w:wAfter w:w="6" w:type="dxa"/>
        </w:trPr>
        <w:tc>
          <w:tcPr>
            <w:tcW w:w="3213" w:type="dxa"/>
            <w:tcBorders>
              <w:top w:val="single" w:sz="4" w:space="0" w:color="A6A6A6"/>
              <w:bottom w:val="single" w:sz="4" w:space="0" w:color="A6A6A6"/>
            </w:tcBorders>
            <w:hideMark/>
          </w:tcPr>
          <w:p w14:paraId="1145596E" w14:textId="6D3C236E" w:rsidR="00087B91" w:rsidRPr="002029AF" w:rsidRDefault="00087B91" w:rsidP="00860E95">
            <w:pPr>
              <w:pStyle w:val="ARfintablebody"/>
            </w:pPr>
            <w:r w:rsidRPr="002029AF">
              <w:t>Other</w:t>
            </w:r>
            <w:r w:rsidR="000A5329" w:rsidRPr="002029AF">
              <w:t xml:space="preserve"> </w:t>
            </w:r>
            <w:r w:rsidRPr="002029AF">
              <w:t>operating</w:t>
            </w:r>
            <w:r w:rsidR="000A5329" w:rsidRPr="002029AF">
              <w:t xml:space="preserve"> </w:t>
            </w:r>
            <w:r w:rsidRPr="002029AF">
              <w:t>expenses</w:t>
            </w:r>
          </w:p>
        </w:tc>
        <w:tc>
          <w:tcPr>
            <w:tcW w:w="804" w:type="dxa"/>
            <w:tcBorders>
              <w:top w:val="single" w:sz="4" w:space="0" w:color="A6A6A6"/>
              <w:bottom w:val="single" w:sz="4" w:space="0" w:color="A6A6A6"/>
            </w:tcBorders>
            <w:noWrap/>
            <w:hideMark/>
          </w:tcPr>
          <w:p w14:paraId="2C849B24" w14:textId="77777777" w:rsidR="00087B91" w:rsidRPr="002029AF" w:rsidRDefault="00087B91" w:rsidP="00860E95">
            <w:pPr>
              <w:pStyle w:val="ARfintablebodyright"/>
              <w:ind w:right="0"/>
            </w:pPr>
            <w:r w:rsidRPr="002029AF">
              <w:t>0.3</w:t>
            </w:r>
          </w:p>
        </w:tc>
        <w:tc>
          <w:tcPr>
            <w:tcW w:w="632" w:type="dxa"/>
            <w:tcBorders>
              <w:top w:val="single" w:sz="4" w:space="0" w:color="A6A6A6"/>
              <w:bottom w:val="single" w:sz="4" w:space="0" w:color="A6A6A6"/>
            </w:tcBorders>
            <w:noWrap/>
            <w:hideMark/>
          </w:tcPr>
          <w:p w14:paraId="7640872C" w14:textId="77777777" w:rsidR="00087B91" w:rsidRPr="002029AF" w:rsidRDefault="00087B91" w:rsidP="00860E95">
            <w:pPr>
              <w:pStyle w:val="ARfintablebodyright"/>
              <w:ind w:right="0"/>
            </w:pPr>
            <w:r w:rsidRPr="002029AF">
              <w:t>–</w:t>
            </w:r>
          </w:p>
        </w:tc>
        <w:tc>
          <w:tcPr>
            <w:tcW w:w="632" w:type="dxa"/>
            <w:tcBorders>
              <w:top w:val="single" w:sz="4" w:space="0" w:color="A6A6A6"/>
              <w:bottom w:val="single" w:sz="4" w:space="0" w:color="A6A6A6"/>
            </w:tcBorders>
            <w:noWrap/>
            <w:hideMark/>
          </w:tcPr>
          <w:p w14:paraId="248E8DAF" w14:textId="77777777" w:rsidR="00087B91" w:rsidRPr="002029AF" w:rsidRDefault="00087B91" w:rsidP="00860E95">
            <w:pPr>
              <w:pStyle w:val="ARfintablebodyright"/>
              <w:ind w:right="0"/>
            </w:pPr>
            <w:r w:rsidRPr="002029AF">
              <w:t>0.1</w:t>
            </w:r>
          </w:p>
        </w:tc>
        <w:tc>
          <w:tcPr>
            <w:tcW w:w="631" w:type="dxa"/>
            <w:tcBorders>
              <w:top w:val="single" w:sz="4" w:space="0" w:color="A6A6A6"/>
              <w:bottom w:val="single" w:sz="4" w:space="0" w:color="A6A6A6"/>
            </w:tcBorders>
            <w:noWrap/>
            <w:hideMark/>
          </w:tcPr>
          <w:p w14:paraId="0BDE3F3B"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682C66F0"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0A760159"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6C1E65FB" w14:textId="77777777" w:rsidR="00087B91" w:rsidRPr="002029AF" w:rsidRDefault="00087B91" w:rsidP="00860E95">
            <w:pPr>
              <w:pStyle w:val="ARfintablebodyright"/>
              <w:ind w:right="0"/>
            </w:pPr>
            <w:r w:rsidRPr="002029AF">
              <w:t>0.2</w:t>
            </w:r>
          </w:p>
        </w:tc>
        <w:tc>
          <w:tcPr>
            <w:tcW w:w="631" w:type="dxa"/>
            <w:tcBorders>
              <w:top w:val="single" w:sz="4" w:space="0" w:color="A6A6A6"/>
              <w:bottom w:val="single" w:sz="4" w:space="0" w:color="A6A6A6"/>
            </w:tcBorders>
            <w:noWrap/>
            <w:hideMark/>
          </w:tcPr>
          <w:p w14:paraId="653B464B" w14:textId="77777777" w:rsidR="00087B91" w:rsidRPr="002029AF" w:rsidRDefault="00087B91" w:rsidP="00860E95">
            <w:pPr>
              <w:pStyle w:val="ARfintablebodyright"/>
              <w:ind w:right="0"/>
            </w:pPr>
            <w:r w:rsidRPr="002029AF">
              <w:t>–</w:t>
            </w:r>
          </w:p>
        </w:tc>
        <w:tc>
          <w:tcPr>
            <w:tcW w:w="915" w:type="dxa"/>
            <w:tcBorders>
              <w:top w:val="single" w:sz="4" w:space="0" w:color="A6A6A6"/>
              <w:bottom w:val="single" w:sz="4" w:space="0" w:color="A6A6A6"/>
            </w:tcBorders>
            <w:noWrap/>
            <w:hideMark/>
          </w:tcPr>
          <w:p w14:paraId="2E048BAE" w14:textId="77777777" w:rsidR="00087B91" w:rsidRPr="002029AF" w:rsidRDefault="00087B91" w:rsidP="00860E95">
            <w:pPr>
              <w:pStyle w:val="ARfintablebodyright"/>
              <w:ind w:right="0"/>
            </w:pPr>
            <w:r w:rsidRPr="002029AF">
              <w:t>0.3</w:t>
            </w:r>
          </w:p>
        </w:tc>
        <w:tc>
          <w:tcPr>
            <w:tcW w:w="631" w:type="dxa"/>
            <w:tcBorders>
              <w:top w:val="single" w:sz="4" w:space="0" w:color="A6A6A6"/>
              <w:bottom w:val="single" w:sz="4" w:space="0" w:color="A6A6A6"/>
            </w:tcBorders>
            <w:noWrap/>
            <w:hideMark/>
          </w:tcPr>
          <w:p w14:paraId="7F6F6348" w14:textId="77777777" w:rsidR="00087B91" w:rsidRPr="002029AF" w:rsidRDefault="00087B91" w:rsidP="00860E95">
            <w:pPr>
              <w:pStyle w:val="ARfintablebodyright"/>
              <w:ind w:right="0"/>
            </w:pPr>
            <w:r w:rsidRPr="002029AF">
              <w:t>0.4</w:t>
            </w:r>
          </w:p>
        </w:tc>
        <w:tc>
          <w:tcPr>
            <w:tcW w:w="631" w:type="dxa"/>
            <w:tcBorders>
              <w:top w:val="single" w:sz="4" w:space="0" w:color="A6A6A6"/>
              <w:bottom w:val="single" w:sz="4" w:space="0" w:color="A6A6A6"/>
            </w:tcBorders>
            <w:noWrap/>
            <w:hideMark/>
          </w:tcPr>
          <w:p w14:paraId="6F40AF86"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1F9A96F3" w14:textId="77777777" w:rsidR="00087B91" w:rsidRPr="002029AF" w:rsidRDefault="00087B91" w:rsidP="00860E95">
            <w:pPr>
              <w:pStyle w:val="ARfintablebodyright"/>
              <w:ind w:right="0"/>
            </w:pPr>
            <w:r w:rsidRPr="002029AF">
              <w:t>0.1</w:t>
            </w:r>
          </w:p>
        </w:tc>
        <w:tc>
          <w:tcPr>
            <w:tcW w:w="631" w:type="dxa"/>
            <w:tcBorders>
              <w:top w:val="single" w:sz="4" w:space="0" w:color="A6A6A6"/>
              <w:bottom w:val="single" w:sz="4" w:space="0" w:color="A6A6A6"/>
            </w:tcBorders>
            <w:noWrap/>
            <w:hideMark/>
          </w:tcPr>
          <w:p w14:paraId="089DB814"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25AB9BE7"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4388AF14"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6DB17B03" w14:textId="77777777" w:rsidR="00087B91" w:rsidRPr="002029AF" w:rsidRDefault="00087B91" w:rsidP="00860E95">
            <w:pPr>
              <w:pStyle w:val="ARfintablebodyright"/>
              <w:ind w:right="0"/>
            </w:pPr>
            <w:r w:rsidRPr="002029AF">
              <w:t>–</w:t>
            </w:r>
          </w:p>
        </w:tc>
        <w:tc>
          <w:tcPr>
            <w:tcW w:w="803" w:type="dxa"/>
            <w:tcBorders>
              <w:top w:val="single" w:sz="4" w:space="0" w:color="A6A6A6"/>
              <w:bottom w:val="single" w:sz="4" w:space="0" w:color="A6A6A6"/>
            </w:tcBorders>
            <w:noWrap/>
            <w:hideMark/>
          </w:tcPr>
          <w:p w14:paraId="4CC91FBE" w14:textId="77777777" w:rsidR="00087B91" w:rsidRPr="002029AF" w:rsidRDefault="00087B91" w:rsidP="00860E95">
            <w:pPr>
              <w:pStyle w:val="ARfintablebodyright"/>
              <w:ind w:right="0"/>
            </w:pPr>
            <w:r w:rsidRPr="002029AF">
              <w:t>1.4</w:t>
            </w:r>
          </w:p>
        </w:tc>
      </w:tr>
      <w:tr w:rsidR="00087B91" w:rsidRPr="002029AF" w14:paraId="49BF6937" w14:textId="77777777" w:rsidTr="00C81A0B">
        <w:trPr>
          <w:gridAfter w:val="1"/>
          <w:wAfter w:w="6" w:type="dxa"/>
        </w:trPr>
        <w:tc>
          <w:tcPr>
            <w:tcW w:w="3213" w:type="dxa"/>
            <w:tcBorders>
              <w:top w:val="single" w:sz="4" w:space="0" w:color="A6A6A6"/>
              <w:bottom w:val="single" w:sz="4" w:space="0" w:color="A6A6A6"/>
            </w:tcBorders>
            <w:hideMark/>
          </w:tcPr>
          <w:p w14:paraId="05AFA85A" w14:textId="3B3F6E9E" w:rsidR="00087B91" w:rsidRPr="002029AF" w:rsidRDefault="00087B91" w:rsidP="00860E95">
            <w:pPr>
              <w:pStyle w:val="ARfintablebody"/>
            </w:pPr>
            <w:r w:rsidRPr="002029AF">
              <w:t>Payments</w:t>
            </w:r>
            <w:r w:rsidR="000A5329" w:rsidRPr="002029AF">
              <w:t xml:space="preserve"> </w:t>
            </w:r>
            <w:r w:rsidRPr="002029AF">
              <w:t>into</w:t>
            </w:r>
            <w:r w:rsidR="000A5329" w:rsidRPr="002029AF">
              <w:t xml:space="preserve"> </w:t>
            </w:r>
            <w:r w:rsidRPr="002029AF">
              <w:t>the</w:t>
            </w:r>
            <w:r w:rsidR="000A5329" w:rsidRPr="002029AF">
              <w:t xml:space="preserve"> </w:t>
            </w:r>
            <w:r w:rsidRPr="002029AF">
              <w:t>consolidated</w:t>
            </w:r>
            <w:r w:rsidR="000A5329" w:rsidRPr="002029AF">
              <w:t xml:space="preserve"> </w:t>
            </w:r>
            <w:r w:rsidRPr="002029AF">
              <w:t>fund</w:t>
            </w:r>
          </w:p>
        </w:tc>
        <w:tc>
          <w:tcPr>
            <w:tcW w:w="804" w:type="dxa"/>
            <w:tcBorders>
              <w:top w:val="single" w:sz="4" w:space="0" w:color="A6A6A6"/>
              <w:bottom w:val="single" w:sz="4" w:space="0" w:color="A6A6A6"/>
            </w:tcBorders>
            <w:noWrap/>
            <w:hideMark/>
          </w:tcPr>
          <w:p w14:paraId="3EDA4210" w14:textId="77777777" w:rsidR="00087B91" w:rsidRPr="002029AF" w:rsidRDefault="00087B91" w:rsidP="00860E95">
            <w:pPr>
              <w:pStyle w:val="ARfintablebodyright"/>
              <w:ind w:right="0"/>
            </w:pPr>
            <w:r w:rsidRPr="002029AF">
              <w:t>224.9</w:t>
            </w:r>
          </w:p>
        </w:tc>
        <w:tc>
          <w:tcPr>
            <w:tcW w:w="632" w:type="dxa"/>
            <w:tcBorders>
              <w:top w:val="single" w:sz="4" w:space="0" w:color="A6A6A6"/>
              <w:bottom w:val="single" w:sz="4" w:space="0" w:color="A6A6A6"/>
            </w:tcBorders>
            <w:noWrap/>
            <w:hideMark/>
          </w:tcPr>
          <w:p w14:paraId="56253096" w14:textId="77777777" w:rsidR="00087B91" w:rsidRPr="002029AF" w:rsidRDefault="00087B91" w:rsidP="00860E95">
            <w:pPr>
              <w:pStyle w:val="ARfintablebodyright"/>
              <w:ind w:right="0"/>
            </w:pPr>
            <w:r w:rsidRPr="002029AF">
              <w:t>–</w:t>
            </w:r>
          </w:p>
        </w:tc>
        <w:tc>
          <w:tcPr>
            <w:tcW w:w="632" w:type="dxa"/>
            <w:tcBorders>
              <w:top w:val="single" w:sz="4" w:space="0" w:color="A6A6A6"/>
              <w:bottom w:val="single" w:sz="4" w:space="0" w:color="A6A6A6"/>
            </w:tcBorders>
            <w:noWrap/>
            <w:hideMark/>
          </w:tcPr>
          <w:p w14:paraId="6BC5BCFC" w14:textId="77777777" w:rsidR="00087B91" w:rsidRPr="002029AF" w:rsidRDefault="00087B91" w:rsidP="00860E95">
            <w:pPr>
              <w:pStyle w:val="ARfintablebodyright"/>
              <w:ind w:right="0"/>
            </w:pPr>
            <w:r w:rsidRPr="002029AF">
              <w:t>17.2</w:t>
            </w:r>
          </w:p>
        </w:tc>
        <w:tc>
          <w:tcPr>
            <w:tcW w:w="631" w:type="dxa"/>
            <w:tcBorders>
              <w:top w:val="single" w:sz="4" w:space="0" w:color="A6A6A6"/>
              <w:bottom w:val="single" w:sz="4" w:space="0" w:color="A6A6A6"/>
            </w:tcBorders>
            <w:noWrap/>
            <w:hideMark/>
          </w:tcPr>
          <w:p w14:paraId="1BF00F3A" w14:textId="77777777" w:rsidR="00087B91" w:rsidRPr="002029AF" w:rsidRDefault="00087B91" w:rsidP="00860E95">
            <w:pPr>
              <w:pStyle w:val="ARfintablebodyright"/>
              <w:ind w:right="0"/>
            </w:pPr>
            <w:r w:rsidRPr="002029AF">
              <w:t>67.2</w:t>
            </w:r>
          </w:p>
        </w:tc>
        <w:tc>
          <w:tcPr>
            <w:tcW w:w="631" w:type="dxa"/>
            <w:tcBorders>
              <w:top w:val="single" w:sz="4" w:space="0" w:color="A6A6A6"/>
              <w:bottom w:val="single" w:sz="4" w:space="0" w:color="A6A6A6"/>
            </w:tcBorders>
            <w:noWrap/>
            <w:hideMark/>
          </w:tcPr>
          <w:p w14:paraId="6384EB53" w14:textId="77777777" w:rsidR="00087B91" w:rsidRPr="002029AF" w:rsidRDefault="00087B91" w:rsidP="00860E95">
            <w:pPr>
              <w:pStyle w:val="ARfintablebodyright"/>
              <w:ind w:right="0"/>
            </w:pPr>
            <w:r w:rsidRPr="002029AF">
              <w:t>4.0</w:t>
            </w:r>
          </w:p>
        </w:tc>
        <w:tc>
          <w:tcPr>
            <w:tcW w:w="631" w:type="dxa"/>
            <w:tcBorders>
              <w:top w:val="single" w:sz="4" w:space="0" w:color="A6A6A6"/>
              <w:bottom w:val="single" w:sz="4" w:space="0" w:color="A6A6A6"/>
            </w:tcBorders>
            <w:noWrap/>
            <w:hideMark/>
          </w:tcPr>
          <w:p w14:paraId="7D44C563" w14:textId="77777777" w:rsidR="00087B91" w:rsidRPr="002029AF" w:rsidRDefault="00087B91" w:rsidP="00860E95">
            <w:pPr>
              <w:pStyle w:val="ARfintablebodyright"/>
              <w:ind w:right="0"/>
            </w:pPr>
            <w:r w:rsidRPr="002029AF">
              <w:t>4.5</w:t>
            </w:r>
          </w:p>
        </w:tc>
        <w:tc>
          <w:tcPr>
            <w:tcW w:w="631" w:type="dxa"/>
            <w:tcBorders>
              <w:top w:val="single" w:sz="4" w:space="0" w:color="A6A6A6"/>
              <w:bottom w:val="single" w:sz="4" w:space="0" w:color="A6A6A6"/>
            </w:tcBorders>
            <w:noWrap/>
            <w:hideMark/>
          </w:tcPr>
          <w:p w14:paraId="525558EE" w14:textId="77777777" w:rsidR="00087B91" w:rsidRPr="002029AF" w:rsidRDefault="00087B91" w:rsidP="00860E95">
            <w:pPr>
              <w:pStyle w:val="ARfintablebodyright"/>
              <w:ind w:right="0"/>
            </w:pPr>
            <w:r w:rsidRPr="002029AF">
              <w:t>10.3</w:t>
            </w:r>
          </w:p>
        </w:tc>
        <w:tc>
          <w:tcPr>
            <w:tcW w:w="631" w:type="dxa"/>
            <w:tcBorders>
              <w:top w:val="single" w:sz="4" w:space="0" w:color="A6A6A6"/>
              <w:bottom w:val="single" w:sz="4" w:space="0" w:color="A6A6A6"/>
            </w:tcBorders>
            <w:noWrap/>
            <w:hideMark/>
          </w:tcPr>
          <w:p w14:paraId="2F4186F1" w14:textId="77777777" w:rsidR="00087B91" w:rsidRPr="002029AF" w:rsidRDefault="00087B91" w:rsidP="00860E95">
            <w:pPr>
              <w:pStyle w:val="ARfintablebodyright"/>
              <w:ind w:right="0"/>
            </w:pPr>
            <w:r w:rsidRPr="002029AF">
              <w:t>1.5</w:t>
            </w:r>
          </w:p>
        </w:tc>
        <w:tc>
          <w:tcPr>
            <w:tcW w:w="915" w:type="dxa"/>
            <w:tcBorders>
              <w:top w:val="single" w:sz="4" w:space="0" w:color="A6A6A6"/>
              <w:bottom w:val="single" w:sz="4" w:space="0" w:color="A6A6A6"/>
            </w:tcBorders>
            <w:noWrap/>
            <w:hideMark/>
          </w:tcPr>
          <w:p w14:paraId="7FE29547" w14:textId="77777777" w:rsidR="00087B91" w:rsidRPr="002029AF" w:rsidRDefault="00087B91" w:rsidP="00860E95">
            <w:pPr>
              <w:pStyle w:val="ARfintablebodyright"/>
              <w:ind w:right="0"/>
            </w:pPr>
            <w:r w:rsidRPr="002029AF">
              <w:t>72.8</w:t>
            </w:r>
          </w:p>
        </w:tc>
        <w:tc>
          <w:tcPr>
            <w:tcW w:w="631" w:type="dxa"/>
            <w:tcBorders>
              <w:top w:val="single" w:sz="4" w:space="0" w:color="A6A6A6"/>
              <w:bottom w:val="single" w:sz="4" w:space="0" w:color="A6A6A6"/>
            </w:tcBorders>
            <w:noWrap/>
            <w:hideMark/>
          </w:tcPr>
          <w:p w14:paraId="3285BACE" w14:textId="77777777" w:rsidR="00087B91" w:rsidRPr="002029AF" w:rsidRDefault="00087B91" w:rsidP="00860E95">
            <w:pPr>
              <w:pStyle w:val="ARfintablebodyright"/>
              <w:ind w:right="0"/>
            </w:pPr>
            <w:r w:rsidRPr="002029AF">
              <w:t>2.6</w:t>
            </w:r>
          </w:p>
        </w:tc>
        <w:tc>
          <w:tcPr>
            <w:tcW w:w="631" w:type="dxa"/>
            <w:tcBorders>
              <w:top w:val="single" w:sz="4" w:space="0" w:color="A6A6A6"/>
              <w:bottom w:val="single" w:sz="4" w:space="0" w:color="A6A6A6"/>
            </w:tcBorders>
            <w:noWrap/>
            <w:hideMark/>
          </w:tcPr>
          <w:p w14:paraId="4F5C4DF9"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23281AD5"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549A1AE5"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3706A1E7"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147DE52D"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3CCDA30C" w14:textId="77777777" w:rsidR="00087B91" w:rsidRPr="002029AF" w:rsidRDefault="00087B91" w:rsidP="00860E95">
            <w:pPr>
              <w:pStyle w:val="ARfintablebodyright"/>
              <w:ind w:right="0"/>
            </w:pPr>
            <w:r w:rsidRPr="002029AF">
              <w:t>–</w:t>
            </w:r>
          </w:p>
        </w:tc>
        <w:tc>
          <w:tcPr>
            <w:tcW w:w="803" w:type="dxa"/>
            <w:tcBorders>
              <w:top w:val="single" w:sz="4" w:space="0" w:color="A6A6A6"/>
              <w:bottom w:val="single" w:sz="4" w:space="0" w:color="A6A6A6"/>
            </w:tcBorders>
            <w:noWrap/>
            <w:hideMark/>
          </w:tcPr>
          <w:p w14:paraId="37F4E9F0" w14:textId="77777777" w:rsidR="00087B91" w:rsidRPr="002029AF" w:rsidRDefault="00087B91" w:rsidP="00860E95">
            <w:pPr>
              <w:pStyle w:val="ARfintablebodyright"/>
              <w:ind w:right="0"/>
            </w:pPr>
            <w:r w:rsidRPr="002029AF">
              <w:t>405.0</w:t>
            </w:r>
          </w:p>
        </w:tc>
      </w:tr>
      <w:tr w:rsidR="00087B91" w:rsidRPr="002029AF" w14:paraId="533804D2" w14:textId="77777777" w:rsidTr="00C81A0B">
        <w:trPr>
          <w:gridAfter w:val="1"/>
          <w:wAfter w:w="6" w:type="dxa"/>
        </w:trPr>
        <w:tc>
          <w:tcPr>
            <w:tcW w:w="3213" w:type="dxa"/>
            <w:tcBorders>
              <w:top w:val="single" w:sz="4" w:space="0" w:color="A6A6A6"/>
              <w:bottom w:val="single" w:sz="4" w:space="0" w:color="A6A6A6"/>
            </w:tcBorders>
            <w:hideMark/>
          </w:tcPr>
          <w:p w14:paraId="4F343254" w14:textId="2EA306EB" w:rsidR="00087B91" w:rsidRPr="002029AF" w:rsidRDefault="00087B91" w:rsidP="00860E95">
            <w:pPr>
              <w:pStyle w:val="ARfintablebody"/>
            </w:pPr>
            <w:r w:rsidRPr="002029AF">
              <w:t>Payment</w:t>
            </w:r>
            <w:r w:rsidR="000A5329" w:rsidRPr="002029AF">
              <w:t xml:space="preserve"> </w:t>
            </w:r>
            <w:r w:rsidRPr="002029AF">
              <w:t>from</w:t>
            </w:r>
            <w:r w:rsidR="000A5329" w:rsidRPr="002029AF">
              <w:t xml:space="preserve"> </w:t>
            </w:r>
            <w:r w:rsidRPr="002029AF">
              <w:t>the</w:t>
            </w:r>
            <w:r w:rsidR="000A5329" w:rsidRPr="002029AF">
              <w:t xml:space="preserve"> </w:t>
            </w:r>
            <w:r w:rsidRPr="002029AF">
              <w:t>national</w:t>
            </w:r>
            <w:r w:rsidR="000A5329" w:rsidRPr="002029AF">
              <w:t xml:space="preserve"> </w:t>
            </w:r>
            <w:r w:rsidRPr="002029AF">
              <w:t>health</w:t>
            </w:r>
            <w:r w:rsidR="000A5329" w:rsidRPr="002029AF">
              <w:t xml:space="preserve"> </w:t>
            </w:r>
            <w:r w:rsidRPr="002029AF">
              <w:t>funding</w:t>
            </w:r>
            <w:r w:rsidR="000A5329" w:rsidRPr="002029AF">
              <w:t xml:space="preserve"> </w:t>
            </w:r>
            <w:r w:rsidRPr="002029AF">
              <w:t>pool</w:t>
            </w:r>
            <w:r w:rsidR="000A5329" w:rsidRPr="002029AF">
              <w:t xml:space="preserve"> </w:t>
            </w:r>
            <w:r w:rsidRPr="002029AF">
              <w:t>to</w:t>
            </w:r>
            <w:r w:rsidR="000A5329" w:rsidRPr="002029AF">
              <w:t xml:space="preserve"> </w:t>
            </w:r>
            <w:r w:rsidRPr="002029AF">
              <w:t>the</w:t>
            </w:r>
            <w:r w:rsidR="000A5329" w:rsidRPr="002029AF">
              <w:t xml:space="preserve"> </w:t>
            </w:r>
            <w:r w:rsidRPr="002029AF">
              <w:t>departmental</w:t>
            </w:r>
            <w:r w:rsidR="000A5329" w:rsidRPr="002029AF">
              <w:t xml:space="preserve"> </w:t>
            </w:r>
            <w:r w:rsidRPr="002029AF">
              <w:t>controlled</w:t>
            </w:r>
            <w:r w:rsidR="000A5329" w:rsidRPr="002029AF">
              <w:t xml:space="preserve"> </w:t>
            </w:r>
            <w:r w:rsidRPr="002029AF">
              <w:t>entity</w:t>
            </w:r>
          </w:p>
        </w:tc>
        <w:tc>
          <w:tcPr>
            <w:tcW w:w="804" w:type="dxa"/>
            <w:tcBorders>
              <w:top w:val="single" w:sz="4" w:space="0" w:color="A6A6A6"/>
              <w:bottom w:val="single" w:sz="4" w:space="0" w:color="A6A6A6"/>
            </w:tcBorders>
            <w:noWrap/>
            <w:hideMark/>
          </w:tcPr>
          <w:p w14:paraId="207BA812" w14:textId="77777777" w:rsidR="00087B91" w:rsidRPr="002029AF" w:rsidRDefault="00087B91" w:rsidP="00860E95">
            <w:pPr>
              <w:pStyle w:val="ARfintablebodyright"/>
              <w:ind w:right="0"/>
            </w:pPr>
            <w:r w:rsidRPr="002029AF">
              <w:t>1,688.3</w:t>
            </w:r>
          </w:p>
        </w:tc>
        <w:tc>
          <w:tcPr>
            <w:tcW w:w="632" w:type="dxa"/>
            <w:tcBorders>
              <w:top w:val="single" w:sz="4" w:space="0" w:color="A6A6A6"/>
              <w:bottom w:val="single" w:sz="4" w:space="0" w:color="A6A6A6"/>
            </w:tcBorders>
            <w:noWrap/>
            <w:hideMark/>
          </w:tcPr>
          <w:p w14:paraId="42EB6F10" w14:textId="77777777" w:rsidR="00087B91" w:rsidRPr="002029AF" w:rsidRDefault="00087B91" w:rsidP="00860E95">
            <w:pPr>
              <w:pStyle w:val="ARfintablebodyright"/>
              <w:ind w:right="0"/>
            </w:pPr>
            <w:r w:rsidRPr="002029AF">
              <w:t>–</w:t>
            </w:r>
          </w:p>
        </w:tc>
        <w:tc>
          <w:tcPr>
            <w:tcW w:w="632" w:type="dxa"/>
            <w:tcBorders>
              <w:top w:val="single" w:sz="4" w:space="0" w:color="A6A6A6"/>
              <w:bottom w:val="single" w:sz="4" w:space="0" w:color="A6A6A6"/>
            </w:tcBorders>
            <w:noWrap/>
            <w:hideMark/>
          </w:tcPr>
          <w:p w14:paraId="5D109F50" w14:textId="77777777" w:rsidR="00087B91" w:rsidRPr="002029AF" w:rsidRDefault="00087B91" w:rsidP="00860E95">
            <w:pPr>
              <w:pStyle w:val="ARfintablebodyright"/>
              <w:ind w:right="0"/>
            </w:pPr>
            <w:r w:rsidRPr="002029AF">
              <w:t>335.4</w:t>
            </w:r>
          </w:p>
        </w:tc>
        <w:tc>
          <w:tcPr>
            <w:tcW w:w="631" w:type="dxa"/>
            <w:tcBorders>
              <w:top w:val="single" w:sz="4" w:space="0" w:color="A6A6A6"/>
              <w:bottom w:val="single" w:sz="4" w:space="0" w:color="A6A6A6"/>
            </w:tcBorders>
            <w:noWrap/>
            <w:hideMark/>
          </w:tcPr>
          <w:p w14:paraId="61BCAC7B"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1E31E485" w14:textId="77777777" w:rsidR="00087B91" w:rsidRPr="002029AF" w:rsidRDefault="00087B91" w:rsidP="00860E95">
            <w:pPr>
              <w:pStyle w:val="ARfintablebodyright"/>
              <w:ind w:right="0"/>
            </w:pPr>
            <w:r w:rsidRPr="002029AF">
              <w:t>0.3</w:t>
            </w:r>
          </w:p>
        </w:tc>
        <w:tc>
          <w:tcPr>
            <w:tcW w:w="631" w:type="dxa"/>
            <w:tcBorders>
              <w:top w:val="single" w:sz="4" w:space="0" w:color="A6A6A6"/>
              <w:bottom w:val="single" w:sz="4" w:space="0" w:color="A6A6A6"/>
            </w:tcBorders>
            <w:noWrap/>
            <w:hideMark/>
          </w:tcPr>
          <w:p w14:paraId="7B188320" w14:textId="77777777" w:rsidR="00087B91" w:rsidRPr="002029AF" w:rsidRDefault="00087B91" w:rsidP="00860E95">
            <w:pPr>
              <w:pStyle w:val="ARfintablebodyright"/>
              <w:ind w:right="0"/>
            </w:pPr>
            <w:r w:rsidRPr="002029AF">
              <w:t>136.9</w:t>
            </w:r>
          </w:p>
        </w:tc>
        <w:tc>
          <w:tcPr>
            <w:tcW w:w="631" w:type="dxa"/>
            <w:tcBorders>
              <w:top w:val="single" w:sz="4" w:space="0" w:color="A6A6A6"/>
              <w:bottom w:val="single" w:sz="4" w:space="0" w:color="A6A6A6"/>
            </w:tcBorders>
            <w:noWrap/>
            <w:hideMark/>
          </w:tcPr>
          <w:p w14:paraId="766B6765" w14:textId="77777777" w:rsidR="00087B91" w:rsidRPr="002029AF" w:rsidRDefault="00087B91" w:rsidP="00860E95">
            <w:pPr>
              <w:pStyle w:val="ARfintablebodyright"/>
              <w:ind w:right="0"/>
            </w:pPr>
            <w:r w:rsidRPr="002029AF">
              <w:t>112.4</w:t>
            </w:r>
          </w:p>
        </w:tc>
        <w:tc>
          <w:tcPr>
            <w:tcW w:w="631" w:type="dxa"/>
            <w:tcBorders>
              <w:top w:val="single" w:sz="4" w:space="0" w:color="A6A6A6"/>
              <w:bottom w:val="single" w:sz="4" w:space="0" w:color="A6A6A6"/>
            </w:tcBorders>
            <w:noWrap/>
            <w:hideMark/>
          </w:tcPr>
          <w:p w14:paraId="116A88CD" w14:textId="77777777" w:rsidR="00087B91" w:rsidRPr="002029AF" w:rsidRDefault="00087B91" w:rsidP="00860E95">
            <w:pPr>
              <w:pStyle w:val="ARfintablebodyright"/>
              <w:ind w:right="0"/>
            </w:pPr>
            <w:r w:rsidRPr="002029AF">
              <w:t>12.6</w:t>
            </w:r>
          </w:p>
        </w:tc>
        <w:tc>
          <w:tcPr>
            <w:tcW w:w="915" w:type="dxa"/>
            <w:tcBorders>
              <w:top w:val="single" w:sz="4" w:space="0" w:color="A6A6A6"/>
              <w:bottom w:val="single" w:sz="4" w:space="0" w:color="A6A6A6"/>
            </w:tcBorders>
            <w:noWrap/>
            <w:hideMark/>
          </w:tcPr>
          <w:p w14:paraId="3F0EE4BC"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3969C5FB"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29DD052D"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1F1C64C5"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1F528FBE"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3D612C03"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53E24D93"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2BC6DC1E" w14:textId="77777777" w:rsidR="00087B91" w:rsidRPr="002029AF" w:rsidRDefault="00087B91" w:rsidP="00860E95">
            <w:pPr>
              <w:pStyle w:val="ARfintablebodyright"/>
              <w:ind w:right="0"/>
            </w:pPr>
            <w:r w:rsidRPr="002029AF">
              <w:t>–</w:t>
            </w:r>
          </w:p>
        </w:tc>
        <w:tc>
          <w:tcPr>
            <w:tcW w:w="803" w:type="dxa"/>
            <w:tcBorders>
              <w:top w:val="single" w:sz="4" w:space="0" w:color="A6A6A6"/>
              <w:bottom w:val="single" w:sz="4" w:space="0" w:color="A6A6A6"/>
            </w:tcBorders>
            <w:noWrap/>
            <w:hideMark/>
          </w:tcPr>
          <w:p w14:paraId="06F72AF7" w14:textId="77777777" w:rsidR="00087B91" w:rsidRPr="002029AF" w:rsidRDefault="00087B91" w:rsidP="00860E95">
            <w:pPr>
              <w:pStyle w:val="ARfintablebodyright"/>
              <w:ind w:right="0"/>
            </w:pPr>
            <w:r w:rsidRPr="002029AF">
              <w:t>2,285.9</w:t>
            </w:r>
          </w:p>
        </w:tc>
      </w:tr>
      <w:tr w:rsidR="00087B91" w:rsidRPr="002029AF" w14:paraId="11571327" w14:textId="77777777" w:rsidTr="00C81A0B">
        <w:trPr>
          <w:gridAfter w:val="1"/>
          <w:wAfter w:w="6" w:type="dxa"/>
        </w:trPr>
        <w:tc>
          <w:tcPr>
            <w:tcW w:w="3213" w:type="dxa"/>
            <w:tcBorders>
              <w:top w:val="single" w:sz="4" w:space="0" w:color="A6A6A6"/>
            </w:tcBorders>
            <w:hideMark/>
          </w:tcPr>
          <w:p w14:paraId="271DC3E2" w14:textId="2D89D5A6" w:rsidR="00087B91" w:rsidRPr="002029AF" w:rsidRDefault="00087B91" w:rsidP="00860E95">
            <w:pPr>
              <w:pStyle w:val="ARfintablebody"/>
            </w:pPr>
            <w:r w:rsidRPr="002029AF">
              <w:t>Fair</w:t>
            </w:r>
            <w:r w:rsidR="000A5329" w:rsidRPr="002029AF">
              <w:t xml:space="preserve"> </w:t>
            </w:r>
            <w:r w:rsidRPr="002029AF">
              <w:t>value</w:t>
            </w:r>
            <w:r w:rsidR="000A5329" w:rsidRPr="002029AF">
              <w:t xml:space="preserve"> </w:t>
            </w:r>
            <w:r w:rsidRPr="002029AF">
              <w:t>of</w:t>
            </w:r>
            <w:r w:rsidR="000A5329" w:rsidRPr="002029AF">
              <w:t xml:space="preserve"> </w:t>
            </w:r>
            <w:r w:rsidRPr="002029AF">
              <w:t>assets</w:t>
            </w:r>
            <w:r w:rsidR="000A5329" w:rsidRPr="002029AF">
              <w:t xml:space="preserve"> </w:t>
            </w:r>
            <w:r w:rsidRPr="002029AF">
              <w:t>and</w:t>
            </w:r>
            <w:r w:rsidR="000A5329" w:rsidRPr="002029AF">
              <w:t xml:space="preserve"> </w:t>
            </w:r>
            <w:r w:rsidRPr="002029AF">
              <w:t>services</w:t>
            </w:r>
            <w:r w:rsidR="000A5329" w:rsidRPr="002029AF">
              <w:t xml:space="preserve"> </w:t>
            </w:r>
            <w:r w:rsidRPr="002029AF">
              <w:t>provided</w:t>
            </w:r>
            <w:r w:rsidR="000A5329" w:rsidRPr="002029AF">
              <w:t xml:space="preserve"> </w:t>
            </w:r>
            <w:r w:rsidRPr="002029AF">
              <w:t>free</w:t>
            </w:r>
            <w:r w:rsidR="000A5329" w:rsidRPr="002029AF">
              <w:t xml:space="preserve"> </w:t>
            </w:r>
            <w:r w:rsidRPr="002029AF">
              <w:t>of</w:t>
            </w:r>
            <w:r w:rsidR="000A5329" w:rsidRPr="002029AF">
              <w:t xml:space="preserve"> </w:t>
            </w:r>
            <w:r w:rsidRPr="002029AF">
              <w:t>charge</w:t>
            </w:r>
            <w:r w:rsidR="000A5329" w:rsidRPr="002029AF">
              <w:t xml:space="preserve"> </w:t>
            </w:r>
            <w:r w:rsidRPr="002029AF">
              <w:t>or</w:t>
            </w:r>
            <w:r w:rsidR="000A5329" w:rsidRPr="002029AF">
              <w:t xml:space="preserve"> </w:t>
            </w:r>
            <w:r w:rsidRPr="002029AF">
              <w:t>for</w:t>
            </w:r>
            <w:r w:rsidR="000A5329" w:rsidRPr="002029AF">
              <w:t xml:space="preserve"> </w:t>
            </w:r>
            <w:r w:rsidRPr="002029AF">
              <w:t>nominal</w:t>
            </w:r>
            <w:r w:rsidR="000A5329" w:rsidRPr="002029AF">
              <w:t xml:space="preserve"> </w:t>
            </w:r>
            <w:r w:rsidRPr="002029AF">
              <w:t>consideration</w:t>
            </w:r>
          </w:p>
        </w:tc>
        <w:tc>
          <w:tcPr>
            <w:tcW w:w="804" w:type="dxa"/>
            <w:tcBorders>
              <w:top w:val="single" w:sz="4" w:space="0" w:color="A6A6A6"/>
            </w:tcBorders>
            <w:noWrap/>
            <w:hideMark/>
          </w:tcPr>
          <w:p w14:paraId="3BF0758A" w14:textId="77777777" w:rsidR="00087B91" w:rsidRPr="002029AF" w:rsidRDefault="00087B91" w:rsidP="00860E95">
            <w:pPr>
              <w:pStyle w:val="ARfintablebodyright"/>
              <w:ind w:right="0"/>
            </w:pPr>
            <w:r w:rsidRPr="002029AF">
              <w:t>–</w:t>
            </w:r>
          </w:p>
        </w:tc>
        <w:tc>
          <w:tcPr>
            <w:tcW w:w="632" w:type="dxa"/>
            <w:tcBorders>
              <w:top w:val="single" w:sz="4" w:space="0" w:color="A6A6A6"/>
            </w:tcBorders>
            <w:noWrap/>
            <w:hideMark/>
          </w:tcPr>
          <w:p w14:paraId="12DA1111" w14:textId="77777777" w:rsidR="00087B91" w:rsidRPr="002029AF" w:rsidRDefault="00087B91" w:rsidP="00860E95">
            <w:pPr>
              <w:pStyle w:val="ARfintablebodyright"/>
              <w:ind w:right="0"/>
            </w:pPr>
            <w:r w:rsidRPr="002029AF">
              <w:t>–</w:t>
            </w:r>
          </w:p>
        </w:tc>
        <w:tc>
          <w:tcPr>
            <w:tcW w:w="632" w:type="dxa"/>
            <w:tcBorders>
              <w:top w:val="single" w:sz="4" w:space="0" w:color="A6A6A6"/>
            </w:tcBorders>
            <w:noWrap/>
            <w:hideMark/>
          </w:tcPr>
          <w:p w14:paraId="52CD7C29" w14:textId="77777777" w:rsidR="00087B91" w:rsidRPr="002029AF" w:rsidRDefault="00087B91" w:rsidP="00860E95">
            <w:pPr>
              <w:pStyle w:val="ARfintablebodyright"/>
              <w:ind w:right="0"/>
            </w:pPr>
            <w:r w:rsidRPr="002029AF">
              <w:t>1.8</w:t>
            </w:r>
          </w:p>
        </w:tc>
        <w:tc>
          <w:tcPr>
            <w:tcW w:w="631" w:type="dxa"/>
            <w:tcBorders>
              <w:top w:val="single" w:sz="4" w:space="0" w:color="A6A6A6"/>
            </w:tcBorders>
            <w:noWrap/>
            <w:hideMark/>
          </w:tcPr>
          <w:p w14:paraId="30211992"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00DEC65E"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7D6CACD5"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4D2F596C"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2C8654C9" w14:textId="77777777" w:rsidR="00087B91" w:rsidRPr="002029AF" w:rsidRDefault="00087B91" w:rsidP="00860E95">
            <w:pPr>
              <w:pStyle w:val="ARfintablebodyright"/>
              <w:ind w:right="0"/>
            </w:pPr>
            <w:r w:rsidRPr="002029AF">
              <w:t>–</w:t>
            </w:r>
          </w:p>
        </w:tc>
        <w:tc>
          <w:tcPr>
            <w:tcW w:w="915" w:type="dxa"/>
            <w:tcBorders>
              <w:top w:val="single" w:sz="4" w:space="0" w:color="A6A6A6"/>
            </w:tcBorders>
            <w:noWrap/>
            <w:hideMark/>
          </w:tcPr>
          <w:p w14:paraId="386F609D" w14:textId="77777777" w:rsidR="00087B91" w:rsidRPr="002029AF" w:rsidRDefault="00087B91" w:rsidP="00860E95">
            <w:pPr>
              <w:pStyle w:val="ARfintablebodyright"/>
              <w:ind w:right="0"/>
            </w:pPr>
            <w:r w:rsidRPr="002029AF">
              <w:t>7.1</w:t>
            </w:r>
          </w:p>
        </w:tc>
        <w:tc>
          <w:tcPr>
            <w:tcW w:w="631" w:type="dxa"/>
            <w:tcBorders>
              <w:top w:val="single" w:sz="4" w:space="0" w:color="A6A6A6"/>
            </w:tcBorders>
            <w:noWrap/>
            <w:hideMark/>
          </w:tcPr>
          <w:p w14:paraId="23DA265A"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02FE10D5"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67D86F74"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75389832"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1733ABF4"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345877CC"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40F8A3E0" w14:textId="77777777" w:rsidR="00087B91" w:rsidRPr="002029AF" w:rsidRDefault="00087B91" w:rsidP="00860E95">
            <w:pPr>
              <w:pStyle w:val="ARfintablebodyright"/>
              <w:ind w:right="0"/>
            </w:pPr>
            <w:r w:rsidRPr="002029AF">
              <w:t>–</w:t>
            </w:r>
          </w:p>
        </w:tc>
        <w:tc>
          <w:tcPr>
            <w:tcW w:w="803" w:type="dxa"/>
            <w:tcBorders>
              <w:top w:val="single" w:sz="4" w:space="0" w:color="A6A6A6"/>
            </w:tcBorders>
            <w:noWrap/>
            <w:hideMark/>
          </w:tcPr>
          <w:p w14:paraId="1DB3AF41" w14:textId="77777777" w:rsidR="00087B91" w:rsidRPr="002029AF" w:rsidRDefault="00087B91" w:rsidP="00860E95">
            <w:pPr>
              <w:pStyle w:val="ARfintablebodyright"/>
              <w:ind w:right="0"/>
            </w:pPr>
            <w:r w:rsidRPr="002029AF">
              <w:t>8.9</w:t>
            </w:r>
          </w:p>
        </w:tc>
      </w:tr>
      <w:tr w:rsidR="00087B91" w:rsidRPr="002029AF" w14:paraId="29A04095" w14:textId="77777777" w:rsidTr="00C81A0B">
        <w:trPr>
          <w:gridAfter w:val="1"/>
          <w:wAfter w:w="6" w:type="dxa"/>
        </w:trPr>
        <w:tc>
          <w:tcPr>
            <w:tcW w:w="3213" w:type="dxa"/>
            <w:hideMark/>
          </w:tcPr>
          <w:p w14:paraId="54867E08" w14:textId="1AE6900C" w:rsidR="00087B91" w:rsidRPr="002029AF" w:rsidRDefault="00087B91" w:rsidP="00860E95">
            <w:pPr>
              <w:pStyle w:val="ARfintablebodybold"/>
            </w:pPr>
            <w:r w:rsidRPr="002029AF">
              <w:t>Total</w:t>
            </w:r>
            <w:r w:rsidR="000A5329" w:rsidRPr="002029AF">
              <w:t xml:space="preserve"> </w:t>
            </w:r>
            <w:r w:rsidRPr="002029AF">
              <w:t>administered</w:t>
            </w:r>
            <w:r w:rsidR="000A5329" w:rsidRPr="002029AF">
              <w:t xml:space="preserve"> </w:t>
            </w:r>
            <w:r w:rsidRPr="002029AF">
              <w:t>expenses</w:t>
            </w:r>
            <w:r w:rsidR="000A5329" w:rsidRPr="002029AF">
              <w:t xml:space="preserve"> </w:t>
            </w:r>
            <w:r w:rsidRPr="002029AF">
              <w:t>from</w:t>
            </w:r>
            <w:r w:rsidR="000A5329" w:rsidRPr="002029AF">
              <w:t xml:space="preserve"> </w:t>
            </w:r>
            <w:r w:rsidRPr="002029AF">
              <w:t>transactions</w:t>
            </w:r>
          </w:p>
        </w:tc>
        <w:tc>
          <w:tcPr>
            <w:tcW w:w="804" w:type="dxa"/>
            <w:noWrap/>
            <w:hideMark/>
          </w:tcPr>
          <w:p w14:paraId="469DE1F5" w14:textId="77777777" w:rsidR="00087B91" w:rsidRPr="002029AF" w:rsidRDefault="00087B91" w:rsidP="00860E95">
            <w:pPr>
              <w:pStyle w:val="ARfintablebodyrightbold"/>
              <w:ind w:right="0"/>
            </w:pPr>
            <w:r w:rsidRPr="002029AF">
              <w:t>12,270.6</w:t>
            </w:r>
          </w:p>
        </w:tc>
        <w:tc>
          <w:tcPr>
            <w:tcW w:w="632" w:type="dxa"/>
            <w:noWrap/>
            <w:hideMark/>
          </w:tcPr>
          <w:p w14:paraId="31F240CE" w14:textId="77777777" w:rsidR="00087B91" w:rsidRPr="002029AF" w:rsidRDefault="00087B91" w:rsidP="00860E95">
            <w:pPr>
              <w:pStyle w:val="ARfintablebodyrightbold"/>
              <w:ind w:right="0"/>
            </w:pPr>
            <w:r w:rsidRPr="002029AF">
              <w:t>–</w:t>
            </w:r>
          </w:p>
        </w:tc>
        <w:tc>
          <w:tcPr>
            <w:tcW w:w="632" w:type="dxa"/>
            <w:noWrap/>
            <w:hideMark/>
          </w:tcPr>
          <w:p w14:paraId="35ACFFA5" w14:textId="77777777" w:rsidR="00087B91" w:rsidRPr="002029AF" w:rsidRDefault="00087B91" w:rsidP="00860E95">
            <w:pPr>
              <w:pStyle w:val="ARfintablebodyrightbold"/>
              <w:ind w:right="0"/>
            </w:pPr>
            <w:r w:rsidRPr="002029AF">
              <w:t>782.6</w:t>
            </w:r>
          </w:p>
        </w:tc>
        <w:tc>
          <w:tcPr>
            <w:tcW w:w="631" w:type="dxa"/>
            <w:noWrap/>
            <w:hideMark/>
          </w:tcPr>
          <w:p w14:paraId="48D82A7E" w14:textId="77777777" w:rsidR="00087B91" w:rsidRPr="002029AF" w:rsidRDefault="00087B91" w:rsidP="00860E95">
            <w:pPr>
              <w:pStyle w:val="ARfintablebodyrightbold"/>
              <w:ind w:right="0"/>
            </w:pPr>
            <w:r w:rsidRPr="002029AF">
              <w:t>131.7</w:t>
            </w:r>
          </w:p>
        </w:tc>
        <w:tc>
          <w:tcPr>
            <w:tcW w:w="631" w:type="dxa"/>
            <w:noWrap/>
            <w:hideMark/>
          </w:tcPr>
          <w:p w14:paraId="27E2FD8A" w14:textId="77777777" w:rsidR="00087B91" w:rsidRPr="002029AF" w:rsidRDefault="00087B91" w:rsidP="00860E95">
            <w:pPr>
              <w:pStyle w:val="ARfintablebodyrightbold"/>
              <w:ind w:right="0"/>
            </w:pPr>
            <w:r w:rsidRPr="002029AF">
              <w:t>4.4</w:t>
            </w:r>
          </w:p>
        </w:tc>
        <w:tc>
          <w:tcPr>
            <w:tcW w:w="631" w:type="dxa"/>
            <w:noWrap/>
            <w:hideMark/>
          </w:tcPr>
          <w:p w14:paraId="4A2561D6" w14:textId="77777777" w:rsidR="00087B91" w:rsidRPr="002029AF" w:rsidRDefault="00087B91" w:rsidP="00860E95">
            <w:pPr>
              <w:pStyle w:val="ARfintablebodyrightbold"/>
              <w:ind w:right="0"/>
            </w:pPr>
            <w:r w:rsidRPr="002029AF">
              <w:t>141.4</w:t>
            </w:r>
          </w:p>
        </w:tc>
        <w:tc>
          <w:tcPr>
            <w:tcW w:w="631" w:type="dxa"/>
            <w:noWrap/>
            <w:hideMark/>
          </w:tcPr>
          <w:p w14:paraId="17272C41" w14:textId="77777777" w:rsidR="00087B91" w:rsidRPr="002029AF" w:rsidRDefault="00087B91" w:rsidP="00860E95">
            <w:pPr>
              <w:pStyle w:val="ARfintablebodyrightbold"/>
              <w:ind w:right="0"/>
            </w:pPr>
            <w:r w:rsidRPr="002029AF">
              <w:t>122.9</w:t>
            </w:r>
          </w:p>
        </w:tc>
        <w:tc>
          <w:tcPr>
            <w:tcW w:w="631" w:type="dxa"/>
            <w:noWrap/>
            <w:hideMark/>
          </w:tcPr>
          <w:p w14:paraId="54D98776" w14:textId="77777777" w:rsidR="00087B91" w:rsidRPr="002029AF" w:rsidRDefault="00087B91" w:rsidP="00860E95">
            <w:pPr>
              <w:pStyle w:val="ARfintablebodyrightbold"/>
              <w:ind w:right="0"/>
            </w:pPr>
            <w:r w:rsidRPr="002029AF">
              <w:t>14.1</w:t>
            </w:r>
          </w:p>
        </w:tc>
        <w:tc>
          <w:tcPr>
            <w:tcW w:w="915" w:type="dxa"/>
            <w:noWrap/>
            <w:hideMark/>
          </w:tcPr>
          <w:p w14:paraId="382EAF81" w14:textId="77777777" w:rsidR="00087B91" w:rsidRPr="002029AF" w:rsidRDefault="00087B91" w:rsidP="00860E95">
            <w:pPr>
              <w:pStyle w:val="ARfintablebodyrightbold"/>
              <w:ind w:right="0"/>
            </w:pPr>
            <w:r w:rsidRPr="002029AF">
              <w:t>1,316.2</w:t>
            </w:r>
          </w:p>
        </w:tc>
        <w:tc>
          <w:tcPr>
            <w:tcW w:w="631" w:type="dxa"/>
            <w:noWrap/>
            <w:hideMark/>
          </w:tcPr>
          <w:p w14:paraId="720FC871" w14:textId="77777777" w:rsidR="00087B91" w:rsidRPr="002029AF" w:rsidRDefault="00087B91" w:rsidP="00860E95">
            <w:pPr>
              <w:pStyle w:val="ARfintablebodyrightbold"/>
              <w:ind w:right="0"/>
            </w:pPr>
            <w:r w:rsidRPr="002029AF">
              <w:t>10.9</w:t>
            </w:r>
          </w:p>
        </w:tc>
        <w:tc>
          <w:tcPr>
            <w:tcW w:w="631" w:type="dxa"/>
            <w:noWrap/>
            <w:hideMark/>
          </w:tcPr>
          <w:p w14:paraId="62899C6C" w14:textId="77777777" w:rsidR="00087B91" w:rsidRPr="002029AF" w:rsidRDefault="00087B91" w:rsidP="00860E95">
            <w:pPr>
              <w:pStyle w:val="ARfintablebodyrightbold"/>
              <w:ind w:right="0"/>
            </w:pPr>
            <w:r w:rsidRPr="002029AF">
              <w:t>17.6</w:t>
            </w:r>
          </w:p>
        </w:tc>
        <w:tc>
          <w:tcPr>
            <w:tcW w:w="631" w:type="dxa"/>
            <w:noWrap/>
            <w:hideMark/>
          </w:tcPr>
          <w:p w14:paraId="5442C15C" w14:textId="77777777" w:rsidR="00087B91" w:rsidRPr="002029AF" w:rsidRDefault="00087B91" w:rsidP="00860E95">
            <w:pPr>
              <w:pStyle w:val="ARfintablebodyrightbold"/>
              <w:ind w:right="0"/>
            </w:pPr>
            <w:r w:rsidRPr="002029AF">
              <w:t>0.1</w:t>
            </w:r>
          </w:p>
        </w:tc>
        <w:tc>
          <w:tcPr>
            <w:tcW w:w="631" w:type="dxa"/>
            <w:noWrap/>
            <w:hideMark/>
          </w:tcPr>
          <w:p w14:paraId="2000D65E" w14:textId="77777777" w:rsidR="00087B91" w:rsidRPr="002029AF" w:rsidRDefault="00087B91" w:rsidP="00860E95">
            <w:pPr>
              <w:pStyle w:val="ARfintablebodyrightbold"/>
              <w:ind w:right="0"/>
            </w:pPr>
            <w:r w:rsidRPr="002029AF">
              <w:t>–</w:t>
            </w:r>
          </w:p>
        </w:tc>
        <w:tc>
          <w:tcPr>
            <w:tcW w:w="631" w:type="dxa"/>
            <w:noWrap/>
            <w:hideMark/>
          </w:tcPr>
          <w:p w14:paraId="5B2C95DC" w14:textId="77777777" w:rsidR="00087B91" w:rsidRPr="002029AF" w:rsidRDefault="00087B91" w:rsidP="00860E95">
            <w:pPr>
              <w:pStyle w:val="ARfintablebodyrightbold"/>
              <w:ind w:right="0"/>
            </w:pPr>
            <w:r w:rsidRPr="002029AF">
              <w:t>–</w:t>
            </w:r>
          </w:p>
        </w:tc>
        <w:tc>
          <w:tcPr>
            <w:tcW w:w="631" w:type="dxa"/>
            <w:noWrap/>
            <w:hideMark/>
          </w:tcPr>
          <w:p w14:paraId="587DFE39" w14:textId="77777777" w:rsidR="00087B91" w:rsidRPr="002029AF" w:rsidRDefault="00087B91" w:rsidP="00860E95">
            <w:pPr>
              <w:pStyle w:val="ARfintablebodyrightbold"/>
              <w:ind w:right="0"/>
            </w:pPr>
            <w:r w:rsidRPr="002029AF">
              <w:t>–</w:t>
            </w:r>
          </w:p>
        </w:tc>
        <w:tc>
          <w:tcPr>
            <w:tcW w:w="631" w:type="dxa"/>
            <w:noWrap/>
            <w:hideMark/>
          </w:tcPr>
          <w:p w14:paraId="748EC0B9" w14:textId="77777777" w:rsidR="00087B91" w:rsidRPr="002029AF" w:rsidRDefault="00087B91" w:rsidP="00860E95">
            <w:pPr>
              <w:pStyle w:val="ARfintablebodyrightbold"/>
              <w:ind w:right="0"/>
            </w:pPr>
            <w:r w:rsidRPr="002029AF">
              <w:t>–</w:t>
            </w:r>
          </w:p>
        </w:tc>
        <w:tc>
          <w:tcPr>
            <w:tcW w:w="803" w:type="dxa"/>
            <w:noWrap/>
            <w:hideMark/>
          </w:tcPr>
          <w:p w14:paraId="23846841" w14:textId="77777777" w:rsidR="00087B91" w:rsidRPr="002029AF" w:rsidRDefault="00087B91" w:rsidP="00860E95">
            <w:pPr>
              <w:pStyle w:val="ARfintablebodyrightbold"/>
              <w:ind w:right="0"/>
            </w:pPr>
            <w:r w:rsidRPr="002029AF">
              <w:t>14,812.5</w:t>
            </w:r>
          </w:p>
        </w:tc>
      </w:tr>
      <w:tr w:rsidR="00087B91" w:rsidRPr="002029AF" w14:paraId="52678DD1" w14:textId="77777777" w:rsidTr="00C81A0B">
        <w:trPr>
          <w:gridAfter w:val="1"/>
          <w:wAfter w:w="6" w:type="dxa"/>
        </w:trPr>
        <w:tc>
          <w:tcPr>
            <w:tcW w:w="3213" w:type="dxa"/>
            <w:tcBorders>
              <w:bottom w:val="single" w:sz="4" w:space="0" w:color="auto"/>
            </w:tcBorders>
            <w:hideMark/>
          </w:tcPr>
          <w:p w14:paraId="03DA6C19" w14:textId="31D6078B" w:rsidR="00087B91" w:rsidRPr="002029AF" w:rsidRDefault="00087B91" w:rsidP="00860E95">
            <w:pPr>
              <w:pStyle w:val="ARfintablebodybold"/>
            </w:pPr>
            <w:r w:rsidRPr="002029AF">
              <w:t>Total</w:t>
            </w:r>
            <w:r w:rsidR="000A5329" w:rsidRPr="002029AF">
              <w:t xml:space="preserve"> </w:t>
            </w:r>
            <w:r w:rsidRPr="002029AF">
              <w:t>administered</w:t>
            </w:r>
            <w:r w:rsidR="000A5329" w:rsidRPr="002029AF">
              <w:t xml:space="preserve"> </w:t>
            </w:r>
            <w:r w:rsidRPr="002029AF">
              <w:t>net</w:t>
            </w:r>
            <w:r w:rsidR="000A5329" w:rsidRPr="002029AF">
              <w:t xml:space="preserve"> </w:t>
            </w:r>
            <w:r w:rsidRPr="002029AF">
              <w:t>result</w:t>
            </w:r>
            <w:r w:rsidR="000A5329" w:rsidRPr="002029AF">
              <w:t xml:space="preserve"> </w:t>
            </w:r>
            <w:r w:rsidRPr="002029AF">
              <w:t>from</w:t>
            </w:r>
            <w:r w:rsidR="000A5329" w:rsidRPr="002029AF">
              <w:t xml:space="preserve"> </w:t>
            </w:r>
            <w:r w:rsidRPr="002029AF">
              <w:t>transactions</w:t>
            </w:r>
          </w:p>
        </w:tc>
        <w:tc>
          <w:tcPr>
            <w:tcW w:w="804" w:type="dxa"/>
            <w:tcBorders>
              <w:bottom w:val="single" w:sz="4" w:space="0" w:color="auto"/>
            </w:tcBorders>
            <w:noWrap/>
            <w:hideMark/>
          </w:tcPr>
          <w:p w14:paraId="6D71B7FF" w14:textId="77777777" w:rsidR="00087B91" w:rsidRPr="002029AF" w:rsidRDefault="00087B91" w:rsidP="00860E95">
            <w:pPr>
              <w:pStyle w:val="ARfintablebodyrightbold"/>
              <w:ind w:right="0"/>
            </w:pPr>
            <w:r w:rsidRPr="002029AF">
              <w:t>8.0</w:t>
            </w:r>
          </w:p>
        </w:tc>
        <w:tc>
          <w:tcPr>
            <w:tcW w:w="632" w:type="dxa"/>
            <w:tcBorders>
              <w:bottom w:val="single" w:sz="4" w:space="0" w:color="auto"/>
            </w:tcBorders>
            <w:noWrap/>
            <w:hideMark/>
          </w:tcPr>
          <w:p w14:paraId="3EACA554" w14:textId="77777777" w:rsidR="00087B91" w:rsidRPr="002029AF" w:rsidRDefault="00087B91" w:rsidP="00860E95">
            <w:pPr>
              <w:pStyle w:val="ARfintablebodyrightbold"/>
              <w:ind w:right="0"/>
            </w:pPr>
            <w:r w:rsidRPr="002029AF">
              <w:t>–</w:t>
            </w:r>
          </w:p>
        </w:tc>
        <w:tc>
          <w:tcPr>
            <w:tcW w:w="632" w:type="dxa"/>
            <w:tcBorders>
              <w:bottom w:val="single" w:sz="4" w:space="0" w:color="auto"/>
            </w:tcBorders>
            <w:noWrap/>
            <w:hideMark/>
          </w:tcPr>
          <w:p w14:paraId="004F4C61" w14:textId="77777777" w:rsidR="00087B91" w:rsidRPr="002029AF" w:rsidRDefault="00087B91" w:rsidP="00860E95">
            <w:pPr>
              <w:pStyle w:val="ARfintablebodyrightbold"/>
              <w:ind w:right="0"/>
            </w:pPr>
            <w:r w:rsidRPr="002029AF">
              <w:t>(1.8)</w:t>
            </w:r>
          </w:p>
        </w:tc>
        <w:tc>
          <w:tcPr>
            <w:tcW w:w="631" w:type="dxa"/>
            <w:tcBorders>
              <w:bottom w:val="single" w:sz="4" w:space="0" w:color="auto"/>
            </w:tcBorders>
            <w:noWrap/>
            <w:hideMark/>
          </w:tcPr>
          <w:p w14:paraId="7D31D5F0" w14:textId="77777777" w:rsidR="00087B91" w:rsidRPr="002029AF" w:rsidRDefault="00087B91" w:rsidP="00860E95">
            <w:pPr>
              <w:pStyle w:val="ARfintablebodyrightbold"/>
              <w:ind w:right="0"/>
            </w:pPr>
            <w:r w:rsidRPr="002029AF">
              <w:t>–</w:t>
            </w:r>
          </w:p>
        </w:tc>
        <w:tc>
          <w:tcPr>
            <w:tcW w:w="631" w:type="dxa"/>
            <w:tcBorders>
              <w:bottom w:val="single" w:sz="4" w:space="0" w:color="auto"/>
            </w:tcBorders>
            <w:noWrap/>
            <w:hideMark/>
          </w:tcPr>
          <w:p w14:paraId="7BE95AEF" w14:textId="77777777" w:rsidR="00087B91" w:rsidRPr="002029AF" w:rsidRDefault="00087B91" w:rsidP="00860E95">
            <w:pPr>
              <w:pStyle w:val="ARfintablebodyrightbold"/>
              <w:ind w:right="0"/>
            </w:pPr>
            <w:r w:rsidRPr="002029AF">
              <w:t>0.3</w:t>
            </w:r>
          </w:p>
        </w:tc>
        <w:tc>
          <w:tcPr>
            <w:tcW w:w="631" w:type="dxa"/>
            <w:tcBorders>
              <w:bottom w:val="single" w:sz="4" w:space="0" w:color="auto"/>
            </w:tcBorders>
            <w:noWrap/>
            <w:hideMark/>
          </w:tcPr>
          <w:p w14:paraId="42529010" w14:textId="77777777" w:rsidR="00087B91" w:rsidRPr="002029AF" w:rsidRDefault="00087B91" w:rsidP="00860E95">
            <w:pPr>
              <w:pStyle w:val="ARfintablebodyrightbold"/>
              <w:ind w:right="0"/>
            </w:pPr>
            <w:r w:rsidRPr="002029AF">
              <w:t>–</w:t>
            </w:r>
          </w:p>
        </w:tc>
        <w:tc>
          <w:tcPr>
            <w:tcW w:w="631" w:type="dxa"/>
            <w:tcBorders>
              <w:bottom w:val="single" w:sz="4" w:space="0" w:color="auto"/>
            </w:tcBorders>
            <w:noWrap/>
            <w:hideMark/>
          </w:tcPr>
          <w:p w14:paraId="746D9EC9" w14:textId="77777777" w:rsidR="00087B91" w:rsidRPr="002029AF" w:rsidRDefault="00087B91" w:rsidP="00860E95">
            <w:pPr>
              <w:pStyle w:val="ARfintablebodyrightbold"/>
              <w:ind w:right="0"/>
            </w:pPr>
            <w:r w:rsidRPr="002029AF">
              <w:t>0.1</w:t>
            </w:r>
          </w:p>
        </w:tc>
        <w:tc>
          <w:tcPr>
            <w:tcW w:w="631" w:type="dxa"/>
            <w:tcBorders>
              <w:bottom w:val="single" w:sz="4" w:space="0" w:color="auto"/>
            </w:tcBorders>
            <w:noWrap/>
            <w:hideMark/>
          </w:tcPr>
          <w:p w14:paraId="2C717138" w14:textId="77777777" w:rsidR="00087B91" w:rsidRPr="002029AF" w:rsidRDefault="00087B91" w:rsidP="00860E95">
            <w:pPr>
              <w:pStyle w:val="ARfintablebodyrightbold"/>
              <w:ind w:right="0"/>
            </w:pPr>
            <w:r w:rsidRPr="002029AF">
              <w:t>–</w:t>
            </w:r>
          </w:p>
        </w:tc>
        <w:tc>
          <w:tcPr>
            <w:tcW w:w="915" w:type="dxa"/>
            <w:tcBorders>
              <w:bottom w:val="single" w:sz="4" w:space="0" w:color="auto"/>
            </w:tcBorders>
            <w:noWrap/>
            <w:hideMark/>
          </w:tcPr>
          <w:p w14:paraId="17112FE9" w14:textId="77777777" w:rsidR="00087B91" w:rsidRPr="002029AF" w:rsidRDefault="00087B91" w:rsidP="00860E95">
            <w:pPr>
              <w:pStyle w:val="ARfintablebodyrightbold"/>
              <w:ind w:right="0"/>
            </w:pPr>
            <w:r w:rsidRPr="002029AF">
              <w:t>333.2</w:t>
            </w:r>
          </w:p>
        </w:tc>
        <w:tc>
          <w:tcPr>
            <w:tcW w:w="631" w:type="dxa"/>
            <w:tcBorders>
              <w:bottom w:val="single" w:sz="4" w:space="0" w:color="auto"/>
            </w:tcBorders>
            <w:noWrap/>
            <w:hideMark/>
          </w:tcPr>
          <w:p w14:paraId="0967CAD3" w14:textId="77777777" w:rsidR="00087B91" w:rsidRPr="002029AF" w:rsidRDefault="00087B91" w:rsidP="00860E95">
            <w:pPr>
              <w:pStyle w:val="ARfintablebodyrightbold"/>
              <w:ind w:right="0"/>
            </w:pPr>
            <w:r w:rsidRPr="002029AF">
              <w:t>(0.5)</w:t>
            </w:r>
          </w:p>
        </w:tc>
        <w:tc>
          <w:tcPr>
            <w:tcW w:w="631" w:type="dxa"/>
            <w:tcBorders>
              <w:bottom w:val="single" w:sz="4" w:space="0" w:color="auto"/>
            </w:tcBorders>
            <w:noWrap/>
            <w:hideMark/>
          </w:tcPr>
          <w:p w14:paraId="6DDCB793" w14:textId="77777777" w:rsidR="00087B91" w:rsidRPr="002029AF" w:rsidRDefault="00087B91" w:rsidP="00860E95">
            <w:pPr>
              <w:pStyle w:val="ARfintablebodyrightbold"/>
              <w:ind w:right="0"/>
            </w:pPr>
            <w:r w:rsidRPr="002029AF">
              <w:t>(0.3)</w:t>
            </w:r>
          </w:p>
        </w:tc>
        <w:tc>
          <w:tcPr>
            <w:tcW w:w="631" w:type="dxa"/>
            <w:tcBorders>
              <w:bottom w:val="single" w:sz="4" w:space="0" w:color="auto"/>
            </w:tcBorders>
            <w:noWrap/>
            <w:hideMark/>
          </w:tcPr>
          <w:p w14:paraId="477B61B6" w14:textId="77777777" w:rsidR="00087B91" w:rsidRPr="002029AF" w:rsidRDefault="00087B91" w:rsidP="00860E95">
            <w:pPr>
              <w:pStyle w:val="ARfintablebodyrightbold"/>
              <w:ind w:right="0"/>
            </w:pPr>
            <w:r w:rsidRPr="002029AF">
              <w:t>–</w:t>
            </w:r>
          </w:p>
        </w:tc>
        <w:tc>
          <w:tcPr>
            <w:tcW w:w="631" w:type="dxa"/>
            <w:tcBorders>
              <w:bottom w:val="single" w:sz="4" w:space="0" w:color="auto"/>
            </w:tcBorders>
            <w:noWrap/>
            <w:hideMark/>
          </w:tcPr>
          <w:p w14:paraId="63605EC1" w14:textId="77777777" w:rsidR="00087B91" w:rsidRPr="002029AF" w:rsidRDefault="00087B91" w:rsidP="00860E95">
            <w:pPr>
              <w:pStyle w:val="ARfintablebodyrightbold"/>
              <w:ind w:right="0"/>
            </w:pPr>
            <w:r w:rsidRPr="002029AF">
              <w:t>–</w:t>
            </w:r>
          </w:p>
        </w:tc>
        <w:tc>
          <w:tcPr>
            <w:tcW w:w="631" w:type="dxa"/>
            <w:tcBorders>
              <w:bottom w:val="single" w:sz="4" w:space="0" w:color="auto"/>
            </w:tcBorders>
            <w:noWrap/>
            <w:hideMark/>
          </w:tcPr>
          <w:p w14:paraId="031FF193" w14:textId="77777777" w:rsidR="00087B91" w:rsidRPr="002029AF" w:rsidRDefault="00087B91" w:rsidP="00860E95">
            <w:pPr>
              <w:pStyle w:val="ARfintablebodyrightbold"/>
              <w:ind w:right="0"/>
            </w:pPr>
            <w:r w:rsidRPr="002029AF">
              <w:t>–</w:t>
            </w:r>
          </w:p>
        </w:tc>
        <w:tc>
          <w:tcPr>
            <w:tcW w:w="631" w:type="dxa"/>
            <w:tcBorders>
              <w:bottom w:val="single" w:sz="4" w:space="0" w:color="auto"/>
            </w:tcBorders>
            <w:noWrap/>
            <w:hideMark/>
          </w:tcPr>
          <w:p w14:paraId="7B83579C" w14:textId="77777777" w:rsidR="00087B91" w:rsidRPr="002029AF" w:rsidRDefault="00087B91" w:rsidP="00860E95">
            <w:pPr>
              <w:pStyle w:val="ARfintablebodyrightbold"/>
              <w:ind w:right="0"/>
            </w:pPr>
            <w:r w:rsidRPr="002029AF">
              <w:t>–</w:t>
            </w:r>
          </w:p>
        </w:tc>
        <w:tc>
          <w:tcPr>
            <w:tcW w:w="631" w:type="dxa"/>
            <w:tcBorders>
              <w:bottom w:val="single" w:sz="4" w:space="0" w:color="auto"/>
            </w:tcBorders>
            <w:noWrap/>
            <w:hideMark/>
          </w:tcPr>
          <w:p w14:paraId="78C4F940" w14:textId="77777777" w:rsidR="00087B91" w:rsidRPr="002029AF" w:rsidRDefault="00087B91" w:rsidP="00860E95">
            <w:pPr>
              <w:pStyle w:val="ARfintablebodyrightbold"/>
              <w:ind w:right="0"/>
            </w:pPr>
            <w:r w:rsidRPr="002029AF">
              <w:t>–</w:t>
            </w:r>
          </w:p>
        </w:tc>
        <w:tc>
          <w:tcPr>
            <w:tcW w:w="803" w:type="dxa"/>
            <w:tcBorders>
              <w:bottom w:val="single" w:sz="4" w:space="0" w:color="auto"/>
            </w:tcBorders>
            <w:noWrap/>
            <w:hideMark/>
          </w:tcPr>
          <w:p w14:paraId="379B0DA7" w14:textId="77777777" w:rsidR="00087B91" w:rsidRPr="002029AF" w:rsidRDefault="00087B91" w:rsidP="00860E95">
            <w:pPr>
              <w:pStyle w:val="ARfintablebodyrightbold"/>
              <w:ind w:right="0"/>
            </w:pPr>
            <w:r w:rsidRPr="002029AF">
              <w:t>338.9</w:t>
            </w:r>
          </w:p>
        </w:tc>
      </w:tr>
      <w:tr w:rsidR="00087B91" w:rsidRPr="002029AF" w14:paraId="64968700" w14:textId="77777777" w:rsidTr="00C81A0B">
        <w:tc>
          <w:tcPr>
            <w:tcW w:w="14577" w:type="dxa"/>
            <w:gridSpan w:val="19"/>
            <w:tcBorders>
              <w:top w:val="single" w:sz="4" w:space="0" w:color="auto"/>
              <w:bottom w:val="single" w:sz="4" w:space="0" w:color="A6A6A6"/>
            </w:tcBorders>
            <w:hideMark/>
          </w:tcPr>
          <w:p w14:paraId="69B87612" w14:textId="2BE621CE" w:rsidR="00087B91" w:rsidRPr="002029AF" w:rsidRDefault="00087B91" w:rsidP="00860E95">
            <w:pPr>
              <w:pStyle w:val="ARfintablebodybold"/>
              <w:ind w:right="0"/>
            </w:pPr>
            <w:r w:rsidRPr="002029AF">
              <w:t>Administered</w:t>
            </w:r>
            <w:r w:rsidR="000A5329" w:rsidRPr="002029AF">
              <w:t xml:space="preserve"> </w:t>
            </w:r>
            <w:r w:rsidRPr="002029AF">
              <w:t>other</w:t>
            </w:r>
            <w:r w:rsidR="000A5329" w:rsidRPr="002029AF">
              <w:t xml:space="preserve"> </w:t>
            </w:r>
            <w:r w:rsidRPr="002029AF">
              <w:t>economic</w:t>
            </w:r>
            <w:r w:rsidR="000A5329" w:rsidRPr="002029AF">
              <w:t xml:space="preserve"> </w:t>
            </w:r>
            <w:r w:rsidRPr="002029AF">
              <w:t>flows</w:t>
            </w:r>
            <w:r w:rsidR="000A5329" w:rsidRPr="002029AF">
              <w:t xml:space="preserve"> </w:t>
            </w:r>
            <w:r w:rsidRPr="002029AF">
              <w:t>included</w:t>
            </w:r>
            <w:r w:rsidR="000A5329" w:rsidRPr="002029AF">
              <w:t xml:space="preserve"> </w:t>
            </w:r>
            <w:r w:rsidRPr="002029AF">
              <w:t>in</w:t>
            </w:r>
            <w:r w:rsidR="000A5329" w:rsidRPr="002029AF">
              <w:t xml:space="preserve"> </w:t>
            </w:r>
            <w:r w:rsidRPr="002029AF">
              <w:t>net</w:t>
            </w:r>
            <w:r w:rsidR="000A5329" w:rsidRPr="002029AF">
              <w:t xml:space="preserve"> </w:t>
            </w:r>
            <w:r w:rsidRPr="002029AF">
              <w:t>result</w:t>
            </w:r>
          </w:p>
        </w:tc>
      </w:tr>
      <w:tr w:rsidR="00087B91" w:rsidRPr="002029AF" w14:paraId="73F12288" w14:textId="77777777" w:rsidTr="00C81A0B">
        <w:trPr>
          <w:gridAfter w:val="1"/>
          <w:wAfter w:w="6" w:type="dxa"/>
        </w:trPr>
        <w:tc>
          <w:tcPr>
            <w:tcW w:w="3213" w:type="dxa"/>
            <w:tcBorders>
              <w:top w:val="single" w:sz="4" w:space="0" w:color="A6A6A6"/>
              <w:bottom w:val="single" w:sz="4" w:space="0" w:color="A6A6A6"/>
            </w:tcBorders>
            <w:hideMark/>
          </w:tcPr>
          <w:p w14:paraId="7DC5EB81" w14:textId="64309BC5" w:rsidR="00087B91" w:rsidRPr="002029AF" w:rsidRDefault="00087B91" w:rsidP="00860E95">
            <w:pPr>
              <w:pStyle w:val="ARfintablebody"/>
            </w:pPr>
            <w:r w:rsidRPr="002029AF">
              <w:t>Net</w:t>
            </w:r>
            <w:r w:rsidR="000A5329" w:rsidRPr="002029AF">
              <w:t xml:space="preserve"> </w:t>
            </w:r>
            <w:r w:rsidRPr="002029AF">
              <w:t>gain/(loss)</w:t>
            </w:r>
            <w:r w:rsidR="000A5329" w:rsidRPr="002029AF">
              <w:t xml:space="preserve"> </w:t>
            </w:r>
            <w:r w:rsidRPr="002029AF">
              <w:t>on</w:t>
            </w:r>
            <w:r w:rsidR="000A5329" w:rsidRPr="002029AF">
              <w:t xml:space="preserve"> </w:t>
            </w:r>
            <w:r w:rsidRPr="002029AF">
              <w:t>non-financial</w:t>
            </w:r>
            <w:r w:rsidR="000A5329" w:rsidRPr="002029AF">
              <w:t xml:space="preserve"> </w:t>
            </w:r>
            <w:r w:rsidRPr="002029AF">
              <w:t>assets</w:t>
            </w:r>
          </w:p>
        </w:tc>
        <w:tc>
          <w:tcPr>
            <w:tcW w:w="804" w:type="dxa"/>
            <w:tcBorders>
              <w:top w:val="single" w:sz="4" w:space="0" w:color="A6A6A6"/>
              <w:bottom w:val="single" w:sz="4" w:space="0" w:color="A6A6A6"/>
            </w:tcBorders>
            <w:noWrap/>
            <w:hideMark/>
          </w:tcPr>
          <w:p w14:paraId="2CE8B245" w14:textId="77777777" w:rsidR="00087B91" w:rsidRPr="002029AF" w:rsidRDefault="00087B91" w:rsidP="00860E95">
            <w:pPr>
              <w:pStyle w:val="ARfintablebodyright"/>
              <w:ind w:right="0"/>
            </w:pPr>
            <w:r w:rsidRPr="002029AF">
              <w:t>(0.1)</w:t>
            </w:r>
          </w:p>
        </w:tc>
        <w:tc>
          <w:tcPr>
            <w:tcW w:w="632" w:type="dxa"/>
            <w:tcBorders>
              <w:top w:val="single" w:sz="4" w:space="0" w:color="A6A6A6"/>
              <w:bottom w:val="single" w:sz="4" w:space="0" w:color="A6A6A6"/>
            </w:tcBorders>
            <w:noWrap/>
            <w:hideMark/>
          </w:tcPr>
          <w:p w14:paraId="760BC506" w14:textId="77777777" w:rsidR="00087B91" w:rsidRPr="002029AF" w:rsidRDefault="00087B91" w:rsidP="00860E95">
            <w:pPr>
              <w:pStyle w:val="ARfintablebodyright"/>
              <w:ind w:right="0"/>
            </w:pPr>
            <w:r w:rsidRPr="002029AF">
              <w:t>–</w:t>
            </w:r>
          </w:p>
        </w:tc>
        <w:tc>
          <w:tcPr>
            <w:tcW w:w="632" w:type="dxa"/>
            <w:tcBorders>
              <w:top w:val="single" w:sz="4" w:space="0" w:color="A6A6A6"/>
              <w:bottom w:val="single" w:sz="4" w:space="0" w:color="A6A6A6"/>
            </w:tcBorders>
            <w:noWrap/>
            <w:hideMark/>
          </w:tcPr>
          <w:p w14:paraId="3C926DB7"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5887ED1B"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71A006AA"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232C8A24"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7EBC4D95"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18F94A69" w14:textId="77777777" w:rsidR="00087B91" w:rsidRPr="002029AF" w:rsidRDefault="00087B91" w:rsidP="00860E95">
            <w:pPr>
              <w:pStyle w:val="ARfintablebodyright"/>
              <w:ind w:right="0"/>
            </w:pPr>
            <w:r w:rsidRPr="002029AF">
              <w:t>–</w:t>
            </w:r>
          </w:p>
        </w:tc>
        <w:tc>
          <w:tcPr>
            <w:tcW w:w="915" w:type="dxa"/>
            <w:tcBorders>
              <w:top w:val="single" w:sz="4" w:space="0" w:color="A6A6A6"/>
              <w:bottom w:val="single" w:sz="4" w:space="0" w:color="A6A6A6"/>
            </w:tcBorders>
            <w:noWrap/>
            <w:hideMark/>
          </w:tcPr>
          <w:p w14:paraId="2EA86C99"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0E5AE3E1"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4FE4EE5A"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1C98D4B4"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2E24C759"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54005F86"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2D5D6861"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737A1CC3" w14:textId="77777777" w:rsidR="00087B91" w:rsidRPr="002029AF" w:rsidRDefault="00087B91" w:rsidP="00860E95">
            <w:pPr>
              <w:pStyle w:val="ARfintablebodyright"/>
              <w:ind w:right="0"/>
            </w:pPr>
            <w:r w:rsidRPr="002029AF">
              <w:t>–</w:t>
            </w:r>
          </w:p>
        </w:tc>
        <w:tc>
          <w:tcPr>
            <w:tcW w:w="803" w:type="dxa"/>
            <w:tcBorders>
              <w:top w:val="single" w:sz="4" w:space="0" w:color="A6A6A6"/>
              <w:bottom w:val="single" w:sz="4" w:space="0" w:color="A6A6A6"/>
            </w:tcBorders>
            <w:noWrap/>
            <w:hideMark/>
          </w:tcPr>
          <w:p w14:paraId="2EAE68A4" w14:textId="77777777" w:rsidR="00087B91" w:rsidRPr="002029AF" w:rsidRDefault="00087B91" w:rsidP="00860E95">
            <w:pPr>
              <w:pStyle w:val="ARfintablebodyright"/>
              <w:ind w:right="0"/>
            </w:pPr>
            <w:r w:rsidRPr="002029AF">
              <w:t>(0.1)</w:t>
            </w:r>
          </w:p>
        </w:tc>
      </w:tr>
      <w:tr w:rsidR="00087B91" w:rsidRPr="002029AF" w14:paraId="4D6744A1" w14:textId="77777777" w:rsidTr="00C81A0B">
        <w:trPr>
          <w:gridAfter w:val="1"/>
          <w:wAfter w:w="6" w:type="dxa"/>
        </w:trPr>
        <w:tc>
          <w:tcPr>
            <w:tcW w:w="3213" w:type="dxa"/>
            <w:tcBorders>
              <w:top w:val="single" w:sz="4" w:space="0" w:color="A6A6A6"/>
            </w:tcBorders>
            <w:hideMark/>
          </w:tcPr>
          <w:p w14:paraId="04C6BC23" w14:textId="2F732426" w:rsidR="00087B91" w:rsidRPr="002029AF" w:rsidRDefault="00087B91" w:rsidP="00860E95">
            <w:pPr>
              <w:pStyle w:val="ARfintablebody"/>
            </w:pPr>
            <w:r w:rsidRPr="002029AF">
              <w:t>Other</w:t>
            </w:r>
            <w:r w:rsidR="000A5329" w:rsidRPr="002029AF">
              <w:t xml:space="preserve"> </w:t>
            </w:r>
            <w:r w:rsidRPr="002029AF">
              <w:t>gains/(losses)</w:t>
            </w:r>
            <w:r w:rsidR="000A5329" w:rsidRPr="002029AF">
              <w:t xml:space="preserve"> </w:t>
            </w:r>
            <w:r w:rsidRPr="002029AF">
              <w:t>from</w:t>
            </w:r>
            <w:r w:rsidR="000A5329" w:rsidRPr="002029AF">
              <w:t xml:space="preserve"> </w:t>
            </w:r>
            <w:r w:rsidRPr="002029AF">
              <w:t>other</w:t>
            </w:r>
            <w:r w:rsidR="000A5329" w:rsidRPr="002029AF">
              <w:t xml:space="preserve"> </w:t>
            </w:r>
            <w:r w:rsidRPr="002029AF">
              <w:t>economic</w:t>
            </w:r>
            <w:r w:rsidR="000A5329" w:rsidRPr="002029AF">
              <w:t xml:space="preserve"> </w:t>
            </w:r>
            <w:r w:rsidRPr="002029AF">
              <w:t>flows</w:t>
            </w:r>
          </w:p>
        </w:tc>
        <w:tc>
          <w:tcPr>
            <w:tcW w:w="804" w:type="dxa"/>
            <w:tcBorders>
              <w:top w:val="single" w:sz="4" w:space="0" w:color="A6A6A6"/>
            </w:tcBorders>
            <w:noWrap/>
            <w:hideMark/>
          </w:tcPr>
          <w:p w14:paraId="572C4096" w14:textId="77777777" w:rsidR="00087B91" w:rsidRPr="002029AF" w:rsidRDefault="00087B91" w:rsidP="00860E95">
            <w:pPr>
              <w:pStyle w:val="ARfintablebodyright"/>
              <w:ind w:right="0"/>
            </w:pPr>
            <w:r w:rsidRPr="002029AF">
              <w:t>–</w:t>
            </w:r>
          </w:p>
        </w:tc>
        <w:tc>
          <w:tcPr>
            <w:tcW w:w="632" w:type="dxa"/>
            <w:tcBorders>
              <w:top w:val="single" w:sz="4" w:space="0" w:color="A6A6A6"/>
            </w:tcBorders>
            <w:noWrap/>
            <w:hideMark/>
          </w:tcPr>
          <w:p w14:paraId="57B6AB55" w14:textId="77777777" w:rsidR="00087B91" w:rsidRPr="002029AF" w:rsidRDefault="00087B91" w:rsidP="00860E95">
            <w:pPr>
              <w:pStyle w:val="ARfintablebodyright"/>
              <w:ind w:right="0"/>
            </w:pPr>
            <w:r w:rsidRPr="002029AF">
              <w:t>–</w:t>
            </w:r>
          </w:p>
        </w:tc>
        <w:tc>
          <w:tcPr>
            <w:tcW w:w="632" w:type="dxa"/>
            <w:tcBorders>
              <w:top w:val="single" w:sz="4" w:space="0" w:color="A6A6A6"/>
            </w:tcBorders>
            <w:noWrap/>
            <w:hideMark/>
          </w:tcPr>
          <w:p w14:paraId="15D7CADA"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128DC10C"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6333B782"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5213E160"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5FB9EFF9"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7B3803F6" w14:textId="77777777" w:rsidR="00087B91" w:rsidRPr="002029AF" w:rsidRDefault="00087B91" w:rsidP="00860E95">
            <w:pPr>
              <w:pStyle w:val="ARfintablebodyright"/>
              <w:ind w:right="0"/>
            </w:pPr>
            <w:r w:rsidRPr="002029AF">
              <w:t>–</w:t>
            </w:r>
          </w:p>
        </w:tc>
        <w:tc>
          <w:tcPr>
            <w:tcW w:w="915" w:type="dxa"/>
            <w:tcBorders>
              <w:top w:val="single" w:sz="4" w:space="0" w:color="A6A6A6"/>
            </w:tcBorders>
            <w:noWrap/>
            <w:hideMark/>
          </w:tcPr>
          <w:p w14:paraId="2EFCF2C6" w14:textId="77777777" w:rsidR="00087B91" w:rsidRPr="002029AF" w:rsidRDefault="00087B91" w:rsidP="00860E95">
            <w:pPr>
              <w:pStyle w:val="ARfintablebodyright"/>
              <w:ind w:right="0"/>
            </w:pPr>
            <w:r w:rsidRPr="002029AF">
              <w:t>4.5</w:t>
            </w:r>
          </w:p>
        </w:tc>
        <w:tc>
          <w:tcPr>
            <w:tcW w:w="631" w:type="dxa"/>
            <w:tcBorders>
              <w:top w:val="single" w:sz="4" w:space="0" w:color="A6A6A6"/>
            </w:tcBorders>
            <w:noWrap/>
            <w:hideMark/>
          </w:tcPr>
          <w:p w14:paraId="38FA59E4"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77575000"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6BA4F779"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32B6D751"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2B6F09BB"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5DD51376"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52588F7A" w14:textId="77777777" w:rsidR="00087B91" w:rsidRPr="002029AF" w:rsidRDefault="00087B91" w:rsidP="00860E95">
            <w:pPr>
              <w:pStyle w:val="ARfintablebodyright"/>
              <w:ind w:right="0"/>
            </w:pPr>
            <w:r w:rsidRPr="002029AF">
              <w:t>–</w:t>
            </w:r>
          </w:p>
        </w:tc>
        <w:tc>
          <w:tcPr>
            <w:tcW w:w="803" w:type="dxa"/>
            <w:tcBorders>
              <w:top w:val="single" w:sz="4" w:space="0" w:color="A6A6A6"/>
            </w:tcBorders>
            <w:noWrap/>
            <w:hideMark/>
          </w:tcPr>
          <w:p w14:paraId="2A850D98" w14:textId="77777777" w:rsidR="00087B91" w:rsidRPr="002029AF" w:rsidRDefault="00087B91" w:rsidP="00860E95">
            <w:pPr>
              <w:pStyle w:val="ARfintablebodyright"/>
              <w:ind w:right="0"/>
            </w:pPr>
            <w:r w:rsidRPr="002029AF">
              <w:t>4.5</w:t>
            </w:r>
          </w:p>
        </w:tc>
      </w:tr>
      <w:tr w:rsidR="00087B91" w:rsidRPr="002029AF" w14:paraId="65D57E09" w14:textId="77777777" w:rsidTr="00C81A0B">
        <w:trPr>
          <w:gridAfter w:val="1"/>
          <w:wAfter w:w="6" w:type="dxa"/>
        </w:trPr>
        <w:tc>
          <w:tcPr>
            <w:tcW w:w="3213" w:type="dxa"/>
            <w:hideMark/>
          </w:tcPr>
          <w:p w14:paraId="0DC0A81D" w14:textId="5E03A5B0" w:rsidR="00087B91" w:rsidRPr="002029AF" w:rsidRDefault="00087B91" w:rsidP="00860E95">
            <w:pPr>
              <w:pStyle w:val="ARfintablebodybold"/>
            </w:pPr>
            <w:r w:rsidRPr="002029AF">
              <w:t>Total</w:t>
            </w:r>
            <w:r w:rsidR="000A5329" w:rsidRPr="002029AF">
              <w:t xml:space="preserve"> </w:t>
            </w:r>
            <w:r w:rsidRPr="002029AF">
              <w:t>administered</w:t>
            </w:r>
            <w:r w:rsidR="000A5329" w:rsidRPr="002029AF">
              <w:t xml:space="preserve"> </w:t>
            </w:r>
            <w:r w:rsidRPr="002029AF">
              <w:t>other</w:t>
            </w:r>
            <w:r w:rsidR="000A5329" w:rsidRPr="002029AF">
              <w:t xml:space="preserve"> </w:t>
            </w:r>
            <w:r w:rsidRPr="002029AF">
              <w:t>economic</w:t>
            </w:r>
            <w:r w:rsidR="000A5329" w:rsidRPr="002029AF">
              <w:t xml:space="preserve"> </w:t>
            </w:r>
            <w:r w:rsidRPr="002029AF">
              <w:t>flows</w:t>
            </w:r>
          </w:p>
        </w:tc>
        <w:tc>
          <w:tcPr>
            <w:tcW w:w="804" w:type="dxa"/>
            <w:noWrap/>
            <w:hideMark/>
          </w:tcPr>
          <w:p w14:paraId="32FE08EC" w14:textId="77777777" w:rsidR="00087B91" w:rsidRPr="002029AF" w:rsidRDefault="00087B91" w:rsidP="00860E95">
            <w:pPr>
              <w:pStyle w:val="ARfintablebodyrightbold"/>
              <w:ind w:right="0"/>
            </w:pPr>
            <w:r w:rsidRPr="002029AF">
              <w:t>(0.1)</w:t>
            </w:r>
          </w:p>
        </w:tc>
        <w:tc>
          <w:tcPr>
            <w:tcW w:w="632" w:type="dxa"/>
            <w:noWrap/>
            <w:hideMark/>
          </w:tcPr>
          <w:p w14:paraId="56A91BE7" w14:textId="77777777" w:rsidR="00087B91" w:rsidRPr="002029AF" w:rsidRDefault="00087B91" w:rsidP="00860E95">
            <w:pPr>
              <w:pStyle w:val="ARfintablebodyrightbold"/>
              <w:ind w:right="0"/>
            </w:pPr>
            <w:r w:rsidRPr="002029AF">
              <w:t>–</w:t>
            </w:r>
          </w:p>
        </w:tc>
        <w:tc>
          <w:tcPr>
            <w:tcW w:w="632" w:type="dxa"/>
            <w:noWrap/>
            <w:hideMark/>
          </w:tcPr>
          <w:p w14:paraId="30A0426A" w14:textId="77777777" w:rsidR="00087B91" w:rsidRPr="002029AF" w:rsidRDefault="00087B91" w:rsidP="00860E95">
            <w:pPr>
              <w:pStyle w:val="ARfintablebodyrightbold"/>
              <w:ind w:right="0"/>
            </w:pPr>
            <w:r w:rsidRPr="002029AF">
              <w:t>–</w:t>
            </w:r>
          </w:p>
        </w:tc>
        <w:tc>
          <w:tcPr>
            <w:tcW w:w="631" w:type="dxa"/>
            <w:noWrap/>
            <w:hideMark/>
          </w:tcPr>
          <w:p w14:paraId="0F2099A7" w14:textId="77777777" w:rsidR="00087B91" w:rsidRPr="002029AF" w:rsidRDefault="00087B91" w:rsidP="00860E95">
            <w:pPr>
              <w:pStyle w:val="ARfintablebodyrightbold"/>
              <w:ind w:right="0"/>
            </w:pPr>
            <w:r w:rsidRPr="002029AF">
              <w:t>–</w:t>
            </w:r>
          </w:p>
        </w:tc>
        <w:tc>
          <w:tcPr>
            <w:tcW w:w="631" w:type="dxa"/>
            <w:noWrap/>
            <w:hideMark/>
          </w:tcPr>
          <w:p w14:paraId="70B35788" w14:textId="77777777" w:rsidR="00087B91" w:rsidRPr="002029AF" w:rsidRDefault="00087B91" w:rsidP="00860E95">
            <w:pPr>
              <w:pStyle w:val="ARfintablebodyrightbold"/>
              <w:ind w:right="0"/>
            </w:pPr>
            <w:r w:rsidRPr="002029AF">
              <w:t>–</w:t>
            </w:r>
          </w:p>
        </w:tc>
        <w:tc>
          <w:tcPr>
            <w:tcW w:w="631" w:type="dxa"/>
            <w:noWrap/>
            <w:hideMark/>
          </w:tcPr>
          <w:p w14:paraId="2B3201A1" w14:textId="77777777" w:rsidR="00087B91" w:rsidRPr="002029AF" w:rsidRDefault="00087B91" w:rsidP="00860E95">
            <w:pPr>
              <w:pStyle w:val="ARfintablebodyrightbold"/>
              <w:ind w:right="0"/>
            </w:pPr>
            <w:r w:rsidRPr="002029AF">
              <w:t>–</w:t>
            </w:r>
          </w:p>
        </w:tc>
        <w:tc>
          <w:tcPr>
            <w:tcW w:w="631" w:type="dxa"/>
            <w:noWrap/>
            <w:hideMark/>
          </w:tcPr>
          <w:p w14:paraId="387555D4" w14:textId="77777777" w:rsidR="00087B91" w:rsidRPr="002029AF" w:rsidRDefault="00087B91" w:rsidP="00860E95">
            <w:pPr>
              <w:pStyle w:val="ARfintablebodyrightbold"/>
              <w:ind w:right="0"/>
            </w:pPr>
            <w:r w:rsidRPr="002029AF">
              <w:t>–</w:t>
            </w:r>
          </w:p>
        </w:tc>
        <w:tc>
          <w:tcPr>
            <w:tcW w:w="631" w:type="dxa"/>
            <w:noWrap/>
            <w:hideMark/>
          </w:tcPr>
          <w:p w14:paraId="086A85C7" w14:textId="77777777" w:rsidR="00087B91" w:rsidRPr="002029AF" w:rsidRDefault="00087B91" w:rsidP="00860E95">
            <w:pPr>
              <w:pStyle w:val="ARfintablebodyrightbold"/>
              <w:ind w:right="0"/>
            </w:pPr>
            <w:r w:rsidRPr="002029AF">
              <w:t>–</w:t>
            </w:r>
          </w:p>
        </w:tc>
        <w:tc>
          <w:tcPr>
            <w:tcW w:w="915" w:type="dxa"/>
            <w:noWrap/>
            <w:hideMark/>
          </w:tcPr>
          <w:p w14:paraId="799ADC03" w14:textId="77777777" w:rsidR="00087B91" w:rsidRPr="002029AF" w:rsidRDefault="00087B91" w:rsidP="00860E95">
            <w:pPr>
              <w:pStyle w:val="ARfintablebodyrightbold"/>
              <w:ind w:right="0"/>
            </w:pPr>
            <w:r w:rsidRPr="002029AF">
              <w:t>4.5</w:t>
            </w:r>
          </w:p>
        </w:tc>
        <w:tc>
          <w:tcPr>
            <w:tcW w:w="631" w:type="dxa"/>
            <w:noWrap/>
            <w:hideMark/>
          </w:tcPr>
          <w:p w14:paraId="44F74C2F" w14:textId="77777777" w:rsidR="00087B91" w:rsidRPr="002029AF" w:rsidRDefault="00087B91" w:rsidP="00860E95">
            <w:pPr>
              <w:pStyle w:val="ARfintablebodyrightbold"/>
              <w:ind w:right="0"/>
            </w:pPr>
            <w:r w:rsidRPr="002029AF">
              <w:t>–</w:t>
            </w:r>
          </w:p>
        </w:tc>
        <w:tc>
          <w:tcPr>
            <w:tcW w:w="631" w:type="dxa"/>
            <w:noWrap/>
            <w:hideMark/>
          </w:tcPr>
          <w:p w14:paraId="5E3292E5" w14:textId="77777777" w:rsidR="00087B91" w:rsidRPr="002029AF" w:rsidRDefault="00087B91" w:rsidP="00860E95">
            <w:pPr>
              <w:pStyle w:val="ARfintablebodyrightbold"/>
              <w:ind w:right="0"/>
            </w:pPr>
            <w:r w:rsidRPr="002029AF">
              <w:t>–</w:t>
            </w:r>
          </w:p>
        </w:tc>
        <w:tc>
          <w:tcPr>
            <w:tcW w:w="631" w:type="dxa"/>
            <w:noWrap/>
            <w:hideMark/>
          </w:tcPr>
          <w:p w14:paraId="553A43A4" w14:textId="77777777" w:rsidR="00087B91" w:rsidRPr="002029AF" w:rsidRDefault="00087B91" w:rsidP="00860E95">
            <w:pPr>
              <w:pStyle w:val="ARfintablebodyrightbold"/>
              <w:ind w:right="0"/>
            </w:pPr>
            <w:r w:rsidRPr="002029AF">
              <w:t>–</w:t>
            </w:r>
          </w:p>
        </w:tc>
        <w:tc>
          <w:tcPr>
            <w:tcW w:w="631" w:type="dxa"/>
            <w:noWrap/>
            <w:hideMark/>
          </w:tcPr>
          <w:p w14:paraId="3741CC5C" w14:textId="77777777" w:rsidR="00087B91" w:rsidRPr="002029AF" w:rsidRDefault="00087B91" w:rsidP="00860E95">
            <w:pPr>
              <w:pStyle w:val="ARfintablebodyrightbold"/>
              <w:ind w:right="0"/>
            </w:pPr>
            <w:r w:rsidRPr="002029AF">
              <w:t>–</w:t>
            </w:r>
          </w:p>
        </w:tc>
        <w:tc>
          <w:tcPr>
            <w:tcW w:w="631" w:type="dxa"/>
            <w:noWrap/>
            <w:hideMark/>
          </w:tcPr>
          <w:p w14:paraId="7249C0D5" w14:textId="77777777" w:rsidR="00087B91" w:rsidRPr="002029AF" w:rsidRDefault="00087B91" w:rsidP="00860E95">
            <w:pPr>
              <w:pStyle w:val="ARfintablebodyrightbold"/>
              <w:ind w:right="0"/>
            </w:pPr>
            <w:r w:rsidRPr="002029AF">
              <w:t>–</w:t>
            </w:r>
          </w:p>
        </w:tc>
        <w:tc>
          <w:tcPr>
            <w:tcW w:w="631" w:type="dxa"/>
            <w:noWrap/>
            <w:hideMark/>
          </w:tcPr>
          <w:p w14:paraId="12779C4D" w14:textId="77777777" w:rsidR="00087B91" w:rsidRPr="002029AF" w:rsidRDefault="00087B91" w:rsidP="00860E95">
            <w:pPr>
              <w:pStyle w:val="ARfintablebodyrightbold"/>
              <w:ind w:right="0"/>
            </w:pPr>
            <w:r w:rsidRPr="002029AF">
              <w:t>–</w:t>
            </w:r>
          </w:p>
        </w:tc>
        <w:tc>
          <w:tcPr>
            <w:tcW w:w="631" w:type="dxa"/>
            <w:noWrap/>
            <w:hideMark/>
          </w:tcPr>
          <w:p w14:paraId="11B3DF43" w14:textId="77777777" w:rsidR="00087B91" w:rsidRPr="002029AF" w:rsidRDefault="00087B91" w:rsidP="00860E95">
            <w:pPr>
              <w:pStyle w:val="ARfintablebodyrightbold"/>
              <w:ind w:right="0"/>
            </w:pPr>
            <w:r w:rsidRPr="002029AF">
              <w:t>–</w:t>
            </w:r>
          </w:p>
        </w:tc>
        <w:tc>
          <w:tcPr>
            <w:tcW w:w="803" w:type="dxa"/>
            <w:noWrap/>
            <w:hideMark/>
          </w:tcPr>
          <w:p w14:paraId="3C88C40A" w14:textId="77777777" w:rsidR="00087B91" w:rsidRPr="002029AF" w:rsidRDefault="00087B91" w:rsidP="00860E95">
            <w:pPr>
              <w:pStyle w:val="ARfintablebodyrightbold"/>
              <w:ind w:right="0"/>
            </w:pPr>
            <w:r w:rsidRPr="002029AF">
              <w:t>4.4</w:t>
            </w:r>
          </w:p>
        </w:tc>
      </w:tr>
      <w:tr w:rsidR="00087B91" w:rsidRPr="002029AF" w14:paraId="57651DBA" w14:textId="77777777" w:rsidTr="00C81A0B">
        <w:trPr>
          <w:gridAfter w:val="1"/>
          <w:wAfter w:w="6" w:type="dxa"/>
        </w:trPr>
        <w:tc>
          <w:tcPr>
            <w:tcW w:w="3213" w:type="dxa"/>
            <w:hideMark/>
          </w:tcPr>
          <w:p w14:paraId="4A510745" w14:textId="1D72D5B1" w:rsidR="00087B91" w:rsidRPr="002029AF" w:rsidRDefault="00087B91" w:rsidP="00860E95">
            <w:pPr>
              <w:pStyle w:val="ARfintablebodybold"/>
            </w:pPr>
            <w:r w:rsidRPr="002029AF">
              <w:t>Administered</w:t>
            </w:r>
            <w:r w:rsidR="000A5329" w:rsidRPr="002029AF">
              <w:t xml:space="preserve"> </w:t>
            </w:r>
            <w:r w:rsidRPr="002029AF">
              <w:t>net</w:t>
            </w:r>
            <w:r w:rsidR="000A5329" w:rsidRPr="002029AF">
              <w:t xml:space="preserve"> </w:t>
            </w:r>
            <w:r w:rsidRPr="002029AF">
              <w:t>result</w:t>
            </w:r>
          </w:p>
        </w:tc>
        <w:tc>
          <w:tcPr>
            <w:tcW w:w="804" w:type="dxa"/>
            <w:noWrap/>
            <w:hideMark/>
          </w:tcPr>
          <w:p w14:paraId="2190C067" w14:textId="77777777" w:rsidR="00087B91" w:rsidRPr="002029AF" w:rsidRDefault="00087B91" w:rsidP="00860E95">
            <w:pPr>
              <w:pStyle w:val="ARfintablebodyrightbold"/>
              <w:ind w:right="0"/>
            </w:pPr>
            <w:r w:rsidRPr="002029AF">
              <w:t>7.9</w:t>
            </w:r>
          </w:p>
        </w:tc>
        <w:tc>
          <w:tcPr>
            <w:tcW w:w="632" w:type="dxa"/>
            <w:noWrap/>
            <w:hideMark/>
          </w:tcPr>
          <w:p w14:paraId="4931FD31" w14:textId="77777777" w:rsidR="00087B91" w:rsidRPr="002029AF" w:rsidRDefault="00087B91" w:rsidP="00860E95">
            <w:pPr>
              <w:pStyle w:val="ARfintablebodyrightbold"/>
              <w:ind w:right="0"/>
            </w:pPr>
            <w:r w:rsidRPr="002029AF">
              <w:t>–</w:t>
            </w:r>
          </w:p>
        </w:tc>
        <w:tc>
          <w:tcPr>
            <w:tcW w:w="632" w:type="dxa"/>
            <w:noWrap/>
            <w:hideMark/>
          </w:tcPr>
          <w:p w14:paraId="1DCB2F79" w14:textId="77777777" w:rsidR="00087B91" w:rsidRPr="002029AF" w:rsidRDefault="00087B91" w:rsidP="00860E95">
            <w:pPr>
              <w:pStyle w:val="ARfintablebodyrightbold"/>
              <w:ind w:right="0"/>
            </w:pPr>
            <w:r w:rsidRPr="002029AF">
              <w:t>(1.8)</w:t>
            </w:r>
          </w:p>
        </w:tc>
        <w:tc>
          <w:tcPr>
            <w:tcW w:w="631" w:type="dxa"/>
            <w:noWrap/>
            <w:hideMark/>
          </w:tcPr>
          <w:p w14:paraId="16E8F34D" w14:textId="77777777" w:rsidR="00087B91" w:rsidRPr="002029AF" w:rsidRDefault="00087B91" w:rsidP="00860E95">
            <w:pPr>
              <w:pStyle w:val="ARfintablebodyrightbold"/>
              <w:ind w:right="0"/>
            </w:pPr>
            <w:r w:rsidRPr="002029AF">
              <w:t>–</w:t>
            </w:r>
          </w:p>
        </w:tc>
        <w:tc>
          <w:tcPr>
            <w:tcW w:w="631" w:type="dxa"/>
            <w:noWrap/>
            <w:hideMark/>
          </w:tcPr>
          <w:p w14:paraId="01CA893F" w14:textId="77777777" w:rsidR="00087B91" w:rsidRPr="002029AF" w:rsidRDefault="00087B91" w:rsidP="00860E95">
            <w:pPr>
              <w:pStyle w:val="ARfintablebodyrightbold"/>
              <w:ind w:right="0"/>
            </w:pPr>
            <w:r w:rsidRPr="002029AF">
              <w:t>0.3</w:t>
            </w:r>
          </w:p>
        </w:tc>
        <w:tc>
          <w:tcPr>
            <w:tcW w:w="631" w:type="dxa"/>
            <w:noWrap/>
            <w:hideMark/>
          </w:tcPr>
          <w:p w14:paraId="51FFF92C" w14:textId="77777777" w:rsidR="00087B91" w:rsidRPr="002029AF" w:rsidRDefault="00087B91" w:rsidP="00860E95">
            <w:pPr>
              <w:pStyle w:val="ARfintablebodyrightbold"/>
              <w:ind w:right="0"/>
            </w:pPr>
            <w:r w:rsidRPr="002029AF">
              <w:t>–</w:t>
            </w:r>
          </w:p>
        </w:tc>
        <w:tc>
          <w:tcPr>
            <w:tcW w:w="631" w:type="dxa"/>
            <w:noWrap/>
            <w:hideMark/>
          </w:tcPr>
          <w:p w14:paraId="6406EB2B" w14:textId="77777777" w:rsidR="00087B91" w:rsidRPr="002029AF" w:rsidRDefault="00087B91" w:rsidP="00860E95">
            <w:pPr>
              <w:pStyle w:val="ARfintablebodyrightbold"/>
              <w:ind w:right="0"/>
            </w:pPr>
            <w:r w:rsidRPr="002029AF">
              <w:t>0.1</w:t>
            </w:r>
          </w:p>
        </w:tc>
        <w:tc>
          <w:tcPr>
            <w:tcW w:w="631" w:type="dxa"/>
            <w:noWrap/>
            <w:hideMark/>
          </w:tcPr>
          <w:p w14:paraId="7878CDD3" w14:textId="77777777" w:rsidR="00087B91" w:rsidRPr="002029AF" w:rsidRDefault="00087B91" w:rsidP="00860E95">
            <w:pPr>
              <w:pStyle w:val="ARfintablebodyrightbold"/>
              <w:ind w:right="0"/>
            </w:pPr>
            <w:r w:rsidRPr="002029AF">
              <w:t>–</w:t>
            </w:r>
          </w:p>
        </w:tc>
        <w:tc>
          <w:tcPr>
            <w:tcW w:w="915" w:type="dxa"/>
            <w:noWrap/>
            <w:hideMark/>
          </w:tcPr>
          <w:p w14:paraId="4D7D057F" w14:textId="77777777" w:rsidR="00087B91" w:rsidRPr="002029AF" w:rsidRDefault="00087B91" w:rsidP="00860E95">
            <w:pPr>
              <w:pStyle w:val="ARfintablebodyrightbold"/>
              <w:ind w:right="0"/>
            </w:pPr>
            <w:r w:rsidRPr="002029AF">
              <w:t>337.7</w:t>
            </w:r>
          </w:p>
        </w:tc>
        <w:tc>
          <w:tcPr>
            <w:tcW w:w="631" w:type="dxa"/>
            <w:noWrap/>
            <w:hideMark/>
          </w:tcPr>
          <w:p w14:paraId="5048BE11" w14:textId="77777777" w:rsidR="00087B91" w:rsidRPr="002029AF" w:rsidRDefault="00087B91" w:rsidP="00860E95">
            <w:pPr>
              <w:pStyle w:val="ARfintablebodyrightbold"/>
              <w:ind w:right="0"/>
            </w:pPr>
            <w:r w:rsidRPr="002029AF">
              <w:t>(0.5)</w:t>
            </w:r>
          </w:p>
        </w:tc>
        <w:tc>
          <w:tcPr>
            <w:tcW w:w="631" w:type="dxa"/>
            <w:noWrap/>
            <w:hideMark/>
          </w:tcPr>
          <w:p w14:paraId="11B05F5B" w14:textId="77777777" w:rsidR="00087B91" w:rsidRPr="002029AF" w:rsidRDefault="00087B91" w:rsidP="00860E95">
            <w:pPr>
              <w:pStyle w:val="ARfintablebodyrightbold"/>
              <w:ind w:right="0"/>
            </w:pPr>
            <w:r w:rsidRPr="002029AF">
              <w:t>(0.3)</w:t>
            </w:r>
          </w:p>
        </w:tc>
        <w:tc>
          <w:tcPr>
            <w:tcW w:w="631" w:type="dxa"/>
            <w:noWrap/>
            <w:hideMark/>
          </w:tcPr>
          <w:p w14:paraId="3646DCFB" w14:textId="77777777" w:rsidR="00087B91" w:rsidRPr="002029AF" w:rsidRDefault="00087B91" w:rsidP="00860E95">
            <w:pPr>
              <w:pStyle w:val="ARfintablebodyrightbold"/>
              <w:ind w:right="0"/>
            </w:pPr>
            <w:r w:rsidRPr="002029AF">
              <w:t>–</w:t>
            </w:r>
          </w:p>
        </w:tc>
        <w:tc>
          <w:tcPr>
            <w:tcW w:w="631" w:type="dxa"/>
            <w:noWrap/>
            <w:hideMark/>
          </w:tcPr>
          <w:p w14:paraId="5798687E" w14:textId="77777777" w:rsidR="00087B91" w:rsidRPr="002029AF" w:rsidRDefault="00087B91" w:rsidP="00860E95">
            <w:pPr>
              <w:pStyle w:val="ARfintablebodyrightbold"/>
              <w:ind w:right="0"/>
            </w:pPr>
            <w:r w:rsidRPr="002029AF">
              <w:t>–</w:t>
            </w:r>
          </w:p>
        </w:tc>
        <w:tc>
          <w:tcPr>
            <w:tcW w:w="631" w:type="dxa"/>
            <w:noWrap/>
            <w:hideMark/>
          </w:tcPr>
          <w:p w14:paraId="0CED856A" w14:textId="77777777" w:rsidR="00087B91" w:rsidRPr="002029AF" w:rsidRDefault="00087B91" w:rsidP="00860E95">
            <w:pPr>
              <w:pStyle w:val="ARfintablebodyrightbold"/>
              <w:ind w:right="0"/>
            </w:pPr>
            <w:r w:rsidRPr="002029AF">
              <w:t>–</w:t>
            </w:r>
          </w:p>
        </w:tc>
        <w:tc>
          <w:tcPr>
            <w:tcW w:w="631" w:type="dxa"/>
            <w:noWrap/>
            <w:hideMark/>
          </w:tcPr>
          <w:p w14:paraId="0F23EC9B" w14:textId="77777777" w:rsidR="00087B91" w:rsidRPr="002029AF" w:rsidRDefault="00087B91" w:rsidP="00860E95">
            <w:pPr>
              <w:pStyle w:val="ARfintablebodyrightbold"/>
              <w:ind w:right="0"/>
            </w:pPr>
            <w:r w:rsidRPr="002029AF">
              <w:t>–</w:t>
            </w:r>
          </w:p>
        </w:tc>
        <w:tc>
          <w:tcPr>
            <w:tcW w:w="631" w:type="dxa"/>
            <w:noWrap/>
            <w:hideMark/>
          </w:tcPr>
          <w:p w14:paraId="7038B984" w14:textId="77777777" w:rsidR="00087B91" w:rsidRPr="002029AF" w:rsidRDefault="00087B91" w:rsidP="00860E95">
            <w:pPr>
              <w:pStyle w:val="ARfintablebodyrightbold"/>
              <w:ind w:right="0"/>
            </w:pPr>
            <w:r w:rsidRPr="002029AF">
              <w:t>–</w:t>
            </w:r>
          </w:p>
        </w:tc>
        <w:tc>
          <w:tcPr>
            <w:tcW w:w="803" w:type="dxa"/>
            <w:noWrap/>
            <w:hideMark/>
          </w:tcPr>
          <w:p w14:paraId="4B31FA88" w14:textId="77777777" w:rsidR="00087B91" w:rsidRPr="002029AF" w:rsidRDefault="00087B91" w:rsidP="00860E95">
            <w:pPr>
              <w:pStyle w:val="ARfintablebodyrightbold"/>
              <w:ind w:right="0"/>
            </w:pPr>
            <w:r w:rsidRPr="002029AF">
              <w:t>343.3</w:t>
            </w:r>
          </w:p>
        </w:tc>
      </w:tr>
    </w:tbl>
    <w:p w14:paraId="5D325F1B" w14:textId="77777777" w:rsidR="00087B91" w:rsidRPr="002029AF" w:rsidRDefault="00087B91" w:rsidP="00087B91">
      <w:pPr>
        <w:pStyle w:val="ARfintablefootnote"/>
      </w:pPr>
      <w:r w:rsidRPr="002029AF">
        <w:t>Notes:</w:t>
      </w:r>
    </w:p>
    <w:p w14:paraId="70777648" w14:textId="575C6032" w:rsidR="00087B91" w:rsidRPr="002029AF" w:rsidRDefault="00087B91" w:rsidP="00087B91">
      <w:pPr>
        <w:pStyle w:val="ARfintablefootnoteindent"/>
      </w:pPr>
      <w:r w:rsidRPr="002029AF">
        <w:t>(i)</w:t>
      </w:r>
      <w:r w:rsidRPr="002029AF">
        <w:tab/>
        <w:t>Refer</w:t>
      </w:r>
      <w:r w:rsidR="000A5329" w:rsidRPr="002029AF">
        <w:t xml:space="preserve"> </w:t>
      </w:r>
      <w:r w:rsidRPr="002029AF">
        <w:t>to</w:t>
      </w:r>
      <w:r w:rsidR="000A5329" w:rsidRPr="002029AF">
        <w:t xml:space="preserve"> </w:t>
      </w:r>
      <w:r w:rsidRPr="002029AF">
        <w:t>Note</w:t>
      </w:r>
      <w:r w:rsidR="000A5329" w:rsidRPr="002029AF">
        <w:t xml:space="preserve"> </w:t>
      </w:r>
      <w:r w:rsidRPr="002029AF">
        <w:t>4.1.1</w:t>
      </w:r>
      <w:r w:rsidR="000A5329" w:rsidRPr="002029AF">
        <w:t xml:space="preserve"> </w:t>
      </w:r>
      <w:r w:rsidRPr="002029AF">
        <w:t>for</w:t>
      </w:r>
      <w:r w:rsidR="000A5329" w:rsidRPr="002029AF">
        <w:t xml:space="preserve"> </w:t>
      </w:r>
      <w:r w:rsidRPr="002029AF">
        <w:t>output</w:t>
      </w:r>
      <w:r w:rsidR="000A5329" w:rsidRPr="002029AF">
        <w:t xml:space="preserve"> </w:t>
      </w:r>
      <w:r w:rsidRPr="002029AF">
        <w:t>group</w:t>
      </w:r>
      <w:r w:rsidR="000A5329" w:rsidRPr="002029AF">
        <w:t xml:space="preserve"> </w:t>
      </w:r>
      <w:r w:rsidRPr="002029AF">
        <w:t>definitions.</w:t>
      </w:r>
    </w:p>
    <w:p w14:paraId="3201A271" w14:textId="1DBA3FC2" w:rsidR="00087B91" w:rsidRPr="002029AF" w:rsidRDefault="00087B91" w:rsidP="00087B91">
      <w:pPr>
        <w:pStyle w:val="ARfintablefootnoteindent"/>
        <w:spacing w:after="160"/>
      </w:pPr>
      <w:r w:rsidRPr="002029AF">
        <w:t>(ii)</w:t>
      </w:r>
      <w:r w:rsidRPr="002029AF">
        <w:tab/>
        <w:t>Output</w:t>
      </w:r>
      <w:r w:rsidR="000A5329" w:rsidRPr="002029AF">
        <w:t xml:space="preserve"> </w:t>
      </w:r>
      <w:r w:rsidRPr="002029AF">
        <w:t>group</w:t>
      </w:r>
      <w:r w:rsidR="000A5329" w:rsidRPr="002029AF">
        <w:t xml:space="preserve"> </w:t>
      </w:r>
      <w:r w:rsidRPr="002029AF">
        <w:t>15</w:t>
      </w:r>
      <w:r w:rsidR="000A5329" w:rsidRPr="002029AF">
        <w:t xml:space="preserve"> </w:t>
      </w:r>
      <w:r w:rsidRPr="002029AF">
        <w:t>Housing</w:t>
      </w:r>
      <w:r w:rsidR="000A5329" w:rsidRPr="002029AF">
        <w:t xml:space="preserve"> </w:t>
      </w:r>
      <w:r w:rsidRPr="002029AF">
        <w:t>Assistance</w:t>
      </w:r>
      <w:r w:rsidR="000A5329" w:rsidRPr="002029AF">
        <w:t xml:space="preserve"> </w:t>
      </w:r>
      <w:r w:rsidRPr="002029AF">
        <w:t>and</w:t>
      </w:r>
      <w:r w:rsidR="000A5329" w:rsidRPr="002029AF">
        <w:t xml:space="preserve"> </w:t>
      </w:r>
      <w:r w:rsidRPr="002029AF">
        <w:t>output</w:t>
      </w:r>
      <w:r w:rsidR="000A5329" w:rsidRPr="002029AF">
        <w:t xml:space="preserve"> </w:t>
      </w:r>
      <w:r w:rsidRPr="002029AF">
        <w:t>group</w:t>
      </w:r>
      <w:r w:rsidR="000A5329" w:rsidRPr="002029AF">
        <w:t xml:space="preserve"> </w:t>
      </w:r>
      <w:r w:rsidRPr="002029AF">
        <w:t>16</w:t>
      </w:r>
      <w:r w:rsidR="000A5329" w:rsidRPr="002029AF">
        <w:t xml:space="preserve"> </w:t>
      </w:r>
      <w:r w:rsidRPr="002029AF">
        <w:t>Shared</w:t>
      </w:r>
      <w:r w:rsidR="000A5329" w:rsidRPr="002029AF">
        <w:t xml:space="preserve"> </w:t>
      </w:r>
      <w:r w:rsidRPr="002029AF">
        <w:t>Services</w:t>
      </w:r>
      <w:r w:rsidR="000A5329" w:rsidRPr="002029AF">
        <w:t xml:space="preserve"> </w:t>
      </w:r>
      <w:r w:rsidRPr="002029AF">
        <w:t>are</w:t>
      </w:r>
      <w:r w:rsidR="000A5329" w:rsidRPr="002029AF">
        <w:t xml:space="preserve"> </w:t>
      </w:r>
      <w:r w:rsidRPr="002029AF">
        <w:t>not</w:t>
      </w:r>
      <w:r w:rsidR="000A5329" w:rsidRPr="002029AF">
        <w:t xml:space="preserve"> </w:t>
      </w:r>
      <w:r w:rsidRPr="002029AF">
        <w:t>applicable</w:t>
      </w:r>
      <w:r w:rsidR="000A5329" w:rsidRPr="002029AF">
        <w:t xml:space="preserve"> </w:t>
      </w:r>
      <w:r w:rsidRPr="002029AF">
        <w:t>for</w:t>
      </w:r>
      <w:r w:rsidR="000A5329" w:rsidRPr="002029AF">
        <w:t xml:space="preserve"> </w:t>
      </w:r>
      <w:r w:rsidRPr="002029AF">
        <w:t>administered</w:t>
      </w:r>
      <w:r w:rsidR="000A5329" w:rsidRPr="002029AF">
        <w:t xml:space="preserve"> </w:t>
      </w:r>
      <w:r w:rsidRPr="002029AF">
        <w:t>activities.</w:t>
      </w:r>
    </w:p>
    <w:p w14:paraId="03C18D51" w14:textId="77777777" w:rsidR="00087B91" w:rsidRPr="002029AF" w:rsidRDefault="00087B91" w:rsidP="00087B91">
      <w:pPr>
        <w:pStyle w:val="ARfinbody"/>
      </w:pPr>
      <w:r w:rsidRPr="002029AF">
        <w:br w:type="page"/>
      </w:r>
    </w:p>
    <w:tbl>
      <w:tblPr>
        <w:tblStyle w:val="TableGrid"/>
        <w:tblW w:w="14459" w:type="dxa"/>
        <w:tblLayout w:type="fixed"/>
        <w:tblCellMar>
          <w:right w:w="0" w:type="dxa"/>
        </w:tblCellMar>
        <w:tblLook w:val="06A0" w:firstRow="1" w:lastRow="0" w:firstColumn="1" w:lastColumn="0" w:noHBand="1" w:noVBand="1"/>
      </w:tblPr>
      <w:tblGrid>
        <w:gridCol w:w="3185"/>
        <w:gridCol w:w="798"/>
        <w:gridCol w:w="627"/>
        <w:gridCol w:w="627"/>
        <w:gridCol w:w="626"/>
        <w:gridCol w:w="626"/>
        <w:gridCol w:w="625"/>
        <w:gridCol w:w="625"/>
        <w:gridCol w:w="689"/>
        <w:gridCol w:w="843"/>
        <w:gridCol w:w="625"/>
        <w:gridCol w:w="625"/>
        <w:gridCol w:w="625"/>
        <w:gridCol w:w="625"/>
        <w:gridCol w:w="625"/>
        <w:gridCol w:w="625"/>
        <w:gridCol w:w="625"/>
        <w:gridCol w:w="796"/>
        <w:gridCol w:w="17"/>
      </w:tblGrid>
      <w:tr w:rsidR="00087B91" w:rsidRPr="002029AF" w14:paraId="69B73ADC" w14:textId="77777777" w:rsidTr="00C81A0B">
        <w:trPr>
          <w:gridAfter w:val="1"/>
          <w:cnfStyle w:val="100000000000" w:firstRow="1" w:lastRow="0" w:firstColumn="0" w:lastColumn="0" w:oddVBand="0" w:evenVBand="0" w:oddHBand="0" w:evenHBand="0" w:firstRowFirstColumn="0" w:firstRowLastColumn="0" w:lastRowFirstColumn="0" w:lastRowLastColumn="0"/>
          <w:wAfter w:w="17" w:type="dxa"/>
          <w:tblHeader/>
        </w:trPr>
        <w:tc>
          <w:tcPr>
            <w:tcW w:w="3213" w:type="dxa"/>
            <w:tcBorders>
              <w:bottom w:val="single" w:sz="4" w:space="0" w:color="auto"/>
            </w:tcBorders>
            <w:hideMark/>
          </w:tcPr>
          <w:p w14:paraId="0DA69634" w14:textId="11B96113" w:rsidR="00447703" w:rsidRPr="002029AF" w:rsidRDefault="00087B91" w:rsidP="00860E95">
            <w:pPr>
              <w:pStyle w:val="ARfintablecolhead"/>
            </w:pPr>
            <w:r w:rsidRPr="002029AF">
              <w:lastRenderedPageBreak/>
              <w:t>Output</w:t>
            </w:r>
            <w:r w:rsidR="000A5329" w:rsidRPr="002029AF">
              <w:t xml:space="preserve"> </w:t>
            </w:r>
            <w:r w:rsidRPr="002029AF">
              <w:t>group</w:t>
            </w:r>
            <w:r w:rsidR="000A5329" w:rsidRPr="002029AF">
              <w:t xml:space="preserve"> </w:t>
            </w:r>
            <w:r w:rsidRPr="002029AF">
              <w:rPr>
                <w:rStyle w:val="Superscript"/>
              </w:rPr>
              <w:t>(i)(ii)</w:t>
            </w:r>
          </w:p>
          <w:p w14:paraId="3356FBBF" w14:textId="4ADD1458" w:rsidR="00087B91" w:rsidRPr="002029AF" w:rsidRDefault="00087B91" w:rsidP="00860E95">
            <w:pPr>
              <w:pStyle w:val="ARfintablecolhead"/>
            </w:pPr>
            <w:r w:rsidRPr="002029AF">
              <w:t>2019</w:t>
            </w:r>
          </w:p>
        </w:tc>
        <w:tc>
          <w:tcPr>
            <w:tcW w:w="804" w:type="dxa"/>
            <w:tcBorders>
              <w:bottom w:val="single" w:sz="4" w:space="0" w:color="auto"/>
            </w:tcBorders>
            <w:hideMark/>
          </w:tcPr>
          <w:p w14:paraId="2B04A561" w14:textId="77777777" w:rsidR="00087B91" w:rsidRPr="002029AF" w:rsidRDefault="00087B91" w:rsidP="00860E95">
            <w:pPr>
              <w:pStyle w:val="ARfintablecolheadright"/>
              <w:ind w:right="0"/>
            </w:pPr>
            <w:r w:rsidRPr="002029AF">
              <w:t>1</w:t>
            </w:r>
          </w:p>
          <w:p w14:paraId="6C494FA7" w14:textId="77777777" w:rsidR="00087B91" w:rsidRPr="002029AF" w:rsidRDefault="00087B91" w:rsidP="00860E95">
            <w:pPr>
              <w:pStyle w:val="ARfintablecolheadright"/>
              <w:ind w:right="0"/>
            </w:pPr>
            <w:r w:rsidRPr="002029AF">
              <w:t>$M</w:t>
            </w:r>
          </w:p>
        </w:tc>
        <w:tc>
          <w:tcPr>
            <w:tcW w:w="632" w:type="dxa"/>
            <w:tcBorders>
              <w:bottom w:val="single" w:sz="4" w:space="0" w:color="auto"/>
            </w:tcBorders>
            <w:hideMark/>
          </w:tcPr>
          <w:p w14:paraId="5381BC91" w14:textId="77777777" w:rsidR="00087B91" w:rsidRPr="002029AF" w:rsidRDefault="00087B91" w:rsidP="00860E95">
            <w:pPr>
              <w:pStyle w:val="ARfintablecolheadright"/>
              <w:ind w:right="0"/>
            </w:pPr>
            <w:r w:rsidRPr="002029AF">
              <w:t>2</w:t>
            </w:r>
          </w:p>
          <w:p w14:paraId="332BED1B" w14:textId="77777777" w:rsidR="00087B91" w:rsidRPr="002029AF" w:rsidRDefault="00087B91" w:rsidP="00860E95">
            <w:pPr>
              <w:pStyle w:val="ARfintablecolheadright"/>
              <w:ind w:right="0"/>
            </w:pPr>
            <w:r w:rsidRPr="002029AF">
              <w:t>$M</w:t>
            </w:r>
          </w:p>
        </w:tc>
        <w:tc>
          <w:tcPr>
            <w:tcW w:w="632" w:type="dxa"/>
            <w:tcBorders>
              <w:bottom w:val="single" w:sz="4" w:space="0" w:color="auto"/>
            </w:tcBorders>
            <w:hideMark/>
          </w:tcPr>
          <w:p w14:paraId="3733E3E6" w14:textId="77777777" w:rsidR="00087B91" w:rsidRPr="002029AF" w:rsidRDefault="00087B91" w:rsidP="00860E95">
            <w:pPr>
              <w:pStyle w:val="ARfintablecolheadright"/>
              <w:ind w:right="0"/>
            </w:pPr>
            <w:r w:rsidRPr="002029AF">
              <w:t>3</w:t>
            </w:r>
          </w:p>
          <w:p w14:paraId="5CBAC625" w14:textId="77777777" w:rsidR="00087B91" w:rsidRPr="002029AF" w:rsidRDefault="00087B91" w:rsidP="00860E95">
            <w:pPr>
              <w:pStyle w:val="ARfintablecolheadright"/>
              <w:ind w:right="0"/>
            </w:pPr>
            <w:r w:rsidRPr="002029AF">
              <w:t>$M</w:t>
            </w:r>
          </w:p>
        </w:tc>
        <w:tc>
          <w:tcPr>
            <w:tcW w:w="631" w:type="dxa"/>
            <w:tcBorders>
              <w:bottom w:val="single" w:sz="4" w:space="0" w:color="auto"/>
            </w:tcBorders>
            <w:hideMark/>
          </w:tcPr>
          <w:p w14:paraId="0450603F" w14:textId="77777777" w:rsidR="00087B91" w:rsidRPr="002029AF" w:rsidRDefault="00087B91" w:rsidP="00860E95">
            <w:pPr>
              <w:pStyle w:val="ARfintablecolheadright"/>
              <w:ind w:right="0"/>
            </w:pPr>
            <w:r w:rsidRPr="002029AF">
              <w:t>4</w:t>
            </w:r>
          </w:p>
          <w:p w14:paraId="1A890C75" w14:textId="77777777" w:rsidR="00087B91" w:rsidRPr="002029AF" w:rsidRDefault="00087B91" w:rsidP="00860E95">
            <w:pPr>
              <w:pStyle w:val="ARfintablecolheadright"/>
              <w:ind w:right="0"/>
            </w:pPr>
            <w:r w:rsidRPr="002029AF">
              <w:t>$M</w:t>
            </w:r>
          </w:p>
        </w:tc>
        <w:tc>
          <w:tcPr>
            <w:tcW w:w="631" w:type="dxa"/>
            <w:tcBorders>
              <w:bottom w:val="single" w:sz="4" w:space="0" w:color="auto"/>
            </w:tcBorders>
            <w:hideMark/>
          </w:tcPr>
          <w:p w14:paraId="16AFA77E" w14:textId="77777777" w:rsidR="00087B91" w:rsidRPr="002029AF" w:rsidRDefault="00087B91" w:rsidP="00860E95">
            <w:pPr>
              <w:pStyle w:val="ARfintablecolheadright"/>
              <w:ind w:right="0"/>
            </w:pPr>
            <w:r w:rsidRPr="002029AF">
              <w:t>5</w:t>
            </w:r>
          </w:p>
          <w:p w14:paraId="6BB94F15" w14:textId="77777777" w:rsidR="00087B91" w:rsidRPr="002029AF" w:rsidRDefault="00087B91" w:rsidP="00860E95">
            <w:pPr>
              <w:pStyle w:val="ARfintablecolheadright"/>
              <w:ind w:right="0"/>
            </w:pPr>
            <w:r w:rsidRPr="002029AF">
              <w:t>$M</w:t>
            </w:r>
          </w:p>
        </w:tc>
        <w:tc>
          <w:tcPr>
            <w:tcW w:w="631" w:type="dxa"/>
            <w:tcBorders>
              <w:bottom w:val="single" w:sz="4" w:space="0" w:color="auto"/>
            </w:tcBorders>
            <w:hideMark/>
          </w:tcPr>
          <w:p w14:paraId="3F1BCF51" w14:textId="77777777" w:rsidR="00087B91" w:rsidRPr="002029AF" w:rsidRDefault="00087B91" w:rsidP="00860E95">
            <w:pPr>
              <w:pStyle w:val="ARfintablecolheadright"/>
              <w:ind w:right="0"/>
            </w:pPr>
            <w:r w:rsidRPr="002029AF">
              <w:t>6</w:t>
            </w:r>
          </w:p>
          <w:p w14:paraId="28ED257A" w14:textId="77777777" w:rsidR="00087B91" w:rsidRPr="002029AF" w:rsidRDefault="00087B91" w:rsidP="00860E95">
            <w:pPr>
              <w:pStyle w:val="ARfintablecolheadright"/>
              <w:ind w:right="0"/>
            </w:pPr>
            <w:r w:rsidRPr="002029AF">
              <w:t>$M</w:t>
            </w:r>
          </w:p>
        </w:tc>
        <w:tc>
          <w:tcPr>
            <w:tcW w:w="631" w:type="dxa"/>
            <w:tcBorders>
              <w:bottom w:val="single" w:sz="4" w:space="0" w:color="auto"/>
            </w:tcBorders>
            <w:hideMark/>
          </w:tcPr>
          <w:p w14:paraId="2CC38500" w14:textId="77777777" w:rsidR="00087B91" w:rsidRPr="002029AF" w:rsidRDefault="00087B91" w:rsidP="00860E95">
            <w:pPr>
              <w:pStyle w:val="ARfintablecolheadright"/>
              <w:ind w:right="0"/>
            </w:pPr>
            <w:r w:rsidRPr="002029AF">
              <w:t>7</w:t>
            </w:r>
          </w:p>
          <w:p w14:paraId="63D21602" w14:textId="77777777" w:rsidR="00087B91" w:rsidRPr="002029AF" w:rsidRDefault="00087B91" w:rsidP="00860E95">
            <w:pPr>
              <w:pStyle w:val="ARfintablecolheadright"/>
              <w:ind w:right="0"/>
            </w:pPr>
            <w:r w:rsidRPr="002029AF">
              <w:t>$M</w:t>
            </w:r>
          </w:p>
        </w:tc>
        <w:tc>
          <w:tcPr>
            <w:tcW w:w="695" w:type="dxa"/>
            <w:tcBorders>
              <w:bottom w:val="single" w:sz="4" w:space="0" w:color="auto"/>
            </w:tcBorders>
            <w:hideMark/>
          </w:tcPr>
          <w:p w14:paraId="0DA32FBC" w14:textId="77777777" w:rsidR="00087B91" w:rsidRPr="002029AF" w:rsidRDefault="00087B91" w:rsidP="00860E95">
            <w:pPr>
              <w:pStyle w:val="ARfintablecolheadright"/>
              <w:ind w:right="0"/>
            </w:pPr>
            <w:r w:rsidRPr="002029AF">
              <w:t>8</w:t>
            </w:r>
          </w:p>
          <w:p w14:paraId="486AED14" w14:textId="77777777" w:rsidR="00087B91" w:rsidRPr="002029AF" w:rsidRDefault="00087B91" w:rsidP="00860E95">
            <w:pPr>
              <w:pStyle w:val="ARfintablecolheadright"/>
              <w:ind w:right="0"/>
            </w:pPr>
            <w:r w:rsidRPr="002029AF">
              <w:t>$M</w:t>
            </w:r>
          </w:p>
        </w:tc>
        <w:tc>
          <w:tcPr>
            <w:tcW w:w="851" w:type="dxa"/>
            <w:tcBorders>
              <w:bottom w:val="single" w:sz="4" w:space="0" w:color="auto"/>
            </w:tcBorders>
            <w:hideMark/>
          </w:tcPr>
          <w:p w14:paraId="4915F16E" w14:textId="77777777" w:rsidR="00087B91" w:rsidRPr="002029AF" w:rsidRDefault="00087B91" w:rsidP="00860E95">
            <w:pPr>
              <w:pStyle w:val="ARfintablecolheadright"/>
              <w:ind w:right="0"/>
            </w:pPr>
            <w:r w:rsidRPr="002029AF">
              <w:t>9</w:t>
            </w:r>
          </w:p>
          <w:p w14:paraId="69DBE8A4" w14:textId="77777777" w:rsidR="00087B91" w:rsidRPr="002029AF" w:rsidRDefault="00087B91" w:rsidP="00860E95">
            <w:pPr>
              <w:pStyle w:val="ARfintablecolheadright"/>
              <w:ind w:right="0"/>
            </w:pPr>
            <w:r w:rsidRPr="002029AF">
              <w:t>$M</w:t>
            </w:r>
          </w:p>
        </w:tc>
        <w:tc>
          <w:tcPr>
            <w:tcW w:w="631" w:type="dxa"/>
            <w:tcBorders>
              <w:bottom w:val="single" w:sz="4" w:space="0" w:color="auto"/>
            </w:tcBorders>
            <w:hideMark/>
          </w:tcPr>
          <w:p w14:paraId="3478DA0F" w14:textId="77777777" w:rsidR="00087B91" w:rsidRPr="002029AF" w:rsidRDefault="00087B91" w:rsidP="00860E95">
            <w:pPr>
              <w:pStyle w:val="ARfintablecolheadright"/>
              <w:ind w:right="0"/>
            </w:pPr>
            <w:r w:rsidRPr="002029AF">
              <w:t>10</w:t>
            </w:r>
          </w:p>
          <w:p w14:paraId="1B523C4E" w14:textId="77777777" w:rsidR="00087B91" w:rsidRPr="002029AF" w:rsidRDefault="00087B91" w:rsidP="00860E95">
            <w:pPr>
              <w:pStyle w:val="ARfintablecolheadright"/>
              <w:ind w:right="0"/>
            </w:pPr>
            <w:r w:rsidRPr="002029AF">
              <w:t>$M</w:t>
            </w:r>
          </w:p>
        </w:tc>
        <w:tc>
          <w:tcPr>
            <w:tcW w:w="631" w:type="dxa"/>
            <w:tcBorders>
              <w:bottom w:val="single" w:sz="4" w:space="0" w:color="auto"/>
            </w:tcBorders>
            <w:hideMark/>
          </w:tcPr>
          <w:p w14:paraId="3CE0416C" w14:textId="77777777" w:rsidR="00087B91" w:rsidRPr="002029AF" w:rsidRDefault="00087B91" w:rsidP="00860E95">
            <w:pPr>
              <w:pStyle w:val="ARfintablecolheadright"/>
              <w:ind w:right="0"/>
            </w:pPr>
            <w:r w:rsidRPr="002029AF">
              <w:t>11</w:t>
            </w:r>
          </w:p>
          <w:p w14:paraId="023A91D9" w14:textId="77777777" w:rsidR="00087B91" w:rsidRPr="002029AF" w:rsidRDefault="00087B91" w:rsidP="00860E95">
            <w:pPr>
              <w:pStyle w:val="ARfintablecolheadright"/>
              <w:ind w:right="0"/>
            </w:pPr>
            <w:r w:rsidRPr="002029AF">
              <w:t>$M</w:t>
            </w:r>
          </w:p>
        </w:tc>
        <w:tc>
          <w:tcPr>
            <w:tcW w:w="631" w:type="dxa"/>
            <w:tcBorders>
              <w:bottom w:val="single" w:sz="4" w:space="0" w:color="auto"/>
            </w:tcBorders>
            <w:hideMark/>
          </w:tcPr>
          <w:p w14:paraId="1BF9DB7F" w14:textId="77777777" w:rsidR="00087B91" w:rsidRPr="002029AF" w:rsidRDefault="00087B91" w:rsidP="00860E95">
            <w:pPr>
              <w:pStyle w:val="ARfintablecolheadright"/>
              <w:ind w:right="0"/>
            </w:pPr>
            <w:r w:rsidRPr="002029AF">
              <w:t>12</w:t>
            </w:r>
          </w:p>
          <w:p w14:paraId="5B664A50" w14:textId="77777777" w:rsidR="00087B91" w:rsidRPr="002029AF" w:rsidRDefault="00087B91" w:rsidP="00860E95">
            <w:pPr>
              <w:pStyle w:val="ARfintablecolheadright"/>
              <w:ind w:right="0"/>
            </w:pPr>
            <w:r w:rsidRPr="002029AF">
              <w:t>$M</w:t>
            </w:r>
          </w:p>
        </w:tc>
        <w:tc>
          <w:tcPr>
            <w:tcW w:w="631" w:type="dxa"/>
            <w:tcBorders>
              <w:bottom w:val="single" w:sz="4" w:space="0" w:color="auto"/>
            </w:tcBorders>
            <w:hideMark/>
          </w:tcPr>
          <w:p w14:paraId="7E3DD239" w14:textId="77777777" w:rsidR="00087B91" w:rsidRPr="002029AF" w:rsidRDefault="00087B91" w:rsidP="00860E95">
            <w:pPr>
              <w:pStyle w:val="ARfintablecolheadright"/>
              <w:ind w:right="0"/>
            </w:pPr>
            <w:r w:rsidRPr="002029AF">
              <w:t>13</w:t>
            </w:r>
          </w:p>
          <w:p w14:paraId="24B6DBE1" w14:textId="77777777" w:rsidR="00087B91" w:rsidRPr="002029AF" w:rsidRDefault="00087B91" w:rsidP="00860E95">
            <w:pPr>
              <w:pStyle w:val="ARfintablecolheadright"/>
              <w:ind w:right="0"/>
            </w:pPr>
            <w:r w:rsidRPr="002029AF">
              <w:t>$M</w:t>
            </w:r>
          </w:p>
        </w:tc>
        <w:tc>
          <w:tcPr>
            <w:tcW w:w="631" w:type="dxa"/>
            <w:tcBorders>
              <w:bottom w:val="single" w:sz="4" w:space="0" w:color="auto"/>
            </w:tcBorders>
            <w:hideMark/>
          </w:tcPr>
          <w:p w14:paraId="161E144B" w14:textId="77777777" w:rsidR="00087B91" w:rsidRPr="002029AF" w:rsidRDefault="00087B91" w:rsidP="00860E95">
            <w:pPr>
              <w:pStyle w:val="ARfintablecolheadright"/>
              <w:ind w:right="0"/>
            </w:pPr>
            <w:r w:rsidRPr="002029AF">
              <w:t>14</w:t>
            </w:r>
          </w:p>
          <w:p w14:paraId="1AFD34A6" w14:textId="77777777" w:rsidR="00087B91" w:rsidRPr="002029AF" w:rsidRDefault="00087B91" w:rsidP="00860E95">
            <w:pPr>
              <w:pStyle w:val="ARfintablecolheadright"/>
              <w:ind w:right="0"/>
            </w:pPr>
            <w:r w:rsidRPr="002029AF">
              <w:t>$M</w:t>
            </w:r>
          </w:p>
        </w:tc>
        <w:tc>
          <w:tcPr>
            <w:tcW w:w="631" w:type="dxa"/>
            <w:tcBorders>
              <w:bottom w:val="single" w:sz="4" w:space="0" w:color="auto"/>
            </w:tcBorders>
            <w:hideMark/>
          </w:tcPr>
          <w:p w14:paraId="7ED98F01" w14:textId="77777777" w:rsidR="00087B91" w:rsidRPr="002029AF" w:rsidRDefault="00087B91" w:rsidP="00860E95">
            <w:pPr>
              <w:pStyle w:val="ARfintablecolheadright"/>
              <w:ind w:right="0"/>
            </w:pPr>
            <w:r w:rsidRPr="002029AF">
              <w:t>15</w:t>
            </w:r>
          </w:p>
          <w:p w14:paraId="7B501D3C" w14:textId="77777777" w:rsidR="00087B91" w:rsidRPr="002029AF" w:rsidRDefault="00087B91" w:rsidP="00860E95">
            <w:pPr>
              <w:pStyle w:val="ARfintablecolheadright"/>
              <w:ind w:right="0"/>
            </w:pPr>
            <w:r w:rsidRPr="002029AF">
              <w:t>$M</w:t>
            </w:r>
          </w:p>
        </w:tc>
        <w:tc>
          <w:tcPr>
            <w:tcW w:w="631" w:type="dxa"/>
            <w:tcBorders>
              <w:bottom w:val="single" w:sz="4" w:space="0" w:color="auto"/>
            </w:tcBorders>
            <w:hideMark/>
          </w:tcPr>
          <w:p w14:paraId="4B7E7B03" w14:textId="77777777" w:rsidR="00087B91" w:rsidRPr="002029AF" w:rsidRDefault="00087B91" w:rsidP="00860E95">
            <w:pPr>
              <w:pStyle w:val="ARfintablecolheadright"/>
              <w:ind w:right="0"/>
            </w:pPr>
            <w:r w:rsidRPr="002029AF">
              <w:t>16</w:t>
            </w:r>
          </w:p>
          <w:p w14:paraId="4E41F170" w14:textId="77777777" w:rsidR="00087B91" w:rsidRPr="002029AF" w:rsidRDefault="00087B91" w:rsidP="00860E95">
            <w:pPr>
              <w:pStyle w:val="ARfintablecolheadright"/>
              <w:ind w:right="0"/>
            </w:pPr>
            <w:r w:rsidRPr="002029AF">
              <w:t>$M</w:t>
            </w:r>
          </w:p>
        </w:tc>
        <w:tc>
          <w:tcPr>
            <w:tcW w:w="803" w:type="dxa"/>
            <w:tcBorders>
              <w:bottom w:val="single" w:sz="4" w:space="0" w:color="auto"/>
            </w:tcBorders>
            <w:hideMark/>
          </w:tcPr>
          <w:p w14:paraId="52D83D3D" w14:textId="77777777" w:rsidR="00087B91" w:rsidRPr="002029AF" w:rsidRDefault="00087B91" w:rsidP="00860E95">
            <w:pPr>
              <w:pStyle w:val="ARfintablecolheadright"/>
              <w:ind w:right="0"/>
            </w:pPr>
            <w:r w:rsidRPr="002029AF">
              <w:t>Total</w:t>
            </w:r>
          </w:p>
          <w:p w14:paraId="4CB2280C" w14:textId="77777777" w:rsidR="00087B91" w:rsidRPr="002029AF" w:rsidRDefault="00087B91" w:rsidP="00860E95">
            <w:pPr>
              <w:pStyle w:val="ARfintablecolheadright"/>
              <w:ind w:right="0"/>
            </w:pPr>
            <w:r w:rsidRPr="002029AF">
              <w:t>$M</w:t>
            </w:r>
          </w:p>
        </w:tc>
      </w:tr>
      <w:tr w:rsidR="00087B91" w:rsidRPr="002029AF" w14:paraId="574C6170" w14:textId="77777777" w:rsidTr="00C81A0B">
        <w:tc>
          <w:tcPr>
            <w:tcW w:w="14588" w:type="dxa"/>
            <w:gridSpan w:val="19"/>
            <w:tcBorders>
              <w:top w:val="single" w:sz="4" w:space="0" w:color="auto"/>
              <w:bottom w:val="single" w:sz="4" w:space="0" w:color="A6A6A6"/>
            </w:tcBorders>
            <w:hideMark/>
          </w:tcPr>
          <w:p w14:paraId="3559F658" w14:textId="13AC765B" w:rsidR="00087B91" w:rsidRPr="002029AF" w:rsidRDefault="00087B91" w:rsidP="00860E95">
            <w:pPr>
              <w:pStyle w:val="ARfintablebodybold"/>
              <w:ind w:right="0"/>
            </w:pPr>
            <w:r w:rsidRPr="002029AF">
              <w:t>Administered</w:t>
            </w:r>
            <w:r w:rsidR="000A5329" w:rsidRPr="002029AF">
              <w:t xml:space="preserve"> </w:t>
            </w:r>
            <w:r w:rsidRPr="002029AF">
              <w:t>income</w:t>
            </w:r>
            <w:r w:rsidR="000A5329" w:rsidRPr="002029AF">
              <w:t xml:space="preserve"> </w:t>
            </w:r>
            <w:r w:rsidRPr="002029AF">
              <w:t>from</w:t>
            </w:r>
            <w:r w:rsidR="000A5329" w:rsidRPr="002029AF">
              <w:t xml:space="preserve"> </w:t>
            </w:r>
            <w:r w:rsidRPr="002029AF">
              <w:t>transactions</w:t>
            </w:r>
          </w:p>
        </w:tc>
      </w:tr>
      <w:tr w:rsidR="00087B91" w:rsidRPr="002029AF" w14:paraId="31AA3935" w14:textId="77777777" w:rsidTr="00C81A0B">
        <w:trPr>
          <w:gridAfter w:val="1"/>
          <w:wAfter w:w="17" w:type="dxa"/>
        </w:trPr>
        <w:tc>
          <w:tcPr>
            <w:tcW w:w="3213" w:type="dxa"/>
            <w:tcBorders>
              <w:top w:val="single" w:sz="4" w:space="0" w:color="A6A6A6"/>
              <w:bottom w:val="single" w:sz="4" w:space="0" w:color="A6A6A6"/>
            </w:tcBorders>
            <w:hideMark/>
          </w:tcPr>
          <w:p w14:paraId="2842ECDE" w14:textId="280A0F70" w:rsidR="00087B91" w:rsidRPr="002029AF" w:rsidRDefault="00087B91" w:rsidP="00860E95">
            <w:pPr>
              <w:pStyle w:val="ARfintablebody"/>
            </w:pPr>
            <w:r w:rsidRPr="002029AF">
              <w:t>Commonwealth</w:t>
            </w:r>
            <w:r w:rsidR="000A5329" w:rsidRPr="002029AF">
              <w:t xml:space="preserve"> </w:t>
            </w:r>
            <w:r w:rsidRPr="002029AF">
              <w:t>contribution</w:t>
            </w:r>
            <w:r w:rsidR="000A5329" w:rsidRPr="002029AF">
              <w:t xml:space="preserve"> </w:t>
            </w:r>
            <w:r w:rsidRPr="002029AF">
              <w:t>to</w:t>
            </w:r>
            <w:r w:rsidR="000A5329" w:rsidRPr="002029AF">
              <w:t xml:space="preserve"> </w:t>
            </w:r>
            <w:r w:rsidRPr="002029AF">
              <w:t>the</w:t>
            </w:r>
            <w:r w:rsidR="000A5329" w:rsidRPr="002029AF">
              <w:t xml:space="preserve"> </w:t>
            </w:r>
            <w:r w:rsidRPr="002029AF">
              <w:t>national</w:t>
            </w:r>
            <w:r w:rsidR="000A5329" w:rsidRPr="002029AF">
              <w:t xml:space="preserve"> </w:t>
            </w:r>
            <w:r w:rsidRPr="002029AF">
              <w:t>health</w:t>
            </w:r>
            <w:r w:rsidR="000A5329" w:rsidRPr="002029AF">
              <w:t xml:space="preserve"> </w:t>
            </w:r>
            <w:r w:rsidRPr="002029AF">
              <w:t>reform</w:t>
            </w:r>
          </w:p>
        </w:tc>
        <w:tc>
          <w:tcPr>
            <w:tcW w:w="804" w:type="dxa"/>
            <w:tcBorders>
              <w:top w:val="single" w:sz="4" w:space="0" w:color="A6A6A6"/>
              <w:bottom w:val="single" w:sz="4" w:space="0" w:color="A6A6A6"/>
            </w:tcBorders>
            <w:noWrap/>
            <w:hideMark/>
          </w:tcPr>
          <w:p w14:paraId="2A85B8B2" w14:textId="77777777" w:rsidR="00087B91" w:rsidRPr="002029AF" w:rsidRDefault="00087B91" w:rsidP="00860E95">
            <w:pPr>
              <w:pStyle w:val="ARfintablebodyright"/>
              <w:ind w:right="0"/>
            </w:pPr>
            <w:r w:rsidRPr="002029AF">
              <w:t>4,337.5</w:t>
            </w:r>
          </w:p>
        </w:tc>
        <w:tc>
          <w:tcPr>
            <w:tcW w:w="632" w:type="dxa"/>
            <w:tcBorders>
              <w:top w:val="single" w:sz="4" w:space="0" w:color="A6A6A6"/>
              <w:bottom w:val="single" w:sz="4" w:space="0" w:color="A6A6A6"/>
            </w:tcBorders>
            <w:noWrap/>
            <w:hideMark/>
          </w:tcPr>
          <w:p w14:paraId="670B5968" w14:textId="77777777" w:rsidR="00087B91" w:rsidRPr="002029AF" w:rsidRDefault="00087B91" w:rsidP="00860E95">
            <w:pPr>
              <w:pStyle w:val="ARfintablebodyright"/>
              <w:ind w:right="0"/>
            </w:pPr>
            <w:r w:rsidRPr="002029AF">
              <w:t>–</w:t>
            </w:r>
          </w:p>
        </w:tc>
        <w:tc>
          <w:tcPr>
            <w:tcW w:w="632" w:type="dxa"/>
            <w:tcBorders>
              <w:top w:val="single" w:sz="4" w:space="0" w:color="A6A6A6"/>
              <w:bottom w:val="single" w:sz="4" w:space="0" w:color="A6A6A6"/>
            </w:tcBorders>
            <w:noWrap/>
            <w:hideMark/>
          </w:tcPr>
          <w:p w14:paraId="3971D554" w14:textId="77777777" w:rsidR="00087B91" w:rsidRPr="002029AF" w:rsidRDefault="00087B91" w:rsidP="00860E95">
            <w:pPr>
              <w:pStyle w:val="ARfintablebodyright"/>
              <w:ind w:right="0"/>
            </w:pPr>
            <w:r w:rsidRPr="002029AF">
              <w:t>561.3</w:t>
            </w:r>
          </w:p>
        </w:tc>
        <w:tc>
          <w:tcPr>
            <w:tcW w:w="631" w:type="dxa"/>
            <w:tcBorders>
              <w:top w:val="single" w:sz="4" w:space="0" w:color="A6A6A6"/>
              <w:bottom w:val="single" w:sz="4" w:space="0" w:color="A6A6A6"/>
            </w:tcBorders>
            <w:noWrap/>
            <w:hideMark/>
          </w:tcPr>
          <w:p w14:paraId="5F11DC98"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4B488E55"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398927EC" w14:textId="77777777" w:rsidR="00087B91" w:rsidRPr="002029AF" w:rsidRDefault="00087B91" w:rsidP="00860E95">
            <w:pPr>
              <w:pStyle w:val="ARfintablebodyright"/>
              <w:ind w:right="0"/>
            </w:pPr>
            <w:r w:rsidRPr="002029AF">
              <w:t>92.1</w:t>
            </w:r>
          </w:p>
        </w:tc>
        <w:tc>
          <w:tcPr>
            <w:tcW w:w="631" w:type="dxa"/>
            <w:tcBorders>
              <w:top w:val="single" w:sz="4" w:space="0" w:color="A6A6A6"/>
              <w:bottom w:val="single" w:sz="4" w:space="0" w:color="A6A6A6"/>
            </w:tcBorders>
            <w:noWrap/>
            <w:hideMark/>
          </w:tcPr>
          <w:p w14:paraId="5DCD68CA" w14:textId="77777777" w:rsidR="00087B91" w:rsidRPr="002029AF" w:rsidRDefault="00087B91" w:rsidP="00860E95">
            <w:pPr>
              <w:pStyle w:val="ARfintablebodyright"/>
              <w:ind w:right="0"/>
            </w:pPr>
            <w:r w:rsidRPr="002029AF">
              <w:t>105.3</w:t>
            </w:r>
          </w:p>
        </w:tc>
        <w:tc>
          <w:tcPr>
            <w:tcW w:w="695" w:type="dxa"/>
            <w:tcBorders>
              <w:top w:val="single" w:sz="4" w:space="0" w:color="A6A6A6"/>
              <w:bottom w:val="single" w:sz="4" w:space="0" w:color="A6A6A6"/>
            </w:tcBorders>
            <w:noWrap/>
            <w:hideMark/>
          </w:tcPr>
          <w:p w14:paraId="2C3A0857" w14:textId="77777777" w:rsidR="00087B91" w:rsidRPr="002029AF" w:rsidRDefault="00087B91" w:rsidP="00860E95">
            <w:pPr>
              <w:pStyle w:val="ARfintablebodyright"/>
              <w:ind w:right="0"/>
            </w:pPr>
            <w:r w:rsidRPr="002029AF">
              <w:t>–</w:t>
            </w:r>
          </w:p>
        </w:tc>
        <w:tc>
          <w:tcPr>
            <w:tcW w:w="851" w:type="dxa"/>
            <w:tcBorders>
              <w:top w:val="single" w:sz="4" w:space="0" w:color="A6A6A6"/>
              <w:bottom w:val="single" w:sz="4" w:space="0" w:color="A6A6A6"/>
            </w:tcBorders>
            <w:noWrap/>
            <w:hideMark/>
          </w:tcPr>
          <w:p w14:paraId="495ECE37"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551A014D"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61B0C156"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54F5DC54"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7712656B"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17C9B116"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2F9B4C2B"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73C5E9C8" w14:textId="77777777" w:rsidR="00087B91" w:rsidRPr="002029AF" w:rsidRDefault="00087B91" w:rsidP="00860E95">
            <w:pPr>
              <w:pStyle w:val="ARfintablebodyright"/>
              <w:ind w:right="0"/>
            </w:pPr>
            <w:r w:rsidRPr="002029AF">
              <w:t>–</w:t>
            </w:r>
          </w:p>
        </w:tc>
        <w:tc>
          <w:tcPr>
            <w:tcW w:w="803" w:type="dxa"/>
            <w:tcBorders>
              <w:top w:val="single" w:sz="4" w:space="0" w:color="A6A6A6"/>
              <w:bottom w:val="single" w:sz="4" w:space="0" w:color="A6A6A6"/>
            </w:tcBorders>
            <w:noWrap/>
            <w:hideMark/>
          </w:tcPr>
          <w:p w14:paraId="0AA68789" w14:textId="77777777" w:rsidR="00087B91" w:rsidRPr="002029AF" w:rsidRDefault="00087B91" w:rsidP="00860E95">
            <w:pPr>
              <w:pStyle w:val="ARfintablebodyright"/>
              <w:ind w:right="0"/>
            </w:pPr>
            <w:r w:rsidRPr="002029AF">
              <w:t>5,096.4</w:t>
            </w:r>
          </w:p>
        </w:tc>
      </w:tr>
      <w:tr w:rsidR="00087B91" w:rsidRPr="002029AF" w14:paraId="39E48B48" w14:textId="77777777" w:rsidTr="00C81A0B">
        <w:trPr>
          <w:gridAfter w:val="1"/>
          <w:wAfter w:w="17" w:type="dxa"/>
        </w:trPr>
        <w:tc>
          <w:tcPr>
            <w:tcW w:w="3213" w:type="dxa"/>
            <w:tcBorders>
              <w:top w:val="single" w:sz="4" w:space="0" w:color="A6A6A6"/>
              <w:bottom w:val="single" w:sz="4" w:space="0" w:color="A6A6A6"/>
            </w:tcBorders>
            <w:hideMark/>
          </w:tcPr>
          <w:p w14:paraId="6A61870F" w14:textId="470369AE" w:rsidR="00087B91" w:rsidRPr="002029AF" w:rsidRDefault="00087B91" w:rsidP="00860E95">
            <w:pPr>
              <w:pStyle w:val="ARfintablebody"/>
            </w:pPr>
            <w:r w:rsidRPr="002029AF">
              <w:t>State</w:t>
            </w:r>
            <w:r w:rsidR="000A5329" w:rsidRPr="002029AF">
              <w:t xml:space="preserve"> </w:t>
            </w:r>
            <w:r w:rsidRPr="002029AF">
              <w:t>contribution</w:t>
            </w:r>
            <w:r w:rsidR="000A5329" w:rsidRPr="002029AF">
              <w:t xml:space="preserve"> </w:t>
            </w:r>
            <w:r w:rsidRPr="002029AF">
              <w:t>to</w:t>
            </w:r>
            <w:r w:rsidR="000A5329" w:rsidRPr="002029AF">
              <w:t xml:space="preserve"> </w:t>
            </w:r>
            <w:r w:rsidRPr="002029AF">
              <w:t>the</w:t>
            </w:r>
            <w:r w:rsidR="000A5329" w:rsidRPr="002029AF">
              <w:t xml:space="preserve"> </w:t>
            </w:r>
            <w:r w:rsidRPr="002029AF">
              <w:t>national</w:t>
            </w:r>
            <w:r w:rsidR="000A5329" w:rsidRPr="002029AF">
              <w:t xml:space="preserve"> </w:t>
            </w:r>
            <w:r w:rsidRPr="002029AF">
              <w:t>health</w:t>
            </w:r>
            <w:r w:rsidR="000A5329" w:rsidRPr="002029AF">
              <w:t xml:space="preserve"> </w:t>
            </w:r>
            <w:r w:rsidRPr="002029AF">
              <w:t>reform</w:t>
            </w:r>
          </w:p>
        </w:tc>
        <w:tc>
          <w:tcPr>
            <w:tcW w:w="804" w:type="dxa"/>
            <w:tcBorders>
              <w:top w:val="single" w:sz="4" w:space="0" w:color="A6A6A6"/>
              <w:bottom w:val="single" w:sz="4" w:space="0" w:color="A6A6A6"/>
            </w:tcBorders>
            <w:noWrap/>
            <w:hideMark/>
          </w:tcPr>
          <w:p w14:paraId="3A873E5D" w14:textId="77777777" w:rsidR="00087B91" w:rsidRPr="002029AF" w:rsidRDefault="00087B91" w:rsidP="00860E95">
            <w:pPr>
              <w:pStyle w:val="ARfintablebodyright"/>
              <w:ind w:right="0"/>
            </w:pPr>
            <w:r w:rsidRPr="002029AF">
              <w:t>5,157.2</w:t>
            </w:r>
          </w:p>
        </w:tc>
        <w:tc>
          <w:tcPr>
            <w:tcW w:w="632" w:type="dxa"/>
            <w:tcBorders>
              <w:top w:val="single" w:sz="4" w:space="0" w:color="A6A6A6"/>
              <w:bottom w:val="single" w:sz="4" w:space="0" w:color="A6A6A6"/>
            </w:tcBorders>
            <w:noWrap/>
            <w:hideMark/>
          </w:tcPr>
          <w:p w14:paraId="71704F8C" w14:textId="77777777" w:rsidR="00087B91" w:rsidRPr="002029AF" w:rsidRDefault="00087B91" w:rsidP="00860E95">
            <w:pPr>
              <w:pStyle w:val="ARfintablebodyright"/>
              <w:ind w:right="0"/>
            </w:pPr>
            <w:r w:rsidRPr="002029AF">
              <w:t>–</w:t>
            </w:r>
          </w:p>
        </w:tc>
        <w:tc>
          <w:tcPr>
            <w:tcW w:w="632" w:type="dxa"/>
            <w:tcBorders>
              <w:top w:val="single" w:sz="4" w:space="0" w:color="A6A6A6"/>
              <w:bottom w:val="single" w:sz="4" w:space="0" w:color="A6A6A6"/>
            </w:tcBorders>
            <w:noWrap/>
            <w:hideMark/>
          </w:tcPr>
          <w:p w14:paraId="7CA89EEC" w14:textId="77777777" w:rsidR="00087B91" w:rsidRPr="002029AF" w:rsidRDefault="00087B91" w:rsidP="00860E95">
            <w:pPr>
              <w:pStyle w:val="ARfintablebodyright"/>
              <w:ind w:right="0"/>
            </w:pPr>
            <w:r w:rsidRPr="002029AF">
              <w:t>201.3</w:t>
            </w:r>
          </w:p>
        </w:tc>
        <w:tc>
          <w:tcPr>
            <w:tcW w:w="631" w:type="dxa"/>
            <w:tcBorders>
              <w:top w:val="single" w:sz="4" w:space="0" w:color="A6A6A6"/>
              <w:bottom w:val="single" w:sz="4" w:space="0" w:color="A6A6A6"/>
            </w:tcBorders>
            <w:noWrap/>
            <w:hideMark/>
          </w:tcPr>
          <w:p w14:paraId="6BE5C7AE"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692A5977"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18B722CB"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44BE8330" w14:textId="77777777" w:rsidR="00087B91" w:rsidRPr="002029AF" w:rsidRDefault="00087B91" w:rsidP="00860E95">
            <w:pPr>
              <w:pStyle w:val="ARfintablebodyright"/>
              <w:ind w:right="0"/>
            </w:pPr>
            <w:r w:rsidRPr="002029AF">
              <w:t>–</w:t>
            </w:r>
          </w:p>
        </w:tc>
        <w:tc>
          <w:tcPr>
            <w:tcW w:w="695" w:type="dxa"/>
            <w:tcBorders>
              <w:top w:val="single" w:sz="4" w:space="0" w:color="A6A6A6"/>
              <w:bottom w:val="single" w:sz="4" w:space="0" w:color="A6A6A6"/>
            </w:tcBorders>
            <w:noWrap/>
            <w:hideMark/>
          </w:tcPr>
          <w:p w14:paraId="5BBBA02D" w14:textId="77777777" w:rsidR="00087B91" w:rsidRPr="002029AF" w:rsidRDefault="00087B91" w:rsidP="00860E95">
            <w:pPr>
              <w:pStyle w:val="ARfintablebodyright"/>
              <w:ind w:right="0"/>
            </w:pPr>
            <w:r w:rsidRPr="002029AF">
              <w:t>–</w:t>
            </w:r>
          </w:p>
        </w:tc>
        <w:tc>
          <w:tcPr>
            <w:tcW w:w="851" w:type="dxa"/>
            <w:tcBorders>
              <w:top w:val="single" w:sz="4" w:space="0" w:color="A6A6A6"/>
              <w:bottom w:val="single" w:sz="4" w:space="0" w:color="A6A6A6"/>
            </w:tcBorders>
            <w:noWrap/>
            <w:hideMark/>
          </w:tcPr>
          <w:p w14:paraId="47FCD316"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493ACCAE"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6FCB194F"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5D96CD54"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7D50036D"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01A06CBB"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0277E66E"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4CCFA8AF" w14:textId="77777777" w:rsidR="00087B91" w:rsidRPr="002029AF" w:rsidRDefault="00087B91" w:rsidP="00860E95">
            <w:pPr>
              <w:pStyle w:val="ARfintablebodyright"/>
              <w:ind w:right="0"/>
            </w:pPr>
            <w:r w:rsidRPr="002029AF">
              <w:t>–</w:t>
            </w:r>
          </w:p>
        </w:tc>
        <w:tc>
          <w:tcPr>
            <w:tcW w:w="803" w:type="dxa"/>
            <w:tcBorders>
              <w:top w:val="single" w:sz="4" w:space="0" w:color="A6A6A6"/>
              <w:bottom w:val="single" w:sz="4" w:space="0" w:color="A6A6A6"/>
            </w:tcBorders>
            <w:noWrap/>
            <w:hideMark/>
          </w:tcPr>
          <w:p w14:paraId="558712AE" w14:textId="77777777" w:rsidR="00087B91" w:rsidRPr="002029AF" w:rsidRDefault="00087B91" w:rsidP="00860E95">
            <w:pPr>
              <w:pStyle w:val="ARfintablebodyright"/>
              <w:ind w:right="0"/>
            </w:pPr>
            <w:r w:rsidRPr="002029AF">
              <w:t>5,358.4</w:t>
            </w:r>
          </w:p>
        </w:tc>
      </w:tr>
      <w:tr w:rsidR="00087B91" w:rsidRPr="002029AF" w14:paraId="1D2BCFD4" w14:textId="77777777" w:rsidTr="00C81A0B">
        <w:trPr>
          <w:gridAfter w:val="1"/>
          <w:wAfter w:w="17" w:type="dxa"/>
        </w:trPr>
        <w:tc>
          <w:tcPr>
            <w:tcW w:w="3213" w:type="dxa"/>
            <w:tcBorders>
              <w:top w:val="single" w:sz="4" w:space="0" w:color="A6A6A6"/>
              <w:bottom w:val="single" w:sz="4" w:space="0" w:color="A6A6A6"/>
            </w:tcBorders>
            <w:hideMark/>
          </w:tcPr>
          <w:p w14:paraId="0FC01C7B" w14:textId="42E8484F" w:rsidR="00087B91" w:rsidRPr="002029AF" w:rsidRDefault="00087B91" w:rsidP="00860E95">
            <w:pPr>
              <w:pStyle w:val="ARfintablebody"/>
            </w:pPr>
            <w:r w:rsidRPr="002029AF">
              <w:t>State</w:t>
            </w:r>
            <w:r w:rsidR="000A5329" w:rsidRPr="002029AF">
              <w:t xml:space="preserve"> </w:t>
            </w:r>
            <w:r w:rsidRPr="002029AF">
              <w:t>contribution</w:t>
            </w:r>
            <w:r w:rsidR="000A5329" w:rsidRPr="002029AF">
              <w:t xml:space="preserve"> </w:t>
            </w:r>
            <w:r w:rsidRPr="002029AF">
              <w:t>to</w:t>
            </w:r>
            <w:r w:rsidR="000A5329" w:rsidRPr="002029AF">
              <w:t xml:space="preserve"> </w:t>
            </w:r>
            <w:r w:rsidRPr="002029AF">
              <w:t>the</w:t>
            </w:r>
            <w:r w:rsidR="000A5329" w:rsidRPr="002029AF">
              <w:t xml:space="preserve"> </w:t>
            </w:r>
            <w:r w:rsidRPr="002029AF">
              <w:t>National</w:t>
            </w:r>
            <w:r w:rsidR="000A5329" w:rsidRPr="002029AF">
              <w:t xml:space="preserve"> </w:t>
            </w:r>
            <w:r w:rsidRPr="002029AF">
              <w:t>Disability</w:t>
            </w:r>
            <w:r w:rsidR="000A5329" w:rsidRPr="002029AF">
              <w:t xml:space="preserve"> </w:t>
            </w:r>
            <w:r w:rsidRPr="002029AF">
              <w:t>Insurance</w:t>
            </w:r>
            <w:r w:rsidR="000A5329" w:rsidRPr="002029AF">
              <w:t xml:space="preserve"> </w:t>
            </w:r>
            <w:r w:rsidRPr="002029AF">
              <w:t>Agency</w:t>
            </w:r>
          </w:p>
        </w:tc>
        <w:tc>
          <w:tcPr>
            <w:tcW w:w="804" w:type="dxa"/>
            <w:tcBorders>
              <w:top w:val="single" w:sz="4" w:space="0" w:color="A6A6A6"/>
              <w:bottom w:val="single" w:sz="4" w:space="0" w:color="A6A6A6"/>
            </w:tcBorders>
            <w:noWrap/>
            <w:hideMark/>
          </w:tcPr>
          <w:p w14:paraId="58114D8F" w14:textId="77777777" w:rsidR="00087B91" w:rsidRPr="002029AF" w:rsidRDefault="00087B91" w:rsidP="00860E95">
            <w:pPr>
              <w:pStyle w:val="ARfintablebodyright"/>
              <w:ind w:right="0"/>
            </w:pPr>
            <w:r w:rsidRPr="002029AF">
              <w:t>–</w:t>
            </w:r>
          </w:p>
        </w:tc>
        <w:tc>
          <w:tcPr>
            <w:tcW w:w="632" w:type="dxa"/>
            <w:tcBorders>
              <w:top w:val="single" w:sz="4" w:space="0" w:color="A6A6A6"/>
              <w:bottom w:val="single" w:sz="4" w:space="0" w:color="A6A6A6"/>
            </w:tcBorders>
            <w:noWrap/>
            <w:hideMark/>
          </w:tcPr>
          <w:p w14:paraId="2AD94D9A" w14:textId="77777777" w:rsidR="00087B91" w:rsidRPr="002029AF" w:rsidRDefault="00087B91" w:rsidP="00860E95">
            <w:pPr>
              <w:pStyle w:val="ARfintablebodyright"/>
              <w:ind w:right="0"/>
            </w:pPr>
            <w:r w:rsidRPr="002029AF">
              <w:t>–</w:t>
            </w:r>
          </w:p>
        </w:tc>
        <w:tc>
          <w:tcPr>
            <w:tcW w:w="632" w:type="dxa"/>
            <w:tcBorders>
              <w:top w:val="single" w:sz="4" w:space="0" w:color="A6A6A6"/>
              <w:bottom w:val="single" w:sz="4" w:space="0" w:color="A6A6A6"/>
            </w:tcBorders>
            <w:noWrap/>
            <w:hideMark/>
          </w:tcPr>
          <w:p w14:paraId="6D82E0F0"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50FC48C7"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7980E237"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607355B5"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43ABF92A" w14:textId="77777777" w:rsidR="00087B91" w:rsidRPr="002029AF" w:rsidRDefault="00087B91" w:rsidP="00860E95">
            <w:pPr>
              <w:pStyle w:val="ARfintablebodyright"/>
              <w:ind w:right="0"/>
            </w:pPr>
            <w:r w:rsidRPr="002029AF">
              <w:t>–</w:t>
            </w:r>
          </w:p>
        </w:tc>
        <w:tc>
          <w:tcPr>
            <w:tcW w:w="695" w:type="dxa"/>
            <w:tcBorders>
              <w:top w:val="single" w:sz="4" w:space="0" w:color="A6A6A6"/>
              <w:bottom w:val="single" w:sz="4" w:space="0" w:color="A6A6A6"/>
            </w:tcBorders>
            <w:noWrap/>
            <w:hideMark/>
          </w:tcPr>
          <w:p w14:paraId="37829620" w14:textId="77777777" w:rsidR="00087B91" w:rsidRPr="002029AF" w:rsidRDefault="00087B91" w:rsidP="00860E95">
            <w:pPr>
              <w:pStyle w:val="ARfintablebodyright"/>
              <w:ind w:right="0"/>
            </w:pPr>
            <w:r w:rsidRPr="002029AF">
              <w:t>–</w:t>
            </w:r>
          </w:p>
        </w:tc>
        <w:tc>
          <w:tcPr>
            <w:tcW w:w="851" w:type="dxa"/>
            <w:tcBorders>
              <w:top w:val="single" w:sz="4" w:space="0" w:color="A6A6A6"/>
              <w:bottom w:val="single" w:sz="4" w:space="0" w:color="A6A6A6"/>
            </w:tcBorders>
            <w:noWrap/>
            <w:hideMark/>
          </w:tcPr>
          <w:p w14:paraId="27C6299C" w14:textId="77777777" w:rsidR="00087B91" w:rsidRPr="002029AF" w:rsidRDefault="00087B91" w:rsidP="00860E95">
            <w:pPr>
              <w:pStyle w:val="ARfintablebodyright"/>
              <w:ind w:right="0"/>
            </w:pPr>
            <w:r w:rsidRPr="002029AF">
              <w:t>909.4</w:t>
            </w:r>
          </w:p>
        </w:tc>
        <w:tc>
          <w:tcPr>
            <w:tcW w:w="631" w:type="dxa"/>
            <w:tcBorders>
              <w:top w:val="single" w:sz="4" w:space="0" w:color="A6A6A6"/>
              <w:bottom w:val="single" w:sz="4" w:space="0" w:color="A6A6A6"/>
            </w:tcBorders>
            <w:noWrap/>
            <w:hideMark/>
          </w:tcPr>
          <w:p w14:paraId="7837134B"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73EC2B57"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464795A0"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4344000E"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22C2E644"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2A0875A1"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21955A70" w14:textId="77777777" w:rsidR="00087B91" w:rsidRPr="002029AF" w:rsidRDefault="00087B91" w:rsidP="00860E95">
            <w:pPr>
              <w:pStyle w:val="ARfintablebodyright"/>
              <w:ind w:right="0"/>
            </w:pPr>
            <w:r w:rsidRPr="002029AF">
              <w:t>–</w:t>
            </w:r>
          </w:p>
        </w:tc>
        <w:tc>
          <w:tcPr>
            <w:tcW w:w="803" w:type="dxa"/>
            <w:tcBorders>
              <w:top w:val="single" w:sz="4" w:space="0" w:color="A6A6A6"/>
              <w:bottom w:val="single" w:sz="4" w:space="0" w:color="A6A6A6"/>
            </w:tcBorders>
            <w:noWrap/>
            <w:hideMark/>
          </w:tcPr>
          <w:p w14:paraId="79BB2FF5" w14:textId="77777777" w:rsidR="00087B91" w:rsidRPr="002029AF" w:rsidRDefault="00087B91" w:rsidP="00860E95">
            <w:pPr>
              <w:pStyle w:val="ARfintablebodyright"/>
              <w:ind w:right="0"/>
            </w:pPr>
            <w:r w:rsidRPr="002029AF">
              <w:t>909.4</w:t>
            </w:r>
          </w:p>
        </w:tc>
      </w:tr>
      <w:tr w:rsidR="00087B91" w:rsidRPr="002029AF" w14:paraId="763A7793" w14:textId="77777777" w:rsidTr="00C81A0B">
        <w:trPr>
          <w:gridAfter w:val="1"/>
          <w:wAfter w:w="17" w:type="dxa"/>
        </w:trPr>
        <w:tc>
          <w:tcPr>
            <w:tcW w:w="3213" w:type="dxa"/>
            <w:tcBorders>
              <w:top w:val="single" w:sz="4" w:space="0" w:color="A6A6A6"/>
              <w:bottom w:val="single" w:sz="4" w:space="0" w:color="A6A6A6"/>
            </w:tcBorders>
            <w:hideMark/>
          </w:tcPr>
          <w:p w14:paraId="34D0BB61" w14:textId="5B15540E" w:rsidR="00087B91" w:rsidRPr="002029AF" w:rsidRDefault="00087B91" w:rsidP="00860E95">
            <w:pPr>
              <w:pStyle w:val="ARfintablebody"/>
            </w:pPr>
            <w:r w:rsidRPr="002029AF">
              <w:t>Commonwealth</w:t>
            </w:r>
            <w:r w:rsidR="000A5329" w:rsidRPr="002029AF">
              <w:t xml:space="preserve"> </w:t>
            </w:r>
            <w:r w:rsidRPr="002029AF">
              <w:t>grants</w:t>
            </w:r>
          </w:p>
        </w:tc>
        <w:tc>
          <w:tcPr>
            <w:tcW w:w="804" w:type="dxa"/>
            <w:tcBorders>
              <w:top w:val="single" w:sz="4" w:space="0" w:color="A6A6A6"/>
              <w:bottom w:val="single" w:sz="4" w:space="0" w:color="A6A6A6"/>
            </w:tcBorders>
            <w:noWrap/>
            <w:hideMark/>
          </w:tcPr>
          <w:p w14:paraId="46B13707" w14:textId="77777777" w:rsidR="00087B91" w:rsidRPr="002029AF" w:rsidRDefault="00087B91" w:rsidP="00860E95">
            <w:pPr>
              <w:pStyle w:val="ARfintablebodyright"/>
              <w:ind w:right="0"/>
            </w:pPr>
            <w:r w:rsidRPr="002029AF">
              <w:t>10.0</w:t>
            </w:r>
          </w:p>
        </w:tc>
        <w:tc>
          <w:tcPr>
            <w:tcW w:w="632" w:type="dxa"/>
            <w:tcBorders>
              <w:top w:val="single" w:sz="4" w:space="0" w:color="A6A6A6"/>
              <w:bottom w:val="single" w:sz="4" w:space="0" w:color="A6A6A6"/>
            </w:tcBorders>
            <w:noWrap/>
            <w:hideMark/>
          </w:tcPr>
          <w:p w14:paraId="1798E9A0" w14:textId="77777777" w:rsidR="00087B91" w:rsidRPr="002029AF" w:rsidRDefault="00087B91" w:rsidP="00860E95">
            <w:pPr>
              <w:pStyle w:val="ARfintablebodyright"/>
              <w:ind w:right="0"/>
            </w:pPr>
            <w:r w:rsidRPr="002029AF">
              <w:t>–</w:t>
            </w:r>
          </w:p>
        </w:tc>
        <w:tc>
          <w:tcPr>
            <w:tcW w:w="632" w:type="dxa"/>
            <w:tcBorders>
              <w:top w:val="single" w:sz="4" w:space="0" w:color="A6A6A6"/>
              <w:bottom w:val="single" w:sz="4" w:space="0" w:color="A6A6A6"/>
            </w:tcBorders>
            <w:noWrap/>
            <w:hideMark/>
          </w:tcPr>
          <w:p w14:paraId="6047700C" w14:textId="77777777" w:rsidR="00087B91" w:rsidRPr="002029AF" w:rsidRDefault="00087B91" w:rsidP="00860E95">
            <w:pPr>
              <w:pStyle w:val="ARfintablebodyright"/>
              <w:ind w:right="0"/>
            </w:pPr>
            <w:r w:rsidRPr="002029AF">
              <w:t>1.2</w:t>
            </w:r>
          </w:p>
        </w:tc>
        <w:tc>
          <w:tcPr>
            <w:tcW w:w="631" w:type="dxa"/>
            <w:tcBorders>
              <w:top w:val="single" w:sz="4" w:space="0" w:color="A6A6A6"/>
              <w:bottom w:val="single" w:sz="4" w:space="0" w:color="A6A6A6"/>
            </w:tcBorders>
            <w:noWrap/>
            <w:hideMark/>
          </w:tcPr>
          <w:p w14:paraId="2FA25CCB" w14:textId="77777777" w:rsidR="00087B91" w:rsidRPr="002029AF" w:rsidRDefault="00087B91" w:rsidP="00860E95">
            <w:pPr>
              <w:pStyle w:val="ARfintablebodyright"/>
              <w:ind w:right="0"/>
            </w:pPr>
            <w:r w:rsidRPr="002029AF">
              <w:t>68.9</w:t>
            </w:r>
          </w:p>
        </w:tc>
        <w:tc>
          <w:tcPr>
            <w:tcW w:w="631" w:type="dxa"/>
            <w:tcBorders>
              <w:top w:val="single" w:sz="4" w:space="0" w:color="A6A6A6"/>
              <w:bottom w:val="single" w:sz="4" w:space="0" w:color="A6A6A6"/>
            </w:tcBorders>
            <w:noWrap/>
            <w:hideMark/>
          </w:tcPr>
          <w:p w14:paraId="02CEA8D3"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4D2F484B"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29F55472" w14:textId="77777777" w:rsidR="00087B91" w:rsidRPr="002029AF" w:rsidRDefault="00087B91" w:rsidP="00860E95">
            <w:pPr>
              <w:pStyle w:val="ARfintablebodyright"/>
              <w:ind w:right="0"/>
            </w:pPr>
            <w:r w:rsidRPr="002029AF">
              <w:t>0.1</w:t>
            </w:r>
          </w:p>
        </w:tc>
        <w:tc>
          <w:tcPr>
            <w:tcW w:w="695" w:type="dxa"/>
            <w:tcBorders>
              <w:top w:val="single" w:sz="4" w:space="0" w:color="A6A6A6"/>
              <w:bottom w:val="single" w:sz="4" w:space="0" w:color="A6A6A6"/>
            </w:tcBorders>
            <w:noWrap/>
            <w:hideMark/>
          </w:tcPr>
          <w:p w14:paraId="43B552CF" w14:textId="77777777" w:rsidR="00087B91" w:rsidRPr="002029AF" w:rsidRDefault="00087B91" w:rsidP="00860E95">
            <w:pPr>
              <w:pStyle w:val="ARfintablebodyright"/>
              <w:ind w:right="0"/>
            </w:pPr>
            <w:r w:rsidRPr="002029AF">
              <w:t>–</w:t>
            </w:r>
          </w:p>
        </w:tc>
        <w:tc>
          <w:tcPr>
            <w:tcW w:w="851" w:type="dxa"/>
            <w:tcBorders>
              <w:top w:val="single" w:sz="4" w:space="0" w:color="A6A6A6"/>
              <w:bottom w:val="single" w:sz="4" w:space="0" w:color="A6A6A6"/>
            </w:tcBorders>
            <w:noWrap/>
            <w:hideMark/>
          </w:tcPr>
          <w:p w14:paraId="1E36AE49" w14:textId="77777777" w:rsidR="00087B91" w:rsidRPr="002029AF" w:rsidRDefault="00087B91" w:rsidP="00860E95">
            <w:pPr>
              <w:pStyle w:val="ARfintablebodyright"/>
              <w:ind w:right="0"/>
            </w:pPr>
            <w:r w:rsidRPr="002029AF">
              <w:t>4.9</w:t>
            </w:r>
          </w:p>
        </w:tc>
        <w:tc>
          <w:tcPr>
            <w:tcW w:w="631" w:type="dxa"/>
            <w:tcBorders>
              <w:top w:val="single" w:sz="4" w:space="0" w:color="A6A6A6"/>
              <w:bottom w:val="single" w:sz="4" w:space="0" w:color="A6A6A6"/>
            </w:tcBorders>
            <w:noWrap/>
            <w:hideMark/>
          </w:tcPr>
          <w:p w14:paraId="32C8ED41" w14:textId="77777777" w:rsidR="00087B91" w:rsidRPr="002029AF" w:rsidRDefault="00087B91" w:rsidP="00860E95">
            <w:pPr>
              <w:pStyle w:val="ARfintablebodyright"/>
              <w:ind w:right="0"/>
            </w:pPr>
            <w:r w:rsidRPr="002029AF">
              <w:t>1.6</w:t>
            </w:r>
          </w:p>
        </w:tc>
        <w:tc>
          <w:tcPr>
            <w:tcW w:w="631" w:type="dxa"/>
            <w:tcBorders>
              <w:top w:val="single" w:sz="4" w:space="0" w:color="A6A6A6"/>
              <w:bottom w:val="single" w:sz="4" w:space="0" w:color="A6A6A6"/>
            </w:tcBorders>
            <w:noWrap/>
            <w:hideMark/>
          </w:tcPr>
          <w:p w14:paraId="61429C12"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536A46FD"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2F3239B1"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34DC16B7"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7A603508"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57DF69D8" w14:textId="77777777" w:rsidR="00087B91" w:rsidRPr="002029AF" w:rsidRDefault="00087B91" w:rsidP="00860E95">
            <w:pPr>
              <w:pStyle w:val="ARfintablebodyright"/>
              <w:ind w:right="0"/>
            </w:pPr>
            <w:r w:rsidRPr="002029AF">
              <w:t>–</w:t>
            </w:r>
          </w:p>
        </w:tc>
        <w:tc>
          <w:tcPr>
            <w:tcW w:w="803" w:type="dxa"/>
            <w:tcBorders>
              <w:top w:val="single" w:sz="4" w:space="0" w:color="A6A6A6"/>
              <w:bottom w:val="single" w:sz="4" w:space="0" w:color="A6A6A6"/>
            </w:tcBorders>
            <w:noWrap/>
            <w:hideMark/>
          </w:tcPr>
          <w:p w14:paraId="30EC59B6" w14:textId="77777777" w:rsidR="00087B91" w:rsidRPr="002029AF" w:rsidRDefault="00087B91" w:rsidP="00860E95">
            <w:pPr>
              <w:pStyle w:val="ARfintablebodyright"/>
              <w:ind w:right="0"/>
            </w:pPr>
            <w:r w:rsidRPr="002029AF">
              <w:t>86.6</w:t>
            </w:r>
          </w:p>
        </w:tc>
      </w:tr>
      <w:tr w:rsidR="00087B91" w:rsidRPr="002029AF" w14:paraId="395C71A7" w14:textId="77777777" w:rsidTr="00C81A0B">
        <w:trPr>
          <w:gridAfter w:val="1"/>
          <w:wAfter w:w="17" w:type="dxa"/>
        </w:trPr>
        <w:tc>
          <w:tcPr>
            <w:tcW w:w="3213" w:type="dxa"/>
            <w:tcBorders>
              <w:top w:val="single" w:sz="4" w:space="0" w:color="A6A6A6"/>
              <w:bottom w:val="single" w:sz="4" w:space="0" w:color="A6A6A6"/>
            </w:tcBorders>
            <w:hideMark/>
          </w:tcPr>
          <w:p w14:paraId="3C0A4826" w14:textId="637CFDA0" w:rsidR="00087B91" w:rsidRPr="002029AF" w:rsidRDefault="00087B91" w:rsidP="00860E95">
            <w:pPr>
              <w:pStyle w:val="ARfintablebody"/>
            </w:pPr>
            <w:r w:rsidRPr="002029AF">
              <w:t>Sales</w:t>
            </w:r>
            <w:r w:rsidR="000A5329" w:rsidRPr="002029AF">
              <w:t xml:space="preserve"> </w:t>
            </w:r>
            <w:r w:rsidRPr="002029AF">
              <w:t>of</w:t>
            </w:r>
            <w:r w:rsidR="000A5329" w:rsidRPr="002029AF">
              <w:t xml:space="preserve"> </w:t>
            </w:r>
            <w:r w:rsidRPr="002029AF">
              <w:t>goods</w:t>
            </w:r>
            <w:r w:rsidR="000A5329" w:rsidRPr="002029AF">
              <w:t xml:space="preserve"> </w:t>
            </w:r>
            <w:r w:rsidRPr="002029AF">
              <w:t>and</w:t>
            </w:r>
            <w:r w:rsidR="000A5329" w:rsidRPr="002029AF">
              <w:t xml:space="preserve"> </w:t>
            </w:r>
            <w:r w:rsidRPr="002029AF">
              <w:t>services</w:t>
            </w:r>
          </w:p>
        </w:tc>
        <w:tc>
          <w:tcPr>
            <w:tcW w:w="804" w:type="dxa"/>
            <w:tcBorders>
              <w:top w:val="single" w:sz="4" w:space="0" w:color="A6A6A6"/>
              <w:bottom w:val="single" w:sz="4" w:space="0" w:color="A6A6A6"/>
            </w:tcBorders>
            <w:noWrap/>
            <w:hideMark/>
          </w:tcPr>
          <w:p w14:paraId="717EBC7C" w14:textId="77777777" w:rsidR="00087B91" w:rsidRPr="002029AF" w:rsidRDefault="00087B91" w:rsidP="00860E95">
            <w:pPr>
              <w:pStyle w:val="ARfintablebodyright"/>
              <w:ind w:right="0"/>
            </w:pPr>
            <w:r w:rsidRPr="002029AF">
              <w:t>272.3</w:t>
            </w:r>
          </w:p>
        </w:tc>
        <w:tc>
          <w:tcPr>
            <w:tcW w:w="632" w:type="dxa"/>
            <w:tcBorders>
              <w:top w:val="single" w:sz="4" w:space="0" w:color="A6A6A6"/>
              <w:bottom w:val="single" w:sz="4" w:space="0" w:color="A6A6A6"/>
            </w:tcBorders>
            <w:noWrap/>
            <w:hideMark/>
          </w:tcPr>
          <w:p w14:paraId="2611C35B" w14:textId="77777777" w:rsidR="00087B91" w:rsidRPr="002029AF" w:rsidRDefault="00087B91" w:rsidP="00860E95">
            <w:pPr>
              <w:pStyle w:val="ARfintablebodyright"/>
              <w:ind w:right="0"/>
            </w:pPr>
            <w:r w:rsidRPr="002029AF">
              <w:t>–</w:t>
            </w:r>
          </w:p>
        </w:tc>
        <w:tc>
          <w:tcPr>
            <w:tcW w:w="632" w:type="dxa"/>
            <w:tcBorders>
              <w:top w:val="single" w:sz="4" w:space="0" w:color="A6A6A6"/>
              <w:bottom w:val="single" w:sz="4" w:space="0" w:color="A6A6A6"/>
            </w:tcBorders>
            <w:noWrap/>
            <w:hideMark/>
          </w:tcPr>
          <w:p w14:paraId="12803987" w14:textId="77777777" w:rsidR="00087B91" w:rsidRPr="002029AF" w:rsidRDefault="00087B91" w:rsidP="00860E95">
            <w:pPr>
              <w:pStyle w:val="ARfintablebodyright"/>
              <w:ind w:right="0"/>
            </w:pPr>
            <w:r w:rsidRPr="002029AF">
              <w:t>14.0</w:t>
            </w:r>
          </w:p>
        </w:tc>
        <w:tc>
          <w:tcPr>
            <w:tcW w:w="631" w:type="dxa"/>
            <w:tcBorders>
              <w:top w:val="single" w:sz="4" w:space="0" w:color="A6A6A6"/>
              <w:bottom w:val="single" w:sz="4" w:space="0" w:color="A6A6A6"/>
            </w:tcBorders>
            <w:noWrap/>
            <w:hideMark/>
          </w:tcPr>
          <w:p w14:paraId="5C2B9DBF" w14:textId="77777777" w:rsidR="00087B91" w:rsidRPr="002029AF" w:rsidRDefault="00087B91" w:rsidP="00860E95">
            <w:pPr>
              <w:pStyle w:val="ARfintablebodyright"/>
              <w:ind w:right="0"/>
            </w:pPr>
            <w:r w:rsidRPr="002029AF">
              <w:t>0.9</w:t>
            </w:r>
          </w:p>
        </w:tc>
        <w:tc>
          <w:tcPr>
            <w:tcW w:w="631" w:type="dxa"/>
            <w:tcBorders>
              <w:top w:val="single" w:sz="4" w:space="0" w:color="A6A6A6"/>
              <w:bottom w:val="single" w:sz="4" w:space="0" w:color="A6A6A6"/>
            </w:tcBorders>
            <w:noWrap/>
            <w:hideMark/>
          </w:tcPr>
          <w:p w14:paraId="104FA0F3" w14:textId="77777777" w:rsidR="00087B91" w:rsidRPr="002029AF" w:rsidRDefault="00087B91" w:rsidP="00860E95">
            <w:pPr>
              <w:pStyle w:val="ARfintablebodyright"/>
              <w:ind w:right="0"/>
            </w:pPr>
            <w:r w:rsidRPr="002029AF">
              <w:t>3.7</w:t>
            </w:r>
          </w:p>
        </w:tc>
        <w:tc>
          <w:tcPr>
            <w:tcW w:w="631" w:type="dxa"/>
            <w:tcBorders>
              <w:top w:val="single" w:sz="4" w:space="0" w:color="A6A6A6"/>
              <w:bottom w:val="single" w:sz="4" w:space="0" w:color="A6A6A6"/>
            </w:tcBorders>
            <w:noWrap/>
            <w:hideMark/>
          </w:tcPr>
          <w:p w14:paraId="59DE47B8" w14:textId="77777777" w:rsidR="00087B91" w:rsidRPr="002029AF" w:rsidRDefault="00087B91" w:rsidP="00860E95">
            <w:pPr>
              <w:pStyle w:val="ARfintablebodyright"/>
              <w:ind w:right="0"/>
            </w:pPr>
            <w:r w:rsidRPr="002029AF">
              <w:t>4.9</w:t>
            </w:r>
          </w:p>
        </w:tc>
        <w:tc>
          <w:tcPr>
            <w:tcW w:w="631" w:type="dxa"/>
            <w:tcBorders>
              <w:top w:val="single" w:sz="4" w:space="0" w:color="A6A6A6"/>
              <w:bottom w:val="single" w:sz="4" w:space="0" w:color="A6A6A6"/>
            </w:tcBorders>
            <w:noWrap/>
            <w:hideMark/>
          </w:tcPr>
          <w:p w14:paraId="3F723596" w14:textId="77777777" w:rsidR="00087B91" w:rsidRPr="002029AF" w:rsidRDefault="00087B91" w:rsidP="00860E95">
            <w:pPr>
              <w:pStyle w:val="ARfintablebodyright"/>
              <w:ind w:right="0"/>
            </w:pPr>
            <w:r w:rsidRPr="002029AF">
              <w:t>–</w:t>
            </w:r>
          </w:p>
        </w:tc>
        <w:tc>
          <w:tcPr>
            <w:tcW w:w="695" w:type="dxa"/>
            <w:tcBorders>
              <w:top w:val="single" w:sz="4" w:space="0" w:color="A6A6A6"/>
              <w:bottom w:val="single" w:sz="4" w:space="0" w:color="A6A6A6"/>
            </w:tcBorders>
            <w:noWrap/>
            <w:hideMark/>
          </w:tcPr>
          <w:p w14:paraId="1B7E89DF" w14:textId="77777777" w:rsidR="00087B91" w:rsidRPr="002029AF" w:rsidRDefault="00087B91" w:rsidP="00860E95">
            <w:pPr>
              <w:pStyle w:val="ARfintablebodyright"/>
              <w:ind w:right="0"/>
            </w:pPr>
            <w:r w:rsidRPr="002029AF">
              <w:t>0.6</w:t>
            </w:r>
          </w:p>
        </w:tc>
        <w:tc>
          <w:tcPr>
            <w:tcW w:w="851" w:type="dxa"/>
            <w:tcBorders>
              <w:top w:val="single" w:sz="4" w:space="0" w:color="A6A6A6"/>
              <w:bottom w:val="single" w:sz="4" w:space="0" w:color="A6A6A6"/>
            </w:tcBorders>
            <w:noWrap/>
            <w:hideMark/>
          </w:tcPr>
          <w:p w14:paraId="607BE356" w14:textId="77777777" w:rsidR="00087B91" w:rsidRPr="002029AF" w:rsidRDefault="00087B91" w:rsidP="00860E95">
            <w:pPr>
              <w:pStyle w:val="ARfintablebodyright"/>
              <w:ind w:right="0"/>
            </w:pPr>
            <w:r w:rsidRPr="002029AF">
              <w:t>62.4</w:t>
            </w:r>
          </w:p>
        </w:tc>
        <w:tc>
          <w:tcPr>
            <w:tcW w:w="631" w:type="dxa"/>
            <w:tcBorders>
              <w:top w:val="single" w:sz="4" w:space="0" w:color="A6A6A6"/>
              <w:bottom w:val="single" w:sz="4" w:space="0" w:color="A6A6A6"/>
            </w:tcBorders>
            <w:noWrap/>
            <w:hideMark/>
          </w:tcPr>
          <w:p w14:paraId="0BCD4458" w14:textId="77777777" w:rsidR="00087B91" w:rsidRPr="002029AF" w:rsidRDefault="00087B91" w:rsidP="00860E95">
            <w:pPr>
              <w:pStyle w:val="ARfintablebodyright"/>
              <w:ind w:right="0"/>
            </w:pPr>
            <w:r w:rsidRPr="002029AF">
              <w:t>0.1</w:t>
            </w:r>
          </w:p>
        </w:tc>
        <w:tc>
          <w:tcPr>
            <w:tcW w:w="631" w:type="dxa"/>
            <w:tcBorders>
              <w:top w:val="single" w:sz="4" w:space="0" w:color="A6A6A6"/>
              <w:bottom w:val="single" w:sz="4" w:space="0" w:color="A6A6A6"/>
            </w:tcBorders>
            <w:noWrap/>
            <w:hideMark/>
          </w:tcPr>
          <w:p w14:paraId="5CC39F3C"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57C0B4A3" w14:textId="77777777" w:rsidR="00087B91" w:rsidRPr="002029AF" w:rsidRDefault="00087B91" w:rsidP="00860E95">
            <w:pPr>
              <w:pStyle w:val="ARfintablebodyright"/>
              <w:ind w:right="0"/>
            </w:pPr>
            <w:r w:rsidRPr="002029AF">
              <w:t>0.1</w:t>
            </w:r>
          </w:p>
        </w:tc>
        <w:tc>
          <w:tcPr>
            <w:tcW w:w="631" w:type="dxa"/>
            <w:tcBorders>
              <w:top w:val="single" w:sz="4" w:space="0" w:color="A6A6A6"/>
              <w:bottom w:val="single" w:sz="4" w:space="0" w:color="A6A6A6"/>
            </w:tcBorders>
            <w:noWrap/>
            <w:hideMark/>
          </w:tcPr>
          <w:p w14:paraId="16DEA403"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7646D5E9"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16894F26"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2CAE0FE4" w14:textId="77777777" w:rsidR="00087B91" w:rsidRPr="002029AF" w:rsidRDefault="00087B91" w:rsidP="00860E95">
            <w:pPr>
              <w:pStyle w:val="ARfintablebodyright"/>
              <w:ind w:right="0"/>
            </w:pPr>
            <w:r w:rsidRPr="002029AF">
              <w:t>–</w:t>
            </w:r>
          </w:p>
        </w:tc>
        <w:tc>
          <w:tcPr>
            <w:tcW w:w="803" w:type="dxa"/>
            <w:tcBorders>
              <w:top w:val="single" w:sz="4" w:space="0" w:color="A6A6A6"/>
              <w:bottom w:val="single" w:sz="4" w:space="0" w:color="A6A6A6"/>
            </w:tcBorders>
            <w:noWrap/>
            <w:hideMark/>
          </w:tcPr>
          <w:p w14:paraId="2CA46250" w14:textId="77777777" w:rsidR="00087B91" w:rsidRPr="002029AF" w:rsidRDefault="00087B91" w:rsidP="00860E95">
            <w:pPr>
              <w:pStyle w:val="ARfintablebodyright"/>
              <w:ind w:right="0"/>
            </w:pPr>
            <w:r w:rsidRPr="002029AF">
              <w:t>359.0</w:t>
            </w:r>
          </w:p>
        </w:tc>
      </w:tr>
      <w:tr w:rsidR="00087B91" w:rsidRPr="002029AF" w14:paraId="44E8BBD6" w14:textId="77777777" w:rsidTr="00C81A0B">
        <w:trPr>
          <w:gridAfter w:val="1"/>
          <w:wAfter w:w="17" w:type="dxa"/>
        </w:trPr>
        <w:tc>
          <w:tcPr>
            <w:tcW w:w="3213" w:type="dxa"/>
            <w:tcBorders>
              <w:top w:val="single" w:sz="4" w:space="0" w:color="A6A6A6"/>
              <w:bottom w:val="single" w:sz="4" w:space="0" w:color="A6A6A6"/>
            </w:tcBorders>
            <w:hideMark/>
          </w:tcPr>
          <w:p w14:paraId="2A80DE4C" w14:textId="0E20860D" w:rsidR="00087B91" w:rsidRPr="002029AF" w:rsidRDefault="00087B91" w:rsidP="00860E95">
            <w:pPr>
              <w:pStyle w:val="ARfintablebody"/>
            </w:pPr>
            <w:r w:rsidRPr="002029AF">
              <w:t>Appropriations</w:t>
            </w:r>
            <w:r w:rsidR="000A5329" w:rsidRPr="002029AF">
              <w:t xml:space="preserve"> </w:t>
            </w:r>
            <w:r w:rsidRPr="002029AF">
              <w:t>–</w:t>
            </w:r>
            <w:r w:rsidR="000A5329" w:rsidRPr="002029AF">
              <w:t xml:space="preserve"> </w:t>
            </w:r>
            <w:r w:rsidRPr="002029AF">
              <w:t>payments</w:t>
            </w:r>
            <w:r w:rsidR="000A5329" w:rsidRPr="002029AF">
              <w:t xml:space="preserve"> </w:t>
            </w:r>
            <w:r w:rsidRPr="002029AF">
              <w:t>made</w:t>
            </w:r>
            <w:r w:rsidR="000A5329" w:rsidRPr="002029AF">
              <w:t xml:space="preserve"> </w:t>
            </w:r>
            <w:r w:rsidRPr="002029AF">
              <w:t>on</w:t>
            </w:r>
            <w:r w:rsidR="000A5329" w:rsidRPr="002029AF">
              <w:t xml:space="preserve"> </w:t>
            </w:r>
            <w:r w:rsidRPr="002029AF">
              <w:t>behalf</w:t>
            </w:r>
            <w:r w:rsidR="000A5329" w:rsidRPr="002029AF">
              <w:t xml:space="preserve"> </w:t>
            </w:r>
            <w:r w:rsidRPr="002029AF">
              <w:t>of</w:t>
            </w:r>
            <w:r w:rsidR="000A5329" w:rsidRPr="002029AF">
              <w:t xml:space="preserve"> </w:t>
            </w:r>
            <w:r w:rsidRPr="002029AF">
              <w:t>the</w:t>
            </w:r>
            <w:r w:rsidR="000A5329" w:rsidRPr="002029AF">
              <w:t xml:space="preserve"> </w:t>
            </w:r>
            <w:r w:rsidRPr="002029AF">
              <w:t>state</w:t>
            </w:r>
          </w:p>
        </w:tc>
        <w:tc>
          <w:tcPr>
            <w:tcW w:w="804" w:type="dxa"/>
            <w:tcBorders>
              <w:top w:val="single" w:sz="4" w:space="0" w:color="A6A6A6"/>
              <w:bottom w:val="single" w:sz="4" w:space="0" w:color="A6A6A6"/>
            </w:tcBorders>
            <w:noWrap/>
            <w:hideMark/>
          </w:tcPr>
          <w:p w14:paraId="2CDCE027" w14:textId="77777777" w:rsidR="00087B91" w:rsidRPr="002029AF" w:rsidRDefault="00087B91" w:rsidP="00860E95">
            <w:pPr>
              <w:pStyle w:val="ARfintablebodyright"/>
              <w:ind w:right="0"/>
            </w:pPr>
            <w:r w:rsidRPr="002029AF">
              <w:t>–</w:t>
            </w:r>
          </w:p>
        </w:tc>
        <w:tc>
          <w:tcPr>
            <w:tcW w:w="632" w:type="dxa"/>
            <w:tcBorders>
              <w:top w:val="single" w:sz="4" w:space="0" w:color="A6A6A6"/>
              <w:bottom w:val="single" w:sz="4" w:space="0" w:color="A6A6A6"/>
            </w:tcBorders>
            <w:noWrap/>
            <w:hideMark/>
          </w:tcPr>
          <w:p w14:paraId="30900A24" w14:textId="77777777" w:rsidR="00087B91" w:rsidRPr="002029AF" w:rsidRDefault="00087B91" w:rsidP="00860E95">
            <w:pPr>
              <w:pStyle w:val="ARfintablebodyright"/>
              <w:ind w:right="0"/>
            </w:pPr>
            <w:r w:rsidRPr="002029AF">
              <w:t>–</w:t>
            </w:r>
          </w:p>
        </w:tc>
        <w:tc>
          <w:tcPr>
            <w:tcW w:w="632" w:type="dxa"/>
            <w:tcBorders>
              <w:top w:val="single" w:sz="4" w:space="0" w:color="A6A6A6"/>
              <w:bottom w:val="single" w:sz="4" w:space="0" w:color="A6A6A6"/>
            </w:tcBorders>
            <w:noWrap/>
            <w:hideMark/>
          </w:tcPr>
          <w:p w14:paraId="20E1D5FB"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12DABBED" w14:textId="77777777" w:rsidR="00087B91" w:rsidRPr="002029AF" w:rsidRDefault="00087B91" w:rsidP="00860E95">
            <w:pPr>
              <w:pStyle w:val="ARfintablebodyright"/>
              <w:ind w:right="0"/>
            </w:pPr>
            <w:r w:rsidRPr="002029AF">
              <w:t>62.3</w:t>
            </w:r>
          </w:p>
        </w:tc>
        <w:tc>
          <w:tcPr>
            <w:tcW w:w="631" w:type="dxa"/>
            <w:tcBorders>
              <w:top w:val="single" w:sz="4" w:space="0" w:color="A6A6A6"/>
              <w:bottom w:val="single" w:sz="4" w:space="0" w:color="A6A6A6"/>
            </w:tcBorders>
            <w:noWrap/>
            <w:hideMark/>
          </w:tcPr>
          <w:p w14:paraId="6C684059"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76797A95"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2D60A7D5" w14:textId="77777777" w:rsidR="00087B91" w:rsidRPr="002029AF" w:rsidRDefault="00087B91" w:rsidP="00860E95">
            <w:pPr>
              <w:pStyle w:val="ARfintablebodyright"/>
              <w:ind w:right="0"/>
            </w:pPr>
            <w:r w:rsidRPr="002029AF">
              <w:t>–</w:t>
            </w:r>
          </w:p>
        </w:tc>
        <w:tc>
          <w:tcPr>
            <w:tcW w:w="695" w:type="dxa"/>
            <w:tcBorders>
              <w:top w:val="single" w:sz="4" w:space="0" w:color="A6A6A6"/>
              <w:bottom w:val="single" w:sz="4" w:space="0" w:color="A6A6A6"/>
            </w:tcBorders>
            <w:noWrap/>
            <w:hideMark/>
          </w:tcPr>
          <w:p w14:paraId="70135A09" w14:textId="77777777" w:rsidR="00087B91" w:rsidRPr="002029AF" w:rsidRDefault="00087B91" w:rsidP="00860E95">
            <w:pPr>
              <w:pStyle w:val="ARfintablebodyright"/>
              <w:ind w:right="0"/>
            </w:pPr>
            <w:r w:rsidRPr="002029AF">
              <w:t>–</w:t>
            </w:r>
          </w:p>
        </w:tc>
        <w:tc>
          <w:tcPr>
            <w:tcW w:w="851" w:type="dxa"/>
            <w:tcBorders>
              <w:top w:val="single" w:sz="4" w:space="0" w:color="A6A6A6"/>
              <w:bottom w:val="single" w:sz="4" w:space="0" w:color="A6A6A6"/>
            </w:tcBorders>
            <w:noWrap/>
            <w:hideMark/>
          </w:tcPr>
          <w:p w14:paraId="31720C4C"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7F4E915A"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042B306C"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07ED4321"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3434FCB1"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6FCED283"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6C6EDEFA"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746D1288" w14:textId="77777777" w:rsidR="00087B91" w:rsidRPr="002029AF" w:rsidRDefault="00087B91" w:rsidP="00860E95">
            <w:pPr>
              <w:pStyle w:val="ARfintablebodyright"/>
              <w:ind w:right="0"/>
            </w:pPr>
            <w:r w:rsidRPr="002029AF">
              <w:t>–</w:t>
            </w:r>
          </w:p>
        </w:tc>
        <w:tc>
          <w:tcPr>
            <w:tcW w:w="803" w:type="dxa"/>
            <w:tcBorders>
              <w:top w:val="single" w:sz="4" w:space="0" w:color="A6A6A6"/>
              <w:bottom w:val="single" w:sz="4" w:space="0" w:color="A6A6A6"/>
            </w:tcBorders>
            <w:noWrap/>
            <w:hideMark/>
          </w:tcPr>
          <w:p w14:paraId="176CD309" w14:textId="77777777" w:rsidR="00087B91" w:rsidRPr="002029AF" w:rsidRDefault="00087B91" w:rsidP="00860E95">
            <w:pPr>
              <w:pStyle w:val="ARfintablebodyright"/>
              <w:ind w:right="0"/>
            </w:pPr>
            <w:r w:rsidRPr="002029AF">
              <w:t>62.3</w:t>
            </w:r>
          </w:p>
        </w:tc>
      </w:tr>
      <w:tr w:rsidR="00087B91" w:rsidRPr="002029AF" w14:paraId="004DAEF9" w14:textId="77777777" w:rsidTr="00C81A0B">
        <w:trPr>
          <w:gridAfter w:val="1"/>
          <w:wAfter w:w="17" w:type="dxa"/>
        </w:trPr>
        <w:tc>
          <w:tcPr>
            <w:tcW w:w="3213" w:type="dxa"/>
            <w:tcBorders>
              <w:top w:val="single" w:sz="4" w:space="0" w:color="A6A6A6"/>
              <w:bottom w:val="single" w:sz="4" w:space="0" w:color="A6A6A6"/>
            </w:tcBorders>
            <w:hideMark/>
          </w:tcPr>
          <w:p w14:paraId="2F7AEA18" w14:textId="2F03AB67" w:rsidR="00087B91" w:rsidRPr="002029AF" w:rsidRDefault="00087B91" w:rsidP="00860E95">
            <w:pPr>
              <w:pStyle w:val="ARfintablebody"/>
            </w:pPr>
            <w:r w:rsidRPr="002029AF">
              <w:t>Interest</w:t>
            </w:r>
            <w:r w:rsidR="000A5329" w:rsidRPr="002029AF">
              <w:t xml:space="preserve"> </w:t>
            </w:r>
            <w:r w:rsidRPr="002029AF">
              <w:t>income</w:t>
            </w:r>
          </w:p>
        </w:tc>
        <w:tc>
          <w:tcPr>
            <w:tcW w:w="804" w:type="dxa"/>
            <w:tcBorders>
              <w:top w:val="single" w:sz="4" w:space="0" w:color="A6A6A6"/>
              <w:bottom w:val="single" w:sz="4" w:space="0" w:color="A6A6A6"/>
            </w:tcBorders>
            <w:noWrap/>
            <w:hideMark/>
          </w:tcPr>
          <w:p w14:paraId="19735D08" w14:textId="77777777" w:rsidR="00087B91" w:rsidRPr="002029AF" w:rsidRDefault="00087B91" w:rsidP="00860E95">
            <w:pPr>
              <w:pStyle w:val="ARfintablebodyright"/>
              <w:ind w:right="0"/>
            </w:pPr>
            <w:r w:rsidRPr="002029AF">
              <w:t>1.7</w:t>
            </w:r>
          </w:p>
        </w:tc>
        <w:tc>
          <w:tcPr>
            <w:tcW w:w="632" w:type="dxa"/>
            <w:tcBorders>
              <w:top w:val="single" w:sz="4" w:space="0" w:color="A6A6A6"/>
              <w:bottom w:val="single" w:sz="4" w:space="0" w:color="A6A6A6"/>
            </w:tcBorders>
            <w:noWrap/>
            <w:hideMark/>
          </w:tcPr>
          <w:p w14:paraId="79C4CC3A" w14:textId="77777777" w:rsidR="00087B91" w:rsidRPr="002029AF" w:rsidRDefault="00087B91" w:rsidP="00860E95">
            <w:pPr>
              <w:pStyle w:val="ARfintablebodyright"/>
              <w:ind w:right="0"/>
            </w:pPr>
            <w:r w:rsidRPr="002029AF">
              <w:t>–</w:t>
            </w:r>
          </w:p>
        </w:tc>
        <w:tc>
          <w:tcPr>
            <w:tcW w:w="632" w:type="dxa"/>
            <w:tcBorders>
              <w:top w:val="single" w:sz="4" w:space="0" w:color="A6A6A6"/>
              <w:bottom w:val="single" w:sz="4" w:space="0" w:color="A6A6A6"/>
            </w:tcBorders>
            <w:noWrap/>
            <w:hideMark/>
          </w:tcPr>
          <w:p w14:paraId="0DDBC27D"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42C0DACD"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7B96B672"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5FE23AA8"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04F139FE" w14:textId="77777777" w:rsidR="00087B91" w:rsidRPr="002029AF" w:rsidRDefault="00087B91" w:rsidP="00860E95">
            <w:pPr>
              <w:pStyle w:val="ARfintablebodyright"/>
              <w:ind w:right="0"/>
            </w:pPr>
            <w:r w:rsidRPr="002029AF">
              <w:t>–</w:t>
            </w:r>
          </w:p>
        </w:tc>
        <w:tc>
          <w:tcPr>
            <w:tcW w:w="695" w:type="dxa"/>
            <w:tcBorders>
              <w:top w:val="single" w:sz="4" w:space="0" w:color="A6A6A6"/>
              <w:bottom w:val="single" w:sz="4" w:space="0" w:color="A6A6A6"/>
            </w:tcBorders>
            <w:noWrap/>
            <w:hideMark/>
          </w:tcPr>
          <w:p w14:paraId="354A7B86" w14:textId="77777777" w:rsidR="00087B91" w:rsidRPr="002029AF" w:rsidRDefault="00087B91" w:rsidP="00860E95">
            <w:pPr>
              <w:pStyle w:val="ARfintablebodyright"/>
              <w:ind w:right="0"/>
            </w:pPr>
            <w:r w:rsidRPr="002029AF">
              <w:t>–</w:t>
            </w:r>
          </w:p>
        </w:tc>
        <w:tc>
          <w:tcPr>
            <w:tcW w:w="851" w:type="dxa"/>
            <w:tcBorders>
              <w:top w:val="single" w:sz="4" w:space="0" w:color="A6A6A6"/>
              <w:bottom w:val="single" w:sz="4" w:space="0" w:color="A6A6A6"/>
            </w:tcBorders>
            <w:noWrap/>
            <w:hideMark/>
          </w:tcPr>
          <w:p w14:paraId="05718AA4"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6FE06993"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0F3F2EDB"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05F5442E"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2D454A2A"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563B029A"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30DFA384"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0E90C311" w14:textId="77777777" w:rsidR="00087B91" w:rsidRPr="002029AF" w:rsidRDefault="00087B91" w:rsidP="00860E95">
            <w:pPr>
              <w:pStyle w:val="ARfintablebodyright"/>
              <w:ind w:right="0"/>
            </w:pPr>
            <w:r w:rsidRPr="002029AF">
              <w:t>–</w:t>
            </w:r>
          </w:p>
        </w:tc>
        <w:tc>
          <w:tcPr>
            <w:tcW w:w="803" w:type="dxa"/>
            <w:tcBorders>
              <w:top w:val="single" w:sz="4" w:space="0" w:color="A6A6A6"/>
              <w:bottom w:val="single" w:sz="4" w:space="0" w:color="A6A6A6"/>
            </w:tcBorders>
            <w:noWrap/>
            <w:hideMark/>
          </w:tcPr>
          <w:p w14:paraId="62981AEC" w14:textId="77777777" w:rsidR="00087B91" w:rsidRPr="002029AF" w:rsidRDefault="00087B91" w:rsidP="00860E95">
            <w:pPr>
              <w:pStyle w:val="ARfintablebodyright"/>
              <w:ind w:right="0"/>
            </w:pPr>
            <w:r w:rsidRPr="002029AF">
              <w:t>1.7</w:t>
            </w:r>
          </w:p>
        </w:tc>
      </w:tr>
      <w:tr w:rsidR="00087B91" w:rsidRPr="002029AF" w14:paraId="41AC3D2F" w14:textId="77777777" w:rsidTr="00C81A0B">
        <w:trPr>
          <w:gridAfter w:val="1"/>
          <w:wAfter w:w="17" w:type="dxa"/>
        </w:trPr>
        <w:tc>
          <w:tcPr>
            <w:tcW w:w="3213" w:type="dxa"/>
            <w:tcBorders>
              <w:top w:val="single" w:sz="4" w:space="0" w:color="A6A6A6"/>
              <w:bottom w:val="single" w:sz="4" w:space="0" w:color="A6A6A6"/>
            </w:tcBorders>
            <w:hideMark/>
          </w:tcPr>
          <w:p w14:paraId="3F3E34C3" w14:textId="77777777" w:rsidR="00087B91" w:rsidRPr="002029AF" w:rsidRDefault="00087B91" w:rsidP="00860E95">
            <w:pPr>
              <w:pStyle w:val="ARfintablebody"/>
            </w:pPr>
            <w:r w:rsidRPr="002029AF">
              <w:t>Fees</w:t>
            </w:r>
          </w:p>
        </w:tc>
        <w:tc>
          <w:tcPr>
            <w:tcW w:w="804" w:type="dxa"/>
            <w:tcBorders>
              <w:top w:val="single" w:sz="4" w:space="0" w:color="A6A6A6"/>
              <w:bottom w:val="single" w:sz="4" w:space="0" w:color="A6A6A6"/>
            </w:tcBorders>
            <w:noWrap/>
            <w:hideMark/>
          </w:tcPr>
          <w:p w14:paraId="507B006C" w14:textId="77777777" w:rsidR="00087B91" w:rsidRPr="002029AF" w:rsidRDefault="00087B91" w:rsidP="00860E95">
            <w:pPr>
              <w:pStyle w:val="ARfintablebodyright"/>
              <w:ind w:right="0"/>
            </w:pPr>
            <w:r w:rsidRPr="002029AF">
              <w:t>–</w:t>
            </w:r>
          </w:p>
        </w:tc>
        <w:tc>
          <w:tcPr>
            <w:tcW w:w="632" w:type="dxa"/>
            <w:tcBorders>
              <w:top w:val="single" w:sz="4" w:space="0" w:color="A6A6A6"/>
              <w:bottom w:val="single" w:sz="4" w:space="0" w:color="A6A6A6"/>
            </w:tcBorders>
            <w:noWrap/>
            <w:hideMark/>
          </w:tcPr>
          <w:p w14:paraId="19CC0076" w14:textId="77777777" w:rsidR="00087B91" w:rsidRPr="002029AF" w:rsidRDefault="00087B91" w:rsidP="00860E95">
            <w:pPr>
              <w:pStyle w:val="ARfintablebodyright"/>
              <w:ind w:right="0"/>
            </w:pPr>
            <w:r w:rsidRPr="002029AF">
              <w:t>–</w:t>
            </w:r>
          </w:p>
        </w:tc>
        <w:tc>
          <w:tcPr>
            <w:tcW w:w="632" w:type="dxa"/>
            <w:tcBorders>
              <w:top w:val="single" w:sz="4" w:space="0" w:color="A6A6A6"/>
              <w:bottom w:val="single" w:sz="4" w:space="0" w:color="A6A6A6"/>
            </w:tcBorders>
            <w:noWrap/>
            <w:hideMark/>
          </w:tcPr>
          <w:p w14:paraId="423A5E72"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5446225D"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21A139A8"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412D9CC6"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0DE4415B" w14:textId="77777777" w:rsidR="00087B91" w:rsidRPr="002029AF" w:rsidRDefault="00087B91" w:rsidP="00860E95">
            <w:pPr>
              <w:pStyle w:val="ARfintablebodyright"/>
              <w:ind w:right="0"/>
            </w:pPr>
            <w:r w:rsidRPr="002029AF">
              <w:t>10.1</w:t>
            </w:r>
          </w:p>
        </w:tc>
        <w:tc>
          <w:tcPr>
            <w:tcW w:w="695" w:type="dxa"/>
            <w:tcBorders>
              <w:top w:val="single" w:sz="4" w:space="0" w:color="A6A6A6"/>
              <w:bottom w:val="single" w:sz="4" w:space="0" w:color="A6A6A6"/>
            </w:tcBorders>
            <w:noWrap/>
            <w:hideMark/>
          </w:tcPr>
          <w:p w14:paraId="08AC0958" w14:textId="77777777" w:rsidR="00087B91" w:rsidRPr="002029AF" w:rsidRDefault="00087B91" w:rsidP="00860E95">
            <w:pPr>
              <w:pStyle w:val="ARfintablebodyright"/>
              <w:ind w:right="0"/>
            </w:pPr>
            <w:r w:rsidRPr="002029AF">
              <w:t>0.7</w:t>
            </w:r>
          </w:p>
        </w:tc>
        <w:tc>
          <w:tcPr>
            <w:tcW w:w="851" w:type="dxa"/>
            <w:tcBorders>
              <w:top w:val="single" w:sz="4" w:space="0" w:color="A6A6A6"/>
              <w:bottom w:val="single" w:sz="4" w:space="0" w:color="A6A6A6"/>
            </w:tcBorders>
            <w:noWrap/>
            <w:hideMark/>
          </w:tcPr>
          <w:p w14:paraId="4AEF1ACF"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51E4469F"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3D763048"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7A2710EC"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47C1149C"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55408DA5"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2886DF24"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592B26A4" w14:textId="77777777" w:rsidR="00087B91" w:rsidRPr="002029AF" w:rsidRDefault="00087B91" w:rsidP="00860E95">
            <w:pPr>
              <w:pStyle w:val="ARfintablebodyright"/>
              <w:ind w:right="0"/>
            </w:pPr>
            <w:r w:rsidRPr="002029AF">
              <w:t>–</w:t>
            </w:r>
          </w:p>
        </w:tc>
        <w:tc>
          <w:tcPr>
            <w:tcW w:w="803" w:type="dxa"/>
            <w:tcBorders>
              <w:top w:val="single" w:sz="4" w:space="0" w:color="A6A6A6"/>
              <w:bottom w:val="single" w:sz="4" w:space="0" w:color="A6A6A6"/>
            </w:tcBorders>
            <w:noWrap/>
            <w:hideMark/>
          </w:tcPr>
          <w:p w14:paraId="6776551E" w14:textId="77777777" w:rsidR="00087B91" w:rsidRPr="002029AF" w:rsidRDefault="00087B91" w:rsidP="00860E95">
            <w:pPr>
              <w:pStyle w:val="ARfintablebodyright"/>
              <w:ind w:right="0"/>
            </w:pPr>
            <w:r w:rsidRPr="002029AF">
              <w:t>10.8</w:t>
            </w:r>
          </w:p>
        </w:tc>
      </w:tr>
      <w:tr w:rsidR="00087B91" w:rsidRPr="002029AF" w14:paraId="07FB810E" w14:textId="77777777" w:rsidTr="00C81A0B">
        <w:trPr>
          <w:gridAfter w:val="1"/>
          <w:wAfter w:w="17" w:type="dxa"/>
        </w:trPr>
        <w:tc>
          <w:tcPr>
            <w:tcW w:w="3213" w:type="dxa"/>
            <w:tcBorders>
              <w:top w:val="single" w:sz="4" w:space="0" w:color="A6A6A6"/>
              <w:bottom w:val="single" w:sz="4" w:space="0" w:color="A6A6A6"/>
            </w:tcBorders>
            <w:hideMark/>
          </w:tcPr>
          <w:p w14:paraId="07B41363" w14:textId="55BF5E38" w:rsidR="00087B91" w:rsidRPr="002029AF" w:rsidRDefault="00087B91" w:rsidP="00860E95">
            <w:pPr>
              <w:pStyle w:val="ARfintablebody"/>
            </w:pPr>
            <w:r w:rsidRPr="002029AF">
              <w:t>Grants</w:t>
            </w:r>
            <w:r w:rsidR="000A5329" w:rsidRPr="002029AF">
              <w:t xml:space="preserve"> </w:t>
            </w:r>
            <w:r w:rsidRPr="002029AF">
              <w:t>and</w:t>
            </w:r>
            <w:r w:rsidR="000A5329" w:rsidRPr="002029AF">
              <w:t xml:space="preserve"> </w:t>
            </w:r>
            <w:r w:rsidRPr="002029AF">
              <w:t>other</w:t>
            </w:r>
            <w:r w:rsidR="000A5329" w:rsidRPr="002029AF">
              <w:t xml:space="preserve"> </w:t>
            </w:r>
            <w:r w:rsidRPr="002029AF">
              <w:t>income</w:t>
            </w:r>
            <w:r w:rsidR="000A5329" w:rsidRPr="002029AF">
              <w:t xml:space="preserve"> </w:t>
            </w:r>
            <w:r w:rsidRPr="002029AF">
              <w:t>transfers</w:t>
            </w:r>
          </w:p>
        </w:tc>
        <w:tc>
          <w:tcPr>
            <w:tcW w:w="804" w:type="dxa"/>
            <w:tcBorders>
              <w:top w:val="single" w:sz="4" w:space="0" w:color="A6A6A6"/>
              <w:bottom w:val="single" w:sz="4" w:space="0" w:color="A6A6A6"/>
            </w:tcBorders>
            <w:noWrap/>
            <w:hideMark/>
          </w:tcPr>
          <w:p w14:paraId="2258723E" w14:textId="77777777" w:rsidR="00087B91" w:rsidRPr="002029AF" w:rsidRDefault="00087B91" w:rsidP="00860E95">
            <w:pPr>
              <w:pStyle w:val="ARfintablebodyright"/>
              <w:ind w:right="0"/>
            </w:pPr>
            <w:r w:rsidRPr="002029AF">
              <w:t>51.6</w:t>
            </w:r>
          </w:p>
        </w:tc>
        <w:tc>
          <w:tcPr>
            <w:tcW w:w="632" w:type="dxa"/>
            <w:tcBorders>
              <w:top w:val="single" w:sz="4" w:space="0" w:color="A6A6A6"/>
              <w:bottom w:val="single" w:sz="4" w:space="0" w:color="A6A6A6"/>
            </w:tcBorders>
            <w:noWrap/>
            <w:hideMark/>
          </w:tcPr>
          <w:p w14:paraId="36236D9F" w14:textId="77777777" w:rsidR="00087B91" w:rsidRPr="002029AF" w:rsidRDefault="00087B91" w:rsidP="00860E95">
            <w:pPr>
              <w:pStyle w:val="ARfintablebodyright"/>
              <w:ind w:right="0"/>
            </w:pPr>
            <w:r w:rsidRPr="002029AF">
              <w:t>–</w:t>
            </w:r>
          </w:p>
        </w:tc>
        <w:tc>
          <w:tcPr>
            <w:tcW w:w="632" w:type="dxa"/>
            <w:tcBorders>
              <w:top w:val="single" w:sz="4" w:space="0" w:color="A6A6A6"/>
              <w:bottom w:val="single" w:sz="4" w:space="0" w:color="A6A6A6"/>
            </w:tcBorders>
            <w:noWrap/>
            <w:hideMark/>
          </w:tcPr>
          <w:p w14:paraId="08312FFA" w14:textId="77777777" w:rsidR="00087B91" w:rsidRPr="002029AF" w:rsidRDefault="00087B91" w:rsidP="00860E95">
            <w:pPr>
              <w:pStyle w:val="ARfintablebodyright"/>
              <w:ind w:right="0"/>
            </w:pPr>
            <w:r w:rsidRPr="002029AF">
              <w:t>3.0</w:t>
            </w:r>
          </w:p>
        </w:tc>
        <w:tc>
          <w:tcPr>
            <w:tcW w:w="631" w:type="dxa"/>
            <w:tcBorders>
              <w:top w:val="single" w:sz="4" w:space="0" w:color="A6A6A6"/>
              <w:bottom w:val="single" w:sz="4" w:space="0" w:color="A6A6A6"/>
            </w:tcBorders>
            <w:noWrap/>
            <w:hideMark/>
          </w:tcPr>
          <w:p w14:paraId="620A3AAC"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3D79C2CF" w14:textId="77777777" w:rsidR="00087B91" w:rsidRPr="002029AF" w:rsidRDefault="00087B91" w:rsidP="00860E95">
            <w:pPr>
              <w:pStyle w:val="ARfintablebodyright"/>
              <w:ind w:right="0"/>
            </w:pPr>
            <w:r w:rsidRPr="002029AF">
              <w:t>0.2</w:t>
            </w:r>
          </w:p>
        </w:tc>
        <w:tc>
          <w:tcPr>
            <w:tcW w:w="631" w:type="dxa"/>
            <w:tcBorders>
              <w:top w:val="single" w:sz="4" w:space="0" w:color="A6A6A6"/>
              <w:bottom w:val="single" w:sz="4" w:space="0" w:color="A6A6A6"/>
            </w:tcBorders>
            <w:noWrap/>
            <w:hideMark/>
          </w:tcPr>
          <w:p w14:paraId="03334F60"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6278D6FC" w14:textId="77777777" w:rsidR="00087B91" w:rsidRPr="002029AF" w:rsidRDefault="00087B91" w:rsidP="00860E95">
            <w:pPr>
              <w:pStyle w:val="ARfintablebodyright"/>
              <w:ind w:right="0"/>
            </w:pPr>
            <w:r w:rsidRPr="002029AF">
              <w:t>–</w:t>
            </w:r>
          </w:p>
        </w:tc>
        <w:tc>
          <w:tcPr>
            <w:tcW w:w="695" w:type="dxa"/>
            <w:tcBorders>
              <w:top w:val="single" w:sz="4" w:space="0" w:color="A6A6A6"/>
              <w:bottom w:val="single" w:sz="4" w:space="0" w:color="A6A6A6"/>
            </w:tcBorders>
            <w:noWrap/>
            <w:hideMark/>
          </w:tcPr>
          <w:p w14:paraId="50DC7BD5" w14:textId="77777777" w:rsidR="00087B91" w:rsidRPr="002029AF" w:rsidRDefault="00087B91" w:rsidP="00860E95">
            <w:pPr>
              <w:pStyle w:val="ARfintablebodyright"/>
              <w:ind w:right="0"/>
            </w:pPr>
            <w:r w:rsidRPr="002029AF">
              <w:t>–</w:t>
            </w:r>
          </w:p>
        </w:tc>
        <w:tc>
          <w:tcPr>
            <w:tcW w:w="851" w:type="dxa"/>
            <w:tcBorders>
              <w:top w:val="single" w:sz="4" w:space="0" w:color="A6A6A6"/>
              <w:bottom w:val="single" w:sz="4" w:space="0" w:color="A6A6A6"/>
            </w:tcBorders>
            <w:noWrap/>
            <w:hideMark/>
          </w:tcPr>
          <w:p w14:paraId="358775A4" w14:textId="77777777" w:rsidR="00087B91" w:rsidRPr="002029AF" w:rsidRDefault="00087B91" w:rsidP="00860E95">
            <w:pPr>
              <w:pStyle w:val="ARfintablebodyright"/>
              <w:ind w:right="0"/>
            </w:pPr>
            <w:r w:rsidRPr="002029AF">
              <w:t>158.2</w:t>
            </w:r>
          </w:p>
        </w:tc>
        <w:tc>
          <w:tcPr>
            <w:tcW w:w="631" w:type="dxa"/>
            <w:tcBorders>
              <w:top w:val="single" w:sz="4" w:space="0" w:color="A6A6A6"/>
              <w:bottom w:val="single" w:sz="4" w:space="0" w:color="A6A6A6"/>
            </w:tcBorders>
            <w:noWrap/>
            <w:hideMark/>
          </w:tcPr>
          <w:p w14:paraId="28B8F78F"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5AFE00C4" w14:textId="77777777" w:rsidR="00087B91" w:rsidRPr="002029AF" w:rsidRDefault="00087B91" w:rsidP="00860E95">
            <w:pPr>
              <w:pStyle w:val="ARfintablebodyright"/>
              <w:ind w:right="0"/>
            </w:pPr>
            <w:r w:rsidRPr="002029AF">
              <w:t>1.6</w:t>
            </w:r>
          </w:p>
        </w:tc>
        <w:tc>
          <w:tcPr>
            <w:tcW w:w="631" w:type="dxa"/>
            <w:tcBorders>
              <w:top w:val="single" w:sz="4" w:space="0" w:color="A6A6A6"/>
              <w:bottom w:val="single" w:sz="4" w:space="0" w:color="A6A6A6"/>
            </w:tcBorders>
            <w:noWrap/>
            <w:hideMark/>
          </w:tcPr>
          <w:p w14:paraId="5D70348C"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349CB46E"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7AC2A411"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181D24A7"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3113D38A" w14:textId="77777777" w:rsidR="00087B91" w:rsidRPr="002029AF" w:rsidRDefault="00087B91" w:rsidP="00860E95">
            <w:pPr>
              <w:pStyle w:val="ARfintablebodyright"/>
              <w:ind w:right="0"/>
            </w:pPr>
            <w:r w:rsidRPr="002029AF">
              <w:t>–</w:t>
            </w:r>
          </w:p>
        </w:tc>
        <w:tc>
          <w:tcPr>
            <w:tcW w:w="803" w:type="dxa"/>
            <w:tcBorders>
              <w:top w:val="single" w:sz="4" w:space="0" w:color="A6A6A6"/>
              <w:bottom w:val="single" w:sz="4" w:space="0" w:color="A6A6A6"/>
            </w:tcBorders>
            <w:noWrap/>
            <w:hideMark/>
          </w:tcPr>
          <w:p w14:paraId="60A729CD" w14:textId="77777777" w:rsidR="00087B91" w:rsidRPr="002029AF" w:rsidRDefault="00087B91" w:rsidP="00860E95">
            <w:pPr>
              <w:pStyle w:val="ARfintablebodyright"/>
              <w:ind w:right="0"/>
            </w:pPr>
            <w:r w:rsidRPr="002029AF">
              <w:t>214.6</w:t>
            </w:r>
          </w:p>
        </w:tc>
      </w:tr>
      <w:tr w:rsidR="00087B91" w:rsidRPr="002029AF" w14:paraId="74B74714" w14:textId="77777777" w:rsidTr="00C81A0B">
        <w:trPr>
          <w:gridAfter w:val="1"/>
          <w:wAfter w:w="17" w:type="dxa"/>
        </w:trPr>
        <w:tc>
          <w:tcPr>
            <w:tcW w:w="3213" w:type="dxa"/>
            <w:tcBorders>
              <w:top w:val="single" w:sz="4" w:space="0" w:color="A6A6A6"/>
              <w:bottom w:val="single" w:sz="4" w:space="0" w:color="A6A6A6"/>
            </w:tcBorders>
            <w:hideMark/>
          </w:tcPr>
          <w:p w14:paraId="5692B8EC" w14:textId="77777777" w:rsidR="00087B91" w:rsidRPr="002029AF" w:rsidRDefault="00087B91" w:rsidP="00860E95">
            <w:pPr>
              <w:pStyle w:val="ARfintablebody"/>
            </w:pPr>
            <w:r w:rsidRPr="002029AF">
              <w:t>Other</w:t>
            </w:r>
          </w:p>
        </w:tc>
        <w:tc>
          <w:tcPr>
            <w:tcW w:w="804" w:type="dxa"/>
            <w:tcBorders>
              <w:top w:val="single" w:sz="4" w:space="0" w:color="A6A6A6"/>
              <w:bottom w:val="single" w:sz="4" w:space="0" w:color="A6A6A6"/>
            </w:tcBorders>
            <w:noWrap/>
            <w:hideMark/>
          </w:tcPr>
          <w:p w14:paraId="55CD1079" w14:textId="77777777" w:rsidR="00087B91" w:rsidRPr="002029AF" w:rsidRDefault="00087B91" w:rsidP="00860E95">
            <w:pPr>
              <w:pStyle w:val="ARfintablebodyright"/>
              <w:ind w:right="0"/>
            </w:pPr>
            <w:r w:rsidRPr="002029AF">
              <w:t>7.8</w:t>
            </w:r>
          </w:p>
        </w:tc>
        <w:tc>
          <w:tcPr>
            <w:tcW w:w="632" w:type="dxa"/>
            <w:tcBorders>
              <w:top w:val="single" w:sz="4" w:space="0" w:color="A6A6A6"/>
              <w:bottom w:val="single" w:sz="4" w:space="0" w:color="A6A6A6"/>
            </w:tcBorders>
            <w:noWrap/>
            <w:hideMark/>
          </w:tcPr>
          <w:p w14:paraId="36FDCA86" w14:textId="77777777" w:rsidR="00087B91" w:rsidRPr="002029AF" w:rsidRDefault="00087B91" w:rsidP="00860E95">
            <w:pPr>
              <w:pStyle w:val="ARfintablebodyright"/>
              <w:ind w:right="0"/>
            </w:pPr>
            <w:r w:rsidRPr="002029AF">
              <w:t>–</w:t>
            </w:r>
          </w:p>
        </w:tc>
        <w:tc>
          <w:tcPr>
            <w:tcW w:w="632" w:type="dxa"/>
            <w:tcBorders>
              <w:top w:val="single" w:sz="4" w:space="0" w:color="A6A6A6"/>
              <w:bottom w:val="single" w:sz="4" w:space="0" w:color="A6A6A6"/>
            </w:tcBorders>
            <w:noWrap/>
            <w:hideMark/>
          </w:tcPr>
          <w:p w14:paraId="414F44FB" w14:textId="77777777" w:rsidR="00087B91" w:rsidRPr="002029AF" w:rsidRDefault="00087B91" w:rsidP="00860E95">
            <w:pPr>
              <w:pStyle w:val="ARfintablebodyright"/>
              <w:ind w:right="0"/>
            </w:pPr>
            <w:r w:rsidRPr="002029AF">
              <w:t>0.1</w:t>
            </w:r>
          </w:p>
        </w:tc>
        <w:tc>
          <w:tcPr>
            <w:tcW w:w="631" w:type="dxa"/>
            <w:tcBorders>
              <w:top w:val="single" w:sz="4" w:space="0" w:color="A6A6A6"/>
              <w:bottom w:val="single" w:sz="4" w:space="0" w:color="A6A6A6"/>
            </w:tcBorders>
            <w:noWrap/>
            <w:hideMark/>
          </w:tcPr>
          <w:p w14:paraId="191623E8"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016C4324" w14:textId="77777777" w:rsidR="00087B91" w:rsidRPr="002029AF" w:rsidRDefault="00087B91" w:rsidP="00860E95">
            <w:pPr>
              <w:pStyle w:val="ARfintablebodyright"/>
              <w:ind w:right="0"/>
            </w:pPr>
            <w:r w:rsidRPr="002029AF">
              <w:t>0.1</w:t>
            </w:r>
          </w:p>
        </w:tc>
        <w:tc>
          <w:tcPr>
            <w:tcW w:w="631" w:type="dxa"/>
            <w:tcBorders>
              <w:top w:val="single" w:sz="4" w:space="0" w:color="A6A6A6"/>
              <w:bottom w:val="single" w:sz="4" w:space="0" w:color="A6A6A6"/>
            </w:tcBorders>
            <w:noWrap/>
            <w:hideMark/>
          </w:tcPr>
          <w:p w14:paraId="315876F9"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29D8FF75" w14:textId="77777777" w:rsidR="00087B91" w:rsidRPr="002029AF" w:rsidRDefault="00087B91" w:rsidP="00860E95">
            <w:pPr>
              <w:pStyle w:val="ARfintablebodyright"/>
              <w:ind w:right="0"/>
            </w:pPr>
            <w:r w:rsidRPr="002029AF">
              <w:t>0.2</w:t>
            </w:r>
          </w:p>
        </w:tc>
        <w:tc>
          <w:tcPr>
            <w:tcW w:w="695" w:type="dxa"/>
            <w:tcBorders>
              <w:top w:val="single" w:sz="4" w:space="0" w:color="A6A6A6"/>
              <w:bottom w:val="single" w:sz="4" w:space="0" w:color="A6A6A6"/>
            </w:tcBorders>
            <w:noWrap/>
            <w:hideMark/>
          </w:tcPr>
          <w:p w14:paraId="04CCF80C" w14:textId="77777777" w:rsidR="00087B91" w:rsidRPr="002029AF" w:rsidRDefault="00087B91" w:rsidP="00860E95">
            <w:pPr>
              <w:pStyle w:val="ARfintablebodyright"/>
              <w:ind w:right="0"/>
            </w:pPr>
            <w:r w:rsidRPr="002029AF">
              <w:t>–</w:t>
            </w:r>
          </w:p>
        </w:tc>
        <w:tc>
          <w:tcPr>
            <w:tcW w:w="851" w:type="dxa"/>
            <w:tcBorders>
              <w:top w:val="single" w:sz="4" w:space="0" w:color="A6A6A6"/>
              <w:bottom w:val="single" w:sz="4" w:space="0" w:color="A6A6A6"/>
            </w:tcBorders>
            <w:noWrap/>
            <w:hideMark/>
          </w:tcPr>
          <w:p w14:paraId="46549999" w14:textId="77777777" w:rsidR="00087B91" w:rsidRPr="002029AF" w:rsidRDefault="00087B91" w:rsidP="00860E95">
            <w:pPr>
              <w:pStyle w:val="ARfintablebodyright"/>
              <w:ind w:right="0"/>
            </w:pPr>
            <w:r w:rsidRPr="002029AF">
              <w:t>1.1</w:t>
            </w:r>
          </w:p>
        </w:tc>
        <w:tc>
          <w:tcPr>
            <w:tcW w:w="631" w:type="dxa"/>
            <w:tcBorders>
              <w:top w:val="single" w:sz="4" w:space="0" w:color="A6A6A6"/>
              <w:bottom w:val="single" w:sz="4" w:space="0" w:color="A6A6A6"/>
            </w:tcBorders>
            <w:noWrap/>
            <w:hideMark/>
          </w:tcPr>
          <w:p w14:paraId="36954B60" w14:textId="77777777" w:rsidR="00087B91" w:rsidRPr="002029AF" w:rsidRDefault="00087B91" w:rsidP="00860E95">
            <w:pPr>
              <w:pStyle w:val="ARfintablebodyright"/>
              <w:ind w:right="0"/>
            </w:pPr>
            <w:r w:rsidRPr="002029AF">
              <w:t>0.5</w:t>
            </w:r>
          </w:p>
        </w:tc>
        <w:tc>
          <w:tcPr>
            <w:tcW w:w="631" w:type="dxa"/>
            <w:tcBorders>
              <w:top w:val="single" w:sz="4" w:space="0" w:color="A6A6A6"/>
              <w:bottom w:val="single" w:sz="4" w:space="0" w:color="A6A6A6"/>
            </w:tcBorders>
            <w:noWrap/>
            <w:hideMark/>
          </w:tcPr>
          <w:p w14:paraId="18797A4B"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07554F9D" w14:textId="77777777" w:rsidR="00087B91" w:rsidRPr="002029AF" w:rsidRDefault="00087B91" w:rsidP="00860E95">
            <w:pPr>
              <w:pStyle w:val="ARfintablebodyright"/>
              <w:ind w:right="0"/>
            </w:pPr>
            <w:r w:rsidRPr="002029AF">
              <w:t>0.1</w:t>
            </w:r>
          </w:p>
        </w:tc>
        <w:tc>
          <w:tcPr>
            <w:tcW w:w="631" w:type="dxa"/>
            <w:tcBorders>
              <w:top w:val="single" w:sz="4" w:space="0" w:color="A6A6A6"/>
              <w:bottom w:val="single" w:sz="4" w:space="0" w:color="A6A6A6"/>
            </w:tcBorders>
            <w:noWrap/>
            <w:hideMark/>
          </w:tcPr>
          <w:p w14:paraId="6EDBEEA2"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065EAA53"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78B8F429"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6A7BCA12" w14:textId="77777777" w:rsidR="00087B91" w:rsidRPr="002029AF" w:rsidRDefault="00087B91" w:rsidP="00860E95">
            <w:pPr>
              <w:pStyle w:val="ARfintablebodyright"/>
              <w:ind w:right="0"/>
            </w:pPr>
            <w:r w:rsidRPr="002029AF">
              <w:t>–</w:t>
            </w:r>
          </w:p>
        </w:tc>
        <w:tc>
          <w:tcPr>
            <w:tcW w:w="803" w:type="dxa"/>
            <w:tcBorders>
              <w:top w:val="single" w:sz="4" w:space="0" w:color="A6A6A6"/>
              <w:bottom w:val="single" w:sz="4" w:space="0" w:color="A6A6A6"/>
            </w:tcBorders>
            <w:noWrap/>
            <w:hideMark/>
          </w:tcPr>
          <w:p w14:paraId="2A03F413" w14:textId="77777777" w:rsidR="00087B91" w:rsidRPr="002029AF" w:rsidRDefault="00087B91" w:rsidP="00860E95">
            <w:pPr>
              <w:pStyle w:val="ARfintablebodyright"/>
              <w:ind w:right="0"/>
            </w:pPr>
            <w:r w:rsidRPr="002029AF">
              <w:t>9.9</w:t>
            </w:r>
          </w:p>
        </w:tc>
      </w:tr>
      <w:tr w:rsidR="00087B91" w:rsidRPr="002029AF" w14:paraId="58392D3D" w14:textId="77777777" w:rsidTr="00C81A0B">
        <w:trPr>
          <w:gridAfter w:val="1"/>
          <w:wAfter w:w="17" w:type="dxa"/>
        </w:trPr>
        <w:tc>
          <w:tcPr>
            <w:tcW w:w="3213" w:type="dxa"/>
            <w:tcBorders>
              <w:top w:val="single" w:sz="4" w:space="0" w:color="A6A6A6"/>
            </w:tcBorders>
            <w:hideMark/>
          </w:tcPr>
          <w:p w14:paraId="362EC3BA" w14:textId="2C5C1B4C" w:rsidR="00087B91" w:rsidRPr="002029AF" w:rsidRDefault="00087B91" w:rsidP="00860E95">
            <w:pPr>
              <w:pStyle w:val="ARfintablebody"/>
            </w:pPr>
            <w:r w:rsidRPr="002029AF">
              <w:t>Fair</w:t>
            </w:r>
            <w:r w:rsidR="000A5329" w:rsidRPr="002029AF">
              <w:t xml:space="preserve"> </w:t>
            </w:r>
            <w:r w:rsidRPr="002029AF">
              <w:t>value</w:t>
            </w:r>
            <w:r w:rsidR="000A5329" w:rsidRPr="002029AF">
              <w:t xml:space="preserve"> </w:t>
            </w:r>
            <w:r w:rsidRPr="002029AF">
              <w:t>of</w:t>
            </w:r>
            <w:r w:rsidR="000A5329" w:rsidRPr="002029AF">
              <w:t xml:space="preserve"> </w:t>
            </w:r>
            <w:r w:rsidRPr="002029AF">
              <w:t>assets</w:t>
            </w:r>
            <w:r w:rsidR="000A5329" w:rsidRPr="002029AF">
              <w:t xml:space="preserve"> </w:t>
            </w:r>
            <w:r w:rsidRPr="002029AF">
              <w:t>and</w:t>
            </w:r>
            <w:r w:rsidR="000A5329" w:rsidRPr="002029AF">
              <w:t xml:space="preserve"> </w:t>
            </w:r>
            <w:r w:rsidRPr="002029AF">
              <w:t>services</w:t>
            </w:r>
            <w:r w:rsidR="000A5329" w:rsidRPr="002029AF">
              <w:t xml:space="preserve"> </w:t>
            </w:r>
            <w:r w:rsidRPr="002029AF">
              <w:t>received</w:t>
            </w:r>
            <w:r w:rsidR="000A5329" w:rsidRPr="002029AF">
              <w:t xml:space="preserve"> </w:t>
            </w:r>
            <w:r w:rsidRPr="002029AF">
              <w:t>free</w:t>
            </w:r>
            <w:r w:rsidR="000A5329" w:rsidRPr="002029AF">
              <w:t xml:space="preserve"> </w:t>
            </w:r>
            <w:r w:rsidRPr="002029AF">
              <w:t>of</w:t>
            </w:r>
            <w:r w:rsidR="000A5329" w:rsidRPr="002029AF">
              <w:t xml:space="preserve"> </w:t>
            </w:r>
            <w:r w:rsidRPr="002029AF">
              <w:t>charge</w:t>
            </w:r>
            <w:r w:rsidR="000A5329" w:rsidRPr="002029AF">
              <w:t xml:space="preserve"> </w:t>
            </w:r>
            <w:r w:rsidRPr="002029AF">
              <w:t>or</w:t>
            </w:r>
            <w:r w:rsidR="000A5329" w:rsidRPr="002029AF">
              <w:t xml:space="preserve"> </w:t>
            </w:r>
            <w:r w:rsidRPr="002029AF">
              <w:t>for</w:t>
            </w:r>
            <w:r w:rsidR="000A5329" w:rsidRPr="002029AF">
              <w:t xml:space="preserve"> </w:t>
            </w:r>
            <w:r w:rsidRPr="002029AF">
              <w:t>nominal</w:t>
            </w:r>
            <w:r w:rsidR="000A5329" w:rsidRPr="002029AF">
              <w:t xml:space="preserve"> </w:t>
            </w:r>
            <w:r w:rsidRPr="002029AF">
              <w:t>consideration</w:t>
            </w:r>
          </w:p>
        </w:tc>
        <w:tc>
          <w:tcPr>
            <w:tcW w:w="804" w:type="dxa"/>
            <w:tcBorders>
              <w:top w:val="single" w:sz="4" w:space="0" w:color="A6A6A6"/>
            </w:tcBorders>
            <w:noWrap/>
            <w:hideMark/>
          </w:tcPr>
          <w:p w14:paraId="3B177AFB" w14:textId="77777777" w:rsidR="00087B91" w:rsidRPr="002029AF" w:rsidRDefault="00087B91" w:rsidP="00860E95">
            <w:pPr>
              <w:pStyle w:val="ARfintablebodyright"/>
              <w:ind w:right="0"/>
            </w:pPr>
            <w:r w:rsidRPr="002029AF">
              <w:t>–</w:t>
            </w:r>
          </w:p>
        </w:tc>
        <w:tc>
          <w:tcPr>
            <w:tcW w:w="632" w:type="dxa"/>
            <w:tcBorders>
              <w:top w:val="single" w:sz="4" w:space="0" w:color="A6A6A6"/>
            </w:tcBorders>
            <w:noWrap/>
            <w:hideMark/>
          </w:tcPr>
          <w:p w14:paraId="0ED5C2CF" w14:textId="77777777" w:rsidR="00087B91" w:rsidRPr="002029AF" w:rsidRDefault="00087B91" w:rsidP="00860E95">
            <w:pPr>
              <w:pStyle w:val="ARfintablebodyright"/>
              <w:ind w:right="0"/>
            </w:pPr>
            <w:r w:rsidRPr="002029AF">
              <w:t>–</w:t>
            </w:r>
          </w:p>
        </w:tc>
        <w:tc>
          <w:tcPr>
            <w:tcW w:w="632" w:type="dxa"/>
            <w:tcBorders>
              <w:top w:val="single" w:sz="4" w:space="0" w:color="A6A6A6"/>
            </w:tcBorders>
            <w:noWrap/>
            <w:hideMark/>
          </w:tcPr>
          <w:p w14:paraId="399F2796"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29BE7BA9"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0B9AD7E4"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4E5902F8"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47D3C653" w14:textId="77777777" w:rsidR="00087B91" w:rsidRPr="002029AF" w:rsidRDefault="00087B91" w:rsidP="00860E95">
            <w:pPr>
              <w:pStyle w:val="ARfintablebodyright"/>
              <w:ind w:right="0"/>
            </w:pPr>
            <w:r w:rsidRPr="002029AF">
              <w:t>–</w:t>
            </w:r>
          </w:p>
        </w:tc>
        <w:tc>
          <w:tcPr>
            <w:tcW w:w="695" w:type="dxa"/>
            <w:tcBorders>
              <w:top w:val="single" w:sz="4" w:space="0" w:color="A6A6A6"/>
            </w:tcBorders>
            <w:noWrap/>
            <w:hideMark/>
          </w:tcPr>
          <w:p w14:paraId="226C3D04" w14:textId="77777777" w:rsidR="00087B91" w:rsidRPr="002029AF" w:rsidRDefault="00087B91" w:rsidP="00860E95">
            <w:pPr>
              <w:pStyle w:val="ARfintablebodyright"/>
              <w:ind w:right="0"/>
            </w:pPr>
            <w:r w:rsidRPr="002029AF">
              <w:t>–</w:t>
            </w:r>
          </w:p>
        </w:tc>
        <w:tc>
          <w:tcPr>
            <w:tcW w:w="851" w:type="dxa"/>
            <w:tcBorders>
              <w:top w:val="single" w:sz="4" w:space="0" w:color="A6A6A6"/>
            </w:tcBorders>
            <w:noWrap/>
            <w:hideMark/>
          </w:tcPr>
          <w:p w14:paraId="2D6D7448"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5B12BFFA"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795BC125"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500D94C9"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3411D609"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2B4CEA24"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40BF3CDF"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038F1008" w14:textId="77777777" w:rsidR="00087B91" w:rsidRPr="002029AF" w:rsidRDefault="00087B91" w:rsidP="00860E95">
            <w:pPr>
              <w:pStyle w:val="ARfintablebodyright"/>
              <w:ind w:right="0"/>
            </w:pPr>
            <w:r w:rsidRPr="002029AF">
              <w:t>–</w:t>
            </w:r>
          </w:p>
        </w:tc>
        <w:tc>
          <w:tcPr>
            <w:tcW w:w="803" w:type="dxa"/>
            <w:tcBorders>
              <w:top w:val="single" w:sz="4" w:space="0" w:color="A6A6A6"/>
            </w:tcBorders>
            <w:noWrap/>
            <w:hideMark/>
          </w:tcPr>
          <w:p w14:paraId="2266AE4B" w14:textId="77777777" w:rsidR="00087B91" w:rsidRPr="002029AF" w:rsidRDefault="00087B91" w:rsidP="00860E95">
            <w:pPr>
              <w:pStyle w:val="ARfintablebodyright"/>
              <w:ind w:right="0"/>
            </w:pPr>
            <w:r w:rsidRPr="002029AF">
              <w:t>–</w:t>
            </w:r>
          </w:p>
        </w:tc>
      </w:tr>
      <w:tr w:rsidR="00087B91" w:rsidRPr="002029AF" w14:paraId="15834C75" w14:textId="77777777" w:rsidTr="00C81A0B">
        <w:trPr>
          <w:gridAfter w:val="1"/>
          <w:wAfter w:w="17" w:type="dxa"/>
        </w:trPr>
        <w:tc>
          <w:tcPr>
            <w:tcW w:w="3213" w:type="dxa"/>
            <w:tcBorders>
              <w:bottom w:val="single" w:sz="4" w:space="0" w:color="auto"/>
            </w:tcBorders>
            <w:hideMark/>
          </w:tcPr>
          <w:p w14:paraId="24896DA1" w14:textId="42ACD0BC" w:rsidR="00087B91" w:rsidRPr="002029AF" w:rsidRDefault="00087B91" w:rsidP="00860E95">
            <w:pPr>
              <w:pStyle w:val="ARfintablebodybold"/>
            </w:pPr>
            <w:r w:rsidRPr="002029AF">
              <w:t>Total</w:t>
            </w:r>
            <w:r w:rsidR="000A5329" w:rsidRPr="002029AF">
              <w:t xml:space="preserve"> </w:t>
            </w:r>
            <w:r w:rsidRPr="002029AF">
              <w:t>administered</w:t>
            </w:r>
            <w:r w:rsidR="000A5329" w:rsidRPr="002029AF">
              <w:t xml:space="preserve"> </w:t>
            </w:r>
            <w:r w:rsidRPr="002029AF">
              <w:t>revenue</w:t>
            </w:r>
            <w:r w:rsidR="000A5329" w:rsidRPr="002029AF">
              <w:t xml:space="preserve"> </w:t>
            </w:r>
            <w:r w:rsidRPr="002029AF">
              <w:t>and</w:t>
            </w:r>
            <w:r w:rsidR="000A5329" w:rsidRPr="002029AF">
              <w:t xml:space="preserve"> </w:t>
            </w:r>
            <w:r w:rsidRPr="002029AF">
              <w:t>income</w:t>
            </w:r>
            <w:r w:rsidR="000A5329" w:rsidRPr="002029AF">
              <w:t xml:space="preserve"> </w:t>
            </w:r>
            <w:r w:rsidRPr="002029AF">
              <w:t>from</w:t>
            </w:r>
            <w:r w:rsidR="000A5329" w:rsidRPr="002029AF">
              <w:t xml:space="preserve"> </w:t>
            </w:r>
            <w:r w:rsidRPr="002029AF">
              <w:t>transactions</w:t>
            </w:r>
          </w:p>
        </w:tc>
        <w:tc>
          <w:tcPr>
            <w:tcW w:w="804" w:type="dxa"/>
            <w:tcBorders>
              <w:bottom w:val="single" w:sz="4" w:space="0" w:color="auto"/>
            </w:tcBorders>
            <w:noWrap/>
            <w:hideMark/>
          </w:tcPr>
          <w:p w14:paraId="473F859E" w14:textId="77777777" w:rsidR="00087B91" w:rsidRPr="002029AF" w:rsidRDefault="00087B91" w:rsidP="00860E95">
            <w:pPr>
              <w:pStyle w:val="ARfintablebodyrightbold"/>
              <w:ind w:right="0"/>
            </w:pPr>
            <w:r w:rsidRPr="002029AF">
              <w:t>9,838.1</w:t>
            </w:r>
          </w:p>
        </w:tc>
        <w:tc>
          <w:tcPr>
            <w:tcW w:w="632" w:type="dxa"/>
            <w:tcBorders>
              <w:bottom w:val="single" w:sz="4" w:space="0" w:color="auto"/>
            </w:tcBorders>
            <w:noWrap/>
            <w:hideMark/>
          </w:tcPr>
          <w:p w14:paraId="6AF5C6DA" w14:textId="77777777" w:rsidR="00087B91" w:rsidRPr="002029AF" w:rsidRDefault="00087B91" w:rsidP="00860E95">
            <w:pPr>
              <w:pStyle w:val="ARfintablebodyrightbold"/>
              <w:ind w:right="0"/>
            </w:pPr>
            <w:r w:rsidRPr="002029AF">
              <w:t>–</w:t>
            </w:r>
          </w:p>
        </w:tc>
        <w:tc>
          <w:tcPr>
            <w:tcW w:w="632" w:type="dxa"/>
            <w:tcBorders>
              <w:bottom w:val="single" w:sz="4" w:space="0" w:color="auto"/>
            </w:tcBorders>
            <w:noWrap/>
            <w:hideMark/>
          </w:tcPr>
          <w:p w14:paraId="71DA8BD5" w14:textId="77777777" w:rsidR="00087B91" w:rsidRPr="002029AF" w:rsidRDefault="00087B91" w:rsidP="00860E95">
            <w:pPr>
              <w:pStyle w:val="ARfintablebodyrightbold"/>
              <w:ind w:right="0"/>
            </w:pPr>
            <w:r w:rsidRPr="002029AF">
              <w:t>780.9</w:t>
            </w:r>
          </w:p>
        </w:tc>
        <w:tc>
          <w:tcPr>
            <w:tcW w:w="631" w:type="dxa"/>
            <w:tcBorders>
              <w:bottom w:val="single" w:sz="4" w:space="0" w:color="auto"/>
            </w:tcBorders>
            <w:noWrap/>
            <w:hideMark/>
          </w:tcPr>
          <w:p w14:paraId="68336748" w14:textId="77777777" w:rsidR="00087B91" w:rsidRPr="002029AF" w:rsidRDefault="00087B91" w:rsidP="00860E95">
            <w:pPr>
              <w:pStyle w:val="ARfintablebodyrightbold"/>
              <w:ind w:right="0"/>
            </w:pPr>
            <w:r w:rsidRPr="002029AF">
              <w:t>132.1</w:t>
            </w:r>
          </w:p>
        </w:tc>
        <w:tc>
          <w:tcPr>
            <w:tcW w:w="631" w:type="dxa"/>
            <w:tcBorders>
              <w:bottom w:val="single" w:sz="4" w:space="0" w:color="auto"/>
            </w:tcBorders>
            <w:noWrap/>
            <w:hideMark/>
          </w:tcPr>
          <w:p w14:paraId="170E2D92" w14:textId="77777777" w:rsidR="00087B91" w:rsidRPr="002029AF" w:rsidRDefault="00087B91" w:rsidP="00860E95">
            <w:pPr>
              <w:pStyle w:val="ARfintablebodyrightbold"/>
              <w:ind w:right="0"/>
            </w:pPr>
            <w:r w:rsidRPr="002029AF">
              <w:t>4.0</w:t>
            </w:r>
          </w:p>
        </w:tc>
        <w:tc>
          <w:tcPr>
            <w:tcW w:w="631" w:type="dxa"/>
            <w:tcBorders>
              <w:bottom w:val="single" w:sz="4" w:space="0" w:color="auto"/>
            </w:tcBorders>
            <w:noWrap/>
            <w:hideMark/>
          </w:tcPr>
          <w:p w14:paraId="15F6E98C" w14:textId="77777777" w:rsidR="00087B91" w:rsidRPr="002029AF" w:rsidRDefault="00087B91" w:rsidP="00860E95">
            <w:pPr>
              <w:pStyle w:val="ARfintablebodyrightbold"/>
              <w:ind w:right="0"/>
            </w:pPr>
            <w:r w:rsidRPr="002029AF">
              <w:t>97.0</w:t>
            </w:r>
          </w:p>
        </w:tc>
        <w:tc>
          <w:tcPr>
            <w:tcW w:w="631" w:type="dxa"/>
            <w:tcBorders>
              <w:bottom w:val="single" w:sz="4" w:space="0" w:color="auto"/>
            </w:tcBorders>
            <w:noWrap/>
            <w:hideMark/>
          </w:tcPr>
          <w:p w14:paraId="3C6A597B" w14:textId="77777777" w:rsidR="00087B91" w:rsidRPr="002029AF" w:rsidRDefault="00087B91" w:rsidP="00860E95">
            <w:pPr>
              <w:pStyle w:val="ARfintablebodyrightbold"/>
              <w:ind w:right="0"/>
            </w:pPr>
            <w:r w:rsidRPr="002029AF">
              <w:t>115.7</w:t>
            </w:r>
          </w:p>
        </w:tc>
        <w:tc>
          <w:tcPr>
            <w:tcW w:w="695" w:type="dxa"/>
            <w:tcBorders>
              <w:bottom w:val="single" w:sz="4" w:space="0" w:color="auto"/>
            </w:tcBorders>
            <w:noWrap/>
            <w:hideMark/>
          </w:tcPr>
          <w:p w14:paraId="56F7914F" w14:textId="77777777" w:rsidR="00087B91" w:rsidRPr="002029AF" w:rsidRDefault="00087B91" w:rsidP="00860E95">
            <w:pPr>
              <w:pStyle w:val="ARfintablebodyrightbold"/>
              <w:ind w:right="0"/>
            </w:pPr>
            <w:r w:rsidRPr="002029AF">
              <w:t>1.3</w:t>
            </w:r>
          </w:p>
        </w:tc>
        <w:tc>
          <w:tcPr>
            <w:tcW w:w="851" w:type="dxa"/>
            <w:tcBorders>
              <w:bottom w:val="single" w:sz="4" w:space="0" w:color="auto"/>
            </w:tcBorders>
            <w:noWrap/>
            <w:hideMark/>
          </w:tcPr>
          <w:p w14:paraId="728E646E" w14:textId="77777777" w:rsidR="00087B91" w:rsidRPr="002029AF" w:rsidRDefault="00087B91" w:rsidP="00860E95">
            <w:pPr>
              <w:pStyle w:val="ARfintablebodyrightbold"/>
              <w:ind w:right="0"/>
            </w:pPr>
            <w:r w:rsidRPr="002029AF">
              <w:t>1,136.0</w:t>
            </w:r>
          </w:p>
        </w:tc>
        <w:tc>
          <w:tcPr>
            <w:tcW w:w="631" w:type="dxa"/>
            <w:tcBorders>
              <w:bottom w:val="single" w:sz="4" w:space="0" w:color="auto"/>
            </w:tcBorders>
            <w:noWrap/>
            <w:hideMark/>
          </w:tcPr>
          <w:p w14:paraId="5BAFBCE8" w14:textId="77777777" w:rsidR="00087B91" w:rsidRPr="002029AF" w:rsidRDefault="00087B91" w:rsidP="00860E95">
            <w:pPr>
              <w:pStyle w:val="ARfintablebodyrightbold"/>
              <w:ind w:right="0"/>
            </w:pPr>
            <w:r w:rsidRPr="002029AF">
              <w:t>2.1</w:t>
            </w:r>
          </w:p>
        </w:tc>
        <w:tc>
          <w:tcPr>
            <w:tcW w:w="631" w:type="dxa"/>
            <w:tcBorders>
              <w:bottom w:val="single" w:sz="4" w:space="0" w:color="auto"/>
            </w:tcBorders>
            <w:noWrap/>
            <w:hideMark/>
          </w:tcPr>
          <w:p w14:paraId="7FEEEE50" w14:textId="77777777" w:rsidR="00087B91" w:rsidRPr="002029AF" w:rsidRDefault="00087B91" w:rsidP="00860E95">
            <w:pPr>
              <w:pStyle w:val="ARfintablebodyrightbold"/>
              <w:ind w:right="0"/>
            </w:pPr>
            <w:r w:rsidRPr="002029AF">
              <w:t>1.6</w:t>
            </w:r>
          </w:p>
        </w:tc>
        <w:tc>
          <w:tcPr>
            <w:tcW w:w="631" w:type="dxa"/>
            <w:tcBorders>
              <w:bottom w:val="single" w:sz="4" w:space="0" w:color="auto"/>
            </w:tcBorders>
            <w:noWrap/>
            <w:hideMark/>
          </w:tcPr>
          <w:p w14:paraId="0C3971B2" w14:textId="77777777" w:rsidR="00087B91" w:rsidRPr="002029AF" w:rsidRDefault="00087B91" w:rsidP="00860E95">
            <w:pPr>
              <w:pStyle w:val="ARfintablebodyrightbold"/>
              <w:ind w:right="0"/>
            </w:pPr>
            <w:r w:rsidRPr="002029AF">
              <w:t>0.2</w:t>
            </w:r>
          </w:p>
        </w:tc>
        <w:tc>
          <w:tcPr>
            <w:tcW w:w="631" w:type="dxa"/>
            <w:tcBorders>
              <w:bottom w:val="single" w:sz="4" w:space="0" w:color="auto"/>
            </w:tcBorders>
            <w:noWrap/>
            <w:hideMark/>
          </w:tcPr>
          <w:p w14:paraId="12CB6C3E" w14:textId="77777777" w:rsidR="00087B91" w:rsidRPr="002029AF" w:rsidRDefault="00087B91" w:rsidP="00860E95">
            <w:pPr>
              <w:pStyle w:val="ARfintablebodyrightbold"/>
              <w:ind w:right="0"/>
            </w:pPr>
            <w:r w:rsidRPr="002029AF">
              <w:t>–</w:t>
            </w:r>
          </w:p>
        </w:tc>
        <w:tc>
          <w:tcPr>
            <w:tcW w:w="631" w:type="dxa"/>
            <w:tcBorders>
              <w:bottom w:val="single" w:sz="4" w:space="0" w:color="auto"/>
            </w:tcBorders>
            <w:noWrap/>
            <w:hideMark/>
          </w:tcPr>
          <w:p w14:paraId="2104514E" w14:textId="77777777" w:rsidR="00087B91" w:rsidRPr="002029AF" w:rsidRDefault="00087B91" w:rsidP="00860E95">
            <w:pPr>
              <w:pStyle w:val="ARfintablebodyrightbold"/>
              <w:ind w:right="0"/>
            </w:pPr>
            <w:r w:rsidRPr="002029AF">
              <w:t>–</w:t>
            </w:r>
          </w:p>
        </w:tc>
        <w:tc>
          <w:tcPr>
            <w:tcW w:w="631" w:type="dxa"/>
            <w:tcBorders>
              <w:bottom w:val="single" w:sz="4" w:space="0" w:color="auto"/>
            </w:tcBorders>
            <w:noWrap/>
            <w:hideMark/>
          </w:tcPr>
          <w:p w14:paraId="3DAFDB74" w14:textId="77777777" w:rsidR="00087B91" w:rsidRPr="002029AF" w:rsidRDefault="00087B91" w:rsidP="00860E95">
            <w:pPr>
              <w:pStyle w:val="ARfintablebodyrightbold"/>
              <w:ind w:right="0"/>
            </w:pPr>
            <w:r w:rsidRPr="002029AF">
              <w:t>–</w:t>
            </w:r>
          </w:p>
        </w:tc>
        <w:tc>
          <w:tcPr>
            <w:tcW w:w="631" w:type="dxa"/>
            <w:tcBorders>
              <w:bottom w:val="single" w:sz="4" w:space="0" w:color="auto"/>
            </w:tcBorders>
            <w:noWrap/>
            <w:hideMark/>
          </w:tcPr>
          <w:p w14:paraId="1E82BADF" w14:textId="77777777" w:rsidR="00087B91" w:rsidRPr="002029AF" w:rsidRDefault="00087B91" w:rsidP="00860E95">
            <w:pPr>
              <w:pStyle w:val="ARfintablebodyrightbold"/>
              <w:ind w:right="0"/>
            </w:pPr>
            <w:r w:rsidRPr="002029AF">
              <w:t>–</w:t>
            </w:r>
          </w:p>
        </w:tc>
        <w:tc>
          <w:tcPr>
            <w:tcW w:w="803" w:type="dxa"/>
            <w:tcBorders>
              <w:bottom w:val="single" w:sz="4" w:space="0" w:color="auto"/>
            </w:tcBorders>
            <w:noWrap/>
            <w:hideMark/>
          </w:tcPr>
          <w:p w14:paraId="1847CCAA" w14:textId="77777777" w:rsidR="00087B91" w:rsidRPr="002029AF" w:rsidRDefault="00087B91" w:rsidP="00860E95">
            <w:pPr>
              <w:pStyle w:val="ARfintablebodyrightbold"/>
              <w:ind w:right="0"/>
            </w:pPr>
            <w:r w:rsidRPr="002029AF">
              <w:t>12,109.1</w:t>
            </w:r>
          </w:p>
        </w:tc>
      </w:tr>
      <w:tr w:rsidR="00087B91" w:rsidRPr="002029AF" w14:paraId="7C922247" w14:textId="77777777" w:rsidTr="00C81A0B">
        <w:tc>
          <w:tcPr>
            <w:tcW w:w="14588" w:type="dxa"/>
            <w:gridSpan w:val="19"/>
            <w:tcBorders>
              <w:top w:val="single" w:sz="4" w:space="0" w:color="auto"/>
              <w:bottom w:val="single" w:sz="4" w:space="0" w:color="A6A6A6"/>
            </w:tcBorders>
            <w:hideMark/>
          </w:tcPr>
          <w:p w14:paraId="6918EEE8" w14:textId="5F3A29F7" w:rsidR="00087B91" w:rsidRPr="002029AF" w:rsidRDefault="00087B91" w:rsidP="00860E95">
            <w:pPr>
              <w:pStyle w:val="ARfintablebodybold"/>
              <w:ind w:right="0"/>
            </w:pPr>
            <w:r w:rsidRPr="002029AF">
              <w:t>Administered</w:t>
            </w:r>
            <w:r w:rsidR="000A5329" w:rsidRPr="002029AF">
              <w:t xml:space="preserve"> </w:t>
            </w:r>
            <w:r w:rsidRPr="002029AF">
              <w:t>expenses</w:t>
            </w:r>
            <w:r w:rsidR="000A5329" w:rsidRPr="002029AF">
              <w:t xml:space="preserve"> </w:t>
            </w:r>
            <w:r w:rsidRPr="002029AF">
              <w:t>from</w:t>
            </w:r>
            <w:r w:rsidR="000A5329" w:rsidRPr="002029AF">
              <w:t xml:space="preserve"> </w:t>
            </w:r>
            <w:r w:rsidRPr="002029AF">
              <w:t>transactions</w:t>
            </w:r>
          </w:p>
        </w:tc>
      </w:tr>
      <w:tr w:rsidR="00087B91" w:rsidRPr="002029AF" w14:paraId="356404B4" w14:textId="77777777" w:rsidTr="00C81A0B">
        <w:trPr>
          <w:gridAfter w:val="1"/>
          <w:wAfter w:w="17" w:type="dxa"/>
        </w:trPr>
        <w:tc>
          <w:tcPr>
            <w:tcW w:w="3213" w:type="dxa"/>
            <w:tcBorders>
              <w:top w:val="single" w:sz="4" w:space="0" w:color="A6A6A6"/>
              <w:bottom w:val="single" w:sz="4" w:space="0" w:color="A6A6A6"/>
            </w:tcBorders>
            <w:hideMark/>
          </w:tcPr>
          <w:p w14:paraId="0D3A027F" w14:textId="12E9988B" w:rsidR="00087B91" w:rsidRPr="002029AF" w:rsidRDefault="00087B91" w:rsidP="00860E95">
            <w:pPr>
              <w:pStyle w:val="ARfintablebody"/>
            </w:pPr>
            <w:r w:rsidRPr="002029AF">
              <w:t>Grants</w:t>
            </w:r>
            <w:r w:rsidR="000A5329" w:rsidRPr="002029AF">
              <w:t xml:space="preserve"> </w:t>
            </w:r>
            <w:r w:rsidRPr="002029AF">
              <w:t>and</w:t>
            </w:r>
            <w:r w:rsidR="000A5329" w:rsidRPr="002029AF">
              <w:t xml:space="preserve"> </w:t>
            </w:r>
            <w:r w:rsidRPr="002029AF">
              <w:t>other</w:t>
            </w:r>
            <w:r w:rsidR="000A5329" w:rsidRPr="002029AF">
              <w:t xml:space="preserve"> </w:t>
            </w:r>
            <w:r w:rsidRPr="002029AF">
              <w:t>expense</w:t>
            </w:r>
            <w:r w:rsidR="000A5329" w:rsidRPr="002029AF">
              <w:t xml:space="preserve"> </w:t>
            </w:r>
            <w:r w:rsidRPr="002029AF">
              <w:t>transfers</w:t>
            </w:r>
          </w:p>
        </w:tc>
        <w:tc>
          <w:tcPr>
            <w:tcW w:w="804" w:type="dxa"/>
            <w:tcBorders>
              <w:top w:val="single" w:sz="4" w:space="0" w:color="A6A6A6"/>
              <w:bottom w:val="single" w:sz="4" w:space="0" w:color="A6A6A6"/>
            </w:tcBorders>
            <w:noWrap/>
            <w:hideMark/>
          </w:tcPr>
          <w:p w14:paraId="057E69A1" w14:textId="77777777" w:rsidR="00087B91" w:rsidRPr="002029AF" w:rsidRDefault="00087B91" w:rsidP="00860E95">
            <w:pPr>
              <w:pStyle w:val="ARfintablebodyright"/>
              <w:ind w:right="0"/>
            </w:pPr>
            <w:r w:rsidRPr="002029AF">
              <w:t>9,217.6</w:t>
            </w:r>
          </w:p>
        </w:tc>
        <w:tc>
          <w:tcPr>
            <w:tcW w:w="632" w:type="dxa"/>
            <w:tcBorders>
              <w:top w:val="single" w:sz="4" w:space="0" w:color="A6A6A6"/>
              <w:bottom w:val="single" w:sz="4" w:space="0" w:color="A6A6A6"/>
            </w:tcBorders>
            <w:noWrap/>
            <w:hideMark/>
          </w:tcPr>
          <w:p w14:paraId="5DA6EE66" w14:textId="77777777" w:rsidR="00087B91" w:rsidRPr="002029AF" w:rsidRDefault="00087B91" w:rsidP="00860E95">
            <w:pPr>
              <w:pStyle w:val="ARfintablebodyright"/>
              <w:ind w:right="0"/>
            </w:pPr>
            <w:r w:rsidRPr="002029AF">
              <w:t>–</w:t>
            </w:r>
          </w:p>
        </w:tc>
        <w:tc>
          <w:tcPr>
            <w:tcW w:w="632" w:type="dxa"/>
            <w:tcBorders>
              <w:top w:val="single" w:sz="4" w:space="0" w:color="A6A6A6"/>
              <w:bottom w:val="single" w:sz="4" w:space="0" w:color="A6A6A6"/>
            </w:tcBorders>
            <w:noWrap/>
            <w:hideMark/>
          </w:tcPr>
          <w:p w14:paraId="68149FA3" w14:textId="77777777" w:rsidR="00087B91" w:rsidRPr="002029AF" w:rsidRDefault="00087B91" w:rsidP="00860E95">
            <w:pPr>
              <w:pStyle w:val="ARfintablebodyright"/>
              <w:ind w:right="0"/>
            </w:pPr>
            <w:r w:rsidRPr="002029AF">
              <w:t>364.1</w:t>
            </w:r>
          </w:p>
        </w:tc>
        <w:tc>
          <w:tcPr>
            <w:tcW w:w="631" w:type="dxa"/>
            <w:tcBorders>
              <w:top w:val="single" w:sz="4" w:space="0" w:color="A6A6A6"/>
              <w:bottom w:val="single" w:sz="4" w:space="0" w:color="A6A6A6"/>
            </w:tcBorders>
            <w:noWrap/>
            <w:hideMark/>
          </w:tcPr>
          <w:p w14:paraId="7A3D0F38" w14:textId="77777777" w:rsidR="00087B91" w:rsidRPr="002029AF" w:rsidRDefault="00087B91" w:rsidP="00860E95">
            <w:pPr>
              <w:pStyle w:val="ARfintablebodyright"/>
              <w:ind w:right="0"/>
            </w:pPr>
            <w:r w:rsidRPr="002029AF">
              <w:t>62.3</w:t>
            </w:r>
          </w:p>
        </w:tc>
        <w:tc>
          <w:tcPr>
            <w:tcW w:w="631" w:type="dxa"/>
            <w:tcBorders>
              <w:top w:val="single" w:sz="4" w:space="0" w:color="A6A6A6"/>
              <w:bottom w:val="single" w:sz="4" w:space="0" w:color="A6A6A6"/>
            </w:tcBorders>
            <w:noWrap/>
            <w:hideMark/>
          </w:tcPr>
          <w:p w14:paraId="137DE3D6"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5F9A5265"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3E57DBBC" w14:textId="77777777" w:rsidR="00087B91" w:rsidRPr="002029AF" w:rsidRDefault="00087B91" w:rsidP="00860E95">
            <w:pPr>
              <w:pStyle w:val="ARfintablebodyright"/>
              <w:ind w:right="0"/>
            </w:pPr>
            <w:r w:rsidRPr="002029AF">
              <w:t>–</w:t>
            </w:r>
          </w:p>
        </w:tc>
        <w:tc>
          <w:tcPr>
            <w:tcW w:w="695" w:type="dxa"/>
            <w:tcBorders>
              <w:top w:val="single" w:sz="4" w:space="0" w:color="A6A6A6"/>
              <w:bottom w:val="single" w:sz="4" w:space="0" w:color="A6A6A6"/>
            </w:tcBorders>
            <w:noWrap/>
            <w:hideMark/>
          </w:tcPr>
          <w:p w14:paraId="4B959C7A" w14:textId="77777777" w:rsidR="00087B91" w:rsidRPr="002029AF" w:rsidRDefault="00087B91" w:rsidP="00860E95">
            <w:pPr>
              <w:pStyle w:val="ARfintablebodyright"/>
              <w:ind w:right="0"/>
            </w:pPr>
            <w:r w:rsidRPr="002029AF">
              <w:t>–</w:t>
            </w:r>
          </w:p>
        </w:tc>
        <w:tc>
          <w:tcPr>
            <w:tcW w:w="851" w:type="dxa"/>
            <w:tcBorders>
              <w:top w:val="single" w:sz="4" w:space="0" w:color="A6A6A6"/>
              <w:bottom w:val="single" w:sz="4" w:space="0" w:color="A6A6A6"/>
            </w:tcBorders>
            <w:noWrap/>
            <w:hideMark/>
          </w:tcPr>
          <w:p w14:paraId="45A0E4B6" w14:textId="77777777" w:rsidR="00087B91" w:rsidRPr="002029AF" w:rsidRDefault="00087B91" w:rsidP="00860E95">
            <w:pPr>
              <w:pStyle w:val="ARfintablebodyright"/>
              <w:ind w:right="0"/>
            </w:pPr>
            <w:r w:rsidRPr="002029AF">
              <w:t>1,102.6</w:t>
            </w:r>
          </w:p>
        </w:tc>
        <w:tc>
          <w:tcPr>
            <w:tcW w:w="631" w:type="dxa"/>
            <w:tcBorders>
              <w:top w:val="single" w:sz="4" w:space="0" w:color="A6A6A6"/>
              <w:bottom w:val="single" w:sz="4" w:space="0" w:color="A6A6A6"/>
            </w:tcBorders>
            <w:noWrap/>
            <w:hideMark/>
          </w:tcPr>
          <w:p w14:paraId="487305A4"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7FAC3127" w14:textId="77777777" w:rsidR="00087B91" w:rsidRPr="002029AF" w:rsidRDefault="00087B91" w:rsidP="00860E95">
            <w:pPr>
              <w:pStyle w:val="ARfintablebodyright"/>
              <w:ind w:right="0"/>
            </w:pPr>
            <w:r w:rsidRPr="002029AF">
              <w:t>1.6</w:t>
            </w:r>
          </w:p>
        </w:tc>
        <w:tc>
          <w:tcPr>
            <w:tcW w:w="631" w:type="dxa"/>
            <w:tcBorders>
              <w:top w:val="single" w:sz="4" w:space="0" w:color="A6A6A6"/>
              <w:bottom w:val="single" w:sz="4" w:space="0" w:color="A6A6A6"/>
            </w:tcBorders>
            <w:noWrap/>
            <w:hideMark/>
          </w:tcPr>
          <w:p w14:paraId="0BE69770" w14:textId="77777777" w:rsidR="00087B91" w:rsidRPr="002029AF" w:rsidRDefault="00087B91" w:rsidP="00860E95">
            <w:pPr>
              <w:pStyle w:val="ARfintablebodyright"/>
              <w:ind w:right="0"/>
            </w:pPr>
            <w:r w:rsidRPr="002029AF">
              <w:t>0.4</w:t>
            </w:r>
          </w:p>
        </w:tc>
        <w:tc>
          <w:tcPr>
            <w:tcW w:w="631" w:type="dxa"/>
            <w:tcBorders>
              <w:top w:val="single" w:sz="4" w:space="0" w:color="A6A6A6"/>
              <w:bottom w:val="single" w:sz="4" w:space="0" w:color="A6A6A6"/>
            </w:tcBorders>
            <w:noWrap/>
            <w:hideMark/>
          </w:tcPr>
          <w:p w14:paraId="284C5751"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13BE77AD"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0D01D2A3"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19FA5FD4" w14:textId="77777777" w:rsidR="00087B91" w:rsidRPr="002029AF" w:rsidRDefault="00087B91" w:rsidP="00860E95">
            <w:pPr>
              <w:pStyle w:val="ARfintablebodyright"/>
              <w:ind w:right="0"/>
            </w:pPr>
            <w:r w:rsidRPr="002029AF">
              <w:t>–</w:t>
            </w:r>
          </w:p>
        </w:tc>
        <w:tc>
          <w:tcPr>
            <w:tcW w:w="803" w:type="dxa"/>
            <w:tcBorders>
              <w:top w:val="single" w:sz="4" w:space="0" w:color="A6A6A6"/>
              <w:bottom w:val="single" w:sz="4" w:space="0" w:color="A6A6A6"/>
            </w:tcBorders>
            <w:noWrap/>
            <w:hideMark/>
          </w:tcPr>
          <w:p w14:paraId="353B0CBA" w14:textId="77777777" w:rsidR="00087B91" w:rsidRPr="002029AF" w:rsidRDefault="00087B91" w:rsidP="00860E95">
            <w:pPr>
              <w:pStyle w:val="ARfintablebodyright"/>
              <w:ind w:right="0"/>
            </w:pPr>
            <w:r w:rsidRPr="002029AF">
              <w:t>10,748.5</w:t>
            </w:r>
          </w:p>
        </w:tc>
      </w:tr>
      <w:tr w:rsidR="00087B91" w:rsidRPr="002029AF" w14:paraId="1FD4C744" w14:textId="77777777" w:rsidTr="00C81A0B">
        <w:trPr>
          <w:gridAfter w:val="1"/>
          <w:wAfter w:w="17" w:type="dxa"/>
        </w:trPr>
        <w:tc>
          <w:tcPr>
            <w:tcW w:w="3213" w:type="dxa"/>
            <w:tcBorders>
              <w:top w:val="single" w:sz="4" w:space="0" w:color="A6A6A6"/>
              <w:bottom w:val="single" w:sz="4" w:space="0" w:color="A6A6A6"/>
            </w:tcBorders>
            <w:hideMark/>
          </w:tcPr>
          <w:p w14:paraId="59152BA8" w14:textId="28973349" w:rsidR="00087B91" w:rsidRPr="002029AF" w:rsidRDefault="00087B91" w:rsidP="00860E95">
            <w:pPr>
              <w:pStyle w:val="ARfintablebody"/>
            </w:pPr>
            <w:r w:rsidRPr="002029AF">
              <w:t>Employee</w:t>
            </w:r>
            <w:r w:rsidR="000A5329" w:rsidRPr="002029AF">
              <w:t xml:space="preserve"> </w:t>
            </w:r>
            <w:r w:rsidRPr="002029AF">
              <w:t>benefits</w:t>
            </w:r>
          </w:p>
        </w:tc>
        <w:tc>
          <w:tcPr>
            <w:tcW w:w="804" w:type="dxa"/>
            <w:tcBorders>
              <w:top w:val="single" w:sz="4" w:space="0" w:color="A6A6A6"/>
              <w:bottom w:val="single" w:sz="4" w:space="0" w:color="A6A6A6"/>
            </w:tcBorders>
            <w:noWrap/>
            <w:hideMark/>
          </w:tcPr>
          <w:p w14:paraId="1C38A3B3" w14:textId="77777777" w:rsidR="00087B91" w:rsidRPr="002029AF" w:rsidRDefault="00087B91" w:rsidP="00860E95">
            <w:pPr>
              <w:pStyle w:val="ARfintablebodyright"/>
              <w:ind w:right="0"/>
            </w:pPr>
            <w:r w:rsidRPr="002029AF">
              <w:t>–</w:t>
            </w:r>
          </w:p>
        </w:tc>
        <w:tc>
          <w:tcPr>
            <w:tcW w:w="632" w:type="dxa"/>
            <w:tcBorders>
              <w:top w:val="single" w:sz="4" w:space="0" w:color="A6A6A6"/>
              <w:bottom w:val="single" w:sz="4" w:space="0" w:color="A6A6A6"/>
            </w:tcBorders>
            <w:noWrap/>
            <w:hideMark/>
          </w:tcPr>
          <w:p w14:paraId="43ECD16F" w14:textId="77777777" w:rsidR="00087B91" w:rsidRPr="002029AF" w:rsidRDefault="00087B91" w:rsidP="00860E95">
            <w:pPr>
              <w:pStyle w:val="ARfintablebodyright"/>
              <w:ind w:right="0"/>
            </w:pPr>
            <w:r w:rsidRPr="002029AF">
              <w:t>–</w:t>
            </w:r>
          </w:p>
        </w:tc>
        <w:tc>
          <w:tcPr>
            <w:tcW w:w="632" w:type="dxa"/>
            <w:tcBorders>
              <w:top w:val="single" w:sz="4" w:space="0" w:color="A6A6A6"/>
              <w:bottom w:val="single" w:sz="4" w:space="0" w:color="A6A6A6"/>
            </w:tcBorders>
            <w:noWrap/>
            <w:hideMark/>
          </w:tcPr>
          <w:p w14:paraId="6F2B6D22"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70069B13"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48780D21"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409C941D"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51EAF04E" w14:textId="77777777" w:rsidR="00087B91" w:rsidRPr="002029AF" w:rsidRDefault="00087B91" w:rsidP="00860E95">
            <w:pPr>
              <w:pStyle w:val="ARfintablebodyright"/>
              <w:ind w:right="0"/>
            </w:pPr>
            <w:r w:rsidRPr="002029AF">
              <w:t>–</w:t>
            </w:r>
          </w:p>
        </w:tc>
        <w:tc>
          <w:tcPr>
            <w:tcW w:w="695" w:type="dxa"/>
            <w:tcBorders>
              <w:top w:val="single" w:sz="4" w:space="0" w:color="A6A6A6"/>
              <w:bottom w:val="single" w:sz="4" w:space="0" w:color="A6A6A6"/>
            </w:tcBorders>
            <w:noWrap/>
            <w:hideMark/>
          </w:tcPr>
          <w:p w14:paraId="3D11BD06" w14:textId="77777777" w:rsidR="00087B91" w:rsidRPr="002029AF" w:rsidRDefault="00087B91" w:rsidP="00860E95">
            <w:pPr>
              <w:pStyle w:val="ARfintablebodyright"/>
              <w:ind w:right="0"/>
            </w:pPr>
            <w:r w:rsidRPr="002029AF">
              <w:t>–</w:t>
            </w:r>
          </w:p>
        </w:tc>
        <w:tc>
          <w:tcPr>
            <w:tcW w:w="851" w:type="dxa"/>
            <w:tcBorders>
              <w:top w:val="single" w:sz="4" w:space="0" w:color="A6A6A6"/>
              <w:bottom w:val="single" w:sz="4" w:space="0" w:color="A6A6A6"/>
            </w:tcBorders>
            <w:noWrap/>
            <w:hideMark/>
          </w:tcPr>
          <w:p w14:paraId="6C8D5D1A"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0639AB0E"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6D63EE42"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2DB84054"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1088B527"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679A5C74"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27D9AC54"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64B4D25A" w14:textId="77777777" w:rsidR="00087B91" w:rsidRPr="002029AF" w:rsidRDefault="00087B91" w:rsidP="00860E95">
            <w:pPr>
              <w:pStyle w:val="ARfintablebodyright"/>
              <w:ind w:right="0"/>
            </w:pPr>
            <w:r w:rsidRPr="002029AF">
              <w:t>–</w:t>
            </w:r>
          </w:p>
        </w:tc>
        <w:tc>
          <w:tcPr>
            <w:tcW w:w="803" w:type="dxa"/>
            <w:tcBorders>
              <w:top w:val="single" w:sz="4" w:space="0" w:color="A6A6A6"/>
              <w:bottom w:val="single" w:sz="4" w:space="0" w:color="A6A6A6"/>
            </w:tcBorders>
            <w:noWrap/>
            <w:hideMark/>
          </w:tcPr>
          <w:p w14:paraId="07F6BD9C" w14:textId="77777777" w:rsidR="00087B91" w:rsidRPr="002029AF" w:rsidRDefault="00087B91" w:rsidP="00860E95">
            <w:pPr>
              <w:pStyle w:val="ARfintablebodyright"/>
              <w:ind w:right="0"/>
            </w:pPr>
            <w:r w:rsidRPr="002029AF">
              <w:t>–</w:t>
            </w:r>
          </w:p>
        </w:tc>
      </w:tr>
      <w:tr w:rsidR="00087B91" w:rsidRPr="002029AF" w14:paraId="315D6EB7" w14:textId="77777777" w:rsidTr="00C81A0B">
        <w:trPr>
          <w:gridAfter w:val="1"/>
          <w:wAfter w:w="17" w:type="dxa"/>
        </w:trPr>
        <w:tc>
          <w:tcPr>
            <w:tcW w:w="3213" w:type="dxa"/>
            <w:tcBorders>
              <w:top w:val="single" w:sz="4" w:space="0" w:color="A6A6A6"/>
              <w:bottom w:val="single" w:sz="4" w:space="0" w:color="A6A6A6"/>
            </w:tcBorders>
            <w:hideMark/>
          </w:tcPr>
          <w:p w14:paraId="40ED3B05" w14:textId="62EF9B9D" w:rsidR="00087B91" w:rsidRPr="002029AF" w:rsidRDefault="00087B91" w:rsidP="00860E95">
            <w:pPr>
              <w:pStyle w:val="ARfintablebody"/>
            </w:pPr>
            <w:r w:rsidRPr="002029AF">
              <w:t>Other</w:t>
            </w:r>
            <w:r w:rsidR="000A5329" w:rsidRPr="002029AF">
              <w:t xml:space="preserve"> </w:t>
            </w:r>
            <w:r w:rsidRPr="002029AF">
              <w:t>operating</w:t>
            </w:r>
            <w:r w:rsidR="000A5329" w:rsidRPr="002029AF">
              <w:t xml:space="preserve"> </w:t>
            </w:r>
            <w:r w:rsidRPr="002029AF">
              <w:t>expenses</w:t>
            </w:r>
          </w:p>
        </w:tc>
        <w:tc>
          <w:tcPr>
            <w:tcW w:w="804" w:type="dxa"/>
            <w:tcBorders>
              <w:top w:val="single" w:sz="4" w:space="0" w:color="A6A6A6"/>
              <w:bottom w:val="single" w:sz="4" w:space="0" w:color="A6A6A6"/>
            </w:tcBorders>
            <w:noWrap/>
            <w:hideMark/>
          </w:tcPr>
          <w:p w14:paraId="67FDF4F2" w14:textId="77777777" w:rsidR="00087B91" w:rsidRPr="002029AF" w:rsidRDefault="00087B91" w:rsidP="00860E95">
            <w:pPr>
              <w:pStyle w:val="ARfintablebodyright"/>
              <w:ind w:right="0"/>
            </w:pPr>
            <w:r w:rsidRPr="002029AF">
              <w:t>0.4</w:t>
            </w:r>
          </w:p>
        </w:tc>
        <w:tc>
          <w:tcPr>
            <w:tcW w:w="632" w:type="dxa"/>
            <w:tcBorders>
              <w:top w:val="single" w:sz="4" w:space="0" w:color="A6A6A6"/>
              <w:bottom w:val="single" w:sz="4" w:space="0" w:color="A6A6A6"/>
            </w:tcBorders>
            <w:noWrap/>
            <w:hideMark/>
          </w:tcPr>
          <w:p w14:paraId="14AAE8B8" w14:textId="77777777" w:rsidR="00087B91" w:rsidRPr="002029AF" w:rsidRDefault="00087B91" w:rsidP="00860E95">
            <w:pPr>
              <w:pStyle w:val="ARfintablebodyright"/>
              <w:ind w:right="0"/>
            </w:pPr>
            <w:r w:rsidRPr="002029AF">
              <w:t>–</w:t>
            </w:r>
          </w:p>
        </w:tc>
        <w:tc>
          <w:tcPr>
            <w:tcW w:w="632" w:type="dxa"/>
            <w:tcBorders>
              <w:top w:val="single" w:sz="4" w:space="0" w:color="A6A6A6"/>
              <w:bottom w:val="single" w:sz="4" w:space="0" w:color="A6A6A6"/>
            </w:tcBorders>
            <w:noWrap/>
            <w:hideMark/>
          </w:tcPr>
          <w:p w14:paraId="7BAE9788" w14:textId="77777777" w:rsidR="00087B91" w:rsidRPr="002029AF" w:rsidRDefault="00087B91" w:rsidP="00860E95">
            <w:pPr>
              <w:pStyle w:val="ARfintablebodyright"/>
              <w:ind w:right="0"/>
            </w:pPr>
            <w:r w:rsidRPr="002029AF">
              <w:t>0.1</w:t>
            </w:r>
          </w:p>
        </w:tc>
        <w:tc>
          <w:tcPr>
            <w:tcW w:w="631" w:type="dxa"/>
            <w:tcBorders>
              <w:top w:val="single" w:sz="4" w:space="0" w:color="A6A6A6"/>
              <w:bottom w:val="single" w:sz="4" w:space="0" w:color="A6A6A6"/>
            </w:tcBorders>
            <w:noWrap/>
            <w:hideMark/>
          </w:tcPr>
          <w:p w14:paraId="73F8418D"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15F7B5E3"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5B097C16"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15EA41CB" w14:textId="77777777" w:rsidR="00087B91" w:rsidRPr="002029AF" w:rsidRDefault="00087B91" w:rsidP="00860E95">
            <w:pPr>
              <w:pStyle w:val="ARfintablebodyright"/>
              <w:ind w:right="0"/>
            </w:pPr>
            <w:r w:rsidRPr="002029AF">
              <w:t>0.2</w:t>
            </w:r>
          </w:p>
        </w:tc>
        <w:tc>
          <w:tcPr>
            <w:tcW w:w="695" w:type="dxa"/>
            <w:tcBorders>
              <w:top w:val="single" w:sz="4" w:space="0" w:color="A6A6A6"/>
              <w:bottom w:val="single" w:sz="4" w:space="0" w:color="A6A6A6"/>
            </w:tcBorders>
            <w:noWrap/>
            <w:hideMark/>
          </w:tcPr>
          <w:p w14:paraId="56EACE81" w14:textId="77777777" w:rsidR="00087B91" w:rsidRPr="002029AF" w:rsidRDefault="00087B91" w:rsidP="00860E95">
            <w:pPr>
              <w:pStyle w:val="ARfintablebodyright"/>
              <w:ind w:right="0"/>
            </w:pPr>
            <w:r w:rsidRPr="002029AF">
              <w:t>–</w:t>
            </w:r>
          </w:p>
        </w:tc>
        <w:tc>
          <w:tcPr>
            <w:tcW w:w="851" w:type="dxa"/>
            <w:tcBorders>
              <w:top w:val="single" w:sz="4" w:space="0" w:color="A6A6A6"/>
              <w:bottom w:val="single" w:sz="4" w:space="0" w:color="A6A6A6"/>
            </w:tcBorders>
            <w:noWrap/>
            <w:hideMark/>
          </w:tcPr>
          <w:p w14:paraId="090108D4" w14:textId="77777777" w:rsidR="00087B91" w:rsidRPr="002029AF" w:rsidRDefault="00087B91" w:rsidP="00860E95">
            <w:pPr>
              <w:pStyle w:val="ARfintablebodyright"/>
              <w:ind w:right="0"/>
            </w:pPr>
            <w:r w:rsidRPr="002029AF">
              <w:t>0.5</w:t>
            </w:r>
          </w:p>
        </w:tc>
        <w:tc>
          <w:tcPr>
            <w:tcW w:w="631" w:type="dxa"/>
            <w:tcBorders>
              <w:top w:val="single" w:sz="4" w:space="0" w:color="A6A6A6"/>
              <w:bottom w:val="single" w:sz="4" w:space="0" w:color="A6A6A6"/>
            </w:tcBorders>
            <w:noWrap/>
            <w:hideMark/>
          </w:tcPr>
          <w:p w14:paraId="07BC57F4" w14:textId="77777777" w:rsidR="00087B91" w:rsidRPr="002029AF" w:rsidRDefault="00087B91" w:rsidP="00860E95">
            <w:pPr>
              <w:pStyle w:val="ARfintablebodyright"/>
              <w:ind w:right="0"/>
            </w:pPr>
            <w:r w:rsidRPr="002029AF">
              <w:t>0.4</w:t>
            </w:r>
          </w:p>
        </w:tc>
        <w:tc>
          <w:tcPr>
            <w:tcW w:w="631" w:type="dxa"/>
            <w:tcBorders>
              <w:top w:val="single" w:sz="4" w:space="0" w:color="A6A6A6"/>
              <w:bottom w:val="single" w:sz="4" w:space="0" w:color="A6A6A6"/>
            </w:tcBorders>
            <w:noWrap/>
            <w:hideMark/>
          </w:tcPr>
          <w:p w14:paraId="5F86E230"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54A02E44" w14:textId="77777777" w:rsidR="00087B91" w:rsidRPr="002029AF" w:rsidRDefault="00087B91" w:rsidP="00860E95">
            <w:pPr>
              <w:pStyle w:val="ARfintablebodyright"/>
              <w:ind w:right="0"/>
            </w:pPr>
            <w:r w:rsidRPr="002029AF">
              <w:t>0.1</w:t>
            </w:r>
          </w:p>
        </w:tc>
        <w:tc>
          <w:tcPr>
            <w:tcW w:w="631" w:type="dxa"/>
            <w:tcBorders>
              <w:top w:val="single" w:sz="4" w:space="0" w:color="A6A6A6"/>
              <w:bottom w:val="single" w:sz="4" w:space="0" w:color="A6A6A6"/>
            </w:tcBorders>
            <w:noWrap/>
            <w:hideMark/>
          </w:tcPr>
          <w:p w14:paraId="201BD6F3"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6711DF7F"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33B80652"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35D742F1" w14:textId="77777777" w:rsidR="00087B91" w:rsidRPr="002029AF" w:rsidRDefault="00087B91" w:rsidP="00860E95">
            <w:pPr>
              <w:pStyle w:val="ARfintablebodyright"/>
              <w:ind w:right="0"/>
            </w:pPr>
            <w:r w:rsidRPr="002029AF">
              <w:t>–</w:t>
            </w:r>
          </w:p>
        </w:tc>
        <w:tc>
          <w:tcPr>
            <w:tcW w:w="803" w:type="dxa"/>
            <w:tcBorders>
              <w:top w:val="single" w:sz="4" w:space="0" w:color="A6A6A6"/>
              <w:bottom w:val="single" w:sz="4" w:space="0" w:color="A6A6A6"/>
            </w:tcBorders>
            <w:noWrap/>
            <w:hideMark/>
          </w:tcPr>
          <w:p w14:paraId="1E2FF883" w14:textId="77777777" w:rsidR="00087B91" w:rsidRPr="002029AF" w:rsidRDefault="00087B91" w:rsidP="00860E95">
            <w:pPr>
              <w:pStyle w:val="ARfintablebodyright"/>
              <w:ind w:right="0"/>
            </w:pPr>
            <w:r w:rsidRPr="002029AF">
              <w:t>1.7</w:t>
            </w:r>
          </w:p>
        </w:tc>
      </w:tr>
      <w:tr w:rsidR="00087B91" w:rsidRPr="002029AF" w14:paraId="4FE85BB3" w14:textId="77777777" w:rsidTr="00C81A0B">
        <w:trPr>
          <w:gridAfter w:val="1"/>
          <w:wAfter w:w="17" w:type="dxa"/>
        </w:trPr>
        <w:tc>
          <w:tcPr>
            <w:tcW w:w="3213" w:type="dxa"/>
            <w:tcBorders>
              <w:top w:val="single" w:sz="4" w:space="0" w:color="A6A6A6"/>
              <w:bottom w:val="single" w:sz="4" w:space="0" w:color="A6A6A6"/>
            </w:tcBorders>
            <w:hideMark/>
          </w:tcPr>
          <w:p w14:paraId="686D3400" w14:textId="496B6786" w:rsidR="00087B91" w:rsidRPr="002029AF" w:rsidRDefault="00087B91" w:rsidP="00860E95">
            <w:pPr>
              <w:pStyle w:val="ARfintablebody"/>
            </w:pPr>
            <w:r w:rsidRPr="002029AF">
              <w:t>Payments</w:t>
            </w:r>
            <w:r w:rsidR="000A5329" w:rsidRPr="002029AF">
              <w:t xml:space="preserve"> </w:t>
            </w:r>
            <w:r w:rsidRPr="002029AF">
              <w:t>into</w:t>
            </w:r>
            <w:r w:rsidR="000A5329" w:rsidRPr="002029AF">
              <w:t xml:space="preserve"> </w:t>
            </w:r>
            <w:r w:rsidRPr="002029AF">
              <w:t>the</w:t>
            </w:r>
            <w:r w:rsidR="000A5329" w:rsidRPr="002029AF">
              <w:t xml:space="preserve"> </w:t>
            </w:r>
            <w:r w:rsidRPr="002029AF">
              <w:t>consolidated</w:t>
            </w:r>
            <w:r w:rsidR="000A5329" w:rsidRPr="002029AF">
              <w:t xml:space="preserve"> </w:t>
            </w:r>
            <w:r w:rsidRPr="002029AF">
              <w:t>fund</w:t>
            </w:r>
          </w:p>
        </w:tc>
        <w:tc>
          <w:tcPr>
            <w:tcW w:w="804" w:type="dxa"/>
            <w:tcBorders>
              <w:top w:val="single" w:sz="4" w:space="0" w:color="A6A6A6"/>
              <w:bottom w:val="single" w:sz="4" w:space="0" w:color="A6A6A6"/>
            </w:tcBorders>
            <w:noWrap/>
            <w:hideMark/>
          </w:tcPr>
          <w:p w14:paraId="4070D5D1" w14:textId="77777777" w:rsidR="00087B91" w:rsidRPr="002029AF" w:rsidRDefault="00087B91" w:rsidP="00860E95">
            <w:pPr>
              <w:pStyle w:val="ARfintablebodyright"/>
              <w:ind w:right="0"/>
            </w:pPr>
            <w:r w:rsidRPr="002029AF">
              <w:t>287.6</w:t>
            </w:r>
          </w:p>
        </w:tc>
        <w:tc>
          <w:tcPr>
            <w:tcW w:w="632" w:type="dxa"/>
            <w:tcBorders>
              <w:top w:val="single" w:sz="4" w:space="0" w:color="A6A6A6"/>
              <w:bottom w:val="single" w:sz="4" w:space="0" w:color="A6A6A6"/>
            </w:tcBorders>
            <w:noWrap/>
            <w:hideMark/>
          </w:tcPr>
          <w:p w14:paraId="43C78965" w14:textId="77777777" w:rsidR="00087B91" w:rsidRPr="002029AF" w:rsidRDefault="00087B91" w:rsidP="00860E95">
            <w:pPr>
              <w:pStyle w:val="ARfintablebodyright"/>
              <w:ind w:right="0"/>
            </w:pPr>
            <w:r w:rsidRPr="002029AF">
              <w:t>–</w:t>
            </w:r>
          </w:p>
        </w:tc>
        <w:tc>
          <w:tcPr>
            <w:tcW w:w="632" w:type="dxa"/>
            <w:tcBorders>
              <w:top w:val="single" w:sz="4" w:space="0" w:color="A6A6A6"/>
              <w:bottom w:val="single" w:sz="4" w:space="0" w:color="A6A6A6"/>
            </w:tcBorders>
            <w:noWrap/>
            <w:hideMark/>
          </w:tcPr>
          <w:p w14:paraId="58EEB2B2" w14:textId="77777777" w:rsidR="00087B91" w:rsidRPr="002029AF" w:rsidRDefault="00087B91" w:rsidP="00860E95">
            <w:pPr>
              <w:pStyle w:val="ARfintablebodyright"/>
              <w:ind w:right="0"/>
            </w:pPr>
            <w:r w:rsidRPr="002029AF">
              <w:t>18.2</w:t>
            </w:r>
          </w:p>
        </w:tc>
        <w:tc>
          <w:tcPr>
            <w:tcW w:w="631" w:type="dxa"/>
            <w:tcBorders>
              <w:top w:val="single" w:sz="4" w:space="0" w:color="A6A6A6"/>
              <w:bottom w:val="single" w:sz="4" w:space="0" w:color="A6A6A6"/>
            </w:tcBorders>
            <w:noWrap/>
            <w:hideMark/>
          </w:tcPr>
          <w:p w14:paraId="584A29AF" w14:textId="77777777" w:rsidR="00087B91" w:rsidRPr="002029AF" w:rsidRDefault="00087B91" w:rsidP="00860E95">
            <w:pPr>
              <w:pStyle w:val="ARfintablebodyright"/>
              <w:ind w:right="0"/>
            </w:pPr>
            <w:r w:rsidRPr="002029AF">
              <w:t>69.8</w:t>
            </w:r>
          </w:p>
        </w:tc>
        <w:tc>
          <w:tcPr>
            <w:tcW w:w="631" w:type="dxa"/>
            <w:tcBorders>
              <w:top w:val="single" w:sz="4" w:space="0" w:color="A6A6A6"/>
              <w:bottom w:val="single" w:sz="4" w:space="0" w:color="A6A6A6"/>
            </w:tcBorders>
            <w:noWrap/>
            <w:hideMark/>
          </w:tcPr>
          <w:p w14:paraId="302E024E" w14:textId="77777777" w:rsidR="00087B91" w:rsidRPr="002029AF" w:rsidRDefault="00087B91" w:rsidP="00860E95">
            <w:pPr>
              <w:pStyle w:val="ARfintablebodyright"/>
              <w:ind w:right="0"/>
            </w:pPr>
            <w:r w:rsidRPr="002029AF">
              <w:t>3.9</w:t>
            </w:r>
          </w:p>
        </w:tc>
        <w:tc>
          <w:tcPr>
            <w:tcW w:w="631" w:type="dxa"/>
            <w:tcBorders>
              <w:top w:val="single" w:sz="4" w:space="0" w:color="A6A6A6"/>
              <w:bottom w:val="single" w:sz="4" w:space="0" w:color="A6A6A6"/>
            </w:tcBorders>
            <w:noWrap/>
            <w:hideMark/>
          </w:tcPr>
          <w:p w14:paraId="701B3B1B" w14:textId="77777777" w:rsidR="00087B91" w:rsidRPr="002029AF" w:rsidRDefault="00087B91" w:rsidP="00860E95">
            <w:pPr>
              <w:pStyle w:val="ARfintablebodyright"/>
              <w:ind w:right="0"/>
            </w:pPr>
            <w:r w:rsidRPr="002029AF">
              <w:t>4.9</w:t>
            </w:r>
          </w:p>
        </w:tc>
        <w:tc>
          <w:tcPr>
            <w:tcW w:w="631" w:type="dxa"/>
            <w:tcBorders>
              <w:top w:val="single" w:sz="4" w:space="0" w:color="A6A6A6"/>
              <w:bottom w:val="single" w:sz="4" w:space="0" w:color="A6A6A6"/>
            </w:tcBorders>
            <w:noWrap/>
            <w:hideMark/>
          </w:tcPr>
          <w:p w14:paraId="5FB773AB" w14:textId="77777777" w:rsidR="00087B91" w:rsidRPr="002029AF" w:rsidRDefault="00087B91" w:rsidP="00860E95">
            <w:pPr>
              <w:pStyle w:val="ARfintablebodyright"/>
              <w:ind w:right="0"/>
            </w:pPr>
            <w:r w:rsidRPr="002029AF">
              <w:t>10.2</w:t>
            </w:r>
          </w:p>
        </w:tc>
        <w:tc>
          <w:tcPr>
            <w:tcW w:w="695" w:type="dxa"/>
            <w:tcBorders>
              <w:top w:val="single" w:sz="4" w:space="0" w:color="A6A6A6"/>
              <w:bottom w:val="single" w:sz="4" w:space="0" w:color="A6A6A6"/>
            </w:tcBorders>
            <w:noWrap/>
            <w:hideMark/>
          </w:tcPr>
          <w:p w14:paraId="1BDD4083" w14:textId="77777777" w:rsidR="00087B91" w:rsidRPr="002029AF" w:rsidRDefault="00087B91" w:rsidP="00860E95">
            <w:pPr>
              <w:pStyle w:val="ARfintablebodyright"/>
              <w:ind w:right="0"/>
            </w:pPr>
            <w:r w:rsidRPr="002029AF">
              <w:t>1.3</w:t>
            </w:r>
          </w:p>
        </w:tc>
        <w:tc>
          <w:tcPr>
            <w:tcW w:w="851" w:type="dxa"/>
            <w:tcBorders>
              <w:top w:val="single" w:sz="4" w:space="0" w:color="A6A6A6"/>
              <w:bottom w:val="single" w:sz="4" w:space="0" w:color="A6A6A6"/>
            </w:tcBorders>
            <w:noWrap/>
            <w:hideMark/>
          </w:tcPr>
          <w:p w14:paraId="1200AFD1" w14:textId="77777777" w:rsidR="00087B91" w:rsidRPr="002029AF" w:rsidRDefault="00087B91" w:rsidP="00860E95">
            <w:pPr>
              <w:pStyle w:val="ARfintablebodyright"/>
              <w:ind w:right="0"/>
            </w:pPr>
            <w:r w:rsidRPr="002029AF">
              <w:t>68.1</w:t>
            </w:r>
          </w:p>
        </w:tc>
        <w:tc>
          <w:tcPr>
            <w:tcW w:w="631" w:type="dxa"/>
            <w:tcBorders>
              <w:top w:val="single" w:sz="4" w:space="0" w:color="A6A6A6"/>
              <w:bottom w:val="single" w:sz="4" w:space="0" w:color="A6A6A6"/>
            </w:tcBorders>
            <w:noWrap/>
            <w:hideMark/>
          </w:tcPr>
          <w:p w14:paraId="3F65B0AE" w14:textId="77777777" w:rsidR="00087B91" w:rsidRPr="002029AF" w:rsidRDefault="00087B91" w:rsidP="00860E95">
            <w:pPr>
              <w:pStyle w:val="ARfintablebodyright"/>
              <w:ind w:right="0"/>
            </w:pPr>
            <w:r w:rsidRPr="002029AF">
              <w:t>2.2</w:t>
            </w:r>
          </w:p>
        </w:tc>
        <w:tc>
          <w:tcPr>
            <w:tcW w:w="631" w:type="dxa"/>
            <w:tcBorders>
              <w:top w:val="single" w:sz="4" w:space="0" w:color="A6A6A6"/>
              <w:bottom w:val="single" w:sz="4" w:space="0" w:color="A6A6A6"/>
            </w:tcBorders>
            <w:noWrap/>
            <w:hideMark/>
          </w:tcPr>
          <w:p w14:paraId="3B37CF30"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67144551" w14:textId="77777777" w:rsidR="00087B91" w:rsidRPr="002029AF" w:rsidRDefault="00087B91" w:rsidP="00860E95">
            <w:pPr>
              <w:pStyle w:val="ARfintablebodyright"/>
              <w:ind w:right="0"/>
            </w:pPr>
            <w:r w:rsidRPr="002029AF">
              <w:t>0.1</w:t>
            </w:r>
          </w:p>
        </w:tc>
        <w:tc>
          <w:tcPr>
            <w:tcW w:w="631" w:type="dxa"/>
            <w:tcBorders>
              <w:top w:val="single" w:sz="4" w:space="0" w:color="A6A6A6"/>
              <w:bottom w:val="single" w:sz="4" w:space="0" w:color="A6A6A6"/>
            </w:tcBorders>
            <w:noWrap/>
            <w:hideMark/>
          </w:tcPr>
          <w:p w14:paraId="0FB42F50"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0E87BF58"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08C45E0D"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7058CC58" w14:textId="77777777" w:rsidR="00087B91" w:rsidRPr="002029AF" w:rsidRDefault="00087B91" w:rsidP="00860E95">
            <w:pPr>
              <w:pStyle w:val="ARfintablebodyright"/>
              <w:ind w:right="0"/>
            </w:pPr>
            <w:r w:rsidRPr="002029AF">
              <w:t>–</w:t>
            </w:r>
          </w:p>
        </w:tc>
        <w:tc>
          <w:tcPr>
            <w:tcW w:w="803" w:type="dxa"/>
            <w:tcBorders>
              <w:top w:val="single" w:sz="4" w:space="0" w:color="A6A6A6"/>
              <w:bottom w:val="single" w:sz="4" w:space="0" w:color="A6A6A6"/>
            </w:tcBorders>
            <w:noWrap/>
            <w:hideMark/>
          </w:tcPr>
          <w:p w14:paraId="19A451F1" w14:textId="77777777" w:rsidR="00087B91" w:rsidRPr="002029AF" w:rsidRDefault="00087B91" w:rsidP="00860E95">
            <w:pPr>
              <w:pStyle w:val="ARfintablebodyright"/>
              <w:ind w:right="0"/>
            </w:pPr>
            <w:r w:rsidRPr="002029AF">
              <w:t>466.2</w:t>
            </w:r>
          </w:p>
        </w:tc>
      </w:tr>
      <w:tr w:rsidR="00087B91" w:rsidRPr="002029AF" w14:paraId="41AAF722" w14:textId="77777777" w:rsidTr="00C81A0B">
        <w:trPr>
          <w:gridAfter w:val="1"/>
          <w:wAfter w:w="17" w:type="dxa"/>
        </w:trPr>
        <w:tc>
          <w:tcPr>
            <w:tcW w:w="3213" w:type="dxa"/>
            <w:tcBorders>
              <w:top w:val="single" w:sz="4" w:space="0" w:color="A6A6A6"/>
              <w:bottom w:val="single" w:sz="4" w:space="0" w:color="A6A6A6"/>
            </w:tcBorders>
            <w:hideMark/>
          </w:tcPr>
          <w:p w14:paraId="2012B101" w14:textId="4293E852" w:rsidR="00087B91" w:rsidRPr="002029AF" w:rsidRDefault="00087B91" w:rsidP="00860E95">
            <w:pPr>
              <w:pStyle w:val="ARfintablebody"/>
            </w:pPr>
            <w:r w:rsidRPr="002029AF">
              <w:t>Payment</w:t>
            </w:r>
            <w:r w:rsidR="000A5329" w:rsidRPr="002029AF">
              <w:t xml:space="preserve"> </w:t>
            </w:r>
            <w:r w:rsidRPr="002029AF">
              <w:t>from</w:t>
            </w:r>
            <w:r w:rsidR="000A5329" w:rsidRPr="002029AF">
              <w:t xml:space="preserve"> </w:t>
            </w:r>
            <w:r w:rsidRPr="002029AF">
              <w:t>the</w:t>
            </w:r>
            <w:r w:rsidR="000A5329" w:rsidRPr="002029AF">
              <w:t xml:space="preserve"> </w:t>
            </w:r>
            <w:r w:rsidRPr="002029AF">
              <w:t>national</w:t>
            </w:r>
            <w:r w:rsidR="000A5329" w:rsidRPr="002029AF">
              <w:t xml:space="preserve"> </w:t>
            </w:r>
            <w:r w:rsidRPr="002029AF">
              <w:t>health</w:t>
            </w:r>
            <w:r w:rsidR="000A5329" w:rsidRPr="002029AF">
              <w:t xml:space="preserve"> </w:t>
            </w:r>
            <w:r w:rsidRPr="002029AF">
              <w:t>funding</w:t>
            </w:r>
            <w:r w:rsidR="000A5329" w:rsidRPr="002029AF">
              <w:t xml:space="preserve"> </w:t>
            </w:r>
            <w:r w:rsidRPr="002029AF">
              <w:t>pool</w:t>
            </w:r>
            <w:r w:rsidR="000A5329" w:rsidRPr="002029AF">
              <w:t xml:space="preserve"> </w:t>
            </w:r>
            <w:r w:rsidRPr="002029AF">
              <w:t>to</w:t>
            </w:r>
            <w:r w:rsidR="000A5329" w:rsidRPr="002029AF">
              <w:t xml:space="preserve"> </w:t>
            </w:r>
            <w:r w:rsidRPr="002029AF">
              <w:t>the</w:t>
            </w:r>
            <w:r w:rsidR="000A5329" w:rsidRPr="002029AF">
              <w:t xml:space="preserve"> </w:t>
            </w:r>
            <w:r w:rsidRPr="002029AF">
              <w:t>departmental</w:t>
            </w:r>
            <w:r w:rsidR="000A5329" w:rsidRPr="002029AF">
              <w:t xml:space="preserve"> </w:t>
            </w:r>
            <w:r w:rsidRPr="002029AF">
              <w:t>controlled</w:t>
            </w:r>
            <w:r w:rsidR="000A5329" w:rsidRPr="002029AF">
              <w:t xml:space="preserve"> </w:t>
            </w:r>
            <w:r w:rsidRPr="002029AF">
              <w:t>entity</w:t>
            </w:r>
          </w:p>
        </w:tc>
        <w:tc>
          <w:tcPr>
            <w:tcW w:w="804" w:type="dxa"/>
            <w:tcBorders>
              <w:top w:val="single" w:sz="4" w:space="0" w:color="A6A6A6"/>
              <w:bottom w:val="single" w:sz="4" w:space="0" w:color="A6A6A6"/>
            </w:tcBorders>
            <w:noWrap/>
            <w:hideMark/>
          </w:tcPr>
          <w:p w14:paraId="081D3814" w14:textId="77777777" w:rsidR="00087B91" w:rsidRPr="002029AF" w:rsidRDefault="00087B91" w:rsidP="00860E95">
            <w:pPr>
              <w:pStyle w:val="ARfintablebodyright"/>
              <w:ind w:right="0"/>
            </w:pPr>
            <w:r w:rsidRPr="002029AF">
              <w:t>325.4</w:t>
            </w:r>
          </w:p>
        </w:tc>
        <w:tc>
          <w:tcPr>
            <w:tcW w:w="632" w:type="dxa"/>
            <w:tcBorders>
              <w:top w:val="single" w:sz="4" w:space="0" w:color="A6A6A6"/>
              <w:bottom w:val="single" w:sz="4" w:space="0" w:color="A6A6A6"/>
            </w:tcBorders>
            <w:noWrap/>
            <w:hideMark/>
          </w:tcPr>
          <w:p w14:paraId="63FCFA08" w14:textId="77777777" w:rsidR="00087B91" w:rsidRPr="002029AF" w:rsidRDefault="00087B91" w:rsidP="00860E95">
            <w:pPr>
              <w:pStyle w:val="ARfintablebodyright"/>
              <w:ind w:right="0"/>
            </w:pPr>
            <w:r w:rsidRPr="002029AF">
              <w:t>–</w:t>
            </w:r>
          </w:p>
        </w:tc>
        <w:tc>
          <w:tcPr>
            <w:tcW w:w="632" w:type="dxa"/>
            <w:tcBorders>
              <w:top w:val="single" w:sz="4" w:space="0" w:color="A6A6A6"/>
              <w:bottom w:val="single" w:sz="4" w:space="0" w:color="A6A6A6"/>
            </w:tcBorders>
            <w:noWrap/>
            <w:hideMark/>
          </w:tcPr>
          <w:p w14:paraId="7B10E988" w14:textId="77777777" w:rsidR="00087B91" w:rsidRPr="002029AF" w:rsidRDefault="00087B91" w:rsidP="00860E95">
            <w:pPr>
              <w:pStyle w:val="ARfintablebodyright"/>
              <w:ind w:right="0"/>
            </w:pPr>
            <w:r w:rsidRPr="002029AF">
              <w:t>398.5</w:t>
            </w:r>
          </w:p>
        </w:tc>
        <w:tc>
          <w:tcPr>
            <w:tcW w:w="631" w:type="dxa"/>
            <w:tcBorders>
              <w:top w:val="single" w:sz="4" w:space="0" w:color="A6A6A6"/>
              <w:bottom w:val="single" w:sz="4" w:space="0" w:color="A6A6A6"/>
            </w:tcBorders>
            <w:noWrap/>
            <w:hideMark/>
          </w:tcPr>
          <w:p w14:paraId="52DC046F"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5DA3043E"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51E6AA45" w14:textId="77777777" w:rsidR="00087B91" w:rsidRPr="002029AF" w:rsidRDefault="00087B91" w:rsidP="00860E95">
            <w:pPr>
              <w:pStyle w:val="ARfintablebodyright"/>
              <w:ind w:right="0"/>
            </w:pPr>
            <w:r w:rsidRPr="002029AF">
              <w:t>92.1</w:t>
            </w:r>
          </w:p>
        </w:tc>
        <w:tc>
          <w:tcPr>
            <w:tcW w:w="631" w:type="dxa"/>
            <w:tcBorders>
              <w:top w:val="single" w:sz="4" w:space="0" w:color="A6A6A6"/>
              <w:bottom w:val="single" w:sz="4" w:space="0" w:color="A6A6A6"/>
            </w:tcBorders>
            <w:noWrap/>
            <w:hideMark/>
          </w:tcPr>
          <w:p w14:paraId="191EFA8D" w14:textId="77777777" w:rsidR="00087B91" w:rsidRPr="002029AF" w:rsidRDefault="00087B91" w:rsidP="00860E95">
            <w:pPr>
              <w:pStyle w:val="ARfintablebodyright"/>
              <w:ind w:right="0"/>
            </w:pPr>
            <w:r w:rsidRPr="002029AF">
              <w:t>105.3</w:t>
            </w:r>
          </w:p>
        </w:tc>
        <w:tc>
          <w:tcPr>
            <w:tcW w:w="695" w:type="dxa"/>
            <w:tcBorders>
              <w:top w:val="single" w:sz="4" w:space="0" w:color="A6A6A6"/>
              <w:bottom w:val="single" w:sz="4" w:space="0" w:color="A6A6A6"/>
            </w:tcBorders>
            <w:noWrap/>
            <w:hideMark/>
          </w:tcPr>
          <w:p w14:paraId="547EB2C3" w14:textId="77777777" w:rsidR="00087B91" w:rsidRPr="002029AF" w:rsidRDefault="00087B91" w:rsidP="00860E95">
            <w:pPr>
              <w:pStyle w:val="ARfintablebodyright"/>
              <w:ind w:right="0"/>
            </w:pPr>
            <w:r w:rsidRPr="002029AF">
              <w:t>–</w:t>
            </w:r>
          </w:p>
        </w:tc>
        <w:tc>
          <w:tcPr>
            <w:tcW w:w="851" w:type="dxa"/>
            <w:tcBorders>
              <w:top w:val="single" w:sz="4" w:space="0" w:color="A6A6A6"/>
              <w:bottom w:val="single" w:sz="4" w:space="0" w:color="A6A6A6"/>
            </w:tcBorders>
            <w:noWrap/>
            <w:hideMark/>
          </w:tcPr>
          <w:p w14:paraId="1B9CBDE1"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672D2ED0"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4B69C5BE"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33D3DE3E"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6201D0A8"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7AAE9897"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1720D7B6"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62002886" w14:textId="77777777" w:rsidR="00087B91" w:rsidRPr="002029AF" w:rsidRDefault="00087B91" w:rsidP="00860E95">
            <w:pPr>
              <w:pStyle w:val="ARfintablebodyright"/>
              <w:ind w:right="0"/>
            </w:pPr>
            <w:r w:rsidRPr="002029AF">
              <w:t>–</w:t>
            </w:r>
          </w:p>
        </w:tc>
        <w:tc>
          <w:tcPr>
            <w:tcW w:w="803" w:type="dxa"/>
            <w:tcBorders>
              <w:top w:val="single" w:sz="4" w:space="0" w:color="A6A6A6"/>
              <w:bottom w:val="single" w:sz="4" w:space="0" w:color="A6A6A6"/>
            </w:tcBorders>
            <w:noWrap/>
            <w:hideMark/>
          </w:tcPr>
          <w:p w14:paraId="3B1F7A7E" w14:textId="77777777" w:rsidR="00087B91" w:rsidRPr="002029AF" w:rsidRDefault="00087B91" w:rsidP="00860E95">
            <w:pPr>
              <w:pStyle w:val="ARfintablebodyright"/>
              <w:ind w:right="0"/>
            </w:pPr>
            <w:r w:rsidRPr="002029AF">
              <w:t>921.4</w:t>
            </w:r>
          </w:p>
        </w:tc>
      </w:tr>
      <w:tr w:rsidR="00087B91" w:rsidRPr="002029AF" w14:paraId="63B0215F" w14:textId="77777777" w:rsidTr="00C81A0B">
        <w:trPr>
          <w:gridAfter w:val="1"/>
          <w:wAfter w:w="17" w:type="dxa"/>
        </w:trPr>
        <w:tc>
          <w:tcPr>
            <w:tcW w:w="3213" w:type="dxa"/>
            <w:tcBorders>
              <w:top w:val="single" w:sz="4" w:space="0" w:color="A6A6A6"/>
            </w:tcBorders>
            <w:hideMark/>
          </w:tcPr>
          <w:p w14:paraId="56D7B881" w14:textId="66649017" w:rsidR="00087B91" w:rsidRPr="002029AF" w:rsidRDefault="00087B91" w:rsidP="00860E95">
            <w:pPr>
              <w:pStyle w:val="ARfintablebody"/>
            </w:pPr>
            <w:r w:rsidRPr="002029AF">
              <w:t>Fair</w:t>
            </w:r>
            <w:r w:rsidR="000A5329" w:rsidRPr="002029AF">
              <w:t xml:space="preserve"> </w:t>
            </w:r>
            <w:r w:rsidRPr="002029AF">
              <w:t>value</w:t>
            </w:r>
            <w:r w:rsidR="000A5329" w:rsidRPr="002029AF">
              <w:t xml:space="preserve"> </w:t>
            </w:r>
            <w:r w:rsidRPr="002029AF">
              <w:t>of</w:t>
            </w:r>
            <w:r w:rsidR="000A5329" w:rsidRPr="002029AF">
              <w:t xml:space="preserve"> </w:t>
            </w:r>
            <w:r w:rsidRPr="002029AF">
              <w:t>assets</w:t>
            </w:r>
            <w:r w:rsidR="000A5329" w:rsidRPr="002029AF">
              <w:t xml:space="preserve"> </w:t>
            </w:r>
            <w:r w:rsidRPr="002029AF">
              <w:t>and</w:t>
            </w:r>
            <w:r w:rsidR="000A5329" w:rsidRPr="002029AF">
              <w:t xml:space="preserve"> </w:t>
            </w:r>
            <w:r w:rsidRPr="002029AF">
              <w:t>services</w:t>
            </w:r>
            <w:r w:rsidR="000A5329" w:rsidRPr="002029AF">
              <w:t xml:space="preserve"> </w:t>
            </w:r>
            <w:r w:rsidRPr="002029AF">
              <w:t>provided</w:t>
            </w:r>
            <w:r w:rsidR="000A5329" w:rsidRPr="002029AF">
              <w:t xml:space="preserve"> </w:t>
            </w:r>
            <w:r w:rsidRPr="002029AF">
              <w:t>free</w:t>
            </w:r>
            <w:r w:rsidR="000A5329" w:rsidRPr="002029AF">
              <w:t xml:space="preserve"> </w:t>
            </w:r>
            <w:r w:rsidRPr="002029AF">
              <w:t>of</w:t>
            </w:r>
            <w:r w:rsidR="000A5329" w:rsidRPr="002029AF">
              <w:t xml:space="preserve"> </w:t>
            </w:r>
            <w:r w:rsidRPr="002029AF">
              <w:t>charge</w:t>
            </w:r>
            <w:r w:rsidR="000A5329" w:rsidRPr="002029AF">
              <w:t xml:space="preserve"> </w:t>
            </w:r>
            <w:r w:rsidRPr="002029AF">
              <w:t>or</w:t>
            </w:r>
            <w:r w:rsidR="000A5329" w:rsidRPr="002029AF">
              <w:t xml:space="preserve"> </w:t>
            </w:r>
            <w:r w:rsidRPr="002029AF">
              <w:t>for</w:t>
            </w:r>
            <w:r w:rsidR="000A5329" w:rsidRPr="002029AF">
              <w:t xml:space="preserve"> </w:t>
            </w:r>
            <w:r w:rsidRPr="002029AF">
              <w:t>nominal</w:t>
            </w:r>
            <w:r w:rsidR="000A5329" w:rsidRPr="002029AF">
              <w:t xml:space="preserve"> </w:t>
            </w:r>
            <w:r w:rsidRPr="002029AF">
              <w:t>consideration</w:t>
            </w:r>
          </w:p>
        </w:tc>
        <w:tc>
          <w:tcPr>
            <w:tcW w:w="804" w:type="dxa"/>
            <w:tcBorders>
              <w:top w:val="single" w:sz="4" w:space="0" w:color="A6A6A6"/>
            </w:tcBorders>
            <w:noWrap/>
            <w:hideMark/>
          </w:tcPr>
          <w:p w14:paraId="2CCE0EF2" w14:textId="77777777" w:rsidR="00087B91" w:rsidRPr="002029AF" w:rsidRDefault="00087B91" w:rsidP="00860E95">
            <w:pPr>
              <w:pStyle w:val="ARfintablebodyright"/>
              <w:ind w:right="0"/>
            </w:pPr>
            <w:r w:rsidRPr="002029AF">
              <w:t>–</w:t>
            </w:r>
          </w:p>
        </w:tc>
        <w:tc>
          <w:tcPr>
            <w:tcW w:w="632" w:type="dxa"/>
            <w:tcBorders>
              <w:top w:val="single" w:sz="4" w:space="0" w:color="A6A6A6"/>
            </w:tcBorders>
            <w:noWrap/>
            <w:hideMark/>
          </w:tcPr>
          <w:p w14:paraId="78202AD5" w14:textId="77777777" w:rsidR="00087B91" w:rsidRPr="002029AF" w:rsidRDefault="00087B91" w:rsidP="00860E95">
            <w:pPr>
              <w:pStyle w:val="ARfintablebodyright"/>
              <w:ind w:right="0"/>
            </w:pPr>
            <w:r w:rsidRPr="002029AF">
              <w:t>–</w:t>
            </w:r>
          </w:p>
        </w:tc>
        <w:tc>
          <w:tcPr>
            <w:tcW w:w="632" w:type="dxa"/>
            <w:tcBorders>
              <w:top w:val="single" w:sz="4" w:space="0" w:color="A6A6A6"/>
            </w:tcBorders>
            <w:noWrap/>
            <w:hideMark/>
          </w:tcPr>
          <w:p w14:paraId="0518342E"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0C967380"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02D99E1D"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7193833E"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431ED105" w14:textId="77777777" w:rsidR="00087B91" w:rsidRPr="002029AF" w:rsidRDefault="00087B91" w:rsidP="00860E95">
            <w:pPr>
              <w:pStyle w:val="ARfintablebodyright"/>
              <w:ind w:right="0"/>
            </w:pPr>
            <w:r w:rsidRPr="002029AF">
              <w:t>–</w:t>
            </w:r>
          </w:p>
        </w:tc>
        <w:tc>
          <w:tcPr>
            <w:tcW w:w="695" w:type="dxa"/>
            <w:tcBorders>
              <w:top w:val="single" w:sz="4" w:space="0" w:color="A6A6A6"/>
            </w:tcBorders>
            <w:noWrap/>
            <w:hideMark/>
          </w:tcPr>
          <w:p w14:paraId="1045822A" w14:textId="77777777" w:rsidR="00087B91" w:rsidRPr="002029AF" w:rsidRDefault="00087B91" w:rsidP="00860E95">
            <w:pPr>
              <w:pStyle w:val="ARfintablebodyright"/>
              <w:ind w:right="0"/>
            </w:pPr>
            <w:r w:rsidRPr="002029AF">
              <w:t>–</w:t>
            </w:r>
          </w:p>
        </w:tc>
        <w:tc>
          <w:tcPr>
            <w:tcW w:w="851" w:type="dxa"/>
            <w:tcBorders>
              <w:top w:val="single" w:sz="4" w:space="0" w:color="A6A6A6"/>
            </w:tcBorders>
            <w:noWrap/>
            <w:hideMark/>
          </w:tcPr>
          <w:p w14:paraId="559F3476" w14:textId="77777777" w:rsidR="00087B91" w:rsidRPr="002029AF" w:rsidRDefault="00087B91" w:rsidP="00860E95">
            <w:pPr>
              <w:pStyle w:val="ARfintablebodyright"/>
              <w:ind w:right="0"/>
            </w:pPr>
            <w:r w:rsidRPr="002029AF">
              <w:t>10.0</w:t>
            </w:r>
          </w:p>
        </w:tc>
        <w:tc>
          <w:tcPr>
            <w:tcW w:w="631" w:type="dxa"/>
            <w:tcBorders>
              <w:top w:val="single" w:sz="4" w:space="0" w:color="A6A6A6"/>
            </w:tcBorders>
            <w:noWrap/>
            <w:hideMark/>
          </w:tcPr>
          <w:p w14:paraId="57AC7D57"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0F5150B8"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3D925BB7"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32D55027"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3C70A563"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488589CD"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46045836" w14:textId="77777777" w:rsidR="00087B91" w:rsidRPr="002029AF" w:rsidRDefault="00087B91" w:rsidP="00860E95">
            <w:pPr>
              <w:pStyle w:val="ARfintablebodyright"/>
              <w:ind w:right="0"/>
            </w:pPr>
            <w:r w:rsidRPr="002029AF">
              <w:t>–</w:t>
            </w:r>
          </w:p>
        </w:tc>
        <w:tc>
          <w:tcPr>
            <w:tcW w:w="803" w:type="dxa"/>
            <w:tcBorders>
              <w:top w:val="single" w:sz="4" w:space="0" w:color="A6A6A6"/>
            </w:tcBorders>
            <w:noWrap/>
            <w:hideMark/>
          </w:tcPr>
          <w:p w14:paraId="2FB8E82F" w14:textId="77777777" w:rsidR="00087B91" w:rsidRPr="002029AF" w:rsidRDefault="00087B91" w:rsidP="00860E95">
            <w:pPr>
              <w:pStyle w:val="ARfintablebodyright"/>
              <w:ind w:right="0"/>
            </w:pPr>
            <w:r w:rsidRPr="002029AF">
              <w:t>10.0</w:t>
            </w:r>
          </w:p>
        </w:tc>
      </w:tr>
      <w:tr w:rsidR="00087B91" w:rsidRPr="002029AF" w14:paraId="79A7FDDB" w14:textId="77777777" w:rsidTr="00C81A0B">
        <w:trPr>
          <w:gridAfter w:val="1"/>
          <w:wAfter w:w="17" w:type="dxa"/>
        </w:trPr>
        <w:tc>
          <w:tcPr>
            <w:tcW w:w="3213" w:type="dxa"/>
            <w:hideMark/>
          </w:tcPr>
          <w:p w14:paraId="76FD3298" w14:textId="5EF4223F" w:rsidR="00087B91" w:rsidRPr="002029AF" w:rsidRDefault="00087B91" w:rsidP="00860E95">
            <w:pPr>
              <w:pStyle w:val="ARfintablebodybold"/>
            </w:pPr>
            <w:r w:rsidRPr="002029AF">
              <w:t>Total</w:t>
            </w:r>
            <w:r w:rsidR="000A5329" w:rsidRPr="002029AF">
              <w:t xml:space="preserve"> </w:t>
            </w:r>
            <w:r w:rsidRPr="002029AF">
              <w:t>administered</w:t>
            </w:r>
            <w:r w:rsidR="000A5329" w:rsidRPr="002029AF">
              <w:t xml:space="preserve"> </w:t>
            </w:r>
            <w:r w:rsidRPr="002029AF">
              <w:t>expenses</w:t>
            </w:r>
            <w:r w:rsidR="000A5329" w:rsidRPr="002029AF">
              <w:t xml:space="preserve"> </w:t>
            </w:r>
            <w:r w:rsidRPr="002029AF">
              <w:t>from</w:t>
            </w:r>
            <w:r w:rsidR="000A5329" w:rsidRPr="002029AF">
              <w:t xml:space="preserve"> </w:t>
            </w:r>
            <w:r w:rsidRPr="002029AF">
              <w:t>transactions</w:t>
            </w:r>
          </w:p>
        </w:tc>
        <w:tc>
          <w:tcPr>
            <w:tcW w:w="804" w:type="dxa"/>
            <w:noWrap/>
            <w:hideMark/>
          </w:tcPr>
          <w:p w14:paraId="6A8ADF70" w14:textId="77777777" w:rsidR="00087B91" w:rsidRPr="002029AF" w:rsidRDefault="00087B91" w:rsidP="00860E95">
            <w:pPr>
              <w:pStyle w:val="ARfintablebodyrightbold"/>
              <w:ind w:right="0"/>
            </w:pPr>
            <w:r w:rsidRPr="002029AF">
              <w:t>9,831.1</w:t>
            </w:r>
          </w:p>
        </w:tc>
        <w:tc>
          <w:tcPr>
            <w:tcW w:w="632" w:type="dxa"/>
            <w:noWrap/>
            <w:hideMark/>
          </w:tcPr>
          <w:p w14:paraId="6CAAAD04" w14:textId="77777777" w:rsidR="00087B91" w:rsidRPr="002029AF" w:rsidRDefault="00087B91" w:rsidP="00860E95">
            <w:pPr>
              <w:pStyle w:val="ARfintablebodyrightbold"/>
              <w:ind w:right="0"/>
            </w:pPr>
            <w:r w:rsidRPr="002029AF">
              <w:t>–</w:t>
            </w:r>
          </w:p>
        </w:tc>
        <w:tc>
          <w:tcPr>
            <w:tcW w:w="632" w:type="dxa"/>
            <w:noWrap/>
            <w:hideMark/>
          </w:tcPr>
          <w:p w14:paraId="6ABC70C8" w14:textId="77777777" w:rsidR="00087B91" w:rsidRPr="002029AF" w:rsidRDefault="00087B91" w:rsidP="00860E95">
            <w:pPr>
              <w:pStyle w:val="ARfintablebodyrightbold"/>
              <w:ind w:right="0"/>
            </w:pPr>
            <w:r w:rsidRPr="002029AF">
              <w:t>780.9</w:t>
            </w:r>
          </w:p>
        </w:tc>
        <w:tc>
          <w:tcPr>
            <w:tcW w:w="631" w:type="dxa"/>
            <w:noWrap/>
            <w:hideMark/>
          </w:tcPr>
          <w:p w14:paraId="5A3F8C16" w14:textId="77777777" w:rsidR="00087B91" w:rsidRPr="002029AF" w:rsidRDefault="00087B91" w:rsidP="00860E95">
            <w:pPr>
              <w:pStyle w:val="ARfintablebodyrightbold"/>
              <w:ind w:right="0"/>
            </w:pPr>
            <w:r w:rsidRPr="002029AF">
              <w:t>132.1</w:t>
            </w:r>
          </w:p>
        </w:tc>
        <w:tc>
          <w:tcPr>
            <w:tcW w:w="631" w:type="dxa"/>
            <w:noWrap/>
            <w:hideMark/>
          </w:tcPr>
          <w:p w14:paraId="52EE0341" w14:textId="77777777" w:rsidR="00087B91" w:rsidRPr="002029AF" w:rsidRDefault="00087B91" w:rsidP="00860E95">
            <w:pPr>
              <w:pStyle w:val="ARfintablebodyrightbold"/>
              <w:ind w:right="0"/>
            </w:pPr>
            <w:r w:rsidRPr="002029AF">
              <w:t>4.0</w:t>
            </w:r>
          </w:p>
        </w:tc>
        <w:tc>
          <w:tcPr>
            <w:tcW w:w="631" w:type="dxa"/>
            <w:noWrap/>
            <w:hideMark/>
          </w:tcPr>
          <w:p w14:paraId="0FFFB799" w14:textId="77777777" w:rsidR="00087B91" w:rsidRPr="002029AF" w:rsidRDefault="00087B91" w:rsidP="00860E95">
            <w:pPr>
              <w:pStyle w:val="ARfintablebodyrightbold"/>
              <w:ind w:right="0"/>
            </w:pPr>
            <w:r w:rsidRPr="002029AF">
              <w:t>97.0</w:t>
            </w:r>
          </w:p>
        </w:tc>
        <w:tc>
          <w:tcPr>
            <w:tcW w:w="631" w:type="dxa"/>
            <w:noWrap/>
            <w:hideMark/>
          </w:tcPr>
          <w:p w14:paraId="60331A08" w14:textId="77777777" w:rsidR="00087B91" w:rsidRPr="002029AF" w:rsidRDefault="00087B91" w:rsidP="00860E95">
            <w:pPr>
              <w:pStyle w:val="ARfintablebodyrightbold"/>
              <w:ind w:right="0"/>
            </w:pPr>
            <w:r w:rsidRPr="002029AF">
              <w:t>115.7</w:t>
            </w:r>
          </w:p>
        </w:tc>
        <w:tc>
          <w:tcPr>
            <w:tcW w:w="695" w:type="dxa"/>
            <w:noWrap/>
            <w:hideMark/>
          </w:tcPr>
          <w:p w14:paraId="237AA09D" w14:textId="77777777" w:rsidR="00087B91" w:rsidRPr="002029AF" w:rsidRDefault="00087B91" w:rsidP="00860E95">
            <w:pPr>
              <w:pStyle w:val="ARfintablebodyrightbold"/>
              <w:ind w:right="0"/>
            </w:pPr>
            <w:r w:rsidRPr="002029AF">
              <w:t>1.3</w:t>
            </w:r>
          </w:p>
        </w:tc>
        <w:tc>
          <w:tcPr>
            <w:tcW w:w="851" w:type="dxa"/>
            <w:noWrap/>
            <w:hideMark/>
          </w:tcPr>
          <w:p w14:paraId="32707C9B" w14:textId="77777777" w:rsidR="00087B91" w:rsidRPr="002029AF" w:rsidRDefault="00087B91" w:rsidP="00860E95">
            <w:pPr>
              <w:pStyle w:val="ARfintablebodyrightbold"/>
              <w:ind w:right="0"/>
            </w:pPr>
            <w:r w:rsidRPr="002029AF">
              <w:t>1,181.1</w:t>
            </w:r>
          </w:p>
        </w:tc>
        <w:tc>
          <w:tcPr>
            <w:tcW w:w="631" w:type="dxa"/>
            <w:noWrap/>
            <w:hideMark/>
          </w:tcPr>
          <w:p w14:paraId="20690A6C" w14:textId="77777777" w:rsidR="00087B91" w:rsidRPr="002029AF" w:rsidRDefault="00087B91" w:rsidP="00860E95">
            <w:pPr>
              <w:pStyle w:val="ARfintablebodyrightbold"/>
              <w:ind w:right="0"/>
            </w:pPr>
            <w:r w:rsidRPr="002029AF">
              <w:t>2.6</w:t>
            </w:r>
          </w:p>
        </w:tc>
        <w:tc>
          <w:tcPr>
            <w:tcW w:w="631" w:type="dxa"/>
            <w:noWrap/>
            <w:hideMark/>
          </w:tcPr>
          <w:p w14:paraId="78C188FA" w14:textId="77777777" w:rsidR="00087B91" w:rsidRPr="002029AF" w:rsidRDefault="00087B91" w:rsidP="00860E95">
            <w:pPr>
              <w:pStyle w:val="ARfintablebodyrightbold"/>
              <w:ind w:right="0"/>
            </w:pPr>
            <w:r w:rsidRPr="002029AF">
              <w:t>1.6</w:t>
            </w:r>
          </w:p>
        </w:tc>
        <w:tc>
          <w:tcPr>
            <w:tcW w:w="631" w:type="dxa"/>
            <w:noWrap/>
            <w:hideMark/>
          </w:tcPr>
          <w:p w14:paraId="33B0E46B" w14:textId="77777777" w:rsidR="00087B91" w:rsidRPr="002029AF" w:rsidRDefault="00087B91" w:rsidP="00860E95">
            <w:pPr>
              <w:pStyle w:val="ARfintablebodyrightbold"/>
              <w:ind w:right="0"/>
            </w:pPr>
            <w:r w:rsidRPr="002029AF">
              <w:t>0.6</w:t>
            </w:r>
          </w:p>
        </w:tc>
        <w:tc>
          <w:tcPr>
            <w:tcW w:w="631" w:type="dxa"/>
            <w:noWrap/>
            <w:hideMark/>
          </w:tcPr>
          <w:p w14:paraId="2437B19E" w14:textId="77777777" w:rsidR="00087B91" w:rsidRPr="002029AF" w:rsidRDefault="00087B91" w:rsidP="00860E95">
            <w:pPr>
              <w:pStyle w:val="ARfintablebodyrightbold"/>
              <w:ind w:right="0"/>
            </w:pPr>
            <w:r w:rsidRPr="002029AF">
              <w:t>–</w:t>
            </w:r>
          </w:p>
        </w:tc>
        <w:tc>
          <w:tcPr>
            <w:tcW w:w="631" w:type="dxa"/>
            <w:noWrap/>
            <w:hideMark/>
          </w:tcPr>
          <w:p w14:paraId="07A5BE96" w14:textId="77777777" w:rsidR="00087B91" w:rsidRPr="002029AF" w:rsidRDefault="00087B91" w:rsidP="00860E95">
            <w:pPr>
              <w:pStyle w:val="ARfintablebodyrightbold"/>
              <w:ind w:right="0"/>
            </w:pPr>
            <w:r w:rsidRPr="002029AF">
              <w:t>–</w:t>
            </w:r>
          </w:p>
        </w:tc>
        <w:tc>
          <w:tcPr>
            <w:tcW w:w="631" w:type="dxa"/>
            <w:noWrap/>
            <w:hideMark/>
          </w:tcPr>
          <w:p w14:paraId="7C8D3F34" w14:textId="77777777" w:rsidR="00087B91" w:rsidRPr="002029AF" w:rsidRDefault="00087B91" w:rsidP="00860E95">
            <w:pPr>
              <w:pStyle w:val="ARfintablebodyrightbold"/>
              <w:ind w:right="0"/>
            </w:pPr>
            <w:r w:rsidRPr="002029AF">
              <w:t>–</w:t>
            </w:r>
          </w:p>
        </w:tc>
        <w:tc>
          <w:tcPr>
            <w:tcW w:w="631" w:type="dxa"/>
            <w:noWrap/>
            <w:hideMark/>
          </w:tcPr>
          <w:p w14:paraId="51BEAF5E" w14:textId="77777777" w:rsidR="00087B91" w:rsidRPr="002029AF" w:rsidRDefault="00087B91" w:rsidP="00860E95">
            <w:pPr>
              <w:pStyle w:val="ARfintablebodyrightbold"/>
              <w:ind w:right="0"/>
            </w:pPr>
            <w:r w:rsidRPr="002029AF">
              <w:t>–</w:t>
            </w:r>
          </w:p>
        </w:tc>
        <w:tc>
          <w:tcPr>
            <w:tcW w:w="803" w:type="dxa"/>
            <w:noWrap/>
            <w:hideMark/>
          </w:tcPr>
          <w:p w14:paraId="1B5A7E32" w14:textId="77777777" w:rsidR="00087B91" w:rsidRPr="002029AF" w:rsidRDefault="00087B91" w:rsidP="00860E95">
            <w:pPr>
              <w:pStyle w:val="ARfintablebodyrightbold"/>
              <w:ind w:right="0"/>
            </w:pPr>
            <w:r w:rsidRPr="002029AF">
              <w:t>12,148.0</w:t>
            </w:r>
          </w:p>
        </w:tc>
      </w:tr>
      <w:tr w:rsidR="00087B91" w:rsidRPr="002029AF" w14:paraId="622BB462" w14:textId="77777777" w:rsidTr="00C81A0B">
        <w:trPr>
          <w:gridAfter w:val="1"/>
          <w:wAfter w:w="17" w:type="dxa"/>
        </w:trPr>
        <w:tc>
          <w:tcPr>
            <w:tcW w:w="3213" w:type="dxa"/>
            <w:tcBorders>
              <w:bottom w:val="single" w:sz="4" w:space="0" w:color="auto"/>
            </w:tcBorders>
            <w:hideMark/>
          </w:tcPr>
          <w:p w14:paraId="3CC2B584" w14:textId="3E4A9B59" w:rsidR="00087B91" w:rsidRPr="002029AF" w:rsidRDefault="00087B91" w:rsidP="00860E95">
            <w:pPr>
              <w:pStyle w:val="ARfintablebodybold"/>
            </w:pPr>
            <w:r w:rsidRPr="002029AF">
              <w:t>Total</w:t>
            </w:r>
            <w:r w:rsidR="000A5329" w:rsidRPr="002029AF">
              <w:t xml:space="preserve"> </w:t>
            </w:r>
            <w:r w:rsidRPr="002029AF">
              <w:t>administered</w:t>
            </w:r>
            <w:r w:rsidR="000A5329" w:rsidRPr="002029AF">
              <w:t xml:space="preserve"> </w:t>
            </w:r>
            <w:r w:rsidRPr="002029AF">
              <w:t>net</w:t>
            </w:r>
            <w:r w:rsidR="000A5329" w:rsidRPr="002029AF">
              <w:t xml:space="preserve"> </w:t>
            </w:r>
            <w:r w:rsidRPr="002029AF">
              <w:t>result</w:t>
            </w:r>
            <w:r w:rsidR="000A5329" w:rsidRPr="002029AF">
              <w:t xml:space="preserve"> </w:t>
            </w:r>
            <w:r w:rsidRPr="002029AF">
              <w:t>from</w:t>
            </w:r>
            <w:r w:rsidR="000A5329" w:rsidRPr="002029AF">
              <w:t xml:space="preserve"> </w:t>
            </w:r>
            <w:r w:rsidRPr="002029AF">
              <w:t>transactions</w:t>
            </w:r>
          </w:p>
        </w:tc>
        <w:tc>
          <w:tcPr>
            <w:tcW w:w="804" w:type="dxa"/>
            <w:tcBorders>
              <w:bottom w:val="single" w:sz="4" w:space="0" w:color="auto"/>
            </w:tcBorders>
            <w:noWrap/>
            <w:hideMark/>
          </w:tcPr>
          <w:p w14:paraId="14BA65A4" w14:textId="77777777" w:rsidR="00087B91" w:rsidRPr="002029AF" w:rsidRDefault="00087B91" w:rsidP="00860E95">
            <w:pPr>
              <w:pStyle w:val="ARfintablebodyrightbold"/>
              <w:ind w:right="0"/>
            </w:pPr>
            <w:r w:rsidRPr="002029AF">
              <w:t>7.1</w:t>
            </w:r>
          </w:p>
        </w:tc>
        <w:tc>
          <w:tcPr>
            <w:tcW w:w="632" w:type="dxa"/>
            <w:tcBorders>
              <w:bottom w:val="single" w:sz="4" w:space="0" w:color="auto"/>
            </w:tcBorders>
            <w:noWrap/>
            <w:hideMark/>
          </w:tcPr>
          <w:p w14:paraId="4DDA1281" w14:textId="77777777" w:rsidR="00087B91" w:rsidRPr="002029AF" w:rsidRDefault="00087B91" w:rsidP="00860E95">
            <w:pPr>
              <w:pStyle w:val="ARfintablebodyrightbold"/>
              <w:ind w:right="0"/>
            </w:pPr>
            <w:r w:rsidRPr="002029AF">
              <w:t>–</w:t>
            </w:r>
          </w:p>
        </w:tc>
        <w:tc>
          <w:tcPr>
            <w:tcW w:w="632" w:type="dxa"/>
            <w:tcBorders>
              <w:bottom w:val="single" w:sz="4" w:space="0" w:color="auto"/>
            </w:tcBorders>
            <w:noWrap/>
            <w:hideMark/>
          </w:tcPr>
          <w:p w14:paraId="4204B51B" w14:textId="77777777" w:rsidR="00087B91" w:rsidRPr="002029AF" w:rsidRDefault="00087B91" w:rsidP="00860E95">
            <w:pPr>
              <w:pStyle w:val="ARfintablebodyrightbold"/>
              <w:ind w:right="0"/>
            </w:pPr>
            <w:r w:rsidRPr="002029AF">
              <w:t>–</w:t>
            </w:r>
          </w:p>
        </w:tc>
        <w:tc>
          <w:tcPr>
            <w:tcW w:w="631" w:type="dxa"/>
            <w:tcBorders>
              <w:bottom w:val="single" w:sz="4" w:space="0" w:color="auto"/>
            </w:tcBorders>
            <w:noWrap/>
            <w:hideMark/>
          </w:tcPr>
          <w:p w14:paraId="49A4A945" w14:textId="77777777" w:rsidR="00087B91" w:rsidRPr="002029AF" w:rsidRDefault="00087B91" w:rsidP="00860E95">
            <w:pPr>
              <w:pStyle w:val="ARfintablebodyrightbold"/>
              <w:ind w:right="0"/>
            </w:pPr>
            <w:r w:rsidRPr="002029AF">
              <w:t>–</w:t>
            </w:r>
          </w:p>
        </w:tc>
        <w:tc>
          <w:tcPr>
            <w:tcW w:w="631" w:type="dxa"/>
            <w:tcBorders>
              <w:bottom w:val="single" w:sz="4" w:space="0" w:color="auto"/>
            </w:tcBorders>
            <w:noWrap/>
            <w:hideMark/>
          </w:tcPr>
          <w:p w14:paraId="4CFE9B73" w14:textId="77777777" w:rsidR="00087B91" w:rsidRPr="002029AF" w:rsidRDefault="00087B91" w:rsidP="00860E95">
            <w:pPr>
              <w:pStyle w:val="ARfintablebodyrightbold"/>
              <w:ind w:right="0"/>
            </w:pPr>
            <w:r w:rsidRPr="002029AF">
              <w:t>–</w:t>
            </w:r>
          </w:p>
        </w:tc>
        <w:tc>
          <w:tcPr>
            <w:tcW w:w="631" w:type="dxa"/>
            <w:tcBorders>
              <w:bottom w:val="single" w:sz="4" w:space="0" w:color="auto"/>
            </w:tcBorders>
            <w:noWrap/>
            <w:hideMark/>
          </w:tcPr>
          <w:p w14:paraId="5E9E6D62" w14:textId="77777777" w:rsidR="00087B91" w:rsidRPr="002029AF" w:rsidRDefault="00087B91" w:rsidP="00860E95">
            <w:pPr>
              <w:pStyle w:val="ARfintablebodyrightbold"/>
              <w:ind w:right="0"/>
            </w:pPr>
            <w:r w:rsidRPr="002029AF">
              <w:t>–</w:t>
            </w:r>
          </w:p>
        </w:tc>
        <w:tc>
          <w:tcPr>
            <w:tcW w:w="631" w:type="dxa"/>
            <w:tcBorders>
              <w:bottom w:val="single" w:sz="4" w:space="0" w:color="auto"/>
            </w:tcBorders>
            <w:noWrap/>
            <w:hideMark/>
          </w:tcPr>
          <w:p w14:paraId="7ED723F0" w14:textId="77777777" w:rsidR="00087B91" w:rsidRPr="002029AF" w:rsidRDefault="00087B91" w:rsidP="00860E95">
            <w:pPr>
              <w:pStyle w:val="ARfintablebodyrightbold"/>
              <w:ind w:right="0"/>
            </w:pPr>
            <w:r w:rsidRPr="002029AF">
              <w:t>–</w:t>
            </w:r>
          </w:p>
        </w:tc>
        <w:tc>
          <w:tcPr>
            <w:tcW w:w="695" w:type="dxa"/>
            <w:tcBorders>
              <w:bottom w:val="single" w:sz="4" w:space="0" w:color="auto"/>
            </w:tcBorders>
            <w:noWrap/>
            <w:hideMark/>
          </w:tcPr>
          <w:p w14:paraId="1E8A9823" w14:textId="77777777" w:rsidR="00087B91" w:rsidRPr="002029AF" w:rsidRDefault="00087B91" w:rsidP="00860E95">
            <w:pPr>
              <w:pStyle w:val="ARfintablebodyrightbold"/>
              <w:ind w:right="0"/>
            </w:pPr>
            <w:r w:rsidRPr="002029AF">
              <w:t>–</w:t>
            </w:r>
          </w:p>
        </w:tc>
        <w:tc>
          <w:tcPr>
            <w:tcW w:w="851" w:type="dxa"/>
            <w:tcBorders>
              <w:bottom w:val="single" w:sz="4" w:space="0" w:color="auto"/>
            </w:tcBorders>
            <w:noWrap/>
            <w:hideMark/>
          </w:tcPr>
          <w:p w14:paraId="45FB4A8F" w14:textId="77777777" w:rsidR="00087B91" w:rsidRPr="002029AF" w:rsidRDefault="00087B91" w:rsidP="00860E95">
            <w:pPr>
              <w:pStyle w:val="ARfintablebodyrightbold"/>
              <w:ind w:right="0"/>
            </w:pPr>
            <w:r w:rsidRPr="002029AF">
              <w:t>(45.1)</w:t>
            </w:r>
          </w:p>
        </w:tc>
        <w:tc>
          <w:tcPr>
            <w:tcW w:w="631" w:type="dxa"/>
            <w:tcBorders>
              <w:bottom w:val="single" w:sz="4" w:space="0" w:color="auto"/>
            </w:tcBorders>
            <w:noWrap/>
            <w:hideMark/>
          </w:tcPr>
          <w:p w14:paraId="5468339A" w14:textId="77777777" w:rsidR="00087B91" w:rsidRPr="002029AF" w:rsidRDefault="00087B91" w:rsidP="00860E95">
            <w:pPr>
              <w:pStyle w:val="ARfintablebodyrightbold"/>
              <w:ind w:right="0"/>
            </w:pPr>
            <w:r w:rsidRPr="002029AF">
              <w:t>(0.5)</w:t>
            </w:r>
          </w:p>
        </w:tc>
        <w:tc>
          <w:tcPr>
            <w:tcW w:w="631" w:type="dxa"/>
            <w:tcBorders>
              <w:bottom w:val="single" w:sz="4" w:space="0" w:color="auto"/>
            </w:tcBorders>
            <w:noWrap/>
            <w:hideMark/>
          </w:tcPr>
          <w:p w14:paraId="3C908B1D" w14:textId="77777777" w:rsidR="00087B91" w:rsidRPr="002029AF" w:rsidRDefault="00087B91" w:rsidP="00860E95">
            <w:pPr>
              <w:pStyle w:val="ARfintablebodyrightbold"/>
              <w:ind w:right="0"/>
            </w:pPr>
            <w:r w:rsidRPr="002029AF">
              <w:t>–</w:t>
            </w:r>
          </w:p>
        </w:tc>
        <w:tc>
          <w:tcPr>
            <w:tcW w:w="631" w:type="dxa"/>
            <w:tcBorders>
              <w:bottom w:val="single" w:sz="4" w:space="0" w:color="auto"/>
            </w:tcBorders>
            <w:noWrap/>
            <w:hideMark/>
          </w:tcPr>
          <w:p w14:paraId="1035AE28" w14:textId="77777777" w:rsidR="00087B91" w:rsidRPr="002029AF" w:rsidRDefault="00087B91" w:rsidP="00860E95">
            <w:pPr>
              <w:pStyle w:val="ARfintablebodyrightbold"/>
              <w:ind w:right="0"/>
            </w:pPr>
            <w:r w:rsidRPr="002029AF">
              <w:t>(0.4)</w:t>
            </w:r>
          </w:p>
        </w:tc>
        <w:tc>
          <w:tcPr>
            <w:tcW w:w="631" w:type="dxa"/>
            <w:tcBorders>
              <w:bottom w:val="single" w:sz="4" w:space="0" w:color="auto"/>
            </w:tcBorders>
            <w:noWrap/>
            <w:hideMark/>
          </w:tcPr>
          <w:p w14:paraId="7666E71B" w14:textId="77777777" w:rsidR="00087B91" w:rsidRPr="002029AF" w:rsidRDefault="00087B91" w:rsidP="00860E95">
            <w:pPr>
              <w:pStyle w:val="ARfintablebodyrightbold"/>
              <w:ind w:right="0"/>
            </w:pPr>
            <w:r w:rsidRPr="002029AF">
              <w:t>–</w:t>
            </w:r>
          </w:p>
        </w:tc>
        <w:tc>
          <w:tcPr>
            <w:tcW w:w="631" w:type="dxa"/>
            <w:tcBorders>
              <w:bottom w:val="single" w:sz="4" w:space="0" w:color="auto"/>
            </w:tcBorders>
            <w:noWrap/>
            <w:hideMark/>
          </w:tcPr>
          <w:p w14:paraId="64BCE7F3" w14:textId="77777777" w:rsidR="00087B91" w:rsidRPr="002029AF" w:rsidRDefault="00087B91" w:rsidP="00860E95">
            <w:pPr>
              <w:pStyle w:val="ARfintablebodyrightbold"/>
              <w:ind w:right="0"/>
            </w:pPr>
            <w:r w:rsidRPr="002029AF">
              <w:t>–</w:t>
            </w:r>
          </w:p>
        </w:tc>
        <w:tc>
          <w:tcPr>
            <w:tcW w:w="631" w:type="dxa"/>
            <w:tcBorders>
              <w:bottom w:val="single" w:sz="4" w:space="0" w:color="auto"/>
            </w:tcBorders>
            <w:noWrap/>
            <w:hideMark/>
          </w:tcPr>
          <w:p w14:paraId="3E1B39E8" w14:textId="77777777" w:rsidR="00087B91" w:rsidRPr="002029AF" w:rsidRDefault="00087B91" w:rsidP="00860E95">
            <w:pPr>
              <w:pStyle w:val="ARfintablebodyrightbold"/>
              <w:ind w:right="0"/>
            </w:pPr>
            <w:r w:rsidRPr="002029AF">
              <w:t>–</w:t>
            </w:r>
          </w:p>
        </w:tc>
        <w:tc>
          <w:tcPr>
            <w:tcW w:w="631" w:type="dxa"/>
            <w:tcBorders>
              <w:bottom w:val="single" w:sz="4" w:space="0" w:color="auto"/>
            </w:tcBorders>
            <w:noWrap/>
            <w:hideMark/>
          </w:tcPr>
          <w:p w14:paraId="358950F3" w14:textId="77777777" w:rsidR="00087B91" w:rsidRPr="002029AF" w:rsidRDefault="00087B91" w:rsidP="00860E95">
            <w:pPr>
              <w:pStyle w:val="ARfintablebodyrightbold"/>
              <w:ind w:right="0"/>
            </w:pPr>
            <w:r w:rsidRPr="002029AF">
              <w:t>–</w:t>
            </w:r>
          </w:p>
        </w:tc>
        <w:tc>
          <w:tcPr>
            <w:tcW w:w="803" w:type="dxa"/>
            <w:tcBorders>
              <w:bottom w:val="single" w:sz="4" w:space="0" w:color="auto"/>
            </w:tcBorders>
            <w:noWrap/>
            <w:hideMark/>
          </w:tcPr>
          <w:p w14:paraId="6FF341AE" w14:textId="77777777" w:rsidR="00087B91" w:rsidRPr="002029AF" w:rsidRDefault="00087B91" w:rsidP="00860E95">
            <w:pPr>
              <w:pStyle w:val="ARfintablebodyrightbold"/>
              <w:ind w:right="0"/>
            </w:pPr>
            <w:r w:rsidRPr="002029AF">
              <w:t>(38.9)</w:t>
            </w:r>
          </w:p>
        </w:tc>
      </w:tr>
      <w:tr w:rsidR="00087B91" w:rsidRPr="002029AF" w14:paraId="310A3E4F" w14:textId="77777777" w:rsidTr="00C81A0B">
        <w:tc>
          <w:tcPr>
            <w:tcW w:w="14588" w:type="dxa"/>
            <w:gridSpan w:val="19"/>
            <w:tcBorders>
              <w:top w:val="single" w:sz="4" w:space="0" w:color="auto"/>
              <w:bottom w:val="single" w:sz="4" w:space="0" w:color="A6A6A6"/>
            </w:tcBorders>
            <w:hideMark/>
          </w:tcPr>
          <w:p w14:paraId="41B3FD53" w14:textId="09B6F5D3" w:rsidR="00087B91" w:rsidRPr="002029AF" w:rsidRDefault="00087B91" w:rsidP="00860E95">
            <w:pPr>
              <w:pStyle w:val="ARfintablebodybold"/>
              <w:keepNext/>
              <w:ind w:right="0"/>
            </w:pPr>
            <w:r w:rsidRPr="002029AF">
              <w:lastRenderedPageBreak/>
              <w:t>Administered</w:t>
            </w:r>
            <w:r w:rsidR="000A5329" w:rsidRPr="002029AF">
              <w:t xml:space="preserve"> </w:t>
            </w:r>
            <w:r w:rsidRPr="002029AF">
              <w:t>other</w:t>
            </w:r>
            <w:r w:rsidR="000A5329" w:rsidRPr="002029AF">
              <w:t xml:space="preserve"> </w:t>
            </w:r>
            <w:r w:rsidRPr="002029AF">
              <w:t>economic</w:t>
            </w:r>
            <w:r w:rsidR="000A5329" w:rsidRPr="002029AF">
              <w:t xml:space="preserve"> </w:t>
            </w:r>
            <w:r w:rsidRPr="002029AF">
              <w:t>flows</w:t>
            </w:r>
            <w:r w:rsidR="000A5329" w:rsidRPr="002029AF">
              <w:t xml:space="preserve"> </w:t>
            </w:r>
            <w:r w:rsidRPr="002029AF">
              <w:t>included</w:t>
            </w:r>
            <w:r w:rsidR="000A5329" w:rsidRPr="002029AF">
              <w:t xml:space="preserve"> </w:t>
            </w:r>
            <w:r w:rsidRPr="002029AF">
              <w:t>in</w:t>
            </w:r>
            <w:r w:rsidR="000A5329" w:rsidRPr="002029AF">
              <w:t xml:space="preserve"> </w:t>
            </w:r>
            <w:r w:rsidRPr="002029AF">
              <w:t>net</w:t>
            </w:r>
            <w:r w:rsidR="000A5329" w:rsidRPr="002029AF">
              <w:t xml:space="preserve"> </w:t>
            </w:r>
            <w:r w:rsidRPr="002029AF">
              <w:t>result</w:t>
            </w:r>
          </w:p>
        </w:tc>
      </w:tr>
      <w:tr w:rsidR="00087B91" w:rsidRPr="002029AF" w14:paraId="2875D024" w14:textId="77777777" w:rsidTr="00C81A0B">
        <w:trPr>
          <w:gridAfter w:val="1"/>
          <w:wAfter w:w="17" w:type="dxa"/>
        </w:trPr>
        <w:tc>
          <w:tcPr>
            <w:tcW w:w="3213" w:type="dxa"/>
            <w:tcBorders>
              <w:top w:val="single" w:sz="4" w:space="0" w:color="A6A6A6"/>
              <w:bottom w:val="single" w:sz="4" w:space="0" w:color="A6A6A6"/>
            </w:tcBorders>
            <w:hideMark/>
          </w:tcPr>
          <w:p w14:paraId="7105186A" w14:textId="7F336093" w:rsidR="00087B91" w:rsidRPr="002029AF" w:rsidRDefault="00087B91" w:rsidP="00860E95">
            <w:pPr>
              <w:pStyle w:val="ARfintablebody"/>
            </w:pPr>
            <w:r w:rsidRPr="002029AF">
              <w:t>Net</w:t>
            </w:r>
            <w:r w:rsidR="000A5329" w:rsidRPr="002029AF">
              <w:t xml:space="preserve"> </w:t>
            </w:r>
            <w:r w:rsidRPr="002029AF">
              <w:t>gain/(loss)</w:t>
            </w:r>
            <w:r w:rsidR="000A5329" w:rsidRPr="002029AF">
              <w:t xml:space="preserve"> </w:t>
            </w:r>
            <w:r w:rsidRPr="002029AF">
              <w:t>on</w:t>
            </w:r>
            <w:r w:rsidR="000A5329" w:rsidRPr="002029AF">
              <w:t xml:space="preserve"> </w:t>
            </w:r>
            <w:r w:rsidRPr="002029AF">
              <w:t>non-financial</w:t>
            </w:r>
            <w:r w:rsidR="000A5329" w:rsidRPr="002029AF">
              <w:t xml:space="preserve"> </w:t>
            </w:r>
            <w:r w:rsidRPr="002029AF">
              <w:t>assets</w:t>
            </w:r>
          </w:p>
        </w:tc>
        <w:tc>
          <w:tcPr>
            <w:tcW w:w="804" w:type="dxa"/>
            <w:tcBorders>
              <w:top w:val="single" w:sz="4" w:space="0" w:color="A6A6A6"/>
              <w:bottom w:val="single" w:sz="4" w:space="0" w:color="A6A6A6"/>
            </w:tcBorders>
            <w:noWrap/>
            <w:hideMark/>
          </w:tcPr>
          <w:p w14:paraId="6B8691CB" w14:textId="77777777" w:rsidR="00087B91" w:rsidRPr="002029AF" w:rsidRDefault="00087B91" w:rsidP="00860E95">
            <w:pPr>
              <w:pStyle w:val="ARfintablebodyright"/>
              <w:ind w:right="0"/>
            </w:pPr>
            <w:r w:rsidRPr="002029AF">
              <w:t>–</w:t>
            </w:r>
          </w:p>
        </w:tc>
        <w:tc>
          <w:tcPr>
            <w:tcW w:w="632" w:type="dxa"/>
            <w:tcBorders>
              <w:top w:val="single" w:sz="4" w:space="0" w:color="A6A6A6"/>
              <w:bottom w:val="single" w:sz="4" w:space="0" w:color="A6A6A6"/>
            </w:tcBorders>
            <w:noWrap/>
            <w:hideMark/>
          </w:tcPr>
          <w:p w14:paraId="2493F92E" w14:textId="77777777" w:rsidR="00087B91" w:rsidRPr="002029AF" w:rsidRDefault="00087B91" w:rsidP="00860E95">
            <w:pPr>
              <w:pStyle w:val="ARfintablebodyright"/>
              <w:ind w:right="0"/>
            </w:pPr>
            <w:r w:rsidRPr="002029AF">
              <w:t>–</w:t>
            </w:r>
          </w:p>
        </w:tc>
        <w:tc>
          <w:tcPr>
            <w:tcW w:w="632" w:type="dxa"/>
            <w:tcBorders>
              <w:top w:val="single" w:sz="4" w:space="0" w:color="A6A6A6"/>
              <w:bottom w:val="single" w:sz="4" w:space="0" w:color="A6A6A6"/>
            </w:tcBorders>
            <w:noWrap/>
            <w:hideMark/>
          </w:tcPr>
          <w:p w14:paraId="5BCB2ADB" w14:textId="77777777" w:rsidR="00087B91" w:rsidRPr="002029AF" w:rsidRDefault="00087B91" w:rsidP="00860E95">
            <w:pPr>
              <w:pStyle w:val="ARfintablebodyright"/>
              <w:ind w:right="0"/>
            </w:pPr>
            <w:r w:rsidRPr="002029AF">
              <w:t>(0.1)</w:t>
            </w:r>
          </w:p>
        </w:tc>
        <w:tc>
          <w:tcPr>
            <w:tcW w:w="631" w:type="dxa"/>
            <w:tcBorders>
              <w:top w:val="single" w:sz="4" w:space="0" w:color="A6A6A6"/>
              <w:bottom w:val="single" w:sz="4" w:space="0" w:color="A6A6A6"/>
            </w:tcBorders>
            <w:noWrap/>
            <w:hideMark/>
          </w:tcPr>
          <w:p w14:paraId="1C3808E6"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2CBA2444" w14:textId="77777777" w:rsidR="00087B91" w:rsidRPr="002029AF" w:rsidRDefault="00087B91" w:rsidP="00860E95">
            <w:pPr>
              <w:pStyle w:val="ARfintablebodyright"/>
              <w:ind w:right="0"/>
            </w:pPr>
            <w:r w:rsidRPr="002029AF">
              <w:t>(0.1)</w:t>
            </w:r>
          </w:p>
        </w:tc>
        <w:tc>
          <w:tcPr>
            <w:tcW w:w="631" w:type="dxa"/>
            <w:tcBorders>
              <w:top w:val="single" w:sz="4" w:space="0" w:color="A6A6A6"/>
              <w:bottom w:val="single" w:sz="4" w:space="0" w:color="A6A6A6"/>
            </w:tcBorders>
            <w:noWrap/>
            <w:hideMark/>
          </w:tcPr>
          <w:p w14:paraId="7C0E0DD4"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42358902" w14:textId="77777777" w:rsidR="00087B91" w:rsidRPr="002029AF" w:rsidRDefault="00087B91" w:rsidP="00860E95">
            <w:pPr>
              <w:pStyle w:val="ARfintablebodyright"/>
              <w:ind w:right="0"/>
            </w:pPr>
            <w:r w:rsidRPr="002029AF">
              <w:t>–</w:t>
            </w:r>
          </w:p>
        </w:tc>
        <w:tc>
          <w:tcPr>
            <w:tcW w:w="695" w:type="dxa"/>
            <w:tcBorders>
              <w:top w:val="single" w:sz="4" w:space="0" w:color="A6A6A6"/>
              <w:bottom w:val="single" w:sz="4" w:space="0" w:color="A6A6A6"/>
            </w:tcBorders>
            <w:noWrap/>
            <w:hideMark/>
          </w:tcPr>
          <w:p w14:paraId="1AD5E978" w14:textId="77777777" w:rsidR="00087B91" w:rsidRPr="002029AF" w:rsidRDefault="00087B91" w:rsidP="00860E95">
            <w:pPr>
              <w:pStyle w:val="ARfintablebodyright"/>
              <w:ind w:right="0"/>
            </w:pPr>
            <w:r w:rsidRPr="002029AF">
              <w:t>–</w:t>
            </w:r>
          </w:p>
        </w:tc>
        <w:tc>
          <w:tcPr>
            <w:tcW w:w="851" w:type="dxa"/>
            <w:tcBorders>
              <w:top w:val="single" w:sz="4" w:space="0" w:color="A6A6A6"/>
              <w:bottom w:val="single" w:sz="4" w:space="0" w:color="A6A6A6"/>
            </w:tcBorders>
            <w:noWrap/>
            <w:hideMark/>
          </w:tcPr>
          <w:p w14:paraId="1B6A6EF9" w14:textId="77777777" w:rsidR="00087B91" w:rsidRPr="002029AF" w:rsidRDefault="00087B91" w:rsidP="00860E95">
            <w:pPr>
              <w:pStyle w:val="ARfintablebodyright"/>
              <w:ind w:right="0"/>
            </w:pPr>
            <w:r w:rsidRPr="002029AF">
              <w:t>(5.7)</w:t>
            </w:r>
          </w:p>
        </w:tc>
        <w:tc>
          <w:tcPr>
            <w:tcW w:w="631" w:type="dxa"/>
            <w:tcBorders>
              <w:top w:val="single" w:sz="4" w:space="0" w:color="A6A6A6"/>
              <w:bottom w:val="single" w:sz="4" w:space="0" w:color="A6A6A6"/>
            </w:tcBorders>
            <w:noWrap/>
            <w:hideMark/>
          </w:tcPr>
          <w:p w14:paraId="5D2FF9C8" w14:textId="77777777" w:rsidR="00087B91" w:rsidRPr="002029AF" w:rsidRDefault="00087B91" w:rsidP="00860E95">
            <w:pPr>
              <w:pStyle w:val="ARfintablebodyright"/>
              <w:ind w:right="0"/>
            </w:pPr>
            <w:r w:rsidRPr="002029AF">
              <w:t>0.1</w:t>
            </w:r>
          </w:p>
        </w:tc>
        <w:tc>
          <w:tcPr>
            <w:tcW w:w="631" w:type="dxa"/>
            <w:tcBorders>
              <w:top w:val="single" w:sz="4" w:space="0" w:color="A6A6A6"/>
              <w:bottom w:val="single" w:sz="4" w:space="0" w:color="A6A6A6"/>
            </w:tcBorders>
            <w:noWrap/>
            <w:hideMark/>
          </w:tcPr>
          <w:p w14:paraId="148E57C2"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33C968BF"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50C434DD"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122CD516" w14:textId="77777777" w:rsidR="00087B91" w:rsidRPr="002029AF" w:rsidRDefault="00087B91" w:rsidP="00860E95">
            <w:pPr>
              <w:pStyle w:val="ARfintablebodyright"/>
              <w:ind w:right="0"/>
            </w:pPr>
            <w:r w:rsidRPr="002029AF">
              <w:t>(2.3)</w:t>
            </w:r>
          </w:p>
        </w:tc>
        <w:tc>
          <w:tcPr>
            <w:tcW w:w="631" w:type="dxa"/>
            <w:tcBorders>
              <w:top w:val="single" w:sz="4" w:space="0" w:color="A6A6A6"/>
              <w:bottom w:val="single" w:sz="4" w:space="0" w:color="A6A6A6"/>
            </w:tcBorders>
            <w:noWrap/>
            <w:hideMark/>
          </w:tcPr>
          <w:p w14:paraId="5CF75574" w14:textId="77777777" w:rsidR="00087B91" w:rsidRPr="002029AF" w:rsidRDefault="00087B91" w:rsidP="00860E95">
            <w:pPr>
              <w:pStyle w:val="ARfintablebodyright"/>
              <w:ind w:right="0"/>
            </w:pPr>
            <w:r w:rsidRPr="002029AF">
              <w:t>–</w:t>
            </w:r>
          </w:p>
        </w:tc>
        <w:tc>
          <w:tcPr>
            <w:tcW w:w="631" w:type="dxa"/>
            <w:tcBorders>
              <w:top w:val="single" w:sz="4" w:space="0" w:color="A6A6A6"/>
              <w:bottom w:val="single" w:sz="4" w:space="0" w:color="A6A6A6"/>
            </w:tcBorders>
            <w:noWrap/>
            <w:hideMark/>
          </w:tcPr>
          <w:p w14:paraId="17962047" w14:textId="77777777" w:rsidR="00087B91" w:rsidRPr="002029AF" w:rsidRDefault="00087B91" w:rsidP="00860E95">
            <w:pPr>
              <w:pStyle w:val="ARfintablebodyright"/>
              <w:ind w:right="0"/>
            </w:pPr>
            <w:r w:rsidRPr="002029AF">
              <w:t>–</w:t>
            </w:r>
          </w:p>
        </w:tc>
        <w:tc>
          <w:tcPr>
            <w:tcW w:w="803" w:type="dxa"/>
            <w:tcBorders>
              <w:top w:val="single" w:sz="4" w:space="0" w:color="A6A6A6"/>
              <w:bottom w:val="single" w:sz="4" w:space="0" w:color="A6A6A6"/>
            </w:tcBorders>
            <w:noWrap/>
            <w:hideMark/>
          </w:tcPr>
          <w:p w14:paraId="7561152A" w14:textId="77777777" w:rsidR="00087B91" w:rsidRPr="002029AF" w:rsidRDefault="00087B91" w:rsidP="00860E95">
            <w:pPr>
              <w:pStyle w:val="ARfintablebodyright"/>
              <w:ind w:right="0"/>
            </w:pPr>
            <w:r w:rsidRPr="002029AF">
              <w:t>(8.1)</w:t>
            </w:r>
          </w:p>
        </w:tc>
      </w:tr>
      <w:tr w:rsidR="00087B91" w:rsidRPr="002029AF" w14:paraId="0F0D6A2F" w14:textId="77777777" w:rsidTr="00C81A0B">
        <w:trPr>
          <w:gridAfter w:val="1"/>
          <w:wAfter w:w="17" w:type="dxa"/>
        </w:trPr>
        <w:tc>
          <w:tcPr>
            <w:tcW w:w="3213" w:type="dxa"/>
            <w:tcBorders>
              <w:top w:val="single" w:sz="4" w:space="0" w:color="A6A6A6"/>
            </w:tcBorders>
            <w:hideMark/>
          </w:tcPr>
          <w:p w14:paraId="4ABEAD80" w14:textId="1D13D72D" w:rsidR="00087B91" w:rsidRPr="002029AF" w:rsidRDefault="00087B91" w:rsidP="00860E95">
            <w:pPr>
              <w:pStyle w:val="ARfintablebody"/>
            </w:pPr>
            <w:r w:rsidRPr="002029AF">
              <w:t>Other</w:t>
            </w:r>
            <w:r w:rsidR="000A5329" w:rsidRPr="002029AF">
              <w:t xml:space="preserve"> </w:t>
            </w:r>
            <w:r w:rsidRPr="002029AF">
              <w:t>gains/(losses)</w:t>
            </w:r>
            <w:r w:rsidR="000A5329" w:rsidRPr="002029AF">
              <w:t xml:space="preserve"> </w:t>
            </w:r>
            <w:r w:rsidRPr="002029AF">
              <w:t>from</w:t>
            </w:r>
            <w:r w:rsidR="000A5329" w:rsidRPr="002029AF">
              <w:t xml:space="preserve"> </w:t>
            </w:r>
            <w:r w:rsidRPr="002029AF">
              <w:t>other</w:t>
            </w:r>
            <w:r w:rsidR="000A5329" w:rsidRPr="002029AF">
              <w:t xml:space="preserve"> </w:t>
            </w:r>
            <w:r w:rsidRPr="002029AF">
              <w:t>economic</w:t>
            </w:r>
            <w:r w:rsidR="000A5329" w:rsidRPr="002029AF">
              <w:t xml:space="preserve"> </w:t>
            </w:r>
            <w:r w:rsidRPr="002029AF">
              <w:t>flows</w:t>
            </w:r>
          </w:p>
        </w:tc>
        <w:tc>
          <w:tcPr>
            <w:tcW w:w="804" w:type="dxa"/>
            <w:tcBorders>
              <w:top w:val="single" w:sz="4" w:space="0" w:color="A6A6A6"/>
            </w:tcBorders>
            <w:noWrap/>
            <w:hideMark/>
          </w:tcPr>
          <w:p w14:paraId="1012D8BA" w14:textId="77777777" w:rsidR="00087B91" w:rsidRPr="002029AF" w:rsidRDefault="00087B91" w:rsidP="00860E95">
            <w:pPr>
              <w:pStyle w:val="ARfintablebodyright"/>
              <w:ind w:right="0"/>
            </w:pPr>
            <w:r w:rsidRPr="002029AF">
              <w:t>–</w:t>
            </w:r>
          </w:p>
        </w:tc>
        <w:tc>
          <w:tcPr>
            <w:tcW w:w="632" w:type="dxa"/>
            <w:tcBorders>
              <w:top w:val="single" w:sz="4" w:space="0" w:color="A6A6A6"/>
            </w:tcBorders>
            <w:noWrap/>
            <w:hideMark/>
          </w:tcPr>
          <w:p w14:paraId="3E110726" w14:textId="77777777" w:rsidR="00087B91" w:rsidRPr="002029AF" w:rsidRDefault="00087B91" w:rsidP="00860E95">
            <w:pPr>
              <w:pStyle w:val="ARfintablebodyright"/>
              <w:ind w:right="0"/>
            </w:pPr>
            <w:r w:rsidRPr="002029AF">
              <w:t>–</w:t>
            </w:r>
          </w:p>
        </w:tc>
        <w:tc>
          <w:tcPr>
            <w:tcW w:w="632" w:type="dxa"/>
            <w:tcBorders>
              <w:top w:val="single" w:sz="4" w:space="0" w:color="A6A6A6"/>
            </w:tcBorders>
            <w:noWrap/>
            <w:hideMark/>
          </w:tcPr>
          <w:p w14:paraId="2E4C23C2"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3A0492FB"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5C87884A"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5684684E"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30A267FB" w14:textId="77777777" w:rsidR="00087B91" w:rsidRPr="002029AF" w:rsidRDefault="00087B91" w:rsidP="00860E95">
            <w:pPr>
              <w:pStyle w:val="ARfintablebodyright"/>
              <w:ind w:right="0"/>
            </w:pPr>
            <w:r w:rsidRPr="002029AF">
              <w:t>–</w:t>
            </w:r>
          </w:p>
        </w:tc>
        <w:tc>
          <w:tcPr>
            <w:tcW w:w="695" w:type="dxa"/>
            <w:tcBorders>
              <w:top w:val="single" w:sz="4" w:space="0" w:color="A6A6A6"/>
            </w:tcBorders>
            <w:noWrap/>
            <w:hideMark/>
          </w:tcPr>
          <w:p w14:paraId="617BD462" w14:textId="77777777" w:rsidR="00087B91" w:rsidRPr="002029AF" w:rsidRDefault="00087B91" w:rsidP="00860E95">
            <w:pPr>
              <w:pStyle w:val="ARfintablebodyright"/>
              <w:ind w:right="0"/>
            </w:pPr>
            <w:r w:rsidRPr="002029AF">
              <w:t>–</w:t>
            </w:r>
          </w:p>
        </w:tc>
        <w:tc>
          <w:tcPr>
            <w:tcW w:w="851" w:type="dxa"/>
            <w:tcBorders>
              <w:top w:val="single" w:sz="4" w:space="0" w:color="A6A6A6"/>
            </w:tcBorders>
            <w:noWrap/>
            <w:hideMark/>
          </w:tcPr>
          <w:p w14:paraId="668FA963" w14:textId="77777777" w:rsidR="00087B91" w:rsidRPr="002029AF" w:rsidRDefault="00087B91" w:rsidP="00860E95">
            <w:pPr>
              <w:pStyle w:val="ARfintablebodyright"/>
              <w:ind w:right="0"/>
            </w:pPr>
            <w:r w:rsidRPr="002029AF">
              <w:t>(3.9)</w:t>
            </w:r>
          </w:p>
        </w:tc>
        <w:tc>
          <w:tcPr>
            <w:tcW w:w="631" w:type="dxa"/>
            <w:tcBorders>
              <w:top w:val="single" w:sz="4" w:space="0" w:color="A6A6A6"/>
            </w:tcBorders>
            <w:noWrap/>
            <w:hideMark/>
          </w:tcPr>
          <w:p w14:paraId="3062297C"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40DE50D0"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2BCF2271"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44690B96"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0CEE5EB9"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2FB4A1E5" w14:textId="77777777" w:rsidR="00087B91" w:rsidRPr="002029AF" w:rsidRDefault="00087B91" w:rsidP="00860E95">
            <w:pPr>
              <w:pStyle w:val="ARfintablebodyright"/>
              <w:ind w:right="0"/>
            </w:pPr>
            <w:r w:rsidRPr="002029AF">
              <w:t>–</w:t>
            </w:r>
          </w:p>
        </w:tc>
        <w:tc>
          <w:tcPr>
            <w:tcW w:w="631" w:type="dxa"/>
            <w:tcBorders>
              <w:top w:val="single" w:sz="4" w:space="0" w:color="A6A6A6"/>
            </w:tcBorders>
            <w:noWrap/>
            <w:hideMark/>
          </w:tcPr>
          <w:p w14:paraId="3FB39AFE" w14:textId="77777777" w:rsidR="00087B91" w:rsidRPr="002029AF" w:rsidRDefault="00087B91" w:rsidP="00860E95">
            <w:pPr>
              <w:pStyle w:val="ARfintablebodyright"/>
              <w:ind w:right="0"/>
            </w:pPr>
            <w:r w:rsidRPr="002029AF">
              <w:t>–</w:t>
            </w:r>
          </w:p>
        </w:tc>
        <w:tc>
          <w:tcPr>
            <w:tcW w:w="803" w:type="dxa"/>
            <w:tcBorders>
              <w:top w:val="single" w:sz="4" w:space="0" w:color="A6A6A6"/>
            </w:tcBorders>
            <w:noWrap/>
            <w:hideMark/>
          </w:tcPr>
          <w:p w14:paraId="684DE314" w14:textId="77777777" w:rsidR="00087B91" w:rsidRPr="002029AF" w:rsidRDefault="00087B91" w:rsidP="00860E95">
            <w:pPr>
              <w:pStyle w:val="ARfintablebodyright"/>
              <w:ind w:right="0"/>
            </w:pPr>
            <w:r w:rsidRPr="002029AF">
              <w:t>(3.9)</w:t>
            </w:r>
          </w:p>
        </w:tc>
      </w:tr>
      <w:tr w:rsidR="00087B91" w:rsidRPr="002029AF" w14:paraId="29AFDA91" w14:textId="77777777" w:rsidTr="00C81A0B">
        <w:trPr>
          <w:gridAfter w:val="1"/>
          <w:wAfter w:w="17" w:type="dxa"/>
        </w:trPr>
        <w:tc>
          <w:tcPr>
            <w:tcW w:w="3213" w:type="dxa"/>
            <w:hideMark/>
          </w:tcPr>
          <w:p w14:paraId="10AF407A" w14:textId="22AAB54F" w:rsidR="00087B91" w:rsidRPr="002029AF" w:rsidRDefault="00087B91" w:rsidP="00860E95">
            <w:pPr>
              <w:pStyle w:val="ARfintablebodybold"/>
            </w:pPr>
            <w:r w:rsidRPr="002029AF">
              <w:t>Total</w:t>
            </w:r>
            <w:r w:rsidR="000A5329" w:rsidRPr="002029AF">
              <w:t xml:space="preserve"> </w:t>
            </w:r>
            <w:r w:rsidRPr="002029AF">
              <w:t>administered</w:t>
            </w:r>
            <w:r w:rsidR="000A5329" w:rsidRPr="002029AF">
              <w:t xml:space="preserve"> </w:t>
            </w:r>
            <w:r w:rsidRPr="002029AF">
              <w:t>other</w:t>
            </w:r>
            <w:r w:rsidR="000A5329" w:rsidRPr="002029AF">
              <w:t xml:space="preserve"> </w:t>
            </w:r>
            <w:r w:rsidRPr="002029AF">
              <w:t>economic</w:t>
            </w:r>
            <w:r w:rsidR="000A5329" w:rsidRPr="002029AF">
              <w:t xml:space="preserve"> </w:t>
            </w:r>
            <w:r w:rsidRPr="002029AF">
              <w:t>flows</w:t>
            </w:r>
          </w:p>
        </w:tc>
        <w:tc>
          <w:tcPr>
            <w:tcW w:w="804" w:type="dxa"/>
            <w:noWrap/>
            <w:hideMark/>
          </w:tcPr>
          <w:p w14:paraId="2E495306" w14:textId="77777777" w:rsidR="00087B91" w:rsidRPr="002029AF" w:rsidRDefault="00087B91" w:rsidP="00860E95">
            <w:pPr>
              <w:pStyle w:val="ARfintablebodyrightbold"/>
              <w:ind w:right="0"/>
            </w:pPr>
            <w:r w:rsidRPr="002029AF">
              <w:t>–</w:t>
            </w:r>
          </w:p>
        </w:tc>
        <w:tc>
          <w:tcPr>
            <w:tcW w:w="632" w:type="dxa"/>
            <w:noWrap/>
            <w:hideMark/>
          </w:tcPr>
          <w:p w14:paraId="4E02EAB1" w14:textId="77777777" w:rsidR="00087B91" w:rsidRPr="002029AF" w:rsidRDefault="00087B91" w:rsidP="00860E95">
            <w:pPr>
              <w:pStyle w:val="ARfintablebodyrightbold"/>
              <w:ind w:right="0"/>
            </w:pPr>
            <w:r w:rsidRPr="002029AF">
              <w:t>–</w:t>
            </w:r>
          </w:p>
        </w:tc>
        <w:tc>
          <w:tcPr>
            <w:tcW w:w="632" w:type="dxa"/>
            <w:noWrap/>
            <w:hideMark/>
          </w:tcPr>
          <w:p w14:paraId="60F25626" w14:textId="77777777" w:rsidR="00087B91" w:rsidRPr="002029AF" w:rsidRDefault="00087B91" w:rsidP="00860E95">
            <w:pPr>
              <w:pStyle w:val="ARfintablebodyrightbold"/>
              <w:ind w:right="0"/>
            </w:pPr>
            <w:r w:rsidRPr="002029AF">
              <w:t>(0.1)</w:t>
            </w:r>
          </w:p>
        </w:tc>
        <w:tc>
          <w:tcPr>
            <w:tcW w:w="631" w:type="dxa"/>
            <w:noWrap/>
            <w:hideMark/>
          </w:tcPr>
          <w:p w14:paraId="4BDFE571" w14:textId="77777777" w:rsidR="00087B91" w:rsidRPr="002029AF" w:rsidRDefault="00087B91" w:rsidP="00860E95">
            <w:pPr>
              <w:pStyle w:val="ARfintablebodyrightbold"/>
              <w:ind w:right="0"/>
            </w:pPr>
            <w:r w:rsidRPr="002029AF">
              <w:t>–</w:t>
            </w:r>
          </w:p>
        </w:tc>
        <w:tc>
          <w:tcPr>
            <w:tcW w:w="631" w:type="dxa"/>
            <w:noWrap/>
            <w:hideMark/>
          </w:tcPr>
          <w:p w14:paraId="677200A2" w14:textId="77777777" w:rsidR="00087B91" w:rsidRPr="002029AF" w:rsidRDefault="00087B91" w:rsidP="00860E95">
            <w:pPr>
              <w:pStyle w:val="ARfintablebodyrightbold"/>
              <w:ind w:right="0"/>
            </w:pPr>
            <w:r w:rsidRPr="002029AF">
              <w:t>(0.1)</w:t>
            </w:r>
          </w:p>
        </w:tc>
        <w:tc>
          <w:tcPr>
            <w:tcW w:w="631" w:type="dxa"/>
            <w:noWrap/>
            <w:hideMark/>
          </w:tcPr>
          <w:p w14:paraId="1B8F25DD" w14:textId="77777777" w:rsidR="00087B91" w:rsidRPr="002029AF" w:rsidRDefault="00087B91" w:rsidP="00860E95">
            <w:pPr>
              <w:pStyle w:val="ARfintablebodyrightbold"/>
              <w:ind w:right="0"/>
            </w:pPr>
            <w:r w:rsidRPr="002029AF">
              <w:t>–</w:t>
            </w:r>
          </w:p>
        </w:tc>
        <w:tc>
          <w:tcPr>
            <w:tcW w:w="631" w:type="dxa"/>
            <w:noWrap/>
            <w:hideMark/>
          </w:tcPr>
          <w:p w14:paraId="5DAC4F0C" w14:textId="77777777" w:rsidR="00087B91" w:rsidRPr="002029AF" w:rsidRDefault="00087B91" w:rsidP="00860E95">
            <w:pPr>
              <w:pStyle w:val="ARfintablebodyrightbold"/>
              <w:ind w:right="0"/>
            </w:pPr>
            <w:r w:rsidRPr="002029AF">
              <w:t>–</w:t>
            </w:r>
          </w:p>
        </w:tc>
        <w:tc>
          <w:tcPr>
            <w:tcW w:w="695" w:type="dxa"/>
            <w:noWrap/>
            <w:hideMark/>
          </w:tcPr>
          <w:p w14:paraId="36616F4E" w14:textId="77777777" w:rsidR="00087B91" w:rsidRPr="002029AF" w:rsidRDefault="00087B91" w:rsidP="00860E95">
            <w:pPr>
              <w:pStyle w:val="ARfintablebodyrightbold"/>
              <w:ind w:right="0"/>
            </w:pPr>
            <w:r w:rsidRPr="002029AF">
              <w:t>–</w:t>
            </w:r>
          </w:p>
        </w:tc>
        <w:tc>
          <w:tcPr>
            <w:tcW w:w="851" w:type="dxa"/>
            <w:noWrap/>
            <w:hideMark/>
          </w:tcPr>
          <w:p w14:paraId="52F7C50C" w14:textId="77777777" w:rsidR="00087B91" w:rsidRPr="002029AF" w:rsidRDefault="00087B91" w:rsidP="00860E95">
            <w:pPr>
              <w:pStyle w:val="ARfintablebodyrightbold"/>
              <w:ind w:right="0"/>
            </w:pPr>
            <w:r w:rsidRPr="002029AF">
              <w:t>(9.5)</w:t>
            </w:r>
          </w:p>
        </w:tc>
        <w:tc>
          <w:tcPr>
            <w:tcW w:w="631" w:type="dxa"/>
            <w:noWrap/>
            <w:hideMark/>
          </w:tcPr>
          <w:p w14:paraId="064F42AB" w14:textId="77777777" w:rsidR="00087B91" w:rsidRPr="002029AF" w:rsidRDefault="00087B91" w:rsidP="00860E95">
            <w:pPr>
              <w:pStyle w:val="ARfintablebodyrightbold"/>
              <w:ind w:right="0"/>
            </w:pPr>
            <w:r w:rsidRPr="002029AF">
              <w:t>0.1</w:t>
            </w:r>
          </w:p>
        </w:tc>
        <w:tc>
          <w:tcPr>
            <w:tcW w:w="631" w:type="dxa"/>
            <w:noWrap/>
            <w:hideMark/>
          </w:tcPr>
          <w:p w14:paraId="29BD3D6A" w14:textId="77777777" w:rsidR="00087B91" w:rsidRPr="002029AF" w:rsidRDefault="00087B91" w:rsidP="00860E95">
            <w:pPr>
              <w:pStyle w:val="ARfintablebodyrightbold"/>
              <w:ind w:right="0"/>
            </w:pPr>
            <w:r w:rsidRPr="002029AF">
              <w:t>–</w:t>
            </w:r>
          </w:p>
        </w:tc>
        <w:tc>
          <w:tcPr>
            <w:tcW w:w="631" w:type="dxa"/>
            <w:noWrap/>
            <w:hideMark/>
          </w:tcPr>
          <w:p w14:paraId="5BE9D430" w14:textId="77777777" w:rsidR="00087B91" w:rsidRPr="002029AF" w:rsidRDefault="00087B91" w:rsidP="00860E95">
            <w:pPr>
              <w:pStyle w:val="ARfintablebodyrightbold"/>
              <w:ind w:right="0"/>
            </w:pPr>
            <w:r w:rsidRPr="002029AF">
              <w:t>–</w:t>
            </w:r>
          </w:p>
        </w:tc>
        <w:tc>
          <w:tcPr>
            <w:tcW w:w="631" w:type="dxa"/>
            <w:noWrap/>
            <w:hideMark/>
          </w:tcPr>
          <w:p w14:paraId="347E169F" w14:textId="77777777" w:rsidR="00087B91" w:rsidRPr="002029AF" w:rsidRDefault="00087B91" w:rsidP="00860E95">
            <w:pPr>
              <w:pStyle w:val="ARfintablebodyrightbold"/>
              <w:ind w:right="0"/>
            </w:pPr>
            <w:r w:rsidRPr="002029AF">
              <w:t>–</w:t>
            </w:r>
          </w:p>
        </w:tc>
        <w:tc>
          <w:tcPr>
            <w:tcW w:w="631" w:type="dxa"/>
            <w:noWrap/>
            <w:hideMark/>
          </w:tcPr>
          <w:p w14:paraId="64369BCA" w14:textId="77777777" w:rsidR="00087B91" w:rsidRPr="002029AF" w:rsidRDefault="00087B91" w:rsidP="00860E95">
            <w:pPr>
              <w:pStyle w:val="ARfintablebodyrightbold"/>
              <w:ind w:right="0"/>
            </w:pPr>
            <w:r w:rsidRPr="002029AF">
              <w:t>(2.3)</w:t>
            </w:r>
          </w:p>
        </w:tc>
        <w:tc>
          <w:tcPr>
            <w:tcW w:w="631" w:type="dxa"/>
            <w:noWrap/>
            <w:hideMark/>
          </w:tcPr>
          <w:p w14:paraId="1E037FE8" w14:textId="77777777" w:rsidR="00087B91" w:rsidRPr="002029AF" w:rsidRDefault="00087B91" w:rsidP="00860E95">
            <w:pPr>
              <w:pStyle w:val="ARfintablebodyrightbold"/>
              <w:ind w:right="0"/>
            </w:pPr>
            <w:r w:rsidRPr="002029AF">
              <w:t>–</w:t>
            </w:r>
          </w:p>
        </w:tc>
        <w:tc>
          <w:tcPr>
            <w:tcW w:w="631" w:type="dxa"/>
            <w:noWrap/>
            <w:hideMark/>
          </w:tcPr>
          <w:p w14:paraId="074EB3DD" w14:textId="77777777" w:rsidR="00087B91" w:rsidRPr="002029AF" w:rsidRDefault="00087B91" w:rsidP="00860E95">
            <w:pPr>
              <w:pStyle w:val="ARfintablebodyrightbold"/>
              <w:ind w:right="0"/>
            </w:pPr>
            <w:r w:rsidRPr="002029AF">
              <w:t>–</w:t>
            </w:r>
          </w:p>
        </w:tc>
        <w:tc>
          <w:tcPr>
            <w:tcW w:w="803" w:type="dxa"/>
            <w:noWrap/>
            <w:hideMark/>
          </w:tcPr>
          <w:p w14:paraId="7156CAD2" w14:textId="77777777" w:rsidR="00087B91" w:rsidRPr="002029AF" w:rsidRDefault="00087B91" w:rsidP="00860E95">
            <w:pPr>
              <w:pStyle w:val="ARfintablebodyrightbold"/>
              <w:ind w:right="0"/>
            </w:pPr>
            <w:r w:rsidRPr="002029AF">
              <w:t>(12.0)</w:t>
            </w:r>
          </w:p>
        </w:tc>
      </w:tr>
      <w:tr w:rsidR="00087B91" w:rsidRPr="002029AF" w14:paraId="29A575C7" w14:textId="77777777" w:rsidTr="00C81A0B">
        <w:trPr>
          <w:gridAfter w:val="1"/>
          <w:wAfter w:w="17" w:type="dxa"/>
        </w:trPr>
        <w:tc>
          <w:tcPr>
            <w:tcW w:w="3213" w:type="dxa"/>
            <w:hideMark/>
          </w:tcPr>
          <w:p w14:paraId="5A60C551" w14:textId="68B9C742" w:rsidR="00087B91" w:rsidRPr="002029AF" w:rsidRDefault="00087B91" w:rsidP="00860E95">
            <w:pPr>
              <w:pStyle w:val="ARfintablebodybold"/>
            </w:pPr>
            <w:r w:rsidRPr="002029AF">
              <w:t>Administered</w:t>
            </w:r>
            <w:r w:rsidR="000A5329" w:rsidRPr="002029AF">
              <w:t xml:space="preserve"> </w:t>
            </w:r>
            <w:r w:rsidRPr="002029AF">
              <w:t>net</w:t>
            </w:r>
            <w:r w:rsidR="000A5329" w:rsidRPr="002029AF">
              <w:t xml:space="preserve"> </w:t>
            </w:r>
            <w:r w:rsidRPr="002029AF">
              <w:t>result</w:t>
            </w:r>
          </w:p>
        </w:tc>
        <w:tc>
          <w:tcPr>
            <w:tcW w:w="804" w:type="dxa"/>
            <w:noWrap/>
            <w:hideMark/>
          </w:tcPr>
          <w:p w14:paraId="4D7E89B2" w14:textId="77777777" w:rsidR="00087B91" w:rsidRPr="002029AF" w:rsidRDefault="00087B91" w:rsidP="00860E95">
            <w:pPr>
              <w:pStyle w:val="ARfintablebodyrightbold"/>
              <w:ind w:right="0"/>
            </w:pPr>
            <w:r w:rsidRPr="002029AF">
              <w:t>7.1</w:t>
            </w:r>
          </w:p>
        </w:tc>
        <w:tc>
          <w:tcPr>
            <w:tcW w:w="632" w:type="dxa"/>
            <w:noWrap/>
            <w:hideMark/>
          </w:tcPr>
          <w:p w14:paraId="0A754044" w14:textId="77777777" w:rsidR="00087B91" w:rsidRPr="002029AF" w:rsidRDefault="00087B91" w:rsidP="00860E95">
            <w:pPr>
              <w:pStyle w:val="ARfintablebodyrightbold"/>
              <w:ind w:right="0"/>
            </w:pPr>
            <w:r w:rsidRPr="002029AF">
              <w:t>–</w:t>
            </w:r>
          </w:p>
        </w:tc>
        <w:tc>
          <w:tcPr>
            <w:tcW w:w="632" w:type="dxa"/>
            <w:noWrap/>
            <w:hideMark/>
          </w:tcPr>
          <w:p w14:paraId="4F2F38EF" w14:textId="77777777" w:rsidR="00087B91" w:rsidRPr="002029AF" w:rsidRDefault="00087B91" w:rsidP="00860E95">
            <w:pPr>
              <w:pStyle w:val="ARfintablebodyrightbold"/>
              <w:ind w:right="0"/>
            </w:pPr>
            <w:r w:rsidRPr="002029AF">
              <w:t>(0.1)</w:t>
            </w:r>
          </w:p>
        </w:tc>
        <w:tc>
          <w:tcPr>
            <w:tcW w:w="631" w:type="dxa"/>
            <w:noWrap/>
            <w:hideMark/>
          </w:tcPr>
          <w:p w14:paraId="61A8068F" w14:textId="77777777" w:rsidR="00087B91" w:rsidRPr="002029AF" w:rsidRDefault="00087B91" w:rsidP="00860E95">
            <w:pPr>
              <w:pStyle w:val="ARfintablebodyrightbold"/>
              <w:ind w:right="0"/>
            </w:pPr>
            <w:r w:rsidRPr="002029AF">
              <w:t>–</w:t>
            </w:r>
          </w:p>
        </w:tc>
        <w:tc>
          <w:tcPr>
            <w:tcW w:w="631" w:type="dxa"/>
            <w:noWrap/>
            <w:hideMark/>
          </w:tcPr>
          <w:p w14:paraId="06107EB5" w14:textId="77777777" w:rsidR="00087B91" w:rsidRPr="002029AF" w:rsidRDefault="00087B91" w:rsidP="00860E95">
            <w:pPr>
              <w:pStyle w:val="ARfintablebodyrightbold"/>
              <w:ind w:right="0"/>
            </w:pPr>
            <w:r w:rsidRPr="002029AF">
              <w:t>(0.1)</w:t>
            </w:r>
          </w:p>
        </w:tc>
        <w:tc>
          <w:tcPr>
            <w:tcW w:w="631" w:type="dxa"/>
            <w:noWrap/>
            <w:hideMark/>
          </w:tcPr>
          <w:p w14:paraId="41D9A8AA" w14:textId="77777777" w:rsidR="00087B91" w:rsidRPr="002029AF" w:rsidRDefault="00087B91" w:rsidP="00860E95">
            <w:pPr>
              <w:pStyle w:val="ARfintablebodyrightbold"/>
              <w:ind w:right="0"/>
            </w:pPr>
            <w:r w:rsidRPr="002029AF">
              <w:t>–</w:t>
            </w:r>
          </w:p>
        </w:tc>
        <w:tc>
          <w:tcPr>
            <w:tcW w:w="631" w:type="dxa"/>
            <w:noWrap/>
            <w:hideMark/>
          </w:tcPr>
          <w:p w14:paraId="56286377" w14:textId="77777777" w:rsidR="00087B91" w:rsidRPr="002029AF" w:rsidRDefault="00087B91" w:rsidP="00860E95">
            <w:pPr>
              <w:pStyle w:val="ARfintablebodyrightbold"/>
              <w:ind w:right="0"/>
            </w:pPr>
            <w:r w:rsidRPr="002029AF">
              <w:t>–</w:t>
            </w:r>
          </w:p>
        </w:tc>
        <w:tc>
          <w:tcPr>
            <w:tcW w:w="695" w:type="dxa"/>
            <w:noWrap/>
            <w:hideMark/>
          </w:tcPr>
          <w:p w14:paraId="667CA0AC" w14:textId="77777777" w:rsidR="00087B91" w:rsidRPr="002029AF" w:rsidRDefault="00087B91" w:rsidP="00860E95">
            <w:pPr>
              <w:pStyle w:val="ARfintablebodyrightbold"/>
              <w:ind w:right="0"/>
            </w:pPr>
            <w:r w:rsidRPr="002029AF">
              <w:t>–</w:t>
            </w:r>
          </w:p>
        </w:tc>
        <w:tc>
          <w:tcPr>
            <w:tcW w:w="851" w:type="dxa"/>
            <w:noWrap/>
            <w:hideMark/>
          </w:tcPr>
          <w:p w14:paraId="562CDB85" w14:textId="77777777" w:rsidR="00087B91" w:rsidRPr="002029AF" w:rsidRDefault="00087B91" w:rsidP="00860E95">
            <w:pPr>
              <w:pStyle w:val="ARfintablebodyrightbold"/>
              <w:ind w:right="0"/>
            </w:pPr>
            <w:r w:rsidRPr="002029AF">
              <w:t>(54.6)</w:t>
            </w:r>
          </w:p>
        </w:tc>
        <w:tc>
          <w:tcPr>
            <w:tcW w:w="631" w:type="dxa"/>
            <w:noWrap/>
            <w:hideMark/>
          </w:tcPr>
          <w:p w14:paraId="11EE72E2" w14:textId="77777777" w:rsidR="00087B91" w:rsidRPr="002029AF" w:rsidRDefault="00087B91" w:rsidP="00860E95">
            <w:pPr>
              <w:pStyle w:val="ARfintablebodyrightbold"/>
              <w:ind w:right="0"/>
            </w:pPr>
            <w:r w:rsidRPr="002029AF">
              <w:t>(0.4)</w:t>
            </w:r>
          </w:p>
        </w:tc>
        <w:tc>
          <w:tcPr>
            <w:tcW w:w="631" w:type="dxa"/>
            <w:noWrap/>
            <w:hideMark/>
          </w:tcPr>
          <w:p w14:paraId="03B9FB5B" w14:textId="77777777" w:rsidR="00087B91" w:rsidRPr="002029AF" w:rsidRDefault="00087B91" w:rsidP="00860E95">
            <w:pPr>
              <w:pStyle w:val="ARfintablebodyrightbold"/>
              <w:ind w:right="0"/>
            </w:pPr>
            <w:r w:rsidRPr="002029AF">
              <w:t>–</w:t>
            </w:r>
          </w:p>
        </w:tc>
        <w:tc>
          <w:tcPr>
            <w:tcW w:w="631" w:type="dxa"/>
            <w:noWrap/>
            <w:hideMark/>
          </w:tcPr>
          <w:p w14:paraId="10EC8ED4" w14:textId="77777777" w:rsidR="00087B91" w:rsidRPr="002029AF" w:rsidRDefault="00087B91" w:rsidP="00860E95">
            <w:pPr>
              <w:pStyle w:val="ARfintablebodyrightbold"/>
              <w:ind w:right="0"/>
            </w:pPr>
            <w:r w:rsidRPr="002029AF">
              <w:t>(0.4)</w:t>
            </w:r>
          </w:p>
        </w:tc>
        <w:tc>
          <w:tcPr>
            <w:tcW w:w="631" w:type="dxa"/>
            <w:noWrap/>
            <w:hideMark/>
          </w:tcPr>
          <w:p w14:paraId="5E301A67" w14:textId="77777777" w:rsidR="00087B91" w:rsidRPr="002029AF" w:rsidRDefault="00087B91" w:rsidP="00860E95">
            <w:pPr>
              <w:pStyle w:val="ARfintablebodyrightbold"/>
              <w:ind w:right="0"/>
            </w:pPr>
            <w:r w:rsidRPr="002029AF">
              <w:t>–</w:t>
            </w:r>
          </w:p>
        </w:tc>
        <w:tc>
          <w:tcPr>
            <w:tcW w:w="631" w:type="dxa"/>
            <w:noWrap/>
            <w:hideMark/>
          </w:tcPr>
          <w:p w14:paraId="7671D4E1" w14:textId="77777777" w:rsidR="00087B91" w:rsidRPr="002029AF" w:rsidRDefault="00087B91" w:rsidP="00860E95">
            <w:pPr>
              <w:pStyle w:val="ARfintablebodyrightbold"/>
              <w:ind w:right="0"/>
            </w:pPr>
            <w:r w:rsidRPr="002029AF">
              <w:t>(2.3)</w:t>
            </w:r>
          </w:p>
        </w:tc>
        <w:tc>
          <w:tcPr>
            <w:tcW w:w="631" w:type="dxa"/>
            <w:noWrap/>
            <w:hideMark/>
          </w:tcPr>
          <w:p w14:paraId="0800B86C" w14:textId="77777777" w:rsidR="00087B91" w:rsidRPr="002029AF" w:rsidRDefault="00087B91" w:rsidP="00860E95">
            <w:pPr>
              <w:pStyle w:val="ARfintablebodyrightbold"/>
              <w:ind w:right="0"/>
            </w:pPr>
            <w:r w:rsidRPr="002029AF">
              <w:t>–</w:t>
            </w:r>
          </w:p>
        </w:tc>
        <w:tc>
          <w:tcPr>
            <w:tcW w:w="631" w:type="dxa"/>
            <w:noWrap/>
            <w:hideMark/>
          </w:tcPr>
          <w:p w14:paraId="1EAFC44E" w14:textId="77777777" w:rsidR="00087B91" w:rsidRPr="002029AF" w:rsidRDefault="00087B91" w:rsidP="00860E95">
            <w:pPr>
              <w:pStyle w:val="ARfintablebodyrightbold"/>
              <w:ind w:right="0"/>
            </w:pPr>
            <w:r w:rsidRPr="002029AF">
              <w:t>–</w:t>
            </w:r>
          </w:p>
        </w:tc>
        <w:tc>
          <w:tcPr>
            <w:tcW w:w="803" w:type="dxa"/>
            <w:noWrap/>
            <w:hideMark/>
          </w:tcPr>
          <w:p w14:paraId="580A993C" w14:textId="77777777" w:rsidR="00087B91" w:rsidRPr="002029AF" w:rsidRDefault="00087B91" w:rsidP="00860E95">
            <w:pPr>
              <w:pStyle w:val="ARfintablebodyrightbold"/>
              <w:ind w:right="0"/>
            </w:pPr>
            <w:r w:rsidRPr="002029AF">
              <w:t>(50.8)</w:t>
            </w:r>
          </w:p>
        </w:tc>
      </w:tr>
    </w:tbl>
    <w:p w14:paraId="4BA42B1C" w14:textId="77777777" w:rsidR="00087B91" w:rsidRPr="002029AF" w:rsidRDefault="00087B91" w:rsidP="00087B91">
      <w:pPr>
        <w:pStyle w:val="ARfintablefootnote"/>
      </w:pPr>
      <w:r w:rsidRPr="002029AF">
        <w:t>Notes:</w:t>
      </w:r>
    </w:p>
    <w:p w14:paraId="7416A683" w14:textId="7BE88E4F" w:rsidR="00087B91" w:rsidRPr="002029AF" w:rsidRDefault="00087B91" w:rsidP="00087B91">
      <w:pPr>
        <w:pStyle w:val="ARfintablefootnoteindent"/>
      </w:pPr>
      <w:r w:rsidRPr="002029AF">
        <w:t>(i)</w:t>
      </w:r>
      <w:r w:rsidRPr="002029AF">
        <w:tab/>
        <w:t>Refer</w:t>
      </w:r>
      <w:r w:rsidR="000A5329" w:rsidRPr="002029AF">
        <w:t xml:space="preserve"> </w:t>
      </w:r>
      <w:r w:rsidRPr="002029AF">
        <w:t>to</w:t>
      </w:r>
      <w:r w:rsidR="000A5329" w:rsidRPr="002029AF">
        <w:t xml:space="preserve"> </w:t>
      </w:r>
      <w:r w:rsidRPr="002029AF">
        <w:t>Note</w:t>
      </w:r>
      <w:r w:rsidR="000A5329" w:rsidRPr="002029AF">
        <w:t xml:space="preserve"> </w:t>
      </w:r>
      <w:r w:rsidRPr="002029AF">
        <w:t>4.1.1</w:t>
      </w:r>
      <w:r w:rsidR="000A5329" w:rsidRPr="002029AF">
        <w:t xml:space="preserve"> </w:t>
      </w:r>
      <w:r w:rsidRPr="002029AF">
        <w:t>for</w:t>
      </w:r>
      <w:r w:rsidR="000A5329" w:rsidRPr="002029AF">
        <w:t xml:space="preserve"> </w:t>
      </w:r>
      <w:r w:rsidRPr="002029AF">
        <w:t>output</w:t>
      </w:r>
      <w:r w:rsidR="000A5329" w:rsidRPr="002029AF">
        <w:t xml:space="preserve"> </w:t>
      </w:r>
      <w:r w:rsidRPr="002029AF">
        <w:t>group</w:t>
      </w:r>
      <w:r w:rsidR="000A5329" w:rsidRPr="002029AF">
        <w:t xml:space="preserve"> </w:t>
      </w:r>
      <w:r w:rsidRPr="002029AF">
        <w:t>definitions.</w:t>
      </w:r>
    </w:p>
    <w:p w14:paraId="23FEEB86" w14:textId="4FD47D31" w:rsidR="00087B91" w:rsidRPr="002029AF" w:rsidRDefault="00087B91" w:rsidP="00087B91">
      <w:pPr>
        <w:pStyle w:val="ARfintablefootnoteindent"/>
      </w:pPr>
      <w:r w:rsidRPr="002029AF">
        <w:t>(ii)</w:t>
      </w:r>
      <w:r w:rsidRPr="002029AF">
        <w:tab/>
        <w:t>Output</w:t>
      </w:r>
      <w:r w:rsidR="000A5329" w:rsidRPr="002029AF">
        <w:t xml:space="preserve"> </w:t>
      </w:r>
      <w:r w:rsidRPr="002029AF">
        <w:t>group</w:t>
      </w:r>
      <w:r w:rsidR="000A5329" w:rsidRPr="002029AF">
        <w:t xml:space="preserve"> </w:t>
      </w:r>
      <w:r w:rsidRPr="002029AF">
        <w:t>15</w:t>
      </w:r>
      <w:r w:rsidR="000A5329" w:rsidRPr="002029AF">
        <w:t xml:space="preserve"> </w:t>
      </w:r>
      <w:r w:rsidRPr="002029AF">
        <w:t>Housing</w:t>
      </w:r>
      <w:r w:rsidR="000A5329" w:rsidRPr="002029AF">
        <w:t xml:space="preserve"> </w:t>
      </w:r>
      <w:r w:rsidRPr="002029AF">
        <w:t>Assistance</w:t>
      </w:r>
      <w:r w:rsidR="000A5329" w:rsidRPr="002029AF">
        <w:t xml:space="preserve"> </w:t>
      </w:r>
      <w:r w:rsidRPr="002029AF">
        <w:t>and</w:t>
      </w:r>
      <w:r w:rsidR="000A5329" w:rsidRPr="002029AF">
        <w:t xml:space="preserve"> </w:t>
      </w:r>
      <w:r w:rsidRPr="002029AF">
        <w:t>output</w:t>
      </w:r>
      <w:r w:rsidR="000A5329" w:rsidRPr="002029AF">
        <w:t xml:space="preserve"> </w:t>
      </w:r>
      <w:r w:rsidRPr="002029AF">
        <w:t>group</w:t>
      </w:r>
      <w:r w:rsidR="000A5329" w:rsidRPr="002029AF">
        <w:t xml:space="preserve"> </w:t>
      </w:r>
      <w:r w:rsidRPr="002029AF">
        <w:t>16</w:t>
      </w:r>
      <w:r w:rsidR="000A5329" w:rsidRPr="002029AF">
        <w:t xml:space="preserve"> </w:t>
      </w:r>
      <w:r w:rsidRPr="002029AF">
        <w:t>Shared</w:t>
      </w:r>
      <w:r w:rsidR="000A5329" w:rsidRPr="002029AF">
        <w:t xml:space="preserve"> </w:t>
      </w:r>
      <w:r w:rsidRPr="002029AF">
        <w:t>Services</w:t>
      </w:r>
      <w:r w:rsidR="000A5329" w:rsidRPr="002029AF">
        <w:t xml:space="preserve"> </w:t>
      </w:r>
      <w:r w:rsidRPr="002029AF">
        <w:t>are</w:t>
      </w:r>
      <w:r w:rsidR="000A5329" w:rsidRPr="002029AF">
        <w:t xml:space="preserve"> </w:t>
      </w:r>
      <w:r w:rsidRPr="002029AF">
        <w:t>not</w:t>
      </w:r>
      <w:r w:rsidR="000A5329" w:rsidRPr="002029AF">
        <w:t xml:space="preserve"> </w:t>
      </w:r>
      <w:r w:rsidRPr="002029AF">
        <w:t>applicable</w:t>
      </w:r>
      <w:r w:rsidR="000A5329" w:rsidRPr="002029AF">
        <w:t xml:space="preserve"> </w:t>
      </w:r>
      <w:r w:rsidRPr="002029AF">
        <w:t>for</w:t>
      </w:r>
      <w:r w:rsidR="000A5329" w:rsidRPr="002029AF">
        <w:t xml:space="preserve"> </w:t>
      </w:r>
      <w:r w:rsidRPr="002029AF">
        <w:t>administered</w:t>
      </w:r>
      <w:r w:rsidR="000A5329" w:rsidRPr="002029AF">
        <w:t xml:space="preserve"> </w:t>
      </w:r>
      <w:r w:rsidRPr="002029AF">
        <w:t>activities.</w:t>
      </w:r>
    </w:p>
    <w:p w14:paraId="059E37F1" w14:textId="40C7666B" w:rsidR="00087B91" w:rsidRPr="002029AF" w:rsidRDefault="00087B91" w:rsidP="00087B91">
      <w:pPr>
        <w:pStyle w:val="ARfinbody"/>
      </w:pPr>
    </w:p>
    <w:p w14:paraId="21D4DE3C" w14:textId="77777777" w:rsidR="00087B91" w:rsidRPr="002029AF" w:rsidRDefault="00087B91" w:rsidP="00087B91">
      <w:pPr>
        <w:pStyle w:val="ARfinbody"/>
        <w:sectPr w:rsidR="00087B91" w:rsidRPr="002029AF" w:rsidSect="00860E95">
          <w:footerReference w:type="even" r:id="rId207"/>
          <w:pgSz w:w="16838" w:h="11906" w:orient="landscape" w:code="9"/>
          <w:pgMar w:top="1418" w:right="1531" w:bottom="1418" w:left="851" w:header="851" w:footer="851" w:gutter="0"/>
          <w:cols w:space="708"/>
          <w:docGrid w:linePitch="360"/>
          <w15:footnoteColumns w:val="1"/>
        </w:sectPr>
      </w:pPr>
    </w:p>
    <w:p w14:paraId="7E5E7AC9" w14:textId="79045FA0" w:rsidR="00087B91" w:rsidRPr="002029AF" w:rsidRDefault="00087B91" w:rsidP="00087B91">
      <w:pPr>
        <w:pStyle w:val="Heading5"/>
        <w:spacing w:before="0"/>
      </w:pPr>
      <w:bookmarkStart w:id="333" w:name="_Ref51926651"/>
      <w:r w:rsidRPr="002029AF">
        <w:lastRenderedPageBreak/>
        <w:t>4.2.2</w:t>
      </w:r>
      <w:r w:rsidR="000A5329" w:rsidRPr="002029AF">
        <w:t xml:space="preserve"> </w:t>
      </w:r>
      <w:r w:rsidRPr="002029AF">
        <w:t>Administered</w:t>
      </w:r>
      <w:r w:rsidR="000A5329" w:rsidRPr="002029AF">
        <w:t xml:space="preserve"> </w:t>
      </w:r>
      <w:r w:rsidRPr="002029AF">
        <w:t>assets</w:t>
      </w:r>
      <w:r w:rsidR="000A5329" w:rsidRPr="002029AF">
        <w:t xml:space="preserve"> </w:t>
      </w:r>
      <w:r w:rsidRPr="002029AF">
        <w:t>and</w:t>
      </w:r>
      <w:r w:rsidR="000A5329" w:rsidRPr="002029AF">
        <w:t xml:space="preserve"> </w:t>
      </w:r>
      <w:r w:rsidRPr="002029AF">
        <w:t>liabilities</w:t>
      </w:r>
      <w:bookmarkEnd w:id="333"/>
    </w:p>
    <w:tbl>
      <w:tblPr>
        <w:tblStyle w:val="TableGrid"/>
        <w:tblW w:w="9637" w:type="dxa"/>
        <w:tblLayout w:type="fixed"/>
        <w:tblLook w:val="06A0" w:firstRow="1" w:lastRow="0" w:firstColumn="1" w:lastColumn="0" w:noHBand="1" w:noVBand="1"/>
      </w:tblPr>
      <w:tblGrid>
        <w:gridCol w:w="7369"/>
        <w:gridCol w:w="1134"/>
        <w:gridCol w:w="1134"/>
      </w:tblGrid>
      <w:tr w:rsidR="00087B91" w:rsidRPr="002029AF" w14:paraId="2DBC374C"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7369" w:type="dxa"/>
            <w:tcBorders>
              <w:bottom w:val="single" w:sz="4" w:space="0" w:color="auto"/>
            </w:tcBorders>
            <w:hideMark/>
          </w:tcPr>
          <w:p w14:paraId="09996CCE" w14:textId="77777777" w:rsidR="00087B91" w:rsidRPr="002029AF" w:rsidRDefault="00087B91" w:rsidP="00860E95">
            <w:pPr>
              <w:pStyle w:val="ARfintablecolhead"/>
            </w:pPr>
          </w:p>
        </w:tc>
        <w:tc>
          <w:tcPr>
            <w:tcW w:w="1134" w:type="dxa"/>
            <w:tcBorders>
              <w:bottom w:val="single" w:sz="4" w:space="0" w:color="auto"/>
            </w:tcBorders>
            <w:shd w:val="clear" w:color="auto" w:fill="E7E6E6"/>
            <w:hideMark/>
          </w:tcPr>
          <w:p w14:paraId="5DEFD102" w14:textId="77777777" w:rsidR="00087B91" w:rsidRPr="002029AF" w:rsidRDefault="00087B91" w:rsidP="00860E95">
            <w:pPr>
              <w:pStyle w:val="ARfintablecolheadright"/>
            </w:pPr>
            <w:r w:rsidRPr="002029AF">
              <w:t>2020</w:t>
            </w:r>
          </w:p>
          <w:p w14:paraId="54322014" w14:textId="77777777" w:rsidR="00087B91" w:rsidRPr="002029AF" w:rsidRDefault="00087B91" w:rsidP="00860E95">
            <w:pPr>
              <w:pStyle w:val="ARfintablecolheadright"/>
            </w:pPr>
            <w:r w:rsidRPr="002029AF">
              <w:t>$M</w:t>
            </w:r>
          </w:p>
        </w:tc>
        <w:tc>
          <w:tcPr>
            <w:tcW w:w="1134" w:type="dxa"/>
            <w:tcBorders>
              <w:bottom w:val="single" w:sz="4" w:space="0" w:color="auto"/>
            </w:tcBorders>
            <w:hideMark/>
          </w:tcPr>
          <w:p w14:paraId="22057DC1" w14:textId="77777777" w:rsidR="00087B91" w:rsidRPr="002029AF" w:rsidRDefault="00087B91" w:rsidP="00860E95">
            <w:pPr>
              <w:pStyle w:val="ARfintablecolheadright"/>
            </w:pPr>
            <w:r w:rsidRPr="002029AF">
              <w:t>2019</w:t>
            </w:r>
          </w:p>
          <w:p w14:paraId="47B60A76" w14:textId="77777777" w:rsidR="00087B91" w:rsidRPr="002029AF" w:rsidRDefault="00087B91" w:rsidP="00860E95">
            <w:pPr>
              <w:pStyle w:val="ARfintablecolheadright"/>
            </w:pPr>
            <w:r w:rsidRPr="002029AF">
              <w:t>$M</w:t>
            </w:r>
          </w:p>
        </w:tc>
      </w:tr>
      <w:tr w:rsidR="00087B91" w:rsidRPr="002029AF" w14:paraId="6E5A339E" w14:textId="77777777" w:rsidTr="00860E95">
        <w:tc>
          <w:tcPr>
            <w:tcW w:w="9637" w:type="dxa"/>
            <w:gridSpan w:val="3"/>
            <w:tcBorders>
              <w:top w:val="single" w:sz="4" w:space="0" w:color="auto"/>
              <w:bottom w:val="single" w:sz="4" w:space="0" w:color="A6A6A6"/>
            </w:tcBorders>
            <w:hideMark/>
          </w:tcPr>
          <w:p w14:paraId="28A21DB3" w14:textId="113C139D" w:rsidR="00087B91" w:rsidRPr="002029AF" w:rsidRDefault="00087B91" w:rsidP="00860E95">
            <w:pPr>
              <w:pStyle w:val="ARfintablebodybold"/>
            </w:pPr>
            <w:r w:rsidRPr="002029AF">
              <w:t>Administered</w:t>
            </w:r>
            <w:r w:rsidR="000A5329" w:rsidRPr="002029AF">
              <w:t xml:space="preserve"> </w:t>
            </w:r>
            <w:r w:rsidRPr="002029AF">
              <w:t>assets</w:t>
            </w:r>
          </w:p>
        </w:tc>
      </w:tr>
      <w:tr w:rsidR="00087B91" w:rsidRPr="002029AF" w14:paraId="2ECF5576" w14:textId="77777777" w:rsidTr="00860E95">
        <w:tc>
          <w:tcPr>
            <w:tcW w:w="9637" w:type="dxa"/>
            <w:gridSpan w:val="3"/>
            <w:tcBorders>
              <w:top w:val="single" w:sz="4" w:space="0" w:color="A6A6A6"/>
              <w:bottom w:val="single" w:sz="4" w:space="0" w:color="A6A6A6"/>
            </w:tcBorders>
            <w:hideMark/>
          </w:tcPr>
          <w:p w14:paraId="157B1B34" w14:textId="660C1C49" w:rsidR="00087B91" w:rsidRPr="002029AF" w:rsidRDefault="00087B91" w:rsidP="00860E95">
            <w:pPr>
              <w:pStyle w:val="ARfintablebodybold"/>
            </w:pPr>
            <w:r w:rsidRPr="002029AF">
              <w:t>Financial</w:t>
            </w:r>
            <w:r w:rsidR="000A5329" w:rsidRPr="002029AF">
              <w:t xml:space="preserve"> </w:t>
            </w:r>
            <w:r w:rsidRPr="002029AF">
              <w:t>assets</w:t>
            </w:r>
          </w:p>
        </w:tc>
      </w:tr>
      <w:tr w:rsidR="00087B91" w:rsidRPr="002029AF" w14:paraId="364E264B" w14:textId="77777777" w:rsidTr="00860E95">
        <w:tc>
          <w:tcPr>
            <w:tcW w:w="7369" w:type="dxa"/>
            <w:tcBorders>
              <w:top w:val="single" w:sz="4" w:space="0" w:color="A6A6A6"/>
              <w:bottom w:val="single" w:sz="4" w:space="0" w:color="A6A6A6"/>
            </w:tcBorders>
            <w:hideMark/>
          </w:tcPr>
          <w:p w14:paraId="630E52DA" w14:textId="3112C0EE" w:rsidR="00087B91" w:rsidRPr="002029AF" w:rsidRDefault="00087B91" w:rsidP="00860E95">
            <w:pPr>
              <w:pStyle w:val="ARfintablebody"/>
            </w:pPr>
            <w:r w:rsidRPr="002029AF">
              <w:t>Cash</w:t>
            </w:r>
            <w:r w:rsidR="000A5329" w:rsidRPr="002029AF">
              <w:t xml:space="preserve"> </w:t>
            </w:r>
            <w:r w:rsidRPr="002029AF">
              <w:t>and</w:t>
            </w:r>
            <w:r w:rsidR="000A5329" w:rsidRPr="002029AF">
              <w:t xml:space="preserve"> </w:t>
            </w:r>
            <w:r w:rsidRPr="002029AF">
              <w:t>deposits</w:t>
            </w:r>
          </w:p>
        </w:tc>
        <w:tc>
          <w:tcPr>
            <w:tcW w:w="1134" w:type="dxa"/>
            <w:tcBorders>
              <w:top w:val="single" w:sz="4" w:space="0" w:color="A6A6A6"/>
              <w:bottom w:val="single" w:sz="4" w:space="0" w:color="A6A6A6"/>
            </w:tcBorders>
            <w:shd w:val="clear" w:color="auto" w:fill="E7E6E6"/>
            <w:noWrap/>
            <w:hideMark/>
          </w:tcPr>
          <w:p w14:paraId="378D5DDF" w14:textId="77777777" w:rsidR="00087B91" w:rsidRPr="002029AF" w:rsidRDefault="00087B91" w:rsidP="00860E95">
            <w:pPr>
              <w:pStyle w:val="ARfintablebodyright"/>
            </w:pPr>
            <w:r w:rsidRPr="002029AF">
              <w:t>51.6</w:t>
            </w:r>
          </w:p>
        </w:tc>
        <w:tc>
          <w:tcPr>
            <w:tcW w:w="1134" w:type="dxa"/>
            <w:tcBorders>
              <w:top w:val="single" w:sz="4" w:space="0" w:color="A6A6A6"/>
              <w:bottom w:val="single" w:sz="4" w:space="0" w:color="A6A6A6"/>
            </w:tcBorders>
            <w:noWrap/>
            <w:hideMark/>
          </w:tcPr>
          <w:p w14:paraId="45570456" w14:textId="77777777" w:rsidR="00087B91" w:rsidRPr="002029AF" w:rsidRDefault="00087B91" w:rsidP="00860E95">
            <w:pPr>
              <w:pStyle w:val="ARfintablebodyright"/>
            </w:pPr>
            <w:r w:rsidRPr="002029AF">
              <w:t>44.3</w:t>
            </w:r>
          </w:p>
        </w:tc>
      </w:tr>
      <w:tr w:rsidR="00087B91" w:rsidRPr="002029AF" w14:paraId="56938E94" w14:textId="77777777" w:rsidTr="00860E95">
        <w:tc>
          <w:tcPr>
            <w:tcW w:w="7369" w:type="dxa"/>
            <w:tcBorders>
              <w:top w:val="single" w:sz="4" w:space="0" w:color="A6A6A6"/>
              <w:bottom w:val="single" w:sz="4" w:space="0" w:color="A6A6A6"/>
            </w:tcBorders>
            <w:hideMark/>
          </w:tcPr>
          <w:p w14:paraId="6F1FD6EC" w14:textId="4D284265" w:rsidR="00087B91" w:rsidRPr="002029AF" w:rsidRDefault="00087B91" w:rsidP="00860E95">
            <w:pPr>
              <w:pStyle w:val="ARfintablebody"/>
            </w:pPr>
            <w:r w:rsidRPr="002029AF">
              <w:t>Trust</w:t>
            </w:r>
            <w:r w:rsidR="000A5329" w:rsidRPr="002029AF">
              <w:t xml:space="preserve"> </w:t>
            </w:r>
            <w:r w:rsidRPr="002029AF">
              <w:t>funds</w:t>
            </w:r>
          </w:p>
        </w:tc>
        <w:tc>
          <w:tcPr>
            <w:tcW w:w="1134" w:type="dxa"/>
            <w:tcBorders>
              <w:top w:val="single" w:sz="4" w:space="0" w:color="A6A6A6"/>
              <w:bottom w:val="single" w:sz="4" w:space="0" w:color="A6A6A6"/>
            </w:tcBorders>
            <w:shd w:val="clear" w:color="auto" w:fill="E7E6E6"/>
            <w:noWrap/>
            <w:hideMark/>
          </w:tcPr>
          <w:p w14:paraId="3385071C" w14:textId="77777777" w:rsidR="00087B91" w:rsidRPr="002029AF" w:rsidRDefault="00087B91" w:rsidP="00860E95">
            <w:pPr>
              <w:pStyle w:val="ARfintablebodyright"/>
            </w:pPr>
            <w:r w:rsidRPr="002029AF">
              <w:t>3.4</w:t>
            </w:r>
          </w:p>
        </w:tc>
        <w:tc>
          <w:tcPr>
            <w:tcW w:w="1134" w:type="dxa"/>
            <w:tcBorders>
              <w:top w:val="single" w:sz="4" w:space="0" w:color="A6A6A6"/>
              <w:bottom w:val="single" w:sz="4" w:space="0" w:color="A6A6A6"/>
            </w:tcBorders>
            <w:noWrap/>
            <w:hideMark/>
          </w:tcPr>
          <w:p w14:paraId="116E7BE4" w14:textId="77777777" w:rsidR="00087B91" w:rsidRPr="002029AF" w:rsidRDefault="00087B91" w:rsidP="00860E95">
            <w:pPr>
              <w:pStyle w:val="ARfintablebodyright"/>
            </w:pPr>
            <w:r w:rsidRPr="002029AF">
              <w:t>11.4</w:t>
            </w:r>
          </w:p>
        </w:tc>
      </w:tr>
      <w:tr w:rsidR="00087B91" w:rsidRPr="002029AF" w14:paraId="3E191A64" w14:textId="77777777" w:rsidTr="00860E95">
        <w:tc>
          <w:tcPr>
            <w:tcW w:w="7369" w:type="dxa"/>
            <w:tcBorders>
              <w:top w:val="single" w:sz="4" w:space="0" w:color="A6A6A6"/>
              <w:bottom w:val="single" w:sz="4" w:space="0" w:color="A6A6A6"/>
            </w:tcBorders>
            <w:hideMark/>
          </w:tcPr>
          <w:p w14:paraId="75D198CE" w14:textId="77777777" w:rsidR="00087B91" w:rsidRPr="002029AF" w:rsidRDefault="00087B91" w:rsidP="00860E95">
            <w:pPr>
              <w:pStyle w:val="ARfintablebody"/>
            </w:pPr>
            <w:r w:rsidRPr="002029AF">
              <w:t>Receivables</w:t>
            </w:r>
          </w:p>
        </w:tc>
        <w:tc>
          <w:tcPr>
            <w:tcW w:w="1134" w:type="dxa"/>
            <w:tcBorders>
              <w:top w:val="single" w:sz="4" w:space="0" w:color="A6A6A6"/>
              <w:bottom w:val="single" w:sz="4" w:space="0" w:color="A6A6A6"/>
            </w:tcBorders>
            <w:shd w:val="clear" w:color="auto" w:fill="E7E6E6"/>
            <w:noWrap/>
            <w:hideMark/>
          </w:tcPr>
          <w:p w14:paraId="04E01D43" w14:textId="77777777" w:rsidR="00087B91" w:rsidRPr="002029AF" w:rsidRDefault="00087B91" w:rsidP="00860E95">
            <w:pPr>
              <w:pStyle w:val="ARfintablebodyright"/>
            </w:pPr>
            <w:r w:rsidRPr="002029AF">
              <w:t>912.2</w:t>
            </w:r>
          </w:p>
        </w:tc>
        <w:tc>
          <w:tcPr>
            <w:tcW w:w="1134" w:type="dxa"/>
            <w:tcBorders>
              <w:top w:val="single" w:sz="4" w:space="0" w:color="A6A6A6"/>
              <w:bottom w:val="single" w:sz="4" w:space="0" w:color="A6A6A6"/>
            </w:tcBorders>
            <w:noWrap/>
            <w:hideMark/>
          </w:tcPr>
          <w:p w14:paraId="24CF41B9" w14:textId="77777777" w:rsidR="00087B91" w:rsidRPr="002029AF" w:rsidRDefault="00087B91" w:rsidP="00860E95">
            <w:pPr>
              <w:pStyle w:val="ARfintablebodyright"/>
            </w:pPr>
            <w:r w:rsidRPr="002029AF">
              <w:t>129.6</w:t>
            </w:r>
          </w:p>
        </w:tc>
      </w:tr>
      <w:tr w:rsidR="00087B91" w:rsidRPr="002029AF" w14:paraId="21263ADB" w14:textId="77777777" w:rsidTr="00860E95">
        <w:tc>
          <w:tcPr>
            <w:tcW w:w="7369" w:type="dxa"/>
            <w:tcBorders>
              <w:top w:val="single" w:sz="4" w:space="0" w:color="A6A6A6"/>
            </w:tcBorders>
            <w:hideMark/>
          </w:tcPr>
          <w:p w14:paraId="64165368" w14:textId="77777777" w:rsidR="00087B91" w:rsidRPr="002029AF" w:rsidRDefault="00087B91" w:rsidP="00860E95">
            <w:pPr>
              <w:pStyle w:val="ARfintablebody"/>
            </w:pPr>
            <w:r w:rsidRPr="002029AF">
              <w:t>Loans</w:t>
            </w:r>
          </w:p>
        </w:tc>
        <w:tc>
          <w:tcPr>
            <w:tcW w:w="1134" w:type="dxa"/>
            <w:tcBorders>
              <w:top w:val="single" w:sz="4" w:space="0" w:color="A6A6A6"/>
            </w:tcBorders>
            <w:shd w:val="clear" w:color="auto" w:fill="E7E6E6"/>
            <w:noWrap/>
            <w:hideMark/>
          </w:tcPr>
          <w:p w14:paraId="478A97E5" w14:textId="77777777" w:rsidR="00087B91" w:rsidRPr="002029AF" w:rsidRDefault="00087B91" w:rsidP="00860E95">
            <w:pPr>
              <w:pStyle w:val="ARfintablebodyright"/>
            </w:pPr>
            <w:r w:rsidRPr="002029AF">
              <w:t>3.3</w:t>
            </w:r>
          </w:p>
        </w:tc>
        <w:tc>
          <w:tcPr>
            <w:tcW w:w="1134" w:type="dxa"/>
            <w:tcBorders>
              <w:top w:val="single" w:sz="4" w:space="0" w:color="A6A6A6"/>
            </w:tcBorders>
            <w:noWrap/>
            <w:hideMark/>
          </w:tcPr>
          <w:p w14:paraId="2AF2013D" w14:textId="77777777" w:rsidR="00087B91" w:rsidRPr="002029AF" w:rsidRDefault="00087B91" w:rsidP="00860E95">
            <w:pPr>
              <w:pStyle w:val="ARfintablebodyright"/>
            </w:pPr>
            <w:r w:rsidRPr="002029AF">
              <w:t>3.3</w:t>
            </w:r>
          </w:p>
        </w:tc>
      </w:tr>
      <w:tr w:rsidR="00087B91" w:rsidRPr="002029AF" w14:paraId="63B8B066" w14:textId="77777777" w:rsidTr="00860E95">
        <w:tc>
          <w:tcPr>
            <w:tcW w:w="7369" w:type="dxa"/>
            <w:tcBorders>
              <w:bottom w:val="single" w:sz="4" w:space="0" w:color="auto"/>
            </w:tcBorders>
            <w:hideMark/>
          </w:tcPr>
          <w:p w14:paraId="52ACB827" w14:textId="68ADD6DB" w:rsidR="00087B91" w:rsidRPr="002029AF" w:rsidRDefault="00087B91" w:rsidP="00860E95">
            <w:pPr>
              <w:pStyle w:val="ARfintablebodybold"/>
            </w:pPr>
            <w:r w:rsidRPr="002029AF">
              <w:t>Total</w:t>
            </w:r>
            <w:r w:rsidR="000A5329" w:rsidRPr="002029AF">
              <w:t xml:space="preserve"> </w:t>
            </w:r>
            <w:r w:rsidRPr="002029AF">
              <w:t>administered</w:t>
            </w:r>
            <w:r w:rsidR="000A5329" w:rsidRPr="002029AF">
              <w:t xml:space="preserve"> </w:t>
            </w:r>
            <w:r w:rsidRPr="002029AF">
              <w:t>assets</w:t>
            </w:r>
          </w:p>
        </w:tc>
        <w:tc>
          <w:tcPr>
            <w:tcW w:w="1134" w:type="dxa"/>
            <w:tcBorders>
              <w:bottom w:val="single" w:sz="4" w:space="0" w:color="auto"/>
            </w:tcBorders>
            <w:shd w:val="clear" w:color="auto" w:fill="E7E6E6"/>
            <w:noWrap/>
            <w:hideMark/>
          </w:tcPr>
          <w:p w14:paraId="47218CC7" w14:textId="77777777" w:rsidR="00087B91" w:rsidRPr="002029AF" w:rsidRDefault="00087B91" w:rsidP="00860E95">
            <w:pPr>
              <w:pStyle w:val="ARfintablebodyrightbold"/>
            </w:pPr>
            <w:r w:rsidRPr="002029AF">
              <w:t>970.5</w:t>
            </w:r>
          </w:p>
        </w:tc>
        <w:tc>
          <w:tcPr>
            <w:tcW w:w="1134" w:type="dxa"/>
            <w:tcBorders>
              <w:bottom w:val="single" w:sz="4" w:space="0" w:color="auto"/>
            </w:tcBorders>
            <w:noWrap/>
            <w:hideMark/>
          </w:tcPr>
          <w:p w14:paraId="6D229B9C" w14:textId="77777777" w:rsidR="00087B91" w:rsidRPr="002029AF" w:rsidRDefault="00087B91" w:rsidP="00860E95">
            <w:pPr>
              <w:pStyle w:val="ARfintablebodyrightbold"/>
            </w:pPr>
            <w:r w:rsidRPr="002029AF">
              <w:t>188.6</w:t>
            </w:r>
          </w:p>
        </w:tc>
      </w:tr>
      <w:tr w:rsidR="00087B91" w:rsidRPr="002029AF" w14:paraId="17C1A8BA" w14:textId="77777777" w:rsidTr="00860E95">
        <w:tc>
          <w:tcPr>
            <w:tcW w:w="9637" w:type="dxa"/>
            <w:gridSpan w:val="3"/>
            <w:tcBorders>
              <w:top w:val="single" w:sz="4" w:space="0" w:color="auto"/>
              <w:bottom w:val="single" w:sz="4" w:space="0" w:color="A6A6A6"/>
            </w:tcBorders>
            <w:hideMark/>
          </w:tcPr>
          <w:p w14:paraId="3F54154B" w14:textId="742898DF" w:rsidR="00087B91" w:rsidRPr="002029AF" w:rsidRDefault="00087B91" w:rsidP="00860E95">
            <w:pPr>
              <w:pStyle w:val="ARfintablebodybold"/>
            </w:pPr>
            <w:r w:rsidRPr="002029AF">
              <w:t>Administered</w:t>
            </w:r>
            <w:r w:rsidR="000A5329" w:rsidRPr="002029AF">
              <w:t xml:space="preserve"> </w:t>
            </w:r>
            <w:r w:rsidRPr="002029AF">
              <w:t>liabilities</w:t>
            </w:r>
          </w:p>
        </w:tc>
      </w:tr>
      <w:tr w:rsidR="00087B91" w:rsidRPr="002029AF" w14:paraId="79DD888F" w14:textId="77777777" w:rsidTr="00860E95">
        <w:tc>
          <w:tcPr>
            <w:tcW w:w="9637" w:type="dxa"/>
            <w:gridSpan w:val="3"/>
            <w:tcBorders>
              <w:top w:val="single" w:sz="4" w:space="0" w:color="A6A6A6"/>
              <w:bottom w:val="single" w:sz="4" w:space="0" w:color="A6A6A6"/>
            </w:tcBorders>
            <w:hideMark/>
          </w:tcPr>
          <w:p w14:paraId="7B72B02C" w14:textId="6EE07548" w:rsidR="00087B91" w:rsidRPr="002029AF" w:rsidRDefault="00087B91" w:rsidP="00860E95">
            <w:pPr>
              <w:pStyle w:val="ARfintablebodybold"/>
            </w:pPr>
            <w:r w:rsidRPr="002029AF">
              <w:t>Financial</w:t>
            </w:r>
            <w:r w:rsidR="000A5329" w:rsidRPr="002029AF">
              <w:t xml:space="preserve"> </w:t>
            </w:r>
            <w:r w:rsidRPr="002029AF">
              <w:t>liabilities</w:t>
            </w:r>
          </w:p>
        </w:tc>
      </w:tr>
      <w:tr w:rsidR="00087B91" w:rsidRPr="002029AF" w14:paraId="6D666C9E" w14:textId="77777777" w:rsidTr="00860E95">
        <w:tc>
          <w:tcPr>
            <w:tcW w:w="7369" w:type="dxa"/>
            <w:tcBorders>
              <w:top w:val="single" w:sz="4" w:space="0" w:color="A6A6A6"/>
              <w:bottom w:val="single" w:sz="4" w:space="0" w:color="A6A6A6"/>
            </w:tcBorders>
            <w:hideMark/>
          </w:tcPr>
          <w:p w14:paraId="42CCCA76" w14:textId="364C89DC" w:rsidR="00087B91" w:rsidRPr="002029AF" w:rsidRDefault="00087B91" w:rsidP="00860E95">
            <w:pPr>
              <w:pStyle w:val="ARfintablebody"/>
            </w:pPr>
            <w:r w:rsidRPr="002029AF">
              <w:t>Amounts</w:t>
            </w:r>
            <w:r w:rsidR="000A5329" w:rsidRPr="002029AF">
              <w:t xml:space="preserve"> </w:t>
            </w:r>
            <w:r w:rsidRPr="002029AF">
              <w:t>payable</w:t>
            </w:r>
            <w:r w:rsidR="000A5329" w:rsidRPr="002029AF">
              <w:t xml:space="preserve"> </w:t>
            </w:r>
            <w:r w:rsidRPr="002029AF">
              <w:t>to</w:t>
            </w:r>
            <w:r w:rsidR="000A5329" w:rsidRPr="002029AF">
              <w:t xml:space="preserve"> </w:t>
            </w:r>
            <w:r w:rsidRPr="002029AF">
              <w:t>the</w:t>
            </w:r>
            <w:r w:rsidR="000A5329" w:rsidRPr="002029AF">
              <w:t xml:space="preserve"> </w:t>
            </w:r>
            <w:r w:rsidRPr="002029AF">
              <w:t>consolidated</w:t>
            </w:r>
            <w:r w:rsidR="000A5329" w:rsidRPr="002029AF">
              <w:t xml:space="preserve"> </w:t>
            </w:r>
            <w:r w:rsidRPr="002029AF">
              <w:t>fund</w:t>
            </w:r>
          </w:p>
        </w:tc>
        <w:tc>
          <w:tcPr>
            <w:tcW w:w="1134" w:type="dxa"/>
            <w:tcBorders>
              <w:top w:val="single" w:sz="4" w:space="0" w:color="A6A6A6"/>
              <w:bottom w:val="single" w:sz="4" w:space="0" w:color="A6A6A6"/>
            </w:tcBorders>
            <w:shd w:val="clear" w:color="auto" w:fill="E7E6E6"/>
            <w:noWrap/>
            <w:hideMark/>
          </w:tcPr>
          <w:p w14:paraId="457FFC17" w14:textId="77777777" w:rsidR="00087B91" w:rsidRPr="002029AF" w:rsidRDefault="00087B91" w:rsidP="00860E95">
            <w:pPr>
              <w:pStyle w:val="ARfintablebodyright"/>
            </w:pPr>
            <w:r w:rsidRPr="002029AF">
              <w:t>354.4</w:t>
            </w:r>
          </w:p>
        </w:tc>
        <w:tc>
          <w:tcPr>
            <w:tcW w:w="1134" w:type="dxa"/>
            <w:tcBorders>
              <w:top w:val="single" w:sz="4" w:space="0" w:color="A6A6A6"/>
              <w:bottom w:val="single" w:sz="4" w:space="0" w:color="A6A6A6"/>
            </w:tcBorders>
            <w:noWrap/>
            <w:hideMark/>
          </w:tcPr>
          <w:p w14:paraId="59F6D56C" w14:textId="77777777" w:rsidR="00087B91" w:rsidRPr="002029AF" w:rsidRDefault="00087B91" w:rsidP="00860E95">
            <w:pPr>
              <w:pStyle w:val="ARfintablebodyright"/>
            </w:pPr>
            <w:r w:rsidRPr="002029AF">
              <w:t>1.4</w:t>
            </w:r>
          </w:p>
        </w:tc>
      </w:tr>
      <w:tr w:rsidR="00087B91" w:rsidRPr="002029AF" w14:paraId="1ADB27C2" w14:textId="77777777" w:rsidTr="00860E95">
        <w:tc>
          <w:tcPr>
            <w:tcW w:w="7369" w:type="dxa"/>
            <w:tcBorders>
              <w:top w:val="single" w:sz="4" w:space="0" w:color="A6A6A6"/>
              <w:bottom w:val="single" w:sz="4" w:space="0" w:color="A6A6A6"/>
            </w:tcBorders>
            <w:hideMark/>
          </w:tcPr>
          <w:p w14:paraId="0D61E82E" w14:textId="77777777" w:rsidR="00087B91" w:rsidRPr="002029AF" w:rsidRDefault="00087B91" w:rsidP="00860E95">
            <w:pPr>
              <w:pStyle w:val="ARfintablebody"/>
            </w:pPr>
            <w:r w:rsidRPr="002029AF">
              <w:t>Payables</w:t>
            </w:r>
          </w:p>
        </w:tc>
        <w:tc>
          <w:tcPr>
            <w:tcW w:w="1134" w:type="dxa"/>
            <w:tcBorders>
              <w:top w:val="single" w:sz="4" w:space="0" w:color="A6A6A6"/>
              <w:bottom w:val="single" w:sz="4" w:space="0" w:color="A6A6A6"/>
            </w:tcBorders>
            <w:shd w:val="clear" w:color="auto" w:fill="E7E6E6"/>
            <w:noWrap/>
            <w:hideMark/>
          </w:tcPr>
          <w:p w14:paraId="0014ED14" w14:textId="77777777" w:rsidR="00087B91" w:rsidRPr="002029AF" w:rsidRDefault="00087B91" w:rsidP="00860E95">
            <w:pPr>
              <w:pStyle w:val="ARfintablebodyright"/>
            </w:pPr>
            <w:r w:rsidRPr="002029AF">
              <w:t>609.4</w:t>
            </w:r>
          </w:p>
        </w:tc>
        <w:tc>
          <w:tcPr>
            <w:tcW w:w="1134" w:type="dxa"/>
            <w:tcBorders>
              <w:top w:val="single" w:sz="4" w:space="0" w:color="A6A6A6"/>
              <w:bottom w:val="single" w:sz="4" w:space="0" w:color="A6A6A6"/>
            </w:tcBorders>
            <w:noWrap/>
            <w:hideMark/>
          </w:tcPr>
          <w:p w14:paraId="3DD7CCDE" w14:textId="77777777" w:rsidR="00087B91" w:rsidRPr="002029AF" w:rsidRDefault="00087B91" w:rsidP="00860E95">
            <w:pPr>
              <w:pStyle w:val="ARfintablebodyright"/>
            </w:pPr>
            <w:r w:rsidRPr="002029AF">
              <w:t>172.5</w:t>
            </w:r>
          </w:p>
        </w:tc>
      </w:tr>
      <w:tr w:rsidR="00087B91" w:rsidRPr="002029AF" w14:paraId="67260C67" w14:textId="77777777" w:rsidTr="00860E95">
        <w:tc>
          <w:tcPr>
            <w:tcW w:w="7369" w:type="dxa"/>
            <w:tcBorders>
              <w:top w:val="single" w:sz="4" w:space="0" w:color="A6A6A6"/>
            </w:tcBorders>
            <w:hideMark/>
          </w:tcPr>
          <w:p w14:paraId="64910D0C" w14:textId="77777777" w:rsidR="00087B91" w:rsidRPr="002029AF" w:rsidRDefault="00087B91" w:rsidP="00860E95">
            <w:pPr>
              <w:pStyle w:val="ARfintablebody"/>
            </w:pPr>
            <w:r w:rsidRPr="002029AF">
              <w:t>Other</w:t>
            </w:r>
          </w:p>
        </w:tc>
        <w:tc>
          <w:tcPr>
            <w:tcW w:w="1134" w:type="dxa"/>
            <w:tcBorders>
              <w:top w:val="single" w:sz="4" w:space="0" w:color="A6A6A6"/>
            </w:tcBorders>
            <w:shd w:val="clear" w:color="auto" w:fill="E7E6E6"/>
            <w:noWrap/>
            <w:hideMark/>
          </w:tcPr>
          <w:p w14:paraId="2BAE81D1" w14:textId="77777777" w:rsidR="00087B91" w:rsidRPr="002029AF" w:rsidRDefault="00087B91" w:rsidP="00860E95">
            <w:pPr>
              <w:pStyle w:val="ARfintablebodyright"/>
            </w:pPr>
            <w:r w:rsidRPr="002029AF">
              <w:t>6.7</w:t>
            </w:r>
          </w:p>
        </w:tc>
        <w:tc>
          <w:tcPr>
            <w:tcW w:w="1134" w:type="dxa"/>
            <w:tcBorders>
              <w:top w:val="single" w:sz="4" w:space="0" w:color="A6A6A6"/>
            </w:tcBorders>
            <w:noWrap/>
            <w:hideMark/>
          </w:tcPr>
          <w:p w14:paraId="60B6FD73" w14:textId="77777777" w:rsidR="00087B91" w:rsidRPr="002029AF" w:rsidRDefault="00087B91" w:rsidP="00860E95">
            <w:pPr>
              <w:pStyle w:val="ARfintablebodyright"/>
            </w:pPr>
            <w:r w:rsidRPr="002029AF">
              <w:t>14.7</w:t>
            </w:r>
          </w:p>
        </w:tc>
      </w:tr>
      <w:tr w:rsidR="00087B91" w:rsidRPr="002029AF" w14:paraId="56258B96" w14:textId="77777777" w:rsidTr="00860E95">
        <w:tc>
          <w:tcPr>
            <w:tcW w:w="7369" w:type="dxa"/>
            <w:hideMark/>
          </w:tcPr>
          <w:p w14:paraId="39B6AD46" w14:textId="21AA014D" w:rsidR="00087B91" w:rsidRPr="002029AF" w:rsidRDefault="00087B91" w:rsidP="00860E95">
            <w:pPr>
              <w:pStyle w:val="ARfintablebodybold"/>
            </w:pPr>
            <w:r w:rsidRPr="002029AF">
              <w:t>Total</w:t>
            </w:r>
            <w:r w:rsidR="000A5329" w:rsidRPr="002029AF">
              <w:t xml:space="preserve"> </w:t>
            </w:r>
            <w:r w:rsidRPr="002029AF">
              <w:t>administered</w:t>
            </w:r>
            <w:r w:rsidR="000A5329" w:rsidRPr="002029AF">
              <w:t xml:space="preserve"> </w:t>
            </w:r>
            <w:r w:rsidRPr="002029AF">
              <w:t>liabilities</w:t>
            </w:r>
          </w:p>
        </w:tc>
        <w:tc>
          <w:tcPr>
            <w:tcW w:w="1134" w:type="dxa"/>
            <w:shd w:val="clear" w:color="auto" w:fill="E7E6E6"/>
            <w:noWrap/>
            <w:hideMark/>
          </w:tcPr>
          <w:p w14:paraId="302238D0" w14:textId="77777777" w:rsidR="00087B91" w:rsidRPr="002029AF" w:rsidRDefault="00087B91" w:rsidP="00860E95">
            <w:pPr>
              <w:pStyle w:val="ARfintablebodyrightbold"/>
            </w:pPr>
            <w:r w:rsidRPr="002029AF">
              <w:t>970.5</w:t>
            </w:r>
          </w:p>
        </w:tc>
        <w:tc>
          <w:tcPr>
            <w:tcW w:w="1134" w:type="dxa"/>
            <w:noWrap/>
            <w:hideMark/>
          </w:tcPr>
          <w:p w14:paraId="2BEA49FF" w14:textId="77777777" w:rsidR="00087B91" w:rsidRPr="002029AF" w:rsidRDefault="00087B91" w:rsidP="00860E95">
            <w:pPr>
              <w:pStyle w:val="ARfintablebodyrightbold"/>
            </w:pPr>
            <w:r w:rsidRPr="002029AF">
              <w:t>188.6</w:t>
            </w:r>
          </w:p>
        </w:tc>
      </w:tr>
      <w:tr w:rsidR="00087B91" w:rsidRPr="002029AF" w14:paraId="057B4077" w14:textId="77777777" w:rsidTr="00860E95">
        <w:tc>
          <w:tcPr>
            <w:tcW w:w="7369" w:type="dxa"/>
            <w:hideMark/>
          </w:tcPr>
          <w:p w14:paraId="7968CC0F" w14:textId="2C745395" w:rsidR="00087B91" w:rsidRPr="002029AF" w:rsidRDefault="00087B91" w:rsidP="00860E95">
            <w:pPr>
              <w:pStyle w:val="ARfintablebodybold"/>
            </w:pPr>
            <w:r w:rsidRPr="002029AF">
              <w:t>Total</w:t>
            </w:r>
            <w:r w:rsidR="000A5329" w:rsidRPr="002029AF">
              <w:t xml:space="preserve"> </w:t>
            </w:r>
            <w:r w:rsidRPr="002029AF">
              <w:t>administered</w:t>
            </w:r>
            <w:r w:rsidR="000A5329" w:rsidRPr="002029AF">
              <w:t xml:space="preserve"> </w:t>
            </w:r>
            <w:r w:rsidRPr="002029AF">
              <w:t>net</w:t>
            </w:r>
            <w:r w:rsidR="000A5329" w:rsidRPr="002029AF">
              <w:t xml:space="preserve"> </w:t>
            </w:r>
            <w:r w:rsidRPr="002029AF">
              <w:t>assets</w:t>
            </w:r>
          </w:p>
        </w:tc>
        <w:tc>
          <w:tcPr>
            <w:tcW w:w="1134" w:type="dxa"/>
            <w:shd w:val="clear" w:color="auto" w:fill="E7E6E6"/>
            <w:noWrap/>
            <w:hideMark/>
          </w:tcPr>
          <w:p w14:paraId="44696218" w14:textId="77777777" w:rsidR="00087B91" w:rsidRPr="002029AF" w:rsidRDefault="00087B91" w:rsidP="00860E95">
            <w:pPr>
              <w:pStyle w:val="ARfintablebodyrightbold"/>
            </w:pPr>
            <w:r w:rsidRPr="002029AF">
              <w:t>–</w:t>
            </w:r>
          </w:p>
        </w:tc>
        <w:tc>
          <w:tcPr>
            <w:tcW w:w="1134" w:type="dxa"/>
            <w:noWrap/>
            <w:hideMark/>
          </w:tcPr>
          <w:p w14:paraId="19E51C4C" w14:textId="77777777" w:rsidR="00087B91" w:rsidRPr="002029AF" w:rsidRDefault="00087B91" w:rsidP="00860E95">
            <w:pPr>
              <w:pStyle w:val="ARfintablebodyrightbold"/>
            </w:pPr>
            <w:r w:rsidRPr="002029AF">
              <w:t>–</w:t>
            </w:r>
          </w:p>
        </w:tc>
      </w:tr>
    </w:tbl>
    <w:p w14:paraId="6464D930" w14:textId="1341F37A" w:rsidR="00087B91" w:rsidRPr="002029AF" w:rsidRDefault="00087B91" w:rsidP="00087B91">
      <w:pPr>
        <w:pStyle w:val="Heading5"/>
      </w:pPr>
      <w:r w:rsidRPr="002029AF">
        <w:t>4.2.3</w:t>
      </w:r>
      <w:r w:rsidR="000A5329" w:rsidRPr="002029AF">
        <w:t xml:space="preserve"> </w:t>
      </w:r>
      <w:r w:rsidRPr="002029AF">
        <w:t>Administered</w:t>
      </w:r>
      <w:r w:rsidR="000A5329" w:rsidRPr="002029AF">
        <w:t xml:space="preserve"> </w:t>
      </w:r>
      <w:r w:rsidRPr="002029AF">
        <w:t>grants</w:t>
      </w:r>
      <w:r w:rsidR="000A5329" w:rsidRPr="002029AF">
        <w:t xml:space="preserve"> </w:t>
      </w:r>
      <w:r w:rsidRPr="002029AF">
        <w:t>and</w:t>
      </w:r>
      <w:r w:rsidR="000A5329" w:rsidRPr="002029AF">
        <w:t xml:space="preserve"> </w:t>
      </w:r>
      <w:r w:rsidRPr="002029AF">
        <w:t>other</w:t>
      </w:r>
      <w:r w:rsidR="000A5329" w:rsidRPr="002029AF">
        <w:t xml:space="preserve"> </w:t>
      </w:r>
      <w:r w:rsidRPr="002029AF">
        <w:t>expense</w:t>
      </w:r>
      <w:r w:rsidR="000A5329" w:rsidRPr="002029AF">
        <w:t xml:space="preserve"> </w:t>
      </w:r>
      <w:r w:rsidRPr="002029AF">
        <w:t>transfers</w:t>
      </w:r>
    </w:p>
    <w:tbl>
      <w:tblPr>
        <w:tblStyle w:val="TableGrid"/>
        <w:tblW w:w="9637" w:type="dxa"/>
        <w:tblLayout w:type="fixed"/>
        <w:tblLook w:val="06A0" w:firstRow="1" w:lastRow="0" w:firstColumn="1" w:lastColumn="0" w:noHBand="1" w:noVBand="1"/>
      </w:tblPr>
      <w:tblGrid>
        <w:gridCol w:w="7369"/>
        <w:gridCol w:w="1134"/>
        <w:gridCol w:w="1134"/>
      </w:tblGrid>
      <w:tr w:rsidR="00087B91" w:rsidRPr="002029AF" w14:paraId="249BD3E7"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7369" w:type="dxa"/>
            <w:tcBorders>
              <w:bottom w:val="single" w:sz="4" w:space="0" w:color="auto"/>
            </w:tcBorders>
            <w:hideMark/>
          </w:tcPr>
          <w:p w14:paraId="0BECFCFA" w14:textId="77777777" w:rsidR="00087B91" w:rsidRPr="002029AF" w:rsidRDefault="00087B91" w:rsidP="00860E95">
            <w:pPr>
              <w:pStyle w:val="ARfintablecolhead"/>
            </w:pPr>
          </w:p>
        </w:tc>
        <w:tc>
          <w:tcPr>
            <w:tcW w:w="1134" w:type="dxa"/>
            <w:tcBorders>
              <w:bottom w:val="single" w:sz="4" w:space="0" w:color="auto"/>
            </w:tcBorders>
            <w:shd w:val="clear" w:color="auto" w:fill="E7E6E6"/>
            <w:hideMark/>
          </w:tcPr>
          <w:p w14:paraId="1DB1C3EF" w14:textId="77777777" w:rsidR="00087B91" w:rsidRPr="002029AF" w:rsidRDefault="00087B91" w:rsidP="00860E95">
            <w:pPr>
              <w:pStyle w:val="ARfintablecolheadright"/>
            </w:pPr>
            <w:r w:rsidRPr="002029AF">
              <w:t>2020</w:t>
            </w:r>
          </w:p>
          <w:p w14:paraId="47B67BBE" w14:textId="77777777" w:rsidR="00087B91" w:rsidRPr="002029AF" w:rsidRDefault="00087B91" w:rsidP="00860E95">
            <w:pPr>
              <w:pStyle w:val="ARfintablecolheadright"/>
            </w:pPr>
            <w:r w:rsidRPr="002029AF">
              <w:t>$M</w:t>
            </w:r>
          </w:p>
        </w:tc>
        <w:tc>
          <w:tcPr>
            <w:tcW w:w="1134" w:type="dxa"/>
            <w:tcBorders>
              <w:bottom w:val="single" w:sz="4" w:space="0" w:color="auto"/>
            </w:tcBorders>
            <w:hideMark/>
          </w:tcPr>
          <w:p w14:paraId="3EB612A6" w14:textId="77777777" w:rsidR="00087B91" w:rsidRPr="002029AF" w:rsidRDefault="00087B91" w:rsidP="00860E95">
            <w:pPr>
              <w:pStyle w:val="ARfintablecolheadright"/>
            </w:pPr>
            <w:r w:rsidRPr="002029AF">
              <w:t>2019</w:t>
            </w:r>
          </w:p>
          <w:p w14:paraId="69F62FFC" w14:textId="77777777" w:rsidR="00087B91" w:rsidRPr="002029AF" w:rsidRDefault="00087B91" w:rsidP="00860E95">
            <w:pPr>
              <w:pStyle w:val="ARfintablecolheadright"/>
            </w:pPr>
            <w:r w:rsidRPr="002029AF">
              <w:t>$M</w:t>
            </w:r>
          </w:p>
        </w:tc>
      </w:tr>
      <w:tr w:rsidR="00087B91" w:rsidRPr="002029AF" w14:paraId="3C8831C7" w14:textId="77777777" w:rsidTr="00860E95">
        <w:tc>
          <w:tcPr>
            <w:tcW w:w="9637" w:type="dxa"/>
            <w:gridSpan w:val="3"/>
            <w:tcBorders>
              <w:top w:val="single" w:sz="4" w:space="0" w:color="auto"/>
              <w:bottom w:val="single" w:sz="4" w:space="0" w:color="A6A6A6"/>
            </w:tcBorders>
            <w:hideMark/>
          </w:tcPr>
          <w:p w14:paraId="091D1A57" w14:textId="26F81057" w:rsidR="00087B91" w:rsidRPr="002029AF" w:rsidRDefault="00087B91" w:rsidP="00860E95">
            <w:pPr>
              <w:pStyle w:val="ARfintablebodybold"/>
            </w:pPr>
            <w:r w:rsidRPr="002029AF">
              <w:t>Public</w:t>
            </w:r>
            <w:r w:rsidR="000A5329" w:rsidRPr="002029AF">
              <w:t xml:space="preserve"> </w:t>
            </w:r>
            <w:r w:rsidRPr="002029AF">
              <w:t>and</w:t>
            </w:r>
            <w:r w:rsidR="000A5329" w:rsidRPr="002029AF">
              <w:t xml:space="preserve"> </w:t>
            </w:r>
            <w:r w:rsidRPr="002029AF">
              <w:t>denominational</w:t>
            </w:r>
            <w:r w:rsidR="000A5329" w:rsidRPr="002029AF">
              <w:t xml:space="preserve"> </w:t>
            </w:r>
            <w:r w:rsidRPr="002029AF">
              <w:t>hospitals</w:t>
            </w:r>
          </w:p>
        </w:tc>
      </w:tr>
      <w:tr w:rsidR="00087B91" w:rsidRPr="002029AF" w14:paraId="2A327B21" w14:textId="77777777" w:rsidTr="00860E95">
        <w:tc>
          <w:tcPr>
            <w:tcW w:w="7369" w:type="dxa"/>
            <w:tcBorders>
              <w:top w:val="single" w:sz="4" w:space="0" w:color="A6A6A6"/>
              <w:bottom w:val="single" w:sz="4" w:space="0" w:color="A6A6A6"/>
            </w:tcBorders>
            <w:hideMark/>
          </w:tcPr>
          <w:p w14:paraId="4FEA85A5" w14:textId="77533384" w:rsidR="00087B91" w:rsidRPr="002029AF" w:rsidRDefault="00087B91" w:rsidP="00860E95">
            <w:pPr>
              <w:pStyle w:val="ARfintablebody"/>
            </w:pPr>
            <w:bookmarkStart w:id="334" w:name="_Hlk47956742"/>
            <w:r w:rsidRPr="002029AF">
              <w:t>Monash</w:t>
            </w:r>
            <w:r w:rsidR="000A5329" w:rsidRPr="002029AF">
              <w:t xml:space="preserve"> </w:t>
            </w:r>
            <w:r w:rsidRPr="002029AF">
              <w:t>Health</w:t>
            </w:r>
          </w:p>
        </w:tc>
        <w:tc>
          <w:tcPr>
            <w:tcW w:w="1134" w:type="dxa"/>
            <w:tcBorders>
              <w:top w:val="single" w:sz="4" w:space="0" w:color="A6A6A6"/>
              <w:bottom w:val="single" w:sz="4" w:space="0" w:color="A6A6A6"/>
            </w:tcBorders>
            <w:shd w:val="clear" w:color="auto" w:fill="E7E6E6"/>
            <w:noWrap/>
            <w:hideMark/>
          </w:tcPr>
          <w:p w14:paraId="7315E96C" w14:textId="77777777" w:rsidR="00087B91" w:rsidRPr="002029AF" w:rsidRDefault="00087B91" w:rsidP="00860E95">
            <w:pPr>
              <w:pStyle w:val="ARfintablebodyright"/>
            </w:pPr>
            <w:r w:rsidRPr="002029AF">
              <w:t>1,377.8</w:t>
            </w:r>
          </w:p>
        </w:tc>
        <w:tc>
          <w:tcPr>
            <w:tcW w:w="1134" w:type="dxa"/>
            <w:tcBorders>
              <w:top w:val="single" w:sz="4" w:space="0" w:color="A6A6A6"/>
              <w:bottom w:val="single" w:sz="4" w:space="0" w:color="A6A6A6"/>
            </w:tcBorders>
            <w:noWrap/>
            <w:hideMark/>
          </w:tcPr>
          <w:p w14:paraId="2AA8D650" w14:textId="77777777" w:rsidR="00087B91" w:rsidRPr="002029AF" w:rsidRDefault="00087B91" w:rsidP="00860E95">
            <w:pPr>
              <w:pStyle w:val="ARfintablebodyright"/>
            </w:pPr>
            <w:r w:rsidRPr="002029AF">
              <w:t>1,209.5</w:t>
            </w:r>
          </w:p>
        </w:tc>
      </w:tr>
      <w:tr w:rsidR="00087B91" w:rsidRPr="002029AF" w14:paraId="3DCA4939" w14:textId="77777777" w:rsidTr="00860E95">
        <w:tc>
          <w:tcPr>
            <w:tcW w:w="7369" w:type="dxa"/>
            <w:tcBorders>
              <w:top w:val="single" w:sz="4" w:space="0" w:color="A6A6A6"/>
              <w:bottom w:val="single" w:sz="4" w:space="0" w:color="A6A6A6"/>
            </w:tcBorders>
            <w:hideMark/>
          </w:tcPr>
          <w:p w14:paraId="6DAA6013" w14:textId="7AC5A462" w:rsidR="00087B91" w:rsidRPr="002029AF" w:rsidRDefault="00087B91" w:rsidP="00860E95">
            <w:pPr>
              <w:pStyle w:val="ARfintablebody"/>
            </w:pPr>
            <w:r w:rsidRPr="002029AF">
              <w:t>Alfred</w:t>
            </w:r>
            <w:r w:rsidR="000A5329" w:rsidRPr="002029AF">
              <w:t xml:space="preserve"> </w:t>
            </w:r>
            <w:r w:rsidRPr="002029AF">
              <w:t>Health</w:t>
            </w:r>
          </w:p>
        </w:tc>
        <w:tc>
          <w:tcPr>
            <w:tcW w:w="1134" w:type="dxa"/>
            <w:tcBorders>
              <w:top w:val="single" w:sz="4" w:space="0" w:color="A6A6A6"/>
              <w:bottom w:val="single" w:sz="4" w:space="0" w:color="A6A6A6"/>
            </w:tcBorders>
            <w:shd w:val="clear" w:color="auto" w:fill="E7E6E6"/>
            <w:noWrap/>
            <w:hideMark/>
          </w:tcPr>
          <w:p w14:paraId="3C34B6DB" w14:textId="77777777" w:rsidR="00087B91" w:rsidRPr="002029AF" w:rsidRDefault="00087B91" w:rsidP="00860E95">
            <w:pPr>
              <w:pStyle w:val="ARfintablebodyright"/>
            </w:pPr>
            <w:r w:rsidRPr="002029AF">
              <w:t>814.1</w:t>
            </w:r>
          </w:p>
        </w:tc>
        <w:tc>
          <w:tcPr>
            <w:tcW w:w="1134" w:type="dxa"/>
            <w:tcBorders>
              <w:top w:val="single" w:sz="4" w:space="0" w:color="A6A6A6"/>
              <w:bottom w:val="single" w:sz="4" w:space="0" w:color="A6A6A6"/>
            </w:tcBorders>
            <w:noWrap/>
            <w:hideMark/>
          </w:tcPr>
          <w:p w14:paraId="4D57D66F" w14:textId="77777777" w:rsidR="00087B91" w:rsidRPr="002029AF" w:rsidRDefault="00087B91" w:rsidP="00860E95">
            <w:pPr>
              <w:pStyle w:val="ARfintablebodyright"/>
            </w:pPr>
            <w:r w:rsidRPr="002029AF">
              <w:t>746.4</w:t>
            </w:r>
          </w:p>
        </w:tc>
      </w:tr>
      <w:tr w:rsidR="00087B91" w:rsidRPr="002029AF" w14:paraId="6E5DCA3A" w14:textId="77777777" w:rsidTr="00860E95">
        <w:tc>
          <w:tcPr>
            <w:tcW w:w="7369" w:type="dxa"/>
            <w:tcBorders>
              <w:top w:val="single" w:sz="4" w:space="0" w:color="A6A6A6"/>
              <w:bottom w:val="single" w:sz="4" w:space="0" w:color="A6A6A6"/>
            </w:tcBorders>
            <w:hideMark/>
          </w:tcPr>
          <w:p w14:paraId="1467F4F0" w14:textId="39903D84" w:rsidR="00087B91" w:rsidRPr="002029AF" w:rsidRDefault="00087B91" w:rsidP="00860E95">
            <w:pPr>
              <w:pStyle w:val="ARfintablebody"/>
            </w:pPr>
            <w:r w:rsidRPr="002029AF">
              <w:t>Eastern</w:t>
            </w:r>
            <w:r w:rsidR="000A5329" w:rsidRPr="002029AF">
              <w:t xml:space="preserve"> </w:t>
            </w:r>
            <w:r w:rsidRPr="002029AF">
              <w:t>Health</w:t>
            </w:r>
          </w:p>
        </w:tc>
        <w:tc>
          <w:tcPr>
            <w:tcW w:w="1134" w:type="dxa"/>
            <w:tcBorders>
              <w:top w:val="single" w:sz="4" w:space="0" w:color="A6A6A6"/>
              <w:bottom w:val="single" w:sz="4" w:space="0" w:color="A6A6A6"/>
            </w:tcBorders>
            <w:shd w:val="clear" w:color="auto" w:fill="E7E6E6"/>
            <w:noWrap/>
            <w:hideMark/>
          </w:tcPr>
          <w:p w14:paraId="732C5DDF" w14:textId="77777777" w:rsidR="00087B91" w:rsidRPr="002029AF" w:rsidRDefault="00087B91" w:rsidP="00860E95">
            <w:pPr>
              <w:pStyle w:val="ARfintablebodyright"/>
            </w:pPr>
            <w:r w:rsidRPr="002029AF">
              <w:t>798.8</w:t>
            </w:r>
          </w:p>
        </w:tc>
        <w:tc>
          <w:tcPr>
            <w:tcW w:w="1134" w:type="dxa"/>
            <w:tcBorders>
              <w:top w:val="single" w:sz="4" w:space="0" w:color="A6A6A6"/>
              <w:bottom w:val="single" w:sz="4" w:space="0" w:color="A6A6A6"/>
            </w:tcBorders>
            <w:noWrap/>
            <w:hideMark/>
          </w:tcPr>
          <w:p w14:paraId="081A272E" w14:textId="77777777" w:rsidR="00087B91" w:rsidRPr="002029AF" w:rsidRDefault="00087B91" w:rsidP="00860E95">
            <w:pPr>
              <w:pStyle w:val="ARfintablebodyright"/>
            </w:pPr>
            <w:r w:rsidRPr="002029AF">
              <w:t>735.7</w:t>
            </w:r>
          </w:p>
        </w:tc>
      </w:tr>
      <w:tr w:rsidR="00087B91" w:rsidRPr="002029AF" w14:paraId="61780D92" w14:textId="77777777" w:rsidTr="00860E95">
        <w:tc>
          <w:tcPr>
            <w:tcW w:w="7369" w:type="dxa"/>
            <w:tcBorders>
              <w:top w:val="single" w:sz="4" w:space="0" w:color="A6A6A6"/>
              <w:bottom w:val="single" w:sz="4" w:space="0" w:color="A6A6A6"/>
            </w:tcBorders>
            <w:hideMark/>
          </w:tcPr>
          <w:p w14:paraId="1F240DF4" w14:textId="7D5D6022" w:rsidR="00087B91" w:rsidRPr="002029AF" w:rsidRDefault="00087B91" w:rsidP="00860E95">
            <w:pPr>
              <w:pStyle w:val="ARfintablebody"/>
            </w:pPr>
            <w:r w:rsidRPr="002029AF">
              <w:t>Melbourne</w:t>
            </w:r>
            <w:r w:rsidR="000A5329" w:rsidRPr="002029AF">
              <w:t xml:space="preserve"> </w:t>
            </w:r>
            <w:r w:rsidRPr="002029AF">
              <w:t>Health</w:t>
            </w:r>
          </w:p>
        </w:tc>
        <w:tc>
          <w:tcPr>
            <w:tcW w:w="1134" w:type="dxa"/>
            <w:tcBorders>
              <w:top w:val="single" w:sz="4" w:space="0" w:color="A6A6A6"/>
              <w:bottom w:val="single" w:sz="4" w:space="0" w:color="A6A6A6"/>
            </w:tcBorders>
            <w:shd w:val="clear" w:color="auto" w:fill="E7E6E6"/>
            <w:noWrap/>
            <w:hideMark/>
          </w:tcPr>
          <w:p w14:paraId="45381F49" w14:textId="77777777" w:rsidR="00087B91" w:rsidRPr="002029AF" w:rsidRDefault="00087B91" w:rsidP="00860E95">
            <w:pPr>
              <w:pStyle w:val="ARfintablebodyright"/>
            </w:pPr>
            <w:r w:rsidRPr="002029AF">
              <w:t>742.4</w:t>
            </w:r>
          </w:p>
        </w:tc>
        <w:tc>
          <w:tcPr>
            <w:tcW w:w="1134" w:type="dxa"/>
            <w:tcBorders>
              <w:top w:val="single" w:sz="4" w:space="0" w:color="A6A6A6"/>
              <w:bottom w:val="single" w:sz="4" w:space="0" w:color="A6A6A6"/>
            </w:tcBorders>
            <w:noWrap/>
            <w:hideMark/>
          </w:tcPr>
          <w:p w14:paraId="1514FE9A" w14:textId="77777777" w:rsidR="00087B91" w:rsidRPr="002029AF" w:rsidRDefault="00087B91" w:rsidP="00860E95">
            <w:pPr>
              <w:pStyle w:val="ARfintablebodyright"/>
            </w:pPr>
            <w:r w:rsidRPr="002029AF">
              <w:t>657.9</w:t>
            </w:r>
          </w:p>
        </w:tc>
      </w:tr>
      <w:tr w:rsidR="00087B91" w:rsidRPr="002029AF" w14:paraId="117F66C3" w14:textId="77777777" w:rsidTr="00860E95">
        <w:tc>
          <w:tcPr>
            <w:tcW w:w="7369" w:type="dxa"/>
            <w:tcBorders>
              <w:top w:val="single" w:sz="4" w:space="0" w:color="A6A6A6"/>
              <w:bottom w:val="single" w:sz="4" w:space="0" w:color="A6A6A6"/>
            </w:tcBorders>
            <w:hideMark/>
          </w:tcPr>
          <w:p w14:paraId="55AD79A6" w14:textId="1F6C6637" w:rsidR="00087B91" w:rsidRPr="002029AF" w:rsidRDefault="00087B91" w:rsidP="00860E95">
            <w:pPr>
              <w:pStyle w:val="ARfintablebody"/>
            </w:pPr>
            <w:r w:rsidRPr="002029AF">
              <w:t>Austin</w:t>
            </w:r>
            <w:r w:rsidR="000A5329" w:rsidRPr="002029AF">
              <w:t xml:space="preserve"> </w:t>
            </w:r>
            <w:r w:rsidRPr="002029AF">
              <w:t>Health</w:t>
            </w:r>
          </w:p>
        </w:tc>
        <w:tc>
          <w:tcPr>
            <w:tcW w:w="1134" w:type="dxa"/>
            <w:tcBorders>
              <w:top w:val="single" w:sz="4" w:space="0" w:color="A6A6A6"/>
              <w:bottom w:val="single" w:sz="4" w:space="0" w:color="A6A6A6"/>
            </w:tcBorders>
            <w:shd w:val="clear" w:color="auto" w:fill="E7E6E6"/>
            <w:noWrap/>
            <w:hideMark/>
          </w:tcPr>
          <w:p w14:paraId="7B20A673" w14:textId="77777777" w:rsidR="00087B91" w:rsidRPr="002029AF" w:rsidRDefault="00087B91" w:rsidP="00860E95">
            <w:pPr>
              <w:pStyle w:val="ARfintablebodyright"/>
            </w:pPr>
            <w:r w:rsidRPr="002029AF">
              <w:t>674.8</w:t>
            </w:r>
          </w:p>
        </w:tc>
        <w:tc>
          <w:tcPr>
            <w:tcW w:w="1134" w:type="dxa"/>
            <w:tcBorders>
              <w:top w:val="single" w:sz="4" w:space="0" w:color="A6A6A6"/>
              <w:bottom w:val="single" w:sz="4" w:space="0" w:color="A6A6A6"/>
            </w:tcBorders>
            <w:noWrap/>
            <w:hideMark/>
          </w:tcPr>
          <w:p w14:paraId="2E9E7F1E" w14:textId="77777777" w:rsidR="00087B91" w:rsidRPr="002029AF" w:rsidRDefault="00087B91" w:rsidP="00860E95">
            <w:pPr>
              <w:pStyle w:val="ARfintablebodyright"/>
            </w:pPr>
            <w:r w:rsidRPr="002029AF">
              <w:t>615.1</w:t>
            </w:r>
          </w:p>
        </w:tc>
      </w:tr>
      <w:tr w:rsidR="00087B91" w:rsidRPr="002029AF" w14:paraId="0265CFAF" w14:textId="77777777" w:rsidTr="00860E95">
        <w:tc>
          <w:tcPr>
            <w:tcW w:w="7369" w:type="dxa"/>
            <w:tcBorders>
              <w:top w:val="single" w:sz="4" w:space="0" w:color="A6A6A6"/>
              <w:bottom w:val="single" w:sz="4" w:space="0" w:color="A6A6A6"/>
            </w:tcBorders>
            <w:hideMark/>
          </w:tcPr>
          <w:p w14:paraId="5F95F78B" w14:textId="5A8578B4" w:rsidR="00087B91" w:rsidRPr="002029AF" w:rsidRDefault="00087B91" w:rsidP="00860E95">
            <w:pPr>
              <w:pStyle w:val="ARfintablebody"/>
            </w:pPr>
            <w:bookmarkStart w:id="335" w:name="_Hlk47956782"/>
            <w:bookmarkEnd w:id="334"/>
            <w:r w:rsidRPr="002029AF">
              <w:t>Western</w:t>
            </w:r>
            <w:r w:rsidR="000A5329" w:rsidRPr="002029AF">
              <w:t xml:space="preserve"> </w:t>
            </w:r>
            <w:r w:rsidRPr="002029AF">
              <w:t>Health</w:t>
            </w:r>
          </w:p>
        </w:tc>
        <w:tc>
          <w:tcPr>
            <w:tcW w:w="1134" w:type="dxa"/>
            <w:tcBorders>
              <w:top w:val="single" w:sz="4" w:space="0" w:color="A6A6A6"/>
              <w:bottom w:val="single" w:sz="4" w:space="0" w:color="A6A6A6"/>
            </w:tcBorders>
            <w:shd w:val="clear" w:color="auto" w:fill="E7E6E6"/>
            <w:noWrap/>
            <w:hideMark/>
          </w:tcPr>
          <w:p w14:paraId="17466BE3" w14:textId="77777777" w:rsidR="00087B91" w:rsidRPr="002029AF" w:rsidRDefault="00087B91" w:rsidP="00860E95">
            <w:pPr>
              <w:pStyle w:val="ARfintablebodyright"/>
            </w:pPr>
            <w:r w:rsidRPr="002029AF">
              <w:t>649.4</w:t>
            </w:r>
          </w:p>
        </w:tc>
        <w:tc>
          <w:tcPr>
            <w:tcW w:w="1134" w:type="dxa"/>
            <w:tcBorders>
              <w:top w:val="single" w:sz="4" w:space="0" w:color="A6A6A6"/>
              <w:bottom w:val="single" w:sz="4" w:space="0" w:color="A6A6A6"/>
            </w:tcBorders>
            <w:noWrap/>
            <w:hideMark/>
          </w:tcPr>
          <w:p w14:paraId="03A59585" w14:textId="77777777" w:rsidR="00087B91" w:rsidRPr="002029AF" w:rsidRDefault="00087B91" w:rsidP="00860E95">
            <w:pPr>
              <w:pStyle w:val="ARfintablebodyright"/>
            </w:pPr>
            <w:r w:rsidRPr="002029AF">
              <w:t>605.9</w:t>
            </w:r>
          </w:p>
        </w:tc>
      </w:tr>
      <w:tr w:rsidR="00087B91" w:rsidRPr="002029AF" w14:paraId="452B2F31" w14:textId="77777777" w:rsidTr="00860E95">
        <w:tc>
          <w:tcPr>
            <w:tcW w:w="7369" w:type="dxa"/>
            <w:tcBorders>
              <w:top w:val="single" w:sz="4" w:space="0" w:color="A6A6A6"/>
              <w:bottom w:val="single" w:sz="4" w:space="0" w:color="A6A6A6"/>
            </w:tcBorders>
            <w:hideMark/>
          </w:tcPr>
          <w:p w14:paraId="16DD212D" w14:textId="0933A63A" w:rsidR="00087B91" w:rsidRPr="002029AF" w:rsidRDefault="00087B91" w:rsidP="00860E95">
            <w:pPr>
              <w:pStyle w:val="ARfintablebody"/>
            </w:pPr>
            <w:r w:rsidRPr="002029AF">
              <w:t>Northern</w:t>
            </w:r>
            <w:r w:rsidR="000A5329" w:rsidRPr="002029AF">
              <w:t xml:space="preserve"> </w:t>
            </w:r>
            <w:r w:rsidRPr="002029AF">
              <w:t>Health</w:t>
            </w:r>
          </w:p>
        </w:tc>
        <w:tc>
          <w:tcPr>
            <w:tcW w:w="1134" w:type="dxa"/>
            <w:tcBorders>
              <w:top w:val="single" w:sz="4" w:space="0" w:color="A6A6A6"/>
              <w:bottom w:val="single" w:sz="4" w:space="0" w:color="A6A6A6"/>
            </w:tcBorders>
            <w:shd w:val="clear" w:color="auto" w:fill="E7E6E6"/>
            <w:noWrap/>
            <w:hideMark/>
          </w:tcPr>
          <w:p w14:paraId="3C4E8275" w14:textId="77777777" w:rsidR="00087B91" w:rsidRPr="002029AF" w:rsidRDefault="00087B91" w:rsidP="00860E95">
            <w:pPr>
              <w:pStyle w:val="ARfintablebodyright"/>
            </w:pPr>
            <w:r w:rsidRPr="002029AF">
              <w:t>521.3</w:t>
            </w:r>
          </w:p>
        </w:tc>
        <w:tc>
          <w:tcPr>
            <w:tcW w:w="1134" w:type="dxa"/>
            <w:tcBorders>
              <w:top w:val="single" w:sz="4" w:space="0" w:color="A6A6A6"/>
              <w:bottom w:val="single" w:sz="4" w:space="0" w:color="A6A6A6"/>
            </w:tcBorders>
            <w:noWrap/>
            <w:hideMark/>
          </w:tcPr>
          <w:p w14:paraId="2AEF9B72" w14:textId="77777777" w:rsidR="00087B91" w:rsidRPr="002029AF" w:rsidRDefault="00087B91" w:rsidP="00860E95">
            <w:pPr>
              <w:pStyle w:val="ARfintablebodyright"/>
            </w:pPr>
            <w:r w:rsidRPr="002029AF">
              <w:t>482.3</w:t>
            </w:r>
          </w:p>
        </w:tc>
      </w:tr>
      <w:tr w:rsidR="00087B91" w:rsidRPr="002029AF" w14:paraId="4B052F99" w14:textId="77777777" w:rsidTr="00860E95">
        <w:tc>
          <w:tcPr>
            <w:tcW w:w="7369" w:type="dxa"/>
            <w:tcBorders>
              <w:top w:val="single" w:sz="4" w:space="0" w:color="A6A6A6"/>
              <w:bottom w:val="single" w:sz="4" w:space="0" w:color="A6A6A6"/>
            </w:tcBorders>
            <w:hideMark/>
          </w:tcPr>
          <w:p w14:paraId="24BE4F48" w14:textId="7D5DFD0A" w:rsidR="00087B91" w:rsidRPr="002029AF" w:rsidRDefault="00087B91" w:rsidP="00860E95">
            <w:pPr>
              <w:pStyle w:val="ARfintablebody"/>
            </w:pPr>
            <w:r w:rsidRPr="002029AF">
              <w:t>St</w:t>
            </w:r>
            <w:r w:rsidR="000A5329" w:rsidRPr="002029AF">
              <w:t xml:space="preserve"> </w:t>
            </w:r>
            <w:r w:rsidRPr="002029AF">
              <w:t>Vincent’s</w:t>
            </w:r>
            <w:r w:rsidR="000A5329" w:rsidRPr="002029AF">
              <w:t xml:space="preserve"> </w:t>
            </w:r>
            <w:r w:rsidRPr="002029AF">
              <w:t>Hospital</w:t>
            </w:r>
            <w:r w:rsidR="000A5329" w:rsidRPr="002029AF">
              <w:t xml:space="preserve"> </w:t>
            </w:r>
            <w:r w:rsidRPr="002029AF">
              <w:t>(Melbourne)</w:t>
            </w:r>
            <w:r w:rsidR="000A5329" w:rsidRPr="002029AF">
              <w:t xml:space="preserve"> </w:t>
            </w:r>
            <w:r w:rsidRPr="002029AF">
              <w:t>Limited</w:t>
            </w:r>
          </w:p>
        </w:tc>
        <w:tc>
          <w:tcPr>
            <w:tcW w:w="1134" w:type="dxa"/>
            <w:tcBorders>
              <w:top w:val="single" w:sz="4" w:space="0" w:color="A6A6A6"/>
              <w:bottom w:val="single" w:sz="4" w:space="0" w:color="A6A6A6"/>
            </w:tcBorders>
            <w:shd w:val="clear" w:color="auto" w:fill="E7E6E6"/>
            <w:noWrap/>
            <w:hideMark/>
          </w:tcPr>
          <w:p w14:paraId="33F446E3" w14:textId="77777777" w:rsidR="00087B91" w:rsidRPr="002029AF" w:rsidRDefault="00087B91" w:rsidP="00860E95">
            <w:pPr>
              <w:pStyle w:val="ARfintablebodyright"/>
            </w:pPr>
            <w:r w:rsidRPr="002029AF">
              <w:t>470.3</w:t>
            </w:r>
          </w:p>
        </w:tc>
        <w:tc>
          <w:tcPr>
            <w:tcW w:w="1134" w:type="dxa"/>
            <w:tcBorders>
              <w:top w:val="single" w:sz="4" w:space="0" w:color="A6A6A6"/>
              <w:bottom w:val="single" w:sz="4" w:space="0" w:color="A6A6A6"/>
            </w:tcBorders>
            <w:noWrap/>
            <w:hideMark/>
          </w:tcPr>
          <w:p w14:paraId="3D50421D" w14:textId="77777777" w:rsidR="00087B91" w:rsidRPr="002029AF" w:rsidRDefault="00087B91" w:rsidP="00860E95">
            <w:pPr>
              <w:pStyle w:val="ARfintablebodyright"/>
            </w:pPr>
            <w:r w:rsidRPr="002029AF">
              <w:t>433.0</w:t>
            </w:r>
          </w:p>
        </w:tc>
      </w:tr>
      <w:tr w:rsidR="00087B91" w:rsidRPr="002029AF" w14:paraId="4D6C55F0" w14:textId="77777777" w:rsidTr="00860E95">
        <w:tc>
          <w:tcPr>
            <w:tcW w:w="7369" w:type="dxa"/>
            <w:tcBorders>
              <w:top w:val="single" w:sz="4" w:space="0" w:color="A6A6A6"/>
              <w:bottom w:val="single" w:sz="4" w:space="0" w:color="A6A6A6"/>
            </w:tcBorders>
            <w:hideMark/>
          </w:tcPr>
          <w:p w14:paraId="20FFCAFD" w14:textId="2A58BD14" w:rsidR="00087B91" w:rsidRPr="002029AF" w:rsidRDefault="00087B91" w:rsidP="00860E95">
            <w:pPr>
              <w:pStyle w:val="ARfintablebody"/>
            </w:pPr>
            <w:r w:rsidRPr="002029AF">
              <w:t>Peninsula</w:t>
            </w:r>
            <w:r w:rsidR="000A5329" w:rsidRPr="002029AF">
              <w:t xml:space="preserve"> </w:t>
            </w:r>
            <w:r w:rsidRPr="002029AF">
              <w:t>Health</w:t>
            </w:r>
          </w:p>
        </w:tc>
        <w:tc>
          <w:tcPr>
            <w:tcW w:w="1134" w:type="dxa"/>
            <w:tcBorders>
              <w:top w:val="single" w:sz="4" w:space="0" w:color="A6A6A6"/>
              <w:bottom w:val="single" w:sz="4" w:space="0" w:color="A6A6A6"/>
            </w:tcBorders>
            <w:shd w:val="clear" w:color="auto" w:fill="E7E6E6"/>
            <w:noWrap/>
            <w:hideMark/>
          </w:tcPr>
          <w:p w14:paraId="101B0D8D" w14:textId="77777777" w:rsidR="00087B91" w:rsidRPr="002029AF" w:rsidRDefault="00087B91" w:rsidP="00860E95">
            <w:pPr>
              <w:pStyle w:val="ARfintablebodyright"/>
            </w:pPr>
            <w:r w:rsidRPr="002029AF">
              <w:t>466.2</w:t>
            </w:r>
          </w:p>
        </w:tc>
        <w:tc>
          <w:tcPr>
            <w:tcW w:w="1134" w:type="dxa"/>
            <w:tcBorders>
              <w:top w:val="single" w:sz="4" w:space="0" w:color="A6A6A6"/>
              <w:bottom w:val="single" w:sz="4" w:space="0" w:color="A6A6A6"/>
            </w:tcBorders>
            <w:noWrap/>
            <w:hideMark/>
          </w:tcPr>
          <w:p w14:paraId="78E39231" w14:textId="77777777" w:rsidR="00087B91" w:rsidRPr="002029AF" w:rsidRDefault="00087B91" w:rsidP="00860E95">
            <w:pPr>
              <w:pStyle w:val="ARfintablebodyright"/>
            </w:pPr>
            <w:r w:rsidRPr="002029AF">
              <w:t>437.6</w:t>
            </w:r>
          </w:p>
        </w:tc>
      </w:tr>
      <w:tr w:rsidR="00087B91" w:rsidRPr="002029AF" w14:paraId="254FE697" w14:textId="77777777" w:rsidTr="00860E95">
        <w:tc>
          <w:tcPr>
            <w:tcW w:w="7369" w:type="dxa"/>
            <w:tcBorders>
              <w:top w:val="single" w:sz="4" w:space="0" w:color="A6A6A6"/>
              <w:bottom w:val="single" w:sz="4" w:space="0" w:color="A6A6A6"/>
            </w:tcBorders>
            <w:hideMark/>
          </w:tcPr>
          <w:p w14:paraId="5029C701" w14:textId="0EF94619" w:rsidR="00087B91" w:rsidRPr="002029AF" w:rsidRDefault="00087B91" w:rsidP="00860E95">
            <w:pPr>
              <w:pStyle w:val="ARfintablebody"/>
            </w:pPr>
            <w:r w:rsidRPr="002029AF">
              <w:t>Barwon</w:t>
            </w:r>
            <w:r w:rsidR="000A5329" w:rsidRPr="002029AF">
              <w:t xml:space="preserve"> </w:t>
            </w:r>
            <w:r w:rsidRPr="002029AF">
              <w:t>Health</w:t>
            </w:r>
          </w:p>
        </w:tc>
        <w:tc>
          <w:tcPr>
            <w:tcW w:w="1134" w:type="dxa"/>
            <w:tcBorders>
              <w:top w:val="single" w:sz="4" w:space="0" w:color="A6A6A6"/>
              <w:bottom w:val="single" w:sz="4" w:space="0" w:color="A6A6A6"/>
            </w:tcBorders>
            <w:shd w:val="clear" w:color="auto" w:fill="E7E6E6"/>
            <w:noWrap/>
            <w:hideMark/>
          </w:tcPr>
          <w:p w14:paraId="6DC46400" w14:textId="77777777" w:rsidR="00087B91" w:rsidRPr="002029AF" w:rsidRDefault="00087B91" w:rsidP="00860E95">
            <w:pPr>
              <w:pStyle w:val="ARfintablebodyright"/>
            </w:pPr>
            <w:r w:rsidRPr="002029AF">
              <w:t>470.6</w:t>
            </w:r>
          </w:p>
        </w:tc>
        <w:tc>
          <w:tcPr>
            <w:tcW w:w="1134" w:type="dxa"/>
            <w:tcBorders>
              <w:top w:val="single" w:sz="4" w:space="0" w:color="A6A6A6"/>
              <w:bottom w:val="single" w:sz="4" w:space="0" w:color="A6A6A6"/>
            </w:tcBorders>
            <w:noWrap/>
            <w:hideMark/>
          </w:tcPr>
          <w:p w14:paraId="223D50C2" w14:textId="77777777" w:rsidR="00087B91" w:rsidRPr="002029AF" w:rsidRDefault="00087B91" w:rsidP="00860E95">
            <w:pPr>
              <w:pStyle w:val="ARfintablebodyright"/>
            </w:pPr>
            <w:r w:rsidRPr="002029AF">
              <w:t>447.9</w:t>
            </w:r>
          </w:p>
        </w:tc>
      </w:tr>
      <w:tr w:rsidR="00087B91" w:rsidRPr="002029AF" w14:paraId="0D91EAD2" w14:textId="77777777" w:rsidTr="00860E95">
        <w:tc>
          <w:tcPr>
            <w:tcW w:w="7369" w:type="dxa"/>
            <w:tcBorders>
              <w:top w:val="single" w:sz="4" w:space="0" w:color="A6A6A6"/>
              <w:bottom w:val="single" w:sz="4" w:space="0" w:color="A6A6A6"/>
            </w:tcBorders>
            <w:hideMark/>
          </w:tcPr>
          <w:p w14:paraId="054DE69B" w14:textId="6B17DA4F" w:rsidR="00087B91" w:rsidRPr="002029AF" w:rsidRDefault="00087B91" w:rsidP="00860E95">
            <w:pPr>
              <w:pStyle w:val="ARfintablebody"/>
            </w:pPr>
            <w:r w:rsidRPr="002029AF">
              <w:t>The</w:t>
            </w:r>
            <w:r w:rsidR="000A5329" w:rsidRPr="002029AF">
              <w:t xml:space="preserve"> </w:t>
            </w:r>
            <w:r w:rsidRPr="002029AF">
              <w:t>Royal</w:t>
            </w:r>
            <w:r w:rsidR="000A5329" w:rsidRPr="002029AF">
              <w:t xml:space="preserve"> </w:t>
            </w:r>
            <w:r w:rsidRPr="002029AF">
              <w:t>Children’s</w:t>
            </w:r>
            <w:r w:rsidR="000A5329" w:rsidRPr="002029AF">
              <w:t xml:space="preserve"> </w:t>
            </w:r>
            <w:r w:rsidRPr="002029AF">
              <w:t>Hospital</w:t>
            </w:r>
          </w:p>
        </w:tc>
        <w:tc>
          <w:tcPr>
            <w:tcW w:w="1134" w:type="dxa"/>
            <w:tcBorders>
              <w:top w:val="single" w:sz="4" w:space="0" w:color="A6A6A6"/>
              <w:bottom w:val="single" w:sz="4" w:space="0" w:color="A6A6A6"/>
            </w:tcBorders>
            <w:shd w:val="clear" w:color="auto" w:fill="E7E6E6"/>
            <w:noWrap/>
            <w:hideMark/>
          </w:tcPr>
          <w:p w14:paraId="1894812F" w14:textId="77777777" w:rsidR="00087B91" w:rsidRPr="002029AF" w:rsidRDefault="00087B91" w:rsidP="00860E95">
            <w:pPr>
              <w:pStyle w:val="ARfintablebodyright"/>
            </w:pPr>
            <w:r w:rsidRPr="002029AF">
              <w:t>460.4</w:t>
            </w:r>
          </w:p>
        </w:tc>
        <w:tc>
          <w:tcPr>
            <w:tcW w:w="1134" w:type="dxa"/>
            <w:tcBorders>
              <w:top w:val="single" w:sz="4" w:space="0" w:color="A6A6A6"/>
              <w:bottom w:val="single" w:sz="4" w:space="0" w:color="A6A6A6"/>
            </w:tcBorders>
            <w:noWrap/>
            <w:hideMark/>
          </w:tcPr>
          <w:p w14:paraId="142C9662" w14:textId="77777777" w:rsidR="00087B91" w:rsidRPr="002029AF" w:rsidRDefault="00087B91" w:rsidP="00860E95">
            <w:pPr>
              <w:pStyle w:val="ARfintablebodyright"/>
            </w:pPr>
            <w:r w:rsidRPr="002029AF">
              <w:t>435.3</w:t>
            </w:r>
          </w:p>
        </w:tc>
      </w:tr>
      <w:tr w:rsidR="00087B91" w:rsidRPr="002029AF" w14:paraId="502979FF" w14:textId="77777777" w:rsidTr="00860E95">
        <w:tc>
          <w:tcPr>
            <w:tcW w:w="7369" w:type="dxa"/>
            <w:tcBorders>
              <w:top w:val="single" w:sz="4" w:space="0" w:color="A6A6A6"/>
              <w:bottom w:val="single" w:sz="4" w:space="0" w:color="A6A6A6"/>
            </w:tcBorders>
            <w:hideMark/>
          </w:tcPr>
          <w:p w14:paraId="31EA3D20" w14:textId="60083D08" w:rsidR="00087B91" w:rsidRPr="002029AF" w:rsidRDefault="00087B91" w:rsidP="00860E95">
            <w:pPr>
              <w:pStyle w:val="ARfintablebody"/>
            </w:pPr>
            <w:r w:rsidRPr="002029AF">
              <w:t>Mercy</w:t>
            </w:r>
            <w:r w:rsidR="000A5329" w:rsidRPr="002029AF">
              <w:t xml:space="preserve"> </w:t>
            </w:r>
            <w:r w:rsidRPr="002029AF">
              <w:t>Hospitals</w:t>
            </w:r>
            <w:r w:rsidR="000A5329" w:rsidRPr="002029AF">
              <w:t xml:space="preserve"> </w:t>
            </w:r>
            <w:r w:rsidRPr="002029AF">
              <w:t>Victoria</w:t>
            </w:r>
            <w:r w:rsidR="000A5329" w:rsidRPr="002029AF">
              <w:t xml:space="preserve"> </w:t>
            </w:r>
            <w:r w:rsidRPr="002029AF">
              <w:t>Limited</w:t>
            </w:r>
          </w:p>
        </w:tc>
        <w:tc>
          <w:tcPr>
            <w:tcW w:w="1134" w:type="dxa"/>
            <w:tcBorders>
              <w:top w:val="single" w:sz="4" w:space="0" w:color="A6A6A6"/>
              <w:bottom w:val="single" w:sz="4" w:space="0" w:color="A6A6A6"/>
            </w:tcBorders>
            <w:shd w:val="clear" w:color="auto" w:fill="E7E6E6"/>
            <w:noWrap/>
            <w:hideMark/>
          </w:tcPr>
          <w:p w14:paraId="0237CF5E" w14:textId="77777777" w:rsidR="00087B91" w:rsidRPr="002029AF" w:rsidRDefault="00087B91" w:rsidP="00860E95">
            <w:pPr>
              <w:pStyle w:val="ARfintablebodyright"/>
            </w:pPr>
            <w:r w:rsidRPr="002029AF">
              <w:t>355.1</w:t>
            </w:r>
          </w:p>
        </w:tc>
        <w:tc>
          <w:tcPr>
            <w:tcW w:w="1134" w:type="dxa"/>
            <w:tcBorders>
              <w:top w:val="single" w:sz="4" w:space="0" w:color="A6A6A6"/>
              <w:bottom w:val="single" w:sz="4" w:space="0" w:color="A6A6A6"/>
            </w:tcBorders>
            <w:noWrap/>
            <w:hideMark/>
          </w:tcPr>
          <w:p w14:paraId="321AFB5A" w14:textId="77777777" w:rsidR="00087B91" w:rsidRPr="002029AF" w:rsidRDefault="00087B91" w:rsidP="00860E95">
            <w:pPr>
              <w:pStyle w:val="ARfintablebodyright"/>
            </w:pPr>
            <w:r w:rsidRPr="002029AF">
              <w:t>325.7</w:t>
            </w:r>
          </w:p>
        </w:tc>
      </w:tr>
      <w:tr w:rsidR="00087B91" w:rsidRPr="002029AF" w14:paraId="0C5711F9" w14:textId="77777777" w:rsidTr="00860E95">
        <w:tc>
          <w:tcPr>
            <w:tcW w:w="7369" w:type="dxa"/>
            <w:tcBorders>
              <w:top w:val="single" w:sz="4" w:space="0" w:color="A6A6A6"/>
              <w:bottom w:val="single" w:sz="4" w:space="0" w:color="A6A6A6"/>
            </w:tcBorders>
            <w:hideMark/>
          </w:tcPr>
          <w:p w14:paraId="623A155C" w14:textId="034D74E8" w:rsidR="00087B91" w:rsidRPr="002029AF" w:rsidRDefault="00087B91" w:rsidP="00860E95">
            <w:pPr>
              <w:pStyle w:val="ARfintablebody"/>
            </w:pPr>
            <w:r w:rsidRPr="002029AF">
              <w:t>Bendigo</w:t>
            </w:r>
            <w:r w:rsidR="000A5329" w:rsidRPr="002029AF">
              <w:t xml:space="preserve"> </w:t>
            </w:r>
            <w:r w:rsidRPr="002029AF">
              <w:t>Health</w:t>
            </w:r>
          </w:p>
        </w:tc>
        <w:tc>
          <w:tcPr>
            <w:tcW w:w="1134" w:type="dxa"/>
            <w:tcBorders>
              <w:top w:val="single" w:sz="4" w:space="0" w:color="A6A6A6"/>
              <w:bottom w:val="single" w:sz="4" w:space="0" w:color="A6A6A6"/>
            </w:tcBorders>
            <w:shd w:val="clear" w:color="auto" w:fill="E7E6E6"/>
            <w:noWrap/>
            <w:hideMark/>
          </w:tcPr>
          <w:p w14:paraId="69524F93" w14:textId="77777777" w:rsidR="00087B91" w:rsidRPr="002029AF" w:rsidRDefault="00087B91" w:rsidP="00860E95">
            <w:pPr>
              <w:pStyle w:val="ARfintablebodyright"/>
            </w:pPr>
            <w:r w:rsidRPr="002029AF">
              <w:t>293.3</w:t>
            </w:r>
          </w:p>
        </w:tc>
        <w:tc>
          <w:tcPr>
            <w:tcW w:w="1134" w:type="dxa"/>
            <w:tcBorders>
              <w:top w:val="single" w:sz="4" w:space="0" w:color="A6A6A6"/>
              <w:bottom w:val="single" w:sz="4" w:space="0" w:color="A6A6A6"/>
            </w:tcBorders>
            <w:noWrap/>
            <w:hideMark/>
          </w:tcPr>
          <w:p w14:paraId="15C39C7D" w14:textId="77777777" w:rsidR="00087B91" w:rsidRPr="002029AF" w:rsidRDefault="00087B91" w:rsidP="00860E95">
            <w:pPr>
              <w:pStyle w:val="ARfintablebodyright"/>
            </w:pPr>
            <w:r w:rsidRPr="002029AF">
              <w:t>264.2</w:t>
            </w:r>
          </w:p>
        </w:tc>
      </w:tr>
      <w:tr w:rsidR="00087B91" w:rsidRPr="002029AF" w14:paraId="405E7A1D" w14:textId="77777777" w:rsidTr="00860E95">
        <w:tc>
          <w:tcPr>
            <w:tcW w:w="7369" w:type="dxa"/>
            <w:tcBorders>
              <w:top w:val="single" w:sz="4" w:space="0" w:color="A6A6A6"/>
              <w:bottom w:val="single" w:sz="4" w:space="0" w:color="A6A6A6"/>
            </w:tcBorders>
            <w:hideMark/>
          </w:tcPr>
          <w:p w14:paraId="03593788" w14:textId="7192B32E" w:rsidR="00087B91" w:rsidRPr="002029AF" w:rsidRDefault="00087B91" w:rsidP="00860E95">
            <w:pPr>
              <w:pStyle w:val="ARfintablebody"/>
            </w:pPr>
            <w:r w:rsidRPr="002029AF">
              <w:t>Ballarat</w:t>
            </w:r>
            <w:r w:rsidR="000A5329" w:rsidRPr="002029AF">
              <w:t xml:space="preserve"> </w:t>
            </w:r>
            <w:r w:rsidRPr="002029AF">
              <w:t>Health</w:t>
            </w:r>
            <w:r w:rsidR="000A5329" w:rsidRPr="002029AF">
              <w:t xml:space="preserve"> </w:t>
            </w:r>
            <w:r w:rsidRPr="002029AF">
              <w:t>Services</w:t>
            </w:r>
          </w:p>
        </w:tc>
        <w:tc>
          <w:tcPr>
            <w:tcW w:w="1134" w:type="dxa"/>
            <w:tcBorders>
              <w:top w:val="single" w:sz="4" w:space="0" w:color="A6A6A6"/>
              <w:bottom w:val="single" w:sz="4" w:space="0" w:color="A6A6A6"/>
            </w:tcBorders>
            <w:shd w:val="clear" w:color="auto" w:fill="E7E6E6"/>
            <w:noWrap/>
            <w:hideMark/>
          </w:tcPr>
          <w:p w14:paraId="10B4071E" w14:textId="77777777" w:rsidR="00087B91" w:rsidRPr="002029AF" w:rsidRDefault="00087B91" w:rsidP="00860E95">
            <w:pPr>
              <w:pStyle w:val="ARfintablebodyright"/>
            </w:pPr>
            <w:r w:rsidRPr="002029AF">
              <w:t>277.1</w:t>
            </w:r>
          </w:p>
        </w:tc>
        <w:tc>
          <w:tcPr>
            <w:tcW w:w="1134" w:type="dxa"/>
            <w:tcBorders>
              <w:top w:val="single" w:sz="4" w:space="0" w:color="A6A6A6"/>
              <w:bottom w:val="single" w:sz="4" w:space="0" w:color="A6A6A6"/>
            </w:tcBorders>
            <w:noWrap/>
            <w:hideMark/>
          </w:tcPr>
          <w:p w14:paraId="6581D1E7" w14:textId="77777777" w:rsidR="00087B91" w:rsidRPr="002029AF" w:rsidRDefault="00087B91" w:rsidP="00860E95">
            <w:pPr>
              <w:pStyle w:val="ARfintablebodyright"/>
            </w:pPr>
            <w:r w:rsidRPr="002029AF">
              <w:t>257.8</w:t>
            </w:r>
          </w:p>
        </w:tc>
      </w:tr>
      <w:tr w:rsidR="00087B91" w:rsidRPr="002029AF" w14:paraId="323E633F" w14:textId="77777777" w:rsidTr="00860E95">
        <w:tc>
          <w:tcPr>
            <w:tcW w:w="7369" w:type="dxa"/>
            <w:tcBorders>
              <w:top w:val="single" w:sz="4" w:space="0" w:color="A6A6A6"/>
              <w:bottom w:val="single" w:sz="4" w:space="0" w:color="A6A6A6"/>
            </w:tcBorders>
            <w:hideMark/>
          </w:tcPr>
          <w:p w14:paraId="037F734B" w14:textId="304439E4" w:rsidR="00087B91" w:rsidRPr="002029AF" w:rsidRDefault="00087B91" w:rsidP="00860E95">
            <w:pPr>
              <w:pStyle w:val="ARfintablebody"/>
            </w:pPr>
            <w:r w:rsidRPr="002029AF">
              <w:t>The</w:t>
            </w:r>
            <w:r w:rsidR="000A5329" w:rsidRPr="002029AF">
              <w:t xml:space="preserve"> </w:t>
            </w:r>
            <w:r w:rsidRPr="002029AF">
              <w:t>Royal</w:t>
            </w:r>
            <w:r w:rsidR="000A5329" w:rsidRPr="002029AF">
              <w:t xml:space="preserve"> </w:t>
            </w:r>
            <w:r w:rsidRPr="002029AF">
              <w:t>Women’s</w:t>
            </w:r>
            <w:r w:rsidR="000A5329" w:rsidRPr="002029AF">
              <w:t xml:space="preserve"> </w:t>
            </w:r>
            <w:r w:rsidRPr="002029AF">
              <w:t>Hospital</w:t>
            </w:r>
          </w:p>
        </w:tc>
        <w:tc>
          <w:tcPr>
            <w:tcW w:w="1134" w:type="dxa"/>
            <w:tcBorders>
              <w:top w:val="single" w:sz="4" w:space="0" w:color="A6A6A6"/>
              <w:bottom w:val="single" w:sz="4" w:space="0" w:color="A6A6A6"/>
            </w:tcBorders>
            <w:shd w:val="clear" w:color="auto" w:fill="E7E6E6"/>
            <w:noWrap/>
            <w:hideMark/>
          </w:tcPr>
          <w:p w14:paraId="4B76C608" w14:textId="77777777" w:rsidR="00087B91" w:rsidRPr="002029AF" w:rsidRDefault="00087B91" w:rsidP="00860E95">
            <w:pPr>
              <w:pStyle w:val="ARfintablebodyright"/>
            </w:pPr>
            <w:r w:rsidRPr="002029AF">
              <w:t>219.0</w:t>
            </w:r>
          </w:p>
        </w:tc>
        <w:tc>
          <w:tcPr>
            <w:tcW w:w="1134" w:type="dxa"/>
            <w:tcBorders>
              <w:top w:val="single" w:sz="4" w:space="0" w:color="A6A6A6"/>
              <w:bottom w:val="single" w:sz="4" w:space="0" w:color="A6A6A6"/>
            </w:tcBorders>
            <w:noWrap/>
            <w:hideMark/>
          </w:tcPr>
          <w:p w14:paraId="26980D2E" w14:textId="77777777" w:rsidR="00087B91" w:rsidRPr="002029AF" w:rsidRDefault="00087B91" w:rsidP="00860E95">
            <w:pPr>
              <w:pStyle w:val="ARfintablebodyright"/>
            </w:pPr>
            <w:r w:rsidRPr="002029AF">
              <w:t>209.6</w:t>
            </w:r>
          </w:p>
        </w:tc>
      </w:tr>
      <w:tr w:rsidR="00087B91" w:rsidRPr="002029AF" w14:paraId="3349A6D0" w14:textId="77777777" w:rsidTr="00860E95">
        <w:tc>
          <w:tcPr>
            <w:tcW w:w="7369" w:type="dxa"/>
            <w:tcBorders>
              <w:top w:val="single" w:sz="4" w:space="0" w:color="A6A6A6"/>
              <w:bottom w:val="single" w:sz="4" w:space="0" w:color="A6A6A6"/>
            </w:tcBorders>
            <w:hideMark/>
          </w:tcPr>
          <w:p w14:paraId="1E7230F2" w14:textId="7CCC45B0" w:rsidR="00087B91" w:rsidRPr="002029AF" w:rsidRDefault="00087B91" w:rsidP="00860E95">
            <w:pPr>
              <w:pStyle w:val="ARfintablebody"/>
            </w:pPr>
            <w:r w:rsidRPr="002029AF">
              <w:t>Latrobe</w:t>
            </w:r>
            <w:r w:rsidR="000A5329" w:rsidRPr="002029AF">
              <w:t xml:space="preserve"> </w:t>
            </w:r>
            <w:r w:rsidRPr="002029AF">
              <w:t>Regional</w:t>
            </w:r>
            <w:r w:rsidR="000A5329" w:rsidRPr="002029AF">
              <w:t xml:space="preserve"> </w:t>
            </w:r>
            <w:r w:rsidRPr="002029AF">
              <w:t>Hospital</w:t>
            </w:r>
          </w:p>
        </w:tc>
        <w:tc>
          <w:tcPr>
            <w:tcW w:w="1134" w:type="dxa"/>
            <w:tcBorders>
              <w:top w:val="single" w:sz="4" w:space="0" w:color="A6A6A6"/>
              <w:bottom w:val="single" w:sz="4" w:space="0" w:color="A6A6A6"/>
            </w:tcBorders>
            <w:shd w:val="clear" w:color="auto" w:fill="E7E6E6"/>
            <w:noWrap/>
            <w:hideMark/>
          </w:tcPr>
          <w:p w14:paraId="1DCC6B37" w14:textId="77777777" w:rsidR="00087B91" w:rsidRPr="002029AF" w:rsidRDefault="00087B91" w:rsidP="00860E95">
            <w:pPr>
              <w:pStyle w:val="ARfintablebodyright"/>
            </w:pPr>
            <w:r w:rsidRPr="002029AF">
              <w:t>185.3</w:t>
            </w:r>
          </w:p>
        </w:tc>
        <w:tc>
          <w:tcPr>
            <w:tcW w:w="1134" w:type="dxa"/>
            <w:tcBorders>
              <w:top w:val="single" w:sz="4" w:space="0" w:color="A6A6A6"/>
              <w:bottom w:val="single" w:sz="4" w:space="0" w:color="A6A6A6"/>
            </w:tcBorders>
            <w:noWrap/>
            <w:hideMark/>
          </w:tcPr>
          <w:p w14:paraId="4639D267" w14:textId="77777777" w:rsidR="00087B91" w:rsidRPr="002029AF" w:rsidRDefault="00087B91" w:rsidP="00860E95">
            <w:pPr>
              <w:pStyle w:val="ARfintablebodyright"/>
            </w:pPr>
            <w:r w:rsidRPr="002029AF">
              <w:t>179.6</w:t>
            </w:r>
          </w:p>
        </w:tc>
      </w:tr>
      <w:tr w:rsidR="00087B91" w:rsidRPr="002029AF" w14:paraId="14E0A8E5" w14:textId="77777777" w:rsidTr="00860E95">
        <w:tc>
          <w:tcPr>
            <w:tcW w:w="7369" w:type="dxa"/>
            <w:tcBorders>
              <w:top w:val="single" w:sz="4" w:space="0" w:color="A6A6A6"/>
              <w:bottom w:val="single" w:sz="4" w:space="0" w:color="A6A6A6"/>
            </w:tcBorders>
            <w:hideMark/>
          </w:tcPr>
          <w:p w14:paraId="2B915AE5" w14:textId="07EFCE0B" w:rsidR="00087B91" w:rsidRPr="002029AF" w:rsidRDefault="00087B91" w:rsidP="00860E95">
            <w:pPr>
              <w:pStyle w:val="ARfintablebody"/>
            </w:pPr>
            <w:r w:rsidRPr="002029AF">
              <w:t>Goulburn</w:t>
            </w:r>
            <w:r w:rsidR="000A5329" w:rsidRPr="002029AF">
              <w:t xml:space="preserve"> </w:t>
            </w:r>
            <w:r w:rsidRPr="002029AF">
              <w:t>Valley</w:t>
            </w:r>
            <w:r w:rsidR="000A5329" w:rsidRPr="002029AF">
              <w:t xml:space="preserve"> </w:t>
            </w:r>
            <w:r w:rsidRPr="002029AF">
              <w:t>Health</w:t>
            </w:r>
          </w:p>
        </w:tc>
        <w:tc>
          <w:tcPr>
            <w:tcW w:w="1134" w:type="dxa"/>
            <w:tcBorders>
              <w:top w:val="single" w:sz="4" w:space="0" w:color="A6A6A6"/>
              <w:bottom w:val="single" w:sz="4" w:space="0" w:color="A6A6A6"/>
            </w:tcBorders>
            <w:shd w:val="clear" w:color="auto" w:fill="E7E6E6"/>
            <w:noWrap/>
            <w:hideMark/>
          </w:tcPr>
          <w:p w14:paraId="0258DB29" w14:textId="77777777" w:rsidR="00087B91" w:rsidRPr="002029AF" w:rsidRDefault="00087B91" w:rsidP="00860E95">
            <w:pPr>
              <w:pStyle w:val="ARfintablebodyright"/>
            </w:pPr>
            <w:r w:rsidRPr="002029AF">
              <w:t>177.5</w:t>
            </w:r>
          </w:p>
        </w:tc>
        <w:tc>
          <w:tcPr>
            <w:tcW w:w="1134" w:type="dxa"/>
            <w:tcBorders>
              <w:top w:val="single" w:sz="4" w:space="0" w:color="A6A6A6"/>
              <w:bottom w:val="single" w:sz="4" w:space="0" w:color="A6A6A6"/>
            </w:tcBorders>
            <w:noWrap/>
            <w:hideMark/>
          </w:tcPr>
          <w:p w14:paraId="25DC70D0" w14:textId="77777777" w:rsidR="00087B91" w:rsidRPr="002029AF" w:rsidRDefault="00087B91" w:rsidP="00860E95">
            <w:pPr>
              <w:pStyle w:val="ARfintablebodyright"/>
            </w:pPr>
            <w:r w:rsidRPr="002029AF">
              <w:t>165.9</w:t>
            </w:r>
          </w:p>
        </w:tc>
      </w:tr>
      <w:tr w:rsidR="00087B91" w:rsidRPr="002029AF" w14:paraId="3EBC886A" w14:textId="77777777" w:rsidTr="00860E95">
        <w:tc>
          <w:tcPr>
            <w:tcW w:w="7369" w:type="dxa"/>
            <w:tcBorders>
              <w:top w:val="single" w:sz="4" w:space="0" w:color="A6A6A6"/>
              <w:bottom w:val="single" w:sz="4" w:space="0" w:color="A6A6A6"/>
            </w:tcBorders>
            <w:hideMark/>
          </w:tcPr>
          <w:p w14:paraId="09BC0EB2" w14:textId="50B01217" w:rsidR="00087B91" w:rsidRPr="002029AF" w:rsidRDefault="00087B91" w:rsidP="00860E95">
            <w:pPr>
              <w:pStyle w:val="ARfintablebody"/>
            </w:pPr>
            <w:r w:rsidRPr="002029AF">
              <w:t>Peter</w:t>
            </w:r>
            <w:r w:rsidR="000A5329" w:rsidRPr="002029AF">
              <w:t xml:space="preserve"> </w:t>
            </w:r>
            <w:r w:rsidRPr="002029AF">
              <w:t>MacCallum</w:t>
            </w:r>
            <w:r w:rsidR="000A5329" w:rsidRPr="002029AF">
              <w:t xml:space="preserve"> </w:t>
            </w:r>
            <w:r w:rsidRPr="002029AF">
              <w:t>Cancer</w:t>
            </w:r>
            <w:r w:rsidR="000A5329" w:rsidRPr="002029AF">
              <w:t xml:space="preserve"> </w:t>
            </w:r>
            <w:r w:rsidRPr="002029AF">
              <w:t>Centre</w:t>
            </w:r>
          </w:p>
        </w:tc>
        <w:tc>
          <w:tcPr>
            <w:tcW w:w="1134" w:type="dxa"/>
            <w:tcBorders>
              <w:top w:val="single" w:sz="4" w:space="0" w:color="A6A6A6"/>
              <w:bottom w:val="single" w:sz="4" w:space="0" w:color="A6A6A6"/>
            </w:tcBorders>
            <w:shd w:val="clear" w:color="auto" w:fill="E7E6E6"/>
            <w:noWrap/>
            <w:hideMark/>
          </w:tcPr>
          <w:p w14:paraId="0E8C6A4E" w14:textId="77777777" w:rsidR="00087B91" w:rsidRPr="002029AF" w:rsidRDefault="00087B91" w:rsidP="00860E95">
            <w:pPr>
              <w:pStyle w:val="ARfintablebodyright"/>
            </w:pPr>
            <w:r w:rsidRPr="002029AF">
              <w:t>169.7</w:t>
            </w:r>
          </w:p>
        </w:tc>
        <w:tc>
          <w:tcPr>
            <w:tcW w:w="1134" w:type="dxa"/>
            <w:tcBorders>
              <w:top w:val="single" w:sz="4" w:space="0" w:color="A6A6A6"/>
              <w:bottom w:val="single" w:sz="4" w:space="0" w:color="A6A6A6"/>
            </w:tcBorders>
            <w:noWrap/>
            <w:hideMark/>
          </w:tcPr>
          <w:p w14:paraId="3BD6E92F" w14:textId="77777777" w:rsidR="00087B91" w:rsidRPr="002029AF" w:rsidRDefault="00087B91" w:rsidP="00860E95">
            <w:pPr>
              <w:pStyle w:val="ARfintablebodyright"/>
            </w:pPr>
            <w:r w:rsidRPr="002029AF">
              <w:t>142.9</w:t>
            </w:r>
          </w:p>
        </w:tc>
      </w:tr>
      <w:tr w:rsidR="00087B91" w:rsidRPr="002029AF" w14:paraId="516D395B" w14:textId="77777777" w:rsidTr="00860E95">
        <w:tc>
          <w:tcPr>
            <w:tcW w:w="7369" w:type="dxa"/>
            <w:tcBorders>
              <w:top w:val="single" w:sz="4" w:space="0" w:color="A6A6A6"/>
              <w:bottom w:val="single" w:sz="4" w:space="0" w:color="A6A6A6"/>
            </w:tcBorders>
            <w:hideMark/>
          </w:tcPr>
          <w:p w14:paraId="61CA2A44" w14:textId="597FECCE" w:rsidR="00087B91" w:rsidRPr="002029AF" w:rsidRDefault="00087B91" w:rsidP="00860E95">
            <w:pPr>
              <w:pStyle w:val="ARfintablebody"/>
            </w:pPr>
            <w:r w:rsidRPr="002029AF">
              <w:t>South</w:t>
            </w:r>
            <w:r w:rsidR="000A5329" w:rsidRPr="002029AF">
              <w:t xml:space="preserve"> </w:t>
            </w:r>
            <w:r w:rsidRPr="002029AF">
              <w:t>West</w:t>
            </w:r>
            <w:r w:rsidR="000A5329" w:rsidRPr="002029AF">
              <w:t xml:space="preserve"> </w:t>
            </w:r>
            <w:r w:rsidRPr="002029AF">
              <w:t>Healthcare</w:t>
            </w:r>
          </w:p>
        </w:tc>
        <w:tc>
          <w:tcPr>
            <w:tcW w:w="1134" w:type="dxa"/>
            <w:tcBorders>
              <w:top w:val="single" w:sz="4" w:space="0" w:color="A6A6A6"/>
              <w:bottom w:val="single" w:sz="4" w:space="0" w:color="A6A6A6"/>
            </w:tcBorders>
            <w:shd w:val="clear" w:color="auto" w:fill="E7E6E6"/>
            <w:noWrap/>
            <w:hideMark/>
          </w:tcPr>
          <w:p w14:paraId="23C451CA" w14:textId="77777777" w:rsidR="00087B91" w:rsidRPr="002029AF" w:rsidRDefault="00087B91" w:rsidP="00860E95">
            <w:pPr>
              <w:pStyle w:val="ARfintablebodyright"/>
            </w:pPr>
            <w:r w:rsidRPr="002029AF">
              <w:t>136.1</w:t>
            </w:r>
          </w:p>
        </w:tc>
        <w:tc>
          <w:tcPr>
            <w:tcW w:w="1134" w:type="dxa"/>
            <w:tcBorders>
              <w:top w:val="single" w:sz="4" w:space="0" w:color="A6A6A6"/>
              <w:bottom w:val="single" w:sz="4" w:space="0" w:color="A6A6A6"/>
            </w:tcBorders>
            <w:noWrap/>
            <w:hideMark/>
          </w:tcPr>
          <w:p w14:paraId="3D82791E" w14:textId="77777777" w:rsidR="00087B91" w:rsidRPr="002029AF" w:rsidRDefault="00087B91" w:rsidP="00860E95">
            <w:pPr>
              <w:pStyle w:val="ARfintablebodyright"/>
            </w:pPr>
            <w:r w:rsidRPr="002029AF">
              <w:t>122.1</w:t>
            </w:r>
          </w:p>
        </w:tc>
      </w:tr>
      <w:tr w:rsidR="00087B91" w:rsidRPr="002029AF" w14:paraId="5812FCA1" w14:textId="77777777" w:rsidTr="00860E95">
        <w:tc>
          <w:tcPr>
            <w:tcW w:w="7369" w:type="dxa"/>
            <w:tcBorders>
              <w:top w:val="single" w:sz="4" w:space="0" w:color="A6A6A6"/>
              <w:bottom w:val="single" w:sz="4" w:space="0" w:color="A6A6A6"/>
            </w:tcBorders>
            <w:hideMark/>
          </w:tcPr>
          <w:p w14:paraId="663E4082" w14:textId="7E619BA8" w:rsidR="00087B91" w:rsidRPr="002029AF" w:rsidRDefault="00087B91" w:rsidP="00860E95">
            <w:pPr>
              <w:pStyle w:val="ARfintablebody"/>
            </w:pPr>
            <w:r w:rsidRPr="002029AF">
              <w:t>Albury</w:t>
            </w:r>
            <w:r w:rsidR="000A5329" w:rsidRPr="002029AF">
              <w:t xml:space="preserve"> </w:t>
            </w:r>
            <w:r w:rsidRPr="002029AF">
              <w:t>Wodonga</w:t>
            </w:r>
            <w:r w:rsidR="000A5329" w:rsidRPr="002029AF">
              <w:t xml:space="preserve"> </w:t>
            </w:r>
            <w:r w:rsidRPr="002029AF">
              <w:t>Health</w:t>
            </w:r>
          </w:p>
        </w:tc>
        <w:tc>
          <w:tcPr>
            <w:tcW w:w="1134" w:type="dxa"/>
            <w:tcBorders>
              <w:top w:val="single" w:sz="4" w:space="0" w:color="A6A6A6"/>
              <w:bottom w:val="single" w:sz="4" w:space="0" w:color="A6A6A6"/>
            </w:tcBorders>
            <w:shd w:val="clear" w:color="auto" w:fill="E7E6E6"/>
            <w:noWrap/>
            <w:hideMark/>
          </w:tcPr>
          <w:p w14:paraId="7D3D9D01" w14:textId="77777777" w:rsidR="00087B91" w:rsidRPr="002029AF" w:rsidRDefault="00087B91" w:rsidP="00860E95">
            <w:pPr>
              <w:pStyle w:val="ARfintablebodyright"/>
            </w:pPr>
            <w:r w:rsidRPr="002029AF">
              <w:t>130.3</w:t>
            </w:r>
          </w:p>
        </w:tc>
        <w:tc>
          <w:tcPr>
            <w:tcW w:w="1134" w:type="dxa"/>
            <w:tcBorders>
              <w:top w:val="single" w:sz="4" w:space="0" w:color="A6A6A6"/>
              <w:bottom w:val="single" w:sz="4" w:space="0" w:color="A6A6A6"/>
            </w:tcBorders>
            <w:noWrap/>
            <w:hideMark/>
          </w:tcPr>
          <w:p w14:paraId="3FBD3124" w14:textId="77777777" w:rsidR="00087B91" w:rsidRPr="002029AF" w:rsidRDefault="00087B91" w:rsidP="00860E95">
            <w:pPr>
              <w:pStyle w:val="ARfintablebodyright"/>
            </w:pPr>
            <w:r w:rsidRPr="002029AF">
              <w:t>123.5</w:t>
            </w:r>
          </w:p>
        </w:tc>
      </w:tr>
      <w:tr w:rsidR="00087B91" w:rsidRPr="002029AF" w14:paraId="6463D726" w14:textId="77777777" w:rsidTr="00860E95">
        <w:tc>
          <w:tcPr>
            <w:tcW w:w="7369" w:type="dxa"/>
            <w:tcBorders>
              <w:top w:val="single" w:sz="4" w:space="0" w:color="A6A6A6"/>
              <w:bottom w:val="single" w:sz="4" w:space="0" w:color="A6A6A6"/>
            </w:tcBorders>
            <w:hideMark/>
          </w:tcPr>
          <w:p w14:paraId="6B72A26C" w14:textId="47AC7C5A" w:rsidR="00087B91" w:rsidRPr="002029AF" w:rsidRDefault="00087B91" w:rsidP="00860E95">
            <w:pPr>
              <w:pStyle w:val="ARfintablebody"/>
            </w:pPr>
            <w:r w:rsidRPr="002029AF">
              <w:t>Northeast</w:t>
            </w:r>
            <w:r w:rsidR="000A5329" w:rsidRPr="002029AF">
              <w:t xml:space="preserve"> </w:t>
            </w:r>
            <w:r w:rsidRPr="002029AF">
              <w:t>Health</w:t>
            </w:r>
            <w:r w:rsidR="000A5329" w:rsidRPr="002029AF">
              <w:t xml:space="preserve"> </w:t>
            </w:r>
            <w:r w:rsidRPr="002029AF">
              <w:t>Wangaratta</w:t>
            </w:r>
          </w:p>
        </w:tc>
        <w:tc>
          <w:tcPr>
            <w:tcW w:w="1134" w:type="dxa"/>
            <w:tcBorders>
              <w:top w:val="single" w:sz="4" w:space="0" w:color="A6A6A6"/>
              <w:bottom w:val="single" w:sz="4" w:space="0" w:color="A6A6A6"/>
            </w:tcBorders>
            <w:shd w:val="clear" w:color="auto" w:fill="E7E6E6"/>
            <w:noWrap/>
            <w:hideMark/>
          </w:tcPr>
          <w:p w14:paraId="27CE05B1" w14:textId="77777777" w:rsidR="00087B91" w:rsidRPr="002029AF" w:rsidRDefault="00087B91" w:rsidP="00860E95">
            <w:pPr>
              <w:pStyle w:val="ARfintablebodyright"/>
            </w:pPr>
            <w:r w:rsidRPr="002029AF">
              <w:t>119.0</w:t>
            </w:r>
          </w:p>
        </w:tc>
        <w:tc>
          <w:tcPr>
            <w:tcW w:w="1134" w:type="dxa"/>
            <w:tcBorders>
              <w:top w:val="single" w:sz="4" w:space="0" w:color="A6A6A6"/>
              <w:bottom w:val="single" w:sz="4" w:space="0" w:color="A6A6A6"/>
            </w:tcBorders>
            <w:noWrap/>
            <w:hideMark/>
          </w:tcPr>
          <w:p w14:paraId="25BD25E7" w14:textId="77777777" w:rsidR="00087B91" w:rsidRPr="002029AF" w:rsidRDefault="00087B91" w:rsidP="00860E95">
            <w:pPr>
              <w:pStyle w:val="ARfintablebodyright"/>
            </w:pPr>
            <w:r w:rsidRPr="002029AF">
              <w:t>102.8</w:t>
            </w:r>
          </w:p>
        </w:tc>
      </w:tr>
      <w:tr w:rsidR="00087B91" w:rsidRPr="002029AF" w14:paraId="5C25AF5E" w14:textId="77777777" w:rsidTr="00860E95">
        <w:tc>
          <w:tcPr>
            <w:tcW w:w="7369" w:type="dxa"/>
            <w:tcBorders>
              <w:top w:val="single" w:sz="4" w:space="0" w:color="A6A6A6"/>
              <w:bottom w:val="single" w:sz="4" w:space="0" w:color="A6A6A6"/>
            </w:tcBorders>
            <w:hideMark/>
          </w:tcPr>
          <w:p w14:paraId="6541AA8A" w14:textId="6A768FC2" w:rsidR="00087B91" w:rsidRPr="002029AF" w:rsidRDefault="00087B91" w:rsidP="00860E95">
            <w:pPr>
              <w:pStyle w:val="ARfintablebody"/>
            </w:pPr>
            <w:r w:rsidRPr="002029AF">
              <w:t>Ramsay</w:t>
            </w:r>
            <w:r w:rsidR="000A5329" w:rsidRPr="002029AF">
              <w:t xml:space="preserve"> </w:t>
            </w:r>
            <w:r w:rsidRPr="002029AF">
              <w:t>Health</w:t>
            </w:r>
            <w:r w:rsidR="000A5329" w:rsidRPr="002029AF">
              <w:t xml:space="preserve"> </w:t>
            </w:r>
            <w:r w:rsidRPr="002029AF">
              <w:t>Care</w:t>
            </w:r>
            <w:r w:rsidR="000A5329" w:rsidRPr="002029AF">
              <w:t xml:space="preserve"> </w:t>
            </w:r>
            <w:r w:rsidRPr="002029AF">
              <w:t>Limited</w:t>
            </w:r>
          </w:p>
        </w:tc>
        <w:tc>
          <w:tcPr>
            <w:tcW w:w="1134" w:type="dxa"/>
            <w:tcBorders>
              <w:top w:val="single" w:sz="4" w:space="0" w:color="A6A6A6"/>
              <w:bottom w:val="single" w:sz="4" w:space="0" w:color="A6A6A6"/>
            </w:tcBorders>
            <w:shd w:val="clear" w:color="auto" w:fill="E7E6E6"/>
            <w:noWrap/>
            <w:hideMark/>
          </w:tcPr>
          <w:p w14:paraId="233852E4" w14:textId="77777777" w:rsidR="00087B91" w:rsidRPr="002029AF" w:rsidRDefault="00087B91" w:rsidP="00860E95">
            <w:pPr>
              <w:pStyle w:val="ARfintablebodyright"/>
            </w:pPr>
            <w:r w:rsidRPr="002029AF">
              <w:t>98.7</w:t>
            </w:r>
          </w:p>
        </w:tc>
        <w:tc>
          <w:tcPr>
            <w:tcW w:w="1134" w:type="dxa"/>
            <w:tcBorders>
              <w:top w:val="single" w:sz="4" w:space="0" w:color="A6A6A6"/>
              <w:bottom w:val="single" w:sz="4" w:space="0" w:color="A6A6A6"/>
            </w:tcBorders>
            <w:noWrap/>
            <w:hideMark/>
          </w:tcPr>
          <w:p w14:paraId="42D0B7BD" w14:textId="77777777" w:rsidR="00087B91" w:rsidRPr="002029AF" w:rsidRDefault="00087B91" w:rsidP="00860E95">
            <w:pPr>
              <w:pStyle w:val="ARfintablebodyright"/>
            </w:pPr>
            <w:r w:rsidRPr="002029AF">
              <w:t>97.8</w:t>
            </w:r>
          </w:p>
        </w:tc>
      </w:tr>
      <w:tr w:rsidR="00087B91" w:rsidRPr="002029AF" w14:paraId="696EE3F1" w14:textId="77777777" w:rsidTr="00860E95">
        <w:tc>
          <w:tcPr>
            <w:tcW w:w="7369" w:type="dxa"/>
            <w:tcBorders>
              <w:top w:val="single" w:sz="4" w:space="0" w:color="A6A6A6"/>
              <w:bottom w:val="single" w:sz="4" w:space="0" w:color="A6A6A6"/>
            </w:tcBorders>
            <w:hideMark/>
          </w:tcPr>
          <w:p w14:paraId="2CC57D98" w14:textId="5F4FB8D7" w:rsidR="00087B91" w:rsidRPr="002029AF" w:rsidRDefault="00087B91" w:rsidP="00860E95">
            <w:pPr>
              <w:pStyle w:val="ARfintablebody"/>
            </w:pPr>
            <w:r w:rsidRPr="002029AF">
              <w:t>The</w:t>
            </w:r>
            <w:r w:rsidR="000A5329" w:rsidRPr="002029AF">
              <w:t xml:space="preserve"> </w:t>
            </w:r>
            <w:r w:rsidRPr="002029AF">
              <w:t>Royal</w:t>
            </w:r>
            <w:r w:rsidR="000A5329" w:rsidRPr="002029AF">
              <w:t xml:space="preserve"> </w:t>
            </w:r>
            <w:r w:rsidRPr="002029AF">
              <w:t>Victorian</w:t>
            </w:r>
            <w:r w:rsidR="000A5329" w:rsidRPr="002029AF">
              <w:t xml:space="preserve"> </w:t>
            </w:r>
            <w:r w:rsidRPr="002029AF">
              <w:t>Eye</w:t>
            </w:r>
            <w:r w:rsidR="000A5329" w:rsidRPr="002029AF">
              <w:t xml:space="preserve"> </w:t>
            </w:r>
            <w:r w:rsidRPr="002029AF">
              <w:t>and</w:t>
            </w:r>
            <w:r w:rsidR="000A5329" w:rsidRPr="002029AF">
              <w:t xml:space="preserve"> </w:t>
            </w:r>
            <w:r w:rsidRPr="002029AF">
              <w:t>Ear</w:t>
            </w:r>
            <w:r w:rsidR="000A5329" w:rsidRPr="002029AF">
              <w:t xml:space="preserve"> </w:t>
            </w:r>
            <w:r w:rsidRPr="002029AF">
              <w:t>Hospital</w:t>
            </w:r>
          </w:p>
        </w:tc>
        <w:tc>
          <w:tcPr>
            <w:tcW w:w="1134" w:type="dxa"/>
            <w:tcBorders>
              <w:top w:val="single" w:sz="4" w:space="0" w:color="A6A6A6"/>
              <w:bottom w:val="single" w:sz="4" w:space="0" w:color="A6A6A6"/>
            </w:tcBorders>
            <w:shd w:val="clear" w:color="auto" w:fill="E7E6E6"/>
            <w:noWrap/>
            <w:hideMark/>
          </w:tcPr>
          <w:p w14:paraId="2F6FFEE5" w14:textId="77777777" w:rsidR="00087B91" w:rsidRPr="002029AF" w:rsidRDefault="00087B91" w:rsidP="00860E95">
            <w:pPr>
              <w:pStyle w:val="ARfintablebodyright"/>
            </w:pPr>
            <w:r w:rsidRPr="002029AF">
              <w:t>94.0</w:t>
            </w:r>
          </w:p>
        </w:tc>
        <w:tc>
          <w:tcPr>
            <w:tcW w:w="1134" w:type="dxa"/>
            <w:tcBorders>
              <w:top w:val="single" w:sz="4" w:space="0" w:color="A6A6A6"/>
              <w:bottom w:val="single" w:sz="4" w:space="0" w:color="A6A6A6"/>
            </w:tcBorders>
            <w:noWrap/>
            <w:hideMark/>
          </w:tcPr>
          <w:p w14:paraId="76926663" w14:textId="77777777" w:rsidR="00087B91" w:rsidRPr="002029AF" w:rsidRDefault="00087B91" w:rsidP="00860E95">
            <w:pPr>
              <w:pStyle w:val="ARfintablebodyright"/>
            </w:pPr>
            <w:r w:rsidRPr="002029AF">
              <w:t>92.0</w:t>
            </w:r>
          </w:p>
        </w:tc>
      </w:tr>
      <w:tr w:rsidR="00087B91" w:rsidRPr="002029AF" w14:paraId="60A75CB2" w14:textId="77777777" w:rsidTr="00860E95">
        <w:tc>
          <w:tcPr>
            <w:tcW w:w="7369" w:type="dxa"/>
            <w:tcBorders>
              <w:top w:val="single" w:sz="4" w:space="0" w:color="A6A6A6"/>
              <w:bottom w:val="single" w:sz="4" w:space="0" w:color="A6A6A6"/>
            </w:tcBorders>
            <w:hideMark/>
          </w:tcPr>
          <w:p w14:paraId="5E2B77AE" w14:textId="7587613A" w:rsidR="00087B91" w:rsidRPr="002029AF" w:rsidRDefault="00087B91" w:rsidP="00860E95">
            <w:pPr>
              <w:pStyle w:val="ARfintablebody"/>
            </w:pPr>
            <w:r w:rsidRPr="002029AF">
              <w:t>West</w:t>
            </w:r>
            <w:r w:rsidR="000A5329" w:rsidRPr="002029AF">
              <w:t xml:space="preserve"> </w:t>
            </w:r>
            <w:r w:rsidRPr="002029AF">
              <w:t>Gippsland</w:t>
            </w:r>
            <w:r w:rsidR="000A5329" w:rsidRPr="002029AF">
              <w:t xml:space="preserve"> </w:t>
            </w:r>
            <w:r w:rsidRPr="002029AF">
              <w:t>Health</w:t>
            </w:r>
            <w:r w:rsidR="000A5329" w:rsidRPr="002029AF">
              <w:t xml:space="preserve"> </w:t>
            </w:r>
            <w:r w:rsidRPr="002029AF">
              <w:t>Care</w:t>
            </w:r>
            <w:r w:rsidR="000A5329" w:rsidRPr="002029AF">
              <w:t xml:space="preserve"> </w:t>
            </w:r>
            <w:r w:rsidRPr="002029AF">
              <w:t>Group</w:t>
            </w:r>
          </w:p>
        </w:tc>
        <w:tc>
          <w:tcPr>
            <w:tcW w:w="1134" w:type="dxa"/>
            <w:tcBorders>
              <w:top w:val="single" w:sz="4" w:space="0" w:color="A6A6A6"/>
              <w:bottom w:val="single" w:sz="4" w:space="0" w:color="A6A6A6"/>
            </w:tcBorders>
            <w:shd w:val="clear" w:color="auto" w:fill="E7E6E6"/>
            <w:noWrap/>
            <w:hideMark/>
          </w:tcPr>
          <w:p w14:paraId="449B33F7" w14:textId="77777777" w:rsidR="00087B91" w:rsidRPr="002029AF" w:rsidRDefault="00087B91" w:rsidP="00860E95">
            <w:pPr>
              <w:pStyle w:val="ARfintablebodyright"/>
            </w:pPr>
            <w:r w:rsidRPr="002029AF">
              <w:t>77.6</w:t>
            </w:r>
          </w:p>
        </w:tc>
        <w:tc>
          <w:tcPr>
            <w:tcW w:w="1134" w:type="dxa"/>
            <w:tcBorders>
              <w:top w:val="single" w:sz="4" w:space="0" w:color="A6A6A6"/>
              <w:bottom w:val="single" w:sz="4" w:space="0" w:color="A6A6A6"/>
            </w:tcBorders>
            <w:noWrap/>
            <w:hideMark/>
          </w:tcPr>
          <w:p w14:paraId="112557D6" w14:textId="77777777" w:rsidR="00087B91" w:rsidRPr="002029AF" w:rsidRDefault="00087B91" w:rsidP="00860E95">
            <w:pPr>
              <w:pStyle w:val="ARfintablebodyright"/>
            </w:pPr>
            <w:r w:rsidRPr="002029AF">
              <w:t>71.7</w:t>
            </w:r>
          </w:p>
        </w:tc>
      </w:tr>
      <w:tr w:rsidR="00087B91" w:rsidRPr="002029AF" w14:paraId="0C28DA27" w14:textId="77777777" w:rsidTr="00860E95">
        <w:tc>
          <w:tcPr>
            <w:tcW w:w="7369" w:type="dxa"/>
            <w:tcBorders>
              <w:top w:val="single" w:sz="4" w:space="0" w:color="A6A6A6"/>
              <w:bottom w:val="single" w:sz="4" w:space="0" w:color="A6A6A6"/>
            </w:tcBorders>
            <w:hideMark/>
          </w:tcPr>
          <w:p w14:paraId="0F9BFC19" w14:textId="4A04C8F9" w:rsidR="00087B91" w:rsidRPr="002029AF" w:rsidRDefault="00087B91" w:rsidP="00860E95">
            <w:pPr>
              <w:pStyle w:val="ARfintablebody"/>
            </w:pPr>
            <w:r w:rsidRPr="002029AF">
              <w:t>Wimmera</w:t>
            </w:r>
            <w:r w:rsidR="000A5329" w:rsidRPr="002029AF">
              <w:t xml:space="preserve"> </w:t>
            </w:r>
            <w:r w:rsidRPr="002029AF">
              <w:t>Health</w:t>
            </w:r>
            <w:r w:rsidR="000A5329" w:rsidRPr="002029AF">
              <w:t xml:space="preserve"> </w:t>
            </w:r>
            <w:r w:rsidRPr="002029AF">
              <w:t>Care</w:t>
            </w:r>
            <w:r w:rsidR="000A5329" w:rsidRPr="002029AF">
              <w:t xml:space="preserve"> </w:t>
            </w:r>
            <w:r w:rsidRPr="002029AF">
              <w:t>Group</w:t>
            </w:r>
          </w:p>
        </w:tc>
        <w:tc>
          <w:tcPr>
            <w:tcW w:w="1134" w:type="dxa"/>
            <w:tcBorders>
              <w:top w:val="single" w:sz="4" w:space="0" w:color="A6A6A6"/>
              <w:bottom w:val="single" w:sz="4" w:space="0" w:color="A6A6A6"/>
            </w:tcBorders>
            <w:shd w:val="clear" w:color="auto" w:fill="E7E6E6"/>
            <w:noWrap/>
            <w:hideMark/>
          </w:tcPr>
          <w:p w14:paraId="6E22FFFB" w14:textId="77777777" w:rsidR="00087B91" w:rsidRPr="002029AF" w:rsidRDefault="00087B91" w:rsidP="00860E95">
            <w:pPr>
              <w:pStyle w:val="ARfintablebodyright"/>
            </w:pPr>
            <w:r w:rsidRPr="002029AF">
              <w:t>67.7</w:t>
            </w:r>
          </w:p>
        </w:tc>
        <w:tc>
          <w:tcPr>
            <w:tcW w:w="1134" w:type="dxa"/>
            <w:tcBorders>
              <w:top w:val="single" w:sz="4" w:space="0" w:color="A6A6A6"/>
              <w:bottom w:val="single" w:sz="4" w:space="0" w:color="A6A6A6"/>
            </w:tcBorders>
            <w:noWrap/>
            <w:hideMark/>
          </w:tcPr>
          <w:p w14:paraId="4FC3232A" w14:textId="77777777" w:rsidR="00087B91" w:rsidRPr="002029AF" w:rsidRDefault="00087B91" w:rsidP="00860E95">
            <w:pPr>
              <w:pStyle w:val="ARfintablebodyright"/>
            </w:pPr>
            <w:r w:rsidRPr="002029AF">
              <w:t>60.2</w:t>
            </w:r>
          </w:p>
        </w:tc>
      </w:tr>
      <w:tr w:rsidR="00087B91" w:rsidRPr="002029AF" w14:paraId="39882E84" w14:textId="77777777" w:rsidTr="00860E95">
        <w:tc>
          <w:tcPr>
            <w:tcW w:w="7369" w:type="dxa"/>
            <w:tcBorders>
              <w:top w:val="single" w:sz="4" w:space="0" w:color="A6A6A6"/>
              <w:bottom w:val="single" w:sz="4" w:space="0" w:color="A6A6A6"/>
            </w:tcBorders>
          </w:tcPr>
          <w:p w14:paraId="1645C01F" w14:textId="7BB4C9D3" w:rsidR="00087B91" w:rsidRPr="002029AF" w:rsidRDefault="00087B91" w:rsidP="00860E95">
            <w:pPr>
              <w:pStyle w:val="ARfintablebody"/>
            </w:pPr>
            <w:r w:rsidRPr="002029AF">
              <w:t>Bairnsdale</w:t>
            </w:r>
            <w:r w:rsidR="000A5329" w:rsidRPr="002029AF">
              <w:t xml:space="preserve"> </w:t>
            </w:r>
            <w:r w:rsidRPr="002029AF">
              <w:t>Regional</w:t>
            </w:r>
            <w:r w:rsidR="000A5329" w:rsidRPr="002029AF">
              <w:t xml:space="preserve"> </w:t>
            </w:r>
            <w:r w:rsidRPr="002029AF">
              <w:t>Health</w:t>
            </w:r>
            <w:r w:rsidR="000A5329" w:rsidRPr="002029AF">
              <w:t xml:space="preserve"> </w:t>
            </w:r>
            <w:r w:rsidRPr="002029AF">
              <w:t>Service</w:t>
            </w:r>
          </w:p>
        </w:tc>
        <w:tc>
          <w:tcPr>
            <w:tcW w:w="1134" w:type="dxa"/>
            <w:tcBorders>
              <w:top w:val="single" w:sz="4" w:space="0" w:color="A6A6A6"/>
              <w:bottom w:val="single" w:sz="4" w:space="0" w:color="A6A6A6"/>
            </w:tcBorders>
            <w:shd w:val="clear" w:color="auto" w:fill="E7E6E6"/>
            <w:noWrap/>
          </w:tcPr>
          <w:p w14:paraId="0CE81059" w14:textId="77777777" w:rsidR="00087B91" w:rsidRPr="002029AF" w:rsidRDefault="00087B91" w:rsidP="00860E95">
            <w:pPr>
              <w:pStyle w:val="ARfintablebodyright"/>
            </w:pPr>
            <w:r w:rsidRPr="002029AF">
              <w:t>64.0</w:t>
            </w:r>
          </w:p>
        </w:tc>
        <w:tc>
          <w:tcPr>
            <w:tcW w:w="1134" w:type="dxa"/>
            <w:tcBorders>
              <w:top w:val="single" w:sz="4" w:space="0" w:color="A6A6A6"/>
              <w:bottom w:val="single" w:sz="4" w:space="0" w:color="A6A6A6"/>
            </w:tcBorders>
            <w:noWrap/>
          </w:tcPr>
          <w:p w14:paraId="3DC7EAD1" w14:textId="77777777" w:rsidR="00087B91" w:rsidRPr="002029AF" w:rsidRDefault="00087B91" w:rsidP="00860E95">
            <w:pPr>
              <w:pStyle w:val="ARfintablebodyright"/>
            </w:pPr>
            <w:r w:rsidRPr="002029AF">
              <w:t>60.6</w:t>
            </w:r>
          </w:p>
        </w:tc>
      </w:tr>
      <w:tr w:rsidR="00087B91" w:rsidRPr="002029AF" w14:paraId="1FB3F168" w14:textId="77777777" w:rsidTr="00860E95">
        <w:tc>
          <w:tcPr>
            <w:tcW w:w="7369" w:type="dxa"/>
            <w:tcBorders>
              <w:top w:val="single" w:sz="4" w:space="0" w:color="A6A6A6"/>
              <w:bottom w:val="single" w:sz="4" w:space="0" w:color="A6A6A6"/>
            </w:tcBorders>
          </w:tcPr>
          <w:p w14:paraId="386D4895" w14:textId="2C079632" w:rsidR="00087B91" w:rsidRPr="002029AF" w:rsidRDefault="00087B91" w:rsidP="00860E95">
            <w:pPr>
              <w:pStyle w:val="ARfintablebody"/>
            </w:pPr>
            <w:r w:rsidRPr="002029AF">
              <w:t>Echuca</w:t>
            </w:r>
            <w:r w:rsidR="000A5329" w:rsidRPr="002029AF">
              <w:t xml:space="preserve"> </w:t>
            </w:r>
            <w:r w:rsidRPr="002029AF">
              <w:t>Regional</w:t>
            </w:r>
            <w:r w:rsidR="000A5329" w:rsidRPr="002029AF">
              <w:t xml:space="preserve"> </w:t>
            </w:r>
            <w:r w:rsidRPr="002029AF">
              <w:t>Health</w:t>
            </w:r>
          </w:p>
        </w:tc>
        <w:tc>
          <w:tcPr>
            <w:tcW w:w="1134" w:type="dxa"/>
            <w:tcBorders>
              <w:top w:val="single" w:sz="4" w:space="0" w:color="A6A6A6"/>
              <w:bottom w:val="single" w:sz="4" w:space="0" w:color="A6A6A6"/>
            </w:tcBorders>
            <w:shd w:val="clear" w:color="auto" w:fill="E7E6E6"/>
            <w:noWrap/>
          </w:tcPr>
          <w:p w14:paraId="538652AC" w14:textId="77777777" w:rsidR="00087B91" w:rsidRPr="002029AF" w:rsidRDefault="00087B91" w:rsidP="00860E95">
            <w:pPr>
              <w:pStyle w:val="ARfintablebodyright"/>
            </w:pPr>
            <w:r w:rsidRPr="002029AF">
              <w:t>60.9</w:t>
            </w:r>
          </w:p>
        </w:tc>
        <w:tc>
          <w:tcPr>
            <w:tcW w:w="1134" w:type="dxa"/>
            <w:tcBorders>
              <w:top w:val="single" w:sz="4" w:space="0" w:color="A6A6A6"/>
              <w:bottom w:val="single" w:sz="4" w:space="0" w:color="A6A6A6"/>
            </w:tcBorders>
            <w:noWrap/>
          </w:tcPr>
          <w:p w14:paraId="631E6274" w14:textId="77777777" w:rsidR="00087B91" w:rsidRPr="002029AF" w:rsidRDefault="00087B91" w:rsidP="00860E95">
            <w:pPr>
              <w:pStyle w:val="ARfintablebodyright"/>
            </w:pPr>
            <w:r w:rsidRPr="002029AF">
              <w:t>54.2</w:t>
            </w:r>
          </w:p>
        </w:tc>
      </w:tr>
      <w:tr w:rsidR="00087B91" w:rsidRPr="002029AF" w14:paraId="1C11E6AC" w14:textId="77777777" w:rsidTr="00860E95">
        <w:tc>
          <w:tcPr>
            <w:tcW w:w="7369" w:type="dxa"/>
            <w:tcBorders>
              <w:top w:val="single" w:sz="4" w:space="0" w:color="A6A6A6"/>
              <w:bottom w:val="single" w:sz="4" w:space="0" w:color="A6A6A6"/>
            </w:tcBorders>
            <w:hideMark/>
          </w:tcPr>
          <w:p w14:paraId="5540E085" w14:textId="2CF092F4" w:rsidR="00087B91" w:rsidRPr="002029AF" w:rsidRDefault="00087B91" w:rsidP="00860E95">
            <w:pPr>
              <w:pStyle w:val="ARfintablebody"/>
            </w:pPr>
            <w:r w:rsidRPr="002029AF">
              <w:t>Central</w:t>
            </w:r>
            <w:r w:rsidR="000A5329" w:rsidRPr="002029AF">
              <w:t xml:space="preserve"> </w:t>
            </w:r>
            <w:r w:rsidRPr="002029AF">
              <w:t>Gippsland</w:t>
            </w:r>
            <w:r w:rsidR="000A5329" w:rsidRPr="002029AF">
              <w:t xml:space="preserve"> </w:t>
            </w:r>
            <w:r w:rsidRPr="002029AF">
              <w:t>Health</w:t>
            </w:r>
            <w:r w:rsidR="000A5329" w:rsidRPr="002029AF">
              <w:t xml:space="preserve"> </w:t>
            </w:r>
            <w:r w:rsidRPr="002029AF">
              <w:t>Service</w:t>
            </w:r>
          </w:p>
        </w:tc>
        <w:tc>
          <w:tcPr>
            <w:tcW w:w="1134" w:type="dxa"/>
            <w:tcBorders>
              <w:top w:val="single" w:sz="4" w:space="0" w:color="A6A6A6"/>
              <w:bottom w:val="single" w:sz="4" w:space="0" w:color="A6A6A6"/>
            </w:tcBorders>
            <w:shd w:val="clear" w:color="auto" w:fill="E7E6E6"/>
            <w:noWrap/>
            <w:hideMark/>
          </w:tcPr>
          <w:p w14:paraId="34F241EF" w14:textId="77777777" w:rsidR="00087B91" w:rsidRPr="002029AF" w:rsidRDefault="00087B91" w:rsidP="00860E95">
            <w:pPr>
              <w:pStyle w:val="ARfintablebodyright"/>
            </w:pPr>
            <w:r w:rsidRPr="002029AF">
              <w:t>59.9</w:t>
            </w:r>
          </w:p>
        </w:tc>
        <w:tc>
          <w:tcPr>
            <w:tcW w:w="1134" w:type="dxa"/>
            <w:tcBorders>
              <w:top w:val="single" w:sz="4" w:space="0" w:color="A6A6A6"/>
              <w:bottom w:val="single" w:sz="4" w:space="0" w:color="A6A6A6"/>
            </w:tcBorders>
            <w:noWrap/>
            <w:hideMark/>
          </w:tcPr>
          <w:p w14:paraId="4CD82BB7" w14:textId="77777777" w:rsidR="00087B91" w:rsidRPr="002029AF" w:rsidRDefault="00087B91" w:rsidP="00860E95">
            <w:pPr>
              <w:pStyle w:val="ARfintablebodyright"/>
            </w:pPr>
            <w:r w:rsidRPr="002029AF">
              <w:t>57.6</w:t>
            </w:r>
          </w:p>
        </w:tc>
      </w:tr>
      <w:tr w:rsidR="00087B91" w:rsidRPr="002029AF" w14:paraId="38C68928" w14:textId="77777777" w:rsidTr="00860E95">
        <w:tc>
          <w:tcPr>
            <w:tcW w:w="7369" w:type="dxa"/>
            <w:tcBorders>
              <w:top w:val="single" w:sz="4" w:space="0" w:color="A6A6A6"/>
              <w:bottom w:val="single" w:sz="4" w:space="0" w:color="A6A6A6"/>
            </w:tcBorders>
          </w:tcPr>
          <w:p w14:paraId="75CB0A21" w14:textId="49AC12B9" w:rsidR="00087B91" w:rsidRPr="002029AF" w:rsidRDefault="00087B91" w:rsidP="00860E95">
            <w:pPr>
              <w:pStyle w:val="ARfintablebody"/>
            </w:pPr>
            <w:r w:rsidRPr="002029AF">
              <w:t>Bass</w:t>
            </w:r>
            <w:r w:rsidR="000A5329" w:rsidRPr="002029AF">
              <w:t xml:space="preserve"> </w:t>
            </w:r>
            <w:r w:rsidRPr="002029AF">
              <w:t>Coast</w:t>
            </w:r>
            <w:r w:rsidR="000A5329" w:rsidRPr="002029AF">
              <w:t xml:space="preserve"> </w:t>
            </w:r>
            <w:r w:rsidRPr="002029AF">
              <w:t>Health</w:t>
            </w:r>
          </w:p>
        </w:tc>
        <w:tc>
          <w:tcPr>
            <w:tcW w:w="1134" w:type="dxa"/>
            <w:tcBorders>
              <w:top w:val="single" w:sz="4" w:space="0" w:color="A6A6A6"/>
              <w:bottom w:val="single" w:sz="4" w:space="0" w:color="A6A6A6"/>
            </w:tcBorders>
            <w:shd w:val="clear" w:color="auto" w:fill="E7E6E6"/>
            <w:noWrap/>
          </w:tcPr>
          <w:p w14:paraId="0950964B" w14:textId="77777777" w:rsidR="00087B91" w:rsidRPr="002029AF" w:rsidRDefault="00087B91" w:rsidP="00860E95">
            <w:pPr>
              <w:pStyle w:val="ARfintablebodyright"/>
            </w:pPr>
            <w:r w:rsidRPr="002029AF">
              <w:t>54.5</w:t>
            </w:r>
          </w:p>
        </w:tc>
        <w:tc>
          <w:tcPr>
            <w:tcW w:w="1134" w:type="dxa"/>
            <w:tcBorders>
              <w:top w:val="single" w:sz="4" w:space="0" w:color="A6A6A6"/>
              <w:bottom w:val="single" w:sz="4" w:space="0" w:color="A6A6A6"/>
            </w:tcBorders>
            <w:noWrap/>
          </w:tcPr>
          <w:p w14:paraId="73A269EC" w14:textId="77777777" w:rsidR="00087B91" w:rsidRPr="002029AF" w:rsidRDefault="00087B91" w:rsidP="00860E95">
            <w:pPr>
              <w:pStyle w:val="ARfintablebodyright"/>
            </w:pPr>
            <w:r w:rsidRPr="002029AF">
              <w:t>46.0</w:t>
            </w:r>
          </w:p>
        </w:tc>
      </w:tr>
      <w:tr w:rsidR="00087B91" w:rsidRPr="002029AF" w14:paraId="5BD238AB" w14:textId="77777777" w:rsidTr="00860E95">
        <w:tc>
          <w:tcPr>
            <w:tcW w:w="7369" w:type="dxa"/>
            <w:tcBorders>
              <w:top w:val="single" w:sz="4" w:space="0" w:color="A6A6A6"/>
              <w:bottom w:val="single" w:sz="4" w:space="0" w:color="A6A6A6"/>
            </w:tcBorders>
            <w:hideMark/>
          </w:tcPr>
          <w:p w14:paraId="33889847" w14:textId="6177BC30" w:rsidR="00087B91" w:rsidRPr="002029AF" w:rsidRDefault="00087B91" w:rsidP="00860E95">
            <w:pPr>
              <w:pStyle w:val="ARfintablebody"/>
            </w:pPr>
            <w:r w:rsidRPr="002029AF">
              <w:t>Djerriwarrh</w:t>
            </w:r>
            <w:r w:rsidR="000A5329" w:rsidRPr="002029AF">
              <w:t xml:space="preserve"> </w:t>
            </w:r>
            <w:r w:rsidRPr="002029AF">
              <w:t>Health</w:t>
            </w:r>
            <w:r w:rsidR="000A5329" w:rsidRPr="002029AF">
              <w:t xml:space="preserve"> </w:t>
            </w:r>
            <w:r w:rsidRPr="002029AF">
              <w:t>Services</w:t>
            </w:r>
          </w:p>
        </w:tc>
        <w:tc>
          <w:tcPr>
            <w:tcW w:w="1134" w:type="dxa"/>
            <w:tcBorders>
              <w:top w:val="single" w:sz="4" w:space="0" w:color="A6A6A6"/>
              <w:bottom w:val="single" w:sz="4" w:space="0" w:color="A6A6A6"/>
            </w:tcBorders>
            <w:shd w:val="clear" w:color="auto" w:fill="E7E6E6"/>
            <w:noWrap/>
            <w:hideMark/>
          </w:tcPr>
          <w:p w14:paraId="1A469FFB" w14:textId="77777777" w:rsidR="00087B91" w:rsidRPr="002029AF" w:rsidRDefault="00087B91" w:rsidP="00860E95">
            <w:pPr>
              <w:pStyle w:val="ARfintablebodyright"/>
            </w:pPr>
            <w:r w:rsidRPr="002029AF">
              <w:t>49.3</w:t>
            </w:r>
          </w:p>
        </w:tc>
        <w:tc>
          <w:tcPr>
            <w:tcW w:w="1134" w:type="dxa"/>
            <w:tcBorders>
              <w:top w:val="single" w:sz="4" w:space="0" w:color="A6A6A6"/>
              <w:bottom w:val="single" w:sz="4" w:space="0" w:color="A6A6A6"/>
            </w:tcBorders>
            <w:noWrap/>
            <w:hideMark/>
          </w:tcPr>
          <w:p w14:paraId="22741EE7" w14:textId="77777777" w:rsidR="00087B91" w:rsidRPr="002029AF" w:rsidRDefault="00087B91" w:rsidP="00860E95">
            <w:pPr>
              <w:pStyle w:val="ARfintablebodyright"/>
            </w:pPr>
            <w:r w:rsidRPr="002029AF">
              <w:t>47.7</w:t>
            </w:r>
          </w:p>
        </w:tc>
      </w:tr>
      <w:tr w:rsidR="00087B91" w:rsidRPr="002029AF" w14:paraId="330B786E" w14:textId="77777777" w:rsidTr="00860E95">
        <w:tc>
          <w:tcPr>
            <w:tcW w:w="7369" w:type="dxa"/>
            <w:tcBorders>
              <w:top w:val="single" w:sz="4" w:space="0" w:color="A6A6A6"/>
              <w:bottom w:val="single" w:sz="4" w:space="0" w:color="A6A6A6"/>
            </w:tcBorders>
          </w:tcPr>
          <w:p w14:paraId="2AD4CD2B" w14:textId="7E31EADC" w:rsidR="00087B91" w:rsidRPr="002029AF" w:rsidRDefault="00087B91" w:rsidP="00860E95">
            <w:pPr>
              <w:pStyle w:val="ARfintablebody"/>
            </w:pPr>
            <w:r w:rsidRPr="002029AF">
              <w:lastRenderedPageBreak/>
              <w:t>Western</w:t>
            </w:r>
            <w:r w:rsidR="000A5329" w:rsidRPr="002029AF">
              <w:t xml:space="preserve"> </w:t>
            </w:r>
            <w:r w:rsidRPr="002029AF">
              <w:t>District</w:t>
            </w:r>
            <w:r w:rsidR="000A5329" w:rsidRPr="002029AF">
              <w:t xml:space="preserve"> </w:t>
            </w:r>
            <w:r w:rsidRPr="002029AF">
              <w:t>Health</w:t>
            </w:r>
            <w:r w:rsidR="000A5329" w:rsidRPr="002029AF">
              <w:t xml:space="preserve"> </w:t>
            </w:r>
            <w:r w:rsidRPr="002029AF">
              <w:t>Service</w:t>
            </w:r>
          </w:p>
        </w:tc>
        <w:tc>
          <w:tcPr>
            <w:tcW w:w="1134" w:type="dxa"/>
            <w:tcBorders>
              <w:top w:val="single" w:sz="4" w:space="0" w:color="A6A6A6"/>
              <w:bottom w:val="single" w:sz="4" w:space="0" w:color="A6A6A6"/>
            </w:tcBorders>
            <w:shd w:val="clear" w:color="auto" w:fill="E7E6E6"/>
            <w:noWrap/>
          </w:tcPr>
          <w:p w14:paraId="40CFA451" w14:textId="77777777" w:rsidR="00087B91" w:rsidRPr="002029AF" w:rsidRDefault="00087B91" w:rsidP="00860E95">
            <w:pPr>
              <w:pStyle w:val="ARfintablebodyright"/>
            </w:pPr>
            <w:r w:rsidRPr="002029AF">
              <w:t>45.6</w:t>
            </w:r>
          </w:p>
        </w:tc>
        <w:tc>
          <w:tcPr>
            <w:tcW w:w="1134" w:type="dxa"/>
            <w:tcBorders>
              <w:top w:val="single" w:sz="4" w:space="0" w:color="A6A6A6"/>
              <w:bottom w:val="single" w:sz="4" w:space="0" w:color="A6A6A6"/>
            </w:tcBorders>
            <w:noWrap/>
          </w:tcPr>
          <w:p w14:paraId="78DF8C04" w14:textId="77777777" w:rsidR="00087B91" w:rsidRPr="002029AF" w:rsidRDefault="00087B91" w:rsidP="00860E95">
            <w:pPr>
              <w:pStyle w:val="ARfintablebodyright"/>
            </w:pPr>
            <w:r w:rsidRPr="002029AF">
              <w:t>40.4</w:t>
            </w:r>
          </w:p>
        </w:tc>
      </w:tr>
      <w:tr w:rsidR="00087B91" w:rsidRPr="002029AF" w14:paraId="27451582" w14:textId="77777777" w:rsidTr="00860E95">
        <w:tc>
          <w:tcPr>
            <w:tcW w:w="7369" w:type="dxa"/>
            <w:tcBorders>
              <w:top w:val="single" w:sz="4" w:space="0" w:color="A6A6A6"/>
              <w:bottom w:val="single" w:sz="4" w:space="0" w:color="A6A6A6"/>
            </w:tcBorders>
          </w:tcPr>
          <w:p w14:paraId="5A17DAEB" w14:textId="66018FD9" w:rsidR="00087B91" w:rsidRPr="002029AF" w:rsidRDefault="00087B91" w:rsidP="00860E95">
            <w:pPr>
              <w:pStyle w:val="ARfintablebody"/>
            </w:pPr>
            <w:r w:rsidRPr="002029AF">
              <w:t>Swan</w:t>
            </w:r>
            <w:r w:rsidR="000A5329" w:rsidRPr="002029AF">
              <w:t xml:space="preserve"> </w:t>
            </w:r>
            <w:r w:rsidRPr="002029AF">
              <w:t>Hill</w:t>
            </w:r>
            <w:r w:rsidR="000A5329" w:rsidRPr="002029AF">
              <w:t xml:space="preserve"> </w:t>
            </w:r>
            <w:r w:rsidRPr="002029AF">
              <w:t>District</w:t>
            </w:r>
            <w:r w:rsidR="000A5329" w:rsidRPr="002029AF">
              <w:t xml:space="preserve"> </w:t>
            </w:r>
            <w:r w:rsidRPr="002029AF">
              <w:t>Health</w:t>
            </w:r>
          </w:p>
        </w:tc>
        <w:tc>
          <w:tcPr>
            <w:tcW w:w="1134" w:type="dxa"/>
            <w:tcBorders>
              <w:top w:val="single" w:sz="4" w:space="0" w:color="A6A6A6"/>
              <w:bottom w:val="single" w:sz="4" w:space="0" w:color="A6A6A6"/>
            </w:tcBorders>
            <w:shd w:val="clear" w:color="auto" w:fill="E7E6E6"/>
            <w:noWrap/>
          </w:tcPr>
          <w:p w14:paraId="603643BC" w14:textId="77777777" w:rsidR="00087B91" w:rsidRPr="002029AF" w:rsidRDefault="00087B91" w:rsidP="00860E95">
            <w:pPr>
              <w:pStyle w:val="ARfintablebodyright"/>
            </w:pPr>
            <w:r w:rsidRPr="002029AF">
              <w:t>43.6</w:t>
            </w:r>
          </w:p>
        </w:tc>
        <w:tc>
          <w:tcPr>
            <w:tcW w:w="1134" w:type="dxa"/>
            <w:tcBorders>
              <w:top w:val="single" w:sz="4" w:space="0" w:color="A6A6A6"/>
              <w:bottom w:val="single" w:sz="4" w:space="0" w:color="A6A6A6"/>
            </w:tcBorders>
            <w:noWrap/>
          </w:tcPr>
          <w:p w14:paraId="1CD15F63" w14:textId="77777777" w:rsidR="00087B91" w:rsidRPr="002029AF" w:rsidRDefault="00087B91" w:rsidP="00860E95">
            <w:pPr>
              <w:pStyle w:val="ARfintablebodyright"/>
            </w:pPr>
            <w:r w:rsidRPr="002029AF">
              <w:t>36.7</w:t>
            </w:r>
          </w:p>
        </w:tc>
      </w:tr>
      <w:tr w:rsidR="00087B91" w:rsidRPr="002029AF" w14:paraId="785AB999" w14:textId="77777777" w:rsidTr="00860E95">
        <w:tc>
          <w:tcPr>
            <w:tcW w:w="7369" w:type="dxa"/>
            <w:tcBorders>
              <w:top w:val="single" w:sz="4" w:space="0" w:color="A6A6A6"/>
              <w:bottom w:val="single" w:sz="4" w:space="0" w:color="A6A6A6"/>
            </w:tcBorders>
          </w:tcPr>
          <w:p w14:paraId="2056ED14" w14:textId="7C14A087" w:rsidR="00087B91" w:rsidRPr="002029AF" w:rsidRDefault="00087B91" w:rsidP="00860E95">
            <w:pPr>
              <w:pStyle w:val="ARfintablebody"/>
            </w:pPr>
            <w:r w:rsidRPr="002029AF">
              <w:t>Colac</w:t>
            </w:r>
            <w:r w:rsidR="000A5329" w:rsidRPr="002029AF">
              <w:t xml:space="preserve"> </w:t>
            </w:r>
            <w:r w:rsidRPr="002029AF">
              <w:t>Area</w:t>
            </w:r>
            <w:r w:rsidR="000A5329" w:rsidRPr="002029AF">
              <w:t xml:space="preserve"> </w:t>
            </w:r>
            <w:r w:rsidRPr="002029AF">
              <w:t>Health</w:t>
            </w:r>
          </w:p>
        </w:tc>
        <w:tc>
          <w:tcPr>
            <w:tcW w:w="1134" w:type="dxa"/>
            <w:tcBorders>
              <w:top w:val="single" w:sz="4" w:space="0" w:color="A6A6A6"/>
              <w:bottom w:val="single" w:sz="4" w:space="0" w:color="A6A6A6"/>
            </w:tcBorders>
            <w:shd w:val="clear" w:color="auto" w:fill="E7E6E6"/>
            <w:noWrap/>
          </w:tcPr>
          <w:p w14:paraId="41D1CB5E" w14:textId="77777777" w:rsidR="00087B91" w:rsidRPr="002029AF" w:rsidRDefault="00087B91" w:rsidP="00860E95">
            <w:pPr>
              <w:pStyle w:val="ARfintablebodyright"/>
            </w:pPr>
            <w:r w:rsidRPr="002029AF">
              <w:t>30.7</w:t>
            </w:r>
          </w:p>
        </w:tc>
        <w:tc>
          <w:tcPr>
            <w:tcW w:w="1134" w:type="dxa"/>
            <w:tcBorders>
              <w:top w:val="single" w:sz="4" w:space="0" w:color="A6A6A6"/>
              <w:bottom w:val="single" w:sz="4" w:space="0" w:color="A6A6A6"/>
            </w:tcBorders>
            <w:noWrap/>
          </w:tcPr>
          <w:p w14:paraId="2873AA58" w14:textId="77777777" w:rsidR="00087B91" w:rsidRPr="002029AF" w:rsidRDefault="00087B91" w:rsidP="00860E95">
            <w:pPr>
              <w:pStyle w:val="ARfintablebodyright"/>
            </w:pPr>
            <w:r w:rsidRPr="002029AF">
              <w:t>26.6</w:t>
            </w:r>
          </w:p>
        </w:tc>
      </w:tr>
      <w:tr w:rsidR="00087B91" w:rsidRPr="002029AF" w14:paraId="576EF6EB" w14:textId="77777777" w:rsidTr="00860E95">
        <w:tc>
          <w:tcPr>
            <w:tcW w:w="7369" w:type="dxa"/>
            <w:tcBorders>
              <w:top w:val="single" w:sz="4" w:space="0" w:color="A6A6A6"/>
              <w:bottom w:val="single" w:sz="4" w:space="0" w:color="A6A6A6"/>
            </w:tcBorders>
            <w:hideMark/>
          </w:tcPr>
          <w:p w14:paraId="4B8F154C" w14:textId="482DE032" w:rsidR="00087B91" w:rsidRPr="002029AF" w:rsidRDefault="00087B91" w:rsidP="00860E95">
            <w:pPr>
              <w:pStyle w:val="ARfintablebody"/>
            </w:pPr>
            <w:r w:rsidRPr="002029AF">
              <w:t>Portland</w:t>
            </w:r>
            <w:r w:rsidR="000A5329" w:rsidRPr="002029AF">
              <w:t xml:space="preserve"> </w:t>
            </w:r>
            <w:r w:rsidRPr="002029AF">
              <w:t>District</w:t>
            </w:r>
            <w:r w:rsidR="000A5329" w:rsidRPr="002029AF">
              <w:t xml:space="preserve"> </w:t>
            </w:r>
            <w:r w:rsidRPr="002029AF">
              <w:t>Health</w:t>
            </w:r>
          </w:p>
        </w:tc>
        <w:tc>
          <w:tcPr>
            <w:tcW w:w="1134" w:type="dxa"/>
            <w:tcBorders>
              <w:top w:val="single" w:sz="4" w:space="0" w:color="A6A6A6"/>
              <w:bottom w:val="single" w:sz="4" w:space="0" w:color="A6A6A6"/>
            </w:tcBorders>
            <w:shd w:val="clear" w:color="auto" w:fill="E7E6E6"/>
            <w:noWrap/>
            <w:hideMark/>
          </w:tcPr>
          <w:p w14:paraId="4B30E20B" w14:textId="77777777" w:rsidR="00087B91" w:rsidRPr="002029AF" w:rsidRDefault="00087B91" w:rsidP="00860E95">
            <w:pPr>
              <w:pStyle w:val="ARfintablebodyright"/>
            </w:pPr>
            <w:r w:rsidRPr="002029AF">
              <w:t>30.2</w:t>
            </w:r>
          </w:p>
        </w:tc>
        <w:tc>
          <w:tcPr>
            <w:tcW w:w="1134" w:type="dxa"/>
            <w:tcBorders>
              <w:top w:val="single" w:sz="4" w:space="0" w:color="A6A6A6"/>
              <w:bottom w:val="single" w:sz="4" w:space="0" w:color="A6A6A6"/>
            </w:tcBorders>
            <w:noWrap/>
            <w:hideMark/>
          </w:tcPr>
          <w:p w14:paraId="2D5CAD3E" w14:textId="77777777" w:rsidR="00087B91" w:rsidRPr="002029AF" w:rsidRDefault="00087B91" w:rsidP="00860E95">
            <w:pPr>
              <w:pStyle w:val="ARfintablebodyright"/>
            </w:pPr>
            <w:r w:rsidRPr="002029AF">
              <w:t>31.8</w:t>
            </w:r>
          </w:p>
        </w:tc>
      </w:tr>
      <w:tr w:rsidR="00087B91" w:rsidRPr="002029AF" w14:paraId="01F938E5" w14:textId="77777777" w:rsidTr="00860E95">
        <w:tc>
          <w:tcPr>
            <w:tcW w:w="7369" w:type="dxa"/>
            <w:tcBorders>
              <w:top w:val="single" w:sz="4" w:space="0" w:color="A6A6A6"/>
            </w:tcBorders>
            <w:hideMark/>
          </w:tcPr>
          <w:p w14:paraId="57037594" w14:textId="26340861" w:rsidR="00087B91" w:rsidRPr="002029AF" w:rsidRDefault="00087B91" w:rsidP="00860E95">
            <w:pPr>
              <w:pStyle w:val="ARfintablebody"/>
            </w:pPr>
            <w:r w:rsidRPr="002029AF">
              <w:t>Other</w:t>
            </w:r>
            <w:r w:rsidR="000A5329" w:rsidRPr="002029AF">
              <w:t xml:space="preserve"> </w:t>
            </w:r>
            <w:r w:rsidRPr="002029AF">
              <w:t>public</w:t>
            </w:r>
            <w:r w:rsidR="000A5329" w:rsidRPr="002029AF">
              <w:t xml:space="preserve"> </w:t>
            </w:r>
            <w:r w:rsidRPr="002029AF">
              <w:t>hospitals</w:t>
            </w:r>
            <w:r w:rsidR="000A5329" w:rsidRPr="002029AF">
              <w:t xml:space="preserve"> </w:t>
            </w:r>
            <w:r w:rsidRPr="002029AF">
              <w:t>with</w:t>
            </w:r>
            <w:r w:rsidR="000A5329" w:rsidRPr="002029AF">
              <w:t xml:space="preserve"> </w:t>
            </w:r>
            <w:r w:rsidRPr="002029AF">
              <w:t>payments</w:t>
            </w:r>
            <w:r w:rsidR="000A5329" w:rsidRPr="002029AF">
              <w:t xml:space="preserve"> </w:t>
            </w:r>
            <w:r w:rsidRPr="002029AF">
              <w:t>totalling</w:t>
            </w:r>
            <w:r w:rsidR="000A5329" w:rsidRPr="002029AF">
              <w:t xml:space="preserve"> </w:t>
            </w:r>
            <w:r w:rsidRPr="002029AF">
              <w:t>less</w:t>
            </w:r>
            <w:r w:rsidR="000A5329" w:rsidRPr="002029AF">
              <w:t xml:space="preserve"> </w:t>
            </w:r>
            <w:r w:rsidRPr="002029AF">
              <w:t>than</w:t>
            </w:r>
            <w:r w:rsidR="000A5329" w:rsidRPr="002029AF">
              <w:t xml:space="preserve"> </w:t>
            </w:r>
            <w:r w:rsidRPr="002029AF">
              <w:t>$30</w:t>
            </w:r>
            <w:r w:rsidR="000A5329" w:rsidRPr="002029AF">
              <w:t xml:space="preserve"> </w:t>
            </w:r>
            <w:r w:rsidRPr="002029AF">
              <w:t>million</w:t>
            </w:r>
          </w:p>
        </w:tc>
        <w:tc>
          <w:tcPr>
            <w:tcW w:w="1134" w:type="dxa"/>
            <w:tcBorders>
              <w:top w:val="single" w:sz="4" w:space="0" w:color="A6A6A6"/>
            </w:tcBorders>
            <w:shd w:val="clear" w:color="auto" w:fill="E7E6E6"/>
            <w:noWrap/>
            <w:hideMark/>
          </w:tcPr>
          <w:p w14:paraId="3AC2914C" w14:textId="77777777" w:rsidR="00087B91" w:rsidRPr="002029AF" w:rsidRDefault="00087B91" w:rsidP="00860E95">
            <w:pPr>
              <w:pStyle w:val="ARfintablebodyright"/>
            </w:pPr>
            <w:r w:rsidRPr="002029AF">
              <w:t>177.3</w:t>
            </w:r>
          </w:p>
        </w:tc>
        <w:tc>
          <w:tcPr>
            <w:tcW w:w="1134" w:type="dxa"/>
            <w:tcBorders>
              <w:top w:val="single" w:sz="4" w:space="0" w:color="A6A6A6"/>
            </w:tcBorders>
            <w:noWrap/>
            <w:hideMark/>
          </w:tcPr>
          <w:p w14:paraId="554CE4FA" w14:textId="77777777" w:rsidR="00087B91" w:rsidRPr="002029AF" w:rsidRDefault="00087B91" w:rsidP="00860E95">
            <w:pPr>
              <w:pStyle w:val="ARfintablebodyright"/>
            </w:pPr>
            <w:r w:rsidRPr="002029AF">
              <w:t>148.3</w:t>
            </w:r>
          </w:p>
        </w:tc>
      </w:tr>
      <w:bookmarkEnd w:id="335"/>
      <w:tr w:rsidR="00087B91" w:rsidRPr="002029AF" w14:paraId="3D30D999" w14:textId="77777777" w:rsidTr="00860E95">
        <w:tc>
          <w:tcPr>
            <w:tcW w:w="7369" w:type="dxa"/>
            <w:tcBorders>
              <w:bottom w:val="single" w:sz="4" w:space="0" w:color="auto"/>
            </w:tcBorders>
            <w:hideMark/>
          </w:tcPr>
          <w:p w14:paraId="51085626" w14:textId="77777777" w:rsidR="00087B91" w:rsidRPr="002029AF" w:rsidRDefault="00087B91" w:rsidP="00860E95">
            <w:pPr>
              <w:pStyle w:val="ARfintablebodybold"/>
            </w:pPr>
          </w:p>
        </w:tc>
        <w:tc>
          <w:tcPr>
            <w:tcW w:w="1134" w:type="dxa"/>
            <w:tcBorders>
              <w:bottom w:val="single" w:sz="4" w:space="0" w:color="auto"/>
            </w:tcBorders>
            <w:shd w:val="clear" w:color="auto" w:fill="E7E6E6"/>
            <w:noWrap/>
            <w:hideMark/>
          </w:tcPr>
          <w:p w14:paraId="47DDC90C" w14:textId="77777777" w:rsidR="00087B91" w:rsidRPr="002029AF" w:rsidRDefault="00087B91" w:rsidP="00860E95">
            <w:pPr>
              <w:pStyle w:val="ARfintablebodyrightbold"/>
            </w:pPr>
            <w:r w:rsidRPr="002029AF">
              <w:t>10,462.3</w:t>
            </w:r>
          </w:p>
        </w:tc>
        <w:tc>
          <w:tcPr>
            <w:tcW w:w="1134" w:type="dxa"/>
            <w:tcBorders>
              <w:bottom w:val="single" w:sz="4" w:space="0" w:color="auto"/>
            </w:tcBorders>
            <w:noWrap/>
            <w:hideMark/>
          </w:tcPr>
          <w:p w14:paraId="2276A8A7" w14:textId="77777777" w:rsidR="00087B91" w:rsidRPr="002029AF" w:rsidRDefault="00087B91" w:rsidP="00860E95">
            <w:pPr>
              <w:pStyle w:val="ARfintablebodyrightbold"/>
            </w:pPr>
            <w:r w:rsidRPr="002029AF">
              <w:t>9,572.3</w:t>
            </w:r>
          </w:p>
        </w:tc>
      </w:tr>
      <w:tr w:rsidR="00087B91" w:rsidRPr="002029AF" w14:paraId="4724C4B4" w14:textId="77777777" w:rsidTr="00860E95">
        <w:tc>
          <w:tcPr>
            <w:tcW w:w="9637" w:type="dxa"/>
            <w:gridSpan w:val="3"/>
            <w:tcBorders>
              <w:top w:val="single" w:sz="4" w:space="0" w:color="auto"/>
              <w:bottom w:val="single" w:sz="4" w:space="0" w:color="A6A6A6"/>
            </w:tcBorders>
            <w:hideMark/>
          </w:tcPr>
          <w:p w14:paraId="16188EA3" w14:textId="60979391" w:rsidR="00087B91" w:rsidRPr="002029AF" w:rsidRDefault="00087B91" w:rsidP="00860E95">
            <w:pPr>
              <w:pStyle w:val="ARfintablebodybold"/>
            </w:pPr>
            <w:r w:rsidRPr="002029AF">
              <w:t>Commonwealth</w:t>
            </w:r>
            <w:r w:rsidR="000A5329" w:rsidRPr="002029AF">
              <w:t xml:space="preserve"> </w:t>
            </w:r>
            <w:r w:rsidRPr="002029AF">
              <w:t>government</w:t>
            </w:r>
          </w:p>
        </w:tc>
      </w:tr>
      <w:tr w:rsidR="00087B91" w:rsidRPr="002029AF" w14:paraId="18EBFE35" w14:textId="77777777" w:rsidTr="00860E95">
        <w:tc>
          <w:tcPr>
            <w:tcW w:w="7369" w:type="dxa"/>
            <w:tcBorders>
              <w:top w:val="single" w:sz="4" w:space="0" w:color="A6A6A6"/>
              <w:bottom w:val="single" w:sz="4" w:space="0" w:color="auto"/>
            </w:tcBorders>
            <w:hideMark/>
          </w:tcPr>
          <w:p w14:paraId="689AFDC9" w14:textId="09E9FCD1" w:rsidR="00087B91" w:rsidRPr="002029AF" w:rsidRDefault="00087B91" w:rsidP="00860E95">
            <w:pPr>
              <w:pStyle w:val="ARfintablebody"/>
            </w:pPr>
            <w:r w:rsidRPr="002029AF">
              <w:t>National</w:t>
            </w:r>
            <w:r w:rsidR="000A5329" w:rsidRPr="002029AF">
              <w:t xml:space="preserve"> </w:t>
            </w:r>
            <w:r w:rsidRPr="002029AF">
              <w:t>Disability</w:t>
            </w:r>
            <w:r w:rsidR="000A5329" w:rsidRPr="002029AF">
              <w:t xml:space="preserve"> </w:t>
            </w:r>
            <w:r w:rsidRPr="002029AF">
              <w:t>Insurance</w:t>
            </w:r>
            <w:r w:rsidR="000A5329" w:rsidRPr="002029AF">
              <w:t xml:space="preserve"> </w:t>
            </w:r>
            <w:r w:rsidRPr="002029AF">
              <w:t>Agency</w:t>
            </w:r>
          </w:p>
        </w:tc>
        <w:tc>
          <w:tcPr>
            <w:tcW w:w="1134" w:type="dxa"/>
            <w:tcBorders>
              <w:top w:val="single" w:sz="4" w:space="0" w:color="A6A6A6"/>
              <w:bottom w:val="single" w:sz="4" w:space="0" w:color="auto"/>
            </w:tcBorders>
            <w:shd w:val="clear" w:color="auto" w:fill="E7E6E6"/>
            <w:noWrap/>
            <w:hideMark/>
          </w:tcPr>
          <w:p w14:paraId="1D070467" w14:textId="77777777" w:rsidR="00087B91" w:rsidRPr="002029AF" w:rsidRDefault="00087B91" w:rsidP="00860E95">
            <w:pPr>
              <w:pStyle w:val="ARfintablebodyright"/>
            </w:pPr>
            <w:r w:rsidRPr="002029AF">
              <w:t>1,300.6</w:t>
            </w:r>
          </w:p>
        </w:tc>
        <w:tc>
          <w:tcPr>
            <w:tcW w:w="1134" w:type="dxa"/>
            <w:tcBorders>
              <w:top w:val="single" w:sz="4" w:space="0" w:color="A6A6A6"/>
              <w:bottom w:val="single" w:sz="4" w:space="0" w:color="auto"/>
            </w:tcBorders>
            <w:noWrap/>
            <w:hideMark/>
          </w:tcPr>
          <w:p w14:paraId="3140AAFA" w14:textId="77777777" w:rsidR="00087B91" w:rsidRPr="002029AF" w:rsidRDefault="00087B91" w:rsidP="00860E95">
            <w:pPr>
              <w:pStyle w:val="ARfintablebodyright"/>
            </w:pPr>
            <w:r w:rsidRPr="002029AF">
              <w:t>1,164.8</w:t>
            </w:r>
          </w:p>
        </w:tc>
      </w:tr>
      <w:tr w:rsidR="00087B91" w:rsidRPr="002029AF" w14:paraId="50F60C6A" w14:textId="77777777" w:rsidTr="00860E95">
        <w:tc>
          <w:tcPr>
            <w:tcW w:w="9637" w:type="dxa"/>
            <w:gridSpan w:val="3"/>
            <w:tcBorders>
              <w:top w:val="single" w:sz="4" w:space="0" w:color="auto"/>
              <w:bottom w:val="single" w:sz="4" w:space="0" w:color="A6A6A6"/>
            </w:tcBorders>
            <w:hideMark/>
          </w:tcPr>
          <w:p w14:paraId="3083F260" w14:textId="77777777" w:rsidR="00087B91" w:rsidRPr="002029AF" w:rsidRDefault="00087B91" w:rsidP="00860E95">
            <w:pPr>
              <w:pStyle w:val="ARfintablebodybold"/>
            </w:pPr>
            <w:r w:rsidRPr="002029AF">
              <w:t>Other</w:t>
            </w:r>
          </w:p>
        </w:tc>
      </w:tr>
      <w:tr w:rsidR="00087B91" w:rsidRPr="002029AF" w14:paraId="06B64096" w14:textId="77777777" w:rsidTr="00860E95">
        <w:tc>
          <w:tcPr>
            <w:tcW w:w="7369" w:type="dxa"/>
            <w:tcBorders>
              <w:top w:val="single" w:sz="4" w:space="0" w:color="A6A6A6"/>
              <w:bottom w:val="single" w:sz="4" w:space="0" w:color="A6A6A6"/>
            </w:tcBorders>
            <w:hideMark/>
          </w:tcPr>
          <w:p w14:paraId="0A47198D" w14:textId="0B039676" w:rsidR="00087B91" w:rsidRPr="002029AF" w:rsidRDefault="00087B91" w:rsidP="00860E95">
            <w:pPr>
              <w:pStyle w:val="ARfintablebody"/>
            </w:pPr>
            <w:r w:rsidRPr="002029AF">
              <w:t>Cross</w:t>
            </w:r>
            <w:r w:rsidR="000A5329" w:rsidRPr="002029AF">
              <w:t xml:space="preserve"> </w:t>
            </w:r>
            <w:r w:rsidRPr="002029AF">
              <w:t>Border</w:t>
            </w:r>
            <w:r w:rsidR="000A5329" w:rsidRPr="002029AF">
              <w:t xml:space="preserve"> </w:t>
            </w:r>
            <w:r w:rsidRPr="002029AF">
              <w:t>with</w:t>
            </w:r>
            <w:r w:rsidR="000A5329" w:rsidRPr="002029AF">
              <w:t xml:space="preserve"> </w:t>
            </w:r>
            <w:r w:rsidRPr="002029AF">
              <w:t>other</w:t>
            </w:r>
            <w:r w:rsidR="000A5329" w:rsidRPr="002029AF">
              <w:t xml:space="preserve"> </w:t>
            </w:r>
            <w:r w:rsidRPr="002029AF">
              <w:t>jurisdictions</w:t>
            </w:r>
          </w:p>
        </w:tc>
        <w:tc>
          <w:tcPr>
            <w:tcW w:w="1134" w:type="dxa"/>
            <w:tcBorders>
              <w:top w:val="single" w:sz="4" w:space="0" w:color="A6A6A6"/>
              <w:bottom w:val="single" w:sz="4" w:space="0" w:color="A6A6A6"/>
            </w:tcBorders>
            <w:shd w:val="clear" w:color="auto" w:fill="E7E6E6"/>
            <w:noWrap/>
            <w:hideMark/>
          </w:tcPr>
          <w:p w14:paraId="64ABDDEF" w14:textId="77777777" w:rsidR="00087B91" w:rsidRPr="002029AF" w:rsidRDefault="00087B91" w:rsidP="00860E95">
            <w:pPr>
              <w:pStyle w:val="ARfintablebodyright"/>
            </w:pPr>
            <w:r w:rsidRPr="002029AF">
              <w:t>313.3</w:t>
            </w:r>
          </w:p>
        </w:tc>
        <w:tc>
          <w:tcPr>
            <w:tcW w:w="1134" w:type="dxa"/>
            <w:tcBorders>
              <w:top w:val="single" w:sz="4" w:space="0" w:color="A6A6A6"/>
              <w:bottom w:val="single" w:sz="4" w:space="0" w:color="A6A6A6"/>
            </w:tcBorders>
            <w:noWrap/>
            <w:hideMark/>
          </w:tcPr>
          <w:p w14:paraId="306DFE01" w14:textId="77777777" w:rsidR="00087B91" w:rsidRPr="002029AF" w:rsidRDefault="00087B91" w:rsidP="00860E95">
            <w:pPr>
              <w:pStyle w:val="ARfintablebodyright"/>
            </w:pPr>
            <w:r w:rsidRPr="002029AF">
              <w:t>9.6</w:t>
            </w:r>
          </w:p>
        </w:tc>
      </w:tr>
      <w:tr w:rsidR="00087B91" w:rsidRPr="002029AF" w14:paraId="40C3727A" w14:textId="77777777" w:rsidTr="00860E95">
        <w:tc>
          <w:tcPr>
            <w:tcW w:w="7369" w:type="dxa"/>
            <w:tcBorders>
              <w:top w:val="single" w:sz="4" w:space="0" w:color="A6A6A6"/>
            </w:tcBorders>
            <w:hideMark/>
          </w:tcPr>
          <w:p w14:paraId="18D87444" w14:textId="5957B87C" w:rsidR="00087B91" w:rsidRPr="002029AF" w:rsidRDefault="00087B91" w:rsidP="00860E95">
            <w:pPr>
              <w:pStyle w:val="ARfintablebody"/>
            </w:pPr>
            <w:r w:rsidRPr="002029AF">
              <w:t>Other</w:t>
            </w:r>
            <w:r w:rsidR="000A5329" w:rsidRPr="002029AF">
              <w:t xml:space="preserve"> </w:t>
            </w:r>
            <w:r w:rsidRPr="002029AF">
              <w:t>organisations</w:t>
            </w:r>
            <w:r w:rsidR="000A5329" w:rsidRPr="002029AF">
              <w:t xml:space="preserve"> </w:t>
            </w:r>
            <w:r w:rsidRPr="002029AF">
              <w:t>with</w:t>
            </w:r>
            <w:r w:rsidR="000A5329" w:rsidRPr="002029AF">
              <w:t xml:space="preserve"> </w:t>
            </w:r>
            <w:r w:rsidRPr="002029AF">
              <w:t>payments</w:t>
            </w:r>
            <w:r w:rsidR="000A5329" w:rsidRPr="002029AF">
              <w:t xml:space="preserve"> </w:t>
            </w:r>
            <w:r w:rsidRPr="002029AF">
              <w:t>totalling</w:t>
            </w:r>
            <w:r w:rsidR="000A5329" w:rsidRPr="002029AF">
              <w:t xml:space="preserve"> </w:t>
            </w:r>
            <w:r w:rsidRPr="002029AF">
              <w:t>less</w:t>
            </w:r>
            <w:r w:rsidR="000A5329" w:rsidRPr="002029AF">
              <w:t xml:space="preserve"> </w:t>
            </w:r>
            <w:r w:rsidRPr="002029AF">
              <w:t>than</w:t>
            </w:r>
            <w:r w:rsidR="000A5329" w:rsidRPr="002029AF">
              <w:t xml:space="preserve"> </w:t>
            </w:r>
            <w:r w:rsidRPr="002029AF">
              <w:t>$10</w:t>
            </w:r>
            <w:r w:rsidR="000A5329" w:rsidRPr="002029AF">
              <w:t xml:space="preserve"> </w:t>
            </w:r>
            <w:r w:rsidRPr="002029AF">
              <w:t>million</w:t>
            </w:r>
          </w:p>
        </w:tc>
        <w:tc>
          <w:tcPr>
            <w:tcW w:w="1134" w:type="dxa"/>
            <w:tcBorders>
              <w:top w:val="single" w:sz="4" w:space="0" w:color="A6A6A6"/>
            </w:tcBorders>
            <w:shd w:val="clear" w:color="auto" w:fill="E7E6E6"/>
            <w:noWrap/>
            <w:hideMark/>
          </w:tcPr>
          <w:p w14:paraId="42F109E7" w14:textId="77777777" w:rsidR="00087B91" w:rsidRPr="002029AF" w:rsidRDefault="00087B91" w:rsidP="00860E95">
            <w:pPr>
              <w:pStyle w:val="ARfintablebodyright"/>
            </w:pPr>
            <w:r w:rsidRPr="002029AF">
              <w:t>35.0</w:t>
            </w:r>
          </w:p>
        </w:tc>
        <w:tc>
          <w:tcPr>
            <w:tcW w:w="1134" w:type="dxa"/>
            <w:tcBorders>
              <w:top w:val="single" w:sz="4" w:space="0" w:color="A6A6A6"/>
            </w:tcBorders>
            <w:noWrap/>
            <w:hideMark/>
          </w:tcPr>
          <w:p w14:paraId="3415BB69" w14:textId="77777777" w:rsidR="00087B91" w:rsidRPr="002029AF" w:rsidRDefault="00087B91" w:rsidP="00860E95">
            <w:pPr>
              <w:pStyle w:val="ARfintablebodyright"/>
            </w:pPr>
            <w:r w:rsidRPr="002029AF">
              <w:t>1.7</w:t>
            </w:r>
          </w:p>
        </w:tc>
      </w:tr>
      <w:tr w:rsidR="00087B91" w:rsidRPr="002029AF" w14:paraId="02C5784B" w14:textId="77777777" w:rsidTr="00860E95">
        <w:tc>
          <w:tcPr>
            <w:tcW w:w="7369" w:type="dxa"/>
            <w:hideMark/>
          </w:tcPr>
          <w:p w14:paraId="250B892A" w14:textId="5268EA99" w:rsidR="00087B91" w:rsidRPr="002029AF" w:rsidRDefault="00087B91" w:rsidP="00860E95">
            <w:pPr>
              <w:pStyle w:val="ARfintablebodybold"/>
            </w:pPr>
            <w:r w:rsidRPr="002029AF">
              <w:t>Total</w:t>
            </w:r>
            <w:r w:rsidR="000A5329" w:rsidRPr="002029AF">
              <w:t xml:space="preserve"> </w:t>
            </w:r>
            <w:r w:rsidRPr="002029AF">
              <w:t>grants</w:t>
            </w:r>
            <w:r w:rsidR="000A5329" w:rsidRPr="002029AF">
              <w:t xml:space="preserve"> </w:t>
            </w:r>
            <w:r w:rsidRPr="002029AF">
              <w:t>and</w:t>
            </w:r>
            <w:r w:rsidR="000A5329" w:rsidRPr="002029AF">
              <w:t xml:space="preserve"> </w:t>
            </w:r>
            <w:r w:rsidRPr="002029AF">
              <w:t>other</w:t>
            </w:r>
            <w:r w:rsidR="000A5329" w:rsidRPr="002029AF">
              <w:t xml:space="preserve"> </w:t>
            </w:r>
            <w:r w:rsidRPr="002029AF">
              <w:t>expense</w:t>
            </w:r>
            <w:r w:rsidR="000A5329" w:rsidRPr="002029AF">
              <w:t xml:space="preserve"> </w:t>
            </w:r>
            <w:r w:rsidRPr="002029AF">
              <w:t>transfers</w:t>
            </w:r>
          </w:p>
        </w:tc>
        <w:tc>
          <w:tcPr>
            <w:tcW w:w="1134" w:type="dxa"/>
            <w:shd w:val="clear" w:color="auto" w:fill="E7E6E6"/>
            <w:noWrap/>
            <w:hideMark/>
          </w:tcPr>
          <w:p w14:paraId="4699D7BD" w14:textId="77777777" w:rsidR="00087B91" w:rsidRPr="002029AF" w:rsidRDefault="00087B91" w:rsidP="00860E95">
            <w:pPr>
              <w:pStyle w:val="ARfintablebodyrightbold"/>
            </w:pPr>
            <w:r w:rsidRPr="002029AF">
              <w:t>12,111.2</w:t>
            </w:r>
          </w:p>
        </w:tc>
        <w:tc>
          <w:tcPr>
            <w:tcW w:w="1134" w:type="dxa"/>
            <w:noWrap/>
            <w:hideMark/>
          </w:tcPr>
          <w:p w14:paraId="16F65271" w14:textId="77777777" w:rsidR="00087B91" w:rsidRPr="002029AF" w:rsidRDefault="00087B91" w:rsidP="00860E95">
            <w:pPr>
              <w:pStyle w:val="ARfintablebodyrightbold"/>
            </w:pPr>
            <w:r w:rsidRPr="002029AF">
              <w:t>10,748.4</w:t>
            </w:r>
          </w:p>
        </w:tc>
      </w:tr>
    </w:tbl>
    <w:p w14:paraId="6CA49469" w14:textId="6F7F8629" w:rsidR="00087B91" w:rsidRPr="002029AF" w:rsidRDefault="00087B91" w:rsidP="00087B91">
      <w:pPr>
        <w:pStyle w:val="Heading4"/>
      </w:pPr>
      <w:bookmarkStart w:id="336" w:name="_Toc39136713"/>
      <w:bookmarkStart w:id="337" w:name="_Toc39242142"/>
      <w:r w:rsidRPr="002029AF">
        <w:t>4.3</w:t>
      </w:r>
      <w:r w:rsidR="000A5329" w:rsidRPr="002029AF">
        <w:t xml:space="preserve"> </w:t>
      </w:r>
      <w:r w:rsidRPr="002029AF">
        <w:t>Restructuring</w:t>
      </w:r>
      <w:r w:rsidR="000A5329" w:rsidRPr="002029AF">
        <w:t xml:space="preserve"> </w:t>
      </w:r>
      <w:r w:rsidRPr="002029AF">
        <w:t>of</w:t>
      </w:r>
      <w:r w:rsidR="000A5329" w:rsidRPr="002029AF">
        <w:t xml:space="preserve"> </w:t>
      </w:r>
      <w:r w:rsidRPr="002029AF">
        <w:t>administrative</w:t>
      </w:r>
      <w:r w:rsidR="000A5329" w:rsidRPr="002029AF">
        <w:t xml:space="preserve"> </w:t>
      </w:r>
      <w:r w:rsidRPr="002029AF">
        <w:t>arrangements</w:t>
      </w:r>
      <w:bookmarkEnd w:id="327"/>
      <w:bookmarkEnd w:id="336"/>
      <w:bookmarkEnd w:id="337"/>
    </w:p>
    <w:p w14:paraId="00DE5EB6" w14:textId="24ADCEB6" w:rsidR="00087B91" w:rsidRPr="002029AF" w:rsidRDefault="00087B91" w:rsidP="00087B91">
      <w:pPr>
        <w:pStyle w:val="ARfinbody"/>
      </w:pPr>
      <w:r w:rsidRPr="002029AF">
        <w:t>The</w:t>
      </w:r>
      <w:r w:rsidR="000A5329" w:rsidRPr="002029AF">
        <w:t xml:space="preserve"> </w:t>
      </w:r>
      <w:r w:rsidRPr="002029AF">
        <w:t>Victorian</w:t>
      </w:r>
      <w:r w:rsidR="000A5329" w:rsidRPr="002029AF">
        <w:t xml:space="preserve"> </w:t>
      </w:r>
      <w:r w:rsidRPr="002029AF">
        <w:t>Government</w:t>
      </w:r>
      <w:r w:rsidR="000A5329" w:rsidRPr="002029AF">
        <w:t xml:space="preserve"> </w:t>
      </w:r>
      <w:r w:rsidRPr="002029AF">
        <w:t>issued</w:t>
      </w:r>
      <w:r w:rsidR="000A5329" w:rsidRPr="002029AF">
        <w:t xml:space="preserve"> </w:t>
      </w:r>
      <w:r w:rsidRPr="002029AF">
        <w:t>an</w:t>
      </w:r>
      <w:r w:rsidR="000A5329" w:rsidRPr="002029AF">
        <w:t xml:space="preserve"> </w:t>
      </w:r>
      <w:r w:rsidRPr="002029AF">
        <w:t>administrative</w:t>
      </w:r>
      <w:r w:rsidR="000A5329" w:rsidRPr="002029AF">
        <w:t xml:space="preserve"> </w:t>
      </w:r>
      <w:r w:rsidRPr="002029AF">
        <w:t>order</w:t>
      </w:r>
      <w:r w:rsidR="000A5329" w:rsidRPr="002029AF">
        <w:t xml:space="preserve"> </w:t>
      </w:r>
      <w:r w:rsidRPr="002029AF">
        <w:t>restructuring</w:t>
      </w:r>
      <w:r w:rsidR="000A5329" w:rsidRPr="002029AF">
        <w:t xml:space="preserve"> </w:t>
      </w:r>
      <w:r w:rsidRPr="002029AF">
        <w:t>some</w:t>
      </w:r>
      <w:r w:rsidR="000A5329" w:rsidRPr="002029AF">
        <w:t xml:space="preserve"> </w:t>
      </w:r>
      <w:r w:rsidRPr="002029AF">
        <w:t>of</w:t>
      </w:r>
      <w:r w:rsidR="000A5329" w:rsidRPr="002029AF">
        <w:t xml:space="preserve"> </w:t>
      </w:r>
      <w:r w:rsidRPr="002029AF">
        <w:t>its</w:t>
      </w:r>
      <w:r w:rsidR="000A5329" w:rsidRPr="002029AF">
        <w:t xml:space="preserve"> </w:t>
      </w:r>
      <w:r w:rsidRPr="002029AF">
        <w:t>activities</w:t>
      </w:r>
      <w:r w:rsidR="000A5329" w:rsidRPr="002029AF">
        <w:t xml:space="preserve"> </w:t>
      </w:r>
      <w:r w:rsidRPr="002029AF">
        <w:t>via</w:t>
      </w:r>
      <w:r w:rsidR="000A5329" w:rsidRPr="002029AF">
        <w:t xml:space="preserve"> </w:t>
      </w:r>
      <w:r w:rsidRPr="002029AF">
        <w:t>machinery</w:t>
      </w:r>
      <w:r w:rsidR="000A5329" w:rsidRPr="002029AF">
        <w:t xml:space="preserve"> </w:t>
      </w:r>
      <w:r w:rsidRPr="002029AF">
        <w:t>of</w:t>
      </w:r>
      <w:r w:rsidR="000A5329" w:rsidRPr="002029AF">
        <w:t xml:space="preserve"> </w:t>
      </w:r>
      <w:r w:rsidRPr="002029AF">
        <w:t>government</w:t>
      </w:r>
      <w:r w:rsidR="000A5329" w:rsidRPr="002029AF">
        <w:t xml:space="preserve"> </w:t>
      </w:r>
      <w:r w:rsidRPr="002029AF">
        <w:t>changes.</w:t>
      </w:r>
      <w:r w:rsidR="000A5329" w:rsidRPr="002029AF">
        <w:t xml:space="preserve"> </w:t>
      </w:r>
      <w:r w:rsidRPr="002029AF">
        <w:t>As</w:t>
      </w:r>
      <w:r w:rsidR="007920F7" w:rsidRPr="002029AF">
        <w:t> </w:t>
      </w:r>
      <w:r w:rsidRPr="002029AF">
        <w:t>part</w:t>
      </w:r>
      <w:r w:rsidR="000A5329" w:rsidRPr="002029AF">
        <w:t xml:space="preserve"> </w:t>
      </w:r>
      <w:r w:rsidRPr="002029AF">
        <w:t>of</w:t>
      </w:r>
      <w:r w:rsidR="000A5329" w:rsidRPr="002029AF">
        <w:t xml:space="preserve"> </w:t>
      </w:r>
      <w:r w:rsidRPr="002029AF">
        <w:t>the</w:t>
      </w:r>
      <w:r w:rsidR="000A5329" w:rsidRPr="002029AF">
        <w:t xml:space="preserve"> </w:t>
      </w:r>
      <w:r w:rsidRPr="002029AF">
        <w:t>machinery</w:t>
      </w:r>
      <w:r w:rsidR="000A5329" w:rsidRPr="002029AF">
        <w:t xml:space="preserve"> </w:t>
      </w:r>
      <w:r w:rsidRPr="002029AF">
        <w:t>of</w:t>
      </w:r>
      <w:r w:rsidR="000A5329" w:rsidRPr="002029AF">
        <w:t xml:space="preserve"> </w:t>
      </w:r>
      <w:r w:rsidRPr="002029AF">
        <w:t>government</w:t>
      </w:r>
      <w:r w:rsidR="000A5329" w:rsidRPr="002029AF">
        <w:t xml:space="preserve"> </w:t>
      </w:r>
      <w:r w:rsidRPr="002029AF">
        <w:t>restructure,</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(as</w:t>
      </w:r>
      <w:r w:rsidR="000A5329" w:rsidRPr="002029AF">
        <w:t xml:space="preserve"> </w:t>
      </w:r>
      <w:r w:rsidRPr="002029AF">
        <w:t>transferor)</w:t>
      </w:r>
      <w:r w:rsidR="000A5329" w:rsidRPr="002029AF">
        <w:t xml:space="preserve"> </w:t>
      </w:r>
      <w:r w:rsidRPr="002029AF">
        <w:t>provided</w:t>
      </w:r>
      <w:r w:rsidR="000A5329" w:rsidRPr="002029AF">
        <w:t xml:space="preserve"> </w:t>
      </w:r>
      <w:r w:rsidRPr="002029AF">
        <w:t>the</w:t>
      </w:r>
      <w:r w:rsidR="000A5329" w:rsidRPr="002029AF">
        <w:t xml:space="preserve"> </w:t>
      </w:r>
      <w:r w:rsidRPr="002029AF">
        <w:t>Respect</w:t>
      </w:r>
      <w:r w:rsidR="000A5329" w:rsidRPr="002029AF">
        <w:t xml:space="preserve"> </w:t>
      </w:r>
      <w:r w:rsidRPr="002029AF">
        <w:t>Victoria</w:t>
      </w:r>
      <w:r w:rsidR="000A5329" w:rsidRPr="002029AF">
        <w:t xml:space="preserve"> </w:t>
      </w:r>
      <w:r w:rsidRPr="002029AF">
        <w:t>function</w:t>
      </w:r>
      <w:r w:rsidR="000A5329" w:rsidRPr="002029AF">
        <w:t xml:space="preserve"> </w:t>
      </w:r>
      <w:r w:rsidRPr="002029AF">
        <w:t>to</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of</w:t>
      </w:r>
      <w:r w:rsidR="000A5329" w:rsidRPr="002029AF">
        <w:t xml:space="preserve"> </w:t>
      </w:r>
      <w:r w:rsidRPr="002029AF">
        <w:t>Premier</w:t>
      </w:r>
      <w:r w:rsidR="000A5329" w:rsidRPr="002029AF">
        <w:t xml:space="preserve"> </w:t>
      </w:r>
      <w:r w:rsidRPr="002029AF">
        <w:t>and</w:t>
      </w:r>
      <w:r w:rsidR="000A5329" w:rsidRPr="002029AF">
        <w:t xml:space="preserve"> </w:t>
      </w:r>
      <w:r w:rsidRPr="002029AF">
        <w:t>Cabinet</w:t>
      </w:r>
      <w:r w:rsidR="000A5329" w:rsidRPr="002029AF">
        <w:t xml:space="preserve"> </w:t>
      </w:r>
      <w:r w:rsidRPr="002029AF">
        <w:t>(as</w:t>
      </w:r>
      <w:r w:rsidR="000A5329" w:rsidRPr="002029AF">
        <w:t xml:space="preserve"> </w:t>
      </w:r>
      <w:r w:rsidRPr="002029AF">
        <w:t>transferee)</w:t>
      </w:r>
      <w:r w:rsidR="000A5329" w:rsidRPr="002029AF">
        <w:t xml:space="preserve"> </w:t>
      </w:r>
      <w:r w:rsidRPr="002029AF">
        <w:t>effective</w:t>
      </w:r>
      <w:r w:rsidR="000A5329" w:rsidRPr="002029AF">
        <w:t xml:space="preserve"> </w:t>
      </w:r>
      <w:r w:rsidRPr="002029AF">
        <w:t>from</w:t>
      </w:r>
      <w:r w:rsidR="000A5329" w:rsidRPr="002029AF">
        <w:t xml:space="preserve"> </w:t>
      </w:r>
      <w:r w:rsidRPr="002029AF">
        <w:t>1</w:t>
      </w:r>
      <w:r w:rsidR="000A5329" w:rsidRPr="002029AF">
        <w:t xml:space="preserve"> </w:t>
      </w:r>
      <w:r w:rsidRPr="002029AF">
        <w:t>July</w:t>
      </w:r>
      <w:r w:rsidR="000A5329" w:rsidRPr="002029AF">
        <w:t xml:space="preserve"> </w:t>
      </w:r>
      <w:r w:rsidRPr="002029AF">
        <w:t>2019</w:t>
      </w:r>
      <w:r w:rsidR="000A5329" w:rsidRPr="002029AF">
        <w:t xml:space="preserve"> </w:t>
      </w:r>
      <w:r w:rsidRPr="002029AF">
        <w:t>and</w:t>
      </w:r>
      <w:r w:rsidR="000A5329" w:rsidRPr="002029AF">
        <w:t xml:space="preserve"> </w:t>
      </w:r>
      <w:r w:rsidRPr="002029AF">
        <w:t>lease</w:t>
      </w:r>
      <w:r w:rsidR="000A5329" w:rsidRPr="002029AF">
        <w:t xml:space="preserve"> </w:t>
      </w:r>
      <w:r w:rsidRPr="002029AF">
        <w:t>property</w:t>
      </w:r>
      <w:r w:rsidR="000A5329" w:rsidRPr="002029AF">
        <w:t xml:space="preserve"> </w:t>
      </w:r>
      <w:r w:rsidRPr="002029AF">
        <w:t>under</w:t>
      </w:r>
      <w:r w:rsidR="000A5329" w:rsidRPr="002029AF">
        <w:t xml:space="preserve"> </w:t>
      </w:r>
      <w:r w:rsidRPr="002029AF">
        <w:t>the</w:t>
      </w:r>
      <w:r w:rsidR="000A5329" w:rsidRPr="002029AF">
        <w:t xml:space="preserve"> </w:t>
      </w:r>
      <w:r w:rsidRPr="002029AF">
        <w:t>Centralised</w:t>
      </w:r>
      <w:r w:rsidR="000A5329" w:rsidRPr="002029AF">
        <w:t xml:space="preserve"> </w:t>
      </w:r>
      <w:r w:rsidRPr="002029AF">
        <w:t>Accommodation</w:t>
      </w:r>
      <w:r w:rsidR="000A5329" w:rsidRPr="002029AF">
        <w:t xml:space="preserve"> </w:t>
      </w:r>
      <w:r w:rsidRPr="002029AF">
        <w:t>Management</w:t>
      </w:r>
      <w:r w:rsidR="000A5329" w:rsidRPr="002029AF">
        <w:t xml:space="preserve"> </w:t>
      </w:r>
      <w:r w:rsidRPr="002029AF">
        <w:t>function</w:t>
      </w:r>
      <w:r w:rsidR="000A5329" w:rsidRPr="002029AF">
        <w:t xml:space="preserve"> </w:t>
      </w:r>
      <w:r w:rsidRPr="002029AF">
        <w:t>to</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of</w:t>
      </w:r>
      <w:r w:rsidR="000A5329" w:rsidRPr="002029AF">
        <w:t xml:space="preserve"> </w:t>
      </w:r>
      <w:r w:rsidRPr="002029AF">
        <w:t>Treasury</w:t>
      </w:r>
      <w:r w:rsidR="000A5329" w:rsidRPr="002029AF">
        <w:t xml:space="preserve"> </w:t>
      </w:r>
      <w:r w:rsidRPr="002029AF">
        <w:t>and</w:t>
      </w:r>
      <w:r w:rsidR="000A5329" w:rsidRPr="002029AF">
        <w:t xml:space="preserve"> </w:t>
      </w:r>
      <w:r w:rsidRPr="002029AF">
        <w:t>Finance</w:t>
      </w:r>
      <w:r w:rsidR="000A5329" w:rsidRPr="002029AF">
        <w:t xml:space="preserve"> </w:t>
      </w:r>
      <w:r w:rsidRPr="002029AF">
        <w:t>(as</w:t>
      </w:r>
      <w:r w:rsidR="000A5329" w:rsidRPr="002029AF">
        <w:t xml:space="preserve"> </w:t>
      </w:r>
      <w:r w:rsidRPr="002029AF">
        <w:t>transferee)</w:t>
      </w:r>
      <w:r w:rsidR="000A5329" w:rsidRPr="002029AF">
        <w:t xml:space="preserve"> </w:t>
      </w:r>
      <w:r w:rsidRPr="002029AF">
        <w:t>effective</w:t>
      </w:r>
      <w:r w:rsidR="000A5329" w:rsidRPr="002029AF">
        <w:t xml:space="preserve"> </w:t>
      </w:r>
      <w:r w:rsidRPr="002029AF">
        <w:t>from</w:t>
      </w:r>
      <w:r w:rsidR="000A5329" w:rsidRPr="002029AF">
        <w:t xml:space="preserve"> </w:t>
      </w:r>
      <w:r w:rsidRPr="002029AF">
        <w:t>1</w:t>
      </w:r>
      <w:r w:rsidR="000A5329" w:rsidRPr="002029AF">
        <w:t xml:space="preserve"> </w:t>
      </w:r>
      <w:r w:rsidRPr="002029AF">
        <w:t>October</w:t>
      </w:r>
      <w:r w:rsidR="000A5329" w:rsidRPr="002029AF">
        <w:t xml:space="preserve"> </w:t>
      </w:r>
      <w:r w:rsidRPr="002029AF">
        <w:t>2019.</w:t>
      </w:r>
    </w:p>
    <w:p w14:paraId="6DE41926" w14:textId="3BA0F88C" w:rsidR="00087B91" w:rsidRPr="002029AF" w:rsidRDefault="00087B91" w:rsidP="00087B91">
      <w:pPr>
        <w:pStyle w:val="ARfinbody"/>
      </w:pPr>
      <w:r w:rsidRPr="002029AF">
        <w:t>The</w:t>
      </w:r>
      <w:r w:rsidR="000A5329" w:rsidRPr="002029AF">
        <w:t xml:space="preserve"> </w:t>
      </w:r>
      <w:r w:rsidRPr="002029AF">
        <w:t>combined</w:t>
      </w:r>
      <w:r w:rsidR="000A5329" w:rsidRPr="002029AF">
        <w:t xml:space="preserve"> </w:t>
      </w:r>
      <w:r w:rsidRPr="002029AF">
        <w:t>income</w:t>
      </w:r>
      <w:r w:rsidR="000A5329" w:rsidRPr="002029AF">
        <w:t xml:space="preserve"> </w:t>
      </w:r>
      <w:r w:rsidRPr="002029AF">
        <w:t>and</w:t>
      </w:r>
      <w:r w:rsidR="000A5329" w:rsidRPr="002029AF">
        <w:t xml:space="preserve"> </w:t>
      </w:r>
      <w:r w:rsidRPr="002029AF">
        <w:t>expenses</w:t>
      </w:r>
      <w:r w:rsidR="000A5329" w:rsidRPr="002029AF">
        <w:t xml:space="preserve"> </w:t>
      </w:r>
      <w:r w:rsidRPr="002029AF">
        <w:t>for</w:t>
      </w:r>
      <w:r w:rsidR="000A5329" w:rsidRPr="002029AF">
        <w:t xml:space="preserve"> </w:t>
      </w:r>
      <w:r w:rsidRPr="002029AF">
        <w:t>the</w:t>
      </w:r>
      <w:r w:rsidR="000A5329" w:rsidRPr="002029AF">
        <w:t xml:space="preserve"> </w:t>
      </w:r>
      <w:r w:rsidRPr="002029AF">
        <w:t>Respect</w:t>
      </w:r>
      <w:r w:rsidR="000A5329" w:rsidRPr="002029AF">
        <w:t xml:space="preserve"> </w:t>
      </w:r>
      <w:r w:rsidRPr="002029AF">
        <w:t>Victoria</w:t>
      </w:r>
      <w:r w:rsidR="000A5329" w:rsidRPr="002029AF">
        <w:t xml:space="preserve"> </w:t>
      </w:r>
      <w:r w:rsidRPr="002029AF">
        <w:t>function</w:t>
      </w:r>
      <w:r w:rsidR="000A5329" w:rsidRPr="002029AF">
        <w:t xml:space="preserve"> </w:t>
      </w:r>
      <w:r w:rsidRPr="002029AF">
        <w:t>are</w:t>
      </w:r>
      <w:r w:rsidR="000A5329" w:rsidRPr="002029AF">
        <w:t xml:space="preserve"> </w:t>
      </w:r>
      <w:r w:rsidRPr="002029AF">
        <w:t>reported</w:t>
      </w:r>
      <w:r w:rsidR="000A5329" w:rsidRPr="002029AF">
        <w:t xml:space="preserve"> </w:t>
      </w:r>
      <w:r w:rsidRPr="002029AF">
        <w:t>for</w:t>
      </w:r>
      <w:r w:rsidR="000A5329" w:rsidRPr="002029AF">
        <w:t xml:space="preserve"> </w:t>
      </w:r>
      <w:r w:rsidRPr="002029AF">
        <w:t>the</w:t>
      </w:r>
      <w:r w:rsidR="000A5329" w:rsidRPr="002029AF">
        <w:t xml:space="preserve"> </w:t>
      </w:r>
      <w:r w:rsidRPr="002029AF">
        <w:t>period</w:t>
      </w:r>
      <w:r w:rsidR="000A5329" w:rsidRPr="002029AF">
        <w:t xml:space="preserve"> </w:t>
      </w:r>
      <w:r w:rsidRPr="002029AF">
        <w:t>1</w:t>
      </w:r>
      <w:r w:rsidR="000A5329" w:rsidRPr="002029AF">
        <w:t xml:space="preserve"> </w:t>
      </w:r>
      <w:r w:rsidRPr="002029AF">
        <w:t>July</w:t>
      </w:r>
      <w:r w:rsidR="000A5329" w:rsidRPr="002029AF">
        <w:t xml:space="preserve"> </w:t>
      </w:r>
      <w:r w:rsidRPr="002029AF">
        <w:t>2018</w:t>
      </w:r>
      <w:r w:rsidR="000A5329" w:rsidRPr="002029AF">
        <w:t xml:space="preserve"> </w:t>
      </w:r>
      <w:r w:rsidRPr="002029AF">
        <w:t>to</w:t>
      </w:r>
      <w:r w:rsidR="000A5329" w:rsidRPr="002029AF">
        <w:t xml:space="preserve"> </w:t>
      </w:r>
      <w:r w:rsidRPr="002029AF">
        <w:t>30</w:t>
      </w:r>
      <w:r w:rsidR="000A5329" w:rsidRPr="002029AF">
        <w:t xml:space="preserve"> </w:t>
      </w:r>
      <w:r w:rsidRPr="002029AF">
        <w:t>June</w:t>
      </w:r>
      <w:r w:rsidR="000A5329" w:rsidRPr="002029AF">
        <w:t xml:space="preserve"> </w:t>
      </w:r>
      <w:r w:rsidRPr="002029AF">
        <w:t>2019.</w:t>
      </w:r>
      <w:r w:rsidR="000A5329" w:rsidRPr="002029AF">
        <w:t xml:space="preserve"> </w:t>
      </w:r>
      <w:r w:rsidRPr="002029AF">
        <w:t>The</w:t>
      </w:r>
      <w:r w:rsidR="000A5329" w:rsidRPr="002029AF">
        <w:t xml:space="preserve"> </w:t>
      </w:r>
      <w:r w:rsidRPr="002029AF">
        <w:t>combined</w:t>
      </w:r>
      <w:r w:rsidR="000A5329" w:rsidRPr="002029AF">
        <w:t xml:space="preserve"> </w:t>
      </w:r>
      <w:r w:rsidRPr="002029AF">
        <w:t>income</w:t>
      </w:r>
      <w:r w:rsidR="000A5329" w:rsidRPr="002029AF">
        <w:t xml:space="preserve"> </w:t>
      </w:r>
      <w:r w:rsidRPr="002029AF">
        <w:t>and</w:t>
      </w:r>
      <w:r w:rsidR="000A5329" w:rsidRPr="002029AF">
        <w:t xml:space="preserve"> </w:t>
      </w:r>
      <w:r w:rsidRPr="002029AF">
        <w:t>expenses</w:t>
      </w:r>
      <w:r w:rsidR="000A5329" w:rsidRPr="002029AF">
        <w:t xml:space="preserve"> </w:t>
      </w:r>
      <w:r w:rsidRPr="002029AF">
        <w:t>for</w:t>
      </w:r>
      <w:r w:rsidR="000A5329" w:rsidRPr="002029AF">
        <w:t xml:space="preserve"> </w:t>
      </w:r>
      <w:r w:rsidRPr="002029AF">
        <w:t>the</w:t>
      </w:r>
      <w:r w:rsidR="000A5329" w:rsidRPr="002029AF">
        <w:t xml:space="preserve"> </w:t>
      </w:r>
      <w:r w:rsidRPr="002029AF">
        <w:t>Centralised</w:t>
      </w:r>
      <w:r w:rsidR="000A5329" w:rsidRPr="002029AF">
        <w:t xml:space="preserve"> </w:t>
      </w:r>
      <w:r w:rsidRPr="002029AF">
        <w:t>Accommodation</w:t>
      </w:r>
      <w:r w:rsidR="000A5329" w:rsidRPr="002029AF">
        <w:t xml:space="preserve"> </w:t>
      </w:r>
      <w:r w:rsidRPr="002029AF">
        <w:t>Management</w:t>
      </w:r>
      <w:r w:rsidR="000A5329" w:rsidRPr="002029AF">
        <w:t xml:space="preserve"> </w:t>
      </w:r>
      <w:r w:rsidRPr="002029AF">
        <w:t>function</w:t>
      </w:r>
      <w:r w:rsidR="000A5329" w:rsidRPr="002029AF">
        <w:t xml:space="preserve"> </w:t>
      </w:r>
      <w:r w:rsidRPr="002029AF">
        <w:t>are</w:t>
      </w:r>
      <w:r w:rsidR="000A5329" w:rsidRPr="002029AF">
        <w:t xml:space="preserve"> </w:t>
      </w:r>
      <w:r w:rsidRPr="002029AF">
        <w:t>reported</w:t>
      </w:r>
      <w:r w:rsidR="000A5329" w:rsidRPr="002029AF">
        <w:t xml:space="preserve"> </w:t>
      </w:r>
      <w:r w:rsidRPr="002029AF">
        <w:t>for</w:t>
      </w:r>
      <w:r w:rsidR="000A5329" w:rsidRPr="002029AF">
        <w:t xml:space="preserve"> </w:t>
      </w:r>
      <w:r w:rsidRPr="002029AF">
        <w:t>the</w:t>
      </w:r>
      <w:r w:rsidR="000A5329" w:rsidRPr="002029AF">
        <w:t xml:space="preserve"> </w:t>
      </w:r>
      <w:r w:rsidRPr="002029AF">
        <w:t>period</w:t>
      </w:r>
      <w:r w:rsidR="000A5329" w:rsidRPr="002029AF">
        <w:t xml:space="preserve"> </w:t>
      </w:r>
      <w:r w:rsidRPr="002029AF">
        <w:t>1</w:t>
      </w:r>
      <w:r w:rsidR="000A5329" w:rsidRPr="002029AF">
        <w:t xml:space="preserve"> </w:t>
      </w:r>
      <w:r w:rsidRPr="002029AF">
        <w:t>July</w:t>
      </w:r>
      <w:r w:rsidR="000A5329" w:rsidRPr="002029AF">
        <w:t xml:space="preserve"> </w:t>
      </w:r>
      <w:r w:rsidRPr="002029AF">
        <w:t>2019</w:t>
      </w:r>
      <w:r w:rsidR="000A5329" w:rsidRPr="002029AF">
        <w:t xml:space="preserve"> </w:t>
      </w:r>
      <w:r w:rsidRPr="002029AF">
        <w:t>to</w:t>
      </w:r>
      <w:r w:rsidR="000A5329" w:rsidRPr="002029AF">
        <w:t xml:space="preserve"> </w:t>
      </w:r>
      <w:r w:rsidRPr="002029AF">
        <w:t>30</w:t>
      </w:r>
      <w:r w:rsidR="007920F7" w:rsidRPr="002029AF">
        <w:t> </w:t>
      </w:r>
      <w:r w:rsidRPr="002029AF">
        <w:t>September</w:t>
      </w:r>
      <w:r w:rsidR="000A5329" w:rsidRPr="002029AF">
        <w:t xml:space="preserve"> </w:t>
      </w:r>
      <w:r w:rsidRPr="002029AF">
        <w:t>2019.</w:t>
      </w:r>
    </w:p>
    <w:p w14:paraId="62A5A703" w14:textId="0C22154E" w:rsidR="00087B91" w:rsidRPr="002029AF" w:rsidRDefault="00087B91" w:rsidP="00087B91">
      <w:pPr>
        <w:pStyle w:val="ARfinbody"/>
      </w:pPr>
      <w:r w:rsidRPr="002029AF">
        <w:t>The</w:t>
      </w:r>
      <w:r w:rsidR="000A5329" w:rsidRPr="002029AF">
        <w:t xml:space="preserve"> </w:t>
      </w:r>
      <w:r w:rsidRPr="002029AF">
        <w:t>net</w:t>
      </w:r>
      <w:r w:rsidR="000A5329" w:rsidRPr="002029AF">
        <w:t xml:space="preserve"> </w:t>
      </w:r>
      <w:r w:rsidRPr="002029AF">
        <w:t>assets</w:t>
      </w:r>
      <w:r w:rsidR="000A5329" w:rsidRPr="002029AF">
        <w:t xml:space="preserve"> </w:t>
      </w:r>
      <w:r w:rsidRPr="002029AF">
        <w:t>of</w:t>
      </w:r>
      <w:r w:rsidR="000A5329" w:rsidRPr="002029AF">
        <w:t xml:space="preserve"> </w:t>
      </w:r>
      <w:r w:rsidRPr="002029AF">
        <w:t>$750,000</w:t>
      </w:r>
      <w:r w:rsidR="000A5329" w:rsidRPr="002029AF">
        <w:t xml:space="preserve"> </w:t>
      </w:r>
      <w:r w:rsidRPr="002029AF">
        <w:t>transferred</w:t>
      </w:r>
      <w:r w:rsidR="000A5329" w:rsidRPr="002029AF">
        <w:t xml:space="preserve"> </w:t>
      </w:r>
      <w:r w:rsidRPr="002029AF">
        <w:t>by</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for</w:t>
      </w:r>
      <w:r w:rsidR="000A5329" w:rsidRPr="002029AF">
        <w:t xml:space="preserve"> </w:t>
      </w:r>
      <w:r w:rsidRPr="002029AF">
        <w:t>the</w:t>
      </w:r>
      <w:r w:rsidR="000A5329" w:rsidRPr="002029AF">
        <w:t xml:space="preserve"> </w:t>
      </w:r>
      <w:r w:rsidRPr="002029AF">
        <w:t>Respect</w:t>
      </w:r>
      <w:r w:rsidR="000A5329" w:rsidRPr="002029AF">
        <w:t xml:space="preserve"> </w:t>
      </w:r>
      <w:r w:rsidRPr="002029AF">
        <w:t>Victoria</w:t>
      </w:r>
      <w:r w:rsidR="000A5329" w:rsidRPr="002029AF">
        <w:t xml:space="preserve"> </w:t>
      </w:r>
      <w:r w:rsidRPr="002029AF">
        <w:t>function</w:t>
      </w:r>
      <w:r w:rsidR="000A5329" w:rsidRPr="002029AF">
        <w:t xml:space="preserve"> </w:t>
      </w:r>
      <w:r w:rsidRPr="002029AF">
        <w:t>and</w:t>
      </w:r>
      <w:r w:rsidR="000A5329" w:rsidRPr="002029AF">
        <w:t xml:space="preserve"> </w:t>
      </w:r>
      <w:r w:rsidRPr="002029AF">
        <w:t>the</w:t>
      </w:r>
      <w:r w:rsidR="000A5329" w:rsidRPr="002029AF">
        <w:t xml:space="preserve"> </w:t>
      </w:r>
      <w:r w:rsidRPr="002029AF">
        <w:t>net</w:t>
      </w:r>
      <w:r w:rsidR="000A5329" w:rsidRPr="002029AF">
        <w:t xml:space="preserve"> </w:t>
      </w:r>
      <w:r w:rsidRPr="002029AF">
        <w:t>liabilities</w:t>
      </w:r>
      <w:r w:rsidR="000A5329" w:rsidRPr="002029AF">
        <w:t xml:space="preserve"> </w:t>
      </w:r>
      <w:r w:rsidRPr="002029AF">
        <w:t>of</w:t>
      </w:r>
      <w:r w:rsidR="000A5329" w:rsidRPr="002029AF">
        <w:t xml:space="preserve"> </w:t>
      </w:r>
      <w:r w:rsidRPr="002029AF">
        <w:t>$5.5</w:t>
      </w:r>
      <w:r w:rsidR="000A5329" w:rsidRPr="002029AF">
        <w:t xml:space="preserve"> </w:t>
      </w:r>
      <w:r w:rsidRPr="002029AF">
        <w:t>million</w:t>
      </w:r>
      <w:r w:rsidR="000A5329" w:rsidRPr="002029AF">
        <w:t xml:space="preserve"> </w:t>
      </w:r>
      <w:r w:rsidRPr="002029AF">
        <w:t>transferred</w:t>
      </w:r>
      <w:r w:rsidR="000A5329" w:rsidRPr="002029AF">
        <w:t xml:space="preserve"> </w:t>
      </w:r>
      <w:r w:rsidRPr="002029AF">
        <w:t>for</w:t>
      </w:r>
      <w:r w:rsidR="000A5329" w:rsidRPr="002029AF">
        <w:t xml:space="preserve"> </w:t>
      </w:r>
      <w:r w:rsidRPr="002029AF">
        <w:t>the</w:t>
      </w:r>
      <w:r w:rsidR="000A5329" w:rsidRPr="002029AF">
        <w:t xml:space="preserve"> </w:t>
      </w:r>
      <w:r w:rsidRPr="002029AF">
        <w:t>Centralised</w:t>
      </w:r>
      <w:r w:rsidR="000A5329" w:rsidRPr="002029AF">
        <w:t xml:space="preserve"> </w:t>
      </w:r>
      <w:r w:rsidRPr="002029AF">
        <w:t>Accommodation</w:t>
      </w:r>
      <w:r w:rsidR="000A5329" w:rsidRPr="002029AF">
        <w:t xml:space="preserve"> </w:t>
      </w:r>
      <w:r w:rsidRPr="002029AF">
        <w:t>Management</w:t>
      </w:r>
      <w:r w:rsidR="000A5329" w:rsidRPr="002029AF">
        <w:t xml:space="preserve"> </w:t>
      </w:r>
      <w:r w:rsidRPr="002029AF">
        <w:t>function</w:t>
      </w:r>
      <w:r w:rsidR="000A5329" w:rsidRPr="002029AF">
        <w:t xml:space="preserve"> </w:t>
      </w:r>
      <w:r w:rsidRPr="002029AF">
        <w:t>as</w:t>
      </w:r>
      <w:r w:rsidR="000A5329" w:rsidRPr="002029AF">
        <w:t xml:space="preserve"> </w:t>
      </w:r>
      <w:r w:rsidRPr="002029AF">
        <w:t>a</w:t>
      </w:r>
      <w:r w:rsidR="000A5329" w:rsidRPr="002029AF">
        <w:t xml:space="preserve"> </w:t>
      </w:r>
      <w:r w:rsidRPr="002029AF">
        <w:t>result</w:t>
      </w:r>
      <w:r w:rsidR="000A5329" w:rsidRPr="002029AF">
        <w:t xml:space="preserve"> </w:t>
      </w:r>
      <w:r w:rsidRPr="002029AF">
        <w:t>of</w:t>
      </w:r>
      <w:r w:rsidR="000A5329" w:rsidRPr="002029AF">
        <w:t xml:space="preserve"> </w:t>
      </w:r>
      <w:r w:rsidRPr="002029AF">
        <w:t>the</w:t>
      </w:r>
      <w:r w:rsidR="000A5329" w:rsidRPr="002029AF">
        <w:t xml:space="preserve"> </w:t>
      </w:r>
      <w:r w:rsidRPr="002029AF">
        <w:t>administrative</w:t>
      </w:r>
      <w:r w:rsidR="000A5329" w:rsidRPr="002029AF">
        <w:t xml:space="preserve"> </w:t>
      </w:r>
      <w:r w:rsidRPr="002029AF">
        <w:t>restructure</w:t>
      </w:r>
      <w:r w:rsidR="000A5329" w:rsidRPr="002029AF">
        <w:t xml:space="preserve"> </w:t>
      </w:r>
      <w:r w:rsidRPr="002029AF">
        <w:t>are</w:t>
      </w:r>
      <w:r w:rsidR="000A5329" w:rsidRPr="002029AF">
        <w:t xml:space="preserve"> </w:t>
      </w:r>
      <w:r w:rsidRPr="002029AF">
        <w:t>recognised</w:t>
      </w:r>
      <w:r w:rsidR="000A5329" w:rsidRPr="002029AF">
        <w:t xml:space="preserve"> </w:t>
      </w:r>
      <w:r w:rsidRPr="002029AF">
        <w:t>in</w:t>
      </w:r>
      <w:r w:rsidR="000A5329" w:rsidRPr="002029AF">
        <w:t xml:space="preserve"> </w:t>
      </w:r>
      <w:r w:rsidRPr="002029AF">
        <w:t>the</w:t>
      </w:r>
      <w:r w:rsidR="000A5329" w:rsidRPr="002029AF">
        <w:t xml:space="preserve"> </w:t>
      </w:r>
      <w:r w:rsidRPr="002029AF">
        <w:t>balance</w:t>
      </w:r>
      <w:r w:rsidR="000A5329" w:rsidRPr="002029AF">
        <w:t xml:space="preserve"> </w:t>
      </w:r>
      <w:r w:rsidRPr="002029AF">
        <w:t>sheets</w:t>
      </w:r>
      <w:r w:rsidR="000A5329" w:rsidRPr="002029AF">
        <w:t xml:space="preserve"> </w:t>
      </w:r>
      <w:r w:rsidRPr="002029AF">
        <w:t>at</w:t>
      </w:r>
      <w:r w:rsidR="000A5329" w:rsidRPr="002029AF">
        <w:t xml:space="preserve"> </w:t>
      </w:r>
      <w:r w:rsidRPr="002029AF">
        <w:t>the</w:t>
      </w:r>
      <w:r w:rsidR="000A5329" w:rsidRPr="002029AF">
        <w:t xml:space="preserve"> </w:t>
      </w:r>
      <w:r w:rsidRPr="002029AF">
        <w:t>carrying</w:t>
      </w:r>
      <w:r w:rsidR="000A5329" w:rsidRPr="002029AF">
        <w:t xml:space="preserve"> </w:t>
      </w:r>
      <w:r w:rsidRPr="002029AF">
        <w:t>amount</w:t>
      </w:r>
      <w:r w:rsidR="000A5329" w:rsidRPr="002029AF">
        <w:t xml:space="preserve"> </w:t>
      </w:r>
      <w:r w:rsidRPr="002029AF">
        <w:t>of</w:t>
      </w:r>
      <w:r w:rsidR="000A5329" w:rsidRPr="002029AF">
        <w:t xml:space="preserve"> </w:t>
      </w:r>
      <w:r w:rsidRPr="002029AF">
        <w:t>those</w:t>
      </w:r>
      <w:r w:rsidR="000A5329" w:rsidRPr="002029AF">
        <w:t xml:space="preserve"> </w:t>
      </w:r>
      <w:r w:rsidRPr="002029AF">
        <w:t>assets</w:t>
      </w:r>
      <w:r w:rsidR="000A5329" w:rsidRPr="002029AF">
        <w:t xml:space="preserve"> </w:t>
      </w:r>
      <w:r w:rsidRPr="002029AF">
        <w:t>in</w:t>
      </w:r>
      <w:r w:rsidR="000A5329" w:rsidRPr="002029AF">
        <w:t xml:space="preserve"> </w:t>
      </w:r>
      <w:r w:rsidRPr="002029AF">
        <w:t>the</w:t>
      </w:r>
      <w:r w:rsidR="000A5329" w:rsidRPr="002029AF">
        <w:t xml:space="preserve"> </w:t>
      </w:r>
      <w:r w:rsidRPr="002029AF">
        <w:t>transferee’s</w:t>
      </w:r>
      <w:r w:rsidR="000A5329" w:rsidRPr="002029AF">
        <w:t xml:space="preserve"> </w:t>
      </w:r>
      <w:r w:rsidRPr="002029AF">
        <w:t>(Department</w:t>
      </w:r>
      <w:r w:rsidR="000A5329" w:rsidRPr="002029AF">
        <w:t xml:space="preserve"> </w:t>
      </w:r>
      <w:r w:rsidRPr="002029AF">
        <w:t>of</w:t>
      </w:r>
      <w:r w:rsidR="000A5329" w:rsidRPr="002029AF">
        <w:t xml:space="preserve"> </w:t>
      </w:r>
      <w:r w:rsidRPr="002029AF">
        <w:t>Premier</w:t>
      </w:r>
      <w:r w:rsidR="000A5329" w:rsidRPr="002029AF">
        <w:t xml:space="preserve"> </w:t>
      </w:r>
      <w:r w:rsidRPr="002029AF">
        <w:t>and</w:t>
      </w:r>
      <w:r w:rsidR="000A5329" w:rsidRPr="002029AF">
        <w:t xml:space="preserve"> </w:t>
      </w:r>
      <w:r w:rsidRPr="002029AF">
        <w:t>Cabinet,</w:t>
      </w:r>
      <w:r w:rsidR="000A5329" w:rsidRPr="002029AF">
        <w:t xml:space="preserve"> </w:t>
      </w:r>
      <w:r w:rsidRPr="002029AF">
        <w:t>and</w:t>
      </w:r>
      <w:r w:rsidR="000A5329" w:rsidRPr="002029AF">
        <w:t xml:space="preserve"> </w:t>
      </w:r>
      <w:r w:rsidRPr="002029AF">
        <w:t>Department</w:t>
      </w:r>
      <w:r w:rsidR="000A5329" w:rsidRPr="002029AF">
        <w:t xml:space="preserve"> </w:t>
      </w:r>
      <w:r w:rsidRPr="002029AF">
        <w:t>of</w:t>
      </w:r>
      <w:r w:rsidR="000A5329" w:rsidRPr="002029AF">
        <w:t xml:space="preserve"> </w:t>
      </w:r>
      <w:r w:rsidRPr="002029AF">
        <w:t>Treasury</w:t>
      </w:r>
      <w:r w:rsidR="000A5329" w:rsidRPr="002029AF">
        <w:t xml:space="preserve"> </w:t>
      </w:r>
      <w:r w:rsidRPr="002029AF">
        <w:t>and</w:t>
      </w:r>
      <w:r w:rsidR="000A5329" w:rsidRPr="002029AF">
        <w:t xml:space="preserve"> </w:t>
      </w:r>
      <w:r w:rsidRPr="002029AF">
        <w:t>Finance)</w:t>
      </w:r>
      <w:r w:rsidR="000A5329" w:rsidRPr="002029AF">
        <w:t xml:space="preserve"> </w:t>
      </w:r>
      <w:r w:rsidRPr="002029AF">
        <w:t>balance</w:t>
      </w:r>
      <w:r w:rsidR="000A5329" w:rsidRPr="002029AF">
        <w:t xml:space="preserve"> </w:t>
      </w:r>
      <w:r w:rsidRPr="002029AF">
        <w:t>sheets</w:t>
      </w:r>
      <w:r w:rsidR="000A5329" w:rsidRPr="002029AF">
        <w:t xml:space="preserve"> </w:t>
      </w:r>
      <w:r w:rsidRPr="002029AF">
        <w:t>immediately</w:t>
      </w:r>
      <w:r w:rsidR="000A5329" w:rsidRPr="002029AF">
        <w:t xml:space="preserve"> </w:t>
      </w:r>
      <w:r w:rsidRPr="002029AF">
        <w:t>after</w:t>
      </w:r>
      <w:r w:rsidR="000A5329" w:rsidRPr="002029AF">
        <w:t xml:space="preserve"> </w:t>
      </w:r>
      <w:r w:rsidRPr="002029AF">
        <w:t>the</w:t>
      </w:r>
      <w:r w:rsidR="000A5329" w:rsidRPr="002029AF">
        <w:t xml:space="preserve"> </w:t>
      </w:r>
      <w:r w:rsidRPr="002029AF">
        <w:t>transfer.</w:t>
      </w:r>
    </w:p>
    <w:p w14:paraId="08050C2A" w14:textId="76066517" w:rsidR="00087B91" w:rsidRPr="002029AF" w:rsidRDefault="00087B91" w:rsidP="00087B91">
      <w:pPr>
        <w:pStyle w:val="ARfinbody"/>
      </w:pPr>
      <w:bookmarkStart w:id="338" w:name="_Hlk47639696"/>
      <w:r w:rsidRPr="002029AF">
        <w:t>The</w:t>
      </w:r>
      <w:r w:rsidR="000A5329" w:rsidRPr="002029AF">
        <w:t xml:space="preserve"> </w:t>
      </w:r>
      <w:bookmarkStart w:id="339" w:name="_Hlk47639715"/>
      <w:r w:rsidRPr="002029AF">
        <w:t>department</w:t>
      </w:r>
      <w:r w:rsidR="000A5329" w:rsidRPr="002029AF">
        <w:t xml:space="preserve"> </w:t>
      </w:r>
      <w:r w:rsidRPr="002029AF">
        <w:t>received</w:t>
      </w:r>
      <w:r w:rsidR="000A5329" w:rsidRPr="002029AF">
        <w:t xml:space="preserve"> </w:t>
      </w:r>
      <w:r w:rsidRPr="002029AF">
        <w:t>land</w:t>
      </w:r>
      <w:r w:rsidR="000A5329" w:rsidRPr="002029AF">
        <w:t xml:space="preserve"> </w:t>
      </w:r>
      <w:r w:rsidRPr="002029AF">
        <w:t>and</w:t>
      </w:r>
      <w:r w:rsidR="000A5329" w:rsidRPr="002029AF">
        <w:t xml:space="preserve"> </w:t>
      </w:r>
      <w:r w:rsidRPr="002029AF">
        <w:t>capital</w:t>
      </w:r>
      <w:r w:rsidR="000A5329" w:rsidRPr="002029AF">
        <w:t xml:space="preserve"> </w:t>
      </w:r>
      <w:r w:rsidRPr="002029AF">
        <w:t>funding</w:t>
      </w:r>
      <w:r w:rsidR="000A5329" w:rsidRPr="002029AF">
        <w:t xml:space="preserve"> </w:t>
      </w:r>
      <w:r w:rsidRPr="002029AF">
        <w:t>transfers</w:t>
      </w:r>
      <w:r w:rsidR="000A5329" w:rsidRPr="002029AF">
        <w:t xml:space="preserve"> </w:t>
      </w:r>
      <w:r w:rsidRPr="002029AF">
        <w:t>from</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of</w:t>
      </w:r>
      <w:r w:rsidR="000A5329" w:rsidRPr="002029AF">
        <w:t xml:space="preserve"> </w:t>
      </w:r>
      <w:r w:rsidRPr="002029AF">
        <w:t>Justice</w:t>
      </w:r>
      <w:r w:rsidR="000A5329" w:rsidRPr="002029AF">
        <w:t xml:space="preserve"> </w:t>
      </w:r>
      <w:r w:rsidRPr="002029AF">
        <w:t>and</w:t>
      </w:r>
      <w:r w:rsidR="000A5329" w:rsidRPr="002029AF">
        <w:t xml:space="preserve"> </w:t>
      </w:r>
      <w:r w:rsidRPr="002029AF">
        <w:t>Community</w:t>
      </w:r>
      <w:r w:rsidR="000A5329" w:rsidRPr="002029AF">
        <w:t xml:space="preserve"> </w:t>
      </w:r>
      <w:r w:rsidRPr="002029AF">
        <w:t>Safety,</w:t>
      </w:r>
      <w:r w:rsidR="000A5329" w:rsidRPr="002029AF">
        <w:t xml:space="preserve"> </w:t>
      </w:r>
      <w:r w:rsidRPr="002029AF">
        <w:t>land</w:t>
      </w:r>
      <w:r w:rsidR="000A5329" w:rsidRPr="002029AF">
        <w:t xml:space="preserve"> </w:t>
      </w:r>
      <w:r w:rsidRPr="002029AF">
        <w:t>and</w:t>
      </w:r>
      <w:r w:rsidR="000A5329" w:rsidRPr="002029AF">
        <w:t xml:space="preserve"> </w:t>
      </w:r>
      <w:r w:rsidRPr="002029AF">
        <w:t>buildings</w:t>
      </w:r>
      <w:r w:rsidR="000A5329" w:rsidRPr="002029AF">
        <w:t xml:space="preserve"> </w:t>
      </w:r>
      <w:r w:rsidRPr="002029AF">
        <w:t>from</w:t>
      </w:r>
      <w:r w:rsidR="000A5329" w:rsidRPr="002029AF">
        <w:t xml:space="preserve"> </w:t>
      </w:r>
      <w:r w:rsidRPr="002029AF">
        <w:t>Northern</w:t>
      </w:r>
      <w:r w:rsidR="000A5329" w:rsidRPr="002029AF">
        <w:t xml:space="preserve"> </w:t>
      </w:r>
      <w:r w:rsidRPr="002029AF">
        <w:t>Health</w:t>
      </w:r>
      <w:bookmarkEnd w:id="339"/>
      <w:r w:rsidRPr="002029AF">
        <w:t>,</w:t>
      </w:r>
      <w:r w:rsidR="000A5329" w:rsidRPr="002029AF">
        <w:t xml:space="preserve"> </w:t>
      </w:r>
      <w:r w:rsidRPr="002029AF">
        <w:t>and</w:t>
      </w:r>
      <w:r w:rsidR="000A5329" w:rsidRPr="002029AF">
        <w:t xml:space="preserve"> </w:t>
      </w:r>
      <w:r w:rsidRPr="002029AF">
        <w:t>land</w:t>
      </w:r>
      <w:r w:rsidR="000A5329" w:rsidRPr="002029AF">
        <w:t xml:space="preserve"> </w:t>
      </w:r>
      <w:r w:rsidRPr="002029AF">
        <w:t>and</w:t>
      </w:r>
      <w:r w:rsidR="000A5329" w:rsidRPr="002029AF">
        <w:t xml:space="preserve"> </w:t>
      </w:r>
      <w:r w:rsidRPr="002029AF">
        <w:t>buildings</w:t>
      </w:r>
      <w:r w:rsidR="000A5329" w:rsidRPr="002029AF">
        <w:t xml:space="preserve"> </w:t>
      </w:r>
      <w:r w:rsidRPr="002029AF">
        <w:t>from</w:t>
      </w:r>
      <w:r w:rsidR="000A5329" w:rsidRPr="002029AF">
        <w:t xml:space="preserve"> </w:t>
      </w:r>
      <w:r w:rsidRPr="002029AF">
        <w:t>Barwon</w:t>
      </w:r>
      <w:r w:rsidR="000A5329" w:rsidRPr="002029AF">
        <w:t xml:space="preserve"> </w:t>
      </w:r>
      <w:r w:rsidRPr="002029AF">
        <w:t>Health</w:t>
      </w:r>
      <w:r w:rsidR="000A5329" w:rsidRPr="002029AF">
        <w:t xml:space="preserve"> </w:t>
      </w:r>
      <w:r w:rsidRPr="002029AF">
        <w:t>(which</w:t>
      </w:r>
      <w:r w:rsidR="000A5329" w:rsidRPr="002029AF">
        <w:t xml:space="preserve"> </w:t>
      </w:r>
      <w:r w:rsidRPr="002029AF">
        <w:t>were</w:t>
      </w:r>
      <w:r w:rsidR="000A5329" w:rsidRPr="002029AF">
        <w:t xml:space="preserve"> </w:t>
      </w:r>
      <w:r w:rsidRPr="002029AF">
        <w:t>subsequently</w:t>
      </w:r>
      <w:r w:rsidR="000A5329" w:rsidRPr="002029AF">
        <w:t xml:space="preserve"> </w:t>
      </w:r>
      <w:r w:rsidRPr="002029AF">
        <w:t>transferred</w:t>
      </w:r>
      <w:r w:rsidR="000A5329" w:rsidRPr="002029AF">
        <w:t xml:space="preserve"> </w:t>
      </w:r>
      <w:r w:rsidRPr="002029AF">
        <w:t>to</w:t>
      </w:r>
      <w:r w:rsidR="000A5329" w:rsidRPr="002029AF">
        <w:t xml:space="preserve"> </w:t>
      </w:r>
      <w:r w:rsidRPr="002029AF">
        <w:t>Geelong</w:t>
      </w:r>
      <w:r w:rsidR="000A5329" w:rsidRPr="002029AF">
        <w:t xml:space="preserve"> </w:t>
      </w:r>
      <w:r w:rsidRPr="002029AF">
        <w:t>Performing</w:t>
      </w:r>
      <w:r w:rsidR="000A5329" w:rsidRPr="002029AF">
        <w:t xml:space="preserve"> </w:t>
      </w:r>
      <w:r w:rsidRPr="002029AF">
        <w:t>Arts</w:t>
      </w:r>
      <w:r w:rsidR="000A5329" w:rsidRPr="002029AF">
        <w:t xml:space="preserve"> </w:t>
      </w:r>
      <w:r w:rsidRPr="002029AF">
        <w:t>Centre).</w:t>
      </w:r>
    </w:p>
    <w:bookmarkEnd w:id="338"/>
    <w:p w14:paraId="44B05437" w14:textId="3CBAFBE0" w:rsidR="00087B91" w:rsidRPr="002029AF" w:rsidRDefault="00087B91" w:rsidP="00087B91">
      <w:pPr>
        <w:pStyle w:val="ARfinbody"/>
      </w:pPr>
      <w:r w:rsidRPr="002029AF">
        <w:t>The</w:t>
      </w:r>
      <w:r w:rsidR="000A5329" w:rsidRPr="002029AF">
        <w:t xml:space="preserve"> </w:t>
      </w:r>
      <w:r w:rsidRPr="002029AF">
        <w:t>net</w:t>
      </w:r>
      <w:r w:rsidR="000A5329" w:rsidRPr="002029AF">
        <w:t xml:space="preserve"> </w:t>
      </w:r>
      <w:r w:rsidRPr="002029AF">
        <w:t>asset</w:t>
      </w:r>
      <w:r w:rsidR="000A5329" w:rsidRPr="002029AF">
        <w:t xml:space="preserve"> </w:t>
      </w:r>
      <w:r w:rsidRPr="002029AF">
        <w:t>transfers</w:t>
      </w:r>
      <w:r w:rsidR="000A5329" w:rsidRPr="002029AF">
        <w:t xml:space="preserve"> </w:t>
      </w:r>
      <w:r w:rsidRPr="002029AF">
        <w:t>were</w:t>
      </w:r>
      <w:r w:rsidR="000A5329" w:rsidRPr="002029AF">
        <w:t xml:space="preserve"> </w:t>
      </w:r>
      <w:r w:rsidRPr="002029AF">
        <w:t>treated</w:t>
      </w:r>
      <w:r w:rsidR="000A5329" w:rsidRPr="002029AF">
        <w:t xml:space="preserve"> </w:t>
      </w:r>
      <w:r w:rsidRPr="002029AF">
        <w:t>as</w:t>
      </w:r>
      <w:r w:rsidR="000A5329" w:rsidRPr="002029AF">
        <w:t xml:space="preserve"> </w:t>
      </w:r>
      <w:r w:rsidRPr="002029AF">
        <w:t>a</w:t>
      </w:r>
      <w:r w:rsidR="000A5329" w:rsidRPr="002029AF">
        <w:t xml:space="preserve"> </w:t>
      </w:r>
      <w:r w:rsidRPr="002029AF">
        <w:t>contribution</w:t>
      </w:r>
      <w:r w:rsidR="000A5329" w:rsidRPr="002029AF">
        <w:t xml:space="preserve"> </w:t>
      </w:r>
      <w:r w:rsidRPr="002029AF">
        <w:t>of</w:t>
      </w:r>
      <w:r w:rsidR="000A5329" w:rsidRPr="002029AF">
        <w:t xml:space="preserve"> </w:t>
      </w:r>
      <w:r w:rsidRPr="002029AF">
        <w:t>capital</w:t>
      </w:r>
      <w:r w:rsidR="000A5329" w:rsidRPr="002029AF">
        <w:t xml:space="preserve"> </w:t>
      </w:r>
      <w:r w:rsidRPr="002029AF">
        <w:t>by</w:t>
      </w:r>
      <w:r w:rsidR="000A5329" w:rsidRPr="002029AF">
        <w:t xml:space="preserve"> </w:t>
      </w:r>
      <w:r w:rsidRPr="002029AF">
        <w:t>the</w:t>
      </w:r>
      <w:r w:rsidR="000A5329" w:rsidRPr="002029AF">
        <w:t xml:space="preserve"> </w:t>
      </w:r>
      <w:r w:rsidRPr="002029AF">
        <w:t>state.</w:t>
      </w:r>
    </w:p>
    <w:tbl>
      <w:tblPr>
        <w:tblStyle w:val="TableGrid"/>
        <w:tblW w:w="9637" w:type="dxa"/>
        <w:tblLayout w:type="fixed"/>
        <w:tblLook w:val="06A0" w:firstRow="1" w:lastRow="0" w:firstColumn="1" w:lastColumn="0" w:noHBand="1" w:noVBand="1"/>
      </w:tblPr>
      <w:tblGrid>
        <w:gridCol w:w="6235"/>
        <w:gridCol w:w="1134"/>
        <w:gridCol w:w="1134"/>
        <w:gridCol w:w="1134"/>
      </w:tblGrid>
      <w:tr w:rsidR="00087B91" w:rsidRPr="002029AF" w14:paraId="754C5C3F"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6235" w:type="dxa"/>
            <w:tcBorders>
              <w:bottom w:val="single" w:sz="4" w:space="0" w:color="auto"/>
            </w:tcBorders>
            <w:hideMark/>
          </w:tcPr>
          <w:p w14:paraId="3B9B9B38" w14:textId="77777777" w:rsidR="00087B91" w:rsidRPr="002029AF" w:rsidRDefault="00087B91" w:rsidP="00860E95">
            <w:pPr>
              <w:pStyle w:val="ARfintablecolhead"/>
            </w:pPr>
          </w:p>
        </w:tc>
        <w:tc>
          <w:tcPr>
            <w:tcW w:w="1134" w:type="dxa"/>
            <w:tcBorders>
              <w:bottom w:val="single" w:sz="4" w:space="0" w:color="auto"/>
            </w:tcBorders>
            <w:hideMark/>
          </w:tcPr>
          <w:p w14:paraId="5B9E99FF" w14:textId="7343C911" w:rsidR="00087B91" w:rsidRPr="002029AF" w:rsidRDefault="00087B91" w:rsidP="00860E95">
            <w:pPr>
              <w:pStyle w:val="ARfintablecolheadright"/>
            </w:pPr>
            <w:r w:rsidRPr="002029AF">
              <w:t>2020</w:t>
            </w:r>
            <w:r w:rsidR="000A5329" w:rsidRPr="002029AF">
              <w:t xml:space="preserve"> </w:t>
            </w:r>
            <w:r w:rsidRPr="002029AF">
              <w:t>Transfer</w:t>
            </w:r>
            <w:r w:rsidR="000A5329" w:rsidRPr="002029AF">
              <w:t xml:space="preserve"> </w:t>
            </w:r>
            <w:r w:rsidRPr="002029AF">
              <w:t>in</w:t>
            </w:r>
          </w:p>
          <w:p w14:paraId="6E869FA1" w14:textId="77777777" w:rsidR="00087B91" w:rsidRPr="002029AF" w:rsidRDefault="00087B91" w:rsidP="00860E95">
            <w:pPr>
              <w:pStyle w:val="ARfintablecolheadright"/>
            </w:pPr>
            <w:r w:rsidRPr="002029AF">
              <w:t>$M</w:t>
            </w:r>
          </w:p>
        </w:tc>
        <w:tc>
          <w:tcPr>
            <w:tcW w:w="1134" w:type="dxa"/>
            <w:tcBorders>
              <w:bottom w:val="single" w:sz="4" w:space="0" w:color="auto"/>
            </w:tcBorders>
            <w:hideMark/>
          </w:tcPr>
          <w:p w14:paraId="3DA6D514" w14:textId="0369E18D" w:rsidR="00087B91" w:rsidRPr="002029AF" w:rsidRDefault="00087B91" w:rsidP="00860E95">
            <w:pPr>
              <w:pStyle w:val="ARfintablecolheadright"/>
            </w:pPr>
            <w:r w:rsidRPr="002029AF">
              <w:t>2020</w:t>
            </w:r>
            <w:r w:rsidR="000A5329" w:rsidRPr="002029AF">
              <w:t xml:space="preserve"> </w:t>
            </w:r>
            <w:r w:rsidRPr="002029AF">
              <w:t>Transfer</w:t>
            </w:r>
            <w:r w:rsidR="000A5329" w:rsidRPr="002029AF">
              <w:t xml:space="preserve"> </w:t>
            </w:r>
            <w:r w:rsidRPr="002029AF">
              <w:t>out</w:t>
            </w:r>
          </w:p>
          <w:p w14:paraId="44494831" w14:textId="77777777" w:rsidR="00087B91" w:rsidRPr="002029AF" w:rsidRDefault="00087B91" w:rsidP="00860E95">
            <w:pPr>
              <w:pStyle w:val="ARfintablecolheadright"/>
            </w:pPr>
            <w:r w:rsidRPr="002029AF">
              <w:t>$M</w:t>
            </w:r>
          </w:p>
        </w:tc>
        <w:tc>
          <w:tcPr>
            <w:tcW w:w="1134" w:type="dxa"/>
            <w:tcBorders>
              <w:bottom w:val="single" w:sz="4" w:space="0" w:color="auto"/>
            </w:tcBorders>
            <w:hideMark/>
          </w:tcPr>
          <w:p w14:paraId="4A63572B" w14:textId="087B5499" w:rsidR="00087B91" w:rsidRPr="002029AF" w:rsidRDefault="00087B91" w:rsidP="00860E95">
            <w:pPr>
              <w:pStyle w:val="ARfintablecolheadright"/>
            </w:pPr>
            <w:r w:rsidRPr="002029AF">
              <w:t>2020</w:t>
            </w:r>
            <w:r w:rsidR="000A5329" w:rsidRPr="002029AF">
              <w:t xml:space="preserve"> </w:t>
            </w:r>
            <w:r w:rsidRPr="002029AF">
              <w:t>Transfer</w:t>
            </w:r>
            <w:r w:rsidR="000A5329" w:rsidRPr="002029AF">
              <w:t xml:space="preserve"> </w:t>
            </w:r>
            <w:r w:rsidRPr="002029AF">
              <w:t>total</w:t>
            </w:r>
          </w:p>
          <w:p w14:paraId="6013DE84" w14:textId="77777777" w:rsidR="00087B91" w:rsidRPr="002029AF" w:rsidRDefault="00087B91" w:rsidP="00860E95">
            <w:pPr>
              <w:pStyle w:val="ARfintablecolheadright"/>
            </w:pPr>
            <w:r w:rsidRPr="002029AF">
              <w:t>$M</w:t>
            </w:r>
          </w:p>
        </w:tc>
      </w:tr>
      <w:tr w:rsidR="00087B91" w:rsidRPr="002029AF" w14:paraId="6045B67C" w14:textId="77777777" w:rsidTr="00860E95">
        <w:tc>
          <w:tcPr>
            <w:tcW w:w="9637" w:type="dxa"/>
            <w:gridSpan w:val="4"/>
            <w:tcBorders>
              <w:top w:val="single" w:sz="4" w:space="0" w:color="auto"/>
              <w:bottom w:val="single" w:sz="4" w:space="0" w:color="A6A6A6"/>
            </w:tcBorders>
            <w:hideMark/>
          </w:tcPr>
          <w:p w14:paraId="0D7BC51E" w14:textId="77777777" w:rsidR="00087B91" w:rsidRPr="002029AF" w:rsidRDefault="00087B91" w:rsidP="00860E95">
            <w:pPr>
              <w:pStyle w:val="ARfintablebodybold"/>
            </w:pPr>
            <w:r w:rsidRPr="002029AF">
              <w:t>Assets</w:t>
            </w:r>
          </w:p>
        </w:tc>
      </w:tr>
      <w:tr w:rsidR="00087B91" w:rsidRPr="002029AF" w14:paraId="2E40AABC" w14:textId="77777777" w:rsidTr="00860E95">
        <w:tc>
          <w:tcPr>
            <w:tcW w:w="6235" w:type="dxa"/>
            <w:tcBorders>
              <w:top w:val="single" w:sz="4" w:space="0" w:color="A6A6A6"/>
              <w:bottom w:val="single" w:sz="4" w:space="0" w:color="A6A6A6"/>
            </w:tcBorders>
            <w:hideMark/>
          </w:tcPr>
          <w:p w14:paraId="6D76A1CA" w14:textId="64073FCE" w:rsidR="00087B91" w:rsidRPr="002029AF" w:rsidRDefault="00087B91" w:rsidP="00860E95">
            <w:pPr>
              <w:pStyle w:val="ARfintablebody"/>
            </w:pPr>
            <w:r w:rsidRPr="002029AF">
              <w:t>Cash</w:t>
            </w:r>
            <w:r w:rsidR="000A5329" w:rsidRPr="002029AF">
              <w:t xml:space="preserve"> </w:t>
            </w:r>
            <w:r w:rsidRPr="002029AF">
              <w:t>and</w:t>
            </w:r>
            <w:r w:rsidR="000A5329" w:rsidRPr="002029AF">
              <w:t xml:space="preserve"> </w:t>
            </w:r>
            <w:r w:rsidRPr="002029AF">
              <w:t>deposits</w:t>
            </w:r>
          </w:p>
        </w:tc>
        <w:tc>
          <w:tcPr>
            <w:tcW w:w="1134" w:type="dxa"/>
            <w:tcBorders>
              <w:top w:val="single" w:sz="4" w:space="0" w:color="A6A6A6"/>
              <w:bottom w:val="single" w:sz="4" w:space="0" w:color="A6A6A6"/>
            </w:tcBorders>
            <w:noWrap/>
            <w:hideMark/>
          </w:tcPr>
          <w:p w14:paraId="7B29AE0D" w14:textId="77777777" w:rsidR="00087B91" w:rsidRPr="002029AF" w:rsidRDefault="00087B91" w:rsidP="00860E95">
            <w:pPr>
              <w:pStyle w:val="ARfintablebodyright"/>
            </w:pPr>
            <w:r w:rsidRPr="002029AF">
              <w:t>2.1</w:t>
            </w:r>
          </w:p>
        </w:tc>
        <w:tc>
          <w:tcPr>
            <w:tcW w:w="1134" w:type="dxa"/>
            <w:tcBorders>
              <w:top w:val="single" w:sz="4" w:space="0" w:color="A6A6A6"/>
              <w:bottom w:val="single" w:sz="4" w:space="0" w:color="A6A6A6"/>
            </w:tcBorders>
            <w:noWrap/>
            <w:hideMark/>
          </w:tcPr>
          <w:p w14:paraId="090729AE" w14:textId="77777777" w:rsidR="00087B91" w:rsidRPr="002029AF" w:rsidRDefault="00087B91" w:rsidP="00860E95">
            <w:pPr>
              <w:pStyle w:val="ARfintablebodyright"/>
            </w:pPr>
            <w:r w:rsidRPr="002029AF">
              <w:t>(0.1)</w:t>
            </w:r>
          </w:p>
        </w:tc>
        <w:tc>
          <w:tcPr>
            <w:tcW w:w="1134" w:type="dxa"/>
            <w:tcBorders>
              <w:top w:val="single" w:sz="4" w:space="0" w:color="A6A6A6"/>
              <w:bottom w:val="single" w:sz="4" w:space="0" w:color="A6A6A6"/>
            </w:tcBorders>
            <w:noWrap/>
            <w:hideMark/>
          </w:tcPr>
          <w:p w14:paraId="72D69C8C" w14:textId="77777777" w:rsidR="00087B91" w:rsidRPr="002029AF" w:rsidRDefault="00087B91" w:rsidP="00860E95">
            <w:pPr>
              <w:pStyle w:val="ARfintablebodyright"/>
            </w:pPr>
            <w:r w:rsidRPr="002029AF">
              <w:t>2.0</w:t>
            </w:r>
          </w:p>
        </w:tc>
      </w:tr>
      <w:tr w:rsidR="00087B91" w:rsidRPr="002029AF" w14:paraId="25CBA588" w14:textId="77777777" w:rsidTr="00860E95">
        <w:tc>
          <w:tcPr>
            <w:tcW w:w="6235" w:type="dxa"/>
            <w:tcBorders>
              <w:top w:val="single" w:sz="4" w:space="0" w:color="A6A6A6"/>
              <w:bottom w:val="single" w:sz="4" w:space="0" w:color="A6A6A6"/>
            </w:tcBorders>
            <w:hideMark/>
          </w:tcPr>
          <w:p w14:paraId="01E2BC27" w14:textId="77777777" w:rsidR="00087B91" w:rsidRPr="002029AF" w:rsidRDefault="00087B91" w:rsidP="00860E95">
            <w:pPr>
              <w:pStyle w:val="ARfintablebody"/>
            </w:pPr>
            <w:r w:rsidRPr="002029AF">
              <w:t>Prepayment</w:t>
            </w:r>
          </w:p>
        </w:tc>
        <w:tc>
          <w:tcPr>
            <w:tcW w:w="1134" w:type="dxa"/>
            <w:tcBorders>
              <w:top w:val="single" w:sz="4" w:space="0" w:color="A6A6A6"/>
              <w:bottom w:val="single" w:sz="4" w:space="0" w:color="A6A6A6"/>
            </w:tcBorders>
            <w:noWrap/>
            <w:hideMark/>
          </w:tcPr>
          <w:p w14:paraId="7258CD13"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53C058DA" w14:textId="77777777" w:rsidR="00087B91" w:rsidRPr="002029AF" w:rsidRDefault="00087B91" w:rsidP="00860E95">
            <w:pPr>
              <w:pStyle w:val="ARfintablebodyright"/>
            </w:pPr>
            <w:r w:rsidRPr="002029AF">
              <w:t>(0.8)</w:t>
            </w:r>
          </w:p>
        </w:tc>
        <w:tc>
          <w:tcPr>
            <w:tcW w:w="1134" w:type="dxa"/>
            <w:tcBorders>
              <w:top w:val="single" w:sz="4" w:space="0" w:color="A6A6A6"/>
              <w:bottom w:val="single" w:sz="4" w:space="0" w:color="A6A6A6"/>
            </w:tcBorders>
            <w:noWrap/>
            <w:hideMark/>
          </w:tcPr>
          <w:p w14:paraId="151D72D9" w14:textId="77777777" w:rsidR="00087B91" w:rsidRPr="002029AF" w:rsidRDefault="00087B91" w:rsidP="00860E95">
            <w:pPr>
              <w:pStyle w:val="ARfintablebodyright"/>
            </w:pPr>
            <w:r w:rsidRPr="002029AF">
              <w:t>(0.8)</w:t>
            </w:r>
          </w:p>
        </w:tc>
      </w:tr>
      <w:tr w:rsidR="00087B91" w:rsidRPr="002029AF" w14:paraId="6FF2901E" w14:textId="77777777" w:rsidTr="00860E95">
        <w:tc>
          <w:tcPr>
            <w:tcW w:w="6235" w:type="dxa"/>
            <w:tcBorders>
              <w:top w:val="single" w:sz="4" w:space="0" w:color="A6A6A6"/>
              <w:bottom w:val="single" w:sz="4" w:space="0" w:color="A6A6A6"/>
            </w:tcBorders>
            <w:hideMark/>
          </w:tcPr>
          <w:p w14:paraId="109A1CD0" w14:textId="744BFD0D" w:rsidR="00087B91" w:rsidRPr="002029AF" w:rsidRDefault="00087B91" w:rsidP="00860E95">
            <w:pPr>
              <w:pStyle w:val="ARfintablebody"/>
            </w:pPr>
            <w:r w:rsidRPr="002029AF">
              <w:t>Property,</w:t>
            </w:r>
            <w:r w:rsidR="000A5329" w:rsidRPr="002029AF">
              <w:t xml:space="preserve"> </w:t>
            </w:r>
            <w:r w:rsidRPr="002029AF">
              <w:t>plant</w:t>
            </w:r>
            <w:r w:rsidR="000A5329" w:rsidRPr="002029AF">
              <w:t xml:space="preserve"> </w:t>
            </w:r>
            <w:r w:rsidRPr="002029AF">
              <w:t>and</w:t>
            </w:r>
            <w:r w:rsidR="000A5329" w:rsidRPr="002029AF">
              <w:t xml:space="preserve"> </w:t>
            </w:r>
            <w:r w:rsidRPr="002029AF">
              <w:t>equipment</w:t>
            </w:r>
          </w:p>
        </w:tc>
        <w:tc>
          <w:tcPr>
            <w:tcW w:w="1134" w:type="dxa"/>
            <w:tcBorders>
              <w:top w:val="single" w:sz="4" w:space="0" w:color="A6A6A6"/>
              <w:bottom w:val="single" w:sz="4" w:space="0" w:color="A6A6A6"/>
            </w:tcBorders>
            <w:noWrap/>
            <w:hideMark/>
          </w:tcPr>
          <w:p w14:paraId="03501934" w14:textId="77777777" w:rsidR="00087B91" w:rsidRPr="002029AF" w:rsidRDefault="00087B91" w:rsidP="00860E95">
            <w:pPr>
              <w:pStyle w:val="ARfintablebodyright"/>
            </w:pPr>
            <w:r w:rsidRPr="002029AF">
              <w:t>13.5</w:t>
            </w:r>
          </w:p>
        </w:tc>
        <w:tc>
          <w:tcPr>
            <w:tcW w:w="1134" w:type="dxa"/>
            <w:tcBorders>
              <w:top w:val="single" w:sz="4" w:space="0" w:color="A6A6A6"/>
              <w:bottom w:val="single" w:sz="4" w:space="0" w:color="A6A6A6"/>
            </w:tcBorders>
            <w:noWrap/>
            <w:hideMark/>
          </w:tcPr>
          <w:p w14:paraId="32E397DD" w14:textId="77777777" w:rsidR="00087B91" w:rsidRPr="002029AF" w:rsidRDefault="00087B91" w:rsidP="00860E95">
            <w:pPr>
              <w:pStyle w:val="ARfintablebodyright"/>
            </w:pPr>
            <w:r w:rsidRPr="002029AF">
              <w:t>(529.0)</w:t>
            </w:r>
          </w:p>
        </w:tc>
        <w:tc>
          <w:tcPr>
            <w:tcW w:w="1134" w:type="dxa"/>
            <w:tcBorders>
              <w:top w:val="single" w:sz="4" w:space="0" w:color="A6A6A6"/>
              <w:bottom w:val="single" w:sz="4" w:space="0" w:color="A6A6A6"/>
            </w:tcBorders>
            <w:noWrap/>
            <w:hideMark/>
          </w:tcPr>
          <w:p w14:paraId="6045C710" w14:textId="77777777" w:rsidR="00087B91" w:rsidRPr="002029AF" w:rsidRDefault="00087B91" w:rsidP="00860E95">
            <w:pPr>
              <w:pStyle w:val="ARfintablebodyright"/>
            </w:pPr>
            <w:r w:rsidRPr="002029AF">
              <w:t>(515.6)</w:t>
            </w:r>
          </w:p>
        </w:tc>
      </w:tr>
      <w:tr w:rsidR="00087B91" w:rsidRPr="002029AF" w14:paraId="734DE716" w14:textId="77777777" w:rsidTr="00860E95">
        <w:tc>
          <w:tcPr>
            <w:tcW w:w="9637" w:type="dxa"/>
            <w:gridSpan w:val="4"/>
            <w:tcBorders>
              <w:top w:val="single" w:sz="4" w:space="0" w:color="A6A6A6"/>
              <w:bottom w:val="single" w:sz="4" w:space="0" w:color="A6A6A6"/>
            </w:tcBorders>
            <w:hideMark/>
          </w:tcPr>
          <w:p w14:paraId="478FD0E6" w14:textId="77777777" w:rsidR="00087B91" w:rsidRPr="002029AF" w:rsidRDefault="00087B91" w:rsidP="00860E95">
            <w:pPr>
              <w:pStyle w:val="ARfintablebodybold"/>
            </w:pPr>
            <w:r w:rsidRPr="002029AF">
              <w:t>Liabilities</w:t>
            </w:r>
          </w:p>
        </w:tc>
      </w:tr>
      <w:tr w:rsidR="00087B91" w:rsidRPr="002029AF" w14:paraId="2A9648E1" w14:textId="77777777" w:rsidTr="00860E95">
        <w:tc>
          <w:tcPr>
            <w:tcW w:w="6235" w:type="dxa"/>
            <w:tcBorders>
              <w:top w:val="single" w:sz="4" w:space="0" w:color="A6A6A6"/>
              <w:bottom w:val="single" w:sz="4" w:space="0" w:color="A6A6A6"/>
            </w:tcBorders>
            <w:hideMark/>
          </w:tcPr>
          <w:p w14:paraId="0EA7278A" w14:textId="77777777" w:rsidR="00087B91" w:rsidRPr="002029AF" w:rsidRDefault="00087B91" w:rsidP="00860E95">
            <w:pPr>
              <w:pStyle w:val="ARfintablebody"/>
            </w:pPr>
            <w:r w:rsidRPr="002029AF">
              <w:t>Borrowings</w:t>
            </w:r>
          </w:p>
        </w:tc>
        <w:tc>
          <w:tcPr>
            <w:tcW w:w="1134" w:type="dxa"/>
            <w:tcBorders>
              <w:top w:val="single" w:sz="4" w:space="0" w:color="A6A6A6"/>
              <w:bottom w:val="single" w:sz="4" w:space="0" w:color="A6A6A6"/>
            </w:tcBorders>
            <w:noWrap/>
            <w:hideMark/>
          </w:tcPr>
          <w:p w14:paraId="3DA48604"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6BB619B9" w14:textId="77777777" w:rsidR="00087B91" w:rsidRPr="002029AF" w:rsidRDefault="00087B91" w:rsidP="00860E95">
            <w:pPr>
              <w:pStyle w:val="ARfintablebodyright"/>
            </w:pPr>
            <w:r w:rsidRPr="002029AF">
              <w:t>532.8</w:t>
            </w:r>
          </w:p>
        </w:tc>
        <w:tc>
          <w:tcPr>
            <w:tcW w:w="1134" w:type="dxa"/>
            <w:tcBorders>
              <w:top w:val="single" w:sz="4" w:space="0" w:color="A6A6A6"/>
              <w:bottom w:val="single" w:sz="4" w:space="0" w:color="A6A6A6"/>
            </w:tcBorders>
            <w:noWrap/>
            <w:hideMark/>
          </w:tcPr>
          <w:p w14:paraId="4405B8FB" w14:textId="77777777" w:rsidR="00087B91" w:rsidRPr="002029AF" w:rsidRDefault="00087B91" w:rsidP="00860E95">
            <w:pPr>
              <w:pStyle w:val="ARfintablebodyright"/>
            </w:pPr>
            <w:r w:rsidRPr="002029AF">
              <w:t>532.8</w:t>
            </w:r>
          </w:p>
        </w:tc>
      </w:tr>
      <w:tr w:rsidR="00087B91" w:rsidRPr="002029AF" w14:paraId="37E3D70C" w14:textId="77777777" w:rsidTr="00860E95">
        <w:tc>
          <w:tcPr>
            <w:tcW w:w="6235" w:type="dxa"/>
            <w:tcBorders>
              <w:top w:val="single" w:sz="4" w:space="0" w:color="A6A6A6"/>
            </w:tcBorders>
            <w:hideMark/>
          </w:tcPr>
          <w:p w14:paraId="6276B574" w14:textId="419A2E2C" w:rsidR="00087B91" w:rsidRPr="002029AF" w:rsidRDefault="00087B91" w:rsidP="00860E95">
            <w:pPr>
              <w:pStyle w:val="ARfintablebody"/>
            </w:pPr>
            <w:r w:rsidRPr="002029AF">
              <w:t>Employee</w:t>
            </w:r>
            <w:r w:rsidR="000A5329" w:rsidRPr="002029AF">
              <w:t xml:space="preserve"> </w:t>
            </w:r>
            <w:r w:rsidRPr="002029AF">
              <w:t>related</w:t>
            </w:r>
            <w:r w:rsidR="000A5329" w:rsidRPr="002029AF">
              <w:t xml:space="preserve"> </w:t>
            </w:r>
            <w:r w:rsidRPr="002029AF">
              <w:t>provisions</w:t>
            </w:r>
          </w:p>
        </w:tc>
        <w:tc>
          <w:tcPr>
            <w:tcW w:w="1134" w:type="dxa"/>
            <w:tcBorders>
              <w:top w:val="single" w:sz="4" w:space="0" w:color="A6A6A6"/>
            </w:tcBorders>
            <w:noWrap/>
            <w:hideMark/>
          </w:tcPr>
          <w:p w14:paraId="7F1C1B8C" w14:textId="77777777" w:rsidR="00087B91" w:rsidRPr="002029AF" w:rsidRDefault="00087B91" w:rsidP="00860E95">
            <w:pPr>
              <w:pStyle w:val="ARfintablebodyright"/>
            </w:pPr>
            <w:r w:rsidRPr="002029AF">
              <w:t>–</w:t>
            </w:r>
          </w:p>
        </w:tc>
        <w:tc>
          <w:tcPr>
            <w:tcW w:w="1134" w:type="dxa"/>
            <w:tcBorders>
              <w:top w:val="single" w:sz="4" w:space="0" w:color="A6A6A6"/>
            </w:tcBorders>
            <w:noWrap/>
            <w:hideMark/>
          </w:tcPr>
          <w:p w14:paraId="7459C616" w14:textId="77777777" w:rsidR="00087B91" w:rsidRPr="002029AF" w:rsidRDefault="00087B91" w:rsidP="00860E95">
            <w:pPr>
              <w:pStyle w:val="ARfintablebodyright"/>
            </w:pPr>
            <w:r w:rsidRPr="002029AF">
              <w:t>0.1</w:t>
            </w:r>
          </w:p>
        </w:tc>
        <w:tc>
          <w:tcPr>
            <w:tcW w:w="1134" w:type="dxa"/>
            <w:tcBorders>
              <w:top w:val="single" w:sz="4" w:space="0" w:color="A6A6A6"/>
            </w:tcBorders>
            <w:noWrap/>
            <w:hideMark/>
          </w:tcPr>
          <w:p w14:paraId="3311407D" w14:textId="77777777" w:rsidR="00087B91" w:rsidRPr="002029AF" w:rsidRDefault="00087B91" w:rsidP="00860E95">
            <w:pPr>
              <w:pStyle w:val="ARfintablebodyright"/>
            </w:pPr>
            <w:r w:rsidRPr="002029AF">
              <w:t>0.1</w:t>
            </w:r>
          </w:p>
        </w:tc>
      </w:tr>
      <w:tr w:rsidR="00087B91" w:rsidRPr="002029AF" w14:paraId="66F9A715" w14:textId="77777777" w:rsidTr="00860E95">
        <w:tc>
          <w:tcPr>
            <w:tcW w:w="6235" w:type="dxa"/>
            <w:hideMark/>
          </w:tcPr>
          <w:p w14:paraId="3ABDC6D2" w14:textId="76A9A127" w:rsidR="00087B91" w:rsidRPr="002029AF" w:rsidRDefault="00087B91" w:rsidP="00860E95">
            <w:pPr>
              <w:pStyle w:val="ARfintablebodybold"/>
            </w:pPr>
            <w:r w:rsidRPr="002029AF">
              <w:t>Net</w:t>
            </w:r>
            <w:r w:rsidR="000A5329" w:rsidRPr="002029AF">
              <w:t xml:space="preserve"> </w:t>
            </w:r>
            <w:r w:rsidRPr="002029AF">
              <w:t>assets</w:t>
            </w:r>
            <w:r w:rsidR="000A5329" w:rsidRPr="002029AF">
              <w:t xml:space="preserve"> </w:t>
            </w:r>
            <w:r w:rsidRPr="002029AF">
              <w:t>recognised/(transferred)</w:t>
            </w:r>
          </w:p>
        </w:tc>
        <w:tc>
          <w:tcPr>
            <w:tcW w:w="1134" w:type="dxa"/>
            <w:noWrap/>
            <w:hideMark/>
          </w:tcPr>
          <w:p w14:paraId="1D812981" w14:textId="77777777" w:rsidR="00087B91" w:rsidRPr="002029AF" w:rsidRDefault="00087B91" w:rsidP="00860E95">
            <w:pPr>
              <w:pStyle w:val="ARfintablebodyrightbold"/>
            </w:pPr>
            <w:r w:rsidRPr="002029AF">
              <w:t>15.6</w:t>
            </w:r>
          </w:p>
        </w:tc>
        <w:tc>
          <w:tcPr>
            <w:tcW w:w="1134" w:type="dxa"/>
            <w:noWrap/>
            <w:hideMark/>
          </w:tcPr>
          <w:p w14:paraId="7F21EAB7" w14:textId="77777777" w:rsidR="00087B91" w:rsidRPr="002029AF" w:rsidRDefault="00087B91" w:rsidP="00860E95">
            <w:pPr>
              <w:pStyle w:val="ARfintablebodyrightbold"/>
            </w:pPr>
            <w:r w:rsidRPr="002029AF">
              <w:t>3.0</w:t>
            </w:r>
          </w:p>
        </w:tc>
        <w:tc>
          <w:tcPr>
            <w:tcW w:w="1134" w:type="dxa"/>
            <w:noWrap/>
            <w:hideMark/>
          </w:tcPr>
          <w:p w14:paraId="533658CE" w14:textId="77777777" w:rsidR="00087B91" w:rsidRPr="002029AF" w:rsidRDefault="00087B91" w:rsidP="00860E95">
            <w:pPr>
              <w:pStyle w:val="ARfintablebodyrightbold"/>
            </w:pPr>
            <w:r w:rsidRPr="002029AF">
              <w:t>18.4</w:t>
            </w:r>
          </w:p>
        </w:tc>
      </w:tr>
      <w:tr w:rsidR="00087B91" w:rsidRPr="002029AF" w14:paraId="5FB81D37" w14:textId="77777777" w:rsidTr="00860E95">
        <w:tc>
          <w:tcPr>
            <w:tcW w:w="6235" w:type="dxa"/>
            <w:hideMark/>
          </w:tcPr>
          <w:p w14:paraId="128BBF14" w14:textId="6CFBC611" w:rsidR="00087B91" w:rsidRPr="002029AF" w:rsidRDefault="00087B91" w:rsidP="00860E95">
            <w:pPr>
              <w:pStyle w:val="ARfintablebodybold"/>
            </w:pPr>
            <w:r w:rsidRPr="002029AF">
              <w:t>Net</w:t>
            </w:r>
            <w:r w:rsidR="000A5329" w:rsidRPr="002029AF">
              <w:t xml:space="preserve"> </w:t>
            </w:r>
            <w:r w:rsidRPr="002029AF">
              <w:t>capital</w:t>
            </w:r>
            <w:r w:rsidR="000A5329" w:rsidRPr="002029AF">
              <w:t xml:space="preserve"> </w:t>
            </w:r>
            <w:r w:rsidRPr="002029AF">
              <w:t>contribution</w:t>
            </w:r>
            <w:r w:rsidR="000A5329" w:rsidRPr="002029AF">
              <w:t xml:space="preserve"> </w:t>
            </w:r>
            <w:r w:rsidRPr="002029AF">
              <w:t>from</w:t>
            </w:r>
            <w:r w:rsidR="000A5329" w:rsidRPr="002029AF">
              <w:t xml:space="preserve"> </w:t>
            </w:r>
            <w:r w:rsidRPr="002029AF">
              <w:t>the</w:t>
            </w:r>
            <w:r w:rsidR="000A5329" w:rsidRPr="002029AF">
              <w:t xml:space="preserve"> </w:t>
            </w:r>
            <w:r w:rsidRPr="002029AF">
              <w:t>Crown</w:t>
            </w:r>
          </w:p>
        </w:tc>
        <w:tc>
          <w:tcPr>
            <w:tcW w:w="1134" w:type="dxa"/>
            <w:noWrap/>
            <w:hideMark/>
          </w:tcPr>
          <w:p w14:paraId="162E0BB4" w14:textId="77777777" w:rsidR="00087B91" w:rsidRPr="002029AF" w:rsidRDefault="00087B91" w:rsidP="00860E95">
            <w:pPr>
              <w:pStyle w:val="ARfintablebodyrightbold"/>
            </w:pPr>
          </w:p>
        </w:tc>
        <w:tc>
          <w:tcPr>
            <w:tcW w:w="1134" w:type="dxa"/>
            <w:noWrap/>
            <w:hideMark/>
          </w:tcPr>
          <w:p w14:paraId="7F83BD05" w14:textId="77777777" w:rsidR="00087B91" w:rsidRPr="002029AF" w:rsidRDefault="00087B91" w:rsidP="00860E95">
            <w:pPr>
              <w:pStyle w:val="ARfintablebodyrightbold"/>
            </w:pPr>
          </w:p>
        </w:tc>
        <w:tc>
          <w:tcPr>
            <w:tcW w:w="1134" w:type="dxa"/>
            <w:noWrap/>
            <w:hideMark/>
          </w:tcPr>
          <w:p w14:paraId="7BF777B4" w14:textId="77777777" w:rsidR="00087B91" w:rsidRPr="002029AF" w:rsidRDefault="00087B91" w:rsidP="00860E95">
            <w:pPr>
              <w:pStyle w:val="ARfintablebodyrightbold"/>
            </w:pPr>
            <w:r w:rsidRPr="002029AF">
              <w:t>18.4</w:t>
            </w:r>
          </w:p>
        </w:tc>
      </w:tr>
    </w:tbl>
    <w:p w14:paraId="3545A551" w14:textId="77777777" w:rsidR="00087B91" w:rsidRPr="002029AF" w:rsidRDefault="00087B91" w:rsidP="00087B91">
      <w:pPr>
        <w:pStyle w:val="ARfinbody"/>
      </w:pPr>
      <w:r w:rsidRPr="002029AF">
        <w:br w:type="page"/>
      </w:r>
    </w:p>
    <w:p w14:paraId="4BE3E233" w14:textId="31A035DE" w:rsidR="00087B91" w:rsidRPr="002029AF" w:rsidRDefault="00087B91" w:rsidP="00087B91">
      <w:pPr>
        <w:pStyle w:val="Heading3"/>
      </w:pPr>
      <w:bookmarkStart w:id="340" w:name="_Toc39242143"/>
      <w:bookmarkStart w:id="341" w:name="_Toc51235516"/>
      <w:bookmarkStart w:id="342" w:name="_Ref52283808"/>
      <w:bookmarkStart w:id="343" w:name="_Ref52284219"/>
      <w:bookmarkStart w:id="344" w:name="_Toc54690815"/>
      <w:r w:rsidRPr="002029AF">
        <w:lastRenderedPageBreak/>
        <w:t>5.</w:t>
      </w:r>
      <w:r w:rsidR="000A5329" w:rsidRPr="002029AF">
        <w:t xml:space="preserve"> </w:t>
      </w:r>
      <w:r w:rsidRPr="002029AF">
        <w:t>Key</w:t>
      </w:r>
      <w:r w:rsidR="000A5329" w:rsidRPr="002029AF">
        <w:t xml:space="preserve"> </w:t>
      </w:r>
      <w:r w:rsidRPr="002029AF">
        <w:t>assets</w:t>
      </w:r>
      <w:r w:rsidR="000A5329" w:rsidRPr="002029AF">
        <w:t xml:space="preserve"> </w:t>
      </w:r>
      <w:r w:rsidRPr="002029AF">
        <w:t>available</w:t>
      </w:r>
      <w:r w:rsidR="000A5329" w:rsidRPr="002029AF">
        <w:t xml:space="preserve"> </w:t>
      </w:r>
      <w:r w:rsidRPr="002029AF">
        <w:t>to</w:t>
      </w:r>
      <w:r w:rsidR="000A5329" w:rsidRPr="002029AF">
        <w:t xml:space="preserve"> </w:t>
      </w:r>
      <w:r w:rsidRPr="002029AF">
        <w:t>support</w:t>
      </w:r>
      <w:r w:rsidR="000A5329" w:rsidRPr="002029AF">
        <w:t xml:space="preserve"> </w:t>
      </w:r>
      <w:r w:rsidRPr="002029AF">
        <w:t>output</w:t>
      </w:r>
      <w:r w:rsidR="000A5329" w:rsidRPr="002029AF">
        <w:t xml:space="preserve"> </w:t>
      </w:r>
      <w:r w:rsidRPr="002029AF">
        <w:t>delivery</w:t>
      </w:r>
      <w:bookmarkEnd w:id="340"/>
      <w:bookmarkEnd w:id="341"/>
      <w:bookmarkEnd w:id="342"/>
      <w:bookmarkEnd w:id="343"/>
      <w:bookmarkEnd w:id="344"/>
    </w:p>
    <w:p w14:paraId="0069AD33" w14:textId="77777777" w:rsidR="00087B91" w:rsidRPr="002029AF" w:rsidRDefault="00087B91" w:rsidP="00087B91">
      <w:pPr>
        <w:pStyle w:val="Heading4"/>
      </w:pPr>
      <w:r w:rsidRPr="002029AF">
        <w:t>Introduction</w:t>
      </w:r>
    </w:p>
    <w:p w14:paraId="71263BDD" w14:textId="2E5B6A12" w:rsidR="00087B91" w:rsidRPr="002029AF" w:rsidRDefault="00087B91" w:rsidP="00087B91">
      <w:pPr>
        <w:pStyle w:val="ARfinbody"/>
      </w:pPr>
      <w:r w:rsidRPr="002029AF">
        <w:t>The</w:t>
      </w:r>
      <w:r w:rsidR="000A5329" w:rsidRPr="002029AF">
        <w:t xml:space="preserve"> </w:t>
      </w:r>
      <w:r w:rsidRPr="002029AF">
        <w:t>department</w:t>
      </w:r>
      <w:r w:rsidR="000A5329" w:rsidRPr="002029AF">
        <w:t xml:space="preserve"> </w:t>
      </w:r>
      <w:r w:rsidRPr="002029AF">
        <w:t>controls</w:t>
      </w:r>
      <w:r w:rsidR="000A5329" w:rsidRPr="002029AF">
        <w:t xml:space="preserve"> </w:t>
      </w:r>
      <w:r w:rsidRPr="002029AF">
        <w:t>infrastructure</w:t>
      </w:r>
      <w:r w:rsidR="000A5329" w:rsidRPr="002029AF">
        <w:t xml:space="preserve"> </w:t>
      </w:r>
      <w:r w:rsidRPr="002029AF">
        <w:t>and</w:t>
      </w:r>
      <w:r w:rsidR="000A5329" w:rsidRPr="002029AF">
        <w:t xml:space="preserve"> </w:t>
      </w:r>
      <w:r w:rsidRPr="002029AF">
        <w:t>other</w:t>
      </w:r>
      <w:r w:rsidR="000A5329" w:rsidRPr="002029AF">
        <w:t xml:space="preserve"> </w:t>
      </w:r>
      <w:r w:rsidRPr="002029AF">
        <w:t>investments</w:t>
      </w:r>
      <w:r w:rsidR="000A5329" w:rsidRPr="002029AF">
        <w:t xml:space="preserve"> </w:t>
      </w:r>
      <w:r w:rsidRPr="002029AF">
        <w:t>that</w:t>
      </w:r>
      <w:r w:rsidR="000A5329" w:rsidRPr="002029AF">
        <w:t xml:space="preserve"> </w:t>
      </w:r>
      <w:r w:rsidRPr="002029AF">
        <w:t>are</w:t>
      </w:r>
      <w:r w:rsidR="000A5329" w:rsidRPr="002029AF">
        <w:t xml:space="preserve"> </w:t>
      </w:r>
      <w:r w:rsidRPr="002029AF">
        <w:t>utilised</w:t>
      </w:r>
      <w:r w:rsidR="000A5329" w:rsidRPr="002029AF">
        <w:t xml:space="preserve"> </w:t>
      </w:r>
      <w:r w:rsidRPr="002029AF">
        <w:t>in</w:t>
      </w:r>
      <w:r w:rsidR="000A5329" w:rsidRPr="002029AF">
        <w:t xml:space="preserve"> </w:t>
      </w:r>
      <w:r w:rsidRPr="002029AF">
        <w:t>fulfilling</w:t>
      </w:r>
      <w:r w:rsidR="000A5329" w:rsidRPr="002029AF">
        <w:t xml:space="preserve"> </w:t>
      </w:r>
      <w:r w:rsidRPr="002029AF">
        <w:t>its</w:t>
      </w:r>
      <w:r w:rsidR="000A5329" w:rsidRPr="002029AF">
        <w:t xml:space="preserve"> </w:t>
      </w:r>
      <w:r w:rsidRPr="002029AF">
        <w:t>objectives</w:t>
      </w:r>
      <w:r w:rsidR="000A5329" w:rsidRPr="002029AF">
        <w:t xml:space="preserve"> </w:t>
      </w:r>
      <w:r w:rsidRPr="002029AF">
        <w:t>and</w:t>
      </w:r>
      <w:r w:rsidR="000A5329" w:rsidRPr="002029AF">
        <w:t xml:space="preserve"> </w:t>
      </w:r>
      <w:r w:rsidRPr="002029AF">
        <w:t>conducting</w:t>
      </w:r>
      <w:r w:rsidR="000A5329" w:rsidRPr="002029AF">
        <w:t xml:space="preserve"> </w:t>
      </w:r>
      <w:r w:rsidRPr="002029AF">
        <w:t>its</w:t>
      </w:r>
      <w:r w:rsidR="000A5329" w:rsidRPr="002029AF">
        <w:t xml:space="preserve"> </w:t>
      </w:r>
      <w:r w:rsidRPr="002029AF">
        <w:t>activities.</w:t>
      </w:r>
      <w:r w:rsidR="000A5329" w:rsidRPr="002029AF">
        <w:t xml:space="preserve"> </w:t>
      </w:r>
      <w:r w:rsidRPr="002029AF">
        <w:t>They</w:t>
      </w:r>
      <w:r w:rsidR="007920F7" w:rsidRPr="002029AF">
        <w:t> </w:t>
      </w:r>
      <w:r w:rsidRPr="002029AF">
        <w:t>represent</w:t>
      </w:r>
      <w:r w:rsidR="000A5329" w:rsidRPr="002029AF">
        <w:t xml:space="preserve"> </w:t>
      </w:r>
      <w:r w:rsidRPr="002029AF">
        <w:t>the</w:t>
      </w:r>
      <w:r w:rsidR="000A5329" w:rsidRPr="002029AF">
        <w:t xml:space="preserve"> </w:t>
      </w:r>
      <w:r w:rsidRPr="002029AF">
        <w:t>key</w:t>
      </w:r>
      <w:r w:rsidR="000A5329" w:rsidRPr="002029AF">
        <w:t xml:space="preserve"> </w:t>
      </w:r>
      <w:r w:rsidRPr="002029AF">
        <w:t>resources</w:t>
      </w:r>
      <w:r w:rsidR="000A5329" w:rsidRPr="002029AF">
        <w:t xml:space="preserve"> </w:t>
      </w:r>
      <w:r w:rsidRPr="002029AF">
        <w:t>that</w:t>
      </w:r>
      <w:r w:rsidR="000A5329" w:rsidRPr="002029AF">
        <w:t xml:space="preserve"> </w:t>
      </w:r>
      <w:r w:rsidRPr="002029AF">
        <w:t>have</w:t>
      </w:r>
      <w:r w:rsidR="000A5329" w:rsidRPr="002029AF">
        <w:t xml:space="preserve"> </w:t>
      </w:r>
      <w:r w:rsidRPr="002029AF">
        <w:t>been</w:t>
      </w:r>
      <w:r w:rsidR="000A5329" w:rsidRPr="002029AF">
        <w:t xml:space="preserve"> </w:t>
      </w:r>
      <w:r w:rsidRPr="002029AF">
        <w:t>entrusted</w:t>
      </w:r>
      <w:r w:rsidR="000A5329" w:rsidRPr="002029AF">
        <w:t xml:space="preserve"> </w:t>
      </w:r>
      <w:r w:rsidRPr="002029AF">
        <w:t>to</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to</w:t>
      </w:r>
      <w:r w:rsidR="000A5329" w:rsidRPr="002029AF">
        <w:t xml:space="preserve"> </w:t>
      </w:r>
      <w:r w:rsidRPr="002029AF">
        <w:t>be</w:t>
      </w:r>
      <w:r w:rsidR="000A5329" w:rsidRPr="002029AF">
        <w:t xml:space="preserve"> </w:t>
      </w:r>
      <w:r w:rsidRPr="002029AF">
        <w:t>utilised</w:t>
      </w:r>
      <w:r w:rsidR="000A5329" w:rsidRPr="002029AF">
        <w:t xml:space="preserve"> </w:t>
      </w:r>
      <w:r w:rsidRPr="002029AF">
        <w:t>for</w:t>
      </w:r>
      <w:r w:rsidR="000A5329" w:rsidRPr="002029AF">
        <w:t xml:space="preserve"> </w:t>
      </w:r>
      <w:r w:rsidRPr="002029AF">
        <w:t>delivery</w:t>
      </w:r>
      <w:r w:rsidR="000A5329" w:rsidRPr="002029AF">
        <w:t xml:space="preserve"> </w:t>
      </w:r>
      <w:r w:rsidRPr="002029AF">
        <w:t>of</w:t>
      </w:r>
      <w:r w:rsidR="000A5329" w:rsidRPr="002029AF">
        <w:t xml:space="preserve"> </w:t>
      </w:r>
      <w:r w:rsidRPr="002029AF">
        <w:t>those</w:t>
      </w:r>
      <w:r w:rsidR="000A5329" w:rsidRPr="002029AF">
        <w:t xml:space="preserve"> </w:t>
      </w:r>
      <w:r w:rsidRPr="002029AF">
        <w:t>outputs.</w:t>
      </w:r>
    </w:p>
    <w:p w14:paraId="62D39248" w14:textId="77777777" w:rsidR="00087B91" w:rsidRPr="002029AF" w:rsidRDefault="00087B91" w:rsidP="00087B91">
      <w:pPr>
        <w:pStyle w:val="Heading4"/>
      </w:pPr>
      <w:r w:rsidRPr="002029AF">
        <w:t>Structure</w:t>
      </w:r>
    </w:p>
    <w:p w14:paraId="699FCC44" w14:textId="64AEB27A" w:rsidR="00087B91" w:rsidRPr="002029AF" w:rsidRDefault="00087B91" w:rsidP="00087B91">
      <w:pPr>
        <w:pStyle w:val="ARfinstructure1"/>
      </w:pPr>
      <w:r w:rsidRPr="002029AF">
        <w:t>5.1</w:t>
      </w:r>
      <w:r w:rsidRPr="002029AF">
        <w:tab/>
        <w:t>Total</w:t>
      </w:r>
      <w:r w:rsidR="000A5329" w:rsidRPr="002029AF">
        <w:t xml:space="preserve"> </w:t>
      </w:r>
      <w:r w:rsidRPr="002029AF">
        <w:t>property,</w:t>
      </w:r>
      <w:r w:rsidR="000A5329" w:rsidRPr="002029AF">
        <w:t xml:space="preserve"> </w:t>
      </w:r>
      <w:r w:rsidRPr="002029AF">
        <w:t>plant</w:t>
      </w:r>
      <w:r w:rsidR="000A5329" w:rsidRPr="002029AF">
        <w:t xml:space="preserve"> </w:t>
      </w:r>
      <w:r w:rsidRPr="002029AF">
        <w:t>and</w:t>
      </w:r>
      <w:r w:rsidR="000A5329" w:rsidRPr="002029AF">
        <w:t xml:space="preserve"> </w:t>
      </w:r>
      <w:r w:rsidRPr="002029AF">
        <w:t>equipment</w:t>
      </w:r>
    </w:p>
    <w:p w14:paraId="326C2D10" w14:textId="119F0953" w:rsidR="00087B91" w:rsidRPr="002029AF" w:rsidRDefault="00087B91">
      <w:pPr>
        <w:pStyle w:val="ARfinstructure2"/>
      </w:pPr>
      <w:r w:rsidRPr="002029AF">
        <w:t>5.1(a)</w:t>
      </w:r>
      <w:r w:rsidRPr="002029AF">
        <w:tab/>
        <w:t>Total</w:t>
      </w:r>
      <w:r w:rsidR="000A5329" w:rsidRPr="002029AF">
        <w:t xml:space="preserve"> </w:t>
      </w:r>
      <w:r w:rsidRPr="002029AF">
        <w:t>right-of-use</w:t>
      </w:r>
      <w:r w:rsidR="000A5329" w:rsidRPr="002029AF">
        <w:t xml:space="preserve"> </w:t>
      </w:r>
      <w:r w:rsidRPr="002029AF">
        <w:t>assets</w:t>
      </w:r>
    </w:p>
    <w:p w14:paraId="7B0988EA" w14:textId="1881819E" w:rsidR="00087B91" w:rsidRPr="002029AF" w:rsidRDefault="00087B91">
      <w:pPr>
        <w:pStyle w:val="ARfinstructure2"/>
      </w:pPr>
      <w:r w:rsidRPr="002029AF">
        <w:t>5.1(b)</w:t>
      </w:r>
      <w:r w:rsidRPr="002029AF">
        <w:tab/>
        <w:t>Total</w:t>
      </w:r>
      <w:r w:rsidR="000A5329" w:rsidRPr="002029AF">
        <w:t xml:space="preserve"> </w:t>
      </w:r>
      <w:r w:rsidRPr="002029AF">
        <w:t>service</w:t>
      </w:r>
      <w:r w:rsidR="000A5329" w:rsidRPr="002029AF">
        <w:t xml:space="preserve"> </w:t>
      </w:r>
      <w:r w:rsidRPr="002029AF">
        <w:t>concession</w:t>
      </w:r>
      <w:r w:rsidR="000A5329" w:rsidRPr="002029AF">
        <w:t xml:space="preserve"> </w:t>
      </w:r>
      <w:r w:rsidRPr="002029AF">
        <w:t>assets</w:t>
      </w:r>
    </w:p>
    <w:p w14:paraId="37D66B80" w14:textId="0CFFD3E4" w:rsidR="00087B91" w:rsidRPr="002029AF" w:rsidRDefault="00087B91" w:rsidP="00961519">
      <w:pPr>
        <w:pStyle w:val="ARfinstructure2"/>
        <w:ind w:left="720"/>
      </w:pPr>
      <w:r w:rsidRPr="002029AF">
        <w:t>5.1.1</w:t>
      </w:r>
      <w:r w:rsidRPr="002029AF">
        <w:tab/>
        <w:t>Depreciation</w:t>
      </w:r>
      <w:r w:rsidR="000A5329" w:rsidRPr="002029AF">
        <w:t xml:space="preserve"> </w:t>
      </w:r>
      <w:r w:rsidRPr="002029AF">
        <w:t>and</w:t>
      </w:r>
      <w:r w:rsidR="000A5329" w:rsidRPr="002029AF">
        <w:t xml:space="preserve"> </w:t>
      </w:r>
      <w:r w:rsidRPr="002029AF">
        <w:t>amortisation</w:t>
      </w:r>
    </w:p>
    <w:p w14:paraId="37E6D5F5" w14:textId="0B328D2C" w:rsidR="00087B91" w:rsidRPr="002029AF" w:rsidRDefault="00087B91" w:rsidP="00961519">
      <w:pPr>
        <w:pStyle w:val="ARfinstructure2"/>
        <w:ind w:left="720"/>
      </w:pPr>
      <w:r w:rsidRPr="002029AF">
        <w:t>5.1.2</w:t>
      </w:r>
      <w:r w:rsidRPr="002029AF">
        <w:tab/>
        <w:t>Carrying</w:t>
      </w:r>
      <w:r w:rsidR="000A5329" w:rsidRPr="002029AF">
        <w:t xml:space="preserve"> </w:t>
      </w:r>
      <w:r w:rsidRPr="002029AF">
        <w:t>values</w:t>
      </w:r>
      <w:r w:rsidR="000A5329" w:rsidRPr="002029AF">
        <w:t xml:space="preserve"> </w:t>
      </w:r>
      <w:r w:rsidRPr="002029AF">
        <w:t>by</w:t>
      </w:r>
      <w:r w:rsidR="000A5329" w:rsidRPr="002029AF">
        <w:t xml:space="preserve"> </w:t>
      </w:r>
      <w:r w:rsidRPr="002029AF">
        <w:t>‘purpose’</w:t>
      </w:r>
      <w:r w:rsidR="000A5329" w:rsidRPr="002029AF">
        <w:t xml:space="preserve"> </w:t>
      </w:r>
      <w:r w:rsidRPr="002029AF">
        <w:t>groups</w:t>
      </w:r>
    </w:p>
    <w:p w14:paraId="2DAAE448" w14:textId="500BFEC1" w:rsidR="00087B91" w:rsidRPr="002029AF" w:rsidRDefault="00087B91" w:rsidP="00961519">
      <w:pPr>
        <w:pStyle w:val="ARfinstructure2"/>
        <w:ind w:left="720"/>
      </w:pPr>
      <w:r w:rsidRPr="002029AF">
        <w:t>5.1.3</w:t>
      </w:r>
      <w:r w:rsidRPr="002029AF">
        <w:tab/>
        <w:t>Reconciliation</w:t>
      </w:r>
      <w:r w:rsidR="000A5329" w:rsidRPr="002029AF">
        <w:t xml:space="preserve"> </w:t>
      </w:r>
      <w:r w:rsidRPr="002029AF">
        <w:t>of</w:t>
      </w:r>
      <w:r w:rsidR="000A5329" w:rsidRPr="002029AF">
        <w:t xml:space="preserve"> </w:t>
      </w:r>
      <w:r w:rsidRPr="002029AF">
        <w:t>movements</w:t>
      </w:r>
      <w:r w:rsidR="000A5329" w:rsidRPr="002029AF">
        <w:t xml:space="preserve"> </w:t>
      </w:r>
      <w:r w:rsidRPr="002029AF">
        <w:t>in</w:t>
      </w:r>
      <w:r w:rsidR="000A5329" w:rsidRPr="002029AF">
        <w:t xml:space="preserve"> </w:t>
      </w:r>
      <w:r w:rsidRPr="002029AF">
        <w:t>carrying</w:t>
      </w:r>
      <w:r w:rsidR="000A5329" w:rsidRPr="002029AF">
        <w:t xml:space="preserve"> </w:t>
      </w:r>
      <w:r w:rsidRPr="002029AF">
        <w:t>values</w:t>
      </w:r>
      <w:r w:rsidR="000A5329" w:rsidRPr="002029AF">
        <w:t xml:space="preserve"> </w:t>
      </w:r>
      <w:r w:rsidRPr="002029AF">
        <w:t>of</w:t>
      </w:r>
      <w:r w:rsidR="000A5329" w:rsidRPr="002029AF">
        <w:t xml:space="preserve"> </w:t>
      </w:r>
      <w:r w:rsidRPr="002029AF">
        <w:t>property,</w:t>
      </w:r>
      <w:r w:rsidR="000A5329" w:rsidRPr="002029AF">
        <w:t xml:space="preserve"> </w:t>
      </w:r>
      <w:r w:rsidRPr="002029AF">
        <w:t>plant</w:t>
      </w:r>
      <w:r w:rsidR="000A5329" w:rsidRPr="002029AF">
        <w:t xml:space="preserve"> </w:t>
      </w:r>
      <w:r w:rsidRPr="002029AF">
        <w:t>and</w:t>
      </w:r>
      <w:r w:rsidR="000A5329" w:rsidRPr="002029AF">
        <w:t xml:space="preserve"> </w:t>
      </w:r>
      <w:r w:rsidRPr="002029AF">
        <w:t>equipment</w:t>
      </w:r>
    </w:p>
    <w:p w14:paraId="1004748D" w14:textId="635E37DF" w:rsidR="00087B91" w:rsidRPr="002029AF" w:rsidRDefault="00087B91" w:rsidP="00961519">
      <w:pPr>
        <w:pStyle w:val="ARfinstructure2"/>
        <w:ind w:left="709" w:hanging="709"/>
      </w:pPr>
      <w:r w:rsidRPr="002029AF">
        <w:t>5.2</w:t>
      </w:r>
      <w:r w:rsidRPr="002029AF">
        <w:tab/>
        <w:t>Intangible</w:t>
      </w:r>
      <w:r w:rsidR="000A5329" w:rsidRPr="002029AF">
        <w:t xml:space="preserve"> </w:t>
      </w:r>
      <w:r w:rsidRPr="002029AF">
        <w:t>assets</w:t>
      </w:r>
    </w:p>
    <w:p w14:paraId="15F80943" w14:textId="6F7BE8AC" w:rsidR="00087B91" w:rsidRPr="002029AF" w:rsidRDefault="00087B91" w:rsidP="00961519">
      <w:pPr>
        <w:pStyle w:val="ARfinstructure2"/>
        <w:ind w:left="709" w:hanging="709"/>
      </w:pPr>
      <w:r w:rsidRPr="002029AF">
        <w:t>5.3</w:t>
      </w:r>
      <w:r w:rsidRPr="002029AF">
        <w:tab/>
        <w:t>Investments</w:t>
      </w:r>
      <w:r w:rsidR="000A5329" w:rsidRPr="002029AF">
        <w:t xml:space="preserve"> </w:t>
      </w:r>
      <w:r w:rsidRPr="002029AF">
        <w:t>accounted</w:t>
      </w:r>
      <w:r w:rsidR="000A5329" w:rsidRPr="002029AF">
        <w:t xml:space="preserve"> </w:t>
      </w:r>
      <w:r w:rsidRPr="002029AF">
        <w:t>for</w:t>
      </w:r>
      <w:r w:rsidR="000A5329" w:rsidRPr="002029AF">
        <w:t xml:space="preserve"> </w:t>
      </w:r>
      <w:r w:rsidRPr="002029AF">
        <w:t>using</w:t>
      </w:r>
      <w:r w:rsidR="000A5329" w:rsidRPr="002029AF">
        <w:t xml:space="preserve"> </w:t>
      </w:r>
      <w:r w:rsidRPr="002029AF">
        <w:t>the</w:t>
      </w:r>
      <w:r w:rsidR="000A5329" w:rsidRPr="002029AF">
        <w:t xml:space="preserve"> </w:t>
      </w:r>
      <w:r w:rsidRPr="002029AF">
        <w:t>equity</w:t>
      </w:r>
      <w:r w:rsidR="000A5329" w:rsidRPr="002029AF">
        <w:t xml:space="preserve"> </w:t>
      </w:r>
      <w:r w:rsidRPr="002029AF">
        <w:t>method</w:t>
      </w:r>
    </w:p>
    <w:p w14:paraId="6788001E" w14:textId="26908730" w:rsidR="00087B91" w:rsidRPr="002029AF" w:rsidRDefault="00087B91" w:rsidP="00961519">
      <w:pPr>
        <w:pStyle w:val="ARfinstructure2"/>
        <w:ind w:left="709"/>
      </w:pPr>
      <w:r w:rsidRPr="002029AF">
        <w:t>5.3.1</w:t>
      </w:r>
      <w:r w:rsidRPr="002029AF">
        <w:tab/>
        <w:t>Details</w:t>
      </w:r>
      <w:r w:rsidR="000A5329" w:rsidRPr="002029AF">
        <w:t xml:space="preserve"> </w:t>
      </w:r>
      <w:r w:rsidRPr="002029AF">
        <w:t>of</w:t>
      </w:r>
      <w:r w:rsidR="000A5329" w:rsidRPr="002029AF">
        <w:t xml:space="preserve"> </w:t>
      </w:r>
      <w:r w:rsidRPr="002029AF">
        <w:t>joint</w:t>
      </w:r>
      <w:r w:rsidR="000A5329" w:rsidRPr="002029AF">
        <w:t xml:space="preserve"> </w:t>
      </w:r>
      <w:r w:rsidRPr="002029AF">
        <w:t>venture</w:t>
      </w:r>
    </w:p>
    <w:p w14:paraId="67796240" w14:textId="76478DEA" w:rsidR="00087B91" w:rsidRPr="002029AF" w:rsidRDefault="00087B91" w:rsidP="00087B91">
      <w:pPr>
        <w:pStyle w:val="ARfinstructure1"/>
      </w:pPr>
      <w:r w:rsidRPr="002029AF">
        <w:t>5.4</w:t>
      </w:r>
      <w:r w:rsidRPr="002029AF">
        <w:tab/>
        <w:t>Short-term</w:t>
      </w:r>
      <w:r w:rsidR="000A5329" w:rsidRPr="002029AF">
        <w:t xml:space="preserve"> </w:t>
      </w:r>
      <w:r w:rsidRPr="002029AF">
        <w:t>investments</w:t>
      </w:r>
      <w:r w:rsidR="000A5329" w:rsidRPr="002029AF">
        <w:t xml:space="preserve"> </w:t>
      </w:r>
      <w:r w:rsidRPr="002029AF">
        <w:t>–</w:t>
      </w:r>
      <w:r w:rsidR="000A5329" w:rsidRPr="002029AF">
        <w:t xml:space="preserve"> </w:t>
      </w:r>
      <w:r w:rsidRPr="002029AF">
        <w:t>term</w:t>
      </w:r>
      <w:r w:rsidR="000A5329" w:rsidRPr="002029AF">
        <w:t xml:space="preserve"> </w:t>
      </w:r>
      <w:r w:rsidRPr="002029AF">
        <w:t>deposits</w:t>
      </w:r>
    </w:p>
    <w:p w14:paraId="36BB2BE9" w14:textId="4F0B83BA" w:rsidR="00087B91" w:rsidRPr="002029AF" w:rsidRDefault="00087B91" w:rsidP="00087B91">
      <w:pPr>
        <w:pStyle w:val="Heading4"/>
      </w:pPr>
      <w:bookmarkStart w:id="345" w:name="_Toc39242144"/>
      <w:r w:rsidRPr="002029AF">
        <w:t>5.1</w:t>
      </w:r>
      <w:r w:rsidR="000A5329" w:rsidRPr="002029AF">
        <w:t xml:space="preserve"> </w:t>
      </w:r>
      <w:r w:rsidRPr="002029AF">
        <w:t>Total</w:t>
      </w:r>
      <w:r w:rsidR="000A5329" w:rsidRPr="002029AF">
        <w:t xml:space="preserve"> </w:t>
      </w:r>
      <w:r w:rsidRPr="002029AF">
        <w:t>property,</w:t>
      </w:r>
      <w:r w:rsidR="000A5329" w:rsidRPr="002029AF">
        <w:t xml:space="preserve"> </w:t>
      </w:r>
      <w:r w:rsidRPr="002029AF">
        <w:t>plant</w:t>
      </w:r>
      <w:r w:rsidR="000A5329" w:rsidRPr="002029AF">
        <w:t xml:space="preserve"> </w:t>
      </w:r>
      <w:r w:rsidRPr="002029AF">
        <w:t>and</w:t>
      </w:r>
      <w:r w:rsidR="000A5329" w:rsidRPr="002029AF">
        <w:t xml:space="preserve"> </w:t>
      </w:r>
      <w:r w:rsidRPr="002029AF">
        <w:t>equipment</w:t>
      </w:r>
      <w:bookmarkEnd w:id="345"/>
      <w:r w:rsidR="000A5329" w:rsidRPr="002029AF">
        <w:t xml:space="preserve"> </w:t>
      </w:r>
      <w:r w:rsidRPr="002029AF">
        <w:rPr>
          <w:rStyle w:val="Superscript"/>
        </w:rPr>
        <w:t>(i)(ii)</w:t>
      </w:r>
    </w:p>
    <w:tbl>
      <w:tblPr>
        <w:tblStyle w:val="TableGrid"/>
        <w:tblW w:w="9637" w:type="dxa"/>
        <w:tblLayout w:type="fixed"/>
        <w:tblLook w:val="06A0" w:firstRow="1" w:lastRow="0" w:firstColumn="1" w:lastColumn="0" w:noHBand="1" w:noVBand="1"/>
      </w:tblPr>
      <w:tblGrid>
        <w:gridCol w:w="3512"/>
        <w:gridCol w:w="1020"/>
        <w:gridCol w:w="1021"/>
        <w:gridCol w:w="1021"/>
        <w:gridCol w:w="1021"/>
        <w:gridCol w:w="1021"/>
        <w:gridCol w:w="1021"/>
      </w:tblGrid>
      <w:tr w:rsidR="00087B91" w:rsidRPr="002029AF" w14:paraId="24429652"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3515" w:type="dxa"/>
            <w:vMerge w:val="restart"/>
            <w:noWrap/>
            <w:hideMark/>
          </w:tcPr>
          <w:p w14:paraId="45904A62" w14:textId="77777777" w:rsidR="00087B91" w:rsidRPr="002029AF" w:rsidRDefault="00087B91" w:rsidP="00860E95">
            <w:pPr>
              <w:pStyle w:val="ARfintablecolhead"/>
            </w:pPr>
          </w:p>
        </w:tc>
        <w:tc>
          <w:tcPr>
            <w:tcW w:w="1021" w:type="dxa"/>
            <w:gridSpan w:val="2"/>
            <w:hideMark/>
          </w:tcPr>
          <w:p w14:paraId="4B82690B" w14:textId="44D4E9F2" w:rsidR="00087B91" w:rsidRPr="002029AF" w:rsidRDefault="00087B91" w:rsidP="00860E95">
            <w:pPr>
              <w:pStyle w:val="ARfintablecolheadcentre"/>
            </w:pPr>
            <w:r w:rsidRPr="002029AF">
              <w:t>Gross</w:t>
            </w:r>
            <w:r w:rsidR="000A5329" w:rsidRPr="002029AF">
              <w:t xml:space="preserve"> </w:t>
            </w:r>
            <w:r w:rsidRPr="002029AF">
              <w:t>carrying</w:t>
            </w:r>
            <w:r w:rsidR="000A5329" w:rsidRPr="002029AF">
              <w:t xml:space="preserve"> </w:t>
            </w:r>
            <w:r w:rsidRPr="002029AF">
              <w:t>amount</w:t>
            </w:r>
          </w:p>
        </w:tc>
        <w:tc>
          <w:tcPr>
            <w:tcW w:w="1021" w:type="dxa"/>
            <w:gridSpan w:val="2"/>
            <w:hideMark/>
          </w:tcPr>
          <w:p w14:paraId="6504A3DC" w14:textId="59A74A77" w:rsidR="00087B91" w:rsidRPr="002029AF" w:rsidRDefault="00087B91" w:rsidP="00860E95">
            <w:pPr>
              <w:pStyle w:val="ARfintablecolheadcentre"/>
            </w:pPr>
            <w:r w:rsidRPr="002029AF">
              <w:t>Accumulated</w:t>
            </w:r>
            <w:r w:rsidR="000A5329" w:rsidRPr="002029AF">
              <w:t xml:space="preserve"> </w:t>
            </w:r>
            <w:r w:rsidRPr="002029AF">
              <w:t>depreciation</w:t>
            </w:r>
          </w:p>
        </w:tc>
        <w:tc>
          <w:tcPr>
            <w:tcW w:w="1021" w:type="dxa"/>
            <w:gridSpan w:val="2"/>
            <w:hideMark/>
          </w:tcPr>
          <w:p w14:paraId="7E0F1918" w14:textId="3A1C000C" w:rsidR="00087B91" w:rsidRPr="002029AF" w:rsidRDefault="00087B91" w:rsidP="00860E95">
            <w:pPr>
              <w:pStyle w:val="ARfintablecolheadcentre"/>
            </w:pPr>
            <w:r w:rsidRPr="002029AF">
              <w:t>Net</w:t>
            </w:r>
            <w:r w:rsidR="000A5329" w:rsidRPr="002029AF">
              <w:t xml:space="preserve"> </w:t>
            </w:r>
            <w:r w:rsidRPr="002029AF">
              <w:t>carrying</w:t>
            </w:r>
            <w:r w:rsidR="000A5329" w:rsidRPr="002029AF">
              <w:t xml:space="preserve"> </w:t>
            </w:r>
            <w:r w:rsidRPr="002029AF">
              <w:br/>
              <w:t>amount</w:t>
            </w:r>
          </w:p>
        </w:tc>
      </w:tr>
      <w:tr w:rsidR="00087B91" w:rsidRPr="002029AF" w14:paraId="3D778919"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3515" w:type="dxa"/>
            <w:vMerge/>
            <w:tcBorders>
              <w:bottom w:val="single" w:sz="4" w:space="0" w:color="auto"/>
            </w:tcBorders>
            <w:hideMark/>
          </w:tcPr>
          <w:p w14:paraId="298D9125" w14:textId="77777777" w:rsidR="00087B91" w:rsidRPr="002029AF" w:rsidRDefault="00087B91" w:rsidP="00860E95">
            <w:pPr>
              <w:pStyle w:val="ARfintablecolhead"/>
            </w:pPr>
          </w:p>
        </w:tc>
        <w:tc>
          <w:tcPr>
            <w:tcW w:w="1021" w:type="dxa"/>
            <w:tcBorders>
              <w:bottom w:val="single" w:sz="4" w:space="0" w:color="auto"/>
            </w:tcBorders>
            <w:shd w:val="clear" w:color="auto" w:fill="E7E6E6"/>
            <w:hideMark/>
          </w:tcPr>
          <w:p w14:paraId="37060B9D" w14:textId="77777777" w:rsidR="00087B91" w:rsidRPr="002029AF" w:rsidRDefault="00087B91" w:rsidP="00860E95">
            <w:pPr>
              <w:pStyle w:val="ARfintablecolheadright"/>
            </w:pPr>
            <w:r w:rsidRPr="002029AF">
              <w:t>2020</w:t>
            </w:r>
          </w:p>
          <w:p w14:paraId="7DF85156" w14:textId="77777777" w:rsidR="00087B91" w:rsidRPr="002029AF" w:rsidRDefault="00087B91" w:rsidP="00860E95">
            <w:pPr>
              <w:pStyle w:val="ARfintablecolheadright"/>
            </w:pPr>
            <w:r w:rsidRPr="002029AF">
              <w:t>$M</w:t>
            </w:r>
          </w:p>
        </w:tc>
        <w:tc>
          <w:tcPr>
            <w:tcW w:w="1021" w:type="dxa"/>
            <w:tcBorders>
              <w:bottom w:val="single" w:sz="4" w:space="0" w:color="auto"/>
            </w:tcBorders>
            <w:hideMark/>
          </w:tcPr>
          <w:p w14:paraId="3A553F23" w14:textId="77777777" w:rsidR="00087B91" w:rsidRPr="002029AF" w:rsidRDefault="00087B91" w:rsidP="00860E95">
            <w:pPr>
              <w:pStyle w:val="ARfintablecolheadright"/>
            </w:pPr>
            <w:r w:rsidRPr="002029AF">
              <w:t>2019</w:t>
            </w:r>
          </w:p>
          <w:p w14:paraId="7363F4F5" w14:textId="77777777" w:rsidR="00087B91" w:rsidRPr="002029AF" w:rsidRDefault="00087B91" w:rsidP="00860E95">
            <w:pPr>
              <w:pStyle w:val="ARfintablecolheadright"/>
            </w:pPr>
            <w:r w:rsidRPr="002029AF">
              <w:t>$M</w:t>
            </w:r>
          </w:p>
        </w:tc>
        <w:tc>
          <w:tcPr>
            <w:tcW w:w="1021" w:type="dxa"/>
            <w:tcBorders>
              <w:bottom w:val="single" w:sz="4" w:space="0" w:color="auto"/>
            </w:tcBorders>
            <w:shd w:val="clear" w:color="auto" w:fill="E7E6E6"/>
            <w:hideMark/>
          </w:tcPr>
          <w:p w14:paraId="5CB953A3" w14:textId="77777777" w:rsidR="00087B91" w:rsidRPr="002029AF" w:rsidRDefault="00087B91" w:rsidP="00860E95">
            <w:pPr>
              <w:pStyle w:val="ARfintablecolheadright"/>
            </w:pPr>
            <w:r w:rsidRPr="002029AF">
              <w:t>2020</w:t>
            </w:r>
          </w:p>
          <w:p w14:paraId="4CCA7F23" w14:textId="77777777" w:rsidR="00087B91" w:rsidRPr="002029AF" w:rsidRDefault="00087B91" w:rsidP="00860E95">
            <w:pPr>
              <w:pStyle w:val="ARfintablecolheadright"/>
            </w:pPr>
            <w:r w:rsidRPr="002029AF">
              <w:t>$M</w:t>
            </w:r>
          </w:p>
        </w:tc>
        <w:tc>
          <w:tcPr>
            <w:tcW w:w="1021" w:type="dxa"/>
            <w:tcBorders>
              <w:bottom w:val="single" w:sz="4" w:space="0" w:color="auto"/>
            </w:tcBorders>
            <w:hideMark/>
          </w:tcPr>
          <w:p w14:paraId="0F7C4346" w14:textId="77777777" w:rsidR="00087B91" w:rsidRPr="002029AF" w:rsidRDefault="00087B91" w:rsidP="00860E95">
            <w:pPr>
              <w:pStyle w:val="ARfintablecolheadright"/>
            </w:pPr>
            <w:r w:rsidRPr="002029AF">
              <w:t>2019</w:t>
            </w:r>
          </w:p>
          <w:p w14:paraId="2D2D9AF0" w14:textId="77777777" w:rsidR="00087B91" w:rsidRPr="002029AF" w:rsidRDefault="00087B91" w:rsidP="00860E95">
            <w:pPr>
              <w:pStyle w:val="ARfintablecolheadright"/>
            </w:pPr>
            <w:r w:rsidRPr="002029AF">
              <w:t>$M</w:t>
            </w:r>
          </w:p>
        </w:tc>
        <w:tc>
          <w:tcPr>
            <w:tcW w:w="1021" w:type="dxa"/>
            <w:tcBorders>
              <w:bottom w:val="single" w:sz="4" w:space="0" w:color="auto"/>
            </w:tcBorders>
            <w:shd w:val="clear" w:color="auto" w:fill="E7E6E6"/>
            <w:hideMark/>
          </w:tcPr>
          <w:p w14:paraId="499DC01B" w14:textId="77777777" w:rsidR="00087B91" w:rsidRPr="002029AF" w:rsidRDefault="00087B91" w:rsidP="00860E95">
            <w:pPr>
              <w:pStyle w:val="ARfintablecolheadright"/>
            </w:pPr>
            <w:r w:rsidRPr="002029AF">
              <w:t>2020</w:t>
            </w:r>
          </w:p>
          <w:p w14:paraId="43DF9A42" w14:textId="77777777" w:rsidR="00087B91" w:rsidRPr="002029AF" w:rsidRDefault="00087B91" w:rsidP="00860E95">
            <w:pPr>
              <w:pStyle w:val="ARfintablecolheadright"/>
            </w:pPr>
            <w:r w:rsidRPr="002029AF">
              <w:t>$M</w:t>
            </w:r>
          </w:p>
        </w:tc>
        <w:tc>
          <w:tcPr>
            <w:tcW w:w="1021" w:type="dxa"/>
            <w:tcBorders>
              <w:bottom w:val="single" w:sz="4" w:space="0" w:color="auto"/>
            </w:tcBorders>
            <w:hideMark/>
          </w:tcPr>
          <w:p w14:paraId="742DB6A2" w14:textId="77777777" w:rsidR="00087B91" w:rsidRPr="002029AF" w:rsidRDefault="00087B91" w:rsidP="00860E95">
            <w:pPr>
              <w:pStyle w:val="ARfintablecolheadright"/>
            </w:pPr>
            <w:r w:rsidRPr="002029AF">
              <w:t>2019</w:t>
            </w:r>
          </w:p>
          <w:p w14:paraId="18C44AD5" w14:textId="77777777" w:rsidR="00087B91" w:rsidRPr="002029AF" w:rsidRDefault="00087B91" w:rsidP="00860E95">
            <w:pPr>
              <w:pStyle w:val="ARfintablecolheadright"/>
            </w:pPr>
            <w:r w:rsidRPr="002029AF">
              <w:t>$M</w:t>
            </w:r>
          </w:p>
        </w:tc>
      </w:tr>
      <w:tr w:rsidR="00087B91" w:rsidRPr="002029AF" w14:paraId="33F953EB" w14:textId="77777777" w:rsidTr="00860E95">
        <w:tc>
          <w:tcPr>
            <w:tcW w:w="3515" w:type="dxa"/>
            <w:tcBorders>
              <w:top w:val="single" w:sz="4" w:space="0" w:color="auto"/>
              <w:bottom w:val="single" w:sz="4" w:space="0" w:color="A6A6A6"/>
            </w:tcBorders>
            <w:hideMark/>
          </w:tcPr>
          <w:p w14:paraId="2DD35502" w14:textId="1D942358" w:rsidR="00087B91" w:rsidRPr="002029AF" w:rsidRDefault="00087B91" w:rsidP="00860E95">
            <w:pPr>
              <w:pStyle w:val="ARfintablebody"/>
            </w:pPr>
            <w:r w:rsidRPr="002029AF">
              <w:t>Land</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tc>
        <w:tc>
          <w:tcPr>
            <w:tcW w:w="1021" w:type="dxa"/>
            <w:tcBorders>
              <w:top w:val="single" w:sz="4" w:space="0" w:color="auto"/>
              <w:bottom w:val="single" w:sz="4" w:space="0" w:color="A6A6A6"/>
            </w:tcBorders>
            <w:shd w:val="clear" w:color="auto" w:fill="E7E6E6"/>
            <w:noWrap/>
            <w:hideMark/>
          </w:tcPr>
          <w:p w14:paraId="1F70E7CC" w14:textId="77777777" w:rsidR="00087B91" w:rsidRPr="002029AF" w:rsidRDefault="00087B91" w:rsidP="00860E95">
            <w:pPr>
              <w:pStyle w:val="ARfintablebodyright"/>
            </w:pPr>
            <w:r w:rsidRPr="002029AF">
              <w:t>18,525.1</w:t>
            </w:r>
          </w:p>
        </w:tc>
        <w:tc>
          <w:tcPr>
            <w:tcW w:w="1021" w:type="dxa"/>
            <w:tcBorders>
              <w:top w:val="single" w:sz="4" w:space="0" w:color="auto"/>
              <w:bottom w:val="single" w:sz="4" w:space="0" w:color="A6A6A6"/>
            </w:tcBorders>
            <w:noWrap/>
            <w:hideMark/>
          </w:tcPr>
          <w:p w14:paraId="49794E2E" w14:textId="77777777" w:rsidR="00087B91" w:rsidRPr="002029AF" w:rsidRDefault="00087B91" w:rsidP="00860E95">
            <w:pPr>
              <w:pStyle w:val="ARfintablebodyright"/>
            </w:pPr>
            <w:r w:rsidRPr="002029AF">
              <w:t>18,514.9</w:t>
            </w:r>
          </w:p>
        </w:tc>
        <w:tc>
          <w:tcPr>
            <w:tcW w:w="1021" w:type="dxa"/>
            <w:tcBorders>
              <w:top w:val="single" w:sz="4" w:space="0" w:color="auto"/>
              <w:bottom w:val="single" w:sz="4" w:space="0" w:color="A6A6A6"/>
            </w:tcBorders>
            <w:shd w:val="clear" w:color="auto" w:fill="E7E6E6"/>
            <w:noWrap/>
            <w:hideMark/>
          </w:tcPr>
          <w:p w14:paraId="4DB92914" w14:textId="77777777" w:rsidR="00087B91" w:rsidRPr="002029AF" w:rsidRDefault="00087B91" w:rsidP="00860E95">
            <w:pPr>
              <w:pStyle w:val="ARfintablebodyright"/>
            </w:pPr>
            <w:r w:rsidRPr="002029AF">
              <w:t>(0.8)</w:t>
            </w:r>
          </w:p>
        </w:tc>
        <w:tc>
          <w:tcPr>
            <w:tcW w:w="1021" w:type="dxa"/>
            <w:tcBorders>
              <w:top w:val="single" w:sz="4" w:space="0" w:color="auto"/>
              <w:bottom w:val="single" w:sz="4" w:space="0" w:color="A6A6A6"/>
            </w:tcBorders>
            <w:noWrap/>
            <w:hideMark/>
          </w:tcPr>
          <w:p w14:paraId="5369D375" w14:textId="77777777" w:rsidR="00087B91" w:rsidRPr="002029AF" w:rsidRDefault="00087B91" w:rsidP="00860E95">
            <w:pPr>
              <w:pStyle w:val="ARfintablebodyright"/>
            </w:pPr>
            <w:r w:rsidRPr="002029AF">
              <w:t>–</w:t>
            </w:r>
          </w:p>
        </w:tc>
        <w:tc>
          <w:tcPr>
            <w:tcW w:w="1021" w:type="dxa"/>
            <w:tcBorders>
              <w:top w:val="single" w:sz="4" w:space="0" w:color="auto"/>
              <w:bottom w:val="single" w:sz="4" w:space="0" w:color="A6A6A6"/>
            </w:tcBorders>
            <w:shd w:val="clear" w:color="auto" w:fill="E7E6E6"/>
            <w:noWrap/>
            <w:hideMark/>
          </w:tcPr>
          <w:p w14:paraId="1DE21EA0" w14:textId="77777777" w:rsidR="00087B91" w:rsidRPr="002029AF" w:rsidRDefault="00087B91" w:rsidP="00860E95">
            <w:pPr>
              <w:pStyle w:val="ARfintablebodyright"/>
            </w:pPr>
            <w:r w:rsidRPr="002029AF">
              <w:t>18,524.3</w:t>
            </w:r>
          </w:p>
        </w:tc>
        <w:tc>
          <w:tcPr>
            <w:tcW w:w="1021" w:type="dxa"/>
            <w:tcBorders>
              <w:top w:val="single" w:sz="4" w:space="0" w:color="auto"/>
              <w:bottom w:val="single" w:sz="4" w:space="0" w:color="A6A6A6"/>
            </w:tcBorders>
            <w:noWrap/>
            <w:hideMark/>
          </w:tcPr>
          <w:p w14:paraId="06BDA1EA" w14:textId="77777777" w:rsidR="00087B91" w:rsidRPr="002029AF" w:rsidRDefault="00087B91" w:rsidP="00860E95">
            <w:pPr>
              <w:pStyle w:val="ARfintablebodyright"/>
            </w:pPr>
            <w:r w:rsidRPr="002029AF">
              <w:t>18,514.9</w:t>
            </w:r>
          </w:p>
        </w:tc>
      </w:tr>
      <w:tr w:rsidR="00087B91" w:rsidRPr="002029AF" w14:paraId="66D4A894" w14:textId="77777777" w:rsidTr="00860E95">
        <w:tc>
          <w:tcPr>
            <w:tcW w:w="3515" w:type="dxa"/>
            <w:tcBorders>
              <w:top w:val="single" w:sz="4" w:space="0" w:color="A6A6A6"/>
              <w:bottom w:val="single" w:sz="4" w:space="0" w:color="A6A6A6"/>
            </w:tcBorders>
            <w:hideMark/>
          </w:tcPr>
          <w:p w14:paraId="7F1523E7" w14:textId="7D6D1A35" w:rsidR="00087B91" w:rsidRPr="002029AF" w:rsidRDefault="00087B91" w:rsidP="00860E95">
            <w:pPr>
              <w:pStyle w:val="ARfintablebody"/>
            </w:pPr>
            <w:r w:rsidRPr="002029AF">
              <w:t>Buildings</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tc>
        <w:tc>
          <w:tcPr>
            <w:tcW w:w="1021" w:type="dxa"/>
            <w:tcBorders>
              <w:top w:val="single" w:sz="4" w:space="0" w:color="A6A6A6"/>
              <w:bottom w:val="single" w:sz="4" w:space="0" w:color="A6A6A6"/>
            </w:tcBorders>
            <w:shd w:val="clear" w:color="auto" w:fill="E7E6E6"/>
            <w:noWrap/>
            <w:hideMark/>
          </w:tcPr>
          <w:p w14:paraId="690F4456" w14:textId="77777777" w:rsidR="00087B91" w:rsidRPr="002029AF" w:rsidRDefault="00087B91" w:rsidP="00860E95">
            <w:pPr>
              <w:pStyle w:val="ARfintablebodyright"/>
            </w:pPr>
            <w:r w:rsidRPr="002029AF">
              <w:t>10,060.0</w:t>
            </w:r>
          </w:p>
        </w:tc>
        <w:tc>
          <w:tcPr>
            <w:tcW w:w="1021" w:type="dxa"/>
            <w:tcBorders>
              <w:top w:val="single" w:sz="4" w:space="0" w:color="A6A6A6"/>
              <w:bottom w:val="single" w:sz="4" w:space="0" w:color="A6A6A6"/>
            </w:tcBorders>
            <w:noWrap/>
            <w:hideMark/>
          </w:tcPr>
          <w:p w14:paraId="09BD74FB" w14:textId="77777777" w:rsidR="00087B91" w:rsidRPr="002029AF" w:rsidRDefault="00087B91" w:rsidP="00860E95">
            <w:pPr>
              <w:pStyle w:val="ARfintablebodyright"/>
            </w:pPr>
            <w:r w:rsidRPr="002029AF">
              <w:t>9,891.1</w:t>
            </w:r>
          </w:p>
        </w:tc>
        <w:tc>
          <w:tcPr>
            <w:tcW w:w="1021" w:type="dxa"/>
            <w:tcBorders>
              <w:top w:val="single" w:sz="4" w:space="0" w:color="A6A6A6"/>
              <w:bottom w:val="single" w:sz="4" w:space="0" w:color="A6A6A6"/>
            </w:tcBorders>
            <w:shd w:val="clear" w:color="auto" w:fill="E7E6E6"/>
            <w:noWrap/>
            <w:hideMark/>
          </w:tcPr>
          <w:p w14:paraId="443D7D93" w14:textId="77777777" w:rsidR="00087B91" w:rsidRPr="002029AF" w:rsidRDefault="00087B91" w:rsidP="00860E95">
            <w:pPr>
              <w:pStyle w:val="ARfintablebodyright"/>
            </w:pPr>
            <w:r w:rsidRPr="002029AF">
              <w:t>(409.7)</w:t>
            </w:r>
          </w:p>
        </w:tc>
        <w:tc>
          <w:tcPr>
            <w:tcW w:w="1021" w:type="dxa"/>
            <w:tcBorders>
              <w:top w:val="single" w:sz="4" w:space="0" w:color="A6A6A6"/>
              <w:bottom w:val="single" w:sz="4" w:space="0" w:color="A6A6A6"/>
            </w:tcBorders>
            <w:noWrap/>
            <w:hideMark/>
          </w:tcPr>
          <w:p w14:paraId="060759AE" w14:textId="77777777" w:rsidR="00087B91" w:rsidRPr="002029AF" w:rsidRDefault="00087B91" w:rsidP="00860E95">
            <w:pPr>
              <w:pStyle w:val="ARfintablebodyright"/>
            </w:pPr>
            <w:r w:rsidRPr="002029AF">
              <w:t>(93.5)</w:t>
            </w:r>
          </w:p>
        </w:tc>
        <w:tc>
          <w:tcPr>
            <w:tcW w:w="1021" w:type="dxa"/>
            <w:tcBorders>
              <w:top w:val="single" w:sz="4" w:space="0" w:color="A6A6A6"/>
              <w:bottom w:val="single" w:sz="4" w:space="0" w:color="A6A6A6"/>
            </w:tcBorders>
            <w:shd w:val="clear" w:color="auto" w:fill="E7E6E6"/>
            <w:noWrap/>
            <w:hideMark/>
          </w:tcPr>
          <w:p w14:paraId="6308238D" w14:textId="77777777" w:rsidR="00087B91" w:rsidRPr="002029AF" w:rsidRDefault="00087B91" w:rsidP="00860E95">
            <w:pPr>
              <w:pStyle w:val="ARfintablebodyright"/>
            </w:pPr>
            <w:r w:rsidRPr="002029AF">
              <w:t>9,650.3</w:t>
            </w:r>
          </w:p>
        </w:tc>
        <w:tc>
          <w:tcPr>
            <w:tcW w:w="1021" w:type="dxa"/>
            <w:tcBorders>
              <w:top w:val="single" w:sz="4" w:space="0" w:color="A6A6A6"/>
              <w:bottom w:val="single" w:sz="4" w:space="0" w:color="A6A6A6"/>
            </w:tcBorders>
            <w:noWrap/>
            <w:hideMark/>
          </w:tcPr>
          <w:p w14:paraId="4A48D308" w14:textId="77777777" w:rsidR="00087B91" w:rsidRPr="002029AF" w:rsidRDefault="00087B91" w:rsidP="00860E95">
            <w:pPr>
              <w:pStyle w:val="ARfintablebodyright"/>
            </w:pPr>
            <w:r w:rsidRPr="002029AF">
              <w:t>9,797.6</w:t>
            </w:r>
          </w:p>
        </w:tc>
      </w:tr>
      <w:tr w:rsidR="00087B91" w:rsidRPr="002029AF" w14:paraId="01CE37BF" w14:textId="77777777" w:rsidTr="00860E95">
        <w:tc>
          <w:tcPr>
            <w:tcW w:w="3515" w:type="dxa"/>
            <w:tcBorders>
              <w:top w:val="single" w:sz="4" w:space="0" w:color="A6A6A6"/>
              <w:bottom w:val="single" w:sz="4" w:space="0" w:color="A6A6A6"/>
            </w:tcBorders>
            <w:hideMark/>
          </w:tcPr>
          <w:p w14:paraId="07542B55" w14:textId="03793F4B" w:rsidR="00087B91" w:rsidRPr="002029AF" w:rsidRDefault="00087B91" w:rsidP="00860E95">
            <w:pPr>
              <w:pStyle w:val="ARfintablebody"/>
            </w:pPr>
            <w:r w:rsidRPr="002029AF">
              <w:t>Plant,</w:t>
            </w:r>
            <w:r w:rsidR="000A5329" w:rsidRPr="002029AF">
              <w:t xml:space="preserve"> </w:t>
            </w:r>
            <w:r w:rsidRPr="002029AF">
              <w:t>equipment</w:t>
            </w:r>
            <w:r w:rsidR="000A5329" w:rsidRPr="002029AF">
              <w:t xml:space="preserve"> </w:t>
            </w:r>
            <w:r w:rsidRPr="002029AF">
              <w:t>and</w:t>
            </w:r>
            <w:r w:rsidR="000A5329" w:rsidRPr="002029AF">
              <w:t xml:space="preserve"> </w:t>
            </w:r>
            <w:r w:rsidRPr="002029AF">
              <w:t>vehicles</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tc>
        <w:tc>
          <w:tcPr>
            <w:tcW w:w="1021" w:type="dxa"/>
            <w:tcBorders>
              <w:top w:val="single" w:sz="4" w:space="0" w:color="A6A6A6"/>
              <w:bottom w:val="single" w:sz="4" w:space="0" w:color="A6A6A6"/>
            </w:tcBorders>
            <w:shd w:val="clear" w:color="auto" w:fill="E7E6E6"/>
            <w:noWrap/>
            <w:hideMark/>
          </w:tcPr>
          <w:p w14:paraId="430F0F21" w14:textId="77777777" w:rsidR="00087B91" w:rsidRPr="002029AF" w:rsidRDefault="00087B91" w:rsidP="00860E95">
            <w:pPr>
              <w:pStyle w:val="ARfintablebodyright"/>
            </w:pPr>
            <w:r w:rsidRPr="002029AF">
              <w:t>54.6</w:t>
            </w:r>
          </w:p>
        </w:tc>
        <w:tc>
          <w:tcPr>
            <w:tcW w:w="1021" w:type="dxa"/>
            <w:tcBorders>
              <w:top w:val="single" w:sz="4" w:space="0" w:color="A6A6A6"/>
              <w:bottom w:val="single" w:sz="4" w:space="0" w:color="A6A6A6"/>
            </w:tcBorders>
            <w:noWrap/>
            <w:hideMark/>
          </w:tcPr>
          <w:p w14:paraId="33C4481F" w14:textId="77777777" w:rsidR="00087B91" w:rsidRPr="002029AF" w:rsidRDefault="00087B91" w:rsidP="00860E95">
            <w:pPr>
              <w:pStyle w:val="ARfintablebodyright"/>
            </w:pPr>
            <w:r w:rsidRPr="002029AF">
              <w:t>48.4</w:t>
            </w:r>
          </w:p>
        </w:tc>
        <w:tc>
          <w:tcPr>
            <w:tcW w:w="1021" w:type="dxa"/>
            <w:tcBorders>
              <w:top w:val="single" w:sz="4" w:space="0" w:color="A6A6A6"/>
              <w:bottom w:val="single" w:sz="4" w:space="0" w:color="A6A6A6"/>
            </w:tcBorders>
            <w:shd w:val="clear" w:color="auto" w:fill="E7E6E6"/>
            <w:noWrap/>
            <w:hideMark/>
          </w:tcPr>
          <w:p w14:paraId="0C0F8CA8" w14:textId="77777777" w:rsidR="00087B91" w:rsidRPr="002029AF" w:rsidRDefault="00087B91" w:rsidP="00860E95">
            <w:pPr>
              <w:pStyle w:val="ARfintablebodyright"/>
            </w:pPr>
            <w:r w:rsidRPr="002029AF">
              <w:t>(43.0)</w:t>
            </w:r>
          </w:p>
        </w:tc>
        <w:tc>
          <w:tcPr>
            <w:tcW w:w="1021" w:type="dxa"/>
            <w:tcBorders>
              <w:top w:val="single" w:sz="4" w:space="0" w:color="A6A6A6"/>
              <w:bottom w:val="single" w:sz="4" w:space="0" w:color="A6A6A6"/>
            </w:tcBorders>
            <w:noWrap/>
            <w:hideMark/>
          </w:tcPr>
          <w:p w14:paraId="4B93AFC5" w14:textId="77777777" w:rsidR="00087B91" w:rsidRPr="002029AF" w:rsidRDefault="00087B91" w:rsidP="00860E95">
            <w:pPr>
              <w:pStyle w:val="ARfintablebodyright"/>
            </w:pPr>
            <w:r w:rsidRPr="002029AF">
              <w:t>(36.8)</w:t>
            </w:r>
          </w:p>
        </w:tc>
        <w:tc>
          <w:tcPr>
            <w:tcW w:w="1021" w:type="dxa"/>
            <w:tcBorders>
              <w:top w:val="single" w:sz="4" w:space="0" w:color="A6A6A6"/>
              <w:bottom w:val="single" w:sz="4" w:space="0" w:color="A6A6A6"/>
            </w:tcBorders>
            <w:shd w:val="clear" w:color="auto" w:fill="E7E6E6"/>
            <w:noWrap/>
            <w:hideMark/>
          </w:tcPr>
          <w:p w14:paraId="7BCAEEE1" w14:textId="77777777" w:rsidR="00087B91" w:rsidRPr="002029AF" w:rsidRDefault="00087B91" w:rsidP="00860E95">
            <w:pPr>
              <w:pStyle w:val="ARfintablebodyright"/>
            </w:pPr>
            <w:r w:rsidRPr="002029AF">
              <w:t>11.6</w:t>
            </w:r>
          </w:p>
        </w:tc>
        <w:tc>
          <w:tcPr>
            <w:tcW w:w="1021" w:type="dxa"/>
            <w:tcBorders>
              <w:top w:val="single" w:sz="4" w:space="0" w:color="A6A6A6"/>
              <w:bottom w:val="single" w:sz="4" w:space="0" w:color="A6A6A6"/>
            </w:tcBorders>
            <w:noWrap/>
            <w:hideMark/>
          </w:tcPr>
          <w:p w14:paraId="333B3788" w14:textId="77777777" w:rsidR="00087B91" w:rsidRPr="002029AF" w:rsidRDefault="00087B91" w:rsidP="00860E95">
            <w:pPr>
              <w:pStyle w:val="ARfintablebodyright"/>
            </w:pPr>
            <w:r w:rsidRPr="002029AF">
              <w:t>11.6</w:t>
            </w:r>
          </w:p>
        </w:tc>
      </w:tr>
      <w:tr w:rsidR="00087B91" w:rsidRPr="002029AF" w14:paraId="454B3A47" w14:textId="77777777" w:rsidTr="00860E95">
        <w:tc>
          <w:tcPr>
            <w:tcW w:w="3515" w:type="dxa"/>
            <w:tcBorders>
              <w:top w:val="single" w:sz="4" w:space="0" w:color="A6A6A6"/>
              <w:bottom w:val="single" w:sz="4" w:space="0" w:color="A6A6A6"/>
            </w:tcBorders>
            <w:hideMark/>
          </w:tcPr>
          <w:p w14:paraId="5F3D5DF8" w14:textId="04095A97" w:rsidR="00087B91" w:rsidRPr="002029AF" w:rsidRDefault="00087B91" w:rsidP="00860E95">
            <w:pPr>
              <w:pStyle w:val="ARfintablebody"/>
            </w:pPr>
            <w:r w:rsidRPr="002029AF">
              <w:t>Motor</w:t>
            </w:r>
            <w:r w:rsidR="000A5329" w:rsidRPr="002029AF">
              <w:t xml:space="preserve"> </w:t>
            </w:r>
            <w:r w:rsidRPr="002029AF">
              <w:t>vehicles</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tc>
        <w:tc>
          <w:tcPr>
            <w:tcW w:w="1021" w:type="dxa"/>
            <w:tcBorders>
              <w:top w:val="single" w:sz="4" w:space="0" w:color="A6A6A6"/>
              <w:bottom w:val="single" w:sz="4" w:space="0" w:color="A6A6A6"/>
            </w:tcBorders>
            <w:shd w:val="clear" w:color="auto" w:fill="E7E6E6"/>
            <w:noWrap/>
            <w:hideMark/>
          </w:tcPr>
          <w:p w14:paraId="504AED27" w14:textId="77777777" w:rsidR="00087B91" w:rsidRPr="002029AF" w:rsidRDefault="00087B91" w:rsidP="00860E95">
            <w:pPr>
              <w:pStyle w:val="ARfintablebodyright"/>
            </w:pPr>
            <w:r w:rsidRPr="002029AF">
              <w:t>41.9</w:t>
            </w:r>
          </w:p>
        </w:tc>
        <w:tc>
          <w:tcPr>
            <w:tcW w:w="1021" w:type="dxa"/>
            <w:tcBorders>
              <w:top w:val="single" w:sz="4" w:space="0" w:color="A6A6A6"/>
              <w:bottom w:val="single" w:sz="4" w:space="0" w:color="A6A6A6"/>
            </w:tcBorders>
            <w:noWrap/>
            <w:hideMark/>
          </w:tcPr>
          <w:p w14:paraId="6578DDE3" w14:textId="77777777" w:rsidR="00087B91" w:rsidRPr="002029AF" w:rsidRDefault="00087B91" w:rsidP="00860E95">
            <w:pPr>
              <w:pStyle w:val="ARfintablebodyright"/>
            </w:pPr>
            <w:r w:rsidRPr="002029AF">
              <w:t>49.6</w:t>
            </w:r>
          </w:p>
        </w:tc>
        <w:tc>
          <w:tcPr>
            <w:tcW w:w="1021" w:type="dxa"/>
            <w:tcBorders>
              <w:top w:val="single" w:sz="4" w:space="0" w:color="A6A6A6"/>
              <w:bottom w:val="single" w:sz="4" w:space="0" w:color="A6A6A6"/>
            </w:tcBorders>
            <w:shd w:val="clear" w:color="auto" w:fill="E7E6E6"/>
            <w:noWrap/>
            <w:hideMark/>
          </w:tcPr>
          <w:p w14:paraId="68E53CCE" w14:textId="77777777" w:rsidR="00087B91" w:rsidRPr="002029AF" w:rsidRDefault="00087B91" w:rsidP="00860E95">
            <w:pPr>
              <w:pStyle w:val="ARfintablebodyright"/>
            </w:pPr>
            <w:r w:rsidRPr="002029AF">
              <w:t>(11.7)</w:t>
            </w:r>
          </w:p>
        </w:tc>
        <w:tc>
          <w:tcPr>
            <w:tcW w:w="1021" w:type="dxa"/>
            <w:tcBorders>
              <w:top w:val="single" w:sz="4" w:space="0" w:color="A6A6A6"/>
              <w:bottom w:val="single" w:sz="4" w:space="0" w:color="A6A6A6"/>
            </w:tcBorders>
            <w:noWrap/>
            <w:hideMark/>
          </w:tcPr>
          <w:p w14:paraId="3D5AA7E4" w14:textId="77777777" w:rsidR="00087B91" w:rsidRPr="002029AF" w:rsidRDefault="00087B91" w:rsidP="00860E95">
            <w:pPr>
              <w:pStyle w:val="ARfintablebodyright"/>
            </w:pPr>
            <w:r w:rsidRPr="002029AF">
              <w:t>(13.6)</w:t>
            </w:r>
          </w:p>
        </w:tc>
        <w:tc>
          <w:tcPr>
            <w:tcW w:w="1021" w:type="dxa"/>
            <w:tcBorders>
              <w:top w:val="single" w:sz="4" w:space="0" w:color="A6A6A6"/>
              <w:bottom w:val="single" w:sz="4" w:space="0" w:color="A6A6A6"/>
            </w:tcBorders>
            <w:shd w:val="clear" w:color="auto" w:fill="E7E6E6"/>
            <w:noWrap/>
            <w:hideMark/>
          </w:tcPr>
          <w:p w14:paraId="59E7B5BC" w14:textId="77777777" w:rsidR="00087B91" w:rsidRPr="002029AF" w:rsidRDefault="00087B91" w:rsidP="00860E95">
            <w:pPr>
              <w:pStyle w:val="ARfintablebodyright"/>
            </w:pPr>
            <w:r w:rsidRPr="002029AF">
              <w:t>30.2</w:t>
            </w:r>
          </w:p>
        </w:tc>
        <w:tc>
          <w:tcPr>
            <w:tcW w:w="1021" w:type="dxa"/>
            <w:tcBorders>
              <w:top w:val="single" w:sz="4" w:space="0" w:color="A6A6A6"/>
              <w:bottom w:val="single" w:sz="4" w:space="0" w:color="A6A6A6"/>
            </w:tcBorders>
            <w:noWrap/>
            <w:hideMark/>
          </w:tcPr>
          <w:p w14:paraId="2933DA52" w14:textId="77777777" w:rsidR="00087B91" w:rsidRPr="002029AF" w:rsidRDefault="00087B91" w:rsidP="00860E95">
            <w:pPr>
              <w:pStyle w:val="ARfintablebodyright"/>
            </w:pPr>
            <w:r w:rsidRPr="002029AF">
              <w:t>36.1</w:t>
            </w:r>
          </w:p>
        </w:tc>
      </w:tr>
      <w:tr w:rsidR="00087B91" w:rsidRPr="002029AF" w14:paraId="20C972F4" w14:textId="77777777" w:rsidTr="00860E95">
        <w:tc>
          <w:tcPr>
            <w:tcW w:w="3515" w:type="dxa"/>
            <w:tcBorders>
              <w:top w:val="single" w:sz="4" w:space="0" w:color="A6A6A6"/>
            </w:tcBorders>
            <w:hideMark/>
          </w:tcPr>
          <w:p w14:paraId="7207A25D" w14:textId="2C0E9EA1" w:rsidR="00087B91" w:rsidRPr="002029AF" w:rsidRDefault="00087B91" w:rsidP="00860E95">
            <w:pPr>
              <w:pStyle w:val="ARfintablebody"/>
            </w:pPr>
            <w:r w:rsidRPr="002029AF">
              <w:t>Assets</w:t>
            </w:r>
            <w:r w:rsidR="000A5329" w:rsidRPr="002029AF">
              <w:t xml:space="preserve"> </w:t>
            </w:r>
            <w:r w:rsidRPr="002029AF">
              <w:t>under</w:t>
            </w:r>
            <w:r w:rsidR="000A5329" w:rsidRPr="002029AF">
              <w:t xml:space="preserve"> </w:t>
            </w:r>
            <w:r w:rsidRPr="002029AF">
              <w:t>construction</w:t>
            </w:r>
            <w:r w:rsidR="000A5329" w:rsidRPr="002029AF">
              <w:t xml:space="preserve"> </w:t>
            </w:r>
            <w:r w:rsidRPr="002029AF">
              <w:t>at</w:t>
            </w:r>
            <w:r w:rsidR="000A5329" w:rsidRPr="002029AF">
              <w:t xml:space="preserve"> </w:t>
            </w:r>
            <w:r w:rsidRPr="002029AF">
              <w:t>cost</w:t>
            </w:r>
          </w:p>
        </w:tc>
        <w:tc>
          <w:tcPr>
            <w:tcW w:w="1021" w:type="dxa"/>
            <w:tcBorders>
              <w:top w:val="single" w:sz="4" w:space="0" w:color="A6A6A6"/>
            </w:tcBorders>
            <w:shd w:val="clear" w:color="auto" w:fill="E7E6E6"/>
            <w:noWrap/>
            <w:hideMark/>
          </w:tcPr>
          <w:p w14:paraId="29ECAB32" w14:textId="77777777" w:rsidR="00087B91" w:rsidRPr="002029AF" w:rsidRDefault="00087B91" w:rsidP="00860E95">
            <w:pPr>
              <w:pStyle w:val="ARfintablebodyright"/>
            </w:pPr>
            <w:r w:rsidRPr="002029AF">
              <w:t>576.2</w:t>
            </w:r>
          </w:p>
        </w:tc>
        <w:tc>
          <w:tcPr>
            <w:tcW w:w="1021" w:type="dxa"/>
            <w:tcBorders>
              <w:top w:val="single" w:sz="4" w:space="0" w:color="A6A6A6"/>
            </w:tcBorders>
            <w:noWrap/>
            <w:hideMark/>
          </w:tcPr>
          <w:p w14:paraId="777055BB" w14:textId="77777777" w:rsidR="00087B91" w:rsidRPr="002029AF" w:rsidRDefault="00087B91" w:rsidP="00860E95">
            <w:pPr>
              <w:pStyle w:val="ARfintablebodyright"/>
            </w:pPr>
            <w:r w:rsidRPr="002029AF">
              <w:t>458.0</w:t>
            </w:r>
          </w:p>
        </w:tc>
        <w:tc>
          <w:tcPr>
            <w:tcW w:w="1021" w:type="dxa"/>
            <w:tcBorders>
              <w:top w:val="single" w:sz="4" w:space="0" w:color="A6A6A6"/>
            </w:tcBorders>
            <w:shd w:val="clear" w:color="auto" w:fill="E7E6E6"/>
            <w:noWrap/>
            <w:hideMark/>
          </w:tcPr>
          <w:p w14:paraId="2B95EC75" w14:textId="77777777" w:rsidR="00087B91" w:rsidRPr="002029AF" w:rsidRDefault="00087B91" w:rsidP="00860E95">
            <w:pPr>
              <w:pStyle w:val="ARfintablebodyright"/>
            </w:pPr>
            <w:r w:rsidRPr="002029AF">
              <w:t>–</w:t>
            </w:r>
          </w:p>
        </w:tc>
        <w:tc>
          <w:tcPr>
            <w:tcW w:w="1021" w:type="dxa"/>
            <w:tcBorders>
              <w:top w:val="single" w:sz="4" w:space="0" w:color="A6A6A6"/>
            </w:tcBorders>
            <w:noWrap/>
            <w:hideMark/>
          </w:tcPr>
          <w:p w14:paraId="319D125B" w14:textId="77777777" w:rsidR="00087B91" w:rsidRPr="002029AF" w:rsidRDefault="00087B91" w:rsidP="00860E95">
            <w:pPr>
              <w:pStyle w:val="ARfintablebodyright"/>
            </w:pPr>
            <w:r w:rsidRPr="002029AF">
              <w:t>–</w:t>
            </w:r>
          </w:p>
        </w:tc>
        <w:tc>
          <w:tcPr>
            <w:tcW w:w="1021" w:type="dxa"/>
            <w:tcBorders>
              <w:top w:val="single" w:sz="4" w:space="0" w:color="A6A6A6"/>
            </w:tcBorders>
            <w:shd w:val="clear" w:color="auto" w:fill="E7E6E6"/>
            <w:noWrap/>
            <w:hideMark/>
          </w:tcPr>
          <w:p w14:paraId="71D5FC54" w14:textId="77777777" w:rsidR="00087B91" w:rsidRPr="002029AF" w:rsidRDefault="00087B91" w:rsidP="00860E95">
            <w:pPr>
              <w:pStyle w:val="ARfintablebodyright"/>
            </w:pPr>
            <w:r w:rsidRPr="002029AF">
              <w:t>576.2</w:t>
            </w:r>
          </w:p>
        </w:tc>
        <w:tc>
          <w:tcPr>
            <w:tcW w:w="1021" w:type="dxa"/>
            <w:tcBorders>
              <w:top w:val="single" w:sz="4" w:space="0" w:color="A6A6A6"/>
            </w:tcBorders>
            <w:noWrap/>
            <w:hideMark/>
          </w:tcPr>
          <w:p w14:paraId="393E2976" w14:textId="77777777" w:rsidR="00087B91" w:rsidRPr="002029AF" w:rsidRDefault="00087B91" w:rsidP="00860E95">
            <w:pPr>
              <w:pStyle w:val="ARfintablebodyright"/>
            </w:pPr>
            <w:r w:rsidRPr="002029AF">
              <w:t>458.0</w:t>
            </w:r>
          </w:p>
        </w:tc>
      </w:tr>
      <w:tr w:rsidR="00087B91" w:rsidRPr="002029AF" w14:paraId="02039417" w14:textId="77777777" w:rsidTr="00860E95">
        <w:tc>
          <w:tcPr>
            <w:tcW w:w="3515" w:type="dxa"/>
            <w:hideMark/>
          </w:tcPr>
          <w:p w14:paraId="6B4BC15F" w14:textId="55A5D8C7" w:rsidR="00087B91" w:rsidRPr="002029AF" w:rsidRDefault="00087B91" w:rsidP="00860E95">
            <w:pPr>
              <w:pStyle w:val="ARfintablebodybold"/>
            </w:pPr>
            <w:r w:rsidRPr="002029AF">
              <w:t>Net</w:t>
            </w:r>
            <w:r w:rsidR="000A5329" w:rsidRPr="002029AF">
              <w:t xml:space="preserve"> </w:t>
            </w:r>
            <w:r w:rsidRPr="002029AF">
              <w:t>carrying</w:t>
            </w:r>
            <w:r w:rsidR="000A5329" w:rsidRPr="002029AF">
              <w:t xml:space="preserve"> </w:t>
            </w:r>
            <w:r w:rsidRPr="002029AF">
              <w:t>amount</w:t>
            </w:r>
          </w:p>
        </w:tc>
        <w:tc>
          <w:tcPr>
            <w:tcW w:w="1021" w:type="dxa"/>
            <w:shd w:val="clear" w:color="auto" w:fill="E7E6E6"/>
            <w:noWrap/>
            <w:hideMark/>
          </w:tcPr>
          <w:p w14:paraId="54464555" w14:textId="77777777" w:rsidR="00087B91" w:rsidRPr="002029AF" w:rsidRDefault="00087B91" w:rsidP="00860E95">
            <w:pPr>
              <w:pStyle w:val="ARfintablebodyrightbold"/>
            </w:pPr>
            <w:r w:rsidRPr="002029AF">
              <w:t>29,257.8</w:t>
            </w:r>
          </w:p>
        </w:tc>
        <w:tc>
          <w:tcPr>
            <w:tcW w:w="1021" w:type="dxa"/>
            <w:noWrap/>
            <w:hideMark/>
          </w:tcPr>
          <w:p w14:paraId="26DEB668" w14:textId="77777777" w:rsidR="00087B91" w:rsidRPr="002029AF" w:rsidRDefault="00087B91" w:rsidP="00860E95">
            <w:pPr>
              <w:pStyle w:val="ARfintablebodyrightbold"/>
            </w:pPr>
            <w:r w:rsidRPr="002029AF">
              <w:t>28,962.0</w:t>
            </w:r>
          </w:p>
        </w:tc>
        <w:tc>
          <w:tcPr>
            <w:tcW w:w="1021" w:type="dxa"/>
            <w:shd w:val="clear" w:color="auto" w:fill="E7E6E6"/>
            <w:noWrap/>
            <w:hideMark/>
          </w:tcPr>
          <w:p w14:paraId="4908762B" w14:textId="77777777" w:rsidR="00087B91" w:rsidRPr="002029AF" w:rsidRDefault="00087B91" w:rsidP="00860E95">
            <w:pPr>
              <w:pStyle w:val="ARfintablebodyrightbold"/>
            </w:pPr>
            <w:r w:rsidRPr="002029AF">
              <w:t>(465.2)</w:t>
            </w:r>
          </w:p>
        </w:tc>
        <w:tc>
          <w:tcPr>
            <w:tcW w:w="1021" w:type="dxa"/>
            <w:noWrap/>
            <w:hideMark/>
          </w:tcPr>
          <w:p w14:paraId="64AA26E9" w14:textId="77777777" w:rsidR="00087B91" w:rsidRPr="002029AF" w:rsidRDefault="00087B91" w:rsidP="00860E95">
            <w:pPr>
              <w:pStyle w:val="ARfintablebodyrightbold"/>
            </w:pPr>
            <w:r w:rsidRPr="002029AF">
              <w:t>(143.8)</w:t>
            </w:r>
          </w:p>
        </w:tc>
        <w:tc>
          <w:tcPr>
            <w:tcW w:w="1021" w:type="dxa"/>
            <w:shd w:val="clear" w:color="auto" w:fill="E7E6E6"/>
            <w:noWrap/>
            <w:hideMark/>
          </w:tcPr>
          <w:p w14:paraId="6EA3A9EF" w14:textId="77777777" w:rsidR="00087B91" w:rsidRPr="002029AF" w:rsidRDefault="00087B91" w:rsidP="00860E95">
            <w:pPr>
              <w:pStyle w:val="ARfintablebodyrightbold"/>
            </w:pPr>
            <w:r w:rsidRPr="002029AF">
              <w:t>28,792.6</w:t>
            </w:r>
          </w:p>
        </w:tc>
        <w:tc>
          <w:tcPr>
            <w:tcW w:w="1021" w:type="dxa"/>
            <w:noWrap/>
            <w:hideMark/>
          </w:tcPr>
          <w:p w14:paraId="17BB283E" w14:textId="77777777" w:rsidR="00087B91" w:rsidRPr="002029AF" w:rsidRDefault="00087B91" w:rsidP="00860E95">
            <w:pPr>
              <w:pStyle w:val="ARfintablebodyrightbold"/>
            </w:pPr>
            <w:r w:rsidRPr="002029AF">
              <w:t>28,818.2</w:t>
            </w:r>
          </w:p>
        </w:tc>
      </w:tr>
    </w:tbl>
    <w:p w14:paraId="5E54E75B" w14:textId="77777777" w:rsidR="00087B91" w:rsidRPr="002029AF" w:rsidRDefault="00087B91" w:rsidP="00087B91">
      <w:pPr>
        <w:pStyle w:val="ARfintablefootnote"/>
        <w:spacing w:line="240" w:lineRule="auto"/>
        <w:rPr>
          <w:iCs/>
          <w:lang w:eastAsia="en-AU"/>
        </w:rPr>
      </w:pPr>
      <w:r w:rsidRPr="002029AF">
        <w:rPr>
          <w:iCs/>
          <w:lang w:eastAsia="en-AU"/>
        </w:rPr>
        <w:t>Notes:</w:t>
      </w:r>
    </w:p>
    <w:p w14:paraId="7A3C8651" w14:textId="08C33BBA" w:rsidR="00087B91" w:rsidRPr="002029AF" w:rsidRDefault="00087B91" w:rsidP="00087B91">
      <w:pPr>
        <w:pStyle w:val="ARfintablefootnoteindent"/>
      </w:pPr>
      <w:r w:rsidRPr="002029AF">
        <w:t>(i)</w:t>
      </w:r>
      <w:r w:rsidRPr="002029AF">
        <w:tab/>
        <w:t>AASB</w:t>
      </w:r>
      <w:r w:rsidR="000A5329" w:rsidRPr="002029AF">
        <w:t xml:space="preserve"> </w:t>
      </w:r>
      <w:r w:rsidRPr="002029AF">
        <w:t>16</w:t>
      </w:r>
      <w:r w:rsidR="000A5329" w:rsidRPr="002029AF">
        <w:t xml:space="preserve"> </w:t>
      </w:r>
      <w:r w:rsidRPr="002029AF">
        <w:rPr>
          <w:rStyle w:val="Emphasis"/>
        </w:rPr>
        <w:t>Leases</w:t>
      </w:r>
      <w:r w:rsidR="000A5329" w:rsidRPr="002029AF">
        <w:rPr>
          <w:iCs/>
        </w:rPr>
        <w:t xml:space="preserve"> </w:t>
      </w:r>
      <w:r w:rsidRPr="002029AF">
        <w:t>has</w:t>
      </w:r>
      <w:r w:rsidR="000A5329" w:rsidRPr="002029AF">
        <w:t xml:space="preserve"> </w:t>
      </w:r>
      <w:r w:rsidRPr="002029AF">
        <w:t>been</w:t>
      </w:r>
      <w:r w:rsidR="000A5329" w:rsidRPr="002029AF">
        <w:t xml:space="preserve"> </w:t>
      </w:r>
      <w:r w:rsidRPr="002029AF">
        <w:t>applied</w:t>
      </w:r>
      <w:r w:rsidR="000A5329" w:rsidRPr="002029AF">
        <w:t xml:space="preserve"> </w:t>
      </w:r>
      <w:r w:rsidRPr="002029AF">
        <w:t>for</w:t>
      </w:r>
      <w:r w:rsidR="000A5329" w:rsidRPr="002029AF">
        <w:t xml:space="preserve"> </w:t>
      </w:r>
      <w:r w:rsidRPr="002029AF">
        <w:t>the</w:t>
      </w:r>
      <w:r w:rsidR="000A5329" w:rsidRPr="002029AF">
        <w:t xml:space="preserve"> </w:t>
      </w:r>
      <w:r w:rsidRPr="002029AF">
        <w:t>first</w:t>
      </w:r>
      <w:r w:rsidR="000A5329" w:rsidRPr="002029AF">
        <w:t xml:space="preserve"> </w:t>
      </w:r>
      <w:r w:rsidRPr="002029AF">
        <w:t>time</w:t>
      </w:r>
      <w:r w:rsidR="000A5329" w:rsidRPr="002029AF">
        <w:t xml:space="preserve"> </w:t>
      </w:r>
      <w:r w:rsidRPr="002029AF">
        <w:t>from</w:t>
      </w:r>
      <w:r w:rsidR="000A5329" w:rsidRPr="002029AF">
        <w:t xml:space="preserve"> </w:t>
      </w:r>
      <w:r w:rsidRPr="002029AF">
        <w:t>1</w:t>
      </w:r>
      <w:r w:rsidR="000A5329" w:rsidRPr="002029AF">
        <w:t xml:space="preserve"> </w:t>
      </w:r>
      <w:r w:rsidRPr="002029AF">
        <w:t>July</w:t>
      </w:r>
      <w:r w:rsidR="000A5329" w:rsidRPr="002029AF">
        <w:t xml:space="preserve"> </w:t>
      </w:r>
      <w:r w:rsidRPr="002029AF">
        <w:t>2019.</w:t>
      </w:r>
    </w:p>
    <w:p w14:paraId="645FACD0" w14:textId="6D0FCCC2" w:rsidR="000A5329" w:rsidRPr="002029AF" w:rsidRDefault="00087B91" w:rsidP="00087B91">
      <w:pPr>
        <w:pStyle w:val="ARfintablefootnoteindent"/>
      </w:pPr>
      <w:r w:rsidRPr="002029AF">
        <w:t>(ii)</w:t>
      </w:r>
      <w:r w:rsidRPr="002029AF">
        <w:tab/>
        <w:t>The</w:t>
      </w:r>
      <w:r w:rsidR="000A5329" w:rsidRPr="002029AF">
        <w:t xml:space="preserve"> </w:t>
      </w:r>
      <w:r w:rsidRPr="002029AF">
        <w:t>application</w:t>
      </w:r>
      <w:r w:rsidR="000A5329" w:rsidRPr="002029AF">
        <w:t xml:space="preserve"> </w:t>
      </w:r>
      <w:r w:rsidRPr="002029AF">
        <w:t>of</w:t>
      </w:r>
      <w:r w:rsidR="000A5329" w:rsidRPr="002029AF">
        <w:t xml:space="preserve"> </w:t>
      </w:r>
      <w:r w:rsidRPr="002029AF">
        <w:t>AASB</w:t>
      </w:r>
      <w:r w:rsidR="000A5329" w:rsidRPr="002029AF">
        <w:t xml:space="preserve"> </w:t>
      </w:r>
      <w:r w:rsidRPr="002029AF">
        <w:t>1059</w:t>
      </w:r>
      <w:r w:rsidR="000A5329" w:rsidRPr="002029AF">
        <w:t xml:space="preserve"> </w:t>
      </w:r>
      <w:r w:rsidRPr="002029AF">
        <w:rPr>
          <w:rStyle w:val="Emphasis"/>
        </w:rPr>
        <w:t>Service</w:t>
      </w:r>
      <w:r w:rsidR="000A5329" w:rsidRPr="002029AF">
        <w:rPr>
          <w:rStyle w:val="Emphasis"/>
        </w:rPr>
        <w:t xml:space="preserve"> </w:t>
      </w:r>
      <w:r w:rsidRPr="002029AF">
        <w:rPr>
          <w:rStyle w:val="Emphasis"/>
        </w:rPr>
        <w:t>Concession</w:t>
      </w:r>
      <w:r w:rsidR="000A5329" w:rsidRPr="002029AF">
        <w:rPr>
          <w:rStyle w:val="Emphasis"/>
        </w:rPr>
        <w:t xml:space="preserve"> </w:t>
      </w:r>
      <w:r w:rsidRPr="002029AF">
        <w:rPr>
          <w:rStyle w:val="Emphasis"/>
        </w:rPr>
        <w:t>Arrangements:</w:t>
      </w:r>
      <w:r w:rsidR="000A5329" w:rsidRPr="002029AF">
        <w:rPr>
          <w:rStyle w:val="Emphasis"/>
        </w:rPr>
        <w:t xml:space="preserve"> </w:t>
      </w:r>
      <w:r w:rsidRPr="002029AF">
        <w:rPr>
          <w:rStyle w:val="Emphasis"/>
        </w:rPr>
        <w:t>Grantors</w:t>
      </w:r>
      <w:r w:rsidR="000A5329" w:rsidRPr="002029AF">
        <w:t xml:space="preserve"> </w:t>
      </w:r>
      <w:r w:rsidRPr="002029AF">
        <w:t>resulted</w:t>
      </w:r>
      <w:r w:rsidR="000A5329" w:rsidRPr="002029AF">
        <w:t xml:space="preserve"> </w:t>
      </w:r>
      <w:r w:rsidRPr="002029AF">
        <w:t>in</w:t>
      </w:r>
      <w:r w:rsidR="000A5329" w:rsidRPr="002029AF">
        <w:t xml:space="preserve"> </w:t>
      </w:r>
      <w:r w:rsidRPr="002029AF">
        <w:t>reclassification</w:t>
      </w:r>
      <w:r w:rsidR="000A5329" w:rsidRPr="002029AF">
        <w:t xml:space="preserve"> </w:t>
      </w:r>
      <w:r w:rsidRPr="002029AF">
        <w:t>of</w:t>
      </w:r>
      <w:r w:rsidR="000A5329" w:rsidRPr="002029AF">
        <w:t xml:space="preserve"> </w:t>
      </w:r>
      <w:r w:rsidRPr="002029AF">
        <w:t>assets</w:t>
      </w:r>
      <w:r w:rsidR="000A5329" w:rsidRPr="002029AF">
        <w:t xml:space="preserve"> </w:t>
      </w:r>
      <w:r w:rsidRPr="002029AF">
        <w:t>within</w:t>
      </w:r>
      <w:r w:rsidR="000A5329" w:rsidRPr="002029AF">
        <w:t xml:space="preserve"> </w:t>
      </w:r>
      <w:r w:rsidRPr="002029AF">
        <w:t>‘property,</w:t>
      </w:r>
      <w:r w:rsidR="000A5329" w:rsidRPr="002029AF">
        <w:t xml:space="preserve"> </w:t>
      </w:r>
      <w:r w:rsidRPr="002029AF">
        <w:t>plant</w:t>
      </w:r>
      <w:r w:rsidR="000A5329" w:rsidRPr="002029AF">
        <w:t xml:space="preserve"> </w:t>
      </w:r>
      <w:r w:rsidRPr="002029AF">
        <w:t>and</w:t>
      </w:r>
      <w:r w:rsidR="000A5329" w:rsidRPr="002029AF">
        <w:t xml:space="preserve"> </w:t>
      </w:r>
      <w:r w:rsidRPr="002029AF">
        <w:t>equipment’</w:t>
      </w:r>
      <w:r w:rsidR="000A5329" w:rsidRPr="002029AF">
        <w:t xml:space="preserve"> </w:t>
      </w:r>
      <w:r w:rsidRPr="002029AF">
        <w:t>category.</w:t>
      </w:r>
      <w:r w:rsidR="000A5329" w:rsidRPr="002029AF">
        <w:t xml:space="preserve"> </w:t>
      </w:r>
      <w:r w:rsidRPr="002029AF">
        <w:t>There</w:t>
      </w:r>
      <w:r w:rsidR="000A5329" w:rsidRPr="002029AF">
        <w:t xml:space="preserve"> </w:t>
      </w:r>
      <w:r w:rsidRPr="002029AF">
        <w:t>was</w:t>
      </w:r>
      <w:r w:rsidR="000A5329" w:rsidRPr="002029AF">
        <w:t xml:space="preserve"> </w:t>
      </w:r>
      <w:r w:rsidRPr="002029AF">
        <w:t>no</w:t>
      </w:r>
      <w:r w:rsidR="000A5329" w:rsidRPr="002029AF">
        <w:t xml:space="preserve"> </w:t>
      </w:r>
      <w:r w:rsidRPr="002029AF">
        <w:t>impact</w:t>
      </w:r>
      <w:r w:rsidR="000A5329" w:rsidRPr="002029AF">
        <w:t xml:space="preserve"> </w:t>
      </w:r>
      <w:r w:rsidRPr="002029AF">
        <w:t>on</w:t>
      </w:r>
      <w:r w:rsidR="000A5329" w:rsidRPr="002029AF">
        <w:t xml:space="preserve"> </w:t>
      </w:r>
      <w:r w:rsidRPr="002029AF">
        <w:t>the</w:t>
      </w:r>
      <w:r w:rsidR="000A5329" w:rsidRPr="002029AF">
        <w:t xml:space="preserve"> </w:t>
      </w:r>
      <w:r w:rsidRPr="002029AF">
        <w:t>2019</w:t>
      </w:r>
      <w:r w:rsidR="000A5329" w:rsidRPr="002029AF">
        <w:t xml:space="preserve"> </w:t>
      </w:r>
      <w:r w:rsidRPr="002029AF">
        <w:t>comparative</w:t>
      </w:r>
      <w:r w:rsidR="000A5329" w:rsidRPr="002029AF">
        <w:t xml:space="preserve"> </w:t>
      </w:r>
      <w:r w:rsidRPr="002029AF">
        <w:t>figures.</w:t>
      </w:r>
    </w:p>
    <w:p w14:paraId="51AF5671" w14:textId="53EF1B2C" w:rsidR="00087B91" w:rsidRPr="002029AF" w:rsidRDefault="00087B91" w:rsidP="00087B91">
      <w:pPr>
        <w:pStyle w:val="ARfinbodyaftertable"/>
      </w:pPr>
      <w:r w:rsidRPr="002029AF">
        <w:t>The</w:t>
      </w:r>
      <w:r w:rsidR="000A5329" w:rsidRPr="002029AF">
        <w:t xml:space="preserve"> </w:t>
      </w:r>
      <w:r w:rsidRPr="002029AF">
        <w:t>following</w:t>
      </w:r>
      <w:r w:rsidR="000A5329" w:rsidRPr="002029AF">
        <w:t xml:space="preserve"> </w:t>
      </w:r>
      <w:r w:rsidRPr="002029AF">
        <w:t>tables</w:t>
      </w:r>
      <w:r w:rsidR="000A5329" w:rsidRPr="002029AF">
        <w:t xml:space="preserve"> </w:t>
      </w:r>
      <w:r w:rsidRPr="002029AF">
        <w:t>are</w:t>
      </w:r>
      <w:r w:rsidR="000A5329" w:rsidRPr="002029AF">
        <w:t xml:space="preserve"> </w:t>
      </w:r>
      <w:r w:rsidRPr="002029AF">
        <w:t>subsets</w:t>
      </w:r>
      <w:r w:rsidR="000A5329" w:rsidRPr="002029AF">
        <w:t xml:space="preserve"> </w:t>
      </w:r>
      <w:r w:rsidRPr="002029AF">
        <w:t>of</w:t>
      </w:r>
      <w:r w:rsidR="000A5329" w:rsidRPr="002029AF">
        <w:t xml:space="preserve"> </w:t>
      </w:r>
      <w:r w:rsidRPr="002029AF">
        <w:t>land,</w:t>
      </w:r>
      <w:r w:rsidR="000A5329" w:rsidRPr="002029AF">
        <w:t xml:space="preserve"> </w:t>
      </w:r>
      <w:r w:rsidRPr="002029AF">
        <w:t>buildings,</w:t>
      </w:r>
      <w:r w:rsidR="000A5329" w:rsidRPr="002029AF">
        <w:t xml:space="preserve"> </w:t>
      </w:r>
      <w:r w:rsidRPr="002029AF">
        <w:t>plant,</w:t>
      </w:r>
      <w:r w:rsidR="000A5329" w:rsidRPr="002029AF">
        <w:t xml:space="preserve"> </w:t>
      </w:r>
      <w:r w:rsidRPr="002029AF">
        <w:t>equipment</w:t>
      </w:r>
      <w:r w:rsidR="000A5329" w:rsidRPr="002029AF">
        <w:t xml:space="preserve"> </w:t>
      </w:r>
      <w:r w:rsidRPr="002029AF">
        <w:t>and</w:t>
      </w:r>
      <w:r w:rsidR="000A5329" w:rsidRPr="002029AF">
        <w:t xml:space="preserve"> </w:t>
      </w:r>
      <w:r w:rsidRPr="002029AF">
        <w:t>vehicles,</w:t>
      </w:r>
      <w:r w:rsidR="000A5329" w:rsidRPr="002029AF">
        <w:t xml:space="preserve"> </w:t>
      </w:r>
      <w:r w:rsidRPr="002029AF">
        <w:t>motor</w:t>
      </w:r>
      <w:r w:rsidR="000A5329" w:rsidRPr="002029AF">
        <w:t xml:space="preserve"> </w:t>
      </w:r>
      <w:r w:rsidRPr="002029AF">
        <w:t>vehicles</w:t>
      </w:r>
      <w:r w:rsidR="000A5329" w:rsidRPr="002029AF">
        <w:t xml:space="preserve"> </w:t>
      </w:r>
      <w:r w:rsidRPr="002029AF">
        <w:t>and</w:t>
      </w:r>
      <w:r w:rsidR="000A5329" w:rsidRPr="002029AF">
        <w:t xml:space="preserve"> </w:t>
      </w:r>
      <w:r w:rsidRPr="002029AF">
        <w:t>assets</w:t>
      </w:r>
      <w:r w:rsidR="000A5329" w:rsidRPr="002029AF">
        <w:t xml:space="preserve"> </w:t>
      </w:r>
      <w:r w:rsidRPr="002029AF">
        <w:t>under</w:t>
      </w:r>
      <w:r w:rsidR="000A5329" w:rsidRPr="002029AF">
        <w:t xml:space="preserve"> </w:t>
      </w:r>
      <w:r w:rsidRPr="002029AF">
        <w:t>construction</w:t>
      </w:r>
      <w:r w:rsidR="000A5329" w:rsidRPr="002029AF">
        <w:t xml:space="preserve"> </w:t>
      </w:r>
      <w:r w:rsidRPr="002029AF">
        <w:t>by</w:t>
      </w:r>
      <w:r w:rsidR="000A5329" w:rsidRPr="002029AF">
        <w:t xml:space="preserve"> </w:t>
      </w:r>
      <w:r w:rsidRPr="002029AF">
        <w:t>right-of-use</w:t>
      </w:r>
      <w:r w:rsidR="000A5329" w:rsidRPr="002029AF">
        <w:t xml:space="preserve"> </w:t>
      </w:r>
      <w:r w:rsidRPr="002029AF">
        <w:t>assets</w:t>
      </w:r>
      <w:r w:rsidR="000A5329" w:rsidRPr="002029AF">
        <w:t xml:space="preserve"> </w:t>
      </w:r>
      <w:r w:rsidRPr="002029AF">
        <w:t>and</w:t>
      </w:r>
      <w:r w:rsidR="000A5329" w:rsidRPr="002029AF">
        <w:t xml:space="preserve"> </w:t>
      </w:r>
      <w:r w:rsidRPr="002029AF">
        <w:t>service</w:t>
      </w:r>
      <w:r w:rsidR="000A5329" w:rsidRPr="002029AF">
        <w:t xml:space="preserve"> </w:t>
      </w:r>
      <w:r w:rsidRPr="002029AF">
        <w:t>concessions</w:t>
      </w:r>
      <w:r w:rsidR="000A5329" w:rsidRPr="002029AF">
        <w:t xml:space="preserve"> </w:t>
      </w:r>
      <w:r w:rsidRPr="002029AF">
        <w:t>assets.</w:t>
      </w:r>
    </w:p>
    <w:p w14:paraId="4E9401CB" w14:textId="0EEA584B" w:rsidR="00087B91" w:rsidRPr="002029AF" w:rsidRDefault="00087B91" w:rsidP="00087B91">
      <w:pPr>
        <w:pStyle w:val="Heading5"/>
        <w:rPr>
          <w:highlight w:val="yellow"/>
        </w:rPr>
      </w:pPr>
      <w:r w:rsidRPr="002029AF">
        <w:t>5.1(a)</w:t>
      </w:r>
      <w:r w:rsidR="000A5329" w:rsidRPr="002029AF">
        <w:t xml:space="preserve"> </w:t>
      </w:r>
      <w:r w:rsidRPr="002029AF">
        <w:t>Total</w:t>
      </w:r>
      <w:r w:rsidR="000A5329" w:rsidRPr="002029AF">
        <w:t xml:space="preserve"> </w:t>
      </w:r>
      <w:r w:rsidRPr="002029AF">
        <w:t>right-of-use</w:t>
      </w:r>
      <w:r w:rsidR="000A5329" w:rsidRPr="002029AF">
        <w:t xml:space="preserve"> </w:t>
      </w:r>
      <w:r w:rsidRPr="002029AF">
        <w:t>assets</w:t>
      </w:r>
    </w:p>
    <w:tbl>
      <w:tblPr>
        <w:tblStyle w:val="TableGrid"/>
        <w:tblW w:w="9637" w:type="dxa"/>
        <w:tblLayout w:type="fixed"/>
        <w:tblLook w:val="06A0" w:firstRow="1" w:lastRow="0" w:firstColumn="1" w:lastColumn="0" w:noHBand="1" w:noVBand="1"/>
      </w:tblPr>
      <w:tblGrid>
        <w:gridCol w:w="3514"/>
        <w:gridCol w:w="2041"/>
        <w:gridCol w:w="2041"/>
        <w:gridCol w:w="2041"/>
      </w:tblGrid>
      <w:tr w:rsidR="00087B91" w:rsidRPr="002029AF" w14:paraId="29440073" w14:textId="77777777" w:rsidTr="00ED163A">
        <w:trPr>
          <w:cnfStyle w:val="100000000000" w:firstRow="1" w:lastRow="0" w:firstColumn="0" w:lastColumn="0" w:oddVBand="0" w:evenVBand="0" w:oddHBand="0" w:evenHBand="0" w:firstRowFirstColumn="0" w:firstRowLastColumn="0" w:lastRowFirstColumn="0" w:lastRowLastColumn="0"/>
          <w:trHeight w:val="255"/>
          <w:tblHeader/>
        </w:trPr>
        <w:tc>
          <w:tcPr>
            <w:tcW w:w="3515" w:type="dxa"/>
            <w:vMerge w:val="restart"/>
            <w:noWrap/>
            <w:hideMark/>
          </w:tcPr>
          <w:p w14:paraId="1F15B34C" w14:textId="77777777" w:rsidR="00087B91" w:rsidRPr="002029AF" w:rsidRDefault="00087B91" w:rsidP="00860E95">
            <w:pPr>
              <w:pStyle w:val="ARfintablecolhead"/>
            </w:pPr>
          </w:p>
        </w:tc>
        <w:tc>
          <w:tcPr>
            <w:tcW w:w="2041" w:type="dxa"/>
            <w:hideMark/>
          </w:tcPr>
          <w:p w14:paraId="1E8C2954" w14:textId="37C1D015" w:rsidR="00087B91" w:rsidRPr="002029AF" w:rsidRDefault="00087B91" w:rsidP="00860E95">
            <w:pPr>
              <w:pStyle w:val="ARfintablecolheadright"/>
            </w:pPr>
            <w:r w:rsidRPr="002029AF">
              <w:t>Gross</w:t>
            </w:r>
            <w:r w:rsidR="000A5329" w:rsidRPr="002029AF">
              <w:t xml:space="preserve"> </w:t>
            </w:r>
            <w:r w:rsidRPr="002029AF">
              <w:t>carrying</w:t>
            </w:r>
            <w:r w:rsidR="000A5329" w:rsidRPr="002029AF">
              <w:t xml:space="preserve"> </w:t>
            </w:r>
            <w:r w:rsidRPr="002029AF">
              <w:t>amount</w:t>
            </w:r>
          </w:p>
        </w:tc>
        <w:tc>
          <w:tcPr>
            <w:tcW w:w="2041" w:type="dxa"/>
            <w:hideMark/>
          </w:tcPr>
          <w:p w14:paraId="021A3045" w14:textId="5AB340BA" w:rsidR="00087B91" w:rsidRPr="002029AF" w:rsidRDefault="00087B91" w:rsidP="00860E95">
            <w:pPr>
              <w:pStyle w:val="ARfintablecolheadright"/>
            </w:pPr>
            <w:r w:rsidRPr="002029AF">
              <w:t>Accumulated</w:t>
            </w:r>
            <w:r w:rsidR="000A5329" w:rsidRPr="002029AF">
              <w:t xml:space="preserve"> </w:t>
            </w:r>
            <w:r w:rsidRPr="002029AF">
              <w:t>depreciation</w:t>
            </w:r>
          </w:p>
        </w:tc>
        <w:tc>
          <w:tcPr>
            <w:tcW w:w="2041" w:type="dxa"/>
            <w:hideMark/>
          </w:tcPr>
          <w:p w14:paraId="41BA75BF" w14:textId="45014D95" w:rsidR="00087B91" w:rsidRPr="002029AF" w:rsidRDefault="00087B91" w:rsidP="00860E95">
            <w:pPr>
              <w:pStyle w:val="ARfintablecolheadright"/>
            </w:pPr>
            <w:r w:rsidRPr="002029AF">
              <w:t>Net</w:t>
            </w:r>
            <w:r w:rsidR="000A5329" w:rsidRPr="002029AF">
              <w:t xml:space="preserve"> </w:t>
            </w:r>
            <w:r w:rsidRPr="002029AF">
              <w:t>carrying</w:t>
            </w:r>
            <w:r w:rsidR="000A5329" w:rsidRPr="002029AF">
              <w:t xml:space="preserve"> </w:t>
            </w:r>
            <w:r w:rsidRPr="002029AF">
              <w:br/>
              <w:t>amount</w:t>
            </w:r>
          </w:p>
        </w:tc>
      </w:tr>
      <w:tr w:rsidR="00087B91" w:rsidRPr="002029AF" w14:paraId="2B00F384" w14:textId="77777777" w:rsidTr="00ED163A">
        <w:trPr>
          <w:cnfStyle w:val="100000000000" w:firstRow="1" w:lastRow="0" w:firstColumn="0" w:lastColumn="0" w:oddVBand="0" w:evenVBand="0" w:oddHBand="0" w:evenHBand="0" w:firstRowFirstColumn="0" w:firstRowLastColumn="0" w:lastRowFirstColumn="0" w:lastRowLastColumn="0"/>
          <w:trHeight w:val="255"/>
          <w:tblHeader/>
        </w:trPr>
        <w:tc>
          <w:tcPr>
            <w:tcW w:w="3515" w:type="dxa"/>
            <w:vMerge/>
            <w:tcBorders>
              <w:bottom w:val="single" w:sz="4" w:space="0" w:color="auto"/>
            </w:tcBorders>
            <w:hideMark/>
          </w:tcPr>
          <w:p w14:paraId="30D20103" w14:textId="77777777" w:rsidR="00087B91" w:rsidRPr="002029AF" w:rsidRDefault="00087B91" w:rsidP="00860E95">
            <w:pPr>
              <w:pStyle w:val="ARfintablecolhead"/>
            </w:pPr>
          </w:p>
        </w:tc>
        <w:tc>
          <w:tcPr>
            <w:tcW w:w="2041" w:type="dxa"/>
            <w:tcBorders>
              <w:bottom w:val="single" w:sz="4" w:space="0" w:color="auto"/>
            </w:tcBorders>
            <w:hideMark/>
          </w:tcPr>
          <w:p w14:paraId="037DA3A4" w14:textId="77777777" w:rsidR="00087B91" w:rsidRPr="002029AF" w:rsidRDefault="00087B91" w:rsidP="00860E95">
            <w:pPr>
              <w:pStyle w:val="ARfintablecolheadright"/>
            </w:pPr>
            <w:r w:rsidRPr="002029AF">
              <w:t>2020</w:t>
            </w:r>
          </w:p>
          <w:p w14:paraId="05FB6C00" w14:textId="77777777" w:rsidR="00087B91" w:rsidRPr="002029AF" w:rsidRDefault="00087B91" w:rsidP="00860E95">
            <w:pPr>
              <w:pStyle w:val="ARfintablecolheadright"/>
            </w:pPr>
            <w:r w:rsidRPr="002029AF">
              <w:t>$M</w:t>
            </w:r>
          </w:p>
        </w:tc>
        <w:tc>
          <w:tcPr>
            <w:tcW w:w="2041" w:type="dxa"/>
            <w:tcBorders>
              <w:bottom w:val="single" w:sz="4" w:space="0" w:color="auto"/>
            </w:tcBorders>
            <w:hideMark/>
          </w:tcPr>
          <w:p w14:paraId="196AEFEE" w14:textId="77777777" w:rsidR="00087B91" w:rsidRPr="002029AF" w:rsidRDefault="00087B91" w:rsidP="00860E95">
            <w:pPr>
              <w:pStyle w:val="ARfintablecolheadright"/>
            </w:pPr>
            <w:r w:rsidRPr="002029AF">
              <w:t>2020</w:t>
            </w:r>
          </w:p>
          <w:p w14:paraId="36832C38" w14:textId="77777777" w:rsidR="00087B91" w:rsidRPr="002029AF" w:rsidRDefault="00087B91" w:rsidP="00860E95">
            <w:pPr>
              <w:pStyle w:val="ARfintablecolheadright"/>
            </w:pPr>
            <w:r w:rsidRPr="002029AF">
              <w:t>$M</w:t>
            </w:r>
          </w:p>
        </w:tc>
        <w:tc>
          <w:tcPr>
            <w:tcW w:w="2041" w:type="dxa"/>
            <w:tcBorders>
              <w:bottom w:val="single" w:sz="4" w:space="0" w:color="auto"/>
            </w:tcBorders>
            <w:hideMark/>
          </w:tcPr>
          <w:p w14:paraId="61442101" w14:textId="77777777" w:rsidR="00087B91" w:rsidRPr="002029AF" w:rsidRDefault="00087B91" w:rsidP="00860E95">
            <w:pPr>
              <w:pStyle w:val="ARfintablecolheadright"/>
            </w:pPr>
            <w:r w:rsidRPr="002029AF">
              <w:t>2020</w:t>
            </w:r>
          </w:p>
          <w:p w14:paraId="0DB31A34" w14:textId="77777777" w:rsidR="00087B91" w:rsidRPr="002029AF" w:rsidRDefault="00087B91" w:rsidP="00860E95">
            <w:pPr>
              <w:pStyle w:val="ARfintablecolheadright"/>
            </w:pPr>
            <w:r w:rsidRPr="002029AF">
              <w:t>$M</w:t>
            </w:r>
          </w:p>
        </w:tc>
      </w:tr>
      <w:tr w:rsidR="00087B91" w:rsidRPr="002029AF" w14:paraId="7C6A7E2C" w14:textId="77777777" w:rsidTr="00860E95">
        <w:trPr>
          <w:trHeight w:val="255"/>
        </w:trPr>
        <w:tc>
          <w:tcPr>
            <w:tcW w:w="3515" w:type="dxa"/>
            <w:tcBorders>
              <w:top w:val="single" w:sz="4" w:space="0" w:color="auto"/>
              <w:bottom w:val="single" w:sz="4" w:space="0" w:color="A6A6A6"/>
            </w:tcBorders>
            <w:hideMark/>
          </w:tcPr>
          <w:p w14:paraId="5E8AD263" w14:textId="5F287D0F" w:rsidR="00087B91" w:rsidRPr="002029AF" w:rsidRDefault="00087B91" w:rsidP="00860E95">
            <w:pPr>
              <w:pStyle w:val="ARfintablebody"/>
            </w:pPr>
            <w:r w:rsidRPr="002029AF">
              <w:t>Land</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tc>
        <w:tc>
          <w:tcPr>
            <w:tcW w:w="2041" w:type="dxa"/>
            <w:tcBorders>
              <w:top w:val="single" w:sz="4" w:space="0" w:color="auto"/>
              <w:bottom w:val="single" w:sz="4" w:space="0" w:color="A6A6A6"/>
            </w:tcBorders>
            <w:noWrap/>
            <w:hideMark/>
          </w:tcPr>
          <w:p w14:paraId="0EB60C17" w14:textId="77777777" w:rsidR="00087B91" w:rsidRPr="002029AF" w:rsidRDefault="00087B91" w:rsidP="00860E95">
            <w:pPr>
              <w:pStyle w:val="ARfintablebodyright"/>
            </w:pPr>
            <w:r w:rsidRPr="002029AF">
              <w:t>11.6</w:t>
            </w:r>
          </w:p>
        </w:tc>
        <w:tc>
          <w:tcPr>
            <w:tcW w:w="2041" w:type="dxa"/>
            <w:tcBorders>
              <w:top w:val="single" w:sz="4" w:space="0" w:color="auto"/>
              <w:bottom w:val="single" w:sz="4" w:space="0" w:color="A6A6A6"/>
            </w:tcBorders>
            <w:noWrap/>
            <w:hideMark/>
          </w:tcPr>
          <w:p w14:paraId="78FA85F3" w14:textId="77777777" w:rsidR="00087B91" w:rsidRPr="002029AF" w:rsidRDefault="00087B91" w:rsidP="00860E95">
            <w:pPr>
              <w:pStyle w:val="ARfintablebodyright"/>
            </w:pPr>
            <w:r w:rsidRPr="002029AF">
              <w:t>(0.8)</w:t>
            </w:r>
          </w:p>
        </w:tc>
        <w:tc>
          <w:tcPr>
            <w:tcW w:w="2041" w:type="dxa"/>
            <w:tcBorders>
              <w:top w:val="single" w:sz="4" w:space="0" w:color="auto"/>
              <w:bottom w:val="single" w:sz="4" w:space="0" w:color="A6A6A6"/>
            </w:tcBorders>
            <w:noWrap/>
            <w:hideMark/>
          </w:tcPr>
          <w:p w14:paraId="3DF1B2F0" w14:textId="77777777" w:rsidR="00087B91" w:rsidRPr="002029AF" w:rsidRDefault="00087B91" w:rsidP="00860E95">
            <w:pPr>
              <w:pStyle w:val="ARfintablebodyright"/>
            </w:pPr>
            <w:r w:rsidRPr="002029AF">
              <w:t>10.8</w:t>
            </w:r>
          </w:p>
        </w:tc>
      </w:tr>
      <w:tr w:rsidR="00087B91" w:rsidRPr="002029AF" w14:paraId="04D1F88F" w14:textId="77777777" w:rsidTr="00860E95">
        <w:trPr>
          <w:trHeight w:val="255"/>
        </w:trPr>
        <w:tc>
          <w:tcPr>
            <w:tcW w:w="3515" w:type="dxa"/>
            <w:tcBorders>
              <w:top w:val="single" w:sz="4" w:space="0" w:color="A6A6A6"/>
              <w:bottom w:val="single" w:sz="4" w:space="0" w:color="A6A6A6"/>
            </w:tcBorders>
            <w:hideMark/>
          </w:tcPr>
          <w:p w14:paraId="1C7747C9" w14:textId="31D15C75" w:rsidR="00087B91" w:rsidRPr="002029AF" w:rsidRDefault="00087B91" w:rsidP="00860E95">
            <w:pPr>
              <w:pStyle w:val="ARfintablebody"/>
            </w:pPr>
            <w:r w:rsidRPr="002029AF">
              <w:t>Buildings</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tc>
        <w:tc>
          <w:tcPr>
            <w:tcW w:w="2041" w:type="dxa"/>
            <w:tcBorders>
              <w:top w:val="single" w:sz="4" w:space="0" w:color="A6A6A6"/>
              <w:bottom w:val="single" w:sz="4" w:space="0" w:color="A6A6A6"/>
            </w:tcBorders>
            <w:noWrap/>
            <w:hideMark/>
          </w:tcPr>
          <w:p w14:paraId="2709AFC8" w14:textId="77777777" w:rsidR="00087B91" w:rsidRPr="002029AF" w:rsidRDefault="00087B91" w:rsidP="00860E95">
            <w:pPr>
              <w:pStyle w:val="ARfintablebodyright"/>
            </w:pPr>
            <w:r w:rsidRPr="002029AF">
              <w:t>62.7</w:t>
            </w:r>
          </w:p>
        </w:tc>
        <w:tc>
          <w:tcPr>
            <w:tcW w:w="2041" w:type="dxa"/>
            <w:tcBorders>
              <w:top w:val="single" w:sz="4" w:space="0" w:color="A6A6A6"/>
              <w:bottom w:val="single" w:sz="4" w:space="0" w:color="A6A6A6"/>
            </w:tcBorders>
            <w:noWrap/>
            <w:hideMark/>
          </w:tcPr>
          <w:p w14:paraId="39A94341" w14:textId="77777777" w:rsidR="00087B91" w:rsidRPr="002029AF" w:rsidRDefault="00087B91" w:rsidP="00860E95">
            <w:pPr>
              <w:pStyle w:val="ARfintablebodyright"/>
            </w:pPr>
            <w:r w:rsidRPr="002029AF">
              <w:t>(18.1)</w:t>
            </w:r>
          </w:p>
        </w:tc>
        <w:tc>
          <w:tcPr>
            <w:tcW w:w="2041" w:type="dxa"/>
            <w:tcBorders>
              <w:top w:val="single" w:sz="4" w:space="0" w:color="A6A6A6"/>
              <w:bottom w:val="single" w:sz="4" w:space="0" w:color="A6A6A6"/>
            </w:tcBorders>
            <w:noWrap/>
            <w:hideMark/>
          </w:tcPr>
          <w:p w14:paraId="2D85E5E9" w14:textId="77777777" w:rsidR="00087B91" w:rsidRPr="002029AF" w:rsidRDefault="00087B91" w:rsidP="00860E95">
            <w:pPr>
              <w:pStyle w:val="ARfintablebodyright"/>
            </w:pPr>
            <w:r w:rsidRPr="002029AF">
              <w:t>44.6</w:t>
            </w:r>
          </w:p>
        </w:tc>
      </w:tr>
      <w:tr w:rsidR="00087B91" w:rsidRPr="002029AF" w14:paraId="72ABFFF6" w14:textId="77777777" w:rsidTr="00860E95">
        <w:trPr>
          <w:trHeight w:val="255"/>
        </w:trPr>
        <w:tc>
          <w:tcPr>
            <w:tcW w:w="3515" w:type="dxa"/>
            <w:tcBorders>
              <w:top w:val="single" w:sz="4" w:space="0" w:color="A6A6A6"/>
              <w:bottom w:val="single" w:sz="4" w:space="0" w:color="A6A6A6"/>
            </w:tcBorders>
            <w:hideMark/>
          </w:tcPr>
          <w:p w14:paraId="0639426C" w14:textId="49F6020A" w:rsidR="00087B91" w:rsidRPr="002029AF" w:rsidRDefault="00087B91" w:rsidP="00860E95">
            <w:pPr>
              <w:pStyle w:val="ARfintablebody"/>
            </w:pPr>
            <w:r w:rsidRPr="002029AF">
              <w:t>Plant,</w:t>
            </w:r>
            <w:r w:rsidR="000A5329" w:rsidRPr="002029AF">
              <w:t xml:space="preserve"> </w:t>
            </w:r>
            <w:r w:rsidRPr="002029AF">
              <w:t>equipment</w:t>
            </w:r>
            <w:r w:rsidR="000A5329" w:rsidRPr="002029AF">
              <w:t xml:space="preserve"> </w:t>
            </w:r>
            <w:r w:rsidRPr="002029AF">
              <w:t>and</w:t>
            </w:r>
            <w:r w:rsidR="000A5329" w:rsidRPr="002029AF">
              <w:t xml:space="preserve"> </w:t>
            </w:r>
            <w:r w:rsidRPr="002029AF">
              <w:t>vehicles</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tc>
        <w:tc>
          <w:tcPr>
            <w:tcW w:w="2041" w:type="dxa"/>
            <w:tcBorders>
              <w:top w:val="single" w:sz="4" w:space="0" w:color="A6A6A6"/>
              <w:bottom w:val="single" w:sz="4" w:space="0" w:color="A6A6A6"/>
            </w:tcBorders>
            <w:noWrap/>
            <w:hideMark/>
          </w:tcPr>
          <w:p w14:paraId="5DB5CCC0" w14:textId="77777777" w:rsidR="00087B91" w:rsidRPr="002029AF" w:rsidRDefault="00087B91" w:rsidP="00860E95">
            <w:pPr>
              <w:pStyle w:val="ARfintablebodyright"/>
            </w:pPr>
            <w:r w:rsidRPr="002029AF">
              <w:t>6.0</w:t>
            </w:r>
          </w:p>
        </w:tc>
        <w:tc>
          <w:tcPr>
            <w:tcW w:w="2041" w:type="dxa"/>
            <w:tcBorders>
              <w:top w:val="single" w:sz="4" w:space="0" w:color="A6A6A6"/>
              <w:bottom w:val="single" w:sz="4" w:space="0" w:color="A6A6A6"/>
            </w:tcBorders>
            <w:noWrap/>
            <w:hideMark/>
          </w:tcPr>
          <w:p w14:paraId="227CBF56" w14:textId="77777777" w:rsidR="00087B91" w:rsidRPr="002029AF" w:rsidRDefault="00087B91" w:rsidP="00860E95">
            <w:pPr>
              <w:pStyle w:val="ARfintablebodyright"/>
            </w:pPr>
            <w:r w:rsidRPr="002029AF">
              <w:t>(2.5)</w:t>
            </w:r>
          </w:p>
        </w:tc>
        <w:tc>
          <w:tcPr>
            <w:tcW w:w="2041" w:type="dxa"/>
            <w:tcBorders>
              <w:top w:val="single" w:sz="4" w:space="0" w:color="A6A6A6"/>
              <w:bottom w:val="single" w:sz="4" w:space="0" w:color="A6A6A6"/>
            </w:tcBorders>
            <w:noWrap/>
            <w:hideMark/>
          </w:tcPr>
          <w:p w14:paraId="26C51B10" w14:textId="77777777" w:rsidR="00087B91" w:rsidRPr="002029AF" w:rsidRDefault="00087B91" w:rsidP="00860E95">
            <w:pPr>
              <w:pStyle w:val="ARfintablebodyright"/>
            </w:pPr>
            <w:r w:rsidRPr="002029AF">
              <w:t>3.5</w:t>
            </w:r>
          </w:p>
        </w:tc>
      </w:tr>
      <w:tr w:rsidR="00087B91" w:rsidRPr="002029AF" w14:paraId="5637905A" w14:textId="77777777" w:rsidTr="00860E95">
        <w:trPr>
          <w:trHeight w:val="255"/>
        </w:trPr>
        <w:tc>
          <w:tcPr>
            <w:tcW w:w="3515" w:type="dxa"/>
            <w:tcBorders>
              <w:top w:val="single" w:sz="4" w:space="0" w:color="A6A6A6"/>
            </w:tcBorders>
            <w:hideMark/>
          </w:tcPr>
          <w:p w14:paraId="4B8787B0" w14:textId="37E04324" w:rsidR="00087B91" w:rsidRPr="002029AF" w:rsidRDefault="00087B91" w:rsidP="00860E95">
            <w:pPr>
              <w:pStyle w:val="ARfintablebody"/>
            </w:pPr>
            <w:r w:rsidRPr="002029AF">
              <w:t>Motor</w:t>
            </w:r>
            <w:r w:rsidR="000A5329" w:rsidRPr="002029AF">
              <w:t xml:space="preserve"> </w:t>
            </w:r>
            <w:r w:rsidRPr="002029AF">
              <w:t>vehicles</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tc>
        <w:tc>
          <w:tcPr>
            <w:tcW w:w="2041" w:type="dxa"/>
            <w:tcBorders>
              <w:top w:val="single" w:sz="4" w:space="0" w:color="A6A6A6"/>
            </w:tcBorders>
            <w:noWrap/>
            <w:hideMark/>
          </w:tcPr>
          <w:p w14:paraId="296D4694" w14:textId="77777777" w:rsidR="00087B91" w:rsidRPr="002029AF" w:rsidRDefault="00087B91" w:rsidP="00860E95">
            <w:pPr>
              <w:pStyle w:val="ARfintablebodyright"/>
            </w:pPr>
            <w:r w:rsidRPr="002029AF">
              <w:t>41.9</w:t>
            </w:r>
          </w:p>
        </w:tc>
        <w:tc>
          <w:tcPr>
            <w:tcW w:w="2041" w:type="dxa"/>
            <w:tcBorders>
              <w:top w:val="single" w:sz="4" w:space="0" w:color="A6A6A6"/>
            </w:tcBorders>
            <w:noWrap/>
            <w:hideMark/>
          </w:tcPr>
          <w:p w14:paraId="603954DC" w14:textId="77777777" w:rsidR="00087B91" w:rsidRPr="002029AF" w:rsidRDefault="00087B91" w:rsidP="00860E95">
            <w:pPr>
              <w:pStyle w:val="ARfintablebodyright"/>
            </w:pPr>
            <w:r w:rsidRPr="002029AF">
              <w:t>(11.7)</w:t>
            </w:r>
          </w:p>
        </w:tc>
        <w:tc>
          <w:tcPr>
            <w:tcW w:w="2041" w:type="dxa"/>
            <w:tcBorders>
              <w:top w:val="single" w:sz="4" w:space="0" w:color="A6A6A6"/>
            </w:tcBorders>
            <w:noWrap/>
            <w:hideMark/>
          </w:tcPr>
          <w:p w14:paraId="12796580" w14:textId="77777777" w:rsidR="00087B91" w:rsidRPr="002029AF" w:rsidRDefault="00087B91" w:rsidP="00860E95">
            <w:pPr>
              <w:pStyle w:val="ARfintablebodyright"/>
            </w:pPr>
            <w:r w:rsidRPr="002029AF">
              <w:t>30.2</w:t>
            </w:r>
          </w:p>
        </w:tc>
      </w:tr>
      <w:tr w:rsidR="00087B91" w:rsidRPr="002029AF" w14:paraId="78AF78B9" w14:textId="77777777" w:rsidTr="00860E95">
        <w:trPr>
          <w:trHeight w:val="255"/>
        </w:trPr>
        <w:tc>
          <w:tcPr>
            <w:tcW w:w="3515" w:type="dxa"/>
            <w:hideMark/>
          </w:tcPr>
          <w:p w14:paraId="2CA9B705" w14:textId="474A1A4C" w:rsidR="00087B91" w:rsidRPr="002029AF" w:rsidRDefault="00087B91" w:rsidP="00860E95">
            <w:pPr>
              <w:pStyle w:val="ARfintablebodybold"/>
            </w:pPr>
            <w:r w:rsidRPr="002029AF">
              <w:t>Net</w:t>
            </w:r>
            <w:r w:rsidR="000A5329" w:rsidRPr="002029AF">
              <w:t xml:space="preserve"> </w:t>
            </w:r>
            <w:r w:rsidRPr="002029AF">
              <w:t>carrying</w:t>
            </w:r>
            <w:r w:rsidR="000A5329" w:rsidRPr="002029AF">
              <w:t xml:space="preserve"> </w:t>
            </w:r>
            <w:r w:rsidRPr="002029AF">
              <w:t>amount</w:t>
            </w:r>
          </w:p>
        </w:tc>
        <w:tc>
          <w:tcPr>
            <w:tcW w:w="2041" w:type="dxa"/>
            <w:noWrap/>
            <w:hideMark/>
          </w:tcPr>
          <w:p w14:paraId="05DF0AFE" w14:textId="77777777" w:rsidR="00087B91" w:rsidRPr="002029AF" w:rsidRDefault="00087B91" w:rsidP="00860E95">
            <w:pPr>
              <w:pStyle w:val="ARfintablebodyrightbold"/>
            </w:pPr>
            <w:r w:rsidRPr="002029AF">
              <w:t>122.2</w:t>
            </w:r>
          </w:p>
        </w:tc>
        <w:tc>
          <w:tcPr>
            <w:tcW w:w="2041" w:type="dxa"/>
            <w:noWrap/>
            <w:hideMark/>
          </w:tcPr>
          <w:p w14:paraId="58B57363" w14:textId="77777777" w:rsidR="00087B91" w:rsidRPr="002029AF" w:rsidRDefault="00087B91" w:rsidP="00860E95">
            <w:pPr>
              <w:pStyle w:val="ARfintablebodyrightbold"/>
            </w:pPr>
            <w:r w:rsidRPr="002029AF">
              <w:t>(33.1)</w:t>
            </w:r>
          </w:p>
        </w:tc>
        <w:tc>
          <w:tcPr>
            <w:tcW w:w="2041" w:type="dxa"/>
            <w:noWrap/>
            <w:hideMark/>
          </w:tcPr>
          <w:p w14:paraId="441870E2" w14:textId="77777777" w:rsidR="00087B91" w:rsidRPr="002029AF" w:rsidRDefault="00087B91" w:rsidP="00860E95">
            <w:pPr>
              <w:pStyle w:val="ARfintablebodyrightbold"/>
            </w:pPr>
            <w:r w:rsidRPr="002029AF">
              <w:t>89.1</w:t>
            </w:r>
          </w:p>
        </w:tc>
      </w:tr>
    </w:tbl>
    <w:p w14:paraId="7EB73D40" w14:textId="77777777" w:rsidR="00087B91" w:rsidRPr="002029AF" w:rsidRDefault="00087B91" w:rsidP="00087B91">
      <w:pPr>
        <w:pStyle w:val="ARfinbody"/>
        <w:rPr>
          <w:highlight w:val="yellow"/>
        </w:rPr>
      </w:pPr>
      <w:r w:rsidRPr="002029AF">
        <w:rPr>
          <w:highlight w:val="yellow"/>
        </w:rPr>
        <w:br w:type="page"/>
      </w:r>
    </w:p>
    <w:tbl>
      <w:tblPr>
        <w:tblStyle w:val="TableGrid"/>
        <w:tblW w:w="9637" w:type="dxa"/>
        <w:tblLayout w:type="fixed"/>
        <w:tblLook w:val="06A0" w:firstRow="1" w:lastRow="0" w:firstColumn="1" w:lastColumn="0" w:noHBand="1" w:noVBand="1"/>
      </w:tblPr>
      <w:tblGrid>
        <w:gridCol w:w="3967"/>
        <w:gridCol w:w="1134"/>
        <w:gridCol w:w="1134"/>
        <w:gridCol w:w="1134"/>
        <w:gridCol w:w="1134"/>
        <w:gridCol w:w="1134"/>
      </w:tblGrid>
      <w:tr w:rsidR="00087B91" w:rsidRPr="002029AF" w14:paraId="14C396A0"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3967" w:type="dxa"/>
            <w:noWrap/>
            <w:hideMark/>
          </w:tcPr>
          <w:p w14:paraId="56B5BDC1" w14:textId="77777777" w:rsidR="00087B91" w:rsidRPr="002029AF" w:rsidRDefault="00087B91" w:rsidP="00860E95">
            <w:pPr>
              <w:pStyle w:val="ARfintablecolhead"/>
            </w:pPr>
          </w:p>
        </w:tc>
        <w:tc>
          <w:tcPr>
            <w:tcW w:w="1134" w:type="dxa"/>
            <w:hideMark/>
          </w:tcPr>
          <w:p w14:paraId="153D788C" w14:textId="77777777" w:rsidR="00087B91" w:rsidRPr="002029AF" w:rsidRDefault="00087B91" w:rsidP="00860E95">
            <w:pPr>
              <w:pStyle w:val="ARfintablecolheadright"/>
            </w:pPr>
            <w:r w:rsidRPr="002029AF">
              <w:t>Land</w:t>
            </w:r>
          </w:p>
          <w:p w14:paraId="724647C2" w14:textId="77777777" w:rsidR="00087B91" w:rsidRPr="002029AF" w:rsidRDefault="00087B91" w:rsidP="00860E95">
            <w:pPr>
              <w:pStyle w:val="ARfintablecolheadright"/>
            </w:pPr>
            <w:r w:rsidRPr="002029AF">
              <w:t>$M</w:t>
            </w:r>
          </w:p>
        </w:tc>
        <w:tc>
          <w:tcPr>
            <w:tcW w:w="1134" w:type="dxa"/>
            <w:hideMark/>
          </w:tcPr>
          <w:p w14:paraId="0D3BC076" w14:textId="77777777" w:rsidR="00087B91" w:rsidRPr="002029AF" w:rsidRDefault="00087B91" w:rsidP="00860E95">
            <w:pPr>
              <w:pStyle w:val="ARfintablecolheadright"/>
            </w:pPr>
            <w:r w:rsidRPr="002029AF">
              <w:t>Buildings</w:t>
            </w:r>
          </w:p>
          <w:p w14:paraId="48532065" w14:textId="77777777" w:rsidR="00087B91" w:rsidRPr="002029AF" w:rsidRDefault="00087B91" w:rsidP="00860E95">
            <w:pPr>
              <w:pStyle w:val="ARfintablecolheadright"/>
            </w:pPr>
            <w:r w:rsidRPr="002029AF">
              <w:t>$M</w:t>
            </w:r>
          </w:p>
        </w:tc>
        <w:tc>
          <w:tcPr>
            <w:tcW w:w="1134" w:type="dxa"/>
            <w:hideMark/>
          </w:tcPr>
          <w:p w14:paraId="380E9F01" w14:textId="026FB335" w:rsidR="00087B91" w:rsidRPr="002029AF" w:rsidRDefault="00087B91" w:rsidP="00860E95">
            <w:pPr>
              <w:pStyle w:val="ARfintablecolheadright"/>
            </w:pPr>
            <w:r w:rsidRPr="002029AF">
              <w:t>Plant</w:t>
            </w:r>
            <w:r w:rsidR="000A5329" w:rsidRPr="002029AF">
              <w:t xml:space="preserve"> </w:t>
            </w:r>
            <w:r w:rsidRPr="002029AF">
              <w:t>and</w:t>
            </w:r>
            <w:r w:rsidR="000A5329" w:rsidRPr="002029AF">
              <w:t xml:space="preserve"> </w:t>
            </w:r>
            <w:r w:rsidRPr="002029AF">
              <w:t>equipment</w:t>
            </w:r>
          </w:p>
          <w:p w14:paraId="23F6BAD0" w14:textId="77777777" w:rsidR="00087B91" w:rsidRPr="002029AF" w:rsidRDefault="00087B91" w:rsidP="00860E95">
            <w:pPr>
              <w:pStyle w:val="ARfintablecolheadright"/>
            </w:pPr>
            <w:r w:rsidRPr="002029AF">
              <w:t>$M</w:t>
            </w:r>
          </w:p>
        </w:tc>
        <w:tc>
          <w:tcPr>
            <w:tcW w:w="1134" w:type="dxa"/>
            <w:hideMark/>
          </w:tcPr>
          <w:p w14:paraId="4B69820C" w14:textId="72227C5A" w:rsidR="00087B91" w:rsidRPr="002029AF" w:rsidRDefault="00087B91" w:rsidP="00860E95">
            <w:pPr>
              <w:pStyle w:val="ARfintablecolheadright"/>
            </w:pPr>
            <w:r w:rsidRPr="002029AF">
              <w:t>Motor</w:t>
            </w:r>
            <w:r w:rsidR="000A5329" w:rsidRPr="002029AF">
              <w:t xml:space="preserve"> </w:t>
            </w:r>
            <w:r w:rsidRPr="002029AF">
              <w:t>vehicles</w:t>
            </w:r>
          </w:p>
          <w:p w14:paraId="29AEE0F3" w14:textId="77777777" w:rsidR="00087B91" w:rsidRPr="002029AF" w:rsidRDefault="00087B91" w:rsidP="00860E95">
            <w:pPr>
              <w:pStyle w:val="ARfintablecolheadright"/>
            </w:pPr>
            <w:r w:rsidRPr="002029AF">
              <w:t>$M</w:t>
            </w:r>
          </w:p>
        </w:tc>
        <w:tc>
          <w:tcPr>
            <w:tcW w:w="1134" w:type="dxa"/>
            <w:hideMark/>
          </w:tcPr>
          <w:p w14:paraId="34F894E8" w14:textId="77777777" w:rsidR="00087B91" w:rsidRPr="002029AF" w:rsidRDefault="00087B91" w:rsidP="00860E95">
            <w:pPr>
              <w:pStyle w:val="ARfintablecolheadright"/>
            </w:pPr>
            <w:r w:rsidRPr="002029AF">
              <w:t>Total</w:t>
            </w:r>
          </w:p>
          <w:p w14:paraId="3F755ED3" w14:textId="77777777" w:rsidR="00087B91" w:rsidRPr="002029AF" w:rsidRDefault="00087B91" w:rsidP="00860E95">
            <w:pPr>
              <w:pStyle w:val="ARfintablecolheadright"/>
            </w:pPr>
            <w:r w:rsidRPr="002029AF">
              <w:t>$M</w:t>
            </w:r>
          </w:p>
        </w:tc>
      </w:tr>
      <w:tr w:rsidR="00087B91" w:rsidRPr="002029AF" w14:paraId="0F7A02B1" w14:textId="77777777" w:rsidTr="00860E95">
        <w:tc>
          <w:tcPr>
            <w:tcW w:w="3967" w:type="dxa"/>
            <w:tcBorders>
              <w:top w:val="single" w:sz="4" w:space="0" w:color="auto"/>
              <w:bottom w:val="single" w:sz="4" w:space="0" w:color="A6A6A6"/>
            </w:tcBorders>
            <w:hideMark/>
          </w:tcPr>
          <w:p w14:paraId="2E764707" w14:textId="7ADCE9C3" w:rsidR="00087B91" w:rsidRPr="002029AF" w:rsidRDefault="00087B91" w:rsidP="00860E95">
            <w:pPr>
              <w:pStyle w:val="ARfintablebodybold"/>
            </w:pPr>
            <w:r w:rsidRPr="002029AF">
              <w:t>Opening</w:t>
            </w:r>
            <w:r w:rsidR="000A5329" w:rsidRPr="002029AF">
              <w:t xml:space="preserve"> </w:t>
            </w:r>
            <w:r w:rsidRPr="002029AF">
              <w:t>balance</w:t>
            </w:r>
            <w:r w:rsidR="000A5329" w:rsidRPr="002029AF">
              <w:t xml:space="preserve"> </w:t>
            </w:r>
            <w:r w:rsidRPr="002029AF">
              <w:t>–</w:t>
            </w:r>
            <w:r w:rsidR="000A5329" w:rsidRPr="002029AF">
              <w:t xml:space="preserve"> </w:t>
            </w:r>
            <w:r w:rsidRPr="002029AF">
              <w:t>1</w:t>
            </w:r>
            <w:r w:rsidR="000A5329" w:rsidRPr="002029AF">
              <w:t xml:space="preserve"> </w:t>
            </w:r>
            <w:r w:rsidRPr="002029AF">
              <w:t>July</w:t>
            </w:r>
            <w:r w:rsidR="000A5329" w:rsidRPr="002029AF">
              <w:t xml:space="preserve"> </w:t>
            </w:r>
            <w:r w:rsidRPr="002029AF">
              <w:t>2019</w:t>
            </w:r>
            <w:r w:rsidR="000A5329" w:rsidRPr="002029AF">
              <w:t xml:space="preserve"> </w:t>
            </w:r>
            <w:r w:rsidRPr="002029AF">
              <w:rPr>
                <w:rStyle w:val="Superscript"/>
              </w:rPr>
              <w:t>(i)</w:t>
            </w:r>
          </w:p>
        </w:tc>
        <w:tc>
          <w:tcPr>
            <w:tcW w:w="1134" w:type="dxa"/>
            <w:tcBorders>
              <w:top w:val="single" w:sz="4" w:space="0" w:color="auto"/>
              <w:bottom w:val="single" w:sz="4" w:space="0" w:color="A6A6A6"/>
            </w:tcBorders>
            <w:noWrap/>
            <w:hideMark/>
          </w:tcPr>
          <w:p w14:paraId="0A8F954A" w14:textId="77777777" w:rsidR="00087B91" w:rsidRPr="002029AF" w:rsidRDefault="00087B91" w:rsidP="00860E95">
            <w:pPr>
              <w:pStyle w:val="ARfintablebodyright"/>
            </w:pPr>
            <w:r w:rsidRPr="002029AF">
              <w:t>11.5</w:t>
            </w:r>
          </w:p>
        </w:tc>
        <w:tc>
          <w:tcPr>
            <w:tcW w:w="1134" w:type="dxa"/>
            <w:tcBorders>
              <w:top w:val="single" w:sz="4" w:space="0" w:color="auto"/>
              <w:bottom w:val="single" w:sz="4" w:space="0" w:color="A6A6A6"/>
            </w:tcBorders>
            <w:noWrap/>
            <w:hideMark/>
          </w:tcPr>
          <w:p w14:paraId="415EDEC5" w14:textId="77777777" w:rsidR="00087B91" w:rsidRPr="002029AF" w:rsidRDefault="00087B91" w:rsidP="00860E95">
            <w:pPr>
              <w:pStyle w:val="ARfintablebodyright"/>
            </w:pPr>
            <w:r w:rsidRPr="002029AF">
              <w:t>572.5</w:t>
            </w:r>
          </w:p>
        </w:tc>
        <w:tc>
          <w:tcPr>
            <w:tcW w:w="1134" w:type="dxa"/>
            <w:tcBorders>
              <w:top w:val="single" w:sz="4" w:space="0" w:color="auto"/>
              <w:bottom w:val="single" w:sz="4" w:space="0" w:color="A6A6A6"/>
            </w:tcBorders>
            <w:noWrap/>
            <w:hideMark/>
          </w:tcPr>
          <w:p w14:paraId="6F950FD1" w14:textId="77777777" w:rsidR="00087B91" w:rsidRPr="002029AF" w:rsidRDefault="00087B91" w:rsidP="00860E95">
            <w:pPr>
              <w:pStyle w:val="ARfintablebodyright"/>
            </w:pPr>
            <w:r w:rsidRPr="002029AF">
              <w:t>4.7</w:t>
            </w:r>
          </w:p>
        </w:tc>
        <w:tc>
          <w:tcPr>
            <w:tcW w:w="1134" w:type="dxa"/>
            <w:tcBorders>
              <w:top w:val="single" w:sz="4" w:space="0" w:color="auto"/>
              <w:bottom w:val="single" w:sz="4" w:space="0" w:color="A6A6A6"/>
            </w:tcBorders>
            <w:noWrap/>
            <w:hideMark/>
          </w:tcPr>
          <w:p w14:paraId="448CC67A" w14:textId="77777777" w:rsidR="00087B91" w:rsidRPr="002029AF" w:rsidRDefault="00087B91" w:rsidP="00860E95">
            <w:pPr>
              <w:pStyle w:val="ARfintablebodyright"/>
            </w:pPr>
            <w:r w:rsidRPr="002029AF">
              <w:t>36.1</w:t>
            </w:r>
          </w:p>
        </w:tc>
        <w:tc>
          <w:tcPr>
            <w:tcW w:w="1134" w:type="dxa"/>
            <w:tcBorders>
              <w:top w:val="single" w:sz="4" w:space="0" w:color="auto"/>
              <w:bottom w:val="single" w:sz="4" w:space="0" w:color="A6A6A6"/>
            </w:tcBorders>
            <w:noWrap/>
            <w:hideMark/>
          </w:tcPr>
          <w:p w14:paraId="67A71268" w14:textId="77777777" w:rsidR="00087B91" w:rsidRPr="002029AF" w:rsidRDefault="00087B91" w:rsidP="00860E95">
            <w:pPr>
              <w:pStyle w:val="ARfintablebodyright"/>
            </w:pPr>
            <w:r w:rsidRPr="002029AF">
              <w:t>624.8</w:t>
            </w:r>
          </w:p>
        </w:tc>
      </w:tr>
      <w:tr w:rsidR="00087B91" w:rsidRPr="002029AF" w14:paraId="42537094" w14:textId="77777777" w:rsidTr="00860E95">
        <w:tc>
          <w:tcPr>
            <w:tcW w:w="3967" w:type="dxa"/>
            <w:tcBorders>
              <w:top w:val="single" w:sz="4" w:space="0" w:color="A6A6A6"/>
              <w:bottom w:val="single" w:sz="4" w:space="0" w:color="A6A6A6"/>
            </w:tcBorders>
            <w:hideMark/>
          </w:tcPr>
          <w:p w14:paraId="56C5EAC9" w14:textId="77777777" w:rsidR="00087B91" w:rsidRPr="002029AF" w:rsidRDefault="00087B91" w:rsidP="00860E95">
            <w:pPr>
              <w:pStyle w:val="ARfintablebody"/>
            </w:pPr>
            <w:r w:rsidRPr="002029AF">
              <w:t>Additions</w:t>
            </w:r>
          </w:p>
        </w:tc>
        <w:tc>
          <w:tcPr>
            <w:tcW w:w="1134" w:type="dxa"/>
            <w:tcBorders>
              <w:top w:val="single" w:sz="4" w:space="0" w:color="A6A6A6"/>
              <w:bottom w:val="single" w:sz="4" w:space="0" w:color="A6A6A6"/>
            </w:tcBorders>
            <w:noWrap/>
            <w:hideMark/>
          </w:tcPr>
          <w:p w14:paraId="01CCFA7D"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2FB23C3E" w14:textId="77777777" w:rsidR="00087B91" w:rsidRPr="002029AF" w:rsidRDefault="00087B91" w:rsidP="00860E95">
            <w:pPr>
              <w:pStyle w:val="ARfintablebodyright"/>
            </w:pPr>
            <w:r w:rsidRPr="002029AF">
              <w:t>27.7</w:t>
            </w:r>
          </w:p>
        </w:tc>
        <w:tc>
          <w:tcPr>
            <w:tcW w:w="1134" w:type="dxa"/>
            <w:tcBorders>
              <w:top w:val="single" w:sz="4" w:space="0" w:color="A6A6A6"/>
              <w:bottom w:val="single" w:sz="4" w:space="0" w:color="A6A6A6"/>
            </w:tcBorders>
            <w:noWrap/>
            <w:hideMark/>
          </w:tcPr>
          <w:p w14:paraId="63BDDE28" w14:textId="77777777" w:rsidR="00087B91" w:rsidRPr="002029AF" w:rsidRDefault="00087B91" w:rsidP="00860E95">
            <w:pPr>
              <w:pStyle w:val="ARfintablebodyright"/>
            </w:pPr>
            <w:r w:rsidRPr="002029AF">
              <w:t>1.3</w:t>
            </w:r>
          </w:p>
        </w:tc>
        <w:tc>
          <w:tcPr>
            <w:tcW w:w="1134" w:type="dxa"/>
            <w:tcBorders>
              <w:top w:val="single" w:sz="4" w:space="0" w:color="A6A6A6"/>
              <w:bottom w:val="single" w:sz="4" w:space="0" w:color="A6A6A6"/>
            </w:tcBorders>
            <w:noWrap/>
            <w:hideMark/>
          </w:tcPr>
          <w:p w14:paraId="060087E4" w14:textId="77777777" w:rsidR="00087B91" w:rsidRPr="002029AF" w:rsidRDefault="00087B91" w:rsidP="00860E95">
            <w:pPr>
              <w:pStyle w:val="ARfintablebodyright"/>
            </w:pPr>
            <w:r w:rsidRPr="002029AF">
              <w:t>15.1</w:t>
            </w:r>
          </w:p>
        </w:tc>
        <w:tc>
          <w:tcPr>
            <w:tcW w:w="1134" w:type="dxa"/>
            <w:tcBorders>
              <w:top w:val="single" w:sz="4" w:space="0" w:color="A6A6A6"/>
              <w:bottom w:val="single" w:sz="4" w:space="0" w:color="A6A6A6"/>
            </w:tcBorders>
            <w:noWrap/>
            <w:hideMark/>
          </w:tcPr>
          <w:p w14:paraId="5D69E3C2" w14:textId="77777777" w:rsidR="00087B91" w:rsidRPr="002029AF" w:rsidRDefault="00087B91" w:rsidP="00860E95">
            <w:pPr>
              <w:pStyle w:val="ARfintablebodyright"/>
            </w:pPr>
            <w:r w:rsidRPr="002029AF">
              <w:t>44.1</w:t>
            </w:r>
          </w:p>
        </w:tc>
      </w:tr>
      <w:tr w:rsidR="00087B91" w:rsidRPr="002029AF" w14:paraId="0DC3E171" w14:textId="77777777" w:rsidTr="00860E95">
        <w:tc>
          <w:tcPr>
            <w:tcW w:w="3967" w:type="dxa"/>
            <w:tcBorders>
              <w:top w:val="single" w:sz="4" w:space="0" w:color="A6A6A6"/>
              <w:bottom w:val="single" w:sz="4" w:space="0" w:color="A6A6A6"/>
            </w:tcBorders>
            <w:hideMark/>
          </w:tcPr>
          <w:p w14:paraId="1612B536" w14:textId="24479E43" w:rsidR="00087B91" w:rsidRPr="002029AF" w:rsidRDefault="00087B91" w:rsidP="00860E95">
            <w:pPr>
              <w:pStyle w:val="ARfintablebody"/>
            </w:pPr>
            <w:r w:rsidRPr="002029AF">
              <w:t>Transfers</w:t>
            </w:r>
            <w:r w:rsidR="000A5329" w:rsidRPr="002029AF">
              <w:t xml:space="preserve"> </w:t>
            </w:r>
            <w:r w:rsidRPr="002029AF">
              <w:rPr>
                <w:rStyle w:val="Superscript"/>
              </w:rPr>
              <w:t>(ii)</w:t>
            </w:r>
          </w:p>
        </w:tc>
        <w:tc>
          <w:tcPr>
            <w:tcW w:w="1134" w:type="dxa"/>
            <w:tcBorders>
              <w:top w:val="single" w:sz="4" w:space="0" w:color="A6A6A6"/>
              <w:bottom w:val="single" w:sz="4" w:space="0" w:color="A6A6A6"/>
            </w:tcBorders>
            <w:noWrap/>
            <w:hideMark/>
          </w:tcPr>
          <w:p w14:paraId="66BE8B1E"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36EBE813" w14:textId="77777777" w:rsidR="00087B91" w:rsidRPr="002029AF" w:rsidRDefault="00087B91" w:rsidP="00860E95">
            <w:pPr>
              <w:pStyle w:val="ARfintablebodyright"/>
            </w:pPr>
            <w:r w:rsidRPr="002029AF">
              <w:t>(527.3)</w:t>
            </w:r>
          </w:p>
        </w:tc>
        <w:tc>
          <w:tcPr>
            <w:tcW w:w="1134" w:type="dxa"/>
            <w:tcBorders>
              <w:top w:val="single" w:sz="4" w:space="0" w:color="A6A6A6"/>
              <w:bottom w:val="single" w:sz="4" w:space="0" w:color="A6A6A6"/>
            </w:tcBorders>
            <w:noWrap/>
            <w:hideMark/>
          </w:tcPr>
          <w:p w14:paraId="1332E324"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2240A56F" w14:textId="77777777" w:rsidR="00087B91" w:rsidRPr="002029AF" w:rsidRDefault="00087B91" w:rsidP="00860E95">
            <w:pPr>
              <w:pStyle w:val="ARfintablebodyright"/>
            </w:pPr>
            <w:r w:rsidRPr="002029AF">
              <w:t>(4.9)</w:t>
            </w:r>
          </w:p>
        </w:tc>
        <w:tc>
          <w:tcPr>
            <w:tcW w:w="1134" w:type="dxa"/>
            <w:tcBorders>
              <w:top w:val="single" w:sz="4" w:space="0" w:color="A6A6A6"/>
              <w:bottom w:val="single" w:sz="4" w:space="0" w:color="A6A6A6"/>
            </w:tcBorders>
            <w:noWrap/>
            <w:hideMark/>
          </w:tcPr>
          <w:p w14:paraId="2517667F" w14:textId="77777777" w:rsidR="00087B91" w:rsidRPr="002029AF" w:rsidRDefault="00087B91" w:rsidP="00860E95">
            <w:pPr>
              <w:pStyle w:val="ARfintablebodyright"/>
            </w:pPr>
            <w:r w:rsidRPr="002029AF">
              <w:t>(532.2)</w:t>
            </w:r>
          </w:p>
        </w:tc>
      </w:tr>
      <w:tr w:rsidR="00087B91" w:rsidRPr="002029AF" w14:paraId="172FF7D6" w14:textId="77777777" w:rsidTr="00860E95">
        <w:tc>
          <w:tcPr>
            <w:tcW w:w="3967" w:type="dxa"/>
            <w:tcBorders>
              <w:top w:val="single" w:sz="4" w:space="0" w:color="A6A6A6"/>
              <w:bottom w:val="single" w:sz="4" w:space="0" w:color="A6A6A6"/>
            </w:tcBorders>
            <w:hideMark/>
          </w:tcPr>
          <w:p w14:paraId="2EAC7495" w14:textId="13D052E6" w:rsidR="00087B91" w:rsidRPr="002029AF" w:rsidRDefault="00087B91" w:rsidP="00860E95">
            <w:pPr>
              <w:pStyle w:val="ARfintablebody"/>
            </w:pPr>
            <w:r w:rsidRPr="002029AF">
              <w:t>Lease</w:t>
            </w:r>
            <w:r w:rsidR="000A5329" w:rsidRPr="002029AF">
              <w:t xml:space="preserve"> </w:t>
            </w:r>
            <w:r w:rsidRPr="002029AF">
              <w:t>modifications</w:t>
            </w:r>
          </w:p>
        </w:tc>
        <w:tc>
          <w:tcPr>
            <w:tcW w:w="1134" w:type="dxa"/>
            <w:tcBorders>
              <w:top w:val="single" w:sz="4" w:space="0" w:color="A6A6A6"/>
              <w:bottom w:val="single" w:sz="4" w:space="0" w:color="A6A6A6"/>
            </w:tcBorders>
            <w:noWrap/>
            <w:hideMark/>
          </w:tcPr>
          <w:p w14:paraId="29014B60" w14:textId="77777777" w:rsidR="00087B91" w:rsidRPr="002029AF" w:rsidRDefault="00087B91" w:rsidP="00860E95">
            <w:pPr>
              <w:pStyle w:val="ARfintablebodyright"/>
            </w:pPr>
            <w:r w:rsidRPr="002029AF">
              <w:t>0.1</w:t>
            </w:r>
          </w:p>
        </w:tc>
        <w:tc>
          <w:tcPr>
            <w:tcW w:w="1134" w:type="dxa"/>
            <w:tcBorders>
              <w:top w:val="single" w:sz="4" w:space="0" w:color="A6A6A6"/>
              <w:bottom w:val="single" w:sz="4" w:space="0" w:color="A6A6A6"/>
            </w:tcBorders>
            <w:noWrap/>
            <w:hideMark/>
          </w:tcPr>
          <w:p w14:paraId="31B57426" w14:textId="77777777" w:rsidR="00087B91" w:rsidRPr="002029AF" w:rsidRDefault="00087B91" w:rsidP="00860E95">
            <w:pPr>
              <w:pStyle w:val="ARfintablebodyright"/>
            </w:pPr>
            <w:r w:rsidRPr="002029AF">
              <w:t>11.8</w:t>
            </w:r>
          </w:p>
        </w:tc>
        <w:tc>
          <w:tcPr>
            <w:tcW w:w="1134" w:type="dxa"/>
            <w:tcBorders>
              <w:top w:val="single" w:sz="4" w:space="0" w:color="A6A6A6"/>
              <w:bottom w:val="single" w:sz="4" w:space="0" w:color="A6A6A6"/>
            </w:tcBorders>
            <w:noWrap/>
            <w:hideMark/>
          </w:tcPr>
          <w:p w14:paraId="19359A38"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386A039A"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5618F9B2" w14:textId="77777777" w:rsidR="00087B91" w:rsidRPr="002029AF" w:rsidRDefault="00087B91" w:rsidP="00860E95">
            <w:pPr>
              <w:pStyle w:val="ARfintablebodyright"/>
            </w:pPr>
            <w:r w:rsidRPr="002029AF">
              <w:t>11.9</w:t>
            </w:r>
          </w:p>
        </w:tc>
      </w:tr>
      <w:tr w:rsidR="00087B91" w:rsidRPr="002029AF" w14:paraId="77895889" w14:textId="77777777" w:rsidTr="00860E95">
        <w:tc>
          <w:tcPr>
            <w:tcW w:w="3967" w:type="dxa"/>
            <w:tcBorders>
              <w:top w:val="single" w:sz="4" w:space="0" w:color="A6A6A6"/>
              <w:bottom w:val="single" w:sz="4" w:space="0" w:color="A6A6A6"/>
            </w:tcBorders>
            <w:hideMark/>
          </w:tcPr>
          <w:p w14:paraId="26437BE0" w14:textId="77777777" w:rsidR="00087B91" w:rsidRPr="002029AF" w:rsidRDefault="00087B91" w:rsidP="00860E95">
            <w:pPr>
              <w:pStyle w:val="ARfintablebody"/>
            </w:pPr>
            <w:r w:rsidRPr="002029AF">
              <w:t>Disposals</w:t>
            </w:r>
          </w:p>
        </w:tc>
        <w:tc>
          <w:tcPr>
            <w:tcW w:w="1134" w:type="dxa"/>
            <w:tcBorders>
              <w:top w:val="single" w:sz="4" w:space="0" w:color="A6A6A6"/>
              <w:bottom w:val="single" w:sz="4" w:space="0" w:color="A6A6A6"/>
            </w:tcBorders>
            <w:noWrap/>
            <w:hideMark/>
          </w:tcPr>
          <w:p w14:paraId="05F3FD85"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7C51932E" w14:textId="77777777" w:rsidR="00087B91" w:rsidRPr="002029AF" w:rsidRDefault="00087B91" w:rsidP="00860E95">
            <w:pPr>
              <w:pStyle w:val="ARfintablebodyright"/>
            </w:pPr>
            <w:r w:rsidRPr="002029AF">
              <w:t>(0.5)</w:t>
            </w:r>
          </w:p>
        </w:tc>
        <w:tc>
          <w:tcPr>
            <w:tcW w:w="1134" w:type="dxa"/>
            <w:tcBorders>
              <w:top w:val="single" w:sz="4" w:space="0" w:color="A6A6A6"/>
              <w:bottom w:val="single" w:sz="4" w:space="0" w:color="A6A6A6"/>
            </w:tcBorders>
            <w:noWrap/>
            <w:hideMark/>
          </w:tcPr>
          <w:p w14:paraId="608850EF"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6895B92A" w14:textId="77777777" w:rsidR="00087B91" w:rsidRPr="002029AF" w:rsidRDefault="00087B91" w:rsidP="00860E95">
            <w:pPr>
              <w:pStyle w:val="ARfintablebodyright"/>
            </w:pPr>
            <w:r w:rsidRPr="002029AF">
              <w:t>(7.3)</w:t>
            </w:r>
          </w:p>
        </w:tc>
        <w:tc>
          <w:tcPr>
            <w:tcW w:w="1134" w:type="dxa"/>
            <w:tcBorders>
              <w:top w:val="single" w:sz="4" w:space="0" w:color="A6A6A6"/>
              <w:bottom w:val="single" w:sz="4" w:space="0" w:color="A6A6A6"/>
            </w:tcBorders>
            <w:noWrap/>
            <w:hideMark/>
          </w:tcPr>
          <w:p w14:paraId="52ED6004" w14:textId="77777777" w:rsidR="00087B91" w:rsidRPr="002029AF" w:rsidRDefault="00087B91" w:rsidP="00860E95">
            <w:pPr>
              <w:pStyle w:val="ARfintablebodyright"/>
            </w:pPr>
            <w:r w:rsidRPr="002029AF">
              <w:t>(7.8)</w:t>
            </w:r>
          </w:p>
        </w:tc>
      </w:tr>
      <w:tr w:rsidR="00087B91" w:rsidRPr="002029AF" w14:paraId="3E52478B" w14:textId="77777777" w:rsidTr="00860E95">
        <w:tc>
          <w:tcPr>
            <w:tcW w:w="3967" w:type="dxa"/>
            <w:tcBorders>
              <w:top w:val="single" w:sz="4" w:space="0" w:color="A6A6A6"/>
            </w:tcBorders>
            <w:hideMark/>
          </w:tcPr>
          <w:p w14:paraId="6B166CDD" w14:textId="77777777" w:rsidR="00087B91" w:rsidRPr="002029AF" w:rsidRDefault="00087B91" w:rsidP="00860E95">
            <w:pPr>
              <w:pStyle w:val="ARfintablebody"/>
            </w:pPr>
            <w:r w:rsidRPr="002029AF">
              <w:t>Depreciation</w:t>
            </w:r>
          </w:p>
        </w:tc>
        <w:tc>
          <w:tcPr>
            <w:tcW w:w="1134" w:type="dxa"/>
            <w:tcBorders>
              <w:top w:val="single" w:sz="4" w:space="0" w:color="A6A6A6"/>
            </w:tcBorders>
            <w:noWrap/>
            <w:hideMark/>
          </w:tcPr>
          <w:p w14:paraId="565B461B" w14:textId="77777777" w:rsidR="00087B91" w:rsidRPr="002029AF" w:rsidRDefault="00087B91" w:rsidP="00860E95">
            <w:pPr>
              <w:pStyle w:val="ARfintablebodyright"/>
            </w:pPr>
            <w:r w:rsidRPr="002029AF">
              <w:t>(0.8)</w:t>
            </w:r>
          </w:p>
        </w:tc>
        <w:tc>
          <w:tcPr>
            <w:tcW w:w="1134" w:type="dxa"/>
            <w:tcBorders>
              <w:top w:val="single" w:sz="4" w:space="0" w:color="A6A6A6"/>
            </w:tcBorders>
            <w:noWrap/>
            <w:hideMark/>
          </w:tcPr>
          <w:p w14:paraId="069D6256" w14:textId="77777777" w:rsidR="00087B91" w:rsidRPr="002029AF" w:rsidRDefault="00087B91" w:rsidP="00860E95">
            <w:pPr>
              <w:pStyle w:val="ARfintablebodyright"/>
            </w:pPr>
            <w:r w:rsidRPr="002029AF">
              <w:t>(39.6)</w:t>
            </w:r>
          </w:p>
        </w:tc>
        <w:tc>
          <w:tcPr>
            <w:tcW w:w="1134" w:type="dxa"/>
            <w:tcBorders>
              <w:top w:val="single" w:sz="4" w:space="0" w:color="A6A6A6"/>
            </w:tcBorders>
            <w:noWrap/>
            <w:hideMark/>
          </w:tcPr>
          <w:p w14:paraId="5ED23FA1" w14:textId="77777777" w:rsidR="00087B91" w:rsidRPr="002029AF" w:rsidRDefault="00087B91" w:rsidP="00860E95">
            <w:pPr>
              <w:pStyle w:val="ARfintablebodyright"/>
            </w:pPr>
            <w:r w:rsidRPr="002029AF">
              <w:t>(2.5)</w:t>
            </w:r>
          </w:p>
        </w:tc>
        <w:tc>
          <w:tcPr>
            <w:tcW w:w="1134" w:type="dxa"/>
            <w:tcBorders>
              <w:top w:val="single" w:sz="4" w:space="0" w:color="A6A6A6"/>
            </w:tcBorders>
            <w:noWrap/>
            <w:hideMark/>
          </w:tcPr>
          <w:p w14:paraId="42DFDAC8" w14:textId="77777777" w:rsidR="00087B91" w:rsidRPr="002029AF" w:rsidRDefault="00087B91" w:rsidP="00860E95">
            <w:pPr>
              <w:pStyle w:val="ARfintablebodyright"/>
            </w:pPr>
            <w:r w:rsidRPr="002029AF">
              <w:t>(8.8)</w:t>
            </w:r>
          </w:p>
        </w:tc>
        <w:tc>
          <w:tcPr>
            <w:tcW w:w="1134" w:type="dxa"/>
            <w:tcBorders>
              <w:top w:val="single" w:sz="4" w:space="0" w:color="A6A6A6"/>
            </w:tcBorders>
            <w:noWrap/>
            <w:hideMark/>
          </w:tcPr>
          <w:p w14:paraId="20D8F596" w14:textId="77777777" w:rsidR="00087B91" w:rsidRPr="002029AF" w:rsidRDefault="00087B91" w:rsidP="00860E95">
            <w:pPr>
              <w:pStyle w:val="ARfintablebodyright"/>
            </w:pPr>
            <w:r w:rsidRPr="002029AF">
              <w:t>(51.7)</w:t>
            </w:r>
          </w:p>
        </w:tc>
      </w:tr>
      <w:tr w:rsidR="00087B91" w:rsidRPr="002029AF" w14:paraId="39E2F60C" w14:textId="77777777" w:rsidTr="00860E95">
        <w:tc>
          <w:tcPr>
            <w:tcW w:w="3967" w:type="dxa"/>
            <w:hideMark/>
          </w:tcPr>
          <w:p w14:paraId="758F8758" w14:textId="1E9DB7F6" w:rsidR="00087B91" w:rsidRPr="002029AF" w:rsidRDefault="00087B91" w:rsidP="00860E95">
            <w:pPr>
              <w:pStyle w:val="ARfintablebodybold"/>
            </w:pPr>
            <w:r w:rsidRPr="002029AF">
              <w:t>Closing</w:t>
            </w:r>
            <w:r w:rsidR="000A5329" w:rsidRPr="002029AF">
              <w:t xml:space="preserve"> </w:t>
            </w:r>
            <w:r w:rsidRPr="002029AF">
              <w:t>balance</w:t>
            </w:r>
            <w:r w:rsidR="000A5329" w:rsidRPr="002029AF">
              <w:t xml:space="preserve"> </w:t>
            </w:r>
            <w:r w:rsidRPr="002029AF">
              <w:t>–</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p>
        </w:tc>
        <w:tc>
          <w:tcPr>
            <w:tcW w:w="1134" w:type="dxa"/>
            <w:noWrap/>
            <w:hideMark/>
          </w:tcPr>
          <w:p w14:paraId="1E4831BC" w14:textId="77777777" w:rsidR="00087B91" w:rsidRPr="002029AF" w:rsidRDefault="00087B91" w:rsidP="00860E95">
            <w:pPr>
              <w:pStyle w:val="ARfintablebodyrightbold"/>
            </w:pPr>
            <w:r w:rsidRPr="002029AF">
              <w:t>10.8</w:t>
            </w:r>
          </w:p>
        </w:tc>
        <w:tc>
          <w:tcPr>
            <w:tcW w:w="1134" w:type="dxa"/>
            <w:noWrap/>
            <w:hideMark/>
          </w:tcPr>
          <w:p w14:paraId="52A8A906" w14:textId="77777777" w:rsidR="00087B91" w:rsidRPr="002029AF" w:rsidRDefault="00087B91" w:rsidP="00860E95">
            <w:pPr>
              <w:pStyle w:val="ARfintablebodyrightbold"/>
            </w:pPr>
            <w:r w:rsidRPr="002029AF">
              <w:t>44.6</w:t>
            </w:r>
          </w:p>
        </w:tc>
        <w:tc>
          <w:tcPr>
            <w:tcW w:w="1134" w:type="dxa"/>
            <w:noWrap/>
            <w:hideMark/>
          </w:tcPr>
          <w:p w14:paraId="2B694012" w14:textId="77777777" w:rsidR="00087B91" w:rsidRPr="002029AF" w:rsidRDefault="00087B91" w:rsidP="00860E95">
            <w:pPr>
              <w:pStyle w:val="ARfintablebodyrightbold"/>
            </w:pPr>
            <w:r w:rsidRPr="002029AF">
              <w:t>3.5</w:t>
            </w:r>
          </w:p>
        </w:tc>
        <w:tc>
          <w:tcPr>
            <w:tcW w:w="1134" w:type="dxa"/>
            <w:noWrap/>
            <w:hideMark/>
          </w:tcPr>
          <w:p w14:paraId="7FCBB3CC" w14:textId="77777777" w:rsidR="00087B91" w:rsidRPr="002029AF" w:rsidRDefault="00087B91" w:rsidP="00860E95">
            <w:pPr>
              <w:pStyle w:val="ARfintablebodyrightbold"/>
            </w:pPr>
            <w:r w:rsidRPr="002029AF">
              <w:t>30.2</w:t>
            </w:r>
          </w:p>
        </w:tc>
        <w:tc>
          <w:tcPr>
            <w:tcW w:w="1134" w:type="dxa"/>
            <w:noWrap/>
            <w:hideMark/>
          </w:tcPr>
          <w:p w14:paraId="44BDA154" w14:textId="77777777" w:rsidR="00087B91" w:rsidRPr="002029AF" w:rsidRDefault="00087B91" w:rsidP="00860E95">
            <w:pPr>
              <w:pStyle w:val="ARfintablebodyrightbold"/>
            </w:pPr>
            <w:r w:rsidRPr="002029AF">
              <w:t>89.1</w:t>
            </w:r>
          </w:p>
        </w:tc>
      </w:tr>
    </w:tbl>
    <w:p w14:paraId="5305FEBA" w14:textId="77777777" w:rsidR="00087B91" w:rsidRPr="002029AF" w:rsidRDefault="00087B91" w:rsidP="00087B91">
      <w:pPr>
        <w:pStyle w:val="ARfintablefootnote"/>
      </w:pPr>
      <w:r w:rsidRPr="002029AF">
        <w:t>Notes:</w:t>
      </w:r>
    </w:p>
    <w:p w14:paraId="280A13A4" w14:textId="615CCFF5" w:rsidR="00087B91" w:rsidRPr="002029AF" w:rsidRDefault="00087B91" w:rsidP="00087B91">
      <w:pPr>
        <w:pStyle w:val="ARfintablefootnoteindent"/>
      </w:pPr>
      <w:r w:rsidRPr="002029AF">
        <w:t>(i)</w:t>
      </w:r>
      <w:r w:rsidRPr="002029AF">
        <w:tab/>
        <w:t>This</w:t>
      </w:r>
      <w:r w:rsidR="000A5329" w:rsidRPr="002029AF">
        <w:t xml:space="preserve"> </w:t>
      </w:r>
      <w:r w:rsidRPr="002029AF">
        <w:t>balance</w:t>
      </w:r>
      <w:r w:rsidR="000A5329" w:rsidRPr="002029AF">
        <w:t xml:space="preserve"> </w:t>
      </w:r>
      <w:r w:rsidRPr="002029AF">
        <w:t>represents</w:t>
      </w:r>
      <w:r w:rsidR="000A5329" w:rsidRPr="002029AF">
        <w:t xml:space="preserve"> </w:t>
      </w:r>
      <w:r w:rsidRPr="002029AF">
        <w:t>the</w:t>
      </w:r>
      <w:r w:rsidR="000A5329" w:rsidRPr="002029AF">
        <w:t xml:space="preserve"> </w:t>
      </w:r>
      <w:r w:rsidRPr="002029AF">
        <w:t>initial</w:t>
      </w:r>
      <w:r w:rsidR="000A5329" w:rsidRPr="002029AF">
        <w:t xml:space="preserve"> </w:t>
      </w:r>
      <w:r w:rsidRPr="002029AF">
        <w:t>recognition</w:t>
      </w:r>
      <w:r w:rsidR="000A5329" w:rsidRPr="002029AF">
        <w:t xml:space="preserve"> </w:t>
      </w:r>
      <w:r w:rsidRPr="002029AF">
        <w:t>of</w:t>
      </w:r>
      <w:r w:rsidR="000A5329" w:rsidRPr="002029AF">
        <w:t xml:space="preserve"> </w:t>
      </w:r>
      <w:r w:rsidRPr="002029AF">
        <w:t>right-of-use</w:t>
      </w:r>
      <w:r w:rsidR="000A5329" w:rsidRPr="002029AF">
        <w:t xml:space="preserve"> </w:t>
      </w:r>
      <w:r w:rsidRPr="002029AF">
        <w:t>assets</w:t>
      </w:r>
      <w:r w:rsidR="000A5329" w:rsidRPr="002029AF">
        <w:t xml:space="preserve"> </w:t>
      </w:r>
      <w:r w:rsidRPr="002029AF">
        <w:t>recorded</w:t>
      </w:r>
      <w:r w:rsidR="000A5329" w:rsidRPr="002029AF">
        <w:t xml:space="preserve"> </w:t>
      </w:r>
      <w:r w:rsidRPr="002029AF">
        <w:t>on</w:t>
      </w:r>
      <w:r w:rsidR="000A5329" w:rsidRPr="002029AF">
        <w:t xml:space="preserve"> </w:t>
      </w:r>
      <w:r w:rsidRPr="002029AF">
        <w:t>the</w:t>
      </w:r>
      <w:r w:rsidR="000A5329" w:rsidRPr="002029AF">
        <w:t xml:space="preserve"> </w:t>
      </w:r>
      <w:r w:rsidRPr="002029AF">
        <w:t>balance</w:t>
      </w:r>
      <w:r w:rsidR="000A5329" w:rsidRPr="002029AF">
        <w:t xml:space="preserve"> </w:t>
      </w:r>
      <w:r w:rsidRPr="002029AF">
        <w:t>sheet</w:t>
      </w:r>
      <w:r w:rsidR="000A5329" w:rsidRPr="002029AF">
        <w:t xml:space="preserve"> </w:t>
      </w:r>
      <w:r w:rsidRPr="002029AF">
        <w:t>on</w:t>
      </w:r>
      <w:r w:rsidR="000A5329" w:rsidRPr="002029AF">
        <w:t xml:space="preserve"> </w:t>
      </w:r>
      <w:r w:rsidRPr="002029AF">
        <w:t>1</w:t>
      </w:r>
      <w:r w:rsidR="000A5329" w:rsidRPr="002029AF">
        <w:t xml:space="preserve"> </w:t>
      </w:r>
      <w:r w:rsidRPr="002029AF">
        <w:t>July</w:t>
      </w:r>
      <w:r w:rsidR="000A5329" w:rsidRPr="002029AF">
        <w:t xml:space="preserve"> </w:t>
      </w:r>
      <w:r w:rsidRPr="002029AF">
        <w:t>2019</w:t>
      </w:r>
      <w:r w:rsidR="000A5329" w:rsidRPr="002029AF">
        <w:t xml:space="preserve"> </w:t>
      </w:r>
      <w:r w:rsidRPr="002029AF">
        <w:t>along</w:t>
      </w:r>
      <w:r w:rsidR="000A5329" w:rsidRPr="002029AF">
        <w:t xml:space="preserve"> </w:t>
      </w:r>
      <w:r w:rsidRPr="002029AF">
        <w:t>with</w:t>
      </w:r>
      <w:r w:rsidR="000A5329" w:rsidRPr="002029AF">
        <w:t xml:space="preserve"> </w:t>
      </w:r>
      <w:r w:rsidRPr="002029AF">
        <w:t>the</w:t>
      </w:r>
      <w:r w:rsidR="000A5329" w:rsidRPr="002029AF">
        <w:t xml:space="preserve"> </w:t>
      </w:r>
      <w:r w:rsidRPr="002029AF">
        <w:t>transfer</w:t>
      </w:r>
      <w:r w:rsidR="000A5329" w:rsidRPr="002029AF">
        <w:t xml:space="preserve"> </w:t>
      </w:r>
      <w:r w:rsidRPr="002029AF">
        <w:t>from</w:t>
      </w:r>
      <w:r w:rsidR="000A5329" w:rsidRPr="002029AF">
        <w:t xml:space="preserve"> </w:t>
      </w:r>
      <w:r w:rsidRPr="002029AF">
        <w:t>finance</w:t>
      </w:r>
      <w:r w:rsidR="000A5329" w:rsidRPr="002029AF">
        <w:t xml:space="preserve"> </w:t>
      </w:r>
      <w:r w:rsidRPr="002029AF">
        <w:t>lease</w:t>
      </w:r>
      <w:r w:rsidR="000A5329" w:rsidRPr="002029AF">
        <w:t xml:space="preserve"> </w:t>
      </w:r>
      <w:r w:rsidRPr="002029AF">
        <w:t>assets</w:t>
      </w:r>
      <w:r w:rsidR="000A5329" w:rsidRPr="002029AF">
        <w:t xml:space="preserve"> </w:t>
      </w:r>
      <w:r w:rsidRPr="002029AF">
        <w:t>(recognised</w:t>
      </w:r>
      <w:r w:rsidR="000A5329" w:rsidRPr="002029AF">
        <w:t xml:space="preserve"> </w:t>
      </w:r>
      <w:r w:rsidRPr="002029AF">
        <w:t>under</w:t>
      </w:r>
      <w:r w:rsidR="000A5329" w:rsidRPr="002029AF">
        <w:t xml:space="preserve"> </w:t>
      </w:r>
      <w:r w:rsidRPr="002029AF">
        <w:t>AASB</w:t>
      </w:r>
      <w:r w:rsidR="000A5329" w:rsidRPr="002029AF">
        <w:t xml:space="preserve"> </w:t>
      </w:r>
      <w:r w:rsidRPr="002029AF">
        <w:t>117</w:t>
      </w:r>
      <w:r w:rsidR="000A5329" w:rsidRPr="002029AF">
        <w:t xml:space="preserve"> </w:t>
      </w:r>
      <w:r w:rsidRPr="002029AF">
        <w:t>at</w:t>
      </w:r>
      <w:r w:rsidR="000A5329" w:rsidRPr="002029AF">
        <w:t xml:space="preserve"> </w:t>
      </w:r>
      <w:r w:rsidRPr="002029AF">
        <w:t>30</w:t>
      </w:r>
      <w:r w:rsidR="000A5329" w:rsidRPr="002029AF">
        <w:t xml:space="preserve"> </w:t>
      </w:r>
      <w:r w:rsidRPr="002029AF">
        <w:t>June</w:t>
      </w:r>
      <w:r w:rsidR="000A5329" w:rsidRPr="002029AF">
        <w:t xml:space="preserve"> </w:t>
      </w:r>
      <w:r w:rsidRPr="002029AF">
        <w:t>2019)</w:t>
      </w:r>
      <w:r w:rsidR="000A5329" w:rsidRPr="002029AF">
        <w:t xml:space="preserve"> </w:t>
      </w:r>
      <w:r w:rsidRPr="002029AF">
        <w:t>to</w:t>
      </w:r>
      <w:r w:rsidR="000A5329" w:rsidRPr="002029AF">
        <w:t xml:space="preserve"> </w:t>
      </w:r>
      <w:r w:rsidRPr="002029AF">
        <w:t>right-of-use</w:t>
      </w:r>
      <w:r w:rsidR="000A5329" w:rsidRPr="002029AF">
        <w:t xml:space="preserve"> </w:t>
      </w:r>
      <w:r w:rsidRPr="002029AF">
        <w:t>assets</w:t>
      </w:r>
      <w:r w:rsidR="000A5329" w:rsidRPr="002029AF">
        <w:t xml:space="preserve"> </w:t>
      </w:r>
      <w:r w:rsidRPr="002029AF">
        <w:t>(recognised</w:t>
      </w:r>
      <w:r w:rsidR="000A5329" w:rsidRPr="002029AF">
        <w:t xml:space="preserve"> </w:t>
      </w:r>
      <w:r w:rsidRPr="002029AF">
        <w:t>under</w:t>
      </w:r>
      <w:r w:rsidR="000A5329" w:rsidRPr="002029AF">
        <w:t xml:space="preserve"> </w:t>
      </w:r>
      <w:r w:rsidRPr="002029AF">
        <w:t>AASB</w:t>
      </w:r>
      <w:r w:rsidR="000A5329" w:rsidRPr="002029AF">
        <w:t xml:space="preserve"> </w:t>
      </w:r>
      <w:r w:rsidRPr="002029AF">
        <w:t>16</w:t>
      </w:r>
      <w:r w:rsidR="000A5329" w:rsidRPr="002029AF">
        <w:t xml:space="preserve"> </w:t>
      </w:r>
      <w:r w:rsidRPr="002029AF">
        <w:t>at</w:t>
      </w:r>
      <w:r w:rsidR="000A5329" w:rsidRPr="002029AF">
        <w:t xml:space="preserve"> </w:t>
      </w:r>
      <w:r w:rsidRPr="002029AF">
        <w:t>1</w:t>
      </w:r>
      <w:r w:rsidR="000A5329" w:rsidRPr="002029AF">
        <w:t xml:space="preserve"> </w:t>
      </w:r>
      <w:r w:rsidRPr="002029AF">
        <w:t>July</w:t>
      </w:r>
      <w:r w:rsidR="000A5329" w:rsidRPr="002029AF">
        <w:t xml:space="preserve"> </w:t>
      </w:r>
      <w:r w:rsidRPr="002029AF">
        <w:t>2019).</w:t>
      </w:r>
    </w:p>
    <w:p w14:paraId="25A04DE6" w14:textId="16D8EDB4" w:rsidR="00087B91" w:rsidRPr="002029AF" w:rsidRDefault="00087B91" w:rsidP="00087B91">
      <w:pPr>
        <w:pStyle w:val="ARfintablefootnoteindent"/>
      </w:pPr>
      <w:r w:rsidRPr="002029AF">
        <w:t>(ii)</w:t>
      </w:r>
      <w:r w:rsidRPr="002029AF">
        <w:tab/>
        <w:t>In</w:t>
      </w:r>
      <w:r w:rsidR="000A5329" w:rsidRPr="002029AF">
        <w:t xml:space="preserve"> </w:t>
      </w:r>
      <w:r w:rsidRPr="002029AF">
        <w:t>October</w:t>
      </w:r>
      <w:r w:rsidR="000A5329" w:rsidRPr="002029AF">
        <w:t xml:space="preserve"> </w:t>
      </w:r>
      <w:r w:rsidRPr="002029AF">
        <w:t>2019,</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transferred</w:t>
      </w:r>
      <w:r w:rsidR="000A5329" w:rsidRPr="002029AF">
        <w:t xml:space="preserve"> </w:t>
      </w:r>
      <w:r w:rsidRPr="002029AF">
        <w:t>the</w:t>
      </w:r>
      <w:r w:rsidR="000A5329" w:rsidRPr="002029AF">
        <w:t xml:space="preserve"> </w:t>
      </w:r>
      <w:r w:rsidRPr="002029AF">
        <w:t>right-of-use</w:t>
      </w:r>
      <w:r w:rsidR="000A5329" w:rsidRPr="002029AF">
        <w:t xml:space="preserve"> </w:t>
      </w:r>
      <w:r w:rsidRPr="002029AF">
        <w:t>asset</w:t>
      </w:r>
      <w:r w:rsidR="000A5329" w:rsidRPr="002029AF">
        <w:t xml:space="preserve"> </w:t>
      </w:r>
      <w:r w:rsidRPr="002029AF">
        <w:t>to</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of</w:t>
      </w:r>
      <w:r w:rsidR="000A5329" w:rsidRPr="002029AF">
        <w:t xml:space="preserve"> </w:t>
      </w:r>
      <w:r w:rsidRPr="002029AF">
        <w:t>Treasury</w:t>
      </w:r>
      <w:r w:rsidR="000A5329" w:rsidRPr="002029AF">
        <w:t xml:space="preserve"> </w:t>
      </w:r>
      <w:r w:rsidRPr="002029AF">
        <w:t>and</w:t>
      </w:r>
      <w:r w:rsidR="000A5329" w:rsidRPr="002029AF">
        <w:t xml:space="preserve"> </w:t>
      </w:r>
      <w:r w:rsidRPr="002029AF">
        <w:t>Finance</w:t>
      </w:r>
      <w:r w:rsidR="000A5329" w:rsidRPr="002029AF">
        <w:t xml:space="preserve"> </w:t>
      </w:r>
      <w:r w:rsidRPr="002029AF">
        <w:t>Shared</w:t>
      </w:r>
      <w:r w:rsidR="000A5329" w:rsidRPr="002029AF">
        <w:t xml:space="preserve"> </w:t>
      </w:r>
      <w:r w:rsidRPr="002029AF">
        <w:t>Service</w:t>
      </w:r>
      <w:r w:rsidR="000A5329" w:rsidRPr="002029AF">
        <w:t xml:space="preserve"> </w:t>
      </w:r>
      <w:r w:rsidRPr="002029AF">
        <w:t>Provider.</w:t>
      </w:r>
      <w:r w:rsidR="000A5329" w:rsidRPr="002029AF">
        <w:t xml:space="preserve"> </w:t>
      </w:r>
      <w:r w:rsidRPr="002029AF">
        <w:t>Details</w:t>
      </w:r>
      <w:r w:rsidR="000A5329" w:rsidRPr="002029AF">
        <w:t xml:space="preserve"> </w:t>
      </w:r>
      <w:r w:rsidRPr="002029AF">
        <w:t>of</w:t>
      </w:r>
      <w:r w:rsidR="000A5329" w:rsidRPr="002029AF">
        <w:t xml:space="preserve"> </w:t>
      </w:r>
      <w:r w:rsidRPr="002029AF">
        <w:t>the</w:t>
      </w:r>
      <w:r w:rsidR="000A5329" w:rsidRPr="002029AF">
        <w:t xml:space="preserve"> </w:t>
      </w:r>
      <w:r w:rsidRPr="002029AF">
        <w:t>transfer</w:t>
      </w:r>
      <w:r w:rsidR="000A5329" w:rsidRPr="002029AF">
        <w:t xml:space="preserve"> </w:t>
      </w:r>
      <w:r w:rsidRPr="002029AF">
        <w:t>are</w:t>
      </w:r>
      <w:r w:rsidR="000A5329" w:rsidRPr="002029AF">
        <w:t xml:space="preserve"> </w:t>
      </w:r>
      <w:r w:rsidRPr="002029AF">
        <w:t>included</w:t>
      </w:r>
      <w:r w:rsidR="000A5329" w:rsidRPr="002029AF">
        <w:t xml:space="preserve"> </w:t>
      </w:r>
      <w:r w:rsidRPr="002029AF">
        <w:t>in</w:t>
      </w:r>
      <w:r w:rsidR="000A5329" w:rsidRPr="002029AF">
        <w:t xml:space="preserve"> </w:t>
      </w:r>
      <w:r w:rsidRPr="002029AF">
        <w:t>Note</w:t>
      </w:r>
      <w:r w:rsidR="000A5329" w:rsidRPr="002029AF">
        <w:t xml:space="preserve"> </w:t>
      </w:r>
      <w:r w:rsidRPr="002029AF">
        <w:t>7.2</w:t>
      </w:r>
      <w:r w:rsidR="000A5329" w:rsidRPr="002029AF">
        <w:t xml:space="preserve"> </w:t>
      </w:r>
      <w:r w:rsidRPr="002029AF">
        <w:t>Leases.</w:t>
      </w:r>
    </w:p>
    <w:p w14:paraId="11D949CC" w14:textId="156C38C6" w:rsidR="00087B91" w:rsidRPr="002029AF" w:rsidRDefault="00087B91" w:rsidP="00087B91">
      <w:pPr>
        <w:pStyle w:val="Heading5"/>
      </w:pPr>
      <w:r w:rsidRPr="002029AF">
        <w:t>5.1(b)</w:t>
      </w:r>
      <w:r w:rsidR="000A5329" w:rsidRPr="002029AF">
        <w:t xml:space="preserve"> </w:t>
      </w:r>
      <w:r w:rsidRPr="002029AF">
        <w:t>Total</w:t>
      </w:r>
      <w:r w:rsidR="000A5329" w:rsidRPr="002029AF">
        <w:t xml:space="preserve"> </w:t>
      </w:r>
      <w:r w:rsidRPr="002029AF">
        <w:t>service</w:t>
      </w:r>
      <w:r w:rsidR="000A5329" w:rsidRPr="002029AF">
        <w:t xml:space="preserve"> </w:t>
      </w:r>
      <w:r w:rsidRPr="002029AF">
        <w:t>concession</w:t>
      </w:r>
      <w:r w:rsidR="000A5329" w:rsidRPr="002029AF">
        <w:t xml:space="preserve"> </w:t>
      </w:r>
      <w:r w:rsidRPr="002029AF">
        <w:t>assets</w:t>
      </w:r>
    </w:p>
    <w:tbl>
      <w:tblPr>
        <w:tblStyle w:val="TableGrid"/>
        <w:tblW w:w="9637" w:type="dxa"/>
        <w:tblLayout w:type="fixed"/>
        <w:tblLook w:val="06A0" w:firstRow="1" w:lastRow="0" w:firstColumn="1" w:lastColumn="0" w:noHBand="1" w:noVBand="1"/>
      </w:tblPr>
      <w:tblGrid>
        <w:gridCol w:w="2833"/>
        <w:gridCol w:w="1134"/>
        <w:gridCol w:w="1134"/>
        <w:gridCol w:w="1134"/>
        <w:gridCol w:w="1134"/>
        <w:gridCol w:w="1134"/>
        <w:gridCol w:w="1134"/>
      </w:tblGrid>
      <w:tr w:rsidR="00087B91" w:rsidRPr="002029AF" w14:paraId="689BE941"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2835" w:type="dxa"/>
            <w:vMerge w:val="restart"/>
            <w:noWrap/>
            <w:hideMark/>
          </w:tcPr>
          <w:p w14:paraId="57F0D766" w14:textId="77777777" w:rsidR="00087B91" w:rsidRPr="002029AF" w:rsidRDefault="00087B91" w:rsidP="00860E95">
            <w:pPr>
              <w:pStyle w:val="ARfintablecolhead"/>
            </w:pPr>
          </w:p>
        </w:tc>
        <w:tc>
          <w:tcPr>
            <w:tcW w:w="1134" w:type="dxa"/>
            <w:gridSpan w:val="2"/>
            <w:hideMark/>
          </w:tcPr>
          <w:p w14:paraId="4D84380C" w14:textId="7FDAA04C" w:rsidR="00087B91" w:rsidRPr="002029AF" w:rsidRDefault="00087B91" w:rsidP="00860E95">
            <w:pPr>
              <w:pStyle w:val="ARfintablecolheadright"/>
            </w:pPr>
            <w:r w:rsidRPr="002029AF">
              <w:t>Gross</w:t>
            </w:r>
            <w:r w:rsidR="000A5329" w:rsidRPr="002029AF">
              <w:t xml:space="preserve"> </w:t>
            </w:r>
            <w:r w:rsidRPr="002029AF">
              <w:t>carrying</w:t>
            </w:r>
            <w:r w:rsidR="000A5329" w:rsidRPr="002029AF">
              <w:t xml:space="preserve"> </w:t>
            </w:r>
            <w:r w:rsidRPr="002029AF">
              <w:t>amount</w:t>
            </w:r>
          </w:p>
        </w:tc>
        <w:tc>
          <w:tcPr>
            <w:tcW w:w="1134" w:type="dxa"/>
            <w:gridSpan w:val="2"/>
            <w:hideMark/>
          </w:tcPr>
          <w:p w14:paraId="646715F3" w14:textId="3A4E2DA8" w:rsidR="00087B91" w:rsidRPr="002029AF" w:rsidRDefault="00087B91" w:rsidP="00860E95">
            <w:pPr>
              <w:pStyle w:val="ARfintablecolheadright"/>
            </w:pPr>
            <w:r w:rsidRPr="002029AF">
              <w:t>Accumulated</w:t>
            </w:r>
            <w:r w:rsidR="000A5329" w:rsidRPr="002029AF">
              <w:t xml:space="preserve"> </w:t>
            </w:r>
            <w:r w:rsidRPr="002029AF">
              <w:t>depreciation</w:t>
            </w:r>
          </w:p>
        </w:tc>
        <w:tc>
          <w:tcPr>
            <w:tcW w:w="1134" w:type="dxa"/>
            <w:gridSpan w:val="2"/>
            <w:hideMark/>
          </w:tcPr>
          <w:p w14:paraId="61C1F333" w14:textId="4261A38C" w:rsidR="00087B91" w:rsidRPr="002029AF" w:rsidRDefault="00087B91" w:rsidP="00860E95">
            <w:pPr>
              <w:pStyle w:val="ARfintablecolheadright"/>
            </w:pPr>
            <w:r w:rsidRPr="002029AF">
              <w:t>Net</w:t>
            </w:r>
            <w:r w:rsidR="000A5329" w:rsidRPr="002029AF">
              <w:t xml:space="preserve"> </w:t>
            </w:r>
            <w:r w:rsidRPr="002029AF">
              <w:t>carrying</w:t>
            </w:r>
            <w:r w:rsidR="000A5329" w:rsidRPr="002029AF">
              <w:t xml:space="preserve"> </w:t>
            </w:r>
            <w:r w:rsidRPr="002029AF">
              <w:t>amount</w:t>
            </w:r>
          </w:p>
        </w:tc>
      </w:tr>
      <w:tr w:rsidR="00087B91" w:rsidRPr="002029AF" w14:paraId="15A22AC6"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2835" w:type="dxa"/>
            <w:vMerge/>
            <w:tcBorders>
              <w:bottom w:val="single" w:sz="4" w:space="0" w:color="auto"/>
            </w:tcBorders>
            <w:hideMark/>
          </w:tcPr>
          <w:p w14:paraId="40505AE0" w14:textId="77777777" w:rsidR="00087B91" w:rsidRPr="002029AF" w:rsidRDefault="00087B91" w:rsidP="00860E95">
            <w:pPr>
              <w:pStyle w:val="ARfintablecolheadright"/>
            </w:pPr>
          </w:p>
        </w:tc>
        <w:tc>
          <w:tcPr>
            <w:tcW w:w="1134" w:type="dxa"/>
            <w:tcBorders>
              <w:bottom w:val="single" w:sz="4" w:space="0" w:color="auto"/>
            </w:tcBorders>
            <w:shd w:val="clear" w:color="auto" w:fill="E7E6E6"/>
            <w:hideMark/>
          </w:tcPr>
          <w:p w14:paraId="65BB0B4E" w14:textId="77777777" w:rsidR="00087B91" w:rsidRPr="002029AF" w:rsidRDefault="00087B91" w:rsidP="00860E95">
            <w:pPr>
              <w:pStyle w:val="ARfintablecolheadright"/>
            </w:pPr>
            <w:r w:rsidRPr="002029AF">
              <w:t>2020</w:t>
            </w:r>
          </w:p>
          <w:p w14:paraId="53AD978F" w14:textId="77777777" w:rsidR="00087B91" w:rsidRPr="002029AF" w:rsidRDefault="00087B91" w:rsidP="00860E95">
            <w:pPr>
              <w:pStyle w:val="ARfintablecolheadright"/>
            </w:pPr>
            <w:r w:rsidRPr="002029AF">
              <w:t>$M</w:t>
            </w:r>
          </w:p>
        </w:tc>
        <w:tc>
          <w:tcPr>
            <w:tcW w:w="1134" w:type="dxa"/>
            <w:tcBorders>
              <w:bottom w:val="single" w:sz="4" w:space="0" w:color="auto"/>
            </w:tcBorders>
            <w:hideMark/>
          </w:tcPr>
          <w:p w14:paraId="459C3C30" w14:textId="77777777" w:rsidR="00087B91" w:rsidRPr="002029AF" w:rsidRDefault="00087B91" w:rsidP="00860E95">
            <w:pPr>
              <w:pStyle w:val="ARfintablecolheadright"/>
            </w:pPr>
            <w:r w:rsidRPr="002029AF">
              <w:t>2019</w:t>
            </w:r>
          </w:p>
          <w:p w14:paraId="15BDE537" w14:textId="77777777" w:rsidR="00087B91" w:rsidRPr="002029AF" w:rsidRDefault="00087B91" w:rsidP="00860E95">
            <w:pPr>
              <w:pStyle w:val="ARfintablecolheadright"/>
            </w:pPr>
            <w:r w:rsidRPr="002029AF">
              <w:t>$M</w:t>
            </w:r>
          </w:p>
        </w:tc>
        <w:tc>
          <w:tcPr>
            <w:tcW w:w="1134" w:type="dxa"/>
            <w:tcBorders>
              <w:bottom w:val="single" w:sz="4" w:space="0" w:color="auto"/>
            </w:tcBorders>
            <w:shd w:val="clear" w:color="auto" w:fill="E7E6E6"/>
            <w:hideMark/>
          </w:tcPr>
          <w:p w14:paraId="310F3869" w14:textId="77777777" w:rsidR="00087B91" w:rsidRPr="002029AF" w:rsidRDefault="00087B91" w:rsidP="00860E95">
            <w:pPr>
              <w:pStyle w:val="ARfintablecolheadright"/>
            </w:pPr>
            <w:r w:rsidRPr="002029AF">
              <w:t>2020</w:t>
            </w:r>
          </w:p>
          <w:p w14:paraId="2FF3EE49" w14:textId="77777777" w:rsidR="00087B91" w:rsidRPr="002029AF" w:rsidRDefault="00087B91" w:rsidP="00860E95">
            <w:pPr>
              <w:pStyle w:val="ARfintablecolheadright"/>
            </w:pPr>
            <w:r w:rsidRPr="002029AF">
              <w:t>$M</w:t>
            </w:r>
          </w:p>
        </w:tc>
        <w:tc>
          <w:tcPr>
            <w:tcW w:w="1134" w:type="dxa"/>
            <w:tcBorders>
              <w:bottom w:val="single" w:sz="4" w:space="0" w:color="auto"/>
            </w:tcBorders>
            <w:hideMark/>
          </w:tcPr>
          <w:p w14:paraId="3C092DB4" w14:textId="77777777" w:rsidR="00087B91" w:rsidRPr="002029AF" w:rsidRDefault="00087B91" w:rsidP="00860E95">
            <w:pPr>
              <w:pStyle w:val="ARfintablecolheadright"/>
            </w:pPr>
            <w:r w:rsidRPr="002029AF">
              <w:t>2019</w:t>
            </w:r>
          </w:p>
          <w:p w14:paraId="472B1B4C" w14:textId="77777777" w:rsidR="00087B91" w:rsidRPr="002029AF" w:rsidRDefault="00087B91" w:rsidP="00860E95">
            <w:pPr>
              <w:pStyle w:val="ARfintablecolheadright"/>
            </w:pPr>
            <w:r w:rsidRPr="002029AF">
              <w:t>$M</w:t>
            </w:r>
          </w:p>
        </w:tc>
        <w:tc>
          <w:tcPr>
            <w:tcW w:w="1134" w:type="dxa"/>
            <w:tcBorders>
              <w:bottom w:val="single" w:sz="4" w:space="0" w:color="auto"/>
            </w:tcBorders>
            <w:shd w:val="clear" w:color="auto" w:fill="E7E6E6"/>
            <w:hideMark/>
          </w:tcPr>
          <w:p w14:paraId="5BC30255" w14:textId="77777777" w:rsidR="00087B91" w:rsidRPr="002029AF" w:rsidRDefault="00087B91" w:rsidP="00860E95">
            <w:pPr>
              <w:pStyle w:val="ARfintablecolheadright"/>
            </w:pPr>
            <w:r w:rsidRPr="002029AF">
              <w:t>2020</w:t>
            </w:r>
          </w:p>
          <w:p w14:paraId="633D5AE8" w14:textId="77777777" w:rsidR="00087B91" w:rsidRPr="002029AF" w:rsidRDefault="00087B91" w:rsidP="00860E95">
            <w:pPr>
              <w:pStyle w:val="ARfintablecolheadright"/>
            </w:pPr>
            <w:r w:rsidRPr="002029AF">
              <w:t>$M</w:t>
            </w:r>
          </w:p>
        </w:tc>
        <w:tc>
          <w:tcPr>
            <w:tcW w:w="1134" w:type="dxa"/>
            <w:tcBorders>
              <w:bottom w:val="single" w:sz="4" w:space="0" w:color="auto"/>
            </w:tcBorders>
            <w:hideMark/>
          </w:tcPr>
          <w:p w14:paraId="43D562ED" w14:textId="77777777" w:rsidR="00087B91" w:rsidRPr="002029AF" w:rsidRDefault="00087B91" w:rsidP="00860E95">
            <w:pPr>
              <w:pStyle w:val="ARfintablecolheadright"/>
            </w:pPr>
            <w:r w:rsidRPr="002029AF">
              <w:t>2019</w:t>
            </w:r>
          </w:p>
          <w:p w14:paraId="6C410678" w14:textId="77777777" w:rsidR="00087B91" w:rsidRPr="002029AF" w:rsidRDefault="00087B91" w:rsidP="00860E95">
            <w:pPr>
              <w:pStyle w:val="ARfintablecolheadright"/>
            </w:pPr>
            <w:r w:rsidRPr="002029AF">
              <w:t>$M</w:t>
            </w:r>
          </w:p>
        </w:tc>
      </w:tr>
      <w:tr w:rsidR="00087B91" w:rsidRPr="002029AF" w14:paraId="54EED918" w14:textId="77777777" w:rsidTr="00860E95">
        <w:tc>
          <w:tcPr>
            <w:tcW w:w="2835" w:type="dxa"/>
            <w:tcBorders>
              <w:top w:val="single" w:sz="4" w:space="0" w:color="auto"/>
              <w:bottom w:val="single" w:sz="4" w:space="0" w:color="A6A6A6"/>
            </w:tcBorders>
            <w:hideMark/>
          </w:tcPr>
          <w:p w14:paraId="094FA71B" w14:textId="1FA2BE4E" w:rsidR="00087B91" w:rsidRPr="002029AF" w:rsidRDefault="00087B91" w:rsidP="00860E95">
            <w:pPr>
              <w:pStyle w:val="ARfintablebody"/>
            </w:pPr>
            <w:r w:rsidRPr="002029AF">
              <w:t>Land</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tc>
        <w:tc>
          <w:tcPr>
            <w:tcW w:w="1134" w:type="dxa"/>
            <w:tcBorders>
              <w:top w:val="single" w:sz="4" w:space="0" w:color="auto"/>
              <w:bottom w:val="single" w:sz="4" w:space="0" w:color="A6A6A6"/>
            </w:tcBorders>
            <w:shd w:val="clear" w:color="auto" w:fill="E7E6E6"/>
            <w:noWrap/>
            <w:hideMark/>
          </w:tcPr>
          <w:p w14:paraId="4FCA5AA0" w14:textId="77777777" w:rsidR="00087B91" w:rsidRPr="002029AF" w:rsidRDefault="00087B91" w:rsidP="00860E95">
            <w:pPr>
              <w:pStyle w:val="ARfintablebodyright"/>
            </w:pPr>
            <w:r w:rsidRPr="002029AF">
              <w:t>430.4</w:t>
            </w:r>
          </w:p>
        </w:tc>
        <w:tc>
          <w:tcPr>
            <w:tcW w:w="1134" w:type="dxa"/>
            <w:tcBorders>
              <w:top w:val="single" w:sz="4" w:space="0" w:color="auto"/>
              <w:bottom w:val="single" w:sz="4" w:space="0" w:color="A6A6A6"/>
            </w:tcBorders>
            <w:noWrap/>
            <w:hideMark/>
          </w:tcPr>
          <w:p w14:paraId="21037F39" w14:textId="77777777" w:rsidR="00087B91" w:rsidRPr="002029AF" w:rsidRDefault="00087B91" w:rsidP="00860E95">
            <w:pPr>
              <w:pStyle w:val="ARfintablebodyright"/>
            </w:pPr>
            <w:r w:rsidRPr="002029AF">
              <w:t>424.9</w:t>
            </w:r>
          </w:p>
        </w:tc>
        <w:tc>
          <w:tcPr>
            <w:tcW w:w="1134" w:type="dxa"/>
            <w:tcBorders>
              <w:top w:val="single" w:sz="4" w:space="0" w:color="auto"/>
              <w:bottom w:val="single" w:sz="4" w:space="0" w:color="A6A6A6"/>
            </w:tcBorders>
            <w:shd w:val="clear" w:color="auto" w:fill="E7E6E6"/>
            <w:noWrap/>
            <w:hideMark/>
          </w:tcPr>
          <w:p w14:paraId="1E34720B" w14:textId="77777777" w:rsidR="00087B91" w:rsidRPr="002029AF" w:rsidRDefault="00087B91" w:rsidP="00860E95">
            <w:pPr>
              <w:pStyle w:val="ARfintablebodyright"/>
            </w:pPr>
            <w:r w:rsidRPr="002029AF">
              <w:t>–</w:t>
            </w:r>
          </w:p>
        </w:tc>
        <w:tc>
          <w:tcPr>
            <w:tcW w:w="1134" w:type="dxa"/>
            <w:tcBorders>
              <w:top w:val="single" w:sz="4" w:space="0" w:color="auto"/>
              <w:bottom w:val="single" w:sz="4" w:space="0" w:color="A6A6A6"/>
            </w:tcBorders>
            <w:noWrap/>
            <w:hideMark/>
          </w:tcPr>
          <w:p w14:paraId="5D07DCA5" w14:textId="77777777" w:rsidR="00087B91" w:rsidRPr="002029AF" w:rsidRDefault="00087B91" w:rsidP="00860E95">
            <w:pPr>
              <w:pStyle w:val="ARfintablebodyright"/>
            </w:pPr>
            <w:r w:rsidRPr="002029AF">
              <w:t>–</w:t>
            </w:r>
          </w:p>
        </w:tc>
        <w:tc>
          <w:tcPr>
            <w:tcW w:w="1134" w:type="dxa"/>
            <w:tcBorders>
              <w:top w:val="single" w:sz="4" w:space="0" w:color="auto"/>
              <w:bottom w:val="single" w:sz="4" w:space="0" w:color="A6A6A6"/>
            </w:tcBorders>
            <w:shd w:val="clear" w:color="auto" w:fill="E7E6E6"/>
            <w:noWrap/>
            <w:hideMark/>
          </w:tcPr>
          <w:p w14:paraId="11A89F2E" w14:textId="77777777" w:rsidR="00087B91" w:rsidRPr="002029AF" w:rsidRDefault="00087B91" w:rsidP="00860E95">
            <w:pPr>
              <w:pStyle w:val="ARfintablebodyright"/>
            </w:pPr>
            <w:r w:rsidRPr="002029AF">
              <w:t>430.4</w:t>
            </w:r>
          </w:p>
        </w:tc>
        <w:tc>
          <w:tcPr>
            <w:tcW w:w="1134" w:type="dxa"/>
            <w:tcBorders>
              <w:top w:val="single" w:sz="4" w:space="0" w:color="auto"/>
              <w:bottom w:val="single" w:sz="4" w:space="0" w:color="A6A6A6"/>
            </w:tcBorders>
            <w:noWrap/>
            <w:hideMark/>
          </w:tcPr>
          <w:p w14:paraId="0CEF5725" w14:textId="77777777" w:rsidR="00087B91" w:rsidRPr="002029AF" w:rsidRDefault="00087B91" w:rsidP="00860E95">
            <w:pPr>
              <w:pStyle w:val="ARfintablebodyright"/>
            </w:pPr>
            <w:r w:rsidRPr="002029AF">
              <w:t>424.9</w:t>
            </w:r>
          </w:p>
        </w:tc>
      </w:tr>
      <w:tr w:rsidR="00087B91" w:rsidRPr="002029AF" w14:paraId="0F47B1BE" w14:textId="77777777" w:rsidTr="00860E95">
        <w:tc>
          <w:tcPr>
            <w:tcW w:w="2835" w:type="dxa"/>
            <w:tcBorders>
              <w:top w:val="single" w:sz="4" w:space="0" w:color="A6A6A6"/>
              <w:bottom w:val="single" w:sz="4" w:space="0" w:color="A6A6A6"/>
            </w:tcBorders>
            <w:hideMark/>
          </w:tcPr>
          <w:p w14:paraId="6A0B3F77" w14:textId="7528BB6B" w:rsidR="00087B91" w:rsidRPr="002029AF" w:rsidRDefault="00087B91" w:rsidP="00860E95">
            <w:pPr>
              <w:pStyle w:val="ARfintablebody"/>
            </w:pPr>
            <w:r w:rsidRPr="002029AF">
              <w:t>Buildings</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tc>
        <w:tc>
          <w:tcPr>
            <w:tcW w:w="1134" w:type="dxa"/>
            <w:tcBorders>
              <w:top w:val="single" w:sz="4" w:space="0" w:color="A6A6A6"/>
              <w:bottom w:val="single" w:sz="4" w:space="0" w:color="A6A6A6"/>
            </w:tcBorders>
            <w:shd w:val="clear" w:color="auto" w:fill="E7E6E6"/>
            <w:noWrap/>
            <w:hideMark/>
          </w:tcPr>
          <w:p w14:paraId="4C8E9896" w14:textId="77777777" w:rsidR="00087B91" w:rsidRPr="002029AF" w:rsidRDefault="00087B91" w:rsidP="00860E95">
            <w:pPr>
              <w:pStyle w:val="ARfintablebodyright"/>
            </w:pPr>
            <w:r w:rsidRPr="002029AF">
              <w:t>594.1</w:t>
            </w:r>
          </w:p>
        </w:tc>
        <w:tc>
          <w:tcPr>
            <w:tcW w:w="1134" w:type="dxa"/>
            <w:tcBorders>
              <w:top w:val="single" w:sz="4" w:space="0" w:color="A6A6A6"/>
              <w:bottom w:val="single" w:sz="4" w:space="0" w:color="A6A6A6"/>
            </w:tcBorders>
            <w:noWrap/>
            <w:hideMark/>
          </w:tcPr>
          <w:p w14:paraId="1580A2F6" w14:textId="77777777" w:rsidR="00087B91" w:rsidRPr="002029AF" w:rsidRDefault="00087B91" w:rsidP="00860E95">
            <w:pPr>
              <w:pStyle w:val="ARfintablebodyright"/>
            </w:pPr>
            <w:r w:rsidRPr="002029AF">
              <w:t>588.6</w:t>
            </w:r>
          </w:p>
        </w:tc>
        <w:tc>
          <w:tcPr>
            <w:tcW w:w="1134" w:type="dxa"/>
            <w:tcBorders>
              <w:top w:val="single" w:sz="4" w:space="0" w:color="A6A6A6"/>
              <w:bottom w:val="single" w:sz="4" w:space="0" w:color="A6A6A6"/>
            </w:tcBorders>
            <w:shd w:val="clear" w:color="auto" w:fill="E7E6E6"/>
            <w:noWrap/>
            <w:hideMark/>
          </w:tcPr>
          <w:p w14:paraId="02F88380" w14:textId="77777777" w:rsidR="00087B91" w:rsidRPr="002029AF" w:rsidRDefault="00087B91" w:rsidP="00860E95">
            <w:pPr>
              <w:pStyle w:val="ARfintablebodyright"/>
            </w:pPr>
            <w:r w:rsidRPr="002029AF">
              <w:t>(26.0)</w:t>
            </w:r>
          </w:p>
        </w:tc>
        <w:tc>
          <w:tcPr>
            <w:tcW w:w="1134" w:type="dxa"/>
            <w:tcBorders>
              <w:top w:val="single" w:sz="4" w:space="0" w:color="A6A6A6"/>
              <w:bottom w:val="single" w:sz="4" w:space="0" w:color="A6A6A6"/>
            </w:tcBorders>
            <w:noWrap/>
            <w:hideMark/>
          </w:tcPr>
          <w:p w14:paraId="12D96798"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shd w:val="clear" w:color="auto" w:fill="E7E6E6"/>
            <w:noWrap/>
            <w:hideMark/>
          </w:tcPr>
          <w:p w14:paraId="3967FE80" w14:textId="77777777" w:rsidR="00087B91" w:rsidRPr="002029AF" w:rsidRDefault="00087B91" w:rsidP="00860E95">
            <w:pPr>
              <w:pStyle w:val="ARfintablebodyright"/>
            </w:pPr>
            <w:r w:rsidRPr="002029AF">
              <w:t>568.1</w:t>
            </w:r>
          </w:p>
        </w:tc>
        <w:tc>
          <w:tcPr>
            <w:tcW w:w="1134" w:type="dxa"/>
            <w:tcBorders>
              <w:top w:val="single" w:sz="4" w:space="0" w:color="A6A6A6"/>
              <w:bottom w:val="single" w:sz="4" w:space="0" w:color="A6A6A6"/>
            </w:tcBorders>
            <w:noWrap/>
            <w:hideMark/>
          </w:tcPr>
          <w:p w14:paraId="659B3B88" w14:textId="77777777" w:rsidR="00087B91" w:rsidRPr="002029AF" w:rsidRDefault="00087B91" w:rsidP="00860E95">
            <w:pPr>
              <w:pStyle w:val="ARfintablebodyright"/>
            </w:pPr>
            <w:r w:rsidRPr="002029AF">
              <w:t>588.6</w:t>
            </w:r>
          </w:p>
        </w:tc>
      </w:tr>
      <w:tr w:rsidR="00087B91" w:rsidRPr="002029AF" w14:paraId="56F2C1D4" w14:textId="77777777" w:rsidTr="00860E95">
        <w:tc>
          <w:tcPr>
            <w:tcW w:w="2835" w:type="dxa"/>
            <w:tcBorders>
              <w:top w:val="single" w:sz="4" w:space="0" w:color="A6A6A6"/>
              <w:bottom w:val="single" w:sz="4" w:space="0" w:color="A6A6A6"/>
            </w:tcBorders>
            <w:hideMark/>
          </w:tcPr>
          <w:p w14:paraId="4C7A77A0" w14:textId="3E71D3A3" w:rsidR="00087B91" w:rsidRPr="002029AF" w:rsidRDefault="00087B91" w:rsidP="00860E95">
            <w:pPr>
              <w:pStyle w:val="ARfintablebody"/>
            </w:pPr>
            <w:r w:rsidRPr="002029AF">
              <w:t>Plant,</w:t>
            </w:r>
            <w:r w:rsidR="000A5329" w:rsidRPr="002029AF">
              <w:t xml:space="preserve"> </w:t>
            </w:r>
            <w:r w:rsidRPr="002029AF">
              <w:t>equipment</w:t>
            </w:r>
            <w:r w:rsidR="000A5329" w:rsidRPr="002029AF">
              <w:t xml:space="preserve"> </w:t>
            </w:r>
            <w:r w:rsidRPr="002029AF">
              <w:t>and</w:t>
            </w:r>
            <w:r w:rsidR="000A5329" w:rsidRPr="002029AF">
              <w:t xml:space="preserve"> </w:t>
            </w:r>
            <w:r w:rsidRPr="002029AF">
              <w:t>vehicles</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tc>
        <w:tc>
          <w:tcPr>
            <w:tcW w:w="1134" w:type="dxa"/>
            <w:tcBorders>
              <w:top w:val="single" w:sz="4" w:space="0" w:color="A6A6A6"/>
              <w:bottom w:val="single" w:sz="4" w:space="0" w:color="A6A6A6"/>
            </w:tcBorders>
            <w:shd w:val="clear" w:color="auto" w:fill="E7E6E6"/>
            <w:noWrap/>
            <w:hideMark/>
          </w:tcPr>
          <w:p w14:paraId="114C1868" w14:textId="77777777" w:rsidR="00087B91" w:rsidRPr="002029AF" w:rsidRDefault="00087B91" w:rsidP="00860E95">
            <w:pPr>
              <w:pStyle w:val="ARfintablebodyright"/>
            </w:pPr>
            <w:r w:rsidRPr="002029AF">
              <w:t>7.0</w:t>
            </w:r>
          </w:p>
        </w:tc>
        <w:tc>
          <w:tcPr>
            <w:tcW w:w="1134" w:type="dxa"/>
            <w:tcBorders>
              <w:top w:val="single" w:sz="4" w:space="0" w:color="A6A6A6"/>
              <w:bottom w:val="single" w:sz="4" w:space="0" w:color="A6A6A6"/>
            </w:tcBorders>
            <w:noWrap/>
            <w:hideMark/>
          </w:tcPr>
          <w:p w14:paraId="2F511B1C" w14:textId="77777777" w:rsidR="00087B91" w:rsidRPr="002029AF" w:rsidRDefault="00087B91" w:rsidP="00860E95">
            <w:pPr>
              <w:pStyle w:val="ARfintablebodyright"/>
            </w:pPr>
            <w:r w:rsidRPr="002029AF">
              <w:t>6.6</w:t>
            </w:r>
          </w:p>
        </w:tc>
        <w:tc>
          <w:tcPr>
            <w:tcW w:w="1134" w:type="dxa"/>
            <w:tcBorders>
              <w:top w:val="single" w:sz="4" w:space="0" w:color="A6A6A6"/>
              <w:bottom w:val="single" w:sz="4" w:space="0" w:color="A6A6A6"/>
            </w:tcBorders>
            <w:shd w:val="clear" w:color="auto" w:fill="E7E6E6"/>
            <w:noWrap/>
            <w:hideMark/>
          </w:tcPr>
          <w:p w14:paraId="5589C608" w14:textId="77777777" w:rsidR="00087B91" w:rsidRPr="002029AF" w:rsidRDefault="00087B91" w:rsidP="00860E95">
            <w:pPr>
              <w:pStyle w:val="ARfintablebodyright"/>
            </w:pPr>
            <w:r w:rsidRPr="002029AF">
              <w:t>(5.6)</w:t>
            </w:r>
          </w:p>
        </w:tc>
        <w:tc>
          <w:tcPr>
            <w:tcW w:w="1134" w:type="dxa"/>
            <w:tcBorders>
              <w:top w:val="single" w:sz="4" w:space="0" w:color="A6A6A6"/>
              <w:bottom w:val="single" w:sz="4" w:space="0" w:color="A6A6A6"/>
            </w:tcBorders>
            <w:noWrap/>
            <w:hideMark/>
          </w:tcPr>
          <w:p w14:paraId="217EF7FA" w14:textId="77777777" w:rsidR="00087B91" w:rsidRPr="002029AF" w:rsidRDefault="00087B91" w:rsidP="00860E95">
            <w:pPr>
              <w:pStyle w:val="ARfintablebodyright"/>
            </w:pPr>
            <w:r w:rsidRPr="002029AF">
              <w:t>(4.6)</w:t>
            </w:r>
          </w:p>
        </w:tc>
        <w:tc>
          <w:tcPr>
            <w:tcW w:w="1134" w:type="dxa"/>
            <w:tcBorders>
              <w:top w:val="single" w:sz="4" w:space="0" w:color="A6A6A6"/>
              <w:bottom w:val="single" w:sz="4" w:space="0" w:color="A6A6A6"/>
            </w:tcBorders>
            <w:shd w:val="clear" w:color="auto" w:fill="E7E6E6"/>
            <w:noWrap/>
            <w:hideMark/>
          </w:tcPr>
          <w:p w14:paraId="1EFBE7D9" w14:textId="77777777" w:rsidR="00087B91" w:rsidRPr="002029AF" w:rsidRDefault="00087B91" w:rsidP="00860E95">
            <w:pPr>
              <w:pStyle w:val="ARfintablebodyright"/>
            </w:pPr>
            <w:r w:rsidRPr="002029AF">
              <w:t>1.4</w:t>
            </w:r>
          </w:p>
        </w:tc>
        <w:tc>
          <w:tcPr>
            <w:tcW w:w="1134" w:type="dxa"/>
            <w:tcBorders>
              <w:top w:val="single" w:sz="4" w:space="0" w:color="A6A6A6"/>
              <w:bottom w:val="single" w:sz="4" w:space="0" w:color="A6A6A6"/>
            </w:tcBorders>
            <w:noWrap/>
            <w:hideMark/>
          </w:tcPr>
          <w:p w14:paraId="40FA21E2" w14:textId="77777777" w:rsidR="00087B91" w:rsidRPr="002029AF" w:rsidRDefault="00087B91" w:rsidP="00860E95">
            <w:pPr>
              <w:pStyle w:val="ARfintablebodyright"/>
            </w:pPr>
            <w:r w:rsidRPr="002029AF">
              <w:t>2.0</w:t>
            </w:r>
          </w:p>
        </w:tc>
      </w:tr>
      <w:tr w:rsidR="00087B91" w:rsidRPr="002029AF" w14:paraId="5A8D4D37" w14:textId="77777777" w:rsidTr="00860E95">
        <w:tc>
          <w:tcPr>
            <w:tcW w:w="2835" w:type="dxa"/>
            <w:tcBorders>
              <w:top w:val="single" w:sz="4" w:space="0" w:color="A6A6A6"/>
              <w:bottom w:val="single" w:sz="4" w:space="0" w:color="A6A6A6"/>
            </w:tcBorders>
            <w:hideMark/>
          </w:tcPr>
          <w:p w14:paraId="3A02BCFB" w14:textId="3ED0FFC1" w:rsidR="00087B91" w:rsidRPr="002029AF" w:rsidRDefault="00087B91" w:rsidP="00860E95">
            <w:pPr>
              <w:pStyle w:val="ARfintablebody"/>
            </w:pPr>
            <w:r w:rsidRPr="002029AF">
              <w:t>Intangible</w:t>
            </w:r>
            <w:r w:rsidR="000A5329" w:rsidRPr="002029AF">
              <w:t xml:space="preserve"> </w:t>
            </w:r>
            <w:r w:rsidRPr="002029AF">
              <w:t>assets</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tc>
        <w:tc>
          <w:tcPr>
            <w:tcW w:w="1134" w:type="dxa"/>
            <w:tcBorders>
              <w:top w:val="single" w:sz="4" w:space="0" w:color="A6A6A6"/>
              <w:bottom w:val="single" w:sz="4" w:space="0" w:color="A6A6A6"/>
            </w:tcBorders>
            <w:shd w:val="clear" w:color="auto" w:fill="E7E6E6"/>
            <w:noWrap/>
            <w:hideMark/>
          </w:tcPr>
          <w:p w14:paraId="1618B04B" w14:textId="77777777" w:rsidR="00087B91" w:rsidRPr="002029AF" w:rsidRDefault="00087B91" w:rsidP="00860E95">
            <w:pPr>
              <w:pStyle w:val="ARfintablebodyright"/>
            </w:pPr>
            <w:r w:rsidRPr="002029AF">
              <w:t>2.4</w:t>
            </w:r>
          </w:p>
        </w:tc>
        <w:tc>
          <w:tcPr>
            <w:tcW w:w="1134" w:type="dxa"/>
            <w:tcBorders>
              <w:top w:val="single" w:sz="4" w:space="0" w:color="A6A6A6"/>
              <w:bottom w:val="single" w:sz="4" w:space="0" w:color="A6A6A6"/>
            </w:tcBorders>
            <w:noWrap/>
            <w:hideMark/>
          </w:tcPr>
          <w:p w14:paraId="4C2FEF2F" w14:textId="77777777" w:rsidR="00087B91" w:rsidRPr="002029AF" w:rsidRDefault="00087B91" w:rsidP="00860E95">
            <w:pPr>
              <w:pStyle w:val="ARfintablebodyright"/>
            </w:pPr>
            <w:r w:rsidRPr="002029AF">
              <w:t>2.5</w:t>
            </w:r>
          </w:p>
        </w:tc>
        <w:tc>
          <w:tcPr>
            <w:tcW w:w="1134" w:type="dxa"/>
            <w:tcBorders>
              <w:top w:val="single" w:sz="4" w:space="0" w:color="A6A6A6"/>
              <w:bottom w:val="single" w:sz="4" w:space="0" w:color="A6A6A6"/>
            </w:tcBorders>
            <w:shd w:val="clear" w:color="auto" w:fill="E7E6E6"/>
            <w:noWrap/>
            <w:hideMark/>
          </w:tcPr>
          <w:p w14:paraId="65F7B1EB" w14:textId="77777777" w:rsidR="00087B91" w:rsidRPr="002029AF" w:rsidRDefault="00087B91" w:rsidP="00860E95">
            <w:pPr>
              <w:pStyle w:val="ARfintablebodyright"/>
            </w:pPr>
            <w:r w:rsidRPr="002029AF">
              <w:t>(0.2)</w:t>
            </w:r>
          </w:p>
        </w:tc>
        <w:tc>
          <w:tcPr>
            <w:tcW w:w="1134" w:type="dxa"/>
            <w:tcBorders>
              <w:top w:val="single" w:sz="4" w:space="0" w:color="A6A6A6"/>
              <w:bottom w:val="single" w:sz="4" w:space="0" w:color="A6A6A6"/>
            </w:tcBorders>
            <w:noWrap/>
            <w:hideMark/>
          </w:tcPr>
          <w:p w14:paraId="6A716806"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shd w:val="clear" w:color="auto" w:fill="E7E6E6"/>
            <w:noWrap/>
            <w:hideMark/>
          </w:tcPr>
          <w:p w14:paraId="1BB09E5A" w14:textId="77777777" w:rsidR="00087B91" w:rsidRPr="002029AF" w:rsidRDefault="00087B91" w:rsidP="00860E95">
            <w:pPr>
              <w:pStyle w:val="ARfintablebodyright"/>
            </w:pPr>
            <w:r w:rsidRPr="002029AF">
              <w:t>2.2</w:t>
            </w:r>
          </w:p>
        </w:tc>
        <w:tc>
          <w:tcPr>
            <w:tcW w:w="1134" w:type="dxa"/>
            <w:tcBorders>
              <w:top w:val="single" w:sz="4" w:space="0" w:color="A6A6A6"/>
              <w:bottom w:val="single" w:sz="4" w:space="0" w:color="A6A6A6"/>
            </w:tcBorders>
            <w:noWrap/>
            <w:hideMark/>
          </w:tcPr>
          <w:p w14:paraId="61B792F3" w14:textId="77777777" w:rsidR="00087B91" w:rsidRPr="002029AF" w:rsidRDefault="00087B91" w:rsidP="00860E95">
            <w:pPr>
              <w:pStyle w:val="ARfintablebodyright"/>
            </w:pPr>
            <w:r w:rsidRPr="002029AF">
              <w:t>2.5</w:t>
            </w:r>
          </w:p>
        </w:tc>
      </w:tr>
      <w:tr w:rsidR="00087B91" w:rsidRPr="002029AF" w14:paraId="0FEC8A25" w14:textId="77777777" w:rsidTr="00860E95">
        <w:tc>
          <w:tcPr>
            <w:tcW w:w="2835" w:type="dxa"/>
            <w:tcBorders>
              <w:top w:val="single" w:sz="4" w:space="0" w:color="A6A6A6"/>
            </w:tcBorders>
            <w:hideMark/>
          </w:tcPr>
          <w:p w14:paraId="79D8281E" w14:textId="1E7FCC50" w:rsidR="00087B91" w:rsidRPr="002029AF" w:rsidRDefault="00087B91" w:rsidP="00860E95">
            <w:pPr>
              <w:pStyle w:val="ARfintablebody"/>
            </w:pPr>
            <w:r w:rsidRPr="002029AF">
              <w:t>Assets</w:t>
            </w:r>
            <w:r w:rsidR="000A5329" w:rsidRPr="002029AF">
              <w:t xml:space="preserve"> </w:t>
            </w:r>
            <w:r w:rsidRPr="002029AF">
              <w:t>under</w:t>
            </w:r>
            <w:r w:rsidR="000A5329" w:rsidRPr="002029AF">
              <w:t xml:space="preserve"> </w:t>
            </w:r>
            <w:r w:rsidRPr="002029AF">
              <w:t>construction</w:t>
            </w:r>
          </w:p>
        </w:tc>
        <w:tc>
          <w:tcPr>
            <w:tcW w:w="1134" w:type="dxa"/>
            <w:tcBorders>
              <w:top w:val="single" w:sz="4" w:space="0" w:color="A6A6A6"/>
            </w:tcBorders>
            <w:shd w:val="clear" w:color="auto" w:fill="E7E6E6"/>
            <w:noWrap/>
            <w:hideMark/>
          </w:tcPr>
          <w:p w14:paraId="748811BD" w14:textId="77777777" w:rsidR="00087B91" w:rsidRPr="002029AF" w:rsidRDefault="00087B91" w:rsidP="00860E95">
            <w:pPr>
              <w:pStyle w:val="ARfintablebodyright"/>
            </w:pPr>
            <w:r w:rsidRPr="002029AF">
              <w:t>56.6</w:t>
            </w:r>
          </w:p>
        </w:tc>
        <w:tc>
          <w:tcPr>
            <w:tcW w:w="1134" w:type="dxa"/>
            <w:tcBorders>
              <w:top w:val="single" w:sz="4" w:space="0" w:color="A6A6A6"/>
            </w:tcBorders>
            <w:noWrap/>
            <w:hideMark/>
          </w:tcPr>
          <w:p w14:paraId="231D6FD4" w14:textId="77777777" w:rsidR="00087B91" w:rsidRPr="002029AF" w:rsidRDefault="00087B91" w:rsidP="00860E95">
            <w:pPr>
              <w:pStyle w:val="ARfintablebodyright"/>
            </w:pPr>
            <w:r w:rsidRPr="002029AF">
              <w:t>30.2</w:t>
            </w:r>
          </w:p>
        </w:tc>
        <w:tc>
          <w:tcPr>
            <w:tcW w:w="1134" w:type="dxa"/>
            <w:tcBorders>
              <w:top w:val="single" w:sz="4" w:space="0" w:color="A6A6A6"/>
            </w:tcBorders>
            <w:shd w:val="clear" w:color="auto" w:fill="E7E6E6"/>
            <w:noWrap/>
            <w:hideMark/>
          </w:tcPr>
          <w:p w14:paraId="3B57EEB5" w14:textId="77777777" w:rsidR="00087B91" w:rsidRPr="002029AF" w:rsidRDefault="00087B91" w:rsidP="00860E95">
            <w:pPr>
              <w:pStyle w:val="ARfintablebodyright"/>
            </w:pPr>
            <w:r w:rsidRPr="002029AF">
              <w:t>–</w:t>
            </w:r>
          </w:p>
        </w:tc>
        <w:tc>
          <w:tcPr>
            <w:tcW w:w="1134" w:type="dxa"/>
            <w:tcBorders>
              <w:top w:val="single" w:sz="4" w:space="0" w:color="A6A6A6"/>
            </w:tcBorders>
            <w:noWrap/>
            <w:hideMark/>
          </w:tcPr>
          <w:p w14:paraId="376D75AA" w14:textId="77777777" w:rsidR="00087B91" w:rsidRPr="002029AF" w:rsidRDefault="00087B91" w:rsidP="00860E95">
            <w:pPr>
              <w:pStyle w:val="ARfintablebodyright"/>
            </w:pPr>
            <w:r w:rsidRPr="002029AF">
              <w:t>–</w:t>
            </w:r>
          </w:p>
        </w:tc>
        <w:tc>
          <w:tcPr>
            <w:tcW w:w="1134" w:type="dxa"/>
            <w:tcBorders>
              <w:top w:val="single" w:sz="4" w:space="0" w:color="A6A6A6"/>
            </w:tcBorders>
            <w:shd w:val="clear" w:color="auto" w:fill="E7E6E6"/>
            <w:noWrap/>
            <w:hideMark/>
          </w:tcPr>
          <w:p w14:paraId="7D47C169" w14:textId="77777777" w:rsidR="00087B91" w:rsidRPr="002029AF" w:rsidRDefault="00087B91" w:rsidP="00860E95">
            <w:pPr>
              <w:pStyle w:val="ARfintablebodyright"/>
            </w:pPr>
            <w:r w:rsidRPr="002029AF">
              <w:t>56.6</w:t>
            </w:r>
          </w:p>
        </w:tc>
        <w:tc>
          <w:tcPr>
            <w:tcW w:w="1134" w:type="dxa"/>
            <w:tcBorders>
              <w:top w:val="single" w:sz="4" w:space="0" w:color="A6A6A6"/>
            </w:tcBorders>
            <w:noWrap/>
            <w:hideMark/>
          </w:tcPr>
          <w:p w14:paraId="44D3E45D" w14:textId="77777777" w:rsidR="00087B91" w:rsidRPr="002029AF" w:rsidRDefault="00087B91" w:rsidP="00860E95">
            <w:pPr>
              <w:pStyle w:val="ARfintablebodyright"/>
            </w:pPr>
            <w:r w:rsidRPr="002029AF">
              <w:t>30.2</w:t>
            </w:r>
          </w:p>
        </w:tc>
      </w:tr>
      <w:tr w:rsidR="00087B91" w:rsidRPr="002029AF" w14:paraId="7B403A11" w14:textId="77777777" w:rsidTr="00860E95">
        <w:tc>
          <w:tcPr>
            <w:tcW w:w="2835" w:type="dxa"/>
            <w:hideMark/>
          </w:tcPr>
          <w:p w14:paraId="007C766D" w14:textId="558237B7" w:rsidR="00087B91" w:rsidRPr="002029AF" w:rsidRDefault="00087B91" w:rsidP="00860E95">
            <w:pPr>
              <w:pStyle w:val="ARfintablebodybold"/>
            </w:pPr>
            <w:r w:rsidRPr="002029AF">
              <w:t>Net</w:t>
            </w:r>
            <w:r w:rsidR="000A5329" w:rsidRPr="002029AF">
              <w:t xml:space="preserve"> </w:t>
            </w:r>
            <w:r w:rsidRPr="002029AF">
              <w:t>carrying</w:t>
            </w:r>
            <w:r w:rsidR="000A5329" w:rsidRPr="002029AF">
              <w:t xml:space="preserve"> </w:t>
            </w:r>
            <w:r w:rsidRPr="002029AF">
              <w:t>amount</w:t>
            </w:r>
          </w:p>
        </w:tc>
        <w:tc>
          <w:tcPr>
            <w:tcW w:w="1134" w:type="dxa"/>
            <w:shd w:val="clear" w:color="auto" w:fill="E7E6E6"/>
            <w:noWrap/>
            <w:hideMark/>
          </w:tcPr>
          <w:p w14:paraId="41D7E3ED" w14:textId="77777777" w:rsidR="00087B91" w:rsidRPr="002029AF" w:rsidRDefault="00087B91" w:rsidP="00860E95">
            <w:pPr>
              <w:pStyle w:val="ARfintablebodyrightbold"/>
            </w:pPr>
            <w:r w:rsidRPr="002029AF">
              <w:t>1,090.5</w:t>
            </w:r>
          </w:p>
        </w:tc>
        <w:tc>
          <w:tcPr>
            <w:tcW w:w="1134" w:type="dxa"/>
            <w:noWrap/>
            <w:hideMark/>
          </w:tcPr>
          <w:p w14:paraId="124FDB03" w14:textId="77777777" w:rsidR="00087B91" w:rsidRPr="002029AF" w:rsidRDefault="00087B91" w:rsidP="00860E95">
            <w:pPr>
              <w:pStyle w:val="ARfintablebodyrightbold"/>
            </w:pPr>
            <w:r w:rsidRPr="002029AF">
              <w:t>1,052.8</w:t>
            </w:r>
          </w:p>
        </w:tc>
        <w:tc>
          <w:tcPr>
            <w:tcW w:w="1134" w:type="dxa"/>
            <w:shd w:val="clear" w:color="auto" w:fill="E7E6E6"/>
            <w:noWrap/>
            <w:hideMark/>
          </w:tcPr>
          <w:p w14:paraId="1C91ADDA" w14:textId="77777777" w:rsidR="00087B91" w:rsidRPr="002029AF" w:rsidRDefault="00087B91" w:rsidP="00860E95">
            <w:pPr>
              <w:pStyle w:val="ARfintablebodyrightbold"/>
            </w:pPr>
            <w:r w:rsidRPr="002029AF">
              <w:t>(31.8)</w:t>
            </w:r>
          </w:p>
        </w:tc>
        <w:tc>
          <w:tcPr>
            <w:tcW w:w="1134" w:type="dxa"/>
            <w:noWrap/>
            <w:hideMark/>
          </w:tcPr>
          <w:p w14:paraId="1BC73AAC" w14:textId="77777777" w:rsidR="00087B91" w:rsidRPr="002029AF" w:rsidRDefault="00087B91" w:rsidP="00860E95">
            <w:pPr>
              <w:pStyle w:val="ARfintablebodyrightbold"/>
            </w:pPr>
            <w:r w:rsidRPr="002029AF">
              <w:t>(4.6)</w:t>
            </w:r>
          </w:p>
        </w:tc>
        <w:tc>
          <w:tcPr>
            <w:tcW w:w="1134" w:type="dxa"/>
            <w:shd w:val="clear" w:color="auto" w:fill="E7E6E6"/>
            <w:noWrap/>
            <w:hideMark/>
          </w:tcPr>
          <w:p w14:paraId="45228DFC" w14:textId="77777777" w:rsidR="00087B91" w:rsidRPr="002029AF" w:rsidRDefault="00087B91" w:rsidP="00860E95">
            <w:pPr>
              <w:pStyle w:val="ARfintablebodyrightbold"/>
            </w:pPr>
            <w:r w:rsidRPr="002029AF">
              <w:t>1,058.7</w:t>
            </w:r>
          </w:p>
        </w:tc>
        <w:tc>
          <w:tcPr>
            <w:tcW w:w="1134" w:type="dxa"/>
            <w:noWrap/>
            <w:hideMark/>
          </w:tcPr>
          <w:p w14:paraId="59ADCA8C" w14:textId="77777777" w:rsidR="00087B91" w:rsidRPr="002029AF" w:rsidRDefault="00087B91" w:rsidP="00860E95">
            <w:pPr>
              <w:pStyle w:val="ARfintablebodyrightbold"/>
            </w:pPr>
            <w:r w:rsidRPr="002029AF">
              <w:t>1,048.2</w:t>
            </w:r>
          </w:p>
        </w:tc>
      </w:tr>
    </w:tbl>
    <w:p w14:paraId="6A009CE1" w14:textId="425E33CE" w:rsidR="00087B91" w:rsidRPr="002029AF" w:rsidRDefault="00087B91" w:rsidP="00087B91">
      <w:pPr>
        <w:pStyle w:val="Heading6"/>
        <w:rPr>
          <w:lang w:val="en-AU"/>
        </w:rPr>
      </w:pPr>
      <w:r w:rsidRPr="002029AF">
        <w:rPr>
          <w:lang w:val="en-AU"/>
        </w:rPr>
        <w:t>Initial</w:t>
      </w:r>
      <w:r w:rsidR="000A5329" w:rsidRPr="002029AF">
        <w:rPr>
          <w:lang w:val="en-AU"/>
        </w:rPr>
        <w:t xml:space="preserve"> </w:t>
      </w:r>
      <w:r w:rsidRPr="002029AF">
        <w:rPr>
          <w:lang w:val="en-AU"/>
        </w:rPr>
        <w:t>recognition</w:t>
      </w:r>
    </w:p>
    <w:p w14:paraId="348F4393" w14:textId="32E88695" w:rsidR="00087B91" w:rsidRPr="002029AF" w:rsidRDefault="00087B91" w:rsidP="00087B91">
      <w:pPr>
        <w:pStyle w:val="ARfinbody"/>
      </w:pPr>
      <w:r w:rsidRPr="002029AF">
        <w:t>Items</w:t>
      </w:r>
      <w:r w:rsidR="000A5329" w:rsidRPr="002029AF">
        <w:t xml:space="preserve"> </w:t>
      </w:r>
      <w:r w:rsidRPr="002029AF">
        <w:t>of</w:t>
      </w:r>
      <w:r w:rsidR="000A5329" w:rsidRPr="002029AF">
        <w:t xml:space="preserve"> </w:t>
      </w:r>
      <w:r w:rsidRPr="002029AF">
        <w:t>property,</w:t>
      </w:r>
      <w:r w:rsidR="000A5329" w:rsidRPr="002029AF">
        <w:t xml:space="preserve"> </w:t>
      </w:r>
      <w:r w:rsidRPr="002029AF">
        <w:t>plant</w:t>
      </w:r>
      <w:r w:rsidR="000A5329" w:rsidRPr="002029AF">
        <w:t xml:space="preserve"> </w:t>
      </w:r>
      <w:r w:rsidRPr="002029AF">
        <w:t>and</w:t>
      </w:r>
      <w:r w:rsidR="000A5329" w:rsidRPr="002029AF">
        <w:t xml:space="preserve"> </w:t>
      </w:r>
      <w:r w:rsidRPr="002029AF">
        <w:t>equipment,</w:t>
      </w:r>
      <w:r w:rsidR="000A5329" w:rsidRPr="002029AF">
        <w:t xml:space="preserve"> </w:t>
      </w:r>
      <w:r w:rsidRPr="002029AF">
        <w:t>are</w:t>
      </w:r>
      <w:r w:rsidR="000A5329" w:rsidRPr="002029AF">
        <w:t xml:space="preserve"> </w:t>
      </w:r>
      <w:r w:rsidRPr="002029AF">
        <w:t>measured</w:t>
      </w:r>
      <w:r w:rsidR="000A5329" w:rsidRPr="002029AF">
        <w:t xml:space="preserve"> </w:t>
      </w:r>
      <w:r w:rsidRPr="002029AF">
        <w:t>initially</w:t>
      </w:r>
      <w:r w:rsidR="000A5329" w:rsidRPr="002029AF">
        <w:t xml:space="preserve"> </w:t>
      </w:r>
      <w:r w:rsidRPr="002029AF">
        <w:t>at</w:t>
      </w:r>
      <w:r w:rsidR="000A5329" w:rsidRPr="002029AF">
        <w:t xml:space="preserve"> </w:t>
      </w:r>
      <w:r w:rsidRPr="002029AF">
        <w:t>cost</w:t>
      </w:r>
      <w:r w:rsidR="000A5329" w:rsidRPr="002029AF">
        <w:t xml:space="preserve"> </w:t>
      </w:r>
      <w:r w:rsidRPr="002029AF">
        <w:t>and</w:t>
      </w:r>
      <w:r w:rsidR="000A5329" w:rsidRPr="002029AF">
        <w:t xml:space="preserve"> </w:t>
      </w:r>
      <w:r w:rsidRPr="002029AF">
        <w:t>subsequently</w:t>
      </w:r>
      <w:r w:rsidR="000A5329" w:rsidRPr="002029AF">
        <w:t xml:space="preserve"> </w:t>
      </w:r>
      <w:r w:rsidRPr="002029AF">
        <w:t>revalued</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r w:rsidR="000A5329" w:rsidRPr="002029AF">
        <w:t xml:space="preserve"> </w:t>
      </w:r>
      <w:r w:rsidRPr="002029AF">
        <w:t>less</w:t>
      </w:r>
      <w:r w:rsidR="000A5329" w:rsidRPr="002029AF">
        <w:t xml:space="preserve"> </w:t>
      </w:r>
      <w:r w:rsidRPr="002029AF">
        <w:t>accumulated</w:t>
      </w:r>
      <w:r w:rsidR="000A5329" w:rsidRPr="002029AF">
        <w:t xml:space="preserve"> </w:t>
      </w:r>
      <w:r w:rsidRPr="002029AF">
        <w:t>depreciation</w:t>
      </w:r>
      <w:r w:rsidR="000A5329" w:rsidRPr="002029AF">
        <w:t xml:space="preserve"> </w:t>
      </w:r>
      <w:r w:rsidRPr="002029AF">
        <w:t>and</w:t>
      </w:r>
      <w:r w:rsidR="000A5329" w:rsidRPr="002029AF">
        <w:t xml:space="preserve"> </w:t>
      </w:r>
      <w:r w:rsidRPr="002029AF">
        <w:t>impairment.</w:t>
      </w:r>
      <w:r w:rsidR="000A5329" w:rsidRPr="002029AF">
        <w:t xml:space="preserve"> </w:t>
      </w:r>
      <w:r w:rsidRPr="002029AF">
        <w:t>Where</w:t>
      </w:r>
      <w:r w:rsidR="000A5329" w:rsidRPr="002029AF">
        <w:t xml:space="preserve"> </w:t>
      </w:r>
      <w:r w:rsidRPr="002029AF">
        <w:t>an</w:t>
      </w:r>
      <w:r w:rsidR="000A5329" w:rsidRPr="002029AF">
        <w:t xml:space="preserve"> </w:t>
      </w:r>
      <w:r w:rsidRPr="002029AF">
        <w:t>asset</w:t>
      </w:r>
      <w:r w:rsidR="000A5329" w:rsidRPr="002029AF">
        <w:t xml:space="preserve"> </w:t>
      </w:r>
      <w:r w:rsidRPr="002029AF">
        <w:t>is</w:t>
      </w:r>
      <w:r w:rsidR="000A5329" w:rsidRPr="002029AF">
        <w:t xml:space="preserve"> </w:t>
      </w:r>
      <w:r w:rsidRPr="002029AF">
        <w:t>acquired</w:t>
      </w:r>
      <w:r w:rsidR="000A5329" w:rsidRPr="002029AF">
        <w:t xml:space="preserve"> </w:t>
      </w:r>
      <w:r w:rsidRPr="002029AF">
        <w:t>for</w:t>
      </w:r>
      <w:r w:rsidR="000A5329" w:rsidRPr="002029AF">
        <w:t xml:space="preserve"> </w:t>
      </w:r>
      <w:r w:rsidRPr="002029AF">
        <w:t>no</w:t>
      </w:r>
      <w:r w:rsidR="000A5329" w:rsidRPr="002029AF">
        <w:t xml:space="preserve"> </w:t>
      </w:r>
      <w:r w:rsidRPr="002029AF">
        <w:t>or</w:t>
      </w:r>
      <w:r w:rsidR="000A5329" w:rsidRPr="002029AF">
        <w:t xml:space="preserve"> </w:t>
      </w:r>
      <w:r w:rsidRPr="002029AF">
        <w:t>nominal</w:t>
      </w:r>
      <w:r w:rsidR="000A5329" w:rsidRPr="002029AF">
        <w:t xml:space="preserve"> </w:t>
      </w:r>
      <w:r w:rsidRPr="002029AF">
        <w:t>consideration,</w:t>
      </w:r>
      <w:r w:rsidR="000A5329" w:rsidRPr="002029AF">
        <w:t xml:space="preserve"> </w:t>
      </w:r>
      <w:r w:rsidRPr="002029AF">
        <w:t>the</w:t>
      </w:r>
      <w:r w:rsidR="000A5329" w:rsidRPr="002029AF">
        <w:t xml:space="preserve"> </w:t>
      </w:r>
      <w:r w:rsidRPr="002029AF">
        <w:t>cost</w:t>
      </w:r>
      <w:r w:rsidR="000A5329" w:rsidRPr="002029AF">
        <w:t xml:space="preserve"> </w:t>
      </w:r>
      <w:r w:rsidRPr="002029AF">
        <w:t>is</w:t>
      </w:r>
      <w:r w:rsidR="000A5329" w:rsidRPr="002029AF">
        <w:t xml:space="preserve"> </w:t>
      </w:r>
      <w:r w:rsidRPr="002029AF">
        <w:t>the</w:t>
      </w:r>
      <w:r w:rsidR="000A5329" w:rsidRPr="002029AF">
        <w:t xml:space="preserve"> </w:t>
      </w:r>
      <w:r w:rsidRPr="002029AF">
        <w:t>asset’s</w:t>
      </w:r>
      <w:r w:rsidR="000A5329" w:rsidRPr="002029AF">
        <w:t xml:space="preserve"> </w:t>
      </w:r>
      <w:r w:rsidRPr="002029AF">
        <w:t>fair</w:t>
      </w:r>
      <w:r w:rsidR="000A5329" w:rsidRPr="002029AF">
        <w:t xml:space="preserve"> </w:t>
      </w:r>
      <w:r w:rsidRPr="002029AF">
        <w:t>value</w:t>
      </w:r>
      <w:r w:rsidR="000A5329" w:rsidRPr="002029AF">
        <w:t xml:space="preserve"> </w:t>
      </w:r>
      <w:r w:rsidRPr="002029AF">
        <w:t>at</w:t>
      </w:r>
      <w:r w:rsidR="000A5329" w:rsidRPr="002029AF">
        <w:t xml:space="preserve"> </w:t>
      </w:r>
      <w:r w:rsidRPr="002029AF">
        <w:t>the</w:t>
      </w:r>
      <w:r w:rsidR="000A5329" w:rsidRPr="002029AF">
        <w:t xml:space="preserve"> </w:t>
      </w:r>
      <w:r w:rsidRPr="002029AF">
        <w:t>date</w:t>
      </w:r>
      <w:r w:rsidR="000A5329" w:rsidRPr="002029AF">
        <w:t xml:space="preserve"> </w:t>
      </w:r>
      <w:r w:rsidRPr="002029AF">
        <w:t>of</w:t>
      </w:r>
      <w:r w:rsidR="007920F7" w:rsidRPr="002029AF">
        <w:t> </w:t>
      </w:r>
      <w:r w:rsidRPr="002029AF">
        <w:t>acquisition.</w:t>
      </w:r>
      <w:r w:rsidR="000A5329" w:rsidRPr="002029AF">
        <w:t xml:space="preserve"> </w:t>
      </w:r>
      <w:r w:rsidRPr="002029AF">
        <w:t>Assets</w:t>
      </w:r>
      <w:r w:rsidR="000A5329" w:rsidRPr="002029AF">
        <w:t xml:space="preserve"> </w:t>
      </w:r>
      <w:r w:rsidRPr="002029AF">
        <w:t>transferred</w:t>
      </w:r>
      <w:r w:rsidR="000A5329" w:rsidRPr="002029AF">
        <w:t xml:space="preserve"> </w:t>
      </w:r>
      <w:r w:rsidRPr="002029AF">
        <w:t>as</w:t>
      </w:r>
      <w:r w:rsidR="000A5329" w:rsidRPr="002029AF">
        <w:t xml:space="preserve"> </w:t>
      </w:r>
      <w:r w:rsidRPr="002029AF">
        <w:t>part</w:t>
      </w:r>
      <w:r w:rsidR="000A5329" w:rsidRPr="002029AF">
        <w:t xml:space="preserve"> </w:t>
      </w:r>
      <w:r w:rsidRPr="002029AF">
        <w:t>of</w:t>
      </w:r>
      <w:r w:rsidR="000A5329" w:rsidRPr="002029AF">
        <w:t xml:space="preserve"> </w:t>
      </w:r>
      <w:r w:rsidRPr="002029AF">
        <w:t>a</w:t>
      </w:r>
      <w:r w:rsidR="000A5329" w:rsidRPr="002029AF">
        <w:t xml:space="preserve"> </w:t>
      </w:r>
      <w:r w:rsidRPr="002029AF">
        <w:t>machinery</w:t>
      </w:r>
      <w:r w:rsidR="000A5329" w:rsidRPr="002029AF">
        <w:t xml:space="preserve"> </w:t>
      </w:r>
      <w:r w:rsidRPr="002029AF">
        <w:t>of</w:t>
      </w:r>
      <w:r w:rsidR="000A5329" w:rsidRPr="002029AF">
        <w:t xml:space="preserve"> </w:t>
      </w:r>
      <w:r w:rsidRPr="002029AF">
        <w:t>government</w:t>
      </w:r>
      <w:r w:rsidR="000A5329" w:rsidRPr="002029AF">
        <w:t xml:space="preserve"> </w:t>
      </w:r>
      <w:r w:rsidRPr="002029AF">
        <w:t>change</w:t>
      </w:r>
      <w:r w:rsidR="000A5329" w:rsidRPr="002029AF">
        <w:t xml:space="preserve"> </w:t>
      </w:r>
      <w:r w:rsidRPr="002029AF">
        <w:t>are</w:t>
      </w:r>
      <w:r w:rsidR="000A5329" w:rsidRPr="002029AF">
        <w:t xml:space="preserve"> </w:t>
      </w:r>
      <w:r w:rsidRPr="002029AF">
        <w:t>transferred</w:t>
      </w:r>
      <w:r w:rsidR="000A5329" w:rsidRPr="002029AF">
        <w:t xml:space="preserve"> </w:t>
      </w:r>
      <w:r w:rsidRPr="002029AF">
        <w:t>at</w:t>
      </w:r>
      <w:r w:rsidR="000A5329" w:rsidRPr="002029AF">
        <w:t xml:space="preserve"> </w:t>
      </w:r>
      <w:r w:rsidRPr="002029AF">
        <w:t>their</w:t>
      </w:r>
      <w:r w:rsidR="000A5329" w:rsidRPr="002029AF">
        <w:t xml:space="preserve"> </w:t>
      </w:r>
      <w:r w:rsidRPr="002029AF">
        <w:t>carrying</w:t>
      </w:r>
      <w:r w:rsidR="000A5329" w:rsidRPr="002029AF">
        <w:t xml:space="preserve"> </w:t>
      </w:r>
      <w:r w:rsidRPr="002029AF">
        <w:t>amount.</w:t>
      </w:r>
    </w:p>
    <w:p w14:paraId="77201E17" w14:textId="1D5F5B91" w:rsidR="00087B91" w:rsidRPr="002029AF" w:rsidRDefault="00087B91" w:rsidP="00087B91">
      <w:pPr>
        <w:pStyle w:val="ARfinbody"/>
      </w:pPr>
      <w:r w:rsidRPr="002029AF">
        <w:t>The</w:t>
      </w:r>
      <w:r w:rsidR="000A5329" w:rsidRPr="002029AF">
        <w:t xml:space="preserve"> </w:t>
      </w:r>
      <w:r w:rsidRPr="002029AF">
        <w:t>cost</w:t>
      </w:r>
      <w:r w:rsidR="000A5329" w:rsidRPr="002029AF">
        <w:t xml:space="preserve"> </w:t>
      </w:r>
      <w:r w:rsidRPr="002029AF">
        <w:t>of</w:t>
      </w:r>
      <w:r w:rsidR="000A5329" w:rsidRPr="002029AF">
        <w:t xml:space="preserve"> </w:t>
      </w:r>
      <w:r w:rsidRPr="002029AF">
        <w:t>constructed</w:t>
      </w:r>
      <w:r w:rsidR="000A5329" w:rsidRPr="002029AF">
        <w:t xml:space="preserve"> </w:t>
      </w:r>
      <w:r w:rsidRPr="002029AF">
        <w:t>non-financial</w:t>
      </w:r>
      <w:r w:rsidR="000A5329" w:rsidRPr="002029AF">
        <w:t xml:space="preserve"> </w:t>
      </w:r>
      <w:r w:rsidRPr="002029AF">
        <w:t>physical</w:t>
      </w:r>
      <w:r w:rsidR="000A5329" w:rsidRPr="002029AF">
        <w:t xml:space="preserve"> </w:t>
      </w:r>
      <w:r w:rsidRPr="002029AF">
        <w:t>assets</w:t>
      </w:r>
      <w:r w:rsidR="000A5329" w:rsidRPr="002029AF">
        <w:t xml:space="preserve"> </w:t>
      </w:r>
      <w:r w:rsidRPr="002029AF">
        <w:t>includes</w:t>
      </w:r>
      <w:r w:rsidR="000A5329" w:rsidRPr="002029AF">
        <w:t xml:space="preserve"> </w:t>
      </w:r>
      <w:r w:rsidRPr="002029AF">
        <w:t>the</w:t>
      </w:r>
      <w:r w:rsidR="000A5329" w:rsidRPr="002029AF">
        <w:t xml:space="preserve"> </w:t>
      </w:r>
      <w:r w:rsidRPr="002029AF">
        <w:t>cost</w:t>
      </w:r>
      <w:r w:rsidR="000A5329" w:rsidRPr="002029AF">
        <w:t xml:space="preserve"> </w:t>
      </w:r>
      <w:r w:rsidRPr="002029AF">
        <w:t>of</w:t>
      </w:r>
      <w:r w:rsidR="000A5329" w:rsidRPr="002029AF">
        <w:t xml:space="preserve"> </w:t>
      </w:r>
      <w:r w:rsidRPr="002029AF">
        <w:t>all</w:t>
      </w:r>
      <w:r w:rsidR="000A5329" w:rsidRPr="002029AF">
        <w:t xml:space="preserve"> </w:t>
      </w:r>
      <w:r w:rsidRPr="002029AF">
        <w:t>materials</w:t>
      </w:r>
      <w:r w:rsidR="000A5329" w:rsidRPr="002029AF">
        <w:t xml:space="preserve"> </w:t>
      </w:r>
      <w:r w:rsidRPr="002029AF">
        <w:t>used</w:t>
      </w:r>
      <w:r w:rsidR="000A5329" w:rsidRPr="002029AF">
        <w:t xml:space="preserve"> </w:t>
      </w:r>
      <w:r w:rsidRPr="002029AF">
        <w:t>in</w:t>
      </w:r>
      <w:r w:rsidR="000A5329" w:rsidRPr="002029AF">
        <w:t xml:space="preserve"> </w:t>
      </w:r>
      <w:r w:rsidRPr="002029AF">
        <w:t>construction,</w:t>
      </w:r>
      <w:r w:rsidR="000A5329" w:rsidRPr="002029AF">
        <w:t xml:space="preserve"> </w:t>
      </w:r>
      <w:r w:rsidRPr="002029AF">
        <w:t>direct</w:t>
      </w:r>
      <w:r w:rsidR="000A5329" w:rsidRPr="002029AF">
        <w:t xml:space="preserve"> </w:t>
      </w:r>
      <w:r w:rsidRPr="002029AF">
        <w:t>labour</w:t>
      </w:r>
      <w:r w:rsidR="000A5329" w:rsidRPr="002029AF">
        <w:t xml:space="preserve"> </w:t>
      </w:r>
      <w:r w:rsidRPr="002029AF">
        <w:t>on</w:t>
      </w:r>
      <w:r w:rsidR="000A5329" w:rsidRPr="002029AF">
        <w:t xml:space="preserve"> </w:t>
      </w:r>
      <w:r w:rsidRPr="002029AF">
        <w:t>the</w:t>
      </w:r>
      <w:r w:rsidR="000A5329" w:rsidRPr="002029AF">
        <w:t xml:space="preserve"> </w:t>
      </w:r>
      <w:r w:rsidRPr="002029AF">
        <w:t>project</w:t>
      </w:r>
      <w:r w:rsidR="000A5329" w:rsidRPr="002029AF">
        <w:t xml:space="preserve"> </w:t>
      </w:r>
      <w:r w:rsidRPr="002029AF">
        <w:t>and</w:t>
      </w:r>
      <w:r w:rsidR="000A5329" w:rsidRPr="002029AF">
        <w:t xml:space="preserve"> </w:t>
      </w:r>
      <w:r w:rsidRPr="002029AF">
        <w:t>an</w:t>
      </w:r>
      <w:r w:rsidR="000A5329" w:rsidRPr="002029AF">
        <w:t xml:space="preserve"> </w:t>
      </w:r>
      <w:r w:rsidRPr="002029AF">
        <w:t>appropriate</w:t>
      </w:r>
      <w:r w:rsidR="000A5329" w:rsidRPr="002029AF">
        <w:t xml:space="preserve"> </w:t>
      </w:r>
      <w:r w:rsidRPr="002029AF">
        <w:t>proportion</w:t>
      </w:r>
      <w:r w:rsidR="000A5329" w:rsidRPr="002029AF">
        <w:t xml:space="preserve"> </w:t>
      </w:r>
      <w:r w:rsidRPr="002029AF">
        <w:t>of</w:t>
      </w:r>
      <w:r w:rsidR="000A5329" w:rsidRPr="002029AF">
        <w:t xml:space="preserve"> </w:t>
      </w:r>
      <w:r w:rsidRPr="002029AF">
        <w:t>variable</w:t>
      </w:r>
      <w:r w:rsidR="000A5329" w:rsidRPr="002029AF">
        <w:t xml:space="preserve"> </w:t>
      </w:r>
      <w:r w:rsidRPr="002029AF">
        <w:t>and</w:t>
      </w:r>
      <w:r w:rsidR="000A5329" w:rsidRPr="002029AF">
        <w:t xml:space="preserve"> </w:t>
      </w:r>
      <w:r w:rsidRPr="002029AF">
        <w:t>fixed</w:t>
      </w:r>
      <w:r w:rsidR="000A5329" w:rsidRPr="002029AF">
        <w:t xml:space="preserve"> </w:t>
      </w:r>
      <w:r w:rsidRPr="002029AF">
        <w:t>overheads.</w:t>
      </w:r>
    </w:p>
    <w:p w14:paraId="262F4155" w14:textId="45EEC3D1" w:rsidR="00087B91" w:rsidRPr="002029AF" w:rsidRDefault="00087B91" w:rsidP="00087B91">
      <w:pPr>
        <w:pStyle w:val="ARfinbody"/>
      </w:pPr>
      <w:r w:rsidRPr="002029AF">
        <w:t>The</w:t>
      </w:r>
      <w:r w:rsidR="000A5329" w:rsidRPr="002029AF">
        <w:t xml:space="preserve"> </w:t>
      </w:r>
      <w:r w:rsidRPr="002029AF">
        <w:t>cost</w:t>
      </w:r>
      <w:r w:rsidR="000A5329" w:rsidRPr="002029AF">
        <w:t xml:space="preserve"> </w:t>
      </w:r>
      <w:r w:rsidRPr="002029AF">
        <w:t>of</w:t>
      </w:r>
      <w:r w:rsidR="000A5329" w:rsidRPr="002029AF">
        <w:t xml:space="preserve"> </w:t>
      </w:r>
      <w:r w:rsidRPr="002029AF">
        <w:t>a</w:t>
      </w:r>
      <w:r w:rsidR="000A5329" w:rsidRPr="002029AF">
        <w:t xml:space="preserve"> </w:t>
      </w:r>
      <w:r w:rsidRPr="002029AF">
        <w:t>leasehold</w:t>
      </w:r>
      <w:r w:rsidR="000A5329" w:rsidRPr="002029AF">
        <w:t xml:space="preserve"> </w:t>
      </w:r>
      <w:r w:rsidRPr="002029AF">
        <w:t>improvement</w:t>
      </w:r>
      <w:r w:rsidR="000A5329" w:rsidRPr="002029AF">
        <w:t xml:space="preserve"> </w:t>
      </w:r>
      <w:r w:rsidRPr="002029AF">
        <w:t>is</w:t>
      </w:r>
      <w:r w:rsidR="000A5329" w:rsidRPr="002029AF">
        <w:t xml:space="preserve"> </w:t>
      </w:r>
      <w:r w:rsidRPr="002029AF">
        <w:t>capitalised</w:t>
      </w:r>
      <w:r w:rsidR="000A5329" w:rsidRPr="002029AF">
        <w:t xml:space="preserve"> </w:t>
      </w:r>
      <w:r w:rsidRPr="002029AF">
        <w:t>and</w:t>
      </w:r>
      <w:r w:rsidR="000A5329" w:rsidRPr="002029AF">
        <w:t xml:space="preserve"> </w:t>
      </w:r>
      <w:r w:rsidRPr="002029AF">
        <w:t>depreciated</w:t>
      </w:r>
      <w:r w:rsidR="000A5329" w:rsidRPr="002029AF">
        <w:t xml:space="preserve"> </w:t>
      </w:r>
      <w:r w:rsidRPr="002029AF">
        <w:t>over</w:t>
      </w:r>
      <w:r w:rsidR="000A5329" w:rsidRPr="002029AF">
        <w:t xml:space="preserve"> </w:t>
      </w:r>
      <w:r w:rsidRPr="002029AF">
        <w:t>the</w:t>
      </w:r>
      <w:r w:rsidR="000A5329" w:rsidRPr="002029AF">
        <w:t xml:space="preserve"> </w:t>
      </w:r>
      <w:r w:rsidRPr="002029AF">
        <w:t>shorter</w:t>
      </w:r>
      <w:r w:rsidR="000A5329" w:rsidRPr="002029AF">
        <w:t xml:space="preserve"> </w:t>
      </w:r>
      <w:r w:rsidRPr="002029AF">
        <w:t>of</w:t>
      </w:r>
      <w:r w:rsidR="000A5329" w:rsidRPr="002029AF">
        <w:t xml:space="preserve"> </w:t>
      </w:r>
      <w:r w:rsidRPr="002029AF">
        <w:t>the</w:t>
      </w:r>
      <w:r w:rsidR="000A5329" w:rsidRPr="002029AF">
        <w:t xml:space="preserve"> </w:t>
      </w:r>
      <w:r w:rsidRPr="002029AF">
        <w:t>remaining</w:t>
      </w:r>
      <w:r w:rsidR="000A5329" w:rsidRPr="002029AF">
        <w:t xml:space="preserve"> </w:t>
      </w:r>
      <w:r w:rsidRPr="002029AF">
        <w:t>term</w:t>
      </w:r>
      <w:r w:rsidR="000A5329" w:rsidRPr="002029AF">
        <w:t xml:space="preserve"> </w:t>
      </w:r>
      <w:r w:rsidRPr="002029AF">
        <w:t>of</w:t>
      </w:r>
      <w:r w:rsidR="000A5329" w:rsidRPr="002029AF">
        <w:t xml:space="preserve"> </w:t>
      </w:r>
      <w:r w:rsidRPr="002029AF">
        <w:t>the</w:t>
      </w:r>
      <w:r w:rsidR="000A5329" w:rsidRPr="002029AF">
        <w:t xml:space="preserve"> </w:t>
      </w:r>
      <w:r w:rsidRPr="002029AF">
        <w:t>lease</w:t>
      </w:r>
      <w:r w:rsidR="000A5329" w:rsidRPr="002029AF">
        <w:t xml:space="preserve"> </w:t>
      </w:r>
      <w:r w:rsidRPr="002029AF">
        <w:t>or</w:t>
      </w:r>
      <w:r w:rsidR="000A5329" w:rsidRPr="002029AF">
        <w:t xml:space="preserve"> </w:t>
      </w:r>
      <w:r w:rsidRPr="002029AF">
        <w:t>their</w:t>
      </w:r>
      <w:r w:rsidR="000A5329" w:rsidRPr="002029AF">
        <w:t xml:space="preserve"> </w:t>
      </w:r>
      <w:r w:rsidRPr="002029AF">
        <w:t>estimated</w:t>
      </w:r>
      <w:r w:rsidR="000A5329" w:rsidRPr="002029AF">
        <w:t xml:space="preserve"> </w:t>
      </w:r>
      <w:r w:rsidRPr="002029AF">
        <w:t>useful</w:t>
      </w:r>
      <w:r w:rsidR="000A5329" w:rsidRPr="002029AF">
        <w:t xml:space="preserve"> </w:t>
      </w:r>
      <w:r w:rsidRPr="002029AF">
        <w:t>lives.</w:t>
      </w:r>
    </w:p>
    <w:p w14:paraId="7DEA1FC9" w14:textId="6036639F" w:rsidR="00087B91" w:rsidRPr="002029AF" w:rsidRDefault="00087B91" w:rsidP="00087B91">
      <w:pPr>
        <w:pStyle w:val="ARfinbody"/>
      </w:pPr>
      <w:r w:rsidRPr="002029AF">
        <w:t>The</w:t>
      </w:r>
      <w:r w:rsidR="000A5329" w:rsidRPr="002029AF">
        <w:t xml:space="preserve"> </w:t>
      </w:r>
      <w:r w:rsidRPr="002029AF">
        <w:t>initial</w:t>
      </w:r>
      <w:r w:rsidR="000A5329" w:rsidRPr="002029AF">
        <w:t xml:space="preserve"> </w:t>
      </w:r>
      <w:r w:rsidRPr="002029AF">
        <w:t>cost</w:t>
      </w:r>
      <w:r w:rsidR="000A5329" w:rsidRPr="002029AF">
        <w:t xml:space="preserve"> </w:t>
      </w:r>
      <w:r w:rsidRPr="002029AF">
        <w:t>of</w:t>
      </w:r>
      <w:r w:rsidR="000A5329" w:rsidRPr="002029AF">
        <w:t xml:space="preserve"> </w:t>
      </w:r>
      <w:r w:rsidRPr="002029AF">
        <w:t>non-financial</w:t>
      </w:r>
      <w:r w:rsidR="000A5329" w:rsidRPr="002029AF">
        <w:t xml:space="preserve"> </w:t>
      </w:r>
      <w:r w:rsidRPr="002029AF">
        <w:t>physical</w:t>
      </w:r>
      <w:r w:rsidR="000A5329" w:rsidRPr="002029AF">
        <w:t xml:space="preserve"> </w:t>
      </w:r>
      <w:r w:rsidRPr="002029AF">
        <w:t>assets</w:t>
      </w:r>
      <w:r w:rsidR="000A5329" w:rsidRPr="002029AF">
        <w:t xml:space="preserve"> </w:t>
      </w:r>
      <w:r w:rsidRPr="002029AF">
        <w:t>under</w:t>
      </w:r>
      <w:r w:rsidR="000A5329" w:rsidRPr="002029AF">
        <w:t xml:space="preserve"> </w:t>
      </w:r>
      <w:r w:rsidRPr="002029AF">
        <w:t>a</w:t>
      </w:r>
      <w:r w:rsidR="000A5329" w:rsidRPr="002029AF">
        <w:t xml:space="preserve"> </w:t>
      </w:r>
      <w:r w:rsidRPr="002029AF">
        <w:t>finance</w:t>
      </w:r>
      <w:r w:rsidR="000A5329" w:rsidRPr="002029AF">
        <w:t xml:space="preserve"> </w:t>
      </w:r>
      <w:r w:rsidRPr="002029AF">
        <w:t>lease</w:t>
      </w:r>
      <w:r w:rsidR="000A5329" w:rsidRPr="002029AF">
        <w:t xml:space="preserve"> </w:t>
      </w:r>
      <w:r w:rsidRPr="002029AF">
        <w:t>(under</w:t>
      </w:r>
      <w:r w:rsidR="000A5329" w:rsidRPr="002029AF">
        <w:t xml:space="preserve"> </w:t>
      </w:r>
      <w:r w:rsidRPr="002029AF">
        <w:t>AASB</w:t>
      </w:r>
      <w:r w:rsidR="000A5329" w:rsidRPr="002029AF">
        <w:t xml:space="preserve"> </w:t>
      </w:r>
      <w:r w:rsidRPr="002029AF">
        <w:t>117</w:t>
      </w:r>
      <w:r w:rsidR="000A5329" w:rsidRPr="002029AF">
        <w:t xml:space="preserve"> </w:t>
      </w:r>
      <w:r w:rsidRPr="002029AF">
        <w:t>until</w:t>
      </w:r>
      <w:r w:rsidR="000A5329" w:rsidRPr="002029AF">
        <w:t xml:space="preserve"> </w:t>
      </w:r>
      <w:r w:rsidRPr="002029AF">
        <w:t>30</w:t>
      </w:r>
      <w:r w:rsidR="000A5329" w:rsidRPr="002029AF">
        <w:t xml:space="preserve"> </w:t>
      </w:r>
      <w:r w:rsidRPr="002029AF">
        <w:t>June</w:t>
      </w:r>
      <w:r w:rsidR="000A5329" w:rsidRPr="002029AF">
        <w:t xml:space="preserve"> </w:t>
      </w:r>
      <w:r w:rsidRPr="002029AF">
        <w:t>2019)</w:t>
      </w:r>
      <w:r w:rsidR="000A5329" w:rsidRPr="002029AF">
        <w:t xml:space="preserve"> </w:t>
      </w:r>
      <w:r w:rsidRPr="002029AF">
        <w:t>is</w:t>
      </w:r>
      <w:r w:rsidR="000A5329" w:rsidRPr="002029AF">
        <w:t xml:space="preserve"> </w:t>
      </w:r>
      <w:r w:rsidRPr="002029AF">
        <w:t>measured</w:t>
      </w:r>
      <w:r w:rsidR="000A5329" w:rsidRPr="002029AF">
        <w:t xml:space="preserve"> </w:t>
      </w:r>
      <w:r w:rsidRPr="002029AF">
        <w:t>at</w:t>
      </w:r>
      <w:r w:rsidR="000A5329" w:rsidRPr="002029AF">
        <w:t xml:space="preserve"> </w:t>
      </w:r>
      <w:r w:rsidRPr="002029AF">
        <w:t>amounts</w:t>
      </w:r>
      <w:r w:rsidR="000A5329" w:rsidRPr="002029AF">
        <w:t xml:space="preserve"> </w:t>
      </w:r>
      <w:r w:rsidRPr="002029AF">
        <w:t>equal</w:t>
      </w:r>
      <w:r w:rsidR="000A5329" w:rsidRPr="002029AF">
        <w:t xml:space="preserve"> </w:t>
      </w:r>
      <w:r w:rsidRPr="002029AF">
        <w:t>to</w:t>
      </w:r>
      <w:r w:rsidR="000A5329" w:rsidRPr="002029AF">
        <w:t xml:space="preserve"> </w:t>
      </w:r>
      <w:r w:rsidRPr="002029AF">
        <w:t>the</w:t>
      </w:r>
      <w:r w:rsidR="000A5329" w:rsidRPr="002029AF">
        <w:t xml:space="preserve"> </w:t>
      </w:r>
      <w:r w:rsidRPr="002029AF">
        <w:t>fair</w:t>
      </w:r>
      <w:r w:rsidR="000A5329" w:rsidRPr="002029AF">
        <w:t xml:space="preserve"> </w:t>
      </w:r>
      <w:r w:rsidRPr="002029AF">
        <w:t>value</w:t>
      </w:r>
      <w:r w:rsidR="000A5329" w:rsidRPr="002029AF">
        <w:t xml:space="preserve"> </w:t>
      </w:r>
      <w:r w:rsidRPr="002029AF">
        <w:t>of</w:t>
      </w:r>
      <w:r w:rsidR="000A5329" w:rsidRPr="002029AF">
        <w:t xml:space="preserve"> </w:t>
      </w:r>
      <w:r w:rsidRPr="002029AF">
        <w:t>the</w:t>
      </w:r>
      <w:r w:rsidR="000A5329" w:rsidRPr="002029AF">
        <w:t xml:space="preserve"> </w:t>
      </w:r>
      <w:r w:rsidRPr="002029AF">
        <w:t>leased</w:t>
      </w:r>
      <w:r w:rsidR="000A5329" w:rsidRPr="002029AF">
        <w:t xml:space="preserve"> </w:t>
      </w:r>
      <w:r w:rsidRPr="002029AF">
        <w:t>asset</w:t>
      </w:r>
      <w:r w:rsidR="000A5329" w:rsidRPr="002029AF">
        <w:t xml:space="preserve"> </w:t>
      </w:r>
      <w:r w:rsidRPr="002029AF">
        <w:t>or,</w:t>
      </w:r>
      <w:r w:rsidR="000A5329" w:rsidRPr="002029AF">
        <w:t xml:space="preserve"> </w:t>
      </w:r>
      <w:r w:rsidRPr="002029AF">
        <w:t>if</w:t>
      </w:r>
      <w:r w:rsidR="000A5329" w:rsidRPr="002029AF">
        <w:t xml:space="preserve"> </w:t>
      </w:r>
      <w:r w:rsidRPr="002029AF">
        <w:t>lower,</w:t>
      </w:r>
      <w:r w:rsidR="000A5329" w:rsidRPr="002029AF">
        <w:t xml:space="preserve"> </w:t>
      </w:r>
      <w:r w:rsidRPr="002029AF">
        <w:t>the</w:t>
      </w:r>
      <w:r w:rsidR="000A5329" w:rsidRPr="002029AF">
        <w:t xml:space="preserve"> </w:t>
      </w:r>
      <w:r w:rsidRPr="002029AF">
        <w:t>present</w:t>
      </w:r>
      <w:r w:rsidR="000A5329" w:rsidRPr="002029AF">
        <w:t xml:space="preserve"> </w:t>
      </w:r>
      <w:r w:rsidRPr="002029AF">
        <w:t>value</w:t>
      </w:r>
      <w:r w:rsidR="000A5329" w:rsidRPr="002029AF">
        <w:t xml:space="preserve"> </w:t>
      </w:r>
      <w:r w:rsidRPr="002029AF">
        <w:t>of</w:t>
      </w:r>
      <w:r w:rsidR="000A5329" w:rsidRPr="002029AF">
        <w:t xml:space="preserve"> </w:t>
      </w:r>
      <w:r w:rsidRPr="002029AF">
        <w:t>the</w:t>
      </w:r>
      <w:r w:rsidR="000A5329" w:rsidRPr="002029AF">
        <w:t xml:space="preserve"> </w:t>
      </w:r>
      <w:r w:rsidRPr="002029AF">
        <w:t>minimum</w:t>
      </w:r>
      <w:r w:rsidR="000A5329" w:rsidRPr="002029AF">
        <w:t xml:space="preserve"> </w:t>
      </w:r>
      <w:r w:rsidRPr="002029AF">
        <w:t>lease</w:t>
      </w:r>
      <w:r w:rsidR="000A5329" w:rsidRPr="002029AF">
        <w:t xml:space="preserve"> </w:t>
      </w:r>
      <w:r w:rsidRPr="002029AF">
        <w:t>payments,</w:t>
      </w:r>
      <w:r w:rsidR="000A5329" w:rsidRPr="002029AF">
        <w:t xml:space="preserve"> </w:t>
      </w:r>
      <w:r w:rsidRPr="002029AF">
        <w:t>each</w:t>
      </w:r>
      <w:r w:rsidR="000A5329" w:rsidRPr="002029AF">
        <w:t xml:space="preserve"> </w:t>
      </w:r>
      <w:r w:rsidRPr="002029AF">
        <w:t>determined</w:t>
      </w:r>
      <w:r w:rsidR="000A5329" w:rsidRPr="002029AF">
        <w:t xml:space="preserve"> </w:t>
      </w:r>
      <w:r w:rsidRPr="002029AF">
        <w:t>at</w:t>
      </w:r>
      <w:r w:rsidR="000A5329" w:rsidRPr="002029AF">
        <w:t xml:space="preserve"> </w:t>
      </w:r>
      <w:r w:rsidRPr="002029AF">
        <w:t>the</w:t>
      </w:r>
      <w:r w:rsidR="000A5329" w:rsidRPr="002029AF">
        <w:t xml:space="preserve"> </w:t>
      </w:r>
      <w:r w:rsidRPr="002029AF">
        <w:t>inception</w:t>
      </w:r>
      <w:r w:rsidR="000A5329" w:rsidRPr="002029AF">
        <w:t xml:space="preserve"> </w:t>
      </w:r>
      <w:r w:rsidRPr="002029AF">
        <w:t>of</w:t>
      </w:r>
      <w:r w:rsidR="000A5329" w:rsidRPr="002029AF">
        <w:t xml:space="preserve"> </w:t>
      </w:r>
      <w:r w:rsidRPr="002029AF">
        <w:t>the</w:t>
      </w:r>
      <w:r w:rsidR="000A5329" w:rsidRPr="002029AF">
        <w:t xml:space="preserve"> </w:t>
      </w:r>
      <w:r w:rsidRPr="002029AF">
        <w:t>lease.</w:t>
      </w:r>
    </w:p>
    <w:p w14:paraId="19D24DEB" w14:textId="75C0CFAC" w:rsidR="00087B91" w:rsidRPr="002029AF" w:rsidRDefault="00087B91" w:rsidP="00087B91">
      <w:pPr>
        <w:pStyle w:val="Heading7"/>
        <w:rPr>
          <w:highlight w:val="yellow"/>
        </w:rPr>
      </w:pPr>
      <w:r w:rsidRPr="002029AF">
        <w:t>Right-of-use</w:t>
      </w:r>
      <w:r w:rsidR="000A5329" w:rsidRPr="002029AF">
        <w:t xml:space="preserve"> </w:t>
      </w:r>
      <w:r w:rsidRPr="002029AF">
        <w:t>asset</w:t>
      </w:r>
      <w:r w:rsidR="000A5329" w:rsidRPr="002029AF">
        <w:t xml:space="preserve"> </w:t>
      </w:r>
      <w:r w:rsidRPr="002029AF">
        <w:t>acquired</w:t>
      </w:r>
      <w:r w:rsidR="000A5329" w:rsidRPr="002029AF">
        <w:t xml:space="preserve"> </w:t>
      </w:r>
      <w:r w:rsidRPr="002029AF">
        <w:t>by</w:t>
      </w:r>
      <w:r w:rsidR="000A5329" w:rsidRPr="002029AF">
        <w:t xml:space="preserve"> </w:t>
      </w:r>
      <w:r w:rsidRPr="002029AF">
        <w:t>lessees</w:t>
      </w:r>
      <w:r w:rsidR="000A5329" w:rsidRPr="002029AF">
        <w:t xml:space="preserve"> </w:t>
      </w:r>
      <w:r w:rsidRPr="002029AF">
        <w:t>(Under</w:t>
      </w:r>
      <w:r w:rsidR="000A5329" w:rsidRPr="002029AF">
        <w:t xml:space="preserve"> </w:t>
      </w:r>
      <w:r w:rsidRPr="002029AF">
        <w:t>AASB</w:t>
      </w:r>
      <w:r w:rsidR="000A5329" w:rsidRPr="002029AF">
        <w:t xml:space="preserve"> </w:t>
      </w:r>
      <w:r w:rsidRPr="002029AF">
        <w:t>16</w:t>
      </w:r>
      <w:r w:rsidR="000A5329" w:rsidRPr="002029AF">
        <w:t xml:space="preserve"> </w:t>
      </w:r>
      <w:r w:rsidRPr="002029AF">
        <w:t>–</w:t>
      </w:r>
      <w:r w:rsidR="000A5329" w:rsidRPr="002029AF">
        <w:t xml:space="preserve"> </w:t>
      </w:r>
      <w:r w:rsidRPr="002029AF">
        <w:t>Leases</w:t>
      </w:r>
      <w:r w:rsidR="000A5329" w:rsidRPr="002029AF">
        <w:t xml:space="preserve"> </w:t>
      </w:r>
      <w:r w:rsidRPr="002029AF">
        <w:t>from</w:t>
      </w:r>
      <w:r w:rsidR="000A5329" w:rsidRPr="002029AF">
        <w:t xml:space="preserve"> </w:t>
      </w:r>
      <w:r w:rsidRPr="002029AF">
        <w:t>1</w:t>
      </w:r>
      <w:r w:rsidR="000A5329" w:rsidRPr="002029AF">
        <w:t xml:space="preserve"> </w:t>
      </w:r>
      <w:r w:rsidRPr="002029AF">
        <w:t>July</w:t>
      </w:r>
      <w:r w:rsidR="000A5329" w:rsidRPr="002029AF">
        <w:t xml:space="preserve"> </w:t>
      </w:r>
      <w:r w:rsidRPr="002029AF">
        <w:t>2019)</w:t>
      </w:r>
      <w:r w:rsidR="000A5329" w:rsidRPr="002029AF">
        <w:t xml:space="preserve"> </w:t>
      </w:r>
      <w:r w:rsidRPr="002029AF">
        <w:br/>
        <w:t>–</w:t>
      </w:r>
      <w:r w:rsidR="000A5329" w:rsidRPr="002029AF">
        <w:t xml:space="preserve"> </w:t>
      </w:r>
      <w:r w:rsidRPr="002029AF">
        <w:t>Initial</w:t>
      </w:r>
      <w:r w:rsidR="000A5329" w:rsidRPr="002029AF">
        <w:t xml:space="preserve"> </w:t>
      </w:r>
      <w:r w:rsidRPr="002029AF">
        <w:t>measurement</w:t>
      </w:r>
    </w:p>
    <w:p w14:paraId="3403F96D" w14:textId="03D7CF96" w:rsidR="00087B91" w:rsidRPr="002029AF" w:rsidRDefault="00087B91" w:rsidP="00087B91">
      <w:pPr>
        <w:pStyle w:val="ARfinbody"/>
      </w:pPr>
      <w:r w:rsidRPr="002029AF">
        <w:t>The</w:t>
      </w:r>
      <w:r w:rsidR="000A5329" w:rsidRPr="002029AF">
        <w:t xml:space="preserve"> </w:t>
      </w:r>
      <w:r w:rsidRPr="002029AF">
        <w:t>department</w:t>
      </w:r>
      <w:r w:rsidR="000A5329" w:rsidRPr="002029AF">
        <w:t xml:space="preserve"> </w:t>
      </w:r>
      <w:r w:rsidRPr="002029AF">
        <w:t>recognises</w:t>
      </w:r>
      <w:r w:rsidR="000A5329" w:rsidRPr="002029AF">
        <w:t xml:space="preserve"> </w:t>
      </w:r>
      <w:r w:rsidRPr="002029AF">
        <w:t>a</w:t>
      </w:r>
      <w:r w:rsidR="000A5329" w:rsidRPr="002029AF">
        <w:t xml:space="preserve"> </w:t>
      </w:r>
      <w:r w:rsidRPr="002029AF">
        <w:t>right-of-use</w:t>
      </w:r>
      <w:r w:rsidR="000A5329" w:rsidRPr="002029AF">
        <w:t xml:space="preserve"> </w:t>
      </w:r>
      <w:r w:rsidRPr="002029AF">
        <w:t>asset</w:t>
      </w:r>
      <w:r w:rsidR="000A5329" w:rsidRPr="002029AF">
        <w:t xml:space="preserve"> </w:t>
      </w:r>
      <w:r w:rsidRPr="002029AF">
        <w:t>and</w:t>
      </w:r>
      <w:r w:rsidR="000A5329" w:rsidRPr="002029AF">
        <w:t xml:space="preserve"> </w:t>
      </w:r>
      <w:r w:rsidRPr="002029AF">
        <w:t>a</w:t>
      </w:r>
      <w:r w:rsidR="000A5329" w:rsidRPr="002029AF">
        <w:t xml:space="preserve"> </w:t>
      </w:r>
      <w:r w:rsidRPr="002029AF">
        <w:t>lease</w:t>
      </w:r>
      <w:r w:rsidR="000A5329" w:rsidRPr="002029AF">
        <w:t xml:space="preserve"> </w:t>
      </w:r>
      <w:r w:rsidRPr="002029AF">
        <w:t>liability</w:t>
      </w:r>
      <w:r w:rsidR="000A5329" w:rsidRPr="002029AF">
        <w:t xml:space="preserve"> </w:t>
      </w:r>
      <w:r w:rsidRPr="002029AF">
        <w:t>at</w:t>
      </w:r>
      <w:r w:rsidR="000A5329" w:rsidRPr="002029AF">
        <w:t xml:space="preserve"> </w:t>
      </w:r>
      <w:r w:rsidRPr="002029AF">
        <w:t>the</w:t>
      </w:r>
      <w:r w:rsidR="000A5329" w:rsidRPr="002029AF">
        <w:t xml:space="preserve"> </w:t>
      </w:r>
      <w:r w:rsidRPr="002029AF">
        <w:t>lease</w:t>
      </w:r>
      <w:r w:rsidR="000A5329" w:rsidRPr="002029AF">
        <w:t xml:space="preserve"> </w:t>
      </w:r>
      <w:r w:rsidRPr="002029AF">
        <w:t>commencement</w:t>
      </w:r>
      <w:r w:rsidR="000A5329" w:rsidRPr="002029AF">
        <w:t xml:space="preserve"> </w:t>
      </w:r>
      <w:r w:rsidRPr="002029AF">
        <w:t>date.</w:t>
      </w:r>
      <w:r w:rsidR="000A5329" w:rsidRPr="002029AF">
        <w:t xml:space="preserve"> </w:t>
      </w:r>
      <w:r w:rsidRPr="002029AF">
        <w:t>The</w:t>
      </w:r>
      <w:r w:rsidR="000A5329" w:rsidRPr="002029AF">
        <w:t xml:space="preserve"> </w:t>
      </w:r>
      <w:r w:rsidRPr="002029AF">
        <w:t>right-of-use</w:t>
      </w:r>
      <w:r w:rsidR="000A5329" w:rsidRPr="002029AF">
        <w:t xml:space="preserve"> </w:t>
      </w:r>
      <w:r w:rsidRPr="002029AF">
        <w:t>asset</w:t>
      </w:r>
      <w:r w:rsidR="000A5329" w:rsidRPr="002029AF">
        <w:t xml:space="preserve"> </w:t>
      </w:r>
      <w:r w:rsidRPr="002029AF">
        <w:t>is</w:t>
      </w:r>
      <w:r w:rsidR="000A5329" w:rsidRPr="002029AF">
        <w:t xml:space="preserve"> </w:t>
      </w:r>
      <w:r w:rsidRPr="002029AF">
        <w:t>initially</w:t>
      </w:r>
      <w:r w:rsidR="000A5329" w:rsidRPr="002029AF">
        <w:t xml:space="preserve"> </w:t>
      </w:r>
      <w:r w:rsidRPr="002029AF">
        <w:t>measured</w:t>
      </w:r>
      <w:r w:rsidR="000A5329" w:rsidRPr="002029AF">
        <w:t xml:space="preserve"> </w:t>
      </w:r>
      <w:r w:rsidRPr="002029AF">
        <w:t>at</w:t>
      </w:r>
      <w:r w:rsidR="000A5329" w:rsidRPr="002029AF">
        <w:t xml:space="preserve"> </w:t>
      </w:r>
      <w:r w:rsidRPr="002029AF">
        <w:t>cost</w:t>
      </w:r>
      <w:r w:rsidR="000A5329" w:rsidRPr="002029AF">
        <w:t xml:space="preserve"> </w:t>
      </w:r>
      <w:r w:rsidRPr="002029AF">
        <w:t>which</w:t>
      </w:r>
      <w:r w:rsidR="000A5329" w:rsidRPr="002029AF">
        <w:t xml:space="preserve"> </w:t>
      </w:r>
      <w:r w:rsidRPr="002029AF">
        <w:t>comprises</w:t>
      </w:r>
      <w:r w:rsidR="000A5329" w:rsidRPr="002029AF">
        <w:t xml:space="preserve"> </w:t>
      </w:r>
      <w:r w:rsidRPr="002029AF">
        <w:t>the</w:t>
      </w:r>
      <w:r w:rsidR="000A5329" w:rsidRPr="002029AF">
        <w:t xml:space="preserve"> </w:t>
      </w:r>
      <w:r w:rsidRPr="002029AF">
        <w:t>initial</w:t>
      </w:r>
      <w:r w:rsidR="000A5329" w:rsidRPr="002029AF">
        <w:t xml:space="preserve"> </w:t>
      </w:r>
      <w:r w:rsidRPr="002029AF">
        <w:t>amount</w:t>
      </w:r>
      <w:r w:rsidR="000A5329" w:rsidRPr="002029AF">
        <w:t xml:space="preserve"> </w:t>
      </w:r>
      <w:r w:rsidRPr="002029AF">
        <w:t>of</w:t>
      </w:r>
      <w:r w:rsidR="000A5329" w:rsidRPr="002029AF">
        <w:t xml:space="preserve"> </w:t>
      </w:r>
      <w:r w:rsidRPr="002029AF">
        <w:t>the</w:t>
      </w:r>
      <w:r w:rsidR="000A5329" w:rsidRPr="002029AF">
        <w:t xml:space="preserve"> </w:t>
      </w:r>
      <w:r w:rsidRPr="002029AF">
        <w:t>lease</w:t>
      </w:r>
      <w:r w:rsidR="000A5329" w:rsidRPr="002029AF">
        <w:t xml:space="preserve"> </w:t>
      </w:r>
      <w:r w:rsidRPr="002029AF">
        <w:t>liability</w:t>
      </w:r>
      <w:r w:rsidR="000A5329" w:rsidRPr="002029AF">
        <w:t xml:space="preserve"> </w:t>
      </w:r>
      <w:r w:rsidRPr="002029AF">
        <w:t>adjusted</w:t>
      </w:r>
      <w:r w:rsidR="000A5329" w:rsidRPr="002029AF">
        <w:t xml:space="preserve"> </w:t>
      </w:r>
      <w:r w:rsidRPr="002029AF">
        <w:t>for:</w:t>
      </w:r>
    </w:p>
    <w:p w14:paraId="1784A843" w14:textId="7B99150C" w:rsidR="00087B91" w:rsidRPr="002029AF" w:rsidRDefault="00087B91" w:rsidP="00087B91">
      <w:pPr>
        <w:pStyle w:val="ARfinbullet1"/>
      </w:pPr>
      <w:r w:rsidRPr="002029AF">
        <w:t>any</w:t>
      </w:r>
      <w:r w:rsidR="000A5329" w:rsidRPr="002029AF">
        <w:t xml:space="preserve"> </w:t>
      </w:r>
      <w:r w:rsidRPr="002029AF">
        <w:t>lease</w:t>
      </w:r>
      <w:r w:rsidR="000A5329" w:rsidRPr="002029AF">
        <w:t xml:space="preserve"> </w:t>
      </w:r>
      <w:r w:rsidRPr="002029AF">
        <w:t>payments</w:t>
      </w:r>
      <w:r w:rsidR="000A5329" w:rsidRPr="002029AF">
        <w:t xml:space="preserve"> </w:t>
      </w:r>
      <w:r w:rsidRPr="002029AF">
        <w:t>made</w:t>
      </w:r>
      <w:r w:rsidR="000A5329" w:rsidRPr="002029AF">
        <w:t xml:space="preserve"> </w:t>
      </w:r>
      <w:r w:rsidRPr="002029AF">
        <w:t>at</w:t>
      </w:r>
      <w:r w:rsidR="000A5329" w:rsidRPr="002029AF">
        <w:t xml:space="preserve"> </w:t>
      </w:r>
      <w:r w:rsidRPr="002029AF">
        <w:t>or</w:t>
      </w:r>
      <w:r w:rsidR="000A5329" w:rsidRPr="002029AF">
        <w:t xml:space="preserve"> </w:t>
      </w:r>
      <w:r w:rsidRPr="002029AF">
        <w:t>before</w:t>
      </w:r>
      <w:r w:rsidR="000A5329" w:rsidRPr="002029AF">
        <w:t xml:space="preserve"> </w:t>
      </w:r>
      <w:r w:rsidRPr="002029AF">
        <w:t>the</w:t>
      </w:r>
      <w:r w:rsidR="000A5329" w:rsidRPr="002029AF">
        <w:t xml:space="preserve"> </w:t>
      </w:r>
      <w:r w:rsidRPr="002029AF">
        <w:t>commencement</w:t>
      </w:r>
      <w:r w:rsidR="000A5329" w:rsidRPr="002029AF">
        <w:t xml:space="preserve"> </w:t>
      </w:r>
      <w:r w:rsidRPr="002029AF">
        <w:t>date,</w:t>
      </w:r>
      <w:r w:rsidR="000A5329" w:rsidRPr="002029AF">
        <w:t xml:space="preserve"> </w:t>
      </w:r>
      <w:r w:rsidRPr="002029AF">
        <w:t>plus</w:t>
      </w:r>
    </w:p>
    <w:p w14:paraId="5737C7C3" w14:textId="2ED3A508" w:rsidR="00087B91" w:rsidRPr="002029AF" w:rsidRDefault="00087B91" w:rsidP="00087B91">
      <w:pPr>
        <w:pStyle w:val="ARfinbullet1"/>
      </w:pPr>
      <w:r w:rsidRPr="002029AF">
        <w:t>any</w:t>
      </w:r>
      <w:r w:rsidR="000A5329" w:rsidRPr="002029AF">
        <w:t xml:space="preserve"> </w:t>
      </w:r>
      <w:r w:rsidRPr="002029AF">
        <w:t>initial</w:t>
      </w:r>
      <w:r w:rsidR="000A5329" w:rsidRPr="002029AF">
        <w:t xml:space="preserve"> </w:t>
      </w:r>
      <w:r w:rsidRPr="002029AF">
        <w:t>direct</w:t>
      </w:r>
      <w:r w:rsidR="000A5329" w:rsidRPr="002029AF">
        <w:t xml:space="preserve"> </w:t>
      </w:r>
      <w:r w:rsidRPr="002029AF">
        <w:t>costs</w:t>
      </w:r>
      <w:r w:rsidR="000A5329" w:rsidRPr="002029AF">
        <w:t xml:space="preserve"> </w:t>
      </w:r>
      <w:r w:rsidRPr="002029AF">
        <w:t>incurred,</w:t>
      </w:r>
      <w:r w:rsidR="000A5329" w:rsidRPr="002029AF">
        <w:t xml:space="preserve"> </w:t>
      </w:r>
      <w:r w:rsidRPr="002029AF">
        <w:t>and</w:t>
      </w:r>
    </w:p>
    <w:p w14:paraId="11F7713D" w14:textId="2854697E" w:rsidR="00087B91" w:rsidRPr="002029AF" w:rsidRDefault="00087B91" w:rsidP="00087B91">
      <w:pPr>
        <w:pStyle w:val="ARfinbullet1"/>
      </w:pPr>
      <w:r w:rsidRPr="002029AF">
        <w:t>an</w:t>
      </w:r>
      <w:r w:rsidR="000A5329" w:rsidRPr="002029AF">
        <w:t xml:space="preserve"> </w:t>
      </w:r>
      <w:r w:rsidRPr="002029AF">
        <w:t>estimate</w:t>
      </w:r>
      <w:r w:rsidR="000A5329" w:rsidRPr="002029AF">
        <w:t xml:space="preserve"> </w:t>
      </w:r>
      <w:r w:rsidRPr="002029AF">
        <w:t>of</w:t>
      </w:r>
      <w:r w:rsidR="000A5329" w:rsidRPr="002029AF">
        <w:t xml:space="preserve"> </w:t>
      </w:r>
      <w:r w:rsidRPr="002029AF">
        <w:t>costs</w:t>
      </w:r>
      <w:r w:rsidR="000A5329" w:rsidRPr="002029AF">
        <w:t xml:space="preserve"> </w:t>
      </w:r>
      <w:r w:rsidRPr="002029AF">
        <w:t>to</w:t>
      </w:r>
      <w:r w:rsidR="000A5329" w:rsidRPr="002029AF">
        <w:t xml:space="preserve"> </w:t>
      </w:r>
      <w:r w:rsidRPr="002029AF">
        <w:t>dismantle</w:t>
      </w:r>
      <w:r w:rsidR="000A5329" w:rsidRPr="002029AF">
        <w:t xml:space="preserve"> </w:t>
      </w:r>
      <w:r w:rsidRPr="002029AF">
        <w:t>and</w:t>
      </w:r>
      <w:r w:rsidR="000A5329" w:rsidRPr="002029AF">
        <w:t xml:space="preserve"> </w:t>
      </w:r>
      <w:r w:rsidRPr="002029AF">
        <w:t>remove</w:t>
      </w:r>
      <w:r w:rsidR="000A5329" w:rsidRPr="002029AF">
        <w:t xml:space="preserve"> </w:t>
      </w:r>
      <w:r w:rsidRPr="002029AF">
        <w:t>the</w:t>
      </w:r>
      <w:r w:rsidR="000A5329" w:rsidRPr="002029AF">
        <w:t xml:space="preserve"> </w:t>
      </w:r>
      <w:r w:rsidRPr="002029AF">
        <w:t>underlying</w:t>
      </w:r>
      <w:r w:rsidR="000A5329" w:rsidRPr="002029AF">
        <w:t xml:space="preserve"> </w:t>
      </w:r>
      <w:r w:rsidRPr="002029AF">
        <w:t>asset</w:t>
      </w:r>
      <w:r w:rsidR="000A5329" w:rsidRPr="002029AF">
        <w:t xml:space="preserve"> </w:t>
      </w:r>
      <w:r w:rsidRPr="002029AF">
        <w:t>or</w:t>
      </w:r>
      <w:r w:rsidR="000A5329" w:rsidRPr="002029AF">
        <w:t xml:space="preserve"> </w:t>
      </w:r>
      <w:r w:rsidRPr="002029AF">
        <w:t>to</w:t>
      </w:r>
      <w:r w:rsidR="000A5329" w:rsidRPr="002029AF">
        <w:t xml:space="preserve"> </w:t>
      </w:r>
      <w:r w:rsidRPr="002029AF">
        <w:t>restore</w:t>
      </w:r>
      <w:r w:rsidR="000A5329" w:rsidRPr="002029AF">
        <w:t xml:space="preserve"> </w:t>
      </w:r>
      <w:r w:rsidRPr="002029AF">
        <w:t>the</w:t>
      </w:r>
      <w:r w:rsidR="000A5329" w:rsidRPr="002029AF">
        <w:t xml:space="preserve"> </w:t>
      </w:r>
      <w:r w:rsidRPr="002029AF">
        <w:t>underlying</w:t>
      </w:r>
      <w:r w:rsidR="000A5329" w:rsidRPr="002029AF">
        <w:t xml:space="preserve"> </w:t>
      </w:r>
      <w:r w:rsidRPr="002029AF">
        <w:t>asset</w:t>
      </w:r>
      <w:r w:rsidR="000A5329" w:rsidRPr="002029AF">
        <w:t xml:space="preserve"> </w:t>
      </w:r>
      <w:r w:rsidRPr="002029AF">
        <w:t>or</w:t>
      </w:r>
      <w:r w:rsidR="000A5329" w:rsidRPr="002029AF">
        <w:t xml:space="preserve"> </w:t>
      </w:r>
      <w:r w:rsidRPr="002029AF">
        <w:t>the</w:t>
      </w:r>
      <w:r w:rsidR="000A5329" w:rsidRPr="002029AF">
        <w:t xml:space="preserve"> </w:t>
      </w:r>
      <w:r w:rsidRPr="002029AF">
        <w:t>site</w:t>
      </w:r>
      <w:r w:rsidR="000A5329" w:rsidRPr="002029AF">
        <w:t xml:space="preserve"> </w:t>
      </w:r>
      <w:r w:rsidRPr="002029AF">
        <w:t>on</w:t>
      </w:r>
      <w:r w:rsidR="000A5329" w:rsidRPr="002029AF">
        <w:t xml:space="preserve"> </w:t>
      </w:r>
      <w:r w:rsidRPr="002029AF">
        <w:t>which</w:t>
      </w:r>
      <w:r w:rsidR="000A5329" w:rsidRPr="002029AF">
        <w:t xml:space="preserve"> </w:t>
      </w:r>
      <w:r w:rsidRPr="002029AF">
        <w:t>it</w:t>
      </w:r>
      <w:r w:rsidR="000A5329" w:rsidRPr="002029AF">
        <w:t xml:space="preserve"> </w:t>
      </w:r>
      <w:r w:rsidRPr="002029AF">
        <w:t>is</w:t>
      </w:r>
      <w:r w:rsidR="000A5329" w:rsidRPr="002029AF">
        <w:t xml:space="preserve"> </w:t>
      </w:r>
      <w:r w:rsidRPr="002029AF">
        <w:t>located.</w:t>
      </w:r>
    </w:p>
    <w:p w14:paraId="5CBFEC21" w14:textId="2FC3D968" w:rsidR="00087B91" w:rsidRPr="002029AF" w:rsidRDefault="00087B91" w:rsidP="00087B91">
      <w:pPr>
        <w:pStyle w:val="Heading7"/>
      </w:pPr>
      <w:r w:rsidRPr="002029AF">
        <w:t>Service</w:t>
      </w:r>
      <w:r w:rsidR="000A5329" w:rsidRPr="002029AF">
        <w:t xml:space="preserve"> </w:t>
      </w:r>
      <w:r w:rsidRPr="002029AF">
        <w:t>concession</w:t>
      </w:r>
      <w:r w:rsidR="000A5329" w:rsidRPr="002029AF">
        <w:t xml:space="preserve"> </w:t>
      </w:r>
      <w:r w:rsidRPr="002029AF">
        <w:t>assets</w:t>
      </w:r>
      <w:r w:rsidR="000A5329" w:rsidRPr="002029AF">
        <w:t xml:space="preserve"> </w:t>
      </w:r>
      <w:r w:rsidRPr="002029AF">
        <w:t>(Under</w:t>
      </w:r>
      <w:r w:rsidR="000A5329" w:rsidRPr="002029AF">
        <w:t xml:space="preserve"> </w:t>
      </w:r>
      <w:r w:rsidRPr="002029AF">
        <w:t>AASB</w:t>
      </w:r>
      <w:r w:rsidR="000A5329" w:rsidRPr="002029AF">
        <w:t xml:space="preserve"> </w:t>
      </w:r>
      <w:r w:rsidRPr="002029AF">
        <w:t>1059</w:t>
      </w:r>
      <w:r w:rsidR="000A5329" w:rsidRPr="002029AF">
        <w:t xml:space="preserve"> </w:t>
      </w:r>
      <w:r w:rsidRPr="002029AF">
        <w:t>–</w:t>
      </w:r>
      <w:r w:rsidR="000A5329" w:rsidRPr="002029AF">
        <w:t xml:space="preserve"> </w:t>
      </w:r>
      <w:r w:rsidRPr="002029AF">
        <w:t>Service</w:t>
      </w:r>
      <w:r w:rsidR="000A5329" w:rsidRPr="002029AF">
        <w:t xml:space="preserve"> </w:t>
      </w:r>
      <w:r w:rsidRPr="002029AF">
        <w:t>Concession</w:t>
      </w:r>
      <w:r w:rsidR="000A5329" w:rsidRPr="002029AF">
        <w:t xml:space="preserve"> </w:t>
      </w:r>
      <w:r w:rsidRPr="002029AF">
        <w:t>Arrangements:</w:t>
      </w:r>
      <w:r w:rsidR="000A5329" w:rsidRPr="002029AF">
        <w:t xml:space="preserve"> </w:t>
      </w:r>
      <w:r w:rsidRPr="002029AF">
        <w:t>Grantors)</w:t>
      </w:r>
      <w:r w:rsidR="000A5329" w:rsidRPr="002029AF">
        <w:t xml:space="preserve"> </w:t>
      </w:r>
      <w:r w:rsidRPr="002029AF">
        <w:br/>
        <w:t>–</w:t>
      </w:r>
      <w:r w:rsidR="000A5329" w:rsidRPr="002029AF">
        <w:t xml:space="preserve"> </w:t>
      </w:r>
      <w:r w:rsidRPr="002029AF">
        <w:t>Initial</w:t>
      </w:r>
      <w:r w:rsidR="000A5329" w:rsidRPr="002029AF">
        <w:t xml:space="preserve"> </w:t>
      </w:r>
      <w:r w:rsidRPr="002029AF">
        <w:t>measurement</w:t>
      </w:r>
    </w:p>
    <w:p w14:paraId="49D285F4" w14:textId="4BC737B5" w:rsidR="00087B91" w:rsidRPr="002029AF" w:rsidRDefault="00087B91" w:rsidP="00087B91">
      <w:pPr>
        <w:pStyle w:val="ARfinbody"/>
      </w:pPr>
      <w:r w:rsidRPr="002029AF">
        <w:t>The</w:t>
      </w:r>
      <w:r w:rsidR="000A5329" w:rsidRPr="002029AF">
        <w:t xml:space="preserve"> </w:t>
      </w:r>
      <w:r w:rsidRPr="002029AF">
        <w:t>department</w:t>
      </w:r>
      <w:r w:rsidR="000A5329" w:rsidRPr="002029AF">
        <w:t xml:space="preserve"> </w:t>
      </w:r>
      <w:r w:rsidRPr="002029AF">
        <w:t>initially</w:t>
      </w:r>
      <w:r w:rsidR="000A5329" w:rsidRPr="002029AF">
        <w:t xml:space="preserve"> </w:t>
      </w:r>
      <w:r w:rsidRPr="002029AF">
        <w:t>recognises</w:t>
      </w:r>
      <w:r w:rsidR="000A5329" w:rsidRPr="002029AF">
        <w:t xml:space="preserve"> </w:t>
      </w:r>
      <w:r w:rsidRPr="002029AF">
        <w:t>service</w:t>
      </w:r>
      <w:r w:rsidR="000A5329" w:rsidRPr="002029AF">
        <w:t xml:space="preserve"> </w:t>
      </w:r>
      <w:r w:rsidRPr="002029AF">
        <w:t>concession</w:t>
      </w:r>
      <w:r w:rsidR="000A5329" w:rsidRPr="002029AF">
        <w:t xml:space="preserve"> </w:t>
      </w:r>
      <w:r w:rsidRPr="002029AF">
        <w:t>assets</w:t>
      </w:r>
      <w:r w:rsidR="000A5329" w:rsidRPr="002029AF">
        <w:t xml:space="preserve"> </w:t>
      </w:r>
      <w:r w:rsidRPr="002029AF">
        <w:t>and</w:t>
      </w:r>
      <w:r w:rsidR="000A5329" w:rsidRPr="002029AF">
        <w:t xml:space="preserve"> </w:t>
      </w:r>
      <w:r w:rsidRPr="002029AF">
        <w:t>service</w:t>
      </w:r>
      <w:r w:rsidR="000A5329" w:rsidRPr="002029AF">
        <w:t xml:space="preserve"> </w:t>
      </w:r>
      <w:r w:rsidRPr="002029AF">
        <w:t>concession</w:t>
      </w:r>
      <w:r w:rsidR="000A5329" w:rsidRPr="002029AF">
        <w:t xml:space="preserve"> </w:t>
      </w:r>
      <w:r w:rsidRPr="002029AF">
        <w:t>assets</w:t>
      </w:r>
      <w:r w:rsidR="000A5329" w:rsidRPr="002029AF">
        <w:t xml:space="preserve"> </w:t>
      </w:r>
      <w:r w:rsidRPr="002029AF">
        <w:t>under</w:t>
      </w:r>
      <w:r w:rsidR="000A5329" w:rsidRPr="002029AF">
        <w:t xml:space="preserve"> </w:t>
      </w:r>
      <w:r w:rsidRPr="002029AF">
        <w:t>construction,</w:t>
      </w:r>
      <w:r w:rsidR="000A5329" w:rsidRPr="002029AF">
        <w:t xml:space="preserve"> </w:t>
      </w:r>
      <w:r w:rsidRPr="002029AF">
        <w:t>including</w:t>
      </w:r>
      <w:r w:rsidR="000A5329" w:rsidRPr="002029AF">
        <w:t xml:space="preserve"> </w:t>
      </w:r>
      <w:r w:rsidRPr="002029AF">
        <w:t>land,</w:t>
      </w:r>
      <w:r w:rsidR="000A5329" w:rsidRPr="002029AF">
        <w:t xml:space="preserve"> </w:t>
      </w:r>
      <w:r w:rsidRPr="002029AF">
        <w:t>buildings,</w:t>
      </w:r>
      <w:r w:rsidR="000A5329" w:rsidRPr="002029AF">
        <w:t xml:space="preserve"> </w:t>
      </w:r>
      <w:r w:rsidRPr="002029AF">
        <w:t>equipment</w:t>
      </w:r>
      <w:r w:rsidR="000A5329" w:rsidRPr="002029AF">
        <w:t xml:space="preserve"> </w:t>
      </w:r>
      <w:r w:rsidRPr="002029AF">
        <w:t>and</w:t>
      </w:r>
      <w:r w:rsidR="000A5329" w:rsidRPr="002029AF">
        <w:t xml:space="preserve"> </w:t>
      </w:r>
      <w:r w:rsidRPr="002029AF">
        <w:t>intangible</w:t>
      </w:r>
      <w:r w:rsidR="000A5329" w:rsidRPr="002029AF">
        <w:t xml:space="preserve"> </w:t>
      </w:r>
      <w:r w:rsidRPr="002029AF">
        <w:t>assets,</w:t>
      </w:r>
      <w:r w:rsidR="000A5329" w:rsidRPr="002029AF">
        <w:t xml:space="preserve"> </w:t>
      </w:r>
      <w:r w:rsidRPr="002029AF">
        <w:t>at</w:t>
      </w:r>
      <w:r w:rsidR="000A5329" w:rsidRPr="002029AF">
        <w:t xml:space="preserve"> </w:t>
      </w:r>
      <w:r w:rsidRPr="002029AF">
        <w:t>current</w:t>
      </w:r>
      <w:r w:rsidR="000A5329" w:rsidRPr="002029AF">
        <w:t xml:space="preserve"> </w:t>
      </w:r>
      <w:r w:rsidRPr="002029AF">
        <w:t>replacement</w:t>
      </w:r>
      <w:r w:rsidR="000A5329" w:rsidRPr="002029AF">
        <w:t xml:space="preserve"> </w:t>
      </w:r>
      <w:r w:rsidRPr="002029AF">
        <w:t>cost</w:t>
      </w:r>
      <w:r w:rsidR="000A5329" w:rsidRPr="002029AF">
        <w:t xml:space="preserve"> </w:t>
      </w:r>
      <w:r w:rsidRPr="002029AF">
        <w:t>in</w:t>
      </w:r>
      <w:r w:rsidR="000A5329" w:rsidRPr="002029AF">
        <w:t xml:space="preserve"> </w:t>
      </w:r>
      <w:r w:rsidRPr="002029AF">
        <w:t>accordance</w:t>
      </w:r>
      <w:r w:rsidR="000A5329" w:rsidRPr="002029AF">
        <w:t xml:space="preserve"> </w:t>
      </w:r>
      <w:r w:rsidRPr="002029AF">
        <w:t>with</w:t>
      </w:r>
      <w:r w:rsidR="000A5329" w:rsidRPr="002029AF">
        <w:t xml:space="preserve"> </w:t>
      </w:r>
      <w:r w:rsidRPr="002029AF">
        <w:t>the</w:t>
      </w:r>
      <w:r w:rsidR="000A5329" w:rsidRPr="002029AF">
        <w:t xml:space="preserve"> </w:t>
      </w:r>
      <w:r w:rsidRPr="002029AF">
        <w:t>cost</w:t>
      </w:r>
      <w:r w:rsidR="000A5329" w:rsidRPr="002029AF">
        <w:t xml:space="preserve"> </w:t>
      </w:r>
      <w:r w:rsidRPr="002029AF">
        <w:t>approach</w:t>
      </w:r>
      <w:r w:rsidR="000A5329" w:rsidRPr="002029AF">
        <w:t xml:space="preserve"> </w:t>
      </w:r>
      <w:r w:rsidRPr="002029AF">
        <w:t>to</w:t>
      </w:r>
      <w:r w:rsidR="000A5329" w:rsidRPr="002029AF">
        <w:t xml:space="preserve"> </w:t>
      </w:r>
      <w:r w:rsidRPr="002029AF">
        <w:t>fair</w:t>
      </w:r>
      <w:r w:rsidR="000A5329" w:rsidRPr="002029AF">
        <w:t xml:space="preserve"> </w:t>
      </w:r>
      <w:r w:rsidRPr="002029AF">
        <w:t>value</w:t>
      </w:r>
      <w:r w:rsidR="000A5329" w:rsidRPr="002029AF">
        <w:t xml:space="preserve"> </w:t>
      </w:r>
      <w:r w:rsidRPr="002029AF">
        <w:t>in</w:t>
      </w:r>
      <w:r w:rsidR="000A5329" w:rsidRPr="002029AF">
        <w:t xml:space="preserve"> </w:t>
      </w:r>
      <w:r w:rsidRPr="002029AF">
        <w:t>AASB</w:t>
      </w:r>
      <w:r w:rsidR="000A5329" w:rsidRPr="002029AF">
        <w:t xml:space="preserve"> </w:t>
      </w:r>
      <w:r w:rsidRPr="002029AF">
        <w:t>13</w:t>
      </w:r>
      <w:r w:rsidR="000A5329" w:rsidRPr="002029AF">
        <w:t xml:space="preserve"> </w:t>
      </w:r>
      <w:r w:rsidRPr="002029AF">
        <w:rPr>
          <w:rStyle w:val="Emphasis"/>
        </w:rPr>
        <w:t>Fair</w:t>
      </w:r>
      <w:r w:rsidR="000A5329" w:rsidRPr="002029AF">
        <w:rPr>
          <w:rStyle w:val="Emphasis"/>
        </w:rPr>
        <w:t xml:space="preserve"> </w:t>
      </w:r>
      <w:r w:rsidRPr="002029AF">
        <w:rPr>
          <w:rStyle w:val="Emphasis"/>
        </w:rPr>
        <w:t>Value</w:t>
      </w:r>
      <w:r w:rsidR="000A5329" w:rsidRPr="002029AF">
        <w:rPr>
          <w:rStyle w:val="Emphasis"/>
        </w:rPr>
        <w:t xml:space="preserve"> </w:t>
      </w:r>
      <w:r w:rsidRPr="002029AF">
        <w:rPr>
          <w:rStyle w:val="Emphasis"/>
        </w:rPr>
        <w:t>Measurement.</w:t>
      </w:r>
      <w:r w:rsidR="000A5329" w:rsidRPr="002029AF">
        <w:t xml:space="preserve"> </w:t>
      </w:r>
      <w:r w:rsidRPr="002029AF">
        <w:t>Where</w:t>
      </w:r>
      <w:r w:rsidR="000A5329" w:rsidRPr="002029AF">
        <w:t xml:space="preserve"> </w:t>
      </w:r>
      <w:r w:rsidRPr="002029AF">
        <w:t>existing</w:t>
      </w:r>
      <w:r w:rsidR="000A5329" w:rsidRPr="002029AF">
        <w:t xml:space="preserve"> </w:t>
      </w:r>
      <w:r w:rsidRPr="002029AF">
        <w:t>assets</w:t>
      </w:r>
      <w:r w:rsidR="000A5329" w:rsidRPr="002029AF">
        <w:t xml:space="preserve"> </w:t>
      </w:r>
      <w:r w:rsidRPr="002029AF">
        <w:t>and</w:t>
      </w:r>
      <w:r w:rsidR="000A5329" w:rsidRPr="002029AF">
        <w:t xml:space="preserve"> </w:t>
      </w:r>
      <w:r w:rsidRPr="002029AF">
        <w:t>assets</w:t>
      </w:r>
      <w:r w:rsidR="000A5329" w:rsidRPr="002029AF">
        <w:t xml:space="preserve"> </w:t>
      </w:r>
      <w:r w:rsidRPr="002029AF">
        <w:t>under</w:t>
      </w:r>
      <w:r w:rsidR="000A5329" w:rsidRPr="002029AF">
        <w:t xml:space="preserve"> </w:t>
      </w:r>
      <w:r w:rsidRPr="002029AF">
        <w:t>construction,</w:t>
      </w:r>
      <w:r w:rsidR="000A5329" w:rsidRPr="002029AF">
        <w:t xml:space="preserve"> </w:t>
      </w:r>
      <w:r w:rsidRPr="002029AF">
        <w:t>including</w:t>
      </w:r>
      <w:r w:rsidR="000A5329" w:rsidRPr="002029AF">
        <w:t xml:space="preserve"> </w:t>
      </w:r>
      <w:r w:rsidRPr="002029AF">
        <w:t>land,</w:t>
      </w:r>
      <w:r w:rsidR="000A5329" w:rsidRPr="002029AF">
        <w:t xml:space="preserve"> </w:t>
      </w:r>
      <w:r w:rsidRPr="002029AF">
        <w:t>buildings,</w:t>
      </w:r>
      <w:r w:rsidR="000A5329" w:rsidRPr="002029AF">
        <w:t xml:space="preserve"> </w:t>
      </w:r>
      <w:r w:rsidRPr="002029AF">
        <w:t>equipment</w:t>
      </w:r>
      <w:r w:rsidR="000A5329" w:rsidRPr="002029AF">
        <w:t xml:space="preserve"> </w:t>
      </w:r>
      <w:r w:rsidRPr="002029AF">
        <w:t>and</w:t>
      </w:r>
      <w:r w:rsidR="000A5329" w:rsidRPr="002029AF">
        <w:t xml:space="preserve"> </w:t>
      </w:r>
      <w:r w:rsidRPr="002029AF">
        <w:t>intangible</w:t>
      </w:r>
      <w:r w:rsidR="000A5329" w:rsidRPr="002029AF">
        <w:t xml:space="preserve"> </w:t>
      </w:r>
      <w:r w:rsidRPr="002029AF">
        <w:t>assets,</w:t>
      </w:r>
      <w:r w:rsidR="000A5329" w:rsidRPr="002029AF">
        <w:t xml:space="preserve"> </w:t>
      </w:r>
      <w:r w:rsidRPr="002029AF">
        <w:t>meet</w:t>
      </w:r>
      <w:r w:rsidR="000A5329" w:rsidRPr="002029AF">
        <w:t xml:space="preserve"> </w:t>
      </w:r>
      <w:r w:rsidRPr="002029AF">
        <w:t>the</w:t>
      </w:r>
      <w:r w:rsidR="000A5329" w:rsidRPr="002029AF">
        <w:t xml:space="preserve"> </w:t>
      </w:r>
      <w:r w:rsidRPr="002029AF">
        <w:t>definition</w:t>
      </w:r>
      <w:r w:rsidR="000A5329" w:rsidRPr="002029AF">
        <w:t xml:space="preserve"> </w:t>
      </w:r>
      <w:r w:rsidRPr="002029AF">
        <w:t>of</w:t>
      </w:r>
      <w:r w:rsidR="000A5329" w:rsidRPr="002029AF">
        <w:t xml:space="preserve"> </w:t>
      </w:r>
      <w:r w:rsidRPr="002029AF">
        <w:t>service</w:t>
      </w:r>
      <w:r w:rsidR="000A5329" w:rsidRPr="002029AF">
        <w:t xml:space="preserve"> </w:t>
      </w:r>
      <w:r w:rsidRPr="002029AF">
        <w:t>concession</w:t>
      </w:r>
      <w:r w:rsidR="000A5329" w:rsidRPr="002029AF">
        <w:t xml:space="preserve"> </w:t>
      </w:r>
      <w:r w:rsidRPr="002029AF">
        <w:t>assets</w:t>
      </w:r>
      <w:r w:rsidR="000A5329" w:rsidRPr="002029AF">
        <w:t xml:space="preserve"> </w:t>
      </w:r>
      <w:r w:rsidRPr="002029AF">
        <w:t>under</w:t>
      </w:r>
      <w:r w:rsidR="000A5329" w:rsidRPr="002029AF">
        <w:t xml:space="preserve"> </w:t>
      </w:r>
      <w:r w:rsidRPr="002029AF">
        <w:t>AASB</w:t>
      </w:r>
      <w:r w:rsidR="000A5329" w:rsidRPr="002029AF">
        <w:t xml:space="preserve"> </w:t>
      </w:r>
      <w:r w:rsidRPr="002029AF">
        <w:t>1059,</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reclassifies</w:t>
      </w:r>
      <w:r w:rsidR="000A5329" w:rsidRPr="002029AF">
        <w:t xml:space="preserve"> </w:t>
      </w:r>
      <w:r w:rsidRPr="002029AF">
        <w:t>the</w:t>
      </w:r>
      <w:r w:rsidR="000A5329" w:rsidRPr="002029AF">
        <w:t xml:space="preserve"> </w:t>
      </w:r>
      <w:r w:rsidRPr="002029AF">
        <w:t>existing</w:t>
      </w:r>
      <w:r w:rsidR="000A5329" w:rsidRPr="002029AF">
        <w:t xml:space="preserve"> </w:t>
      </w:r>
      <w:r w:rsidRPr="002029AF">
        <w:t>assets</w:t>
      </w:r>
      <w:r w:rsidR="000A5329" w:rsidRPr="002029AF">
        <w:t xml:space="preserve"> </w:t>
      </w:r>
      <w:r w:rsidRPr="002029AF">
        <w:t>as</w:t>
      </w:r>
      <w:r w:rsidR="000A5329" w:rsidRPr="002029AF">
        <w:t xml:space="preserve"> </w:t>
      </w:r>
      <w:r w:rsidRPr="002029AF">
        <w:t>service</w:t>
      </w:r>
      <w:r w:rsidR="000A5329" w:rsidRPr="002029AF">
        <w:t xml:space="preserve"> </w:t>
      </w:r>
      <w:r w:rsidRPr="002029AF">
        <w:t>concession</w:t>
      </w:r>
      <w:r w:rsidR="000A5329" w:rsidRPr="002029AF">
        <w:t xml:space="preserve"> </w:t>
      </w:r>
      <w:r w:rsidRPr="002029AF">
        <w:t>assets</w:t>
      </w:r>
      <w:r w:rsidR="000A5329" w:rsidRPr="002029AF">
        <w:t xml:space="preserve"> </w:t>
      </w:r>
      <w:r w:rsidRPr="002029AF">
        <w:t>and</w:t>
      </w:r>
      <w:r w:rsidR="000A5329" w:rsidRPr="002029AF">
        <w:t xml:space="preserve"> </w:t>
      </w:r>
      <w:r w:rsidRPr="002029AF">
        <w:t>measures</w:t>
      </w:r>
      <w:r w:rsidR="000A5329" w:rsidRPr="002029AF">
        <w:t xml:space="preserve"> </w:t>
      </w:r>
      <w:r w:rsidRPr="002029AF">
        <w:t>the</w:t>
      </w:r>
      <w:r w:rsidR="000A5329" w:rsidRPr="002029AF">
        <w:t xml:space="preserve"> </w:t>
      </w:r>
      <w:r w:rsidRPr="002029AF">
        <w:t>assets</w:t>
      </w:r>
      <w:r w:rsidR="000A5329" w:rsidRPr="002029AF">
        <w:t xml:space="preserve"> </w:t>
      </w:r>
      <w:r w:rsidRPr="002029AF">
        <w:t>at</w:t>
      </w:r>
      <w:r w:rsidR="000A5329" w:rsidRPr="002029AF">
        <w:t xml:space="preserve"> </w:t>
      </w:r>
      <w:r w:rsidRPr="002029AF">
        <w:t>current</w:t>
      </w:r>
      <w:r w:rsidR="000A5329" w:rsidRPr="002029AF">
        <w:t xml:space="preserve"> </w:t>
      </w:r>
      <w:r w:rsidRPr="002029AF">
        <w:t>replacement</w:t>
      </w:r>
      <w:r w:rsidR="000A5329" w:rsidRPr="002029AF">
        <w:t xml:space="preserve"> </w:t>
      </w:r>
      <w:r w:rsidRPr="002029AF">
        <w:t>cost</w:t>
      </w:r>
      <w:r w:rsidR="000A5329" w:rsidRPr="002029AF">
        <w:t xml:space="preserve"> </w:t>
      </w:r>
      <w:r w:rsidRPr="002029AF">
        <w:t>in</w:t>
      </w:r>
      <w:r w:rsidR="000A5329" w:rsidRPr="002029AF">
        <w:t xml:space="preserve"> </w:t>
      </w:r>
      <w:r w:rsidRPr="002029AF">
        <w:t>accordance</w:t>
      </w:r>
      <w:r w:rsidR="000A5329" w:rsidRPr="002029AF">
        <w:t xml:space="preserve"> </w:t>
      </w:r>
      <w:r w:rsidRPr="002029AF">
        <w:t>with</w:t>
      </w:r>
      <w:r w:rsidR="000A5329" w:rsidRPr="002029AF">
        <w:t xml:space="preserve"> </w:t>
      </w:r>
      <w:r w:rsidRPr="002029AF">
        <w:t>the</w:t>
      </w:r>
      <w:r w:rsidR="000A5329" w:rsidRPr="002029AF">
        <w:t xml:space="preserve"> </w:t>
      </w:r>
      <w:r w:rsidRPr="002029AF">
        <w:t>cost</w:t>
      </w:r>
      <w:r w:rsidR="000A5329" w:rsidRPr="002029AF">
        <w:t xml:space="preserve"> </w:t>
      </w:r>
      <w:r w:rsidRPr="002029AF">
        <w:t>approach</w:t>
      </w:r>
      <w:r w:rsidR="000A5329" w:rsidRPr="002029AF">
        <w:t xml:space="preserve"> </w:t>
      </w:r>
      <w:r w:rsidRPr="002029AF">
        <w:t>to</w:t>
      </w:r>
      <w:r w:rsidR="000A5329" w:rsidRPr="002029AF">
        <w:t xml:space="preserve"> </w:t>
      </w:r>
      <w:r w:rsidRPr="002029AF">
        <w:t>fair</w:t>
      </w:r>
      <w:r w:rsidR="000A5329" w:rsidRPr="002029AF">
        <w:t xml:space="preserve"> </w:t>
      </w:r>
      <w:r w:rsidRPr="002029AF">
        <w:t>value</w:t>
      </w:r>
      <w:r w:rsidR="000A5329" w:rsidRPr="002029AF">
        <w:t xml:space="preserve"> </w:t>
      </w:r>
      <w:r w:rsidRPr="002029AF">
        <w:t>in</w:t>
      </w:r>
      <w:r w:rsidR="000A5329" w:rsidRPr="002029AF">
        <w:t xml:space="preserve"> </w:t>
      </w:r>
      <w:r w:rsidRPr="002029AF">
        <w:t>AASB</w:t>
      </w:r>
      <w:r w:rsidR="000A5329" w:rsidRPr="002029AF">
        <w:t xml:space="preserve"> </w:t>
      </w:r>
      <w:r w:rsidRPr="002029AF">
        <w:t>13</w:t>
      </w:r>
      <w:r w:rsidR="000A5329" w:rsidRPr="002029AF">
        <w:t xml:space="preserve"> </w:t>
      </w:r>
      <w:r w:rsidRPr="002029AF">
        <w:t>as</w:t>
      </w:r>
      <w:r w:rsidR="000A5329" w:rsidRPr="002029AF">
        <w:t xml:space="preserve"> </w:t>
      </w:r>
      <w:r w:rsidRPr="002029AF">
        <w:t>at</w:t>
      </w:r>
      <w:r w:rsidR="000A5329" w:rsidRPr="002029AF">
        <w:t xml:space="preserve"> </w:t>
      </w:r>
      <w:r w:rsidRPr="002029AF">
        <w:t>the</w:t>
      </w:r>
      <w:r w:rsidR="000A5329" w:rsidRPr="002029AF">
        <w:t xml:space="preserve"> </w:t>
      </w:r>
      <w:r w:rsidRPr="002029AF">
        <w:t>date</w:t>
      </w:r>
      <w:r w:rsidR="000A5329" w:rsidRPr="002029AF">
        <w:t xml:space="preserve"> </w:t>
      </w:r>
      <w:r w:rsidRPr="002029AF">
        <w:t>of</w:t>
      </w:r>
      <w:r w:rsidR="000A5329" w:rsidRPr="002029AF">
        <w:t xml:space="preserve"> </w:t>
      </w:r>
      <w:r w:rsidRPr="002029AF">
        <w:t>reclassification.</w:t>
      </w:r>
    </w:p>
    <w:p w14:paraId="2C69C4EC" w14:textId="77777777" w:rsidR="00087B91" w:rsidRPr="002029AF" w:rsidRDefault="00087B91" w:rsidP="00087B91">
      <w:pPr>
        <w:pStyle w:val="ARfinbody"/>
      </w:pPr>
      <w:r w:rsidRPr="002029AF">
        <w:br w:type="page"/>
      </w:r>
    </w:p>
    <w:p w14:paraId="70B45F0F" w14:textId="05BDC4B6" w:rsidR="00087B91" w:rsidRPr="002029AF" w:rsidRDefault="00087B91" w:rsidP="00087B91">
      <w:pPr>
        <w:pStyle w:val="Heading7"/>
      </w:pPr>
      <w:r w:rsidRPr="002029AF">
        <w:lastRenderedPageBreak/>
        <w:t>Subsequent</w:t>
      </w:r>
      <w:r w:rsidR="000A5329" w:rsidRPr="002029AF">
        <w:t xml:space="preserve"> </w:t>
      </w:r>
      <w:r w:rsidRPr="002029AF">
        <w:t>measurement</w:t>
      </w:r>
    </w:p>
    <w:p w14:paraId="52AFADAC" w14:textId="631BF8BA" w:rsidR="00087B91" w:rsidRPr="002029AF" w:rsidRDefault="00087B91" w:rsidP="00087B91">
      <w:pPr>
        <w:pStyle w:val="ARfinbody"/>
        <w:rPr>
          <w:b/>
        </w:rPr>
      </w:pPr>
      <w:r w:rsidRPr="002029AF">
        <w:t>Property,</w:t>
      </w:r>
      <w:r w:rsidR="000A5329" w:rsidRPr="002029AF">
        <w:t xml:space="preserve"> </w:t>
      </w:r>
      <w:r w:rsidRPr="002029AF">
        <w:t>plant</w:t>
      </w:r>
      <w:r w:rsidR="000A5329" w:rsidRPr="002029AF">
        <w:t xml:space="preserve"> </w:t>
      </w:r>
      <w:r w:rsidRPr="002029AF">
        <w:t>and</w:t>
      </w:r>
      <w:r w:rsidR="000A5329" w:rsidRPr="002029AF">
        <w:t xml:space="preserve"> </w:t>
      </w:r>
      <w:r w:rsidRPr="002029AF">
        <w:t>equipment</w:t>
      </w:r>
      <w:r w:rsidR="000A5329" w:rsidRPr="002029AF">
        <w:t xml:space="preserve"> </w:t>
      </w:r>
      <w:r w:rsidRPr="002029AF">
        <w:t>(PPE)</w:t>
      </w:r>
      <w:r w:rsidR="000A5329" w:rsidRPr="002029AF">
        <w:t xml:space="preserve"> </w:t>
      </w:r>
      <w:r w:rsidRPr="002029AF">
        <w:t>as</w:t>
      </w:r>
      <w:r w:rsidR="000A5329" w:rsidRPr="002029AF">
        <w:t xml:space="preserve"> </w:t>
      </w:r>
      <w:r w:rsidRPr="002029AF">
        <w:t>well</w:t>
      </w:r>
      <w:r w:rsidR="000A5329" w:rsidRPr="002029AF">
        <w:t xml:space="preserve"> </w:t>
      </w:r>
      <w:r w:rsidRPr="002029AF">
        <w:t>as</w:t>
      </w:r>
      <w:r w:rsidR="000A5329" w:rsidRPr="002029AF">
        <w:t xml:space="preserve"> </w:t>
      </w:r>
      <w:r w:rsidRPr="002029AF">
        <w:t>right-of-use</w:t>
      </w:r>
      <w:r w:rsidR="000A5329" w:rsidRPr="002029AF">
        <w:t xml:space="preserve"> </w:t>
      </w:r>
      <w:r w:rsidRPr="002029AF">
        <w:t>assets</w:t>
      </w:r>
      <w:r w:rsidR="000A5329" w:rsidRPr="002029AF">
        <w:t xml:space="preserve"> </w:t>
      </w:r>
      <w:r w:rsidRPr="002029AF">
        <w:t>under</w:t>
      </w:r>
      <w:r w:rsidR="000A5329" w:rsidRPr="002029AF">
        <w:t xml:space="preserve"> </w:t>
      </w:r>
      <w:r w:rsidRPr="002029AF">
        <w:t>leases</w:t>
      </w:r>
      <w:r w:rsidR="000A5329" w:rsidRPr="002029AF">
        <w:t xml:space="preserve"> </w:t>
      </w:r>
      <w:r w:rsidRPr="002029AF">
        <w:t>and</w:t>
      </w:r>
      <w:r w:rsidR="000A5329" w:rsidRPr="002029AF">
        <w:t xml:space="preserve"> </w:t>
      </w:r>
      <w:r w:rsidRPr="002029AF">
        <w:t>service</w:t>
      </w:r>
      <w:r w:rsidR="000A5329" w:rsidRPr="002029AF">
        <w:t xml:space="preserve"> </w:t>
      </w:r>
      <w:r w:rsidRPr="002029AF">
        <w:t>concession</w:t>
      </w:r>
      <w:r w:rsidR="000A5329" w:rsidRPr="002029AF">
        <w:t xml:space="preserve"> </w:t>
      </w:r>
      <w:r w:rsidRPr="002029AF">
        <w:t>assets</w:t>
      </w:r>
      <w:r w:rsidR="000A5329" w:rsidRPr="002029AF">
        <w:t xml:space="preserve"> </w:t>
      </w:r>
      <w:r w:rsidRPr="002029AF">
        <w:t>are</w:t>
      </w:r>
      <w:r w:rsidR="000A5329" w:rsidRPr="002029AF">
        <w:t xml:space="preserve"> </w:t>
      </w:r>
      <w:r w:rsidRPr="002029AF">
        <w:t>subsequently</w:t>
      </w:r>
      <w:r w:rsidR="000A5329" w:rsidRPr="002029AF">
        <w:t xml:space="preserve"> </w:t>
      </w:r>
      <w:r w:rsidRPr="002029AF">
        <w:t>measured</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r w:rsidR="000A5329" w:rsidRPr="002029AF">
        <w:t xml:space="preserve"> </w:t>
      </w:r>
      <w:r w:rsidRPr="002029AF">
        <w:t>less</w:t>
      </w:r>
      <w:r w:rsidR="000A5329" w:rsidRPr="002029AF">
        <w:t xml:space="preserve"> </w:t>
      </w:r>
      <w:r w:rsidRPr="002029AF">
        <w:t>accumulated</w:t>
      </w:r>
      <w:r w:rsidR="000A5329" w:rsidRPr="002029AF">
        <w:t xml:space="preserve"> </w:t>
      </w:r>
      <w:r w:rsidRPr="002029AF">
        <w:t>depreciation</w:t>
      </w:r>
      <w:r w:rsidR="000A5329" w:rsidRPr="002029AF">
        <w:t xml:space="preserve"> </w:t>
      </w:r>
      <w:r w:rsidRPr="002029AF">
        <w:t>and</w:t>
      </w:r>
      <w:r w:rsidR="000A5329" w:rsidRPr="002029AF">
        <w:t xml:space="preserve"> </w:t>
      </w:r>
      <w:r w:rsidRPr="002029AF">
        <w:t>impairment.</w:t>
      </w:r>
      <w:r w:rsidR="000A5329" w:rsidRPr="002029AF">
        <w:t xml:space="preserve"> </w:t>
      </w:r>
      <w:r w:rsidRPr="002029AF">
        <w:t>Fair</w:t>
      </w:r>
      <w:r w:rsidR="000A5329" w:rsidRPr="002029AF">
        <w:t xml:space="preserve"> </w:t>
      </w:r>
      <w:r w:rsidRPr="002029AF">
        <w:t>value</w:t>
      </w:r>
      <w:r w:rsidR="000A5329" w:rsidRPr="002029AF">
        <w:t xml:space="preserve"> </w:t>
      </w:r>
      <w:r w:rsidRPr="002029AF">
        <w:t>is</w:t>
      </w:r>
      <w:r w:rsidR="000A5329" w:rsidRPr="002029AF">
        <w:t xml:space="preserve"> </w:t>
      </w:r>
      <w:r w:rsidRPr="002029AF">
        <w:t>determined</w:t>
      </w:r>
      <w:r w:rsidR="000A5329" w:rsidRPr="002029AF">
        <w:t xml:space="preserve"> </w:t>
      </w:r>
      <w:r w:rsidRPr="002029AF">
        <w:t>with</w:t>
      </w:r>
      <w:r w:rsidR="000A5329" w:rsidRPr="002029AF">
        <w:t xml:space="preserve"> </w:t>
      </w:r>
      <w:r w:rsidRPr="002029AF">
        <w:t>regard</w:t>
      </w:r>
      <w:r w:rsidR="000A5329" w:rsidRPr="002029AF">
        <w:t xml:space="preserve"> </w:t>
      </w:r>
      <w:r w:rsidRPr="002029AF">
        <w:t>to</w:t>
      </w:r>
      <w:r w:rsidR="000A5329" w:rsidRPr="002029AF">
        <w:t xml:space="preserve"> </w:t>
      </w:r>
      <w:r w:rsidRPr="002029AF">
        <w:t>the</w:t>
      </w:r>
      <w:r w:rsidR="000A5329" w:rsidRPr="002029AF">
        <w:t xml:space="preserve"> </w:t>
      </w:r>
      <w:r w:rsidRPr="002029AF">
        <w:t>asset’s</w:t>
      </w:r>
      <w:r w:rsidR="000A5329" w:rsidRPr="002029AF">
        <w:t xml:space="preserve"> </w:t>
      </w:r>
      <w:r w:rsidRPr="002029AF">
        <w:t>highest</w:t>
      </w:r>
      <w:r w:rsidR="000A5329" w:rsidRPr="002029AF">
        <w:t xml:space="preserve"> </w:t>
      </w:r>
      <w:r w:rsidRPr="002029AF">
        <w:t>and</w:t>
      </w:r>
      <w:r w:rsidR="000A5329" w:rsidRPr="002029AF">
        <w:t xml:space="preserve"> </w:t>
      </w:r>
      <w:r w:rsidRPr="002029AF">
        <w:t>best</w:t>
      </w:r>
      <w:r w:rsidR="000A5329" w:rsidRPr="002029AF">
        <w:t xml:space="preserve"> </w:t>
      </w:r>
      <w:r w:rsidRPr="002029AF">
        <w:t>use</w:t>
      </w:r>
      <w:r w:rsidR="000A5329" w:rsidRPr="002029AF">
        <w:t xml:space="preserve"> </w:t>
      </w:r>
      <w:r w:rsidRPr="002029AF">
        <w:t>(considering</w:t>
      </w:r>
      <w:r w:rsidR="000A5329" w:rsidRPr="002029AF">
        <w:t xml:space="preserve"> </w:t>
      </w:r>
      <w:r w:rsidRPr="002029AF">
        <w:t>legal</w:t>
      </w:r>
      <w:r w:rsidR="000A5329" w:rsidRPr="002029AF">
        <w:t xml:space="preserve"> </w:t>
      </w:r>
      <w:r w:rsidRPr="002029AF">
        <w:t>or</w:t>
      </w:r>
      <w:r w:rsidR="000A5329" w:rsidRPr="002029AF">
        <w:t xml:space="preserve"> </w:t>
      </w:r>
      <w:r w:rsidRPr="002029AF">
        <w:t>physical</w:t>
      </w:r>
      <w:r w:rsidR="000A5329" w:rsidRPr="002029AF">
        <w:t xml:space="preserve"> </w:t>
      </w:r>
      <w:r w:rsidRPr="002029AF">
        <w:t>restrictions</w:t>
      </w:r>
      <w:r w:rsidR="000A5329" w:rsidRPr="002029AF">
        <w:t xml:space="preserve"> </w:t>
      </w:r>
      <w:r w:rsidRPr="002029AF">
        <w:t>imposed</w:t>
      </w:r>
      <w:r w:rsidR="000A5329" w:rsidRPr="002029AF">
        <w:t xml:space="preserve"> </w:t>
      </w:r>
      <w:r w:rsidRPr="002029AF">
        <w:t>on</w:t>
      </w:r>
      <w:r w:rsidR="000A5329" w:rsidRPr="002029AF">
        <w:t xml:space="preserve"> </w:t>
      </w:r>
      <w:r w:rsidRPr="002029AF">
        <w:t>the</w:t>
      </w:r>
      <w:r w:rsidR="000A5329" w:rsidRPr="002029AF">
        <w:t xml:space="preserve"> </w:t>
      </w:r>
      <w:r w:rsidRPr="002029AF">
        <w:t>asset,</w:t>
      </w:r>
      <w:r w:rsidR="000A5329" w:rsidRPr="002029AF">
        <w:t xml:space="preserve"> </w:t>
      </w:r>
      <w:r w:rsidRPr="002029AF">
        <w:t>public</w:t>
      </w:r>
      <w:r w:rsidR="000A5329" w:rsidRPr="002029AF">
        <w:t xml:space="preserve"> </w:t>
      </w:r>
      <w:r w:rsidRPr="002029AF">
        <w:t>announcements</w:t>
      </w:r>
      <w:r w:rsidR="000A5329" w:rsidRPr="002029AF">
        <w:t xml:space="preserve"> </w:t>
      </w:r>
      <w:r w:rsidRPr="002029AF">
        <w:t>or</w:t>
      </w:r>
      <w:r w:rsidR="000A5329" w:rsidRPr="002029AF">
        <w:t xml:space="preserve"> </w:t>
      </w:r>
      <w:r w:rsidRPr="002029AF">
        <w:t>commitments</w:t>
      </w:r>
      <w:r w:rsidR="000A5329" w:rsidRPr="002029AF">
        <w:t xml:space="preserve"> </w:t>
      </w:r>
      <w:r w:rsidRPr="002029AF">
        <w:t>made</w:t>
      </w:r>
      <w:r w:rsidR="000A5329" w:rsidRPr="002029AF">
        <w:t xml:space="preserve"> </w:t>
      </w:r>
      <w:r w:rsidRPr="002029AF">
        <w:t>in</w:t>
      </w:r>
      <w:r w:rsidR="000A5329" w:rsidRPr="002029AF">
        <w:t xml:space="preserve"> </w:t>
      </w:r>
      <w:r w:rsidRPr="002029AF">
        <w:t>relation</w:t>
      </w:r>
      <w:r w:rsidR="000A5329" w:rsidRPr="002029AF">
        <w:t xml:space="preserve"> </w:t>
      </w:r>
      <w:r w:rsidRPr="002029AF">
        <w:t>to</w:t>
      </w:r>
      <w:r w:rsidR="000A5329" w:rsidRPr="002029AF">
        <w:t xml:space="preserve"> </w:t>
      </w:r>
      <w:r w:rsidRPr="002029AF">
        <w:t>the</w:t>
      </w:r>
      <w:r w:rsidR="000A5329" w:rsidRPr="002029AF">
        <w:t xml:space="preserve"> </w:t>
      </w:r>
      <w:r w:rsidRPr="002029AF">
        <w:t>intended</w:t>
      </w:r>
      <w:r w:rsidR="000A5329" w:rsidRPr="002029AF">
        <w:t xml:space="preserve"> </w:t>
      </w:r>
      <w:r w:rsidRPr="002029AF">
        <w:t>use</w:t>
      </w:r>
      <w:r w:rsidR="000A5329" w:rsidRPr="002029AF">
        <w:t xml:space="preserve"> </w:t>
      </w:r>
      <w:r w:rsidRPr="002029AF">
        <w:t>of</w:t>
      </w:r>
      <w:r w:rsidR="000A5329" w:rsidRPr="002029AF">
        <w:t xml:space="preserve"> </w:t>
      </w:r>
      <w:r w:rsidRPr="002029AF">
        <w:t>the</w:t>
      </w:r>
      <w:r w:rsidR="000A5329" w:rsidRPr="002029AF">
        <w:t xml:space="preserve"> </w:t>
      </w:r>
      <w:r w:rsidRPr="002029AF">
        <w:t>asset)</w:t>
      </w:r>
      <w:r w:rsidR="000A5329" w:rsidRPr="002029AF">
        <w:t xml:space="preserve"> </w:t>
      </w:r>
      <w:r w:rsidRPr="002029AF">
        <w:t>and</w:t>
      </w:r>
      <w:r w:rsidR="000A5329" w:rsidRPr="002029AF">
        <w:t xml:space="preserve"> </w:t>
      </w:r>
      <w:r w:rsidRPr="002029AF">
        <w:t>is</w:t>
      </w:r>
      <w:r w:rsidR="000A5329" w:rsidRPr="002029AF">
        <w:t xml:space="preserve"> </w:t>
      </w:r>
      <w:r w:rsidRPr="002029AF">
        <w:t>summarised</w:t>
      </w:r>
      <w:r w:rsidR="000A5329" w:rsidRPr="002029AF">
        <w:t xml:space="preserve"> </w:t>
      </w:r>
      <w:r w:rsidRPr="002029AF">
        <w:t>on</w:t>
      </w:r>
      <w:r w:rsidR="000A5329" w:rsidRPr="002029AF">
        <w:t xml:space="preserve"> </w:t>
      </w:r>
      <w:r w:rsidRPr="002029AF">
        <w:t>the</w:t>
      </w:r>
      <w:r w:rsidR="000A5329" w:rsidRPr="002029AF">
        <w:t xml:space="preserve"> </w:t>
      </w:r>
      <w:r w:rsidRPr="002029AF">
        <w:t>following</w:t>
      </w:r>
      <w:r w:rsidR="000A5329" w:rsidRPr="002029AF">
        <w:t xml:space="preserve"> </w:t>
      </w:r>
      <w:r w:rsidRPr="002029AF">
        <w:t>page</w:t>
      </w:r>
      <w:r w:rsidR="000A5329" w:rsidRPr="002029AF">
        <w:t xml:space="preserve"> </w:t>
      </w:r>
      <w:r w:rsidRPr="002029AF">
        <w:t>by</w:t>
      </w:r>
      <w:r w:rsidR="000A5329" w:rsidRPr="002029AF">
        <w:t xml:space="preserve"> </w:t>
      </w:r>
      <w:r w:rsidRPr="002029AF">
        <w:t>asset</w:t>
      </w:r>
      <w:r w:rsidR="000A5329" w:rsidRPr="002029AF">
        <w:t xml:space="preserve"> </w:t>
      </w:r>
      <w:r w:rsidRPr="002029AF">
        <w:t>category.</w:t>
      </w:r>
    </w:p>
    <w:p w14:paraId="38A676A0" w14:textId="2278B206" w:rsidR="00087B91" w:rsidRPr="002029AF" w:rsidRDefault="00087B91" w:rsidP="00087B91">
      <w:pPr>
        <w:pStyle w:val="Heading7"/>
      </w:pPr>
      <w:r w:rsidRPr="002029AF">
        <w:t>Right-of-use</w:t>
      </w:r>
      <w:r w:rsidR="000A5329" w:rsidRPr="002029AF">
        <w:t xml:space="preserve"> </w:t>
      </w:r>
      <w:r w:rsidRPr="002029AF">
        <w:t>asset</w:t>
      </w:r>
      <w:r w:rsidR="000A5329" w:rsidRPr="002029AF">
        <w:t xml:space="preserve"> </w:t>
      </w:r>
      <w:r w:rsidRPr="002029AF">
        <w:t>–</w:t>
      </w:r>
      <w:r w:rsidR="000A5329" w:rsidRPr="002029AF">
        <w:t xml:space="preserve"> </w:t>
      </w:r>
      <w:r w:rsidRPr="002029AF">
        <w:t>Subsequent</w:t>
      </w:r>
      <w:r w:rsidR="000A5329" w:rsidRPr="002029AF">
        <w:t xml:space="preserve"> </w:t>
      </w:r>
      <w:r w:rsidRPr="002029AF">
        <w:t>measurement</w:t>
      </w:r>
    </w:p>
    <w:p w14:paraId="6521BB7A" w14:textId="1C29F5A6" w:rsidR="00087B91" w:rsidRPr="002029AF" w:rsidRDefault="00087B91" w:rsidP="00087B91">
      <w:pPr>
        <w:pStyle w:val="ARfinbody"/>
      </w:pPr>
      <w:r w:rsidRPr="002029AF">
        <w:t>The</w:t>
      </w:r>
      <w:r w:rsidR="000A5329" w:rsidRPr="002029AF">
        <w:t xml:space="preserve"> </w:t>
      </w:r>
      <w:r w:rsidRPr="002029AF">
        <w:t>department</w:t>
      </w:r>
      <w:r w:rsidR="000A5329" w:rsidRPr="002029AF">
        <w:t xml:space="preserve"> </w:t>
      </w:r>
      <w:r w:rsidRPr="002029AF">
        <w:t>depreciates</w:t>
      </w:r>
      <w:r w:rsidR="000A5329" w:rsidRPr="002029AF">
        <w:t xml:space="preserve"> </w:t>
      </w:r>
      <w:r w:rsidRPr="002029AF">
        <w:t>the</w:t>
      </w:r>
      <w:r w:rsidR="000A5329" w:rsidRPr="002029AF">
        <w:t xml:space="preserve"> </w:t>
      </w:r>
      <w:r w:rsidRPr="002029AF">
        <w:t>right-of-use</w:t>
      </w:r>
      <w:r w:rsidR="000A5329" w:rsidRPr="002029AF">
        <w:t xml:space="preserve"> </w:t>
      </w:r>
      <w:r w:rsidRPr="002029AF">
        <w:t>assets</w:t>
      </w:r>
      <w:r w:rsidR="000A5329" w:rsidRPr="002029AF">
        <w:t xml:space="preserve"> </w:t>
      </w:r>
      <w:r w:rsidRPr="002029AF">
        <w:t>on</w:t>
      </w:r>
      <w:r w:rsidR="000A5329" w:rsidRPr="002029AF">
        <w:t xml:space="preserve"> </w:t>
      </w:r>
      <w:r w:rsidRPr="002029AF">
        <w:t>a</w:t>
      </w:r>
      <w:r w:rsidR="000A5329" w:rsidRPr="002029AF">
        <w:t xml:space="preserve"> </w:t>
      </w:r>
      <w:r w:rsidRPr="002029AF">
        <w:t>straight-line</w:t>
      </w:r>
      <w:r w:rsidR="000A5329" w:rsidRPr="002029AF">
        <w:t xml:space="preserve"> </w:t>
      </w:r>
      <w:r w:rsidRPr="002029AF">
        <w:t>basis</w:t>
      </w:r>
      <w:r w:rsidR="000A5329" w:rsidRPr="002029AF">
        <w:t xml:space="preserve"> </w:t>
      </w:r>
      <w:r w:rsidRPr="002029AF">
        <w:t>from</w:t>
      </w:r>
      <w:r w:rsidR="000A5329" w:rsidRPr="002029AF">
        <w:t xml:space="preserve"> </w:t>
      </w:r>
      <w:r w:rsidRPr="002029AF">
        <w:t>the</w:t>
      </w:r>
      <w:r w:rsidR="000A5329" w:rsidRPr="002029AF">
        <w:t xml:space="preserve"> </w:t>
      </w:r>
      <w:r w:rsidRPr="002029AF">
        <w:t>lease</w:t>
      </w:r>
      <w:r w:rsidR="000A5329" w:rsidRPr="002029AF">
        <w:t xml:space="preserve"> </w:t>
      </w:r>
      <w:r w:rsidRPr="002029AF">
        <w:t>commencement</w:t>
      </w:r>
      <w:r w:rsidR="000A5329" w:rsidRPr="002029AF">
        <w:t xml:space="preserve"> </w:t>
      </w:r>
      <w:r w:rsidRPr="002029AF">
        <w:t>date</w:t>
      </w:r>
      <w:r w:rsidR="000A5329" w:rsidRPr="002029AF">
        <w:t xml:space="preserve"> </w:t>
      </w:r>
      <w:r w:rsidRPr="002029AF">
        <w:t>to</w:t>
      </w:r>
      <w:r w:rsidR="000A5329" w:rsidRPr="002029AF">
        <w:t xml:space="preserve"> </w:t>
      </w:r>
      <w:r w:rsidRPr="002029AF">
        <w:t>the</w:t>
      </w:r>
      <w:r w:rsidR="000A5329" w:rsidRPr="002029AF">
        <w:t xml:space="preserve"> </w:t>
      </w:r>
      <w:r w:rsidRPr="002029AF">
        <w:t>earlier</w:t>
      </w:r>
      <w:r w:rsidR="000A5329" w:rsidRPr="002029AF">
        <w:t xml:space="preserve"> </w:t>
      </w:r>
      <w:r w:rsidRPr="002029AF">
        <w:t>of</w:t>
      </w:r>
      <w:r w:rsidR="000A5329" w:rsidRPr="002029AF">
        <w:t xml:space="preserve"> </w:t>
      </w:r>
      <w:r w:rsidRPr="002029AF">
        <w:t>the</w:t>
      </w:r>
      <w:r w:rsidR="000A5329" w:rsidRPr="002029AF">
        <w:t xml:space="preserve"> </w:t>
      </w:r>
      <w:r w:rsidRPr="002029AF">
        <w:t>end</w:t>
      </w:r>
      <w:r w:rsidR="000A5329" w:rsidRPr="002029AF">
        <w:t xml:space="preserve"> </w:t>
      </w:r>
      <w:r w:rsidRPr="002029AF">
        <w:t>of</w:t>
      </w:r>
      <w:r w:rsidR="000A5329" w:rsidRPr="002029AF">
        <w:t xml:space="preserve"> </w:t>
      </w:r>
      <w:r w:rsidRPr="002029AF">
        <w:t>the</w:t>
      </w:r>
      <w:r w:rsidR="000A5329" w:rsidRPr="002029AF">
        <w:t xml:space="preserve"> </w:t>
      </w:r>
      <w:r w:rsidRPr="002029AF">
        <w:t>useful</w:t>
      </w:r>
      <w:r w:rsidR="000A5329" w:rsidRPr="002029AF">
        <w:t xml:space="preserve"> </w:t>
      </w:r>
      <w:r w:rsidRPr="002029AF">
        <w:t>life</w:t>
      </w:r>
      <w:r w:rsidR="000A5329" w:rsidRPr="002029AF">
        <w:t xml:space="preserve"> </w:t>
      </w:r>
      <w:r w:rsidRPr="002029AF">
        <w:t>of</w:t>
      </w:r>
      <w:r w:rsidR="000A5329" w:rsidRPr="002029AF">
        <w:t xml:space="preserve"> </w:t>
      </w:r>
      <w:r w:rsidRPr="002029AF">
        <w:t>the</w:t>
      </w:r>
      <w:r w:rsidR="000A5329" w:rsidRPr="002029AF">
        <w:t xml:space="preserve"> </w:t>
      </w:r>
      <w:r w:rsidRPr="002029AF">
        <w:t>right-of-use</w:t>
      </w:r>
      <w:r w:rsidR="000A5329" w:rsidRPr="002029AF">
        <w:t xml:space="preserve"> </w:t>
      </w:r>
      <w:r w:rsidRPr="002029AF">
        <w:t>asset</w:t>
      </w:r>
      <w:r w:rsidR="000A5329" w:rsidRPr="002029AF">
        <w:t xml:space="preserve"> </w:t>
      </w:r>
      <w:r w:rsidRPr="002029AF">
        <w:t>or</w:t>
      </w:r>
      <w:r w:rsidR="000A5329" w:rsidRPr="002029AF">
        <w:t xml:space="preserve"> </w:t>
      </w:r>
      <w:r w:rsidRPr="002029AF">
        <w:t>the</w:t>
      </w:r>
      <w:r w:rsidR="000A5329" w:rsidRPr="002029AF">
        <w:t xml:space="preserve"> </w:t>
      </w:r>
      <w:r w:rsidRPr="002029AF">
        <w:t>end</w:t>
      </w:r>
      <w:r w:rsidR="000A5329" w:rsidRPr="002029AF">
        <w:t xml:space="preserve"> </w:t>
      </w:r>
      <w:r w:rsidRPr="002029AF">
        <w:t>of</w:t>
      </w:r>
      <w:r w:rsidR="000A5329" w:rsidRPr="002029AF">
        <w:t xml:space="preserve"> </w:t>
      </w:r>
      <w:r w:rsidRPr="002029AF">
        <w:t>the</w:t>
      </w:r>
      <w:r w:rsidR="000A5329" w:rsidRPr="002029AF">
        <w:t xml:space="preserve"> </w:t>
      </w:r>
      <w:r w:rsidRPr="002029AF">
        <w:t>lease</w:t>
      </w:r>
      <w:r w:rsidR="000A5329" w:rsidRPr="002029AF">
        <w:t xml:space="preserve"> </w:t>
      </w:r>
      <w:r w:rsidRPr="002029AF">
        <w:t>term.</w:t>
      </w:r>
      <w:r w:rsidR="000A5329" w:rsidRPr="002029AF">
        <w:t xml:space="preserve"> </w:t>
      </w:r>
      <w:r w:rsidRPr="002029AF">
        <w:t>The</w:t>
      </w:r>
      <w:r w:rsidR="000A5329" w:rsidRPr="002029AF">
        <w:t xml:space="preserve"> </w:t>
      </w:r>
      <w:r w:rsidRPr="002029AF">
        <w:t>right-of-use</w:t>
      </w:r>
      <w:r w:rsidR="000A5329" w:rsidRPr="002029AF">
        <w:t xml:space="preserve"> </w:t>
      </w:r>
      <w:r w:rsidRPr="002029AF">
        <w:t>assets</w:t>
      </w:r>
      <w:r w:rsidR="000A5329" w:rsidRPr="002029AF">
        <w:t xml:space="preserve"> </w:t>
      </w:r>
      <w:r w:rsidRPr="002029AF">
        <w:t>are</w:t>
      </w:r>
      <w:r w:rsidR="000A5329" w:rsidRPr="002029AF">
        <w:t xml:space="preserve"> </w:t>
      </w:r>
      <w:r w:rsidRPr="002029AF">
        <w:t>also</w:t>
      </w:r>
      <w:r w:rsidR="000A5329" w:rsidRPr="002029AF">
        <w:t xml:space="preserve"> </w:t>
      </w:r>
      <w:r w:rsidRPr="002029AF">
        <w:t>subject</w:t>
      </w:r>
      <w:r w:rsidR="000A5329" w:rsidRPr="002029AF">
        <w:t xml:space="preserve"> </w:t>
      </w:r>
      <w:r w:rsidRPr="002029AF">
        <w:t>to</w:t>
      </w:r>
      <w:r w:rsidR="000A5329" w:rsidRPr="002029AF">
        <w:t xml:space="preserve"> </w:t>
      </w:r>
      <w:r w:rsidRPr="002029AF">
        <w:t>revaluation.</w:t>
      </w:r>
    </w:p>
    <w:p w14:paraId="5A2231FA" w14:textId="0BDCBB5E" w:rsidR="00087B91" w:rsidRPr="002029AF" w:rsidRDefault="00087B91" w:rsidP="00087B91">
      <w:pPr>
        <w:pStyle w:val="Heading7"/>
      </w:pPr>
      <w:r w:rsidRPr="002029AF">
        <w:t>Service</w:t>
      </w:r>
      <w:r w:rsidR="000A5329" w:rsidRPr="002029AF">
        <w:t xml:space="preserve"> </w:t>
      </w:r>
      <w:r w:rsidRPr="002029AF">
        <w:t>concession</w:t>
      </w:r>
      <w:r w:rsidR="000A5329" w:rsidRPr="002029AF">
        <w:t xml:space="preserve"> </w:t>
      </w:r>
      <w:r w:rsidRPr="002029AF">
        <w:t>assets</w:t>
      </w:r>
      <w:r w:rsidR="000A5329" w:rsidRPr="002029AF">
        <w:t xml:space="preserve"> </w:t>
      </w:r>
      <w:r w:rsidRPr="002029AF">
        <w:t>–</w:t>
      </w:r>
      <w:r w:rsidR="000A5329" w:rsidRPr="002029AF">
        <w:t xml:space="preserve"> </w:t>
      </w:r>
      <w:r w:rsidRPr="002029AF">
        <w:t>Subsequent</w:t>
      </w:r>
      <w:r w:rsidR="000A5329" w:rsidRPr="002029AF">
        <w:t xml:space="preserve"> </w:t>
      </w:r>
      <w:r w:rsidRPr="002029AF">
        <w:t>measurement</w:t>
      </w:r>
    </w:p>
    <w:p w14:paraId="6CE42AEB" w14:textId="08D6B7BB" w:rsidR="00087B91" w:rsidRPr="002029AF" w:rsidRDefault="00087B91" w:rsidP="00087B91">
      <w:pPr>
        <w:pStyle w:val="ARfinbody"/>
      </w:pPr>
      <w:r w:rsidRPr="002029AF">
        <w:t>Service</w:t>
      </w:r>
      <w:r w:rsidR="000A5329" w:rsidRPr="002029AF">
        <w:t xml:space="preserve"> </w:t>
      </w:r>
      <w:r w:rsidRPr="002029AF">
        <w:t>concession</w:t>
      </w:r>
      <w:r w:rsidR="000A5329" w:rsidRPr="002029AF">
        <w:t xml:space="preserve"> </w:t>
      </w:r>
      <w:r w:rsidRPr="002029AF">
        <w:t>assets</w:t>
      </w:r>
      <w:r w:rsidR="000A5329" w:rsidRPr="002029AF">
        <w:t xml:space="preserve"> </w:t>
      </w:r>
      <w:r w:rsidRPr="002029AF">
        <w:t>are</w:t>
      </w:r>
      <w:r w:rsidR="000A5329" w:rsidRPr="002029AF">
        <w:t xml:space="preserve"> </w:t>
      </w:r>
      <w:r w:rsidRPr="002029AF">
        <w:t>subject</w:t>
      </w:r>
      <w:r w:rsidR="000A5329" w:rsidRPr="002029AF">
        <w:t xml:space="preserve"> </w:t>
      </w:r>
      <w:r w:rsidRPr="002029AF">
        <w:t>to</w:t>
      </w:r>
      <w:r w:rsidR="000A5329" w:rsidRPr="002029AF">
        <w:t xml:space="preserve"> </w:t>
      </w:r>
      <w:r w:rsidRPr="002029AF">
        <w:t>revaluation</w:t>
      </w:r>
      <w:r w:rsidR="000A5329" w:rsidRPr="002029AF">
        <w:t xml:space="preserve"> </w:t>
      </w:r>
      <w:r w:rsidRPr="002029AF">
        <w:t>as</w:t>
      </w:r>
      <w:r w:rsidR="000A5329" w:rsidRPr="002029AF">
        <w:t xml:space="preserve"> </w:t>
      </w:r>
      <w:r w:rsidRPr="002029AF">
        <w:t>required</w:t>
      </w:r>
      <w:r w:rsidR="000A5329" w:rsidRPr="002029AF">
        <w:t xml:space="preserve"> </w:t>
      </w:r>
      <w:r w:rsidRPr="002029AF">
        <w:t>by</w:t>
      </w:r>
      <w:r w:rsidR="000A5329" w:rsidRPr="002029AF">
        <w:t xml:space="preserve"> </w:t>
      </w:r>
      <w:r w:rsidRPr="002029AF">
        <w:t>FRD</w:t>
      </w:r>
      <w:r w:rsidR="000A5329" w:rsidRPr="002029AF">
        <w:t xml:space="preserve"> </w:t>
      </w:r>
      <w:r w:rsidRPr="002029AF">
        <w:t>103H,</w:t>
      </w:r>
      <w:r w:rsidR="000A5329" w:rsidRPr="002029AF">
        <w:t xml:space="preserve"> </w:t>
      </w:r>
      <w:r w:rsidRPr="002029AF">
        <w:t>however</w:t>
      </w:r>
      <w:r w:rsidR="000A5329" w:rsidRPr="002029AF">
        <w:t xml:space="preserve"> </w:t>
      </w:r>
      <w:r w:rsidRPr="002029AF">
        <w:t>as</w:t>
      </w:r>
      <w:r w:rsidR="000A5329" w:rsidRPr="002029AF">
        <w:t xml:space="preserve"> </w:t>
      </w:r>
      <w:r w:rsidRPr="002029AF">
        <w:t>at</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r w:rsidR="000A5329" w:rsidRPr="002029AF">
        <w:t xml:space="preserve"> </w:t>
      </w:r>
      <w:r w:rsidRPr="002029AF">
        <w:t>no</w:t>
      </w:r>
      <w:r w:rsidR="000A5329" w:rsidRPr="002029AF">
        <w:t xml:space="preserve"> </w:t>
      </w:r>
      <w:r w:rsidRPr="002029AF">
        <w:t>revaluation</w:t>
      </w:r>
      <w:r w:rsidR="000A5329" w:rsidRPr="002029AF">
        <w:t xml:space="preserve"> </w:t>
      </w:r>
      <w:r w:rsidRPr="002029AF">
        <w:t>has</w:t>
      </w:r>
      <w:r w:rsidR="000A5329" w:rsidRPr="002029AF">
        <w:t xml:space="preserve"> </w:t>
      </w:r>
      <w:r w:rsidRPr="002029AF">
        <w:t>occurred.</w:t>
      </w:r>
      <w:r w:rsidR="000A5329" w:rsidRPr="002029AF">
        <w:t xml:space="preserve"> </w:t>
      </w:r>
      <w:r w:rsidRPr="002029AF">
        <w:t>When</w:t>
      </w:r>
      <w:r w:rsidR="000A5329" w:rsidRPr="002029AF">
        <w:t xml:space="preserve"> </w:t>
      </w:r>
      <w:r w:rsidRPr="002029AF">
        <w:t>revalued,</w:t>
      </w:r>
      <w:r w:rsidR="000A5329" w:rsidRPr="002029AF">
        <w:t xml:space="preserve"> </w:t>
      </w:r>
      <w:r w:rsidRPr="002029AF">
        <w:t>the</w:t>
      </w:r>
      <w:r w:rsidR="000A5329" w:rsidRPr="002029AF">
        <w:t xml:space="preserve"> </w:t>
      </w:r>
      <w:r w:rsidRPr="002029AF">
        <w:t>fair</w:t>
      </w:r>
      <w:r w:rsidR="000A5329" w:rsidRPr="002029AF">
        <w:t xml:space="preserve"> </w:t>
      </w:r>
      <w:r w:rsidRPr="002029AF">
        <w:t>value</w:t>
      </w:r>
      <w:r w:rsidR="000A5329" w:rsidRPr="002029AF">
        <w:t xml:space="preserve"> </w:t>
      </w:r>
      <w:r w:rsidRPr="002029AF">
        <w:t>of</w:t>
      </w:r>
      <w:r w:rsidR="000A5329" w:rsidRPr="002029AF">
        <w:t xml:space="preserve"> </w:t>
      </w:r>
      <w:r w:rsidRPr="002029AF">
        <w:t>service</w:t>
      </w:r>
      <w:r w:rsidR="000A5329" w:rsidRPr="002029AF">
        <w:t xml:space="preserve"> </w:t>
      </w:r>
      <w:r w:rsidRPr="002029AF">
        <w:t>concession</w:t>
      </w:r>
      <w:r w:rsidR="000A5329" w:rsidRPr="002029AF">
        <w:t xml:space="preserve"> </w:t>
      </w:r>
      <w:r w:rsidRPr="002029AF">
        <w:t>assets</w:t>
      </w:r>
      <w:r w:rsidR="000A5329" w:rsidRPr="002029AF">
        <w:t xml:space="preserve"> </w:t>
      </w:r>
      <w:r w:rsidRPr="002029AF">
        <w:t>will</w:t>
      </w:r>
      <w:r w:rsidR="000A5329" w:rsidRPr="002029AF">
        <w:t xml:space="preserve"> </w:t>
      </w:r>
      <w:r w:rsidRPr="002029AF">
        <w:t>be</w:t>
      </w:r>
      <w:r w:rsidR="000A5329" w:rsidRPr="002029AF">
        <w:t xml:space="preserve"> </w:t>
      </w:r>
      <w:r w:rsidRPr="002029AF">
        <w:t>determined</w:t>
      </w:r>
      <w:r w:rsidR="000A5329" w:rsidRPr="002029AF">
        <w:t xml:space="preserve"> </w:t>
      </w:r>
      <w:r w:rsidRPr="002029AF">
        <w:t>based</w:t>
      </w:r>
      <w:r w:rsidR="000A5329" w:rsidRPr="002029AF">
        <w:t xml:space="preserve"> </w:t>
      </w:r>
      <w:r w:rsidRPr="002029AF">
        <w:t>on</w:t>
      </w:r>
      <w:r w:rsidR="000A5329" w:rsidRPr="002029AF">
        <w:t xml:space="preserve"> </w:t>
      </w:r>
      <w:r w:rsidRPr="002029AF">
        <w:t>as</w:t>
      </w:r>
      <w:r w:rsidR="000A5329" w:rsidRPr="002029AF">
        <w:t xml:space="preserve"> </w:t>
      </w:r>
      <w:r w:rsidRPr="002029AF">
        <w:t>follows.</w:t>
      </w:r>
    </w:p>
    <w:p w14:paraId="084F772E" w14:textId="6C39AA67" w:rsidR="00087B91" w:rsidRPr="002029AF" w:rsidRDefault="00087B91" w:rsidP="00087B91">
      <w:pPr>
        <w:pStyle w:val="ARfinbody"/>
        <w:spacing w:before="240"/>
      </w:pPr>
      <w:r w:rsidRPr="002029AF">
        <w:rPr>
          <w:rStyle w:val="Strong"/>
        </w:rPr>
        <w:t>Non-specialised</w:t>
      </w:r>
      <w:r w:rsidR="000A5329" w:rsidRPr="002029AF">
        <w:rPr>
          <w:rStyle w:val="Strong"/>
        </w:rPr>
        <w:t xml:space="preserve"> </w:t>
      </w:r>
      <w:r w:rsidRPr="002029AF">
        <w:rPr>
          <w:rStyle w:val="Strong"/>
        </w:rPr>
        <w:t>land</w:t>
      </w:r>
      <w:r w:rsidR="000A5329" w:rsidRPr="002029AF">
        <w:rPr>
          <w:rStyle w:val="Strong"/>
        </w:rPr>
        <w:t xml:space="preserve"> </w:t>
      </w:r>
      <w:r w:rsidRPr="002029AF">
        <w:rPr>
          <w:rStyle w:val="Strong"/>
        </w:rPr>
        <w:t>and</w:t>
      </w:r>
      <w:r w:rsidR="000A5329" w:rsidRPr="002029AF">
        <w:rPr>
          <w:rStyle w:val="Strong"/>
        </w:rPr>
        <w:t xml:space="preserve"> </w:t>
      </w:r>
      <w:r w:rsidRPr="002029AF">
        <w:rPr>
          <w:rStyle w:val="Strong"/>
        </w:rPr>
        <w:t>non-specialised</w:t>
      </w:r>
      <w:r w:rsidR="000A5329" w:rsidRPr="002029AF">
        <w:rPr>
          <w:rStyle w:val="Strong"/>
        </w:rPr>
        <w:t xml:space="preserve"> </w:t>
      </w:r>
      <w:r w:rsidRPr="002029AF">
        <w:rPr>
          <w:rStyle w:val="Strong"/>
        </w:rPr>
        <w:t>buildings</w:t>
      </w:r>
      <w:r w:rsidR="000A5329" w:rsidRPr="002029AF">
        <w:t xml:space="preserve"> </w:t>
      </w:r>
      <w:r w:rsidRPr="002029AF">
        <w:t>are</w:t>
      </w:r>
      <w:r w:rsidR="000A5329" w:rsidRPr="002029AF">
        <w:t xml:space="preserve"> </w:t>
      </w:r>
      <w:r w:rsidRPr="002029AF">
        <w:t>valued</w:t>
      </w:r>
      <w:r w:rsidR="000A5329" w:rsidRPr="002029AF">
        <w:t xml:space="preserve"> </w:t>
      </w:r>
      <w:r w:rsidRPr="002029AF">
        <w:t>using</w:t>
      </w:r>
      <w:r w:rsidR="000A5329" w:rsidRPr="002029AF">
        <w:t xml:space="preserve"> </w:t>
      </w:r>
      <w:r w:rsidRPr="002029AF">
        <w:t>the</w:t>
      </w:r>
      <w:r w:rsidR="000A5329" w:rsidRPr="002029AF">
        <w:t xml:space="preserve"> </w:t>
      </w:r>
      <w:r w:rsidRPr="002029AF">
        <w:t>market</w:t>
      </w:r>
      <w:r w:rsidR="000A5329" w:rsidRPr="002029AF">
        <w:t xml:space="preserve"> </w:t>
      </w:r>
      <w:r w:rsidRPr="002029AF">
        <w:t>approach,</w:t>
      </w:r>
      <w:r w:rsidR="000A5329" w:rsidRPr="002029AF">
        <w:t xml:space="preserve"> </w:t>
      </w:r>
      <w:r w:rsidRPr="002029AF">
        <w:t>whereby</w:t>
      </w:r>
      <w:r w:rsidR="000A5329" w:rsidRPr="002029AF">
        <w:t xml:space="preserve"> </w:t>
      </w:r>
      <w:r w:rsidRPr="002029AF">
        <w:t>assets</w:t>
      </w:r>
      <w:r w:rsidR="000A5329" w:rsidRPr="002029AF">
        <w:t xml:space="preserve"> </w:t>
      </w:r>
      <w:r w:rsidRPr="002029AF">
        <w:t>are</w:t>
      </w:r>
      <w:r w:rsidR="000A5329" w:rsidRPr="002029AF">
        <w:t xml:space="preserve"> </w:t>
      </w:r>
      <w:r w:rsidRPr="002029AF">
        <w:t>compared</w:t>
      </w:r>
      <w:r w:rsidR="000A5329" w:rsidRPr="002029AF">
        <w:t xml:space="preserve"> </w:t>
      </w:r>
      <w:r w:rsidRPr="002029AF">
        <w:t>to</w:t>
      </w:r>
      <w:r w:rsidR="000A5329" w:rsidRPr="002029AF">
        <w:t xml:space="preserve"> </w:t>
      </w:r>
      <w:r w:rsidRPr="002029AF">
        <w:t>recent</w:t>
      </w:r>
      <w:r w:rsidR="000A5329" w:rsidRPr="002029AF">
        <w:t xml:space="preserve"> </w:t>
      </w:r>
      <w:r w:rsidRPr="002029AF">
        <w:t>comparable</w:t>
      </w:r>
      <w:r w:rsidR="000A5329" w:rsidRPr="002029AF">
        <w:t xml:space="preserve"> </w:t>
      </w:r>
      <w:r w:rsidRPr="002029AF">
        <w:t>sales</w:t>
      </w:r>
      <w:r w:rsidR="000A5329" w:rsidRPr="002029AF">
        <w:t xml:space="preserve"> </w:t>
      </w:r>
      <w:r w:rsidRPr="002029AF">
        <w:t>or</w:t>
      </w:r>
      <w:r w:rsidR="000A5329" w:rsidRPr="002029AF">
        <w:t xml:space="preserve"> </w:t>
      </w:r>
      <w:r w:rsidRPr="002029AF">
        <w:t>sales</w:t>
      </w:r>
      <w:r w:rsidR="000A5329" w:rsidRPr="002029AF">
        <w:t xml:space="preserve"> </w:t>
      </w:r>
      <w:r w:rsidRPr="002029AF">
        <w:t>of</w:t>
      </w:r>
      <w:r w:rsidR="000A5329" w:rsidRPr="002029AF">
        <w:t xml:space="preserve"> </w:t>
      </w:r>
      <w:r w:rsidRPr="002029AF">
        <w:t>comparable</w:t>
      </w:r>
      <w:r w:rsidR="000A5329" w:rsidRPr="002029AF">
        <w:t xml:space="preserve"> </w:t>
      </w:r>
      <w:r w:rsidRPr="002029AF">
        <w:t>assets</w:t>
      </w:r>
      <w:r w:rsidR="000A5329" w:rsidRPr="002029AF">
        <w:t xml:space="preserve"> </w:t>
      </w:r>
      <w:r w:rsidRPr="002029AF">
        <w:t>that</w:t>
      </w:r>
      <w:r w:rsidR="000A5329" w:rsidRPr="002029AF">
        <w:t xml:space="preserve"> </w:t>
      </w:r>
      <w:r w:rsidRPr="002029AF">
        <w:t>are</w:t>
      </w:r>
      <w:r w:rsidR="000A5329" w:rsidRPr="002029AF">
        <w:t xml:space="preserve"> </w:t>
      </w:r>
      <w:r w:rsidRPr="002029AF">
        <w:t>considered</w:t>
      </w:r>
      <w:r w:rsidR="000A5329" w:rsidRPr="002029AF">
        <w:t xml:space="preserve"> </w:t>
      </w:r>
      <w:r w:rsidRPr="002029AF">
        <w:t>to</w:t>
      </w:r>
      <w:r w:rsidR="000A5329" w:rsidRPr="002029AF">
        <w:t xml:space="preserve"> </w:t>
      </w:r>
      <w:r w:rsidRPr="002029AF">
        <w:t>have</w:t>
      </w:r>
      <w:r w:rsidR="000A5329" w:rsidRPr="002029AF">
        <w:t xml:space="preserve"> </w:t>
      </w:r>
      <w:r w:rsidRPr="002029AF">
        <w:t>nominal</w:t>
      </w:r>
      <w:r w:rsidR="000A5329" w:rsidRPr="002029AF">
        <w:t xml:space="preserve"> </w:t>
      </w:r>
      <w:r w:rsidRPr="002029AF">
        <w:t>value.</w:t>
      </w:r>
    </w:p>
    <w:p w14:paraId="6B9BD249" w14:textId="435DDB57" w:rsidR="00087B91" w:rsidRPr="002029AF" w:rsidRDefault="00087B91" w:rsidP="00087B91">
      <w:pPr>
        <w:pStyle w:val="ARfinbody"/>
      </w:pPr>
      <w:r w:rsidRPr="002029AF">
        <w:rPr>
          <w:rStyle w:val="Strong"/>
        </w:rPr>
        <w:t>Specialised</w:t>
      </w:r>
      <w:r w:rsidR="000A5329" w:rsidRPr="002029AF">
        <w:rPr>
          <w:rStyle w:val="Strong"/>
        </w:rPr>
        <w:t xml:space="preserve"> </w:t>
      </w:r>
      <w:r w:rsidRPr="002029AF">
        <w:rPr>
          <w:rStyle w:val="Strong"/>
        </w:rPr>
        <w:t>land</w:t>
      </w:r>
      <w:r w:rsidR="000A5329" w:rsidRPr="002029AF">
        <w:rPr>
          <w:rStyle w:val="Strong"/>
        </w:rPr>
        <w:t xml:space="preserve"> </w:t>
      </w:r>
      <w:r w:rsidRPr="002029AF">
        <w:rPr>
          <w:rStyle w:val="Strong"/>
        </w:rPr>
        <w:t>and</w:t>
      </w:r>
      <w:r w:rsidR="000A5329" w:rsidRPr="002029AF">
        <w:rPr>
          <w:rStyle w:val="Strong"/>
        </w:rPr>
        <w:t xml:space="preserve"> </w:t>
      </w:r>
      <w:r w:rsidRPr="002029AF">
        <w:rPr>
          <w:rStyle w:val="Strong"/>
        </w:rPr>
        <w:t>specialised</w:t>
      </w:r>
      <w:r w:rsidR="000A5329" w:rsidRPr="002029AF">
        <w:rPr>
          <w:rStyle w:val="Strong"/>
        </w:rPr>
        <w:t xml:space="preserve"> </w:t>
      </w:r>
      <w:r w:rsidRPr="002029AF">
        <w:rPr>
          <w:rStyle w:val="Strong"/>
        </w:rPr>
        <w:t>buildings</w:t>
      </w:r>
      <w:r w:rsidRPr="002029AF">
        <w:t>:</w:t>
      </w:r>
      <w:r w:rsidR="000A5329" w:rsidRPr="002029AF">
        <w:t xml:space="preserve"> </w:t>
      </w:r>
      <w:r w:rsidRPr="002029AF">
        <w:t>The</w:t>
      </w:r>
      <w:r w:rsidR="000A5329" w:rsidRPr="002029AF">
        <w:t xml:space="preserve"> </w:t>
      </w:r>
      <w:r w:rsidRPr="002029AF">
        <w:t>market</w:t>
      </w:r>
      <w:r w:rsidR="000A5329" w:rsidRPr="002029AF">
        <w:t xml:space="preserve"> </w:t>
      </w:r>
      <w:r w:rsidRPr="002029AF">
        <w:t>approach</w:t>
      </w:r>
      <w:r w:rsidR="000A5329" w:rsidRPr="002029AF">
        <w:t xml:space="preserve"> </w:t>
      </w:r>
      <w:r w:rsidRPr="002029AF">
        <w:t>is</w:t>
      </w:r>
      <w:r w:rsidR="000A5329" w:rsidRPr="002029AF">
        <w:t xml:space="preserve"> </w:t>
      </w:r>
      <w:r w:rsidRPr="002029AF">
        <w:t>used</w:t>
      </w:r>
      <w:r w:rsidR="000A5329" w:rsidRPr="002029AF">
        <w:t xml:space="preserve"> </w:t>
      </w:r>
      <w:r w:rsidRPr="002029AF">
        <w:t>for</w:t>
      </w:r>
      <w:r w:rsidR="000A5329" w:rsidRPr="002029AF">
        <w:t xml:space="preserve"> </w:t>
      </w:r>
      <w:r w:rsidRPr="002029AF">
        <w:t>specialised</w:t>
      </w:r>
      <w:r w:rsidR="000A5329" w:rsidRPr="002029AF">
        <w:t xml:space="preserve"> </w:t>
      </w:r>
      <w:r w:rsidRPr="002029AF">
        <w:t>land,</w:t>
      </w:r>
      <w:r w:rsidR="000A5329" w:rsidRPr="002029AF">
        <w:t xml:space="preserve"> </w:t>
      </w:r>
      <w:r w:rsidRPr="002029AF">
        <w:t>although</w:t>
      </w:r>
      <w:r w:rsidR="000A5329" w:rsidRPr="002029AF">
        <w:t xml:space="preserve"> </w:t>
      </w:r>
      <w:r w:rsidRPr="002029AF">
        <w:t>it</w:t>
      </w:r>
      <w:r w:rsidR="000A5329" w:rsidRPr="002029AF">
        <w:t xml:space="preserve"> </w:t>
      </w:r>
      <w:r w:rsidRPr="002029AF">
        <w:t>may</w:t>
      </w:r>
      <w:r w:rsidR="000A5329" w:rsidRPr="002029AF">
        <w:t xml:space="preserve"> </w:t>
      </w:r>
      <w:r w:rsidRPr="002029AF">
        <w:t>be</w:t>
      </w:r>
      <w:r w:rsidR="000A5329" w:rsidRPr="002029AF">
        <w:t xml:space="preserve"> </w:t>
      </w:r>
      <w:r w:rsidRPr="002029AF">
        <w:t>adjusted</w:t>
      </w:r>
      <w:r w:rsidR="000A5329" w:rsidRPr="002029AF">
        <w:t xml:space="preserve"> </w:t>
      </w:r>
      <w:r w:rsidRPr="002029AF">
        <w:t>for</w:t>
      </w:r>
      <w:r w:rsidR="000A5329" w:rsidRPr="002029AF">
        <w:t xml:space="preserve"> </w:t>
      </w:r>
      <w:r w:rsidRPr="002029AF">
        <w:t>a</w:t>
      </w:r>
      <w:r w:rsidR="000A5329" w:rsidRPr="002029AF">
        <w:t xml:space="preserve"> </w:t>
      </w:r>
      <w:r w:rsidRPr="002029AF">
        <w:t>community</w:t>
      </w:r>
      <w:r w:rsidR="000A5329" w:rsidRPr="002029AF">
        <w:t xml:space="preserve"> </w:t>
      </w:r>
      <w:r w:rsidRPr="002029AF">
        <w:t>service</w:t>
      </w:r>
      <w:r w:rsidR="000A5329" w:rsidRPr="002029AF">
        <w:t xml:space="preserve"> </w:t>
      </w:r>
      <w:r w:rsidRPr="002029AF">
        <w:t>obligation</w:t>
      </w:r>
      <w:r w:rsidR="000A5329" w:rsidRPr="002029AF">
        <w:t xml:space="preserve"> </w:t>
      </w:r>
      <w:r w:rsidRPr="002029AF">
        <w:t>(CSO)</w:t>
      </w:r>
      <w:r w:rsidR="000A5329" w:rsidRPr="002029AF">
        <w:t xml:space="preserve"> </w:t>
      </w:r>
      <w:r w:rsidRPr="002029AF">
        <w:t>to</w:t>
      </w:r>
      <w:r w:rsidR="000A5329" w:rsidRPr="002029AF">
        <w:t xml:space="preserve"> </w:t>
      </w:r>
      <w:r w:rsidRPr="002029AF">
        <w:t>reflect</w:t>
      </w:r>
      <w:r w:rsidR="000A5329" w:rsidRPr="002029AF">
        <w:t xml:space="preserve"> </w:t>
      </w:r>
      <w:r w:rsidRPr="002029AF">
        <w:t>the</w:t>
      </w:r>
      <w:r w:rsidR="000A5329" w:rsidRPr="002029AF">
        <w:t xml:space="preserve"> </w:t>
      </w:r>
      <w:r w:rsidRPr="002029AF">
        <w:t>specialised</w:t>
      </w:r>
      <w:r w:rsidR="000A5329" w:rsidRPr="002029AF">
        <w:t xml:space="preserve"> </w:t>
      </w:r>
      <w:r w:rsidRPr="002029AF">
        <w:t>nature</w:t>
      </w:r>
      <w:r w:rsidR="000A5329" w:rsidRPr="002029AF">
        <w:t xml:space="preserve"> </w:t>
      </w:r>
      <w:r w:rsidRPr="002029AF">
        <w:t>of</w:t>
      </w:r>
      <w:r w:rsidR="000A5329" w:rsidRPr="002029AF">
        <w:t xml:space="preserve"> </w:t>
      </w:r>
      <w:r w:rsidRPr="002029AF">
        <w:t>the</w:t>
      </w:r>
      <w:r w:rsidR="000A5329" w:rsidRPr="002029AF">
        <w:t xml:space="preserve"> </w:t>
      </w:r>
      <w:r w:rsidRPr="002029AF">
        <w:t>land</w:t>
      </w:r>
      <w:r w:rsidR="000A5329" w:rsidRPr="002029AF">
        <w:t xml:space="preserve"> </w:t>
      </w:r>
      <w:r w:rsidRPr="002029AF">
        <w:t>being</w:t>
      </w:r>
      <w:r w:rsidR="000A5329" w:rsidRPr="002029AF">
        <w:t xml:space="preserve"> </w:t>
      </w:r>
      <w:r w:rsidRPr="002029AF">
        <w:t>valued.</w:t>
      </w:r>
    </w:p>
    <w:p w14:paraId="53DF2BA9" w14:textId="2EDCED94" w:rsidR="00087B91" w:rsidRPr="002029AF" w:rsidRDefault="00087B91" w:rsidP="00087B91">
      <w:pPr>
        <w:pStyle w:val="ARfinbody"/>
      </w:pPr>
      <w:r w:rsidRPr="002029AF">
        <w:t>The</w:t>
      </w:r>
      <w:r w:rsidR="000A5329" w:rsidRPr="002029AF">
        <w:t xml:space="preserve"> </w:t>
      </w:r>
      <w:r w:rsidRPr="002029AF">
        <w:t>CSO</w:t>
      </w:r>
      <w:r w:rsidR="000A5329" w:rsidRPr="002029AF">
        <w:t xml:space="preserve"> </w:t>
      </w:r>
      <w:r w:rsidRPr="002029AF">
        <w:t>adjustment</w:t>
      </w:r>
      <w:r w:rsidR="000A5329" w:rsidRPr="002029AF">
        <w:t xml:space="preserve"> </w:t>
      </w:r>
      <w:r w:rsidRPr="002029AF">
        <w:t>is</w:t>
      </w:r>
      <w:r w:rsidR="000A5329" w:rsidRPr="002029AF">
        <w:t xml:space="preserve"> </w:t>
      </w:r>
      <w:r w:rsidRPr="002029AF">
        <w:t>a</w:t>
      </w:r>
      <w:r w:rsidR="000A5329" w:rsidRPr="002029AF">
        <w:t xml:space="preserve"> </w:t>
      </w:r>
      <w:r w:rsidRPr="002029AF">
        <w:t>reflection</w:t>
      </w:r>
      <w:r w:rsidR="000A5329" w:rsidRPr="002029AF">
        <w:t xml:space="preserve"> </w:t>
      </w:r>
      <w:r w:rsidRPr="002029AF">
        <w:t>of</w:t>
      </w:r>
      <w:r w:rsidR="000A5329" w:rsidRPr="002029AF">
        <w:t xml:space="preserve"> </w:t>
      </w:r>
      <w:r w:rsidRPr="002029AF">
        <w:t>the</w:t>
      </w:r>
      <w:r w:rsidR="000A5329" w:rsidRPr="002029AF">
        <w:t xml:space="preserve"> </w:t>
      </w:r>
      <w:r w:rsidRPr="002029AF">
        <w:t>valuer’s</w:t>
      </w:r>
      <w:r w:rsidR="000A5329" w:rsidRPr="002029AF">
        <w:t xml:space="preserve"> </w:t>
      </w:r>
      <w:r w:rsidRPr="002029AF">
        <w:t>assessment</w:t>
      </w:r>
      <w:r w:rsidR="000A5329" w:rsidRPr="002029AF">
        <w:t xml:space="preserve"> </w:t>
      </w:r>
      <w:r w:rsidRPr="002029AF">
        <w:t>of</w:t>
      </w:r>
      <w:r w:rsidR="000A5329" w:rsidRPr="002029AF">
        <w:t xml:space="preserve"> </w:t>
      </w:r>
      <w:r w:rsidRPr="002029AF">
        <w:t>the</w:t>
      </w:r>
      <w:r w:rsidR="000A5329" w:rsidRPr="002029AF">
        <w:t xml:space="preserve"> </w:t>
      </w:r>
      <w:r w:rsidRPr="002029AF">
        <w:t>impact</w:t>
      </w:r>
      <w:r w:rsidR="000A5329" w:rsidRPr="002029AF">
        <w:t xml:space="preserve"> </w:t>
      </w:r>
      <w:r w:rsidRPr="002029AF">
        <w:t>of</w:t>
      </w:r>
      <w:r w:rsidR="000A5329" w:rsidRPr="002029AF">
        <w:t xml:space="preserve"> </w:t>
      </w:r>
      <w:r w:rsidRPr="002029AF">
        <w:t>restrictions</w:t>
      </w:r>
      <w:r w:rsidR="000A5329" w:rsidRPr="002029AF">
        <w:t xml:space="preserve"> </w:t>
      </w:r>
      <w:r w:rsidRPr="002029AF">
        <w:t>associated</w:t>
      </w:r>
      <w:r w:rsidR="000A5329" w:rsidRPr="002029AF">
        <w:t xml:space="preserve"> </w:t>
      </w:r>
      <w:r w:rsidRPr="002029AF">
        <w:t>with</w:t>
      </w:r>
      <w:r w:rsidR="000A5329" w:rsidRPr="002029AF">
        <w:t xml:space="preserve"> </w:t>
      </w:r>
      <w:r w:rsidRPr="002029AF">
        <w:t>an</w:t>
      </w:r>
      <w:r w:rsidR="000A5329" w:rsidRPr="002029AF">
        <w:t xml:space="preserve"> </w:t>
      </w:r>
      <w:r w:rsidRPr="002029AF">
        <w:t>asset</w:t>
      </w:r>
      <w:r w:rsidR="000A5329" w:rsidRPr="002029AF">
        <w:t xml:space="preserve"> </w:t>
      </w:r>
      <w:r w:rsidRPr="002029AF">
        <w:t>to</w:t>
      </w:r>
      <w:r w:rsidR="000A5329" w:rsidRPr="002029AF">
        <w:t xml:space="preserve"> </w:t>
      </w:r>
      <w:r w:rsidRPr="002029AF">
        <w:t>the</w:t>
      </w:r>
      <w:r w:rsidR="000A5329" w:rsidRPr="002029AF">
        <w:t xml:space="preserve"> </w:t>
      </w:r>
      <w:r w:rsidRPr="002029AF">
        <w:t>extent</w:t>
      </w:r>
      <w:r w:rsidR="000A5329" w:rsidRPr="002029AF">
        <w:t xml:space="preserve"> </w:t>
      </w:r>
      <w:r w:rsidRPr="002029AF">
        <w:t>that</w:t>
      </w:r>
      <w:r w:rsidR="000A5329" w:rsidRPr="002029AF">
        <w:t xml:space="preserve"> </w:t>
      </w:r>
      <w:r w:rsidRPr="002029AF">
        <w:t>is</w:t>
      </w:r>
      <w:r w:rsidR="000A5329" w:rsidRPr="002029AF">
        <w:t xml:space="preserve"> </w:t>
      </w:r>
      <w:r w:rsidRPr="002029AF">
        <w:t>also</w:t>
      </w:r>
      <w:r w:rsidR="000A5329" w:rsidRPr="002029AF">
        <w:t xml:space="preserve"> </w:t>
      </w:r>
      <w:r w:rsidRPr="002029AF">
        <w:t>equally</w:t>
      </w:r>
      <w:r w:rsidR="000A5329" w:rsidRPr="002029AF">
        <w:t xml:space="preserve"> </w:t>
      </w:r>
      <w:r w:rsidRPr="002029AF">
        <w:t>applicable</w:t>
      </w:r>
      <w:r w:rsidR="000A5329" w:rsidRPr="002029AF">
        <w:t xml:space="preserve"> </w:t>
      </w:r>
      <w:r w:rsidRPr="002029AF">
        <w:t>to</w:t>
      </w:r>
      <w:r w:rsidR="000A5329" w:rsidRPr="002029AF">
        <w:t xml:space="preserve"> </w:t>
      </w:r>
      <w:r w:rsidRPr="002029AF">
        <w:t>market</w:t>
      </w:r>
      <w:r w:rsidR="000A5329" w:rsidRPr="002029AF">
        <w:t xml:space="preserve"> </w:t>
      </w:r>
      <w:r w:rsidRPr="002029AF">
        <w:t>participants.</w:t>
      </w:r>
    </w:p>
    <w:p w14:paraId="339AD706" w14:textId="7E4358F1" w:rsidR="00087B91" w:rsidRPr="002029AF" w:rsidRDefault="00087B91" w:rsidP="00087B91">
      <w:pPr>
        <w:pStyle w:val="ARfinbody"/>
      </w:pPr>
      <w:r w:rsidRPr="002029AF">
        <w:t>For</w:t>
      </w:r>
      <w:r w:rsidR="000A5329" w:rsidRPr="002029AF">
        <w:t xml:space="preserve"> </w:t>
      </w:r>
      <w:r w:rsidRPr="002029AF">
        <w:t>the</w:t>
      </w:r>
      <w:r w:rsidR="000A5329" w:rsidRPr="002029AF">
        <w:t xml:space="preserve"> </w:t>
      </w:r>
      <w:r w:rsidRPr="002029AF">
        <w:t>majority</w:t>
      </w:r>
      <w:r w:rsidR="000A5329" w:rsidRPr="002029AF">
        <w:t xml:space="preserve"> </w:t>
      </w:r>
      <w:r w:rsidRPr="002029AF">
        <w:t>of</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specialised</w:t>
      </w:r>
      <w:r w:rsidR="000A5329" w:rsidRPr="002029AF">
        <w:t xml:space="preserve"> </w:t>
      </w:r>
      <w:r w:rsidRPr="002029AF">
        <w:t>buildings,</w:t>
      </w:r>
      <w:r w:rsidR="000A5329" w:rsidRPr="002029AF">
        <w:t xml:space="preserve"> </w:t>
      </w:r>
      <w:r w:rsidRPr="002029AF">
        <w:t>the</w:t>
      </w:r>
      <w:r w:rsidR="000A5329" w:rsidRPr="002029AF">
        <w:t xml:space="preserve"> </w:t>
      </w:r>
      <w:r w:rsidRPr="002029AF">
        <w:t>current</w:t>
      </w:r>
      <w:r w:rsidR="000A5329" w:rsidRPr="002029AF">
        <w:t xml:space="preserve"> </w:t>
      </w:r>
      <w:r w:rsidRPr="002029AF">
        <w:t>replacement</w:t>
      </w:r>
      <w:r w:rsidR="000A5329" w:rsidRPr="002029AF">
        <w:t xml:space="preserve"> </w:t>
      </w:r>
      <w:r w:rsidRPr="002029AF">
        <w:t>cost</w:t>
      </w:r>
      <w:r w:rsidR="000A5329" w:rsidRPr="002029AF">
        <w:t xml:space="preserve"> </w:t>
      </w:r>
      <w:r w:rsidRPr="002029AF">
        <w:t>method</w:t>
      </w:r>
      <w:r w:rsidR="000A5329" w:rsidRPr="002029AF">
        <w:t xml:space="preserve"> </w:t>
      </w:r>
      <w:r w:rsidRPr="002029AF">
        <w:t>is</w:t>
      </w:r>
      <w:r w:rsidR="000A5329" w:rsidRPr="002029AF">
        <w:t xml:space="preserve"> </w:t>
      </w:r>
      <w:r w:rsidRPr="002029AF">
        <w:t>used,</w:t>
      </w:r>
      <w:r w:rsidR="000A5329" w:rsidRPr="002029AF">
        <w:t xml:space="preserve"> </w:t>
      </w:r>
      <w:r w:rsidRPr="002029AF">
        <w:t>adjusting</w:t>
      </w:r>
      <w:r w:rsidR="000A5329" w:rsidRPr="002029AF">
        <w:t xml:space="preserve"> </w:t>
      </w:r>
      <w:r w:rsidRPr="002029AF">
        <w:t>for</w:t>
      </w:r>
      <w:r w:rsidR="000A5329" w:rsidRPr="002029AF">
        <w:t xml:space="preserve"> </w:t>
      </w:r>
      <w:r w:rsidRPr="002029AF">
        <w:t>the</w:t>
      </w:r>
      <w:r w:rsidR="000A5329" w:rsidRPr="002029AF">
        <w:t xml:space="preserve"> </w:t>
      </w:r>
      <w:r w:rsidRPr="002029AF">
        <w:t>associated</w:t>
      </w:r>
      <w:r w:rsidR="000A5329" w:rsidRPr="002029AF">
        <w:t xml:space="preserve"> </w:t>
      </w:r>
      <w:r w:rsidRPr="002029AF">
        <w:t>depreciation.</w:t>
      </w:r>
    </w:p>
    <w:p w14:paraId="5637D8D8" w14:textId="6FADECF9" w:rsidR="00087B91" w:rsidRPr="002029AF" w:rsidRDefault="00087B91" w:rsidP="00087B91">
      <w:pPr>
        <w:pStyle w:val="ARfinbody"/>
      </w:pPr>
      <w:r w:rsidRPr="002029AF">
        <w:rPr>
          <w:rStyle w:val="Strong"/>
        </w:rPr>
        <w:t>Vehicles</w:t>
      </w:r>
      <w:r w:rsidR="000A5329" w:rsidRPr="002029AF">
        <w:t xml:space="preserve"> </w:t>
      </w:r>
      <w:r w:rsidRPr="002029AF">
        <w:t>are</w:t>
      </w:r>
      <w:r w:rsidR="000A5329" w:rsidRPr="002029AF">
        <w:t xml:space="preserve"> </w:t>
      </w:r>
      <w:r w:rsidRPr="002029AF">
        <w:t>valued</w:t>
      </w:r>
      <w:r w:rsidR="000A5329" w:rsidRPr="002029AF">
        <w:t xml:space="preserve"> </w:t>
      </w:r>
      <w:r w:rsidRPr="002029AF">
        <w:t>using</w:t>
      </w:r>
      <w:r w:rsidR="000A5329" w:rsidRPr="002029AF">
        <w:t xml:space="preserve"> </w:t>
      </w:r>
      <w:r w:rsidRPr="002029AF">
        <w:t>the</w:t>
      </w:r>
      <w:r w:rsidR="000A5329" w:rsidRPr="002029AF">
        <w:t xml:space="preserve"> </w:t>
      </w:r>
      <w:r w:rsidRPr="002029AF">
        <w:t>current</w:t>
      </w:r>
      <w:r w:rsidR="000A5329" w:rsidRPr="002029AF">
        <w:t xml:space="preserve"> </w:t>
      </w:r>
      <w:r w:rsidRPr="002029AF">
        <w:t>replacement</w:t>
      </w:r>
      <w:r w:rsidR="000A5329" w:rsidRPr="002029AF">
        <w:t xml:space="preserve"> </w:t>
      </w:r>
      <w:r w:rsidRPr="002029AF">
        <w:t>cost</w:t>
      </w:r>
      <w:r w:rsidR="000A5329" w:rsidRPr="002029AF">
        <w:t xml:space="preserve"> </w:t>
      </w:r>
      <w:r w:rsidRPr="002029AF">
        <w:t>method.</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acquires</w:t>
      </w:r>
      <w:r w:rsidR="000A5329" w:rsidRPr="002029AF">
        <w:t xml:space="preserve"> </w:t>
      </w:r>
      <w:r w:rsidRPr="002029AF">
        <w:t>new</w:t>
      </w:r>
      <w:r w:rsidR="000A5329" w:rsidRPr="002029AF">
        <w:t xml:space="preserve"> </w:t>
      </w:r>
      <w:r w:rsidRPr="002029AF">
        <w:t>vehicles</w:t>
      </w:r>
      <w:r w:rsidR="000A5329" w:rsidRPr="002029AF">
        <w:t xml:space="preserve"> </w:t>
      </w:r>
      <w:r w:rsidRPr="002029AF">
        <w:t>and</w:t>
      </w:r>
      <w:r w:rsidR="000A5329" w:rsidRPr="002029AF">
        <w:t xml:space="preserve"> </w:t>
      </w:r>
      <w:r w:rsidRPr="002029AF">
        <w:t>at</w:t>
      </w:r>
      <w:r w:rsidR="000A5329" w:rsidRPr="002029AF">
        <w:t xml:space="preserve"> </w:t>
      </w:r>
      <w:r w:rsidRPr="002029AF">
        <w:t>times</w:t>
      </w:r>
      <w:r w:rsidR="000A5329" w:rsidRPr="002029AF">
        <w:t xml:space="preserve"> </w:t>
      </w:r>
      <w:r w:rsidRPr="002029AF">
        <w:t>disposes</w:t>
      </w:r>
      <w:r w:rsidR="000A5329" w:rsidRPr="002029AF">
        <w:t xml:space="preserve"> </w:t>
      </w:r>
      <w:r w:rsidRPr="002029AF">
        <w:t>of</w:t>
      </w:r>
      <w:r w:rsidR="000A5329" w:rsidRPr="002029AF">
        <w:t xml:space="preserve"> </w:t>
      </w:r>
      <w:r w:rsidRPr="002029AF">
        <w:t>them</w:t>
      </w:r>
      <w:r w:rsidR="000A5329" w:rsidRPr="002029AF">
        <w:t xml:space="preserve"> </w:t>
      </w:r>
      <w:r w:rsidRPr="002029AF">
        <w:t>before</w:t>
      </w:r>
      <w:r w:rsidR="000A5329" w:rsidRPr="002029AF">
        <w:t xml:space="preserve"> </w:t>
      </w:r>
      <w:r w:rsidRPr="002029AF">
        <w:t>the</w:t>
      </w:r>
      <w:r w:rsidR="000A5329" w:rsidRPr="002029AF">
        <w:t xml:space="preserve"> </w:t>
      </w:r>
      <w:r w:rsidRPr="002029AF">
        <w:t>end</w:t>
      </w:r>
      <w:r w:rsidR="000A5329" w:rsidRPr="002029AF">
        <w:t xml:space="preserve"> </w:t>
      </w:r>
      <w:r w:rsidRPr="002029AF">
        <w:t>of</w:t>
      </w:r>
      <w:r w:rsidR="000A5329" w:rsidRPr="002029AF">
        <w:t xml:space="preserve"> </w:t>
      </w:r>
      <w:r w:rsidRPr="002029AF">
        <w:t>their</w:t>
      </w:r>
      <w:r w:rsidR="000A5329" w:rsidRPr="002029AF">
        <w:t xml:space="preserve"> </w:t>
      </w:r>
      <w:r w:rsidRPr="002029AF">
        <w:t>economic</w:t>
      </w:r>
      <w:r w:rsidR="000A5329" w:rsidRPr="002029AF">
        <w:t xml:space="preserve"> </w:t>
      </w:r>
      <w:r w:rsidRPr="002029AF">
        <w:t>life.</w:t>
      </w:r>
      <w:r w:rsidR="000A5329" w:rsidRPr="002029AF">
        <w:t xml:space="preserve"> </w:t>
      </w:r>
      <w:r w:rsidRPr="002029AF">
        <w:t>The</w:t>
      </w:r>
      <w:r w:rsidR="000A5329" w:rsidRPr="002029AF">
        <w:t xml:space="preserve"> </w:t>
      </w:r>
      <w:r w:rsidRPr="002029AF">
        <w:t>process</w:t>
      </w:r>
      <w:r w:rsidR="000A5329" w:rsidRPr="002029AF">
        <w:t xml:space="preserve"> </w:t>
      </w:r>
      <w:r w:rsidRPr="002029AF">
        <w:t>of</w:t>
      </w:r>
      <w:r w:rsidR="000A5329" w:rsidRPr="002029AF">
        <w:t xml:space="preserve"> </w:t>
      </w:r>
      <w:r w:rsidRPr="002029AF">
        <w:t>acquisition,</w:t>
      </w:r>
      <w:r w:rsidR="000A5329" w:rsidRPr="002029AF">
        <w:t xml:space="preserve"> </w:t>
      </w:r>
      <w:r w:rsidRPr="002029AF">
        <w:t>use</w:t>
      </w:r>
      <w:r w:rsidR="000A5329" w:rsidRPr="002029AF">
        <w:t xml:space="preserve"> </w:t>
      </w:r>
      <w:r w:rsidRPr="002029AF">
        <w:t>and</w:t>
      </w:r>
      <w:r w:rsidR="000A5329" w:rsidRPr="002029AF">
        <w:t xml:space="preserve"> </w:t>
      </w:r>
      <w:r w:rsidRPr="002029AF">
        <w:t>disposal</w:t>
      </w:r>
      <w:r w:rsidR="000A5329" w:rsidRPr="002029AF">
        <w:t xml:space="preserve"> </w:t>
      </w:r>
      <w:r w:rsidRPr="002029AF">
        <w:t>in</w:t>
      </w:r>
      <w:r w:rsidR="000A5329" w:rsidRPr="002029AF">
        <w:t xml:space="preserve"> </w:t>
      </w:r>
      <w:r w:rsidRPr="002029AF">
        <w:t>the</w:t>
      </w:r>
      <w:r w:rsidR="000A5329" w:rsidRPr="002029AF">
        <w:t xml:space="preserve"> </w:t>
      </w:r>
      <w:r w:rsidRPr="002029AF">
        <w:t>market</w:t>
      </w:r>
      <w:r w:rsidR="000A5329" w:rsidRPr="002029AF">
        <w:t xml:space="preserve"> </w:t>
      </w:r>
      <w:r w:rsidRPr="002029AF">
        <w:t>is</w:t>
      </w:r>
      <w:r w:rsidR="000A5329" w:rsidRPr="002029AF">
        <w:t xml:space="preserve"> </w:t>
      </w:r>
      <w:r w:rsidRPr="002029AF">
        <w:t>managed</w:t>
      </w:r>
      <w:r w:rsidR="000A5329" w:rsidRPr="002029AF">
        <w:t xml:space="preserve"> </w:t>
      </w:r>
      <w:r w:rsidRPr="002029AF">
        <w:t>by</w:t>
      </w:r>
      <w:r w:rsidR="000A5329" w:rsidRPr="002029AF">
        <w:t xml:space="preserve"> </w:t>
      </w:r>
      <w:r w:rsidRPr="002029AF">
        <w:t>experienced</w:t>
      </w:r>
      <w:r w:rsidR="000A5329" w:rsidRPr="002029AF">
        <w:t xml:space="preserve"> </w:t>
      </w:r>
      <w:r w:rsidRPr="002029AF">
        <w:t>fleet</w:t>
      </w:r>
      <w:r w:rsidR="000A5329" w:rsidRPr="002029AF">
        <w:t xml:space="preserve"> </w:t>
      </w:r>
      <w:r w:rsidRPr="002029AF">
        <w:t>managers</w:t>
      </w:r>
      <w:r w:rsidR="000A5329" w:rsidRPr="002029AF">
        <w:t xml:space="preserve"> </w:t>
      </w:r>
      <w:r w:rsidRPr="002029AF">
        <w:t>in</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who</w:t>
      </w:r>
      <w:r w:rsidR="000A5329" w:rsidRPr="002029AF">
        <w:t xml:space="preserve"> </w:t>
      </w:r>
      <w:r w:rsidRPr="002029AF">
        <w:t>set</w:t>
      </w:r>
      <w:r w:rsidR="000A5329" w:rsidRPr="002029AF">
        <w:t xml:space="preserve"> </w:t>
      </w:r>
      <w:r w:rsidRPr="002029AF">
        <w:t>the</w:t>
      </w:r>
      <w:r w:rsidR="000A5329" w:rsidRPr="002029AF">
        <w:t xml:space="preserve"> </w:t>
      </w:r>
      <w:r w:rsidRPr="002029AF">
        <w:t>relevant</w:t>
      </w:r>
      <w:r w:rsidR="000A5329" w:rsidRPr="002029AF">
        <w:t xml:space="preserve"> </w:t>
      </w:r>
      <w:r w:rsidRPr="002029AF">
        <w:t>depreciation</w:t>
      </w:r>
      <w:r w:rsidR="000A5329" w:rsidRPr="002029AF">
        <w:t xml:space="preserve"> </w:t>
      </w:r>
      <w:r w:rsidRPr="002029AF">
        <w:t>rates</w:t>
      </w:r>
      <w:r w:rsidR="000A5329" w:rsidRPr="002029AF">
        <w:t xml:space="preserve"> </w:t>
      </w:r>
      <w:r w:rsidRPr="002029AF">
        <w:t>during</w:t>
      </w:r>
      <w:r w:rsidR="000A5329" w:rsidRPr="002029AF">
        <w:t xml:space="preserve"> </w:t>
      </w:r>
      <w:r w:rsidRPr="002029AF">
        <w:t>use</w:t>
      </w:r>
      <w:r w:rsidR="000A5329" w:rsidRPr="002029AF">
        <w:t xml:space="preserve"> </w:t>
      </w:r>
      <w:r w:rsidRPr="002029AF">
        <w:t>to</w:t>
      </w:r>
      <w:r w:rsidR="000A5329" w:rsidRPr="002029AF">
        <w:t xml:space="preserve"> </w:t>
      </w:r>
      <w:r w:rsidRPr="002029AF">
        <w:t>reflect</w:t>
      </w:r>
      <w:r w:rsidR="000A5329" w:rsidRPr="002029AF">
        <w:t xml:space="preserve"> </w:t>
      </w:r>
      <w:r w:rsidRPr="002029AF">
        <w:t>the</w:t>
      </w:r>
      <w:r w:rsidR="000A5329" w:rsidRPr="002029AF">
        <w:t xml:space="preserve"> </w:t>
      </w:r>
      <w:r w:rsidRPr="002029AF">
        <w:t>utilisation</w:t>
      </w:r>
      <w:r w:rsidR="000A5329" w:rsidRPr="002029AF">
        <w:t xml:space="preserve"> </w:t>
      </w:r>
      <w:r w:rsidRPr="002029AF">
        <w:t>of</w:t>
      </w:r>
      <w:r w:rsidR="000A5329" w:rsidRPr="002029AF">
        <w:t xml:space="preserve"> </w:t>
      </w:r>
      <w:r w:rsidRPr="002029AF">
        <w:t>the</w:t>
      </w:r>
      <w:r w:rsidR="000A5329" w:rsidRPr="002029AF">
        <w:t xml:space="preserve"> </w:t>
      </w:r>
      <w:r w:rsidRPr="002029AF">
        <w:t>vehicles.</w:t>
      </w:r>
    </w:p>
    <w:p w14:paraId="3786C43D" w14:textId="010F3D71" w:rsidR="00087B91" w:rsidRPr="002029AF" w:rsidRDefault="00087B91" w:rsidP="00087B91">
      <w:pPr>
        <w:pStyle w:val="ARfinbody"/>
      </w:pPr>
      <w:r w:rsidRPr="002029AF">
        <w:t>Fair</w:t>
      </w:r>
      <w:r w:rsidR="000A5329" w:rsidRPr="002029AF">
        <w:t xml:space="preserve"> </w:t>
      </w:r>
      <w:r w:rsidRPr="002029AF">
        <w:t>value</w:t>
      </w:r>
      <w:r w:rsidR="000A5329" w:rsidRPr="002029AF">
        <w:t xml:space="preserve"> </w:t>
      </w:r>
      <w:r w:rsidRPr="002029AF">
        <w:t>for</w:t>
      </w:r>
      <w:r w:rsidR="000A5329" w:rsidRPr="002029AF">
        <w:t xml:space="preserve"> </w:t>
      </w:r>
      <w:r w:rsidRPr="002029AF">
        <w:rPr>
          <w:rStyle w:val="Strong"/>
        </w:rPr>
        <w:t>plant</w:t>
      </w:r>
      <w:r w:rsidR="000A5329" w:rsidRPr="002029AF">
        <w:rPr>
          <w:rStyle w:val="Strong"/>
        </w:rPr>
        <w:t xml:space="preserve"> </w:t>
      </w:r>
      <w:r w:rsidRPr="002029AF">
        <w:rPr>
          <w:rStyle w:val="Strong"/>
        </w:rPr>
        <w:t>and</w:t>
      </w:r>
      <w:r w:rsidR="000A5329" w:rsidRPr="002029AF">
        <w:rPr>
          <w:rStyle w:val="Strong"/>
        </w:rPr>
        <w:t xml:space="preserve"> </w:t>
      </w:r>
      <w:r w:rsidRPr="002029AF">
        <w:rPr>
          <w:rStyle w:val="Strong"/>
        </w:rPr>
        <w:t>equipment</w:t>
      </w:r>
      <w:r w:rsidR="000A5329" w:rsidRPr="002029AF">
        <w:t xml:space="preserve"> </w:t>
      </w:r>
      <w:r w:rsidRPr="002029AF">
        <w:t>is</w:t>
      </w:r>
      <w:r w:rsidR="000A5329" w:rsidRPr="002029AF">
        <w:t xml:space="preserve"> </w:t>
      </w:r>
      <w:r w:rsidRPr="002029AF">
        <w:t>determined</w:t>
      </w:r>
      <w:r w:rsidR="000A5329" w:rsidRPr="002029AF">
        <w:t xml:space="preserve"> </w:t>
      </w:r>
      <w:r w:rsidRPr="002029AF">
        <w:t>using</w:t>
      </w:r>
      <w:r w:rsidR="000A5329" w:rsidRPr="002029AF">
        <w:t xml:space="preserve"> </w:t>
      </w:r>
      <w:r w:rsidRPr="002029AF">
        <w:t>the</w:t>
      </w:r>
      <w:r w:rsidR="000A5329" w:rsidRPr="002029AF">
        <w:t xml:space="preserve"> </w:t>
      </w:r>
      <w:r w:rsidRPr="002029AF">
        <w:t>current</w:t>
      </w:r>
      <w:r w:rsidR="000A5329" w:rsidRPr="002029AF">
        <w:t xml:space="preserve"> </w:t>
      </w:r>
      <w:r w:rsidRPr="002029AF">
        <w:t>replacement</w:t>
      </w:r>
      <w:r w:rsidR="000A5329" w:rsidRPr="002029AF">
        <w:t xml:space="preserve"> </w:t>
      </w:r>
      <w:r w:rsidRPr="002029AF">
        <w:t>cost</w:t>
      </w:r>
      <w:r w:rsidR="000A5329" w:rsidRPr="002029AF">
        <w:t xml:space="preserve"> </w:t>
      </w:r>
      <w:r w:rsidRPr="002029AF">
        <w:t>method.</w:t>
      </w:r>
    </w:p>
    <w:p w14:paraId="482335F8" w14:textId="5FDFC3DF" w:rsidR="00087B91" w:rsidRPr="002029AF" w:rsidRDefault="00087B91" w:rsidP="00087B91">
      <w:pPr>
        <w:pStyle w:val="ARfinbody"/>
      </w:pPr>
      <w:r w:rsidRPr="002029AF">
        <w:t>Refer</w:t>
      </w:r>
      <w:r w:rsidR="000A5329" w:rsidRPr="002029AF">
        <w:t xml:space="preserve"> </w:t>
      </w:r>
      <w:r w:rsidRPr="002029AF">
        <w:t>to</w:t>
      </w:r>
      <w:r w:rsidR="000A5329" w:rsidRPr="002029AF">
        <w:t xml:space="preserve"> </w:t>
      </w:r>
      <w:r w:rsidRPr="002029AF">
        <w:t>Note</w:t>
      </w:r>
      <w:r w:rsidR="000A5329" w:rsidRPr="002029AF">
        <w:t xml:space="preserve"> </w:t>
      </w:r>
      <w:r w:rsidRPr="002029AF">
        <w:t>8.3.2</w:t>
      </w:r>
      <w:r w:rsidR="000A5329" w:rsidRPr="002029AF">
        <w:t xml:space="preserve"> </w:t>
      </w:r>
      <w:r w:rsidRPr="002029AF">
        <w:t>for</w:t>
      </w:r>
      <w:r w:rsidR="000A5329" w:rsidRPr="002029AF">
        <w:t xml:space="preserve"> </w:t>
      </w:r>
      <w:r w:rsidRPr="002029AF">
        <w:t>additional</w:t>
      </w:r>
      <w:r w:rsidR="000A5329" w:rsidRPr="002029AF">
        <w:t xml:space="preserve"> </w:t>
      </w:r>
      <w:r w:rsidRPr="002029AF">
        <w:t>information</w:t>
      </w:r>
      <w:r w:rsidR="000A5329" w:rsidRPr="002029AF">
        <w:t xml:space="preserve"> </w:t>
      </w:r>
      <w:r w:rsidRPr="002029AF">
        <w:t>on</w:t>
      </w:r>
      <w:r w:rsidR="000A5329" w:rsidRPr="002029AF">
        <w:t xml:space="preserve"> </w:t>
      </w:r>
      <w:r w:rsidRPr="002029AF">
        <w:t>fair</w:t>
      </w:r>
      <w:r w:rsidR="000A5329" w:rsidRPr="002029AF">
        <w:t xml:space="preserve"> </w:t>
      </w:r>
      <w:r w:rsidRPr="002029AF">
        <w:t>value</w:t>
      </w:r>
      <w:r w:rsidR="000A5329" w:rsidRPr="002029AF">
        <w:t xml:space="preserve"> </w:t>
      </w:r>
      <w:r w:rsidRPr="002029AF">
        <w:t>determination</w:t>
      </w:r>
      <w:r w:rsidR="000A5329" w:rsidRPr="002029AF">
        <w:t xml:space="preserve"> </w:t>
      </w:r>
      <w:r w:rsidRPr="002029AF">
        <w:t>of</w:t>
      </w:r>
      <w:r w:rsidR="000A5329" w:rsidRPr="002029AF">
        <w:t xml:space="preserve"> </w:t>
      </w:r>
      <w:r w:rsidRPr="002029AF">
        <w:t>property,</w:t>
      </w:r>
      <w:r w:rsidR="000A5329" w:rsidRPr="002029AF">
        <w:t xml:space="preserve"> </w:t>
      </w:r>
      <w:r w:rsidRPr="002029AF">
        <w:t>plant</w:t>
      </w:r>
      <w:r w:rsidR="000A5329" w:rsidRPr="002029AF">
        <w:t xml:space="preserve"> </w:t>
      </w:r>
      <w:r w:rsidRPr="002029AF">
        <w:t>and</w:t>
      </w:r>
      <w:r w:rsidR="000A5329" w:rsidRPr="002029AF">
        <w:t xml:space="preserve"> </w:t>
      </w:r>
      <w:r w:rsidRPr="002029AF">
        <w:t>equipment.</w:t>
      </w:r>
    </w:p>
    <w:p w14:paraId="09DA54D2" w14:textId="2A365967" w:rsidR="00087B91" w:rsidRPr="002029AF" w:rsidRDefault="00087B91" w:rsidP="00087B91">
      <w:pPr>
        <w:pStyle w:val="Heading6"/>
        <w:rPr>
          <w:lang w:val="en-AU"/>
        </w:rPr>
      </w:pPr>
      <w:r w:rsidRPr="002029AF">
        <w:rPr>
          <w:lang w:val="en-AU"/>
        </w:rPr>
        <w:t>Impairment</w:t>
      </w:r>
      <w:r w:rsidR="000A5329" w:rsidRPr="002029AF">
        <w:rPr>
          <w:lang w:val="en-AU"/>
        </w:rPr>
        <w:t xml:space="preserve"> </w:t>
      </w:r>
      <w:r w:rsidRPr="002029AF">
        <w:rPr>
          <w:lang w:val="en-AU"/>
        </w:rPr>
        <w:t>of</w:t>
      </w:r>
      <w:r w:rsidR="000A5329" w:rsidRPr="002029AF">
        <w:rPr>
          <w:lang w:val="en-AU"/>
        </w:rPr>
        <w:t xml:space="preserve"> </w:t>
      </w:r>
      <w:r w:rsidRPr="002029AF">
        <w:rPr>
          <w:lang w:val="en-AU"/>
        </w:rPr>
        <w:t>property,</w:t>
      </w:r>
      <w:r w:rsidR="000A5329" w:rsidRPr="002029AF">
        <w:rPr>
          <w:lang w:val="en-AU"/>
        </w:rPr>
        <w:t xml:space="preserve"> </w:t>
      </w:r>
      <w:r w:rsidRPr="002029AF">
        <w:rPr>
          <w:lang w:val="en-AU"/>
        </w:rPr>
        <w:t>plant</w:t>
      </w:r>
      <w:r w:rsidR="000A5329" w:rsidRPr="002029AF">
        <w:rPr>
          <w:lang w:val="en-AU"/>
        </w:rPr>
        <w:t xml:space="preserve"> </w:t>
      </w:r>
      <w:r w:rsidRPr="002029AF">
        <w:rPr>
          <w:lang w:val="en-AU"/>
        </w:rPr>
        <w:t>and</w:t>
      </w:r>
      <w:r w:rsidR="000A5329" w:rsidRPr="002029AF">
        <w:rPr>
          <w:lang w:val="en-AU"/>
        </w:rPr>
        <w:t xml:space="preserve"> </w:t>
      </w:r>
      <w:r w:rsidRPr="002029AF">
        <w:rPr>
          <w:lang w:val="en-AU"/>
        </w:rPr>
        <w:t>equipment</w:t>
      </w:r>
    </w:p>
    <w:p w14:paraId="17F4BB15" w14:textId="4BB68B5C" w:rsidR="00087B91" w:rsidRPr="002029AF" w:rsidRDefault="00087B91" w:rsidP="00087B91">
      <w:pPr>
        <w:pStyle w:val="ARfinbody"/>
      </w:pPr>
      <w:r w:rsidRPr="002029AF">
        <w:t>The</w:t>
      </w:r>
      <w:r w:rsidR="000A5329" w:rsidRPr="002029AF">
        <w:t xml:space="preserve"> </w:t>
      </w:r>
      <w:r w:rsidRPr="002029AF">
        <w:t>recoverable</w:t>
      </w:r>
      <w:r w:rsidR="000A5329" w:rsidRPr="002029AF">
        <w:t xml:space="preserve"> </w:t>
      </w:r>
      <w:r w:rsidRPr="002029AF">
        <w:t>amount</w:t>
      </w:r>
      <w:r w:rsidR="000A5329" w:rsidRPr="002029AF">
        <w:t xml:space="preserve"> </w:t>
      </w:r>
      <w:r w:rsidRPr="002029AF">
        <w:t>of</w:t>
      </w:r>
      <w:r w:rsidR="000A5329" w:rsidRPr="002029AF">
        <w:t xml:space="preserve"> </w:t>
      </w:r>
      <w:r w:rsidRPr="002029AF">
        <w:t>primarily</w:t>
      </w:r>
      <w:r w:rsidR="000A5329" w:rsidRPr="002029AF">
        <w:t xml:space="preserve"> </w:t>
      </w:r>
      <w:r w:rsidRPr="002029AF">
        <w:t>non-cash</w:t>
      </w:r>
      <w:r w:rsidR="000A5329" w:rsidRPr="002029AF">
        <w:t xml:space="preserve"> </w:t>
      </w:r>
      <w:r w:rsidRPr="002029AF">
        <w:t>generating</w:t>
      </w:r>
      <w:r w:rsidR="000A5329" w:rsidRPr="002029AF">
        <w:t xml:space="preserve"> </w:t>
      </w:r>
      <w:r w:rsidRPr="002029AF">
        <w:t>assets</w:t>
      </w:r>
      <w:r w:rsidR="000A5329" w:rsidRPr="002029AF">
        <w:t xml:space="preserve"> </w:t>
      </w:r>
      <w:r w:rsidRPr="002029AF">
        <w:t>of</w:t>
      </w:r>
      <w:r w:rsidR="000A5329" w:rsidRPr="002029AF">
        <w:t xml:space="preserve"> </w:t>
      </w:r>
      <w:r w:rsidRPr="002029AF">
        <w:t>not-for-profit</w:t>
      </w:r>
      <w:r w:rsidR="000A5329" w:rsidRPr="002029AF">
        <w:t xml:space="preserve"> </w:t>
      </w:r>
      <w:r w:rsidRPr="002029AF">
        <w:t>entities,</w:t>
      </w:r>
      <w:r w:rsidR="000A5329" w:rsidRPr="002029AF">
        <w:t xml:space="preserve"> </w:t>
      </w:r>
      <w:r w:rsidRPr="002029AF">
        <w:t>which</w:t>
      </w:r>
      <w:r w:rsidR="000A5329" w:rsidRPr="002029AF">
        <w:t xml:space="preserve"> </w:t>
      </w:r>
      <w:r w:rsidRPr="002029AF">
        <w:t>are</w:t>
      </w:r>
      <w:r w:rsidR="000A5329" w:rsidRPr="002029AF">
        <w:t xml:space="preserve"> </w:t>
      </w:r>
      <w:r w:rsidRPr="002029AF">
        <w:t>typically</w:t>
      </w:r>
      <w:r w:rsidR="000A5329" w:rsidRPr="002029AF">
        <w:t xml:space="preserve"> </w:t>
      </w:r>
      <w:r w:rsidRPr="002029AF">
        <w:t>specialised</w:t>
      </w:r>
      <w:r w:rsidR="000A5329" w:rsidRPr="002029AF">
        <w:t xml:space="preserve"> </w:t>
      </w:r>
      <w:r w:rsidRPr="002029AF">
        <w:t>in</w:t>
      </w:r>
      <w:r w:rsidR="000A5329" w:rsidRPr="002029AF">
        <w:t xml:space="preserve"> </w:t>
      </w:r>
      <w:r w:rsidRPr="002029AF">
        <w:t>nature</w:t>
      </w:r>
      <w:r w:rsidR="000A5329" w:rsidRPr="002029AF">
        <w:t xml:space="preserve"> </w:t>
      </w:r>
      <w:r w:rsidRPr="002029AF">
        <w:t>and</w:t>
      </w:r>
      <w:r w:rsidR="000A5329" w:rsidRPr="002029AF">
        <w:t xml:space="preserve"> </w:t>
      </w:r>
      <w:r w:rsidRPr="002029AF">
        <w:t>held</w:t>
      </w:r>
      <w:r w:rsidR="000A5329" w:rsidRPr="002029AF">
        <w:t xml:space="preserve"> </w:t>
      </w:r>
      <w:r w:rsidRPr="002029AF">
        <w:t>for</w:t>
      </w:r>
      <w:r w:rsidR="000A5329" w:rsidRPr="002029AF">
        <w:t xml:space="preserve"> </w:t>
      </w:r>
      <w:r w:rsidRPr="002029AF">
        <w:t>continuing</w:t>
      </w:r>
      <w:r w:rsidR="000A5329" w:rsidRPr="002029AF">
        <w:t xml:space="preserve"> </w:t>
      </w:r>
      <w:r w:rsidRPr="002029AF">
        <w:t>use</w:t>
      </w:r>
      <w:r w:rsidR="000A5329" w:rsidRPr="002029AF">
        <w:t xml:space="preserve"> </w:t>
      </w:r>
      <w:r w:rsidRPr="002029AF">
        <w:t>of</w:t>
      </w:r>
      <w:r w:rsidR="000A5329" w:rsidRPr="002029AF">
        <w:t xml:space="preserve"> </w:t>
      </w:r>
      <w:r w:rsidRPr="002029AF">
        <w:t>their</w:t>
      </w:r>
      <w:r w:rsidR="000A5329" w:rsidRPr="002029AF">
        <w:t xml:space="preserve"> </w:t>
      </w:r>
      <w:r w:rsidRPr="002029AF">
        <w:t>service</w:t>
      </w:r>
      <w:r w:rsidR="000A5329" w:rsidRPr="002029AF">
        <w:t xml:space="preserve"> </w:t>
      </w:r>
      <w:r w:rsidRPr="002029AF">
        <w:t>capacity,</w:t>
      </w:r>
      <w:r w:rsidR="000A5329" w:rsidRPr="002029AF">
        <w:t xml:space="preserve"> </w:t>
      </w:r>
      <w:r w:rsidRPr="002029AF">
        <w:t>is</w:t>
      </w:r>
      <w:r w:rsidR="000A5329" w:rsidRPr="002029AF">
        <w:t xml:space="preserve"> </w:t>
      </w:r>
      <w:r w:rsidRPr="002029AF">
        <w:t>expected</w:t>
      </w:r>
      <w:r w:rsidR="000A5329" w:rsidRPr="002029AF">
        <w:t xml:space="preserve"> </w:t>
      </w:r>
      <w:r w:rsidRPr="002029AF">
        <w:t>to</w:t>
      </w:r>
      <w:r w:rsidR="000A5329" w:rsidRPr="002029AF">
        <w:t xml:space="preserve"> </w:t>
      </w:r>
      <w:r w:rsidRPr="002029AF">
        <w:t>be</w:t>
      </w:r>
      <w:r w:rsidR="000A5329" w:rsidRPr="002029AF">
        <w:t xml:space="preserve"> </w:t>
      </w:r>
      <w:r w:rsidRPr="002029AF">
        <w:t>materially</w:t>
      </w:r>
      <w:r w:rsidR="000A5329" w:rsidRPr="002029AF">
        <w:t xml:space="preserve"> </w:t>
      </w:r>
      <w:r w:rsidRPr="002029AF">
        <w:t>the</w:t>
      </w:r>
      <w:r w:rsidR="000A5329" w:rsidRPr="002029AF">
        <w:t xml:space="preserve"> </w:t>
      </w:r>
      <w:r w:rsidRPr="002029AF">
        <w:t>same</w:t>
      </w:r>
      <w:r w:rsidR="000A5329" w:rsidRPr="002029AF">
        <w:t xml:space="preserve"> </w:t>
      </w:r>
      <w:r w:rsidRPr="002029AF">
        <w:t>as</w:t>
      </w:r>
      <w:r w:rsidR="000A5329" w:rsidRPr="002029AF">
        <w:t xml:space="preserve"> </w:t>
      </w:r>
      <w:r w:rsidRPr="002029AF">
        <w:t>fair</w:t>
      </w:r>
      <w:r w:rsidR="000A5329" w:rsidRPr="002029AF">
        <w:t xml:space="preserve"> </w:t>
      </w:r>
      <w:r w:rsidRPr="002029AF">
        <w:t>value</w:t>
      </w:r>
      <w:r w:rsidR="000A5329" w:rsidRPr="002029AF">
        <w:t xml:space="preserve"> </w:t>
      </w:r>
      <w:r w:rsidRPr="002029AF">
        <w:t>determined</w:t>
      </w:r>
      <w:r w:rsidR="000A5329" w:rsidRPr="002029AF">
        <w:t xml:space="preserve"> </w:t>
      </w:r>
      <w:r w:rsidRPr="002029AF">
        <w:t>under</w:t>
      </w:r>
      <w:r w:rsidR="000A5329" w:rsidRPr="002029AF">
        <w:t xml:space="preserve"> </w:t>
      </w:r>
      <w:r w:rsidRPr="002029AF">
        <w:t>AASB</w:t>
      </w:r>
      <w:r w:rsidR="000A5329" w:rsidRPr="002029AF">
        <w:t xml:space="preserve"> </w:t>
      </w:r>
      <w:r w:rsidRPr="002029AF">
        <w:t>13</w:t>
      </w:r>
      <w:r w:rsidR="000A5329" w:rsidRPr="002029AF">
        <w:t xml:space="preserve"> </w:t>
      </w:r>
      <w:r w:rsidRPr="002029AF">
        <w:rPr>
          <w:rStyle w:val="Emphasis"/>
        </w:rPr>
        <w:t>Fair</w:t>
      </w:r>
      <w:r w:rsidR="000A5329" w:rsidRPr="002029AF">
        <w:rPr>
          <w:rStyle w:val="Emphasis"/>
        </w:rPr>
        <w:t xml:space="preserve"> </w:t>
      </w:r>
      <w:r w:rsidRPr="002029AF">
        <w:rPr>
          <w:rStyle w:val="Emphasis"/>
        </w:rPr>
        <w:t>Value</w:t>
      </w:r>
      <w:r w:rsidR="000A5329" w:rsidRPr="002029AF">
        <w:rPr>
          <w:rStyle w:val="Emphasis"/>
        </w:rPr>
        <w:t xml:space="preserve"> </w:t>
      </w:r>
      <w:r w:rsidRPr="002029AF">
        <w:rPr>
          <w:rStyle w:val="Emphasis"/>
        </w:rPr>
        <w:t>Measurement</w:t>
      </w:r>
      <w:r w:rsidRPr="002029AF">
        <w:t>,</w:t>
      </w:r>
      <w:r w:rsidR="000A5329" w:rsidRPr="002029AF">
        <w:t xml:space="preserve"> </w:t>
      </w:r>
      <w:r w:rsidRPr="002029AF">
        <w:t>with</w:t>
      </w:r>
      <w:r w:rsidR="000A5329" w:rsidRPr="002029AF">
        <w:t xml:space="preserve"> </w:t>
      </w:r>
      <w:r w:rsidRPr="002029AF">
        <w:t>the</w:t>
      </w:r>
      <w:r w:rsidR="000A5329" w:rsidRPr="002029AF">
        <w:t xml:space="preserve"> </w:t>
      </w:r>
      <w:r w:rsidRPr="002029AF">
        <w:t>consequence</w:t>
      </w:r>
      <w:r w:rsidR="000A5329" w:rsidRPr="002029AF">
        <w:t xml:space="preserve"> </w:t>
      </w:r>
      <w:r w:rsidRPr="002029AF">
        <w:t>that</w:t>
      </w:r>
      <w:r w:rsidR="000A5329" w:rsidRPr="002029AF">
        <w:t xml:space="preserve"> </w:t>
      </w:r>
      <w:r w:rsidRPr="002029AF">
        <w:t>AASB</w:t>
      </w:r>
      <w:r w:rsidR="000A5329" w:rsidRPr="002029AF">
        <w:t xml:space="preserve"> </w:t>
      </w:r>
      <w:r w:rsidRPr="002029AF">
        <w:t>136</w:t>
      </w:r>
      <w:r w:rsidR="000A5329" w:rsidRPr="002029AF">
        <w:t xml:space="preserve"> </w:t>
      </w:r>
      <w:r w:rsidRPr="002029AF">
        <w:t>does</w:t>
      </w:r>
      <w:r w:rsidR="000A5329" w:rsidRPr="002029AF">
        <w:t xml:space="preserve"> </w:t>
      </w:r>
      <w:r w:rsidRPr="002029AF">
        <w:t>not</w:t>
      </w:r>
      <w:r w:rsidR="000A5329" w:rsidRPr="002029AF">
        <w:t xml:space="preserve"> </w:t>
      </w:r>
      <w:r w:rsidRPr="002029AF">
        <w:t>apply</w:t>
      </w:r>
      <w:r w:rsidR="000A5329" w:rsidRPr="002029AF">
        <w:t xml:space="preserve"> </w:t>
      </w:r>
      <w:r w:rsidRPr="002029AF">
        <w:t>to</w:t>
      </w:r>
      <w:r w:rsidR="000A5329" w:rsidRPr="002029AF">
        <w:t xml:space="preserve"> </w:t>
      </w:r>
      <w:r w:rsidRPr="002029AF">
        <w:t>such</w:t>
      </w:r>
      <w:r w:rsidR="000A5329" w:rsidRPr="002029AF">
        <w:t xml:space="preserve"> </w:t>
      </w:r>
      <w:r w:rsidRPr="002029AF">
        <w:t>assets</w:t>
      </w:r>
      <w:r w:rsidR="000A5329" w:rsidRPr="002029AF">
        <w:t xml:space="preserve"> </w:t>
      </w:r>
      <w:r w:rsidRPr="002029AF">
        <w:t>that</w:t>
      </w:r>
      <w:r w:rsidR="000A5329" w:rsidRPr="002029AF">
        <w:t xml:space="preserve"> </w:t>
      </w:r>
      <w:r w:rsidRPr="002029AF">
        <w:t>are</w:t>
      </w:r>
      <w:r w:rsidR="000A5329" w:rsidRPr="002029AF">
        <w:t xml:space="preserve"> </w:t>
      </w:r>
      <w:r w:rsidRPr="002029AF">
        <w:t>regularly</w:t>
      </w:r>
      <w:r w:rsidR="000A5329" w:rsidRPr="002029AF">
        <w:t xml:space="preserve"> </w:t>
      </w:r>
      <w:r w:rsidRPr="002029AF">
        <w:t>revalued.</w:t>
      </w:r>
    </w:p>
    <w:p w14:paraId="22B9D059" w14:textId="77777777" w:rsidR="00087B91" w:rsidRPr="002029AF" w:rsidRDefault="00087B91" w:rsidP="00087B91">
      <w:pPr>
        <w:pStyle w:val="ARfinbody"/>
      </w:pPr>
      <w:r w:rsidRPr="002029AF">
        <w:br w:type="page"/>
      </w:r>
    </w:p>
    <w:p w14:paraId="4D7AB741" w14:textId="177709F2" w:rsidR="00087B91" w:rsidRPr="002029AF" w:rsidRDefault="00087B91" w:rsidP="00087B91">
      <w:pPr>
        <w:pStyle w:val="Heading5"/>
      </w:pPr>
      <w:r w:rsidRPr="002029AF">
        <w:lastRenderedPageBreak/>
        <w:t>5.1.1</w:t>
      </w:r>
      <w:r w:rsidR="000A5329" w:rsidRPr="002029AF">
        <w:t xml:space="preserve"> </w:t>
      </w:r>
      <w:r w:rsidRPr="002029AF">
        <w:t>Depreciation</w:t>
      </w:r>
      <w:r w:rsidR="000A5329" w:rsidRPr="002029AF">
        <w:t xml:space="preserve"> </w:t>
      </w:r>
      <w:r w:rsidRPr="002029AF">
        <w:t>and</w:t>
      </w:r>
      <w:r w:rsidR="000A5329" w:rsidRPr="002029AF">
        <w:t xml:space="preserve"> </w:t>
      </w:r>
      <w:r w:rsidRPr="002029AF">
        <w:t>amortisation</w:t>
      </w:r>
      <w:r w:rsidR="000A5329" w:rsidRPr="002029AF">
        <w:t xml:space="preserve"> </w:t>
      </w:r>
      <w:r w:rsidRPr="002029AF">
        <w:rPr>
          <w:rStyle w:val="Superscript"/>
        </w:rPr>
        <w:t>(i)(ii)</w:t>
      </w:r>
    </w:p>
    <w:p w14:paraId="77D5190B" w14:textId="7877E0EF" w:rsidR="00087B91" w:rsidRPr="002029AF" w:rsidRDefault="00087B91" w:rsidP="00087B91">
      <w:pPr>
        <w:pStyle w:val="Heading6"/>
        <w:rPr>
          <w:lang w:val="en-AU"/>
        </w:rPr>
      </w:pPr>
      <w:r w:rsidRPr="002029AF">
        <w:rPr>
          <w:lang w:val="en-AU"/>
        </w:rPr>
        <w:t>Charge</w:t>
      </w:r>
      <w:r w:rsidR="000A5329" w:rsidRPr="002029AF">
        <w:rPr>
          <w:lang w:val="en-AU"/>
        </w:rPr>
        <w:t xml:space="preserve"> </w:t>
      </w:r>
      <w:r w:rsidRPr="002029AF">
        <w:rPr>
          <w:lang w:val="en-AU"/>
        </w:rPr>
        <w:t>for</w:t>
      </w:r>
      <w:r w:rsidR="000A5329" w:rsidRPr="002029AF">
        <w:rPr>
          <w:lang w:val="en-AU"/>
        </w:rPr>
        <w:t xml:space="preserve"> </w:t>
      </w:r>
      <w:r w:rsidRPr="002029AF">
        <w:rPr>
          <w:lang w:val="en-AU"/>
        </w:rPr>
        <w:t>the</w:t>
      </w:r>
      <w:r w:rsidR="000A5329" w:rsidRPr="002029AF">
        <w:rPr>
          <w:lang w:val="en-AU"/>
        </w:rPr>
        <w:t xml:space="preserve"> </w:t>
      </w:r>
      <w:r w:rsidRPr="002029AF">
        <w:rPr>
          <w:lang w:val="en-AU"/>
        </w:rPr>
        <w:t>period</w:t>
      </w:r>
    </w:p>
    <w:tbl>
      <w:tblPr>
        <w:tblStyle w:val="TableGrid"/>
        <w:tblW w:w="9637" w:type="dxa"/>
        <w:tblLayout w:type="fixed"/>
        <w:tblLook w:val="06A0" w:firstRow="1" w:lastRow="0" w:firstColumn="1" w:lastColumn="0" w:noHBand="1" w:noVBand="1"/>
      </w:tblPr>
      <w:tblGrid>
        <w:gridCol w:w="7371"/>
        <w:gridCol w:w="1133"/>
        <w:gridCol w:w="1133"/>
      </w:tblGrid>
      <w:tr w:rsidR="00087B91" w:rsidRPr="002029AF" w14:paraId="614AB1C6"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7371" w:type="dxa"/>
            <w:tcBorders>
              <w:bottom w:val="single" w:sz="4" w:space="0" w:color="auto"/>
            </w:tcBorders>
            <w:noWrap/>
            <w:hideMark/>
          </w:tcPr>
          <w:p w14:paraId="452EB26F" w14:textId="77777777" w:rsidR="00087B91" w:rsidRPr="002029AF" w:rsidRDefault="00087B91" w:rsidP="00860E95">
            <w:pPr>
              <w:pStyle w:val="ARfintablecolhead"/>
            </w:pPr>
          </w:p>
        </w:tc>
        <w:tc>
          <w:tcPr>
            <w:tcW w:w="1133" w:type="dxa"/>
            <w:tcBorders>
              <w:bottom w:val="single" w:sz="4" w:space="0" w:color="auto"/>
            </w:tcBorders>
            <w:shd w:val="clear" w:color="auto" w:fill="E7E6E6"/>
            <w:hideMark/>
          </w:tcPr>
          <w:p w14:paraId="2B80147B" w14:textId="77777777" w:rsidR="00087B91" w:rsidRPr="002029AF" w:rsidRDefault="00087B91" w:rsidP="00860E95">
            <w:pPr>
              <w:pStyle w:val="ARfintablecolheadright"/>
            </w:pPr>
            <w:r w:rsidRPr="002029AF">
              <w:t>2020</w:t>
            </w:r>
          </w:p>
          <w:p w14:paraId="6B9E8973" w14:textId="77777777" w:rsidR="00087B91" w:rsidRPr="002029AF" w:rsidRDefault="00087B91" w:rsidP="00860E95">
            <w:pPr>
              <w:pStyle w:val="ARfintablecolheadright"/>
            </w:pPr>
            <w:r w:rsidRPr="002029AF">
              <w:t>$M</w:t>
            </w:r>
          </w:p>
        </w:tc>
        <w:tc>
          <w:tcPr>
            <w:tcW w:w="1133" w:type="dxa"/>
            <w:tcBorders>
              <w:bottom w:val="single" w:sz="4" w:space="0" w:color="auto"/>
            </w:tcBorders>
            <w:hideMark/>
          </w:tcPr>
          <w:p w14:paraId="3C0BE7A8" w14:textId="77777777" w:rsidR="00087B91" w:rsidRPr="002029AF" w:rsidRDefault="00087B91" w:rsidP="00860E95">
            <w:pPr>
              <w:pStyle w:val="ARfintablecolheadright"/>
            </w:pPr>
            <w:r w:rsidRPr="002029AF">
              <w:t>2019</w:t>
            </w:r>
          </w:p>
          <w:p w14:paraId="2FC2DAA5" w14:textId="77777777" w:rsidR="00087B91" w:rsidRPr="002029AF" w:rsidRDefault="00087B91" w:rsidP="00860E95">
            <w:pPr>
              <w:pStyle w:val="ARfintablecolheadright"/>
            </w:pPr>
            <w:r w:rsidRPr="002029AF">
              <w:t>$M</w:t>
            </w:r>
          </w:p>
        </w:tc>
      </w:tr>
      <w:tr w:rsidR="00087B91" w:rsidRPr="002029AF" w14:paraId="17329F76" w14:textId="77777777" w:rsidTr="00860E95">
        <w:trPr>
          <w:trHeight w:val="255"/>
        </w:trPr>
        <w:tc>
          <w:tcPr>
            <w:tcW w:w="7371" w:type="dxa"/>
            <w:tcBorders>
              <w:top w:val="single" w:sz="4" w:space="0" w:color="auto"/>
              <w:bottom w:val="single" w:sz="4" w:space="0" w:color="A6A6A6"/>
            </w:tcBorders>
            <w:hideMark/>
          </w:tcPr>
          <w:p w14:paraId="0992DDDD" w14:textId="77777777" w:rsidR="00087B91" w:rsidRPr="002029AF" w:rsidRDefault="00087B91" w:rsidP="00860E95">
            <w:pPr>
              <w:pStyle w:val="ARfintablebodybold"/>
            </w:pPr>
            <w:r w:rsidRPr="002029AF">
              <w:t>Buildings</w:t>
            </w:r>
          </w:p>
        </w:tc>
        <w:tc>
          <w:tcPr>
            <w:tcW w:w="1133" w:type="dxa"/>
            <w:tcBorders>
              <w:top w:val="single" w:sz="4" w:space="0" w:color="auto"/>
              <w:bottom w:val="single" w:sz="4" w:space="0" w:color="A6A6A6"/>
            </w:tcBorders>
            <w:shd w:val="clear" w:color="auto" w:fill="E7E6E6"/>
            <w:noWrap/>
            <w:hideMark/>
          </w:tcPr>
          <w:p w14:paraId="62560E19" w14:textId="77777777" w:rsidR="00087B91" w:rsidRPr="002029AF" w:rsidRDefault="00087B91" w:rsidP="00860E95">
            <w:pPr>
              <w:pStyle w:val="ARfintablebodyrightbold"/>
            </w:pPr>
            <w:r w:rsidRPr="002029AF">
              <w:t>321.3</w:t>
            </w:r>
          </w:p>
        </w:tc>
        <w:tc>
          <w:tcPr>
            <w:tcW w:w="1133" w:type="dxa"/>
            <w:tcBorders>
              <w:top w:val="single" w:sz="4" w:space="0" w:color="auto"/>
              <w:bottom w:val="single" w:sz="4" w:space="0" w:color="A6A6A6"/>
            </w:tcBorders>
            <w:noWrap/>
            <w:hideMark/>
          </w:tcPr>
          <w:p w14:paraId="1A67B25F" w14:textId="77777777" w:rsidR="00087B91" w:rsidRPr="002029AF" w:rsidRDefault="00087B91" w:rsidP="00860E95">
            <w:pPr>
              <w:pStyle w:val="ARfintablebodyrightbold"/>
            </w:pPr>
            <w:r w:rsidRPr="002029AF">
              <w:t>303.2</w:t>
            </w:r>
          </w:p>
        </w:tc>
      </w:tr>
      <w:tr w:rsidR="00087B91" w:rsidRPr="002029AF" w14:paraId="46963B2F" w14:textId="77777777" w:rsidTr="00860E95">
        <w:trPr>
          <w:trHeight w:val="255"/>
        </w:trPr>
        <w:tc>
          <w:tcPr>
            <w:tcW w:w="7371" w:type="dxa"/>
            <w:tcBorders>
              <w:top w:val="single" w:sz="4" w:space="0" w:color="A6A6A6"/>
              <w:bottom w:val="single" w:sz="4" w:space="0" w:color="A6A6A6"/>
            </w:tcBorders>
            <w:hideMark/>
          </w:tcPr>
          <w:p w14:paraId="0C1C2725" w14:textId="28405691" w:rsidR="00087B91" w:rsidRPr="002029AF" w:rsidRDefault="00087B91" w:rsidP="00860E95">
            <w:pPr>
              <w:pStyle w:val="ARfintablebodyindent"/>
            </w:pPr>
            <w:r w:rsidRPr="002029AF">
              <w:t>Health</w:t>
            </w:r>
            <w:r w:rsidR="000A5329" w:rsidRPr="002029AF">
              <w:t xml:space="preserve"> </w:t>
            </w:r>
            <w:r w:rsidRPr="002029AF">
              <w:t>and</w:t>
            </w:r>
            <w:r w:rsidR="000A5329" w:rsidRPr="002029AF">
              <w:t xml:space="preserve"> </w:t>
            </w:r>
            <w:r w:rsidRPr="002029AF">
              <w:t>Welfare</w:t>
            </w:r>
          </w:p>
        </w:tc>
        <w:tc>
          <w:tcPr>
            <w:tcW w:w="1133" w:type="dxa"/>
            <w:tcBorders>
              <w:top w:val="single" w:sz="4" w:space="0" w:color="A6A6A6"/>
              <w:bottom w:val="single" w:sz="4" w:space="0" w:color="A6A6A6"/>
            </w:tcBorders>
            <w:shd w:val="clear" w:color="auto" w:fill="E7E6E6"/>
            <w:noWrap/>
            <w:hideMark/>
          </w:tcPr>
          <w:p w14:paraId="2F166F8A" w14:textId="77777777" w:rsidR="00087B91" w:rsidRPr="002029AF" w:rsidRDefault="00087B91" w:rsidP="00860E95">
            <w:pPr>
              <w:pStyle w:val="ARfintablebodyright"/>
            </w:pPr>
            <w:r w:rsidRPr="002029AF">
              <w:t>12.6</w:t>
            </w:r>
          </w:p>
        </w:tc>
        <w:tc>
          <w:tcPr>
            <w:tcW w:w="1133" w:type="dxa"/>
            <w:tcBorders>
              <w:top w:val="single" w:sz="4" w:space="0" w:color="A6A6A6"/>
              <w:bottom w:val="single" w:sz="4" w:space="0" w:color="A6A6A6"/>
            </w:tcBorders>
            <w:noWrap/>
            <w:hideMark/>
          </w:tcPr>
          <w:p w14:paraId="0AC1C459" w14:textId="77777777" w:rsidR="00087B91" w:rsidRPr="002029AF" w:rsidRDefault="00087B91" w:rsidP="00860E95">
            <w:pPr>
              <w:pStyle w:val="ARfintablebodyright"/>
            </w:pPr>
            <w:r w:rsidRPr="002029AF">
              <w:t>29.8</w:t>
            </w:r>
          </w:p>
        </w:tc>
      </w:tr>
      <w:tr w:rsidR="00087B91" w:rsidRPr="002029AF" w14:paraId="553D9BC7" w14:textId="77777777" w:rsidTr="00860E95">
        <w:trPr>
          <w:trHeight w:val="255"/>
        </w:trPr>
        <w:tc>
          <w:tcPr>
            <w:tcW w:w="7371" w:type="dxa"/>
            <w:tcBorders>
              <w:top w:val="single" w:sz="4" w:space="0" w:color="A6A6A6"/>
              <w:bottom w:val="single" w:sz="4" w:space="0" w:color="A6A6A6"/>
            </w:tcBorders>
            <w:hideMark/>
          </w:tcPr>
          <w:p w14:paraId="0C696467" w14:textId="5CCC6212" w:rsidR="00087B91" w:rsidRPr="002029AF" w:rsidRDefault="00087B91" w:rsidP="00860E95">
            <w:pPr>
              <w:pStyle w:val="ARfintablebodyindent"/>
            </w:pPr>
            <w:r w:rsidRPr="002029AF">
              <w:t>Public</w:t>
            </w:r>
            <w:r w:rsidR="000A5329" w:rsidRPr="002029AF">
              <w:t xml:space="preserve"> </w:t>
            </w:r>
            <w:r w:rsidRPr="002029AF">
              <w:t>Administration</w:t>
            </w:r>
          </w:p>
        </w:tc>
        <w:tc>
          <w:tcPr>
            <w:tcW w:w="1133" w:type="dxa"/>
            <w:tcBorders>
              <w:top w:val="single" w:sz="4" w:space="0" w:color="A6A6A6"/>
              <w:bottom w:val="single" w:sz="4" w:space="0" w:color="A6A6A6"/>
            </w:tcBorders>
            <w:shd w:val="clear" w:color="auto" w:fill="E7E6E6"/>
            <w:noWrap/>
            <w:hideMark/>
          </w:tcPr>
          <w:p w14:paraId="423D6D3A" w14:textId="77777777" w:rsidR="00087B91" w:rsidRPr="002029AF" w:rsidRDefault="00087B91" w:rsidP="00860E95">
            <w:pPr>
              <w:pStyle w:val="ARfintablebodyright"/>
            </w:pPr>
            <w:r w:rsidRPr="002029AF">
              <w:t>–</w:t>
            </w:r>
          </w:p>
        </w:tc>
        <w:tc>
          <w:tcPr>
            <w:tcW w:w="1133" w:type="dxa"/>
            <w:tcBorders>
              <w:top w:val="single" w:sz="4" w:space="0" w:color="A6A6A6"/>
              <w:bottom w:val="single" w:sz="4" w:space="0" w:color="A6A6A6"/>
            </w:tcBorders>
            <w:noWrap/>
            <w:hideMark/>
          </w:tcPr>
          <w:p w14:paraId="4994318C" w14:textId="77777777" w:rsidR="00087B91" w:rsidRPr="002029AF" w:rsidRDefault="00087B91" w:rsidP="00860E95">
            <w:pPr>
              <w:pStyle w:val="ARfintablebodyright"/>
            </w:pPr>
            <w:r w:rsidRPr="002029AF">
              <w:t>0.6</w:t>
            </w:r>
          </w:p>
        </w:tc>
      </w:tr>
      <w:tr w:rsidR="00087B91" w:rsidRPr="002029AF" w14:paraId="4FF1E0AF" w14:textId="77777777" w:rsidTr="00860E95">
        <w:trPr>
          <w:trHeight w:val="255"/>
        </w:trPr>
        <w:tc>
          <w:tcPr>
            <w:tcW w:w="7371" w:type="dxa"/>
            <w:tcBorders>
              <w:top w:val="single" w:sz="4" w:space="0" w:color="A6A6A6"/>
              <w:bottom w:val="single" w:sz="4" w:space="0" w:color="A6A6A6"/>
            </w:tcBorders>
            <w:hideMark/>
          </w:tcPr>
          <w:p w14:paraId="378E0BEB" w14:textId="77777777" w:rsidR="00087B91" w:rsidRPr="002029AF" w:rsidRDefault="00087B91" w:rsidP="00860E95">
            <w:pPr>
              <w:pStyle w:val="ARfintablebodyindent"/>
            </w:pPr>
            <w:r w:rsidRPr="002029AF">
              <w:t>Housing</w:t>
            </w:r>
          </w:p>
        </w:tc>
        <w:tc>
          <w:tcPr>
            <w:tcW w:w="1133" w:type="dxa"/>
            <w:tcBorders>
              <w:top w:val="single" w:sz="4" w:space="0" w:color="A6A6A6"/>
              <w:bottom w:val="single" w:sz="4" w:space="0" w:color="A6A6A6"/>
            </w:tcBorders>
            <w:shd w:val="clear" w:color="auto" w:fill="E7E6E6"/>
            <w:noWrap/>
            <w:hideMark/>
          </w:tcPr>
          <w:p w14:paraId="5F6BFC0E" w14:textId="77777777" w:rsidR="00087B91" w:rsidRPr="002029AF" w:rsidRDefault="00087B91" w:rsidP="00860E95">
            <w:pPr>
              <w:pStyle w:val="ARfintablebodyright"/>
            </w:pPr>
            <w:r w:rsidRPr="002029AF">
              <w:t>308.7</w:t>
            </w:r>
          </w:p>
        </w:tc>
        <w:tc>
          <w:tcPr>
            <w:tcW w:w="1133" w:type="dxa"/>
            <w:tcBorders>
              <w:top w:val="single" w:sz="4" w:space="0" w:color="A6A6A6"/>
              <w:bottom w:val="single" w:sz="4" w:space="0" w:color="A6A6A6"/>
            </w:tcBorders>
            <w:noWrap/>
            <w:hideMark/>
          </w:tcPr>
          <w:p w14:paraId="4CB17C14" w14:textId="77777777" w:rsidR="00087B91" w:rsidRPr="002029AF" w:rsidRDefault="00087B91" w:rsidP="00860E95">
            <w:pPr>
              <w:pStyle w:val="ARfintablebodyright"/>
            </w:pPr>
            <w:r w:rsidRPr="002029AF">
              <w:t>272.8</w:t>
            </w:r>
          </w:p>
        </w:tc>
      </w:tr>
      <w:tr w:rsidR="00087B91" w:rsidRPr="002029AF" w14:paraId="69CC93F8" w14:textId="77777777" w:rsidTr="00860E95">
        <w:trPr>
          <w:trHeight w:val="255"/>
        </w:trPr>
        <w:tc>
          <w:tcPr>
            <w:tcW w:w="7371" w:type="dxa"/>
            <w:tcBorders>
              <w:top w:val="single" w:sz="4" w:space="0" w:color="A6A6A6"/>
              <w:bottom w:val="single" w:sz="4" w:space="0" w:color="A6A6A6"/>
            </w:tcBorders>
            <w:hideMark/>
          </w:tcPr>
          <w:p w14:paraId="0D45761D" w14:textId="295D4950" w:rsidR="00087B91" w:rsidRPr="002029AF" w:rsidRDefault="00087B91" w:rsidP="00860E95">
            <w:pPr>
              <w:pStyle w:val="ARfintablebodybold"/>
            </w:pPr>
            <w:r w:rsidRPr="002029AF">
              <w:t>Plant,</w:t>
            </w:r>
            <w:r w:rsidR="000A5329" w:rsidRPr="002029AF">
              <w:t xml:space="preserve"> </w:t>
            </w:r>
            <w:r w:rsidRPr="002029AF">
              <w:t>equipment</w:t>
            </w:r>
            <w:r w:rsidR="000A5329" w:rsidRPr="002029AF">
              <w:t xml:space="preserve"> </w:t>
            </w:r>
            <w:r w:rsidRPr="002029AF">
              <w:t>and</w:t>
            </w:r>
            <w:r w:rsidR="000A5329" w:rsidRPr="002029AF">
              <w:t xml:space="preserve"> </w:t>
            </w:r>
            <w:r w:rsidRPr="002029AF">
              <w:t>vehicles</w:t>
            </w:r>
          </w:p>
        </w:tc>
        <w:tc>
          <w:tcPr>
            <w:tcW w:w="1133" w:type="dxa"/>
            <w:tcBorders>
              <w:top w:val="single" w:sz="4" w:space="0" w:color="A6A6A6"/>
              <w:bottom w:val="single" w:sz="4" w:space="0" w:color="A6A6A6"/>
            </w:tcBorders>
            <w:shd w:val="clear" w:color="auto" w:fill="E7E6E6"/>
            <w:noWrap/>
            <w:hideMark/>
          </w:tcPr>
          <w:p w14:paraId="3CD0F686" w14:textId="77777777" w:rsidR="00087B91" w:rsidRPr="002029AF" w:rsidRDefault="00087B91" w:rsidP="00860E95">
            <w:pPr>
              <w:pStyle w:val="ARfintablebodyrightbold"/>
            </w:pPr>
            <w:r w:rsidRPr="002029AF">
              <w:t>3.2</w:t>
            </w:r>
          </w:p>
        </w:tc>
        <w:tc>
          <w:tcPr>
            <w:tcW w:w="1133" w:type="dxa"/>
            <w:tcBorders>
              <w:top w:val="single" w:sz="4" w:space="0" w:color="A6A6A6"/>
              <w:bottom w:val="single" w:sz="4" w:space="0" w:color="A6A6A6"/>
            </w:tcBorders>
            <w:noWrap/>
            <w:hideMark/>
          </w:tcPr>
          <w:p w14:paraId="378E512A" w14:textId="77777777" w:rsidR="00087B91" w:rsidRPr="002029AF" w:rsidRDefault="00087B91" w:rsidP="00860E95">
            <w:pPr>
              <w:pStyle w:val="ARfintablebodyrightbold"/>
            </w:pPr>
            <w:r w:rsidRPr="002029AF">
              <w:t>4.8</w:t>
            </w:r>
          </w:p>
        </w:tc>
      </w:tr>
      <w:tr w:rsidR="00087B91" w:rsidRPr="002029AF" w14:paraId="1C74AC56" w14:textId="77777777" w:rsidTr="00860E95">
        <w:trPr>
          <w:trHeight w:val="255"/>
        </w:trPr>
        <w:tc>
          <w:tcPr>
            <w:tcW w:w="7371" w:type="dxa"/>
            <w:tcBorders>
              <w:top w:val="single" w:sz="4" w:space="0" w:color="A6A6A6"/>
              <w:bottom w:val="single" w:sz="4" w:space="0" w:color="A6A6A6"/>
            </w:tcBorders>
            <w:hideMark/>
          </w:tcPr>
          <w:p w14:paraId="68557785" w14:textId="703A5C0D" w:rsidR="00087B91" w:rsidRPr="002029AF" w:rsidRDefault="00087B91" w:rsidP="00860E95">
            <w:pPr>
              <w:pStyle w:val="ARfintablebodyindent"/>
            </w:pPr>
            <w:r w:rsidRPr="002029AF">
              <w:t>Health</w:t>
            </w:r>
            <w:r w:rsidR="000A5329" w:rsidRPr="002029AF">
              <w:t xml:space="preserve"> </w:t>
            </w:r>
            <w:r w:rsidRPr="002029AF">
              <w:t>and</w:t>
            </w:r>
            <w:r w:rsidR="000A5329" w:rsidRPr="002029AF">
              <w:t xml:space="preserve"> </w:t>
            </w:r>
            <w:r w:rsidRPr="002029AF">
              <w:t>Welfare</w:t>
            </w:r>
          </w:p>
        </w:tc>
        <w:tc>
          <w:tcPr>
            <w:tcW w:w="1133" w:type="dxa"/>
            <w:tcBorders>
              <w:top w:val="single" w:sz="4" w:space="0" w:color="A6A6A6"/>
              <w:bottom w:val="single" w:sz="4" w:space="0" w:color="A6A6A6"/>
            </w:tcBorders>
            <w:shd w:val="clear" w:color="auto" w:fill="E7E6E6"/>
            <w:noWrap/>
            <w:hideMark/>
          </w:tcPr>
          <w:p w14:paraId="31D70EC5" w14:textId="77777777" w:rsidR="00087B91" w:rsidRPr="002029AF" w:rsidRDefault="00087B91" w:rsidP="00860E95">
            <w:pPr>
              <w:pStyle w:val="ARfintablebodyright"/>
            </w:pPr>
            <w:r w:rsidRPr="002029AF">
              <w:t>3.0</w:t>
            </w:r>
          </w:p>
        </w:tc>
        <w:tc>
          <w:tcPr>
            <w:tcW w:w="1133" w:type="dxa"/>
            <w:tcBorders>
              <w:top w:val="single" w:sz="4" w:space="0" w:color="A6A6A6"/>
              <w:bottom w:val="single" w:sz="4" w:space="0" w:color="A6A6A6"/>
            </w:tcBorders>
            <w:noWrap/>
            <w:hideMark/>
          </w:tcPr>
          <w:p w14:paraId="225E7329" w14:textId="77777777" w:rsidR="00087B91" w:rsidRPr="002029AF" w:rsidRDefault="00087B91" w:rsidP="00860E95">
            <w:pPr>
              <w:pStyle w:val="ARfintablebodyright"/>
            </w:pPr>
            <w:r w:rsidRPr="002029AF">
              <w:t>4.2</w:t>
            </w:r>
          </w:p>
        </w:tc>
      </w:tr>
      <w:tr w:rsidR="00087B91" w:rsidRPr="002029AF" w14:paraId="45BB2F18" w14:textId="77777777" w:rsidTr="00860E95">
        <w:trPr>
          <w:trHeight w:val="255"/>
        </w:trPr>
        <w:tc>
          <w:tcPr>
            <w:tcW w:w="7371" w:type="dxa"/>
            <w:tcBorders>
              <w:top w:val="single" w:sz="4" w:space="0" w:color="A6A6A6"/>
              <w:bottom w:val="single" w:sz="4" w:space="0" w:color="A6A6A6"/>
            </w:tcBorders>
            <w:hideMark/>
          </w:tcPr>
          <w:p w14:paraId="43041ACF" w14:textId="77777777" w:rsidR="00087B91" w:rsidRPr="002029AF" w:rsidRDefault="00087B91" w:rsidP="00860E95">
            <w:pPr>
              <w:pStyle w:val="ARfintablebodyindent"/>
            </w:pPr>
            <w:r w:rsidRPr="002029AF">
              <w:t>Housing</w:t>
            </w:r>
          </w:p>
        </w:tc>
        <w:tc>
          <w:tcPr>
            <w:tcW w:w="1133" w:type="dxa"/>
            <w:tcBorders>
              <w:top w:val="single" w:sz="4" w:space="0" w:color="A6A6A6"/>
              <w:bottom w:val="single" w:sz="4" w:space="0" w:color="A6A6A6"/>
            </w:tcBorders>
            <w:shd w:val="clear" w:color="auto" w:fill="E7E6E6"/>
            <w:noWrap/>
            <w:hideMark/>
          </w:tcPr>
          <w:p w14:paraId="0F85608D" w14:textId="77777777" w:rsidR="00087B91" w:rsidRPr="002029AF" w:rsidRDefault="00087B91" w:rsidP="00860E95">
            <w:pPr>
              <w:pStyle w:val="ARfintablebodyright"/>
            </w:pPr>
            <w:r w:rsidRPr="002029AF">
              <w:t>0.3</w:t>
            </w:r>
          </w:p>
        </w:tc>
        <w:tc>
          <w:tcPr>
            <w:tcW w:w="1133" w:type="dxa"/>
            <w:tcBorders>
              <w:top w:val="single" w:sz="4" w:space="0" w:color="A6A6A6"/>
              <w:bottom w:val="single" w:sz="4" w:space="0" w:color="A6A6A6"/>
            </w:tcBorders>
            <w:noWrap/>
            <w:hideMark/>
          </w:tcPr>
          <w:p w14:paraId="0AD5C38A" w14:textId="77777777" w:rsidR="00087B91" w:rsidRPr="002029AF" w:rsidRDefault="00087B91" w:rsidP="00860E95">
            <w:pPr>
              <w:pStyle w:val="ARfintablebodyright"/>
            </w:pPr>
            <w:r w:rsidRPr="002029AF">
              <w:t>0.6</w:t>
            </w:r>
          </w:p>
        </w:tc>
      </w:tr>
      <w:tr w:rsidR="00087B91" w:rsidRPr="002029AF" w14:paraId="19A97233" w14:textId="77777777" w:rsidTr="00860E95">
        <w:trPr>
          <w:trHeight w:val="255"/>
        </w:trPr>
        <w:tc>
          <w:tcPr>
            <w:tcW w:w="7371" w:type="dxa"/>
            <w:tcBorders>
              <w:top w:val="single" w:sz="4" w:space="0" w:color="A6A6A6"/>
              <w:bottom w:val="single" w:sz="4" w:space="0" w:color="A6A6A6"/>
            </w:tcBorders>
            <w:hideMark/>
          </w:tcPr>
          <w:p w14:paraId="390A7AC5" w14:textId="7BC4C465" w:rsidR="00087B91" w:rsidRPr="002029AF" w:rsidRDefault="00087B91" w:rsidP="00860E95">
            <w:pPr>
              <w:pStyle w:val="ARfintablebodybold"/>
            </w:pPr>
            <w:r w:rsidRPr="002029AF">
              <w:t>Intangible</w:t>
            </w:r>
            <w:r w:rsidR="000A5329" w:rsidRPr="002029AF">
              <w:t xml:space="preserve"> </w:t>
            </w:r>
            <w:r w:rsidRPr="002029AF">
              <w:t>assets</w:t>
            </w:r>
          </w:p>
        </w:tc>
        <w:tc>
          <w:tcPr>
            <w:tcW w:w="1133" w:type="dxa"/>
            <w:tcBorders>
              <w:top w:val="single" w:sz="4" w:space="0" w:color="A6A6A6"/>
              <w:bottom w:val="single" w:sz="4" w:space="0" w:color="A6A6A6"/>
            </w:tcBorders>
            <w:shd w:val="clear" w:color="auto" w:fill="E7E6E6"/>
            <w:noWrap/>
            <w:hideMark/>
          </w:tcPr>
          <w:p w14:paraId="6214A33E" w14:textId="77777777" w:rsidR="00087B91" w:rsidRPr="002029AF" w:rsidRDefault="00087B91" w:rsidP="00860E95">
            <w:pPr>
              <w:pStyle w:val="ARfintablebodyrightbold"/>
            </w:pPr>
            <w:r w:rsidRPr="002029AF">
              <w:t>25.7</w:t>
            </w:r>
          </w:p>
        </w:tc>
        <w:tc>
          <w:tcPr>
            <w:tcW w:w="1133" w:type="dxa"/>
            <w:tcBorders>
              <w:top w:val="single" w:sz="4" w:space="0" w:color="A6A6A6"/>
              <w:bottom w:val="single" w:sz="4" w:space="0" w:color="A6A6A6"/>
            </w:tcBorders>
            <w:noWrap/>
            <w:hideMark/>
          </w:tcPr>
          <w:p w14:paraId="4CC76CE5" w14:textId="77777777" w:rsidR="00087B91" w:rsidRPr="002029AF" w:rsidRDefault="00087B91" w:rsidP="00860E95">
            <w:pPr>
              <w:pStyle w:val="ARfintablebodyrightbold"/>
            </w:pPr>
            <w:r w:rsidRPr="002029AF">
              <w:t>20.3</w:t>
            </w:r>
          </w:p>
        </w:tc>
      </w:tr>
      <w:tr w:rsidR="00087B91" w:rsidRPr="002029AF" w14:paraId="3CB2FE36" w14:textId="77777777" w:rsidTr="00860E95">
        <w:trPr>
          <w:trHeight w:val="255"/>
        </w:trPr>
        <w:tc>
          <w:tcPr>
            <w:tcW w:w="7371" w:type="dxa"/>
            <w:tcBorders>
              <w:top w:val="single" w:sz="4" w:space="0" w:color="A6A6A6"/>
              <w:bottom w:val="single" w:sz="4" w:space="0" w:color="A6A6A6"/>
            </w:tcBorders>
            <w:hideMark/>
          </w:tcPr>
          <w:p w14:paraId="148EBC50" w14:textId="3FE89738" w:rsidR="00087B91" w:rsidRPr="002029AF" w:rsidRDefault="00087B91" w:rsidP="00860E95">
            <w:pPr>
              <w:pStyle w:val="ARfintablebodyindent"/>
            </w:pPr>
            <w:r w:rsidRPr="002029AF">
              <w:t>Health</w:t>
            </w:r>
            <w:r w:rsidR="000A5329" w:rsidRPr="002029AF">
              <w:t xml:space="preserve"> </w:t>
            </w:r>
            <w:r w:rsidRPr="002029AF">
              <w:t>and</w:t>
            </w:r>
            <w:r w:rsidR="000A5329" w:rsidRPr="002029AF">
              <w:t xml:space="preserve"> </w:t>
            </w:r>
            <w:r w:rsidRPr="002029AF">
              <w:t>Welfare</w:t>
            </w:r>
          </w:p>
        </w:tc>
        <w:tc>
          <w:tcPr>
            <w:tcW w:w="1133" w:type="dxa"/>
            <w:tcBorders>
              <w:top w:val="single" w:sz="4" w:space="0" w:color="A6A6A6"/>
              <w:bottom w:val="single" w:sz="4" w:space="0" w:color="A6A6A6"/>
            </w:tcBorders>
            <w:shd w:val="clear" w:color="auto" w:fill="E7E6E6"/>
            <w:noWrap/>
            <w:hideMark/>
          </w:tcPr>
          <w:p w14:paraId="42DAFBDD" w14:textId="77777777" w:rsidR="00087B91" w:rsidRPr="002029AF" w:rsidRDefault="00087B91" w:rsidP="00860E95">
            <w:pPr>
              <w:pStyle w:val="ARfintablebodyright"/>
            </w:pPr>
            <w:r w:rsidRPr="002029AF">
              <w:t>17.5</w:t>
            </w:r>
          </w:p>
        </w:tc>
        <w:tc>
          <w:tcPr>
            <w:tcW w:w="1133" w:type="dxa"/>
            <w:tcBorders>
              <w:top w:val="single" w:sz="4" w:space="0" w:color="A6A6A6"/>
              <w:bottom w:val="single" w:sz="4" w:space="0" w:color="A6A6A6"/>
            </w:tcBorders>
            <w:noWrap/>
            <w:hideMark/>
          </w:tcPr>
          <w:p w14:paraId="65FD2CF7" w14:textId="77777777" w:rsidR="00087B91" w:rsidRPr="002029AF" w:rsidRDefault="00087B91" w:rsidP="00860E95">
            <w:pPr>
              <w:pStyle w:val="ARfintablebodyright"/>
            </w:pPr>
            <w:r w:rsidRPr="002029AF">
              <w:t>12.0</w:t>
            </w:r>
          </w:p>
        </w:tc>
      </w:tr>
      <w:tr w:rsidR="00087B91" w:rsidRPr="002029AF" w14:paraId="785D1054" w14:textId="77777777" w:rsidTr="00860E95">
        <w:trPr>
          <w:trHeight w:val="255"/>
        </w:trPr>
        <w:tc>
          <w:tcPr>
            <w:tcW w:w="7371" w:type="dxa"/>
            <w:tcBorders>
              <w:top w:val="single" w:sz="4" w:space="0" w:color="A6A6A6"/>
              <w:bottom w:val="single" w:sz="4" w:space="0" w:color="A6A6A6"/>
            </w:tcBorders>
            <w:hideMark/>
          </w:tcPr>
          <w:p w14:paraId="39CF2879" w14:textId="77777777" w:rsidR="00087B91" w:rsidRPr="002029AF" w:rsidRDefault="00087B91" w:rsidP="00860E95">
            <w:pPr>
              <w:pStyle w:val="ARfintablebodyindent"/>
            </w:pPr>
            <w:r w:rsidRPr="002029AF">
              <w:t>Housing</w:t>
            </w:r>
          </w:p>
        </w:tc>
        <w:tc>
          <w:tcPr>
            <w:tcW w:w="1133" w:type="dxa"/>
            <w:tcBorders>
              <w:top w:val="single" w:sz="4" w:space="0" w:color="A6A6A6"/>
              <w:bottom w:val="single" w:sz="4" w:space="0" w:color="A6A6A6"/>
            </w:tcBorders>
            <w:shd w:val="clear" w:color="auto" w:fill="E7E6E6"/>
            <w:noWrap/>
            <w:hideMark/>
          </w:tcPr>
          <w:p w14:paraId="5B506F0A" w14:textId="77777777" w:rsidR="00087B91" w:rsidRPr="002029AF" w:rsidRDefault="00087B91" w:rsidP="00860E95">
            <w:pPr>
              <w:pStyle w:val="ARfintablebodyright"/>
            </w:pPr>
            <w:r w:rsidRPr="002029AF">
              <w:t>8.2</w:t>
            </w:r>
          </w:p>
        </w:tc>
        <w:tc>
          <w:tcPr>
            <w:tcW w:w="1133" w:type="dxa"/>
            <w:tcBorders>
              <w:top w:val="single" w:sz="4" w:space="0" w:color="A6A6A6"/>
              <w:bottom w:val="single" w:sz="4" w:space="0" w:color="A6A6A6"/>
            </w:tcBorders>
            <w:noWrap/>
            <w:hideMark/>
          </w:tcPr>
          <w:p w14:paraId="37C0BE9B" w14:textId="77777777" w:rsidR="00087B91" w:rsidRPr="002029AF" w:rsidRDefault="00087B91" w:rsidP="00860E95">
            <w:pPr>
              <w:pStyle w:val="ARfintablebodyright"/>
            </w:pPr>
            <w:r w:rsidRPr="002029AF">
              <w:t>8.3</w:t>
            </w:r>
          </w:p>
        </w:tc>
      </w:tr>
      <w:tr w:rsidR="00087B91" w:rsidRPr="002029AF" w14:paraId="4B942646" w14:textId="77777777" w:rsidTr="00860E95">
        <w:trPr>
          <w:trHeight w:val="255"/>
        </w:trPr>
        <w:tc>
          <w:tcPr>
            <w:tcW w:w="7371" w:type="dxa"/>
            <w:tcBorders>
              <w:top w:val="single" w:sz="4" w:space="0" w:color="A6A6A6"/>
              <w:bottom w:val="single" w:sz="4" w:space="0" w:color="A6A6A6"/>
            </w:tcBorders>
            <w:hideMark/>
          </w:tcPr>
          <w:p w14:paraId="2548666C" w14:textId="50470F42" w:rsidR="00087B91" w:rsidRPr="002029AF" w:rsidRDefault="00087B91" w:rsidP="00860E95">
            <w:pPr>
              <w:pStyle w:val="ARfintablebodybold"/>
            </w:pPr>
            <w:r w:rsidRPr="002029AF">
              <w:t>Motor</w:t>
            </w:r>
            <w:r w:rsidR="000A5329" w:rsidRPr="002029AF">
              <w:t xml:space="preserve"> </w:t>
            </w:r>
            <w:r w:rsidRPr="002029AF">
              <w:t>vehicles</w:t>
            </w:r>
            <w:r w:rsidR="000A5329" w:rsidRPr="002029AF">
              <w:t xml:space="preserve"> </w:t>
            </w:r>
            <w:r w:rsidRPr="002029AF">
              <w:t>under</w:t>
            </w:r>
            <w:r w:rsidR="000A5329" w:rsidRPr="002029AF">
              <w:t xml:space="preserve"> </w:t>
            </w:r>
            <w:r w:rsidRPr="002029AF">
              <w:t>finance</w:t>
            </w:r>
            <w:r w:rsidR="000A5329" w:rsidRPr="002029AF">
              <w:t xml:space="preserve"> </w:t>
            </w:r>
            <w:r w:rsidRPr="002029AF">
              <w:t>lease</w:t>
            </w:r>
          </w:p>
        </w:tc>
        <w:tc>
          <w:tcPr>
            <w:tcW w:w="1133" w:type="dxa"/>
            <w:tcBorders>
              <w:top w:val="single" w:sz="4" w:space="0" w:color="A6A6A6"/>
              <w:bottom w:val="single" w:sz="4" w:space="0" w:color="A6A6A6"/>
            </w:tcBorders>
            <w:shd w:val="clear" w:color="auto" w:fill="E7E6E6"/>
            <w:noWrap/>
            <w:hideMark/>
          </w:tcPr>
          <w:p w14:paraId="658DF31B" w14:textId="77777777" w:rsidR="00087B91" w:rsidRPr="002029AF" w:rsidRDefault="00087B91" w:rsidP="00860E95">
            <w:pPr>
              <w:pStyle w:val="ARfintablebodyrightbold"/>
            </w:pPr>
            <w:r w:rsidRPr="002029AF">
              <w:t>–</w:t>
            </w:r>
          </w:p>
        </w:tc>
        <w:tc>
          <w:tcPr>
            <w:tcW w:w="1133" w:type="dxa"/>
            <w:tcBorders>
              <w:top w:val="single" w:sz="4" w:space="0" w:color="A6A6A6"/>
              <w:bottom w:val="single" w:sz="4" w:space="0" w:color="A6A6A6"/>
            </w:tcBorders>
            <w:noWrap/>
            <w:hideMark/>
          </w:tcPr>
          <w:p w14:paraId="11B443A7" w14:textId="77777777" w:rsidR="00087B91" w:rsidRPr="002029AF" w:rsidRDefault="00087B91" w:rsidP="00860E95">
            <w:pPr>
              <w:pStyle w:val="ARfintablebodyrightbold"/>
            </w:pPr>
            <w:r w:rsidRPr="002029AF">
              <w:t>12.9</w:t>
            </w:r>
          </w:p>
        </w:tc>
      </w:tr>
      <w:tr w:rsidR="00087B91" w:rsidRPr="002029AF" w14:paraId="63696F1C" w14:textId="77777777" w:rsidTr="00860E95">
        <w:trPr>
          <w:trHeight w:val="255"/>
        </w:trPr>
        <w:tc>
          <w:tcPr>
            <w:tcW w:w="7371" w:type="dxa"/>
            <w:tcBorders>
              <w:top w:val="single" w:sz="4" w:space="0" w:color="A6A6A6"/>
              <w:bottom w:val="single" w:sz="4" w:space="0" w:color="A6A6A6"/>
            </w:tcBorders>
            <w:hideMark/>
          </w:tcPr>
          <w:p w14:paraId="0D8D25A6" w14:textId="47ABBD66" w:rsidR="00087B91" w:rsidRPr="002029AF" w:rsidRDefault="00087B91" w:rsidP="00860E95">
            <w:pPr>
              <w:pStyle w:val="ARfintablebodyindent"/>
            </w:pPr>
            <w:r w:rsidRPr="002029AF">
              <w:t>Health</w:t>
            </w:r>
            <w:r w:rsidR="000A5329" w:rsidRPr="002029AF">
              <w:t xml:space="preserve"> </w:t>
            </w:r>
            <w:r w:rsidRPr="002029AF">
              <w:t>and</w:t>
            </w:r>
            <w:r w:rsidR="000A5329" w:rsidRPr="002029AF">
              <w:t xml:space="preserve"> </w:t>
            </w:r>
            <w:r w:rsidRPr="002029AF">
              <w:t>Welfare</w:t>
            </w:r>
          </w:p>
        </w:tc>
        <w:tc>
          <w:tcPr>
            <w:tcW w:w="1133" w:type="dxa"/>
            <w:tcBorders>
              <w:top w:val="single" w:sz="4" w:space="0" w:color="A6A6A6"/>
              <w:bottom w:val="single" w:sz="4" w:space="0" w:color="A6A6A6"/>
            </w:tcBorders>
            <w:shd w:val="clear" w:color="auto" w:fill="E7E6E6"/>
            <w:noWrap/>
            <w:hideMark/>
          </w:tcPr>
          <w:p w14:paraId="7AE9F917" w14:textId="77777777" w:rsidR="00087B91" w:rsidRPr="002029AF" w:rsidRDefault="00087B91" w:rsidP="00860E95">
            <w:pPr>
              <w:pStyle w:val="ARfintablebodyright"/>
            </w:pPr>
            <w:r w:rsidRPr="002029AF">
              <w:t>–</w:t>
            </w:r>
          </w:p>
        </w:tc>
        <w:tc>
          <w:tcPr>
            <w:tcW w:w="1133" w:type="dxa"/>
            <w:tcBorders>
              <w:top w:val="single" w:sz="4" w:space="0" w:color="A6A6A6"/>
              <w:bottom w:val="single" w:sz="4" w:space="0" w:color="A6A6A6"/>
            </w:tcBorders>
            <w:noWrap/>
            <w:hideMark/>
          </w:tcPr>
          <w:p w14:paraId="7D05D280" w14:textId="77777777" w:rsidR="00087B91" w:rsidRPr="002029AF" w:rsidRDefault="00087B91" w:rsidP="00860E95">
            <w:pPr>
              <w:pStyle w:val="ARfintablebodyright"/>
            </w:pPr>
            <w:r w:rsidRPr="002029AF">
              <w:t>12.9</w:t>
            </w:r>
          </w:p>
        </w:tc>
      </w:tr>
      <w:tr w:rsidR="00087B91" w:rsidRPr="002029AF" w14:paraId="3C60E69F" w14:textId="77777777" w:rsidTr="00860E95">
        <w:trPr>
          <w:trHeight w:val="255"/>
        </w:trPr>
        <w:tc>
          <w:tcPr>
            <w:tcW w:w="7371" w:type="dxa"/>
            <w:tcBorders>
              <w:top w:val="single" w:sz="4" w:space="0" w:color="A6A6A6"/>
              <w:bottom w:val="single" w:sz="4" w:space="0" w:color="A6A6A6"/>
            </w:tcBorders>
            <w:hideMark/>
          </w:tcPr>
          <w:p w14:paraId="5ED873B1" w14:textId="324A3F18" w:rsidR="00087B91" w:rsidRPr="002029AF" w:rsidRDefault="00087B91" w:rsidP="00860E95">
            <w:pPr>
              <w:pStyle w:val="ARfintablebodybold"/>
            </w:pPr>
            <w:r w:rsidRPr="002029AF">
              <w:t>Right-of-use</w:t>
            </w:r>
            <w:r w:rsidR="000A5329" w:rsidRPr="002029AF">
              <w:t xml:space="preserve"> </w:t>
            </w:r>
            <w:r w:rsidRPr="002029AF">
              <w:t>assets</w:t>
            </w:r>
          </w:p>
        </w:tc>
        <w:tc>
          <w:tcPr>
            <w:tcW w:w="1133" w:type="dxa"/>
            <w:tcBorders>
              <w:top w:val="single" w:sz="4" w:space="0" w:color="A6A6A6"/>
              <w:bottom w:val="single" w:sz="4" w:space="0" w:color="A6A6A6"/>
            </w:tcBorders>
            <w:shd w:val="clear" w:color="auto" w:fill="E7E6E6"/>
            <w:noWrap/>
            <w:hideMark/>
          </w:tcPr>
          <w:p w14:paraId="30DB2412" w14:textId="77777777" w:rsidR="00087B91" w:rsidRPr="002029AF" w:rsidRDefault="00087B91" w:rsidP="00860E95">
            <w:pPr>
              <w:pStyle w:val="ARfintablebodyrightbold"/>
            </w:pPr>
            <w:r w:rsidRPr="002029AF">
              <w:t>51.8</w:t>
            </w:r>
          </w:p>
        </w:tc>
        <w:tc>
          <w:tcPr>
            <w:tcW w:w="1133" w:type="dxa"/>
            <w:tcBorders>
              <w:top w:val="single" w:sz="4" w:space="0" w:color="A6A6A6"/>
              <w:bottom w:val="single" w:sz="4" w:space="0" w:color="A6A6A6"/>
            </w:tcBorders>
            <w:noWrap/>
            <w:hideMark/>
          </w:tcPr>
          <w:p w14:paraId="6203870D" w14:textId="77777777" w:rsidR="00087B91" w:rsidRPr="002029AF" w:rsidRDefault="00087B91" w:rsidP="00860E95">
            <w:pPr>
              <w:pStyle w:val="ARfintablebodyrightbold"/>
            </w:pPr>
            <w:r w:rsidRPr="002029AF">
              <w:t>–</w:t>
            </w:r>
          </w:p>
        </w:tc>
      </w:tr>
      <w:tr w:rsidR="00087B91" w:rsidRPr="002029AF" w14:paraId="506E143E" w14:textId="77777777" w:rsidTr="00860E95">
        <w:trPr>
          <w:trHeight w:val="255"/>
        </w:trPr>
        <w:tc>
          <w:tcPr>
            <w:tcW w:w="7371" w:type="dxa"/>
            <w:tcBorders>
              <w:top w:val="single" w:sz="4" w:space="0" w:color="A6A6A6"/>
              <w:bottom w:val="single" w:sz="4" w:space="0" w:color="A6A6A6"/>
            </w:tcBorders>
            <w:hideMark/>
          </w:tcPr>
          <w:p w14:paraId="6C7C46FD" w14:textId="77777777" w:rsidR="00087B91" w:rsidRPr="002029AF" w:rsidRDefault="00087B91" w:rsidP="00860E95">
            <w:pPr>
              <w:pStyle w:val="ARfintablebodyindent"/>
            </w:pPr>
            <w:r w:rsidRPr="002029AF">
              <w:t>Land</w:t>
            </w:r>
          </w:p>
        </w:tc>
        <w:tc>
          <w:tcPr>
            <w:tcW w:w="1133" w:type="dxa"/>
            <w:tcBorders>
              <w:top w:val="single" w:sz="4" w:space="0" w:color="A6A6A6"/>
              <w:bottom w:val="single" w:sz="4" w:space="0" w:color="A6A6A6"/>
            </w:tcBorders>
            <w:shd w:val="clear" w:color="auto" w:fill="E7E6E6"/>
            <w:noWrap/>
            <w:hideMark/>
          </w:tcPr>
          <w:p w14:paraId="76BC40F5" w14:textId="77777777" w:rsidR="00087B91" w:rsidRPr="002029AF" w:rsidRDefault="00087B91" w:rsidP="00860E95">
            <w:pPr>
              <w:pStyle w:val="ARfintablebodyright"/>
            </w:pPr>
            <w:r w:rsidRPr="002029AF">
              <w:t>0.9</w:t>
            </w:r>
          </w:p>
        </w:tc>
        <w:tc>
          <w:tcPr>
            <w:tcW w:w="1133" w:type="dxa"/>
            <w:tcBorders>
              <w:top w:val="single" w:sz="4" w:space="0" w:color="A6A6A6"/>
              <w:bottom w:val="single" w:sz="4" w:space="0" w:color="A6A6A6"/>
            </w:tcBorders>
            <w:noWrap/>
            <w:hideMark/>
          </w:tcPr>
          <w:p w14:paraId="2F14EA52" w14:textId="77777777" w:rsidR="00087B91" w:rsidRPr="002029AF" w:rsidRDefault="00087B91" w:rsidP="00860E95">
            <w:pPr>
              <w:pStyle w:val="ARfintablebodyright"/>
            </w:pPr>
            <w:r w:rsidRPr="002029AF">
              <w:t>–</w:t>
            </w:r>
          </w:p>
        </w:tc>
      </w:tr>
      <w:tr w:rsidR="00087B91" w:rsidRPr="002029AF" w14:paraId="3641A088" w14:textId="77777777" w:rsidTr="00860E95">
        <w:trPr>
          <w:trHeight w:val="255"/>
        </w:trPr>
        <w:tc>
          <w:tcPr>
            <w:tcW w:w="7371" w:type="dxa"/>
            <w:tcBorders>
              <w:top w:val="single" w:sz="4" w:space="0" w:color="A6A6A6"/>
              <w:bottom w:val="single" w:sz="4" w:space="0" w:color="A6A6A6"/>
            </w:tcBorders>
            <w:hideMark/>
          </w:tcPr>
          <w:p w14:paraId="2A0B812A" w14:textId="77777777" w:rsidR="00087B91" w:rsidRPr="002029AF" w:rsidRDefault="00087B91" w:rsidP="00860E95">
            <w:pPr>
              <w:pStyle w:val="ARfintablebodyindent"/>
            </w:pPr>
            <w:r w:rsidRPr="002029AF">
              <w:t>Buildings</w:t>
            </w:r>
          </w:p>
        </w:tc>
        <w:tc>
          <w:tcPr>
            <w:tcW w:w="1133" w:type="dxa"/>
            <w:tcBorders>
              <w:top w:val="single" w:sz="4" w:space="0" w:color="A6A6A6"/>
              <w:bottom w:val="single" w:sz="4" w:space="0" w:color="A6A6A6"/>
            </w:tcBorders>
            <w:shd w:val="clear" w:color="auto" w:fill="E7E6E6"/>
            <w:noWrap/>
            <w:hideMark/>
          </w:tcPr>
          <w:p w14:paraId="1666FEA7" w14:textId="77777777" w:rsidR="00087B91" w:rsidRPr="002029AF" w:rsidRDefault="00087B91" w:rsidP="00860E95">
            <w:pPr>
              <w:pStyle w:val="ARfintablebodyright"/>
            </w:pPr>
            <w:r w:rsidRPr="002029AF">
              <w:t>39.6</w:t>
            </w:r>
          </w:p>
        </w:tc>
        <w:tc>
          <w:tcPr>
            <w:tcW w:w="1133" w:type="dxa"/>
            <w:tcBorders>
              <w:top w:val="single" w:sz="4" w:space="0" w:color="A6A6A6"/>
              <w:bottom w:val="single" w:sz="4" w:space="0" w:color="A6A6A6"/>
            </w:tcBorders>
            <w:noWrap/>
            <w:hideMark/>
          </w:tcPr>
          <w:p w14:paraId="084410B5" w14:textId="77777777" w:rsidR="00087B91" w:rsidRPr="002029AF" w:rsidRDefault="00087B91" w:rsidP="00860E95">
            <w:pPr>
              <w:pStyle w:val="ARfintablebodyright"/>
            </w:pPr>
            <w:r w:rsidRPr="002029AF">
              <w:t>–</w:t>
            </w:r>
          </w:p>
        </w:tc>
      </w:tr>
      <w:tr w:rsidR="00087B91" w:rsidRPr="002029AF" w14:paraId="72D90594" w14:textId="77777777" w:rsidTr="00860E95">
        <w:trPr>
          <w:trHeight w:val="255"/>
        </w:trPr>
        <w:tc>
          <w:tcPr>
            <w:tcW w:w="7371" w:type="dxa"/>
            <w:tcBorders>
              <w:top w:val="single" w:sz="4" w:space="0" w:color="A6A6A6"/>
              <w:bottom w:val="single" w:sz="4" w:space="0" w:color="A6A6A6"/>
            </w:tcBorders>
            <w:hideMark/>
          </w:tcPr>
          <w:p w14:paraId="0EB864C4" w14:textId="4D26E992" w:rsidR="00087B91" w:rsidRPr="002029AF" w:rsidRDefault="00087B91" w:rsidP="00860E95">
            <w:pPr>
              <w:pStyle w:val="ARfintablebodyindent"/>
            </w:pPr>
            <w:r w:rsidRPr="002029AF">
              <w:t>Plant,</w:t>
            </w:r>
            <w:r w:rsidR="000A5329" w:rsidRPr="002029AF">
              <w:t xml:space="preserve"> </w:t>
            </w:r>
            <w:r w:rsidRPr="002029AF">
              <w:t>equipment</w:t>
            </w:r>
            <w:r w:rsidR="000A5329" w:rsidRPr="002029AF">
              <w:t xml:space="preserve"> </w:t>
            </w:r>
            <w:r w:rsidRPr="002029AF">
              <w:t>and</w:t>
            </w:r>
            <w:r w:rsidR="000A5329" w:rsidRPr="002029AF">
              <w:t xml:space="preserve"> </w:t>
            </w:r>
            <w:r w:rsidRPr="002029AF">
              <w:t>vehicles</w:t>
            </w:r>
          </w:p>
        </w:tc>
        <w:tc>
          <w:tcPr>
            <w:tcW w:w="1133" w:type="dxa"/>
            <w:tcBorders>
              <w:top w:val="single" w:sz="4" w:space="0" w:color="A6A6A6"/>
              <w:bottom w:val="single" w:sz="4" w:space="0" w:color="A6A6A6"/>
            </w:tcBorders>
            <w:shd w:val="clear" w:color="auto" w:fill="E7E6E6"/>
            <w:noWrap/>
            <w:hideMark/>
          </w:tcPr>
          <w:p w14:paraId="52FE6122" w14:textId="77777777" w:rsidR="00087B91" w:rsidRPr="002029AF" w:rsidRDefault="00087B91" w:rsidP="00860E95">
            <w:pPr>
              <w:pStyle w:val="ARfintablebodyright"/>
            </w:pPr>
            <w:r w:rsidRPr="002029AF">
              <w:t>2.5</w:t>
            </w:r>
          </w:p>
        </w:tc>
        <w:tc>
          <w:tcPr>
            <w:tcW w:w="1133" w:type="dxa"/>
            <w:tcBorders>
              <w:top w:val="single" w:sz="4" w:space="0" w:color="A6A6A6"/>
              <w:bottom w:val="single" w:sz="4" w:space="0" w:color="A6A6A6"/>
            </w:tcBorders>
            <w:noWrap/>
            <w:hideMark/>
          </w:tcPr>
          <w:p w14:paraId="03E13C75" w14:textId="77777777" w:rsidR="00087B91" w:rsidRPr="002029AF" w:rsidRDefault="00087B91" w:rsidP="00860E95">
            <w:pPr>
              <w:pStyle w:val="ARfintablebodyright"/>
            </w:pPr>
            <w:r w:rsidRPr="002029AF">
              <w:t>–</w:t>
            </w:r>
          </w:p>
        </w:tc>
      </w:tr>
      <w:tr w:rsidR="00087B91" w:rsidRPr="002029AF" w14:paraId="430BB797" w14:textId="77777777" w:rsidTr="00860E95">
        <w:trPr>
          <w:trHeight w:val="255"/>
        </w:trPr>
        <w:tc>
          <w:tcPr>
            <w:tcW w:w="7371" w:type="dxa"/>
            <w:tcBorders>
              <w:top w:val="single" w:sz="4" w:space="0" w:color="A6A6A6"/>
              <w:bottom w:val="single" w:sz="4" w:space="0" w:color="A6A6A6"/>
            </w:tcBorders>
            <w:hideMark/>
          </w:tcPr>
          <w:p w14:paraId="0AB7FDFF" w14:textId="41F76F0D" w:rsidR="00087B91" w:rsidRPr="002029AF" w:rsidRDefault="00087B91" w:rsidP="00860E95">
            <w:pPr>
              <w:pStyle w:val="ARfintablebodyindent"/>
            </w:pPr>
            <w:r w:rsidRPr="002029AF">
              <w:t>Motor</w:t>
            </w:r>
            <w:r w:rsidR="000A5329" w:rsidRPr="002029AF">
              <w:t xml:space="preserve"> </w:t>
            </w:r>
            <w:r w:rsidRPr="002029AF">
              <w:t>vehicles</w:t>
            </w:r>
          </w:p>
        </w:tc>
        <w:tc>
          <w:tcPr>
            <w:tcW w:w="1133" w:type="dxa"/>
            <w:tcBorders>
              <w:top w:val="single" w:sz="4" w:space="0" w:color="A6A6A6"/>
              <w:bottom w:val="single" w:sz="4" w:space="0" w:color="A6A6A6"/>
            </w:tcBorders>
            <w:shd w:val="clear" w:color="auto" w:fill="E7E6E6"/>
            <w:noWrap/>
            <w:hideMark/>
          </w:tcPr>
          <w:p w14:paraId="4F97E399" w14:textId="77777777" w:rsidR="00087B91" w:rsidRPr="002029AF" w:rsidRDefault="00087B91" w:rsidP="00860E95">
            <w:pPr>
              <w:pStyle w:val="ARfintablebodyright"/>
            </w:pPr>
            <w:r w:rsidRPr="002029AF">
              <w:t>8.8</w:t>
            </w:r>
          </w:p>
        </w:tc>
        <w:tc>
          <w:tcPr>
            <w:tcW w:w="1133" w:type="dxa"/>
            <w:tcBorders>
              <w:top w:val="single" w:sz="4" w:space="0" w:color="A6A6A6"/>
              <w:bottom w:val="single" w:sz="4" w:space="0" w:color="A6A6A6"/>
            </w:tcBorders>
            <w:noWrap/>
            <w:hideMark/>
          </w:tcPr>
          <w:p w14:paraId="110334C2" w14:textId="77777777" w:rsidR="00087B91" w:rsidRPr="002029AF" w:rsidRDefault="00087B91" w:rsidP="00860E95">
            <w:pPr>
              <w:pStyle w:val="ARfintablebodyright"/>
            </w:pPr>
            <w:r w:rsidRPr="002029AF">
              <w:t>–</w:t>
            </w:r>
          </w:p>
        </w:tc>
      </w:tr>
      <w:tr w:rsidR="00087B91" w:rsidRPr="002029AF" w14:paraId="5D14580F" w14:textId="77777777" w:rsidTr="00860E95">
        <w:trPr>
          <w:trHeight w:val="255"/>
        </w:trPr>
        <w:tc>
          <w:tcPr>
            <w:tcW w:w="7371" w:type="dxa"/>
            <w:tcBorders>
              <w:top w:val="single" w:sz="4" w:space="0" w:color="A6A6A6"/>
              <w:bottom w:val="single" w:sz="4" w:space="0" w:color="A6A6A6"/>
            </w:tcBorders>
            <w:hideMark/>
          </w:tcPr>
          <w:p w14:paraId="338EEFC7" w14:textId="55B9B502" w:rsidR="00087B91" w:rsidRPr="002029AF" w:rsidRDefault="00087B91" w:rsidP="00860E95">
            <w:pPr>
              <w:pStyle w:val="ARfintablebodybold"/>
            </w:pPr>
            <w:r w:rsidRPr="002029AF">
              <w:t>Service</w:t>
            </w:r>
            <w:r w:rsidR="000A5329" w:rsidRPr="002029AF">
              <w:t xml:space="preserve"> </w:t>
            </w:r>
            <w:r w:rsidRPr="002029AF">
              <w:t>concession</w:t>
            </w:r>
            <w:r w:rsidR="000A5329" w:rsidRPr="002029AF">
              <w:t xml:space="preserve"> </w:t>
            </w:r>
            <w:r w:rsidRPr="002029AF">
              <w:t>assets</w:t>
            </w:r>
          </w:p>
        </w:tc>
        <w:tc>
          <w:tcPr>
            <w:tcW w:w="1133" w:type="dxa"/>
            <w:tcBorders>
              <w:top w:val="single" w:sz="4" w:space="0" w:color="A6A6A6"/>
              <w:bottom w:val="single" w:sz="4" w:space="0" w:color="A6A6A6"/>
            </w:tcBorders>
            <w:shd w:val="clear" w:color="auto" w:fill="E7E6E6"/>
            <w:noWrap/>
            <w:hideMark/>
          </w:tcPr>
          <w:p w14:paraId="0D91698E" w14:textId="77777777" w:rsidR="00087B91" w:rsidRPr="002029AF" w:rsidRDefault="00087B91" w:rsidP="00860E95">
            <w:pPr>
              <w:pStyle w:val="ARfintablebodyrightbold"/>
            </w:pPr>
            <w:r w:rsidRPr="002029AF">
              <w:t>27.1</w:t>
            </w:r>
          </w:p>
        </w:tc>
        <w:tc>
          <w:tcPr>
            <w:tcW w:w="1133" w:type="dxa"/>
            <w:tcBorders>
              <w:top w:val="single" w:sz="4" w:space="0" w:color="A6A6A6"/>
              <w:bottom w:val="single" w:sz="4" w:space="0" w:color="A6A6A6"/>
            </w:tcBorders>
            <w:noWrap/>
            <w:hideMark/>
          </w:tcPr>
          <w:p w14:paraId="1E8B3246" w14:textId="77777777" w:rsidR="00087B91" w:rsidRPr="002029AF" w:rsidRDefault="00087B91" w:rsidP="00860E95">
            <w:pPr>
              <w:pStyle w:val="ARfintablebodyrightbold"/>
            </w:pPr>
            <w:r w:rsidRPr="002029AF">
              <w:t>0.4</w:t>
            </w:r>
          </w:p>
        </w:tc>
      </w:tr>
      <w:tr w:rsidR="00087B91" w:rsidRPr="002029AF" w14:paraId="63A8C607" w14:textId="77777777" w:rsidTr="00860E95">
        <w:trPr>
          <w:trHeight w:val="255"/>
        </w:trPr>
        <w:tc>
          <w:tcPr>
            <w:tcW w:w="7371" w:type="dxa"/>
            <w:tcBorders>
              <w:top w:val="single" w:sz="4" w:space="0" w:color="A6A6A6"/>
              <w:bottom w:val="single" w:sz="4" w:space="0" w:color="A6A6A6"/>
            </w:tcBorders>
            <w:hideMark/>
          </w:tcPr>
          <w:p w14:paraId="70830CDD" w14:textId="77777777" w:rsidR="00087B91" w:rsidRPr="002029AF" w:rsidRDefault="00087B91" w:rsidP="00860E95">
            <w:pPr>
              <w:pStyle w:val="ARfintablebodyindent"/>
            </w:pPr>
            <w:r w:rsidRPr="002029AF">
              <w:t>Buildings</w:t>
            </w:r>
          </w:p>
        </w:tc>
        <w:tc>
          <w:tcPr>
            <w:tcW w:w="1133" w:type="dxa"/>
            <w:tcBorders>
              <w:top w:val="single" w:sz="4" w:space="0" w:color="A6A6A6"/>
              <w:bottom w:val="single" w:sz="4" w:space="0" w:color="A6A6A6"/>
            </w:tcBorders>
            <w:shd w:val="clear" w:color="auto" w:fill="E7E6E6"/>
            <w:noWrap/>
            <w:hideMark/>
          </w:tcPr>
          <w:p w14:paraId="6E917D2F" w14:textId="77777777" w:rsidR="00087B91" w:rsidRPr="002029AF" w:rsidRDefault="00087B91" w:rsidP="00860E95">
            <w:pPr>
              <w:pStyle w:val="ARfintablebodyright"/>
            </w:pPr>
            <w:r w:rsidRPr="002029AF">
              <w:t>25.9</w:t>
            </w:r>
          </w:p>
        </w:tc>
        <w:tc>
          <w:tcPr>
            <w:tcW w:w="1133" w:type="dxa"/>
            <w:tcBorders>
              <w:top w:val="single" w:sz="4" w:space="0" w:color="A6A6A6"/>
              <w:bottom w:val="single" w:sz="4" w:space="0" w:color="A6A6A6"/>
            </w:tcBorders>
            <w:noWrap/>
            <w:hideMark/>
          </w:tcPr>
          <w:p w14:paraId="5E7C5A80" w14:textId="77777777" w:rsidR="00087B91" w:rsidRPr="002029AF" w:rsidRDefault="00087B91" w:rsidP="00860E95">
            <w:pPr>
              <w:pStyle w:val="ARfintablebodyright"/>
            </w:pPr>
            <w:r w:rsidRPr="002029AF">
              <w:t>–</w:t>
            </w:r>
          </w:p>
        </w:tc>
      </w:tr>
      <w:tr w:rsidR="00087B91" w:rsidRPr="002029AF" w14:paraId="0870AE4B" w14:textId="77777777" w:rsidTr="00860E95">
        <w:trPr>
          <w:trHeight w:val="255"/>
        </w:trPr>
        <w:tc>
          <w:tcPr>
            <w:tcW w:w="7371" w:type="dxa"/>
            <w:tcBorders>
              <w:top w:val="single" w:sz="4" w:space="0" w:color="A6A6A6"/>
              <w:bottom w:val="single" w:sz="4" w:space="0" w:color="A6A6A6"/>
            </w:tcBorders>
            <w:hideMark/>
          </w:tcPr>
          <w:p w14:paraId="5CC1D91A" w14:textId="66700696" w:rsidR="00087B91" w:rsidRPr="002029AF" w:rsidRDefault="00087B91" w:rsidP="00860E95">
            <w:pPr>
              <w:pStyle w:val="ARfintablebodyindent"/>
            </w:pPr>
            <w:r w:rsidRPr="002029AF">
              <w:t>Plant,</w:t>
            </w:r>
            <w:r w:rsidR="000A5329" w:rsidRPr="002029AF">
              <w:t xml:space="preserve"> </w:t>
            </w:r>
            <w:r w:rsidRPr="002029AF">
              <w:t>equipment</w:t>
            </w:r>
            <w:r w:rsidR="000A5329" w:rsidRPr="002029AF">
              <w:t xml:space="preserve"> </w:t>
            </w:r>
            <w:r w:rsidRPr="002029AF">
              <w:t>and</w:t>
            </w:r>
            <w:r w:rsidR="000A5329" w:rsidRPr="002029AF">
              <w:t xml:space="preserve"> </w:t>
            </w:r>
            <w:r w:rsidRPr="002029AF">
              <w:t>vehicles</w:t>
            </w:r>
          </w:p>
        </w:tc>
        <w:tc>
          <w:tcPr>
            <w:tcW w:w="1133" w:type="dxa"/>
            <w:tcBorders>
              <w:top w:val="single" w:sz="4" w:space="0" w:color="A6A6A6"/>
              <w:bottom w:val="single" w:sz="4" w:space="0" w:color="A6A6A6"/>
            </w:tcBorders>
            <w:shd w:val="clear" w:color="auto" w:fill="E7E6E6"/>
            <w:noWrap/>
            <w:hideMark/>
          </w:tcPr>
          <w:p w14:paraId="13B29D21" w14:textId="77777777" w:rsidR="00087B91" w:rsidRPr="002029AF" w:rsidRDefault="00087B91" w:rsidP="00860E95">
            <w:pPr>
              <w:pStyle w:val="ARfintablebodyright"/>
            </w:pPr>
            <w:r w:rsidRPr="002029AF">
              <w:t>1.0</w:t>
            </w:r>
          </w:p>
        </w:tc>
        <w:tc>
          <w:tcPr>
            <w:tcW w:w="1133" w:type="dxa"/>
            <w:tcBorders>
              <w:top w:val="single" w:sz="4" w:space="0" w:color="A6A6A6"/>
              <w:bottom w:val="single" w:sz="4" w:space="0" w:color="A6A6A6"/>
            </w:tcBorders>
            <w:noWrap/>
            <w:hideMark/>
          </w:tcPr>
          <w:p w14:paraId="4642B6EE" w14:textId="77777777" w:rsidR="00087B91" w:rsidRPr="002029AF" w:rsidRDefault="00087B91" w:rsidP="00860E95">
            <w:pPr>
              <w:pStyle w:val="ARfintablebodyright"/>
            </w:pPr>
            <w:r w:rsidRPr="002029AF">
              <w:t>0.4</w:t>
            </w:r>
          </w:p>
        </w:tc>
      </w:tr>
      <w:tr w:rsidR="00087B91" w:rsidRPr="002029AF" w14:paraId="223C659A" w14:textId="77777777" w:rsidTr="00860E95">
        <w:trPr>
          <w:trHeight w:val="255"/>
        </w:trPr>
        <w:tc>
          <w:tcPr>
            <w:tcW w:w="7371" w:type="dxa"/>
            <w:tcBorders>
              <w:top w:val="single" w:sz="4" w:space="0" w:color="A6A6A6"/>
            </w:tcBorders>
            <w:hideMark/>
          </w:tcPr>
          <w:p w14:paraId="65DB20F3" w14:textId="547E8962" w:rsidR="00087B91" w:rsidRPr="002029AF" w:rsidRDefault="00087B91" w:rsidP="00860E95">
            <w:pPr>
              <w:pStyle w:val="ARfintablebodyindent"/>
            </w:pPr>
            <w:r w:rsidRPr="002029AF">
              <w:t>Intangible</w:t>
            </w:r>
            <w:r w:rsidR="000A5329" w:rsidRPr="002029AF">
              <w:t xml:space="preserve"> </w:t>
            </w:r>
            <w:r w:rsidRPr="002029AF">
              <w:t>assets</w:t>
            </w:r>
          </w:p>
        </w:tc>
        <w:tc>
          <w:tcPr>
            <w:tcW w:w="1133" w:type="dxa"/>
            <w:tcBorders>
              <w:top w:val="single" w:sz="4" w:space="0" w:color="A6A6A6"/>
            </w:tcBorders>
            <w:shd w:val="clear" w:color="auto" w:fill="E7E6E6"/>
            <w:noWrap/>
            <w:hideMark/>
          </w:tcPr>
          <w:p w14:paraId="228C02D7" w14:textId="77777777" w:rsidR="00087B91" w:rsidRPr="002029AF" w:rsidRDefault="00087B91" w:rsidP="00860E95">
            <w:pPr>
              <w:pStyle w:val="ARfintablebodyright"/>
            </w:pPr>
            <w:r w:rsidRPr="002029AF">
              <w:t>0.2</w:t>
            </w:r>
          </w:p>
        </w:tc>
        <w:tc>
          <w:tcPr>
            <w:tcW w:w="1133" w:type="dxa"/>
            <w:tcBorders>
              <w:top w:val="single" w:sz="4" w:space="0" w:color="A6A6A6"/>
            </w:tcBorders>
            <w:noWrap/>
            <w:hideMark/>
          </w:tcPr>
          <w:p w14:paraId="7055AF8B" w14:textId="77777777" w:rsidR="00087B91" w:rsidRPr="002029AF" w:rsidRDefault="00087B91" w:rsidP="00860E95">
            <w:pPr>
              <w:pStyle w:val="ARfintablebodyright"/>
            </w:pPr>
            <w:r w:rsidRPr="002029AF">
              <w:t>–</w:t>
            </w:r>
          </w:p>
        </w:tc>
      </w:tr>
      <w:tr w:rsidR="00087B91" w:rsidRPr="002029AF" w14:paraId="42F2D5B5" w14:textId="77777777" w:rsidTr="00860E95">
        <w:trPr>
          <w:trHeight w:val="255"/>
        </w:trPr>
        <w:tc>
          <w:tcPr>
            <w:tcW w:w="7371" w:type="dxa"/>
            <w:hideMark/>
          </w:tcPr>
          <w:p w14:paraId="02129366" w14:textId="2B7D5B6B" w:rsidR="00087B91" w:rsidRPr="002029AF" w:rsidRDefault="00087B91" w:rsidP="00860E95">
            <w:pPr>
              <w:pStyle w:val="ARfintablebodybold"/>
            </w:pPr>
            <w:r w:rsidRPr="002029AF">
              <w:t>Aggregate</w:t>
            </w:r>
            <w:r w:rsidR="000A5329" w:rsidRPr="002029AF">
              <w:t xml:space="preserve"> </w:t>
            </w:r>
            <w:r w:rsidRPr="002029AF">
              <w:t>depreciation</w:t>
            </w:r>
            <w:r w:rsidR="000A5329" w:rsidRPr="002029AF">
              <w:t xml:space="preserve"> </w:t>
            </w:r>
            <w:r w:rsidRPr="002029AF">
              <w:t>and</w:t>
            </w:r>
            <w:r w:rsidR="000A5329" w:rsidRPr="002029AF">
              <w:t xml:space="preserve"> </w:t>
            </w:r>
            <w:r w:rsidRPr="002029AF">
              <w:t>amortisation</w:t>
            </w:r>
            <w:r w:rsidR="000A5329" w:rsidRPr="002029AF">
              <w:t xml:space="preserve"> </w:t>
            </w:r>
            <w:r w:rsidRPr="002029AF">
              <w:t>allocated</w:t>
            </w:r>
          </w:p>
        </w:tc>
        <w:tc>
          <w:tcPr>
            <w:tcW w:w="1133" w:type="dxa"/>
            <w:shd w:val="clear" w:color="auto" w:fill="E7E6E6"/>
            <w:noWrap/>
            <w:hideMark/>
          </w:tcPr>
          <w:p w14:paraId="1DAD6A5A" w14:textId="77777777" w:rsidR="00087B91" w:rsidRPr="002029AF" w:rsidRDefault="00087B91" w:rsidP="00860E95">
            <w:pPr>
              <w:pStyle w:val="ARfintablebodyrightbold"/>
            </w:pPr>
            <w:r w:rsidRPr="002029AF">
              <w:t>429.1</w:t>
            </w:r>
          </w:p>
        </w:tc>
        <w:tc>
          <w:tcPr>
            <w:tcW w:w="1133" w:type="dxa"/>
            <w:noWrap/>
            <w:hideMark/>
          </w:tcPr>
          <w:p w14:paraId="20D5BE50" w14:textId="77777777" w:rsidR="00087B91" w:rsidRPr="002029AF" w:rsidRDefault="00087B91" w:rsidP="00860E95">
            <w:pPr>
              <w:pStyle w:val="ARfintablebodyrightbold"/>
            </w:pPr>
            <w:r w:rsidRPr="002029AF">
              <w:t>341.7</w:t>
            </w:r>
          </w:p>
        </w:tc>
      </w:tr>
      <w:tr w:rsidR="00087B91" w:rsidRPr="002029AF" w14:paraId="3B8DB4BC" w14:textId="77777777" w:rsidTr="00860E95">
        <w:trPr>
          <w:trHeight w:val="255"/>
        </w:trPr>
        <w:tc>
          <w:tcPr>
            <w:tcW w:w="7371" w:type="dxa"/>
            <w:hideMark/>
          </w:tcPr>
          <w:p w14:paraId="78FD6800" w14:textId="248E4BB5" w:rsidR="00087B91" w:rsidRPr="002029AF" w:rsidRDefault="00087B91" w:rsidP="00860E95">
            <w:pPr>
              <w:pStyle w:val="ARfintablebody"/>
            </w:pPr>
            <w:r w:rsidRPr="002029AF">
              <w:t>Less</w:t>
            </w:r>
            <w:r w:rsidR="000A5329" w:rsidRPr="002029AF">
              <w:t xml:space="preserve"> </w:t>
            </w:r>
            <w:r w:rsidRPr="002029AF">
              <w:t>depreciation</w:t>
            </w:r>
            <w:r w:rsidR="000A5329" w:rsidRPr="002029AF">
              <w:t xml:space="preserve"> </w:t>
            </w:r>
            <w:r w:rsidRPr="002029AF">
              <w:t>and</w:t>
            </w:r>
            <w:r w:rsidR="000A5329" w:rsidRPr="002029AF">
              <w:t xml:space="preserve"> </w:t>
            </w:r>
            <w:r w:rsidRPr="002029AF">
              <w:t>amortisation</w:t>
            </w:r>
            <w:r w:rsidR="000A5329" w:rsidRPr="002029AF">
              <w:t xml:space="preserve"> </w:t>
            </w:r>
            <w:r w:rsidRPr="002029AF">
              <w:t>capitalised</w:t>
            </w:r>
            <w:r w:rsidR="000A5329" w:rsidRPr="002029AF">
              <w:t xml:space="preserve"> </w:t>
            </w:r>
            <w:r w:rsidRPr="002029AF">
              <w:t>to</w:t>
            </w:r>
            <w:r w:rsidR="000A5329" w:rsidRPr="002029AF">
              <w:t xml:space="preserve"> </w:t>
            </w:r>
            <w:r w:rsidRPr="002029AF">
              <w:t>carrying</w:t>
            </w:r>
            <w:r w:rsidR="000A5329" w:rsidRPr="002029AF">
              <w:t xml:space="preserve"> </w:t>
            </w:r>
            <w:r w:rsidRPr="002029AF">
              <w:t>amount</w:t>
            </w:r>
            <w:r w:rsidR="000A5329" w:rsidRPr="002029AF">
              <w:t xml:space="preserve"> </w:t>
            </w:r>
            <w:r w:rsidRPr="002029AF">
              <w:t>of</w:t>
            </w:r>
            <w:r w:rsidR="000A5329" w:rsidRPr="002029AF">
              <w:t xml:space="preserve"> </w:t>
            </w:r>
            <w:r w:rsidRPr="002029AF">
              <w:t>other</w:t>
            </w:r>
            <w:r w:rsidR="000A5329" w:rsidRPr="002029AF">
              <w:t xml:space="preserve"> </w:t>
            </w:r>
            <w:r w:rsidRPr="002029AF">
              <w:t>assets</w:t>
            </w:r>
            <w:r w:rsidR="000A5329" w:rsidRPr="002029AF">
              <w:t xml:space="preserve"> </w:t>
            </w:r>
            <w:r w:rsidRPr="002029AF">
              <w:t>during</w:t>
            </w:r>
            <w:r w:rsidR="000A5329" w:rsidRPr="002029AF">
              <w:t xml:space="preserve"> </w:t>
            </w:r>
            <w:r w:rsidRPr="002029AF">
              <w:t>the</w:t>
            </w:r>
            <w:r w:rsidR="000A5329" w:rsidRPr="002029AF">
              <w:t xml:space="preserve"> </w:t>
            </w:r>
            <w:r w:rsidRPr="002029AF">
              <w:t>year</w:t>
            </w:r>
          </w:p>
        </w:tc>
        <w:tc>
          <w:tcPr>
            <w:tcW w:w="1133" w:type="dxa"/>
            <w:shd w:val="clear" w:color="auto" w:fill="E7E6E6"/>
            <w:noWrap/>
            <w:hideMark/>
          </w:tcPr>
          <w:p w14:paraId="2C8BD3BE" w14:textId="77777777" w:rsidR="00087B91" w:rsidRPr="002029AF" w:rsidRDefault="00087B91" w:rsidP="00860E95">
            <w:pPr>
              <w:pStyle w:val="ARfintablebodyright"/>
            </w:pPr>
            <w:r w:rsidRPr="002029AF">
              <w:t>(1.0)</w:t>
            </w:r>
          </w:p>
        </w:tc>
        <w:tc>
          <w:tcPr>
            <w:tcW w:w="1133" w:type="dxa"/>
            <w:noWrap/>
            <w:hideMark/>
          </w:tcPr>
          <w:p w14:paraId="0B46F0BA" w14:textId="77777777" w:rsidR="00087B91" w:rsidRPr="002029AF" w:rsidRDefault="00087B91" w:rsidP="00860E95">
            <w:pPr>
              <w:pStyle w:val="ARfintablebodyright"/>
            </w:pPr>
            <w:r w:rsidRPr="002029AF">
              <w:t>(1.2)</w:t>
            </w:r>
          </w:p>
        </w:tc>
      </w:tr>
      <w:tr w:rsidR="00087B91" w:rsidRPr="002029AF" w14:paraId="5E09B004" w14:textId="77777777" w:rsidTr="00860E95">
        <w:trPr>
          <w:trHeight w:val="255"/>
        </w:trPr>
        <w:tc>
          <w:tcPr>
            <w:tcW w:w="7371" w:type="dxa"/>
            <w:hideMark/>
          </w:tcPr>
          <w:p w14:paraId="465B6DBB" w14:textId="301602F3" w:rsidR="00087B91" w:rsidRPr="002029AF" w:rsidRDefault="00087B91" w:rsidP="00860E95">
            <w:pPr>
              <w:pStyle w:val="ARfintablebodybold"/>
            </w:pPr>
            <w:r w:rsidRPr="002029AF">
              <w:t>Total</w:t>
            </w:r>
            <w:r w:rsidR="000A5329" w:rsidRPr="002029AF">
              <w:t xml:space="preserve"> </w:t>
            </w:r>
            <w:r w:rsidRPr="002029AF">
              <w:t>depreciation</w:t>
            </w:r>
            <w:r w:rsidR="000A5329" w:rsidRPr="002029AF">
              <w:t xml:space="preserve"> </w:t>
            </w:r>
            <w:r w:rsidRPr="002029AF">
              <w:t>and</w:t>
            </w:r>
            <w:r w:rsidR="000A5329" w:rsidRPr="002029AF">
              <w:t xml:space="preserve"> </w:t>
            </w:r>
            <w:r w:rsidRPr="002029AF">
              <w:t>amortisation</w:t>
            </w:r>
          </w:p>
        </w:tc>
        <w:tc>
          <w:tcPr>
            <w:tcW w:w="1133" w:type="dxa"/>
            <w:shd w:val="clear" w:color="auto" w:fill="E7E6E6"/>
            <w:noWrap/>
            <w:hideMark/>
          </w:tcPr>
          <w:p w14:paraId="3C8D8C2E" w14:textId="77777777" w:rsidR="00087B91" w:rsidRPr="002029AF" w:rsidRDefault="00087B91" w:rsidP="00860E95">
            <w:pPr>
              <w:pStyle w:val="ARfintablebodyrightbold"/>
            </w:pPr>
            <w:r w:rsidRPr="002029AF">
              <w:t>428.1</w:t>
            </w:r>
          </w:p>
        </w:tc>
        <w:tc>
          <w:tcPr>
            <w:tcW w:w="1133" w:type="dxa"/>
            <w:noWrap/>
            <w:hideMark/>
          </w:tcPr>
          <w:p w14:paraId="1D47941C" w14:textId="77777777" w:rsidR="00087B91" w:rsidRPr="002029AF" w:rsidRDefault="00087B91" w:rsidP="00860E95">
            <w:pPr>
              <w:pStyle w:val="ARfintablebodyrightbold"/>
            </w:pPr>
            <w:r w:rsidRPr="002029AF">
              <w:t>340.5</w:t>
            </w:r>
          </w:p>
        </w:tc>
      </w:tr>
    </w:tbl>
    <w:p w14:paraId="34B26BFC" w14:textId="77777777" w:rsidR="00087B91" w:rsidRPr="002029AF" w:rsidRDefault="00087B91" w:rsidP="00087B91">
      <w:pPr>
        <w:pStyle w:val="ARfintablefootnote"/>
      </w:pPr>
      <w:r w:rsidRPr="002029AF">
        <w:t>Notes:</w:t>
      </w:r>
    </w:p>
    <w:p w14:paraId="3BE576EB" w14:textId="023F4BBD" w:rsidR="00087B91" w:rsidRPr="002029AF" w:rsidRDefault="00087B91" w:rsidP="00087B91">
      <w:pPr>
        <w:pStyle w:val="ARfintablefootnoteindent"/>
      </w:pPr>
      <w:bookmarkStart w:id="346" w:name="_Hlk47642147"/>
      <w:r w:rsidRPr="002029AF">
        <w:t>(i)</w:t>
      </w:r>
      <w:r w:rsidRPr="002029AF">
        <w:tab/>
        <w:t>The</w:t>
      </w:r>
      <w:r w:rsidR="000A5329" w:rsidRPr="002029AF">
        <w:t xml:space="preserve"> </w:t>
      </w:r>
      <w:r w:rsidRPr="002029AF">
        <w:t>application</w:t>
      </w:r>
      <w:r w:rsidR="000A5329" w:rsidRPr="002029AF">
        <w:t xml:space="preserve"> </w:t>
      </w:r>
      <w:r w:rsidRPr="002029AF">
        <w:t>of</w:t>
      </w:r>
      <w:r w:rsidR="000A5329" w:rsidRPr="002029AF">
        <w:t xml:space="preserve"> </w:t>
      </w:r>
      <w:r w:rsidRPr="002029AF">
        <w:t>AASB</w:t>
      </w:r>
      <w:r w:rsidR="000A5329" w:rsidRPr="002029AF">
        <w:t xml:space="preserve"> </w:t>
      </w:r>
      <w:r w:rsidRPr="002029AF">
        <w:t>1059</w:t>
      </w:r>
      <w:r w:rsidR="000A5329" w:rsidRPr="002029AF">
        <w:t xml:space="preserve"> </w:t>
      </w:r>
      <w:r w:rsidRPr="002029AF">
        <w:rPr>
          <w:rStyle w:val="Emphasis"/>
        </w:rPr>
        <w:t>Service</w:t>
      </w:r>
      <w:r w:rsidR="000A5329" w:rsidRPr="002029AF">
        <w:rPr>
          <w:rStyle w:val="Emphasis"/>
        </w:rPr>
        <w:t xml:space="preserve"> </w:t>
      </w:r>
      <w:r w:rsidRPr="002029AF">
        <w:rPr>
          <w:rStyle w:val="Emphasis"/>
        </w:rPr>
        <w:t>Concession</w:t>
      </w:r>
      <w:r w:rsidR="000A5329" w:rsidRPr="002029AF">
        <w:rPr>
          <w:rStyle w:val="Emphasis"/>
        </w:rPr>
        <w:t xml:space="preserve"> </w:t>
      </w:r>
      <w:r w:rsidRPr="002029AF">
        <w:rPr>
          <w:rStyle w:val="Emphasis"/>
        </w:rPr>
        <w:t>Arrangements:</w:t>
      </w:r>
      <w:r w:rsidR="000A5329" w:rsidRPr="002029AF">
        <w:rPr>
          <w:rStyle w:val="Emphasis"/>
        </w:rPr>
        <w:t xml:space="preserve"> </w:t>
      </w:r>
      <w:r w:rsidRPr="002029AF">
        <w:rPr>
          <w:rStyle w:val="Emphasis"/>
        </w:rPr>
        <w:t>Grantors</w:t>
      </w:r>
      <w:r w:rsidR="000A5329" w:rsidRPr="002029AF">
        <w:t xml:space="preserve"> </w:t>
      </w:r>
      <w:r w:rsidRPr="002029AF">
        <w:t>resulted</w:t>
      </w:r>
      <w:r w:rsidR="000A5329" w:rsidRPr="002029AF">
        <w:t xml:space="preserve"> </w:t>
      </w:r>
      <w:r w:rsidRPr="002029AF">
        <w:t>in</w:t>
      </w:r>
      <w:r w:rsidR="000A5329" w:rsidRPr="002029AF">
        <w:t xml:space="preserve"> </w:t>
      </w:r>
      <w:r w:rsidRPr="002029AF">
        <w:t>reclassification</w:t>
      </w:r>
      <w:r w:rsidR="000A5329" w:rsidRPr="002029AF">
        <w:t xml:space="preserve"> </w:t>
      </w:r>
      <w:r w:rsidRPr="002029AF">
        <w:t>of</w:t>
      </w:r>
      <w:r w:rsidR="000A5329" w:rsidRPr="002029AF">
        <w:t xml:space="preserve"> </w:t>
      </w:r>
      <w:r w:rsidRPr="002029AF">
        <w:t>assets</w:t>
      </w:r>
      <w:r w:rsidR="000A5329" w:rsidRPr="002029AF">
        <w:t xml:space="preserve"> </w:t>
      </w:r>
      <w:r w:rsidRPr="002029AF">
        <w:t>within</w:t>
      </w:r>
      <w:r w:rsidR="000A5329" w:rsidRPr="002029AF">
        <w:t xml:space="preserve"> </w:t>
      </w:r>
      <w:r w:rsidRPr="002029AF">
        <w:t>‘property,</w:t>
      </w:r>
      <w:r w:rsidR="000A5329" w:rsidRPr="002029AF">
        <w:t xml:space="preserve"> </w:t>
      </w:r>
      <w:r w:rsidRPr="002029AF">
        <w:t>plant</w:t>
      </w:r>
      <w:r w:rsidR="000A5329" w:rsidRPr="002029AF">
        <w:t xml:space="preserve"> </w:t>
      </w:r>
      <w:r w:rsidRPr="002029AF">
        <w:t>and</w:t>
      </w:r>
      <w:r w:rsidR="000A5329" w:rsidRPr="002029AF">
        <w:t xml:space="preserve"> </w:t>
      </w:r>
      <w:r w:rsidRPr="002029AF">
        <w:t>equipment’</w:t>
      </w:r>
      <w:r w:rsidR="000A5329" w:rsidRPr="002029AF">
        <w:t xml:space="preserve"> </w:t>
      </w:r>
      <w:r w:rsidRPr="002029AF">
        <w:t>category.</w:t>
      </w:r>
      <w:r w:rsidR="000A5329" w:rsidRPr="002029AF">
        <w:t xml:space="preserve"> </w:t>
      </w:r>
      <w:r w:rsidRPr="002029AF">
        <w:t>There</w:t>
      </w:r>
      <w:r w:rsidR="000A5329" w:rsidRPr="002029AF">
        <w:t xml:space="preserve"> </w:t>
      </w:r>
      <w:r w:rsidRPr="002029AF">
        <w:t>was</w:t>
      </w:r>
      <w:r w:rsidR="000A5329" w:rsidRPr="002029AF">
        <w:t xml:space="preserve"> </w:t>
      </w:r>
      <w:r w:rsidRPr="002029AF">
        <w:t>no</w:t>
      </w:r>
      <w:r w:rsidR="000A5329" w:rsidRPr="002029AF">
        <w:t xml:space="preserve"> </w:t>
      </w:r>
      <w:r w:rsidRPr="002029AF">
        <w:t>impact</w:t>
      </w:r>
      <w:r w:rsidR="000A5329" w:rsidRPr="002029AF">
        <w:t xml:space="preserve"> </w:t>
      </w:r>
      <w:r w:rsidRPr="002029AF">
        <w:t>on</w:t>
      </w:r>
      <w:r w:rsidR="000A5329" w:rsidRPr="002029AF">
        <w:t xml:space="preserve"> </w:t>
      </w:r>
      <w:r w:rsidRPr="002029AF">
        <w:t>the</w:t>
      </w:r>
      <w:r w:rsidR="000A5329" w:rsidRPr="002029AF">
        <w:t xml:space="preserve"> </w:t>
      </w:r>
      <w:r w:rsidRPr="002029AF">
        <w:t>2019</w:t>
      </w:r>
      <w:r w:rsidR="000A5329" w:rsidRPr="002029AF">
        <w:t xml:space="preserve"> </w:t>
      </w:r>
      <w:r w:rsidRPr="002029AF">
        <w:t>comparative</w:t>
      </w:r>
      <w:r w:rsidR="000A5329" w:rsidRPr="002029AF">
        <w:t xml:space="preserve"> </w:t>
      </w:r>
      <w:r w:rsidRPr="002029AF">
        <w:t>figures</w:t>
      </w:r>
      <w:bookmarkEnd w:id="346"/>
      <w:r w:rsidRPr="002029AF">
        <w:t>.</w:t>
      </w:r>
    </w:p>
    <w:p w14:paraId="6D0FDD13" w14:textId="4CC04B75" w:rsidR="00087B91" w:rsidRPr="002029AF" w:rsidRDefault="00087B91" w:rsidP="00087B91">
      <w:pPr>
        <w:pStyle w:val="ARfintablefootnoteindent"/>
      </w:pPr>
      <w:r w:rsidRPr="002029AF">
        <w:t>(ii)</w:t>
      </w:r>
      <w:r w:rsidRPr="002029AF">
        <w:tab/>
        <w:t>The</w:t>
      </w:r>
      <w:r w:rsidR="000A5329" w:rsidRPr="002029AF">
        <w:t xml:space="preserve"> </w:t>
      </w:r>
      <w:r w:rsidRPr="002029AF">
        <w:t>table</w:t>
      </w:r>
      <w:r w:rsidR="000A5329" w:rsidRPr="002029AF">
        <w:t xml:space="preserve"> </w:t>
      </w:r>
      <w:r w:rsidRPr="002029AF">
        <w:t>incorporates</w:t>
      </w:r>
      <w:r w:rsidR="000A5329" w:rsidRPr="002029AF">
        <w:t xml:space="preserve"> </w:t>
      </w:r>
      <w:r w:rsidRPr="002029AF">
        <w:t>depreciation</w:t>
      </w:r>
      <w:r w:rsidR="000A5329" w:rsidRPr="002029AF">
        <w:t xml:space="preserve"> </w:t>
      </w:r>
      <w:r w:rsidRPr="002029AF">
        <w:t>of</w:t>
      </w:r>
      <w:r w:rsidR="000A5329" w:rsidRPr="002029AF">
        <w:t xml:space="preserve"> </w:t>
      </w:r>
      <w:r w:rsidRPr="002029AF">
        <w:t>right-of-use</w:t>
      </w:r>
      <w:r w:rsidR="000A5329" w:rsidRPr="002029AF">
        <w:t xml:space="preserve"> </w:t>
      </w:r>
      <w:r w:rsidRPr="002029AF">
        <w:t>assets</w:t>
      </w:r>
      <w:r w:rsidR="000A5329" w:rsidRPr="002029AF">
        <w:t xml:space="preserve"> </w:t>
      </w:r>
      <w:r w:rsidRPr="002029AF">
        <w:t>and</w:t>
      </w:r>
      <w:r w:rsidR="000A5329" w:rsidRPr="002029AF">
        <w:t xml:space="preserve"> </w:t>
      </w:r>
      <w:r w:rsidRPr="002029AF">
        <w:t>service</w:t>
      </w:r>
      <w:r w:rsidR="000A5329" w:rsidRPr="002029AF">
        <w:t xml:space="preserve"> </w:t>
      </w:r>
      <w:r w:rsidRPr="002029AF">
        <w:t>concession</w:t>
      </w:r>
      <w:r w:rsidR="000A5329" w:rsidRPr="002029AF">
        <w:t xml:space="preserve"> </w:t>
      </w:r>
      <w:r w:rsidRPr="002029AF">
        <w:t>asset</w:t>
      </w:r>
      <w:r w:rsidR="000A5329" w:rsidRPr="002029AF">
        <w:t xml:space="preserve"> </w:t>
      </w:r>
      <w:r w:rsidRPr="002029AF">
        <w:t>as</w:t>
      </w:r>
      <w:r w:rsidR="000A5329" w:rsidRPr="002029AF">
        <w:t xml:space="preserve"> </w:t>
      </w:r>
      <w:r w:rsidRPr="002029AF">
        <w:t>AASB</w:t>
      </w:r>
      <w:r w:rsidR="000A5329" w:rsidRPr="002029AF">
        <w:t xml:space="preserve"> </w:t>
      </w:r>
      <w:r w:rsidRPr="002029AF">
        <w:t>16</w:t>
      </w:r>
      <w:r w:rsidR="000A5329" w:rsidRPr="002029AF">
        <w:t xml:space="preserve"> </w:t>
      </w:r>
      <w:r w:rsidRPr="002029AF">
        <w:rPr>
          <w:rStyle w:val="Emphasis"/>
        </w:rPr>
        <w:t>Leases</w:t>
      </w:r>
      <w:r w:rsidR="000A5329" w:rsidRPr="002029AF">
        <w:t xml:space="preserve"> </w:t>
      </w:r>
      <w:r w:rsidRPr="002029AF">
        <w:t>and</w:t>
      </w:r>
      <w:r w:rsidR="000A5329" w:rsidRPr="002029AF">
        <w:t xml:space="preserve"> </w:t>
      </w:r>
      <w:r w:rsidRPr="002029AF">
        <w:t>AASB</w:t>
      </w:r>
      <w:r w:rsidR="000A5329" w:rsidRPr="002029AF">
        <w:t xml:space="preserve"> </w:t>
      </w:r>
      <w:r w:rsidRPr="002029AF">
        <w:t>1059</w:t>
      </w:r>
      <w:r w:rsidR="000A5329" w:rsidRPr="002029AF">
        <w:t xml:space="preserve"> </w:t>
      </w:r>
      <w:r w:rsidRPr="002029AF">
        <w:rPr>
          <w:rStyle w:val="Emphasis"/>
        </w:rPr>
        <w:t>Service</w:t>
      </w:r>
      <w:r w:rsidR="000A5329" w:rsidRPr="002029AF">
        <w:rPr>
          <w:rStyle w:val="Emphasis"/>
        </w:rPr>
        <w:t xml:space="preserve"> </w:t>
      </w:r>
      <w:r w:rsidRPr="002029AF">
        <w:rPr>
          <w:rStyle w:val="Emphasis"/>
        </w:rPr>
        <w:t>Concession</w:t>
      </w:r>
      <w:r w:rsidR="000A5329" w:rsidRPr="002029AF">
        <w:rPr>
          <w:rStyle w:val="Emphasis"/>
        </w:rPr>
        <w:t xml:space="preserve"> </w:t>
      </w:r>
      <w:r w:rsidRPr="002029AF">
        <w:rPr>
          <w:rStyle w:val="Emphasis"/>
        </w:rPr>
        <w:t>Arrangements:</w:t>
      </w:r>
      <w:r w:rsidR="000A5329" w:rsidRPr="002029AF">
        <w:rPr>
          <w:rStyle w:val="Emphasis"/>
        </w:rPr>
        <w:t xml:space="preserve"> </w:t>
      </w:r>
      <w:r w:rsidRPr="002029AF">
        <w:rPr>
          <w:rStyle w:val="Emphasis"/>
        </w:rPr>
        <w:t>Grantors</w:t>
      </w:r>
      <w:r w:rsidR="000A5329" w:rsidRPr="002029AF">
        <w:t xml:space="preserve"> </w:t>
      </w:r>
      <w:r w:rsidRPr="002029AF">
        <w:t>have</w:t>
      </w:r>
      <w:r w:rsidR="000A5329" w:rsidRPr="002029AF">
        <w:t xml:space="preserve"> </w:t>
      </w:r>
      <w:r w:rsidRPr="002029AF">
        <w:t>been</w:t>
      </w:r>
      <w:r w:rsidR="000A5329" w:rsidRPr="002029AF">
        <w:t xml:space="preserve"> </w:t>
      </w:r>
      <w:r w:rsidRPr="002029AF">
        <w:t>applied</w:t>
      </w:r>
      <w:r w:rsidR="000A5329" w:rsidRPr="002029AF">
        <w:t xml:space="preserve"> </w:t>
      </w:r>
      <w:r w:rsidRPr="002029AF">
        <w:t>for</w:t>
      </w:r>
      <w:r w:rsidR="000A5329" w:rsidRPr="002029AF">
        <w:t xml:space="preserve"> </w:t>
      </w:r>
      <w:r w:rsidRPr="002029AF">
        <w:t>the</w:t>
      </w:r>
      <w:r w:rsidR="000A5329" w:rsidRPr="002029AF">
        <w:t xml:space="preserve"> </w:t>
      </w:r>
      <w:r w:rsidRPr="002029AF">
        <w:t>first</w:t>
      </w:r>
      <w:r w:rsidR="000A5329" w:rsidRPr="002029AF">
        <w:t xml:space="preserve"> </w:t>
      </w:r>
      <w:r w:rsidRPr="002029AF">
        <w:t>time</w:t>
      </w:r>
      <w:r w:rsidR="000A5329" w:rsidRPr="002029AF">
        <w:t xml:space="preserve"> </w:t>
      </w:r>
      <w:r w:rsidRPr="002029AF">
        <w:t>from</w:t>
      </w:r>
      <w:r w:rsidR="000A5329" w:rsidRPr="002029AF">
        <w:t xml:space="preserve"> </w:t>
      </w:r>
      <w:r w:rsidRPr="002029AF">
        <w:t>1</w:t>
      </w:r>
      <w:r w:rsidR="000A5329" w:rsidRPr="002029AF">
        <w:t xml:space="preserve"> </w:t>
      </w:r>
      <w:r w:rsidRPr="002029AF">
        <w:t>July</w:t>
      </w:r>
      <w:r w:rsidR="000A5329" w:rsidRPr="002029AF">
        <w:t xml:space="preserve"> </w:t>
      </w:r>
      <w:r w:rsidRPr="002029AF">
        <w:t>2019.</w:t>
      </w:r>
    </w:p>
    <w:p w14:paraId="14A11B97" w14:textId="6F2324EA" w:rsidR="00087B91" w:rsidRPr="002029AF" w:rsidRDefault="00087B91" w:rsidP="00087B91">
      <w:pPr>
        <w:pStyle w:val="ARfinbodyaftertable"/>
      </w:pPr>
      <w:r w:rsidRPr="002029AF">
        <w:t>All</w:t>
      </w:r>
      <w:r w:rsidR="000A5329" w:rsidRPr="002029AF">
        <w:t xml:space="preserve"> </w:t>
      </w:r>
      <w:r w:rsidRPr="002029AF">
        <w:t>buildings,</w:t>
      </w:r>
      <w:r w:rsidR="000A5329" w:rsidRPr="002029AF">
        <w:t xml:space="preserve"> </w:t>
      </w:r>
      <w:r w:rsidRPr="002029AF">
        <w:t>plant,</w:t>
      </w:r>
      <w:r w:rsidR="000A5329" w:rsidRPr="002029AF">
        <w:t xml:space="preserve"> </w:t>
      </w:r>
      <w:r w:rsidRPr="002029AF">
        <w:t>equipment,</w:t>
      </w:r>
      <w:r w:rsidR="000A5329" w:rsidRPr="002029AF">
        <w:t xml:space="preserve"> </w:t>
      </w:r>
      <w:r w:rsidRPr="002029AF">
        <w:t>vehicles</w:t>
      </w:r>
      <w:r w:rsidR="000A5329" w:rsidRPr="002029AF">
        <w:t xml:space="preserve"> </w:t>
      </w:r>
      <w:r w:rsidRPr="002029AF">
        <w:t>and</w:t>
      </w:r>
      <w:r w:rsidR="000A5329" w:rsidRPr="002029AF">
        <w:t xml:space="preserve"> </w:t>
      </w:r>
      <w:r w:rsidRPr="002029AF">
        <w:t>other</w:t>
      </w:r>
      <w:r w:rsidR="000A5329" w:rsidRPr="002029AF">
        <w:t xml:space="preserve"> </w:t>
      </w:r>
      <w:r w:rsidRPr="002029AF">
        <w:t>non-current</w:t>
      </w:r>
      <w:r w:rsidR="000A5329" w:rsidRPr="002029AF">
        <w:t xml:space="preserve"> </w:t>
      </w:r>
      <w:r w:rsidRPr="002029AF">
        <w:t>physical</w:t>
      </w:r>
      <w:r w:rsidR="000A5329" w:rsidRPr="002029AF">
        <w:t xml:space="preserve"> </w:t>
      </w:r>
      <w:r w:rsidRPr="002029AF">
        <w:t>assets</w:t>
      </w:r>
      <w:r w:rsidR="000A5329" w:rsidRPr="002029AF">
        <w:t xml:space="preserve"> </w:t>
      </w:r>
      <w:r w:rsidRPr="002029AF">
        <w:t>that</w:t>
      </w:r>
      <w:r w:rsidR="000A5329" w:rsidRPr="002029AF">
        <w:t xml:space="preserve"> </w:t>
      </w:r>
      <w:r w:rsidRPr="002029AF">
        <w:t>have</w:t>
      </w:r>
      <w:r w:rsidR="000A5329" w:rsidRPr="002029AF">
        <w:t xml:space="preserve"> </w:t>
      </w:r>
      <w:r w:rsidRPr="002029AF">
        <w:t>finite</w:t>
      </w:r>
      <w:r w:rsidR="000A5329" w:rsidRPr="002029AF">
        <w:t xml:space="preserve"> </w:t>
      </w:r>
      <w:r w:rsidRPr="002029AF">
        <w:t>useful</w:t>
      </w:r>
      <w:r w:rsidR="000A5329" w:rsidRPr="002029AF">
        <w:t xml:space="preserve"> </w:t>
      </w:r>
      <w:r w:rsidRPr="002029AF">
        <w:t>lives</w:t>
      </w:r>
      <w:r w:rsidR="000A5329" w:rsidRPr="002029AF">
        <w:t xml:space="preserve"> </w:t>
      </w:r>
      <w:r w:rsidRPr="002029AF">
        <w:t>are</w:t>
      </w:r>
      <w:r w:rsidR="000A5329" w:rsidRPr="002029AF">
        <w:t xml:space="preserve"> </w:t>
      </w:r>
      <w:r w:rsidRPr="002029AF">
        <w:t>depreciated.</w:t>
      </w:r>
      <w:r w:rsidR="000A5329" w:rsidRPr="002029AF">
        <w:t xml:space="preserve"> </w:t>
      </w:r>
      <w:r w:rsidRPr="002029AF">
        <w:t>The</w:t>
      </w:r>
      <w:r w:rsidR="000A5329" w:rsidRPr="002029AF">
        <w:t xml:space="preserve"> </w:t>
      </w:r>
      <w:r w:rsidRPr="002029AF">
        <w:t>exceptions</w:t>
      </w:r>
      <w:r w:rsidR="000A5329" w:rsidRPr="002029AF">
        <w:t xml:space="preserve"> </w:t>
      </w:r>
      <w:r w:rsidRPr="002029AF">
        <w:t>to</w:t>
      </w:r>
      <w:r w:rsidR="000A5329" w:rsidRPr="002029AF">
        <w:t xml:space="preserve"> </w:t>
      </w:r>
      <w:r w:rsidRPr="002029AF">
        <w:t>this</w:t>
      </w:r>
      <w:r w:rsidR="000A5329" w:rsidRPr="002029AF">
        <w:t xml:space="preserve"> </w:t>
      </w:r>
      <w:r w:rsidRPr="002029AF">
        <w:t>rule</w:t>
      </w:r>
      <w:r w:rsidR="000A5329" w:rsidRPr="002029AF">
        <w:t xml:space="preserve"> </w:t>
      </w:r>
      <w:r w:rsidRPr="002029AF">
        <w:t>include</w:t>
      </w:r>
      <w:r w:rsidR="000A5329" w:rsidRPr="002029AF">
        <w:t xml:space="preserve"> </w:t>
      </w:r>
      <w:r w:rsidRPr="002029AF">
        <w:t>items</w:t>
      </w:r>
      <w:r w:rsidR="000A5329" w:rsidRPr="002029AF">
        <w:t xml:space="preserve"> </w:t>
      </w:r>
      <w:r w:rsidRPr="002029AF">
        <w:t>under</w:t>
      </w:r>
      <w:r w:rsidR="000A5329" w:rsidRPr="002029AF">
        <w:t xml:space="preserve"> </w:t>
      </w:r>
      <w:r w:rsidRPr="002029AF">
        <w:t>assets</w:t>
      </w:r>
      <w:r w:rsidR="000A5329" w:rsidRPr="002029AF">
        <w:t xml:space="preserve"> </w:t>
      </w:r>
      <w:r w:rsidRPr="002029AF">
        <w:t>held</w:t>
      </w:r>
      <w:r w:rsidR="000A5329" w:rsidRPr="002029AF">
        <w:t xml:space="preserve"> </w:t>
      </w:r>
      <w:r w:rsidRPr="002029AF">
        <w:t>for</w:t>
      </w:r>
      <w:r w:rsidR="000A5329" w:rsidRPr="002029AF">
        <w:t xml:space="preserve"> </w:t>
      </w:r>
      <w:r w:rsidRPr="002029AF">
        <w:t>sale</w:t>
      </w:r>
      <w:r w:rsidR="000A5329" w:rsidRPr="002029AF">
        <w:t xml:space="preserve"> </w:t>
      </w:r>
      <w:r w:rsidRPr="002029AF">
        <w:t>and</w:t>
      </w:r>
      <w:r w:rsidR="000A5329" w:rsidRPr="002029AF">
        <w:t xml:space="preserve"> </w:t>
      </w:r>
      <w:r w:rsidRPr="002029AF">
        <w:t>land.</w:t>
      </w:r>
    </w:p>
    <w:p w14:paraId="03AC22BC" w14:textId="16E72331" w:rsidR="00087B91" w:rsidRPr="002029AF" w:rsidRDefault="00087B91" w:rsidP="00087B91">
      <w:pPr>
        <w:pStyle w:val="ARfinbody"/>
      </w:pPr>
      <w:r w:rsidRPr="002029AF">
        <w:t>Depreciation</w:t>
      </w:r>
      <w:r w:rsidR="000A5329" w:rsidRPr="002029AF">
        <w:t xml:space="preserve"> </w:t>
      </w:r>
      <w:r w:rsidRPr="002029AF">
        <w:t>is</w:t>
      </w:r>
      <w:r w:rsidR="000A5329" w:rsidRPr="002029AF">
        <w:t xml:space="preserve"> </w:t>
      </w:r>
      <w:r w:rsidRPr="002029AF">
        <w:t>calculated</w:t>
      </w:r>
      <w:r w:rsidR="000A5329" w:rsidRPr="002029AF">
        <w:t xml:space="preserve"> </w:t>
      </w:r>
      <w:r w:rsidRPr="002029AF">
        <w:t>on</w:t>
      </w:r>
      <w:r w:rsidR="000A5329" w:rsidRPr="002029AF">
        <w:t xml:space="preserve"> </w:t>
      </w:r>
      <w:r w:rsidRPr="002029AF">
        <w:t>a</w:t>
      </w:r>
      <w:r w:rsidR="000A5329" w:rsidRPr="002029AF">
        <w:t xml:space="preserve"> </w:t>
      </w:r>
      <w:r w:rsidRPr="002029AF">
        <w:t>straight-line</w:t>
      </w:r>
      <w:r w:rsidR="000A5329" w:rsidRPr="002029AF">
        <w:t xml:space="preserve"> </w:t>
      </w:r>
      <w:r w:rsidRPr="002029AF">
        <w:t>basis</w:t>
      </w:r>
      <w:r w:rsidR="000A5329" w:rsidRPr="002029AF">
        <w:t xml:space="preserve"> </w:t>
      </w:r>
      <w:r w:rsidRPr="002029AF">
        <w:t>at</w:t>
      </w:r>
      <w:r w:rsidR="000A5329" w:rsidRPr="002029AF">
        <w:t xml:space="preserve"> </w:t>
      </w:r>
      <w:r w:rsidRPr="002029AF">
        <w:t>rates</w:t>
      </w:r>
      <w:r w:rsidR="000A5329" w:rsidRPr="002029AF">
        <w:t xml:space="preserve"> </w:t>
      </w:r>
      <w:r w:rsidRPr="002029AF">
        <w:t>that</w:t>
      </w:r>
      <w:r w:rsidR="000A5329" w:rsidRPr="002029AF">
        <w:t xml:space="preserve"> </w:t>
      </w:r>
      <w:r w:rsidRPr="002029AF">
        <w:t>allocate</w:t>
      </w:r>
      <w:r w:rsidR="000A5329" w:rsidRPr="002029AF">
        <w:t xml:space="preserve"> </w:t>
      </w:r>
      <w:r w:rsidRPr="002029AF">
        <w:t>the</w:t>
      </w:r>
      <w:r w:rsidR="000A5329" w:rsidRPr="002029AF">
        <w:t xml:space="preserve"> </w:t>
      </w:r>
      <w:r w:rsidRPr="002029AF">
        <w:t>asset</w:t>
      </w:r>
      <w:r w:rsidR="000A5329" w:rsidRPr="002029AF">
        <w:t xml:space="preserve"> </w:t>
      </w:r>
      <w:r w:rsidRPr="002029AF">
        <w:t>value,</w:t>
      </w:r>
      <w:r w:rsidR="000A5329" w:rsidRPr="002029AF">
        <w:t xml:space="preserve"> </w:t>
      </w:r>
      <w:r w:rsidRPr="002029AF">
        <w:t>less</w:t>
      </w:r>
      <w:r w:rsidR="000A5329" w:rsidRPr="002029AF">
        <w:t xml:space="preserve"> </w:t>
      </w:r>
      <w:r w:rsidRPr="002029AF">
        <w:t>any</w:t>
      </w:r>
      <w:r w:rsidR="000A5329" w:rsidRPr="002029AF">
        <w:t xml:space="preserve"> </w:t>
      </w:r>
      <w:r w:rsidRPr="002029AF">
        <w:t>estimated</w:t>
      </w:r>
      <w:r w:rsidR="000A5329" w:rsidRPr="002029AF">
        <w:t xml:space="preserve"> </w:t>
      </w:r>
      <w:r w:rsidRPr="002029AF">
        <w:t>residual</w:t>
      </w:r>
      <w:r w:rsidR="000A5329" w:rsidRPr="002029AF">
        <w:t xml:space="preserve"> </w:t>
      </w:r>
      <w:r w:rsidRPr="002029AF">
        <w:t>value,</w:t>
      </w:r>
      <w:r w:rsidR="000A5329" w:rsidRPr="002029AF">
        <w:t xml:space="preserve"> </w:t>
      </w:r>
      <w:r w:rsidRPr="002029AF">
        <w:t>over</w:t>
      </w:r>
      <w:r w:rsidR="000A5329" w:rsidRPr="002029AF">
        <w:t xml:space="preserve"> </w:t>
      </w:r>
      <w:r w:rsidRPr="002029AF">
        <w:t>its</w:t>
      </w:r>
      <w:r w:rsidR="000A5329" w:rsidRPr="002029AF">
        <w:t xml:space="preserve"> </w:t>
      </w:r>
      <w:r w:rsidRPr="002029AF">
        <w:t>estimated</w:t>
      </w:r>
      <w:r w:rsidR="000A5329" w:rsidRPr="002029AF">
        <w:t xml:space="preserve"> </w:t>
      </w:r>
      <w:r w:rsidRPr="002029AF">
        <w:t>useful</w:t>
      </w:r>
      <w:r w:rsidR="000A5329" w:rsidRPr="002029AF">
        <w:t xml:space="preserve"> </w:t>
      </w:r>
      <w:r w:rsidRPr="002029AF">
        <w:t>life.</w:t>
      </w:r>
    </w:p>
    <w:p w14:paraId="7DBD4695" w14:textId="1FE03DC3" w:rsidR="00087B91" w:rsidRPr="002029AF" w:rsidRDefault="00087B91" w:rsidP="00087B91">
      <w:pPr>
        <w:pStyle w:val="ARfinbodylargespace"/>
      </w:pPr>
      <w:r w:rsidRPr="002029AF">
        <w:t>Typical</w:t>
      </w:r>
      <w:r w:rsidR="000A5329" w:rsidRPr="002029AF">
        <w:t xml:space="preserve"> </w:t>
      </w:r>
      <w:r w:rsidRPr="002029AF">
        <w:t>estimated</w:t>
      </w:r>
      <w:r w:rsidR="000A5329" w:rsidRPr="002029AF">
        <w:t xml:space="preserve"> </w:t>
      </w:r>
      <w:r w:rsidRPr="002029AF">
        <w:t>useful</w:t>
      </w:r>
      <w:r w:rsidR="000A5329" w:rsidRPr="002029AF">
        <w:t xml:space="preserve"> </w:t>
      </w:r>
      <w:r w:rsidRPr="002029AF">
        <w:t>lives</w:t>
      </w:r>
      <w:r w:rsidR="000A5329" w:rsidRPr="002029AF">
        <w:t xml:space="preserve"> </w:t>
      </w:r>
      <w:r w:rsidRPr="002029AF">
        <w:t>for</w:t>
      </w:r>
      <w:r w:rsidR="000A5329" w:rsidRPr="002029AF">
        <w:t xml:space="preserve"> </w:t>
      </w:r>
      <w:r w:rsidRPr="002029AF">
        <w:t>the</w:t>
      </w:r>
      <w:r w:rsidR="000A5329" w:rsidRPr="002029AF">
        <w:t xml:space="preserve"> </w:t>
      </w:r>
      <w:r w:rsidRPr="002029AF">
        <w:t>different</w:t>
      </w:r>
      <w:r w:rsidR="000A5329" w:rsidRPr="002029AF">
        <w:t xml:space="preserve"> </w:t>
      </w:r>
      <w:r w:rsidRPr="002029AF">
        <w:t>asset</w:t>
      </w:r>
      <w:r w:rsidR="000A5329" w:rsidRPr="002029AF">
        <w:t xml:space="preserve"> </w:t>
      </w:r>
      <w:r w:rsidRPr="002029AF">
        <w:t>classes</w:t>
      </w:r>
      <w:r w:rsidR="000A5329" w:rsidRPr="002029AF">
        <w:t xml:space="preserve"> </w:t>
      </w:r>
      <w:r w:rsidRPr="002029AF">
        <w:t>for</w:t>
      </w:r>
      <w:r w:rsidR="000A5329" w:rsidRPr="002029AF">
        <w:t xml:space="preserve"> </w:t>
      </w:r>
      <w:r w:rsidRPr="002029AF">
        <w:t>the</w:t>
      </w:r>
      <w:r w:rsidR="000A5329" w:rsidRPr="002029AF">
        <w:t xml:space="preserve"> </w:t>
      </w:r>
      <w:r w:rsidRPr="002029AF">
        <w:t>current</w:t>
      </w:r>
      <w:r w:rsidR="000A5329" w:rsidRPr="002029AF">
        <w:t xml:space="preserve"> </w:t>
      </w:r>
      <w:r w:rsidRPr="002029AF">
        <w:t>and</w:t>
      </w:r>
      <w:r w:rsidR="000A5329" w:rsidRPr="002029AF">
        <w:t xml:space="preserve"> </w:t>
      </w:r>
      <w:r w:rsidRPr="002029AF">
        <w:t>prior</w:t>
      </w:r>
      <w:r w:rsidR="000A5329" w:rsidRPr="002029AF">
        <w:t xml:space="preserve"> </w:t>
      </w:r>
      <w:r w:rsidRPr="002029AF">
        <w:t>year</w:t>
      </w:r>
      <w:r w:rsidR="000A5329" w:rsidRPr="002029AF">
        <w:t xml:space="preserve"> </w:t>
      </w:r>
      <w:r w:rsidRPr="002029AF">
        <w:t>are</w:t>
      </w:r>
      <w:r w:rsidR="000A5329" w:rsidRPr="002029AF">
        <w:t xml:space="preserve"> </w:t>
      </w:r>
      <w:r w:rsidRPr="002029AF">
        <w:t>included</w:t>
      </w:r>
      <w:r w:rsidR="000A5329" w:rsidRPr="002029AF">
        <w:t xml:space="preserve"> </w:t>
      </w:r>
      <w:r w:rsidRPr="002029AF">
        <w:t>in</w:t>
      </w:r>
      <w:r w:rsidR="000A5329" w:rsidRPr="002029AF">
        <w:t xml:space="preserve"> </w:t>
      </w:r>
      <w:r w:rsidRPr="002029AF">
        <w:t>the</w:t>
      </w:r>
      <w:r w:rsidR="000A5329" w:rsidRPr="002029AF">
        <w:t xml:space="preserve"> </w:t>
      </w:r>
      <w:r w:rsidRPr="002029AF">
        <w:t>table</w:t>
      </w:r>
      <w:r w:rsidR="000A5329" w:rsidRPr="002029AF">
        <w:t xml:space="preserve"> </w:t>
      </w:r>
      <w:r w:rsidRPr="002029AF">
        <w:t>below:</w:t>
      </w:r>
    </w:p>
    <w:tbl>
      <w:tblPr>
        <w:tblStyle w:val="TableGrid"/>
        <w:tblW w:w="9639" w:type="dxa"/>
        <w:tblLook w:val="06A0" w:firstRow="1" w:lastRow="0" w:firstColumn="1" w:lastColumn="0" w:noHBand="1" w:noVBand="1"/>
      </w:tblPr>
      <w:tblGrid>
        <w:gridCol w:w="6237"/>
        <w:gridCol w:w="1701"/>
        <w:gridCol w:w="1701"/>
      </w:tblGrid>
      <w:tr w:rsidR="00087B91" w:rsidRPr="002029AF" w14:paraId="71856955"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6237" w:type="dxa"/>
            <w:tcBorders>
              <w:bottom w:val="single" w:sz="4" w:space="0" w:color="auto"/>
            </w:tcBorders>
          </w:tcPr>
          <w:p w14:paraId="6149BC7C" w14:textId="4E752C7B" w:rsidR="00087B91" w:rsidRPr="002029AF" w:rsidRDefault="00087B91" w:rsidP="00860E95">
            <w:pPr>
              <w:pStyle w:val="ARfintablecolhead"/>
            </w:pPr>
            <w:r w:rsidRPr="002029AF">
              <w:t>Asset</w:t>
            </w:r>
            <w:r w:rsidR="000A5329" w:rsidRPr="002029AF">
              <w:t xml:space="preserve"> </w:t>
            </w:r>
            <w:r w:rsidRPr="002029AF">
              <w:t>class</w:t>
            </w:r>
          </w:p>
        </w:tc>
        <w:tc>
          <w:tcPr>
            <w:tcW w:w="1701" w:type="dxa"/>
            <w:tcBorders>
              <w:bottom w:val="single" w:sz="4" w:space="0" w:color="auto"/>
            </w:tcBorders>
          </w:tcPr>
          <w:p w14:paraId="64D0D2B6" w14:textId="77777777" w:rsidR="00087B91" w:rsidRPr="002029AF" w:rsidRDefault="00087B91" w:rsidP="00860E95">
            <w:pPr>
              <w:pStyle w:val="ARfintablecolheadright"/>
            </w:pPr>
            <w:r w:rsidRPr="002029AF">
              <w:t>2020</w:t>
            </w:r>
          </w:p>
        </w:tc>
        <w:tc>
          <w:tcPr>
            <w:tcW w:w="1701" w:type="dxa"/>
            <w:tcBorders>
              <w:bottom w:val="single" w:sz="4" w:space="0" w:color="auto"/>
            </w:tcBorders>
          </w:tcPr>
          <w:p w14:paraId="3A307F03" w14:textId="77777777" w:rsidR="00087B91" w:rsidRPr="002029AF" w:rsidRDefault="00087B91" w:rsidP="00860E95">
            <w:pPr>
              <w:pStyle w:val="ARfintablecolheadright"/>
            </w:pPr>
            <w:r w:rsidRPr="002029AF">
              <w:t>2019</w:t>
            </w:r>
          </w:p>
        </w:tc>
      </w:tr>
      <w:tr w:rsidR="00087B91" w:rsidRPr="002029AF" w14:paraId="58503D50" w14:textId="77777777" w:rsidTr="00860E95">
        <w:tc>
          <w:tcPr>
            <w:tcW w:w="6237" w:type="dxa"/>
            <w:tcBorders>
              <w:top w:val="single" w:sz="4" w:space="0" w:color="auto"/>
              <w:bottom w:val="single" w:sz="4" w:space="0" w:color="A6A6A6"/>
            </w:tcBorders>
          </w:tcPr>
          <w:p w14:paraId="2626DA84" w14:textId="77777777" w:rsidR="00087B91" w:rsidRPr="002029AF" w:rsidRDefault="00087B91" w:rsidP="00860E95">
            <w:pPr>
              <w:pStyle w:val="ARfintablebody"/>
            </w:pPr>
            <w:r w:rsidRPr="002029AF">
              <w:t>Buildings</w:t>
            </w:r>
          </w:p>
        </w:tc>
        <w:tc>
          <w:tcPr>
            <w:tcW w:w="1701" w:type="dxa"/>
            <w:tcBorders>
              <w:top w:val="single" w:sz="4" w:space="0" w:color="auto"/>
              <w:bottom w:val="single" w:sz="4" w:space="0" w:color="A6A6A6"/>
            </w:tcBorders>
          </w:tcPr>
          <w:p w14:paraId="3B99BE83" w14:textId="454C0491" w:rsidR="00087B91" w:rsidRPr="002029AF" w:rsidRDefault="00087B91" w:rsidP="00860E95">
            <w:pPr>
              <w:pStyle w:val="ARfintablebodyright"/>
            </w:pPr>
            <w:r w:rsidRPr="002029AF">
              <w:t>5</w:t>
            </w:r>
            <w:r w:rsidR="000A5329" w:rsidRPr="002029AF">
              <w:t xml:space="preserve"> </w:t>
            </w:r>
            <w:r w:rsidRPr="002029AF">
              <w:t>to</w:t>
            </w:r>
            <w:r w:rsidR="000A5329" w:rsidRPr="002029AF">
              <w:t xml:space="preserve"> </w:t>
            </w:r>
            <w:r w:rsidRPr="002029AF">
              <w:t>85</w:t>
            </w:r>
            <w:r w:rsidR="000A5329" w:rsidRPr="002029AF">
              <w:t xml:space="preserve"> </w:t>
            </w:r>
            <w:r w:rsidRPr="002029AF">
              <w:t>years</w:t>
            </w:r>
          </w:p>
        </w:tc>
        <w:tc>
          <w:tcPr>
            <w:tcW w:w="1701" w:type="dxa"/>
            <w:tcBorders>
              <w:top w:val="single" w:sz="4" w:space="0" w:color="auto"/>
              <w:bottom w:val="single" w:sz="4" w:space="0" w:color="A6A6A6"/>
            </w:tcBorders>
          </w:tcPr>
          <w:p w14:paraId="142E8926" w14:textId="7882D2DD" w:rsidR="00087B91" w:rsidRPr="002029AF" w:rsidRDefault="00087B91" w:rsidP="00860E95">
            <w:pPr>
              <w:pStyle w:val="ARfintablebodyright"/>
            </w:pPr>
            <w:r w:rsidRPr="002029AF">
              <w:t>5</w:t>
            </w:r>
            <w:r w:rsidR="000A5329" w:rsidRPr="002029AF">
              <w:t xml:space="preserve"> </w:t>
            </w:r>
            <w:r w:rsidRPr="002029AF">
              <w:t>to</w:t>
            </w:r>
            <w:r w:rsidR="000A5329" w:rsidRPr="002029AF">
              <w:t xml:space="preserve"> </w:t>
            </w:r>
            <w:r w:rsidRPr="002029AF">
              <w:t>85</w:t>
            </w:r>
            <w:r w:rsidR="000A5329" w:rsidRPr="002029AF">
              <w:t xml:space="preserve"> </w:t>
            </w:r>
            <w:r w:rsidRPr="002029AF">
              <w:t>years</w:t>
            </w:r>
          </w:p>
        </w:tc>
      </w:tr>
      <w:tr w:rsidR="00087B91" w:rsidRPr="002029AF" w14:paraId="3B5F7B34" w14:textId="77777777" w:rsidTr="00860E95">
        <w:tc>
          <w:tcPr>
            <w:tcW w:w="6237" w:type="dxa"/>
            <w:tcBorders>
              <w:top w:val="single" w:sz="4" w:space="0" w:color="A6A6A6"/>
              <w:bottom w:val="single" w:sz="4" w:space="0" w:color="A6A6A6"/>
            </w:tcBorders>
          </w:tcPr>
          <w:p w14:paraId="194CFCFB" w14:textId="1117A004" w:rsidR="00087B91" w:rsidRPr="002029AF" w:rsidRDefault="00087B91" w:rsidP="00860E95">
            <w:pPr>
              <w:pStyle w:val="ARfintablebody"/>
            </w:pPr>
            <w:r w:rsidRPr="002029AF">
              <w:t>Plant,</w:t>
            </w:r>
            <w:r w:rsidR="000A5329" w:rsidRPr="002029AF">
              <w:t xml:space="preserve"> </w:t>
            </w:r>
            <w:r w:rsidRPr="002029AF">
              <w:t>equipment</w:t>
            </w:r>
            <w:r w:rsidR="000A5329" w:rsidRPr="002029AF">
              <w:t xml:space="preserve"> </w:t>
            </w:r>
            <w:r w:rsidRPr="002029AF">
              <w:t>and</w:t>
            </w:r>
            <w:r w:rsidR="000A5329" w:rsidRPr="002029AF">
              <w:t xml:space="preserve"> </w:t>
            </w:r>
            <w:r w:rsidRPr="002029AF">
              <w:t>vehicles</w:t>
            </w:r>
          </w:p>
        </w:tc>
        <w:tc>
          <w:tcPr>
            <w:tcW w:w="1701" w:type="dxa"/>
            <w:tcBorders>
              <w:top w:val="single" w:sz="4" w:space="0" w:color="A6A6A6"/>
              <w:bottom w:val="single" w:sz="4" w:space="0" w:color="A6A6A6"/>
            </w:tcBorders>
          </w:tcPr>
          <w:p w14:paraId="3991F7A2" w14:textId="0A8571AB" w:rsidR="00087B91" w:rsidRPr="002029AF" w:rsidRDefault="00087B91" w:rsidP="00860E95">
            <w:pPr>
              <w:pStyle w:val="ARfintablebodyright"/>
            </w:pPr>
            <w:r w:rsidRPr="002029AF">
              <w:t>3</w:t>
            </w:r>
            <w:r w:rsidR="000A5329" w:rsidRPr="002029AF">
              <w:t xml:space="preserve"> </w:t>
            </w:r>
            <w:r w:rsidRPr="002029AF">
              <w:t>to</w:t>
            </w:r>
            <w:r w:rsidR="000A5329" w:rsidRPr="002029AF">
              <w:t xml:space="preserve"> </w:t>
            </w:r>
            <w:r w:rsidRPr="002029AF">
              <w:t>15</w:t>
            </w:r>
            <w:r w:rsidR="000A5329" w:rsidRPr="002029AF">
              <w:t xml:space="preserve"> </w:t>
            </w:r>
            <w:r w:rsidRPr="002029AF">
              <w:t>years</w:t>
            </w:r>
          </w:p>
        </w:tc>
        <w:tc>
          <w:tcPr>
            <w:tcW w:w="1701" w:type="dxa"/>
            <w:tcBorders>
              <w:top w:val="single" w:sz="4" w:space="0" w:color="A6A6A6"/>
              <w:bottom w:val="single" w:sz="4" w:space="0" w:color="A6A6A6"/>
            </w:tcBorders>
          </w:tcPr>
          <w:p w14:paraId="2FD5E283" w14:textId="581CD622" w:rsidR="00087B91" w:rsidRPr="002029AF" w:rsidRDefault="00087B91" w:rsidP="00860E95">
            <w:pPr>
              <w:pStyle w:val="ARfintablebodyright"/>
            </w:pPr>
            <w:r w:rsidRPr="002029AF">
              <w:t>3</w:t>
            </w:r>
            <w:r w:rsidR="000A5329" w:rsidRPr="002029AF">
              <w:t xml:space="preserve"> </w:t>
            </w:r>
            <w:r w:rsidRPr="002029AF">
              <w:t>to</w:t>
            </w:r>
            <w:r w:rsidR="000A5329" w:rsidRPr="002029AF">
              <w:t xml:space="preserve"> </w:t>
            </w:r>
            <w:r w:rsidRPr="002029AF">
              <w:t>15</w:t>
            </w:r>
            <w:r w:rsidR="000A5329" w:rsidRPr="002029AF">
              <w:t xml:space="preserve"> </w:t>
            </w:r>
            <w:r w:rsidRPr="002029AF">
              <w:t>years</w:t>
            </w:r>
          </w:p>
        </w:tc>
      </w:tr>
      <w:tr w:rsidR="00087B91" w:rsidRPr="002029AF" w14:paraId="33561C5B" w14:textId="77777777" w:rsidTr="00860E95">
        <w:tc>
          <w:tcPr>
            <w:tcW w:w="6237" w:type="dxa"/>
            <w:tcBorders>
              <w:top w:val="single" w:sz="4" w:space="0" w:color="A6A6A6"/>
            </w:tcBorders>
          </w:tcPr>
          <w:p w14:paraId="59065BE5" w14:textId="3EBF471C" w:rsidR="00087B91" w:rsidRPr="002029AF" w:rsidRDefault="00087B91" w:rsidP="00860E95">
            <w:pPr>
              <w:pStyle w:val="ARfintablebody"/>
            </w:pPr>
            <w:r w:rsidRPr="002029AF">
              <w:t>Intangible</w:t>
            </w:r>
            <w:r w:rsidR="000A5329" w:rsidRPr="002029AF">
              <w:t xml:space="preserve"> </w:t>
            </w:r>
            <w:r w:rsidRPr="002029AF">
              <w:t>assets</w:t>
            </w:r>
          </w:p>
        </w:tc>
        <w:tc>
          <w:tcPr>
            <w:tcW w:w="1701" w:type="dxa"/>
            <w:tcBorders>
              <w:top w:val="single" w:sz="4" w:space="0" w:color="A6A6A6"/>
            </w:tcBorders>
          </w:tcPr>
          <w:p w14:paraId="64005082" w14:textId="43511566" w:rsidR="00087B91" w:rsidRPr="002029AF" w:rsidRDefault="00087B91" w:rsidP="00860E95">
            <w:pPr>
              <w:pStyle w:val="ARfintablebodyright"/>
            </w:pPr>
            <w:r w:rsidRPr="002029AF">
              <w:t>3</w:t>
            </w:r>
            <w:r w:rsidR="000A5329" w:rsidRPr="002029AF">
              <w:t xml:space="preserve"> </w:t>
            </w:r>
            <w:r w:rsidRPr="002029AF">
              <w:t>to</w:t>
            </w:r>
            <w:r w:rsidR="000A5329" w:rsidRPr="002029AF">
              <w:t xml:space="preserve"> </w:t>
            </w:r>
            <w:r w:rsidRPr="002029AF">
              <w:t>20</w:t>
            </w:r>
            <w:r w:rsidR="000A5329" w:rsidRPr="002029AF">
              <w:t xml:space="preserve"> </w:t>
            </w:r>
            <w:r w:rsidRPr="002029AF">
              <w:t>years</w:t>
            </w:r>
          </w:p>
        </w:tc>
        <w:tc>
          <w:tcPr>
            <w:tcW w:w="1701" w:type="dxa"/>
            <w:tcBorders>
              <w:top w:val="single" w:sz="4" w:space="0" w:color="A6A6A6"/>
            </w:tcBorders>
          </w:tcPr>
          <w:p w14:paraId="7B1D6FC7" w14:textId="17E76EA6" w:rsidR="00087B91" w:rsidRPr="002029AF" w:rsidRDefault="00087B91" w:rsidP="00860E95">
            <w:pPr>
              <w:pStyle w:val="ARfintablebodyright"/>
            </w:pPr>
            <w:r w:rsidRPr="002029AF">
              <w:t>4</w:t>
            </w:r>
            <w:r w:rsidR="000A5329" w:rsidRPr="002029AF">
              <w:t xml:space="preserve"> </w:t>
            </w:r>
            <w:r w:rsidRPr="002029AF">
              <w:t>to</w:t>
            </w:r>
            <w:r w:rsidR="000A5329" w:rsidRPr="002029AF">
              <w:t xml:space="preserve"> </w:t>
            </w:r>
            <w:r w:rsidRPr="002029AF">
              <w:t>10</w:t>
            </w:r>
            <w:r w:rsidR="000A5329" w:rsidRPr="002029AF">
              <w:t xml:space="preserve"> </w:t>
            </w:r>
            <w:r w:rsidRPr="002029AF">
              <w:t>years</w:t>
            </w:r>
          </w:p>
        </w:tc>
      </w:tr>
    </w:tbl>
    <w:p w14:paraId="098A9AAA" w14:textId="71CC6A78" w:rsidR="00087B91" w:rsidRPr="002029AF" w:rsidRDefault="00087B91" w:rsidP="00087B91">
      <w:pPr>
        <w:pStyle w:val="ARfinbodyaftertable"/>
      </w:pPr>
      <w:bookmarkStart w:id="347" w:name="_Hlk47012303"/>
      <w:r w:rsidRPr="002029AF">
        <w:t>The</w:t>
      </w:r>
      <w:r w:rsidR="000A5329" w:rsidRPr="002029AF">
        <w:t xml:space="preserve"> </w:t>
      </w:r>
      <w:r w:rsidRPr="002029AF">
        <w:t>estimated</w:t>
      </w:r>
      <w:r w:rsidR="000A5329" w:rsidRPr="002029AF">
        <w:t xml:space="preserve"> </w:t>
      </w:r>
      <w:r w:rsidRPr="002029AF">
        <w:t>useful</w:t>
      </w:r>
      <w:r w:rsidR="000A5329" w:rsidRPr="002029AF">
        <w:t xml:space="preserve"> </w:t>
      </w:r>
      <w:r w:rsidRPr="002029AF">
        <w:t>lives,</w:t>
      </w:r>
      <w:r w:rsidR="000A5329" w:rsidRPr="002029AF">
        <w:t xml:space="preserve"> </w:t>
      </w:r>
      <w:r w:rsidRPr="002029AF">
        <w:t>residual</w:t>
      </w:r>
      <w:r w:rsidR="000A5329" w:rsidRPr="002029AF">
        <w:t xml:space="preserve"> </w:t>
      </w:r>
      <w:r w:rsidRPr="002029AF">
        <w:t>value</w:t>
      </w:r>
      <w:r w:rsidR="000A5329" w:rsidRPr="002029AF">
        <w:t xml:space="preserve"> </w:t>
      </w:r>
      <w:r w:rsidRPr="002029AF">
        <w:t>and</w:t>
      </w:r>
      <w:r w:rsidR="000A5329" w:rsidRPr="002029AF">
        <w:t xml:space="preserve"> </w:t>
      </w:r>
      <w:r w:rsidRPr="002029AF">
        <w:t>depreciation</w:t>
      </w:r>
      <w:r w:rsidR="000A5329" w:rsidRPr="002029AF">
        <w:t xml:space="preserve"> </w:t>
      </w:r>
      <w:r w:rsidRPr="002029AF">
        <w:t>method</w:t>
      </w:r>
      <w:r w:rsidR="000A5329" w:rsidRPr="002029AF">
        <w:t xml:space="preserve"> </w:t>
      </w:r>
      <w:r w:rsidRPr="002029AF">
        <w:t>are</w:t>
      </w:r>
      <w:r w:rsidR="000A5329" w:rsidRPr="002029AF">
        <w:t xml:space="preserve"> </w:t>
      </w:r>
      <w:r w:rsidRPr="002029AF">
        <w:t>reviewed</w:t>
      </w:r>
      <w:r w:rsidR="000A5329" w:rsidRPr="002029AF">
        <w:t xml:space="preserve"> </w:t>
      </w:r>
      <w:r w:rsidRPr="002029AF">
        <w:t>at</w:t>
      </w:r>
      <w:r w:rsidR="000A5329" w:rsidRPr="002029AF">
        <w:t xml:space="preserve"> </w:t>
      </w:r>
      <w:r w:rsidRPr="002029AF">
        <w:t>the</w:t>
      </w:r>
      <w:r w:rsidR="000A5329" w:rsidRPr="002029AF">
        <w:t xml:space="preserve"> </w:t>
      </w:r>
      <w:r w:rsidRPr="002029AF">
        <w:t>end</w:t>
      </w:r>
      <w:r w:rsidR="000A5329" w:rsidRPr="002029AF">
        <w:t xml:space="preserve"> </w:t>
      </w:r>
      <w:r w:rsidRPr="002029AF">
        <w:t>of</w:t>
      </w:r>
      <w:r w:rsidR="000A5329" w:rsidRPr="002029AF">
        <w:t xml:space="preserve"> </w:t>
      </w:r>
      <w:r w:rsidRPr="002029AF">
        <w:t>each</w:t>
      </w:r>
      <w:r w:rsidR="000A5329" w:rsidRPr="002029AF">
        <w:t xml:space="preserve"> </w:t>
      </w:r>
      <w:r w:rsidRPr="002029AF">
        <w:t>annual</w:t>
      </w:r>
      <w:r w:rsidR="000A5329" w:rsidRPr="002029AF">
        <w:t xml:space="preserve"> </w:t>
      </w:r>
      <w:r w:rsidRPr="002029AF">
        <w:t>reporting</w:t>
      </w:r>
      <w:r w:rsidR="000A5329" w:rsidRPr="002029AF">
        <w:t xml:space="preserve"> </w:t>
      </w:r>
      <w:r w:rsidRPr="002029AF">
        <w:t>period.</w:t>
      </w:r>
      <w:r w:rsidR="000A5329" w:rsidRPr="002029AF">
        <w:t xml:space="preserve"> </w:t>
      </w:r>
      <w:r w:rsidRPr="002029AF">
        <w:t>Estimated</w:t>
      </w:r>
      <w:r w:rsidR="000A5329" w:rsidRPr="002029AF">
        <w:t xml:space="preserve"> </w:t>
      </w:r>
      <w:r w:rsidRPr="002029AF">
        <w:t>useful</w:t>
      </w:r>
      <w:r w:rsidR="000A5329" w:rsidRPr="002029AF">
        <w:t xml:space="preserve"> </w:t>
      </w:r>
      <w:r w:rsidRPr="002029AF">
        <w:t>lives</w:t>
      </w:r>
      <w:r w:rsidR="000A5329" w:rsidRPr="002029AF">
        <w:t xml:space="preserve"> </w:t>
      </w:r>
      <w:r w:rsidRPr="002029AF">
        <w:t>for</w:t>
      </w:r>
      <w:r w:rsidR="000A5329" w:rsidRPr="002029AF">
        <w:t xml:space="preserve"> </w:t>
      </w:r>
      <w:r w:rsidRPr="002029AF">
        <w:t>buildings,</w:t>
      </w:r>
      <w:r w:rsidR="000A5329" w:rsidRPr="002029AF">
        <w:t xml:space="preserve"> </w:t>
      </w:r>
      <w:r w:rsidRPr="002029AF">
        <w:t>and</w:t>
      </w:r>
      <w:r w:rsidR="000A5329" w:rsidRPr="002029AF">
        <w:t xml:space="preserve"> </w:t>
      </w:r>
      <w:r w:rsidRPr="002029AF">
        <w:t>plant,</w:t>
      </w:r>
      <w:r w:rsidR="000A5329" w:rsidRPr="002029AF">
        <w:t xml:space="preserve"> </w:t>
      </w:r>
      <w:r w:rsidRPr="002029AF">
        <w:t>equipment</w:t>
      </w:r>
      <w:r w:rsidR="000A5329" w:rsidRPr="002029AF">
        <w:t xml:space="preserve"> </w:t>
      </w:r>
      <w:r w:rsidRPr="002029AF">
        <w:t>and</w:t>
      </w:r>
      <w:r w:rsidR="000A5329" w:rsidRPr="002029AF">
        <w:t xml:space="preserve"> </w:t>
      </w:r>
      <w:r w:rsidRPr="002029AF">
        <w:t>vehicles</w:t>
      </w:r>
      <w:r w:rsidR="000A5329" w:rsidRPr="002029AF">
        <w:t xml:space="preserve"> </w:t>
      </w:r>
      <w:r w:rsidRPr="002029AF">
        <w:t>remain</w:t>
      </w:r>
      <w:r w:rsidR="000A5329" w:rsidRPr="002029AF">
        <w:t xml:space="preserve"> </w:t>
      </w:r>
      <w:r w:rsidRPr="002029AF">
        <w:t>unchanged</w:t>
      </w:r>
      <w:r w:rsidR="000A5329" w:rsidRPr="002029AF">
        <w:t xml:space="preserve"> </w:t>
      </w:r>
      <w:r w:rsidRPr="002029AF">
        <w:t>since</w:t>
      </w:r>
      <w:r w:rsidR="000A5329" w:rsidRPr="002029AF">
        <w:t xml:space="preserve"> </w:t>
      </w:r>
      <w:r w:rsidRPr="002029AF">
        <w:t>June</w:t>
      </w:r>
      <w:r w:rsidR="000A5329" w:rsidRPr="002029AF">
        <w:t xml:space="preserve"> </w:t>
      </w:r>
      <w:r w:rsidRPr="002029AF">
        <w:t>2019.</w:t>
      </w:r>
      <w:r w:rsidR="000A5329" w:rsidRPr="002029AF">
        <w:t xml:space="preserve"> </w:t>
      </w:r>
      <w:r w:rsidRPr="002029AF">
        <w:t>A</w:t>
      </w:r>
      <w:r w:rsidR="000A5329" w:rsidRPr="002029AF">
        <w:t xml:space="preserve"> </w:t>
      </w:r>
      <w:r w:rsidRPr="002029AF">
        <w:t>number</w:t>
      </w:r>
      <w:r w:rsidR="000A5329" w:rsidRPr="002029AF">
        <w:t xml:space="preserve"> </w:t>
      </w:r>
      <w:r w:rsidRPr="002029AF">
        <w:t>of</w:t>
      </w:r>
      <w:r w:rsidR="000A5329" w:rsidRPr="002029AF">
        <w:t xml:space="preserve"> </w:t>
      </w:r>
      <w:r w:rsidRPr="002029AF">
        <w:t>intangible</w:t>
      </w:r>
      <w:r w:rsidR="000A5329" w:rsidRPr="002029AF">
        <w:t xml:space="preserve"> </w:t>
      </w:r>
      <w:r w:rsidRPr="002029AF">
        <w:t>assets</w:t>
      </w:r>
      <w:r w:rsidR="000A5329" w:rsidRPr="002029AF">
        <w:t xml:space="preserve"> </w:t>
      </w:r>
      <w:r w:rsidRPr="002029AF">
        <w:t>were</w:t>
      </w:r>
      <w:r w:rsidR="000A5329" w:rsidRPr="002029AF">
        <w:t xml:space="preserve"> </w:t>
      </w:r>
      <w:r w:rsidRPr="002029AF">
        <w:t>capitalised</w:t>
      </w:r>
      <w:r w:rsidR="000A5329" w:rsidRPr="002029AF">
        <w:t xml:space="preserve"> </w:t>
      </w:r>
      <w:r w:rsidRPr="002029AF">
        <w:t>in</w:t>
      </w:r>
      <w:r w:rsidR="000A5329" w:rsidRPr="002029AF">
        <w:t xml:space="preserve"> </w:t>
      </w:r>
      <w:r w:rsidRPr="002029AF">
        <w:t>2019–20</w:t>
      </w:r>
      <w:r w:rsidR="000A5329" w:rsidRPr="002029AF">
        <w:t xml:space="preserve"> </w:t>
      </w:r>
      <w:r w:rsidRPr="002029AF">
        <w:t>with</w:t>
      </w:r>
      <w:r w:rsidR="000A5329" w:rsidRPr="002029AF">
        <w:t xml:space="preserve"> </w:t>
      </w:r>
      <w:r w:rsidRPr="002029AF">
        <w:t>estimated</w:t>
      </w:r>
      <w:r w:rsidR="000A5329" w:rsidRPr="002029AF">
        <w:t xml:space="preserve"> </w:t>
      </w:r>
      <w:r w:rsidRPr="002029AF">
        <w:t>useful</w:t>
      </w:r>
      <w:r w:rsidR="000A5329" w:rsidRPr="002029AF">
        <w:t xml:space="preserve"> </w:t>
      </w:r>
      <w:r w:rsidRPr="002029AF">
        <w:t>lives</w:t>
      </w:r>
      <w:r w:rsidR="000A5329" w:rsidRPr="002029AF">
        <w:t xml:space="preserve"> </w:t>
      </w:r>
      <w:r w:rsidRPr="002029AF">
        <w:t>ranging</w:t>
      </w:r>
      <w:r w:rsidR="000A5329" w:rsidRPr="002029AF">
        <w:t xml:space="preserve"> </w:t>
      </w:r>
      <w:r w:rsidRPr="002029AF">
        <w:t>from</w:t>
      </w:r>
      <w:r w:rsidR="000A5329" w:rsidRPr="002029AF">
        <w:t xml:space="preserve"> </w:t>
      </w:r>
      <w:r w:rsidRPr="002029AF">
        <w:t>3</w:t>
      </w:r>
      <w:r w:rsidR="000A5329" w:rsidRPr="002029AF">
        <w:t xml:space="preserve"> </w:t>
      </w:r>
      <w:r w:rsidRPr="002029AF">
        <w:t>years</w:t>
      </w:r>
      <w:r w:rsidR="000A5329" w:rsidRPr="002029AF">
        <w:t xml:space="preserve"> </w:t>
      </w:r>
      <w:r w:rsidRPr="002029AF">
        <w:t>to</w:t>
      </w:r>
      <w:r w:rsidR="000A5329" w:rsidRPr="002029AF">
        <w:t xml:space="preserve"> </w:t>
      </w:r>
      <w:r w:rsidRPr="002029AF">
        <w:t>20</w:t>
      </w:r>
      <w:r w:rsidR="000A5329" w:rsidRPr="002029AF">
        <w:t xml:space="preserve"> </w:t>
      </w:r>
      <w:r w:rsidRPr="002029AF">
        <w:t>years.</w:t>
      </w:r>
    </w:p>
    <w:bookmarkEnd w:id="347"/>
    <w:p w14:paraId="255C29CD" w14:textId="34640D40" w:rsidR="00087B91" w:rsidRPr="002029AF" w:rsidRDefault="00087B91" w:rsidP="00087B91">
      <w:pPr>
        <w:pStyle w:val="ARfinbody"/>
      </w:pPr>
      <w:r w:rsidRPr="002029AF">
        <w:t>Right-of</w:t>
      </w:r>
      <w:r w:rsidR="000A5329" w:rsidRPr="002029AF">
        <w:t xml:space="preserve"> </w:t>
      </w:r>
      <w:r w:rsidRPr="002029AF">
        <w:t>use</w:t>
      </w:r>
      <w:r w:rsidR="000A5329" w:rsidRPr="002029AF">
        <w:t xml:space="preserve"> </w:t>
      </w:r>
      <w:r w:rsidRPr="002029AF">
        <w:t>assets</w:t>
      </w:r>
      <w:r w:rsidR="000A5329" w:rsidRPr="002029AF">
        <w:t xml:space="preserve"> </w:t>
      </w:r>
      <w:r w:rsidRPr="002029AF">
        <w:t>are</w:t>
      </w:r>
      <w:r w:rsidR="000A5329" w:rsidRPr="002029AF">
        <w:t xml:space="preserve"> </w:t>
      </w:r>
      <w:r w:rsidRPr="002029AF">
        <w:t>generally</w:t>
      </w:r>
      <w:r w:rsidR="000A5329" w:rsidRPr="002029AF">
        <w:t xml:space="preserve"> </w:t>
      </w:r>
      <w:r w:rsidRPr="002029AF">
        <w:t>depreciated</w:t>
      </w:r>
      <w:r w:rsidR="000A5329" w:rsidRPr="002029AF">
        <w:t xml:space="preserve"> </w:t>
      </w:r>
      <w:r w:rsidRPr="002029AF">
        <w:t>over</w:t>
      </w:r>
      <w:r w:rsidR="000A5329" w:rsidRPr="002029AF">
        <w:t xml:space="preserve"> </w:t>
      </w:r>
      <w:r w:rsidRPr="002029AF">
        <w:t>the</w:t>
      </w:r>
      <w:r w:rsidR="000A5329" w:rsidRPr="002029AF">
        <w:t xml:space="preserve"> </w:t>
      </w:r>
      <w:r w:rsidRPr="002029AF">
        <w:t>shorter</w:t>
      </w:r>
      <w:r w:rsidR="000A5329" w:rsidRPr="002029AF">
        <w:t xml:space="preserve"> </w:t>
      </w:r>
      <w:r w:rsidRPr="002029AF">
        <w:t>of</w:t>
      </w:r>
      <w:r w:rsidR="000A5329" w:rsidRPr="002029AF">
        <w:t xml:space="preserve"> </w:t>
      </w:r>
      <w:r w:rsidRPr="002029AF">
        <w:t>the</w:t>
      </w:r>
      <w:r w:rsidR="000A5329" w:rsidRPr="002029AF">
        <w:t xml:space="preserve"> </w:t>
      </w:r>
      <w:r w:rsidRPr="002029AF">
        <w:t>asset’s</w:t>
      </w:r>
      <w:r w:rsidR="000A5329" w:rsidRPr="002029AF">
        <w:t xml:space="preserve"> </w:t>
      </w:r>
      <w:r w:rsidRPr="002029AF">
        <w:t>useful</w:t>
      </w:r>
      <w:r w:rsidR="000A5329" w:rsidRPr="002029AF">
        <w:t xml:space="preserve"> </w:t>
      </w:r>
      <w:r w:rsidRPr="002029AF">
        <w:t>life</w:t>
      </w:r>
      <w:r w:rsidR="000A5329" w:rsidRPr="002029AF">
        <w:t xml:space="preserve"> </w:t>
      </w:r>
      <w:r w:rsidRPr="002029AF">
        <w:t>and</w:t>
      </w:r>
      <w:r w:rsidR="000A5329" w:rsidRPr="002029AF">
        <w:t xml:space="preserve"> </w:t>
      </w:r>
      <w:r w:rsidRPr="002029AF">
        <w:t>the</w:t>
      </w:r>
      <w:r w:rsidR="000A5329" w:rsidRPr="002029AF">
        <w:t xml:space="preserve"> </w:t>
      </w:r>
      <w:r w:rsidRPr="002029AF">
        <w:t>lease</w:t>
      </w:r>
      <w:r w:rsidR="000A5329" w:rsidRPr="002029AF">
        <w:t xml:space="preserve"> </w:t>
      </w:r>
      <w:r w:rsidRPr="002029AF">
        <w:t>term.</w:t>
      </w:r>
      <w:r w:rsidR="000A5329" w:rsidRPr="002029AF">
        <w:t xml:space="preserve"> </w:t>
      </w:r>
      <w:r w:rsidRPr="002029AF">
        <w:t>Where</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obtains</w:t>
      </w:r>
      <w:r w:rsidR="000A5329" w:rsidRPr="002029AF">
        <w:t xml:space="preserve"> </w:t>
      </w:r>
      <w:r w:rsidRPr="002029AF">
        <w:t>ownership</w:t>
      </w:r>
      <w:r w:rsidR="000A5329" w:rsidRPr="002029AF">
        <w:t xml:space="preserve"> </w:t>
      </w:r>
      <w:r w:rsidRPr="002029AF">
        <w:t>of</w:t>
      </w:r>
      <w:r w:rsidR="000A5329" w:rsidRPr="002029AF">
        <w:t xml:space="preserve"> </w:t>
      </w:r>
      <w:r w:rsidRPr="002029AF">
        <w:t>the</w:t>
      </w:r>
      <w:r w:rsidR="000A5329" w:rsidRPr="002029AF">
        <w:t xml:space="preserve"> </w:t>
      </w:r>
      <w:r w:rsidRPr="002029AF">
        <w:t>underlying</w:t>
      </w:r>
      <w:r w:rsidR="000A5329" w:rsidRPr="002029AF">
        <w:t xml:space="preserve"> </w:t>
      </w:r>
      <w:r w:rsidRPr="002029AF">
        <w:t>leased</w:t>
      </w:r>
      <w:r w:rsidR="000A5329" w:rsidRPr="002029AF">
        <w:t xml:space="preserve"> </w:t>
      </w:r>
      <w:r w:rsidRPr="002029AF">
        <w:t>asset</w:t>
      </w:r>
      <w:r w:rsidR="000A5329" w:rsidRPr="002029AF">
        <w:t xml:space="preserve"> </w:t>
      </w:r>
      <w:r w:rsidRPr="002029AF">
        <w:t>or</w:t>
      </w:r>
      <w:r w:rsidR="000A5329" w:rsidRPr="002029AF">
        <w:t xml:space="preserve"> </w:t>
      </w:r>
      <w:r w:rsidRPr="002029AF">
        <w:t>if</w:t>
      </w:r>
      <w:r w:rsidR="000A5329" w:rsidRPr="002029AF">
        <w:t xml:space="preserve"> </w:t>
      </w:r>
      <w:r w:rsidRPr="002029AF">
        <w:t>the</w:t>
      </w:r>
      <w:r w:rsidR="000A5329" w:rsidRPr="002029AF">
        <w:t xml:space="preserve"> </w:t>
      </w:r>
      <w:r w:rsidRPr="002029AF">
        <w:t>cost</w:t>
      </w:r>
      <w:r w:rsidR="000A5329" w:rsidRPr="002029AF">
        <w:t xml:space="preserve"> </w:t>
      </w:r>
      <w:r w:rsidRPr="002029AF">
        <w:t>of</w:t>
      </w:r>
      <w:r w:rsidR="000A5329" w:rsidRPr="002029AF">
        <w:t xml:space="preserve"> </w:t>
      </w:r>
      <w:r w:rsidRPr="002029AF">
        <w:t>the</w:t>
      </w:r>
      <w:r w:rsidR="000A5329" w:rsidRPr="002029AF">
        <w:t xml:space="preserve"> </w:t>
      </w:r>
      <w:r w:rsidRPr="002029AF">
        <w:t>right-of-use</w:t>
      </w:r>
      <w:r w:rsidR="000A5329" w:rsidRPr="002029AF">
        <w:t xml:space="preserve"> </w:t>
      </w:r>
      <w:r w:rsidRPr="002029AF">
        <w:t>asset</w:t>
      </w:r>
      <w:r w:rsidR="000A5329" w:rsidRPr="002029AF">
        <w:t xml:space="preserve"> </w:t>
      </w:r>
      <w:r w:rsidRPr="002029AF">
        <w:t>reflects</w:t>
      </w:r>
      <w:r w:rsidR="000A5329" w:rsidRPr="002029AF">
        <w:t xml:space="preserve"> </w:t>
      </w:r>
      <w:r w:rsidRPr="002029AF">
        <w:t>that</w:t>
      </w:r>
      <w:r w:rsidR="000A5329" w:rsidRPr="002029AF">
        <w:t xml:space="preserve"> </w:t>
      </w:r>
      <w:r w:rsidRPr="002029AF">
        <w:t>the</w:t>
      </w:r>
      <w:r w:rsidR="000A5329" w:rsidRPr="002029AF">
        <w:t xml:space="preserve"> </w:t>
      </w:r>
      <w:r w:rsidRPr="002029AF">
        <w:t>entity</w:t>
      </w:r>
      <w:r w:rsidR="000A5329" w:rsidRPr="002029AF">
        <w:t xml:space="preserve"> </w:t>
      </w:r>
      <w:r w:rsidRPr="002029AF">
        <w:t>will</w:t>
      </w:r>
      <w:r w:rsidR="000A5329" w:rsidRPr="002029AF">
        <w:t xml:space="preserve"> </w:t>
      </w:r>
      <w:r w:rsidRPr="002029AF">
        <w:t>exercise</w:t>
      </w:r>
      <w:r w:rsidR="000A5329" w:rsidRPr="002029AF">
        <w:t xml:space="preserve"> </w:t>
      </w:r>
      <w:r w:rsidRPr="002029AF">
        <w:t>a</w:t>
      </w:r>
      <w:r w:rsidR="000A5329" w:rsidRPr="002029AF">
        <w:t xml:space="preserve"> </w:t>
      </w:r>
      <w:r w:rsidRPr="002029AF">
        <w:t>purchase</w:t>
      </w:r>
      <w:r w:rsidR="000A5329" w:rsidRPr="002029AF">
        <w:t xml:space="preserve"> </w:t>
      </w:r>
      <w:r w:rsidRPr="002029AF">
        <w:t>option,</w:t>
      </w:r>
      <w:r w:rsidR="000A5329" w:rsidRPr="002029AF">
        <w:t xml:space="preserve"> </w:t>
      </w:r>
      <w:r w:rsidRPr="002029AF">
        <w:t>the</w:t>
      </w:r>
      <w:r w:rsidR="000A5329" w:rsidRPr="002029AF">
        <w:t xml:space="preserve"> </w:t>
      </w:r>
      <w:r w:rsidRPr="002029AF">
        <w:t>entity</w:t>
      </w:r>
      <w:r w:rsidR="000A5329" w:rsidRPr="002029AF">
        <w:t xml:space="preserve"> </w:t>
      </w:r>
      <w:r w:rsidRPr="002029AF">
        <w:t>depreciates</w:t>
      </w:r>
      <w:r w:rsidR="000A5329" w:rsidRPr="002029AF">
        <w:t xml:space="preserve"> </w:t>
      </w:r>
      <w:r w:rsidRPr="002029AF">
        <w:t>the</w:t>
      </w:r>
      <w:r w:rsidR="000A5329" w:rsidRPr="002029AF">
        <w:t xml:space="preserve"> </w:t>
      </w:r>
      <w:r w:rsidRPr="002029AF">
        <w:t>right-of-use</w:t>
      </w:r>
      <w:r w:rsidR="000A5329" w:rsidRPr="002029AF">
        <w:t xml:space="preserve"> </w:t>
      </w:r>
      <w:r w:rsidRPr="002029AF">
        <w:t>asset</w:t>
      </w:r>
      <w:r w:rsidR="000A5329" w:rsidRPr="002029AF">
        <w:t xml:space="preserve"> </w:t>
      </w:r>
      <w:r w:rsidRPr="002029AF">
        <w:t>over</w:t>
      </w:r>
      <w:r w:rsidR="000A5329" w:rsidRPr="002029AF">
        <w:t xml:space="preserve"> </w:t>
      </w:r>
      <w:r w:rsidRPr="002029AF">
        <w:t>its</w:t>
      </w:r>
      <w:r w:rsidR="000A5329" w:rsidRPr="002029AF">
        <w:t xml:space="preserve"> </w:t>
      </w:r>
      <w:r w:rsidRPr="002029AF">
        <w:t>useful</w:t>
      </w:r>
      <w:r w:rsidR="000A5329" w:rsidRPr="002029AF">
        <w:t xml:space="preserve"> </w:t>
      </w:r>
      <w:r w:rsidRPr="002029AF">
        <w:t>life.</w:t>
      </w:r>
    </w:p>
    <w:p w14:paraId="5BBC603B" w14:textId="3F140488" w:rsidR="00087B91" w:rsidRPr="002029AF" w:rsidRDefault="00087B91" w:rsidP="00087B91">
      <w:pPr>
        <w:pStyle w:val="ARfinbody"/>
        <w:sectPr w:rsidR="00087B91" w:rsidRPr="002029AF" w:rsidSect="00860E95">
          <w:footerReference w:type="even" r:id="rId208"/>
          <w:pgSz w:w="11906" w:h="16838" w:code="9"/>
          <w:pgMar w:top="1531" w:right="851" w:bottom="851" w:left="1418" w:header="510" w:footer="340" w:gutter="0"/>
          <w:cols w:space="708"/>
          <w:docGrid w:linePitch="360"/>
          <w15:footnoteColumns w:val="1"/>
        </w:sectPr>
      </w:pPr>
      <w:r w:rsidRPr="002029AF">
        <w:t>Leasehold</w:t>
      </w:r>
      <w:r w:rsidR="000A5329" w:rsidRPr="002029AF">
        <w:t xml:space="preserve"> </w:t>
      </w:r>
      <w:r w:rsidRPr="002029AF">
        <w:t>improvements</w:t>
      </w:r>
      <w:r w:rsidR="000A5329" w:rsidRPr="002029AF">
        <w:t xml:space="preserve"> </w:t>
      </w:r>
      <w:r w:rsidRPr="002029AF">
        <w:t>are</w:t>
      </w:r>
      <w:r w:rsidR="000A5329" w:rsidRPr="002029AF">
        <w:t xml:space="preserve"> </w:t>
      </w:r>
      <w:r w:rsidRPr="002029AF">
        <w:t>depreciated</w:t>
      </w:r>
      <w:r w:rsidR="000A5329" w:rsidRPr="002029AF">
        <w:t xml:space="preserve"> </w:t>
      </w:r>
      <w:r w:rsidRPr="002029AF">
        <w:t>over</w:t>
      </w:r>
      <w:r w:rsidR="000A5329" w:rsidRPr="002029AF">
        <w:t xml:space="preserve"> </w:t>
      </w:r>
      <w:r w:rsidRPr="002029AF">
        <w:t>the</w:t>
      </w:r>
      <w:r w:rsidR="000A5329" w:rsidRPr="002029AF">
        <w:t xml:space="preserve"> </w:t>
      </w:r>
      <w:r w:rsidRPr="002029AF">
        <w:t>shorter</w:t>
      </w:r>
      <w:r w:rsidR="000A5329" w:rsidRPr="002029AF">
        <w:t xml:space="preserve"> </w:t>
      </w:r>
      <w:r w:rsidRPr="002029AF">
        <w:t>of</w:t>
      </w:r>
      <w:r w:rsidR="000A5329" w:rsidRPr="002029AF">
        <w:t xml:space="preserve"> </w:t>
      </w:r>
      <w:r w:rsidRPr="002029AF">
        <w:t>the</w:t>
      </w:r>
      <w:r w:rsidR="000A5329" w:rsidRPr="002029AF">
        <w:t xml:space="preserve"> </w:t>
      </w:r>
      <w:r w:rsidRPr="002029AF">
        <w:t>lease</w:t>
      </w:r>
      <w:r w:rsidR="000A5329" w:rsidRPr="002029AF">
        <w:t xml:space="preserve"> </w:t>
      </w:r>
      <w:r w:rsidRPr="002029AF">
        <w:t>term</w:t>
      </w:r>
      <w:r w:rsidR="000A5329" w:rsidRPr="002029AF">
        <w:t xml:space="preserve"> </w:t>
      </w:r>
      <w:r w:rsidRPr="002029AF">
        <w:t>and</w:t>
      </w:r>
      <w:r w:rsidR="000A5329" w:rsidRPr="002029AF">
        <w:t xml:space="preserve"> </w:t>
      </w:r>
      <w:r w:rsidRPr="002029AF">
        <w:t>their</w:t>
      </w:r>
      <w:r w:rsidR="000A5329" w:rsidRPr="002029AF">
        <w:t xml:space="preserve"> </w:t>
      </w:r>
      <w:r w:rsidRPr="002029AF">
        <w:t>useful</w:t>
      </w:r>
      <w:r w:rsidR="000A5329" w:rsidRPr="002029AF">
        <w:t xml:space="preserve"> </w:t>
      </w:r>
      <w:r w:rsidRPr="002029AF">
        <w:t>lives.</w:t>
      </w:r>
    </w:p>
    <w:p w14:paraId="64C4B191" w14:textId="1F94350E" w:rsidR="00087B91" w:rsidRPr="002029AF" w:rsidRDefault="00087B91" w:rsidP="00087B91">
      <w:pPr>
        <w:pStyle w:val="Heading5"/>
        <w:spacing w:before="0"/>
      </w:pPr>
      <w:r w:rsidRPr="002029AF">
        <w:lastRenderedPageBreak/>
        <w:t>5.1.2</w:t>
      </w:r>
      <w:r w:rsidR="000A5329" w:rsidRPr="002029AF">
        <w:t xml:space="preserve"> </w:t>
      </w:r>
      <w:r w:rsidRPr="002029AF">
        <w:t>Carrying</w:t>
      </w:r>
      <w:r w:rsidR="000A5329" w:rsidRPr="002029AF">
        <w:t xml:space="preserve"> </w:t>
      </w:r>
      <w:r w:rsidRPr="002029AF">
        <w:t>values</w:t>
      </w:r>
      <w:r w:rsidR="000A5329" w:rsidRPr="002029AF">
        <w:t xml:space="preserve"> </w:t>
      </w:r>
      <w:r w:rsidRPr="002029AF">
        <w:t>by</w:t>
      </w:r>
      <w:r w:rsidR="000A5329" w:rsidRPr="002029AF">
        <w:t xml:space="preserve"> </w:t>
      </w:r>
      <w:r w:rsidRPr="002029AF">
        <w:t>‘purpose’</w:t>
      </w:r>
      <w:r w:rsidR="000A5329" w:rsidRPr="002029AF">
        <w:t xml:space="preserve"> </w:t>
      </w:r>
      <w:r w:rsidRPr="002029AF">
        <w:t>groups</w:t>
      </w:r>
      <w:r w:rsidR="000A5329" w:rsidRPr="002029AF">
        <w:t xml:space="preserve"> </w:t>
      </w:r>
      <w:r w:rsidRPr="002029AF">
        <w:rPr>
          <w:rStyle w:val="Superscript"/>
        </w:rPr>
        <w:t>(i)</w:t>
      </w:r>
    </w:p>
    <w:tbl>
      <w:tblPr>
        <w:tblStyle w:val="TableGrid"/>
        <w:tblW w:w="14459" w:type="dxa"/>
        <w:tblLayout w:type="fixed"/>
        <w:tblLook w:val="06A0" w:firstRow="1" w:lastRow="0" w:firstColumn="1" w:lastColumn="0" w:noHBand="1" w:noVBand="1"/>
      </w:tblPr>
      <w:tblGrid>
        <w:gridCol w:w="5952"/>
        <w:gridCol w:w="1417"/>
        <w:gridCol w:w="1418"/>
        <w:gridCol w:w="1418"/>
        <w:gridCol w:w="1418"/>
        <w:gridCol w:w="1418"/>
        <w:gridCol w:w="1418"/>
      </w:tblGrid>
      <w:tr w:rsidR="00087B91" w:rsidRPr="002029AF" w14:paraId="69C75F6E"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5952" w:type="dxa"/>
            <w:vMerge w:val="restart"/>
            <w:noWrap/>
            <w:hideMark/>
          </w:tcPr>
          <w:p w14:paraId="68DCE45C" w14:textId="466E6592" w:rsidR="00087B91" w:rsidRPr="002029AF" w:rsidRDefault="00087B91" w:rsidP="00860E95">
            <w:pPr>
              <w:pStyle w:val="ARfintablecolhead"/>
              <w:spacing w:before="10" w:after="0"/>
            </w:pPr>
            <w:r w:rsidRPr="002029AF">
              <w:t>Nature</w:t>
            </w:r>
            <w:r w:rsidR="000A5329" w:rsidRPr="002029AF">
              <w:t xml:space="preserve"> </w:t>
            </w:r>
            <w:r w:rsidRPr="002029AF">
              <w:t>based</w:t>
            </w:r>
            <w:r w:rsidR="000A5329" w:rsidRPr="002029AF">
              <w:t xml:space="preserve"> </w:t>
            </w:r>
            <w:r w:rsidRPr="002029AF">
              <w:t>classification</w:t>
            </w:r>
          </w:p>
        </w:tc>
        <w:tc>
          <w:tcPr>
            <w:tcW w:w="2835" w:type="dxa"/>
            <w:gridSpan w:val="2"/>
            <w:hideMark/>
          </w:tcPr>
          <w:p w14:paraId="7D3191B5" w14:textId="4464719D" w:rsidR="00087B91" w:rsidRPr="002029AF" w:rsidRDefault="00087B91" w:rsidP="00860E95">
            <w:pPr>
              <w:pStyle w:val="ARfintablecolheadcentre"/>
              <w:spacing w:before="10" w:after="0"/>
            </w:pPr>
            <w:r w:rsidRPr="002029AF">
              <w:t>Health</w:t>
            </w:r>
            <w:r w:rsidR="000A5329" w:rsidRPr="002029AF">
              <w:t xml:space="preserve"> </w:t>
            </w:r>
            <w:r w:rsidRPr="002029AF">
              <w:t>and</w:t>
            </w:r>
            <w:r w:rsidR="000A5329" w:rsidRPr="002029AF">
              <w:t xml:space="preserve"> </w:t>
            </w:r>
            <w:r w:rsidRPr="002029AF">
              <w:t>Welfare</w:t>
            </w:r>
          </w:p>
        </w:tc>
        <w:tc>
          <w:tcPr>
            <w:tcW w:w="2836" w:type="dxa"/>
            <w:gridSpan w:val="2"/>
            <w:hideMark/>
          </w:tcPr>
          <w:p w14:paraId="71AFC95B" w14:textId="77777777" w:rsidR="00087B91" w:rsidRPr="002029AF" w:rsidRDefault="00087B91" w:rsidP="00860E95">
            <w:pPr>
              <w:pStyle w:val="ARfintablecolheadcentre"/>
              <w:spacing w:before="10" w:after="0"/>
            </w:pPr>
            <w:r w:rsidRPr="002029AF">
              <w:t>Housing</w:t>
            </w:r>
          </w:p>
        </w:tc>
        <w:tc>
          <w:tcPr>
            <w:tcW w:w="2836" w:type="dxa"/>
            <w:gridSpan w:val="2"/>
            <w:hideMark/>
          </w:tcPr>
          <w:p w14:paraId="7FCCAAF4" w14:textId="77777777" w:rsidR="00087B91" w:rsidRPr="002029AF" w:rsidRDefault="00087B91" w:rsidP="00860E95">
            <w:pPr>
              <w:pStyle w:val="ARfintablecolheadcentre"/>
              <w:spacing w:before="10" w:after="0"/>
            </w:pPr>
            <w:r w:rsidRPr="002029AF">
              <w:t>Total</w:t>
            </w:r>
          </w:p>
        </w:tc>
      </w:tr>
      <w:tr w:rsidR="00087B91" w:rsidRPr="002029AF" w14:paraId="7C6BA356"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5952" w:type="dxa"/>
            <w:vMerge/>
            <w:tcBorders>
              <w:bottom w:val="single" w:sz="4" w:space="0" w:color="auto"/>
            </w:tcBorders>
            <w:hideMark/>
          </w:tcPr>
          <w:p w14:paraId="20A4E47E" w14:textId="77777777" w:rsidR="00087B91" w:rsidRPr="002029AF" w:rsidRDefault="00087B91" w:rsidP="00860E95">
            <w:pPr>
              <w:pStyle w:val="ARfintablecolhead"/>
              <w:spacing w:before="10" w:after="0"/>
            </w:pPr>
          </w:p>
        </w:tc>
        <w:tc>
          <w:tcPr>
            <w:tcW w:w="1417" w:type="dxa"/>
            <w:tcBorders>
              <w:bottom w:val="single" w:sz="4" w:space="0" w:color="auto"/>
            </w:tcBorders>
            <w:shd w:val="clear" w:color="auto" w:fill="E7E6E6"/>
            <w:hideMark/>
          </w:tcPr>
          <w:p w14:paraId="70DE6DF8" w14:textId="77777777" w:rsidR="00087B91" w:rsidRPr="002029AF" w:rsidRDefault="00087B91" w:rsidP="00860E95">
            <w:pPr>
              <w:pStyle w:val="ARfintablecolheadright"/>
              <w:spacing w:before="10" w:after="0"/>
            </w:pPr>
            <w:r w:rsidRPr="002029AF">
              <w:t>2020</w:t>
            </w:r>
          </w:p>
          <w:p w14:paraId="202DA5C7" w14:textId="77777777" w:rsidR="00087B91" w:rsidRPr="002029AF" w:rsidRDefault="00087B91" w:rsidP="00860E95">
            <w:pPr>
              <w:pStyle w:val="ARfintablecolheadright"/>
              <w:spacing w:before="10" w:after="0"/>
            </w:pPr>
            <w:r w:rsidRPr="002029AF">
              <w:t>$M</w:t>
            </w:r>
          </w:p>
        </w:tc>
        <w:tc>
          <w:tcPr>
            <w:tcW w:w="1418" w:type="dxa"/>
            <w:tcBorders>
              <w:bottom w:val="single" w:sz="4" w:space="0" w:color="auto"/>
            </w:tcBorders>
            <w:hideMark/>
          </w:tcPr>
          <w:p w14:paraId="123D7F50" w14:textId="77777777" w:rsidR="00087B91" w:rsidRPr="002029AF" w:rsidRDefault="00087B91" w:rsidP="00860E95">
            <w:pPr>
              <w:pStyle w:val="ARfintablecolheadright"/>
              <w:spacing w:before="10" w:after="0"/>
            </w:pPr>
            <w:r w:rsidRPr="002029AF">
              <w:t>2019</w:t>
            </w:r>
          </w:p>
          <w:p w14:paraId="5C49E67E" w14:textId="77777777" w:rsidR="00087B91" w:rsidRPr="002029AF" w:rsidRDefault="00087B91" w:rsidP="00860E95">
            <w:pPr>
              <w:pStyle w:val="ARfintablecolheadright"/>
              <w:spacing w:before="10" w:after="0"/>
            </w:pPr>
            <w:r w:rsidRPr="002029AF">
              <w:t>$M</w:t>
            </w:r>
          </w:p>
        </w:tc>
        <w:tc>
          <w:tcPr>
            <w:tcW w:w="1418" w:type="dxa"/>
            <w:tcBorders>
              <w:bottom w:val="single" w:sz="4" w:space="0" w:color="auto"/>
            </w:tcBorders>
            <w:shd w:val="clear" w:color="auto" w:fill="E7E6E6"/>
            <w:hideMark/>
          </w:tcPr>
          <w:p w14:paraId="1A1C6616" w14:textId="77777777" w:rsidR="00087B91" w:rsidRPr="002029AF" w:rsidRDefault="00087B91" w:rsidP="00860E95">
            <w:pPr>
              <w:pStyle w:val="ARfintablecolheadright"/>
              <w:spacing w:before="10" w:after="0"/>
            </w:pPr>
            <w:r w:rsidRPr="002029AF">
              <w:t>2020</w:t>
            </w:r>
          </w:p>
          <w:p w14:paraId="4E852C90" w14:textId="77777777" w:rsidR="00087B91" w:rsidRPr="002029AF" w:rsidRDefault="00087B91" w:rsidP="00860E95">
            <w:pPr>
              <w:pStyle w:val="ARfintablecolheadright"/>
              <w:spacing w:before="10" w:after="0"/>
            </w:pPr>
            <w:r w:rsidRPr="002029AF">
              <w:t>$M</w:t>
            </w:r>
          </w:p>
        </w:tc>
        <w:tc>
          <w:tcPr>
            <w:tcW w:w="1418" w:type="dxa"/>
            <w:tcBorders>
              <w:bottom w:val="single" w:sz="4" w:space="0" w:color="auto"/>
            </w:tcBorders>
            <w:hideMark/>
          </w:tcPr>
          <w:p w14:paraId="660B7098" w14:textId="77777777" w:rsidR="00087B91" w:rsidRPr="002029AF" w:rsidRDefault="00087B91" w:rsidP="00860E95">
            <w:pPr>
              <w:pStyle w:val="ARfintablecolheadright"/>
              <w:spacing w:before="10" w:after="0"/>
            </w:pPr>
            <w:r w:rsidRPr="002029AF">
              <w:t>2019</w:t>
            </w:r>
          </w:p>
          <w:p w14:paraId="5FEB60B7" w14:textId="77777777" w:rsidR="00087B91" w:rsidRPr="002029AF" w:rsidRDefault="00087B91" w:rsidP="00860E95">
            <w:pPr>
              <w:pStyle w:val="ARfintablecolheadright"/>
              <w:spacing w:before="10" w:after="0"/>
            </w:pPr>
            <w:r w:rsidRPr="002029AF">
              <w:t>$M</w:t>
            </w:r>
          </w:p>
        </w:tc>
        <w:tc>
          <w:tcPr>
            <w:tcW w:w="1418" w:type="dxa"/>
            <w:tcBorders>
              <w:bottom w:val="single" w:sz="4" w:space="0" w:color="auto"/>
            </w:tcBorders>
            <w:shd w:val="clear" w:color="auto" w:fill="E7E6E6"/>
            <w:hideMark/>
          </w:tcPr>
          <w:p w14:paraId="63EA4317" w14:textId="77777777" w:rsidR="00087B91" w:rsidRPr="002029AF" w:rsidRDefault="00087B91" w:rsidP="00860E95">
            <w:pPr>
              <w:pStyle w:val="ARfintablecolheadright"/>
              <w:spacing w:before="10" w:after="0"/>
            </w:pPr>
            <w:r w:rsidRPr="002029AF">
              <w:t>2020</w:t>
            </w:r>
          </w:p>
          <w:p w14:paraId="2D1CB7CD" w14:textId="77777777" w:rsidR="00087B91" w:rsidRPr="002029AF" w:rsidRDefault="00087B91" w:rsidP="00860E95">
            <w:pPr>
              <w:pStyle w:val="ARfintablecolheadright"/>
              <w:spacing w:before="10" w:after="0"/>
            </w:pPr>
            <w:r w:rsidRPr="002029AF">
              <w:t>$M</w:t>
            </w:r>
          </w:p>
        </w:tc>
        <w:tc>
          <w:tcPr>
            <w:tcW w:w="1418" w:type="dxa"/>
            <w:tcBorders>
              <w:bottom w:val="single" w:sz="4" w:space="0" w:color="auto"/>
            </w:tcBorders>
            <w:hideMark/>
          </w:tcPr>
          <w:p w14:paraId="41C40346" w14:textId="77777777" w:rsidR="00087B91" w:rsidRPr="002029AF" w:rsidRDefault="00087B91" w:rsidP="00860E95">
            <w:pPr>
              <w:pStyle w:val="ARfintablecolheadright"/>
              <w:spacing w:before="10" w:after="0"/>
            </w:pPr>
            <w:r w:rsidRPr="002029AF">
              <w:t>2019</w:t>
            </w:r>
          </w:p>
          <w:p w14:paraId="17BE5911" w14:textId="77777777" w:rsidR="00087B91" w:rsidRPr="002029AF" w:rsidRDefault="00087B91" w:rsidP="00860E95">
            <w:pPr>
              <w:pStyle w:val="ARfintablecolheadright"/>
              <w:spacing w:before="10" w:after="0"/>
            </w:pPr>
            <w:r w:rsidRPr="002029AF">
              <w:t>$M</w:t>
            </w:r>
          </w:p>
        </w:tc>
      </w:tr>
      <w:tr w:rsidR="00087B91" w:rsidRPr="002029AF" w14:paraId="0C8DA1B8" w14:textId="77777777" w:rsidTr="00860E95">
        <w:tc>
          <w:tcPr>
            <w:tcW w:w="14459" w:type="dxa"/>
            <w:gridSpan w:val="7"/>
            <w:tcBorders>
              <w:top w:val="single" w:sz="4" w:space="0" w:color="auto"/>
              <w:bottom w:val="single" w:sz="4" w:space="0" w:color="A6A6A6"/>
            </w:tcBorders>
            <w:hideMark/>
          </w:tcPr>
          <w:p w14:paraId="486602FE" w14:textId="3CEFE23D" w:rsidR="00087B91" w:rsidRPr="002029AF" w:rsidRDefault="00087B91" w:rsidP="00860E95">
            <w:pPr>
              <w:pStyle w:val="ARfintablebodybold"/>
              <w:spacing w:before="10" w:after="0"/>
            </w:pPr>
            <w:r w:rsidRPr="002029AF">
              <w:t>Land</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tc>
      </w:tr>
      <w:tr w:rsidR="00087B91" w:rsidRPr="002029AF" w14:paraId="5E5C0969" w14:textId="77777777" w:rsidTr="00860E95">
        <w:tc>
          <w:tcPr>
            <w:tcW w:w="5952" w:type="dxa"/>
            <w:tcBorders>
              <w:top w:val="single" w:sz="4" w:space="0" w:color="A6A6A6"/>
              <w:bottom w:val="single" w:sz="4" w:space="0" w:color="A6A6A6"/>
            </w:tcBorders>
            <w:hideMark/>
          </w:tcPr>
          <w:p w14:paraId="3081C259" w14:textId="43EE00D2" w:rsidR="00087B91" w:rsidRPr="002029AF" w:rsidRDefault="00087B91" w:rsidP="00860E95">
            <w:pPr>
              <w:pStyle w:val="ARfintablebody"/>
              <w:spacing w:before="10" w:after="0"/>
            </w:pPr>
            <w:r w:rsidRPr="002029AF">
              <w:t>Rental</w:t>
            </w:r>
            <w:r w:rsidR="000A5329" w:rsidRPr="002029AF">
              <w:t xml:space="preserve"> </w:t>
            </w:r>
            <w:r w:rsidRPr="002029AF">
              <w:t>property</w:t>
            </w:r>
          </w:p>
        </w:tc>
        <w:tc>
          <w:tcPr>
            <w:tcW w:w="1417" w:type="dxa"/>
            <w:tcBorders>
              <w:top w:val="single" w:sz="4" w:space="0" w:color="A6A6A6"/>
              <w:bottom w:val="single" w:sz="4" w:space="0" w:color="A6A6A6"/>
            </w:tcBorders>
            <w:shd w:val="clear" w:color="auto" w:fill="E7E6E6"/>
            <w:noWrap/>
            <w:hideMark/>
          </w:tcPr>
          <w:p w14:paraId="7D099424" w14:textId="77777777" w:rsidR="00087B91" w:rsidRPr="002029AF" w:rsidRDefault="00087B91" w:rsidP="00860E95">
            <w:pPr>
              <w:pStyle w:val="ARfintablebodyright"/>
              <w:spacing w:before="10" w:after="0"/>
            </w:pPr>
            <w:r w:rsidRPr="002029AF">
              <w:t>–</w:t>
            </w:r>
          </w:p>
        </w:tc>
        <w:tc>
          <w:tcPr>
            <w:tcW w:w="1418" w:type="dxa"/>
            <w:tcBorders>
              <w:top w:val="single" w:sz="4" w:space="0" w:color="A6A6A6"/>
              <w:bottom w:val="single" w:sz="4" w:space="0" w:color="A6A6A6"/>
            </w:tcBorders>
            <w:noWrap/>
            <w:hideMark/>
          </w:tcPr>
          <w:p w14:paraId="738511AD" w14:textId="77777777" w:rsidR="00087B91" w:rsidRPr="002029AF" w:rsidRDefault="00087B91" w:rsidP="00860E95">
            <w:pPr>
              <w:pStyle w:val="ARfintablebodyright"/>
              <w:spacing w:before="10" w:after="0"/>
            </w:pPr>
            <w:r w:rsidRPr="002029AF">
              <w:t>–</w:t>
            </w:r>
          </w:p>
        </w:tc>
        <w:tc>
          <w:tcPr>
            <w:tcW w:w="1418" w:type="dxa"/>
            <w:tcBorders>
              <w:top w:val="single" w:sz="4" w:space="0" w:color="A6A6A6"/>
              <w:bottom w:val="single" w:sz="4" w:space="0" w:color="A6A6A6"/>
            </w:tcBorders>
            <w:shd w:val="clear" w:color="auto" w:fill="E7E6E6"/>
            <w:noWrap/>
            <w:hideMark/>
          </w:tcPr>
          <w:p w14:paraId="53040991" w14:textId="77777777" w:rsidR="00087B91" w:rsidRPr="002029AF" w:rsidRDefault="00087B91" w:rsidP="00860E95">
            <w:pPr>
              <w:pStyle w:val="ARfintablebodyright"/>
              <w:spacing w:before="10" w:after="0"/>
            </w:pPr>
            <w:r w:rsidRPr="002029AF">
              <w:t>17,325.6</w:t>
            </w:r>
          </w:p>
        </w:tc>
        <w:tc>
          <w:tcPr>
            <w:tcW w:w="1418" w:type="dxa"/>
            <w:tcBorders>
              <w:top w:val="single" w:sz="4" w:space="0" w:color="A6A6A6"/>
              <w:bottom w:val="single" w:sz="4" w:space="0" w:color="A6A6A6"/>
            </w:tcBorders>
            <w:noWrap/>
            <w:hideMark/>
          </w:tcPr>
          <w:p w14:paraId="5CEFD2EB" w14:textId="77777777" w:rsidR="00087B91" w:rsidRPr="002029AF" w:rsidRDefault="00087B91" w:rsidP="00860E95">
            <w:pPr>
              <w:pStyle w:val="ARfintablebodyright"/>
              <w:spacing w:before="10" w:after="0"/>
            </w:pPr>
            <w:r w:rsidRPr="002029AF">
              <w:t>17,341.5</w:t>
            </w:r>
          </w:p>
        </w:tc>
        <w:tc>
          <w:tcPr>
            <w:tcW w:w="1418" w:type="dxa"/>
            <w:tcBorders>
              <w:top w:val="single" w:sz="4" w:space="0" w:color="A6A6A6"/>
              <w:bottom w:val="single" w:sz="4" w:space="0" w:color="A6A6A6"/>
            </w:tcBorders>
            <w:shd w:val="clear" w:color="auto" w:fill="E7E6E6"/>
            <w:noWrap/>
            <w:hideMark/>
          </w:tcPr>
          <w:p w14:paraId="777B7A01" w14:textId="77777777" w:rsidR="00087B91" w:rsidRPr="002029AF" w:rsidRDefault="00087B91" w:rsidP="00860E95">
            <w:pPr>
              <w:pStyle w:val="ARfintablebodyright"/>
              <w:spacing w:before="10" w:after="0"/>
            </w:pPr>
            <w:r w:rsidRPr="002029AF">
              <w:t>17,325.6</w:t>
            </w:r>
          </w:p>
        </w:tc>
        <w:tc>
          <w:tcPr>
            <w:tcW w:w="1418" w:type="dxa"/>
            <w:tcBorders>
              <w:top w:val="single" w:sz="4" w:space="0" w:color="A6A6A6"/>
              <w:bottom w:val="single" w:sz="4" w:space="0" w:color="A6A6A6"/>
            </w:tcBorders>
            <w:noWrap/>
            <w:hideMark/>
          </w:tcPr>
          <w:p w14:paraId="57046323" w14:textId="77777777" w:rsidR="00087B91" w:rsidRPr="002029AF" w:rsidRDefault="00087B91" w:rsidP="00860E95">
            <w:pPr>
              <w:pStyle w:val="ARfintablebodyright"/>
              <w:spacing w:before="10" w:after="0"/>
            </w:pPr>
            <w:r w:rsidRPr="002029AF">
              <w:t>17,341.5</w:t>
            </w:r>
          </w:p>
        </w:tc>
      </w:tr>
      <w:tr w:rsidR="00087B91" w:rsidRPr="002029AF" w14:paraId="4CEE700B" w14:textId="77777777" w:rsidTr="00860E95">
        <w:tc>
          <w:tcPr>
            <w:tcW w:w="5952" w:type="dxa"/>
            <w:tcBorders>
              <w:top w:val="single" w:sz="4" w:space="0" w:color="A6A6A6"/>
              <w:bottom w:val="single" w:sz="4" w:space="0" w:color="A6A6A6"/>
            </w:tcBorders>
            <w:hideMark/>
          </w:tcPr>
          <w:p w14:paraId="0BE1D6DE" w14:textId="1B749F4F" w:rsidR="00087B91" w:rsidRPr="002029AF" w:rsidRDefault="00087B91" w:rsidP="00860E95">
            <w:pPr>
              <w:pStyle w:val="ARfintablebody"/>
              <w:spacing w:before="10" w:after="0"/>
            </w:pPr>
            <w:r w:rsidRPr="002029AF">
              <w:t>Community</w:t>
            </w:r>
            <w:r w:rsidR="000A5329" w:rsidRPr="002029AF">
              <w:t xml:space="preserve"> </w:t>
            </w:r>
            <w:r w:rsidRPr="002029AF">
              <w:t>services</w:t>
            </w:r>
          </w:p>
        </w:tc>
        <w:tc>
          <w:tcPr>
            <w:tcW w:w="1417" w:type="dxa"/>
            <w:tcBorders>
              <w:top w:val="single" w:sz="4" w:space="0" w:color="A6A6A6"/>
              <w:bottom w:val="single" w:sz="4" w:space="0" w:color="A6A6A6"/>
            </w:tcBorders>
            <w:shd w:val="clear" w:color="auto" w:fill="E7E6E6"/>
            <w:noWrap/>
            <w:hideMark/>
          </w:tcPr>
          <w:p w14:paraId="71FCAE54" w14:textId="77777777" w:rsidR="00087B91" w:rsidRPr="002029AF" w:rsidRDefault="00087B91" w:rsidP="00860E95">
            <w:pPr>
              <w:pStyle w:val="ARfintablebodyright"/>
              <w:spacing w:before="10" w:after="0"/>
            </w:pPr>
            <w:r w:rsidRPr="002029AF">
              <w:t>761.1</w:t>
            </w:r>
          </w:p>
        </w:tc>
        <w:tc>
          <w:tcPr>
            <w:tcW w:w="1418" w:type="dxa"/>
            <w:tcBorders>
              <w:top w:val="single" w:sz="4" w:space="0" w:color="A6A6A6"/>
              <w:bottom w:val="single" w:sz="4" w:space="0" w:color="A6A6A6"/>
            </w:tcBorders>
            <w:noWrap/>
            <w:hideMark/>
          </w:tcPr>
          <w:p w14:paraId="05B8C8C0" w14:textId="77777777" w:rsidR="00087B91" w:rsidRPr="002029AF" w:rsidRDefault="00087B91" w:rsidP="00860E95">
            <w:pPr>
              <w:pStyle w:val="ARfintablebodyright"/>
              <w:spacing w:before="10" w:after="0"/>
            </w:pPr>
            <w:r w:rsidRPr="002029AF">
              <w:t>752.3</w:t>
            </w:r>
          </w:p>
        </w:tc>
        <w:tc>
          <w:tcPr>
            <w:tcW w:w="1418" w:type="dxa"/>
            <w:tcBorders>
              <w:top w:val="single" w:sz="4" w:space="0" w:color="A6A6A6"/>
              <w:bottom w:val="single" w:sz="4" w:space="0" w:color="A6A6A6"/>
            </w:tcBorders>
            <w:shd w:val="clear" w:color="auto" w:fill="E7E6E6"/>
            <w:noWrap/>
            <w:hideMark/>
          </w:tcPr>
          <w:p w14:paraId="1CFA2786" w14:textId="77777777" w:rsidR="00087B91" w:rsidRPr="002029AF" w:rsidRDefault="00087B91" w:rsidP="00860E95">
            <w:pPr>
              <w:pStyle w:val="ARfintablebodyright"/>
              <w:spacing w:before="10" w:after="0"/>
            </w:pPr>
            <w:r w:rsidRPr="002029AF">
              <w:t>–</w:t>
            </w:r>
          </w:p>
        </w:tc>
        <w:tc>
          <w:tcPr>
            <w:tcW w:w="1418" w:type="dxa"/>
            <w:tcBorders>
              <w:top w:val="single" w:sz="4" w:space="0" w:color="A6A6A6"/>
              <w:bottom w:val="single" w:sz="4" w:space="0" w:color="A6A6A6"/>
            </w:tcBorders>
            <w:noWrap/>
            <w:hideMark/>
          </w:tcPr>
          <w:p w14:paraId="43CAF4E1" w14:textId="77777777" w:rsidR="00087B91" w:rsidRPr="002029AF" w:rsidRDefault="00087B91" w:rsidP="00860E95">
            <w:pPr>
              <w:pStyle w:val="ARfintablebodyright"/>
              <w:spacing w:before="10" w:after="0"/>
            </w:pPr>
            <w:r w:rsidRPr="002029AF">
              <w:t>–</w:t>
            </w:r>
          </w:p>
        </w:tc>
        <w:tc>
          <w:tcPr>
            <w:tcW w:w="1418" w:type="dxa"/>
            <w:tcBorders>
              <w:top w:val="single" w:sz="4" w:space="0" w:color="A6A6A6"/>
              <w:bottom w:val="single" w:sz="4" w:space="0" w:color="A6A6A6"/>
            </w:tcBorders>
            <w:shd w:val="clear" w:color="auto" w:fill="E7E6E6"/>
            <w:noWrap/>
            <w:hideMark/>
          </w:tcPr>
          <w:p w14:paraId="5C21343A" w14:textId="77777777" w:rsidR="00087B91" w:rsidRPr="002029AF" w:rsidRDefault="00087B91" w:rsidP="00860E95">
            <w:pPr>
              <w:pStyle w:val="ARfintablebodyright"/>
              <w:spacing w:before="10" w:after="0"/>
            </w:pPr>
            <w:r w:rsidRPr="002029AF">
              <w:t>761.1</w:t>
            </w:r>
          </w:p>
        </w:tc>
        <w:tc>
          <w:tcPr>
            <w:tcW w:w="1418" w:type="dxa"/>
            <w:tcBorders>
              <w:top w:val="single" w:sz="4" w:space="0" w:color="A6A6A6"/>
              <w:bottom w:val="single" w:sz="4" w:space="0" w:color="A6A6A6"/>
            </w:tcBorders>
            <w:noWrap/>
            <w:hideMark/>
          </w:tcPr>
          <w:p w14:paraId="00DD82C5" w14:textId="77777777" w:rsidR="00087B91" w:rsidRPr="002029AF" w:rsidRDefault="00087B91" w:rsidP="00860E95">
            <w:pPr>
              <w:pStyle w:val="ARfintablebodyright"/>
              <w:spacing w:before="10" w:after="0"/>
            </w:pPr>
            <w:r w:rsidRPr="002029AF">
              <w:t>752.3</w:t>
            </w:r>
          </w:p>
        </w:tc>
      </w:tr>
      <w:tr w:rsidR="00087B91" w:rsidRPr="002029AF" w14:paraId="2D2D7C48" w14:textId="77777777" w:rsidTr="00860E95">
        <w:tc>
          <w:tcPr>
            <w:tcW w:w="5952" w:type="dxa"/>
            <w:tcBorders>
              <w:top w:val="single" w:sz="4" w:space="0" w:color="A6A6A6"/>
              <w:bottom w:val="single" w:sz="4" w:space="0" w:color="A6A6A6"/>
            </w:tcBorders>
            <w:hideMark/>
          </w:tcPr>
          <w:p w14:paraId="724D43D7" w14:textId="60CC64C0" w:rsidR="00087B91" w:rsidRPr="002029AF" w:rsidRDefault="00087B91" w:rsidP="00860E95">
            <w:pPr>
              <w:pStyle w:val="ARfintablebody"/>
              <w:spacing w:before="10" w:after="0"/>
            </w:pPr>
            <w:r w:rsidRPr="002029AF">
              <w:t>Right-of-use</w:t>
            </w:r>
            <w:r w:rsidR="000A5329" w:rsidRPr="002029AF">
              <w:t xml:space="preserve"> </w:t>
            </w:r>
            <w:r w:rsidRPr="002029AF">
              <w:t>land</w:t>
            </w:r>
          </w:p>
        </w:tc>
        <w:tc>
          <w:tcPr>
            <w:tcW w:w="1417" w:type="dxa"/>
            <w:tcBorders>
              <w:top w:val="single" w:sz="4" w:space="0" w:color="A6A6A6"/>
              <w:bottom w:val="single" w:sz="4" w:space="0" w:color="A6A6A6"/>
            </w:tcBorders>
            <w:shd w:val="clear" w:color="auto" w:fill="E7E6E6"/>
            <w:noWrap/>
            <w:hideMark/>
          </w:tcPr>
          <w:p w14:paraId="19307F5A" w14:textId="77777777" w:rsidR="00087B91" w:rsidRPr="002029AF" w:rsidRDefault="00087B91" w:rsidP="00860E95">
            <w:pPr>
              <w:pStyle w:val="ARfintablebodyright"/>
              <w:spacing w:before="10" w:after="0"/>
            </w:pPr>
            <w:r w:rsidRPr="002029AF">
              <w:t>–</w:t>
            </w:r>
          </w:p>
        </w:tc>
        <w:tc>
          <w:tcPr>
            <w:tcW w:w="1418" w:type="dxa"/>
            <w:tcBorders>
              <w:top w:val="single" w:sz="4" w:space="0" w:color="A6A6A6"/>
              <w:bottom w:val="single" w:sz="4" w:space="0" w:color="A6A6A6"/>
            </w:tcBorders>
            <w:noWrap/>
            <w:hideMark/>
          </w:tcPr>
          <w:p w14:paraId="74925710" w14:textId="77777777" w:rsidR="00087B91" w:rsidRPr="002029AF" w:rsidRDefault="00087B91" w:rsidP="00860E95">
            <w:pPr>
              <w:pStyle w:val="ARfintablebodyright"/>
              <w:spacing w:before="10" w:after="0"/>
            </w:pPr>
            <w:r w:rsidRPr="002029AF">
              <w:t>–</w:t>
            </w:r>
          </w:p>
        </w:tc>
        <w:tc>
          <w:tcPr>
            <w:tcW w:w="1418" w:type="dxa"/>
            <w:tcBorders>
              <w:top w:val="single" w:sz="4" w:space="0" w:color="A6A6A6"/>
              <w:bottom w:val="single" w:sz="4" w:space="0" w:color="A6A6A6"/>
            </w:tcBorders>
            <w:shd w:val="clear" w:color="auto" w:fill="E7E6E6"/>
            <w:noWrap/>
            <w:hideMark/>
          </w:tcPr>
          <w:p w14:paraId="2D2309EF" w14:textId="77777777" w:rsidR="00087B91" w:rsidRPr="002029AF" w:rsidRDefault="00087B91" w:rsidP="00860E95">
            <w:pPr>
              <w:pStyle w:val="ARfintablebodyright"/>
              <w:spacing w:before="10" w:after="0"/>
            </w:pPr>
            <w:r w:rsidRPr="002029AF">
              <w:t>11.6</w:t>
            </w:r>
          </w:p>
        </w:tc>
        <w:tc>
          <w:tcPr>
            <w:tcW w:w="1418" w:type="dxa"/>
            <w:tcBorders>
              <w:top w:val="single" w:sz="4" w:space="0" w:color="A6A6A6"/>
              <w:bottom w:val="single" w:sz="4" w:space="0" w:color="A6A6A6"/>
            </w:tcBorders>
            <w:noWrap/>
            <w:hideMark/>
          </w:tcPr>
          <w:p w14:paraId="3440D8E3" w14:textId="77777777" w:rsidR="00087B91" w:rsidRPr="002029AF" w:rsidRDefault="00087B91" w:rsidP="00860E95">
            <w:pPr>
              <w:pStyle w:val="ARfintablebodyright"/>
              <w:spacing w:before="10" w:after="0"/>
            </w:pPr>
            <w:r w:rsidRPr="002029AF">
              <w:t>–</w:t>
            </w:r>
          </w:p>
        </w:tc>
        <w:tc>
          <w:tcPr>
            <w:tcW w:w="1418" w:type="dxa"/>
            <w:tcBorders>
              <w:top w:val="single" w:sz="4" w:space="0" w:color="A6A6A6"/>
              <w:bottom w:val="single" w:sz="4" w:space="0" w:color="A6A6A6"/>
            </w:tcBorders>
            <w:shd w:val="clear" w:color="auto" w:fill="E7E6E6"/>
            <w:noWrap/>
            <w:hideMark/>
          </w:tcPr>
          <w:p w14:paraId="36CD45BF" w14:textId="77777777" w:rsidR="00087B91" w:rsidRPr="002029AF" w:rsidRDefault="00087B91" w:rsidP="00860E95">
            <w:pPr>
              <w:pStyle w:val="ARfintablebodyright"/>
              <w:spacing w:before="10" w:after="0"/>
            </w:pPr>
            <w:r w:rsidRPr="002029AF">
              <w:t>11.6</w:t>
            </w:r>
          </w:p>
        </w:tc>
        <w:tc>
          <w:tcPr>
            <w:tcW w:w="1418" w:type="dxa"/>
            <w:tcBorders>
              <w:top w:val="single" w:sz="4" w:space="0" w:color="A6A6A6"/>
              <w:bottom w:val="single" w:sz="4" w:space="0" w:color="A6A6A6"/>
            </w:tcBorders>
            <w:noWrap/>
            <w:hideMark/>
          </w:tcPr>
          <w:p w14:paraId="7BF97C96" w14:textId="77777777" w:rsidR="00087B91" w:rsidRPr="002029AF" w:rsidRDefault="00087B91" w:rsidP="00860E95">
            <w:pPr>
              <w:pStyle w:val="ARfintablebodyright"/>
              <w:spacing w:before="10" w:after="0"/>
            </w:pPr>
            <w:r w:rsidRPr="002029AF">
              <w:t>–</w:t>
            </w:r>
          </w:p>
        </w:tc>
      </w:tr>
      <w:tr w:rsidR="00087B91" w:rsidRPr="002029AF" w14:paraId="68C3E478" w14:textId="77777777" w:rsidTr="00860E95">
        <w:tc>
          <w:tcPr>
            <w:tcW w:w="5952" w:type="dxa"/>
            <w:tcBorders>
              <w:top w:val="single" w:sz="4" w:space="0" w:color="A6A6A6"/>
              <w:bottom w:val="single" w:sz="4" w:space="0" w:color="A6A6A6"/>
            </w:tcBorders>
            <w:hideMark/>
          </w:tcPr>
          <w:p w14:paraId="45059E50" w14:textId="2FE51394" w:rsidR="00087B91" w:rsidRPr="002029AF" w:rsidRDefault="00087B91" w:rsidP="00860E95">
            <w:pPr>
              <w:pStyle w:val="ARfintablebody"/>
              <w:spacing w:before="10" w:after="0"/>
            </w:pPr>
            <w:r w:rsidRPr="002029AF">
              <w:t>Service</w:t>
            </w:r>
            <w:r w:rsidR="000A5329" w:rsidRPr="002029AF">
              <w:t xml:space="preserve"> </w:t>
            </w:r>
            <w:r w:rsidRPr="002029AF">
              <w:t>concession</w:t>
            </w:r>
            <w:r w:rsidR="000A5329" w:rsidRPr="002029AF">
              <w:t xml:space="preserve"> </w:t>
            </w:r>
            <w:r w:rsidRPr="002029AF">
              <w:t>land</w:t>
            </w:r>
          </w:p>
        </w:tc>
        <w:tc>
          <w:tcPr>
            <w:tcW w:w="1417" w:type="dxa"/>
            <w:tcBorders>
              <w:top w:val="single" w:sz="4" w:space="0" w:color="A6A6A6"/>
              <w:bottom w:val="single" w:sz="4" w:space="0" w:color="A6A6A6"/>
            </w:tcBorders>
            <w:shd w:val="clear" w:color="auto" w:fill="E7E6E6"/>
            <w:noWrap/>
            <w:hideMark/>
          </w:tcPr>
          <w:p w14:paraId="039739D5" w14:textId="77777777" w:rsidR="00087B91" w:rsidRPr="002029AF" w:rsidRDefault="00087B91" w:rsidP="00860E95">
            <w:pPr>
              <w:pStyle w:val="ARfintablebodyright"/>
              <w:spacing w:before="10" w:after="0"/>
            </w:pPr>
            <w:r w:rsidRPr="002029AF">
              <w:t>430.4</w:t>
            </w:r>
          </w:p>
        </w:tc>
        <w:tc>
          <w:tcPr>
            <w:tcW w:w="1418" w:type="dxa"/>
            <w:tcBorders>
              <w:top w:val="single" w:sz="4" w:space="0" w:color="A6A6A6"/>
              <w:bottom w:val="single" w:sz="4" w:space="0" w:color="A6A6A6"/>
            </w:tcBorders>
            <w:noWrap/>
            <w:hideMark/>
          </w:tcPr>
          <w:p w14:paraId="5B9260E4" w14:textId="77777777" w:rsidR="00087B91" w:rsidRPr="002029AF" w:rsidRDefault="00087B91" w:rsidP="00860E95">
            <w:pPr>
              <w:pStyle w:val="ARfintablebodyright"/>
              <w:spacing w:before="10" w:after="0"/>
            </w:pPr>
            <w:r w:rsidRPr="002029AF">
              <w:t>424.9</w:t>
            </w:r>
          </w:p>
        </w:tc>
        <w:tc>
          <w:tcPr>
            <w:tcW w:w="1418" w:type="dxa"/>
            <w:tcBorders>
              <w:top w:val="single" w:sz="4" w:space="0" w:color="A6A6A6"/>
              <w:bottom w:val="single" w:sz="4" w:space="0" w:color="A6A6A6"/>
            </w:tcBorders>
            <w:shd w:val="clear" w:color="auto" w:fill="E7E6E6"/>
            <w:noWrap/>
            <w:hideMark/>
          </w:tcPr>
          <w:p w14:paraId="199BF3BB" w14:textId="77777777" w:rsidR="00087B91" w:rsidRPr="002029AF" w:rsidRDefault="00087B91" w:rsidP="00860E95">
            <w:pPr>
              <w:pStyle w:val="ARfintablebodyright"/>
              <w:spacing w:before="10" w:after="0"/>
            </w:pPr>
            <w:r w:rsidRPr="002029AF">
              <w:t>–</w:t>
            </w:r>
          </w:p>
        </w:tc>
        <w:tc>
          <w:tcPr>
            <w:tcW w:w="1418" w:type="dxa"/>
            <w:tcBorders>
              <w:top w:val="single" w:sz="4" w:space="0" w:color="A6A6A6"/>
              <w:bottom w:val="single" w:sz="4" w:space="0" w:color="A6A6A6"/>
            </w:tcBorders>
            <w:noWrap/>
            <w:hideMark/>
          </w:tcPr>
          <w:p w14:paraId="0EE20BCD" w14:textId="77777777" w:rsidR="00087B91" w:rsidRPr="002029AF" w:rsidRDefault="00087B91" w:rsidP="00860E95">
            <w:pPr>
              <w:pStyle w:val="ARfintablebodyright"/>
              <w:spacing w:before="10" w:after="0"/>
            </w:pPr>
            <w:r w:rsidRPr="002029AF">
              <w:t>–</w:t>
            </w:r>
          </w:p>
        </w:tc>
        <w:tc>
          <w:tcPr>
            <w:tcW w:w="1418" w:type="dxa"/>
            <w:tcBorders>
              <w:top w:val="single" w:sz="4" w:space="0" w:color="A6A6A6"/>
              <w:bottom w:val="single" w:sz="4" w:space="0" w:color="A6A6A6"/>
            </w:tcBorders>
            <w:shd w:val="clear" w:color="auto" w:fill="E7E6E6"/>
            <w:noWrap/>
            <w:hideMark/>
          </w:tcPr>
          <w:p w14:paraId="10EB7A29" w14:textId="77777777" w:rsidR="00087B91" w:rsidRPr="002029AF" w:rsidRDefault="00087B91" w:rsidP="00860E95">
            <w:pPr>
              <w:pStyle w:val="ARfintablebodyright"/>
              <w:spacing w:before="10" w:after="0"/>
            </w:pPr>
            <w:r w:rsidRPr="002029AF">
              <w:t>430.4</w:t>
            </w:r>
          </w:p>
        </w:tc>
        <w:tc>
          <w:tcPr>
            <w:tcW w:w="1418" w:type="dxa"/>
            <w:tcBorders>
              <w:top w:val="single" w:sz="4" w:space="0" w:color="A6A6A6"/>
              <w:bottom w:val="single" w:sz="4" w:space="0" w:color="A6A6A6"/>
            </w:tcBorders>
            <w:noWrap/>
            <w:hideMark/>
          </w:tcPr>
          <w:p w14:paraId="34BA43B2" w14:textId="77777777" w:rsidR="00087B91" w:rsidRPr="002029AF" w:rsidRDefault="00087B91" w:rsidP="00860E95">
            <w:pPr>
              <w:pStyle w:val="ARfintablebodyright"/>
              <w:spacing w:before="10" w:after="0"/>
            </w:pPr>
            <w:r w:rsidRPr="002029AF">
              <w:t>424.9</w:t>
            </w:r>
          </w:p>
        </w:tc>
      </w:tr>
      <w:tr w:rsidR="00087B91" w:rsidRPr="002029AF" w14:paraId="0EB665C1" w14:textId="77777777" w:rsidTr="00860E95">
        <w:tc>
          <w:tcPr>
            <w:tcW w:w="5952" w:type="dxa"/>
            <w:tcBorders>
              <w:top w:val="single" w:sz="4" w:space="0" w:color="A6A6A6"/>
              <w:bottom w:val="single" w:sz="4" w:space="0" w:color="A6A6A6"/>
            </w:tcBorders>
            <w:hideMark/>
          </w:tcPr>
          <w:p w14:paraId="3E20C382" w14:textId="0EEB2E58" w:rsidR="00087B91" w:rsidRPr="002029AF" w:rsidRDefault="00087B91" w:rsidP="00860E95">
            <w:pPr>
              <w:pStyle w:val="ARfintablebody"/>
              <w:spacing w:before="10" w:after="0"/>
              <w:rPr>
                <w:rStyle w:val="Emphasis"/>
              </w:rPr>
            </w:pPr>
            <w:r w:rsidRPr="002029AF">
              <w:rPr>
                <w:rStyle w:val="Emphasis"/>
              </w:rPr>
              <w:t>Less</w:t>
            </w:r>
            <w:r w:rsidR="000A5329" w:rsidRPr="002029AF">
              <w:rPr>
                <w:rStyle w:val="Emphasis"/>
              </w:rPr>
              <w:t xml:space="preserve"> </w:t>
            </w:r>
            <w:r w:rsidRPr="002029AF">
              <w:rPr>
                <w:rStyle w:val="Emphasis"/>
              </w:rPr>
              <w:t>accumulated</w:t>
            </w:r>
            <w:r w:rsidR="000A5329" w:rsidRPr="002029AF">
              <w:rPr>
                <w:rStyle w:val="Emphasis"/>
              </w:rPr>
              <w:t xml:space="preserve"> </w:t>
            </w:r>
            <w:r w:rsidRPr="002029AF">
              <w:rPr>
                <w:rStyle w:val="Emphasis"/>
              </w:rPr>
              <w:t>depreciation</w:t>
            </w:r>
          </w:p>
        </w:tc>
        <w:tc>
          <w:tcPr>
            <w:tcW w:w="1417" w:type="dxa"/>
            <w:tcBorders>
              <w:top w:val="single" w:sz="4" w:space="0" w:color="A6A6A6"/>
              <w:bottom w:val="single" w:sz="4" w:space="0" w:color="A6A6A6"/>
            </w:tcBorders>
            <w:shd w:val="clear" w:color="auto" w:fill="E7E6E6"/>
            <w:noWrap/>
            <w:hideMark/>
          </w:tcPr>
          <w:p w14:paraId="09F92BFF" w14:textId="77777777" w:rsidR="00087B91" w:rsidRPr="002029AF" w:rsidRDefault="00087B91" w:rsidP="00860E95">
            <w:pPr>
              <w:pStyle w:val="ARfintablebodyright"/>
              <w:spacing w:before="10" w:after="0"/>
            </w:pPr>
            <w:r w:rsidRPr="002029AF">
              <w:t>–</w:t>
            </w:r>
          </w:p>
        </w:tc>
        <w:tc>
          <w:tcPr>
            <w:tcW w:w="1418" w:type="dxa"/>
            <w:tcBorders>
              <w:top w:val="single" w:sz="4" w:space="0" w:color="A6A6A6"/>
              <w:bottom w:val="single" w:sz="4" w:space="0" w:color="A6A6A6"/>
            </w:tcBorders>
            <w:noWrap/>
            <w:hideMark/>
          </w:tcPr>
          <w:p w14:paraId="371979FA" w14:textId="77777777" w:rsidR="00087B91" w:rsidRPr="002029AF" w:rsidRDefault="00087B91" w:rsidP="00860E95">
            <w:pPr>
              <w:pStyle w:val="ARfintablebodyright"/>
              <w:spacing w:before="10" w:after="0"/>
            </w:pPr>
            <w:r w:rsidRPr="002029AF">
              <w:t>–</w:t>
            </w:r>
          </w:p>
        </w:tc>
        <w:tc>
          <w:tcPr>
            <w:tcW w:w="1418" w:type="dxa"/>
            <w:tcBorders>
              <w:top w:val="single" w:sz="4" w:space="0" w:color="A6A6A6"/>
              <w:bottom w:val="single" w:sz="4" w:space="0" w:color="A6A6A6"/>
            </w:tcBorders>
            <w:shd w:val="clear" w:color="auto" w:fill="E7E6E6"/>
            <w:noWrap/>
            <w:hideMark/>
          </w:tcPr>
          <w:p w14:paraId="67694954" w14:textId="77777777" w:rsidR="00087B91" w:rsidRPr="002029AF" w:rsidRDefault="00087B91" w:rsidP="00860E95">
            <w:pPr>
              <w:pStyle w:val="ARfintablebodyright"/>
              <w:spacing w:before="10" w:after="0"/>
            </w:pPr>
            <w:r w:rsidRPr="002029AF">
              <w:t>(0.8)</w:t>
            </w:r>
          </w:p>
        </w:tc>
        <w:tc>
          <w:tcPr>
            <w:tcW w:w="1418" w:type="dxa"/>
            <w:tcBorders>
              <w:top w:val="single" w:sz="4" w:space="0" w:color="A6A6A6"/>
              <w:bottom w:val="single" w:sz="4" w:space="0" w:color="A6A6A6"/>
            </w:tcBorders>
            <w:noWrap/>
            <w:hideMark/>
          </w:tcPr>
          <w:p w14:paraId="4D2F0FBB" w14:textId="77777777" w:rsidR="00087B91" w:rsidRPr="002029AF" w:rsidRDefault="00087B91" w:rsidP="00860E95">
            <w:pPr>
              <w:pStyle w:val="ARfintablebodyright"/>
              <w:spacing w:before="10" w:after="0"/>
            </w:pPr>
            <w:r w:rsidRPr="002029AF">
              <w:t>–</w:t>
            </w:r>
          </w:p>
        </w:tc>
        <w:tc>
          <w:tcPr>
            <w:tcW w:w="1418" w:type="dxa"/>
            <w:tcBorders>
              <w:top w:val="single" w:sz="4" w:space="0" w:color="A6A6A6"/>
              <w:bottom w:val="single" w:sz="4" w:space="0" w:color="A6A6A6"/>
            </w:tcBorders>
            <w:shd w:val="clear" w:color="auto" w:fill="E7E6E6"/>
            <w:noWrap/>
            <w:hideMark/>
          </w:tcPr>
          <w:p w14:paraId="217B4836" w14:textId="77777777" w:rsidR="00087B91" w:rsidRPr="002029AF" w:rsidRDefault="00087B91" w:rsidP="00860E95">
            <w:pPr>
              <w:pStyle w:val="ARfintablebodyright"/>
              <w:spacing w:before="10" w:after="0"/>
            </w:pPr>
            <w:r w:rsidRPr="002029AF">
              <w:t>(0.8)</w:t>
            </w:r>
          </w:p>
        </w:tc>
        <w:tc>
          <w:tcPr>
            <w:tcW w:w="1418" w:type="dxa"/>
            <w:tcBorders>
              <w:top w:val="single" w:sz="4" w:space="0" w:color="A6A6A6"/>
              <w:bottom w:val="single" w:sz="4" w:space="0" w:color="A6A6A6"/>
            </w:tcBorders>
            <w:noWrap/>
            <w:hideMark/>
          </w:tcPr>
          <w:p w14:paraId="118DF9D7" w14:textId="77777777" w:rsidR="00087B91" w:rsidRPr="002029AF" w:rsidRDefault="00087B91" w:rsidP="00860E95">
            <w:pPr>
              <w:pStyle w:val="ARfintablebodyright"/>
              <w:spacing w:before="10" w:after="0"/>
            </w:pPr>
            <w:r w:rsidRPr="002029AF">
              <w:t>–</w:t>
            </w:r>
          </w:p>
        </w:tc>
      </w:tr>
      <w:tr w:rsidR="00087B91" w:rsidRPr="002029AF" w14:paraId="40122A2F" w14:textId="77777777" w:rsidTr="00860E95">
        <w:tc>
          <w:tcPr>
            <w:tcW w:w="5952" w:type="dxa"/>
            <w:tcBorders>
              <w:top w:val="single" w:sz="4" w:space="0" w:color="A6A6A6"/>
            </w:tcBorders>
            <w:hideMark/>
          </w:tcPr>
          <w:p w14:paraId="066A5CE2" w14:textId="4E424BC7" w:rsidR="00087B91" w:rsidRPr="002029AF" w:rsidRDefault="00087B91" w:rsidP="00860E95">
            <w:pPr>
              <w:pStyle w:val="ARfintablebody"/>
              <w:spacing w:before="10" w:after="0"/>
              <w:rPr>
                <w:rStyle w:val="Emphasis"/>
              </w:rPr>
            </w:pPr>
            <w:r w:rsidRPr="002029AF">
              <w:rPr>
                <w:rStyle w:val="Emphasis"/>
              </w:rPr>
              <w:t>Less</w:t>
            </w:r>
            <w:r w:rsidR="000A5329" w:rsidRPr="002029AF">
              <w:rPr>
                <w:rStyle w:val="Emphasis"/>
              </w:rPr>
              <w:t xml:space="preserve"> </w:t>
            </w:r>
            <w:r w:rsidRPr="002029AF">
              <w:rPr>
                <w:rStyle w:val="Emphasis"/>
              </w:rPr>
              <w:t>allowance</w:t>
            </w:r>
            <w:r w:rsidR="000A5329" w:rsidRPr="002029AF">
              <w:rPr>
                <w:rStyle w:val="Emphasis"/>
              </w:rPr>
              <w:t xml:space="preserve"> </w:t>
            </w:r>
            <w:r w:rsidRPr="002029AF">
              <w:rPr>
                <w:rStyle w:val="Emphasis"/>
              </w:rPr>
              <w:t>for</w:t>
            </w:r>
            <w:r w:rsidR="000A5329" w:rsidRPr="002029AF">
              <w:rPr>
                <w:rStyle w:val="Emphasis"/>
              </w:rPr>
              <w:t xml:space="preserve"> </w:t>
            </w:r>
            <w:r w:rsidRPr="002029AF">
              <w:rPr>
                <w:rStyle w:val="Emphasis"/>
              </w:rPr>
              <w:t>Shared</w:t>
            </w:r>
            <w:r w:rsidR="000A5329" w:rsidRPr="002029AF">
              <w:rPr>
                <w:rStyle w:val="Emphasis"/>
              </w:rPr>
              <w:t xml:space="preserve"> </w:t>
            </w:r>
            <w:r w:rsidRPr="002029AF">
              <w:rPr>
                <w:rStyle w:val="Emphasis"/>
              </w:rPr>
              <w:t>Home</w:t>
            </w:r>
            <w:r w:rsidR="000A5329" w:rsidRPr="002029AF">
              <w:rPr>
                <w:rStyle w:val="Emphasis"/>
              </w:rPr>
              <w:t xml:space="preserve"> </w:t>
            </w:r>
            <w:r w:rsidRPr="002029AF">
              <w:rPr>
                <w:rStyle w:val="Emphasis"/>
              </w:rPr>
              <w:t>Ownership</w:t>
            </w:r>
            <w:r w:rsidR="000A5329" w:rsidRPr="002029AF">
              <w:rPr>
                <w:rStyle w:val="Emphasis"/>
              </w:rPr>
              <w:t xml:space="preserve"> </w:t>
            </w:r>
            <w:r w:rsidRPr="002029AF">
              <w:rPr>
                <w:rStyle w:val="Emphasis"/>
              </w:rPr>
              <w:t>Scheme</w:t>
            </w:r>
            <w:r w:rsidR="000A5329" w:rsidRPr="002029AF">
              <w:rPr>
                <w:rStyle w:val="Emphasis"/>
              </w:rPr>
              <w:t xml:space="preserve"> </w:t>
            </w:r>
            <w:r w:rsidRPr="002029AF">
              <w:rPr>
                <w:rStyle w:val="Emphasis"/>
              </w:rPr>
              <w:t>equity</w:t>
            </w:r>
            <w:r w:rsidR="000A5329" w:rsidRPr="002029AF">
              <w:rPr>
                <w:rStyle w:val="Emphasis"/>
              </w:rPr>
              <w:t xml:space="preserve"> </w:t>
            </w:r>
            <w:r w:rsidRPr="002029AF">
              <w:rPr>
                <w:rStyle w:val="Emphasis"/>
              </w:rPr>
              <w:t>conversion</w:t>
            </w:r>
          </w:p>
        </w:tc>
        <w:tc>
          <w:tcPr>
            <w:tcW w:w="1417" w:type="dxa"/>
            <w:tcBorders>
              <w:top w:val="single" w:sz="4" w:space="0" w:color="A6A6A6"/>
            </w:tcBorders>
            <w:shd w:val="clear" w:color="auto" w:fill="E7E6E6"/>
            <w:noWrap/>
            <w:hideMark/>
          </w:tcPr>
          <w:p w14:paraId="3979ED52" w14:textId="77777777" w:rsidR="00087B91" w:rsidRPr="002029AF" w:rsidRDefault="00087B91" w:rsidP="00860E95">
            <w:pPr>
              <w:pStyle w:val="ARfintablebodyright"/>
              <w:spacing w:before="10" w:after="0"/>
            </w:pPr>
            <w:r w:rsidRPr="002029AF">
              <w:t>–</w:t>
            </w:r>
          </w:p>
        </w:tc>
        <w:tc>
          <w:tcPr>
            <w:tcW w:w="1418" w:type="dxa"/>
            <w:tcBorders>
              <w:top w:val="single" w:sz="4" w:space="0" w:color="A6A6A6"/>
            </w:tcBorders>
            <w:noWrap/>
            <w:hideMark/>
          </w:tcPr>
          <w:p w14:paraId="15922481" w14:textId="77777777" w:rsidR="00087B91" w:rsidRPr="002029AF" w:rsidRDefault="00087B91" w:rsidP="00860E95">
            <w:pPr>
              <w:pStyle w:val="ARfintablebodyright"/>
              <w:spacing w:before="10" w:after="0"/>
            </w:pPr>
            <w:r w:rsidRPr="002029AF">
              <w:t>–</w:t>
            </w:r>
          </w:p>
        </w:tc>
        <w:tc>
          <w:tcPr>
            <w:tcW w:w="1418" w:type="dxa"/>
            <w:tcBorders>
              <w:top w:val="single" w:sz="4" w:space="0" w:color="A6A6A6"/>
            </w:tcBorders>
            <w:shd w:val="clear" w:color="auto" w:fill="E7E6E6"/>
            <w:noWrap/>
            <w:hideMark/>
          </w:tcPr>
          <w:p w14:paraId="228F27CE" w14:textId="77777777" w:rsidR="00087B91" w:rsidRPr="002029AF" w:rsidRDefault="00087B91" w:rsidP="00860E95">
            <w:pPr>
              <w:pStyle w:val="ARfintablebodyright"/>
              <w:spacing w:before="10" w:after="0"/>
            </w:pPr>
            <w:r w:rsidRPr="002029AF">
              <w:t>(3.6)</w:t>
            </w:r>
          </w:p>
        </w:tc>
        <w:tc>
          <w:tcPr>
            <w:tcW w:w="1418" w:type="dxa"/>
            <w:tcBorders>
              <w:top w:val="single" w:sz="4" w:space="0" w:color="A6A6A6"/>
            </w:tcBorders>
            <w:noWrap/>
            <w:hideMark/>
          </w:tcPr>
          <w:p w14:paraId="68F6D37D" w14:textId="77777777" w:rsidR="00087B91" w:rsidRPr="002029AF" w:rsidRDefault="00087B91" w:rsidP="00860E95">
            <w:pPr>
              <w:pStyle w:val="ARfintablebodyright"/>
              <w:spacing w:before="10" w:after="0"/>
            </w:pPr>
            <w:r w:rsidRPr="002029AF">
              <w:t>(3.7)</w:t>
            </w:r>
          </w:p>
        </w:tc>
        <w:tc>
          <w:tcPr>
            <w:tcW w:w="1418" w:type="dxa"/>
            <w:tcBorders>
              <w:top w:val="single" w:sz="4" w:space="0" w:color="A6A6A6"/>
            </w:tcBorders>
            <w:shd w:val="clear" w:color="auto" w:fill="E7E6E6"/>
            <w:noWrap/>
            <w:hideMark/>
          </w:tcPr>
          <w:p w14:paraId="601C5174" w14:textId="77777777" w:rsidR="00087B91" w:rsidRPr="002029AF" w:rsidRDefault="00087B91" w:rsidP="00860E95">
            <w:pPr>
              <w:pStyle w:val="ARfintablebodyright"/>
              <w:spacing w:before="10" w:after="0"/>
            </w:pPr>
            <w:r w:rsidRPr="002029AF">
              <w:t>(3.6)</w:t>
            </w:r>
          </w:p>
        </w:tc>
        <w:tc>
          <w:tcPr>
            <w:tcW w:w="1418" w:type="dxa"/>
            <w:tcBorders>
              <w:top w:val="single" w:sz="4" w:space="0" w:color="A6A6A6"/>
            </w:tcBorders>
            <w:noWrap/>
            <w:hideMark/>
          </w:tcPr>
          <w:p w14:paraId="396DB053" w14:textId="77777777" w:rsidR="00087B91" w:rsidRPr="002029AF" w:rsidRDefault="00087B91" w:rsidP="00860E95">
            <w:pPr>
              <w:pStyle w:val="ARfintablebodyright"/>
              <w:spacing w:before="10" w:after="0"/>
            </w:pPr>
            <w:r w:rsidRPr="002029AF">
              <w:t>(3.7)</w:t>
            </w:r>
          </w:p>
        </w:tc>
      </w:tr>
      <w:tr w:rsidR="00087B91" w:rsidRPr="002029AF" w14:paraId="77CCFD31" w14:textId="77777777" w:rsidTr="00860E95">
        <w:tc>
          <w:tcPr>
            <w:tcW w:w="5952" w:type="dxa"/>
            <w:tcBorders>
              <w:bottom w:val="single" w:sz="4" w:space="0" w:color="auto"/>
            </w:tcBorders>
            <w:hideMark/>
          </w:tcPr>
          <w:p w14:paraId="13E9123C" w14:textId="3651C604" w:rsidR="00087B91" w:rsidRPr="002029AF" w:rsidRDefault="00087B91" w:rsidP="00860E95">
            <w:pPr>
              <w:pStyle w:val="ARfintablebodybold"/>
              <w:spacing w:before="10" w:after="0"/>
            </w:pPr>
            <w:r w:rsidRPr="002029AF">
              <w:t>Total</w:t>
            </w:r>
            <w:r w:rsidR="000A5329" w:rsidRPr="002029AF">
              <w:t xml:space="preserve"> </w:t>
            </w:r>
            <w:r w:rsidRPr="002029AF">
              <w:t>land</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tc>
        <w:tc>
          <w:tcPr>
            <w:tcW w:w="1417" w:type="dxa"/>
            <w:tcBorders>
              <w:bottom w:val="single" w:sz="4" w:space="0" w:color="auto"/>
            </w:tcBorders>
            <w:shd w:val="clear" w:color="auto" w:fill="E7E6E6"/>
            <w:noWrap/>
            <w:hideMark/>
          </w:tcPr>
          <w:p w14:paraId="6F6D545F" w14:textId="77777777" w:rsidR="00087B91" w:rsidRPr="002029AF" w:rsidRDefault="00087B91" w:rsidP="00860E95">
            <w:pPr>
              <w:pStyle w:val="ARfintablebodyrightbold"/>
              <w:spacing w:before="10" w:after="0"/>
            </w:pPr>
            <w:r w:rsidRPr="002029AF">
              <w:t>1,191.5</w:t>
            </w:r>
          </w:p>
        </w:tc>
        <w:tc>
          <w:tcPr>
            <w:tcW w:w="1418" w:type="dxa"/>
            <w:tcBorders>
              <w:bottom w:val="single" w:sz="4" w:space="0" w:color="auto"/>
            </w:tcBorders>
            <w:noWrap/>
            <w:hideMark/>
          </w:tcPr>
          <w:p w14:paraId="504AB2C7" w14:textId="77777777" w:rsidR="00087B91" w:rsidRPr="002029AF" w:rsidRDefault="00087B91" w:rsidP="00860E95">
            <w:pPr>
              <w:pStyle w:val="ARfintablebodyrightbold"/>
              <w:spacing w:before="10" w:after="0"/>
            </w:pPr>
            <w:r w:rsidRPr="002029AF">
              <w:t>1,177.2</w:t>
            </w:r>
          </w:p>
        </w:tc>
        <w:tc>
          <w:tcPr>
            <w:tcW w:w="1418" w:type="dxa"/>
            <w:tcBorders>
              <w:bottom w:val="single" w:sz="4" w:space="0" w:color="auto"/>
            </w:tcBorders>
            <w:shd w:val="clear" w:color="auto" w:fill="E7E6E6"/>
            <w:noWrap/>
            <w:hideMark/>
          </w:tcPr>
          <w:p w14:paraId="5CB95648" w14:textId="77777777" w:rsidR="00087B91" w:rsidRPr="002029AF" w:rsidRDefault="00087B91" w:rsidP="00860E95">
            <w:pPr>
              <w:pStyle w:val="ARfintablebodyrightbold"/>
              <w:spacing w:before="10" w:after="0"/>
            </w:pPr>
            <w:r w:rsidRPr="002029AF">
              <w:t>17,332.8</w:t>
            </w:r>
          </w:p>
        </w:tc>
        <w:tc>
          <w:tcPr>
            <w:tcW w:w="1418" w:type="dxa"/>
            <w:tcBorders>
              <w:bottom w:val="single" w:sz="4" w:space="0" w:color="auto"/>
            </w:tcBorders>
            <w:noWrap/>
            <w:hideMark/>
          </w:tcPr>
          <w:p w14:paraId="4D2FE7C4" w14:textId="77777777" w:rsidR="00087B91" w:rsidRPr="002029AF" w:rsidRDefault="00087B91" w:rsidP="00860E95">
            <w:pPr>
              <w:pStyle w:val="ARfintablebodyrightbold"/>
              <w:spacing w:before="10" w:after="0"/>
            </w:pPr>
            <w:r w:rsidRPr="002029AF">
              <w:t>17,337.7</w:t>
            </w:r>
          </w:p>
        </w:tc>
        <w:tc>
          <w:tcPr>
            <w:tcW w:w="1418" w:type="dxa"/>
            <w:tcBorders>
              <w:bottom w:val="single" w:sz="4" w:space="0" w:color="auto"/>
            </w:tcBorders>
            <w:shd w:val="clear" w:color="auto" w:fill="E7E6E6"/>
            <w:noWrap/>
            <w:hideMark/>
          </w:tcPr>
          <w:p w14:paraId="41DB1B5A" w14:textId="77777777" w:rsidR="00087B91" w:rsidRPr="002029AF" w:rsidRDefault="00087B91" w:rsidP="00860E95">
            <w:pPr>
              <w:pStyle w:val="ARfintablebodyrightbold"/>
              <w:spacing w:before="10" w:after="0"/>
            </w:pPr>
            <w:r w:rsidRPr="002029AF">
              <w:t>18,524.3</w:t>
            </w:r>
          </w:p>
        </w:tc>
        <w:tc>
          <w:tcPr>
            <w:tcW w:w="1418" w:type="dxa"/>
            <w:tcBorders>
              <w:bottom w:val="single" w:sz="4" w:space="0" w:color="auto"/>
            </w:tcBorders>
            <w:noWrap/>
            <w:hideMark/>
          </w:tcPr>
          <w:p w14:paraId="0DB51AAC" w14:textId="77777777" w:rsidR="00087B91" w:rsidRPr="002029AF" w:rsidRDefault="00087B91" w:rsidP="00860E95">
            <w:pPr>
              <w:pStyle w:val="ARfintablebodyrightbold"/>
              <w:spacing w:before="10" w:after="0"/>
            </w:pPr>
            <w:r w:rsidRPr="002029AF">
              <w:t>18,514.9</w:t>
            </w:r>
          </w:p>
        </w:tc>
      </w:tr>
      <w:tr w:rsidR="00087B91" w:rsidRPr="002029AF" w14:paraId="1DBB91E1" w14:textId="77777777" w:rsidTr="00860E95">
        <w:tc>
          <w:tcPr>
            <w:tcW w:w="14459" w:type="dxa"/>
            <w:gridSpan w:val="7"/>
            <w:tcBorders>
              <w:top w:val="single" w:sz="4" w:space="0" w:color="auto"/>
              <w:bottom w:val="single" w:sz="4" w:space="0" w:color="A6A6A6"/>
            </w:tcBorders>
            <w:hideMark/>
          </w:tcPr>
          <w:p w14:paraId="0E1A304C" w14:textId="259DBE78" w:rsidR="00087B91" w:rsidRPr="002029AF" w:rsidRDefault="00087B91" w:rsidP="00860E95">
            <w:pPr>
              <w:pStyle w:val="ARfintablebodybold"/>
              <w:spacing w:before="10" w:after="0"/>
            </w:pPr>
            <w:r w:rsidRPr="002029AF">
              <w:t>Buildings</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tc>
      </w:tr>
      <w:tr w:rsidR="00087B91" w:rsidRPr="002029AF" w14:paraId="2FDC8C26" w14:textId="77777777" w:rsidTr="00860E95">
        <w:tc>
          <w:tcPr>
            <w:tcW w:w="5952" w:type="dxa"/>
            <w:tcBorders>
              <w:top w:val="single" w:sz="4" w:space="0" w:color="A6A6A6"/>
              <w:bottom w:val="single" w:sz="4" w:space="0" w:color="A6A6A6"/>
            </w:tcBorders>
            <w:hideMark/>
          </w:tcPr>
          <w:p w14:paraId="3FD8160B" w14:textId="4388C2A0" w:rsidR="00087B91" w:rsidRPr="002029AF" w:rsidRDefault="00087B91" w:rsidP="00860E95">
            <w:pPr>
              <w:pStyle w:val="ARfintablebody"/>
              <w:spacing w:before="10" w:after="0"/>
            </w:pPr>
            <w:r w:rsidRPr="002029AF">
              <w:t>Rental</w:t>
            </w:r>
            <w:r w:rsidR="000A5329" w:rsidRPr="002029AF">
              <w:t xml:space="preserve"> </w:t>
            </w:r>
            <w:r w:rsidRPr="002029AF">
              <w:t>property</w:t>
            </w:r>
          </w:p>
        </w:tc>
        <w:tc>
          <w:tcPr>
            <w:tcW w:w="1417" w:type="dxa"/>
            <w:tcBorders>
              <w:top w:val="single" w:sz="4" w:space="0" w:color="A6A6A6"/>
              <w:bottom w:val="single" w:sz="4" w:space="0" w:color="A6A6A6"/>
            </w:tcBorders>
            <w:shd w:val="clear" w:color="auto" w:fill="E7E6E6"/>
            <w:noWrap/>
            <w:hideMark/>
          </w:tcPr>
          <w:p w14:paraId="5FD26B67" w14:textId="77777777" w:rsidR="00087B91" w:rsidRPr="002029AF" w:rsidRDefault="00087B91" w:rsidP="00860E95">
            <w:pPr>
              <w:pStyle w:val="ARfintablebodyright"/>
              <w:spacing w:before="10" w:after="0"/>
            </w:pPr>
            <w:r w:rsidRPr="002029AF">
              <w:t>–</w:t>
            </w:r>
          </w:p>
        </w:tc>
        <w:tc>
          <w:tcPr>
            <w:tcW w:w="1418" w:type="dxa"/>
            <w:tcBorders>
              <w:top w:val="single" w:sz="4" w:space="0" w:color="A6A6A6"/>
              <w:bottom w:val="single" w:sz="4" w:space="0" w:color="A6A6A6"/>
            </w:tcBorders>
            <w:noWrap/>
            <w:hideMark/>
          </w:tcPr>
          <w:p w14:paraId="266F2C3B" w14:textId="77777777" w:rsidR="00087B91" w:rsidRPr="002029AF" w:rsidRDefault="00087B91" w:rsidP="00860E95">
            <w:pPr>
              <w:pStyle w:val="ARfintablebodyright"/>
              <w:spacing w:before="10" w:after="0"/>
            </w:pPr>
            <w:r w:rsidRPr="002029AF">
              <w:t>–</w:t>
            </w:r>
          </w:p>
        </w:tc>
        <w:tc>
          <w:tcPr>
            <w:tcW w:w="1418" w:type="dxa"/>
            <w:tcBorders>
              <w:top w:val="single" w:sz="4" w:space="0" w:color="A6A6A6"/>
              <w:bottom w:val="single" w:sz="4" w:space="0" w:color="A6A6A6"/>
            </w:tcBorders>
            <w:shd w:val="clear" w:color="auto" w:fill="E7E6E6"/>
            <w:noWrap/>
            <w:hideMark/>
          </w:tcPr>
          <w:p w14:paraId="120096CC" w14:textId="77777777" w:rsidR="00087B91" w:rsidRPr="002029AF" w:rsidRDefault="00087B91" w:rsidP="00860E95">
            <w:pPr>
              <w:pStyle w:val="ARfintablebodyright"/>
              <w:spacing w:before="10" w:after="0"/>
            </w:pPr>
            <w:r w:rsidRPr="002029AF">
              <w:t>8,902.4</w:t>
            </w:r>
          </w:p>
        </w:tc>
        <w:tc>
          <w:tcPr>
            <w:tcW w:w="1418" w:type="dxa"/>
            <w:tcBorders>
              <w:top w:val="single" w:sz="4" w:space="0" w:color="A6A6A6"/>
              <w:bottom w:val="single" w:sz="4" w:space="0" w:color="A6A6A6"/>
            </w:tcBorders>
            <w:noWrap/>
            <w:hideMark/>
          </w:tcPr>
          <w:p w14:paraId="3BA5CEE6" w14:textId="77777777" w:rsidR="00087B91" w:rsidRPr="002029AF" w:rsidRDefault="00087B91" w:rsidP="00860E95">
            <w:pPr>
              <w:pStyle w:val="ARfintablebodyright"/>
              <w:spacing w:before="10" w:after="0"/>
            </w:pPr>
            <w:r w:rsidRPr="002029AF">
              <w:t>8,811.2</w:t>
            </w:r>
          </w:p>
        </w:tc>
        <w:tc>
          <w:tcPr>
            <w:tcW w:w="1418" w:type="dxa"/>
            <w:tcBorders>
              <w:top w:val="single" w:sz="4" w:space="0" w:color="A6A6A6"/>
              <w:bottom w:val="single" w:sz="4" w:space="0" w:color="A6A6A6"/>
            </w:tcBorders>
            <w:shd w:val="clear" w:color="auto" w:fill="E7E6E6"/>
            <w:noWrap/>
            <w:hideMark/>
          </w:tcPr>
          <w:p w14:paraId="62FF2FA2" w14:textId="77777777" w:rsidR="00087B91" w:rsidRPr="002029AF" w:rsidRDefault="00087B91" w:rsidP="00860E95">
            <w:pPr>
              <w:pStyle w:val="ARfintablebodyright"/>
              <w:spacing w:before="10" w:after="0"/>
            </w:pPr>
            <w:r w:rsidRPr="002029AF">
              <w:t>8,902.4</w:t>
            </w:r>
          </w:p>
        </w:tc>
        <w:tc>
          <w:tcPr>
            <w:tcW w:w="1418" w:type="dxa"/>
            <w:tcBorders>
              <w:top w:val="single" w:sz="4" w:space="0" w:color="A6A6A6"/>
              <w:bottom w:val="single" w:sz="4" w:space="0" w:color="A6A6A6"/>
            </w:tcBorders>
            <w:noWrap/>
            <w:hideMark/>
          </w:tcPr>
          <w:p w14:paraId="72D35122" w14:textId="77777777" w:rsidR="00087B91" w:rsidRPr="002029AF" w:rsidRDefault="00087B91" w:rsidP="00860E95">
            <w:pPr>
              <w:pStyle w:val="ARfintablebodyright"/>
              <w:spacing w:before="10" w:after="0"/>
            </w:pPr>
            <w:r w:rsidRPr="002029AF">
              <w:t>8,811.2</w:t>
            </w:r>
          </w:p>
        </w:tc>
      </w:tr>
      <w:tr w:rsidR="00087B91" w:rsidRPr="002029AF" w14:paraId="657F0A12" w14:textId="77777777" w:rsidTr="00860E95">
        <w:tc>
          <w:tcPr>
            <w:tcW w:w="5952" w:type="dxa"/>
            <w:tcBorders>
              <w:top w:val="single" w:sz="4" w:space="0" w:color="A6A6A6"/>
              <w:bottom w:val="single" w:sz="4" w:space="0" w:color="A6A6A6"/>
            </w:tcBorders>
            <w:hideMark/>
          </w:tcPr>
          <w:p w14:paraId="3AF95EF4" w14:textId="3F8B67F9" w:rsidR="00087B91" w:rsidRPr="002029AF" w:rsidRDefault="00087B91" w:rsidP="00860E95">
            <w:pPr>
              <w:pStyle w:val="ARfintablebody"/>
              <w:spacing w:before="10" w:after="0"/>
            </w:pPr>
            <w:r w:rsidRPr="002029AF">
              <w:t>Other</w:t>
            </w:r>
            <w:r w:rsidR="000A5329" w:rsidRPr="002029AF">
              <w:t xml:space="preserve"> </w:t>
            </w:r>
            <w:r w:rsidRPr="002029AF">
              <w:t>property</w:t>
            </w:r>
            <w:r w:rsidR="000A5329" w:rsidRPr="002029AF">
              <w:t xml:space="preserve"> </w:t>
            </w:r>
            <w:r w:rsidRPr="002029AF">
              <w:t>–</w:t>
            </w:r>
            <w:r w:rsidR="000A5329" w:rsidRPr="002029AF">
              <w:t xml:space="preserve"> </w:t>
            </w:r>
            <w:r w:rsidRPr="002029AF">
              <w:t>regional</w:t>
            </w:r>
            <w:r w:rsidR="000A5329" w:rsidRPr="002029AF">
              <w:t xml:space="preserve"> </w:t>
            </w:r>
            <w:r w:rsidRPr="002029AF">
              <w:t>offices</w:t>
            </w:r>
          </w:p>
        </w:tc>
        <w:tc>
          <w:tcPr>
            <w:tcW w:w="1417" w:type="dxa"/>
            <w:tcBorders>
              <w:top w:val="single" w:sz="4" w:space="0" w:color="A6A6A6"/>
              <w:bottom w:val="single" w:sz="4" w:space="0" w:color="A6A6A6"/>
            </w:tcBorders>
            <w:shd w:val="clear" w:color="auto" w:fill="E7E6E6"/>
            <w:noWrap/>
            <w:hideMark/>
          </w:tcPr>
          <w:p w14:paraId="0BBC859E" w14:textId="77777777" w:rsidR="00087B91" w:rsidRPr="002029AF" w:rsidRDefault="00087B91" w:rsidP="00860E95">
            <w:pPr>
              <w:pStyle w:val="ARfintablebodyright"/>
              <w:spacing w:before="10" w:after="0"/>
            </w:pPr>
            <w:r w:rsidRPr="002029AF">
              <w:t>–</w:t>
            </w:r>
          </w:p>
        </w:tc>
        <w:tc>
          <w:tcPr>
            <w:tcW w:w="1418" w:type="dxa"/>
            <w:tcBorders>
              <w:top w:val="single" w:sz="4" w:space="0" w:color="A6A6A6"/>
              <w:bottom w:val="single" w:sz="4" w:space="0" w:color="A6A6A6"/>
            </w:tcBorders>
            <w:noWrap/>
            <w:hideMark/>
          </w:tcPr>
          <w:p w14:paraId="5A5EC31B" w14:textId="77777777" w:rsidR="00087B91" w:rsidRPr="002029AF" w:rsidRDefault="00087B91" w:rsidP="00860E95">
            <w:pPr>
              <w:pStyle w:val="ARfintablebodyright"/>
              <w:spacing w:before="10" w:after="0"/>
            </w:pPr>
            <w:r w:rsidRPr="002029AF">
              <w:t>–</w:t>
            </w:r>
          </w:p>
        </w:tc>
        <w:tc>
          <w:tcPr>
            <w:tcW w:w="1418" w:type="dxa"/>
            <w:tcBorders>
              <w:top w:val="single" w:sz="4" w:space="0" w:color="A6A6A6"/>
              <w:bottom w:val="single" w:sz="4" w:space="0" w:color="A6A6A6"/>
            </w:tcBorders>
            <w:shd w:val="clear" w:color="auto" w:fill="E7E6E6"/>
            <w:noWrap/>
            <w:hideMark/>
          </w:tcPr>
          <w:p w14:paraId="006FD24E" w14:textId="77777777" w:rsidR="00087B91" w:rsidRPr="002029AF" w:rsidRDefault="00087B91" w:rsidP="00860E95">
            <w:pPr>
              <w:pStyle w:val="ARfintablebodyright"/>
              <w:spacing w:before="10" w:after="0"/>
            </w:pPr>
            <w:r w:rsidRPr="002029AF">
              <w:t>3.5</w:t>
            </w:r>
          </w:p>
        </w:tc>
        <w:tc>
          <w:tcPr>
            <w:tcW w:w="1418" w:type="dxa"/>
            <w:tcBorders>
              <w:top w:val="single" w:sz="4" w:space="0" w:color="A6A6A6"/>
              <w:bottom w:val="single" w:sz="4" w:space="0" w:color="A6A6A6"/>
            </w:tcBorders>
            <w:noWrap/>
            <w:hideMark/>
          </w:tcPr>
          <w:p w14:paraId="5CE3B89A" w14:textId="77777777" w:rsidR="00087B91" w:rsidRPr="002029AF" w:rsidRDefault="00087B91" w:rsidP="00860E95">
            <w:pPr>
              <w:pStyle w:val="ARfintablebodyright"/>
              <w:spacing w:before="10" w:after="0"/>
            </w:pPr>
            <w:r w:rsidRPr="002029AF">
              <w:t>3.5</w:t>
            </w:r>
          </w:p>
        </w:tc>
        <w:tc>
          <w:tcPr>
            <w:tcW w:w="1418" w:type="dxa"/>
            <w:tcBorders>
              <w:top w:val="single" w:sz="4" w:space="0" w:color="A6A6A6"/>
              <w:bottom w:val="single" w:sz="4" w:space="0" w:color="A6A6A6"/>
            </w:tcBorders>
            <w:shd w:val="clear" w:color="auto" w:fill="E7E6E6"/>
            <w:noWrap/>
            <w:hideMark/>
          </w:tcPr>
          <w:p w14:paraId="272DC39D" w14:textId="77777777" w:rsidR="00087B91" w:rsidRPr="002029AF" w:rsidRDefault="00087B91" w:rsidP="00860E95">
            <w:pPr>
              <w:pStyle w:val="ARfintablebodyright"/>
              <w:spacing w:before="10" w:after="0"/>
            </w:pPr>
            <w:r w:rsidRPr="002029AF">
              <w:t>3.5</w:t>
            </w:r>
          </w:p>
        </w:tc>
        <w:tc>
          <w:tcPr>
            <w:tcW w:w="1418" w:type="dxa"/>
            <w:tcBorders>
              <w:top w:val="single" w:sz="4" w:space="0" w:color="A6A6A6"/>
              <w:bottom w:val="single" w:sz="4" w:space="0" w:color="A6A6A6"/>
            </w:tcBorders>
            <w:noWrap/>
            <w:hideMark/>
          </w:tcPr>
          <w:p w14:paraId="21B630E8" w14:textId="77777777" w:rsidR="00087B91" w:rsidRPr="002029AF" w:rsidRDefault="00087B91" w:rsidP="00860E95">
            <w:pPr>
              <w:pStyle w:val="ARfintablebodyright"/>
              <w:spacing w:before="10" w:after="0"/>
            </w:pPr>
            <w:r w:rsidRPr="002029AF">
              <w:t>3.5</w:t>
            </w:r>
          </w:p>
        </w:tc>
      </w:tr>
      <w:tr w:rsidR="00087B91" w:rsidRPr="002029AF" w14:paraId="6E9E0EEE" w14:textId="77777777" w:rsidTr="00860E95">
        <w:tc>
          <w:tcPr>
            <w:tcW w:w="5952" w:type="dxa"/>
            <w:tcBorders>
              <w:top w:val="single" w:sz="4" w:space="0" w:color="A6A6A6"/>
              <w:bottom w:val="single" w:sz="4" w:space="0" w:color="A6A6A6"/>
            </w:tcBorders>
            <w:hideMark/>
          </w:tcPr>
          <w:p w14:paraId="55B253EB" w14:textId="17A78F4D" w:rsidR="00087B91" w:rsidRPr="002029AF" w:rsidRDefault="00087B91" w:rsidP="00860E95">
            <w:pPr>
              <w:pStyle w:val="ARfintablebody"/>
              <w:spacing w:before="10" w:after="0"/>
            </w:pPr>
            <w:r w:rsidRPr="002029AF">
              <w:t>Community</w:t>
            </w:r>
            <w:r w:rsidR="000A5329" w:rsidRPr="002029AF">
              <w:t xml:space="preserve"> </w:t>
            </w:r>
            <w:r w:rsidRPr="002029AF">
              <w:t>services</w:t>
            </w:r>
          </w:p>
        </w:tc>
        <w:tc>
          <w:tcPr>
            <w:tcW w:w="1417" w:type="dxa"/>
            <w:tcBorders>
              <w:top w:val="single" w:sz="4" w:space="0" w:color="A6A6A6"/>
              <w:bottom w:val="single" w:sz="4" w:space="0" w:color="A6A6A6"/>
            </w:tcBorders>
            <w:shd w:val="clear" w:color="auto" w:fill="E7E6E6"/>
            <w:noWrap/>
            <w:hideMark/>
          </w:tcPr>
          <w:p w14:paraId="354A301E" w14:textId="77777777" w:rsidR="00087B91" w:rsidRPr="002029AF" w:rsidRDefault="00087B91" w:rsidP="00860E95">
            <w:pPr>
              <w:pStyle w:val="ARfintablebodyright"/>
              <w:spacing w:before="10" w:after="0"/>
            </w:pPr>
            <w:r w:rsidRPr="002029AF">
              <w:t>499.2</w:t>
            </w:r>
          </w:p>
        </w:tc>
        <w:tc>
          <w:tcPr>
            <w:tcW w:w="1418" w:type="dxa"/>
            <w:tcBorders>
              <w:top w:val="single" w:sz="4" w:space="0" w:color="A6A6A6"/>
              <w:bottom w:val="single" w:sz="4" w:space="0" w:color="A6A6A6"/>
            </w:tcBorders>
            <w:noWrap/>
            <w:hideMark/>
          </w:tcPr>
          <w:p w14:paraId="7A24CF41" w14:textId="77777777" w:rsidR="00087B91" w:rsidRPr="002029AF" w:rsidRDefault="00087B91" w:rsidP="00860E95">
            <w:pPr>
              <w:pStyle w:val="ARfintablebodyright"/>
              <w:spacing w:before="10" w:after="0"/>
            </w:pPr>
            <w:r w:rsidRPr="002029AF">
              <w:t>489.7</w:t>
            </w:r>
          </w:p>
        </w:tc>
        <w:tc>
          <w:tcPr>
            <w:tcW w:w="1418" w:type="dxa"/>
            <w:tcBorders>
              <w:top w:val="single" w:sz="4" w:space="0" w:color="A6A6A6"/>
              <w:bottom w:val="single" w:sz="4" w:space="0" w:color="A6A6A6"/>
            </w:tcBorders>
            <w:shd w:val="clear" w:color="auto" w:fill="E7E6E6"/>
            <w:noWrap/>
            <w:hideMark/>
          </w:tcPr>
          <w:p w14:paraId="712FE114" w14:textId="77777777" w:rsidR="00087B91" w:rsidRPr="002029AF" w:rsidRDefault="00087B91" w:rsidP="00860E95">
            <w:pPr>
              <w:pStyle w:val="ARfintablebodyright"/>
              <w:spacing w:before="10" w:after="0"/>
            </w:pPr>
            <w:r w:rsidRPr="002029AF">
              <w:t>–</w:t>
            </w:r>
          </w:p>
        </w:tc>
        <w:tc>
          <w:tcPr>
            <w:tcW w:w="1418" w:type="dxa"/>
            <w:tcBorders>
              <w:top w:val="single" w:sz="4" w:space="0" w:color="A6A6A6"/>
              <w:bottom w:val="single" w:sz="4" w:space="0" w:color="A6A6A6"/>
            </w:tcBorders>
            <w:noWrap/>
            <w:hideMark/>
          </w:tcPr>
          <w:p w14:paraId="54DAAED4" w14:textId="77777777" w:rsidR="00087B91" w:rsidRPr="002029AF" w:rsidRDefault="00087B91" w:rsidP="00860E95">
            <w:pPr>
              <w:pStyle w:val="ARfintablebodyright"/>
              <w:spacing w:before="10" w:after="0"/>
            </w:pPr>
            <w:r w:rsidRPr="002029AF">
              <w:t>–</w:t>
            </w:r>
          </w:p>
        </w:tc>
        <w:tc>
          <w:tcPr>
            <w:tcW w:w="1418" w:type="dxa"/>
            <w:tcBorders>
              <w:top w:val="single" w:sz="4" w:space="0" w:color="A6A6A6"/>
              <w:bottom w:val="single" w:sz="4" w:space="0" w:color="A6A6A6"/>
            </w:tcBorders>
            <w:shd w:val="clear" w:color="auto" w:fill="E7E6E6"/>
            <w:noWrap/>
            <w:hideMark/>
          </w:tcPr>
          <w:p w14:paraId="6471F0E0" w14:textId="77777777" w:rsidR="00087B91" w:rsidRPr="002029AF" w:rsidRDefault="00087B91" w:rsidP="00860E95">
            <w:pPr>
              <w:pStyle w:val="ARfintablebodyright"/>
              <w:spacing w:before="10" w:after="0"/>
            </w:pPr>
            <w:r w:rsidRPr="002029AF">
              <w:t>499.2</w:t>
            </w:r>
          </w:p>
        </w:tc>
        <w:tc>
          <w:tcPr>
            <w:tcW w:w="1418" w:type="dxa"/>
            <w:tcBorders>
              <w:top w:val="single" w:sz="4" w:space="0" w:color="A6A6A6"/>
              <w:bottom w:val="single" w:sz="4" w:space="0" w:color="A6A6A6"/>
            </w:tcBorders>
            <w:noWrap/>
            <w:hideMark/>
          </w:tcPr>
          <w:p w14:paraId="0232B6DE" w14:textId="77777777" w:rsidR="00087B91" w:rsidRPr="002029AF" w:rsidRDefault="00087B91" w:rsidP="00860E95">
            <w:pPr>
              <w:pStyle w:val="ARfintablebodyright"/>
              <w:spacing w:before="10" w:after="0"/>
            </w:pPr>
            <w:r w:rsidRPr="002029AF">
              <w:t>489.7</w:t>
            </w:r>
          </w:p>
        </w:tc>
      </w:tr>
      <w:tr w:rsidR="00087B91" w:rsidRPr="002029AF" w14:paraId="6562B187" w14:textId="77777777" w:rsidTr="00860E95">
        <w:tc>
          <w:tcPr>
            <w:tcW w:w="5952" w:type="dxa"/>
            <w:tcBorders>
              <w:top w:val="single" w:sz="4" w:space="0" w:color="A6A6A6"/>
              <w:bottom w:val="single" w:sz="4" w:space="0" w:color="A6A6A6"/>
            </w:tcBorders>
            <w:hideMark/>
          </w:tcPr>
          <w:p w14:paraId="40AFA7B7" w14:textId="0530710A" w:rsidR="00087B91" w:rsidRPr="002029AF" w:rsidRDefault="00087B91" w:rsidP="00860E95">
            <w:pPr>
              <w:pStyle w:val="ARfintablebody"/>
              <w:spacing w:before="10" w:after="0"/>
            </w:pPr>
            <w:r w:rsidRPr="002029AF">
              <w:t>Right-of-use</w:t>
            </w:r>
            <w:r w:rsidR="000A5329" w:rsidRPr="002029AF">
              <w:t xml:space="preserve"> </w:t>
            </w:r>
            <w:r w:rsidRPr="002029AF">
              <w:t>buildings</w:t>
            </w:r>
          </w:p>
        </w:tc>
        <w:tc>
          <w:tcPr>
            <w:tcW w:w="1417" w:type="dxa"/>
            <w:tcBorders>
              <w:top w:val="single" w:sz="4" w:space="0" w:color="A6A6A6"/>
              <w:bottom w:val="single" w:sz="4" w:space="0" w:color="A6A6A6"/>
            </w:tcBorders>
            <w:shd w:val="clear" w:color="auto" w:fill="E7E6E6"/>
            <w:noWrap/>
            <w:hideMark/>
          </w:tcPr>
          <w:p w14:paraId="2DC1ED93" w14:textId="77777777" w:rsidR="00087B91" w:rsidRPr="002029AF" w:rsidRDefault="00087B91" w:rsidP="00860E95">
            <w:pPr>
              <w:pStyle w:val="ARfintablebodyright"/>
              <w:spacing w:before="10" w:after="0"/>
            </w:pPr>
            <w:r w:rsidRPr="002029AF">
              <w:t>8.2</w:t>
            </w:r>
          </w:p>
        </w:tc>
        <w:tc>
          <w:tcPr>
            <w:tcW w:w="1418" w:type="dxa"/>
            <w:tcBorders>
              <w:top w:val="single" w:sz="4" w:space="0" w:color="A6A6A6"/>
              <w:bottom w:val="single" w:sz="4" w:space="0" w:color="A6A6A6"/>
            </w:tcBorders>
            <w:noWrap/>
            <w:hideMark/>
          </w:tcPr>
          <w:p w14:paraId="03C3EEEE" w14:textId="77777777" w:rsidR="00087B91" w:rsidRPr="002029AF" w:rsidRDefault="00087B91" w:rsidP="00860E95">
            <w:pPr>
              <w:pStyle w:val="ARfintablebodyright"/>
              <w:spacing w:before="10" w:after="0"/>
            </w:pPr>
            <w:r w:rsidRPr="002029AF">
              <w:t>–</w:t>
            </w:r>
          </w:p>
        </w:tc>
        <w:tc>
          <w:tcPr>
            <w:tcW w:w="1418" w:type="dxa"/>
            <w:tcBorders>
              <w:top w:val="single" w:sz="4" w:space="0" w:color="A6A6A6"/>
              <w:bottom w:val="single" w:sz="4" w:space="0" w:color="A6A6A6"/>
            </w:tcBorders>
            <w:shd w:val="clear" w:color="auto" w:fill="E7E6E6"/>
            <w:noWrap/>
            <w:hideMark/>
          </w:tcPr>
          <w:p w14:paraId="0EB1E1BA" w14:textId="77777777" w:rsidR="00087B91" w:rsidRPr="002029AF" w:rsidRDefault="00087B91" w:rsidP="00860E95">
            <w:pPr>
              <w:pStyle w:val="ARfintablebodyright"/>
              <w:spacing w:before="10" w:after="0"/>
            </w:pPr>
            <w:r w:rsidRPr="002029AF">
              <w:t>54.5</w:t>
            </w:r>
          </w:p>
        </w:tc>
        <w:tc>
          <w:tcPr>
            <w:tcW w:w="1418" w:type="dxa"/>
            <w:tcBorders>
              <w:top w:val="single" w:sz="4" w:space="0" w:color="A6A6A6"/>
              <w:bottom w:val="single" w:sz="4" w:space="0" w:color="A6A6A6"/>
            </w:tcBorders>
            <w:noWrap/>
            <w:hideMark/>
          </w:tcPr>
          <w:p w14:paraId="592D5810" w14:textId="77777777" w:rsidR="00087B91" w:rsidRPr="002029AF" w:rsidRDefault="00087B91" w:rsidP="00860E95">
            <w:pPr>
              <w:pStyle w:val="ARfintablebodyright"/>
              <w:spacing w:before="10" w:after="0"/>
            </w:pPr>
            <w:r w:rsidRPr="002029AF">
              <w:t>–</w:t>
            </w:r>
          </w:p>
        </w:tc>
        <w:tc>
          <w:tcPr>
            <w:tcW w:w="1418" w:type="dxa"/>
            <w:tcBorders>
              <w:top w:val="single" w:sz="4" w:space="0" w:color="A6A6A6"/>
              <w:bottom w:val="single" w:sz="4" w:space="0" w:color="A6A6A6"/>
            </w:tcBorders>
            <w:shd w:val="clear" w:color="auto" w:fill="E7E6E6"/>
            <w:noWrap/>
            <w:hideMark/>
          </w:tcPr>
          <w:p w14:paraId="3B984032" w14:textId="77777777" w:rsidR="00087B91" w:rsidRPr="002029AF" w:rsidRDefault="00087B91" w:rsidP="00860E95">
            <w:pPr>
              <w:pStyle w:val="ARfintablebodyright"/>
              <w:spacing w:before="10" w:after="0"/>
            </w:pPr>
            <w:r w:rsidRPr="002029AF">
              <w:t>62.7</w:t>
            </w:r>
          </w:p>
        </w:tc>
        <w:tc>
          <w:tcPr>
            <w:tcW w:w="1418" w:type="dxa"/>
            <w:tcBorders>
              <w:top w:val="single" w:sz="4" w:space="0" w:color="A6A6A6"/>
              <w:bottom w:val="single" w:sz="4" w:space="0" w:color="A6A6A6"/>
            </w:tcBorders>
            <w:noWrap/>
            <w:hideMark/>
          </w:tcPr>
          <w:p w14:paraId="5AE38498" w14:textId="77777777" w:rsidR="00087B91" w:rsidRPr="002029AF" w:rsidRDefault="00087B91" w:rsidP="00860E95">
            <w:pPr>
              <w:pStyle w:val="ARfintablebodyright"/>
              <w:spacing w:before="10" w:after="0"/>
            </w:pPr>
            <w:r w:rsidRPr="002029AF">
              <w:t>–</w:t>
            </w:r>
          </w:p>
        </w:tc>
      </w:tr>
      <w:tr w:rsidR="00087B91" w:rsidRPr="002029AF" w14:paraId="087819D1" w14:textId="77777777" w:rsidTr="00860E95">
        <w:tc>
          <w:tcPr>
            <w:tcW w:w="5952" w:type="dxa"/>
            <w:tcBorders>
              <w:top w:val="single" w:sz="4" w:space="0" w:color="A6A6A6"/>
              <w:bottom w:val="single" w:sz="4" w:space="0" w:color="A6A6A6"/>
            </w:tcBorders>
            <w:hideMark/>
          </w:tcPr>
          <w:p w14:paraId="164180FB" w14:textId="1BFD5A7E" w:rsidR="00087B91" w:rsidRPr="002029AF" w:rsidRDefault="00087B91" w:rsidP="00860E95">
            <w:pPr>
              <w:pStyle w:val="ARfintablebody"/>
              <w:spacing w:before="10" w:after="0"/>
            </w:pPr>
            <w:r w:rsidRPr="002029AF">
              <w:t>Service</w:t>
            </w:r>
            <w:r w:rsidR="000A5329" w:rsidRPr="002029AF">
              <w:t xml:space="preserve"> </w:t>
            </w:r>
            <w:r w:rsidRPr="002029AF">
              <w:t>concession</w:t>
            </w:r>
            <w:r w:rsidR="000A5329" w:rsidRPr="002029AF">
              <w:t xml:space="preserve"> </w:t>
            </w:r>
            <w:r w:rsidRPr="002029AF">
              <w:t>buildings</w:t>
            </w:r>
          </w:p>
        </w:tc>
        <w:tc>
          <w:tcPr>
            <w:tcW w:w="1417" w:type="dxa"/>
            <w:tcBorders>
              <w:top w:val="single" w:sz="4" w:space="0" w:color="A6A6A6"/>
              <w:bottom w:val="single" w:sz="4" w:space="0" w:color="A6A6A6"/>
            </w:tcBorders>
            <w:shd w:val="clear" w:color="auto" w:fill="E7E6E6"/>
            <w:noWrap/>
            <w:hideMark/>
          </w:tcPr>
          <w:p w14:paraId="69FDD71A" w14:textId="77777777" w:rsidR="00087B91" w:rsidRPr="002029AF" w:rsidRDefault="00087B91" w:rsidP="00860E95">
            <w:pPr>
              <w:pStyle w:val="ARfintablebodyright"/>
              <w:spacing w:before="10" w:after="0"/>
            </w:pPr>
            <w:r w:rsidRPr="002029AF">
              <w:t>594.1</w:t>
            </w:r>
          </w:p>
        </w:tc>
        <w:tc>
          <w:tcPr>
            <w:tcW w:w="1418" w:type="dxa"/>
            <w:tcBorders>
              <w:top w:val="single" w:sz="4" w:space="0" w:color="A6A6A6"/>
              <w:bottom w:val="single" w:sz="4" w:space="0" w:color="A6A6A6"/>
            </w:tcBorders>
            <w:noWrap/>
            <w:hideMark/>
          </w:tcPr>
          <w:p w14:paraId="4A31E9F2" w14:textId="77777777" w:rsidR="00087B91" w:rsidRPr="002029AF" w:rsidRDefault="00087B91" w:rsidP="00860E95">
            <w:pPr>
              <w:pStyle w:val="ARfintablebodyright"/>
              <w:spacing w:before="10" w:after="0"/>
            </w:pPr>
            <w:r w:rsidRPr="002029AF">
              <w:t>588.6</w:t>
            </w:r>
          </w:p>
        </w:tc>
        <w:tc>
          <w:tcPr>
            <w:tcW w:w="1418" w:type="dxa"/>
            <w:tcBorders>
              <w:top w:val="single" w:sz="4" w:space="0" w:color="A6A6A6"/>
              <w:bottom w:val="single" w:sz="4" w:space="0" w:color="A6A6A6"/>
            </w:tcBorders>
            <w:shd w:val="clear" w:color="auto" w:fill="E7E6E6"/>
            <w:noWrap/>
            <w:hideMark/>
          </w:tcPr>
          <w:p w14:paraId="77E8B929" w14:textId="77777777" w:rsidR="00087B91" w:rsidRPr="002029AF" w:rsidRDefault="00087B91" w:rsidP="00860E95">
            <w:pPr>
              <w:pStyle w:val="ARfintablebodyright"/>
              <w:spacing w:before="10" w:after="0"/>
            </w:pPr>
            <w:r w:rsidRPr="002029AF">
              <w:t>–</w:t>
            </w:r>
          </w:p>
        </w:tc>
        <w:tc>
          <w:tcPr>
            <w:tcW w:w="1418" w:type="dxa"/>
            <w:tcBorders>
              <w:top w:val="single" w:sz="4" w:space="0" w:color="A6A6A6"/>
              <w:bottom w:val="single" w:sz="4" w:space="0" w:color="A6A6A6"/>
            </w:tcBorders>
            <w:noWrap/>
            <w:hideMark/>
          </w:tcPr>
          <w:p w14:paraId="36144857" w14:textId="77777777" w:rsidR="00087B91" w:rsidRPr="002029AF" w:rsidRDefault="00087B91" w:rsidP="00860E95">
            <w:pPr>
              <w:pStyle w:val="ARfintablebodyright"/>
              <w:spacing w:before="10" w:after="0"/>
            </w:pPr>
            <w:r w:rsidRPr="002029AF">
              <w:t>–</w:t>
            </w:r>
          </w:p>
        </w:tc>
        <w:tc>
          <w:tcPr>
            <w:tcW w:w="1418" w:type="dxa"/>
            <w:tcBorders>
              <w:top w:val="single" w:sz="4" w:space="0" w:color="A6A6A6"/>
              <w:bottom w:val="single" w:sz="4" w:space="0" w:color="A6A6A6"/>
            </w:tcBorders>
            <w:shd w:val="clear" w:color="auto" w:fill="E7E6E6"/>
            <w:noWrap/>
            <w:hideMark/>
          </w:tcPr>
          <w:p w14:paraId="4328018E" w14:textId="77777777" w:rsidR="00087B91" w:rsidRPr="002029AF" w:rsidRDefault="00087B91" w:rsidP="00860E95">
            <w:pPr>
              <w:pStyle w:val="ARfintablebodyright"/>
              <w:spacing w:before="10" w:after="0"/>
            </w:pPr>
            <w:r w:rsidRPr="002029AF">
              <w:t>594.1</w:t>
            </w:r>
          </w:p>
        </w:tc>
        <w:tc>
          <w:tcPr>
            <w:tcW w:w="1418" w:type="dxa"/>
            <w:tcBorders>
              <w:top w:val="single" w:sz="4" w:space="0" w:color="A6A6A6"/>
              <w:bottom w:val="single" w:sz="4" w:space="0" w:color="A6A6A6"/>
            </w:tcBorders>
            <w:noWrap/>
            <w:hideMark/>
          </w:tcPr>
          <w:p w14:paraId="70D07727" w14:textId="77777777" w:rsidR="00087B91" w:rsidRPr="002029AF" w:rsidRDefault="00087B91" w:rsidP="00860E95">
            <w:pPr>
              <w:pStyle w:val="ARfintablebodyright"/>
              <w:spacing w:before="10" w:after="0"/>
            </w:pPr>
            <w:r w:rsidRPr="002029AF">
              <w:t>588.6</w:t>
            </w:r>
          </w:p>
        </w:tc>
      </w:tr>
      <w:tr w:rsidR="00087B91" w:rsidRPr="002029AF" w14:paraId="3C1540FD" w14:textId="77777777" w:rsidTr="00860E95">
        <w:tc>
          <w:tcPr>
            <w:tcW w:w="5952" w:type="dxa"/>
            <w:tcBorders>
              <w:top w:val="single" w:sz="4" w:space="0" w:color="A6A6A6"/>
              <w:bottom w:val="single" w:sz="4" w:space="0" w:color="A6A6A6"/>
            </w:tcBorders>
            <w:hideMark/>
          </w:tcPr>
          <w:p w14:paraId="02832A24" w14:textId="3D84F278" w:rsidR="00087B91" w:rsidRPr="002029AF" w:rsidRDefault="00087B91" w:rsidP="00860E95">
            <w:pPr>
              <w:pStyle w:val="ARfintablebody"/>
              <w:spacing w:before="10" w:after="0"/>
              <w:rPr>
                <w:i/>
                <w:iCs/>
              </w:rPr>
            </w:pPr>
            <w:r w:rsidRPr="002029AF">
              <w:rPr>
                <w:i/>
                <w:iCs/>
              </w:rPr>
              <w:t>Less</w:t>
            </w:r>
            <w:r w:rsidR="000A5329" w:rsidRPr="002029AF">
              <w:rPr>
                <w:i/>
                <w:iCs/>
              </w:rPr>
              <w:t xml:space="preserve"> </w:t>
            </w:r>
            <w:r w:rsidRPr="002029AF">
              <w:rPr>
                <w:i/>
                <w:iCs/>
              </w:rPr>
              <w:t>accumulated</w:t>
            </w:r>
            <w:r w:rsidR="000A5329" w:rsidRPr="002029AF">
              <w:rPr>
                <w:i/>
                <w:iCs/>
              </w:rPr>
              <w:t xml:space="preserve"> </w:t>
            </w:r>
            <w:r w:rsidRPr="002029AF">
              <w:rPr>
                <w:i/>
                <w:iCs/>
              </w:rPr>
              <w:t>depreciation</w:t>
            </w:r>
          </w:p>
        </w:tc>
        <w:tc>
          <w:tcPr>
            <w:tcW w:w="1417" w:type="dxa"/>
            <w:tcBorders>
              <w:top w:val="single" w:sz="4" w:space="0" w:color="A6A6A6"/>
              <w:bottom w:val="single" w:sz="4" w:space="0" w:color="A6A6A6"/>
            </w:tcBorders>
            <w:shd w:val="clear" w:color="auto" w:fill="E7E6E6"/>
            <w:noWrap/>
            <w:hideMark/>
          </w:tcPr>
          <w:p w14:paraId="7CF457EE" w14:textId="77777777" w:rsidR="00087B91" w:rsidRPr="002029AF" w:rsidRDefault="00087B91" w:rsidP="00860E95">
            <w:pPr>
              <w:pStyle w:val="ARfintablebodyright"/>
              <w:spacing w:before="10" w:after="0"/>
            </w:pPr>
            <w:r w:rsidRPr="002029AF">
              <w:t>(94.7)</w:t>
            </w:r>
          </w:p>
        </w:tc>
        <w:tc>
          <w:tcPr>
            <w:tcW w:w="1418" w:type="dxa"/>
            <w:tcBorders>
              <w:top w:val="single" w:sz="4" w:space="0" w:color="A6A6A6"/>
              <w:bottom w:val="single" w:sz="4" w:space="0" w:color="A6A6A6"/>
            </w:tcBorders>
            <w:noWrap/>
            <w:hideMark/>
          </w:tcPr>
          <w:p w14:paraId="44DE2FC9" w14:textId="77777777" w:rsidR="00087B91" w:rsidRPr="002029AF" w:rsidRDefault="00087B91" w:rsidP="00860E95">
            <w:pPr>
              <w:pStyle w:val="ARfintablebodyright"/>
              <w:spacing w:before="10" w:after="0"/>
            </w:pPr>
            <w:r w:rsidRPr="002029AF">
              <w:t>(54.7)</w:t>
            </w:r>
          </w:p>
        </w:tc>
        <w:tc>
          <w:tcPr>
            <w:tcW w:w="1418" w:type="dxa"/>
            <w:tcBorders>
              <w:top w:val="single" w:sz="4" w:space="0" w:color="A6A6A6"/>
              <w:bottom w:val="single" w:sz="4" w:space="0" w:color="A6A6A6"/>
            </w:tcBorders>
            <w:shd w:val="clear" w:color="auto" w:fill="E7E6E6"/>
            <w:noWrap/>
            <w:hideMark/>
          </w:tcPr>
          <w:p w14:paraId="1ADC1933" w14:textId="77777777" w:rsidR="00087B91" w:rsidRPr="002029AF" w:rsidRDefault="00087B91" w:rsidP="00860E95">
            <w:pPr>
              <w:pStyle w:val="ARfintablebodyright"/>
              <w:spacing w:before="10" w:after="0"/>
            </w:pPr>
            <w:r w:rsidRPr="002029AF">
              <w:t>(315.0)</w:t>
            </w:r>
          </w:p>
        </w:tc>
        <w:tc>
          <w:tcPr>
            <w:tcW w:w="1418" w:type="dxa"/>
            <w:tcBorders>
              <w:top w:val="single" w:sz="4" w:space="0" w:color="A6A6A6"/>
              <w:bottom w:val="single" w:sz="4" w:space="0" w:color="A6A6A6"/>
            </w:tcBorders>
            <w:noWrap/>
            <w:hideMark/>
          </w:tcPr>
          <w:p w14:paraId="08BF7194" w14:textId="77777777" w:rsidR="00087B91" w:rsidRPr="002029AF" w:rsidRDefault="00087B91" w:rsidP="00860E95">
            <w:pPr>
              <w:pStyle w:val="ARfintablebodyright"/>
              <w:spacing w:before="10" w:after="0"/>
            </w:pPr>
            <w:r w:rsidRPr="002029AF">
              <w:t>(38.7)</w:t>
            </w:r>
          </w:p>
        </w:tc>
        <w:tc>
          <w:tcPr>
            <w:tcW w:w="1418" w:type="dxa"/>
            <w:tcBorders>
              <w:top w:val="single" w:sz="4" w:space="0" w:color="A6A6A6"/>
              <w:bottom w:val="single" w:sz="4" w:space="0" w:color="A6A6A6"/>
            </w:tcBorders>
            <w:shd w:val="clear" w:color="auto" w:fill="E7E6E6"/>
            <w:noWrap/>
            <w:hideMark/>
          </w:tcPr>
          <w:p w14:paraId="3374E926" w14:textId="77777777" w:rsidR="00087B91" w:rsidRPr="002029AF" w:rsidRDefault="00087B91" w:rsidP="00860E95">
            <w:pPr>
              <w:pStyle w:val="ARfintablebodyright"/>
              <w:spacing w:before="10" w:after="0"/>
            </w:pPr>
            <w:r w:rsidRPr="002029AF">
              <w:t>(409.7)</w:t>
            </w:r>
          </w:p>
        </w:tc>
        <w:tc>
          <w:tcPr>
            <w:tcW w:w="1418" w:type="dxa"/>
            <w:tcBorders>
              <w:top w:val="single" w:sz="4" w:space="0" w:color="A6A6A6"/>
              <w:bottom w:val="single" w:sz="4" w:space="0" w:color="A6A6A6"/>
            </w:tcBorders>
            <w:noWrap/>
            <w:hideMark/>
          </w:tcPr>
          <w:p w14:paraId="27211AFE" w14:textId="77777777" w:rsidR="00087B91" w:rsidRPr="002029AF" w:rsidRDefault="00087B91" w:rsidP="00860E95">
            <w:pPr>
              <w:pStyle w:val="ARfintablebodyright"/>
              <w:spacing w:before="10" w:after="0"/>
            </w:pPr>
            <w:r w:rsidRPr="002029AF">
              <w:t>(93.5)</w:t>
            </w:r>
          </w:p>
        </w:tc>
      </w:tr>
      <w:tr w:rsidR="00087B91" w:rsidRPr="002029AF" w14:paraId="52EA37D9" w14:textId="77777777" w:rsidTr="00860E95">
        <w:tc>
          <w:tcPr>
            <w:tcW w:w="5952" w:type="dxa"/>
            <w:tcBorders>
              <w:top w:val="single" w:sz="4" w:space="0" w:color="A6A6A6"/>
            </w:tcBorders>
            <w:hideMark/>
          </w:tcPr>
          <w:p w14:paraId="166B0507" w14:textId="0E933010" w:rsidR="00087B91" w:rsidRPr="002029AF" w:rsidRDefault="00087B91" w:rsidP="00860E95">
            <w:pPr>
              <w:pStyle w:val="ARfintablebody"/>
              <w:spacing w:before="10" w:after="0"/>
              <w:rPr>
                <w:rStyle w:val="Emphasis"/>
              </w:rPr>
            </w:pPr>
            <w:r w:rsidRPr="002029AF">
              <w:rPr>
                <w:rStyle w:val="Emphasis"/>
              </w:rPr>
              <w:t>Less</w:t>
            </w:r>
            <w:r w:rsidR="000A5329" w:rsidRPr="002029AF">
              <w:rPr>
                <w:rStyle w:val="Emphasis"/>
              </w:rPr>
              <w:t xml:space="preserve"> </w:t>
            </w:r>
            <w:r w:rsidRPr="002029AF">
              <w:rPr>
                <w:rStyle w:val="Emphasis"/>
              </w:rPr>
              <w:t>allowance</w:t>
            </w:r>
            <w:r w:rsidR="000A5329" w:rsidRPr="002029AF">
              <w:rPr>
                <w:rStyle w:val="Emphasis"/>
              </w:rPr>
              <w:t xml:space="preserve"> </w:t>
            </w:r>
            <w:r w:rsidRPr="002029AF">
              <w:rPr>
                <w:rStyle w:val="Emphasis"/>
              </w:rPr>
              <w:t>for</w:t>
            </w:r>
            <w:r w:rsidR="000A5329" w:rsidRPr="002029AF">
              <w:rPr>
                <w:rStyle w:val="Emphasis"/>
              </w:rPr>
              <w:t xml:space="preserve"> </w:t>
            </w:r>
            <w:r w:rsidRPr="002029AF">
              <w:rPr>
                <w:rStyle w:val="Emphasis"/>
              </w:rPr>
              <w:t>Shared</w:t>
            </w:r>
            <w:r w:rsidR="000A5329" w:rsidRPr="002029AF">
              <w:rPr>
                <w:rStyle w:val="Emphasis"/>
              </w:rPr>
              <w:t xml:space="preserve"> </w:t>
            </w:r>
            <w:r w:rsidRPr="002029AF">
              <w:rPr>
                <w:rStyle w:val="Emphasis"/>
              </w:rPr>
              <w:t>Home</w:t>
            </w:r>
            <w:r w:rsidR="000A5329" w:rsidRPr="002029AF">
              <w:rPr>
                <w:rStyle w:val="Emphasis"/>
              </w:rPr>
              <w:t xml:space="preserve"> </w:t>
            </w:r>
            <w:r w:rsidRPr="002029AF">
              <w:rPr>
                <w:rStyle w:val="Emphasis"/>
              </w:rPr>
              <w:t>Ownership</w:t>
            </w:r>
            <w:r w:rsidR="000A5329" w:rsidRPr="002029AF">
              <w:rPr>
                <w:rStyle w:val="Emphasis"/>
              </w:rPr>
              <w:t xml:space="preserve"> </w:t>
            </w:r>
            <w:r w:rsidRPr="002029AF">
              <w:rPr>
                <w:rStyle w:val="Emphasis"/>
              </w:rPr>
              <w:t>Scheme</w:t>
            </w:r>
            <w:r w:rsidR="000A5329" w:rsidRPr="002029AF">
              <w:rPr>
                <w:rStyle w:val="Emphasis"/>
              </w:rPr>
              <w:t xml:space="preserve"> </w:t>
            </w:r>
            <w:r w:rsidRPr="002029AF">
              <w:rPr>
                <w:rStyle w:val="Emphasis"/>
              </w:rPr>
              <w:t>equity</w:t>
            </w:r>
            <w:r w:rsidR="000A5329" w:rsidRPr="002029AF">
              <w:rPr>
                <w:rStyle w:val="Emphasis"/>
              </w:rPr>
              <w:t xml:space="preserve"> </w:t>
            </w:r>
            <w:r w:rsidRPr="002029AF">
              <w:rPr>
                <w:rStyle w:val="Emphasis"/>
              </w:rPr>
              <w:t>conversion</w:t>
            </w:r>
          </w:p>
        </w:tc>
        <w:tc>
          <w:tcPr>
            <w:tcW w:w="1417" w:type="dxa"/>
            <w:tcBorders>
              <w:top w:val="single" w:sz="4" w:space="0" w:color="A6A6A6"/>
            </w:tcBorders>
            <w:shd w:val="clear" w:color="auto" w:fill="E7E6E6"/>
            <w:noWrap/>
            <w:hideMark/>
          </w:tcPr>
          <w:p w14:paraId="22AC8C3A" w14:textId="77777777" w:rsidR="00087B91" w:rsidRPr="002029AF" w:rsidRDefault="00087B91" w:rsidP="00860E95">
            <w:pPr>
              <w:pStyle w:val="ARfintablebodyright"/>
              <w:spacing w:before="10" w:after="0"/>
            </w:pPr>
            <w:r w:rsidRPr="002029AF">
              <w:t>–</w:t>
            </w:r>
          </w:p>
        </w:tc>
        <w:tc>
          <w:tcPr>
            <w:tcW w:w="1418" w:type="dxa"/>
            <w:tcBorders>
              <w:top w:val="single" w:sz="4" w:space="0" w:color="A6A6A6"/>
            </w:tcBorders>
            <w:noWrap/>
            <w:hideMark/>
          </w:tcPr>
          <w:p w14:paraId="508C46C4" w14:textId="77777777" w:rsidR="00087B91" w:rsidRPr="002029AF" w:rsidRDefault="00087B91" w:rsidP="00860E95">
            <w:pPr>
              <w:pStyle w:val="ARfintablebodyright"/>
              <w:spacing w:before="10" w:after="0"/>
            </w:pPr>
            <w:r w:rsidRPr="002029AF">
              <w:t>–</w:t>
            </w:r>
          </w:p>
        </w:tc>
        <w:tc>
          <w:tcPr>
            <w:tcW w:w="1418" w:type="dxa"/>
            <w:tcBorders>
              <w:top w:val="single" w:sz="4" w:space="0" w:color="A6A6A6"/>
            </w:tcBorders>
            <w:shd w:val="clear" w:color="auto" w:fill="E7E6E6"/>
            <w:noWrap/>
            <w:hideMark/>
          </w:tcPr>
          <w:p w14:paraId="3083A1CC" w14:textId="77777777" w:rsidR="00087B91" w:rsidRPr="002029AF" w:rsidRDefault="00087B91" w:rsidP="00860E95">
            <w:pPr>
              <w:pStyle w:val="ARfintablebodyright"/>
              <w:spacing w:before="10" w:after="0"/>
            </w:pPr>
            <w:r w:rsidRPr="002029AF">
              <w:t>(1.9)</w:t>
            </w:r>
          </w:p>
        </w:tc>
        <w:tc>
          <w:tcPr>
            <w:tcW w:w="1418" w:type="dxa"/>
            <w:tcBorders>
              <w:top w:val="single" w:sz="4" w:space="0" w:color="A6A6A6"/>
            </w:tcBorders>
            <w:noWrap/>
            <w:hideMark/>
          </w:tcPr>
          <w:p w14:paraId="44E2EBB9" w14:textId="77777777" w:rsidR="00087B91" w:rsidRPr="002029AF" w:rsidRDefault="00087B91" w:rsidP="00860E95">
            <w:pPr>
              <w:pStyle w:val="ARfintablebodyright"/>
              <w:spacing w:before="10" w:after="0"/>
            </w:pPr>
            <w:r w:rsidRPr="002029AF">
              <w:t>(1.9)</w:t>
            </w:r>
          </w:p>
        </w:tc>
        <w:tc>
          <w:tcPr>
            <w:tcW w:w="1418" w:type="dxa"/>
            <w:tcBorders>
              <w:top w:val="single" w:sz="4" w:space="0" w:color="A6A6A6"/>
            </w:tcBorders>
            <w:shd w:val="clear" w:color="auto" w:fill="E7E6E6"/>
            <w:noWrap/>
            <w:hideMark/>
          </w:tcPr>
          <w:p w14:paraId="5079DF2A" w14:textId="77777777" w:rsidR="00087B91" w:rsidRPr="002029AF" w:rsidRDefault="00087B91" w:rsidP="00860E95">
            <w:pPr>
              <w:pStyle w:val="ARfintablebodyright"/>
              <w:spacing w:before="10" w:after="0"/>
            </w:pPr>
            <w:r w:rsidRPr="002029AF">
              <w:t>(1.9)</w:t>
            </w:r>
          </w:p>
        </w:tc>
        <w:tc>
          <w:tcPr>
            <w:tcW w:w="1418" w:type="dxa"/>
            <w:tcBorders>
              <w:top w:val="single" w:sz="4" w:space="0" w:color="A6A6A6"/>
            </w:tcBorders>
            <w:noWrap/>
            <w:hideMark/>
          </w:tcPr>
          <w:p w14:paraId="6E73289E" w14:textId="77777777" w:rsidR="00087B91" w:rsidRPr="002029AF" w:rsidRDefault="00087B91" w:rsidP="00860E95">
            <w:pPr>
              <w:pStyle w:val="ARfintablebodyright"/>
              <w:spacing w:before="10" w:after="0"/>
            </w:pPr>
            <w:r w:rsidRPr="002029AF">
              <w:t>(1.9)</w:t>
            </w:r>
          </w:p>
        </w:tc>
      </w:tr>
      <w:tr w:rsidR="00087B91" w:rsidRPr="002029AF" w14:paraId="1F0D0523" w14:textId="77777777" w:rsidTr="00860E95">
        <w:tc>
          <w:tcPr>
            <w:tcW w:w="5952" w:type="dxa"/>
            <w:tcBorders>
              <w:bottom w:val="single" w:sz="4" w:space="0" w:color="auto"/>
            </w:tcBorders>
            <w:hideMark/>
          </w:tcPr>
          <w:p w14:paraId="7E6D62CF" w14:textId="7FD46300" w:rsidR="00087B91" w:rsidRPr="002029AF" w:rsidRDefault="00087B91" w:rsidP="00860E95">
            <w:pPr>
              <w:pStyle w:val="ARfintablebodybold"/>
              <w:spacing w:before="10" w:after="0"/>
            </w:pPr>
            <w:r w:rsidRPr="002029AF">
              <w:t>Total</w:t>
            </w:r>
            <w:r w:rsidR="000A5329" w:rsidRPr="002029AF">
              <w:t xml:space="preserve"> </w:t>
            </w:r>
            <w:r w:rsidRPr="002029AF">
              <w:t>buildings</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tc>
        <w:tc>
          <w:tcPr>
            <w:tcW w:w="1417" w:type="dxa"/>
            <w:tcBorders>
              <w:bottom w:val="single" w:sz="4" w:space="0" w:color="auto"/>
            </w:tcBorders>
            <w:shd w:val="clear" w:color="auto" w:fill="E7E6E6"/>
            <w:noWrap/>
            <w:hideMark/>
          </w:tcPr>
          <w:p w14:paraId="45749D61" w14:textId="77777777" w:rsidR="00087B91" w:rsidRPr="002029AF" w:rsidRDefault="00087B91" w:rsidP="00860E95">
            <w:pPr>
              <w:pStyle w:val="ARfintablebodyrightbold"/>
              <w:spacing w:before="10" w:after="0"/>
            </w:pPr>
            <w:r w:rsidRPr="002029AF">
              <w:t>1,006.8</w:t>
            </w:r>
          </w:p>
        </w:tc>
        <w:tc>
          <w:tcPr>
            <w:tcW w:w="1418" w:type="dxa"/>
            <w:tcBorders>
              <w:bottom w:val="single" w:sz="4" w:space="0" w:color="auto"/>
            </w:tcBorders>
            <w:noWrap/>
            <w:hideMark/>
          </w:tcPr>
          <w:p w14:paraId="25C66795" w14:textId="77777777" w:rsidR="00087B91" w:rsidRPr="002029AF" w:rsidRDefault="00087B91" w:rsidP="00860E95">
            <w:pPr>
              <w:pStyle w:val="ARfintablebodyrightbold"/>
              <w:spacing w:before="10" w:after="0"/>
            </w:pPr>
            <w:r w:rsidRPr="002029AF">
              <w:t>1,023.6</w:t>
            </w:r>
          </w:p>
        </w:tc>
        <w:tc>
          <w:tcPr>
            <w:tcW w:w="1418" w:type="dxa"/>
            <w:tcBorders>
              <w:bottom w:val="single" w:sz="4" w:space="0" w:color="auto"/>
            </w:tcBorders>
            <w:shd w:val="clear" w:color="auto" w:fill="E7E6E6"/>
            <w:noWrap/>
            <w:hideMark/>
          </w:tcPr>
          <w:p w14:paraId="478094B2" w14:textId="77777777" w:rsidR="00087B91" w:rsidRPr="002029AF" w:rsidRDefault="00087B91" w:rsidP="00860E95">
            <w:pPr>
              <w:pStyle w:val="ARfintablebodyrightbold"/>
              <w:spacing w:before="10" w:after="0"/>
            </w:pPr>
            <w:r w:rsidRPr="002029AF">
              <w:t>8,643.5</w:t>
            </w:r>
          </w:p>
        </w:tc>
        <w:tc>
          <w:tcPr>
            <w:tcW w:w="1418" w:type="dxa"/>
            <w:tcBorders>
              <w:bottom w:val="single" w:sz="4" w:space="0" w:color="auto"/>
            </w:tcBorders>
            <w:noWrap/>
            <w:hideMark/>
          </w:tcPr>
          <w:p w14:paraId="2AD55B24" w14:textId="77777777" w:rsidR="00087B91" w:rsidRPr="002029AF" w:rsidRDefault="00087B91" w:rsidP="00860E95">
            <w:pPr>
              <w:pStyle w:val="ARfintablebodyrightbold"/>
              <w:spacing w:before="10" w:after="0"/>
            </w:pPr>
            <w:r w:rsidRPr="002029AF">
              <w:t>8,774.0</w:t>
            </w:r>
          </w:p>
        </w:tc>
        <w:tc>
          <w:tcPr>
            <w:tcW w:w="1418" w:type="dxa"/>
            <w:tcBorders>
              <w:bottom w:val="single" w:sz="4" w:space="0" w:color="auto"/>
            </w:tcBorders>
            <w:shd w:val="clear" w:color="auto" w:fill="E7E6E6"/>
            <w:noWrap/>
            <w:hideMark/>
          </w:tcPr>
          <w:p w14:paraId="56162BD3" w14:textId="77777777" w:rsidR="00087B91" w:rsidRPr="002029AF" w:rsidRDefault="00087B91" w:rsidP="00860E95">
            <w:pPr>
              <w:pStyle w:val="ARfintablebodyrightbold"/>
              <w:spacing w:before="10" w:after="0"/>
            </w:pPr>
            <w:r w:rsidRPr="002029AF">
              <w:t>9,650.3</w:t>
            </w:r>
          </w:p>
        </w:tc>
        <w:tc>
          <w:tcPr>
            <w:tcW w:w="1418" w:type="dxa"/>
            <w:tcBorders>
              <w:bottom w:val="single" w:sz="4" w:space="0" w:color="auto"/>
            </w:tcBorders>
            <w:noWrap/>
            <w:hideMark/>
          </w:tcPr>
          <w:p w14:paraId="2B9C1CE3" w14:textId="77777777" w:rsidR="00087B91" w:rsidRPr="002029AF" w:rsidRDefault="00087B91" w:rsidP="00860E95">
            <w:pPr>
              <w:pStyle w:val="ARfintablebodyrightbold"/>
              <w:spacing w:before="10" w:after="0"/>
            </w:pPr>
            <w:r w:rsidRPr="002029AF">
              <w:t>9,797.6</w:t>
            </w:r>
          </w:p>
        </w:tc>
      </w:tr>
      <w:tr w:rsidR="00087B91" w:rsidRPr="002029AF" w14:paraId="54E4AFA9" w14:textId="77777777" w:rsidTr="00860E95">
        <w:tc>
          <w:tcPr>
            <w:tcW w:w="14459" w:type="dxa"/>
            <w:gridSpan w:val="7"/>
            <w:tcBorders>
              <w:top w:val="single" w:sz="4" w:space="0" w:color="auto"/>
              <w:bottom w:val="single" w:sz="4" w:space="0" w:color="A6A6A6"/>
            </w:tcBorders>
            <w:hideMark/>
          </w:tcPr>
          <w:p w14:paraId="518ACCEE" w14:textId="51C5ADE7" w:rsidR="00087B91" w:rsidRPr="002029AF" w:rsidRDefault="00087B91" w:rsidP="00860E95">
            <w:pPr>
              <w:pStyle w:val="ARfintablebodybold"/>
              <w:spacing w:before="10" w:after="0"/>
            </w:pPr>
            <w:r w:rsidRPr="002029AF">
              <w:t>Plant,</w:t>
            </w:r>
            <w:r w:rsidR="000A5329" w:rsidRPr="002029AF">
              <w:t xml:space="preserve"> </w:t>
            </w:r>
            <w:r w:rsidRPr="002029AF">
              <w:t>equipment</w:t>
            </w:r>
            <w:r w:rsidR="000A5329" w:rsidRPr="002029AF">
              <w:t xml:space="preserve"> </w:t>
            </w:r>
            <w:r w:rsidRPr="002029AF">
              <w:t>and</w:t>
            </w:r>
            <w:r w:rsidR="000A5329" w:rsidRPr="002029AF">
              <w:t xml:space="preserve"> </w:t>
            </w:r>
            <w:r w:rsidRPr="002029AF">
              <w:t>vehicles</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tc>
      </w:tr>
      <w:tr w:rsidR="00087B91" w:rsidRPr="002029AF" w14:paraId="493D917B" w14:textId="77777777" w:rsidTr="00860E95">
        <w:tc>
          <w:tcPr>
            <w:tcW w:w="5952" w:type="dxa"/>
            <w:tcBorders>
              <w:top w:val="single" w:sz="4" w:space="0" w:color="A6A6A6"/>
              <w:bottom w:val="single" w:sz="4" w:space="0" w:color="A6A6A6"/>
            </w:tcBorders>
            <w:hideMark/>
          </w:tcPr>
          <w:p w14:paraId="6433C121" w14:textId="514987FA" w:rsidR="00087B91" w:rsidRPr="002029AF" w:rsidRDefault="00087B91" w:rsidP="00860E95">
            <w:pPr>
              <w:pStyle w:val="ARfintablebody"/>
              <w:spacing w:before="10" w:after="0"/>
            </w:pPr>
            <w:r w:rsidRPr="002029AF">
              <w:t>Plant,</w:t>
            </w:r>
            <w:r w:rsidR="000A5329" w:rsidRPr="002029AF">
              <w:t xml:space="preserve"> </w:t>
            </w:r>
            <w:r w:rsidRPr="002029AF">
              <w:t>equipment</w:t>
            </w:r>
            <w:r w:rsidR="000A5329" w:rsidRPr="002029AF">
              <w:t xml:space="preserve"> </w:t>
            </w:r>
            <w:r w:rsidRPr="002029AF">
              <w:t>and</w:t>
            </w:r>
            <w:r w:rsidR="000A5329" w:rsidRPr="002029AF">
              <w:t xml:space="preserve"> </w:t>
            </w:r>
            <w:r w:rsidRPr="002029AF">
              <w:t>vehicles</w:t>
            </w:r>
          </w:p>
        </w:tc>
        <w:tc>
          <w:tcPr>
            <w:tcW w:w="1417" w:type="dxa"/>
            <w:tcBorders>
              <w:top w:val="single" w:sz="4" w:space="0" w:color="A6A6A6"/>
              <w:bottom w:val="single" w:sz="4" w:space="0" w:color="A6A6A6"/>
            </w:tcBorders>
            <w:shd w:val="clear" w:color="auto" w:fill="E7E6E6"/>
            <w:noWrap/>
            <w:hideMark/>
          </w:tcPr>
          <w:p w14:paraId="30850DEB" w14:textId="77777777" w:rsidR="00087B91" w:rsidRPr="002029AF" w:rsidRDefault="00087B91" w:rsidP="00860E95">
            <w:pPr>
              <w:pStyle w:val="ARfintablebodyright"/>
              <w:spacing w:before="10" w:after="0"/>
            </w:pPr>
            <w:r w:rsidRPr="002029AF">
              <w:t>39.3</w:t>
            </w:r>
          </w:p>
        </w:tc>
        <w:tc>
          <w:tcPr>
            <w:tcW w:w="1418" w:type="dxa"/>
            <w:tcBorders>
              <w:top w:val="single" w:sz="4" w:space="0" w:color="A6A6A6"/>
              <w:bottom w:val="single" w:sz="4" w:space="0" w:color="A6A6A6"/>
            </w:tcBorders>
            <w:noWrap/>
            <w:hideMark/>
          </w:tcPr>
          <w:p w14:paraId="7B73BEAB" w14:textId="77777777" w:rsidR="00087B91" w:rsidRPr="002029AF" w:rsidRDefault="00087B91" w:rsidP="00860E95">
            <w:pPr>
              <w:pStyle w:val="ARfintablebodyright"/>
              <w:spacing w:before="10" w:after="0"/>
            </w:pPr>
            <w:r w:rsidRPr="002029AF">
              <w:t>39.5</w:t>
            </w:r>
          </w:p>
        </w:tc>
        <w:tc>
          <w:tcPr>
            <w:tcW w:w="1418" w:type="dxa"/>
            <w:tcBorders>
              <w:top w:val="single" w:sz="4" w:space="0" w:color="A6A6A6"/>
              <w:bottom w:val="single" w:sz="4" w:space="0" w:color="A6A6A6"/>
            </w:tcBorders>
            <w:shd w:val="clear" w:color="auto" w:fill="E7E6E6"/>
            <w:noWrap/>
            <w:hideMark/>
          </w:tcPr>
          <w:p w14:paraId="22669F35" w14:textId="77777777" w:rsidR="00087B91" w:rsidRPr="002029AF" w:rsidRDefault="00087B91" w:rsidP="00860E95">
            <w:pPr>
              <w:pStyle w:val="ARfintablebodyright"/>
              <w:spacing w:before="10" w:after="0"/>
            </w:pPr>
            <w:r w:rsidRPr="002029AF">
              <w:t>2.3</w:t>
            </w:r>
          </w:p>
        </w:tc>
        <w:tc>
          <w:tcPr>
            <w:tcW w:w="1418" w:type="dxa"/>
            <w:tcBorders>
              <w:top w:val="single" w:sz="4" w:space="0" w:color="A6A6A6"/>
              <w:bottom w:val="single" w:sz="4" w:space="0" w:color="A6A6A6"/>
            </w:tcBorders>
            <w:noWrap/>
            <w:hideMark/>
          </w:tcPr>
          <w:p w14:paraId="55F67C1C" w14:textId="77777777" w:rsidR="00087B91" w:rsidRPr="002029AF" w:rsidRDefault="00087B91" w:rsidP="00860E95">
            <w:pPr>
              <w:pStyle w:val="ARfintablebodyright"/>
              <w:spacing w:before="10" w:after="0"/>
            </w:pPr>
            <w:r w:rsidRPr="002029AF">
              <w:t>2.3</w:t>
            </w:r>
          </w:p>
        </w:tc>
        <w:tc>
          <w:tcPr>
            <w:tcW w:w="1418" w:type="dxa"/>
            <w:tcBorders>
              <w:top w:val="single" w:sz="4" w:space="0" w:color="A6A6A6"/>
              <w:bottom w:val="single" w:sz="4" w:space="0" w:color="A6A6A6"/>
            </w:tcBorders>
            <w:shd w:val="clear" w:color="auto" w:fill="E7E6E6"/>
            <w:noWrap/>
            <w:hideMark/>
          </w:tcPr>
          <w:p w14:paraId="6C041F6D" w14:textId="77777777" w:rsidR="00087B91" w:rsidRPr="002029AF" w:rsidRDefault="00087B91" w:rsidP="00860E95">
            <w:pPr>
              <w:pStyle w:val="ARfintablebodyright"/>
              <w:spacing w:before="10" w:after="0"/>
            </w:pPr>
            <w:r w:rsidRPr="002029AF">
              <w:t>41.6</w:t>
            </w:r>
          </w:p>
        </w:tc>
        <w:tc>
          <w:tcPr>
            <w:tcW w:w="1418" w:type="dxa"/>
            <w:tcBorders>
              <w:top w:val="single" w:sz="4" w:space="0" w:color="A6A6A6"/>
              <w:bottom w:val="single" w:sz="4" w:space="0" w:color="A6A6A6"/>
            </w:tcBorders>
            <w:noWrap/>
            <w:hideMark/>
          </w:tcPr>
          <w:p w14:paraId="75368FF5" w14:textId="77777777" w:rsidR="00087B91" w:rsidRPr="002029AF" w:rsidRDefault="00087B91" w:rsidP="00860E95">
            <w:pPr>
              <w:pStyle w:val="ARfintablebodyright"/>
              <w:spacing w:before="10" w:after="0"/>
            </w:pPr>
            <w:r w:rsidRPr="002029AF">
              <w:t>41.8</w:t>
            </w:r>
          </w:p>
        </w:tc>
      </w:tr>
      <w:tr w:rsidR="00087B91" w:rsidRPr="002029AF" w14:paraId="002BFB66" w14:textId="77777777" w:rsidTr="00860E95">
        <w:tc>
          <w:tcPr>
            <w:tcW w:w="5952" w:type="dxa"/>
            <w:tcBorders>
              <w:top w:val="single" w:sz="4" w:space="0" w:color="A6A6A6"/>
              <w:bottom w:val="single" w:sz="4" w:space="0" w:color="A6A6A6"/>
            </w:tcBorders>
            <w:hideMark/>
          </w:tcPr>
          <w:p w14:paraId="5A02EFAD" w14:textId="61BBAF7C" w:rsidR="00087B91" w:rsidRPr="002029AF" w:rsidRDefault="00087B91" w:rsidP="00860E95">
            <w:pPr>
              <w:pStyle w:val="ARfintablebody"/>
              <w:spacing w:before="10" w:after="0"/>
            </w:pPr>
            <w:r w:rsidRPr="002029AF">
              <w:t>Right-of-use</w:t>
            </w:r>
            <w:r w:rsidR="000A5329" w:rsidRPr="002029AF">
              <w:t xml:space="preserve"> </w:t>
            </w:r>
            <w:r w:rsidRPr="002029AF">
              <w:t>plant</w:t>
            </w:r>
            <w:r w:rsidR="000A5329" w:rsidRPr="002029AF">
              <w:t xml:space="preserve"> </w:t>
            </w:r>
            <w:r w:rsidRPr="002029AF">
              <w:t>and</w:t>
            </w:r>
            <w:r w:rsidR="000A5329" w:rsidRPr="002029AF">
              <w:t xml:space="preserve"> </w:t>
            </w:r>
            <w:r w:rsidRPr="002029AF">
              <w:t>equipment</w:t>
            </w:r>
          </w:p>
        </w:tc>
        <w:tc>
          <w:tcPr>
            <w:tcW w:w="1417" w:type="dxa"/>
            <w:tcBorders>
              <w:top w:val="single" w:sz="4" w:space="0" w:color="A6A6A6"/>
              <w:bottom w:val="single" w:sz="4" w:space="0" w:color="A6A6A6"/>
            </w:tcBorders>
            <w:shd w:val="clear" w:color="auto" w:fill="E7E6E6"/>
            <w:noWrap/>
            <w:hideMark/>
          </w:tcPr>
          <w:p w14:paraId="3DB1B170" w14:textId="77777777" w:rsidR="00087B91" w:rsidRPr="002029AF" w:rsidRDefault="00087B91" w:rsidP="00860E95">
            <w:pPr>
              <w:pStyle w:val="ARfintablebodyright"/>
              <w:spacing w:before="10" w:after="0"/>
            </w:pPr>
            <w:r w:rsidRPr="002029AF">
              <w:t>6.0</w:t>
            </w:r>
          </w:p>
        </w:tc>
        <w:tc>
          <w:tcPr>
            <w:tcW w:w="1418" w:type="dxa"/>
            <w:tcBorders>
              <w:top w:val="single" w:sz="4" w:space="0" w:color="A6A6A6"/>
              <w:bottom w:val="single" w:sz="4" w:space="0" w:color="A6A6A6"/>
            </w:tcBorders>
            <w:noWrap/>
            <w:hideMark/>
          </w:tcPr>
          <w:p w14:paraId="64F0FD9C" w14:textId="77777777" w:rsidR="00087B91" w:rsidRPr="002029AF" w:rsidRDefault="00087B91" w:rsidP="00860E95">
            <w:pPr>
              <w:pStyle w:val="ARfintablebodyright"/>
              <w:spacing w:before="10" w:after="0"/>
            </w:pPr>
            <w:r w:rsidRPr="002029AF">
              <w:t>–</w:t>
            </w:r>
          </w:p>
        </w:tc>
        <w:tc>
          <w:tcPr>
            <w:tcW w:w="1418" w:type="dxa"/>
            <w:tcBorders>
              <w:top w:val="single" w:sz="4" w:space="0" w:color="A6A6A6"/>
              <w:bottom w:val="single" w:sz="4" w:space="0" w:color="A6A6A6"/>
            </w:tcBorders>
            <w:shd w:val="clear" w:color="auto" w:fill="E7E6E6"/>
            <w:noWrap/>
            <w:hideMark/>
          </w:tcPr>
          <w:p w14:paraId="0C3E4768" w14:textId="77777777" w:rsidR="00087B91" w:rsidRPr="002029AF" w:rsidRDefault="00087B91" w:rsidP="00860E95">
            <w:pPr>
              <w:pStyle w:val="ARfintablebodyright"/>
              <w:spacing w:before="10" w:after="0"/>
            </w:pPr>
            <w:r w:rsidRPr="002029AF">
              <w:t>–</w:t>
            </w:r>
          </w:p>
        </w:tc>
        <w:tc>
          <w:tcPr>
            <w:tcW w:w="1418" w:type="dxa"/>
            <w:tcBorders>
              <w:top w:val="single" w:sz="4" w:space="0" w:color="A6A6A6"/>
              <w:bottom w:val="single" w:sz="4" w:space="0" w:color="A6A6A6"/>
            </w:tcBorders>
            <w:noWrap/>
            <w:hideMark/>
          </w:tcPr>
          <w:p w14:paraId="4C460C50" w14:textId="77777777" w:rsidR="00087B91" w:rsidRPr="002029AF" w:rsidRDefault="00087B91" w:rsidP="00860E95">
            <w:pPr>
              <w:pStyle w:val="ARfintablebodyright"/>
              <w:spacing w:before="10" w:after="0"/>
            </w:pPr>
            <w:r w:rsidRPr="002029AF">
              <w:t>–</w:t>
            </w:r>
          </w:p>
        </w:tc>
        <w:tc>
          <w:tcPr>
            <w:tcW w:w="1418" w:type="dxa"/>
            <w:tcBorders>
              <w:top w:val="single" w:sz="4" w:space="0" w:color="A6A6A6"/>
              <w:bottom w:val="single" w:sz="4" w:space="0" w:color="A6A6A6"/>
            </w:tcBorders>
            <w:shd w:val="clear" w:color="auto" w:fill="E7E6E6"/>
            <w:noWrap/>
            <w:hideMark/>
          </w:tcPr>
          <w:p w14:paraId="3653475C" w14:textId="77777777" w:rsidR="00087B91" w:rsidRPr="002029AF" w:rsidRDefault="00087B91" w:rsidP="00860E95">
            <w:pPr>
              <w:pStyle w:val="ARfintablebodyright"/>
              <w:spacing w:before="10" w:after="0"/>
            </w:pPr>
            <w:r w:rsidRPr="002029AF">
              <w:t>6.0</w:t>
            </w:r>
          </w:p>
        </w:tc>
        <w:tc>
          <w:tcPr>
            <w:tcW w:w="1418" w:type="dxa"/>
            <w:tcBorders>
              <w:top w:val="single" w:sz="4" w:space="0" w:color="A6A6A6"/>
              <w:bottom w:val="single" w:sz="4" w:space="0" w:color="A6A6A6"/>
            </w:tcBorders>
            <w:noWrap/>
            <w:hideMark/>
          </w:tcPr>
          <w:p w14:paraId="33E55649" w14:textId="77777777" w:rsidR="00087B91" w:rsidRPr="002029AF" w:rsidRDefault="00087B91" w:rsidP="00860E95">
            <w:pPr>
              <w:pStyle w:val="ARfintablebodyright"/>
              <w:spacing w:before="10" w:after="0"/>
            </w:pPr>
            <w:r w:rsidRPr="002029AF">
              <w:t>–</w:t>
            </w:r>
          </w:p>
        </w:tc>
      </w:tr>
      <w:tr w:rsidR="00087B91" w:rsidRPr="002029AF" w14:paraId="195160AB" w14:textId="77777777" w:rsidTr="00860E95">
        <w:tc>
          <w:tcPr>
            <w:tcW w:w="5952" w:type="dxa"/>
            <w:tcBorders>
              <w:top w:val="single" w:sz="4" w:space="0" w:color="A6A6A6"/>
              <w:bottom w:val="single" w:sz="4" w:space="0" w:color="A6A6A6"/>
            </w:tcBorders>
            <w:hideMark/>
          </w:tcPr>
          <w:p w14:paraId="32583978" w14:textId="279687FF" w:rsidR="00087B91" w:rsidRPr="002029AF" w:rsidRDefault="00087B91" w:rsidP="00860E95">
            <w:pPr>
              <w:pStyle w:val="ARfintablebody"/>
              <w:spacing w:before="10" w:after="0"/>
            </w:pPr>
            <w:r w:rsidRPr="002029AF">
              <w:t>Service</w:t>
            </w:r>
            <w:r w:rsidR="000A5329" w:rsidRPr="002029AF">
              <w:t xml:space="preserve"> </w:t>
            </w:r>
            <w:r w:rsidRPr="002029AF">
              <w:t>concession</w:t>
            </w:r>
            <w:r w:rsidR="000A5329" w:rsidRPr="002029AF">
              <w:t xml:space="preserve"> </w:t>
            </w:r>
            <w:r w:rsidRPr="002029AF">
              <w:t>plant</w:t>
            </w:r>
            <w:r w:rsidR="000A5329" w:rsidRPr="002029AF">
              <w:t xml:space="preserve"> </w:t>
            </w:r>
            <w:r w:rsidRPr="002029AF">
              <w:t>and</w:t>
            </w:r>
            <w:r w:rsidR="000A5329" w:rsidRPr="002029AF">
              <w:t xml:space="preserve"> </w:t>
            </w:r>
            <w:r w:rsidRPr="002029AF">
              <w:t>equipment</w:t>
            </w:r>
          </w:p>
        </w:tc>
        <w:tc>
          <w:tcPr>
            <w:tcW w:w="1417" w:type="dxa"/>
            <w:tcBorders>
              <w:top w:val="single" w:sz="4" w:space="0" w:color="A6A6A6"/>
              <w:bottom w:val="single" w:sz="4" w:space="0" w:color="A6A6A6"/>
            </w:tcBorders>
            <w:shd w:val="clear" w:color="auto" w:fill="E7E6E6"/>
            <w:noWrap/>
            <w:hideMark/>
          </w:tcPr>
          <w:p w14:paraId="7DA17A06" w14:textId="77777777" w:rsidR="00087B91" w:rsidRPr="002029AF" w:rsidRDefault="00087B91" w:rsidP="00860E95">
            <w:pPr>
              <w:pStyle w:val="ARfintablebodyright"/>
              <w:spacing w:before="10" w:after="0"/>
            </w:pPr>
            <w:r w:rsidRPr="002029AF">
              <w:t>7.0</w:t>
            </w:r>
          </w:p>
        </w:tc>
        <w:tc>
          <w:tcPr>
            <w:tcW w:w="1418" w:type="dxa"/>
            <w:tcBorders>
              <w:top w:val="single" w:sz="4" w:space="0" w:color="A6A6A6"/>
              <w:bottom w:val="single" w:sz="4" w:space="0" w:color="A6A6A6"/>
            </w:tcBorders>
            <w:noWrap/>
            <w:hideMark/>
          </w:tcPr>
          <w:p w14:paraId="36D320B5" w14:textId="77777777" w:rsidR="00087B91" w:rsidRPr="002029AF" w:rsidRDefault="00087B91" w:rsidP="00860E95">
            <w:pPr>
              <w:pStyle w:val="ARfintablebodyright"/>
              <w:spacing w:before="10" w:after="0"/>
            </w:pPr>
            <w:r w:rsidRPr="002029AF">
              <w:t>6.6</w:t>
            </w:r>
          </w:p>
        </w:tc>
        <w:tc>
          <w:tcPr>
            <w:tcW w:w="1418" w:type="dxa"/>
            <w:tcBorders>
              <w:top w:val="single" w:sz="4" w:space="0" w:color="A6A6A6"/>
              <w:bottom w:val="single" w:sz="4" w:space="0" w:color="A6A6A6"/>
            </w:tcBorders>
            <w:shd w:val="clear" w:color="auto" w:fill="E7E6E6"/>
            <w:noWrap/>
            <w:hideMark/>
          </w:tcPr>
          <w:p w14:paraId="5C9A8237" w14:textId="77777777" w:rsidR="00087B91" w:rsidRPr="002029AF" w:rsidRDefault="00087B91" w:rsidP="00860E95">
            <w:pPr>
              <w:pStyle w:val="ARfintablebodyright"/>
              <w:spacing w:before="10" w:after="0"/>
            </w:pPr>
            <w:r w:rsidRPr="002029AF">
              <w:t>–</w:t>
            </w:r>
          </w:p>
        </w:tc>
        <w:tc>
          <w:tcPr>
            <w:tcW w:w="1418" w:type="dxa"/>
            <w:tcBorders>
              <w:top w:val="single" w:sz="4" w:space="0" w:color="A6A6A6"/>
              <w:bottom w:val="single" w:sz="4" w:space="0" w:color="A6A6A6"/>
            </w:tcBorders>
            <w:noWrap/>
            <w:hideMark/>
          </w:tcPr>
          <w:p w14:paraId="2E82563E" w14:textId="77777777" w:rsidR="00087B91" w:rsidRPr="002029AF" w:rsidRDefault="00087B91" w:rsidP="00860E95">
            <w:pPr>
              <w:pStyle w:val="ARfintablebodyright"/>
              <w:spacing w:before="10" w:after="0"/>
            </w:pPr>
            <w:r w:rsidRPr="002029AF">
              <w:t>–</w:t>
            </w:r>
          </w:p>
        </w:tc>
        <w:tc>
          <w:tcPr>
            <w:tcW w:w="1418" w:type="dxa"/>
            <w:tcBorders>
              <w:top w:val="single" w:sz="4" w:space="0" w:color="A6A6A6"/>
              <w:bottom w:val="single" w:sz="4" w:space="0" w:color="A6A6A6"/>
            </w:tcBorders>
            <w:shd w:val="clear" w:color="auto" w:fill="E7E6E6"/>
            <w:noWrap/>
            <w:hideMark/>
          </w:tcPr>
          <w:p w14:paraId="59334F54" w14:textId="77777777" w:rsidR="00087B91" w:rsidRPr="002029AF" w:rsidRDefault="00087B91" w:rsidP="00860E95">
            <w:pPr>
              <w:pStyle w:val="ARfintablebodyright"/>
              <w:spacing w:before="10" w:after="0"/>
            </w:pPr>
            <w:r w:rsidRPr="002029AF">
              <w:t>7.0</w:t>
            </w:r>
          </w:p>
        </w:tc>
        <w:tc>
          <w:tcPr>
            <w:tcW w:w="1418" w:type="dxa"/>
            <w:tcBorders>
              <w:top w:val="single" w:sz="4" w:space="0" w:color="A6A6A6"/>
              <w:bottom w:val="single" w:sz="4" w:space="0" w:color="A6A6A6"/>
            </w:tcBorders>
            <w:noWrap/>
            <w:hideMark/>
          </w:tcPr>
          <w:p w14:paraId="20773C4F" w14:textId="77777777" w:rsidR="00087B91" w:rsidRPr="002029AF" w:rsidRDefault="00087B91" w:rsidP="00860E95">
            <w:pPr>
              <w:pStyle w:val="ARfintablebodyright"/>
              <w:spacing w:before="10" w:after="0"/>
            </w:pPr>
            <w:r w:rsidRPr="002029AF">
              <w:t>6.6</w:t>
            </w:r>
          </w:p>
        </w:tc>
      </w:tr>
      <w:tr w:rsidR="00087B91" w:rsidRPr="002029AF" w14:paraId="365A9A6C" w14:textId="77777777" w:rsidTr="00860E95">
        <w:tc>
          <w:tcPr>
            <w:tcW w:w="5952" w:type="dxa"/>
            <w:tcBorders>
              <w:top w:val="single" w:sz="4" w:space="0" w:color="A6A6A6"/>
            </w:tcBorders>
            <w:hideMark/>
          </w:tcPr>
          <w:p w14:paraId="61F63BEA" w14:textId="0F9FD983" w:rsidR="00087B91" w:rsidRPr="002029AF" w:rsidRDefault="00087B91" w:rsidP="00860E95">
            <w:pPr>
              <w:pStyle w:val="ARfintablebody"/>
              <w:spacing w:before="10" w:after="0"/>
              <w:rPr>
                <w:rStyle w:val="Emphasis"/>
              </w:rPr>
            </w:pPr>
            <w:r w:rsidRPr="002029AF">
              <w:rPr>
                <w:rStyle w:val="Emphasis"/>
              </w:rPr>
              <w:t>Less</w:t>
            </w:r>
            <w:r w:rsidR="000A5329" w:rsidRPr="002029AF">
              <w:rPr>
                <w:rStyle w:val="Emphasis"/>
              </w:rPr>
              <w:t xml:space="preserve"> </w:t>
            </w:r>
            <w:r w:rsidRPr="002029AF">
              <w:rPr>
                <w:rStyle w:val="Emphasis"/>
              </w:rPr>
              <w:t>accumulated</w:t>
            </w:r>
            <w:r w:rsidR="000A5329" w:rsidRPr="002029AF">
              <w:rPr>
                <w:rStyle w:val="Emphasis"/>
              </w:rPr>
              <w:t xml:space="preserve"> </w:t>
            </w:r>
            <w:r w:rsidRPr="002029AF">
              <w:rPr>
                <w:rStyle w:val="Emphasis"/>
              </w:rPr>
              <w:t>depreciation</w:t>
            </w:r>
          </w:p>
        </w:tc>
        <w:tc>
          <w:tcPr>
            <w:tcW w:w="1417" w:type="dxa"/>
            <w:tcBorders>
              <w:top w:val="single" w:sz="4" w:space="0" w:color="A6A6A6"/>
            </w:tcBorders>
            <w:shd w:val="clear" w:color="auto" w:fill="E7E6E6"/>
            <w:noWrap/>
            <w:hideMark/>
          </w:tcPr>
          <w:p w14:paraId="3E6557E6" w14:textId="77777777" w:rsidR="00087B91" w:rsidRPr="002029AF" w:rsidRDefault="00087B91" w:rsidP="00860E95">
            <w:pPr>
              <w:pStyle w:val="ARfintablebodyright"/>
              <w:spacing w:before="10" w:after="0"/>
            </w:pPr>
            <w:r w:rsidRPr="002029AF">
              <w:t>(40.7)</w:t>
            </w:r>
          </w:p>
        </w:tc>
        <w:tc>
          <w:tcPr>
            <w:tcW w:w="1418" w:type="dxa"/>
            <w:tcBorders>
              <w:top w:val="single" w:sz="4" w:space="0" w:color="A6A6A6"/>
            </w:tcBorders>
            <w:noWrap/>
            <w:hideMark/>
          </w:tcPr>
          <w:p w14:paraId="50E9EEDE" w14:textId="77777777" w:rsidR="00087B91" w:rsidRPr="002029AF" w:rsidRDefault="00087B91" w:rsidP="00860E95">
            <w:pPr>
              <w:pStyle w:val="ARfintablebodyright"/>
              <w:spacing w:before="10" w:after="0"/>
            </w:pPr>
            <w:r w:rsidRPr="002029AF">
              <w:t>(34.8)</w:t>
            </w:r>
          </w:p>
        </w:tc>
        <w:tc>
          <w:tcPr>
            <w:tcW w:w="1418" w:type="dxa"/>
            <w:tcBorders>
              <w:top w:val="single" w:sz="4" w:space="0" w:color="A6A6A6"/>
            </w:tcBorders>
            <w:shd w:val="clear" w:color="auto" w:fill="E7E6E6"/>
            <w:noWrap/>
            <w:hideMark/>
          </w:tcPr>
          <w:p w14:paraId="397D8C19" w14:textId="77777777" w:rsidR="00087B91" w:rsidRPr="002029AF" w:rsidRDefault="00087B91" w:rsidP="00860E95">
            <w:pPr>
              <w:pStyle w:val="ARfintablebodyright"/>
              <w:spacing w:before="10" w:after="0"/>
            </w:pPr>
            <w:r w:rsidRPr="002029AF">
              <w:t>(2.3)</w:t>
            </w:r>
          </w:p>
        </w:tc>
        <w:tc>
          <w:tcPr>
            <w:tcW w:w="1418" w:type="dxa"/>
            <w:tcBorders>
              <w:top w:val="single" w:sz="4" w:space="0" w:color="A6A6A6"/>
            </w:tcBorders>
            <w:noWrap/>
            <w:hideMark/>
          </w:tcPr>
          <w:p w14:paraId="20745F92" w14:textId="77777777" w:rsidR="00087B91" w:rsidRPr="002029AF" w:rsidRDefault="00087B91" w:rsidP="00860E95">
            <w:pPr>
              <w:pStyle w:val="ARfintablebodyright"/>
              <w:spacing w:before="10" w:after="0"/>
            </w:pPr>
            <w:r w:rsidRPr="002029AF">
              <w:t>(2.0)</w:t>
            </w:r>
          </w:p>
        </w:tc>
        <w:tc>
          <w:tcPr>
            <w:tcW w:w="1418" w:type="dxa"/>
            <w:tcBorders>
              <w:top w:val="single" w:sz="4" w:space="0" w:color="A6A6A6"/>
            </w:tcBorders>
            <w:shd w:val="clear" w:color="auto" w:fill="E7E6E6"/>
            <w:noWrap/>
            <w:hideMark/>
          </w:tcPr>
          <w:p w14:paraId="2B831844" w14:textId="77777777" w:rsidR="00087B91" w:rsidRPr="002029AF" w:rsidRDefault="00087B91" w:rsidP="00860E95">
            <w:pPr>
              <w:pStyle w:val="ARfintablebodyright"/>
              <w:spacing w:before="10" w:after="0"/>
            </w:pPr>
            <w:r w:rsidRPr="002029AF">
              <w:t>(43.0)</w:t>
            </w:r>
          </w:p>
        </w:tc>
        <w:tc>
          <w:tcPr>
            <w:tcW w:w="1418" w:type="dxa"/>
            <w:tcBorders>
              <w:top w:val="single" w:sz="4" w:space="0" w:color="A6A6A6"/>
            </w:tcBorders>
            <w:noWrap/>
            <w:hideMark/>
          </w:tcPr>
          <w:p w14:paraId="5F46B355" w14:textId="77777777" w:rsidR="00087B91" w:rsidRPr="002029AF" w:rsidRDefault="00087B91" w:rsidP="00860E95">
            <w:pPr>
              <w:pStyle w:val="ARfintablebodyright"/>
              <w:spacing w:before="10" w:after="0"/>
            </w:pPr>
            <w:r w:rsidRPr="002029AF">
              <w:t>(36.8)</w:t>
            </w:r>
          </w:p>
        </w:tc>
      </w:tr>
      <w:tr w:rsidR="00087B91" w:rsidRPr="002029AF" w14:paraId="7F1BB609" w14:textId="77777777" w:rsidTr="00860E95">
        <w:tc>
          <w:tcPr>
            <w:tcW w:w="5952" w:type="dxa"/>
            <w:tcBorders>
              <w:bottom w:val="single" w:sz="4" w:space="0" w:color="auto"/>
            </w:tcBorders>
            <w:hideMark/>
          </w:tcPr>
          <w:p w14:paraId="4CE2F335" w14:textId="77777777" w:rsidR="00087B91" w:rsidRPr="002029AF" w:rsidRDefault="00087B91" w:rsidP="00860E95">
            <w:pPr>
              <w:pStyle w:val="ARfintablebodybold"/>
              <w:spacing w:before="10" w:after="0"/>
            </w:pPr>
          </w:p>
        </w:tc>
        <w:tc>
          <w:tcPr>
            <w:tcW w:w="1417" w:type="dxa"/>
            <w:tcBorders>
              <w:bottom w:val="single" w:sz="4" w:space="0" w:color="auto"/>
            </w:tcBorders>
            <w:shd w:val="clear" w:color="auto" w:fill="E7E6E6"/>
            <w:noWrap/>
            <w:hideMark/>
          </w:tcPr>
          <w:p w14:paraId="39990727" w14:textId="77777777" w:rsidR="00087B91" w:rsidRPr="002029AF" w:rsidRDefault="00087B91" w:rsidP="00860E95">
            <w:pPr>
              <w:pStyle w:val="ARfintablebodyrightbold"/>
              <w:spacing w:before="10" w:after="0"/>
            </w:pPr>
            <w:r w:rsidRPr="002029AF">
              <w:t>11.6</w:t>
            </w:r>
          </w:p>
        </w:tc>
        <w:tc>
          <w:tcPr>
            <w:tcW w:w="1418" w:type="dxa"/>
            <w:tcBorders>
              <w:bottom w:val="single" w:sz="4" w:space="0" w:color="auto"/>
            </w:tcBorders>
            <w:noWrap/>
            <w:hideMark/>
          </w:tcPr>
          <w:p w14:paraId="3EB44746" w14:textId="77777777" w:rsidR="00087B91" w:rsidRPr="002029AF" w:rsidRDefault="00087B91" w:rsidP="00860E95">
            <w:pPr>
              <w:pStyle w:val="ARfintablebodyrightbold"/>
              <w:spacing w:before="10" w:after="0"/>
            </w:pPr>
            <w:r w:rsidRPr="002029AF">
              <w:t>11.3</w:t>
            </w:r>
          </w:p>
        </w:tc>
        <w:tc>
          <w:tcPr>
            <w:tcW w:w="1418" w:type="dxa"/>
            <w:tcBorders>
              <w:bottom w:val="single" w:sz="4" w:space="0" w:color="auto"/>
            </w:tcBorders>
            <w:shd w:val="clear" w:color="auto" w:fill="E7E6E6"/>
            <w:noWrap/>
            <w:hideMark/>
          </w:tcPr>
          <w:p w14:paraId="251F15AF" w14:textId="77777777" w:rsidR="00087B91" w:rsidRPr="002029AF" w:rsidRDefault="00087B91" w:rsidP="00860E95">
            <w:pPr>
              <w:pStyle w:val="ARfintablebodyrightbold"/>
              <w:spacing w:before="10" w:after="0"/>
            </w:pPr>
            <w:r w:rsidRPr="002029AF">
              <w:t>–</w:t>
            </w:r>
          </w:p>
        </w:tc>
        <w:tc>
          <w:tcPr>
            <w:tcW w:w="1418" w:type="dxa"/>
            <w:tcBorders>
              <w:bottom w:val="single" w:sz="4" w:space="0" w:color="auto"/>
            </w:tcBorders>
            <w:noWrap/>
            <w:hideMark/>
          </w:tcPr>
          <w:p w14:paraId="348F9877" w14:textId="77777777" w:rsidR="00087B91" w:rsidRPr="002029AF" w:rsidRDefault="00087B91" w:rsidP="00860E95">
            <w:pPr>
              <w:pStyle w:val="ARfintablebodyrightbold"/>
              <w:spacing w:before="10" w:after="0"/>
            </w:pPr>
            <w:r w:rsidRPr="002029AF">
              <w:t>0.3</w:t>
            </w:r>
          </w:p>
        </w:tc>
        <w:tc>
          <w:tcPr>
            <w:tcW w:w="1418" w:type="dxa"/>
            <w:tcBorders>
              <w:bottom w:val="single" w:sz="4" w:space="0" w:color="auto"/>
            </w:tcBorders>
            <w:shd w:val="clear" w:color="auto" w:fill="E7E6E6"/>
            <w:noWrap/>
            <w:hideMark/>
          </w:tcPr>
          <w:p w14:paraId="03D8E86C" w14:textId="77777777" w:rsidR="00087B91" w:rsidRPr="002029AF" w:rsidRDefault="00087B91" w:rsidP="00860E95">
            <w:pPr>
              <w:pStyle w:val="ARfintablebodyrightbold"/>
              <w:spacing w:before="10" w:after="0"/>
            </w:pPr>
            <w:r w:rsidRPr="002029AF">
              <w:t>11.6</w:t>
            </w:r>
          </w:p>
        </w:tc>
        <w:tc>
          <w:tcPr>
            <w:tcW w:w="1418" w:type="dxa"/>
            <w:tcBorders>
              <w:bottom w:val="single" w:sz="4" w:space="0" w:color="auto"/>
            </w:tcBorders>
            <w:noWrap/>
            <w:hideMark/>
          </w:tcPr>
          <w:p w14:paraId="33592CE2" w14:textId="77777777" w:rsidR="00087B91" w:rsidRPr="002029AF" w:rsidRDefault="00087B91" w:rsidP="00860E95">
            <w:pPr>
              <w:pStyle w:val="ARfintablebodyrightbold"/>
              <w:spacing w:before="10" w:after="0"/>
            </w:pPr>
            <w:r w:rsidRPr="002029AF">
              <w:t>11.6</w:t>
            </w:r>
          </w:p>
        </w:tc>
      </w:tr>
      <w:tr w:rsidR="00087B91" w:rsidRPr="002029AF" w14:paraId="1FB239D8" w14:textId="77777777" w:rsidTr="00860E95">
        <w:tc>
          <w:tcPr>
            <w:tcW w:w="5952" w:type="dxa"/>
            <w:tcBorders>
              <w:top w:val="single" w:sz="4" w:space="0" w:color="auto"/>
              <w:bottom w:val="single" w:sz="4" w:space="0" w:color="A6A6A6"/>
            </w:tcBorders>
            <w:hideMark/>
          </w:tcPr>
          <w:p w14:paraId="65237299" w14:textId="1B308210" w:rsidR="00087B91" w:rsidRPr="002029AF" w:rsidRDefault="00087B91" w:rsidP="00860E95">
            <w:pPr>
              <w:pStyle w:val="ARfintablebody"/>
              <w:spacing w:before="10" w:after="0"/>
            </w:pPr>
            <w:r w:rsidRPr="002029AF">
              <w:t>Right-of-use</w:t>
            </w:r>
            <w:r w:rsidR="000A5329" w:rsidRPr="002029AF">
              <w:t xml:space="preserve"> </w:t>
            </w:r>
            <w:r w:rsidRPr="002029AF">
              <w:t>motor</w:t>
            </w:r>
            <w:r w:rsidR="000A5329" w:rsidRPr="002029AF">
              <w:t xml:space="preserve"> </w:t>
            </w:r>
            <w:r w:rsidRPr="002029AF">
              <w:t>vehicles</w:t>
            </w:r>
          </w:p>
        </w:tc>
        <w:tc>
          <w:tcPr>
            <w:tcW w:w="1417" w:type="dxa"/>
            <w:tcBorders>
              <w:top w:val="single" w:sz="4" w:space="0" w:color="auto"/>
              <w:bottom w:val="single" w:sz="4" w:space="0" w:color="A6A6A6"/>
            </w:tcBorders>
            <w:shd w:val="clear" w:color="auto" w:fill="E7E6E6"/>
            <w:noWrap/>
            <w:hideMark/>
          </w:tcPr>
          <w:p w14:paraId="1BF05730" w14:textId="77777777" w:rsidR="00087B91" w:rsidRPr="002029AF" w:rsidRDefault="00087B91" w:rsidP="00860E95">
            <w:pPr>
              <w:pStyle w:val="ARfintablebodyright"/>
              <w:spacing w:before="10" w:after="0"/>
            </w:pPr>
            <w:r w:rsidRPr="002029AF">
              <w:t>41.9</w:t>
            </w:r>
          </w:p>
        </w:tc>
        <w:tc>
          <w:tcPr>
            <w:tcW w:w="1418" w:type="dxa"/>
            <w:tcBorders>
              <w:top w:val="single" w:sz="4" w:space="0" w:color="auto"/>
              <w:bottom w:val="single" w:sz="4" w:space="0" w:color="A6A6A6"/>
            </w:tcBorders>
            <w:noWrap/>
            <w:hideMark/>
          </w:tcPr>
          <w:p w14:paraId="6E4D8CB9" w14:textId="77777777" w:rsidR="00087B91" w:rsidRPr="002029AF" w:rsidRDefault="00087B91" w:rsidP="00860E95">
            <w:pPr>
              <w:pStyle w:val="ARfintablebodyright"/>
              <w:spacing w:before="10" w:after="0"/>
            </w:pPr>
            <w:r w:rsidRPr="002029AF">
              <w:t>49.6</w:t>
            </w:r>
          </w:p>
        </w:tc>
        <w:tc>
          <w:tcPr>
            <w:tcW w:w="1418" w:type="dxa"/>
            <w:tcBorders>
              <w:top w:val="single" w:sz="4" w:space="0" w:color="auto"/>
              <w:bottom w:val="single" w:sz="4" w:space="0" w:color="A6A6A6"/>
            </w:tcBorders>
            <w:shd w:val="clear" w:color="auto" w:fill="E7E6E6"/>
            <w:noWrap/>
            <w:hideMark/>
          </w:tcPr>
          <w:p w14:paraId="301C8F91" w14:textId="77777777" w:rsidR="00087B91" w:rsidRPr="002029AF" w:rsidRDefault="00087B91" w:rsidP="00860E95">
            <w:pPr>
              <w:pStyle w:val="ARfintablebodyright"/>
              <w:spacing w:before="10" w:after="0"/>
            </w:pPr>
            <w:r w:rsidRPr="002029AF">
              <w:t>–</w:t>
            </w:r>
          </w:p>
        </w:tc>
        <w:tc>
          <w:tcPr>
            <w:tcW w:w="1418" w:type="dxa"/>
            <w:tcBorders>
              <w:top w:val="single" w:sz="4" w:space="0" w:color="auto"/>
              <w:bottom w:val="single" w:sz="4" w:space="0" w:color="A6A6A6"/>
            </w:tcBorders>
            <w:noWrap/>
            <w:hideMark/>
          </w:tcPr>
          <w:p w14:paraId="52BC78FA" w14:textId="77777777" w:rsidR="00087B91" w:rsidRPr="002029AF" w:rsidRDefault="00087B91" w:rsidP="00860E95">
            <w:pPr>
              <w:pStyle w:val="ARfintablebodyright"/>
              <w:spacing w:before="10" w:after="0"/>
            </w:pPr>
            <w:r w:rsidRPr="002029AF">
              <w:t>–</w:t>
            </w:r>
          </w:p>
        </w:tc>
        <w:tc>
          <w:tcPr>
            <w:tcW w:w="1418" w:type="dxa"/>
            <w:tcBorders>
              <w:top w:val="single" w:sz="4" w:space="0" w:color="auto"/>
              <w:bottom w:val="single" w:sz="4" w:space="0" w:color="A6A6A6"/>
            </w:tcBorders>
            <w:shd w:val="clear" w:color="auto" w:fill="E7E6E6"/>
            <w:noWrap/>
            <w:hideMark/>
          </w:tcPr>
          <w:p w14:paraId="2379FDB7" w14:textId="77777777" w:rsidR="00087B91" w:rsidRPr="002029AF" w:rsidRDefault="00087B91" w:rsidP="00860E95">
            <w:pPr>
              <w:pStyle w:val="ARfintablebodyright"/>
              <w:spacing w:before="10" w:after="0"/>
            </w:pPr>
            <w:r w:rsidRPr="002029AF">
              <w:t>41.9</w:t>
            </w:r>
          </w:p>
        </w:tc>
        <w:tc>
          <w:tcPr>
            <w:tcW w:w="1418" w:type="dxa"/>
            <w:tcBorders>
              <w:top w:val="single" w:sz="4" w:space="0" w:color="auto"/>
              <w:bottom w:val="single" w:sz="4" w:space="0" w:color="A6A6A6"/>
            </w:tcBorders>
            <w:noWrap/>
            <w:hideMark/>
          </w:tcPr>
          <w:p w14:paraId="1A0728BA" w14:textId="77777777" w:rsidR="00087B91" w:rsidRPr="002029AF" w:rsidRDefault="00087B91" w:rsidP="00860E95">
            <w:pPr>
              <w:pStyle w:val="ARfintablebodyright"/>
              <w:spacing w:before="10" w:after="0"/>
            </w:pPr>
            <w:r w:rsidRPr="002029AF">
              <w:t>49.6</w:t>
            </w:r>
          </w:p>
        </w:tc>
      </w:tr>
      <w:tr w:rsidR="00087B91" w:rsidRPr="002029AF" w14:paraId="1C30D5E2" w14:textId="77777777" w:rsidTr="00860E95">
        <w:tc>
          <w:tcPr>
            <w:tcW w:w="5952" w:type="dxa"/>
            <w:tcBorders>
              <w:top w:val="single" w:sz="4" w:space="0" w:color="A6A6A6"/>
            </w:tcBorders>
            <w:hideMark/>
          </w:tcPr>
          <w:p w14:paraId="1361D7E2" w14:textId="37E41FF0" w:rsidR="00087B91" w:rsidRPr="002029AF" w:rsidRDefault="00087B91" w:rsidP="00860E95">
            <w:pPr>
              <w:pStyle w:val="ARfintablebody"/>
              <w:spacing w:before="10" w:after="0"/>
              <w:rPr>
                <w:rStyle w:val="Emphasis"/>
              </w:rPr>
            </w:pPr>
            <w:r w:rsidRPr="002029AF">
              <w:rPr>
                <w:rStyle w:val="Emphasis"/>
              </w:rPr>
              <w:t>Less</w:t>
            </w:r>
            <w:r w:rsidR="000A5329" w:rsidRPr="002029AF">
              <w:rPr>
                <w:rStyle w:val="Emphasis"/>
              </w:rPr>
              <w:t xml:space="preserve"> </w:t>
            </w:r>
            <w:r w:rsidRPr="002029AF">
              <w:rPr>
                <w:rStyle w:val="Emphasis"/>
              </w:rPr>
              <w:t>accumulated</w:t>
            </w:r>
            <w:r w:rsidR="000A5329" w:rsidRPr="002029AF">
              <w:rPr>
                <w:rStyle w:val="Emphasis"/>
              </w:rPr>
              <w:t xml:space="preserve"> </w:t>
            </w:r>
            <w:r w:rsidRPr="002029AF">
              <w:rPr>
                <w:rStyle w:val="Emphasis"/>
              </w:rPr>
              <w:t>depreciation</w:t>
            </w:r>
          </w:p>
        </w:tc>
        <w:tc>
          <w:tcPr>
            <w:tcW w:w="1417" w:type="dxa"/>
            <w:tcBorders>
              <w:top w:val="single" w:sz="4" w:space="0" w:color="A6A6A6"/>
            </w:tcBorders>
            <w:shd w:val="clear" w:color="auto" w:fill="E7E6E6"/>
            <w:noWrap/>
            <w:hideMark/>
          </w:tcPr>
          <w:p w14:paraId="2BA3A65C" w14:textId="77777777" w:rsidR="00087B91" w:rsidRPr="002029AF" w:rsidRDefault="00087B91" w:rsidP="00860E95">
            <w:pPr>
              <w:pStyle w:val="ARfintablebodyright"/>
              <w:spacing w:before="10" w:after="0"/>
            </w:pPr>
            <w:r w:rsidRPr="002029AF">
              <w:t>(11.7)</w:t>
            </w:r>
          </w:p>
        </w:tc>
        <w:tc>
          <w:tcPr>
            <w:tcW w:w="1418" w:type="dxa"/>
            <w:tcBorders>
              <w:top w:val="single" w:sz="4" w:space="0" w:color="A6A6A6"/>
            </w:tcBorders>
            <w:noWrap/>
            <w:hideMark/>
          </w:tcPr>
          <w:p w14:paraId="4031E62C" w14:textId="77777777" w:rsidR="00087B91" w:rsidRPr="002029AF" w:rsidRDefault="00087B91" w:rsidP="00860E95">
            <w:pPr>
              <w:pStyle w:val="ARfintablebodyright"/>
              <w:spacing w:before="10" w:after="0"/>
            </w:pPr>
            <w:r w:rsidRPr="002029AF">
              <w:t>(13.6)</w:t>
            </w:r>
          </w:p>
        </w:tc>
        <w:tc>
          <w:tcPr>
            <w:tcW w:w="1418" w:type="dxa"/>
            <w:tcBorders>
              <w:top w:val="single" w:sz="4" w:space="0" w:color="A6A6A6"/>
            </w:tcBorders>
            <w:shd w:val="clear" w:color="auto" w:fill="E7E6E6"/>
            <w:noWrap/>
            <w:hideMark/>
          </w:tcPr>
          <w:p w14:paraId="5557FC27" w14:textId="77777777" w:rsidR="00087B91" w:rsidRPr="002029AF" w:rsidRDefault="00087B91" w:rsidP="00860E95">
            <w:pPr>
              <w:pStyle w:val="ARfintablebodyright"/>
              <w:spacing w:before="10" w:after="0"/>
            </w:pPr>
            <w:r w:rsidRPr="002029AF">
              <w:t>–</w:t>
            </w:r>
          </w:p>
        </w:tc>
        <w:tc>
          <w:tcPr>
            <w:tcW w:w="1418" w:type="dxa"/>
            <w:tcBorders>
              <w:top w:val="single" w:sz="4" w:space="0" w:color="A6A6A6"/>
            </w:tcBorders>
            <w:noWrap/>
            <w:hideMark/>
          </w:tcPr>
          <w:p w14:paraId="2B7139AA" w14:textId="77777777" w:rsidR="00087B91" w:rsidRPr="002029AF" w:rsidRDefault="00087B91" w:rsidP="00860E95">
            <w:pPr>
              <w:pStyle w:val="ARfintablebodyright"/>
              <w:spacing w:before="10" w:after="0"/>
            </w:pPr>
            <w:r w:rsidRPr="002029AF">
              <w:t>–</w:t>
            </w:r>
          </w:p>
        </w:tc>
        <w:tc>
          <w:tcPr>
            <w:tcW w:w="1418" w:type="dxa"/>
            <w:tcBorders>
              <w:top w:val="single" w:sz="4" w:space="0" w:color="A6A6A6"/>
            </w:tcBorders>
            <w:shd w:val="clear" w:color="auto" w:fill="E7E6E6"/>
            <w:noWrap/>
            <w:hideMark/>
          </w:tcPr>
          <w:p w14:paraId="31BDEBE7" w14:textId="77777777" w:rsidR="00087B91" w:rsidRPr="002029AF" w:rsidRDefault="00087B91" w:rsidP="00860E95">
            <w:pPr>
              <w:pStyle w:val="ARfintablebodyright"/>
              <w:spacing w:before="10" w:after="0"/>
            </w:pPr>
            <w:r w:rsidRPr="002029AF">
              <w:t>(11.7)</w:t>
            </w:r>
          </w:p>
        </w:tc>
        <w:tc>
          <w:tcPr>
            <w:tcW w:w="1418" w:type="dxa"/>
            <w:tcBorders>
              <w:top w:val="single" w:sz="4" w:space="0" w:color="A6A6A6"/>
            </w:tcBorders>
            <w:noWrap/>
            <w:hideMark/>
          </w:tcPr>
          <w:p w14:paraId="5E0FB8C9" w14:textId="77777777" w:rsidR="00087B91" w:rsidRPr="002029AF" w:rsidRDefault="00087B91" w:rsidP="00860E95">
            <w:pPr>
              <w:pStyle w:val="ARfintablebodyright"/>
              <w:spacing w:before="10" w:after="0"/>
            </w:pPr>
            <w:r w:rsidRPr="002029AF">
              <w:t>(13.6)</w:t>
            </w:r>
          </w:p>
        </w:tc>
      </w:tr>
      <w:tr w:rsidR="00087B91" w:rsidRPr="002029AF" w14:paraId="0064BA9D" w14:textId="77777777" w:rsidTr="00860E95">
        <w:tc>
          <w:tcPr>
            <w:tcW w:w="5952" w:type="dxa"/>
            <w:hideMark/>
          </w:tcPr>
          <w:p w14:paraId="1889F0EE" w14:textId="77777777" w:rsidR="00087B91" w:rsidRPr="002029AF" w:rsidRDefault="00087B91" w:rsidP="00860E95">
            <w:pPr>
              <w:pStyle w:val="ARfintablebodybold"/>
              <w:spacing w:before="10" w:after="0"/>
            </w:pPr>
          </w:p>
        </w:tc>
        <w:tc>
          <w:tcPr>
            <w:tcW w:w="1417" w:type="dxa"/>
            <w:shd w:val="clear" w:color="auto" w:fill="E7E6E6"/>
            <w:noWrap/>
            <w:hideMark/>
          </w:tcPr>
          <w:p w14:paraId="7EECAC47" w14:textId="77777777" w:rsidR="00087B91" w:rsidRPr="002029AF" w:rsidRDefault="00087B91" w:rsidP="00860E95">
            <w:pPr>
              <w:pStyle w:val="ARfintablebodyrightbold"/>
              <w:spacing w:before="10" w:after="0"/>
            </w:pPr>
            <w:r w:rsidRPr="002029AF">
              <w:t>30.2</w:t>
            </w:r>
          </w:p>
        </w:tc>
        <w:tc>
          <w:tcPr>
            <w:tcW w:w="1418" w:type="dxa"/>
            <w:noWrap/>
            <w:hideMark/>
          </w:tcPr>
          <w:p w14:paraId="589A2D7B" w14:textId="77777777" w:rsidR="00087B91" w:rsidRPr="002029AF" w:rsidRDefault="00087B91" w:rsidP="00860E95">
            <w:pPr>
              <w:pStyle w:val="ARfintablebodyrightbold"/>
              <w:spacing w:before="10" w:after="0"/>
            </w:pPr>
            <w:r w:rsidRPr="002029AF">
              <w:t>36.1</w:t>
            </w:r>
          </w:p>
        </w:tc>
        <w:tc>
          <w:tcPr>
            <w:tcW w:w="1418" w:type="dxa"/>
            <w:shd w:val="clear" w:color="auto" w:fill="E7E6E6"/>
            <w:noWrap/>
            <w:hideMark/>
          </w:tcPr>
          <w:p w14:paraId="2DCFB41B" w14:textId="77777777" w:rsidR="00087B91" w:rsidRPr="002029AF" w:rsidRDefault="00087B91" w:rsidP="00860E95">
            <w:pPr>
              <w:pStyle w:val="ARfintablebodyrightbold"/>
              <w:spacing w:before="10" w:after="0"/>
            </w:pPr>
            <w:r w:rsidRPr="002029AF">
              <w:t>–</w:t>
            </w:r>
          </w:p>
        </w:tc>
        <w:tc>
          <w:tcPr>
            <w:tcW w:w="1418" w:type="dxa"/>
            <w:noWrap/>
            <w:hideMark/>
          </w:tcPr>
          <w:p w14:paraId="143D4348" w14:textId="77777777" w:rsidR="00087B91" w:rsidRPr="002029AF" w:rsidRDefault="00087B91" w:rsidP="00860E95">
            <w:pPr>
              <w:pStyle w:val="ARfintablebodyrightbold"/>
              <w:spacing w:before="10" w:after="0"/>
            </w:pPr>
            <w:r w:rsidRPr="002029AF">
              <w:t>–</w:t>
            </w:r>
          </w:p>
        </w:tc>
        <w:tc>
          <w:tcPr>
            <w:tcW w:w="1418" w:type="dxa"/>
            <w:shd w:val="clear" w:color="auto" w:fill="E7E6E6"/>
            <w:noWrap/>
            <w:hideMark/>
          </w:tcPr>
          <w:p w14:paraId="0D4AE1F9" w14:textId="77777777" w:rsidR="00087B91" w:rsidRPr="002029AF" w:rsidRDefault="00087B91" w:rsidP="00860E95">
            <w:pPr>
              <w:pStyle w:val="ARfintablebodyrightbold"/>
              <w:spacing w:before="10" w:after="0"/>
            </w:pPr>
            <w:r w:rsidRPr="002029AF">
              <w:t>30.2</w:t>
            </w:r>
          </w:p>
        </w:tc>
        <w:tc>
          <w:tcPr>
            <w:tcW w:w="1418" w:type="dxa"/>
            <w:noWrap/>
            <w:hideMark/>
          </w:tcPr>
          <w:p w14:paraId="0CCBC582" w14:textId="77777777" w:rsidR="00087B91" w:rsidRPr="002029AF" w:rsidRDefault="00087B91" w:rsidP="00860E95">
            <w:pPr>
              <w:pStyle w:val="ARfintablebodyrightbold"/>
              <w:spacing w:before="10" w:after="0"/>
            </w:pPr>
            <w:r w:rsidRPr="002029AF">
              <w:t>36.1</w:t>
            </w:r>
          </w:p>
        </w:tc>
      </w:tr>
      <w:tr w:rsidR="00087B91" w:rsidRPr="002029AF" w14:paraId="514D2C31" w14:textId="77777777" w:rsidTr="00860E95">
        <w:tc>
          <w:tcPr>
            <w:tcW w:w="5952" w:type="dxa"/>
            <w:tcBorders>
              <w:bottom w:val="single" w:sz="4" w:space="0" w:color="auto"/>
            </w:tcBorders>
            <w:hideMark/>
          </w:tcPr>
          <w:p w14:paraId="3357B6DC" w14:textId="058CF95F" w:rsidR="00087B91" w:rsidRPr="002029AF" w:rsidRDefault="00087B91" w:rsidP="00860E95">
            <w:pPr>
              <w:pStyle w:val="ARfintablebodybold"/>
              <w:spacing w:before="10" w:after="0"/>
            </w:pPr>
            <w:r w:rsidRPr="002029AF">
              <w:t>Total</w:t>
            </w:r>
            <w:r w:rsidR="000A5329" w:rsidRPr="002029AF">
              <w:t xml:space="preserve"> </w:t>
            </w:r>
            <w:r w:rsidRPr="002029AF">
              <w:t>plant,</w:t>
            </w:r>
            <w:r w:rsidR="000A5329" w:rsidRPr="002029AF">
              <w:t xml:space="preserve"> </w:t>
            </w:r>
            <w:r w:rsidRPr="002029AF">
              <w:t>equipment</w:t>
            </w:r>
            <w:r w:rsidR="000A5329" w:rsidRPr="002029AF">
              <w:t xml:space="preserve"> </w:t>
            </w:r>
            <w:r w:rsidRPr="002029AF">
              <w:t>and</w:t>
            </w:r>
            <w:r w:rsidR="000A5329" w:rsidRPr="002029AF">
              <w:t xml:space="preserve"> </w:t>
            </w:r>
            <w:r w:rsidRPr="002029AF">
              <w:t>vehicles</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tc>
        <w:tc>
          <w:tcPr>
            <w:tcW w:w="1417" w:type="dxa"/>
            <w:tcBorders>
              <w:bottom w:val="single" w:sz="4" w:space="0" w:color="auto"/>
            </w:tcBorders>
            <w:shd w:val="clear" w:color="auto" w:fill="E7E6E6"/>
            <w:noWrap/>
            <w:hideMark/>
          </w:tcPr>
          <w:p w14:paraId="470ED4A3" w14:textId="77777777" w:rsidR="00087B91" w:rsidRPr="002029AF" w:rsidRDefault="00087B91" w:rsidP="00860E95">
            <w:pPr>
              <w:pStyle w:val="ARfintablebodyrightbold"/>
              <w:spacing w:before="10" w:after="0"/>
            </w:pPr>
            <w:r w:rsidRPr="002029AF">
              <w:t>41.8</w:t>
            </w:r>
          </w:p>
        </w:tc>
        <w:tc>
          <w:tcPr>
            <w:tcW w:w="1418" w:type="dxa"/>
            <w:tcBorders>
              <w:bottom w:val="single" w:sz="4" w:space="0" w:color="auto"/>
            </w:tcBorders>
            <w:noWrap/>
            <w:hideMark/>
          </w:tcPr>
          <w:p w14:paraId="1F005AB7" w14:textId="77777777" w:rsidR="00087B91" w:rsidRPr="002029AF" w:rsidRDefault="00087B91" w:rsidP="00860E95">
            <w:pPr>
              <w:pStyle w:val="ARfintablebodyrightbold"/>
              <w:spacing w:before="10" w:after="0"/>
            </w:pPr>
            <w:r w:rsidRPr="002029AF">
              <w:t>47.4</w:t>
            </w:r>
          </w:p>
        </w:tc>
        <w:tc>
          <w:tcPr>
            <w:tcW w:w="1418" w:type="dxa"/>
            <w:tcBorders>
              <w:bottom w:val="single" w:sz="4" w:space="0" w:color="auto"/>
            </w:tcBorders>
            <w:shd w:val="clear" w:color="auto" w:fill="E7E6E6"/>
            <w:noWrap/>
            <w:hideMark/>
          </w:tcPr>
          <w:p w14:paraId="6BA4EEBA" w14:textId="77777777" w:rsidR="00087B91" w:rsidRPr="002029AF" w:rsidRDefault="00087B91" w:rsidP="00860E95">
            <w:pPr>
              <w:pStyle w:val="ARfintablebodyrightbold"/>
              <w:spacing w:before="10" w:after="0"/>
            </w:pPr>
            <w:r w:rsidRPr="002029AF">
              <w:t>–</w:t>
            </w:r>
          </w:p>
        </w:tc>
        <w:tc>
          <w:tcPr>
            <w:tcW w:w="1418" w:type="dxa"/>
            <w:tcBorders>
              <w:bottom w:val="single" w:sz="4" w:space="0" w:color="auto"/>
            </w:tcBorders>
            <w:noWrap/>
            <w:hideMark/>
          </w:tcPr>
          <w:p w14:paraId="31674404" w14:textId="77777777" w:rsidR="00087B91" w:rsidRPr="002029AF" w:rsidRDefault="00087B91" w:rsidP="00860E95">
            <w:pPr>
              <w:pStyle w:val="ARfintablebodyrightbold"/>
              <w:spacing w:before="10" w:after="0"/>
            </w:pPr>
            <w:r w:rsidRPr="002029AF">
              <w:t>0.3</w:t>
            </w:r>
          </w:p>
        </w:tc>
        <w:tc>
          <w:tcPr>
            <w:tcW w:w="1418" w:type="dxa"/>
            <w:tcBorders>
              <w:bottom w:val="single" w:sz="4" w:space="0" w:color="auto"/>
            </w:tcBorders>
            <w:shd w:val="clear" w:color="auto" w:fill="E7E6E6"/>
            <w:noWrap/>
            <w:hideMark/>
          </w:tcPr>
          <w:p w14:paraId="61A91D66" w14:textId="77777777" w:rsidR="00087B91" w:rsidRPr="002029AF" w:rsidRDefault="00087B91" w:rsidP="00860E95">
            <w:pPr>
              <w:pStyle w:val="ARfintablebodyrightbold"/>
              <w:spacing w:before="10" w:after="0"/>
            </w:pPr>
            <w:r w:rsidRPr="002029AF">
              <w:t>41.8</w:t>
            </w:r>
          </w:p>
        </w:tc>
        <w:tc>
          <w:tcPr>
            <w:tcW w:w="1418" w:type="dxa"/>
            <w:tcBorders>
              <w:bottom w:val="single" w:sz="4" w:space="0" w:color="auto"/>
            </w:tcBorders>
            <w:noWrap/>
            <w:hideMark/>
          </w:tcPr>
          <w:p w14:paraId="2FD9CAFE" w14:textId="77777777" w:rsidR="00087B91" w:rsidRPr="002029AF" w:rsidRDefault="00087B91" w:rsidP="00860E95">
            <w:pPr>
              <w:pStyle w:val="ARfintablebodyrightbold"/>
              <w:spacing w:before="10" w:after="0"/>
            </w:pPr>
            <w:r w:rsidRPr="002029AF">
              <w:t>47.6</w:t>
            </w:r>
          </w:p>
        </w:tc>
      </w:tr>
      <w:tr w:rsidR="00087B91" w:rsidRPr="002029AF" w14:paraId="162D8339" w14:textId="77777777" w:rsidTr="00860E95">
        <w:tc>
          <w:tcPr>
            <w:tcW w:w="14459" w:type="dxa"/>
            <w:gridSpan w:val="7"/>
            <w:tcBorders>
              <w:top w:val="single" w:sz="4" w:space="0" w:color="auto"/>
              <w:bottom w:val="single" w:sz="4" w:space="0" w:color="A6A6A6"/>
            </w:tcBorders>
            <w:hideMark/>
          </w:tcPr>
          <w:p w14:paraId="18A53D4D" w14:textId="4650CB9E" w:rsidR="00087B91" w:rsidRPr="002029AF" w:rsidRDefault="00087B91" w:rsidP="00860E95">
            <w:pPr>
              <w:pStyle w:val="ARfintablebodybold"/>
              <w:spacing w:before="10" w:after="0"/>
            </w:pPr>
            <w:r w:rsidRPr="002029AF">
              <w:t>Assets</w:t>
            </w:r>
            <w:r w:rsidR="000A5329" w:rsidRPr="002029AF">
              <w:t xml:space="preserve"> </w:t>
            </w:r>
            <w:r w:rsidRPr="002029AF">
              <w:t>under</w:t>
            </w:r>
            <w:r w:rsidR="000A5329" w:rsidRPr="002029AF">
              <w:t xml:space="preserve"> </w:t>
            </w:r>
            <w:r w:rsidRPr="002029AF">
              <w:t>construction</w:t>
            </w:r>
            <w:r w:rsidR="000A5329" w:rsidRPr="002029AF">
              <w:t xml:space="preserve"> </w:t>
            </w:r>
            <w:r w:rsidRPr="002029AF">
              <w:t>at</w:t>
            </w:r>
            <w:r w:rsidR="000A5329" w:rsidRPr="002029AF">
              <w:t xml:space="preserve"> </w:t>
            </w:r>
            <w:r w:rsidRPr="002029AF">
              <w:t>cost</w:t>
            </w:r>
          </w:p>
        </w:tc>
      </w:tr>
      <w:tr w:rsidR="00087B91" w:rsidRPr="002029AF" w14:paraId="0DC33006" w14:textId="77777777" w:rsidTr="00860E95">
        <w:tc>
          <w:tcPr>
            <w:tcW w:w="5952" w:type="dxa"/>
            <w:tcBorders>
              <w:top w:val="single" w:sz="4" w:space="0" w:color="A6A6A6"/>
              <w:bottom w:val="single" w:sz="4" w:space="0" w:color="A6A6A6"/>
            </w:tcBorders>
            <w:hideMark/>
          </w:tcPr>
          <w:p w14:paraId="6B0FE9C9" w14:textId="3670C447" w:rsidR="00087B91" w:rsidRPr="002029AF" w:rsidRDefault="00087B91" w:rsidP="00860E95">
            <w:pPr>
              <w:pStyle w:val="ARfintablebody"/>
              <w:keepNext/>
              <w:spacing w:before="10" w:after="0"/>
            </w:pPr>
            <w:r w:rsidRPr="002029AF">
              <w:t>Rental</w:t>
            </w:r>
            <w:r w:rsidR="000A5329" w:rsidRPr="002029AF">
              <w:t xml:space="preserve"> </w:t>
            </w:r>
            <w:r w:rsidRPr="002029AF">
              <w:t>property</w:t>
            </w:r>
          </w:p>
        </w:tc>
        <w:tc>
          <w:tcPr>
            <w:tcW w:w="1417" w:type="dxa"/>
            <w:tcBorders>
              <w:top w:val="single" w:sz="4" w:space="0" w:color="A6A6A6"/>
              <w:bottom w:val="single" w:sz="4" w:space="0" w:color="A6A6A6"/>
            </w:tcBorders>
            <w:shd w:val="clear" w:color="auto" w:fill="E7E6E6"/>
            <w:noWrap/>
            <w:hideMark/>
          </w:tcPr>
          <w:p w14:paraId="5C88BA2E" w14:textId="77777777" w:rsidR="00087B91" w:rsidRPr="002029AF" w:rsidRDefault="00087B91" w:rsidP="00860E95">
            <w:pPr>
              <w:pStyle w:val="ARfintablebodyright"/>
              <w:spacing w:before="10" w:after="0"/>
            </w:pPr>
            <w:r w:rsidRPr="002029AF">
              <w:t>–</w:t>
            </w:r>
          </w:p>
        </w:tc>
        <w:tc>
          <w:tcPr>
            <w:tcW w:w="1418" w:type="dxa"/>
            <w:tcBorders>
              <w:top w:val="single" w:sz="4" w:space="0" w:color="A6A6A6"/>
              <w:bottom w:val="single" w:sz="4" w:space="0" w:color="A6A6A6"/>
            </w:tcBorders>
            <w:noWrap/>
            <w:hideMark/>
          </w:tcPr>
          <w:p w14:paraId="045B61CA" w14:textId="77777777" w:rsidR="00087B91" w:rsidRPr="002029AF" w:rsidRDefault="00087B91" w:rsidP="00860E95">
            <w:pPr>
              <w:pStyle w:val="ARfintablebodyright"/>
              <w:spacing w:before="10" w:after="0"/>
            </w:pPr>
            <w:r w:rsidRPr="002029AF">
              <w:t>–</w:t>
            </w:r>
          </w:p>
        </w:tc>
        <w:tc>
          <w:tcPr>
            <w:tcW w:w="1418" w:type="dxa"/>
            <w:tcBorders>
              <w:top w:val="single" w:sz="4" w:space="0" w:color="A6A6A6"/>
              <w:bottom w:val="single" w:sz="4" w:space="0" w:color="A6A6A6"/>
            </w:tcBorders>
            <w:shd w:val="clear" w:color="auto" w:fill="E7E6E6"/>
            <w:noWrap/>
            <w:hideMark/>
          </w:tcPr>
          <w:p w14:paraId="40C32526" w14:textId="77777777" w:rsidR="00087B91" w:rsidRPr="002029AF" w:rsidRDefault="00087B91" w:rsidP="00860E95">
            <w:pPr>
              <w:pStyle w:val="ARfintablebodyright"/>
              <w:spacing w:before="10" w:after="0"/>
            </w:pPr>
            <w:r w:rsidRPr="002029AF">
              <w:t>451.1</w:t>
            </w:r>
          </w:p>
        </w:tc>
        <w:tc>
          <w:tcPr>
            <w:tcW w:w="1418" w:type="dxa"/>
            <w:tcBorders>
              <w:top w:val="single" w:sz="4" w:space="0" w:color="A6A6A6"/>
              <w:bottom w:val="single" w:sz="4" w:space="0" w:color="A6A6A6"/>
            </w:tcBorders>
            <w:noWrap/>
            <w:hideMark/>
          </w:tcPr>
          <w:p w14:paraId="19750770" w14:textId="77777777" w:rsidR="00087B91" w:rsidRPr="002029AF" w:rsidRDefault="00087B91" w:rsidP="00860E95">
            <w:pPr>
              <w:pStyle w:val="ARfintablebodyright"/>
              <w:spacing w:before="10" w:after="0"/>
            </w:pPr>
            <w:r w:rsidRPr="002029AF">
              <w:t>376.1</w:t>
            </w:r>
          </w:p>
        </w:tc>
        <w:tc>
          <w:tcPr>
            <w:tcW w:w="1418" w:type="dxa"/>
            <w:tcBorders>
              <w:top w:val="single" w:sz="4" w:space="0" w:color="A6A6A6"/>
              <w:bottom w:val="single" w:sz="4" w:space="0" w:color="A6A6A6"/>
            </w:tcBorders>
            <w:shd w:val="clear" w:color="auto" w:fill="E7E6E6"/>
            <w:noWrap/>
            <w:hideMark/>
          </w:tcPr>
          <w:p w14:paraId="39AB04FE" w14:textId="77777777" w:rsidR="00087B91" w:rsidRPr="002029AF" w:rsidRDefault="00087B91" w:rsidP="00860E95">
            <w:pPr>
              <w:pStyle w:val="ARfintablebodyright"/>
              <w:spacing w:before="10" w:after="0"/>
            </w:pPr>
            <w:r w:rsidRPr="002029AF">
              <w:t>451.1</w:t>
            </w:r>
          </w:p>
        </w:tc>
        <w:tc>
          <w:tcPr>
            <w:tcW w:w="1418" w:type="dxa"/>
            <w:tcBorders>
              <w:top w:val="single" w:sz="4" w:space="0" w:color="A6A6A6"/>
              <w:bottom w:val="single" w:sz="4" w:space="0" w:color="A6A6A6"/>
            </w:tcBorders>
            <w:noWrap/>
            <w:hideMark/>
          </w:tcPr>
          <w:p w14:paraId="70EB4BAD" w14:textId="77777777" w:rsidR="00087B91" w:rsidRPr="002029AF" w:rsidRDefault="00087B91" w:rsidP="00860E95">
            <w:pPr>
              <w:pStyle w:val="ARfintablebodyright"/>
              <w:spacing w:before="10" w:after="0"/>
            </w:pPr>
            <w:r w:rsidRPr="002029AF">
              <w:t>376.1</w:t>
            </w:r>
          </w:p>
        </w:tc>
      </w:tr>
      <w:tr w:rsidR="00087B91" w:rsidRPr="002029AF" w14:paraId="35277C2F" w14:textId="77777777" w:rsidTr="00860E95">
        <w:tc>
          <w:tcPr>
            <w:tcW w:w="5952" w:type="dxa"/>
            <w:tcBorders>
              <w:top w:val="single" w:sz="4" w:space="0" w:color="A6A6A6"/>
              <w:bottom w:val="single" w:sz="4" w:space="0" w:color="A6A6A6"/>
            </w:tcBorders>
            <w:hideMark/>
          </w:tcPr>
          <w:p w14:paraId="1416198B" w14:textId="2931B445" w:rsidR="00087B91" w:rsidRPr="002029AF" w:rsidRDefault="00087B91" w:rsidP="00860E95">
            <w:pPr>
              <w:pStyle w:val="ARfintablebody"/>
              <w:spacing w:before="10" w:after="0"/>
            </w:pPr>
            <w:r w:rsidRPr="002029AF">
              <w:t>Other</w:t>
            </w:r>
            <w:r w:rsidR="000A5329" w:rsidRPr="002029AF">
              <w:t xml:space="preserve"> </w:t>
            </w:r>
            <w:r w:rsidRPr="002029AF">
              <w:t>property</w:t>
            </w:r>
          </w:p>
        </w:tc>
        <w:tc>
          <w:tcPr>
            <w:tcW w:w="1417" w:type="dxa"/>
            <w:tcBorders>
              <w:top w:val="single" w:sz="4" w:space="0" w:color="A6A6A6"/>
              <w:bottom w:val="single" w:sz="4" w:space="0" w:color="A6A6A6"/>
            </w:tcBorders>
            <w:shd w:val="clear" w:color="auto" w:fill="E7E6E6"/>
            <w:noWrap/>
            <w:hideMark/>
          </w:tcPr>
          <w:p w14:paraId="2EDEA84A" w14:textId="77777777" w:rsidR="00087B91" w:rsidRPr="002029AF" w:rsidRDefault="00087B91" w:rsidP="00860E95">
            <w:pPr>
              <w:pStyle w:val="ARfintablebodyright"/>
              <w:spacing w:before="10" w:after="0"/>
            </w:pPr>
            <w:r w:rsidRPr="002029AF">
              <w:t>67.8</w:t>
            </w:r>
          </w:p>
        </w:tc>
        <w:tc>
          <w:tcPr>
            <w:tcW w:w="1418" w:type="dxa"/>
            <w:tcBorders>
              <w:top w:val="single" w:sz="4" w:space="0" w:color="A6A6A6"/>
              <w:bottom w:val="single" w:sz="4" w:space="0" w:color="A6A6A6"/>
            </w:tcBorders>
            <w:noWrap/>
            <w:hideMark/>
          </w:tcPr>
          <w:p w14:paraId="2EEADA9A" w14:textId="77777777" w:rsidR="00087B91" w:rsidRPr="002029AF" w:rsidRDefault="00087B91" w:rsidP="00860E95">
            <w:pPr>
              <w:pStyle w:val="ARfintablebodyright"/>
              <w:spacing w:before="10" w:after="0"/>
            </w:pPr>
            <w:r w:rsidRPr="002029AF">
              <w:t>51.0</w:t>
            </w:r>
          </w:p>
        </w:tc>
        <w:tc>
          <w:tcPr>
            <w:tcW w:w="1418" w:type="dxa"/>
            <w:tcBorders>
              <w:top w:val="single" w:sz="4" w:space="0" w:color="A6A6A6"/>
              <w:bottom w:val="single" w:sz="4" w:space="0" w:color="A6A6A6"/>
            </w:tcBorders>
            <w:shd w:val="clear" w:color="auto" w:fill="E7E6E6"/>
            <w:noWrap/>
            <w:hideMark/>
          </w:tcPr>
          <w:p w14:paraId="02D116DF" w14:textId="77777777" w:rsidR="00087B91" w:rsidRPr="002029AF" w:rsidRDefault="00087B91" w:rsidP="00860E95">
            <w:pPr>
              <w:pStyle w:val="ARfintablebodyright"/>
              <w:spacing w:before="10" w:after="0"/>
            </w:pPr>
            <w:r w:rsidRPr="002029AF">
              <w:t>0.6</w:t>
            </w:r>
          </w:p>
        </w:tc>
        <w:tc>
          <w:tcPr>
            <w:tcW w:w="1418" w:type="dxa"/>
            <w:tcBorders>
              <w:top w:val="single" w:sz="4" w:space="0" w:color="A6A6A6"/>
              <w:bottom w:val="single" w:sz="4" w:space="0" w:color="A6A6A6"/>
            </w:tcBorders>
            <w:noWrap/>
            <w:hideMark/>
          </w:tcPr>
          <w:p w14:paraId="2A672315" w14:textId="77777777" w:rsidR="00087B91" w:rsidRPr="002029AF" w:rsidRDefault="00087B91" w:rsidP="00860E95">
            <w:pPr>
              <w:pStyle w:val="ARfintablebodyright"/>
              <w:spacing w:before="10" w:after="0"/>
            </w:pPr>
            <w:r w:rsidRPr="002029AF">
              <w:t>0.7</w:t>
            </w:r>
          </w:p>
        </w:tc>
        <w:tc>
          <w:tcPr>
            <w:tcW w:w="1418" w:type="dxa"/>
            <w:tcBorders>
              <w:top w:val="single" w:sz="4" w:space="0" w:color="A6A6A6"/>
              <w:bottom w:val="single" w:sz="4" w:space="0" w:color="A6A6A6"/>
            </w:tcBorders>
            <w:shd w:val="clear" w:color="auto" w:fill="E7E6E6"/>
            <w:noWrap/>
            <w:hideMark/>
          </w:tcPr>
          <w:p w14:paraId="51B9ADB4" w14:textId="77777777" w:rsidR="00087B91" w:rsidRPr="002029AF" w:rsidRDefault="00087B91" w:rsidP="00860E95">
            <w:pPr>
              <w:pStyle w:val="ARfintablebodyright"/>
              <w:spacing w:before="10" w:after="0"/>
            </w:pPr>
            <w:r w:rsidRPr="002029AF">
              <w:t>68.4</w:t>
            </w:r>
          </w:p>
        </w:tc>
        <w:tc>
          <w:tcPr>
            <w:tcW w:w="1418" w:type="dxa"/>
            <w:tcBorders>
              <w:top w:val="single" w:sz="4" w:space="0" w:color="A6A6A6"/>
              <w:bottom w:val="single" w:sz="4" w:space="0" w:color="A6A6A6"/>
            </w:tcBorders>
            <w:noWrap/>
            <w:hideMark/>
          </w:tcPr>
          <w:p w14:paraId="5B49B166" w14:textId="77777777" w:rsidR="00087B91" w:rsidRPr="002029AF" w:rsidRDefault="00087B91" w:rsidP="00860E95">
            <w:pPr>
              <w:pStyle w:val="ARfintablebodyright"/>
              <w:spacing w:before="10" w:after="0"/>
            </w:pPr>
            <w:r w:rsidRPr="002029AF">
              <w:t>51.7</w:t>
            </w:r>
          </w:p>
        </w:tc>
      </w:tr>
      <w:tr w:rsidR="00087B91" w:rsidRPr="002029AF" w14:paraId="5F619249" w14:textId="77777777" w:rsidTr="00860E95">
        <w:tc>
          <w:tcPr>
            <w:tcW w:w="5952" w:type="dxa"/>
            <w:tcBorders>
              <w:top w:val="single" w:sz="4" w:space="0" w:color="A6A6A6"/>
            </w:tcBorders>
            <w:hideMark/>
          </w:tcPr>
          <w:p w14:paraId="46D3E0A7" w14:textId="63DCB864" w:rsidR="00087B91" w:rsidRPr="002029AF" w:rsidRDefault="00087B91" w:rsidP="00860E95">
            <w:pPr>
              <w:pStyle w:val="ARfintablebody"/>
              <w:spacing w:before="10" w:after="0"/>
            </w:pPr>
            <w:r w:rsidRPr="002029AF">
              <w:t>Service</w:t>
            </w:r>
            <w:r w:rsidR="000A5329" w:rsidRPr="002029AF">
              <w:t xml:space="preserve"> </w:t>
            </w:r>
            <w:r w:rsidRPr="002029AF">
              <w:t>concession</w:t>
            </w:r>
            <w:r w:rsidR="000A5329" w:rsidRPr="002029AF">
              <w:t xml:space="preserve"> </w:t>
            </w:r>
            <w:r w:rsidRPr="002029AF">
              <w:t>assets</w:t>
            </w:r>
            <w:r w:rsidR="000A5329" w:rsidRPr="002029AF">
              <w:t xml:space="preserve"> </w:t>
            </w:r>
            <w:r w:rsidRPr="002029AF">
              <w:t>under</w:t>
            </w:r>
            <w:r w:rsidR="000A5329" w:rsidRPr="002029AF">
              <w:t xml:space="preserve"> </w:t>
            </w:r>
            <w:r w:rsidRPr="002029AF">
              <w:t>construction</w:t>
            </w:r>
          </w:p>
        </w:tc>
        <w:tc>
          <w:tcPr>
            <w:tcW w:w="1417" w:type="dxa"/>
            <w:tcBorders>
              <w:top w:val="single" w:sz="4" w:space="0" w:color="A6A6A6"/>
            </w:tcBorders>
            <w:shd w:val="clear" w:color="auto" w:fill="E7E6E6"/>
            <w:noWrap/>
            <w:hideMark/>
          </w:tcPr>
          <w:p w14:paraId="495E4EBE" w14:textId="77777777" w:rsidR="00087B91" w:rsidRPr="002029AF" w:rsidRDefault="00087B91" w:rsidP="00860E95">
            <w:pPr>
              <w:pStyle w:val="ARfintablebodyright"/>
              <w:spacing w:before="10" w:after="0"/>
            </w:pPr>
            <w:r w:rsidRPr="002029AF">
              <w:t>56.7</w:t>
            </w:r>
          </w:p>
        </w:tc>
        <w:tc>
          <w:tcPr>
            <w:tcW w:w="1418" w:type="dxa"/>
            <w:tcBorders>
              <w:top w:val="single" w:sz="4" w:space="0" w:color="A6A6A6"/>
            </w:tcBorders>
            <w:noWrap/>
            <w:hideMark/>
          </w:tcPr>
          <w:p w14:paraId="41FFB454" w14:textId="77777777" w:rsidR="00087B91" w:rsidRPr="002029AF" w:rsidRDefault="00087B91" w:rsidP="00860E95">
            <w:pPr>
              <w:pStyle w:val="ARfintablebodyright"/>
              <w:spacing w:before="10" w:after="0"/>
            </w:pPr>
            <w:r w:rsidRPr="002029AF">
              <w:t>30.2</w:t>
            </w:r>
          </w:p>
        </w:tc>
        <w:tc>
          <w:tcPr>
            <w:tcW w:w="1418" w:type="dxa"/>
            <w:tcBorders>
              <w:top w:val="single" w:sz="4" w:space="0" w:color="A6A6A6"/>
            </w:tcBorders>
            <w:shd w:val="clear" w:color="auto" w:fill="E7E6E6"/>
            <w:noWrap/>
            <w:hideMark/>
          </w:tcPr>
          <w:p w14:paraId="09B5C42C" w14:textId="77777777" w:rsidR="00087B91" w:rsidRPr="002029AF" w:rsidRDefault="00087B91" w:rsidP="00860E95">
            <w:pPr>
              <w:pStyle w:val="ARfintablebodyright"/>
              <w:spacing w:before="10" w:after="0"/>
            </w:pPr>
            <w:r w:rsidRPr="002029AF">
              <w:t>–</w:t>
            </w:r>
          </w:p>
        </w:tc>
        <w:tc>
          <w:tcPr>
            <w:tcW w:w="1418" w:type="dxa"/>
            <w:tcBorders>
              <w:top w:val="single" w:sz="4" w:space="0" w:color="A6A6A6"/>
            </w:tcBorders>
            <w:noWrap/>
            <w:hideMark/>
          </w:tcPr>
          <w:p w14:paraId="1D3394AB" w14:textId="77777777" w:rsidR="00087B91" w:rsidRPr="002029AF" w:rsidRDefault="00087B91" w:rsidP="00860E95">
            <w:pPr>
              <w:pStyle w:val="ARfintablebodyright"/>
              <w:spacing w:before="10" w:after="0"/>
            </w:pPr>
            <w:r w:rsidRPr="002029AF">
              <w:t>–</w:t>
            </w:r>
          </w:p>
        </w:tc>
        <w:tc>
          <w:tcPr>
            <w:tcW w:w="1418" w:type="dxa"/>
            <w:tcBorders>
              <w:top w:val="single" w:sz="4" w:space="0" w:color="A6A6A6"/>
            </w:tcBorders>
            <w:shd w:val="clear" w:color="auto" w:fill="E7E6E6"/>
            <w:noWrap/>
            <w:hideMark/>
          </w:tcPr>
          <w:p w14:paraId="5EDB1EF0" w14:textId="77777777" w:rsidR="00087B91" w:rsidRPr="002029AF" w:rsidRDefault="00087B91" w:rsidP="00860E95">
            <w:pPr>
              <w:pStyle w:val="ARfintablebodyright"/>
              <w:spacing w:before="10" w:after="0"/>
            </w:pPr>
            <w:r w:rsidRPr="002029AF">
              <w:t>56.7</w:t>
            </w:r>
          </w:p>
        </w:tc>
        <w:tc>
          <w:tcPr>
            <w:tcW w:w="1418" w:type="dxa"/>
            <w:tcBorders>
              <w:top w:val="single" w:sz="4" w:space="0" w:color="A6A6A6"/>
            </w:tcBorders>
            <w:noWrap/>
            <w:hideMark/>
          </w:tcPr>
          <w:p w14:paraId="173ECD95" w14:textId="77777777" w:rsidR="00087B91" w:rsidRPr="002029AF" w:rsidRDefault="00087B91" w:rsidP="00860E95">
            <w:pPr>
              <w:pStyle w:val="ARfintablebodyright"/>
              <w:spacing w:before="10" w:after="0"/>
            </w:pPr>
            <w:r w:rsidRPr="002029AF">
              <w:t>30.2</w:t>
            </w:r>
          </w:p>
        </w:tc>
      </w:tr>
      <w:tr w:rsidR="00087B91" w:rsidRPr="002029AF" w14:paraId="1F664632" w14:textId="77777777" w:rsidTr="00860E95">
        <w:tc>
          <w:tcPr>
            <w:tcW w:w="5952" w:type="dxa"/>
            <w:hideMark/>
          </w:tcPr>
          <w:p w14:paraId="3D35ED76" w14:textId="64D56F92" w:rsidR="00087B91" w:rsidRPr="002029AF" w:rsidRDefault="00087B91" w:rsidP="00860E95">
            <w:pPr>
              <w:pStyle w:val="ARfintablebodybold"/>
              <w:spacing w:before="10" w:after="0"/>
            </w:pPr>
            <w:r w:rsidRPr="002029AF">
              <w:t>Total</w:t>
            </w:r>
            <w:r w:rsidR="000A5329" w:rsidRPr="002029AF">
              <w:t xml:space="preserve"> </w:t>
            </w:r>
            <w:r w:rsidRPr="002029AF">
              <w:t>assets</w:t>
            </w:r>
            <w:r w:rsidR="000A5329" w:rsidRPr="002029AF">
              <w:t xml:space="preserve"> </w:t>
            </w:r>
            <w:r w:rsidRPr="002029AF">
              <w:t>under</w:t>
            </w:r>
            <w:r w:rsidR="000A5329" w:rsidRPr="002029AF">
              <w:t xml:space="preserve"> </w:t>
            </w:r>
            <w:r w:rsidRPr="002029AF">
              <w:t>construction</w:t>
            </w:r>
            <w:r w:rsidR="000A5329" w:rsidRPr="002029AF">
              <w:t xml:space="preserve"> </w:t>
            </w:r>
            <w:r w:rsidRPr="002029AF">
              <w:t>at</w:t>
            </w:r>
            <w:r w:rsidR="000A5329" w:rsidRPr="002029AF">
              <w:t xml:space="preserve"> </w:t>
            </w:r>
            <w:r w:rsidRPr="002029AF">
              <w:t>cost</w:t>
            </w:r>
          </w:p>
        </w:tc>
        <w:tc>
          <w:tcPr>
            <w:tcW w:w="1417" w:type="dxa"/>
            <w:shd w:val="clear" w:color="auto" w:fill="E7E6E6"/>
            <w:noWrap/>
            <w:hideMark/>
          </w:tcPr>
          <w:p w14:paraId="58E393C5" w14:textId="77777777" w:rsidR="00087B91" w:rsidRPr="002029AF" w:rsidRDefault="00087B91" w:rsidP="00860E95">
            <w:pPr>
              <w:pStyle w:val="ARfintablebodyrightbold"/>
              <w:spacing w:before="10" w:after="0"/>
            </w:pPr>
            <w:r w:rsidRPr="002029AF">
              <w:t>124.5</w:t>
            </w:r>
          </w:p>
        </w:tc>
        <w:tc>
          <w:tcPr>
            <w:tcW w:w="1418" w:type="dxa"/>
            <w:noWrap/>
            <w:hideMark/>
          </w:tcPr>
          <w:p w14:paraId="2DA8C67B" w14:textId="77777777" w:rsidR="00087B91" w:rsidRPr="002029AF" w:rsidRDefault="00087B91" w:rsidP="00860E95">
            <w:pPr>
              <w:pStyle w:val="ARfintablebodyrightbold"/>
              <w:spacing w:before="10" w:after="0"/>
            </w:pPr>
            <w:r w:rsidRPr="002029AF">
              <w:t>81.2</w:t>
            </w:r>
          </w:p>
        </w:tc>
        <w:tc>
          <w:tcPr>
            <w:tcW w:w="1418" w:type="dxa"/>
            <w:shd w:val="clear" w:color="auto" w:fill="E7E6E6"/>
            <w:noWrap/>
            <w:hideMark/>
          </w:tcPr>
          <w:p w14:paraId="3ED33553" w14:textId="77777777" w:rsidR="00087B91" w:rsidRPr="002029AF" w:rsidRDefault="00087B91" w:rsidP="00860E95">
            <w:pPr>
              <w:pStyle w:val="ARfintablebodyrightbold"/>
              <w:spacing w:before="10" w:after="0"/>
            </w:pPr>
            <w:r w:rsidRPr="002029AF">
              <w:t>451.7</w:t>
            </w:r>
          </w:p>
        </w:tc>
        <w:tc>
          <w:tcPr>
            <w:tcW w:w="1418" w:type="dxa"/>
            <w:noWrap/>
            <w:hideMark/>
          </w:tcPr>
          <w:p w14:paraId="47B1866C" w14:textId="77777777" w:rsidR="00087B91" w:rsidRPr="002029AF" w:rsidRDefault="00087B91" w:rsidP="00860E95">
            <w:pPr>
              <w:pStyle w:val="ARfintablebodyrightbold"/>
              <w:spacing w:before="10" w:after="0"/>
            </w:pPr>
            <w:r w:rsidRPr="002029AF">
              <w:t>376.8</w:t>
            </w:r>
          </w:p>
        </w:tc>
        <w:tc>
          <w:tcPr>
            <w:tcW w:w="1418" w:type="dxa"/>
            <w:shd w:val="clear" w:color="auto" w:fill="E7E6E6"/>
            <w:noWrap/>
            <w:hideMark/>
          </w:tcPr>
          <w:p w14:paraId="007EABD7" w14:textId="77777777" w:rsidR="00087B91" w:rsidRPr="002029AF" w:rsidRDefault="00087B91" w:rsidP="00860E95">
            <w:pPr>
              <w:pStyle w:val="ARfintablebodyrightbold"/>
              <w:spacing w:before="10" w:after="0"/>
            </w:pPr>
            <w:r w:rsidRPr="002029AF">
              <w:t>576.2</w:t>
            </w:r>
          </w:p>
        </w:tc>
        <w:tc>
          <w:tcPr>
            <w:tcW w:w="1418" w:type="dxa"/>
            <w:noWrap/>
            <w:hideMark/>
          </w:tcPr>
          <w:p w14:paraId="1692F8FA" w14:textId="77777777" w:rsidR="00087B91" w:rsidRPr="002029AF" w:rsidRDefault="00087B91" w:rsidP="00860E95">
            <w:pPr>
              <w:pStyle w:val="ARfintablebodyrightbold"/>
              <w:spacing w:before="10" w:after="0"/>
            </w:pPr>
            <w:r w:rsidRPr="002029AF">
              <w:t>458.0</w:t>
            </w:r>
          </w:p>
        </w:tc>
      </w:tr>
      <w:tr w:rsidR="00087B91" w:rsidRPr="002029AF" w14:paraId="672B07B8" w14:textId="77777777" w:rsidTr="00860E95">
        <w:tc>
          <w:tcPr>
            <w:tcW w:w="5952" w:type="dxa"/>
            <w:hideMark/>
          </w:tcPr>
          <w:p w14:paraId="319FB40F" w14:textId="575F5DC0" w:rsidR="00087B91" w:rsidRPr="002029AF" w:rsidRDefault="00087B91" w:rsidP="00860E95">
            <w:pPr>
              <w:pStyle w:val="ARfintablebodybold"/>
              <w:spacing w:before="10" w:after="0"/>
            </w:pPr>
            <w:r w:rsidRPr="002029AF">
              <w:t>Net</w:t>
            </w:r>
            <w:r w:rsidR="000A5329" w:rsidRPr="002029AF">
              <w:t xml:space="preserve"> </w:t>
            </w:r>
            <w:r w:rsidRPr="002029AF">
              <w:t>carrying</w:t>
            </w:r>
            <w:r w:rsidR="000A5329" w:rsidRPr="002029AF">
              <w:t xml:space="preserve"> </w:t>
            </w:r>
            <w:r w:rsidRPr="002029AF">
              <w:t>amount</w:t>
            </w:r>
            <w:r w:rsidR="000A5329" w:rsidRPr="002029AF">
              <w:t xml:space="preserve"> </w:t>
            </w:r>
            <w:r w:rsidRPr="002029AF">
              <w:t>of</w:t>
            </w:r>
            <w:r w:rsidR="000A5329" w:rsidRPr="002029AF">
              <w:t xml:space="preserve"> </w:t>
            </w:r>
            <w:r w:rsidRPr="002029AF">
              <w:t>property,</w:t>
            </w:r>
            <w:r w:rsidR="000A5329" w:rsidRPr="002029AF">
              <w:t xml:space="preserve"> </w:t>
            </w:r>
            <w:r w:rsidRPr="002029AF">
              <w:t>plant</w:t>
            </w:r>
            <w:r w:rsidR="000A5329" w:rsidRPr="002029AF">
              <w:t xml:space="preserve"> </w:t>
            </w:r>
            <w:r w:rsidRPr="002029AF">
              <w:t>and</w:t>
            </w:r>
            <w:r w:rsidR="000A5329" w:rsidRPr="002029AF">
              <w:t xml:space="preserve"> </w:t>
            </w:r>
            <w:r w:rsidRPr="002029AF">
              <w:t>equipment</w:t>
            </w:r>
          </w:p>
        </w:tc>
        <w:tc>
          <w:tcPr>
            <w:tcW w:w="1417" w:type="dxa"/>
            <w:shd w:val="clear" w:color="auto" w:fill="E7E6E6"/>
            <w:noWrap/>
            <w:hideMark/>
          </w:tcPr>
          <w:p w14:paraId="56CB7502" w14:textId="77777777" w:rsidR="00087B91" w:rsidRPr="002029AF" w:rsidRDefault="00087B91" w:rsidP="00860E95">
            <w:pPr>
              <w:pStyle w:val="ARfintablebodyrightbold"/>
              <w:spacing w:before="10" w:after="0"/>
            </w:pPr>
            <w:r w:rsidRPr="002029AF">
              <w:t>2,364.6</w:t>
            </w:r>
          </w:p>
        </w:tc>
        <w:tc>
          <w:tcPr>
            <w:tcW w:w="1418" w:type="dxa"/>
            <w:noWrap/>
            <w:hideMark/>
          </w:tcPr>
          <w:p w14:paraId="5654AFD8" w14:textId="77777777" w:rsidR="00087B91" w:rsidRPr="002029AF" w:rsidRDefault="00087B91" w:rsidP="00860E95">
            <w:pPr>
              <w:pStyle w:val="ARfintablebodyrightbold"/>
              <w:spacing w:before="10" w:after="0"/>
            </w:pPr>
            <w:r w:rsidRPr="002029AF">
              <w:t>2,329.3</w:t>
            </w:r>
          </w:p>
        </w:tc>
        <w:tc>
          <w:tcPr>
            <w:tcW w:w="1418" w:type="dxa"/>
            <w:shd w:val="clear" w:color="auto" w:fill="E7E6E6"/>
            <w:noWrap/>
            <w:hideMark/>
          </w:tcPr>
          <w:p w14:paraId="09EAD906" w14:textId="77777777" w:rsidR="00087B91" w:rsidRPr="002029AF" w:rsidRDefault="00087B91" w:rsidP="00860E95">
            <w:pPr>
              <w:pStyle w:val="ARfintablebodyrightbold"/>
              <w:spacing w:before="10" w:after="0"/>
            </w:pPr>
            <w:r w:rsidRPr="002029AF">
              <w:t>26,428.0</w:t>
            </w:r>
          </w:p>
        </w:tc>
        <w:tc>
          <w:tcPr>
            <w:tcW w:w="1418" w:type="dxa"/>
            <w:noWrap/>
            <w:hideMark/>
          </w:tcPr>
          <w:p w14:paraId="11946FB5" w14:textId="77777777" w:rsidR="00087B91" w:rsidRPr="002029AF" w:rsidRDefault="00087B91" w:rsidP="00860E95">
            <w:pPr>
              <w:pStyle w:val="ARfintablebodyrightbold"/>
              <w:spacing w:before="10" w:after="0"/>
            </w:pPr>
            <w:r w:rsidRPr="002029AF">
              <w:t>26,488.8</w:t>
            </w:r>
          </w:p>
        </w:tc>
        <w:tc>
          <w:tcPr>
            <w:tcW w:w="1418" w:type="dxa"/>
            <w:shd w:val="clear" w:color="auto" w:fill="E7E6E6"/>
            <w:noWrap/>
            <w:hideMark/>
          </w:tcPr>
          <w:p w14:paraId="068E32E5" w14:textId="77777777" w:rsidR="00087B91" w:rsidRPr="002029AF" w:rsidRDefault="00087B91" w:rsidP="00860E95">
            <w:pPr>
              <w:pStyle w:val="ARfintablebodyrightbold"/>
              <w:spacing w:before="10" w:after="0"/>
            </w:pPr>
            <w:r w:rsidRPr="002029AF">
              <w:t>28,792.6</w:t>
            </w:r>
          </w:p>
        </w:tc>
        <w:tc>
          <w:tcPr>
            <w:tcW w:w="1418" w:type="dxa"/>
            <w:noWrap/>
            <w:hideMark/>
          </w:tcPr>
          <w:p w14:paraId="18434141" w14:textId="77777777" w:rsidR="00087B91" w:rsidRPr="002029AF" w:rsidRDefault="00087B91" w:rsidP="00860E95">
            <w:pPr>
              <w:pStyle w:val="ARfintablebodyrightbold"/>
              <w:spacing w:before="10" w:after="0"/>
            </w:pPr>
            <w:r w:rsidRPr="002029AF">
              <w:t>28,818.2</w:t>
            </w:r>
          </w:p>
        </w:tc>
      </w:tr>
    </w:tbl>
    <w:p w14:paraId="78D40504" w14:textId="77777777" w:rsidR="00087B91" w:rsidRPr="002029AF" w:rsidRDefault="00087B91" w:rsidP="00087B91">
      <w:pPr>
        <w:pStyle w:val="ARfintablefootnote"/>
        <w:spacing w:line="240" w:lineRule="auto"/>
        <w:rPr>
          <w:lang w:eastAsia="en-AU"/>
        </w:rPr>
      </w:pPr>
      <w:bookmarkStart w:id="348" w:name="_Hlk47009975"/>
      <w:r w:rsidRPr="002029AF">
        <w:rPr>
          <w:lang w:eastAsia="en-AU"/>
        </w:rPr>
        <w:t>Note:</w:t>
      </w:r>
    </w:p>
    <w:p w14:paraId="78D16F39" w14:textId="2A455082" w:rsidR="00087B91" w:rsidRPr="002029AF" w:rsidRDefault="00087B91" w:rsidP="002A5CF0">
      <w:pPr>
        <w:pStyle w:val="ARfintablefootnoteindent"/>
        <w:sectPr w:rsidR="00087B91" w:rsidRPr="002029AF" w:rsidSect="00860E95">
          <w:footerReference w:type="even" r:id="rId209"/>
          <w:pgSz w:w="16838" w:h="11906" w:orient="landscape" w:code="9"/>
          <w:pgMar w:top="1418" w:right="1531" w:bottom="1418" w:left="851" w:header="851" w:footer="851" w:gutter="0"/>
          <w:cols w:space="708"/>
          <w:docGrid w:linePitch="360"/>
          <w15:footnoteColumns w:val="1"/>
        </w:sectPr>
      </w:pPr>
      <w:r w:rsidRPr="002029AF">
        <w:t>(i)</w:t>
      </w:r>
      <w:r w:rsidRPr="002029AF">
        <w:tab/>
        <w:t>Property,</w:t>
      </w:r>
      <w:r w:rsidR="000A5329" w:rsidRPr="002029AF">
        <w:t xml:space="preserve"> </w:t>
      </w:r>
      <w:r w:rsidRPr="002029AF">
        <w:t>plant</w:t>
      </w:r>
      <w:r w:rsidR="000A5329" w:rsidRPr="002029AF">
        <w:t xml:space="preserve"> </w:t>
      </w:r>
      <w:r w:rsidRPr="002029AF">
        <w:t>and</w:t>
      </w:r>
      <w:r w:rsidR="000A5329" w:rsidRPr="002029AF">
        <w:t xml:space="preserve"> </w:t>
      </w:r>
      <w:r w:rsidRPr="002029AF">
        <w:t>equipment</w:t>
      </w:r>
      <w:r w:rsidR="000A5329" w:rsidRPr="002029AF">
        <w:t xml:space="preserve"> </w:t>
      </w:r>
      <w:r w:rsidRPr="002029AF">
        <w:t>are</w:t>
      </w:r>
      <w:r w:rsidR="000A5329" w:rsidRPr="002029AF">
        <w:t xml:space="preserve"> </w:t>
      </w:r>
      <w:r w:rsidRPr="002029AF">
        <w:t>classified</w:t>
      </w:r>
      <w:r w:rsidR="000A5329" w:rsidRPr="002029AF">
        <w:t xml:space="preserve"> </w:t>
      </w:r>
      <w:r w:rsidRPr="002029AF">
        <w:t>primarily</w:t>
      </w:r>
      <w:r w:rsidR="000A5329" w:rsidRPr="002029AF">
        <w:t xml:space="preserve"> </w:t>
      </w:r>
      <w:r w:rsidRPr="002029AF">
        <w:t>by</w:t>
      </w:r>
      <w:r w:rsidR="000A5329" w:rsidRPr="002029AF">
        <w:t xml:space="preserve"> </w:t>
      </w:r>
      <w:r w:rsidRPr="002029AF">
        <w:t>the</w:t>
      </w:r>
      <w:r w:rsidR="000A5329" w:rsidRPr="002029AF">
        <w:t xml:space="preserve"> </w:t>
      </w:r>
      <w:r w:rsidRPr="002029AF">
        <w:t>purpose</w:t>
      </w:r>
      <w:r w:rsidR="000A5329" w:rsidRPr="002029AF">
        <w:t xml:space="preserve"> </w:t>
      </w:r>
      <w:r w:rsidRPr="002029AF">
        <w:t>for</w:t>
      </w:r>
      <w:r w:rsidR="000A5329" w:rsidRPr="002029AF">
        <w:t xml:space="preserve"> </w:t>
      </w:r>
      <w:r w:rsidRPr="002029AF">
        <w:t>which</w:t>
      </w:r>
      <w:r w:rsidR="000A5329" w:rsidRPr="002029AF">
        <w:t xml:space="preserve"> </w:t>
      </w:r>
      <w:r w:rsidRPr="002029AF">
        <w:t>the</w:t>
      </w:r>
      <w:r w:rsidR="000A5329" w:rsidRPr="002029AF">
        <w:t xml:space="preserve"> </w:t>
      </w:r>
      <w:r w:rsidRPr="002029AF">
        <w:t>assets</w:t>
      </w:r>
      <w:r w:rsidR="000A5329" w:rsidRPr="002029AF">
        <w:t xml:space="preserve"> </w:t>
      </w:r>
      <w:r w:rsidRPr="002029AF">
        <w:t>are</w:t>
      </w:r>
      <w:r w:rsidR="000A5329" w:rsidRPr="002029AF">
        <w:t xml:space="preserve"> </w:t>
      </w:r>
      <w:r w:rsidRPr="002029AF">
        <w:t>used,</w:t>
      </w:r>
      <w:r w:rsidR="000A5329" w:rsidRPr="002029AF">
        <w:t xml:space="preserve"> </w:t>
      </w:r>
      <w:r w:rsidRPr="002029AF">
        <w:t>according</w:t>
      </w:r>
      <w:r w:rsidR="000A5329" w:rsidRPr="002029AF">
        <w:t xml:space="preserve"> </w:t>
      </w:r>
      <w:r w:rsidRPr="002029AF">
        <w:t>to</w:t>
      </w:r>
      <w:r w:rsidR="000A5329" w:rsidRPr="002029AF">
        <w:t xml:space="preserve"> </w:t>
      </w:r>
      <w:r w:rsidRPr="002029AF">
        <w:t>one</w:t>
      </w:r>
      <w:r w:rsidR="000A5329" w:rsidRPr="002029AF">
        <w:t xml:space="preserve"> </w:t>
      </w:r>
      <w:r w:rsidRPr="002029AF">
        <w:t>of</w:t>
      </w:r>
      <w:r w:rsidR="000A5329" w:rsidRPr="002029AF">
        <w:t xml:space="preserve"> </w:t>
      </w:r>
      <w:r w:rsidRPr="002029AF">
        <w:t>six</w:t>
      </w:r>
      <w:r w:rsidR="000A5329" w:rsidRPr="002029AF">
        <w:t xml:space="preserve"> </w:t>
      </w:r>
      <w:r w:rsidRPr="002029AF">
        <w:t>purpose</w:t>
      </w:r>
      <w:r w:rsidR="000A5329" w:rsidRPr="002029AF">
        <w:t xml:space="preserve"> </w:t>
      </w:r>
      <w:r w:rsidRPr="002029AF">
        <w:t>groups</w:t>
      </w:r>
      <w:r w:rsidR="000A5329" w:rsidRPr="002029AF">
        <w:t xml:space="preserve"> </w:t>
      </w:r>
      <w:r w:rsidRPr="002029AF">
        <w:t>based</w:t>
      </w:r>
      <w:r w:rsidR="000A5329" w:rsidRPr="002029AF">
        <w:t xml:space="preserve"> </w:t>
      </w:r>
      <w:r w:rsidRPr="002029AF">
        <w:t>upon</w:t>
      </w:r>
      <w:r w:rsidR="000A5329" w:rsidRPr="002029AF">
        <w:t xml:space="preserve"> </w:t>
      </w:r>
      <w:r w:rsidRPr="002029AF">
        <w:t>government</w:t>
      </w:r>
      <w:r w:rsidR="000A5329" w:rsidRPr="002029AF">
        <w:t xml:space="preserve"> </w:t>
      </w:r>
      <w:r w:rsidRPr="002029AF">
        <w:t>purpose</w:t>
      </w:r>
      <w:r w:rsidR="000A5329" w:rsidRPr="002029AF">
        <w:t xml:space="preserve"> </w:t>
      </w:r>
      <w:r w:rsidRPr="002029AF">
        <w:t>classifications.</w:t>
      </w:r>
      <w:r w:rsidR="000A5329" w:rsidRPr="002029AF">
        <w:t xml:space="preserve"> </w:t>
      </w:r>
      <w:r w:rsidRPr="002029AF">
        <w:t>All</w:t>
      </w:r>
      <w:r w:rsidR="000A5329" w:rsidRPr="002029AF">
        <w:t xml:space="preserve"> </w:t>
      </w:r>
      <w:r w:rsidRPr="002029AF">
        <w:t>assets</w:t>
      </w:r>
      <w:r w:rsidR="000A5329" w:rsidRPr="002029AF">
        <w:t xml:space="preserve"> </w:t>
      </w:r>
      <w:r w:rsidRPr="002029AF">
        <w:t>within</w:t>
      </w:r>
      <w:r w:rsidR="000A5329" w:rsidRPr="002029AF">
        <w:t xml:space="preserve"> </w:t>
      </w:r>
      <w:r w:rsidRPr="002029AF">
        <w:t>a</w:t>
      </w:r>
      <w:r w:rsidR="000A5329" w:rsidRPr="002029AF">
        <w:t xml:space="preserve"> </w:t>
      </w:r>
      <w:r w:rsidRPr="002029AF">
        <w:t>purpose</w:t>
      </w:r>
      <w:r w:rsidR="000A5329" w:rsidRPr="002029AF">
        <w:t xml:space="preserve"> </w:t>
      </w:r>
      <w:r w:rsidRPr="002029AF">
        <w:t>group</w:t>
      </w:r>
      <w:r w:rsidR="000A5329" w:rsidRPr="002029AF">
        <w:t xml:space="preserve"> </w:t>
      </w:r>
      <w:r w:rsidRPr="002029AF">
        <w:t>are</w:t>
      </w:r>
      <w:r w:rsidR="000A5329" w:rsidRPr="002029AF">
        <w:t xml:space="preserve"> </w:t>
      </w:r>
      <w:r w:rsidRPr="002029AF">
        <w:t>further</w:t>
      </w:r>
      <w:r w:rsidR="000A5329" w:rsidRPr="002029AF">
        <w:t xml:space="preserve"> </w:t>
      </w:r>
      <w:r w:rsidRPr="002029AF">
        <w:t>subcategorised</w:t>
      </w:r>
      <w:r w:rsidR="000A5329" w:rsidRPr="002029AF">
        <w:t xml:space="preserve"> </w:t>
      </w:r>
      <w:bookmarkEnd w:id="348"/>
      <w:r w:rsidRPr="002029AF">
        <w:t>according</w:t>
      </w:r>
      <w:r w:rsidR="000A5329" w:rsidRPr="002029AF">
        <w:t xml:space="preserve"> </w:t>
      </w:r>
      <w:r w:rsidRPr="002029AF">
        <w:t>to</w:t>
      </w:r>
      <w:r w:rsidR="000A5329" w:rsidRPr="002029AF">
        <w:t xml:space="preserve"> </w:t>
      </w:r>
      <w:r w:rsidRPr="002029AF">
        <w:t>the</w:t>
      </w:r>
      <w:r w:rsidR="000A5329" w:rsidRPr="002029AF">
        <w:t xml:space="preserve"> </w:t>
      </w:r>
      <w:r w:rsidRPr="002029AF">
        <w:t>asset</w:t>
      </w:r>
      <w:r w:rsidR="000A5329" w:rsidRPr="002029AF">
        <w:t xml:space="preserve"> </w:t>
      </w:r>
      <w:r w:rsidRPr="002029AF">
        <w:t>nature</w:t>
      </w:r>
      <w:r w:rsidR="000A5329" w:rsidRPr="002029AF">
        <w:t xml:space="preserve"> </w:t>
      </w:r>
      <w:r w:rsidRPr="002029AF">
        <w:t>(for</w:t>
      </w:r>
      <w:r w:rsidR="000A5329" w:rsidRPr="002029AF">
        <w:t xml:space="preserve"> </w:t>
      </w:r>
      <w:r w:rsidRPr="002029AF">
        <w:t>example</w:t>
      </w:r>
      <w:r w:rsidR="000A5329" w:rsidRPr="002029AF">
        <w:t xml:space="preserve"> </w:t>
      </w:r>
      <w:r w:rsidRPr="002029AF">
        <w:t>buildings,</w:t>
      </w:r>
      <w:r w:rsidR="000A5329" w:rsidRPr="002029AF">
        <w:t xml:space="preserve"> </w:t>
      </w:r>
      <w:r w:rsidRPr="002029AF">
        <w:t>plant</w:t>
      </w:r>
      <w:r w:rsidR="000A5329" w:rsidRPr="002029AF">
        <w:t xml:space="preserve"> </w:t>
      </w:r>
      <w:r w:rsidRPr="002029AF">
        <w:t>and</w:t>
      </w:r>
      <w:r w:rsidR="000A5329" w:rsidRPr="002029AF">
        <w:t xml:space="preserve"> </w:t>
      </w:r>
      <w:r w:rsidRPr="002029AF">
        <w:t>equipment),</w:t>
      </w:r>
      <w:r w:rsidR="000A5329" w:rsidRPr="002029AF">
        <w:t xml:space="preserve"> </w:t>
      </w:r>
      <w:r w:rsidRPr="002029AF">
        <w:t>with</w:t>
      </w:r>
      <w:r w:rsidR="000A5329" w:rsidRPr="002029AF">
        <w:t xml:space="preserve"> </w:t>
      </w:r>
      <w:r w:rsidRPr="002029AF">
        <w:t>each</w:t>
      </w:r>
      <w:r w:rsidR="000A5329" w:rsidRPr="002029AF">
        <w:t xml:space="preserve"> </w:t>
      </w:r>
      <w:r w:rsidRPr="002029AF">
        <w:t>subcategory</w:t>
      </w:r>
      <w:r w:rsidR="000A5329" w:rsidRPr="002029AF">
        <w:t xml:space="preserve"> </w:t>
      </w:r>
      <w:r w:rsidRPr="002029AF">
        <w:t>being</w:t>
      </w:r>
      <w:r w:rsidR="000A5329" w:rsidRPr="002029AF">
        <w:t xml:space="preserve"> </w:t>
      </w:r>
      <w:r w:rsidRPr="002029AF">
        <w:t>classified</w:t>
      </w:r>
      <w:r w:rsidR="000A5329" w:rsidRPr="002029AF">
        <w:t xml:space="preserve"> </w:t>
      </w:r>
      <w:r w:rsidRPr="002029AF">
        <w:t>as</w:t>
      </w:r>
      <w:r w:rsidR="000A5329" w:rsidRPr="002029AF">
        <w:t xml:space="preserve"> </w:t>
      </w:r>
      <w:r w:rsidRPr="002029AF">
        <w:t>a</w:t>
      </w:r>
      <w:r w:rsidR="000A5329" w:rsidRPr="002029AF">
        <w:t xml:space="preserve"> </w:t>
      </w:r>
      <w:r w:rsidRPr="002029AF">
        <w:t>separate</w:t>
      </w:r>
      <w:r w:rsidR="000A5329" w:rsidRPr="002029AF">
        <w:t xml:space="preserve"> </w:t>
      </w:r>
      <w:r w:rsidRPr="002029AF">
        <w:t>class</w:t>
      </w:r>
      <w:r w:rsidR="000A5329" w:rsidRPr="002029AF">
        <w:t xml:space="preserve"> </w:t>
      </w:r>
      <w:r w:rsidRPr="002029AF">
        <w:t>of</w:t>
      </w:r>
      <w:r w:rsidR="000A5329" w:rsidRPr="002029AF">
        <w:t xml:space="preserve"> </w:t>
      </w:r>
      <w:r w:rsidRPr="002029AF">
        <w:t>asset</w:t>
      </w:r>
      <w:r w:rsidR="000A5329" w:rsidRPr="002029AF">
        <w:t xml:space="preserve"> </w:t>
      </w:r>
      <w:r w:rsidRPr="002029AF">
        <w:t>for</w:t>
      </w:r>
      <w:r w:rsidR="000A5329" w:rsidRPr="002029AF">
        <w:t xml:space="preserve"> </w:t>
      </w:r>
      <w:r w:rsidRPr="002029AF">
        <w:t>financial</w:t>
      </w:r>
      <w:r w:rsidR="000A5329" w:rsidRPr="002029AF">
        <w:t xml:space="preserve"> </w:t>
      </w:r>
      <w:r w:rsidRPr="002029AF">
        <w:t>reporting</w:t>
      </w:r>
      <w:r w:rsidR="000A5329" w:rsidRPr="002029AF">
        <w:t xml:space="preserve"> </w:t>
      </w:r>
      <w:r w:rsidRPr="002029AF">
        <w:t>purposes.</w:t>
      </w:r>
    </w:p>
    <w:p w14:paraId="15A4D8D1" w14:textId="06F08F91" w:rsidR="00087B91" w:rsidRPr="002029AF" w:rsidRDefault="00087B91" w:rsidP="00087B91">
      <w:pPr>
        <w:pStyle w:val="Heading5"/>
        <w:spacing w:before="0"/>
      </w:pPr>
      <w:r w:rsidRPr="002029AF">
        <w:lastRenderedPageBreak/>
        <w:t>5.1.3</w:t>
      </w:r>
      <w:r w:rsidR="000A5329" w:rsidRPr="002029AF">
        <w:t xml:space="preserve"> </w:t>
      </w:r>
      <w:r w:rsidRPr="002029AF">
        <w:t>Reconciliation</w:t>
      </w:r>
      <w:r w:rsidR="000A5329" w:rsidRPr="002029AF">
        <w:t xml:space="preserve"> </w:t>
      </w:r>
      <w:r w:rsidRPr="002029AF">
        <w:t>of</w:t>
      </w:r>
      <w:r w:rsidR="000A5329" w:rsidRPr="002029AF">
        <w:t xml:space="preserve"> </w:t>
      </w:r>
      <w:r w:rsidRPr="002029AF">
        <w:t>movements</w:t>
      </w:r>
      <w:r w:rsidR="000A5329" w:rsidRPr="002029AF">
        <w:t xml:space="preserve"> </w:t>
      </w:r>
      <w:r w:rsidRPr="002029AF">
        <w:t>in</w:t>
      </w:r>
      <w:r w:rsidR="000A5329" w:rsidRPr="002029AF">
        <w:t xml:space="preserve"> </w:t>
      </w:r>
      <w:r w:rsidRPr="002029AF">
        <w:t>carrying</w:t>
      </w:r>
      <w:r w:rsidR="000A5329" w:rsidRPr="002029AF">
        <w:t xml:space="preserve"> </w:t>
      </w:r>
      <w:r w:rsidRPr="002029AF">
        <w:t>values</w:t>
      </w:r>
      <w:r w:rsidR="000A5329" w:rsidRPr="002029AF">
        <w:t xml:space="preserve"> </w:t>
      </w:r>
      <w:r w:rsidRPr="002029AF">
        <w:t>of</w:t>
      </w:r>
      <w:r w:rsidR="000A5329" w:rsidRPr="002029AF">
        <w:t xml:space="preserve"> </w:t>
      </w:r>
      <w:r w:rsidRPr="002029AF">
        <w:t>property,</w:t>
      </w:r>
      <w:r w:rsidR="000A5329" w:rsidRPr="002029AF">
        <w:t xml:space="preserve"> </w:t>
      </w:r>
      <w:r w:rsidRPr="002029AF">
        <w:t>plant</w:t>
      </w:r>
      <w:r w:rsidR="000A5329" w:rsidRPr="002029AF">
        <w:t xml:space="preserve"> </w:t>
      </w:r>
      <w:r w:rsidRPr="002029AF">
        <w:t>and</w:t>
      </w:r>
      <w:r w:rsidR="000A5329" w:rsidRPr="002029AF">
        <w:t xml:space="preserve"> </w:t>
      </w:r>
      <w:r w:rsidRPr="002029AF">
        <w:t>equipment</w:t>
      </w:r>
    </w:p>
    <w:tbl>
      <w:tblPr>
        <w:tblStyle w:val="TableGrid"/>
        <w:tblW w:w="9637" w:type="dxa"/>
        <w:tblLayout w:type="fixed"/>
        <w:tblCellMar>
          <w:right w:w="0" w:type="dxa"/>
        </w:tblCellMar>
        <w:tblLook w:val="06A0" w:firstRow="1" w:lastRow="0" w:firstColumn="1" w:lastColumn="0" w:noHBand="1" w:noVBand="1"/>
      </w:tblPr>
      <w:tblGrid>
        <w:gridCol w:w="3175"/>
        <w:gridCol w:w="1077"/>
        <w:gridCol w:w="1077"/>
        <w:gridCol w:w="1077"/>
        <w:gridCol w:w="1077"/>
        <w:gridCol w:w="1077"/>
        <w:gridCol w:w="1077"/>
      </w:tblGrid>
      <w:tr w:rsidR="00087B91" w:rsidRPr="002029AF" w14:paraId="4835A037"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3175" w:type="dxa"/>
            <w:tcBorders>
              <w:bottom w:val="single" w:sz="4" w:space="0" w:color="auto"/>
            </w:tcBorders>
            <w:hideMark/>
          </w:tcPr>
          <w:p w14:paraId="701E8E2F" w14:textId="77777777" w:rsidR="00087B91" w:rsidRPr="002029AF" w:rsidRDefault="00087B91" w:rsidP="00860E95">
            <w:pPr>
              <w:pStyle w:val="ARfintablecolhead"/>
              <w:spacing w:line="216" w:lineRule="auto"/>
            </w:pPr>
            <w:r w:rsidRPr="002029AF">
              <w:t>2019</w:t>
            </w:r>
          </w:p>
        </w:tc>
        <w:tc>
          <w:tcPr>
            <w:tcW w:w="1077" w:type="dxa"/>
            <w:tcBorders>
              <w:bottom w:val="single" w:sz="4" w:space="0" w:color="auto"/>
            </w:tcBorders>
            <w:hideMark/>
          </w:tcPr>
          <w:p w14:paraId="4B369875" w14:textId="5EEFD2F2" w:rsidR="000A5329" w:rsidRPr="002029AF" w:rsidRDefault="00087B91" w:rsidP="00860E95">
            <w:pPr>
              <w:pStyle w:val="ARfintablecolheadright"/>
              <w:spacing w:line="216" w:lineRule="auto"/>
            </w:pPr>
            <w:r w:rsidRPr="002029AF">
              <w:t>Land</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p w14:paraId="70CFB567" w14:textId="45759735" w:rsidR="00087B91" w:rsidRPr="002029AF" w:rsidRDefault="00087B91" w:rsidP="00860E95">
            <w:pPr>
              <w:pStyle w:val="ARfintablecolheadright"/>
              <w:spacing w:line="216" w:lineRule="auto"/>
            </w:pPr>
            <w:r w:rsidRPr="002029AF">
              <w:t>$M</w:t>
            </w:r>
          </w:p>
        </w:tc>
        <w:tc>
          <w:tcPr>
            <w:tcW w:w="1077" w:type="dxa"/>
            <w:tcBorders>
              <w:bottom w:val="single" w:sz="4" w:space="0" w:color="auto"/>
            </w:tcBorders>
            <w:hideMark/>
          </w:tcPr>
          <w:p w14:paraId="3A35659E" w14:textId="5D0E0CFA" w:rsidR="000A5329" w:rsidRPr="002029AF" w:rsidRDefault="00087B91" w:rsidP="00860E95">
            <w:pPr>
              <w:pStyle w:val="ARfintablecolheadright"/>
              <w:spacing w:line="216" w:lineRule="auto"/>
            </w:pPr>
            <w:r w:rsidRPr="002029AF">
              <w:t>Buildings</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p w14:paraId="1F566760" w14:textId="08838FEE" w:rsidR="00087B91" w:rsidRPr="002029AF" w:rsidRDefault="00087B91" w:rsidP="00860E95">
            <w:pPr>
              <w:pStyle w:val="ARfintablecolheadright"/>
              <w:spacing w:line="216" w:lineRule="auto"/>
            </w:pPr>
            <w:r w:rsidRPr="002029AF">
              <w:t>$M</w:t>
            </w:r>
          </w:p>
        </w:tc>
        <w:tc>
          <w:tcPr>
            <w:tcW w:w="1077" w:type="dxa"/>
            <w:tcBorders>
              <w:bottom w:val="single" w:sz="4" w:space="0" w:color="auto"/>
            </w:tcBorders>
            <w:hideMark/>
          </w:tcPr>
          <w:p w14:paraId="5D6C7322" w14:textId="7C2988CF" w:rsidR="000A5329" w:rsidRPr="002029AF" w:rsidRDefault="00087B91" w:rsidP="00860E95">
            <w:pPr>
              <w:pStyle w:val="ARfintablecolheadright"/>
              <w:spacing w:line="216" w:lineRule="auto"/>
            </w:pPr>
            <w:r w:rsidRPr="002029AF">
              <w:t>Plant,</w:t>
            </w:r>
            <w:r w:rsidR="000A5329" w:rsidRPr="002029AF">
              <w:t xml:space="preserve"> </w:t>
            </w:r>
            <w:r w:rsidRPr="002029AF">
              <w:t>equipment</w:t>
            </w:r>
            <w:r w:rsidR="000A5329" w:rsidRPr="002029AF">
              <w:t xml:space="preserve"> </w:t>
            </w:r>
            <w:r w:rsidRPr="002029AF">
              <w:t>and</w:t>
            </w:r>
            <w:r w:rsidR="000A5329" w:rsidRPr="002029AF">
              <w:t xml:space="preserve"> </w:t>
            </w:r>
            <w:r w:rsidRPr="002029AF">
              <w:t>vehicles</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p w14:paraId="3B2D7C4B" w14:textId="2D88352B" w:rsidR="00087B91" w:rsidRPr="002029AF" w:rsidRDefault="00087B91" w:rsidP="00860E95">
            <w:pPr>
              <w:pStyle w:val="ARfintablecolheadright"/>
              <w:spacing w:line="216" w:lineRule="auto"/>
            </w:pPr>
            <w:r w:rsidRPr="002029AF">
              <w:t>$M</w:t>
            </w:r>
          </w:p>
        </w:tc>
        <w:tc>
          <w:tcPr>
            <w:tcW w:w="1077" w:type="dxa"/>
            <w:tcBorders>
              <w:bottom w:val="single" w:sz="4" w:space="0" w:color="auto"/>
            </w:tcBorders>
            <w:hideMark/>
          </w:tcPr>
          <w:p w14:paraId="54D4247A" w14:textId="7CBF74ED" w:rsidR="000A5329" w:rsidRPr="002029AF" w:rsidRDefault="00087B91" w:rsidP="00860E95">
            <w:pPr>
              <w:pStyle w:val="ARfintablecolheadright"/>
              <w:spacing w:line="216" w:lineRule="auto"/>
            </w:pPr>
            <w:r w:rsidRPr="002029AF">
              <w:t>Motor</w:t>
            </w:r>
            <w:r w:rsidR="000A5329" w:rsidRPr="002029AF">
              <w:t xml:space="preserve"> </w:t>
            </w:r>
            <w:r w:rsidRPr="002029AF">
              <w:t>vehicles</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p w14:paraId="14D61C2B" w14:textId="2489C841" w:rsidR="00087B91" w:rsidRPr="002029AF" w:rsidRDefault="00087B91" w:rsidP="00860E95">
            <w:pPr>
              <w:pStyle w:val="ARfintablecolheadright"/>
              <w:spacing w:line="216" w:lineRule="auto"/>
            </w:pPr>
            <w:r w:rsidRPr="002029AF">
              <w:t>$M</w:t>
            </w:r>
          </w:p>
        </w:tc>
        <w:tc>
          <w:tcPr>
            <w:tcW w:w="1077" w:type="dxa"/>
            <w:tcBorders>
              <w:bottom w:val="single" w:sz="4" w:space="0" w:color="auto"/>
            </w:tcBorders>
            <w:hideMark/>
          </w:tcPr>
          <w:p w14:paraId="2BDA1A51" w14:textId="2A4838BB" w:rsidR="000A5329" w:rsidRPr="002029AF" w:rsidRDefault="00087B91" w:rsidP="00860E95">
            <w:pPr>
              <w:pStyle w:val="ARfintablecolheadright"/>
              <w:spacing w:line="216" w:lineRule="auto"/>
            </w:pPr>
            <w:r w:rsidRPr="002029AF">
              <w:t>Assets</w:t>
            </w:r>
            <w:r w:rsidR="000A5329" w:rsidRPr="002029AF">
              <w:t xml:space="preserve"> </w:t>
            </w:r>
            <w:r w:rsidRPr="002029AF">
              <w:t>under</w:t>
            </w:r>
            <w:r w:rsidR="000A5329" w:rsidRPr="002029AF">
              <w:t xml:space="preserve"> </w:t>
            </w:r>
            <w:r w:rsidRPr="002029AF">
              <w:t>construc-tion</w:t>
            </w:r>
            <w:r w:rsidR="000A5329" w:rsidRPr="002029AF">
              <w:t xml:space="preserve"> </w:t>
            </w:r>
            <w:r w:rsidRPr="002029AF">
              <w:t>at</w:t>
            </w:r>
            <w:r w:rsidR="000A5329" w:rsidRPr="002029AF">
              <w:t xml:space="preserve"> </w:t>
            </w:r>
            <w:r w:rsidRPr="002029AF">
              <w:t>cost</w:t>
            </w:r>
          </w:p>
          <w:p w14:paraId="1C8CEF46" w14:textId="6988455E" w:rsidR="00087B91" w:rsidRPr="002029AF" w:rsidRDefault="00087B91" w:rsidP="00860E95">
            <w:pPr>
              <w:pStyle w:val="ARfintablecolheadright"/>
              <w:spacing w:line="216" w:lineRule="auto"/>
            </w:pPr>
            <w:r w:rsidRPr="002029AF">
              <w:t>$M</w:t>
            </w:r>
          </w:p>
        </w:tc>
        <w:tc>
          <w:tcPr>
            <w:tcW w:w="1077" w:type="dxa"/>
            <w:tcBorders>
              <w:bottom w:val="single" w:sz="4" w:space="0" w:color="auto"/>
            </w:tcBorders>
            <w:hideMark/>
          </w:tcPr>
          <w:p w14:paraId="7D74EB8F" w14:textId="77777777" w:rsidR="000A5329" w:rsidRPr="002029AF" w:rsidRDefault="00087B91" w:rsidP="00860E95">
            <w:pPr>
              <w:pStyle w:val="ARfintablecolheadright"/>
              <w:spacing w:line="216" w:lineRule="auto"/>
            </w:pPr>
            <w:r w:rsidRPr="002029AF">
              <w:t>Total</w:t>
            </w:r>
          </w:p>
          <w:p w14:paraId="2B9D2F8B" w14:textId="69304FDE" w:rsidR="00087B91" w:rsidRPr="002029AF" w:rsidRDefault="00087B91" w:rsidP="00860E95">
            <w:pPr>
              <w:pStyle w:val="ARfintablecolheadright"/>
              <w:spacing w:line="216" w:lineRule="auto"/>
            </w:pPr>
            <w:r w:rsidRPr="002029AF">
              <w:t>$M</w:t>
            </w:r>
          </w:p>
        </w:tc>
      </w:tr>
      <w:tr w:rsidR="00087B91" w:rsidRPr="002029AF" w14:paraId="46C77913" w14:textId="77777777" w:rsidTr="00860E95">
        <w:tc>
          <w:tcPr>
            <w:tcW w:w="3175" w:type="dxa"/>
            <w:tcBorders>
              <w:top w:val="single" w:sz="4" w:space="0" w:color="auto"/>
              <w:bottom w:val="single" w:sz="4" w:space="0" w:color="A6A6A6"/>
            </w:tcBorders>
            <w:hideMark/>
          </w:tcPr>
          <w:p w14:paraId="4C504B13" w14:textId="79932CAF" w:rsidR="00087B91" w:rsidRPr="002029AF" w:rsidRDefault="00087B91" w:rsidP="00860E95">
            <w:pPr>
              <w:pStyle w:val="ARfintablebodybold"/>
            </w:pPr>
            <w:r w:rsidRPr="002029AF">
              <w:t>Balance</w:t>
            </w:r>
            <w:r w:rsidR="000A5329" w:rsidRPr="002029AF">
              <w:t xml:space="preserve"> </w:t>
            </w:r>
            <w:r w:rsidRPr="002029AF">
              <w:t>at</w:t>
            </w:r>
            <w:r w:rsidR="000A5329" w:rsidRPr="002029AF">
              <w:t xml:space="preserve"> </w:t>
            </w:r>
            <w:r w:rsidRPr="002029AF">
              <w:t>1</w:t>
            </w:r>
            <w:r w:rsidR="000A5329" w:rsidRPr="002029AF">
              <w:t xml:space="preserve"> </w:t>
            </w:r>
            <w:r w:rsidRPr="002029AF">
              <w:t>July</w:t>
            </w:r>
            <w:r w:rsidR="000A5329" w:rsidRPr="002029AF">
              <w:t xml:space="preserve"> </w:t>
            </w:r>
            <w:r w:rsidRPr="002029AF">
              <w:t>2018</w:t>
            </w:r>
          </w:p>
        </w:tc>
        <w:tc>
          <w:tcPr>
            <w:tcW w:w="1077" w:type="dxa"/>
            <w:tcBorders>
              <w:top w:val="single" w:sz="4" w:space="0" w:color="auto"/>
              <w:bottom w:val="single" w:sz="4" w:space="0" w:color="A6A6A6"/>
            </w:tcBorders>
            <w:noWrap/>
            <w:hideMark/>
          </w:tcPr>
          <w:p w14:paraId="3F5D03B9" w14:textId="77777777" w:rsidR="00087B91" w:rsidRPr="002029AF" w:rsidRDefault="00087B91" w:rsidP="00860E95">
            <w:pPr>
              <w:pStyle w:val="ARfintablebodyrightbold"/>
            </w:pPr>
            <w:r w:rsidRPr="002029AF">
              <w:t>20,811.1</w:t>
            </w:r>
          </w:p>
        </w:tc>
        <w:tc>
          <w:tcPr>
            <w:tcW w:w="1077" w:type="dxa"/>
            <w:tcBorders>
              <w:top w:val="single" w:sz="4" w:space="0" w:color="auto"/>
              <w:bottom w:val="single" w:sz="4" w:space="0" w:color="A6A6A6"/>
            </w:tcBorders>
            <w:noWrap/>
            <w:hideMark/>
          </w:tcPr>
          <w:p w14:paraId="6E64B8A8" w14:textId="77777777" w:rsidR="00087B91" w:rsidRPr="002029AF" w:rsidRDefault="00087B91" w:rsidP="00860E95">
            <w:pPr>
              <w:pStyle w:val="ARfintablebodyrightbold"/>
            </w:pPr>
            <w:r w:rsidRPr="002029AF">
              <w:t>8,991.0</w:t>
            </w:r>
          </w:p>
        </w:tc>
        <w:tc>
          <w:tcPr>
            <w:tcW w:w="1077" w:type="dxa"/>
            <w:tcBorders>
              <w:top w:val="single" w:sz="4" w:space="0" w:color="auto"/>
              <w:bottom w:val="single" w:sz="4" w:space="0" w:color="A6A6A6"/>
            </w:tcBorders>
            <w:noWrap/>
            <w:hideMark/>
          </w:tcPr>
          <w:p w14:paraId="290CE6D0" w14:textId="77777777" w:rsidR="00087B91" w:rsidRPr="002029AF" w:rsidRDefault="00087B91" w:rsidP="00860E95">
            <w:pPr>
              <w:pStyle w:val="ARfintablebodyrightbold"/>
            </w:pPr>
            <w:r w:rsidRPr="002029AF">
              <w:t>15.7</w:t>
            </w:r>
          </w:p>
        </w:tc>
        <w:tc>
          <w:tcPr>
            <w:tcW w:w="1077" w:type="dxa"/>
            <w:tcBorders>
              <w:top w:val="single" w:sz="4" w:space="0" w:color="auto"/>
              <w:bottom w:val="single" w:sz="4" w:space="0" w:color="A6A6A6"/>
            </w:tcBorders>
            <w:noWrap/>
            <w:hideMark/>
          </w:tcPr>
          <w:p w14:paraId="6EFF950C" w14:textId="77777777" w:rsidR="00087B91" w:rsidRPr="002029AF" w:rsidRDefault="00087B91" w:rsidP="00860E95">
            <w:pPr>
              <w:pStyle w:val="ARfintablebodyrightbold"/>
            </w:pPr>
            <w:r w:rsidRPr="002029AF">
              <w:t>49.1</w:t>
            </w:r>
          </w:p>
        </w:tc>
        <w:tc>
          <w:tcPr>
            <w:tcW w:w="1077" w:type="dxa"/>
            <w:tcBorders>
              <w:top w:val="single" w:sz="4" w:space="0" w:color="auto"/>
              <w:bottom w:val="single" w:sz="4" w:space="0" w:color="A6A6A6"/>
            </w:tcBorders>
            <w:noWrap/>
            <w:hideMark/>
          </w:tcPr>
          <w:p w14:paraId="5E05E53E" w14:textId="77777777" w:rsidR="00087B91" w:rsidRPr="002029AF" w:rsidRDefault="00087B91" w:rsidP="00860E95">
            <w:pPr>
              <w:pStyle w:val="ARfintablebodyrightbold"/>
            </w:pPr>
            <w:r w:rsidRPr="002029AF">
              <w:t>332.5</w:t>
            </w:r>
          </w:p>
        </w:tc>
        <w:tc>
          <w:tcPr>
            <w:tcW w:w="1077" w:type="dxa"/>
            <w:tcBorders>
              <w:top w:val="single" w:sz="4" w:space="0" w:color="auto"/>
              <w:bottom w:val="single" w:sz="4" w:space="0" w:color="A6A6A6"/>
            </w:tcBorders>
            <w:noWrap/>
            <w:hideMark/>
          </w:tcPr>
          <w:p w14:paraId="23386D57" w14:textId="77777777" w:rsidR="00087B91" w:rsidRPr="002029AF" w:rsidRDefault="00087B91" w:rsidP="00860E95">
            <w:pPr>
              <w:pStyle w:val="ARfintablebodyrightbold"/>
            </w:pPr>
            <w:r w:rsidRPr="002029AF">
              <w:t>30,199.3</w:t>
            </w:r>
          </w:p>
        </w:tc>
      </w:tr>
      <w:tr w:rsidR="00087B91" w:rsidRPr="002029AF" w14:paraId="7A143D1B" w14:textId="77777777" w:rsidTr="00860E95">
        <w:tc>
          <w:tcPr>
            <w:tcW w:w="3175" w:type="dxa"/>
            <w:tcBorders>
              <w:top w:val="single" w:sz="4" w:space="0" w:color="A6A6A6"/>
              <w:bottom w:val="single" w:sz="4" w:space="0" w:color="A6A6A6"/>
            </w:tcBorders>
            <w:hideMark/>
          </w:tcPr>
          <w:p w14:paraId="6D7C98E7" w14:textId="02EB7D6B" w:rsidR="00087B91" w:rsidRPr="002029AF" w:rsidRDefault="00087B91" w:rsidP="00860E95">
            <w:pPr>
              <w:pStyle w:val="ARfintablebody"/>
            </w:pPr>
            <w:r w:rsidRPr="002029AF">
              <w:t>Capital</w:t>
            </w:r>
            <w:r w:rsidR="000A5329" w:rsidRPr="002029AF">
              <w:t xml:space="preserve"> </w:t>
            </w:r>
            <w:r w:rsidRPr="002029AF">
              <w:t>contributed</w:t>
            </w:r>
            <w:r w:rsidR="000A5329" w:rsidRPr="002029AF">
              <w:t xml:space="preserve"> </w:t>
            </w:r>
            <w:r w:rsidRPr="002029AF">
              <w:t>from</w:t>
            </w:r>
            <w:r w:rsidR="000A5329" w:rsidRPr="002029AF">
              <w:t xml:space="preserve"> </w:t>
            </w:r>
            <w:r w:rsidRPr="002029AF">
              <w:t>asset</w:t>
            </w:r>
            <w:r w:rsidR="000A5329" w:rsidRPr="002029AF">
              <w:t xml:space="preserve"> </w:t>
            </w:r>
            <w:r w:rsidRPr="002029AF">
              <w:t>transfers</w:t>
            </w:r>
          </w:p>
        </w:tc>
        <w:tc>
          <w:tcPr>
            <w:tcW w:w="1077" w:type="dxa"/>
            <w:tcBorders>
              <w:top w:val="single" w:sz="4" w:space="0" w:color="A6A6A6"/>
              <w:bottom w:val="single" w:sz="4" w:space="0" w:color="A6A6A6"/>
            </w:tcBorders>
            <w:noWrap/>
            <w:hideMark/>
          </w:tcPr>
          <w:p w14:paraId="6002CF4D"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66D7A0B3"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793CEA29"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30F01FC1"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06FF0882"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00F60B18" w14:textId="77777777" w:rsidR="00087B91" w:rsidRPr="002029AF" w:rsidRDefault="00087B91" w:rsidP="00860E95">
            <w:pPr>
              <w:pStyle w:val="ARfintablebodyright"/>
            </w:pPr>
            <w:r w:rsidRPr="002029AF">
              <w:t>–</w:t>
            </w:r>
          </w:p>
        </w:tc>
      </w:tr>
      <w:tr w:rsidR="00087B91" w:rsidRPr="002029AF" w14:paraId="7BE3F7F9" w14:textId="77777777" w:rsidTr="00860E95">
        <w:tc>
          <w:tcPr>
            <w:tcW w:w="3175" w:type="dxa"/>
            <w:tcBorders>
              <w:top w:val="single" w:sz="4" w:space="0" w:color="A6A6A6"/>
              <w:bottom w:val="single" w:sz="4" w:space="0" w:color="A6A6A6"/>
            </w:tcBorders>
            <w:hideMark/>
          </w:tcPr>
          <w:p w14:paraId="75792726" w14:textId="2A296CAE" w:rsidR="00087B91" w:rsidRPr="002029AF" w:rsidRDefault="00087B91" w:rsidP="00860E95">
            <w:pPr>
              <w:pStyle w:val="ARfintablebody"/>
            </w:pPr>
            <w:r w:rsidRPr="002029AF">
              <w:t>Machinery</w:t>
            </w:r>
            <w:r w:rsidR="000A5329" w:rsidRPr="002029AF">
              <w:t xml:space="preserve"> </w:t>
            </w:r>
            <w:r w:rsidRPr="002029AF">
              <w:t>of</w:t>
            </w:r>
            <w:r w:rsidR="000A5329" w:rsidRPr="002029AF">
              <w:t xml:space="preserve"> </w:t>
            </w:r>
            <w:r w:rsidRPr="002029AF">
              <w:t>government</w:t>
            </w:r>
            <w:r w:rsidR="000A5329" w:rsidRPr="002029AF">
              <w:t xml:space="preserve"> </w:t>
            </w:r>
            <w:r w:rsidRPr="002029AF">
              <w:t>transfer</w:t>
            </w:r>
            <w:r w:rsidR="000A5329" w:rsidRPr="002029AF">
              <w:t xml:space="preserve"> </w:t>
            </w:r>
            <w:r w:rsidRPr="002029AF">
              <w:t>in/(out)</w:t>
            </w:r>
          </w:p>
        </w:tc>
        <w:tc>
          <w:tcPr>
            <w:tcW w:w="1077" w:type="dxa"/>
            <w:tcBorders>
              <w:top w:val="single" w:sz="4" w:space="0" w:color="A6A6A6"/>
              <w:bottom w:val="single" w:sz="4" w:space="0" w:color="A6A6A6"/>
            </w:tcBorders>
            <w:noWrap/>
            <w:hideMark/>
          </w:tcPr>
          <w:p w14:paraId="43DFC93A" w14:textId="77777777" w:rsidR="00087B91" w:rsidRPr="002029AF" w:rsidRDefault="00087B91" w:rsidP="00860E95">
            <w:pPr>
              <w:pStyle w:val="ARfintablebodyright"/>
            </w:pPr>
            <w:r w:rsidRPr="002029AF">
              <w:t>(9.5)</w:t>
            </w:r>
          </w:p>
        </w:tc>
        <w:tc>
          <w:tcPr>
            <w:tcW w:w="1077" w:type="dxa"/>
            <w:tcBorders>
              <w:top w:val="single" w:sz="4" w:space="0" w:color="A6A6A6"/>
              <w:bottom w:val="single" w:sz="4" w:space="0" w:color="A6A6A6"/>
            </w:tcBorders>
            <w:noWrap/>
            <w:hideMark/>
          </w:tcPr>
          <w:p w14:paraId="7B37899D" w14:textId="77777777" w:rsidR="00087B91" w:rsidRPr="002029AF" w:rsidRDefault="00087B91" w:rsidP="00860E95">
            <w:pPr>
              <w:pStyle w:val="ARfintablebodyright"/>
            </w:pPr>
            <w:r w:rsidRPr="002029AF">
              <w:t>(23.2)</w:t>
            </w:r>
          </w:p>
        </w:tc>
        <w:tc>
          <w:tcPr>
            <w:tcW w:w="1077" w:type="dxa"/>
            <w:tcBorders>
              <w:top w:val="single" w:sz="4" w:space="0" w:color="A6A6A6"/>
              <w:bottom w:val="single" w:sz="4" w:space="0" w:color="A6A6A6"/>
            </w:tcBorders>
            <w:noWrap/>
            <w:hideMark/>
          </w:tcPr>
          <w:p w14:paraId="1CA73A2F"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566FD126" w14:textId="77777777" w:rsidR="00087B91" w:rsidRPr="002029AF" w:rsidRDefault="00087B91" w:rsidP="00860E95">
            <w:pPr>
              <w:pStyle w:val="ARfintablebodyright"/>
            </w:pPr>
            <w:r w:rsidRPr="002029AF">
              <w:t>(0.1)</w:t>
            </w:r>
          </w:p>
        </w:tc>
        <w:tc>
          <w:tcPr>
            <w:tcW w:w="1077" w:type="dxa"/>
            <w:tcBorders>
              <w:top w:val="single" w:sz="4" w:space="0" w:color="A6A6A6"/>
              <w:bottom w:val="single" w:sz="4" w:space="0" w:color="A6A6A6"/>
            </w:tcBorders>
            <w:noWrap/>
            <w:hideMark/>
          </w:tcPr>
          <w:p w14:paraId="1AB781DD" w14:textId="77777777" w:rsidR="00087B91" w:rsidRPr="002029AF" w:rsidRDefault="00087B91" w:rsidP="00860E95">
            <w:pPr>
              <w:pStyle w:val="ARfintablebodyright"/>
            </w:pPr>
            <w:r w:rsidRPr="002029AF">
              <w:t>(1.2)</w:t>
            </w:r>
          </w:p>
        </w:tc>
        <w:tc>
          <w:tcPr>
            <w:tcW w:w="1077" w:type="dxa"/>
            <w:tcBorders>
              <w:top w:val="single" w:sz="4" w:space="0" w:color="A6A6A6"/>
              <w:bottom w:val="single" w:sz="4" w:space="0" w:color="A6A6A6"/>
            </w:tcBorders>
            <w:noWrap/>
            <w:hideMark/>
          </w:tcPr>
          <w:p w14:paraId="0CFDB3B6" w14:textId="77777777" w:rsidR="00087B91" w:rsidRPr="002029AF" w:rsidRDefault="00087B91" w:rsidP="00860E95">
            <w:pPr>
              <w:pStyle w:val="ARfintablebodyright"/>
            </w:pPr>
            <w:r w:rsidRPr="002029AF">
              <w:t>(34.0)</w:t>
            </w:r>
          </w:p>
        </w:tc>
      </w:tr>
      <w:tr w:rsidR="00087B91" w:rsidRPr="002029AF" w14:paraId="27872C55" w14:textId="77777777" w:rsidTr="00860E95">
        <w:tc>
          <w:tcPr>
            <w:tcW w:w="3175" w:type="dxa"/>
            <w:tcBorders>
              <w:top w:val="single" w:sz="4" w:space="0" w:color="A6A6A6"/>
              <w:bottom w:val="single" w:sz="4" w:space="0" w:color="A6A6A6"/>
            </w:tcBorders>
            <w:hideMark/>
          </w:tcPr>
          <w:p w14:paraId="73AD07C3" w14:textId="77777777" w:rsidR="00087B91" w:rsidRPr="002029AF" w:rsidRDefault="00087B91" w:rsidP="00860E95">
            <w:pPr>
              <w:pStyle w:val="ARfintablebody"/>
            </w:pPr>
            <w:r w:rsidRPr="002029AF">
              <w:t>Additions</w:t>
            </w:r>
          </w:p>
        </w:tc>
        <w:tc>
          <w:tcPr>
            <w:tcW w:w="1077" w:type="dxa"/>
            <w:tcBorders>
              <w:top w:val="single" w:sz="4" w:space="0" w:color="A6A6A6"/>
              <w:bottom w:val="single" w:sz="4" w:space="0" w:color="A6A6A6"/>
            </w:tcBorders>
            <w:noWrap/>
            <w:hideMark/>
          </w:tcPr>
          <w:p w14:paraId="500FAADE" w14:textId="77777777" w:rsidR="00087B91" w:rsidRPr="002029AF" w:rsidRDefault="00087B91" w:rsidP="00860E95">
            <w:pPr>
              <w:pStyle w:val="ARfintablebodyright"/>
            </w:pPr>
            <w:r w:rsidRPr="002029AF">
              <w:t>0.5</w:t>
            </w:r>
          </w:p>
        </w:tc>
        <w:tc>
          <w:tcPr>
            <w:tcW w:w="1077" w:type="dxa"/>
            <w:tcBorders>
              <w:top w:val="single" w:sz="4" w:space="0" w:color="A6A6A6"/>
              <w:bottom w:val="single" w:sz="4" w:space="0" w:color="A6A6A6"/>
            </w:tcBorders>
            <w:noWrap/>
            <w:hideMark/>
          </w:tcPr>
          <w:p w14:paraId="041AD733" w14:textId="77777777" w:rsidR="00087B91" w:rsidRPr="002029AF" w:rsidRDefault="00087B91" w:rsidP="00860E95">
            <w:pPr>
              <w:pStyle w:val="ARfintablebodyright"/>
            </w:pPr>
            <w:r w:rsidRPr="002029AF">
              <w:t>7.6</w:t>
            </w:r>
          </w:p>
        </w:tc>
        <w:tc>
          <w:tcPr>
            <w:tcW w:w="1077" w:type="dxa"/>
            <w:tcBorders>
              <w:top w:val="single" w:sz="4" w:space="0" w:color="A6A6A6"/>
              <w:bottom w:val="single" w:sz="4" w:space="0" w:color="A6A6A6"/>
            </w:tcBorders>
            <w:noWrap/>
            <w:hideMark/>
          </w:tcPr>
          <w:p w14:paraId="14BE7D1F" w14:textId="77777777" w:rsidR="00087B91" w:rsidRPr="002029AF" w:rsidRDefault="00087B91" w:rsidP="00860E95">
            <w:pPr>
              <w:pStyle w:val="ARfintablebodyright"/>
            </w:pPr>
            <w:r w:rsidRPr="002029AF">
              <w:t>2.1</w:t>
            </w:r>
          </w:p>
        </w:tc>
        <w:tc>
          <w:tcPr>
            <w:tcW w:w="1077" w:type="dxa"/>
            <w:tcBorders>
              <w:top w:val="single" w:sz="4" w:space="0" w:color="A6A6A6"/>
              <w:bottom w:val="single" w:sz="4" w:space="0" w:color="A6A6A6"/>
            </w:tcBorders>
            <w:noWrap/>
            <w:hideMark/>
          </w:tcPr>
          <w:p w14:paraId="6AD2CD93" w14:textId="77777777" w:rsidR="00087B91" w:rsidRPr="002029AF" w:rsidRDefault="00087B91" w:rsidP="00860E95">
            <w:pPr>
              <w:pStyle w:val="ARfintablebodyright"/>
            </w:pPr>
            <w:r w:rsidRPr="002029AF">
              <w:t>21.6</w:t>
            </w:r>
          </w:p>
        </w:tc>
        <w:tc>
          <w:tcPr>
            <w:tcW w:w="1077" w:type="dxa"/>
            <w:tcBorders>
              <w:top w:val="single" w:sz="4" w:space="0" w:color="A6A6A6"/>
              <w:bottom w:val="single" w:sz="4" w:space="0" w:color="A6A6A6"/>
            </w:tcBorders>
            <w:noWrap/>
            <w:hideMark/>
          </w:tcPr>
          <w:p w14:paraId="34256CE6" w14:textId="77777777" w:rsidR="00087B91" w:rsidRPr="002029AF" w:rsidRDefault="00087B91" w:rsidP="00860E95">
            <w:pPr>
              <w:pStyle w:val="ARfintablebodyright"/>
            </w:pPr>
            <w:r w:rsidRPr="002029AF">
              <w:t>351.7</w:t>
            </w:r>
          </w:p>
        </w:tc>
        <w:tc>
          <w:tcPr>
            <w:tcW w:w="1077" w:type="dxa"/>
            <w:tcBorders>
              <w:top w:val="single" w:sz="4" w:space="0" w:color="A6A6A6"/>
              <w:bottom w:val="single" w:sz="4" w:space="0" w:color="A6A6A6"/>
            </w:tcBorders>
            <w:noWrap/>
            <w:hideMark/>
          </w:tcPr>
          <w:p w14:paraId="1ACF8DFF" w14:textId="77777777" w:rsidR="00087B91" w:rsidRPr="002029AF" w:rsidRDefault="00087B91" w:rsidP="00860E95">
            <w:pPr>
              <w:pStyle w:val="ARfintablebodyright"/>
            </w:pPr>
            <w:r w:rsidRPr="002029AF">
              <w:t>383.5</w:t>
            </w:r>
          </w:p>
        </w:tc>
      </w:tr>
      <w:tr w:rsidR="00087B91" w:rsidRPr="002029AF" w14:paraId="3C5FBACC" w14:textId="77777777" w:rsidTr="00860E95">
        <w:tc>
          <w:tcPr>
            <w:tcW w:w="3175" w:type="dxa"/>
            <w:tcBorders>
              <w:top w:val="single" w:sz="4" w:space="0" w:color="A6A6A6"/>
              <w:bottom w:val="single" w:sz="4" w:space="0" w:color="A6A6A6"/>
            </w:tcBorders>
            <w:hideMark/>
          </w:tcPr>
          <w:p w14:paraId="07BC714E" w14:textId="77777777" w:rsidR="00087B91" w:rsidRPr="002029AF" w:rsidRDefault="00087B91" w:rsidP="00860E95">
            <w:pPr>
              <w:pStyle w:val="ARfintablebody"/>
            </w:pPr>
            <w:r w:rsidRPr="002029AF">
              <w:t>Disposals</w:t>
            </w:r>
          </w:p>
        </w:tc>
        <w:tc>
          <w:tcPr>
            <w:tcW w:w="1077" w:type="dxa"/>
            <w:tcBorders>
              <w:top w:val="single" w:sz="4" w:space="0" w:color="A6A6A6"/>
              <w:bottom w:val="single" w:sz="4" w:space="0" w:color="A6A6A6"/>
            </w:tcBorders>
            <w:noWrap/>
            <w:hideMark/>
          </w:tcPr>
          <w:p w14:paraId="63536831" w14:textId="77777777" w:rsidR="00087B91" w:rsidRPr="002029AF" w:rsidRDefault="00087B91" w:rsidP="00860E95">
            <w:pPr>
              <w:pStyle w:val="ARfintablebodyright"/>
            </w:pPr>
            <w:r w:rsidRPr="002029AF">
              <w:t>(16.2)</w:t>
            </w:r>
          </w:p>
        </w:tc>
        <w:tc>
          <w:tcPr>
            <w:tcW w:w="1077" w:type="dxa"/>
            <w:tcBorders>
              <w:top w:val="single" w:sz="4" w:space="0" w:color="A6A6A6"/>
              <w:bottom w:val="single" w:sz="4" w:space="0" w:color="A6A6A6"/>
            </w:tcBorders>
            <w:noWrap/>
            <w:hideMark/>
          </w:tcPr>
          <w:p w14:paraId="11D11C1C" w14:textId="77777777" w:rsidR="00087B91" w:rsidRPr="002029AF" w:rsidRDefault="00087B91" w:rsidP="00860E95">
            <w:pPr>
              <w:pStyle w:val="ARfintablebodyright"/>
            </w:pPr>
            <w:r w:rsidRPr="002029AF">
              <w:t>(9.8)</w:t>
            </w:r>
          </w:p>
        </w:tc>
        <w:tc>
          <w:tcPr>
            <w:tcW w:w="1077" w:type="dxa"/>
            <w:tcBorders>
              <w:top w:val="single" w:sz="4" w:space="0" w:color="A6A6A6"/>
              <w:bottom w:val="single" w:sz="4" w:space="0" w:color="A6A6A6"/>
            </w:tcBorders>
            <w:noWrap/>
            <w:hideMark/>
          </w:tcPr>
          <w:p w14:paraId="1E301EC3"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3718E858" w14:textId="77777777" w:rsidR="00087B91" w:rsidRPr="002029AF" w:rsidRDefault="00087B91" w:rsidP="00860E95">
            <w:pPr>
              <w:pStyle w:val="ARfintablebodyright"/>
            </w:pPr>
            <w:r w:rsidRPr="002029AF">
              <w:t>(11.7)</w:t>
            </w:r>
          </w:p>
        </w:tc>
        <w:tc>
          <w:tcPr>
            <w:tcW w:w="1077" w:type="dxa"/>
            <w:tcBorders>
              <w:top w:val="single" w:sz="4" w:space="0" w:color="A6A6A6"/>
              <w:bottom w:val="single" w:sz="4" w:space="0" w:color="A6A6A6"/>
            </w:tcBorders>
            <w:noWrap/>
            <w:hideMark/>
          </w:tcPr>
          <w:p w14:paraId="51965913"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0FE41754" w14:textId="77777777" w:rsidR="00087B91" w:rsidRPr="002029AF" w:rsidRDefault="00087B91" w:rsidP="00860E95">
            <w:pPr>
              <w:pStyle w:val="ARfintablebodyright"/>
            </w:pPr>
            <w:r w:rsidRPr="002029AF">
              <w:t>(37.8)</w:t>
            </w:r>
          </w:p>
        </w:tc>
      </w:tr>
      <w:tr w:rsidR="00087B91" w:rsidRPr="002029AF" w14:paraId="694F0F55" w14:textId="77777777" w:rsidTr="00860E95">
        <w:tc>
          <w:tcPr>
            <w:tcW w:w="3175" w:type="dxa"/>
            <w:tcBorders>
              <w:top w:val="single" w:sz="4" w:space="0" w:color="A6A6A6"/>
              <w:bottom w:val="single" w:sz="4" w:space="0" w:color="A6A6A6"/>
            </w:tcBorders>
            <w:hideMark/>
          </w:tcPr>
          <w:p w14:paraId="3F8DF050" w14:textId="3CFA5FDC" w:rsidR="00087B91" w:rsidRPr="002029AF" w:rsidRDefault="00087B91" w:rsidP="00860E95">
            <w:pPr>
              <w:pStyle w:val="ARfintablebody"/>
            </w:pPr>
            <w:r w:rsidRPr="002029AF">
              <w:t>Net</w:t>
            </w:r>
            <w:r w:rsidR="000A5329" w:rsidRPr="002029AF">
              <w:t xml:space="preserve"> </w:t>
            </w:r>
            <w:r w:rsidRPr="002029AF">
              <w:t>revaluation</w:t>
            </w:r>
            <w:r w:rsidR="000A5329" w:rsidRPr="002029AF">
              <w:t xml:space="preserve"> </w:t>
            </w:r>
            <w:r w:rsidRPr="002029AF">
              <w:t>increments/(decrements)</w:t>
            </w:r>
          </w:p>
        </w:tc>
        <w:tc>
          <w:tcPr>
            <w:tcW w:w="1077" w:type="dxa"/>
            <w:tcBorders>
              <w:top w:val="single" w:sz="4" w:space="0" w:color="A6A6A6"/>
              <w:bottom w:val="single" w:sz="4" w:space="0" w:color="A6A6A6"/>
            </w:tcBorders>
            <w:noWrap/>
            <w:hideMark/>
          </w:tcPr>
          <w:p w14:paraId="4348FC7D" w14:textId="77777777" w:rsidR="00087B91" w:rsidRPr="002029AF" w:rsidRDefault="00087B91" w:rsidP="00860E95">
            <w:pPr>
              <w:pStyle w:val="ARfintablebodyright"/>
            </w:pPr>
            <w:r w:rsidRPr="002029AF">
              <w:t>(2,197.7)</w:t>
            </w:r>
          </w:p>
        </w:tc>
        <w:tc>
          <w:tcPr>
            <w:tcW w:w="1077" w:type="dxa"/>
            <w:tcBorders>
              <w:top w:val="single" w:sz="4" w:space="0" w:color="A6A6A6"/>
              <w:bottom w:val="single" w:sz="4" w:space="0" w:color="A6A6A6"/>
            </w:tcBorders>
            <w:noWrap/>
            <w:hideMark/>
          </w:tcPr>
          <w:p w14:paraId="620B0F90" w14:textId="77777777" w:rsidR="00087B91" w:rsidRPr="002029AF" w:rsidRDefault="00087B91" w:rsidP="00860E95">
            <w:pPr>
              <w:pStyle w:val="ARfintablebodyright"/>
            </w:pPr>
            <w:r w:rsidRPr="002029AF">
              <w:t>992.4</w:t>
            </w:r>
          </w:p>
        </w:tc>
        <w:tc>
          <w:tcPr>
            <w:tcW w:w="1077" w:type="dxa"/>
            <w:tcBorders>
              <w:top w:val="single" w:sz="4" w:space="0" w:color="A6A6A6"/>
              <w:bottom w:val="single" w:sz="4" w:space="0" w:color="A6A6A6"/>
            </w:tcBorders>
            <w:noWrap/>
            <w:hideMark/>
          </w:tcPr>
          <w:p w14:paraId="5D610471"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6DF449ED"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4FC4F1FF"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5184A8DD" w14:textId="77777777" w:rsidR="00087B91" w:rsidRPr="002029AF" w:rsidRDefault="00087B91" w:rsidP="00860E95">
            <w:pPr>
              <w:pStyle w:val="ARfintablebodyright"/>
            </w:pPr>
            <w:r w:rsidRPr="002029AF">
              <w:t>(1,205.3)</w:t>
            </w:r>
          </w:p>
        </w:tc>
      </w:tr>
      <w:tr w:rsidR="00087B91" w:rsidRPr="002029AF" w14:paraId="063DE068" w14:textId="77777777" w:rsidTr="00860E95">
        <w:tc>
          <w:tcPr>
            <w:tcW w:w="3175" w:type="dxa"/>
            <w:tcBorders>
              <w:top w:val="single" w:sz="4" w:space="0" w:color="A6A6A6"/>
              <w:bottom w:val="single" w:sz="4" w:space="0" w:color="A6A6A6"/>
            </w:tcBorders>
            <w:hideMark/>
          </w:tcPr>
          <w:p w14:paraId="190C230C" w14:textId="61BA8C71" w:rsidR="00087B91" w:rsidRPr="002029AF" w:rsidRDefault="00087B91" w:rsidP="00860E95">
            <w:pPr>
              <w:pStyle w:val="ARfintablebody"/>
            </w:pPr>
            <w:r w:rsidRPr="002029AF">
              <w:t>Asset</w:t>
            </w:r>
            <w:r w:rsidR="000A5329" w:rsidRPr="002029AF">
              <w:t xml:space="preserve"> </w:t>
            </w:r>
            <w:r w:rsidRPr="002029AF">
              <w:t>impairment</w:t>
            </w:r>
          </w:p>
        </w:tc>
        <w:tc>
          <w:tcPr>
            <w:tcW w:w="1077" w:type="dxa"/>
            <w:tcBorders>
              <w:top w:val="single" w:sz="4" w:space="0" w:color="A6A6A6"/>
              <w:bottom w:val="single" w:sz="4" w:space="0" w:color="A6A6A6"/>
            </w:tcBorders>
            <w:noWrap/>
            <w:hideMark/>
          </w:tcPr>
          <w:p w14:paraId="01A93DCF"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54B4D563"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386B10BB"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7E6DAC19"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507036F0"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7BF878C4" w14:textId="77777777" w:rsidR="00087B91" w:rsidRPr="002029AF" w:rsidRDefault="00087B91" w:rsidP="00860E95">
            <w:pPr>
              <w:pStyle w:val="ARfintablebodyright"/>
            </w:pPr>
            <w:r w:rsidRPr="002029AF">
              <w:t>–</w:t>
            </w:r>
          </w:p>
        </w:tc>
      </w:tr>
      <w:tr w:rsidR="00087B91" w:rsidRPr="002029AF" w14:paraId="078388FA" w14:textId="77777777" w:rsidTr="00860E95">
        <w:tc>
          <w:tcPr>
            <w:tcW w:w="3175" w:type="dxa"/>
            <w:tcBorders>
              <w:top w:val="single" w:sz="4" w:space="0" w:color="A6A6A6"/>
              <w:bottom w:val="single" w:sz="4" w:space="0" w:color="A6A6A6"/>
            </w:tcBorders>
            <w:hideMark/>
          </w:tcPr>
          <w:p w14:paraId="0ED6AA29" w14:textId="0BFC7072" w:rsidR="00087B91" w:rsidRPr="002029AF" w:rsidRDefault="00087B91" w:rsidP="00860E95">
            <w:pPr>
              <w:pStyle w:val="ARfintablebody"/>
            </w:pPr>
            <w:r w:rsidRPr="002029AF">
              <w:t>Depreciation</w:t>
            </w:r>
            <w:r w:rsidR="000A5329" w:rsidRPr="002029AF">
              <w:t xml:space="preserve"> </w:t>
            </w:r>
            <w:r w:rsidRPr="002029AF">
              <w:t>and</w:t>
            </w:r>
            <w:r w:rsidR="000A5329" w:rsidRPr="002029AF">
              <w:t xml:space="preserve"> </w:t>
            </w:r>
            <w:r w:rsidRPr="002029AF">
              <w:t>amortisation</w:t>
            </w:r>
          </w:p>
        </w:tc>
        <w:tc>
          <w:tcPr>
            <w:tcW w:w="1077" w:type="dxa"/>
            <w:tcBorders>
              <w:top w:val="single" w:sz="4" w:space="0" w:color="A6A6A6"/>
              <w:bottom w:val="single" w:sz="4" w:space="0" w:color="A6A6A6"/>
            </w:tcBorders>
            <w:noWrap/>
            <w:hideMark/>
          </w:tcPr>
          <w:p w14:paraId="5C4A9918"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34E02262" w14:textId="77777777" w:rsidR="00087B91" w:rsidRPr="002029AF" w:rsidRDefault="00087B91" w:rsidP="00860E95">
            <w:pPr>
              <w:pStyle w:val="ARfintablebodyright"/>
            </w:pPr>
            <w:r w:rsidRPr="002029AF">
              <w:t>(303.2)</w:t>
            </w:r>
          </w:p>
        </w:tc>
        <w:tc>
          <w:tcPr>
            <w:tcW w:w="1077" w:type="dxa"/>
            <w:tcBorders>
              <w:top w:val="single" w:sz="4" w:space="0" w:color="A6A6A6"/>
              <w:bottom w:val="single" w:sz="4" w:space="0" w:color="A6A6A6"/>
            </w:tcBorders>
            <w:noWrap/>
            <w:hideMark/>
          </w:tcPr>
          <w:p w14:paraId="1593DC53" w14:textId="77777777" w:rsidR="00087B91" w:rsidRPr="002029AF" w:rsidRDefault="00087B91" w:rsidP="00860E95">
            <w:pPr>
              <w:pStyle w:val="ARfintablebodyright"/>
            </w:pPr>
            <w:r w:rsidRPr="002029AF">
              <w:t>(5.2)</w:t>
            </w:r>
          </w:p>
        </w:tc>
        <w:tc>
          <w:tcPr>
            <w:tcW w:w="1077" w:type="dxa"/>
            <w:tcBorders>
              <w:top w:val="single" w:sz="4" w:space="0" w:color="A6A6A6"/>
              <w:bottom w:val="single" w:sz="4" w:space="0" w:color="A6A6A6"/>
            </w:tcBorders>
            <w:noWrap/>
            <w:hideMark/>
          </w:tcPr>
          <w:p w14:paraId="64782402" w14:textId="77777777" w:rsidR="00087B91" w:rsidRPr="002029AF" w:rsidRDefault="00087B91" w:rsidP="00860E95">
            <w:pPr>
              <w:pStyle w:val="ARfintablebodyright"/>
            </w:pPr>
            <w:r w:rsidRPr="002029AF">
              <w:t>(12.9)</w:t>
            </w:r>
          </w:p>
        </w:tc>
        <w:tc>
          <w:tcPr>
            <w:tcW w:w="1077" w:type="dxa"/>
            <w:tcBorders>
              <w:top w:val="single" w:sz="4" w:space="0" w:color="A6A6A6"/>
              <w:bottom w:val="single" w:sz="4" w:space="0" w:color="A6A6A6"/>
            </w:tcBorders>
            <w:noWrap/>
            <w:hideMark/>
          </w:tcPr>
          <w:p w14:paraId="700A41FB"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5492318B" w14:textId="77777777" w:rsidR="00087B91" w:rsidRPr="002029AF" w:rsidRDefault="00087B91" w:rsidP="00860E95">
            <w:pPr>
              <w:pStyle w:val="ARfintablebodyright"/>
            </w:pPr>
            <w:r w:rsidRPr="002029AF">
              <w:t>(321.4)</w:t>
            </w:r>
          </w:p>
        </w:tc>
      </w:tr>
      <w:tr w:rsidR="00087B91" w:rsidRPr="002029AF" w14:paraId="34BD44B7" w14:textId="77777777" w:rsidTr="00860E95">
        <w:tc>
          <w:tcPr>
            <w:tcW w:w="3175" w:type="dxa"/>
            <w:tcBorders>
              <w:top w:val="single" w:sz="4" w:space="0" w:color="A6A6A6"/>
              <w:bottom w:val="single" w:sz="4" w:space="0" w:color="A6A6A6"/>
            </w:tcBorders>
            <w:hideMark/>
          </w:tcPr>
          <w:p w14:paraId="5C2A8C60" w14:textId="3B97A929" w:rsidR="00087B91" w:rsidRPr="002029AF" w:rsidRDefault="00087B91" w:rsidP="00860E95">
            <w:pPr>
              <w:pStyle w:val="ARfintablebody"/>
            </w:pPr>
            <w:r w:rsidRPr="002029AF">
              <w:t>Fair</w:t>
            </w:r>
            <w:r w:rsidR="000A5329" w:rsidRPr="002029AF">
              <w:t xml:space="preserve"> </w:t>
            </w:r>
            <w:r w:rsidRPr="002029AF">
              <w:t>value</w:t>
            </w:r>
            <w:r w:rsidR="000A5329" w:rsidRPr="002029AF">
              <w:t xml:space="preserve"> </w:t>
            </w:r>
            <w:r w:rsidRPr="002029AF">
              <w:t>of</w:t>
            </w:r>
            <w:r w:rsidR="000A5329" w:rsidRPr="002029AF">
              <w:t xml:space="preserve"> </w:t>
            </w:r>
            <w:r w:rsidRPr="002029AF">
              <w:t>assets</w:t>
            </w:r>
            <w:r w:rsidR="000A5329" w:rsidRPr="002029AF">
              <w:t xml:space="preserve"> </w:t>
            </w:r>
            <w:r w:rsidRPr="002029AF">
              <w:t>received</w:t>
            </w:r>
            <w:r w:rsidR="000A5329" w:rsidRPr="002029AF">
              <w:t xml:space="preserve"> </w:t>
            </w:r>
            <w:r w:rsidRPr="002029AF">
              <w:t>free</w:t>
            </w:r>
            <w:r w:rsidR="000A5329" w:rsidRPr="002029AF">
              <w:t xml:space="preserve"> </w:t>
            </w:r>
            <w:r w:rsidRPr="002029AF">
              <w:t>of</w:t>
            </w:r>
            <w:r w:rsidR="000A5329" w:rsidRPr="002029AF">
              <w:t xml:space="preserve"> </w:t>
            </w:r>
            <w:r w:rsidRPr="002029AF">
              <w:t>charge</w:t>
            </w:r>
            <w:r w:rsidR="000A5329" w:rsidRPr="002029AF">
              <w:t xml:space="preserve"> </w:t>
            </w:r>
            <w:r w:rsidRPr="002029AF">
              <w:t>or</w:t>
            </w:r>
            <w:r w:rsidR="000A5329" w:rsidRPr="002029AF">
              <w:t xml:space="preserve"> </w:t>
            </w:r>
            <w:r w:rsidRPr="002029AF">
              <w:t>for</w:t>
            </w:r>
            <w:r w:rsidR="000A5329" w:rsidRPr="002029AF">
              <w:t xml:space="preserve"> </w:t>
            </w:r>
            <w:r w:rsidRPr="002029AF">
              <w:t>nominal</w:t>
            </w:r>
            <w:r w:rsidR="000A5329" w:rsidRPr="002029AF">
              <w:t xml:space="preserve"> </w:t>
            </w:r>
            <w:r w:rsidRPr="002029AF">
              <w:t>considerations</w:t>
            </w:r>
          </w:p>
        </w:tc>
        <w:tc>
          <w:tcPr>
            <w:tcW w:w="1077" w:type="dxa"/>
            <w:tcBorders>
              <w:top w:val="single" w:sz="4" w:space="0" w:color="A6A6A6"/>
              <w:bottom w:val="single" w:sz="4" w:space="0" w:color="A6A6A6"/>
            </w:tcBorders>
            <w:noWrap/>
            <w:hideMark/>
          </w:tcPr>
          <w:p w14:paraId="6758297F" w14:textId="77777777" w:rsidR="00087B91" w:rsidRPr="002029AF" w:rsidRDefault="00087B91" w:rsidP="00860E95">
            <w:pPr>
              <w:pStyle w:val="ARfintablebodyright"/>
            </w:pPr>
            <w:r w:rsidRPr="002029AF">
              <w:t>2.1</w:t>
            </w:r>
          </w:p>
        </w:tc>
        <w:tc>
          <w:tcPr>
            <w:tcW w:w="1077" w:type="dxa"/>
            <w:tcBorders>
              <w:top w:val="single" w:sz="4" w:space="0" w:color="A6A6A6"/>
              <w:bottom w:val="single" w:sz="4" w:space="0" w:color="A6A6A6"/>
            </w:tcBorders>
            <w:noWrap/>
            <w:hideMark/>
          </w:tcPr>
          <w:p w14:paraId="3C3CD92F" w14:textId="77777777" w:rsidR="00087B91" w:rsidRPr="002029AF" w:rsidRDefault="00087B91" w:rsidP="00860E95">
            <w:pPr>
              <w:pStyle w:val="ARfintablebodyright"/>
            </w:pPr>
            <w:r w:rsidRPr="002029AF">
              <w:t>0.6</w:t>
            </w:r>
          </w:p>
        </w:tc>
        <w:tc>
          <w:tcPr>
            <w:tcW w:w="1077" w:type="dxa"/>
            <w:tcBorders>
              <w:top w:val="single" w:sz="4" w:space="0" w:color="A6A6A6"/>
              <w:bottom w:val="single" w:sz="4" w:space="0" w:color="A6A6A6"/>
            </w:tcBorders>
            <w:noWrap/>
            <w:hideMark/>
          </w:tcPr>
          <w:p w14:paraId="0564B712"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03CFDC99" w14:textId="77777777" w:rsidR="00087B91" w:rsidRPr="002029AF" w:rsidRDefault="00087B91" w:rsidP="00860E95">
            <w:pPr>
              <w:pStyle w:val="ARfintablebodyright"/>
            </w:pPr>
            <w:r w:rsidRPr="002029AF">
              <w:t>0.1</w:t>
            </w:r>
          </w:p>
        </w:tc>
        <w:tc>
          <w:tcPr>
            <w:tcW w:w="1077" w:type="dxa"/>
            <w:tcBorders>
              <w:top w:val="single" w:sz="4" w:space="0" w:color="A6A6A6"/>
              <w:bottom w:val="single" w:sz="4" w:space="0" w:color="A6A6A6"/>
            </w:tcBorders>
            <w:noWrap/>
            <w:hideMark/>
          </w:tcPr>
          <w:p w14:paraId="584E8FC1" w14:textId="77777777" w:rsidR="00087B91" w:rsidRPr="002029AF" w:rsidRDefault="00087B91" w:rsidP="00860E95">
            <w:pPr>
              <w:pStyle w:val="ARfintablebodyright"/>
            </w:pPr>
            <w:r w:rsidRPr="002029AF">
              <w:t>4.9</w:t>
            </w:r>
          </w:p>
        </w:tc>
        <w:tc>
          <w:tcPr>
            <w:tcW w:w="1077" w:type="dxa"/>
            <w:tcBorders>
              <w:top w:val="single" w:sz="4" w:space="0" w:color="A6A6A6"/>
              <w:bottom w:val="single" w:sz="4" w:space="0" w:color="A6A6A6"/>
            </w:tcBorders>
            <w:noWrap/>
            <w:hideMark/>
          </w:tcPr>
          <w:p w14:paraId="58EDC577" w14:textId="77777777" w:rsidR="00087B91" w:rsidRPr="002029AF" w:rsidRDefault="00087B91" w:rsidP="00860E95">
            <w:pPr>
              <w:pStyle w:val="ARfintablebodyright"/>
            </w:pPr>
            <w:r w:rsidRPr="002029AF">
              <w:t>7.6</w:t>
            </w:r>
          </w:p>
        </w:tc>
      </w:tr>
      <w:tr w:rsidR="00087B91" w:rsidRPr="002029AF" w14:paraId="21E0E736" w14:textId="77777777" w:rsidTr="00860E95">
        <w:tc>
          <w:tcPr>
            <w:tcW w:w="3175" w:type="dxa"/>
            <w:tcBorders>
              <w:top w:val="single" w:sz="4" w:space="0" w:color="A6A6A6"/>
              <w:bottom w:val="single" w:sz="4" w:space="0" w:color="A6A6A6"/>
            </w:tcBorders>
            <w:hideMark/>
          </w:tcPr>
          <w:p w14:paraId="5C01FC31" w14:textId="30A825EF" w:rsidR="00087B91" w:rsidRPr="002029AF" w:rsidRDefault="00087B91" w:rsidP="00860E95">
            <w:pPr>
              <w:pStyle w:val="ARfintablebody"/>
            </w:pPr>
            <w:r w:rsidRPr="002029AF">
              <w:t>Fair</w:t>
            </w:r>
            <w:r w:rsidR="000A5329" w:rsidRPr="002029AF">
              <w:t xml:space="preserve"> </w:t>
            </w:r>
            <w:r w:rsidRPr="002029AF">
              <w:t>value</w:t>
            </w:r>
            <w:r w:rsidR="000A5329" w:rsidRPr="002029AF">
              <w:t xml:space="preserve"> </w:t>
            </w:r>
            <w:r w:rsidRPr="002029AF">
              <w:t>of</w:t>
            </w:r>
            <w:r w:rsidR="000A5329" w:rsidRPr="002029AF">
              <w:t xml:space="preserve"> </w:t>
            </w:r>
            <w:r w:rsidRPr="002029AF">
              <w:t>assets</w:t>
            </w:r>
            <w:r w:rsidR="000A5329" w:rsidRPr="002029AF">
              <w:t xml:space="preserve"> </w:t>
            </w:r>
            <w:r w:rsidRPr="002029AF">
              <w:t>provided</w:t>
            </w:r>
            <w:r w:rsidR="000A5329" w:rsidRPr="002029AF">
              <w:t xml:space="preserve"> </w:t>
            </w:r>
            <w:r w:rsidRPr="002029AF">
              <w:t>free</w:t>
            </w:r>
            <w:r w:rsidR="000A5329" w:rsidRPr="002029AF">
              <w:t xml:space="preserve"> </w:t>
            </w:r>
            <w:r w:rsidRPr="002029AF">
              <w:t>of</w:t>
            </w:r>
            <w:r w:rsidR="000A5329" w:rsidRPr="002029AF">
              <w:t xml:space="preserve"> </w:t>
            </w:r>
            <w:r w:rsidRPr="002029AF">
              <w:t>charge</w:t>
            </w:r>
            <w:r w:rsidR="000A5329" w:rsidRPr="002029AF">
              <w:t xml:space="preserve"> </w:t>
            </w:r>
            <w:r w:rsidRPr="002029AF">
              <w:t>or</w:t>
            </w:r>
            <w:r w:rsidR="000A5329" w:rsidRPr="002029AF">
              <w:t xml:space="preserve"> </w:t>
            </w:r>
            <w:r w:rsidRPr="002029AF">
              <w:t>for</w:t>
            </w:r>
            <w:r w:rsidR="000A5329" w:rsidRPr="002029AF">
              <w:t xml:space="preserve"> </w:t>
            </w:r>
            <w:r w:rsidRPr="002029AF">
              <w:t>nominal</w:t>
            </w:r>
            <w:r w:rsidR="000A5329" w:rsidRPr="002029AF">
              <w:t xml:space="preserve"> </w:t>
            </w:r>
            <w:r w:rsidRPr="002029AF">
              <w:t>considerations</w:t>
            </w:r>
          </w:p>
        </w:tc>
        <w:tc>
          <w:tcPr>
            <w:tcW w:w="1077" w:type="dxa"/>
            <w:tcBorders>
              <w:top w:val="single" w:sz="4" w:space="0" w:color="A6A6A6"/>
              <w:bottom w:val="single" w:sz="4" w:space="0" w:color="A6A6A6"/>
            </w:tcBorders>
            <w:noWrap/>
            <w:hideMark/>
          </w:tcPr>
          <w:p w14:paraId="5334CA3A" w14:textId="77777777" w:rsidR="00087B91" w:rsidRPr="002029AF" w:rsidRDefault="00087B91" w:rsidP="00860E95">
            <w:pPr>
              <w:pStyle w:val="ARfintablebodyright"/>
            </w:pPr>
            <w:r w:rsidRPr="002029AF">
              <w:t>(58.6)</w:t>
            </w:r>
          </w:p>
        </w:tc>
        <w:tc>
          <w:tcPr>
            <w:tcW w:w="1077" w:type="dxa"/>
            <w:tcBorders>
              <w:top w:val="single" w:sz="4" w:space="0" w:color="A6A6A6"/>
              <w:bottom w:val="single" w:sz="4" w:space="0" w:color="A6A6A6"/>
            </w:tcBorders>
            <w:noWrap/>
            <w:hideMark/>
          </w:tcPr>
          <w:p w14:paraId="2B3EF886" w14:textId="77777777" w:rsidR="00087B91" w:rsidRPr="002029AF" w:rsidRDefault="00087B91" w:rsidP="00860E95">
            <w:pPr>
              <w:pStyle w:val="ARfintablebodyright"/>
            </w:pPr>
            <w:r w:rsidRPr="002029AF">
              <w:t>(57.6)</w:t>
            </w:r>
          </w:p>
        </w:tc>
        <w:tc>
          <w:tcPr>
            <w:tcW w:w="1077" w:type="dxa"/>
            <w:tcBorders>
              <w:top w:val="single" w:sz="4" w:space="0" w:color="A6A6A6"/>
              <w:bottom w:val="single" w:sz="4" w:space="0" w:color="A6A6A6"/>
            </w:tcBorders>
            <w:noWrap/>
            <w:hideMark/>
          </w:tcPr>
          <w:p w14:paraId="29D10446"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529DB1DE" w14:textId="77777777" w:rsidR="00087B91" w:rsidRPr="002029AF" w:rsidRDefault="00087B91" w:rsidP="00860E95">
            <w:pPr>
              <w:pStyle w:val="ARfintablebodyright"/>
            </w:pPr>
            <w:r w:rsidRPr="002029AF">
              <w:t>(9.2)</w:t>
            </w:r>
          </w:p>
        </w:tc>
        <w:tc>
          <w:tcPr>
            <w:tcW w:w="1077" w:type="dxa"/>
            <w:tcBorders>
              <w:top w:val="single" w:sz="4" w:space="0" w:color="A6A6A6"/>
              <w:bottom w:val="single" w:sz="4" w:space="0" w:color="A6A6A6"/>
            </w:tcBorders>
            <w:noWrap/>
            <w:hideMark/>
          </w:tcPr>
          <w:p w14:paraId="06BD7395" w14:textId="77777777" w:rsidR="00087B91" w:rsidRPr="002029AF" w:rsidRDefault="00087B91" w:rsidP="00860E95">
            <w:pPr>
              <w:pStyle w:val="ARfintablebodyright"/>
            </w:pPr>
            <w:r w:rsidRPr="002029AF">
              <w:t>(4.9)</w:t>
            </w:r>
          </w:p>
        </w:tc>
        <w:tc>
          <w:tcPr>
            <w:tcW w:w="1077" w:type="dxa"/>
            <w:tcBorders>
              <w:top w:val="single" w:sz="4" w:space="0" w:color="A6A6A6"/>
              <w:bottom w:val="single" w:sz="4" w:space="0" w:color="A6A6A6"/>
            </w:tcBorders>
            <w:noWrap/>
            <w:hideMark/>
          </w:tcPr>
          <w:p w14:paraId="2D07DE1E" w14:textId="77777777" w:rsidR="00087B91" w:rsidRPr="002029AF" w:rsidRDefault="00087B91" w:rsidP="00860E95">
            <w:pPr>
              <w:pStyle w:val="ARfintablebodyright"/>
            </w:pPr>
            <w:r w:rsidRPr="002029AF">
              <w:t>(130.2)</w:t>
            </w:r>
          </w:p>
        </w:tc>
      </w:tr>
      <w:tr w:rsidR="00087B91" w:rsidRPr="002029AF" w14:paraId="243D94C5" w14:textId="77777777" w:rsidTr="00860E95">
        <w:tc>
          <w:tcPr>
            <w:tcW w:w="3175" w:type="dxa"/>
            <w:tcBorders>
              <w:top w:val="single" w:sz="4" w:space="0" w:color="A6A6A6"/>
              <w:bottom w:val="single" w:sz="4" w:space="0" w:color="A6A6A6"/>
            </w:tcBorders>
            <w:hideMark/>
          </w:tcPr>
          <w:p w14:paraId="4C12D2F1" w14:textId="56D74207" w:rsidR="00087B91" w:rsidRPr="002029AF" w:rsidRDefault="00087B91" w:rsidP="00860E95">
            <w:pPr>
              <w:pStyle w:val="ARfintablebody"/>
            </w:pPr>
            <w:r w:rsidRPr="002029AF">
              <w:t>Transfers</w:t>
            </w:r>
            <w:r w:rsidR="000A5329" w:rsidRPr="002029AF">
              <w:t xml:space="preserve"> </w:t>
            </w:r>
            <w:r w:rsidRPr="002029AF">
              <w:t>in/(out)</w:t>
            </w:r>
            <w:r w:rsidR="000A5329" w:rsidRPr="002029AF">
              <w:t xml:space="preserve"> </w:t>
            </w:r>
            <w:r w:rsidRPr="002029AF">
              <w:t>of</w:t>
            </w:r>
            <w:r w:rsidR="000A5329" w:rsidRPr="002029AF">
              <w:t xml:space="preserve"> </w:t>
            </w:r>
            <w:r w:rsidRPr="002029AF">
              <w:t>assets</w:t>
            </w:r>
            <w:r w:rsidR="000A5329" w:rsidRPr="002029AF">
              <w:t xml:space="preserve"> </w:t>
            </w:r>
            <w:r w:rsidRPr="002029AF">
              <w:t>under</w:t>
            </w:r>
            <w:r w:rsidR="000A5329" w:rsidRPr="002029AF">
              <w:t xml:space="preserve"> </w:t>
            </w:r>
            <w:r w:rsidRPr="002029AF">
              <w:t>construction</w:t>
            </w:r>
          </w:p>
        </w:tc>
        <w:tc>
          <w:tcPr>
            <w:tcW w:w="1077" w:type="dxa"/>
            <w:tcBorders>
              <w:top w:val="single" w:sz="4" w:space="0" w:color="A6A6A6"/>
              <w:bottom w:val="single" w:sz="4" w:space="0" w:color="A6A6A6"/>
            </w:tcBorders>
            <w:noWrap/>
            <w:hideMark/>
          </w:tcPr>
          <w:p w14:paraId="0933369B" w14:textId="77777777" w:rsidR="00087B91" w:rsidRPr="002029AF" w:rsidRDefault="00087B91" w:rsidP="00860E95">
            <w:pPr>
              <w:pStyle w:val="ARfintablebodyright"/>
            </w:pPr>
            <w:r w:rsidRPr="002029AF">
              <w:t>14.3</w:t>
            </w:r>
          </w:p>
        </w:tc>
        <w:tc>
          <w:tcPr>
            <w:tcW w:w="1077" w:type="dxa"/>
            <w:tcBorders>
              <w:top w:val="single" w:sz="4" w:space="0" w:color="A6A6A6"/>
              <w:bottom w:val="single" w:sz="4" w:space="0" w:color="A6A6A6"/>
            </w:tcBorders>
            <w:noWrap/>
            <w:hideMark/>
          </w:tcPr>
          <w:p w14:paraId="0CC27DA0" w14:textId="77777777" w:rsidR="00087B91" w:rsidRPr="002029AF" w:rsidRDefault="00087B91" w:rsidP="00860E95">
            <w:pPr>
              <w:pStyle w:val="ARfintablebodyright"/>
            </w:pPr>
            <w:r w:rsidRPr="002029AF">
              <w:t>210.9</w:t>
            </w:r>
          </w:p>
        </w:tc>
        <w:tc>
          <w:tcPr>
            <w:tcW w:w="1077" w:type="dxa"/>
            <w:tcBorders>
              <w:top w:val="single" w:sz="4" w:space="0" w:color="A6A6A6"/>
              <w:bottom w:val="single" w:sz="4" w:space="0" w:color="A6A6A6"/>
            </w:tcBorders>
            <w:noWrap/>
            <w:hideMark/>
          </w:tcPr>
          <w:p w14:paraId="1C5A2823"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49C2855B"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4682C834" w14:textId="77777777" w:rsidR="00087B91" w:rsidRPr="002029AF" w:rsidRDefault="00087B91" w:rsidP="00860E95">
            <w:pPr>
              <w:pStyle w:val="ARfintablebodyright"/>
            </w:pPr>
            <w:r w:rsidRPr="002029AF">
              <w:t>(225.3)</w:t>
            </w:r>
          </w:p>
        </w:tc>
        <w:tc>
          <w:tcPr>
            <w:tcW w:w="1077" w:type="dxa"/>
            <w:tcBorders>
              <w:top w:val="single" w:sz="4" w:space="0" w:color="A6A6A6"/>
              <w:bottom w:val="single" w:sz="4" w:space="0" w:color="A6A6A6"/>
            </w:tcBorders>
            <w:noWrap/>
            <w:hideMark/>
          </w:tcPr>
          <w:p w14:paraId="22474C0F" w14:textId="77777777" w:rsidR="00087B91" w:rsidRPr="002029AF" w:rsidRDefault="00087B91" w:rsidP="00860E95">
            <w:pPr>
              <w:pStyle w:val="ARfintablebodyright"/>
            </w:pPr>
            <w:r w:rsidRPr="002029AF">
              <w:t>–</w:t>
            </w:r>
          </w:p>
        </w:tc>
      </w:tr>
      <w:tr w:rsidR="00087B91" w:rsidRPr="002029AF" w14:paraId="790CAF2B" w14:textId="77777777" w:rsidTr="00860E95">
        <w:tc>
          <w:tcPr>
            <w:tcW w:w="3175" w:type="dxa"/>
            <w:tcBorders>
              <w:top w:val="single" w:sz="4" w:space="0" w:color="A6A6A6"/>
              <w:bottom w:val="single" w:sz="4" w:space="0" w:color="A6A6A6"/>
            </w:tcBorders>
            <w:hideMark/>
          </w:tcPr>
          <w:p w14:paraId="698121AE" w14:textId="2351122E" w:rsidR="00087B91" w:rsidRPr="002029AF" w:rsidRDefault="00087B91" w:rsidP="00860E95">
            <w:pPr>
              <w:pStyle w:val="ARfintablebody"/>
            </w:pPr>
            <w:r w:rsidRPr="002029AF">
              <w:t>Transfers</w:t>
            </w:r>
            <w:r w:rsidR="000A5329" w:rsidRPr="002029AF">
              <w:t xml:space="preserve"> </w:t>
            </w:r>
            <w:r w:rsidRPr="002029AF">
              <w:t>to</w:t>
            </w:r>
            <w:r w:rsidR="000A5329" w:rsidRPr="002029AF">
              <w:t xml:space="preserve"> </w:t>
            </w:r>
            <w:r w:rsidRPr="002029AF">
              <w:t>provision</w:t>
            </w:r>
            <w:r w:rsidR="000A5329" w:rsidRPr="002029AF">
              <w:t xml:space="preserve"> </w:t>
            </w:r>
            <w:r w:rsidRPr="002029AF">
              <w:t>for</w:t>
            </w:r>
            <w:r w:rsidR="000A5329" w:rsidRPr="002029AF">
              <w:t xml:space="preserve"> </w:t>
            </w:r>
            <w:r w:rsidRPr="002029AF">
              <w:t>equity</w:t>
            </w:r>
            <w:r w:rsidR="000A5329" w:rsidRPr="002029AF">
              <w:t xml:space="preserve"> </w:t>
            </w:r>
            <w:r w:rsidRPr="002029AF">
              <w:t>reduction</w:t>
            </w:r>
          </w:p>
        </w:tc>
        <w:tc>
          <w:tcPr>
            <w:tcW w:w="1077" w:type="dxa"/>
            <w:tcBorders>
              <w:top w:val="single" w:sz="4" w:space="0" w:color="A6A6A6"/>
              <w:bottom w:val="single" w:sz="4" w:space="0" w:color="A6A6A6"/>
            </w:tcBorders>
            <w:noWrap/>
            <w:hideMark/>
          </w:tcPr>
          <w:p w14:paraId="19F6016E"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0DA19E0C" w14:textId="77777777" w:rsidR="00087B91" w:rsidRPr="002029AF" w:rsidRDefault="00087B91" w:rsidP="00860E95">
            <w:pPr>
              <w:pStyle w:val="ARfintablebodyright"/>
            </w:pPr>
            <w:r w:rsidRPr="002029AF">
              <w:t>(0.1)</w:t>
            </w:r>
          </w:p>
        </w:tc>
        <w:tc>
          <w:tcPr>
            <w:tcW w:w="1077" w:type="dxa"/>
            <w:tcBorders>
              <w:top w:val="single" w:sz="4" w:space="0" w:color="A6A6A6"/>
              <w:bottom w:val="single" w:sz="4" w:space="0" w:color="A6A6A6"/>
            </w:tcBorders>
            <w:noWrap/>
            <w:hideMark/>
          </w:tcPr>
          <w:p w14:paraId="0C38F7F9"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008DB51F"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576A1970"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1C5EB9DA" w14:textId="77777777" w:rsidR="00087B91" w:rsidRPr="002029AF" w:rsidRDefault="00087B91" w:rsidP="00860E95">
            <w:pPr>
              <w:pStyle w:val="ARfintablebodyright"/>
            </w:pPr>
            <w:r w:rsidRPr="002029AF">
              <w:t>(0.1)</w:t>
            </w:r>
          </w:p>
        </w:tc>
      </w:tr>
      <w:tr w:rsidR="00087B91" w:rsidRPr="002029AF" w14:paraId="0706F648" w14:textId="77777777" w:rsidTr="00860E95">
        <w:tc>
          <w:tcPr>
            <w:tcW w:w="3175" w:type="dxa"/>
            <w:tcBorders>
              <w:top w:val="single" w:sz="4" w:space="0" w:color="A6A6A6"/>
              <w:bottom w:val="single" w:sz="4" w:space="0" w:color="A6A6A6"/>
            </w:tcBorders>
            <w:hideMark/>
          </w:tcPr>
          <w:p w14:paraId="76A8EFB1" w14:textId="13DFEEE2" w:rsidR="00087B91" w:rsidRPr="002029AF" w:rsidRDefault="00087B91" w:rsidP="00860E95">
            <w:pPr>
              <w:pStyle w:val="ARfintablebody"/>
            </w:pPr>
            <w:r w:rsidRPr="002029AF">
              <w:t>Transfers</w:t>
            </w:r>
            <w:r w:rsidR="000A5329" w:rsidRPr="002029AF">
              <w:t xml:space="preserve"> </w:t>
            </w:r>
            <w:r w:rsidRPr="002029AF">
              <w:t>(to)/from</w:t>
            </w:r>
            <w:r w:rsidR="000A5329" w:rsidRPr="002029AF">
              <w:t xml:space="preserve"> </w:t>
            </w:r>
            <w:r w:rsidRPr="002029AF">
              <w:t>assets</w:t>
            </w:r>
            <w:r w:rsidR="000A5329" w:rsidRPr="002029AF">
              <w:t xml:space="preserve"> </w:t>
            </w:r>
            <w:r w:rsidRPr="002029AF">
              <w:t>held</w:t>
            </w:r>
            <w:r w:rsidR="000A5329" w:rsidRPr="002029AF">
              <w:t xml:space="preserve"> </w:t>
            </w:r>
            <w:r w:rsidRPr="002029AF">
              <w:t>for</w:t>
            </w:r>
            <w:r w:rsidR="000A5329" w:rsidRPr="002029AF">
              <w:t xml:space="preserve"> </w:t>
            </w:r>
            <w:r w:rsidRPr="002029AF">
              <w:t>sale</w:t>
            </w:r>
          </w:p>
        </w:tc>
        <w:tc>
          <w:tcPr>
            <w:tcW w:w="1077" w:type="dxa"/>
            <w:tcBorders>
              <w:top w:val="single" w:sz="4" w:space="0" w:color="A6A6A6"/>
              <w:bottom w:val="single" w:sz="4" w:space="0" w:color="A6A6A6"/>
            </w:tcBorders>
            <w:noWrap/>
            <w:hideMark/>
          </w:tcPr>
          <w:p w14:paraId="4A0048DE" w14:textId="77777777" w:rsidR="00087B91" w:rsidRPr="002029AF" w:rsidRDefault="00087B91" w:rsidP="00860E95">
            <w:pPr>
              <w:pStyle w:val="ARfintablebodyright"/>
            </w:pPr>
            <w:r w:rsidRPr="002029AF">
              <w:t>(27.0)</w:t>
            </w:r>
          </w:p>
        </w:tc>
        <w:tc>
          <w:tcPr>
            <w:tcW w:w="1077" w:type="dxa"/>
            <w:tcBorders>
              <w:top w:val="single" w:sz="4" w:space="0" w:color="A6A6A6"/>
              <w:bottom w:val="single" w:sz="4" w:space="0" w:color="A6A6A6"/>
            </w:tcBorders>
            <w:noWrap/>
            <w:hideMark/>
          </w:tcPr>
          <w:p w14:paraId="07F85853" w14:textId="77777777" w:rsidR="00087B91" w:rsidRPr="002029AF" w:rsidRDefault="00087B91" w:rsidP="00860E95">
            <w:pPr>
              <w:pStyle w:val="ARfintablebodyright"/>
            </w:pPr>
            <w:r w:rsidRPr="002029AF">
              <w:t>(8.6)</w:t>
            </w:r>
          </w:p>
        </w:tc>
        <w:tc>
          <w:tcPr>
            <w:tcW w:w="1077" w:type="dxa"/>
            <w:tcBorders>
              <w:top w:val="single" w:sz="4" w:space="0" w:color="A6A6A6"/>
              <w:bottom w:val="single" w:sz="4" w:space="0" w:color="A6A6A6"/>
            </w:tcBorders>
            <w:noWrap/>
            <w:hideMark/>
          </w:tcPr>
          <w:p w14:paraId="5D611C4D"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71879FFE"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7B11D44C"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760A5FB7" w14:textId="77777777" w:rsidR="00087B91" w:rsidRPr="002029AF" w:rsidRDefault="00087B91" w:rsidP="00860E95">
            <w:pPr>
              <w:pStyle w:val="ARfintablebodyright"/>
            </w:pPr>
            <w:r w:rsidRPr="002029AF">
              <w:t>(35.6)</w:t>
            </w:r>
          </w:p>
        </w:tc>
      </w:tr>
      <w:tr w:rsidR="00087B91" w:rsidRPr="002029AF" w14:paraId="6378D49D" w14:textId="77777777" w:rsidTr="00860E95">
        <w:tc>
          <w:tcPr>
            <w:tcW w:w="3175" w:type="dxa"/>
            <w:tcBorders>
              <w:top w:val="single" w:sz="4" w:space="0" w:color="A6A6A6"/>
            </w:tcBorders>
            <w:hideMark/>
          </w:tcPr>
          <w:p w14:paraId="3122D2F1" w14:textId="62A8BB1E" w:rsidR="00087B91" w:rsidRPr="002029AF" w:rsidRDefault="00087B91" w:rsidP="00860E95">
            <w:pPr>
              <w:pStyle w:val="ARfintablebody"/>
            </w:pPr>
            <w:r w:rsidRPr="002029AF">
              <w:t>Other</w:t>
            </w:r>
            <w:r w:rsidR="000A5329" w:rsidRPr="002029AF">
              <w:t xml:space="preserve"> </w:t>
            </w:r>
            <w:r w:rsidRPr="002029AF">
              <w:t>changes</w:t>
            </w:r>
          </w:p>
        </w:tc>
        <w:tc>
          <w:tcPr>
            <w:tcW w:w="1077" w:type="dxa"/>
            <w:tcBorders>
              <w:top w:val="single" w:sz="4" w:space="0" w:color="A6A6A6"/>
            </w:tcBorders>
            <w:noWrap/>
            <w:hideMark/>
          </w:tcPr>
          <w:p w14:paraId="20033687" w14:textId="77777777" w:rsidR="00087B91" w:rsidRPr="002029AF" w:rsidRDefault="00087B91" w:rsidP="00860E95">
            <w:pPr>
              <w:pStyle w:val="ARfintablebodyright"/>
            </w:pPr>
            <w:r w:rsidRPr="002029AF">
              <w:t>(4.0)</w:t>
            </w:r>
          </w:p>
        </w:tc>
        <w:tc>
          <w:tcPr>
            <w:tcW w:w="1077" w:type="dxa"/>
            <w:tcBorders>
              <w:top w:val="single" w:sz="4" w:space="0" w:color="A6A6A6"/>
            </w:tcBorders>
            <w:noWrap/>
            <w:hideMark/>
          </w:tcPr>
          <w:p w14:paraId="364F9DC1" w14:textId="77777777" w:rsidR="00087B91" w:rsidRPr="002029AF" w:rsidRDefault="00087B91" w:rsidP="00860E95">
            <w:pPr>
              <w:pStyle w:val="ARfintablebodyright"/>
            </w:pPr>
            <w:r w:rsidRPr="002029AF">
              <w:t>(2.4)</w:t>
            </w:r>
          </w:p>
        </w:tc>
        <w:tc>
          <w:tcPr>
            <w:tcW w:w="1077" w:type="dxa"/>
            <w:tcBorders>
              <w:top w:val="single" w:sz="4" w:space="0" w:color="A6A6A6"/>
            </w:tcBorders>
            <w:noWrap/>
            <w:hideMark/>
          </w:tcPr>
          <w:p w14:paraId="2763BE3F" w14:textId="77777777" w:rsidR="00087B91" w:rsidRPr="002029AF" w:rsidRDefault="00087B91" w:rsidP="00860E95">
            <w:pPr>
              <w:pStyle w:val="ARfintablebodyright"/>
            </w:pPr>
            <w:r w:rsidRPr="002029AF">
              <w:t>(1.1)</w:t>
            </w:r>
          </w:p>
        </w:tc>
        <w:tc>
          <w:tcPr>
            <w:tcW w:w="1077" w:type="dxa"/>
            <w:tcBorders>
              <w:top w:val="single" w:sz="4" w:space="0" w:color="A6A6A6"/>
            </w:tcBorders>
            <w:noWrap/>
            <w:hideMark/>
          </w:tcPr>
          <w:p w14:paraId="38863527" w14:textId="77777777" w:rsidR="00087B91" w:rsidRPr="002029AF" w:rsidRDefault="00087B91" w:rsidP="00860E95">
            <w:pPr>
              <w:pStyle w:val="ARfintablebodyright"/>
            </w:pPr>
            <w:r w:rsidRPr="002029AF">
              <w:t>(0.7)</w:t>
            </w:r>
          </w:p>
        </w:tc>
        <w:tc>
          <w:tcPr>
            <w:tcW w:w="1077" w:type="dxa"/>
            <w:tcBorders>
              <w:top w:val="single" w:sz="4" w:space="0" w:color="A6A6A6"/>
            </w:tcBorders>
            <w:noWrap/>
            <w:hideMark/>
          </w:tcPr>
          <w:p w14:paraId="0FB1F0D6" w14:textId="77777777" w:rsidR="00087B91" w:rsidRPr="002029AF" w:rsidRDefault="00087B91" w:rsidP="00860E95">
            <w:pPr>
              <w:pStyle w:val="ARfintablebodyright"/>
            </w:pPr>
            <w:r w:rsidRPr="002029AF">
              <w:t>0.3</w:t>
            </w:r>
          </w:p>
        </w:tc>
        <w:tc>
          <w:tcPr>
            <w:tcW w:w="1077" w:type="dxa"/>
            <w:tcBorders>
              <w:top w:val="single" w:sz="4" w:space="0" w:color="A6A6A6"/>
            </w:tcBorders>
            <w:noWrap/>
            <w:hideMark/>
          </w:tcPr>
          <w:p w14:paraId="38710926" w14:textId="77777777" w:rsidR="00087B91" w:rsidRPr="002029AF" w:rsidRDefault="00087B91" w:rsidP="00860E95">
            <w:pPr>
              <w:pStyle w:val="ARfintablebodyright"/>
            </w:pPr>
            <w:r w:rsidRPr="002029AF">
              <w:t>(7.8)</w:t>
            </w:r>
          </w:p>
        </w:tc>
      </w:tr>
      <w:tr w:rsidR="00087B91" w:rsidRPr="002029AF" w14:paraId="7CA9C77A" w14:textId="77777777" w:rsidTr="00860E95">
        <w:tc>
          <w:tcPr>
            <w:tcW w:w="3175" w:type="dxa"/>
            <w:hideMark/>
          </w:tcPr>
          <w:p w14:paraId="2D8174C3" w14:textId="3B0E2185" w:rsidR="00087B91" w:rsidRPr="002029AF" w:rsidRDefault="00087B91" w:rsidP="00860E95">
            <w:pPr>
              <w:pStyle w:val="ARfintablebodybold"/>
            </w:pPr>
            <w:r w:rsidRPr="002029AF">
              <w:t>Balance</w:t>
            </w:r>
            <w:r w:rsidR="000A5329" w:rsidRPr="002029AF">
              <w:t xml:space="preserve"> </w:t>
            </w:r>
            <w:r w:rsidRPr="002029AF">
              <w:t>at</w:t>
            </w:r>
            <w:r w:rsidR="000A5329" w:rsidRPr="002029AF">
              <w:t xml:space="preserve"> </w:t>
            </w:r>
            <w:r w:rsidRPr="002029AF">
              <w:t>1</w:t>
            </w:r>
            <w:r w:rsidR="000A5329" w:rsidRPr="002029AF">
              <w:t xml:space="preserve"> </w:t>
            </w:r>
            <w:r w:rsidRPr="002029AF">
              <w:t>July</w:t>
            </w:r>
            <w:r w:rsidR="000A5329" w:rsidRPr="002029AF">
              <w:t xml:space="preserve"> </w:t>
            </w:r>
            <w:r w:rsidRPr="002029AF">
              <w:t>2019</w:t>
            </w:r>
          </w:p>
        </w:tc>
        <w:tc>
          <w:tcPr>
            <w:tcW w:w="1077" w:type="dxa"/>
            <w:noWrap/>
            <w:hideMark/>
          </w:tcPr>
          <w:p w14:paraId="5A691BA1" w14:textId="77777777" w:rsidR="00087B91" w:rsidRPr="002029AF" w:rsidRDefault="00087B91" w:rsidP="00860E95">
            <w:pPr>
              <w:pStyle w:val="ARfintablebodyrightbold"/>
            </w:pPr>
            <w:r w:rsidRPr="002029AF">
              <w:t>18,514.9</w:t>
            </w:r>
          </w:p>
        </w:tc>
        <w:tc>
          <w:tcPr>
            <w:tcW w:w="1077" w:type="dxa"/>
            <w:noWrap/>
            <w:hideMark/>
          </w:tcPr>
          <w:p w14:paraId="0D55D193" w14:textId="77777777" w:rsidR="00087B91" w:rsidRPr="002029AF" w:rsidRDefault="00087B91" w:rsidP="00860E95">
            <w:pPr>
              <w:pStyle w:val="ARfintablebodyrightbold"/>
            </w:pPr>
            <w:r w:rsidRPr="002029AF">
              <w:t>9,797.6</w:t>
            </w:r>
          </w:p>
        </w:tc>
        <w:tc>
          <w:tcPr>
            <w:tcW w:w="1077" w:type="dxa"/>
            <w:noWrap/>
            <w:hideMark/>
          </w:tcPr>
          <w:p w14:paraId="30559EF7" w14:textId="77777777" w:rsidR="00087B91" w:rsidRPr="002029AF" w:rsidRDefault="00087B91" w:rsidP="00860E95">
            <w:pPr>
              <w:pStyle w:val="ARfintablebodyrightbold"/>
            </w:pPr>
            <w:r w:rsidRPr="002029AF">
              <w:t>11.6</w:t>
            </w:r>
          </w:p>
        </w:tc>
        <w:tc>
          <w:tcPr>
            <w:tcW w:w="1077" w:type="dxa"/>
            <w:noWrap/>
            <w:hideMark/>
          </w:tcPr>
          <w:p w14:paraId="5FC023CC" w14:textId="77777777" w:rsidR="00087B91" w:rsidRPr="002029AF" w:rsidRDefault="00087B91" w:rsidP="00860E95">
            <w:pPr>
              <w:pStyle w:val="ARfintablebodyrightbold"/>
            </w:pPr>
            <w:r w:rsidRPr="002029AF">
              <w:t>36.1</w:t>
            </w:r>
          </w:p>
        </w:tc>
        <w:tc>
          <w:tcPr>
            <w:tcW w:w="1077" w:type="dxa"/>
            <w:noWrap/>
            <w:hideMark/>
          </w:tcPr>
          <w:p w14:paraId="692A408B" w14:textId="77777777" w:rsidR="00087B91" w:rsidRPr="002029AF" w:rsidRDefault="00087B91" w:rsidP="00860E95">
            <w:pPr>
              <w:pStyle w:val="ARfintablebodyrightbold"/>
            </w:pPr>
            <w:r w:rsidRPr="002029AF">
              <w:t>458.0</w:t>
            </w:r>
          </w:p>
        </w:tc>
        <w:tc>
          <w:tcPr>
            <w:tcW w:w="1077" w:type="dxa"/>
            <w:noWrap/>
            <w:hideMark/>
          </w:tcPr>
          <w:p w14:paraId="14FB02DE" w14:textId="77777777" w:rsidR="00087B91" w:rsidRPr="002029AF" w:rsidRDefault="00087B91" w:rsidP="00860E95">
            <w:pPr>
              <w:pStyle w:val="ARfintablebodyrightbold"/>
            </w:pPr>
            <w:r w:rsidRPr="002029AF">
              <w:t>28,818.2</w:t>
            </w:r>
          </w:p>
        </w:tc>
      </w:tr>
    </w:tbl>
    <w:p w14:paraId="18568271" w14:textId="77777777" w:rsidR="00087B91" w:rsidRPr="002029AF" w:rsidRDefault="00087B91" w:rsidP="00087B91">
      <w:pPr>
        <w:pStyle w:val="ARfinbody"/>
      </w:pPr>
    </w:p>
    <w:tbl>
      <w:tblPr>
        <w:tblStyle w:val="TableGrid"/>
        <w:tblW w:w="9637" w:type="dxa"/>
        <w:tblLayout w:type="fixed"/>
        <w:tblCellMar>
          <w:right w:w="0" w:type="dxa"/>
        </w:tblCellMar>
        <w:tblLook w:val="06A0" w:firstRow="1" w:lastRow="0" w:firstColumn="1" w:lastColumn="0" w:noHBand="1" w:noVBand="1"/>
      </w:tblPr>
      <w:tblGrid>
        <w:gridCol w:w="3175"/>
        <w:gridCol w:w="1077"/>
        <w:gridCol w:w="1077"/>
        <w:gridCol w:w="1077"/>
        <w:gridCol w:w="1077"/>
        <w:gridCol w:w="1077"/>
        <w:gridCol w:w="1077"/>
      </w:tblGrid>
      <w:tr w:rsidR="00087B91" w:rsidRPr="002029AF" w14:paraId="47F6105E" w14:textId="77777777" w:rsidTr="00ED163A">
        <w:trPr>
          <w:cnfStyle w:val="100000000000" w:firstRow="1" w:lastRow="0" w:firstColumn="0" w:lastColumn="0" w:oddVBand="0" w:evenVBand="0" w:oddHBand="0" w:evenHBand="0" w:firstRowFirstColumn="0" w:firstRowLastColumn="0" w:lastRowFirstColumn="0" w:lastRowLastColumn="0"/>
          <w:trHeight w:val="255"/>
          <w:tblHeader/>
        </w:trPr>
        <w:tc>
          <w:tcPr>
            <w:tcW w:w="3175" w:type="dxa"/>
            <w:tcBorders>
              <w:bottom w:val="single" w:sz="4" w:space="0" w:color="auto"/>
            </w:tcBorders>
            <w:hideMark/>
          </w:tcPr>
          <w:p w14:paraId="49D6EAEA" w14:textId="77777777" w:rsidR="00087B91" w:rsidRPr="002029AF" w:rsidRDefault="00087B91" w:rsidP="00860E95">
            <w:pPr>
              <w:pStyle w:val="ARfintablecolhead"/>
              <w:spacing w:line="216" w:lineRule="auto"/>
            </w:pPr>
            <w:r w:rsidRPr="002029AF">
              <w:t>2020</w:t>
            </w:r>
          </w:p>
        </w:tc>
        <w:tc>
          <w:tcPr>
            <w:tcW w:w="1077" w:type="dxa"/>
            <w:tcBorders>
              <w:bottom w:val="single" w:sz="4" w:space="0" w:color="auto"/>
            </w:tcBorders>
            <w:hideMark/>
          </w:tcPr>
          <w:p w14:paraId="3A31431F" w14:textId="59D9722B" w:rsidR="000A5329" w:rsidRPr="002029AF" w:rsidRDefault="00087B91" w:rsidP="00860E95">
            <w:pPr>
              <w:pStyle w:val="ARfintablecolheadright"/>
              <w:spacing w:line="216" w:lineRule="auto"/>
            </w:pPr>
            <w:r w:rsidRPr="002029AF">
              <w:t>Land</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p w14:paraId="50DFC8E0" w14:textId="097DCD15" w:rsidR="00087B91" w:rsidRPr="002029AF" w:rsidRDefault="00087B91" w:rsidP="00860E95">
            <w:pPr>
              <w:pStyle w:val="ARfintablecolheadright"/>
              <w:spacing w:line="216" w:lineRule="auto"/>
            </w:pPr>
            <w:r w:rsidRPr="002029AF">
              <w:t>$M</w:t>
            </w:r>
          </w:p>
        </w:tc>
        <w:tc>
          <w:tcPr>
            <w:tcW w:w="1077" w:type="dxa"/>
            <w:tcBorders>
              <w:bottom w:val="single" w:sz="4" w:space="0" w:color="auto"/>
            </w:tcBorders>
            <w:hideMark/>
          </w:tcPr>
          <w:p w14:paraId="124E38F2" w14:textId="18C99865" w:rsidR="000A5329" w:rsidRPr="002029AF" w:rsidRDefault="00087B91" w:rsidP="00860E95">
            <w:pPr>
              <w:pStyle w:val="ARfintablecolheadright"/>
              <w:spacing w:line="216" w:lineRule="auto"/>
            </w:pPr>
            <w:r w:rsidRPr="002029AF">
              <w:t>Buildings</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p w14:paraId="507A30C2" w14:textId="0EE8C159" w:rsidR="00087B91" w:rsidRPr="002029AF" w:rsidRDefault="00087B91" w:rsidP="00860E95">
            <w:pPr>
              <w:pStyle w:val="ARfintablecolheadright"/>
              <w:spacing w:line="216" w:lineRule="auto"/>
            </w:pPr>
            <w:r w:rsidRPr="002029AF">
              <w:t>$M</w:t>
            </w:r>
          </w:p>
        </w:tc>
        <w:tc>
          <w:tcPr>
            <w:tcW w:w="1077" w:type="dxa"/>
            <w:tcBorders>
              <w:bottom w:val="single" w:sz="4" w:space="0" w:color="auto"/>
            </w:tcBorders>
            <w:hideMark/>
          </w:tcPr>
          <w:p w14:paraId="25D8F1F2" w14:textId="7042A8D0" w:rsidR="000A5329" w:rsidRPr="002029AF" w:rsidRDefault="00087B91" w:rsidP="00860E95">
            <w:pPr>
              <w:pStyle w:val="ARfintablecolheadright"/>
              <w:spacing w:line="216" w:lineRule="auto"/>
            </w:pPr>
            <w:r w:rsidRPr="002029AF">
              <w:t>Plant,</w:t>
            </w:r>
            <w:r w:rsidR="000A5329" w:rsidRPr="002029AF">
              <w:t xml:space="preserve"> </w:t>
            </w:r>
            <w:r w:rsidRPr="002029AF">
              <w:t>equipment</w:t>
            </w:r>
            <w:r w:rsidR="000A5329" w:rsidRPr="002029AF">
              <w:t xml:space="preserve"> </w:t>
            </w:r>
            <w:r w:rsidRPr="002029AF">
              <w:t>and</w:t>
            </w:r>
            <w:r w:rsidR="000A5329" w:rsidRPr="002029AF">
              <w:t xml:space="preserve"> </w:t>
            </w:r>
            <w:r w:rsidRPr="002029AF">
              <w:t>vehicles</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p w14:paraId="6AAF5F15" w14:textId="5DEB4593" w:rsidR="00087B91" w:rsidRPr="002029AF" w:rsidRDefault="00087B91" w:rsidP="00860E95">
            <w:pPr>
              <w:pStyle w:val="ARfintablecolheadright"/>
              <w:spacing w:line="216" w:lineRule="auto"/>
            </w:pPr>
            <w:r w:rsidRPr="002029AF">
              <w:t>$M</w:t>
            </w:r>
          </w:p>
        </w:tc>
        <w:tc>
          <w:tcPr>
            <w:tcW w:w="1077" w:type="dxa"/>
            <w:tcBorders>
              <w:bottom w:val="single" w:sz="4" w:space="0" w:color="auto"/>
            </w:tcBorders>
            <w:hideMark/>
          </w:tcPr>
          <w:p w14:paraId="712ADDFD" w14:textId="2D82978D" w:rsidR="000A5329" w:rsidRPr="002029AF" w:rsidRDefault="00087B91" w:rsidP="00860E95">
            <w:pPr>
              <w:pStyle w:val="ARfintablecolheadright"/>
              <w:spacing w:line="216" w:lineRule="auto"/>
            </w:pPr>
            <w:r w:rsidRPr="002029AF">
              <w:t>Motor</w:t>
            </w:r>
            <w:r w:rsidR="000A5329" w:rsidRPr="002029AF">
              <w:t xml:space="preserve"> </w:t>
            </w:r>
            <w:r w:rsidRPr="002029AF">
              <w:t>vehicles</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p w14:paraId="71DB9661" w14:textId="0EC686B7" w:rsidR="00087B91" w:rsidRPr="002029AF" w:rsidRDefault="00087B91" w:rsidP="00860E95">
            <w:pPr>
              <w:pStyle w:val="ARfintablecolheadright"/>
              <w:spacing w:line="216" w:lineRule="auto"/>
            </w:pPr>
            <w:r w:rsidRPr="002029AF">
              <w:t>$M</w:t>
            </w:r>
          </w:p>
        </w:tc>
        <w:tc>
          <w:tcPr>
            <w:tcW w:w="1077" w:type="dxa"/>
            <w:tcBorders>
              <w:bottom w:val="single" w:sz="4" w:space="0" w:color="auto"/>
            </w:tcBorders>
            <w:hideMark/>
          </w:tcPr>
          <w:p w14:paraId="6C25A7D6" w14:textId="0762F87F" w:rsidR="000A5329" w:rsidRPr="002029AF" w:rsidRDefault="00087B91" w:rsidP="00860E95">
            <w:pPr>
              <w:pStyle w:val="ARfintablecolheadright"/>
              <w:spacing w:line="216" w:lineRule="auto"/>
            </w:pPr>
            <w:r w:rsidRPr="002029AF">
              <w:t>Assets</w:t>
            </w:r>
            <w:r w:rsidR="000A5329" w:rsidRPr="002029AF">
              <w:t xml:space="preserve"> </w:t>
            </w:r>
            <w:r w:rsidRPr="002029AF">
              <w:t>under</w:t>
            </w:r>
            <w:r w:rsidR="000A5329" w:rsidRPr="002029AF">
              <w:t xml:space="preserve"> </w:t>
            </w:r>
            <w:r w:rsidRPr="002029AF">
              <w:t>construc-tion</w:t>
            </w:r>
            <w:r w:rsidR="000A5329" w:rsidRPr="002029AF">
              <w:t xml:space="preserve"> </w:t>
            </w:r>
            <w:r w:rsidRPr="002029AF">
              <w:t>at</w:t>
            </w:r>
            <w:r w:rsidR="000A5329" w:rsidRPr="002029AF">
              <w:t xml:space="preserve"> </w:t>
            </w:r>
            <w:r w:rsidRPr="002029AF">
              <w:t>cost</w:t>
            </w:r>
          </w:p>
          <w:p w14:paraId="740EF4A9" w14:textId="14932601" w:rsidR="00087B91" w:rsidRPr="002029AF" w:rsidRDefault="00087B91" w:rsidP="00860E95">
            <w:pPr>
              <w:pStyle w:val="ARfintablecolheadright"/>
              <w:spacing w:line="216" w:lineRule="auto"/>
            </w:pPr>
            <w:r w:rsidRPr="002029AF">
              <w:t>$M</w:t>
            </w:r>
          </w:p>
        </w:tc>
        <w:tc>
          <w:tcPr>
            <w:tcW w:w="1077" w:type="dxa"/>
            <w:tcBorders>
              <w:bottom w:val="single" w:sz="4" w:space="0" w:color="auto"/>
            </w:tcBorders>
            <w:hideMark/>
          </w:tcPr>
          <w:p w14:paraId="78B80FD4" w14:textId="77777777" w:rsidR="000A5329" w:rsidRPr="002029AF" w:rsidRDefault="00087B91" w:rsidP="00860E95">
            <w:pPr>
              <w:pStyle w:val="ARfintablecolheadright"/>
              <w:spacing w:line="216" w:lineRule="auto"/>
            </w:pPr>
            <w:r w:rsidRPr="002029AF">
              <w:t>Total</w:t>
            </w:r>
          </w:p>
          <w:p w14:paraId="5EED12C6" w14:textId="7BA4B4C6" w:rsidR="00087B91" w:rsidRPr="002029AF" w:rsidRDefault="00087B91" w:rsidP="00860E95">
            <w:pPr>
              <w:pStyle w:val="ARfintablecolheadright"/>
              <w:spacing w:line="216" w:lineRule="auto"/>
            </w:pPr>
            <w:r w:rsidRPr="002029AF">
              <w:t>$M</w:t>
            </w:r>
          </w:p>
        </w:tc>
      </w:tr>
      <w:tr w:rsidR="00087B91" w:rsidRPr="002029AF" w14:paraId="667D15B3" w14:textId="77777777" w:rsidTr="00860E95">
        <w:trPr>
          <w:trHeight w:val="255"/>
        </w:trPr>
        <w:tc>
          <w:tcPr>
            <w:tcW w:w="3175" w:type="dxa"/>
            <w:tcBorders>
              <w:top w:val="single" w:sz="4" w:space="0" w:color="auto"/>
              <w:bottom w:val="single" w:sz="4" w:space="0" w:color="A6A6A6"/>
            </w:tcBorders>
            <w:hideMark/>
          </w:tcPr>
          <w:p w14:paraId="45DEC934" w14:textId="2A7C97D2" w:rsidR="00087B91" w:rsidRPr="002029AF" w:rsidRDefault="00087B91" w:rsidP="00860E95">
            <w:pPr>
              <w:pStyle w:val="ARfintablebody"/>
            </w:pPr>
            <w:r w:rsidRPr="002029AF">
              <w:t>Recognition</w:t>
            </w:r>
            <w:r w:rsidR="000A5329" w:rsidRPr="002029AF">
              <w:t xml:space="preserve"> </w:t>
            </w:r>
            <w:r w:rsidRPr="002029AF">
              <w:t>of</w:t>
            </w:r>
            <w:r w:rsidR="000A5329" w:rsidRPr="002029AF">
              <w:t xml:space="preserve"> </w:t>
            </w:r>
            <w:r w:rsidRPr="002029AF">
              <w:t>service</w:t>
            </w:r>
            <w:r w:rsidR="000A5329" w:rsidRPr="002029AF">
              <w:t xml:space="preserve"> </w:t>
            </w:r>
            <w:r w:rsidRPr="002029AF">
              <w:t>concession</w:t>
            </w:r>
            <w:r w:rsidR="000A5329" w:rsidRPr="002029AF">
              <w:t xml:space="preserve"> </w:t>
            </w:r>
            <w:r w:rsidRPr="002029AF">
              <w:t>asset</w:t>
            </w:r>
            <w:r w:rsidR="000A5329" w:rsidRPr="002029AF">
              <w:t xml:space="preserve"> </w:t>
            </w:r>
            <w:r w:rsidRPr="002029AF">
              <w:t>on</w:t>
            </w:r>
            <w:r w:rsidR="000A5329" w:rsidRPr="002029AF">
              <w:t xml:space="preserve"> </w:t>
            </w:r>
            <w:r w:rsidRPr="002029AF">
              <w:t>initial</w:t>
            </w:r>
            <w:r w:rsidR="000A5329" w:rsidRPr="002029AF">
              <w:t xml:space="preserve"> </w:t>
            </w:r>
            <w:r w:rsidRPr="002029AF">
              <w:t>application</w:t>
            </w:r>
            <w:r w:rsidR="000A5329" w:rsidRPr="002029AF">
              <w:t xml:space="preserve"> </w:t>
            </w:r>
            <w:r w:rsidRPr="002029AF">
              <w:t>of</w:t>
            </w:r>
            <w:r w:rsidR="000A5329" w:rsidRPr="002029AF">
              <w:t xml:space="preserve"> </w:t>
            </w:r>
            <w:r w:rsidRPr="002029AF">
              <w:t>AASB</w:t>
            </w:r>
            <w:r w:rsidR="000A5329" w:rsidRPr="002029AF">
              <w:t xml:space="preserve"> </w:t>
            </w:r>
            <w:r w:rsidRPr="002029AF">
              <w:t>1059</w:t>
            </w:r>
            <w:r w:rsidR="000A5329" w:rsidRPr="002029AF">
              <w:t xml:space="preserve"> </w:t>
            </w:r>
            <w:r w:rsidRPr="002029AF">
              <w:t>–</w:t>
            </w:r>
            <w:r w:rsidR="000A5329" w:rsidRPr="002029AF">
              <w:t xml:space="preserve"> </w:t>
            </w:r>
            <w:r w:rsidRPr="002029AF">
              <w:t>adjustment</w:t>
            </w:r>
            <w:r w:rsidR="000A5329" w:rsidRPr="002029AF">
              <w:t xml:space="preserve"> </w:t>
            </w:r>
            <w:r w:rsidRPr="002029AF">
              <w:t>to</w:t>
            </w:r>
            <w:r w:rsidR="000A5329" w:rsidRPr="002029AF">
              <w:t xml:space="preserve"> </w:t>
            </w:r>
            <w:r w:rsidRPr="002029AF">
              <w:t>comparative</w:t>
            </w:r>
            <w:r w:rsidR="000A5329" w:rsidRPr="002029AF">
              <w:t xml:space="preserve"> </w:t>
            </w:r>
            <w:r w:rsidRPr="002029AF">
              <w:t>figures</w:t>
            </w:r>
          </w:p>
        </w:tc>
        <w:tc>
          <w:tcPr>
            <w:tcW w:w="1077" w:type="dxa"/>
            <w:tcBorders>
              <w:top w:val="single" w:sz="4" w:space="0" w:color="auto"/>
              <w:bottom w:val="single" w:sz="4" w:space="0" w:color="A6A6A6"/>
            </w:tcBorders>
            <w:noWrap/>
            <w:hideMark/>
          </w:tcPr>
          <w:p w14:paraId="0ED9AEAE" w14:textId="77777777" w:rsidR="00087B91" w:rsidRPr="002029AF" w:rsidRDefault="00087B91" w:rsidP="00860E95">
            <w:pPr>
              <w:pStyle w:val="ARfintablebodyright"/>
            </w:pPr>
            <w:r w:rsidRPr="002029AF">
              <w:t>–</w:t>
            </w:r>
          </w:p>
        </w:tc>
        <w:tc>
          <w:tcPr>
            <w:tcW w:w="1077" w:type="dxa"/>
            <w:tcBorders>
              <w:top w:val="single" w:sz="4" w:space="0" w:color="auto"/>
              <w:bottom w:val="single" w:sz="4" w:space="0" w:color="A6A6A6"/>
            </w:tcBorders>
            <w:noWrap/>
            <w:hideMark/>
          </w:tcPr>
          <w:p w14:paraId="500EF412" w14:textId="77777777" w:rsidR="00087B91" w:rsidRPr="002029AF" w:rsidRDefault="00087B91" w:rsidP="00860E95">
            <w:pPr>
              <w:pStyle w:val="ARfintablebodyright"/>
            </w:pPr>
            <w:r w:rsidRPr="002029AF">
              <w:t>–</w:t>
            </w:r>
          </w:p>
        </w:tc>
        <w:tc>
          <w:tcPr>
            <w:tcW w:w="1077" w:type="dxa"/>
            <w:tcBorders>
              <w:top w:val="single" w:sz="4" w:space="0" w:color="auto"/>
              <w:bottom w:val="single" w:sz="4" w:space="0" w:color="A6A6A6"/>
            </w:tcBorders>
            <w:noWrap/>
            <w:hideMark/>
          </w:tcPr>
          <w:p w14:paraId="68B62C7B" w14:textId="77777777" w:rsidR="00087B91" w:rsidRPr="002029AF" w:rsidRDefault="00087B91" w:rsidP="00860E95">
            <w:pPr>
              <w:pStyle w:val="ARfintablebodyright"/>
            </w:pPr>
            <w:r w:rsidRPr="002029AF">
              <w:t>–</w:t>
            </w:r>
          </w:p>
        </w:tc>
        <w:tc>
          <w:tcPr>
            <w:tcW w:w="1077" w:type="dxa"/>
            <w:tcBorders>
              <w:top w:val="single" w:sz="4" w:space="0" w:color="auto"/>
              <w:bottom w:val="single" w:sz="4" w:space="0" w:color="A6A6A6"/>
            </w:tcBorders>
            <w:noWrap/>
            <w:hideMark/>
          </w:tcPr>
          <w:p w14:paraId="2FD551A3" w14:textId="77777777" w:rsidR="00087B91" w:rsidRPr="002029AF" w:rsidRDefault="00087B91" w:rsidP="00860E95">
            <w:pPr>
              <w:pStyle w:val="ARfintablebodyright"/>
            </w:pPr>
            <w:r w:rsidRPr="002029AF">
              <w:t>–</w:t>
            </w:r>
          </w:p>
        </w:tc>
        <w:tc>
          <w:tcPr>
            <w:tcW w:w="1077" w:type="dxa"/>
            <w:tcBorders>
              <w:top w:val="single" w:sz="4" w:space="0" w:color="auto"/>
              <w:bottom w:val="single" w:sz="4" w:space="0" w:color="A6A6A6"/>
            </w:tcBorders>
            <w:noWrap/>
            <w:hideMark/>
          </w:tcPr>
          <w:p w14:paraId="25A9A3B9" w14:textId="77777777" w:rsidR="00087B91" w:rsidRPr="002029AF" w:rsidRDefault="00087B91" w:rsidP="00860E95">
            <w:pPr>
              <w:pStyle w:val="ARfintablebodyright"/>
            </w:pPr>
            <w:r w:rsidRPr="002029AF">
              <w:t>–</w:t>
            </w:r>
          </w:p>
        </w:tc>
        <w:tc>
          <w:tcPr>
            <w:tcW w:w="1077" w:type="dxa"/>
            <w:tcBorders>
              <w:top w:val="single" w:sz="4" w:space="0" w:color="auto"/>
              <w:bottom w:val="single" w:sz="4" w:space="0" w:color="A6A6A6"/>
            </w:tcBorders>
            <w:noWrap/>
            <w:hideMark/>
          </w:tcPr>
          <w:p w14:paraId="77FAAAF3" w14:textId="77777777" w:rsidR="00087B91" w:rsidRPr="002029AF" w:rsidRDefault="00087B91" w:rsidP="00860E95">
            <w:pPr>
              <w:pStyle w:val="ARfintablebodyright"/>
            </w:pPr>
            <w:r w:rsidRPr="002029AF">
              <w:t>–</w:t>
            </w:r>
          </w:p>
        </w:tc>
      </w:tr>
      <w:tr w:rsidR="00087B91" w:rsidRPr="002029AF" w14:paraId="38CD502A" w14:textId="77777777" w:rsidTr="00860E95">
        <w:trPr>
          <w:trHeight w:val="255"/>
        </w:trPr>
        <w:tc>
          <w:tcPr>
            <w:tcW w:w="3175" w:type="dxa"/>
            <w:tcBorders>
              <w:top w:val="single" w:sz="4" w:space="0" w:color="A6A6A6"/>
              <w:bottom w:val="single" w:sz="4" w:space="0" w:color="A6A6A6"/>
            </w:tcBorders>
            <w:hideMark/>
          </w:tcPr>
          <w:p w14:paraId="67B663BE" w14:textId="65A2ED9E" w:rsidR="00087B91" w:rsidRPr="002029AF" w:rsidRDefault="00087B91" w:rsidP="00860E95">
            <w:pPr>
              <w:pStyle w:val="ARfintablebody"/>
            </w:pPr>
            <w:r w:rsidRPr="002029AF">
              <w:t>Recognition</w:t>
            </w:r>
            <w:r w:rsidR="000A5329" w:rsidRPr="002029AF">
              <w:t xml:space="preserve"> </w:t>
            </w:r>
            <w:r w:rsidRPr="002029AF">
              <w:t>of</w:t>
            </w:r>
            <w:r w:rsidR="000A5329" w:rsidRPr="002029AF">
              <w:t xml:space="preserve"> </w:t>
            </w:r>
            <w:r w:rsidRPr="002029AF">
              <w:t>service</w:t>
            </w:r>
            <w:r w:rsidR="000A5329" w:rsidRPr="002029AF">
              <w:t xml:space="preserve"> </w:t>
            </w:r>
            <w:r w:rsidRPr="002029AF">
              <w:t>concession</w:t>
            </w:r>
            <w:r w:rsidR="000A5329" w:rsidRPr="002029AF">
              <w:t xml:space="preserve"> </w:t>
            </w:r>
            <w:r w:rsidRPr="002029AF">
              <w:t>asset</w:t>
            </w:r>
            <w:r w:rsidR="000A5329" w:rsidRPr="002029AF">
              <w:t xml:space="preserve"> </w:t>
            </w:r>
            <w:r w:rsidRPr="002029AF">
              <w:t>depreciation</w:t>
            </w:r>
            <w:r w:rsidR="000A5329" w:rsidRPr="002029AF">
              <w:t xml:space="preserve"> </w:t>
            </w:r>
            <w:r w:rsidRPr="002029AF">
              <w:t>–</w:t>
            </w:r>
            <w:r w:rsidR="000A5329" w:rsidRPr="002029AF">
              <w:t xml:space="preserve"> </w:t>
            </w:r>
            <w:r w:rsidRPr="002029AF">
              <w:t>restatement</w:t>
            </w:r>
            <w:r w:rsidR="000A5329" w:rsidRPr="002029AF">
              <w:t xml:space="preserve"> </w:t>
            </w:r>
            <w:r w:rsidRPr="002029AF">
              <w:t>of</w:t>
            </w:r>
            <w:r w:rsidR="000A5329" w:rsidRPr="002029AF">
              <w:t xml:space="preserve"> </w:t>
            </w:r>
            <w:r w:rsidRPr="002029AF">
              <w:t>comparative</w:t>
            </w:r>
            <w:r w:rsidR="000A5329" w:rsidRPr="002029AF">
              <w:t xml:space="preserve"> </w:t>
            </w:r>
            <w:r w:rsidRPr="002029AF">
              <w:t>figures</w:t>
            </w:r>
          </w:p>
        </w:tc>
        <w:tc>
          <w:tcPr>
            <w:tcW w:w="1077" w:type="dxa"/>
            <w:tcBorders>
              <w:top w:val="single" w:sz="4" w:space="0" w:color="A6A6A6"/>
              <w:bottom w:val="single" w:sz="4" w:space="0" w:color="A6A6A6"/>
            </w:tcBorders>
            <w:noWrap/>
            <w:hideMark/>
          </w:tcPr>
          <w:p w14:paraId="5B1D698E"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12675E41"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2297AC25"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2FB3DAB0"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21D96436"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2BE63007" w14:textId="77777777" w:rsidR="00087B91" w:rsidRPr="002029AF" w:rsidRDefault="00087B91" w:rsidP="00860E95">
            <w:pPr>
              <w:pStyle w:val="ARfintablebodyright"/>
            </w:pPr>
            <w:r w:rsidRPr="002029AF">
              <w:t>–</w:t>
            </w:r>
          </w:p>
        </w:tc>
      </w:tr>
      <w:tr w:rsidR="00087B91" w:rsidRPr="002029AF" w14:paraId="680446D6" w14:textId="77777777" w:rsidTr="00860E95">
        <w:trPr>
          <w:trHeight w:val="255"/>
        </w:trPr>
        <w:tc>
          <w:tcPr>
            <w:tcW w:w="3175" w:type="dxa"/>
            <w:tcBorders>
              <w:top w:val="single" w:sz="4" w:space="0" w:color="A6A6A6"/>
              <w:bottom w:val="single" w:sz="4" w:space="0" w:color="A6A6A6"/>
            </w:tcBorders>
            <w:hideMark/>
          </w:tcPr>
          <w:p w14:paraId="37892A02" w14:textId="485CEE57" w:rsidR="00087B91" w:rsidRPr="002029AF" w:rsidRDefault="00087B91" w:rsidP="00860E95">
            <w:pPr>
              <w:pStyle w:val="ARfintablebody"/>
            </w:pPr>
            <w:r w:rsidRPr="002029AF">
              <w:t>Recognition</w:t>
            </w:r>
            <w:r w:rsidR="000A5329" w:rsidRPr="002029AF">
              <w:t xml:space="preserve"> </w:t>
            </w:r>
            <w:r w:rsidRPr="002029AF">
              <w:t>of</w:t>
            </w:r>
            <w:r w:rsidR="000A5329" w:rsidRPr="002029AF">
              <w:t xml:space="preserve"> </w:t>
            </w:r>
            <w:r w:rsidRPr="002029AF">
              <w:t>right-of-use</w:t>
            </w:r>
            <w:r w:rsidR="000A5329" w:rsidRPr="002029AF">
              <w:t xml:space="preserve"> </w:t>
            </w:r>
            <w:r w:rsidRPr="002029AF">
              <w:t>assets</w:t>
            </w:r>
            <w:r w:rsidR="000A5329" w:rsidRPr="002029AF">
              <w:t xml:space="preserve"> </w:t>
            </w:r>
            <w:r w:rsidRPr="002029AF">
              <w:t>on</w:t>
            </w:r>
            <w:r w:rsidR="000A5329" w:rsidRPr="002029AF">
              <w:t xml:space="preserve"> </w:t>
            </w:r>
            <w:r w:rsidRPr="002029AF">
              <w:t>initial</w:t>
            </w:r>
            <w:r w:rsidR="000A5329" w:rsidRPr="002029AF">
              <w:t xml:space="preserve"> </w:t>
            </w:r>
            <w:r w:rsidRPr="002029AF">
              <w:t>application</w:t>
            </w:r>
            <w:r w:rsidR="000A5329" w:rsidRPr="002029AF">
              <w:t xml:space="preserve"> </w:t>
            </w:r>
            <w:r w:rsidRPr="002029AF">
              <w:t>of</w:t>
            </w:r>
            <w:r w:rsidR="000A5329" w:rsidRPr="002029AF">
              <w:t xml:space="preserve"> </w:t>
            </w:r>
            <w:r w:rsidRPr="002029AF">
              <w:t>AASB</w:t>
            </w:r>
            <w:r w:rsidR="000A5329" w:rsidRPr="002029AF">
              <w:t xml:space="preserve"> </w:t>
            </w:r>
            <w:r w:rsidRPr="002029AF">
              <w:t>16</w:t>
            </w:r>
          </w:p>
        </w:tc>
        <w:tc>
          <w:tcPr>
            <w:tcW w:w="1077" w:type="dxa"/>
            <w:tcBorders>
              <w:top w:val="single" w:sz="4" w:space="0" w:color="A6A6A6"/>
              <w:bottom w:val="single" w:sz="4" w:space="0" w:color="A6A6A6"/>
            </w:tcBorders>
            <w:noWrap/>
            <w:hideMark/>
          </w:tcPr>
          <w:p w14:paraId="241D64E5" w14:textId="77777777" w:rsidR="00087B91" w:rsidRPr="002029AF" w:rsidRDefault="00087B91" w:rsidP="00860E95">
            <w:pPr>
              <w:pStyle w:val="ARfintablebodyright"/>
            </w:pPr>
            <w:r w:rsidRPr="002029AF">
              <w:t>11.5</w:t>
            </w:r>
          </w:p>
        </w:tc>
        <w:tc>
          <w:tcPr>
            <w:tcW w:w="1077" w:type="dxa"/>
            <w:tcBorders>
              <w:top w:val="single" w:sz="4" w:space="0" w:color="A6A6A6"/>
              <w:bottom w:val="single" w:sz="4" w:space="0" w:color="A6A6A6"/>
            </w:tcBorders>
            <w:noWrap/>
            <w:hideMark/>
          </w:tcPr>
          <w:p w14:paraId="16B47AB0" w14:textId="77777777" w:rsidR="00087B91" w:rsidRPr="002029AF" w:rsidRDefault="00087B91" w:rsidP="00860E95">
            <w:pPr>
              <w:pStyle w:val="ARfintablebodyright"/>
            </w:pPr>
            <w:r w:rsidRPr="002029AF">
              <w:t>569.6</w:t>
            </w:r>
          </w:p>
        </w:tc>
        <w:tc>
          <w:tcPr>
            <w:tcW w:w="1077" w:type="dxa"/>
            <w:tcBorders>
              <w:top w:val="single" w:sz="4" w:space="0" w:color="A6A6A6"/>
              <w:bottom w:val="single" w:sz="4" w:space="0" w:color="A6A6A6"/>
            </w:tcBorders>
            <w:noWrap/>
            <w:hideMark/>
          </w:tcPr>
          <w:p w14:paraId="24D36F15" w14:textId="77777777" w:rsidR="00087B91" w:rsidRPr="002029AF" w:rsidRDefault="00087B91" w:rsidP="00860E95">
            <w:pPr>
              <w:pStyle w:val="ARfintablebodyright"/>
            </w:pPr>
            <w:r w:rsidRPr="002029AF">
              <w:t>4.7</w:t>
            </w:r>
          </w:p>
        </w:tc>
        <w:tc>
          <w:tcPr>
            <w:tcW w:w="1077" w:type="dxa"/>
            <w:tcBorders>
              <w:top w:val="single" w:sz="4" w:space="0" w:color="A6A6A6"/>
              <w:bottom w:val="single" w:sz="4" w:space="0" w:color="A6A6A6"/>
            </w:tcBorders>
            <w:noWrap/>
            <w:hideMark/>
          </w:tcPr>
          <w:p w14:paraId="5E59347F"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1F3FCB00"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6D5B70D3" w14:textId="77777777" w:rsidR="00087B91" w:rsidRPr="002029AF" w:rsidRDefault="00087B91" w:rsidP="00860E95">
            <w:pPr>
              <w:pStyle w:val="ARfintablebodyright"/>
            </w:pPr>
            <w:r w:rsidRPr="002029AF">
              <w:t>585.9</w:t>
            </w:r>
          </w:p>
        </w:tc>
      </w:tr>
      <w:tr w:rsidR="00087B91" w:rsidRPr="002029AF" w14:paraId="3B9817CA" w14:textId="77777777" w:rsidTr="00860E95">
        <w:trPr>
          <w:trHeight w:val="255"/>
        </w:trPr>
        <w:tc>
          <w:tcPr>
            <w:tcW w:w="3175" w:type="dxa"/>
            <w:tcBorders>
              <w:top w:val="single" w:sz="4" w:space="0" w:color="A6A6A6"/>
              <w:bottom w:val="single" w:sz="4" w:space="0" w:color="A6A6A6"/>
            </w:tcBorders>
            <w:hideMark/>
          </w:tcPr>
          <w:p w14:paraId="071E6712" w14:textId="490C60F3" w:rsidR="00087B91" w:rsidRPr="002029AF" w:rsidRDefault="00087B91" w:rsidP="00860E95">
            <w:pPr>
              <w:pStyle w:val="ARfintablebodybold"/>
            </w:pPr>
            <w:r w:rsidRPr="002029AF">
              <w:t>Adjusted</w:t>
            </w:r>
            <w:r w:rsidR="000A5329" w:rsidRPr="002029AF">
              <w:t xml:space="preserve"> </w:t>
            </w:r>
            <w:r w:rsidRPr="002029AF">
              <w:t>balance</w:t>
            </w:r>
            <w:r w:rsidR="000A5329" w:rsidRPr="002029AF">
              <w:t xml:space="preserve"> </w:t>
            </w:r>
            <w:r w:rsidRPr="002029AF">
              <w:t>at</w:t>
            </w:r>
            <w:r w:rsidR="000A5329" w:rsidRPr="002029AF">
              <w:t xml:space="preserve"> </w:t>
            </w:r>
            <w:r w:rsidRPr="002029AF">
              <w:t>1</w:t>
            </w:r>
            <w:r w:rsidR="000A5329" w:rsidRPr="002029AF">
              <w:t xml:space="preserve"> </w:t>
            </w:r>
            <w:r w:rsidRPr="002029AF">
              <w:t>July</w:t>
            </w:r>
            <w:r w:rsidR="000A5329" w:rsidRPr="002029AF">
              <w:t xml:space="preserve"> </w:t>
            </w:r>
            <w:r w:rsidRPr="002029AF">
              <w:t>2019</w:t>
            </w:r>
          </w:p>
        </w:tc>
        <w:tc>
          <w:tcPr>
            <w:tcW w:w="1077" w:type="dxa"/>
            <w:tcBorders>
              <w:top w:val="single" w:sz="4" w:space="0" w:color="A6A6A6"/>
              <w:bottom w:val="single" w:sz="4" w:space="0" w:color="A6A6A6"/>
            </w:tcBorders>
            <w:noWrap/>
            <w:hideMark/>
          </w:tcPr>
          <w:p w14:paraId="3464E386" w14:textId="77777777" w:rsidR="00087B91" w:rsidRPr="002029AF" w:rsidRDefault="00087B91" w:rsidP="00860E95">
            <w:pPr>
              <w:pStyle w:val="ARfintablebodyrightbold"/>
            </w:pPr>
            <w:r w:rsidRPr="002029AF">
              <w:t>18,526.4</w:t>
            </w:r>
          </w:p>
        </w:tc>
        <w:tc>
          <w:tcPr>
            <w:tcW w:w="1077" w:type="dxa"/>
            <w:tcBorders>
              <w:top w:val="single" w:sz="4" w:space="0" w:color="A6A6A6"/>
              <w:bottom w:val="single" w:sz="4" w:space="0" w:color="A6A6A6"/>
            </w:tcBorders>
            <w:noWrap/>
            <w:hideMark/>
          </w:tcPr>
          <w:p w14:paraId="1D79582F" w14:textId="77777777" w:rsidR="00087B91" w:rsidRPr="002029AF" w:rsidRDefault="00087B91" w:rsidP="00860E95">
            <w:pPr>
              <w:pStyle w:val="ARfintablebodyrightbold"/>
            </w:pPr>
            <w:r w:rsidRPr="002029AF">
              <w:t>10,367.2</w:t>
            </w:r>
          </w:p>
        </w:tc>
        <w:tc>
          <w:tcPr>
            <w:tcW w:w="1077" w:type="dxa"/>
            <w:tcBorders>
              <w:top w:val="single" w:sz="4" w:space="0" w:color="A6A6A6"/>
              <w:bottom w:val="single" w:sz="4" w:space="0" w:color="A6A6A6"/>
            </w:tcBorders>
            <w:noWrap/>
            <w:hideMark/>
          </w:tcPr>
          <w:p w14:paraId="5338C802" w14:textId="77777777" w:rsidR="00087B91" w:rsidRPr="002029AF" w:rsidRDefault="00087B91" w:rsidP="00860E95">
            <w:pPr>
              <w:pStyle w:val="ARfintablebodyrightbold"/>
            </w:pPr>
            <w:r w:rsidRPr="002029AF">
              <w:t>16.3</w:t>
            </w:r>
          </w:p>
        </w:tc>
        <w:tc>
          <w:tcPr>
            <w:tcW w:w="1077" w:type="dxa"/>
            <w:tcBorders>
              <w:top w:val="single" w:sz="4" w:space="0" w:color="A6A6A6"/>
              <w:bottom w:val="single" w:sz="4" w:space="0" w:color="A6A6A6"/>
            </w:tcBorders>
            <w:noWrap/>
            <w:hideMark/>
          </w:tcPr>
          <w:p w14:paraId="445DD2C3" w14:textId="77777777" w:rsidR="00087B91" w:rsidRPr="002029AF" w:rsidRDefault="00087B91" w:rsidP="00860E95">
            <w:pPr>
              <w:pStyle w:val="ARfintablebodyrightbold"/>
            </w:pPr>
            <w:r w:rsidRPr="002029AF">
              <w:t>36.1</w:t>
            </w:r>
          </w:p>
        </w:tc>
        <w:tc>
          <w:tcPr>
            <w:tcW w:w="1077" w:type="dxa"/>
            <w:tcBorders>
              <w:top w:val="single" w:sz="4" w:space="0" w:color="A6A6A6"/>
              <w:bottom w:val="single" w:sz="4" w:space="0" w:color="A6A6A6"/>
            </w:tcBorders>
            <w:noWrap/>
            <w:hideMark/>
          </w:tcPr>
          <w:p w14:paraId="5E6B5B1B" w14:textId="77777777" w:rsidR="00087B91" w:rsidRPr="002029AF" w:rsidRDefault="00087B91" w:rsidP="00860E95">
            <w:pPr>
              <w:pStyle w:val="ARfintablebodyrightbold"/>
            </w:pPr>
            <w:r w:rsidRPr="002029AF">
              <w:t>458.0</w:t>
            </w:r>
          </w:p>
        </w:tc>
        <w:tc>
          <w:tcPr>
            <w:tcW w:w="1077" w:type="dxa"/>
            <w:tcBorders>
              <w:top w:val="single" w:sz="4" w:space="0" w:color="A6A6A6"/>
              <w:bottom w:val="single" w:sz="4" w:space="0" w:color="A6A6A6"/>
            </w:tcBorders>
            <w:noWrap/>
            <w:hideMark/>
          </w:tcPr>
          <w:p w14:paraId="5792F399" w14:textId="77777777" w:rsidR="00087B91" w:rsidRPr="002029AF" w:rsidRDefault="00087B91" w:rsidP="00860E95">
            <w:pPr>
              <w:pStyle w:val="ARfintablebodyrightbold"/>
            </w:pPr>
            <w:r w:rsidRPr="002029AF">
              <w:t>29,404.1</w:t>
            </w:r>
          </w:p>
        </w:tc>
      </w:tr>
      <w:tr w:rsidR="00087B91" w:rsidRPr="002029AF" w14:paraId="31BF2B13" w14:textId="77777777" w:rsidTr="00860E95">
        <w:trPr>
          <w:trHeight w:val="255"/>
        </w:trPr>
        <w:tc>
          <w:tcPr>
            <w:tcW w:w="3175" w:type="dxa"/>
            <w:tcBorders>
              <w:top w:val="single" w:sz="4" w:space="0" w:color="A6A6A6"/>
              <w:bottom w:val="single" w:sz="4" w:space="0" w:color="A6A6A6"/>
            </w:tcBorders>
            <w:hideMark/>
          </w:tcPr>
          <w:p w14:paraId="54D566BD" w14:textId="53BBBD15" w:rsidR="00087B91" w:rsidRPr="002029AF" w:rsidRDefault="00087B91" w:rsidP="00860E95">
            <w:pPr>
              <w:pStyle w:val="ARfintablebody"/>
            </w:pPr>
            <w:r w:rsidRPr="002029AF">
              <w:t>Capital</w:t>
            </w:r>
            <w:r w:rsidR="000A5329" w:rsidRPr="002029AF">
              <w:t xml:space="preserve"> </w:t>
            </w:r>
            <w:r w:rsidRPr="002029AF">
              <w:t>contributed</w:t>
            </w:r>
            <w:r w:rsidR="000A5329" w:rsidRPr="002029AF">
              <w:t xml:space="preserve"> </w:t>
            </w:r>
            <w:r w:rsidRPr="002029AF">
              <w:t>from</w:t>
            </w:r>
            <w:r w:rsidR="000A5329" w:rsidRPr="002029AF">
              <w:t xml:space="preserve"> </w:t>
            </w:r>
            <w:r w:rsidRPr="002029AF">
              <w:t>asset</w:t>
            </w:r>
            <w:r w:rsidR="000A5329" w:rsidRPr="002029AF">
              <w:t xml:space="preserve"> </w:t>
            </w:r>
            <w:r w:rsidRPr="002029AF">
              <w:t>transfers</w:t>
            </w:r>
          </w:p>
        </w:tc>
        <w:tc>
          <w:tcPr>
            <w:tcW w:w="1077" w:type="dxa"/>
            <w:tcBorders>
              <w:top w:val="single" w:sz="4" w:space="0" w:color="A6A6A6"/>
              <w:bottom w:val="single" w:sz="4" w:space="0" w:color="A6A6A6"/>
            </w:tcBorders>
            <w:noWrap/>
            <w:hideMark/>
          </w:tcPr>
          <w:p w14:paraId="19D35002"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5AB10D0E"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554EB1FE"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470F4A4B"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30A2041A"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52841FA7" w14:textId="77777777" w:rsidR="00087B91" w:rsidRPr="002029AF" w:rsidRDefault="00087B91" w:rsidP="00860E95">
            <w:pPr>
              <w:pStyle w:val="ARfintablebodyright"/>
            </w:pPr>
            <w:r w:rsidRPr="002029AF">
              <w:t>–</w:t>
            </w:r>
          </w:p>
        </w:tc>
      </w:tr>
      <w:tr w:rsidR="00087B91" w:rsidRPr="002029AF" w14:paraId="30143295" w14:textId="77777777" w:rsidTr="00860E95">
        <w:trPr>
          <w:trHeight w:val="255"/>
        </w:trPr>
        <w:tc>
          <w:tcPr>
            <w:tcW w:w="3175" w:type="dxa"/>
            <w:tcBorders>
              <w:top w:val="single" w:sz="4" w:space="0" w:color="A6A6A6"/>
              <w:bottom w:val="single" w:sz="4" w:space="0" w:color="A6A6A6"/>
            </w:tcBorders>
            <w:hideMark/>
          </w:tcPr>
          <w:p w14:paraId="0DE456D7" w14:textId="22665253" w:rsidR="00087B91" w:rsidRPr="002029AF" w:rsidRDefault="00087B91" w:rsidP="00860E95">
            <w:pPr>
              <w:pStyle w:val="ARfintablebody"/>
            </w:pPr>
            <w:r w:rsidRPr="002029AF">
              <w:t>Machinery</w:t>
            </w:r>
            <w:r w:rsidR="000A5329" w:rsidRPr="002029AF">
              <w:t xml:space="preserve"> </w:t>
            </w:r>
            <w:r w:rsidRPr="002029AF">
              <w:t>of</w:t>
            </w:r>
            <w:r w:rsidR="000A5329" w:rsidRPr="002029AF">
              <w:t xml:space="preserve"> </w:t>
            </w:r>
            <w:r w:rsidRPr="002029AF">
              <w:t>government</w:t>
            </w:r>
            <w:r w:rsidR="000A5329" w:rsidRPr="002029AF">
              <w:t xml:space="preserve"> </w:t>
            </w:r>
            <w:r w:rsidRPr="002029AF">
              <w:t>transfer</w:t>
            </w:r>
            <w:r w:rsidR="000A5329" w:rsidRPr="002029AF">
              <w:t xml:space="preserve"> </w:t>
            </w:r>
            <w:r w:rsidRPr="002029AF">
              <w:t>in/(out)</w:t>
            </w:r>
          </w:p>
        </w:tc>
        <w:tc>
          <w:tcPr>
            <w:tcW w:w="1077" w:type="dxa"/>
            <w:tcBorders>
              <w:top w:val="single" w:sz="4" w:space="0" w:color="A6A6A6"/>
              <w:bottom w:val="single" w:sz="4" w:space="0" w:color="A6A6A6"/>
            </w:tcBorders>
            <w:noWrap/>
            <w:hideMark/>
          </w:tcPr>
          <w:p w14:paraId="0BE42EE8"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4BE8219E"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235E921A"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7E17B1E7"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6E10EF8A" w14:textId="77777777" w:rsidR="00087B91" w:rsidRPr="002029AF" w:rsidRDefault="00087B91" w:rsidP="00860E95">
            <w:pPr>
              <w:pStyle w:val="ARfintablebodyright"/>
            </w:pPr>
            <w:r w:rsidRPr="002029AF">
              <w:t>(0.8)</w:t>
            </w:r>
          </w:p>
        </w:tc>
        <w:tc>
          <w:tcPr>
            <w:tcW w:w="1077" w:type="dxa"/>
            <w:tcBorders>
              <w:top w:val="single" w:sz="4" w:space="0" w:color="A6A6A6"/>
              <w:bottom w:val="single" w:sz="4" w:space="0" w:color="A6A6A6"/>
            </w:tcBorders>
            <w:noWrap/>
            <w:hideMark/>
          </w:tcPr>
          <w:p w14:paraId="1AC26E75" w14:textId="77777777" w:rsidR="00087B91" w:rsidRPr="002029AF" w:rsidRDefault="00087B91" w:rsidP="00860E95">
            <w:pPr>
              <w:pStyle w:val="ARfintablebodyright"/>
            </w:pPr>
            <w:r w:rsidRPr="002029AF">
              <w:t>(0.8)</w:t>
            </w:r>
          </w:p>
        </w:tc>
      </w:tr>
      <w:tr w:rsidR="00087B91" w:rsidRPr="002029AF" w14:paraId="19A0FD72" w14:textId="77777777" w:rsidTr="00860E95">
        <w:trPr>
          <w:trHeight w:val="255"/>
        </w:trPr>
        <w:tc>
          <w:tcPr>
            <w:tcW w:w="3175" w:type="dxa"/>
            <w:tcBorders>
              <w:top w:val="single" w:sz="4" w:space="0" w:color="A6A6A6"/>
              <w:bottom w:val="single" w:sz="4" w:space="0" w:color="A6A6A6"/>
            </w:tcBorders>
            <w:hideMark/>
          </w:tcPr>
          <w:p w14:paraId="11E53AD3" w14:textId="77777777" w:rsidR="00087B91" w:rsidRPr="002029AF" w:rsidRDefault="00087B91" w:rsidP="00860E95">
            <w:pPr>
              <w:pStyle w:val="ARfintablebody"/>
            </w:pPr>
            <w:r w:rsidRPr="002029AF">
              <w:t>Additions</w:t>
            </w:r>
          </w:p>
        </w:tc>
        <w:tc>
          <w:tcPr>
            <w:tcW w:w="1077" w:type="dxa"/>
            <w:tcBorders>
              <w:top w:val="single" w:sz="4" w:space="0" w:color="A6A6A6"/>
              <w:bottom w:val="single" w:sz="4" w:space="0" w:color="A6A6A6"/>
            </w:tcBorders>
            <w:noWrap/>
            <w:hideMark/>
          </w:tcPr>
          <w:p w14:paraId="220E6913"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1DE1CF21" w14:textId="77777777" w:rsidR="00087B91" w:rsidRPr="002029AF" w:rsidRDefault="00087B91" w:rsidP="00860E95">
            <w:pPr>
              <w:pStyle w:val="ARfintablebodyright"/>
            </w:pPr>
            <w:r w:rsidRPr="002029AF">
              <w:t>30.1</w:t>
            </w:r>
          </w:p>
        </w:tc>
        <w:tc>
          <w:tcPr>
            <w:tcW w:w="1077" w:type="dxa"/>
            <w:tcBorders>
              <w:top w:val="single" w:sz="4" w:space="0" w:color="A6A6A6"/>
              <w:bottom w:val="single" w:sz="4" w:space="0" w:color="A6A6A6"/>
            </w:tcBorders>
            <w:noWrap/>
            <w:hideMark/>
          </w:tcPr>
          <w:p w14:paraId="7AD3D491" w14:textId="77777777" w:rsidR="00087B91" w:rsidRPr="002029AF" w:rsidRDefault="00087B91" w:rsidP="00860E95">
            <w:pPr>
              <w:pStyle w:val="ARfintablebodyright"/>
            </w:pPr>
            <w:r w:rsidRPr="002029AF">
              <w:t>2.3</w:t>
            </w:r>
          </w:p>
        </w:tc>
        <w:tc>
          <w:tcPr>
            <w:tcW w:w="1077" w:type="dxa"/>
            <w:tcBorders>
              <w:top w:val="single" w:sz="4" w:space="0" w:color="A6A6A6"/>
              <w:bottom w:val="single" w:sz="4" w:space="0" w:color="A6A6A6"/>
            </w:tcBorders>
            <w:noWrap/>
            <w:hideMark/>
          </w:tcPr>
          <w:p w14:paraId="2B8EA5A1" w14:textId="77777777" w:rsidR="00087B91" w:rsidRPr="002029AF" w:rsidRDefault="00087B91" w:rsidP="00860E95">
            <w:pPr>
              <w:pStyle w:val="ARfintablebodyright"/>
            </w:pPr>
            <w:r w:rsidRPr="002029AF">
              <w:t>15.2</w:t>
            </w:r>
          </w:p>
        </w:tc>
        <w:tc>
          <w:tcPr>
            <w:tcW w:w="1077" w:type="dxa"/>
            <w:tcBorders>
              <w:top w:val="single" w:sz="4" w:space="0" w:color="A6A6A6"/>
              <w:bottom w:val="single" w:sz="4" w:space="0" w:color="A6A6A6"/>
            </w:tcBorders>
            <w:noWrap/>
            <w:hideMark/>
          </w:tcPr>
          <w:p w14:paraId="1A74DB25" w14:textId="77777777" w:rsidR="00087B91" w:rsidRPr="002029AF" w:rsidRDefault="00087B91" w:rsidP="00860E95">
            <w:pPr>
              <w:pStyle w:val="ARfintablebodyright"/>
            </w:pPr>
            <w:r w:rsidRPr="002029AF">
              <w:t>354.5</w:t>
            </w:r>
          </w:p>
        </w:tc>
        <w:tc>
          <w:tcPr>
            <w:tcW w:w="1077" w:type="dxa"/>
            <w:tcBorders>
              <w:top w:val="single" w:sz="4" w:space="0" w:color="A6A6A6"/>
              <w:bottom w:val="single" w:sz="4" w:space="0" w:color="A6A6A6"/>
            </w:tcBorders>
            <w:noWrap/>
            <w:hideMark/>
          </w:tcPr>
          <w:p w14:paraId="1007E320" w14:textId="77777777" w:rsidR="00087B91" w:rsidRPr="002029AF" w:rsidRDefault="00087B91" w:rsidP="00860E95">
            <w:pPr>
              <w:pStyle w:val="ARfintablebodyright"/>
            </w:pPr>
            <w:r w:rsidRPr="002029AF">
              <w:t>402.1</w:t>
            </w:r>
          </w:p>
        </w:tc>
      </w:tr>
      <w:tr w:rsidR="00087B91" w:rsidRPr="002029AF" w14:paraId="648572F6" w14:textId="77777777" w:rsidTr="00860E95">
        <w:trPr>
          <w:trHeight w:val="255"/>
        </w:trPr>
        <w:tc>
          <w:tcPr>
            <w:tcW w:w="3175" w:type="dxa"/>
            <w:tcBorders>
              <w:top w:val="single" w:sz="4" w:space="0" w:color="A6A6A6"/>
              <w:bottom w:val="single" w:sz="4" w:space="0" w:color="A6A6A6"/>
            </w:tcBorders>
            <w:hideMark/>
          </w:tcPr>
          <w:p w14:paraId="5027C871" w14:textId="19909956" w:rsidR="00087B91" w:rsidRPr="002029AF" w:rsidRDefault="00087B91" w:rsidP="00860E95">
            <w:pPr>
              <w:pStyle w:val="ARfintablebody"/>
            </w:pPr>
            <w:r w:rsidRPr="002029AF">
              <w:t>Administrative</w:t>
            </w:r>
            <w:r w:rsidR="000A5329" w:rsidRPr="002029AF">
              <w:t xml:space="preserve"> </w:t>
            </w:r>
            <w:r w:rsidRPr="002029AF">
              <w:t>instrument</w:t>
            </w:r>
            <w:r w:rsidR="000A5329" w:rsidRPr="002029AF">
              <w:t xml:space="preserve"> </w:t>
            </w:r>
            <w:r w:rsidRPr="002029AF">
              <w:t>transfers</w:t>
            </w:r>
          </w:p>
        </w:tc>
        <w:tc>
          <w:tcPr>
            <w:tcW w:w="1077" w:type="dxa"/>
            <w:tcBorders>
              <w:top w:val="single" w:sz="4" w:space="0" w:color="A6A6A6"/>
              <w:bottom w:val="single" w:sz="4" w:space="0" w:color="A6A6A6"/>
            </w:tcBorders>
            <w:noWrap/>
            <w:hideMark/>
          </w:tcPr>
          <w:p w14:paraId="21418293" w14:textId="77777777" w:rsidR="00087B91" w:rsidRPr="002029AF" w:rsidRDefault="00087B91" w:rsidP="00860E95">
            <w:pPr>
              <w:pStyle w:val="ARfintablebodyright"/>
            </w:pPr>
            <w:r w:rsidRPr="002029AF">
              <w:t>7.0</w:t>
            </w:r>
          </w:p>
        </w:tc>
        <w:tc>
          <w:tcPr>
            <w:tcW w:w="1077" w:type="dxa"/>
            <w:tcBorders>
              <w:top w:val="single" w:sz="4" w:space="0" w:color="A6A6A6"/>
              <w:bottom w:val="single" w:sz="4" w:space="0" w:color="A6A6A6"/>
            </w:tcBorders>
            <w:noWrap/>
            <w:hideMark/>
          </w:tcPr>
          <w:p w14:paraId="693B0DFA" w14:textId="77777777" w:rsidR="00087B91" w:rsidRPr="002029AF" w:rsidRDefault="00087B91" w:rsidP="00860E95">
            <w:pPr>
              <w:pStyle w:val="ARfintablebodyright"/>
            </w:pPr>
            <w:r w:rsidRPr="002029AF">
              <w:t>(522.6)</w:t>
            </w:r>
          </w:p>
        </w:tc>
        <w:tc>
          <w:tcPr>
            <w:tcW w:w="1077" w:type="dxa"/>
            <w:tcBorders>
              <w:top w:val="single" w:sz="4" w:space="0" w:color="A6A6A6"/>
              <w:bottom w:val="single" w:sz="4" w:space="0" w:color="A6A6A6"/>
            </w:tcBorders>
            <w:noWrap/>
            <w:hideMark/>
          </w:tcPr>
          <w:p w14:paraId="19942217"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62EC7FE8" w14:textId="77777777" w:rsidR="00087B91" w:rsidRPr="002029AF" w:rsidRDefault="00087B91" w:rsidP="00860E95">
            <w:pPr>
              <w:pStyle w:val="ARfintablebodyright"/>
            </w:pPr>
            <w:r w:rsidRPr="002029AF">
              <w:t>(6.8)</w:t>
            </w:r>
          </w:p>
        </w:tc>
        <w:tc>
          <w:tcPr>
            <w:tcW w:w="1077" w:type="dxa"/>
            <w:tcBorders>
              <w:top w:val="single" w:sz="4" w:space="0" w:color="A6A6A6"/>
              <w:bottom w:val="single" w:sz="4" w:space="0" w:color="A6A6A6"/>
            </w:tcBorders>
            <w:noWrap/>
            <w:hideMark/>
          </w:tcPr>
          <w:p w14:paraId="25F3BFEC"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13169601" w14:textId="77777777" w:rsidR="00087B91" w:rsidRPr="002029AF" w:rsidRDefault="00087B91" w:rsidP="00860E95">
            <w:pPr>
              <w:pStyle w:val="ARfintablebodyright"/>
            </w:pPr>
            <w:r w:rsidRPr="002029AF">
              <w:t>(522.4)</w:t>
            </w:r>
          </w:p>
        </w:tc>
      </w:tr>
      <w:tr w:rsidR="00087B91" w:rsidRPr="002029AF" w14:paraId="7686A05B" w14:textId="77777777" w:rsidTr="00860E95">
        <w:trPr>
          <w:trHeight w:val="255"/>
        </w:trPr>
        <w:tc>
          <w:tcPr>
            <w:tcW w:w="3175" w:type="dxa"/>
            <w:tcBorders>
              <w:top w:val="single" w:sz="4" w:space="0" w:color="A6A6A6"/>
              <w:bottom w:val="single" w:sz="4" w:space="0" w:color="A6A6A6"/>
            </w:tcBorders>
            <w:hideMark/>
          </w:tcPr>
          <w:p w14:paraId="6E9835F5" w14:textId="77777777" w:rsidR="00087B91" w:rsidRPr="002029AF" w:rsidRDefault="00087B91" w:rsidP="00860E95">
            <w:pPr>
              <w:pStyle w:val="ARfintablebody"/>
            </w:pPr>
            <w:r w:rsidRPr="002029AF">
              <w:t>Disposals</w:t>
            </w:r>
          </w:p>
        </w:tc>
        <w:tc>
          <w:tcPr>
            <w:tcW w:w="1077" w:type="dxa"/>
            <w:tcBorders>
              <w:top w:val="single" w:sz="4" w:space="0" w:color="A6A6A6"/>
              <w:bottom w:val="single" w:sz="4" w:space="0" w:color="A6A6A6"/>
            </w:tcBorders>
            <w:noWrap/>
            <w:hideMark/>
          </w:tcPr>
          <w:p w14:paraId="605AFC1A" w14:textId="77777777" w:rsidR="00087B91" w:rsidRPr="002029AF" w:rsidRDefault="00087B91" w:rsidP="00860E95">
            <w:pPr>
              <w:pStyle w:val="ARfintablebodyright"/>
            </w:pPr>
            <w:r w:rsidRPr="002029AF">
              <w:t>(19.7)</w:t>
            </w:r>
          </w:p>
        </w:tc>
        <w:tc>
          <w:tcPr>
            <w:tcW w:w="1077" w:type="dxa"/>
            <w:tcBorders>
              <w:top w:val="single" w:sz="4" w:space="0" w:color="A6A6A6"/>
              <w:bottom w:val="single" w:sz="4" w:space="0" w:color="A6A6A6"/>
            </w:tcBorders>
            <w:noWrap/>
            <w:hideMark/>
          </w:tcPr>
          <w:p w14:paraId="1D865447" w14:textId="77777777" w:rsidR="00087B91" w:rsidRPr="002029AF" w:rsidRDefault="00087B91" w:rsidP="00860E95">
            <w:pPr>
              <w:pStyle w:val="ARfintablebodyright"/>
            </w:pPr>
            <w:r w:rsidRPr="002029AF">
              <w:t>(50.7)</w:t>
            </w:r>
          </w:p>
        </w:tc>
        <w:tc>
          <w:tcPr>
            <w:tcW w:w="1077" w:type="dxa"/>
            <w:tcBorders>
              <w:top w:val="single" w:sz="4" w:space="0" w:color="A6A6A6"/>
              <w:bottom w:val="single" w:sz="4" w:space="0" w:color="A6A6A6"/>
            </w:tcBorders>
            <w:noWrap/>
            <w:hideMark/>
          </w:tcPr>
          <w:p w14:paraId="455BF1AC"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73533111" w14:textId="77777777" w:rsidR="00087B91" w:rsidRPr="002029AF" w:rsidRDefault="00087B91" w:rsidP="00860E95">
            <w:pPr>
              <w:pStyle w:val="ARfintablebodyright"/>
            </w:pPr>
            <w:r w:rsidRPr="002029AF">
              <w:t>(7.3)</w:t>
            </w:r>
          </w:p>
        </w:tc>
        <w:tc>
          <w:tcPr>
            <w:tcW w:w="1077" w:type="dxa"/>
            <w:tcBorders>
              <w:top w:val="single" w:sz="4" w:space="0" w:color="A6A6A6"/>
              <w:bottom w:val="single" w:sz="4" w:space="0" w:color="A6A6A6"/>
            </w:tcBorders>
            <w:noWrap/>
            <w:hideMark/>
          </w:tcPr>
          <w:p w14:paraId="598E545B"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44471893" w14:textId="77777777" w:rsidR="00087B91" w:rsidRPr="002029AF" w:rsidRDefault="00087B91" w:rsidP="00860E95">
            <w:pPr>
              <w:pStyle w:val="ARfintablebodyright"/>
            </w:pPr>
            <w:r w:rsidRPr="002029AF">
              <w:t>(77.6)</w:t>
            </w:r>
          </w:p>
        </w:tc>
      </w:tr>
      <w:tr w:rsidR="00087B91" w:rsidRPr="002029AF" w14:paraId="58197B5D" w14:textId="77777777" w:rsidTr="00860E95">
        <w:trPr>
          <w:trHeight w:val="255"/>
        </w:trPr>
        <w:tc>
          <w:tcPr>
            <w:tcW w:w="3175" w:type="dxa"/>
            <w:tcBorders>
              <w:top w:val="single" w:sz="4" w:space="0" w:color="A6A6A6"/>
              <w:bottom w:val="single" w:sz="4" w:space="0" w:color="A6A6A6"/>
            </w:tcBorders>
            <w:hideMark/>
          </w:tcPr>
          <w:p w14:paraId="25C2C4E9" w14:textId="4D46BD12" w:rsidR="00087B91" w:rsidRPr="002029AF" w:rsidRDefault="00087B91" w:rsidP="00860E95">
            <w:pPr>
              <w:pStyle w:val="ARfintablebody"/>
            </w:pPr>
            <w:r w:rsidRPr="002029AF">
              <w:t>Net</w:t>
            </w:r>
            <w:r w:rsidR="000A5329" w:rsidRPr="002029AF">
              <w:t xml:space="preserve"> </w:t>
            </w:r>
            <w:r w:rsidRPr="002029AF">
              <w:t>revaluation</w:t>
            </w:r>
            <w:r w:rsidR="000A5329" w:rsidRPr="002029AF">
              <w:t xml:space="preserve"> </w:t>
            </w:r>
            <w:r w:rsidRPr="002029AF">
              <w:t>increments/(decrements)</w:t>
            </w:r>
          </w:p>
        </w:tc>
        <w:tc>
          <w:tcPr>
            <w:tcW w:w="1077" w:type="dxa"/>
            <w:tcBorders>
              <w:top w:val="single" w:sz="4" w:space="0" w:color="A6A6A6"/>
              <w:bottom w:val="single" w:sz="4" w:space="0" w:color="A6A6A6"/>
            </w:tcBorders>
            <w:noWrap/>
            <w:hideMark/>
          </w:tcPr>
          <w:p w14:paraId="3C08F03E" w14:textId="77777777" w:rsidR="00087B91" w:rsidRPr="002029AF" w:rsidRDefault="00087B91" w:rsidP="00860E95">
            <w:pPr>
              <w:pStyle w:val="ARfintablebodyright"/>
            </w:pPr>
            <w:r w:rsidRPr="002029AF">
              <w:t>(4.4)</w:t>
            </w:r>
          </w:p>
        </w:tc>
        <w:tc>
          <w:tcPr>
            <w:tcW w:w="1077" w:type="dxa"/>
            <w:tcBorders>
              <w:top w:val="single" w:sz="4" w:space="0" w:color="A6A6A6"/>
              <w:bottom w:val="single" w:sz="4" w:space="0" w:color="A6A6A6"/>
            </w:tcBorders>
            <w:noWrap/>
            <w:hideMark/>
          </w:tcPr>
          <w:p w14:paraId="3DF54CF2" w14:textId="77777777" w:rsidR="00087B91" w:rsidRPr="002029AF" w:rsidRDefault="00087B91" w:rsidP="00860E95">
            <w:pPr>
              <w:pStyle w:val="ARfintablebodyright"/>
            </w:pPr>
            <w:r w:rsidRPr="002029AF">
              <w:t>(14.8)</w:t>
            </w:r>
          </w:p>
        </w:tc>
        <w:tc>
          <w:tcPr>
            <w:tcW w:w="1077" w:type="dxa"/>
            <w:tcBorders>
              <w:top w:val="single" w:sz="4" w:space="0" w:color="A6A6A6"/>
              <w:bottom w:val="single" w:sz="4" w:space="0" w:color="A6A6A6"/>
            </w:tcBorders>
            <w:noWrap/>
            <w:hideMark/>
          </w:tcPr>
          <w:p w14:paraId="0695B244"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37E47FB8"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54048557"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4C7C5018" w14:textId="77777777" w:rsidR="00087B91" w:rsidRPr="002029AF" w:rsidRDefault="00087B91" w:rsidP="00860E95">
            <w:pPr>
              <w:pStyle w:val="ARfintablebodyright"/>
            </w:pPr>
            <w:r w:rsidRPr="002029AF">
              <w:t>(19.2)</w:t>
            </w:r>
          </w:p>
        </w:tc>
      </w:tr>
      <w:tr w:rsidR="00087B91" w:rsidRPr="002029AF" w14:paraId="6E1F5BC4" w14:textId="77777777" w:rsidTr="00860E95">
        <w:trPr>
          <w:trHeight w:val="255"/>
        </w:trPr>
        <w:tc>
          <w:tcPr>
            <w:tcW w:w="3175" w:type="dxa"/>
            <w:tcBorders>
              <w:top w:val="single" w:sz="4" w:space="0" w:color="A6A6A6"/>
              <w:bottom w:val="single" w:sz="4" w:space="0" w:color="A6A6A6"/>
            </w:tcBorders>
            <w:hideMark/>
          </w:tcPr>
          <w:p w14:paraId="649E8609" w14:textId="2640CB8F" w:rsidR="00087B91" w:rsidRPr="002029AF" w:rsidRDefault="00087B91" w:rsidP="00860E95">
            <w:pPr>
              <w:pStyle w:val="ARfintablebody"/>
            </w:pPr>
            <w:r w:rsidRPr="002029AF">
              <w:t>Asset</w:t>
            </w:r>
            <w:r w:rsidR="000A5329" w:rsidRPr="002029AF">
              <w:t xml:space="preserve"> </w:t>
            </w:r>
            <w:r w:rsidRPr="002029AF">
              <w:t>impairment</w:t>
            </w:r>
          </w:p>
        </w:tc>
        <w:tc>
          <w:tcPr>
            <w:tcW w:w="1077" w:type="dxa"/>
            <w:tcBorders>
              <w:top w:val="single" w:sz="4" w:space="0" w:color="A6A6A6"/>
              <w:bottom w:val="single" w:sz="4" w:space="0" w:color="A6A6A6"/>
            </w:tcBorders>
            <w:noWrap/>
            <w:hideMark/>
          </w:tcPr>
          <w:p w14:paraId="3088ECA6"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0FEB6CEE"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55BEAB05"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0EB3C060"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20E7E962" w14:textId="77777777" w:rsidR="00087B91" w:rsidRPr="002029AF" w:rsidRDefault="00087B91" w:rsidP="00860E95">
            <w:pPr>
              <w:pStyle w:val="ARfintablebodyright"/>
            </w:pPr>
            <w:r w:rsidRPr="002029AF">
              <w:t>1.0</w:t>
            </w:r>
          </w:p>
        </w:tc>
        <w:tc>
          <w:tcPr>
            <w:tcW w:w="1077" w:type="dxa"/>
            <w:tcBorders>
              <w:top w:val="single" w:sz="4" w:space="0" w:color="A6A6A6"/>
              <w:bottom w:val="single" w:sz="4" w:space="0" w:color="A6A6A6"/>
            </w:tcBorders>
            <w:noWrap/>
            <w:hideMark/>
          </w:tcPr>
          <w:p w14:paraId="7BF12B84" w14:textId="77777777" w:rsidR="00087B91" w:rsidRPr="002029AF" w:rsidRDefault="00087B91" w:rsidP="00860E95">
            <w:pPr>
              <w:pStyle w:val="ARfintablebodyright"/>
            </w:pPr>
            <w:r w:rsidRPr="002029AF">
              <w:t>1.0</w:t>
            </w:r>
          </w:p>
        </w:tc>
      </w:tr>
      <w:tr w:rsidR="00087B91" w:rsidRPr="002029AF" w14:paraId="32B86064" w14:textId="77777777" w:rsidTr="00860E95">
        <w:trPr>
          <w:trHeight w:val="255"/>
        </w:trPr>
        <w:tc>
          <w:tcPr>
            <w:tcW w:w="3175" w:type="dxa"/>
            <w:tcBorders>
              <w:top w:val="single" w:sz="4" w:space="0" w:color="A6A6A6"/>
              <w:bottom w:val="single" w:sz="4" w:space="0" w:color="A6A6A6"/>
            </w:tcBorders>
            <w:hideMark/>
          </w:tcPr>
          <w:p w14:paraId="44104EF0" w14:textId="5EE8FC20" w:rsidR="00087B91" w:rsidRPr="002029AF" w:rsidRDefault="00087B91" w:rsidP="00860E95">
            <w:pPr>
              <w:pStyle w:val="ARfintablebody"/>
            </w:pPr>
            <w:r w:rsidRPr="002029AF">
              <w:t>Depreciation</w:t>
            </w:r>
            <w:r w:rsidR="000A5329" w:rsidRPr="002029AF">
              <w:t xml:space="preserve"> </w:t>
            </w:r>
            <w:r w:rsidRPr="002029AF">
              <w:t>and</w:t>
            </w:r>
            <w:r w:rsidR="000A5329" w:rsidRPr="002029AF">
              <w:t xml:space="preserve"> </w:t>
            </w:r>
            <w:r w:rsidRPr="002029AF">
              <w:t>amortisation</w:t>
            </w:r>
          </w:p>
        </w:tc>
        <w:tc>
          <w:tcPr>
            <w:tcW w:w="1077" w:type="dxa"/>
            <w:tcBorders>
              <w:top w:val="single" w:sz="4" w:space="0" w:color="A6A6A6"/>
              <w:bottom w:val="single" w:sz="4" w:space="0" w:color="A6A6A6"/>
            </w:tcBorders>
            <w:noWrap/>
            <w:hideMark/>
          </w:tcPr>
          <w:p w14:paraId="40B113D8" w14:textId="77777777" w:rsidR="00087B91" w:rsidRPr="002029AF" w:rsidRDefault="00087B91" w:rsidP="00860E95">
            <w:pPr>
              <w:pStyle w:val="ARfintablebodyright"/>
            </w:pPr>
            <w:r w:rsidRPr="002029AF">
              <w:t>(0.9)</w:t>
            </w:r>
          </w:p>
        </w:tc>
        <w:tc>
          <w:tcPr>
            <w:tcW w:w="1077" w:type="dxa"/>
            <w:tcBorders>
              <w:top w:val="single" w:sz="4" w:space="0" w:color="A6A6A6"/>
              <w:bottom w:val="single" w:sz="4" w:space="0" w:color="A6A6A6"/>
            </w:tcBorders>
            <w:noWrap/>
            <w:hideMark/>
          </w:tcPr>
          <w:p w14:paraId="64532A52" w14:textId="77777777" w:rsidR="00087B91" w:rsidRPr="002029AF" w:rsidRDefault="00087B91" w:rsidP="00860E95">
            <w:pPr>
              <w:pStyle w:val="ARfintablebodyright"/>
            </w:pPr>
            <w:r w:rsidRPr="002029AF">
              <w:t>(386.8)</w:t>
            </w:r>
          </w:p>
        </w:tc>
        <w:tc>
          <w:tcPr>
            <w:tcW w:w="1077" w:type="dxa"/>
            <w:tcBorders>
              <w:top w:val="single" w:sz="4" w:space="0" w:color="A6A6A6"/>
              <w:bottom w:val="single" w:sz="4" w:space="0" w:color="A6A6A6"/>
            </w:tcBorders>
            <w:noWrap/>
            <w:hideMark/>
          </w:tcPr>
          <w:p w14:paraId="658B785C" w14:textId="77777777" w:rsidR="00087B91" w:rsidRPr="002029AF" w:rsidRDefault="00087B91" w:rsidP="00860E95">
            <w:pPr>
              <w:pStyle w:val="ARfintablebodyright"/>
            </w:pPr>
            <w:r w:rsidRPr="002029AF">
              <w:t>(6.7)</w:t>
            </w:r>
          </w:p>
        </w:tc>
        <w:tc>
          <w:tcPr>
            <w:tcW w:w="1077" w:type="dxa"/>
            <w:tcBorders>
              <w:top w:val="single" w:sz="4" w:space="0" w:color="A6A6A6"/>
              <w:bottom w:val="single" w:sz="4" w:space="0" w:color="A6A6A6"/>
            </w:tcBorders>
            <w:noWrap/>
            <w:hideMark/>
          </w:tcPr>
          <w:p w14:paraId="329542D4" w14:textId="77777777" w:rsidR="00087B91" w:rsidRPr="002029AF" w:rsidRDefault="00087B91" w:rsidP="00860E95">
            <w:pPr>
              <w:pStyle w:val="ARfintablebodyright"/>
            </w:pPr>
            <w:r w:rsidRPr="002029AF">
              <w:t>(8.8)</w:t>
            </w:r>
          </w:p>
        </w:tc>
        <w:tc>
          <w:tcPr>
            <w:tcW w:w="1077" w:type="dxa"/>
            <w:tcBorders>
              <w:top w:val="single" w:sz="4" w:space="0" w:color="A6A6A6"/>
              <w:bottom w:val="single" w:sz="4" w:space="0" w:color="A6A6A6"/>
            </w:tcBorders>
            <w:noWrap/>
            <w:hideMark/>
          </w:tcPr>
          <w:p w14:paraId="23319DF4"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41855270" w14:textId="77777777" w:rsidR="00087B91" w:rsidRPr="002029AF" w:rsidRDefault="00087B91" w:rsidP="00860E95">
            <w:pPr>
              <w:pStyle w:val="ARfintablebodyright"/>
            </w:pPr>
            <w:r w:rsidRPr="002029AF">
              <w:t>(403.2)</w:t>
            </w:r>
          </w:p>
        </w:tc>
      </w:tr>
      <w:tr w:rsidR="00087B91" w:rsidRPr="002029AF" w14:paraId="18C161F4" w14:textId="77777777" w:rsidTr="00860E95">
        <w:trPr>
          <w:trHeight w:val="255"/>
        </w:trPr>
        <w:tc>
          <w:tcPr>
            <w:tcW w:w="3175" w:type="dxa"/>
            <w:tcBorders>
              <w:top w:val="single" w:sz="4" w:space="0" w:color="A6A6A6"/>
              <w:bottom w:val="single" w:sz="4" w:space="0" w:color="A6A6A6"/>
            </w:tcBorders>
            <w:hideMark/>
          </w:tcPr>
          <w:p w14:paraId="66569DAA" w14:textId="2E18AFB1" w:rsidR="00087B91" w:rsidRPr="002029AF" w:rsidRDefault="00087B91" w:rsidP="00860E95">
            <w:pPr>
              <w:pStyle w:val="ARfintablebody"/>
            </w:pPr>
            <w:r w:rsidRPr="002029AF">
              <w:t>Fair</w:t>
            </w:r>
            <w:r w:rsidR="000A5329" w:rsidRPr="002029AF">
              <w:t xml:space="preserve"> </w:t>
            </w:r>
            <w:r w:rsidRPr="002029AF">
              <w:t>value</w:t>
            </w:r>
            <w:r w:rsidR="000A5329" w:rsidRPr="002029AF">
              <w:t xml:space="preserve"> </w:t>
            </w:r>
            <w:r w:rsidRPr="002029AF">
              <w:t>of</w:t>
            </w:r>
            <w:r w:rsidR="000A5329" w:rsidRPr="002029AF">
              <w:t xml:space="preserve"> </w:t>
            </w:r>
            <w:r w:rsidRPr="002029AF">
              <w:t>assets</w:t>
            </w:r>
            <w:r w:rsidR="000A5329" w:rsidRPr="002029AF">
              <w:t xml:space="preserve"> </w:t>
            </w:r>
            <w:r w:rsidRPr="002029AF">
              <w:t>received</w:t>
            </w:r>
            <w:r w:rsidR="000A5329" w:rsidRPr="002029AF">
              <w:t xml:space="preserve"> </w:t>
            </w:r>
            <w:r w:rsidRPr="002029AF">
              <w:t>free</w:t>
            </w:r>
            <w:r w:rsidR="000A5329" w:rsidRPr="002029AF">
              <w:t xml:space="preserve"> </w:t>
            </w:r>
            <w:r w:rsidRPr="002029AF">
              <w:t>of</w:t>
            </w:r>
            <w:r w:rsidR="000A5329" w:rsidRPr="002029AF">
              <w:t xml:space="preserve"> </w:t>
            </w:r>
            <w:r w:rsidRPr="002029AF">
              <w:t>charge</w:t>
            </w:r>
            <w:r w:rsidR="000A5329" w:rsidRPr="002029AF">
              <w:t xml:space="preserve"> </w:t>
            </w:r>
            <w:r w:rsidRPr="002029AF">
              <w:t>or</w:t>
            </w:r>
            <w:r w:rsidR="000A5329" w:rsidRPr="002029AF">
              <w:t xml:space="preserve"> </w:t>
            </w:r>
            <w:r w:rsidRPr="002029AF">
              <w:t>for</w:t>
            </w:r>
            <w:r w:rsidR="000A5329" w:rsidRPr="002029AF">
              <w:t xml:space="preserve"> </w:t>
            </w:r>
            <w:r w:rsidRPr="002029AF">
              <w:t>nominal</w:t>
            </w:r>
            <w:r w:rsidR="000A5329" w:rsidRPr="002029AF">
              <w:t xml:space="preserve"> </w:t>
            </w:r>
            <w:r w:rsidRPr="002029AF">
              <w:t>considerations</w:t>
            </w:r>
          </w:p>
        </w:tc>
        <w:tc>
          <w:tcPr>
            <w:tcW w:w="1077" w:type="dxa"/>
            <w:tcBorders>
              <w:top w:val="single" w:sz="4" w:space="0" w:color="A6A6A6"/>
              <w:bottom w:val="single" w:sz="4" w:space="0" w:color="A6A6A6"/>
            </w:tcBorders>
            <w:noWrap/>
            <w:hideMark/>
          </w:tcPr>
          <w:p w14:paraId="23EB6B96" w14:textId="77777777" w:rsidR="00087B91" w:rsidRPr="002029AF" w:rsidRDefault="00087B91" w:rsidP="00860E95">
            <w:pPr>
              <w:pStyle w:val="ARfintablebodyright"/>
            </w:pPr>
            <w:r w:rsidRPr="002029AF">
              <w:t>2.5</w:t>
            </w:r>
          </w:p>
        </w:tc>
        <w:tc>
          <w:tcPr>
            <w:tcW w:w="1077" w:type="dxa"/>
            <w:tcBorders>
              <w:top w:val="single" w:sz="4" w:space="0" w:color="A6A6A6"/>
              <w:bottom w:val="single" w:sz="4" w:space="0" w:color="A6A6A6"/>
            </w:tcBorders>
            <w:noWrap/>
            <w:hideMark/>
          </w:tcPr>
          <w:p w14:paraId="198B1164" w14:textId="77777777" w:rsidR="00087B91" w:rsidRPr="002029AF" w:rsidRDefault="00087B91" w:rsidP="00860E95">
            <w:pPr>
              <w:pStyle w:val="ARfintablebodyright"/>
            </w:pPr>
            <w:r w:rsidRPr="002029AF">
              <w:t>0.2</w:t>
            </w:r>
          </w:p>
        </w:tc>
        <w:tc>
          <w:tcPr>
            <w:tcW w:w="1077" w:type="dxa"/>
            <w:tcBorders>
              <w:top w:val="single" w:sz="4" w:space="0" w:color="A6A6A6"/>
              <w:bottom w:val="single" w:sz="4" w:space="0" w:color="A6A6A6"/>
            </w:tcBorders>
            <w:noWrap/>
            <w:hideMark/>
          </w:tcPr>
          <w:p w14:paraId="0726F024"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7BD73B23" w14:textId="77777777" w:rsidR="00087B91" w:rsidRPr="002029AF" w:rsidRDefault="00087B91" w:rsidP="00860E95">
            <w:pPr>
              <w:pStyle w:val="ARfintablebodyright"/>
            </w:pPr>
            <w:r w:rsidRPr="002029AF">
              <w:t>0.1</w:t>
            </w:r>
          </w:p>
        </w:tc>
        <w:tc>
          <w:tcPr>
            <w:tcW w:w="1077" w:type="dxa"/>
            <w:tcBorders>
              <w:top w:val="single" w:sz="4" w:space="0" w:color="A6A6A6"/>
              <w:bottom w:val="single" w:sz="4" w:space="0" w:color="A6A6A6"/>
            </w:tcBorders>
            <w:noWrap/>
            <w:hideMark/>
          </w:tcPr>
          <w:p w14:paraId="0B04B869"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4F235003" w14:textId="77777777" w:rsidR="00087B91" w:rsidRPr="002029AF" w:rsidRDefault="00087B91" w:rsidP="00860E95">
            <w:pPr>
              <w:pStyle w:val="ARfintablebodyright"/>
            </w:pPr>
            <w:r w:rsidRPr="002029AF">
              <w:t>2.8</w:t>
            </w:r>
          </w:p>
        </w:tc>
      </w:tr>
      <w:tr w:rsidR="00087B91" w:rsidRPr="002029AF" w14:paraId="2DB5CAF7" w14:textId="77777777" w:rsidTr="00860E95">
        <w:trPr>
          <w:trHeight w:val="255"/>
        </w:trPr>
        <w:tc>
          <w:tcPr>
            <w:tcW w:w="3175" w:type="dxa"/>
            <w:tcBorders>
              <w:top w:val="single" w:sz="4" w:space="0" w:color="A6A6A6"/>
              <w:bottom w:val="single" w:sz="4" w:space="0" w:color="A6A6A6"/>
            </w:tcBorders>
            <w:hideMark/>
          </w:tcPr>
          <w:p w14:paraId="4DD77F78" w14:textId="23E0E19F" w:rsidR="00087B91" w:rsidRPr="002029AF" w:rsidRDefault="00087B91" w:rsidP="00860E95">
            <w:pPr>
              <w:pStyle w:val="ARfintablebody"/>
            </w:pPr>
            <w:r w:rsidRPr="002029AF">
              <w:t>Fair</w:t>
            </w:r>
            <w:r w:rsidR="000A5329" w:rsidRPr="002029AF">
              <w:t xml:space="preserve"> </w:t>
            </w:r>
            <w:r w:rsidRPr="002029AF">
              <w:t>value</w:t>
            </w:r>
            <w:r w:rsidR="000A5329" w:rsidRPr="002029AF">
              <w:t xml:space="preserve"> </w:t>
            </w:r>
            <w:r w:rsidRPr="002029AF">
              <w:t>of</w:t>
            </w:r>
            <w:r w:rsidR="000A5329" w:rsidRPr="002029AF">
              <w:t xml:space="preserve"> </w:t>
            </w:r>
            <w:r w:rsidRPr="002029AF">
              <w:t>assets</w:t>
            </w:r>
            <w:r w:rsidR="000A5329" w:rsidRPr="002029AF">
              <w:t xml:space="preserve"> </w:t>
            </w:r>
            <w:r w:rsidRPr="002029AF">
              <w:t>provided</w:t>
            </w:r>
            <w:r w:rsidR="000A5329" w:rsidRPr="002029AF">
              <w:t xml:space="preserve"> </w:t>
            </w:r>
            <w:r w:rsidRPr="002029AF">
              <w:t>free</w:t>
            </w:r>
            <w:r w:rsidR="000A5329" w:rsidRPr="002029AF">
              <w:t xml:space="preserve"> </w:t>
            </w:r>
            <w:r w:rsidRPr="002029AF">
              <w:t>of</w:t>
            </w:r>
            <w:r w:rsidR="000A5329" w:rsidRPr="002029AF">
              <w:t xml:space="preserve"> </w:t>
            </w:r>
            <w:r w:rsidRPr="002029AF">
              <w:t>charge</w:t>
            </w:r>
            <w:r w:rsidR="000A5329" w:rsidRPr="002029AF">
              <w:t xml:space="preserve"> </w:t>
            </w:r>
            <w:r w:rsidRPr="002029AF">
              <w:t>or</w:t>
            </w:r>
            <w:r w:rsidR="000A5329" w:rsidRPr="002029AF">
              <w:t xml:space="preserve"> </w:t>
            </w:r>
            <w:r w:rsidRPr="002029AF">
              <w:t>for</w:t>
            </w:r>
            <w:r w:rsidR="000A5329" w:rsidRPr="002029AF">
              <w:t xml:space="preserve"> </w:t>
            </w:r>
            <w:r w:rsidRPr="002029AF">
              <w:t>nominal</w:t>
            </w:r>
            <w:r w:rsidR="000A5329" w:rsidRPr="002029AF">
              <w:t xml:space="preserve"> </w:t>
            </w:r>
            <w:r w:rsidRPr="002029AF">
              <w:t>considerations</w:t>
            </w:r>
          </w:p>
        </w:tc>
        <w:tc>
          <w:tcPr>
            <w:tcW w:w="1077" w:type="dxa"/>
            <w:tcBorders>
              <w:top w:val="single" w:sz="4" w:space="0" w:color="A6A6A6"/>
              <w:bottom w:val="single" w:sz="4" w:space="0" w:color="A6A6A6"/>
            </w:tcBorders>
            <w:noWrap/>
            <w:hideMark/>
          </w:tcPr>
          <w:p w14:paraId="5F41F06A"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7FB0F9D5"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436D4CBA" w14:textId="77777777" w:rsidR="00087B91" w:rsidRPr="002029AF" w:rsidRDefault="00087B91" w:rsidP="00860E95">
            <w:pPr>
              <w:pStyle w:val="ARfintablebodyright"/>
            </w:pPr>
            <w:r w:rsidRPr="002029AF">
              <w:t>(0.3)</w:t>
            </w:r>
          </w:p>
        </w:tc>
        <w:tc>
          <w:tcPr>
            <w:tcW w:w="1077" w:type="dxa"/>
            <w:tcBorders>
              <w:top w:val="single" w:sz="4" w:space="0" w:color="A6A6A6"/>
              <w:bottom w:val="single" w:sz="4" w:space="0" w:color="A6A6A6"/>
            </w:tcBorders>
            <w:noWrap/>
            <w:hideMark/>
          </w:tcPr>
          <w:p w14:paraId="53254839" w14:textId="77777777" w:rsidR="00087B91" w:rsidRPr="002029AF" w:rsidRDefault="00087B91" w:rsidP="00860E95">
            <w:pPr>
              <w:pStyle w:val="ARfintablebodyright"/>
            </w:pPr>
            <w:r w:rsidRPr="002029AF">
              <w:t>(0.4)</w:t>
            </w:r>
          </w:p>
        </w:tc>
        <w:tc>
          <w:tcPr>
            <w:tcW w:w="1077" w:type="dxa"/>
            <w:tcBorders>
              <w:top w:val="single" w:sz="4" w:space="0" w:color="A6A6A6"/>
              <w:bottom w:val="single" w:sz="4" w:space="0" w:color="A6A6A6"/>
            </w:tcBorders>
            <w:noWrap/>
            <w:hideMark/>
          </w:tcPr>
          <w:p w14:paraId="58508594"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2421548F" w14:textId="77777777" w:rsidR="00087B91" w:rsidRPr="002029AF" w:rsidRDefault="00087B91" w:rsidP="00860E95">
            <w:pPr>
              <w:pStyle w:val="ARfintablebodyright"/>
            </w:pPr>
            <w:r w:rsidRPr="002029AF">
              <w:t>(0.7)</w:t>
            </w:r>
          </w:p>
        </w:tc>
      </w:tr>
      <w:tr w:rsidR="00087B91" w:rsidRPr="002029AF" w14:paraId="548E7EB0" w14:textId="77777777" w:rsidTr="00860E95">
        <w:trPr>
          <w:trHeight w:val="255"/>
        </w:trPr>
        <w:tc>
          <w:tcPr>
            <w:tcW w:w="3175" w:type="dxa"/>
            <w:tcBorders>
              <w:top w:val="single" w:sz="4" w:space="0" w:color="A6A6A6"/>
              <w:bottom w:val="single" w:sz="4" w:space="0" w:color="A6A6A6"/>
            </w:tcBorders>
            <w:hideMark/>
          </w:tcPr>
          <w:p w14:paraId="3238377A" w14:textId="03E9F0C6" w:rsidR="00087B91" w:rsidRPr="002029AF" w:rsidRDefault="00087B91" w:rsidP="00860E95">
            <w:pPr>
              <w:pStyle w:val="ARfintablebody"/>
            </w:pPr>
            <w:r w:rsidRPr="002029AF">
              <w:t>Transfers</w:t>
            </w:r>
            <w:r w:rsidR="000A5329" w:rsidRPr="002029AF">
              <w:t xml:space="preserve"> </w:t>
            </w:r>
            <w:r w:rsidRPr="002029AF">
              <w:t>in/(out)</w:t>
            </w:r>
            <w:r w:rsidR="000A5329" w:rsidRPr="002029AF">
              <w:t xml:space="preserve"> </w:t>
            </w:r>
            <w:r w:rsidRPr="002029AF">
              <w:t>of</w:t>
            </w:r>
            <w:r w:rsidR="000A5329" w:rsidRPr="002029AF">
              <w:t xml:space="preserve"> </w:t>
            </w:r>
            <w:r w:rsidRPr="002029AF">
              <w:t>assets</w:t>
            </w:r>
            <w:r w:rsidR="000A5329" w:rsidRPr="002029AF">
              <w:t xml:space="preserve"> </w:t>
            </w:r>
            <w:r w:rsidRPr="002029AF">
              <w:t>under</w:t>
            </w:r>
            <w:r w:rsidR="000A5329" w:rsidRPr="002029AF">
              <w:t xml:space="preserve"> </w:t>
            </w:r>
            <w:r w:rsidRPr="002029AF">
              <w:t>construction</w:t>
            </w:r>
          </w:p>
        </w:tc>
        <w:tc>
          <w:tcPr>
            <w:tcW w:w="1077" w:type="dxa"/>
            <w:tcBorders>
              <w:top w:val="single" w:sz="4" w:space="0" w:color="A6A6A6"/>
              <w:bottom w:val="single" w:sz="4" w:space="0" w:color="A6A6A6"/>
            </w:tcBorders>
            <w:noWrap/>
            <w:hideMark/>
          </w:tcPr>
          <w:p w14:paraId="31B523AE" w14:textId="77777777" w:rsidR="00087B91" w:rsidRPr="002029AF" w:rsidRDefault="00087B91" w:rsidP="00860E95">
            <w:pPr>
              <w:pStyle w:val="ARfintablebodyright"/>
            </w:pPr>
            <w:r w:rsidRPr="002029AF">
              <w:t>16.7</w:t>
            </w:r>
          </w:p>
        </w:tc>
        <w:tc>
          <w:tcPr>
            <w:tcW w:w="1077" w:type="dxa"/>
            <w:tcBorders>
              <w:top w:val="single" w:sz="4" w:space="0" w:color="A6A6A6"/>
              <w:bottom w:val="single" w:sz="4" w:space="0" w:color="A6A6A6"/>
            </w:tcBorders>
            <w:noWrap/>
            <w:hideMark/>
          </w:tcPr>
          <w:p w14:paraId="0D269452" w14:textId="77777777" w:rsidR="00087B91" w:rsidRPr="002029AF" w:rsidRDefault="00087B91" w:rsidP="00860E95">
            <w:pPr>
              <w:pStyle w:val="ARfintablebodyright"/>
            </w:pPr>
            <w:r w:rsidRPr="002029AF">
              <w:t>219.9</w:t>
            </w:r>
          </w:p>
        </w:tc>
        <w:tc>
          <w:tcPr>
            <w:tcW w:w="1077" w:type="dxa"/>
            <w:tcBorders>
              <w:top w:val="single" w:sz="4" w:space="0" w:color="A6A6A6"/>
              <w:bottom w:val="single" w:sz="4" w:space="0" w:color="A6A6A6"/>
            </w:tcBorders>
            <w:noWrap/>
            <w:hideMark/>
          </w:tcPr>
          <w:p w14:paraId="1C14B38E"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6139170A"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6635CD45" w14:textId="77777777" w:rsidR="00087B91" w:rsidRPr="002029AF" w:rsidRDefault="00087B91" w:rsidP="00860E95">
            <w:pPr>
              <w:pStyle w:val="ARfintablebodyright"/>
            </w:pPr>
            <w:r w:rsidRPr="002029AF">
              <w:t>(236.6)</w:t>
            </w:r>
          </w:p>
        </w:tc>
        <w:tc>
          <w:tcPr>
            <w:tcW w:w="1077" w:type="dxa"/>
            <w:tcBorders>
              <w:top w:val="single" w:sz="4" w:space="0" w:color="A6A6A6"/>
              <w:bottom w:val="single" w:sz="4" w:space="0" w:color="A6A6A6"/>
            </w:tcBorders>
            <w:noWrap/>
            <w:hideMark/>
          </w:tcPr>
          <w:p w14:paraId="3910CCD3" w14:textId="77777777" w:rsidR="00087B91" w:rsidRPr="002029AF" w:rsidRDefault="00087B91" w:rsidP="00860E95">
            <w:pPr>
              <w:pStyle w:val="ARfintablebodyright"/>
            </w:pPr>
            <w:r w:rsidRPr="002029AF">
              <w:t>–</w:t>
            </w:r>
          </w:p>
        </w:tc>
      </w:tr>
      <w:tr w:rsidR="00087B91" w:rsidRPr="002029AF" w14:paraId="309A66CB" w14:textId="77777777" w:rsidTr="00860E95">
        <w:trPr>
          <w:trHeight w:val="255"/>
        </w:trPr>
        <w:tc>
          <w:tcPr>
            <w:tcW w:w="3175" w:type="dxa"/>
            <w:tcBorders>
              <w:top w:val="single" w:sz="4" w:space="0" w:color="A6A6A6"/>
              <w:bottom w:val="single" w:sz="4" w:space="0" w:color="A6A6A6"/>
            </w:tcBorders>
            <w:hideMark/>
          </w:tcPr>
          <w:p w14:paraId="799EFD13" w14:textId="6E6F6653" w:rsidR="00087B91" w:rsidRPr="002029AF" w:rsidRDefault="00087B91" w:rsidP="00860E95">
            <w:pPr>
              <w:pStyle w:val="ARfintablebody"/>
            </w:pPr>
            <w:r w:rsidRPr="002029AF">
              <w:t>Transfers</w:t>
            </w:r>
            <w:r w:rsidR="000A5329" w:rsidRPr="002029AF">
              <w:t xml:space="preserve"> </w:t>
            </w:r>
            <w:r w:rsidRPr="002029AF">
              <w:t>(to)/from</w:t>
            </w:r>
            <w:r w:rsidR="000A5329" w:rsidRPr="002029AF">
              <w:t xml:space="preserve"> </w:t>
            </w:r>
            <w:r w:rsidRPr="002029AF">
              <w:t>assets</w:t>
            </w:r>
            <w:r w:rsidR="000A5329" w:rsidRPr="002029AF">
              <w:t xml:space="preserve"> </w:t>
            </w:r>
            <w:r w:rsidRPr="002029AF">
              <w:t>held</w:t>
            </w:r>
            <w:r w:rsidR="000A5329" w:rsidRPr="002029AF">
              <w:t xml:space="preserve"> </w:t>
            </w:r>
            <w:r w:rsidRPr="002029AF">
              <w:t>for</w:t>
            </w:r>
            <w:r w:rsidR="000A5329" w:rsidRPr="002029AF">
              <w:t xml:space="preserve"> </w:t>
            </w:r>
            <w:r w:rsidRPr="002029AF">
              <w:t>sale</w:t>
            </w:r>
          </w:p>
        </w:tc>
        <w:tc>
          <w:tcPr>
            <w:tcW w:w="1077" w:type="dxa"/>
            <w:tcBorders>
              <w:top w:val="single" w:sz="4" w:space="0" w:color="A6A6A6"/>
              <w:bottom w:val="single" w:sz="4" w:space="0" w:color="A6A6A6"/>
            </w:tcBorders>
            <w:noWrap/>
            <w:hideMark/>
          </w:tcPr>
          <w:p w14:paraId="635FCB9E" w14:textId="77777777" w:rsidR="00087B91" w:rsidRPr="002029AF" w:rsidRDefault="00087B91" w:rsidP="00860E95">
            <w:pPr>
              <w:pStyle w:val="ARfintablebodyright"/>
            </w:pPr>
            <w:r w:rsidRPr="002029AF">
              <w:t>(3.6)</w:t>
            </w:r>
          </w:p>
        </w:tc>
        <w:tc>
          <w:tcPr>
            <w:tcW w:w="1077" w:type="dxa"/>
            <w:tcBorders>
              <w:top w:val="single" w:sz="4" w:space="0" w:color="A6A6A6"/>
              <w:bottom w:val="single" w:sz="4" w:space="0" w:color="A6A6A6"/>
            </w:tcBorders>
            <w:noWrap/>
            <w:hideMark/>
          </w:tcPr>
          <w:p w14:paraId="6D136734" w14:textId="77777777" w:rsidR="00087B91" w:rsidRPr="002029AF" w:rsidRDefault="00087B91" w:rsidP="00860E95">
            <w:pPr>
              <w:pStyle w:val="ARfintablebodyright"/>
            </w:pPr>
            <w:r w:rsidRPr="002029AF">
              <w:t>(3.9)</w:t>
            </w:r>
          </w:p>
        </w:tc>
        <w:tc>
          <w:tcPr>
            <w:tcW w:w="1077" w:type="dxa"/>
            <w:tcBorders>
              <w:top w:val="single" w:sz="4" w:space="0" w:color="A6A6A6"/>
              <w:bottom w:val="single" w:sz="4" w:space="0" w:color="A6A6A6"/>
            </w:tcBorders>
            <w:noWrap/>
            <w:hideMark/>
          </w:tcPr>
          <w:p w14:paraId="1C6B2AEE"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565ABBCF" w14:textId="77777777" w:rsidR="00087B91" w:rsidRPr="002029AF" w:rsidRDefault="00087B91" w:rsidP="00860E95">
            <w:pPr>
              <w:pStyle w:val="ARfintablebodyright"/>
            </w:pPr>
            <w:r w:rsidRPr="002029AF">
              <w:t>2.3</w:t>
            </w:r>
          </w:p>
        </w:tc>
        <w:tc>
          <w:tcPr>
            <w:tcW w:w="1077" w:type="dxa"/>
            <w:tcBorders>
              <w:top w:val="single" w:sz="4" w:space="0" w:color="A6A6A6"/>
              <w:bottom w:val="single" w:sz="4" w:space="0" w:color="A6A6A6"/>
            </w:tcBorders>
            <w:noWrap/>
            <w:hideMark/>
          </w:tcPr>
          <w:p w14:paraId="71E3DBBF" w14:textId="77777777" w:rsidR="00087B91" w:rsidRPr="002029AF" w:rsidRDefault="00087B91" w:rsidP="00860E95">
            <w:pPr>
              <w:pStyle w:val="ARfintablebodyright"/>
            </w:pPr>
            <w:r w:rsidRPr="002029AF">
              <w:t>–</w:t>
            </w:r>
          </w:p>
        </w:tc>
        <w:tc>
          <w:tcPr>
            <w:tcW w:w="1077" w:type="dxa"/>
            <w:tcBorders>
              <w:top w:val="single" w:sz="4" w:space="0" w:color="A6A6A6"/>
              <w:bottom w:val="single" w:sz="4" w:space="0" w:color="A6A6A6"/>
            </w:tcBorders>
            <w:noWrap/>
            <w:hideMark/>
          </w:tcPr>
          <w:p w14:paraId="4D722FA3" w14:textId="77777777" w:rsidR="00087B91" w:rsidRPr="002029AF" w:rsidRDefault="00087B91" w:rsidP="00860E95">
            <w:pPr>
              <w:pStyle w:val="ARfintablebodyright"/>
            </w:pPr>
            <w:r w:rsidRPr="002029AF">
              <w:t>(5.2)</w:t>
            </w:r>
          </w:p>
        </w:tc>
      </w:tr>
      <w:tr w:rsidR="00087B91" w:rsidRPr="002029AF" w14:paraId="6CF42110" w14:textId="77777777" w:rsidTr="00860E95">
        <w:trPr>
          <w:trHeight w:val="255"/>
        </w:trPr>
        <w:tc>
          <w:tcPr>
            <w:tcW w:w="3175" w:type="dxa"/>
            <w:tcBorders>
              <w:top w:val="single" w:sz="4" w:space="0" w:color="A6A6A6"/>
            </w:tcBorders>
            <w:hideMark/>
          </w:tcPr>
          <w:p w14:paraId="2E6646C6" w14:textId="446A6116" w:rsidR="00087B91" w:rsidRPr="002029AF" w:rsidRDefault="00087B91" w:rsidP="00860E95">
            <w:pPr>
              <w:pStyle w:val="ARfintablebody"/>
            </w:pPr>
            <w:r w:rsidRPr="002029AF">
              <w:t>Other</w:t>
            </w:r>
            <w:r w:rsidR="000A5329" w:rsidRPr="002029AF">
              <w:t xml:space="preserve"> </w:t>
            </w:r>
            <w:r w:rsidRPr="002029AF">
              <w:t>changes</w:t>
            </w:r>
          </w:p>
        </w:tc>
        <w:tc>
          <w:tcPr>
            <w:tcW w:w="1077" w:type="dxa"/>
            <w:tcBorders>
              <w:top w:val="single" w:sz="4" w:space="0" w:color="A6A6A6"/>
            </w:tcBorders>
            <w:noWrap/>
            <w:hideMark/>
          </w:tcPr>
          <w:p w14:paraId="24B5E948" w14:textId="77777777" w:rsidR="00087B91" w:rsidRPr="002029AF" w:rsidRDefault="00087B91" w:rsidP="00860E95">
            <w:pPr>
              <w:pStyle w:val="ARfintablebodyright"/>
            </w:pPr>
            <w:r w:rsidRPr="002029AF">
              <w:t>0.1</w:t>
            </w:r>
          </w:p>
        </w:tc>
        <w:tc>
          <w:tcPr>
            <w:tcW w:w="1077" w:type="dxa"/>
            <w:tcBorders>
              <w:top w:val="single" w:sz="4" w:space="0" w:color="A6A6A6"/>
            </w:tcBorders>
            <w:noWrap/>
            <w:hideMark/>
          </w:tcPr>
          <w:p w14:paraId="71C33057" w14:textId="77777777" w:rsidR="00087B91" w:rsidRPr="002029AF" w:rsidRDefault="00087B91" w:rsidP="00860E95">
            <w:pPr>
              <w:pStyle w:val="ARfintablebodyright"/>
            </w:pPr>
            <w:r w:rsidRPr="002029AF">
              <w:t>11.7</w:t>
            </w:r>
          </w:p>
        </w:tc>
        <w:tc>
          <w:tcPr>
            <w:tcW w:w="1077" w:type="dxa"/>
            <w:tcBorders>
              <w:top w:val="single" w:sz="4" w:space="0" w:color="A6A6A6"/>
            </w:tcBorders>
            <w:noWrap/>
            <w:hideMark/>
          </w:tcPr>
          <w:p w14:paraId="68227ADB" w14:textId="77777777" w:rsidR="00087B91" w:rsidRPr="002029AF" w:rsidRDefault="00087B91" w:rsidP="00860E95">
            <w:pPr>
              <w:pStyle w:val="ARfintablebodyright"/>
            </w:pPr>
            <w:r w:rsidRPr="002029AF">
              <w:t>–</w:t>
            </w:r>
          </w:p>
        </w:tc>
        <w:tc>
          <w:tcPr>
            <w:tcW w:w="1077" w:type="dxa"/>
            <w:tcBorders>
              <w:top w:val="single" w:sz="4" w:space="0" w:color="A6A6A6"/>
            </w:tcBorders>
            <w:noWrap/>
            <w:hideMark/>
          </w:tcPr>
          <w:p w14:paraId="0DD00A24" w14:textId="77777777" w:rsidR="00087B91" w:rsidRPr="002029AF" w:rsidRDefault="00087B91" w:rsidP="00860E95">
            <w:pPr>
              <w:pStyle w:val="ARfintablebodyright"/>
            </w:pPr>
            <w:r w:rsidRPr="002029AF">
              <w:t>–</w:t>
            </w:r>
          </w:p>
        </w:tc>
        <w:tc>
          <w:tcPr>
            <w:tcW w:w="1077" w:type="dxa"/>
            <w:tcBorders>
              <w:top w:val="single" w:sz="4" w:space="0" w:color="A6A6A6"/>
            </w:tcBorders>
            <w:noWrap/>
            <w:hideMark/>
          </w:tcPr>
          <w:p w14:paraId="0121ADBF" w14:textId="77777777" w:rsidR="00087B91" w:rsidRPr="002029AF" w:rsidRDefault="00087B91" w:rsidP="00860E95">
            <w:pPr>
              <w:pStyle w:val="ARfintablebodyright"/>
            </w:pPr>
            <w:r w:rsidRPr="002029AF">
              <w:t>–</w:t>
            </w:r>
          </w:p>
        </w:tc>
        <w:tc>
          <w:tcPr>
            <w:tcW w:w="1077" w:type="dxa"/>
            <w:tcBorders>
              <w:top w:val="single" w:sz="4" w:space="0" w:color="A6A6A6"/>
            </w:tcBorders>
            <w:noWrap/>
            <w:hideMark/>
          </w:tcPr>
          <w:p w14:paraId="04132160" w14:textId="77777777" w:rsidR="00087B91" w:rsidRPr="002029AF" w:rsidRDefault="00087B91" w:rsidP="00860E95">
            <w:pPr>
              <w:pStyle w:val="ARfintablebodyright"/>
            </w:pPr>
            <w:r w:rsidRPr="002029AF">
              <w:t>11.8</w:t>
            </w:r>
          </w:p>
        </w:tc>
      </w:tr>
      <w:tr w:rsidR="00087B91" w:rsidRPr="002029AF" w14:paraId="6C0122DC" w14:textId="77777777" w:rsidTr="00860E95">
        <w:trPr>
          <w:trHeight w:val="255"/>
        </w:trPr>
        <w:tc>
          <w:tcPr>
            <w:tcW w:w="3175" w:type="dxa"/>
            <w:hideMark/>
          </w:tcPr>
          <w:p w14:paraId="6CA54932" w14:textId="1E70D864" w:rsidR="00087B91" w:rsidRPr="002029AF" w:rsidRDefault="00087B91" w:rsidP="00860E95">
            <w:pPr>
              <w:pStyle w:val="ARfintablebodybold"/>
            </w:pPr>
            <w:r w:rsidRPr="002029AF">
              <w:t>Balance</w:t>
            </w:r>
            <w:r w:rsidR="000A5329" w:rsidRPr="002029AF">
              <w:t xml:space="preserve"> </w:t>
            </w:r>
            <w:r w:rsidRPr="002029AF">
              <w:t>at</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p>
        </w:tc>
        <w:tc>
          <w:tcPr>
            <w:tcW w:w="1077" w:type="dxa"/>
            <w:noWrap/>
            <w:hideMark/>
          </w:tcPr>
          <w:p w14:paraId="1BF5F0C9" w14:textId="77777777" w:rsidR="00087B91" w:rsidRPr="002029AF" w:rsidRDefault="00087B91" w:rsidP="00860E95">
            <w:pPr>
              <w:pStyle w:val="ARfintablebodyrightbold"/>
            </w:pPr>
            <w:r w:rsidRPr="002029AF">
              <w:t>18,524.3</w:t>
            </w:r>
          </w:p>
        </w:tc>
        <w:tc>
          <w:tcPr>
            <w:tcW w:w="1077" w:type="dxa"/>
            <w:noWrap/>
            <w:hideMark/>
          </w:tcPr>
          <w:p w14:paraId="45231EF8" w14:textId="77777777" w:rsidR="00087B91" w:rsidRPr="002029AF" w:rsidRDefault="00087B91" w:rsidP="00860E95">
            <w:pPr>
              <w:pStyle w:val="ARfintablebodyrightbold"/>
            </w:pPr>
            <w:r w:rsidRPr="002029AF">
              <w:t>9,650.3</w:t>
            </w:r>
          </w:p>
        </w:tc>
        <w:tc>
          <w:tcPr>
            <w:tcW w:w="1077" w:type="dxa"/>
            <w:noWrap/>
            <w:hideMark/>
          </w:tcPr>
          <w:p w14:paraId="6F67E2AA" w14:textId="77777777" w:rsidR="00087B91" w:rsidRPr="002029AF" w:rsidRDefault="00087B91" w:rsidP="00860E95">
            <w:pPr>
              <w:pStyle w:val="ARfintablebodyrightbold"/>
            </w:pPr>
            <w:r w:rsidRPr="002029AF">
              <w:t>11.6</w:t>
            </w:r>
          </w:p>
        </w:tc>
        <w:tc>
          <w:tcPr>
            <w:tcW w:w="1077" w:type="dxa"/>
            <w:noWrap/>
            <w:hideMark/>
          </w:tcPr>
          <w:p w14:paraId="7F6F740A" w14:textId="77777777" w:rsidR="00087B91" w:rsidRPr="002029AF" w:rsidRDefault="00087B91" w:rsidP="00860E95">
            <w:pPr>
              <w:pStyle w:val="ARfintablebodyrightbold"/>
            </w:pPr>
            <w:r w:rsidRPr="002029AF">
              <w:t>30.2</w:t>
            </w:r>
          </w:p>
        </w:tc>
        <w:tc>
          <w:tcPr>
            <w:tcW w:w="1077" w:type="dxa"/>
            <w:noWrap/>
            <w:hideMark/>
          </w:tcPr>
          <w:p w14:paraId="71C38D34" w14:textId="77777777" w:rsidR="00087B91" w:rsidRPr="002029AF" w:rsidRDefault="00087B91" w:rsidP="00860E95">
            <w:pPr>
              <w:pStyle w:val="ARfintablebodyrightbold"/>
            </w:pPr>
            <w:r w:rsidRPr="002029AF">
              <w:t>576.2</w:t>
            </w:r>
          </w:p>
        </w:tc>
        <w:tc>
          <w:tcPr>
            <w:tcW w:w="1077" w:type="dxa"/>
            <w:noWrap/>
            <w:hideMark/>
          </w:tcPr>
          <w:p w14:paraId="760D018B" w14:textId="77777777" w:rsidR="00087B91" w:rsidRPr="002029AF" w:rsidRDefault="00087B91" w:rsidP="00860E95">
            <w:pPr>
              <w:pStyle w:val="ARfintablebodyrightbold"/>
            </w:pPr>
            <w:r w:rsidRPr="002029AF">
              <w:t>28,792.6</w:t>
            </w:r>
          </w:p>
        </w:tc>
      </w:tr>
    </w:tbl>
    <w:p w14:paraId="02A34B62" w14:textId="77777777" w:rsidR="00087B91" w:rsidRPr="002029AF" w:rsidRDefault="00087B91" w:rsidP="00087B91">
      <w:pPr>
        <w:pStyle w:val="ARfinbody"/>
      </w:pPr>
      <w:r w:rsidRPr="002029AF">
        <w:br w:type="page"/>
      </w:r>
    </w:p>
    <w:p w14:paraId="4D8FB303" w14:textId="4C0BA1BD" w:rsidR="00087B91" w:rsidRPr="002029AF" w:rsidRDefault="00087B91" w:rsidP="00087B91">
      <w:pPr>
        <w:pStyle w:val="Heading4"/>
      </w:pPr>
      <w:bookmarkStart w:id="349" w:name="_Ref52454856"/>
      <w:r w:rsidRPr="002029AF">
        <w:lastRenderedPageBreak/>
        <w:t>5.2</w:t>
      </w:r>
      <w:r w:rsidR="000A5329" w:rsidRPr="002029AF">
        <w:t xml:space="preserve"> </w:t>
      </w:r>
      <w:r w:rsidRPr="002029AF">
        <w:t>Intangible</w:t>
      </w:r>
      <w:r w:rsidR="000A5329" w:rsidRPr="002029AF">
        <w:t xml:space="preserve"> </w:t>
      </w:r>
      <w:r w:rsidRPr="002029AF">
        <w:t>assets</w:t>
      </w:r>
      <w:bookmarkEnd w:id="349"/>
    </w:p>
    <w:tbl>
      <w:tblPr>
        <w:tblStyle w:val="TableGrid"/>
        <w:tblW w:w="9637" w:type="dxa"/>
        <w:tblLayout w:type="fixed"/>
        <w:tblLook w:val="06A0" w:firstRow="1" w:lastRow="0" w:firstColumn="1" w:lastColumn="0" w:noHBand="1" w:noVBand="1"/>
      </w:tblPr>
      <w:tblGrid>
        <w:gridCol w:w="7371"/>
        <w:gridCol w:w="1133"/>
        <w:gridCol w:w="1133"/>
      </w:tblGrid>
      <w:tr w:rsidR="00087B91" w:rsidRPr="002029AF" w14:paraId="20686F48"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7371" w:type="dxa"/>
            <w:tcBorders>
              <w:bottom w:val="single" w:sz="4" w:space="0" w:color="auto"/>
            </w:tcBorders>
            <w:noWrap/>
            <w:hideMark/>
          </w:tcPr>
          <w:p w14:paraId="1CD34DB7" w14:textId="77777777" w:rsidR="00087B91" w:rsidRPr="002029AF" w:rsidRDefault="00087B91" w:rsidP="00860E95">
            <w:pPr>
              <w:pStyle w:val="ARfintablecolhead"/>
            </w:pPr>
          </w:p>
        </w:tc>
        <w:tc>
          <w:tcPr>
            <w:tcW w:w="1133" w:type="dxa"/>
            <w:tcBorders>
              <w:bottom w:val="single" w:sz="4" w:space="0" w:color="auto"/>
            </w:tcBorders>
            <w:shd w:val="clear" w:color="auto" w:fill="E7E6E6"/>
            <w:hideMark/>
          </w:tcPr>
          <w:p w14:paraId="715924DE" w14:textId="77777777" w:rsidR="00087B91" w:rsidRPr="002029AF" w:rsidRDefault="00087B91" w:rsidP="00860E95">
            <w:pPr>
              <w:pStyle w:val="ARfintablecolheadright"/>
            </w:pPr>
            <w:r w:rsidRPr="002029AF">
              <w:t>2020</w:t>
            </w:r>
          </w:p>
          <w:p w14:paraId="03E84C1E" w14:textId="77777777" w:rsidR="00087B91" w:rsidRPr="002029AF" w:rsidRDefault="00087B91" w:rsidP="00860E95">
            <w:pPr>
              <w:pStyle w:val="ARfintablecolheadright"/>
            </w:pPr>
            <w:r w:rsidRPr="002029AF">
              <w:t>$M</w:t>
            </w:r>
          </w:p>
        </w:tc>
        <w:tc>
          <w:tcPr>
            <w:tcW w:w="1133" w:type="dxa"/>
            <w:tcBorders>
              <w:bottom w:val="single" w:sz="4" w:space="0" w:color="auto"/>
            </w:tcBorders>
            <w:hideMark/>
          </w:tcPr>
          <w:p w14:paraId="01BCCAEE" w14:textId="77777777" w:rsidR="00087B91" w:rsidRPr="002029AF" w:rsidRDefault="00087B91" w:rsidP="00860E95">
            <w:pPr>
              <w:pStyle w:val="ARfintablecolheadright"/>
            </w:pPr>
            <w:r w:rsidRPr="002029AF">
              <w:t>2019</w:t>
            </w:r>
          </w:p>
          <w:p w14:paraId="42C1D07F" w14:textId="77777777" w:rsidR="00087B91" w:rsidRPr="002029AF" w:rsidRDefault="00087B91" w:rsidP="00860E95">
            <w:pPr>
              <w:pStyle w:val="ARfintablecolheadright"/>
            </w:pPr>
            <w:r w:rsidRPr="002029AF">
              <w:t>$M</w:t>
            </w:r>
          </w:p>
        </w:tc>
      </w:tr>
      <w:tr w:rsidR="00087B91" w:rsidRPr="002029AF" w14:paraId="510D3065" w14:textId="77777777" w:rsidTr="00860E95">
        <w:tc>
          <w:tcPr>
            <w:tcW w:w="9637" w:type="dxa"/>
            <w:gridSpan w:val="3"/>
            <w:tcBorders>
              <w:top w:val="single" w:sz="4" w:space="0" w:color="auto"/>
              <w:bottom w:val="single" w:sz="4" w:space="0" w:color="A6A6A6"/>
            </w:tcBorders>
            <w:hideMark/>
          </w:tcPr>
          <w:p w14:paraId="6181F126" w14:textId="06CFE10B" w:rsidR="00087B91" w:rsidRPr="002029AF" w:rsidRDefault="00087B91" w:rsidP="00860E95">
            <w:pPr>
              <w:pStyle w:val="ARfintablebodybold"/>
            </w:pPr>
            <w:r w:rsidRPr="002029AF">
              <w:t>Gross</w:t>
            </w:r>
            <w:r w:rsidR="000A5329" w:rsidRPr="002029AF">
              <w:t xml:space="preserve"> </w:t>
            </w:r>
            <w:r w:rsidRPr="002029AF">
              <w:t>carrying</w:t>
            </w:r>
            <w:r w:rsidR="000A5329" w:rsidRPr="002029AF">
              <w:t xml:space="preserve"> </w:t>
            </w:r>
            <w:r w:rsidRPr="002029AF">
              <w:t>amount</w:t>
            </w:r>
          </w:p>
        </w:tc>
      </w:tr>
      <w:tr w:rsidR="00087B91" w:rsidRPr="002029AF" w14:paraId="253A9762" w14:textId="77777777" w:rsidTr="00860E95">
        <w:tc>
          <w:tcPr>
            <w:tcW w:w="7371" w:type="dxa"/>
            <w:tcBorders>
              <w:top w:val="single" w:sz="4" w:space="0" w:color="A6A6A6"/>
              <w:bottom w:val="single" w:sz="4" w:space="0" w:color="A6A6A6"/>
            </w:tcBorders>
            <w:hideMark/>
          </w:tcPr>
          <w:p w14:paraId="02067A9F" w14:textId="40CEDDEA" w:rsidR="00087B91" w:rsidRPr="002029AF" w:rsidRDefault="00087B91" w:rsidP="00860E95">
            <w:pPr>
              <w:pStyle w:val="ARfintablebodybold"/>
            </w:pPr>
            <w:r w:rsidRPr="002029AF">
              <w:t>Opening</w:t>
            </w:r>
            <w:r w:rsidR="000A5329" w:rsidRPr="002029AF">
              <w:t xml:space="preserve"> </w:t>
            </w:r>
            <w:r w:rsidRPr="002029AF">
              <w:t>balance</w:t>
            </w:r>
          </w:p>
        </w:tc>
        <w:tc>
          <w:tcPr>
            <w:tcW w:w="1133" w:type="dxa"/>
            <w:tcBorders>
              <w:top w:val="single" w:sz="4" w:space="0" w:color="A6A6A6"/>
              <w:bottom w:val="single" w:sz="4" w:space="0" w:color="A6A6A6"/>
            </w:tcBorders>
            <w:shd w:val="clear" w:color="auto" w:fill="E7E6E6"/>
            <w:noWrap/>
            <w:hideMark/>
          </w:tcPr>
          <w:p w14:paraId="4D9AD6C4" w14:textId="77777777" w:rsidR="00087B91" w:rsidRPr="002029AF" w:rsidRDefault="00087B91" w:rsidP="00860E95">
            <w:pPr>
              <w:pStyle w:val="ARfintablebodyrightbold"/>
            </w:pPr>
            <w:r w:rsidRPr="002029AF">
              <w:t>213.4</w:t>
            </w:r>
          </w:p>
        </w:tc>
        <w:tc>
          <w:tcPr>
            <w:tcW w:w="1133" w:type="dxa"/>
            <w:tcBorders>
              <w:top w:val="single" w:sz="4" w:space="0" w:color="A6A6A6"/>
              <w:bottom w:val="single" w:sz="4" w:space="0" w:color="A6A6A6"/>
            </w:tcBorders>
            <w:noWrap/>
            <w:hideMark/>
          </w:tcPr>
          <w:p w14:paraId="482DEF1A" w14:textId="77777777" w:rsidR="00087B91" w:rsidRPr="002029AF" w:rsidRDefault="00087B91" w:rsidP="00860E95">
            <w:pPr>
              <w:pStyle w:val="ARfintablebodyrightbold"/>
            </w:pPr>
            <w:r w:rsidRPr="002029AF">
              <w:t>161.3</w:t>
            </w:r>
          </w:p>
        </w:tc>
      </w:tr>
      <w:tr w:rsidR="00087B91" w:rsidRPr="002029AF" w14:paraId="1E5A5064" w14:textId="77777777" w:rsidTr="00860E95">
        <w:tc>
          <w:tcPr>
            <w:tcW w:w="7371" w:type="dxa"/>
            <w:tcBorders>
              <w:top w:val="single" w:sz="4" w:space="0" w:color="A6A6A6"/>
              <w:bottom w:val="single" w:sz="4" w:space="0" w:color="A6A6A6"/>
            </w:tcBorders>
            <w:hideMark/>
          </w:tcPr>
          <w:p w14:paraId="53CE4365" w14:textId="7263738A" w:rsidR="00087B91" w:rsidRPr="002029AF" w:rsidRDefault="00087B91" w:rsidP="00860E95">
            <w:pPr>
              <w:pStyle w:val="ARfintablebody"/>
            </w:pPr>
            <w:r w:rsidRPr="002029AF">
              <w:t>Additions</w:t>
            </w:r>
            <w:r w:rsidR="000A5329" w:rsidRPr="002029AF">
              <w:t xml:space="preserve"> </w:t>
            </w:r>
            <w:r w:rsidRPr="002029AF">
              <w:t>from</w:t>
            </w:r>
            <w:r w:rsidR="000A5329" w:rsidRPr="002029AF">
              <w:t xml:space="preserve"> </w:t>
            </w:r>
            <w:r w:rsidRPr="002029AF">
              <w:t>internal</w:t>
            </w:r>
            <w:r w:rsidR="000A5329" w:rsidRPr="002029AF">
              <w:t xml:space="preserve"> </w:t>
            </w:r>
            <w:r w:rsidRPr="002029AF">
              <w:t>development</w:t>
            </w:r>
          </w:p>
        </w:tc>
        <w:tc>
          <w:tcPr>
            <w:tcW w:w="1133" w:type="dxa"/>
            <w:tcBorders>
              <w:top w:val="single" w:sz="4" w:space="0" w:color="A6A6A6"/>
              <w:bottom w:val="single" w:sz="4" w:space="0" w:color="A6A6A6"/>
            </w:tcBorders>
            <w:shd w:val="clear" w:color="auto" w:fill="E7E6E6"/>
            <w:noWrap/>
            <w:hideMark/>
          </w:tcPr>
          <w:p w14:paraId="2AFC6DC2" w14:textId="77777777" w:rsidR="00087B91" w:rsidRPr="002029AF" w:rsidRDefault="00087B91" w:rsidP="00860E95">
            <w:pPr>
              <w:pStyle w:val="ARfintablebodyright"/>
            </w:pPr>
            <w:r w:rsidRPr="002029AF">
              <w:t>51.8</w:t>
            </w:r>
          </w:p>
        </w:tc>
        <w:tc>
          <w:tcPr>
            <w:tcW w:w="1133" w:type="dxa"/>
            <w:tcBorders>
              <w:top w:val="single" w:sz="4" w:space="0" w:color="A6A6A6"/>
              <w:bottom w:val="single" w:sz="4" w:space="0" w:color="A6A6A6"/>
            </w:tcBorders>
            <w:noWrap/>
            <w:hideMark/>
          </w:tcPr>
          <w:p w14:paraId="310B6CD1" w14:textId="77777777" w:rsidR="00087B91" w:rsidRPr="002029AF" w:rsidRDefault="00087B91" w:rsidP="00860E95">
            <w:pPr>
              <w:pStyle w:val="ARfintablebodyright"/>
              <w:rPr>
                <w:b/>
                <w:bCs/>
              </w:rPr>
            </w:pPr>
            <w:r w:rsidRPr="002029AF">
              <w:rPr>
                <w:b/>
                <w:bCs/>
              </w:rPr>
              <w:t>54.4</w:t>
            </w:r>
          </w:p>
        </w:tc>
      </w:tr>
      <w:tr w:rsidR="00087B91" w:rsidRPr="002029AF" w14:paraId="6E5C6696" w14:textId="77777777" w:rsidTr="00860E95">
        <w:tc>
          <w:tcPr>
            <w:tcW w:w="7371" w:type="dxa"/>
            <w:tcBorders>
              <w:top w:val="single" w:sz="4" w:space="0" w:color="A6A6A6"/>
            </w:tcBorders>
            <w:hideMark/>
          </w:tcPr>
          <w:p w14:paraId="09CAC43A" w14:textId="3C7FF268" w:rsidR="00087B91" w:rsidRPr="002029AF" w:rsidRDefault="00087B91" w:rsidP="00860E95">
            <w:pPr>
              <w:pStyle w:val="ARfintablebody"/>
            </w:pPr>
            <w:r w:rsidRPr="002029AF">
              <w:t>Disposals</w:t>
            </w:r>
            <w:r w:rsidR="000A5329" w:rsidRPr="002029AF">
              <w:t xml:space="preserve"> </w:t>
            </w:r>
            <w:r w:rsidRPr="002029AF">
              <w:t>or</w:t>
            </w:r>
            <w:r w:rsidR="000A5329" w:rsidRPr="002029AF">
              <w:t xml:space="preserve"> </w:t>
            </w:r>
            <w:r w:rsidRPr="002029AF">
              <w:t>classified</w:t>
            </w:r>
            <w:r w:rsidR="000A5329" w:rsidRPr="002029AF">
              <w:t xml:space="preserve"> </w:t>
            </w:r>
            <w:r w:rsidRPr="002029AF">
              <w:t>as</w:t>
            </w:r>
            <w:r w:rsidR="000A5329" w:rsidRPr="002029AF">
              <w:t xml:space="preserve"> </w:t>
            </w:r>
            <w:r w:rsidRPr="002029AF">
              <w:t>held</w:t>
            </w:r>
            <w:r w:rsidR="000A5329" w:rsidRPr="002029AF">
              <w:t xml:space="preserve"> </w:t>
            </w:r>
            <w:r w:rsidRPr="002029AF">
              <w:t>for</w:t>
            </w:r>
            <w:r w:rsidR="000A5329" w:rsidRPr="002029AF">
              <w:t xml:space="preserve"> </w:t>
            </w:r>
            <w:r w:rsidRPr="002029AF">
              <w:t>sale</w:t>
            </w:r>
          </w:p>
        </w:tc>
        <w:tc>
          <w:tcPr>
            <w:tcW w:w="1133" w:type="dxa"/>
            <w:tcBorders>
              <w:top w:val="single" w:sz="4" w:space="0" w:color="A6A6A6"/>
            </w:tcBorders>
            <w:shd w:val="clear" w:color="auto" w:fill="E7E6E6"/>
            <w:noWrap/>
            <w:hideMark/>
          </w:tcPr>
          <w:p w14:paraId="42D6ABE1" w14:textId="77777777" w:rsidR="00087B91" w:rsidRPr="002029AF" w:rsidRDefault="00087B91" w:rsidP="00860E95">
            <w:pPr>
              <w:pStyle w:val="ARfintablebodyright"/>
            </w:pPr>
            <w:r w:rsidRPr="002029AF">
              <w:t>–</w:t>
            </w:r>
          </w:p>
        </w:tc>
        <w:tc>
          <w:tcPr>
            <w:tcW w:w="1133" w:type="dxa"/>
            <w:tcBorders>
              <w:top w:val="single" w:sz="4" w:space="0" w:color="A6A6A6"/>
            </w:tcBorders>
            <w:noWrap/>
            <w:hideMark/>
          </w:tcPr>
          <w:p w14:paraId="408CA32A" w14:textId="77777777" w:rsidR="00087B91" w:rsidRPr="002029AF" w:rsidRDefault="00087B91" w:rsidP="00860E95">
            <w:pPr>
              <w:pStyle w:val="ARfintablebodyright"/>
            </w:pPr>
            <w:r w:rsidRPr="002029AF">
              <w:t>(2.3)</w:t>
            </w:r>
          </w:p>
        </w:tc>
      </w:tr>
      <w:tr w:rsidR="00087B91" w:rsidRPr="002029AF" w14:paraId="46EC298C" w14:textId="77777777" w:rsidTr="00860E95">
        <w:tc>
          <w:tcPr>
            <w:tcW w:w="7371" w:type="dxa"/>
            <w:tcBorders>
              <w:bottom w:val="single" w:sz="4" w:space="0" w:color="auto"/>
            </w:tcBorders>
            <w:hideMark/>
          </w:tcPr>
          <w:p w14:paraId="69D86AA5" w14:textId="2E8297EC" w:rsidR="00087B91" w:rsidRPr="002029AF" w:rsidRDefault="00087B91" w:rsidP="00860E95">
            <w:pPr>
              <w:pStyle w:val="ARfintablebodybold"/>
            </w:pPr>
            <w:r w:rsidRPr="002029AF">
              <w:t>Closing</w:t>
            </w:r>
            <w:r w:rsidR="000A5329" w:rsidRPr="002029AF">
              <w:t xml:space="preserve"> </w:t>
            </w:r>
            <w:r w:rsidRPr="002029AF">
              <w:t>balance</w:t>
            </w:r>
          </w:p>
        </w:tc>
        <w:tc>
          <w:tcPr>
            <w:tcW w:w="1133" w:type="dxa"/>
            <w:tcBorders>
              <w:bottom w:val="single" w:sz="4" w:space="0" w:color="auto"/>
            </w:tcBorders>
            <w:shd w:val="clear" w:color="auto" w:fill="E7E6E6"/>
            <w:noWrap/>
            <w:hideMark/>
          </w:tcPr>
          <w:p w14:paraId="2E803A59" w14:textId="77777777" w:rsidR="00087B91" w:rsidRPr="002029AF" w:rsidRDefault="00087B91" w:rsidP="00860E95">
            <w:pPr>
              <w:pStyle w:val="ARfintablebodyrightbold"/>
            </w:pPr>
            <w:r w:rsidRPr="002029AF">
              <w:t>265.2</w:t>
            </w:r>
          </w:p>
        </w:tc>
        <w:tc>
          <w:tcPr>
            <w:tcW w:w="1133" w:type="dxa"/>
            <w:tcBorders>
              <w:bottom w:val="single" w:sz="4" w:space="0" w:color="auto"/>
            </w:tcBorders>
            <w:noWrap/>
            <w:hideMark/>
          </w:tcPr>
          <w:p w14:paraId="084B2C39" w14:textId="77777777" w:rsidR="00087B91" w:rsidRPr="002029AF" w:rsidRDefault="00087B91" w:rsidP="00860E95">
            <w:pPr>
              <w:pStyle w:val="ARfintablebodyrightbold"/>
            </w:pPr>
            <w:r w:rsidRPr="002029AF">
              <w:t>213.4</w:t>
            </w:r>
          </w:p>
        </w:tc>
      </w:tr>
      <w:tr w:rsidR="00087B91" w:rsidRPr="002029AF" w14:paraId="1F441B0D" w14:textId="77777777" w:rsidTr="00860E95">
        <w:tc>
          <w:tcPr>
            <w:tcW w:w="9637" w:type="dxa"/>
            <w:gridSpan w:val="3"/>
            <w:tcBorders>
              <w:top w:val="single" w:sz="4" w:space="0" w:color="auto"/>
              <w:bottom w:val="single" w:sz="4" w:space="0" w:color="A6A6A6"/>
            </w:tcBorders>
            <w:hideMark/>
          </w:tcPr>
          <w:p w14:paraId="6D02CB74" w14:textId="68EE55B8" w:rsidR="00087B91" w:rsidRPr="002029AF" w:rsidRDefault="00087B91" w:rsidP="00860E95">
            <w:pPr>
              <w:pStyle w:val="ARfintablebodybold"/>
            </w:pPr>
            <w:r w:rsidRPr="002029AF">
              <w:t>Accumulated</w:t>
            </w:r>
            <w:r w:rsidR="000A5329" w:rsidRPr="002029AF">
              <w:t xml:space="preserve"> </w:t>
            </w:r>
            <w:r w:rsidRPr="002029AF">
              <w:t>amortisation</w:t>
            </w:r>
            <w:r w:rsidR="000A5329" w:rsidRPr="002029AF">
              <w:t xml:space="preserve"> </w:t>
            </w:r>
            <w:r w:rsidRPr="002029AF">
              <w:t>and</w:t>
            </w:r>
            <w:r w:rsidR="000A5329" w:rsidRPr="002029AF">
              <w:t xml:space="preserve"> </w:t>
            </w:r>
            <w:r w:rsidRPr="002029AF">
              <w:t>impairment</w:t>
            </w:r>
          </w:p>
        </w:tc>
      </w:tr>
      <w:tr w:rsidR="00087B91" w:rsidRPr="002029AF" w14:paraId="7DE394BF" w14:textId="77777777" w:rsidTr="00860E95">
        <w:tc>
          <w:tcPr>
            <w:tcW w:w="7371" w:type="dxa"/>
            <w:tcBorders>
              <w:top w:val="single" w:sz="4" w:space="0" w:color="A6A6A6"/>
              <w:bottom w:val="single" w:sz="4" w:space="0" w:color="A6A6A6"/>
            </w:tcBorders>
            <w:hideMark/>
          </w:tcPr>
          <w:p w14:paraId="12CE8995" w14:textId="4168C311" w:rsidR="00087B91" w:rsidRPr="002029AF" w:rsidRDefault="00087B91" w:rsidP="00860E95">
            <w:pPr>
              <w:pStyle w:val="ARfintablebodybold"/>
            </w:pPr>
            <w:r w:rsidRPr="002029AF">
              <w:t>Opening</w:t>
            </w:r>
            <w:r w:rsidR="000A5329" w:rsidRPr="002029AF">
              <w:t xml:space="preserve"> </w:t>
            </w:r>
            <w:r w:rsidRPr="002029AF">
              <w:t>balance</w:t>
            </w:r>
          </w:p>
        </w:tc>
        <w:tc>
          <w:tcPr>
            <w:tcW w:w="1133" w:type="dxa"/>
            <w:tcBorders>
              <w:top w:val="single" w:sz="4" w:space="0" w:color="A6A6A6"/>
              <w:bottom w:val="single" w:sz="4" w:space="0" w:color="A6A6A6"/>
            </w:tcBorders>
            <w:shd w:val="clear" w:color="auto" w:fill="E7E6E6"/>
            <w:noWrap/>
            <w:hideMark/>
          </w:tcPr>
          <w:p w14:paraId="1880D406" w14:textId="77777777" w:rsidR="00087B91" w:rsidRPr="002029AF" w:rsidRDefault="00087B91" w:rsidP="00860E95">
            <w:pPr>
              <w:pStyle w:val="ARfintablebodyrightbold"/>
            </w:pPr>
            <w:r w:rsidRPr="002029AF">
              <w:t>(104.9)</w:t>
            </w:r>
          </w:p>
        </w:tc>
        <w:tc>
          <w:tcPr>
            <w:tcW w:w="1133" w:type="dxa"/>
            <w:tcBorders>
              <w:top w:val="single" w:sz="4" w:space="0" w:color="A6A6A6"/>
              <w:bottom w:val="single" w:sz="4" w:space="0" w:color="A6A6A6"/>
            </w:tcBorders>
            <w:noWrap/>
            <w:hideMark/>
          </w:tcPr>
          <w:p w14:paraId="2152BB2E" w14:textId="77777777" w:rsidR="00087B91" w:rsidRPr="002029AF" w:rsidRDefault="00087B91" w:rsidP="00860E95">
            <w:pPr>
              <w:pStyle w:val="ARfintablebodyrightbold"/>
            </w:pPr>
            <w:r w:rsidRPr="002029AF">
              <w:t>(84.7)</w:t>
            </w:r>
          </w:p>
        </w:tc>
      </w:tr>
      <w:tr w:rsidR="00087B91" w:rsidRPr="002029AF" w14:paraId="0E78ACB8" w14:textId="77777777" w:rsidTr="00860E95">
        <w:tc>
          <w:tcPr>
            <w:tcW w:w="7371" w:type="dxa"/>
            <w:tcBorders>
              <w:top w:val="single" w:sz="4" w:space="0" w:color="A6A6A6"/>
            </w:tcBorders>
            <w:hideMark/>
          </w:tcPr>
          <w:p w14:paraId="1ECE56B4" w14:textId="6C52BABB" w:rsidR="00087B91" w:rsidRPr="002029AF" w:rsidRDefault="00087B91" w:rsidP="00860E95">
            <w:pPr>
              <w:pStyle w:val="ARfintablebody"/>
            </w:pPr>
            <w:r w:rsidRPr="002029AF">
              <w:t>Amortisation</w:t>
            </w:r>
            <w:r w:rsidR="000A5329" w:rsidRPr="002029AF">
              <w:t xml:space="preserve"> </w:t>
            </w:r>
            <w:r w:rsidRPr="002029AF">
              <w:t>of</w:t>
            </w:r>
            <w:r w:rsidR="000A5329" w:rsidRPr="002029AF">
              <w:t xml:space="preserve"> </w:t>
            </w:r>
            <w:r w:rsidRPr="002029AF">
              <w:t>intangible</w:t>
            </w:r>
            <w:r w:rsidR="000A5329" w:rsidRPr="002029AF">
              <w:t xml:space="preserve"> </w:t>
            </w:r>
            <w:r w:rsidRPr="002029AF">
              <w:t>produced</w:t>
            </w:r>
            <w:r w:rsidR="000A5329" w:rsidRPr="002029AF">
              <w:t xml:space="preserve"> </w:t>
            </w:r>
            <w:r w:rsidRPr="002029AF">
              <w:t>assets</w:t>
            </w:r>
          </w:p>
        </w:tc>
        <w:tc>
          <w:tcPr>
            <w:tcW w:w="1133" w:type="dxa"/>
            <w:tcBorders>
              <w:top w:val="single" w:sz="4" w:space="0" w:color="A6A6A6"/>
            </w:tcBorders>
            <w:shd w:val="clear" w:color="auto" w:fill="E7E6E6"/>
            <w:noWrap/>
            <w:hideMark/>
          </w:tcPr>
          <w:p w14:paraId="6CE0FFD8" w14:textId="77777777" w:rsidR="00087B91" w:rsidRPr="002029AF" w:rsidRDefault="00087B91" w:rsidP="00860E95">
            <w:pPr>
              <w:pStyle w:val="ARfintablebodyright"/>
            </w:pPr>
            <w:r w:rsidRPr="002029AF">
              <w:t>(25.9)</w:t>
            </w:r>
          </w:p>
        </w:tc>
        <w:tc>
          <w:tcPr>
            <w:tcW w:w="1133" w:type="dxa"/>
            <w:tcBorders>
              <w:top w:val="single" w:sz="4" w:space="0" w:color="A6A6A6"/>
            </w:tcBorders>
            <w:noWrap/>
            <w:hideMark/>
          </w:tcPr>
          <w:p w14:paraId="0EC3F41D" w14:textId="77777777" w:rsidR="00087B91" w:rsidRPr="002029AF" w:rsidRDefault="00087B91" w:rsidP="00860E95">
            <w:pPr>
              <w:pStyle w:val="ARfintablebodyright"/>
            </w:pPr>
            <w:r w:rsidRPr="002029AF">
              <w:t>(20.3)</w:t>
            </w:r>
          </w:p>
        </w:tc>
      </w:tr>
      <w:tr w:rsidR="00087B91" w:rsidRPr="002029AF" w14:paraId="25E831EA" w14:textId="77777777" w:rsidTr="00860E95">
        <w:tc>
          <w:tcPr>
            <w:tcW w:w="7371" w:type="dxa"/>
            <w:hideMark/>
          </w:tcPr>
          <w:p w14:paraId="4686BA74" w14:textId="727A329E" w:rsidR="00087B91" w:rsidRPr="002029AF" w:rsidRDefault="00087B91" w:rsidP="00860E95">
            <w:pPr>
              <w:pStyle w:val="ARfintablebodybold"/>
            </w:pPr>
            <w:r w:rsidRPr="002029AF">
              <w:t>Closing</w:t>
            </w:r>
            <w:r w:rsidR="000A5329" w:rsidRPr="002029AF">
              <w:t xml:space="preserve"> </w:t>
            </w:r>
            <w:r w:rsidRPr="002029AF">
              <w:t>balance</w:t>
            </w:r>
          </w:p>
        </w:tc>
        <w:tc>
          <w:tcPr>
            <w:tcW w:w="1133" w:type="dxa"/>
            <w:shd w:val="clear" w:color="auto" w:fill="E7E6E6"/>
            <w:noWrap/>
            <w:hideMark/>
          </w:tcPr>
          <w:p w14:paraId="39ABC30A" w14:textId="77777777" w:rsidR="00087B91" w:rsidRPr="002029AF" w:rsidRDefault="00087B91" w:rsidP="00860E95">
            <w:pPr>
              <w:pStyle w:val="ARfintablebodyrightbold"/>
            </w:pPr>
            <w:r w:rsidRPr="002029AF">
              <w:t>(130.8)</w:t>
            </w:r>
          </w:p>
        </w:tc>
        <w:tc>
          <w:tcPr>
            <w:tcW w:w="1133" w:type="dxa"/>
            <w:noWrap/>
            <w:hideMark/>
          </w:tcPr>
          <w:p w14:paraId="0D663ABE" w14:textId="77777777" w:rsidR="00087B91" w:rsidRPr="002029AF" w:rsidRDefault="00087B91" w:rsidP="00860E95">
            <w:pPr>
              <w:pStyle w:val="ARfintablebodyrightbold"/>
            </w:pPr>
            <w:r w:rsidRPr="002029AF">
              <w:t>(104.9)</w:t>
            </w:r>
          </w:p>
        </w:tc>
      </w:tr>
      <w:tr w:rsidR="00087B91" w:rsidRPr="002029AF" w14:paraId="3A877F35" w14:textId="77777777" w:rsidTr="00860E95">
        <w:tc>
          <w:tcPr>
            <w:tcW w:w="7371" w:type="dxa"/>
            <w:hideMark/>
          </w:tcPr>
          <w:p w14:paraId="57CF9BE6" w14:textId="0A21B5F9" w:rsidR="00087B91" w:rsidRPr="002029AF" w:rsidRDefault="00087B91" w:rsidP="00860E95">
            <w:pPr>
              <w:pStyle w:val="ARfintablebodybold"/>
            </w:pPr>
            <w:r w:rsidRPr="002029AF">
              <w:t>Net</w:t>
            </w:r>
            <w:r w:rsidR="000A5329" w:rsidRPr="002029AF">
              <w:t xml:space="preserve"> </w:t>
            </w:r>
            <w:r w:rsidRPr="002029AF">
              <w:t>book</w:t>
            </w:r>
            <w:r w:rsidR="000A5329" w:rsidRPr="002029AF">
              <w:t xml:space="preserve"> </w:t>
            </w:r>
            <w:r w:rsidRPr="002029AF">
              <w:t>value</w:t>
            </w:r>
            <w:r w:rsidR="000A5329" w:rsidRPr="002029AF">
              <w:t xml:space="preserve"> </w:t>
            </w:r>
            <w:r w:rsidRPr="002029AF">
              <w:t>at</w:t>
            </w:r>
            <w:r w:rsidR="000A5329" w:rsidRPr="002029AF">
              <w:t xml:space="preserve"> </w:t>
            </w:r>
            <w:r w:rsidRPr="002029AF">
              <w:t>end</w:t>
            </w:r>
            <w:r w:rsidR="000A5329" w:rsidRPr="002029AF">
              <w:t xml:space="preserve"> </w:t>
            </w:r>
            <w:r w:rsidRPr="002029AF">
              <w:t>of</w:t>
            </w:r>
            <w:r w:rsidR="000A5329" w:rsidRPr="002029AF">
              <w:t xml:space="preserve"> </w:t>
            </w:r>
            <w:r w:rsidRPr="002029AF">
              <w:t>financial</w:t>
            </w:r>
            <w:r w:rsidR="000A5329" w:rsidRPr="002029AF">
              <w:t xml:space="preserve"> </w:t>
            </w:r>
            <w:r w:rsidRPr="002029AF">
              <w:t>year</w:t>
            </w:r>
          </w:p>
        </w:tc>
        <w:tc>
          <w:tcPr>
            <w:tcW w:w="1133" w:type="dxa"/>
            <w:shd w:val="clear" w:color="auto" w:fill="E7E6E6"/>
            <w:noWrap/>
            <w:hideMark/>
          </w:tcPr>
          <w:p w14:paraId="529CA1BE" w14:textId="77777777" w:rsidR="00087B91" w:rsidRPr="002029AF" w:rsidRDefault="00087B91" w:rsidP="00860E95">
            <w:pPr>
              <w:pStyle w:val="ARfintablebodyrightbold"/>
            </w:pPr>
            <w:r w:rsidRPr="002029AF">
              <w:t>134.4</w:t>
            </w:r>
          </w:p>
        </w:tc>
        <w:tc>
          <w:tcPr>
            <w:tcW w:w="1133" w:type="dxa"/>
            <w:noWrap/>
            <w:hideMark/>
          </w:tcPr>
          <w:p w14:paraId="5DF5D209" w14:textId="77777777" w:rsidR="00087B91" w:rsidRPr="002029AF" w:rsidRDefault="00087B91" w:rsidP="00860E95">
            <w:pPr>
              <w:pStyle w:val="ARfintablebodyrightbold"/>
            </w:pPr>
            <w:r w:rsidRPr="002029AF">
              <w:t>108.4</w:t>
            </w:r>
          </w:p>
        </w:tc>
      </w:tr>
    </w:tbl>
    <w:p w14:paraId="7B27E938" w14:textId="4A9839FD" w:rsidR="00087B91" w:rsidRPr="002029AF" w:rsidRDefault="00087B91" w:rsidP="00087B91">
      <w:pPr>
        <w:pStyle w:val="Heading5"/>
      </w:pPr>
      <w:r w:rsidRPr="002029AF">
        <w:t>Initial</w:t>
      </w:r>
      <w:r w:rsidR="000A5329" w:rsidRPr="002029AF">
        <w:t xml:space="preserve"> </w:t>
      </w:r>
      <w:r w:rsidRPr="002029AF">
        <w:t>recognition</w:t>
      </w:r>
    </w:p>
    <w:p w14:paraId="452B08CC" w14:textId="79B11E4D" w:rsidR="00087B91" w:rsidRPr="002029AF" w:rsidRDefault="00087B91" w:rsidP="00087B91">
      <w:pPr>
        <w:pStyle w:val="ARfinbody"/>
      </w:pPr>
      <w:r w:rsidRPr="002029AF">
        <w:t>An</w:t>
      </w:r>
      <w:r w:rsidR="000A5329" w:rsidRPr="002029AF">
        <w:t xml:space="preserve"> </w:t>
      </w:r>
      <w:r w:rsidRPr="002029AF">
        <w:rPr>
          <w:rStyle w:val="Strong"/>
        </w:rPr>
        <w:t>internally</w:t>
      </w:r>
      <w:r w:rsidR="000A5329" w:rsidRPr="002029AF">
        <w:rPr>
          <w:rStyle w:val="Strong"/>
        </w:rPr>
        <w:t xml:space="preserve"> </w:t>
      </w:r>
      <w:r w:rsidRPr="002029AF">
        <w:rPr>
          <w:rStyle w:val="Strong"/>
        </w:rPr>
        <w:t>generated</w:t>
      </w:r>
      <w:r w:rsidR="000A5329" w:rsidRPr="002029AF">
        <w:rPr>
          <w:rStyle w:val="Strong"/>
        </w:rPr>
        <w:t xml:space="preserve"> </w:t>
      </w:r>
      <w:r w:rsidRPr="002029AF">
        <w:rPr>
          <w:rStyle w:val="Strong"/>
        </w:rPr>
        <w:t>intangible</w:t>
      </w:r>
      <w:r w:rsidR="000A5329" w:rsidRPr="002029AF">
        <w:rPr>
          <w:rStyle w:val="Strong"/>
        </w:rPr>
        <w:t xml:space="preserve"> </w:t>
      </w:r>
      <w:r w:rsidRPr="002029AF">
        <w:rPr>
          <w:rStyle w:val="Strong"/>
        </w:rPr>
        <w:t>asset</w:t>
      </w:r>
      <w:r w:rsidR="000A5329" w:rsidRPr="002029AF">
        <w:t xml:space="preserve"> </w:t>
      </w:r>
      <w:r w:rsidRPr="002029AF">
        <w:t>arising</w:t>
      </w:r>
      <w:r w:rsidR="000A5329" w:rsidRPr="002029AF">
        <w:t xml:space="preserve"> </w:t>
      </w:r>
      <w:r w:rsidRPr="002029AF">
        <w:t>from</w:t>
      </w:r>
      <w:r w:rsidR="000A5329" w:rsidRPr="002029AF">
        <w:t xml:space="preserve"> </w:t>
      </w:r>
      <w:r w:rsidRPr="002029AF">
        <w:t>development</w:t>
      </w:r>
      <w:r w:rsidR="000A5329" w:rsidRPr="002029AF">
        <w:t xml:space="preserve"> </w:t>
      </w:r>
      <w:r w:rsidRPr="002029AF">
        <w:t>(or</w:t>
      </w:r>
      <w:r w:rsidR="000A5329" w:rsidRPr="002029AF">
        <w:t xml:space="preserve"> </w:t>
      </w:r>
      <w:r w:rsidRPr="002029AF">
        <w:t>from</w:t>
      </w:r>
      <w:r w:rsidR="000A5329" w:rsidRPr="002029AF">
        <w:t xml:space="preserve"> </w:t>
      </w:r>
      <w:r w:rsidRPr="002029AF">
        <w:t>the</w:t>
      </w:r>
      <w:r w:rsidR="000A5329" w:rsidRPr="002029AF">
        <w:t xml:space="preserve"> </w:t>
      </w:r>
      <w:r w:rsidRPr="002029AF">
        <w:t>development</w:t>
      </w:r>
      <w:r w:rsidR="000A5329" w:rsidRPr="002029AF">
        <w:t xml:space="preserve"> </w:t>
      </w:r>
      <w:r w:rsidRPr="002029AF">
        <w:t>phase</w:t>
      </w:r>
      <w:r w:rsidR="000A5329" w:rsidRPr="002029AF">
        <w:t xml:space="preserve"> </w:t>
      </w:r>
      <w:r w:rsidRPr="002029AF">
        <w:t>of</w:t>
      </w:r>
      <w:r w:rsidR="000A5329" w:rsidRPr="002029AF">
        <w:t xml:space="preserve"> </w:t>
      </w:r>
      <w:r w:rsidRPr="002029AF">
        <w:t>an</w:t>
      </w:r>
      <w:r w:rsidR="000A5329" w:rsidRPr="002029AF">
        <w:t xml:space="preserve"> </w:t>
      </w:r>
      <w:r w:rsidRPr="002029AF">
        <w:t>internal</w:t>
      </w:r>
      <w:r w:rsidR="000A5329" w:rsidRPr="002029AF">
        <w:t xml:space="preserve"> </w:t>
      </w:r>
      <w:r w:rsidRPr="002029AF">
        <w:t>project)</w:t>
      </w:r>
      <w:r w:rsidR="000A5329" w:rsidRPr="002029AF">
        <w:t xml:space="preserve"> </w:t>
      </w:r>
      <w:r w:rsidRPr="002029AF">
        <w:t>is</w:t>
      </w:r>
      <w:r w:rsidR="000A5329" w:rsidRPr="002029AF">
        <w:t xml:space="preserve"> </w:t>
      </w:r>
      <w:r w:rsidRPr="002029AF">
        <w:t>recognised</w:t>
      </w:r>
      <w:r w:rsidR="000A5329" w:rsidRPr="002029AF">
        <w:t xml:space="preserve"> </w:t>
      </w:r>
      <w:r w:rsidRPr="002029AF">
        <w:t>if,</w:t>
      </w:r>
      <w:r w:rsidR="000A5329" w:rsidRPr="002029AF">
        <w:t xml:space="preserve"> </w:t>
      </w:r>
      <w:r w:rsidRPr="002029AF">
        <w:t>and</w:t>
      </w:r>
      <w:r w:rsidR="000A5329" w:rsidRPr="002029AF">
        <w:t xml:space="preserve"> </w:t>
      </w:r>
      <w:r w:rsidRPr="002029AF">
        <w:t>only</w:t>
      </w:r>
      <w:r w:rsidR="000A5329" w:rsidRPr="002029AF">
        <w:t xml:space="preserve"> </w:t>
      </w:r>
      <w:r w:rsidRPr="002029AF">
        <w:t>if,</w:t>
      </w:r>
      <w:r w:rsidR="000A5329" w:rsidRPr="002029AF">
        <w:t xml:space="preserve"> </w:t>
      </w:r>
      <w:r w:rsidRPr="002029AF">
        <w:t>all</w:t>
      </w:r>
      <w:r w:rsidR="000A5329" w:rsidRPr="002029AF">
        <w:t xml:space="preserve"> </w:t>
      </w:r>
      <w:r w:rsidRPr="002029AF">
        <w:t>of</w:t>
      </w:r>
      <w:r w:rsidR="000A5329" w:rsidRPr="002029AF">
        <w:t xml:space="preserve"> </w:t>
      </w:r>
      <w:r w:rsidRPr="002029AF">
        <w:t>the</w:t>
      </w:r>
      <w:r w:rsidR="000A5329" w:rsidRPr="002029AF">
        <w:t xml:space="preserve"> </w:t>
      </w:r>
      <w:r w:rsidRPr="002029AF">
        <w:t>following</w:t>
      </w:r>
      <w:r w:rsidR="000A5329" w:rsidRPr="002029AF">
        <w:t xml:space="preserve"> </w:t>
      </w:r>
      <w:r w:rsidRPr="002029AF">
        <w:t>are</w:t>
      </w:r>
      <w:r w:rsidR="000A5329" w:rsidRPr="002029AF">
        <w:t xml:space="preserve"> </w:t>
      </w:r>
      <w:r w:rsidRPr="002029AF">
        <w:t>demonstrated:</w:t>
      </w:r>
    </w:p>
    <w:p w14:paraId="1EFD52E7" w14:textId="37FE37E5" w:rsidR="00087B91" w:rsidRPr="002029AF" w:rsidRDefault="00087B91" w:rsidP="00FF3CAB">
      <w:pPr>
        <w:pStyle w:val="ARfinnumberalpha1"/>
        <w:numPr>
          <w:ilvl w:val="0"/>
          <w:numId w:val="44"/>
        </w:numPr>
      </w:pPr>
      <w:r w:rsidRPr="002029AF">
        <w:t>the</w:t>
      </w:r>
      <w:r w:rsidR="000A5329" w:rsidRPr="002029AF">
        <w:t xml:space="preserve"> </w:t>
      </w:r>
      <w:r w:rsidRPr="002029AF">
        <w:t>technical</w:t>
      </w:r>
      <w:r w:rsidR="000A5329" w:rsidRPr="002029AF">
        <w:t xml:space="preserve"> </w:t>
      </w:r>
      <w:r w:rsidRPr="002029AF">
        <w:t>feasibility</w:t>
      </w:r>
      <w:r w:rsidR="000A5329" w:rsidRPr="002029AF">
        <w:t xml:space="preserve"> </w:t>
      </w:r>
      <w:r w:rsidRPr="002029AF">
        <w:t>of</w:t>
      </w:r>
      <w:r w:rsidR="000A5329" w:rsidRPr="002029AF">
        <w:t xml:space="preserve"> </w:t>
      </w:r>
      <w:r w:rsidRPr="002029AF">
        <w:t>completing</w:t>
      </w:r>
      <w:r w:rsidR="000A5329" w:rsidRPr="002029AF">
        <w:t xml:space="preserve"> </w:t>
      </w:r>
      <w:r w:rsidRPr="002029AF">
        <w:t>the</w:t>
      </w:r>
      <w:r w:rsidR="000A5329" w:rsidRPr="002029AF">
        <w:t xml:space="preserve"> </w:t>
      </w:r>
      <w:r w:rsidRPr="002029AF">
        <w:t>intangible</w:t>
      </w:r>
      <w:r w:rsidR="000A5329" w:rsidRPr="002029AF">
        <w:t xml:space="preserve"> </w:t>
      </w:r>
      <w:r w:rsidRPr="002029AF">
        <w:t>asset</w:t>
      </w:r>
      <w:r w:rsidR="000A5329" w:rsidRPr="002029AF">
        <w:t xml:space="preserve"> </w:t>
      </w:r>
      <w:r w:rsidRPr="002029AF">
        <w:t>so</w:t>
      </w:r>
      <w:r w:rsidR="000A5329" w:rsidRPr="002029AF">
        <w:t xml:space="preserve"> </w:t>
      </w:r>
      <w:r w:rsidRPr="002029AF">
        <w:t>that</w:t>
      </w:r>
      <w:r w:rsidR="000A5329" w:rsidRPr="002029AF">
        <w:t xml:space="preserve"> </w:t>
      </w:r>
      <w:r w:rsidRPr="002029AF">
        <w:t>it</w:t>
      </w:r>
      <w:r w:rsidR="000A5329" w:rsidRPr="002029AF">
        <w:t xml:space="preserve"> </w:t>
      </w:r>
      <w:r w:rsidRPr="002029AF">
        <w:t>will</w:t>
      </w:r>
      <w:r w:rsidR="000A5329" w:rsidRPr="002029AF">
        <w:t xml:space="preserve"> </w:t>
      </w:r>
      <w:r w:rsidRPr="002029AF">
        <w:t>be</w:t>
      </w:r>
      <w:r w:rsidR="000A5329" w:rsidRPr="002029AF">
        <w:t xml:space="preserve"> </w:t>
      </w:r>
      <w:r w:rsidRPr="002029AF">
        <w:t>available</w:t>
      </w:r>
      <w:r w:rsidR="000A5329" w:rsidRPr="002029AF">
        <w:t xml:space="preserve"> </w:t>
      </w:r>
      <w:r w:rsidRPr="002029AF">
        <w:t>for</w:t>
      </w:r>
      <w:r w:rsidR="000A5329" w:rsidRPr="002029AF">
        <w:t xml:space="preserve"> </w:t>
      </w:r>
      <w:r w:rsidRPr="002029AF">
        <w:t>use</w:t>
      </w:r>
      <w:r w:rsidR="000A5329" w:rsidRPr="002029AF">
        <w:t xml:space="preserve"> </w:t>
      </w:r>
      <w:r w:rsidRPr="002029AF">
        <w:t>or</w:t>
      </w:r>
      <w:r w:rsidR="000A5329" w:rsidRPr="002029AF">
        <w:t xml:space="preserve"> </w:t>
      </w:r>
      <w:r w:rsidRPr="002029AF">
        <w:t>sale</w:t>
      </w:r>
    </w:p>
    <w:p w14:paraId="776224C2" w14:textId="4130F1B9" w:rsidR="00087B91" w:rsidRPr="002029AF" w:rsidRDefault="00087B91" w:rsidP="00961519">
      <w:pPr>
        <w:pStyle w:val="ARfinnumberalpha1"/>
      </w:pPr>
      <w:r w:rsidRPr="002029AF">
        <w:t>an</w:t>
      </w:r>
      <w:r w:rsidR="000A5329" w:rsidRPr="002029AF">
        <w:t xml:space="preserve"> </w:t>
      </w:r>
      <w:r w:rsidRPr="002029AF">
        <w:t>intention</w:t>
      </w:r>
      <w:r w:rsidR="000A5329" w:rsidRPr="002029AF">
        <w:t xml:space="preserve"> </w:t>
      </w:r>
      <w:r w:rsidRPr="002029AF">
        <w:t>to</w:t>
      </w:r>
      <w:r w:rsidR="000A5329" w:rsidRPr="002029AF">
        <w:t xml:space="preserve"> </w:t>
      </w:r>
      <w:r w:rsidRPr="002029AF">
        <w:t>complete</w:t>
      </w:r>
      <w:r w:rsidR="000A5329" w:rsidRPr="002029AF">
        <w:t xml:space="preserve"> </w:t>
      </w:r>
      <w:r w:rsidRPr="002029AF">
        <w:t>the</w:t>
      </w:r>
      <w:r w:rsidR="000A5329" w:rsidRPr="002029AF">
        <w:t xml:space="preserve"> </w:t>
      </w:r>
      <w:r w:rsidRPr="002029AF">
        <w:t>intangible</w:t>
      </w:r>
      <w:r w:rsidR="000A5329" w:rsidRPr="002029AF">
        <w:t xml:space="preserve"> </w:t>
      </w:r>
      <w:r w:rsidRPr="002029AF">
        <w:t>asset</w:t>
      </w:r>
      <w:r w:rsidR="000A5329" w:rsidRPr="002029AF">
        <w:t xml:space="preserve"> </w:t>
      </w:r>
      <w:r w:rsidRPr="002029AF">
        <w:t>and</w:t>
      </w:r>
      <w:r w:rsidR="000A5329" w:rsidRPr="002029AF">
        <w:t xml:space="preserve"> </w:t>
      </w:r>
      <w:r w:rsidRPr="002029AF">
        <w:t>use</w:t>
      </w:r>
      <w:r w:rsidR="000A5329" w:rsidRPr="002029AF">
        <w:t xml:space="preserve"> </w:t>
      </w:r>
      <w:r w:rsidRPr="002029AF">
        <w:t>or</w:t>
      </w:r>
      <w:r w:rsidR="000A5329" w:rsidRPr="002029AF">
        <w:t xml:space="preserve"> </w:t>
      </w:r>
      <w:r w:rsidRPr="002029AF">
        <w:t>sell</w:t>
      </w:r>
      <w:r w:rsidR="000A5329" w:rsidRPr="002029AF">
        <w:t xml:space="preserve"> </w:t>
      </w:r>
      <w:r w:rsidRPr="002029AF">
        <w:t>it</w:t>
      </w:r>
    </w:p>
    <w:p w14:paraId="0B291333" w14:textId="4E94317C" w:rsidR="00087B91" w:rsidRPr="002029AF" w:rsidRDefault="00087B91" w:rsidP="00961519">
      <w:pPr>
        <w:pStyle w:val="ARfinnumberalpha1"/>
      </w:pPr>
      <w:r w:rsidRPr="002029AF">
        <w:t>the</w:t>
      </w:r>
      <w:r w:rsidR="000A5329" w:rsidRPr="002029AF">
        <w:t xml:space="preserve"> </w:t>
      </w:r>
      <w:r w:rsidRPr="002029AF">
        <w:t>ability</w:t>
      </w:r>
      <w:r w:rsidR="000A5329" w:rsidRPr="002029AF">
        <w:t xml:space="preserve"> </w:t>
      </w:r>
      <w:r w:rsidRPr="002029AF">
        <w:t>to</w:t>
      </w:r>
      <w:r w:rsidR="000A5329" w:rsidRPr="002029AF">
        <w:t xml:space="preserve"> </w:t>
      </w:r>
      <w:r w:rsidRPr="002029AF">
        <w:t>use</w:t>
      </w:r>
      <w:r w:rsidR="000A5329" w:rsidRPr="002029AF">
        <w:t xml:space="preserve"> </w:t>
      </w:r>
      <w:r w:rsidRPr="002029AF">
        <w:t>or</w:t>
      </w:r>
      <w:r w:rsidR="000A5329" w:rsidRPr="002029AF">
        <w:t xml:space="preserve"> </w:t>
      </w:r>
      <w:r w:rsidRPr="002029AF">
        <w:t>sell</w:t>
      </w:r>
      <w:r w:rsidR="000A5329" w:rsidRPr="002029AF">
        <w:t xml:space="preserve"> </w:t>
      </w:r>
      <w:r w:rsidRPr="002029AF">
        <w:t>the</w:t>
      </w:r>
      <w:r w:rsidR="000A5329" w:rsidRPr="002029AF">
        <w:t xml:space="preserve"> </w:t>
      </w:r>
      <w:r w:rsidRPr="002029AF">
        <w:t>intangible</w:t>
      </w:r>
      <w:r w:rsidR="000A5329" w:rsidRPr="002029AF">
        <w:t xml:space="preserve"> </w:t>
      </w:r>
      <w:r w:rsidRPr="002029AF">
        <w:t>asset</w:t>
      </w:r>
    </w:p>
    <w:p w14:paraId="41D25495" w14:textId="3D9D847F" w:rsidR="00087B91" w:rsidRPr="002029AF" w:rsidRDefault="00087B91" w:rsidP="00961519">
      <w:pPr>
        <w:pStyle w:val="ARfinnumberalpha1"/>
      </w:pPr>
      <w:r w:rsidRPr="002029AF">
        <w:t>the</w:t>
      </w:r>
      <w:r w:rsidR="000A5329" w:rsidRPr="002029AF">
        <w:t xml:space="preserve"> </w:t>
      </w:r>
      <w:r w:rsidRPr="002029AF">
        <w:t>intangible</w:t>
      </w:r>
      <w:r w:rsidR="000A5329" w:rsidRPr="002029AF">
        <w:t xml:space="preserve"> </w:t>
      </w:r>
      <w:r w:rsidRPr="002029AF">
        <w:t>asset</w:t>
      </w:r>
      <w:r w:rsidR="000A5329" w:rsidRPr="002029AF">
        <w:t xml:space="preserve"> </w:t>
      </w:r>
      <w:r w:rsidRPr="002029AF">
        <w:t>will</w:t>
      </w:r>
      <w:r w:rsidR="000A5329" w:rsidRPr="002029AF">
        <w:t xml:space="preserve"> </w:t>
      </w:r>
      <w:r w:rsidRPr="002029AF">
        <w:t>generate</w:t>
      </w:r>
      <w:r w:rsidR="000A5329" w:rsidRPr="002029AF">
        <w:t xml:space="preserve"> </w:t>
      </w:r>
      <w:r w:rsidRPr="002029AF">
        <w:t>probable</w:t>
      </w:r>
      <w:r w:rsidR="000A5329" w:rsidRPr="002029AF">
        <w:t xml:space="preserve"> </w:t>
      </w:r>
      <w:r w:rsidRPr="002029AF">
        <w:t>future</w:t>
      </w:r>
      <w:r w:rsidR="000A5329" w:rsidRPr="002029AF">
        <w:t xml:space="preserve"> </w:t>
      </w:r>
      <w:r w:rsidRPr="002029AF">
        <w:t>economic</w:t>
      </w:r>
      <w:r w:rsidR="000A5329" w:rsidRPr="002029AF">
        <w:t xml:space="preserve"> </w:t>
      </w:r>
      <w:r w:rsidRPr="002029AF">
        <w:t>benefits</w:t>
      </w:r>
    </w:p>
    <w:p w14:paraId="3D03B5CA" w14:textId="6C3613F7" w:rsidR="00087B91" w:rsidRPr="002029AF" w:rsidRDefault="00087B91" w:rsidP="00961519">
      <w:pPr>
        <w:pStyle w:val="ARfinnumberalpha1"/>
      </w:pPr>
      <w:r w:rsidRPr="002029AF">
        <w:t>the</w:t>
      </w:r>
      <w:r w:rsidR="000A5329" w:rsidRPr="002029AF">
        <w:t xml:space="preserve"> </w:t>
      </w:r>
      <w:r w:rsidRPr="002029AF">
        <w:t>availability</w:t>
      </w:r>
      <w:r w:rsidR="000A5329" w:rsidRPr="002029AF">
        <w:t xml:space="preserve"> </w:t>
      </w:r>
      <w:r w:rsidRPr="002029AF">
        <w:t>of</w:t>
      </w:r>
      <w:r w:rsidR="000A5329" w:rsidRPr="002029AF">
        <w:t xml:space="preserve"> </w:t>
      </w:r>
      <w:r w:rsidRPr="002029AF">
        <w:t>adequate</w:t>
      </w:r>
      <w:r w:rsidR="000A5329" w:rsidRPr="002029AF">
        <w:t xml:space="preserve"> </w:t>
      </w:r>
      <w:r w:rsidRPr="002029AF">
        <w:t>technical,</w:t>
      </w:r>
      <w:r w:rsidR="000A5329" w:rsidRPr="002029AF">
        <w:t xml:space="preserve"> </w:t>
      </w:r>
      <w:r w:rsidRPr="002029AF">
        <w:t>financial</w:t>
      </w:r>
      <w:r w:rsidR="000A5329" w:rsidRPr="002029AF">
        <w:t xml:space="preserve"> </w:t>
      </w:r>
      <w:r w:rsidRPr="002029AF">
        <w:t>and</w:t>
      </w:r>
      <w:r w:rsidR="000A5329" w:rsidRPr="002029AF">
        <w:t xml:space="preserve"> </w:t>
      </w:r>
      <w:r w:rsidRPr="002029AF">
        <w:t>other</w:t>
      </w:r>
      <w:r w:rsidR="000A5329" w:rsidRPr="002029AF">
        <w:t xml:space="preserve"> </w:t>
      </w:r>
      <w:r w:rsidRPr="002029AF">
        <w:t>resources</w:t>
      </w:r>
      <w:r w:rsidR="000A5329" w:rsidRPr="002029AF">
        <w:t xml:space="preserve"> </w:t>
      </w:r>
      <w:r w:rsidRPr="002029AF">
        <w:t>to</w:t>
      </w:r>
      <w:r w:rsidR="000A5329" w:rsidRPr="002029AF">
        <w:t xml:space="preserve"> </w:t>
      </w:r>
      <w:r w:rsidRPr="002029AF">
        <w:t>complete</w:t>
      </w:r>
      <w:r w:rsidR="000A5329" w:rsidRPr="002029AF">
        <w:t xml:space="preserve"> </w:t>
      </w:r>
      <w:r w:rsidRPr="002029AF">
        <w:t>the</w:t>
      </w:r>
      <w:r w:rsidR="000A5329" w:rsidRPr="002029AF">
        <w:t xml:space="preserve"> </w:t>
      </w:r>
      <w:r w:rsidRPr="002029AF">
        <w:t>development</w:t>
      </w:r>
      <w:r w:rsidR="000A5329" w:rsidRPr="002029AF">
        <w:t xml:space="preserve"> </w:t>
      </w:r>
      <w:r w:rsidRPr="002029AF">
        <w:t>and</w:t>
      </w:r>
      <w:r w:rsidR="000A5329" w:rsidRPr="002029AF">
        <w:t xml:space="preserve"> </w:t>
      </w:r>
      <w:r w:rsidRPr="002029AF">
        <w:t>to</w:t>
      </w:r>
      <w:r w:rsidR="000A5329" w:rsidRPr="002029AF">
        <w:t xml:space="preserve"> </w:t>
      </w:r>
      <w:r w:rsidRPr="002029AF">
        <w:t>use</w:t>
      </w:r>
      <w:r w:rsidR="000A5329" w:rsidRPr="002029AF">
        <w:t xml:space="preserve"> </w:t>
      </w:r>
      <w:r w:rsidRPr="002029AF">
        <w:t>or</w:t>
      </w:r>
      <w:r w:rsidR="000A5329" w:rsidRPr="002029AF">
        <w:t xml:space="preserve"> </w:t>
      </w:r>
      <w:r w:rsidRPr="002029AF">
        <w:t>sell</w:t>
      </w:r>
      <w:r w:rsidR="000A5329" w:rsidRPr="002029AF">
        <w:t xml:space="preserve"> </w:t>
      </w:r>
      <w:r w:rsidRPr="002029AF">
        <w:t>the</w:t>
      </w:r>
      <w:r w:rsidR="000A5329" w:rsidRPr="002029AF">
        <w:t xml:space="preserve"> </w:t>
      </w:r>
      <w:r w:rsidRPr="002029AF">
        <w:t>intangible</w:t>
      </w:r>
      <w:r w:rsidR="000A5329" w:rsidRPr="002029AF">
        <w:t xml:space="preserve"> </w:t>
      </w:r>
      <w:r w:rsidRPr="002029AF">
        <w:t>asset</w:t>
      </w:r>
    </w:p>
    <w:p w14:paraId="5261E22B" w14:textId="67BB0022" w:rsidR="00087B91" w:rsidRPr="002029AF" w:rsidRDefault="00087B91" w:rsidP="00961519">
      <w:pPr>
        <w:pStyle w:val="ARfinnumberalpha1"/>
      </w:pPr>
      <w:r w:rsidRPr="002029AF">
        <w:t>the</w:t>
      </w:r>
      <w:r w:rsidR="000A5329" w:rsidRPr="002029AF">
        <w:t xml:space="preserve"> </w:t>
      </w:r>
      <w:r w:rsidRPr="002029AF">
        <w:t>ability</w:t>
      </w:r>
      <w:r w:rsidR="000A5329" w:rsidRPr="002029AF">
        <w:t xml:space="preserve"> </w:t>
      </w:r>
      <w:r w:rsidRPr="002029AF">
        <w:t>to</w:t>
      </w:r>
      <w:r w:rsidR="000A5329" w:rsidRPr="002029AF">
        <w:t xml:space="preserve"> </w:t>
      </w:r>
      <w:r w:rsidRPr="002029AF">
        <w:t>measure</w:t>
      </w:r>
      <w:r w:rsidR="000A5329" w:rsidRPr="002029AF">
        <w:t xml:space="preserve"> </w:t>
      </w:r>
      <w:r w:rsidRPr="002029AF">
        <w:t>reliably</w:t>
      </w:r>
      <w:r w:rsidR="000A5329" w:rsidRPr="002029AF">
        <w:t xml:space="preserve"> </w:t>
      </w:r>
      <w:r w:rsidRPr="002029AF">
        <w:t>the</w:t>
      </w:r>
      <w:r w:rsidR="000A5329" w:rsidRPr="002029AF">
        <w:t xml:space="preserve"> </w:t>
      </w:r>
      <w:r w:rsidRPr="002029AF">
        <w:t>expenditure</w:t>
      </w:r>
      <w:r w:rsidR="000A5329" w:rsidRPr="002029AF">
        <w:t xml:space="preserve"> </w:t>
      </w:r>
      <w:r w:rsidRPr="002029AF">
        <w:t>attributable</w:t>
      </w:r>
      <w:r w:rsidR="000A5329" w:rsidRPr="002029AF">
        <w:t xml:space="preserve"> </w:t>
      </w:r>
      <w:r w:rsidRPr="002029AF">
        <w:t>to</w:t>
      </w:r>
      <w:r w:rsidR="000A5329" w:rsidRPr="002029AF">
        <w:t xml:space="preserve"> </w:t>
      </w:r>
      <w:r w:rsidRPr="002029AF">
        <w:t>the</w:t>
      </w:r>
      <w:r w:rsidR="000A5329" w:rsidRPr="002029AF">
        <w:t xml:space="preserve"> </w:t>
      </w:r>
      <w:r w:rsidRPr="002029AF">
        <w:t>intangible</w:t>
      </w:r>
      <w:r w:rsidR="000A5329" w:rsidRPr="002029AF">
        <w:t xml:space="preserve"> </w:t>
      </w:r>
      <w:r w:rsidRPr="002029AF">
        <w:t>asset</w:t>
      </w:r>
      <w:r w:rsidR="000A5329" w:rsidRPr="002029AF">
        <w:t xml:space="preserve"> </w:t>
      </w:r>
      <w:r w:rsidRPr="002029AF">
        <w:t>during</w:t>
      </w:r>
      <w:r w:rsidR="000A5329" w:rsidRPr="002029AF">
        <w:t xml:space="preserve"> </w:t>
      </w:r>
      <w:r w:rsidRPr="002029AF">
        <w:t>its</w:t>
      </w:r>
      <w:r w:rsidR="000A5329" w:rsidRPr="002029AF">
        <w:t xml:space="preserve"> </w:t>
      </w:r>
      <w:r w:rsidRPr="002029AF">
        <w:t>development.</w:t>
      </w:r>
    </w:p>
    <w:p w14:paraId="102E7905" w14:textId="1E93EE3B" w:rsidR="00087B91" w:rsidRPr="002029AF" w:rsidRDefault="00087B91" w:rsidP="00087B91">
      <w:pPr>
        <w:pStyle w:val="Heading5"/>
      </w:pPr>
      <w:r w:rsidRPr="002029AF">
        <w:t>Subsequent</w:t>
      </w:r>
      <w:r w:rsidR="000A5329" w:rsidRPr="002029AF">
        <w:t xml:space="preserve"> </w:t>
      </w:r>
      <w:r w:rsidRPr="002029AF">
        <w:t>measurement</w:t>
      </w:r>
    </w:p>
    <w:p w14:paraId="61E56FC9" w14:textId="480BA928" w:rsidR="00087B91" w:rsidRPr="002029AF" w:rsidRDefault="00087B91" w:rsidP="00087B91">
      <w:pPr>
        <w:pStyle w:val="ARfinbody"/>
      </w:pPr>
      <w:r w:rsidRPr="002029AF">
        <w:t>Intangible</w:t>
      </w:r>
      <w:r w:rsidR="000A5329" w:rsidRPr="002029AF">
        <w:t xml:space="preserve"> </w:t>
      </w:r>
      <w:r w:rsidRPr="002029AF">
        <w:t>produced</w:t>
      </w:r>
      <w:r w:rsidR="000A5329" w:rsidRPr="002029AF">
        <w:t xml:space="preserve"> </w:t>
      </w:r>
      <w:r w:rsidRPr="002029AF">
        <w:t>assets</w:t>
      </w:r>
      <w:r w:rsidR="000A5329" w:rsidRPr="002029AF">
        <w:t xml:space="preserve"> </w:t>
      </w:r>
      <w:r w:rsidRPr="002029AF">
        <w:t>with</w:t>
      </w:r>
      <w:r w:rsidR="000A5329" w:rsidRPr="002029AF">
        <w:t xml:space="preserve"> </w:t>
      </w:r>
      <w:r w:rsidRPr="002029AF">
        <w:t>finite</w:t>
      </w:r>
      <w:r w:rsidR="000A5329" w:rsidRPr="002029AF">
        <w:t xml:space="preserve"> </w:t>
      </w:r>
      <w:r w:rsidRPr="002029AF">
        <w:t>useful</w:t>
      </w:r>
      <w:r w:rsidR="000A5329" w:rsidRPr="002029AF">
        <w:t xml:space="preserve"> </w:t>
      </w:r>
      <w:r w:rsidRPr="002029AF">
        <w:t>lives,</w:t>
      </w:r>
      <w:r w:rsidR="000A5329" w:rsidRPr="002029AF">
        <w:t xml:space="preserve"> </w:t>
      </w:r>
      <w:r w:rsidRPr="002029AF">
        <w:t>are</w:t>
      </w:r>
      <w:r w:rsidR="000A5329" w:rsidRPr="002029AF">
        <w:t xml:space="preserve"> </w:t>
      </w:r>
      <w:r w:rsidRPr="002029AF">
        <w:t>amortised</w:t>
      </w:r>
      <w:r w:rsidR="000A5329" w:rsidRPr="002029AF">
        <w:t xml:space="preserve"> </w:t>
      </w:r>
      <w:r w:rsidRPr="002029AF">
        <w:t>as</w:t>
      </w:r>
      <w:r w:rsidR="000A5329" w:rsidRPr="002029AF">
        <w:t xml:space="preserve"> </w:t>
      </w:r>
      <w:r w:rsidRPr="002029AF">
        <w:t>an</w:t>
      </w:r>
      <w:r w:rsidR="000A5329" w:rsidRPr="002029AF">
        <w:t xml:space="preserve"> </w:t>
      </w:r>
      <w:r w:rsidRPr="002029AF">
        <w:t>‘expense</w:t>
      </w:r>
      <w:r w:rsidR="000A5329" w:rsidRPr="002029AF">
        <w:t xml:space="preserve"> </w:t>
      </w:r>
      <w:r w:rsidRPr="002029AF">
        <w:t>from</w:t>
      </w:r>
      <w:r w:rsidR="000A5329" w:rsidRPr="002029AF">
        <w:t xml:space="preserve"> </w:t>
      </w:r>
      <w:r w:rsidRPr="002029AF">
        <w:t>transactions’</w:t>
      </w:r>
      <w:r w:rsidR="000A5329" w:rsidRPr="002029AF">
        <w:t xml:space="preserve"> </w:t>
      </w:r>
      <w:r w:rsidRPr="002029AF">
        <w:t>on</w:t>
      </w:r>
      <w:r w:rsidR="000A5329" w:rsidRPr="002029AF">
        <w:t xml:space="preserve"> </w:t>
      </w:r>
      <w:r w:rsidRPr="002029AF">
        <w:t>a</w:t>
      </w:r>
      <w:r w:rsidR="000A5329" w:rsidRPr="002029AF">
        <w:t xml:space="preserve"> </w:t>
      </w:r>
      <w:r w:rsidRPr="002029AF">
        <w:t>straight</w:t>
      </w:r>
      <w:r w:rsidR="79771555" w:rsidRPr="002029AF">
        <w:t>-</w:t>
      </w:r>
      <w:r w:rsidRPr="002029AF">
        <w:t>line</w:t>
      </w:r>
      <w:r w:rsidR="000A5329" w:rsidRPr="002029AF">
        <w:t xml:space="preserve"> </w:t>
      </w:r>
      <w:r w:rsidRPr="002029AF">
        <w:t>basis</w:t>
      </w:r>
      <w:r w:rsidR="000A5329" w:rsidRPr="002029AF">
        <w:t xml:space="preserve"> </w:t>
      </w:r>
      <w:r w:rsidRPr="002029AF">
        <w:t>over</w:t>
      </w:r>
      <w:r w:rsidR="000A5329" w:rsidRPr="002029AF">
        <w:t xml:space="preserve"> </w:t>
      </w:r>
      <w:r w:rsidRPr="002029AF">
        <w:t>their</w:t>
      </w:r>
      <w:r w:rsidR="000A5329" w:rsidRPr="002029AF">
        <w:t xml:space="preserve"> </w:t>
      </w:r>
      <w:r w:rsidRPr="002029AF">
        <w:t>useful</w:t>
      </w:r>
      <w:r w:rsidR="000A5329" w:rsidRPr="002029AF">
        <w:t xml:space="preserve"> </w:t>
      </w:r>
      <w:r w:rsidRPr="002029AF">
        <w:t>lives.</w:t>
      </w:r>
    </w:p>
    <w:p w14:paraId="39FE49FC" w14:textId="7DADA4BD" w:rsidR="00087B91" w:rsidRPr="002029AF" w:rsidRDefault="00087B91" w:rsidP="00087B91">
      <w:pPr>
        <w:pStyle w:val="ARfinbody"/>
        <w:rPr>
          <w:b/>
        </w:rPr>
      </w:pPr>
      <w:r w:rsidRPr="002029AF">
        <w:t>Service</w:t>
      </w:r>
      <w:r w:rsidR="000A5329" w:rsidRPr="002029AF">
        <w:t xml:space="preserve"> </w:t>
      </w:r>
      <w:r w:rsidRPr="002029AF">
        <w:t>concession</w:t>
      </w:r>
      <w:r w:rsidR="000A5329" w:rsidRPr="002029AF">
        <w:t xml:space="preserve"> </w:t>
      </w:r>
      <w:r w:rsidRPr="002029AF">
        <w:t>intangible</w:t>
      </w:r>
      <w:r w:rsidR="000A5329" w:rsidRPr="002029AF">
        <w:t xml:space="preserve"> </w:t>
      </w:r>
      <w:r w:rsidRPr="002029AF">
        <w:t>assets</w:t>
      </w:r>
      <w:r w:rsidR="000A5329" w:rsidRPr="002029AF">
        <w:t xml:space="preserve"> </w:t>
      </w:r>
      <w:r w:rsidRPr="002029AF">
        <w:t>recognised</w:t>
      </w:r>
      <w:r w:rsidR="000A5329" w:rsidRPr="002029AF">
        <w:t xml:space="preserve"> </w:t>
      </w:r>
      <w:r w:rsidRPr="002029AF">
        <w:t>applying</w:t>
      </w:r>
      <w:r w:rsidR="000A5329" w:rsidRPr="002029AF">
        <w:t xml:space="preserve"> </w:t>
      </w:r>
      <w:r w:rsidRPr="002029AF">
        <w:t>AASB</w:t>
      </w:r>
      <w:r w:rsidR="000A5329" w:rsidRPr="002029AF">
        <w:t xml:space="preserve"> </w:t>
      </w:r>
      <w:r w:rsidRPr="002029AF">
        <w:t>1059</w:t>
      </w:r>
      <w:r w:rsidR="000A5329" w:rsidRPr="002029AF">
        <w:t xml:space="preserve"> </w:t>
      </w:r>
      <w:r w:rsidRPr="002029AF">
        <w:t>are</w:t>
      </w:r>
      <w:r w:rsidR="000A5329" w:rsidRPr="002029AF">
        <w:t xml:space="preserve"> </w:t>
      </w:r>
      <w:r w:rsidRPr="002029AF">
        <w:t>subsequently</w:t>
      </w:r>
      <w:r w:rsidR="000A5329" w:rsidRPr="002029AF">
        <w:t xml:space="preserve"> </w:t>
      </w:r>
      <w:r w:rsidRPr="002029AF">
        <w:t>measured</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r w:rsidR="000A5329" w:rsidRPr="002029AF">
        <w:t xml:space="preserve"> </w:t>
      </w:r>
      <w:r w:rsidRPr="002029AF">
        <w:t>(current</w:t>
      </w:r>
      <w:r w:rsidR="000A5329" w:rsidRPr="002029AF">
        <w:t xml:space="preserve"> </w:t>
      </w:r>
      <w:r w:rsidRPr="002029AF">
        <w:t>replacement</w:t>
      </w:r>
      <w:r w:rsidR="000A5329" w:rsidRPr="002029AF">
        <w:t xml:space="preserve"> </w:t>
      </w:r>
      <w:r w:rsidRPr="002029AF">
        <w:t>cost).</w:t>
      </w:r>
    </w:p>
    <w:p w14:paraId="6B692BD3" w14:textId="264264DD" w:rsidR="00087B91" w:rsidRPr="002029AF" w:rsidRDefault="00087B91" w:rsidP="00087B91">
      <w:pPr>
        <w:pStyle w:val="Heading5"/>
      </w:pPr>
      <w:r w:rsidRPr="002029AF">
        <w:t>Impairment</w:t>
      </w:r>
      <w:r w:rsidR="000A5329" w:rsidRPr="002029AF">
        <w:t xml:space="preserve"> </w:t>
      </w:r>
      <w:r w:rsidRPr="002029AF">
        <w:t>of</w:t>
      </w:r>
      <w:r w:rsidR="000A5329" w:rsidRPr="002029AF">
        <w:t xml:space="preserve"> </w:t>
      </w:r>
      <w:r w:rsidRPr="002029AF">
        <w:t>intangible</w:t>
      </w:r>
      <w:r w:rsidR="000A5329" w:rsidRPr="002029AF">
        <w:t xml:space="preserve"> </w:t>
      </w:r>
      <w:r w:rsidRPr="002029AF">
        <w:t>assets</w:t>
      </w:r>
    </w:p>
    <w:p w14:paraId="3CC33158" w14:textId="55480B5F" w:rsidR="00087B91" w:rsidRPr="002029AF" w:rsidRDefault="00087B91" w:rsidP="00087B91">
      <w:pPr>
        <w:pStyle w:val="ARfinbody"/>
      </w:pPr>
      <w:r w:rsidRPr="002029AF">
        <w:t>Intangible</w:t>
      </w:r>
      <w:r w:rsidR="000A5329" w:rsidRPr="002029AF">
        <w:t xml:space="preserve"> </w:t>
      </w:r>
      <w:r w:rsidRPr="002029AF">
        <w:t>assets</w:t>
      </w:r>
      <w:r w:rsidR="000A5329" w:rsidRPr="002029AF">
        <w:t xml:space="preserve"> </w:t>
      </w:r>
      <w:r w:rsidRPr="002029AF">
        <w:t>with</w:t>
      </w:r>
      <w:r w:rsidR="000A5329" w:rsidRPr="002029AF">
        <w:t xml:space="preserve"> </w:t>
      </w:r>
      <w:r w:rsidRPr="002029AF">
        <w:t>finite</w:t>
      </w:r>
      <w:r w:rsidR="000A5329" w:rsidRPr="002029AF">
        <w:t xml:space="preserve"> </w:t>
      </w:r>
      <w:r w:rsidRPr="002029AF">
        <w:t>useful</w:t>
      </w:r>
      <w:r w:rsidR="000A5329" w:rsidRPr="002029AF">
        <w:t xml:space="preserve"> </w:t>
      </w:r>
      <w:r w:rsidRPr="002029AF">
        <w:t>lives</w:t>
      </w:r>
      <w:r w:rsidR="000A5329" w:rsidRPr="002029AF">
        <w:t xml:space="preserve"> </w:t>
      </w:r>
      <w:r w:rsidRPr="002029AF">
        <w:t>are</w:t>
      </w:r>
      <w:r w:rsidR="000A5329" w:rsidRPr="002029AF">
        <w:t xml:space="preserve"> </w:t>
      </w:r>
      <w:r w:rsidRPr="002029AF">
        <w:t>tested</w:t>
      </w:r>
      <w:r w:rsidR="000A5329" w:rsidRPr="002029AF">
        <w:t xml:space="preserve"> </w:t>
      </w:r>
      <w:r w:rsidRPr="002029AF">
        <w:t>annually</w:t>
      </w:r>
      <w:r w:rsidR="000A5329" w:rsidRPr="002029AF">
        <w:t xml:space="preserve"> </w:t>
      </w:r>
      <w:r w:rsidRPr="002029AF">
        <w:t>for</w:t>
      </w:r>
      <w:r w:rsidR="000A5329" w:rsidRPr="002029AF">
        <w:t xml:space="preserve"> </w:t>
      </w:r>
      <w:r w:rsidRPr="002029AF">
        <w:t>impairment</w:t>
      </w:r>
      <w:r w:rsidR="000A5329" w:rsidRPr="002029AF">
        <w:t xml:space="preserve"> </w:t>
      </w:r>
      <w:r w:rsidRPr="002029AF">
        <w:t>whenever</w:t>
      </w:r>
      <w:r w:rsidR="000A5329" w:rsidRPr="002029AF">
        <w:t xml:space="preserve"> </w:t>
      </w:r>
      <w:r w:rsidRPr="002029AF">
        <w:t>an</w:t>
      </w:r>
      <w:r w:rsidR="000A5329" w:rsidRPr="002029AF">
        <w:t xml:space="preserve"> </w:t>
      </w:r>
      <w:r w:rsidRPr="002029AF">
        <w:t>indication</w:t>
      </w:r>
      <w:r w:rsidR="000A5329" w:rsidRPr="002029AF">
        <w:t xml:space="preserve"> </w:t>
      </w:r>
      <w:r w:rsidRPr="002029AF">
        <w:t>of</w:t>
      </w:r>
      <w:r w:rsidR="000A5329" w:rsidRPr="002029AF">
        <w:t xml:space="preserve"> </w:t>
      </w:r>
      <w:r w:rsidRPr="002029AF">
        <w:t>impairment</w:t>
      </w:r>
      <w:r w:rsidR="000A5329" w:rsidRPr="002029AF">
        <w:t xml:space="preserve"> </w:t>
      </w:r>
      <w:r w:rsidRPr="002029AF">
        <w:t>is</w:t>
      </w:r>
      <w:r w:rsidR="000A5329" w:rsidRPr="002029AF">
        <w:t xml:space="preserve"> </w:t>
      </w:r>
      <w:r w:rsidRPr="002029AF">
        <w:t>identified.</w:t>
      </w:r>
    </w:p>
    <w:p w14:paraId="48906AA3" w14:textId="77777777" w:rsidR="00BD4FFC" w:rsidRPr="002029AF" w:rsidRDefault="00BD4FFC" w:rsidP="00087B91">
      <w:pPr>
        <w:pStyle w:val="Heading4"/>
      </w:pPr>
      <w:bookmarkStart w:id="350" w:name="_Toc39242147"/>
      <w:r w:rsidRPr="002029AF">
        <w:br w:type="page"/>
      </w:r>
    </w:p>
    <w:p w14:paraId="2748C1D4" w14:textId="7BECDABC" w:rsidR="00087B91" w:rsidRPr="002029AF" w:rsidRDefault="00087B91" w:rsidP="00087B91">
      <w:pPr>
        <w:pStyle w:val="Heading4"/>
      </w:pPr>
      <w:r w:rsidRPr="002029AF">
        <w:lastRenderedPageBreak/>
        <w:t>5.3</w:t>
      </w:r>
      <w:r w:rsidR="000A5329" w:rsidRPr="002029AF">
        <w:t xml:space="preserve"> </w:t>
      </w:r>
      <w:r w:rsidRPr="002029AF">
        <w:t>Investments</w:t>
      </w:r>
      <w:r w:rsidR="000A5329" w:rsidRPr="002029AF">
        <w:t xml:space="preserve"> </w:t>
      </w:r>
      <w:r w:rsidRPr="002029AF">
        <w:t>accounted</w:t>
      </w:r>
      <w:r w:rsidR="000A5329" w:rsidRPr="002029AF">
        <w:t xml:space="preserve"> </w:t>
      </w:r>
      <w:r w:rsidRPr="002029AF">
        <w:t>for</w:t>
      </w:r>
      <w:r w:rsidR="000A5329" w:rsidRPr="002029AF">
        <w:t xml:space="preserve"> </w:t>
      </w:r>
      <w:r w:rsidRPr="002029AF">
        <w:t>using</w:t>
      </w:r>
      <w:r w:rsidR="000A5329" w:rsidRPr="002029AF">
        <w:t xml:space="preserve"> </w:t>
      </w:r>
      <w:r w:rsidRPr="002029AF">
        <w:t>the</w:t>
      </w:r>
      <w:r w:rsidR="000A5329" w:rsidRPr="002029AF">
        <w:t xml:space="preserve"> </w:t>
      </w:r>
      <w:r w:rsidRPr="002029AF">
        <w:t>equity</w:t>
      </w:r>
      <w:r w:rsidR="000A5329" w:rsidRPr="002029AF">
        <w:t xml:space="preserve"> </w:t>
      </w:r>
      <w:r w:rsidRPr="002029AF">
        <w:t>method</w:t>
      </w:r>
      <w:bookmarkEnd w:id="350"/>
    </w:p>
    <w:p w14:paraId="2D40B915" w14:textId="1A7DCE66" w:rsidR="00087B91" w:rsidRPr="002029AF" w:rsidRDefault="00087B91" w:rsidP="00087B91">
      <w:pPr>
        <w:pStyle w:val="ARfinbody"/>
      </w:pP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an</w:t>
      </w:r>
      <w:r w:rsidR="000A5329" w:rsidRPr="002029AF">
        <w:t xml:space="preserve"> </w:t>
      </w:r>
      <w:r w:rsidRPr="002029AF">
        <w:t>interest</w:t>
      </w:r>
      <w:r w:rsidR="000A5329" w:rsidRPr="002029AF">
        <w:t xml:space="preserve"> </w:t>
      </w:r>
      <w:r w:rsidRPr="002029AF">
        <w:t>in</w:t>
      </w:r>
      <w:r w:rsidR="000A5329" w:rsidRPr="002029AF">
        <w:t xml:space="preserve"> </w:t>
      </w:r>
      <w:r w:rsidRPr="002029AF">
        <w:t>a</w:t>
      </w:r>
      <w:r w:rsidR="000A5329" w:rsidRPr="002029AF">
        <w:t xml:space="preserve"> </w:t>
      </w:r>
      <w:r w:rsidRPr="002029AF">
        <w:t>joint</w:t>
      </w:r>
      <w:r w:rsidR="000A5329" w:rsidRPr="002029AF">
        <w:t xml:space="preserve"> </w:t>
      </w:r>
      <w:r w:rsidRPr="002029AF">
        <w:t>venture</w:t>
      </w:r>
      <w:r w:rsidR="000A5329" w:rsidRPr="002029AF">
        <w:t xml:space="preserve"> </w:t>
      </w:r>
      <w:r w:rsidRPr="002029AF">
        <w:t>with</w:t>
      </w:r>
      <w:r w:rsidR="000A5329" w:rsidRPr="002029AF">
        <w:t xml:space="preserve"> </w:t>
      </w:r>
      <w:r w:rsidRPr="002029AF">
        <w:t>Monash</w:t>
      </w:r>
      <w:r w:rsidR="000A5329" w:rsidRPr="002029AF">
        <w:t xml:space="preserve"> </w:t>
      </w:r>
      <w:r w:rsidRPr="002029AF">
        <w:t>University</w:t>
      </w:r>
      <w:r w:rsidR="000A5329" w:rsidRPr="002029AF">
        <w:t xml:space="preserve"> </w:t>
      </w:r>
      <w:r w:rsidRPr="002029AF">
        <w:t>in</w:t>
      </w:r>
      <w:r w:rsidR="000A5329" w:rsidRPr="002029AF">
        <w:t xml:space="preserve"> </w:t>
      </w:r>
      <w:r w:rsidRPr="002029AF">
        <w:t>the</w:t>
      </w:r>
      <w:r w:rsidR="000A5329" w:rsidRPr="002029AF">
        <w:t xml:space="preserve"> </w:t>
      </w:r>
      <w:r w:rsidRPr="002029AF">
        <w:t>Australian</w:t>
      </w:r>
      <w:r w:rsidR="000A5329" w:rsidRPr="002029AF">
        <w:t xml:space="preserve"> </w:t>
      </w:r>
      <w:r w:rsidRPr="002029AF">
        <w:t>Regenerative</w:t>
      </w:r>
      <w:r w:rsidR="000A5329" w:rsidRPr="002029AF">
        <w:t xml:space="preserve"> </w:t>
      </w:r>
      <w:r w:rsidRPr="002029AF">
        <w:t>Medical</w:t>
      </w:r>
      <w:r w:rsidR="000A5329" w:rsidRPr="002029AF">
        <w:t xml:space="preserve"> </w:t>
      </w:r>
      <w:r w:rsidRPr="002029AF">
        <w:t>Institute</w:t>
      </w:r>
      <w:r w:rsidR="000A5329" w:rsidRPr="002029AF">
        <w:t xml:space="preserve"> </w:t>
      </w:r>
      <w:r w:rsidRPr="002029AF">
        <w:t>(ARMI).</w:t>
      </w:r>
      <w:r w:rsidR="000A5329" w:rsidRPr="002029AF">
        <w:t xml:space="preserve"> </w:t>
      </w:r>
      <w:r w:rsidRPr="002029AF">
        <w:t>This</w:t>
      </w:r>
      <w:r w:rsidR="000A5329" w:rsidRPr="002029AF">
        <w:t xml:space="preserve"> </w:t>
      </w:r>
      <w:r w:rsidRPr="002029AF">
        <w:t>investment</w:t>
      </w:r>
      <w:r w:rsidR="000A5329" w:rsidRPr="002029AF">
        <w:t xml:space="preserve"> </w:t>
      </w:r>
      <w:r w:rsidRPr="002029AF">
        <w:t>was</w:t>
      </w:r>
      <w:r w:rsidR="000A5329" w:rsidRPr="002029AF">
        <w:t xml:space="preserve"> </w:t>
      </w:r>
      <w:r w:rsidRPr="002029AF">
        <w:t>accounted</w:t>
      </w:r>
      <w:r w:rsidR="000A5329" w:rsidRPr="002029AF">
        <w:t xml:space="preserve"> </w:t>
      </w:r>
      <w:r w:rsidRPr="002029AF">
        <w:t>for</w:t>
      </w:r>
      <w:r w:rsidR="000A5329" w:rsidRPr="002029AF">
        <w:t xml:space="preserve"> </w:t>
      </w:r>
      <w:r w:rsidRPr="002029AF">
        <w:t>at</w:t>
      </w:r>
      <w:r w:rsidR="000A5329" w:rsidRPr="002029AF">
        <w:t xml:space="preserve"> </w:t>
      </w:r>
      <w:r w:rsidRPr="002029AF">
        <w:t>cost</w:t>
      </w:r>
      <w:r w:rsidR="000A5329" w:rsidRPr="002029AF">
        <w:t xml:space="preserve"> </w:t>
      </w:r>
      <w:r w:rsidRPr="002029AF">
        <w:t>however</w:t>
      </w:r>
      <w:r w:rsidR="000A5329" w:rsidRPr="002029AF">
        <w:t xml:space="preserve"> </w:t>
      </w:r>
      <w:r w:rsidRPr="002029AF">
        <w:t>the</w:t>
      </w:r>
      <w:r w:rsidR="000A5329" w:rsidRPr="002029AF">
        <w:t xml:space="preserve"> </w:t>
      </w:r>
      <w:r w:rsidRPr="002029AF">
        <w:t>investment</w:t>
      </w:r>
      <w:r w:rsidR="000A5329" w:rsidRPr="002029AF">
        <w:t xml:space="preserve"> </w:t>
      </w:r>
      <w:r w:rsidRPr="002029AF">
        <w:t>is</w:t>
      </w:r>
      <w:r w:rsidR="000A5329" w:rsidRPr="002029AF">
        <w:t xml:space="preserve"> </w:t>
      </w:r>
      <w:r w:rsidRPr="002029AF">
        <w:t>impaired</w:t>
      </w:r>
      <w:r w:rsidR="000A5329" w:rsidRPr="002029AF">
        <w:t xml:space="preserve"> </w:t>
      </w:r>
      <w:r w:rsidRPr="002029AF">
        <w:t>as</w:t>
      </w:r>
      <w:r w:rsidR="000A5329" w:rsidRPr="002029AF">
        <w:t xml:space="preserve"> </w:t>
      </w:r>
      <w:r w:rsidRPr="002029AF">
        <w:t>at</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r w:rsidR="000A5329" w:rsidRPr="002029AF">
        <w:t xml:space="preserve"> </w:t>
      </w:r>
      <w:r w:rsidRPr="002029AF">
        <w:t>due</w:t>
      </w:r>
      <w:r w:rsidR="000A5329" w:rsidRPr="002029AF">
        <w:t xml:space="preserve"> </w:t>
      </w:r>
      <w:r w:rsidRPr="002029AF">
        <w:t>to</w:t>
      </w:r>
      <w:r w:rsidR="000A5329" w:rsidRPr="002029AF">
        <w:t xml:space="preserve"> </w:t>
      </w:r>
      <w:r w:rsidRPr="002029AF">
        <w:t>commencement</w:t>
      </w:r>
      <w:r w:rsidR="000A5329" w:rsidRPr="002029AF">
        <w:t xml:space="preserve"> </w:t>
      </w:r>
      <w:r w:rsidRPr="002029AF">
        <w:t>of</w:t>
      </w:r>
      <w:r w:rsidR="000A5329" w:rsidRPr="002029AF">
        <w:t xml:space="preserve"> </w:t>
      </w:r>
      <w:r w:rsidRPr="002029AF">
        <w:t>termination</w:t>
      </w:r>
      <w:r w:rsidR="000A5329" w:rsidRPr="002029AF">
        <w:t xml:space="preserve"> </w:t>
      </w:r>
      <w:r w:rsidRPr="002029AF">
        <w:t>proceedings.</w:t>
      </w:r>
    </w:p>
    <w:p w14:paraId="27093704" w14:textId="031CB32B" w:rsidR="00087B91" w:rsidRPr="002029AF" w:rsidRDefault="00087B91" w:rsidP="00087B91">
      <w:pPr>
        <w:pStyle w:val="Heading5"/>
      </w:pPr>
      <w:r w:rsidRPr="002029AF">
        <w:t>5.3.1</w:t>
      </w:r>
      <w:r w:rsidR="000A5329" w:rsidRPr="002029AF">
        <w:t xml:space="preserve"> </w:t>
      </w:r>
      <w:r w:rsidRPr="002029AF">
        <w:t>Details</w:t>
      </w:r>
      <w:r w:rsidR="000A5329" w:rsidRPr="002029AF">
        <w:t xml:space="preserve"> </w:t>
      </w:r>
      <w:r w:rsidRPr="002029AF">
        <w:t>of</w:t>
      </w:r>
      <w:r w:rsidR="000A5329" w:rsidRPr="002029AF">
        <w:t xml:space="preserve"> </w:t>
      </w:r>
      <w:r w:rsidRPr="002029AF">
        <w:t>joint</w:t>
      </w:r>
      <w:r w:rsidR="000A5329" w:rsidRPr="002029AF">
        <w:t xml:space="preserve"> </w:t>
      </w:r>
      <w:r w:rsidRPr="002029AF">
        <w:t>venture</w:t>
      </w:r>
    </w:p>
    <w:p w14:paraId="27906CDF" w14:textId="05DEA372" w:rsidR="00087B91" w:rsidRPr="002029AF" w:rsidRDefault="00087B91" w:rsidP="00087B91">
      <w:pPr>
        <w:pStyle w:val="ARfinbody"/>
      </w:pPr>
      <w:r w:rsidRPr="002029AF">
        <w:t>ARMI</w:t>
      </w:r>
      <w:r w:rsidR="000A5329" w:rsidRPr="002029AF">
        <w:t xml:space="preserve"> </w:t>
      </w:r>
      <w:r w:rsidRPr="002029AF">
        <w:t>was</w:t>
      </w:r>
      <w:r w:rsidR="000A5329" w:rsidRPr="002029AF">
        <w:t xml:space="preserve"> </w:t>
      </w:r>
      <w:r w:rsidRPr="002029AF">
        <w:t>established</w:t>
      </w:r>
      <w:r w:rsidR="000A5329" w:rsidRPr="002029AF">
        <w:t xml:space="preserve"> </w:t>
      </w:r>
      <w:r w:rsidRPr="002029AF">
        <w:t>to</w:t>
      </w:r>
      <w:r w:rsidR="000A5329" w:rsidRPr="002029AF">
        <w:t xml:space="preserve"> </w:t>
      </w:r>
      <w:r w:rsidRPr="002029AF">
        <w:t>construct</w:t>
      </w:r>
      <w:r w:rsidR="000A5329" w:rsidRPr="002029AF">
        <w:t xml:space="preserve"> </w:t>
      </w:r>
      <w:r w:rsidRPr="002029AF">
        <w:t>and</w:t>
      </w:r>
      <w:r w:rsidR="000A5329" w:rsidRPr="002029AF">
        <w:t xml:space="preserve"> </w:t>
      </w:r>
      <w:r w:rsidRPr="002029AF">
        <w:t>operate</w:t>
      </w:r>
      <w:r w:rsidR="000A5329" w:rsidRPr="002029AF">
        <w:t xml:space="preserve"> </w:t>
      </w:r>
      <w:r w:rsidRPr="002029AF">
        <w:t>a</w:t>
      </w:r>
      <w:r w:rsidR="000A5329" w:rsidRPr="002029AF">
        <w:t xml:space="preserve"> </w:t>
      </w:r>
      <w:r w:rsidRPr="002029AF">
        <w:t>facility</w:t>
      </w:r>
      <w:r w:rsidR="000A5329" w:rsidRPr="002029AF">
        <w:t xml:space="preserve"> </w:t>
      </w:r>
      <w:r w:rsidRPr="002029AF">
        <w:t>which</w:t>
      </w:r>
      <w:r w:rsidR="000A5329" w:rsidRPr="002029AF">
        <w:t xml:space="preserve"> </w:t>
      </w:r>
      <w:r w:rsidRPr="002029AF">
        <w:t>will</w:t>
      </w:r>
      <w:r w:rsidR="000A5329" w:rsidRPr="002029AF">
        <w:t xml:space="preserve"> </w:t>
      </w:r>
      <w:r w:rsidRPr="002029AF">
        <w:t>promote</w:t>
      </w:r>
      <w:r w:rsidR="000A5329" w:rsidRPr="002029AF">
        <w:t xml:space="preserve"> </w:t>
      </w:r>
      <w:r w:rsidRPr="002029AF">
        <w:t>Victoria</w:t>
      </w:r>
      <w:r w:rsidR="000A5329" w:rsidRPr="002029AF">
        <w:t xml:space="preserve"> </w:t>
      </w:r>
      <w:r w:rsidRPr="002029AF">
        <w:t>as</w:t>
      </w:r>
      <w:r w:rsidR="000A5329" w:rsidRPr="002029AF">
        <w:t xml:space="preserve"> </w:t>
      </w:r>
      <w:r w:rsidRPr="002029AF">
        <w:t>a</w:t>
      </w:r>
      <w:r w:rsidR="000A5329" w:rsidRPr="002029AF">
        <w:t xml:space="preserve"> </w:t>
      </w:r>
      <w:r w:rsidRPr="002029AF">
        <w:t>global</w:t>
      </w:r>
      <w:r w:rsidR="000A5329" w:rsidRPr="002029AF">
        <w:t xml:space="preserve"> </w:t>
      </w:r>
      <w:r w:rsidRPr="002029AF">
        <w:t>leader</w:t>
      </w:r>
      <w:r w:rsidR="000A5329" w:rsidRPr="002029AF">
        <w:t xml:space="preserve"> </w:t>
      </w:r>
      <w:r w:rsidRPr="002029AF">
        <w:t>in</w:t>
      </w:r>
      <w:r w:rsidR="000A5329" w:rsidRPr="002029AF">
        <w:t xml:space="preserve"> </w:t>
      </w:r>
      <w:r w:rsidRPr="002029AF">
        <w:t>regenerative</w:t>
      </w:r>
      <w:r w:rsidR="000A5329" w:rsidRPr="002029AF">
        <w:t xml:space="preserve"> </w:t>
      </w:r>
      <w:r w:rsidRPr="002029AF">
        <w:t>medical</w:t>
      </w:r>
      <w:r w:rsidR="000A5329" w:rsidRPr="002029AF">
        <w:t xml:space="preserve"> </w:t>
      </w:r>
      <w:r w:rsidRPr="002029AF">
        <w:t>research,</w:t>
      </w:r>
      <w:r w:rsidR="000A5329" w:rsidRPr="002029AF">
        <w:t xml:space="preserve"> </w:t>
      </w:r>
      <w:r w:rsidRPr="002029AF">
        <w:t>foster</w:t>
      </w:r>
      <w:r w:rsidR="000A5329" w:rsidRPr="002029AF">
        <w:t xml:space="preserve"> </w:t>
      </w:r>
      <w:r w:rsidRPr="002029AF">
        <w:t>and</w:t>
      </w:r>
      <w:r w:rsidR="000A5329" w:rsidRPr="002029AF">
        <w:t xml:space="preserve"> </w:t>
      </w:r>
      <w:r w:rsidRPr="002029AF">
        <w:t>develop</w:t>
      </w:r>
      <w:r w:rsidR="000A5329" w:rsidRPr="002029AF">
        <w:t xml:space="preserve"> </w:t>
      </w:r>
      <w:r w:rsidRPr="002029AF">
        <w:t>existing</w:t>
      </w:r>
      <w:r w:rsidR="000A5329" w:rsidRPr="002029AF">
        <w:t xml:space="preserve"> </w:t>
      </w:r>
      <w:r w:rsidRPr="002029AF">
        <w:t>research</w:t>
      </w:r>
      <w:r w:rsidR="000A5329" w:rsidRPr="002029AF">
        <w:t xml:space="preserve"> </w:t>
      </w:r>
      <w:r w:rsidRPr="002029AF">
        <w:t>collaboration</w:t>
      </w:r>
      <w:r w:rsidR="000A5329" w:rsidRPr="002029AF">
        <w:t xml:space="preserve"> </w:t>
      </w:r>
      <w:r w:rsidRPr="002029AF">
        <w:t>on</w:t>
      </w:r>
      <w:r w:rsidR="000A5329" w:rsidRPr="002029AF">
        <w:t xml:space="preserve"> </w:t>
      </w:r>
      <w:r w:rsidRPr="002029AF">
        <w:t>domestic</w:t>
      </w:r>
      <w:r w:rsidR="000A5329" w:rsidRPr="002029AF">
        <w:t xml:space="preserve"> </w:t>
      </w:r>
      <w:r w:rsidRPr="002029AF">
        <w:t>and</w:t>
      </w:r>
      <w:r w:rsidR="000A5329" w:rsidRPr="002029AF">
        <w:t xml:space="preserve"> </w:t>
      </w:r>
      <w:r w:rsidRPr="002029AF">
        <w:t>overseas</w:t>
      </w:r>
      <w:r w:rsidR="000A5329" w:rsidRPr="002029AF">
        <w:t xml:space="preserve"> </w:t>
      </w:r>
      <w:r w:rsidRPr="002029AF">
        <w:t>projects,</w:t>
      </w:r>
      <w:r w:rsidR="000A5329" w:rsidRPr="002029AF">
        <w:t xml:space="preserve"> </w:t>
      </w:r>
      <w:r w:rsidRPr="002029AF">
        <w:t>and</w:t>
      </w:r>
      <w:r w:rsidR="000A5329" w:rsidRPr="002029AF">
        <w:t xml:space="preserve"> </w:t>
      </w:r>
      <w:r w:rsidRPr="002029AF">
        <w:t>provide</w:t>
      </w:r>
      <w:r w:rsidR="000A5329" w:rsidRPr="002029AF">
        <w:t xml:space="preserve"> </w:t>
      </w:r>
      <w:r w:rsidRPr="002029AF">
        <w:t>a</w:t>
      </w:r>
      <w:r w:rsidR="000A5329" w:rsidRPr="002029AF">
        <w:t xml:space="preserve"> </w:t>
      </w:r>
      <w:r w:rsidRPr="002029AF">
        <w:t>major</w:t>
      </w:r>
      <w:r w:rsidR="000A5329" w:rsidRPr="002029AF">
        <w:t xml:space="preserve"> </w:t>
      </w:r>
      <w:r w:rsidRPr="002029AF">
        <w:t>site</w:t>
      </w:r>
      <w:r w:rsidR="000A5329" w:rsidRPr="002029AF">
        <w:t xml:space="preserve"> </w:t>
      </w:r>
      <w:r w:rsidRPr="002029AF">
        <w:t>for</w:t>
      </w:r>
      <w:r w:rsidR="000A5329" w:rsidRPr="002029AF">
        <w:t xml:space="preserve"> </w:t>
      </w:r>
      <w:r w:rsidRPr="002029AF">
        <w:t>undergraduate</w:t>
      </w:r>
      <w:r w:rsidR="000A5329" w:rsidRPr="002029AF">
        <w:t xml:space="preserve"> </w:t>
      </w:r>
      <w:r w:rsidRPr="002029AF">
        <w:t>and</w:t>
      </w:r>
      <w:r w:rsidR="000A5329" w:rsidRPr="002029AF">
        <w:t xml:space="preserve"> </w:t>
      </w:r>
      <w:r w:rsidRPr="002029AF">
        <w:t>post</w:t>
      </w:r>
      <w:r w:rsidR="000A5329" w:rsidRPr="002029AF">
        <w:t xml:space="preserve"> </w:t>
      </w:r>
      <w:r w:rsidRPr="002029AF">
        <w:t>graduate</w:t>
      </w:r>
      <w:r w:rsidR="000A5329" w:rsidRPr="002029AF">
        <w:t xml:space="preserve"> </w:t>
      </w:r>
      <w:r w:rsidRPr="002029AF">
        <w:t>training</w:t>
      </w:r>
      <w:r w:rsidR="000A5329" w:rsidRPr="002029AF">
        <w:t xml:space="preserve"> </w:t>
      </w:r>
      <w:r w:rsidRPr="002029AF">
        <w:t>programs.</w:t>
      </w:r>
      <w:r w:rsidR="000A5329" w:rsidRPr="002029AF">
        <w:t xml:space="preserve"> </w:t>
      </w:r>
      <w:r w:rsidRPr="002029AF">
        <w:t>In</w:t>
      </w:r>
      <w:r w:rsidR="000A5329" w:rsidRPr="002029AF">
        <w:t xml:space="preserve"> </w:t>
      </w:r>
      <w:r w:rsidRPr="002029AF">
        <w:t>accordance</w:t>
      </w:r>
      <w:r w:rsidR="000A5329" w:rsidRPr="002029AF">
        <w:t xml:space="preserve"> </w:t>
      </w:r>
      <w:r w:rsidRPr="002029AF">
        <w:t>with</w:t>
      </w:r>
      <w:r w:rsidR="000A5329" w:rsidRPr="002029AF">
        <w:t xml:space="preserve"> </w:t>
      </w:r>
      <w:r w:rsidRPr="002029AF">
        <w:t>the</w:t>
      </w:r>
      <w:r w:rsidR="000A5329" w:rsidRPr="002029AF">
        <w:t xml:space="preserve"> </w:t>
      </w:r>
      <w:r w:rsidRPr="002029AF">
        <w:t>Joint</w:t>
      </w:r>
      <w:r w:rsidR="000A5329" w:rsidRPr="002029AF">
        <w:t xml:space="preserve"> </w:t>
      </w:r>
      <w:r w:rsidRPr="002029AF">
        <w:t>Venture</w:t>
      </w:r>
      <w:r w:rsidR="000A5329" w:rsidRPr="002029AF">
        <w:t xml:space="preserve"> </w:t>
      </w:r>
      <w:r w:rsidRPr="002029AF">
        <w:t>Agreement,</w:t>
      </w:r>
      <w:r w:rsidR="000A5329" w:rsidRPr="002029AF">
        <w:t xml:space="preserve"> </w:t>
      </w:r>
      <w:r w:rsidRPr="002029AF">
        <w:t>either</w:t>
      </w:r>
      <w:r w:rsidR="000A5329" w:rsidRPr="002029AF">
        <w:t xml:space="preserve"> </w:t>
      </w:r>
      <w:r w:rsidRPr="002029AF">
        <w:t>party</w:t>
      </w:r>
      <w:r w:rsidR="000A5329" w:rsidRPr="002029AF">
        <w:t xml:space="preserve"> </w:t>
      </w:r>
      <w:r w:rsidRPr="002029AF">
        <w:t>of</w:t>
      </w:r>
      <w:r w:rsidR="000A5329" w:rsidRPr="002029AF">
        <w:t xml:space="preserve"> </w:t>
      </w:r>
      <w:r w:rsidRPr="002029AF">
        <w:t>the</w:t>
      </w:r>
      <w:r w:rsidR="000A5329" w:rsidRPr="002029AF">
        <w:t xml:space="preserve"> </w:t>
      </w:r>
      <w:r w:rsidRPr="002029AF">
        <w:t>joint</w:t>
      </w:r>
      <w:r w:rsidR="000A5329" w:rsidRPr="002029AF">
        <w:t xml:space="preserve"> </w:t>
      </w:r>
      <w:r w:rsidRPr="002029AF">
        <w:t>venture</w:t>
      </w:r>
      <w:r w:rsidR="000A5329" w:rsidRPr="002029AF">
        <w:t xml:space="preserve"> </w:t>
      </w:r>
      <w:r w:rsidRPr="002029AF">
        <w:t>may</w:t>
      </w:r>
      <w:r w:rsidR="000A5329" w:rsidRPr="002029AF">
        <w:t xml:space="preserve"> </w:t>
      </w:r>
      <w:r w:rsidRPr="002029AF">
        <w:t>terminate</w:t>
      </w:r>
      <w:r w:rsidR="000A5329" w:rsidRPr="002029AF">
        <w:t xml:space="preserve"> </w:t>
      </w:r>
      <w:r w:rsidRPr="002029AF">
        <w:t>the</w:t>
      </w:r>
      <w:r w:rsidR="000A5329" w:rsidRPr="002029AF">
        <w:t xml:space="preserve"> </w:t>
      </w:r>
      <w:r w:rsidRPr="002029AF">
        <w:t>joint</w:t>
      </w:r>
      <w:r w:rsidR="000A5329" w:rsidRPr="002029AF">
        <w:t xml:space="preserve"> </w:t>
      </w:r>
      <w:r w:rsidRPr="002029AF">
        <w:t>venture</w:t>
      </w:r>
      <w:r w:rsidR="000A5329" w:rsidRPr="002029AF">
        <w:t xml:space="preserve"> </w:t>
      </w:r>
      <w:r w:rsidRPr="002029AF">
        <w:t>from</w:t>
      </w:r>
      <w:r w:rsidR="000A5329" w:rsidRPr="002029AF">
        <w:t xml:space="preserve"> </w:t>
      </w:r>
      <w:r w:rsidRPr="002029AF">
        <w:t>June</w:t>
      </w:r>
      <w:r w:rsidR="000A5329" w:rsidRPr="002029AF">
        <w:t xml:space="preserve"> </w:t>
      </w:r>
      <w:r w:rsidRPr="002029AF">
        <w:t>2020.</w:t>
      </w:r>
      <w:r w:rsidR="000A5329" w:rsidRPr="002029AF">
        <w:t xml:space="preserve"> </w:t>
      </w:r>
      <w:r w:rsidRPr="002029AF">
        <w:t>Monash</w:t>
      </w:r>
      <w:r w:rsidR="000A5329" w:rsidRPr="002029AF">
        <w:t xml:space="preserve"> </w:t>
      </w:r>
      <w:r w:rsidRPr="002029AF">
        <w:t>University</w:t>
      </w:r>
      <w:r w:rsidR="000A5329" w:rsidRPr="002029AF">
        <w:t xml:space="preserve"> </w:t>
      </w:r>
      <w:r w:rsidRPr="002029AF">
        <w:t>commenced</w:t>
      </w:r>
      <w:r w:rsidR="000A5329" w:rsidRPr="002029AF">
        <w:t xml:space="preserve"> </w:t>
      </w:r>
      <w:r w:rsidRPr="002029AF">
        <w:t>termination</w:t>
      </w:r>
      <w:r w:rsidR="000A5329" w:rsidRPr="002029AF">
        <w:t xml:space="preserve"> </w:t>
      </w:r>
      <w:r w:rsidRPr="002029AF">
        <w:t>proceedings</w:t>
      </w:r>
      <w:r w:rsidR="000A5329" w:rsidRPr="002029AF">
        <w:t xml:space="preserve"> </w:t>
      </w:r>
      <w:r w:rsidRPr="002029AF">
        <w:t>in</w:t>
      </w:r>
      <w:r w:rsidR="000A5329" w:rsidRPr="002029AF">
        <w:t xml:space="preserve"> </w:t>
      </w:r>
      <w:r w:rsidRPr="002029AF">
        <w:t>June</w:t>
      </w:r>
      <w:r w:rsidR="000A5329" w:rsidRPr="002029AF">
        <w:t xml:space="preserve"> </w:t>
      </w:r>
      <w:r w:rsidRPr="002029AF">
        <w:t>2020</w:t>
      </w:r>
      <w:r w:rsidR="000A5329" w:rsidRPr="002029AF">
        <w:t xml:space="preserve"> </w:t>
      </w:r>
      <w:r w:rsidRPr="002029AF">
        <w:t>and</w:t>
      </w:r>
      <w:r w:rsidR="000A5329" w:rsidRPr="002029AF">
        <w:t xml:space="preserve"> </w:t>
      </w:r>
      <w:r w:rsidRPr="002029AF">
        <w:t>accordingly</w:t>
      </w:r>
      <w:r w:rsidR="000A5329" w:rsidRPr="002029AF">
        <w:t xml:space="preserve"> </w:t>
      </w:r>
      <w:r w:rsidRPr="002029AF">
        <w:t>the</w:t>
      </w:r>
      <w:r w:rsidR="000A5329" w:rsidRPr="002029AF">
        <w:t xml:space="preserve"> </w:t>
      </w:r>
      <w:r w:rsidRPr="002029AF">
        <w:t>Joint</w:t>
      </w:r>
      <w:r w:rsidR="000A5329" w:rsidRPr="002029AF">
        <w:t xml:space="preserve"> </w:t>
      </w:r>
      <w:r w:rsidRPr="002029AF">
        <w:t>Venture</w:t>
      </w:r>
      <w:r w:rsidR="000A5329" w:rsidRPr="002029AF">
        <w:t xml:space="preserve"> </w:t>
      </w:r>
      <w:r w:rsidRPr="002029AF">
        <w:t>investment</w:t>
      </w:r>
      <w:r w:rsidR="000A5329" w:rsidRPr="002029AF">
        <w:t xml:space="preserve"> </w:t>
      </w:r>
      <w:r w:rsidRPr="002029AF">
        <w:t>has</w:t>
      </w:r>
      <w:r w:rsidR="000A5329" w:rsidRPr="002029AF">
        <w:t xml:space="preserve"> </w:t>
      </w:r>
      <w:r w:rsidRPr="002029AF">
        <w:t>been</w:t>
      </w:r>
      <w:r w:rsidR="000A5329" w:rsidRPr="002029AF">
        <w:t xml:space="preserve"> </w:t>
      </w:r>
      <w:r w:rsidRPr="002029AF">
        <w:t>impaired</w:t>
      </w:r>
      <w:r w:rsidR="000A5329" w:rsidRPr="002029AF">
        <w:t xml:space="preserve"> </w:t>
      </w:r>
      <w:r w:rsidRPr="002029AF">
        <w:t>to</w:t>
      </w:r>
      <w:r w:rsidR="000A5329" w:rsidRPr="002029AF">
        <w:t xml:space="preserve"> </w:t>
      </w:r>
      <w:r w:rsidRPr="002029AF">
        <w:t>its</w:t>
      </w:r>
      <w:r w:rsidR="000A5329" w:rsidRPr="002029AF">
        <w:t xml:space="preserve"> </w:t>
      </w:r>
      <w:r w:rsidRPr="002029AF">
        <w:t>fair</w:t>
      </w:r>
      <w:r w:rsidR="000A5329" w:rsidRPr="002029AF">
        <w:t xml:space="preserve"> </w:t>
      </w:r>
      <w:r w:rsidRPr="002029AF">
        <w:t>value</w:t>
      </w:r>
      <w:r w:rsidR="000A5329" w:rsidRPr="002029AF">
        <w:t xml:space="preserve"> </w:t>
      </w:r>
      <w:r w:rsidRPr="002029AF">
        <w:t>of</w:t>
      </w:r>
      <w:r w:rsidR="000A5329" w:rsidRPr="002029AF">
        <w:t xml:space="preserve"> </w:t>
      </w:r>
      <w:r w:rsidRPr="002029AF">
        <w:t>nil.</w:t>
      </w:r>
    </w:p>
    <w:tbl>
      <w:tblPr>
        <w:tblStyle w:val="TableGrid"/>
        <w:tblW w:w="9639" w:type="dxa"/>
        <w:tblLayout w:type="fixed"/>
        <w:tblLook w:val="02A0" w:firstRow="1" w:lastRow="0" w:firstColumn="1" w:lastColumn="0" w:noHBand="1" w:noVBand="0"/>
      </w:tblPr>
      <w:tblGrid>
        <w:gridCol w:w="1425"/>
        <w:gridCol w:w="2395"/>
        <w:gridCol w:w="2395"/>
        <w:gridCol w:w="856"/>
        <w:gridCol w:w="856"/>
        <w:gridCol w:w="856"/>
        <w:gridCol w:w="856"/>
      </w:tblGrid>
      <w:tr w:rsidR="00087B91" w:rsidRPr="002029AF" w14:paraId="50F77AA3"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1418" w:type="dxa"/>
            <w:vMerge w:val="restart"/>
            <w:hideMark/>
          </w:tcPr>
          <w:p w14:paraId="6AAD675F" w14:textId="2A25530E" w:rsidR="00087B91" w:rsidRPr="002029AF" w:rsidRDefault="00087B91" w:rsidP="00860E95">
            <w:pPr>
              <w:pStyle w:val="ARfintablecolhead"/>
            </w:pPr>
            <w:r w:rsidRPr="002029AF">
              <w:t>Name</w:t>
            </w:r>
            <w:r w:rsidR="000A5329" w:rsidRPr="002029AF">
              <w:t xml:space="preserve"> </w:t>
            </w:r>
            <w:r w:rsidRPr="002029AF">
              <w:t>of</w:t>
            </w:r>
            <w:r w:rsidR="000A5329" w:rsidRPr="002029AF">
              <w:t xml:space="preserve"> </w:t>
            </w:r>
            <w:r w:rsidRPr="002029AF">
              <w:t>entity</w:t>
            </w:r>
          </w:p>
        </w:tc>
        <w:tc>
          <w:tcPr>
            <w:tcW w:w="2381" w:type="dxa"/>
            <w:vMerge w:val="restart"/>
            <w:hideMark/>
          </w:tcPr>
          <w:p w14:paraId="1963A8D7" w14:textId="0FC9F347" w:rsidR="00087B91" w:rsidRPr="002029AF" w:rsidRDefault="00087B91" w:rsidP="00860E95">
            <w:pPr>
              <w:pStyle w:val="ARfintablecolhead"/>
            </w:pPr>
            <w:r w:rsidRPr="002029AF">
              <w:t>Country</w:t>
            </w:r>
            <w:r w:rsidR="000A5329" w:rsidRPr="002029AF">
              <w:t xml:space="preserve"> </w:t>
            </w:r>
            <w:r w:rsidRPr="002029AF">
              <w:t>of</w:t>
            </w:r>
            <w:r w:rsidR="000A5329" w:rsidRPr="002029AF">
              <w:t xml:space="preserve"> </w:t>
            </w:r>
            <w:r w:rsidRPr="002029AF">
              <w:t>incorporation</w:t>
            </w:r>
          </w:p>
        </w:tc>
        <w:tc>
          <w:tcPr>
            <w:tcW w:w="2381" w:type="dxa"/>
            <w:vMerge w:val="restart"/>
            <w:hideMark/>
          </w:tcPr>
          <w:p w14:paraId="1F510737" w14:textId="36780E77" w:rsidR="00087B91" w:rsidRPr="002029AF" w:rsidRDefault="00087B91" w:rsidP="00860E95">
            <w:pPr>
              <w:pStyle w:val="ARfintablecolhead"/>
            </w:pPr>
            <w:r w:rsidRPr="002029AF">
              <w:t>Measurement</w:t>
            </w:r>
            <w:r w:rsidR="000A5329" w:rsidRPr="002029AF">
              <w:t xml:space="preserve"> </w:t>
            </w:r>
            <w:r w:rsidRPr="002029AF">
              <w:t>method</w:t>
            </w:r>
          </w:p>
        </w:tc>
        <w:tc>
          <w:tcPr>
            <w:tcW w:w="851" w:type="dxa"/>
            <w:gridSpan w:val="2"/>
            <w:hideMark/>
          </w:tcPr>
          <w:p w14:paraId="028E8AEC" w14:textId="25E67854" w:rsidR="00087B91" w:rsidRPr="002029AF" w:rsidRDefault="00087B91" w:rsidP="00860E95">
            <w:pPr>
              <w:pStyle w:val="ARfintablecolheadcentre"/>
            </w:pPr>
            <w:r w:rsidRPr="002029AF">
              <w:t>Ownership</w:t>
            </w:r>
            <w:r w:rsidR="000A5329" w:rsidRPr="002029AF">
              <w:t xml:space="preserve"> </w:t>
            </w:r>
            <w:r w:rsidRPr="002029AF">
              <w:br/>
              <w:t>interest</w:t>
            </w:r>
            <w:r w:rsidR="000A5329" w:rsidRPr="002029AF">
              <w:t xml:space="preserve"> </w:t>
            </w:r>
            <w:r w:rsidRPr="002029AF">
              <w:t>(%)</w:t>
            </w:r>
          </w:p>
        </w:tc>
        <w:tc>
          <w:tcPr>
            <w:tcW w:w="851" w:type="dxa"/>
            <w:gridSpan w:val="2"/>
            <w:hideMark/>
          </w:tcPr>
          <w:p w14:paraId="31742D38" w14:textId="34226C51" w:rsidR="00087B91" w:rsidRPr="002029AF" w:rsidRDefault="00087B91" w:rsidP="00860E95">
            <w:pPr>
              <w:pStyle w:val="ARfintablecolheadcentre"/>
            </w:pPr>
            <w:r w:rsidRPr="002029AF">
              <w:t>Published</w:t>
            </w:r>
            <w:r w:rsidR="000A5329" w:rsidRPr="002029AF">
              <w:t xml:space="preserve"> </w:t>
            </w:r>
            <w:r w:rsidRPr="002029AF">
              <w:t>fair</w:t>
            </w:r>
            <w:r w:rsidR="000A5329" w:rsidRPr="002029AF">
              <w:t xml:space="preserve"> </w:t>
            </w:r>
            <w:r w:rsidRPr="002029AF">
              <w:br/>
              <w:t>value</w:t>
            </w:r>
            <w:r w:rsidR="000A5329" w:rsidRPr="002029AF">
              <w:t xml:space="preserve"> </w:t>
            </w:r>
            <w:r w:rsidRPr="002029AF">
              <w:t>($M)</w:t>
            </w:r>
          </w:p>
        </w:tc>
      </w:tr>
      <w:tr w:rsidR="00087B91" w:rsidRPr="002029AF" w14:paraId="467E2F9B"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1418" w:type="dxa"/>
            <w:vMerge/>
            <w:tcBorders>
              <w:bottom w:val="single" w:sz="4" w:space="0" w:color="auto"/>
            </w:tcBorders>
            <w:hideMark/>
          </w:tcPr>
          <w:p w14:paraId="4128A006" w14:textId="77777777" w:rsidR="00087B91" w:rsidRPr="002029AF" w:rsidRDefault="00087B91" w:rsidP="00860E95">
            <w:pPr>
              <w:pStyle w:val="ARfintablecolheadright"/>
            </w:pPr>
          </w:p>
        </w:tc>
        <w:tc>
          <w:tcPr>
            <w:tcW w:w="2381" w:type="dxa"/>
            <w:vMerge/>
            <w:tcBorders>
              <w:bottom w:val="single" w:sz="4" w:space="0" w:color="auto"/>
            </w:tcBorders>
            <w:hideMark/>
          </w:tcPr>
          <w:p w14:paraId="4E8FD3BB" w14:textId="77777777" w:rsidR="00087B91" w:rsidRPr="002029AF" w:rsidRDefault="00087B91" w:rsidP="00860E95">
            <w:pPr>
              <w:pStyle w:val="ARfintablecolheadright"/>
            </w:pPr>
          </w:p>
        </w:tc>
        <w:tc>
          <w:tcPr>
            <w:tcW w:w="2381" w:type="dxa"/>
            <w:vMerge/>
            <w:tcBorders>
              <w:bottom w:val="single" w:sz="4" w:space="0" w:color="auto"/>
            </w:tcBorders>
            <w:hideMark/>
          </w:tcPr>
          <w:p w14:paraId="7EBA86B2" w14:textId="77777777" w:rsidR="00087B91" w:rsidRPr="002029AF" w:rsidRDefault="00087B91" w:rsidP="00860E95">
            <w:pPr>
              <w:pStyle w:val="ARfintablecolheadright"/>
            </w:pPr>
          </w:p>
        </w:tc>
        <w:tc>
          <w:tcPr>
            <w:tcW w:w="851" w:type="dxa"/>
            <w:tcBorders>
              <w:bottom w:val="single" w:sz="4" w:space="0" w:color="auto"/>
            </w:tcBorders>
            <w:shd w:val="clear" w:color="auto" w:fill="E7E6E6"/>
            <w:hideMark/>
          </w:tcPr>
          <w:p w14:paraId="54CE4BBB" w14:textId="77777777" w:rsidR="00087B91" w:rsidRPr="002029AF" w:rsidRDefault="00087B91" w:rsidP="00860E95">
            <w:pPr>
              <w:pStyle w:val="ARfintablecolheadright"/>
            </w:pPr>
            <w:r w:rsidRPr="002029AF">
              <w:t>2020</w:t>
            </w:r>
          </w:p>
        </w:tc>
        <w:tc>
          <w:tcPr>
            <w:tcW w:w="851" w:type="dxa"/>
            <w:tcBorders>
              <w:bottom w:val="single" w:sz="4" w:space="0" w:color="auto"/>
            </w:tcBorders>
            <w:hideMark/>
          </w:tcPr>
          <w:p w14:paraId="093C2286" w14:textId="77777777" w:rsidR="00087B91" w:rsidRPr="002029AF" w:rsidRDefault="00087B91" w:rsidP="00860E95">
            <w:pPr>
              <w:pStyle w:val="ARfintablecolheadright"/>
            </w:pPr>
            <w:r w:rsidRPr="002029AF">
              <w:t>2019</w:t>
            </w:r>
          </w:p>
        </w:tc>
        <w:tc>
          <w:tcPr>
            <w:tcW w:w="851" w:type="dxa"/>
            <w:tcBorders>
              <w:bottom w:val="single" w:sz="4" w:space="0" w:color="auto"/>
            </w:tcBorders>
            <w:shd w:val="clear" w:color="auto" w:fill="E7E6E6"/>
            <w:hideMark/>
          </w:tcPr>
          <w:p w14:paraId="63051D22" w14:textId="77777777" w:rsidR="00087B91" w:rsidRPr="002029AF" w:rsidRDefault="00087B91" w:rsidP="00860E95">
            <w:pPr>
              <w:pStyle w:val="ARfintablecolheadright"/>
            </w:pPr>
            <w:r w:rsidRPr="002029AF">
              <w:t>2020</w:t>
            </w:r>
          </w:p>
        </w:tc>
        <w:tc>
          <w:tcPr>
            <w:tcW w:w="851" w:type="dxa"/>
            <w:tcBorders>
              <w:bottom w:val="single" w:sz="4" w:space="0" w:color="auto"/>
            </w:tcBorders>
            <w:hideMark/>
          </w:tcPr>
          <w:p w14:paraId="563B92DE" w14:textId="77777777" w:rsidR="00087B91" w:rsidRPr="002029AF" w:rsidRDefault="00087B91" w:rsidP="00860E95">
            <w:pPr>
              <w:pStyle w:val="ARfintablecolheadright"/>
            </w:pPr>
            <w:r w:rsidRPr="002029AF">
              <w:t>2019</w:t>
            </w:r>
          </w:p>
        </w:tc>
      </w:tr>
      <w:tr w:rsidR="00087B91" w:rsidRPr="002029AF" w14:paraId="652AEBA1" w14:textId="77777777" w:rsidTr="00860E95">
        <w:tc>
          <w:tcPr>
            <w:tcW w:w="2381" w:type="dxa"/>
            <w:gridSpan w:val="7"/>
            <w:tcBorders>
              <w:top w:val="single" w:sz="4" w:space="0" w:color="auto"/>
              <w:bottom w:val="single" w:sz="4" w:space="0" w:color="A6A6A6"/>
            </w:tcBorders>
            <w:hideMark/>
          </w:tcPr>
          <w:p w14:paraId="71F528CB" w14:textId="168FAAF6" w:rsidR="00087B91" w:rsidRPr="002029AF" w:rsidRDefault="00087B91" w:rsidP="00860E95">
            <w:pPr>
              <w:pStyle w:val="ARfintablebodybold"/>
            </w:pPr>
            <w:r w:rsidRPr="002029AF">
              <w:t>Joint</w:t>
            </w:r>
            <w:r w:rsidR="000A5329" w:rsidRPr="002029AF">
              <w:t xml:space="preserve"> </w:t>
            </w:r>
            <w:r w:rsidRPr="002029AF">
              <w:t>venture</w:t>
            </w:r>
          </w:p>
        </w:tc>
      </w:tr>
      <w:tr w:rsidR="00087B91" w:rsidRPr="002029AF" w14:paraId="7EB76C0E" w14:textId="77777777" w:rsidTr="00860E95">
        <w:tc>
          <w:tcPr>
            <w:tcW w:w="1418" w:type="dxa"/>
            <w:tcBorders>
              <w:top w:val="single" w:sz="4" w:space="0" w:color="A6A6A6"/>
            </w:tcBorders>
            <w:hideMark/>
          </w:tcPr>
          <w:p w14:paraId="3A9E714E" w14:textId="77777777" w:rsidR="00087B91" w:rsidRPr="002029AF" w:rsidRDefault="00087B91" w:rsidP="00860E95">
            <w:pPr>
              <w:pStyle w:val="ARfintablebody"/>
            </w:pPr>
            <w:r w:rsidRPr="002029AF">
              <w:t>ARMI</w:t>
            </w:r>
          </w:p>
        </w:tc>
        <w:tc>
          <w:tcPr>
            <w:tcW w:w="2381" w:type="dxa"/>
            <w:tcBorders>
              <w:top w:val="single" w:sz="4" w:space="0" w:color="A6A6A6"/>
            </w:tcBorders>
            <w:hideMark/>
          </w:tcPr>
          <w:p w14:paraId="6B6D93CD" w14:textId="77777777" w:rsidR="00087B91" w:rsidRPr="002029AF" w:rsidRDefault="00087B91" w:rsidP="00860E95">
            <w:pPr>
              <w:pStyle w:val="ARfintablebody"/>
            </w:pPr>
            <w:r w:rsidRPr="002029AF">
              <w:t>Australia</w:t>
            </w:r>
          </w:p>
        </w:tc>
        <w:tc>
          <w:tcPr>
            <w:tcW w:w="2381" w:type="dxa"/>
            <w:tcBorders>
              <w:top w:val="single" w:sz="4" w:space="0" w:color="A6A6A6"/>
            </w:tcBorders>
            <w:hideMark/>
          </w:tcPr>
          <w:p w14:paraId="65CC10D6" w14:textId="78BF8D64" w:rsidR="00087B91" w:rsidRPr="002029AF" w:rsidRDefault="00087B91" w:rsidP="00860E95">
            <w:pPr>
              <w:pStyle w:val="ARfintablebody"/>
            </w:pPr>
            <w:r w:rsidRPr="002029AF">
              <w:t>Equity</w:t>
            </w:r>
            <w:r w:rsidR="000A5329" w:rsidRPr="002029AF">
              <w:t xml:space="preserve"> </w:t>
            </w:r>
            <w:r w:rsidRPr="002029AF">
              <w:t>method</w:t>
            </w:r>
          </w:p>
        </w:tc>
        <w:tc>
          <w:tcPr>
            <w:tcW w:w="851" w:type="dxa"/>
            <w:tcBorders>
              <w:top w:val="single" w:sz="4" w:space="0" w:color="A6A6A6"/>
            </w:tcBorders>
            <w:shd w:val="clear" w:color="auto" w:fill="E7E6E6"/>
            <w:hideMark/>
          </w:tcPr>
          <w:p w14:paraId="60AEDB33" w14:textId="77777777" w:rsidR="00087B91" w:rsidRPr="002029AF" w:rsidRDefault="00087B91" w:rsidP="00860E95">
            <w:pPr>
              <w:pStyle w:val="ARfintablebodyright"/>
            </w:pPr>
            <w:r w:rsidRPr="002029AF">
              <w:t>20</w:t>
            </w:r>
          </w:p>
        </w:tc>
        <w:tc>
          <w:tcPr>
            <w:tcW w:w="851" w:type="dxa"/>
            <w:tcBorders>
              <w:top w:val="single" w:sz="4" w:space="0" w:color="A6A6A6"/>
            </w:tcBorders>
            <w:hideMark/>
          </w:tcPr>
          <w:p w14:paraId="2F1C1E3A" w14:textId="77777777" w:rsidR="00087B91" w:rsidRPr="002029AF" w:rsidRDefault="00087B91" w:rsidP="00860E95">
            <w:pPr>
              <w:pStyle w:val="ARfintablebodyright"/>
            </w:pPr>
            <w:r w:rsidRPr="002029AF">
              <w:t>20</w:t>
            </w:r>
          </w:p>
        </w:tc>
        <w:tc>
          <w:tcPr>
            <w:tcW w:w="851" w:type="dxa"/>
            <w:tcBorders>
              <w:top w:val="single" w:sz="4" w:space="0" w:color="A6A6A6"/>
            </w:tcBorders>
            <w:shd w:val="clear" w:color="auto" w:fill="E7E6E6"/>
            <w:hideMark/>
          </w:tcPr>
          <w:p w14:paraId="64C063B8" w14:textId="77777777" w:rsidR="00087B91" w:rsidRPr="002029AF" w:rsidRDefault="00087B91" w:rsidP="00860E95">
            <w:pPr>
              <w:pStyle w:val="ARfintablebodyright"/>
            </w:pPr>
            <w:r w:rsidRPr="002029AF">
              <w:t>–</w:t>
            </w:r>
          </w:p>
        </w:tc>
        <w:tc>
          <w:tcPr>
            <w:tcW w:w="851" w:type="dxa"/>
            <w:tcBorders>
              <w:top w:val="single" w:sz="4" w:space="0" w:color="A6A6A6"/>
            </w:tcBorders>
            <w:hideMark/>
          </w:tcPr>
          <w:p w14:paraId="43BE8314" w14:textId="77777777" w:rsidR="00087B91" w:rsidRPr="002029AF" w:rsidRDefault="00087B91" w:rsidP="00860E95">
            <w:pPr>
              <w:pStyle w:val="ARfintablebodyright"/>
            </w:pPr>
            <w:r w:rsidRPr="002029AF">
              <w:t>35.0</w:t>
            </w:r>
          </w:p>
        </w:tc>
      </w:tr>
    </w:tbl>
    <w:p w14:paraId="29EA2AFB" w14:textId="1FBEE50D" w:rsidR="00087B91" w:rsidRPr="002029AF" w:rsidRDefault="00087B91" w:rsidP="00087B91">
      <w:pPr>
        <w:pStyle w:val="Heading4"/>
      </w:pPr>
      <w:bookmarkStart w:id="351" w:name="_Toc39242148"/>
      <w:r w:rsidRPr="002029AF">
        <w:t>5.4</w:t>
      </w:r>
      <w:r w:rsidR="000A5329" w:rsidRPr="002029AF">
        <w:t xml:space="preserve"> </w:t>
      </w:r>
      <w:r w:rsidRPr="002029AF">
        <w:t>Short-term</w:t>
      </w:r>
      <w:r w:rsidR="000A5329" w:rsidRPr="002029AF">
        <w:t xml:space="preserve"> </w:t>
      </w:r>
      <w:r w:rsidRPr="002029AF">
        <w:t>investments</w:t>
      </w:r>
      <w:r w:rsidR="000A5329" w:rsidRPr="002029AF">
        <w:t xml:space="preserve"> </w:t>
      </w:r>
      <w:r w:rsidRPr="002029AF">
        <w:t>–</w:t>
      </w:r>
      <w:r w:rsidR="000A5329" w:rsidRPr="002029AF">
        <w:t xml:space="preserve"> </w:t>
      </w:r>
      <w:r w:rsidRPr="002029AF">
        <w:t>term</w:t>
      </w:r>
      <w:r w:rsidR="000A5329" w:rsidRPr="002029AF">
        <w:t xml:space="preserve"> </w:t>
      </w:r>
      <w:r w:rsidRPr="002029AF">
        <w:t>deposits</w:t>
      </w:r>
      <w:bookmarkEnd w:id="351"/>
    </w:p>
    <w:p w14:paraId="177F992E" w14:textId="10C8FDA8" w:rsidR="00087B91" w:rsidRPr="002029AF" w:rsidRDefault="00087B91" w:rsidP="00087B91">
      <w:pPr>
        <w:pStyle w:val="ARfinbodylargespace"/>
      </w:pPr>
      <w:r w:rsidRPr="002029AF">
        <w:t>Investments</w:t>
      </w:r>
      <w:r w:rsidR="000A5329" w:rsidRPr="002029AF">
        <w:t xml:space="preserve"> </w:t>
      </w:r>
      <w:r w:rsidRPr="002029AF">
        <w:t>consist</w:t>
      </w:r>
      <w:r w:rsidR="000A5329" w:rsidRPr="002029AF">
        <w:t xml:space="preserve"> </w:t>
      </w:r>
      <w:r w:rsidRPr="002029AF">
        <w:t>of</w:t>
      </w:r>
      <w:r w:rsidR="000A5329" w:rsidRPr="002029AF">
        <w:t xml:space="preserve"> </w:t>
      </w:r>
      <w:r w:rsidRPr="002029AF">
        <w:t>term</w:t>
      </w:r>
      <w:r w:rsidR="000A5329" w:rsidRPr="002029AF">
        <w:t xml:space="preserve"> </w:t>
      </w:r>
      <w:r w:rsidRPr="002029AF">
        <w:t>deposits</w:t>
      </w:r>
      <w:r w:rsidR="000A5329" w:rsidRPr="002029AF">
        <w:t xml:space="preserve"> </w:t>
      </w:r>
      <w:r w:rsidRPr="002029AF">
        <w:t>maturing</w:t>
      </w:r>
      <w:r w:rsidR="000A5329" w:rsidRPr="002029AF">
        <w:t xml:space="preserve"> </w:t>
      </w:r>
      <w:r w:rsidRPr="002029AF">
        <w:t>more</w:t>
      </w:r>
      <w:r w:rsidR="000A5329" w:rsidRPr="002029AF">
        <w:t xml:space="preserve"> </w:t>
      </w:r>
      <w:r w:rsidRPr="002029AF">
        <w:t>than</w:t>
      </w:r>
      <w:r w:rsidR="000A5329" w:rsidRPr="002029AF">
        <w:t xml:space="preserve"> </w:t>
      </w:r>
      <w:r w:rsidRPr="002029AF">
        <w:t>90</w:t>
      </w:r>
      <w:r w:rsidR="000A5329" w:rsidRPr="002029AF">
        <w:t xml:space="preserve"> </w:t>
      </w:r>
      <w:r w:rsidRPr="002029AF">
        <w:t>days</w:t>
      </w:r>
      <w:r w:rsidR="000A5329" w:rsidRPr="002029AF">
        <w:t xml:space="preserve"> </w:t>
      </w:r>
      <w:r w:rsidRPr="002029AF">
        <w:t>from</w:t>
      </w:r>
      <w:r w:rsidR="000A5329" w:rsidRPr="002029AF">
        <w:t xml:space="preserve"> </w:t>
      </w:r>
      <w:r w:rsidRPr="002029AF">
        <w:t>acquisition</w:t>
      </w:r>
      <w:r w:rsidR="000A5329" w:rsidRPr="002029AF">
        <w:t xml:space="preserve"> </w:t>
      </w:r>
      <w:r w:rsidRPr="002029AF">
        <w:t>dates.</w:t>
      </w:r>
    </w:p>
    <w:tbl>
      <w:tblPr>
        <w:tblStyle w:val="TableGrid"/>
        <w:tblW w:w="9637" w:type="dxa"/>
        <w:tblLayout w:type="fixed"/>
        <w:tblLook w:val="06A0" w:firstRow="1" w:lastRow="0" w:firstColumn="1" w:lastColumn="0" w:noHBand="1" w:noVBand="1"/>
      </w:tblPr>
      <w:tblGrid>
        <w:gridCol w:w="7369"/>
        <w:gridCol w:w="1134"/>
        <w:gridCol w:w="1134"/>
      </w:tblGrid>
      <w:tr w:rsidR="00087B91" w:rsidRPr="002029AF" w14:paraId="504BF830"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7371" w:type="dxa"/>
            <w:noWrap/>
            <w:hideMark/>
          </w:tcPr>
          <w:p w14:paraId="152443D1" w14:textId="77777777" w:rsidR="00087B91" w:rsidRPr="002029AF" w:rsidRDefault="00087B91" w:rsidP="00860E95">
            <w:pPr>
              <w:pStyle w:val="ARfintablecolhead"/>
            </w:pPr>
          </w:p>
        </w:tc>
        <w:tc>
          <w:tcPr>
            <w:tcW w:w="1134" w:type="dxa"/>
            <w:shd w:val="clear" w:color="auto" w:fill="E7E6E6"/>
            <w:hideMark/>
          </w:tcPr>
          <w:p w14:paraId="2B4A750E" w14:textId="77777777" w:rsidR="00087B91" w:rsidRPr="002029AF" w:rsidRDefault="00087B91" w:rsidP="00860E95">
            <w:pPr>
              <w:pStyle w:val="ARfintablecolheadright"/>
            </w:pPr>
            <w:r w:rsidRPr="002029AF">
              <w:t>2020</w:t>
            </w:r>
          </w:p>
          <w:p w14:paraId="6279628A" w14:textId="77777777" w:rsidR="00087B91" w:rsidRPr="002029AF" w:rsidRDefault="00087B91" w:rsidP="00860E95">
            <w:pPr>
              <w:pStyle w:val="ARfintablecolheadright"/>
            </w:pPr>
            <w:r w:rsidRPr="002029AF">
              <w:t>$M</w:t>
            </w:r>
          </w:p>
        </w:tc>
        <w:tc>
          <w:tcPr>
            <w:tcW w:w="1134" w:type="dxa"/>
            <w:hideMark/>
          </w:tcPr>
          <w:p w14:paraId="65C63AC5" w14:textId="77777777" w:rsidR="00087B91" w:rsidRPr="002029AF" w:rsidRDefault="00087B91" w:rsidP="00860E95">
            <w:pPr>
              <w:pStyle w:val="ARfintablecolheadright"/>
            </w:pPr>
            <w:r w:rsidRPr="002029AF">
              <w:t>2019</w:t>
            </w:r>
          </w:p>
          <w:p w14:paraId="00C99454" w14:textId="77777777" w:rsidR="00087B91" w:rsidRPr="002029AF" w:rsidRDefault="00087B91" w:rsidP="00860E95">
            <w:pPr>
              <w:pStyle w:val="ARfintablecolheadright"/>
            </w:pPr>
            <w:r w:rsidRPr="002029AF">
              <w:t>$M</w:t>
            </w:r>
          </w:p>
        </w:tc>
      </w:tr>
      <w:tr w:rsidR="00087B91" w:rsidRPr="002029AF" w14:paraId="360D65F6" w14:textId="77777777" w:rsidTr="00860E95">
        <w:tc>
          <w:tcPr>
            <w:tcW w:w="7371" w:type="dxa"/>
            <w:hideMark/>
          </w:tcPr>
          <w:p w14:paraId="0D7D2095" w14:textId="5186AAF6" w:rsidR="00087B91" w:rsidRPr="002029AF" w:rsidRDefault="00087B91" w:rsidP="00860E95">
            <w:pPr>
              <w:pStyle w:val="ARfintablebody"/>
            </w:pPr>
            <w:r w:rsidRPr="002029AF">
              <w:t>Short-term</w:t>
            </w:r>
            <w:r w:rsidR="000A5329" w:rsidRPr="002029AF">
              <w:t xml:space="preserve"> </w:t>
            </w:r>
            <w:r w:rsidRPr="002029AF">
              <w:t>investments</w:t>
            </w:r>
            <w:r w:rsidR="000A5329" w:rsidRPr="002029AF">
              <w:t xml:space="preserve"> </w:t>
            </w:r>
            <w:r w:rsidRPr="002029AF">
              <w:t>–</w:t>
            </w:r>
            <w:r w:rsidR="000A5329" w:rsidRPr="002029AF">
              <w:t xml:space="preserve"> </w:t>
            </w:r>
            <w:r w:rsidRPr="002029AF">
              <w:t>term</w:t>
            </w:r>
            <w:r w:rsidR="000A5329" w:rsidRPr="002029AF">
              <w:t xml:space="preserve"> </w:t>
            </w:r>
            <w:r w:rsidRPr="002029AF">
              <w:t>deposits</w:t>
            </w:r>
            <w:r w:rsidR="000A5329" w:rsidRPr="002029AF">
              <w:t xml:space="preserve"> </w:t>
            </w:r>
            <w:r w:rsidRPr="002029AF">
              <w:rPr>
                <w:rStyle w:val="Superscript"/>
              </w:rPr>
              <w:t>(i)</w:t>
            </w:r>
          </w:p>
        </w:tc>
        <w:tc>
          <w:tcPr>
            <w:tcW w:w="1134" w:type="dxa"/>
            <w:shd w:val="clear" w:color="auto" w:fill="E7E6E6"/>
            <w:noWrap/>
            <w:hideMark/>
          </w:tcPr>
          <w:p w14:paraId="1457BC96" w14:textId="77777777" w:rsidR="00087B91" w:rsidRPr="002029AF" w:rsidRDefault="00087B91" w:rsidP="00860E95">
            <w:pPr>
              <w:pStyle w:val="ARfintablebodyright"/>
            </w:pPr>
            <w:r w:rsidRPr="002029AF">
              <w:t>–</w:t>
            </w:r>
          </w:p>
        </w:tc>
        <w:tc>
          <w:tcPr>
            <w:tcW w:w="1134" w:type="dxa"/>
            <w:noWrap/>
            <w:hideMark/>
          </w:tcPr>
          <w:p w14:paraId="04EA92C6" w14:textId="77777777" w:rsidR="00087B91" w:rsidRPr="002029AF" w:rsidRDefault="00087B91" w:rsidP="00860E95">
            <w:pPr>
              <w:pStyle w:val="ARfintablebodyright"/>
            </w:pPr>
            <w:r w:rsidRPr="002029AF">
              <w:t>100.0</w:t>
            </w:r>
          </w:p>
        </w:tc>
      </w:tr>
      <w:tr w:rsidR="00087B91" w:rsidRPr="002029AF" w14:paraId="16C981A2" w14:textId="77777777" w:rsidTr="00860E95">
        <w:tc>
          <w:tcPr>
            <w:tcW w:w="7371" w:type="dxa"/>
            <w:hideMark/>
          </w:tcPr>
          <w:p w14:paraId="3B0D5267" w14:textId="197BA4BB" w:rsidR="00087B91" w:rsidRPr="002029AF" w:rsidRDefault="00087B91" w:rsidP="00860E95">
            <w:pPr>
              <w:pStyle w:val="ARfintablebodybold"/>
            </w:pPr>
            <w:r w:rsidRPr="002029AF">
              <w:t>Total</w:t>
            </w:r>
            <w:r w:rsidR="000A5329" w:rsidRPr="002029AF">
              <w:t xml:space="preserve"> </w:t>
            </w:r>
            <w:r w:rsidRPr="002029AF">
              <w:t>short-term</w:t>
            </w:r>
            <w:r w:rsidR="000A5329" w:rsidRPr="002029AF">
              <w:t xml:space="preserve"> </w:t>
            </w:r>
            <w:r w:rsidRPr="002029AF">
              <w:t>investments</w:t>
            </w:r>
            <w:r w:rsidR="000A5329" w:rsidRPr="002029AF">
              <w:t xml:space="preserve"> </w:t>
            </w:r>
            <w:r w:rsidRPr="002029AF">
              <w:t>–</w:t>
            </w:r>
            <w:r w:rsidR="000A5329" w:rsidRPr="002029AF">
              <w:t xml:space="preserve"> </w:t>
            </w:r>
            <w:r w:rsidRPr="002029AF">
              <w:t>term</w:t>
            </w:r>
            <w:r w:rsidR="000A5329" w:rsidRPr="002029AF">
              <w:t xml:space="preserve"> </w:t>
            </w:r>
            <w:r w:rsidRPr="002029AF">
              <w:t>deposits</w:t>
            </w:r>
          </w:p>
        </w:tc>
        <w:tc>
          <w:tcPr>
            <w:tcW w:w="1134" w:type="dxa"/>
            <w:shd w:val="clear" w:color="auto" w:fill="E7E6E6"/>
            <w:noWrap/>
            <w:hideMark/>
          </w:tcPr>
          <w:p w14:paraId="091F1090" w14:textId="77777777" w:rsidR="00087B91" w:rsidRPr="002029AF" w:rsidRDefault="00087B91" w:rsidP="00860E95">
            <w:pPr>
              <w:pStyle w:val="ARfintablebodyrightbold"/>
            </w:pPr>
            <w:r w:rsidRPr="002029AF">
              <w:t>–</w:t>
            </w:r>
          </w:p>
        </w:tc>
        <w:tc>
          <w:tcPr>
            <w:tcW w:w="1134" w:type="dxa"/>
            <w:noWrap/>
            <w:hideMark/>
          </w:tcPr>
          <w:p w14:paraId="07CB214F" w14:textId="77777777" w:rsidR="00087B91" w:rsidRPr="002029AF" w:rsidRDefault="00087B91" w:rsidP="00860E95">
            <w:pPr>
              <w:pStyle w:val="ARfintablebodyrightbold"/>
            </w:pPr>
            <w:r w:rsidRPr="002029AF">
              <w:t>100.0</w:t>
            </w:r>
          </w:p>
        </w:tc>
      </w:tr>
    </w:tbl>
    <w:p w14:paraId="4B7EE497" w14:textId="77777777" w:rsidR="00087B91" w:rsidRPr="002029AF" w:rsidRDefault="00087B91" w:rsidP="00087B91">
      <w:pPr>
        <w:pStyle w:val="ARfintablefootnote"/>
        <w:rPr>
          <w:b/>
        </w:rPr>
      </w:pPr>
      <w:r w:rsidRPr="002029AF">
        <w:t>Note:</w:t>
      </w:r>
    </w:p>
    <w:p w14:paraId="5E144C4C" w14:textId="246B1827" w:rsidR="00087B91" w:rsidRPr="002029AF" w:rsidRDefault="00087B91" w:rsidP="002A5CF0">
      <w:pPr>
        <w:pStyle w:val="ARfintablefootnoteindent"/>
      </w:pPr>
      <w:r w:rsidRPr="002029AF">
        <w:t>(i)</w:t>
      </w:r>
      <w:r w:rsidRPr="002029AF">
        <w:tab/>
        <w:t>Term</w:t>
      </w:r>
      <w:r w:rsidR="000A5329" w:rsidRPr="002029AF">
        <w:t xml:space="preserve"> </w:t>
      </w:r>
      <w:r w:rsidRPr="002029AF">
        <w:t>deposits</w:t>
      </w:r>
      <w:r w:rsidR="000A5329" w:rsidRPr="002029AF">
        <w:t xml:space="preserve"> </w:t>
      </w:r>
      <w:r w:rsidRPr="002029AF">
        <w:t>held</w:t>
      </w:r>
      <w:r w:rsidR="000A5329" w:rsidRPr="002029AF">
        <w:t xml:space="preserve"> </w:t>
      </w:r>
      <w:r w:rsidRPr="002029AF">
        <w:t>by</w:t>
      </w:r>
      <w:r w:rsidR="000A5329" w:rsidRPr="002029AF">
        <w:t xml:space="preserve"> </w:t>
      </w:r>
      <w:r w:rsidRPr="002029AF">
        <w:t>the</w:t>
      </w:r>
      <w:r w:rsidR="000A5329" w:rsidRPr="002029AF">
        <w:t xml:space="preserve"> </w:t>
      </w:r>
      <w:r w:rsidRPr="002029AF">
        <w:t>Director</w:t>
      </w:r>
      <w:r w:rsidR="000A5329" w:rsidRPr="002029AF">
        <w:t xml:space="preserve"> </w:t>
      </w:r>
      <w:r w:rsidRPr="002029AF">
        <w:t>of</w:t>
      </w:r>
      <w:r w:rsidR="000A5329" w:rsidRPr="002029AF">
        <w:t xml:space="preserve"> </w:t>
      </w:r>
      <w:r w:rsidRPr="002029AF">
        <w:t>Housing</w:t>
      </w:r>
      <w:r w:rsidR="000A5329" w:rsidRPr="002029AF">
        <w:t xml:space="preserve"> </w:t>
      </w:r>
      <w:r w:rsidRPr="002029AF">
        <w:t>were</w:t>
      </w:r>
      <w:r w:rsidR="000A5329" w:rsidRPr="002029AF">
        <w:t xml:space="preserve"> </w:t>
      </w:r>
      <w:r w:rsidRPr="002029AF">
        <w:t>fully</w:t>
      </w:r>
      <w:r w:rsidR="000A5329" w:rsidRPr="002029AF">
        <w:t xml:space="preserve"> </w:t>
      </w:r>
      <w:r w:rsidRPr="002029AF">
        <w:t>transitioned</w:t>
      </w:r>
      <w:r w:rsidR="000A5329" w:rsidRPr="002029AF">
        <w:t xml:space="preserve"> </w:t>
      </w:r>
      <w:r w:rsidRPr="002029AF">
        <w:t>to</w:t>
      </w:r>
      <w:r w:rsidR="000A5329" w:rsidRPr="002029AF">
        <w:t xml:space="preserve"> </w:t>
      </w:r>
      <w:r w:rsidRPr="002029AF">
        <w:t>the</w:t>
      </w:r>
      <w:r w:rsidR="000A5329" w:rsidRPr="002029AF">
        <w:t xml:space="preserve"> </w:t>
      </w:r>
      <w:r w:rsidRPr="002029AF">
        <w:t>Central</w:t>
      </w:r>
      <w:r w:rsidR="000A5329" w:rsidRPr="002029AF">
        <w:t xml:space="preserve"> </w:t>
      </w:r>
      <w:r w:rsidRPr="002029AF">
        <w:t>Banking</w:t>
      </w:r>
      <w:r w:rsidR="000A5329" w:rsidRPr="002029AF">
        <w:t xml:space="preserve"> </w:t>
      </w:r>
      <w:r w:rsidRPr="002029AF">
        <w:t>System</w:t>
      </w:r>
      <w:r w:rsidR="000A5329" w:rsidRPr="002029AF">
        <w:t xml:space="preserve"> </w:t>
      </w:r>
      <w:r w:rsidRPr="002029AF">
        <w:t>which</w:t>
      </w:r>
      <w:r w:rsidR="000A5329" w:rsidRPr="002029AF">
        <w:t xml:space="preserve"> </w:t>
      </w:r>
      <w:r w:rsidRPr="002029AF">
        <w:t>is</w:t>
      </w:r>
      <w:r w:rsidR="000A5329" w:rsidRPr="002029AF">
        <w:t xml:space="preserve"> </w:t>
      </w:r>
      <w:r w:rsidRPr="002029AF">
        <w:t>recognised</w:t>
      </w:r>
      <w:r w:rsidR="000A5329" w:rsidRPr="002029AF">
        <w:t xml:space="preserve"> </w:t>
      </w:r>
      <w:r w:rsidRPr="002029AF">
        <w:t>as</w:t>
      </w:r>
      <w:r w:rsidR="000A5329" w:rsidRPr="002029AF">
        <w:t xml:space="preserve"> </w:t>
      </w:r>
      <w:r w:rsidRPr="002029AF">
        <w:t>cash</w:t>
      </w:r>
      <w:r w:rsidR="000A5329" w:rsidRPr="002029AF">
        <w:t xml:space="preserve"> </w:t>
      </w:r>
      <w:r w:rsidRPr="002029AF">
        <w:t>at</w:t>
      </w:r>
      <w:r w:rsidR="000A5329" w:rsidRPr="002029AF">
        <w:t xml:space="preserve"> </w:t>
      </w:r>
      <w:r w:rsidRPr="002029AF">
        <w:t>bank</w:t>
      </w:r>
      <w:r w:rsidR="000A5329" w:rsidRPr="002029AF">
        <w:t xml:space="preserve"> </w:t>
      </w:r>
      <w:r w:rsidRPr="002029AF">
        <w:t>in</w:t>
      </w:r>
      <w:r w:rsidR="000A5329" w:rsidRPr="002029AF">
        <w:t xml:space="preserve"> </w:t>
      </w:r>
      <w:r w:rsidRPr="002029AF">
        <w:t>the</w:t>
      </w:r>
      <w:r w:rsidR="000A5329" w:rsidRPr="002029AF">
        <w:t xml:space="preserve"> </w:t>
      </w:r>
      <w:r w:rsidRPr="002029AF">
        <w:t>financial</w:t>
      </w:r>
      <w:r w:rsidR="000A5329" w:rsidRPr="002029AF">
        <w:t xml:space="preserve"> </w:t>
      </w:r>
      <w:r w:rsidRPr="002029AF">
        <w:t>year.</w:t>
      </w:r>
      <w:r w:rsidR="000A5329" w:rsidRPr="002029AF">
        <w:t xml:space="preserve"> </w:t>
      </w:r>
      <w:r w:rsidRPr="002029AF">
        <w:br w:type="page"/>
      </w:r>
    </w:p>
    <w:p w14:paraId="4BBFD879" w14:textId="53AFCF46" w:rsidR="00087B91" w:rsidRPr="002029AF" w:rsidRDefault="00087B91" w:rsidP="00087B91">
      <w:pPr>
        <w:pStyle w:val="Heading3"/>
      </w:pPr>
      <w:bookmarkStart w:id="352" w:name="_Toc39242149"/>
      <w:bookmarkStart w:id="353" w:name="_Toc51235517"/>
      <w:bookmarkStart w:id="354" w:name="_Toc54690816"/>
      <w:r w:rsidRPr="002029AF">
        <w:lastRenderedPageBreak/>
        <w:t>6.</w:t>
      </w:r>
      <w:r w:rsidR="000A5329" w:rsidRPr="002029AF">
        <w:t xml:space="preserve"> </w:t>
      </w:r>
      <w:r w:rsidRPr="002029AF">
        <w:t>Other</w:t>
      </w:r>
      <w:r w:rsidR="000A5329" w:rsidRPr="002029AF">
        <w:t xml:space="preserve"> </w:t>
      </w:r>
      <w:r w:rsidRPr="002029AF">
        <w:t>assets</w:t>
      </w:r>
      <w:r w:rsidR="000A5329" w:rsidRPr="002029AF">
        <w:t xml:space="preserve"> </w:t>
      </w:r>
      <w:r w:rsidRPr="002029AF">
        <w:t>and</w:t>
      </w:r>
      <w:r w:rsidR="000A5329" w:rsidRPr="002029AF">
        <w:t xml:space="preserve"> </w:t>
      </w:r>
      <w:r w:rsidRPr="002029AF">
        <w:t>liabilities</w:t>
      </w:r>
      <w:bookmarkEnd w:id="352"/>
      <w:bookmarkEnd w:id="353"/>
      <w:bookmarkEnd w:id="354"/>
    </w:p>
    <w:p w14:paraId="19E08422" w14:textId="77777777" w:rsidR="00087B91" w:rsidRPr="002029AF" w:rsidRDefault="00087B91" w:rsidP="00087B91">
      <w:pPr>
        <w:pStyle w:val="Heading4"/>
      </w:pPr>
      <w:r w:rsidRPr="002029AF">
        <w:t>Introduction</w:t>
      </w:r>
    </w:p>
    <w:p w14:paraId="5539CE96" w14:textId="4DDEB9C6" w:rsidR="00087B91" w:rsidRPr="002029AF" w:rsidRDefault="00087B91" w:rsidP="00087B91">
      <w:pPr>
        <w:pStyle w:val="ARfinbody"/>
      </w:pPr>
      <w:r w:rsidRPr="002029AF">
        <w:t>This</w:t>
      </w:r>
      <w:r w:rsidR="000A5329" w:rsidRPr="002029AF">
        <w:t xml:space="preserve"> </w:t>
      </w:r>
      <w:r w:rsidRPr="002029AF">
        <w:t>section</w:t>
      </w:r>
      <w:r w:rsidR="000A5329" w:rsidRPr="002029AF">
        <w:t xml:space="preserve"> </w:t>
      </w:r>
      <w:r w:rsidRPr="002029AF">
        <w:t>sets</w:t>
      </w:r>
      <w:r w:rsidR="000A5329" w:rsidRPr="002029AF">
        <w:t xml:space="preserve"> </w:t>
      </w:r>
      <w:r w:rsidRPr="002029AF">
        <w:t>out</w:t>
      </w:r>
      <w:r w:rsidR="000A5329" w:rsidRPr="002029AF">
        <w:t xml:space="preserve"> </w:t>
      </w:r>
      <w:r w:rsidRPr="002029AF">
        <w:t>those</w:t>
      </w:r>
      <w:r w:rsidR="000A5329" w:rsidRPr="002029AF">
        <w:t xml:space="preserve"> </w:t>
      </w:r>
      <w:r w:rsidRPr="002029AF">
        <w:t>assets</w:t>
      </w:r>
      <w:r w:rsidR="000A5329" w:rsidRPr="002029AF">
        <w:t xml:space="preserve"> </w:t>
      </w:r>
      <w:r w:rsidRPr="002029AF">
        <w:t>and</w:t>
      </w:r>
      <w:r w:rsidR="000A5329" w:rsidRPr="002029AF">
        <w:t xml:space="preserve"> </w:t>
      </w:r>
      <w:r w:rsidRPr="002029AF">
        <w:t>liabilities</w:t>
      </w:r>
      <w:r w:rsidR="000A5329" w:rsidRPr="002029AF">
        <w:t xml:space="preserve"> </w:t>
      </w:r>
      <w:r w:rsidRPr="002029AF">
        <w:t>that</w:t>
      </w:r>
      <w:r w:rsidR="000A5329" w:rsidRPr="002029AF">
        <w:t xml:space="preserve"> </w:t>
      </w:r>
      <w:r w:rsidRPr="002029AF">
        <w:t>arose</w:t>
      </w:r>
      <w:r w:rsidR="000A5329" w:rsidRPr="002029AF">
        <w:t xml:space="preserve"> </w:t>
      </w:r>
      <w:r w:rsidRPr="002029AF">
        <w:t>from</w:t>
      </w:r>
      <w:r w:rsidR="000A5329" w:rsidRPr="002029AF">
        <w:t xml:space="preserve"> </w:t>
      </w:r>
      <w:r w:rsidRPr="002029AF">
        <w:t>the</w:t>
      </w:r>
      <w:r w:rsidR="000A5329" w:rsidRPr="002029AF">
        <w:t xml:space="preserve"> </w:t>
      </w:r>
      <w:r w:rsidR="003C4D4A" w:rsidRPr="002029AF">
        <w:t>department’s-controlled</w:t>
      </w:r>
      <w:r w:rsidR="000A5329" w:rsidRPr="002029AF">
        <w:t xml:space="preserve"> </w:t>
      </w:r>
      <w:r w:rsidRPr="002029AF">
        <w:t>operations.</w:t>
      </w:r>
    </w:p>
    <w:p w14:paraId="25B74036" w14:textId="77777777" w:rsidR="00087B91" w:rsidRPr="002029AF" w:rsidRDefault="00087B91" w:rsidP="00087B91">
      <w:pPr>
        <w:pStyle w:val="Heading4"/>
      </w:pPr>
      <w:r w:rsidRPr="002029AF">
        <w:t>Structure</w:t>
      </w:r>
    </w:p>
    <w:p w14:paraId="02272ACB" w14:textId="77777777" w:rsidR="00087B91" w:rsidRPr="002029AF" w:rsidRDefault="00087B91" w:rsidP="00961519">
      <w:pPr>
        <w:pStyle w:val="ARfinstructure1"/>
        <w:tabs>
          <w:tab w:val="left" w:pos="142"/>
        </w:tabs>
        <w:ind w:left="567" w:hanging="567"/>
      </w:pPr>
      <w:r w:rsidRPr="002029AF">
        <w:t>6.1</w:t>
      </w:r>
      <w:r w:rsidRPr="002029AF">
        <w:tab/>
        <w:t>Receivables</w:t>
      </w:r>
    </w:p>
    <w:p w14:paraId="33A152B0" w14:textId="77777777" w:rsidR="00087B91" w:rsidRPr="002029AF" w:rsidRDefault="00087B91" w:rsidP="00961519">
      <w:pPr>
        <w:pStyle w:val="ARfinstructure1"/>
        <w:tabs>
          <w:tab w:val="left" w:pos="142"/>
        </w:tabs>
        <w:ind w:left="567" w:hanging="567"/>
      </w:pPr>
      <w:r w:rsidRPr="002029AF">
        <w:t>6.2</w:t>
      </w:r>
      <w:r w:rsidRPr="002029AF">
        <w:tab/>
        <w:t>Loans</w:t>
      </w:r>
    </w:p>
    <w:p w14:paraId="4EEDF278" w14:textId="32FF6D15" w:rsidR="00087B91" w:rsidRPr="002029AF" w:rsidRDefault="00087B91" w:rsidP="00961519">
      <w:pPr>
        <w:pStyle w:val="ARfinstructure2"/>
        <w:tabs>
          <w:tab w:val="left" w:pos="142"/>
        </w:tabs>
        <w:ind w:left="1134" w:hanging="567"/>
      </w:pPr>
      <w:r w:rsidRPr="002029AF">
        <w:t>6.2.1</w:t>
      </w:r>
      <w:r w:rsidRPr="002029AF">
        <w:tab/>
        <w:t>Ageing</w:t>
      </w:r>
      <w:r w:rsidR="000A5329" w:rsidRPr="002029AF">
        <w:t xml:space="preserve"> </w:t>
      </w:r>
      <w:r w:rsidRPr="002029AF">
        <w:t>analysis</w:t>
      </w:r>
      <w:r w:rsidR="000A5329" w:rsidRPr="002029AF">
        <w:t xml:space="preserve"> </w:t>
      </w:r>
      <w:r w:rsidRPr="002029AF">
        <w:t>of</w:t>
      </w:r>
      <w:r w:rsidR="000A5329" w:rsidRPr="002029AF">
        <w:t xml:space="preserve"> </w:t>
      </w:r>
      <w:r w:rsidRPr="002029AF">
        <w:t>contractual</w:t>
      </w:r>
      <w:r w:rsidR="000A5329" w:rsidRPr="002029AF">
        <w:t xml:space="preserve"> </w:t>
      </w:r>
      <w:r w:rsidRPr="002029AF">
        <w:t>loans</w:t>
      </w:r>
    </w:p>
    <w:p w14:paraId="197BCFD8" w14:textId="4882C148" w:rsidR="00087B91" w:rsidRPr="002029AF" w:rsidRDefault="00087B91" w:rsidP="00961519">
      <w:pPr>
        <w:pStyle w:val="ARfinstructure1"/>
        <w:tabs>
          <w:tab w:val="left" w:pos="142"/>
        </w:tabs>
        <w:ind w:left="567" w:hanging="567"/>
      </w:pPr>
      <w:r w:rsidRPr="002029AF">
        <w:t>6.3</w:t>
      </w:r>
      <w:r w:rsidRPr="002029AF">
        <w:tab/>
        <w:t>Other</w:t>
      </w:r>
      <w:r w:rsidR="000A5329" w:rsidRPr="002029AF">
        <w:t xml:space="preserve"> </w:t>
      </w:r>
      <w:r w:rsidRPr="002029AF">
        <w:t>non-financial</w:t>
      </w:r>
      <w:r w:rsidR="000A5329" w:rsidRPr="002029AF">
        <w:t xml:space="preserve"> </w:t>
      </w:r>
      <w:r w:rsidRPr="002029AF">
        <w:t>assets</w:t>
      </w:r>
    </w:p>
    <w:p w14:paraId="3DE15AAD" w14:textId="77777777" w:rsidR="00087B91" w:rsidRPr="002029AF" w:rsidRDefault="00087B91" w:rsidP="00961519">
      <w:pPr>
        <w:pStyle w:val="ARfinstructure1"/>
        <w:tabs>
          <w:tab w:val="left" w:pos="142"/>
        </w:tabs>
        <w:ind w:left="567" w:hanging="567"/>
      </w:pPr>
      <w:r w:rsidRPr="002029AF">
        <w:t>6.4</w:t>
      </w:r>
      <w:r w:rsidRPr="002029AF">
        <w:tab/>
        <w:t>Payables</w:t>
      </w:r>
    </w:p>
    <w:p w14:paraId="09606416" w14:textId="520A3666" w:rsidR="00087B91" w:rsidRPr="002029AF" w:rsidRDefault="00087B91" w:rsidP="00961519">
      <w:pPr>
        <w:pStyle w:val="ARfinstructure2"/>
        <w:tabs>
          <w:tab w:val="left" w:pos="142"/>
        </w:tabs>
        <w:ind w:left="1134" w:hanging="567"/>
      </w:pPr>
      <w:r w:rsidRPr="002029AF">
        <w:t>6.4.1</w:t>
      </w:r>
      <w:r w:rsidRPr="002029AF">
        <w:tab/>
        <w:t>Maturity</w:t>
      </w:r>
      <w:r w:rsidR="000A5329" w:rsidRPr="002029AF">
        <w:t xml:space="preserve"> </w:t>
      </w:r>
      <w:r w:rsidRPr="002029AF">
        <w:t>analysis</w:t>
      </w:r>
      <w:r w:rsidR="000A5329" w:rsidRPr="002029AF">
        <w:t xml:space="preserve"> </w:t>
      </w:r>
      <w:r w:rsidRPr="002029AF">
        <w:t>of</w:t>
      </w:r>
      <w:r w:rsidR="000A5329" w:rsidRPr="002029AF">
        <w:t xml:space="preserve"> </w:t>
      </w:r>
      <w:r w:rsidRPr="002029AF">
        <w:t>contractual</w:t>
      </w:r>
      <w:r w:rsidR="000A5329" w:rsidRPr="002029AF">
        <w:t xml:space="preserve"> </w:t>
      </w:r>
      <w:r w:rsidRPr="002029AF">
        <w:t>payables</w:t>
      </w:r>
    </w:p>
    <w:p w14:paraId="51EC4D2C" w14:textId="2E9A3884" w:rsidR="00087B91" w:rsidRPr="002029AF" w:rsidRDefault="00087B91" w:rsidP="00961519">
      <w:pPr>
        <w:pStyle w:val="ARfinstructure2"/>
        <w:tabs>
          <w:tab w:val="left" w:pos="142"/>
        </w:tabs>
        <w:ind w:left="567" w:hanging="567"/>
      </w:pPr>
      <w:r w:rsidRPr="002029AF">
        <w:t>6.5</w:t>
      </w:r>
      <w:r w:rsidR="000A5329" w:rsidRPr="002029AF">
        <w:t xml:space="preserve"> </w:t>
      </w:r>
      <w:r w:rsidRPr="002029AF">
        <w:tab/>
        <w:t>Other</w:t>
      </w:r>
      <w:r w:rsidR="000A5329" w:rsidRPr="002029AF">
        <w:t xml:space="preserve"> </w:t>
      </w:r>
      <w:r w:rsidRPr="002029AF">
        <w:t>provisions</w:t>
      </w:r>
    </w:p>
    <w:p w14:paraId="71597F20" w14:textId="6656F0A3" w:rsidR="00087B91" w:rsidRPr="002029AF" w:rsidRDefault="00087B91" w:rsidP="00961519">
      <w:pPr>
        <w:pStyle w:val="ARfinstructure2"/>
        <w:tabs>
          <w:tab w:val="left" w:pos="142"/>
        </w:tabs>
        <w:ind w:left="1134" w:hanging="567"/>
      </w:pPr>
      <w:r w:rsidRPr="002029AF">
        <w:t>6.5.1</w:t>
      </w:r>
      <w:r w:rsidRPr="002029AF">
        <w:tab/>
        <w:t>Reconciliation</w:t>
      </w:r>
      <w:r w:rsidR="000A5329" w:rsidRPr="002029AF">
        <w:t xml:space="preserve"> </w:t>
      </w:r>
      <w:r w:rsidRPr="002029AF">
        <w:t>of</w:t>
      </w:r>
      <w:r w:rsidR="000A5329" w:rsidRPr="002029AF">
        <w:t xml:space="preserve"> </w:t>
      </w:r>
      <w:r w:rsidRPr="002029AF">
        <w:t>movements</w:t>
      </w:r>
      <w:r w:rsidR="000A5329" w:rsidRPr="002029AF">
        <w:t xml:space="preserve"> </w:t>
      </w:r>
      <w:r w:rsidRPr="002029AF">
        <w:t>in</w:t>
      </w:r>
      <w:r w:rsidR="000A5329" w:rsidRPr="002029AF">
        <w:t xml:space="preserve"> </w:t>
      </w:r>
      <w:r w:rsidRPr="002029AF">
        <w:t>other</w:t>
      </w:r>
      <w:r w:rsidR="000A5329" w:rsidRPr="002029AF">
        <w:t xml:space="preserve"> </w:t>
      </w:r>
      <w:r w:rsidRPr="002029AF">
        <w:t>provisions</w:t>
      </w:r>
    </w:p>
    <w:p w14:paraId="116EEF48" w14:textId="1CBDE16B" w:rsidR="00087B91" w:rsidRPr="002029AF" w:rsidRDefault="00087B91" w:rsidP="00961519">
      <w:pPr>
        <w:pStyle w:val="ARfinstructure2"/>
        <w:tabs>
          <w:tab w:val="left" w:pos="142"/>
        </w:tabs>
        <w:ind w:left="567" w:hanging="567"/>
      </w:pPr>
      <w:r w:rsidRPr="002029AF">
        <w:t>6.6</w:t>
      </w:r>
      <w:r w:rsidR="000A5329" w:rsidRPr="002029AF">
        <w:t xml:space="preserve"> </w:t>
      </w:r>
      <w:r w:rsidRPr="002029AF">
        <w:tab/>
        <w:t>Inventories</w:t>
      </w:r>
    </w:p>
    <w:p w14:paraId="67DE4BFC" w14:textId="5C4287D9" w:rsidR="00087B91" w:rsidRPr="002029AF" w:rsidRDefault="00087B91" w:rsidP="00087B91">
      <w:pPr>
        <w:pStyle w:val="Heading4"/>
      </w:pPr>
      <w:bookmarkStart w:id="355" w:name="_Toc39242150"/>
      <w:r w:rsidRPr="002029AF">
        <w:t>6.1</w:t>
      </w:r>
      <w:r w:rsidR="000A5329" w:rsidRPr="002029AF">
        <w:t xml:space="preserve"> </w:t>
      </w:r>
      <w:r w:rsidRPr="002029AF">
        <w:t>Receivables</w:t>
      </w:r>
      <w:bookmarkEnd w:id="355"/>
    </w:p>
    <w:tbl>
      <w:tblPr>
        <w:tblStyle w:val="TableGrid"/>
        <w:tblW w:w="9637" w:type="dxa"/>
        <w:tblLayout w:type="fixed"/>
        <w:tblLook w:val="06A0" w:firstRow="1" w:lastRow="0" w:firstColumn="1" w:lastColumn="0" w:noHBand="1" w:noVBand="1"/>
      </w:tblPr>
      <w:tblGrid>
        <w:gridCol w:w="7369"/>
        <w:gridCol w:w="1134"/>
        <w:gridCol w:w="1134"/>
      </w:tblGrid>
      <w:tr w:rsidR="00087B91" w:rsidRPr="002029AF" w14:paraId="1F2FFE7E"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7369" w:type="dxa"/>
            <w:tcBorders>
              <w:bottom w:val="single" w:sz="4" w:space="0" w:color="auto"/>
            </w:tcBorders>
            <w:noWrap/>
            <w:hideMark/>
          </w:tcPr>
          <w:p w14:paraId="5615F08A" w14:textId="77777777" w:rsidR="00087B91" w:rsidRPr="002029AF" w:rsidRDefault="00087B91" w:rsidP="00860E95">
            <w:pPr>
              <w:pStyle w:val="ARfintablecolhead"/>
            </w:pPr>
          </w:p>
        </w:tc>
        <w:tc>
          <w:tcPr>
            <w:tcW w:w="1134" w:type="dxa"/>
            <w:tcBorders>
              <w:bottom w:val="single" w:sz="4" w:space="0" w:color="auto"/>
            </w:tcBorders>
            <w:shd w:val="clear" w:color="auto" w:fill="E7E6E6"/>
            <w:hideMark/>
          </w:tcPr>
          <w:p w14:paraId="22B9D0DA" w14:textId="77777777" w:rsidR="00087B91" w:rsidRPr="002029AF" w:rsidRDefault="00087B91" w:rsidP="00860E95">
            <w:pPr>
              <w:pStyle w:val="ARfintablecolheadright"/>
            </w:pPr>
            <w:r w:rsidRPr="002029AF">
              <w:t>2020</w:t>
            </w:r>
          </w:p>
          <w:p w14:paraId="4D8DF231" w14:textId="77777777" w:rsidR="00087B91" w:rsidRPr="002029AF" w:rsidRDefault="00087B91" w:rsidP="00860E95">
            <w:pPr>
              <w:pStyle w:val="ARfintablecolheadright"/>
            </w:pPr>
            <w:r w:rsidRPr="002029AF">
              <w:t>$M</w:t>
            </w:r>
          </w:p>
        </w:tc>
        <w:tc>
          <w:tcPr>
            <w:tcW w:w="1134" w:type="dxa"/>
            <w:tcBorders>
              <w:bottom w:val="single" w:sz="4" w:space="0" w:color="auto"/>
            </w:tcBorders>
            <w:hideMark/>
          </w:tcPr>
          <w:p w14:paraId="59912814" w14:textId="77777777" w:rsidR="00087B91" w:rsidRPr="002029AF" w:rsidRDefault="00087B91" w:rsidP="00860E95">
            <w:pPr>
              <w:pStyle w:val="ARfintablecolheadright"/>
            </w:pPr>
            <w:r w:rsidRPr="002029AF">
              <w:t>2019</w:t>
            </w:r>
          </w:p>
          <w:p w14:paraId="30BB5EC8" w14:textId="77777777" w:rsidR="00087B91" w:rsidRPr="002029AF" w:rsidRDefault="00087B91" w:rsidP="00860E95">
            <w:pPr>
              <w:pStyle w:val="ARfintablecolheadright"/>
            </w:pPr>
            <w:r w:rsidRPr="002029AF">
              <w:t>$M</w:t>
            </w:r>
          </w:p>
        </w:tc>
      </w:tr>
      <w:tr w:rsidR="00087B91" w:rsidRPr="002029AF" w14:paraId="14B682D8" w14:textId="77777777" w:rsidTr="00860E95">
        <w:tc>
          <w:tcPr>
            <w:tcW w:w="9637" w:type="dxa"/>
            <w:gridSpan w:val="3"/>
            <w:tcBorders>
              <w:top w:val="single" w:sz="4" w:space="0" w:color="auto"/>
              <w:bottom w:val="single" w:sz="4" w:space="0" w:color="A6A6A6"/>
            </w:tcBorders>
            <w:hideMark/>
          </w:tcPr>
          <w:p w14:paraId="0F42E777" w14:textId="024DE5AE" w:rsidR="00087B91" w:rsidRPr="002029AF" w:rsidRDefault="00087B91" w:rsidP="00860E95">
            <w:pPr>
              <w:pStyle w:val="ARfintablebodybold"/>
            </w:pPr>
            <w:r w:rsidRPr="002029AF">
              <w:t>Current</w:t>
            </w:r>
            <w:r w:rsidR="000A5329" w:rsidRPr="002029AF">
              <w:t xml:space="preserve"> </w:t>
            </w:r>
            <w:r w:rsidRPr="002029AF">
              <w:t>receivables</w:t>
            </w:r>
          </w:p>
        </w:tc>
      </w:tr>
      <w:tr w:rsidR="00087B91" w:rsidRPr="002029AF" w14:paraId="2D1C94E7" w14:textId="77777777" w:rsidTr="00860E95">
        <w:tc>
          <w:tcPr>
            <w:tcW w:w="9637" w:type="dxa"/>
            <w:gridSpan w:val="3"/>
            <w:tcBorders>
              <w:top w:val="single" w:sz="4" w:space="0" w:color="A6A6A6"/>
              <w:bottom w:val="single" w:sz="4" w:space="0" w:color="A6A6A6"/>
            </w:tcBorders>
            <w:hideMark/>
          </w:tcPr>
          <w:p w14:paraId="38C65E4D" w14:textId="77777777" w:rsidR="00087B91" w:rsidRPr="002029AF" w:rsidRDefault="00087B91" w:rsidP="00860E95">
            <w:pPr>
              <w:pStyle w:val="ARfintablebody"/>
              <w:rPr>
                <w:b/>
                <w:bCs/>
              </w:rPr>
            </w:pPr>
            <w:r w:rsidRPr="002029AF">
              <w:rPr>
                <w:rStyle w:val="Emphasis"/>
              </w:rPr>
              <w:t>Contractual</w:t>
            </w:r>
          </w:p>
        </w:tc>
      </w:tr>
      <w:tr w:rsidR="00087B91" w:rsidRPr="002029AF" w14:paraId="6710041F" w14:textId="77777777" w:rsidTr="00860E95">
        <w:tc>
          <w:tcPr>
            <w:tcW w:w="7369" w:type="dxa"/>
            <w:tcBorders>
              <w:top w:val="single" w:sz="4" w:space="0" w:color="A6A6A6"/>
              <w:bottom w:val="single" w:sz="4" w:space="0" w:color="A6A6A6"/>
            </w:tcBorders>
            <w:hideMark/>
          </w:tcPr>
          <w:p w14:paraId="3C892F18" w14:textId="6A16C721" w:rsidR="00087B91" w:rsidRPr="002029AF" w:rsidRDefault="00087B91" w:rsidP="00860E95">
            <w:pPr>
              <w:pStyle w:val="ARfintablebody"/>
            </w:pPr>
            <w:r w:rsidRPr="002029AF">
              <w:t>Tenants</w:t>
            </w:r>
            <w:r w:rsidR="000A5329" w:rsidRPr="002029AF">
              <w:t xml:space="preserve"> </w:t>
            </w:r>
            <w:r w:rsidRPr="002029AF">
              <w:t>in</w:t>
            </w:r>
            <w:r w:rsidR="000A5329" w:rsidRPr="002029AF">
              <w:t xml:space="preserve"> </w:t>
            </w:r>
            <w:r w:rsidRPr="002029AF">
              <w:t>arrears</w:t>
            </w:r>
          </w:p>
        </w:tc>
        <w:tc>
          <w:tcPr>
            <w:tcW w:w="1134" w:type="dxa"/>
            <w:tcBorders>
              <w:top w:val="single" w:sz="4" w:space="0" w:color="A6A6A6"/>
              <w:bottom w:val="single" w:sz="4" w:space="0" w:color="A6A6A6"/>
            </w:tcBorders>
            <w:shd w:val="clear" w:color="auto" w:fill="E7E6E6"/>
            <w:noWrap/>
            <w:hideMark/>
          </w:tcPr>
          <w:p w14:paraId="75E08900" w14:textId="77777777" w:rsidR="00087B91" w:rsidRPr="002029AF" w:rsidRDefault="00087B91" w:rsidP="00860E95">
            <w:pPr>
              <w:pStyle w:val="ARfintablebodyright"/>
            </w:pPr>
            <w:r w:rsidRPr="002029AF">
              <w:t>15.0</w:t>
            </w:r>
          </w:p>
        </w:tc>
        <w:tc>
          <w:tcPr>
            <w:tcW w:w="1134" w:type="dxa"/>
            <w:tcBorders>
              <w:top w:val="single" w:sz="4" w:space="0" w:color="A6A6A6"/>
              <w:bottom w:val="single" w:sz="4" w:space="0" w:color="A6A6A6"/>
            </w:tcBorders>
            <w:noWrap/>
            <w:hideMark/>
          </w:tcPr>
          <w:p w14:paraId="41F4CAAC" w14:textId="77777777" w:rsidR="00087B91" w:rsidRPr="002029AF" w:rsidRDefault="00087B91" w:rsidP="00860E95">
            <w:pPr>
              <w:pStyle w:val="ARfintablebodyright"/>
            </w:pPr>
            <w:r w:rsidRPr="002029AF">
              <w:t>15.0</w:t>
            </w:r>
          </w:p>
        </w:tc>
      </w:tr>
      <w:tr w:rsidR="00087B91" w:rsidRPr="002029AF" w14:paraId="104CAA30" w14:textId="77777777" w:rsidTr="00860E95">
        <w:tc>
          <w:tcPr>
            <w:tcW w:w="7369" w:type="dxa"/>
            <w:tcBorders>
              <w:top w:val="single" w:sz="4" w:space="0" w:color="A6A6A6"/>
              <w:bottom w:val="single" w:sz="4" w:space="0" w:color="A6A6A6"/>
            </w:tcBorders>
            <w:hideMark/>
          </w:tcPr>
          <w:p w14:paraId="6C7AF8B8" w14:textId="2ED6E38C" w:rsidR="00087B91" w:rsidRPr="002029AF" w:rsidRDefault="00087B91" w:rsidP="00860E95">
            <w:pPr>
              <w:pStyle w:val="ARfintablebody"/>
            </w:pPr>
            <w:r w:rsidRPr="002029AF">
              <w:t>Other</w:t>
            </w:r>
            <w:r w:rsidR="000A5329" w:rsidRPr="002029AF">
              <w:t xml:space="preserve"> </w:t>
            </w:r>
            <w:r w:rsidRPr="002029AF">
              <w:t>receivables</w:t>
            </w:r>
          </w:p>
        </w:tc>
        <w:tc>
          <w:tcPr>
            <w:tcW w:w="1134" w:type="dxa"/>
            <w:tcBorders>
              <w:top w:val="single" w:sz="4" w:space="0" w:color="A6A6A6"/>
              <w:bottom w:val="single" w:sz="4" w:space="0" w:color="A6A6A6"/>
            </w:tcBorders>
            <w:shd w:val="clear" w:color="auto" w:fill="E7E6E6"/>
            <w:noWrap/>
            <w:hideMark/>
          </w:tcPr>
          <w:p w14:paraId="44A4946B" w14:textId="77777777" w:rsidR="00087B91" w:rsidRPr="002029AF" w:rsidRDefault="00087B91" w:rsidP="00860E95">
            <w:pPr>
              <w:pStyle w:val="ARfintablebodyright"/>
            </w:pPr>
            <w:r w:rsidRPr="002029AF">
              <w:t>483.5</w:t>
            </w:r>
          </w:p>
        </w:tc>
        <w:tc>
          <w:tcPr>
            <w:tcW w:w="1134" w:type="dxa"/>
            <w:tcBorders>
              <w:top w:val="single" w:sz="4" w:space="0" w:color="A6A6A6"/>
              <w:bottom w:val="single" w:sz="4" w:space="0" w:color="A6A6A6"/>
            </w:tcBorders>
            <w:noWrap/>
            <w:hideMark/>
          </w:tcPr>
          <w:p w14:paraId="78DEA429" w14:textId="77777777" w:rsidR="00087B91" w:rsidRPr="002029AF" w:rsidRDefault="00087B91" w:rsidP="00860E95">
            <w:pPr>
              <w:pStyle w:val="ARfintablebodyright"/>
            </w:pPr>
            <w:r w:rsidRPr="002029AF">
              <w:t>323.1</w:t>
            </w:r>
          </w:p>
        </w:tc>
      </w:tr>
      <w:tr w:rsidR="00087B91" w:rsidRPr="002029AF" w14:paraId="2E0910AE" w14:textId="77777777" w:rsidTr="00860E95">
        <w:tc>
          <w:tcPr>
            <w:tcW w:w="7369" w:type="dxa"/>
            <w:tcBorders>
              <w:top w:val="single" w:sz="4" w:space="0" w:color="A6A6A6"/>
              <w:bottom w:val="single" w:sz="4" w:space="0" w:color="auto"/>
            </w:tcBorders>
            <w:hideMark/>
          </w:tcPr>
          <w:p w14:paraId="6829BF7D" w14:textId="1FB07594" w:rsidR="00087B91" w:rsidRPr="002029AF" w:rsidRDefault="00087B91" w:rsidP="00860E95">
            <w:pPr>
              <w:pStyle w:val="ARfintablebody"/>
              <w:rPr>
                <w:rStyle w:val="Emphasis"/>
              </w:rPr>
            </w:pPr>
            <w:r w:rsidRPr="002029AF">
              <w:rPr>
                <w:rStyle w:val="Emphasis"/>
              </w:rPr>
              <w:t>Less</w:t>
            </w:r>
            <w:r w:rsidR="000A5329" w:rsidRPr="002029AF">
              <w:rPr>
                <w:rStyle w:val="Emphasis"/>
              </w:rPr>
              <w:t xml:space="preserve"> </w:t>
            </w:r>
            <w:r w:rsidRPr="002029AF">
              <w:rPr>
                <w:rStyle w:val="Emphasis"/>
              </w:rPr>
              <w:t>allowance</w:t>
            </w:r>
            <w:r w:rsidR="000A5329" w:rsidRPr="002029AF">
              <w:rPr>
                <w:rStyle w:val="Emphasis"/>
              </w:rPr>
              <w:t xml:space="preserve"> </w:t>
            </w:r>
            <w:r w:rsidRPr="002029AF">
              <w:rPr>
                <w:rStyle w:val="Emphasis"/>
              </w:rPr>
              <w:t>for</w:t>
            </w:r>
            <w:r w:rsidR="000A5329" w:rsidRPr="002029AF">
              <w:rPr>
                <w:rStyle w:val="Emphasis"/>
              </w:rPr>
              <w:t xml:space="preserve"> </w:t>
            </w:r>
            <w:r w:rsidRPr="002029AF">
              <w:rPr>
                <w:rStyle w:val="Emphasis"/>
              </w:rPr>
              <w:t>impairment</w:t>
            </w:r>
            <w:r w:rsidR="000A5329" w:rsidRPr="002029AF">
              <w:rPr>
                <w:rStyle w:val="Emphasis"/>
              </w:rPr>
              <w:t xml:space="preserve"> </w:t>
            </w:r>
            <w:r w:rsidRPr="002029AF">
              <w:rPr>
                <w:rStyle w:val="Emphasis"/>
              </w:rPr>
              <w:t>losses</w:t>
            </w:r>
            <w:r w:rsidR="000A5329" w:rsidRPr="002029AF">
              <w:rPr>
                <w:rStyle w:val="Emphasis"/>
              </w:rPr>
              <w:t xml:space="preserve"> </w:t>
            </w:r>
            <w:r w:rsidRPr="002029AF">
              <w:rPr>
                <w:rStyle w:val="Emphasis"/>
              </w:rPr>
              <w:t>of</w:t>
            </w:r>
            <w:r w:rsidR="000A5329" w:rsidRPr="002029AF">
              <w:rPr>
                <w:rStyle w:val="Emphasis"/>
              </w:rPr>
              <w:t xml:space="preserve"> </w:t>
            </w:r>
            <w:r w:rsidRPr="002029AF">
              <w:rPr>
                <w:rStyle w:val="Emphasis"/>
              </w:rPr>
              <w:t>contractual</w:t>
            </w:r>
            <w:r w:rsidR="000A5329" w:rsidRPr="002029AF">
              <w:rPr>
                <w:rStyle w:val="Emphasis"/>
              </w:rPr>
              <w:t xml:space="preserve"> </w:t>
            </w:r>
            <w:r w:rsidRPr="002029AF">
              <w:rPr>
                <w:rStyle w:val="Emphasis"/>
              </w:rPr>
              <w:t>receivables</w:t>
            </w:r>
          </w:p>
        </w:tc>
        <w:tc>
          <w:tcPr>
            <w:tcW w:w="1134" w:type="dxa"/>
            <w:tcBorders>
              <w:top w:val="single" w:sz="4" w:space="0" w:color="A6A6A6"/>
              <w:bottom w:val="single" w:sz="4" w:space="0" w:color="auto"/>
            </w:tcBorders>
            <w:shd w:val="clear" w:color="auto" w:fill="E7E6E6"/>
            <w:noWrap/>
            <w:hideMark/>
          </w:tcPr>
          <w:p w14:paraId="24A40643" w14:textId="77777777" w:rsidR="00087B91" w:rsidRPr="002029AF" w:rsidRDefault="00087B91" w:rsidP="00860E95">
            <w:pPr>
              <w:pStyle w:val="ARfintablebodyright"/>
            </w:pPr>
            <w:r w:rsidRPr="002029AF">
              <w:t>(10.8)</w:t>
            </w:r>
          </w:p>
        </w:tc>
        <w:tc>
          <w:tcPr>
            <w:tcW w:w="1134" w:type="dxa"/>
            <w:tcBorders>
              <w:top w:val="single" w:sz="4" w:space="0" w:color="A6A6A6"/>
              <w:bottom w:val="single" w:sz="4" w:space="0" w:color="auto"/>
            </w:tcBorders>
            <w:noWrap/>
            <w:hideMark/>
          </w:tcPr>
          <w:p w14:paraId="439108BD" w14:textId="77777777" w:rsidR="00087B91" w:rsidRPr="002029AF" w:rsidRDefault="00087B91" w:rsidP="00860E95">
            <w:pPr>
              <w:pStyle w:val="ARfintablebodyright"/>
            </w:pPr>
            <w:r w:rsidRPr="002029AF">
              <w:t>(13.1)</w:t>
            </w:r>
          </w:p>
        </w:tc>
      </w:tr>
      <w:tr w:rsidR="00087B91" w:rsidRPr="002029AF" w14:paraId="5AF2A361" w14:textId="77777777" w:rsidTr="00860E95">
        <w:tc>
          <w:tcPr>
            <w:tcW w:w="7369" w:type="dxa"/>
            <w:tcBorders>
              <w:top w:val="single" w:sz="4" w:space="0" w:color="auto"/>
              <w:bottom w:val="single" w:sz="4" w:space="0" w:color="A6A6A6"/>
            </w:tcBorders>
            <w:hideMark/>
          </w:tcPr>
          <w:p w14:paraId="2CD1AAC5" w14:textId="77777777" w:rsidR="00087B91" w:rsidRPr="002029AF" w:rsidRDefault="00087B91" w:rsidP="00860E95">
            <w:pPr>
              <w:pStyle w:val="ARfintablebody"/>
            </w:pPr>
          </w:p>
        </w:tc>
        <w:tc>
          <w:tcPr>
            <w:tcW w:w="1134" w:type="dxa"/>
            <w:tcBorders>
              <w:top w:val="single" w:sz="4" w:space="0" w:color="auto"/>
              <w:bottom w:val="single" w:sz="4" w:space="0" w:color="A6A6A6"/>
            </w:tcBorders>
            <w:shd w:val="clear" w:color="auto" w:fill="E7E6E6"/>
            <w:noWrap/>
            <w:hideMark/>
          </w:tcPr>
          <w:p w14:paraId="02910CF4" w14:textId="77777777" w:rsidR="00087B91" w:rsidRPr="002029AF" w:rsidRDefault="00087B91" w:rsidP="00860E95">
            <w:pPr>
              <w:pStyle w:val="ARfintablebodyright"/>
            </w:pPr>
            <w:r w:rsidRPr="002029AF">
              <w:t>487.7</w:t>
            </w:r>
          </w:p>
        </w:tc>
        <w:tc>
          <w:tcPr>
            <w:tcW w:w="1134" w:type="dxa"/>
            <w:tcBorders>
              <w:top w:val="single" w:sz="4" w:space="0" w:color="auto"/>
              <w:bottom w:val="single" w:sz="4" w:space="0" w:color="A6A6A6"/>
            </w:tcBorders>
            <w:noWrap/>
            <w:hideMark/>
          </w:tcPr>
          <w:p w14:paraId="11AAA7C3" w14:textId="77777777" w:rsidR="00087B91" w:rsidRPr="002029AF" w:rsidRDefault="00087B91" w:rsidP="00860E95">
            <w:pPr>
              <w:pStyle w:val="ARfintablebodyright"/>
            </w:pPr>
            <w:r w:rsidRPr="002029AF">
              <w:t>325.0</w:t>
            </w:r>
          </w:p>
        </w:tc>
      </w:tr>
      <w:tr w:rsidR="00087B91" w:rsidRPr="002029AF" w14:paraId="302E392B" w14:textId="77777777" w:rsidTr="00860E95">
        <w:tc>
          <w:tcPr>
            <w:tcW w:w="9637" w:type="dxa"/>
            <w:gridSpan w:val="3"/>
            <w:tcBorders>
              <w:top w:val="single" w:sz="4" w:space="0" w:color="A6A6A6"/>
              <w:bottom w:val="single" w:sz="4" w:space="0" w:color="A6A6A6"/>
            </w:tcBorders>
            <w:hideMark/>
          </w:tcPr>
          <w:p w14:paraId="2972B248" w14:textId="77777777" w:rsidR="00087B91" w:rsidRPr="002029AF" w:rsidRDefault="00087B91" w:rsidP="00860E95">
            <w:pPr>
              <w:pStyle w:val="ARfintablebody"/>
              <w:rPr>
                <w:b/>
                <w:bCs/>
              </w:rPr>
            </w:pPr>
            <w:r w:rsidRPr="002029AF">
              <w:rPr>
                <w:rStyle w:val="Emphasis"/>
              </w:rPr>
              <w:t>Statutory</w:t>
            </w:r>
          </w:p>
        </w:tc>
      </w:tr>
      <w:tr w:rsidR="00087B91" w:rsidRPr="002029AF" w14:paraId="0C3C942D" w14:textId="77777777" w:rsidTr="00860E95">
        <w:tc>
          <w:tcPr>
            <w:tcW w:w="7369" w:type="dxa"/>
            <w:tcBorders>
              <w:top w:val="single" w:sz="4" w:space="0" w:color="A6A6A6"/>
              <w:bottom w:val="single" w:sz="4" w:space="0" w:color="A6A6A6"/>
            </w:tcBorders>
            <w:hideMark/>
          </w:tcPr>
          <w:p w14:paraId="7853E542" w14:textId="0F05A8F5" w:rsidR="00087B91" w:rsidRPr="002029AF" w:rsidRDefault="00087B91" w:rsidP="00860E95">
            <w:pPr>
              <w:pStyle w:val="ARfintablebody"/>
            </w:pPr>
            <w:r w:rsidRPr="002029AF">
              <w:t>Amounts</w:t>
            </w:r>
            <w:r w:rsidR="000A5329" w:rsidRPr="002029AF">
              <w:t xml:space="preserve"> </w:t>
            </w:r>
            <w:r w:rsidRPr="002029AF">
              <w:t>owing</w:t>
            </w:r>
            <w:r w:rsidR="000A5329" w:rsidRPr="002029AF">
              <w:t xml:space="preserve"> </w:t>
            </w:r>
            <w:r w:rsidRPr="002029AF">
              <w:t>from</w:t>
            </w:r>
            <w:r w:rsidR="000A5329" w:rsidRPr="002029AF">
              <w:t xml:space="preserve"> </w:t>
            </w:r>
            <w:r w:rsidRPr="002029AF">
              <w:t>Victorian</w:t>
            </w:r>
            <w:r w:rsidR="000A5329" w:rsidRPr="002029AF">
              <w:t xml:space="preserve"> </w:t>
            </w:r>
            <w:r w:rsidRPr="002029AF">
              <w:t>Government</w:t>
            </w:r>
          </w:p>
        </w:tc>
        <w:tc>
          <w:tcPr>
            <w:tcW w:w="1134" w:type="dxa"/>
            <w:tcBorders>
              <w:top w:val="single" w:sz="4" w:space="0" w:color="A6A6A6"/>
              <w:bottom w:val="single" w:sz="4" w:space="0" w:color="A6A6A6"/>
            </w:tcBorders>
            <w:shd w:val="clear" w:color="auto" w:fill="E7E6E6"/>
            <w:noWrap/>
            <w:hideMark/>
          </w:tcPr>
          <w:p w14:paraId="458F0F7C" w14:textId="77777777" w:rsidR="00087B91" w:rsidRPr="002029AF" w:rsidRDefault="00087B91" w:rsidP="00860E95">
            <w:pPr>
              <w:pStyle w:val="ARfintablebodyright"/>
            </w:pPr>
            <w:r w:rsidRPr="002029AF">
              <w:t>1,310.6</w:t>
            </w:r>
          </w:p>
        </w:tc>
        <w:tc>
          <w:tcPr>
            <w:tcW w:w="1134" w:type="dxa"/>
            <w:tcBorders>
              <w:top w:val="single" w:sz="4" w:space="0" w:color="A6A6A6"/>
              <w:bottom w:val="single" w:sz="4" w:space="0" w:color="A6A6A6"/>
            </w:tcBorders>
            <w:noWrap/>
            <w:hideMark/>
          </w:tcPr>
          <w:p w14:paraId="1C51E14A" w14:textId="77777777" w:rsidR="00087B91" w:rsidRPr="002029AF" w:rsidRDefault="00087B91" w:rsidP="00860E95">
            <w:pPr>
              <w:pStyle w:val="ARfintablebodyright"/>
            </w:pPr>
            <w:r w:rsidRPr="002029AF">
              <w:t>1,133.3</w:t>
            </w:r>
          </w:p>
        </w:tc>
      </w:tr>
      <w:tr w:rsidR="00087B91" w:rsidRPr="002029AF" w14:paraId="1F24B0E8" w14:textId="77777777" w:rsidTr="00860E95">
        <w:tc>
          <w:tcPr>
            <w:tcW w:w="7369" w:type="dxa"/>
            <w:tcBorders>
              <w:top w:val="single" w:sz="4" w:space="0" w:color="A6A6A6"/>
            </w:tcBorders>
            <w:hideMark/>
          </w:tcPr>
          <w:p w14:paraId="0B0D2FFC" w14:textId="2AEE8075" w:rsidR="00087B91" w:rsidRPr="002029AF" w:rsidRDefault="00087B91" w:rsidP="00860E95">
            <w:pPr>
              <w:pStyle w:val="ARfintablebody"/>
            </w:pPr>
            <w:r w:rsidRPr="002029AF">
              <w:t>GST</w:t>
            </w:r>
            <w:r w:rsidR="000A5329" w:rsidRPr="002029AF">
              <w:t xml:space="preserve"> </w:t>
            </w:r>
            <w:r w:rsidRPr="002029AF">
              <w:t>input</w:t>
            </w:r>
            <w:r w:rsidR="000A5329" w:rsidRPr="002029AF">
              <w:t xml:space="preserve"> </w:t>
            </w:r>
            <w:r w:rsidRPr="002029AF">
              <w:t>tax</w:t>
            </w:r>
            <w:r w:rsidR="000A5329" w:rsidRPr="002029AF">
              <w:t xml:space="preserve"> </w:t>
            </w:r>
            <w:r w:rsidRPr="002029AF">
              <w:t>credit</w:t>
            </w:r>
            <w:r w:rsidR="000A5329" w:rsidRPr="002029AF">
              <w:t xml:space="preserve"> </w:t>
            </w:r>
            <w:r w:rsidRPr="002029AF">
              <w:t>recoverable</w:t>
            </w:r>
          </w:p>
        </w:tc>
        <w:tc>
          <w:tcPr>
            <w:tcW w:w="1134" w:type="dxa"/>
            <w:tcBorders>
              <w:top w:val="single" w:sz="4" w:space="0" w:color="A6A6A6"/>
            </w:tcBorders>
            <w:shd w:val="clear" w:color="auto" w:fill="E7E6E6"/>
            <w:noWrap/>
            <w:hideMark/>
          </w:tcPr>
          <w:p w14:paraId="13F67B6A" w14:textId="77777777" w:rsidR="00087B91" w:rsidRPr="002029AF" w:rsidRDefault="00087B91" w:rsidP="00860E95">
            <w:pPr>
              <w:pStyle w:val="ARfintablebodyright"/>
            </w:pPr>
            <w:r w:rsidRPr="002029AF">
              <w:t>62.7</w:t>
            </w:r>
          </w:p>
        </w:tc>
        <w:tc>
          <w:tcPr>
            <w:tcW w:w="1134" w:type="dxa"/>
            <w:tcBorders>
              <w:top w:val="single" w:sz="4" w:space="0" w:color="A6A6A6"/>
            </w:tcBorders>
            <w:noWrap/>
            <w:hideMark/>
          </w:tcPr>
          <w:p w14:paraId="71E95311" w14:textId="77777777" w:rsidR="00087B91" w:rsidRPr="002029AF" w:rsidRDefault="00087B91" w:rsidP="00860E95">
            <w:pPr>
              <w:pStyle w:val="ARfintablebodyright"/>
            </w:pPr>
            <w:r w:rsidRPr="002029AF">
              <w:t>55.8</w:t>
            </w:r>
          </w:p>
        </w:tc>
      </w:tr>
      <w:tr w:rsidR="00087B91" w:rsidRPr="002029AF" w14:paraId="31F3A51E" w14:textId="77777777" w:rsidTr="00860E95">
        <w:tc>
          <w:tcPr>
            <w:tcW w:w="7369" w:type="dxa"/>
            <w:hideMark/>
          </w:tcPr>
          <w:p w14:paraId="5DA38654" w14:textId="77777777" w:rsidR="00087B91" w:rsidRPr="002029AF" w:rsidRDefault="00087B91" w:rsidP="00860E95">
            <w:pPr>
              <w:pStyle w:val="ARfintablebody"/>
            </w:pPr>
          </w:p>
        </w:tc>
        <w:tc>
          <w:tcPr>
            <w:tcW w:w="1134" w:type="dxa"/>
            <w:shd w:val="clear" w:color="auto" w:fill="E7E6E6"/>
            <w:noWrap/>
            <w:hideMark/>
          </w:tcPr>
          <w:p w14:paraId="65651A62" w14:textId="77777777" w:rsidR="00087B91" w:rsidRPr="002029AF" w:rsidRDefault="00087B91" w:rsidP="00860E95">
            <w:pPr>
              <w:pStyle w:val="ARfintablebodyright"/>
            </w:pPr>
            <w:r w:rsidRPr="002029AF">
              <w:t>1,373.3</w:t>
            </w:r>
          </w:p>
        </w:tc>
        <w:tc>
          <w:tcPr>
            <w:tcW w:w="1134" w:type="dxa"/>
            <w:noWrap/>
            <w:hideMark/>
          </w:tcPr>
          <w:p w14:paraId="72B20195" w14:textId="77777777" w:rsidR="00087B91" w:rsidRPr="002029AF" w:rsidRDefault="00087B91" w:rsidP="00860E95">
            <w:pPr>
              <w:pStyle w:val="ARfintablebodyright"/>
            </w:pPr>
            <w:r w:rsidRPr="002029AF">
              <w:t>1,189.1</w:t>
            </w:r>
          </w:p>
        </w:tc>
      </w:tr>
      <w:tr w:rsidR="00087B91" w:rsidRPr="002029AF" w14:paraId="095DE6B1" w14:textId="77777777" w:rsidTr="00860E95">
        <w:tc>
          <w:tcPr>
            <w:tcW w:w="7369" w:type="dxa"/>
            <w:tcBorders>
              <w:bottom w:val="single" w:sz="4" w:space="0" w:color="auto"/>
            </w:tcBorders>
            <w:hideMark/>
          </w:tcPr>
          <w:p w14:paraId="6B1250A1" w14:textId="5247790D" w:rsidR="00087B91" w:rsidRPr="002029AF" w:rsidRDefault="00087B91" w:rsidP="00860E95">
            <w:pPr>
              <w:pStyle w:val="ARfintablebodybold"/>
            </w:pPr>
            <w:r w:rsidRPr="002029AF">
              <w:t>Total</w:t>
            </w:r>
            <w:r w:rsidR="000A5329" w:rsidRPr="002029AF">
              <w:t xml:space="preserve"> </w:t>
            </w:r>
            <w:r w:rsidRPr="002029AF">
              <w:t>current</w:t>
            </w:r>
            <w:r w:rsidR="000A5329" w:rsidRPr="002029AF">
              <w:t xml:space="preserve"> </w:t>
            </w:r>
            <w:r w:rsidRPr="002029AF">
              <w:t>receivables</w:t>
            </w:r>
          </w:p>
        </w:tc>
        <w:tc>
          <w:tcPr>
            <w:tcW w:w="1134" w:type="dxa"/>
            <w:tcBorders>
              <w:bottom w:val="single" w:sz="4" w:space="0" w:color="auto"/>
            </w:tcBorders>
            <w:shd w:val="clear" w:color="auto" w:fill="E7E6E6"/>
            <w:noWrap/>
            <w:hideMark/>
          </w:tcPr>
          <w:p w14:paraId="38AC1D6F" w14:textId="77777777" w:rsidR="00087B91" w:rsidRPr="002029AF" w:rsidRDefault="00087B91" w:rsidP="00860E95">
            <w:pPr>
              <w:pStyle w:val="ARfintablebodyrightbold"/>
            </w:pPr>
            <w:r w:rsidRPr="002029AF">
              <w:t>1,861.0</w:t>
            </w:r>
          </w:p>
        </w:tc>
        <w:tc>
          <w:tcPr>
            <w:tcW w:w="1134" w:type="dxa"/>
            <w:tcBorders>
              <w:bottom w:val="single" w:sz="4" w:space="0" w:color="auto"/>
            </w:tcBorders>
            <w:noWrap/>
            <w:hideMark/>
          </w:tcPr>
          <w:p w14:paraId="3DF2095C" w14:textId="77777777" w:rsidR="00087B91" w:rsidRPr="002029AF" w:rsidRDefault="00087B91" w:rsidP="00860E95">
            <w:pPr>
              <w:pStyle w:val="ARfintablebodyrightbold"/>
            </w:pPr>
            <w:r w:rsidRPr="002029AF">
              <w:t>1,514.1</w:t>
            </w:r>
          </w:p>
        </w:tc>
      </w:tr>
      <w:tr w:rsidR="00087B91" w:rsidRPr="002029AF" w14:paraId="123FB0C7" w14:textId="77777777" w:rsidTr="00860E95">
        <w:tc>
          <w:tcPr>
            <w:tcW w:w="9637" w:type="dxa"/>
            <w:gridSpan w:val="3"/>
            <w:tcBorders>
              <w:top w:val="single" w:sz="4" w:space="0" w:color="auto"/>
              <w:bottom w:val="single" w:sz="4" w:space="0" w:color="A6A6A6"/>
            </w:tcBorders>
            <w:hideMark/>
          </w:tcPr>
          <w:p w14:paraId="7267C6BA" w14:textId="479F3E96" w:rsidR="00087B91" w:rsidRPr="002029AF" w:rsidRDefault="00087B91" w:rsidP="00860E95">
            <w:pPr>
              <w:pStyle w:val="ARfintablebodybold"/>
            </w:pPr>
            <w:r w:rsidRPr="002029AF">
              <w:t>Non-current</w:t>
            </w:r>
            <w:r w:rsidR="000A5329" w:rsidRPr="002029AF">
              <w:t xml:space="preserve"> </w:t>
            </w:r>
            <w:r w:rsidRPr="002029AF">
              <w:t>receivables</w:t>
            </w:r>
          </w:p>
        </w:tc>
      </w:tr>
      <w:tr w:rsidR="00087B91" w:rsidRPr="002029AF" w14:paraId="752037A5" w14:textId="77777777" w:rsidTr="00860E95">
        <w:tc>
          <w:tcPr>
            <w:tcW w:w="9637" w:type="dxa"/>
            <w:gridSpan w:val="3"/>
            <w:tcBorders>
              <w:top w:val="single" w:sz="4" w:space="0" w:color="A6A6A6"/>
              <w:bottom w:val="single" w:sz="4" w:space="0" w:color="A6A6A6"/>
            </w:tcBorders>
            <w:hideMark/>
          </w:tcPr>
          <w:p w14:paraId="306D88A7" w14:textId="77777777" w:rsidR="00087B91" w:rsidRPr="002029AF" w:rsidRDefault="00087B91" w:rsidP="00860E95">
            <w:pPr>
              <w:pStyle w:val="ARfintablebody"/>
              <w:rPr>
                <w:b/>
                <w:bCs/>
              </w:rPr>
            </w:pPr>
            <w:r w:rsidRPr="002029AF">
              <w:rPr>
                <w:rStyle w:val="Emphasis"/>
              </w:rPr>
              <w:t>Statutory</w:t>
            </w:r>
          </w:p>
        </w:tc>
      </w:tr>
      <w:tr w:rsidR="00087B91" w:rsidRPr="002029AF" w14:paraId="5907CE91" w14:textId="77777777" w:rsidTr="00860E95">
        <w:tc>
          <w:tcPr>
            <w:tcW w:w="7369" w:type="dxa"/>
            <w:tcBorders>
              <w:top w:val="single" w:sz="4" w:space="0" w:color="A6A6A6"/>
            </w:tcBorders>
            <w:hideMark/>
          </w:tcPr>
          <w:p w14:paraId="7003B1FE" w14:textId="14A0EA0C" w:rsidR="00087B91" w:rsidRPr="002029AF" w:rsidRDefault="00087B91" w:rsidP="00860E95">
            <w:pPr>
              <w:pStyle w:val="ARfintablebody"/>
            </w:pPr>
            <w:r w:rsidRPr="002029AF">
              <w:t>Amounts</w:t>
            </w:r>
            <w:r w:rsidR="000A5329" w:rsidRPr="002029AF">
              <w:t xml:space="preserve"> </w:t>
            </w:r>
            <w:r w:rsidRPr="002029AF">
              <w:t>owing</w:t>
            </w:r>
            <w:r w:rsidR="000A5329" w:rsidRPr="002029AF">
              <w:t xml:space="preserve"> </w:t>
            </w:r>
            <w:r w:rsidRPr="002029AF">
              <w:t>from</w:t>
            </w:r>
            <w:r w:rsidR="000A5329" w:rsidRPr="002029AF">
              <w:t xml:space="preserve"> </w:t>
            </w:r>
            <w:r w:rsidRPr="002029AF">
              <w:t>Victorian</w:t>
            </w:r>
            <w:r w:rsidR="000A5329" w:rsidRPr="002029AF">
              <w:t xml:space="preserve"> </w:t>
            </w:r>
            <w:r w:rsidRPr="002029AF">
              <w:t>Government</w:t>
            </w:r>
          </w:p>
        </w:tc>
        <w:tc>
          <w:tcPr>
            <w:tcW w:w="1134" w:type="dxa"/>
            <w:tcBorders>
              <w:top w:val="single" w:sz="4" w:space="0" w:color="A6A6A6"/>
            </w:tcBorders>
            <w:shd w:val="clear" w:color="auto" w:fill="E7E6E6"/>
            <w:noWrap/>
            <w:hideMark/>
          </w:tcPr>
          <w:p w14:paraId="58D0639E" w14:textId="77777777" w:rsidR="00087B91" w:rsidRPr="002029AF" w:rsidRDefault="00087B91" w:rsidP="00860E95">
            <w:pPr>
              <w:pStyle w:val="ARfintablebodyright"/>
            </w:pPr>
            <w:r w:rsidRPr="002029AF">
              <w:t>2,383.6</w:t>
            </w:r>
          </w:p>
        </w:tc>
        <w:tc>
          <w:tcPr>
            <w:tcW w:w="1134" w:type="dxa"/>
            <w:tcBorders>
              <w:top w:val="single" w:sz="4" w:space="0" w:color="A6A6A6"/>
            </w:tcBorders>
            <w:noWrap/>
            <w:hideMark/>
          </w:tcPr>
          <w:p w14:paraId="4D8A9876" w14:textId="77777777" w:rsidR="00087B91" w:rsidRPr="002029AF" w:rsidRDefault="00087B91" w:rsidP="00860E95">
            <w:pPr>
              <w:pStyle w:val="ARfintablebodyright"/>
            </w:pPr>
            <w:r w:rsidRPr="002029AF">
              <w:t>1,855.7</w:t>
            </w:r>
          </w:p>
        </w:tc>
      </w:tr>
      <w:tr w:rsidR="00087B91" w:rsidRPr="002029AF" w14:paraId="218D18CF" w14:textId="77777777" w:rsidTr="00860E95">
        <w:tc>
          <w:tcPr>
            <w:tcW w:w="7369" w:type="dxa"/>
            <w:hideMark/>
          </w:tcPr>
          <w:p w14:paraId="1B8C7981" w14:textId="77777777" w:rsidR="00087B91" w:rsidRPr="002029AF" w:rsidRDefault="00087B91" w:rsidP="00860E95">
            <w:pPr>
              <w:pStyle w:val="ARfintablebody"/>
              <w:rPr>
                <w:b/>
                <w:bCs/>
              </w:rPr>
            </w:pPr>
          </w:p>
        </w:tc>
        <w:tc>
          <w:tcPr>
            <w:tcW w:w="1134" w:type="dxa"/>
            <w:shd w:val="clear" w:color="auto" w:fill="E7E6E6"/>
            <w:noWrap/>
            <w:hideMark/>
          </w:tcPr>
          <w:p w14:paraId="771E01C2" w14:textId="77777777" w:rsidR="00087B91" w:rsidRPr="002029AF" w:rsidRDefault="00087B91" w:rsidP="00860E95">
            <w:pPr>
              <w:pStyle w:val="ARfintablebodyright"/>
            </w:pPr>
            <w:r w:rsidRPr="002029AF">
              <w:t>2,383.6</w:t>
            </w:r>
          </w:p>
        </w:tc>
        <w:tc>
          <w:tcPr>
            <w:tcW w:w="1134" w:type="dxa"/>
            <w:noWrap/>
            <w:hideMark/>
          </w:tcPr>
          <w:p w14:paraId="55365CA5" w14:textId="77777777" w:rsidR="00087B91" w:rsidRPr="002029AF" w:rsidRDefault="00087B91" w:rsidP="00860E95">
            <w:pPr>
              <w:pStyle w:val="ARfintablebodyright"/>
            </w:pPr>
            <w:r w:rsidRPr="002029AF">
              <w:t>1,855.7</w:t>
            </w:r>
          </w:p>
        </w:tc>
      </w:tr>
      <w:tr w:rsidR="00087B91" w:rsidRPr="002029AF" w14:paraId="0233963A" w14:textId="77777777" w:rsidTr="00860E95">
        <w:tc>
          <w:tcPr>
            <w:tcW w:w="7369" w:type="dxa"/>
            <w:hideMark/>
          </w:tcPr>
          <w:p w14:paraId="3CFD8222" w14:textId="5528A33B" w:rsidR="00087B91" w:rsidRPr="002029AF" w:rsidRDefault="00087B91" w:rsidP="00860E95">
            <w:pPr>
              <w:pStyle w:val="ARfintablebodybold"/>
            </w:pPr>
            <w:r w:rsidRPr="002029AF">
              <w:t>Total</w:t>
            </w:r>
            <w:r w:rsidR="000A5329" w:rsidRPr="002029AF">
              <w:t xml:space="preserve"> </w:t>
            </w:r>
            <w:r w:rsidRPr="002029AF">
              <w:t>non-current</w:t>
            </w:r>
            <w:r w:rsidR="000A5329" w:rsidRPr="002029AF">
              <w:t xml:space="preserve"> </w:t>
            </w:r>
            <w:r w:rsidRPr="002029AF">
              <w:t>receivables</w:t>
            </w:r>
          </w:p>
        </w:tc>
        <w:tc>
          <w:tcPr>
            <w:tcW w:w="1134" w:type="dxa"/>
            <w:shd w:val="clear" w:color="auto" w:fill="E7E6E6"/>
            <w:noWrap/>
            <w:hideMark/>
          </w:tcPr>
          <w:p w14:paraId="64763062" w14:textId="77777777" w:rsidR="00087B91" w:rsidRPr="002029AF" w:rsidRDefault="00087B91" w:rsidP="00860E95">
            <w:pPr>
              <w:pStyle w:val="ARfintablebodyrightbold"/>
            </w:pPr>
            <w:r w:rsidRPr="002029AF">
              <w:t>2,383.6</w:t>
            </w:r>
          </w:p>
        </w:tc>
        <w:tc>
          <w:tcPr>
            <w:tcW w:w="1134" w:type="dxa"/>
            <w:noWrap/>
            <w:hideMark/>
          </w:tcPr>
          <w:p w14:paraId="252B1E3B" w14:textId="77777777" w:rsidR="00087B91" w:rsidRPr="002029AF" w:rsidRDefault="00087B91" w:rsidP="00860E95">
            <w:pPr>
              <w:pStyle w:val="ARfintablebodyrightbold"/>
            </w:pPr>
            <w:r w:rsidRPr="002029AF">
              <w:t>1,855.7</w:t>
            </w:r>
          </w:p>
        </w:tc>
      </w:tr>
      <w:tr w:rsidR="00087B91" w:rsidRPr="002029AF" w14:paraId="70B6A9FA" w14:textId="77777777" w:rsidTr="00860E95">
        <w:tc>
          <w:tcPr>
            <w:tcW w:w="7369" w:type="dxa"/>
            <w:hideMark/>
          </w:tcPr>
          <w:p w14:paraId="1016EBEA" w14:textId="2574CBFB" w:rsidR="00087B91" w:rsidRPr="002029AF" w:rsidRDefault="00087B91" w:rsidP="00860E95">
            <w:pPr>
              <w:pStyle w:val="ARfintablebodybold"/>
            </w:pPr>
            <w:r w:rsidRPr="002029AF">
              <w:t>Total</w:t>
            </w:r>
            <w:r w:rsidR="000A5329" w:rsidRPr="002029AF">
              <w:t xml:space="preserve"> </w:t>
            </w:r>
            <w:r w:rsidRPr="002029AF">
              <w:t>receivables</w:t>
            </w:r>
          </w:p>
        </w:tc>
        <w:tc>
          <w:tcPr>
            <w:tcW w:w="1134" w:type="dxa"/>
            <w:shd w:val="clear" w:color="auto" w:fill="E7E6E6"/>
            <w:noWrap/>
            <w:hideMark/>
          </w:tcPr>
          <w:p w14:paraId="5A65365E" w14:textId="77777777" w:rsidR="00087B91" w:rsidRPr="002029AF" w:rsidRDefault="00087B91" w:rsidP="00860E95">
            <w:pPr>
              <w:pStyle w:val="ARfintablebodyrightbold"/>
            </w:pPr>
            <w:r w:rsidRPr="002029AF">
              <w:t>4,244.6</w:t>
            </w:r>
          </w:p>
        </w:tc>
        <w:tc>
          <w:tcPr>
            <w:tcW w:w="1134" w:type="dxa"/>
            <w:noWrap/>
            <w:hideMark/>
          </w:tcPr>
          <w:p w14:paraId="77E39421" w14:textId="77777777" w:rsidR="00087B91" w:rsidRPr="002029AF" w:rsidRDefault="00087B91" w:rsidP="00860E95">
            <w:pPr>
              <w:pStyle w:val="ARfintablebodyrightbold"/>
            </w:pPr>
            <w:r w:rsidRPr="002029AF">
              <w:t>3,369.8</w:t>
            </w:r>
          </w:p>
        </w:tc>
      </w:tr>
    </w:tbl>
    <w:p w14:paraId="2AA3BC8E" w14:textId="752CE3FB" w:rsidR="00087B91" w:rsidRPr="002029AF" w:rsidRDefault="00087B91" w:rsidP="00087B91">
      <w:pPr>
        <w:pStyle w:val="ARfinbodyaftertable"/>
      </w:pPr>
      <w:r w:rsidRPr="002029AF">
        <w:rPr>
          <w:rStyle w:val="Strong"/>
        </w:rPr>
        <w:t>Contractual</w:t>
      </w:r>
      <w:r w:rsidR="000A5329" w:rsidRPr="002029AF">
        <w:rPr>
          <w:rStyle w:val="Strong"/>
        </w:rPr>
        <w:t xml:space="preserve"> </w:t>
      </w:r>
      <w:r w:rsidRPr="002029AF">
        <w:rPr>
          <w:rStyle w:val="Strong"/>
        </w:rPr>
        <w:t>receivables</w:t>
      </w:r>
      <w:r w:rsidR="000A5329" w:rsidRPr="002029AF">
        <w:t xml:space="preserve"> </w:t>
      </w:r>
      <w:r w:rsidRPr="002029AF">
        <w:t>are</w:t>
      </w:r>
      <w:r w:rsidR="000A5329" w:rsidRPr="002029AF">
        <w:t xml:space="preserve"> </w:t>
      </w:r>
      <w:r w:rsidRPr="002029AF">
        <w:t>classified</w:t>
      </w:r>
      <w:r w:rsidR="000A5329" w:rsidRPr="002029AF">
        <w:t xml:space="preserve"> </w:t>
      </w:r>
      <w:r w:rsidRPr="002029AF">
        <w:t>as</w:t>
      </w:r>
      <w:r w:rsidR="000A5329" w:rsidRPr="002029AF">
        <w:t xml:space="preserve"> </w:t>
      </w:r>
      <w:r w:rsidRPr="002029AF">
        <w:t>financial</w:t>
      </w:r>
      <w:r w:rsidR="000A5329" w:rsidRPr="002029AF">
        <w:t xml:space="preserve"> </w:t>
      </w:r>
      <w:r w:rsidRPr="002029AF">
        <w:t>instruments</w:t>
      </w:r>
      <w:r w:rsidR="000A5329" w:rsidRPr="002029AF">
        <w:t xml:space="preserve"> </w:t>
      </w:r>
      <w:r w:rsidRPr="002029AF">
        <w:t>and</w:t>
      </w:r>
      <w:r w:rsidR="000A5329" w:rsidRPr="002029AF">
        <w:t xml:space="preserve"> </w:t>
      </w:r>
      <w:r w:rsidRPr="002029AF">
        <w:t>categorised</w:t>
      </w:r>
      <w:r w:rsidR="000A5329" w:rsidRPr="002029AF">
        <w:t xml:space="preserve"> </w:t>
      </w:r>
      <w:r w:rsidRPr="002029AF">
        <w:t>as</w:t>
      </w:r>
      <w:r w:rsidR="000A5329" w:rsidRPr="002029AF">
        <w:t xml:space="preserve"> </w:t>
      </w:r>
      <w:r w:rsidRPr="002029AF">
        <w:t>‘financial</w:t>
      </w:r>
      <w:r w:rsidR="000A5329" w:rsidRPr="002029AF">
        <w:t xml:space="preserve"> </w:t>
      </w:r>
      <w:r w:rsidRPr="002029AF">
        <w:t>assets</w:t>
      </w:r>
      <w:r w:rsidR="000A5329" w:rsidRPr="002029AF">
        <w:t xml:space="preserve"> </w:t>
      </w:r>
      <w:r w:rsidRPr="002029AF">
        <w:t>at</w:t>
      </w:r>
      <w:r w:rsidR="000A5329" w:rsidRPr="002029AF">
        <w:t xml:space="preserve"> </w:t>
      </w:r>
      <w:r w:rsidRPr="002029AF">
        <w:t>amortised</w:t>
      </w:r>
      <w:r w:rsidR="000A5329" w:rsidRPr="002029AF">
        <w:t xml:space="preserve"> </w:t>
      </w:r>
      <w:r w:rsidRPr="002029AF">
        <w:t>costs’.</w:t>
      </w:r>
      <w:r w:rsidR="000A5329" w:rsidRPr="002029AF">
        <w:t xml:space="preserve"> </w:t>
      </w:r>
      <w:r w:rsidRPr="002029AF">
        <w:t>They</w:t>
      </w:r>
      <w:r w:rsidR="000A5329" w:rsidRPr="002029AF">
        <w:t xml:space="preserve"> </w:t>
      </w:r>
      <w:r w:rsidRPr="002029AF">
        <w:t>are</w:t>
      </w:r>
      <w:r w:rsidR="000A5329" w:rsidRPr="002029AF">
        <w:t xml:space="preserve"> </w:t>
      </w:r>
      <w:r w:rsidRPr="002029AF">
        <w:t>initially</w:t>
      </w:r>
      <w:r w:rsidR="000A5329" w:rsidRPr="002029AF">
        <w:t xml:space="preserve"> </w:t>
      </w:r>
      <w:r w:rsidRPr="002029AF">
        <w:t>recognised</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r w:rsidR="000A5329" w:rsidRPr="002029AF">
        <w:t xml:space="preserve"> </w:t>
      </w:r>
      <w:r w:rsidRPr="002029AF">
        <w:t>plus</w:t>
      </w:r>
      <w:r w:rsidR="000A5329" w:rsidRPr="002029AF">
        <w:t xml:space="preserve"> </w:t>
      </w:r>
      <w:r w:rsidRPr="002029AF">
        <w:t>any</w:t>
      </w:r>
      <w:r w:rsidR="000A5329" w:rsidRPr="002029AF">
        <w:t xml:space="preserve"> </w:t>
      </w:r>
      <w:r w:rsidRPr="002029AF">
        <w:t>directly</w:t>
      </w:r>
      <w:r w:rsidR="000A5329" w:rsidRPr="002029AF">
        <w:t xml:space="preserve"> </w:t>
      </w:r>
      <w:r w:rsidRPr="002029AF">
        <w:t>attributable</w:t>
      </w:r>
      <w:r w:rsidR="000A5329" w:rsidRPr="002029AF">
        <w:t xml:space="preserve"> </w:t>
      </w:r>
      <w:r w:rsidRPr="002029AF">
        <w:t>transaction</w:t>
      </w:r>
      <w:r w:rsidR="000A5329" w:rsidRPr="002029AF">
        <w:t xml:space="preserve"> </w:t>
      </w:r>
      <w:r w:rsidRPr="002029AF">
        <w:t>costs.</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holds</w:t>
      </w:r>
      <w:r w:rsidR="000A5329" w:rsidRPr="002029AF">
        <w:t xml:space="preserve"> </w:t>
      </w:r>
      <w:r w:rsidRPr="002029AF">
        <w:t>the</w:t>
      </w:r>
      <w:r w:rsidR="000A5329" w:rsidRPr="002029AF">
        <w:t xml:space="preserve"> </w:t>
      </w:r>
      <w:r w:rsidRPr="002029AF">
        <w:t>contractual</w:t>
      </w:r>
      <w:r w:rsidR="000A5329" w:rsidRPr="002029AF">
        <w:t xml:space="preserve"> </w:t>
      </w:r>
      <w:r w:rsidRPr="002029AF">
        <w:t>receivables</w:t>
      </w:r>
      <w:r w:rsidR="000A5329" w:rsidRPr="002029AF">
        <w:t xml:space="preserve"> </w:t>
      </w:r>
      <w:r w:rsidRPr="002029AF">
        <w:t>with</w:t>
      </w:r>
      <w:r w:rsidR="000A5329" w:rsidRPr="002029AF">
        <w:t xml:space="preserve"> </w:t>
      </w:r>
      <w:r w:rsidRPr="002029AF">
        <w:t>the</w:t>
      </w:r>
      <w:r w:rsidR="000A5329" w:rsidRPr="002029AF">
        <w:t xml:space="preserve"> </w:t>
      </w:r>
      <w:r w:rsidRPr="002029AF">
        <w:t>objective</w:t>
      </w:r>
      <w:r w:rsidR="000A5329" w:rsidRPr="002029AF">
        <w:t xml:space="preserve"> </w:t>
      </w:r>
      <w:r w:rsidRPr="002029AF">
        <w:t>to</w:t>
      </w:r>
      <w:r w:rsidR="000A5329" w:rsidRPr="002029AF">
        <w:t xml:space="preserve"> </w:t>
      </w:r>
      <w:r w:rsidRPr="002029AF">
        <w:t>collect</w:t>
      </w:r>
      <w:r w:rsidR="000A5329" w:rsidRPr="002029AF">
        <w:t xml:space="preserve"> </w:t>
      </w:r>
      <w:r w:rsidRPr="002029AF">
        <w:t>the</w:t>
      </w:r>
      <w:r w:rsidR="000A5329" w:rsidRPr="002029AF">
        <w:t xml:space="preserve"> </w:t>
      </w:r>
      <w:r w:rsidRPr="002029AF">
        <w:t>contractual</w:t>
      </w:r>
      <w:r w:rsidR="000A5329" w:rsidRPr="002029AF">
        <w:t xml:space="preserve"> </w:t>
      </w:r>
      <w:r w:rsidRPr="002029AF">
        <w:t>cash</w:t>
      </w:r>
      <w:r w:rsidR="000A5329" w:rsidRPr="002029AF">
        <w:t xml:space="preserve"> </w:t>
      </w:r>
      <w:r w:rsidRPr="002029AF">
        <w:t>flows</w:t>
      </w:r>
      <w:r w:rsidR="000A5329" w:rsidRPr="002029AF">
        <w:t xml:space="preserve"> </w:t>
      </w:r>
      <w:r w:rsidRPr="002029AF">
        <w:t>and</w:t>
      </w:r>
      <w:r w:rsidR="000A5329" w:rsidRPr="002029AF">
        <w:t xml:space="preserve"> </w:t>
      </w:r>
      <w:r w:rsidRPr="002029AF">
        <w:t>therefore</w:t>
      </w:r>
      <w:r w:rsidR="000A5329" w:rsidRPr="002029AF">
        <w:t xml:space="preserve"> </w:t>
      </w:r>
      <w:r w:rsidRPr="002029AF">
        <w:t>subsequent</w:t>
      </w:r>
      <w:r w:rsidR="000A5329" w:rsidRPr="002029AF">
        <w:t xml:space="preserve"> </w:t>
      </w:r>
      <w:r w:rsidRPr="002029AF">
        <w:t>to</w:t>
      </w:r>
      <w:r w:rsidR="000A5329" w:rsidRPr="002029AF">
        <w:t xml:space="preserve"> </w:t>
      </w:r>
      <w:r w:rsidRPr="002029AF">
        <w:t>initial</w:t>
      </w:r>
      <w:r w:rsidR="000A5329" w:rsidRPr="002029AF">
        <w:t xml:space="preserve"> </w:t>
      </w:r>
      <w:r w:rsidRPr="002029AF">
        <w:t>measurement</w:t>
      </w:r>
      <w:r w:rsidR="000A5329" w:rsidRPr="002029AF">
        <w:t xml:space="preserve"> </w:t>
      </w:r>
      <w:r w:rsidRPr="002029AF">
        <w:t>they</w:t>
      </w:r>
      <w:r w:rsidR="000A5329" w:rsidRPr="002029AF">
        <w:t xml:space="preserve"> </w:t>
      </w:r>
      <w:r w:rsidRPr="002029AF">
        <w:t>are</w:t>
      </w:r>
      <w:r w:rsidR="000A5329" w:rsidRPr="002029AF">
        <w:t xml:space="preserve"> </w:t>
      </w:r>
      <w:r w:rsidRPr="002029AF">
        <w:t>measured</w:t>
      </w:r>
      <w:r w:rsidR="000A5329" w:rsidRPr="002029AF">
        <w:t xml:space="preserve"> </w:t>
      </w:r>
      <w:r w:rsidRPr="002029AF">
        <w:t>at</w:t>
      </w:r>
      <w:r w:rsidR="000A5329" w:rsidRPr="002029AF">
        <w:t xml:space="preserve"> </w:t>
      </w:r>
      <w:r w:rsidRPr="002029AF">
        <w:t>amortised</w:t>
      </w:r>
      <w:r w:rsidR="000A5329" w:rsidRPr="002029AF">
        <w:t xml:space="preserve"> </w:t>
      </w:r>
      <w:r w:rsidRPr="002029AF">
        <w:t>cost</w:t>
      </w:r>
      <w:r w:rsidR="000A5329" w:rsidRPr="002029AF">
        <w:t xml:space="preserve"> </w:t>
      </w:r>
      <w:r w:rsidRPr="002029AF">
        <w:t>using</w:t>
      </w:r>
      <w:r w:rsidR="000A5329" w:rsidRPr="002029AF">
        <w:t xml:space="preserve"> </w:t>
      </w:r>
      <w:r w:rsidRPr="002029AF">
        <w:t>the</w:t>
      </w:r>
      <w:r w:rsidR="000A5329" w:rsidRPr="002029AF">
        <w:t xml:space="preserve"> </w:t>
      </w:r>
      <w:r w:rsidRPr="002029AF">
        <w:t>effective</w:t>
      </w:r>
      <w:r w:rsidR="000A5329" w:rsidRPr="002029AF">
        <w:t xml:space="preserve"> </w:t>
      </w:r>
      <w:r w:rsidRPr="002029AF">
        <w:t>interest</w:t>
      </w:r>
      <w:r w:rsidR="000A5329" w:rsidRPr="002029AF">
        <w:t xml:space="preserve"> </w:t>
      </w:r>
      <w:r w:rsidRPr="002029AF">
        <w:t>method,</w:t>
      </w:r>
      <w:r w:rsidR="000A5329" w:rsidRPr="002029AF">
        <w:t xml:space="preserve"> </w:t>
      </w:r>
      <w:r w:rsidRPr="002029AF">
        <w:t>less</w:t>
      </w:r>
      <w:r w:rsidR="000A5329" w:rsidRPr="002029AF">
        <w:t xml:space="preserve"> </w:t>
      </w:r>
      <w:r w:rsidRPr="002029AF">
        <w:t>any</w:t>
      </w:r>
      <w:r w:rsidR="000A5329" w:rsidRPr="002029AF">
        <w:t xml:space="preserve"> </w:t>
      </w:r>
      <w:r w:rsidRPr="002029AF">
        <w:t>impairment.</w:t>
      </w:r>
    </w:p>
    <w:p w14:paraId="66855A3E" w14:textId="4AAB4759" w:rsidR="00087B91" w:rsidRPr="002029AF" w:rsidRDefault="00087B91" w:rsidP="00087B91">
      <w:pPr>
        <w:pStyle w:val="ARfinbody"/>
      </w:pPr>
      <w:r w:rsidRPr="002029AF">
        <w:rPr>
          <w:rStyle w:val="Strong"/>
        </w:rPr>
        <w:t>Statutory</w:t>
      </w:r>
      <w:r w:rsidR="000A5329" w:rsidRPr="002029AF">
        <w:rPr>
          <w:rStyle w:val="Strong"/>
        </w:rPr>
        <w:t xml:space="preserve"> </w:t>
      </w:r>
      <w:r w:rsidRPr="002029AF">
        <w:rPr>
          <w:rStyle w:val="Strong"/>
        </w:rPr>
        <w:t>receivables</w:t>
      </w:r>
      <w:r w:rsidR="000A5329" w:rsidRPr="002029AF">
        <w:t xml:space="preserve"> </w:t>
      </w:r>
      <w:r w:rsidRPr="002029AF">
        <w:t>do</w:t>
      </w:r>
      <w:r w:rsidR="000A5329" w:rsidRPr="002029AF">
        <w:t xml:space="preserve"> </w:t>
      </w:r>
      <w:r w:rsidRPr="002029AF">
        <w:t>not</w:t>
      </w:r>
      <w:r w:rsidR="000A5329" w:rsidRPr="002029AF">
        <w:t xml:space="preserve"> </w:t>
      </w:r>
      <w:r w:rsidRPr="002029AF">
        <w:t>arise</w:t>
      </w:r>
      <w:r w:rsidR="000A5329" w:rsidRPr="002029AF">
        <w:t xml:space="preserve"> </w:t>
      </w:r>
      <w:r w:rsidRPr="002029AF">
        <w:t>from</w:t>
      </w:r>
      <w:r w:rsidR="000A5329" w:rsidRPr="002029AF">
        <w:t xml:space="preserve"> </w:t>
      </w:r>
      <w:r w:rsidRPr="002029AF">
        <w:t>contracts</w:t>
      </w:r>
      <w:r w:rsidR="000A5329" w:rsidRPr="002029AF">
        <w:t xml:space="preserve"> </w:t>
      </w:r>
      <w:r w:rsidRPr="002029AF">
        <w:t>and</w:t>
      </w:r>
      <w:r w:rsidR="000A5329" w:rsidRPr="002029AF">
        <w:t xml:space="preserve"> </w:t>
      </w:r>
      <w:r w:rsidRPr="002029AF">
        <w:t>are</w:t>
      </w:r>
      <w:r w:rsidR="000A5329" w:rsidRPr="002029AF">
        <w:t xml:space="preserve"> </w:t>
      </w:r>
      <w:r w:rsidRPr="002029AF">
        <w:t>recognised</w:t>
      </w:r>
      <w:r w:rsidR="000A5329" w:rsidRPr="002029AF">
        <w:t xml:space="preserve"> </w:t>
      </w:r>
      <w:r w:rsidRPr="002029AF">
        <w:t>and</w:t>
      </w:r>
      <w:r w:rsidR="000A5329" w:rsidRPr="002029AF">
        <w:t xml:space="preserve"> </w:t>
      </w:r>
      <w:r w:rsidRPr="002029AF">
        <w:t>measured</w:t>
      </w:r>
      <w:r w:rsidR="000A5329" w:rsidRPr="002029AF">
        <w:t xml:space="preserve"> </w:t>
      </w:r>
      <w:r w:rsidRPr="002029AF">
        <w:t>similarly</w:t>
      </w:r>
      <w:r w:rsidR="000A5329" w:rsidRPr="002029AF">
        <w:t xml:space="preserve"> </w:t>
      </w:r>
      <w:r w:rsidRPr="002029AF">
        <w:t>to</w:t>
      </w:r>
      <w:r w:rsidR="000A5329" w:rsidRPr="002029AF">
        <w:t xml:space="preserve"> </w:t>
      </w:r>
      <w:r w:rsidRPr="002029AF">
        <w:t>contractual</w:t>
      </w:r>
      <w:r w:rsidR="000A5329" w:rsidRPr="002029AF">
        <w:t xml:space="preserve"> </w:t>
      </w:r>
      <w:r w:rsidRPr="002029AF">
        <w:t>receivables</w:t>
      </w:r>
      <w:r w:rsidR="000A5329" w:rsidRPr="002029AF">
        <w:t xml:space="preserve"> </w:t>
      </w:r>
      <w:r w:rsidRPr="002029AF">
        <w:t>(except</w:t>
      </w:r>
      <w:r w:rsidR="000A5329" w:rsidRPr="002029AF">
        <w:t xml:space="preserve"> </w:t>
      </w:r>
      <w:r w:rsidRPr="002029AF">
        <w:t>for</w:t>
      </w:r>
      <w:r w:rsidR="007920F7" w:rsidRPr="002029AF">
        <w:t> </w:t>
      </w:r>
      <w:r w:rsidRPr="002029AF">
        <w:t>impairment</w:t>
      </w:r>
      <w:r w:rsidR="006326CC" w:rsidRPr="002029AF">
        <w:t>) but</w:t>
      </w:r>
      <w:r w:rsidR="000A5329" w:rsidRPr="002029AF">
        <w:t xml:space="preserve"> </w:t>
      </w:r>
      <w:r w:rsidRPr="002029AF">
        <w:t>are</w:t>
      </w:r>
      <w:r w:rsidR="000A5329" w:rsidRPr="002029AF">
        <w:t xml:space="preserve"> </w:t>
      </w:r>
      <w:r w:rsidRPr="002029AF">
        <w:t>not</w:t>
      </w:r>
      <w:r w:rsidR="000A5329" w:rsidRPr="002029AF">
        <w:t xml:space="preserve"> </w:t>
      </w:r>
      <w:r w:rsidRPr="002029AF">
        <w:t>classified</w:t>
      </w:r>
      <w:r w:rsidR="000A5329" w:rsidRPr="002029AF">
        <w:t xml:space="preserve"> </w:t>
      </w:r>
      <w:r w:rsidRPr="002029AF">
        <w:t>as</w:t>
      </w:r>
      <w:r w:rsidR="000A5329" w:rsidRPr="002029AF">
        <w:t xml:space="preserve"> </w:t>
      </w:r>
      <w:r w:rsidRPr="002029AF">
        <w:t>financial</w:t>
      </w:r>
      <w:r w:rsidR="000A5329" w:rsidRPr="002029AF">
        <w:t xml:space="preserve"> </w:t>
      </w:r>
      <w:r w:rsidRPr="002029AF">
        <w:t>instruments</w:t>
      </w:r>
      <w:r w:rsidR="000A5329" w:rsidRPr="002029AF">
        <w:t xml:space="preserve"> </w:t>
      </w:r>
      <w:r w:rsidRPr="002029AF">
        <w:t>for</w:t>
      </w:r>
      <w:r w:rsidR="000A5329" w:rsidRPr="002029AF">
        <w:t xml:space="preserve"> </w:t>
      </w:r>
      <w:r w:rsidRPr="002029AF">
        <w:t>disclosure</w:t>
      </w:r>
      <w:r w:rsidR="000A5329" w:rsidRPr="002029AF">
        <w:t xml:space="preserve"> </w:t>
      </w:r>
      <w:r w:rsidRPr="002029AF">
        <w:t>purposes.</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applies</w:t>
      </w:r>
      <w:r w:rsidR="000A5329" w:rsidRPr="002029AF">
        <w:t xml:space="preserve"> </w:t>
      </w:r>
      <w:r w:rsidRPr="002029AF">
        <w:t>AASB</w:t>
      </w:r>
      <w:r w:rsidR="000A5329" w:rsidRPr="002029AF">
        <w:t xml:space="preserve"> </w:t>
      </w:r>
      <w:r w:rsidRPr="002029AF">
        <w:t>9</w:t>
      </w:r>
      <w:r w:rsidR="000A5329" w:rsidRPr="002029AF">
        <w:t xml:space="preserve"> </w:t>
      </w:r>
      <w:r w:rsidRPr="002029AF">
        <w:t>for</w:t>
      </w:r>
      <w:r w:rsidR="000A5329" w:rsidRPr="002029AF">
        <w:t xml:space="preserve"> </w:t>
      </w:r>
      <w:r w:rsidRPr="002029AF">
        <w:t>initial</w:t>
      </w:r>
      <w:r w:rsidR="000A5329" w:rsidRPr="002029AF">
        <w:t xml:space="preserve"> </w:t>
      </w:r>
      <w:r w:rsidRPr="002029AF">
        <w:t>measurement</w:t>
      </w:r>
      <w:r w:rsidR="000A5329" w:rsidRPr="002029AF">
        <w:t xml:space="preserve"> </w:t>
      </w:r>
      <w:r w:rsidRPr="002029AF">
        <w:t>of</w:t>
      </w:r>
      <w:r w:rsidR="000A5329" w:rsidRPr="002029AF">
        <w:t xml:space="preserve"> </w:t>
      </w:r>
      <w:r w:rsidRPr="002029AF">
        <w:t>the</w:t>
      </w:r>
      <w:r w:rsidR="000A5329" w:rsidRPr="002029AF">
        <w:t xml:space="preserve"> </w:t>
      </w:r>
      <w:r w:rsidRPr="002029AF">
        <w:t>statutory</w:t>
      </w:r>
      <w:r w:rsidR="000A5329" w:rsidRPr="002029AF">
        <w:t xml:space="preserve"> </w:t>
      </w:r>
      <w:r w:rsidRPr="002029AF">
        <w:t>receivables</w:t>
      </w:r>
      <w:r w:rsidR="000A5329" w:rsidRPr="002029AF">
        <w:t xml:space="preserve"> </w:t>
      </w:r>
      <w:r w:rsidRPr="002029AF">
        <w:t>and,</w:t>
      </w:r>
      <w:r w:rsidR="000A5329" w:rsidRPr="002029AF">
        <w:t xml:space="preserve"> </w:t>
      </w:r>
      <w:r w:rsidRPr="002029AF">
        <w:t>as</w:t>
      </w:r>
      <w:r w:rsidR="000A5329" w:rsidRPr="002029AF">
        <w:t xml:space="preserve"> </w:t>
      </w:r>
      <w:r w:rsidRPr="002029AF">
        <w:t>a</w:t>
      </w:r>
      <w:r w:rsidR="000A5329" w:rsidRPr="002029AF">
        <w:t xml:space="preserve"> </w:t>
      </w:r>
      <w:r w:rsidRPr="002029AF">
        <w:t>result,</w:t>
      </w:r>
      <w:r w:rsidR="000A5329" w:rsidRPr="002029AF">
        <w:t xml:space="preserve"> </w:t>
      </w:r>
      <w:r w:rsidRPr="002029AF">
        <w:t>statutory</w:t>
      </w:r>
      <w:r w:rsidR="000A5329" w:rsidRPr="002029AF">
        <w:t xml:space="preserve"> </w:t>
      </w:r>
      <w:r w:rsidRPr="002029AF">
        <w:t>receivables</w:t>
      </w:r>
      <w:r w:rsidR="000A5329" w:rsidRPr="002029AF">
        <w:t xml:space="preserve"> </w:t>
      </w:r>
      <w:r w:rsidRPr="002029AF">
        <w:t>are</w:t>
      </w:r>
      <w:r w:rsidR="000A5329" w:rsidRPr="002029AF">
        <w:t xml:space="preserve"> </w:t>
      </w:r>
      <w:r w:rsidRPr="002029AF">
        <w:t>initially</w:t>
      </w:r>
      <w:r w:rsidR="000A5329" w:rsidRPr="002029AF">
        <w:t xml:space="preserve"> </w:t>
      </w:r>
      <w:r w:rsidRPr="002029AF">
        <w:t>recognised</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r w:rsidR="000A5329" w:rsidRPr="002029AF">
        <w:t xml:space="preserve"> </w:t>
      </w:r>
      <w:r w:rsidRPr="002029AF">
        <w:t>plus</w:t>
      </w:r>
      <w:r w:rsidR="000A5329" w:rsidRPr="002029AF">
        <w:t xml:space="preserve"> </w:t>
      </w:r>
      <w:r w:rsidRPr="002029AF">
        <w:t>any</w:t>
      </w:r>
      <w:r w:rsidR="000A5329" w:rsidRPr="002029AF">
        <w:t xml:space="preserve"> </w:t>
      </w:r>
      <w:r w:rsidRPr="002029AF">
        <w:t>directly</w:t>
      </w:r>
      <w:r w:rsidR="000A5329" w:rsidRPr="002029AF">
        <w:t xml:space="preserve"> </w:t>
      </w:r>
      <w:r w:rsidRPr="002029AF">
        <w:t>attributable</w:t>
      </w:r>
      <w:r w:rsidR="000A5329" w:rsidRPr="002029AF">
        <w:t xml:space="preserve"> </w:t>
      </w:r>
      <w:r w:rsidRPr="002029AF">
        <w:t>transaction</w:t>
      </w:r>
      <w:r w:rsidR="000A5329" w:rsidRPr="002029AF">
        <w:t xml:space="preserve"> </w:t>
      </w:r>
      <w:r w:rsidRPr="002029AF">
        <w:t>costs.</w:t>
      </w:r>
      <w:r w:rsidR="000A5329" w:rsidRPr="002029AF">
        <w:t xml:space="preserve"> </w:t>
      </w:r>
      <w:r w:rsidRPr="002029AF">
        <w:t>Amounts</w:t>
      </w:r>
      <w:r w:rsidR="000A5329" w:rsidRPr="002029AF">
        <w:t xml:space="preserve"> </w:t>
      </w:r>
      <w:r w:rsidRPr="002029AF">
        <w:t>recognised</w:t>
      </w:r>
      <w:r w:rsidR="000A5329" w:rsidRPr="002029AF">
        <w:t xml:space="preserve"> </w:t>
      </w:r>
      <w:r w:rsidRPr="002029AF">
        <w:t>from</w:t>
      </w:r>
      <w:r w:rsidR="000A5329" w:rsidRPr="002029AF">
        <w:t xml:space="preserve"> </w:t>
      </w:r>
      <w:r w:rsidRPr="002029AF">
        <w:t>the</w:t>
      </w:r>
      <w:r w:rsidR="000A5329" w:rsidRPr="002029AF">
        <w:t xml:space="preserve"> </w:t>
      </w:r>
      <w:r w:rsidRPr="002029AF">
        <w:t>Victorian</w:t>
      </w:r>
      <w:r w:rsidR="000A5329" w:rsidRPr="002029AF">
        <w:t xml:space="preserve"> </w:t>
      </w:r>
      <w:r w:rsidRPr="002029AF">
        <w:t>Government</w:t>
      </w:r>
      <w:r w:rsidR="000A5329" w:rsidRPr="002029AF">
        <w:t xml:space="preserve"> </w:t>
      </w:r>
      <w:r w:rsidRPr="002029AF">
        <w:t>represent</w:t>
      </w:r>
      <w:r w:rsidR="000A5329" w:rsidRPr="002029AF">
        <w:t xml:space="preserve"> </w:t>
      </w:r>
      <w:r w:rsidRPr="002029AF">
        <w:t>funding</w:t>
      </w:r>
      <w:r w:rsidR="000A5329" w:rsidRPr="002029AF">
        <w:t xml:space="preserve"> </w:t>
      </w:r>
      <w:r w:rsidRPr="002029AF">
        <w:t>for</w:t>
      </w:r>
      <w:r w:rsidR="000A5329" w:rsidRPr="002029AF">
        <w:t xml:space="preserve"> </w:t>
      </w:r>
      <w:r w:rsidRPr="002029AF">
        <w:t>all</w:t>
      </w:r>
      <w:r w:rsidR="000A5329" w:rsidRPr="002029AF">
        <w:t xml:space="preserve"> </w:t>
      </w:r>
      <w:r w:rsidRPr="002029AF">
        <w:t>commitments</w:t>
      </w:r>
      <w:r w:rsidR="000A5329" w:rsidRPr="002029AF">
        <w:t xml:space="preserve"> </w:t>
      </w:r>
      <w:r w:rsidRPr="002029AF">
        <w:t>incurred</w:t>
      </w:r>
      <w:r w:rsidR="000A5329" w:rsidRPr="002029AF">
        <w:t xml:space="preserve"> </w:t>
      </w:r>
      <w:r w:rsidRPr="002029AF">
        <w:t>and</w:t>
      </w:r>
      <w:r w:rsidR="000A5329" w:rsidRPr="002029AF">
        <w:t xml:space="preserve"> </w:t>
      </w:r>
      <w:r w:rsidRPr="002029AF">
        <w:t>are</w:t>
      </w:r>
      <w:r w:rsidR="000A5329" w:rsidRPr="002029AF">
        <w:t xml:space="preserve"> </w:t>
      </w:r>
      <w:r w:rsidRPr="002029AF">
        <w:t>drawn</w:t>
      </w:r>
      <w:r w:rsidR="000A5329" w:rsidRPr="002029AF">
        <w:t xml:space="preserve"> </w:t>
      </w:r>
      <w:r w:rsidRPr="002029AF">
        <w:t>from</w:t>
      </w:r>
      <w:r w:rsidR="000A5329" w:rsidRPr="002029AF">
        <w:t xml:space="preserve"> </w:t>
      </w:r>
      <w:r w:rsidRPr="002029AF">
        <w:t>the</w:t>
      </w:r>
      <w:r w:rsidR="000A5329" w:rsidRPr="002029AF">
        <w:t xml:space="preserve"> </w:t>
      </w:r>
      <w:r w:rsidRPr="002029AF">
        <w:t>Consolidated</w:t>
      </w:r>
      <w:r w:rsidR="000A5329" w:rsidRPr="002029AF">
        <w:t xml:space="preserve"> </w:t>
      </w:r>
      <w:r w:rsidRPr="002029AF">
        <w:t>Fund</w:t>
      </w:r>
      <w:r w:rsidR="000A5329" w:rsidRPr="002029AF">
        <w:t xml:space="preserve"> </w:t>
      </w:r>
      <w:r w:rsidRPr="002029AF">
        <w:t>as</w:t>
      </w:r>
      <w:r w:rsidR="000A5329" w:rsidRPr="002029AF">
        <w:t xml:space="preserve"> </w:t>
      </w:r>
      <w:r w:rsidRPr="002029AF">
        <w:t>the</w:t>
      </w:r>
      <w:r w:rsidR="000A5329" w:rsidRPr="002029AF">
        <w:t xml:space="preserve"> </w:t>
      </w:r>
      <w:r w:rsidRPr="002029AF">
        <w:t>commitments</w:t>
      </w:r>
      <w:r w:rsidR="000A5329" w:rsidRPr="002029AF">
        <w:t xml:space="preserve"> </w:t>
      </w:r>
      <w:r w:rsidRPr="002029AF">
        <w:t>fall</w:t>
      </w:r>
      <w:r w:rsidR="000A5329" w:rsidRPr="002029AF">
        <w:t xml:space="preserve"> </w:t>
      </w:r>
      <w:r w:rsidRPr="002029AF">
        <w:t>due.</w:t>
      </w:r>
    </w:p>
    <w:p w14:paraId="24E3E161" w14:textId="1BE3F61F" w:rsidR="00087B91" w:rsidRPr="002029AF" w:rsidRDefault="00087B91" w:rsidP="00087B91">
      <w:pPr>
        <w:pStyle w:val="ARfinbody"/>
      </w:pPr>
      <w:r w:rsidRPr="002029AF">
        <w:t>Details</w:t>
      </w:r>
      <w:r w:rsidR="000A5329" w:rsidRPr="002029AF">
        <w:t xml:space="preserve"> </w:t>
      </w:r>
      <w:r w:rsidRPr="002029AF">
        <w:t>about</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impairment</w:t>
      </w:r>
      <w:r w:rsidR="000A5329" w:rsidRPr="002029AF">
        <w:t xml:space="preserve"> </w:t>
      </w:r>
      <w:r w:rsidRPr="002029AF">
        <w:t>policies,</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exposure</w:t>
      </w:r>
      <w:r w:rsidR="000A5329" w:rsidRPr="002029AF">
        <w:t xml:space="preserve"> </w:t>
      </w:r>
      <w:r w:rsidRPr="002029AF">
        <w:t>to</w:t>
      </w:r>
      <w:r w:rsidR="000A5329" w:rsidRPr="002029AF">
        <w:t xml:space="preserve"> </w:t>
      </w:r>
      <w:r w:rsidRPr="002029AF">
        <w:t>credit</w:t>
      </w:r>
      <w:r w:rsidR="000A5329" w:rsidRPr="002029AF">
        <w:t xml:space="preserve"> </w:t>
      </w:r>
      <w:r w:rsidRPr="002029AF">
        <w:t>risks</w:t>
      </w:r>
      <w:r w:rsidR="000A5329" w:rsidRPr="002029AF">
        <w:t xml:space="preserve"> </w:t>
      </w:r>
      <w:r w:rsidRPr="002029AF">
        <w:t>and</w:t>
      </w:r>
      <w:r w:rsidR="000A5329" w:rsidRPr="002029AF">
        <w:t xml:space="preserve"> </w:t>
      </w:r>
      <w:r w:rsidRPr="002029AF">
        <w:t>the</w:t>
      </w:r>
      <w:r w:rsidR="000A5329" w:rsidRPr="002029AF">
        <w:t xml:space="preserve"> </w:t>
      </w:r>
      <w:r w:rsidRPr="002029AF">
        <w:t>calculation</w:t>
      </w:r>
      <w:r w:rsidR="000A5329" w:rsidRPr="002029AF">
        <w:t xml:space="preserve"> </w:t>
      </w:r>
      <w:r w:rsidRPr="002029AF">
        <w:t>of</w:t>
      </w:r>
      <w:r w:rsidR="000A5329" w:rsidRPr="002029AF">
        <w:t xml:space="preserve"> </w:t>
      </w:r>
      <w:r w:rsidRPr="002029AF">
        <w:t>the</w:t>
      </w:r>
      <w:r w:rsidR="000A5329" w:rsidRPr="002029AF">
        <w:t xml:space="preserve"> </w:t>
      </w:r>
      <w:r w:rsidRPr="002029AF">
        <w:t>loss</w:t>
      </w:r>
      <w:r w:rsidR="000A5329" w:rsidRPr="002029AF">
        <w:t xml:space="preserve"> </w:t>
      </w:r>
      <w:r w:rsidRPr="002029AF">
        <w:t>allowance</w:t>
      </w:r>
      <w:r w:rsidR="000A5329" w:rsidRPr="002029AF">
        <w:t xml:space="preserve"> </w:t>
      </w:r>
      <w:r w:rsidRPr="002029AF">
        <w:t>are</w:t>
      </w:r>
      <w:r w:rsidR="000A5329" w:rsidRPr="002029AF">
        <w:t xml:space="preserve"> </w:t>
      </w:r>
      <w:r w:rsidRPr="002029AF">
        <w:t>set</w:t>
      </w:r>
      <w:r w:rsidR="000A5329" w:rsidRPr="002029AF">
        <w:t xml:space="preserve"> </w:t>
      </w:r>
      <w:r w:rsidRPr="002029AF">
        <w:t>out</w:t>
      </w:r>
      <w:r w:rsidR="000A5329" w:rsidRPr="002029AF">
        <w:t xml:space="preserve"> </w:t>
      </w:r>
      <w:r w:rsidRPr="002029AF">
        <w:t>in</w:t>
      </w:r>
      <w:r w:rsidR="000A5329" w:rsidRPr="002029AF">
        <w:t xml:space="preserve"> </w:t>
      </w:r>
      <w:r w:rsidRPr="002029AF">
        <w:t>note</w:t>
      </w:r>
      <w:r w:rsidR="000A5329" w:rsidRPr="002029AF">
        <w:t xml:space="preserve"> </w:t>
      </w:r>
      <w:r w:rsidRPr="002029AF">
        <w:t>8.1.3.</w:t>
      </w:r>
    </w:p>
    <w:p w14:paraId="554A0C72" w14:textId="77777777" w:rsidR="00087B91" w:rsidRPr="002029AF" w:rsidRDefault="00087B91" w:rsidP="00087B91">
      <w:pPr>
        <w:pStyle w:val="ARfinbody"/>
      </w:pPr>
      <w:r w:rsidRPr="002029AF">
        <w:br w:type="page"/>
      </w:r>
    </w:p>
    <w:p w14:paraId="14CC52D3" w14:textId="441414CF" w:rsidR="00087B91" w:rsidRPr="002029AF" w:rsidRDefault="00087B91" w:rsidP="00087B91">
      <w:pPr>
        <w:pStyle w:val="Heading4"/>
      </w:pPr>
      <w:bookmarkStart w:id="356" w:name="_Toc39242151"/>
      <w:r w:rsidRPr="002029AF">
        <w:lastRenderedPageBreak/>
        <w:t>6.2</w:t>
      </w:r>
      <w:r w:rsidR="000A5329" w:rsidRPr="002029AF">
        <w:t xml:space="preserve"> </w:t>
      </w:r>
      <w:r w:rsidRPr="002029AF">
        <w:t>Loans</w:t>
      </w:r>
      <w:bookmarkEnd w:id="356"/>
    </w:p>
    <w:tbl>
      <w:tblPr>
        <w:tblStyle w:val="TableGrid"/>
        <w:tblW w:w="9637" w:type="dxa"/>
        <w:tblLayout w:type="fixed"/>
        <w:tblLook w:val="06A0" w:firstRow="1" w:lastRow="0" w:firstColumn="1" w:lastColumn="0" w:noHBand="1" w:noVBand="1"/>
      </w:tblPr>
      <w:tblGrid>
        <w:gridCol w:w="7369"/>
        <w:gridCol w:w="1134"/>
        <w:gridCol w:w="1134"/>
      </w:tblGrid>
      <w:tr w:rsidR="00087B91" w:rsidRPr="002029AF" w14:paraId="2B78A19A"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7369" w:type="dxa"/>
            <w:tcBorders>
              <w:bottom w:val="single" w:sz="4" w:space="0" w:color="auto"/>
            </w:tcBorders>
            <w:noWrap/>
            <w:hideMark/>
          </w:tcPr>
          <w:p w14:paraId="7D922138" w14:textId="77777777" w:rsidR="00087B91" w:rsidRPr="002029AF" w:rsidRDefault="00087B91" w:rsidP="00860E95">
            <w:pPr>
              <w:pStyle w:val="ARfintablecolhead"/>
            </w:pPr>
          </w:p>
        </w:tc>
        <w:tc>
          <w:tcPr>
            <w:tcW w:w="1134" w:type="dxa"/>
            <w:tcBorders>
              <w:bottom w:val="single" w:sz="4" w:space="0" w:color="auto"/>
            </w:tcBorders>
            <w:shd w:val="clear" w:color="auto" w:fill="E7E6E6"/>
            <w:hideMark/>
          </w:tcPr>
          <w:p w14:paraId="6A1166DD" w14:textId="77777777" w:rsidR="00087B91" w:rsidRPr="002029AF" w:rsidRDefault="00087B91" w:rsidP="00860E95">
            <w:pPr>
              <w:pStyle w:val="ARfintablecolheadright"/>
            </w:pPr>
            <w:r w:rsidRPr="002029AF">
              <w:t>2020</w:t>
            </w:r>
          </w:p>
          <w:p w14:paraId="38A42080" w14:textId="77777777" w:rsidR="00087B91" w:rsidRPr="002029AF" w:rsidRDefault="00087B91" w:rsidP="00860E95">
            <w:pPr>
              <w:pStyle w:val="ARfintablecolheadright"/>
            </w:pPr>
            <w:r w:rsidRPr="002029AF">
              <w:t>$M</w:t>
            </w:r>
          </w:p>
        </w:tc>
        <w:tc>
          <w:tcPr>
            <w:tcW w:w="1134" w:type="dxa"/>
            <w:tcBorders>
              <w:bottom w:val="single" w:sz="4" w:space="0" w:color="auto"/>
            </w:tcBorders>
            <w:hideMark/>
          </w:tcPr>
          <w:p w14:paraId="0B7F9DC7" w14:textId="77777777" w:rsidR="00087B91" w:rsidRPr="002029AF" w:rsidRDefault="00087B91" w:rsidP="00860E95">
            <w:pPr>
              <w:pStyle w:val="ARfintablecolheadright"/>
            </w:pPr>
            <w:r w:rsidRPr="002029AF">
              <w:t>2019</w:t>
            </w:r>
          </w:p>
          <w:p w14:paraId="39D49583" w14:textId="77777777" w:rsidR="00087B91" w:rsidRPr="002029AF" w:rsidRDefault="00087B91" w:rsidP="00860E95">
            <w:pPr>
              <w:pStyle w:val="ARfintablecolheadright"/>
            </w:pPr>
            <w:r w:rsidRPr="002029AF">
              <w:t>$M</w:t>
            </w:r>
          </w:p>
        </w:tc>
      </w:tr>
      <w:tr w:rsidR="00087B91" w:rsidRPr="002029AF" w14:paraId="18111FB3" w14:textId="77777777" w:rsidTr="00860E95">
        <w:tc>
          <w:tcPr>
            <w:tcW w:w="9637" w:type="dxa"/>
            <w:gridSpan w:val="3"/>
            <w:tcBorders>
              <w:top w:val="single" w:sz="4" w:space="0" w:color="auto"/>
              <w:bottom w:val="single" w:sz="4" w:space="0" w:color="A6A6A6"/>
            </w:tcBorders>
            <w:hideMark/>
          </w:tcPr>
          <w:p w14:paraId="4DDC50B5" w14:textId="30A2BCAB" w:rsidR="00087B91" w:rsidRPr="002029AF" w:rsidRDefault="00087B91" w:rsidP="00860E95">
            <w:pPr>
              <w:pStyle w:val="ARfintablebodybold"/>
            </w:pPr>
            <w:r w:rsidRPr="002029AF">
              <w:t>Current</w:t>
            </w:r>
            <w:r w:rsidR="000A5329" w:rsidRPr="002029AF">
              <w:t xml:space="preserve"> </w:t>
            </w:r>
            <w:r w:rsidRPr="002029AF">
              <w:t>loans</w:t>
            </w:r>
          </w:p>
        </w:tc>
      </w:tr>
      <w:tr w:rsidR="00087B91" w:rsidRPr="002029AF" w14:paraId="02D652F8" w14:textId="77777777" w:rsidTr="00860E95">
        <w:tc>
          <w:tcPr>
            <w:tcW w:w="9637" w:type="dxa"/>
            <w:gridSpan w:val="3"/>
            <w:tcBorders>
              <w:top w:val="single" w:sz="4" w:space="0" w:color="A6A6A6"/>
              <w:bottom w:val="single" w:sz="4" w:space="0" w:color="A6A6A6"/>
            </w:tcBorders>
            <w:hideMark/>
          </w:tcPr>
          <w:p w14:paraId="63F9D7BD" w14:textId="77777777" w:rsidR="00087B91" w:rsidRPr="002029AF" w:rsidRDefault="00087B91" w:rsidP="00860E95">
            <w:pPr>
              <w:pStyle w:val="ARfintablebody"/>
              <w:rPr>
                <w:b/>
                <w:bCs/>
              </w:rPr>
            </w:pPr>
            <w:r w:rsidRPr="002029AF">
              <w:rPr>
                <w:rStyle w:val="Emphasis"/>
              </w:rPr>
              <w:t>Contractual</w:t>
            </w:r>
          </w:p>
        </w:tc>
      </w:tr>
      <w:tr w:rsidR="00087B91" w:rsidRPr="002029AF" w14:paraId="519F3DD2" w14:textId="77777777" w:rsidTr="00860E95">
        <w:tc>
          <w:tcPr>
            <w:tcW w:w="7369" w:type="dxa"/>
            <w:tcBorders>
              <w:top w:val="single" w:sz="4" w:space="0" w:color="A6A6A6"/>
              <w:bottom w:val="single" w:sz="4" w:space="0" w:color="A6A6A6"/>
            </w:tcBorders>
            <w:hideMark/>
          </w:tcPr>
          <w:p w14:paraId="73399762" w14:textId="5CFF4E73" w:rsidR="00087B91" w:rsidRPr="002029AF" w:rsidRDefault="00087B91" w:rsidP="00860E95">
            <w:pPr>
              <w:pStyle w:val="ARfintablebody"/>
            </w:pPr>
            <w:r w:rsidRPr="002029AF">
              <w:t>Fixed</w:t>
            </w:r>
            <w:r w:rsidR="000A5329" w:rsidRPr="002029AF">
              <w:t xml:space="preserve"> </w:t>
            </w:r>
            <w:r w:rsidRPr="002029AF">
              <w:t>interest</w:t>
            </w:r>
            <w:r w:rsidR="000A5329" w:rsidRPr="002029AF">
              <w:t xml:space="preserve"> </w:t>
            </w:r>
            <w:r w:rsidRPr="002029AF">
              <w:t>home</w:t>
            </w:r>
            <w:r w:rsidR="000A5329" w:rsidRPr="002029AF">
              <w:t xml:space="preserve"> </w:t>
            </w:r>
            <w:r w:rsidRPr="002029AF">
              <w:t>loans</w:t>
            </w:r>
          </w:p>
        </w:tc>
        <w:tc>
          <w:tcPr>
            <w:tcW w:w="1134" w:type="dxa"/>
            <w:tcBorders>
              <w:top w:val="single" w:sz="4" w:space="0" w:color="A6A6A6"/>
              <w:bottom w:val="single" w:sz="4" w:space="0" w:color="A6A6A6"/>
            </w:tcBorders>
            <w:shd w:val="clear" w:color="auto" w:fill="E7E6E6"/>
            <w:noWrap/>
            <w:hideMark/>
          </w:tcPr>
          <w:p w14:paraId="037179A7" w14:textId="77777777" w:rsidR="00087B91" w:rsidRPr="002029AF" w:rsidRDefault="00087B91" w:rsidP="00860E95">
            <w:pPr>
              <w:pStyle w:val="ARfintablebodyright"/>
            </w:pPr>
            <w:r w:rsidRPr="002029AF">
              <w:t>0.7</w:t>
            </w:r>
          </w:p>
        </w:tc>
        <w:tc>
          <w:tcPr>
            <w:tcW w:w="1134" w:type="dxa"/>
            <w:tcBorders>
              <w:top w:val="single" w:sz="4" w:space="0" w:color="A6A6A6"/>
              <w:bottom w:val="single" w:sz="4" w:space="0" w:color="A6A6A6"/>
            </w:tcBorders>
            <w:noWrap/>
            <w:hideMark/>
          </w:tcPr>
          <w:p w14:paraId="3354A734" w14:textId="77777777" w:rsidR="00087B91" w:rsidRPr="002029AF" w:rsidRDefault="00087B91" w:rsidP="00860E95">
            <w:pPr>
              <w:pStyle w:val="ARfintablebodyright"/>
            </w:pPr>
            <w:r w:rsidRPr="002029AF">
              <w:t>0.8</w:t>
            </w:r>
          </w:p>
        </w:tc>
      </w:tr>
      <w:tr w:rsidR="00087B91" w:rsidRPr="002029AF" w14:paraId="092F922E" w14:textId="77777777" w:rsidTr="00860E95">
        <w:tc>
          <w:tcPr>
            <w:tcW w:w="7369" w:type="dxa"/>
            <w:tcBorders>
              <w:top w:val="single" w:sz="4" w:space="0" w:color="A6A6A6"/>
              <w:bottom w:val="single" w:sz="4" w:space="0" w:color="A6A6A6"/>
            </w:tcBorders>
            <w:hideMark/>
          </w:tcPr>
          <w:p w14:paraId="65138983" w14:textId="3BF6C5C2" w:rsidR="00087B91" w:rsidRPr="002029AF" w:rsidRDefault="00087B91" w:rsidP="00860E95">
            <w:pPr>
              <w:pStyle w:val="ARfintablebody"/>
            </w:pPr>
            <w:r w:rsidRPr="002029AF">
              <w:t>Indexed</w:t>
            </w:r>
            <w:r w:rsidR="000A5329" w:rsidRPr="002029AF">
              <w:t xml:space="preserve"> </w:t>
            </w:r>
            <w:r w:rsidRPr="002029AF">
              <w:t>interest</w:t>
            </w:r>
            <w:r w:rsidR="000A5329" w:rsidRPr="002029AF">
              <w:t xml:space="preserve"> </w:t>
            </w:r>
            <w:r w:rsidRPr="002029AF">
              <w:t>home</w:t>
            </w:r>
            <w:r w:rsidR="000A5329" w:rsidRPr="002029AF">
              <w:t xml:space="preserve"> </w:t>
            </w:r>
            <w:r w:rsidRPr="002029AF">
              <w:t>loans</w:t>
            </w:r>
          </w:p>
        </w:tc>
        <w:tc>
          <w:tcPr>
            <w:tcW w:w="1134" w:type="dxa"/>
            <w:tcBorders>
              <w:top w:val="single" w:sz="4" w:space="0" w:color="A6A6A6"/>
              <w:bottom w:val="single" w:sz="4" w:space="0" w:color="A6A6A6"/>
            </w:tcBorders>
            <w:shd w:val="clear" w:color="auto" w:fill="E7E6E6"/>
            <w:noWrap/>
            <w:hideMark/>
          </w:tcPr>
          <w:p w14:paraId="398F59D5" w14:textId="77777777" w:rsidR="00087B91" w:rsidRPr="002029AF" w:rsidRDefault="00087B91" w:rsidP="00860E95">
            <w:pPr>
              <w:pStyle w:val="ARfintablebodyright"/>
            </w:pPr>
            <w:r w:rsidRPr="002029AF">
              <w:t>8.2</w:t>
            </w:r>
          </w:p>
        </w:tc>
        <w:tc>
          <w:tcPr>
            <w:tcW w:w="1134" w:type="dxa"/>
            <w:tcBorders>
              <w:top w:val="single" w:sz="4" w:space="0" w:color="A6A6A6"/>
              <w:bottom w:val="single" w:sz="4" w:space="0" w:color="A6A6A6"/>
            </w:tcBorders>
            <w:noWrap/>
            <w:hideMark/>
          </w:tcPr>
          <w:p w14:paraId="4B7601CA" w14:textId="77777777" w:rsidR="00087B91" w:rsidRPr="002029AF" w:rsidRDefault="00087B91" w:rsidP="00860E95">
            <w:pPr>
              <w:pStyle w:val="ARfintablebodyright"/>
            </w:pPr>
            <w:r w:rsidRPr="002029AF">
              <w:t>8.2</w:t>
            </w:r>
          </w:p>
        </w:tc>
      </w:tr>
      <w:tr w:rsidR="00087B91" w:rsidRPr="002029AF" w14:paraId="4CCA32DA" w14:textId="77777777" w:rsidTr="00860E95">
        <w:tc>
          <w:tcPr>
            <w:tcW w:w="7369" w:type="dxa"/>
            <w:tcBorders>
              <w:top w:val="single" w:sz="4" w:space="0" w:color="A6A6A6"/>
            </w:tcBorders>
            <w:hideMark/>
          </w:tcPr>
          <w:p w14:paraId="0107A27E" w14:textId="6C593D47" w:rsidR="00087B91" w:rsidRPr="002029AF" w:rsidRDefault="00087B91" w:rsidP="00860E95">
            <w:pPr>
              <w:pStyle w:val="ARfintablebody"/>
            </w:pPr>
            <w:r w:rsidRPr="002029AF">
              <w:t>Other</w:t>
            </w:r>
            <w:r w:rsidR="000A5329" w:rsidRPr="002029AF">
              <w:t xml:space="preserve"> </w:t>
            </w:r>
            <w:r w:rsidRPr="002029AF">
              <w:t>loans</w:t>
            </w:r>
            <w:r w:rsidR="000A5329" w:rsidRPr="002029AF">
              <w:t xml:space="preserve"> </w:t>
            </w:r>
            <w:r w:rsidRPr="002029AF">
              <w:t>and</w:t>
            </w:r>
            <w:r w:rsidR="000A5329" w:rsidRPr="002029AF">
              <w:t xml:space="preserve"> </w:t>
            </w:r>
            <w:r w:rsidRPr="002029AF">
              <w:t>advances</w:t>
            </w:r>
          </w:p>
        </w:tc>
        <w:tc>
          <w:tcPr>
            <w:tcW w:w="1134" w:type="dxa"/>
            <w:tcBorders>
              <w:top w:val="single" w:sz="4" w:space="0" w:color="A6A6A6"/>
            </w:tcBorders>
            <w:shd w:val="clear" w:color="auto" w:fill="E7E6E6"/>
            <w:noWrap/>
            <w:hideMark/>
          </w:tcPr>
          <w:p w14:paraId="1CF15C98" w14:textId="77777777" w:rsidR="00087B91" w:rsidRPr="002029AF" w:rsidRDefault="00087B91" w:rsidP="00860E95">
            <w:pPr>
              <w:pStyle w:val="ARfintablebodyright"/>
            </w:pPr>
            <w:r w:rsidRPr="002029AF">
              <w:t>316.1</w:t>
            </w:r>
          </w:p>
        </w:tc>
        <w:tc>
          <w:tcPr>
            <w:tcW w:w="1134" w:type="dxa"/>
            <w:tcBorders>
              <w:top w:val="single" w:sz="4" w:space="0" w:color="A6A6A6"/>
            </w:tcBorders>
            <w:noWrap/>
            <w:hideMark/>
          </w:tcPr>
          <w:p w14:paraId="7279FC1F" w14:textId="77777777" w:rsidR="00087B91" w:rsidRPr="002029AF" w:rsidRDefault="00087B91" w:rsidP="00860E95">
            <w:pPr>
              <w:pStyle w:val="ARfintablebodyright"/>
            </w:pPr>
            <w:r w:rsidRPr="002029AF">
              <w:t>13.6</w:t>
            </w:r>
          </w:p>
        </w:tc>
      </w:tr>
      <w:tr w:rsidR="00087B91" w:rsidRPr="002029AF" w14:paraId="79F34A46" w14:textId="77777777" w:rsidTr="00860E95">
        <w:tc>
          <w:tcPr>
            <w:tcW w:w="7369" w:type="dxa"/>
            <w:tcBorders>
              <w:bottom w:val="single" w:sz="4" w:space="0" w:color="auto"/>
            </w:tcBorders>
            <w:hideMark/>
          </w:tcPr>
          <w:p w14:paraId="040DA18D" w14:textId="565725EB" w:rsidR="00087B91" w:rsidRPr="002029AF" w:rsidRDefault="00087B91" w:rsidP="00860E95">
            <w:pPr>
              <w:pStyle w:val="ARfintablebodybold"/>
            </w:pPr>
            <w:r w:rsidRPr="002029AF">
              <w:t>Total</w:t>
            </w:r>
            <w:r w:rsidR="000A5329" w:rsidRPr="002029AF">
              <w:t xml:space="preserve"> </w:t>
            </w:r>
            <w:r w:rsidRPr="002029AF">
              <w:t>current</w:t>
            </w:r>
            <w:r w:rsidR="000A5329" w:rsidRPr="002029AF">
              <w:t xml:space="preserve"> </w:t>
            </w:r>
            <w:r w:rsidRPr="002029AF">
              <w:t>loans</w:t>
            </w:r>
          </w:p>
        </w:tc>
        <w:tc>
          <w:tcPr>
            <w:tcW w:w="1134" w:type="dxa"/>
            <w:tcBorders>
              <w:bottom w:val="single" w:sz="4" w:space="0" w:color="auto"/>
            </w:tcBorders>
            <w:shd w:val="clear" w:color="auto" w:fill="E7E6E6"/>
            <w:noWrap/>
            <w:hideMark/>
          </w:tcPr>
          <w:p w14:paraId="19FB5539" w14:textId="77777777" w:rsidR="00087B91" w:rsidRPr="002029AF" w:rsidRDefault="00087B91" w:rsidP="00860E95">
            <w:pPr>
              <w:pStyle w:val="ARfintablebodyrightbold"/>
            </w:pPr>
            <w:r w:rsidRPr="002029AF">
              <w:t>325.0</w:t>
            </w:r>
          </w:p>
        </w:tc>
        <w:tc>
          <w:tcPr>
            <w:tcW w:w="1134" w:type="dxa"/>
            <w:tcBorders>
              <w:bottom w:val="single" w:sz="4" w:space="0" w:color="auto"/>
            </w:tcBorders>
            <w:noWrap/>
            <w:hideMark/>
          </w:tcPr>
          <w:p w14:paraId="5A012B9F" w14:textId="77777777" w:rsidR="00087B91" w:rsidRPr="002029AF" w:rsidRDefault="00087B91" w:rsidP="00860E95">
            <w:pPr>
              <w:pStyle w:val="ARfintablebodyrightbold"/>
            </w:pPr>
            <w:r w:rsidRPr="002029AF">
              <w:t>22.6</w:t>
            </w:r>
          </w:p>
        </w:tc>
      </w:tr>
      <w:tr w:rsidR="00087B91" w:rsidRPr="002029AF" w14:paraId="03C89142" w14:textId="77777777" w:rsidTr="00860E95">
        <w:tc>
          <w:tcPr>
            <w:tcW w:w="9637" w:type="dxa"/>
            <w:gridSpan w:val="3"/>
            <w:tcBorders>
              <w:top w:val="single" w:sz="4" w:space="0" w:color="auto"/>
              <w:bottom w:val="single" w:sz="4" w:space="0" w:color="A6A6A6"/>
            </w:tcBorders>
            <w:hideMark/>
          </w:tcPr>
          <w:p w14:paraId="057565A1" w14:textId="5DD614DC" w:rsidR="00087B91" w:rsidRPr="002029AF" w:rsidRDefault="00087B91" w:rsidP="00860E95">
            <w:pPr>
              <w:pStyle w:val="ARfintablebodybold"/>
            </w:pPr>
            <w:r w:rsidRPr="002029AF">
              <w:t>Non-current</w:t>
            </w:r>
            <w:r w:rsidR="000A5329" w:rsidRPr="002029AF">
              <w:t xml:space="preserve"> </w:t>
            </w:r>
            <w:r w:rsidRPr="002029AF">
              <w:t>loans</w:t>
            </w:r>
          </w:p>
        </w:tc>
      </w:tr>
      <w:tr w:rsidR="00087B91" w:rsidRPr="002029AF" w14:paraId="04D423E1" w14:textId="77777777" w:rsidTr="00860E95">
        <w:tc>
          <w:tcPr>
            <w:tcW w:w="9637" w:type="dxa"/>
            <w:gridSpan w:val="3"/>
            <w:tcBorders>
              <w:top w:val="single" w:sz="4" w:space="0" w:color="A6A6A6"/>
              <w:bottom w:val="single" w:sz="4" w:space="0" w:color="A6A6A6"/>
            </w:tcBorders>
            <w:hideMark/>
          </w:tcPr>
          <w:p w14:paraId="40793431" w14:textId="77777777" w:rsidR="00087B91" w:rsidRPr="002029AF" w:rsidRDefault="00087B91" w:rsidP="00860E95">
            <w:pPr>
              <w:pStyle w:val="ARfintablebody"/>
              <w:rPr>
                <w:b/>
                <w:bCs/>
              </w:rPr>
            </w:pPr>
            <w:r w:rsidRPr="002029AF">
              <w:rPr>
                <w:rStyle w:val="Emphasis"/>
              </w:rPr>
              <w:t>Contractual</w:t>
            </w:r>
          </w:p>
        </w:tc>
      </w:tr>
      <w:tr w:rsidR="00087B91" w:rsidRPr="002029AF" w14:paraId="380ECDB3" w14:textId="77777777" w:rsidTr="00860E95">
        <w:tc>
          <w:tcPr>
            <w:tcW w:w="7369" w:type="dxa"/>
            <w:tcBorders>
              <w:top w:val="single" w:sz="4" w:space="0" w:color="A6A6A6"/>
              <w:bottom w:val="single" w:sz="4" w:space="0" w:color="A6A6A6"/>
            </w:tcBorders>
            <w:hideMark/>
          </w:tcPr>
          <w:p w14:paraId="59712DAD" w14:textId="10C5BF54" w:rsidR="00087B91" w:rsidRPr="002029AF" w:rsidRDefault="00087B91" w:rsidP="00860E95">
            <w:pPr>
              <w:pStyle w:val="ARfintablebody"/>
            </w:pPr>
            <w:r w:rsidRPr="002029AF">
              <w:t>Fixed</w:t>
            </w:r>
            <w:r w:rsidR="000A5329" w:rsidRPr="002029AF">
              <w:t xml:space="preserve"> </w:t>
            </w:r>
            <w:r w:rsidRPr="002029AF">
              <w:t>interest</w:t>
            </w:r>
            <w:r w:rsidR="000A5329" w:rsidRPr="002029AF">
              <w:t xml:space="preserve"> </w:t>
            </w:r>
            <w:r w:rsidRPr="002029AF">
              <w:t>home</w:t>
            </w:r>
            <w:r w:rsidR="000A5329" w:rsidRPr="002029AF">
              <w:t xml:space="preserve"> </w:t>
            </w:r>
            <w:r w:rsidRPr="002029AF">
              <w:t>loans</w:t>
            </w:r>
          </w:p>
        </w:tc>
        <w:tc>
          <w:tcPr>
            <w:tcW w:w="1134" w:type="dxa"/>
            <w:tcBorders>
              <w:top w:val="single" w:sz="4" w:space="0" w:color="A6A6A6"/>
              <w:bottom w:val="single" w:sz="4" w:space="0" w:color="A6A6A6"/>
            </w:tcBorders>
            <w:shd w:val="clear" w:color="auto" w:fill="E7E6E6"/>
            <w:noWrap/>
            <w:hideMark/>
          </w:tcPr>
          <w:p w14:paraId="65F235DD" w14:textId="77777777" w:rsidR="00087B91" w:rsidRPr="002029AF" w:rsidRDefault="00087B91" w:rsidP="00860E95">
            <w:pPr>
              <w:pStyle w:val="ARfintablebodyright"/>
            </w:pPr>
            <w:r w:rsidRPr="002029AF">
              <w:t>1.2</w:t>
            </w:r>
          </w:p>
        </w:tc>
        <w:tc>
          <w:tcPr>
            <w:tcW w:w="1134" w:type="dxa"/>
            <w:tcBorders>
              <w:top w:val="single" w:sz="4" w:space="0" w:color="A6A6A6"/>
              <w:bottom w:val="single" w:sz="4" w:space="0" w:color="A6A6A6"/>
            </w:tcBorders>
            <w:noWrap/>
            <w:hideMark/>
          </w:tcPr>
          <w:p w14:paraId="18094E55" w14:textId="77777777" w:rsidR="00087B91" w:rsidRPr="002029AF" w:rsidRDefault="00087B91" w:rsidP="00860E95">
            <w:pPr>
              <w:pStyle w:val="ARfintablebodyright"/>
            </w:pPr>
            <w:r w:rsidRPr="002029AF">
              <w:t>1.3</w:t>
            </w:r>
          </w:p>
        </w:tc>
      </w:tr>
      <w:tr w:rsidR="00087B91" w:rsidRPr="002029AF" w14:paraId="60A54E27" w14:textId="77777777" w:rsidTr="00860E95">
        <w:tc>
          <w:tcPr>
            <w:tcW w:w="7369" w:type="dxa"/>
            <w:tcBorders>
              <w:top w:val="single" w:sz="4" w:space="0" w:color="A6A6A6"/>
              <w:bottom w:val="single" w:sz="4" w:space="0" w:color="A6A6A6"/>
            </w:tcBorders>
            <w:hideMark/>
          </w:tcPr>
          <w:p w14:paraId="2AF6160F" w14:textId="02580188" w:rsidR="00087B91" w:rsidRPr="002029AF" w:rsidRDefault="00087B91" w:rsidP="00860E95">
            <w:pPr>
              <w:pStyle w:val="ARfintablebody"/>
            </w:pPr>
            <w:r w:rsidRPr="002029AF">
              <w:t>Indexed</w:t>
            </w:r>
            <w:r w:rsidR="000A5329" w:rsidRPr="002029AF">
              <w:t xml:space="preserve"> </w:t>
            </w:r>
            <w:r w:rsidRPr="002029AF">
              <w:t>interest</w:t>
            </w:r>
            <w:r w:rsidR="000A5329" w:rsidRPr="002029AF">
              <w:t xml:space="preserve"> </w:t>
            </w:r>
            <w:r w:rsidRPr="002029AF">
              <w:t>home</w:t>
            </w:r>
            <w:r w:rsidR="000A5329" w:rsidRPr="002029AF">
              <w:t xml:space="preserve"> </w:t>
            </w:r>
            <w:r w:rsidRPr="002029AF">
              <w:t>loans</w:t>
            </w:r>
          </w:p>
        </w:tc>
        <w:tc>
          <w:tcPr>
            <w:tcW w:w="1134" w:type="dxa"/>
            <w:tcBorders>
              <w:top w:val="single" w:sz="4" w:space="0" w:color="A6A6A6"/>
              <w:bottom w:val="single" w:sz="4" w:space="0" w:color="A6A6A6"/>
            </w:tcBorders>
            <w:shd w:val="clear" w:color="auto" w:fill="E7E6E6"/>
            <w:noWrap/>
            <w:hideMark/>
          </w:tcPr>
          <w:p w14:paraId="3DB9029C" w14:textId="77777777" w:rsidR="00087B91" w:rsidRPr="002029AF" w:rsidRDefault="00087B91" w:rsidP="00860E95">
            <w:pPr>
              <w:pStyle w:val="ARfintablebodyright"/>
            </w:pPr>
            <w:r w:rsidRPr="002029AF">
              <w:t>3.0</w:t>
            </w:r>
          </w:p>
        </w:tc>
        <w:tc>
          <w:tcPr>
            <w:tcW w:w="1134" w:type="dxa"/>
            <w:tcBorders>
              <w:top w:val="single" w:sz="4" w:space="0" w:color="A6A6A6"/>
              <w:bottom w:val="single" w:sz="4" w:space="0" w:color="A6A6A6"/>
            </w:tcBorders>
            <w:noWrap/>
            <w:hideMark/>
          </w:tcPr>
          <w:p w14:paraId="7DA5E73F" w14:textId="77777777" w:rsidR="00087B91" w:rsidRPr="002029AF" w:rsidRDefault="00087B91" w:rsidP="00860E95">
            <w:pPr>
              <w:pStyle w:val="ARfintablebodyright"/>
            </w:pPr>
            <w:r w:rsidRPr="002029AF">
              <w:t>3.9</w:t>
            </w:r>
          </w:p>
        </w:tc>
      </w:tr>
      <w:tr w:rsidR="00087B91" w:rsidRPr="002029AF" w14:paraId="7831940B" w14:textId="77777777" w:rsidTr="00860E95">
        <w:tc>
          <w:tcPr>
            <w:tcW w:w="7369" w:type="dxa"/>
            <w:tcBorders>
              <w:top w:val="single" w:sz="4" w:space="0" w:color="A6A6A6"/>
              <w:bottom w:val="single" w:sz="4" w:space="0" w:color="A6A6A6"/>
            </w:tcBorders>
            <w:hideMark/>
          </w:tcPr>
          <w:p w14:paraId="40B40828" w14:textId="2CF98F1B" w:rsidR="00087B91" w:rsidRPr="002029AF" w:rsidRDefault="00087B91" w:rsidP="00860E95">
            <w:pPr>
              <w:pStyle w:val="ARfintablebody"/>
            </w:pPr>
            <w:r w:rsidRPr="002029AF">
              <w:t>Variable</w:t>
            </w:r>
            <w:r w:rsidR="000A5329" w:rsidRPr="002029AF">
              <w:t xml:space="preserve"> </w:t>
            </w:r>
            <w:r w:rsidRPr="002029AF">
              <w:t>interest</w:t>
            </w:r>
            <w:r w:rsidR="000A5329" w:rsidRPr="002029AF">
              <w:t xml:space="preserve"> </w:t>
            </w:r>
            <w:r w:rsidRPr="002029AF">
              <w:t>home</w:t>
            </w:r>
            <w:r w:rsidR="000A5329" w:rsidRPr="002029AF">
              <w:t xml:space="preserve"> </w:t>
            </w:r>
            <w:r w:rsidRPr="002029AF">
              <w:t>loans</w:t>
            </w:r>
          </w:p>
        </w:tc>
        <w:tc>
          <w:tcPr>
            <w:tcW w:w="1134" w:type="dxa"/>
            <w:tcBorders>
              <w:top w:val="single" w:sz="4" w:space="0" w:color="A6A6A6"/>
              <w:bottom w:val="single" w:sz="4" w:space="0" w:color="A6A6A6"/>
            </w:tcBorders>
            <w:shd w:val="clear" w:color="auto" w:fill="E7E6E6"/>
            <w:noWrap/>
            <w:hideMark/>
          </w:tcPr>
          <w:p w14:paraId="55A9C624"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6D232439" w14:textId="77777777" w:rsidR="00087B91" w:rsidRPr="002029AF" w:rsidRDefault="00087B91" w:rsidP="00860E95">
            <w:pPr>
              <w:pStyle w:val="ARfintablebodyright"/>
            </w:pPr>
            <w:r w:rsidRPr="002029AF">
              <w:t>0.1</w:t>
            </w:r>
          </w:p>
        </w:tc>
      </w:tr>
      <w:tr w:rsidR="00087B91" w:rsidRPr="002029AF" w14:paraId="152BD7DD" w14:textId="77777777" w:rsidTr="00860E95">
        <w:tc>
          <w:tcPr>
            <w:tcW w:w="7369" w:type="dxa"/>
            <w:tcBorders>
              <w:top w:val="single" w:sz="4" w:space="0" w:color="A6A6A6"/>
              <w:bottom w:val="single" w:sz="4" w:space="0" w:color="A6A6A6"/>
            </w:tcBorders>
            <w:hideMark/>
          </w:tcPr>
          <w:p w14:paraId="21095538" w14:textId="534E0A32" w:rsidR="00087B91" w:rsidRPr="002029AF" w:rsidRDefault="00087B91" w:rsidP="00860E95">
            <w:pPr>
              <w:pStyle w:val="ARfintablebody"/>
            </w:pPr>
            <w:r w:rsidRPr="002029AF">
              <w:t>Community</w:t>
            </w:r>
            <w:r w:rsidR="000A5329" w:rsidRPr="002029AF">
              <w:t xml:space="preserve"> </w:t>
            </w:r>
            <w:r w:rsidRPr="002029AF">
              <w:t>housing</w:t>
            </w:r>
            <w:r w:rsidR="000A5329" w:rsidRPr="002029AF">
              <w:t xml:space="preserve"> </w:t>
            </w:r>
            <w:r w:rsidRPr="002029AF">
              <w:t>loans</w:t>
            </w:r>
          </w:p>
        </w:tc>
        <w:tc>
          <w:tcPr>
            <w:tcW w:w="1134" w:type="dxa"/>
            <w:tcBorders>
              <w:top w:val="single" w:sz="4" w:space="0" w:color="A6A6A6"/>
              <w:bottom w:val="single" w:sz="4" w:space="0" w:color="A6A6A6"/>
            </w:tcBorders>
            <w:shd w:val="clear" w:color="auto" w:fill="E7E6E6"/>
            <w:noWrap/>
            <w:hideMark/>
          </w:tcPr>
          <w:p w14:paraId="7E171C7B" w14:textId="77777777" w:rsidR="00087B91" w:rsidRPr="002029AF" w:rsidRDefault="00087B91" w:rsidP="00860E95">
            <w:pPr>
              <w:pStyle w:val="ARfintablebodyright"/>
            </w:pPr>
            <w:r w:rsidRPr="002029AF">
              <w:t>20.2</w:t>
            </w:r>
          </w:p>
        </w:tc>
        <w:tc>
          <w:tcPr>
            <w:tcW w:w="1134" w:type="dxa"/>
            <w:tcBorders>
              <w:top w:val="single" w:sz="4" w:space="0" w:color="A6A6A6"/>
              <w:bottom w:val="single" w:sz="4" w:space="0" w:color="A6A6A6"/>
            </w:tcBorders>
            <w:noWrap/>
            <w:hideMark/>
          </w:tcPr>
          <w:p w14:paraId="57ACA467" w14:textId="77777777" w:rsidR="00087B91" w:rsidRPr="002029AF" w:rsidRDefault="00087B91" w:rsidP="00860E95">
            <w:pPr>
              <w:pStyle w:val="ARfintablebodyright"/>
            </w:pPr>
            <w:r w:rsidRPr="002029AF">
              <w:t>20.2</w:t>
            </w:r>
          </w:p>
        </w:tc>
      </w:tr>
      <w:tr w:rsidR="00087B91" w:rsidRPr="002029AF" w14:paraId="2B2CED04" w14:textId="77777777" w:rsidTr="00860E95">
        <w:tc>
          <w:tcPr>
            <w:tcW w:w="7369" w:type="dxa"/>
            <w:tcBorders>
              <w:top w:val="single" w:sz="4" w:space="0" w:color="A6A6A6"/>
            </w:tcBorders>
            <w:hideMark/>
          </w:tcPr>
          <w:p w14:paraId="4E0507F6" w14:textId="73B5782F" w:rsidR="00087B91" w:rsidRPr="002029AF" w:rsidRDefault="00087B91" w:rsidP="00860E95">
            <w:pPr>
              <w:pStyle w:val="ARfintablebody"/>
            </w:pPr>
            <w:r w:rsidRPr="002029AF">
              <w:t>Other</w:t>
            </w:r>
            <w:r w:rsidR="000A5329" w:rsidRPr="002029AF">
              <w:t xml:space="preserve"> </w:t>
            </w:r>
            <w:r w:rsidRPr="002029AF">
              <w:t>loans</w:t>
            </w:r>
          </w:p>
        </w:tc>
        <w:tc>
          <w:tcPr>
            <w:tcW w:w="1134" w:type="dxa"/>
            <w:tcBorders>
              <w:top w:val="single" w:sz="4" w:space="0" w:color="A6A6A6"/>
            </w:tcBorders>
            <w:shd w:val="clear" w:color="auto" w:fill="E7E6E6"/>
            <w:noWrap/>
            <w:hideMark/>
          </w:tcPr>
          <w:p w14:paraId="320F3791" w14:textId="77777777" w:rsidR="00087B91" w:rsidRPr="002029AF" w:rsidRDefault="00087B91" w:rsidP="00860E95">
            <w:pPr>
              <w:pStyle w:val="ARfintablebodyright"/>
            </w:pPr>
            <w:r w:rsidRPr="002029AF">
              <w:t>40.5</w:t>
            </w:r>
          </w:p>
        </w:tc>
        <w:tc>
          <w:tcPr>
            <w:tcW w:w="1134" w:type="dxa"/>
            <w:tcBorders>
              <w:top w:val="single" w:sz="4" w:space="0" w:color="A6A6A6"/>
            </w:tcBorders>
            <w:noWrap/>
            <w:hideMark/>
          </w:tcPr>
          <w:p w14:paraId="0CD38F4B" w14:textId="77777777" w:rsidR="00087B91" w:rsidRPr="002029AF" w:rsidRDefault="00087B91" w:rsidP="00860E95">
            <w:pPr>
              <w:pStyle w:val="ARfintablebodyright"/>
            </w:pPr>
            <w:r w:rsidRPr="002029AF">
              <w:t>47.1</w:t>
            </w:r>
          </w:p>
        </w:tc>
      </w:tr>
      <w:tr w:rsidR="00087B91" w:rsidRPr="002029AF" w14:paraId="5124D95C" w14:textId="77777777" w:rsidTr="00860E95">
        <w:tc>
          <w:tcPr>
            <w:tcW w:w="7369" w:type="dxa"/>
            <w:tcBorders>
              <w:bottom w:val="single" w:sz="4" w:space="0" w:color="auto"/>
            </w:tcBorders>
            <w:hideMark/>
          </w:tcPr>
          <w:p w14:paraId="758D71D7" w14:textId="23A59EE9" w:rsidR="00087B91" w:rsidRPr="002029AF" w:rsidRDefault="00087B91" w:rsidP="00860E95">
            <w:pPr>
              <w:pStyle w:val="ARfintablebodybold"/>
            </w:pPr>
            <w:r w:rsidRPr="002029AF">
              <w:t>Total</w:t>
            </w:r>
            <w:r w:rsidR="000A5329" w:rsidRPr="002029AF">
              <w:t xml:space="preserve"> </w:t>
            </w:r>
            <w:r w:rsidRPr="002029AF">
              <w:t>non-current</w:t>
            </w:r>
            <w:r w:rsidR="000A5329" w:rsidRPr="002029AF">
              <w:t xml:space="preserve"> </w:t>
            </w:r>
            <w:r w:rsidRPr="002029AF">
              <w:t>loans</w:t>
            </w:r>
          </w:p>
        </w:tc>
        <w:tc>
          <w:tcPr>
            <w:tcW w:w="1134" w:type="dxa"/>
            <w:tcBorders>
              <w:bottom w:val="single" w:sz="4" w:space="0" w:color="auto"/>
            </w:tcBorders>
            <w:shd w:val="clear" w:color="auto" w:fill="E7E6E6"/>
            <w:noWrap/>
            <w:hideMark/>
          </w:tcPr>
          <w:p w14:paraId="4E553892" w14:textId="77777777" w:rsidR="00087B91" w:rsidRPr="002029AF" w:rsidRDefault="00087B91" w:rsidP="00860E95">
            <w:pPr>
              <w:pStyle w:val="ARfintablebodyrightbold"/>
            </w:pPr>
            <w:r w:rsidRPr="002029AF">
              <w:t>64.9</w:t>
            </w:r>
          </w:p>
        </w:tc>
        <w:tc>
          <w:tcPr>
            <w:tcW w:w="1134" w:type="dxa"/>
            <w:tcBorders>
              <w:bottom w:val="single" w:sz="4" w:space="0" w:color="auto"/>
            </w:tcBorders>
            <w:noWrap/>
            <w:hideMark/>
          </w:tcPr>
          <w:p w14:paraId="36680F6F" w14:textId="77777777" w:rsidR="00087B91" w:rsidRPr="002029AF" w:rsidRDefault="00087B91" w:rsidP="00860E95">
            <w:pPr>
              <w:pStyle w:val="ARfintablebodyrightbold"/>
            </w:pPr>
            <w:r w:rsidRPr="002029AF">
              <w:t>72.6</w:t>
            </w:r>
          </w:p>
        </w:tc>
      </w:tr>
      <w:tr w:rsidR="00087B91" w:rsidRPr="002029AF" w14:paraId="38B1F8AB" w14:textId="77777777" w:rsidTr="00860E95">
        <w:tc>
          <w:tcPr>
            <w:tcW w:w="9637" w:type="dxa"/>
            <w:gridSpan w:val="3"/>
            <w:tcBorders>
              <w:top w:val="single" w:sz="4" w:space="0" w:color="auto"/>
              <w:bottom w:val="single" w:sz="4" w:space="0" w:color="A6A6A6"/>
            </w:tcBorders>
            <w:hideMark/>
          </w:tcPr>
          <w:p w14:paraId="0DB37591" w14:textId="002A2517" w:rsidR="00087B91" w:rsidRPr="002029AF" w:rsidRDefault="00087B91" w:rsidP="00860E95">
            <w:pPr>
              <w:pStyle w:val="ARfintablebodybold"/>
            </w:pPr>
            <w:r w:rsidRPr="002029AF">
              <w:t>Less</w:t>
            </w:r>
            <w:r w:rsidR="000A5329" w:rsidRPr="002029AF">
              <w:t xml:space="preserve"> </w:t>
            </w:r>
            <w:r w:rsidRPr="002029AF">
              <w:t>allowance</w:t>
            </w:r>
            <w:r w:rsidR="000A5329" w:rsidRPr="002029AF">
              <w:t xml:space="preserve"> </w:t>
            </w:r>
            <w:r w:rsidRPr="002029AF">
              <w:t>for</w:t>
            </w:r>
            <w:r w:rsidR="000A5329" w:rsidRPr="002029AF">
              <w:t xml:space="preserve"> </w:t>
            </w:r>
            <w:r w:rsidRPr="002029AF">
              <w:t>impairment</w:t>
            </w:r>
            <w:r w:rsidR="000A5329" w:rsidRPr="002029AF">
              <w:t xml:space="preserve"> </w:t>
            </w:r>
            <w:r w:rsidRPr="002029AF">
              <w:t>losses</w:t>
            </w:r>
            <w:r w:rsidR="000A5329" w:rsidRPr="002029AF">
              <w:t xml:space="preserve"> </w:t>
            </w:r>
            <w:r w:rsidRPr="002029AF">
              <w:t>of</w:t>
            </w:r>
            <w:r w:rsidR="000A5329" w:rsidRPr="002029AF">
              <w:t xml:space="preserve"> </w:t>
            </w:r>
            <w:r w:rsidRPr="002029AF">
              <w:t>contractual</w:t>
            </w:r>
            <w:r w:rsidR="000A5329" w:rsidRPr="002029AF">
              <w:t xml:space="preserve"> </w:t>
            </w:r>
            <w:r w:rsidRPr="002029AF">
              <w:t>loans</w:t>
            </w:r>
          </w:p>
        </w:tc>
      </w:tr>
      <w:tr w:rsidR="00087B91" w:rsidRPr="002029AF" w14:paraId="6AFC1666" w14:textId="77777777" w:rsidTr="00860E95">
        <w:tc>
          <w:tcPr>
            <w:tcW w:w="7369" w:type="dxa"/>
            <w:tcBorders>
              <w:top w:val="single" w:sz="4" w:space="0" w:color="A6A6A6"/>
              <w:bottom w:val="single" w:sz="4" w:space="0" w:color="A6A6A6"/>
            </w:tcBorders>
            <w:hideMark/>
          </w:tcPr>
          <w:p w14:paraId="1E9D8C6B" w14:textId="347C9AF8" w:rsidR="00087B91" w:rsidRPr="002029AF" w:rsidRDefault="00087B91" w:rsidP="00860E95">
            <w:pPr>
              <w:pStyle w:val="ARfintablebody"/>
            </w:pPr>
            <w:r w:rsidRPr="002029AF">
              <w:t>Fixed</w:t>
            </w:r>
            <w:r w:rsidR="000A5329" w:rsidRPr="002029AF">
              <w:t xml:space="preserve"> </w:t>
            </w:r>
            <w:r w:rsidRPr="002029AF">
              <w:t>interest</w:t>
            </w:r>
            <w:r w:rsidR="000A5329" w:rsidRPr="002029AF">
              <w:t xml:space="preserve"> </w:t>
            </w:r>
            <w:r w:rsidRPr="002029AF">
              <w:t>home</w:t>
            </w:r>
            <w:r w:rsidR="000A5329" w:rsidRPr="002029AF">
              <w:t xml:space="preserve"> </w:t>
            </w:r>
            <w:r w:rsidRPr="002029AF">
              <w:t>loans</w:t>
            </w:r>
          </w:p>
        </w:tc>
        <w:tc>
          <w:tcPr>
            <w:tcW w:w="1134" w:type="dxa"/>
            <w:tcBorders>
              <w:top w:val="single" w:sz="4" w:space="0" w:color="A6A6A6"/>
              <w:bottom w:val="single" w:sz="4" w:space="0" w:color="A6A6A6"/>
            </w:tcBorders>
            <w:shd w:val="clear" w:color="auto" w:fill="E7E6E6"/>
            <w:noWrap/>
            <w:hideMark/>
          </w:tcPr>
          <w:p w14:paraId="1D20A59D" w14:textId="77777777" w:rsidR="00087B91" w:rsidRPr="002029AF" w:rsidRDefault="00087B91" w:rsidP="00860E95">
            <w:pPr>
              <w:pStyle w:val="ARfintablebodyright"/>
            </w:pPr>
            <w:r w:rsidRPr="002029AF">
              <w:t>(0.1)</w:t>
            </w:r>
          </w:p>
        </w:tc>
        <w:tc>
          <w:tcPr>
            <w:tcW w:w="1134" w:type="dxa"/>
            <w:tcBorders>
              <w:top w:val="single" w:sz="4" w:space="0" w:color="A6A6A6"/>
              <w:bottom w:val="single" w:sz="4" w:space="0" w:color="A6A6A6"/>
            </w:tcBorders>
            <w:noWrap/>
            <w:hideMark/>
          </w:tcPr>
          <w:p w14:paraId="087E291E" w14:textId="77777777" w:rsidR="00087B91" w:rsidRPr="002029AF" w:rsidRDefault="00087B91" w:rsidP="00860E95">
            <w:pPr>
              <w:pStyle w:val="ARfintablebodyright"/>
            </w:pPr>
            <w:r w:rsidRPr="002029AF">
              <w:t>(0.1)</w:t>
            </w:r>
          </w:p>
        </w:tc>
      </w:tr>
      <w:tr w:rsidR="00087B91" w:rsidRPr="002029AF" w14:paraId="19A67E2B" w14:textId="77777777" w:rsidTr="00860E95">
        <w:tc>
          <w:tcPr>
            <w:tcW w:w="7369" w:type="dxa"/>
            <w:tcBorders>
              <w:top w:val="single" w:sz="4" w:space="0" w:color="A6A6A6"/>
            </w:tcBorders>
            <w:hideMark/>
          </w:tcPr>
          <w:p w14:paraId="63F4313A" w14:textId="1616BF84" w:rsidR="00087B91" w:rsidRPr="002029AF" w:rsidRDefault="00087B91" w:rsidP="00860E95">
            <w:pPr>
              <w:pStyle w:val="ARfintablebody"/>
            </w:pPr>
            <w:r w:rsidRPr="002029AF">
              <w:t>Indexed</w:t>
            </w:r>
            <w:r w:rsidR="000A5329" w:rsidRPr="002029AF">
              <w:t xml:space="preserve"> </w:t>
            </w:r>
            <w:r w:rsidRPr="002029AF">
              <w:t>interest</w:t>
            </w:r>
            <w:r w:rsidR="000A5329" w:rsidRPr="002029AF">
              <w:t xml:space="preserve"> </w:t>
            </w:r>
            <w:r w:rsidRPr="002029AF">
              <w:t>home</w:t>
            </w:r>
            <w:r w:rsidR="000A5329" w:rsidRPr="002029AF">
              <w:t xml:space="preserve"> </w:t>
            </w:r>
            <w:r w:rsidRPr="002029AF">
              <w:t>loans</w:t>
            </w:r>
          </w:p>
        </w:tc>
        <w:tc>
          <w:tcPr>
            <w:tcW w:w="1134" w:type="dxa"/>
            <w:tcBorders>
              <w:top w:val="single" w:sz="4" w:space="0" w:color="A6A6A6"/>
            </w:tcBorders>
            <w:shd w:val="clear" w:color="auto" w:fill="E7E6E6"/>
            <w:noWrap/>
            <w:hideMark/>
          </w:tcPr>
          <w:p w14:paraId="2A1166BF" w14:textId="77777777" w:rsidR="00087B91" w:rsidRPr="002029AF" w:rsidRDefault="00087B91" w:rsidP="00860E95">
            <w:pPr>
              <w:pStyle w:val="ARfintablebodyright"/>
            </w:pPr>
            <w:r w:rsidRPr="002029AF">
              <w:t>(0.3)</w:t>
            </w:r>
          </w:p>
        </w:tc>
        <w:tc>
          <w:tcPr>
            <w:tcW w:w="1134" w:type="dxa"/>
            <w:tcBorders>
              <w:top w:val="single" w:sz="4" w:space="0" w:color="A6A6A6"/>
            </w:tcBorders>
            <w:noWrap/>
            <w:hideMark/>
          </w:tcPr>
          <w:p w14:paraId="789F7DB5" w14:textId="77777777" w:rsidR="00087B91" w:rsidRPr="002029AF" w:rsidRDefault="00087B91" w:rsidP="00860E95">
            <w:pPr>
              <w:pStyle w:val="ARfintablebodyright"/>
            </w:pPr>
            <w:r w:rsidRPr="002029AF">
              <w:t>(0.2)</w:t>
            </w:r>
          </w:p>
        </w:tc>
      </w:tr>
      <w:tr w:rsidR="00087B91" w:rsidRPr="002029AF" w14:paraId="6C57DCC8" w14:textId="77777777" w:rsidTr="00860E95">
        <w:tc>
          <w:tcPr>
            <w:tcW w:w="7369" w:type="dxa"/>
            <w:hideMark/>
          </w:tcPr>
          <w:p w14:paraId="23430360" w14:textId="191AE135" w:rsidR="00087B91" w:rsidRPr="002029AF" w:rsidRDefault="00087B91" w:rsidP="00860E95">
            <w:pPr>
              <w:pStyle w:val="ARfintablebodybold"/>
            </w:pPr>
            <w:r w:rsidRPr="002029AF">
              <w:t>Total</w:t>
            </w:r>
            <w:r w:rsidR="000A5329" w:rsidRPr="002029AF">
              <w:t xml:space="preserve"> </w:t>
            </w:r>
            <w:r w:rsidRPr="002029AF">
              <w:t>allowance</w:t>
            </w:r>
            <w:r w:rsidR="000A5329" w:rsidRPr="002029AF">
              <w:t xml:space="preserve"> </w:t>
            </w:r>
            <w:r w:rsidRPr="002029AF">
              <w:t>for</w:t>
            </w:r>
            <w:r w:rsidR="000A5329" w:rsidRPr="002029AF">
              <w:t xml:space="preserve"> </w:t>
            </w:r>
            <w:r w:rsidRPr="002029AF">
              <w:t>impairment</w:t>
            </w:r>
            <w:r w:rsidR="000A5329" w:rsidRPr="002029AF">
              <w:t xml:space="preserve"> </w:t>
            </w:r>
            <w:r w:rsidRPr="002029AF">
              <w:t>losses</w:t>
            </w:r>
            <w:r w:rsidR="000A5329" w:rsidRPr="002029AF">
              <w:t xml:space="preserve"> </w:t>
            </w:r>
            <w:r w:rsidRPr="002029AF">
              <w:t>of</w:t>
            </w:r>
            <w:r w:rsidR="000A5329" w:rsidRPr="002029AF">
              <w:t xml:space="preserve"> </w:t>
            </w:r>
            <w:r w:rsidRPr="002029AF">
              <w:t>contractual</w:t>
            </w:r>
            <w:r w:rsidR="000A5329" w:rsidRPr="002029AF">
              <w:t xml:space="preserve"> </w:t>
            </w:r>
            <w:r w:rsidRPr="002029AF">
              <w:t>loans</w:t>
            </w:r>
          </w:p>
        </w:tc>
        <w:tc>
          <w:tcPr>
            <w:tcW w:w="1134" w:type="dxa"/>
            <w:shd w:val="clear" w:color="auto" w:fill="E7E6E6"/>
            <w:noWrap/>
            <w:hideMark/>
          </w:tcPr>
          <w:p w14:paraId="5CE545DA" w14:textId="77777777" w:rsidR="00087B91" w:rsidRPr="002029AF" w:rsidRDefault="00087B91" w:rsidP="00860E95">
            <w:pPr>
              <w:pStyle w:val="ARfintablebodyrightbold"/>
            </w:pPr>
            <w:r w:rsidRPr="002029AF">
              <w:t>(0.4)</w:t>
            </w:r>
          </w:p>
        </w:tc>
        <w:tc>
          <w:tcPr>
            <w:tcW w:w="1134" w:type="dxa"/>
            <w:noWrap/>
            <w:hideMark/>
          </w:tcPr>
          <w:p w14:paraId="62B59D13" w14:textId="77777777" w:rsidR="00087B91" w:rsidRPr="002029AF" w:rsidRDefault="00087B91" w:rsidP="00860E95">
            <w:pPr>
              <w:pStyle w:val="ARfintablebodyrightbold"/>
            </w:pPr>
            <w:r w:rsidRPr="002029AF">
              <w:t>(0.3)</w:t>
            </w:r>
          </w:p>
        </w:tc>
      </w:tr>
      <w:tr w:rsidR="00087B91" w:rsidRPr="002029AF" w14:paraId="60978982" w14:textId="77777777" w:rsidTr="00860E95">
        <w:tc>
          <w:tcPr>
            <w:tcW w:w="7369" w:type="dxa"/>
            <w:hideMark/>
          </w:tcPr>
          <w:p w14:paraId="01BDE0AB" w14:textId="722652D9" w:rsidR="00087B91" w:rsidRPr="002029AF" w:rsidRDefault="00087B91" w:rsidP="00860E95">
            <w:pPr>
              <w:pStyle w:val="ARfintablebodybold"/>
            </w:pPr>
            <w:r w:rsidRPr="002029AF">
              <w:t>Total</w:t>
            </w:r>
            <w:r w:rsidR="000A5329" w:rsidRPr="002029AF">
              <w:t xml:space="preserve"> </w:t>
            </w:r>
            <w:r w:rsidRPr="002029AF">
              <w:t>loans</w:t>
            </w:r>
          </w:p>
        </w:tc>
        <w:tc>
          <w:tcPr>
            <w:tcW w:w="1134" w:type="dxa"/>
            <w:shd w:val="clear" w:color="auto" w:fill="E7E6E6"/>
            <w:noWrap/>
            <w:hideMark/>
          </w:tcPr>
          <w:p w14:paraId="6C60A4E9" w14:textId="77777777" w:rsidR="00087B91" w:rsidRPr="002029AF" w:rsidRDefault="00087B91" w:rsidP="00860E95">
            <w:pPr>
              <w:pStyle w:val="ARfintablebodyrightbold"/>
            </w:pPr>
            <w:r w:rsidRPr="002029AF">
              <w:t>389.5</w:t>
            </w:r>
          </w:p>
        </w:tc>
        <w:tc>
          <w:tcPr>
            <w:tcW w:w="1134" w:type="dxa"/>
            <w:noWrap/>
            <w:hideMark/>
          </w:tcPr>
          <w:p w14:paraId="52A35F9A" w14:textId="77777777" w:rsidR="00087B91" w:rsidRPr="002029AF" w:rsidRDefault="00087B91" w:rsidP="00860E95">
            <w:pPr>
              <w:pStyle w:val="ARfintablebodyrightbold"/>
            </w:pPr>
            <w:r w:rsidRPr="002029AF">
              <w:t>94.9</w:t>
            </w:r>
          </w:p>
        </w:tc>
      </w:tr>
    </w:tbl>
    <w:p w14:paraId="30833604" w14:textId="3DDAD2BF" w:rsidR="00087B91" w:rsidRPr="002029AF" w:rsidRDefault="00087B91" w:rsidP="00087B91">
      <w:pPr>
        <w:pStyle w:val="ARfinbodyaftertable"/>
      </w:pP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housing-related</w:t>
      </w:r>
      <w:r w:rsidR="000A5329" w:rsidRPr="002029AF">
        <w:t xml:space="preserve"> </w:t>
      </w:r>
      <w:r w:rsidRPr="002029AF">
        <w:t>loans</w:t>
      </w:r>
      <w:r w:rsidR="000A5329" w:rsidRPr="002029AF">
        <w:t xml:space="preserve"> </w:t>
      </w:r>
      <w:r w:rsidRPr="002029AF">
        <w:t>and</w:t>
      </w:r>
      <w:r w:rsidR="000A5329" w:rsidRPr="002029AF">
        <w:t xml:space="preserve"> </w:t>
      </w:r>
      <w:r w:rsidRPr="002029AF">
        <w:t>loans</w:t>
      </w:r>
      <w:r w:rsidR="000A5329" w:rsidRPr="002029AF">
        <w:t xml:space="preserve"> </w:t>
      </w:r>
      <w:r w:rsidRPr="002029AF">
        <w:t>and</w:t>
      </w:r>
      <w:r w:rsidR="000A5329" w:rsidRPr="002029AF">
        <w:t xml:space="preserve"> </w:t>
      </w:r>
      <w:r w:rsidRPr="002029AF">
        <w:t>advances</w:t>
      </w:r>
      <w:r w:rsidR="000A5329" w:rsidRPr="002029AF">
        <w:t xml:space="preserve"> </w:t>
      </w:r>
      <w:r w:rsidRPr="002029AF">
        <w:t>to</w:t>
      </w:r>
      <w:r w:rsidR="000A5329" w:rsidRPr="002029AF">
        <w:t xml:space="preserve"> </w:t>
      </w:r>
      <w:r w:rsidRPr="002029AF">
        <w:t>health</w:t>
      </w:r>
      <w:r w:rsidR="000A5329" w:rsidRPr="002029AF">
        <w:t xml:space="preserve"> </w:t>
      </w:r>
      <w:r w:rsidRPr="002029AF">
        <w:t>agencies.</w:t>
      </w:r>
      <w:r w:rsidR="000A5329" w:rsidRPr="002029AF">
        <w:t xml:space="preserve"> </w:t>
      </w:r>
      <w:r w:rsidRPr="002029AF">
        <w:t>The</w:t>
      </w:r>
      <w:r w:rsidR="000A5329" w:rsidRPr="002029AF">
        <w:t xml:space="preserve"> </w:t>
      </w:r>
      <w:r w:rsidRPr="002029AF">
        <w:t>majority</w:t>
      </w:r>
      <w:r w:rsidR="000A5329" w:rsidRPr="002029AF">
        <w:t xml:space="preserve"> </w:t>
      </w:r>
      <w:r w:rsidRPr="002029AF">
        <w:t>of</w:t>
      </w:r>
      <w:r w:rsidR="000A5329" w:rsidRPr="002029AF">
        <w:t xml:space="preserve"> </w:t>
      </w:r>
      <w:r w:rsidRPr="002029AF">
        <w:t>housing</w:t>
      </w:r>
      <w:r w:rsidR="000A5329" w:rsidRPr="002029AF">
        <w:t xml:space="preserve"> </w:t>
      </w:r>
      <w:r w:rsidRPr="002029AF">
        <w:t>loans</w:t>
      </w:r>
      <w:r w:rsidR="000A5329" w:rsidRPr="002029AF">
        <w:t xml:space="preserve"> </w:t>
      </w:r>
      <w:r w:rsidRPr="002029AF">
        <w:t>are</w:t>
      </w:r>
      <w:r w:rsidR="000A5329" w:rsidRPr="002029AF">
        <w:t xml:space="preserve"> </w:t>
      </w:r>
      <w:r w:rsidRPr="002029AF">
        <w:t>secured</w:t>
      </w:r>
      <w:r w:rsidR="000A5329" w:rsidRPr="002029AF">
        <w:t xml:space="preserve"> </w:t>
      </w:r>
      <w:r w:rsidRPr="002029AF">
        <w:t>by</w:t>
      </w:r>
      <w:r w:rsidR="000A5329" w:rsidRPr="002029AF">
        <w:t xml:space="preserve"> </w:t>
      </w:r>
      <w:r w:rsidRPr="002029AF">
        <w:t>a</w:t>
      </w:r>
      <w:r w:rsidR="000A5329" w:rsidRPr="002029AF">
        <w:t xml:space="preserve"> </w:t>
      </w:r>
      <w:r w:rsidRPr="002029AF">
        <w:t>registered</w:t>
      </w:r>
      <w:r w:rsidR="000A5329" w:rsidRPr="002029AF">
        <w:t xml:space="preserve"> </w:t>
      </w:r>
      <w:r w:rsidRPr="002029AF">
        <w:t>mortgage.</w:t>
      </w:r>
      <w:r w:rsidR="000A5329" w:rsidRPr="002029AF">
        <w:t xml:space="preserve"> </w:t>
      </w:r>
      <w:r w:rsidR="006326CC" w:rsidRPr="002029AF">
        <w:t>However,</w:t>
      </w:r>
      <w:r w:rsidR="000A5329" w:rsidRPr="002029AF">
        <w:t xml:space="preserve"> </w:t>
      </w:r>
      <w:r w:rsidRPr="002029AF">
        <w:t>there</w:t>
      </w:r>
      <w:r w:rsidR="000A5329" w:rsidRPr="002029AF">
        <w:t xml:space="preserve"> </w:t>
      </w:r>
      <w:r w:rsidRPr="002029AF">
        <w:t>is</w:t>
      </w:r>
      <w:r w:rsidR="000A5329" w:rsidRPr="002029AF">
        <w:t xml:space="preserve"> </w:t>
      </w:r>
      <w:r w:rsidRPr="002029AF">
        <w:t>a</w:t>
      </w:r>
      <w:r w:rsidR="000A5329" w:rsidRPr="002029AF">
        <w:t xml:space="preserve"> </w:t>
      </w:r>
      <w:r w:rsidRPr="002029AF">
        <w:t>small</w:t>
      </w:r>
      <w:r w:rsidR="000A5329" w:rsidRPr="002029AF">
        <w:t xml:space="preserve"> </w:t>
      </w:r>
      <w:r w:rsidRPr="002029AF">
        <w:t>number</w:t>
      </w:r>
      <w:r w:rsidR="000A5329" w:rsidRPr="002029AF">
        <w:t xml:space="preserve"> </w:t>
      </w:r>
      <w:r w:rsidRPr="002029AF">
        <w:t>of</w:t>
      </w:r>
      <w:r w:rsidR="000A5329" w:rsidRPr="002029AF">
        <w:t xml:space="preserve"> </w:t>
      </w:r>
      <w:r w:rsidRPr="002029AF">
        <w:t>loans</w:t>
      </w:r>
      <w:r w:rsidR="000A5329" w:rsidRPr="002029AF">
        <w:t xml:space="preserve"> </w:t>
      </w:r>
      <w:r w:rsidRPr="002029AF">
        <w:t>that</w:t>
      </w:r>
      <w:r w:rsidR="000A5329" w:rsidRPr="002029AF">
        <w:t xml:space="preserve"> </w:t>
      </w:r>
      <w:r w:rsidRPr="002029AF">
        <w:t>are</w:t>
      </w:r>
      <w:r w:rsidR="000A5329" w:rsidRPr="002029AF">
        <w:t xml:space="preserve"> </w:t>
      </w:r>
      <w:r w:rsidRPr="002029AF">
        <w:t>on</w:t>
      </w:r>
      <w:r w:rsidR="000A5329" w:rsidRPr="002029AF">
        <w:t xml:space="preserve"> </w:t>
      </w:r>
      <w:r w:rsidRPr="002029AF">
        <w:t>terms</w:t>
      </w:r>
      <w:r w:rsidR="000A5329" w:rsidRPr="002029AF">
        <w:t xml:space="preserve"> </w:t>
      </w:r>
      <w:r w:rsidRPr="002029AF">
        <w:t>in</w:t>
      </w:r>
      <w:r w:rsidR="000A5329" w:rsidRPr="002029AF">
        <w:t xml:space="preserve"> </w:t>
      </w:r>
      <w:r w:rsidRPr="002029AF">
        <w:t>contracts</w:t>
      </w:r>
      <w:r w:rsidR="000A5329" w:rsidRPr="002029AF">
        <w:t xml:space="preserve"> </w:t>
      </w:r>
      <w:r w:rsidRPr="002029AF">
        <w:t>of</w:t>
      </w:r>
      <w:r w:rsidR="000A5329" w:rsidRPr="002029AF">
        <w:t xml:space="preserve"> </w:t>
      </w:r>
      <w:r w:rsidRPr="002029AF">
        <w:t>sale.</w:t>
      </w:r>
      <w:r w:rsidR="000A5329" w:rsidRPr="002029AF">
        <w:t xml:space="preserve"> </w:t>
      </w:r>
      <w:r w:rsidRPr="002029AF">
        <w:t>The</w:t>
      </w:r>
      <w:r w:rsidR="000A5329" w:rsidRPr="002029AF">
        <w:t xml:space="preserve"> </w:t>
      </w:r>
      <w:r w:rsidRPr="002029AF">
        <w:t>title</w:t>
      </w:r>
      <w:r w:rsidR="000A5329" w:rsidRPr="002029AF">
        <w:t xml:space="preserve"> </w:t>
      </w:r>
      <w:r w:rsidRPr="002029AF">
        <w:t>remains</w:t>
      </w:r>
      <w:r w:rsidR="000A5329" w:rsidRPr="002029AF">
        <w:t xml:space="preserve"> </w:t>
      </w:r>
      <w:r w:rsidRPr="002029AF">
        <w:t>in</w:t>
      </w:r>
      <w:r w:rsidR="000A5329" w:rsidRPr="002029AF">
        <w:t xml:space="preserve"> </w:t>
      </w:r>
      <w:r w:rsidRPr="002029AF">
        <w:t>the</w:t>
      </w:r>
      <w:r w:rsidR="000A5329" w:rsidRPr="002029AF">
        <w:t xml:space="preserve"> </w:t>
      </w:r>
      <w:r w:rsidRPr="002029AF">
        <w:t>name</w:t>
      </w:r>
      <w:r w:rsidR="000A5329" w:rsidRPr="002029AF">
        <w:t xml:space="preserve"> </w:t>
      </w:r>
      <w:r w:rsidRPr="002029AF">
        <w:t>of</w:t>
      </w:r>
      <w:r w:rsidR="000A5329" w:rsidRPr="002029AF">
        <w:t xml:space="preserve"> </w:t>
      </w:r>
      <w:r w:rsidRPr="002029AF">
        <w:t>the</w:t>
      </w:r>
      <w:r w:rsidR="000A5329" w:rsidRPr="002029AF">
        <w:t xml:space="preserve"> </w:t>
      </w:r>
      <w:r w:rsidRPr="002029AF">
        <w:t>vendor,</w:t>
      </w:r>
      <w:r w:rsidR="000A5329" w:rsidRPr="002029AF">
        <w:t xml:space="preserve"> </w:t>
      </w:r>
      <w:r w:rsidRPr="002029AF">
        <w:t>Director</w:t>
      </w:r>
      <w:r w:rsidR="000A5329" w:rsidRPr="002029AF">
        <w:t xml:space="preserve"> </w:t>
      </w:r>
      <w:r w:rsidRPr="002029AF">
        <w:t>of</w:t>
      </w:r>
      <w:r w:rsidR="000A5329" w:rsidRPr="002029AF">
        <w:t xml:space="preserve"> </w:t>
      </w:r>
      <w:r w:rsidRPr="002029AF">
        <w:t>Housing</w:t>
      </w:r>
      <w:r w:rsidR="000A5329" w:rsidRPr="002029AF">
        <w:t xml:space="preserve"> </w:t>
      </w:r>
      <w:r w:rsidRPr="002029AF">
        <w:t>as</w:t>
      </w:r>
      <w:r w:rsidR="000A5329" w:rsidRPr="002029AF">
        <w:t xml:space="preserve"> </w:t>
      </w:r>
      <w:r w:rsidRPr="002029AF">
        <w:t>successor</w:t>
      </w:r>
      <w:r w:rsidR="000A5329" w:rsidRPr="002029AF">
        <w:t xml:space="preserve"> </w:t>
      </w:r>
      <w:r w:rsidRPr="002029AF">
        <w:t>in</w:t>
      </w:r>
      <w:r w:rsidR="000A5329" w:rsidRPr="002029AF">
        <w:t xml:space="preserve"> </w:t>
      </w:r>
      <w:r w:rsidRPr="002029AF">
        <w:t>title</w:t>
      </w:r>
      <w:r w:rsidR="000A5329" w:rsidRPr="002029AF">
        <w:t xml:space="preserve"> </w:t>
      </w:r>
      <w:r w:rsidRPr="002029AF">
        <w:t>to</w:t>
      </w:r>
      <w:r w:rsidR="000A5329" w:rsidRPr="002029AF">
        <w:t xml:space="preserve"> </w:t>
      </w:r>
      <w:r w:rsidRPr="002029AF">
        <w:t>the</w:t>
      </w:r>
      <w:r w:rsidR="000A5329" w:rsidRPr="002029AF">
        <w:t xml:space="preserve"> </w:t>
      </w:r>
      <w:r w:rsidRPr="002029AF">
        <w:t>Housing</w:t>
      </w:r>
      <w:r w:rsidR="000A5329" w:rsidRPr="002029AF">
        <w:t xml:space="preserve"> </w:t>
      </w:r>
      <w:r w:rsidRPr="002029AF">
        <w:t>Commission,</w:t>
      </w:r>
      <w:r w:rsidR="000A5329" w:rsidRPr="002029AF">
        <w:t xml:space="preserve"> </w:t>
      </w:r>
      <w:r w:rsidRPr="002029AF">
        <w:t>until</w:t>
      </w:r>
      <w:r w:rsidR="000A5329" w:rsidRPr="002029AF">
        <w:t xml:space="preserve"> </w:t>
      </w:r>
      <w:r w:rsidRPr="002029AF">
        <w:t>the</w:t>
      </w:r>
      <w:r w:rsidR="000A5329" w:rsidRPr="002029AF">
        <w:t xml:space="preserve"> </w:t>
      </w:r>
      <w:r w:rsidRPr="002029AF">
        <w:t>amount</w:t>
      </w:r>
      <w:r w:rsidR="000A5329" w:rsidRPr="002029AF">
        <w:t xml:space="preserve"> </w:t>
      </w:r>
      <w:r w:rsidRPr="002029AF">
        <w:t>owing</w:t>
      </w:r>
      <w:r w:rsidR="000A5329" w:rsidRPr="002029AF">
        <w:t xml:space="preserve"> </w:t>
      </w:r>
      <w:r w:rsidRPr="002029AF">
        <w:t>under</w:t>
      </w:r>
      <w:r w:rsidR="000A5329" w:rsidRPr="002029AF">
        <w:t xml:space="preserve"> </w:t>
      </w:r>
      <w:r w:rsidRPr="002029AF">
        <w:t>the</w:t>
      </w:r>
      <w:r w:rsidR="000A5329" w:rsidRPr="002029AF">
        <w:t xml:space="preserve"> </w:t>
      </w:r>
      <w:r w:rsidRPr="002029AF">
        <w:t>contract</w:t>
      </w:r>
      <w:r w:rsidR="000A5329" w:rsidRPr="002029AF">
        <w:t xml:space="preserve"> </w:t>
      </w:r>
      <w:r w:rsidRPr="002029AF">
        <w:t>of</w:t>
      </w:r>
      <w:r w:rsidR="000A5329" w:rsidRPr="002029AF">
        <w:t xml:space="preserve"> </w:t>
      </w:r>
      <w:r w:rsidRPr="002029AF">
        <w:t>sale</w:t>
      </w:r>
      <w:r w:rsidR="000A5329" w:rsidRPr="002029AF">
        <w:t xml:space="preserve"> </w:t>
      </w:r>
      <w:r w:rsidRPr="002029AF">
        <w:t>is</w:t>
      </w:r>
      <w:r w:rsidR="000A5329" w:rsidRPr="002029AF">
        <w:t xml:space="preserve"> </w:t>
      </w:r>
      <w:r w:rsidRPr="002029AF">
        <w:t>paid</w:t>
      </w:r>
      <w:r w:rsidR="000A5329" w:rsidRPr="002029AF">
        <w:t xml:space="preserve"> </w:t>
      </w:r>
      <w:r w:rsidRPr="002029AF">
        <w:t>in</w:t>
      </w:r>
      <w:r w:rsidR="000A5329" w:rsidRPr="002029AF">
        <w:t xml:space="preserve"> </w:t>
      </w:r>
      <w:r w:rsidRPr="002029AF">
        <w:t>full.</w:t>
      </w:r>
      <w:r w:rsidR="000A5329" w:rsidRPr="002029AF">
        <w:t xml:space="preserve"> </w:t>
      </w:r>
      <w:r w:rsidRPr="002029AF">
        <w:t>Some</w:t>
      </w:r>
      <w:r w:rsidR="000A5329" w:rsidRPr="002029AF">
        <w:t xml:space="preserve"> </w:t>
      </w:r>
      <w:r w:rsidRPr="002029AF">
        <w:t>mortgage</w:t>
      </w:r>
      <w:r w:rsidR="000A5329" w:rsidRPr="002029AF">
        <w:t xml:space="preserve"> </w:t>
      </w:r>
      <w:r w:rsidRPr="002029AF">
        <w:t>relief</w:t>
      </w:r>
      <w:r w:rsidR="000A5329" w:rsidRPr="002029AF">
        <w:t xml:space="preserve"> </w:t>
      </w:r>
      <w:r w:rsidRPr="002029AF">
        <w:t>and</w:t>
      </w:r>
      <w:r w:rsidR="000A5329" w:rsidRPr="002029AF">
        <w:t xml:space="preserve"> </w:t>
      </w:r>
      <w:r w:rsidRPr="002029AF">
        <w:t>home</w:t>
      </w:r>
      <w:r w:rsidR="000A5329" w:rsidRPr="002029AF">
        <w:t xml:space="preserve"> </w:t>
      </w:r>
      <w:r w:rsidRPr="002029AF">
        <w:t>renovation</w:t>
      </w:r>
      <w:r w:rsidR="000A5329" w:rsidRPr="002029AF">
        <w:t xml:space="preserve"> </w:t>
      </w:r>
      <w:r w:rsidRPr="002029AF">
        <w:t>loans</w:t>
      </w:r>
      <w:r w:rsidR="000A5329" w:rsidRPr="002029AF">
        <w:t xml:space="preserve"> </w:t>
      </w:r>
      <w:r w:rsidRPr="002029AF">
        <w:t>are</w:t>
      </w:r>
      <w:r w:rsidR="000A5329" w:rsidRPr="002029AF">
        <w:t xml:space="preserve"> </w:t>
      </w:r>
      <w:r w:rsidRPr="002029AF">
        <w:t>subject</w:t>
      </w:r>
      <w:r w:rsidR="000A5329" w:rsidRPr="002029AF">
        <w:t xml:space="preserve"> </w:t>
      </w:r>
      <w:r w:rsidRPr="002029AF">
        <w:t>to</w:t>
      </w:r>
      <w:r w:rsidR="000A5329" w:rsidRPr="002029AF">
        <w:t xml:space="preserve"> </w:t>
      </w:r>
      <w:r w:rsidRPr="002029AF">
        <w:t>an</w:t>
      </w:r>
      <w:r w:rsidR="000A5329" w:rsidRPr="002029AF">
        <w:t xml:space="preserve"> </w:t>
      </w:r>
      <w:r w:rsidRPr="002029AF">
        <w:t>unregistered</w:t>
      </w:r>
      <w:r w:rsidR="000A5329" w:rsidRPr="002029AF">
        <w:t xml:space="preserve"> </w:t>
      </w:r>
      <w:r w:rsidRPr="002029AF">
        <w:t>mortgage</w:t>
      </w:r>
      <w:r w:rsidR="000A5329" w:rsidRPr="002029AF">
        <w:t xml:space="preserve"> </w:t>
      </w:r>
      <w:r w:rsidRPr="002029AF">
        <w:t>with</w:t>
      </w:r>
      <w:r w:rsidR="000A5329" w:rsidRPr="002029AF">
        <w:t xml:space="preserve"> </w:t>
      </w:r>
      <w:r w:rsidRPr="002029AF">
        <w:t>a</w:t>
      </w:r>
      <w:r w:rsidR="000A5329" w:rsidRPr="002029AF">
        <w:t xml:space="preserve"> </w:t>
      </w:r>
      <w:r w:rsidRPr="002029AF">
        <w:t>caveat</w:t>
      </w:r>
      <w:r w:rsidR="000A5329" w:rsidRPr="002029AF">
        <w:t xml:space="preserve"> </w:t>
      </w:r>
      <w:r w:rsidRPr="002029AF">
        <w:t>on</w:t>
      </w:r>
      <w:r w:rsidR="000A5329" w:rsidRPr="002029AF">
        <w:t xml:space="preserve"> </w:t>
      </w:r>
      <w:r w:rsidRPr="002029AF">
        <w:t>the</w:t>
      </w:r>
      <w:r w:rsidR="000A5329" w:rsidRPr="002029AF">
        <w:t xml:space="preserve"> </w:t>
      </w:r>
      <w:r w:rsidRPr="002029AF">
        <w:t>title</w:t>
      </w:r>
      <w:r w:rsidR="000A5329" w:rsidRPr="002029AF">
        <w:t xml:space="preserve"> </w:t>
      </w:r>
      <w:r w:rsidRPr="002029AF">
        <w:t>noting</w:t>
      </w:r>
      <w:r w:rsidR="000A5329" w:rsidRPr="002029AF">
        <w:t xml:space="preserve"> </w:t>
      </w:r>
      <w:r w:rsidRPr="002029AF">
        <w:t>the</w:t>
      </w:r>
      <w:r w:rsidR="000A5329" w:rsidRPr="002029AF">
        <w:t xml:space="preserve"> </w:t>
      </w:r>
      <w:r w:rsidRPr="002029AF">
        <w:t>Director</w:t>
      </w:r>
      <w:r w:rsidR="000A5329" w:rsidRPr="002029AF">
        <w:t xml:space="preserve"> </w:t>
      </w:r>
      <w:r w:rsidRPr="002029AF">
        <w:t>of</w:t>
      </w:r>
      <w:r w:rsidR="000A5329" w:rsidRPr="002029AF">
        <w:t xml:space="preserve"> </w:t>
      </w:r>
      <w:r w:rsidRPr="002029AF">
        <w:t>Housing</w:t>
      </w:r>
      <w:r w:rsidR="000A5329" w:rsidRPr="002029AF">
        <w:t xml:space="preserve"> </w:t>
      </w:r>
      <w:r w:rsidRPr="002029AF">
        <w:t>as</w:t>
      </w:r>
      <w:r w:rsidR="000A5329" w:rsidRPr="002029AF">
        <w:t xml:space="preserve"> </w:t>
      </w:r>
      <w:r w:rsidRPr="002029AF">
        <w:t>having</w:t>
      </w:r>
      <w:r w:rsidR="000A5329" w:rsidRPr="002029AF">
        <w:t xml:space="preserve"> </w:t>
      </w:r>
      <w:r w:rsidRPr="002029AF">
        <w:t>an</w:t>
      </w:r>
      <w:r w:rsidR="000A5329" w:rsidRPr="002029AF">
        <w:t xml:space="preserve"> </w:t>
      </w:r>
      <w:r w:rsidRPr="002029AF">
        <w:t>interest</w:t>
      </w:r>
      <w:r w:rsidR="000A5329" w:rsidRPr="002029AF">
        <w:t xml:space="preserve"> </w:t>
      </w:r>
      <w:r w:rsidRPr="002029AF">
        <w:t>in</w:t>
      </w:r>
      <w:r w:rsidR="000A5329" w:rsidRPr="002029AF">
        <w:t xml:space="preserve"> </w:t>
      </w:r>
      <w:r w:rsidRPr="002029AF">
        <w:t>the</w:t>
      </w:r>
      <w:r w:rsidR="000A5329" w:rsidRPr="002029AF">
        <w:t xml:space="preserve"> </w:t>
      </w:r>
      <w:r w:rsidRPr="002029AF">
        <w:t>property.</w:t>
      </w:r>
      <w:r w:rsidR="000A5329" w:rsidRPr="002029AF">
        <w:t xml:space="preserve"> </w:t>
      </w:r>
      <w:r w:rsidRPr="002029AF">
        <w:t>The</w:t>
      </w:r>
      <w:r w:rsidR="000A5329" w:rsidRPr="002029AF">
        <w:t xml:space="preserve"> </w:t>
      </w:r>
      <w:r w:rsidRPr="002029AF">
        <w:t>current</w:t>
      </w:r>
      <w:r w:rsidR="000A5329" w:rsidRPr="002029AF">
        <w:t xml:space="preserve"> </w:t>
      </w:r>
      <w:r w:rsidRPr="002029AF">
        <w:t>Home</w:t>
      </w:r>
      <w:r w:rsidR="000A5329" w:rsidRPr="002029AF">
        <w:t xml:space="preserve"> </w:t>
      </w:r>
      <w:r w:rsidRPr="002029AF">
        <w:t>Renovation</w:t>
      </w:r>
      <w:r w:rsidR="000A5329" w:rsidRPr="002029AF">
        <w:t xml:space="preserve"> </w:t>
      </w:r>
      <w:r w:rsidRPr="002029AF">
        <w:t>Service</w:t>
      </w:r>
      <w:r w:rsidR="000A5329" w:rsidRPr="002029AF">
        <w:t xml:space="preserve"> </w:t>
      </w:r>
      <w:r w:rsidRPr="002029AF">
        <w:t>loan</w:t>
      </w:r>
      <w:r w:rsidR="000A5329" w:rsidRPr="002029AF">
        <w:t xml:space="preserve"> </w:t>
      </w:r>
      <w:r w:rsidRPr="002029AF">
        <w:t>program</w:t>
      </w:r>
      <w:r w:rsidR="000A5329" w:rsidRPr="002029AF">
        <w:t xml:space="preserve"> </w:t>
      </w:r>
      <w:r w:rsidRPr="002029AF">
        <w:t>does</w:t>
      </w:r>
      <w:r w:rsidR="000A5329" w:rsidRPr="002029AF">
        <w:t xml:space="preserve"> </w:t>
      </w:r>
      <w:r w:rsidRPr="002029AF">
        <w:t>not</w:t>
      </w:r>
      <w:r w:rsidR="000A5329" w:rsidRPr="002029AF">
        <w:t xml:space="preserve"> </w:t>
      </w:r>
      <w:r w:rsidRPr="002029AF">
        <w:t>require</w:t>
      </w:r>
      <w:r w:rsidR="000A5329" w:rsidRPr="002029AF">
        <w:t xml:space="preserve"> </w:t>
      </w:r>
      <w:r w:rsidRPr="002029AF">
        <w:t>security</w:t>
      </w:r>
      <w:r w:rsidR="000A5329" w:rsidRPr="002029AF">
        <w:t xml:space="preserve"> </w:t>
      </w:r>
      <w:r w:rsidRPr="002029AF">
        <w:t>for</w:t>
      </w:r>
      <w:r w:rsidR="000A5329" w:rsidRPr="002029AF">
        <w:t xml:space="preserve"> </w:t>
      </w:r>
      <w:r w:rsidRPr="002029AF">
        <w:t>loans</w:t>
      </w:r>
      <w:r w:rsidR="000A5329" w:rsidRPr="002029AF">
        <w:t xml:space="preserve"> </w:t>
      </w:r>
      <w:r w:rsidRPr="002029AF">
        <w:t>of</w:t>
      </w:r>
      <w:r w:rsidR="000A5329" w:rsidRPr="002029AF">
        <w:t xml:space="preserve"> </w:t>
      </w:r>
      <w:r w:rsidRPr="002029AF">
        <w:t>$10,000</w:t>
      </w:r>
      <w:r w:rsidR="000A5329" w:rsidRPr="002029AF">
        <w:t xml:space="preserve"> </w:t>
      </w:r>
      <w:r w:rsidRPr="002029AF">
        <w:t>or</w:t>
      </w:r>
      <w:r w:rsidR="000A5329" w:rsidRPr="002029AF">
        <w:t xml:space="preserve"> </w:t>
      </w:r>
      <w:r w:rsidRPr="002029AF">
        <w:t>less.</w:t>
      </w:r>
    </w:p>
    <w:p w14:paraId="34BBFF9C" w14:textId="36718BD6" w:rsidR="00087B91" w:rsidRPr="002029AF" w:rsidRDefault="00087B91" w:rsidP="00087B91">
      <w:pPr>
        <w:pStyle w:val="ARfinbodyaftertable"/>
      </w:pPr>
      <w:r w:rsidRPr="002029AF">
        <w:t>Cash</w:t>
      </w:r>
      <w:r w:rsidR="000A5329" w:rsidRPr="002029AF">
        <w:t xml:space="preserve"> </w:t>
      </w:r>
      <w:r w:rsidRPr="002029AF">
        <w:t>advances</w:t>
      </w:r>
      <w:r w:rsidR="000A5329" w:rsidRPr="002029AF">
        <w:t xml:space="preserve"> </w:t>
      </w:r>
      <w:r w:rsidRPr="002029AF">
        <w:t>were</w:t>
      </w:r>
      <w:r w:rsidR="000A5329" w:rsidRPr="002029AF">
        <w:t xml:space="preserve"> </w:t>
      </w:r>
      <w:r w:rsidRPr="002029AF">
        <w:t>paid</w:t>
      </w:r>
      <w:r w:rsidR="000A5329" w:rsidRPr="002029AF">
        <w:t xml:space="preserve"> </w:t>
      </w:r>
      <w:r w:rsidRPr="002029AF">
        <w:t>to</w:t>
      </w:r>
      <w:r w:rsidR="000A5329" w:rsidRPr="002029AF">
        <w:t xml:space="preserve"> </w:t>
      </w:r>
      <w:r w:rsidRPr="002029AF">
        <w:t>health</w:t>
      </w:r>
      <w:r w:rsidR="000A5329" w:rsidRPr="002029AF">
        <w:t xml:space="preserve"> </w:t>
      </w:r>
      <w:r w:rsidRPr="002029AF">
        <w:t>agencies</w:t>
      </w:r>
      <w:r w:rsidR="000A5329" w:rsidRPr="002029AF">
        <w:t xml:space="preserve"> </w:t>
      </w:r>
      <w:r w:rsidRPr="002029AF">
        <w:t>for</w:t>
      </w:r>
      <w:r w:rsidR="000A5329" w:rsidRPr="002029AF">
        <w:t xml:space="preserve"> </w:t>
      </w:r>
      <w:r w:rsidRPr="002029AF">
        <w:t>the</w:t>
      </w:r>
      <w:r w:rsidR="000A5329" w:rsidRPr="002029AF">
        <w:t xml:space="preserve"> </w:t>
      </w:r>
      <w:r w:rsidRPr="002029AF">
        <w:t>purpose</w:t>
      </w:r>
      <w:r w:rsidR="000A5329" w:rsidRPr="002029AF">
        <w:t xml:space="preserve"> </w:t>
      </w:r>
      <w:r w:rsidRPr="002029AF">
        <w:t>of</w:t>
      </w:r>
      <w:r w:rsidR="000A5329" w:rsidRPr="002029AF">
        <w:t xml:space="preserve"> </w:t>
      </w:r>
      <w:r w:rsidRPr="002029AF">
        <w:t>providing</w:t>
      </w:r>
      <w:r w:rsidR="000A5329" w:rsidRPr="002029AF">
        <w:t xml:space="preserve"> </w:t>
      </w:r>
      <w:r w:rsidRPr="002029AF">
        <w:t>funding</w:t>
      </w:r>
      <w:r w:rsidR="000A5329" w:rsidRPr="002029AF">
        <w:t xml:space="preserve"> </w:t>
      </w:r>
      <w:r w:rsidRPr="002029AF">
        <w:t>to</w:t>
      </w:r>
      <w:r w:rsidR="000A5329" w:rsidRPr="002029AF">
        <w:t xml:space="preserve"> </w:t>
      </w:r>
      <w:r w:rsidRPr="002029AF">
        <w:t>meet</w:t>
      </w:r>
      <w:r w:rsidR="000A5329" w:rsidRPr="002029AF">
        <w:t xml:space="preserve"> </w:t>
      </w:r>
      <w:r w:rsidRPr="002029AF">
        <w:t>July</w:t>
      </w:r>
      <w:r w:rsidR="000A5329" w:rsidRPr="002029AF">
        <w:t xml:space="preserve"> </w:t>
      </w:r>
      <w:r w:rsidRPr="002029AF">
        <w:t>2020</w:t>
      </w:r>
      <w:r w:rsidR="000A5329" w:rsidRPr="002029AF">
        <w:t xml:space="preserve"> </w:t>
      </w:r>
      <w:r w:rsidRPr="002029AF">
        <w:t>payroll</w:t>
      </w:r>
      <w:r w:rsidR="000A5329" w:rsidRPr="002029AF">
        <w:t xml:space="preserve"> </w:t>
      </w:r>
      <w:r w:rsidRPr="002029AF">
        <w:t>and</w:t>
      </w:r>
      <w:r w:rsidR="000A5329" w:rsidRPr="002029AF">
        <w:t xml:space="preserve"> </w:t>
      </w:r>
      <w:r w:rsidRPr="002029AF">
        <w:t>supplier</w:t>
      </w:r>
      <w:r w:rsidR="000A5329" w:rsidRPr="002029AF">
        <w:t xml:space="preserve"> </w:t>
      </w:r>
      <w:r w:rsidRPr="002029AF">
        <w:t>payments.</w:t>
      </w:r>
      <w:r w:rsidR="000A5329" w:rsidRPr="002029AF">
        <w:t xml:space="preserve"> </w:t>
      </w:r>
      <w:r w:rsidRPr="002029AF">
        <w:t>Health</w:t>
      </w:r>
      <w:r w:rsidR="000A5329" w:rsidRPr="002029AF">
        <w:t xml:space="preserve"> </w:t>
      </w:r>
      <w:r w:rsidRPr="002029AF">
        <w:t>agencies</w:t>
      </w:r>
      <w:r w:rsidR="000A5329" w:rsidRPr="002029AF">
        <w:t xml:space="preserve"> </w:t>
      </w:r>
      <w:r w:rsidRPr="002029AF">
        <w:t>will</w:t>
      </w:r>
      <w:r w:rsidR="000A5329" w:rsidRPr="002029AF">
        <w:t xml:space="preserve"> </w:t>
      </w:r>
      <w:r w:rsidRPr="002029AF">
        <w:t>be</w:t>
      </w:r>
      <w:r w:rsidR="000A5329" w:rsidRPr="002029AF">
        <w:t xml:space="preserve"> </w:t>
      </w:r>
      <w:r w:rsidRPr="002029AF">
        <w:t>required</w:t>
      </w:r>
      <w:r w:rsidR="000A5329" w:rsidRPr="002029AF">
        <w:t xml:space="preserve"> </w:t>
      </w:r>
      <w:r w:rsidRPr="002029AF">
        <w:t>to</w:t>
      </w:r>
      <w:r w:rsidR="000A5329" w:rsidRPr="002029AF">
        <w:t xml:space="preserve"> </w:t>
      </w:r>
      <w:r w:rsidRPr="002029AF">
        <w:t>repay</w:t>
      </w:r>
      <w:r w:rsidR="000A5329" w:rsidRPr="002029AF">
        <w:t xml:space="preserve"> </w:t>
      </w:r>
      <w:r w:rsidRPr="002029AF">
        <w:t>this</w:t>
      </w:r>
      <w:r w:rsidR="000A5329" w:rsidRPr="002029AF">
        <w:t xml:space="preserve"> </w:t>
      </w:r>
      <w:r w:rsidRPr="002029AF">
        <w:t>cash</w:t>
      </w:r>
      <w:r w:rsidR="000A5329" w:rsidRPr="002029AF">
        <w:t xml:space="preserve"> </w:t>
      </w:r>
      <w:r w:rsidRPr="002029AF">
        <w:t>advance</w:t>
      </w:r>
      <w:r w:rsidR="000A5329" w:rsidRPr="002029AF">
        <w:t xml:space="preserve"> </w:t>
      </w:r>
      <w:r w:rsidRPr="002029AF">
        <w:t>in</w:t>
      </w:r>
      <w:r w:rsidR="000A5329" w:rsidRPr="002029AF">
        <w:t xml:space="preserve"> </w:t>
      </w:r>
      <w:r w:rsidRPr="002029AF">
        <w:t>2020–21.</w:t>
      </w:r>
    </w:p>
    <w:p w14:paraId="2B49DA71" w14:textId="58AEE456" w:rsidR="00087B91" w:rsidRPr="002029AF" w:rsidRDefault="00087B91" w:rsidP="00087B91">
      <w:pPr>
        <w:pStyle w:val="ARfinbody"/>
      </w:pPr>
      <w:r w:rsidRPr="002029AF">
        <w:t>Loans</w:t>
      </w:r>
      <w:r w:rsidR="000A5329" w:rsidRPr="002029AF">
        <w:t xml:space="preserve"> </w:t>
      </w:r>
      <w:r w:rsidRPr="002029AF">
        <w:t>are</w:t>
      </w:r>
      <w:r w:rsidR="000A5329" w:rsidRPr="002029AF">
        <w:t xml:space="preserve"> </w:t>
      </w:r>
      <w:r w:rsidRPr="002029AF">
        <w:t>initially</w:t>
      </w:r>
      <w:r w:rsidR="000A5329" w:rsidRPr="002029AF">
        <w:t xml:space="preserve"> </w:t>
      </w:r>
      <w:r w:rsidRPr="002029AF">
        <w:t>recognised</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r w:rsidR="000A5329" w:rsidRPr="002029AF">
        <w:t xml:space="preserve"> </w:t>
      </w:r>
      <w:r w:rsidRPr="002029AF">
        <w:t>plus</w:t>
      </w:r>
      <w:r w:rsidR="000A5329" w:rsidRPr="002029AF">
        <w:t xml:space="preserve"> </w:t>
      </w:r>
      <w:r w:rsidRPr="002029AF">
        <w:t>any</w:t>
      </w:r>
      <w:r w:rsidR="000A5329" w:rsidRPr="002029AF">
        <w:t xml:space="preserve"> </w:t>
      </w:r>
      <w:r w:rsidRPr="002029AF">
        <w:t>directly</w:t>
      </w:r>
      <w:r w:rsidR="000A5329" w:rsidRPr="002029AF">
        <w:t xml:space="preserve"> </w:t>
      </w:r>
      <w:r w:rsidRPr="002029AF">
        <w:t>attributable</w:t>
      </w:r>
      <w:r w:rsidR="000A5329" w:rsidRPr="002029AF">
        <w:t xml:space="preserve"> </w:t>
      </w:r>
      <w:r w:rsidRPr="002029AF">
        <w:t>transaction</w:t>
      </w:r>
      <w:r w:rsidR="000A5329" w:rsidRPr="002029AF">
        <w:t xml:space="preserve"> </w:t>
      </w:r>
      <w:r w:rsidRPr="002029AF">
        <w:t>costs.</w:t>
      </w:r>
      <w:r w:rsidR="000A5329" w:rsidRPr="002029AF">
        <w:t xml:space="preserve"> </w:t>
      </w:r>
      <w:r w:rsidRPr="002029AF">
        <w:t>Subsequent</w:t>
      </w:r>
      <w:r w:rsidR="000A5329" w:rsidRPr="002029AF">
        <w:t xml:space="preserve"> </w:t>
      </w:r>
      <w:r w:rsidRPr="002029AF">
        <w:t>to</w:t>
      </w:r>
      <w:r w:rsidR="000A5329" w:rsidRPr="002029AF">
        <w:t xml:space="preserve"> </w:t>
      </w:r>
      <w:r w:rsidRPr="002029AF">
        <w:t>initial</w:t>
      </w:r>
      <w:r w:rsidR="000A5329" w:rsidRPr="002029AF">
        <w:t xml:space="preserve"> </w:t>
      </w:r>
      <w:r w:rsidRPr="002029AF">
        <w:t>measurement</w:t>
      </w:r>
      <w:r w:rsidR="000A5329" w:rsidRPr="002029AF">
        <w:t xml:space="preserve"> </w:t>
      </w:r>
      <w:r w:rsidRPr="002029AF">
        <w:t>they</w:t>
      </w:r>
      <w:r w:rsidR="000A5329" w:rsidRPr="002029AF">
        <w:t xml:space="preserve"> </w:t>
      </w:r>
      <w:r w:rsidRPr="002029AF">
        <w:t>are</w:t>
      </w:r>
      <w:r w:rsidR="000A5329" w:rsidRPr="002029AF">
        <w:t xml:space="preserve"> </w:t>
      </w:r>
      <w:r w:rsidRPr="002029AF">
        <w:t>measured</w:t>
      </w:r>
      <w:r w:rsidR="000A5329" w:rsidRPr="002029AF">
        <w:t xml:space="preserve"> </w:t>
      </w:r>
      <w:r w:rsidRPr="002029AF">
        <w:t>at</w:t>
      </w:r>
      <w:r w:rsidR="000A5329" w:rsidRPr="002029AF">
        <w:t xml:space="preserve"> </w:t>
      </w:r>
      <w:r w:rsidRPr="002029AF">
        <w:t>amortised</w:t>
      </w:r>
      <w:r w:rsidR="000A5329" w:rsidRPr="002029AF">
        <w:t xml:space="preserve"> </w:t>
      </w:r>
      <w:r w:rsidRPr="002029AF">
        <w:t>cost</w:t>
      </w:r>
      <w:r w:rsidR="000A5329" w:rsidRPr="002029AF">
        <w:t xml:space="preserve"> </w:t>
      </w:r>
      <w:r w:rsidRPr="002029AF">
        <w:t>using</w:t>
      </w:r>
      <w:r w:rsidR="000A5329" w:rsidRPr="002029AF">
        <w:t xml:space="preserve"> </w:t>
      </w:r>
      <w:r w:rsidRPr="002029AF">
        <w:t>the</w:t>
      </w:r>
      <w:r w:rsidR="000A5329" w:rsidRPr="002029AF">
        <w:t xml:space="preserve"> </w:t>
      </w:r>
      <w:r w:rsidRPr="002029AF">
        <w:t>effective</w:t>
      </w:r>
      <w:r w:rsidR="000A5329" w:rsidRPr="002029AF">
        <w:t xml:space="preserve"> </w:t>
      </w:r>
      <w:r w:rsidRPr="002029AF">
        <w:t>interest</w:t>
      </w:r>
      <w:r w:rsidR="000A5329" w:rsidRPr="002029AF">
        <w:t xml:space="preserve"> </w:t>
      </w:r>
      <w:r w:rsidRPr="002029AF">
        <w:t>method,</w:t>
      </w:r>
      <w:r w:rsidR="000A5329" w:rsidRPr="002029AF">
        <w:t xml:space="preserve"> </w:t>
      </w:r>
      <w:r w:rsidRPr="002029AF">
        <w:t>less</w:t>
      </w:r>
      <w:r w:rsidR="000A5329" w:rsidRPr="002029AF">
        <w:t xml:space="preserve"> </w:t>
      </w:r>
      <w:r w:rsidRPr="002029AF">
        <w:t>any</w:t>
      </w:r>
      <w:r w:rsidR="000A5329" w:rsidRPr="002029AF">
        <w:t xml:space="preserve"> </w:t>
      </w:r>
      <w:r w:rsidRPr="002029AF">
        <w:t>impairment.</w:t>
      </w:r>
    </w:p>
    <w:p w14:paraId="4B4DE190" w14:textId="58F80B1B" w:rsidR="00087B91" w:rsidRPr="002029AF" w:rsidRDefault="00087B91" w:rsidP="00087B91">
      <w:pPr>
        <w:pStyle w:val="ARfinbody"/>
      </w:pPr>
      <w:r w:rsidRPr="002029AF">
        <w:rPr>
          <w:rStyle w:val="Strong"/>
        </w:rPr>
        <w:t>Defaults</w:t>
      </w:r>
      <w:r w:rsidR="000A5329" w:rsidRPr="002029AF">
        <w:rPr>
          <w:rStyle w:val="Strong"/>
        </w:rPr>
        <w:t xml:space="preserve"> </w:t>
      </w:r>
      <w:r w:rsidRPr="002029AF">
        <w:rPr>
          <w:rStyle w:val="Strong"/>
        </w:rPr>
        <w:t>and</w:t>
      </w:r>
      <w:r w:rsidR="000A5329" w:rsidRPr="002029AF">
        <w:rPr>
          <w:rStyle w:val="Strong"/>
        </w:rPr>
        <w:t xml:space="preserve"> </w:t>
      </w:r>
      <w:r w:rsidRPr="002029AF">
        <w:rPr>
          <w:rStyle w:val="Strong"/>
        </w:rPr>
        <w:t>breaches:</w:t>
      </w:r>
      <w:r w:rsidR="000A5329" w:rsidRPr="002029AF">
        <w:t xml:space="preserve"> </w:t>
      </w:r>
      <w:r w:rsidRPr="002029AF">
        <w:t>During</w:t>
      </w:r>
      <w:r w:rsidR="000A5329" w:rsidRPr="002029AF">
        <w:t xml:space="preserve"> </w:t>
      </w:r>
      <w:r w:rsidRPr="002029AF">
        <w:t>the</w:t>
      </w:r>
      <w:r w:rsidR="000A5329" w:rsidRPr="002029AF">
        <w:t xml:space="preserve"> </w:t>
      </w:r>
      <w:r w:rsidRPr="002029AF">
        <w:t>current</w:t>
      </w:r>
      <w:r w:rsidR="000A5329" w:rsidRPr="002029AF">
        <w:t xml:space="preserve"> </w:t>
      </w:r>
      <w:r w:rsidRPr="002029AF">
        <w:t>and</w:t>
      </w:r>
      <w:r w:rsidR="000A5329" w:rsidRPr="002029AF">
        <w:t xml:space="preserve"> </w:t>
      </w:r>
      <w:r w:rsidRPr="002029AF">
        <w:t>prior</w:t>
      </w:r>
      <w:r w:rsidR="000A5329" w:rsidRPr="002029AF">
        <w:t xml:space="preserve"> </w:t>
      </w:r>
      <w:r w:rsidRPr="002029AF">
        <w:t>year,</w:t>
      </w:r>
      <w:r w:rsidR="000A5329" w:rsidRPr="002029AF">
        <w:t xml:space="preserve"> </w:t>
      </w:r>
      <w:r w:rsidRPr="002029AF">
        <w:t>there</w:t>
      </w:r>
      <w:r w:rsidR="000A5329" w:rsidRPr="002029AF">
        <w:t xml:space="preserve"> </w:t>
      </w:r>
      <w:r w:rsidRPr="002029AF">
        <w:t>were</w:t>
      </w:r>
      <w:r w:rsidR="000A5329" w:rsidRPr="002029AF">
        <w:t xml:space="preserve"> </w:t>
      </w:r>
      <w:r w:rsidRPr="002029AF">
        <w:t>no</w:t>
      </w:r>
      <w:r w:rsidR="000A5329" w:rsidRPr="002029AF">
        <w:t xml:space="preserve"> </w:t>
      </w:r>
      <w:r w:rsidRPr="002029AF">
        <w:t>defaults</w:t>
      </w:r>
      <w:r w:rsidR="000A5329" w:rsidRPr="002029AF">
        <w:t xml:space="preserve"> </w:t>
      </w:r>
      <w:r w:rsidRPr="002029AF">
        <w:t>and</w:t>
      </w:r>
      <w:r w:rsidR="000A5329" w:rsidRPr="002029AF">
        <w:t xml:space="preserve"> </w:t>
      </w:r>
      <w:r w:rsidRPr="002029AF">
        <w:t>breaches</w:t>
      </w:r>
      <w:r w:rsidR="000A5329" w:rsidRPr="002029AF">
        <w:t xml:space="preserve"> </w:t>
      </w:r>
      <w:r w:rsidRPr="002029AF">
        <w:t>of</w:t>
      </w:r>
      <w:r w:rsidR="000A5329" w:rsidRPr="002029AF">
        <w:t xml:space="preserve"> </w:t>
      </w:r>
      <w:r w:rsidRPr="002029AF">
        <w:t>any</w:t>
      </w:r>
      <w:r w:rsidR="000A5329" w:rsidRPr="002029AF">
        <w:t xml:space="preserve"> </w:t>
      </w:r>
      <w:r w:rsidRPr="002029AF">
        <w:t>of</w:t>
      </w:r>
      <w:r w:rsidR="000A5329" w:rsidRPr="002029AF">
        <w:t xml:space="preserve"> </w:t>
      </w:r>
      <w:r w:rsidRPr="002029AF">
        <w:t>the</w:t>
      </w:r>
      <w:r w:rsidR="000A5329" w:rsidRPr="002029AF">
        <w:t xml:space="preserve"> </w:t>
      </w:r>
      <w:r w:rsidRPr="002029AF">
        <w:t>loans.</w:t>
      </w:r>
    </w:p>
    <w:p w14:paraId="05D33A37" w14:textId="444AB931" w:rsidR="00087B91" w:rsidRPr="002029AF" w:rsidRDefault="00087B91" w:rsidP="00087B91">
      <w:pPr>
        <w:pStyle w:val="Heading5"/>
      </w:pPr>
      <w:r w:rsidRPr="002029AF">
        <w:t>6.2.1</w:t>
      </w:r>
      <w:r w:rsidR="000A5329" w:rsidRPr="002029AF">
        <w:t xml:space="preserve"> </w:t>
      </w:r>
      <w:r w:rsidRPr="002029AF">
        <w:t>Ageing</w:t>
      </w:r>
      <w:r w:rsidR="000A5329" w:rsidRPr="002029AF">
        <w:t xml:space="preserve"> </w:t>
      </w:r>
      <w:r w:rsidRPr="002029AF">
        <w:t>analysis</w:t>
      </w:r>
      <w:r w:rsidR="000A5329" w:rsidRPr="002029AF">
        <w:t xml:space="preserve"> </w:t>
      </w:r>
      <w:r w:rsidRPr="002029AF">
        <w:t>of</w:t>
      </w:r>
      <w:r w:rsidR="000A5329" w:rsidRPr="002029AF">
        <w:t xml:space="preserve"> </w:t>
      </w:r>
      <w:r w:rsidRPr="002029AF">
        <w:t>contractual</w:t>
      </w:r>
      <w:r w:rsidR="000A5329" w:rsidRPr="002029AF">
        <w:t xml:space="preserve"> </w:t>
      </w:r>
      <w:r w:rsidRPr="002029AF">
        <w:t>loans</w:t>
      </w:r>
    </w:p>
    <w:tbl>
      <w:tblPr>
        <w:tblStyle w:val="TableGrid"/>
        <w:tblW w:w="9637" w:type="dxa"/>
        <w:tblLayout w:type="fixed"/>
        <w:tblLook w:val="06A0" w:firstRow="1" w:lastRow="0" w:firstColumn="1" w:lastColumn="0" w:noHBand="1" w:noVBand="1"/>
      </w:tblPr>
      <w:tblGrid>
        <w:gridCol w:w="2833"/>
        <w:gridCol w:w="1134"/>
        <w:gridCol w:w="1134"/>
        <w:gridCol w:w="1134"/>
        <w:gridCol w:w="1134"/>
        <w:gridCol w:w="1134"/>
        <w:gridCol w:w="1134"/>
      </w:tblGrid>
      <w:tr w:rsidR="00087B91" w:rsidRPr="002029AF" w14:paraId="40628626"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2833" w:type="dxa"/>
            <w:vMerge w:val="restart"/>
            <w:noWrap/>
            <w:hideMark/>
          </w:tcPr>
          <w:p w14:paraId="136D0ED9" w14:textId="77777777" w:rsidR="00087B91" w:rsidRPr="002029AF" w:rsidRDefault="00087B91" w:rsidP="00860E95">
            <w:pPr>
              <w:pStyle w:val="ARfintablecolhead"/>
            </w:pPr>
          </w:p>
        </w:tc>
        <w:tc>
          <w:tcPr>
            <w:tcW w:w="1134" w:type="dxa"/>
            <w:vMerge w:val="restart"/>
            <w:noWrap/>
            <w:hideMark/>
          </w:tcPr>
          <w:p w14:paraId="59DF5D84" w14:textId="3E807017" w:rsidR="00087B91" w:rsidRPr="002029AF" w:rsidRDefault="00087B91" w:rsidP="00860E95">
            <w:pPr>
              <w:pStyle w:val="ARfintablecolheadright"/>
            </w:pPr>
            <w:r w:rsidRPr="002029AF">
              <w:t>Carrying</w:t>
            </w:r>
            <w:r w:rsidR="000A5329" w:rsidRPr="002029AF">
              <w:t xml:space="preserve"> </w:t>
            </w:r>
            <w:r w:rsidRPr="002029AF">
              <w:t>amount</w:t>
            </w:r>
          </w:p>
          <w:p w14:paraId="6913841E" w14:textId="77777777" w:rsidR="00087B91" w:rsidRPr="002029AF" w:rsidRDefault="00087B91" w:rsidP="00860E95">
            <w:pPr>
              <w:pStyle w:val="ARfintablecolheadright"/>
            </w:pPr>
            <w:r w:rsidRPr="002029AF">
              <w:t>$M</w:t>
            </w:r>
          </w:p>
        </w:tc>
        <w:tc>
          <w:tcPr>
            <w:tcW w:w="1134" w:type="dxa"/>
            <w:vMerge w:val="restart"/>
            <w:noWrap/>
            <w:hideMark/>
          </w:tcPr>
          <w:p w14:paraId="2CC053B5" w14:textId="50F31F21" w:rsidR="00087B91" w:rsidRPr="002029AF" w:rsidRDefault="00087B91" w:rsidP="00860E95">
            <w:pPr>
              <w:pStyle w:val="ARfintablecolheadright"/>
            </w:pPr>
            <w:r w:rsidRPr="002029AF">
              <w:t>Not</w:t>
            </w:r>
            <w:r w:rsidR="000A5329" w:rsidRPr="002029AF">
              <w:t xml:space="preserve"> </w:t>
            </w:r>
            <w:r w:rsidRPr="002029AF">
              <w:t>past</w:t>
            </w:r>
            <w:r w:rsidR="000A5329" w:rsidRPr="002029AF">
              <w:t xml:space="preserve"> </w:t>
            </w:r>
            <w:r w:rsidRPr="002029AF">
              <w:t>due</w:t>
            </w:r>
          </w:p>
          <w:p w14:paraId="6958144D" w14:textId="77777777" w:rsidR="00087B91" w:rsidRPr="002029AF" w:rsidRDefault="00087B91" w:rsidP="00860E95">
            <w:pPr>
              <w:pStyle w:val="ARfintablecolheadright"/>
            </w:pPr>
            <w:r w:rsidRPr="002029AF">
              <w:t>$M</w:t>
            </w:r>
          </w:p>
        </w:tc>
        <w:tc>
          <w:tcPr>
            <w:tcW w:w="4536" w:type="dxa"/>
            <w:gridSpan w:val="4"/>
            <w:hideMark/>
          </w:tcPr>
          <w:p w14:paraId="730FCE19" w14:textId="443AD94A" w:rsidR="00087B91" w:rsidRPr="002029AF" w:rsidRDefault="00087B91" w:rsidP="00860E95">
            <w:pPr>
              <w:pStyle w:val="ARfintablecolheadcentre"/>
            </w:pPr>
            <w:r w:rsidRPr="002029AF">
              <w:t>Past</w:t>
            </w:r>
            <w:r w:rsidR="000A5329" w:rsidRPr="002029AF">
              <w:t xml:space="preserve"> </w:t>
            </w:r>
            <w:r w:rsidRPr="002029AF">
              <w:t>due</w:t>
            </w:r>
          </w:p>
        </w:tc>
      </w:tr>
      <w:tr w:rsidR="00087B91" w:rsidRPr="002029AF" w14:paraId="1FFF32A5"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2833" w:type="dxa"/>
            <w:vMerge/>
            <w:tcBorders>
              <w:bottom w:val="single" w:sz="4" w:space="0" w:color="auto"/>
            </w:tcBorders>
            <w:hideMark/>
          </w:tcPr>
          <w:p w14:paraId="1EC13D64" w14:textId="77777777" w:rsidR="00087B91" w:rsidRPr="002029AF" w:rsidRDefault="00087B91" w:rsidP="00860E95">
            <w:pPr>
              <w:pStyle w:val="ARfintablecolhead"/>
            </w:pPr>
          </w:p>
        </w:tc>
        <w:tc>
          <w:tcPr>
            <w:tcW w:w="1134" w:type="dxa"/>
            <w:vMerge/>
            <w:tcBorders>
              <w:bottom w:val="single" w:sz="4" w:space="0" w:color="auto"/>
            </w:tcBorders>
            <w:hideMark/>
          </w:tcPr>
          <w:p w14:paraId="765CFA25" w14:textId="77777777" w:rsidR="00087B91" w:rsidRPr="002029AF" w:rsidRDefault="00087B91" w:rsidP="00860E95">
            <w:pPr>
              <w:pStyle w:val="ARfintablecolheadright"/>
            </w:pPr>
          </w:p>
        </w:tc>
        <w:tc>
          <w:tcPr>
            <w:tcW w:w="1134" w:type="dxa"/>
            <w:vMerge/>
            <w:tcBorders>
              <w:bottom w:val="single" w:sz="4" w:space="0" w:color="auto"/>
            </w:tcBorders>
            <w:hideMark/>
          </w:tcPr>
          <w:p w14:paraId="67F54EF5" w14:textId="77777777" w:rsidR="00087B91" w:rsidRPr="002029AF" w:rsidRDefault="00087B91" w:rsidP="00860E95">
            <w:pPr>
              <w:pStyle w:val="ARfintablecolheadright"/>
            </w:pPr>
          </w:p>
        </w:tc>
        <w:tc>
          <w:tcPr>
            <w:tcW w:w="1134" w:type="dxa"/>
            <w:tcBorders>
              <w:bottom w:val="single" w:sz="4" w:space="0" w:color="auto"/>
            </w:tcBorders>
            <w:hideMark/>
          </w:tcPr>
          <w:p w14:paraId="48E2EE09" w14:textId="29D08D28" w:rsidR="00087B91" w:rsidRPr="002029AF" w:rsidRDefault="00087B91" w:rsidP="00860E95">
            <w:pPr>
              <w:pStyle w:val="ARfintablecolheadright"/>
            </w:pPr>
            <w:r w:rsidRPr="002029AF">
              <w:t>Less</w:t>
            </w:r>
            <w:r w:rsidR="000A5329" w:rsidRPr="002029AF">
              <w:t xml:space="preserve"> </w:t>
            </w:r>
            <w:r w:rsidRPr="002029AF">
              <w:t>than</w:t>
            </w:r>
            <w:r w:rsidR="000A5329" w:rsidRPr="002029AF">
              <w:t xml:space="preserve"> </w:t>
            </w:r>
            <w:r w:rsidRPr="002029AF">
              <w:t>1</w:t>
            </w:r>
            <w:r w:rsidR="000A5329" w:rsidRPr="002029AF">
              <w:t xml:space="preserve"> </w:t>
            </w:r>
            <w:r w:rsidRPr="002029AF">
              <w:t>month</w:t>
            </w:r>
          </w:p>
          <w:p w14:paraId="44D2B1BA" w14:textId="77777777" w:rsidR="00087B91" w:rsidRPr="002029AF" w:rsidRDefault="00087B91" w:rsidP="00860E95">
            <w:pPr>
              <w:pStyle w:val="ARfintablecolheadright"/>
            </w:pPr>
            <w:r w:rsidRPr="002029AF">
              <w:t>$M</w:t>
            </w:r>
          </w:p>
        </w:tc>
        <w:tc>
          <w:tcPr>
            <w:tcW w:w="1134" w:type="dxa"/>
            <w:tcBorders>
              <w:bottom w:val="single" w:sz="4" w:space="0" w:color="auto"/>
            </w:tcBorders>
            <w:hideMark/>
          </w:tcPr>
          <w:p w14:paraId="61F8F9F8" w14:textId="378018DF" w:rsidR="00087B91" w:rsidRPr="002029AF" w:rsidRDefault="00087B91" w:rsidP="00860E95">
            <w:pPr>
              <w:pStyle w:val="ARfintablecolheadright"/>
            </w:pPr>
            <w:r w:rsidRPr="002029AF">
              <w:t>1–3</w:t>
            </w:r>
            <w:r w:rsidR="000A5329" w:rsidRPr="002029AF">
              <w:t xml:space="preserve"> </w:t>
            </w:r>
            <w:r w:rsidRPr="002029AF">
              <w:t>months</w:t>
            </w:r>
          </w:p>
          <w:p w14:paraId="279A9149" w14:textId="77777777" w:rsidR="00087B91" w:rsidRPr="002029AF" w:rsidRDefault="00087B91" w:rsidP="00860E95">
            <w:pPr>
              <w:pStyle w:val="ARfintablecolheadright"/>
            </w:pPr>
            <w:r w:rsidRPr="002029AF">
              <w:t>$M</w:t>
            </w:r>
          </w:p>
        </w:tc>
        <w:tc>
          <w:tcPr>
            <w:tcW w:w="1134" w:type="dxa"/>
            <w:tcBorders>
              <w:bottom w:val="single" w:sz="4" w:space="0" w:color="auto"/>
            </w:tcBorders>
            <w:hideMark/>
          </w:tcPr>
          <w:p w14:paraId="6FC47076" w14:textId="54F4394A" w:rsidR="00087B91" w:rsidRPr="002029AF" w:rsidRDefault="00087B91" w:rsidP="00860E95">
            <w:pPr>
              <w:pStyle w:val="ARfintablecolheadright"/>
            </w:pPr>
            <w:r w:rsidRPr="002029AF">
              <w:t>3</w:t>
            </w:r>
            <w:r w:rsidR="000A5329" w:rsidRPr="002029AF">
              <w:t xml:space="preserve"> </w:t>
            </w:r>
            <w:r w:rsidRPr="002029AF">
              <w:t>months</w:t>
            </w:r>
            <w:r w:rsidR="000A5329" w:rsidRPr="002029AF">
              <w:t xml:space="preserve"> </w:t>
            </w:r>
            <w:r w:rsidRPr="002029AF">
              <w:t>–</w:t>
            </w:r>
            <w:r w:rsidR="000A5329" w:rsidRPr="002029AF">
              <w:t xml:space="preserve"> </w:t>
            </w:r>
            <w:r w:rsidRPr="002029AF">
              <w:br/>
              <w:t>1</w:t>
            </w:r>
            <w:r w:rsidR="000A5329" w:rsidRPr="002029AF">
              <w:t xml:space="preserve"> </w:t>
            </w:r>
            <w:r w:rsidRPr="002029AF">
              <w:t>year</w:t>
            </w:r>
          </w:p>
          <w:p w14:paraId="5E1B61FD" w14:textId="77777777" w:rsidR="00087B91" w:rsidRPr="002029AF" w:rsidRDefault="00087B91" w:rsidP="00860E95">
            <w:pPr>
              <w:pStyle w:val="ARfintablecolheadright"/>
            </w:pPr>
            <w:r w:rsidRPr="002029AF">
              <w:t>$M</w:t>
            </w:r>
          </w:p>
        </w:tc>
        <w:tc>
          <w:tcPr>
            <w:tcW w:w="1134" w:type="dxa"/>
            <w:tcBorders>
              <w:bottom w:val="single" w:sz="4" w:space="0" w:color="auto"/>
            </w:tcBorders>
            <w:hideMark/>
          </w:tcPr>
          <w:p w14:paraId="5B8B2251" w14:textId="0D3BAEBF" w:rsidR="00087B91" w:rsidRPr="002029AF" w:rsidRDefault="00087B91" w:rsidP="00860E95">
            <w:pPr>
              <w:pStyle w:val="ARfintablecolheadright"/>
            </w:pPr>
            <w:r w:rsidRPr="002029AF">
              <w:t>1–5</w:t>
            </w:r>
            <w:r w:rsidR="000A5329" w:rsidRPr="002029AF">
              <w:t xml:space="preserve"> </w:t>
            </w:r>
            <w:r w:rsidRPr="002029AF">
              <w:t>years</w:t>
            </w:r>
          </w:p>
          <w:p w14:paraId="03B05D7D" w14:textId="77777777" w:rsidR="00087B91" w:rsidRPr="002029AF" w:rsidRDefault="00087B91" w:rsidP="00860E95">
            <w:pPr>
              <w:pStyle w:val="ARfintablecolheadright"/>
            </w:pPr>
            <w:r w:rsidRPr="002029AF">
              <w:t>$M</w:t>
            </w:r>
          </w:p>
        </w:tc>
      </w:tr>
      <w:tr w:rsidR="00087B91" w:rsidRPr="002029AF" w14:paraId="5B9610C2" w14:textId="77777777" w:rsidTr="00860E95">
        <w:tc>
          <w:tcPr>
            <w:tcW w:w="9637" w:type="dxa"/>
            <w:gridSpan w:val="7"/>
            <w:tcBorders>
              <w:top w:val="single" w:sz="4" w:space="0" w:color="auto"/>
              <w:bottom w:val="single" w:sz="4" w:space="0" w:color="A6A6A6"/>
            </w:tcBorders>
            <w:hideMark/>
          </w:tcPr>
          <w:p w14:paraId="1C469A31" w14:textId="77777777" w:rsidR="00087B91" w:rsidRPr="002029AF" w:rsidRDefault="00087B91" w:rsidP="00860E95">
            <w:pPr>
              <w:pStyle w:val="ARfintablebodybold"/>
            </w:pPr>
            <w:r w:rsidRPr="002029AF">
              <w:t>2020</w:t>
            </w:r>
          </w:p>
        </w:tc>
      </w:tr>
      <w:tr w:rsidR="00087B91" w:rsidRPr="002029AF" w14:paraId="56A8444C" w14:textId="77777777" w:rsidTr="00860E95">
        <w:tc>
          <w:tcPr>
            <w:tcW w:w="2833" w:type="dxa"/>
            <w:tcBorders>
              <w:top w:val="single" w:sz="4" w:space="0" w:color="A6A6A6"/>
            </w:tcBorders>
            <w:hideMark/>
          </w:tcPr>
          <w:p w14:paraId="270DBCD8" w14:textId="77777777" w:rsidR="00087B91" w:rsidRPr="002029AF" w:rsidRDefault="00087B91" w:rsidP="00860E95">
            <w:pPr>
              <w:pStyle w:val="ARfintablebody"/>
            </w:pPr>
            <w:r w:rsidRPr="002029AF">
              <w:t>Loans</w:t>
            </w:r>
          </w:p>
        </w:tc>
        <w:tc>
          <w:tcPr>
            <w:tcW w:w="1134" w:type="dxa"/>
            <w:tcBorders>
              <w:top w:val="single" w:sz="4" w:space="0" w:color="A6A6A6"/>
            </w:tcBorders>
            <w:noWrap/>
            <w:hideMark/>
          </w:tcPr>
          <w:p w14:paraId="55126031" w14:textId="77777777" w:rsidR="00087B91" w:rsidRPr="002029AF" w:rsidRDefault="00087B91" w:rsidP="00860E95">
            <w:pPr>
              <w:pStyle w:val="ARfintablebodyright"/>
            </w:pPr>
            <w:r w:rsidRPr="002029AF">
              <w:t>389.5</w:t>
            </w:r>
          </w:p>
        </w:tc>
        <w:tc>
          <w:tcPr>
            <w:tcW w:w="1134" w:type="dxa"/>
            <w:tcBorders>
              <w:top w:val="single" w:sz="4" w:space="0" w:color="A6A6A6"/>
            </w:tcBorders>
            <w:noWrap/>
            <w:hideMark/>
          </w:tcPr>
          <w:p w14:paraId="3D011AB5" w14:textId="77777777" w:rsidR="00087B91" w:rsidRPr="002029AF" w:rsidRDefault="00087B91" w:rsidP="00860E95">
            <w:pPr>
              <w:pStyle w:val="ARfintablebodyright"/>
            </w:pPr>
            <w:r w:rsidRPr="002029AF">
              <w:t>389.5</w:t>
            </w:r>
          </w:p>
        </w:tc>
        <w:tc>
          <w:tcPr>
            <w:tcW w:w="1134" w:type="dxa"/>
            <w:tcBorders>
              <w:top w:val="single" w:sz="4" w:space="0" w:color="A6A6A6"/>
            </w:tcBorders>
            <w:noWrap/>
            <w:hideMark/>
          </w:tcPr>
          <w:p w14:paraId="6E6A6299" w14:textId="77777777" w:rsidR="00087B91" w:rsidRPr="002029AF" w:rsidRDefault="00087B91" w:rsidP="00860E95">
            <w:pPr>
              <w:pStyle w:val="ARfintablebodyright"/>
            </w:pPr>
            <w:r w:rsidRPr="002029AF">
              <w:t>–</w:t>
            </w:r>
          </w:p>
        </w:tc>
        <w:tc>
          <w:tcPr>
            <w:tcW w:w="1134" w:type="dxa"/>
            <w:tcBorders>
              <w:top w:val="single" w:sz="4" w:space="0" w:color="A6A6A6"/>
            </w:tcBorders>
            <w:noWrap/>
            <w:hideMark/>
          </w:tcPr>
          <w:p w14:paraId="0255876A" w14:textId="77777777" w:rsidR="00087B91" w:rsidRPr="002029AF" w:rsidRDefault="00087B91" w:rsidP="00860E95">
            <w:pPr>
              <w:pStyle w:val="ARfintablebodyright"/>
            </w:pPr>
            <w:r w:rsidRPr="002029AF">
              <w:t>–</w:t>
            </w:r>
          </w:p>
        </w:tc>
        <w:tc>
          <w:tcPr>
            <w:tcW w:w="1134" w:type="dxa"/>
            <w:tcBorders>
              <w:top w:val="single" w:sz="4" w:space="0" w:color="A6A6A6"/>
            </w:tcBorders>
            <w:noWrap/>
            <w:hideMark/>
          </w:tcPr>
          <w:p w14:paraId="26389C7D" w14:textId="77777777" w:rsidR="00087B91" w:rsidRPr="002029AF" w:rsidRDefault="00087B91" w:rsidP="00860E95">
            <w:pPr>
              <w:pStyle w:val="ARfintablebodyright"/>
            </w:pPr>
            <w:r w:rsidRPr="002029AF">
              <w:t>–</w:t>
            </w:r>
          </w:p>
        </w:tc>
        <w:tc>
          <w:tcPr>
            <w:tcW w:w="1134" w:type="dxa"/>
            <w:tcBorders>
              <w:top w:val="single" w:sz="4" w:space="0" w:color="A6A6A6"/>
            </w:tcBorders>
            <w:noWrap/>
            <w:hideMark/>
          </w:tcPr>
          <w:p w14:paraId="64D83CFB" w14:textId="77777777" w:rsidR="00087B91" w:rsidRPr="002029AF" w:rsidRDefault="00087B91" w:rsidP="00860E95">
            <w:pPr>
              <w:pStyle w:val="ARfintablebodyright"/>
            </w:pPr>
            <w:r w:rsidRPr="002029AF">
              <w:t>–</w:t>
            </w:r>
          </w:p>
        </w:tc>
      </w:tr>
      <w:tr w:rsidR="00087B91" w:rsidRPr="002029AF" w14:paraId="79F1A7A6" w14:textId="77777777" w:rsidTr="00860E95">
        <w:tc>
          <w:tcPr>
            <w:tcW w:w="2833" w:type="dxa"/>
            <w:tcBorders>
              <w:bottom w:val="single" w:sz="4" w:space="0" w:color="auto"/>
            </w:tcBorders>
            <w:hideMark/>
          </w:tcPr>
          <w:p w14:paraId="1050ECA8" w14:textId="77777777" w:rsidR="00087B91" w:rsidRPr="002029AF" w:rsidRDefault="00087B91" w:rsidP="00860E95">
            <w:pPr>
              <w:pStyle w:val="ARfintablebodybold"/>
            </w:pPr>
            <w:r w:rsidRPr="002029AF">
              <w:t>Total</w:t>
            </w:r>
          </w:p>
        </w:tc>
        <w:tc>
          <w:tcPr>
            <w:tcW w:w="1134" w:type="dxa"/>
            <w:tcBorders>
              <w:bottom w:val="single" w:sz="4" w:space="0" w:color="auto"/>
            </w:tcBorders>
            <w:noWrap/>
            <w:hideMark/>
          </w:tcPr>
          <w:p w14:paraId="0B93A2BB" w14:textId="77777777" w:rsidR="00087B91" w:rsidRPr="002029AF" w:rsidRDefault="00087B91" w:rsidP="00860E95">
            <w:pPr>
              <w:pStyle w:val="ARfintablebodyrightbold"/>
            </w:pPr>
            <w:r w:rsidRPr="002029AF">
              <w:t>389.5</w:t>
            </w:r>
          </w:p>
        </w:tc>
        <w:tc>
          <w:tcPr>
            <w:tcW w:w="1134" w:type="dxa"/>
            <w:tcBorders>
              <w:bottom w:val="single" w:sz="4" w:space="0" w:color="auto"/>
            </w:tcBorders>
            <w:noWrap/>
            <w:hideMark/>
          </w:tcPr>
          <w:p w14:paraId="39D68E2A" w14:textId="77777777" w:rsidR="00087B91" w:rsidRPr="002029AF" w:rsidRDefault="00087B91" w:rsidP="00860E95">
            <w:pPr>
              <w:pStyle w:val="ARfintablebodyrightbold"/>
            </w:pPr>
            <w:r w:rsidRPr="002029AF">
              <w:t>389.5</w:t>
            </w:r>
          </w:p>
        </w:tc>
        <w:tc>
          <w:tcPr>
            <w:tcW w:w="1134" w:type="dxa"/>
            <w:tcBorders>
              <w:bottom w:val="single" w:sz="4" w:space="0" w:color="auto"/>
            </w:tcBorders>
            <w:noWrap/>
            <w:hideMark/>
          </w:tcPr>
          <w:p w14:paraId="7718BDDE" w14:textId="77777777" w:rsidR="00087B91" w:rsidRPr="002029AF" w:rsidRDefault="00087B91" w:rsidP="00860E95">
            <w:pPr>
              <w:pStyle w:val="ARfintablebodyrightbold"/>
            </w:pPr>
            <w:r w:rsidRPr="002029AF">
              <w:t>–</w:t>
            </w:r>
          </w:p>
        </w:tc>
        <w:tc>
          <w:tcPr>
            <w:tcW w:w="1134" w:type="dxa"/>
            <w:tcBorders>
              <w:bottom w:val="single" w:sz="4" w:space="0" w:color="auto"/>
            </w:tcBorders>
            <w:noWrap/>
            <w:hideMark/>
          </w:tcPr>
          <w:p w14:paraId="0B38DAF9" w14:textId="77777777" w:rsidR="00087B91" w:rsidRPr="002029AF" w:rsidRDefault="00087B91" w:rsidP="00860E95">
            <w:pPr>
              <w:pStyle w:val="ARfintablebodyrightbold"/>
            </w:pPr>
            <w:r w:rsidRPr="002029AF">
              <w:t>–</w:t>
            </w:r>
          </w:p>
        </w:tc>
        <w:tc>
          <w:tcPr>
            <w:tcW w:w="1134" w:type="dxa"/>
            <w:tcBorders>
              <w:bottom w:val="single" w:sz="4" w:space="0" w:color="auto"/>
            </w:tcBorders>
            <w:noWrap/>
            <w:hideMark/>
          </w:tcPr>
          <w:p w14:paraId="1F353689" w14:textId="77777777" w:rsidR="00087B91" w:rsidRPr="002029AF" w:rsidRDefault="00087B91" w:rsidP="00860E95">
            <w:pPr>
              <w:pStyle w:val="ARfintablebodyrightbold"/>
            </w:pPr>
            <w:r w:rsidRPr="002029AF">
              <w:t>–</w:t>
            </w:r>
          </w:p>
        </w:tc>
        <w:tc>
          <w:tcPr>
            <w:tcW w:w="1134" w:type="dxa"/>
            <w:tcBorders>
              <w:bottom w:val="single" w:sz="4" w:space="0" w:color="auto"/>
            </w:tcBorders>
            <w:noWrap/>
            <w:hideMark/>
          </w:tcPr>
          <w:p w14:paraId="5779E276" w14:textId="77777777" w:rsidR="00087B91" w:rsidRPr="002029AF" w:rsidRDefault="00087B91" w:rsidP="00860E95">
            <w:pPr>
              <w:pStyle w:val="ARfintablebodyrightbold"/>
            </w:pPr>
            <w:r w:rsidRPr="002029AF">
              <w:t>–</w:t>
            </w:r>
          </w:p>
        </w:tc>
      </w:tr>
      <w:tr w:rsidR="00087B91" w:rsidRPr="002029AF" w14:paraId="55DF3AC5" w14:textId="77777777" w:rsidTr="00860E95">
        <w:tc>
          <w:tcPr>
            <w:tcW w:w="9637" w:type="dxa"/>
            <w:gridSpan w:val="7"/>
            <w:tcBorders>
              <w:top w:val="single" w:sz="4" w:space="0" w:color="auto"/>
              <w:bottom w:val="single" w:sz="4" w:space="0" w:color="A6A6A6"/>
            </w:tcBorders>
            <w:hideMark/>
          </w:tcPr>
          <w:p w14:paraId="46B982E4" w14:textId="77777777" w:rsidR="00087B91" w:rsidRPr="002029AF" w:rsidRDefault="00087B91" w:rsidP="00860E95">
            <w:pPr>
              <w:pStyle w:val="ARfintablebodybold"/>
            </w:pPr>
            <w:r w:rsidRPr="002029AF">
              <w:t>2019</w:t>
            </w:r>
          </w:p>
        </w:tc>
      </w:tr>
      <w:tr w:rsidR="00087B91" w:rsidRPr="002029AF" w14:paraId="204C0B64" w14:textId="77777777" w:rsidTr="00860E95">
        <w:tc>
          <w:tcPr>
            <w:tcW w:w="2833" w:type="dxa"/>
            <w:tcBorders>
              <w:top w:val="single" w:sz="4" w:space="0" w:color="A6A6A6"/>
            </w:tcBorders>
            <w:hideMark/>
          </w:tcPr>
          <w:p w14:paraId="6FDE7E84" w14:textId="77777777" w:rsidR="00087B91" w:rsidRPr="002029AF" w:rsidRDefault="00087B91" w:rsidP="00860E95">
            <w:pPr>
              <w:pStyle w:val="ARfintablebody"/>
            </w:pPr>
            <w:r w:rsidRPr="002029AF">
              <w:t>Loans</w:t>
            </w:r>
          </w:p>
        </w:tc>
        <w:tc>
          <w:tcPr>
            <w:tcW w:w="1134" w:type="dxa"/>
            <w:tcBorders>
              <w:top w:val="single" w:sz="4" w:space="0" w:color="A6A6A6"/>
            </w:tcBorders>
            <w:noWrap/>
            <w:hideMark/>
          </w:tcPr>
          <w:p w14:paraId="45A87DD2" w14:textId="77777777" w:rsidR="00087B91" w:rsidRPr="002029AF" w:rsidRDefault="00087B91" w:rsidP="00860E95">
            <w:pPr>
              <w:pStyle w:val="ARfintablebodyright"/>
            </w:pPr>
            <w:r w:rsidRPr="002029AF">
              <w:t>94.9</w:t>
            </w:r>
          </w:p>
        </w:tc>
        <w:tc>
          <w:tcPr>
            <w:tcW w:w="1134" w:type="dxa"/>
            <w:tcBorders>
              <w:top w:val="single" w:sz="4" w:space="0" w:color="A6A6A6"/>
            </w:tcBorders>
            <w:noWrap/>
            <w:hideMark/>
          </w:tcPr>
          <w:p w14:paraId="6BEFC278" w14:textId="77777777" w:rsidR="00087B91" w:rsidRPr="002029AF" w:rsidRDefault="00087B91" w:rsidP="00860E95">
            <w:pPr>
              <w:pStyle w:val="ARfintablebodyright"/>
            </w:pPr>
            <w:r w:rsidRPr="002029AF">
              <w:t>94.6</w:t>
            </w:r>
          </w:p>
        </w:tc>
        <w:tc>
          <w:tcPr>
            <w:tcW w:w="1134" w:type="dxa"/>
            <w:tcBorders>
              <w:top w:val="single" w:sz="4" w:space="0" w:color="A6A6A6"/>
            </w:tcBorders>
            <w:noWrap/>
            <w:hideMark/>
          </w:tcPr>
          <w:p w14:paraId="680465FC" w14:textId="77777777" w:rsidR="00087B91" w:rsidRPr="002029AF" w:rsidRDefault="00087B91" w:rsidP="00860E95">
            <w:pPr>
              <w:pStyle w:val="ARfintablebodyright"/>
            </w:pPr>
            <w:r w:rsidRPr="002029AF">
              <w:t>–</w:t>
            </w:r>
          </w:p>
        </w:tc>
        <w:tc>
          <w:tcPr>
            <w:tcW w:w="1134" w:type="dxa"/>
            <w:tcBorders>
              <w:top w:val="single" w:sz="4" w:space="0" w:color="A6A6A6"/>
            </w:tcBorders>
            <w:noWrap/>
            <w:hideMark/>
          </w:tcPr>
          <w:p w14:paraId="0BC96013" w14:textId="77777777" w:rsidR="00087B91" w:rsidRPr="002029AF" w:rsidRDefault="00087B91" w:rsidP="00860E95">
            <w:pPr>
              <w:pStyle w:val="ARfintablebodyright"/>
            </w:pPr>
            <w:r w:rsidRPr="002029AF">
              <w:t>–</w:t>
            </w:r>
          </w:p>
        </w:tc>
        <w:tc>
          <w:tcPr>
            <w:tcW w:w="1134" w:type="dxa"/>
            <w:tcBorders>
              <w:top w:val="single" w:sz="4" w:space="0" w:color="A6A6A6"/>
            </w:tcBorders>
            <w:noWrap/>
            <w:hideMark/>
          </w:tcPr>
          <w:p w14:paraId="47775F1E" w14:textId="77777777" w:rsidR="00087B91" w:rsidRPr="002029AF" w:rsidRDefault="00087B91" w:rsidP="00860E95">
            <w:pPr>
              <w:pStyle w:val="ARfintablebodyright"/>
            </w:pPr>
            <w:r w:rsidRPr="002029AF">
              <w:t>–</w:t>
            </w:r>
          </w:p>
        </w:tc>
        <w:tc>
          <w:tcPr>
            <w:tcW w:w="1134" w:type="dxa"/>
            <w:tcBorders>
              <w:top w:val="single" w:sz="4" w:space="0" w:color="A6A6A6"/>
            </w:tcBorders>
            <w:noWrap/>
            <w:hideMark/>
          </w:tcPr>
          <w:p w14:paraId="4988CDCD" w14:textId="77777777" w:rsidR="00087B91" w:rsidRPr="002029AF" w:rsidRDefault="00087B91" w:rsidP="00860E95">
            <w:pPr>
              <w:pStyle w:val="ARfintablebodyright"/>
            </w:pPr>
            <w:r w:rsidRPr="002029AF">
              <w:t>–</w:t>
            </w:r>
          </w:p>
        </w:tc>
      </w:tr>
      <w:tr w:rsidR="00087B91" w:rsidRPr="002029AF" w14:paraId="1E964789" w14:textId="77777777" w:rsidTr="00860E95">
        <w:tc>
          <w:tcPr>
            <w:tcW w:w="2833" w:type="dxa"/>
            <w:hideMark/>
          </w:tcPr>
          <w:p w14:paraId="205DAD9B" w14:textId="77777777" w:rsidR="00087B91" w:rsidRPr="002029AF" w:rsidRDefault="00087B91" w:rsidP="00860E95">
            <w:pPr>
              <w:pStyle w:val="ARfintablebodybold"/>
            </w:pPr>
            <w:r w:rsidRPr="002029AF">
              <w:t>Total</w:t>
            </w:r>
          </w:p>
        </w:tc>
        <w:tc>
          <w:tcPr>
            <w:tcW w:w="1134" w:type="dxa"/>
            <w:noWrap/>
            <w:hideMark/>
          </w:tcPr>
          <w:p w14:paraId="44D9E894" w14:textId="77777777" w:rsidR="00087B91" w:rsidRPr="002029AF" w:rsidRDefault="00087B91" w:rsidP="00860E95">
            <w:pPr>
              <w:pStyle w:val="ARfintablebodyrightbold"/>
            </w:pPr>
            <w:r w:rsidRPr="002029AF">
              <w:t>94.9</w:t>
            </w:r>
          </w:p>
        </w:tc>
        <w:tc>
          <w:tcPr>
            <w:tcW w:w="1134" w:type="dxa"/>
            <w:noWrap/>
            <w:hideMark/>
          </w:tcPr>
          <w:p w14:paraId="76BC445D" w14:textId="77777777" w:rsidR="00087B91" w:rsidRPr="002029AF" w:rsidRDefault="00087B91" w:rsidP="00860E95">
            <w:pPr>
              <w:pStyle w:val="ARfintablebodyrightbold"/>
            </w:pPr>
            <w:r w:rsidRPr="002029AF">
              <w:t>94.6</w:t>
            </w:r>
          </w:p>
        </w:tc>
        <w:tc>
          <w:tcPr>
            <w:tcW w:w="1134" w:type="dxa"/>
            <w:noWrap/>
            <w:hideMark/>
          </w:tcPr>
          <w:p w14:paraId="2F979261" w14:textId="77777777" w:rsidR="00087B91" w:rsidRPr="002029AF" w:rsidRDefault="00087B91" w:rsidP="00860E95">
            <w:pPr>
              <w:pStyle w:val="ARfintablebodyrightbold"/>
            </w:pPr>
            <w:r w:rsidRPr="002029AF">
              <w:t>–</w:t>
            </w:r>
          </w:p>
        </w:tc>
        <w:tc>
          <w:tcPr>
            <w:tcW w:w="1134" w:type="dxa"/>
            <w:noWrap/>
            <w:hideMark/>
          </w:tcPr>
          <w:p w14:paraId="64D770F9" w14:textId="77777777" w:rsidR="00087B91" w:rsidRPr="002029AF" w:rsidRDefault="00087B91" w:rsidP="00860E95">
            <w:pPr>
              <w:pStyle w:val="ARfintablebodyrightbold"/>
            </w:pPr>
            <w:r w:rsidRPr="002029AF">
              <w:t>–</w:t>
            </w:r>
          </w:p>
        </w:tc>
        <w:tc>
          <w:tcPr>
            <w:tcW w:w="1134" w:type="dxa"/>
            <w:noWrap/>
            <w:hideMark/>
          </w:tcPr>
          <w:p w14:paraId="3815E337" w14:textId="77777777" w:rsidR="00087B91" w:rsidRPr="002029AF" w:rsidRDefault="00087B91" w:rsidP="00860E95">
            <w:pPr>
              <w:pStyle w:val="ARfintablebodyrightbold"/>
            </w:pPr>
            <w:r w:rsidRPr="002029AF">
              <w:t>–</w:t>
            </w:r>
          </w:p>
        </w:tc>
        <w:tc>
          <w:tcPr>
            <w:tcW w:w="1134" w:type="dxa"/>
            <w:noWrap/>
            <w:hideMark/>
          </w:tcPr>
          <w:p w14:paraId="3ABA77E4" w14:textId="77777777" w:rsidR="00087B91" w:rsidRPr="002029AF" w:rsidRDefault="00087B91" w:rsidP="00860E95">
            <w:pPr>
              <w:pStyle w:val="ARfintablebodyrightbold"/>
            </w:pPr>
            <w:r w:rsidRPr="002029AF">
              <w:t>–</w:t>
            </w:r>
          </w:p>
        </w:tc>
      </w:tr>
    </w:tbl>
    <w:p w14:paraId="06432738" w14:textId="16C17A9E" w:rsidR="00087B91" w:rsidRPr="002029AF" w:rsidRDefault="00087B91" w:rsidP="00087B91">
      <w:pPr>
        <w:pStyle w:val="Heading4"/>
      </w:pPr>
      <w:bookmarkStart w:id="357" w:name="_Toc39242152"/>
      <w:r w:rsidRPr="002029AF">
        <w:t>6.3</w:t>
      </w:r>
      <w:r w:rsidR="000A5329" w:rsidRPr="002029AF">
        <w:t xml:space="preserve"> </w:t>
      </w:r>
      <w:r w:rsidRPr="002029AF">
        <w:t>Other</w:t>
      </w:r>
      <w:r w:rsidR="000A5329" w:rsidRPr="002029AF">
        <w:t xml:space="preserve"> </w:t>
      </w:r>
      <w:r w:rsidRPr="002029AF">
        <w:t>non-financial</w:t>
      </w:r>
      <w:r w:rsidR="000A5329" w:rsidRPr="002029AF">
        <w:t xml:space="preserve"> </w:t>
      </w:r>
      <w:r w:rsidRPr="002029AF">
        <w:t>assets</w:t>
      </w:r>
      <w:bookmarkEnd w:id="357"/>
    </w:p>
    <w:tbl>
      <w:tblPr>
        <w:tblStyle w:val="TableGrid"/>
        <w:tblW w:w="9637" w:type="dxa"/>
        <w:tblLayout w:type="fixed"/>
        <w:tblLook w:val="06A0" w:firstRow="1" w:lastRow="0" w:firstColumn="1" w:lastColumn="0" w:noHBand="1" w:noVBand="1"/>
      </w:tblPr>
      <w:tblGrid>
        <w:gridCol w:w="7371"/>
        <w:gridCol w:w="1133"/>
        <w:gridCol w:w="1133"/>
      </w:tblGrid>
      <w:tr w:rsidR="00087B91" w:rsidRPr="002029AF" w14:paraId="3BD7185C" w14:textId="77777777" w:rsidTr="00613339">
        <w:trPr>
          <w:cnfStyle w:val="100000000000" w:firstRow="1" w:lastRow="0" w:firstColumn="0" w:lastColumn="0" w:oddVBand="0" w:evenVBand="0" w:oddHBand="0" w:evenHBand="0" w:firstRowFirstColumn="0" w:firstRowLastColumn="0" w:lastRowFirstColumn="0" w:lastRowLastColumn="0"/>
          <w:tblHeader/>
        </w:trPr>
        <w:tc>
          <w:tcPr>
            <w:tcW w:w="7371" w:type="dxa"/>
            <w:tcBorders>
              <w:bottom w:val="single" w:sz="4" w:space="0" w:color="auto"/>
            </w:tcBorders>
            <w:noWrap/>
            <w:hideMark/>
          </w:tcPr>
          <w:p w14:paraId="594437A7" w14:textId="77777777" w:rsidR="00087B91" w:rsidRPr="002029AF" w:rsidRDefault="00087B91" w:rsidP="00860E95">
            <w:pPr>
              <w:pStyle w:val="ARfintablecolhead"/>
            </w:pPr>
          </w:p>
        </w:tc>
        <w:tc>
          <w:tcPr>
            <w:tcW w:w="1133" w:type="dxa"/>
            <w:tcBorders>
              <w:bottom w:val="single" w:sz="4" w:space="0" w:color="auto"/>
            </w:tcBorders>
            <w:shd w:val="clear" w:color="auto" w:fill="E7E6E6"/>
            <w:hideMark/>
          </w:tcPr>
          <w:p w14:paraId="2917F73B" w14:textId="77777777" w:rsidR="00087B91" w:rsidRPr="002029AF" w:rsidRDefault="00087B91" w:rsidP="00860E95">
            <w:pPr>
              <w:pStyle w:val="ARfintablecolheadright"/>
            </w:pPr>
            <w:r w:rsidRPr="002029AF">
              <w:t>2020</w:t>
            </w:r>
          </w:p>
          <w:p w14:paraId="17746C0D" w14:textId="77777777" w:rsidR="00087B91" w:rsidRPr="002029AF" w:rsidRDefault="00087B91" w:rsidP="00860E95">
            <w:pPr>
              <w:pStyle w:val="ARfintablecolheadright"/>
            </w:pPr>
            <w:r w:rsidRPr="002029AF">
              <w:t>$M</w:t>
            </w:r>
          </w:p>
        </w:tc>
        <w:tc>
          <w:tcPr>
            <w:tcW w:w="1133" w:type="dxa"/>
            <w:tcBorders>
              <w:bottom w:val="single" w:sz="4" w:space="0" w:color="auto"/>
            </w:tcBorders>
            <w:hideMark/>
          </w:tcPr>
          <w:p w14:paraId="6861EB7D" w14:textId="77777777" w:rsidR="00087B91" w:rsidRPr="002029AF" w:rsidRDefault="00087B91" w:rsidP="00860E95">
            <w:pPr>
              <w:pStyle w:val="ARfintablecolheadright"/>
            </w:pPr>
            <w:r w:rsidRPr="002029AF">
              <w:t>2019</w:t>
            </w:r>
          </w:p>
          <w:p w14:paraId="0F94002B" w14:textId="77777777" w:rsidR="00087B91" w:rsidRPr="002029AF" w:rsidRDefault="00087B91" w:rsidP="00860E95">
            <w:pPr>
              <w:pStyle w:val="ARfintablecolheadright"/>
            </w:pPr>
            <w:r w:rsidRPr="002029AF">
              <w:t>$M</w:t>
            </w:r>
          </w:p>
        </w:tc>
      </w:tr>
      <w:tr w:rsidR="00087B91" w:rsidRPr="002029AF" w14:paraId="1808D118" w14:textId="77777777" w:rsidTr="00860E95">
        <w:tc>
          <w:tcPr>
            <w:tcW w:w="9637" w:type="dxa"/>
            <w:gridSpan w:val="3"/>
            <w:tcBorders>
              <w:top w:val="single" w:sz="4" w:space="0" w:color="auto"/>
              <w:bottom w:val="single" w:sz="4" w:space="0" w:color="A6A6A6"/>
            </w:tcBorders>
            <w:hideMark/>
          </w:tcPr>
          <w:p w14:paraId="45CE57BD" w14:textId="1BA82A22" w:rsidR="00087B91" w:rsidRPr="002029AF" w:rsidRDefault="00087B91" w:rsidP="00860E95">
            <w:pPr>
              <w:pStyle w:val="ARfintablebodybold"/>
            </w:pPr>
            <w:r w:rsidRPr="002029AF">
              <w:t>Contract</w:t>
            </w:r>
            <w:r w:rsidR="000A5329" w:rsidRPr="002029AF">
              <w:t xml:space="preserve"> </w:t>
            </w:r>
            <w:r w:rsidRPr="002029AF">
              <w:t>asset</w:t>
            </w:r>
          </w:p>
        </w:tc>
      </w:tr>
      <w:tr w:rsidR="00087B91" w:rsidRPr="002029AF" w14:paraId="482F5D6E" w14:textId="77777777" w:rsidTr="00860E95">
        <w:tc>
          <w:tcPr>
            <w:tcW w:w="7371" w:type="dxa"/>
            <w:tcBorders>
              <w:top w:val="single" w:sz="4" w:space="0" w:color="A6A6A6"/>
            </w:tcBorders>
            <w:hideMark/>
          </w:tcPr>
          <w:p w14:paraId="254A3A9F" w14:textId="77777777" w:rsidR="00087B91" w:rsidRPr="002029AF" w:rsidRDefault="00087B91" w:rsidP="00860E95">
            <w:pPr>
              <w:pStyle w:val="ARfintablebody"/>
            </w:pPr>
            <w:r w:rsidRPr="002029AF">
              <w:t>Prepayments</w:t>
            </w:r>
          </w:p>
        </w:tc>
        <w:tc>
          <w:tcPr>
            <w:tcW w:w="1133" w:type="dxa"/>
            <w:tcBorders>
              <w:top w:val="single" w:sz="4" w:space="0" w:color="A6A6A6"/>
            </w:tcBorders>
            <w:shd w:val="clear" w:color="auto" w:fill="E7E6E6"/>
            <w:noWrap/>
            <w:hideMark/>
          </w:tcPr>
          <w:p w14:paraId="2BB7A261" w14:textId="77777777" w:rsidR="00087B91" w:rsidRPr="002029AF" w:rsidRDefault="00087B91" w:rsidP="00860E95">
            <w:pPr>
              <w:pStyle w:val="ARfintablebodyright"/>
            </w:pPr>
            <w:r w:rsidRPr="002029AF">
              <w:t>286.2</w:t>
            </w:r>
          </w:p>
        </w:tc>
        <w:tc>
          <w:tcPr>
            <w:tcW w:w="1133" w:type="dxa"/>
            <w:tcBorders>
              <w:top w:val="single" w:sz="4" w:space="0" w:color="A6A6A6"/>
            </w:tcBorders>
            <w:noWrap/>
            <w:hideMark/>
          </w:tcPr>
          <w:p w14:paraId="3EDD3B0E" w14:textId="77777777" w:rsidR="00087B91" w:rsidRPr="002029AF" w:rsidRDefault="00087B91" w:rsidP="00860E95">
            <w:pPr>
              <w:pStyle w:val="ARfintablebodyright"/>
            </w:pPr>
            <w:r w:rsidRPr="002029AF">
              <w:t>15.1</w:t>
            </w:r>
          </w:p>
        </w:tc>
      </w:tr>
      <w:tr w:rsidR="00087B91" w:rsidRPr="002029AF" w14:paraId="7DD7220B" w14:textId="77777777" w:rsidTr="00860E95">
        <w:tc>
          <w:tcPr>
            <w:tcW w:w="7371" w:type="dxa"/>
            <w:hideMark/>
          </w:tcPr>
          <w:p w14:paraId="5C201A87" w14:textId="40F75B05" w:rsidR="00087B91" w:rsidRPr="002029AF" w:rsidRDefault="00087B91" w:rsidP="00860E95">
            <w:pPr>
              <w:pStyle w:val="ARfintablebodybold"/>
            </w:pPr>
            <w:r w:rsidRPr="002029AF">
              <w:t>Total</w:t>
            </w:r>
            <w:r w:rsidR="000A5329" w:rsidRPr="002029AF">
              <w:t xml:space="preserve"> </w:t>
            </w:r>
            <w:r w:rsidRPr="002029AF">
              <w:t>other</w:t>
            </w:r>
            <w:r w:rsidR="000A5329" w:rsidRPr="002029AF">
              <w:t xml:space="preserve"> </w:t>
            </w:r>
            <w:r w:rsidRPr="002029AF">
              <w:t>non-financial</w:t>
            </w:r>
            <w:r w:rsidR="000A5329" w:rsidRPr="002029AF">
              <w:t xml:space="preserve"> </w:t>
            </w:r>
            <w:r w:rsidRPr="002029AF">
              <w:t>assets</w:t>
            </w:r>
          </w:p>
        </w:tc>
        <w:tc>
          <w:tcPr>
            <w:tcW w:w="1133" w:type="dxa"/>
            <w:shd w:val="clear" w:color="auto" w:fill="E7E6E6"/>
            <w:noWrap/>
            <w:hideMark/>
          </w:tcPr>
          <w:p w14:paraId="56A69784" w14:textId="77777777" w:rsidR="00087B91" w:rsidRPr="002029AF" w:rsidRDefault="00087B91" w:rsidP="00860E95">
            <w:pPr>
              <w:pStyle w:val="ARfintablebodyrightbold"/>
            </w:pPr>
            <w:r w:rsidRPr="002029AF">
              <w:t>286.2</w:t>
            </w:r>
          </w:p>
        </w:tc>
        <w:tc>
          <w:tcPr>
            <w:tcW w:w="1133" w:type="dxa"/>
            <w:noWrap/>
            <w:hideMark/>
          </w:tcPr>
          <w:p w14:paraId="500F8110" w14:textId="77777777" w:rsidR="00087B91" w:rsidRPr="002029AF" w:rsidRDefault="00087B91" w:rsidP="00860E95">
            <w:pPr>
              <w:pStyle w:val="ARfintablebodyrightbold"/>
            </w:pPr>
            <w:r w:rsidRPr="002029AF">
              <w:t>15.1</w:t>
            </w:r>
          </w:p>
        </w:tc>
      </w:tr>
    </w:tbl>
    <w:p w14:paraId="4141FB07" w14:textId="4151B325" w:rsidR="00087B91" w:rsidRPr="002029AF" w:rsidRDefault="00087B91" w:rsidP="00087B91">
      <w:pPr>
        <w:pStyle w:val="ARfinbodyaftertable"/>
        <w:rPr>
          <w:color w:val="auto"/>
        </w:rPr>
      </w:pPr>
      <w:r w:rsidRPr="002029AF">
        <w:rPr>
          <w:color w:val="auto"/>
        </w:rPr>
        <w:t>Prepayments</w:t>
      </w:r>
      <w:r w:rsidR="000A5329" w:rsidRPr="002029AF">
        <w:rPr>
          <w:color w:val="auto"/>
        </w:rPr>
        <w:t xml:space="preserve"> </w:t>
      </w:r>
      <w:r w:rsidRPr="002029AF">
        <w:rPr>
          <w:color w:val="auto"/>
        </w:rPr>
        <w:t>represent</w:t>
      </w:r>
      <w:r w:rsidR="000A5329" w:rsidRPr="002029AF">
        <w:rPr>
          <w:color w:val="auto"/>
        </w:rPr>
        <w:t xml:space="preserve"> </w:t>
      </w:r>
      <w:r w:rsidRPr="002029AF">
        <w:rPr>
          <w:color w:val="auto"/>
        </w:rPr>
        <w:t>payments</w:t>
      </w:r>
      <w:r w:rsidR="000A5329" w:rsidRPr="002029AF">
        <w:rPr>
          <w:color w:val="auto"/>
        </w:rPr>
        <w:t xml:space="preserve"> </w:t>
      </w:r>
      <w:r w:rsidRPr="002029AF">
        <w:rPr>
          <w:color w:val="auto"/>
        </w:rPr>
        <w:t>in</w:t>
      </w:r>
      <w:r w:rsidR="000A5329" w:rsidRPr="002029AF">
        <w:rPr>
          <w:color w:val="auto"/>
        </w:rPr>
        <w:t xml:space="preserve"> </w:t>
      </w:r>
      <w:r w:rsidRPr="002029AF">
        <w:rPr>
          <w:color w:val="auto"/>
        </w:rPr>
        <w:t>advance</w:t>
      </w:r>
      <w:r w:rsidR="000A5329" w:rsidRPr="002029AF">
        <w:rPr>
          <w:color w:val="auto"/>
        </w:rPr>
        <w:t xml:space="preserve"> </w:t>
      </w:r>
      <w:r w:rsidRPr="002029AF">
        <w:rPr>
          <w:color w:val="auto"/>
        </w:rPr>
        <w:t>of</w:t>
      </w:r>
      <w:r w:rsidR="000A5329" w:rsidRPr="002029AF">
        <w:rPr>
          <w:color w:val="auto"/>
        </w:rPr>
        <w:t xml:space="preserve"> </w:t>
      </w:r>
      <w:r w:rsidRPr="002029AF">
        <w:rPr>
          <w:color w:val="auto"/>
        </w:rPr>
        <w:t>receipt</w:t>
      </w:r>
      <w:r w:rsidR="000A5329" w:rsidRPr="002029AF">
        <w:rPr>
          <w:color w:val="auto"/>
        </w:rPr>
        <w:t xml:space="preserve"> </w:t>
      </w:r>
      <w:r w:rsidRPr="002029AF">
        <w:rPr>
          <w:color w:val="auto"/>
        </w:rPr>
        <w:t>of</w:t>
      </w:r>
      <w:r w:rsidR="000A5329" w:rsidRPr="002029AF">
        <w:rPr>
          <w:color w:val="auto"/>
        </w:rPr>
        <w:t xml:space="preserve"> </w:t>
      </w:r>
      <w:r w:rsidRPr="002029AF">
        <w:rPr>
          <w:color w:val="auto"/>
        </w:rPr>
        <w:t>goods</w:t>
      </w:r>
      <w:r w:rsidR="000A5329" w:rsidRPr="002029AF">
        <w:rPr>
          <w:color w:val="auto"/>
        </w:rPr>
        <w:t xml:space="preserve"> </w:t>
      </w:r>
      <w:r w:rsidRPr="002029AF">
        <w:rPr>
          <w:color w:val="auto"/>
        </w:rPr>
        <w:t>and</w:t>
      </w:r>
      <w:r w:rsidR="000A5329" w:rsidRPr="002029AF">
        <w:rPr>
          <w:color w:val="auto"/>
        </w:rPr>
        <w:t xml:space="preserve"> </w:t>
      </w:r>
      <w:r w:rsidRPr="002029AF">
        <w:rPr>
          <w:color w:val="auto"/>
        </w:rPr>
        <w:t>services</w:t>
      </w:r>
      <w:r w:rsidR="000A5329" w:rsidRPr="002029AF">
        <w:rPr>
          <w:color w:val="auto"/>
        </w:rPr>
        <w:t xml:space="preserve"> </w:t>
      </w:r>
      <w:r w:rsidRPr="002029AF">
        <w:rPr>
          <w:color w:val="auto"/>
        </w:rPr>
        <w:t>or</w:t>
      </w:r>
      <w:r w:rsidR="000A5329" w:rsidRPr="002029AF">
        <w:rPr>
          <w:color w:val="auto"/>
        </w:rPr>
        <w:t xml:space="preserve"> </w:t>
      </w:r>
      <w:r w:rsidRPr="002029AF">
        <w:rPr>
          <w:color w:val="auto"/>
        </w:rPr>
        <w:t>that</w:t>
      </w:r>
      <w:r w:rsidR="000A5329" w:rsidRPr="002029AF">
        <w:rPr>
          <w:color w:val="auto"/>
        </w:rPr>
        <w:t xml:space="preserve"> </w:t>
      </w:r>
      <w:r w:rsidRPr="002029AF">
        <w:rPr>
          <w:color w:val="auto"/>
        </w:rPr>
        <w:t>part</w:t>
      </w:r>
      <w:r w:rsidR="000A5329" w:rsidRPr="002029AF">
        <w:rPr>
          <w:color w:val="auto"/>
        </w:rPr>
        <w:t xml:space="preserve"> </w:t>
      </w:r>
      <w:r w:rsidRPr="002029AF">
        <w:rPr>
          <w:color w:val="auto"/>
        </w:rPr>
        <w:t>of</w:t>
      </w:r>
      <w:r w:rsidR="000A5329" w:rsidRPr="002029AF">
        <w:rPr>
          <w:color w:val="auto"/>
        </w:rPr>
        <w:t xml:space="preserve"> </w:t>
      </w:r>
      <w:r w:rsidRPr="002029AF">
        <w:rPr>
          <w:color w:val="auto"/>
        </w:rPr>
        <w:t>expenditure</w:t>
      </w:r>
      <w:r w:rsidR="000A5329" w:rsidRPr="002029AF">
        <w:rPr>
          <w:color w:val="auto"/>
        </w:rPr>
        <w:t xml:space="preserve"> </w:t>
      </w:r>
      <w:r w:rsidRPr="002029AF">
        <w:rPr>
          <w:color w:val="auto"/>
        </w:rPr>
        <w:t>made</w:t>
      </w:r>
      <w:r w:rsidR="000A5329" w:rsidRPr="002029AF">
        <w:rPr>
          <w:color w:val="auto"/>
        </w:rPr>
        <w:t xml:space="preserve"> </w:t>
      </w:r>
      <w:r w:rsidRPr="002029AF">
        <w:rPr>
          <w:color w:val="auto"/>
        </w:rPr>
        <w:t>in</w:t>
      </w:r>
      <w:r w:rsidR="000A5329" w:rsidRPr="002029AF">
        <w:rPr>
          <w:color w:val="auto"/>
        </w:rPr>
        <w:t xml:space="preserve"> </w:t>
      </w:r>
      <w:r w:rsidRPr="002029AF">
        <w:rPr>
          <w:color w:val="auto"/>
        </w:rPr>
        <w:t>one</w:t>
      </w:r>
      <w:r w:rsidR="000A5329" w:rsidRPr="002029AF">
        <w:rPr>
          <w:color w:val="auto"/>
        </w:rPr>
        <w:t xml:space="preserve"> </w:t>
      </w:r>
      <w:r w:rsidRPr="002029AF">
        <w:rPr>
          <w:color w:val="auto"/>
        </w:rPr>
        <w:t>accounting</w:t>
      </w:r>
      <w:r w:rsidR="000A5329" w:rsidRPr="002029AF">
        <w:rPr>
          <w:color w:val="auto"/>
        </w:rPr>
        <w:t xml:space="preserve"> </w:t>
      </w:r>
      <w:r w:rsidRPr="002029AF">
        <w:rPr>
          <w:color w:val="auto"/>
        </w:rPr>
        <w:t>period</w:t>
      </w:r>
      <w:r w:rsidR="000A5329" w:rsidRPr="002029AF">
        <w:rPr>
          <w:color w:val="auto"/>
        </w:rPr>
        <w:t xml:space="preserve"> </w:t>
      </w:r>
      <w:r w:rsidRPr="002029AF">
        <w:rPr>
          <w:color w:val="auto"/>
        </w:rPr>
        <w:t>covering</w:t>
      </w:r>
      <w:r w:rsidR="000A5329" w:rsidRPr="002029AF">
        <w:rPr>
          <w:color w:val="auto"/>
        </w:rPr>
        <w:t xml:space="preserve"> </w:t>
      </w:r>
      <w:r w:rsidRPr="002029AF">
        <w:rPr>
          <w:color w:val="auto"/>
        </w:rPr>
        <w:t>a</w:t>
      </w:r>
      <w:r w:rsidR="000A5329" w:rsidRPr="002029AF">
        <w:rPr>
          <w:color w:val="auto"/>
        </w:rPr>
        <w:t xml:space="preserve"> </w:t>
      </w:r>
      <w:r w:rsidRPr="002029AF">
        <w:rPr>
          <w:color w:val="auto"/>
        </w:rPr>
        <w:t>term</w:t>
      </w:r>
      <w:r w:rsidR="000A5329" w:rsidRPr="002029AF">
        <w:rPr>
          <w:color w:val="auto"/>
        </w:rPr>
        <w:t xml:space="preserve"> </w:t>
      </w:r>
      <w:r w:rsidRPr="002029AF">
        <w:rPr>
          <w:color w:val="auto"/>
        </w:rPr>
        <w:t>extending</w:t>
      </w:r>
      <w:r w:rsidR="000A5329" w:rsidRPr="002029AF">
        <w:rPr>
          <w:color w:val="auto"/>
        </w:rPr>
        <w:t xml:space="preserve"> </w:t>
      </w:r>
      <w:r w:rsidRPr="002029AF">
        <w:rPr>
          <w:color w:val="auto"/>
        </w:rPr>
        <w:t>beyond</w:t>
      </w:r>
      <w:r w:rsidR="000A5329" w:rsidRPr="002029AF">
        <w:rPr>
          <w:color w:val="auto"/>
        </w:rPr>
        <w:t xml:space="preserve"> </w:t>
      </w:r>
      <w:r w:rsidRPr="002029AF">
        <w:rPr>
          <w:color w:val="auto"/>
        </w:rPr>
        <w:t>that</w:t>
      </w:r>
      <w:r w:rsidR="000A5329" w:rsidRPr="002029AF">
        <w:rPr>
          <w:color w:val="auto"/>
        </w:rPr>
        <w:t xml:space="preserve"> </w:t>
      </w:r>
      <w:r w:rsidRPr="002029AF">
        <w:rPr>
          <w:color w:val="auto"/>
        </w:rPr>
        <w:t>period.</w:t>
      </w:r>
    </w:p>
    <w:p w14:paraId="1B481F46" w14:textId="51D1C62F" w:rsidR="00087B91" w:rsidRPr="002029AF" w:rsidRDefault="00087B91" w:rsidP="00087B91">
      <w:pPr>
        <w:pStyle w:val="Heading4"/>
      </w:pPr>
      <w:bookmarkStart w:id="358" w:name="_Toc39242153"/>
      <w:r w:rsidRPr="002029AF">
        <w:lastRenderedPageBreak/>
        <w:t>6.4</w:t>
      </w:r>
      <w:r w:rsidR="000A5329" w:rsidRPr="002029AF">
        <w:t xml:space="preserve"> </w:t>
      </w:r>
      <w:r w:rsidRPr="002029AF">
        <w:t>Payables</w:t>
      </w:r>
      <w:bookmarkEnd w:id="358"/>
    </w:p>
    <w:tbl>
      <w:tblPr>
        <w:tblStyle w:val="TableGrid"/>
        <w:tblW w:w="9637" w:type="dxa"/>
        <w:tblLayout w:type="fixed"/>
        <w:tblLook w:val="06A0" w:firstRow="1" w:lastRow="0" w:firstColumn="1" w:lastColumn="0" w:noHBand="1" w:noVBand="1"/>
      </w:tblPr>
      <w:tblGrid>
        <w:gridCol w:w="7371"/>
        <w:gridCol w:w="1133"/>
        <w:gridCol w:w="1133"/>
      </w:tblGrid>
      <w:tr w:rsidR="00087B91" w:rsidRPr="002029AF" w14:paraId="11D9D335"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7371" w:type="dxa"/>
            <w:tcBorders>
              <w:bottom w:val="single" w:sz="4" w:space="0" w:color="auto"/>
            </w:tcBorders>
            <w:noWrap/>
            <w:hideMark/>
          </w:tcPr>
          <w:p w14:paraId="38E49134" w14:textId="77777777" w:rsidR="00087B91" w:rsidRPr="002029AF" w:rsidRDefault="00087B91" w:rsidP="00860E95">
            <w:pPr>
              <w:pStyle w:val="ARfintablecolhead"/>
            </w:pPr>
          </w:p>
        </w:tc>
        <w:tc>
          <w:tcPr>
            <w:tcW w:w="1133" w:type="dxa"/>
            <w:tcBorders>
              <w:bottom w:val="single" w:sz="4" w:space="0" w:color="auto"/>
            </w:tcBorders>
            <w:shd w:val="clear" w:color="auto" w:fill="E7E6E6"/>
            <w:hideMark/>
          </w:tcPr>
          <w:p w14:paraId="33A34A63" w14:textId="77777777" w:rsidR="00087B91" w:rsidRPr="002029AF" w:rsidRDefault="00087B91" w:rsidP="00860E95">
            <w:pPr>
              <w:pStyle w:val="ARfintablecolheadright"/>
            </w:pPr>
            <w:r w:rsidRPr="002029AF">
              <w:t>2020</w:t>
            </w:r>
          </w:p>
          <w:p w14:paraId="1A699148" w14:textId="77777777" w:rsidR="00087B91" w:rsidRPr="002029AF" w:rsidRDefault="00087B91" w:rsidP="00860E95">
            <w:pPr>
              <w:pStyle w:val="ARfintablecolheadright"/>
            </w:pPr>
            <w:r w:rsidRPr="002029AF">
              <w:t>$M</w:t>
            </w:r>
          </w:p>
        </w:tc>
        <w:tc>
          <w:tcPr>
            <w:tcW w:w="1133" w:type="dxa"/>
            <w:tcBorders>
              <w:bottom w:val="single" w:sz="4" w:space="0" w:color="auto"/>
            </w:tcBorders>
            <w:hideMark/>
          </w:tcPr>
          <w:p w14:paraId="5EF73E69" w14:textId="77777777" w:rsidR="00087B91" w:rsidRPr="002029AF" w:rsidRDefault="00087B91" w:rsidP="00860E95">
            <w:pPr>
              <w:pStyle w:val="ARfintablecolheadright"/>
            </w:pPr>
            <w:r w:rsidRPr="002029AF">
              <w:t>2019</w:t>
            </w:r>
          </w:p>
          <w:p w14:paraId="4E223861" w14:textId="77777777" w:rsidR="00087B91" w:rsidRPr="002029AF" w:rsidRDefault="00087B91" w:rsidP="00860E95">
            <w:pPr>
              <w:pStyle w:val="ARfintablecolheadright"/>
            </w:pPr>
            <w:r w:rsidRPr="002029AF">
              <w:t>$M</w:t>
            </w:r>
          </w:p>
        </w:tc>
      </w:tr>
      <w:tr w:rsidR="00087B91" w:rsidRPr="002029AF" w14:paraId="4563645F" w14:textId="77777777" w:rsidTr="00860E95">
        <w:tc>
          <w:tcPr>
            <w:tcW w:w="9637" w:type="dxa"/>
            <w:gridSpan w:val="3"/>
            <w:tcBorders>
              <w:top w:val="single" w:sz="4" w:space="0" w:color="auto"/>
              <w:bottom w:val="single" w:sz="4" w:space="0" w:color="A6A6A6"/>
            </w:tcBorders>
            <w:hideMark/>
          </w:tcPr>
          <w:p w14:paraId="6C88564B" w14:textId="3BA5B25F" w:rsidR="00087B91" w:rsidRPr="002029AF" w:rsidRDefault="00087B91" w:rsidP="00860E95">
            <w:pPr>
              <w:pStyle w:val="ARfintablebodybold"/>
            </w:pPr>
            <w:r w:rsidRPr="002029AF">
              <w:t>Current</w:t>
            </w:r>
            <w:r w:rsidR="000A5329" w:rsidRPr="002029AF">
              <w:t xml:space="preserve"> </w:t>
            </w:r>
            <w:r w:rsidRPr="002029AF">
              <w:t>payables</w:t>
            </w:r>
          </w:p>
        </w:tc>
      </w:tr>
      <w:tr w:rsidR="00087B91" w:rsidRPr="002029AF" w14:paraId="702CDAB6" w14:textId="77777777" w:rsidTr="00860E95">
        <w:tc>
          <w:tcPr>
            <w:tcW w:w="9637" w:type="dxa"/>
            <w:gridSpan w:val="3"/>
            <w:tcBorders>
              <w:top w:val="single" w:sz="4" w:space="0" w:color="A6A6A6"/>
              <w:bottom w:val="single" w:sz="4" w:space="0" w:color="A6A6A6"/>
            </w:tcBorders>
            <w:hideMark/>
          </w:tcPr>
          <w:p w14:paraId="110E645C" w14:textId="77777777" w:rsidR="00087B91" w:rsidRPr="002029AF" w:rsidRDefault="00087B91" w:rsidP="00860E95">
            <w:pPr>
              <w:pStyle w:val="ARfintablebody"/>
              <w:rPr>
                <w:b/>
                <w:bCs/>
              </w:rPr>
            </w:pPr>
            <w:r w:rsidRPr="002029AF">
              <w:rPr>
                <w:rStyle w:val="Emphasis"/>
              </w:rPr>
              <w:t>Statutory</w:t>
            </w:r>
          </w:p>
        </w:tc>
      </w:tr>
      <w:tr w:rsidR="00087B91" w:rsidRPr="002029AF" w14:paraId="2F4C03B4" w14:textId="77777777" w:rsidTr="00860E95">
        <w:tc>
          <w:tcPr>
            <w:tcW w:w="7371" w:type="dxa"/>
            <w:tcBorders>
              <w:top w:val="single" w:sz="4" w:space="0" w:color="A6A6A6"/>
              <w:bottom w:val="single" w:sz="4" w:space="0" w:color="A6A6A6"/>
            </w:tcBorders>
            <w:hideMark/>
          </w:tcPr>
          <w:p w14:paraId="03CF684A" w14:textId="6F1A20FD" w:rsidR="00087B91" w:rsidRPr="002029AF" w:rsidRDefault="00087B91" w:rsidP="00860E95">
            <w:pPr>
              <w:pStyle w:val="ARfintablebody"/>
            </w:pPr>
            <w:r w:rsidRPr="002029AF">
              <w:t>FBT</w:t>
            </w:r>
            <w:r w:rsidR="000A5329" w:rsidRPr="002029AF">
              <w:t xml:space="preserve"> </w:t>
            </w:r>
            <w:r w:rsidRPr="002029AF">
              <w:t>payable</w:t>
            </w:r>
          </w:p>
        </w:tc>
        <w:tc>
          <w:tcPr>
            <w:tcW w:w="1133" w:type="dxa"/>
            <w:tcBorders>
              <w:top w:val="single" w:sz="4" w:space="0" w:color="A6A6A6"/>
              <w:bottom w:val="single" w:sz="4" w:space="0" w:color="A6A6A6"/>
            </w:tcBorders>
            <w:shd w:val="clear" w:color="auto" w:fill="E7E6E6"/>
            <w:noWrap/>
            <w:hideMark/>
          </w:tcPr>
          <w:p w14:paraId="46E08F36" w14:textId="77777777" w:rsidR="00087B91" w:rsidRPr="002029AF" w:rsidRDefault="00087B91" w:rsidP="00860E95">
            <w:pPr>
              <w:pStyle w:val="ARfintablebodyright"/>
            </w:pPr>
            <w:r w:rsidRPr="002029AF">
              <w:t>0.2</w:t>
            </w:r>
          </w:p>
        </w:tc>
        <w:tc>
          <w:tcPr>
            <w:tcW w:w="1133" w:type="dxa"/>
            <w:tcBorders>
              <w:top w:val="single" w:sz="4" w:space="0" w:color="A6A6A6"/>
              <w:bottom w:val="single" w:sz="4" w:space="0" w:color="A6A6A6"/>
            </w:tcBorders>
            <w:noWrap/>
            <w:hideMark/>
          </w:tcPr>
          <w:p w14:paraId="2FE2EA87" w14:textId="77777777" w:rsidR="00087B91" w:rsidRPr="002029AF" w:rsidRDefault="00087B91" w:rsidP="00860E95">
            <w:pPr>
              <w:pStyle w:val="ARfintablebodyright"/>
            </w:pPr>
            <w:r w:rsidRPr="002029AF">
              <w:t>0.2</w:t>
            </w:r>
          </w:p>
        </w:tc>
      </w:tr>
      <w:tr w:rsidR="00087B91" w:rsidRPr="002029AF" w14:paraId="37108CBE" w14:textId="77777777" w:rsidTr="00860E95">
        <w:tc>
          <w:tcPr>
            <w:tcW w:w="7371" w:type="dxa"/>
            <w:tcBorders>
              <w:top w:val="single" w:sz="4" w:space="0" w:color="A6A6A6"/>
              <w:bottom w:val="single" w:sz="4" w:space="0" w:color="A6A6A6"/>
            </w:tcBorders>
            <w:hideMark/>
          </w:tcPr>
          <w:p w14:paraId="1236CEE2" w14:textId="77777777" w:rsidR="00087B91" w:rsidRPr="002029AF" w:rsidRDefault="00087B91" w:rsidP="00860E95">
            <w:pPr>
              <w:pStyle w:val="ARfintablebody"/>
              <w:rPr>
                <w:rStyle w:val="Emphasis"/>
              </w:rPr>
            </w:pPr>
            <w:r w:rsidRPr="002029AF">
              <w:rPr>
                <w:rStyle w:val="Emphasis"/>
              </w:rPr>
              <w:t>Contractual</w:t>
            </w:r>
          </w:p>
        </w:tc>
        <w:tc>
          <w:tcPr>
            <w:tcW w:w="1133" w:type="dxa"/>
            <w:tcBorders>
              <w:top w:val="single" w:sz="4" w:space="0" w:color="A6A6A6"/>
              <w:bottom w:val="single" w:sz="4" w:space="0" w:color="A6A6A6"/>
            </w:tcBorders>
            <w:shd w:val="clear" w:color="auto" w:fill="E7E6E6"/>
            <w:hideMark/>
          </w:tcPr>
          <w:p w14:paraId="5BAB7A4F" w14:textId="77777777" w:rsidR="00087B91" w:rsidRPr="002029AF" w:rsidRDefault="00087B91" w:rsidP="00860E95">
            <w:pPr>
              <w:pStyle w:val="ARfintablebodyright"/>
              <w:rPr>
                <w:b/>
                <w:bCs/>
              </w:rPr>
            </w:pPr>
          </w:p>
        </w:tc>
        <w:tc>
          <w:tcPr>
            <w:tcW w:w="1133" w:type="dxa"/>
            <w:tcBorders>
              <w:top w:val="single" w:sz="4" w:space="0" w:color="A6A6A6"/>
              <w:bottom w:val="single" w:sz="4" w:space="0" w:color="A6A6A6"/>
            </w:tcBorders>
            <w:hideMark/>
          </w:tcPr>
          <w:p w14:paraId="5C800A1B" w14:textId="77777777" w:rsidR="00087B91" w:rsidRPr="002029AF" w:rsidRDefault="00087B91" w:rsidP="00860E95">
            <w:pPr>
              <w:pStyle w:val="ARfintablebodyright"/>
              <w:rPr>
                <w:b/>
                <w:bCs/>
              </w:rPr>
            </w:pPr>
          </w:p>
        </w:tc>
      </w:tr>
      <w:tr w:rsidR="00087B91" w:rsidRPr="002029AF" w14:paraId="55E00C50" w14:textId="77777777" w:rsidTr="00860E95">
        <w:tc>
          <w:tcPr>
            <w:tcW w:w="7371" w:type="dxa"/>
            <w:tcBorders>
              <w:top w:val="single" w:sz="4" w:space="0" w:color="A6A6A6"/>
              <w:bottom w:val="single" w:sz="4" w:space="0" w:color="A6A6A6"/>
            </w:tcBorders>
            <w:hideMark/>
          </w:tcPr>
          <w:p w14:paraId="10F43430" w14:textId="0794E7B1" w:rsidR="00087B91" w:rsidRPr="002029AF" w:rsidRDefault="00087B91" w:rsidP="00860E95">
            <w:pPr>
              <w:pStyle w:val="ARfintablebody"/>
            </w:pPr>
            <w:r w:rsidRPr="002029AF">
              <w:t>Employee</w:t>
            </w:r>
            <w:r w:rsidR="000A5329" w:rsidRPr="002029AF">
              <w:t xml:space="preserve"> </w:t>
            </w:r>
            <w:r w:rsidRPr="002029AF">
              <w:t>benefits</w:t>
            </w:r>
            <w:r w:rsidR="000A5329" w:rsidRPr="002029AF">
              <w:t xml:space="preserve"> </w:t>
            </w:r>
            <w:r w:rsidRPr="002029AF">
              <w:t>payable</w:t>
            </w:r>
          </w:p>
        </w:tc>
        <w:tc>
          <w:tcPr>
            <w:tcW w:w="1133" w:type="dxa"/>
            <w:tcBorders>
              <w:top w:val="single" w:sz="4" w:space="0" w:color="A6A6A6"/>
              <w:bottom w:val="single" w:sz="4" w:space="0" w:color="A6A6A6"/>
            </w:tcBorders>
            <w:shd w:val="clear" w:color="auto" w:fill="E7E6E6"/>
            <w:noWrap/>
            <w:hideMark/>
          </w:tcPr>
          <w:p w14:paraId="0382BCC7" w14:textId="77777777" w:rsidR="00087B91" w:rsidRPr="002029AF" w:rsidRDefault="00087B91" w:rsidP="00860E95">
            <w:pPr>
              <w:pStyle w:val="ARfintablebodyright"/>
            </w:pPr>
            <w:r w:rsidRPr="002029AF">
              <w:t>24.3</w:t>
            </w:r>
          </w:p>
        </w:tc>
        <w:tc>
          <w:tcPr>
            <w:tcW w:w="1133" w:type="dxa"/>
            <w:tcBorders>
              <w:top w:val="single" w:sz="4" w:space="0" w:color="A6A6A6"/>
              <w:bottom w:val="single" w:sz="4" w:space="0" w:color="A6A6A6"/>
            </w:tcBorders>
            <w:noWrap/>
            <w:hideMark/>
          </w:tcPr>
          <w:p w14:paraId="4990DFA1" w14:textId="77777777" w:rsidR="00087B91" w:rsidRPr="002029AF" w:rsidRDefault="00087B91" w:rsidP="00860E95">
            <w:pPr>
              <w:pStyle w:val="ARfintablebodyright"/>
            </w:pPr>
            <w:r w:rsidRPr="002029AF">
              <w:t>53.7</w:t>
            </w:r>
          </w:p>
        </w:tc>
      </w:tr>
      <w:tr w:rsidR="00087B91" w:rsidRPr="002029AF" w14:paraId="3D472E13" w14:textId="77777777" w:rsidTr="00860E95">
        <w:tc>
          <w:tcPr>
            <w:tcW w:w="7371" w:type="dxa"/>
            <w:tcBorders>
              <w:top w:val="single" w:sz="4" w:space="0" w:color="A6A6A6"/>
              <w:bottom w:val="single" w:sz="4" w:space="0" w:color="A6A6A6"/>
            </w:tcBorders>
            <w:hideMark/>
          </w:tcPr>
          <w:p w14:paraId="0F453753" w14:textId="015C4C31" w:rsidR="00087B91" w:rsidRPr="002029AF" w:rsidRDefault="00087B91" w:rsidP="00860E95">
            <w:pPr>
              <w:pStyle w:val="ARfintablebody"/>
            </w:pPr>
            <w:r w:rsidRPr="002029AF">
              <w:t>Supplies</w:t>
            </w:r>
            <w:r w:rsidR="000A5329" w:rsidRPr="002029AF">
              <w:t xml:space="preserve"> </w:t>
            </w:r>
            <w:r w:rsidRPr="002029AF">
              <w:t>and</w:t>
            </w:r>
            <w:r w:rsidR="000A5329" w:rsidRPr="002029AF">
              <w:t xml:space="preserve"> </w:t>
            </w:r>
            <w:r w:rsidRPr="002029AF">
              <w:t>services</w:t>
            </w:r>
          </w:p>
        </w:tc>
        <w:tc>
          <w:tcPr>
            <w:tcW w:w="1133" w:type="dxa"/>
            <w:tcBorders>
              <w:top w:val="single" w:sz="4" w:space="0" w:color="A6A6A6"/>
              <w:bottom w:val="single" w:sz="4" w:space="0" w:color="A6A6A6"/>
            </w:tcBorders>
            <w:shd w:val="clear" w:color="auto" w:fill="E7E6E6"/>
            <w:noWrap/>
            <w:hideMark/>
          </w:tcPr>
          <w:p w14:paraId="6D6831F5" w14:textId="77777777" w:rsidR="00087B91" w:rsidRPr="002029AF" w:rsidRDefault="00087B91" w:rsidP="00860E95">
            <w:pPr>
              <w:pStyle w:val="ARfintablebodyright"/>
            </w:pPr>
            <w:r w:rsidRPr="002029AF">
              <w:t>162.2</w:t>
            </w:r>
          </w:p>
        </w:tc>
        <w:tc>
          <w:tcPr>
            <w:tcW w:w="1133" w:type="dxa"/>
            <w:tcBorders>
              <w:top w:val="single" w:sz="4" w:space="0" w:color="A6A6A6"/>
              <w:bottom w:val="single" w:sz="4" w:space="0" w:color="A6A6A6"/>
            </w:tcBorders>
            <w:noWrap/>
            <w:hideMark/>
          </w:tcPr>
          <w:p w14:paraId="515176CB" w14:textId="77777777" w:rsidR="00087B91" w:rsidRPr="002029AF" w:rsidRDefault="00087B91" w:rsidP="00860E95">
            <w:pPr>
              <w:pStyle w:val="ARfintablebodyright"/>
            </w:pPr>
            <w:r w:rsidRPr="002029AF">
              <w:t>92.0</w:t>
            </w:r>
          </w:p>
        </w:tc>
      </w:tr>
      <w:tr w:rsidR="00087B91" w:rsidRPr="002029AF" w14:paraId="34725DB1" w14:textId="77777777" w:rsidTr="00860E95">
        <w:tc>
          <w:tcPr>
            <w:tcW w:w="7371" w:type="dxa"/>
            <w:tcBorders>
              <w:top w:val="single" w:sz="4" w:space="0" w:color="A6A6A6"/>
              <w:bottom w:val="single" w:sz="4" w:space="0" w:color="A6A6A6"/>
            </w:tcBorders>
            <w:hideMark/>
          </w:tcPr>
          <w:p w14:paraId="6EBF710E" w14:textId="1DE95F9C" w:rsidR="00087B91" w:rsidRPr="002029AF" w:rsidRDefault="00087B91" w:rsidP="00860E95">
            <w:pPr>
              <w:pStyle w:val="ARfintablebody"/>
            </w:pPr>
            <w:r w:rsidRPr="002029AF">
              <w:t>Amounts</w:t>
            </w:r>
            <w:r w:rsidR="000A5329" w:rsidRPr="002029AF">
              <w:t xml:space="preserve"> </w:t>
            </w:r>
            <w:r w:rsidRPr="002029AF">
              <w:t>payable</w:t>
            </w:r>
            <w:r w:rsidR="000A5329" w:rsidRPr="002029AF">
              <w:t xml:space="preserve"> </w:t>
            </w:r>
            <w:r w:rsidRPr="002029AF">
              <w:t>to</w:t>
            </w:r>
            <w:r w:rsidR="000A5329" w:rsidRPr="002029AF">
              <w:t xml:space="preserve"> </w:t>
            </w:r>
            <w:r w:rsidRPr="002029AF">
              <w:t>government</w:t>
            </w:r>
            <w:r w:rsidR="000A5329" w:rsidRPr="002029AF">
              <w:t xml:space="preserve"> </w:t>
            </w:r>
            <w:r w:rsidRPr="002029AF">
              <w:t>agencies</w:t>
            </w:r>
          </w:p>
        </w:tc>
        <w:tc>
          <w:tcPr>
            <w:tcW w:w="1133" w:type="dxa"/>
            <w:tcBorders>
              <w:top w:val="single" w:sz="4" w:space="0" w:color="A6A6A6"/>
              <w:bottom w:val="single" w:sz="4" w:space="0" w:color="A6A6A6"/>
            </w:tcBorders>
            <w:shd w:val="clear" w:color="auto" w:fill="E7E6E6"/>
            <w:noWrap/>
            <w:hideMark/>
          </w:tcPr>
          <w:p w14:paraId="41612457" w14:textId="77777777" w:rsidR="00087B91" w:rsidRPr="002029AF" w:rsidRDefault="00087B91" w:rsidP="00860E95">
            <w:pPr>
              <w:pStyle w:val="ARfintablebodyright"/>
            </w:pPr>
            <w:r w:rsidRPr="002029AF">
              <w:t>670.5</w:t>
            </w:r>
          </w:p>
        </w:tc>
        <w:tc>
          <w:tcPr>
            <w:tcW w:w="1133" w:type="dxa"/>
            <w:tcBorders>
              <w:top w:val="single" w:sz="4" w:space="0" w:color="A6A6A6"/>
              <w:bottom w:val="single" w:sz="4" w:space="0" w:color="A6A6A6"/>
            </w:tcBorders>
            <w:noWrap/>
            <w:hideMark/>
          </w:tcPr>
          <w:p w14:paraId="46BBF9FE" w14:textId="77777777" w:rsidR="00087B91" w:rsidRPr="002029AF" w:rsidRDefault="00087B91" w:rsidP="00860E95">
            <w:pPr>
              <w:pStyle w:val="ARfintablebodyright"/>
            </w:pPr>
            <w:r w:rsidRPr="002029AF">
              <w:t>403.6</w:t>
            </w:r>
          </w:p>
        </w:tc>
      </w:tr>
      <w:tr w:rsidR="00087B91" w:rsidRPr="002029AF" w14:paraId="2228A45D" w14:textId="77777777" w:rsidTr="00860E95">
        <w:tc>
          <w:tcPr>
            <w:tcW w:w="7371" w:type="dxa"/>
            <w:tcBorders>
              <w:top w:val="single" w:sz="4" w:space="0" w:color="A6A6A6"/>
              <w:bottom w:val="single" w:sz="4" w:space="0" w:color="A6A6A6"/>
            </w:tcBorders>
            <w:hideMark/>
          </w:tcPr>
          <w:p w14:paraId="22810FAB" w14:textId="53A36D26" w:rsidR="00087B91" w:rsidRPr="002029AF" w:rsidRDefault="00087B91" w:rsidP="00860E95">
            <w:pPr>
              <w:pStyle w:val="ARfintablebody"/>
            </w:pPr>
            <w:r w:rsidRPr="002029AF">
              <w:t>Concession</w:t>
            </w:r>
            <w:r w:rsidR="000A5329" w:rsidRPr="002029AF">
              <w:t xml:space="preserve"> </w:t>
            </w:r>
            <w:r w:rsidRPr="002029AF">
              <w:t>payments</w:t>
            </w:r>
            <w:r w:rsidR="000A5329" w:rsidRPr="002029AF">
              <w:t xml:space="preserve"> </w:t>
            </w:r>
            <w:r w:rsidRPr="002029AF">
              <w:t>to</w:t>
            </w:r>
            <w:r w:rsidR="000A5329" w:rsidRPr="002029AF">
              <w:t xml:space="preserve"> </w:t>
            </w:r>
            <w:r w:rsidRPr="002029AF">
              <w:t>pensioners</w:t>
            </w:r>
          </w:p>
        </w:tc>
        <w:tc>
          <w:tcPr>
            <w:tcW w:w="1133" w:type="dxa"/>
            <w:tcBorders>
              <w:top w:val="single" w:sz="4" w:space="0" w:color="A6A6A6"/>
              <w:bottom w:val="single" w:sz="4" w:space="0" w:color="A6A6A6"/>
            </w:tcBorders>
            <w:shd w:val="clear" w:color="auto" w:fill="E7E6E6"/>
            <w:noWrap/>
            <w:hideMark/>
          </w:tcPr>
          <w:p w14:paraId="4C42C7B8" w14:textId="77777777" w:rsidR="00087B91" w:rsidRPr="002029AF" w:rsidRDefault="00087B91" w:rsidP="00860E95">
            <w:pPr>
              <w:pStyle w:val="ARfintablebodyright"/>
            </w:pPr>
            <w:r w:rsidRPr="002029AF">
              <w:t>93.9</w:t>
            </w:r>
          </w:p>
        </w:tc>
        <w:tc>
          <w:tcPr>
            <w:tcW w:w="1133" w:type="dxa"/>
            <w:tcBorders>
              <w:top w:val="single" w:sz="4" w:space="0" w:color="A6A6A6"/>
              <w:bottom w:val="single" w:sz="4" w:space="0" w:color="A6A6A6"/>
            </w:tcBorders>
            <w:noWrap/>
            <w:hideMark/>
          </w:tcPr>
          <w:p w14:paraId="38F4CB51" w14:textId="77777777" w:rsidR="00087B91" w:rsidRPr="002029AF" w:rsidRDefault="00087B91" w:rsidP="00860E95">
            <w:pPr>
              <w:pStyle w:val="ARfintablebodyright"/>
            </w:pPr>
            <w:r w:rsidRPr="002029AF">
              <w:t>126.9</w:t>
            </w:r>
          </w:p>
        </w:tc>
      </w:tr>
      <w:tr w:rsidR="00087B91" w:rsidRPr="002029AF" w14:paraId="2F68FF81" w14:textId="77777777" w:rsidTr="00860E95">
        <w:tc>
          <w:tcPr>
            <w:tcW w:w="7371" w:type="dxa"/>
            <w:tcBorders>
              <w:top w:val="single" w:sz="4" w:space="0" w:color="A6A6A6"/>
              <w:bottom w:val="single" w:sz="4" w:space="0" w:color="A6A6A6"/>
            </w:tcBorders>
            <w:hideMark/>
          </w:tcPr>
          <w:p w14:paraId="0C3657A2" w14:textId="23839FAC" w:rsidR="00087B91" w:rsidRPr="002029AF" w:rsidRDefault="00087B91" w:rsidP="00860E95">
            <w:pPr>
              <w:pStyle w:val="ARfintablebody"/>
            </w:pPr>
            <w:r w:rsidRPr="002029AF">
              <w:t>Tenants</w:t>
            </w:r>
            <w:r w:rsidR="000A5329" w:rsidRPr="002029AF">
              <w:t xml:space="preserve"> </w:t>
            </w:r>
            <w:r w:rsidRPr="002029AF">
              <w:t>in</w:t>
            </w:r>
            <w:r w:rsidR="000A5329" w:rsidRPr="002029AF">
              <w:t xml:space="preserve"> </w:t>
            </w:r>
            <w:r w:rsidRPr="002029AF">
              <w:t>advance</w:t>
            </w:r>
          </w:p>
        </w:tc>
        <w:tc>
          <w:tcPr>
            <w:tcW w:w="1133" w:type="dxa"/>
            <w:tcBorders>
              <w:top w:val="single" w:sz="4" w:space="0" w:color="A6A6A6"/>
              <w:bottom w:val="single" w:sz="4" w:space="0" w:color="A6A6A6"/>
            </w:tcBorders>
            <w:shd w:val="clear" w:color="auto" w:fill="E7E6E6"/>
            <w:noWrap/>
            <w:hideMark/>
          </w:tcPr>
          <w:p w14:paraId="1BCC9F25" w14:textId="77777777" w:rsidR="00087B91" w:rsidRPr="002029AF" w:rsidRDefault="00087B91" w:rsidP="00860E95">
            <w:pPr>
              <w:pStyle w:val="ARfintablebodyright"/>
            </w:pPr>
            <w:r w:rsidRPr="002029AF">
              <w:t>24.5</w:t>
            </w:r>
          </w:p>
        </w:tc>
        <w:tc>
          <w:tcPr>
            <w:tcW w:w="1133" w:type="dxa"/>
            <w:tcBorders>
              <w:top w:val="single" w:sz="4" w:space="0" w:color="A6A6A6"/>
              <w:bottom w:val="single" w:sz="4" w:space="0" w:color="A6A6A6"/>
            </w:tcBorders>
            <w:noWrap/>
            <w:hideMark/>
          </w:tcPr>
          <w:p w14:paraId="14021840" w14:textId="77777777" w:rsidR="00087B91" w:rsidRPr="002029AF" w:rsidRDefault="00087B91" w:rsidP="00860E95">
            <w:pPr>
              <w:pStyle w:val="ARfintablebodyright"/>
            </w:pPr>
            <w:r w:rsidRPr="002029AF">
              <w:t>24.2</w:t>
            </w:r>
          </w:p>
        </w:tc>
      </w:tr>
      <w:tr w:rsidR="00087B91" w:rsidRPr="002029AF" w14:paraId="1C6431AF" w14:textId="77777777" w:rsidTr="00860E95">
        <w:tc>
          <w:tcPr>
            <w:tcW w:w="7371" w:type="dxa"/>
            <w:tcBorders>
              <w:top w:val="single" w:sz="4" w:space="0" w:color="A6A6A6"/>
              <w:bottom w:val="single" w:sz="4" w:space="0" w:color="A6A6A6"/>
            </w:tcBorders>
            <w:hideMark/>
          </w:tcPr>
          <w:p w14:paraId="6A1ED0CD" w14:textId="61C7ADE7" w:rsidR="00087B91" w:rsidRPr="002029AF" w:rsidRDefault="00087B91" w:rsidP="00860E95">
            <w:pPr>
              <w:pStyle w:val="ARfintablebody"/>
            </w:pPr>
            <w:r w:rsidRPr="002029AF">
              <w:t>Capital</w:t>
            </w:r>
            <w:r w:rsidR="000A5329" w:rsidRPr="002029AF">
              <w:t xml:space="preserve"> </w:t>
            </w:r>
            <w:r w:rsidRPr="002029AF">
              <w:t>works</w:t>
            </w:r>
          </w:p>
        </w:tc>
        <w:tc>
          <w:tcPr>
            <w:tcW w:w="1133" w:type="dxa"/>
            <w:tcBorders>
              <w:top w:val="single" w:sz="4" w:space="0" w:color="A6A6A6"/>
              <w:bottom w:val="single" w:sz="4" w:space="0" w:color="A6A6A6"/>
            </w:tcBorders>
            <w:shd w:val="clear" w:color="auto" w:fill="E7E6E6"/>
            <w:noWrap/>
            <w:hideMark/>
          </w:tcPr>
          <w:p w14:paraId="3B3D399D" w14:textId="77777777" w:rsidR="00087B91" w:rsidRPr="002029AF" w:rsidRDefault="00087B91" w:rsidP="00860E95">
            <w:pPr>
              <w:pStyle w:val="ARfintablebodyright"/>
            </w:pPr>
            <w:r w:rsidRPr="002029AF">
              <w:t>9.6</w:t>
            </w:r>
          </w:p>
        </w:tc>
        <w:tc>
          <w:tcPr>
            <w:tcW w:w="1133" w:type="dxa"/>
            <w:tcBorders>
              <w:top w:val="single" w:sz="4" w:space="0" w:color="A6A6A6"/>
              <w:bottom w:val="single" w:sz="4" w:space="0" w:color="A6A6A6"/>
            </w:tcBorders>
            <w:noWrap/>
            <w:hideMark/>
          </w:tcPr>
          <w:p w14:paraId="36D82084" w14:textId="77777777" w:rsidR="00087B91" w:rsidRPr="002029AF" w:rsidRDefault="00087B91" w:rsidP="00860E95">
            <w:pPr>
              <w:pStyle w:val="ARfintablebodyright"/>
            </w:pPr>
            <w:r w:rsidRPr="002029AF">
              <w:t>31.7</w:t>
            </w:r>
          </w:p>
        </w:tc>
      </w:tr>
      <w:tr w:rsidR="00087B91" w:rsidRPr="002029AF" w14:paraId="3A71D218" w14:textId="77777777" w:rsidTr="00860E95">
        <w:tc>
          <w:tcPr>
            <w:tcW w:w="7371" w:type="dxa"/>
            <w:tcBorders>
              <w:top w:val="single" w:sz="4" w:space="0" w:color="A6A6A6"/>
            </w:tcBorders>
            <w:hideMark/>
          </w:tcPr>
          <w:p w14:paraId="4AD2D639" w14:textId="77777777" w:rsidR="00087B91" w:rsidRPr="002029AF" w:rsidRDefault="00087B91" w:rsidP="00860E95">
            <w:pPr>
              <w:pStyle w:val="ARfintablebody"/>
            </w:pPr>
            <w:r w:rsidRPr="002029AF">
              <w:t>Other</w:t>
            </w:r>
          </w:p>
        </w:tc>
        <w:tc>
          <w:tcPr>
            <w:tcW w:w="1133" w:type="dxa"/>
            <w:tcBorders>
              <w:top w:val="single" w:sz="4" w:space="0" w:color="A6A6A6"/>
            </w:tcBorders>
            <w:shd w:val="clear" w:color="auto" w:fill="E7E6E6"/>
            <w:noWrap/>
            <w:hideMark/>
          </w:tcPr>
          <w:p w14:paraId="157125C5" w14:textId="77777777" w:rsidR="00087B91" w:rsidRPr="002029AF" w:rsidRDefault="00087B91" w:rsidP="00860E95">
            <w:pPr>
              <w:pStyle w:val="ARfintablebodyright"/>
            </w:pPr>
            <w:r w:rsidRPr="002029AF">
              <w:t>10.3</w:t>
            </w:r>
          </w:p>
        </w:tc>
        <w:tc>
          <w:tcPr>
            <w:tcW w:w="1133" w:type="dxa"/>
            <w:tcBorders>
              <w:top w:val="single" w:sz="4" w:space="0" w:color="A6A6A6"/>
            </w:tcBorders>
            <w:noWrap/>
            <w:hideMark/>
          </w:tcPr>
          <w:p w14:paraId="30C2C0F9" w14:textId="77777777" w:rsidR="00087B91" w:rsidRPr="002029AF" w:rsidRDefault="00087B91" w:rsidP="00860E95">
            <w:pPr>
              <w:pStyle w:val="ARfintablebodyright"/>
            </w:pPr>
            <w:r w:rsidRPr="002029AF">
              <w:t>14.0</w:t>
            </w:r>
          </w:p>
        </w:tc>
      </w:tr>
      <w:tr w:rsidR="00087B91" w:rsidRPr="002029AF" w14:paraId="5F296EA2" w14:textId="77777777" w:rsidTr="00860E95">
        <w:tc>
          <w:tcPr>
            <w:tcW w:w="7371" w:type="dxa"/>
            <w:tcBorders>
              <w:bottom w:val="single" w:sz="4" w:space="0" w:color="auto"/>
            </w:tcBorders>
            <w:hideMark/>
          </w:tcPr>
          <w:p w14:paraId="3B95C10E" w14:textId="54334318" w:rsidR="00087B91" w:rsidRPr="002029AF" w:rsidRDefault="00087B91" w:rsidP="00860E95">
            <w:pPr>
              <w:pStyle w:val="ARfintablebodybold"/>
            </w:pPr>
            <w:r w:rsidRPr="002029AF">
              <w:t>Total</w:t>
            </w:r>
            <w:r w:rsidR="000A5329" w:rsidRPr="002029AF">
              <w:t xml:space="preserve"> </w:t>
            </w:r>
            <w:r w:rsidRPr="002029AF">
              <w:t>current</w:t>
            </w:r>
            <w:r w:rsidR="000A5329" w:rsidRPr="002029AF">
              <w:t xml:space="preserve"> </w:t>
            </w:r>
            <w:r w:rsidRPr="002029AF">
              <w:t>payables</w:t>
            </w:r>
          </w:p>
        </w:tc>
        <w:tc>
          <w:tcPr>
            <w:tcW w:w="1133" w:type="dxa"/>
            <w:tcBorders>
              <w:bottom w:val="single" w:sz="4" w:space="0" w:color="auto"/>
            </w:tcBorders>
            <w:shd w:val="clear" w:color="auto" w:fill="E7E6E6"/>
            <w:noWrap/>
            <w:hideMark/>
          </w:tcPr>
          <w:p w14:paraId="7B1C03DC" w14:textId="77777777" w:rsidR="00087B91" w:rsidRPr="002029AF" w:rsidRDefault="00087B91" w:rsidP="00860E95">
            <w:pPr>
              <w:pStyle w:val="ARfintablebodyrightbold"/>
            </w:pPr>
            <w:r w:rsidRPr="002029AF">
              <w:t>995.5</w:t>
            </w:r>
          </w:p>
        </w:tc>
        <w:tc>
          <w:tcPr>
            <w:tcW w:w="1133" w:type="dxa"/>
            <w:tcBorders>
              <w:bottom w:val="single" w:sz="4" w:space="0" w:color="auto"/>
            </w:tcBorders>
            <w:noWrap/>
            <w:hideMark/>
          </w:tcPr>
          <w:p w14:paraId="7CCCFD96" w14:textId="77777777" w:rsidR="00087B91" w:rsidRPr="002029AF" w:rsidRDefault="00087B91" w:rsidP="00860E95">
            <w:pPr>
              <w:pStyle w:val="ARfintablebodyrightbold"/>
            </w:pPr>
            <w:r w:rsidRPr="002029AF">
              <w:t>746.2</w:t>
            </w:r>
          </w:p>
        </w:tc>
      </w:tr>
      <w:tr w:rsidR="00087B91" w:rsidRPr="002029AF" w14:paraId="5BE7818A" w14:textId="77777777" w:rsidTr="00860E95">
        <w:tc>
          <w:tcPr>
            <w:tcW w:w="9637" w:type="dxa"/>
            <w:gridSpan w:val="3"/>
            <w:tcBorders>
              <w:top w:val="single" w:sz="4" w:space="0" w:color="auto"/>
              <w:bottom w:val="single" w:sz="4" w:space="0" w:color="A6A6A6"/>
            </w:tcBorders>
            <w:hideMark/>
          </w:tcPr>
          <w:p w14:paraId="53862287" w14:textId="5408D5BF" w:rsidR="00087B91" w:rsidRPr="002029AF" w:rsidRDefault="00087B91" w:rsidP="00860E95">
            <w:pPr>
              <w:pStyle w:val="ARfintablebodybold"/>
            </w:pPr>
            <w:r w:rsidRPr="002029AF">
              <w:t>Non-current</w:t>
            </w:r>
            <w:r w:rsidR="000A5329" w:rsidRPr="002029AF">
              <w:t xml:space="preserve"> </w:t>
            </w:r>
            <w:r w:rsidRPr="002029AF">
              <w:t>payables</w:t>
            </w:r>
          </w:p>
        </w:tc>
      </w:tr>
      <w:tr w:rsidR="00087B91" w:rsidRPr="002029AF" w14:paraId="42827518" w14:textId="77777777" w:rsidTr="00860E95">
        <w:tc>
          <w:tcPr>
            <w:tcW w:w="9637" w:type="dxa"/>
            <w:gridSpan w:val="3"/>
            <w:tcBorders>
              <w:top w:val="single" w:sz="4" w:space="0" w:color="A6A6A6"/>
              <w:bottom w:val="single" w:sz="4" w:space="0" w:color="A6A6A6"/>
            </w:tcBorders>
            <w:hideMark/>
          </w:tcPr>
          <w:p w14:paraId="5B616592" w14:textId="77777777" w:rsidR="00087B91" w:rsidRPr="002029AF" w:rsidRDefault="00087B91" w:rsidP="00860E95">
            <w:pPr>
              <w:pStyle w:val="ARfintablebody"/>
              <w:rPr>
                <w:b/>
                <w:bCs/>
              </w:rPr>
            </w:pPr>
            <w:r w:rsidRPr="002029AF">
              <w:rPr>
                <w:rStyle w:val="Emphasis"/>
              </w:rPr>
              <w:t>Contractual</w:t>
            </w:r>
          </w:p>
        </w:tc>
      </w:tr>
      <w:tr w:rsidR="00087B91" w:rsidRPr="002029AF" w14:paraId="1A1D62C7" w14:textId="77777777" w:rsidTr="00860E95">
        <w:tc>
          <w:tcPr>
            <w:tcW w:w="7371" w:type="dxa"/>
            <w:tcBorders>
              <w:top w:val="single" w:sz="4" w:space="0" w:color="A6A6A6"/>
              <w:bottom w:val="single" w:sz="4" w:space="0" w:color="A6A6A6"/>
            </w:tcBorders>
            <w:hideMark/>
          </w:tcPr>
          <w:p w14:paraId="21D2F881" w14:textId="3BEB657C" w:rsidR="00087B91" w:rsidRPr="002029AF" w:rsidRDefault="00087B91" w:rsidP="00860E95">
            <w:pPr>
              <w:pStyle w:val="ARfintablebody"/>
            </w:pPr>
            <w:r w:rsidRPr="002029AF">
              <w:t>Amounts</w:t>
            </w:r>
            <w:r w:rsidR="000A5329" w:rsidRPr="002029AF">
              <w:t xml:space="preserve"> </w:t>
            </w:r>
            <w:r w:rsidRPr="002029AF">
              <w:t>payable</w:t>
            </w:r>
            <w:r w:rsidR="000A5329" w:rsidRPr="002029AF">
              <w:t xml:space="preserve"> </w:t>
            </w:r>
            <w:r w:rsidRPr="002029AF">
              <w:t>to</w:t>
            </w:r>
            <w:r w:rsidR="000A5329" w:rsidRPr="002029AF">
              <w:t xml:space="preserve"> </w:t>
            </w:r>
            <w:r w:rsidRPr="002029AF">
              <w:t>government</w:t>
            </w:r>
            <w:r w:rsidR="000A5329" w:rsidRPr="002029AF">
              <w:t xml:space="preserve"> </w:t>
            </w:r>
            <w:r w:rsidRPr="002029AF">
              <w:t>agencies</w:t>
            </w:r>
          </w:p>
        </w:tc>
        <w:tc>
          <w:tcPr>
            <w:tcW w:w="1133" w:type="dxa"/>
            <w:tcBorders>
              <w:top w:val="single" w:sz="4" w:space="0" w:color="A6A6A6"/>
              <w:bottom w:val="single" w:sz="4" w:space="0" w:color="A6A6A6"/>
            </w:tcBorders>
            <w:shd w:val="clear" w:color="auto" w:fill="E7E6E6"/>
            <w:noWrap/>
            <w:hideMark/>
          </w:tcPr>
          <w:p w14:paraId="35943E16" w14:textId="77777777" w:rsidR="00087B91" w:rsidRPr="002029AF" w:rsidRDefault="00087B91" w:rsidP="00860E95">
            <w:pPr>
              <w:pStyle w:val="ARfintablebodyright"/>
            </w:pPr>
            <w:r w:rsidRPr="002029AF">
              <w:t>850.9</w:t>
            </w:r>
          </w:p>
        </w:tc>
        <w:tc>
          <w:tcPr>
            <w:tcW w:w="1133" w:type="dxa"/>
            <w:tcBorders>
              <w:top w:val="single" w:sz="4" w:space="0" w:color="A6A6A6"/>
              <w:bottom w:val="single" w:sz="4" w:space="0" w:color="A6A6A6"/>
            </w:tcBorders>
            <w:noWrap/>
            <w:hideMark/>
          </w:tcPr>
          <w:p w14:paraId="131EA7F0" w14:textId="77777777" w:rsidR="00087B91" w:rsidRPr="002029AF" w:rsidRDefault="00087B91" w:rsidP="00860E95">
            <w:pPr>
              <w:pStyle w:val="ARfintablebodyright"/>
            </w:pPr>
            <w:r w:rsidRPr="002029AF">
              <w:t>766.8</w:t>
            </w:r>
          </w:p>
        </w:tc>
      </w:tr>
      <w:tr w:rsidR="00087B91" w:rsidRPr="002029AF" w14:paraId="41F1DE10" w14:textId="77777777" w:rsidTr="00860E95">
        <w:tc>
          <w:tcPr>
            <w:tcW w:w="7371" w:type="dxa"/>
            <w:tcBorders>
              <w:top w:val="single" w:sz="4" w:space="0" w:color="A6A6A6"/>
            </w:tcBorders>
            <w:hideMark/>
          </w:tcPr>
          <w:p w14:paraId="746335CB" w14:textId="77777777" w:rsidR="00087B91" w:rsidRPr="002029AF" w:rsidRDefault="00087B91" w:rsidP="00860E95">
            <w:pPr>
              <w:pStyle w:val="ARfintablebody"/>
            </w:pPr>
            <w:r w:rsidRPr="002029AF">
              <w:t>Other</w:t>
            </w:r>
          </w:p>
        </w:tc>
        <w:tc>
          <w:tcPr>
            <w:tcW w:w="1133" w:type="dxa"/>
            <w:tcBorders>
              <w:top w:val="single" w:sz="4" w:space="0" w:color="A6A6A6"/>
            </w:tcBorders>
            <w:shd w:val="clear" w:color="auto" w:fill="E7E6E6"/>
            <w:noWrap/>
            <w:hideMark/>
          </w:tcPr>
          <w:p w14:paraId="1D13B438" w14:textId="77777777" w:rsidR="00087B91" w:rsidRPr="002029AF" w:rsidRDefault="00087B91" w:rsidP="00860E95">
            <w:pPr>
              <w:pStyle w:val="ARfintablebodyright"/>
            </w:pPr>
            <w:r w:rsidRPr="002029AF">
              <w:t>0.8</w:t>
            </w:r>
          </w:p>
        </w:tc>
        <w:tc>
          <w:tcPr>
            <w:tcW w:w="1133" w:type="dxa"/>
            <w:tcBorders>
              <w:top w:val="single" w:sz="4" w:space="0" w:color="A6A6A6"/>
            </w:tcBorders>
            <w:noWrap/>
            <w:hideMark/>
          </w:tcPr>
          <w:p w14:paraId="17F58B68" w14:textId="77777777" w:rsidR="00087B91" w:rsidRPr="002029AF" w:rsidRDefault="00087B91" w:rsidP="00860E95">
            <w:pPr>
              <w:pStyle w:val="ARfintablebodyright"/>
            </w:pPr>
            <w:r w:rsidRPr="002029AF">
              <w:t>0.8</w:t>
            </w:r>
          </w:p>
        </w:tc>
      </w:tr>
      <w:tr w:rsidR="00087B91" w:rsidRPr="002029AF" w14:paraId="20602AF6" w14:textId="77777777" w:rsidTr="00860E95">
        <w:tc>
          <w:tcPr>
            <w:tcW w:w="7371" w:type="dxa"/>
            <w:hideMark/>
          </w:tcPr>
          <w:p w14:paraId="76E0D803" w14:textId="672DAE2A" w:rsidR="00087B91" w:rsidRPr="002029AF" w:rsidRDefault="00087B91" w:rsidP="00860E95">
            <w:pPr>
              <w:pStyle w:val="ARfintablebodybold"/>
            </w:pPr>
            <w:r w:rsidRPr="002029AF">
              <w:t>Total</w:t>
            </w:r>
            <w:r w:rsidR="000A5329" w:rsidRPr="002029AF">
              <w:t xml:space="preserve"> </w:t>
            </w:r>
            <w:r w:rsidRPr="002029AF">
              <w:t>non-current</w:t>
            </w:r>
            <w:r w:rsidR="000A5329" w:rsidRPr="002029AF">
              <w:t xml:space="preserve"> </w:t>
            </w:r>
            <w:r w:rsidRPr="002029AF">
              <w:t>payables</w:t>
            </w:r>
          </w:p>
        </w:tc>
        <w:tc>
          <w:tcPr>
            <w:tcW w:w="1133" w:type="dxa"/>
            <w:shd w:val="clear" w:color="auto" w:fill="E7E6E6"/>
            <w:noWrap/>
            <w:hideMark/>
          </w:tcPr>
          <w:p w14:paraId="2ACBE0E1" w14:textId="77777777" w:rsidR="00087B91" w:rsidRPr="002029AF" w:rsidRDefault="00087B91" w:rsidP="00860E95">
            <w:pPr>
              <w:pStyle w:val="ARfintablebodyrightbold"/>
            </w:pPr>
            <w:r w:rsidRPr="002029AF">
              <w:t>851.7</w:t>
            </w:r>
          </w:p>
        </w:tc>
        <w:tc>
          <w:tcPr>
            <w:tcW w:w="1133" w:type="dxa"/>
            <w:noWrap/>
            <w:hideMark/>
          </w:tcPr>
          <w:p w14:paraId="6A7EDFE4" w14:textId="77777777" w:rsidR="00087B91" w:rsidRPr="002029AF" w:rsidRDefault="00087B91" w:rsidP="00860E95">
            <w:pPr>
              <w:pStyle w:val="ARfintablebodyrightbold"/>
            </w:pPr>
            <w:r w:rsidRPr="002029AF">
              <w:t>767.5</w:t>
            </w:r>
          </w:p>
        </w:tc>
      </w:tr>
      <w:tr w:rsidR="00087B91" w:rsidRPr="002029AF" w14:paraId="369C9D1A" w14:textId="77777777" w:rsidTr="00860E95">
        <w:tc>
          <w:tcPr>
            <w:tcW w:w="7371" w:type="dxa"/>
            <w:hideMark/>
          </w:tcPr>
          <w:p w14:paraId="245CDFE2" w14:textId="5BA4E867" w:rsidR="00087B91" w:rsidRPr="002029AF" w:rsidRDefault="00087B91" w:rsidP="00860E95">
            <w:pPr>
              <w:pStyle w:val="ARfintablebodybold"/>
            </w:pPr>
            <w:r w:rsidRPr="002029AF">
              <w:t>Total</w:t>
            </w:r>
            <w:r w:rsidR="000A5329" w:rsidRPr="002029AF">
              <w:t xml:space="preserve"> </w:t>
            </w:r>
            <w:r w:rsidRPr="002029AF">
              <w:t>payables</w:t>
            </w:r>
          </w:p>
        </w:tc>
        <w:tc>
          <w:tcPr>
            <w:tcW w:w="1133" w:type="dxa"/>
            <w:shd w:val="clear" w:color="auto" w:fill="E7E6E6"/>
            <w:noWrap/>
            <w:hideMark/>
          </w:tcPr>
          <w:p w14:paraId="1A05A3A4" w14:textId="77777777" w:rsidR="00087B91" w:rsidRPr="002029AF" w:rsidRDefault="00087B91" w:rsidP="00860E95">
            <w:pPr>
              <w:pStyle w:val="ARfintablebodyrightbold"/>
            </w:pPr>
            <w:r w:rsidRPr="002029AF">
              <w:t>1,847.2</w:t>
            </w:r>
          </w:p>
        </w:tc>
        <w:tc>
          <w:tcPr>
            <w:tcW w:w="1133" w:type="dxa"/>
            <w:noWrap/>
            <w:hideMark/>
          </w:tcPr>
          <w:p w14:paraId="65638971" w14:textId="77777777" w:rsidR="00087B91" w:rsidRPr="002029AF" w:rsidRDefault="00087B91" w:rsidP="00860E95">
            <w:pPr>
              <w:pStyle w:val="ARfintablebodyrightbold"/>
            </w:pPr>
            <w:r w:rsidRPr="002029AF">
              <w:t>1,513.7</w:t>
            </w:r>
          </w:p>
        </w:tc>
      </w:tr>
    </w:tbl>
    <w:p w14:paraId="3143BB3F" w14:textId="2F1F832F" w:rsidR="00087B91" w:rsidRPr="002029AF" w:rsidRDefault="00087B91" w:rsidP="00087B91">
      <w:pPr>
        <w:pStyle w:val="ARfinbodyaftertable"/>
      </w:pPr>
      <w:r w:rsidRPr="002029AF">
        <w:t>Payables</w:t>
      </w:r>
      <w:r w:rsidR="000A5329" w:rsidRPr="002029AF">
        <w:t xml:space="preserve"> </w:t>
      </w:r>
      <w:r w:rsidRPr="002029AF">
        <w:t>consist</w:t>
      </w:r>
      <w:r w:rsidR="000A5329" w:rsidRPr="002029AF">
        <w:t xml:space="preserve"> </w:t>
      </w:r>
      <w:r w:rsidRPr="002029AF">
        <w:t>of:</w:t>
      </w:r>
    </w:p>
    <w:p w14:paraId="0E7340B3" w14:textId="3C5ABD49" w:rsidR="00087B91" w:rsidRPr="002029AF" w:rsidRDefault="00087B91" w:rsidP="00FF3CAB">
      <w:pPr>
        <w:pStyle w:val="ARfinbullet1"/>
        <w:numPr>
          <w:ilvl w:val="0"/>
          <w:numId w:val="13"/>
        </w:numPr>
        <w:textAlignment w:val="auto"/>
      </w:pPr>
      <w:r w:rsidRPr="002029AF">
        <w:rPr>
          <w:rStyle w:val="Strong"/>
        </w:rPr>
        <w:t>contractual</w:t>
      </w:r>
      <w:r w:rsidR="000A5329" w:rsidRPr="002029AF">
        <w:rPr>
          <w:rStyle w:val="Strong"/>
        </w:rPr>
        <w:t xml:space="preserve"> </w:t>
      </w:r>
      <w:r w:rsidRPr="002029AF">
        <w:rPr>
          <w:rStyle w:val="Strong"/>
        </w:rPr>
        <w:t>payables</w:t>
      </w:r>
      <w:r w:rsidRPr="002029AF">
        <w:t>,</w:t>
      </w:r>
      <w:r w:rsidR="000A5329" w:rsidRPr="002029AF">
        <w:t xml:space="preserve"> </w:t>
      </w:r>
      <w:r w:rsidRPr="002029AF">
        <w:t>classified</w:t>
      </w:r>
      <w:r w:rsidR="000A5329" w:rsidRPr="002029AF">
        <w:t xml:space="preserve"> </w:t>
      </w:r>
      <w:r w:rsidRPr="002029AF">
        <w:t>as</w:t>
      </w:r>
      <w:r w:rsidR="000A5329" w:rsidRPr="002029AF">
        <w:t xml:space="preserve"> </w:t>
      </w:r>
      <w:r w:rsidRPr="002029AF">
        <w:t>financial</w:t>
      </w:r>
      <w:r w:rsidR="000A5329" w:rsidRPr="002029AF">
        <w:t xml:space="preserve"> </w:t>
      </w:r>
      <w:r w:rsidRPr="002029AF">
        <w:t>instruments</w:t>
      </w:r>
      <w:r w:rsidR="000A5329" w:rsidRPr="002029AF">
        <w:t xml:space="preserve"> </w:t>
      </w:r>
      <w:r w:rsidRPr="002029AF">
        <w:t>and</w:t>
      </w:r>
      <w:r w:rsidR="000A5329" w:rsidRPr="002029AF">
        <w:t xml:space="preserve"> </w:t>
      </w:r>
      <w:r w:rsidRPr="002029AF">
        <w:t>measured</w:t>
      </w:r>
      <w:r w:rsidR="000A5329" w:rsidRPr="002029AF">
        <w:t xml:space="preserve"> </w:t>
      </w:r>
      <w:r w:rsidRPr="002029AF">
        <w:t>at</w:t>
      </w:r>
      <w:r w:rsidR="000A5329" w:rsidRPr="002029AF">
        <w:t xml:space="preserve"> </w:t>
      </w:r>
      <w:r w:rsidRPr="002029AF">
        <w:t>amortised</w:t>
      </w:r>
      <w:r w:rsidR="000A5329" w:rsidRPr="002029AF">
        <w:t xml:space="preserve"> </w:t>
      </w:r>
      <w:r w:rsidRPr="002029AF">
        <w:t>cost.</w:t>
      </w:r>
      <w:r w:rsidR="000A5329" w:rsidRPr="002029AF">
        <w:t xml:space="preserve"> </w:t>
      </w:r>
      <w:r w:rsidRPr="002029AF">
        <w:t>Accounts</w:t>
      </w:r>
      <w:r w:rsidR="000A5329" w:rsidRPr="002029AF">
        <w:t xml:space="preserve"> </w:t>
      </w:r>
      <w:r w:rsidRPr="002029AF">
        <w:t>payable</w:t>
      </w:r>
      <w:r w:rsidR="000A5329" w:rsidRPr="002029AF">
        <w:t xml:space="preserve"> </w:t>
      </w:r>
      <w:r w:rsidRPr="002029AF">
        <w:t>represent</w:t>
      </w:r>
      <w:r w:rsidR="000A5329" w:rsidRPr="002029AF">
        <w:t xml:space="preserve"> </w:t>
      </w:r>
      <w:r w:rsidRPr="002029AF">
        <w:t>liabilities</w:t>
      </w:r>
      <w:r w:rsidR="000A5329" w:rsidRPr="002029AF">
        <w:t xml:space="preserve"> </w:t>
      </w:r>
      <w:r w:rsidRPr="002029AF">
        <w:t>for</w:t>
      </w:r>
      <w:r w:rsidR="000A5329" w:rsidRPr="002029AF">
        <w:t xml:space="preserve"> </w:t>
      </w:r>
      <w:r w:rsidRPr="002029AF">
        <w:t>goods</w:t>
      </w:r>
      <w:r w:rsidR="000A5329" w:rsidRPr="002029AF">
        <w:t xml:space="preserve"> </w:t>
      </w:r>
      <w:r w:rsidRPr="002029AF">
        <w:t>and</w:t>
      </w:r>
      <w:r w:rsidR="000A5329" w:rsidRPr="002029AF">
        <w:t xml:space="preserve"> </w:t>
      </w:r>
      <w:r w:rsidRPr="002029AF">
        <w:t>services</w:t>
      </w:r>
      <w:r w:rsidR="000A5329" w:rsidRPr="002029AF">
        <w:t xml:space="preserve"> </w:t>
      </w:r>
      <w:r w:rsidRPr="002029AF">
        <w:t>provided</w:t>
      </w:r>
      <w:r w:rsidR="000A5329" w:rsidRPr="002029AF">
        <w:t xml:space="preserve"> </w:t>
      </w:r>
      <w:r w:rsidRPr="002029AF">
        <w:t>to</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prior</w:t>
      </w:r>
      <w:r w:rsidR="000A5329" w:rsidRPr="002029AF">
        <w:t xml:space="preserve"> </w:t>
      </w:r>
      <w:r w:rsidRPr="002029AF">
        <w:t>to</w:t>
      </w:r>
      <w:r w:rsidR="000A5329" w:rsidRPr="002029AF">
        <w:t xml:space="preserve"> </w:t>
      </w:r>
      <w:r w:rsidRPr="002029AF">
        <w:t>the</w:t>
      </w:r>
      <w:r w:rsidR="000A5329" w:rsidRPr="002029AF">
        <w:t xml:space="preserve"> </w:t>
      </w:r>
      <w:r w:rsidRPr="002029AF">
        <w:t>end</w:t>
      </w:r>
      <w:r w:rsidR="000A5329" w:rsidRPr="002029AF">
        <w:t xml:space="preserve"> </w:t>
      </w:r>
      <w:r w:rsidRPr="002029AF">
        <w:t>of</w:t>
      </w:r>
      <w:r w:rsidR="000A5329" w:rsidRPr="002029AF">
        <w:t xml:space="preserve"> </w:t>
      </w:r>
      <w:r w:rsidRPr="002029AF">
        <w:t>the</w:t>
      </w:r>
      <w:r w:rsidR="000A5329" w:rsidRPr="002029AF">
        <w:t xml:space="preserve"> </w:t>
      </w:r>
      <w:r w:rsidRPr="002029AF">
        <w:t>reporting</w:t>
      </w:r>
      <w:r w:rsidR="000A5329" w:rsidRPr="002029AF">
        <w:t xml:space="preserve"> </w:t>
      </w:r>
      <w:r w:rsidRPr="002029AF">
        <w:t>period</w:t>
      </w:r>
      <w:r w:rsidR="000A5329" w:rsidRPr="002029AF">
        <w:t xml:space="preserve"> </w:t>
      </w:r>
      <w:r w:rsidRPr="002029AF">
        <w:t>that</w:t>
      </w:r>
      <w:r w:rsidR="000A5329" w:rsidRPr="002029AF">
        <w:t xml:space="preserve"> </w:t>
      </w:r>
      <w:r w:rsidRPr="002029AF">
        <w:t>are</w:t>
      </w:r>
      <w:r w:rsidR="000A5329" w:rsidRPr="002029AF">
        <w:t xml:space="preserve"> </w:t>
      </w:r>
      <w:r w:rsidRPr="002029AF">
        <w:t>unpaid,</w:t>
      </w:r>
      <w:r w:rsidR="000A5329" w:rsidRPr="002029AF">
        <w:t xml:space="preserve"> </w:t>
      </w:r>
      <w:r w:rsidRPr="002029AF">
        <w:t>and</w:t>
      </w:r>
    </w:p>
    <w:p w14:paraId="7685BA36" w14:textId="64DF7540" w:rsidR="00087B91" w:rsidRPr="002029AF" w:rsidRDefault="00087B91" w:rsidP="00FF3CAB">
      <w:pPr>
        <w:pStyle w:val="ARfinbullet1"/>
        <w:numPr>
          <w:ilvl w:val="0"/>
          <w:numId w:val="13"/>
        </w:numPr>
        <w:textAlignment w:val="auto"/>
      </w:pPr>
      <w:r w:rsidRPr="002029AF">
        <w:rPr>
          <w:rStyle w:val="Strong"/>
        </w:rPr>
        <w:t>statutory</w:t>
      </w:r>
      <w:r w:rsidR="000A5329" w:rsidRPr="002029AF">
        <w:rPr>
          <w:rStyle w:val="Strong"/>
        </w:rPr>
        <w:t xml:space="preserve"> </w:t>
      </w:r>
      <w:r w:rsidRPr="002029AF">
        <w:rPr>
          <w:rStyle w:val="Strong"/>
        </w:rPr>
        <w:t>payables</w:t>
      </w:r>
      <w:r w:rsidRPr="002029AF">
        <w:t>,</w:t>
      </w:r>
      <w:r w:rsidR="000A5329" w:rsidRPr="002029AF">
        <w:t xml:space="preserve"> </w:t>
      </w:r>
      <w:r w:rsidRPr="002029AF">
        <w:t>that</w:t>
      </w:r>
      <w:r w:rsidR="000A5329" w:rsidRPr="002029AF">
        <w:t xml:space="preserve"> </w:t>
      </w:r>
      <w:r w:rsidRPr="002029AF">
        <w:t>are</w:t>
      </w:r>
      <w:r w:rsidR="000A5329" w:rsidRPr="002029AF">
        <w:t xml:space="preserve"> </w:t>
      </w:r>
      <w:r w:rsidRPr="002029AF">
        <w:t>recognised</w:t>
      </w:r>
      <w:r w:rsidR="000A5329" w:rsidRPr="002029AF">
        <w:t xml:space="preserve"> </w:t>
      </w:r>
      <w:r w:rsidRPr="002029AF">
        <w:t>and</w:t>
      </w:r>
      <w:r w:rsidR="000A5329" w:rsidRPr="002029AF">
        <w:t xml:space="preserve"> </w:t>
      </w:r>
      <w:r w:rsidRPr="002029AF">
        <w:t>measured</w:t>
      </w:r>
      <w:r w:rsidR="000A5329" w:rsidRPr="002029AF">
        <w:t xml:space="preserve"> </w:t>
      </w:r>
      <w:r w:rsidRPr="002029AF">
        <w:t>similarly</w:t>
      </w:r>
      <w:r w:rsidR="000A5329" w:rsidRPr="002029AF">
        <w:t xml:space="preserve"> </w:t>
      </w:r>
      <w:r w:rsidRPr="002029AF">
        <w:t>to</w:t>
      </w:r>
      <w:r w:rsidR="000A5329" w:rsidRPr="002029AF">
        <w:t xml:space="preserve"> </w:t>
      </w:r>
      <w:r w:rsidRPr="002029AF">
        <w:t>contractual</w:t>
      </w:r>
      <w:r w:rsidR="000A5329" w:rsidRPr="002029AF">
        <w:t xml:space="preserve"> </w:t>
      </w:r>
      <w:r w:rsidRPr="002029AF">
        <w:t>payables,</w:t>
      </w:r>
      <w:r w:rsidR="000A5329" w:rsidRPr="002029AF">
        <w:t xml:space="preserve"> </w:t>
      </w:r>
      <w:r w:rsidRPr="002029AF">
        <w:t>but</w:t>
      </w:r>
      <w:r w:rsidR="000A5329" w:rsidRPr="002029AF">
        <w:t xml:space="preserve"> </w:t>
      </w:r>
      <w:r w:rsidRPr="002029AF">
        <w:t>are</w:t>
      </w:r>
      <w:r w:rsidR="000A5329" w:rsidRPr="002029AF">
        <w:t xml:space="preserve"> </w:t>
      </w:r>
      <w:r w:rsidRPr="002029AF">
        <w:t>not</w:t>
      </w:r>
      <w:r w:rsidR="000A5329" w:rsidRPr="002029AF">
        <w:t xml:space="preserve"> </w:t>
      </w:r>
      <w:r w:rsidRPr="002029AF">
        <w:t>classified</w:t>
      </w:r>
      <w:r w:rsidR="000A5329" w:rsidRPr="002029AF">
        <w:t xml:space="preserve"> </w:t>
      </w:r>
      <w:r w:rsidRPr="002029AF">
        <w:t>as</w:t>
      </w:r>
      <w:r w:rsidR="000A5329" w:rsidRPr="002029AF">
        <w:t xml:space="preserve"> </w:t>
      </w:r>
      <w:r w:rsidRPr="002029AF">
        <w:t>financial</w:t>
      </w:r>
      <w:r w:rsidR="000A5329" w:rsidRPr="002029AF">
        <w:t xml:space="preserve"> </w:t>
      </w:r>
      <w:r w:rsidRPr="002029AF">
        <w:t>instruments</w:t>
      </w:r>
      <w:r w:rsidR="000A5329" w:rsidRPr="002029AF">
        <w:t xml:space="preserve"> </w:t>
      </w:r>
      <w:r w:rsidRPr="002029AF">
        <w:t>and</w:t>
      </w:r>
      <w:r w:rsidR="000A5329" w:rsidRPr="002029AF">
        <w:t xml:space="preserve"> </w:t>
      </w:r>
      <w:r w:rsidRPr="002029AF">
        <w:t>are</w:t>
      </w:r>
      <w:r w:rsidR="000A5329" w:rsidRPr="002029AF">
        <w:t xml:space="preserve"> </w:t>
      </w:r>
      <w:r w:rsidRPr="002029AF">
        <w:t>not</w:t>
      </w:r>
      <w:r w:rsidR="000A5329" w:rsidRPr="002029AF">
        <w:t xml:space="preserve"> </w:t>
      </w:r>
      <w:r w:rsidRPr="002029AF">
        <w:t>included</w:t>
      </w:r>
      <w:r w:rsidR="000A5329" w:rsidRPr="002029AF">
        <w:t xml:space="preserve"> </w:t>
      </w:r>
      <w:r w:rsidRPr="002029AF">
        <w:t>in</w:t>
      </w:r>
      <w:r w:rsidR="000A5329" w:rsidRPr="002029AF">
        <w:t xml:space="preserve"> </w:t>
      </w:r>
      <w:r w:rsidRPr="002029AF">
        <w:t>financial</w:t>
      </w:r>
      <w:r w:rsidR="000A5329" w:rsidRPr="002029AF">
        <w:t xml:space="preserve"> </w:t>
      </w:r>
      <w:r w:rsidRPr="002029AF">
        <w:t>liabilities</w:t>
      </w:r>
      <w:r w:rsidR="000A5329" w:rsidRPr="002029AF">
        <w:t xml:space="preserve"> </w:t>
      </w:r>
      <w:r w:rsidRPr="002029AF">
        <w:t>at</w:t>
      </w:r>
      <w:r w:rsidR="000A5329" w:rsidRPr="002029AF">
        <w:t xml:space="preserve"> </w:t>
      </w:r>
      <w:r w:rsidRPr="002029AF">
        <w:t>amortised</w:t>
      </w:r>
      <w:r w:rsidR="000A5329" w:rsidRPr="002029AF">
        <w:t xml:space="preserve"> </w:t>
      </w:r>
      <w:r w:rsidRPr="002029AF">
        <w:t>cost,</w:t>
      </w:r>
      <w:r w:rsidR="000A5329" w:rsidRPr="002029AF">
        <w:t xml:space="preserve"> </w:t>
      </w:r>
      <w:r w:rsidRPr="002029AF">
        <w:t>because</w:t>
      </w:r>
      <w:r w:rsidR="000A5329" w:rsidRPr="002029AF">
        <w:t xml:space="preserve"> </w:t>
      </w:r>
      <w:r w:rsidRPr="002029AF">
        <w:t>they</w:t>
      </w:r>
      <w:r w:rsidR="000A5329" w:rsidRPr="002029AF">
        <w:t xml:space="preserve"> </w:t>
      </w:r>
      <w:r w:rsidRPr="002029AF">
        <w:t>do</w:t>
      </w:r>
      <w:r w:rsidR="000A5329" w:rsidRPr="002029AF">
        <w:t xml:space="preserve"> </w:t>
      </w:r>
      <w:r w:rsidRPr="002029AF">
        <w:t>not</w:t>
      </w:r>
      <w:r w:rsidR="000A5329" w:rsidRPr="002029AF">
        <w:t xml:space="preserve"> </w:t>
      </w:r>
      <w:r w:rsidRPr="002029AF">
        <w:t>arise</w:t>
      </w:r>
      <w:r w:rsidR="000A5329" w:rsidRPr="002029AF">
        <w:t xml:space="preserve"> </w:t>
      </w:r>
      <w:r w:rsidRPr="002029AF">
        <w:t>from</w:t>
      </w:r>
      <w:r w:rsidR="000A5329" w:rsidRPr="002029AF">
        <w:t xml:space="preserve"> </w:t>
      </w:r>
      <w:r w:rsidRPr="002029AF">
        <w:t>a</w:t>
      </w:r>
      <w:r w:rsidR="000A5329" w:rsidRPr="002029AF">
        <w:t xml:space="preserve"> </w:t>
      </w:r>
      <w:r w:rsidRPr="002029AF">
        <w:t>contract.</w:t>
      </w:r>
    </w:p>
    <w:p w14:paraId="0345A9C0" w14:textId="04686602" w:rsidR="00087B91" w:rsidRPr="002029AF" w:rsidRDefault="00087B91" w:rsidP="00087B91">
      <w:pPr>
        <w:pStyle w:val="ARfinbody"/>
      </w:pPr>
      <w:r w:rsidRPr="002029AF">
        <w:t>Payables</w:t>
      </w:r>
      <w:r w:rsidR="000A5329" w:rsidRPr="002029AF">
        <w:t xml:space="preserve"> </w:t>
      </w:r>
      <w:r w:rsidRPr="002029AF">
        <w:t>for</w:t>
      </w:r>
      <w:r w:rsidR="000A5329" w:rsidRPr="002029AF">
        <w:t xml:space="preserve"> </w:t>
      </w:r>
      <w:r w:rsidRPr="002029AF">
        <w:t>supplies</w:t>
      </w:r>
      <w:r w:rsidR="000A5329" w:rsidRPr="002029AF">
        <w:t xml:space="preserve"> </w:t>
      </w:r>
      <w:r w:rsidRPr="002029AF">
        <w:t>and</w:t>
      </w:r>
      <w:r w:rsidR="000A5329" w:rsidRPr="002029AF">
        <w:t xml:space="preserve"> </w:t>
      </w:r>
      <w:r w:rsidRPr="002029AF">
        <w:t>services</w:t>
      </w:r>
      <w:r w:rsidR="000A5329" w:rsidRPr="002029AF">
        <w:t xml:space="preserve"> </w:t>
      </w:r>
      <w:r w:rsidRPr="002029AF">
        <w:t>have</w:t>
      </w:r>
      <w:r w:rsidR="000A5329" w:rsidRPr="002029AF">
        <w:t xml:space="preserve"> </w:t>
      </w:r>
      <w:r w:rsidRPr="002029AF">
        <w:t>an</w:t>
      </w:r>
      <w:r w:rsidR="000A5329" w:rsidRPr="002029AF">
        <w:t xml:space="preserve"> </w:t>
      </w:r>
      <w:r w:rsidRPr="002029AF">
        <w:t>average</w:t>
      </w:r>
      <w:r w:rsidR="000A5329" w:rsidRPr="002029AF">
        <w:t xml:space="preserve"> </w:t>
      </w:r>
      <w:r w:rsidRPr="002029AF">
        <w:t>credit</w:t>
      </w:r>
      <w:r w:rsidR="000A5329" w:rsidRPr="002029AF">
        <w:t xml:space="preserve"> </w:t>
      </w:r>
      <w:r w:rsidRPr="002029AF">
        <w:t>period</w:t>
      </w:r>
      <w:r w:rsidR="000A5329" w:rsidRPr="002029AF">
        <w:t xml:space="preserve"> </w:t>
      </w:r>
      <w:r w:rsidRPr="002029AF">
        <w:t>of</w:t>
      </w:r>
      <w:r w:rsidR="000A5329" w:rsidRPr="002029AF">
        <w:t xml:space="preserve"> </w:t>
      </w:r>
      <w:r w:rsidRPr="002029AF">
        <w:t>30</w:t>
      </w:r>
      <w:r w:rsidR="000A5329" w:rsidRPr="002029AF">
        <w:t xml:space="preserve"> </w:t>
      </w:r>
      <w:r w:rsidRPr="002029AF">
        <w:t>days.</w:t>
      </w:r>
    </w:p>
    <w:p w14:paraId="228DCF3E" w14:textId="682BAB14" w:rsidR="00087B91" w:rsidRPr="002029AF" w:rsidRDefault="00087B91" w:rsidP="00087B91">
      <w:pPr>
        <w:pStyle w:val="ARfinbody"/>
      </w:pPr>
      <w:r w:rsidRPr="002029AF">
        <w:t>The</w:t>
      </w:r>
      <w:r w:rsidR="000A5329" w:rsidRPr="002029AF">
        <w:t xml:space="preserve"> </w:t>
      </w:r>
      <w:r w:rsidRPr="002029AF">
        <w:t>terms</w:t>
      </w:r>
      <w:r w:rsidR="000A5329" w:rsidRPr="002029AF">
        <w:t xml:space="preserve"> </w:t>
      </w:r>
      <w:r w:rsidRPr="002029AF">
        <w:t>and</w:t>
      </w:r>
      <w:r w:rsidR="000A5329" w:rsidRPr="002029AF">
        <w:t xml:space="preserve"> </w:t>
      </w:r>
      <w:r w:rsidRPr="002029AF">
        <w:t>conditions</w:t>
      </w:r>
      <w:r w:rsidR="000A5329" w:rsidRPr="002029AF">
        <w:t xml:space="preserve"> </w:t>
      </w:r>
      <w:r w:rsidRPr="002029AF">
        <w:t>of</w:t>
      </w:r>
      <w:r w:rsidR="000A5329" w:rsidRPr="002029AF">
        <w:t xml:space="preserve"> </w:t>
      </w:r>
      <w:r w:rsidRPr="002029AF">
        <w:t>amounts</w:t>
      </w:r>
      <w:r w:rsidR="000A5329" w:rsidRPr="002029AF">
        <w:t xml:space="preserve"> </w:t>
      </w:r>
      <w:r w:rsidRPr="002029AF">
        <w:t>payable</w:t>
      </w:r>
      <w:r w:rsidR="000A5329" w:rsidRPr="002029AF">
        <w:t xml:space="preserve"> </w:t>
      </w:r>
      <w:r w:rsidRPr="002029AF">
        <w:t>to</w:t>
      </w:r>
      <w:r w:rsidR="000A5329" w:rsidRPr="002029AF">
        <w:t xml:space="preserve"> </w:t>
      </w:r>
      <w:r w:rsidRPr="002029AF">
        <w:t>the</w:t>
      </w:r>
      <w:r w:rsidR="000A5329" w:rsidRPr="002029AF">
        <w:t xml:space="preserve"> </w:t>
      </w:r>
      <w:r w:rsidRPr="002029AF">
        <w:t>government</w:t>
      </w:r>
      <w:r w:rsidR="000A5329" w:rsidRPr="002029AF">
        <w:t xml:space="preserve"> </w:t>
      </w:r>
      <w:r w:rsidRPr="002029AF">
        <w:t>and</w:t>
      </w:r>
      <w:r w:rsidR="000A5329" w:rsidRPr="002029AF">
        <w:t xml:space="preserve"> </w:t>
      </w:r>
      <w:r w:rsidRPr="002029AF">
        <w:t>agencies</w:t>
      </w:r>
      <w:r w:rsidR="000A5329" w:rsidRPr="002029AF">
        <w:t xml:space="preserve"> </w:t>
      </w:r>
      <w:r w:rsidRPr="002029AF">
        <w:t>vary</w:t>
      </w:r>
      <w:r w:rsidR="000A5329" w:rsidRPr="002029AF">
        <w:t xml:space="preserve"> </w:t>
      </w:r>
      <w:r w:rsidRPr="002029AF">
        <w:t>according</w:t>
      </w:r>
      <w:r w:rsidR="000A5329" w:rsidRPr="002029AF">
        <w:t xml:space="preserve"> </w:t>
      </w:r>
      <w:r w:rsidRPr="002029AF">
        <w:t>to</w:t>
      </w:r>
      <w:r w:rsidR="000A5329" w:rsidRPr="002029AF">
        <w:t xml:space="preserve"> </w:t>
      </w:r>
      <w:r w:rsidRPr="002029AF">
        <w:t>the</w:t>
      </w:r>
      <w:r w:rsidR="000A5329" w:rsidRPr="002029AF">
        <w:t xml:space="preserve"> </w:t>
      </w:r>
      <w:r w:rsidRPr="002029AF">
        <w:t>particular</w:t>
      </w:r>
      <w:r w:rsidR="000A5329" w:rsidRPr="002029AF">
        <w:t xml:space="preserve"> </w:t>
      </w:r>
      <w:r w:rsidRPr="002029AF">
        <w:t>agreements</w:t>
      </w:r>
      <w:r w:rsidR="000A5329" w:rsidRPr="002029AF">
        <w:t xml:space="preserve"> </w:t>
      </w:r>
      <w:r w:rsidRPr="002029AF">
        <w:t>and</w:t>
      </w:r>
      <w:r w:rsidR="000A5329" w:rsidRPr="002029AF">
        <w:t xml:space="preserve"> </w:t>
      </w:r>
      <w:r w:rsidRPr="002029AF">
        <w:t>as</w:t>
      </w:r>
      <w:r w:rsidR="000A5329" w:rsidRPr="002029AF">
        <w:t xml:space="preserve"> </w:t>
      </w:r>
      <w:r w:rsidRPr="002029AF">
        <w:t>they</w:t>
      </w:r>
      <w:r w:rsidR="000A5329" w:rsidRPr="002029AF">
        <w:t xml:space="preserve"> </w:t>
      </w:r>
      <w:r w:rsidRPr="002029AF">
        <w:t>are</w:t>
      </w:r>
      <w:r w:rsidR="000A5329" w:rsidRPr="002029AF">
        <w:t xml:space="preserve"> </w:t>
      </w:r>
      <w:r w:rsidRPr="002029AF">
        <w:t>not</w:t>
      </w:r>
      <w:r w:rsidR="000A5329" w:rsidRPr="002029AF">
        <w:t xml:space="preserve"> </w:t>
      </w:r>
      <w:r w:rsidRPr="002029AF">
        <w:t>legislative</w:t>
      </w:r>
      <w:r w:rsidR="000A5329" w:rsidRPr="002029AF">
        <w:t xml:space="preserve"> </w:t>
      </w:r>
      <w:r w:rsidRPr="002029AF">
        <w:t>payables,</w:t>
      </w:r>
      <w:r w:rsidR="000A5329" w:rsidRPr="002029AF">
        <w:t xml:space="preserve"> </w:t>
      </w:r>
      <w:r w:rsidRPr="002029AF">
        <w:t>they</w:t>
      </w:r>
      <w:r w:rsidR="000A5329" w:rsidRPr="002029AF">
        <w:t xml:space="preserve"> </w:t>
      </w:r>
      <w:r w:rsidRPr="002029AF">
        <w:t>are</w:t>
      </w:r>
      <w:r w:rsidR="000A5329" w:rsidRPr="002029AF">
        <w:t xml:space="preserve"> </w:t>
      </w:r>
      <w:r w:rsidRPr="002029AF">
        <w:t>not</w:t>
      </w:r>
      <w:r w:rsidR="000A5329" w:rsidRPr="002029AF">
        <w:t xml:space="preserve"> </w:t>
      </w:r>
      <w:r w:rsidRPr="002029AF">
        <w:t>classified</w:t>
      </w:r>
      <w:r w:rsidR="000A5329" w:rsidRPr="002029AF">
        <w:t xml:space="preserve"> </w:t>
      </w:r>
      <w:r w:rsidRPr="002029AF">
        <w:t>as</w:t>
      </w:r>
      <w:r w:rsidR="000A5329" w:rsidRPr="002029AF">
        <w:t xml:space="preserve"> </w:t>
      </w:r>
      <w:r w:rsidRPr="002029AF">
        <w:t>financial</w:t>
      </w:r>
      <w:r w:rsidR="000A5329" w:rsidRPr="002029AF">
        <w:t xml:space="preserve"> </w:t>
      </w:r>
      <w:r w:rsidRPr="002029AF">
        <w:t>instruments.</w:t>
      </w:r>
    </w:p>
    <w:p w14:paraId="3554429C" w14:textId="2262AF97" w:rsidR="00087B91" w:rsidRPr="002029AF" w:rsidRDefault="00087B91" w:rsidP="00087B91">
      <w:pPr>
        <w:pStyle w:val="ARfinbody"/>
      </w:pPr>
      <w:r w:rsidRPr="002029AF">
        <w:t>The</w:t>
      </w:r>
      <w:r w:rsidR="000A5329" w:rsidRPr="002029AF">
        <w:t xml:space="preserve"> </w:t>
      </w:r>
      <w:r w:rsidRPr="002029AF">
        <w:t>value</w:t>
      </w:r>
      <w:r w:rsidR="000A5329" w:rsidRPr="002029AF">
        <w:t xml:space="preserve"> </w:t>
      </w:r>
      <w:r w:rsidRPr="002029AF">
        <w:t>of</w:t>
      </w:r>
      <w:r w:rsidR="000A5329" w:rsidRPr="002029AF">
        <w:t xml:space="preserve"> </w:t>
      </w:r>
      <w:r w:rsidRPr="002029AF">
        <w:t>loans</w:t>
      </w:r>
      <w:r w:rsidR="000A5329" w:rsidRPr="002029AF">
        <w:t xml:space="preserve"> </w:t>
      </w:r>
      <w:r w:rsidRPr="002029AF">
        <w:t>and</w:t>
      </w:r>
      <w:r w:rsidR="000A5329" w:rsidRPr="002029AF">
        <w:t xml:space="preserve"> </w:t>
      </w:r>
      <w:r w:rsidRPr="002029AF">
        <w:t>other</w:t>
      </w:r>
      <w:r w:rsidR="000A5329" w:rsidRPr="002029AF">
        <w:t xml:space="preserve"> </w:t>
      </w:r>
      <w:r w:rsidRPr="002029AF">
        <w:t>amounts</w:t>
      </w:r>
      <w:r w:rsidR="000A5329" w:rsidRPr="002029AF">
        <w:t xml:space="preserve"> </w:t>
      </w:r>
      <w:r w:rsidRPr="002029AF">
        <w:t>guaranteed</w:t>
      </w:r>
      <w:r w:rsidR="000A5329" w:rsidRPr="002029AF">
        <w:t xml:space="preserve"> </w:t>
      </w:r>
      <w:r w:rsidRPr="002029AF">
        <w:t>by</w:t>
      </w:r>
      <w:r w:rsidR="000A5329" w:rsidRPr="002029AF">
        <w:t xml:space="preserve"> </w:t>
      </w:r>
      <w:r w:rsidRPr="002029AF">
        <w:t>the</w:t>
      </w:r>
      <w:r w:rsidR="000A5329" w:rsidRPr="002029AF">
        <w:t xml:space="preserve"> </w:t>
      </w:r>
      <w:r w:rsidRPr="002029AF">
        <w:t>Treasurer</w:t>
      </w:r>
      <w:r w:rsidR="000A5329" w:rsidRPr="002029AF">
        <w:t xml:space="preserve"> </w:t>
      </w:r>
      <w:r w:rsidRPr="002029AF">
        <w:t>is</w:t>
      </w:r>
      <w:r w:rsidR="000A5329" w:rsidRPr="002029AF">
        <w:t xml:space="preserve"> </w:t>
      </w:r>
      <w:r w:rsidRPr="002029AF">
        <w:t>disclosed</w:t>
      </w:r>
      <w:r w:rsidR="000A5329" w:rsidRPr="002029AF">
        <w:t xml:space="preserve"> </w:t>
      </w:r>
      <w:r w:rsidRPr="002029AF">
        <w:t>as</w:t>
      </w:r>
      <w:r w:rsidR="000A5329" w:rsidRPr="002029AF">
        <w:t xml:space="preserve"> </w:t>
      </w:r>
      <w:r w:rsidRPr="002029AF">
        <w:t>contingent</w:t>
      </w:r>
      <w:r w:rsidR="000A5329" w:rsidRPr="002029AF">
        <w:t xml:space="preserve"> </w:t>
      </w:r>
      <w:r w:rsidRPr="002029AF">
        <w:t>liabilities.</w:t>
      </w:r>
    </w:p>
    <w:p w14:paraId="7C8C3748" w14:textId="65364EC6" w:rsidR="00087B91" w:rsidRPr="002029AF" w:rsidRDefault="00087B91" w:rsidP="00087B91">
      <w:pPr>
        <w:pStyle w:val="Heading5"/>
      </w:pPr>
      <w:r w:rsidRPr="002029AF">
        <w:t>6.4.1</w:t>
      </w:r>
      <w:r w:rsidR="000A5329" w:rsidRPr="002029AF">
        <w:t xml:space="preserve"> </w:t>
      </w:r>
      <w:r w:rsidRPr="002029AF">
        <w:t>Maturity</w:t>
      </w:r>
      <w:r w:rsidR="000A5329" w:rsidRPr="002029AF">
        <w:t xml:space="preserve"> </w:t>
      </w:r>
      <w:r w:rsidRPr="002029AF">
        <w:t>analysis</w:t>
      </w:r>
      <w:r w:rsidR="000A5329" w:rsidRPr="002029AF">
        <w:t xml:space="preserve"> </w:t>
      </w:r>
      <w:r w:rsidRPr="002029AF">
        <w:t>of</w:t>
      </w:r>
      <w:r w:rsidR="000A5329" w:rsidRPr="002029AF">
        <w:t xml:space="preserve"> </w:t>
      </w:r>
      <w:r w:rsidRPr="002029AF">
        <w:t>contractual</w:t>
      </w:r>
      <w:r w:rsidR="000A5329" w:rsidRPr="002029AF">
        <w:t xml:space="preserve"> </w:t>
      </w:r>
      <w:r w:rsidRPr="002029AF">
        <w:t>payables</w:t>
      </w:r>
      <w:r w:rsidR="000A5329" w:rsidRPr="002029AF">
        <w:t xml:space="preserve"> </w:t>
      </w:r>
      <w:r w:rsidRPr="002029AF">
        <w:rPr>
          <w:rStyle w:val="Superscript"/>
        </w:rPr>
        <w:t>(i)</w:t>
      </w:r>
    </w:p>
    <w:tbl>
      <w:tblPr>
        <w:tblStyle w:val="TableGrid"/>
        <w:tblW w:w="9637" w:type="dxa"/>
        <w:tblLayout w:type="fixed"/>
        <w:tblLook w:val="06A0" w:firstRow="1" w:lastRow="0" w:firstColumn="1" w:lastColumn="0" w:noHBand="1" w:noVBand="1"/>
      </w:tblPr>
      <w:tblGrid>
        <w:gridCol w:w="1700"/>
        <w:gridCol w:w="1133"/>
        <w:gridCol w:w="1134"/>
        <w:gridCol w:w="1134"/>
        <w:gridCol w:w="1134"/>
        <w:gridCol w:w="1134"/>
        <w:gridCol w:w="1134"/>
        <w:gridCol w:w="1134"/>
      </w:tblGrid>
      <w:tr w:rsidR="00087B91" w:rsidRPr="002029AF" w14:paraId="33CF2A37" w14:textId="77777777" w:rsidTr="00ED163A">
        <w:trPr>
          <w:cnfStyle w:val="100000000000" w:firstRow="1" w:lastRow="0" w:firstColumn="0" w:lastColumn="0" w:oddVBand="0" w:evenVBand="0" w:oddHBand="0" w:evenHBand="0" w:firstRowFirstColumn="0" w:firstRowLastColumn="0" w:lastRowFirstColumn="0" w:lastRowLastColumn="0"/>
          <w:trHeight w:val="255"/>
          <w:tblHeader/>
        </w:trPr>
        <w:tc>
          <w:tcPr>
            <w:tcW w:w="1701" w:type="dxa"/>
            <w:vMerge w:val="restart"/>
            <w:noWrap/>
            <w:hideMark/>
          </w:tcPr>
          <w:p w14:paraId="2A31B27A" w14:textId="77777777" w:rsidR="00087B91" w:rsidRPr="002029AF" w:rsidRDefault="00087B91" w:rsidP="00860E95">
            <w:pPr>
              <w:pStyle w:val="ARfintablecolhead"/>
            </w:pPr>
          </w:p>
        </w:tc>
        <w:tc>
          <w:tcPr>
            <w:tcW w:w="1134" w:type="dxa"/>
            <w:vMerge w:val="restart"/>
            <w:noWrap/>
            <w:hideMark/>
          </w:tcPr>
          <w:p w14:paraId="4F98CCC2" w14:textId="0D3487FB" w:rsidR="00087B91" w:rsidRPr="002029AF" w:rsidRDefault="00087B91" w:rsidP="00860E95">
            <w:pPr>
              <w:pStyle w:val="ARfintablecolheadright"/>
            </w:pPr>
            <w:r w:rsidRPr="002029AF">
              <w:t>Carrying</w:t>
            </w:r>
            <w:r w:rsidR="000A5329" w:rsidRPr="002029AF">
              <w:t xml:space="preserve"> </w:t>
            </w:r>
            <w:r w:rsidRPr="002029AF">
              <w:t>amount</w:t>
            </w:r>
          </w:p>
          <w:p w14:paraId="33F41188" w14:textId="77777777" w:rsidR="00087B91" w:rsidRPr="002029AF" w:rsidRDefault="00087B91" w:rsidP="00860E95">
            <w:pPr>
              <w:pStyle w:val="ARfintablecolheadright"/>
            </w:pPr>
            <w:r w:rsidRPr="002029AF">
              <w:t>$M</w:t>
            </w:r>
          </w:p>
        </w:tc>
        <w:tc>
          <w:tcPr>
            <w:tcW w:w="1134" w:type="dxa"/>
            <w:vMerge w:val="restart"/>
            <w:noWrap/>
            <w:hideMark/>
          </w:tcPr>
          <w:p w14:paraId="35516D31" w14:textId="525BBDE5" w:rsidR="00087B91" w:rsidRPr="002029AF" w:rsidRDefault="00087B91" w:rsidP="00860E95">
            <w:pPr>
              <w:pStyle w:val="ARfintablecolheadright"/>
            </w:pPr>
            <w:r w:rsidRPr="002029AF">
              <w:t>Nominal</w:t>
            </w:r>
            <w:r w:rsidR="000A5329" w:rsidRPr="002029AF">
              <w:t xml:space="preserve"> </w:t>
            </w:r>
            <w:r w:rsidRPr="002029AF">
              <w:t>amount</w:t>
            </w:r>
          </w:p>
          <w:p w14:paraId="0FD6C207" w14:textId="77777777" w:rsidR="00087B91" w:rsidRPr="002029AF" w:rsidRDefault="00087B91" w:rsidP="00860E95">
            <w:pPr>
              <w:pStyle w:val="ARfintablecolheadright"/>
            </w:pPr>
            <w:r w:rsidRPr="002029AF">
              <w:t>$M</w:t>
            </w:r>
          </w:p>
        </w:tc>
        <w:tc>
          <w:tcPr>
            <w:tcW w:w="1134" w:type="dxa"/>
            <w:gridSpan w:val="5"/>
            <w:noWrap/>
            <w:hideMark/>
          </w:tcPr>
          <w:p w14:paraId="3CDE361F" w14:textId="64033E7D" w:rsidR="00087B91" w:rsidRPr="002029AF" w:rsidRDefault="00087B91" w:rsidP="00860E95">
            <w:pPr>
              <w:pStyle w:val="ARfintablecolheadcentre"/>
            </w:pPr>
            <w:r w:rsidRPr="002029AF">
              <w:t>Maturity</w:t>
            </w:r>
            <w:r w:rsidR="000A5329" w:rsidRPr="002029AF">
              <w:t xml:space="preserve"> </w:t>
            </w:r>
            <w:r w:rsidRPr="002029AF">
              <w:t>dates</w:t>
            </w:r>
          </w:p>
        </w:tc>
      </w:tr>
      <w:tr w:rsidR="00087B91" w:rsidRPr="002029AF" w14:paraId="1D1E3C41" w14:textId="77777777" w:rsidTr="00ED163A">
        <w:trPr>
          <w:cnfStyle w:val="100000000000" w:firstRow="1" w:lastRow="0" w:firstColumn="0" w:lastColumn="0" w:oddVBand="0" w:evenVBand="0" w:oddHBand="0" w:evenHBand="0" w:firstRowFirstColumn="0" w:firstRowLastColumn="0" w:lastRowFirstColumn="0" w:lastRowLastColumn="0"/>
          <w:trHeight w:val="255"/>
          <w:tblHeader/>
        </w:trPr>
        <w:tc>
          <w:tcPr>
            <w:tcW w:w="1701" w:type="dxa"/>
            <w:vMerge/>
            <w:tcBorders>
              <w:bottom w:val="single" w:sz="4" w:space="0" w:color="auto"/>
            </w:tcBorders>
            <w:hideMark/>
          </w:tcPr>
          <w:p w14:paraId="2D93497D" w14:textId="77777777" w:rsidR="00087B91" w:rsidRPr="002029AF" w:rsidRDefault="00087B91" w:rsidP="00860E95">
            <w:pPr>
              <w:pStyle w:val="ARfintablecolhead"/>
            </w:pPr>
          </w:p>
        </w:tc>
        <w:tc>
          <w:tcPr>
            <w:tcW w:w="1134" w:type="dxa"/>
            <w:vMerge/>
            <w:tcBorders>
              <w:bottom w:val="single" w:sz="4" w:space="0" w:color="auto"/>
            </w:tcBorders>
            <w:hideMark/>
          </w:tcPr>
          <w:p w14:paraId="0676FB28" w14:textId="77777777" w:rsidR="00087B91" w:rsidRPr="002029AF" w:rsidRDefault="00087B91" w:rsidP="00860E95">
            <w:pPr>
              <w:pStyle w:val="ARfintablecolheadright"/>
            </w:pPr>
          </w:p>
        </w:tc>
        <w:tc>
          <w:tcPr>
            <w:tcW w:w="1134" w:type="dxa"/>
            <w:vMerge/>
            <w:tcBorders>
              <w:bottom w:val="single" w:sz="4" w:space="0" w:color="auto"/>
            </w:tcBorders>
            <w:hideMark/>
          </w:tcPr>
          <w:p w14:paraId="1D8DF098" w14:textId="77777777" w:rsidR="00087B91" w:rsidRPr="002029AF" w:rsidRDefault="00087B91" w:rsidP="00860E95">
            <w:pPr>
              <w:pStyle w:val="ARfintablecolheadright"/>
            </w:pPr>
          </w:p>
        </w:tc>
        <w:tc>
          <w:tcPr>
            <w:tcW w:w="1134" w:type="dxa"/>
            <w:tcBorders>
              <w:bottom w:val="single" w:sz="4" w:space="0" w:color="auto"/>
            </w:tcBorders>
            <w:hideMark/>
          </w:tcPr>
          <w:p w14:paraId="6953C07F" w14:textId="3C9F5A78" w:rsidR="00087B91" w:rsidRPr="002029AF" w:rsidRDefault="00087B91" w:rsidP="00860E95">
            <w:pPr>
              <w:pStyle w:val="ARfintablecolheadright"/>
            </w:pPr>
            <w:r w:rsidRPr="002029AF">
              <w:t>Less</w:t>
            </w:r>
            <w:r w:rsidR="000A5329" w:rsidRPr="002029AF">
              <w:t xml:space="preserve"> </w:t>
            </w:r>
            <w:r w:rsidRPr="002029AF">
              <w:t>than</w:t>
            </w:r>
            <w:r w:rsidR="000A5329" w:rsidRPr="002029AF">
              <w:t xml:space="preserve"> </w:t>
            </w:r>
            <w:r w:rsidRPr="002029AF">
              <w:t>1</w:t>
            </w:r>
            <w:r w:rsidR="000A5329" w:rsidRPr="002029AF">
              <w:t xml:space="preserve"> </w:t>
            </w:r>
            <w:r w:rsidRPr="002029AF">
              <w:t>month</w:t>
            </w:r>
          </w:p>
          <w:p w14:paraId="4D0CBAB4" w14:textId="77777777" w:rsidR="00087B91" w:rsidRPr="002029AF" w:rsidRDefault="00087B91" w:rsidP="00860E95">
            <w:pPr>
              <w:pStyle w:val="ARfintablecolheadright"/>
            </w:pPr>
            <w:r w:rsidRPr="002029AF">
              <w:t>$M</w:t>
            </w:r>
          </w:p>
        </w:tc>
        <w:tc>
          <w:tcPr>
            <w:tcW w:w="1134" w:type="dxa"/>
            <w:tcBorders>
              <w:bottom w:val="single" w:sz="4" w:space="0" w:color="auto"/>
            </w:tcBorders>
            <w:hideMark/>
          </w:tcPr>
          <w:p w14:paraId="7C635AD0" w14:textId="6ED76F79" w:rsidR="00087B91" w:rsidRPr="002029AF" w:rsidRDefault="00087B91" w:rsidP="00860E95">
            <w:pPr>
              <w:pStyle w:val="ARfintablecolheadright"/>
            </w:pPr>
            <w:r w:rsidRPr="002029AF">
              <w:t>1–3</w:t>
            </w:r>
            <w:r w:rsidR="000A5329" w:rsidRPr="002029AF">
              <w:t xml:space="preserve"> </w:t>
            </w:r>
            <w:r w:rsidRPr="002029AF">
              <w:t>months</w:t>
            </w:r>
          </w:p>
          <w:p w14:paraId="0A9FCC16" w14:textId="77777777" w:rsidR="00087B91" w:rsidRPr="002029AF" w:rsidRDefault="00087B91" w:rsidP="00860E95">
            <w:pPr>
              <w:pStyle w:val="ARfintablecolheadright"/>
            </w:pPr>
            <w:r w:rsidRPr="002029AF">
              <w:t>$M</w:t>
            </w:r>
          </w:p>
        </w:tc>
        <w:tc>
          <w:tcPr>
            <w:tcW w:w="1134" w:type="dxa"/>
            <w:tcBorders>
              <w:bottom w:val="single" w:sz="4" w:space="0" w:color="auto"/>
            </w:tcBorders>
            <w:hideMark/>
          </w:tcPr>
          <w:p w14:paraId="2F651879" w14:textId="0AD1F715" w:rsidR="00087B91" w:rsidRPr="002029AF" w:rsidRDefault="00087B91" w:rsidP="00860E95">
            <w:pPr>
              <w:pStyle w:val="ARfintablecolheadright"/>
            </w:pPr>
            <w:r w:rsidRPr="002029AF">
              <w:t>3</w:t>
            </w:r>
            <w:r w:rsidR="000A5329" w:rsidRPr="002029AF">
              <w:t xml:space="preserve"> </w:t>
            </w:r>
            <w:r w:rsidRPr="002029AF">
              <w:t>months</w:t>
            </w:r>
            <w:r w:rsidR="000A5329" w:rsidRPr="002029AF">
              <w:t xml:space="preserve"> </w:t>
            </w:r>
            <w:r w:rsidRPr="002029AF">
              <w:t>–</w:t>
            </w:r>
            <w:r w:rsidR="000A5329" w:rsidRPr="002029AF">
              <w:t xml:space="preserve"> </w:t>
            </w:r>
            <w:r w:rsidRPr="002029AF">
              <w:t>1</w:t>
            </w:r>
            <w:r w:rsidR="000A5329" w:rsidRPr="002029AF">
              <w:t xml:space="preserve"> </w:t>
            </w:r>
            <w:r w:rsidRPr="002029AF">
              <w:t>year</w:t>
            </w:r>
          </w:p>
          <w:p w14:paraId="5468A170" w14:textId="77777777" w:rsidR="00087B91" w:rsidRPr="002029AF" w:rsidRDefault="00087B91" w:rsidP="00860E95">
            <w:pPr>
              <w:pStyle w:val="ARfintablecolheadright"/>
            </w:pPr>
            <w:r w:rsidRPr="002029AF">
              <w:t>$M</w:t>
            </w:r>
          </w:p>
        </w:tc>
        <w:tc>
          <w:tcPr>
            <w:tcW w:w="1134" w:type="dxa"/>
            <w:tcBorders>
              <w:bottom w:val="single" w:sz="4" w:space="0" w:color="auto"/>
            </w:tcBorders>
            <w:hideMark/>
          </w:tcPr>
          <w:p w14:paraId="4D062A77" w14:textId="16249723" w:rsidR="00087B91" w:rsidRPr="002029AF" w:rsidRDefault="00087B91" w:rsidP="00860E95">
            <w:pPr>
              <w:pStyle w:val="ARfintablecolheadright"/>
            </w:pPr>
            <w:r w:rsidRPr="002029AF">
              <w:t>1–5</w:t>
            </w:r>
            <w:r w:rsidR="000A5329" w:rsidRPr="002029AF">
              <w:t xml:space="preserve"> </w:t>
            </w:r>
            <w:r w:rsidRPr="002029AF">
              <w:t>years</w:t>
            </w:r>
          </w:p>
          <w:p w14:paraId="0097FCD6" w14:textId="77777777" w:rsidR="00087B91" w:rsidRPr="002029AF" w:rsidRDefault="00087B91" w:rsidP="00860E95">
            <w:pPr>
              <w:pStyle w:val="ARfintablecolheadright"/>
            </w:pPr>
            <w:r w:rsidRPr="002029AF">
              <w:t>$M</w:t>
            </w:r>
          </w:p>
        </w:tc>
        <w:tc>
          <w:tcPr>
            <w:tcW w:w="1134" w:type="dxa"/>
            <w:tcBorders>
              <w:bottom w:val="single" w:sz="4" w:space="0" w:color="auto"/>
            </w:tcBorders>
            <w:hideMark/>
          </w:tcPr>
          <w:p w14:paraId="61CB5CE8" w14:textId="2BFF485A" w:rsidR="00087B91" w:rsidRPr="002029AF" w:rsidRDefault="00087B91" w:rsidP="00860E95">
            <w:pPr>
              <w:pStyle w:val="ARfintablecolheadright"/>
            </w:pPr>
            <w:r w:rsidRPr="002029AF">
              <w:t>5+</w:t>
            </w:r>
            <w:r w:rsidR="000A5329" w:rsidRPr="002029AF">
              <w:t xml:space="preserve"> </w:t>
            </w:r>
            <w:r w:rsidRPr="002029AF">
              <w:t>years</w:t>
            </w:r>
          </w:p>
          <w:p w14:paraId="51B80ED7" w14:textId="77777777" w:rsidR="00087B91" w:rsidRPr="002029AF" w:rsidRDefault="00087B91" w:rsidP="00860E95">
            <w:pPr>
              <w:pStyle w:val="ARfintablecolheadright"/>
            </w:pPr>
            <w:r w:rsidRPr="002029AF">
              <w:t>$M</w:t>
            </w:r>
          </w:p>
        </w:tc>
      </w:tr>
      <w:tr w:rsidR="00087B91" w:rsidRPr="002029AF" w14:paraId="5222FAAD" w14:textId="77777777" w:rsidTr="00860E95">
        <w:trPr>
          <w:trHeight w:val="255"/>
        </w:trPr>
        <w:tc>
          <w:tcPr>
            <w:tcW w:w="1701" w:type="dxa"/>
            <w:tcBorders>
              <w:top w:val="single" w:sz="4" w:space="0" w:color="auto"/>
              <w:bottom w:val="single" w:sz="4" w:space="0" w:color="A6A6A6"/>
            </w:tcBorders>
            <w:hideMark/>
          </w:tcPr>
          <w:p w14:paraId="2BFA3D8A" w14:textId="77777777" w:rsidR="00087B91" w:rsidRPr="002029AF" w:rsidRDefault="00087B91" w:rsidP="00860E95">
            <w:pPr>
              <w:pStyle w:val="ARfintablebodybold"/>
            </w:pPr>
            <w:r w:rsidRPr="002029AF">
              <w:t>2020</w:t>
            </w:r>
          </w:p>
        </w:tc>
        <w:tc>
          <w:tcPr>
            <w:tcW w:w="1134" w:type="dxa"/>
            <w:tcBorders>
              <w:top w:val="single" w:sz="4" w:space="0" w:color="auto"/>
              <w:bottom w:val="single" w:sz="4" w:space="0" w:color="A6A6A6"/>
            </w:tcBorders>
            <w:hideMark/>
          </w:tcPr>
          <w:p w14:paraId="3A17AC41" w14:textId="77777777" w:rsidR="00087B91" w:rsidRPr="002029AF" w:rsidRDefault="00087B91" w:rsidP="00860E95">
            <w:pPr>
              <w:pStyle w:val="ARfintablebodybold"/>
            </w:pPr>
          </w:p>
        </w:tc>
        <w:tc>
          <w:tcPr>
            <w:tcW w:w="1134" w:type="dxa"/>
            <w:tcBorders>
              <w:top w:val="single" w:sz="4" w:space="0" w:color="auto"/>
              <w:bottom w:val="single" w:sz="4" w:space="0" w:color="A6A6A6"/>
            </w:tcBorders>
            <w:hideMark/>
          </w:tcPr>
          <w:p w14:paraId="3937FA47" w14:textId="77777777" w:rsidR="00087B91" w:rsidRPr="002029AF" w:rsidRDefault="00087B91" w:rsidP="00860E95">
            <w:pPr>
              <w:pStyle w:val="ARfintablebodybold"/>
            </w:pPr>
          </w:p>
        </w:tc>
        <w:tc>
          <w:tcPr>
            <w:tcW w:w="1134" w:type="dxa"/>
            <w:tcBorders>
              <w:top w:val="single" w:sz="4" w:space="0" w:color="auto"/>
              <w:bottom w:val="single" w:sz="4" w:space="0" w:color="A6A6A6"/>
            </w:tcBorders>
            <w:hideMark/>
          </w:tcPr>
          <w:p w14:paraId="33894644" w14:textId="77777777" w:rsidR="00087B91" w:rsidRPr="002029AF" w:rsidRDefault="00087B91" w:rsidP="00860E95">
            <w:pPr>
              <w:pStyle w:val="ARfintablebodybold"/>
            </w:pPr>
          </w:p>
        </w:tc>
        <w:tc>
          <w:tcPr>
            <w:tcW w:w="1134" w:type="dxa"/>
            <w:tcBorders>
              <w:top w:val="single" w:sz="4" w:space="0" w:color="auto"/>
              <w:bottom w:val="single" w:sz="4" w:space="0" w:color="A6A6A6"/>
            </w:tcBorders>
            <w:hideMark/>
          </w:tcPr>
          <w:p w14:paraId="34597BB1" w14:textId="77777777" w:rsidR="00087B91" w:rsidRPr="002029AF" w:rsidRDefault="00087B91" w:rsidP="00860E95">
            <w:pPr>
              <w:pStyle w:val="ARfintablebodybold"/>
            </w:pPr>
          </w:p>
        </w:tc>
        <w:tc>
          <w:tcPr>
            <w:tcW w:w="1134" w:type="dxa"/>
            <w:tcBorders>
              <w:top w:val="single" w:sz="4" w:space="0" w:color="auto"/>
              <w:bottom w:val="single" w:sz="4" w:space="0" w:color="A6A6A6"/>
            </w:tcBorders>
            <w:hideMark/>
          </w:tcPr>
          <w:p w14:paraId="67EAF8BC" w14:textId="77777777" w:rsidR="00087B91" w:rsidRPr="002029AF" w:rsidRDefault="00087B91" w:rsidP="00860E95">
            <w:pPr>
              <w:pStyle w:val="ARfintablebodybold"/>
            </w:pPr>
          </w:p>
        </w:tc>
        <w:tc>
          <w:tcPr>
            <w:tcW w:w="1134" w:type="dxa"/>
            <w:tcBorders>
              <w:top w:val="single" w:sz="4" w:space="0" w:color="auto"/>
              <w:bottom w:val="single" w:sz="4" w:space="0" w:color="A6A6A6"/>
            </w:tcBorders>
            <w:hideMark/>
          </w:tcPr>
          <w:p w14:paraId="3C55306B" w14:textId="77777777" w:rsidR="00087B91" w:rsidRPr="002029AF" w:rsidRDefault="00087B91" w:rsidP="00860E95">
            <w:pPr>
              <w:pStyle w:val="ARfintablebodybold"/>
            </w:pPr>
          </w:p>
        </w:tc>
        <w:tc>
          <w:tcPr>
            <w:tcW w:w="1134" w:type="dxa"/>
            <w:tcBorders>
              <w:top w:val="single" w:sz="4" w:space="0" w:color="auto"/>
              <w:bottom w:val="single" w:sz="4" w:space="0" w:color="A6A6A6"/>
            </w:tcBorders>
            <w:hideMark/>
          </w:tcPr>
          <w:p w14:paraId="2B2F56D5" w14:textId="77777777" w:rsidR="00087B91" w:rsidRPr="002029AF" w:rsidRDefault="00087B91" w:rsidP="00860E95">
            <w:pPr>
              <w:pStyle w:val="ARfintablebodybold"/>
            </w:pPr>
          </w:p>
        </w:tc>
      </w:tr>
      <w:tr w:rsidR="00087B91" w:rsidRPr="002029AF" w14:paraId="20A718D3" w14:textId="77777777" w:rsidTr="00860E95">
        <w:trPr>
          <w:trHeight w:val="255"/>
        </w:trPr>
        <w:tc>
          <w:tcPr>
            <w:tcW w:w="1701" w:type="dxa"/>
            <w:tcBorders>
              <w:top w:val="single" w:sz="4" w:space="0" w:color="A6A6A6"/>
            </w:tcBorders>
            <w:hideMark/>
          </w:tcPr>
          <w:p w14:paraId="22F79BC3" w14:textId="77777777" w:rsidR="00087B91" w:rsidRPr="002029AF" w:rsidRDefault="00087B91" w:rsidP="00860E95">
            <w:pPr>
              <w:pStyle w:val="ARfintablebody"/>
            </w:pPr>
            <w:r w:rsidRPr="002029AF">
              <w:t>Payables</w:t>
            </w:r>
          </w:p>
        </w:tc>
        <w:tc>
          <w:tcPr>
            <w:tcW w:w="1134" w:type="dxa"/>
            <w:tcBorders>
              <w:top w:val="single" w:sz="4" w:space="0" w:color="A6A6A6"/>
            </w:tcBorders>
            <w:noWrap/>
            <w:hideMark/>
          </w:tcPr>
          <w:p w14:paraId="101F444F" w14:textId="77777777" w:rsidR="00087B91" w:rsidRPr="002029AF" w:rsidRDefault="00087B91" w:rsidP="00860E95">
            <w:pPr>
              <w:pStyle w:val="ARfintablebodyright"/>
            </w:pPr>
            <w:r w:rsidRPr="002029AF">
              <w:t>1,847.0</w:t>
            </w:r>
          </w:p>
        </w:tc>
        <w:tc>
          <w:tcPr>
            <w:tcW w:w="1134" w:type="dxa"/>
            <w:tcBorders>
              <w:top w:val="single" w:sz="4" w:space="0" w:color="A6A6A6"/>
            </w:tcBorders>
            <w:noWrap/>
            <w:hideMark/>
          </w:tcPr>
          <w:p w14:paraId="1A8C5495" w14:textId="77777777" w:rsidR="00087B91" w:rsidRPr="002029AF" w:rsidRDefault="00087B91" w:rsidP="00860E95">
            <w:pPr>
              <w:pStyle w:val="ARfintablebodyright"/>
            </w:pPr>
            <w:r w:rsidRPr="002029AF">
              <w:t>1,847.0</w:t>
            </w:r>
          </w:p>
        </w:tc>
        <w:tc>
          <w:tcPr>
            <w:tcW w:w="1134" w:type="dxa"/>
            <w:tcBorders>
              <w:top w:val="single" w:sz="4" w:space="0" w:color="A6A6A6"/>
            </w:tcBorders>
            <w:noWrap/>
            <w:hideMark/>
          </w:tcPr>
          <w:p w14:paraId="14958F5B" w14:textId="77777777" w:rsidR="00087B91" w:rsidRPr="002029AF" w:rsidRDefault="00087B91" w:rsidP="00860E95">
            <w:pPr>
              <w:pStyle w:val="ARfintablebodyright"/>
            </w:pPr>
            <w:r w:rsidRPr="002029AF">
              <w:t>526.5</w:t>
            </w:r>
          </w:p>
        </w:tc>
        <w:tc>
          <w:tcPr>
            <w:tcW w:w="1134" w:type="dxa"/>
            <w:tcBorders>
              <w:top w:val="single" w:sz="4" w:space="0" w:color="A6A6A6"/>
            </w:tcBorders>
            <w:noWrap/>
            <w:hideMark/>
          </w:tcPr>
          <w:p w14:paraId="48A94484" w14:textId="77777777" w:rsidR="00087B91" w:rsidRPr="002029AF" w:rsidRDefault="00087B91" w:rsidP="00860E95">
            <w:pPr>
              <w:pStyle w:val="ARfintablebodyright"/>
            </w:pPr>
            <w:r w:rsidRPr="002029AF">
              <w:t>217.5</w:t>
            </w:r>
          </w:p>
        </w:tc>
        <w:tc>
          <w:tcPr>
            <w:tcW w:w="1134" w:type="dxa"/>
            <w:tcBorders>
              <w:top w:val="single" w:sz="4" w:space="0" w:color="A6A6A6"/>
            </w:tcBorders>
            <w:noWrap/>
            <w:hideMark/>
          </w:tcPr>
          <w:p w14:paraId="20B6471C" w14:textId="77777777" w:rsidR="00087B91" w:rsidRPr="002029AF" w:rsidRDefault="00087B91" w:rsidP="00860E95">
            <w:pPr>
              <w:pStyle w:val="ARfintablebodyright"/>
            </w:pPr>
            <w:r w:rsidRPr="002029AF">
              <w:t>251.4</w:t>
            </w:r>
          </w:p>
        </w:tc>
        <w:tc>
          <w:tcPr>
            <w:tcW w:w="1134" w:type="dxa"/>
            <w:tcBorders>
              <w:top w:val="single" w:sz="4" w:space="0" w:color="A6A6A6"/>
            </w:tcBorders>
            <w:noWrap/>
            <w:hideMark/>
          </w:tcPr>
          <w:p w14:paraId="0BD2B7C5" w14:textId="77777777" w:rsidR="00087B91" w:rsidRPr="002029AF" w:rsidRDefault="00087B91" w:rsidP="00860E95">
            <w:pPr>
              <w:pStyle w:val="ARfintablebodyright"/>
            </w:pPr>
            <w:r w:rsidRPr="002029AF">
              <w:t>0.8</w:t>
            </w:r>
          </w:p>
        </w:tc>
        <w:tc>
          <w:tcPr>
            <w:tcW w:w="1134" w:type="dxa"/>
            <w:tcBorders>
              <w:top w:val="single" w:sz="4" w:space="0" w:color="A6A6A6"/>
            </w:tcBorders>
            <w:noWrap/>
            <w:hideMark/>
          </w:tcPr>
          <w:p w14:paraId="2DE0B5B1" w14:textId="77777777" w:rsidR="00087B91" w:rsidRPr="002029AF" w:rsidRDefault="00087B91" w:rsidP="00860E95">
            <w:pPr>
              <w:pStyle w:val="ARfintablebodyright"/>
            </w:pPr>
            <w:r w:rsidRPr="002029AF">
              <w:t>850.8</w:t>
            </w:r>
          </w:p>
        </w:tc>
      </w:tr>
      <w:tr w:rsidR="00087B91" w:rsidRPr="002029AF" w14:paraId="630B7D63" w14:textId="77777777" w:rsidTr="00860E95">
        <w:trPr>
          <w:trHeight w:val="255"/>
        </w:trPr>
        <w:tc>
          <w:tcPr>
            <w:tcW w:w="1701" w:type="dxa"/>
            <w:tcBorders>
              <w:bottom w:val="single" w:sz="4" w:space="0" w:color="auto"/>
            </w:tcBorders>
            <w:hideMark/>
          </w:tcPr>
          <w:p w14:paraId="4570221B" w14:textId="77777777" w:rsidR="00087B91" w:rsidRPr="002029AF" w:rsidRDefault="00087B91" w:rsidP="00860E95">
            <w:pPr>
              <w:pStyle w:val="ARfintablebodybold"/>
            </w:pPr>
            <w:r w:rsidRPr="002029AF">
              <w:t>Total</w:t>
            </w:r>
          </w:p>
        </w:tc>
        <w:tc>
          <w:tcPr>
            <w:tcW w:w="1134" w:type="dxa"/>
            <w:tcBorders>
              <w:bottom w:val="single" w:sz="4" w:space="0" w:color="auto"/>
            </w:tcBorders>
            <w:noWrap/>
            <w:hideMark/>
          </w:tcPr>
          <w:p w14:paraId="79D93C46" w14:textId="77777777" w:rsidR="00087B91" w:rsidRPr="002029AF" w:rsidRDefault="00087B91" w:rsidP="00860E95">
            <w:pPr>
              <w:pStyle w:val="ARfintablebodyrightbold"/>
            </w:pPr>
            <w:r w:rsidRPr="002029AF">
              <w:t>1,847.0</w:t>
            </w:r>
          </w:p>
        </w:tc>
        <w:tc>
          <w:tcPr>
            <w:tcW w:w="1134" w:type="dxa"/>
            <w:tcBorders>
              <w:bottom w:val="single" w:sz="4" w:space="0" w:color="auto"/>
            </w:tcBorders>
            <w:noWrap/>
            <w:hideMark/>
          </w:tcPr>
          <w:p w14:paraId="1DEA3ACC" w14:textId="77777777" w:rsidR="00087B91" w:rsidRPr="002029AF" w:rsidRDefault="00087B91" w:rsidP="00860E95">
            <w:pPr>
              <w:pStyle w:val="ARfintablebodyrightbold"/>
            </w:pPr>
            <w:r w:rsidRPr="002029AF">
              <w:t>1,847.0</w:t>
            </w:r>
          </w:p>
        </w:tc>
        <w:tc>
          <w:tcPr>
            <w:tcW w:w="1134" w:type="dxa"/>
            <w:tcBorders>
              <w:bottom w:val="single" w:sz="4" w:space="0" w:color="auto"/>
            </w:tcBorders>
            <w:noWrap/>
            <w:hideMark/>
          </w:tcPr>
          <w:p w14:paraId="3DDE7735" w14:textId="77777777" w:rsidR="00087B91" w:rsidRPr="002029AF" w:rsidRDefault="00087B91" w:rsidP="00860E95">
            <w:pPr>
              <w:pStyle w:val="ARfintablebodyrightbold"/>
            </w:pPr>
            <w:r w:rsidRPr="002029AF">
              <w:t>526.5</w:t>
            </w:r>
          </w:p>
        </w:tc>
        <w:tc>
          <w:tcPr>
            <w:tcW w:w="1134" w:type="dxa"/>
            <w:tcBorders>
              <w:bottom w:val="single" w:sz="4" w:space="0" w:color="auto"/>
            </w:tcBorders>
            <w:noWrap/>
            <w:hideMark/>
          </w:tcPr>
          <w:p w14:paraId="1A8FF097" w14:textId="77777777" w:rsidR="00087B91" w:rsidRPr="002029AF" w:rsidRDefault="00087B91" w:rsidP="00860E95">
            <w:pPr>
              <w:pStyle w:val="ARfintablebodyrightbold"/>
            </w:pPr>
            <w:r w:rsidRPr="002029AF">
              <w:t>217.5</w:t>
            </w:r>
          </w:p>
        </w:tc>
        <w:tc>
          <w:tcPr>
            <w:tcW w:w="1134" w:type="dxa"/>
            <w:tcBorders>
              <w:bottom w:val="single" w:sz="4" w:space="0" w:color="auto"/>
            </w:tcBorders>
            <w:noWrap/>
            <w:hideMark/>
          </w:tcPr>
          <w:p w14:paraId="1F0D9D82" w14:textId="77777777" w:rsidR="00087B91" w:rsidRPr="002029AF" w:rsidRDefault="00087B91" w:rsidP="00860E95">
            <w:pPr>
              <w:pStyle w:val="ARfintablebodyrightbold"/>
            </w:pPr>
            <w:r w:rsidRPr="002029AF">
              <w:t>251.4</w:t>
            </w:r>
          </w:p>
        </w:tc>
        <w:tc>
          <w:tcPr>
            <w:tcW w:w="1134" w:type="dxa"/>
            <w:tcBorders>
              <w:bottom w:val="single" w:sz="4" w:space="0" w:color="auto"/>
            </w:tcBorders>
            <w:noWrap/>
            <w:hideMark/>
          </w:tcPr>
          <w:p w14:paraId="68605718" w14:textId="77777777" w:rsidR="00087B91" w:rsidRPr="002029AF" w:rsidRDefault="00087B91" w:rsidP="00860E95">
            <w:pPr>
              <w:pStyle w:val="ARfintablebodyrightbold"/>
            </w:pPr>
            <w:r w:rsidRPr="002029AF">
              <w:t>0.8</w:t>
            </w:r>
          </w:p>
        </w:tc>
        <w:tc>
          <w:tcPr>
            <w:tcW w:w="1134" w:type="dxa"/>
            <w:tcBorders>
              <w:bottom w:val="single" w:sz="4" w:space="0" w:color="auto"/>
            </w:tcBorders>
            <w:noWrap/>
            <w:hideMark/>
          </w:tcPr>
          <w:p w14:paraId="52FA2FE0" w14:textId="77777777" w:rsidR="00087B91" w:rsidRPr="002029AF" w:rsidRDefault="00087B91" w:rsidP="00860E95">
            <w:pPr>
              <w:pStyle w:val="ARfintablebodyrightbold"/>
            </w:pPr>
            <w:r w:rsidRPr="002029AF">
              <w:t>850.8</w:t>
            </w:r>
          </w:p>
        </w:tc>
      </w:tr>
      <w:tr w:rsidR="00087B91" w:rsidRPr="002029AF" w14:paraId="27D6D44E" w14:textId="77777777" w:rsidTr="00860E95">
        <w:trPr>
          <w:trHeight w:val="255"/>
        </w:trPr>
        <w:tc>
          <w:tcPr>
            <w:tcW w:w="1701" w:type="dxa"/>
            <w:tcBorders>
              <w:top w:val="single" w:sz="4" w:space="0" w:color="auto"/>
              <w:bottom w:val="single" w:sz="4" w:space="0" w:color="A6A6A6"/>
            </w:tcBorders>
            <w:hideMark/>
          </w:tcPr>
          <w:p w14:paraId="4AD63713" w14:textId="77777777" w:rsidR="00087B91" w:rsidRPr="002029AF" w:rsidRDefault="00087B91" w:rsidP="00860E95">
            <w:pPr>
              <w:pStyle w:val="ARfintablebodybold"/>
            </w:pPr>
            <w:r w:rsidRPr="002029AF">
              <w:t>2019</w:t>
            </w:r>
          </w:p>
        </w:tc>
        <w:tc>
          <w:tcPr>
            <w:tcW w:w="1134" w:type="dxa"/>
            <w:tcBorders>
              <w:top w:val="single" w:sz="4" w:space="0" w:color="auto"/>
              <w:bottom w:val="single" w:sz="4" w:space="0" w:color="A6A6A6"/>
            </w:tcBorders>
            <w:hideMark/>
          </w:tcPr>
          <w:p w14:paraId="170BB443" w14:textId="77777777" w:rsidR="00087B91" w:rsidRPr="002029AF" w:rsidRDefault="00087B91" w:rsidP="00860E95">
            <w:pPr>
              <w:pStyle w:val="ARfintablebodybold"/>
            </w:pPr>
          </w:p>
        </w:tc>
        <w:tc>
          <w:tcPr>
            <w:tcW w:w="1134" w:type="dxa"/>
            <w:tcBorders>
              <w:top w:val="single" w:sz="4" w:space="0" w:color="auto"/>
              <w:bottom w:val="single" w:sz="4" w:space="0" w:color="A6A6A6"/>
            </w:tcBorders>
            <w:hideMark/>
          </w:tcPr>
          <w:p w14:paraId="370F3872" w14:textId="77777777" w:rsidR="00087B91" w:rsidRPr="002029AF" w:rsidRDefault="00087B91" w:rsidP="00860E95">
            <w:pPr>
              <w:pStyle w:val="ARfintablebodybold"/>
            </w:pPr>
          </w:p>
        </w:tc>
        <w:tc>
          <w:tcPr>
            <w:tcW w:w="1134" w:type="dxa"/>
            <w:tcBorders>
              <w:top w:val="single" w:sz="4" w:space="0" w:color="auto"/>
              <w:bottom w:val="single" w:sz="4" w:space="0" w:color="A6A6A6"/>
            </w:tcBorders>
            <w:hideMark/>
          </w:tcPr>
          <w:p w14:paraId="5DF5398A" w14:textId="77777777" w:rsidR="00087B91" w:rsidRPr="002029AF" w:rsidRDefault="00087B91" w:rsidP="00860E95">
            <w:pPr>
              <w:pStyle w:val="ARfintablebodybold"/>
            </w:pPr>
          </w:p>
        </w:tc>
        <w:tc>
          <w:tcPr>
            <w:tcW w:w="1134" w:type="dxa"/>
            <w:tcBorders>
              <w:top w:val="single" w:sz="4" w:space="0" w:color="auto"/>
              <w:bottom w:val="single" w:sz="4" w:space="0" w:color="A6A6A6"/>
            </w:tcBorders>
            <w:hideMark/>
          </w:tcPr>
          <w:p w14:paraId="23AD51F4" w14:textId="77777777" w:rsidR="00087B91" w:rsidRPr="002029AF" w:rsidRDefault="00087B91" w:rsidP="00860E95">
            <w:pPr>
              <w:pStyle w:val="ARfintablebodybold"/>
            </w:pPr>
          </w:p>
        </w:tc>
        <w:tc>
          <w:tcPr>
            <w:tcW w:w="1134" w:type="dxa"/>
            <w:tcBorders>
              <w:top w:val="single" w:sz="4" w:space="0" w:color="auto"/>
              <w:bottom w:val="single" w:sz="4" w:space="0" w:color="A6A6A6"/>
            </w:tcBorders>
            <w:hideMark/>
          </w:tcPr>
          <w:p w14:paraId="4B2DC9EB" w14:textId="77777777" w:rsidR="00087B91" w:rsidRPr="002029AF" w:rsidRDefault="00087B91" w:rsidP="00860E95">
            <w:pPr>
              <w:pStyle w:val="ARfintablebodybold"/>
            </w:pPr>
          </w:p>
        </w:tc>
        <w:tc>
          <w:tcPr>
            <w:tcW w:w="1134" w:type="dxa"/>
            <w:tcBorders>
              <w:top w:val="single" w:sz="4" w:space="0" w:color="auto"/>
              <w:bottom w:val="single" w:sz="4" w:space="0" w:color="A6A6A6"/>
            </w:tcBorders>
            <w:hideMark/>
          </w:tcPr>
          <w:p w14:paraId="36A812C4" w14:textId="77777777" w:rsidR="00087B91" w:rsidRPr="002029AF" w:rsidRDefault="00087B91" w:rsidP="00860E95">
            <w:pPr>
              <w:pStyle w:val="ARfintablebodybold"/>
            </w:pPr>
          </w:p>
        </w:tc>
        <w:tc>
          <w:tcPr>
            <w:tcW w:w="1134" w:type="dxa"/>
            <w:tcBorders>
              <w:top w:val="single" w:sz="4" w:space="0" w:color="auto"/>
              <w:bottom w:val="single" w:sz="4" w:space="0" w:color="A6A6A6"/>
            </w:tcBorders>
            <w:hideMark/>
          </w:tcPr>
          <w:p w14:paraId="68E4AD3C" w14:textId="77777777" w:rsidR="00087B91" w:rsidRPr="002029AF" w:rsidRDefault="00087B91" w:rsidP="00860E95">
            <w:pPr>
              <w:pStyle w:val="ARfintablebodybold"/>
            </w:pPr>
          </w:p>
        </w:tc>
      </w:tr>
      <w:tr w:rsidR="00087B91" w:rsidRPr="002029AF" w14:paraId="1ED94EB8" w14:textId="77777777" w:rsidTr="00860E95">
        <w:trPr>
          <w:trHeight w:val="255"/>
        </w:trPr>
        <w:tc>
          <w:tcPr>
            <w:tcW w:w="1701" w:type="dxa"/>
            <w:tcBorders>
              <w:top w:val="single" w:sz="4" w:space="0" w:color="A6A6A6"/>
            </w:tcBorders>
            <w:hideMark/>
          </w:tcPr>
          <w:p w14:paraId="779B7153" w14:textId="77777777" w:rsidR="00087B91" w:rsidRPr="002029AF" w:rsidRDefault="00087B91" w:rsidP="00860E95">
            <w:pPr>
              <w:pStyle w:val="ARfintablebody"/>
            </w:pPr>
            <w:r w:rsidRPr="002029AF">
              <w:t>Payables</w:t>
            </w:r>
          </w:p>
        </w:tc>
        <w:tc>
          <w:tcPr>
            <w:tcW w:w="1134" w:type="dxa"/>
            <w:tcBorders>
              <w:top w:val="single" w:sz="4" w:space="0" w:color="A6A6A6"/>
            </w:tcBorders>
            <w:noWrap/>
            <w:hideMark/>
          </w:tcPr>
          <w:p w14:paraId="215777D0" w14:textId="77777777" w:rsidR="00087B91" w:rsidRPr="002029AF" w:rsidRDefault="00087B91" w:rsidP="00860E95">
            <w:pPr>
              <w:pStyle w:val="ARfintablebodyright"/>
            </w:pPr>
            <w:r w:rsidRPr="002029AF">
              <w:t>1,513.5</w:t>
            </w:r>
          </w:p>
        </w:tc>
        <w:tc>
          <w:tcPr>
            <w:tcW w:w="1134" w:type="dxa"/>
            <w:tcBorders>
              <w:top w:val="single" w:sz="4" w:space="0" w:color="A6A6A6"/>
            </w:tcBorders>
            <w:noWrap/>
            <w:hideMark/>
          </w:tcPr>
          <w:p w14:paraId="339C2760" w14:textId="77777777" w:rsidR="00087B91" w:rsidRPr="002029AF" w:rsidRDefault="00087B91" w:rsidP="00860E95">
            <w:pPr>
              <w:pStyle w:val="ARfintablebodyright"/>
            </w:pPr>
            <w:r w:rsidRPr="002029AF">
              <w:t>1,513.5</w:t>
            </w:r>
          </w:p>
        </w:tc>
        <w:tc>
          <w:tcPr>
            <w:tcW w:w="1134" w:type="dxa"/>
            <w:tcBorders>
              <w:top w:val="single" w:sz="4" w:space="0" w:color="A6A6A6"/>
            </w:tcBorders>
            <w:noWrap/>
            <w:hideMark/>
          </w:tcPr>
          <w:p w14:paraId="089F6C4A" w14:textId="77777777" w:rsidR="00087B91" w:rsidRPr="002029AF" w:rsidRDefault="00087B91" w:rsidP="00860E95">
            <w:pPr>
              <w:pStyle w:val="ARfintablebodyright"/>
            </w:pPr>
            <w:r w:rsidRPr="002029AF">
              <w:t>630.3</w:t>
            </w:r>
          </w:p>
        </w:tc>
        <w:tc>
          <w:tcPr>
            <w:tcW w:w="1134" w:type="dxa"/>
            <w:tcBorders>
              <w:top w:val="single" w:sz="4" w:space="0" w:color="A6A6A6"/>
            </w:tcBorders>
            <w:noWrap/>
            <w:hideMark/>
          </w:tcPr>
          <w:p w14:paraId="670A0143" w14:textId="77777777" w:rsidR="00087B91" w:rsidRPr="002029AF" w:rsidRDefault="00087B91" w:rsidP="00860E95">
            <w:pPr>
              <w:pStyle w:val="ARfintablebodyright"/>
            </w:pPr>
            <w:r w:rsidRPr="002029AF">
              <w:t>70.1</w:t>
            </w:r>
          </w:p>
        </w:tc>
        <w:tc>
          <w:tcPr>
            <w:tcW w:w="1134" w:type="dxa"/>
            <w:tcBorders>
              <w:top w:val="single" w:sz="4" w:space="0" w:color="A6A6A6"/>
            </w:tcBorders>
            <w:noWrap/>
            <w:hideMark/>
          </w:tcPr>
          <w:p w14:paraId="05DF51E4" w14:textId="77777777" w:rsidR="00087B91" w:rsidRPr="002029AF" w:rsidRDefault="00087B91" w:rsidP="00860E95">
            <w:pPr>
              <w:pStyle w:val="ARfintablebodyright"/>
            </w:pPr>
            <w:r w:rsidRPr="002029AF">
              <w:t>27.8</w:t>
            </w:r>
          </w:p>
        </w:tc>
        <w:tc>
          <w:tcPr>
            <w:tcW w:w="1134" w:type="dxa"/>
            <w:tcBorders>
              <w:top w:val="single" w:sz="4" w:space="0" w:color="A6A6A6"/>
            </w:tcBorders>
            <w:noWrap/>
            <w:hideMark/>
          </w:tcPr>
          <w:p w14:paraId="6355568B" w14:textId="77777777" w:rsidR="00087B91" w:rsidRPr="002029AF" w:rsidRDefault="00087B91" w:rsidP="00860E95">
            <w:pPr>
              <w:pStyle w:val="ARfintablebodyright"/>
            </w:pPr>
            <w:r w:rsidRPr="002029AF">
              <w:t>1.1</w:t>
            </w:r>
          </w:p>
        </w:tc>
        <w:tc>
          <w:tcPr>
            <w:tcW w:w="1134" w:type="dxa"/>
            <w:tcBorders>
              <w:top w:val="single" w:sz="4" w:space="0" w:color="A6A6A6"/>
            </w:tcBorders>
            <w:noWrap/>
            <w:hideMark/>
          </w:tcPr>
          <w:p w14:paraId="5BE5ED9C" w14:textId="77777777" w:rsidR="00087B91" w:rsidRPr="002029AF" w:rsidRDefault="00087B91" w:rsidP="00860E95">
            <w:pPr>
              <w:pStyle w:val="ARfintablebodyright"/>
            </w:pPr>
            <w:r w:rsidRPr="002029AF">
              <w:t>784.2</w:t>
            </w:r>
          </w:p>
        </w:tc>
      </w:tr>
      <w:tr w:rsidR="00087B91" w:rsidRPr="002029AF" w14:paraId="23062F1B" w14:textId="77777777" w:rsidTr="00860E95">
        <w:trPr>
          <w:trHeight w:val="255"/>
        </w:trPr>
        <w:tc>
          <w:tcPr>
            <w:tcW w:w="1701" w:type="dxa"/>
            <w:hideMark/>
          </w:tcPr>
          <w:p w14:paraId="11ADA28B" w14:textId="77777777" w:rsidR="00087B91" w:rsidRPr="002029AF" w:rsidRDefault="00087B91" w:rsidP="00860E95">
            <w:pPr>
              <w:pStyle w:val="ARfintablebodybold"/>
            </w:pPr>
            <w:r w:rsidRPr="002029AF">
              <w:t>Total</w:t>
            </w:r>
          </w:p>
        </w:tc>
        <w:tc>
          <w:tcPr>
            <w:tcW w:w="1134" w:type="dxa"/>
            <w:noWrap/>
            <w:hideMark/>
          </w:tcPr>
          <w:p w14:paraId="4D415CBA" w14:textId="77777777" w:rsidR="00087B91" w:rsidRPr="002029AF" w:rsidRDefault="00087B91" w:rsidP="00860E95">
            <w:pPr>
              <w:pStyle w:val="ARfintablebodyrightbold"/>
            </w:pPr>
            <w:r w:rsidRPr="002029AF">
              <w:t>1,513.5</w:t>
            </w:r>
          </w:p>
        </w:tc>
        <w:tc>
          <w:tcPr>
            <w:tcW w:w="1134" w:type="dxa"/>
            <w:noWrap/>
            <w:hideMark/>
          </w:tcPr>
          <w:p w14:paraId="5F8F282E" w14:textId="77777777" w:rsidR="00087B91" w:rsidRPr="002029AF" w:rsidRDefault="00087B91" w:rsidP="00860E95">
            <w:pPr>
              <w:pStyle w:val="ARfintablebodyrightbold"/>
            </w:pPr>
            <w:r w:rsidRPr="002029AF">
              <w:t>1,513.5</w:t>
            </w:r>
          </w:p>
        </w:tc>
        <w:tc>
          <w:tcPr>
            <w:tcW w:w="1134" w:type="dxa"/>
            <w:noWrap/>
            <w:hideMark/>
          </w:tcPr>
          <w:p w14:paraId="12055A09" w14:textId="77777777" w:rsidR="00087B91" w:rsidRPr="002029AF" w:rsidRDefault="00087B91" w:rsidP="00860E95">
            <w:pPr>
              <w:pStyle w:val="ARfintablebodyrightbold"/>
            </w:pPr>
            <w:r w:rsidRPr="002029AF">
              <w:t>630.3</w:t>
            </w:r>
          </w:p>
        </w:tc>
        <w:tc>
          <w:tcPr>
            <w:tcW w:w="1134" w:type="dxa"/>
            <w:noWrap/>
            <w:hideMark/>
          </w:tcPr>
          <w:p w14:paraId="725BBF44" w14:textId="77777777" w:rsidR="00087B91" w:rsidRPr="002029AF" w:rsidRDefault="00087B91" w:rsidP="00860E95">
            <w:pPr>
              <w:pStyle w:val="ARfintablebodyrightbold"/>
            </w:pPr>
            <w:r w:rsidRPr="002029AF">
              <w:t>70.1</w:t>
            </w:r>
          </w:p>
        </w:tc>
        <w:tc>
          <w:tcPr>
            <w:tcW w:w="1134" w:type="dxa"/>
            <w:noWrap/>
            <w:hideMark/>
          </w:tcPr>
          <w:p w14:paraId="44C59627" w14:textId="77777777" w:rsidR="00087B91" w:rsidRPr="002029AF" w:rsidRDefault="00087B91" w:rsidP="00860E95">
            <w:pPr>
              <w:pStyle w:val="ARfintablebodyrightbold"/>
            </w:pPr>
            <w:r w:rsidRPr="002029AF">
              <w:t>27.8</w:t>
            </w:r>
          </w:p>
        </w:tc>
        <w:tc>
          <w:tcPr>
            <w:tcW w:w="1134" w:type="dxa"/>
            <w:noWrap/>
            <w:hideMark/>
          </w:tcPr>
          <w:p w14:paraId="6B1E3925" w14:textId="77777777" w:rsidR="00087B91" w:rsidRPr="002029AF" w:rsidRDefault="00087B91" w:rsidP="00860E95">
            <w:pPr>
              <w:pStyle w:val="ARfintablebodyrightbold"/>
            </w:pPr>
            <w:r w:rsidRPr="002029AF">
              <w:t>1.1</w:t>
            </w:r>
          </w:p>
        </w:tc>
        <w:tc>
          <w:tcPr>
            <w:tcW w:w="1134" w:type="dxa"/>
            <w:noWrap/>
            <w:hideMark/>
          </w:tcPr>
          <w:p w14:paraId="01833EA0" w14:textId="77777777" w:rsidR="00087B91" w:rsidRPr="002029AF" w:rsidRDefault="00087B91" w:rsidP="00860E95">
            <w:pPr>
              <w:pStyle w:val="ARfintablebodyrightbold"/>
            </w:pPr>
            <w:r w:rsidRPr="002029AF">
              <w:t>784.2</w:t>
            </w:r>
          </w:p>
        </w:tc>
      </w:tr>
    </w:tbl>
    <w:p w14:paraId="3F49F461" w14:textId="77777777" w:rsidR="00087B91" w:rsidRPr="002029AF" w:rsidRDefault="00087B91" w:rsidP="00087B91">
      <w:pPr>
        <w:pStyle w:val="ARfintablefootnote"/>
      </w:pPr>
      <w:r w:rsidRPr="002029AF">
        <w:t>Note:</w:t>
      </w:r>
    </w:p>
    <w:p w14:paraId="1330FCDA" w14:textId="6996DAC6" w:rsidR="00087B91" w:rsidRPr="002029AF" w:rsidRDefault="00087B91" w:rsidP="00087B91">
      <w:pPr>
        <w:pStyle w:val="ARfintablefootnoteindent"/>
      </w:pPr>
      <w:r w:rsidRPr="002029AF">
        <w:t>(i)</w:t>
      </w:r>
      <w:r w:rsidRPr="002029AF">
        <w:tab/>
        <w:t>Maturity</w:t>
      </w:r>
      <w:r w:rsidR="000A5329" w:rsidRPr="002029AF">
        <w:t xml:space="preserve"> </w:t>
      </w:r>
      <w:r w:rsidRPr="002029AF">
        <w:t>analysis</w:t>
      </w:r>
      <w:r w:rsidR="000A5329" w:rsidRPr="002029AF">
        <w:t xml:space="preserve"> </w:t>
      </w:r>
      <w:r w:rsidRPr="002029AF">
        <w:t>is</w:t>
      </w:r>
      <w:r w:rsidR="000A5329" w:rsidRPr="002029AF">
        <w:t xml:space="preserve"> </w:t>
      </w:r>
      <w:r w:rsidRPr="002029AF">
        <w:t>presented</w:t>
      </w:r>
      <w:r w:rsidR="000A5329" w:rsidRPr="002029AF">
        <w:t xml:space="preserve"> </w:t>
      </w:r>
      <w:r w:rsidRPr="002029AF">
        <w:t>using</w:t>
      </w:r>
      <w:r w:rsidR="000A5329" w:rsidRPr="002029AF">
        <w:t xml:space="preserve"> </w:t>
      </w:r>
      <w:r w:rsidRPr="002029AF">
        <w:t>the</w:t>
      </w:r>
      <w:r w:rsidR="000A5329" w:rsidRPr="002029AF">
        <w:t xml:space="preserve"> </w:t>
      </w:r>
      <w:r w:rsidRPr="002029AF">
        <w:t>contractual</w:t>
      </w:r>
      <w:r w:rsidR="000A5329" w:rsidRPr="002029AF">
        <w:t xml:space="preserve"> </w:t>
      </w:r>
      <w:r w:rsidRPr="002029AF">
        <w:t>undiscounted</w:t>
      </w:r>
      <w:r w:rsidR="000A5329" w:rsidRPr="002029AF">
        <w:t xml:space="preserve"> </w:t>
      </w:r>
      <w:r w:rsidRPr="002029AF">
        <w:t>cash</w:t>
      </w:r>
      <w:r w:rsidR="000A5329" w:rsidRPr="002029AF">
        <w:t xml:space="preserve"> </w:t>
      </w:r>
      <w:r w:rsidRPr="002029AF">
        <w:t>flows.</w:t>
      </w:r>
    </w:p>
    <w:p w14:paraId="5960FDA0" w14:textId="77777777" w:rsidR="00087B91" w:rsidRPr="002029AF" w:rsidRDefault="00087B91" w:rsidP="00087B91">
      <w:pPr>
        <w:pStyle w:val="ARfinbody"/>
      </w:pPr>
      <w:bookmarkStart w:id="359" w:name="_Toc39242155"/>
      <w:r w:rsidRPr="002029AF">
        <w:br w:type="page"/>
      </w:r>
    </w:p>
    <w:p w14:paraId="78EED96F" w14:textId="32FCE161" w:rsidR="00087B91" w:rsidRPr="002029AF" w:rsidRDefault="00087B91" w:rsidP="00087B91">
      <w:pPr>
        <w:pStyle w:val="Heading4"/>
      </w:pPr>
      <w:r w:rsidRPr="002029AF">
        <w:lastRenderedPageBreak/>
        <w:t>6.5</w:t>
      </w:r>
      <w:r w:rsidR="000A5329" w:rsidRPr="002029AF">
        <w:t xml:space="preserve"> </w:t>
      </w:r>
      <w:r w:rsidRPr="002029AF">
        <w:t>Other</w:t>
      </w:r>
      <w:r w:rsidR="000A5329" w:rsidRPr="002029AF">
        <w:t xml:space="preserve"> </w:t>
      </w:r>
      <w:r w:rsidRPr="002029AF">
        <w:t>provisions</w:t>
      </w:r>
      <w:bookmarkEnd w:id="359"/>
    </w:p>
    <w:tbl>
      <w:tblPr>
        <w:tblStyle w:val="TableGrid"/>
        <w:tblW w:w="9637" w:type="dxa"/>
        <w:tblLayout w:type="fixed"/>
        <w:tblLook w:val="06A0" w:firstRow="1" w:lastRow="0" w:firstColumn="1" w:lastColumn="0" w:noHBand="1" w:noVBand="1"/>
      </w:tblPr>
      <w:tblGrid>
        <w:gridCol w:w="7371"/>
        <w:gridCol w:w="1133"/>
        <w:gridCol w:w="1133"/>
      </w:tblGrid>
      <w:tr w:rsidR="00087B91" w:rsidRPr="002029AF" w14:paraId="386025BE"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7371" w:type="dxa"/>
            <w:tcBorders>
              <w:bottom w:val="single" w:sz="4" w:space="0" w:color="auto"/>
            </w:tcBorders>
            <w:noWrap/>
            <w:hideMark/>
          </w:tcPr>
          <w:p w14:paraId="7E187041" w14:textId="77777777" w:rsidR="00087B91" w:rsidRPr="002029AF" w:rsidRDefault="00087B91" w:rsidP="00860E95">
            <w:pPr>
              <w:pStyle w:val="ARfintablecolhead"/>
            </w:pPr>
          </w:p>
        </w:tc>
        <w:tc>
          <w:tcPr>
            <w:tcW w:w="1133" w:type="dxa"/>
            <w:tcBorders>
              <w:bottom w:val="single" w:sz="4" w:space="0" w:color="auto"/>
            </w:tcBorders>
            <w:shd w:val="clear" w:color="auto" w:fill="E7E6E6"/>
            <w:hideMark/>
          </w:tcPr>
          <w:p w14:paraId="0A97746A" w14:textId="77777777" w:rsidR="00087B91" w:rsidRPr="002029AF" w:rsidRDefault="00087B91" w:rsidP="00860E95">
            <w:pPr>
              <w:pStyle w:val="ARfintablecolheadright"/>
            </w:pPr>
            <w:r w:rsidRPr="002029AF">
              <w:t>2020</w:t>
            </w:r>
          </w:p>
          <w:p w14:paraId="6F59B14A" w14:textId="77777777" w:rsidR="00087B91" w:rsidRPr="002029AF" w:rsidRDefault="00087B91" w:rsidP="00860E95">
            <w:pPr>
              <w:pStyle w:val="ARfintablecolheadright"/>
            </w:pPr>
            <w:r w:rsidRPr="002029AF">
              <w:t>$M</w:t>
            </w:r>
          </w:p>
        </w:tc>
        <w:tc>
          <w:tcPr>
            <w:tcW w:w="1133" w:type="dxa"/>
            <w:tcBorders>
              <w:bottom w:val="single" w:sz="4" w:space="0" w:color="auto"/>
            </w:tcBorders>
            <w:hideMark/>
          </w:tcPr>
          <w:p w14:paraId="5EF35938" w14:textId="77777777" w:rsidR="00087B91" w:rsidRPr="002029AF" w:rsidRDefault="00087B91" w:rsidP="00860E95">
            <w:pPr>
              <w:pStyle w:val="ARfintablecolheadright"/>
            </w:pPr>
            <w:r w:rsidRPr="002029AF">
              <w:t>2019</w:t>
            </w:r>
          </w:p>
          <w:p w14:paraId="38B2A491" w14:textId="77777777" w:rsidR="00087B91" w:rsidRPr="002029AF" w:rsidRDefault="00087B91" w:rsidP="00860E95">
            <w:pPr>
              <w:pStyle w:val="ARfintablecolheadright"/>
            </w:pPr>
            <w:r w:rsidRPr="002029AF">
              <w:t>$M</w:t>
            </w:r>
          </w:p>
        </w:tc>
      </w:tr>
      <w:tr w:rsidR="00087B91" w:rsidRPr="002029AF" w14:paraId="758C828F" w14:textId="77777777" w:rsidTr="00860E95">
        <w:tc>
          <w:tcPr>
            <w:tcW w:w="9637" w:type="dxa"/>
            <w:gridSpan w:val="3"/>
            <w:tcBorders>
              <w:top w:val="single" w:sz="4" w:space="0" w:color="auto"/>
              <w:bottom w:val="single" w:sz="4" w:space="0" w:color="A6A6A6"/>
            </w:tcBorders>
            <w:hideMark/>
          </w:tcPr>
          <w:p w14:paraId="5B94C669" w14:textId="1E6A076D" w:rsidR="00087B91" w:rsidRPr="002029AF" w:rsidRDefault="00087B91" w:rsidP="00860E95">
            <w:pPr>
              <w:pStyle w:val="ARfintablebodybold"/>
            </w:pPr>
            <w:r w:rsidRPr="002029AF">
              <w:t>Current</w:t>
            </w:r>
            <w:r w:rsidR="000A5329" w:rsidRPr="002029AF">
              <w:t xml:space="preserve"> </w:t>
            </w:r>
            <w:r w:rsidRPr="002029AF">
              <w:t>provisions</w:t>
            </w:r>
          </w:p>
        </w:tc>
      </w:tr>
      <w:tr w:rsidR="00087B91" w:rsidRPr="002029AF" w14:paraId="2EFCE150" w14:textId="77777777" w:rsidTr="00860E95">
        <w:tc>
          <w:tcPr>
            <w:tcW w:w="7371" w:type="dxa"/>
            <w:tcBorders>
              <w:top w:val="single" w:sz="4" w:space="0" w:color="A6A6A6"/>
              <w:bottom w:val="single" w:sz="4" w:space="0" w:color="A6A6A6"/>
            </w:tcBorders>
            <w:hideMark/>
          </w:tcPr>
          <w:p w14:paraId="2A798EAD" w14:textId="2736B93D" w:rsidR="00087B91" w:rsidRPr="002029AF" w:rsidRDefault="00087B91" w:rsidP="00860E95">
            <w:pPr>
              <w:pStyle w:val="ARfintablebody"/>
            </w:pPr>
            <w:r w:rsidRPr="002029AF">
              <w:t>Insurance</w:t>
            </w:r>
            <w:r w:rsidR="000A5329" w:rsidRPr="002029AF">
              <w:t xml:space="preserve"> </w:t>
            </w:r>
            <w:r w:rsidRPr="002029AF">
              <w:t>claims</w:t>
            </w:r>
          </w:p>
        </w:tc>
        <w:tc>
          <w:tcPr>
            <w:tcW w:w="1133" w:type="dxa"/>
            <w:tcBorders>
              <w:top w:val="single" w:sz="4" w:space="0" w:color="A6A6A6"/>
              <w:bottom w:val="single" w:sz="4" w:space="0" w:color="A6A6A6"/>
            </w:tcBorders>
            <w:shd w:val="clear" w:color="auto" w:fill="E7E6E6"/>
            <w:noWrap/>
            <w:hideMark/>
          </w:tcPr>
          <w:p w14:paraId="14635DE3" w14:textId="77777777" w:rsidR="00087B91" w:rsidRPr="002029AF" w:rsidRDefault="00087B91" w:rsidP="00860E95">
            <w:pPr>
              <w:pStyle w:val="ARfintablebodyright"/>
            </w:pPr>
            <w:r w:rsidRPr="002029AF">
              <w:t>43.5</w:t>
            </w:r>
          </w:p>
        </w:tc>
        <w:tc>
          <w:tcPr>
            <w:tcW w:w="1133" w:type="dxa"/>
            <w:tcBorders>
              <w:top w:val="single" w:sz="4" w:space="0" w:color="A6A6A6"/>
              <w:bottom w:val="single" w:sz="4" w:space="0" w:color="A6A6A6"/>
            </w:tcBorders>
            <w:noWrap/>
            <w:hideMark/>
          </w:tcPr>
          <w:p w14:paraId="43159B8A" w14:textId="77777777" w:rsidR="00087B91" w:rsidRPr="002029AF" w:rsidRDefault="00087B91" w:rsidP="00860E95">
            <w:pPr>
              <w:pStyle w:val="ARfintablebodyright"/>
            </w:pPr>
            <w:r w:rsidRPr="002029AF">
              <w:t>33.8</w:t>
            </w:r>
          </w:p>
        </w:tc>
      </w:tr>
      <w:tr w:rsidR="00087B91" w:rsidRPr="002029AF" w14:paraId="7D9217E7" w14:textId="77777777" w:rsidTr="00860E95">
        <w:tc>
          <w:tcPr>
            <w:tcW w:w="7371" w:type="dxa"/>
            <w:tcBorders>
              <w:top w:val="single" w:sz="4" w:space="0" w:color="A6A6A6"/>
            </w:tcBorders>
            <w:hideMark/>
          </w:tcPr>
          <w:p w14:paraId="365C8E48" w14:textId="690EA96D" w:rsidR="00087B91" w:rsidRPr="002029AF" w:rsidRDefault="00087B91" w:rsidP="00860E95">
            <w:pPr>
              <w:pStyle w:val="ARfintablebody"/>
            </w:pPr>
            <w:r w:rsidRPr="002029AF">
              <w:t>Make-good</w:t>
            </w:r>
            <w:r w:rsidR="000A5329" w:rsidRPr="002029AF">
              <w:t xml:space="preserve"> </w:t>
            </w:r>
            <w:r w:rsidRPr="002029AF">
              <w:t>provision</w:t>
            </w:r>
          </w:p>
        </w:tc>
        <w:tc>
          <w:tcPr>
            <w:tcW w:w="1133" w:type="dxa"/>
            <w:tcBorders>
              <w:top w:val="single" w:sz="4" w:space="0" w:color="A6A6A6"/>
            </w:tcBorders>
            <w:shd w:val="clear" w:color="auto" w:fill="E7E6E6"/>
            <w:noWrap/>
            <w:hideMark/>
          </w:tcPr>
          <w:p w14:paraId="17CB404B" w14:textId="77777777" w:rsidR="00087B91" w:rsidRPr="002029AF" w:rsidRDefault="00087B91" w:rsidP="00860E95">
            <w:pPr>
              <w:pStyle w:val="ARfintablebodyright"/>
            </w:pPr>
            <w:r w:rsidRPr="002029AF">
              <w:t>1.0</w:t>
            </w:r>
          </w:p>
        </w:tc>
        <w:tc>
          <w:tcPr>
            <w:tcW w:w="1133" w:type="dxa"/>
            <w:tcBorders>
              <w:top w:val="single" w:sz="4" w:space="0" w:color="A6A6A6"/>
            </w:tcBorders>
            <w:noWrap/>
            <w:hideMark/>
          </w:tcPr>
          <w:p w14:paraId="6B6E3271" w14:textId="77777777" w:rsidR="00087B91" w:rsidRPr="002029AF" w:rsidRDefault="00087B91" w:rsidP="00860E95">
            <w:pPr>
              <w:pStyle w:val="ARfintablebodyright"/>
            </w:pPr>
            <w:r w:rsidRPr="002029AF">
              <w:t>0.9</w:t>
            </w:r>
          </w:p>
        </w:tc>
      </w:tr>
      <w:tr w:rsidR="00087B91" w:rsidRPr="002029AF" w14:paraId="47A7A937" w14:textId="77777777" w:rsidTr="00860E95">
        <w:tc>
          <w:tcPr>
            <w:tcW w:w="7371" w:type="dxa"/>
            <w:tcBorders>
              <w:bottom w:val="single" w:sz="4" w:space="0" w:color="auto"/>
            </w:tcBorders>
            <w:hideMark/>
          </w:tcPr>
          <w:p w14:paraId="68ABE6B0" w14:textId="079BF47C" w:rsidR="00087B91" w:rsidRPr="002029AF" w:rsidRDefault="00087B91" w:rsidP="00860E95">
            <w:pPr>
              <w:pStyle w:val="ARfintablebodybold"/>
            </w:pPr>
            <w:r w:rsidRPr="002029AF">
              <w:t>Total</w:t>
            </w:r>
            <w:r w:rsidR="000A5329" w:rsidRPr="002029AF">
              <w:t xml:space="preserve"> </w:t>
            </w:r>
            <w:r w:rsidRPr="002029AF">
              <w:t>current</w:t>
            </w:r>
            <w:r w:rsidR="000A5329" w:rsidRPr="002029AF">
              <w:t xml:space="preserve"> </w:t>
            </w:r>
            <w:r w:rsidRPr="002029AF">
              <w:t>provisions</w:t>
            </w:r>
          </w:p>
        </w:tc>
        <w:tc>
          <w:tcPr>
            <w:tcW w:w="1133" w:type="dxa"/>
            <w:tcBorders>
              <w:bottom w:val="single" w:sz="4" w:space="0" w:color="auto"/>
            </w:tcBorders>
            <w:shd w:val="clear" w:color="auto" w:fill="E7E6E6"/>
            <w:noWrap/>
            <w:hideMark/>
          </w:tcPr>
          <w:p w14:paraId="25BDCBD3" w14:textId="77777777" w:rsidR="00087B91" w:rsidRPr="002029AF" w:rsidRDefault="00087B91" w:rsidP="00860E95">
            <w:pPr>
              <w:pStyle w:val="ARfintablebodyrightbold"/>
            </w:pPr>
            <w:r w:rsidRPr="002029AF">
              <w:t>44.5</w:t>
            </w:r>
          </w:p>
        </w:tc>
        <w:tc>
          <w:tcPr>
            <w:tcW w:w="1133" w:type="dxa"/>
            <w:tcBorders>
              <w:bottom w:val="single" w:sz="4" w:space="0" w:color="auto"/>
            </w:tcBorders>
            <w:noWrap/>
            <w:hideMark/>
          </w:tcPr>
          <w:p w14:paraId="7D4127FA" w14:textId="77777777" w:rsidR="00087B91" w:rsidRPr="002029AF" w:rsidRDefault="00087B91" w:rsidP="00860E95">
            <w:pPr>
              <w:pStyle w:val="ARfintablebodyrightbold"/>
            </w:pPr>
            <w:r w:rsidRPr="002029AF">
              <w:t>34.8</w:t>
            </w:r>
          </w:p>
        </w:tc>
      </w:tr>
      <w:tr w:rsidR="00087B91" w:rsidRPr="002029AF" w14:paraId="35F5C6F6" w14:textId="77777777" w:rsidTr="00860E95">
        <w:tc>
          <w:tcPr>
            <w:tcW w:w="9637" w:type="dxa"/>
            <w:gridSpan w:val="3"/>
            <w:tcBorders>
              <w:top w:val="single" w:sz="4" w:space="0" w:color="auto"/>
              <w:bottom w:val="single" w:sz="4" w:space="0" w:color="A6A6A6"/>
            </w:tcBorders>
            <w:hideMark/>
          </w:tcPr>
          <w:p w14:paraId="06138584" w14:textId="40F2F74D" w:rsidR="00087B91" w:rsidRPr="002029AF" w:rsidRDefault="00087B91" w:rsidP="00860E95">
            <w:pPr>
              <w:pStyle w:val="ARfintablebodybold"/>
            </w:pPr>
            <w:r w:rsidRPr="002029AF">
              <w:t>Non-current</w:t>
            </w:r>
            <w:r w:rsidR="000A5329" w:rsidRPr="002029AF">
              <w:t xml:space="preserve"> </w:t>
            </w:r>
            <w:r w:rsidRPr="002029AF">
              <w:t>provisions</w:t>
            </w:r>
          </w:p>
        </w:tc>
      </w:tr>
      <w:tr w:rsidR="00087B91" w:rsidRPr="002029AF" w14:paraId="44230C91" w14:textId="77777777" w:rsidTr="00860E95">
        <w:tc>
          <w:tcPr>
            <w:tcW w:w="7371" w:type="dxa"/>
            <w:tcBorders>
              <w:top w:val="single" w:sz="4" w:space="0" w:color="A6A6A6"/>
              <w:bottom w:val="single" w:sz="4" w:space="0" w:color="A6A6A6"/>
            </w:tcBorders>
            <w:hideMark/>
          </w:tcPr>
          <w:p w14:paraId="30DE9313" w14:textId="3C17C95F" w:rsidR="00087B91" w:rsidRPr="002029AF" w:rsidRDefault="00087B91" w:rsidP="00860E95">
            <w:pPr>
              <w:pStyle w:val="ARfintablebody"/>
            </w:pPr>
            <w:r w:rsidRPr="002029AF">
              <w:t>Insurance</w:t>
            </w:r>
            <w:r w:rsidR="000A5329" w:rsidRPr="002029AF">
              <w:t xml:space="preserve"> </w:t>
            </w:r>
            <w:r w:rsidRPr="002029AF">
              <w:t>claims</w:t>
            </w:r>
          </w:p>
        </w:tc>
        <w:tc>
          <w:tcPr>
            <w:tcW w:w="1133" w:type="dxa"/>
            <w:tcBorders>
              <w:top w:val="single" w:sz="4" w:space="0" w:color="A6A6A6"/>
              <w:bottom w:val="single" w:sz="4" w:space="0" w:color="A6A6A6"/>
            </w:tcBorders>
            <w:shd w:val="clear" w:color="auto" w:fill="E7E6E6"/>
            <w:noWrap/>
            <w:hideMark/>
          </w:tcPr>
          <w:p w14:paraId="65BD1338" w14:textId="77777777" w:rsidR="00087B91" w:rsidRPr="002029AF" w:rsidRDefault="00087B91" w:rsidP="00860E95">
            <w:pPr>
              <w:pStyle w:val="ARfintablebodyright"/>
            </w:pPr>
            <w:r w:rsidRPr="002029AF">
              <w:t>76.9</w:t>
            </w:r>
          </w:p>
        </w:tc>
        <w:tc>
          <w:tcPr>
            <w:tcW w:w="1133" w:type="dxa"/>
            <w:tcBorders>
              <w:top w:val="single" w:sz="4" w:space="0" w:color="A6A6A6"/>
              <w:bottom w:val="single" w:sz="4" w:space="0" w:color="A6A6A6"/>
            </w:tcBorders>
            <w:noWrap/>
            <w:hideMark/>
          </w:tcPr>
          <w:p w14:paraId="21974AF3" w14:textId="77777777" w:rsidR="00087B91" w:rsidRPr="002029AF" w:rsidRDefault="00087B91" w:rsidP="00860E95">
            <w:pPr>
              <w:pStyle w:val="ARfintablebodyright"/>
            </w:pPr>
            <w:r w:rsidRPr="002029AF">
              <w:t>59.2</w:t>
            </w:r>
          </w:p>
        </w:tc>
      </w:tr>
      <w:tr w:rsidR="00087B91" w:rsidRPr="002029AF" w14:paraId="33DD9E70" w14:textId="77777777" w:rsidTr="00860E95">
        <w:tc>
          <w:tcPr>
            <w:tcW w:w="7371" w:type="dxa"/>
            <w:tcBorders>
              <w:top w:val="single" w:sz="4" w:space="0" w:color="A6A6A6"/>
            </w:tcBorders>
            <w:hideMark/>
          </w:tcPr>
          <w:p w14:paraId="0FA5EAAC" w14:textId="2B6CFE38" w:rsidR="00087B91" w:rsidRPr="002029AF" w:rsidRDefault="00087B91" w:rsidP="00860E95">
            <w:pPr>
              <w:pStyle w:val="ARfintablebody"/>
            </w:pPr>
            <w:r w:rsidRPr="002029AF">
              <w:t>Make-good</w:t>
            </w:r>
            <w:r w:rsidR="000A5329" w:rsidRPr="002029AF">
              <w:t xml:space="preserve"> </w:t>
            </w:r>
            <w:r w:rsidRPr="002029AF">
              <w:t>provision</w:t>
            </w:r>
          </w:p>
        </w:tc>
        <w:tc>
          <w:tcPr>
            <w:tcW w:w="1133" w:type="dxa"/>
            <w:tcBorders>
              <w:top w:val="single" w:sz="4" w:space="0" w:color="A6A6A6"/>
            </w:tcBorders>
            <w:shd w:val="clear" w:color="auto" w:fill="E7E6E6"/>
            <w:noWrap/>
            <w:hideMark/>
          </w:tcPr>
          <w:p w14:paraId="6B2893B6" w14:textId="77777777" w:rsidR="00087B91" w:rsidRPr="002029AF" w:rsidRDefault="00087B91" w:rsidP="00860E95">
            <w:pPr>
              <w:pStyle w:val="ARfintablebodyright"/>
            </w:pPr>
            <w:r w:rsidRPr="002029AF">
              <w:t>3.5</w:t>
            </w:r>
          </w:p>
        </w:tc>
        <w:tc>
          <w:tcPr>
            <w:tcW w:w="1133" w:type="dxa"/>
            <w:tcBorders>
              <w:top w:val="single" w:sz="4" w:space="0" w:color="A6A6A6"/>
            </w:tcBorders>
            <w:noWrap/>
            <w:hideMark/>
          </w:tcPr>
          <w:p w14:paraId="0EB7950C" w14:textId="77777777" w:rsidR="00087B91" w:rsidRPr="002029AF" w:rsidRDefault="00087B91" w:rsidP="00860E95">
            <w:pPr>
              <w:pStyle w:val="ARfintablebodyright"/>
            </w:pPr>
            <w:r w:rsidRPr="002029AF">
              <w:t>1.9</w:t>
            </w:r>
          </w:p>
        </w:tc>
      </w:tr>
      <w:tr w:rsidR="00087B91" w:rsidRPr="002029AF" w14:paraId="659FCB99" w14:textId="77777777" w:rsidTr="00860E95">
        <w:tc>
          <w:tcPr>
            <w:tcW w:w="7371" w:type="dxa"/>
            <w:hideMark/>
          </w:tcPr>
          <w:p w14:paraId="5814078D" w14:textId="2E31FD17" w:rsidR="00087B91" w:rsidRPr="002029AF" w:rsidRDefault="00087B91" w:rsidP="00860E95">
            <w:pPr>
              <w:pStyle w:val="ARfintablebodybold"/>
            </w:pPr>
            <w:r w:rsidRPr="002029AF">
              <w:t>Total</w:t>
            </w:r>
            <w:r w:rsidR="000A5329" w:rsidRPr="002029AF">
              <w:t xml:space="preserve"> </w:t>
            </w:r>
            <w:r w:rsidRPr="002029AF">
              <w:t>non-current</w:t>
            </w:r>
            <w:r w:rsidR="000A5329" w:rsidRPr="002029AF">
              <w:t xml:space="preserve"> </w:t>
            </w:r>
            <w:r w:rsidRPr="002029AF">
              <w:t>provisions</w:t>
            </w:r>
          </w:p>
        </w:tc>
        <w:tc>
          <w:tcPr>
            <w:tcW w:w="1133" w:type="dxa"/>
            <w:shd w:val="clear" w:color="auto" w:fill="E7E6E6"/>
            <w:noWrap/>
            <w:hideMark/>
          </w:tcPr>
          <w:p w14:paraId="13729666" w14:textId="77777777" w:rsidR="00087B91" w:rsidRPr="002029AF" w:rsidRDefault="00087B91" w:rsidP="00860E95">
            <w:pPr>
              <w:pStyle w:val="ARfintablebodyrightbold"/>
            </w:pPr>
            <w:r w:rsidRPr="002029AF">
              <w:t>80.4</w:t>
            </w:r>
          </w:p>
        </w:tc>
        <w:tc>
          <w:tcPr>
            <w:tcW w:w="1133" w:type="dxa"/>
            <w:noWrap/>
            <w:hideMark/>
          </w:tcPr>
          <w:p w14:paraId="2E00894B" w14:textId="77777777" w:rsidR="00087B91" w:rsidRPr="002029AF" w:rsidRDefault="00087B91" w:rsidP="00860E95">
            <w:pPr>
              <w:pStyle w:val="ARfintablebodyrightbold"/>
            </w:pPr>
            <w:r w:rsidRPr="002029AF">
              <w:t>61.1</w:t>
            </w:r>
          </w:p>
        </w:tc>
      </w:tr>
      <w:tr w:rsidR="00087B91" w:rsidRPr="002029AF" w14:paraId="54EAC17B" w14:textId="77777777" w:rsidTr="00860E95">
        <w:tc>
          <w:tcPr>
            <w:tcW w:w="7371" w:type="dxa"/>
            <w:hideMark/>
          </w:tcPr>
          <w:p w14:paraId="3E52A61E" w14:textId="40733EDE" w:rsidR="00087B91" w:rsidRPr="002029AF" w:rsidRDefault="00087B91" w:rsidP="00860E95">
            <w:pPr>
              <w:pStyle w:val="ARfintablebodybold"/>
            </w:pPr>
            <w:r w:rsidRPr="002029AF">
              <w:t>Total</w:t>
            </w:r>
            <w:r w:rsidR="000A5329" w:rsidRPr="002029AF">
              <w:t xml:space="preserve"> </w:t>
            </w:r>
            <w:r w:rsidRPr="002029AF">
              <w:t>other</w:t>
            </w:r>
            <w:r w:rsidR="000A5329" w:rsidRPr="002029AF">
              <w:t xml:space="preserve"> </w:t>
            </w:r>
            <w:r w:rsidRPr="002029AF">
              <w:t>provisions</w:t>
            </w:r>
          </w:p>
        </w:tc>
        <w:tc>
          <w:tcPr>
            <w:tcW w:w="1133" w:type="dxa"/>
            <w:shd w:val="clear" w:color="auto" w:fill="E7E6E6"/>
            <w:noWrap/>
            <w:hideMark/>
          </w:tcPr>
          <w:p w14:paraId="03BB9835" w14:textId="77777777" w:rsidR="00087B91" w:rsidRPr="002029AF" w:rsidRDefault="00087B91" w:rsidP="00860E95">
            <w:pPr>
              <w:pStyle w:val="ARfintablebodyrightbold"/>
            </w:pPr>
            <w:r w:rsidRPr="002029AF">
              <w:t>124.9</w:t>
            </w:r>
          </w:p>
        </w:tc>
        <w:tc>
          <w:tcPr>
            <w:tcW w:w="1133" w:type="dxa"/>
            <w:noWrap/>
            <w:hideMark/>
          </w:tcPr>
          <w:p w14:paraId="4ECACB6C" w14:textId="77777777" w:rsidR="00087B91" w:rsidRPr="002029AF" w:rsidRDefault="00087B91" w:rsidP="00860E95">
            <w:pPr>
              <w:pStyle w:val="ARfintablebodyrightbold"/>
            </w:pPr>
            <w:r w:rsidRPr="002029AF">
              <w:t>95.9</w:t>
            </w:r>
          </w:p>
        </w:tc>
      </w:tr>
    </w:tbl>
    <w:p w14:paraId="4D0D5DF4" w14:textId="620D0AA1" w:rsidR="00087B91" w:rsidRPr="002029AF" w:rsidRDefault="00087B91" w:rsidP="00087B91">
      <w:pPr>
        <w:pStyle w:val="ARfinbodyaftertable"/>
      </w:pPr>
      <w:r w:rsidRPr="002029AF">
        <w:t>Other</w:t>
      </w:r>
      <w:r w:rsidR="000A5329" w:rsidRPr="002029AF">
        <w:t xml:space="preserve"> </w:t>
      </w:r>
      <w:r w:rsidRPr="002029AF">
        <w:t>provisions</w:t>
      </w:r>
      <w:r w:rsidR="000A5329" w:rsidRPr="002029AF">
        <w:t xml:space="preserve"> </w:t>
      </w:r>
      <w:r w:rsidRPr="002029AF">
        <w:t>are</w:t>
      </w:r>
      <w:r w:rsidR="000A5329" w:rsidRPr="002029AF">
        <w:t xml:space="preserve"> </w:t>
      </w:r>
      <w:r w:rsidRPr="002029AF">
        <w:t>recognised</w:t>
      </w:r>
      <w:r w:rsidR="000A5329" w:rsidRPr="002029AF">
        <w:t xml:space="preserve"> </w:t>
      </w:r>
      <w:r w:rsidRPr="002029AF">
        <w:t>when</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a</w:t>
      </w:r>
      <w:r w:rsidR="000A5329" w:rsidRPr="002029AF">
        <w:t xml:space="preserve"> </w:t>
      </w:r>
      <w:r w:rsidRPr="002029AF">
        <w:t>present</w:t>
      </w:r>
      <w:r w:rsidR="000A5329" w:rsidRPr="002029AF">
        <w:t xml:space="preserve"> </w:t>
      </w:r>
      <w:r w:rsidRPr="002029AF">
        <w:t>obligation,</w:t>
      </w:r>
      <w:r w:rsidR="000A5329" w:rsidRPr="002029AF">
        <w:t xml:space="preserve"> </w:t>
      </w:r>
      <w:r w:rsidRPr="002029AF">
        <w:t>the</w:t>
      </w:r>
      <w:r w:rsidR="000A5329" w:rsidRPr="002029AF">
        <w:t xml:space="preserve"> </w:t>
      </w:r>
      <w:r w:rsidRPr="002029AF">
        <w:t>future</w:t>
      </w:r>
      <w:r w:rsidR="000A5329" w:rsidRPr="002029AF">
        <w:t xml:space="preserve"> </w:t>
      </w:r>
      <w:r w:rsidRPr="002029AF">
        <w:t>sacrifice</w:t>
      </w:r>
      <w:r w:rsidR="000A5329" w:rsidRPr="002029AF">
        <w:t xml:space="preserve"> </w:t>
      </w:r>
      <w:r w:rsidRPr="002029AF">
        <w:t>of</w:t>
      </w:r>
      <w:r w:rsidR="000A5329" w:rsidRPr="002029AF">
        <w:t xml:space="preserve"> </w:t>
      </w:r>
      <w:r w:rsidRPr="002029AF">
        <w:t>economic</w:t>
      </w:r>
      <w:r w:rsidR="000A5329" w:rsidRPr="002029AF">
        <w:t xml:space="preserve"> </w:t>
      </w:r>
      <w:r w:rsidRPr="002029AF">
        <w:t>benefits</w:t>
      </w:r>
      <w:r w:rsidR="000A5329" w:rsidRPr="002029AF">
        <w:t xml:space="preserve"> </w:t>
      </w:r>
      <w:r w:rsidRPr="002029AF">
        <w:t>is</w:t>
      </w:r>
      <w:r w:rsidR="000A5329" w:rsidRPr="002029AF">
        <w:t xml:space="preserve"> </w:t>
      </w:r>
      <w:r w:rsidRPr="002029AF">
        <w:t>probable,</w:t>
      </w:r>
      <w:r w:rsidR="000A5329" w:rsidRPr="002029AF">
        <w:t xml:space="preserve"> </w:t>
      </w:r>
      <w:r w:rsidRPr="002029AF">
        <w:t>and</w:t>
      </w:r>
      <w:r w:rsidR="000A5329" w:rsidRPr="002029AF">
        <w:t xml:space="preserve"> </w:t>
      </w:r>
      <w:r w:rsidRPr="002029AF">
        <w:t>the</w:t>
      </w:r>
      <w:r w:rsidR="000A5329" w:rsidRPr="002029AF">
        <w:t xml:space="preserve"> </w:t>
      </w:r>
      <w:r w:rsidRPr="002029AF">
        <w:t>amount</w:t>
      </w:r>
      <w:r w:rsidR="000A5329" w:rsidRPr="002029AF">
        <w:t xml:space="preserve"> </w:t>
      </w:r>
      <w:r w:rsidRPr="002029AF">
        <w:t>of</w:t>
      </w:r>
      <w:r w:rsidR="000A5329" w:rsidRPr="002029AF">
        <w:t xml:space="preserve"> </w:t>
      </w:r>
      <w:r w:rsidRPr="002029AF">
        <w:t>the</w:t>
      </w:r>
      <w:r w:rsidR="000A5329" w:rsidRPr="002029AF">
        <w:t xml:space="preserve"> </w:t>
      </w:r>
      <w:r w:rsidRPr="002029AF">
        <w:t>provision</w:t>
      </w:r>
      <w:r w:rsidR="000A5329" w:rsidRPr="002029AF">
        <w:t xml:space="preserve"> </w:t>
      </w:r>
      <w:r w:rsidRPr="002029AF">
        <w:t>can</w:t>
      </w:r>
      <w:r w:rsidR="000A5329" w:rsidRPr="002029AF">
        <w:t xml:space="preserve"> </w:t>
      </w:r>
      <w:r w:rsidRPr="002029AF">
        <w:t>be</w:t>
      </w:r>
      <w:r w:rsidR="000A5329" w:rsidRPr="002029AF">
        <w:t xml:space="preserve"> </w:t>
      </w:r>
      <w:r w:rsidRPr="002029AF">
        <w:t>measured</w:t>
      </w:r>
      <w:r w:rsidR="000A5329" w:rsidRPr="002029AF">
        <w:t xml:space="preserve"> </w:t>
      </w:r>
      <w:r w:rsidRPr="002029AF">
        <w:t>reliably.</w:t>
      </w:r>
      <w:r w:rsidR="000A5329" w:rsidRPr="002029AF">
        <w:t xml:space="preserve"> </w:t>
      </w:r>
      <w:r w:rsidRPr="002029AF">
        <w:t>The</w:t>
      </w:r>
      <w:r w:rsidR="000A5329" w:rsidRPr="002029AF">
        <w:t xml:space="preserve"> </w:t>
      </w:r>
      <w:r w:rsidRPr="002029AF">
        <w:t>amount</w:t>
      </w:r>
      <w:r w:rsidR="000A5329" w:rsidRPr="002029AF">
        <w:t xml:space="preserve"> </w:t>
      </w:r>
      <w:r w:rsidRPr="002029AF">
        <w:t>recognised</w:t>
      </w:r>
      <w:r w:rsidR="000A5329" w:rsidRPr="002029AF">
        <w:t xml:space="preserve"> </w:t>
      </w:r>
      <w:r w:rsidRPr="002029AF">
        <w:t>as</w:t>
      </w:r>
      <w:r w:rsidR="000A5329" w:rsidRPr="002029AF">
        <w:t xml:space="preserve"> </w:t>
      </w:r>
      <w:r w:rsidRPr="002029AF">
        <w:t>a</w:t>
      </w:r>
      <w:r w:rsidR="000A5329" w:rsidRPr="002029AF">
        <w:t xml:space="preserve"> </w:t>
      </w:r>
      <w:r w:rsidRPr="002029AF">
        <w:t>provision</w:t>
      </w:r>
      <w:r w:rsidR="000A5329" w:rsidRPr="002029AF">
        <w:t xml:space="preserve"> </w:t>
      </w:r>
      <w:r w:rsidRPr="002029AF">
        <w:t>is</w:t>
      </w:r>
      <w:r w:rsidR="000A5329" w:rsidRPr="002029AF">
        <w:t xml:space="preserve"> </w:t>
      </w:r>
      <w:r w:rsidRPr="002029AF">
        <w:t>the</w:t>
      </w:r>
      <w:r w:rsidR="000A5329" w:rsidRPr="002029AF">
        <w:t xml:space="preserve"> </w:t>
      </w:r>
      <w:r w:rsidRPr="002029AF">
        <w:t>best</w:t>
      </w:r>
      <w:r w:rsidR="000A5329" w:rsidRPr="002029AF">
        <w:t xml:space="preserve"> </w:t>
      </w:r>
      <w:r w:rsidRPr="002029AF">
        <w:t>estimate</w:t>
      </w:r>
      <w:r w:rsidR="000A5329" w:rsidRPr="002029AF">
        <w:t xml:space="preserve"> </w:t>
      </w:r>
      <w:r w:rsidRPr="002029AF">
        <w:t>of</w:t>
      </w:r>
      <w:r w:rsidR="000A5329" w:rsidRPr="002029AF">
        <w:t xml:space="preserve"> </w:t>
      </w:r>
      <w:r w:rsidRPr="002029AF">
        <w:t>the</w:t>
      </w:r>
      <w:r w:rsidR="000A5329" w:rsidRPr="002029AF">
        <w:t xml:space="preserve"> </w:t>
      </w:r>
      <w:r w:rsidRPr="002029AF">
        <w:t>consideration</w:t>
      </w:r>
      <w:r w:rsidR="000A5329" w:rsidRPr="002029AF">
        <w:t xml:space="preserve"> </w:t>
      </w:r>
      <w:r w:rsidRPr="002029AF">
        <w:t>required</w:t>
      </w:r>
      <w:r w:rsidR="000A5329" w:rsidRPr="002029AF">
        <w:t xml:space="preserve"> </w:t>
      </w:r>
      <w:r w:rsidRPr="002029AF">
        <w:t>to</w:t>
      </w:r>
      <w:r w:rsidR="000A5329" w:rsidRPr="002029AF">
        <w:t xml:space="preserve"> </w:t>
      </w:r>
      <w:r w:rsidRPr="002029AF">
        <w:t>settle</w:t>
      </w:r>
      <w:r w:rsidR="000A5329" w:rsidRPr="002029AF">
        <w:t xml:space="preserve"> </w:t>
      </w:r>
      <w:r w:rsidRPr="002029AF">
        <w:t>the</w:t>
      </w:r>
      <w:r w:rsidR="000A5329" w:rsidRPr="002029AF">
        <w:t xml:space="preserve"> </w:t>
      </w:r>
      <w:r w:rsidRPr="002029AF">
        <w:t>present</w:t>
      </w:r>
      <w:r w:rsidR="000A5329" w:rsidRPr="002029AF">
        <w:t xml:space="preserve"> </w:t>
      </w:r>
      <w:r w:rsidRPr="002029AF">
        <w:t>obligation</w:t>
      </w:r>
      <w:r w:rsidR="000A5329" w:rsidRPr="002029AF">
        <w:t xml:space="preserve"> </w:t>
      </w:r>
      <w:r w:rsidRPr="002029AF">
        <w:t>at</w:t>
      </w:r>
      <w:r w:rsidR="000A5329" w:rsidRPr="002029AF">
        <w:t xml:space="preserve"> </w:t>
      </w:r>
      <w:r w:rsidRPr="002029AF">
        <w:t>reporting</w:t>
      </w:r>
      <w:r w:rsidR="000A5329" w:rsidRPr="002029AF">
        <w:t xml:space="preserve"> </w:t>
      </w:r>
      <w:r w:rsidRPr="002029AF">
        <w:t>date,</w:t>
      </w:r>
      <w:r w:rsidR="000A5329" w:rsidRPr="002029AF">
        <w:t xml:space="preserve"> </w:t>
      </w:r>
      <w:r w:rsidRPr="002029AF">
        <w:t>taking</w:t>
      </w:r>
      <w:r w:rsidR="000A5329" w:rsidRPr="002029AF">
        <w:t xml:space="preserve"> </w:t>
      </w:r>
      <w:r w:rsidRPr="002029AF">
        <w:t>into</w:t>
      </w:r>
      <w:r w:rsidR="000A5329" w:rsidRPr="002029AF">
        <w:t xml:space="preserve"> </w:t>
      </w:r>
      <w:r w:rsidRPr="002029AF">
        <w:t>account</w:t>
      </w:r>
      <w:r w:rsidR="000A5329" w:rsidRPr="002029AF">
        <w:t xml:space="preserve"> </w:t>
      </w:r>
      <w:r w:rsidRPr="002029AF">
        <w:t>the</w:t>
      </w:r>
      <w:r w:rsidR="000A5329" w:rsidRPr="002029AF">
        <w:t xml:space="preserve"> </w:t>
      </w:r>
      <w:r w:rsidRPr="002029AF">
        <w:t>risks</w:t>
      </w:r>
      <w:r w:rsidR="000A5329" w:rsidRPr="002029AF">
        <w:t xml:space="preserve"> </w:t>
      </w:r>
      <w:r w:rsidRPr="002029AF">
        <w:t>and</w:t>
      </w:r>
      <w:r w:rsidR="000A5329" w:rsidRPr="002029AF">
        <w:t xml:space="preserve"> </w:t>
      </w:r>
      <w:r w:rsidRPr="002029AF">
        <w:t>uncertainties</w:t>
      </w:r>
      <w:r w:rsidR="000A5329" w:rsidRPr="002029AF">
        <w:t xml:space="preserve"> </w:t>
      </w:r>
      <w:r w:rsidRPr="002029AF">
        <w:t>surrounding</w:t>
      </w:r>
      <w:r w:rsidR="000A5329" w:rsidRPr="002029AF">
        <w:t xml:space="preserve"> </w:t>
      </w:r>
      <w:r w:rsidRPr="002029AF">
        <w:t>the</w:t>
      </w:r>
      <w:r w:rsidR="007920F7" w:rsidRPr="002029AF">
        <w:t> </w:t>
      </w:r>
      <w:r w:rsidRPr="002029AF">
        <w:t>obligation.</w:t>
      </w:r>
    </w:p>
    <w:p w14:paraId="14DA446B" w14:textId="27697034" w:rsidR="00087B91" w:rsidRPr="002029AF" w:rsidRDefault="00087B91" w:rsidP="00087B91">
      <w:pPr>
        <w:pStyle w:val="ARfinbody"/>
      </w:pPr>
      <w:r w:rsidRPr="002029AF">
        <w:t>Where</w:t>
      </w:r>
      <w:r w:rsidR="000A5329" w:rsidRPr="002029AF">
        <w:t xml:space="preserve"> </w:t>
      </w:r>
      <w:r w:rsidRPr="002029AF">
        <w:t>a</w:t>
      </w:r>
      <w:r w:rsidR="000A5329" w:rsidRPr="002029AF">
        <w:t xml:space="preserve"> </w:t>
      </w:r>
      <w:r w:rsidRPr="002029AF">
        <w:t>provision</w:t>
      </w:r>
      <w:r w:rsidR="000A5329" w:rsidRPr="002029AF">
        <w:t xml:space="preserve"> </w:t>
      </w:r>
      <w:r w:rsidRPr="002029AF">
        <w:t>is</w:t>
      </w:r>
      <w:r w:rsidR="000A5329" w:rsidRPr="002029AF">
        <w:t xml:space="preserve"> </w:t>
      </w:r>
      <w:r w:rsidRPr="002029AF">
        <w:t>measured</w:t>
      </w:r>
      <w:r w:rsidR="000A5329" w:rsidRPr="002029AF">
        <w:t xml:space="preserve"> </w:t>
      </w:r>
      <w:r w:rsidRPr="002029AF">
        <w:t>using</w:t>
      </w:r>
      <w:r w:rsidR="000A5329" w:rsidRPr="002029AF">
        <w:t xml:space="preserve"> </w:t>
      </w:r>
      <w:r w:rsidRPr="002029AF">
        <w:t>the</w:t>
      </w:r>
      <w:r w:rsidR="000A5329" w:rsidRPr="002029AF">
        <w:t xml:space="preserve"> </w:t>
      </w:r>
      <w:r w:rsidRPr="002029AF">
        <w:t>cash</w:t>
      </w:r>
      <w:r w:rsidR="000A5329" w:rsidRPr="002029AF">
        <w:t xml:space="preserve"> </w:t>
      </w:r>
      <w:r w:rsidRPr="002029AF">
        <w:t>flows</w:t>
      </w:r>
      <w:r w:rsidR="000A5329" w:rsidRPr="002029AF">
        <w:t xml:space="preserve"> </w:t>
      </w:r>
      <w:r w:rsidRPr="002029AF">
        <w:t>estimated</w:t>
      </w:r>
      <w:r w:rsidR="000A5329" w:rsidRPr="002029AF">
        <w:t xml:space="preserve"> </w:t>
      </w:r>
      <w:r w:rsidRPr="002029AF">
        <w:t>to</w:t>
      </w:r>
      <w:r w:rsidR="000A5329" w:rsidRPr="002029AF">
        <w:t xml:space="preserve"> </w:t>
      </w:r>
      <w:r w:rsidRPr="002029AF">
        <w:t>settle</w:t>
      </w:r>
      <w:r w:rsidR="000A5329" w:rsidRPr="002029AF">
        <w:t xml:space="preserve"> </w:t>
      </w:r>
      <w:r w:rsidRPr="002029AF">
        <w:t>the</w:t>
      </w:r>
      <w:r w:rsidR="000A5329" w:rsidRPr="002029AF">
        <w:t xml:space="preserve"> </w:t>
      </w:r>
      <w:r w:rsidRPr="002029AF">
        <w:t>present</w:t>
      </w:r>
      <w:r w:rsidR="000A5329" w:rsidRPr="002029AF">
        <w:t xml:space="preserve"> </w:t>
      </w:r>
      <w:r w:rsidRPr="002029AF">
        <w:t>obligation,</w:t>
      </w:r>
      <w:r w:rsidR="000A5329" w:rsidRPr="002029AF">
        <w:t xml:space="preserve"> </w:t>
      </w:r>
      <w:r w:rsidRPr="002029AF">
        <w:t>its</w:t>
      </w:r>
      <w:r w:rsidR="000A5329" w:rsidRPr="002029AF">
        <w:t xml:space="preserve"> </w:t>
      </w:r>
      <w:r w:rsidRPr="002029AF">
        <w:t>carrying</w:t>
      </w:r>
      <w:r w:rsidR="000A5329" w:rsidRPr="002029AF">
        <w:t xml:space="preserve"> </w:t>
      </w:r>
      <w:r w:rsidRPr="002029AF">
        <w:t>amount</w:t>
      </w:r>
      <w:r w:rsidR="000A5329" w:rsidRPr="002029AF">
        <w:t xml:space="preserve"> </w:t>
      </w:r>
      <w:r w:rsidRPr="002029AF">
        <w:t>is</w:t>
      </w:r>
      <w:r w:rsidR="000A5329" w:rsidRPr="002029AF">
        <w:t xml:space="preserve"> </w:t>
      </w:r>
      <w:r w:rsidRPr="002029AF">
        <w:t>the</w:t>
      </w:r>
      <w:r w:rsidR="000A5329" w:rsidRPr="002029AF">
        <w:t xml:space="preserve"> </w:t>
      </w:r>
      <w:r w:rsidRPr="002029AF">
        <w:t>present</w:t>
      </w:r>
      <w:r w:rsidR="000A5329" w:rsidRPr="002029AF">
        <w:t xml:space="preserve"> </w:t>
      </w:r>
      <w:r w:rsidRPr="002029AF">
        <w:t>value</w:t>
      </w:r>
      <w:r w:rsidR="000A5329" w:rsidRPr="002029AF">
        <w:t xml:space="preserve"> </w:t>
      </w:r>
      <w:r w:rsidRPr="002029AF">
        <w:t>of</w:t>
      </w:r>
      <w:r w:rsidR="000A5329" w:rsidRPr="002029AF">
        <w:t xml:space="preserve"> </w:t>
      </w:r>
      <w:r w:rsidRPr="002029AF">
        <w:t>those</w:t>
      </w:r>
      <w:r w:rsidR="000A5329" w:rsidRPr="002029AF">
        <w:t xml:space="preserve"> </w:t>
      </w:r>
      <w:r w:rsidRPr="002029AF">
        <w:t>cash</w:t>
      </w:r>
      <w:r w:rsidR="000A5329" w:rsidRPr="002029AF">
        <w:t xml:space="preserve"> </w:t>
      </w:r>
      <w:r w:rsidRPr="002029AF">
        <w:t>flows,</w:t>
      </w:r>
      <w:r w:rsidR="000A5329" w:rsidRPr="002029AF">
        <w:t xml:space="preserve"> </w:t>
      </w:r>
      <w:r w:rsidRPr="002029AF">
        <w:t>using</w:t>
      </w:r>
      <w:r w:rsidR="000A5329" w:rsidRPr="002029AF">
        <w:t xml:space="preserve"> </w:t>
      </w:r>
      <w:r w:rsidRPr="002029AF">
        <w:t>a</w:t>
      </w:r>
      <w:r w:rsidR="000A5329" w:rsidRPr="002029AF">
        <w:t xml:space="preserve"> </w:t>
      </w:r>
      <w:r w:rsidRPr="002029AF">
        <w:t>discount</w:t>
      </w:r>
      <w:r w:rsidR="000A5329" w:rsidRPr="002029AF">
        <w:t xml:space="preserve"> </w:t>
      </w:r>
      <w:r w:rsidRPr="002029AF">
        <w:t>rate</w:t>
      </w:r>
      <w:r w:rsidR="000A5329" w:rsidRPr="002029AF">
        <w:t xml:space="preserve"> </w:t>
      </w:r>
      <w:r w:rsidRPr="002029AF">
        <w:t>that</w:t>
      </w:r>
      <w:r w:rsidR="000A5329" w:rsidRPr="002029AF">
        <w:t xml:space="preserve"> </w:t>
      </w:r>
      <w:r w:rsidRPr="002029AF">
        <w:t>reflects</w:t>
      </w:r>
      <w:r w:rsidR="000A5329" w:rsidRPr="002029AF">
        <w:t xml:space="preserve"> </w:t>
      </w:r>
      <w:r w:rsidRPr="002029AF">
        <w:t>the</w:t>
      </w:r>
      <w:r w:rsidR="000A5329" w:rsidRPr="002029AF">
        <w:t xml:space="preserve"> </w:t>
      </w:r>
      <w:r w:rsidRPr="002029AF">
        <w:t>time</w:t>
      </w:r>
      <w:r w:rsidR="000A5329" w:rsidRPr="002029AF">
        <w:t xml:space="preserve"> </w:t>
      </w:r>
      <w:r w:rsidRPr="002029AF">
        <w:t>value</w:t>
      </w:r>
      <w:r w:rsidR="000A5329" w:rsidRPr="002029AF">
        <w:t xml:space="preserve"> </w:t>
      </w:r>
      <w:r w:rsidRPr="002029AF">
        <w:t>money</w:t>
      </w:r>
      <w:r w:rsidR="000A5329" w:rsidRPr="002029AF">
        <w:t xml:space="preserve"> </w:t>
      </w:r>
      <w:r w:rsidRPr="002029AF">
        <w:t>and</w:t>
      </w:r>
      <w:r w:rsidR="000A5329" w:rsidRPr="002029AF">
        <w:t xml:space="preserve"> </w:t>
      </w:r>
      <w:r w:rsidRPr="002029AF">
        <w:t>risks</w:t>
      </w:r>
      <w:r w:rsidR="000A5329" w:rsidRPr="002029AF">
        <w:t xml:space="preserve"> </w:t>
      </w:r>
      <w:r w:rsidRPr="002029AF">
        <w:t>specific</w:t>
      </w:r>
      <w:r w:rsidR="000A5329" w:rsidRPr="002029AF">
        <w:t xml:space="preserve"> </w:t>
      </w:r>
      <w:r w:rsidRPr="002029AF">
        <w:t>to</w:t>
      </w:r>
      <w:r w:rsidR="000A5329" w:rsidRPr="002029AF">
        <w:t xml:space="preserve"> </w:t>
      </w:r>
      <w:r w:rsidRPr="002029AF">
        <w:t>the</w:t>
      </w:r>
      <w:r w:rsidR="000A5329" w:rsidRPr="002029AF">
        <w:t xml:space="preserve"> </w:t>
      </w:r>
      <w:r w:rsidRPr="002029AF">
        <w:t>provision.</w:t>
      </w:r>
    </w:p>
    <w:p w14:paraId="147F6A21" w14:textId="1C97B77E" w:rsidR="00087B91" w:rsidRPr="002029AF" w:rsidRDefault="00087B91" w:rsidP="00087B91">
      <w:pPr>
        <w:pStyle w:val="Heading5"/>
      </w:pPr>
      <w:r w:rsidRPr="002029AF">
        <w:t>6.5.1</w:t>
      </w:r>
      <w:r w:rsidR="000A5329" w:rsidRPr="002029AF">
        <w:t xml:space="preserve"> </w:t>
      </w:r>
      <w:r w:rsidRPr="002029AF">
        <w:t>Reconciliation</w:t>
      </w:r>
      <w:r w:rsidR="000A5329" w:rsidRPr="002029AF">
        <w:t xml:space="preserve"> </w:t>
      </w:r>
      <w:r w:rsidRPr="002029AF">
        <w:t>of</w:t>
      </w:r>
      <w:r w:rsidR="000A5329" w:rsidRPr="002029AF">
        <w:t xml:space="preserve"> </w:t>
      </w:r>
      <w:r w:rsidRPr="002029AF">
        <w:t>movements</w:t>
      </w:r>
      <w:r w:rsidR="000A5329" w:rsidRPr="002029AF">
        <w:t xml:space="preserve"> </w:t>
      </w:r>
      <w:r w:rsidRPr="002029AF">
        <w:t>in</w:t>
      </w:r>
      <w:r w:rsidR="000A5329" w:rsidRPr="002029AF">
        <w:t xml:space="preserve"> </w:t>
      </w:r>
      <w:r w:rsidRPr="002029AF">
        <w:t>other</w:t>
      </w:r>
      <w:r w:rsidR="000A5329" w:rsidRPr="002029AF">
        <w:t xml:space="preserve"> </w:t>
      </w:r>
      <w:r w:rsidRPr="002029AF">
        <w:t>provisions</w:t>
      </w:r>
    </w:p>
    <w:tbl>
      <w:tblPr>
        <w:tblStyle w:val="TableGrid"/>
        <w:tblW w:w="9637" w:type="dxa"/>
        <w:tblLayout w:type="fixed"/>
        <w:tblLook w:val="06A0" w:firstRow="1" w:lastRow="0" w:firstColumn="1" w:lastColumn="0" w:noHBand="1" w:noVBand="1"/>
      </w:tblPr>
      <w:tblGrid>
        <w:gridCol w:w="6235"/>
        <w:gridCol w:w="1134"/>
        <w:gridCol w:w="1134"/>
        <w:gridCol w:w="1134"/>
      </w:tblGrid>
      <w:tr w:rsidR="00087B91" w:rsidRPr="002029AF" w14:paraId="5B3AB398" w14:textId="77777777" w:rsidTr="00ED163A">
        <w:trPr>
          <w:cnfStyle w:val="100000000000" w:firstRow="1" w:lastRow="0" w:firstColumn="0" w:lastColumn="0" w:oddVBand="0" w:evenVBand="0" w:oddHBand="0" w:evenHBand="0" w:firstRowFirstColumn="0" w:firstRowLastColumn="0" w:lastRowFirstColumn="0" w:lastRowLastColumn="0"/>
          <w:trHeight w:val="255"/>
          <w:tblHeader/>
        </w:trPr>
        <w:tc>
          <w:tcPr>
            <w:tcW w:w="6237" w:type="dxa"/>
            <w:tcBorders>
              <w:bottom w:val="single" w:sz="4" w:space="0" w:color="auto"/>
            </w:tcBorders>
            <w:hideMark/>
          </w:tcPr>
          <w:p w14:paraId="771742BC" w14:textId="77777777" w:rsidR="00087B91" w:rsidRPr="002029AF" w:rsidRDefault="00087B91" w:rsidP="00860E95">
            <w:pPr>
              <w:pStyle w:val="ARfintablecolhead"/>
            </w:pPr>
          </w:p>
        </w:tc>
        <w:tc>
          <w:tcPr>
            <w:tcW w:w="1134" w:type="dxa"/>
            <w:tcBorders>
              <w:bottom w:val="single" w:sz="4" w:space="0" w:color="auto"/>
            </w:tcBorders>
            <w:hideMark/>
          </w:tcPr>
          <w:p w14:paraId="526822D4" w14:textId="27904EC3" w:rsidR="00087B91" w:rsidRPr="002029AF" w:rsidRDefault="00087B91" w:rsidP="00860E95">
            <w:pPr>
              <w:pStyle w:val="ARfintablecolheadright"/>
            </w:pPr>
            <w:r w:rsidRPr="002029AF">
              <w:t>Make-good</w:t>
            </w:r>
            <w:r w:rsidR="000A5329" w:rsidRPr="002029AF">
              <w:t xml:space="preserve"> </w:t>
            </w:r>
            <w:r w:rsidRPr="002029AF">
              <w:br/>
              <w:t>2020</w:t>
            </w:r>
          </w:p>
          <w:p w14:paraId="000CF4AA" w14:textId="77777777" w:rsidR="00087B91" w:rsidRPr="002029AF" w:rsidRDefault="00087B91" w:rsidP="00860E95">
            <w:pPr>
              <w:pStyle w:val="ARfintablecolheadright"/>
            </w:pPr>
            <w:r w:rsidRPr="002029AF">
              <w:t>$M</w:t>
            </w:r>
          </w:p>
        </w:tc>
        <w:tc>
          <w:tcPr>
            <w:tcW w:w="1134" w:type="dxa"/>
            <w:tcBorders>
              <w:bottom w:val="single" w:sz="4" w:space="0" w:color="auto"/>
            </w:tcBorders>
            <w:hideMark/>
          </w:tcPr>
          <w:p w14:paraId="0C12C27A" w14:textId="03D0AEF5" w:rsidR="00087B91" w:rsidRPr="002029AF" w:rsidRDefault="00087B91" w:rsidP="00860E95">
            <w:pPr>
              <w:pStyle w:val="ARfintablecolheadright"/>
            </w:pPr>
            <w:r w:rsidRPr="002029AF">
              <w:t>Insurance</w:t>
            </w:r>
            <w:r w:rsidR="000A5329" w:rsidRPr="002029AF">
              <w:t xml:space="preserve"> </w:t>
            </w:r>
            <w:r w:rsidRPr="002029AF">
              <w:t>claims</w:t>
            </w:r>
            <w:r w:rsidRPr="002029AF">
              <w:br/>
              <w:t>2020</w:t>
            </w:r>
          </w:p>
          <w:p w14:paraId="46BB75F2" w14:textId="77777777" w:rsidR="00087B91" w:rsidRPr="002029AF" w:rsidRDefault="00087B91" w:rsidP="00860E95">
            <w:pPr>
              <w:pStyle w:val="ARfintablecolheadright"/>
            </w:pPr>
            <w:r w:rsidRPr="002029AF">
              <w:t>$M</w:t>
            </w:r>
          </w:p>
        </w:tc>
        <w:tc>
          <w:tcPr>
            <w:tcW w:w="1134" w:type="dxa"/>
            <w:tcBorders>
              <w:bottom w:val="single" w:sz="4" w:space="0" w:color="auto"/>
            </w:tcBorders>
            <w:hideMark/>
          </w:tcPr>
          <w:p w14:paraId="20A8B22E" w14:textId="316E33C1" w:rsidR="00087B91" w:rsidRPr="002029AF" w:rsidRDefault="00087B91" w:rsidP="00860E95">
            <w:pPr>
              <w:pStyle w:val="ARfintablecolheadright"/>
            </w:pPr>
            <w:r w:rsidRPr="002029AF">
              <w:t>Total</w:t>
            </w:r>
            <w:r w:rsidR="000A5329" w:rsidRPr="002029AF">
              <w:t xml:space="preserve"> </w:t>
            </w:r>
            <w:r w:rsidRPr="002029AF">
              <w:br/>
              <w:t>2020</w:t>
            </w:r>
          </w:p>
          <w:p w14:paraId="02C85A3E" w14:textId="77777777" w:rsidR="00087B91" w:rsidRPr="002029AF" w:rsidRDefault="00087B91" w:rsidP="00860E95">
            <w:pPr>
              <w:pStyle w:val="ARfintablecolheadright"/>
            </w:pPr>
            <w:r w:rsidRPr="002029AF">
              <w:t>$M</w:t>
            </w:r>
          </w:p>
        </w:tc>
      </w:tr>
      <w:tr w:rsidR="00087B91" w:rsidRPr="002029AF" w14:paraId="13A19EC4" w14:textId="77777777" w:rsidTr="00860E95">
        <w:trPr>
          <w:trHeight w:val="255"/>
        </w:trPr>
        <w:tc>
          <w:tcPr>
            <w:tcW w:w="6237" w:type="dxa"/>
            <w:tcBorders>
              <w:top w:val="single" w:sz="4" w:space="0" w:color="auto"/>
              <w:bottom w:val="single" w:sz="4" w:space="0" w:color="A6A6A6"/>
            </w:tcBorders>
            <w:hideMark/>
          </w:tcPr>
          <w:p w14:paraId="7608BB77" w14:textId="655E7796" w:rsidR="00087B91" w:rsidRPr="002029AF" w:rsidRDefault="00087B91" w:rsidP="00860E95">
            <w:pPr>
              <w:pStyle w:val="ARfintablebodybold"/>
            </w:pPr>
            <w:r w:rsidRPr="002029AF">
              <w:t>Opening</w:t>
            </w:r>
            <w:r w:rsidR="000A5329" w:rsidRPr="002029AF">
              <w:t xml:space="preserve"> </w:t>
            </w:r>
            <w:r w:rsidRPr="002029AF">
              <w:t>balance</w:t>
            </w:r>
          </w:p>
        </w:tc>
        <w:tc>
          <w:tcPr>
            <w:tcW w:w="1134" w:type="dxa"/>
            <w:tcBorders>
              <w:top w:val="single" w:sz="4" w:space="0" w:color="auto"/>
              <w:bottom w:val="single" w:sz="4" w:space="0" w:color="A6A6A6"/>
            </w:tcBorders>
            <w:noWrap/>
            <w:hideMark/>
          </w:tcPr>
          <w:p w14:paraId="480CAEA1" w14:textId="77777777" w:rsidR="00087B91" w:rsidRPr="002029AF" w:rsidRDefault="00087B91" w:rsidP="00860E95">
            <w:pPr>
              <w:pStyle w:val="ARfintablebodyrightbold"/>
            </w:pPr>
            <w:r w:rsidRPr="002029AF">
              <w:t>2.9</w:t>
            </w:r>
          </w:p>
        </w:tc>
        <w:tc>
          <w:tcPr>
            <w:tcW w:w="1134" w:type="dxa"/>
            <w:tcBorders>
              <w:top w:val="single" w:sz="4" w:space="0" w:color="auto"/>
              <w:bottom w:val="single" w:sz="4" w:space="0" w:color="A6A6A6"/>
            </w:tcBorders>
            <w:noWrap/>
            <w:hideMark/>
          </w:tcPr>
          <w:p w14:paraId="29942DA2" w14:textId="77777777" w:rsidR="00087B91" w:rsidRPr="002029AF" w:rsidRDefault="00087B91" w:rsidP="00860E95">
            <w:pPr>
              <w:pStyle w:val="ARfintablebodyrightbold"/>
            </w:pPr>
            <w:r w:rsidRPr="002029AF">
              <w:t>93.0</w:t>
            </w:r>
          </w:p>
        </w:tc>
        <w:tc>
          <w:tcPr>
            <w:tcW w:w="1134" w:type="dxa"/>
            <w:tcBorders>
              <w:top w:val="single" w:sz="4" w:space="0" w:color="auto"/>
              <w:bottom w:val="single" w:sz="4" w:space="0" w:color="A6A6A6"/>
            </w:tcBorders>
            <w:noWrap/>
            <w:hideMark/>
          </w:tcPr>
          <w:p w14:paraId="34A75CD8" w14:textId="77777777" w:rsidR="00087B91" w:rsidRPr="002029AF" w:rsidRDefault="00087B91" w:rsidP="00860E95">
            <w:pPr>
              <w:pStyle w:val="ARfintablebodyrightbold"/>
            </w:pPr>
            <w:r w:rsidRPr="002029AF">
              <w:t>95.9</w:t>
            </w:r>
          </w:p>
        </w:tc>
      </w:tr>
      <w:tr w:rsidR="00087B91" w:rsidRPr="002029AF" w14:paraId="0DCDBF11" w14:textId="77777777" w:rsidTr="00860E95">
        <w:trPr>
          <w:trHeight w:val="255"/>
        </w:trPr>
        <w:tc>
          <w:tcPr>
            <w:tcW w:w="6237" w:type="dxa"/>
            <w:tcBorders>
              <w:top w:val="single" w:sz="4" w:space="0" w:color="A6A6A6"/>
              <w:bottom w:val="single" w:sz="4" w:space="0" w:color="A6A6A6"/>
            </w:tcBorders>
            <w:hideMark/>
          </w:tcPr>
          <w:p w14:paraId="3A5485F1" w14:textId="47D65A2D" w:rsidR="00087B91" w:rsidRPr="002029AF" w:rsidRDefault="00087B91" w:rsidP="00860E95">
            <w:pPr>
              <w:pStyle w:val="ARfintablebody"/>
            </w:pPr>
            <w:r w:rsidRPr="002029AF">
              <w:t>Additional</w:t>
            </w:r>
            <w:r w:rsidR="000A5329" w:rsidRPr="002029AF">
              <w:t xml:space="preserve"> </w:t>
            </w:r>
            <w:r w:rsidRPr="002029AF">
              <w:t>provisions</w:t>
            </w:r>
            <w:r w:rsidR="000A5329" w:rsidRPr="002029AF">
              <w:t xml:space="preserve"> </w:t>
            </w:r>
            <w:r w:rsidRPr="002029AF">
              <w:t>recognised</w:t>
            </w:r>
          </w:p>
        </w:tc>
        <w:tc>
          <w:tcPr>
            <w:tcW w:w="1134" w:type="dxa"/>
            <w:tcBorders>
              <w:top w:val="single" w:sz="4" w:space="0" w:color="A6A6A6"/>
              <w:bottom w:val="single" w:sz="4" w:space="0" w:color="A6A6A6"/>
            </w:tcBorders>
            <w:noWrap/>
            <w:hideMark/>
          </w:tcPr>
          <w:p w14:paraId="57A345FE" w14:textId="77777777" w:rsidR="00087B91" w:rsidRPr="002029AF" w:rsidRDefault="00087B91" w:rsidP="00860E95">
            <w:pPr>
              <w:pStyle w:val="ARfintablebodyright"/>
            </w:pPr>
            <w:r w:rsidRPr="002029AF">
              <w:t>1.6</w:t>
            </w:r>
          </w:p>
        </w:tc>
        <w:tc>
          <w:tcPr>
            <w:tcW w:w="1134" w:type="dxa"/>
            <w:tcBorders>
              <w:top w:val="single" w:sz="4" w:space="0" w:color="A6A6A6"/>
              <w:bottom w:val="single" w:sz="4" w:space="0" w:color="A6A6A6"/>
            </w:tcBorders>
            <w:noWrap/>
            <w:hideMark/>
          </w:tcPr>
          <w:p w14:paraId="2DC0FA24"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5F48FAE3" w14:textId="77777777" w:rsidR="00087B91" w:rsidRPr="002029AF" w:rsidRDefault="00087B91" w:rsidP="00860E95">
            <w:pPr>
              <w:pStyle w:val="ARfintablebodyright"/>
            </w:pPr>
            <w:r w:rsidRPr="002029AF">
              <w:t>1.6</w:t>
            </w:r>
          </w:p>
        </w:tc>
      </w:tr>
      <w:tr w:rsidR="00087B91" w:rsidRPr="002029AF" w14:paraId="0BF9D1A9" w14:textId="77777777" w:rsidTr="00860E95">
        <w:trPr>
          <w:trHeight w:val="255"/>
        </w:trPr>
        <w:tc>
          <w:tcPr>
            <w:tcW w:w="6237" w:type="dxa"/>
            <w:tcBorders>
              <w:top w:val="single" w:sz="4" w:space="0" w:color="A6A6A6"/>
              <w:bottom w:val="single" w:sz="4" w:space="0" w:color="A6A6A6"/>
            </w:tcBorders>
            <w:hideMark/>
          </w:tcPr>
          <w:p w14:paraId="2927B888" w14:textId="72B8383C" w:rsidR="00087B91" w:rsidRPr="002029AF" w:rsidRDefault="00087B91" w:rsidP="00860E95">
            <w:pPr>
              <w:pStyle w:val="ARfintablebody"/>
            </w:pPr>
            <w:r w:rsidRPr="002029AF">
              <w:t>Reductions</w:t>
            </w:r>
            <w:r w:rsidR="000A5329" w:rsidRPr="002029AF">
              <w:t xml:space="preserve"> </w:t>
            </w:r>
            <w:r w:rsidRPr="002029AF">
              <w:t>arising</w:t>
            </w:r>
            <w:r w:rsidR="000A5329" w:rsidRPr="002029AF">
              <w:t xml:space="preserve"> </w:t>
            </w:r>
            <w:r w:rsidRPr="002029AF">
              <w:t>from</w:t>
            </w:r>
            <w:r w:rsidR="000A5329" w:rsidRPr="002029AF">
              <w:t xml:space="preserve"> </w:t>
            </w:r>
            <w:r w:rsidRPr="002029AF">
              <w:t>payments/claims</w:t>
            </w:r>
            <w:r w:rsidR="000A5329" w:rsidRPr="002029AF">
              <w:t xml:space="preserve"> </w:t>
            </w:r>
            <w:r w:rsidRPr="002029AF">
              <w:t>handling</w:t>
            </w:r>
            <w:r w:rsidR="000A5329" w:rsidRPr="002029AF">
              <w:t xml:space="preserve"> </w:t>
            </w:r>
            <w:r w:rsidRPr="002029AF">
              <w:t>expenses/other</w:t>
            </w:r>
            <w:r w:rsidR="000A5329" w:rsidRPr="002029AF">
              <w:t xml:space="preserve"> </w:t>
            </w:r>
            <w:r w:rsidRPr="002029AF">
              <w:t>sacrifices</w:t>
            </w:r>
            <w:r w:rsidR="000A5329" w:rsidRPr="002029AF">
              <w:t xml:space="preserve"> </w:t>
            </w:r>
            <w:r w:rsidRPr="002029AF">
              <w:t>of</w:t>
            </w:r>
            <w:r w:rsidR="000A5329" w:rsidRPr="002029AF">
              <w:t xml:space="preserve"> </w:t>
            </w:r>
            <w:r w:rsidRPr="002029AF">
              <w:t>future</w:t>
            </w:r>
            <w:r w:rsidR="000A5329" w:rsidRPr="002029AF">
              <w:t xml:space="preserve"> </w:t>
            </w:r>
            <w:r w:rsidRPr="002029AF">
              <w:t>economic</w:t>
            </w:r>
            <w:r w:rsidR="000A5329" w:rsidRPr="002029AF">
              <w:t xml:space="preserve"> </w:t>
            </w:r>
            <w:r w:rsidRPr="002029AF">
              <w:t>benefits</w:t>
            </w:r>
          </w:p>
        </w:tc>
        <w:tc>
          <w:tcPr>
            <w:tcW w:w="1134" w:type="dxa"/>
            <w:tcBorders>
              <w:top w:val="single" w:sz="4" w:space="0" w:color="A6A6A6"/>
              <w:bottom w:val="single" w:sz="4" w:space="0" w:color="A6A6A6"/>
            </w:tcBorders>
            <w:noWrap/>
            <w:hideMark/>
          </w:tcPr>
          <w:p w14:paraId="73DF0C93"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4EF25511" w14:textId="77777777" w:rsidR="00087B91" w:rsidRPr="002029AF" w:rsidRDefault="00087B91" w:rsidP="00860E95">
            <w:pPr>
              <w:pStyle w:val="ARfintablebodyright"/>
            </w:pPr>
            <w:r w:rsidRPr="002029AF">
              <w:t>(45.0)</w:t>
            </w:r>
          </w:p>
        </w:tc>
        <w:tc>
          <w:tcPr>
            <w:tcW w:w="1134" w:type="dxa"/>
            <w:tcBorders>
              <w:top w:val="single" w:sz="4" w:space="0" w:color="A6A6A6"/>
              <w:bottom w:val="single" w:sz="4" w:space="0" w:color="A6A6A6"/>
            </w:tcBorders>
            <w:noWrap/>
            <w:hideMark/>
          </w:tcPr>
          <w:p w14:paraId="41B65C25" w14:textId="77777777" w:rsidR="00087B91" w:rsidRPr="002029AF" w:rsidRDefault="00087B91" w:rsidP="00860E95">
            <w:pPr>
              <w:pStyle w:val="ARfintablebodyright"/>
            </w:pPr>
            <w:r w:rsidRPr="002029AF">
              <w:t>(45.0)</w:t>
            </w:r>
          </w:p>
        </w:tc>
      </w:tr>
      <w:tr w:rsidR="00087B91" w:rsidRPr="002029AF" w14:paraId="5A42E331" w14:textId="77777777" w:rsidTr="00860E95">
        <w:trPr>
          <w:trHeight w:val="255"/>
        </w:trPr>
        <w:tc>
          <w:tcPr>
            <w:tcW w:w="6237" w:type="dxa"/>
            <w:tcBorders>
              <w:top w:val="single" w:sz="4" w:space="0" w:color="A6A6A6"/>
              <w:bottom w:val="single" w:sz="4" w:space="0" w:color="A6A6A6"/>
            </w:tcBorders>
            <w:hideMark/>
          </w:tcPr>
          <w:p w14:paraId="09ECE82F" w14:textId="40E43AE6" w:rsidR="00087B91" w:rsidRPr="002029AF" w:rsidRDefault="00087B91" w:rsidP="00860E95">
            <w:pPr>
              <w:pStyle w:val="ARfintablebody"/>
            </w:pPr>
            <w:r w:rsidRPr="002029AF">
              <w:t>Actuarial</w:t>
            </w:r>
            <w:r w:rsidR="000A5329" w:rsidRPr="002029AF">
              <w:t xml:space="preserve"> </w:t>
            </w:r>
            <w:r w:rsidRPr="002029AF">
              <w:t>revaluations</w:t>
            </w:r>
            <w:r w:rsidR="000A5329" w:rsidRPr="002029AF">
              <w:t xml:space="preserve"> </w:t>
            </w:r>
            <w:r w:rsidRPr="002029AF">
              <w:t>of</w:t>
            </w:r>
            <w:r w:rsidR="000A5329" w:rsidRPr="002029AF">
              <w:t xml:space="preserve"> </w:t>
            </w:r>
            <w:r w:rsidRPr="002029AF">
              <w:t>insurance</w:t>
            </w:r>
            <w:r w:rsidR="000A5329" w:rsidRPr="002029AF">
              <w:t xml:space="preserve"> </w:t>
            </w:r>
            <w:r w:rsidRPr="002029AF">
              <w:t>claims</w:t>
            </w:r>
            <w:r w:rsidR="000A5329" w:rsidRPr="002029AF">
              <w:t xml:space="preserve"> </w:t>
            </w:r>
            <w:r w:rsidRPr="002029AF">
              <w:t>liability</w:t>
            </w:r>
            <w:r w:rsidR="000A5329" w:rsidRPr="002029AF">
              <w:t xml:space="preserve"> </w:t>
            </w:r>
            <w:r w:rsidRPr="002029AF">
              <w:t>inclusive</w:t>
            </w:r>
            <w:r w:rsidR="000A5329" w:rsidRPr="002029AF">
              <w:t xml:space="preserve"> </w:t>
            </w:r>
            <w:r w:rsidRPr="002029AF">
              <w:t>of</w:t>
            </w:r>
            <w:r w:rsidR="000A5329" w:rsidRPr="002029AF">
              <w:t xml:space="preserve"> </w:t>
            </w:r>
            <w:r w:rsidRPr="002029AF">
              <w:t>risk</w:t>
            </w:r>
            <w:r w:rsidR="000A5329" w:rsidRPr="002029AF">
              <w:t xml:space="preserve"> </w:t>
            </w:r>
            <w:r w:rsidRPr="002029AF">
              <w:t>margin</w:t>
            </w:r>
          </w:p>
        </w:tc>
        <w:tc>
          <w:tcPr>
            <w:tcW w:w="1134" w:type="dxa"/>
            <w:tcBorders>
              <w:top w:val="single" w:sz="4" w:space="0" w:color="A6A6A6"/>
              <w:bottom w:val="single" w:sz="4" w:space="0" w:color="A6A6A6"/>
            </w:tcBorders>
            <w:noWrap/>
            <w:hideMark/>
          </w:tcPr>
          <w:p w14:paraId="609417DB"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2C642306" w14:textId="77777777" w:rsidR="00087B91" w:rsidRPr="002029AF" w:rsidRDefault="00087B91" w:rsidP="00860E95">
            <w:pPr>
              <w:pStyle w:val="ARfintablebodyright"/>
            </w:pPr>
            <w:r w:rsidRPr="002029AF">
              <w:t>71.5</w:t>
            </w:r>
          </w:p>
        </w:tc>
        <w:tc>
          <w:tcPr>
            <w:tcW w:w="1134" w:type="dxa"/>
            <w:tcBorders>
              <w:top w:val="single" w:sz="4" w:space="0" w:color="A6A6A6"/>
              <w:bottom w:val="single" w:sz="4" w:space="0" w:color="A6A6A6"/>
            </w:tcBorders>
            <w:noWrap/>
            <w:hideMark/>
          </w:tcPr>
          <w:p w14:paraId="18A05754" w14:textId="77777777" w:rsidR="00087B91" w:rsidRPr="002029AF" w:rsidRDefault="00087B91" w:rsidP="00860E95">
            <w:pPr>
              <w:pStyle w:val="ARfintablebodyright"/>
            </w:pPr>
            <w:r w:rsidRPr="002029AF">
              <w:t>71.5</w:t>
            </w:r>
          </w:p>
        </w:tc>
      </w:tr>
      <w:tr w:rsidR="00087B91" w:rsidRPr="002029AF" w14:paraId="66823665" w14:textId="77777777" w:rsidTr="00860E95">
        <w:trPr>
          <w:trHeight w:val="255"/>
        </w:trPr>
        <w:tc>
          <w:tcPr>
            <w:tcW w:w="6237" w:type="dxa"/>
            <w:tcBorders>
              <w:top w:val="single" w:sz="4" w:space="0" w:color="A6A6A6"/>
            </w:tcBorders>
            <w:hideMark/>
          </w:tcPr>
          <w:p w14:paraId="5312B90C" w14:textId="2DB1DE7C" w:rsidR="00087B91" w:rsidRPr="002029AF" w:rsidRDefault="00087B91" w:rsidP="00860E95">
            <w:pPr>
              <w:pStyle w:val="ARfintablebody"/>
            </w:pPr>
            <w:r w:rsidRPr="002029AF">
              <w:t>Unwind</w:t>
            </w:r>
            <w:r w:rsidR="000A5329" w:rsidRPr="002029AF">
              <w:t xml:space="preserve"> </w:t>
            </w:r>
            <w:r w:rsidRPr="002029AF">
              <w:t>of</w:t>
            </w:r>
            <w:r w:rsidR="000A5329" w:rsidRPr="002029AF">
              <w:t xml:space="preserve"> </w:t>
            </w:r>
            <w:r w:rsidRPr="002029AF">
              <w:t>discount</w:t>
            </w:r>
            <w:r w:rsidR="000A5329" w:rsidRPr="002029AF">
              <w:t xml:space="preserve"> </w:t>
            </w:r>
            <w:r w:rsidRPr="002029AF">
              <w:t>and</w:t>
            </w:r>
            <w:r w:rsidR="000A5329" w:rsidRPr="002029AF">
              <w:t xml:space="preserve"> </w:t>
            </w:r>
            <w:r w:rsidRPr="002029AF">
              <w:t>effect</w:t>
            </w:r>
            <w:r w:rsidR="000A5329" w:rsidRPr="002029AF">
              <w:t xml:space="preserve"> </w:t>
            </w:r>
            <w:r w:rsidRPr="002029AF">
              <w:t>of</w:t>
            </w:r>
            <w:r w:rsidR="000A5329" w:rsidRPr="002029AF">
              <w:t xml:space="preserve"> </w:t>
            </w:r>
            <w:r w:rsidRPr="002029AF">
              <w:t>changes</w:t>
            </w:r>
            <w:r w:rsidR="000A5329" w:rsidRPr="002029AF">
              <w:t xml:space="preserve"> </w:t>
            </w:r>
            <w:r w:rsidRPr="002029AF">
              <w:t>in</w:t>
            </w:r>
            <w:r w:rsidR="000A5329" w:rsidRPr="002029AF">
              <w:t xml:space="preserve"> </w:t>
            </w:r>
            <w:r w:rsidRPr="002029AF">
              <w:t>the</w:t>
            </w:r>
            <w:r w:rsidR="000A5329" w:rsidRPr="002029AF">
              <w:t xml:space="preserve"> </w:t>
            </w:r>
            <w:r w:rsidRPr="002029AF">
              <w:t>discount</w:t>
            </w:r>
            <w:r w:rsidR="000A5329" w:rsidRPr="002029AF">
              <w:t xml:space="preserve"> </w:t>
            </w:r>
            <w:r w:rsidRPr="002029AF">
              <w:t>rate</w:t>
            </w:r>
          </w:p>
        </w:tc>
        <w:tc>
          <w:tcPr>
            <w:tcW w:w="1134" w:type="dxa"/>
            <w:tcBorders>
              <w:top w:val="single" w:sz="4" w:space="0" w:color="A6A6A6"/>
            </w:tcBorders>
            <w:noWrap/>
            <w:hideMark/>
          </w:tcPr>
          <w:p w14:paraId="1051F0EE" w14:textId="77777777" w:rsidR="00087B91" w:rsidRPr="002029AF" w:rsidRDefault="00087B91" w:rsidP="00860E95">
            <w:pPr>
              <w:pStyle w:val="ARfintablebodyright"/>
            </w:pPr>
            <w:r w:rsidRPr="002029AF">
              <w:t>–</w:t>
            </w:r>
          </w:p>
        </w:tc>
        <w:tc>
          <w:tcPr>
            <w:tcW w:w="1134" w:type="dxa"/>
            <w:tcBorders>
              <w:top w:val="single" w:sz="4" w:space="0" w:color="A6A6A6"/>
            </w:tcBorders>
            <w:noWrap/>
            <w:hideMark/>
          </w:tcPr>
          <w:p w14:paraId="32949FB2" w14:textId="77777777" w:rsidR="00087B91" w:rsidRPr="002029AF" w:rsidRDefault="00087B91" w:rsidP="00860E95">
            <w:pPr>
              <w:pStyle w:val="ARfintablebodyright"/>
            </w:pPr>
            <w:r w:rsidRPr="002029AF">
              <w:t>0.9</w:t>
            </w:r>
          </w:p>
        </w:tc>
        <w:tc>
          <w:tcPr>
            <w:tcW w:w="1134" w:type="dxa"/>
            <w:tcBorders>
              <w:top w:val="single" w:sz="4" w:space="0" w:color="A6A6A6"/>
            </w:tcBorders>
            <w:noWrap/>
            <w:hideMark/>
          </w:tcPr>
          <w:p w14:paraId="0ABF4336" w14:textId="77777777" w:rsidR="00087B91" w:rsidRPr="002029AF" w:rsidRDefault="00087B91" w:rsidP="00860E95">
            <w:pPr>
              <w:pStyle w:val="ARfintablebodyright"/>
            </w:pPr>
            <w:r w:rsidRPr="002029AF">
              <w:t>0.9</w:t>
            </w:r>
          </w:p>
        </w:tc>
      </w:tr>
      <w:tr w:rsidR="00087B91" w:rsidRPr="002029AF" w14:paraId="3D6FF8DF" w14:textId="77777777" w:rsidTr="00860E95">
        <w:trPr>
          <w:trHeight w:val="255"/>
        </w:trPr>
        <w:tc>
          <w:tcPr>
            <w:tcW w:w="6237" w:type="dxa"/>
            <w:hideMark/>
          </w:tcPr>
          <w:p w14:paraId="2C6DC158" w14:textId="6FE90342" w:rsidR="00087B91" w:rsidRPr="002029AF" w:rsidRDefault="00087B91" w:rsidP="00860E95">
            <w:pPr>
              <w:pStyle w:val="ARfintablebodybold"/>
            </w:pPr>
            <w:r w:rsidRPr="002029AF">
              <w:t>Closing</w:t>
            </w:r>
            <w:r w:rsidR="000A5329" w:rsidRPr="002029AF">
              <w:t xml:space="preserve"> </w:t>
            </w:r>
            <w:r w:rsidRPr="002029AF">
              <w:t>balance</w:t>
            </w:r>
          </w:p>
        </w:tc>
        <w:tc>
          <w:tcPr>
            <w:tcW w:w="1134" w:type="dxa"/>
            <w:noWrap/>
            <w:hideMark/>
          </w:tcPr>
          <w:p w14:paraId="099F2217" w14:textId="77777777" w:rsidR="00087B91" w:rsidRPr="002029AF" w:rsidRDefault="00087B91" w:rsidP="00860E95">
            <w:pPr>
              <w:pStyle w:val="ARfintablebodyrightbold"/>
            </w:pPr>
            <w:r w:rsidRPr="002029AF">
              <w:t>4.5</w:t>
            </w:r>
          </w:p>
        </w:tc>
        <w:tc>
          <w:tcPr>
            <w:tcW w:w="1134" w:type="dxa"/>
            <w:noWrap/>
            <w:hideMark/>
          </w:tcPr>
          <w:p w14:paraId="38EB8D05" w14:textId="77777777" w:rsidR="00087B91" w:rsidRPr="002029AF" w:rsidRDefault="00087B91" w:rsidP="00860E95">
            <w:pPr>
              <w:pStyle w:val="ARfintablebodyrightbold"/>
            </w:pPr>
            <w:r w:rsidRPr="002029AF">
              <w:t>120.4</w:t>
            </w:r>
          </w:p>
        </w:tc>
        <w:tc>
          <w:tcPr>
            <w:tcW w:w="1134" w:type="dxa"/>
            <w:noWrap/>
            <w:hideMark/>
          </w:tcPr>
          <w:p w14:paraId="3F8DC94A" w14:textId="77777777" w:rsidR="00087B91" w:rsidRPr="002029AF" w:rsidRDefault="00087B91" w:rsidP="00860E95">
            <w:pPr>
              <w:pStyle w:val="ARfintablebodyrightbold"/>
            </w:pPr>
            <w:r w:rsidRPr="002029AF">
              <w:t>124.9</w:t>
            </w:r>
          </w:p>
        </w:tc>
      </w:tr>
    </w:tbl>
    <w:p w14:paraId="0BAB4673" w14:textId="728359C7" w:rsidR="00087B91" w:rsidRPr="002029AF" w:rsidRDefault="00087B91" w:rsidP="00087B91">
      <w:pPr>
        <w:pStyle w:val="ARfinbodyaftertable"/>
      </w:pPr>
      <w:r w:rsidRPr="002029AF">
        <w:t>When</w:t>
      </w:r>
      <w:r w:rsidR="000A5329" w:rsidRPr="002029AF">
        <w:t xml:space="preserve"> </w:t>
      </w:r>
      <w:r w:rsidRPr="002029AF">
        <w:t>some</w:t>
      </w:r>
      <w:r w:rsidR="000A5329" w:rsidRPr="002029AF">
        <w:t xml:space="preserve"> </w:t>
      </w:r>
      <w:r w:rsidRPr="002029AF">
        <w:t>or</w:t>
      </w:r>
      <w:r w:rsidR="000A5329" w:rsidRPr="002029AF">
        <w:t xml:space="preserve"> </w:t>
      </w:r>
      <w:r w:rsidRPr="002029AF">
        <w:t>all</w:t>
      </w:r>
      <w:r w:rsidR="000A5329" w:rsidRPr="002029AF">
        <w:t xml:space="preserve"> </w:t>
      </w:r>
      <w:r w:rsidRPr="002029AF">
        <w:t>of</w:t>
      </w:r>
      <w:r w:rsidR="000A5329" w:rsidRPr="002029AF">
        <w:t xml:space="preserve"> </w:t>
      </w:r>
      <w:r w:rsidRPr="002029AF">
        <w:t>the</w:t>
      </w:r>
      <w:r w:rsidR="000A5329" w:rsidRPr="002029AF">
        <w:t xml:space="preserve"> </w:t>
      </w:r>
      <w:r w:rsidRPr="002029AF">
        <w:t>economic</w:t>
      </w:r>
      <w:r w:rsidR="000A5329" w:rsidRPr="002029AF">
        <w:t xml:space="preserve"> </w:t>
      </w:r>
      <w:r w:rsidRPr="002029AF">
        <w:t>benefits</w:t>
      </w:r>
      <w:r w:rsidR="000A5329" w:rsidRPr="002029AF">
        <w:t xml:space="preserve"> </w:t>
      </w:r>
      <w:r w:rsidRPr="002029AF">
        <w:t>required</w:t>
      </w:r>
      <w:r w:rsidR="000A5329" w:rsidRPr="002029AF">
        <w:t xml:space="preserve"> </w:t>
      </w:r>
      <w:r w:rsidRPr="002029AF">
        <w:t>to</w:t>
      </w:r>
      <w:r w:rsidR="000A5329" w:rsidRPr="002029AF">
        <w:t xml:space="preserve"> </w:t>
      </w:r>
      <w:r w:rsidRPr="002029AF">
        <w:t>settle</w:t>
      </w:r>
      <w:r w:rsidR="000A5329" w:rsidRPr="002029AF">
        <w:t xml:space="preserve"> </w:t>
      </w:r>
      <w:r w:rsidRPr="002029AF">
        <w:t>a</w:t>
      </w:r>
      <w:r w:rsidR="000A5329" w:rsidRPr="002029AF">
        <w:t xml:space="preserve"> </w:t>
      </w:r>
      <w:r w:rsidRPr="002029AF">
        <w:t>provision</w:t>
      </w:r>
      <w:r w:rsidR="000A5329" w:rsidRPr="002029AF">
        <w:t xml:space="preserve"> </w:t>
      </w:r>
      <w:r w:rsidRPr="002029AF">
        <w:t>are</w:t>
      </w:r>
      <w:r w:rsidR="000A5329" w:rsidRPr="002029AF">
        <w:t xml:space="preserve"> </w:t>
      </w:r>
      <w:r w:rsidRPr="002029AF">
        <w:t>expected</w:t>
      </w:r>
      <w:r w:rsidR="000A5329" w:rsidRPr="002029AF">
        <w:t xml:space="preserve"> </w:t>
      </w:r>
      <w:r w:rsidRPr="002029AF">
        <w:t>to</w:t>
      </w:r>
      <w:r w:rsidR="000A5329" w:rsidRPr="002029AF">
        <w:t xml:space="preserve"> </w:t>
      </w:r>
      <w:r w:rsidRPr="002029AF">
        <w:t>be</w:t>
      </w:r>
      <w:r w:rsidR="000A5329" w:rsidRPr="002029AF">
        <w:t xml:space="preserve"> </w:t>
      </w:r>
      <w:r w:rsidRPr="002029AF">
        <w:t>received</w:t>
      </w:r>
      <w:r w:rsidR="000A5329" w:rsidRPr="002029AF">
        <w:t xml:space="preserve"> </w:t>
      </w:r>
      <w:r w:rsidRPr="002029AF">
        <w:t>from</w:t>
      </w:r>
      <w:r w:rsidR="000A5329" w:rsidRPr="002029AF">
        <w:t xml:space="preserve"> </w:t>
      </w:r>
      <w:r w:rsidRPr="002029AF">
        <w:t>a</w:t>
      </w:r>
      <w:r w:rsidR="000A5329" w:rsidRPr="002029AF">
        <w:t xml:space="preserve"> </w:t>
      </w:r>
      <w:r w:rsidRPr="002029AF">
        <w:t>third</w:t>
      </w:r>
      <w:r w:rsidR="000A5329" w:rsidRPr="002029AF">
        <w:t xml:space="preserve"> </w:t>
      </w:r>
      <w:r w:rsidRPr="002029AF">
        <w:t>party,</w:t>
      </w:r>
      <w:r w:rsidR="000A5329" w:rsidRPr="002029AF">
        <w:t xml:space="preserve"> </w:t>
      </w:r>
      <w:r w:rsidRPr="002029AF">
        <w:t>the</w:t>
      </w:r>
      <w:r w:rsidR="000A5329" w:rsidRPr="002029AF">
        <w:t xml:space="preserve"> </w:t>
      </w:r>
      <w:r w:rsidRPr="002029AF">
        <w:t>receivable</w:t>
      </w:r>
      <w:r w:rsidR="000A5329" w:rsidRPr="002029AF">
        <w:t xml:space="preserve"> </w:t>
      </w:r>
      <w:r w:rsidRPr="002029AF">
        <w:t>is</w:t>
      </w:r>
      <w:r w:rsidR="000A5329" w:rsidRPr="002029AF">
        <w:t xml:space="preserve"> </w:t>
      </w:r>
      <w:r w:rsidRPr="002029AF">
        <w:t>recognised</w:t>
      </w:r>
      <w:r w:rsidR="000A5329" w:rsidRPr="002029AF">
        <w:t xml:space="preserve"> </w:t>
      </w:r>
      <w:r w:rsidRPr="002029AF">
        <w:t>as</w:t>
      </w:r>
      <w:r w:rsidR="000A5329" w:rsidRPr="002029AF">
        <w:t xml:space="preserve"> </w:t>
      </w:r>
      <w:r w:rsidRPr="002029AF">
        <w:t>an</w:t>
      </w:r>
      <w:r w:rsidR="000A5329" w:rsidRPr="002029AF">
        <w:t xml:space="preserve"> </w:t>
      </w:r>
      <w:r w:rsidRPr="002029AF">
        <w:t>asset</w:t>
      </w:r>
      <w:r w:rsidR="000A5329" w:rsidRPr="002029AF">
        <w:t xml:space="preserve"> </w:t>
      </w:r>
      <w:r w:rsidRPr="002029AF">
        <w:t>if</w:t>
      </w:r>
      <w:r w:rsidR="000A5329" w:rsidRPr="002029AF">
        <w:t xml:space="preserve"> </w:t>
      </w:r>
      <w:r w:rsidRPr="002029AF">
        <w:t>it</w:t>
      </w:r>
      <w:r w:rsidR="000A5329" w:rsidRPr="002029AF">
        <w:t xml:space="preserve"> </w:t>
      </w:r>
      <w:r w:rsidRPr="002029AF">
        <w:t>is</w:t>
      </w:r>
      <w:r w:rsidR="000A5329" w:rsidRPr="002029AF">
        <w:t xml:space="preserve"> </w:t>
      </w:r>
      <w:r w:rsidRPr="002029AF">
        <w:t>virtually</w:t>
      </w:r>
      <w:r w:rsidR="000A5329" w:rsidRPr="002029AF">
        <w:t xml:space="preserve"> </w:t>
      </w:r>
      <w:r w:rsidRPr="002029AF">
        <w:t>certain</w:t>
      </w:r>
      <w:r w:rsidR="000A5329" w:rsidRPr="002029AF">
        <w:t xml:space="preserve"> </w:t>
      </w:r>
      <w:r w:rsidRPr="002029AF">
        <w:t>that</w:t>
      </w:r>
      <w:r w:rsidR="000A5329" w:rsidRPr="002029AF">
        <w:t xml:space="preserve"> </w:t>
      </w:r>
      <w:r w:rsidRPr="002029AF">
        <w:t>recovery</w:t>
      </w:r>
      <w:r w:rsidR="000A5329" w:rsidRPr="002029AF">
        <w:t xml:space="preserve"> </w:t>
      </w:r>
      <w:r w:rsidRPr="002029AF">
        <w:t>will</w:t>
      </w:r>
      <w:r w:rsidR="000A5329" w:rsidRPr="002029AF">
        <w:t xml:space="preserve"> </w:t>
      </w:r>
      <w:r w:rsidRPr="002029AF">
        <w:t>be</w:t>
      </w:r>
      <w:r w:rsidR="000A5329" w:rsidRPr="002029AF">
        <w:t xml:space="preserve"> </w:t>
      </w:r>
      <w:r w:rsidRPr="002029AF">
        <w:t>received</w:t>
      </w:r>
      <w:r w:rsidR="000A5329" w:rsidRPr="002029AF">
        <w:t xml:space="preserve"> </w:t>
      </w:r>
      <w:r w:rsidRPr="002029AF">
        <w:t>and</w:t>
      </w:r>
      <w:r w:rsidR="000A5329" w:rsidRPr="002029AF">
        <w:t xml:space="preserve"> </w:t>
      </w:r>
      <w:r w:rsidRPr="002029AF">
        <w:t>the</w:t>
      </w:r>
      <w:r w:rsidR="000A5329" w:rsidRPr="002029AF">
        <w:t xml:space="preserve"> </w:t>
      </w:r>
      <w:r w:rsidRPr="002029AF">
        <w:t>amount</w:t>
      </w:r>
      <w:r w:rsidR="000A5329" w:rsidRPr="002029AF">
        <w:t xml:space="preserve"> </w:t>
      </w:r>
      <w:r w:rsidRPr="002029AF">
        <w:t>of</w:t>
      </w:r>
      <w:r w:rsidR="000A5329" w:rsidRPr="002029AF">
        <w:t xml:space="preserve"> </w:t>
      </w:r>
      <w:r w:rsidRPr="002029AF">
        <w:t>the</w:t>
      </w:r>
      <w:r w:rsidR="000A5329" w:rsidRPr="002029AF">
        <w:t xml:space="preserve"> </w:t>
      </w:r>
      <w:r w:rsidRPr="002029AF">
        <w:t>receivable</w:t>
      </w:r>
      <w:r w:rsidR="000A5329" w:rsidRPr="002029AF">
        <w:t xml:space="preserve"> </w:t>
      </w:r>
      <w:r w:rsidRPr="002029AF">
        <w:t>can</w:t>
      </w:r>
      <w:r w:rsidR="000A5329" w:rsidRPr="002029AF">
        <w:t xml:space="preserve"> </w:t>
      </w:r>
      <w:r w:rsidRPr="002029AF">
        <w:t>be</w:t>
      </w:r>
      <w:r w:rsidR="000A5329" w:rsidRPr="002029AF">
        <w:t xml:space="preserve"> </w:t>
      </w:r>
      <w:r w:rsidRPr="002029AF">
        <w:t>measured</w:t>
      </w:r>
      <w:r w:rsidR="000A5329" w:rsidRPr="002029AF">
        <w:t xml:space="preserve"> </w:t>
      </w:r>
      <w:r w:rsidRPr="002029AF">
        <w:t>reliably.</w:t>
      </w:r>
    </w:p>
    <w:p w14:paraId="44BA6F89" w14:textId="0AF0A5B2" w:rsidR="00087B91" w:rsidRPr="002029AF" w:rsidRDefault="00087B91" w:rsidP="00087B91">
      <w:pPr>
        <w:pStyle w:val="ARfinbody"/>
      </w:pPr>
      <w:r w:rsidRPr="002029AF">
        <w:t>The</w:t>
      </w:r>
      <w:r w:rsidR="000A5329" w:rsidRPr="002029AF">
        <w:t xml:space="preserve"> </w:t>
      </w:r>
      <w:r w:rsidRPr="002029AF">
        <w:rPr>
          <w:rStyle w:val="Strong"/>
        </w:rPr>
        <w:t>make-good</w:t>
      </w:r>
      <w:r w:rsidR="000A5329" w:rsidRPr="002029AF">
        <w:rPr>
          <w:b/>
          <w:bCs/>
        </w:rPr>
        <w:t xml:space="preserve"> </w:t>
      </w:r>
      <w:r w:rsidRPr="002029AF">
        <w:t>provision</w:t>
      </w:r>
      <w:r w:rsidR="000A5329" w:rsidRPr="002029AF">
        <w:t xml:space="preserve"> </w:t>
      </w:r>
      <w:r w:rsidRPr="002029AF">
        <w:t>is</w:t>
      </w:r>
      <w:r w:rsidR="000A5329" w:rsidRPr="002029AF">
        <w:t xml:space="preserve"> </w:t>
      </w:r>
      <w:r w:rsidRPr="002029AF">
        <w:t>recognised</w:t>
      </w:r>
      <w:r w:rsidR="000A5329" w:rsidRPr="002029AF">
        <w:t xml:space="preserve"> </w:t>
      </w:r>
      <w:r w:rsidRPr="002029AF">
        <w:t>in</w:t>
      </w:r>
      <w:r w:rsidR="000A5329" w:rsidRPr="002029AF">
        <w:t xml:space="preserve"> </w:t>
      </w:r>
      <w:r w:rsidRPr="002029AF">
        <w:t>accordance</w:t>
      </w:r>
      <w:r w:rsidR="000A5329" w:rsidRPr="002029AF">
        <w:t xml:space="preserve"> </w:t>
      </w:r>
      <w:r w:rsidRPr="002029AF">
        <w:t>with</w:t>
      </w:r>
      <w:r w:rsidR="000A5329" w:rsidRPr="002029AF">
        <w:t xml:space="preserve"> </w:t>
      </w:r>
      <w:r w:rsidRPr="002029AF">
        <w:t>the</w:t>
      </w:r>
      <w:r w:rsidR="000A5329" w:rsidRPr="002029AF">
        <w:t xml:space="preserve"> </w:t>
      </w:r>
      <w:r w:rsidRPr="002029AF">
        <w:t>lease</w:t>
      </w:r>
      <w:r w:rsidR="000A5329" w:rsidRPr="002029AF">
        <w:t xml:space="preserve"> </w:t>
      </w:r>
      <w:r w:rsidRPr="002029AF">
        <w:t>agreement</w:t>
      </w:r>
      <w:r w:rsidR="000A5329" w:rsidRPr="002029AF">
        <w:t xml:space="preserve"> </w:t>
      </w:r>
      <w:r w:rsidRPr="002029AF">
        <w:t>over</w:t>
      </w:r>
      <w:r w:rsidR="000A5329" w:rsidRPr="002029AF">
        <w:t xml:space="preserve"> </w:t>
      </w:r>
      <w:r w:rsidRPr="002029AF">
        <w:t>the</w:t>
      </w:r>
      <w:r w:rsidR="000A5329" w:rsidRPr="002029AF">
        <w:t xml:space="preserve"> </w:t>
      </w:r>
      <w:r w:rsidRPr="002029AF">
        <w:t>building</w:t>
      </w:r>
      <w:r w:rsidR="000A5329" w:rsidRPr="002029AF">
        <w:t xml:space="preserve"> </w:t>
      </w:r>
      <w:r w:rsidRPr="002029AF">
        <w:t>facilities.</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must</w:t>
      </w:r>
      <w:r w:rsidR="000A5329" w:rsidRPr="002029AF">
        <w:t xml:space="preserve"> </w:t>
      </w:r>
      <w:r w:rsidRPr="002029AF">
        <w:t>remove</w:t>
      </w:r>
      <w:r w:rsidR="000A5329" w:rsidRPr="002029AF">
        <w:t xml:space="preserve"> </w:t>
      </w:r>
      <w:r w:rsidRPr="002029AF">
        <w:t>any</w:t>
      </w:r>
      <w:r w:rsidR="000A5329" w:rsidRPr="002029AF">
        <w:t xml:space="preserve"> </w:t>
      </w:r>
      <w:r w:rsidRPr="002029AF">
        <w:t>leasehold</w:t>
      </w:r>
      <w:r w:rsidR="000A5329" w:rsidRPr="002029AF">
        <w:t xml:space="preserve"> </w:t>
      </w:r>
      <w:r w:rsidRPr="002029AF">
        <w:t>improvements</w:t>
      </w:r>
      <w:r w:rsidR="000A5329" w:rsidRPr="002029AF">
        <w:t xml:space="preserve"> </w:t>
      </w:r>
      <w:r w:rsidRPr="002029AF">
        <w:t>from</w:t>
      </w:r>
      <w:r w:rsidR="000A5329" w:rsidRPr="002029AF">
        <w:t xml:space="preserve"> </w:t>
      </w:r>
      <w:r w:rsidRPr="002029AF">
        <w:t>the</w:t>
      </w:r>
      <w:r w:rsidR="000A5329" w:rsidRPr="002029AF">
        <w:t xml:space="preserve"> </w:t>
      </w:r>
      <w:r w:rsidRPr="002029AF">
        <w:t>leased</w:t>
      </w:r>
      <w:r w:rsidR="000A5329" w:rsidRPr="002029AF">
        <w:t xml:space="preserve"> </w:t>
      </w:r>
      <w:r w:rsidRPr="002029AF">
        <w:t>building</w:t>
      </w:r>
      <w:r w:rsidR="000A5329" w:rsidRPr="002029AF">
        <w:t xml:space="preserve"> </w:t>
      </w:r>
      <w:r w:rsidRPr="002029AF">
        <w:t>and</w:t>
      </w:r>
      <w:r w:rsidR="000A5329" w:rsidRPr="002029AF">
        <w:t xml:space="preserve"> </w:t>
      </w:r>
      <w:r w:rsidRPr="002029AF">
        <w:t>restore</w:t>
      </w:r>
      <w:r w:rsidR="000A5329" w:rsidRPr="002029AF">
        <w:t xml:space="preserve"> </w:t>
      </w:r>
      <w:r w:rsidRPr="002029AF">
        <w:t>the</w:t>
      </w:r>
      <w:r w:rsidR="000A5329" w:rsidRPr="002029AF">
        <w:t xml:space="preserve"> </w:t>
      </w:r>
      <w:r w:rsidRPr="002029AF">
        <w:t>premises</w:t>
      </w:r>
      <w:r w:rsidR="000A5329" w:rsidRPr="002029AF">
        <w:t xml:space="preserve"> </w:t>
      </w:r>
      <w:r w:rsidRPr="002029AF">
        <w:t>to</w:t>
      </w:r>
      <w:r w:rsidR="000A5329" w:rsidRPr="002029AF">
        <w:t xml:space="preserve"> </w:t>
      </w:r>
      <w:r w:rsidRPr="002029AF">
        <w:t>its</w:t>
      </w:r>
      <w:r w:rsidR="000A5329" w:rsidRPr="002029AF">
        <w:t xml:space="preserve"> </w:t>
      </w:r>
      <w:r w:rsidRPr="002029AF">
        <w:t>original</w:t>
      </w:r>
      <w:r w:rsidR="000A5329" w:rsidRPr="002029AF">
        <w:t xml:space="preserve"> </w:t>
      </w:r>
      <w:r w:rsidRPr="002029AF">
        <w:t>condition</w:t>
      </w:r>
      <w:r w:rsidR="000A5329" w:rsidRPr="002029AF">
        <w:t xml:space="preserve"> </w:t>
      </w:r>
      <w:r w:rsidRPr="002029AF">
        <w:t>at</w:t>
      </w:r>
      <w:r w:rsidR="000A5329" w:rsidRPr="002029AF">
        <w:t xml:space="preserve"> </w:t>
      </w:r>
      <w:r w:rsidRPr="002029AF">
        <w:t>the</w:t>
      </w:r>
      <w:r w:rsidR="000A5329" w:rsidRPr="002029AF">
        <w:t xml:space="preserve"> </w:t>
      </w:r>
      <w:r w:rsidRPr="002029AF">
        <w:t>end</w:t>
      </w:r>
      <w:r w:rsidR="000A5329" w:rsidRPr="002029AF">
        <w:t xml:space="preserve"> </w:t>
      </w:r>
      <w:r w:rsidRPr="002029AF">
        <w:t>of</w:t>
      </w:r>
      <w:r w:rsidR="000A5329" w:rsidRPr="002029AF">
        <w:t xml:space="preserve"> </w:t>
      </w:r>
      <w:r w:rsidRPr="002029AF">
        <w:t>the</w:t>
      </w:r>
      <w:r w:rsidR="000A5329" w:rsidRPr="002029AF">
        <w:t xml:space="preserve"> </w:t>
      </w:r>
      <w:r w:rsidRPr="002029AF">
        <w:t>lease</w:t>
      </w:r>
      <w:r w:rsidR="000A5329" w:rsidRPr="002029AF">
        <w:t xml:space="preserve"> </w:t>
      </w:r>
      <w:r w:rsidRPr="002029AF">
        <w:t>term.</w:t>
      </w:r>
    </w:p>
    <w:p w14:paraId="3F55B8BB" w14:textId="3144637F" w:rsidR="00087B91" w:rsidRPr="002029AF" w:rsidRDefault="00087B91" w:rsidP="00087B91">
      <w:pPr>
        <w:pStyle w:val="ARfinbody"/>
      </w:pPr>
      <w:r w:rsidRPr="002029AF">
        <w:rPr>
          <w:rStyle w:val="Strong"/>
        </w:rPr>
        <w:t>Insurance</w:t>
      </w:r>
      <w:r w:rsidR="000A5329" w:rsidRPr="002029AF">
        <w:rPr>
          <w:rStyle w:val="Strong"/>
        </w:rPr>
        <w:t xml:space="preserve"> </w:t>
      </w:r>
      <w:r w:rsidRPr="002029AF">
        <w:rPr>
          <w:rStyle w:val="Strong"/>
        </w:rPr>
        <w:t>claims:</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engaged</w:t>
      </w:r>
      <w:r w:rsidR="000A5329" w:rsidRPr="002029AF">
        <w:t xml:space="preserve"> </w:t>
      </w:r>
      <w:r w:rsidRPr="002029AF">
        <w:t>the</w:t>
      </w:r>
      <w:r w:rsidR="000A5329" w:rsidRPr="002029AF">
        <w:t xml:space="preserve"> </w:t>
      </w:r>
      <w:r w:rsidRPr="002029AF">
        <w:t>Victorian</w:t>
      </w:r>
      <w:r w:rsidR="000A5329" w:rsidRPr="002029AF">
        <w:t xml:space="preserve"> </w:t>
      </w:r>
      <w:r w:rsidRPr="002029AF">
        <w:t>Managed</w:t>
      </w:r>
      <w:r w:rsidR="000A5329" w:rsidRPr="002029AF">
        <w:t xml:space="preserve"> </w:t>
      </w:r>
      <w:r w:rsidRPr="002029AF">
        <w:t>Insurance</w:t>
      </w:r>
      <w:r w:rsidR="000A5329" w:rsidRPr="002029AF">
        <w:t xml:space="preserve"> </w:t>
      </w:r>
      <w:r w:rsidRPr="002029AF">
        <w:t>Authority</w:t>
      </w:r>
      <w:r w:rsidR="000A5329" w:rsidRPr="002029AF">
        <w:t xml:space="preserve"> </w:t>
      </w:r>
      <w:r w:rsidRPr="002029AF">
        <w:t>(VMIA)</w:t>
      </w:r>
      <w:r w:rsidR="000A5329" w:rsidRPr="002029AF">
        <w:t xml:space="preserve"> </w:t>
      </w:r>
      <w:r w:rsidRPr="002029AF">
        <w:t>under</w:t>
      </w:r>
      <w:r w:rsidR="000A5329" w:rsidRPr="002029AF">
        <w:t xml:space="preserve"> </w:t>
      </w:r>
      <w:r w:rsidRPr="002029AF">
        <w:t>a</w:t>
      </w:r>
      <w:r w:rsidR="000A5329" w:rsidRPr="002029AF">
        <w:t xml:space="preserve"> </w:t>
      </w:r>
      <w:r w:rsidRPr="002029AF">
        <w:t>claims</w:t>
      </w:r>
      <w:r w:rsidR="000A5329" w:rsidRPr="002029AF">
        <w:t xml:space="preserve"> </w:t>
      </w:r>
      <w:r w:rsidRPr="002029AF">
        <w:t>administration</w:t>
      </w:r>
      <w:r w:rsidR="000A5329" w:rsidRPr="002029AF">
        <w:t xml:space="preserve"> </w:t>
      </w:r>
      <w:r w:rsidRPr="002029AF">
        <w:t>agreement</w:t>
      </w:r>
      <w:r w:rsidR="000A5329" w:rsidRPr="002029AF">
        <w:t xml:space="preserve"> </w:t>
      </w:r>
      <w:r w:rsidRPr="002029AF">
        <w:t>to</w:t>
      </w:r>
      <w:r w:rsidR="000A5329" w:rsidRPr="002029AF">
        <w:t xml:space="preserve"> </w:t>
      </w:r>
      <w:r w:rsidRPr="002029AF">
        <w:t>manage</w:t>
      </w:r>
      <w:r w:rsidR="000A5329" w:rsidRPr="002029AF">
        <w:t xml:space="preserve"> </w:t>
      </w:r>
      <w:r w:rsidRPr="002029AF">
        <w:t>non-medical</w:t>
      </w:r>
      <w:r w:rsidR="000A5329" w:rsidRPr="002029AF">
        <w:t xml:space="preserve"> </w:t>
      </w:r>
      <w:r w:rsidRPr="002029AF">
        <w:t>indemnity</w:t>
      </w:r>
      <w:r w:rsidR="000A5329" w:rsidRPr="002029AF">
        <w:t xml:space="preserve"> </w:t>
      </w:r>
      <w:r w:rsidRPr="002029AF">
        <w:t>claims</w:t>
      </w:r>
      <w:r w:rsidR="000A5329" w:rsidRPr="002029AF">
        <w:t xml:space="preserve"> </w:t>
      </w:r>
      <w:r w:rsidRPr="002029AF">
        <w:t>resulting</w:t>
      </w:r>
      <w:r w:rsidR="000A5329" w:rsidRPr="002029AF">
        <w:t xml:space="preserve"> </w:t>
      </w:r>
      <w:r w:rsidRPr="002029AF">
        <w:t>from</w:t>
      </w:r>
      <w:r w:rsidR="000A5329" w:rsidRPr="002029AF">
        <w:t xml:space="preserve"> </w:t>
      </w:r>
      <w:r w:rsidRPr="002029AF">
        <w:t>public</w:t>
      </w:r>
      <w:r w:rsidR="000A5329" w:rsidRPr="002029AF">
        <w:t xml:space="preserve"> </w:t>
      </w:r>
      <w:r w:rsidRPr="002029AF">
        <w:t>healthcare</w:t>
      </w:r>
      <w:r w:rsidR="000A5329" w:rsidRPr="002029AF">
        <w:t xml:space="preserve"> </w:t>
      </w:r>
      <w:r w:rsidRPr="002029AF">
        <w:t>incidents</w:t>
      </w:r>
      <w:r w:rsidR="000A5329" w:rsidRPr="002029AF">
        <w:t xml:space="preserve"> </w:t>
      </w:r>
      <w:r w:rsidRPr="002029AF">
        <w:t>occurring</w:t>
      </w:r>
      <w:r w:rsidR="000A5329" w:rsidRPr="002029AF">
        <w:t xml:space="preserve"> </w:t>
      </w:r>
      <w:r w:rsidRPr="002029AF">
        <w:t>on</w:t>
      </w:r>
      <w:r w:rsidR="000A5329" w:rsidRPr="002029AF">
        <w:t xml:space="preserve"> </w:t>
      </w:r>
      <w:r w:rsidRPr="002029AF">
        <w:t>or</w:t>
      </w:r>
      <w:r w:rsidR="000A5329" w:rsidRPr="002029AF">
        <w:t xml:space="preserve"> </w:t>
      </w:r>
      <w:r w:rsidRPr="002029AF">
        <w:t>after</w:t>
      </w:r>
      <w:r w:rsidR="000A5329" w:rsidRPr="002029AF">
        <w:t xml:space="preserve"> </w:t>
      </w:r>
      <w:r w:rsidRPr="002029AF">
        <w:t>1</w:t>
      </w:r>
      <w:r w:rsidR="000A5329" w:rsidRPr="002029AF">
        <w:t xml:space="preserve"> </w:t>
      </w:r>
      <w:r w:rsidRPr="002029AF">
        <w:t>July</w:t>
      </w:r>
      <w:r w:rsidR="000A5329" w:rsidRPr="002029AF">
        <w:t xml:space="preserve"> </w:t>
      </w:r>
      <w:r w:rsidRPr="002029AF">
        <w:t>2005.</w:t>
      </w:r>
      <w:r w:rsidR="000A5329" w:rsidRPr="002029AF">
        <w:t xml:space="preserve"> </w:t>
      </w:r>
      <w:r w:rsidRPr="002029AF">
        <w:t>These</w:t>
      </w:r>
      <w:r w:rsidR="000A5329" w:rsidRPr="002029AF">
        <w:t xml:space="preserve"> </w:t>
      </w:r>
      <w:r w:rsidRPr="002029AF">
        <w:t>claims</w:t>
      </w:r>
      <w:r w:rsidR="000A5329" w:rsidRPr="002029AF">
        <w:t xml:space="preserve"> </w:t>
      </w:r>
      <w:r w:rsidRPr="002029AF">
        <w:t>are</w:t>
      </w:r>
      <w:r w:rsidR="000A5329" w:rsidRPr="002029AF">
        <w:t xml:space="preserve"> </w:t>
      </w:r>
      <w:r w:rsidRPr="002029AF">
        <w:t>managed</w:t>
      </w:r>
      <w:r w:rsidR="000A5329" w:rsidRPr="002029AF">
        <w:t xml:space="preserve"> </w:t>
      </w:r>
      <w:r w:rsidRPr="002029AF">
        <w:t>by</w:t>
      </w:r>
      <w:r w:rsidR="000A5329" w:rsidRPr="002029AF">
        <w:t xml:space="preserve"> </w:t>
      </w:r>
      <w:r w:rsidRPr="002029AF">
        <w:t>VMIA</w:t>
      </w:r>
      <w:r w:rsidR="000A5329" w:rsidRPr="002029AF">
        <w:t xml:space="preserve"> </w:t>
      </w:r>
      <w:r w:rsidRPr="002029AF">
        <w:t>on</w:t>
      </w:r>
      <w:r w:rsidR="000A5329" w:rsidRPr="002029AF">
        <w:t xml:space="preserve"> </w:t>
      </w:r>
      <w:r w:rsidRPr="002029AF">
        <w:t>behalf</w:t>
      </w:r>
      <w:r w:rsidR="000A5329" w:rsidRPr="002029AF">
        <w:t xml:space="preserve"> </w:t>
      </w:r>
      <w:r w:rsidRPr="002029AF">
        <w:t>of</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under</w:t>
      </w:r>
      <w:r w:rsidR="000A5329" w:rsidRPr="002029AF">
        <w:t xml:space="preserve"> </w:t>
      </w:r>
      <w:r w:rsidRPr="002029AF">
        <w:t>a</w:t>
      </w:r>
      <w:r w:rsidR="000A5329" w:rsidRPr="002029AF">
        <w:t xml:space="preserve"> </w:t>
      </w:r>
      <w:r w:rsidRPr="002029AF">
        <w:t>service</w:t>
      </w:r>
      <w:r w:rsidR="000A5329" w:rsidRPr="002029AF">
        <w:t xml:space="preserve"> </w:t>
      </w:r>
      <w:r w:rsidRPr="002029AF">
        <w:t>level</w:t>
      </w:r>
      <w:r w:rsidR="000A5329" w:rsidRPr="002029AF">
        <w:t xml:space="preserve"> </w:t>
      </w:r>
      <w:r w:rsidRPr="002029AF">
        <w:t>agreement.</w:t>
      </w:r>
      <w:r w:rsidR="000A5329" w:rsidRPr="002029AF">
        <w:t xml:space="preserve"> </w:t>
      </w:r>
      <w:r w:rsidRPr="002029AF">
        <w:t>VMIA</w:t>
      </w:r>
      <w:r w:rsidR="000A5329" w:rsidRPr="002029AF">
        <w:t xml:space="preserve"> </w:t>
      </w:r>
      <w:r w:rsidRPr="002029AF">
        <w:t>has</w:t>
      </w:r>
      <w:r w:rsidR="000A5329" w:rsidRPr="002029AF">
        <w:t xml:space="preserve"> </w:t>
      </w:r>
      <w:r w:rsidRPr="002029AF">
        <w:t>engaged</w:t>
      </w:r>
      <w:r w:rsidR="000A5329" w:rsidRPr="002029AF">
        <w:t xml:space="preserve"> </w:t>
      </w:r>
      <w:r w:rsidRPr="002029AF">
        <w:t>an</w:t>
      </w:r>
      <w:r w:rsidR="000A5329" w:rsidRPr="002029AF">
        <w:t xml:space="preserve"> </w:t>
      </w:r>
      <w:r w:rsidRPr="002029AF">
        <w:t>independent</w:t>
      </w:r>
      <w:r w:rsidR="000A5329" w:rsidRPr="002029AF">
        <w:t xml:space="preserve"> </w:t>
      </w:r>
      <w:r w:rsidRPr="002029AF">
        <w:t>actuary</w:t>
      </w:r>
      <w:r w:rsidR="000A5329" w:rsidRPr="002029AF">
        <w:t xml:space="preserve"> </w:t>
      </w:r>
      <w:r w:rsidRPr="002029AF">
        <w:t>to</w:t>
      </w:r>
      <w:r w:rsidR="000A5329" w:rsidRPr="002029AF">
        <w:t xml:space="preserve"> </w:t>
      </w:r>
      <w:r w:rsidRPr="002029AF">
        <w:t>determine</w:t>
      </w:r>
      <w:r w:rsidR="000A5329" w:rsidRPr="002029AF">
        <w:t xml:space="preserve"> </w:t>
      </w:r>
      <w:r w:rsidRPr="002029AF">
        <w:t>these</w:t>
      </w:r>
      <w:r w:rsidR="000A5329" w:rsidRPr="002029AF">
        <w:t xml:space="preserve"> </w:t>
      </w:r>
      <w:r w:rsidRPr="002029AF">
        <w:t>liability</w:t>
      </w:r>
      <w:r w:rsidR="000A5329" w:rsidRPr="002029AF">
        <w:t xml:space="preserve"> </w:t>
      </w:r>
      <w:r w:rsidRPr="002029AF">
        <w:t>provisions</w:t>
      </w:r>
      <w:r w:rsidR="000A5329" w:rsidRPr="002029AF">
        <w:t xml:space="preserve"> </w:t>
      </w:r>
      <w:r w:rsidRPr="002029AF">
        <w:t>in</w:t>
      </w:r>
      <w:r w:rsidR="000A5329" w:rsidRPr="002029AF">
        <w:t xml:space="preserve"> </w:t>
      </w:r>
      <w:r w:rsidRPr="002029AF">
        <w:t>accordance</w:t>
      </w:r>
      <w:r w:rsidR="000A5329" w:rsidRPr="002029AF">
        <w:t xml:space="preserve"> </w:t>
      </w:r>
      <w:r w:rsidRPr="002029AF">
        <w:t>with</w:t>
      </w:r>
      <w:r w:rsidR="000A5329" w:rsidRPr="002029AF">
        <w:t xml:space="preserve"> </w:t>
      </w:r>
      <w:r w:rsidRPr="002029AF">
        <w:t>the</w:t>
      </w:r>
      <w:r w:rsidR="000A5329" w:rsidRPr="002029AF">
        <w:t xml:space="preserve"> </w:t>
      </w:r>
      <w:r w:rsidRPr="002029AF">
        <w:t>Institute</w:t>
      </w:r>
      <w:r w:rsidR="000A5329" w:rsidRPr="002029AF">
        <w:t xml:space="preserve"> </w:t>
      </w:r>
      <w:r w:rsidRPr="002029AF">
        <w:t>of</w:t>
      </w:r>
      <w:r w:rsidR="000A5329" w:rsidRPr="002029AF">
        <w:t xml:space="preserve"> </w:t>
      </w:r>
      <w:r w:rsidRPr="002029AF">
        <w:t>Actuaries</w:t>
      </w:r>
      <w:r w:rsidR="000A5329" w:rsidRPr="002029AF">
        <w:t xml:space="preserve"> </w:t>
      </w:r>
      <w:r w:rsidRPr="002029AF">
        <w:t>of</w:t>
      </w:r>
      <w:r w:rsidR="000A5329" w:rsidRPr="002029AF">
        <w:t xml:space="preserve"> </w:t>
      </w:r>
      <w:r w:rsidRPr="002029AF">
        <w:t>Australia’s</w:t>
      </w:r>
      <w:r w:rsidR="000A5329" w:rsidRPr="002029AF">
        <w:t xml:space="preserve"> </w:t>
      </w:r>
      <w:r w:rsidRPr="002029AF">
        <w:t>professional</w:t>
      </w:r>
      <w:r w:rsidR="000A5329" w:rsidRPr="002029AF">
        <w:t xml:space="preserve"> </w:t>
      </w:r>
      <w:r w:rsidRPr="002029AF">
        <w:t>standard</w:t>
      </w:r>
      <w:r w:rsidR="000A5329" w:rsidRPr="002029AF">
        <w:t xml:space="preserve"> </w:t>
      </w:r>
      <w:r w:rsidRPr="002029AF">
        <w:t>PS300.</w:t>
      </w:r>
      <w:r w:rsidR="000A5329" w:rsidRPr="002029AF">
        <w:t xml:space="preserve"> </w:t>
      </w:r>
      <w:r w:rsidRPr="002029AF">
        <w:t>The</w:t>
      </w:r>
      <w:r w:rsidR="000A5329" w:rsidRPr="002029AF">
        <w:t xml:space="preserve"> </w:t>
      </w:r>
      <w:r w:rsidRPr="002029AF">
        <w:t>estimation</w:t>
      </w:r>
      <w:r w:rsidR="000A5329" w:rsidRPr="002029AF">
        <w:t xml:space="preserve"> </w:t>
      </w:r>
      <w:r w:rsidRPr="002029AF">
        <w:t>of</w:t>
      </w:r>
      <w:r w:rsidR="000A5329" w:rsidRPr="002029AF">
        <w:t xml:space="preserve"> </w:t>
      </w:r>
      <w:r w:rsidRPr="002029AF">
        <w:t>outstanding</w:t>
      </w:r>
      <w:r w:rsidR="000A5329" w:rsidRPr="002029AF">
        <w:t xml:space="preserve"> </w:t>
      </w:r>
      <w:r w:rsidRPr="002029AF">
        <w:t>claims</w:t>
      </w:r>
      <w:r w:rsidR="000A5329" w:rsidRPr="002029AF">
        <w:t xml:space="preserve"> </w:t>
      </w:r>
      <w:r w:rsidRPr="002029AF">
        <w:t>liabilities</w:t>
      </w:r>
      <w:r w:rsidR="000A5329" w:rsidRPr="002029AF">
        <w:t xml:space="preserve"> </w:t>
      </w:r>
      <w:r w:rsidRPr="002029AF">
        <w:t>is</w:t>
      </w:r>
      <w:r w:rsidR="000A5329" w:rsidRPr="002029AF">
        <w:t xml:space="preserve"> </w:t>
      </w:r>
      <w:r w:rsidRPr="002029AF">
        <w:t>based</w:t>
      </w:r>
      <w:r w:rsidR="000A5329" w:rsidRPr="002029AF">
        <w:t xml:space="preserve"> </w:t>
      </w:r>
      <w:r w:rsidRPr="002029AF">
        <w:t>on</w:t>
      </w:r>
      <w:r w:rsidR="000A5329" w:rsidRPr="002029AF">
        <w:t xml:space="preserve"> </w:t>
      </w:r>
      <w:r w:rsidRPr="002029AF">
        <w:t>actuarial</w:t>
      </w:r>
      <w:r w:rsidR="000A5329" w:rsidRPr="002029AF">
        <w:t xml:space="preserve"> </w:t>
      </w:r>
      <w:r w:rsidRPr="002029AF">
        <w:t>modelling</w:t>
      </w:r>
      <w:r w:rsidR="000A5329" w:rsidRPr="002029AF">
        <w:t xml:space="preserve"> </w:t>
      </w:r>
      <w:r w:rsidRPr="002029AF">
        <w:t>including</w:t>
      </w:r>
      <w:r w:rsidR="000A5329" w:rsidRPr="002029AF">
        <w:t xml:space="preserve"> </w:t>
      </w:r>
      <w:r w:rsidRPr="002029AF">
        <w:t>analysis</w:t>
      </w:r>
      <w:r w:rsidR="000A5329" w:rsidRPr="002029AF">
        <w:t xml:space="preserve"> </w:t>
      </w:r>
      <w:r w:rsidRPr="002029AF">
        <w:t>of</w:t>
      </w:r>
      <w:r w:rsidR="000A5329" w:rsidRPr="002029AF">
        <w:t xml:space="preserve"> </w:t>
      </w:r>
      <w:r w:rsidRPr="002029AF">
        <w:t>claims</w:t>
      </w:r>
      <w:r w:rsidR="000A5329" w:rsidRPr="002029AF">
        <w:t xml:space="preserve"> </w:t>
      </w:r>
      <w:r w:rsidRPr="002029AF">
        <w:t>experience,</w:t>
      </w:r>
      <w:r w:rsidR="000A5329" w:rsidRPr="002029AF">
        <w:t xml:space="preserve"> </w:t>
      </w:r>
      <w:r w:rsidRPr="002029AF">
        <w:t>loss</w:t>
      </w:r>
      <w:r w:rsidR="000A5329" w:rsidRPr="002029AF">
        <w:t xml:space="preserve"> </w:t>
      </w:r>
      <w:r w:rsidRPr="002029AF">
        <w:t>trends,</w:t>
      </w:r>
      <w:r w:rsidR="000A5329" w:rsidRPr="002029AF">
        <w:t xml:space="preserve"> </w:t>
      </w:r>
      <w:r w:rsidRPr="002029AF">
        <w:t>risk</w:t>
      </w:r>
      <w:r w:rsidR="000A5329" w:rsidRPr="002029AF">
        <w:t xml:space="preserve"> </w:t>
      </w:r>
      <w:r w:rsidRPr="002029AF">
        <w:t>exposure</w:t>
      </w:r>
      <w:r w:rsidR="000A5329" w:rsidRPr="002029AF">
        <w:t xml:space="preserve"> </w:t>
      </w:r>
      <w:r w:rsidRPr="002029AF">
        <w:t>data</w:t>
      </w:r>
      <w:r w:rsidR="000A5329" w:rsidRPr="002029AF">
        <w:t xml:space="preserve"> </w:t>
      </w:r>
      <w:r w:rsidRPr="002029AF">
        <w:t>and</w:t>
      </w:r>
      <w:r w:rsidR="000A5329" w:rsidRPr="002029AF">
        <w:t xml:space="preserve"> </w:t>
      </w:r>
      <w:r w:rsidRPr="002029AF">
        <w:t>industry</w:t>
      </w:r>
      <w:r w:rsidR="000A5329" w:rsidRPr="002029AF">
        <w:t xml:space="preserve"> </w:t>
      </w:r>
      <w:r w:rsidRPr="002029AF">
        <w:t>data.</w:t>
      </w:r>
    </w:p>
    <w:p w14:paraId="569CAF3B" w14:textId="3AEA1580" w:rsidR="00087B91" w:rsidRPr="002029AF" w:rsidRDefault="00087B91" w:rsidP="00087B91">
      <w:pPr>
        <w:pStyle w:val="Heading4"/>
      </w:pPr>
      <w:r w:rsidRPr="002029AF">
        <w:t>6.6</w:t>
      </w:r>
      <w:r w:rsidR="000A5329" w:rsidRPr="002029AF">
        <w:t xml:space="preserve"> </w:t>
      </w:r>
      <w:r w:rsidRPr="002029AF">
        <w:t>Inventories</w:t>
      </w:r>
    </w:p>
    <w:tbl>
      <w:tblPr>
        <w:tblStyle w:val="TableGrid"/>
        <w:tblW w:w="9637" w:type="dxa"/>
        <w:tblLayout w:type="fixed"/>
        <w:tblLook w:val="06A0" w:firstRow="1" w:lastRow="0" w:firstColumn="1" w:lastColumn="0" w:noHBand="1" w:noVBand="1"/>
      </w:tblPr>
      <w:tblGrid>
        <w:gridCol w:w="7369"/>
        <w:gridCol w:w="1134"/>
        <w:gridCol w:w="1134"/>
      </w:tblGrid>
      <w:tr w:rsidR="00087B91" w:rsidRPr="002029AF" w14:paraId="691248F9"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7369" w:type="dxa"/>
            <w:tcBorders>
              <w:bottom w:val="single" w:sz="4" w:space="0" w:color="auto"/>
            </w:tcBorders>
            <w:noWrap/>
            <w:hideMark/>
          </w:tcPr>
          <w:p w14:paraId="53FB4758" w14:textId="77777777" w:rsidR="00087B91" w:rsidRPr="002029AF" w:rsidRDefault="00087B91" w:rsidP="00860E95">
            <w:pPr>
              <w:pStyle w:val="ARfintablecolhead"/>
            </w:pPr>
          </w:p>
        </w:tc>
        <w:tc>
          <w:tcPr>
            <w:tcW w:w="1134" w:type="dxa"/>
            <w:tcBorders>
              <w:bottom w:val="single" w:sz="4" w:space="0" w:color="auto"/>
            </w:tcBorders>
            <w:shd w:val="clear" w:color="auto" w:fill="E7E6E6"/>
            <w:hideMark/>
          </w:tcPr>
          <w:p w14:paraId="69ECDDCC" w14:textId="77777777" w:rsidR="00087B91" w:rsidRPr="002029AF" w:rsidRDefault="00087B91" w:rsidP="00860E95">
            <w:pPr>
              <w:pStyle w:val="ARfintablecolheadright"/>
            </w:pPr>
            <w:r w:rsidRPr="002029AF">
              <w:t>2020</w:t>
            </w:r>
          </w:p>
          <w:p w14:paraId="3F05CB5A" w14:textId="77777777" w:rsidR="00087B91" w:rsidRPr="002029AF" w:rsidRDefault="00087B91" w:rsidP="00860E95">
            <w:pPr>
              <w:pStyle w:val="ARfintablecolheadright"/>
            </w:pPr>
            <w:r w:rsidRPr="002029AF">
              <w:t>$M</w:t>
            </w:r>
          </w:p>
        </w:tc>
        <w:tc>
          <w:tcPr>
            <w:tcW w:w="1134" w:type="dxa"/>
            <w:tcBorders>
              <w:bottom w:val="single" w:sz="4" w:space="0" w:color="auto"/>
            </w:tcBorders>
            <w:hideMark/>
          </w:tcPr>
          <w:p w14:paraId="5C571948" w14:textId="77777777" w:rsidR="00087B91" w:rsidRPr="002029AF" w:rsidRDefault="00087B91" w:rsidP="00860E95">
            <w:pPr>
              <w:pStyle w:val="ARfintablecolheadright"/>
            </w:pPr>
            <w:r w:rsidRPr="002029AF">
              <w:t>2019</w:t>
            </w:r>
          </w:p>
          <w:p w14:paraId="1471B3FA" w14:textId="77777777" w:rsidR="00087B91" w:rsidRPr="002029AF" w:rsidRDefault="00087B91" w:rsidP="00860E95">
            <w:pPr>
              <w:pStyle w:val="ARfintablecolheadright"/>
            </w:pPr>
            <w:r w:rsidRPr="002029AF">
              <w:t>$M</w:t>
            </w:r>
          </w:p>
        </w:tc>
      </w:tr>
      <w:tr w:rsidR="00087B91" w:rsidRPr="002029AF" w14:paraId="262112FF" w14:textId="77777777" w:rsidTr="00860E95">
        <w:tc>
          <w:tcPr>
            <w:tcW w:w="9637" w:type="dxa"/>
            <w:gridSpan w:val="3"/>
            <w:tcBorders>
              <w:top w:val="single" w:sz="4" w:space="0" w:color="auto"/>
              <w:bottom w:val="single" w:sz="4" w:space="0" w:color="A6A6A6"/>
            </w:tcBorders>
            <w:hideMark/>
          </w:tcPr>
          <w:p w14:paraId="7D865969" w14:textId="746669B7" w:rsidR="00087B91" w:rsidRPr="002029AF" w:rsidRDefault="00087B91" w:rsidP="00860E95">
            <w:pPr>
              <w:pStyle w:val="ARfintablebodybold"/>
            </w:pPr>
            <w:r w:rsidRPr="002029AF">
              <w:t>Current</w:t>
            </w:r>
            <w:r w:rsidR="000A5329" w:rsidRPr="002029AF">
              <w:t xml:space="preserve"> </w:t>
            </w:r>
            <w:r w:rsidRPr="002029AF">
              <w:t>inventories</w:t>
            </w:r>
          </w:p>
        </w:tc>
      </w:tr>
      <w:tr w:rsidR="00087B91" w:rsidRPr="002029AF" w14:paraId="5810DA38" w14:textId="77777777" w:rsidTr="00860E95">
        <w:tc>
          <w:tcPr>
            <w:tcW w:w="9637" w:type="dxa"/>
            <w:gridSpan w:val="3"/>
            <w:tcBorders>
              <w:top w:val="single" w:sz="4" w:space="0" w:color="A6A6A6"/>
              <w:bottom w:val="single" w:sz="4" w:space="0" w:color="A6A6A6"/>
            </w:tcBorders>
            <w:hideMark/>
          </w:tcPr>
          <w:p w14:paraId="5DE2923B" w14:textId="78088A60" w:rsidR="00087B91" w:rsidRPr="002029AF" w:rsidRDefault="00087B91" w:rsidP="00860E95">
            <w:pPr>
              <w:pStyle w:val="ARfintablebodybold"/>
            </w:pPr>
            <w:r w:rsidRPr="002029AF">
              <w:t>Supplies</w:t>
            </w:r>
            <w:r w:rsidR="000A5329" w:rsidRPr="002029AF">
              <w:t xml:space="preserve"> </w:t>
            </w:r>
            <w:r w:rsidRPr="002029AF">
              <w:t>and</w:t>
            </w:r>
            <w:r w:rsidR="000A5329" w:rsidRPr="002029AF">
              <w:t xml:space="preserve"> </w:t>
            </w:r>
            <w:r w:rsidRPr="002029AF">
              <w:t>consumables:</w:t>
            </w:r>
          </w:p>
        </w:tc>
      </w:tr>
      <w:tr w:rsidR="00087B91" w:rsidRPr="002029AF" w14:paraId="0E91D03F" w14:textId="77777777" w:rsidTr="00860E95">
        <w:tc>
          <w:tcPr>
            <w:tcW w:w="7369" w:type="dxa"/>
            <w:tcBorders>
              <w:top w:val="single" w:sz="4" w:space="0" w:color="A6A6A6"/>
            </w:tcBorders>
            <w:hideMark/>
          </w:tcPr>
          <w:p w14:paraId="199068B1" w14:textId="051A9B29" w:rsidR="00087B91" w:rsidRPr="002029AF" w:rsidRDefault="00087B91" w:rsidP="00860E95">
            <w:pPr>
              <w:pStyle w:val="ARfintablebody"/>
            </w:pPr>
            <w:r w:rsidRPr="002029AF">
              <w:t>At</w:t>
            </w:r>
            <w:r w:rsidR="000A5329" w:rsidRPr="002029AF">
              <w:t xml:space="preserve"> </w:t>
            </w:r>
            <w:r w:rsidRPr="002029AF">
              <w:t>cost</w:t>
            </w:r>
          </w:p>
        </w:tc>
        <w:tc>
          <w:tcPr>
            <w:tcW w:w="1134" w:type="dxa"/>
            <w:tcBorders>
              <w:top w:val="single" w:sz="4" w:space="0" w:color="A6A6A6"/>
            </w:tcBorders>
            <w:shd w:val="clear" w:color="auto" w:fill="E7E6E6"/>
            <w:noWrap/>
            <w:hideMark/>
          </w:tcPr>
          <w:p w14:paraId="540D19AE" w14:textId="77777777" w:rsidR="00087B91" w:rsidRPr="002029AF" w:rsidRDefault="00087B91" w:rsidP="00860E95">
            <w:pPr>
              <w:pStyle w:val="ARfintablebodyright"/>
            </w:pPr>
            <w:r w:rsidRPr="002029AF">
              <w:t>411.8</w:t>
            </w:r>
          </w:p>
        </w:tc>
        <w:tc>
          <w:tcPr>
            <w:tcW w:w="1134" w:type="dxa"/>
            <w:tcBorders>
              <w:top w:val="single" w:sz="4" w:space="0" w:color="A6A6A6"/>
            </w:tcBorders>
            <w:noWrap/>
            <w:hideMark/>
          </w:tcPr>
          <w:p w14:paraId="159EF7B6" w14:textId="77777777" w:rsidR="00087B91" w:rsidRPr="002029AF" w:rsidRDefault="00087B91" w:rsidP="00860E95">
            <w:pPr>
              <w:pStyle w:val="ARfintablebodyright"/>
            </w:pPr>
            <w:r w:rsidRPr="002029AF">
              <w:t>–</w:t>
            </w:r>
          </w:p>
        </w:tc>
      </w:tr>
      <w:tr w:rsidR="00087B91" w:rsidRPr="002029AF" w14:paraId="51C855F4" w14:textId="77777777" w:rsidTr="00860E95">
        <w:tc>
          <w:tcPr>
            <w:tcW w:w="7369" w:type="dxa"/>
            <w:hideMark/>
          </w:tcPr>
          <w:p w14:paraId="0AEEAD2C" w14:textId="366E31F8" w:rsidR="00087B91" w:rsidRPr="002029AF" w:rsidRDefault="00087B91" w:rsidP="00860E95">
            <w:pPr>
              <w:pStyle w:val="ARfintablebodybold"/>
            </w:pPr>
            <w:r w:rsidRPr="002029AF">
              <w:t>Total</w:t>
            </w:r>
            <w:r w:rsidR="000A5329" w:rsidRPr="002029AF">
              <w:t xml:space="preserve"> </w:t>
            </w:r>
            <w:r w:rsidRPr="002029AF">
              <w:t>current</w:t>
            </w:r>
            <w:r w:rsidR="000A5329" w:rsidRPr="002029AF">
              <w:t xml:space="preserve"> </w:t>
            </w:r>
            <w:r w:rsidRPr="002029AF">
              <w:t>inventories</w:t>
            </w:r>
          </w:p>
        </w:tc>
        <w:tc>
          <w:tcPr>
            <w:tcW w:w="1134" w:type="dxa"/>
            <w:shd w:val="clear" w:color="auto" w:fill="E7E6E6"/>
            <w:noWrap/>
            <w:hideMark/>
          </w:tcPr>
          <w:p w14:paraId="017631E0" w14:textId="77777777" w:rsidR="00087B91" w:rsidRPr="002029AF" w:rsidRDefault="00087B91" w:rsidP="00860E95">
            <w:pPr>
              <w:pStyle w:val="ARfintablebodyrightbold"/>
            </w:pPr>
            <w:r w:rsidRPr="002029AF">
              <w:t>411.8</w:t>
            </w:r>
          </w:p>
        </w:tc>
        <w:tc>
          <w:tcPr>
            <w:tcW w:w="1134" w:type="dxa"/>
            <w:noWrap/>
            <w:hideMark/>
          </w:tcPr>
          <w:p w14:paraId="2E641D64" w14:textId="77777777" w:rsidR="00087B91" w:rsidRPr="002029AF" w:rsidRDefault="00087B91" w:rsidP="00860E95">
            <w:pPr>
              <w:pStyle w:val="ARfintablebodyrightbold"/>
            </w:pPr>
            <w:r w:rsidRPr="002029AF">
              <w:t>–</w:t>
            </w:r>
          </w:p>
        </w:tc>
      </w:tr>
      <w:tr w:rsidR="00087B91" w:rsidRPr="002029AF" w14:paraId="48321F7D" w14:textId="77777777" w:rsidTr="00860E95">
        <w:tc>
          <w:tcPr>
            <w:tcW w:w="7369" w:type="dxa"/>
            <w:hideMark/>
          </w:tcPr>
          <w:p w14:paraId="0D9641B4" w14:textId="0C06CEF4" w:rsidR="00087B91" w:rsidRPr="002029AF" w:rsidRDefault="00087B91" w:rsidP="00860E95">
            <w:pPr>
              <w:pStyle w:val="ARfintablebodybold"/>
            </w:pPr>
            <w:r w:rsidRPr="002029AF">
              <w:t>Total</w:t>
            </w:r>
            <w:r w:rsidR="000A5329" w:rsidRPr="002029AF">
              <w:t xml:space="preserve"> </w:t>
            </w:r>
            <w:r w:rsidRPr="002029AF">
              <w:t>inventories</w:t>
            </w:r>
          </w:p>
        </w:tc>
        <w:tc>
          <w:tcPr>
            <w:tcW w:w="1134" w:type="dxa"/>
            <w:shd w:val="clear" w:color="auto" w:fill="E7E6E6"/>
            <w:noWrap/>
            <w:hideMark/>
          </w:tcPr>
          <w:p w14:paraId="58636045" w14:textId="77777777" w:rsidR="00087B91" w:rsidRPr="002029AF" w:rsidRDefault="00087B91" w:rsidP="00860E95">
            <w:pPr>
              <w:pStyle w:val="ARfintablebodyrightbold"/>
            </w:pPr>
            <w:r w:rsidRPr="002029AF">
              <w:t>411.8</w:t>
            </w:r>
          </w:p>
        </w:tc>
        <w:tc>
          <w:tcPr>
            <w:tcW w:w="1134" w:type="dxa"/>
            <w:noWrap/>
            <w:hideMark/>
          </w:tcPr>
          <w:p w14:paraId="777114A6" w14:textId="77777777" w:rsidR="00087B91" w:rsidRPr="002029AF" w:rsidRDefault="00087B91" w:rsidP="00860E95">
            <w:pPr>
              <w:pStyle w:val="ARfintablebodyrightbold"/>
            </w:pPr>
            <w:r w:rsidRPr="002029AF">
              <w:t>–</w:t>
            </w:r>
          </w:p>
        </w:tc>
      </w:tr>
    </w:tbl>
    <w:p w14:paraId="45EEC990" w14:textId="1ACDC3D1" w:rsidR="00087B91" w:rsidRPr="002029AF" w:rsidRDefault="00087B91" w:rsidP="00087B91">
      <w:pPr>
        <w:pStyle w:val="ARfinbodyaftertable"/>
      </w:pPr>
      <w:r w:rsidRPr="002029AF">
        <w:t>Inventories</w:t>
      </w:r>
      <w:r w:rsidR="000A5329" w:rsidRPr="002029AF">
        <w:t xml:space="preserve"> </w:t>
      </w:r>
      <w:r w:rsidRPr="002029AF">
        <w:t>include</w:t>
      </w:r>
      <w:r w:rsidR="000A5329" w:rsidRPr="002029AF">
        <w:t xml:space="preserve"> </w:t>
      </w:r>
      <w:r w:rsidRPr="002029AF">
        <w:t>goods,</w:t>
      </w:r>
      <w:r w:rsidR="000A5329" w:rsidRPr="002029AF">
        <w:t xml:space="preserve"> </w:t>
      </w:r>
      <w:r w:rsidRPr="002029AF">
        <w:t>principally</w:t>
      </w:r>
      <w:r w:rsidR="000A5329" w:rsidRPr="002029AF">
        <w:t xml:space="preserve"> </w:t>
      </w:r>
      <w:r w:rsidRPr="002029AF">
        <w:t>personal</w:t>
      </w:r>
      <w:r w:rsidR="000A5329" w:rsidRPr="002029AF">
        <w:t xml:space="preserve"> </w:t>
      </w:r>
      <w:r w:rsidRPr="002029AF">
        <w:t>protective</w:t>
      </w:r>
      <w:r w:rsidR="000A5329" w:rsidRPr="002029AF">
        <w:t xml:space="preserve"> </w:t>
      </w:r>
      <w:r w:rsidRPr="002029AF">
        <w:t>and</w:t>
      </w:r>
      <w:r w:rsidR="000A5329" w:rsidRPr="002029AF">
        <w:t xml:space="preserve"> </w:t>
      </w:r>
      <w:r w:rsidRPr="002029AF">
        <w:t>other</w:t>
      </w:r>
      <w:r w:rsidR="000A5329" w:rsidRPr="002029AF">
        <w:t xml:space="preserve"> </w:t>
      </w:r>
      <w:r w:rsidRPr="002029AF">
        <w:t>equipment,</w:t>
      </w:r>
      <w:r w:rsidR="000A5329" w:rsidRPr="002029AF">
        <w:t xml:space="preserve"> </w:t>
      </w:r>
      <w:r w:rsidRPr="002029AF">
        <w:t>for</w:t>
      </w:r>
      <w:r w:rsidR="000A5329" w:rsidRPr="002029AF">
        <w:t xml:space="preserve"> </w:t>
      </w:r>
      <w:r w:rsidRPr="002029AF">
        <w:t>distribution</w:t>
      </w:r>
      <w:r w:rsidR="000A5329" w:rsidRPr="002029AF">
        <w:t xml:space="preserve"> </w:t>
      </w:r>
      <w:r w:rsidRPr="002029AF">
        <w:t>at</w:t>
      </w:r>
      <w:r w:rsidR="000A5329" w:rsidRPr="002029AF">
        <w:t xml:space="preserve"> </w:t>
      </w:r>
      <w:r w:rsidRPr="002029AF">
        <w:t>zero</w:t>
      </w:r>
      <w:r w:rsidR="000A5329" w:rsidRPr="002029AF">
        <w:t xml:space="preserve"> </w:t>
      </w:r>
      <w:r w:rsidRPr="002029AF">
        <w:t>or</w:t>
      </w:r>
      <w:r w:rsidR="000A5329" w:rsidRPr="002029AF">
        <w:t xml:space="preserve"> </w:t>
      </w:r>
      <w:r w:rsidRPr="002029AF">
        <w:t>nominal</w:t>
      </w:r>
      <w:r w:rsidR="000A5329" w:rsidRPr="002029AF">
        <w:t xml:space="preserve"> </w:t>
      </w:r>
      <w:r w:rsidRPr="002029AF">
        <w:t>cost</w:t>
      </w:r>
      <w:r w:rsidR="000A5329" w:rsidRPr="002029AF">
        <w:t xml:space="preserve"> </w:t>
      </w:r>
      <w:r w:rsidRPr="002029AF">
        <w:t>to</w:t>
      </w:r>
      <w:r w:rsidR="000A5329" w:rsidRPr="002029AF">
        <w:t xml:space="preserve"> </w:t>
      </w:r>
      <w:r w:rsidRPr="002029AF">
        <w:t>assist</w:t>
      </w:r>
      <w:r w:rsidR="000A5329" w:rsidRPr="002029AF">
        <w:t xml:space="preserve"> </w:t>
      </w:r>
      <w:r w:rsidRPr="002029AF">
        <w:t>in</w:t>
      </w:r>
      <w:r w:rsidR="000A5329" w:rsidRPr="002029AF">
        <w:t xml:space="preserve"> </w:t>
      </w:r>
      <w:r w:rsidRPr="002029AF">
        <w:t>the</w:t>
      </w:r>
      <w:r w:rsidR="000A5329" w:rsidRPr="002029AF">
        <w:t xml:space="preserve"> </w:t>
      </w:r>
      <w:r w:rsidRPr="002029AF">
        <w:t>response</w:t>
      </w:r>
      <w:r w:rsidR="000A5329" w:rsidRPr="002029AF">
        <w:t xml:space="preserve"> </w:t>
      </w:r>
      <w:r w:rsidRPr="002029AF">
        <w:t>to</w:t>
      </w:r>
      <w:r w:rsidR="000A5329" w:rsidRPr="002029AF">
        <w:t xml:space="preserve"> </w:t>
      </w:r>
      <w:r w:rsidRPr="002029AF">
        <w:t>coronavirus</w:t>
      </w:r>
      <w:r w:rsidR="000A5329" w:rsidRPr="002029AF">
        <w:t xml:space="preserve"> </w:t>
      </w:r>
      <w:r w:rsidRPr="002029AF">
        <w:t>(COVID-19).</w:t>
      </w:r>
    </w:p>
    <w:p w14:paraId="74B77A44" w14:textId="141DA98D" w:rsidR="00087B91" w:rsidRPr="002029AF" w:rsidRDefault="00087B91" w:rsidP="00087B91">
      <w:pPr>
        <w:pStyle w:val="ARfinbody"/>
      </w:pPr>
      <w:r w:rsidRPr="002029AF">
        <w:t>Inventories</w:t>
      </w:r>
      <w:r w:rsidR="000A5329" w:rsidRPr="002029AF">
        <w:t xml:space="preserve"> </w:t>
      </w:r>
      <w:r w:rsidRPr="002029AF">
        <w:t>held</w:t>
      </w:r>
      <w:r w:rsidR="000A5329" w:rsidRPr="002029AF">
        <w:t xml:space="preserve"> </w:t>
      </w:r>
      <w:r w:rsidRPr="002029AF">
        <w:t>for</w:t>
      </w:r>
      <w:r w:rsidR="000A5329" w:rsidRPr="002029AF">
        <w:t xml:space="preserve"> </w:t>
      </w:r>
      <w:r w:rsidRPr="002029AF">
        <w:t>distribution</w:t>
      </w:r>
      <w:r w:rsidR="000A5329" w:rsidRPr="002029AF">
        <w:t xml:space="preserve"> </w:t>
      </w:r>
      <w:r w:rsidRPr="002029AF">
        <w:t>are</w:t>
      </w:r>
      <w:r w:rsidR="000A5329" w:rsidRPr="002029AF">
        <w:t xml:space="preserve"> </w:t>
      </w:r>
      <w:r w:rsidRPr="002029AF">
        <w:t>measured</w:t>
      </w:r>
      <w:r w:rsidR="000A5329" w:rsidRPr="002029AF">
        <w:t xml:space="preserve"> </w:t>
      </w:r>
      <w:r w:rsidRPr="002029AF">
        <w:t>at</w:t>
      </w:r>
      <w:r w:rsidR="000A5329" w:rsidRPr="002029AF">
        <w:t xml:space="preserve"> </w:t>
      </w:r>
      <w:r w:rsidRPr="002029AF">
        <w:t>cost,</w:t>
      </w:r>
      <w:r w:rsidR="000A5329" w:rsidRPr="002029AF">
        <w:t xml:space="preserve"> </w:t>
      </w:r>
      <w:r w:rsidRPr="002029AF">
        <w:t>adjusted</w:t>
      </w:r>
      <w:r w:rsidR="000A5329" w:rsidRPr="002029AF">
        <w:t xml:space="preserve"> </w:t>
      </w:r>
      <w:r w:rsidRPr="002029AF">
        <w:t>for</w:t>
      </w:r>
      <w:r w:rsidR="000A5329" w:rsidRPr="002029AF">
        <w:t xml:space="preserve"> </w:t>
      </w:r>
      <w:r w:rsidRPr="002029AF">
        <w:t>any</w:t>
      </w:r>
      <w:r w:rsidR="000A5329" w:rsidRPr="002029AF">
        <w:t xml:space="preserve"> </w:t>
      </w:r>
      <w:r w:rsidRPr="002029AF">
        <w:t>loss</w:t>
      </w:r>
      <w:r w:rsidR="000A5329" w:rsidRPr="002029AF">
        <w:t xml:space="preserve"> </w:t>
      </w:r>
      <w:r w:rsidRPr="002029AF">
        <w:t>of</w:t>
      </w:r>
      <w:r w:rsidR="000A5329" w:rsidRPr="002029AF">
        <w:t xml:space="preserve"> </w:t>
      </w:r>
      <w:r w:rsidRPr="002029AF">
        <w:t>service</w:t>
      </w:r>
      <w:r w:rsidR="000A5329" w:rsidRPr="002029AF">
        <w:t xml:space="preserve"> </w:t>
      </w:r>
      <w:r w:rsidRPr="002029AF">
        <w:t>potential.</w:t>
      </w:r>
    </w:p>
    <w:p w14:paraId="3DDA848E" w14:textId="77777777" w:rsidR="00087B91" w:rsidRPr="002029AF" w:rsidRDefault="00087B91" w:rsidP="00087B91">
      <w:pPr>
        <w:pStyle w:val="ARfinbody"/>
      </w:pPr>
      <w:r w:rsidRPr="002029AF">
        <w:br w:type="page"/>
      </w:r>
    </w:p>
    <w:p w14:paraId="031C0D30" w14:textId="4F586461" w:rsidR="00087B91" w:rsidRPr="002029AF" w:rsidRDefault="00087B91" w:rsidP="00087B91">
      <w:pPr>
        <w:pStyle w:val="Heading3"/>
      </w:pPr>
      <w:bookmarkStart w:id="360" w:name="_Toc39242156"/>
      <w:bookmarkStart w:id="361" w:name="_Toc51235518"/>
      <w:bookmarkStart w:id="362" w:name="_Ref52275091"/>
      <w:bookmarkStart w:id="363" w:name="_Ref52282820"/>
      <w:bookmarkStart w:id="364" w:name="_Ref52283829"/>
      <w:bookmarkStart w:id="365" w:name="_Toc54690817"/>
      <w:r w:rsidRPr="002029AF">
        <w:lastRenderedPageBreak/>
        <w:t>7.</w:t>
      </w:r>
      <w:r w:rsidR="000A5329" w:rsidRPr="002029AF">
        <w:t xml:space="preserve"> </w:t>
      </w:r>
      <w:r w:rsidRPr="002029AF">
        <w:t>How</w:t>
      </w:r>
      <w:r w:rsidR="000A5329" w:rsidRPr="002029AF">
        <w:t xml:space="preserve"> </w:t>
      </w:r>
      <w:r w:rsidRPr="002029AF">
        <w:t>we</w:t>
      </w:r>
      <w:r w:rsidR="000A5329" w:rsidRPr="002029AF">
        <w:t xml:space="preserve"> </w:t>
      </w:r>
      <w:r w:rsidRPr="002029AF">
        <w:t>financed</w:t>
      </w:r>
      <w:r w:rsidR="000A5329" w:rsidRPr="002029AF">
        <w:t xml:space="preserve"> </w:t>
      </w:r>
      <w:r w:rsidRPr="002029AF">
        <w:t>our</w:t>
      </w:r>
      <w:r w:rsidR="000A5329" w:rsidRPr="002029AF">
        <w:t xml:space="preserve"> </w:t>
      </w:r>
      <w:r w:rsidRPr="002029AF">
        <w:t>operations</w:t>
      </w:r>
      <w:bookmarkEnd w:id="360"/>
      <w:bookmarkEnd w:id="361"/>
      <w:bookmarkEnd w:id="362"/>
      <w:bookmarkEnd w:id="363"/>
      <w:bookmarkEnd w:id="364"/>
      <w:bookmarkEnd w:id="365"/>
    </w:p>
    <w:p w14:paraId="6632967E" w14:textId="77777777" w:rsidR="00087B91" w:rsidRPr="002029AF" w:rsidRDefault="00087B91" w:rsidP="00087B91">
      <w:pPr>
        <w:pStyle w:val="Heading4"/>
      </w:pPr>
      <w:r w:rsidRPr="002029AF">
        <w:t>Introduction</w:t>
      </w:r>
    </w:p>
    <w:p w14:paraId="3DC4587C" w14:textId="4BE396F9" w:rsidR="00087B91" w:rsidRPr="002029AF" w:rsidRDefault="00087B91" w:rsidP="00087B91">
      <w:pPr>
        <w:pStyle w:val="ARfinbody"/>
      </w:pPr>
      <w:r w:rsidRPr="002029AF">
        <w:t>This</w:t>
      </w:r>
      <w:r w:rsidR="000A5329" w:rsidRPr="002029AF">
        <w:t xml:space="preserve"> </w:t>
      </w:r>
      <w:r w:rsidRPr="002029AF">
        <w:t>section</w:t>
      </w:r>
      <w:r w:rsidR="000A5329" w:rsidRPr="002029AF">
        <w:t xml:space="preserve"> </w:t>
      </w:r>
      <w:r w:rsidRPr="002029AF">
        <w:t>provides</w:t>
      </w:r>
      <w:r w:rsidR="000A5329" w:rsidRPr="002029AF">
        <w:t xml:space="preserve"> </w:t>
      </w:r>
      <w:r w:rsidRPr="002029AF">
        <w:t>information</w:t>
      </w:r>
      <w:r w:rsidR="000A5329" w:rsidRPr="002029AF">
        <w:t xml:space="preserve"> </w:t>
      </w:r>
      <w:r w:rsidRPr="002029AF">
        <w:t>on</w:t>
      </w:r>
      <w:r w:rsidR="000A5329" w:rsidRPr="002029AF">
        <w:t xml:space="preserve"> </w:t>
      </w:r>
      <w:r w:rsidRPr="002029AF">
        <w:t>the</w:t>
      </w:r>
      <w:r w:rsidR="000A5329" w:rsidRPr="002029AF">
        <w:t xml:space="preserve"> </w:t>
      </w:r>
      <w:r w:rsidRPr="002029AF">
        <w:t>sources</w:t>
      </w:r>
      <w:r w:rsidR="000A5329" w:rsidRPr="002029AF">
        <w:t xml:space="preserve"> </w:t>
      </w:r>
      <w:r w:rsidRPr="002029AF">
        <w:t>of</w:t>
      </w:r>
      <w:r w:rsidR="000A5329" w:rsidRPr="002029AF">
        <w:t xml:space="preserve"> </w:t>
      </w:r>
      <w:r w:rsidRPr="002029AF">
        <w:t>finance</w:t>
      </w:r>
      <w:r w:rsidR="000A5329" w:rsidRPr="002029AF">
        <w:t xml:space="preserve"> </w:t>
      </w:r>
      <w:r w:rsidRPr="002029AF">
        <w:t>utilised</w:t>
      </w:r>
      <w:r w:rsidR="000A5329" w:rsidRPr="002029AF">
        <w:t xml:space="preserve"> </w:t>
      </w:r>
      <w:r w:rsidRPr="002029AF">
        <w:t>by</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during</w:t>
      </w:r>
      <w:r w:rsidR="000A5329" w:rsidRPr="002029AF">
        <w:t xml:space="preserve"> </w:t>
      </w:r>
      <w:r w:rsidRPr="002029AF">
        <w:t>its</w:t>
      </w:r>
      <w:r w:rsidR="000A5329" w:rsidRPr="002029AF">
        <w:t xml:space="preserve"> </w:t>
      </w:r>
      <w:r w:rsidRPr="002029AF">
        <w:t>operations,</w:t>
      </w:r>
      <w:r w:rsidR="000A5329" w:rsidRPr="002029AF">
        <w:t xml:space="preserve"> </w:t>
      </w:r>
      <w:r w:rsidRPr="002029AF">
        <w:t>along</w:t>
      </w:r>
      <w:r w:rsidR="000A5329" w:rsidRPr="002029AF">
        <w:t xml:space="preserve"> </w:t>
      </w:r>
      <w:r w:rsidRPr="002029AF">
        <w:t>with</w:t>
      </w:r>
      <w:r w:rsidR="000A5329" w:rsidRPr="002029AF">
        <w:t xml:space="preserve"> </w:t>
      </w:r>
      <w:r w:rsidRPr="002029AF">
        <w:t>interest</w:t>
      </w:r>
      <w:r w:rsidR="000A5329" w:rsidRPr="002029AF">
        <w:t xml:space="preserve"> </w:t>
      </w:r>
      <w:r w:rsidRPr="002029AF">
        <w:t>expenses</w:t>
      </w:r>
      <w:r w:rsidR="000A5329" w:rsidRPr="002029AF">
        <w:t xml:space="preserve"> </w:t>
      </w:r>
      <w:r w:rsidRPr="002029AF">
        <w:t>(the</w:t>
      </w:r>
      <w:r w:rsidR="000A5329" w:rsidRPr="002029AF">
        <w:t xml:space="preserve"> </w:t>
      </w:r>
      <w:r w:rsidRPr="002029AF">
        <w:t>cost</w:t>
      </w:r>
      <w:r w:rsidR="000A5329" w:rsidRPr="002029AF">
        <w:t xml:space="preserve"> </w:t>
      </w:r>
      <w:r w:rsidRPr="002029AF">
        <w:t>of</w:t>
      </w:r>
      <w:r w:rsidR="000A5329" w:rsidRPr="002029AF">
        <w:t xml:space="preserve"> </w:t>
      </w:r>
      <w:r w:rsidRPr="002029AF">
        <w:t>borrowings)</w:t>
      </w:r>
      <w:r w:rsidR="000A5329" w:rsidRPr="002029AF">
        <w:t xml:space="preserve"> </w:t>
      </w:r>
      <w:r w:rsidRPr="002029AF">
        <w:t>and</w:t>
      </w:r>
      <w:r w:rsidR="000A5329" w:rsidRPr="002029AF">
        <w:t xml:space="preserve"> </w:t>
      </w:r>
      <w:r w:rsidRPr="002029AF">
        <w:t>other</w:t>
      </w:r>
      <w:r w:rsidR="000A5329" w:rsidRPr="002029AF">
        <w:t xml:space="preserve"> </w:t>
      </w:r>
      <w:r w:rsidRPr="002029AF">
        <w:t>information</w:t>
      </w:r>
      <w:r w:rsidR="000A5329" w:rsidRPr="002029AF">
        <w:t xml:space="preserve"> </w:t>
      </w:r>
      <w:r w:rsidRPr="002029AF">
        <w:t>related</w:t>
      </w:r>
      <w:r w:rsidR="000A5329" w:rsidRPr="002029AF">
        <w:t xml:space="preserve"> </w:t>
      </w:r>
      <w:r w:rsidRPr="002029AF">
        <w:t>to</w:t>
      </w:r>
      <w:r w:rsidR="000A5329" w:rsidRPr="002029AF">
        <w:t xml:space="preserve"> </w:t>
      </w:r>
      <w:r w:rsidRPr="002029AF">
        <w:t>financing</w:t>
      </w:r>
      <w:r w:rsidR="000A5329" w:rsidRPr="002029AF">
        <w:t xml:space="preserve"> </w:t>
      </w:r>
      <w:r w:rsidRPr="002029AF">
        <w:t>activities</w:t>
      </w:r>
      <w:r w:rsidR="000A5329" w:rsidRPr="002029AF">
        <w:t xml:space="preserve"> </w:t>
      </w:r>
      <w:r w:rsidRPr="002029AF">
        <w:t>of</w:t>
      </w:r>
      <w:r w:rsidR="000A5329" w:rsidRPr="002029AF">
        <w:t xml:space="preserve"> </w:t>
      </w:r>
      <w:r w:rsidRPr="002029AF">
        <w:t>the</w:t>
      </w:r>
      <w:r w:rsidR="000A5329" w:rsidRPr="002029AF">
        <w:t xml:space="preserve"> </w:t>
      </w:r>
      <w:r w:rsidRPr="002029AF">
        <w:t>department.</w:t>
      </w:r>
    </w:p>
    <w:p w14:paraId="30836F6E" w14:textId="35869A94" w:rsidR="00087B91" w:rsidRPr="002029AF" w:rsidRDefault="00087B91" w:rsidP="00087B91">
      <w:pPr>
        <w:pStyle w:val="ARfinbody"/>
      </w:pPr>
      <w:r w:rsidRPr="002029AF">
        <w:t>This</w:t>
      </w:r>
      <w:r w:rsidR="000A5329" w:rsidRPr="002029AF">
        <w:t xml:space="preserve"> </w:t>
      </w:r>
      <w:r w:rsidRPr="002029AF">
        <w:t>section</w:t>
      </w:r>
      <w:r w:rsidR="000A5329" w:rsidRPr="002029AF">
        <w:t xml:space="preserve"> </w:t>
      </w:r>
      <w:r w:rsidRPr="002029AF">
        <w:t>includes</w:t>
      </w:r>
      <w:r w:rsidR="000A5329" w:rsidRPr="002029AF">
        <w:t xml:space="preserve"> </w:t>
      </w:r>
      <w:r w:rsidRPr="002029AF">
        <w:t>disclosures</w:t>
      </w:r>
      <w:r w:rsidR="000A5329" w:rsidRPr="002029AF">
        <w:t xml:space="preserve"> </w:t>
      </w:r>
      <w:r w:rsidRPr="002029AF">
        <w:t>of</w:t>
      </w:r>
      <w:r w:rsidR="000A5329" w:rsidRPr="002029AF">
        <w:t xml:space="preserve"> </w:t>
      </w:r>
      <w:r w:rsidRPr="002029AF">
        <w:t>balances</w:t>
      </w:r>
      <w:r w:rsidR="000A5329" w:rsidRPr="002029AF">
        <w:t xml:space="preserve"> </w:t>
      </w:r>
      <w:r w:rsidRPr="002029AF">
        <w:t>that</w:t>
      </w:r>
      <w:r w:rsidR="000A5329" w:rsidRPr="002029AF">
        <w:t xml:space="preserve"> </w:t>
      </w:r>
      <w:r w:rsidRPr="002029AF">
        <w:t>are</w:t>
      </w:r>
      <w:r w:rsidR="000A5329" w:rsidRPr="002029AF">
        <w:t xml:space="preserve"> </w:t>
      </w:r>
      <w:r w:rsidRPr="002029AF">
        <w:t>financial</w:t>
      </w:r>
      <w:r w:rsidR="000A5329" w:rsidRPr="002029AF">
        <w:t xml:space="preserve"> </w:t>
      </w:r>
      <w:r w:rsidRPr="002029AF">
        <w:t>instruments</w:t>
      </w:r>
      <w:r w:rsidR="000A5329" w:rsidRPr="002029AF">
        <w:t xml:space="preserve"> </w:t>
      </w:r>
      <w:r w:rsidRPr="002029AF">
        <w:t>(such</w:t>
      </w:r>
      <w:r w:rsidR="000A5329" w:rsidRPr="002029AF">
        <w:t xml:space="preserve"> </w:t>
      </w:r>
      <w:r w:rsidRPr="002029AF">
        <w:t>as</w:t>
      </w:r>
      <w:r w:rsidR="000A5329" w:rsidRPr="002029AF">
        <w:t xml:space="preserve"> </w:t>
      </w:r>
      <w:r w:rsidRPr="002029AF">
        <w:t>borrowings</w:t>
      </w:r>
      <w:r w:rsidR="000A5329" w:rsidRPr="002029AF">
        <w:t xml:space="preserve"> </w:t>
      </w:r>
      <w:r w:rsidRPr="002029AF">
        <w:t>and</w:t>
      </w:r>
      <w:r w:rsidR="000A5329" w:rsidRPr="002029AF">
        <w:t xml:space="preserve"> </w:t>
      </w:r>
      <w:r w:rsidRPr="002029AF">
        <w:t>cash</w:t>
      </w:r>
      <w:r w:rsidR="000A5329" w:rsidRPr="002029AF">
        <w:t xml:space="preserve"> </w:t>
      </w:r>
      <w:r w:rsidRPr="002029AF">
        <w:t>balances).</w:t>
      </w:r>
      <w:r w:rsidR="000A5329" w:rsidRPr="002029AF">
        <w:t xml:space="preserve"> </w:t>
      </w:r>
      <w:r w:rsidRPr="002029AF">
        <w:br/>
        <w:t>Notes</w:t>
      </w:r>
      <w:r w:rsidR="000A5329" w:rsidRPr="002029AF">
        <w:t xml:space="preserve"> </w:t>
      </w:r>
      <w:r w:rsidRPr="002029AF">
        <w:t>8.1</w:t>
      </w:r>
      <w:r w:rsidR="000A5329" w:rsidRPr="002029AF">
        <w:t xml:space="preserve"> </w:t>
      </w:r>
      <w:r w:rsidRPr="002029AF">
        <w:t>and</w:t>
      </w:r>
      <w:r w:rsidR="000A5329" w:rsidRPr="002029AF">
        <w:t xml:space="preserve"> </w:t>
      </w:r>
      <w:r w:rsidRPr="002029AF">
        <w:t>8.3</w:t>
      </w:r>
      <w:r w:rsidR="000A5329" w:rsidRPr="002029AF">
        <w:t xml:space="preserve"> </w:t>
      </w:r>
      <w:r w:rsidRPr="002029AF">
        <w:t>provide</w:t>
      </w:r>
      <w:r w:rsidR="000A5329" w:rsidRPr="002029AF">
        <w:t xml:space="preserve"> </w:t>
      </w:r>
      <w:r w:rsidRPr="002029AF">
        <w:t>additional,</w:t>
      </w:r>
      <w:r w:rsidR="000A5329" w:rsidRPr="002029AF">
        <w:t xml:space="preserve"> </w:t>
      </w:r>
      <w:r w:rsidRPr="002029AF">
        <w:t>specific</w:t>
      </w:r>
      <w:r w:rsidR="000A5329" w:rsidRPr="002029AF">
        <w:t xml:space="preserve"> </w:t>
      </w:r>
      <w:r w:rsidRPr="002029AF">
        <w:t>financial</w:t>
      </w:r>
      <w:r w:rsidR="000A5329" w:rsidRPr="002029AF">
        <w:t xml:space="preserve"> </w:t>
      </w:r>
      <w:r w:rsidRPr="002029AF">
        <w:t>instrument</w:t>
      </w:r>
      <w:r w:rsidR="000A5329" w:rsidRPr="002029AF">
        <w:t xml:space="preserve"> </w:t>
      </w:r>
      <w:r w:rsidRPr="002029AF">
        <w:t>disclosures.</w:t>
      </w:r>
    </w:p>
    <w:p w14:paraId="3D569565" w14:textId="77777777" w:rsidR="00087B91" w:rsidRPr="002029AF" w:rsidRDefault="00087B91" w:rsidP="00087B91">
      <w:pPr>
        <w:pStyle w:val="Heading4"/>
      </w:pPr>
      <w:r w:rsidRPr="002029AF">
        <w:t>Structure</w:t>
      </w:r>
    </w:p>
    <w:p w14:paraId="3DAE13A4" w14:textId="77777777" w:rsidR="00087B91" w:rsidRPr="002029AF" w:rsidRDefault="00087B91" w:rsidP="00087B91">
      <w:pPr>
        <w:pStyle w:val="ARfinstructure1"/>
      </w:pPr>
      <w:r w:rsidRPr="002029AF">
        <w:t>7.1</w:t>
      </w:r>
      <w:r w:rsidRPr="002029AF">
        <w:tab/>
        <w:t>Borrowings</w:t>
      </w:r>
    </w:p>
    <w:p w14:paraId="5A344D26" w14:textId="7F9B6AF7" w:rsidR="00087B91" w:rsidRPr="002029AF" w:rsidRDefault="00087B91" w:rsidP="00961519">
      <w:pPr>
        <w:pStyle w:val="ARfinstructure2"/>
        <w:ind w:left="720"/>
      </w:pPr>
      <w:r w:rsidRPr="002029AF">
        <w:t>7.1.1</w:t>
      </w:r>
      <w:r w:rsidRPr="002029AF">
        <w:tab/>
        <w:t>Maturity</w:t>
      </w:r>
      <w:r w:rsidR="000A5329" w:rsidRPr="002029AF">
        <w:t xml:space="preserve"> </w:t>
      </w:r>
      <w:r w:rsidRPr="002029AF">
        <w:t>analysis</w:t>
      </w:r>
      <w:r w:rsidR="000A5329" w:rsidRPr="002029AF">
        <w:t xml:space="preserve"> </w:t>
      </w:r>
      <w:r w:rsidRPr="002029AF">
        <w:t>of</w:t>
      </w:r>
      <w:r w:rsidR="000A5329" w:rsidRPr="002029AF">
        <w:t xml:space="preserve"> </w:t>
      </w:r>
      <w:r w:rsidRPr="002029AF">
        <w:t>borrowings</w:t>
      </w:r>
    </w:p>
    <w:p w14:paraId="23808B17" w14:textId="6C721B04" w:rsidR="00087B91" w:rsidRPr="002029AF" w:rsidRDefault="00087B91" w:rsidP="00961519">
      <w:pPr>
        <w:pStyle w:val="ARfinstructure2"/>
        <w:ind w:left="720"/>
      </w:pPr>
      <w:r w:rsidRPr="002029AF">
        <w:t>7.1.2</w:t>
      </w:r>
      <w:r w:rsidRPr="002029AF">
        <w:tab/>
        <w:t>Interest</w:t>
      </w:r>
      <w:r w:rsidR="000A5329" w:rsidRPr="002029AF">
        <w:t xml:space="preserve"> </w:t>
      </w:r>
      <w:r w:rsidRPr="002029AF">
        <w:t>expense</w:t>
      </w:r>
    </w:p>
    <w:p w14:paraId="1564B47F" w14:textId="77777777" w:rsidR="00087B91" w:rsidRPr="002029AF" w:rsidRDefault="00087B91" w:rsidP="00087B91">
      <w:pPr>
        <w:pStyle w:val="ARfinstructure1"/>
      </w:pPr>
      <w:r w:rsidRPr="002029AF">
        <w:t>7.2</w:t>
      </w:r>
      <w:r w:rsidRPr="002029AF">
        <w:tab/>
        <w:t>Leases</w:t>
      </w:r>
    </w:p>
    <w:p w14:paraId="536D1605" w14:textId="77777777" w:rsidR="00087B91" w:rsidRPr="002029AF" w:rsidRDefault="00087B91" w:rsidP="00961519">
      <w:pPr>
        <w:pStyle w:val="ARfinstructure2"/>
        <w:ind w:left="720"/>
      </w:pPr>
      <w:r w:rsidRPr="002029AF">
        <w:t>7.2.1</w:t>
      </w:r>
      <w:r w:rsidRPr="002029AF">
        <w:tab/>
        <w:t>Leases</w:t>
      </w:r>
    </w:p>
    <w:p w14:paraId="1AF2AC43" w14:textId="43BB8CEC" w:rsidR="00087B91" w:rsidRPr="002029AF" w:rsidRDefault="00087B91" w:rsidP="00087B91">
      <w:pPr>
        <w:pStyle w:val="ARfinstructure1"/>
      </w:pPr>
      <w:r w:rsidRPr="002029AF">
        <w:t>7.3</w:t>
      </w:r>
      <w:r w:rsidRPr="002029AF">
        <w:tab/>
        <w:t>Cash</w:t>
      </w:r>
      <w:r w:rsidR="000A5329" w:rsidRPr="002029AF">
        <w:t xml:space="preserve"> </w:t>
      </w:r>
      <w:r w:rsidRPr="002029AF">
        <w:t>flow</w:t>
      </w:r>
      <w:r w:rsidR="000A5329" w:rsidRPr="002029AF">
        <w:t xml:space="preserve"> </w:t>
      </w:r>
      <w:r w:rsidRPr="002029AF">
        <w:t>information</w:t>
      </w:r>
      <w:r w:rsidR="000A5329" w:rsidRPr="002029AF">
        <w:t xml:space="preserve"> </w:t>
      </w:r>
      <w:r w:rsidRPr="002029AF">
        <w:t>and</w:t>
      </w:r>
      <w:r w:rsidR="000A5329" w:rsidRPr="002029AF">
        <w:t xml:space="preserve"> </w:t>
      </w:r>
      <w:r w:rsidRPr="002029AF">
        <w:t>balances</w:t>
      </w:r>
    </w:p>
    <w:p w14:paraId="6AC75623" w14:textId="0E882025" w:rsidR="00087B91" w:rsidRPr="002029AF" w:rsidRDefault="00087B91" w:rsidP="00961519">
      <w:pPr>
        <w:pStyle w:val="ARfinstructure2"/>
        <w:ind w:left="720"/>
      </w:pPr>
      <w:r w:rsidRPr="002029AF">
        <w:t>7.3.1</w:t>
      </w:r>
      <w:r w:rsidRPr="002029AF">
        <w:tab/>
        <w:t>Reconciliation</w:t>
      </w:r>
      <w:r w:rsidR="000A5329" w:rsidRPr="002029AF">
        <w:t xml:space="preserve"> </w:t>
      </w:r>
      <w:r w:rsidRPr="002029AF">
        <w:t>of</w:t>
      </w:r>
      <w:r w:rsidR="000A5329" w:rsidRPr="002029AF">
        <w:t xml:space="preserve"> </w:t>
      </w:r>
      <w:r w:rsidRPr="002029AF">
        <w:t>net</w:t>
      </w:r>
      <w:r w:rsidR="000A5329" w:rsidRPr="002029AF">
        <w:t xml:space="preserve"> </w:t>
      </w:r>
      <w:r w:rsidRPr="002029AF">
        <w:t>result</w:t>
      </w:r>
      <w:r w:rsidR="000A5329" w:rsidRPr="002029AF">
        <w:t xml:space="preserve"> </w:t>
      </w:r>
      <w:r w:rsidRPr="002029AF">
        <w:t>for</w:t>
      </w:r>
      <w:r w:rsidR="000A5329" w:rsidRPr="002029AF">
        <w:t xml:space="preserve"> </w:t>
      </w:r>
      <w:r w:rsidRPr="002029AF">
        <w:t>the</w:t>
      </w:r>
      <w:r w:rsidR="000A5329" w:rsidRPr="002029AF">
        <w:t xml:space="preserve"> </w:t>
      </w:r>
      <w:r w:rsidRPr="002029AF">
        <w:t>period</w:t>
      </w:r>
      <w:r w:rsidR="000A5329" w:rsidRPr="002029AF">
        <w:t xml:space="preserve"> </w:t>
      </w:r>
      <w:r w:rsidRPr="002029AF">
        <w:t>to</w:t>
      </w:r>
      <w:r w:rsidR="000A5329" w:rsidRPr="002029AF">
        <w:t xml:space="preserve"> </w:t>
      </w:r>
      <w:r w:rsidRPr="002029AF">
        <w:t>net</w:t>
      </w:r>
      <w:r w:rsidR="000A5329" w:rsidRPr="002029AF">
        <w:t xml:space="preserve"> </w:t>
      </w:r>
      <w:r w:rsidRPr="002029AF">
        <w:t>cash</w:t>
      </w:r>
      <w:r w:rsidR="000A5329" w:rsidRPr="002029AF">
        <w:t xml:space="preserve"> </w:t>
      </w:r>
      <w:r w:rsidRPr="002029AF">
        <w:t>flow</w:t>
      </w:r>
      <w:r w:rsidR="000A5329" w:rsidRPr="002029AF">
        <w:t xml:space="preserve"> </w:t>
      </w:r>
      <w:r w:rsidRPr="002029AF">
        <w:t>from</w:t>
      </w:r>
      <w:r w:rsidR="000A5329" w:rsidRPr="002029AF">
        <w:t xml:space="preserve"> </w:t>
      </w:r>
      <w:r w:rsidRPr="002029AF">
        <w:t>operating</w:t>
      </w:r>
      <w:r w:rsidR="000A5329" w:rsidRPr="002029AF">
        <w:t xml:space="preserve"> </w:t>
      </w:r>
      <w:r w:rsidRPr="002029AF">
        <w:t>activities</w:t>
      </w:r>
    </w:p>
    <w:p w14:paraId="7C4067B6" w14:textId="6D3E0949" w:rsidR="00087B91" w:rsidRPr="002029AF" w:rsidRDefault="00087B91" w:rsidP="00087B91">
      <w:pPr>
        <w:pStyle w:val="ARfinstructure1"/>
      </w:pPr>
      <w:r w:rsidRPr="002029AF">
        <w:t>7.4</w:t>
      </w:r>
      <w:r w:rsidRPr="002029AF">
        <w:tab/>
        <w:t>Trust</w:t>
      </w:r>
      <w:r w:rsidR="000A5329" w:rsidRPr="002029AF">
        <w:t xml:space="preserve"> </w:t>
      </w:r>
      <w:r w:rsidRPr="002029AF">
        <w:t>account</w:t>
      </w:r>
    </w:p>
    <w:p w14:paraId="4DD799A4" w14:textId="48CDBF14" w:rsidR="00087B91" w:rsidRPr="002029AF" w:rsidRDefault="00087B91" w:rsidP="00961519">
      <w:pPr>
        <w:pStyle w:val="ARfinstructure2"/>
        <w:ind w:left="720"/>
      </w:pPr>
      <w:r w:rsidRPr="002029AF">
        <w:t>7.4.1</w:t>
      </w:r>
      <w:r w:rsidRPr="002029AF">
        <w:tab/>
        <w:t>Trust</w:t>
      </w:r>
      <w:r w:rsidR="000A5329" w:rsidRPr="002029AF">
        <w:t xml:space="preserve"> </w:t>
      </w:r>
      <w:r w:rsidRPr="002029AF">
        <w:t>account</w:t>
      </w:r>
      <w:r w:rsidR="000A5329" w:rsidRPr="002029AF">
        <w:t xml:space="preserve"> </w:t>
      </w:r>
      <w:r w:rsidRPr="002029AF">
        <w:t>balances</w:t>
      </w:r>
    </w:p>
    <w:p w14:paraId="632E1167" w14:textId="27D337BA" w:rsidR="00087B91" w:rsidRPr="002029AF" w:rsidRDefault="00087B91" w:rsidP="00961519">
      <w:pPr>
        <w:pStyle w:val="ARfinstructure2"/>
        <w:ind w:left="720"/>
      </w:pPr>
      <w:r w:rsidRPr="002029AF">
        <w:t>7.4.2</w:t>
      </w:r>
      <w:r w:rsidRPr="002029AF">
        <w:tab/>
        <w:t>Trust</w:t>
      </w:r>
      <w:r w:rsidR="000A5329" w:rsidRPr="002029AF">
        <w:t xml:space="preserve"> </w:t>
      </w:r>
      <w:r w:rsidRPr="002029AF">
        <w:t>account</w:t>
      </w:r>
      <w:r w:rsidR="000A5329" w:rsidRPr="002029AF">
        <w:t xml:space="preserve"> </w:t>
      </w:r>
      <w:r w:rsidRPr="002029AF">
        <w:t>–</w:t>
      </w:r>
      <w:r w:rsidR="000A5329" w:rsidRPr="002029AF">
        <w:t xml:space="preserve"> </w:t>
      </w:r>
      <w:r w:rsidRPr="002029AF">
        <w:t>Legislative</w:t>
      </w:r>
      <w:r w:rsidR="000A5329" w:rsidRPr="002029AF">
        <w:t xml:space="preserve"> </w:t>
      </w:r>
      <w:r w:rsidRPr="002029AF">
        <w:t>references</w:t>
      </w:r>
      <w:r w:rsidR="000A5329" w:rsidRPr="002029AF">
        <w:t xml:space="preserve"> </w:t>
      </w:r>
      <w:r w:rsidRPr="002029AF">
        <w:t>and</w:t>
      </w:r>
      <w:r w:rsidR="000A5329" w:rsidRPr="002029AF">
        <w:t xml:space="preserve"> </w:t>
      </w:r>
      <w:r w:rsidRPr="002029AF">
        <w:t>nature</w:t>
      </w:r>
    </w:p>
    <w:p w14:paraId="795E7AAD" w14:textId="5DD46C1E" w:rsidR="00087B91" w:rsidRPr="002029AF" w:rsidRDefault="00087B91" w:rsidP="00087B91">
      <w:pPr>
        <w:pStyle w:val="ARfinstructure1"/>
      </w:pPr>
      <w:r w:rsidRPr="002029AF">
        <w:t>7.5</w:t>
      </w:r>
      <w:r w:rsidRPr="002029AF">
        <w:tab/>
        <w:t>Commitments</w:t>
      </w:r>
      <w:r w:rsidR="000A5329" w:rsidRPr="002029AF">
        <w:t xml:space="preserve"> </w:t>
      </w:r>
      <w:r w:rsidRPr="002029AF">
        <w:t>for</w:t>
      </w:r>
      <w:r w:rsidR="000A5329" w:rsidRPr="002029AF">
        <w:t xml:space="preserve"> </w:t>
      </w:r>
      <w:r w:rsidRPr="002029AF">
        <w:t>expenditure</w:t>
      </w:r>
    </w:p>
    <w:p w14:paraId="38952C05" w14:textId="3CDE2E34" w:rsidR="00087B91" w:rsidRPr="002029AF" w:rsidRDefault="00087B91" w:rsidP="00961519">
      <w:pPr>
        <w:pStyle w:val="ARfinstructure2"/>
        <w:ind w:left="720"/>
      </w:pPr>
      <w:r w:rsidRPr="002029AF">
        <w:t>7.5.1</w:t>
      </w:r>
      <w:r w:rsidRPr="002029AF">
        <w:tab/>
        <w:t>Total</w:t>
      </w:r>
      <w:r w:rsidR="000A5329" w:rsidRPr="002029AF">
        <w:t xml:space="preserve"> </w:t>
      </w:r>
      <w:r w:rsidRPr="002029AF">
        <w:t>commitments</w:t>
      </w:r>
      <w:r w:rsidR="000A5329" w:rsidRPr="002029AF">
        <w:t xml:space="preserve"> </w:t>
      </w:r>
      <w:r w:rsidRPr="002029AF">
        <w:t>payable</w:t>
      </w:r>
    </w:p>
    <w:p w14:paraId="4DC68851" w14:textId="787AA4B4" w:rsidR="00087B91" w:rsidRPr="002029AF" w:rsidRDefault="00087B91" w:rsidP="00961519">
      <w:pPr>
        <w:pStyle w:val="ARfinstructure2"/>
        <w:ind w:left="720"/>
      </w:pPr>
      <w:r w:rsidRPr="002029AF">
        <w:t>7.5.2</w:t>
      </w:r>
      <w:r w:rsidRPr="002029AF">
        <w:tab/>
        <w:t>AASB</w:t>
      </w:r>
      <w:r w:rsidR="000A5329" w:rsidRPr="002029AF">
        <w:t xml:space="preserve"> </w:t>
      </w:r>
      <w:r w:rsidRPr="002029AF">
        <w:t>1059</w:t>
      </w:r>
      <w:r w:rsidR="000A5329" w:rsidRPr="002029AF">
        <w:t xml:space="preserve"> </w:t>
      </w:r>
      <w:r w:rsidRPr="002029AF">
        <w:t>Service</w:t>
      </w:r>
      <w:r w:rsidR="000A5329" w:rsidRPr="002029AF">
        <w:t xml:space="preserve"> </w:t>
      </w:r>
      <w:r w:rsidRPr="002029AF">
        <w:t>Concession</w:t>
      </w:r>
      <w:r w:rsidR="000A5329" w:rsidRPr="002029AF">
        <w:t xml:space="preserve"> </w:t>
      </w:r>
      <w:r w:rsidRPr="002029AF">
        <w:t>Arrangements:</w:t>
      </w:r>
      <w:r w:rsidR="000A5329" w:rsidRPr="002029AF">
        <w:t xml:space="preserve"> </w:t>
      </w:r>
      <w:r w:rsidRPr="002029AF">
        <w:t>Grantors</w:t>
      </w:r>
    </w:p>
    <w:p w14:paraId="546876B9" w14:textId="68A73ED3" w:rsidR="00087B91" w:rsidRPr="002029AF" w:rsidRDefault="00087B91" w:rsidP="00087B91">
      <w:pPr>
        <w:pStyle w:val="Heading4"/>
      </w:pPr>
      <w:bookmarkStart w:id="366" w:name="_Toc39242157"/>
      <w:r w:rsidRPr="002029AF">
        <w:t>7.1</w:t>
      </w:r>
      <w:r w:rsidR="000A5329" w:rsidRPr="002029AF">
        <w:t xml:space="preserve"> </w:t>
      </w:r>
      <w:r w:rsidRPr="002029AF">
        <w:t>Borrowings</w:t>
      </w:r>
      <w:bookmarkEnd w:id="366"/>
    </w:p>
    <w:tbl>
      <w:tblPr>
        <w:tblStyle w:val="TableGrid"/>
        <w:tblW w:w="9637" w:type="dxa"/>
        <w:tblLayout w:type="fixed"/>
        <w:tblLook w:val="06A0" w:firstRow="1" w:lastRow="0" w:firstColumn="1" w:lastColumn="0" w:noHBand="1" w:noVBand="1"/>
      </w:tblPr>
      <w:tblGrid>
        <w:gridCol w:w="7369"/>
        <w:gridCol w:w="1134"/>
        <w:gridCol w:w="1134"/>
      </w:tblGrid>
      <w:tr w:rsidR="00087B91" w:rsidRPr="002029AF" w14:paraId="7CC979C3"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7369" w:type="dxa"/>
            <w:tcBorders>
              <w:bottom w:val="single" w:sz="4" w:space="0" w:color="auto"/>
            </w:tcBorders>
            <w:noWrap/>
            <w:hideMark/>
          </w:tcPr>
          <w:p w14:paraId="469F753E" w14:textId="77777777" w:rsidR="00087B91" w:rsidRPr="002029AF" w:rsidRDefault="00087B91" w:rsidP="00860E95">
            <w:pPr>
              <w:pStyle w:val="ARfintablecolhead"/>
            </w:pPr>
          </w:p>
        </w:tc>
        <w:tc>
          <w:tcPr>
            <w:tcW w:w="1134" w:type="dxa"/>
            <w:tcBorders>
              <w:bottom w:val="single" w:sz="4" w:space="0" w:color="auto"/>
            </w:tcBorders>
            <w:shd w:val="clear" w:color="auto" w:fill="E7E6E6"/>
            <w:hideMark/>
          </w:tcPr>
          <w:p w14:paraId="6E61A3C9" w14:textId="77777777" w:rsidR="00087B91" w:rsidRPr="002029AF" w:rsidRDefault="00087B91" w:rsidP="00860E95">
            <w:pPr>
              <w:pStyle w:val="ARfintablecolheadright"/>
            </w:pPr>
            <w:r w:rsidRPr="002029AF">
              <w:t>2020</w:t>
            </w:r>
          </w:p>
          <w:p w14:paraId="32D5552D" w14:textId="77777777" w:rsidR="00087B91" w:rsidRPr="002029AF" w:rsidRDefault="00087B91" w:rsidP="00860E95">
            <w:pPr>
              <w:pStyle w:val="ARfintablecolheadright"/>
            </w:pPr>
            <w:r w:rsidRPr="002029AF">
              <w:t>$M</w:t>
            </w:r>
          </w:p>
        </w:tc>
        <w:tc>
          <w:tcPr>
            <w:tcW w:w="1134" w:type="dxa"/>
            <w:tcBorders>
              <w:bottom w:val="single" w:sz="4" w:space="0" w:color="auto"/>
            </w:tcBorders>
            <w:hideMark/>
          </w:tcPr>
          <w:p w14:paraId="3D315C44" w14:textId="77777777" w:rsidR="00087B91" w:rsidRPr="002029AF" w:rsidRDefault="00087B91" w:rsidP="00860E95">
            <w:pPr>
              <w:pStyle w:val="ARfintablecolheadright"/>
            </w:pPr>
            <w:r w:rsidRPr="002029AF">
              <w:t>2019</w:t>
            </w:r>
          </w:p>
          <w:p w14:paraId="29AD6A08" w14:textId="77777777" w:rsidR="00087B91" w:rsidRPr="002029AF" w:rsidRDefault="00087B91" w:rsidP="00860E95">
            <w:pPr>
              <w:pStyle w:val="ARfintablecolheadright"/>
            </w:pPr>
            <w:r w:rsidRPr="002029AF">
              <w:t>$M</w:t>
            </w:r>
          </w:p>
        </w:tc>
      </w:tr>
      <w:tr w:rsidR="00087B91" w:rsidRPr="002029AF" w14:paraId="3CF5D29A" w14:textId="77777777" w:rsidTr="00860E95">
        <w:tc>
          <w:tcPr>
            <w:tcW w:w="9637" w:type="dxa"/>
            <w:gridSpan w:val="3"/>
            <w:tcBorders>
              <w:top w:val="single" w:sz="4" w:space="0" w:color="auto"/>
              <w:bottom w:val="single" w:sz="4" w:space="0" w:color="A6A6A6"/>
            </w:tcBorders>
            <w:hideMark/>
          </w:tcPr>
          <w:p w14:paraId="58512B45" w14:textId="7BBC8777" w:rsidR="00087B91" w:rsidRPr="002029AF" w:rsidRDefault="00087B91" w:rsidP="00860E95">
            <w:pPr>
              <w:pStyle w:val="ARfintablebodybold"/>
            </w:pPr>
            <w:r w:rsidRPr="002029AF">
              <w:t>Current</w:t>
            </w:r>
            <w:r w:rsidR="000A5329" w:rsidRPr="002029AF">
              <w:t xml:space="preserve"> </w:t>
            </w:r>
            <w:r w:rsidRPr="002029AF">
              <w:t>borrowings</w:t>
            </w:r>
          </w:p>
        </w:tc>
      </w:tr>
      <w:tr w:rsidR="00087B91" w:rsidRPr="002029AF" w14:paraId="6B47AC63" w14:textId="77777777" w:rsidTr="00860E95">
        <w:tc>
          <w:tcPr>
            <w:tcW w:w="7369" w:type="dxa"/>
            <w:tcBorders>
              <w:top w:val="single" w:sz="4" w:space="0" w:color="A6A6A6"/>
              <w:bottom w:val="single" w:sz="4" w:space="0" w:color="A6A6A6"/>
            </w:tcBorders>
            <w:hideMark/>
          </w:tcPr>
          <w:p w14:paraId="3D9D444C" w14:textId="46CCEE54" w:rsidR="00087B91" w:rsidRPr="002029AF" w:rsidRDefault="00087B91" w:rsidP="00860E95">
            <w:pPr>
              <w:pStyle w:val="ARfintablebody"/>
            </w:pPr>
            <w:r w:rsidRPr="002029AF">
              <w:t>Advances</w:t>
            </w:r>
            <w:r w:rsidR="000A5329" w:rsidRPr="002029AF">
              <w:t xml:space="preserve"> </w:t>
            </w:r>
            <w:r w:rsidRPr="002029AF">
              <w:t>from</w:t>
            </w:r>
            <w:r w:rsidR="000A5329" w:rsidRPr="002029AF">
              <w:t xml:space="preserve"> </w:t>
            </w:r>
            <w:r w:rsidRPr="002029AF">
              <w:t>Victorian</w:t>
            </w:r>
            <w:r w:rsidR="000A5329" w:rsidRPr="002029AF">
              <w:t xml:space="preserve"> </w:t>
            </w:r>
            <w:r w:rsidRPr="002029AF">
              <w:t>Government</w:t>
            </w:r>
          </w:p>
        </w:tc>
        <w:tc>
          <w:tcPr>
            <w:tcW w:w="1134" w:type="dxa"/>
            <w:tcBorders>
              <w:top w:val="single" w:sz="4" w:space="0" w:color="A6A6A6"/>
              <w:bottom w:val="single" w:sz="4" w:space="0" w:color="A6A6A6"/>
            </w:tcBorders>
            <w:shd w:val="clear" w:color="auto" w:fill="E7E6E6"/>
            <w:noWrap/>
            <w:hideMark/>
          </w:tcPr>
          <w:p w14:paraId="5551F618" w14:textId="77777777" w:rsidR="00087B91" w:rsidRPr="002029AF" w:rsidRDefault="00087B91" w:rsidP="00860E95">
            <w:pPr>
              <w:pStyle w:val="ARfintablebodyright"/>
            </w:pPr>
            <w:r w:rsidRPr="002029AF">
              <w:t>366.1</w:t>
            </w:r>
          </w:p>
        </w:tc>
        <w:tc>
          <w:tcPr>
            <w:tcW w:w="1134" w:type="dxa"/>
            <w:tcBorders>
              <w:top w:val="single" w:sz="4" w:space="0" w:color="A6A6A6"/>
              <w:bottom w:val="single" w:sz="4" w:space="0" w:color="A6A6A6"/>
            </w:tcBorders>
            <w:noWrap/>
            <w:hideMark/>
          </w:tcPr>
          <w:p w14:paraId="445AD26E" w14:textId="77777777" w:rsidR="00087B91" w:rsidRPr="002029AF" w:rsidRDefault="00087B91" w:rsidP="00860E95">
            <w:pPr>
              <w:pStyle w:val="ARfintablebodyright"/>
            </w:pPr>
            <w:r w:rsidRPr="002029AF">
              <w:t>56.0</w:t>
            </w:r>
          </w:p>
        </w:tc>
      </w:tr>
      <w:tr w:rsidR="00087B91" w:rsidRPr="002029AF" w14:paraId="555369D5" w14:textId="77777777" w:rsidTr="00860E95">
        <w:tc>
          <w:tcPr>
            <w:tcW w:w="7369" w:type="dxa"/>
            <w:tcBorders>
              <w:top w:val="single" w:sz="4" w:space="0" w:color="A6A6A6"/>
            </w:tcBorders>
            <w:hideMark/>
          </w:tcPr>
          <w:p w14:paraId="37AD376B" w14:textId="3B515E35" w:rsidR="00087B91" w:rsidRPr="002029AF" w:rsidRDefault="00087B91" w:rsidP="00860E95">
            <w:pPr>
              <w:pStyle w:val="ARfintablebody"/>
            </w:pPr>
            <w:r w:rsidRPr="002029AF">
              <w:t>Lease</w:t>
            </w:r>
            <w:r w:rsidR="000A5329" w:rsidRPr="002029AF">
              <w:t xml:space="preserve"> </w:t>
            </w:r>
            <w:r w:rsidRPr="002029AF">
              <w:t>liabilities</w:t>
            </w:r>
            <w:r w:rsidR="000A5329" w:rsidRPr="002029AF">
              <w:t xml:space="preserve"> </w:t>
            </w:r>
            <w:r w:rsidRPr="002029AF">
              <w:t>(2019:</w:t>
            </w:r>
            <w:r w:rsidR="000A5329" w:rsidRPr="002029AF">
              <w:t xml:space="preserve"> </w:t>
            </w:r>
            <w:r w:rsidRPr="002029AF">
              <w:t>Finance</w:t>
            </w:r>
            <w:r w:rsidR="000A5329" w:rsidRPr="002029AF">
              <w:t xml:space="preserve"> </w:t>
            </w:r>
            <w:r w:rsidRPr="002029AF">
              <w:t>lease</w:t>
            </w:r>
            <w:r w:rsidR="000A5329" w:rsidRPr="002029AF">
              <w:t xml:space="preserve"> </w:t>
            </w:r>
            <w:r w:rsidRPr="002029AF">
              <w:t>liabilities)</w:t>
            </w:r>
          </w:p>
        </w:tc>
        <w:tc>
          <w:tcPr>
            <w:tcW w:w="1134" w:type="dxa"/>
            <w:tcBorders>
              <w:top w:val="single" w:sz="4" w:space="0" w:color="A6A6A6"/>
            </w:tcBorders>
            <w:shd w:val="clear" w:color="auto" w:fill="E7E6E6"/>
            <w:noWrap/>
            <w:hideMark/>
          </w:tcPr>
          <w:p w14:paraId="0B33DB9E" w14:textId="77777777" w:rsidR="00087B91" w:rsidRPr="002029AF" w:rsidRDefault="00087B91" w:rsidP="00860E95">
            <w:pPr>
              <w:pStyle w:val="ARfintablebodyright"/>
            </w:pPr>
            <w:r w:rsidRPr="002029AF">
              <w:t>35.1</w:t>
            </w:r>
          </w:p>
        </w:tc>
        <w:tc>
          <w:tcPr>
            <w:tcW w:w="1134" w:type="dxa"/>
            <w:tcBorders>
              <w:top w:val="single" w:sz="4" w:space="0" w:color="A6A6A6"/>
            </w:tcBorders>
            <w:noWrap/>
            <w:hideMark/>
          </w:tcPr>
          <w:p w14:paraId="5F7CE469" w14:textId="77777777" w:rsidR="00087B91" w:rsidRPr="002029AF" w:rsidRDefault="00087B91" w:rsidP="00860E95">
            <w:pPr>
              <w:pStyle w:val="ARfintablebodyright"/>
            </w:pPr>
            <w:r w:rsidRPr="002029AF">
              <w:t>15.1</w:t>
            </w:r>
          </w:p>
        </w:tc>
      </w:tr>
      <w:tr w:rsidR="00087B91" w:rsidRPr="002029AF" w14:paraId="29536A91" w14:textId="77777777" w:rsidTr="00860E95">
        <w:tc>
          <w:tcPr>
            <w:tcW w:w="7369" w:type="dxa"/>
            <w:tcBorders>
              <w:bottom w:val="single" w:sz="4" w:space="0" w:color="auto"/>
            </w:tcBorders>
            <w:hideMark/>
          </w:tcPr>
          <w:p w14:paraId="7C0FFA79" w14:textId="51CAB524" w:rsidR="00087B91" w:rsidRPr="002029AF" w:rsidRDefault="00087B91" w:rsidP="00860E95">
            <w:pPr>
              <w:pStyle w:val="ARfintablebodybold"/>
            </w:pPr>
            <w:r w:rsidRPr="002029AF">
              <w:t>Total</w:t>
            </w:r>
            <w:r w:rsidR="000A5329" w:rsidRPr="002029AF">
              <w:t xml:space="preserve"> </w:t>
            </w:r>
            <w:r w:rsidRPr="002029AF">
              <w:t>current</w:t>
            </w:r>
            <w:r w:rsidR="000A5329" w:rsidRPr="002029AF">
              <w:t xml:space="preserve"> </w:t>
            </w:r>
            <w:r w:rsidRPr="002029AF">
              <w:t>borrowings</w:t>
            </w:r>
          </w:p>
        </w:tc>
        <w:tc>
          <w:tcPr>
            <w:tcW w:w="1134" w:type="dxa"/>
            <w:tcBorders>
              <w:bottom w:val="single" w:sz="4" w:space="0" w:color="auto"/>
            </w:tcBorders>
            <w:shd w:val="clear" w:color="auto" w:fill="E7E6E6"/>
            <w:noWrap/>
            <w:hideMark/>
          </w:tcPr>
          <w:p w14:paraId="0C08FBF5" w14:textId="77777777" w:rsidR="00087B91" w:rsidRPr="002029AF" w:rsidRDefault="00087B91" w:rsidP="00860E95">
            <w:pPr>
              <w:pStyle w:val="ARfintablebodyrightbold"/>
            </w:pPr>
            <w:r w:rsidRPr="002029AF">
              <w:t>401.2</w:t>
            </w:r>
          </w:p>
        </w:tc>
        <w:tc>
          <w:tcPr>
            <w:tcW w:w="1134" w:type="dxa"/>
            <w:tcBorders>
              <w:bottom w:val="single" w:sz="4" w:space="0" w:color="auto"/>
            </w:tcBorders>
            <w:noWrap/>
            <w:hideMark/>
          </w:tcPr>
          <w:p w14:paraId="4FB68D31" w14:textId="77777777" w:rsidR="00087B91" w:rsidRPr="002029AF" w:rsidRDefault="00087B91" w:rsidP="00860E95">
            <w:pPr>
              <w:pStyle w:val="ARfintablebodyrightbold"/>
            </w:pPr>
            <w:r w:rsidRPr="002029AF">
              <w:t>71.0</w:t>
            </w:r>
          </w:p>
        </w:tc>
      </w:tr>
      <w:tr w:rsidR="00087B91" w:rsidRPr="002029AF" w14:paraId="3423F1C0" w14:textId="77777777" w:rsidTr="00860E95">
        <w:tc>
          <w:tcPr>
            <w:tcW w:w="9637" w:type="dxa"/>
            <w:gridSpan w:val="3"/>
            <w:tcBorders>
              <w:top w:val="single" w:sz="4" w:space="0" w:color="auto"/>
              <w:bottom w:val="single" w:sz="4" w:space="0" w:color="A6A6A6"/>
            </w:tcBorders>
            <w:hideMark/>
          </w:tcPr>
          <w:p w14:paraId="002C0762" w14:textId="13EFA7F7" w:rsidR="00087B91" w:rsidRPr="002029AF" w:rsidRDefault="00087B91" w:rsidP="00860E95">
            <w:pPr>
              <w:pStyle w:val="ARfintablebodybold"/>
            </w:pPr>
            <w:r w:rsidRPr="002029AF">
              <w:t>Non-current</w:t>
            </w:r>
            <w:r w:rsidR="000A5329" w:rsidRPr="002029AF">
              <w:t xml:space="preserve"> </w:t>
            </w:r>
            <w:r w:rsidRPr="002029AF">
              <w:t>borrowings</w:t>
            </w:r>
          </w:p>
        </w:tc>
      </w:tr>
      <w:tr w:rsidR="00087B91" w:rsidRPr="002029AF" w14:paraId="4C8C5D30" w14:textId="77777777" w:rsidTr="00860E95">
        <w:tc>
          <w:tcPr>
            <w:tcW w:w="7369" w:type="dxa"/>
            <w:tcBorders>
              <w:top w:val="single" w:sz="4" w:space="0" w:color="A6A6A6"/>
              <w:bottom w:val="single" w:sz="4" w:space="0" w:color="A6A6A6"/>
            </w:tcBorders>
            <w:hideMark/>
          </w:tcPr>
          <w:p w14:paraId="61FE209A" w14:textId="03EF7670" w:rsidR="00087B91" w:rsidRPr="002029AF" w:rsidRDefault="00087B91" w:rsidP="00860E95">
            <w:pPr>
              <w:pStyle w:val="ARfintablebody"/>
            </w:pPr>
            <w:r w:rsidRPr="002029AF">
              <w:t>Advances</w:t>
            </w:r>
            <w:r w:rsidR="000A5329" w:rsidRPr="002029AF">
              <w:t xml:space="preserve"> </w:t>
            </w:r>
            <w:r w:rsidRPr="002029AF">
              <w:t>from</w:t>
            </w:r>
            <w:r w:rsidR="000A5329" w:rsidRPr="002029AF">
              <w:t xml:space="preserve"> </w:t>
            </w:r>
            <w:r w:rsidRPr="002029AF">
              <w:t>Victorian</w:t>
            </w:r>
            <w:r w:rsidR="000A5329" w:rsidRPr="002029AF">
              <w:t xml:space="preserve"> </w:t>
            </w:r>
            <w:r w:rsidRPr="002029AF">
              <w:t>Government</w:t>
            </w:r>
          </w:p>
        </w:tc>
        <w:tc>
          <w:tcPr>
            <w:tcW w:w="1134" w:type="dxa"/>
            <w:tcBorders>
              <w:top w:val="single" w:sz="4" w:space="0" w:color="A6A6A6"/>
              <w:bottom w:val="single" w:sz="4" w:space="0" w:color="A6A6A6"/>
            </w:tcBorders>
            <w:shd w:val="clear" w:color="auto" w:fill="E7E6E6"/>
            <w:noWrap/>
            <w:hideMark/>
          </w:tcPr>
          <w:p w14:paraId="6D35919A" w14:textId="77777777" w:rsidR="00087B91" w:rsidRPr="002029AF" w:rsidRDefault="00087B91" w:rsidP="00860E95">
            <w:pPr>
              <w:pStyle w:val="ARfintablebodyright"/>
            </w:pPr>
            <w:r w:rsidRPr="002029AF">
              <w:t>23.0</w:t>
            </w:r>
          </w:p>
        </w:tc>
        <w:tc>
          <w:tcPr>
            <w:tcW w:w="1134" w:type="dxa"/>
            <w:tcBorders>
              <w:top w:val="single" w:sz="4" w:space="0" w:color="A6A6A6"/>
              <w:bottom w:val="single" w:sz="4" w:space="0" w:color="A6A6A6"/>
            </w:tcBorders>
            <w:noWrap/>
            <w:hideMark/>
          </w:tcPr>
          <w:p w14:paraId="3B1FC319" w14:textId="77777777" w:rsidR="00087B91" w:rsidRPr="002029AF" w:rsidRDefault="00087B91" w:rsidP="00860E95">
            <w:pPr>
              <w:pStyle w:val="ARfintablebodyright"/>
            </w:pPr>
            <w:r w:rsidRPr="002029AF">
              <w:t>23.8</w:t>
            </w:r>
          </w:p>
        </w:tc>
      </w:tr>
      <w:tr w:rsidR="00087B91" w:rsidRPr="002029AF" w14:paraId="3A71501F" w14:textId="77777777" w:rsidTr="00860E95">
        <w:tc>
          <w:tcPr>
            <w:tcW w:w="7369" w:type="dxa"/>
            <w:tcBorders>
              <w:top w:val="single" w:sz="4" w:space="0" w:color="A6A6A6"/>
            </w:tcBorders>
            <w:hideMark/>
          </w:tcPr>
          <w:p w14:paraId="3FDFE2BD" w14:textId="1F557075" w:rsidR="00087B91" w:rsidRPr="002029AF" w:rsidRDefault="00087B91" w:rsidP="00860E95">
            <w:pPr>
              <w:pStyle w:val="ARfintablebody"/>
            </w:pPr>
            <w:r w:rsidRPr="002029AF">
              <w:t>Lease</w:t>
            </w:r>
            <w:r w:rsidR="000A5329" w:rsidRPr="002029AF">
              <w:t xml:space="preserve"> </w:t>
            </w:r>
            <w:r w:rsidRPr="002029AF">
              <w:t>liabilities</w:t>
            </w:r>
            <w:r w:rsidR="000A5329" w:rsidRPr="002029AF">
              <w:t xml:space="preserve"> </w:t>
            </w:r>
            <w:r w:rsidRPr="002029AF">
              <w:t>(2019:</w:t>
            </w:r>
            <w:r w:rsidR="000A5329" w:rsidRPr="002029AF">
              <w:t xml:space="preserve"> </w:t>
            </w:r>
            <w:r w:rsidRPr="002029AF">
              <w:t>Finance</w:t>
            </w:r>
            <w:r w:rsidR="000A5329" w:rsidRPr="002029AF">
              <w:t xml:space="preserve"> </w:t>
            </w:r>
            <w:r w:rsidRPr="002029AF">
              <w:t>lease</w:t>
            </w:r>
            <w:r w:rsidR="000A5329" w:rsidRPr="002029AF">
              <w:t xml:space="preserve"> </w:t>
            </w:r>
            <w:r w:rsidRPr="002029AF">
              <w:t>liabilities)</w:t>
            </w:r>
          </w:p>
        </w:tc>
        <w:tc>
          <w:tcPr>
            <w:tcW w:w="1134" w:type="dxa"/>
            <w:tcBorders>
              <w:top w:val="single" w:sz="4" w:space="0" w:color="A6A6A6"/>
            </w:tcBorders>
            <w:shd w:val="clear" w:color="auto" w:fill="E7E6E6"/>
            <w:noWrap/>
            <w:hideMark/>
          </w:tcPr>
          <w:p w14:paraId="0B0A4082" w14:textId="77777777" w:rsidR="00087B91" w:rsidRPr="002029AF" w:rsidRDefault="00087B91" w:rsidP="00860E95">
            <w:pPr>
              <w:pStyle w:val="ARfintablebodyright"/>
            </w:pPr>
            <w:r w:rsidRPr="002029AF">
              <w:t>48.4</w:t>
            </w:r>
          </w:p>
        </w:tc>
        <w:tc>
          <w:tcPr>
            <w:tcW w:w="1134" w:type="dxa"/>
            <w:tcBorders>
              <w:top w:val="single" w:sz="4" w:space="0" w:color="A6A6A6"/>
            </w:tcBorders>
            <w:noWrap/>
            <w:hideMark/>
          </w:tcPr>
          <w:p w14:paraId="23597885" w14:textId="77777777" w:rsidR="00087B91" w:rsidRPr="002029AF" w:rsidRDefault="00087B91" w:rsidP="00860E95">
            <w:pPr>
              <w:pStyle w:val="ARfintablebodyright"/>
            </w:pPr>
            <w:r w:rsidRPr="002029AF">
              <w:t>17.9</w:t>
            </w:r>
          </w:p>
        </w:tc>
      </w:tr>
      <w:tr w:rsidR="00087B91" w:rsidRPr="002029AF" w14:paraId="431FDE64" w14:textId="77777777" w:rsidTr="00860E95">
        <w:tc>
          <w:tcPr>
            <w:tcW w:w="7369" w:type="dxa"/>
            <w:hideMark/>
          </w:tcPr>
          <w:p w14:paraId="281B8BE1" w14:textId="4B7A0975" w:rsidR="00087B91" w:rsidRPr="002029AF" w:rsidRDefault="00087B91" w:rsidP="00860E95">
            <w:pPr>
              <w:pStyle w:val="ARfintablebodybold"/>
            </w:pPr>
            <w:r w:rsidRPr="002029AF">
              <w:t>Total</w:t>
            </w:r>
            <w:r w:rsidR="000A5329" w:rsidRPr="002029AF">
              <w:t xml:space="preserve"> </w:t>
            </w:r>
            <w:r w:rsidRPr="002029AF">
              <w:t>non-current</w:t>
            </w:r>
            <w:r w:rsidR="000A5329" w:rsidRPr="002029AF">
              <w:t xml:space="preserve"> </w:t>
            </w:r>
            <w:r w:rsidRPr="002029AF">
              <w:t>borrowings</w:t>
            </w:r>
          </w:p>
        </w:tc>
        <w:tc>
          <w:tcPr>
            <w:tcW w:w="1134" w:type="dxa"/>
            <w:shd w:val="clear" w:color="auto" w:fill="E7E6E6"/>
            <w:noWrap/>
            <w:hideMark/>
          </w:tcPr>
          <w:p w14:paraId="43D20FAE" w14:textId="77777777" w:rsidR="00087B91" w:rsidRPr="002029AF" w:rsidRDefault="00087B91" w:rsidP="00860E95">
            <w:pPr>
              <w:pStyle w:val="ARfintablebodyrightbold"/>
            </w:pPr>
            <w:r w:rsidRPr="002029AF">
              <w:t>71.4</w:t>
            </w:r>
          </w:p>
        </w:tc>
        <w:tc>
          <w:tcPr>
            <w:tcW w:w="1134" w:type="dxa"/>
            <w:noWrap/>
            <w:hideMark/>
          </w:tcPr>
          <w:p w14:paraId="6CB050FD" w14:textId="77777777" w:rsidR="00087B91" w:rsidRPr="002029AF" w:rsidRDefault="00087B91" w:rsidP="00860E95">
            <w:pPr>
              <w:pStyle w:val="ARfintablebodyrightbold"/>
            </w:pPr>
            <w:r w:rsidRPr="002029AF">
              <w:t>41.7</w:t>
            </w:r>
          </w:p>
        </w:tc>
      </w:tr>
      <w:tr w:rsidR="00087B91" w:rsidRPr="002029AF" w14:paraId="4406351F" w14:textId="77777777" w:rsidTr="00860E95">
        <w:tc>
          <w:tcPr>
            <w:tcW w:w="7369" w:type="dxa"/>
            <w:hideMark/>
          </w:tcPr>
          <w:p w14:paraId="38A36C22" w14:textId="09793467" w:rsidR="00087B91" w:rsidRPr="002029AF" w:rsidRDefault="00087B91" w:rsidP="00860E95">
            <w:pPr>
              <w:pStyle w:val="ARfintablebodybold"/>
            </w:pPr>
            <w:r w:rsidRPr="002029AF">
              <w:t>Total</w:t>
            </w:r>
            <w:r w:rsidR="000A5329" w:rsidRPr="002029AF">
              <w:t xml:space="preserve"> </w:t>
            </w:r>
            <w:r w:rsidRPr="002029AF">
              <w:t>borrowings</w:t>
            </w:r>
          </w:p>
        </w:tc>
        <w:tc>
          <w:tcPr>
            <w:tcW w:w="1134" w:type="dxa"/>
            <w:shd w:val="clear" w:color="auto" w:fill="E7E6E6"/>
            <w:noWrap/>
            <w:hideMark/>
          </w:tcPr>
          <w:p w14:paraId="70782AF7" w14:textId="77777777" w:rsidR="00087B91" w:rsidRPr="002029AF" w:rsidRDefault="00087B91" w:rsidP="00860E95">
            <w:pPr>
              <w:pStyle w:val="ARfintablebodyrightbold"/>
            </w:pPr>
            <w:r w:rsidRPr="002029AF">
              <w:t>472.6</w:t>
            </w:r>
          </w:p>
        </w:tc>
        <w:tc>
          <w:tcPr>
            <w:tcW w:w="1134" w:type="dxa"/>
            <w:noWrap/>
            <w:hideMark/>
          </w:tcPr>
          <w:p w14:paraId="4D154508" w14:textId="77777777" w:rsidR="00087B91" w:rsidRPr="002029AF" w:rsidRDefault="00087B91" w:rsidP="00860E95">
            <w:pPr>
              <w:pStyle w:val="ARfintablebodyrightbold"/>
            </w:pPr>
            <w:r w:rsidRPr="002029AF">
              <w:t>112.8</w:t>
            </w:r>
          </w:p>
        </w:tc>
      </w:tr>
    </w:tbl>
    <w:p w14:paraId="3D30D1B6" w14:textId="72518B3A" w:rsidR="00087B91" w:rsidRPr="002029AF" w:rsidRDefault="00087B91" w:rsidP="00087B91">
      <w:pPr>
        <w:pStyle w:val="ARfinbodyaftertable"/>
      </w:pPr>
      <w:r w:rsidRPr="002029AF">
        <w:t>Borrowings</w:t>
      </w:r>
      <w:r w:rsidR="000A5329" w:rsidRPr="002029AF">
        <w:t xml:space="preserve"> </w:t>
      </w:r>
      <w:r w:rsidRPr="002029AF">
        <w:t>are</w:t>
      </w:r>
      <w:r w:rsidR="000A5329" w:rsidRPr="002029AF">
        <w:t xml:space="preserve"> </w:t>
      </w:r>
      <w:r w:rsidRPr="002029AF">
        <w:t>classified</w:t>
      </w:r>
      <w:r w:rsidR="000A5329" w:rsidRPr="002029AF">
        <w:t xml:space="preserve"> </w:t>
      </w:r>
      <w:r w:rsidRPr="002029AF">
        <w:t>as</w:t>
      </w:r>
      <w:r w:rsidR="000A5329" w:rsidRPr="002029AF">
        <w:t xml:space="preserve"> </w:t>
      </w:r>
      <w:r w:rsidRPr="002029AF">
        <w:t>financial</w:t>
      </w:r>
      <w:r w:rsidR="000A5329" w:rsidRPr="002029AF">
        <w:t xml:space="preserve"> </w:t>
      </w:r>
      <w:r w:rsidRPr="002029AF">
        <w:t>instruments.</w:t>
      </w:r>
      <w:r w:rsidR="000A5329" w:rsidRPr="002029AF">
        <w:t xml:space="preserve"> </w:t>
      </w:r>
      <w:r w:rsidRPr="002029AF">
        <w:t>All</w:t>
      </w:r>
      <w:r w:rsidR="000A5329" w:rsidRPr="002029AF">
        <w:t xml:space="preserve"> </w:t>
      </w:r>
      <w:r w:rsidR="007D6340" w:rsidRPr="002029AF">
        <w:t>interest-bearing</w:t>
      </w:r>
      <w:r w:rsidR="000A5329" w:rsidRPr="002029AF">
        <w:t xml:space="preserve"> </w:t>
      </w:r>
      <w:r w:rsidRPr="002029AF">
        <w:t>liabilities</w:t>
      </w:r>
      <w:r w:rsidR="000A5329" w:rsidRPr="002029AF">
        <w:t xml:space="preserve"> </w:t>
      </w:r>
      <w:r w:rsidRPr="002029AF">
        <w:t>are</w:t>
      </w:r>
      <w:r w:rsidR="000A5329" w:rsidRPr="002029AF">
        <w:t xml:space="preserve"> </w:t>
      </w:r>
      <w:r w:rsidRPr="002029AF">
        <w:t>initially</w:t>
      </w:r>
      <w:r w:rsidR="000A5329" w:rsidRPr="002029AF">
        <w:t xml:space="preserve"> </w:t>
      </w:r>
      <w:r w:rsidRPr="002029AF">
        <w:t>recognised</w:t>
      </w:r>
      <w:r w:rsidR="000A5329" w:rsidRPr="002029AF">
        <w:t xml:space="preserve"> </w:t>
      </w:r>
      <w:r w:rsidRPr="002029AF">
        <w:t>at</w:t>
      </w:r>
      <w:r w:rsidR="000A5329" w:rsidRPr="002029AF">
        <w:t xml:space="preserve"> </w:t>
      </w:r>
      <w:r w:rsidRPr="002029AF">
        <w:t>the</w:t>
      </w:r>
      <w:r w:rsidR="000A5329" w:rsidRPr="002029AF">
        <w:t xml:space="preserve"> </w:t>
      </w:r>
      <w:r w:rsidRPr="002029AF">
        <w:t>fair</w:t>
      </w:r>
      <w:r w:rsidR="000A5329" w:rsidRPr="002029AF">
        <w:t xml:space="preserve"> </w:t>
      </w:r>
      <w:r w:rsidRPr="002029AF">
        <w:t>value</w:t>
      </w:r>
      <w:r w:rsidR="000A5329" w:rsidRPr="002029AF">
        <w:t xml:space="preserve"> </w:t>
      </w:r>
      <w:r w:rsidRPr="002029AF">
        <w:t>of</w:t>
      </w:r>
      <w:r w:rsidR="000A5329" w:rsidRPr="002029AF">
        <w:t xml:space="preserve"> </w:t>
      </w:r>
      <w:r w:rsidRPr="002029AF">
        <w:t>the</w:t>
      </w:r>
      <w:r w:rsidR="000A5329" w:rsidRPr="002029AF">
        <w:t xml:space="preserve"> </w:t>
      </w:r>
      <w:r w:rsidRPr="002029AF">
        <w:t>consideration</w:t>
      </w:r>
      <w:r w:rsidR="000A5329" w:rsidRPr="002029AF">
        <w:t xml:space="preserve"> </w:t>
      </w:r>
      <w:r w:rsidRPr="002029AF">
        <w:t>received,</w:t>
      </w:r>
      <w:r w:rsidR="000A5329" w:rsidRPr="002029AF">
        <w:t xml:space="preserve"> </w:t>
      </w:r>
      <w:r w:rsidRPr="002029AF">
        <w:t>less</w:t>
      </w:r>
      <w:r w:rsidR="000A5329" w:rsidRPr="002029AF">
        <w:t xml:space="preserve"> </w:t>
      </w:r>
      <w:r w:rsidRPr="002029AF">
        <w:t>directly</w:t>
      </w:r>
      <w:r w:rsidR="000A5329" w:rsidRPr="002029AF">
        <w:t xml:space="preserve"> </w:t>
      </w:r>
      <w:r w:rsidRPr="002029AF">
        <w:t>attributable</w:t>
      </w:r>
      <w:r w:rsidR="000A5329" w:rsidRPr="002029AF">
        <w:t xml:space="preserve"> </w:t>
      </w:r>
      <w:r w:rsidRPr="002029AF">
        <w:t>transaction</w:t>
      </w:r>
      <w:r w:rsidR="000A5329" w:rsidRPr="002029AF">
        <w:t xml:space="preserve"> </w:t>
      </w:r>
      <w:r w:rsidRPr="002029AF">
        <w:t>costs.</w:t>
      </w:r>
      <w:r w:rsidR="000A5329" w:rsidRPr="002029AF">
        <w:t xml:space="preserve"> </w:t>
      </w:r>
      <w:r w:rsidRPr="002029AF">
        <w:t>The</w:t>
      </w:r>
      <w:r w:rsidR="000A5329" w:rsidRPr="002029AF">
        <w:t xml:space="preserve"> </w:t>
      </w:r>
      <w:r w:rsidRPr="002029AF">
        <w:t>measurement</w:t>
      </w:r>
      <w:r w:rsidR="000A5329" w:rsidRPr="002029AF">
        <w:t xml:space="preserve"> </w:t>
      </w:r>
      <w:r w:rsidRPr="002029AF">
        <w:t>basis</w:t>
      </w:r>
      <w:r w:rsidR="000A5329" w:rsidRPr="002029AF">
        <w:t xml:space="preserve"> </w:t>
      </w:r>
      <w:r w:rsidRPr="002029AF">
        <w:t>subsequent</w:t>
      </w:r>
      <w:r w:rsidR="000A5329" w:rsidRPr="002029AF">
        <w:t xml:space="preserve"> </w:t>
      </w:r>
      <w:r w:rsidRPr="002029AF">
        <w:t>to</w:t>
      </w:r>
      <w:r w:rsidR="000A5329" w:rsidRPr="002029AF">
        <w:t xml:space="preserve"> </w:t>
      </w:r>
      <w:r w:rsidRPr="002029AF">
        <w:t>initial</w:t>
      </w:r>
      <w:r w:rsidR="000A5329" w:rsidRPr="002029AF">
        <w:t xml:space="preserve"> </w:t>
      </w:r>
      <w:r w:rsidRPr="002029AF">
        <w:t>recognition</w:t>
      </w:r>
      <w:r w:rsidR="000A5329" w:rsidRPr="002029AF">
        <w:t xml:space="preserve"> </w:t>
      </w:r>
      <w:r w:rsidRPr="002029AF">
        <w:t>depends</w:t>
      </w:r>
      <w:r w:rsidR="000A5329" w:rsidRPr="002029AF">
        <w:t xml:space="preserve"> </w:t>
      </w:r>
      <w:r w:rsidRPr="002029AF">
        <w:t>on</w:t>
      </w:r>
      <w:r w:rsidR="000A5329" w:rsidRPr="002029AF">
        <w:t xml:space="preserve"> </w:t>
      </w:r>
      <w:r w:rsidRPr="002029AF">
        <w:t>whether</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categorised</w:t>
      </w:r>
      <w:r w:rsidR="000A5329" w:rsidRPr="002029AF">
        <w:t xml:space="preserve"> </w:t>
      </w:r>
      <w:r w:rsidRPr="002029AF">
        <w:t>its</w:t>
      </w:r>
      <w:r w:rsidR="000A5329" w:rsidRPr="002029AF">
        <w:t xml:space="preserve"> </w:t>
      </w:r>
      <w:r w:rsidR="007D6340" w:rsidRPr="002029AF">
        <w:t>interest-bearing</w:t>
      </w:r>
      <w:r w:rsidR="000A5329" w:rsidRPr="002029AF">
        <w:t xml:space="preserve"> </w:t>
      </w:r>
      <w:r w:rsidRPr="002029AF">
        <w:t>liabilities</w:t>
      </w:r>
      <w:r w:rsidR="000A5329" w:rsidRPr="002029AF">
        <w:t xml:space="preserve"> </w:t>
      </w:r>
      <w:r w:rsidRPr="002029AF">
        <w:t>as</w:t>
      </w:r>
      <w:r w:rsidR="000A5329" w:rsidRPr="002029AF">
        <w:t xml:space="preserve"> </w:t>
      </w:r>
      <w:r w:rsidRPr="002029AF">
        <w:t>either</w:t>
      </w:r>
      <w:r w:rsidR="000A5329" w:rsidRPr="002029AF">
        <w:t xml:space="preserve"> </w:t>
      </w:r>
      <w:r w:rsidRPr="002029AF">
        <w:t>‘financial</w:t>
      </w:r>
      <w:r w:rsidR="000A5329" w:rsidRPr="002029AF">
        <w:t xml:space="preserve"> </w:t>
      </w:r>
      <w:r w:rsidRPr="002029AF">
        <w:t>liabilities</w:t>
      </w:r>
      <w:r w:rsidR="000A5329" w:rsidRPr="002029AF">
        <w:t xml:space="preserve"> </w:t>
      </w:r>
      <w:r w:rsidRPr="002029AF">
        <w:t>designated</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r w:rsidR="000A5329" w:rsidRPr="002029AF">
        <w:t xml:space="preserve"> </w:t>
      </w:r>
      <w:r w:rsidRPr="002029AF">
        <w:t>through</w:t>
      </w:r>
      <w:r w:rsidR="000A5329" w:rsidRPr="002029AF">
        <w:t xml:space="preserve"> </w:t>
      </w:r>
      <w:r w:rsidRPr="002029AF">
        <w:t>profit</w:t>
      </w:r>
      <w:r w:rsidR="000A5329" w:rsidRPr="002029AF">
        <w:t xml:space="preserve"> </w:t>
      </w:r>
      <w:r w:rsidRPr="002029AF">
        <w:t>or</w:t>
      </w:r>
      <w:r w:rsidR="000A5329" w:rsidRPr="002029AF">
        <w:t xml:space="preserve"> </w:t>
      </w:r>
      <w:r w:rsidRPr="002029AF">
        <w:t>loss’,</w:t>
      </w:r>
      <w:r w:rsidR="000A5329" w:rsidRPr="002029AF">
        <w:t xml:space="preserve"> </w:t>
      </w:r>
      <w:r w:rsidRPr="002029AF">
        <w:t>or</w:t>
      </w:r>
      <w:r w:rsidR="000A5329" w:rsidRPr="002029AF">
        <w:t xml:space="preserve"> </w:t>
      </w:r>
      <w:r w:rsidRPr="002029AF">
        <w:t>financial</w:t>
      </w:r>
      <w:r w:rsidR="000A5329" w:rsidRPr="002029AF">
        <w:t xml:space="preserve"> </w:t>
      </w:r>
      <w:r w:rsidRPr="002029AF">
        <w:t>liabilities</w:t>
      </w:r>
      <w:r w:rsidR="000A5329" w:rsidRPr="002029AF">
        <w:t xml:space="preserve"> </w:t>
      </w:r>
      <w:r w:rsidRPr="002029AF">
        <w:t>at</w:t>
      </w:r>
      <w:r w:rsidR="000A5329" w:rsidRPr="002029AF">
        <w:t xml:space="preserve"> </w:t>
      </w:r>
      <w:r w:rsidRPr="002029AF">
        <w:t>‘amortised</w:t>
      </w:r>
      <w:r w:rsidR="000A5329" w:rsidRPr="002029AF">
        <w:t xml:space="preserve"> </w:t>
      </w:r>
      <w:r w:rsidRPr="002029AF">
        <w:t>cost’.</w:t>
      </w:r>
      <w:r w:rsidR="000A5329" w:rsidRPr="002029AF">
        <w:t xml:space="preserve"> </w:t>
      </w:r>
      <w:r w:rsidRPr="002029AF">
        <w:t>The</w:t>
      </w:r>
      <w:r w:rsidR="000A5329" w:rsidRPr="002029AF">
        <w:t xml:space="preserve"> </w:t>
      </w:r>
      <w:r w:rsidRPr="002029AF">
        <w:t>classification</w:t>
      </w:r>
      <w:r w:rsidR="000A5329" w:rsidRPr="002029AF">
        <w:t xml:space="preserve"> </w:t>
      </w:r>
      <w:r w:rsidRPr="002029AF">
        <w:t>depends</w:t>
      </w:r>
      <w:r w:rsidR="000A5329" w:rsidRPr="002029AF">
        <w:t xml:space="preserve"> </w:t>
      </w:r>
      <w:r w:rsidRPr="002029AF">
        <w:t>on</w:t>
      </w:r>
      <w:r w:rsidR="000A5329" w:rsidRPr="002029AF">
        <w:t xml:space="preserve"> </w:t>
      </w:r>
      <w:r w:rsidRPr="002029AF">
        <w:t>the</w:t>
      </w:r>
      <w:r w:rsidR="000A5329" w:rsidRPr="002029AF">
        <w:t xml:space="preserve"> </w:t>
      </w:r>
      <w:r w:rsidRPr="002029AF">
        <w:t>nature</w:t>
      </w:r>
      <w:r w:rsidR="000A5329" w:rsidRPr="002029AF">
        <w:t xml:space="preserve"> </w:t>
      </w:r>
      <w:r w:rsidRPr="002029AF">
        <w:t>and</w:t>
      </w:r>
      <w:r w:rsidR="000A5329" w:rsidRPr="002029AF">
        <w:t xml:space="preserve"> </w:t>
      </w:r>
      <w:r w:rsidRPr="002029AF">
        <w:t>purpose</w:t>
      </w:r>
      <w:r w:rsidR="000A5329" w:rsidRPr="002029AF">
        <w:t xml:space="preserve"> </w:t>
      </w:r>
      <w:r w:rsidRPr="002029AF">
        <w:t>of</w:t>
      </w:r>
      <w:r w:rsidR="000A5329" w:rsidRPr="002029AF">
        <w:t xml:space="preserve"> </w:t>
      </w:r>
      <w:r w:rsidRPr="002029AF">
        <w:t>the</w:t>
      </w:r>
      <w:r w:rsidR="000A5329" w:rsidRPr="002029AF">
        <w:t xml:space="preserve"> </w:t>
      </w:r>
      <w:r w:rsidRPr="002029AF">
        <w:t>interest-bearing</w:t>
      </w:r>
      <w:r w:rsidR="000A5329" w:rsidRPr="002029AF">
        <w:t xml:space="preserve"> </w:t>
      </w:r>
      <w:r w:rsidRPr="002029AF">
        <w:t>liabilities.</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determines</w:t>
      </w:r>
      <w:r w:rsidR="000A5329" w:rsidRPr="002029AF">
        <w:t xml:space="preserve"> </w:t>
      </w:r>
      <w:r w:rsidRPr="002029AF">
        <w:t>the</w:t>
      </w:r>
      <w:r w:rsidR="000A5329" w:rsidRPr="002029AF">
        <w:t xml:space="preserve"> </w:t>
      </w:r>
      <w:r w:rsidRPr="002029AF">
        <w:t>classification</w:t>
      </w:r>
      <w:r w:rsidR="000A5329" w:rsidRPr="002029AF">
        <w:t xml:space="preserve"> </w:t>
      </w:r>
      <w:r w:rsidRPr="002029AF">
        <w:t>of</w:t>
      </w:r>
      <w:r w:rsidR="000A5329" w:rsidRPr="002029AF">
        <w:t xml:space="preserve"> </w:t>
      </w:r>
      <w:r w:rsidR="007D6340" w:rsidRPr="002029AF">
        <w:t>interest-bearing</w:t>
      </w:r>
      <w:r w:rsidR="000A5329" w:rsidRPr="002029AF">
        <w:t xml:space="preserve"> </w:t>
      </w:r>
      <w:r w:rsidRPr="002029AF">
        <w:t>liabilities</w:t>
      </w:r>
      <w:r w:rsidR="000A5329" w:rsidRPr="002029AF">
        <w:t xml:space="preserve"> </w:t>
      </w:r>
      <w:r w:rsidRPr="002029AF">
        <w:t>at</w:t>
      </w:r>
      <w:r w:rsidR="000A5329" w:rsidRPr="002029AF">
        <w:t xml:space="preserve"> </w:t>
      </w:r>
      <w:r w:rsidRPr="002029AF">
        <w:t>initial</w:t>
      </w:r>
      <w:r w:rsidR="000A5329" w:rsidRPr="002029AF">
        <w:t xml:space="preserve"> </w:t>
      </w:r>
      <w:r w:rsidRPr="002029AF">
        <w:t>recognition.</w:t>
      </w:r>
    </w:p>
    <w:p w14:paraId="14E9F8BB" w14:textId="5D44CDB4" w:rsidR="00087B91" w:rsidRPr="002029AF" w:rsidRDefault="00087B91" w:rsidP="00087B91">
      <w:pPr>
        <w:pStyle w:val="ARfinbody"/>
      </w:pPr>
      <w:r w:rsidRPr="002029AF">
        <w:rPr>
          <w:rStyle w:val="Strong"/>
        </w:rPr>
        <w:t>Defaults</w:t>
      </w:r>
      <w:r w:rsidR="000A5329" w:rsidRPr="002029AF">
        <w:rPr>
          <w:rStyle w:val="Strong"/>
        </w:rPr>
        <w:t xml:space="preserve"> </w:t>
      </w:r>
      <w:r w:rsidRPr="002029AF">
        <w:rPr>
          <w:rStyle w:val="Strong"/>
        </w:rPr>
        <w:t>and</w:t>
      </w:r>
      <w:r w:rsidR="000A5329" w:rsidRPr="002029AF">
        <w:rPr>
          <w:rStyle w:val="Strong"/>
        </w:rPr>
        <w:t xml:space="preserve"> </w:t>
      </w:r>
      <w:r w:rsidRPr="002029AF">
        <w:rPr>
          <w:rStyle w:val="Strong"/>
        </w:rPr>
        <w:t>breaches:</w:t>
      </w:r>
      <w:r w:rsidR="000A5329" w:rsidRPr="002029AF">
        <w:t xml:space="preserve"> </w:t>
      </w:r>
      <w:r w:rsidRPr="002029AF">
        <w:t>During</w:t>
      </w:r>
      <w:r w:rsidR="000A5329" w:rsidRPr="002029AF">
        <w:t xml:space="preserve"> </w:t>
      </w:r>
      <w:r w:rsidRPr="002029AF">
        <w:t>the</w:t>
      </w:r>
      <w:r w:rsidR="000A5329" w:rsidRPr="002029AF">
        <w:t xml:space="preserve"> </w:t>
      </w:r>
      <w:r w:rsidRPr="002029AF">
        <w:t>current</w:t>
      </w:r>
      <w:r w:rsidR="000A5329" w:rsidRPr="002029AF">
        <w:t xml:space="preserve"> </w:t>
      </w:r>
      <w:r w:rsidRPr="002029AF">
        <w:t>and</w:t>
      </w:r>
      <w:r w:rsidR="000A5329" w:rsidRPr="002029AF">
        <w:t xml:space="preserve"> </w:t>
      </w:r>
      <w:r w:rsidRPr="002029AF">
        <w:t>previous</w:t>
      </w:r>
      <w:r w:rsidR="000A5329" w:rsidRPr="002029AF">
        <w:t xml:space="preserve"> </w:t>
      </w:r>
      <w:r w:rsidRPr="002029AF">
        <w:t>financial</w:t>
      </w:r>
      <w:r w:rsidR="000A5329" w:rsidRPr="002029AF">
        <w:t xml:space="preserve"> </w:t>
      </w:r>
      <w:r w:rsidRPr="002029AF">
        <w:t>year,</w:t>
      </w:r>
      <w:r w:rsidR="000A5329" w:rsidRPr="002029AF">
        <w:t xml:space="preserve"> </w:t>
      </w:r>
      <w:r w:rsidRPr="002029AF">
        <w:t>there</w:t>
      </w:r>
      <w:r w:rsidR="000A5329" w:rsidRPr="002029AF">
        <w:t xml:space="preserve"> </w:t>
      </w:r>
      <w:r w:rsidRPr="002029AF">
        <w:t>were</w:t>
      </w:r>
      <w:r w:rsidR="000A5329" w:rsidRPr="002029AF">
        <w:t xml:space="preserve"> </w:t>
      </w:r>
      <w:r w:rsidRPr="002029AF">
        <w:t>no</w:t>
      </w:r>
      <w:r w:rsidR="000A5329" w:rsidRPr="002029AF">
        <w:t xml:space="preserve"> </w:t>
      </w:r>
      <w:r w:rsidRPr="002029AF">
        <w:t>defaults</w:t>
      </w:r>
      <w:r w:rsidR="000A5329" w:rsidRPr="002029AF">
        <w:t xml:space="preserve"> </w:t>
      </w:r>
      <w:r w:rsidRPr="002029AF">
        <w:t>or</w:t>
      </w:r>
      <w:r w:rsidR="000A5329" w:rsidRPr="002029AF">
        <w:t xml:space="preserve"> </w:t>
      </w:r>
      <w:r w:rsidRPr="002029AF">
        <w:t>breaches</w:t>
      </w:r>
      <w:r w:rsidR="000A5329" w:rsidRPr="002029AF">
        <w:t xml:space="preserve"> </w:t>
      </w:r>
      <w:r w:rsidRPr="002029AF">
        <w:t>of</w:t>
      </w:r>
      <w:r w:rsidR="000A5329" w:rsidRPr="002029AF">
        <w:t xml:space="preserve"> </w:t>
      </w:r>
      <w:r w:rsidRPr="002029AF">
        <w:t>required</w:t>
      </w:r>
      <w:r w:rsidR="000A5329" w:rsidRPr="002029AF">
        <w:t xml:space="preserve"> </w:t>
      </w:r>
      <w:r w:rsidRPr="002029AF">
        <w:t>conditions,</w:t>
      </w:r>
      <w:r w:rsidR="000A5329" w:rsidRPr="002029AF">
        <w:t xml:space="preserve"> </w:t>
      </w:r>
      <w:r w:rsidRPr="002029AF">
        <w:t>in</w:t>
      </w:r>
      <w:r w:rsidR="000A5329" w:rsidRPr="002029AF">
        <w:t xml:space="preserve"> </w:t>
      </w:r>
      <w:r w:rsidRPr="002029AF">
        <w:t>relation</w:t>
      </w:r>
      <w:r w:rsidR="000A5329" w:rsidRPr="002029AF">
        <w:t xml:space="preserve"> </w:t>
      </w:r>
      <w:r w:rsidRPr="002029AF">
        <w:t>to</w:t>
      </w:r>
      <w:r w:rsidR="000A5329" w:rsidRPr="002029AF">
        <w:t xml:space="preserve"> </w:t>
      </w:r>
      <w:r w:rsidRPr="002029AF">
        <w:t>any</w:t>
      </w:r>
      <w:r w:rsidR="000A5329" w:rsidRPr="002029AF">
        <w:t xml:space="preserve"> </w:t>
      </w:r>
      <w:r w:rsidRPr="002029AF">
        <w:t>of</w:t>
      </w:r>
      <w:r w:rsidR="000A5329" w:rsidRPr="002029AF">
        <w:t xml:space="preserve"> </w:t>
      </w:r>
      <w:r w:rsidRPr="002029AF">
        <w:t>the</w:t>
      </w:r>
      <w:r w:rsidR="000A5329" w:rsidRPr="002029AF">
        <w:t xml:space="preserve"> </w:t>
      </w:r>
      <w:r w:rsidRPr="002029AF">
        <w:t>borrowings.</w:t>
      </w:r>
    </w:p>
    <w:p w14:paraId="6EF7C797" w14:textId="45E4E7D1" w:rsidR="00087B91" w:rsidRPr="002029AF" w:rsidRDefault="00087B91" w:rsidP="00087B91">
      <w:pPr>
        <w:pStyle w:val="ARfinbody"/>
      </w:pPr>
      <w:r w:rsidRPr="002029AF">
        <w:rPr>
          <w:rStyle w:val="Strong"/>
        </w:rPr>
        <w:t>Advances</w:t>
      </w:r>
      <w:r w:rsidR="000A5329" w:rsidRPr="002029AF">
        <w:rPr>
          <w:rStyle w:val="Strong"/>
        </w:rPr>
        <w:t xml:space="preserve"> </w:t>
      </w:r>
      <w:r w:rsidRPr="002029AF">
        <w:rPr>
          <w:rStyle w:val="Strong"/>
        </w:rPr>
        <w:t>from</w:t>
      </w:r>
      <w:r w:rsidR="000A5329" w:rsidRPr="002029AF">
        <w:rPr>
          <w:rStyle w:val="Strong"/>
        </w:rPr>
        <w:t xml:space="preserve"> </w:t>
      </w:r>
      <w:r w:rsidRPr="002029AF">
        <w:rPr>
          <w:rStyle w:val="Strong"/>
        </w:rPr>
        <w:t>Victorian</w:t>
      </w:r>
      <w:r w:rsidR="000A5329" w:rsidRPr="002029AF">
        <w:rPr>
          <w:rStyle w:val="Strong"/>
        </w:rPr>
        <w:t xml:space="preserve"> </w:t>
      </w:r>
      <w:r w:rsidRPr="002029AF">
        <w:rPr>
          <w:rStyle w:val="Strong"/>
        </w:rPr>
        <w:t>Government</w:t>
      </w:r>
      <w:r w:rsidR="000A5329" w:rsidRPr="002029AF">
        <w:t xml:space="preserve"> </w:t>
      </w:r>
      <w:r w:rsidRPr="002029AF">
        <w:t>are</w:t>
      </w:r>
      <w:r w:rsidR="000A5329" w:rsidRPr="002029AF">
        <w:t xml:space="preserve"> </w:t>
      </w:r>
      <w:r w:rsidRPr="002029AF">
        <w:t>advances</w:t>
      </w:r>
      <w:r w:rsidR="000A5329" w:rsidRPr="002029AF">
        <w:t xml:space="preserve"> </w:t>
      </w:r>
      <w:r w:rsidRPr="002029AF">
        <w:t>from</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of</w:t>
      </w:r>
      <w:r w:rsidR="000A5329" w:rsidRPr="002029AF">
        <w:t xml:space="preserve"> </w:t>
      </w:r>
      <w:r w:rsidRPr="002029AF">
        <w:t>Treasury</w:t>
      </w:r>
      <w:r w:rsidR="000A5329" w:rsidRPr="002029AF">
        <w:t xml:space="preserve"> </w:t>
      </w:r>
      <w:r w:rsidRPr="002029AF">
        <w:t>and</w:t>
      </w:r>
      <w:r w:rsidR="000A5329" w:rsidRPr="002029AF">
        <w:t xml:space="preserve"> </w:t>
      </w:r>
      <w:r w:rsidRPr="002029AF">
        <w:t>Finance.</w:t>
      </w:r>
      <w:r w:rsidR="000A5329" w:rsidRPr="002029AF">
        <w:t xml:space="preserve"> </w:t>
      </w:r>
      <w:r w:rsidRPr="002029AF">
        <w:t>These</w:t>
      </w:r>
      <w:r w:rsidR="000A5329" w:rsidRPr="002029AF">
        <w:t xml:space="preserve"> </w:t>
      </w:r>
      <w:r w:rsidRPr="002029AF">
        <w:t>advances</w:t>
      </w:r>
      <w:r w:rsidR="000A5329" w:rsidRPr="002029AF">
        <w:t xml:space="preserve"> </w:t>
      </w:r>
      <w:r w:rsidRPr="002029AF">
        <w:t>are</w:t>
      </w:r>
      <w:r w:rsidR="000A5329" w:rsidRPr="002029AF">
        <w:t xml:space="preserve"> </w:t>
      </w:r>
      <w:r w:rsidRPr="002029AF">
        <w:t>non-interest</w:t>
      </w:r>
      <w:r w:rsidR="000A5329" w:rsidRPr="002029AF">
        <w:t xml:space="preserve"> </w:t>
      </w:r>
      <w:r w:rsidRPr="002029AF">
        <w:t>bearing.</w:t>
      </w:r>
    </w:p>
    <w:p w14:paraId="32B0EBC2" w14:textId="27B49522" w:rsidR="00087B91" w:rsidRPr="002029AF" w:rsidRDefault="00087B91" w:rsidP="00087B91">
      <w:pPr>
        <w:pStyle w:val="ARfinbody"/>
      </w:pPr>
      <w:r w:rsidRPr="002029AF">
        <w:rPr>
          <w:rStyle w:val="Strong"/>
        </w:rPr>
        <w:t>Lease</w:t>
      </w:r>
      <w:r w:rsidR="000A5329" w:rsidRPr="002029AF">
        <w:rPr>
          <w:rStyle w:val="Strong"/>
        </w:rPr>
        <w:t xml:space="preserve"> </w:t>
      </w:r>
      <w:r w:rsidRPr="002029AF">
        <w:rPr>
          <w:rStyle w:val="Strong"/>
        </w:rPr>
        <w:t>liabilities</w:t>
      </w:r>
      <w:r w:rsidR="000A5329" w:rsidRPr="002029AF">
        <w:t xml:space="preserve"> </w:t>
      </w:r>
      <w:r w:rsidRPr="002029AF">
        <w:t>are</w:t>
      </w:r>
      <w:r w:rsidR="000A5329" w:rsidRPr="002029AF">
        <w:t xml:space="preserve"> </w:t>
      </w:r>
      <w:r w:rsidRPr="002029AF">
        <w:t>secured</w:t>
      </w:r>
      <w:r w:rsidR="000A5329" w:rsidRPr="002029AF">
        <w:t xml:space="preserve"> </w:t>
      </w:r>
      <w:r w:rsidRPr="002029AF">
        <w:t>by</w:t>
      </w:r>
      <w:r w:rsidR="000A5329" w:rsidRPr="002029AF">
        <w:t xml:space="preserve"> </w:t>
      </w:r>
      <w:r w:rsidRPr="002029AF">
        <w:t>the</w:t>
      </w:r>
      <w:r w:rsidR="000A5329" w:rsidRPr="002029AF">
        <w:t xml:space="preserve"> </w:t>
      </w:r>
      <w:r w:rsidRPr="002029AF">
        <w:t>assets</w:t>
      </w:r>
      <w:r w:rsidR="000A5329" w:rsidRPr="002029AF">
        <w:t xml:space="preserve"> </w:t>
      </w:r>
      <w:r w:rsidRPr="002029AF">
        <w:t>leased.</w:t>
      </w:r>
      <w:r w:rsidR="000A5329" w:rsidRPr="002029AF">
        <w:t xml:space="preserve"> </w:t>
      </w:r>
      <w:r w:rsidRPr="002029AF">
        <w:t>Leases</w:t>
      </w:r>
      <w:r w:rsidR="000A5329" w:rsidRPr="002029AF">
        <w:t xml:space="preserve"> </w:t>
      </w:r>
      <w:r w:rsidRPr="002029AF">
        <w:t>are</w:t>
      </w:r>
      <w:r w:rsidR="000A5329" w:rsidRPr="002029AF">
        <w:t xml:space="preserve"> </w:t>
      </w:r>
      <w:r w:rsidRPr="002029AF">
        <w:t>effectively</w:t>
      </w:r>
      <w:r w:rsidR="000A5329" w:rsidRPr="002029AF">
        <w:t xml:space="preserve"> </w:t>
      </w:r>
      <w:r w:rsidRPr="002029AF">
        <w:t>secured</w:t>
      </w:r>
      <w:r w:rsidR="000A5329" w:rsidRPr="002029AF">
        <w:t xml:space="preserve"> </w:t>
      </w:r>
      <w:r w:rsidRPr="002029AF">
        <w:t>as</w:t>
      </w:r>
      <w:r w:rsidR="000A5329" w:rsidRPr="002029AF">
        <w:t xml:space="preserve"> </w:t>
      </w:r>
      <w:r w:rsidRPr="002029AF">
        <w:t>the</w:t>
      </w:r>
      <w:r w:rsidR="000A5329" w:rsidRPr="002029AF">
        <w:t xml:space="preserve"> </w:t>
      </w:r>
      <w:r w:rsidRPr="002029AF">
        <w:t>rights</w:t>
      </w:r>
      <w:r w:rsidR="000A5329" w:rsidRPr="002029AF">
        <w:t xml:space="preserve"> </w:t>
      </w:r>
      <w:r w:rsidRPr="002029AF">
        <w:t>to</w:t>
      </w:r>
      <w:r w:rsidR="000A5329" w:rsidRPr="002029AF">
        <w:t xml:space="preserve"> </w:t>
      </w:r>
      <w:r w:rsidRPr="002029AF">
        <w:t>the</w:t>
      </w:r>
      <w:r w:rsidR="000A5329" w:rsidRPr="002029AF">
        <w:t xml:space="preserve"> </w:t>
      </w:r>
      <w:r w:rsidRPr="002029AF">
        <w:t>leased</w:t>
      </w:r>
      <w:r w:rsidR="000A5329" w:rsidRPr="002029AF">
        <w:t xml:space="preserve"> </w:t>
      </w:r>
      <w:r w:rsidRPr="002029AF">
        <w:t>assets</w:t>
      </w:r>
      <w:r w:rsidR="000A5329" w:rsidRPr="002029AF">
        <w:t xml:space="preserve"> </w:t>
      </w:r>
      <w:r w:rsidRPr="002029AF">
        <w:t>revert</w:t>
      </w:r>
      <w:r w:rsidR="000A5329" w:rsidRPr="002029AF">
        <w:t xml:space="preserve"> </w:t>
      </w:r>
      <w:r w:rsidRPr="002029AF">
        <w:t>to</w:t>
      </w:r>
      <w:r w:rsidR="000A5329" w:rsidRPr="002029AF">
        <w:t xml:space="preserve"> </w:t>
      </w:r>
      <w:r w:rsidRPr="002029AF">
        <w:t>the</w:t>
      </w:r>
      <w:r w:rsidR="000A5329" w:rsidRPr="002029AF">
        <w:t xml:space="preserve"> </w:t>
      </w:r>
      <w:r w:rsidRPr="002029AF">
        <w:t>lessor</w:t>
      </w:r>
      <w:r w:rsidR="000A5329" w:rsidRPr="002029AF">
        <w:t xml:space="preserve"> </w:t>
      </w:r>
      <w:r w:rsidRPr="002029AF">
        <w:t>in</w:t>
      </w:r>
      <w:r w:rsidR="000A5329" w:rsidRPr="002029AF">
        <w:t xml:space="preserve"> </w:t>
      </w:r>
      <w:r w:rsidRPr="002029AF">
        <w:t>the</w:t>
      </w:r>
      <w:r w:rsidR="000A5329" w:rsidRPr="002029AF">
        <w:t xml:space="preserve"> </w:t>
      </w:r>
      <w:r w:rsidRPr="002029AF">
        <w:t>event</w:t>
      </w:r>
      <w:r w:rsidR="000A5329" w:rsidRPr="002029AF">
        <w:t xml:space="preserve"> </w:t>
      </w:r>
      <w:r w:rsidRPr="002029AF">
        <w:t>of</w:t>
      </w:r>
      <w:r w:rsidR="000A5329" w:rsidRPr="002029AF">
        <w:t xml:space="preserve"> </w:t>
      </w:r>
      <w:r w:rsidRPr="002029AF">
        <w:t>default.</w:t>
      </w:r>
    </w:p>
    <w:p w14:paraId="48514DB7" w14:textId="77777777" w:rsidR="00087B91" w:rsidRPr="002029AF" w:rsidRDefault="00087B91" w:rsidP="00087B91">
      <w:pPr>
        <w:pStyle w:val="ARfinbody"/>
      </w:pPr>
      <w:r w:rsidRPr="002029AF">
        <w:br w:type="page"/>
      </w:r>
    </w:p>
    <w:p w14:paraId="721F2FF5" w14:textId="7FF510A7" w:rsidR="00087B91" w:rsidRPr="002029AF" w:rsidRDefault="00087B91" w:rsidP="00087B91">
      <w:pPr>
        <w:pStyle w:val="Heading5"/>
      </w:pPr>
      <w:r w:rsidRPr="002029AF">
        <w:lastRenderedPageBreak/>
        <w:t>7.1.1</w:t>
      </w:r>
      <w:r w:rsidR="000A5329" w:rsidRPr="002029AF">
        <w:t xml:space="preserve"> </w:t>
      </w:r>
      <w:r w:rsidRPr="002029AF">
        <w:t>Maturity</w:t>
      </w:r>
      <w:r w:rsidR="000A5329" w:rsidRPr="002029AF">
        <w:t xml:space="preserve"> </w:t>
      </w:r>
      <w:r w:rsidRPr="002029AF">
        <w:t>analysis</w:t>
      </w:r>
      <w:r w:rsidR="000A5329" w:rsidRPr="002029AF">
        <w:t xml:space="preserve"> </w:t>
      </w:r>
      <w:r w:rsidRPr="002029AF">
        <w:t>of</w:t>
      </w:r>
      <w:r w:rsidR="000A5329" w:rsidRPr="002029AF">
        <w:t xml:space="preserve"> </w:t>
      </w:r>
      <w:r w:rsidRPr="002029AF">
        <w:t>borrowings</w:t>
      </w:r>
    </w:p>
    <w:tbl>
      <w:tblPr>
        <w:tblStyle w:val="TableGrid"/>
        <w:tblW w:w="9637" w:type="dxa"/>
        <w:tblLayout w:type="fixed"/>
        <w:tblLook w:val="06A0" w:firstRow="1" w:lastRow="0" w:firstColumn="1" w:lastColumn="0" w:noHBand="1" w:noVBand="1"/>
      </w:tblPr>
      <w:tblGrid>
        <w:gridCol w:w="2495"/>
        <w:gridCol w:w="1021"/>
        <w:gridCol w:w="1021"/>
        <w:gridCol w:w="1020"/>
        <w:gridCol w:w="1020"/>
        <w:gridCol w:w="1020"/>
        <w:gridCol w:w="1020"/>
        <w:gridCol w:w="1020"/>
      </w:tblGrid>
      <w:tr w:rsidR="00087B91" w:rsidRPr="002029AF" w14:paraId="52E376CD" w14:textId="77777777" w:rsidTr="00ED163A">
        <w:trPr>
          <w:cnfStyle w:val="100000000000" w:firstRow="1" w:lastRow="0" w:firstColumn="0" w:lastColumn="0" w:oddVBand="0" w:evenVBand="0" w:oddHBand="0" w:evenHBand="0" w:firstRowFirstColumn="0" w:firstRowLastColumn="0" w:lastRowFirstColumn="0" w:lastRowLastColumn="0"/>
          <w:trHeight w:val="255"/>
          <w:tblHeader/>
        </w:trPr>
        <w:tc>
          <w:tcPr>
            <w:tcW w:w="2495" w:type="dxa"/>
            <w:vMerge w:val="restart"/>
            <w:noWrap/>
            <w:hideMark/>
          </w:tcPr>
          <w:p w14:paraId="317FB8F9" w14:textId="77777777" w:rsidR="00087B91" w:rsidRPr="002029AF" w:rsidRDefault="00087B91" w:rsidP="00860E95">
            <w:pPr>
              <w:pStyle w:val="ARfintablecolhead"/>
            </w:pPr>
          </w:p>
        </w:tc>
        <w:tc>
          <w:tcPr>
            <w:tcW w:w="1021" w:type="dxa"/>
            <w:vMerge w:val="restart"/>
            <w:noWrap/>
            <w:hideMark/>
          </w:tcPr>
          <w:p w14:paraId="0BE802C0" w14:textId="704D0411" w:rsidR="00087B91" w:rsidRPr="002029AF" w:rsidRDefault="00087B91" w:rsidP="00860E95">
            <w:pPr>
              <w:pStyle w:val="ARfintablecolheadright"/>
            </w:pPr>
            <w:r w:rsidRPr="002029AF">
              <w:t>Carrying</w:t>
            </w:r>
            <w:r w:rsidR="000A5329" w:rsidRPr="002029AF">
              <w:t xml:space="preserve"> </w:t>
            </w:r>
            <w:r w:rsidRPr="002029AF">
              <w:t>amount</w:t>
            </w:r>
          </w:p>
          <w:p w14:paraId="5EBE2E81" w14:textId="77777777" w:rsidR="00087B91" w:rsidRPr="002029AF" w:rsidRDefault="00087B91" w:rsidP="00860E95">
            <w:pPr>
              <w:pStyle w:val="ARfintablecolheadright"/>
            </w:pPr>
            <w:r w:rsidRPr="002029AF">
              <w:t>$M</w:t>
            </w:r>
          </w:p>
        </w:tc>
        <w:tc>
          <w:tcPr>
            <w:tcW w:w="1021" w:type="dxa"/>
            <w:vMerge w:val="restart"/>
            <w:noWrap/>
            <w:hideMark/>
          </w:tcPr>
          <w:p w14:paraId="410AF1E4" w14:textId="426B6131" w:rsidR="00087B91" w:rsidRPr="002029AF" w:rsidRDefault="00087B91" w:rsidP="00860E95">
            <w:pPr>
              <w:pStyle w:val="ARfintablecolheadright"/>
            </w:pPr>
            <w:r w:rsidRPr="002029AF">
              <w:t>Nominal</w:t>
            </w:r>
            <w:r w:rsidR="000A5329" w:rsidRPr="002029AF">
              <w:t xml:space="preserve"> </w:t>
            </w:r>
            <w:r w:rsidRPr="002029AF">
              <w:t>amount</w:t>
            </w:r>
          </w:p>
          <w:p w14:paraId="5BEE884D" w14:textId="77777777" w:rsidR="00087B91" w:rsidRPr="002029AF" w:rsidRDefault="00087B91" w:rsidP="00860E95">
            <w:pPr>
              <w:pStyle w:val="ARfintablecolheadright"/>
            </w:pPr>
            <w:r w:rsidRPr="002029AF">
              <w:t>$M</w:t>
            </w:r>
          </w:p>
        </w:tc>
        <w:tc>
          <w:tcPr>
            <w:tcW w:w="5100" w:type="dxa"/>
            <w:gridSpan w:val="5"/>
            <w:noWrap/>
            <w:hideMark/>
          </w:tcPr>
          <w:p w14:paraId="68EFCEF5" w14:textId="3E8D65A7" w:rsidR="00087B91" w:rsidRPr="002029AF" w:rsidRDefault="00087B91" w:rsidP="00860E95">
            <w:pPr>
              <w:pStyle w:val="ARfintablecolheadcentre"/>
            </w:pPr>
            <w:r w:rsidRPr="002029AF">
              <w:t>Maturity</w:t>
            </w:r>
            <w:r w:rsidR="000A5329" w:rsidRPr="002029AF">
              <w:t xml:space="preserve"> </w:t>
            </w:r>
            <w:r w:rsidRPr="002029AF">
              <w:t>dates</w:t>
            </w:r>
          </w:p>
        </w:tc>
      </w:tr>
      <w:tr w:rsidR="00087B91" w:rsidRPr="002029AF" w14:paraId="3EE4BE4A" w14:textId="77777777" w:rsidTr="00ED163A">
        <w:trPr>
          <w:cnfStyle w:val="100000000000" w:firstRow="1" w:lastRow="0" w:firstColumn="0" w:lastColumn="0" w:oddVBand="0" w:evenVBand="0" w:oddHBand="0" w:evenHBand="0" w:firstRowFirstColumn="0" w:firstRowLastColumn="0" w:lastRowFirstColumn="0" w:lastRowLastColumn="0"/>
          <w:trHeight w:val="255"/>
          <w:tblHeader/>
        </w:trPr>
        <w:tc>
          <w:tcPr>
            <w:tcW w:w="2495" w:type="dxa"/>
            <w:vMerge/>
            <w:tcBorders>
              <w:bottom w:val="single" w:sz="4" w:space="0" w:color="auto"/>
            </w:tcBorders>
            <w:hideMark/>
          </w:tcPr>
          <w:p w14:paraId="7B518297" w14:textId="77777777" w:rsidR="00087B91" w:rsidRPr="002029AF" w:rsidRDefault="00087B91" w:rsidP="00860E95">
            <w:pPr>
              <w:pStyle w:val="ARfintablecolhead"/>
            </w:pPr>
          </w:p>
        </w:tc>
        <w:tc>
          <w:tcPr>
            <w:tcW w:w="1021" w:type="dxa"/>
            <w:vMerge/>
            <w:tcBorders>
              <w:bottom w:val="single" w:sz="4" w:space="0" w:color="auto"/>
            </w:tcBorders>
            <w:hideMark/>
          </w:tcPr>
          <w:p w14:paraId="010BDF2F" w14:textId="77777777" w:rsidR="00087B91" w:rsidRPr="002029AF" w:rsidRDefault="00087B91" w:rsidP="00860E95">
            <w:pPr>
              <w:pStyle w:val="ARfintablecolheadright"/>
            </w:pPr>
          </w:p>
        </w:tc>
        <w:tc>
          <w:tcPr>
            <w:tcW w:w="1021" w:type="dxa"/>
            <w:vMerge/>
            <w:tcBorders>
              <w:bottom w:val="single" w:sz="4" w:space="0" w:color="auto"/>
            </w:tcBorders>
            <w:hideMark/>
          </w:tcPr>
          <w:p w14:paraId="3F7DB929" w14:textId="77777777" w:rsidR="00087B91" w:rsidRPr="002029AF" w:rsidRDefault="00087B91" w:rsidP="00860E95">
            <w:pPr>
              <w:pStyle w:val="ARfintablecolheadright"/>
            </w:pPr>
          </w:p>
        </w:tc>
        <w:tc>
          <w:tcPr>
            <w:tcW w:w="1020" w:type="dxa"/>
            <w:tcBorders>
              <w:bottom w:val="single" w:sz="4" w:space="0" w:color="auto"/>
            </w:tcBorders>
            <w:hideMark/>
          </w:tcPr>
          <w:p w14:paraId="55351E61" w14:textId="50107EF3" w:rsidR="00087B91" w:rsidRPr="002029AF" w:rsidRDefault="00087B91" w:rsidP="00860E95">
            <w:pPr>
              <w:pStyle w:val="ARfintablecolheadright"/>
            </w:pPr>
            <w:r w:rsidRPr="002029AF">
              <w:t>Less</w:t>
            </w:r>
            <w:r w:rsidR="000A5329" w:rsidRPr="002029AF">
              <w:t xml:space="preserve"> </w:t>
            </w:r>
            <w:r w:rsidRPr="002029AF">
              <w:t>than</w:t>
            </w:r>
            <w:r w:rsidR="000A5329" w:rsidRPr="002029AF">
              <w:t xml:space="preserve"> </w:t>
            </w:r>
            <w:r w:rsidRPr="002029AF">
              <w:t>1</w:t>
            </w:r>
            <w:r w:rsidR="000A5329" w:rsidRPr="002029AF">
              <w:t xml:space="preserve"> </w:t>
            </w:r>
            <w:r w:rsidRPr="002029AF">
              <w:t>month</w:t>
            </w:r>
          </w:p>
          <w:p w14:paraId="71DB554A" w14:textId="77777777" w:rsidR="00087B91" w:rsidRPr="002029AF" w:rsidRDefault="00087B91" w:rsidP="00860E95">
            <w:pPr>
              <w:pStyle w:val="ARfintablecolheadright"/>
            </w:pPr>
            <w:r w:rsidRPr="002029AF">
              <w:t>$M</w:t>
            </w:r>
          </w:p>
        </w:tc>
        <w:tc>
          <w:tcPr>
            <w:tcW w:w="1020" w:type="dxa"/>
            <w:tcBorders>
              <w:bottom w:val="single" w:sz="4" w:space="0" w:color="auto"/>
            </w:tcBorders>
            <w:hideMark/>
          </w:tcPr>
          <w:p w14:paraId="0663E0DC" w14:textId="56CEA0AA" w:rsidR="00087B91" w:rsidRPr="002029AF" w:rsidRDefault="00087B91" w:rsidP="00860E95">
            <w:pPr>
              <w:pStyle w:val="ARfintablecolheadright"/>
            </w:pPr>
            <w:r w:rsidRPr="002029AF">
              <w:t>1–3</w:t>
            </w:r>
            <w:r w:rsidR="000A5329" w:rsidRPr="002029AF">
              <w:t xml:space="preserve"> </w:t>
            </w:r>
            <w:r w:rsidRPr="002029AF">
              <w:t>months</w:t>
            </w:r>
          </w:p>
          <w:p w14:paraId="40B61DD5" w14:textId="77777777" w:rsidR="00087B91" w:rsidRPr="002029AF" w:rsidRDefault="00087B91" w:rsidP="00860E95">
            <w:pPr>
              <w:pStyle w:val="ARfintablecolheadright"/>
            </w:pPr>
            <w:r w:rsidRPr="002029AF">
              <w:t>$M</w:t>
            </w:r>
          </w:p>
        </w:tc>
        <w:tc>
          <w:tcPr>
            <w:tcW w:w="1020" w:type="dxa"/>
            <w:tcBorders>
              <w:bottom w:val="single" w:sz="4" w:space="0" w:color="auto"/>
            </w:tcBorders>
            <w:hideMark/>
          </w:tcPr>
          <w:p w14:paraId="25A339EA" w14:textId="71300580" w:rsidR="00087B91" w:rsidRPr="002029AF" w:rsidRDefault="00087B91" w:rsidP="00860E95">
            <w:pPr>
              <w:pStyle w:val="ARfintablecolheadright"/>
            </w:pPr>
            <w:r w:rsidRPr="002029AF">
              <w:t>3</w:t>
            </w:r>
            <w:r w:rsidR="000A5329" w:rsidRPr="002029AF">
              <w:t xml:space="preserve"> </w:t>
            </w:r>
            <w:r w:rsidRPr="002029AF">
              <w:t>months</w:t>
            </w:r>
            <w:r w:rsidR="000A5329" w:rsidRPr="002029AF">
              <w:t xml:space="preserve"> </w:t>
            </w:r>
            <w:r w:rsidRPr="002029AF">
              <w:t>–</w:t>
            </w:r>
            <w:r w:rsidR="000A5329" w:rsidRPr="002029AF">
              <w:t xml:space="preserve"> </w:t>
            </w:r>
            <w:r w:rsidRPr="002029AF">
              <w:t>1</w:t>
            </w:r>
            <w:r w:rsidR="000A5329" w:rsidRPr="002029AF">
              <w:t xml:space="preserve"> </w:t>
            </w:r>
            <w:r w:rsidRPr="002029AF">
              <w:t>year</w:t>
            </w:r>
          </w:p>
          <w:p w14:paraId="01F18F11" w14:textId="77777777" w:rsidR="00087B91" w:rsidRPr="002029AF" w:rsidRDefault="00087B91" w:rsidP="00860E95">
            <w:pPr>
              <w:pStyle w:val="ARfintablecolheadright"/>
            </w:pPr>
            <w:r w:rsidRPr="002029AF">
              <w:t>$M</w:t>
            </w:r>
          </w:p>
        </w:tc>
        <w:tc>
          <w:tcPr>
            <w:tcW w:w="1020" w:type="dxa"/>
            <w:tcBorders>
              <w:bottom w:val="single" w:sz="4" w:space="0" w:color="auto"/>
            </w:tcBorders>
            <w:hideMark/>
          </w:tcPr>
          <w:p w14:paraId="2B0A3679" w14:textId="4AEEC41B" w:rsidR="00087B91" w:rsidRPr="002029AF" w:rsidRDefault="00087B91" w:rsidP="00860E95">
            <w:pPr>
              <w:pStyle w:val="ARfintablecolheadright"/>
            </w:pPr>
            <w:r w:rsidRPr="002029AF">
              <w:t>1–5</w:t>
            </w:r>
            <w:r w:rsidR="000A5329" w:rsidRPr="002029AF">
              <w:t xml:space="preserve"> </w:t>
            </w:r>
            <w:r w:rsidRPr="002029AF">
              <w:t>years</w:t>
            </w:r>
          </w:p>
          <w:p w14:paraId="41D89BBF" w14:textId="77777777" w:rsidR="00087B91" w:rsidRPr="002029AF" w:rsidRDefault="00087B91" w:rsidP="00860E95">
            <w:pPr>
              <w:pStyle w:val="ARfintablecolheadright"/>
            </w:pPr>
            <w:r w:rsidRPr="002029AF">
              <w:t>$M</w:t>
            </w:r>
          </w:p>
        </w:tc>
        <w:tc>
          <w:tcPr>
            <w:tcW w:w="1020" w:type="dxa"/>
            <w:tcBorders>
              <w:bottom w:val="single" w:sz="4" w:space="0" w:color="auto"/>
            </w:tcBorders>
            <w:hideMark/>
          </w:tcPr>
          <w:p w14:paraId="2DDBCC6C" w14:textId="48D1F9BB" w:rsidR="00087B91" w:rsidRPr="002029AF" w:rsidRDefault="00087B91" w:rsidP="00860E95">
            <w:pPr>
              <w:pStyle w:val="ARfintablecolheadright"/>
            </w:pPr>
            <w:r w:rsidRPr="002029AF">
              <w:t>5+</w:t>
            </w:r>
            <w:r w:rsidR="000A5329" w:rsidRPr="002029AF">
              <w:t xml:space="preserve"> </w:t>
            </w:r>
            <w:r w:rsidRPr="002029AF">
              <w:t>years</w:t>
            </w:r>
          </w:p>
          <w:p w14:paraId="643E237F" w14:textId="77777777" w:rsidR="00087B91" w:rsidRPr="002029AF" w:rsidRDefault="00087B91" w:rsidP="00860E95">
            <w:pPr>
              <w:pStyle w:val="ARfintablecolheadright"/>
            </w:pPr>
            <w:r w:rsidRPr="002029AF">
              <w:t>$M</w:t>
            </w:r>
          </w:p>
        </w:tc>
      </w:tr>
      <w:tr w:rsidR="00087B91" w:rsidRPr="002029AF" w14:paraId="05C138B8" w14:textId="77777777" w:rsidTr="00860E95">
        <w:trPr>
          <w:trHeight w:val="255"/>
        </w:trPr>
        <w:tc>
          <w:tcPr>
            <w:tcW w:w="9637" w:type="dxa"/>
            <w:gridSpan w:val="8"/>
            <w:tcBorders>
              <w:top w:val="single" w:sz="4" w:space="0" w:color="auto"/>
              <w:bottom w:val="single" w:sz="4" w:space="0" w:color="A6A6A6"/>
            </w:tcBorders>
            <w:hideMark/>
          </w:tcPr>
          <w:p w14:paraId="68650016" w14:textId="77777777" w:rsidR="00087B91" w:rsidRPr="002029AF" w:rsidRDefault="00087B91" w:rsidP="00860E95">
            <w:pPr>
              <w:pStyle w:val="ARfintablebodybold"/>
            </w:pPr>
            <w:r w:rsidRPr="002029AF">
              <w:t>2020</w:t>
            </w:r>
          </w:p>
        </w:tc>
      </w:tr>
      <w:tr w:rsidR="00087B91" w:rsidRPr="002029AF" w14:paraId="65288D7B" w14:textId="77777777" w:rsidTr="00860E95">
        <w:trPr>
          <w:trHeight w:val="255"/>
        </w:trPr>
        <w:tc>
          <w:tcPr>
            <w:tcW w:w="2495" w:type="dxa"/>
            <w:tcBorders>
              <w:top w:val="single" w:sz="4" w:space="0" w:color="A6A6A6"/>
              <w:bottom w:val="single" w:sz="4" w:space="0" w:color="A6A6A6"/>
            </w:tcBorders>
            <w:hideMark/>
          </w:tcPr>
          <w:p w14:paraId="60A98D75" w14:textId="6A017757" w:rsidR="00087B91" w:rsidRPr="002029AF" w:rsidRDefault="00087B91" w:rsidP="00860E95">
            <w:pPr>
              <w:pStyle w:val="ARfintablebody"/>
            </w:pPr>
            <w:r w:rsidRPr="002029AF">
              <w:t>Advances</w:t>
            </w:r>
            <w:r w:rsidR="000A5329" w:rsidRPr="002029AF">
              <w:t xml:space="preserve"> </w:t>
            </w:r>
            <w:r w:rsidRPr="002029AF">
              <w:t>from</w:t>
            </w:r>
            <w:r w:rsidR="000A5329" w:rsidRPr="002029AF">
              <w:t xml:space="preserve"> </w:t>
            </w:r>
            <w:r w:rsidRPr="002029AF">
              <w:t>Victorian</w:t>
            </w:r>
            <w:r w:rsidR="000A5329" w:rsidRPr="002029AF">
              <w:t xml:space="preserve"> </w:t>
            </w:r>
            <w:r w:rsidRPr="002029AF">
              <w:t>Government</w:t>
            </w:r>
          </w:p>
        </w:tc>
        <w:tc>
          <w:tcPr>
            <w:tcW w:w="1021" w:type="dxa"/>
            <w:tcBorders>
              <w:top w:val="single" w:sz="4" w:space="0" w:color="A6A6A6"/>
              <w:bottom w:val="single" w:sz="4" w:space="0" w:color="A6A6A6"/>
            </w:tcBorders>
            <w:noWrap/>
            <w:hideMark/>
          </w:tcPr>
          <w:p w14:paraId="63A4BE8F" w14:textId="77777777" w:rsidR="00087B91" w:rsidRPr="002029AF" w:rsidRDefault="00087B91" w:rsidP="00860E95">
            <w:pPr>
              <w:pStyle w:val="ARfintablebodyright"/>
            </w:pPr>
            <w:r w:rsidRPr="002029AF">
              <w:t>389.1</w:t>
            </w:r>
          </w:p>
        </w:tc>
        <w:tc>
          <w:tcPr>
            <w:tcW w:w="1021" w:type="dxa"/>
            <w:tcBorders>
              <w:top w:val="single" w:sz="4" w:space="0" w:color="A6A6A6"/>
              <w:bottom w:val="single" w:sz="4" w:space="0" w:color="A6A6A6"/>
            </w:tcBorders>
            <w:noWrap/>
            <w:hideMark/>
          </w:tcPr>
          <w:p w14:paraId="422F53DC" w14:textId="77777777" w:rsidR="00087B91" w:rsidRPr="002029AF" w:rsidRDefault="00087B91" w:rsidP="00860E95">
            <w:pPr>
              <w:pStyle w:val="ARfintablebodyright"/>
            </w:pPr>
            <w:r w:rsidRPr="002029AF">
              <w:t>389.1</w:t>
            </w:r>
          </w:p>
        </w:tc>
        <w:tc>
          <w:tcPr>
            <w:tcW w:w="1020" w:type="dxa"/>
            <w:tcBorders>
              <w:top w:val="single" w:sz="4" w:space="0" w:color="A6A6A6"/>
              <w:bottom w:val="single" w:sz="4" w:space="0" w:color="A6A6A6"/>
            </w:tcBorders>
            <w:noWrap/>
            <w:hideMark/>
          </w:tcPr>
          <w:p w14:paraId="2CB0E595" w14:textId="77777777" w:rsidR="00087B91" w:rsidRPr="002029AF" w:rsidRDefault="00087B91" w:rsidP="00860E95">
            <w:pPr>
              <w:pStyle w:val="ARfintablebodyright"/>
            </w:pPr>
            <w:r w:rsidRPr="002029AF">
              <w:t>57.2</w:t>
            </w:r>
          </w:p>
        </w:tc>
        <w:tc>
          <w:tcPr>
            <w:tcW w:w="1020" w:type="dxa"/>
            <w:tcBorders>
              <w:top w:val="single" w:sz="4" w:space="0" w:color="A6A6A6"/>
              <w:bottom w:val="single" w:sz="4" w:space="0" w:color="A6A6A6"/>
            </w:tcBorders>
            <w:noWrap/>
            <w:hideMark/>
          </w:tcPr>
          <w:p w14:paraId="1964439F" w14:textId="77777777" w:rsidR="00087B91" w:rsidRPr="002029AF" w:rsidRDefault="00087B91" w:rsidP="00860E95">
            <w:pPr>
              <w:pStyle w:val="ARfintablebodyright"/>
            </w:pPr>
            <w:r w:rsidRPr="002029AF">
              <w:t>–</w:t>
            </w:r>
          </w:p>
        </w:tc>
        <w:tc>
          <w:tcPr>
            <w:tcW w:w="1020" w:type="dxa"/>
            <w:tcBorders>
              <w:top w:val="single" w:sz="4" w:space="0" w:color="A6A6A6"/>
              <w:bottom w:val="single" w:sz="4" w:space="0" w:color="A6A6A6"/>
            </w:tcBorders>
            <w:noWrap/>
            <w:hideMark/>
          </w:tcPr>
          <w:p w14:paraId="3682F0F8" w14:textId="77777777" w:rsidR="00087B91" w:rsidRPr="002029AF" w:rsidRDefault="00087B91" w:rsidP="00860E95">
            <w:pPr>
              <w:pStyle w:val="ARfintablebodyright"/>
            </w:pPr>
            <w:r w:rsidRPr="002029AF">
              <w:t>308.9</w:t>
            </w:r>
          </w:p>
        </w:tc>
        <w:tc>
          <w:tcPr>
            <w:tcW w:w="1020" w:type="dxa"/>
            <w:tcBorders>
              <w:top w:val="single" w:sz="4" w:space="0" w:color="A6A6A6"/>
              <w:bottom w:val="single" w:sz="4" w:space="0" w:color="A6A6A6"/>
            </w:tcBorders>
            <w:noWrap/>
            <w:hideMark/>
          </w:tcPr>
          <w:p w14:paraId="58633B80" w14:textId="77777777" w:rsidR="00087B91" w:rsidRPr="002029AF" w:rsidRDefault="00087B91" w:rsidP="00860E95">
            <w:pPr>
              <w:pStyle w:val="ARfintablebodyright"/>
            </w:pPr>
            <w:r w:rsidRPr="002029AF">
              <w:t>23.0</w:t>
            </w:r>
          </w:p>
        </w:tc>
        <w:tc>
          <w:tcPr>
            <w:tcW w:w="1020" w:type="dxa"/>
            <w:tcBorders>
              <w:top w:val="single" w:sz="4" w:space="0" w:color="A6A6A6"/>
              <w:bottom w:val="single" w:sz="4" w:space="0" w:color="A6A6A6"/>
            </w:tcBorders>
            <w:noWrap/>
            <w:hideMark/>
          </w:tcPr>
          <w:p w14:paraId="71EE7C6E" w14:textId="77777777" w:rsidR="00087B91" w:rsidRPr="002029AF" w:rsidRDefault="00087B91" w:rsidP="00860E95">
            <w:pPr>
              <w:pStyle w:val="ARfintablebodyright"/>
            </w:pPr>
            <w:r w:rsidRPr="002029AF">
              <w:t>–</w:t>
            </w:r>
          </w:p>
        </w:tc>
      </w:tr>
      <w:tr w:rsidR="00087B91" w:rsidRPr="002029AF" w14:paraId="1D0B92BD" w14:textId="77777777" w:rsidTr="00860E95">
        <w:trPr>
          <w:trHeight w:val="255"/>
        </w:trPr>
        <w:tc>
          <w:tcPr>
            <w:tcW w:w="2495" w:type="dxa"/>
            <w:tcBorders>
              <w:top w:val="single" w:sz="4" w:space="0" w:color="A6A6A6"/>
            </w:tcBorders>
            <w:hideMark/>
          </w:tcPr>
          <w:p w14:paraId="5FC89BE5" w14:textId="6812C0BA" w:rsidR="00087B91" w:rsidRPr="002029AF" w:rsidRDefault="00087B91" w:rsidP="00860E95">
            <w:pPr>
              <w:pStyle w:val="ARfintablebody"/>
            </w:pPr>
            <w:r w:rsidRPr="002029AF">
              <w:t>Lease</w:t>
            </w:r>
            <w:r w:rsidR="000A5329" w:rsidRPr="002029AF">
              <w:t xml:space="preserve"> </w:t>
            </w:r>
            <w:r w:rsidRPr="002029AF">
              <w:t>liabilities</w:t>
            </w:r>
          </w:p>
        </w:tc>
        <w:tc>
          <w:tcPr>
            <w:tcW w:w="1021" w:type="dxa"/>
            <w:tcBorders>
              <w:top w:val="single" w:sz="4" w:space="0" w:color="A6A6A6"/>
            </w:tcBorders>
            <w:noWrap/>
            <w:hideMark/>
          </w:tcPr>
          <w:p w14:paraId="2E1195D5" w14:textId="77777777" w:rsidR="00087B91" w:rsidRPr="002029AF" w:rsidRDefault="00087B91" w:rsidP="00860E95">
            <w:pPr>
              <w:pStyle w:val="ARfintablebodyright"/>
            </w:pPr>
            <w:r w:rsidRPr="002029AF">
              <w:t>83.5</w:t>
            </w:r>
          </w:p>
        </w:tc>
        <w:tc>
          <w:tcPr>
            <w:tcW w:w="1021" w:type="dxa"/>
            <w:tcBorders>
              <w:top w:val="single" w:sz="4" w:space="0" w:color="A6A6A6"/>
            </w:tcBorders>
            <w:noWrap/>
            <w:hideMark/>
          </w:tcPr>
          <w:p w14:paraId="73ADC698" w14:textId="77777777" w:rsidR="00087B91" w:rsidRPr="002029AF" w:rsidRDefault="00087B91" w:rsidP="00860E95">
            <w:pPr>
              <w:pStyle w:val="ARfintablebodyright"/>
            </w:pPr>
            <w:r w:rsidRPr="002029AF">
              <w:t>88.8</w:t>
            </w:r>
          </w:p>
        </w:tc>
        <w:tc>
          <w:tcPr>
            <w:tcW w:w="1020" w:type="dxa"/>
            <w:tcBorders>
              <w:top w:val="single" w:sz="4" w:space="0" w:color="A6A6A6"/>
            </w:tcBorders>
            <w:noWrap/>
            <w:hideMark/>
          </w:tcPr>
          <w:p w14:paraId="6CA8BA97" w14:textId="77777777" w:rsidR="00087B91" w:rsidRPr="002029AF" w:rsidRDefault="00087B91" w:rsidP="00860E95">
            <w:pPr>
              <w:pStyle w:val="ARfintablebodyright"/>
            </w:pPr>
            <w:r w:rsidRPr="002029AF">
              <w:t>5.6</w:t>
            </w:r>
          </w:p>
        </w:tc>
        <w:tc>
          <w:tcPr>
            <w:tcW w:w="1020" w:type="dxa"/>
            <w:tcBorders>
              <w:top w:val="single" w:sz="4" w:space="0" w:color="A6A6A6"/>
            </w:tcBorders>
            <w:noWrap/>
            <w:hideMark/>
          </w:tcPr>
          <w:p w14:paraId="200B18FC" w14:textId="77777777" w:rsidR="00087B91" w:rsidRPr="002029AF" w:rsidRDefault="00087B91" w:rsidP="00860E95">
            <w:pPr>
              <w:pStyle w:val="ARfintablebodyright"/>
            </w:pPr>
            <w:r w:rsidRPr="002029AF">
              <w:t>8.8</w:t>
            </w:r>
          </w:p>
        </w:tc>
        <w:tc>
          <w:tcPr>
            <w:tcW w:w="1020" w:type="dxa"/>
            <w:tcBorders>
              <w:top w:val="single" w:sz="4" w:space="0" w:color="A6A6A6"/>
            </w:tcBorders>
            <w:noWrap/>
            <w:hideMark/>
          </w:tcPr>
          <w:p w14:paraId="64CA4533" w14:textId="77777777" w:rsidR="00087B91" w:rsidRPr="002029AF" w:rsidRDefault="00087B91" w:rsidP="00860E95">
            <w:pPr>
              <w:pStyle w:val="ARfintablebodyright"/>
            </w:pPr>
            <w:r w:rsidRPr="002029AF">
              <w:t>22.4</w:t>
            </w:r>
          </w:p>
        </w:tc>
        <w:tc>
          <w:tcPr>
            <w:tcW w:w="1020" w:type="dxa"/>
            <w:tcBorders>
              <w:top w:val="single" w:sz="4" w:space="0" w:color="A6A6A6"/>
            </w:tcBorders>
            <w:noWrap/>
            <w:hideMark/>
          </w:tcPr>
          <w:p w14:paraId="3ECDA492" w14:textId="77777777" w:rsidR="00087B91" w:rsidRPr="002029AF" w:rsidRDefault="00087B91" w:rsidP="00860E95">
            <w:pPr>
              <w:pStyle w:val="ARfintablebodyright"/>
            </w:pPr>
            <w:r w:rsidRPr="002029AF">
              <w:t>43.1</w:t>
            </w:r>
          </w:p>
        </w:tc>
        <w:tc>
          <w:tcPr>
            <w:tcW w:w="1020" w:type="dxa"/>
            <w:tcBorders>
              <w:top w:val="single" w:sz="4" w:space="0" w:color="A6A6A6"/>
            </w:tcBorders>
            <w:noWrap/>
            <w:hideMark/>
          </w:tcPr>
          <w:p w14:paraId="722F5638" w14:textId="77777777" w:rsidR="00087B91" w:rsidRPr="002029AF" w:rsidRDefault="00087B91" w:rsidP="00860E95">
            <w:pPr>
              <w:pStyle w:val="ARfintablebodyright"/>
            </w:pPr>
            <w:r w:rsidRPr="002029AF">
              <w:t>8.9</w:t>
            </w:r>
          </w:p>
        </w:tc>
      </w:tr>
      <w:tr w:rsidR="00087B91" w:rsidRPr="002029AF" w14:paraId="482A4AB9" w14:textId="77777777" w:rsidTr="00860E95">
        <w:trPr>
          <w:trHeight w:val="255"/>
        </w:trPr>
        <w:tc>
          <w:tcPr>
            <w:tcW w:w="2495" w:type="dxa"/>
            <w:tcBorders>
              <w:bottom w:val="single" w:sz="4" w:space="0" w:color="auto"/>
            </w:tcBorders>
            <w:hideMark/>
          </w:tcPr>
          <w:p w14:paraId="600921D1" w14:textId="77777777" w:rsidR="00087B91" w:rsidRPr="002029AF" w:rsidRDefault="00087B91" w:rsidP="00860E95">
            <w:pPr>
              <w:pStyle w:val="ARfintablebodybold"/>
            </w:pPr>
            <w:r w:rsidRPr="002029AF">
              <w:t>Total</w:t>
            </w:r>
          </w:p>
        </w:tc>
        <w:tc>
          <w:tcPr>
            <w:tcW w:w="1021" w:type="dxa"/>
            <w:tcBorders>
              <w:bottom w:val="single" w:sz="4" w:space="0" w:color="auto"/>
            </w:tcBorders>
            <w:noWrap/>
            <w:hideMark/>
          </w:tcPr>
          <w:p w14:paraId="596341DD" w14:textId="77777777" w:rsidR="00087B91" w:rsidRPr="002029AF" w:rsidRDefault="00087B91" w:rsidP="00860E95">
            <w:pPr>
              <w:pStyle w:val="ARfintablebodyrightbold"/>
            </w:pPr>
            <w:r w:rsidRPr="002029AF">
              <w:t>472.6</w:t>
            </w:r>
          </w:p>
        </w:tc>
        <w:tc>
          <w:tcPr>
            <w:tcW w:w="1021" w:type="dxa"/>
            <w:tcBorders>
              <w:bottom w:val="single" w:sz="4" w:space="0" w:color="auto"/>
            </w:tcBorders>
            <w:noWrap/>
            <w:hideMark/>
          </w:tcPr>
          <w:p w14:paraId="4FE2AD8D" w14:textId="77777777" w:rsidR="00087B91" w:rsidRPr="002029AF" w:rsidRDefault="00087B91" w:rsidP="00860E95">
            <w:pPr>
              <w:pStyle w:val="ARfintablebodyrightbold"/>
            </w:pPr>
            <w:r w:rsidRPr="002029AF">
              <w:t>477.9</w:t>
            </w:r>
          </w:p>
        </w:tc>
        <w:tc>
          <w:tcPr>
            <w:tcW w:w="1020" w:type="dxa"/>
            <w:tcBorders>
              <w:bottom w:val="single" w:sz="4" w:space="0" w:color="auto"/>
            </w:tcBorders>
            <w:noWrap/>
            <w:hideMark/>
          </w:tcPr>
          <w:p w14:paraId="4628D423" w14:textId="77777777" w:rsidR="00087B91" w:rsidRPr="002029AF" w:rsidRDefault="00087B91" w:rsidP="00860E95">
            <w:pPr>
              <w:pStyle w:val="ARfintablebodyrightbold"/>
            </w:pPr>
            <w:r w:rsidRPr="002029AF">
              <w:t>62.8</w:t>
            </w:r>
          </w:p>
        </w:tc>
        <w:tc>
          <w:tcPr>
            <w:tcW w:w="1020" w:type="dxa"/>
            <w:tcBorders>
              <w:bottom w:val="single" w:sz="4" w:space="0" w:color="auto"/>
            </w:tcBorders>
            <w:noWrap/>
            <w:hideMark/>
          </w:tcPr>
          <w:p w14:paraId="275F1B5B" w14:textId="77777777" w:rsidR="00087B91" w:rsidRPr="002029AF" w:rsidRDefault="00087B91" w:rsidP="00860E95">
            <w:pPr>
              <w:pStyle w:val="ARfintablebodyrightbold"/>
            </w:pPr>
            <w:r w:rsidRPr="002029AF">
              <w:t>8.8</w:t>
            </w:r>
          </w:p>
        </w:tc>
        <w:tc>
          <w:tcPr>
            <w:tcW w:w="1020" w:type="dxa"/>
            <w:tcBorders>
              <w:bottom w:val="single" w:sz="4" w:space="0" w:color="auto"/>
            </w:tcBorders>
            <w:noWrap/>
            <w:hideMark/>
          </w:tcPr>
          <w:p w14:paraId="06A94755" w14:textId="77777777" w:rsidR="00087B91" w:rsidRPr="002029AF" w:rsidRDefault="00087B91" w:rsidP="00860E95">
            <w:pPr>
              <w:pStyle w:val="ARfintablebodyrightbold"/>
            </w:pPr>
            <w:r w:rsidRPr="002029AF">
              <w:t>331.3</w:t>
            </w:r>
          </w:p>
        </w:tc>
        <w:tc>
          <w:tcPr>
            <w:tcW w:w="1020" w:type="dxa"/>
            <w:tcBorders>
              <w:bottom w:val="single" w:sz="4" w:space="0" w:color="auto"/>
            </w:tcBorders>
            <w:noWrap/>
            <w:hideMark/>
          </w:tcPr>
          <w:p w14:paraId="2722301E" w14:textId="77777777" w:rsidR="00087B91" w:rsidRPr="002029AF" w:rsidRDefault="00087B91" w:rsidP="00860E95">
            <w:pPr>
              <w:pStyle w:val="ARfintablebodyrightbold"/>
            </w:pPr>
            <w:r w:rsidRPr="002029AF">
              <w:t>66.1</w:t>
            </w:r>
          </w:p>
        </w:tc>
        <w:tc>
          <w:tcPr>
            <w:tcW w:w="1020" w:type="dxa"/>
            <w:tcBorders>
              <w:bottom w:val="single" w:sz="4" w:space="0" w:color="auto"/>
            </w:tcBorders>
            <w:noWrap/>
            <w:hideMark/>
          </w:tcPr>
          <w:p w14:paraId="659CB721" w14:textId="77777777" w:rsidR="00087B91" w:rsidRPr="002029AF" w:rsidRDefault="00087B91" w:rsidP="00860E95">
            <w:pPr>
              <w:pStyle w:val="ARfintablebodyrightbold"/>
            </w:pPr>
            <w:r w:rsidRPr="002029AF">
              <w:t>8.9</w:t>
            </w:r>
          </w:p>
        </w:tc>
      </w:tr>
      <w:tr w:rsidR="00087B91" w:rsidRPr="002029AF" w14:paraId="17CA2FA5" w14:textId="77777777" w:rsidTr="00860E95">
        <w:trPr>
          <w:trHeight w:val="255"/>
        </w:trPr>
        <w:tc>
          <w:tcPr>
            <w:tcW w:w="9637" w:type="dxa"/>
            <w:gridSpan w:val="8"/>
            <w:tcBorders>
              <w:top w:val="single" w:sz="4" w:space="0" w:color="auto"/>
              <w:bottom w:val="single" w:sz="4" w:space="0" w:color="A6A6A6"/>
            </w:tcBorders>
            <w:hideMark/>
          </w:tcPr>
          <w:p w14:paraId="19817DF7" w14:textId="77777777" w:rsidR="00087B91" w:rsidRPr="002029AF" w:rsidRDefault="00087B91" w:rsidP="00860E95">
            <w:pPr>
              <w:pStyle w:val="ARfintablebodybold"/>
            </w:pPr>
            <w:r w:rsidRPr="002029AF">
              <w:t>2019</w:t>
            </w:r>
          </w:p>
        </w:tc>
      </w:tr>
      <w:tr w:rsidR="00087B91" w:rsidRPr="002029AF" w14:paraId="6F1B7A61" w14:textId="77777777" w:rsidTr="00860E95">
        <w:trPr>
          <w:trHeight w:val="255"/>
        </w:trPr>
        <w:tc>
          <w:tcPr>
            <w:tcW w:w="2495" w:type="dxa"/>
            <w:tcBorders>
              <w:top w:val="single" w:sz="4" w:space="0" w:color="A6A6A6"/>
              <w:bottom w:val="single" w:sz="4" w:space="0" w:color="A6A6A6"/>
            </w:tcBorders>
            <w:hideMark/>
          </w:tcPr>
          <w:p w14:paraId="42928849" w14:textId="63976B40" w:rsidR="00087B91" w:rsidRPr="002029AF" w:rsidRDefault="00087B91" w:rsidP="00860E95">
            <w:pPr>
              <w:pStyle w:val="ARfintablebody"/>
            </w:pPr>
            <w:r w:rsidRPr="002029AF">
              <w:t>Advances</w:t>
            </w:r>
            <w:r w:rsidR="000A5329" w:rsidRPr="002029AF">
              <w:t xml:space="preserve"> </w:t>
            </w:r>
            <w:r w:rsidRPr="002029AF">
              <w:t>from</w:t>
            </w:r>
            <w:r w:rsidR="000A5329" w:rsidRPr="002029AF">
              <w:t xml:space="preserve"> </w:t>
            </w:r>
            <w:r w:rsidRPr="002029AF">
              <w:t>Victorian</w:t>
            </w:r>
            <w:r w:rsidR="000A5329" w:rsidRPr="002029AF">
              <w:t xml:space="preserve"> </w:t>
            </w:r>
            <w:r w:rsidRPr="002029AF">
              <w:t>Government</w:t>
            </w:r>
          </w:p>
        </w:tc>
        <w:tc>
          <w:tcPr>
            <w:tcW w:w="1021" w:type="dxa"/>
            <w:tcBorders>
              <w:top w:val="single" w:sz="4" w:space="0" w:color="A6A6A6"/>
              <w:bottom w:val="single" w:sz="4" w:space="0" w:color="A6A6A6"/>
            </w:tcBorders>
            <w:noWrap/>
            <w:hideMark/>
          </w:tcPr>
          <w:p w14:paraId="0A832CF8" w14:textId="77777777" w:rsidR="00087B91" w:rsidRPr="002029AF" w:rsidRDefault="00087B91" w:rsidP="00860E95">
            <w:pPr>
              <w:pStyle w:val="ARfintablebodyright"/>
            </w:pPr>
            <w:r w:rsidRPr="002029AF">
              <w:t>79.8</w:t>
            </w:r>
          </w:p>
        </w:tc>
        <w:tc>
          <w:tcPr>
            <w:tcW w:w="1021" w:type="dxa"/>
            <w:tcBorders>
              <w:top w:val="single" w:sz="4" w:space="0" w:color="A6A6A6"/>
              <w:bottom w:val="single" w:sz="4" w:space="0" w:color="A6A6A6"/>
            </w:tcBorders>
            <w:noWrap/>
            <w:hideMark/>
          </w:tcPr>
          <w:p w14:paraId="6560CE67" w14:textId="77777777" w:rsidR="00087B91" w:rsidRPr="002029AF" w:rsidRDefault="00087B91" w:rsidP="00860E95">
            <w:pPr>
              <w:pStyle w:val="ARfintablebodyright"/>
            </w:pPr>
            <w:r w:rsidRPr="002029AF">
              <w:t>79.8</w:t>
            </w:r>
          </w:p>
        </w:tc>
        <w:tc>
          <w:tcPr>
            <w:tcW w:w="1020" w:type="dxa"/>
            <w:tcBorders>
              <w:top w:val="single" w:sz="4" w:space="0" w:color="A6A6A6"/>
              <w:bottom w:val="single" w:sz="4" w:space="0" w:color="A6A6A6"/>
            </w:tcBorders>
            <w:noWrap/>
            <w:hideMark/>
          </w:tcPr>
          <w:p w14:paraId="4DDB3AFB" w14:textId="77777777" w:rsidR="00087B91" w:rsidRPr="002029AF" w:rsidRDefault="00087B91" w:rsidP="00860E95">
            <w:pPr>
              <w:pStyle w:val="ARfintablebodyright"/>
            </w:pPr>
            <w:r w:rsidRPr="002029AF">
              <w:t>50.7</w:t>
            </w:r>
          </w:p>
        </w:tc>
        <w:tc>
          <w:tcPr>
            <w:tcW w:w="1020" w:type="dxa"/>
            <w:tcBorders>
              <w:top w:val="single" w:sz="4" w:space="0" w:color="A6A6A6"/>
              <w:bottom w:val="single" w:sz="4" w:space="0" w:color="A6A6A6"/>
            </w:tcBorders>
            <w:noWrap/>
            <w:hideMark/>
          </w:tcPr>
          <w:p w14:paraId="6E7288CC" w14:textId="77777777" w:rsidR="00087B91" w:rsidRPr="002029AF" w:rsidRDefault="00087B91" w:rsidP="00860E95">
            <w:pPr>
              <w:pStyle w:val="ARfintablebodyright"/>
            </w:pPr>
            <w:r w:rsidRPr="002029AF">
              <w:t>–</w:t>
            </w:r>
          </w:p>
        </w:tc>
        <w:tc>
          <w:tcPr>
            <w:tcW w:w="1020" w:type="dxa"/>
            <w:tcBorders>
              <w:top w:val="single" w:sz="4" w:space="0" w:color="A6A6A6"/>
              <w:bottom w:val="single" w:sz="4" w:space="0" w:color="A6A6A6"/>
            </w:tcBorders>
            <w:noWrap/>
            <w:hideMark/>
          </w:tcPr>
          <w:p w14:paraId="3AF6DD3D" w14:textId="77777777" w:rsidR="00087B91" w:rsidRPr="002029AF" w:rsidRDefault="00087B91" w:rsidP="00860E95">
            <w:pPr>
              <w:pStyle w:val="ARfintablebodyright"/>
            </w:pPr>
            <w:r w:rsidRPr="002029AF">
              <w:t>5.4</w:t>
            </w:r>
          </w:p>
        </w:tc>
        <w:tc>
          <w:tcPr>
            <w:tcW w:w="1020" w:type="dxa"/>
            <w:tcBorders>
              <w:top w:val="single" w:sz="4" w:space="0" w:color="A6A6A6"/>
              <w:bottom w:val="single" w:sz="4" w:space="0" w:color="A6A6A6"/>
            </w:tcBorders>
            <w:noWrap/>
            <w:hideMark/>
          </w:tcPr>
          <w:p w14:paraId="2B9252FD" w14:textId="77777777" w:rsidR="00087B91" w:rsidRPr="002029AF" w:rsidRDefault="00087B91" w:rsidP="00860E95">
            <w:pPr>
              <w:pStyle w:val="ARfintablebodyright"/>
            </w:pPr>
            <w:r w:rsidRPr="002029AF">
              <w:t>22.7</w:t>
            </w:r>
          </w:p>
        </w:tc>
        <w:tc>
          <w:tcPr>
            <w:tcW w:w="1020" w:type="dxa"/>
            <w:tcBorders>
              <w:top w:val="single" w:sz="4" w:space="0" w:color="A6A6A6"/>
              <w:bottom w:val="single" w:sz="4" w:space="0" w:color="A6A6A6"/>
            </w:tcBorders>
            <w:noWrap/>
            <w:hideMark/>
          </w:tcPr>
          <w:p w14:paraId="278687FB" w14:textId="77777777" w:rsidR="00087B91" w:rsidRPr="002029AF" w:rsidRDefault="00087B91" w:rsidP="00860E95">
            <w:pPr>
              <w:pStyle w:val="ARfintablebodyright"/>
            </w:pPr>
            <w:r w:rsidRPr="002029AF">
              <w:t>1.1</w:t>
            </w:r>
          </w:p>
        </w:tc>
      </w:tr>
      <w:tr w:rsidR="00087B91" w:rsidRPr="002029AF" w14:paraId="59355301" w14:textId="77777777" w:rsidTr="00860E95">
        <w:trPr>
          <w:trHeight w:val="255"/>
        </w:trPr>
        <w:tc>
          <w:tcPr>
            <w:tcW w:w="2495" w:type="dxa"/>
            <w:tcBorders>
              <w:top w:val="single" w:sz="4" w:space="0" w:color="A6A6A6"/>
            </w:tcBorders>
            <w:noWrap/>
            <w:hideMark/>
          </w:tcPr>
          <w:p w14:paraId="0C32BF0C" w14:textId="045E8690" w:rsidR="00087B91" w:rsidRPr="002029AF" w:rsidRDefault="00087B91" w:rsidP="00860E95">
            <w:pPr>
              <w:pStyle w:val="ARfintablebody"/>
            </w:pPr>
            <w:r w:rsidRPr="002029AF">
              <w:t>Finance</w:t>
            </w:r>
            <w:r w:rsidR="000A5329" w:rsidRPr="002029AF">
              <w:t xml:space="preserve"> </w:t>
            </w:r>
            <w:r w:rsidRPr="002029AF">
              <w:t>lease</w:t>
            </w:r>
            <w:r w:rsidR="000A5329" w:rsidRPr="002029AF">
              <w:t xml:space="preserve"> </w:t>
            </w:r>
            <w:r w:rsidRPr="002029AF">
              <w:t>liabilities</w:t>
            </w:r>
          </w:p>
        </w:tc>
        <w:tc>
          <w:tcPr>
            <w:tcW w:w="1021" w:type="dxa"/>
            <w:tcBorders>
              <w:top w:val="single" w:sz="4" w:space="0" w:color="A6A6A6"/>
            </w:tcBorders>
            <w:noWrap/>
            <w:hideMark/>
          </w:tcPr>
          <w:p w14:paraId="11D7E0BE" w14:textId="77777777" w:rsidR="00087B91" w:rsidRPr="002029AF" w:rsidRDefault="00087B91" w:rsidP="00860E95">
            <w:pPr>
              <w:pStyle w:val="ARfintablebodyright"/>
            </w:pPr>
            <w:r w:rsidRPr="002029AF">
              <w:t>33.0</w:t>
            </w:r>
          </w:p>
        </w:tc>
        <w:tc>
          <w:tcPr>
            <w:tcW w:w="1021" w:type="dxa"/>
            <w:tcBorders>
              <w:top w:val="single" w:sz="4" w:space="0" w:color="A6A6A6"/>
            </w:tcBorders>
            <w:noWrap/>
            <w:hideMark/>
          </w:tcPr>
          <w:p w14:paraId="21D5810A" w14:textId="77777777" w:rsidR="00087B91" w:rsidRPr="002029AF" w:rsidRDefault="00087B91" w:rsidP="00860E95">
            <w:pPr>
              <w:pStyle w:val="ARfintablebodyright"/>
            </w:pPr>
            <w:r w:rsidRPr="002029AF">
              <w:t>34.3</w:t>
            </w:r>
          </w:p>
        </w:tc>
        <w:tc>
          <w:tcPr>
            <w:tcW w:w="1020" w:type="dxa"/>
            <w:tcBorders>
              <w:top w:val="single" w:sz="4" w:space="0" w:color="A6A6A6"/>
            </w:tcBorders>
            <w:noWrap/>
            <w:hideMark/>
          </w:tcPr>
          <w:p w14:paraId="16C40FF6" w14:textId="77777777" w:rsidR="00087B91" w:rsidRPr="002029AF" w:rsidRDefault="00087B91" w:rsidP="00860E95">
            <w:pPr>
              <w:pStyle w:val="ARfintablebodyright"/>
            </w:pPr>
            <w:r w:rsidRPr="002029AF">
              <w:t>2.4</w:t>
            </w:r>
          </w:p>
        </w:tc>
        <w:tc>
          <w:tcPr>
            <w:tcW w:w="1020" w:type="dxa"/>
            <w:tcBorders>
              <w:top w:val="single" w:sz="4" w:space="0" w:color="A6A6A6"/>
            </w:tcBorders>
            <w:noWrap/>
            <w:hideMark/>
          </w:tcPr>
          <w:p w14:paraId="7AA51419" w14:textId="77777777" w:rsidR="00087B91" w:rsidRPr="002029AF" w:rsidRDefault="00087B91" w:rsidP="00860E95">
            <w:pPr>
              <w:pStyle w:val="ARfintablebodyright"/>
            </w:pPr>
            <w:r w:rsidRPr="002029AF">
              <w:t>2.3</w:t>
            </w:r>
          </w:p>
        </w:tc>
        <w:tc>
          <w:tcPr>
            <w:tcW w:w="1020" w:type="dxa"/>
            <w:tcBorders>
              <w:top w:val="single" w:sz="4" w:space="0" w:color="A6A6A6"/>
            </w:tcBorders>
            <w:noWrap/>
            <w:hideMark/>
          </w:tcPr>
          <w:p w14:paraId="2A010B14" w14:textId="77777777" w:rsidR="00087B91" w:rsidRPr="002029AF" w:rsidRDefault="00087B91" w:rsidP="00860E95">
            <w:pPr>
              <w:pStyle w:val="ARfintablebodyright"/>
            </w:pPr>
            <w:r w:rsidRPr="002029AF">
              <w:t>11.1</w:t>
            </w:r>
          </w:p>
        </w:tc>
        <w:tc>
          <w:tcPr>
            <w:tcW w:w="1020" w:type="dxa"/>
            <w:tcBorders>
              <w:top w:val="single" w:sz="4" w:space="0" w:color="A6A6A6"/>
            </w:tcBorders>
            <w:noWrap/>
            <w:hideMark/>
          </w:tcPr>
          <w:p w14:paraId="0512CBD2" w14:textId="77777777" w:rsidR="00087B91" w:rsidRPr="002029AF" w:rsidRDefault="00087B91" w:rsidP="00860E95">
            <w:pPr>
              <w:pStyle w:val="ARfintablebodyright"/>
            </w:pPr>
            <w:r w:rsidRPr="002029AF">
              <w:t>18.4</w:t>
            </w:r>
          </w:p>
        </w:tc>
        <w:tc>
          <w:tcPr>
            <w:tcW w:w="1020" w:type="dxa"/>
            <w:tcBorders>
              <w:top w:val="single" w:sz="4" w:space="0" w:color="A6A6A6"/>
            </w:tcBorders>
            <w:noWrap/>
            <w:hideMark/>
          </w:tcPr>
          <w:p w14:paraId="3D21EAB1" w14:textId="77777777" w:rsidR="00087B91" w:rsidRPr="002029AF" w:rsidRDefault="00087B91" w:rsidP="00860E95">
            <w:pPr>
              <w:pStyle w:val="ARfintablebodyright"/>
            </w:pPr>
            <w:r w:rsidRPr="002029AF">
              <w:t>–</w:t>
            </w:r>
          </w:p>
        </w:tc>
      </w:tr>
      <w:tr w:rsidR="00087B91" w:rsidRPr="002029AF" w14:paraId="78F25893" w14:textId="77777777" w:rsidTr="00860E95">
        <w:trPr>
          <w:trHeight w:val="255"/>
        </w:trPr>
        <w:tc>
          <w:tcPr>
            <w:tcW w:w="2495" w:type="dxa"/>
            <w:hideMark/>
          </w:tcPr>
          <w:p w14:paraId="6DBE2ADF" w14:textId="77777777" w:rsidR="00087B91" w:rsidRPr="002029AF" w:rsidRDefault="00087B91" w:rsidP="00860E95">
            <w:pPr>
              <w:pStyle w:val="ARfintablebodybold"/>
            </w:pPr>
            <w:r w:rsidRPr="002029AF">
              <w:t>Total</w:t>
            </w:r>
          </w:p>
        </w:tc>
        <w:tc>
          <w:tcPr>
            <w:tcW w:w="1021" w:type="dxa"/>
            <w:noWrap/>
            <w:hideMark/>
          </w:tcPr>
          <w:p w14:paraId="337FA13A" w14:textId="77777777" w:rsidR="00087B91" w:rsidRPr="002029AF" w:rsidRDefault="00087B91" w:rsidP="00860E95">
            <w:pPr>
              <w:pStyle w:val="ARfintablebodyrightbold"/>
            </w:pPr>
            <w:r w:rsidRPr="002029AF">
              <w:t>112.8</w:t>
            </w:r>
          </w:p>
        </w:tc>
        <w:tc>
          <w:tcPr>
            <w:tcW w:w="1021" w:type="dxa"/>
            <w:noWrap/>
            <w:hideMark/>
          </w:tcPr>
          <w:p w14:paraId="4258FD6B" w14:textId="77777777" w:rsidR="00087B91" w:rsidRPr="002029AF" w:rsidRDefault="00087B91" w:rsidP="00860E95">
            <w:pPr>
              <w:pStyle w:val="ARfintablebodyrightbold"/>
            </w:pPr>
            <w:r w:rsidRPr="002029AF">
              <w:t>114.1</w:t>
            </w:r>
          </w:p>
        </w:tc>
        <w:tc>
          <w:tcPr>
            <w:tcW w:w="1020" w:type="dxa"/>
            <w:noWrap/>
            <w:hideMark/>
          </w:tcPr>
          <w:p w14:paraId="6AFED96B" w14:textId="77777777" w:rsidR="00087B91" w:rsidRPr="002029AF" w:rsidRDefault="00087B91" w:rsidP="00860E95">
            <w:pPr>
              <w:pStyle w:val="ARfintablebodyrightbold"/>
            </w:pPr>
            <w:r w:rsidRPr="002029AF">
              <w:t>53.1</w:t>
            </w:r>
          </w:p>
        </w:tc>
        <w:tc>
          <w:tcPr>
            <w:tcW w:w="1020" w:type="dxa"/>
            <w:noWrap/>
            <w:hideMark/>
          </w:tcPr>
          <w:p w14:paraId="4DE7DF1F" w14:textId="77777777" w:rsidR="00087B91" w:rsidRPr="002029AF" w:rsidRDefault="00087B91" w:rsidP="00860E95">
            <w:pPr>
              <w:pStyle w:val="ARfintablebodyrightbold"/>
            </w:pPr>
            <w:r w:rsidRPr="002029AF">
              <w:t>2.3</w:t>
            </w:r>
          </w:p>
        </w:tc>
        <w:tc>
          <w:tcPr>
            <w:tcW w:w="1020" w:type="dxa"/>
            <w:noWrap/>
            <w:hideMark/>
          </w:tcPr>
          <w:p w14:paraId="53678ED6" w14:textId="77777777" w:rsidR="00087B91" w:rsidRPr="002029AF" w:rsidRDefault="00087B91" w:rsidP="00860E95">
            <w:pPr>
              <w:pStyle w:val="ARfintablebodyrightbold"/>
            </w:pPr>
            <w:r w:rsidRPr="002029AF">
              <w:t>16.5</w:t>
            </w:r>
          </w:p>
        </w:tc>
        <w:tc>
          <w:tcPr>
            <w:tcW w:w="1020" w:type="dxa"/>
            <w:noWrap/>
            <w:hideMark/>
          </w:tcPr>
          <w:p w14:paraId="46DF9B22" w14:textId="77777777" w:rsidR="00087B91" w:rsidRPr="002029AF" w:rsidRDefault="00087B91" w:rsidP="00860E95">
            <w:pPr>
              <w:pStyle w:val="ARfintablebodyrightbold"/>
            </w:pPr>
            <w:r w:rsidRPr="002029AF">
              <w:t>41.1</w:t>
            </w:r>
          </w:p>
        </w:tc>
        <w:tc>
          <w:tcPr>
            <w:tcW w:w="1020" w:type="dxa"/>
            <w:noWrap/>
            <w:hideMark/>
          </w:tcPr>
          <w:p w14:paraId="0B4F36B4" w14:textId="77777777" w:rsidR="00087B91" w:rsidRPr="002029AF" w:rsidRDefault="00087B91" w:rsidP="00860E95">
            <w:pPr>
              <w:pStyle w:val="ARfintablebodyrightbold"/>
            </w:pPr>
            <w:r w:rsidRPr="002029AF">
              <w:t>1.1</w:t>
            </w:r>
          </w:p>
        </w:tc>
      </w:tr>
    </w:tbl>
    <w:p w14:paraId="043D00A8" w14:textId="7DC56711" w:rsidR="00087B91" w:rsidRPr="002029AF" w:rsidRDefault="00087B91" w:rsidP="00087B91">
      <w:pPr>
        <w:pStyle w:val="Heading5"/>
      </w:pPr>
      <w:r w:rsidRPr="002029AF">
        <w:t>7.1.2</w:t>
      </w:r>
      <w:r w:rsidR="000A5329" w:rsidRPr="002029AF">
        <w:t xml:space="preserve"> </w:t>
      </w:r>
      <w:r w:rsidRPr="002029AF">
        <w:t>Interest</w:t>
      </w:r>
      <w:r w:rsidR="000A5329" w:rsidRPr="002029AF">
        <w:t xml:space="preserve"> </w:t>
      </w:r>
      <w:r w:rsidRPr="002029AF">
        <w:t>expense</w:t>
      </w:r>
    </w:p>
    <w:tbl>
      <w:tblPr>
        <w:tblStyle w:val="TableGrid"/>
        <w:tblW w:w="9637" w:type="dxa"/>
        <w:tblLayout w:type="fixed"/>
        <w:tblLook w:val="06A0" w:firstRow="1" w:lastRow="0" w:firstColumn="1" w:lastColumn="0" w:noHBand="1" w:noVBand="1"/>
      </w:tblPr>
      <w:tblGrid>
        <w:gridCol w:w="7371"/>
        <w:gridCol w:w="1133"/>
        <w:gridCol w:w="1133"/>
      </w:tblGrid>
      <w:tr w:rsidR="00087B91" w:rsidRPr="002029AF" w14:paraId="66CC1D57"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7371" w:type="dxa"/>
            <w:noWrap/>
            <w:hideMark/>
          </w:tcPr>
          <w:p w14:paraId="334EED3F" w14:textId="77777777" w:rsidR="00087B91" w:rsidRPr="002029AF" w:rsidRDefault="00087B91" w:rsidP="00860E95">
            <w:pPr>
              <w:pStyle w:val="ARfintablecolhead"/>
            </w:pPr>
          </w:p>
        </w:tc>
        <w:tc>
          <w:tcPr>
            <w:tcW w:w="1133" w:type="dxa"/>
            <w:shd w:val="clear" w:color="auto" w:fill="E7E6E6"/>
            <w:hideMark/>
          </w:tcPr>
          <w:p w14:paraId="75F056E9" w14:textId="77777777" w:rsidR="00087B91" w:rsidRPr="002029AF" w:rsidRDefault="00087B91" w:rsidP="00860E95">
            <w:pPr>
              <w:pStyle w:val="ARfintablecolheadright"/>
            </w:pPr>
            <w:r w:rsidRPr="002029AF">
              <w:t>2020</w:t>
            </w:r>
          </w:p>
          <w:p w14:paraId="20431E5C" w14:textId="77777777" w:rsidR="00087B91" w:rsidRPr="002029AF" w:rsidRDefault="00087B91" w:rsidP="00860E95">
            <w:pPr>
              <w:pStyle w:val="ARfintablecolheadright"/>
            </w:pPr>
            <w:r w:rsidRPr="002029AF">
              <w:t>$M</w:t>
            </w:r>
          </w:p>
        </w:tc>
        <w:tc>
          <w:tcPr>
            <w:tcW w:w="1133" w:type="dxa"/>
            <w:hideMark/>
          </w:tcPr>
          <w:p w14:paraId="49F070AF" w14:textId="77777777" w:rsidR="00087B91" w:rsidRPr="002029AF" w:rsidRDefault="00087B91" w:rsidP="00860E95">
            <w:pPr>
              <w:pStyle w:val="ARfintablecolheadright"/>
            </w:pPr>
            <w:r w:rsidRPr="002029AF">
              <w:t>2019</w:t>
            </w:r>
          </w:p>
          <w:p w14:paraId="281FCB6F" w14:textId="77777777" w:rsidR="00087B91" w:rsidRPr="002029AF" w:rsidRDefault="00087B91" w:rsidP="00860E95">
            <w:pPr>
              <w:pStyle w:val="ARfintablecolheadright"/>
            </w:pPr>
            <w:r w:rsidRPr="002029AF">
              <w:t>$M</w:t>
            </w:r>
          </w:p>
        </w:tc>
      </w:tr>
      <w:tr w:rsidR="00087B91" w:rsidRPr="002029AF" w14:paraId="550FAD20" w14:textId="77777777" w:rsidTr="00860E95">
        <w:tc>
          <w:tcPr>
            <w:tcW w:w="7371" w:type="dxa"/>
            <w:hideMark/>
          </w:tcPr>
          <w:p w14:paraId="3F8E7F67" w14:textId="1CC23BAE" w:rsidR="00087B91" w:rsidRPr="002029AF" w:rsidRDefault="00087B91" w:rsidP="00860E95">
            <w:pPr>
              <w:pStyle w:val="ARfintablebody"/>
            </w:pPr>
            <w:r w:rsidRPr="002029AF">
              <w:t>Interest</w:t>
            </w:r>
            <w:r w:rsidR="000A5329" w:rsidRPr="002029AF">
              <w:t xml:space="preserve"> </w:t>
            </w:r>
            <w:r w:rsidRPr="002029AF">
              <w:t>on</w:t>
            </w:r>
            <w:r w:rsidR="000A5329" w:rsidRPr="002029AF">
              <w:t xml:space="preserve"> </w:t>
            </w:r>
            <w:r w:rsidRPr="002029AF">
              <w:t>lease</w:t>
            </w:r>
            <w:r w:rsidR="000A5329" w:rsidRPr="002029AF">
              <w:t xml:space="preserve"> </w:t>
            </w:r>
            <w:r w:rsidRPr="002029AF">
              <w:t>liabilities</w:t>
            </w:r>
          </w:p>
        </w:tc>
        <w:tc>
          <w:tcPr>
            <w:tcW w:w="1133" w:type="dxa"/>
            <w:shd w:val="clear" w:color="auto" w:fill="E7E6E6"/>
            <w:noWrap/>
            <w:hideMark/>
          </w:tcPr>
          <w:p w14:paraId="58BA625E" w14:textId="77777777" w:rsidR="00087B91" w:rsidRPr="002029AF" w:rsidRDefault="00087B91" w:rsidP="00860E95">
            <w:pPr>
              <w:pStyle w:val="ARfintablebodyright"/>
            </w:pPr>
            <w:r w:rsidRPr="002029AF">
              <w:t>7.0</w:t>
            </w:r>
          </w:p>
        </w:tc>
        <w:tc>
          <w:tcPr>
            <w:tcW w:w="1133" w:type="dxa"/>
            <w:noWrap/>
            <w:hideMark/>
          </w:tcPr>
          <w:p w14:paraId="015C82B9" w14:textId="77777777" w:rsidR="00087B91" w:rsidRPr="002029AF" w:rsidRDefault="00087B91" w:rsidP="00860E95">
            <w:pPr>
              <w:pStyle w:val="ARfintablebodyright"/>
            </w:pPr>
            <w:r w:rsidRPr="002029AF">
              <w:t>0.6</w:t>
            </w:r>
          </w:p>
        </w:tc>
      </w:tr>
      <w:tr w:rsidR="00087B91" w:rsidRPr="002029AF" w14:paraId="15A96F94" w14:textId="77777777" w:rsidTr="00860E95">
        <w:tc>
          <w:tcPr>
            <w:tcW w:w="7371" w:type="dxa"/>
            <w:hideMark/>
          </w:tcPr>
          <w:p w14:paraId="55718E20" w14:textId="7ED06471" w:rsidR="00087B91" w:rsidRPr="002029AF" w:rsidRDefault="00087B91" w:rsidP="00860E95">
            <w:pPr>
              <w:pStyle w:val="ARfintablebodybold"/>
            </w:pPr>
            <w:r w:rsidRPr="002029AF">
              <w:t>Total</w:t>
            </w:r>
            <w:r w:rsidR="000A5329" w:rsidRPr="002029AF">
              <w:t xml:space="preserve"> </w:t>
            </w:r>
            <w:r w:rsidRPr="002029AF">
              <w:t>Interest</w:t>
            </w:r>
            <w:r w:rsidR="000A5329" w:rsidRPr="002029AF">
              <w:t xml:space="preserve"> </w:t>
            </w:r>
            <w:r w:rsidRPr="002029AF">
              <w:t>expenses</w:t>
            </w:r>
          </w:p>
        </w:tc>
        <w:tc>
          <w:tcPr>
            <w:tcW w:w="1133" w:type="dxa"/>
            <w:shd w:val="clear" w:color="auto" w:fill="E7E6E6"/>
            <w:noWrap/>
            <w:hideMark/>
          </w:tcPr>
          <w:p w14:paraId="00663D57" w14:textId="77777777" w:rsidR="00087B91" w:rsidRPr="002029AF" w:rsidRDefault="00087B91" w:rsidP="00860E95">
            <w:pPr>
              <w:pStyle w:val="ARfintablebodyrightbold"/>
            </w:pPr>
            <w:r w:rsidRPr="002029AF">
              <w:t>7.0</w:t>
            </w:r>
          </w:p>
        </w:tc>
        <w:tc>
          <w:tcPr>
            <w:tcW w:w="1133" w:type="dxa"/>
            <w:noWrap/>
            <w:hideMark/>
          </w:tcPr>
          <w:p w14:paraId="6D4BF2AB" w14:textId="77777777" w:rsidR="00087B91" w:rsidRPr="002029AF" w:rsidRDefault="00087B91" w:rsidP="00860E95">
            <w:pPr>
              <w:pStyle w:val="ARfintablebodyrightbold"/>
            </w:pPr>
            <w:r w:rsidRPr="002029AF">
              <w:t>0.6</w:t>
            </w:r>
          </w:p>
        </w:tc>
      </w:tr>
    </w:tbl>
    <w:p w14:paraId="202A4062" w14:textId="61047B53" w:rsidR="00087B91" w:rsidRPr="002029AF" w:rsidRDefault="00087B91" w:rsidP="00087B91">
      <w:pPr>
        <w:pStyle w:val="ARfinbodyaftertable"/>
      </w:pPr>
      <w:r w:rsidRPr="002029AF">
        <w:t>‘Interest</w:t>
      </w:r>
      <w:r w:rsidR="000A5329" w:rsidRPr="002029AF">
        <w:t xml:space="preserve"> </w:t>
      </w:r>
      <w:r w:rsidRPr="002029AF">
        <w:t>expense’</w:t>
      </w:r>
      <w:r w:rsidR="000A5329" w:rsidRPr="002029AF">
        <w:t xml:space="preserve"> </w:t>
      </w:r>
      <w:r w:rsidRPr="002029AF">
        <w:t>includes</w:t>
      </w:r>
      <w:r w:rsidR="000A5329" w:rsidRPr="002029AF">
        <w:t xml:space="preserve"> </w:t>
      </w:r>
      <w:r w:rsidRPr="002029AF">
        <w:t>costs</w:t>
      </w:r>
      <w:r w:rsidR="000A5329" w:rsidRPr="002029AF">
        <w:t xml:space="preserve"> </w:t>
      </w:r>
      <w:r w:rsidRPr="002029AF">
        <w:t>incurred</w:t>
      </w:r>
      <w:r w:rsidR="000A5329" w:rsidRPr="002029AF">
        <w:t xml:space="preserve"> </w:t>
      </w:r>
      <w:r w:rsidRPr="002029AF">
        <w:t>in</w:t>
      </w:r>
      <w:r w:rsidR="000A5329" w:rsidRPr="002029AF">
        <w:t xml:space="preserve"> </w:t>
      </w:r>
      <w:r w:rsidRPr="002029AF">
        <w:t>connection</w:t>
      </w:r>
      <w:r w:rsidR="000A5329" w:rsidRPr="002029AF">
        <w:t xml:space="preserve"> </w:t>
      </w:r>
      <w:r w:rsidRPr="002029AF">
        <w:t>with</w:t>
      </w:r>
      <w:r w:rsidR="000A5329" w:rsidRPr="002029AF">
        <w:t xml:space="preserve"> </w:t>
      </w:r>
      <w:r w:rsidRPr="002029AF">
        <w:t>the</w:t>
      </w:r>
      <w:r w:rsidR="000A5329" w:rsidRPr="002029AF">
        <w:t xml:space="preserve"> </w:t>
      </w:r>
      <w:r w:rsidRPr="002029AF">
        <w:t>borrowing</w:t>
      </w:r>
      <w:r w:rsidR="000A5329" w:rsidRPr="002029AF">
        <w:t xml:space="preserve"> </w:t>
      </w:r>
      <w:r w:rsidRPr="002029AF">
        <w:t>of</w:t>
      </w:r>
      <w:r w:rsidR="000A5329" w:rsidRPr="002029AF">
        <w:t xml:space="preserve"> </w:t>
      </w:r>
      <w:r w:rsidRPr="002029AF">
        <w:t>funds</w:t>
      </w:r>
      <w:r w:rsidR="000A5329" w:rsidRPr="002029AF">
        <w:t xml:space="preserve"> </w:t>
      </w:r>
      <w:r w:rsidRPr="002029AF">
        <w:t>and</w:t>
      </w:r>
      <w:r w:rsidR="000A5329" w:rsidRPr="002029AF">
        <w:t xml:space="preserve"> </w:t>
      </w:r>
      <w:r w:rsidRPr="002029AF">
        <w:t>includes</w:t>
      </w:r>
      <w:r w:rsidR="000A5329" w:rsidRPr="002029AF">
        <w:t xml:space="preserve"> </w:t>
      </w:r>
      <w:r w:rsidRPr="002029AF">
        <w:t>interest</w:t>
      </w:r>
      <w:r w:rsidR="000A5329" w:rsidRPr="002029AF">
        <w:t xml:space="preserve"> </w:t>
      </w:r>
      <w:r w:rsidRPr="002029AF">
        <w:t>on</w:t>
      </w:r>
      <w:r w:rsidR="000A5329" w:rsidRPr="002029AF">
        <w:t xml:space="preserve"> </w:t>
      </w:r>
      <w:r w:rsidRPr="002029AF">
        <w:t>bank</w:t>
      </w:r>
      <w:r w:rsidR="000A5329" w:rsidRPr="002029AF">
        <w:t xml:space="preserve"> </w:t>
      </w:r>
      <w:r w:rsidRPr="002029AF">
        <w:t>overdrafts</w:t>
      </w:r>
      <w:r w:rsidR="000A5329" w:rsidRPr="002029AF">
        <w:t xml:space="preserve"> </w:t>
      </w:r>
      <w:r w:rsidRPr="002029AF">
        <w:t>and</w:t>
      </w:r>
      <w:r w:rsidR="000A5329" w:rsidRPr="002029AF">
        <w:t xml:space="preserve"> </w:t>
      </w:r>
      <w:r w:rsidRPr="002029AF">
        <w:t>short</w:t>
      </w:r>
      <w:r w:rsidR="000A5329" w:rsidRPr="002029AF">
        <w:t xml:space="preserve"> </w:t>
      </w:r>
      <w:r w:rsidRPr="002029AF">
        <w:t>term</w:t>
      </w:r>
      <w:r w:rsidR="000A5329" w:rsidRPr="002029AF">
        <w:t xml:space="preserve"> </w:t>
      </w:r>
      <w:r w:rsidRPr="002029AF">
        <w:t>and</w:t>
      </w:r>
      <w:r w:rsidR="000A5329" w:rsidRPr="002029AF">
        <w:t xml:space="preserve"> </w:t>
      </w:r>
      <w:r w:rsidRPr="002029AF">
        <w:t>long</w:t>
      </w:r>
      <w:r w:rsidR="002C0B53" w:rsidRPr="002029AF">
        <w:t>-</w:t>
      </w:r>
      <w:r w:rsidRPr="002029AF">
        <w:t>term</w:t>
      </w:r>
      <w:r w:rsidR="000A5329" w:rsidRPr="002029AF">
        <w:t xml:space="preserve"> </w:t>
      </w:r>
      <w:r w:rsidRPr="002029AF">
        <w:t>borrowings,</w:t>
      </w:r>
      <w:r w:rsidR="000A5329" w:rsidRPr="002029AF">
        <w:t xml:space="preserve"> </w:t>
      </w:r>
      <w:r w:rsidRPr="002029AF">
        <w:t>amortisation</w:t>
      </w:r>
      <w:r w:rsidR="000A5329" w:rsidRPr="002029AF">
        <w:t xml:space="preserve"> </w:t>
      </w:r>
      <w:r w:rsidRPr="002029AF">
        <w:t>of</w:t>
      </w:r>
      <w:r w:rsidR="000A5329" w:rsidRPr="002029AF">
        <w:t xml:space="preserve"> </w:t>
      </w:r>
      <w:r w:rsidRPr="002029AF">
        <w:t>discounts</w:t>
      </w:r>
      <w:r w:rsidR="000A5329" w:rsidRPr="002029AF">
        <w:t xml:space="preserve"> </w:t>
      </w:r>
      <w:r w:rsidRPr="002029AF">
        <w:t>or</w:t>
      </w:r>
      <w:r w:rsidR="000A5329" w:rsidRPr="002029AF">
        <w:t xml:space="preserve"> </w:t>
      </w:r>
      <w:r w:rsidRPr="002029AF">
        <w:t>premiums</w:t>
      </w:r>
      <w:r w:rsidR="000A5329" w:rsidRPr="002029AF">
        <w:t xml:space="preserve"> </w:t>
      </w:r>
      <w:r w:rsidRPr="002029AF">
        <w:t>relating</w:t>
      </w:r>
      <w:r w:rsidR="000A5329" w:rsidRPr="002029AF">
        <w:t xml:space="preserve"> </w:t>
      </w:r>
      <w:r w:rsidRPr="002029AF">
        <w:t>to</w:t>
      </w:r>
      <w:r w:rsidR="000A5329" w:rsidRPr="002029AF">
        <w:t xml:space="preserve"> </w:t>
      </w:r>
      <w:r w:rsidRPr="002029AF">
        <w:t>borrowings</w:t>
      </w:r>
      <w:r w:rsidR="000A5329" w:rsidRPr="002029AF">
        <w:t xml:space="preserve"> </w:t>
      </w:r>
      <w:r w:rsidRPr="002029AF">
        <w:t>and</w:t>
      </w:r>
      <w:r w:rsidR="000A5329" w:rsidRPr="002029AF">
        <w:t xml:space="preserve"> </w:t>
      </w:r>
      <w:r w:rsidRPr="002029AF">
        <w:t>interest</w:t>
      </w:r>
      <w:r w:rsidR="000A5329" w:rsidRPr="002029AF">
        <w:t xml:space="preserve"> </w:t>
      </w:r>
      <w:r w:rsidRPr="002029AF">
        <w:t>component</w:t>
      </w:r>
      <w:r w:rsidR="000A5329" w:rsidRPr="002029AF">
        <w:t xml:space="preserve"> </w:t>
      </w:r>
      <w:r w:rsidRPr="002029AF">
        <w:t>of</w:t>
      </w:r>
      <w:r w:rsidR="000A5329" w:rsidRPr="002029AF">
        <w:t xml:space="preserve"> </w:t>
      </w:r>
      <w:r w:rsidRPr="002029AF">
        <w:t>finance</w:t>
      </w:r>
      <w:r w:rsidR="000A5329" w:rsidRPr="002029AF">
        <w:t xml:space="preserve"> </w:t>
      </w:r>
      <w:r w:rsidRPr="002029AF">
        <w:t>leases</w:t>
      </w:r>
      <w:r w:rsidR="000A5329" w:rsidRPr="002029AF">
        <w:t xml:space="preserve"> </w:t>
      </w:r>
      <w:r w:rsidRPr="002029AF">
        <w:t>repayments.</w:t>
      </w:r>
    </w:p>
    <w:p w14:paraId="0FF4AB3F" w14:textId="5CA816F2" w:rsidR="00087B91" w:rsidRPr="002029AF" w:rsidRDefault="00087B91" w:rsidP="00087B91">
      <w:pPr>
        <w:pStyle w:val="ARfinbody"/>
      </w:pPr>
      <w:r w:rsidRPr="002029AF">
        <w:t>Interest</w:t>
      </w:r>
      <w:r w:rsidR="000A5329" w:rsidRPr="002029AF">
        <w:t xml:space="preserve"> </w:t>
      </w:r>
      <w:r w:rsidRPr="002029AF">
        <w:t>expense</w:t>
      </w:r>
      <w:r w:rsidR="000A5329" w:rsidRPr="002029AF">
        <w:t xml:space="preserve"> </w:t>
      </w:r>
      <w:r w:rsidRPr="002029AF">
        <w:t>is</w:t>
      </w:r>
      <w:r w:rsidR="000A5329" w:rsidRPr="002029AF">
        <w:t xml:space="preserve"> </w:t>
      </w:r>
      <w:r w:rsidRPr="002029AF">
        <w:t>recognised</w:t>
      </w:r>
      <w:r w:rsidR="000A5329" w:rsidRPr="002029AF">
        <w:t xml:space="preserve"> </w:t>
      </w:r>
      <w:r w:rsidRPr="002029AF">
        <w:t>in</w:t>
      </w:r>
      <w:r w:rsidR="000A5329" w:rsidRPr="002029AF">
        <w:t xml:space="preserve"> </w:t>
      </w:r>
      <w:r w:rsidRPr="002029AF">
        <w:t>the</w:t>
      </w:r>
      <w:r w:rsidR="000A5329" w:rsidRPr="002029AF">
        <w:t xml:space="preserve"> </w:t>
      </w:r>
      <w:r w:rsidRPr="002029AF">
        <w:t>period</w:t>
      </w:r>
      <w:r w:rsidR="000A5329" w:rsidRPr="002029AF">
        <w:t xml:space="preserve"> </w:t>
      </w:r>
      <w:r w:rsidRPr="002029AF">
        <w:t>in</w:t>
      </w:r>
      <w:r w:rsidR="000A5329" w:rsidRPr="002029AF">
        <w:t xml:space="preserve"> </w:t>
      </w:r>
      <w:r w:rsidRPr="002029AF">
        <w:t>which</w:t>
      </w:r>
      <w:r w:rsidR="000A5329" w:rsidRPr="002029AF">
        <w:t xml:space="preserve"> </w:t>
      </w:r>
      <w:r w:rsidRPr="002029AF">
        <w:t>it</w:t>
      </w:r>
      <w:r w:rsidR="000A5329" w:rsidRPr="002029AF">
        <w:t xml:space="preserve"> </w:t>
      </w:r>
      <w:r w:rsidRPr="002029AF">
        <w:t>is</w:t>
      </w:r>
      <w:r w:rsidR="000A5329" w:rsidRPr="002029AF">
        <w:t xml:space="preserve"> </w:t>
      </w:r>
      <w:r w:rsidRPr="002029AF">
        <w:t>incurred.</w:t>
      </w:r>
    </w:p>
    <w:p w14:paraId="385A59D7" w14:textId="08E73505" w:rsidR="00087B91" w:rsidRPr="002029AF" w:rsidRDefault="00087B91" w:rsidP="00087B91">
      <w:pPr>
        <w:pStyle w:val="ARfinbody"/>
      </w:pPr>
      <w:r w:rsidRPr="002029AF">
        <w:t>The</w:t>
      </w:r>
      <w:r w:rsidR="000A5329" w:rsidRPr="002029AF">
        <w:t xml:space="preserve"> </w:t>
      </w:r>
      <w:r w:rsidRPr="002029AF">
        <w:t>department</w:t>
      </w:r>
      <w:r w:rsidR="000A5329" w:rsidRPr="002029AF">
        <w:t xml:space="preserve"> </w:t>
      </w:r>
      <w:r w:rsidRPr="002029AF">
        <w:t>recognises</w:t>
      </w:r>
      <w:r w:rsidR="000A5329" w:rsidRPr="002029AF">
        <w:t xml:space="preserve"> </w:t>
      </w:r>
      <w:r w:rsidRPr="002029AF">
        <w:t>borrowing</w:t>
      </w:r>
      <w:r w:rsidR="000A5329" w:rsidRPr="002029AF">
        <w:t xml:space="preserve"> </w:t>
      </w:r>
      <w:r w:rsidRPr="002029AF">
        <w:t>costs</w:t>
      </w:r>
      <w:r w:rsidR="000A5329" w:rsidRPr="002029AF">
        <w:t xml:space="preserve"> </w:t>
      </w:r>
      <w:r w:rsidRPr="002029AF">
        <w:t>immediately</w:t>
      </w:r>
      <w:r w:rsidR="000A5329" w:rsidRPr="002029AF">
        <w:t xml:space="preserve"> </w:t>
      </w:r>
      <w:r w:rsidRPr="002029AF">
        <w:t>as</w:t>
      </w:r>
      <w:r w:rsidR="000A5329" w:rsidRPr="002029AF">
        <w:t xml:space="preserve"> </w:t>
      </w:r>
      <w:r w:rsidRPr="002029AF">
        <w:t>an</w:t>
      </w:r>
      <w:r w:rsidR="000A5329" w:rsidRPr="002029AF">
        <w:t xml:space="preserve"> </w:t>
      </w:r>
      <w:r w:rsidRPr="002029AF">
        <w:t>expense,</w:t>
      </w:r>
      <w:r w:rsidR="000A5329" w:rsidRPr="002029AF">
        <w:t xml:space="preserve"> </w:t>
      </w:r>
      <w:r w:rsidRPr="002029AF">
        <w:t>even</w:t>
      </w:r>
      <w:r w:rsidR="000A5329" w:rsidRPr="002029AF">
        <w:t xml:space="preserve"> </w:t>
      </w:r>
      <w:r w:rsidRPr="002029AF">
        <w:t>where</w:t>
      </w:r>
      <w:r w:rsidR="000A5329" w:rsidRPr="002029AF">
        <w:t xml:space="preserve"> </w:t>
      </w:r>
      <w:r w:rsidRPr="002029AF">
        <w:t>they</w:t>
      </w:r>
      <w:r w:rsidR="000A5329" w:rsidRPr="002029AF">
        <w:t xml:space="preserve"> </w:t>
      </w:r>
      <w:r w:rsidRPr="002029AF">
        <w:t>are</w:t>
      </w:r>
      <w:r w:rsidR="000A5329" w:rsidRPr="002029AF">
        <w:t xml:space="preserve"> </w:t>
      </w:r>
      <w:r w:rsidRPr="002029AF">
        <w:t>directly</w:t>
      </w:r>
      <w:r w:rsidR="000A5329" w:rsidRPr="002029AF">
        <w:t xml:space="preserve"> </w:t>
      </w:r>
      <w:r w:rsidRPr="002029AF">
        <w:t>attributable</w:t>
      </w:r>
      <w:r w:rsidR="000A5329" w:rsidRPr="002029AF">
        <w:t xml:space="preserve"> </w:t>
      </w:r>
      <w:r w:rsidRPr="002029AF">
        <w:t>to</w:t>
      </w:r>
      <w:r w:rsidR="000A5329" w:rsidRPr="002029AF">
        <w:t xml:space="preserve"> </w:t>
      </w:r>
      <w:r w:rsidRPr="002029AF">
        <w:t>the</w:t>
      </w:r>
      <w:r w:rsidR="000A5329" w:rsidRPr="002029AF">
        <w:t xml:space="preserve"> </w:t>
      </w:r>
      <w:r w:rsidRPr="002029AF">
        <w:t>acquisition,</w:t>
      </w:r>
      <w:r w:rsidR="000A5329" w:rsidRPr="002029AF">
        <w:t xml:space="preserve"> </w:t>
      </w:r>
      <w:r w:rsidRPr="002029AF">
        <w:t>construction</w:t>
      </w:r>
      <w:r w:rsidR="000A5329" w:rsidRPr="002029AF">
        <w:t xml:space="preserve"> </w:t>
      </w:r>
      <w:r w:rsidRPr="002029AF">
        <w:t>or</w:t>
      </w:r>
      <w:r w:rsidR="000A5329" w:rsidRPr="002029AF">
        <w:t xml:space="preserve"> </w:t>
      </w:r>
      <w:r w:rsidRPr="002029AF">
        <w:t>production</w:t>
      </w:r>
      <w:r w:rsidR="000A5329" w:rsidRPr="002029AF">
        <w:t xml:space="preserve"> </w:t>
      </w:r>
      <w:r w:rsidRPr="002029AF">
        <w:t>of</w:t>
      </w:r>
      <w:r w:rsidR="000A5329" w:rsidRPr="002029AF">
        <w:t xml:space="preserve"> </w:t>
      </w:r>
      <w:r w:rsidRPr="002029AF">
        <w:t>a</w:t>
      </w:r>
      <w:r w:rsidR="000A5329" w:rsidRPr="002029AF">
        <w:t xml:space="preserve"> </w:t>
      </w:r>
      <w:r w:rsidRPr="002029AF">
        <w:t>qualifying</w:t>
      </w:r>
      <w:r w:rsidR="000A5329" w:rsidRPr="002029AF">
        <w:t xml:space="preserve"> </w:t>
      </w:r>
      <w:r w:rsidRPr="002029AF">
        <w:t>asset.</w:t>
      </w:r>
    </w:p>
    <w:p w14:paraId="7D3571A8" w14:textId="26328FE4" w:rsidR="00087B91" w:rsidRPr="002029AF" w:rsidRDefault="00087B91" w:rsidP="00087B91">
      <w:pPr>
        <w:pStyle w:val="Heading4"/>
      </w:pPr>
      <w:r w:rsidRPr="002029AF">
        <w:t>7.2</w:t>
      </w:r>
      <w:r w:rsidR="000A5329" w:rsidRPr="002029AF">
        <w:t xml:space="preserve"> </w:t>
      </w:r>
      <w:r w:rsidRPr="002029AF">
        <w:t>Leases</w:t>
      </w:r>
    </w:p>
    <w:p w14:paraId="06563119" w14:textId="72A32BA4" w:rsidR="00087B91" w:rsidRPr="002029AF" w:rsidRDefault="00087B91" w:rsidP="00087B91">
      <w:pPr>
        <w:pStyle w:val="Heading5"/>
      </w:pPr>
      <w:r w:rsidRPr="002029AF">
        <w:t>7.2.1</w:t>
      </w:r>
      <w:r w:rsidR="000A5329" w:rsidRPr="002029AF">
        <w:t xml:space="preserve"> </w:t>
      </w:r>
      <w:r w:rsidRPr="002029AF">
        <w:t>Leases</w:t>
      </w:r>
    </w:p>
    <w:p w14:paraId="33A63153" w14:textId="08329CF1" w:rsidR="00087B91" w:rsidRPr="002029AF" w:rsidRDefault="00087B91" w:rsidP="00087B91">
      <w:pPr>
        <w:pStyle w:val="ARfinbody"/>
      </w:pPr>
      <w:r w:rsidRPr="002029AF">
        <w:t>Information</w:t>
      </w:r>
      <w:r w:rsidR="000A5329" w:rsidRPr="002029AF">
        <w:t xml:space="preserve"> </w:t>
      </w:r>
      <w:r w:rsidRPr="002029AF">
        <w:t>about</w:t>
      </w:r>
      <w:r w:rsidR="000A5329" w:rsidRPr="002029AF">
        <w:t xml:space="preserve"> </w:t>
      </w:r>
      <w:r w:rsidRPr="002029AF">
        <w:t>leases</w:t>
      </w:r>
      <w:r w:rsidR="000A5329" w:rsidRPr="002029AF">
        <w:t xml:space="preserve"> </w:t>
      </w:r>
      <w:r w:rsidRPr="002029AF">
        <w:t>for</w:t>
      </w:r>
      <w:r w:rsidR="000A5329" w:rsidRPr="002029AF">
        <w:t xml:space="preserve"> </w:t>
      </w:r>
      <w:r w:rsidRPr="002029AF">
        <w:t>which</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is</w:t>
      </w:r>
      <w:r w:rsidR="000A5329" w:rsidRPr="002029AF">
        <w:t xml:space="preserve"> </w:t>
      </w:r>
      <w:r w:rsidRPr="002029AF">
        <w:t>a</w:t>
      </w:r>
      <w:r w:rsidR="000A5329" w:rsidRPr="002029AF">
        <w:t xml:space="preserve"> </w:t>
      </w:r>
      <w:r w:rsidRPr="002029AF">
        <w:t>lessee</w:t>
      </w:r>
      <w:r w:rsidR="000A5329" w:rsidRPr="002029AF">
        <w:t xml:space="preserve"> </w:t>
      </w:r>
      <w:r w:rsidRPr="002029AF">
        <w:t>is</w:t>
      </w:r>
      <w:r w:rsidR="000A5329" w:rsidRPr="002029AF">
        <w:t xml:space="preserve"> </w:t>
      </w:r>
      <w:r w:rsidRPr="002029AF">
        <w:t>presented</w:t>
      </w:r>
      <w:r w:rsidR="000A5329" w:rsidRPr="002029AF">
        <w:t xml:space="preserve"> </w:t>
      </w:r>
      <w:r w:rsidRPr="002029AF">
        <w:t>below.</w:t>
      </w:r>
    </w:p>
    <w:p w14:paraId="09BEFB32" w14:textId="09F36B1A" w:rsidR="00087B91" w:rsidRPr="002029AF" w:rsidRDefault="00087B91" w:rsidP="00087B91">
      <w:pPr>
        <w:pStyle w:val="Heading6"/>
        <w:rPr>
          <w:lang w:val="en-AU"/>
        </w:rPr>
      </w:pPr>
      <w:r w:rsidRPr="002029AF">
        <w:rPr>
          <w:lang w:val="en-AU"/>
        </w:rPr>
        <w:t>The</w:t>
      </w:r>
      <w:r w:rsidR="000A5329" w:rsidRPr="002029AF">
        <w:rPr>
          <w:lang w:val="en-AU"/>
        </w:rPr>
        <w:t xml:space="preserve"> </w:t>
      </w:r>
      <w:r w:rsidRPr="002029AF">
        <w:rPr>
          <w:lang w:val="en-AU"/>
        </w:rPr>
        <w:t>department’s</w:t>
      </w:r>
      <w:r w:rsidR="000A5329" w:rsidRPr="002029AF">
        <w:rPr>
          <w:lang w:val="en-AU"/>
        </w:rPr>
        <w:t xml:space="preserve"> </w:t>
      </w:r>
      <w:r w:rsidRPr="002029AF">
        <w:rPr>
          <w:lang w:val="en-AU"/>
        </w:rPr>
        <w:t>leasing</w:t>
      </w:r>
      <w:r w:rsidR="000A5329" w:rsidRPr="002029AF">
        <w:rPr>
          <w:lang w:val="en-AU"/>
        </w:rPr>
        <w:t xml:space="preserve"> </w:t>
      </w:r>
      <w:r w:rsidRPr="002029AF">
        <w:rPr>
          <w:lang w:val="en-AU"/>
        </w:rPr>
        <w:t>activities</w:t>
      </w:r>
    </w:p>
    <w:p w14:paraId="7EB76FEC" w14:textId="0B4803A0" w:rsidR="00087B91" w:rsidRPr="002029AF" w:rsidRDefault="00087B91" w:rsidP="00087B91">
      <w:pPr>
        <w:pStyle w:val="ARfinbody"/>
      </w:pPr>
      <w:bookmarkStart w:id="367" w:name="_Hlk47619149"/>
      <w:r w:rsidRPr="002029AF">
        <w:t>The</w:t>
      </w:r>
      <w:r w:rsidR="000A5329" w:rsidRPr="002029AF">
        <w:t xml:space="preserve"> </w:t>
      </w:r>
      <w:r w:rsidRPr="002029AF">
        <w:t>department</w:t>
      </w:r>
      <w:r w:rsidR="000A5329" w:rsidRPr="002029AF">
        <w:t xml:space="preserve"> </w:t>
      </w:r>
      <w:r w:rsidRPr="002029AF">
        <w:t>leases</w:t>
      </w:r>
      <w:r w:rsidR="000A5329" w:rsidRPr="002029AF">
        <w:t xml:space="preserve"> </w:t>
      </w:r>
      <w:r w:rsidRPr="002029AF">
        <w:t>various</w:t>
      </w:r>
      <w:r w:rsidR="000A5329" w:rsidRPr="002029AF">
        <w:t xml:space="preserve"> </w:t>
      </w:r>
      <w:r w:rsidRPr="002029AF">
        <w:t>IT</w:t>
      </w:r>
      <w:r w:rsidR="000A5329" w:rsidRPr="002029AF">
        <w:t xml:space="preserve"> </w:t>
      </w:r>
      <w:r w:rsidRPr="002029AF">
        <w:t>data</w:t>
      </w:r>
      <w:r w:rsidR="000A5329" w:rsidRPr="002029AF">
        <w:t xml:space="preserve"> </w:t>
      </w:r>
      <w:r w:rsidRPr="002029AF">
        <w:t>centres,</w:t>
      </w:r>
      <w:r w:rsidR="000A5329" w:rsidRPr="002029AF">
        <w:t xml:space="preserve"> </w:t>
      </w:r>
      <w:r w:rsidRPr="002029AF">
        <w:t>equipment</w:t>
      </w:r>
      <w:r w:rsidR="000A5329" w:rsidRPr="002029AF">
        <w:t xml:space="preserve"> </w:t>
      </w:r>
      <w:r w:rsidRPr="002029AF">
        <w:t>and</w:t>
      </w:r>
      <w:r w:rsidR="000A5329" w:rsidRPr="002029AF">
        <w:t xml:space="preserve"> </w:t>
      </w:r>
      <w:r w:rsidRPr="002029AF">
        <w:t>motor</w:t>
      </w:r>
      <w:r w:rsidR="000A5329" w:rsidRPr="002029AF">
        <w:t xml:space="preserve"> </w:t>
      </w:r>
      <w:r w:rsidRPr="002029AF">
        <w:t>vehicles.</w:t>
      </w:r>
      <w:r w:rsidR="000A5329" w:rsidRPr="002029AF">
        <w:t xml:space="preserve"> </w:t>
      </w:r>
      <w:r w:rsidRPr="002029AF">
        <w:t>The</w:t>
      </w:r>
      <w:r w:rsidR="000A5329" w:rsidRPr="002029AF">
        <w:t xml:space="preserve"> </w:t>
      </w:r>
      <w:r w:rsidRPr="002029AF">
        <w:t>lease</w:t>
      </w:r>
      <w:r w:rsidR="000A5329" w:rsidRPr="002029AF">
        <w:t xml:space="preserve"> </w:t>
      </w:r>
      <w:r w:rsidRPr="002029AF">
        <w:t>contracts</w:t>
      </w:r>
      <w:r w:rsidR="000A5329" w:rsidRPr="002029AF">
        <w:t xml:space="preserve"> </w:t>
      </w:r>
      <w:r w:rsidRPr="002029AF">
        <w:t>are</w:t>
      </w:r>
      <w:r w:rsidR="000A5329" w:rsidRPr="002029AF">
        <w:t xml:space="preserve"> </w:t>
      </w:r>
      <w:r w:rsidRPr="002029AF">
        <w:t>typically</w:t>
      </w:r>
      <w:r w:rsidR="000A5329" w:rsidRPr="002029AF">
        <w:t xml:space="preserve"> </w:t>
      </w:r>
      <w:r w:rsidRPr="002029AF">
        <w:t>made</w:t>
      </w:r>
      <w:r w:rsidR="000A5329" w:rsidRPr="002029AF">
        <w:t xml:space="preserve"> </w:t>
      </w:r>
      <w:r w:rsidRPr="002029AF">
        <w:t>for</w:t>
      </w:r>
      <w:r w:rsidR="000A5329" w:rsidRPr="002029AF">
        <w:t xml:space="preserve"> </w:t>
      </w:r>
      <w:r w:rsidRPr="002029AF">
        <w:t>fixed</w:t>
      </w:r>
      <w:r w:rsidR="000A5329" w:rsidRPr="002029AF">
        <w:t xml:space="preserve"> </w:t>
      </w:r>
      <w:r w:rsidRPr="002029AF">
        <w:t>periods</w:t>
      </w:r>
      <w:r w:rsidR="000A5329" w:rsidRPr="002029AF">
        <w:t xml:space="preserve"> </w:t>
      </w:r>
      <w:r w:rsidRPr="002029AF">
        <w:t>of</w:t>
      </w:r>
      <w:r w:rsidR="000A5329" w:rsidRPr="002029AF">
        <w:t xml:space="preserve"> </w:t>
      </w:r>
      <w:r w:rsidRPr="002029AF">
        <w:t>1</w:t>
      </w:r>
      <w:r w:rsidR="000A5329" w:rsidRPr="002029AF">
        <w:t xml:space="preserve"> </w:t>
      </w:r>
      <w:r w:rsidRPr="002029AF">
        <w:t>to</w:t>
      </w:r>
      <w:r w:rsidR="000A5329" w:rsidRPr="002029AF">
        <w:t xml:space="preserve"> </w:t>
      </w:r>
      <w:r w:rsidRPr="002029AF">
        <w:t>5</w:t>
      </w:r>
      <w:r w:rsidR="000A5329" w:rsidRPr="002029AF">
        <w:t xml:space="preserve"> </w:t>
      </w:r>
      <w:r w:rsidRPr="002029AF">
        <w:t>years.</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leases</w:t>
      </w:r>
      <w:r w:rsidR="000A5329" w:rsidRPr="002029AF">
        <w:t xml:space="preserve"> </w:t>
      </w:r>
      <w:r w:rsidRPr="002029AF">
        <w:t>some</w:t>
      </w:r>
      <w:r w:rsidR="000A5329" w:rsidRPr="002029AF">
        <w:t xml:space="preserve"> </w:t>
      </w:r>
      <w:r w:rsidRPr="002029AF">
        <w:t>office</w:t>
      </w:r>
      <w:r w:rsidR="000A5329" w:rsidRPr="002029AF">
        <w:t xml:space="preserve"> </w:t>
      </w:r>
      <w:r w:rsidRPr="002029AF">
        <w:t>accommodation</w:t>
      </w:r>
      <w:r w:rsidR="000A5329" w:rsidRPr="002029AF">
        <w:t xml:space="preserve"> </w:t>
      </w:r>
      <w:r w:rsidRPr="002029AF">
        <w:t>which</w:t>
      </w:r>
      <w:r w:rsidR="000A5329" w:rsidRPr="002029AF">
        <w:t xml:space="preserve"> </w:t>
      </w:r>
      <w:r w:rsidRPr="002029AF">
        <w:t>are</w:t>
      </w:r>
      <w:r w:rsidR="000A5329" w:rsidRPr="002029AF">
        <w:t xml:space="preserve"> </w:t>
      </w:r>
      <w:r w:rsidRPr="002029AF">
        <w:t>short-term</w:t>
      </w:r>
      <w:r w:rsidR="000A5329" w:rsidRPr="002029AF">
        <w:t xml:space="preserve"> </w:t>
      </w:r>
      <w:r w:rsidRPr="002029AF">
        <w:t>leases.</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elected</w:t>
      </w:r>
      <w:r w:rsidR="000A5329" w:rsidRPr="002029AF">
        <w:t xml:space="preserve"> </w:t>
      </w:r>
      <w:r w:rsidRPr="002029AF">
        <w:t>not</w:t>
      </w:r>
      <w:r w:rsidR="000A5329" w:rsidRPr="002029AF">
        <w:t xml:space="preserve"> </w:t>
      </w:r>
      <w:r w:rsidRPr="002029AF">
        <w:t>to</w:t>
      </w:r>
      <w:r w:rsidR="000A5329" w:rsidRPr="002029AF">
        <w:t xml:space="preserve"> </w:t>
      </w:r>
      <w:r w:rsidRPr="002029AF">
        <w:t>recognise</w:t>
      </w:r>
      <w:r w:rsidR="000A5329" w:rsidRPr="002029AF">
        <w:t xml:space="preserve"> </w:t>
      </w:r>
      <w:r w:rsidRPr="002029AF">
        <w:t>right-of-use</w:t>
      </w:r>
      <w:r w:rsidR="000A5329" w:rsidRPr="002029AF">
        <w:t xml:space="preserve"> </w:t>
      </w:r>
      <w:r w:rsidRPr="002029AF">
        <w:t>assets</w:t>
      </w:r>
      <w:r w:rsidR="000A5329" w:rsidRPr="002029AF">
        <w:t xml:space="preserve"> </w:t>
      </w:r>
      <w:r w:rsidRPr="002029AF">
        <w:t>and</w:t>
      </w:r>
      <w:r w:rsidR="000A5329" w:rsidRPr="002029AF">
        <w:t xml:space="preserve"> </w:t>
      </w:r>
      <w:r w:rsidRPr="002029AF">
        <w:t>lease</w:t>
      </w:r>
      <w:r w:rsidR="000A5329" w:rsidRPr="002029AF">
        <w:t xml:space="preserve"> </w:t>
      </w:r>
      <w:r w:rsidRPr="002029AF">
        <w:t>liabilities</w:t>
      </w:r>
      <w:r w:rsidR="000A5329" w:rsidRPr="002029AF">
        <w:t xml:space="preserve"> </w:t>
      </w:r>
      <w:r w:rsidRPr="002029AF">
        <w:t>for</w:t>
      </w:r>
      <w:r w:rsidR="000A5329" w:rsidRPr="002029AF">
        <w:t xml:space="preserve"> </w:t>
      </w:r>
      <w:r w:rsidRPr="002029AF">
        <w:t>these</w:t>
      </w:r>
      <w:r w:rsidR="000A5329" w:rsidRPr="002029AF">
        <w:t xml:space="preserve"> </w:t>
      </w:r>
      <w:r w:rsidRPr="002029AF">
        <w:t>leases.</w:t>
      </w:r>
    </w:p>
    <w:p w14:paraId="5E4DAADE" w14:textId="44C0F7D1" w:rsidR="00087B91" w:rsidRPr="002029AF" w:rsidRDefault="00087B91" w:rsidP="00087B91">
      <w:pPr>
        <w:pStyle w:val="ARfinbody"/>
      </w:pPr>
      <w:r w:rsidRPr="002029AF">
        <w:t>The</w:t>
      </w:r>
      <w:r w:rsidR="000A5329" w:rsidRPr="002029AF">
        <w:t xml:space="preserve"> </w:t>
      </w:r>
      <w:r w:rsidRPr="002029AF">
        <w:t>department</w:t>
      </w:r>
      <w:r w:rsidR="000A5329" w:rsidRPr="002029AF">
        <w:t xml:space="preserve"> </w:t>
      </w:r>
      <w:r w:rsidRPr="002029AF">
        <w:t>entered</w:t>
      </w:r>
      <w:r w:rsidR="000A5329" w:rsidRPr="002029AF">
        <w:t xml:space="preserve"> </w:t>
      </w:r>
      <w:r w:rsidRPr="002029AF">
        <w:t>into</w:t>
      </w:r>
      <w:r w:rsidR="000A5329" w:rsidRPr="002029AF">
        <w:t xml:space="preserve"> </w:t>
      </w:r>
      <w:r w:rsidRPr="002029AF">
        <w:t>various</w:t>
      </w:r>
      <w:r w:rsidR="000A5329" w:rsidRPr="002029AF">
        <w:t xml:space="preserve"> </w:t>
      </w:r>
      <w:r w:rsidRPr="002029AF">
        <w:t>printing</w:t>
      </w:r>
      <w:r w:rsidR="000A5329" w:rsidRPr="002029AF">
        <w:t xml:space="preserve"> </w:t>
      </w:r>
      <w:r w:rsidRPr="002029AF">
        <w:t>contracts.</w:t>
      </w:r>
      <w:r w:rsidR="000A5329" w:rsidRPr="002029AF">
        <w:t xml:space="preserve"> </w:t>
      </w:r>
      <w:r w:rsidRPr="002029AF">
        <w:t>The</w:t>
      </w:r>
      <w:r w:rsidR="000A5329" w:rsidRPr="002029AF">
        <w:t xml:space="preserve"> </w:t>
      </w:r>
      <w:r w:rsidRPr="002029AF">
        <w:t>payments</w:t>
      </w:r>
      <w:r w:rsidR="000A5329" w:rsidRPr="002029AF">
        <w:t xml:space="preserve"> </w:t>
      </w:r>
      <w:r w:rsidRPr="002029AF">
        <w:t>are</w:t>
      </w:r>
      <w:r w:rsidR="000A5329" w:rsidRPr="002029AF">
        <w:t xml:space="preserve"> </w:t>
      </w:r>
      <w:r w:rsidRPr="002029AF">
        <w:t>based</w:t>
      </w:r>
      <w:r w:rsidR="000A5329" w:rsidRPr="002029AF">
        <w:t xml:space="preserve"> </w:t>
      </w:r>
      <w:r w:rsidRPr="002029AF">
        <w:t>on</w:t>
      </w:r>
      <w:r w:rsidR="000A5329" w:rsidRPr="002029AF">
        <w:t xml:space="preserve"> </w:t>
      </w:r>
      <w:r w:rsidRPr="002029AF">
        <w:t>consumption.</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consider</w:t>
      </w:r>
      <w:r w:rsidR="000A5329" w:rsidRPr="002029AF">
        <w:t xml:space="preserve"> </w:t>
      </w:r>
      <w:r w:rsidRPr="002029AF">
        <w:t>these</w:t>
      </w:r>
      <w:r w:rsidR="000A5329" w:rsidRPr="002029AF">
        <w:t xml:space="preserve"> </w:t>
      </w:r>
      <w:r w:rsidRPr="002029AF">
        <w:t>printing</w:t>
      </w:r>
      <w:r w:rsidR="000A5329" w:rsidRPr="002029AF">
        <w:t xml:space="preserve"> </w:t>
      </w:r>
      <w:r w:rsidRPr="002029AF">
        <w:t>payments</w:t>
      </w:r>
      <w:r w:rsidR="000A5329" w:rsidRPr="002029AF">
        <w:t xml:space="preserve"> </w:t>
      </w:r>
      <w:r w:rsidRPr="002029AF">
        <w:t>as</w:t>
      </w:r>
      <w:r w:rsidR="000A5329" w:rsidRPr="002029AF">
        <w:t xml:space="preserve"> </w:t>
      </w:r>
      <w:r w:rsidRPr="002029AF">
        <w:t>variable</w:t>
      </w:r>
      <w:r w:rsidR="000A5329" w:rsidRPr="002029AF">
        <w:t xml:space="preserve"> </w:t>
      </w:r>
      <w:r w:rsidRPr="002029AF">
        <w:t>lease</w:t>
      </w:r>
      <w:r w:rsidR="000A5329" w:rsidRPr="002029AF">
        <w:t xml:space="preserve"> </w:t>
      </w:r>
      <w:r w:rsidRPr="002029AF">
        <w:t>payments.</w:t>
      </w:r>
    </w:p>
    <w:p w14:paraId="64A0E37C" w14:textId="1AE6121A" w:rsidR="00087B91" w:rsidRPr="002029AF" w:rsidRDefault="00087B91" w:rsidP="00087B91">
      <w:pPr>
        <w:pStyle w:val="ARfinbody"/>
      </w:pPr>
      <w:r w:rsidRPr="002029AF">
        <w:t>In</w:t>
      </w:r>
      <w:r w:rsidR="000A5329" w:rsidRPr="002029AF">
        <w:t xml:space="preserve"> </w:t>
      </w:r>
      <w:r w:rsidRPr="002029AF">
        <w:t>October</w:t>
      </w:r>
      <w:r w:rsidR="000A5329" w:rsidRPr="002029AF">
        <w:t xml:space="preserve"> </w:t>
      </w:r>
      <w:r w:rsidRPr="002029AF">
        <w:t>2019,</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agreed</w:t>
      </w:r>
      <w:r w:rsidR="000A5329" w:rsidRPr="002029AF">
        <w:t xml:space="preserve"> </w:t>
      </w:r>
      <w:r w:rsidRPr="002029AF">
        <w:t>to</w:t>
      </w:r>
      <w:r w:rsidR="000A5329" w:rsidRPr="002029AF">
        <w:t xml:space="preserve"> </w:t>
      </w:r>
      <w:r w:rsidRPr="002029AF">
        <w:t>the</w:t>
      </w:r>
      <w:r w:rsidR="000A5329" w:rsidRPr="002029AF">
        <w:t xml:space="preserve"> </w:t>
      </w:r>
      <w:r w:rsidRPr="002029AF">
        <w:t>Centralised</w:t>
      </w:r>
      <w:r w:rsidR="000A5329" w:rsidRPr="002029AF">
        <w:t xml:space="preserve"> </w:t>
      </w:r>
      <w:r w:rsidRPr="002029AF">
        <w:t>Accommodation</w:t>
      </w:r>
      <w:r w:rsidR="000A5329" w:rsidRPr="002029AF">
        <w:t xml:space="preserve"> </w:t>
      </w:r>
      <w:r w:rsidRPr="002029AF">
        <w:t>Management</w:t>
      </w:r>
      <w:r w:rsidR="000A5329" w:rsidRPr="002029AF">
        <w:t xml:space="preserve"> </w:t>
      </w:r>
      <w:r w:rsidRPr="002029AF">
        <w:t>with</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of</w:t>
      </w:r>
      <w:r w:rsidR="000A5329" w:rsidRPr="002029AF">
        <w:t xml:space="preserve"> </w:t>
      </w:r>
      <w:r w:rsidRPr="002029AF">
        <w:t>Treasury</w:t>
      </w:r>
      <w:r w:rsidR="000A5329" w:rsidRPr="002029AF">
        <w:t xml:space="preserve"> </w:t>
      </w:r>
      <w:r w:rsidRPr="002029AF">
        <w:t>and</w:t>
      </w:r>
      <w:r w:rsidR="000A5329" w:rsidRPr="002029AF">
        <w:t xml:space="preserve"> </w:t>
      </w:r>
      <w:r w:rsidRPr="002029AF">
        <w:t>Finance</w:t>
      </w:r>
      <w:r w:rsidR="000A5329" w:rsidRPr="002029AF">
        <w:t xml:space="preserve"> </w:t>
      </w:r>
      <w:r w:rsidRPr="002029AF">
        <w:t>Shared</w:t>
      </w:r>
      <w:r w:rsidR="000A5329" w:rsidRPr="002029AF">
        <w:t xml:space="preserve"> </w:t>
      </w:r>
      <w:r w:rsidRPr="002029AF">
        <w:t>Service</w:t>
      </w:r>
      <w:r w:rsidR="000A5329" w:rsidRPr="002029AF">
        <w:t xml:space="preserve"> </w:t>
      </w:r>
      <w:r w:rsidRPr="002029AF">
        <w:t>Provider</w:t>
      </w:r>
      <w:r w:rsidR="000A5329" w:rsidRPr="002029AF">
        <w:t xml:space="preserve"> </w:t>
      </w:r>
      <w:r w:rsidRPr="002029AF">
        <w:t>(SSP).</w:t>
      </w:r>
      <w:r w:rsidR="000A5329" w:rsidRPr="002029AF">
        <w:t xml:space="preserve"> </w:t>
      </w:r>
      <w:r w:rsidRPr="002029AF">
        <w:t>Following</w:t>
      </w:r>
      <w:r w:rsidR="000A5329" w:rsidRPr="002029AF">
        <w:t xml:space="preserve"> </w:t>
      </w:r>
      <w:r w:rsidRPr="002029AF">
        <w:t>this</w:t>
      </w:r>
      <w:r w:rsidR="000A5329" w:rsidRPr="002029AF">
        <w:t xml:space="preserve"> </w:t>
      </w:r>
      <w:r w:rsidRPr="002029AF">
        <w:t>agreement,</w:t>
      </w:r>
      <w:r w:rsidR="000A5329" w:rsidRPr="002029AF">
        <w:t xml:space="preserve"> </w:t>
      </w:r>
      <w:r w:rsidRPr="002029AF">
        <w:t>the</w:t>
      </w:r>
      <w:r w:rsidR="000A5329" w:rsidRPr="002029AF">
        <w:t xml:space="preserve"> </w:t>
      </w:r>
      <w:r w:rsidRPr="002029AF">
        <w:t>right-of-use</w:t>
      </w:r>
      <w:r w:rsidR="000A5329" w:rsidRPr="002029AF">
        <w:t xml:space="preserve"> </w:t>
      </w:r>
      <w:r w:rsidRPr="002029AF">
        <w:t>asset</w:t>
      </w:r>
      <w:r w:rsidR="000A5329" w:rsidRPr="002029AF">
        <w:t xml:space="preserve"> </w:t>
      </w:r>
      <w:r w:rsidRPr="002029AF">
        <w:t>and</w:t>
      </w:r>
      <w:r w:rsidR="000A5329" w:rsidRPr="002029AF">
        <w:t xml:space="preserve"> </w:t>
      </w:r>
      <w:r w:rsidRPr="002029AF">
        <w:t>lease</w:t>
      </w:r>
      <w:r w:rsidR="000A5329" w:rsidRPr="002029AF">
        <w:t xml:space="preserve"> </w:t>
      </w:r>
      <w:r w:rsidRPr="002029AF">
        <w:t>liability</w:t>
      </w:r>
      <w:r w:rsidR="000A5329" w:rsidRPr="002029AF">
        <w:t xml:space="preserve"> </w:t>
      </w:r>
      <w:r w:rsidRPr="002029AF">
        <w:t>recognised</w:t>
      </w:r>
      <w:r w:rsidR="000A5329" w:rsidRPr="002029AF">
        <w:t xml:space="preserve"> </w:t>
      </w:r>
      <w:r w:rsidRPr="002029AF">
        <w:t>for</w:t>
      </w:r>
      <w:r w:rsidR="000A5329" w:rsidRPr="002029AF">
        <w:t xml:space="preserve"> </w:t>
      </w:r>
      <w:r w:rsidRPr="002029AF">
        <w:t>the</w:t>
      </w:r>
      <w:r w:rsidR="000A5329" w:rsidRPr="002029AF">
        <w:t xml:space="preserve"> </w:t>
      </w:r>
      <w:r w:rsidRPr="002029AF">
        <w:t>accommodation</w:t>
      </w:r>
      <w:r w:rsidR="000A5329" w:rsidRPr="002029AF">
        <w:t xml:space="preserve"> </w:t>
      </w:r>
      <w:r w:rsidRPr="002029AF">
        <w:t>leases</w:t>
      </w:r>
      <w:r w:rsidR="000A5329" w:rsidRPr="002029AF">
        <w:t xml:space="preserve"> </w:t>
      </w:r>
      <w:r w:rsidRPr="002029AF">
        <w:t>at</w:t>
      </w:r>
      <w:r w:rsidR="000A5329" w:rsidRPr="002029AF">
        <w:t xml:space="preserve"> </w:t>
      </w:r>
      <w:r w:rsidRPr="002029AF">
        <w:t>that</w:t>
      </w:r>
      <w:r w:rsidR="000A5329" w:rsidRPr="002029AF">
        <w:t xml:space="preserve"> </w:t>
      </w:r>
      <w:r w:rsidRPr="002029AF">
        <w:t>date</w:t>
      </w:r>
      <w:r w:rsidR="000A5329" w:rsidRPr="002029AF">
        <w:t xml:space="preserve"> </w:t>
      </w:r>
      <w:r w:rsidRPr="002029AF">
        <w:t>were</w:t>
      </w:r>
      <w:r w:rsidR="000A5329" w:rsidRPr="002029AF">
        <w:t xml:space="preserve"> </w:t>
      </w:r>
      <w:r w:rsidRPr="002029AF">
        <w:t>derecognised</w:t>
      </w:r>
      <w:r w:rsidR="000A5329" w:rsidRPr="002029AF">
        <w:t xml:space="preserve"> </w:t>
      </w:r>
      <w:r w:rsidRPr="002029AF">
        <w:t>and</w:t>
      </w:r>
      <w:r w:rsidR="000A5329" w:rsidRPr="002029AF">
        <w:t xml:space="preserve"> </w:t>
      </w:r>
      <w:r w:rsidRPr="002029AF">
        <w:t>transferred</w:t>
      </w:r>
      <w:r w:rsidR="000A5329" w:rsidRPr="002029AF">
        <w:t xml:space="preserve"> </w:t>
      </w:r>
      <w:r w:rsidRPr="002029AF">
        <w:t>to</w:t>
      </w:r>
      <w:r w:rsidR="000A5329" w:rsidRPr="002029AF">
        <w:t xml:space="preserve"> </w:t>
      </w:r>
      <w:r w:rsidRPr="002029AF">
        <w:t>SSP</w:t>
      </w:r>
      <w:r w:rsidR="000A5329" w:rsidRPr="002029AF">
        <w:t xml:space="preserve"> </w:t>
      </w:r>
      <w:r w:rsidRPr="002029AF">
        <w:t>as</w:t>
      </w:r>
      <w:r w:rsidR="000A5329" w:rsidRPr="002029AF">
        <w:t xml:space="preserve"> </w:t>
      </w:r>
      <w:r w:rsidRPr="002029AF">
        <w:t>a</w:t>
      </w:r>
      <w:r w:rsidR="000A5329" w:rsidRPr="002029AF">
        <w:t xml:space="preserve"> </w:t>
      </w:r>
      <w:r w:rsidRPr="002029AF">
        <w:t>transfer</w:t>
      </w:r>
      <w:r w:rsidR="000A5329" w:rsidRPr="002029AF">
        <w:t xml:space="preserve"> </w:t>
      </w:r>
      <w:r w:rsidRPr="002029AF">
        <w:t>through</w:t>
      </w:r>
      <w:r w:rsidR="000A5329" w:rsidRPr="002029AF">
        <w:t xml:space="preserve"> </w:t>
      </w:r>
      <w:r w:rsidRPr="002029AF">
        <w:t>equity,</w:t>
      </w:r>
      <w:r w:rsidR="000A5329" w:rsidRPr="002029AF">
        <w:t xml:space="preserve"> </w:t>
      </w:r>
      <w:r w:rsidRPr="002029AF">
        <w:t>in</w:t>
      </w:r>
      <w:r w:rsidR="000A5329" w:rsidRPr="002029AF">
        <w:t xml:space="preserve"> </w:t>
      </w:r>
      <w:r w:rsidRPr="002029AF">
        <w:t>accordance</w:t>
      </w:r>
      <w:r w:rsidR="000A5329" w:rsidRPr="002029AF">
        <w:t xml:space="preserve"> </w:t>
      </w:r>
      <w:r w:rsidRPr="002029AF">
        <w:t>with</w:t>
      </w:r>
      <w:r w:rsidR="000A5329" w:rsidRPr="002029AF">
        <w:t xml:space="preserve"> </w:t>
      </w:r>
      <w:r w:rsidRPr="002029AF">
        <w:t>the</w:t>
      </w:r>
      <w:r w:rsidR="000A5329" w:rsidRPr="002029AF">
        <w:t xml:space="preserve"> </w:t>
      </w:r>
      <w:r w:rsidRPr="002029AF">
        <w:t>requirements</w:t>
      </w:r>
      <w:r w:rsidR="000A5329" w:rsidRPr="002029AF">
        <w:t xml:space="preserve"> </w:t>
      </w:r>
      <w:r w:rsidRPr="002029AF">
        <w:t>of</w:t>
      </w:r>
      <w:r w:rsidR="000A5329" w:rsidRPr="002029AF">
        <w:t xml:space="preserve"> </w:t>
      </w:r>
      <w:r w:rsidRPr="002029AF">
        <w:t>FRD</w:t>
      </w:r>
      <w:r w:rsidR="000A5329" w:rsidRPr="002029AF">
        <w:t xml:space="preserve"> </w:t>
      </w:r>
      <w:r w:rsidRPr="002029AF">
        <w:t>119A</w:t>
      </w:r>
      <w:r w:rsidR="000A5329" w:rsidRPr="002029AF">
        <w:t xml:space="preserve"> </w:t>
      </w:r>
      <w:r w:rsidRPr="002029AF">
        <w:rPr>
          <w:rStyle w:val="Emphasis"/>
        </w:rPr>
        <w:t>Transfers</w:t>
      </w:r>
      <w:r w:rsidR="000A5329" w:rsidRPr="002029AF">
        <w:rPr>
          <w:rStyle w:val="Emphasis"/>
        </w:rPr>
        <w:t xml:space="preserve"> </w:t>
      </w:r>
      <w:r w:rsidRPr="002029AF">
        <w:rPr>
          <w:rStyle w:val="Emphasis"/>
        </w:rPr>
        <w:t>through</w:t>
      </w:r>
      <w:r w:rsidR="000A5329" w:rsidRPr="002029AF">
        <w:rPr>
          <w:rStyle w:val="Emphasis"/>
        </w:rPr>
        <w:t xml:space="preserve"> </w:t>
      </w:r>
      <w:r w:rsidRPr="002029AF">
        <w:rPr>
          <w:rStyle w:val="Emphasis"/>
        </w:rPr>
        <w:t>contributed</w:t>
      </w:r>
      <w:r w:rsidR="000A5329" w:rsidRPr="002029AF">
        <w:rPr>
          <w:rStyle w:val="Emphasis"/>
        </w:rPr>
        <w:t xml:space="preserve"> </w:t>
      </w:r>
      <w:r w:rsidRPr="002029AF">
        <w:rPr>
          <w:rStyle w:val="Emphasis"/>
        </w:rPr>
        <w:t>capital</w:t>
      </w:r>
      <w:r w:rsidRPr="002029AF">
        <w:t>.</w:t>
      </w:r>
      <w:r w:rsidR="000A5329" w:rsidRPr="002029AF">
        <w:t xml:space="preserve"> </w:t>
      </w:r>
      <w:r w:rsidRPr="002029AF">
        <w:t>From</w:t>
      </w:r>
      <w:r w:rsidR="000A5329" w:rsidRPr="002029AF">
        <w:t xml:space="preserve"> </w:t>
      </w:r>
      <w:r w:rsidRPr="002029AF">
        <w:t>November</w:t>
      </w:r>
      <w:r w:rsidR="000A5329" w:rsidRPr="002029AF">
        <w:t xml:space="preserve"> </w:t>
      </w:r>
      <w:r w:rsidRPr="002029AF">
        <w:t>2019,</w:t>
      </w:r>
      <w:r w:rsidR="000A5329" w:rsidRPr="002029AF">
        <w:t xml:space="preserve"> </w:t>
      </w:r>
      <w:r w:rsidRPr="002029AF">
        <w:t>accommodation</w:t>
      </w:r>
      <w:r w:rsidR="000A5329" w:rsidRPr="002029AF">
        <w:t xml:space="preserve"> </w:t>
      </w:r>
      <w:r w:rsidRPr="002029AF">
        <w:t>has</w:t>
      </w:r>
      <w:r w:rsidR="000A5329" w:rsidRPr="002029AF">
        <w:t xml:space="preserve"> </w:t>
      </w:r>
      <w:r w:rsidRPr="002029AF">
        <w:t>been</w:t>
      </w:r>
      <w:r w:rsidR="000A5329" w:rsidRPr="002029AF">
        <w:t xml:space="preserve"> </w:t>
      </w:r>
      <w:r w:rsidRPr="002029AF">
        <w:t>recognised</w:t>
      </w:r>
      <w:r w:rsidR="000A5329" w:rsidRPr="002029AF">
        <w:t xml:space="preserve"> </w:t>
      </w:r>
      <w:r w:rsidRPr="002029AF">
        <w:t>as</w:t>
      </w:r>
      <w:r w:rsidR="000A5329" w:rsidRPr="002029AF">
        <w:t xml:space="preserve"> </w:t>
      </w:r>
      <w:r w:rsidRPr="002029AF">
        <w:t>an</w:t>
      </w:r>
      <w:r w:rsidR="000A5329" w:rsidRPr="002029AF">
        <w:t xml:space="preserve"> </w:t>
      </w:r>
      <w:r w:rsidRPr="002029AF">
        <w:t>expense</w:t>
      </w:r>
      <w:r w:rsidR="000A5329" w:rsidRPr="002029AF">
        <w:t xml:space="preserve"> </w:t>
      </w:r>
      <w:r w:rsidRPr="002029AF">
        <w:t>(refer</w:t>
      </w:r>
      <w:r w:rsidR="000A5329" w:rsidRPr="002029AF">
        <w:t xml:space="preserve"> </w:t>
      </w:r>
      <w:r w:rsidRPr="002029AF">
        <w:t>to</w:t>
      </w:r>
      <w:r w:rsidR="000A5329" w:rsidRPr="002029AF">
        <w:t xml:space="preserve"> </w:t>
      </w:r>
      <w:r w:rsidRPr="002029AF">
        <w:t>Note</w:t>
      </w:r>
      <w:r w:rsidR="000A5329" w:rsidRPr="002029AF">
        <w:t xml:space="preserve"> </w:t>
      </w:r>
      <w:r w:rsidRPr="002029AF">
        <w:t>3.1.5</w:t>
      </w:r>
      <w:r w:rsidR="000A5329" w:rsidRPr="002029AF">
        <w:t xml:space="preserve"> </w:t>
      </w:r>
      <w:r w:rsidRPr="002029AF">
        <w:t>Other</w:t>
      </w:r>
      <w:r w:rsidR="000A5329" w:rsidRPr="002029AF">
        <w:t xml:space="preserve"> </w:t>
      </w:r>
      <w:r w:rsidRPr="002029AF">
        <w:t>operating</w:t>
      </w:r>
      <w:r w:rsidR="000A5329" w:rsidRPr="002029AF">
        <w:t xml:space="preserve"> </w:t>
      </w:r>
      <w:r w:rsidRPr="002029AF">
        <w:t>expenses)</w:t>
      </w:r>
      <w:r w:rsidR="000A5329" w:rsidRPr="002029AF">
        <w:t xml:space="preserve"> </w:t>
      </w:r>
      <w:r w:rsidRPr="002029AF">
        <w:t>and</w:t>
      </w:r>
      <w:r w:rsidR="000A5329" w:rsidRPr="002029AF">
        <w:t xml:space="preserve"> </w:t>
      </w:r>
      <w:r w:rsidRPr="002029AF">
        <w:t>the</w:t>
      </w:r>
      <w:r w:rsidR="000A5329" w:rsidRPr="002029AF">
        <w:t xml:space="preserve"> </w:t>
      </w:r>
      <w:r w:rsidRPr="002029AF">
        <w:t>commitment</w:t>
      </w:r>
      <w:r w:rsidR="000A5329" w:rsidRPr="002029AF">
        <w:t xml:space="preserve"> </w:t>
      </w:r>
      <w:r w:rsidRPr="002029AF">
        <w:t>for</w:t>
      </w:r>
      <w:r w:rsidR="000A5329" w:rsidRPr="002029AF">
        <w:t xml:space="preserve"> </w:t>
      </w:r>
      <w:r w:rsidRPr="002029AF">
        <w:t>the</w:t>
      </w:r>
      <w:r w:rsidR="000A5329" w:rsidRPr="002029AF">
        <w:t xml:space="preserve"> </w:t>
      </w:r>
      <w:r w:rsidRPr="002029AF">
        <w:t>service</w:t>
      </w:r>
      <w:r w:rsidR="000A5329" w:rsidRPr="002029AF">
        <w:t xml:space="preserve"> </w:t>
      </w:r>
      <w:r w:rsidRPr="002029AF">
        <w:t>payments</w:t>
      </w:r>
      <w:r w:rsidR="000A5329" w:rsidRPr="002029AF">
        <w:t xml:space="preserve"> </w:t>
      </w:r>
      <w:r w:rsidRPr="002029AF">
        <w:t>has</w:t>
      </w:r>
      <w:r w:rsidR="000A5329" w:rsidRPr="002029AF">
        <w:t xml:space="preserve"> </w:t>
      </w:r>
      <w:r w:rsidRPr="002029AF">
        <w:t>been</w:t>
      </w:r>
      <w:r w:rsidR="000A5329" w:rsidRPr="002029AF">
        <w:t xml:space="preserve"> </w:t>
      </w:r>
      <w:r w:rsidRPr="002029AF">
        <w:t>disclosed</w:t>
      </w:r>
      <w:r w:rsidR="000A5329" w:rsidRPr="002029AF">
        <w:t xml:space="preserve"> </w:t>
      </w:r>
      <w:r w:rsidRPr="002029AF">
        <w:t>(refer</w:t>
      </w:r>
      <w:r w:rsidR="000A5329" w:rsidRPr="002029AF">
        <w:t xml:space="preserve"> </w:t>
      </w:r>
      <w:r w:rsidRPr="002029AF">
        <w:t>to</w:t>
      </w:r>
      <w:r w:rsidR="000A5329" w:rsidRPr="002029AF">
        <w:t xml:space="preserve"> </w:t>
      </w:r>
      <w:r w:rsidRPr="002029AF">
        <w:t>Note</w:t>
      </w:r>
      <w:r w:rsidR="000A5329" w:rsidRPr="002029AF">
        <w:t xml:space="preserve"> </w:t>
      </w:r>
      <w:r w:rsidRPr="002029AF">
        <w:t>7.5</w:t>
      </w:r>
      <w:r w:rsidR="000A5329" w:rsidRPr="002029AF">
        <w:t xml:space="preserve"> </w:t>
      </w:r>
      <w:r w:rsidRPr="002029AF">
        <w:t>Commitments).</w:t>
      </w:r>
    </w:p>
    <w:p w14:paraId="0B43E7EA" w14:textId="3A551165" w:rsidR="00087B91" w:rsidRPr="002029AF" w:rsidRDefault="00087B91" w:rsidP="00087B91">
      <w:pPr>
        <w:pStyle w:val="ARfinbody"/>
        <w:rPr>
          <w:highlight w:val="yellow"/>
        </w:rPr>
      </w:pPr>
      <w:r w:rsidRPr="002029AF">
        <w:t>The</w:t>
      </w:r>
      <w:r w:rsidR="000A5329" w:rsidRPr="002029AF">
        <w:t xml:space="preserve"> </w:t>
      </w:r>
      <w:r w:rsidRPr="002029AF">
        <w:t>Director</w:t>
      </w:r>
      <w:r w:rsidR="000A5329" w:rsidRPr="002029AF">
        <w:t xml:space="preserve"> </w:t>
      </w:r>
      <w:r w:rsidRPr="002029AF">
        <w:t>of</w:t>
      </w:r>
      <w:r w:rsidR="000A5329" w:rsidRPr="002029AF">
        <w:t xml:space="preserve"> </w:t>
      </w:r>
      <w:r w:rsidRPr="002029AF">
        <w:t>Housing</w:t>
      </w:r>
      <w:r w:rsidR="000A5329" w:rsidRPr="002029AF">
        <w:t xml:space="preserve"> </w:t>
      </w:r>
      <w:r w:rsidRPr="002029AF">
        <w:t>leases</w:t>
      </w:r>
      <w:r w:rsidR="000A5329" w:rsidRPr="002029AF">
        <w:t xml:space="preserve"> </w:t>
      </w:r>
      <w:r w:rsidRPr="002029AF">
        <w:t>various</w:t>
      </w:r>
      <w:r w:rsidR="000A5329" w:rsidRPr="002029AF">
        <w:t xml:space="preserve"> </w:t>
      </w:r>
      <w:r w:rsidRPr="002029AF">
        <w:t>properties</w:t>
      </w:r>
      <w:r w:rsidR="000A5329" w:rsidRPr="002029AF">
        <w:t xml:space="preserve"> </w:t>
      </w:r>
      <w:r w:rsidRPr="002029AF">
        <w:t>for</w:t>
      </w:r>
      <w:r w:rsidR="000A5329" w:rsidRPr="002029AF">
        <w:t xml:space="preserve"> </w:t>
      </w:r>
      <w:r w:rsidRPr="002029AF">
        <w:t>the</w:t>
      </w:r>
      <w:r w:rsidR="000A5329" w:rsidRPr="002029AF">
        <w:t xml:space="preserve"> </w:t>
      </w:r>
      <w:r w:rsidRPr="002029AF">
        <w:t>social</w:t>
      </w:r>
      <w:r w:rsidR="000A5329" w:rsidRPr="002029AF">
        <w:t xml:space="preserve"> </w:t>
      </w:r>
      <w:r w:rsidRPr="002029AF">
        <w:t>housing</w:t>
      </w:r>
      <w:r w:rsidR="000A5329" w:rsidRPr="002029AF">
        <w:t xml:space="preserve"> </w:t>
      </w:r>
      <w:r w:rsidRPr="002029AF">
        <w:t>program.</w:t>
      </w:r>
      <w:r w:rsidR="000A5329" w:rsidRPr="002029AF">
        <w:t xml:space="preserve"> </w:t>
      </w:r>
      <w:r w:rsidRPr="002029AF">
        <w:t>These</w:t>
      </w:r>
      <w:r w:rsidR="000A5329" w:rsidRPr="002029AF">
        <w:t xml:space="preserve"> </w:t>
      </w:r>
      <w:r w:rsidRPr="002029AF">
        <w:t>lease</w:t>
      </w:r>
      <w:r w:rsidR="000A5329" w:rsidRPr="002029AF">
        <w:t xml:space="preserve"> </w:t>
      </w:r>
      <w:r w:rsidRPr="002029AF">
        <w:t>contracts</w:t>
      </w:r>
      <w:r w:rsidR="000A5329" w:rsidRPr="002029AF">
        <w:t xml:space="preserve"> </w:t>
      </w:r>
      <w:r w:rsidRPr="002029AF">
        <w:t>are</w:t>
      </w:r>
      <w:r w:rsidR="000A5329" w:rsidRPr="002029AF">
        <w:t xml:space="preserve"> </w:t>
      </w:r>
      <w:r w:rsidRPr="002029AF">
        <w:t>typically</w:t>
      </w:r>
      <w:r w:rsidR="000A5329" w:rsidRPr="002029AF">
        <w:t xml:space="preserve"> </w:t>
      </w:r>
      <w:r w:rsidRPr="002029AF">
        <w:t>made</w:t>
      </w:r>
      <w:r w:rsidR="000A5329" w:rsidRPr="002029AF">
        <w:t xml:space="preserve"> </w:t>
      </w:r>
      <w:r w:rsidRPr="002029AF">
        <w:t>for</w:t>
      </w:r>
      <w:r w:rsidR="000A5329" w:rsidRPr="002029AF">
        <w:t xml:space="preserve"> </w:t>
      </w:r>
      <w:r w:rsidRPr="002029AF">
        <w:t>a</w:t>
      </w:r>
      <w:r w:rsidR="000A5329" w:rsidRPr="002029AF">
        <w:t xml:space="preserve"> </w:t>
      </w:r>
      <w:r w:rsidRPr="002029AF">
        <w:t>fixed</w:t>
      </w:r>
      <w:r w:rsidR="000A5329" w:rsidRPr="002029AF">
        <w:t xml:space="preserve"> </w:t>
      </w:r>
      <w:r w:rsidRPr="002029AF">
        <w:t>period</w:t>
      </w:r>
      <w:r w:rsidR="000A5329" w:rsidRPr="002029AF">
        <w:t xml:space="preserve"> </w:t>
      </w:r>
      <w:r w:rsidRPr="002029AF">
        <w:t>of</w:t>
      </w:r>
      <w:r w:rsidR="000A5329" w:rsidRPr="002029AF">
        <w:t xml:space="preserve"> </w:t>
      </w:r>
      <w:r w:rsidRPr="002029AF">
        <w:t>3</w:t>
      </w:r>
      <w:r w:rsidR="000A5329" w:rsidRPr="002029AF">
        <w:t xml:space="preserve"> </w:t>
      </w:r>
      <w:r w:rsidRPr="002029AF">
        <w:t>to</w:t>
      </w:r>
      <w:r w:rsidR="000A5329" w:rsidRPr="002029AF">
        <w:t xml:space="preserve"> </w:t>
      </w:r>
      <w:r w:rsidRPr="002029AF">
        <w:t>5</w:t>
      </w:r>
      <w:r w:rsidR="000A5329" w:rsidRPr="002029AF">
        <w:t xml:space="preserve"> </w:t>
      </w:r>
      <w:r w:rsidRPr="002029AF">
        <w:t>years</w:t>
      </w:r>
      <w:bookmarkEnd w:id="367"/>
      <w:r w:rsidRPr="002029AF">
        <w:t>.</w:t>
      </w:r>
    </w:p>
    <w:p w14:paraId="4724A3A5" w14:textId="449313D9" w:rsidR="00087B91" w:rsidRPr="002029AF" w:rsidRDefault="00087B91" w:rsidP="00087B91">
      <w:pPr>
        <w:pStyle w:val="Heading6"/>
        <w:rPr>
          <w:rFonts w:eastAsia="Arial"/>
          <w:lang w:val="en-AU"/>
        </w:rPr>
      </w:pPr>
      <w:r w:rsidRPr="002029AF">
        <w:rPr>
          <w:rFonts w:eastAsia="Arial"/>
          <w:lang w:val="en-AU"/>
        </w:rPr>
        <w:t>Leases</w:t>
      </w:r>
      <w:r w:rsidR="000A5329" w:rsidRPr="002029AF">
        <w:rPr>
          <w:rFonts w:eastAsia="Arial"/>
          <w:lang w:val="en-AU"/>
        </w:rPr>
        <w:t xml:space="preserve"> </w:t>
      </w:r>
      <w:r w:rsidRPr="002029AF">
        <w:rPr>
          <w:rFonts w:eastAsia="Arial"/>
          <w:lang w:val="en-AU"/>
        </w:rPr>
        <w:t>at</w:t>
      </w:r>
      <w:r w:rsidR="000A5329" w:rsidRPr="002029AF">
        <w:rPr>
          <w:rFonts w:eastAsia="Arial"/>
          <w:lang w:val="en-AU"/>
        </w:rPr>
        <w:t xml:space="preserve"> </w:t>
      </w:r>
      <w:r w:rsidRPr="002029AF">
        <w:rPr>
          <w:rFonts w:eastAsia="Arial"/>
          <w:lang w:val="en-AU"/>
        </w:rPr>
        <w:t>significantly</w:t>
      </w:r>
      <w:r w:rsidR="000A5329" w:rsidRPr="002029AF">
        <w:rPr>
          <w:rFonts w:eastAsia="Arial"/>
          <w:lang w:val="en-AU"/>
        </w:rPr>
        <w:t xml:space="preserve"> </w:t>
      </w:r>
      <w:r w:rsidRPr="002029AF">
        <w:rPr>
          <w:rFonts w:eastAsia="Arial"/>
          <w:lang w:val="en-AU"/>
        </w:rPr>
        <w:t>below-market</w:t>
      </w:r>
      <w:r w:rsidR="000A5329" w:rsidRPr="002029AF">
        <w:rPr>
          <w:rFonts w:eastAsia="Arial"/>
          <w:lang w:val="en-AU"/>
        </w:rPr>
        <w:t xml:space="preserve"> </w:t>
      </w:r>
      <w:r w:rsidRPr="002029AF">
        <w:rPr>
          <w:rFonts w:eastAsia="Arial"/>
          <w:lang w:val="en-AU"/>
        </w:rPr>
        <w:t>terms</w:t>
      </w:r>
      <w:r w:rsidR="000A5329" w:rsidRPr="002029AF">
        <w:rPr>
          <w:rFonts w:eastAsia="Arial"/>
          <w:lang w:val="en-AU"/>
        </w:rPr>
        <w:t xml:space="preserve"> </w:t>
      </w:r>
      <w:r w:rsidRPr="002029AF">
        <w:rPr>
          <w:rFonts w:eastAsia="Arial"/>
          <w:lang w:val="en-AU"/>
        </w:rPr>
        <w:t>and</w:t>
      </w:r>
      <w:r w:rsidR="000A5329" w:rsidRPr="002029AF">
        <w:rPr>
          <w:rFonts w:eastAsia="Arial"/>
          <w:lang w:val="en-AU"/>
        </w:rPr>
        <w:t xml:space="preserve"> </w:t>
      </w:r>
      <w:r w:rsidRPr="002029AF">
        <w:rPr>
          <w:rFonts w:eastAsia="Arial"/>
          <w:lang w:val="en-AU"/>
        </w:rPr>
        <w:t>conditions</w:t>
      </w:r>
    </w:p>
    <w:p w14:paraId="63A6CE26" w14:textId="07FBD805" w:rsidR="00087B91" w:rsidRPr="002029AF" w:rsidRDefault="00087B91" w:rsidP="00087B91">
      <w:pPr>
        <w:pStyle w:val="ARfinbody"/>
        <w:rPr>
          <w:highlight w:val="yellow"/>
        </w:rPr>
      </w:pPr>
      <w:bookmarkStart w:id="368" w:name="_Hlk47619166"/>
      <w:r w:rsidRPr="002029AF">
        <w:t>The</w:t>
      </w:r>
      <w:r w:rsidR="000A5329" w:rsidRPr="002029AF">
        <w:t xml:space="preserve"> </w:t>
      </w:r>
      <w:r w:rsidRPr="002029AF">
        <w:t>Director</w:t>
      </w:r>
      <w:r w:rsidR="000A5329" w:rsidRPr="002029AF">
        <w:t xml:space="preserve"> </w:t>
      </w:r>
      <w:r w:rsidRPr="002029AF">
        <w:t>of</w:t>
      </w:r>
      <w:r w:rsidR="000A5329" w:rsidRPr="002029AF">
        <w:t xml:space="preserve"> </w:t>
      </w:r>
      <w:r w:rsidRPr="002029AF">
        <w:t>Housing</w:t>
      </w:r>
      <w:r w:rsidR="000A5329" w:rsidRPr="002029AF">
        <w:t xml:space="preserve"> </w:t>
      </w:r>
      <w:r w:rsidRPr="002029AF">
        <w:t>entered</w:t>
      </w:r>
      <w:r w:rsidR="000A5329" w:rsidRPr="002029AF">
        <w:t xml:space="preserve"> </w:t>
      </w:r>
      <w:r w:rsidRPr="002029AF">
        <w:t>into</w:t>
      </w:r>
      <w:r w:rsidR="000A5329" w:rsidRPr="002029AF">
        <w:t xml:space="preserve"> </w:t>
      </w:r>
      <w:r w:rsidRPr="002029AF">
        <w:t>a</w:t>
      </w:r>
      <w:r w:rsidR="000A5329" w:rsidRPr="002029AF">
        <w:t xml:space="preserve"> </w:t>
      </w:r>
      <w:r w:rsidRPr="002029AF">
        <w:t>number</w:t>
      </w:r>
      <w:r w:rsidR="000A5329" w:rsidRPr="002029AF">
        <w:t xml:space="preserve"> </w:t>
      </w:r>
      <w:r w:rsidRPr="002029AF">
        <w:t>of</w:t>
      </w:r>
      <w:r w:rsidR="000A5329" w:rsidRPr="002029AF">
        <w:t xml:space="preserve"> </w:t>
      </w:r>
      <w:r w:rsidRPr="002029AF">
        <w:t>land</w:t>
      </w:r>
      <w:r w:rsidR="000A5329" w:rsidRPr="002029AF">
        <w:t xml:space="preserve"> </w:t>
      </w:r>
      <w:r w:rsidRPr="002029AF">
        <w:t>leases</w:t>
      </w:r>
      <w:r w:rsidR="000A5329" w:rsidRPr="002029AF">
        <w:t xml:space="preserve"> </w:t>
      </w:r>
      <w:r w:rsidRPr="002029AF">
        <w:t>with</w:t>
      </w:r>
      <w:r w:rsidR="000A5329" w:rsidRPr="002029AF">
        <w:t xml:space="preserve"> </w:t>
      </w:r>
      <w:r w:rsidRPr="002029AF">
        <w:t>lease</w:t>
      </w:r>
      <w:r w:rsidR="000A5329" w:rsidRPr="002029AF">
        <w:t xml:space="preserve"> </w:t>
      </w:r>
      <w:r w:rsidRPr="002029AF">
        <w:t>term</w:t>
      </w:r>
      <w:r w:rsidR="000A5329" w:rsidRPr="002029AF">
        <w:t xml:space="preserve"> </w:t>
      </w:r>
      <w:r w:rsidRPr="002029AF">
        <w:t>ranging</w:t>
      </w:r>
      <w:r w:rsidR="000A5329" w:rsidRPr="002029AF">
        <w:t xml:space="preserve"> </w:t>
      </w:r>
      <w:r w:rsidRPr="002029AF">
        <w:t>from</w:t>
      </w:r>
      <w:r w:rsidR="000A5329" w:rsidRPr="002029AF">
        <w:t xml:space="preserve"> </w:t>
      </w:r>
      <w:r w:rsidRPr="002029AF">
        <w:t>5</w:t>
      </w:r>
      <w:r w:rsidR="000A5329" w:rsidRPr="002029AF">
        <w:t xml:space="preserve"> </w:t>
      </w:r>
      <w:r w:rsidRPr="002029AF">
        <w:t>years</w:t>
      </w:r>
      <w:r w:rsidR="000A5329" w:rsidRPr="002029AF">
        <w:t xml:space="preserve"> </w:t>
      </w:r>
      <w:r w:rsidRPr="002029AF">
        <w:t>to</w:t>
      </w:r>
      <w:r w:rsidR="000A5329" w:rsidRPr="002029AF">
        <w:t xml:space="preserve"> </w:t>
      </w:r>
      <w:r w:rsidRPr="002029AF">
        <w:t>indefinite.</w:t>
      </w:r>
      <w:r w:rsidR="000A5329" w:rsidRPr="002029AF">
        <w:t xml:space="preserve"> </w:t>
      </w:r>
      <w:r w:rsidRPr="002029AF">
        <w:t>These</w:t>
      </w:r>
      <w:r w:rsidR="000A5329" w:rsidRPr="002029AF">
        <w:t xml:space="preserve"> </w:t>
      </w:r>
      <w:r w:rsidRPr="002029AF">
        <w:t>lease</w:t>
      </w:r>
      <w:r w:rsidR="000A5329" w:rsidRPr="002029AF">
        <w:t xml:space="preserve"> </w:t>
      </w:r>
      <w:r w:rsidRPr="002029AF">
        <w:t>contracts</w:t>
      </w:r>
      <w:r w:rsidR="000A5329" w:rsidRPr="002029AF">
        <w:t xml:space="preserve"> </w:t>
      </w:r>
      <w:r w:rsidRPr="002029AF">
        <w:t>specify</w:t>
      </w:r>
      <w:r w:rsidR="000A5329" w:rsidRPr="002029AF">
        <w:t xml:space="preserve"> </w:t>
      </w:r>
      <w:r w:rsidRPr="002029AF">
        <w:t>lease</w:t>
      </w:r>
      <w:r w:rsidR="000A5329" w:rsidRPr="002029AF">
        <w:t xml:space="preserve"> </w:t>
      </w:r>
      <w:r w:rsidRPr="002029AF">
        <w:t>payments</w:t>
      </w:r>
      <w:r w:rsidR="000A5329" w:rsidRPr="002029AF">
        <w:t xml:space="preserve"> </w:t>
      </w:r>
      <w:r w:rsidRPr="002029AF">
        <w:t>of</w:t>
      </w:r>
      <w:r w:rsidR="000A5329" w:rsidRPr="002029AF">
        <w:t xml:space="preserve"> </w:t>
      </w:r>
      <w:r w:rsidRPr="002029AF">
        <w:t>$1</w:t>
      </w:r>
      <w:r w:rsidR="000A5329" w:rsidRPr="002029AF">
        <w:t xml:space="preserve"> </w:t>
      </w:r>
      <w:r w:rsidRPr="002029AF">
        <w:t>per</w:t>
      </w:r>
      <w:r w:rsidR="000A5329" w:rsidRPr="002029AF">
        <w:t xml:space="preserve"> </w:t>
      </w:r>
      <w:r w:rsidRPr="002029AF">
        <w:t>annum.</w:t>
      </w:r>
      <w:r w:rsidR="000A5329" w:rsidRPr="002029AF">
        <w:t xml:space="preserve"> </w:t>
      </w:r>
      <w:r w:rsidRPr="002029AF">
        <w:t>In</w:t>
      </w:r>
      <w:r w:rsidR="000A5329" w:rsidRPr="002029AF">
        <w:t xml:space="preserve"> </w:t>
      </w:r>
      <w:r w:rsidRPr="002029AF">
        <w:t>accordance</w:t>
      </w:r>
      <w:r w:rsidR="000A5329" w:rsidRPr="002029AF">
        <w:t xml:space="preserve"> </w:t>
      </w:r>
      <w:r w:rsidRPr="002029AF">
        <w:t>with</w:t>
      </w:r>
      <w:r w:rsidR="000A5329" w:rsidRPr="002029AF">
        <w:t xml:space="preserve"> </w:t>
      </w:r>
      <w:r w:rsidRPr="002029AF">
        <w:t>AASB</w:t>
      </w:r>
      <w:r w:rsidR="000A5329" w:rsidRPr="002029AF">
        <w:t xml:space="preserve"> </w:t>
      </w:r>
      <w:r w:rsidRPr="002029AF">
        <w:t>16,</w:t>
      </w:r>
      <w:r w:rsidR="000A5329" w:rsidRPr="002029AF">
        <w:t xml:space="preserve"> </w:t>
      </w:r>
      <w:r w:rsidRPr="002029AF">
        <w:t>the</w:t>
      </w:r>
      <w:r w:rsidR="000A5329" w:rsidRPr="002029AF">
        <w:t xml:space="preserve"> </w:t>
      </w:r>
      <w:r w:rsidRPr="002029AF">
        <w:t>below-market</w:t>
      </w:r>
      <w:r w:rsidR="000A5329" w:rsidRPr="002029AF">
        <w:t xml:space="preserve"> </w:t>
      </w:r>
      <w:r w:rsidRPr="002029AF">
        <w:t>leases</w:t>
      </w:r>
      <w:r w:rsidR="000A5329" w:rsidRPr="002029AF">
        <w:t xml:space="preserve"> </w:t>
      </w:r>
      <w:r w:rsidRPr="002029AF">
        <w:t>are</w:t>
      </w:r>
      <w:r w:rsidR="000A5329" w:rsidRPr="002029AF">
        <w:t xml:space="preserve"> </w:t>
      </w:r>
      <w:r w:rsidRPr="002029AF">
        <w:t>recognised</w:t>
      </w:r>
      <w:r w:rsidR="000A5329" w:rsidRPr="002029AF">
        <w:t xml:space="preserve"> </w:t>
      </w:r>
      <w:r w:rsidRPr="002029AF">
        <w:t>at</w:t>
      </w:r>
      <w:r w:rsidR="000A5329" w:rsidRPr="002029AF">
        <w:t xml:space="preserve"> </w:t>
      </w:r>
      <w:r w:rsidRPr="002029AF">
        <w:t>cost.</w:t>
      </w:r>
      <w:bookmarkEnd w:id="368"/>
    </w:p>
    <w:p w14:paraId="113F8683" w14:textId="77777777" w:rsidR="00087B91" w:rsidRPr="002029AF" w:rsidRDefault="00087B91" w:rsidP="00087B91">
      <w:pPr>
        <w:pStyle w:val="ARfinbody"/>
      </w:pPr>
      <w:r w:rsidRPr="002029AF">
        <w:br w:type="page"/>
      </w:r>
    </w:p>
    <w:p w14:paraId="4D1808FC" w14:textId="49E50BB7" w:rsidR="00087B91" w:rsidRPr="002029AF" w:rsidRDefault="00087B91" w:rsidP="00087B91">
      <w:pPr>
        <w:pStyle w:val="Heading6"/>
        <w:rPr>
          <w:lang w:val="en-AU"/>
        </w:rPr>
      </w:pPr>
      <w:r w:rsidRPr="002029AF">
        <w:rPr>
          <w:lang w:val="en-AU"/>
        </w:rPr>
        <w:lastRenderedPageBreak/>
        <w:t>7.2.1(a)</w:t>
      </w:r>
      <w:r w:rsidR="000A5329" w:rsidRPr="002029AF">
        <w:rPr>
          <w:lang w:val="en-AU"/>
        </w:rPr>
        <w:t xml:space="preserve"> </w:t>
      </w:r>
      <w:r w:rsidRPr="002029AF">
        <w:rPr>
          <w:lang w:val="en-AU"/>
        </w:rPr>
        <w:t>Right-of-use</w:t>
      </w:r>
      <w:r w:rsidR="000A5329" w:rsidRPr="002029AF">
        <w:rPr>
          <w:lang w:val="en-AU"/>
        </w:rPr>
        <w:t xml:space="preserve"> </w:t>
      </w:r>
      <w:r w:rsidRPr="002029AF">
        <w:rPr>
          <w:lang w:val="en-AU"/>
        </w:rPr>
        <w:t>assets</w:t>
      </w:r>
    </w:p>
    <w:p w14:paraId="2E1D8AA2" w14:textId="6337C772" w:rsidR="00087B91" w:rsidRPr="002029AF" w:rsidRDefault="00087B91" w:rsidP="00087B91">
      <w:pPr>
        <w:pStyle w:val="ARfinbody"/>
      </w:pPr>
      <w:r w:rsidRPr="002029AF">
        <w:t>Right-of-use</w:t>
      </w:r>
      <w:r w:rsidR="000A5329" w:rsidRPr="002029AF">
        <w:t xml:space="preserve"> </w:t>
      </w:r>
      <w:r w:rsidRPr="002029AF">
        <w:t>assets</w:t>
      </w:r>
      <w:r w:rsidR="000A5329" w:rsidRPr="002029AF">
        <w:t xml:space="preserve"> </w:t>
      </w:r>
      <w:r w:rsidRPr="002029AF">
        <w:t>are</w:t>
      </w:r>
      <w:r w:rsidR="000A5329" w:rsidRPr="002029AF">
        <w:t xml:space="preserve"> </w:t>
      </w:r>
      <w:r w:rsidRPr="002029AF">
        <w:t>presented</w:t>
      </w:r>
      <w:r w:rsidR="000A5329" w:rsidRPr="002029AF">
        <w:t xml:space="preserve"> </w:t>
      </w:r>
      <w:r w:rsidRPr="002029AF">
        <w:t>in</w:t>
      </w:r>
      <w:r w:rsidR="000A5329" w:rsidRPr="002029AF">
        <w:t xml:space="preserve"> </w:t>
      </w:r>
      <w:r w:rsidRPr="002029AF">
        <w:t>Note</w:t>
      </w:r>
      <w:r w:rsidR="000A5329" w:rsidRPr="002029AF">
        <w:t xml:space="preserve"> </w:t>
      </w:r>
      <w:r w:rsidRPr="002029AF">
        <w:t>5.1(a).</w:t>
      </w:r>
    </w:p>
    <w:p w14:paraId="3E5C2F96" w14:textId="40E42229" w:rsidR="00087B91" w:rsidRPr="002029AF" w:rsidRDefault="00087B91" w:rsidP="00087B91">
      <w:pPr>
        <w:pStyle w:val="Heading6"/>
        <w:rPr>
          <w:lang w:val="en-AU"/>
        </w:rPr>
      </w:pPr>
      <w:r w:rsidRPr="002029AF">
        <w:rPr>
          <w:lang w:val="en-AU"/>
        </w:rPr>
        <w:t>7.2.1(b)</w:t>
      </w:r>
      <w:r w:rsidR="000A5329" w:rsidRPr="002029AF">
        <w:rPr>
          <w:lang w:val="en-AU"/>
        </w:rPr>
        <w:t xml:space="preserve"> </w:t>
      </w:r>
      <w:r w:rsidRPr="002029AF">
        <w:rPr>
          <w:lang w:val="en-AU"/>
        </w:rPr>
        <w:t>Amounts</w:t>
      </w:r>
      <w:r w:rsidR="000A5329" w:rsidRPr="002029AF">
        <w:rPr>
          <w:lang w:val="en-AU"/>
        </w:rPr>
        <w:t xml:space="preserve"> </w:t>
      </w:r>
      <w:r w:rsidRPr="002029AF">
        <w:rPr>
          <w:lang w:val="en-AU"/>
        </w:rPr>
        <w:t>recognised</w:t>
      </w:r>
      <w:r w:rsidR="000A5329" w:rsidRPr="002029AF">
        <w:rPr>
          <w:lang w:val="en-AU"/>
        </w:rPr>
        <w:t xml:space="preserve"> </w:t>
      </w:r>
      <w:r w:rsidRPr="002029AF">
        <w:rPr>
          <w:lang w:val="en-AU"/>
        </w:rPr>
        <w:t>in</w:t>
      </w:r>
      <w:r w:rsidR="000A5329" w:rsidRPr="002029AF">
        <w:rPr>
          <w:lang w:val="en-AU"/>
        </w:rPr>
        <w:t xml:space="preserve"> </w:t>
      </w:r>
      <w:r w:rsidRPr="002029AF">
        <w:rPr>
          <w:lang w:val="en-AU"/>
        </w:rPr>
        <w:t>the</w:t>
      </w:r>
      <w:r w:rsidR="000A5329" w:rsidRPr="002029AF">
        <w:rPr>
          <w:lang w:val="en-AU"/>
        </w:rPr>
        <w:t xml:space="preserve"> </w:t>
      </w:r>
      <w:r w:rsidRPr="002029AF">
        <w:rPr>
          <w:lang w:val="en-AU"/>
        </w:rPr>
        <w:t>comprehensive</w:t>
      </w:r>
      <w:r w:rsidR="000A5329" w:rsidRPr="002029AF">
        <w:rPr>
          <w:lang w:val="en-AU"/>
        </w:rPr>
        <w:t xml:space="preserve"> </w:t>
      </w:r>
      <w:r w:rsidRPr="002029AF">
        <w:rPr>
          <w:lang w:val="en-AU"/>
        </w:rPr>
        <w:t>operating</w:t>
      </w:r>
      <w:r w:rsidR="000A5329" w:rsidRPr="002029AF">
        <w:rPr>
          <w:lang w:val="en-AU"/>
        </w:rPr>
        <w:t xml:space="preserve"> </w:t>
      </w:r>
      <w:r w:rsidRPr="002029AF">
        <w:rPr>
          <w:lang w:val="en-AU"/>
        </w:rPr>
        <w:t>statement</w:t>
      </w:r>
    </w:p>
    <w:p w14:paraId="719A52F3" w14:textId="74CEEB91" w:rsidR="00087B91" w:rsidRPr="002029AF" w:rsidRDefault="00087B91" w:rsidP="00087B91">
      <w:pPr>
        <w:pStyle w:val="ARfinbody"/>
      </w:pPr>
      <w:r w:rsidRPr="002029AF">
        <w:t>The</w:t>
      </w:r>
      <w:r w:rsidR="000A5329" w:rsidRPr="002029AF">
        <w:t xml:space="preserve"> </w:t>
      </w:r>
      <w:r w:rsidRPr="002029AF">
        <w:t>following</w:t>
      </w:r>
      <w:r w:rsidR="000A5329" w:rsidRPr="002029AF">
        <w:t xml:space="preserve"> </w:t>
      </w:r>
      <w:r w:rsidRPr="002029AF">
        <w:t>amounts</w:t>
      </w:r>
      <w:r w:rsidR="000A5329" w:rsidRPr="002029AF">
        <w:t xml:space="preserve"> </w:t>
      </w:r>
      <w:r w:rsidRPr="002029AF">
        <w:t>relating</w:t>
      </w:r>
      <w:r w:rsidR="000A5329" w:rsidRPr="002029AF">
        <w:t xml:space="preserve"> </w:t>
      </w:r>
      <w:r w:rsidRPr="002029AF">
        <w:t>to</w:t>
      </w:r>
      <w:r w:rsidR="000A5329" w:rsidRPr="002029AF">
        <w:t xml:space="preserve"> </w:t>
      </w:r>
      <w:r w:rsidRPr="002029AF">
        <w:t>leases</w:t>
      </w:r>
      <w:r w:rsidR="000A5329" w:rsidRPr="002029AF">
        <w:t xml:space="preserve"> </w:t>
      </w:r>
      <w:r w:rsidRPr="002029AF">
        <w:t>are</w:t>
      </w:r>
      <w:r w:rsidR="000A5329" w:rsidRPr="002029AF">
        <w:t xml:space="preserve"> </w:t>
      </w:r>
      <w:r w:rsidRPr="002029AF">
        <w:t>recognised</w:t>
      </w:r>
      <w:r w:rsidR="000A5329" w:rsidRPr="002029AF">
        <w:t xml:space="preserve"> </w:t>
      </w:r>
      <w:r w:rsidRPr="002029AF">
        <w:t>in</w:t>
      </w:r>
      <w:r w:rsidR="000A5329" w:rsidRPr="002029AF">
        <w:t xml:space="preserve"> </w:t>
      </w:r>
      <w:r w:rsidRPr="002029AF">
        <w:t>the</w:t>
      </w:r>
      <w:r w:rsidR="000A5329" w:rsidRPr="002029AF">
        <w:t xml:space="preserve"> </w:t>
      </w:r>
      <w:r w:rsidRPr="002029AF">
        <w:t>comprehensive</w:t>
      </w:r>
      <w:r w:rsidR="000A5329" w:rsidRPr="002029AF">
        <w:t xml:space="preserve"> </w:t>
      </w:r>
      <w:r w:rsidRPr="002029AF">
        <w:t>operating</w:t>
      </w:r>
      <w:r w:rsidR="000A5329" w:rsidRPr="002029AF">
        <w:t xml:space="preserve"> </w:t>
      </w:r>
      <w:r w:rsidRPr="002029AF">
        <w:t>statement:</w:t>
      </w:r>
    </w:p>
    <w:tbl>
      <w:tblPr>
        <w:tblStyle w:val="TableGrid"/>
        <w:tblW w:w="9637" w:type="dxa"/>
        <w:tblLayout w:type="fixed"/>
        <w:tblLook w:val="06A0" w:firstRow="1" w:lastRow="0" w:firstColumn="1" w:lastColumn="0" w:noHBand="1" w:noVBand="1"/>
      </w:tblPr>
      <w:tblGrid>
        <w:gridCol w:w="8352"/>
        <w:gridCol w:w="1285"/>
      </w:tblGrid>
      <w:tr w:rsidR="00087B91" w:rsidRPr="002029AF" w14:paraId="5DBDDD81"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8352" w:type="dxa"/>
            <w:tcBorders>
              <w:bottom w:val="single" w:sz="4" w:space="0" w:color="auto"/>
            </w:tcBorders>
            <w:noWrap/>
            <w:hideMark/>
          </w:tcPr>
          <w:p w14:paraId="486D1CBA" w14:textId="77777777" w:rsidR="00087B91" w:rsidRPr="002029AF" w:rsidRDefault="00087B91" w:rsidP="00860E95">
            <w:pPr>
              <w:pStyle w:val="ARfintablecolhead"/>
            </w:pPr>
          </w:p>
        </w:tc>
        <w:tc>
          <w:tcPr>
            <w:tcW w:w="1285" w:type="dxa"/>
            <w:tcBorders>
              <w:bottom w:val="single" w:sz="4" w:space="0" w:color="auto"/>
            </w:tcBorders>
            <w:hideMark/>
          </w:tcPr>
          <w:p w14:paraId="1CF3ED81" w14:textId="77777777" w:rsidR="00087B91" w:rsidRPr="002029AF" w:rsidRDefault="00087B91" w:rsidP="00860E95">
            <w:pPr>
              <w:pStyle w:val="ARfintablecolheadright"/>
            </w:pPr>
            <w:r w:rsidRPr="002029AF">
              <w:t>2020</w:t>
            </w:r>
          </w:p>
          <w:p w14:paraId="54EB30D9" w14:textId="77777777" w:rsidR="00087B91" w:rsidRPr="002029AF" w:rsidRDefault="00087B91" w:rsidP="00860E95">
            <w:pPr>
              <w:pStyle w:val="ARfintablecolheadright"/>
            </w:pPr>
            <w:r w:rsidRPr="002029AF">
              <w:t>$M</w:t>
            </w:r>
          </w:p>
        </w:tc>
      </w:tr>
      <w:tr w:rsidR="00087B91" w:rsidRPr="002029AF" w14:paraId="6A3AB445" w14:textId="77777777" w:rsidTr="00860E95">
        <w:tc>
          <w:tcPr>
            <w:tcW w:w="9637" w:type="dxa"/>
            <w:gridSpan w:val="2"/>
            <w:tcBorders>
              <w:top w:val="single" w:sz="4" w:space="0" w:color="auto"/>
              <w:bottom w:val="single" w:sz="4" w:space="0" w:color="A6A6A6"/>
            </w:tcBorders>
            <w:hideMark/>
          </w:tcPr>
          <w:p w14:paraId="57E7948C" w14:textId="69B50AFC" w:rsidR="00087B91" w:rsidRPr="002029AF" w:rsidRDefault="00087B91" w:rsidP="00860E95">
            <w:pPr>
              <w:pStyle w:val="ARfintablebodybold"/>
            </w:pPr>
            <w:r w:rsidRPr="002029AF">
              <w:t>Amounts</w:t>
            </w:r>
            <w:r w:rsidR="000A5329" w:rsidRPr="002029AF">
              <w:t xml:space="preserve"> </w:t>
            </w:r>
            <w:r w:rsidRPr="002029AF">
              <w:t>recognised</w:t>
            </w:r>
            <w:r w:rsidR="000A5329" w:rsidRPr="002029AF">
              <w:t xml:space="preserve"> </w:t>
            </w:r>
            <w:r w:rsidRPr="002029AF">
              <w:t>in</w:t>
            </w:r>
            <w:r w:rsidR="000A5329" w:rsidRPr="002029AF">
              <w:t xml:space="preserve"> </w:t>
            </w:r>
            <w:r w:rsidRPr="002029AF">
              <w:t>the</w:t>
            </w:r>
            <w:r w:rsidR="000A5329" w:rsidRPr="002029AF">
              <w:t xml:space="preserve"> </w:t>
            </w:r>
            <w:r w:rsidRPr="002029AF">
              <w:t>comprehensive</w:t>
            </w:r>
            <w:r w:rsidR="000A5329" w:rsidRPr="002029AF">
              <w:t xml:space="preserve"> </w:t>
            </w:r>
            <w:r w:rsidRPr="002029AF">
              <w:t>operating</w:t>
            </w:r>
            <w:r w:rsidR="000A5329" w:rsidRPr="002029AF">
              <w:t xml:space="preserve"> </w:t>
            </w:r>
            <w:r w:rsidRPr="002029AF">
              <w:t>statement</w:t>
            </w:r>
          </w:p>
        </w:tc>
      </w:tr>
      <w:tr w:rsidR="00087B91" w:rsidRPr="002029AF" w14:paraId="2DDA59B7" w14:textId="77777777" w:rsidTr="00860E95">
        <w:tc>
          <w:tcPr>
            <w:tcW w:w="8352" w:type="dxa"/>
            <w:tcBorders>
              <w:top w:val="single" w:sz="4" w:space="0" w:color="A6A6A6"/>
              <w:bottom w:val="single" w:sz="4" w:space="0" w:color="A6A6A6"/>
            </w:tcBorders>
            <w:hideMark/>
          </w:tcPr>
          <w:p w14:paraId="6922AD1B" w14:textId="3ECD47FF" w:rsidR="00087B91" w:rsidRPr="002029AF" w:rsidRDefault="00087B91" w:rsidP="00860E95">
            <w:pPr>
              <w:pStyle w:val="ARfintablebody"/>
            </w:pPr>
            <w:r w:rsidRPr="002029AF">
              <w:t>Interest</w:t>
            </w:r>
            <w:r w:rsidR="000A5329" w:rsidRPr="002029AF">
              <w:t xml:space="preserve"> </w:t>
            </w:r>
            <w:r w:rsidRPr="002029AF">
              <w:t>expense</w:t>
            </w:r>
            <w:r w:rsidR="000A5329" w:rsidRPr="002029AF">
              <w:t xml:space="preserve"> </w:t>
            </w:r>
            <w:r w:rsidRPr="002029AF">
              <w:t>on</w:t>
            </w:r>
            <w:r w:rsidR="000A5329" w:rsidRPr="002029AF">
              <w:t xml:space="preserve"> </w:t>
            </w:r>
            <w:r w:rsidRPr="002029AF">
              <w:t>lease</w:t>
            </w:r>
            <w:r w:rsidR="000A5329" w:rsidRPr="002029AF">
              <w:t xml:space="preserve"> </w:t>
            </w:r>
            <w:r w:rsidRPr="002029AF">
              <w:t>liabilities</w:t>
            </w:r>
          </w:p>
        </w:tc>
        <w:tc>
          <w:tcPr>
            <w:tcW w:w="1285" w:type="dxa"/>
            <w:tcBorders>
              <w:top w:val="single" w:sz="4" w:space="0" w:color="A6A6A6"/>
              <w:bottom w:val="single" w:sz="4" w:space="0" w:color="A6A6A6"/>
            </w:tcBorders>
            <w:noWrap/>
            <w:hideMark/>
          </w:tcPr>
          <w:p w14:paraId="7257D02E" w14:textId="77777777" w:rsidR="00087B91" w:rsidRPr="002029AF" w:rsidRDefault="00087B91" w:rsidP="00860E95">
            <w:pPr>
              <w:pStyle w:val="ARfintablebodyright"/>
            </w:pPr>
            <w:r w:rsidRPr="002029AF">
              <w:t>7.0</w:t>
            </w:r>
          </w:p>
        </w:tc>
      </w:tr>
      <w:tr w:rsidR="00087B91" w:rsidRPr="002029AF" w14:paraId="0E709A92" w14:textId="77777777" w:rsidTr="00860E95">
        <w:tc>
          <w:tcPr>
            <w:tcW w:w="8352" w:type="dxa"/>
            <w:tcBorders>
              <w:top w:val="single" w:sz="4" w:space="0" w:color="A6A6A6"/>
              <w:bottom w:val="single" w:sz="4" w:space="0" w:color="A6A6A6"/>
            </w:tcBorders>
            <w:hideMark/>
          </w:tcPr>
          <w:p w14:paraId="2CB095A0" w14:textId="6C80D155" w:rsidR="00087B91" w:rsidRPr="002029AF" w:rsidRDefault="00087B91" w:rsidP="00860E95">
            <w:pPr>
              <w:pStyle w:val="ARfintablebody"/>
            </w:pPr>
            <w:r w:rsidRPr="002029AF">
              <w:t>Expenses</w:t>
            </w:r>
            <w:r w:rsidR="000A5329" w:rsidRPr="002029AF">
              <w:t xml:space="preserve"> </w:t>
            </w:r>
            <w:r w:rsidRPr="002029AF">
              <w:t>relating</w:t>
            </w:r>
            <w:r w:rsidR="000A5329" w:rsidRPr="002029AF">
              <w:t xml:space="preserve"> </w:t>
            </w:r>
            <w:r w:rsidRPr="002029AF">
              <w:t>to</w:t>
            </w:r>
            <w:r w:rsidR="000A5329" w:rsidRPr="002029AF">
              <w:t xml:space="preserve"> </w:t>
            </w:r>
            <w:r w:rsidRPr="002029AF">
              <w:t>short-term</w:t>
            </w:r>
            <w:r w:rsidR="000A5329" w:rsidRPr="002029AF">
              <w:t xml:space="preserve"> </w:t>
            </w:r>
            <w:r w:rsidRPr="002029AF">
              <w:t>leases</w:t>
            </w:r>
          </w:p>
        </w:tc>
        <w:tc>
          <w:tcPr>
            <w:tcW w:w="1285" w:type="dxa"/>
            <w:tcBorders>
              <w:top w:val="single" w:sz="4" w:space="0" w:color="A6A6A6"/>
              <w:bottom w:val="single" w:sz="4" w:space="0" w:color="A6A6A6"/>
            </w:tcBorders>
            <w:noWrap/>
            <w:hideMark/>
          </w:tcPr>
          <w:p w14:paraId="0D68F44B" w14:textId="77777777" w:rsidR="00087B91" w:rsidRPr="002029AF" w:rsidRDefault="00087B91" w:rsidP="00860E95">
            <w:pPr>
              <w:pStyle w:val="ARfintablebodyright"/>
            </w:pPr>
            <w:r w:rsidRPr="002029AF">
              <w:t>6.9</w:t>
            </w:r>
          </w:p>
        </w:tc>
      </w:tr>
      <w:tr w:rsidR="00087B91" w:rsidRPr="002029AF" w14:paraId="544C1B07" w14:textId="77777777" w:rsidTr="00860E95">
        <w:tc>
          <w:tcPr>
            <w:tcW w:w="8352" w:type="dxa"/>
            <w:tcBorders>
              <w:top w:val="single" w:sz="4" w:space="0" w:color="A6A6A6"/>
            </w:tcBorders>
            <w:hideMark/>
          </w:tcPr>
          <w:p w14:paraId="10E684CB" w14:textId="12ED59A2" w:rsidR="00087B91" w:rsidRPr="002029AF" w:rsidRDefault="00087B91" w:rsidP="00860E95">
            <w:pPr>
              <w:pStyle w:val="ARfintablebody"/>
            </w:pPr>
            <w:r w:rsidRPr="002029AF">
              <w:t>Variable</w:t>
            </w:r>
            <w:r w:rsidR="000A5329" w:rsidRPr="002029AF">
              <w:t xml:space="preserve"> </w:t>
            </w:r>
            <w:r w:rsidRPr="002029AF">
              <w:t>lease</w:t>
            </w:r>
            <w:r w:rsidR="000A5329" w:rsidRPr="002029AF">
              <w:t xml:space="preserve"> </w:t>
            </w:r>
            <w:r w:rsidRPr="002029AF">
              <w:t>payments,</w:t>
            </w:r>
            <w:r w:rsidR="000A5329" w:rsidRPr="002029AF">
              <w:t xml:space="preserve"> </w:t>
            </w:r>
            <w:r w:rsidRPr="002029AF">
              <w:t>not</w:t>
            </w:r>
            <w:r w:rsidR="000A5329" w:rsidRPr="002029AF">
              <w:t xml:space="preserve"> </w:t>
            </w:r>
            <w:r w:rsidRPr="002029AF">
              <w:t>included</w:t>
            </w:r>
            <w:r w:rsidR="000A5329" w:rsidRPr="002029AF">
              <w:t xml:space="preserve"> </w:t>
            </w:r>
            <w:r w:rsidRPr="002029AF">
              <w:t>in</w:t>
            </w:r>
            <w:r w:rsidR="000A5329" w:rsidRPr="002029AF">
              <w:t xml:space="preserve"> </w:t>
            </w:r>
            <w:r w:rsidRPr="002029AF">
              <w:t>the</w:t>
            </w:r>
            <w:r w:rsidR="000A5329" w:rsidRPr="002029AF">
              <w:t xml:space="preserve"> </w:t>
            </w:r>
            <w:r w:rsidRPr="002029AF">
              <w:t>measurement</w:t>
            </w:r>
            <w:r w:rsidR="000A5329" w:rsidRPr="002029AF">
              <w:t xml:space="preserve"> </w:t>
            </w:r>
            <w:r w:rsidRPr="002029AF">
              <w:t>of</w:t>
            </w:r>
            <w:r w:rsidR="000A5329" w:rsidRPr="002029AF">
              <w:t xml:space="preserve"> </w:t>
            </w:r>
            <w:r w:rsidRPr="002029AF">
              <w:t>leases</w:t>
            </w:r>
          </w:p>
        </w:tc>
        <w:tc>
          <w:tcPr>
            <w:tcW w:w="1285" w:type="dxa"/>
            <w:tcBorders>
              <w:top w:val="single" w:sz="4" w:space="0" w:color="A6A6A6"/>
            </w:tcBorders>
            <w:noWrap/>
            <w:hideMark/>
          </w:tcPr>
          <w:p w14:paraId="76812A99" w14:textId="77777777" w:rsidR="00087B91" w:rsidRPr="002029AF" w:rsidRDefault="00087B91" w:rsidP="00860E95">
            <w:pPr>
              <w:pStyle w:val="ARfintablebodyright"/>
            </w:pPr>
            <w:r w:rsidRPr="002029AF">
              <w:t>2.3</w:t>
            </w:r>
          </w:p>
        </w:tc>
      </w:tr>
      <w:tr w:rsidR="00087B91" w:rsidRPr="002029AF" w14:paraId="1AA43E25" w14:textId="77777777" w:rsidTr="00860E95">
        <w:tc>
          <w:tcPr>
            <w:tcW w:w="8352" w:type="dxa"/>
            <w:hideMark/>
          </w:tcPr>
          <w:p w14:paraId="06B5C7AB" w14:textId="34108562" w:rsidR="00087B91" w:rsidRPr="002029AF" w:rsidRDefault="00087B91" w:rsidP="00860E95">
            <w:pPr>
              <w:pStyle w:val="ARfintablebodybold"/>
            </w:pPr>
            <w:r w:rsidRPr="002029AF">
              <w:t>Total</w:t>
            </w:r>
            <w:r w:rsidR="000A5329" w:rsidRPr="002029AF">
              <w:t xml:space="preserve"> </w:t>
            </w:r>
            <w:r w:rsidRPr="002029AF">
              <w:t>amount</w:t>
            </w:r>
            <w:r w:rsidR="000A5329" w:rsidRPr="002029AF">
              <w:t xml:space="preserve"> </w:t>
            </w:r>
            <w:r w:rsidRPr="002029AF">
              <w:t>recognised</w:t>
            </w:r>
            <w:r w:rsidR="000A5329" w:rsidRPr="002029AF">
              <w:t xml:space="preserve"> </w:t>
            </w:r>
            <w:r w:rsidRPr="002029AF">
              <w:t>in</w:t>
            </w:r>
            <w:r w:rsidR="000A5329" w:rsidRPr="002029AF">
              <w:t xml:space="preserve"> </w:t>
            </w:r>
            <w:r w:rsidRPr="002029AF">
              <w:t>the</w:t>
            </w:r>
            <w:r w:rsidR="000A5329" w:rsidRPr="002029AF">
              <w:t xml:space="preserve"> </w:t>
            </w:r>
            <w:r w:rsidRPr="002029AF">
              <w:t>comprehensive</w:t>
            </w:r>
            <w:r w:rsidR="000A5329" w:rsidRPr="002029AF">
              <w:t xml:space="preserve"> </w:t>
            </w:r>
            <w:r w:rsidRPr="002029AF">
              <w:t>operating</w:t>
            </w:r>
            <w:r w:rsidR="000A5329" w:rsidRPr="002029AF">
              <w:t xml:space="preserve"> </w:t>
            </w:r>
            <w:r w:rsidRPr="002029AF">
              <w:t>statement</w:t>
            </w:r>
          </w:p>
        </w:tc>
        <w:tc>
          <w:tcPr>
            <w:tcW w:w="1285" w:type="dxa"/>
            <w:noWrap/>
            <w:hideMark/>
          </w:tcPr>
          <w:p w14:paraId="06B9A2B9" w14:textId="77777777" w:rsidR="00087B91" w:rsidRPr="002029AF" w:rsidRDefault="00087B91" w:rsidP="00860E95">
            <w:pPr>
              <w:pStyle w:val="ARfintablebodyrightbold"/>
            </w:pPr>
            <w:r w:rsidRPr="002029AF">
              <w:t>16.2</w:t>
            </w:r>
          </w:p>
        </w:tc>
      </w:tr>
    </w:tbl>
    <w:p w14:paraId="29F0C7FE" w14:textId="33E39497" w:rsidR="00087B91" w:rsidRPr="002029AF" w:rsidRDefault="00087B91" w:rsidP="00087B91">
      <w:pPr>
        <w:pStyle w:val="Heading6"/>
        <w:rPr>
          <w:lang w:val="en-AU"/>
        </w:rPr>
      </w:pPr>
      <w:r w:rsidRPr="002029AF">
        <w:rPr>
          <w:lang w:val="en-AU"/>
        </w:rPr>
        <w:t>7.2.1(c)</w:t>
      </w:r>
      <w:r w:rsidR="000A5329" w:rsidRPr="002029AF">
        <w:rPr>
          <w:lang w:val="en-AU"/>
        </w:rPr>
        <w:t xml:space="preserve"> </w:t>
      </w:r>
      <w:r w:rsidRPr="002029AF">
        <w:rPr>
          <w:lang w:val="en-AU"/>
        </w:rPr>
        <w:t>Amounts</w:t>
      </w:r>
      <w:r w:rsidR="000A5329" w:rsidRPr="002029AF">
        <w:rPr>
          <w:lang w:val="en-AU"/>
        </w:rPr>
        <w:t xml:space="preserve"> </w:t>
      </w:r>
      <w:r w:rsidRPr="002029AF">
        <w:rPr>
          <w:lang w:val="en-AU"/>
        </w:rPr>
        <w:t>recognised</w:t>
      </w:r>
      <w:r w:rsidR="000A5329" w:rsidRPr="002029AF">
        <w:rPr>
          <w:lang w:val="en-AU"/>
        </w:rPr>
        <w:t xml:space="preserve"> </w:t>
      </w:r>
      <w:r w:rsidRPr="002029AF">
        <w:rPr>
          <w:lang w:val="en-AU"/>
        </w:rPr>
        <w:t>in</w:t>
      </w:r>
      <w:r w:rsidR="000A5329" w:rsidRPr="002029AF">
        <w:rPr>
          <w:lang w:val="en-AU"/>
        </w:rPr>
        <w:t xml:space="preserve"> </w:t>
      </w:r>
      <w:r w:rsidRPr="002029AF">
        <w:rPr>
          <w:lang w:val="en-AU"/>
        </w:rPr>
        <w:t>the</w:t>
      </w:r>
      <w:r w:rsidR="000A5329" w:rsidRPr="002029AF">
        <w:rPr>
          <w:lang w:val="en-AU"/>
        </w:rPr>
        <w:t xml:space="preserve"> </w:t>
      </w:r>
      <w:r w:rsidRPr="002029AF">
        <w:rPr>
          <w:lang w:val="en-AU"/>
        </w:rPr>
        <w:t>cash</w:t>
      </w:r>
      <w:r w:rsidR="000A5329" w:rsidRPr="002029AF">
        <w:rPr>
          <w:lang w:val="en-AU"/>
        </w:rPr>
        <w:t xml:space="preserve"> </w:t>
      </w:r>
      <w:r w:rsidRPr="002029AF">
        <w:rPr>
          <w:lang w:val="en-AU"/>
        </w:rPr>
        <w:t>flow</w:t>
      </w:r>
      <w:r w:rsidR="000A5329" w:rsidRPr="002029AF">
        <w:rPr>
          <w:lang w:val="en-AU"/>
        </w:rPr>
        <w:t xml:space="preserve"> </w:t>
      </w:r>
      <w:r w:rsidRPr="002029AF">
        <w:rPr>
          <w:lang w:val="en-AU"/>
        </w:rPr>
        <w:t>statement</w:t>
      </w:r>
    </w:p>
    <w:p w14:paraId="153517BE" w14:textId="26F18106" w:rsidR="00087B91" w:rsidRPr="002029AF" w:rsidRDefault="00087B91" w:rsidP="00087B91">
      <w:pPr>
        <w:pStyle w:val="ARfinbody"/>
      </w:pPr>
      <w:r w:rsidRPr="002029AF">
        <w:t>The</w:t>
      </w:r>
      <w:r w:rsidR="000A5329" w:rsidRPr="002029AF">
        <w:t xml:space="preserve"> </w:t>
      </w:r>
      <w:r w:rsidRPr="002029AF">
        <w:t>following</w:t>
      </w:r>
      <w:r w:rsidR="000A5329" w:rsidRPr="002029AF">
        <w:t xml:space="preserve"> </w:t>
      </w:r>
      <w:r w:rsidRPr="002029AF">
        <w:t>amounts</w:t>
      </w:r>
      <w:r w:rsidR="000A5329" w:rsidRPr="002029AF">
        <w:t xml:space="preserve"> </w:t>
      </w:r>
      <w:r w:rsidRPr="002029AF">
        <w:t>relating</w:t>
      </w:r>
      <w:r w:rsidR="000A5329" w:rsidRPr="002029AF">
        <w:t xml:space="preserve"> </w:t>
      </w:r>
      <w:r w:rsidRPr="002029AF">
        <w:t>to</w:t>
      </w:r>
      <w:r w:rsidR="000A5329" w:rsidRPr="002029AF">
        <w:t xml:space="preserve"> </w:t>
      </w:r>
      <w:r w:rsidRPr="002029AF">
        <w:t>leases</w:t>
      </w:r>
      <w:r w:rsidR="000A5329" w:rsidRPr="002029AF">
        <w:t xml:space="preserve"> </w:t>
      </w:r>
      <w:r w:rsidRPr="002029AF">
        <w:t>are</w:t>
      </w:r>
      <w:r w:rsidR="000A5329" w:rsidRPr="002029AF">
        <w:t xml:space="preserve"> </w:t>
      </w:r>
      <w:r w:rsidRPr="002029AF">
        <w:t>recognised</w:t>
      </w:r>
      <w:r w:rsidR="000A5329" w:rsidRPr="002029AF">
        <w:t xml:space="preserve"> </w:t>
      </w:r>
      <w:r w:rsidRPr="002029AF">
        <w:t>in</w:t>
      </w:r>
      <w:r w:rsidR="000A5329" w:rsidRPr="002029AF">
        <w:t xml:space="preserve"> </w:t>
      </w:r>
      <w:r w:rsidRPr="002029AF">
        <w:t>the</w:t>
      </w:r>
      <w:r w:rsidR="000A5329" w:rsidRPr="002029AF">
        <w:t xml:space="preserve"> </w:t>
      </w:r>
      <w:r w:rsidRPr="002029AF">
        <w:t>cash</w:t>
      </w:r>
      <w:r w:rsidR="000A5329" w:rsidRPr="002029AF">
        <w:t xml:space="preserve"> </w:t>
      </w:r>
      <w:r w:rsidRPr="002029AF">
        <w:t>flow</w:t>
      </w:r>
      <w:r w:rsidR="000A5329" w:rsidRPr="002029AF">
        <w:t xml:space="preserve"> </w:t>
      </w:r>
      <w:r w:rsidRPr="002029AF">
        <w:t>statement</w:t>
      </w:r>
      <w:r w:rsidR="000A5329" w:rsidRPr="002029AF">
        <w:t xml:space="preserve"> </w:t>
      </w:r>
      <w:r w:rsidRPr="002029AF">
        <w:t>for</w:t>
      </w:r>
      <w:r w:rsidR="000A5329" w:rsidRPr="002029AF">
        <w:t xml:space="preserve"> </w:t>
      </w:r>
      <w:r w:rsidRPr="002029AF">
        <w:t>the</w:t>
      </w:r>
      <w:r w:rsidR="000A5329" w:rsidRPr="002029AF">
        <w:t xml:space="preserve"> </w:t>
      </w:r>
      <w:r w:rsidRPr="002029AF">
        <w:t>year</w:t>
      </w:r>
      <w:r w:rsidR="000A5329" w:rsidRPr="002029AF">
        <w:t xml:space="preserve"> </w:t>
      </w:r>
      <w:r w:rsidRPr="002029AF">
        <w:t>ending</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p>
    <w:tbl>
      <w:tblPr>
        <w:tblStyle w:val="TableGrid"/>
        <w:tblW w:w="9637" w:type="dxa"/>
        <w:tblLayout w:type="fixed"/>
        <w:tblLook w:val="06A0" w:firstRow="1" w:lastRow="0" w:firstColumn="1" w:lastColumn="0" w:noHBand="1" w:noVBand="1"/>
      </w:tblPr>
      <w:tblGrid>
        <w:gridCol w:w="8503"/>
        <w:gridCol w:w="1134"/>
      </w:tblGrid>
      <w:tr w:rsidR="00087B91" w:rsidRPr="002029AF" w14:paraId="1CF98DBB"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8505" w:type="dxa"/>
            <w:noWrap/>
            <w:hideMark/>
          </w:tcPr>
          <w:p w14:paraId="30DC9DE7" w14:textId="77777777" w:rsidR="00087B91" w:rsidRPr="002029AF" w:rsidRDefault="00087B91" w:rsidP="00860E95">
            <w:pPr>
              <w:pStyle w:val="ARfintablecolhead"/>
            </w:pPr>
          </w:p>
        </w:tc>
        <w:tc>
          <w:tcPr>
            <w:tcW w:w="1134" w:type="dxa"/>
            <w:hideMark/>
          </w:tcPr>
          <w:p w14:paraId="1AA28482" w14:textId="77777777" w:rsidR="00087B91" w:rsidRPr="002029AF" w:rsidRDefault="00087B91" w:rsidP="00860E95">
            <w:pPr>
              <w:pStyle w:val="ARfintablecolheadright"/>
            </w:pPr>
            <w:r w:rsidRPr="002029AF">
              <w:t>2020</w:t>
            </w:r>
          </w:p>
          <w:p w14:paraId="67C21DAE" w14:textId="77777777" w:rsidR="00087B91" w:rsidRPr="002029AF" w:rsidRDefault="00087B91" w:rsidP="00860E95">
            <w:pPr>
              <w:pStyle w:val="ARfintablecolheadright"/>
            </w:pPr>
            <w:r w:rsidRPr="002029AF">
              <w:t>$M</w:t>
            </w:r>
          </w:p>
        </w:tc>
      </w:tr>
      <w:tr w:rsidR="00087B91" w:rsidRPr="002029AF" w14:paraId="4630B1EE" w14:textId="77777777" w:rsidTr="00860E95">
        <w:tc>
          <w:tcPr>
            <w:tcW w:w="8505" w:type="dxa"/>
            <w:hideMark/>
          </w:tcPr>
          <w:p w14:paraId="2CBEF987" w14:textId="764EF687" w:rsidR="00087B91" w:rsidRPr="002029AF" w:rsidRDefault="00087B91" w:rsidP="00860E95">
            <w:pPr>
              <w:pStyle w:val="ARfintablebodybold"/>
            </w:pPr>
            <w:r w:rsidRPr="002029AF">
              <w:t>Total</w:t>
            </w:r>
            <w:r w:rsidR="000A5329" w:rsidRPr="002029AF">
              <w:t xml:space="preserve"> </w:t>
            </w:r>
            <w:r w:rsidRPr="002029AF">
              <w:t>cash</w:t>
            </w:r>
            <w:r w:rsidR="000A5329" w:rsidRPr="002029AF">
              <w:t xml:space="preserve"> </w:t>
            </w:r>
            <w:r w:rsidRPr="002029AF">
              <w:t>outflow</w:t>
            </w:r>
            <w:r w:rsidR="000A5329" w:rsidRPr="002029AF">
              <w:t xml:space="preserve"> </w:t>
            </w:r>
            <w:r w:rsidRPr="002029AF">
              <w:t>for</w:t>
            </w:r>
            <w:r w:rsidR="000A5329" w:rsidRPr="002029AF">
              <w:t xml:space="preserve"> </w:t>
            </w:r>
            <w:r w:rsidRPr="002029AF">
              <w:t>leases</w:t>
            </w:r>
          </w:p>
        </w:tc>
        <w:tc>
          <w:tcPr>
            <w:tcW w:w="1134" w:type="dxa"/>
            <w:noWrap/>
            <w:hideMark/>
          </w:tcPr>
          <w:p w14:paraId="35778B88" w14:textId="77777777" w:rsidR="00087B91" w:rsidRPr="002029AF" w:rsidRDefault="00087B91" w:rsidP="00860E95">
            <w:pPr>
              <w:pStyle w:val="ARfintablebodyright"/>
            </w:pPr>
            <w:r w:rsidRPr="002029AF">
              <w:t>61.3</w:t>
            </w:r>
          </w:p>
        </w:tc>
      </w:tr>
    </w:tbl>
    <w:p w14:paraId="5526C2EA" w14:textId="679CD6DA" w:rsidR="00087B91" w:rsidRPr="002029AF" w:rsidRDefault="00087B91" w:rsidP="00087B91">
      <w:pPr>
        <w:pStyle w:val="ARfinbodyaftertable"/>
      </w:pPr>
      <w:r w:rsidRPr="002029AF">
        <w:t>For</w:t>
      </w:r>
      <w:r w:rsidR="000A5329" w:rsidRPr="002029AF">
        <w:t xml:space="preserve"> </w:t>
      </w:r>
      <w:r w:rsidRPr="002029AF">
        <w:t>any</w:t>
      </w:r>
      <w:r w:rsidR="000A5329" w:rsidRPr="002029AF">
        <w:t xml:space="preserve"> </w:t>
      </w:r>
      <w:r w:rsidRPr="002029AF">
        <w:t>new</w:t>
      </w:r>
      <w:r w:rsidR="000A5329" w:rsidRPr="002029AF">
        <w:t xml:space="preserve"> </w:t>
      </w:r>
      <w:r w:rsidRPr="002029AF">
        <w:t>contracts</w:t>
      </w:r>
      <w:r w:rsidR="000A5329" w:rsidRPr="002029AF">
        <w:t xml:space="preserve"> </w:t>
      </w:r>
      <w:r w:rsidRPr="002029AF">
        <w:t>entered</w:t>
      </w:r>
      <w:r w:rsidR="000A5329" w:rsidRPr="002029AF">
        <w:t xml:space="preserve"> </w:t>
      </w:r>
      <w:r w:rsidRPr="002029AF">
        <w:t>into</w:t>
      </w:r>
      <w:r w:rsidR="000A5329" w:rsidRPr="002029AF">
        <w:t xml:space="preserve"> </w:t>
      </w:r>
      <w:r w:rsidRPr="002029AF">
        <w:t>on</w:t>
      </w:r>
      <w:r w:rsidR="000A5329" w:rsidRPr="002029AF">
        <w:t xml:space="preserve"> </w:t>
      </w:r>
      <w:r w:rsidRPr="002029AF">
        <w:t>or</w:t>
      </w:r>
      <w:r w:rsidR="000A5329" w:rsidRPr="002029AF">
        <w:t xml:space="preserve"> </w:t>
      </w:r>
      <w:r w:rsidRPr="002029AF">
        <w:t>after</w:t>
      </w:r>
      <w:r w:rsidR="000A5329" w:rsidRPr="002029AF">
        <w:t xml:space="preserve"> </w:t>
      </w:r>
      <w:r w:rsidRPr="002029AF">
        <w:t>1</w:t>
      </w:r>
      <w:r w:rsidR="000A5329" w:rsidRPr="002029AF">
        <w:t xml:space="preserve"> </w:t>
      </w:r>
      <w:r w:rsidRPr="002029AF">
        <w:t>July</w:t>
      </w:r>
      <w:r w:rsidR="000A5329" w:rsidRPr="002029AF">
        <w:t xml:space="preserve"> </w:t>
      </w:r>
      <w:r w:rsidRPr="002029AF">
        <w:t>2019,</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considers</w:t>
      </w:r>
      <w:r w:rsidR="000A5329" w:rsidRPr="002029AF">
        <w:t xml:space="preserve"> </w:t>
      </w:r>
      <w:r w:rsidRPr="002029AF">
        <w:t>whether</w:t>
      </w:r>
      <w:r w:rsidR="000A5329" w:rsidRPr="002029AF">
        <w:t xml:space="preserve"> </w:t>
      </w:r>
      <w:r w:rsidRPr="002029AF">
        <w:t>a</w:t>
      </w:r>
      <w:r w:rsidR="000A5329" w:rsidRPr="002029AF">
        <w:t xml:space="preserve"> </w:t>
      </w:r>
      <w:r w:rsidRPr="002029AF">
        <w:t>contract</w:t>
      </w:r>
      <w:r w:rsidR="000A5329" w:rsidRPr="002029AF">
        <w:t xml:space="preserve"> </w:t>
      </w:r>
      <w:r w:rsidRPr="002029AF">
        <w:t>is,</w:t>
      </w:r>
      <w:r w:rsidR="000A5329" w:rsidRPr="002029AF">
        <w:t xml:space="preserve"> </w:t>
      </w:r>
      <w:r w:rsidRPr="002029AF">
        <w:t>or</w:t>
      </w:r>
      <w:r w:rsidR="000A5329" w:rsidRPr="002029AF">
        <w:t xml:space="preserve"> </w:t>
      </w:r>
      <w:r w:rsidRPr="002029AF">
        <w:t>contains</w:t>
      </w:r>
      <w:r w:rsidR="000A5329" w:rsidRPr="002029AF">
        <w:t xml:space="preserve"> </w:t>
      </w:r>
      <w:r w:rsidRPr="002029AF">
        <w:t>a</w:t>
      </w:r>
      <w:r w:rsidR="000A5329" w:rsidRPr="002029AF">
        <w:t xml:space="preserve"> </w:t>
      </w:r>
      <w:r w:rsidRPr="002029AF">
        <w:t>lease.</w:t>
      </w:r>
      <w:r w:rsidR="000A5329" w:rsidRPr="002029AF">
        <w:t xml:space="preserve"> </w:t>
      </w:r>
      <w:r w:rsidRPr="002029AF">
        <w:t>A</w:t>
      </w:r>
      <w:r w:rsidR="000A5329" w:rsidRPr="002029AF">
        <w:t xml:space="preserve"> </w:t>
      </w:r>
      <w:r w:rsidRPr="002029AF">
        <w:t>lease</w:t>
      </w:r>
      <w:r w:rsidR="000A5329" w:rsidRPr="002029AF">
        <w:t xml:space="preserve"> </w:t>
      </w:r>
      <w:r w:rsidRPr="002029AF">
        <w:t>is</w:t>
      </w:r>
      <w:r w:rsidR="000A5329" w:rsidRPr="002029AF">
        <w:t xml:space="preserve"> </w:t>
      </w:r>
      <w:r w:rsidRPr="002029AF">
        <w:t>defined</w:t>
      </w:r>
      <w:r w:rsidR="000A5329" w:rsidRPr="002029AF">
        <w:t xml:space="preserve"> </w:t>
      </w:r>
      <w:r w:rsidRPr="002029AF">
        <w:t>as</w:t>
      </w:r>
      <w:r w:rsidR="000A5329" w:rsidRPr="002029AF">
        <w:t xml:space="preserve"> </w:t>
      </w:r>
      <w:r w:rsidRPr="002029AF">
        <w:t>‘a</w:t>
      </w:r>
      <w:r w:rsidR="000A5329" w:rsidRPr="002029AF">
        <w:t xml:space="preserve"> </w:t>
      </w:r>
      <w:r w:rsidRPr="002029AF">
        <w:t>contract,</w:t>
      </w:r>
      <w:r w:rsidR="000A5329" w:rsidRPr="002029AF">
        <w:t xml:space="preserve"> </w:t>
      </w:r>
      <w:r w:rsidRPr="002029AF">
        <w:t>or</w:t>
      </w:r>
      <w:r w:rsidR="000A5329" w:rsidRPr="002029AF">
        <w:t xml:space="preserve"> </w:t>
      </w:r>
      <w:r w:rsidRPr="002029AF">
        <w:t>part</w:t>
      </w:r>
      <w:r w:rsidR="000A5329" w:rsidRPr="002029AF">
        <w:t xml:space="preserve"> </w:t>
      </w:r>
      <w:r w:rsidRPr="002029AF">
        <w:t>of</w:t>
      </w:r>
      <w:r w:rsidR="000A5329" w:rsidRPr="002029AF">
        <w:t xml:space="preserve"> </w:t>
      </w:r>
      <w:r w:rsidRPr="002029AF">
        <w:t>a</w:t>
      </w:r>
      <w:r w:rsidR="000A5329" w:rsidRPr="002029AF">
        <w:t xml:space="preserve"> </w:t>
      </w:r>
      <w:r w:rsidRPr="002029AF">
        <w:t>contract,</w:t>
      </w:r>
      <w:r w:rsidR="000A5329" w:rsidRPr="002029AF">
        <w:t xml:space="preserve"> </w:t>
      </w:r>
      <w:r w:rsidRPr="002029AF">
        <w:t>that</w:t>
      </w:r>
      <w:r w:rsidR="000A5329" w:rsidRPr="002029AF">
        <w:t xml:space="preserve"> </w:t>
      </w:r>
      <w:r w:rsidRPr="002029AF">
        <w:t>conveys</w:t>
      </w:r>
      <w:r w:rsidR="000A5329" w:rsidRPr="002029AF">
        <w:t xml:space="preserve"> </w:t>
      </w:r>
      <w:r w:rsidRPr="002029AF">
        <w:t>the</w:t>
      </w:r>
      <w:r w:rsidR="000A5329" w:rsidRPr="002029AF">
        <w:t xml:space="preserve"> </w:t>
      </w:r>
      <w:r w:rsidRPr="002029AF">
        <w:t>right</w:t>
      </w:r>
      <w:r w:rsidR="000A5329" w:rsidRPr="002029AF">
        <w:t xml:space="preserve"> </w:t>
      </w:r>
      <w:r w:rsidRPr="002029AF">
        <w:t>to</w:t>
      </w:r>
      <w:r w:rsidR="000A5329" w:rsidRPr="002029AF">
        <w:t xml:space="preserve"> </w:t>
      </w:r>
      <w:r w:rsidRPr="002029AF">
        <w:t>use</w:t>
      </w:r>
      <w:r w:rsidR="000A5329" w:rsidRPr="002029AF">
        <w:t xml:space="preserve"> </w:t>
      </w:r>
      <w:r w:rsidRPr="002029AF">
        <w:t>an</w:t>
      </w:r>
      <w:r w:rsidR="000A5329" w:rsidRPr="002029AF">
        <w:t xml:space="preserve"> </w:t>
      </w:r>
      <w:r w:rsidRPr="002029AF">
        <w:t>asset</w:t>
      </w:r>
      <w:r w:rsidR="000A5329" w:rsidRPr="002029AF">
        <w:t xml:space="preserve"> </w:t>
      </w:r>
      <w:r w:rsidRPr="002029AF">
        <w:t>(the</w:t>
      </w:r>
      <w:r w:rsidR="000A5329" w:rsidRPr="002029AF">
        <w:t xml:space="preserve"> </w:t>
      </w:r>
      <w:r w:rsidRPr="002029AF">
        <w:t>underlying</w:t>
      </w:r>
      <w:r w:rsidR="000A5329" w:rsidRPr="002029AF">
        <w:t xml:space="preserve"> </w:t>
      </w:r>
      <w:r w:rsidRPr="002029AF">
        <w:t>asset)</w:t>
      </w:r>
      <w:r w:rsidR="000A5329" w:rsidRPr="002029AF">
        <w:t xml:space="preserve"> </w:t>
      </w:r>
      <w:r w:rsidRPr="002029AF">
        <w:t>for</w:t>
      </w:r>
      <w:r w:rsidR="000A5329" w:rsidRPr="002029AF">
        <w:t xml:space="preserve"> </w:t>
      </w:r>
      <w:r w:rsidRPr="002029AF">
        <w:t>a</w:t>
      </w:r>
      <w:r w:rsidR="000A5329" w:rsidRPr="002029AF">
        <w:t xml:space="preserve"> </w:t>
      </w:r>
      <w:r w:rsidRPr="002029AF">
        <w:t>period</w:t>
      </w:r>
      <w:r w:rsidR="000A5329" w:rsidRPr="002029AF">
        <w:t xml:space="preserve"> </w:t>
      </w:r>
      <w:r w:rsidRPr="002029AF">
        <w:t>of</w:t>
      </w:r>
      <w:r w:rsidR="000A5329" w:rsidRPr="002029AF">
        <w:t xml:space="preserve"> </w:t>
      </w:r>
      <w:r w:rsidRPr="002029AF">
        <w:t>time</w:t>
      </w:r>
      <w:r w:rsidR="000A5329" w:rsidRPr="002029AF">
        <w:t xml:space="preserve"> </w:t>
      </w:r>
      <w:r w:rsidRPr="002029AF">
        <w:t>in</w:t>
      </w:r>
      <w:r w:rsidR="000A5329" w:rsidRPr="002029AF">
        <w:t xml:space="preserve"> </w:t>
      </w:r>
      <w:r w:rsidRPr="002029AF">
        <w:t>exchange</w:t>
      </w:r>
      <w:r w:rsidR="000A5329" w:rsidRPr="002029AF">
        <w:t xml:space="preserve"> </w:t>
      </w:r>
      <w:r w:rsidRPr="002029AF">
        <w:t>for</w:t>
      </w:r>
      <w:r w:rsidR="000A5329" w:rsidRPr="002029AF">
        <w:t xml:space="preserve"> </w:t>
      </w:r>
      <w:r w:rsidRPr="002029AF">
        <w:t>consideration’.</w:t>
      </w:r>
      <w:r w:rsidR="000A5329" w:rsidRPr="002029AF">
        <w:t xml:space="preserve"> </w:t>
      </w:r>
      <w:r w:rsidRPr="002029AF">
        <w:t>To</w:t>
      </w:r>
      <w:r w:rsidR="000A5329" w:rsidRPr="002029AF">
        <w:t xml:space="preserve"> </w:t>
      </w:r>
      <w:r w:rsidRPr="002029AF">
        <w:t>apply</w:t>
      </w:r>
      <w:r w:rsidR="000A5329" w:rsidRPr="002029AF">
        <w:t xml:space="preserve"> </w:t>
      </w:r>
      <w:r w:rsidRPr="002029AF">
        <w:t>this</w:t>
      </w:r>
      <w:r w:rsidR="000A5329" w:rsidRPr="002029AF">
        <w:t xml:space="preserve"> </w:t>
      </w:r>
      <w:r w:rsidRPr="002029AF">
        <w:t>definition,</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assesses</w:t>
      </w:r>
      <w:r w:rsidR="000A5329" w:rsidRPr="002029AF">
        <w:t xml:space="preserve"> </w:t>
      </w:r>
      <w:r w:rsidRPr="002029AF">
        <w:t>whether</w:t>
      </w:r>
      <w:r w:rsidR="000A5329" w:rsidRPr="002029AF">
        <w:t xml:space="preserve"> </w:t>
      </w:r>
      <w:r w:rsidRPr="002029AF">
        <w:t>the</w:t>
      </w:r>
      <w:r w:rsidR="000A5329" w:rsidRPr="002029AF">
        <w:t xml:space="preserve"> </w:t>
      </w:r>
      <w:r w:rsidRPr="002029AF">
        <w:t>contract</w:t>
      </w:r>
      <w:r w:rsidR="000A5329" w:rsidRPr="002029AF">
        <w:t xml:space="preserve"> </w:t>
      </w:r>
      <w:r w:rsidRPr="002029AF">
        <w:t>meets</w:t>
      </w:r>
      <w:r w:rsidR="000A5329" w:rsidRPr="002029AF">
        <w:t xml:space="preserve"> </w:t>
      </w:r>
      <w:r w:rsidRPr="002029AF">
        <w:t>three</w:t>
      </w:r>
      <w:r w:rsidR="000A5329" w:rsidRPr="002029AF">
        <w:t xml:space="preserve"> </w:t>
      </w:r>
      <w:r w:rsidRPr="002029AF">
        <w:t>key</w:t>
      </w:r>
      <w:r w:rsidR="000A5329" w:rsidRPr="002029AF">
        <w:t xml:space="preserve"> </w:t>
      </w:r>
      <w:r w:rsidRPr="002029AF">
        <w:t>evaluations:</w:t>
      </w:r>
    </w:p>
    <w:p w14:paraId="4B10617A" w14:textId="5D59FA64" w:rsidR="00087B91" w:rsidRPr="002029AF" w:rsidRDefault="00087B91" w:rsidP="00087B91">
      <w:pPr>
        <w:pStyle w:val="ARfinbullet1"/>
      </w:pPr>
      <w:r w:rsidRPr="002029AF">
        <w:t>Whether</w:t>
      </w:r>
      <w:r w:rsidR="000A5329" w:rsidRPr="002029AF">
        <w:t xml:space="preserve"> </w:t>
      </w:r>
      <w:r w:rsidRPr="002029AF">
        <w:t>the</w:t>
      </w:r>
      <w:r w:rsidR="000A5329" w:rsidRPr="002029AF">
        <w:t xml:space="preserve"> </w:t>
      </w:r>
      <w:r w:rsidRPr="002029AF">
        <w:t>contract</w:t>
      </w:r>
      <w:r w:rsidR="000A5329" w:rsidRPr="002029AF">
        <w:t xml:space="preserve"> </w:t>
      </w:r>
      <w:r w:rsidRPr="002029AF">
        <w:t>contains</w:t>
      </w:r>
      <w:r w:rsidR="000A5329" w:rsidRPr="002029AF">
        <w:t xml:space="preserve"> </w:t>
      </w:r>
      <w:r w:rsidRPr="002029AF">
        <w:t>an</w:t>
      </w:r>
      <w:r w:rsidR="000A5329" w:rsidRPr="002029AF">
        <w:t xml:space="preserve"> </w:t>
      </w:r>
      <w:r w:rsidRPr="002029AF">
        <w:t>identified</w:t>
      </w:r>
      <w:r w:rsidR="000A5329" w:rsidRPr="002029AF">
        <w:t xml:space="preserve"> </w:t>
      </w:r>
      <w:r w:rsidRPr="002029AF">
        <w:t>asset,</w:t>
      </w:r>
      <w:r w:rsidR="000A5329" w:rsidRPr="002029AF">
        <w:t xml:space="preserve"> </w:t>
      </w:r>
      <w:r w:rsidRPr="002029AF">
        <w:t>which</w:t>
      </w:r>
      <w:r w:rsidR="000A5329" w:rsidRPr="002029AF">
        <w:t xml:space="preserve"> </w:t>
      </w:r>
      <w:r w:rsidRPr="002029AF">
        <w:t>is</w:t>
      </w:r>
      <w:r w:rsidR="000A5329" w:rsidRPr="002029AF">
        <w:t xml:space="preserve"> </w:t>
      </w:r>
      <w:r w:rsidRPr="002029AF">
        <w:t>either</w:t>
      </w:r>
      <w:r w:rsidR="000A5329" w:rsidRPr="002029AF">
        <w:t xml:space="preserve"> </w:t>
      </w:r>
      <w:r w:rsidRPr="002029AF">
        <w:t>explicitly</w:t>
      </w:r>
      <w:r w:rsidR="000A5329" w:rsidRPr="002029AF">
        <w:t xml:space="preserve"> </w:t>
      </w:r>
      <w:r w:rsidRPr="002029AF">
        <w:t>identified</w:t>
      </w:r>
      <w:r w:rsidR="000A5329" w:rsidRPr="002029AF">
        <w:t xml:space="preserve"> </w:t>
      </w:r>
      <w:r w:rsidRPr="002029AF">
        <w:t>in</w:t>
      </w:r>
      <w:r w:rsidR="000A5329" w:rsidRPr="002029AF">
        <w:t xml:space="preserve"> </w:t>
      </w:r>
      <w:r w:rsidRPr="002029AF">
        <w:t>the</w:t>
      </w:r>
      <w:r w:rsidR="000A5329" w:rsidRPr="002029AF">
        <w:t xml:space="preserve"> </w:t>
      </w:r>
      <w:r w:rsidRPr="002029AF">
        <w:t>contract</w:t>
      </w:r>
      <w:r w:rsidR="000A5329" w:rsidRPr="002029AF">
        <w:t xml:space="preserve"> </w:t>
      </w:r>
      <w:r w:rsidRPr="002029AF">
        <w:t>or</w:t>
      </w:r>
      <w:r w:rsidR="000A5329" w:rsidRPr="002029AF">
        <w:t xml:space="preserve"> </w:t>
      </w:r>
      <w:r w:rsidRPr="002029AF">
        <w:t>implicitly</w:t>
      </w:r>
      <w:r w:rsidR="000A5329" w:rsidRPr="002029AF">
        <w:t xml:space="preserve"> </w:t>
      </w:r>
      <w:r w:rsidRPr="002029AF">
        <w:t>specified</w:t>
      </w:r>
      <w:r w:rsidR="000A5329" w:rsidRPr="002029AF">
        <w:t xml:space="preserve"> </w:t>
      </w:r>
      <w:r w:rsidRPr="002029AF">
        <w:t>by</w:t>
      </w:r>
      <w:r w:rsidR="000A5329" w:rsidRPr="002029AF">
        <w:t xml:space="preserve"> </w:t>
      </w:r>
      <w:r w:rsidRPr="002029AF">
        <w:t>being</w:t>
      </w:r>
      <w:r w:rsidR="000A5329" w:rsidRPr="002029AF">
        <w:t xml:space="preserve"> </w:t>
      </w:r>
      <w:r w:rsidRPr="002029AF">
        <w:t>identified</w:t>
      </w:r>
      <w:r w:rsidR="000A5329" w:rsidRPr="002029AF">
        <w:t xml:space="preserve"> </w:t>
      </w:r>
      <w:r w:rsidRPr="002029AF">
        <w:t>at</w:t>
      </w:r>
      <w:r w:rsidR="000A5329" w:rsidRPr="002029AF">
        <w:t xml:space="preserve"> </w:t>
      </w:r>
      <w:r w:rsidRPr="002029AF">
        <w:t>the</w:t>
      </w:r>
      <w:r w:rsidR="000A5329" w:rsidRPr="002029AF">
        <w:t xml:space="preserve"> </w:t>
      </w:r>
      <w:r w:rsidRPr="002029AF">
        <w:t>time</w:t>
      </w:r>
      <w:r w:rsidR="000A5329" w:rsidRPr="002029AF">
        <w:t xml:space="preserve"> </w:t>
      </w:r>
      <w:r w:rsidRPr="002029AF">
        <w:t>the</w:t>
      </w:r>
      <w:r w:rsidR="000A5329" w:rsidRPr="002029AF">
        <w:t xml:space="preserve"> </w:t>
      </w:r>
      <w:r w:rsidRPr="002029AF">
        <w:t>asset</w:t>
      </w:r>
      <w:r w:rsidR="000A5329" w:rsidRPr="002029AF">
        <w:t xml:space="preserve"> </w:t>
      </w:r>
      <w:r w:rsidRPr="002029AF">
        <w:t>is</w:t>
      </w:r>
      <w:r w:rsidR="000A5329" w:rsidRPr="002029AF">
        <w:t xml:space="preserve"> </w:t>
      </w:r>
      <w:r w:rsidRPr="002029AF">
        <w:t>made</w:t>
      </w:r>
      <w:r w:rsidR="000A5329" w:rsidRPr="002029AF">
        <w:t xml:space="preserve"> </w:t>
      </w:r>
      <w:r w:rsidRPr="002029AF">
        <w:t>available</w:t>
      </w:r>
      <w:r w:rsidR="000A5329" w:rsidRPr="002029AF">
        <w:t xml:space="preserve"> </w:t>
      </w:r>
      <w:r w:rsidRPr="002029AF">
        <w:t>to</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and</w:t>
      </w:r>
      <w:r w:rsidR="000A5329" w:rsidRPr="002029AF">
        <w:t xml:space="preserve"> </w:t>
      </w:r>
      <w:r w:rsidRPr="002029AF">
        <w:t>for</w:t>
      </w:r>
      <w:r w:rsidR="000A5329" w:rsidRPr="002029AF">
        <w:t xml:space="preserve"> </w:t>
      </w:r>
      <w:r w:rsidRPr="002029AF">
        <w:t>which</w:t>
      </w:r>
      <w:r w:rsidR="000A5329" w:rsidRPr="002029AF">
        <w:t xml:space="preserve"> </w:t>
      </w:r>
      <w:r w:rsidRPr="002029AF">
        <w:t>the</w:t>
      </w:r>
      <w:r w:rsidR="000A5329" w:rsidRPr="002029AF">
        <w:t xml:space="preserve"> </w:t>
      </w:r>
      <w:r w:rsidRPr="002029AF">
        <w:t>supplier</w:t>
      </w:r>
      <w:r w:rsidR="000A5329" w:rsidRPr="002029AF">
        <w:t xml:space="preserve"> </w:t>
      </w:r>
      <w:r w:rsidRPr="002029AF">
        <w:t>does</w:t>
      </w:r>
      <w:r w:rsidR="000A5329" w:rsidRPr="002029AF">
        <w:t xml:space="preserve"> </w:t>
      </w:r>
      <w:r w:rsidRPr="002029AF">
        <w:t>not</w:t>
      </w:r>
      <w:r w:rsidR="000A5329" w:rsidRPr="002029AF">
        <w:t xml:space="preserve"> </w:t>
      </w:r>
      <w:r w:rsidRPr="002029AF">
        <w:t>have</w:t>
      </w:r>
      <w:r w:rsidR="000A5329" w:rsidRPr="002029AF">
        <w:t xml:space="preserve"> </w:t>
      </w:r>
      <w:r w:rsidRPr="002029AF">
        <w:t>substantive</w:t>
      </w:r>
      <w:r w:rsidR="000A5329" w:rsidRPr="002029AF">
        <w:t xml:space="preserve"> </w:t>
      </w:r>
      <w:r w:rsidRPr="002029AF">
        <w:t>substitution</w:t>
      </w:r>
      <w:r w:rsidR="000A5329" w:rsidRPr="002029AF">
        <w:t xml:space="preserve"> </w:t>
      </w:r>
      <w:r w:rsidRPr="002029AF">
        <w:t>rights</w:t>
      </w:r>
    </w:p>
    <w:p w14:paraId="4E785053" w14:textId="7D05B75B" w:rsidR="00087B91" w:rsidRPr="002029AF" w:rsidRDefault="00087B91" w:rsidP="00087B91">
      <w:pPr>
        <w:pStyle w:val="ARfinbullet1"/>
      </w:pPr>
      <w:r w:rsidRPr="002029AF">
        <w:t>Whether</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the</w:t>
      </w:r>
      <w:r w:rsidR="000A5329" w:rsidRPr="002029AF">
        <w:t xml:space="preserve"> </w:t>
      </w:r>
      <w:r w:rsidRPr="002029AF">
        <w:t>right</w:t>
      </w:r>
      <w:r w:rsidR="000A5329" w:rsidRPr="002029AF">
        <w:t xml:space="preserve"> </w:t>
      </w:r>
      <w:r w:rsidRPr="002029AF">
        <w:t>to</w:t>
      </w:r>
      <w:r w:rsidR="000A5329" w:rsidRPr="002029AF">
        <w:t xml:space="preserve"> </w:t>
      </w:r>
      <w:r w:rsidRPr="002029AF">
        <w:t>obtain</w:t>
      </w:r>
      <w:r w:rsidR="000A5329" w:rsidRPr="002029AF">
        <w:t xml:space="preserve"> </w:t>
      </w:r>
      <w:r w:rsidRPr="002029AF">
        <w:t>substantially</w:t>
      </w:r>
      <w:r w:rsidR="000A5329" w:rsidRPr="002029AF">
        <w:t xml:space="preserve"> </w:t>
      </w:r>
      <w:r w:rsidRPr="002029AF">
        <w:t>all</w:t>
      </w:r>
      <w:r w:rsidR="000A5329" w:rsidRPr="002029AF">
        <w:t xml:space="preserve"> </w:t>
      </w:r>
      <w:r w:rsidRPr="002029AF">
        <w:t>of</w:t>
      </w:r>
      <w:r w:rsidR="000A5329" w:rsidRPr="002029AF">
        <w:t xml:space="preserve"> </w:t>
      </w:r>
      <w:r w:rsidRPr="002029AF">
        <w:t>the</w:t>
      </w:r>
      <w:r w:rsidR="000A5329" w:rsidRPr="002029AF">
        <w:t xml:space="preserve"> </w:t>
      </w:r>
      <w:r w:rsidRPr="002029AF">
        <w:t>economic</w:t>
      </w:r>
      <w:r w:rsidR="000A5329" w:rsidRPr="002029AF">
        <w:t xml:space="preserve"> </w:t>
      </w:r>
      <w:r w:rsidRPr="002029AF">
        <w:t>benefits</w:t>
      </w:r>
      <w:r w:rsidR="000A5329" w:rsidRPr="002029AF">
        <w:t xml:space="preserve"> </w:t>
      </w:r>
      <w:r w:rsidRPr="002029AF">
        <w:t>from</w:t>
      </w:r>
      <w:r w:rsidR="000A5329" w:rsidRPr="002029AF">
        <w:t xml:space="preserve"> </w:t>
      </w:r>
      <w:r w:rsidRPr="002029AF">
        <w:t>use</w:t>
      </w:r>
      <w:r w:rsidR="000A5329" w:rsidRPr="002029AF">
        <w:t xml:space="preserve"> </w:t>
      </w:r>
      <w:r w:rsidRPr="002029AF">
        <w:t>of</w:t>
      </w:r>
      <w:r w:rsidR="000A5329" w:rsidRPr="002029AF">
        <w:t xml:space="preserve"> </w:t>
      </w:r>
      <w:r w:rsidRPr="002029AF">
        <w:t>the</w:t>
      </w:r>
      <w:r w:rsidR="000A5329" w:rsidRPr="002029AF">
        <w:t xml:space="preserve"> </w:t>
      </w:r>
      <w:r w:rsidRPr="002029AF">
        <w:t>identified</w:t>
      </w:r>
      <w:r w:rsidR="000A5329" w:rsidRPr="002029AF">
        <w:t xml:space="preserve"> </w:t>
      </w:r>
      <w:r w:rsidRPr="002029AF">
        <w:t>asset</w:t>
      </w:r>
      <w:r w:rsidR="000A5329" w:rsidRPr="002029AF">
        <w:t xml:space="preserve"> </w:t>
      </w:r>
      <w:r w:rsidRPr="002029AF">
        <w:t>throughout</w:t>
      </w:r>
      <w:r w:rsidR="000A5329" w:rsidRPr="002029AF">
        <w:t xml:space="preserve"> </w:t>
      </w:r>
      <w:r w:rsidRPr="002029AF">
        <w:t>the</w:t>
      </w:r>
      <w:r w:rsidR="000A5329" w:rsidRPr="002029AF">
        <w:t xml:space="preserve"> </w:t>
      </w:r>
      <w:r w:rsidRPr="002029AF">
        <w:t>period</w:t>
      </w:r>
      <w:r w:rsidR="000A5329" w:rsidRPr="002029AF">
        <w:t xml:space="preserve"> </w:t>
      </w:r>
      <w:r w:rsidRPr="002029AF">
        <w:t>of</w:t>
      </w:r>
      <w:r w:rsidR="000A5329" w:rsidRPr="002029AF">
        <w:t xml:space="preserve"> </w:t>
      </w:r>
      <w:r w:rsidRPr="002029AF">
        <w:t>use,</w:t>
      </w:r>
      <w:r w:rsidR="000A5329" w:rsidRPr="002029AF">
        <w:t xml:space="preserve"> </w:t>
      </w:r>
      <w:r w:rsidRPr="002029AF">
        <w:t>considering</w:t>
      </w:r>
      <w:r w:rsidR="000A5329" w:rsidRPr="002029AF">
        <w:t xml:space="preserve"> </w:t>
      </w:r>
      <w:r w:rsidRPr="002029AF">
        <w:t>its</w:t>
      </w:r>
      <w:r w:rsidR="000A5329" w:rsidRPr="002029AF">
        <w:t xml:space="preserve"> </w:t>
      </w:r>
      <w:r w:rsidRPr="002029AF">
        <w:t>rights</w:t>
      </w:r>
      <w:r w:rsidR="000A5329" w:rsidRPr="002029AF">
        <w:t xml:space="preserve"> </w:t>
      </w:r>
      <w:r w:rsidRPr="002029AF">
        <w:t>within</w:t>
      </w:r>
      <w:r w:rsidR="000A5329" w:rsidRPr="002029AF">
        <w:t xml:space="preserve"> </w:t>
      </w:r>
      <w:r w:rsidRPr="002029AF">
        <w:t>the</w:t>
      </w:r>
      <w:r w:rsidR="000A5329" w:rsidRPr="002029AF">
        <w:t xml:space="preserve"> </w:t>
      </w:r>
      <w:r w:rsidRPr="002029AF">
        <w:t>defined</w:t>
      </w:r>
      <w:r w:rsidR="000A5329" w:rsidRPr="002029AF">
        <w:t xml:space="preserve"> </w:t>
      </w:r>
      <w:r w:rsidRPr="002029AF">
        <w:t>scope</w:t>
      </w:r>
      <w:r w:rsidR="000A5329" w:rsidRPr="002029AF">
        <w:t xml:space="preserve"> </w:t>
      </w:r>
      <w:r w:rsidRPr="002029AF">
        <w:t>of</w:t>
      </w:r>
      <w:r w:rsidR="000A5329" w:rsidRPr="002029AF">
        <w:t xml:space="preserve"> </w:t>
      </w:r>
      <w:r w:rsidRPr="002029AF">
        <w:t>the</w:t>
      </w:r>
      <w:r w:rsidR="000A5329" w:rsidRPr="002029AF">
        <w:t xml:space="preserve"> </w:t>
      </w:r>
      <w:r w:rsidRPr="002029AF">
        <w:t>contract</w:t>
      </w:r>
      <w:r w:rsidR="000A5329" w:rsidRPr="002029AF">
        <w:t xml:space="preserve"> </w:t>
      </w:r>
      <w:r w:rsidRPr="002029AF">
        <w:t>and</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the</w:t>
      </w:r>
      <w:r w:rsidR="000A5329" w:rsidRPr="002029AF">
        <w:t xml:space="preserve"> </w:t>
      </w:r>
      <w:r w:rsidRPr="002029AF">
        <w:t>right</w:t>
      </w:r>
      <w:r w:rsidR="000A5329" w:rsidRPr="002029AF">
        <w:t xml:space="preserve"> </w:t>
      </w:r>
      <w:r w:rsidRPr="002029AF">
        <w:t>to</w:t>
      </w:r>
      <w:r w:rsidR="000A5329" w:rsidRPr="002029AF">
        <w:t xml:space="preserve"> </w:t>
      </w:r>
      <w:r w:rsidRPr="002029AF">
        <w:t>direct</w:t>
      </w:r>
      <w:r w:rsidR="000A5329" w:rsidRPr="002029AF">
        <w:t xml:space="preserve"> </w:t>
      </w:r>
      <w:r w:rsidRPr="002029AF">
        <w:t>the</w:t>
      </w:r>
      <w:r w:rsidR="000A5329" w:rsidRPr="002029AF">
        <w:t xml:space="preserve"> </w:t>
      </w:r>
      <w:r w:rsidRPr="002029AF">
        <w:t>use</w:t>
      </w:r>
      <w:r w:rsidR="000A5329" w:rsidRPr="002029AF">
        <w:t xml:space="preserve"> </w:t>
      </w:r>
      <w:r w:rsidRPr="002029AF">
        <w:t>of</w:t>
      </w:r>
      <w:r w:rsidR="000A5329" w:rsidRPr="002029AF">
        <w:t xml:space="preserve"> </w:t>
      </w:r>
      <w:r w:rsidRPr="002029AF">
        <w:t>the</w:t>
      </w:r>
      <w:r w:rsidR="000A5329" w:rsidRPr="002029AF">
        <w:t xml:space="preserve"> </w:t>
      </w:r>
      <w:r w:rsidRPr="002029AF">
        <w:t>identified</w:t>
      </w:r>
      <w:r w:rsidR="000A5329" w:rsidRPr="002029AF">
        <w:t xml:space="preserve"> </w:t>
      </w:r>
      <w:r w:rsidRPr="002029AF">
        <w:t>asset</w:t>
      </w:r>
      <w:r w:rsidR="000A5329" w:rsidRPr="002029AF">
        <w:t xml:space="preserve"> </w:t>
      </w:r>
      <w:r w:rsidRPr="002029AF">
        <w:t>throughout</w:t>
      </w:r>
      <w:r w:rsidR="000A5329" w:rsidRPr="002029AF">
        <w:t xml:space="preserve"> </w:t>
      </w:r>
      <w:r w:rsidRPr="002029AF">
        <w:t>the</w:t>
      </w:r>
      <w:r w:rsidR="000A5329" w:rsidRPr="002029AF">
        <w:t xml:space="preserve"> </w:t>
      </w:r>
      <w:r w:rsidRPr="002029AF">
        <w:t>period</w:t>
      </w:r>
      <w:r w:rsidR="000A5329" w:rsidRPr="002029AF">
        <w:t xml:space="preserve"> </w:t>
      </w:r>
      <w:r w:rsidRPr="002029AF">
        <w:t>of</w:t>
      </w:r>
      <w:r w:rsidR="000A5329" w:rsidRPr="002029AF">
        <w:t xml:space="preserve"> </w:t>
      </w:r>
      <w:r w:rsidRPr="002029AF">
        <w:t>use,</w:t>
      </w:r>
      <w:r w:rsidR="000A5329" w:rsidRPr="002029AF">
        <w:t xml:space="preserve"> </w:t>
      </w:r>
      <w:r w:rsidRPr="002029AF">
        <w:t>and</w:t>
      </w:r>
    </w:p>
    <w:p w14:paraId="78AE532B" w14:textId="6B63A999" w:rsidR="00087B91" w:rsidRPr="002029AF" w:rsidRDefault="00087B91" w:rsidP="00087B91">
      <w:pPr>
        <w:pStyle w:val="ARfinbullet1"/>
      </w:pPr>
      <w:r w:rsidRPr="002029AF">
        <w:t>Whether</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the</w:t>
      </w:r>
      <w:r w:rsidR="000A5329" w:rsidRPr="002029AF">
        <w:t xml:space="preserve"> </w:t>
      </w:r>
      <w:r w:rsidRPr="002029AF">
        <w:t>right</w:t>
      </w:r>
      <w:r w:rsidR="000A5329" w:rsidRPr="002029AF">
        <w:t xml:space="preserve"> </w:t>
      </w:r>
      <w:r w:rsidRPr="002029AF">
        <w:t>to</w:t>
      </w:r>
      <w:r w:rsidR="000A5329" w:rsidRPr="002029AF">
        <w:t xml:space="preserve"> </w:t>
      </w:r>
      <w:r w:rsidRPr="002029AF">
        <w:t>make</w:t>
      </w:r>
      <w:r w:rsidR="000A5329" w:rsidRPr="002029AF">
        <w:t xml:space="preserve"> </w:t>
      </w:r>
      <w:r w:rsidRPr="002029AF">
        <w:t>decisions</w:t>
      </w:r>
      <w:r w:rsidR="000A5329" w:rsidRPr="002029AF">
        <w:t xml:space="preserve"> </w:t>
      </w:r>
      <w:r w:rsidRPr="002029AF">
        <w:t>in</w:t>
      </w:r>
      <w:r w:rsidR="000A5329" w:rsidRPr="002029AF">
        <w:t xml:space="preserve"> </w:t>
      </w:r>
      <w:r w:rsidRPr="002029AF">
        <w:t>respect</w:t>
      </w:r>
      <w:r w:rsidR="000A5329" w:rsidRPr="002029AF">
        <w:t xml:space="preserve"> </w:t>
      </w:r>
      <w:r w:rsidRPr="002029AF">
        <w:t>of</w:t>
      </w:r>
      <w:r w:rsidR="000A5329" w:rsidRPr="002029AF">
        <w:t xml:space="preserve"> </w:t>
      </w:r>
      <w:r w:rsidRPr="002029AF">
        <w:t>‘how</w:t>
      </w:r>
      <w:r w:rsidR="000A5329" w:rsidRPr="002029AF">
        <w:t xml:space="preserve"> </w:t>
      </w:r>
      <w:r w:rsidRPr="002029AF">
        <w:t>and</w:t>
      </w:r>
      <w:r w:rsidR="000A5329" w:rsidRPr="002029AF">
        <w:t xml:space="preserve"> </w:t>
      </w:r>
      <w:r w:rsidRPr="002029AF">
        <w:t>for</w:t>
      </w:r>
      <w:r w:rsidR="000A5329" w:rsidRPr="002029AF">
        <w:t xml:space="preserve"> </w:t>
      </w:r>
      <w:r w:rsidRPr="002029AF">
        <w:t>what</w:t>
      </w:r>
      <w:r w:rsidR="000A5329" w:rsidRPr="002029AF">
        <w:t xml:space="preserve"> </w:t>
      </w:r>
      <w:r w:rsidRPr="002029AF">
        <w:t>purpose’</w:t>
      </w:r>
      <w:r w:rsidR="000A5329" w:rsidRPr="002029AF">
        <w:t xml:space="preserve"> </w:t>
      </w:r>
      <w:r w:rsidRPr="002029AF">
        <w:t>the</w:t>
      </w:r>
      <w:r w:rsidR="000A5329" w:rsidRPr="002029AF">
        <w:t xml:space="preserve"> </w:t>
      </w:r>
      <w:r w:rsidRPr="002029AF">
        <w:t>asset</w:t>
      </w:r>
      <w:r w:rsidR="000A5329" w:rsidRPr="002029AF">
        <w:t xml:space="preserve"> </w:t>
      </w:r>
      <w:r w:rsidRPr="002029AF">
        <w:t>is</w:t>
      </w:r>
      <w:r w:rsidR="000A5329" w:rsidRPr="002029AF">
        <w:t xml:space="preserve"> </w:t>
      </w:r>
      <w:r w:rsidRPr="002029AF">
        <w:t>used</w:t>
      </w:r>
      <w:r w:rsidR="000A5329" w:rsidRPr="002029AF">
        <w:t xml:space="preserve"> </w:t>
      </w:r>
      <w:r w:rsidRPr="002029AF">
        <w:t>throughout</w:t>
      </w:r>
      <w:r w:rsidR="000A5329" w:rsidRPr="002029AF">
        <w:t xml:space="preserve"> </w:t>
      </w:r>
      <w:r w:rsidRPr="002029AF">
        <w:t>the</w:t>
      </w:r>
      <w:r w:rsidR="000A5329" w:rsidRPr="002029AF">
        <w:t xml:space="preserve"> </w:t>
      </w:r>
      <w:r w:rsidRPr="002029AF">
        <w:t>period</w:t>
      </w:r>
      <w:r w:rsidR="000A5329" w:rsidRPr="002029AF">
        <w:t xml:space="preserve"> </w:t>
      </w:r>
      <w:r w:rsidRPr="002029AF">
        <w:t>of</w:t>
      </w:r>
      <w:r w:rsidR="000A5329" w:rsidRPr="002029AF">
        <w:t xml:space="preserve"> </w:t>
      </w:r>
      <w:r w:rsidRPr="002029AF">
        <w:t>use.</w:t>
      </w:r>
    </w:p>
    <w:p w14:paraId="52B9A2B7" w14:textId="00985510" w:rsidR="00087B91" w:rsidRPr="002029AF" w:rsidRDefault="00087B91" w:rsidP="00087B91">
      <w:pPr>
        <w:pStyle w:val="ARfinbody"/>
      </w:pPr>
      <w:r w:rsidRPr="002029AF">
        <w:t>This</w:t>
      </w:r>
      <w:r w:rsidR="000A5329" w:rsidRPr="002029AF">
        <w:t xml:space="preserve"> </w:t>
      </w:r>
      <w:r w:rsidRPr="002029AF">
        <w:t>policy</w:t>
      </w:r>
      <w:r w:rsidR="000A5329" w:rsidRPr="002029AF">
        <w:t xml:space="preserve"> </w:t>
      </w:r>
      <w:r w:rsidRPr="002029AF">
        <w:t>is</w:t>
      </w:r>
      <w:r w:rsidR="000A5329" w:rsidRPr="002029AF">
        <w:t xml:space="preserve"> </w:t>
      </w:r>
      <w:r w:rsidRPr="002029AF">
        <w:t>applied</w:t>
      </w:r>
      <w:r w:rsidR="000A5329" w:rsidRPr="002029AF">
        <w:t xml:space="preserve"> </w:t>
      </w:r>
      <w:r w:rsidRPr="002029AF">
        <w:t>to</w:t>
      </w:r>
      <w:r w:rsidR="000A5329" w:rsidRPr="002029AF">
        <w:t xml:space="preserve"> </w:t>
      </w:r>
      <w:r w:rsidRPr="002029AF">
        <w:t>contracts</w:t>
      </w:r>
      <w:r w:rsidR="000A5329" w:rsidRPr="002029AF">
        <w:t xml:space="preserve"> </w:t>
      </w:r>
      <w:r w:rsidRPr="002029AF">
        <w:t>entered</w:t>
      </w:r>
      <w:r w:rsidR="000A5329" w:rsidRPr="002029AF">
        <w:t xml:space="preserve"> </w:t>
      </w:r>
      <w:r w:rsidRPr="002029AF">
        <w:t>into,</w:t>
      </w:r>
      <w:r w:rsidR="000A5329" w:rsidRPr="002029AF">
        <w:t xml:space="preserve"> </w:t>
      </w:r>
      <w:r w:rsidRPr="002029AF">
        <w:t>or</w:t>
      </w:r>
      <w:r w:rsidR="000A5329" w:rsidRPr="002029AF">
        <w:t xml:space="preserve"> </w:t>
      </w:r>
      <w:r w:rsidRPr="002029AF">
        <w:t>changed,</w:t>
      </w:r>
      <w:r w:rsidR="000A5329" w:rsidRPr="002029AF">
        <w:t xml:space="preserve"> </w:t>
      </w:r>
      <w:r w:rsidRPr="002029AF">
        <w:t>on</w:t>
      </w:r>
      <w:r w:rsidR="000A5329" w:rsidRPr="002029AF">
        <w:t xml:space="preserve"> </w:t>
      </w:r>
      <w:r w:rsidRPr="002029AF">
        <w:t>or</w:t>
      </w:r>
      <w:r w:rsidR="000A5329" w:rsidRPr="002029AF">
        <w:t xml:space="preserve"> </w:t>
      </w:r>
      <w:r w:rsidRPr="002029AF">
        <w:t>after</w:t>
      </w:r>
      <w:r w:rsidR="000A5329" w:rsidRPr="002029AF">
        <w:t xml:space="preserve"> </w:t>
      </w:r>
      <w:r w:rsidRPr="002029AF">
        <w:t>1</w:t>
      </w:r>
      <w:r w:rsidR="000A5329" w:rsidRPr="002029AF">
        <w:t xml:space="preserve"> </w:t>
      </w:r>
      <w:r w:rsidRPr="002029AF">
        <w:t>July</w:t>
      </w:r>
      <w:r w:rsidR="000A5329" w:rsidRPr="002029AF">
        <w:t xml:space="preserve"> </w:t>
      </w:r>
      <w:r w:rsidRPr="002029AF">
        <w:t>2019.</w:t>
      </w:r>
    </w:p>
    <w:p w14:paraId="36A41754" w14:textId="0975325B" w:rsidR="00087B91" w:rsidRPr="002029AF" w:rsidRDefault="00087B91" w:rsidP="00087B91">
      <w:pPr>
        <w:pStyle w:val="Heading6"/>
        <w:rPr>
          <w:lang w:val="en-AU"/>
        </w:rPr>
      </w:pPr>
      <w:r w:rsidRPr="002029AF">
        <w:rPr>
          <w:lang w:val="en-AU"/>
        </w:rPr>
        <w:t>Separation</w:t>
      </w:r>
      <w:r w:rsidR="000A5329" w:rsidRPr="002029AF">
        <w:rPr>
          <w:lang w:val="en-AU"/>
        </w:rPr>
        <w:t xml:space="preserve"> </w:t>
      </w:r>
      <w:r w:rsidRPr="002029AF">
        <w:rPr>
          <w:lang w:val="en-AU"/>
        </w:rPr>
        <w:t>of</w:t>
      </w:r>
      <w:r w:rsidR="000A5329" w:rsidRPr="002029AF">
        <w:rPr>
          <w:lang w:val="en-AU"/>
        </w:rPr>
        <w:t xml:space="preserve"> </w:t>
      </w:r>
      <w:r w:rsidRPr="002029AF">
        <w:rPr>
          <w:lang w:val="en-AU"/>
        </w:rPr>
        <w:t>lease</w:t>
      </w:r>
      <w:r w:rsidR="000A5329" w:rsidRPr="002029AF">
        <w:rPr>
          <w:lang w:val="en-AU"/>
        </w:rPr>
        <w:t xml:space="preserve"> </w:t>
      </w:r>
      <w:r w:rsidRPr="002029AF">
        <w:rPr>
          <w:lang w:val="en-AU"/>
        </w:rPr>
        <w:t>and</w:t>
      </w:r>
      <w:r w:rsidR="000A5329" w:rsidRPr="002029AF">
        <w:rPr>
          <w:lang w:val="en-AU"/>
        </w:rPr>
        <w:t xml:space="preserve"> </w:t>
      </w:r>
      <w:r w:rsidRPr="002029AF">
        <w:rPr>
          <w:lang w:val="en-AU"/>
        </w:rPr>
        <w:t>non-lease</w:t>
      </w:r>
      <w:r w:rsidR="000A5329" w:rsidRPr="002029AF">
        <w:rPr>
          <w:lang w:val="en-AU"/>
        </w:rPr>
        <w:t xml:space="preserve"> </w:t>
      </w:r>
      <w:r w:rsidRPr="002029AF">
        <w:rPr>
          <w:lang w:val="en-AU"/>
        </w:rPr>
        <w:t>components</w:t>
      </w:r>
    </w:p>
    <w:p w14:paraId="501FCAFB" w14:textId="0029DB66" w:rsidR="00087B91" w:rsidRPr="002029AF" w:rsidRDefault="00087B91" w:rsidP="00087B91">
      <w:pPr>
        <w:pStyle w:val="ARfinbody"/>
      </w:pPr>
      <w:r w:rsidRPr="002029AF">
        <w:t>At</w:t>
      </w:r>
      <w:r w:rsidR="000A5329" w:rsidRPr="002029AF">
        <w:t xml:space="preserve"> </w:t>
      </w:r>
      <w:r w:rsidRPr="002029AF">
        <w:t>inception</w:t>
      </w:r>
      <w:r w:rsidR="000A5329" w:rsidRPr="002029AF">
        <w:t xml:space="preserve"> </w:t>
      </w:r>
      <w:r w:rsidRPr="002029AF">
        <w:t>or</w:t>
      </w:r>
      <w:r w:rsidR="000A5329" w:rsidRPr="002029AF">
        <w:t xml:space="preserve"> </w:t>
      </w:r>
      <w:r w:rsidRPr="002029AF">
        <w:t>on</w:t>
      </w:r>
      <w:r w:rsidR="000A5329" w:rsidRPr="002029AF">
        <w:t xml:space="preserve"> </w:t>
      </w:r>
      <w:r w:rsidRPr="002029AF">
        <w:t>reassessment</w:t>
      </w:r>
      <w:r w:rsidR="000A5329" w:rsidRPr="002029AF">
        <w:t xml:space="preserve"> </w:t>
      </w:r>
      <w:r w:rsidRPr="002029AF">
        <w:t>of</w:t>
      </w:r>
      <w:r w:rsidR="000A5329" w:rsidRPr="002029AF">
        <w:t xml:space="preserve"> </w:t>
      </w:r>
      <w:r w:rsidRPr="002029AF">
        <w:t>a</w:t>
      </w:r>
      <w:r w:rsidR="000A5329" w:rsidRPr="002029AF">
        <w:t xml:space="preserve"> </w:t>
      </w:r>
      <w:r w:rsidRPr="002029AF">
        <w:t>contract</w:t>
      </w:r>
      <w:r w:rsidR="000A5329" w:rsidRPr="002029AF">
        <w:t xml:space="preserve"> </w:t>
      </w:r>
      <w:r w:rsidRPr="002029AF">
        <w:t>that</w:t>
      </w:r>
      <w:r w:rsidR="000A5329" w:rsidRPr="002029AF">
        <w:t xml:space="preserve"> </w:t>
      </w:r>
      <w:r w:rsidRPr="002029AF">
        <w:t>contains</w:t>
      </w:r>
      <w:r w:rsidR="000A5329" w:rsidRPr="002029AF">
        <w:t xml:space="preserve"> </w:t>
      </w:r>
      <w:r w:rsidRPr="002029AF">
        <w:t>a</w:t>
      </w:r>
      <w:r w:rsidR="000A5329" w:rsidRPr="002029AF">
        <w:t xml:space="preserve"> </w:t>
      </w:r>
      <w:r w:rsidRPr="002029AF">
        <w:t>lease</w:t>
      </w:r>
      <w:r w:rsidR="000A5329" w:rsidRPr="002029AF">
        <w:t xml:space="preserve"> </w:t>
      </w:r>
      <w:r w:rsidRPr="002029AF">
        <w:t>component,</w:t>
      </w:r>
      <w:r w:rsidR="000A5329" w:rsidRPr="002029AF">
        <w:t xml:space="preserve"> </w:t>
      </w:r>
      <w:r w:rsidRPr="002029AF">
        <w:t>the</w:t>
      </w:r>
      <w:r w:rsidR="000A5329" w:rsidRPr="002029AF">
        <w:t xml:space="preserve"> </w:t>
      </w:r>
      <w:r w:rsidRPr="002029AF">
        <w:t>lessee</w:t>
      </w:r>
      <w:r w:rsidR="000A5329" w:rsidRPr="002029AF">
        <w:t xml:space="preserve"> </w:t>
      </w:r>
      <w:r w:rsidRPr="002029AF">
        <w:t>is</w:t>
      </w:r>
      <w:r w:rsidR="000A5329" w:rsidRPr="002029AF">
        <w:t xml:space="preserve"> </w:t>
      </w:r>
      <w:r w:rsidRPr="002029AF">
        <w:t>required</w:t>
      </w:r>
      <w:r w:rsidR="000A5329" w:rsidRPr="002029AF">
        <w:t xml:space="preserve"> </w:t>
      </w:r>
      <w:r w:rsidRPr="002029AF">
        <w:t>to</w:t>
      </w:r>
      <w:r w:rsidR="000A5329" w:rsidRPr="002029AF">
        <w:t xml:space="preserve"> </w:t>
      </w:r>
      <w:r w:rsidRPr="002029AF">
        <w:t>separate</w:t>
      </w:r>
      <w:r w:rsidR="000A5329" w:rsidRPr="002029AF">
        <w:t xml:space="preserve"> </w:t>
      </w:r>
      <w:r w:rsidRPr="002029AF">
        <w:t>out</w:t>
      </w:r>
      <w:r w:rsidR="000A5329" w:rsidRPr="002029AF">
        <w:t xml:space="preserve"> </w:t>
      </w:r>
      <w:r w:rsidRPr="002029AF">
        <w:t>and</w:t>
      </w:r>
      <w:r w:rsidR="000A5329" w:rsidRPr="002029AF">
        <w:t xml:space="preserve"> </w:t>
      </w:r>
      <w:r w:rsidRPr="002029AF">
        <w:t>account</w:t>
      </w:r>
      <w:r w:rsidR="000A5329" w:rsidRPr="002029AF">
        <w:t xml:space="preserve"> </w:t>
      </w:r>
      <w:r w:rsidRPr="002029AF">
        <w:t>separately</w:t>
      </w:r>
      <w:r w:rsidR="000A5329" w:rsidRPr="002029AF">
        <w:t xml:space="preserve"> </w:t>
      </w:r>
      <w:r w:rsidRPr="002029AF">
        <w:t>for</w:t>
      </w:r>
      <w:r w:rsidR="000A5329" w:rsidRPr="002029AF">
        <w:t xml:space="preserve"> </w:t>
      </w:r>
      <w:r w:rsidRPr="002029AF">
        <w:t>non-lease</w:t>
      </w:r>
      <w:r w:rsidR="000A5329" w:rsidRPr="002029AF">
        <w:t xml:space="preserve"> </w:t>
      </w:r>
      <w:r w:rsidRPr="002029AF">
        <w:t>components</w:t>
      </w:r>
      <w:r w:rsidR="000A5329" w:rsidRPr="002029AF">
        <w:t xml:space="preserve"> </w:t>
      </w:r>
      <w:r w:rsidRPr="002029AF">
        <w:t>within</w:t>
      </w:r>
      <w:r w:rsidR="000A5329" w:rsidRPr="002029AF">
        <w:t xml:space="preserve"> </w:t>
      </w:r>
      <w:r w:rsidRPr="002029AF">
        <w:t>a</w:t>
      </w:r>
      <w:r w:rsidR="000A5329" w:rsidRPr="002029AF">
        <w:t xml:space="preserve"> </w:t>
      </w:r>
      <w:r w:rsidRPr="002029AF">
        <w:t>lease</w:t>
      </w:r>
      <w:r w:rsidR="000A5329" w:rsidRPr="002029AF">
        <w:t xml:space="preserve"> </w:t>
      </w:r>
      <w:r w:rsidRPr="002029AF">
        <w:t>contract</w:t>
      </w:r>
      <w:r w:rsidR="000A5329" w:rsidRPr="002029AF">
        <w:t xml:space="preserve"> </w:t>
      </w:r>
      <w:r w:rsidRPr="002029AF">
        <w:t>and</w:t>
      </w:r>
      <w:r w:rsidR="000A5329" w:rsidRPr="002029AF">
        <w:t xml:space="preserve"> </w:t>
      </w:r>
      <w:r w:rsidRPr="002029AF">
        <w:t>exclude</w:t>
      </w:r>
      <w:r w:rsidR="000A5329" w:rsidRPr="002029AF">
        <w:t xml:space="preserve"> </w:t>
      </w:r>
      <w:r w:rsidRPr="002029AF">
        <w:t>these</w:t>
      </w:r>
      <w:r w:rsidR="000A5329" w:rsidRPr="002029AF">
        <w:t xml:space="preserve"> </w:t>
      </w:r>
      <w:r w:rsidRPr="002029AF">
        <w:t>amounts</w:t>
      </w:r>
      <w:r w:rsidR="000A5329" w:rsidRPr="002029AF">
        <w:t xml:space="preserve"> </w:t>
      </w:r>
      <w:r w:rsidRPr="002029AF">
        <w:t>when</w:t>
      </w:r>
      <w:r w:rsidR="000A5329" w:rsidRPr="002029AF">
        <w:t xml:space="preserve"> </w:t>
      </w:r>
      <w:r w:rsidRPr="002029AF">
        <w:t>determining</w:t>
      </w:r>
      <w:r w:rsidR="000A5329" w:rsidRPr="002029AF">
        <w:t xml:space="preserve"> </w:t>
      </w:r>
      <w:r w:rsidRPr="002029AF">
        <w:t>the</w:t>
      </w:r>
      <w:r w:rsidR="000A5329" w:rsidRPr="002029AF">
        <w:t xml:space="preserve"> </w:t>
      </w:r>
      <w:r w:rsidRPr="002029AF">
        <w:t>lease</w:t>
      </w:r>
      <w:r w:rsidR="000A5329" w:rsidRPr="002029AF">
        <w:t xml:space="preserve"> </w:t>
      </w:r>
      <w:r w:rsidRPr="002029AF">
        <w:t>liability</w:t>
      </w:r>
      <w:r w:rsidR="000A5329" w:rsidRPr="002029AF">
        <w:t xml:space="preserve"> </w:t>
      </w:r>
      <w:r w:rsidRPr="002029AF">
        <w:t>and</w:t>
      </w:r>
      <w:r w:rsidR="000A5329" w:rsidRPr="002029AF">
        <w:t xml:space="preserve"> </w:t>
      </w:r>
      <w:r w:rsidRPr="002029AF">
        <w:t>right-of-use</w:t>
      </w:r>
      <w:r w:rsidR="000A5329" w:rsidRPr="002029AF">
        <w:t xml:space="preserve"> </w:t>
      </w:r>
      <w:r w:rsidRPr="002029AF">
        <w:t>asset</w:t>
      </w:r>
      <w:r w:rsidR="000A5329" w:rsidRPr="002029AF">
        <w:t xml:space="preserve"> </w:t>
      </w:r>
      <w:r w:rsidRPr="002029AF">
        <w:t>amount.</w:t>
      </w:r>
    </w:p>
    <w:p w14:paraId="6EBAD460" w14:textId="11DEF0AA" w:rsidR="00087B91" w:rsidRPr="002029AF" w:rsidRDefault="00087B91" w:rsidP="00087B91">
      <w:pPr>
        <w:pStyle w:val="Heading6"/>
        <w:rPr>
          <w:lang w:val="en-AU"/>
        </w:rPr>
      </w:pPr>
      <w:r w:rsidRPr="002029AF">
        <w:rPr>
          <w:lang w:val="en-AU"/>
        </w:rPr>
        <w:t>Recognition</w:t>
      </w:r>
      <w:r w:rsidR="000A5329" w:rsidRPr="002029AF">
        <w:rPr>
          <w:lang w:val="en-AU"/>
        </w:rPr>
        <w:t xml:space="preserve"> </w:t>
      </w:r>
      <w:r w:rsidRPr="002029AF">
        <w:rPr>
          <w:lang w:val="en-AU"/>
        </w:rPr>
        <w:t>and</w:t>
      </w:r>
      <w:r w:rsidR="000A5329" w:rsidRPr="002029AF">
        <w:rPr>
          <w:lang w:val="en-AU"/>
        </w:rPr>
        <w:t xml:space="preserve"> </w:t>
      </w:r>
      <w:r w:rsidRPr="002029AF">
        <w:rPr>
          <w:lang w:val="en-AU"/>
        </w:rPr>
        <w:t>measurement</w:t>
      </w:r>
      <w:r w:rsidR="000A5329" w:rsidRPr="002029AF">
        <w:rPr>
          <w:lang w:val="en-AU"/>
        </w:rPr>
        <w:t xml:space="preserve"> </w:t>
      </w:r>
      <w:r w:rsidRPr="002029AF">
        <w:rPr>
          <w:lang w:val="en-AU"/>
        </w:rPr>
        <w:t>of</w:t>
      </w:r>
      <w:r w:rsidR="000A5329" w:rsidRPr="002029AF">
        <w:rPr>
          <w:lang w:val="en-AU"/>
        </w:rPr>
        <w:t xml:space="preserve"> </w:t>
      </w:r>
      <w:r w:rsidRPr="002029AF">
        <w:rPr>
          <w:lang w:val="en-AU"/>
        </w:rPr>
        <w:t>leases</w:t>
      </w:r>
      <w:r w:rsidR="000A5329" w:rsidRPr="002029AF">
        <w:rPr>
          <w:lang w:val="en-AU"/>
        </w:rPr>
        <w:t xml:space="preserve"> </w:t>
      </w:r>
      <w:r w:rsidRPr="002029AF">
        <w:rPr>
          <w:lang w:val="en-AU"/>
        </w:rPr>
        <w:t>as</w:t>
      </w:r>
      <w:r w:rsidR="000A5329" w:rsidRPr="002029AF">
        <w:rPr>
          <w:lang w:val="en-AU"/>
        </w:rPr>
        <w:t xml:space="preserve"> </w:t>
      </w:r>
      <w:r w:rsidRPr="002029AF">
        <w:rPr>
          <w:lang w:val="en-AU"/>
        </w:rPr>
        <w:t>a</w:t>
      </w:r>
      <w:r w:rsidR="000A5329" w:rsidRPr="002029AF">
        <w:rPr>
          <w:lang w:val="en-AU"/>
        </w:rPr>
        <w:t xml:space="preserve"> </w:t>
      </w:r>
      <w:r w:rsidRPr="002029AF">
        <w:rPr>
          <w:lang w:val="en-AU"/>
        </w:rPr>
        <w:t>lessee</w:t>
      </w:r>
      <w:r w:rsidR="000A5329" w:rsidRPr="002029AF">
        <w:rPr>
          <w:lang w:val="en-AU"/>
        </w:rPr>
        <w:t xml:space="preserve"> </w:t>
      </w:r>
      <w:r w:rsidRPr="002029AF">
        <w:rPr>
          <w:lang w:val="en-AU"/>
        </w:rPr>
        <w:t>(under</w:t>
      </w:r>
      <w:r w:rsidR="000A5329" w:rsidRPr="002029AF">
        <w:rPr>
          <w:lang w:val="en-AU"/>
        </w:rPr>
        <w:t xml:space="preserve"> </w:t>
      </w:r>
      <w:r w:rsidRPr="002029AF">
        <w:rPr>
          <w:lang w:val="en-AU"/>
        </w:rPr>
        <w:t>AASB</w:t>
      </w:r>
      <w:r w:rsidR="000A5329" w:rsidRPr="002029AF">
        <w:rPr>
          <w:lang w:val="en-AU"/>
        </w:rPr>
        <w:t xml:space="preserve"> </w:t>
      </w:r>
      <w:r w:rsidRPr="002029AF">
        <w:rPr>
          <w:lang w:val="en-AU"/>
        </w:rPr>
        <w:t>16</w:t>
      </w:r>
      <w:r w:rsidR="000A5329" w:rsidRPr="002029AF">
        <w:rPr>
          <w:lang w:val="en-AU"/>
        </w:rPr>
        <w:t xml:space="preserve"> </w:t>
      </w:r>
      <w:r w:rsidRPr="002029AF">
        <w:rPr>
          <w:lang w:val="en-AU"/>
        </w:rPr>
        <w:t>from</w:t>
      </w:r>
      <w:r w:rsidR="000A5329" w:rsidRPr="002029AF">
        <w:rPr>
          <w:lang w:val="en-AU"/>
        </w:rPr>
        <w:t xml:space="preserve"> </w:t>
      </w:r>
      <w:r w:rsidRPr="002029AF">
        <w:rPr>
          <w:lang w:val="en-AU"/>
        </w:rPr>
        <w:t>1</w:t>
      </w:r>
      <w:r w:rsidR="000A5329" w:rsidRPr="002029AF">
        <w:rPr>
          <w:lang w:val="en-AU"/>
        </w:rPr>
        <w:t xml:space="preserve"> </w:t>
      </w:r>
      <w:r w:rsidRPr="002029AF">
        <w:rPr>
          <w:lang w:val="en-AU"/>
        </w:rPr>
        <w:t>July</w:t>
      </w:r>
      <w:r w:rsidR="000A5329" w:rsidRPr="002029AF">
        <w:rPr>
          <w:lang w:val="en-AU"/>
        </w:rPr>
        <w:t xml:space="preserve"> </w:t>
      </w:r>
      <w:r w:rsidRPr="002029AF">
        <w:rPr>
          <w:lang w:val="en-AU"/>
        </w:rPr>
        <w:t>2019)</w:t>
      </w:r>
    </w:p>
    <w:p w14:paraId="107254DF" w14:textId="10F657F4" w:rsidR="00087B91" w:rsidRPr="002029AF" w:rsidRDefault="00087B91" w:rsidP="00087B91">
      <w:pPr>
        <w:pStyle w:val="Heading7"/>
      </w:pPr>
      <w:r w:rsidRPr="002029AF">
        <w:t>Lease</w:t>
      </w:r>
      <w:r w:rsidR="000A5329" w:rsidRPr="002029AF">
        <w:t xml:space="preserve"> </w:t>
      </w:r>
      <w:r w:rsidRPr="002029AF">
        <w:t>liability</w:t>
      </w:r>
      <w:r w:rsidR="000A5329" w:rsidRPr="002029AF">
        <w:t xml:space="preserve"> </w:t>
      </w:r>
      <w:r w:rsidRPr="002029AF">
        <w:t>–</w:t>
      </w:r>
      <w:r w:rsidR="000A5329" w:rsidRPr="002029AF">
        <w:t xml:space="preserve"> </w:t>
      </w:r>
      <w:r w:rsidRPr="002029AF">
        <w:t>initial</w:t>
      </w:r>
      <w:r w:rsidR="000A5329" w:rsidRPr="002029AF">
        <w:t xml:space="preserve"> </w:t>
      </w:r>
      <w:r w:rsidRPr="002029AF">
        <w:t>measurement</w:t>
      </w:r>
    </w:p>
    <w:p w14:paraId="0D2EBB5E" w14:textId="5064F7F0" w:rsidR="00087B91" w:rsidRPr="002029AF" w:rsidRDefault="00087B91" w:rsidP="00087B91">
      <w:pPr>
        <w:pStyle w:val="ARfinbody"/>
        <w:rPr>
          <w:rFonts w:eastAsia="Arial" w:cs="Times New Roman"/>
        </w:rPr>
      </w:pPr>
      <w:r w:rsidRPr="002029AF">
        <w:t>Lease</w:t>
      </w:r>
      <w:r w:rsidR="000A5329" w:rsidRPr="002029AF">
        <w:t xml:space="preserve"> </w:t>
      </w:r>
      <w:r w:rsidRPr="002029AF">
        <w:t>liability</w:t>
      </w:r>
      <w:r w:rsidR="000A5329" w:rsidRPr="002029AF">
        <w:t xml:space="preserve"> </w:t>
      </w:r>
      <w:r w:rsidRPr="002029AF">
        <w:t>is</w:t>
      </w:r>
      <w:r w:rsidR="000A5329" w:rsidRPr="002029AF">
        <w:t xml:space="preserve"> </w:t>
      </w:r>
      <w:r w:rsidRPr="002029AF">
        <w:t>initially</w:t>
      </w:r>
      <w:r w:rsidR="000A5329" w:rsidRPr="002029AF">
        <w:t xml:space="preserve"> </w:t>
      </w:r>
      <w:r w:rsidRPr="002029AF">
        <w:t>measured</w:t>
      </w:r>
      <w:r w:rsidR="000A5329" w:rsidRPr="002029AF">
        <w:t xml:space="preserve"> </w:t>
      </w:r>
      <w:r w:rsidRPr="002029AF">
        <w:t>at</w:t>
      </w:r>
      <w:r w:rsidR="000A5329" w:rsidRPr="002029AF">
        <w:t xml:space="preserve"> </w:t>
      </w:r>
      <w:r w:rsidRPr="002029AF">
        <w:t>the</w:t>
      </w:r>
      <w:r w:rsidR="000A5329" w:rsidRPr="002029AF">
        <w:t xml:space="preserve"> </w:t>
      </w:r>
      <w:r w:rsidRPr="002029AF">
        <w:t>present</w:t>
      </w:r>
      <w:r w:rsidR="000A5329" w:rsidRPr="002029AF">
        <w:t xml:space="preserve"> </w:t>
      </w:r>
      <w:r w:rsidRPr="002029AF">
        <w:t>value</w:t>
      </w:r>
      <w:r w:rsidR="000A5329" w:rsidRPr="002029AF">
        <w:t xml:space="preserve"> </w:t>
      </w:r>
      <w:r w:rsidRPr="002029AF">
        <w:t>of</w:t>
      </w:r>
      <w:r w:rsidR="000A5329" w:rsidRPr="002029AF">
        <w:t xml:space="preserve"> </w:t>
      </w:r>
      <w:r w:rsidRPr="002029AF">
        <w:t>the</w:t>
      </w:r>
      <w:r w:rsidR="000A5329" w:rsidRPr="002029AF">
        <w:t xml:space="preserve"> </w:t>
      </w:r>
      <w:r w:rsidRPr="002029AF">
        <w:t>lease</w:t>
      </w:r>
      <w:r w:rsidR="000A5329" w:rsidRPr="002029AF">
        <w:t xml:space="preserve"> </w:t>
      </w:r>
      <w:r w:rsidRPr="002029AF">
        <w:t>payments</w:t>
      </w:r>
      <w:r w:rsidR="000A5329" w:rsidRPr="002029AF">
        <w:t xml:space="preserve"> </w:t>
      </w:r>
      <w:r w:rsidRPr="002029AF">
        <w:t>unpaid</w:t>
      </w:r>
      <w:r w:rsidR="000A5329" w:rsidRPr="002029AF">
        <w:t xml:space="preserve"> </w:t>
      </w:r>
      <w:r w:rsidRPr="002029AF">
        <w:t>at</w:t>
      </w:r>
      <w:r w:rsidR="000A5329" w:rsidRPr="002029AF">
        <w:t xml:space="preserve"> </w:t>
      </w:r>
      <w:r w:rsidRPr="002029AF">
        <w:t>the</w:t>
      </w:r>
      <w:r w:rsidR="000A5329" w:rsidRPr="002029AF">
        <w:t xml:space="preserve"> </w:t>
      </w:r>
      <w:r w:rsidRPr="002029AF">
        <w:t>commencement</w:t>
      </w:r>
      <w:r w:rsidR="000A5329" w:rsidRPr="002029AF">
        <w:t xml:space="preserve"> </w:t>
      </w:r>
      <w:r w:rsidRPr="002029AF">
        <w:t>date,</w:t>
      </w:r>
      <w:r w:rsidR="000A5329" w:rsidRPr="002029AF">
        <w:t xml:space="preserve"> </w:t>
      </w:r>
      <w:r w:rsidRPr="002029AF">
        <w:t>discounted</w:t>
      </w:r>
      <w:r w:rsidR="000A5329" w:rsidRPr="002029AF">
        <w:t xml:space="preserve"> </w:t>
      </w:r>
      <w:r w:rsidRPr="002029AF">
        <w:t>using</w:t>
      </w:r>
      <w:r w:rsidR="000A5329" w:rsidRPr="002029AF">
        <w:t xml:space="preserve"> </w:t>
      </w:r>
      <w:r w:rsidRPr="002029AF">
        <w:t>the</w:t>
      </w:r>
      <w:r w:rsidR="000A5329" w:rsidRPr="002029AF">
        <w:t xml:space="preserve"> </w:t>
      </w:r>
      <w:r w:rsidRPr="002029AF">
        <w:t>interest</w:t>
      </w:r>
      <w:r w:rsidR="000A5329" w:rsidRPr="002029AF">
        <w:t xml:space="preserve"> </w:t>
      </w:r>
      <w:r w:rsidRPr="002029AF">
        <w:t>rate</w:t>
      </w:r>
      <w:r w:rsidR="000A5329" w:rsidRPr="002029AF">
        <w:t xml:space="preserve"> </w:t>
      </w:r>
      <w:r w:rsidRPr="002029AF">
        <w:t>implicit</w:t>
      </w:r>
      <w:r w:rsidR="000A5329" w:rsidRPr="002029AF">
        <w:t xml:space="preserve"> </w:t>
      </w:r>
      <w:r w:rsidRPr="002029AF">
        <w:t>in</w:t>
      </w:r>
      <w:r w:rsidR="000A5329" w:rsidRPr="002029AF">
        <w:t xml:space="preserve"> </w:t>
      </w:r>
      <w:r w:rsidRPr="002029AF">
        <w:t>the</w:t>
      </w:r>
      <w:r w:rsidR="000A5329" w:rsidRPr="002029AF">
        <w:t xml:space="preserve"> </w:t>
      </w:r>
      <w:r w:rsidRPr="002029AF">
        <w:t>lease</w:t>
      </w:r>
      <w:r w:rsidR="000A5329" w:rsidRPr="002029AF">
        <w:t xml:space="preserve"> </w:t>
      </w:r>
      <w:r w:rsidRPr="002029AF">
        <w:t>if</w:t>
      </w:r>
      <w:r w:rsidR="000A5329" w:rsidRPr="002029AF">
        <w:t xml:space="preserve"> </w:t>
      </w:r>
      <w:r w:rsidRPr="002029AF">
        <w:t>that</w:t>
      </w:r>
      <w:r w:rsidR="000A5329" w:rsidRPr="002029AF">
        <w:t xml:space="preserve"> </w:t>
      </w:r>
      <w:r w:rsidRPr="002029AF">
        <w:t>rate</w:t>
      </w:r>
      <w:r w:rsidR="000A5329" w:rsidRPr="002029AF">
        <w:t xml:space="preserve"> </w:t>
      </w:r>
      <w:r w:rsidRPr="002029AF">
        <w:t>is</w:t>
      </w:r>
      <w:r w:rsidR="000A5329" w:rsidRPr="002029AF">
        <w:t xml:space="preserve"> </w:t>
      </w:r>
      <w:r w:rsidRPr="002029AF">
        <w:t>readily</w:t>
      </w:r>
      <w:r w:rsidR="000A5329" w:rsidRPr="002029AF">
        <w:t xml:space="preserve"> </w:t>
      </w:r>
      <w:r w:rsidRPr="002029AF">
        <w:t>determinable</w:t>
      </w:r>
      <w:r w:rsidR="000A5329" w:rsidRPr="002029AF">
        <w:t xml:space="preserve"> </w:t>
      </w:r>
      <w:r w:rsidRPr="002029AF">
        <w:t>or</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incremental</w:t>
      </w:r>
      <w:r w:rsidR="000A5329" w:rsidRPr="002029AF">
        <w:t xml:space="preserve"> </w:t>
      </w:r>
      <w:r w:rsidRPr="002029AF">
        <w:t>borrowing</w:t>
      </w:r>
      <w:r w:rsidR="000A5329" w:rsidRPr="002029AF">
        <w:t xml:space="preserve"> </w:t>
      </w:r>
      <w:r w:rsidRPr="002029AF">
        <w:t>rate.</w:t>
      </w:r>
    </w:p>
    <w:p w14:paraId="54D6BC25" w14:textId="46EFC39E" w:rsidR="00087B91" w:rsidRPr="002029AF" w:rsidRDefault="00087B91" w:rsidP="00087B91">
      <w:pPr>
        <w:pStyle w:val="ARfinbody"/>
      </w:pPr>
      <w:r w:rsidRPr="002029AF">
        <w:t>Lease</w:t>
      </w:r>
      <w:r w:rsidR="000A5329" w:rsidRPr="002029AF">
        <w:t xml:space="preserve"> </w:t>
      </w:r>
      <w:r w:rsidRPr="002029AF">
        <w:t>payments</w:t>
      </w:r>
      <w:r w:rsidR="000A5329" w:rsidRPr="002029AF">
        <w:t xml:space="preserve"> </w:t>
      </w:r>
      <w:r w:rsidRPr="002029AF">
        <w:t>included</w:t>
      </w:r>
      <w:r w:rsidR="000A5329" w:rsidRPr="002029AF">
        <w:t xml:space="preserve"> </w:t>
      </w:r>
      <w:r w:rsidRPr="002029AF">
        <w:t>in</w:t>
      </w:r>
      <w:r w:rsidR="000A5329" w:rsidRPr="002029AF">
        <w:t xml:space="preserve"> </w:t>
      </w:r>
      <w:r w:rsidRPr="002029AF">
        <w:t>the</w:t>
      </w:r>
      <w:r w:rsidR="000A5329" w:rsidRPr="002029AF">
        <w:t xml:space="preserve"> </w:t>
      </w:r>
      <w:r w:rsidRPr="002029AF">
        <w:t>measurement</w:t>
      </w:r>
      <w:r w:rsidR="000A5329" w:rsidRPr="002029AF">
        <w:t xml:space="preserve"> </w:t>
      </w:r>
      <w:r w:rsidRPr="002029AF">
        <w:t>of</w:t>
      </w:r>
      <w:r w:rsidR="000A5329" w:rsidRPr="002029AF">
        <w:t xml:space="preserve"> </w:t>
      </w:r>
      <w:r w:rsidRPr="002029AF">
        <w:t>the</w:t>
      </w:r>
      <w:r w:rsidR="000A5329" w:rsidRPr="002029AF">
        <w:t xml:space="preserve"> </w:t>
      </w:r>
      <w:r w:rsidRPr="002029AF">
        <w:t>lease</w:t>
      </w:r>
      <w:r w:rsidR="000A5329" w:rsidRPr="002029AF">
        <w:t xml:space="preserve"> </w:t>
      </w:r>
      <w:r w:rsidRPr="002029AF">
        <w:t>liability</w:t>
      </w:r>
      <w:r w:rsidR="000A5329" w:rsidRPr="002029AF">
        <w:t xml:space="preserve"> </w:t>
      </w:r>
      <w:r w:rsidRPr="002029AF">
        <w:t>comprise</w:t>
      </w:r>
      <w:r w:rsidR="000A5329" w:rsidRPr="002029AF">
        <w:t xml:space="preserve"> </w:t>
      </w:r>
      <w:r w:rsidRPr="002029AF">
        <w:t>the</w:t>
      </w:r>
      <w:r w:rsidR="000A5329" w:rsidRPr="002029AF">
        <w:t xml:space="preserve"> </w:t>
      </w:r>
      <w:r w:rsidRPr="002029AF">
        <w:t>following:</w:t>
      </w:r>
    </w:p>
    <w:p w14:paraId="4CFCBDB8" w14:textId="5EE370D2" w:rsidR="00087B91" w:rsidRPr="002029AF" w:rsidRDefault="00087B91" w:rsidP="00087B91">
      <w:pPr>
        <w:pStyle w:val="ARfinbullet1"/>
      </w:pPr>
      <w:r w:rsidRPr="002029AF">
        <w:t>fixed</w:t>
      </w:r>
      <w:r w:rsidR="000A5329" w:rsidRPr="002029AF">
        <w:t xml:space="preserve"> </w:t>
      </w:r>
      <w:r w:rsidRPr="002029AF">
        <w:t>payments</w:t>
      </w:r>
      <w:r w:rsidR="000A5329" w:rsidRPr="002029AF">
        <w:t xml:space="preserve"> </w:t>
      </w:r>
      <w:r w:rsidRPr="002029AF">
        <w:t>(including</w:t>
      </w:r>
      <w:r w:rsidR="000A5329" w:rsidRPr="002029AF">
        <w:t xml:space="preserve"> </w:t>
      </w:r>
      <w:r w:rsidRPr="002029AF">
        <w:t>in-substance</w:t>
      </w:r>
      <w:r w:rsidR="000A5329" w:rsidRPr="002029AF">
        <w:t xml:space="preserve"> </w:t>
      </w:r>
      <w:r w:rsidRPr="002029AF">
        <w:t>fixed</w:t>
      </w:r>
      <w:r w:rsidR="000A5329" w:rsidRPr="002029AF">
        <w:t xml:space="preserve"> </w:t>
      </w:r>
      <w:r w:rsidRPr="002029AF">
        <w:t>payments)</w:t>
      </w:r>
    </w:p>
    <w:p w14:paraId="1707135D" w14:textId="34A3B437" w:rsidR="00087B91" w:rsidRPr="002029AF" w:rsidRDefault="00087B91" w:rsidP="00087B91">
      <w:pPr>
        <w:pStyle w:val="ARfinbullet1"/>
      </w:pPr>
      <w:r w:rsidRPr="002029AF">
        <w:t>variable</w:t>
      </w:r>
      <w:r w:rsidR="000A5329" w:rsidRPr="002029AF">
        <w:t xml:space="preserve"> </w:t>
      </w:r>
      <w:r w:rsidRPr="002029AF">
        <w:t>payments</w:t>
      </w:r>
      <w:r w:rsidR="000A5329" w:rsidRPr="002029AF">
        <w:t xml:space="preserve"> </w:t>
      </w:r>
      <w:r w:rsidRPr="002029AF">
        <w:t>based</w:t>
      </w:r>
      <w:r w:rsidR="000A5329" w:rsidRPr="002029AF">
        <w:t xml:space="preserve"> </w:t>
      </w:r>
      <w:r w:rsidRPr="002029AF">
        <w:t>on</w:t>
      </w:r>
      <w:r w:rsidR="000A5329" w:rsidRPr="002029AF">
        <w:t xml:space="preserve"> </w:t>
      </w:r>
      <w:r w:rsidRPr="002029AF">
        <w:t>an</w:t>
      </w:r>
      <w:r w:rsidR="000A5329" w:rsidRPr="002029AF">
        <w:t xml:space="preserve"> </w:t>
      </w:r>
      <w:r w:rsidRPr="002029AF">
        <w:t>index</w:t>
      </w:r>
      <w:r w:rsidR="000A5329" w:rsidRPr="002029AF">
        <w:t xml:space="preserve"> </w:t>
      </w:r>
      <w:r w:rsidRPr="002029AF">
        <w:t>or</w:t>
      </w:r>
      <w:r w:rsidR="000A5329" w:rsidRPr="002029AF">
        <w:t xml:space="preserve"> </w:t>
      </w:r>
      <w:r w:rsidRPr="002029AF">
        <w:t>rate,</w:t>
      </w:r>
      <w:r w:rsidR="000A5329" w:rsidRPr="002029AF">
        <w:t xml:space="preserve"> </w:t>
      </w:r>
      <w:r w:rsidRPr="002029AF">
        <w:t>initially</w:t>
      </w:r>
      <w:r w:rsidR="000A5329" w:rsidRPr="002029AF">
        <w:t xml:space="preserve"> </w:t>
      </w:r>
      <w:r w:rsidRPr="002029AF">
        <w:t>measured</w:t>
      </w:r>
      <w:r w:rsidR="000A5329" w:rsidRPr="002029AF">
        <w:t xml:space="preserve"> </w:t>
      </w:r>
      <w:r w:rsidRPr="002029AF">
        <w:t>using</w:t>
      </w:r>
      <w:r w:rsidR="000A5329" w:rsidRPr="002029AF">
        <w:t xml:space="preserve"> </w:t>
      </w:r>
      <w:r w:rsidRPr="002029AF">
        <w:t>the</w:t>
      </w:r>
      <w:r w:rsidR="000A5329" w:rsidRPr="002029AF">
        <w:t xml:space="preserve"> </w:t>
      </w:r>
      <w:r w:rsidRPr="002029AF">
        <w:t>index</w:t>
      </w:r>
      <w:r w:rsidR="000A5329" w:rsidRPr="002029AF">
        <w:t xml:space="preserve"> </w:t>
      </w:r>
      <w:r w:rsidRPr="002029AF">
        <w:t>or</w:t>
      </w:r>
      <w:r w:rsidR="000A5329" w:rsidRPr="002029AF">
        <w:t xml:space="preserve"> </w:t>
      </w:r>
      <w:r w:rsidRPr="002029AF">
        <w:t>rate</w:t>
      </w:r>
      <w:r w:rsidR="000A5329" w:rsidRPr="002029AF">
        <w:t xml:space="preserve"> </w:t>
      </w:r>
      <w:r w:rsidRPr="002029AF">
        <w:t>as</w:t>
      </w:r>
      <w:r w:rsidR="000A5329" w:rsidRPr="002029AF">
        <w:t xml:space="preserve"> </w:t>
      </w:r>
      <w:r w:rsidRPr="002029AF">
        <w:t>at</w:t>
      </w:r>
      <w:r w:rsidR="000A5329" w:rsidRPr="002029AF">
        <w:t xml:space="preserve"> </w:t>
      </w:r>
      <w:r w:rsidRPr="002029AF">
        <w:t>the</w:t>
      </w:r>
      <w:r w:rsidR="000A5329" w:rsidRPr="002029AF">
        <w:t xml:space="preserve"> </w:t>
      </w:r>
      <w:r w:rsidRPr="002029AF">
        <w:t>commencement</w:t>
      </w:r>
      <w:r w:rsidR="000A5329" w:rsidRPr="002029AF">
        <w:t xml:space="preserve"> </w:t>
      </w:r>
      <w:r w:rsidRPr="002029AF">
        <w:t>date</w:t>
      </w:r>
    </w:p>
    <w:p w14:paraId="057E9042" w14:textId="1DB2D835" w:rsidR="00087B91" w:rsidRPr="002029AF" w:rsidRDefault="00087B91" w:rsidP="00087B91">
      <w:pPr>
        <w:pStyle w:val="ARfinbullet1"/>
      </w:pPr>
      <w:r w:rsidRPr="002029AF">
        <w:t>amounts</w:t>
      </w:r>
      <w:r w:rsidR="000A5329" w:rsidRPr="002029AF">
        <w:t xml:space="preserve"> </w:t>
      </w:r>
      <w:r w:rsidRPr="002029AF">
        <w:t>expected</w:t>
      </w:r>
      <w:r w:rsidR="000A5329" w:rsidRPr="002029AF">
        <w:t xml:space="preserve"> </w:t>
      </w:r>
      <w:r w:rsidRPr="002029AF">
        <w:t>to</w:t>
      </w:r>
      <w:r w:rsidR="000A5329" w:rsidRPr="002029AF">
        <w:t xml:space="preserve"> </w:t>
      </w:r>
      <w:r w:rsidRPr="002029AF">
        <w:t>be</w:t>
      </w:r>
      <w:r w:rsidR="000A5329" w:rsidRPr="002029AF">
        <w:t xml:space="preserve"> </w:t>
      </w:r>
      <w:r w:rsidRPr="002029AF">
        <w:t>payable</w:t>
      </w:r>
      <w:r w:rsidR="000A5329" w:rsidRPr="002029AF">
        <w:t xml:space="preserve"> </w:t>
      </w:r>
      <w:r w:rsidRPr="002029AF">
        <w:t>under</w:t>
      </w:r>
      <w:r w:rsidR="000A5329" w:rsidRPr="002029AF">
        <w:t xml:space="preserve"> </w:t>
      </w:r>
      <w:r w:rsidRPr="002029AF">
        <w:t>a</w:t>
      </w:r>
      <w:r w:rsidR="000A5329" w:rsidRPr="002029AF">
        <w:t xml:space="preserve"> </w:t>
      </w:r>
      <w:r w:rsidRPr="002029AF">
        <w:t>residual</w:t>
      </w:r>
      <w:r w:rsidR="000A5329" w:rsidRPr="002029AF">
        <w:t xml:space="preserve"> </w:t>
      </w:r>
      <w:r w:rsidRPr="002029AF">
        <w:t>value</w:t>
      </w:r>
      <w:r w:rsidR="000A5329" w:rsidRPr="002029AF">
        <w:t xml:space="preserve"> </w:t>
      </w:r>
      <w:r w:rsidRPr="002029AF">
        <w:t>guarantee,</w:t>
      </w:r>
      <w:r w:rsidR="000A5329" w:rsidRPr="002029AF">
        <w:t xml:space="preserve"> </w:t>
      </w:r>
      <w:r w:rsidRPr="002029AF">
        <w:t>and</w:t>
      </w:r>
    </w:p>
    <w:p w14:paraId="6370F3AA" w14:textId="1CAB3079" w:rsidR="00087B91" w:rsidRPr="002029AF" w:rsidRDefault="00087B91" w:rsidP="00087B91">
      <w:pPr>
        <w:pStyle w:val="ARfinbullet1"/>
      </w:pPr>
      <w:r w:rsidRPr="002029AF">
        <w:t>payments</w:t>
      </w:r>
      <w:r w:rsidR="000A5329" w:rsidRPr="002029AF">
        <w:t xml:space="preserve"> </w:t>
      </w:r>
      <w:r w:rsidRPr="002029AF">
        <w:t>arising</w:t>
      </w:r>
      <w:r w:rsidR="000A5329" w:rsidRPr="002029AF">
        <w:t xml:space="preserve"> </w:t>
      </w:r>
      <w:r w:rsidRPr="002029AF">
        <w:t>from</w:t>
      </w:r>
      <w:r w:rsidR="000A5329" w:rsidRPr="002029AF">
        <w:t xml:space="preserve"> </w:t>
      </w:r>
      <w:r w:rsidRPr="002029AF">
        <w:t>purchase</w:t>
      </w:r>
      <w:r w:rsidR="000A5329" w:rsidRPr="002029AF">
        <w:t xml:space="preserve"> </w:t>
      </w:r>
      <w:r w:rsidRPr="002029AF">
        <w:t>and</w:t>
      </w:r>
      <w:r w:rsidR="000A5329" w:rsidRPr="002029AF">
        <w:t xml:space="preserve"> </w:t>
      </w:r>
      <w:r w:rsidRPr="002029AF">
        <w:t>termination</w:t>
      </w:r>
      <w:r w:rsidR="000A5329" w:rsidRPr="002029AF">
        <w:t xml:space="preserve"> </w:t>
      </w:r>
      <w:r w:rsidRPr="002029AF">
        <w:t>options</w:t>
      </w:r>
      <w:r w:rsidR="000A5329" w:rsidRPr="002029AF">
        <w:t xml:space="preserve"> </w:t>
      </w:r>
      <w:r w:rsidRPr="002029AF">
        <w:t>reasonably</w:t>
      </w:r>
      <w:r w:rsidR="000A5329" w:rsidRPr="002029AF">
        <w:t xml:space="preserve"> </w:t>
      </w:r>
      <w:r w:rsidRPr="002029AF">
        <w:t>certain</w:t>
      </w:r>
      <w:r w:rsidR="000A5329" w:rsidRPr="002029AF">
        <w:t xml:space="preserve"> </w:t>
      </w:r>
      <w:r w:rsidRPr="002029AF">
        <w:t>to</w:t>
      </w:r>
      <w:r w:rsidR="000A5329" w:rsidRPr="002029AF">
        <w:t xml:space="preserve"> </w:t>
      </w:r>
      <w:r w:rsidRPr="002029AF">
        <w:t>be</w:t>
      </w:r>
      <w:r w:rsidR="000A5329" w:rsidRPr="002029AF">
        <w:t xml:space="preserve"> </w:t>
      </w:r>
      <w:r w:rsidRPr="002029AF">
        <w:t>exercised.</w:t>
      </w:r>
    </w:p>
    <w:p w14:paraId="7F40A9BB" w14:textId="0E675A5F" w:rsidR="00087B91" w:rsidRPr="002029AF" w:rsidRDefault="00087B91" w:rsidP="00087B91">
      <w:pPr>
        <w:pStyle w:val="Heading7"/>
      </w:pPr>
      <w:r w:rsidRPr="002029AF">
        <w:t>Lease</w:t>
      </w:r>
      <w:r w:rsidR="000A5329" w:rsidRPr="002029AF">
        <w:t xml:space="preserve"> </w:t>
      </w:r>
      <w:r w:rsidRPr="002029AF">
        <w:t>liability</w:t>
      </w:r>
      <w:r w:rsidR="000A5329" w:rsidRPr="002029AF">
        <w:t xml:space="preserve"> </w:t>
      </w:r>
      <w:r w:rsidRPr="002029AF">
        <w:t>–</w:t>
      </w:r>
      <w:r w:rsidR="000A5329" w:rsidRPr="002029AF">
        <w:t xml:space="preserve"> </w:t>
      </w:r>
      <w:r w:rsidRPr="002029AF">
        <w:t>subsequent</w:t>
      </w:r>
      <w:r w:rsidR="000A5329" w:rsidRPr="002029AF">
        <w:t xml:space="preserve"> </w:t>
      </w:r>
      <w:r w:rsidRPr="002029AF">
        <w:t>measurement</w:t>
      </w:r>
    </w:p>
    <w:p w14:paraId="6EBC5721" w14:textId="75E5AF23" w:rsidR="00087B91" w:rsidRPr="002029AF" w:rsidRDefault="00087B91" w:rsidP="00087B91">
      <w:pPr>
        <w:pStyle w:val="ARfinbody"/>
        <w:rPr>
          <w:rFonts w:eastAsia="Arial" w:cs="Times New Roman"/>
        </w:rPr>
      </w:pPr>
      <w:r w:rsidRPr="002029AF">
        <w:t>Subsequent</w:t>
      </w:r>
      <w:r w:rsidR="000A5329" w:rsidRPr="002029AF">
        <w:t xml:space="preserve"> </w:t>
      </w:r>
      <w:r w:rsidRPr="002029AF">
        <w:t>to</w:t>
      </w:r>
      <w:r w:rsidR="000A5329" w:rsidRPr="002029AF">
        <w:t xml:space="preserve"> </w:t>
      </w:r>
      <w:r w:rsidRPr="002029AF">
        <w:t>initial</w:t>
      </w:r>
      <w:r w:rsidR="000A5329" w:rsidRPr="002029AF">
        <w:t xml:space="preserve"> </w:t>
      </w:r>
      <w:r w:rsidRPr="002029AF">
        <w:t>measurement,</w:t>
      </w:r>
      <w:r w:rsidR="000A5329" w:rsidRPr="002029AF">
        <w:t xml:space="preserve"> </w:t>
      </w:r>
      <w:r w:rsidRPr="002029AF">
        <w:t>the</w:t>
      </w:r>
      <w:r w:rsidR="000A5329" w:rsidRPr="002029AF">
        <w:t xml:space="preserve"> </w:t>
      </w:r>
      <w:r w:rsidRPr="002029AF">
        <w:t>lease</w:t>
      </w:r>
      <w:r w:rsidR="000A5329" w:rsidRPr="002029AF">
        <w:t xml:space="preserve"> </w:t>
      </w:r>
      <w:r w:rsidRPr="002029AF">
        <w:t>liability</w:t>
      </w:r>
      <w:r w:rsidR="000A5329" w:rsidRPr="002029AF">
        <w:t xml:space="preserve"> </w:t>
      </w:r>
      <w:r w:rsidRPr="002029AF">
        <w:t>will</w:t>
      </w:r>
      <w:r w:rsidR="000A5329" w:rsidRPr="002029AF">
        <w:t xml:space="preserve"> </w:t>
      </w:r>
      <w:r w:rsidRPr="002029AF">
        <w:t>be</w:t>
      </w:r>
      <w:r w:rsidR="000A5329" w:rsidRPr="002029AF">
        <w:t xml:space="preserve"> </w:t>
      </w:r>
      <w:r w:rsidRPr="002029AF">
        <w:t>reduced</w:t>
      </w:r>
      <w:r w:rsidR="000A5329" w:rsidRPr="002029AF">
        <w:t xml:space="preserve"> </w:t>
      </w:r>
      <w:r w:rsidRPr="002029AF">
        <w:t>for</w:t>
      </w:r>
      <w:r w:rsidR="000A5329" w:rsidRPr="002029AF">
        <w:t xml:space="preserve"> </w:t>
      </w:r>
      <w:r w:rsidRPr="002029AF">
        <w:t>payments</w:t>
      </w:r>
      <w:r w:rsidR="000A5329" w:rsidRPr="002029AF">
        <w:t xml:space="preserve"> </w:t>
      </w:r>
      <w:r w:rsidRPr="002029AF">
        <w:t>made</w:t>
      </w:r>
      <w:r w:rsidR="000A5329" w:rsidRPr="002029AF">
        <w:t xml:space="preserve"> </w:t>
      </w:r>
      <w:r w:rsidRPr="002029AF">
        <w:t>and</w:t>
      </w:r>
      <w:r w:rsidR="000A5329" w:rsidRPr="002029AF">
        <w:t xml:space="preserve"> </w:t>
      </w:r>
      <w:r w:rsidRPr="002029AF">
        <w:t>increased</w:t>
      </w:r>
      <w:r w:rsidR="000A5329" w:rsidRPr="002029AF">
        <w:t xml:space="preserve"> </w:t>
      </w:r>
      <w:r w:rsidRPr="002029AF">
        <w:t>for</w:t>
      </w:r>
      <w:r w:rsidR="000A5329" w:rsidRPr="002029AF">
        <w:t xml:space="preserve"> </w:t>
      </w:r>
      <w:r w:rsidRPr="002029AF">
        <w:t>interest.</w:t>
      </w:r>
      <w:r w:rsidR="000A5329" w:rsidRPr="002029AF">
        <w:t xml:space="preserve"> </w:t>
      </w:r>
      <w:r w:rsidRPr="002029AF">
        <w:t>It</w:t>
      </w:r>
      <w:r w:rsidR="000A5329" w:rsidRPr="002029AF">
        <w:t xml:space="preserve"> </w:t>
      </w:r>
      <w:r w:rsidRPr="002029AF">
        <w:t>is</w:t>
      </w:r>
      <w:r w:rsidR="000A5329" w:rsidRPr="002029AF">
        <w:t xml:space="preserve"> </w:t>
      </w:r>
      <w:r w:rsidRPr="002029AF">
        <w:t>remeasured</w:t>
      </w:r>
      <w:r w:rsidR="000A5329" w:rsidRPr="002029AF">
        <w:t xml:space="preserve"> </w:t>
      </w:r>
      <w:r w:rsidRPr="002029AF">
        <w:t>to</w:t>
      </w:r>
      <w:r w:rsidR="000A5329" w:rsidRPr="002029AF">
        <w:t xml:space="preserve"> </w:t>
      </w:r>
      <w:r w:rsidRPr="002029AF">
        <w:t>reflect</w:t>
      </w:r>
      <w:r w:rsidR="000A5329" w:rsidRPr="002029AF">
        <w:t xml:space="preserve"> </w:t>
      </w:r>
      <w:r w:rsidRPr="002029AF">
        <w:t>any</w:t>
      </w:r>
      <w:r w:rsidR="000A5329" w:rsidRPr="002029AF">
        <w:t xml:space="preserve"> </w:t>
      </w:r>
      <w:r w:rsidRPr="002029AF">
        <w:t>reassessment</w:t>
      </w:r>
      <w:r w:rsidR="000A5329" w:rsidRPr="002029AF">
        <w:t xml:space="preserve"> </w:t>
      </w:r>
      <w:r w:rsidRPr="002029AF">
        <w:t>or</w:t>
      </w:r>
      <w:r w:rsidR="000A5329" w:rsidRPr="002029AF">
        <w:t xml:space="preserve"> </w:t>
      </w:r>
      <w:r w:rsidRPr="002029AF">
        <w:t>modification,</w:t>
      </w:r>
      <w:r w:rsidR="000A5329" w:rsidRPr="002029AF">
        <w:t xml:space="preserve"> </w:t>
      </w:r>
      <w:r w:rsidRPr="002029AF">
        <w:t>or</w:t>
      </w:r>
      <w:r w:rsidR="000A5329" w:rsidRPr="002029AF">
        <w:t xml:space="preserve"> </w:t>
      </w:r>
      <w:r w:rsidRPr="002029AF">
        <w:t>if</w:t>
      </w:r>
      <w:r w:rsidR="000A5329" w:rsidRPr="002029AF">
        <w:t xml:space="preserve"> </w:t>
      </w:r>
      <w:r w:rsidRPr="002029AF">
        <w:t>there</w:t>
      </w:r>
      <w:r w:rsidR="000A5329" w:rsidRPr="002029AF">
        <w:t xml:space="preserve"> </w:t>
      </w:r>
      <w:r w:rsidRPr="002029AF">
        <w:t>are</w:t>
      </w:r>
      <w:r w:rsidR="000A5329" w:rsidRPr="002029AF">
        <w:t xml:space="preserve"> </w:t>
      </w:r>
      <w:r w:rsidRPr="002029AF">
        <w:t>changes</w:t>
      </w:r>
      <w:r w:rsidR="000A5329" w:rsidRPr="002029AF">
        <w:t xml:space="preserve"> </w:t>
      </w:r>
      <w:r w:rsidRPr="002029AF">
        <w:t>in</w:t>
      </w:r>
      <w:r w:rsidR="000A5329" w:rsidRPr="002029AF">
        <w:t xml:space="preserve"> </w:t>
      </w:r>
      <w:r w:rsidRPr="002029AF">
        <w:t>in-substance</w:t>
      </w:r>
      <w:r w:rsidR="000A5329" w:rsidRPr="002029AF">
        <w:t xml:space="preserve"> </w:t>
      </w:r>
      <w:r w:rsidRPr="002029AF">
        <w:t>fixed</w:t>
      </w:r>
      <w:r w:rsidR="000A5329" w:rsidRPr="002029AF">
        <w:t xml:space="preserve"> </w:t>
      </w:r>
      <w:r w:rsidRPr="002029AF">
        <w:t>payments.</w:t>
      </w:r>
      <w:r w:rsidR="000A5329" w:rsidRPr="002029AF">
        <w:t xml:space="preserve"> </w:t>
      </w:r>
      <w:r w:rsidRPr="002029AF">
        <w:t>When</w:t>
      </w:r>
      <w:r w:rsidR="000A5329" w:rsidRPr="002029AF">
        <w:t xml:space="preserve"> </w:t>
      </w:r>
      <w:r w:rsidRPr="002029AF">
        <w:t>the</w:t>
      </w:r>
      <w:r w:rsidR="000A5329" w:rsidRPr="002029AF">
        <w:t xml:space="preserve"> </w:t>
      </w:r>
      <w:r w:rsidRPr="002029AF">
        <w:t>lease</w:t>
      </w:r>
      <w:r w:rsidR="000A5329" w:rsidRPr="002029AF">
        <w:t xml:space="preserve"> </w:t>
      </w:r>
      <w:r w:rsidRPr="002029AF">
        <w:t>liability</w:t>
      </w:r>
      <w:r w:rsidR="000A5329" w:rsidRPr="002029AF">
        <w:t xml:space="preserve"> </w:t>
      </w:r>
      <w:r w:rsidRPr="002029AF">
        <w:t>is</w:t>
      </w:r>
      <w:r w:rsidR="000A5329" w:rsidRPr="002029AF">
        <w:t xml:space="preserve"> </w:t>
      </w:r>
      <w:r w:rsidRPr="002029AF">
        <w:t>remeasured,</w:t>
      </w:r>
      <w:r w:rsidR="000A5329" w:rsidRPr="002029AF">
        <w:t xml:space="preserve"> </w:t>
      </w:r>
      <w:r w:rsidRPr="002029AF">
        <w:t>the</w:t>
      </w:r>
      <w:r w:rsidR="000A5329" w:rsidRPr="002029AF">
        <w:t xml:space="preserve"> </w:t>
      </w:r>
      <w:r w:rsidRPr="002029AF">
        <w:t>corresponding</w:t>
      </w:r>
      <w:r w:rsidR="000A5329" w:rsidRPr="002029AF">
        <w:t xml:space="preserve"> </w:t>
      </w:r>
      <w:r w:rsidRPr="002029AF">
        <w:t>adjustment</w:t>
      </w:r>
      <w:r w:rsidR="000A5329" w:rsidRPr="002029AF">
        <w:t xml:space="preserve"> </w:t>
      </w:r>
      <w:r w:rsidRPr="002029AF">
        <w:t>is</w:t>
      </w:r>
      <w:r w:rsidR="000A5329" w:rsidRPr="002029AF">
        <w:t xml:space="preserve"> </w:t>
      </w:r>
      <w:r w:rsidRPr="002029AF">
        <w:t>reflected</w:t>
      </w:r>
      <w:r w:rsidR="000A5329" w:rsidRPr="002029AF">
        <w:t xml:space="preserve"> </w:t>
      </w:r>
      <w:r w:rsidRPr="002029AF">
        <w:t>in</w:t>
      </w:r>
      <w:r w:rsidR="000A5329" w:rsidRPr="002029AF">
        <w:t xml:space="preserve"> </w:t>
      </w:r>
      <w:r w:rsidRPr="002029AF">
        <w:t>the</w:t>
      </w:r>
      <w:r w:rsidR="000A5329" w:rsidRPr="002029AF">
        <w:t xml:space="preserve"> </w:t>
      </w:r>
      <w:r w:rsidRPr="002029AF">
        <w:t>right-of-use</w:t>
      </w:r>
      <w:r w:rsidR="000A5329" w:rsidRPr="002029AF">
        <w:t xml:space="preserve"> </w:t>
      </w:r>
      <w:r w:rsidRPr="002029AF">
        <w:t>asset,</w:t>
      </w:r>
      <w:r w:rsidR="000A5329" w:rsidRPr="002029AF">
        <w:t xml:space="preserve"> </w:t>
      </w:r>
      <w:r w:rsidRPr="002029AF">
        <w:t>or</w:t>
      </w:r>
      <w:r w:rsidR="000A5329" w:rsidRPr="002029AF">
        <w:t xml:space="preserve"> </w:t>
      </w:r>
      <w:r w:rsidRPr="002029AF">
        <w:t>profit</w:t>
      </w:r>
      <w:r w:rsidR="000A5329" w:rsidRPr="002029AF">
        <w:t xml:space="preserve"> </w:t>
      </w:r>
      <w:r w:rsidRPr="002029AF">
        <w:t>and</w:t>
      </w:r>
      <w:r w:rsidR="000A5329" w:rsidRPr="002029AF">
        <w:t xml:space="preserve"> </w:t>
      </w:r>
      <w:r w:rsidRPr="002029AF">
        <w:t>loss</w:t>
      </w:r>
      <w:r w:rsidR="000A5329" w:rsidRPr="002029AF">
        <w:t xml:space="preserve"> </w:t>
      </w:r>
      <w:r w:rsidRPr="002029AF">
        <w:t>if</w:t>
      </w:r>
      <w:r w:rsidR="000A5329" w:rsidRPr="002029AF">
        <w:t xml:space="preserve"> </w:t>
      </w:r>
      <w:r w:rsidRPr="002029AF">
        <w:t>the</w:t>
      </w:r>
      <w:r w:rsidR="000A5329" w:rsidRPr="002029AF">
        <w:t xml:space="preserve"> </w:t>
      </w:r>
      <w:r w:rsidRPr="002029AF">
        <w:t>right-of-use</w:t>
      </w:r>
      <w:r w:rsidR="000A5329" w:rsidRPr="002029AF">
        <w:t xml:space="preserve"> </w:t>
      </w:r>
      <w:r w:rsidRPr="002029AF">
        <w:t>asset</w:t>
      </w:r>
      <w:r w:rsidR="000A5329" w:rsidRPr="002029AF">
        <w:t xml:space="preserve"> </w:t>
      </w:r>
      <w:r w:rsidRPr="002029AF">
        <w:t>is</w:t>
      </w:r>
      <w:r w:rsidR="000A5329" w:rsidRPr="002029AF">
        <w:t xml:space="preserve"> </w:t>
      </w:r>
      <w:r w:rsidRPr="002029AF">
        <w:t>already</w:t>
      </w:r>
      <w:r w:rsidR="000A5329" w:rsidRPr="002029AF">
        <w:t xml:space="preserve"> </w:t>
      </w:r>
      <w:r w:rsidRPr="002029AF">
        <w:t>reduced</w:t>
      </w:r>
      <w:r w:rsidR="000A5329" w:rsidRPr="002029AF">
        <w:t xml:space="preserve"> </w:t>
      </w:r>
      <w:r w:rsidRPr="002029AF">
        <w:t>to</w:t>
      </w:r>
      <w:r w:rsidR="000A5329" w:rsidRPr="002029AF">
        <w:t xml:space="preserve"> </w:t>
      </w:r>
      <w:r w:rsidRPr="002029AF">
        <w:t>zero</w:t>
      </w:r>
      <w:r w:rsidRPr="002029AF">
        <w:rPr>
          <w:rFonts w:eastAsia="Arial" w:cs="Times New Roman"/>
          <w:color w:val="0070C0"/>
        </w:rPr>
        <w:t>.</w:t>
      </w:r>
    </w:p>
    <w:p w14:paraId="4A6771EB" w14:textId="10BB8A9A" w:rsidR="00087B91" w:rsidRPr="002029AF" w:rsidRDefault="00087B91" w:rsidP="00087B91">
      <w:pPr>
        <w:pStyle w:val="Heading7"/>
      </w:pPr>
      <w:r w:rsidRPr="002029AF">
        <w:t>Short-term</w:t>
      </w:r>
      <w:r w:rsidR="000A5329" w:rsidRPr="002029AF">
        <w:t xml:space="preserve"> </w:t>
      </w:r>
      <w:r w:rsidRPr="002029AF">
        <w:t>leases</w:t>
      </w:r>
      <w:r w:rsidR="000A5329" w:rsidRPr="002029AF">
        <w:t xml:space="preserve"> </w:t>
      </w:r>
      <w:r w:rsidRPr="002029AF">
        <w:t>and</w:t>
      </w:r>
      <w:r w:rsidR="000A5329" w:rsidRPr="002029AF">
        <w:t xml:space="preserve"> </w:t>
      </w:r>
      <w:r w:rsidRPr="002029AF">
        <w:t>leases</w:t>
      </w:r>
      <w:r w:rsidR="000A5329" w:rsidRPr="002029AF">
        <w:t xml:space="preserve"> </w:t>
      </w:r>
      <w:r w:rsidRPr="002029AF">
        <w:t>of</w:t>
      </w:r>
      <w:r w:rsidR="000A5329" w:rsidRPr="002029AF">
        <w:t xml:space="preserve"> </w:t>
      </w:r>
      <w:r w:rsidRPr="002029AF">
        <w:t>low-value</w:t>
      </w:r>
      <w:r w:rsidR="000A5329" w:rsidRPr="002029AF">
        <w:t xml:space="preserve"> </w:t>
      </w:r>
      <w:r w:rsidRPr="002029AF">
        <w:t>assets</w:t>
      </w:r>
    </w:p>
    <w:p w14:paraId="7D8A119E" w14:textId="5A0D2ABA" w:rsidR="00087B91" w:rsidRPr="002029AF" w:rsidRDefault="00087B91" w:rsidP="00087B91">
      <w:pPr>
        <w:pStyle w:val="ARfinbody"/>
      </w:pP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elected</w:t>
      </w:r>
      <w:r w:rsidR="000A5329" w:rsidRPr="002029AF">
        <w:t xml:space="preserve"> </w:t>
      </w:r>
      <w:r w:rsidRPr="002029AF">
        <w:t>to</w:t>
      </w:r>
      <w:r w:rsidR="000A5329" w:rsidRPr="002029AF">
        <w:t xml:space="preserve"> </w:t>
      </w:r>
      <w:r w:rsidRPr="002029AF">
        <w:t>account</w:t>
      </w:r>
      <w:r w:rsidR="000A5329" w:rsidRPr="002029AF">
        <w:t xml:space="preserve"> </w:t>
      </w:r>
      <w:r w:rsidRPr="002029AF">
        <w:t>for</w:t>
      </w:r>
      <w:r w:rsidR="000A5329" w:rsidRPr="002029AF">
        <w:t xml:space="preserve"> </w:t>
      </w:r>
      <w:r w:rsidRPr="002029AF">
        <w:t>short-term</w:t>
      </w:r>
      <w:r w:rsidR="000A5329" w:rsidRPr="002029AF">
        <w:t xml:space="preserve"> </w:t>
      </w:r>
      <w:r w:rsidRPr="002029AF">
        <w:t>leases</w:t>
      </w:r>
      <w:r w:rsidR="000A5329" w:rsidRPr="002029AF">
        <w:t xml:space="preserve"> </w:t>
      </w:r>
      <w:r w:rsidRPr="002029AF">
        <w:t>and</w:t>
      </w:r>
      <w:r w:rsidR="000A5329" w:rsidRPr="002029AF">
        <w:t xml:space="preserve"> </w:t>
      </w:r>
      <w:r w:rsidRPr="002029AF">
        <w:t>leases</w:t>
      </w:r>
      <w:r w:rsidR="000A5329" w:rsidRPr="002029AF">
        <w:t xml:space="preserve"> </w:t>
      </w:r>
      <w:r w:rsidRPr="002029AF">
        <w:t>of</w:t>
      </w:r>
      <w:r w:rsidR="000A5329" w:rsidRPr="002029AF">
        <w:t xml:space="preserve"> </w:t>
      </w:r>
      <w:r w:rsidRPr="002029AF">
        <w:t>low-value</w:t>
      </w:r>
      <w:r w:rsidR="000A5329" w:rsidRPr="002029AF">
        <w:t xml:space="preserve"> </w:t>
      </w:r>
      <w:r w:rsidRPr="002029AF">
        <w:t>assets</w:t>
      </w:r>
      <w:r w:rsidR="000A5329" w:rsidRPr="002029AF">
        <w:t xml:space="preserve"> </w:t>
      </w:r>
      <w:r w:rsidRPr="002029AF">
        <w:t>using</w:t>
      </w:r>
      <w:r w:rsidR="000A5329" w:rsidRPr="002029AF">
        <w:t xml:space="preserve"> </w:t>
      </w:r>
      <w:r w:rsidRPr="002029AF">
        <w:t>the</w:t>
      </w:r>
      <w:r w:rsidR="000A5329" w:rsidRPr="002029AF">
        <w:t xml:space="preserve"> </w:t>
      </w:r>
      <w:r w:rsidRPr="002029AF">
        <w:t>practical</w:t>
      </w:r>
      <w:r w:rsidR="000A5329" w:rsidRPr="002029AF">
        <w:t xml:space="preserve"> </w:t>
      </w:r>
      <w:r w:rsidRPr="002029AF">
        <w:t>expedients.</w:t>
      </w:r>
      <w:r w:rsidR="000A5329" w:rsidRPr="002029AF">
        <w:t xml:space="preserve"> </w:t>
      </w:r>
      <w:r w:rsidRPr="002029AF">
        <w:t>Instead</w:t>
      </w:r>
      <w:r w:rsidR="000A5329" w:rsidRPr="002029AF">
        <w:t xml:space="preserve"> </w:t>
      </w:r>
      <w:r w:rsidRPr="002029AF">
        <w:t>of</w:t>
      </w:r>
      <w:r w:rsidR="000A5329" w:rsidRPr="002029AF">
        <w:t xml:space="preserve"> </w:t>
      </w:r>
      <w:r w:rsidRPr="002029AF">
        <w:t>recognising</w:t>
      </w:r>
      <w:r w:rsidR="000A5329" w:rsidRPr="002029AF">
        <w:t xml:space="preserve"> </w:t>
      </w:r>
      <w:r w:rsidRPr="002029AF">
        <w:t>a</w:t>
      </w:r>
      <w:r w:rsidR="000A5329" w:rsidRPr="002029AF">
        <w:t xml:space="preserve"> </w:t>
      </w:r>
      <w:r w:rsidRPr="002029AF">
        <w:t>right-of-use</w:t>
      </w:r>
      <w:r w:rsidR="000A5329" w:rsidRPr="002029AF">
        <w:t xml:space="preserve"> </w:t>
      </w:r>
      <w:r w:rsidRPr="002029AF">
        <w:t>asset</w:t>
      </w:r>
      <w:r w:rsidR="000A5329" w:rsidRPr="002029AF">
        <w:t xml:space="preserve"> </w:t>
      </w:r>
      <w:r w:rsidRPr="002029AF">
        <w:t>and</w:t>
      </w:r>
      <w:r w:rsidR="000A5329" w:rsidRPr="002029AF">
        <w:t xml:space="preserve"> </w:t>
      </w:r>
      <w:r w:rsidRPr="002029AF">
        <w:t>lease</w:t>
      </w:r>
      <w:r w:rsidR="000A5329" w:rsidRPr="002029AF">
        <w:t xml:space="preserve"> </w:t>
      </w:r>
      <w:r w:rsidRPr="002029AF">
        <w:t>liability,</w:t>
      </w:r>
      <w:r w:rsidR="000A5329" w:rsidRPr="002029AF">
        <w:t xml:space="preserve"> </w:t>
      </w:r>
      <w:r w:rsidRPr="002029AF">
        <w:t>the</w:t>
      </w:r>
      <w:r w:rsidR="000A5329" w:rsidRPr="002029AF">
        <w:t xml:space="preserve"> </w:t>
      </w:r>
      <w:r w:rsidRPr="002029AF">
        <w:t>payments</w:t>
      </w:r>
      <w:r w:rsidR="000A5329" w:rsidRPr="002029AF">
        <w:t xml:space="preserve"> </w:t>
      </w:r>
      <w:r w:rsidRPr="002029AF">
        <w:t>in</w:t>
      </w:r>
      <w:r w:rsidR="000A5329" w:rsidRPr="002029AF">
        <w:t xml:space="preserve"> </w:t>
      </w:r>
      <w:r w:rsidRPr="002029AF">
        <w:t>relation</w:t>
      </w:r>
      <w:r w:rsidR="000A5329" w:rsidRPr="002029AF">
        <w:t xml:space="preserve"> </w:t>
      </w:r>
      <w:r w:rsidRPr="002029AF">
        <w:t>to</w:t>
      </w:r>
      <w:r w:rsidR="000A5329" w:rsidRPr="002029AF">
        <w:t xml:space="preserve"> </w:t>
      </w:r>
      <w:r w:rsidRPr="002029AF">
        <w:t>these</w:t>
      </w:r>
      <w:r w:rsidR="000A5329" w:rsidRPr="002029AF">
        <w:t xml:space="preserve"> </w:t>
      </w:r>
      <w:r w:rsidRPr="002029AF">
        <w:t>types</w:t>
      </w:r>
      <w:r w:rsidR="000A5329" w:rsidRPr="002029AF">
        <w:t xml:space="preserve"> </w:t>
      </w:r>
      <w:r w:rsidRPr="002029AF">
        <w:t>of</w:t>
      </w:r>
      <w:r w:rsidR="000A5329" w:rsidRPr="002029AF">
        <w:t xml:space="preserve"> </w:t>
      </w:r>
      <w:r w:rsidRPr="002029AF">
        <w:t>leases</w:t>
      </w:r>
      <w:r w:rsidR="000A5329" w:rsidRPr="002029AF">
        <w:t xml:space="preserve"> </w:t>
      </w:r>
      <w:r w:rsidRPr="002029AF">
        <w:t>are</w:t>
      </w:r>
      <w:r w:rsidR="000A5329" w:rsidRPr="002029AF">
        <w:t xml:space="preserve"> </w:t>
      </w:r>
      <w:r w:rsidRPr="002029AF">
        <w:t>recognised</w:t>
      </w:r>
      <w:r w:rsidR="000A5329" w:rsidRPr="002029AF">
        <w:t xml:space="preserve"> </w:t>
      </w:r>
      <w:r w:rsidRPr="002029AF">
        <w:t>as</w:t>
      </w:r>
      <w:r w:rsidR="000A5329" w:rsidRPr="002029AF">
        <w:t xml:space="preserve"> </w:t>
      </w:r>
      <w:r w:rsidRPr="002029AF">
        <w:t>an</w:t>
      </w:r>
      <w:r w:rsidR="000A5329" w:rsidRPr="002029AF">
        <w:t xml:space="preserve"> </w:t>
      </w:r>
      <w:r w:rsidRPr="002029AF">
        <w:t>expense</w:t>
      </w:r>
      <w:r w:rsidR="000A5329" w:rsidRPr="002029AF">
        <w:t xml:space="preserve"> </w:t>
      </w:r>
      <w:r w:rsidRPr="002029AF">
        <w:t>in</w:t>
      </w:r>
      <w:r w:rsidR="000A5329" w:rsidRPr="002029AF">
        <w:t xml:space="preserve"> </w:t>
      </w:r>
      <w:r w:rsidRPr="002029AF">
        <w:t>the</w:t>
      </w:r>
      <w:r w:rsidR="000A5329" w:rsidRPr="002029AF">
        <w:t xml:space="preserve"> </w:t>
      </w:r>
      <w:r w:rsidRPr="002029AF">
        <w:t>comprehensive</w:t>
      </w:r>
      <w:r w:rsidR="000A5329" w:rsidRPr="002029AF">
        <w:t xml:space="preserve"> </w:t>
      </w:r>
      <w:r w:rsidRPr="002029AF">
        <w:t>operating</w:t>
      </w:r>
      <w:r w:rsidR="000A5329" w:rsidRPr="002029AF">
        <w:t xml:space="preserve"> </w:t>
      </w:r>
      <w:r w:rsidRPr="002029AF">
        <w:t>statement</w:t>
      </w:r>
      <w:r w:rsidR="000A5329" w:rsidRPr="002029AF">
        <w:t xml:space="preserve"> </w:t>
      </w:r>
      <w:r w:rsidRPr="002029AF">
        <w:t>on</w:t>
      </w:r>
      <w:r w:rsidR="000A5329" w:rsidRPr="002029AF">
        <w:t xml:space="preserve"> </w:t>
      </w:r>
      <w:r w:rsidRPr="002029AF">
        <w:t>a</w:t>
      </w:r>
      <w:r w:rsidR="000A5329" w:rsidRPr="002029AF">
        <w:t xml:space="preserve"> </w:t>
      </w:r>
      <w:r w:rsidRPr="002029AF">
        <w:t>straight-line</w:t>
      </w:r>
      <w:r w:rsidR="000A5329" w:rsidRPr="002029AF">
        <w:t xml:space="preserve"> </w:t>
      </w:r>
      <w:r w:rsidRPr="002029AF">
        <w:t>basis</w:t>
      </w:r>
      <w:r w:rsidR="000A5329" w:rsidRPr="002029AF">
        <w:t xml:space="preserve"> </w:t>
      </w:r>
      <w:r w:rsidRPr="002029AF">
        <w:t>over</w:t>
      </w:r>
      <w:r w:rsidR="000A5329" w:rsidRPr="002029AF">
        <w:t xml:space="preserve"> </w:t>
      </w:r>
      <w:r w:rsidRPr="002029AF">
        <w:t>the</w:t>
      </w:r>
      <w:r w:rsidR="000A5329" w:rsidRPr="002029AF">
        <w:t xml:space="preserve"> </w:t>
      </w:r>
      <w:r w:rsidRPr="002029AF">
        <w:t>lease</w:t>
      </w:r>
      <w:r w:rsidR="000A5329" w:rsidRPr="002029AF">
        <w:t xml:space="preserve"> </w:t>
      </w:r>
      <w:r w:rsidRPr="002029AF">
        <w:t>term.</w:t>
      </w:r>
    </w:p>
    <w:p w14:paraId="34D2E504" w14:textId="491161A8" w:rsidR="00087B91" w:rsidRPr="002029AF" w:rsidRDefault="00087B91" w:rsidP="00087B91">
      <w:pPr>
        <w:pStyle w:val="Heading7"/>
      </w:pPr>
      <w:r w:rsidRPr="002029AF">
        <w:t>Below-market/Peppercorn</w:t>
      </w:r>
      <w:r w:rsidR="000A5329" w:rsidRPr="002029AF">
        <w:t xml:space="preserve"> </w:t>
      </w:r>
      <w:r w:rsidRPr="002029AF">
        <w:t>leases</w:t>
      </w:r>
    </w:p>
    <w:p w14:paraId="19A8A5CB" w14:textId="5878AFC6" w:rsidR="00087B91" w:rsidRPr="002029AF" w:rsidRDefault="00087B91" w:rsidP="00087B91">
      <w:pPr>
        <w:pStyle w:val="ARfinbody"/>
      </w:pPr>
      <w:r w:rsidRPr="002029AF">
        <w:t>Right-of-use</w:t>
      </w:r>
      <w:r w:rsidR="000A5329" w:rsidRPr="002029AF">
        <w:t xml:space="preserve"> </w:t>
      </w:r>
      <w:r w:rsidRPr="002029AF">
        <w:t>assets</w:t>
      </w:r>
      <w:r w:rsidR="000A5329" w:rsidRPr="002029AF">
        <w:t xml:space="preserve"> </w:t>
      </w:r>
      <w:r w:rsidRPr="002029AF">
        <w:t>under</w:t>
      </w:r>
      <w:r w:rsidR="000A5329" w:rsidRPr="002029AF">
        <w:t xml:space="preserve"> </w:t>
      </w:r>
      <w:r w:rsidRPr="002029AF">
        <w:t>leases</w:t>
      </w:r>
      <w:r w:rsidR="000A5329" w:rsidRPr="002029AF">
        <w:t xml:space="preserve"> </w:t>
      </w:r>
      <w:r w:rsidRPr="002029AF">
        <w:t>at</w:t>
      </w:r>
      <w:r w:rsidR="000A5329" w:rsidRPr="002029AF">
        <w:t xml:space="preserve"> </w:t>
      </w:r>
      <w:r w:rsidRPr="002029AF">
        <w:t>significantly</w:t>
      </w:r>
      <w:r w:rsidR="000A5329" w:rsidRPr="002029AF">
        <w:t xml:space="preserve"> </w:t>
      </w:r>
      <w:r w:rsidRPr="002029AF">
        <w:t>below-market</w:t>
      </w:r>
      <w:r w:rsidR="000A5329" w:rsidRPr="002029AF">
        <w:t xml:space="preserve"> </w:t>
      </w:r>
      <w:r w:rsidRPr="002029AF">
        <w:t>terms</w:t>
      </w:r>
      <w:r w:rsidR="000A5329" w:rsidRPr="002029AF">
        <w:t xml:space="preserve"> </w:t>
      </w:r>
      <w:r w:rsidRPr="002029AF">
        <w:t>and</w:t>
      </w:r>
      <w:r w:rsidR="000A5329" w:rsidRPr="002029AF">
        <w:t xml:space="preserve"> </w:t>
      </w:r>
      <w:r w:rsidRPr="002029AF">
        <w:t>conditions</w:t>
      </w:r>
      <w:r w:rsidR="000A5329" w:rsidRPr="002029AF">
        <w:t xml:space="preserve"> </w:t>
      </w:r>
      <w:r w:rsidRPr="002029AF">
        <w:t>that</w:t>
      </w:r>
      <w:r w:rsidR="000A5329" w:rsidRPr="002029AF">
        <w:t xml:space="preserve"> </w:t>
      </w:r>
      <w:r w:rsidRPr="002029AF">
        <w:t>are</w:t>
      </w:r>
      <w:r w:rsidR="000A5329" w:rsidRPr="002029AF">
        <w:t xml:space="preserve"> </w:t>
      </w:r>
      <w:r w:rsidRPr="002029AF">
        <w:t>entered</w:t>
      </w:r>
      <w:r w:rsidR="000A5329" w:rsidRPr="002029AF">
        <w:t xml:space="preserve"> </w:t>
      </w:r>
      <w:r w:rsidRPr="002029AF">
        <w:t>into</w:t>
      </w:r>
      <w:r w:rsidR="000A5329" w:rsidRPr="002029AF">
        <w:t xml:space="preserve"> </w:t>
      </w:r>
      <w:r w:rsidRPr="002029AF">
        <w:t>principally</w:t>
      </w:r>
      <w:r w:rsidR="000A5329" w:rsidRPr="002029AF">
        <w:t xml:space="preserve"> </w:t>
      </w:r>
      <w:r w:rsidRPr="002029AF">
        <w:t>to</w:t>
      </w:r>
      <w:r w:rsidR="000A5329" w:rsidRPr="002029AF">
        <w:t xml:space="preserve"> </w:t>
      </w:r>
      <w:r w:rsidRPr="002029AF">
        <w:t>enable</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to</w:t>
      </w:r>
      <w:r w:rsidR="000A5329" w:rsidRPr="002029AF">
        <w:t xml:space="preserve"> </w:t>
      </w:r>
      <w:r w:rsidRPr="002029AF">
        <w:t>further</w:t>
      </w:r>
      <w:r w:rsidR="000A5329" w:rsidRPr="002029AF">
        <w:t xml:space="preserve"> </w:t>
      </w:r>
      <w:r w:rsidRPr="002029AF">
        <w:t>its</w:t>
      </w:r>
      <w:r w:rsidR="000A5329" w:rsidRPr="002029AF">
        <w:t xml:space="preserve"> </w:t>
      </w:r>
      <w:r w:rsidRPr="002029AF">
        <w:t>objectives,</w:t>
      </w:r>
      <w:r w:rsidR="000A5329" w:rsidRPr="002029AF">
        <w:t xml:space="preserve"> </w:t>
      </w:r>
      <w:r w:rsidRPr="002029AF">
        <w:t>are</w:t>
      </w:r>
      <w:r w:rsidR="000A5329" w:rsidRPr="002029AF">
        <w:t xml:space="preserve"> </w:t>
      </w:r>
      <w:r w:rsidRPr="002029AF">
        <w:t>initially</w:t>
      </w:r>
      <w:r w:rsidR="000A5329" w:rsidRPr="002029AF">
        <w:t xml:space="preserve"> </w:t>
      </w:r>
      <w:r w:rsidRPr="002029AF">
        <w:t>and</w:t>
      </w:r>
      <w:r w:rsidR="000A5329" w:rsidRPr="002029AF">
        <w:t xml:space="preserve"> </w:t>
      </w:r>
      <w:r w:rsidRPr="002029AF">
        <w:t>subsequently</w:t>
      </w:r>
      <w:r w:rsidR="000A5329" w:rsidRPr="002029AF">
        <w:t xml:space="preserve"> </w:t>
      </w:r>
      <w:r w:rsidRPr="002029AF">
        <w:t>measured</w:t>
      </w:r>
      <w:r w:rsidR="000A5329" w:rsidRPr="002029AF">
        <w:t xml:space="preserve"> </w:t>
      </w:r>
      <w:r w:rsidRPr="002029AF">
        <w:t>at</w:t>
      </w:r>
      <w:r w:rsidR="000A5329" w:rsidRPr="002029AF">
        <w:t xml:space="preserve"> </w:t>
      </w:r>
      <w:r w:rsidRPr="002029AF">
        <w:t>cost</w:t>
      </w:r>
      <w:r w:rsidRPr="002029AF">
        <w:rPr>
          <w:color w:val="0070C0"/>
        </w:rPr>
        <w:t>.</w:t>
      </w:r>
      <w:r w:rsidR="000A5329" w:rsidRPr="002029AF">
        <w:rPr>
          <w:color w:val="0070C0"/>
        </w:rPr>
        <w:t xml:space="preserve"> </w:t>
      </w:r>
      <w:r w:rsidRPr="002029AF">
        <w:t>These</w:t>
      </w:r>
      <w:r w:rsidR="000A5329" w:rsidRPr="002029AF">
        <w:t xml:space="preserve"> </w:t>
      </w:r>
      <w:r w:rsidRPr="002029AF">
        <w:t>right-of-use</w:t>
      </w:r>
      <w:r w:rsidR="000A5329" w:rsidRPr="002029AF">
        <w:t xml:space="preserve"> </w:t>
      </w:r>
      <w:r w:rsidRPr="002029AF">
        <w:t>assets</w:t>
      </w:r>
      <w:r w:rsidR="000A5329" w:rsidRPr="002029AF">
        <w:t xml:space="preserve"> </w:t>
      </w:r>
      <w:r w:rsidRPr="002029AF">
        <w:t>are</w:t>
      </w:r>
      <w:r w:rsidR="000A5329" w:rsidRPr="002029AF">
        <w:t xml:space="preserve"> </w:t>
      </w:r>
      <w:r w:rsidRPr="002029AF">
        <w:t>depreciated</w:t>
      </w:r>
      <w:r w:rsidR="000A5329" w:rsidRPr="002029AF">
        <w:t xml:space="preserve"> </w:t>
      </w:r>
      <w:r w:rsidRPr="002029AF">
        <w:t>on</w:t>
      </w:r>
      <w:r w:rsidR="000A5329" w:rsidRPr="002029AF">
        <w:t xml:space="preserve"> </w:t>
      </w:r>
      <w:r w:rsidRPr="002029AF">
        <w:t>a</w:t>
      </w:r>
      <w:r w:rsidR="000A5329" w:rsidRPr="002029AF">
        <w:t xml:space="preserve"> </w:t>
      </w:r>
      <w:r w:rsidRPr="002029AF">
        <w:t>straight-line</w:t>
      </w:r>
      <w:r w:rsidR="000A5329" w:rsidRPr="002029AF">
        <w:t xml:space="preserve"> </w:t>
      </w:r>
      <w:r w:rsidRPr="002029AF">
        <w:t>basis</w:t>
      </w:r>
      <w:r w:rsidR="000A5329" w:rsidRPr="002029AF">
        <w:t xml:space="preserve"> </w:t>
      </w:r>
      <w:r w:rsidRPr="002029AF">
        <w:t>over</w:t>
      </w:r>
      <w:r w:rsidR="000A5329" w:rsidRPr="002029AF">
        <w:t xml:space="preserve"> </w:t>
      </w:r>
      <w:r w:rsidRPr="002029AF">
        <w:t>the</w:t>
      </w:r>
      <w:r w:rsidR="000A5329" w:rsidRPr="002029AF">
        <w:t xml:space="preserve"> </w:t>
      </w:r>
      <w:r w:rsidRPr="002029AF">
        <w:t>shorter</w:t>
      </w:r>
      <w:r w:rsidR="000A5329" w:rsidRPr="002029AF">
        <w:t xml:space="preserve"> </w:t>
      </w:r>
      <w:r w:rsidRPr="002029AF">
        <w:t>of</w:t>
      </w:r>
      <w:r w:rsidR="000A5329" w:rsidRPr="002029AF">
        <w:t xml:space="preserve"> </w:t>
      </w:r>
      <w:r w:rsidRPr="002029AF">
        <w:t>the</w:t>
      </w:r>
      <w:r w:rsidR="000A5329" w:rsidRPr="002029AF">
        <w:t xml:space="preserve"> </w:t>
      </w:r>
      <w:r w:rsidRPr="002029AF">
        <w:t>lease</w:t>
      </w:r>
      <w:r w:rsidR="000A5329" w:rsidRPr="002029AF">
        <w:t xml:space="preserve"> </w:t>
      </w:r>
      <w:r w:rsidRPr="002029AF">
        <w:t>term</w:t>
      </w:r>
      <w:r w:rsidR="000A5329" w:rsidRPr="002029AF">
        <w:t xml:space="preserve"> </w:t>
      </w:r>
      <w:r w:rsidRPr="002029AF">
        <w:t>and</w:t>
      </w:r>
      <w:r w:rsidR="000A5329" w:rsidRPr="002029AF">
        <w:t xml:space="preserve"> </w:t>
      </w:r>
      <w:r w:rsidRPr="002029AF">
        <w:t>the</w:t>
      </w:r>
      <w:r w:rsidR="000A5329" w:rsidRPr="002029AF">
        <w:t xml:space="preserve"> </w:t>
      </w:r>
      <w:r w:rsidRPr="002029AF">
        <w:t>estimated</w:t>
      </w:r>
      <w:r w:rsidR="000A5329" w:rsidRPr="002029AF">
        <w:t xml:space="preserve"> </w:t>
      </w:r>
      <w:r w:rsidRPr="002029AF">
        <w:t>useful</w:t>
      </w:r>
      <w:r w:rsidR="000A5329" w:rsidRPr="002029AF">
        <w:t xml:space="preserve"> </w:t>
      </w:r>
      <w:r w:rsidRPr="002029AF">
        <w:t>lives</w:t>
      </w:r>
      <w:r w:rsidR="000A5329" w:rsidRPr="002029AF">
        <w:t xml:space="preserve"> </w:t>
      </w:r>
      <w:r w:rsidRPr="002029AF">
        <w:t>of</w:t>
      </w:r>
      <w:r w:rsidR="000A5329" w:rsidRPr="002029AF">
        <w:t xml:space="preserve"> </w:t>
      </w:r>
      <w:r w:rsidRPr="002029AF">
        <w:t>the</w:t>
      </w:r>
      <w:r w:rsidR="000A5329" w:rsidRPr="002029AF">
        <w:t xml:space="preserve"> </w:t>
      </w:r>
      <w:r w:rsidRPr="002029AF">
        <w:t>assets.</w:t>
      </w:r>
    </w:p>
    <w:p w14:paraId="75ED2054" w14:textId="2EC47562" w:rsidR="00087B91" w:rsidRPr="002029AF" w:rsidRDefault="00087B91" w:rsidP="00087B91">
      <w:pPr>
        <w:pStyle w:val="Heading7"/>
      </w:pPr>
      <w:r w:rsidRPr="002029AF">
        <w:lastRenderedPageBreak/>
        <w:t>Presentation</w:t>
      </w:r>
      <w:r w:rsidR="000A5329" w:rsidRPr="002029AF">
        <w:t xml:space="preserve"> </w:t>
      </w:r>
      <w:r w:rsidRPr="002029AF">
        <w:t>of</w:t>
      </w:r>
      <w:r w:rsidR="000A5329" w:rsidRPr="002029AF">
        <w:t xml:space="preserve"> </w:t>
      </w:r>
      <w:r w:rsidRPr="002029AF">
        <w:t>right-of-use</w:t>
      </w:r>
      <w:r w:rsidR="000A5329" w:rsidRPr="002029AF">
        <w:t xml:space="preserve"> </w:t>
      </w:r>
      <w:r w:rsidRPr="002029AF">
        <w:t>assets</w:t>
      </w:r>
      <w:r w:rsidR="000A5329" w:rsidRPr="002029AF">
        <w:t xml:space="preserve"> </w:t>
      </w:r>
      <w:r w:rsidRPr="002029AF">
        <w:t>and</w:t>
      </w:r>
      <w:r w:rsidR="000A5329" w:rsidRPr="002029AF">
        <w:t xml:space="preserve"> </w:t>
      </w:r>
      <w:r w:rsidRPr="002029AF">
        <w:t>lease</w:t>
      </w:r>
      <w:r w:rsidR="000A5329" w:rsidRPr="002029AF">
        <w:t xml:space="preserve"> </w:t>
      </w:r>
      <w:r w:rsidRPr="002029AF">
        <w:t>liabilities</w:t>
      </w:r>
    </w:p>
    <w:p w14:paraId="24FE3093" w14:textId="239B737E" w:rsidR="00087B91" w:rsidRPr="002029AF" w:rsidRDefault="00087B91" w:rsidP="00087B91">
      <w:pPr>
        <w:pStyle w:val="ARfinbody"/>
        <w:rPr>
          <w:rFonts w:eastAsia="Arial" w:cs="Times New Roman"/>
        </w:rPr>
      </w:pPr>
      <w:r w:rsidRPr="002029AF">
        <w:t>The</w:t>
      </w:r>
      <w:r w:rsidR="000A5329" w:rsidRPr="002029AF">
        <w:t xml:space="preserve"> </w:t>
      </w:r>
      <w:r w:rsidRPr="002029AF">
        <w:t>department</w:t>
      </w:r>
      <w:r w:rsidR="000A5329" w:rsidRPr="002029AF">
        <w:t xml:space="preserve"> </w:t>
      </w:r>
      <w:r w:rsidRPr="002029AF">
        <w:t>presents</w:t>
      </w:r>
      <w:r w:rsidR="000A5329" w:rsidRPr="002029AF">
        <w:t xml:space="preserve"> </w:t>
      </w:r>
      <w:r w:rsidRPr="002029AF">
        <w:t>right-of-use</w:t>
      </w:r>
      <w:r w:rsidR="000A5329" w:rsidRPr="002029AF">
        <w:t xml:space="preserve"> </w:t>
      </w:r>
      <w:r w:rsidRPr="002029AF">
        <w:t>assets</w:t>
      </w:r>
      <w:r w:rsidR="000A5329" w:rsidRPr="002029AF">
        <w:t xml:space="preserve"> </w:t>
      </w:r>
      <w:r w:rsidRPr="002029AF">
        <w:t>as</w:t>
      </w:r>
      <w:r w:rsidR="000A5329" w:rsidRPr="002029AF">
        <w:t xml:space="preserve"> </w:t>
      </w:r>
      <w:r w:rsidRPr="002029AF">
        <w:t>‘property,</w:t>
      </w:r>
      <w:r w:rsidR="000A5329" w:rsidRPr="002029AF">
        <w:t xml:space="preserve"> </w:t>
      </w:r>
      <w:r w:rsidRPr="002029AF">
        <w:t>plant</w:t>
      </w:r>
      <w:r w:rsidR="000A5329" w:rsidRPr="002029AF">
        <w:t xml:space="preserve"> </w:t>
      </w:r>
      <w:r w:rsidRPr="002029AF">
        <w:t>and</w:t>
      </w:r>
      <w:r w:rsidR="000A5329" w:rsidRPr="002029AF">
        <w:t xml:space="preserve"> </w:t>
      </w:r>
      <w:r w:rsidRPr="002029AF">
        <w:t>equipment’</w:t>
      </w:r>
      <w:r w:rsidR="000A5329" w:rsidRPr="002029AF">
        <w:t xml:space="preserve"> </w:t>
      </w:r>
      <w:r w:rsidRPr="002029AF">
        <w:t>unless</w:t>
      </w:r>
      <w:r w:rsidR="000A5329" w:rsidRPr="002029AF">
        <w:t xml:space="preserve"> </w:t>
      </w:r>
      <w:r w:rsidRPr="002029AF">
        <w:t>they</w:t>
      </w:r>
      <w:r w:rsidR="000A5329" w:rsidRPr="002029AF">
        <w:t xml:space="preserve"> </w:t>
      </w:r>
      <w:r w:rsidRPr="002029AF">
        <w:t>meet</w:t>
      </w:r>
      <w:r w:rsidR="000A5329" w:rsidRPr="002029AF">
        <w:t xml:space="preserve"> </w:t>
      </w:r>
      <w:r w:rsidRPr="002029AF">
        <w:t>the</w:t>
      </w:r>
      <w:r w:rsidR="000A5329" w:rsidRPr="002029AF">
        <w:t xml:space="preserve"> </w:t>
      </w:r>
      <w:r w:rsidRPr="002029AF">
        <w:t>definition</w:t>
      </w:r>
      <w:r w:rsidR="000A5329" w:rsidRPr="002029AF">
        <w:t xml:space="preserve"> </w:t>
      </w:r>
      <w:r w:rsidRPr="002029AF">
        <w:t>of</w:t>
      </w:r>
      <w:r w:rsidR="000A5329" w:rsidRPr="002029AF">
        <w:t xml:space="preserve"> </w:t>
      </w:r>
      <w:r w:rsidRPr="002029AF">
        <w:t>investment</w:t>
      </w:r>
      <w:r w:rsidR="000A5329" w:rsidRPr="002029AF">
        <w:t xml:space="preserve"> </w:t>
      </w:r>
      <w:r w:rsidRPr="002029AF">
        <w:t>property,</w:t>
      </w:r>
      <w:r w:rsidR="000A5329" w:rsidRPr="002029AF">
        <w:t xml:space="preserve"> </w:t>
      </w:r>
      <w:r w:rsidRPr="002029AF">
        <w:t>in</w:t>
      </w:r>
      <w:r w:rsidR="000A5329" w:rsidRPr="002029AF">
        <w:t xml:space="preserve"> </w:t>
      </w:r>
      <w:r w:rsidRPr="002029AF">
        <w:t>which</w:t>
      </w:r>
      <w:r w:rsidR="000A5329" w:rsidRPr="002029AF">
        <w:t xml:space="preserve"> </w:t>
      </w:r>
      <w:r w:rsidRPr="002029AF">
        <w:t>case</w:t>
      </w:r>
      <w:r w:rsidR="000A5329" w:rsidRPr="002029AF">
        <w:t xml:space="preserve"> </w:t>
      </w:r>
      <w:r w:rsidRPr="002029AF">
        <w:t>they</w:t>
      </w:r>
      <w:r w:rsidR="000A5329" w:rsidRPr="002029AF">
        <w:t xml:space="preserve"> </w:t>
      </w:r>
      <w:r w:rsidRPr="002029AF">
        <w:t>are</w:t>
      </w:r>
      <w:r w:rsidR="000A5329" w:rsidRPr="002029AF">
        <w:t xml:space="preserve"> </w:t>
      </w:r>
      <w:r w:rsidRPr="002029AF">
        <w:t>disclosed</w:t>
      </w:r>
      <w:r w:rsidR="000A5329" w:rsidRPr="002029AF">
        <w:t xml:space="preserve"> </w:t>
      </w:r>
      <w:r w:rsidRPr="002029AF">
        <w:t>as</w:t>
      </w:r>
      <w:r w:rsidR="000A5329" w:rsidRPr="002029AF">
        <w:t xml:space="preserve"> </w:t>
      </w:r>
      <w:r w:rsidRPr="002029AF">
        <w:t>‘investment</w:t>
      </w:r>
      <w:r w:rsidR="000A5329" w:rsidRPr="002029AF">
        <w:t xml:space="preserve"> </w:t>
      </w:r>
      <w:r w:rsidRPr="002029AF">
        <w:t>property’</w:t>
      </w:r>
      <w:r w:rsidR="000A5329" w:rsidRPr="002029AF">
        <w:t xml:space="preserve"> </w:t>
      </w:r>
      <w:r w:rsidRPr="002029AF">
        <w:t>in</w:t>
      </w:r>
      <w:r w:rsidR="000A5329" w:rsidRPr="002029AF">
        <w:t xml:space="preserve"> </w:t>
      </w:r>
      <w:r w:rsidRPr="002029AF">
        <w:t>the</w:t>
      </w:r>
      <w:r w:rsidR="000A5329" w:rsidRPr="002029AF">
        <w:t xml:space="preserve"> </w:t>
      </w:r>
      <w:r w:rsidRPr="002029AF">
        <w:t>balance</w:t>
      </w:r>
      <w:r w:rsidR="000A5329" w:rsidRPr="002029AF">
        <w:t xml:space="preserve"> </w:t>
      </w:r>
      <w:r w:rsidRPr="002029AF">
        <w:t>sheet.</w:t>
      </w:r>
      <w:r w:rsidR="000A5329" w:rsidRPr="002029AF">
        <w:t xml:space="preserve"> </w:t>
      </w:r>
      <w:r w:rsidRPr="002029AF">
        <w:t>Lease</w:t>
      </w:r>
      <w:r w:rsidR="000A5329" w:rsidRPr="002029AF">
        <w:t xml:space="preserve"> </w:t>
      </w:r>
      <w:r w:rsidRPr="002029AF">
        <w:t>liabilities</w:t>
      </w:r>
      <w:r w:rsidR="000A5329" w:rsidRPr="002029AF">
        <w:t xml:space="preserve"> </w:t>
      </w:r>
      <w:r w:rsidRPr="002029AF">
        <w:t>are</w:t>
      </w:r>
      <w:r w:rsidR="000A5329" w:rsidRPr="002029AF">
        <w:t xml:space="preserve"> </w:t>
      </w:r>
      <w:r w:rsidRPr="002029AF">
        <w:t>presented</w:t>
      </w:r>
      <w:r w:rsidR="000A5329" w:rsidRPr="002029AF">
        <w:t xml:space="preserve"> </w:t>
      </w:r>
      <w:r w:rsidRPr="002029AF">
        <w:t>as</w:t>
      </w:r>
      <w:r w:rsidR="000A5329" w:rsidRPr="002029AF">
        <w:t xml:space="preserve"> </w:t>
      </w:r>
      <w:r w:rsidRPr="002029AF">
        <w:t>‘borrowings’</w:t>
      </w:r>
      <w:r w:rsidR="000A5329" w:rsidRPr="002029AF">
        <w:t xml:space="preserve"> </w:t>
      </w:r>
      <w:r w:rsidRPr="002029AF">
        <w:t>in</w:t>
      </w:r>
      <w:r w:rsidR="000A5329" w:rsidRPr="002029AF">
        <w:t xml:space="preserve"> </w:t>
      </w:r>
      <w:r w:rsidRPr="002029AF">
        <w:t>the</w:t>
      </w:r>
      <w:r w:rsidR="000A5329" w:rsidRPr="002029AF">
        <w:t xml:space="preserve"> </w:t>
      </w:r>
      <w:r w:rsidRPr="002029AF">
        <w:t>balance</w:t>
      </w:r>
      <w:r w:rsidR="000A5329" w:rsidRPr="002029AF">
        <w:t xml:space="preserve"> </w:t>
      </w:r>
      <w:r w:rsidRPr="002029AF">
        <w:t>sheet</w:t>
      </w:r>
      <w:r w:rsidRPr="002029AF">
        <w:rPr>
          <w:rFonts w:eastAsia="Arial" w:cs="Times New Roman"/>
        </w:rPr>
        <w:t>.</w:t>
      </w:r>
    </w:p>
    <w:p w14:paraId="469A4D32" w14:textId="78782286" w:rsidR="00087B91" w:rsidRPr="002029AF" w:rsidRDefault="00087B91" w:rsidP="00087B91">
      <w:pPr>
        <w:pStyle w:val="Heading7"/>
      </w:pPr>
      <w:r w:rsidRPr="002029AF">
        <w:t>Recognition</w:t>
      </w:r>
      <w:r w:rsidR="000A5329" w:rsidRPr="002029AF">
        <w:t xml:space="preserve"> </w:t>
      </w:r>
      <w:r w:rsidRPr="002029AF">
        <w:t>and</w:t>
      </w:r>
      <w:r w:rsidR="000A5329" w:rsidRPr="002029AF">
        <w:t xml:space="preserve"> </w:t>
      </w:r>
      <w:r w:rsidRPr="002029AF">
        <w:t>measurement</w:t>
      </w:r>
      <w:r w:rsidR="000A5329" w:rsidRPr="002029AF">
        <w:t xml:space="preserve"> </w:t>
      </w:r>
      <w:r w:rsidRPr="002029AF">
        <w:t>of</w:t>
      </w:r>
      <w:r w:rsidR="000A5329" w:rsidRPr="002029AF">
        <w:t xml:space="preserve"> </w:t>
      </w:r>
      <w:r w:rsidRPr="002029AF">
        <w:t>leases</w:t>
      </w:r>
      <w:r w:rsidR="000A5329" w:rsidRPr="002029AF">
        <w:t xml:space="preserve"> </w:t>
      </w:r>
      <w:r w:rsidRPr="002029AF">
        <w:t>(under</w:t>
      </w:r>
      <w:r w:rsidR="000A5329" w:rsidRPr="002029AF">
        <w:t xml:space="preserve"> </w:t>
      </w:r>
      <w:r w:rsidRPr="002029AF">
        <w:t>AASB</w:t>
      </w:r>
      <w:r w:rsidR="000A5329" w:rsidRPr="002029AF">
        <w:t xml:space="preserve"> </w:t>
      </w:r>
      <w:r w:rsidRPr="002029AF">
        <w:t>117</w:t>
      </w:r>
      <w:r w:rsidR="000A5329" w:rsidRPr="002029AF">
        <w:t xml:space="preserve"> </w:t>
      </w:r>
      <w:r w:rsidRPr="002029AF">
        <w:t>until</w:t>
      </w:r>
      <w:r w:rsidR="000A5329" w:rsidRPr="002029AF">
        <w:t xml:space="preserve"> </w:t>
      </w:r>
      <w:r w:rsidRPr="002029AF">
        <w:t>30</w:t>
      </w:r>
      <w:r w:rsidR="000A5329" w:rsidRPr="002029AF">
        <w:t xml:space="preserve"> </w:t>
      </w:r>
      <w:r w:rsidRPr="002029AF">
        <w:t>June</w:t>
      </w:r>
      <w:r w:rsidR="000A5329" w:rsidRPr="002029AF">
        <w:t xml:space="preserve"> </w:t>
      </w:r>
      <w:r w:rsidRPr="002029AF">
        <w:t>2019)</w:t>
      </w:r>
    </w:p>
    <w:p w14:paraId="2890502E" w14:textId="744DDEBC" w:rsidR="00087B91" w:rsidRPr="002029AF" w:rsidRDefault="00087B91" w:rsidP="00087B91">
      <w:pPr>
        <w:pStyle w:val="ARfinbody"/>
      </w:pPr>
      <w:r w:rsidRPr="002029AF">
        <w:t>In</w:t>
      </w:r>
      <w:r w:rsidR="000A5329" w:rsidRPr="002029AF">
        <w:t xml:space="preserve"> </w:t>
      </w:r>
      <w:r w:rsidRPr="002029AF">
        <w:t>the</w:t>
      </w:r>
      <w:r w:rsidR="000A5329" w:rsidRPr="002029AF">
        <w:t xml:space="preserve"> </w:t>
      </w:r>
      <w:r w:rsidRPr="002029AF">
        <w:t>comparative</w:t>
      </w:r>
      <w:r w:rsidR="000A5329" w:rsidRPr="002029AF">
        <w:t xml:space="preserve"> </w:t>
      </w:r>
      <w:r w:rsidRPr="002029AF">
        <w:t>period,</w:t>
      </w:r>
      <w:r w:rsidR="000A5329" w:rsidRPr="002029AF">
        <w:t xml:space="preserve"> </w:t>
      </w:r>
      <w:r w:rsidRPr="002029AF">
        <w:t>leases</w:t>
      </w:r>
      <w:r w:rsidR="000A5329" w:rsidRPr="002029AF">
        <w:t xml:space="preserve"> </w:t>
      </w:r>
      <w:r w:rsidRPr="002029AF">
        <w:t>of</w:t>
      </w:r>
      <w:r w:rsidR="000A5329" w:rsidRPr="002029AF">
        <w:t xml:space="preserve"> </w:t>
      </w:r>
      <w:r w:rsidRPr="002029AF">
        <w:t>property,</w:t>
      </w:r>
      <w:r w:rsidR="000A5329" w:rsidRPr="002029AF">
        <w:t xml:space="preserve"> </w:t>
      </w:r>
      <w:r w:rsidRPr="002029AF">
        <w:t>plant</w:t>
      </w:r>
      <w:r w:rsidR="000A5329" w:rsidRPr="002029AF">
        <w:t xml:space="preserve"> </w:t>
      </w:r>
      <w:r w:rsidRPr="002029AF">
        <w:t>and</w:t>
      </w:r>
      <w:r w:rsidR="000A5329" w:rsidRPr="002029AF">
        <w:t xml:space="preserve"> </w:t>
      </w:r>
      <w:r w:rsidRPr="002029AF">
        <w:t>equipment</w:t>
      </w:r>
      <w:r w:rsidR="000A5329" w:rsidRPr="002029AF">
        <w:t xml:space="preserve"> </w:t>
      </w:r>
      <w:r w:rsidRPr="002029AF">
        <w:t>were</w:t>
      </w:r>
      <w:r w:rsidR="000A5329" w:rsidRPr="002029AF">
        <w:t xml:space="preserve"> </w:t>
      </w:r>
      <w:r w:rsidRPr="002029AF">
        <w:t>classified</w:t>
      </w:r>
      <w:r w:rsidR="000A5329" w:rsidRPr="002029AF">
        <w:t xml:space="preserve"> </w:t>
      </w:r>
      <w:r w:rsidRPr="002029AF">
        <w:t>as</w:t>
      </w:r>
      <w:r w:rsidR="000A5329" w:rsidRPr="002029AF">
        <w:t xml:space="preserve"> </w:t>
      </w:r>
      <w:r w:rsidRPr="002029AF">
        <w:t>either</w:t>
      </w:r>
      <w:r w:rsidR="000A5329" w:rsidRPr="002029AF">
        <w:t xml:space="preserve"> </w:t>
      </w:r>
      <w:r w:rsidRPr="002029AF">
        <w:t>finance</w:t>
      </w:r>
      <w:r w:rsidR="000A5329" w:rsidRPr="002029AF">
        <w:t xml:space="preserve"> </w:t>
      </w:r>
      <w:r w:rsidRPr="002029AF">
        <w:t>lease</w:t>
      </w:r>
      <w:r w:rsidR="000A5329" w:rsidRPr="002029AF">
        <w:t xml:space="preserve"> </w:t>
      </w:r>
      <w:r w:rsidRPr="002029AF">
        <w:t>or</w:t>
      </w:r>
      <w:r w:rsidR="000A5329" w:rsidRPr="002029AF">
        <w:t xml:space="preserve"> </w:t>
      </w:r>
      <w:r w:rsidRPr="002029AF">
        <w:t>operating</w:t>
      </w:r>
      <w:r w:rsidR="000A5329" w:rsidRPr="002029AF">
        <w:t xml:space="preserve"> </w:t>
      </w:r>
      <w:r w:rsidRPr="002029AF">
        <w:t>leases.</w:t>
      </w:r>
    </w:p>
    <w:p w14:paraId="4360C675" w14:textId="46FB9998" w:rsidR="00087B91" w:rsidRPr="002029AF" w:rsidRDefault="00087B91" w:rsidP="00087B91">
      <w:pPr>
        <w:pStyle w:val="ARfinbody"/>
      </w:pPr>
      <w:r w:rsidRPr="002029AF">
        <w:t>The</w:t>
      </w:r>
      <w:r w:rsidR="000A5329" w:rsidRPr="002029AF">
        <w:t xml:space="preserve"> </w:t>
      </w:r>
      <w:r w:rsidRPr="002029AF">
        <w:t>department</w:t>
      </w:r>
      <w:r w:rsidR="000A5329" w:rsidRPr="002029AF">
        <w:t xml:space="preserve"> </w:t>
      </w:r>
      <w:r w:rsidRPr="002029AF">
        <w:t>determined</w:t>
      </w:r>
      <w:r w:rsidR="000A5329" w:rsidRPr="002029AF">
        <w:t xml:space="preserve"> </w:t>
      </w:r>
      <w:r w:rsidRPr="002029AF">
        <w:t>whether</w:t>
      </w:r>
      <w:r w:rsidR="000A5329" w:rsidRPr="002029AF">
        <w:t xml:space="preserve"> </w:t>
      </w:r>
      <w:r w:rsidRPr="002029AF">
        <w:t>an</w:t>
      </w:r>
      <w:r w:rsidR="000A5329" w:rsidRPr="002029AF">
        <w:t xml:space="preserve"> </w:t>
      </w:r>
      <w:r w:rsidRPr="002029AF">
        <w:t>arrangement</w:t>
      </w:r>
      <w:r w:rsidR="000A5329" w:rsidRPr="002029AF">
        <w:t xml:space="preserve"> </w:t>
      </w:r>
      <w:r w:rsidRPr="002029AF">
        <w:t>was</w:t>
      </w:r>
      <w:r w:rsidR="000A5329" w:rsidRPr="002029AF">
        <w:t xml:space="preserve"> </w:t>
      </w:r>
      <w:r w:rsidRPr="002029AF">
        <w:t>or</w:t>
      </w:r>
      <w:r w:rsidR="000A5329" w:rsidRPr="002029AF">
        <w:t xml:space="preserve"> </w:t>
      </w:r>
      <w:r w:rsidRPr="002029AF">
        <w:t>contained</w:t>
      </w:r>
      <w:r w:rsidR="000A5329" w:rsidRPr="002029AF">
        <w:t xml:space="preserve"> </w:t>
      </w:r>
      <w:r w:rsidRPr="002029AF">
        <w:t>a</w:t>
      </w:r>
      <w:r w:rsidR="000A5329" w:rsidRPr="002029AF">
        <w:t xml:space="preserve"> </w:t>
      </w:r>
      <w:r w:rsidRPr="002029AF">
        <w:t>lease</w:t>
      </w:r>
      <w:r w:rsidR="000A5329" w:rsidRPr="002029AF">
        <w:t xml:space="preserve"> </w:t>
      </w:r>
      <w:r w:rsidRPr="002029AF">
        <w:t>based</w:t>
      </w:r>
      <w:r w:rsidR="000A5329" w:rsidRPr="002029AF">
        <w:t xml:space="preserve"> </w:t>
      </w:r>
      <w:r w:rsidRPr="002029AF">
        <w:t>on</w:t>
      </w:r>
      <w:r w:rsidR="000A5329" w:rsidRPr="002029AF">
        <w:t xml:space="preserve"> </w:t>
      </w:r>
      <w:r w:rsidRPr="002029AF">
        <w:t>the</w:t>
      </w:r>
      <w:r w:rsidR="000A5329" w:rsidRPr="002029AF">
        <w:t xml:space="preserve"> </w:t>
      </w:r>
      <w:r w:rsidRPr="002029AF">
        <w:t>substance</w:t>
      </w:r>
      <w:r w:rsidR="000A5329" w:rsidRPr="002029AF">
        <w:t xml:space="preserve"> </w:t>
      </w:r>
      <w:r w:rsidRPr="002029AF">
        <w:t>of</w:t>
      </w:r>
      <w:r w:rsidR="000A5329" w:rsidRPr="002029AF">
        <w:t xml:space="preserve"> </w:t>
      </w:r>
      <w:r w:rsidRPr="002029AF">
        <w:t>the</w:t>
      </w:r>
      <w:r w:rsidR="000A5329" w:rsidRPr="002029AF">
        <w:t xml:space="preserve"> </w:t>
      </w:r>
      <w:r w:rsidRPr="002029AF">
        <w:t>arrangement</w:t>
      </w:r>
      <w:r w:rsidR="000A5329" w:rsidRPr="002029AF">
        <w:t xml:space="preserve"> </w:t>
      </w:r>
      <w:r w:rsidRPr="002029AF">
        <w:t>and</w:t>
      </w:r>
      <w:r w:rsidR="000A5329" w:rsidRPr="002029AF">
        <w:t xml:space="preserve"> </w:t>
      </w:r>
      <w:r w:rsidRPr="002029AF">
        <w:t>required</w:t>
      </w:r>
      <w:r w:rsidR="000A5329" w:rsidRPr="002029AF">
        <w:t xml:space="preserve"> </w:t>
      </w:r>
      <w:r w:rsidRPr="002029AF">
        <w:t>an</w:t>
      </w:r>
      <w:r w:rsidR="000A5329" w:rsidRPr="002029AF">
        <w:t xml:space="preserve"> </w:t>
      </w:r>
      <w:r w:rsidRPr="002029AF">
        <w:t>assessment</w:t>
      </w:r>
      <w:r w:rsidR="000A5329" w:rsidRPr="002029AF">
        <w:t xml:space="preserve"> </w:t>
      </w:r>
      <w:r w:rsidRPr="002029AF">
        <w:t>of</w:t>
      </w:r>
      <w:r w:rsidR="000A5329" w:rsidRPr="002029AF">
        <w:t xml:space="preserve"> </w:t>
      </w:r>
      <w:r w:rsidRPr="002029AF">
        <w:t>whether</w:t>
      </w:r>
      <w:r w:rsidR="000A5329" w:rsidRPr="002029AF">
        <w:t xml:space="preserve"> </w:t>
      </w:r>
      <w:r w:rsidRPr="002029AF">
        <w:t>fulfilment</w:t>
      </w:r>
      <w:r w:rsidR="000A5329" w:rsidRPr="002029AF">
        <w:t xml:space="preserve"> </w:t>
      </w:r>
      <w:r w:rsidRPr="002029AF">
        <w:t>of</w:t>
      </w:r>
      <w:r w:rsidR="000A5329" w:rsidRPr="002029AF">
        <w:t xml:space="preserve"> </w:t>
      </w:r>
      <w:r w:rsidRPr="002029AF">
        <w:t>the</w:t>
      </w:r>
      <w:r w:rsidR="000A5329" w:rsidRPr="002029AF">
        <w:t xml:space="preserve"> </w:t>
      </w:r>
      <w:r w:rsidRPr="002029AF">
        <w:t>arrangement</w:t>
      </w:r>
      <w:r w:rsidR="000A5329" w:rsidRPr="002029AF">
        <w:t xml:space="preserve"> </w:t>
      </w:r>
      <w:r w:rsidRPr="002029AF">
        <w:t>was</w:t>
      </w:r>
      <w:r w:rsidR="000A5329" w:rsidRPr="002029AF">
        <w:t xml:space="preserve"> </w:t>
      </w:r>
      <w:r w:rsidRPr="002029AF">
        <w:t>dependent</w:t>
      </w:r>
      <w:r w:rsidR="000A5329" w:rsidRPr="002029AF">
        <w:t xml:space="preserve"> </w:t>
      </w:r>
      <w:r w:rsidRPr="002029AF">
        <w:t>on</w:t>
      </w:r>
      <w:r w:rsidR="000A5329" w:rsidRPr="002029AF">
        <w:t xml:space="preserve"> </w:t>
      </w:r>
      <w:r w:rsidRPr="002029AF">
        <w:t>the</w:t>
      </w:r>
      <w:r w:rsidR="000A5329" w:rsidRPr="002029AF">
        <w:t xml:space="preserve"> </w:t>
      </w:r>
      <w:r w:rsidRPr="002029AF">
        <w:t>use</w:t>
      </w:r>
      <w:r w:rsidR="000A5329" w:rsidRPr="002029AF">
        <w:t xml:space="preserve"> </w:t>
      </w:r>
      <w:r w:rsidRPr="002029AF">
        <w:t>of</w:t>
      </w:r>
      <w:r w:rsidR="000A5329" w:rsidRPr="002029AF">
        <w:t xml:space="preserve"> </w:t>
      </w:r>
      <w:r w:rsidRPr="002029AF">
        <w:t>the</w:t>
      </w:r>
      <w:r w:rsidR="000A5329" w:rsidRPr="002029AF">
        <w:t xml:space="preserve"> </w:t>
      </w:r>
      <w:r w:rsidRPr="002029AF">
        <w:t>specific</w:t>
      </w:r>
      <w:r w:rsidR="000A5329" w:rsidRPr="002029AF">
        <w:t xml:space="preserve"> </w:t>
      </w:r>
      <w:r w:rsidRPr="002029AF">
        <w:t>asset(s),</w:t>
      </w:r>
      <w:r w:rsidR="000A5329" w:rsidRPr="002029AF">
        <w:t xml:space="preserve"> </w:t>
      </w:r>
      <w:r w:rsidRPr="002029AF">
        <w:t>and</w:t>
      </w:r>
      <w:r w:rsidR="000A5329" w:rsidRPr="002029AF">
        <w:t xml:space="preserve"> </w:t>
      </w:r>
      <w:r w:rsidRPr="002029AF">
        <w:t>the</w:t>
      </w:r>
      <w:r w:rsidR="000A5329" w:rsidRPr="002029AF">
        <w:t xml:space="preserve"> </w:t>
      </w:r>
      <w:r w:rsidRPr="002029AF">
        <w:t>arrangement</w:t>
      </w:r>
      <w:r w:rsidR="000A5329" w:rsidRPr="002029AF">
        <w:t xml:space="preserve"> </w:t>
      </w:r>
      <w:r w:rsidRPr="002029AF">
        <w:t>conveyed</w:t>
      </w:r>
      <w:r w:rsidR="000A5329" w:rsidRPr="002029AF">
        <w:t xml:space="preserve"> </w:t>
      </w:r>
      <w:r w:rsidRPr="002029AF">
        <w:t>a</w:t>
      </w:r>
      <w:r w:rsidR="000A5329" w:rsidRPr="002029AF">
        <w:t xml:space="preserve"> </w:t>
      </w:r>
      <w:r w:rsidRPr="002029AF">
        <w:t>right</w:t>
      </w:r>
      <w:r w:rsidR="000A5329" w:rsidRPr="002029AF">
        <w:t xml:space="preserve"> </w:t>
      </w:r>
      <w:r w:rsidRPr="002029AF">
        <w:t>to</w:t>
      </w:r>
      <w:r w:rsidR="000A5329" w:rsidRPr="002029AF">
        <w:t xml:space="preserve"> </w:t>
      </w:r>
      <w:r w:rsidRPr="002029AF">
        <w:t>use</w:t>
      </w:r>
      <w:r w:rsidR="000A5329" w:rsidRPr="002029AF">
        <w:t xml:space="preserve"> </w:t>
      </w:r>
      <w:r w:rsidRPr="002029AF">
        <w:t>the</w:t>
      </w:r>
      <w:r w:rsidR="000A5329" w:rsidRPr="002029AF">
        <w:t xml:space="preserve"> </w:t>
      </w:r>
      <w:r w:rsidRPr="002029AF">
        <w:t>asset(s).</w:t>
      </w:r>
    </w:p>
    <w:p w14:paraId="72AA56DC" w14:textId="5879766F" w:rsidR="00087B91" w:rsidRPr="002029AF" w:rsidRDefault="00087B91" w:rsidP="00087B91">
      <w:pPr>
        <w:pStyle w:val="ARfinbody"/>
      </w:pPr>
      <w:r w:rsidRPr="002029AF">
        <w:t>Leases</w:t>
      </w:r>
      <w:r w:rsidR="000A5329" w:rsidRPr="002029AF">
        <w:t xml:space="preserve"> </w:t>
      </w:r>
      <w:r w:rsidRPr="002029AF">
        <w:t>of</w:t>
      </w:r>
      <w:r w:rsidR="000A5329" w:rsidRPr="002029AF">
        <w:t xml:space="preserve"> </w:t>
      </w:r>
      <w:r w:rsidRPr="002029AF">
        <w:t>property,</w:t>
      </w:r>
      <w:r w:rsidR="000A5329" w:rsidRPr="002029AF">
        <w:t xml:space="preserve"> </w:t>
      </w:r>
      <w:r w:rsidRPr="002029AF">
        <w:t>plant</w:t>
      </w:r>
      <w:r w:rsidR="000A5329" w:rsidRPr="002029AF">
        <w:t xml:space="preserve"> </w:t>
      </w:r>
      <w:r w:rsidRPr="002029AF">
        <w:t>and</w:t>
      </w:r>
      <w:r w:rsidR="000A5329" w:rsidRPr="002029AF">
        <w:t xml:space="preserve"> </w:t>
      </w:r>
      <w:r w:rsidRPr="002029AF">
        <w:t>equipment</w:t>
      </w:r>
      <w:r w:rsidR="000A5329" w:rsidRPr="002029AF">
        <w:t xml:space="preserve"> </w:t>
      </w:r>
      <w:r w:rsidRPr="002029AF">
        <w:t>where</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as</w:t>
      </w:r>
      <w:r w:rsidR="000A5329" w:rsidRPr="002029AF">
        <w:t xml:space="preserve"> </w:t>
      </w:r>
      <w:r w:rsidRPr="002029AF">
        <w:t>a</w:t>
      </w:r>
      <w:r w:rsidR="000A5329" w:rsidRPr="002029AF">
        <w:t xml:space="preserve"> </w:t>
      </w:r>
      <w:r w:rsidRPr="002029AF">
        <w:t>lessee</w:t>
      </w:r>
      <w:r w:rsidR="000A5329" w:rsidRPr="002029AF">
        <w:t xml:space="preserve"> </w:t>
      </w:r>
      <w:r w:rsidRPr="002029AF">
        <w:t>had</w:t>
      </w:r>
      <w:r w:rsidR="000A5329" w:rsidRPr="002029AF">
        <w:t xml:space="preserve"> </w:t>
      </w:r>
      <w:r w:rsidRPr="002029AF">
        <w:t>substantially</w:t>
      </w:r>
      <w:r w:rsidR="000A5329" w:rsidRPr="002029AF">
        <w:t xml:space="preserve"> </w:t>
      </w:r>
      <w:r w:rsidRPr="002029AF">
        <w:t>all</w:t>
      </w:r>
      <w:r w:rsidR="000A5329" w:rsidRPr="002029AF">
        <w:t xml:space="preserve"> </w:t>
      </w:r>
      <w:r w:rsidRPr="002029AF">
        <w:t>of</w:t>
      </w:r>
      <w:r w:rsidR="000A5329" w:rsidRPr="002029AF">
        <w:t xml:space="preserve"> </w:t>
      </w:r>
      <w:r w:rsidRPr="002029AF">
        <w:t>the</w:t>
      </w:r>
      <w:r w:rsidR="000A5329" w:rsidRPr="002029AF">
        <w:t xml:space="preserve"> </w:t>
      </w:r>
      <w:r w:rsidRPr="002029AF">
        <w:t>risks</w:t>
      </w:r>
      <w:r w:rsidR="000A5329" w:rsidRPr="002029AF">
        <w:t xml:space="preserve"> </w:t>
      </w:r>
      <w:r w:rsidRPr="002029AF">
        <w:t>and</w:t>
      </w:r>
      <w:r w:rsidR="000A5329" w:rsidRPr="002029AF">
        <w:t xml:space="preserve"> </w:t>
      </w:r>
      <w:r w:rsidRPr="002029AF">
        <w:t>rewards</w:t>
      </w:r>
      <w:r w:rsidR="000A5329" w:rsidRPr="002029AF">
        <w:t xml:space="preserve"> </w:t>
      </w:r>
      <w:r w:rsidRPr="002029AF">
        <w:t>of</w:t>
      </w:r>
      <w:r w:rsidR="000A5329" w:rsidRPr="002029AF">
        <w:t xml:space="preserve"> </w:t>
      </w:r>
      <w:r w:rsidRPr="002029AF">
        <w:t>ownership</w:t>
      </w:r>
      <w:r w:rsidR="000A5329" w:rsidRPr="002029AF">
        <w:t xml:space="preserve"> </w:t>
      </w:r>
      <w:r w:rsidRPr="002029AF">
        <w:t>were</w:t>
      </w:r>
      <w:r w:rsidR="000A5329" w:rsidRPr="002029AF">
        <w:t xml:space="preserve"> </w:t>
      </w:r>
      <w:r w:rsidRPr="002029AF">
        <w:t>classified</w:t>
      </w:r>
      <w:r w:rsidR="000A5329" w:rsidRPr="002029AF">
        <w:t xml:space="preserve"> </w:t>
      </w:r>
      <w:r w:rsidRPr="002029AF">
        <w:t>as</w:t>
      </w:r>
      <w:r w:rsidR="000A5329" w:rsidRPr="002029AF">
        <w:t xml:space="preserve"> </w:t>
      </w:r>
      <w:r w:rsidRPr="002029AF">
        <w:t>finance</w:t>
      </w:r>
      <w:r w:rsidR="000A5329" w:rsidRPr="002029AF">
        <w:t xml:space="preserve"> </w:t>
      </w:r>
      <w:r w:rsidRPr="002029AF">
        <w:t>leases.</w:t>
      </w:r>
      <w:r w:rsidR="000A5329" w:rsidRPr="002029AF">
        <w:t xml:space="preserve"> </w:t>
      </w:r>
      <w:r w:rsidRPr="002029AF">
        <w:t>Finance</w:t>
      </w:r>
      <w:r w:rsidR="000A5329" w:rsidRPr="002029AF">
        <w:t xml:space="preserve"> </w:t>
      </w:r>
      <w:r w:rsidRPr="002029AF">
        <w:t>leases</w:t>
      </w:r>
      <w:r w:rsidR="000A5329" w:rsidRPr="002029AF">
        <w:t xml:space="preserve"> </w:t>
      </w:r>
      <w:r w:rsidRPr="002029AF">
        <w:t>were</w:t>
      </w:r>
      <w:r w:rsidR="000A5329" w:rsidRPr="002029AF">
        <w:t xml:space="preserve"> </w:t>
      </w:r>
      <w:r w:rsidRPr="002029AF">
        <w:t>initially</w:t>
      </w:r>
      <w:r w:rsidR="000A5329" w:rsidRPr="002029AF">
        <w:t xml:space="preserve"> </w:t>
      </w:r>
      <w:r w:rsidRPr="002029AF">
        <w:t>recognised</w:t>
      </w:r>
      <w:r w:rsidR="000A5329" w:rsidRPr="002029AF">
        <w:t xml:space="preserve"> </w:t>
      </w:r>
      <w:r w:rsidRPr="002029AF">
        <w:t>as</w:t>
      </w:r>
      <w:r w:rsidR="000A5329" w:rsidRPr="002029AF">
        <w:t xml:space="preserve"> </w:t>
      </w:r>
      <w:r w:rsidRPr="002029AF">
        <w:t>assets</w:t>
      </w:r>
      <w:r w:rsidR="000A5329" w:rsidRPr="002029AF">
        <w:t xml:space="preserve"> </w:t>
      </w:r>
      <w:r w:rsidRPr="002029AF">
        <w:t>and</w:t>
      </w:r>
      <w:r w:rsidR="000A5329" w:rsidRPr="002029AF">
        <w:t xml:space="preserve"> </w:t>
      </w:r>
      <w:r w:rsidRPr="002029AF">
        <w:t>liabilities</w:t>
      </w:r>
      <w:r w:rsidR="000A5329" w:rsidRPr="002029AF">
        <w:t xml:space="preserve"> </w:t>
      </w:r>
      <w:r w:rsidRPr="002029AF">
        <w:t>at</w:t>
      </w:r>
      <w:r w:rsidR="000A5329" w:rsidRPr="002029AF">
        <w:t xml:space="preserve"> </w:t>
      </w:r>
      <w:r w:rsidRPr="002029AF">
        <w:t>amounts</w:t>
      </w:r>
      <w:r w:rsidR="000A5329" w:rsidRPr="002029AF">
        <w:t xml:space="preserve"> </w:t>
      </w:r>
      <w:r w:rsidRPr="002029AF">
        <w:t>equal</w:t>
      </w:r>
      <w:r w:rsidR="000A5329" w:rsidRPr="002029AF">
        <w:t xml:space="preserve"> </w:t>
      </w:r>
      <w:r w:rsidRPr="002029AF">
        <w:t>to</w:t>
      </w:r>
      <w:r w:rsidR="000A5329" w:rsidRPr="002029AF">
        <w:t xml:space="preserve"> </w:t>
      </w:r>
      <w:r w:rsidRPr="002029AF">
        <w:t>the</w:t>
      </w:r>
      <w:r w:rsidR="000A5329" w:rsidRPr="002029AF">
        <w:t xml:space="preserve"> </w:t>
      </w:r>
      <w:r w:rsidRPr="002029AF">
        <w:t>fair</w:t>
      </w:r>
      <w:r w:rsidR="000A5329" w:rsidRPr="002029AF">
        <w:t xml:space="preserve"> </w:t>
      </w:r>
      <w:r w:rsidRPr="002029AF">
        <w:t>value</w:t>
      </w:r>
      <w:r w:rsidR="000A5329" w:rsidRPr="002029AF">
        <w:t xml:space="preserve"> </w:t>
      </w:r>
      <w:r w:rsidRPr="002029AF">
        <w:t>of</w:t>
      </w:r>
      <w:r w:rsidR="000A5329" w:rsidRPr="002029AF">
        <w:t xml:space="preserve"> </w:t>
      </w:r>
      <w:r w:rsidRPr="002029AF">
        <w:t>the</w:t>
      </w:r>
      <w:r w:rsidR="000A5329" w:rsidRPr="002029AF">
        <w:t xml:space="preserve"> </w:t>
      </w:r>
      <w:r w:rsidRPr="002029AF">
        <w:t>leased</w:t>
      </w:r>
      <w:r w:rsidR="000A5329" w:rsidRPr="002029AF">
        <w:t xml:space="preserve"> </w:t>
      </w:r>
      <w:r w:rsidRPr="002029AF">
        <w:t>property</w:t>
      </w:r>
      <w:r w:rsidR="000A5329" w:rsidRPr="002029AF">
        <w:t xml:space="preserve"> </w:t>
      </w:r>
      <w:r w:rsidRPr="002029AF">
        <w:t>or,</w:t>
      </w:r>
      <w:r w:rsidR="000A5329" w:rsidRPr="002029AF">
        <w:t xml:space="preserve"> </w:t>
      </w:r>
      <w:r w:rsidRPr="002029AF">
        <w:t>if</w:t>
      </w:r>
      <w:r w:rsidR="000A5329" w:rsidRPr="002029AF">
        <w:t xml:space="preserve"> </w:t>
      </w:r>
      <w:r w:rsidRPr="002029AF">
        <w:t>lower,</w:t>
      </w:r>
      <w:r w:rsidR="000A5329" w:rsidRPr="002029AF">
        <w:t xml:space="preserve"> </w:t>
      </w:r>
      <w:r w:rsidRPr="002029AF">
        <w:t>the</w:t>
      </w:r>
      <w:r w:rsidR="000A5329" w:rsidRPr="002029AF">
        <w:t xml:space="preserve"> </w:t>
      </w:r>
      <w:r w:rsidRPr="002029AF">
        <w:t>present</w:t>
      </w:r>
      <w:r w:rsidR="000A5329" w:rsidRPr="002029AF">
        <w:t xml:space="preserve"> </w:t>
      </w:r>
      <w:r w:rsidRPr="002029AF">
        <w:t>value</w:t>
      </w:r>
      <w:r w:rsidR="000A5329" w:rsidRPr="002029AF">
        <w:t xml:space="preserve"> </w:t>
      </w:r>
      <w:r w:rsidRPr="002029AF">
        <w:t>of</w:t>
      </w:r>
      <w:r w:rsidR="000A5329" w:rsidRPr="002029AF">
        <w:t xml:space="preserve"> </w:t>
      </w:r>
      <w:r w:rsidRPr="002029AF">
        <w:t>the</w:t>
      </w:r>
      <w:r w:rsidR="000A5329" w:rsidRPr="002029AF">
        <w:t xml:space="preserve"> </w:t>
      </w:r>
      <w:r w:rsidRPr="002029AF">
        <w:t>minimum</w:t>
      </w:r>
      <w:r w:rsidR="000A5329" w:rsidRPr="002029AF">
        <w:t xml:space="preserve"> </w:t>
      </w:r>
      <w:r w:rsidRPr="002029AF">
        <w:t>lease</w:t>
      </w:r>
      <w:r w:rsidR="000A5329" w:rsidRPr="002029AF">
        <w:t xml:space="preserve"> </w:t>
      </w:r>
      <w:r w:rsidRPr="002029AF">
        <w:t>payments,</w:t>
      </w:r>
      <w:r w:rsidR="000A5329" w:rsidRPr="002029AF">
        <w:t xml:space="preserve"> </w:t>
      </w:r>
      <w:r w:rsidRPr="002029AF">
        <w:t>each</w:t>
      </w:r>
      <w:r w:rsidR="000A5329" w:rsidRPr="002029AF">
        <w:t xml:space="preserve"> </w:t>
      </w:r>
      <w:r w:rsidRPr="002029AF">
        <w:t>determined</w:t>
      </w:r>
      <w:r w:rsidR="000A5329" w:rsidRPr="002029AF">
        <w:t xml:space="preserve"> </w:t>
      </w:r>
      <w:r w:rsidRPr="002029AF">
        <w:t>at</w:t>
      </w:r>
      <w:r w:rsidR="000A5329" w:rsidRPr="002029AF">
        <w:t xml:space="preserve"> </w:t>
      </w:r>
      <w:r w:rsidRPr="002029AF">
        <w:t>the</w:t>
      </w:r>
      <w:r w:rsidR="000A5329" w:rsidRPr="002029AF">
        <w:t xml:space="preserve"> </w:t>
      </w:r>
      <w:r w:rsidRPr="002029AF">
        <w:t>inception</w:t>
      </w:r>
      <w:r w:rsidR="000A5329" w:rsidRPr="002029AF">
        <w:t xml:space="preserve"> </w:t>
      </w:r>
      <w:r w:rsidRPr="002029AF">
        <w:t>of</w:t>
      </w:r>
      <w:r w:rsidR="000A5329" w:rsidRPr="002029AF">
        <w:t xml:space="preserve"> </w:t>
      </w:r>
      <w:r w:rsidRPr="002029AF">
        <w:t>the</w:t>
      </w:r>
      <w:r w:rsidR="000A5329" w:rsidRPr="002029AF">
        <w:t xml:space="preserve"> </w:t>
      </w:r>
      <w:r w:rsidRPr="002029AF">
        <w:t>lease.</w:t>
      </w:r>
      <w:r w:rsidR="000A5329" w:rsidRPr="002029AF">
        <w:t xml:space="preserve"> </w:t>
      </w:r>
      <w:r w:rsidRPr="002029AF">
        <w:t>The</w:t>
      </w:r>
      <w:r w:rsidR="000A5329" w:rsidRPr="002029AF">
        <w:t xml:space="preserve"> </w:t>
      </w:r>
      <w:r w:rsidRPr="002029AF">
        <w:t>leased</w:t>
      </w:r>
      <w:r w:rsidR="000A5329" w:rsidRPr="002029AF">
        <w:t xml:space="preserve"> </w:t>
      </w:r>
      <w:r w:rsidRPr="002029AF">
        <w:t>asset</w:t>
      </w:r>
      <w:r w:rsidR="000A5329" w:rsidRPr="002029AF">
        <w:t xml:space="preserve"> </w:t>
      </w:r>
      <w:r w:rsidRPr="002029AF">
        <w:t>was</w:t>
      </w:r>
      <w:r w:rsidR="000A5329" w:rsidRPr="002029AF">
        <w:t xml:space="preserve"> </w:t>
      </w:r>
      <w:r w:rsidRPr="002029AF">
        <w:t>accounted</w:t>
      </w:r>
      <w:r w:rsidR="000A5329" w:rsidRPr="002029AF">
        <w:t xml:space="preserve"> </w:t>
      </w:r>
      <w:r w:rsidRPr="002029AF">
        <w:t>for</w:t>
      </w:r>
      <w:r w:rsidR="000A5329" w:rsidRPr="002029AF">
        <w:t xml:space="preserve"> </w:t>
      </w:r>
      <w:r w:rsidRPr="002029AF">
        <w:t>as</w:t>
      </w:r>
      <w:r w:rsidR="000A5329" w:rsidRPr="002029AF">
        <w:t xml:space="preserve"> </w:t>
      </w:r>
      <w:r w:rsidRPr="002029AF">
        <w:t>a</w:t>
      </w:r>
      <w:r w:rsidR="000A5329" w:rsidRPr="002029AF">
        <w:t xml:space="preserve"> </w:t>
      </w:r>
      <w:r w:rsidRPr="002029AF">
        <w:t>non-financial</w:t>
      </w:r>
      <w:r w:rsidR="000A5329" w:rsidRPr="002029AF">
        <w:t xml:space="preserve"> </w:t>
      </w:r>
      <w:r w:rsidRPr="002029AF">
        <w:t>physical</w:t>
      </w:r>
      <w:r w:rsidR="000A5329" w:rsidRPr="002029AF">
        <w:t xml:space="preserve"> </w:t>
      </w:r>
      <w:r w:rsidRPr="002029AF">
        <w:t>asset</w:t>
      </w:r>
      <w:r w:rsidR="000A5329" w:rsidRPr="002029AF">
        <w:t xml:space="preserve"> </w:t>
      </w:r>
      <w:r w:rsidRPr="002029AF">
        <w:t>and</w:t>
      </w:r>
      <w:r w:rsidR="000A5329" w:rsidRPr="002029AF">
        <w:t xml:space="preserve"> </w:t>
      </w:r>
      <w:r w:rsidRPr="002029AF">
        <w:t>depreciated</w:t>
      </w:r>
      <w:r w:rsidR="000A5329" w:rsidRPr="002029AF">
        <w:t xml:space="preserve"> </w:t>
      </w:r>
      <w:r w:rsidRPr="002029AF">
        <w:t>over</w:t>
      </w:r>
      <w:r w:rsidR="000A5329" w:rsidRPr="002029AF">
        <w:t xml:space="preserve"> </w:t>
      </w:r>
      <w:r w:rsidRPr="002029AF">
        <w:t>the</w:t>
      </w:r>
      <w:r w:rsidR="000A5329" w:rsidRPr="002029AF">
        <w:t xml:space="preserve"> </w:t>
      </w:r>
      <w:r w:rsidRPr="002029AF">
        <w:t>shorter</w:t>
      </w:r>
      <w:r w:rsidR="000A5329" w:rsidRPr="002029AF">
        <w:t xml:space="preserve"> </w:t>
      </w:r>
      <w:r w:rsidRPr="002029AF">
        <w:t>of</w:t>
      </w:r>
      <w:r w:rsidR="000A5329" w:rsidRPr="002029AF">
        <w:t xml:space="preserve"> </w:t>
      </w:r>
      <w:r w:rsidRPr="002029AF">
        <w:t>the</w:t>
      </w:r>
      <w:r w:rsidR="000A5329" w:rsidRPr="002029AF">
        <w:t xml:space="preserve"> </w:t>
      </w:r>
      <w:r w:rsidRPr="002029AF">
        <w:t>estimated</w:t>
      </w:r>
      <w:r w:rsidR="000A5329" w:rsidRPr="002029AF">
        <w:t xml:space="preserve"> </w:t>
      </w:r>
      <w:r w:rsidRPr="002029AF">
        <w:t>useful</w:t>
      </w:r>
      <w:r w:rsidR="000A5329" w:rsidRPr="002029AF">
        <w:t xml:space="preserve"> </w:t>
      </w:r>
      <w:r w:rsidRPr="002029AF">
        <w:t>life</w:t>
      </w:r>
      <w:r w:rsidR="000A5329" w:rsidRPr="002029AF">
        <w:t xml:space="preserve"> </w:t>
      </w:r>
      <w:r w:rsidRPr="002029AF">
        <w:t>of</w:t>
      </w:r>
      <w:r w:rsidR="000A5329" w:rsidRPr="002029AF">
        <w:t xml:space="preserve"> </w:t>
      </w:r>
      <w:r w:rsidRPr="002029AF">
        <w:t>the</w:t>
      </w:r>
      <w:r w:rsidR="000A5329" w:rsidRPr="002029AF">
        <w:t xml:space="preserve"> </w:t>
      </w:r>
      <w:r w:rsidRPr="002029AF">
        <w:t>asset</w:t>
      </w:r>
      <w:r w:rsidR="000A5329" w:rsidRPr="002029AF">
        <w:t xml:space="preserve"> </w:t>
      </w:r>
      <w:r w:rsidRPr="002029AF">
        <w:t>or</w:t>
      </w:r>
      <w:r w:rsidR="000A5329" w:rsidRPr="002029AF">
        <w:t xml:space="preserve"> </w:t>
      </w:r>
      <w:r w:rsidRPr="002029AF">
        <w:t>the</w:t>
      </w:r>
      <w:r w:rsidR="000A5329" w:rsidRPr="002029AF">
        <w:t xml:space="preserve"> </w:t>
      </w:r>
      <w:r w:rsidRPr="002029AF">
        <w:t>term</w:t>
      </w:r>
      <w:r w:rsidR="000A5329" w:rsidRPr="002029AF">
        <w:t xml:space="preserve"> </w:t>
      </w:r>
      <w:r w:rsidRPr="002029AF">
        <w:t>of</w:t>
      </w:r>
      <w:r w:rsidR="000A5329" w:rsidRPr="002029AF">
        <w:t xml:space="preserve"> </w:t>
      </w:r>
      <w:r w:rsidRPr="002029AF">
        <w:t>the</w:t>
      </w:r>
      <w:r w:rsidR="000A5329" w:rsidRPr="002029AF">
        <w:t xml:space="preserve"> </w:t>
      </w:r>
      <w:r w:rsidRPr="002029AF">
        <w:t>lease.</w:t>
      </w:r>
      <w:r w:rsidR="000A5329" w:rsidRPr="002029AF">
        <w:t xml:space="preserve"> </w:t>
      </w:r>
      <w:r w:rsidRPr="002029AF">
        <w:t>Minimum</w:t>
      </w:r>
      <w:r w:rsidR="000A5329" w:rsidRPr="002029AF">
        <w:t xml:space="preserve"> </w:t>
      </w:r>
      <w:r w:rsidRPr="002029AF">
        <w:t>finance</w:t>
      </w:r>
      <w:r w:rsidR="000A5329" w:rsidRPr="002029AF">
        <w:t xml:space="preserve"> </w:t>
      </w:r>
      <w:r w:rsidRPr="002029AF">
        <w:t>lease</w:t>
      </w:r>
      <w:r w:rsidR="000A5329" w:rsidRPr="002029AF">
        <w:t xml:space="preserve"> </w:t>
      </w:r>
      <w:r w:rsidRPr="002029AF">
        <w:t>payments</w:t>
      </w:r>
      <w:r w:rsidR="000A5329" w:rsidRPr="002029AF">
        <w:t xml:space="preserve"> </w:t>
      </w:r>
      <w:r w:rsidRPr="002029AF">
        <w:t>were</w:t>
      </w:r>
      <w:r w:rsidR="000A5329" w:rsidRPr="002029AF">
        <w:t xml:space="preserve"> </w:t>
      </w:r>
      <w:r w:rsidRPr="002029AF">
        <w:t>apportioned</w:t>
      </w:r>
      <w:r w:rsidR="000A5329" w:rsidRPr="002029AF">
        <w:t xml:space="preserve"> </w:t>
      </w:r>
      <w:r w:rsidRPr="002029AF">
        <w:t>between</w:t>
      </w:r>
      <w:r w:rsidR="000A5329" w:rsidRPr="002029AF">
        <w:t xml:space="preserve"> </w:t>
      </w:r>
      <w:r w:rsidRPr="002029AF">
        <w:t>the</w:t>
      </w:r>
      <w:r w:rsidR="000A5329" w:rsidRPr="002029AF">
        <w:t xml:space="preserve"> </w:t>
      </w:r>
      <w:r w:rsidRPr="002029AF">
        <w:t>reduction</w:t>
      </w:r>
      <w:r w:rsidR="000A5329" w:rsidRPr="002029AF">
        <w:t xml:space="preserve"> </w:t>
      </w:r>
      <w:r w:rsidRPr="002029AF">
        <w:t>of</w:t>
      </w:r>
      <w:r w:rsidR="000A5329" w:rsidRPr="002029AF">
        <w:t xml:space="preserve"> </w:t>
      </w:r>
      <w:r w:rsidRPr="002029AF">
        <w:t>the</w:t>
      </w:r>
      <w:r w:rsidR="000A5329" w:rsidRPr="002029AF">
        <w:t xml:space="preserve"> </w:t>
      </w:r>
      <w:r w:rsidRPr="002029AF">
        <w:t>outstanding</w:t>
      </w:r>
      <w:r w:rsidR="000A5329" w:rsidRPr="002029AF">
        <w:t xml:space="preserve"> </w:t>
      </w:r>
      <w:r w:rsidRPr="002029AF">
        <w:t>lease</w:t>
      </w:r>
      <w:r w:rsidR="000A5329" w:rsidRPr="002029AF">
        <w:t xml:space="preserve"> </w:t>
      </w:r>
      <w:r w:rsidRPr="002029AF">
        <w:t>liability</w:t>
      </w:r>
      <w:r w:rsidR="000A5329" w:rsidRPr="002029AF">
        <w:t xml:space="preserve"> </w:t>
      </w:r>
      <w:r w:rsidRPr="002029AF">
        <w:t>and</w:t>
      </w:r>
      <w:r w:rsidR="000A5329" w:rsidRPr="002029AF">
        <w:t xml:space="preserve"> </w:t>
      </w:r>
      <w:r w:rsidRPr="002029AF">
        <w:t>the</w:t>
      </w:r>
      <w:r w:rsidR="000A5329" w:rsidRPr="002029AF">
        <w:t xml:space="preserve"> </w:t>
      </w:r>
      <w:r w:rsidRPr="002029AF">
        <w:t>periodic</w:t>
      </w:r>
      <w:r w:rsidR="000A5329" w:rsidRPr="002029AF">
        <w:t xml:space="preserve"> </w:t>
      </w:r>
      <w:r w:rsidRPr="002029AF">
        <w:t>finance</w:t>
      </w:r>
      <w:r w:rsidR="000A5329" w:rsidRPr="002029AF">
        <w:t xml:space="preserve"> </w:t>
      </w:r>
      <w:r w:rsidRPr="002029AF">
        <w:t>lease</w:t>
      </w:r>
      <w:r w:rsidR="000A5329" w:rsidRPr="002029AF">
        <w:t xml:space="preserve"> </w:t>
      </w:r>
      <w:r w:rsidRPr="002029AF">
        <w:t>expense,</w:t>
      </w:r>
      <w:r w:rsidR="000A5329" w:rsidRPr="002029AF">
        <w:t xml:space="preserve"> </w:t>
      </w:r>
      <w:r w:rsidRPr="002029AF">
        <w:t>which</w:t>
      </w:r>
      <w:r w:rsidR="000A5329" w:rsidRPr="002029AF">
        <w:t xml:space="preserve"> </w:t>
      </w:r>
      <w:r w:rsidRPr="002029AF">
        <w:t>was</w:t>
      </w:r>
      <w:r w:rsidR="000A5329" w:rsidRPr="002029AF">
        <w:t xml:space="preserve"> </w:t>
      </w:r>
      <w:r w:rsidRPr="002029AF">
        <w:t>calculated</w:t>
      </w:r>
      <w:r w:rsidR="000A5329" w:rsidRPr="002029AF">
        <w:t xml:space="preserve"> </w:t>
      </w:r>
      <w:r w:rsidRPr="002029AF">
        <w:t>using</w:t>
      </w:r>
      <w:r w:rsidR="000A5329" w:rsidRPr="002029AF">
        <w:t xml:space="preserve"> </w:t>
      </w:r>
      <w:r w:rsidRPr="002029AF">
        <w:t>the</w:t>
      </w:r>
      <w:r w:rsidR="000A5329" w:rsidRPr="002029AF">
        <w:t xml:space="preserve"> </w:t>
      </w:r>
      <w:r w:rsidRPr="002029AF">
        <w:t>interest</w:t>
      </w:r>
      <w:r w:rsidR="000A5329" w:rsidRPr="002029AF">
        <w:t xml:space="preserve"> </w:t>
      </w:r>
      <w:r w:rsidRPr="002029AF">
        <w:t>rate</w:t>
      </w:r>
      <w:r w:rsidR="000A5329" w:rsidRPr="002029AF">
        <w:t xml:space="preserve"> </w:t>
      </w:r>
      <w:r w:rsidRPr="002029AF">
        <w:t>implicit</w:t>
      </w:r>
      <w:r w:rsidR="000A5329" w:rsidRPr="002029AF">
        <w:t xml:space="preserve"> </w:t>
      </w:r>
      <w:r w:rsidRPr="002029AF">
        <w:t>in</w:t>
      </w:r>
      <w:r w:rsidR="000A5329" w:rsidRPr="002029AF">
        <w:t xml:space="preserve"> </w:t>
      </w:r>
      <w:r w:rsidRPr="002029AF">
        <w:t>the</w:t>
      </w:r>
      <w:r w:rsidR="000A5329" w:rsidRPr="002029AF">
        <w:t xml:space="preserve"> </w:t>
      </w:r>
      <w:r w:rsidRPr="002029AF">
        <w:t>lease</w:t>
      </w:r>
      <w:r w:rsidR="000A5329" w:rsidRPr="002029AF">
        <w:t xml:space="preserve"> </w:t>
      </w:r>
      <w:r w:rsidRPr="002029AF">
        <w:t>and</w:t>
      </w:r>
      <w:r w:rsidR="000A5329" w:rsidRPr="002029AF">
        <w:t xml:space="preserve"> </w:t>
      </w:r>
      <w:r w:rsidRPr="002029AF">
        <w:t>charged</w:t>
      </w:r>
      <w:r w:rsidR="000A5329" w:rsidRPr="002029AF">
        <w:t xml:space="preserve"> </w:t>
      </w:r>
      <w:r w:rsidRPr="002029AF">
        <w:t>directly</w:t>
      </w:r>
      <w:r w:rsidR="000A5329" w:rsidRPr="002029AF">
        <w:t xml:space="preserve"> </w:t>
      </w:r>
      <w:r w:rsidRPr="002029AF">
        <w:t>to</w:t>
      </w:r>
      <w:r w:rsidR="000A5329" w:rsidRPr="002029AF">
        <w:t xml:space="preserve"> </w:t>
      </w:r>
      <w:r w:rsidRPr="002029AF">
        <w:t>the</w:t>
      </w:r>
      <w:r w:rsidR="000A5329" w:rsidRPr="002029AF">
        <w:t xml:space="preserve"> </w:t>
      </w:r>
      <w:r w:rsidRPr="002029AF">
        <w:t>comprehensive</w:t>
      </w:r>
      <w:r w:rsidR="000A5329" w:rsidRPr="002029AF">
        <w:t xml:space="preserve"> </w:t>
      </w:r>
      <w:r w:rsidRPr="002029AF">
        <w:t>operating</w:t>
      </w:r>
      <w:r w:rsidR="000A5329" w:rsidRPr="002029AF">
        <w:t xml:space="preserve"> </w:t>
      </w:r>
      <w:r w:rsidRPr="002029AF">
        <w:t>statement.</w:t>
      </w:r>
    </w:p>
    <w:p w14:paraId="0BD32665" w14:textId="673566E7" w:rsidR="00087B91" w:rsidRPr="002029AF" w:rsidRDefault="00087B91" w:rsidP="00087B91">
      <w:pPr>
        <w:pStyle w:val="ARfinbody"/>
      </w:pPr>
      <w:r w:rsidRPr="002029AF">
        <w:t>Contingent</w:t>
      </w:r>
      <w:r w:rsidR="000A5329" w:rsidRPr="002029AF">
        <w:t xml:space="preserve"> </w:t>
      </w:r>
      <w:r w:rsidRPr="002029AF">
        <w:t>rentals</w:t>
      </w:r>
      <w:r w:rsidR="000A5329" w:rsidRPr="002029AF">
        <w:t xml:space="preserve"> </w:t>
      </w:r>
      <w:r w:rsidRPr="002029AF">
        <w:t>associated</w:t>
      </w:r>
      <w:r w:rsidR="000A5329" w:rsidRPr="002029AF">
        <w:t xml:space="preserve"> </w:t>
      </w:r>
      <w:r w:rsidRPr="002029AF">
        <w:t>with</w:t>
      </w:r>
      <w:r w:rsidR="000A5329" w:rsidRPr="002029AF">
        <w:t xml:space="preserve"> </w:t>
      </w:r>
      <w:r w:rsidRPr="002029AF">
        <w:t>finance</w:t>
      </w:r>
      <w:r w:rsidR="000A5329" w:rsidRPr="002029AF">
        <w:t xml:space="preserve"> </w:t>
      </w:r>
      <w:r w:rsidRPr="002029AF">
        <w:t>leases</w:t>
      </w:r>
      <w:r w:rsidR="000A5329" w:rsidRPr="002029AF">
        <w:t xml:space="preserve"> </w:t>
      </w:r>
      <w:r w:rsidRPr="002029AF">
        <w:t>were</w:t>
      </w:r>
      <w:r w:rsidR="000A5329" w:rsidRPr="002029AF">
        <w:t xml:space="preserve"> </w:t>
      </w:r>
      <w:r w:rsidRPr="002029AF">
        <w:t>recognised</w:t>
      </w:r>
      <w:r w:rsidR="000A5329" w:rsidRPr="002029AF">
        <w:t xml:space="preserve"> </w:t>
      </w:r>
      <w:r w:rsidRPr="002029AF">
        <w:t>as</w:t>
      </w:r>
      <w:r w:rsidR="000A5329" w:rsidRPr="002029AF">
        <w:t xml:space="preserve"> </w:t>
      </w:r>
      <w:r w:rsidRPr="002029AF">
        <w:t>an</w:t>
      </w:r>
      <w:r w:rsidR="000A5329" w:rsidRPr="002029AF">
        <w:t xml:space="preserve"> </w:t>
      </w:r>
      <w:r w:rsidRPr="002029AF">
        <w:t>expense</w:t>
      </w:r>
      <w:r w:rsidR="000A5329" w:rsidRPr="002029AF">
        <w:t xml:space="preserve"> </w:t>
      </w:r>
      <w:r w:rsidRPr="002029AF">
        <w:t>in</w:t>
      </w:r>
      <w:r w:rsidR="000A5329" w:rsidRPr="002029AF">
        <w:t xml:space="preserve"> </w:t>
      </w:r>
      <w:r w:rsidRPr="002029AF">
        <w:t>the</w:t>
      </w:r>
      <w:r w:rsidR="000A5329" w:rsidRPr="002029AF">
        <w:t xml:space="preserve"> </w:t>
      </w:r>
      <w:r w:rsidRPr="002029AF">
        <w:t>period</w:t>
      </w:r>
      <w:r w:rsidR="000A5329" w:rsidRPr="002029AF">
        <w:t xml:space="preserve"> </w:t>
      </w:r>
      <w:r w:rsidRPr="002029AF">
        <w:t>in</w:t>
      </w:r>
      <w:r w:rsidR="000A5329" w:rsidRPr="002029AF">
        <w:t xml:space="preserve"> </w:t>
      </w:r>
      <w:r w:rsidRPr="002029AF">
        <w:t>which</w:t>
      </w:r>
      <w:r w:rsidR="000A5329" w:rsidRPr="002029AF">
        <w:t xml:space="preserve"> </w:t>
      </w:r>
      <w:r w:rsidRPr="002029AF">
        <w:t>they</w:t>
      </w:r>
      <w:r w:rsidR="000A5329" w:rsidRPr="002029AF">
        <w:t xml:space="preserve"> </w:t>
      </w:r>
      <w:r w:rsidRPr="002029AF">
        <w:t>were</w:t>
      </w:r>
      <w:r w:rsidR="000A5329" w:rsidRPr="002029AF">
        <w:t xml:space="preserve"> </w:t>
      </w:r>
      <w:r w:rsidRPr="002029AF">
        <w:t>incurred.</w:t>
      </w:r>
    </w:p>
    <w:p w14:paraId="3E749688" w14:textId="026C2190" w:rsidR="00087B91" w:rsidRPr="002029AF" w:rsidRDefault="00087B91" w:rsidP="00087B91">
      <w:pPr>
        <w:pStyle w:val="ARfinbody"/>
      </w:pPr>
      <w:r w:rsidRPr="002029AF">
        <w:t>Assets</w:t>
      </w:r>
      <w:r w:rsidR="000A5329" w:rsidRPr="002029AF">
        <w:t xml:space="preserve"> </w:t>
      </w:r>
      <w:r w:rsidRPr="002029AF">
        <w:t>held</w:t>
      </w:r>
      <w:r w:rsidR="000A5329" w:rsidRPr="002029AF">
        <w:t xml:space="preserve"> </w:t>
      </w:r>
      <w:r w:rsidRPr="002029AF">
        <w:t>under</w:t>
      </w:r>
      <w:r w:rsidR="000A5329" w:rsidRPr="002029AF">
        <w:t xml:space="preserve"> </w:t>
      </w:r>
      <w:r w:rsidRPr="002029AF">
        <w:t>other</w:t>
      </w:r>
      <w:r w:rsidR="000A5329" w:rsidRPr="002029AF">
        <w:t xml:space="preserve"> </w:t>
      </w:r>
      <w:r w:rsidRPr="002029AF">
        <w:t>leases</w:t>
      </w:r>
      <w:r w:rsidR="000A5329" w:rsidRPr="002029AF">
        <w:t xml:space="preserve"> </w:t>
      </w:r>
      <w:r w:rsidRPr="002029AF">
        <w:t>were</w:t>
      </w:r>
      <w:r w:rsidR="000A5329" w:rsidRPr="002029AF">
        <w:t xml:space="preserve"> </w:t>
      </w:r>
      <w:r w:rsidRPr="002029AF">
        <w:t>classified</w:t>
      </w:r>
      <w:r w:rsidR="000A5329" w:rsidRPr="002029AF">
        <w:t xml:space="preserve"> </w:t>
      </w:r>
      <w:r w:rsidRPr="002029AF">
        <w:t>as</w:t>
      </w:r>
      <w:r w:rsidR="000A5329" w:rsidRPr="002029AF">
        <w:t xml:space="preserve"> </w:t>
      </w:r>
      <w:r w:rsidRPr="002029AF">
        <w:t>operating</w:t>
      </w:r>
      <w:r w:rsidR="000A5329" w:rsidRPr="002029AF">
        <w:t xml:space="preserve"> </w:t>
      </w:r>
      <w:r w:rsidRPr="002029AF">
        <w:t>leases</w:t>
      </w:r>
      <w:r w:rsidR="000A5329" w:rsidRPr="002029AF">
        <w:t xml:space="preserve"> </w:t>
      </w:r>
      <w:r w:rsidRPr="002029AF">
        <w:t>and</w:t>
      </w:r>
      <w:r w:rsidR="000A5329" w:rsidRPr="002029AF">
        <w:t xml:space="preserve"> </w:t>
      </w:r>
      <w:r w:rsidRPr="002029AF">
        <w:t>were</w:t>
      </w:r>
      <w:r w:rsidR="000A5329" w:rsidRPr="002029AF">
        <w:t xml:space="preserve"> </w:t>
      </w:r>
      <w:r w:rsidRPr="002029AF">
        <w:t>not</w:t>
      </w:r>
      <w:r w:rsidR="000A5329" w:rsidRPr="002029AF">
        <w:t xml:space="preserve"> </w:t>
      </w:r>
      <w:r w:rsidRPr="002029AF">
        <w:t>recognised</w:t>
      </w:r>
      <w:r w:rsidR="000A5329" w:rsidRPr="002029AF">
        <w:t xml:space="preserve"> </w:t>
      </w:r>
      <w:r w:rsidRPr="002029AF">
        <w:t>in</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balance</w:t>
      </w:r>
      <w:r w:rsidR="000A5329" w:rsidRPr="002029AF">
        <w:t xml:space="preserve"> </w:t>
      </w:r>
      <w:r w:rsidRPr="002029AF">
        <w:t>sheet.</w:t>
      </w:r>
      <w:r w:rsidR="000A5329" w:rsidRPr="002029AF">
        <w:t xml:space="preserve"> </w:t>
      </w:r>
      <w:r w:rsidRPr="002029AF">
        <w:t>Operating</w:t>
      </w:r>
      <w:r w:rsidR="000A5329" w:rsidRPr="002029AF">
        <w:t xml:space="preserve"> </w:t>
      </w:r>
      <w:r w:rsidRPr="002029AF">
        <w:t>lease</w:t>
      </w:r>
      <w:r w:rsidR="000A5329" w:rsidRPr="002029AF">
        <w:t xml:space="preserve"> </w:t>
      </w:r>
      <w:r w:rsidRPr="002029AF">
        <w:t>payments</w:t>
      </w:r>
      <w:r w:rsidR="000A5329" w:rsidRPr="002029AF">
        <w:t xml:space="preserve"> </w:t>
      </w:r>
      <w:r w:rsidRPr="002029AF">
        <w:t>were</w:t>
      </w:r>
      <w:r w:rsidR="000A5329" w:rsidRPr="002029AF">
        <w:t xml:space="preserve"> </w:t>
      </w:r>
      <w:r w:rsidRPr="002029AF">
        <w:t>recognised</w:t>
      </w:r>
      <w:r w:rsidR="000A5329" w:rsidRPr="002029AF">
        <w:t xml:space="preserve"> </w:t>
      </w:r>
      <w:r w:rsidRPr="002029AF">
        <w:t>as</w:t>
      </w:r>
      <w:r w:rsidR="000A5329" w:rsidRPr="002029AF">
        <w:t xml:space="preserve"> </w:t>
      </w:r>
      <w:r w:rsidRPr="002029AF">
        <w:t>an</w:t>
      </w:r>
      <w:r w:rsidR="000A5329" w:rsidRPr="002029AF">
        <w:t xml:space="preserve"> </w:t>
      </w:r>
      <w:r w:rsidRPr="002029AF">
        <w:t>operating</w:t>
      </w:r>
      <w:r w:rsidR="000A5329" w:rsidRPr="002029AF">
        <w:t xml:space="preserve"> </w:t>
      </w:r>
      <w:r w:rsidRPr="002029AF">
        <w:t>expense</w:t>
      </w:r>
      <w:r w:rsidR="000A5329" w:rsidRPr="002029AF">
        <w:t xml:space="preserve"> </w:t>
      </w:r>
      <w:r w:rsidRPr="002029AF">
        <w:t>in</w:t>
      </w:r>
      <w:r w:rsidR="000A5329" w:rsidRPr="002029AF">
        <w:t xml:space="preserve"> </w:t>
      </w:r>
      <w:r w:rsidRPr="002029AF">
        <w:t>the</w:t>
      </w:r>
      <w:r w:rsidR="000A5329" w:rsidRPr="002029AF">
        <w:t xml:space="preserve"> </w:t>
      </w:r>
      <w:r w:rsidRPr="002029AF">
        <w:t>comprehensive</w:t>
      </w:r>
      <w:r w:rsidR="000A5329" w:rsidRPr="002029AF">
        <w:t xml:space="preserve"> </w:t>
      </w:r>
      <w:r w:rsidRPr="002029AF">
        <w:t>operating</w:t>
      </w:r>
      <w:r w:rsidR="000A5329" w:rsidRPr="002029AF">
        <w:t xml:space="preserve"> </w:t>
      </w:r>
      <w:r w:rsidRPr="002029AF">
        <w:t>statement</w:t>
      </w:r>
      <w:r w:rsidR="000A5329" w:rsidRPr="002029AF">
        <w:t xml:space="preserve"> </w:t>
      </w:r>
      <w:r w:rsidRPr="002029AF">
        <w:t>on</w:t>
      </w:r>
      <w:r w:rsidR="000A5329" w:rsidRPr="002029AF">
        <w:t xml:space="preserve"> </w:t>
      </w:r>
      <w:r w:rsidRPr="002029AF">
        <w:t>a</w:t>
      </w:r>
      <w:r w:rsidR="000A5329" w:rsidRPr="002029AF">
        <w:t xml:space="preserve"> </w:t>
      </w:r>
      <w:r w:rsidRPr="002029AF">
        <w:t>straight-line</w:t>
      </w:r>
      <w:r w:rsidR="000A5329" w:rsidRPr="002029AF">
        <w:t xml:space="preserve"> </w:t>
      </w:r>
      <w:r w:rsidRPr="002029AF">
        <w:t>basis</w:t>
      </w:r>
      <w:r w:rsidR="000A5329" w:rsidRPr="002029AF">
        <w:t xml:space="preserve"> </w:t>
      </w:r>
      <w:r w:rsidRPr="002029AF">
        <w:t>over</w:t>
      </w:r>
      <w:r w:rsidR="000A5329" w:rsidRPr="002029AF">
        <w:t xml:space="preserve"> </w:t>
      </w:r>
      <w:r w:rsidRPr="002029AF">
        <w:t>the</w:t>
      </w:r>
      <w:r w:rsidR="000A5329" w:rsidRPr="002029AF">
        <w:t xml:space="preserve"> </w:t>
      </w:r>
      <w:r w:rsidRPr="002029AF">
        <w:t>lease</w:t>
      </w:r>
      <w:r w:rsidR="000A5329" w:rsidRPr="002029AF">
        <w:t xml:space="preserve"> </w:t>
      </w:r>
      <w:r w:rsidRPr="002029AF">
        <w:t>term.</w:t>
      </w:r>
    </w:p>
    <w:p w14:paraId="19BFAED5" w14:textId="066BDAC8" w:rsidR="00087B91" w:rsidRPr="002029AF" w:rsidRDefault="00087B91" w:rsidP="00087B91">
      <w:pPr>
        <w:pStyle w:val="Heading4"/>
      </w:pPr>
      <w:bookmarkStart w:id="369" w:name="_Toc39242158"/>
      <w:r w:rsidRPr="002029AF">
        <w:t>7.3</w:t>
      </w:r>
      <w:r w:rsidR="000A5329" w:rsidRPr="002029AF">
        <w:t xml:space="preserve"> </w:t>
      </w:r>
      <w:r w:rsidRPr="002029AF">
        <w:t>Cash</w:t>
      </w:r>
      <w:r w:rsidR="000A5329" w:rsidRPr="002029AF">
        <w:t xml:space="preserve"> </w:t>
      </w:r>
      <w:r w:rsidRPr="002029AF">
        <w:t>flow</w:t>
      </w:r>
      <w:r w:rsidR="000A5329" w:rsidRPr="002029AF">
        <w:t xml:space="preserve"> </w:t>
      </w:r>
      <w:r w:rsidRPr="002029AF">
        <w:t>information</w:t>
      </w:r>
      <w:r w:rsidR="000A5329" w:rsidRPr="002029AF">
        <w:t xml:space="preserve"> </w:t>
      </w:r>
      <w:r w:rsidRPr="002029AF">
        <w:t>and</w:t>
      </w:r>
      <w:r w:rsidR="000A5329" w:rsidRPr="002029AF">
        <w:t xml:space="preserve"> </w:t>
      </w:r>
      <w:r w:rsidRPr="002029AF">
        <w:t>balances</w:t>
      </w:r>
      <w:bookmarkEnd w:id="369"/>
    </w:p>
    <w:p w14:paraId="69A2E988" w14:textId="37B0AE11" w:rsidR="00087B91" w:rsidRPr="002029AF" w:rsidRDefault="00087B91" w:rsidP="00087B91">
      <w:pPr>
        <w:pStyle w:val="ARfinbodylargespace"/>
      </w:pPr>
      <w:r w:rsidRPr="002029AF">
        <w:t>Cash</w:t>
      </w:r>
      <w:r w:rsidR="000A5329" w:rsidRPr="002029AF">
        <w:t xml:space="preserve"> </w:t>
      </w:r>
      <w:r w:rsidRPr="002029AF">
        <w:t>and</w:t>
      </w:r>
      <w:r w:rsidR="000A5329" w:rsidRPr="002029AF">
        <w:t xml:space="preserve"> </w:t>
      </w:r>
      <w:r w:rsidRPr="002029AF">
        <w:t>deposits,</w:t>
      </w:r>
      <w:r w:rsidR="000A5329" w:rsidRPr="002029AF">
        <w:t xml:space="preserve"> </w:t>
      </w:r>
      <w:r w:rsidRPr="002029AF">
        <w:t>including</w:t>
      </w:r>
      <w:r w:rsidR="000A5329" w:rsidRPr="002029AF">
        <w:t xml:space="preserve"> </w:t>
      </w:r>
      <w:r w:rsidRPr="002029AF">
        <w:t>cash</w:t>
      </w:r>
      <w:r w:rsidR="000A5329" w:rsidRPr="002029AF">
        <w:t xml:space="preserve"> </w:t>
      </w:r>
      <w:r w:rsidRPr="002029AF">
        <w:t>equivalents,</w:t>
      </w:r>
      <w:r w:rsidR="000A5329" w:rsidRPr="002029AF">
        <w:t xml:space="preserve"> </w:t>
      </w:r>
      <w:r w:rsidRPr="002029AF">
        <w:t>comprise</w:t>
      </w:r>
      <w:r w:rsidR="000A5329" w:rsidRPr="002029AF">
        <w:t xml:space="preserve"> </w:t>
      </w:r>
      <w:r w:rsidRPr="002029AF">
        <w:t>cash</w:t>
      </w:r>
      <w:r w:rsidR="000A5329" w:rsidRPr="002029AF">
        <w:t xml:space="preserve"> </w:t>
      </w:r>
      <w:r w:rsidRPr="002029AF">
        <w:t>on</w:t>
      </w:r>
      <w:r w:rsidR="000A5329" w:rsidRPr="002029AF">
        <w:t xml:space="preserve"> </w:t>
      </w:r>
      <w:r w:rsidRPr="002029AF">
        <w:t>hand</w:t>
      </w:r>
      <w:r w:rsidR="000A5329" w:rsidRPr="002029AF">
        <w:t xml:space="preserve"> </w:t>
      </w:r>
      <w:r w:rsidRPr="002029AF">
        <w:t>and</w:t>
      </w:r>
      <w:r w:rsidR="000A5329" w:rsidRPr="002029AF">
        <w:t xml:space="preserve"> </w:t>
      </w:r>
      <w:r w:rsidRPr="002029AF">
        <w:t>cash</w:t>
      </w:r>
      <w:r w:rsidR="000A5329" w:rsidRPr="002029AF">
        <w:t xml:space="preserve"> </w:t>
      </w:r>
      <w:r w:rsidRPr="002029AF">
        <w:t>at</w:t>
      </w:r>
      <w:r w:rsidR="000A5329" w:rsidRPr="002029AF">
        <w:t xml:space="preserve"> </w:t>
      </w:r>
      <w:r w:rsidRPr="002029AF">
        <w:t>bank,</w:t>
      </w:r>
      <w:r w:rsidR="000A5329" w:rsidRPr="002029AF">
        <w:t xml:space="preserve"> </w:t>
      </w:r>
      <w:r w:rsidRPr="002029AF">
        <w:t>deposits</w:t>
      </w:r>
      <w:r w:rsidR="000A5329" w:rsidRPr="002029AF">
        <w:t xml:space="preserve"> </w:t>
      </w:r>
      <w:r w:rsidRPr="002029AF">
        <w:t>at</w:t>
      </w:r>
      <w:r w:rsidR="000A5329" w:rsidRPr="002029AF">
        <w:t xml:space="preserve"> </w:t>
      </w:r>
      <w:r w:rsidRPr="002029AF">
        <w:t>call</w:t>
      </w:r>
      <w:r w:rsidR="000A5329" w:rsidRPr="002029AF">
        <w:t xml:space="preserve"> </w:t>
      </w:r>
      <w:r w:rsidRPr="002029AF">
        <w:t>and</w:t>
      </w:r>
      <w:r w:rsidR="000A5329" w:rsidRPr="002029AF">
        <w:t xml:space="preserve"> </w:t>
      </w:r>
      <w:r w:rsidRPr="002029AF">
        <w:t>highly</w:t>
      </w:r>
      <w:r w:rsidR="000A5329" w:rsidRPr="002029AF">
        <w:t xml:space="preserve"> </w:t>
      </w:r>
      <w:r w:rsidRPr="002029AF">
        <w:t>liquid</w:t>
      </w:r>
      <w:r w:rsidR="000A5329" w:rsidRPr="002029AF">
        <w:t xml:space="preserve"> </w:t>
      </w:r>
      <w:r w:rsidRPr="002029AF">
        <w:t>investments</w:t>
      </w:r>
      <w:r w:rsidR="000A5329" w:rsidRPr="002029AF">
        <w:t xml:space="preserve"> </w:t>
      </w:r>
      <w:r w:rsidRPr="002029AF">
        <w:t>with</w:t>
      </w:r>
      <w:r w:rsidR="000A5329" w:rsidRPr="002029AF">
        <w:t xml:space="preserve"> </w:t>
      </w:r>
      <w:r w:rsidRPr="002029AF">
        <w:t>an</w:t>
      </w:r>
      <w:r w:rsidR="000A5329" w:rsidRPr="002029AF">
        <w:t xml:space="preserve"> </w:t>
      </w:r>
      <w:r w:rsidRPr="002029AF">
        <w:t>original</w:t>
      </w:r>
      <w:r w:rsidR="000A5329" w:rsidRPr="002029AF">
        <w:t xml:space="preserve"> </w:t>
      </w:r>
      <w:r w:rsidRPr="002029AF">
        <w:t>maturity</w:t>
      </w:r>
      <w:r w:rsidR="000A5329" w:rsidRPr="002029AF">
        <w:t xml:space="preserve"> </w:t>
      </w:r>
      <w:r w:rsidRPr="002029AF">
        <w:t>of</w:t>
      </w:r>
      <w:r w:rsidR="000A5329" w:rsidRPr="002029AF">
        <w:t xml:space="preserve"> </w:t>
      </w:r>
      <w:r w:rsidRPr="002029AF">
        <w:t>three</w:t>
      </w:r>
      <w:r w:rsidR="000A5329" w:rsidRPr="002029AF">
        <w:t xml:space="preserve"> </w:t>
      </w:r>
      <w:r w:rsidRPr="002029AF">
        <w:t>months</w:t>
      </w:r>
      <w:r w:rsidR="000A5329" w:rsidRPr="002029AF">
        <w:t xml:space="preserve"> </w:t>
      </w:r>
      <w:r w:rsidRPr="002029AF">
        <w:t>or</w:t>
      </w:r>
      <w:r w:rsidR="000A5329" w:rsidRPr="002029AF">
        <w:t xml:space="preserve"> </w:t>
      </w:r>
      <w:r w:rsidRPr="002029AF">
        <w:t>less,</w:t>
      </w:r>
      <w:r w:rsidR="000A5329" w:rsidRPr="002029AF">
        <w:t xml:space="preserve"> </w:t>
      </w:r>
      <w:r w:rsidRPr="002029AF">
        <w:t>which</w:t>
      </w:r>
      <w:r w:rsidR="000A5329" w:rsidRPr="002029AF">
        <w:t xml:space="preserve"> </w:t>
      </w:r>
      <w:r w:rsidRPr="002029AF">
        <w:t>are</w:t>
      </w:r>
      <w:r w:rsidR="000A5329" w:rsidRPr="002029AF">
        <w:t xml:space="preserve"> </w:t>
      </w:r>
      <w:r w:rsidRPr="002029AF">
        <w:t>held</w:t>
      </w:r>
      <w:r w:rsidR="000A5329" w:rsidRPr="002029AF">
        <w:t xml:space="preserve"> </w:t>
      </w:r>
      <w:r w:rsidRPr="002029AF">
        <w:t>for</w:t>
      </w:r>
      <w:r w:rsidR="000A5329" w:rsidRPr="002029AF">
        <w:t xml:space="preserve"> </w:t>
      </w:r>
      <w:r w:rsidRPr="002029AF">
        <w:t>the</w:t>
      </w:r>
      <w:r w:rsidR="000A5329" w:rsidRPr="002029AF">
        <w:t xml:space="preserve"> </w:t>
      </w:r>
      <w:r w:rsidRPr="002029AF">
        <w:t>purpose</w:t>
      </w:r>
      <w:r w:rsidR="000A5329" w:rsidRPr="002029AF">
        <w:t xml:space="preserve"> </w:t>
      </w:r>
      <w:r w:rsidRPr="002029AF">
        <w:t>of</w:t>
      </w:r>
      <w:r w:rsidR="000A5329" w:rsidRPr="002029AF">
        <w:t xml:space="preserve"> </w:t>
      </w:r>
      <w:r w:rsidRPr="002029AF">
        <w:t>meeting</w:t>
      </w:r>
      <w:r w:rsidR="000A5329" w:rsidRPr="002029AF">
        <w:t xml:space="preserve"> </w:t>
      </w:r>
      <w:r w:rsidRPr="002029AF">
        <w:t>short-term</w:t>
      </w:r>
      <w:r w:rsidR="000A5329" w:rsidRPr="002029AF">
        <w:t xml:space="preserve"> </w:t>
      </w:r>
      <w:r w:rsidRPr="002029AF">
        <w:t>cash</w:t>
      </w:r>
      <w:r w:rsidR="000A5329" w:rsidRPr="002029AF">
        <w:t xml:space="preserve"> </w:t>
      </w:r>
      <w:r w:rsidRPr="002029AF">
        <w:t>commitments</w:t>
      </w:r>
      <w:r w:rsidR="000A5329" w:rsidRPr="002029AF">
        <w:t xml:space="preserve"> </w:t>
      </w:r>
      <w:r w:rsidRPr="002029AF">
        <w:t>rather</w:t>
      </w:r>
      <w:r w:rsidR="000A5329" w:rsidRPr="002029AF">
        <w:t xml:space="preserve"> </w:t>
      </w:r>
      <w:r w:rsidRPr="002029AF">
        <w:t>than</w:t>
      </w:r>
      <w:r w:rsidR="000A5329" w:rsidRPr="002029AF">
        <w:t xml:space="preserve"> </w:t>
      </w:r>
      <w:r w:rsidRPr="002029AF">
        <w:t>for</w:t>
      </w:r>
      <w:r w:rsidR="000A5329" w:rsidRPr="002029AF">
        <w:t xml:space="preserve"> </w:t>
      </w:r>
      <w:r w:rsidRPr="002029AF">
        <w:t>investment</w:t>
      </w:r>
      <w:r w:rsidR="000A5329" w:rsidRPr="002029AF">
        <w:t xml:space="preserve"> </w:t>
      </w:r>
      <w:r w:rsidRPr="002029AF">
        <w:t>purposes</w:t>
      </w:r>
      <w:r w:rsidR="000A5329" w:rsidRPr="002029AF">
        <w:t xml:space="preserve"> </w:t>
      </w:r>
      <w:r w:rsidRPr="002029AF">
        <w:t>and</w:t>
      </w:r>
      <w:r w:rsidR="000A5329" w:rsidRPr="002029AF">
        <w:t xml:space="preserve"> </w:t>
      </w:r>
      <w:r w:rsidRPr="002029AF">
        <w:t>are</w:t>
      </w:r>
      <w:r w:rsidR="000A5329" w:rsidRPr="002029AF">
        <w:t xml:space="preserve"> </w:t>
      </w:r>
      <w:r w:rsidRPr="002029AF">
        <w:t>readily</w:t>
      </w:r>
      <w:r w:rsidR="000A5329" w:rsidRPr="002029AF">
        <w:t xml:space="preserve"> </w:t>
      </w:r>
      <w:r w:rsidRPr="002029AF">
        <w:t>convertible</w:t>
      </w:r>
      <w:r w:rsidR="000A5329" w:rsidRPr="002029AF">
        <w:t xml:space="preserve"> </w:t>
      </w:r>
      <w:r w:rsidRPr="002029AF">
        <w:t>to</w:t>
      </w:r>
      <w:r w:rsidR="000A5329" w:rsidRPr="002029AF">
        <w:t xml:space="preserve"> </w:t>
      </w:r>
      <w:r w:rsidRPr="002029AF">
        <w:t>known</w:t>
      </w:r>
      <w:r w:rsidR="000A5329" w:rsidRPr="002029AF">
        <w:t xml:space="preserve"> </w:t>
      </w:r>
      <w:r w:rsidRPr="002029AF">
        <w:t>amounts</w:t>
      </w:r>
      <w:r w:rsidR="000A5329" w:rsidRPr="002029AF">
        <w:t xml:space="preserve"> </w:t>
      </w:r>
      <w:r w:rsidRPr="002029AF">
        <w:t>of</w:t>
      </w:r>
      <w:r w:rsidR="000A5329" w:rsidRPr="002029AF">
        <w:t xml:space="preserve"> </w:t>
      </w:r>
      <w:r w:rsidRPr="002029AF">
        <w:t>cash</w:t>
      </w:r>
      <w:r w:rsidR="000A5329" w:rsidRPr="002029AF">
        <w:t xml:space="preserve"> </w:t>
      </w:r>
      <w:r w:rsidRPr="002029AF">
        <w:t>with</w:t>
      </w:r>
      <w:r w:rsidR="000A5329" w:rsidRPr="002029AF">
        <w:t xml:space="preserve"> </w:t>
      </w:r>
      <w:r w:rsidRPr="002029AF">
        <w:t>an</w:t>
      </w:r>
      <w:r w:rsidR="000A5329" w:rsidRPr="002029AF">
        <w:t xml:space="preserve"> </w:t>
      </w:r>
      <w:r w:rsidRPr="002029AF">
        <w:t>insignificant</w:t>
      </w:r>
      <w:r w:rsidR="000A5329" w:rsidRPr="002029AF">
        <w:t xml:space="preserve"> </w:t>
      </w:r>
      <w:r w:rsidRPr="002029AF">
        <w:t>risk</w:t>
      </w:r>
      <w:r w:rsidR="000A5329" w:rsidRPr="002029AF">
        <w:t xml:space="preserve"> </w:t>
      </w:r>
      <w:r w:rsidRPr="002029AF">
        <w:t>of</w:t>
      </w:r>
      <w:r w:rsidR="000A5329" w:rsidRPr="002029AF">
        <w:t xml:space="preserve"> </w:t>
      </w:r>
      <w:r w:rsidRPr="002029AF">
        <w:t>changes</w:t>
      </w:r>
      <w:r w:rsidR="000A5329" w:rsidRPr="002029AF">
        <w:t xml:space="preserve"> </w:t>
      </w:r>
      <w:r w:rsidRPr="002029AF">
        <w:t>in</w:t>
      </w:r>
      <w:r w:rsidR="000A5329" w:rsidRPr="002029AF">
        <w:t xml:space="preserve"> </w:t>
      </w:r>
      <w:r w:rsidRPr="002029AF">
        <w:t>value.</w:t>
      </w:r>
    </w:p>
    <w:tbl>
      <w:tblPr>
        <w:tblStyle w:val="TableGrid"/>
        <w:tblW w:w="9637" w:type="dxa"/>
        <w:tblLayout w:type="fixed"/>
        <w:tblLook w:val="06A0" w:firstRow="1" w:lastRow="0" w:firstColumn="1" w:lastColumn="0" w:noHBand="1" w:noVBand="1"/>
      </w:tblPr>
      <w:tblGrid>
        <w:gridCol w:w="7369"/>
        <w:gridCol w:w="1134"/>
        <w:gridCol w:w="1134"/>
      </w:tblGrid>
      <w:tr w:rsidR="00087B91" w:rsidRPr="002029AF" w14:paraId="15D1EC44"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7371" w:type="dxa"/>
            <w:tcBorders>
              <w:bottom w:val="single" w:sz="4" w:space="0" w:color="auto"/>
            </w:tcBorders>
            <w:hideMark/>
          </w:tcPr>
          <w:p w14:paraId="29E6038A" w14:textId="69CB9977" w:rsidR="00087B91" w:rsidRPr="002029AF" w:rsidRDefault="00087B91" w:rsidP="00860E95">
            <w:pPr>
              <w:pStyle w:val="ARfintablecolhead"/>
            </w:pPr>
            <w:r w:rsidRPr="002029AF">
              <w:t>Total</w:t>
            </w:r>
            <w:r w:rsidR="000A5329" w:rsidRPr="002029AF">
              <w:t xml:space="preserve"> </w:t>
            </w:r>
            <w:r w:rsidRPr="002029AF">
              <w:t>cash</w:t>
            </w:r>
            <w:r w:rsidR="000A5329" w:rsidRPr="002029AF">
              <w:t xml:space="preserve"> </w:t>
            </w:r>
            <w:r w:rsidRPr="002029AF">
              <w:t>and</w:t>
            </w:r>
            <w:r w:rsidR="000A5329" w:rsidRPr="002029AF">
              <w:t xml:space="preserve"> </w:t>
            </w:r>
            <w:r w:rsidRPr="002029AF">
              <w:t>deposits</w:t>
            </w:r>
            <w:r w:rsidR="000A5329" w:rsidRPr="002029AF">
              <w:t xml:space="preserve"> </w:t>
            </w:r>
            <w:r w:rsidRPr="002029AF">
              <w:t>disclosed</w:t>
            </w:r>
            <w:r w:rsidR="000A5329" w:rsidRPr="002029AF">
              <w:t xml:space="preserve"> </w:t>
            </w:r>
            <w:r w:rsidRPr="002029AF">
              <w:t>in</w:t>
            </w:r>
            <w:r w:rsidR="000A5329" w:rsidRPr="002029AF">
              <w:t xml:space="preserve"> </w:t>
            </w:r>
            <w:r w:rsidRPr="002029AF">
              <w:t>the</w:t>
            </w:r>
            <w:r w:rsidR="000A5329" w:rsidRPr="002029AF">
              <w:t xml:space="preserve"> </w:t>
            </w:r>
            <w:r w:rsidRPr="002029AF">
              <w:t>balance</w:t>
            </w:r>
            <w:r w:rsidR="000A5329" w:rsidRPr="002029AF">
              <w:t xml:space="preserve"> </w:t>
            </w:r>
            <w:r w:rsidRPr="002029AF">
              <w:t>sheet</w:t>
            </w:r>
          </w:p>
        </w:tc>
        <w:tc>
          <w:tcPr>
            <w:tcW w:w="1134" w:type="dxa"/>
            <w:tcBorders>
              <w:bottom w:val="single" w:sz="4" w:space="0" w:color="auto"/>
            </w:tcBorders>
            <w:shd w:val="clear" w:color="auto" w:fill="E7E6E6"/>
            <w:hideMark/>
          </w:tcPr>
          <w:p w14:paraId="782285A5" w14:textId="77777777" w:rsidR="00087B91" w:rsidRPr="002029AF" w:rsidRDefault="00087B91" w:rsidP="00860E95">
            <w:pPr>
              <w:pStyle w:val="ARfintablecolheadright"/>
            </w:pPr>
            <w:r w:rsidRPr="002029AF">
              <w:t>2020</w:t>
            </w:r>
          </w:p>
          <w:p w14:paraId="5F6DF3D7" w14:textId="77777777" w:rsidR="00087B91" w:rsidRPr="002029AF" w:rsidRDefault="00087B91" w:rsidP="00860E95">
            <w:pPr>
              <w:pStyle w:val="ARfintablecolheadright"/>
            </w:pPr>
            <w:r w:rsidRPr="002029AF">
              <w:t>$M</w:t>
            </w:r>
          </w:p>
        </w:tc>
        <w:tc>
          <w:tcPr>
            <w:tcW w:w="1134" w:type="dxa"/>
            <w:tcBorders>
              <w:bottom w:val="single" w:sz="4" w:space="0" w:color="auto"/>
            </w:tcBorders>
            <w:hideMark/>
          </w:tcPr>
          <w:p w14:paraId="18306456" w14:textId="77777777" w:rsidR="00087B91" w:rsidRPr="002029AF" w:rsidRDefault="00087B91" w:rsidP="00860E95">
            <w:pPr>
              <w:pStyle w:val="ARfintablecolheadright"/>
            </w:pPr>
            <w:r w:rsidRPr="002029AF">
              <w:t>2019</w:t>
            </w:r>
          </w:p>
          <w:p w14:paraId="1385F9EE" w14:textId="77777777" w:rsidR="00087B91" w:rsidRPr="002029AF" w:rsidRDefault="00087B91" w:rsidP="00860E95">
            <w:pPr>
              <w:pStyle w:val="ARfintablecolheadright"/>
            </w:pPr>
            <w:r w:rsidRPr="002029AF">
              <w:t>$M</w:t>
            </w:r>
          </w:p>
        </w:tc>
      </w:tr>
      <w:tr w:rsidR="00087B91" w:rsidRPr="002029AF" w14:paraId="72DC6F5A" w14:textId="77777777" w:rsidTr="00860E95">
        <w:tc>
          <w:tcPr>
            <w:tcW w:w="7371" w:type="dxa"/>
            <w:tcBorders>
              <w:top w:val="single" w:sz="4" w:space="0" w:color="auto"/>
              <w:bottom w:val="single" w:sz="4" w:space="0" w:color="A6A6A6"/>
            </w:tcBorders>
            <w:hideMark/>
          </w:tcPr>
          <w:p w14:paraId="3161A726" w14:textId="2486CD82" w:rsidR="00087B91" w:rsidRPr="002029AF" w:rsidRDefault="00087B91" w:rsidP="00860E95">
            <w:pPr>
              <w:pStyle w:val="ARfintablebody"/>
            </w:pPr>
            <w:r w:rsidRPr="002029AF">
              <w:t>Short-term</w:t>
            </w:r>
            <w:r w:rsidR="000A5329" w:rsidRPr="002029AF">
              <w:t xml:space="preserve"> </w:t>
            </w:r>
            <w:r w:rsidRPr="002029AF">
              <w:t>deposits</w:t>
            </w:r>
            <w:r w:rsidR="000A5329" w:rsidRPr="002029AF">
              <w:t xml:space="preserve"> </w:t>
            </w:r>
            <w:r w:rsidRPr="002029AF">
              <w:rPr>
                <w:rStyle w:val="Superscript"/>
              </w:rPr>
              <w:t>(i)</w:t>
            </w:r>
          </w:p>
        </w:tc>
        <w:tc>
          <w:tcPr>
            <w:tcW w:w="1134" w:type="dxa"/>
            <w:tcBorders>
              <w:top w:val="single" w:sz="4" w:space="0" w:color="auto"/>
              <w:bottom w:val="single" w:sz="4" w:space="0" w:color="A6A6A6"/>
            </w:tcBorders>
            <w:shd w:val="clear" w:color="auto" w:fill="E7E6E6"/>
            <w:noWrap/>
            <w:hideMark/>
          </w:tcPr>
          <w:p w14:paraId="0A562A5C" w14:textId="77777777" w:rsidR="00087B91" w:rsidRPr="002029AF" w:rsidRDefault="00087B91" w:rsidP="00860E95">
            <w:pPr>
              <w:pStyle w:val="ARfintablebodyright"/>
            </w:pPr>
            <w:r w:rsidRPr="002029AF">
              <w:t>482.1</w:t>
            </w:r>
          </w:p>
        </w:tc>
        <w:tc>
          <w:tcPr>
            <w:tcW w:w="1134" w:type="dxa"/>
            <w:tcBorders>
              <w:top w:val="single" w:sz="4" w:space="0" w:color="auto"/>
              <w:bottom w:val="single" w:sz="4" w:space="0" w:color="A6A6A6"/>
            </w:tcBorders>
            <w:noWrap/>
            <w:hideMark/>
          </w:tcPr>
          <w:p w14:paraId="26A3BED3" w14:textId="77777777" w:rsidR="00087B91" w:rsidRPr="002029AF" w:rsidRDefault="00087B91" w:rsidP="00860E95">
            <w:pPr>
              <w:pStyle w:val="ARfintablebodyright"/>
            </w:pPr>
            <w:r w:rsidRPr="002029AF">
              <w:t>448.4</w:t>
            </w:r>
          </w:p>
        </w:tc>
      </w:tr>
      <w:tr w:rsidR="00087B91" w:rsidRPr="002029AF" w14:paraId="41125507" w14:textId="77777777" w:rsidTr="00860E95">
        <w:tc>
          <w:tcPr>
            <w:tcW w:w="7371" w:type="dxa"/>
            <w:tcBorders>
              <w:top w:val="single" w:sz="4" w:space="0" w:color="A6A6A6"/>
              <w:bottom w:val="single" w:sz="4" w:space="0" w:color="A6A6A6"/>
            </w:tcBorders>
            <w:hideMark/>
          </w:tcPr>
          <w:p w14:paraId="0DA8D393" w14:textId="1514BDBA" w:rsidR="00087B91" w:rsidRPr="002029AF" w:rsidRDefault="00087B91" w:rsidP="00860E95">
            <w:pPr>
              <w:pStyle w:val="ARfintablebody"/>
            </w:pPr>
            <w:r w:rsidRPr="002029AF">
              <w:t>Cash</w:t>
            </w:r>
            <w:r w:rsidR="000A5329" w:rsidRPr="002029AF">
              <w:t xml:space="preserve"> </w:t>
            </w:r>
            <w:r w:rsidRPr="002029AF">
              <w:t>at</w:t>
            </w:r>
            <w:r w:rsidR="000A5329" w:rsidRPr="002029AF">
              <w:t xml:space="preserve"> </w:t>
            </w:r>
            <w:r w:rsidRPr="002029AF">
              <w:t>bank</w:t>
            </w:r>
            <w:r w:rsidR="000A5329" w:rsidRPr="002029AF">
              <w:t xml:space="preserve"> </w:t>
            </w:r>
            <w:r w:rsidRPr="002029AF">
              <w:rPr>
                <w:rStyle w:val="Superscript"/>
              </w:rPr>
              <w:t>(i)(ii)</w:t>
            </w:r>
          </w:p>
        </w:tc>
        <w:tc>
          <w:tcPr>
            <w:tcW w:w="1134" w:type="dxa"/>
            <w:tcBorders>
              <w:top w:val="single" w:sz="4" w:space="0" w:color="A6A6A6"/>
              <w:bottom w:val="single" w:sz="4" w:space="0" w:color="A6A6A6"/>
            </w:tcBorders>
            <w:shd w:val="clear" w:color="auto" w:fill="E7E6E6"/>
            <w:noWrap/>
            <w:hideMark/>
          </w:tcPr>
          <w:p w14:paraId="20C955E4" w14:textId="77777777" w:rsidR="00087B91" w:rsidRPr="002029AF" w:rsidRDefault="00087B91" w:rsidP="00860E95">
            <w:pPr>
              <w:pStyle w:val="ARfintablebodyright"/>
            </w:pPr>
            <w:r w:rsidRPr="002029AF">
              <w:t>(29.3)</w:t>
            </w:r>
          </w:p>
        </w:tc>
        <w:tc>
          <w:tcPr>
            <w:tcW w:w="1134" w:type="dxa"/>
            <w:tcBorders>
              <w:top w:val="single" w:sz="4" w:space="0" w:color="A6A6A6"/>
              <w:bottom w:val="single" w:sz="4" w:space="0" w:color="A6A6A6"/>
            </w:tcBorders>
            <w:noWrap/>
            <w:hideMark/>
          </w:tcPr>
          <w:p w14:paraId="66F0DB1A" w14:textId="77777777" w:rsidR="00087B91" w:rsidRPr="002029AF" w:rsidRDefault="00087B91" w:rsidP="00860E95">
            <w:pPr>
              <w:pStyle w:val="ARfintablebodyright"/>
            </w:pPr>
            <w:r w:rsidRPr="002029AF">
              <w:t>13.8</w:t>
            </w:r>
          </w:p>
        </w:tc>
      </w:tr>
      <w:tr w:rsidR="00087B91" w:rsidRPr="002029AF" w14:paraId="37F42E60" w14:textId="77777777" w:rsidTr="00860E95">
        <w:tc>
          <w:tcPr>
            <w:tcW w:w="7371" w:type="dxa"/>
            <w:tcBorders>
              <w:top w:val="single" w:sz="4" w:space="0" w:color="A6A6A6"/>
              <w:bottom w:val="single" w:sz="4" w:space="0" w:color="A6A6A6"/>
            </w:tcBorders>
            <w:hideMark/>
          </w:tcPr>
          <w:p w14:paraId="7754CC8D" w14:textId="7C1C2DD7" w:rsidR="00087B91" w:rsidRPr="002029AF" w:rsidRDefault="00087B91" w:rsidP="00860E95">
            <w:pPr>
              <w:pStyle w:val="ARfintablebody"/>
            </w:pPr>
            <w:r w:rsidRPr="002029AF">
              <w:t>Funds</w:t>
            </w:r>
            <w:r w:rsidR="000A5329" w:rsidRPr="002029AF">
              <w:t xml:space="preserve"> </w:t>
            </w:r>
            <w:r w:rsidRPr="002029AF">
              <w:t>held</w:t>
            </w:r>
            <w:r w:rsidR="000A5329" w:rsidRPr="002029AF">
              <w:t xml:space="preserve"> </w:t>
            </w:r>
            <w:r w:rsidRPr="002029AF">
              <w:t>in</w:t>
            </w:r>
            <w:r w:rsidR="000A5329" w:rsidRPr="002029AF">
              <w:t xml:space="preserve"> </w:t>
            </w:r>
            <w:r w:rsidRPr="002029AF">
              <w:t>trust</w:t>
            </w:r>
          </w:p>
        </w:tc>
        <w:tc>
          <w:tcPr>
            <w:tcW w:w="1134" w:type="dxa"/>
            <w:tcBorders>
              <w:top w:val="single" w:sz="4" w:space="0" w:color="A6A6A6"/>
              <w:bottom w:val="single" w:sz="4" w:space="0" w:color="A6A6A6"/>
            </w:tcBorders>
            <w:shd w:val="clear" w:color="auto" w:fill="E7E6E6"/>
            <w:noWrap/>
            <w:hideMark/>
          </w:tcPr>
          <w:p w14:paraId="0B38235A" w14:textId="77777777" w:rsidR="00087B91" w:rsidRPr="002029AF" w:rsidRDefault="00087B91" w:rsidP="00860E95">
            <w:pPr>
              <w:pStyle w:val="ARfintablebodyright"/>
            </w:pPr>
            <w:r w:rsidRPr="002029AF">
              <w:t>145.1</w:t>
            </w:r>
          </w:p>
        </w:tc>
        <w:tc>
          <w:tcPr>
            <w:tcW w:w="1134" w:type="dxa"/>
            <w:tcBorders>
              <w:top w:val="single" w:sz="4" w:space="0" w:color="A6A6A6"/>
              <w:bottom w:val="single" w:sz="4" w:space="0" w:color="A6A6A6"/>
            </w:tcBorders>
            <w:noWrap/>
            <w:hideMark/>
          </w:tcPr>
          <w:p w14:paraId="03B0FD5B" w14:textId="77777777" w:rsidR="00087B91" w:rsidRPr="002029AF" w:rsidRDefault="00087B91" w:rsidP="00860E95">
            <w:pPr>
              <w:pStyle w:val="ARfintablebodyright"/>
            </w:pPr>
            <w:r w:rsidRPr="002029AF">
              <w:t>337.5</w:t>
            </w:r>
          </w:p>
        </w:tc>
      </w:tr>
      <w:tr w:rsidR="00087B91" w:rsidRPr="002029AF" w14:paraId="340BA50C" w14:textId="77777777" w:rsidTr="00860E95">
        <w:tc>
          <w:tcPr>
            <w:tcW w:w="7371" w:type="dxa"/>
            <w:tcBorders>
              <w:top w:val="single" w:sz="4" w:space="0" w:color="A6A6A6"/>
            </w:tcBorders>
            <w:hideMark/>
          </w:tcPr>
          <w:p w14:paraId="2DA3FA0F" w14:textId="03C98E77" w:rsidR="00087B91" w:rsidRPr="002029AF" w:rsidRDefault="00087B91" w:rsidP="00860E95">
            <w:pPr>
              <w:pStyle w:val="ARfintablebody"/>
            </w:pPr>
            <w:r w:rsidRPr="002029AF">
              <w:t>Cash</w:t>
            </w:r>
            <w:r w:rsidR="000A5329" w:rsidRPr="002029AF">
              <w:t xml:space="preserve"> </w:t>
            </w:r>
            <w:r w:rsidRPr="002029AF">
              <w:t>advances</w:t>
            </w:r>
          </w:p>
        </w:tc>
        <w:tc>
          <w:tcPr>
            <w:tcW w:w="1134" w:type="dxa"/>
            <w:tcBorders>
              <w:top w:val="single" w:sz="4" w:space="0" w:color="A6A6A6"/>
            </w:tcBorders>
            <w:shd w:val="clear" w:color="auto" w:fill="E7E6E6"/>
            <w:noWrap/>
            <w:hideMark/>
          </w:tcPr>
          <w:p w14:paraId="06BCDB7B" w14:textId="77777777" w:rsidR="00087B91" w:rsidRPr="002029AF" w:rsidRDefault="00087B91" w:rsidP="00860E95">
            <w:pPr>
              <w:pStyle w:val="ARfintablebodyright"/>
            </w:pPr>
            <w:r w:rsidRPr="002029AF">
              <w:t>(0.2)</w:t>
            </w:r>
          </w:p>
        </w:tc>
        <w:tc>
          <w:tcPr>
            <w:tcW w:w="1134" w:type="dxa"/>
            <w:tcBorders>
              <w:top w:val="single" w:sz="4" w:space="0" w:color="A6A6A6"/>
            </w:tcBorders>
            <w:noWrap/>
            <w:hideMark/>
          </w:tcPr>
          <w:p w14:paraId="163CC2D8" w14:textId="77777777" w:rsidR="00087B91" w:rsidRPr="002029AF" w:rsidRDefault="00087B91" w:rsidP="00860E95">
            <w:pPr>
              <w:pStyle w:val="ARfintablebodyright"/>
            </w:pPr>
            <w:r w:rsidRPr="002029AF">
              <w:t>0.2</w:t>
            </w:r>
          </w:p>
        </w:tc>
      </w:tr>
      <w:tr w:rsidR="00087B91" w:rsidRPr="002029AF" w14:paraId="16C9C1E2" w14:textId="77777777" w:rsidTr="00860E95">
        <w:tc>
          <w:tcPr>
            <w:tcW w:w="7371" w:type="dxa"/>
            <w:hideMark/>
          </w:tcPr>
          <w:p w14:paraId="3DC78943" w14:textId="6A74C0E8" w:rsidR="00087B91" w:rsidRPr="002029AF" w:rsidRDefault="00087B91" w:rsidP="00860E95">
            <w:pPr>
              <w:pStyle w:val="ARfintablebodybold"/>
            </w:pPr>
            <w:r w:rsidRPr="002029AF">
              <w:t>Balance</w:t>
            </w:r>
            <w:r w:rsidR="000A5329" w:rsidRPr="002029AF">
              <w:t xml:space="preserve"> </w:t>
            </w:r>
            <w:r w:rsidRPr="002029AF">
              <w:t>as</w:t>
            </w:r>
            <w:r w:rsidR="000A5329" w:rsidRPr="002029AF">
              <w:t xml:space="preserve"> </w:t>
            </w:r>
            <w:r w:rsidRPr="002029AF">
              <w:t>per</w:t>
            </w:r>
            <w:r w:rsidR="000A5329" w:rsidRPr="002029AF">
              <w:t xml:space="preserve"> </w:t>
            </w:r>
            <w:r w:rsidRPr="002029AF">
              <w:t>cash</w:t>
            </w:r>
            <w:r w:rsidR="000A5329" w:rsidRPr="002029AF">
              <w:t xml:space="preserve"> </w:t>
            </w:r>
            <w:r w:rsidRPr="002029AF">
              <w:t>flow</w:t>
            </w:r>
            <w:r w:rsidR="000A5329" w:rsidRPr="002029AF">
              <w:t xml:space="preserve"> </w:t>
            </w:r>
            <w:r w:rsidRPr="002029AF">
              <w:t>statement</w:t>
            </w:r>
          </w:p>
        </w:tc>
        <w:tc>
          <w:tcPr>
            <w:tcW w:w="1134" w:type="dxa"/>
            <w:shd w:val="clear" w:color="auto" w:fill="E7E6E6"/>
            <w:noWrap/>
            <w:hideMark/>
          </w:tcPr>
          <w:p w14:paraId="2AE9A941" w14:textId="77777777" w:rsidR="00087B91" w:rsidRPr="002029AF" w:rsidRDefault="00087B91" w:rsidP="00860E95">
            <w:pPr>
              <w:pStyle w:val="ARfintablebodyrightbold"/>
            </w:pPr>
            <w:r w:rsidRPr="002029AF">
              <w:t>597.7</w:t>
            </w:r>
          </w:p>
        </w:tc>
        <w:tc>
          <w:tcPr>
            <w:tcW w:w="1134" w:type="dxa"/>
            <w:noWrap/>
            <w:hideMark/>
          </w:tcPr>
          <w:p w14:paraId="610EFB40" w14:textId="77777777" w:rsidR="00087B91" w:rsidRPr="002029AF" w:rsidRDefault="00087B91" w:rsidP="00860E95">
            <w:pPr>
              <w:pStyle w:val="ARfintablebodyrightbold"/>
            </w:pPr>
            <w:r w:rsidRPr="002029AF">
              <w:t>799.9</w:t>
            </w:r>
          </w:p>
        </w:tc>
      </w:tr>
    </w:tbl>
    <w:p w14:paraId="551FC9B3" w14:textId="77777777" w:rsidR="00087B91" w:rsidRPr="002029AF" w:rsidRDefault="00087B91" w:rsidP="00087B91">
      <w:pPr>
        <w:pStyle w:val="ARfintablefootnote"/>
      </w:pPr>
      <w:r w:rsidRPr="002029AF">
        <w:t>Notes:</w:t>
      </w:r>
    </w:p>
    <w:p w14:paraId="3F89C69F" w14:textId="4CF9F3B5" w:rsidR="00087B91" w:rsidRPr="002029AF" w:rsidRDefault="00087B91" w:rsidP="00087B91">
      <w:pPr>
        <w:pStyle w:val="ARfintablefootnoteindent"/>
      </w:pPr>
      <w:r w:rsidRPr="002029AF">
        <w:t>(i)</w:t>
      </w:r>
      <w:r w:rsidRPr="002029AF">
        <w:tab/>
        <w:t>Cash</w:t>
      </w:r>
      <w:r w:rsidR="000A5329" w:rsidRPr="002029AF">
        <w:t xml:space="preserve"> </w:t>
      </w:r>
      <w:r w:rsidRPr="002029AF">
        <w:t>and</w:t>
      </w:r>
      <w:r w:rsidR="000A5329" w:rsidRPr="002029AF">
        <w:t xml:space="preserve"> </w:t>
      </w:r>
      <w:r w:rsidRPr="002029AF">
        <w:t>short-term</w:t>
      </w:r>
      <w:r w:rsidR="000A5329" w:rsidRPr="002029AF">
        <w:t xml:space="preserve"> </w:t>
      </w:r>
      <w:r w:rsidRPr="002029AF">
        <w:t>deposits</w:t>
      </w:r>
      <w:r w:rsidR="000A5329" w:rsidRPr="002029AF">
        <w:t xml:space="preserve"> </w:t>
      </w:r>
      <w:r w:rsidRPr="002029AF">
        <w:t>include</w:t>
      </w:r>
      <w:r w:rsidR="000A5329" w:rsidRPr="002029AF">
        <w:t xml:space="preserve"> </w:t>
      </w:r>
      <w:r w:rsidRPr="002029AF">
        <w:t>funds</w:t>
      </w:r>
      <w:r w:rsidR="000A5329" w:rsidRPr="002029AF">
        <w:t xml:space="preserve"> </w:t>
      </w:r>
      <w:r w:rsidRPr="002029AF">
        <w:t>held</w:t>
      </w:r>
      <w:r w:rsidR="000A5329" w:rsidRPr="002029AF">
        <w:t xml:space="preserve"> </w:t>
      </w:r>
      <w:r w:rsidRPr="002029AF">
        <w:t>by</w:t>
      </w:r>
      <w:r w:rsidR="000A5329" w:rsidRPr="002029AF">
        <w:t xml:space="preserve"> </w:t>
      </w:r>
      <w:r w:rsidRPr="002029AF">
        <w:t>the</w:t>
      </w:r>
      <w:r w:rsidR="000A5329" w:rsidRPr="002029AF">
        <w:t xml:space="preserve"> </w:t>
      </w:r>
      <w:r w:rsidRPr="002029AF">
        <w:t>Director</w:t>
      </w:r>
      <w:r w:rsidR="000A5329" w:rsidRPr="002029AF">
        <w:t xml:space="preserve"> </w:t>
      </w:r>
      <w:r w:rsidRPr="002029AF">
        <w:t>of</w:t>
      </w:r>
      <w:r w:rsidR="000A5329" w:rsidRPr="002029AF">
        <w:t xml:space="preserve"> </w:t>
      </w:r>
      <w:r w:rsidRPr="002029AF">
        <w:t>Housing</w:t>
      </w:r>
      <w:r w:rsidR="000A5329" w:rsidRPr="002029AF">
        <w:t xml:space="preserve"> </w:t>
      </w:r>
      <w:r w:rsidRPr="002029AF">
        <w:t>in</w:t>
      </w:r>
      <w:r w:rsidR="000A5329" w:rsidRPr="002029AF">
        <w:t xml:space="preserve"> </w:t>
      </w:r>
      <w:r w:rsidRPr="002029AF">
        <w:t>the</w:t>
      </w:r>
      <w:r w:rsidR="000A5329" w:rsidRPr="002029AF">
        <w:t xml:space="preserve"> </w:t>
      </w:r>
      <w:r w:rsidRPr="002029AF">
        <w:t>Central</w:t>
      </w:r>
      <w:r w:rsidR="000A5329" w:rsidRPr="002029AF">
        <w:t xml:space="preserve"> </w:t>
      </w:r>
      <w:r w:rsidRPr="002029AF">
        <w:t>Banking</w:t>
      </w:r>
      <w:r w:rsidR="000A5329" w:rsidRPr="002029AF">
        <w:t xml:space="preserve"> </w:t>
      </w:r>
      <w:r w:rsidRPr="002029AF">
        <w:t>System</w:t>
      </w:r>
      <w:r w:rsidR="000A5329" w:rsidRPr="002029AF">
        <w:t xml:space="preserve"> </w:t>
      </w:r>
      <w:r w:rsidRPr="002029AF">
        <w:t>as</w:t>
      </w:r>
      <w:r w:rsidR="000A5329" w:rsidRPr="002029AF">
        <w:t xml:space="preserve"> </w:t>
      </w:r>
      <w:r w:rsidRPr="002029AF">
        <w:t>well</w:t>
      </w:r>
      <w:r w:rsidR="000A5329" w:rsidRPr="002029AF">
        <w:t xml:space="preserve"> </w:t>
      </w:r>
      <w:r w:rsidRPr="002029AF">
        <w:t>as</w:t>
      </w:r>
      <w:r w:rsidR="000A5329" w:rsidRPr="002029AF">
        <w:t xml:space="preserve"> </w:t>
      </w:r>
      <w:r w:rsidRPr="002029AF">
        <w:t>funds</w:t>
      </w:r>
      <w:r w:rsidR="000A5329" w:rsidRPr="002029AF">
        <w:t xml:space="preserve"> </w:t>
      </w:r>
      <w:r w:rsidRPr="002029AF">
        <w:t>that</w:t>
      </w:r>
      <w:r w:rsidR="000A5329" w:rsidRPr="002029AF">
        <w:t xml:space="preserve"> </w:t>
      </w:r>
      <w:r w:rsidRPr="002029AF">
        <w:t>have</w:t>
      </w:r>
      <w:r w:rsidR="000A5329" w:rsidRPr="002029AF">
        <w:t xml:space="preserve"> </w:t>
      </w:r>
      <w:r w:rsidRPr="002029AF">
        <w:t>been</w:t>
      </w:r>
      <w:r w:rsidR="000A5329" w:rsidRPr="002029AF">
        <w:t xml:space="preserve"> </w:t>
      </w:r>
      <w:r w:rsidRPr="002029AF">
        <w:t>committed</w:t>
      </w:r>
      <w:r w:rsidR="000A5329" w:rsidRPr="002029AF">
        <w:t xml:space="preserve"> </w:t>
      </w:r>
      <w:r w:rsidRPr="002029AF">
        <w:t>to</w:t>
      </w:r>
      <w:r w:rsidR="000A5329" w:rsidRPr="002029AF">
        <w:t xml:space="preserve"> </w:t>
      </w:r>
      <w:r w:rsidRPr="002029AF">
        <w:t>a</w:t>
      </w:r>
      <w:r w:rsidR="000A5329" w:rsidRPr="002029AF">
        <w:t xml:space="preserve"> </w:t>
      </w:r>
      <w:r w:rsidRPr="002029AF">
        <w:t>number</w:t>
      </w:r>
      <w:r w:rsidR="000A5329" w:rsidRPr="002029AF">
        <w:t xml:space="preserve"> </w:t>
      </w:r>
      <w:r w:rsidRPr="002029AF">
        <w:t>of</w:t>
      </w:r>
      <w:r w:rsidR="000A5329" w:rsidRPr="002029AF">
        <w:t xml:space="preserve"> </w:t>
      </w:r>
      <w:r w:rsidRPr="002029AF">
        <w:t>significant</w:t>
      </w:r>
      <w:r w:rsidR="000A5329" w:rsidRPr="002029AF">
        <w:t xml:space="preserve"> </w:t>
      </w:r>
      <w:r w:rsidRPr="002029AF">
        <w:t>projects</w:t>
      </w:r>
      <w:r w:rsidR="000A5329" w:rsidRPr="002029AF">
        <w:t xml:space="preserve"> </w:t>
      </w:r>
      <w:r w:rsidRPr="002029AF">
        <w:t>and</w:t>
      </w:r>
      <w:r w:rsidR="000A5329" w:rsidRPr="002029AF">
        <w:t xml:space="preserve"> </w:t>
      </w:r>
      <w:r w:rsidRPr="002029AF">
        <w:t>are</w:t>
      </w:r>
      <w:r w:rsidR="000A5329" w:rsidRPr="002029AF">
        <w:t xml:space="preserve"> </w:t>
      </w:r>
      <w:r w:rsidRPr="002029AF">
        <w:t>expected</w:t>
      </w:r>
      <w:r w:rsidR="000A5329" w:rsidRPr="002029AF">
        <w:t xml:space="preserve"> </w:t>
      </w:r>
      <w:r w:rsidRPr="002029AF">
        <w:t>to</w:t>
      </w:r>
      <w:r w:rsidR="000A5329" w:rsidRPr="002029AF">
        <w:t xml:space="preserve"> </w:t>
      </w:r>
      <w:r w:rsidRPr="002029AF">
        <w:t>be</w:t>
      </w:r>
      <w:r w:rsidR="000A5329" w:rsidRPr="002029AF">
        <w:t xml:space="preserve"> </w:t>
      </w:r>
      <w:r w:rsidRPr="002029AF">
        <w:t>expensed</w:t>
      </w:r>
      <w:r w:rsidR="000A5329" w:rsidRPr="002029AF">
        <w:t xml:space="preserve"> </w:t>
      </w:r>
      <w:r w:rsidRPr="002029AF">
        <w:t>in</w:t>
      </w:r>
      <w:r w:rsidR="000A5329" w:rsidRPr="002029AF">
        <w:t xml:space="preserve"> </w:t>
      </w:r>
      <w:r w:rsidRPr="002029AF">
        <w:t>2020–21</w:t>
      </w:r>
      <w:r w:rsidR="000A5329" w:rsidRPr="002029AF">
        <w:t xml:space="preserve"> </w:t>
      </w:r>
      <w:r w:rsidRPr="002029AF">
        <w:t>(as</w:t>
      </w:r>
      <w:r w:rsidR="000A5329" w:rsidRPr="002029AF">
        <w:t xml:space="preserve"> </w:t>
      </w:r>
      <w:r w:rsidRPr="002029AF">
        <w:t>disclosed</w:t>
      </w:r>
      <w:r w:rsidR="000A5329" w:rsidRPr="002029AF">
        <w:t xml:space="preserve"> </w:t>
      </w:r>
      <w:r w:rsidRPr="002029AF">
        <w:t>in</w:t>
      </w:r>
      <w:r w:rsidR="000A5329" w:rsidRPr="002029AF">
        <w:t xml:space="preserve"> </w:t>
      </w:r>
      <w:r w:rsidRPr="002029AF">
        <w:t>Note</w:t>
      </w:r>
      <w:r w:rsidR="000A5329" w:rsidRPr="002029AF">
        <w:t xml:space="preserve"> </w:t>
      </w:r>
      <w:r w:rsidRPr="002029AF">
        <w:t>7.5).</w:t>
      </w:r>
    </w:p>
    <w:p w14:paraId="23959F80" w14:textId="1173AE50" w:rsidR="00087B91" w:rsidRPr="002029AF" w:rsidRDefault="00087B91" w:rsidP="00087B91">
      <w:pPr>
        <w:pStyle w:val="ARfintablefootnoteindent"/>
      </w:pPr>
      <w:r w:rsidRPr="002029AF">
        <w:t>(ii)</w:t>
      </w:r>
      <w:r w:rsidRPr="002029AF">
        <w:tab/>
        <w:t>Cash</w:t>
      </w:r>
      <w:r w:rsidR="000A5329" w:rsidRPr="002029AF">
        <w:t xml:space="preserve"> </w:t>
      </w:r>
      <w:r w:rsidRPr="002029AF">
        <w:t>at</w:t>
      </w:r>
      <w:r w:rsidR="000A5329" w:rsidRPr="002029AF">
        <w:t xml:space="preserve"> </w:t>
      </w:r>
      <w:r w:rsidRPr="002029AF">
        <w:t>bank</w:t>
      </w:r>
      <w:r w:rsidR="000A5329" w:rsidRPr="002029AF">
        <w:t xml:space="preserve"> </w:t>
      </w:r>
      <w:r w:rsidRPr="002029AF">
        <w:t>is</w:t>
      </w:r>
      <w:r w:rsidR="000A5329" w:rsidRPr="002029AF">
        <w:t xml:space="preserve"> </w:t>
      </w:r>
      <w:r w:rsidRPr="002029AF">
        <w:t>in</w:t>
      </w:r>
      <w:r w:rsidR="000A5329" w:rsidRPr="002029AF">
        <w:t xml:space="preserve"> </w:t>
      </w:r>
      <w:r w:rsidRPr="002029AF">
        <w:t>overdraft</w:t>
      </w:r>
      <w:r w:rsidR="000A5329" w:rsidRPr="002029AF">
        <w:t xml:space="preserve"> </w:t>
      </w:r>
      <w:r w:rsidRPr="002029AF">
        <w:t>due</w:t>
      </w:r>
      <w:r w:rsidR="000A5329" w:rsidRPr="002029AF">
        <w:t xml:space="preserve"> </w:t>
      </w:r>
      <w:r w:rsidRPr="002029AF">
        <w:t>to</w:t>
      </w:r>
      <w:r w:rsidR="000A5329" w:rsidRPr="002029AF">
        <w:t xml:space="preserve"> </w:t>
      </w:r>
      <w:r w:rsidRPr="002029AF">
        <w:t>timing</w:t>
      </w:r>
      <w:r w:rsidR="000A5329" w:rsidRPr="002029AF">
        <w:t xml:space="preserve"> </w:t>
      </w:r>
      <w:r w:rsidRPr="002029AF">
        <w:t>difference</w:t>
      </w:r>
      <w:r w:rsidR="000A5329" w:rsidRPr="002029AF">
        <w:t xml:space="preserve"> </w:t>
      </w:r>
      <w:r w:rsidRPr="002029AF">
        <w:t>of</w:t>
      </w:r>
      <w:r w:rsidR="000A5329" w:rsidRPr="002029AF">
        <w:t xml:space="preserve"> </w:t>
      </w:r>
      <w:r w:rsidRPr="002029AF">
        <w:t>salary</w:t>
      </w:r>
      <w:r w:rsidR="000A5329" w:rsidRPr="002029AF">
        <w:t xml:space="preserve"> </w:t>
      </w:r>
      <w:r w:rsidRPr="002029AF">
        <w:t>payment</w:t>
      </w:r>
      <w:r w:rsidR="000A5329" w:rsidRPr="002029AF">
        <w:t xml:space="preserve"> </w:t>
      </w:r>
      <w:r w:rsidRPr="002029AF">
        <w:t>withdrawn</w:t>
      </w:r>
      <w:r w:rsidR="000A5329" w:rsidRPr="002029AF">
        <w:t xml:space="preserve"> </w:t>
      </w:r>
      <w:r w:rsidRPr="002029AF">
        <w:t>on</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r w:rsidR="000A5329" w:rsidRPr="002029AF">
        <w:t xml:space="preserve"> </w:t>
      </w:r>
      <w:r w:rsidRPr="002029AF">
        <w:t>and</w:t>
      </w:r>
      <w:r w:rsidR="000A5329" w:rsidRPr="002029AF">
        <w:t xml:space="preserve"> </w:t>
      </w:r>
      <w:r w:rsidRPr="002029AF">
        <w:t>the</w:t>
      </w:r>
      <w:r w:rsidR="000A5329" w:rsidRPr="002029AF">
        <w:t xml:space="preserve"> </w:t>
      </w:r>
      <w:r w:rsidRPr="002029AF">
        <w:t>replenishment</w:t>
      </w:r>
      <w:r w:rsidR="000A5329" w:rsidRPr="002029AF">
        <w:t xml:space="preserve"> </w:t>
      </w:r>
      <w:r w:rsidRPr="002029AF">
        <w:t>from</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of</w:t>
      </w:r>
      <w:r w:rsidR="000A5329" w:rsidRPr="002029AF">
        <w:t xml:space="preserve"> </w:t>
      </w:r>
      <w:r w:rsidRPr="002029AF">
        <w:t>Treasury</w:t>
      </w:r>
      <w:r w:rsidR="000A5329" w:rsidRPr="002029AF">
        <w:t xml:space="preserve"> </w:t>
      </w:r>
      <w:r w:rsidRPr="002029AF">
        <w:t>and</w:t>
      </w:r>
      <w:r w:rsidR="000A5329" w:rsidRPr="002029AF">
        <w:t xml:space="preserve"> </w:t>
      </w:r>
      <w:r w:rsidRPr="002029AF">
        <w:t>Finance</w:t>
      </w:r>
      <w:r w:rsidR="000A5329" w:rsidRPr="002029AF">
        <w:t xml:space="preserve"> </w:t>
      </w:r>
      <w:r w:rsidRPr="002029AF">
        <w:t>on</w:t>
      </w:r>
      <w:r w:rsidR="000A5329" w:rsidRPr="002029AF">
        <w:t xml:space="preserve"> </w:t>
      </w:r>
      <w:r w:rsidRPr="002029AF">
        <w:t>1</w:t>
      </w:r>
      <w:r w:rsidR="000A5329" w:rsidRPr="002029AF">
        <w:t xml:space="preserve"> </w:t>
      </w:r>
      <w:r w:rsidRPr="002029AF">
        <w:t>July</w:t>
      </w:r>
      <w:r w:rsidR="000A5329" w:rsidRPr="002029AF">
        <w:t xml:space="preserve"> </w:t>
      </w:r>
      <w:r w:rsidRPr="002029AF">
        <w:t>2020.</w:t>
      </w:r>
    </w:p>
    <w:p w14:paraId="3E14ADE5" w14:textId="62D49049" w:rsidR="00087B91" w:rsidRPr="002029AF" w:rsidRDefault="00087B91" w:rsidP="00087B91">
      <w:pPr>
        <w:pStyle w:val="ARfinbodyaftertable"/>
      </w:pPr>
      <w:r w:rsidRPr="002029AF">
        <w:t>Due</w:t>
      </w:r>
      <w:r w:rsidR="000A5329" w:rsidRPr="002029AF">
        <w:t xml:space="preserve"> </w:t>
      </w:r>
      <w:r w:rsidRPr="002029AF">
        <w:t>to</w:t>
      </w:r>
      <w:r w:rsidR="000A5329" w:rsidRPr="002029AF">
        <w:t xml:space="preserve"> </w:t>
      </w:r>
      <w:r w:rsidRPr="002029AF">
        <w:t>the</w:t>
      </w:r>
      <w:r w:rsidR="000A5329" w:rsidRPr="002029AF">
        <w:t xml:space="preserve"> </w:t>
      </w:r>
      <w:r w:rsidRPr="002029AF">
        <w:t>state’s</w:t>
      </w:r>
      <w:r w:rsidR="000A5329" w:rsidRPr="002029AF">
        <w:t xml:space="preserve"> </w:t>
      </w:r>
      <w:r w:rsidRPr="002029AF">
        <w:t>investment</w:t>
      </w:r>
      <w:r w:rsidR="000A5329" w:rsidRPr="002029AF">
        <w:t xml:space="preserve"> </w:t>
      </w:r>
      <w:r w:rsidRPr="002029AF">
        <w:t>policy</w:t>
      </w:r>
      <w:r w:rsidR="000A5329" w:rsidRPr="002029AF">
        <w:t xml:space="preserve"> </w:t>
      </w:r>
      <w:r w:rsidRPr="002029AF">
        <w:t>and</w:t>
      </w:r>
      <w:r w:rsidR="000A5329" w:rsidRPr="002029AF">
        <w:t xml:space="preserve"> </w:t>
      </w:r>
      <w:r w:rsidRPr="002029AF">
        <w:t>funding</w:t>
      </w:r>
      <w:r w:rsidR="000A5329" w:rsidRPr="002029AF">
        <w:t xml:space="preserve"> </w:t>
      </w:r>
      <w:r w:rsidRPr="002029AF">
        <w:t>arrangements,</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does</w:t>
      </w:r>
      <w:r w:rsidR="000A5329" w:rsidRPr="002029AF">
        <w:t xml:space="preserve"> </w:t>
      </w:r>
      <w:r w:rsidRPr="002029AF">
        <w:t>not</w:t>
      </w:r>
      <w:r w:rsidR="000A5329" w:rsidRPr="002029AF">
        <w:t xml:space="preserve"> </w:t>
      </w:r>
      <w:r w:rsidRPr="002029AF">
        <w:t>hold</w:t>
      </w:r>
      <w:r w:rsidR="000A5329" w:rsidRPr="002029AF">
        <w:t xml:space="preserve"> </w:t>
      </w:r>
      <w:r w:rsidRPr="002029AF">
        <w:t>a</w:t>
      </w:r>
      <w:r w:rsidR="000A5329" w:rsidRPr="002029AF">
        <w:t xml:space="preserve"> </w:t>
      </w:r>
      <w:r w:rsidRPr="002029AF">
        <w:t>large</w:t>
      </w:r>
      <w:r w:rsidR="000A5329" w:rsidRPr="002029AF">
        <w:t xml:space="preserve"> </w:t>
      </w:r>
      <w:r w:rsidRPr="002029AF">
        <w:t>cash</w:t>
      </w:r>
      <w:r w:rsidR="000A5329" w:rsidRPr="002029AF">
        <w:t xml:space="preserve"> </w:t>
      </w:r>
      <w:r w:rsidRPr="002029AF">
        <w:t>reserve</w:t>
      </w:r>
      <w:r w:rsidR="000A5329" w:rsidRPr="002029AF">
        <w:t xml:space="preserve"> </w:t>
      </w:r>
      <w:r w:rsidRPr="002029AF">
        <w:t>in</w:t>
      </w:r>
      <w:r w:rsidR="000A5329" w:rsidRPr="002029AF">
        <w:t xml:space="preserve"> </w:t>
      </w:r>
      <w:r w:rsidRPr="002029AF">
        <w:t>its</w:t>
      </w:r>
      <w:r w:rsidR="000A5329" w:rsidRPr="002029AF">
        <w:t xml:space="preserve"> </w:t>
      </w:r>
      <w:r w:rsidRPr="002029AF">
        <w:t>bank</w:t>
      </w:r>
      <w:r w:rsidR="000A5329" w:rsidRPr="002029AF">
        <w:t xml:space="preserve"> </w:t>
      </w:r>
      <w:r w:rsidRPr="002029AF">
        <w:t>accounts.</w:t>
      </w:r>
      <w:r w:rsidR="000A5329" w:rsidRPr="002029AF">
        <w:t xml:space="preserve"> </w:t>
      </w:r>
      <w:r w:rsidRPr="002029AF">
        <w:t>Cash</w:t>
      </w:r>
      <w:r w:rsidR="000A5329" w:rsidRPr="002029AF">
        <w:t xml:space="preserve"> </w:t>
      </w:r>
      <w:r w:rsidRPr="002029AF">
        <w:t>received</w:t>
      </w:r>
      <w:r w:rsidR="000A5329" w:rsidRPr="002029AF">
        <w:t xml:space="preserve"> </w:t>
      </w:r>
      <w:r w:rsidRPr="002029AF">
        <w:t>from</w:t>
      </w:r>
      <w:r w:rsidR="000A5329" w:rsidRPr="002029AF">
        <w:t xml:space="preserve"> </w:t>
      </w:r>
      <w:r w:rsidRPr="002029AF">
        <w:t>generation</w:t>
      </w:r>
      <w:r w:rsidR="000A5329" w:rsidRPr="002029AF">
        <w:t xml:space="preserve"> </w:t>
      </w:r>
      <w:r w:rsidRPr="002029AF">
        <w:t>of</w:t>
      </w:r>
      <w:r w:rsidR="000A5329" w:rsidRPr="002029AF">
        <w:t xml:space="preserve"> </w:t>
      </w:r>
      <w:r w:rsidRPr="002029AF">
        <w:t>income</w:t>
      </w:r>
      <w:r w:rsidR="000A5329" w:rsidRPr="002029AF">
        <w:t xml:space="preserve"> </w:t>
      </w:r>
      <w:r w:rsidRPr="002029AF">
        <w:t>is</w:t>
      </w:r>
      <w:r w:rsidR="000A5329" w:rsidRPr="002029AF">
        <w:t xml:space="preserve"> </w:t>
      </w:r>
      <w:r w:rsidRPr="002029AF">
        <w:t>generally</w:t>
      </w:r>
      <w:r w:rsidR="000A5329" w:rsidRPr="002029AF">
        <w:t xml:space="preserve"> </w:t>
      </w:r>
      <w:r w:rsidRPr="002029AF">
        <w:t>paid</w:t>
      </w:r>
      <w:r w:rsidR="000A5329" w:rsidRPr="002029AF">
        <w:t xml:space="preserve"> </w:t>
      </w:r>
      <w:r w:rsidRPr="002029AF">
        <w:t>into</w:t>
      </w:r>
      <w:r w:rsidR="000A5329" w:rsidRPr="002029AF">
        <w:t xml:space="preserve"> </w:t>
      </w:r>
      <w:r w:rsidRPr="002029AF">
        <w:t>the</w:t>
      </w:r>
      <w:r w:rsidR="000A5329" w:rsidRPr="002029AF">
        <w:t xml:space="preserve"> </w:t>
      </w:r>
      <w:r w:rsidRPr="002029AF">
        <w:t>state’s</w:t>
      </w:r>
      <w:r w:rsidR="000A5329" w:rsidRPr="002029AF">
        <w:t xml:space="preserve"> </w:t>
      </w:r>
      <w:r w:rsidRPr="002029AF">
        <w:t>bank</w:t>
      </w:r>
      <w:r w:rsidR="000A5329" w:rsidRPr="002029AF">
        <w:t xml:space="preserve"> </w:t>
      </w:r>
      <w:r w:rsidRPr="002029AF">
        <w:t>account</w:t>
      </w:r>
      <w:r w:rsidR="000A5329" w:rsidRPr="002029AF">
        <w:t xml:space="preserve"> </w:t>
      </w:r>
      <w:r w:rsidRPr="002029AF">
        <w:t>(‘public</w:t>
      </w:r>
      <w:r w:rsidR="000A5329" w:rsidRPr="002029AF">
        <w:t xml:space="preserve"> </w:t>
      </w:r>
      <w:r w:rsidRPr="002029AF">
        <w:t>account’).</w:t>
      </w:r>
      <w:r w:rsidR="000A5329" w:rsidRPr="002029AF">
        <w:t xml:space="preserve"> </w:t>
      </w:r>
      <w:r w:rsidRPr="002029AF">
        <w:t>Similarly,</w:t>
      </w:r>
      <w:r w:rsidR="000A5329" w:rsidRPr="002029AF">
        <w:t xml:space="preserve"> </w:t>
      </w:r>
      <w:r w:rsidRPr="002029AF">
        <w:t>departmental</w:t>
      </w:r>
      <w:r w:rsidR="000A5329" w:rsidRPr="002029AF">
        <w:t xml:space="preserve"> </w:t>
      </w:r>
      <w:r w:rsidRPr="002029AF">
        <w:t>expenditure,</w:t>
      </w:r>
      <w:r w:rsidR="000A5329" w:rsidRPr="002029AF">
        <w:t xml:space="preserve"> </w:t>
      </w:r>
      <w:r w:rsidRPr="002029AF">
        <w:t>including</w:t>
      </w:r>
      <w:r w:rsidR="000A5329" w:rsidRPr="002029AF">
        <w:t xml:space="preserve"> </w:t>
      </w:r>
      <w:r w:rsidRPr="002029AF">
        <w:t>in</w:t>
      </w:r>
      <w:r w:rsidR="000A5329" w:rsidRPr="002029AF">
        <w:t xml:space="preserve"> </w:t>
      </w:r>
      <w:r w:rsidRPr="002029AF">
        <w:t>the</w:t>
      </w:r>
      <w:r w:rsidR="000A5329" w:rsidRPr="002029AF">
        <w:t xml:space="preserve"> </w:t>
      </w:r>
      <w:r w:rsidRPr="002029AF">
        <w:t>form</w:t>
      </w:r>
      <w:r w:rsidR="000A5329" w:rsidRPr="002029AF">
        <w:t xml:space="preserve"> </w:t>
      </w:r>
      <w:r w:rsidRPr="002029AF">
        <w:t>of</w:t>
      </w:r>
      <w:r w:rsidR="000A5329" w:rsidRPr="002029AF">
        <w:t xml:space="preserve"> </w:t>
      </w:r>
      <w:r w:rsidRPr="002029AF">
        <w:t>cheques</w:t>
      </w:r>
      <w:r w:rsidR="000A5329" w:rsidRPr="002029AF">
        <w:t xml:space="preserve"> </w:t>
      </w:r>
      <w:r w:rsidRPr="002029AF">
        <w:t>drawn</w:t>
      </w:r>
      <w:r w:rsidR="000A5329" w:rsidRPr="002029AF">
        <w:t xml:space="preserve"> </w:t>
      </w:r>
      <w:r w:rsidRPr="002029AF">
        <w:t>for</w:t>
      </w:r>
      <w:r w:rsidR="000A5329" w:rsidRPr="002029AF">
        <w:t xml:space="preserve"> </w:t>
      </w:r>
      <w:r w:rsidRPr="002029AF">
        <w:t>the</w:t>
      </w:r>
      <w:r w:rsidR="000A5329" w:rsidRPr="002029AF">
        <w:t xml:space="preserve"> </w:t>
      </w:r>
      <w:r w:rsidRPr="002029AF">
        <w:t>payments</w:t>
      </w:r>
      <w:r w:rsidR="000A5329" w:rsidRPr="002029AF">
        <w:t xml:space="preserve"> </w:t>
      </w:r>
      <w:r w:rsidRPr="002029AF">
        <w:t>to</w:t>
      </w:r>
      <w:r w:rsidR="000A5329" w:rsidRPr="002029AF">
        <w:t xml:space="preserve"> </w:t>
      </w:r>
      <w:r w:rsidRPr="002029AF">
        <w:t>its</w:t>
      </w:r>
      <w:r w:rsidR="000A5329" w:rsidRPr="002029AF">
        <w:t xml:space="preserve"> </w:t>
      </w:r>
      <w:r w:rsidRPr="002029AF">
        <w:t>suppliers</w:t>
      </w:r>
      <w:r w:rsidR="000A5329" w:rsidRPr="002029AF">
        <w:t xml:space="preserve"> </w:t>
      </w:r>
      <w:r w:rsidRPr="002029AF">
        <w:t>and</w:t>
      </w:r>
      <w:r w:rsidR="000A5329" w:rsidRPr="002029AF">
        <w:t xml:space="preserve"> </w:t>
      </w:r>
      <w:r w:rsidRPr="002029AF">
        <w:t>creditors</w:t>
      </w:r>
      <w:r w:rsidR="000A5329" w:rsidRPr="002029AF">
        <w:t xml:space="preserve"> </w:t>
      </w:r>
      <w:r w:rsidRPr="002029AF">
        <w:t>are</w:t>
      </w:r>
      <w:r w:rsidR="000A5329" w:rsidRPr="002029AF">
        <w:t xml:space="preserve"> </w:t>
      </w:r>
      <w:r w:rsidRPr="002029AF">
        <w:t>made</w:t>
      </w:r>
      <w:r w:rsidR="000A5329" w:rsidRPr="002029AF">
        <w:t xml:space="preserve"> </w:t>
      </w:r>
      <w:r w:rsidRPr="002029AF">
        <w:t>via</w:t>
      </w:r>
      <w:r w:rsidR="000A5329" w:rsidRPr="002029AF">
        <w:t xml:space="preserve"> </w:t>
      </w:r>
      <w:r w:rsidRPr="002029AF">
        <w:t>the</w:t>
      </w:r>
      <w:r w:rsidR="000A5329" w:rsidRPr="002029AF">
        <w:t xml:space="preserve"> </w:t>
      </w:r>
      <w:r w:rsidRPr="002029AF">
        <w:t>public</w:t>
      </w:r>
      <w:r w:rsidR="000A5329" w:rsidRPr="002029AF">
        <w:t xml:space="preserve"> </w:t>
      </w:r>
      <w:r w:rsidRPr="002029AF">
        <w:t>account.</w:t>
      </w:r>
      <w:r w:rsidR="000A5329" w:rsidRPr="002029AF">
        <w:t xml:space="preserve"> </w:t>
      </w:r>
      <w:r w:rsidRPr="002029AF">
        <w:t>The</w:t>
      </w:r>
      <w:r w:rsidR="000A5329" w:rsidRPr="002029AF">
        <w:t xml:space="preserve"> </w:t>
      </w:r>
      <w:r w:rsidRPr="002029AF">
        <w:t>public</w:t>
      </w:r>
      <w:r w:rsidR="000A5329" w:rsidRPr="002029AF">
        <w:t xml:space="preserve"> </w:t>
      </w:r>
      <w:r w:rsidRPr="002029AF">
        <w:t>account</w:t>
      </w:r>
      <w:r w:rsidR="000A5329" w:rsidRPr="002029AF">
        <w:t xml:space="preserve"> </w:t>
      </w:r>
      <w:r w:rsidRPr="002029AF">
        <w:t>remits</w:t>
      </w:r>
      <w:r w:rsidR="000A5329" w:rsidRPr="002029AF">
        <w:t xml:space="preserve"> </w:t>
      </w:r>
      <w:r w:rsidRPr="002029AF">
        <w:t>to</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the</w:t>
      </w:r>
      <w:r w:rsidR="000A5329" w:rsidRPr="002029AF">
        <w:t xml:space="preserve"> </w:t>
      </w:r>
      <w:r w:rsidRPr="002029AF">
        <w:t>cash</w:t>
      </w:r>
      <w:r w:rsidR="000A5329" w:rsidRPr="002029AF">
        <w:t xml:space="preserve"> </w:t>
      </w:r>
      <w:r w:rsidRPr="002029AF">
        <w:t>required</w:t>
      </w:r>
      <w:r w:rsidR="000A5329" w:rsidRPr="002029AF">
        <w:t xml:space="preserve"> </w:t>
      </w:r>
      <w:r w:rsidRPr="002029AF">
        <w:t>upon</w:t>
      </w:r>
      <w:r w:rsidR="000A5329" w:rsidRPr="002029AF">
        <w:t xml:space="preserve"> </w:t>
      </w:r>
      <w:r w:rsidRPr="002029AF">
        <w:t>presentation</w:t>
      </w:r>
      <w:r w:rsidR="000A5329" w:rsidRPr="002029AF">
        <w:t xml:space="preserve"> </w:t>
      </w:r>
      <w:r w:rsidRPr="002029AF">
        <w:t>of</w:t>
      </w:r>
      <w:r w:rsidR="000A5329" w:rsidRPr="002029AF">
        <w:t xml:space="preserve"> </w:t>
      </w:r>
      <w:r w:rsidRPr="002029AF">
        <w:t>cheques</w:t>
      </w:r>
      <w:r w:rsidR="000A5329" w:rsidRPr="002029AF">
        <w:t xml:space="preserve"> </w:t>
      </w:r>
      <w:r w:rsidRPr="002029AF">
        <w:t>by</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suppliers</w:t>
      </w:r>
      <w:r w:rsidR="000A5329" w:rsidRPr="002029AF">
        <w:t xml:space="preserve"> </w:t>
      </w:r>
      <w:r w:rsidRPr="002029AF">
        <w:t>or</w:t>
      </w:r>
      <w:r w:rsidR="000A5329" w:rsidRPr="002029AF">
        <w:t xml:space="preserve"> </w:t>
      </w:r>
      <w:r w:rsidRPr="002029AF">
        <w:t>creditors.</w:t>
      </w:r>
    </w:p>
    <w:p w14:paraId="3A5FED1A" w14:textId="77777777" w:rsidR="00087B91" w:rsidRPr="002029AF" w:rsidRDefault="00087B91" w:rsidP="00087B91">
      <w:pPr>
        <w:pStyle w:val="ARfinbody"/>
      </w:pPr>
      <w:r w:rsidRPr="002029AF">
        <w:br w:type="page"/>
      </w:r>
    </w:p>
    <w:p w14:paraId="0D17E028" w14:textId="4AAA7A26" w:rsidR="00087B91" w:rsidRPr="002029AF" w:rsidRDefault="00087B91" w:rsidP="00087B91">
      <w:pPr>
        <w:pStyle w:val="Heading5"/>
      </w:pPr>
      <w:r w:rsidRPr="002029AF">
        <w:lastRenderedPageBreak/>
        <w:t>7.3.1</w:t>
      </w:r>
      <w:r w:rsidR="000A5329" w:rsidRPr="002029AF">
        <w:t xml:space="preserve"> </w:t>
      </w:r>
      <w:r w:rsidRPr="002029AF">
        <w:t>Reconciliation</w:t>
      </w:r>
      <w:r w:rsidR="000A5329" w:rsidRPr="002029AF">
        <w:t xml:space="preserve"> </w:t>
      </w:r>
      <w:r w:rsidRPr="002029AF">
        <w:t>of</w:t>
      </w:r>
      <w:r w:rsidR="000A5329" w:rsidRPr="002029AF">
        <w:t xml:space="preserve"> </w:t>
      </w:r>
      <w:r w:rsidRPr="002029AF">
        <w:t>net</w:t>
      </w:r>
      <w:r w:rsidR="000A5329" w:rsidRPr="002029AF">
        <w:t xml:space="preserve"> </w:t>
      </w:r>
      <w:r w:rsidRPr="002029AF">
        <w:t>result</w:t>
      </w:r>
      <w:r w:rsidR="000A5329" w:rsidRPr="002029AF">
        <w:t xml:space="preserve"> </w:t>
      </w:r>
      <w:r w:rsidRPr="002029AF">
        <w:t>for</w:t>
      </w:r>
      <w:r w:rsidR="000A5329" w:rsidRPr="002029AF">
        <w:t xml:space="preserve"> </w:t>
      </w:r>
      <w:r w:rsidRPr="002029AF">
        <w:t>the</w:t>
      </w:r>
      <w:r w:rsidR="000A5329" w:rsidRPr="002029AF">
        <w:t xml:space="preserve"> </w:t>
      </w:r>
      <w:r w:rsidRPr="002029AF">
        <w:t>period</w:t>
      </w:r>
      <w:r w:rsidR="000A5329" w:rsidRPr="002029AF">
        <w:t xml:space="preserve"> </w:t>
      </w:r>
      <w:r w:rsidRPr="002029AF">
        <w:t>to</w:t>
      </w:r>
      <w:r w:rsidR="000A5329" w:rsidRPr="002029AF">
        <w:t xml:space="preserve"> </w:t>
      </w:r>
      <w:r w:rsidRPr="002029AF">
        <w:t>net</w:t>
      </w:r>
      <w:r w:rsidR="000A5329" w:rsidRPr="002029AF">
        <w:t xml:space="preserve"> </w:t>
      </w:r>
      <w:r w:rsidRPr="002029AF">
        <w:t>cash</w:t>
      </w:r>
      <w:r w:rsidR="000A5329" w:rsidRPr="002029AF">
        <w:t xml:space="preserve"> </w:t>
      </w:r>
      <w:r w:rsidRPr="002029AF">
        <w:t>flow</w:t>
      </w:r>
      <w:r w:rsidR="000A5329" w:rsidRPr="002029AF">
        <w:t xml:space="preserve"> </w:t>
      </w:r>
      <w:r w:rsidRPr="002029AF">
        <w:t>from</w:t>
      </w:r>
      <w:r w:rsidR="000A5329" w:rsidRPr="002029AF">
        <w:t xml:space="preserve"> </w:t>
      </w:r>
      <w:r w:rsidRPr="002029AF">
        <w:t>operating</w:t>
      </w:r>
      <w:r w:rsidR="000A5329" w:rsidRPr="002029AF">
        <w:t xml:space="preserve"> </w:t>
      </w:r>
      <w:r w:rsidRPr="002029AF">
        <w:t>activities</w:t>
      </w:r>
    </w:p>
    <w:tbl>
      <w:tblPr>
        <w:tblStyle w:val="TableGrid"/>
        <w:tblW w:w="9637" w:type="dxa"/>
        <w:tblLayout w:type="fixed"/>
        <w:tblLook w:val="06A0" w:firstRow="1" w:lastRow="0" w:firstColumn="1" w:lastColumn="0" w:noHBand="1" w:noVBand="1"/>
      </w:tblPr>
      <w:tblGrid>
        <w:gridCol w:w="7369"/>
        <w:gridCol w:w="1134"/>
        <w:gridCol w:w="1134"/>
      </w:tblGrid>
      <w:tr w:rsidR="00087B91" w:rsidRPr="002029AF" w14:paraId="58524797"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7369" w:type="dxa"/>
            <w:hideMark/>
          </w:tcPr>
          <w:p w14:paraId="67FF0C9C" w14:textId="77777777" w:rsidR="00087B91" w:rsidRPr="002029AF" w:rsidRDefault="00087B91" w:rsidP="00860E95">
            <w:pPr>
              <w:pStyle w:val="ARfintablecolhead"/>
            </w:pPr>
          </w:p>
        </w:tc>
        <w:tc>
          <w:tcPr>
            <w:tcW w:w="1134" w:type="dxa"/>
            <w:shd w:val="clear" w:color="auto" w:fill="E7E6E6"/>
            <w:hideMark/>
          </w:tcPr>
          <w:p w14:paraId="3E93B1B6" w14:textId="77777777" w:rsidR="00087B91" w:rsidRPr="002029AF" w:rsidRDefault="00087B91" w:rsidP="00860E95">
            <w:pPr>
              <w:pStyle w:val="ARfintablecolheadright"/>
            </w:pPr>
            <w:r w:rsidRPr="002029AF">
              <w:t>2020</w:t>
            </w:r>
          </w:p>
          <w:p w14:paraId="43156251" w14:textId="77777777" w:rsidR="00087B91" w:rsidRPr="002029AF" w:rsidRDefault="00087B91" w:rsidP="00860E95">
            <w:pPr>
              <w:pStyle w:val="ARfintablecolheadright"/>
            </w:pPr>
            <w:r w:rsidRPr="002029AF">
              <w:t>$M</w:t>
            </w:r>
          </w:p>
        </w:tc>
        <w:tc>
          <w:tcPr>
            <w:tcW w:w="1134" w:type="dxa"/>
            <w:hideMark/>
          </w:tcPr>
          <w:p w14:paraId="2669970B" w14:textId="77777777" w:rsidR="00087B91" w:rsidRPr="002029AF" w:rsidRDefault="00087B91" w:rsidP="00860E95">
            <w:pPr>
              <w:pStyle w:val="ARfintablecolheadright"/>
            </w:pPr>
            <w:r w:rsidRPr="002029AF">
              <w:t>2019</w:t>
            </w:r>
          </w:p>
          <w:p w14:paraId="3BD43DC3" w14:textId="77777777" w:rsidR="00087B91" w:rsidRPr="002029AF" w:rsidRDefault="00087B91" w:rsidP="00860E95">
            <w:pPr>
              <w:pStyle w:val="ARfintablecolheadright"/>
            </w:pPr>
            <w:r w:rsidRPr="002029AF">
              <w:t>$M</w:t>
            </w:r>
          </w:p>
        </w:tc>
      </w:tr>
      <w:tr w:rsidR="00087B91" w:rsidRPr="002029AF" w14:paraId="0C1FCD6D" w14:textId="77777777" w:rsidTr="00860E95">
        <w:tc>
          <w:tcPr>
            <w:tcW w:w="7369" w:type="dxa"/>
            <w:tcBorders>
              <w:bottom w:val="single" w:sz="4" w:space="0" w:color="auto"/>
            </w:tcBorders>
            <w:hideMark/>
          </w:tcPr>
          <w:p w14:paraId="67915F51" w14:textId="21480C0C" w:rsidR="00087B91" w:rsidRPr="002029AF" w:rsidRDefault="00087B91" w:rsidP="00860E95">
            <w:pPr>
              <w:pStyle w:val="ARfintablebodybold"/>
            </w:pPr>
            <w:r w:rsidRPr="002029AF">
              <w:t>Net</w:t>
            </w:r>
            <w:r w:rsidR="000A5329" w:rsidRPr="002029AF">
              <w:t xml:space="preserve"> </w:t>
            </w:r>
            <w:r w:rsidRPr="002029AF">
              <w:t>result</w:t>
            </w:r>
            <w:r w:rsidR="000A5329" w:rsidRPr="002029AF">
              <w:t xml:space="preserve"> </w:t>
            </w:r>
            <w:r w:rsidRPr="002029AF">
              <w:t>for</w:t>
            </w:r>
            <w:r w:rsidR="000A5329" w:rsidRPr="002029AF">
              <w:t xml:space="preserve"> </w:t>
            </w:r>
            <w:r w:rsidRPr="002029AF">
              <w:t>the</w:t>
            </w:r>
            <w:r w:rsidR="000A5329" w:rsidRPr="002029AF">
              <w:t xml:space="preserve"> </w:t>
            </w:r>
            <w:r w:rsidRPr="002029AF">
              <w:t>period</w:t>
            </w:r>
          </w:p>
        </w:tc>
        <w:tc>
          <w:tcPr>
            <w:tcW w:w="1134" w:type="dxa"/>
            <w:tcBorders>
              <w:bottom w:val="single" w:sz="4" w:space="0" w:color="auto"/>
            </w:tcBorders>
            <w:shd w:val="clear" w:color="auto" w:fill="E7E6E6"/>
            <w:noWrap/>
            <w:hideMark/>
          </w:tcPr>
          <w:p w14:paraId="4F02A31B" w14:textId="77777777" w:rsidR="00087B91" w:rsidRPr="002029AF" w:rsidRDefault="00087B91" w:rsidP="00860E95">
            <w:pPr>
              <w:pStyle w:val="ARfintablebodyright"/>
            </w:pPr>
            <w:r w:rsidRPr="002029AF">
              <w:t>545.4</w:t>
            </w:r>
          </w:p>
        </w:tc>
        <w:tc>
          <w:tcPr>
            <w:tcW w:w="1134" w:type="dxa"/>
            <w:tcBorders>
              <w:bottom w:val="single" w:sz="4" w:space="0" w:color="auto"/>
            </w:tcBorders>
            <w:noWrap/>
            <w:hideMark/>
          </w:tcPr>
          <w:p w14:paraId="3338263D" w14:textId="77777777" w:rsidR="00087B91" w:rsidRPr="002029AF" w:rsidRDefault="00087B91" w:rsidP="00860E95">
            <w:pPr>
              <w:pStyle w:val="ARfintablebodyright"/>
            </w:pPr>
            <w:r w:rsidRPr="002029AF">
              <w:t>(9.0)</w:t>
            </w:r>
          </w:p>
        </w:tc>
      </w:tr>
      <w:tr w:rsidR="00087B91" w:rsidRPr="002029AF" w14:paraId="37A194CC" w14:textId="77777777" w:rsidTr="00860E95">
        <w:tc>
          <w:tcPr>
            <w:tcW w:w="9637" w:type="dxa"/>
            <w:gridSpan w:val="3"/>
            <w:tcBorders>
              <w:top w:val="single" w:sz="4" w:space="0" w:color="auto"/>
              <w:bottom w:val="single" w:sz="4" w:space="0" w:color="A6A6A6"/>
            </w:tcBorders>
            <w:hideMark/>
          </w:tcPr>
          <w:p w14:paraId="3B188B37" w14:textId="5F98514E" w:rsidR="00087B91" w:rsidRPr="002029AF" w:rsidRDefault="00087B91" w:rsidP="00860E95">
            <w:pPr>
              <w:pStyle w:val="ARfintablebodybold"/>
            </w:pPr>
            <w:r w:rsidRPr="002029AF">
              <w:t>Non-cash</w:t>
            </w:r>
            <w:r w:rsidR="000A5329" w:rsidRPr="002029AF">
              <w:t xml:space="preserve"> </w:t>
            </w:r>
            <w:r w:rsidRPr="002029AF">
              <w:t>movements</w:t>
            </w:r>
          </w:p>
        </w:tc>
      </w:tr>
      <w:tr w:rsidR="00087B91" w:rsidRPr="002029AF" w14:paraId="4F38372E" w14:textId="77777777" w:rsidTr="00860E95">
        <w:tc>
          <w:tcPr>
            <w:tcW w:w="7369" w:type="dxa"/>
            <w:tcBorders>
              <w:top w:val="single" w:sz="4" w:space="0" w:color="A6A6A6"/>
              <w:bottom w:val="single" w:sz="4" w:space="0" w:color="A6A6A6"/>
            </w:tcBorders>
            <w:hideMark/>
          </w:tcPr>
          <w:p w14:paraId="4CD62B74" w14:textId="78DB2C3D" w:rsidR="00087B91" w:rsidRPr="002029AF" w:rsidRDefault="00087B91" w:rsidP="00860E95">
            <w:pPr>
              <w:pStyle w:val="ARfintablebody"/>
            </w:pPr>
            <w:r w:rsidRPr="002029AF">
              <w:t>(Gain)/loss</w:t>
            </w:r>
            <w:r w:rsidR="000A5329" w:rsidRPr="002029AF">
              <w:t xml:space="preserve"> </w:t>
            </w:r>
            <w:r w:rsidRPr="002029AF">
              <w:t>on</w:t>
            </w:r>
            <w:r w:rsidR="000A5329" w:rsidRPr="002029AF">
              <w:t xml:space="preserve"> </w:t>
            </w:r>
            <w:r w:rsidRPr="002029AF">
              <w:t>sale</w:t>
            </w:r>
            <w:r w:rsidR="000A5329" w:rsidRPr="002029AF">
              <w:t xml:space="preserve"> </w:t>
            </w:r>
            <w:r w:rsidRPr="002029AF">
              <w:t>of</w:t>
            </w:r>
            <w:r w:rsidR="000A5329" w:rsidRPr="002029AF">
              <w:t xml:space="preserve"> </w:t>
            </w:r>
            <w:r w:rsidRPr="002029AF">
              <w:t>non-financial</w:t>
            </w:r>
            <w:r w:rsidR="000A5329" w:rsidRPr="002029AF">
              <w:t xml:space="preserve"> </w:t>
            </w:r>
            <w:r w:rsidRPr="002029AF">
              <w:t>assets</w:t>
            </w:r>
          </w:p>
        </w:tc>
        <w:tc>
          <w:tcPr>
            <w:tcW w:w="1134" w:type="dxa"/>
            <w:tcBorders>
              <w:top w:val="single" w:sz="4" w:space="0" w:color="A6A6A6"/>
              <w:bottom w:val="single" w:sz="4" w:space="0" w:color="A6A6A6"/>
            </w:tcBorders>
            <w:shd w:val="clear" w:color="auto" w:fill="E7E6E6"/>
            <w:noWrap/>
            <w:hideMark/>
          </w:tcPr>
          <w:p w14:paraId="4F4DD6B5" w14:textId="77777777" w:rsidR="00087B91" w:rsidRPr="002029AF" w:rsidRDefault="00087B91" w:rsidP="00860E95">
            <w:pPr>
              <w:pStyle w:val="ARfintablebodyright"/>
            </w:pPr>
            <w:r w:rsidRPr="002029AF">
              <w:t>4.5</w:t>
            </w:r>
          </w:p>
        </w:tc>
        <w:tc>
          <w:tcPr>
            <w:tcW w:w="1134" w:type="dxa"/>
            <w:tcBorders>
              <w:top w:val="single" w:sz="4" w:space="0" w:color="A6A6A6"/>
              <w:bottom w:val="single" w:sz="4" w:space="0" w:color="A6A6A6"/>
            </w:tcBorders>
            <w:noWrap/>
            <w:hideMark/>
          </w:tcPr>
          <w:p w14:paraId="7832C839" w14:textId="77777777" w:rsidR="00087B91" w:rsidRPr="002029AF" w:rsidRDefault="00087B91" w:rsidP="00860E95">
            <w:pPr>
              <w:pStyle w:val="ARfintablebodyright"/>
            </w:pPr>
            <w:r w:rsidRPr="002029AF">
              <w:t>6.5</w:t>
            </w:r>
          </w:p>
        </w:tc>
      </w:tr>
      <w:tr w:rsidR="00087B91" w:rsidRPr="002029AF" w14:paraId="0D2191F5" w14:textId="77777777" w:rsidTr="00860E95">
        <w:tc>
          <w:tcPr>
            <w:tcW w:w="7369" w:type="dxa"/>
            <w:tcBorders>
              <w:top w:val="single" w:sz="4" w:space="0" w:color="A6A6A6"/>
              <w:bottom w:val="single" w:sz="4" w:space="0" w:color="A6A6A6"/>
            </w:tcBorders>
            <w:hideMark/>
          </w:tcPr>
          <w:p w14:paraId="3AA9BEF2" w14:textId="29865564" w:rsidR="00087B91" w:rsidRPr="002029AF" w:rsidRDefault="00087B91" w:rsidP="00860E95">
            <w:pPr>
              <w:pStyle w:val="ARfintablebody"/>
            </w:pPr>
            <w:r w:rsidRPr="002029AF">
              <w:t>Depreciation</w:t>
            </w:r>
            <w:r w:rsidR="000A5329" w:rsidRPr="002029AF">
              <w:t xml:space="preserve"> </w:t>
            </w:r>
            <w:r w:rsidRPr="002029AF">
              <w:t>and</w:t>
            </w:r>
            <w:r w:rsidR="000A5329" w:rsidRPr="002029AF">
              <w:t xml:space="preserve"> </w:t>
            </w:r>
            <w:r w:rsidRPr="002029AF">
              <w:t>amortisation</w:t>
            </w:r>
          </w:p>
        </w:tc>
        <w:tc>
          <w:tcPr>
            <w:tcW w:w="1134" w:type="dxa"/>
            <w:tcBorders>
              <w:top w:val="single" w:sz="4" w:space="0" w:color="A6A6A6"/>
              <w:bottom w:val="single" w:sz="4" w:space="0" w:color="A6A6A6"/>
            </w:tcBorders>
            <w:shd w:val="clear" w:color="auto" w:fill="E7E6E6"/>
            <w:noWrap/>
            <w:hideMark/>
          </w:tcPr>
          <w:p w14:paraId="1D0F1E96" w14:textId="77777777" w:rsidR="00087B91" w:rsidRPr="002029AF" w:rsidRDefault="00087B91" w:rsidP="00860E95">
            <w:pPr>
              <w:pStyle w:val="ARfintablebodyright"/>
            </w:pPr>
            <w:r w:rsidRPr="002029AF">
              <w:t>428.3</w:t>
            </w:r>
          </w:p>
        </w:tc>
        <w:tc>
          <w:tcPr>
            <w:tcW w:w="1134" w:type="dxa"/>
            <w:tcBorders>
              <w:top w:val="single" w:sz="4" w:space="0" w:color="A6A6A6"/>
              <w:bottom w:val="single" w:sz="4" w:space="0" w:color="A6A6A6"/>
            </w:tcBorders>
            <w:noWrap/>
            <w:hideMark/>
          </w:tcPr>
          <w:p w14:paraId="68151DB5" w14:textId="77777777" w:rsidR="00087B91" w:rsidRPr="002029AF" w:rsidRDefault="00087B91" w:rsidP="00860E95">
            <w:pPr>
              <w:pStyle w:val="ARfintablebodyright"/>
            </w:pPr>
            <w:r w:rsidRPr="002029AF">
              <w:t>340.5</w:t>
            </w:r>
          </w:p>
        </w:tc>
      </w:tr>
      <w:tr w:rsidR="00087B91" w:rsidRPr="002029AF" w14:paraId="02078B71" w14:textId="77777777" w:rsidTr="00860E95">
        <w:tc>
          <w:tcPr>
            <w:tcW w:w="7369" w:type="dxa"/>
            <w:tcBorders>
              <w:top w:val="single" w:sz="4" w:space="0" w:color="A6A6A6"/>
              <w:bottom w:val="single" w:sz="4" w:space="0" w:color="A6A6A6"/>
            </w:tcBorders>
            <w:hideMark/>
          </w:tcPr>
          <w:p w14:paraId="5BE91861" w14:textId="210C364C" w:rsidR="00087B91" w:rsidRPr="002029AF" w:rsidRDefault="00087B91" w:rsidP="00860E95">
            <w:pPr>
              <w:pStyle w:val="ARfintablebody"/>
            </w:pPr>
            <w:r w:rsidRPr="002029AF">
              <w:t>Impairment</w:t>
            </w:r>
            <w:r w:rsidR="000A5329" w:rsidRPr="002029AF">
              <w:t xml:space="preserve"> </w:t>
            </w:r>
            <w:r w:rsidRPr="002029AF">
              <w:t>of</w:t>
            </w:r>
            <w:r w:rsidR="000A5329" w:rsidRPr="002029AF">
              <w:t xml:space="preserve"> </w:t>
            </w:r>
            <w:r w:rsidRPr="002029AF">
              <w:t>joint</w:t>
            </w:r>
            <w:r w:rsidR="000A5329" w:rsidRPr="002029AF">
              <w:t xml:space="preserve"> </w:t>
            </w:r>
            <w:r w:rsidRPr="002029AF">
              <w:t>venture</w:t>
            </w:r>
          </w:p>
        </w:tc>
        <w:tc>
          <w:tcPr>
            <w:tcW w:w="1134" w:type="dxa"/>
            <w:tcBorders>
              <w:top w:val="single" w:sz="4" w:space="0" w:color="A6A6A6"/>
              <w:bottom w:val="single" w:sz="4" w:space="0" w:color="A6A6A6"/>
            </w:tcBorders>
            <w:shd w:val="clear" w:color="auto" w:fill="E7E6E6"/>
            <w:noWrap/>
            <w:hideMark/>
          </w:tcPr>
          <w:p w14:paraId="185919CE" w14:textId="77777777" w:rsidR="00087B91" w:rsidRPr="002029AF" w:rsidRDefault="00087B91" w:rsidP="00860E95">
            <w:pPr>
              <w:pStyle w:val="ARfintablebodyright"/>
            </w:pPr>
            <w:r w:rsidRPr="002029AF">
              <w:t>35.0</w:t>
            </w:r>
          </w:p>
        </w:tc>
        <w:tc>
          <w:tcPr>
            <w:tcW w:w="1134" w:type="dxa"/>
            <w:tcBorders>
              <w:top w:val="single" w:sz="4" w:space="0" w:color="A6A6A6"/>
              <w:bottom w:val="single" w:sz="4" w:space="0" w:color="A6A6A6"/>
            </w:tcBorders>
            <w:noWrap/>
            <w:hideMark/>
          </w:tcPr>
          <w:p w14:paraId="2D3FC223" w14:textId="77777777" w:rsidR="00087B91" w:rsidRPr="002029AF" w:rsidRDefault="00087B91" w:rsidP="00860E95">
            <w:pPr>
              <w:pStyle w:val="ARfintablebodyright"/>
            </w:pPr>
            <w:r w:rsidRPr="002029AF">
              <w:t>–</w:t>
            </w:r>
          </w:p>
        </w:tc>
      </w:tr>
      <w:tr w:rsidR="00087B91" w:rsidRPr="002029AF" w14:paraId="4AFF82BD" w14:textId="77777777" w:rsidTr="00860E95">
        <w:tc>
          <w:tcPr>
            <w:tcW w:w="7369" w:type="dxa"/>
            <w:tcBorders>
              <w:top w:val="single" w:sz="4" w:space="0" w:color="A6A6A6"/>
              <w:bottom w:val="single" w:sz="4" w:space="0" w:color="A6A6A6"/>
            </w:tcBorders>
            <w:hideMark/>
          </w:tcPr>
          <w:p w14:paraId="767D0F8A" w14:textId="02561B4E" w:rsidR="00087B91" w:rsidRPr="002029AF" w:rsidRDefault="00087B91" w:rsidP="00860E95">
            <w:pPr>
              <w:pStyle w:val="ARfintablebody"/>
            </w:pPr>
            <w:r w:rsidRPr="002029AF">
              <w:t>Change</w:t>
            </w:r>
            <w:r w:rsidR="000A5329" w:rsidRPr="002029AF">
              <w:t xml:space="preserve"> </w:t>
            </w:r>
            <w:r w:rsidRPr="002029AF">
              <w:t>in</w:t>
            </w:r>
            <w:r w:rsidR="000A5329" w:rsidRPr="002029AF">
              <w:t xml:space="preserve"> </w:t>
            </w:r>
            <w:r w:rsidRPr="002029AF">
              <w:t>net</w:t>
            </w:r>
            <w:r w:rsidR="000A5329" w:rsidRPr="002029AF">
              <w:t xml:space="preserve"> </w:t>
            </w:r>
            <w:r w:rsidRPr="002029AF">
              <w:t>market</w:t>
            </w:r>
            <w:r w:rsidR="000A5329" w:rsidRPr="002029AF">
              <w:t xml:space="preserve"> </w:t>
            </w:r>
            <w:r w:rsidRPr="002029AF">
              <w:t>values</w:t>
            </w:r>
            <w:r w:rsidR="000A5329" w:rsidRPr="002029AF">
              <w:t xml:space="preserve"> </w:t>
            </w:r>
            <w:r w:rsidRPr="002029AF">
              <w:t>of</w:t>
            </w:r>
            <w:r w:rsidR="000A5329" w:rsidRPr="002029AF">
              <w:t xml:space="preserve"> </w:t>
            </w:r>
            <w:r w:rsidRPr="002029AF">
              <w:t>VMIA</w:t>
            </w:r>
            <w:r w:rsidR="000A5329" w:rsidRPr="002029AF">
              <w:t xml:space="preserve"> </w:t>
            </w:r>
            <w:r w:rsidRPr="002029AF">
              <w:t>liability</w:t>
            </w:r>
          </w:p>
        </w:tc>
        <w:tc>
          <w:tcPr>
            <w:tcW w:w="1134" w:type="dxa"/>
            <w:tcBorders>
              <w:top w:val="single" w:sz="4" w:space="0" w:color="A6A6A6"/>
              <w:bottom w:val="single" w:sz="4" w:space="0" w:color="A6A6A6"/>
            </w:tcBorders>
            <w:shd w:val="clear" w:color="auto" w:fill="E7E6E6"/>
            <w:noWrap/>
            <w:hideMark/>
          </w:tcPr>
          <w:p w14:paraId="36CA28C2" w14:textId="77777777" w:rsidR="00087B91" w:rsidRPr="002029AF" w:rsidRDefault="00087B91" w:rsidP="00860E95">
            <w:pPr>
              <w:pStyle w:val="ARfintablebodyright"/>
            </w:pPr>
            <w:r w:rsidRPr="002029AF">
              <w:t>40.6</w:t>
            </w:r>
          </w:p>
        </w:tc>
        <w:tc>
          <w:tcPr>
            <w:tcW w:w="1134" w:type="dxa"/>
            <w:tcBorders>
              <w:top w:val="single" w:sz="4" w:space="0" w:color="A6A6A6"/>
              <w:bottom w:val="single" w:sz="4" w:space="0" w:color="A6A6A6"/>
            </w:tcBorders>
            <w:noWrap/>
            <w:hideMark/>
          </w:tcPr>
          <w:p w14:paraId="048A5C31" w14:textId="77777777" w:rsidR="00087B91" w:rsidRPr="002029AF" w:rsidRDefault="00087B91" w:rsidP="00860E95">
            <w:pPr>
              <w:pStyle w:val="ARfintablebodyright"/>
            </w:pPr>
            <w:r w:rsidRPr="002029AF">
              <w:t>27.2</w:t>
            </w:r>
          </w:p>
        </w:tc>
      </w:tr>
      <w:tr w:rsidR="00087B91" w:rsidRPr="002029AF" w14:paraId="4E62F81E" w14:textId="77777777" w:rsidTr="00860E95">
        <w:tc>
          <w:tcPr>
            <w:tcW w:w="7369" w:type="dxa"/>
            <w:tcBorders>
              <w:top w:val="single" w:sz="4" w:space="0" w:color="A6A6A6"/>
              <w:bottom w:val="single" w:sz="4" w:space="0" w:color="A6A6A6"/>
            </w:tcBorders>
            <w:hideMark/>
          </w:tcPr>
          <w:p w14:paraId="47477CAE" w14:textId="6A99BDE3" w:rsidR="00087B91" w:rsidRPr="002029AF" w:rsidRDefault="00087B91" w:rsidP="00860E95">
            <w:pPr>
              <w:pStyle w:val="ARfintablebody"/>
            </w:pPr>
            <w:r w:rsidRPr="002029AF">
              <w:t>Other</w:t>
            </w:r>
            <w:r w:rsidR="000A5329" w:rsidRPr="002029AF">
              <w:t xml:space="preserve"> </w:t>
            </w:r>
            <w:r w:rsidRPr="002029AF">
              <w:t>income</w:t>
            </w:r>
            <w:r w:rsidR="000A5329" w:rsidRPr="002029AF">
              <w:t xml:space="preserve"> </w:t>
            </w:r>
            <w:r w:rsidRPr="002029AF">
              <w:t>from</w:t>
            </w:r>
            <w:r w:rsidR="000A5329" w:rsidRPr="002029AF">
              <w:t xml:space="preserve"> </w:t>
            </w:r>
            <w:r w:rsidRPr="002029AF">
              <w:t>investing</w:t>
            </w:r>
            <w:r w:rsidR="000A5329" w:rsidRPr="002029AF">
              <w:t xml:space="preserve"> </w:t>
            </w:r>
            <w:r w:rsidRPr="002029AF">
              <w:t>activities</w:t>
            </w:r>
          </w:p>
        </w:tc>
        <w:tc>
          <w:tcPr>
            <w:tcW w:w="1134" w:type="dxa"/>
            <w:tcBorders>
              <w:top w:val="single" w:sz="4" w:space="0" w:color="A6A6A6"/>
              <w:bottom w:val="single" w:sz="4" w:space="0" w:color="A6A6A6"/>
            </w:tcBorders>
            <w:shd w:val="clear" w:color="auto" w:fill="E7E6E6"/>
            <w:noWrap/>
            <w:hideMark/>
          </w:tcPr>
          <w:p w14:paraId="1C86E7E5" w14:textId="77777777" w:rsidR="00087B91" w:rsidRPr="002029AF" w:rsidRDefault="00087B91" w:rsidP="00860E95">
            <w:pPr>
              <w:pStyle w:val="ARfintablebodyright"/>
            </w:pPr>
            <w:r w:rsidRPr="002029AF">
              <w:t>(1.4)</w:t>
            </w:r>
          </w:p>
        </w:tc>
        <w:tc>
          <w:tcPr>
            <w:tcW w:w="1134" w:type="dxa"/>
            <w:tcBorders>
              <w:top w:val="single" w:sz="4" w:space="0" w:color="A6A6A6"/>
              <w:bottom w:val="single" w:sz="4" w:space="0" w:color="A6A6A6"/>
            </w:tcBorders>
            <w:noWrap/>
            <w:hideMark/>
          </w:tcPr>
          <w:p w14:paraId="7E7AF702" w14:textId="77777777" w:rsidR="00087B91" w:rsidRPr="002029AF" w:rsidRDefault="00087B91" w:rsidP="00860E95">
            <w:pPr>
              <w:pStyle w:val="ARfintablebodyright"/>
            </w:pPr>
            <w:r w:rsidRPr="002029AF">
              <w:t>(3.3)</w:t>
            </w:r>
          </w:p>
        </w:tc>
      </w:tr>
      <w:tr w:rsidR="00087B91" w:rsidRPr="002029AF" w14:paraId="458D0725" w14:textId="77777777" w:rsidTr="00860E95">
        <w:tc>
          <w:tcPr>
            <w:tcW w:w="7369" w:type="dxa"/>
            <w:tcBorders>
              <w:top w:val="single" w:sz="4" w:space="0" w:color="A6A6A6"/>
              <w:bottom w:val="single" w:sz="4" w:space="0" w:color="A6A6A6"/>
            </w:tcBorders>
            <w:hideMark/>
          </w:tcPr>
          <w:p w14:paraId="45D5826C" w14:textId="2DDC64BF" w:rsidR="00087B91" w:rsidRPr="002029AF" w:rsidRDefault="00087B91" w:rsidP="00860E95">
            <w:pPr>
              <w:pStyle w:val="ARfintablebody"/>
            </w:pPr>
            <w:r w:rsidRPr="002029AF">
              <w:t>Net</w:t>
            </w:r>
            <w:r w:rsidR="000A5329" w:rsidRPr="002029AF">
              <w:t xml:space="preserve"> </w:t>
            </w:r>
            <w:r w:rsidRPr="002029AF">
              <w:t>gain/(loss)</w:t>
            </w:r>
            <w:r w:rsidR="000A5329" w:rsidRPr="002029AF">
              <w:t xml:space="preserve"> </w:t>
            </w:r>
            <w:r w:rsidRPr="002029AF">
              <w:t>on</w:t>
            </w:r>
            <w:r w:rsidR="000A5329" w:rsidRPr="002029AF">
              <w:t xml:space="preserve"> </w:t>
            </w:r>
            <w:r w:rsidRPr="002029AF">
              <w:t>financial</w:t>
            </w:r>
            <w:r w:rsidR="000A5329" w:rsidRPr="002029AF">
              <w:t xml:space="preserve"> </w:t>
            </w:r>
            <w:r w:rsidRPr="002029AF">
              <w:t>instruments</w:t>
            </w:r>
          </w:p>
        </w:tc>
        <w:tc>
          <w:tcPr>
            <w:tcW w:w="1134" w:type="dxa"/>
            <w:tcBorders>
              <w:top w:val="single" w:sz="4" w:space="0" w:color="A6A6A6"/>
              <w:bottom w:val="single" w:sz="4" w:space="0" w:color="A6A6A6"/>
            </w:tcBorders>
            <w:shd w:val="clear" w:color="auto" w:fill="E7E6E6"/>
            <w:noWrap/>
            <w:hideMark/>
          </w:tcPr>
          <w:p w14:paraId="2AF935D0" w14:textId="77777777" w:rsidR="00087B91" w:rsidRPr="002029AF" w:rsidRDefault="00087B91" w:rsidP="00860E95">
            <w:pPr>
              <w:pStyle w:val="ARfintablebodyright"/>
            </w:pPr>
            <w:r w:rsidRPr="002029AF">
              <w:t>(0.4)</w:t>
            </w:r>
          </w:p>
        </w:tc>
        <w:tc>
          <w:tcPr>
            <w:tcW w:w="1134" w:type="dxa"/>
            <w:tcBorders>
              <w:top w:val="single" w:sz="4" w:space="0" w:color="A6A6A6"/>
              <w:bottom w:val="single" w:sz="4" w:space="0" w:color="A6A6A6"/>
            </w:tcBorders>
            <w:noWrap/>
            <w:hideMark/>
          </w:tcPr>
          <w:p w14:paraId="35923877" w14:textId="77777777" w:rsidR="00087B91" w:rsidRPr="002029AF" w:rsidRDefault="00087B91" w:rsidP="00860E95">
            <w:pPr>
              <w:pStyle w:val="ARfintablebodyright"/>
            </w:pPr>
            <w:r w:rsidRPr="002029AF">
              <w:t>(0.2)</w:t>
            </w:r>
          </w:p>
        </w:tc>
      </w:tr>
      <w:tr w:rsidR="00087B91" w:rsidRPr="002029AF" w14:paraId="483029C3" w14:textId="77777777" w:rsidTr="00860E95">
        <w:tc>
          <w:tcPr>
            <w:tcW w:w="7369" w:type="dxa"/>
            <w:tcBorders>
              <w:top w:val="single" w:sz="4" w:space="0" w:color="A6A6A6"/>
              <w:bottom w:val="single" w:sz="4" w:space="0" w:color="A6A6A6"/>
            </w:tcBorders>
            <w:hideMark/>
          </w:tcPr>
          <w:p w14:paraId="4E57EF15" w14:textId="21758BC1" w:rsidR="00087B91" w:rsidRPr="002029AF" w:rsidRDefault="00087B91" w:rsidP="00860E95">
            <w:pPr>
              <w:pStyle w:val="ARfintablebody"/>
            </w:pPr>
            <w:r w:rsidRPr="002029AF">
              <w:t>Other</w:t>
            </w:r>
            <w:r w:rsidR="000A5329" w:rsidRPr="002029AF">
              <w:t xml:space="preserve"> </w:t>
            </w:r>
            <w:r w:rsidRPr="002029AF">
              <w:t>gains</w:t>
            </w:r>
            <w:r w:rsidR="000A5329" w:rsidRPr="002029AF">
              <w:t xml:space="preserve"> </w:t>
            </w:r>
            <w:r w:rsidRPr="002029AF">
              <w:t>or</w:t>
            </w:r>
            <w:r w:rsidR="000A5329" w:rsidRPr="002029AF">
              <w:t xml:space="preserve"> </w:t>
            </w:r>
            <w:r w:rsidRPr="002029AF">
              <w:t>losses</w:t>
            </w:r>
            <w:r w:rsidR="000A5329" w:rsidRPr="002029AF">
              <w:t xml:space="preserve"> </w:t>
            </w:r>
            <w:r w:rsidRPr="002029AF">
              <w:t>from</w:t>
            </w:r>
            <w:r w:rsidR="000A5329" w:rsidRPr="002029AF">
              <w:t xml:space="preserve"> </w:t>
            </w:r>
            <w:r w:rsidRPr="002029AF">
              <w:t>other</w:t>
            </w:r>
            <w:r w:rsidR="000A5329" w:rsidRPr="002029AF">
              <w:t xml:space="preserve"> </w:t>
            </w:r>
            <w:r w:rsidRPr="002029AF">
              <w:t>economic</w:t>
            </w:r>
            <w:r w:rsidR="000A5329" w:rsidRPr="002029AF">
              <w:t xml:space="preserve"> </w:t>
            </w:r>
            <w:r w:rsidRPr="002029AF">
              <w:t>flows</w:t>
            </w:r>
          </w:p>
        </w:tc>
        <w:tc>
          <w:tcPr>
            <w:tcW w:w="1134" w:type="dxa"/>
            <w:tcBorders>
              <w:top w:val="single" w:sz="4" w:space="0" w:color="A6A6A6"/>
              <w:bottom w:val="single" w:sz="4" w:space="0" w:color="A6A6A6"/>
            </w:tcBorders>
            <w:shd w:val="clear" w:color="auto" w:fill="E7E6E6"/>
            <w:noWrap/>
            <w:hideMark/>
          </w:tcPr>
          <w:p w14:paraId="1E7BCDE6" w14:textId="77777777" w:rsidR="00087B91" w:rsidRPr="002029AF" w:rsidRDefault="00087B91" w:rsidP="00860E95">
            <w:pPr>
              <w:pStyle w:val="ARfintablebodyright"/>
            </w:pPr>
            <w:r w:rsidRPr="002029AF">
              <w:t>23.6</w:t>
            </w:r>
          </w:p>
        </w:tc>
        <w:tc>
          <w:tcPr>
            <w:tcW w:w="1134" w:type="dxa"/>
            <w:tcBorders>
              <w:top w:val="single" w:sz="4" w:space="0" w:color="A6A6A6"/>
              <w:bottom w:val="single" w:sz="4" w:space="0" w:color="A6A6A6"/>
            </w:tcBorders>
            <w:noWrap/>
            <w:hideMark/>
          </w:tcPr>
          <w:p w14:paraId="0E96BF28" w14:textId="77777777" w:rsidR="00087B91" w:rsidRPr="002029AF" w:rsidRDefault="00087B91" w:rsidP="00860E95">
            <w:pPr>
              <w:pStyle w:val="ARfintablebodyright"/>
            </w:pPr>
            <w:r w:rsidRPr="002029AF">
              <w:t>28.1</w:t>
            </w:r>
          </w:p>
        </w:tc>
      </w:tr>
      <w:tr w:rsidR="00087B91" w:rsidRPr="002029AF" w14:paraId="65580C48" w14:textId="77777777" w:rsidTr="00860E95">
        <w:tc>
          <w:tcPr>
            <w:tcW w:w="7369" w:type="dxa"/>
            <w:tcBorders>
              <w:top w:val="single" w:sz="4" w:space="0" w:color="A6A6A6"/>
              <w:bottom w:val="single" w:sz="4" w:space="0" w:color="auto"/>
            </w:tcBorders>
            <w:hideMark/>
          </w:tcPr>
          <w:p w14:paraId="7ABEFB92" w14:textId="33E5BF90" w:rsidR="00087B91" w:rsidRPr="002029AF" w:rsidRDefault="00087B91" w:rsidP="00860E95">
            <w:pPr>
              <w:pStyle w:val="ARfintablebody"/>
            </w:pPr>
            <w:r w:rsidRPr="002029AF">
              <w:t>Resources</w:t>
            </w:r>
            <w:r w:rsidR="000A5329" w:rsidRPr="002029AF">
              <w:t xml:space="preserve"> </w:t>
            </w:r>
            <w:r w:rsidRPr="002029AF">
              <w:t>(received)/provided</w:t>
            </w:r>
            <w:r w:rsidR="000A5329" w:rsidRPr="002029AF">
              <w:t xml:space="preserve"> </w:t>
            </w:r>
            <w:r w:rsidRPr="002029AF">
              <w:t>free</w:t>
            </w:r>
            <w:r w:rsidR="000A5329" w:rsidRPr="002029AF">
              <w:t xml:space="preserve"> </w:t>
            </w:r>
            <w:r w:rsidRPr="002029AF">
              <w:t>of</w:t>
            </w:r>
            <w:r w:rsidR="000A5329" w:rsidRPr="002029AF">
              <w:t xml:space="preserve"> </w:t>
            </w:r>
            <w:r w:rsidRPr="002029AF">
              <w:t>charge</w:t>
            </w:r>
          </w:p>
        </w:tc>
        <w:tc>
          <w:tcPr>
            <w:tcW w:w="1134" w:type="dxa"/>
            <w:tcBorders>
              <w:top w:val="single" w:sz="4" w:space="0" w:color="A6A6A6"/>
              <w:bottom w:val="single" w:sz="4" w:space="0" w:color="auto"/>
            </w:tcBorders>
            <w:shd w:val="clear" w:color="auto" w:fill="E7E6E6"/>
            <w:noWrap/>
            <w:hideMark/>
          </w:tcPr>
          <w:p w14:paraId="0BC61929" w14:textId="77777777" w:rsidR="00087B91" w:rsidRPr="002029AF" w:rsidRDefault="00087B91" w:rsidP="00860E95">
            <w:pPr>
              <w:pStyle w:val="ARfintablebodyright"/>
            </w:pPr>
            <w:r w:rsidRPr="002029AF">
              <w:t>28.5</w:t>
            </w:r>
          </w:p>
        </w:tc>
        <w:tc>
          <w:tcPr>
            <w:tcW w:w="1134" w:type="dxa"/>
            <w:tcBorders>
              <w:top w:val="single" w:sz="4" w:space="0" w:color="A6A6A6"/>
              <w:bottom w:val="single" w:sz="4" w:space="0" w:color="auto"/>
            </w:tcBorders>
            <w:noWrap/>
            <w:hideMark/>
          </w:tcPr>
          <w:p w14:paraId="49BFFCF5" w14:textId="77777777" w:rsidR="00087B91" w:rsidRPr="002029AF" w:rsidRDefault="00087B91" w:rsidP="00860E95">
            <w:pPr>
              <w:pStyle w:val="ARfintablebodyright"/>
            </w:pPr>
            <w:r w:rsidRPr="002029AF">
              <w:t>111.1</w:t>
            </w:r>
          </w:p>
        </w:tc>
      </w:tr>
      <w:tr w:rsidR="00087B91" w:rsidRPr="002029AF" w14:paraId="7FAD40A1" w14:textId="77777777" w:rsidTr="00860E95">
        <w:tc>
          <w:tcPr>
            <w:tcW w:w="9637" w:type="dxa"/>
            <w:gridSpan w:val="3"/>
            <w:tcBorders>
              <w:top w:val="single" w:sz="4" w:space="0" w:color="auto"/>
              <w:bottom w:val="single" w:sz="4" w:space="0" w:color="A6A6A6"/>
            </w:tcBorders>
            <w:hideMark/>
          </w:tcPr>
          <w:p w14:paraId="7DDC18B8" w14:textId="2770D7CD" w:rsidR="00087B91" w:rsidRPr="002029AF" w:rsidRDefault="00087B91" w:rsidP="00860E95">
            <w:pPr>
              <w:pStyle w:val="ARfintablebodybold"/>
            </w:pPr>
            <w:r w:rsidRPr="002029AF">
              <w:t>Movements</w:t>
            </w:r>
            <w:r w:rsidR="000A5329" w:rsidRPr="002029AF">
              <w:t xml:space="preserve"> </w:t>
            </w:r>
            <w:r w:rsidRPr="002029AF">
              <w:t>in</w:t>
            </w:r>
            <w:r w:rsidR="000A5329" w:rsidRPr="002029AF">
              <w:t xml:space="preserve"> </w:t>
            </w:r>
            <w:r w:rsidRPr="002029AF">
              <w:t>assets</w:t>
            </w:r>
            <w:r w:rsidR="000A5329" w:rsidRPr="002029AF">
              <w:t xml:space="preserve"> </w:t>
            </w:r>
            <w:r w:rsidRPr="002029AF">
              <w:t>and</w:t>
            </w:r>
            <w:r w:rsidR="000A5329" w:rsidRPr="002029AF">
              <w:t xml:space="preserve"> </w:t>
            </w:r>
            <w:r w:rsidRPr="002029AF">
              <w:t>liabilities</w:t>
            </w:r>
          </w:p>
        </w:tc>
      </w:tr>
      <w:tr w:rsidR="00087B91" w:rsidRPr="002029AF" w14:paraId="7271E118" w14:textId="77777777" w:rsidTr="00860E95">
        <w:tc>
          <w:tcPr>
            <w:tcW w:w="7369" w:type="dxa"/>
            <w:tcBorders>
              <w:top w:val="single" w:sz="4" w:space="0" w:color="A6A6A6"/>
              <w:bottom w:val="single" w:sz="4" w:space="0" w:color="A6A6A6"/>
            </w:tcBorders>
            <w:hideMark/>
          </w:tcPr>
          <w:p w14:paraId="34954F02" w14:textId="5267F80F" w:rsidR="00087B91" w:rsidRPr="002029AF" w:rsidRDefault="00087B91" w:rsidP="00860E95">
            <w:pPr>
              <w:pStyle w:val="ARfintablebody"/>
            </w:pPr>
            <w:r w:rsidRPr="002029AF">
              <w:t>(Increase)/decrease</w:t>
            </w:r>
            <w:r w:rsidR="000A5329" w:rsidRPr="002029AF">
              <w:t xml:space="preserve"> </w:t>
            </w:r>
            <w:r w:rsidRPr="002029AF">
              <w:t>in</w:t>
            </w:r>
            <w:r w:rsidR="000A5329" w:rsidRPr="002029AF">
              <w:t xml:space="preserve"> </w:t>
            </w:r>
            <w:r w:rsidRPr="002029AF">
              <w:t>receivables</w:t>
            </w:r>
          </w:p>
        </w:tc>
        <w:tc>
          <w:tcPr>
            <w:tcW w:w="1134" w:type="dxa"/>
            <w:tcBorders>
              <w:top w:val="single" w:sz="4" w:space="0" w:color="A6A6A6"/>
              <w:bottom w:val="single" w:sz="4" w:space="0" w:color="A6A6A6"/>
            </w:tcBorders>
            <w:shd w:val="clear" w:color="auto" w:fill="E7E6E6"/>
            <w:noWrap/>
            <w:hideMark/>
          </w:tcPr>
          <w:p w14:paraId="5F04D691" w14:textId="77777777" w:rsidR="00087B91" w:rsidRPr="002029AF" w:rsidRDefault="00087B91" w:rsidP="00860E95">
            <w:pPr>
              <w:pStyle w:val="ARfintablebodyright"/>
            </w:pPr>
            <w:r w:rsidRPr="002029AF">
              <w:t>(929.3)</w:t>
            </w:r>
          </w:p>
        </w:tc>
        <w:tc>
          <w:tcPr>
            <w:tcW w:w="1134" w:type="dxa"/>
            <w:tcBorders>
              <w:top w:val="single" w:sz="4" w:space="0" w:color="A6A6A6"/>
              <w:bottom w:val="single" w:sz="4" w:space="0" w:color="A6A6A6"/>
            </w:tcBorders>
            <w:noWrap/>
            <w:hideMark/>
          </w:tcPr>
          <w:p w14:paraId="57A86685" w14:textId="77777777" w:rsidR="00087B91" w:rsidRPr="002029AF" w:rsidRDefault="00087B91" w:rsidP="00860E95">
            <w:pPr>
              <w:pStyle w:val="ARfintablebodyright"/>
            </w:pPr>
            <w:r w:rsidRPr="002029AF">
              <w:t>(387.4)</w:t>
            </w:r>
          </w:p>
        </w:tc>
      </w:tr>
      <w:tr w:rsidR="00087B91" w:rsidRPr="002029AF" w14:paraId="3D29113A" w14:textId="77777777" w:rsidTr="00860E95">
        <w:tc>
          <w:tcPr>
            <w:tcW w:w="7369" w:type="dxa"/>
            <w:tcBorders>
              <w:top w:val="single" w:sz="4" w:space="0" w:color="A6A6A6"/>
              <w:bottom w:val="single" w:sz="4" w:space="0" w:color="A6A6A6"/>
            </w:tcBorders>
            <w:hideMark/>
          </w:tcPr>
          <w:p w14:paraId="15D53B53" w14:textId="4B5F5438" w:rsidR="00087B91" w:rsidRPr="002029AF" w:rsidRDefault="00087B91" w:rsidP="00860E95">
            <w:pPr>
              <w:pStyle w:val="ARfintablebody"/>
            </w:pPr>
            <w:r w:rsidRPr="002029AF">
              <w:t>(Increase)/decrease</w:t>
            </w:r>
            <w:r w:rsidR="000A5329" w:rsidRPr="002029AF">
              <w:t xml:space="preserve"> </w:t>
            </w:r>
            <w:r w:rsidRPr="002029AF">
              <w:t>in</w:t>
            </w:r>
            <w:r w:rsidR="000A5329" w:rsidRPr="002029AF">
              <w:t xml:space="preserve"> </w:t>
            </w:r>
            <w:r w:rsidRPr="002029AF">
              <w:t>prepayments</w:t>
            </w:r>
          </w:p>
        </w:tc>
        <w:tc>
          <w:tcPr>
            <w:tcW w:w="1134" w:type="dxa"/>
            <w:tcBorders>
              <w:top w:val="single" w:sz="4" w:space="0" w:color="A6A6A6"/>
              <w:bottom w:val="single" w:sz="4" w:space="0" w:color="A6A6A6"/>
            </w:tcBorders>
            <w:shd w:val="clear" w:color="auto" w:fill="E7E6E6"/>
            <w:noWrap/>
            <w:hideMark/>
          </w:tcPr>
          <w:p w14:paraId="30519E51" w14:textId="77777777" w:rsidR="00087B91" w:rsidRPr="002029AF" w:rsidRDefault="00087B91" w:rsidP="00860E95">
            <w:pPr>
              <w:pStyle w:val="ARfintablebodyright"/>
            </w:pPr>
            <w:r w:rsidRPr="002029AF">
              <w:t>(271.2)</w:t>
            </w:r>
          </w:p>
        </w:tc>
        <w:tc>
          <w:tcPr>
            <w:tcW w:w="1134" w:type="dxa"/>
            <w:tcBorders>
              <w:top w:val="single" w:sz="4" w:space="0" w:color="A6A6A6"/>
              <w:bottom w:val="single" w:sz="4" w:space="0" w:color="A6A6A6"/>
            </w:tcBorders>
            <w:noWrap/>
            <w:hideMark/>
          </w:tcPr>
          <w:p w14:paraId="463367FC" w14:textId="77777777" w:rsidR="00087B91" w:rsidRPr="002029AF" w:rsidRDefault="00087B91" w:rsidP="00860E95">
            <w:pPr>
              <w:pStyle w:val="ARfintablebodyright"/>
            </w:pPr>
            <w:r w:rsidRPr="002029AF">
              <w:t>15.0</w:t>
            </w:r>
          </w:p>
        </w:tc>
      </w:tr>
      <w:tr w:rsidR="00087B91" w:rsidRPr="002029AF" w14:paraId="253A21F0" w14:textId="77777777" w:rsidTr="00860E95">
        <w:tc>
          <w:tcPr>
            <w:tcW w:w="7369" w:type="dxa"/>
            <w:tcBorders>
              <w:top w:val="single" w:sz="4" w:space="0" w:color="A6A6A6"/>
              <w:bottom w:val="single" w:sz="4" w:space="0" w:color="A6A6A6"/>
            </w:tcBorders>
            <w:hideMark/>
          </w:tcPr>
          <w:p w14:paraId="6B86C060" w14:textId="280A333D" w:rsidR="00087B91" w:rsidRPr="002029AF" w:rsidRDefault="00087B91" w:rsidP="00860E95">
            <w:pPr>
              <w:pStyle w:val="ARfintablebody"/>
            </w:pPr>
            <w:r w:rsidRPr="002029AF">
              <w:t>Increase/(decrease)</w:t>
            </w:r>
            <w:r w:rsidR="000A5329" w:rsidRPr="002029AF">
              <w:t xml:space="preserve"> </w:t>
            </w:r>
            <w:r w:rsidRPr="002029AF">
              <w:t>in</w:t>
            </w:r>
            <w:r w:rsidR="000A5329" w:rsidRPr="002029AF">
              <w:t xml:space="preserve"> </w:t>
            </w:r>
            <w:r w:rsidRPr="002029AF">
              <w:t>payables</w:t>
            </w:r>
          </w:p>
        </w:tc>
        <w:tc>
          <w:tcPr>
            <w:tcW w:w="1134" w:type="dxa"/>
            <w:tcBorders>
              <w:top w:val="single" w:sz="4" w:space="0" w:color="A6A6A6"/>
              <w:bottom w:val="single" w:sz="4" w:space="0" w:color="A6A6A6"/>
            </w:tcBorders>
            <w:shd w:val="clear" w:color="auto" w:fill="E7E6E6"/>
            <w:noWrap/>
            <w:hideMark/>
          </w:tcPr>
          <w:p w14:paraId="2B8F08B4" w14:textId="77777777" w:rsidR="00087B91" w:rsidRPr="002029AF" w:rsidRDefault="00087B91" w:rsidP="00860E95">
            <w:pPr>
              <w:pStyle w:val="ARfintablebodyright"/>
            </w:pPr>
            <w:r w:rsidRPr="002029AF">
              <w:t>413.1</w:t>
            </w:r>
          </w:p>
        </w:tc>
        <w:tc>
          <w:tcPr>
            <w:tcW w:w="1134" w:type="dxa"/>
            <w:tcBorders>
              <w:top w:val="single" w:sz="4" w:space="0" w:color="A6A6A6"/>
              <w:bottom w:val="single" w:sz="4" w:space="0" w:color="A6A6A6"/>
            </w:tcBorders>
            <w:noWrap/>
            <w:hideMark/>
          </w:tcPr>
          <w:p w14:paraId="294DB589" w14:textId="77777777" w:rsidR="00087B91" w:rsidRPr="002029AF" w:rsidRDefault="00087B91" w:rsidP="00860E95">
            <w:pPr>
              <w:pStyle w:val="ARfintablebodyright"/>
            </w:pPr>
            <w:r w:rsidRPr="002029AF">
              <w:t>188.7</w:t>
            </w:r>
          </w:p>
        </w:tc>
      </w:tr>
      <w:tr w:rsidR="00087B91" w:rsidRPr="002029AF" w14:paraId="6E8FC1CF" w14:textId="77777777" w:rsidTr="00860E95">
        <w:tc>
          <w:tcPr>
            <w:tcW w:w="7369" w:type="dxa"/>
            <w:tcBorders>
              <w:top w:val="single" w:sz="4" w:space="0" w:color="A6A6A6"/>
              <w:bottom w:val="single" w:sz="4" w:space="0" w:color="A6A6A6"/>
            </w:tcBorders>
            <w:hideMark/>
          </w:tcPr>
          <w:p w14:paraId="4234AD82" w14:textId="051E3C46" w:rsidR="00087B91" w:rsidRPr="002029AF" w:rsidRDefault="00087B91" w:rsidP="00860E95">
            <w:pPr>
              <w:pStyle w:val="ARfintablebody"/>
            </w:pPr>
            <w:r w:rsidRPr="002029AF">
              <w:t>Increase/(decrease)</w:t>
            </w:r>
            <w:r w:rsidR="000A5329" w:rsidRPr="002029AF">
              <w:t xml:space="preserve"> </w:t>
            </w:r>
            <w:r w:rsidRPr="002029AF">
              <w:t>in</w:t>
            </w:r>
            <w:r w:rsidR="000A5329" w:rsidRPr="002029AF">
              <w:t xml:space="preserve"> </w:t>
            </w:r>
            <w:r w:rsidRPr="002029AF">
              <w:t>provisions</w:t>
            </w:r>
          </w:p>
        </w:tc>
        <w:tc>
          <w:tcPr>
            <w:tcW w:w="1134" w:type="dxa"/>
            <w:tcBorders>
              <w:top w:val="single" w:sz="4" w:space="0" w:color="A6A6A6"/>
              <w:bottom w:val="single" w:sz="4" w:space="0" w:color="A6A6A6"/>
            </w:tcBorders>
            <w:shd w:val="clear" w:color="auto" w:fill="E7E6E6"/>
            <w:noWrap/>
            <w:hideMark/>
          </w:tcPr>
          <w:p w14:paraId="79F12C57" w14:textId="77777777" w:rsidR="00087B91" w:rsidRPr="002029AF" w:rsidRDefault="00087B91" w:rsidP="00860E95">
            <w:pPr>
              <w:pStyle w:val="ARfintablebodyright"/>
            </w:pPr>
            <w:r w:rsidRPr="002029AF">
              <w:t>(1.5)</w:t>
            </w:r>
          </w:p>
        </w:tc>
        <w:tc>
          <w:tcPr>
            <w:tcW w:w="1134" w:type="dxa"/>
            <w:tcBorders>
              <w:top w:val="single" w:sz="4" w:space="0" w:color="A6A6A6"/>
              <w:bottom w:val="single" w:sz="4" w:space="0" w:color="A6A6A6"/>
            </w:tcBorders>
            <w:noWrap/>
            <w:hideMark/>
          </w:tcPr>
          <w:p w14:paraId="343EF6D3" w14:textId="77777777" w:rsidR="00087B91" w:rsidRPr="002029AF" w:rsidRDefault="00087B91" w:rsidP="00860E95">
            <w:pPr>
              <w:pStyle w:val="ARfintablebodyright"/>
            </w:pPr>
            <w:r w:rsidRPr="002029AF">
              <w:t>8.4</w:t>
            </w:r>
          </w:p>
        </w:tc>
      </w:tr>
      <w:tr w:rsidR="00087B91" w:rsidRPr="002029AF" w14:paraId="58F3BFA7" w14:textId="77777777" w:rsidTr="00860E95">
        <w:tc>
          <w:tcPr>
            <w:tcW w:w="7369" w:type="dxa"/>
            <w:tcBorders>
              <w:top w:val="single" w:sz="4" w:space="0" w:color="A6A6A6"/>
            </w:tcBorders>
            <w:hideMark/>
          </w:tcPr>
          <w:p w14:paraId="1C0B1524" w14:textId="313EC773" w:rsidR="00087B91" w:rsidRPr="002029AF" w:rsidRDefault="00087B91" w:rsidP="00860E95">
            <w:pPr>
              <w:pStyle w:val="ARfintablebody"/>
            </w:pPr>
            <w:r w:rsidRPr="002029AF">
              <w:t>(Increase)/decrease</w:t>
            </w:r>
            <w:r w:rsidR="000A5329" w:rsidRPr="002029AF">
              <w:t xml:space="preserve"> </w:t>
            </w:r>
            <w:r w:rsidRPr="002029AF">
              <w:t>in</w:t>
            </w:r>
            <w:r w:rsidR="000A5329" w:rsidRPr="002029AF">
              <w:t xml:space="preserve"> </w:t>
            </w:r>
            <w:r w:rsidRPr="002029AF">
              <w:t>inventories</w:t>
            </w:r>
          </w:p>
        </w:tc>
        <w:tc>
          <w:tcPr>
            <w:tcW w:w="1134" w:type="dxa"/>
            <w:tcBorders>
              <w:top w:val="single" w:sz="4" w:space="0" w:color="A6A6A6"/>
            </w:tcBorders>
            <w:shd w:val="clear" w:color="auto" w:fill="E7E6E6"/>
            <w:noWrap/>
            <w:hideMark/>
          </w:tcPr>
          <w:p w14:paraId="7036D221" w14:textId="77777777" w:rsidR="00087B91" w:rsidRPr="002029AF" w:rsidRDefault="00087B91" w:rsidP="00860E95">
            <w:pPr>
              <w:pStyle w:val="ARfintablebodyright"/>
            </w:pPr>
            <w:r w:rsidRPr="002029AF">
              <w:t>(412.0)</w:t>
            </w:r>
          </w:p>
        </w:tc>
        <w:tc>
          <w:tcPr>
            <w:tcW w:w="1134" w:type="dxa"/>
            <w:tcBorders>
              <w:top w:val="single" w:sz="4" w:space="0" w:color="A6A6A6"/>
            </w:tcBorders>
            <w:noWrap/>
            <w:hideMark/>
          </w:tcPr>
          <w:p w14:paraId="022823D8" w14:textId="77777777" w:rsidR="00087B91" w:rsidRPr="002029AF" w:rsidRDefault="00087B91" w:rsidP="00860E95">
            <w:pPr>
              <w:pStyle w:val="ARfintablebodyright"/>
            </w:pPr>
            <w:r w:rsidRPr="002029AF">
              <w:t>–</w:t>
            </w:r>
          </w:p>
        </w:tc>
      </w:tr>
      <w:tr w:rsidR="00087B91" w:rsidRPr="002029AF" w14:paraId="24FD64F3" w14:textId="77777777" w:rsidTr="00860E95">
        <w:tc>
          <w:tcPr>
            <w:tcW w:w="7369" w:type="dxa"/>
            <w:hideMark/>
          </w:tcPr>
          <w:p w14:paraId="1A0C4DA1" w14:textId="5C51134D" w:rsidR="00087B91" w:rsidRPr="002029AF" w:rsidRDefault="00087B91" w:rsidP="00860E95">
            <w:pPr>
              <w:pStyle w:val="ARfintablebodybold"/>
            </w:pPr>
            <w:r w:rsidRPr="002029AF">
              <w:t>Net</w:t>
            </w:r>
            <w:r w:rsidR="000A5329" w:rsidRPr="002029AF">
              <w:t xml:space="preserve"> </w:t>
            </w:r>
            <w:r w:rsidRPr="002029AF">
              <w:t>cash</w:t>
            </w:r>
            <w:r w:rsidR="000A5329" w:rsidRPr="002029AF">
              <w:t xml:space="preserve"> </w:t>
            </w:r>
            <w:r w:rsidRPr="002029AF">
              <w:t>flows</w:t>
            </w:r>
            <w:r w:rsidR="000A5329" w:rsidRPr="002029AF">
              <w:t xml:space="preserve"> </w:t>
            </w:r>
            <w:r w:rsidRPr="002029AF">
              <w:t>from</w:t>
            </w:r>
            <w:r w:rsidR="00B6430C" w:rsidRPr="002029AF">
              <w:t>/ (</w:t>
            </w:r>
            <w:r w:rsidRPr="002029AF">
              <w:t>used</w:t>
            </w:r>
            <w:r w:rsidR="000A5329" w:rsidRPr="002029AF">
              <w:t xml:space="preserve"> </w:t>
            </w:r>
            <w:r w:rsidRPr="002029AF">
              <w:t>in)</w:t>
            </w:r>
            <w:r w:rsidR="000A5329" w:rsidRPr="002029AF">
              <w:t xml:space="preserve"> </w:t>
            </w:r>
            <w:r w:rsidRPr="002029AF">
              <w:t>operating</w:t>
            </w:r>
            <w:r w:rsidR="000A5329" w:rsidRPr="002029AF">
              <w:t xml:space="preserve"> </w:t>
            </w:r>
            <w:r w:rsidRPr="002029AF">
              <w:t>activities</w:t>
            </w:r>
          </w:p>
        </w:tc>
        <w:tc>
          <w:tcPr>
            <w:tcW w:w="1134" w:type="dxa"/>
            <w:shd w:val="clear" w:color="auto" w:fill="E7E6E6"/>
            <w:noWrap/>
            <w:hideMark/>
          </w:tcPr>
          <w:p w14:paraId="650AC971" w14:textId="77777777" w:rsidR="00087B91" w:rsidRPr="002029AF" w:rsidRDefault="00087B91" w:rsidP="00860E95">
            <w:pPr>
              <w:pStyle w:val="ARfintablebodyrightbold"/>
            </w:pPr>
            <w:r w:rsidRPr="002029AF">
              <w:t>(96.9)</w:t>
            </w:r>
          </w:p>
        </w:tc>
        <w:tc>
          <w:tcPr>
            <w:tcW w:w="1134" w:type="dxa"/>
            <w:noWrap/>
            <w:hideMark/>
          </w:tcPr>
          <w:p w14:paraId="69DED77A" w14:textId="77777777" w:rsidR="00087B91" w:rsidRPr="002029AF" w:rsidRDefault="00087B91" w:rsidP="00860E95">
            <w:pPr>
              <w:pStyle w:val="ARfintablebodyrightbold"/>
            </w:pPr>
            <w:r w:rsidRPr="002029AF">
              <w:t>325.9</w:t>
            </w:r>
          </w:p>
        </w:tc>
      </w:tr>
    </w:tbl>
    <w:p w14:paraId="28167AE5" w14:textId="156B9D68" w:rsidR="00087B91" w:rsidRPr="002029AF" w:rsidRDefault="00087B91" w:rsidP="00087B91">
      <w:pPr>
        <w:pStyle w:val="ARfinbodyaftertable"/>
      </w:pPr>
      <w:r w:rsidRPr="002029AF">
        <w:rPr>
          <w:rStyle w:val="Strong"/>
        </w:rPr>
        <w:t>Restructuring</w:t>
      </w:r>
      <w:r w:rsidR="000A5329" w:rsidRPr="002029AF">
        <w:rPr>
          <w:rStyle w:val="Strong"/>
        </w:rPr>
        <w:t xml:space="preserve"> </w:t>
      </w:r>
      <w:r w:rsidRPr="002029AF">
        <w:rPr>
          <w:rStyle w:val="Strong"/>
        </w:rPr>
        <w:t>of</w:t>
      </w:r>
      <w:r w:rsidR="000A5329" w:rsidRPr="002029AF">
        <w:rPr>
          <w:rStyle w:val="Strong"/>
        </w:rPr>
        <w:t xml:space="preserve"> </w:t>
      </w:r>
      <w:r w:rsidRPr="002029AF">
        <w:rPr>
          <w:rStyle w:val="Strong"/>
        </w:rPr>
        <w:t>administrative</w:t>
      </w:r>
      <w:r w:rsidR="000A5329" w:rsidRPr="002029AF">
        <w:rPr>
          <w:rStyle w:val="Strong"/>
        </w:rPr>
        <w:t xml:space="preserve"> </w:t>
      </w:r>
      <w:r w:rsidRPr="002029AF">
        <w:rPr>
          <w:rStyle w:val="Strong"/>
        </w:rPr>
        <w:t>arrangements:</w:t>
      </w:r>
      <w:r w:rsidR="000A5329" w:rsidRPr="002029AF">
        <w:t xml:space="preserve"> </w:t>
      </w:r>
      <w:r w:rsidRPr="002029AF">
        <w:t>The</w:t>
      </w:r>
      <w:r w:rsidR="000A5329" w:rsidRPr="002029AF">
        <w:t xml:space="preserve"> </w:t>
      </w:r>
      <w:r w:rsidRPr="002029AF">
        <w:t>administrative</w:t>
      </w:r>
      <w:r w:rsidR="000A5329" w:rsidRPr="002029AF">
        <w:t xml:space="preserve"> </w:t>
      </w:r>
      <w:r w:rsidRPr="002029AF">
        <w:t>restructuring</w:t>
      </w:r>
      <w:r w:rsidR="000A5329" w:rsidRPr="002029AF">
        <w:t xml:space="preserve"> </w:t>
      </w:r>
      <w:r w:rsidRPr="002029AF">
        <w:t>is</w:t>
      </w:r>
      <w:r w:rsidR="000A5329" w:rsidRPr="002029AF">
        <w:t xml:space="preserve"> </w:t>
      </w:r>
      <w:r w:rsidRPr="002029AF">
        <w:t>not</w:t>
      </w:r>
      <w:r w:rsidR="000A5329" w:rsidRPr="002029AF">
        <w:t xml:space="preserve"> </w:t>
      </w:r>
      <w:r w:rsidRPr="002029AF">
        <w:t>reflected</w:t>
      </w:r>
      <w:r w:rsidR="000A5329" w:rsidRPr="002029AF">
        <w:t xml:space="preserve"> </w:t>
      </w:r>
      <w:r w:rsidRPr="002029AF">
        <w:t>in</w:t>
      </w:r>
      <w:r w:rsidR="000A5329" w:rsidRPr="002029AF">
        <w:t xml:space="preserve"> </w:t>
      </w:r>
      <w:r w:rsidRPr="002029AF">
        <w:t>the</w:t>
      </w:r>
      <w:r w:rsidR="000A5329" w:rsidRPr="002029AF">
        <w:t xml:space="preserve"> </w:t>
      </w:r>
      <w:r w:rsidRPr="002029AF">
        <w:t>cash</w:t>
      </w:r>
      <w:r w:rsidR="000A5329" w:rsidRPr="002029AF">
        <w:t xml:space="preserve"> </w:t>
      </w:r>
      <w:r w:rsidRPr="002029AF">
        <w:t>flow</w:t>
      </w:r>
      <w:r w:rsidR="000A5329" w:rsidRPr="002029AF">
        <w:t xml:space="preserve"> </w:t>
      </w:r>
      <w:r w:rsidRPr="002029AF">
        <w:t>statement.</w:t>
      </w:r>
    </w:p>
    <w:p w14:paraId="01757B03" w14:textId="77777777" w:rsidR="00087B91" w:rsidRPr="002029AF" w:rsidRDefault="00087B91" w:rsidP="00087B91">
      <w:pPr>
        <w:pStyle w:val="ARbodyaftertable"/>
        <w:sectPr w:rsidR="00087B91" w:rsidRPr="002029AF" w:rsidSect="00860E95">
          <w:footerReference w:type="even" r:id="rId210"/>
          <w:pgSz w:w="11906" w:h="16838" w:code="9"/>
          <w:pgMar w:top="1531" w:right="851" w:bottom="851" w:left="1418" w:header="510" w:footer="340" w:gutter="0"/>
          <w:cols w:space="708"/>
          <w:docGrid w:linePitch="360"/>
          <w15:footnoteColumns w:val="1"/>
        </w:sectPr>
      </w:pPr>
    </w:p>
    <w:p w14:paraId="12FCD113" w14:textId="1FE56AF7" w:rsidR="00087B91" w:rsidRPr="002029AF" w:rsidRDefault="00087B91" w:rsidP="00087B91">
      <w:pPr>
        <w:pStyle w:val="Heading4"/>
        <w:spacing w:before="0"/>
      </w:pPr>
      <w:bookmarkStart w:id="370" w:name="_Toc39242159"/>
      <w:r w:rsidRPr="002029AF">
        <w:lastRenderedPageBreak/>
        <w:t>7.4</w:t>
      </w:r>
      <w:r w:rsidR="000A5329" w:rsidRPr="002029AF">
        <w:t xml:space="preserve"> </w:t>
      </w:r>
      <w:r w:rsidRPr="002029AF">
        <w:t>Trust</w:t>
      </w:r>
      <w:r w:rsidR="000A5329" w:rsidRPr="002029AF">
        <w:t xml:space="preserve"> </w:t>
      </w:r>
      <w:r w:rsidRPr="002029AF">
        <w:t>account</w:t>
      </w:r>
      <w:bookmarkEnd w:id="370"/>
    </w:p>
    <w:p w14:paraId="07ED751D" w14:textId="4D5404E0" w:rsidR="00087B91" w:rsidRPr="002029AF" w:rsidRDefault="00087B91" w:rsidP="00087B91">
      <w:pPr>
        <w:pStyle w:val="Heading5"/>
      </w:pPr>
      <w:r w:rsidRPr="002029AF">
        <w:t>7.4.1</w:t>
      </w:r>
      <w:r w:rsidR="000A5329" w:rsidRPr="002029AF">
        <w:t xml:space="preserve"> </w:t>
      </w:r>
      <w:r w:rsidRPr="002029AF">
        <w:t>Trust</w:t>
      </w:r>
      <w:r w:rsidR="000A5329" w:rsidRPr="002029AF">
        <w:t xml:space="preserve"> </w:t>
      </w:r>
      <w:r w:rsidRPr="002029AF">
        <w:t>account</w:t>
      </w:r>
      <w:r w:rsidR="000A5329" w:rsidRPr="002029AF">
        <w:t xml:space="preserve"> </w:t>
      </w:r>
      <w:r w:rsidRPr="002029AF">
        <w:t>balances</w:t>
      </w:r>
    </w:p>
    <w:p w14:paraId="3BB282C9" w14:textId="7A67DD8F" w:rsidR="00087B91" w:rsidRPr="002029AF" w:rsidRDefault="00087B91" w:rsidP="00087B91">
      <w:pPr>
        <w:pStyle w:val="ARfinbody"/>
      </w:pP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responsibility</w:t>
      </w:r>
      <w:r w:rsidR="000A5329" w:rsidRPr="002029AF">
        <w:t xml:space="preserve"> </w:t>
      </w:r>
      <w:r w:rsidRPr="002029AF">
        <w:t>for</w:t>
      </w:r>
      <w:r w:rsidR="000A5329" w:rsidRPr="002029AF">
        <w:t xml:space="preserve"> </w:t>
      </w:r>
      <w:r w:rsidRPr="002029AF">
        <w:t>transactions</w:t>
      </w:r>
      <w:r w:rsidR="000A5329" w:rsidRPr="002029AF">
        <w:t xml:space="preserve"> </w:t>
      </w:r>
      <w:r w:rsidRPr="002029AF">
        <w:t>and</w:t>
      </w:r>
      <w:r w:rsidR="000A5329" w:rsidRPr="002029AF">
        <w:t xml:space="preserve"> </w:t>
      </w:r>
      <w:r w:rsidRPr="002029AF">
        <w:t>balances</w:t>
      </w:r>
      <w:r w:rsidR="000A5329" w:rsidRPr="002029AF">
        <w:t xml:space="preserve"> </w:t>
      </w:r>
      <w:r w:rsidRPr="002029AF">
        <w:t>relating</w:t>
      </w:r>
      <w:r w:rsidR="000A5329" w:rsidRPr="002029AF">
        <w:t xml:space="preserve"> </w:t>
      </w:r>
      <w:r w:rsidRPr="002029AF">
        <w:t>to</w:t>
      </w:r>
      <w:r w:rsidR="000A5329" w:rsidRPr="002029AF">
        <w:t xml:space="preserve"> </w:t>
      </w:r>
      <w:r w:rsidRPr="002029AF">
        <w:t>trust</w:t>
      </w:r>
      <w:r w:rsidR="000A5329" w:rsidRPr="002029AF">
        <w:t xml:space="preserve"> </w:t>
      </w:r>
      <w:r w:rsidRPr="002029AF">
        <w:t>funds</w:t>
      </w:r>
      <w:r w:rsidR="000A5329" w:rsidRPr="002029AF">
        <w:t xml:space="preserve"> </w:t>
      </w:r>
      <w:r w:rsidRPr="002029AF">
        <w:t>held</w:t>
      </w:r>
      <w:r w:rsidR="000A5329" w:rsidRPr="002029AF">
        <w:t xml:space="preserve"> </w:t>
      </w:r>
      <w:r w:rsidRPr="002029AF">
        <w:t>on</w:t>
      </w:r>
      <w:r w:rsidR="000A5329" w:rsidRPr="002029AF">
        <w:t xml:space="preserve"> </w:t>
      </w:r>
      <w:r w:rsidRPr="002029AF">
        <w:t>behalf</w:t>
      </w:r>
      <w:r w:rsidR="000A5329" w:rsidRPr="002029AF">
        <w:t xml:space="preserve"> </w:t>
      </w:r>
      <w:r w:rsidRPr="002029AF">
        <w:t>of</w:t>
      </w:r>
      <w:r w:rsidR="000A5329" w:rsidRPr="002029AF">
        <w:t xml:space="preserve"> </w:t>
      </w:r>
      <w:r w:rsidRPr="002029AF">
        <w:t>third</w:t>
      </w:r>
      <w:r w:rsidR="000A5329" w:rsidRPr="002029AF">
        <w:t xml:space="preserve"> </w:t>
      </w:r>
      <w:r w:rsidRPr="002029AF">
        <w:t>parties</w:t>
      </w:r>
      <w:r w:rsidR="000A5329" w:rsidRPr="002029AF">
        <w:t xml:space="preserve"> </w:t>
      </w:r>
      <w:r w:rsidRPr="002029AF">
        <w:t>external</w:t>
      </w:r>
      <w:r w:rsidR="000A5329" w:rsidRPr="002029AF">
        <w:t xml:space="preserve"> </w:t>
      </w:r>
      <w:r w:rsidRPr="002029AF">
        <w:t>to</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Funds</w:t>
      </w:r>
      <w:r w:rsidR="000A5329" w:rsidRPr="002029AF">
        <w:t xml:space="preserve"> </w:t>
      </w:r>
      <w:r w:rsidRPr="002029AF">
        <w:t>managed</w:t>
      </w:r>
      <w:r w:rsidR="000A5329" w:rsidRPr="002029AF">
        <w:t xml:space="preserve"> </w:t>
      </w:r>
      <w:r w:rsidRPr="002029AF">
        <w:t>on</w:t>
      </w:r>
      <w:r w:rsidR="000A5329" w:rsidRPr="002029AF">
        <w:t xml:space="preserve"> </w:t>
      </w:r>
      <w:r w:rsidRPr="002029AF">
        <w:t>behalf</w:t>
      </w:r>
      <w:r w:rsidR="000A5329" w:rsidRPr="002029AF">
        <w:t xml:space="preserve"> </w:t>
      </w:r>
      <w:r w:rsidRPr="002029AF">
        <w:t>of</w:t>
      </w:r>
      <w:r w:rsidR="000A5329" w:rsidRPr="002029AF">
        <w:t xml:space="preserve"> </w:t>
      </w:r>
      <w:r w:rsidRPr="002029AF">
        <w:t>third</w:t>
      </w:r>
      <w:r w:rsidR="000A5329" w:rsidRPr="002029AF">
        <w:t xml:space="preserve"> </w:t>
      </w:r>
      <w:r w:rsidRPr="002029AF">
        <w:t>parties</w:t>
      </w:r>
      <w:r w:rsidR="000A5329" w:rsidRPr="002029AF">
        <w:t xml:space="preserve"> </w:t>
      </w:r>
      <w:r w:rsidRPr="002029AF">
        <w:t>are</w:t>
      </w:r>
      <w:r w:rsidR="000A5329" w:rsidRPr="002029AF">
        <w:t xml:space="preserve"> </w:t>
      </w:r>
      <w:r w:rsidRPr="002029AF">
        <w:t>not</w:t>
      </w:r>
      <w:r w:rsidR="000A5329" w:rsidRPr="002029AF">
        <w:t xml:space="preserve"> </w:t>
      </w:r>
      <w:r w:rsidRPr="002029AF">
        <w:t>recognised</w:t>
      </w:r>
      <w:r w:rsidR="000A5329" w:rsidRPr="002029AF">
        <w:t xml:space="preserve"> </w:t>
      </w:r>
      <w:r w:rsidRPr="002029AF">
        <w:t>in</w:t>
      </w:r>
      <w:r w:rsidR="000A5329" w:rsidRPr="002029AF">
        <w:t xml:space="preserve"> </w:t>
      </w:r>
      <w:r w:rsidRPr="002029AF">
        <w:t>these</w:t>
      </w:r>
      <w:r w:rsidR="000A5329" w:rsidRPr="002029AF">
        <w:t xml:space="preserve"> </w:t>
      </w:r>
      <w:r w:rsidRPr="002029AF">
        <w:t>financial</w:t>
      </w:r>
      <w:r w:rsidR="000A5329" w:rsidRPr="002029AF">
        <w:t xml:space="preserve"> </w:t>
      </w:r>
      <w:r w:rsidRPr="002029AF">
        <w:t>statements</w:t>
      </w:r>
      <w:r w:rsidR="000A5329" w:rsidRPr="002029AF">
        <w:t xml:space="preserve"> </w:t>
      </w:r>
      <w:r w:rsidRPr="002029AF">
        <w:t>as</w:t>
      </w:r>
      <w:r w:rsidR="000A5329" w:rsidRPr="002029AF">
        <w:t xml:space="preserve"> </w:t>
      </w:r>
      <w:r w:rsidRPr="002029AF">
        <w:t>they</w:t>
      </w:r>
      <w:r w:rsidR="000A5329" w:rsidRPr="002029AF">
        <w:t xml:space="preserve"> </w:t>
      </w:r>
      <w:r w:rsidRPr="002029AF">
        <w:t>are</w:t>
      </w:r>
      <w:r w:rsidR="000A5329" w:rsidRPr="002029AF">
        <w:t xml:space="preserve"> </w:t>
      </w:r>
      <w:r w:rsidRPr="002029AF">
        <w:t>managed</w:t>
      </w:r>
      <w:r w:rsidR="000A5329" w:rsidRPr="002029AF">
        <w:t xml:space="preserve"> </w:t>
      </w:r>
      <w:r w:rsidRPr="002029AF">
        <w:t>on</w:t>
      </w:r>
      <w:r w:rsidR="000A5329" w:rsidRPr="002029AF">
        <w:t xml:space="preserve"> </w:t>
      </w:r>
      <w:r w:rsidRPr="002029AF">
        <w:t>a</w:t>
      </w:r>
      <w:r w:rsidR="000A5329" w:rsidRPr="002029AF">
        <w:t xml:space="preserve"> </w:t>
      </w:r>
      <w:r w:rsidRPr="002029AF">
        <w:t>fiduciary</w:t>
      </w:r>
      <w:r w:rsidR="000A5329" w:rsidRPr="002029AF">
        <w:t xml:space="preserve"> </w:t>
      </w:r>
      <w:r w:rsidRPr="002029AF">
        <w:t>and</w:t>
      </w:r>
      <w:r w:rsidR="000A5329" w:rsidRPr="002029AF">
        <w:t xml:space="preserve"> </w:t>
      </w:r>
      <w:r w:rsidRPr="002029AF">
        <w:t>custodial</w:t>
      </w:r>
      <w:r w:rsidR="000A5329" w:rsidRPr="002029AF">
        <w:t xml:space="preserve"> </w:t>
      </w:r>
      <w:r w:rsidRPr="002029AF">
        <w:t>basis,</w:t>
      </w:r>
      <w:r w:rsidR="000A5329" w:rsidRPr="002029AF">
        <w:t xml:space="preserve"> </w:t>
      </w:r>
      <w:r w:rsidRPr="002029AF">
        <w:t>and</w:t>
      </w:r>
      <w:r w:rsidR="000A5329" w:rsidRPr="002029AF">
        <w:t xml:space="preserve"> </w:t>
      </w:r>
      <w:r w:rsidRPr="002029AF">
        <w:t>therefore</w:t>
      </w:r>
      <w:r w:rsidR="000A5329" w:rsidRPr="002029AF">
        <w:t xml:space="preserve"> </w:t>
      </w:r>
      <w:r w:rsidRPr="002029AF">
        <w:t>are</w:t>
      </w:r>
      <w:r w:rsidR="000A5329" w:rsidRPr="002029AF">
        <w:t xml:space="preserve"> </w:t>
      </w:r>
      <w:r w:rsidRPr="002029AF">
        <w:t>not</w:t>
      </w:r>
      <w:r w:rsidR="000A5329" w:rsidRPr="002029AF">
        <w:t xml:space="preserve"> </w:t>
      </w:r>
      <w:r w:rsidRPr="002029AF">
        <w:t>controlled</w:t>
      </w:r>
      <w:r w:rsidR="000A5329" w:rsidRPr="002029AF">
        <w:t xml:space="preserve"> </w:t>
      </w:r>
      <w:r w:rsidRPr="002029AF">
        <w:t>by</w:t>
      </w:r>
      <w:r w:rsidR="000A5329" w:rsidRPr="002029AF">
        <w:t xml:space="preserve"> </w:t>
      </w:r>
      <w:r w:rsidRPr="002029AF">
        <w:t>the</w:t>
      </w:r>
      <w:r w:rsidR="000A5329" w:rsidRPr="002029AF">
        <w:t xml:space="preserve"> </w:t>
      </w:r>
      <w:r w:rsidRPr="002029AF">
        <w:t>department.</w:t>
      </w:r>
    </w:p>
    <w:p w14:paraId="4A501F6A" w14:textId="1D70BC6D" w:rsidR="00087B91" w:rsidRPr="002029AF" w:rsidRDefault="00087B91" w:rsidP="00087B91">
      <w:pPr>
        <w:pStyle w:val="ARfinbody"/>
      </w:pPr>
      <w:r w:rsidRPr="002029AF">
        <w:t>Any</w:t>
      </w:r>
      <w:r w:rsidR="000A5329" w:rsidRPr="002029AF">
        <w:t xml:space="preserve"> </w:t>
      </w:r>
      <w:r w:rsidRPr="002029AF">
        <w:t>earnings</w:t>
      </w:r>
      <w:r w:rsidR="000A5329" w:rsidRPr="002029AF">
        <w:t xml:space="preserve"> </w:t>
      </w:r>
      <w:r w:rsidRPr="002029AF">
        <w:t>on</w:t>
      </w:r>
      <w:r w:rsidR="000A5329" w:rsidRPr="002029AF">
        <w:t xml:space="preserve"> </w:t>
      </w:r>
      <w:r w:rsidRPr="002029AF">
        <w:t>the</w:t>
      </w:r>
      <w:r w:rsidR="000A5329" w:rsidRPr="002029AF">
        <w:t xml:space="preserve"> </w:t>
      </w:r>
      <w:r w:rsidRPr="002029AF">
        <w:t>funds</w:t>
      </w:r>
      <w:r w:rsidR="000A5329" w:rsidRPr="002029AF">
        <w:t xml:space="preserve"> </w:t>
      </w:r>
      <w:r w:rsidRPr="002029AF">
        <w:t>held</w:t>
      </w:r>
      <w:r w:rsidR="000A5329" w:rsidRPr="002029AF">
        <w:t xml:space="preserve"> </w:t>
      </w:r>
      <w:r w:rsidRPr="002029AF">
        <w:t>pending</w:t>
      </w:r>
      <w:r w:rsidR="000A5329" w:rsidRPr="002029AF">
        <w:t xml:space="preserve"> </w:t>
      </w:r>
      <w:r w:rsidRPr="002029AF">
        <w:t>distribution</w:t>
      </w:r>
      <w:r w:rsidR="000A5329" w:rsidRPr="002029AF">
        <w:t xml:space="preserve"> </w:t>
      </w:r>
      <w:r w:rsidRPr="002029AF">
        <w:t>are</w:t>
      </w:r>
      <w:r w:rsidR="000A5329" w:rsidRPr="002029AF">
        <w:t xml:space="preserve"> </w:t>
      </w:r>
      <w:r w:rsidRPr="002029AF">
        <w:t>also</w:t>
      </w:r>
      <w:r w:rsidR="000A5329" w:rsidRPr="002029AF">
        <w:t xml:space="preserve"> </w:t>
      </w:r>
      <w:r w:rsidRPr="002029AF">
        <w:t>applied</w:t>
      </w:r>
      <w:r w:rsidR="000A5329" w:rsidRPr="002029AF">
        <w:t xml:space="preserve"> </w:t>
      </w:r>
      <w:r w:rsidRPr="002029AF">
        <w:t>to</w:t>
      </w:r>
      <w:r w:rsidR="000A5329" w:rsidRPr="002029AF">
        <w:t xml:space="preserve"> </w:t>
      </w:r>
      <w:r w:rsidRPr="002029AF">
        <w:t>the</w:t>
      </w:r>
      <w:r w:rsidR="000A5329" w:rsidRPr="002029AF">
        <w:t xml:space="preserve"> </w:t>
      </w:r>
      <w:r w:rsidRPr="002029AF">
        <w:t>trust</w:t>
      </w:r>
      <w:r w:rsidR="000A5329" w:rsidRPr="002029AF">
        <w:t xml:space="preserve"> </w:t>
      </w:r>
      <w:r w:rsidRPr="002029AF">
        <w:t>funds</w:t>
      </w:r>
      <w:r w:rsidR="000A5329" w:rsidRPr="002029AF">
        <w:t xml:space="preserve"> </w:t>
      </w:r>
      <w:r w:rsidRPr="002029AF">
        <w:t>under</w:t>
      </w:r>
      <w:r w:rsidR="000A5329" w:rsidRPr="002029AF">
        <w:t xml:space="preserve"> </w:t>
      </w:r>
      <w:r w:rsidRPr="002029AF">
        <w:t>management</w:t>
      </w:r>
      <w:r w:rsidR="000A5329" w:rsidRPr="002029AF">
        <w:t xml:space="preserve"> </w:t>
      </w:r>
      <w:r w:rsidRPr="002029AF">
        <w:t>as</w:t>
      </w:r>
      <w:r w:rsidR="000A5329" w:rsidRPr="002029AF">
        <w:t xml:space="preserve"> </w:t>
      </w:r>
      <w:r w:rsidRPr="002029AF">
        <w:t>appropriate.</w:t>
      </w:r>
    </w:p>
    <w:p w14:paraId="7ED2051D" w14:textId="44C5B495" w:rsidR="00087B91" w:rsidRPr="002029AF" w:rsidRDefault="00087B91" w:rsidP="00087B91">
      <w:pPr>
        <w:pStyle w:val="ARfinbodylargespace"/>
      </w:pPr>
      <w:r w:rsidRPr="002029AF">
        <w:t>The</w:t>
      </w:r>
      <w:r w:rsidR="000A5329" w:rsidRPr="002029AF">
        <w:t xml:space="preserve"> </w:t>
      </w:r>
      <w:r w:rsidRPr="002029AF">
        <w:t>following</w:t>
      </w:r>
      <w:r w:rsidR="000A5329" w:rsidRPr="002029AF">
        <w:t xml:space="preserve"> </w:t>
      </w:r>
      <w:r w:rsidRPr="002029AF">
        <w:t>is</w:t>
      </w:r>
      <w:r w:rsidR="000A5329" w:rsidRPr="002029AF">
        <w:t xml:space="preserve"> </w:t>
      </w:r>
      <w:r w:rsidRPr="002029AF">
        <w:t>a</w:t>
      </w:r>
      <w:r w:rsidR="000A5329" w:rsidRPr="002029AF">
        <w:t xml:space="preserve"> </w:t>
      </w:r>
      <w:r w:rsidRPr="002029AF">
        <w:t>listing</w:t>
      </w:r>
      <w:r w:rsidR="000A5329" w:rsidRPr="002029AF">
        <w:t xml:space="preserve"> </w:t>
      </w:r>
      <w:r w:rsidRPr="002029AF">
        <w:t>of</w:t>
      </w:r>
      <w:r w:rsidR="000A5329" w:rsidRPr="002029AF">
        <w:t xml:space="preserve"> </w:t>
      </w:r>
      <w:r w:rsidRPr="002029AF">
        <w:t>trust</w:t>
      </w:r>
      <w:r w:rsidR="000A5329" w:rsidRPr="002029AF">
        <w:t xml:space="preserve"> </w:t>
      </w:r>
      <w:r w:rsidRPr="002029AF">
        <w:t>account</w:t>
      </w:r>
      <w:r w:rsidR="000A5329" w:rsidRPr="002029AF">
        <w:t xml:space="preserve"> </w:t>
      </w:r>
      <w:r w:rsidRPr="002029AF">
        <w:t>balances</w:t>
      </w:r>
      <w:r w:rsidR="000A5329" w:rsidRPr="002029AF">
        <w:t xml:space="preserve"> </w:t>
      </w:r>
      <w:r w:rsidRPr="002029AF">
        <w:t>relating</w:t>
      </w:r>
      <w:r w:rsidR="000A5329" w:rsidRPr="002029AF">
        <w:t xml:space="preserve"> </w:t>
      </w:r>
      <w:r w:rsidRPr="002029AF">
        <w:t>to</w:t>
      </w:r>
      <w:r w:rsidR="000A5329" w:rsidRPr="002029AF">
        <w:t xml:space="preserve"> </w:t>
      </w:r>
      <w:r w:rsidRPr="002029AF">
        <w:t>trust</w:t>
      </w:r>
      <w:r w:rsidR="000A5329" w:rsidRPr="002029AF">
        <w:t xml:space="preserve"> </w:t>
      </w:r>
      <w:r w:rsidRPr="002029AF">
        <w:t>accounts</w:t>
      </w:r>
      <w:r w:rsidR="000A5329" w:rsidRPr="002029AF">
        <w:t xml:space="preserve"> </w:t>
      </w:r>
      <w:r w:rsidRPr="002029AF">
        <w:t>controlled</w:t>
      </w:r>
      <w:r w:rsidR="000A5329" w:rsidRPr="002029AF">
        <w:t xml:space="preserve"> </w:t>
      </w:r>
      <w:r w:rsidRPr="002029AF">
        <w:t>and</w:t>
      </w:r>
      <w:r w:rsidR="000A5329" w:rsidRPr="002029AF">
        <w:t xml:space="preserve"> </w:t>
      </w:r>
      <w:r w:rsidRPr="002029AF">
        <w:t>administered</w:t>
      </w:r>
      <w:r w:rsidR="000A5329" w:rsidRPr="002029AF">
        <w:t xml:space="preserve"> </w:t>
      </w:r>
      <w:r w:rsidRPr="002029AF">
        <w:t>by</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During</w:t>
      </w:r>
      <w:r w:rsidR="000A5329" w:rsidRPr="002029AF">
        <w:t xml:space="preserve"> </w:t>
      </w:r>
      <w:r w:rsidRPr="002029AF">
        <w:t>2019–20,</w:t>
      </w:r>
      <w:r w:rsidR="000A5329" w:rsidRPr="002029AF">
        <w:t xml:space="preserve"> </w:t>
      </w:r>
      <w:r w:rsidRPr="002029AF">
        <w:t>there</w:t>
      </w:r>
      <w:r w:rsidR="000A5329" w:rsidRPr="002029AF">
        <w:t xml:space="preserve"> </w:t>
      </w:r>
      <w:r w:rsidRPr="002029AF">
        <w:t>were</w:t>
      </w:r>
      <w:r w:rsidR="000A5329" w:rsidRPr="002029AF">
        <w:t xml:space="preserve"> </w:t>
      </w:r>
      <w:r w:rsidRPr="002029AF">
        <w:t>no</w:t>
      </w:r>
      <w:r w:rsidR="000A5329" w:rsidRPr="002029AF">
        <w:t xml:space="preserve"> </w:t>
      </w:r>
      <w:r w:rsidRPr="002029AF">
        <w:t>trust</w:t>
      </w:r>
      <w:r w:rsidR="000A5329" w:rsidRPr="002029AF">
        <w:t xml:space="preserve"> </w:t>
      </w:r>
      <w:r w:rsidRPr="002029AF">
        <w:t>accounts</w:t>
      </w:r>
      <w:r w:rsidR="000A5329" w:rsidRPr="002029AF">
        <w:t xml:space="preserve"> </w:t>
      </w:r>
      <w:r w:rsidRPr="002029AF">
        <w:t>closed.</w:t>
      </w:r>
    </w:p>
    <w:tbl>
      <w:tblPr>
        <w:tblStyle w:val="TableGrid"/>
        <w:tblW w:w="14459" w:type="dxa"/>
        <w:tblLayout w:type="fixed"/>
        <w:tblLook w:val="06A0" w:firstRow="1" w:lastRow="0" w:firstColumn="1" w:lastColumn="0" w:noHBand="1" w:noVBand="1"/>
      </w:tblPr>
      <w:tblGrid>
        <w:gridCol w:w="3574"/>
        <w:gridCol w:w="908"/>
        <w:gridCol w:w="907"/>
        <w:gridCol w:w="907"/>
        <w:gridCol w:w="907"/>
        <w:gridCol w:w="907"/>
        <w:gridCol w:w="907"/>
        <w:gridCol w:w="907"/>
        <w:gridCol w:w="907"/>
        <w:gridCol w:w="907"/>
        <w:gridCol w:w="907"/>
        <w:gridCol w:w="907"/>
        <w:gridCol w:w="907"/>
      </w:tblGrid>
      <w:tr w:rsidR="00087B91" w:rsidRPr="002029AF" w14:paraId="03C9C6AA"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3574" w:type="dxa"/>
            <w:vMerge w:val="restart"/>
            <w:hideMark/>
          </w:tcPr>
          <w:p w14:paraId="5A1B210B" w14:textId="77777777" w:rsidR="00087B91" w:rsidRPr="002029AF" w:rsidRDefault="00087B91" w:rsidP="00860E95">
            <w:pPr>
              <w:pStyle w:val="ARfintablecolhead"/>
            </w:pPr>
          </w:p>
        </w:tc>
        <w:tc>
          <w:tcPr>
            <w:tcW w:w="5443" w:type="dxa"/>
            <w:gridSpan w:val="6"/>
            <w:tcBorders>
              <w:bottom w:val="single" w:sz="4" w:space="0" w:color="auto"/>
            </w:tcBorders>
            <w:shd w:val="clear" w:color="auto" w:fill="E7E6E6"/>
            <w:hideMark/>
          </w:tcPr>
          <w:p w14:paraId="5DCF9868" w14:textId="77777777" w:rsidR="00087B91" w:rsidRPr="002029AF" w:rsidRDefault="00087B91" w:rsidP="00860E95">
            <w:pPr>
              <w:pStyle w:val="ARfintablecolheadcentre"/>
            </w:pPr>
            <w:r w:rsidRPr="002029AF">
              <w:t>2020</w:t>
            </w:r>
          </w:p>
        </w:tc>
        <w:tc>
          <w:tcPr>
            <w:tcW w:w="5442" w:type="dxa"/>
            <w:gridSpan w:val="6"/>
            <w:hideMark/>
          </w:tcPr>
          <w:p w14:paraId="0016BFD4" w14:textId="77777777" w:rsidR="00087B91" w:rsidRPr="002029AF" w:rsidRDefault="00087B91" w:rsidP="00860E95">
            <w:pPr>
              <w:pStyle w:val="ARfintablecolheadcentre"/>
            </w:pPr>
            <w:r w:rsidRPr="002029AF">
              <w:t>2019</w:t>
            </w:r>
          </w:p>
        </w:tc>
      </w:tr>
      <w:tr w:rsidR="004538D0" w:rsidRPr="002029AF" w14:paraId="45724B7E"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3574" w:type="dxa"/>
            <w:vMerge/>
            <w:tcBorders>
              <w:bottom w:val="single" w:sz="4" w:space="0" w:color="auto"/>
            </w:tcBorders>
            <w:hideMark/>
          </w:tcPr>
          <w:p w14:paraId="6ED72666" w14:textId="77777777" w:rsidR="00087B91" w:rsidRPr="002029AF" w:rsidRDefault="00087B91" w:rsidP="00860E95">
            <w:pPr>
              <w:pStyle w:val="ARfintablecolhead"/>
            </w:pPr>
          </w:p>
        </w:tc>
        <w:tc>
          <w:tcPr>
            <w:tcW w:w="908" w:type="dxa"/>
            <w:tcBorders>
              <w:top w:val="single" w:sz="4" w:space="0" w:color="auto"/>
              <w:bottom w:val="single" w:sz="4" w:space="0" w:color="auto"/>
              <w:right w:val="nil"/>
            </w:tcBorders>
            <w:shd w:val="clear" w:color="auto" w:fill="E7E6E6"/>
            <w:hideMark/>
          </w:tcPr>
          <w:p w14:paraId="4EE8F8DB" w14:textId="16A4DCE9" w:rsidR="00087B91" w:rsidRPr="002029AF" w:rsidRDefault="00087B91" w:rsidP="00860E95">
            <w:pPr>
              <w:pStyle w:val="ARfintablecolheadright"/>
            </w:pPr>
            <w:r w:rsidRPr="002029AF">
              <w:t>Opening</w:t>
            </w:r>
            <w:r w:rsidR="000A5329" w:rsidRPr="002029AF">
              <w:t xml:space="preserve"> </w:t>
            </w:r>
            <w:r w:rsidRPr="002029AF">
              <w:t>balance</w:t>
            </w:r>
            <w:r w:rsidR="000A5329" w:rsidRPr="002029AF">
              <w:t xml:space="preserve"> </w:t>
            </w:r>
            <w:r w:rsidRPr="002029AF">
              <w:t>as</w:t>
            </w:r>
            <w:r w:rsidR="000A5329" w:rsidRPr="002029AF">
              <w:t xml:space="preserve"> </w:t>
            </w:r>
            <w:r w:rsidRPr="002029AF">
              <w:t>at</w:t>
            </w:r>
            <w:r w:rsidR="000A5329" w:rsidRPr="002029AF">
              <w:t xml:space="preserve"> </w:t>
            </w:r>
            <w:r w:rsidRPr="002029AF">
              <w:br/>
              <w:t>1</w:t>
            </w:r>
            <w:r w:rsidR="000A5329" w:rsidRPr="002029AF">
              <w:t xml:space="preserve"> </w:t>
            </w:r>
            <w:r w:rsidRPr="002029AF">
              <w:t>July</w:t>
            </w:r>
            <w:r w:rsidR="000A5329" w:rsidRPr="002029AF">
              <w:t xml:space="preserve"> </w:t>
            </w:r>
            <w:r w:rsidRPr="002029AF">
              <w:t>2019</w:t>
            </w:r>
          </w:p>
          <w:p w14:paraId="5A9FBD41" w14:textId="77777777" w:rsidR="00087B91" w:rsidRPr="002029AF" w:rsidRDefault="00087B91" w:rsidP="00860E95">
            <w:pPr>
              <w:pStyle w:val="ARfintablecolheadright"/>
            </w:pPr>
            <w:r w:rsidRPr="002029AF">
              <w:t>$M</w:t>
            </w:r>
          </w:p>
        </w:tc>
        <w:tc>
          <w:tcPr>
            <w:tcW w:w="907" w:type="dxa"/>
            <w:tcBorders>
              <w:top w:val="single" w:sz="4" w:space="0" w:color="auto"/>
              <w:left w:val="nil"/>
              <w:bottom w:val="single" w:sz="4" w:space="0" w:color="auto"/>
              <w:right w:val="nil"/>
            </w:tcBorders>
            <w:shd w:val="clear" w:color="auto" w:fill="E7E6E6"/>
            <w:hideMark/>
          </w:tcPr>
          <w:p w14:paraId="3D2C3C55" w14:textId="6BF1FF73" w:rsidR="00087B91" w:rsidRPr="002029AF" w:rsidRDefault="00087B91" w:rsidP="00860E95">
            <w:pPr>
              <w:pStyle w:val="ARfintablecolheadright"/>
            </w:pPr>
            <w:r w:rsidRPr="002029AF">
              <w:t>Machin-</w:t>
            </w:r>
            <w:r w:rsidRPr="002029AF">
              <w:br/>
              <w:t>ery</w:t>
            </w:r>
            <w:r w:rsidR="000A5329" w:rsidRPr="002029AF">
              <w:t xml:space="preserve"> </w:t>
            </w:r>
            <w:r w:rsidRPr="002029AF">
              <w:t>of</w:t>
            </w:r>
            <w:r w:rsidR="000A5329" w:rsidRPr="002029AF">
              <w:t xml:space="preserve"> </w:t>
            </w:r>
            <w:r w:rsidRPr="002029AF">
              <w:br/>
              <w:t>govern-</w:t>
            </w:r>
            <w:r w:rsidRPr="002029AF">
              <w:br/>
              <w:t>ment</w:t>
            </w:r>
            <w:r w:rsidR="000A5329" w:rsidRPr="002029AF">
              <w:t xml:space="preserve"> </w:t>
            </w:r>
            <w:r w:rsidRPr="002029AF">
              <w:br/>
              <w:t>transfer</w:t>
            </w:r>
            <w:r w:rsidR="000A5329" w:rsidRPr="002029AF">
              <w:t xml:space="preserve"> </w:t>
            </w:r>
            <w:r w:rsidRPr="002029AF">
              <w:br/>
              <w:t>in/(out)</w:t>
            </w:r>
          </w:p>
          <w:p w14:paraId="65135AEC" w14:textId="77777777" w:rsidR="00087B91" w:rsidRPr="002029AF" w:rsidRDefault="00087B91" w:rsidP="00860E95">
            <w:pPr>
              <w:pStyle w:val="ARfintablecolheadright"/>
            </w:pPr>
            <w:r w:rsidRPr="002029AF">
              <w:t>$M</w:t>
            </w:r>
          </w:p>
        </w:tc>
        <w:tc>
          <w:tcPr>
            <w:tcW w:w="907" w:type="dxa"/>
            <w:tcBorders>
              <w:top w:val="single" w:sz="4" w:space="0" w:color="auto"/>
              <w:left w:val="nil"/>
              <w:bottom w:val="single" w:sz="4" w:space="0" w:color="auto"/>
              <w:right w:val="nil"/>
            </w:tcBorders>
            <w:shd w:val="clear" w:color="auto" w:fill="E7E6E6"/>
            <w:hideMark/>
          </w:tcPr>
          <w:p w14:paraId="32940BF7" w14:textId="1AA1D2A0" w:rsidR="00087B91" w:rsidRPr="002029AF" w:rsidRDefault="00087B91" w:rsidP="00860E95">
            <w:pPr>
              <w:pStyle w:val="ARfintablecolheadright"/>
            </w:pPr>
            <w:r w:rsidRPr="002029AF">
              <w:t>Total</w:t>
            </w:r>
            <w:r w:rsidR="000A5329" w:rsidRPr="002029AF">
              <w:t xml:space="preserve"> </w:t>
            </w:r>
            <w:r w:rsidRPr="002029AF">
              <w:t>receipts</w:t>
            </w:r>
          </w:p>
          <w:p w14:paraId="749BE2B6" w14:textId="77777777" w:rsidR="00087B91" w:rsidRPr="002029AF" w:rsidRDefault="00087B91" w:rsidP="00860E95">
            <w:pPr>
              <w:pStyle w:val="ARfintablecolheadright"/>
            </w:pPr>
            <w:r w:rsidRPr="002029AF">
              <w:t>$M</w:t>
            </w:r>
          </w:p>
        </w:tc>
        <w:tc>
          <w:tcPr>
            <w:tcW w:w="907" w:type="dxa"/>
            <w:tcBorders>
              <w:top w:val="single" w:sz="4" w:space="0" w:color="auto"/>
              <w:left w:val="nil"/>
              <w:bottom w:val="single" w:sz="4" w:space="0" w:color="auto"/>
              <w:right w:val="nil"/>
            </w:tcBorders>
            <w:shd w:val="clear" w:color="auto" w:fill="E7E6E6"/>
            <w:hideMark/>
          </w:tcPr>
          <w:p w14:paraId="1B55541C" w14:textId="77F4C3D9" w:rsidR="00087B91" w:rsidRPr="002029AF" w:rsidRDefault="00087B91" w:rsidP="00860E95">
            <w:pPr>
              <w:pStyle w:val="ARfintablecolheadright"/>
            </w:pPr>
            <w:r w:rsidRPr="002029AF">
              <w:t>Total</w:t>
            </w:r>
            <w:r w:rsidR="000A5329" w:rsidRPr="002029AF">
              <w:t xml:space="preserve"> </w:t>
            </w:r>
            <w:r w:rsidRPr="002029AF">
              <w:t>pay-</w:t>
            </w:r>
            <w:r w:rsidRPr="002029AF">
              <w:br/>
              <w:t>ments</w:t>
            </w:r>
          </w:p>
          <w:p w14:paraId="3388708B" w14:textId="77777777" w:rsidR="00087B91" w:rsidRPr="002029AF" w:rsidRDefault="00087B91" w:rsidP="00860E95">
            <w:pPr>
              <w:pStyle w:val="ARfintablecolheadright"/>
            </w:pPr>
            <w:r w:rsidRPr="002029AF">
              <w:t>$M</w:t>
            </w:r>
          </w:p>
        </w:tc>
        <w:tc>
          <w:tcPr>
            <w:tcW w:w="907" w:type="dxa"/>
            <w:tcBorders>
              <w:top w:val="single" w:sz="4" w:space="0" w:color="auto"/>
              <w:left w:val="nil"/>
              <w:bottom w:val="single" w:sz="4" w:space="0" w:color="auto"/>
              <w:right w:val="nil"/>
            </w:tcBorders>
            <w:shd w:val="clear" w:color="auto" w:fill="E7E6E6"/>
            <w:hideMark/>
          </w:tcPr>
          <w:p w14:paraId="14524B15" w14:textId="22EABDEB" w:rsidR="00087B91" w:rsidRPr="002029AF" w:rsidRDefault="00087B91" w:rsidP="00860E95">
            <w:pPr>
              <w:pStyle w:val="ARfintablecolheadright"/>
            </w:pPr>
            <w:r w:rsidRPr="002029AF">
              <w:t>Non</w:t>
            </w:r>
            <w:r w:rsidR="000A5329" w:rsidRPr="002029AF">
              <w:t xml:space="preserve"> </w:t>
            </w:r>
            <w:r w:rsidRPr="002029AF">
              <w:t>cash</w:t>
            </w:r>
            <w:r w:rsidR="000A5329" w:rsidRPr="002029AF">
              <w:t xml:space="preserve"> </w:t>
            </w:r>
            <w:r w:rsidRPr="002029AF">
              <w:t>move-</w:t>
            </w:r>
            <w:r w:rsidRPr="002029AF">
              <w:br/>
              <w:t>ment</w:t>
            </w:r>
          </w:p>
          <w:p w14:paraId="34171C27" w14:textId="77777777" w:rsidR="00087B91" w:rsidRPr="002029AF" w:rsidRDefault="00087B91" w:rsidP="00860E95">
            <w:pPr>
              <w:pStyle w:val="ARfintablecolheadright"/>
            </w:pPr>
            <w:r w:rsidRPr="002029AF">
              <w:t>$M</w:t>
            </w:r>
          </w:p>
        </w:tc>
        <w:tc>
          <w:tcPr>
            <w:tcW w:w="907" w:type="dxa"/>
            <w:tcBorders>
              <w:top w:val="single" w:sz="4" w:space="0" w:color="auto"/>
              <w:left w:val="nil"/>
              <w:bottom w:val="single" w:sz="4" w:space="0" w:color="auto"/>
            </w:tcBorders>
            <w:shd w:val="clear" w:color="auto" w:fill="E7E6E6"/>
            <w:hideMark/>
          </w:tcPr>
          <w:p w14:paraId="759FCE7E" w14:textId="68CFF3AF" w:rsidR="00087B91" w:rsidRPr="002029AF" w:rsidRDefault="00087B91" w:rsidP="00860E95">
            <w:pPr>
              <w:pStyle w:val="ARfintablecolheadright"/>
            </w:pPr>
            <w:r w:rsidRPr="002029AF">
              <w:t>Closing</w:t>
            </w:r>
            <w:r w:rsidR="000A5329" w:rsidRPr="002029AF">
              <w:t xml:space="preserve"> </w:t>
            </w:r>
            <w:r w:rsidRPr="002029AF">
              <w:t>balance</w:t>
            </w:r>
            <w:r w:rsidR="000A5329" w:rsidRPr="002029AF">
              <w:t xml:space="preserve"> </w:t>
            </w:r>
            <w:r w:rsidRPr="002029AF">
              <w:t>as</w:t>
            </w:r>
            <w:r w:rsidR="000A5329" w:rsidRPr="002029AF">
              <w:t xml:space="preserve"> </w:t>
            </w:r>
            <w:r w:rsidRPr="002029AF">
              <w:t>at</w:t>
            </w:r>
            <w:r w:rsidR="000A5329" w:rsidRPr="002029AF">
              <w:t xml:space="preserve"> </w:t>
            </w:r>
            <w:r w:rsidRPr="002029AF">
              <w:br/>
              <w:t>30</w:t>
            </w:r>
            <w:r w:rsidR="000A5329" w:rsidRPr="002029AF">
              <w:t xml:space="preserve"> </w:t>
            </w:r>
            <w:r w:rsidRPr="002029AF">
              <w:t>June</w:t>
            </w:r>
            <w:r w:rsidR="000A5329" w:rsidRPr="002029AF">
              <w:t xml:space="preserve"> </w:t>
            </w:r>
            <w:r w:rsidRPr="002029AF">
              <w:t>2020</w:t>
            </w:r>
          </w:p>
          <w:p w14:paraId="0EC1BF2C" w14:textId="77777777" w:rsidR="00087B91" w:rsidRPr="002029AF" w:rsidRDefault="00087B91" w:rsidP="00860E95">
            <w:pPr>
              <w:pStyle w:val="ARfintablecolheadright"/>
            </w:pPr>
            <w:r w:rsidRPr="002029AF">
              <w:t>$M</w:t>
            </w:r>
          </w:p>
        </w:tc>
        <w:tc>
          <w:tcPr>
            <w:tcW w:w="907" w:type="dxa"/>
            <w:tcBorders>
              <w:bottom w:val="single" w:sz="4" w:space="0" w:color="auto"/>
            </w:tcBorders>
            <w:hideMark/>
          </w:tcPr>
          <w:p w14:paraId="39CFB727" w14:textId="7BACB9E5" w:rsidR="00087B91" w:rsidRPr="002029AF" w:rsidRDefault="00087B91" w:rsidP="00860E95">
            <w:pPr>
              <w:pStyle w:val="ARfintablecolheadright"/>
            </w:pPr>
            <w:r w:rsidRPr="002029AF">
              <w:t>Opening</w:t>
            </w:r>
            <w:r w:rsidR="000A5329" w:rsidRPr="002029AF">
              <w:t xml:space="preserve"> </w:t>
            </w:r>
            <w:r w:rsidRPr="002029AF">
              <w:t>balance</w:t>
            </w:r>
            <w:r w:rsidR="000A5329" w:rsidRPr="002029AF">
              <w:t xml:space="preserve"> </w:t>
            </w:r>
            <w:r w:rsidRPr="002029AF">
              <w:t>as</w:t>
            </w:r>
            <w:r w:rsidR="000A5329" w:rsidRPr="002029AF">
              <w:t xml:space="preserve"> </w:t>
            </w:r>
            <w:r w:rsidRPr="002029AF">
              <w:t>at</w:t>
            </w:r>
            <w:r w:rsidR="000A5329" w:rsidRPr="002029AF">
              <w:t xml:space="preserve"> </w:t>
            </w:r>
            <w:r w:rsidRPr="002029AF">
              <w:br/>
              <w:t>1</w:t>
            </w:r>
            <w:r w:rsidR="000A5329" w:rsidRPr="002029AF">
              <w:t xml:space="preserve"> </w:t>
            </w:r>
            <w:r w:rsidRPr="002029AF">
              <w:t>July</w:t>
            </w:r>
            <w:r w:rsidR="000A5329" w:rsidRPr="002029AF">
              <w:t xml:space="preserve"> </w:t>
            </w:r>
            <w:r w:rsidRPr="002029AF">
              <w:t>2018</w:t>
            </w:r>
          </w:p>
          <w:p w14:paraId="70B22789" w14:textId="77777777" w:rsidR="00087B91" w:rsidRPr="002029AF" w:rsidRDefault="00087B91" w:rsidP="00860E95">
            <w:pPr>
              <w:pStyle w:val="ARfintablecolheadright"/>
            </w:pPr>
            <w:r w:rsidRPr="002029AF">
              <w:t>$M</w:t>
            </w:r>
          </w:p>
        </w:tc>
        <w:tc>
          <w:tcPr>
            <w:tcW w:w="907" w:type="dxa"/>
            <w:tcBorders>
              <w:bottom w:val="single" w:sz="4" w:space="0" w:color="auto"/>
            </w:tcBorders>
            <w:hideMark/>
          </w:tcPr>
          <w:p w14:paraId="7DA3A0D6" w14:textId="4442D327" w:rsidR="00087B91" w:rsidRPr="002029AF" w:rsidRDefault="00087B91" w:rsidP="00860E95">
            <w:pPr>
              <w:pStyle w:val="ARfintablecolheadright"/>
            </w:pPr>
            <w:r w:rsidRPr="002029AF">
              <w:t>Machin-</w:t>
            </w:r>
            <w:r w:rsidRPr="002029AF">
              <w:br/>
              <w:t>ery</w:t>
            </w:r>
            <w:r w:rsidR="000A5329" w:rsidRPr="002029AF">
              <w:t xml:space="preserve"> </w:t>
            </w:r>
            <w:r w:rsidRPr="002029AF">
              <w:t>of</w:t>
            </w:r>
            <w:r w:rsidR="000A5329" w:rsidRPr="002029AF">
              <w:t xml:space="preserve"> </w:t>
            </w:r>
            <w:r w:rsidRPr="002029AF">
              <w:br/>
              <w:t>govern-</w:t>
            </w:r>
            <w:r w:rsidRPr="002029AF">
              <w:br/>
              <w:t>ment</w:t>
            </w:r>
            <w:r w:rsidR="000A5329" w:rsidRPr="002029AF">
              <w:t xml:space="preserve"> </w:t>
            </w:r>
            <w:r w:rsidRPr="002029AF">
              <w:br/>
              <w:t>transfer</w:t>
            </w:r>
            <w:r w:rsidR="000A5329" w:rsidRPr="002029AF">
              <w:t xml:space="preserve"> </w:t>
            </w:r>
            <w:r w:rsidRPr="002029AF">
              <w:br/>
              <w:t>in/(out)</w:t>
            </w:r>
          </w:p>
          <w:p w14:paraId="095E2B81" w14:textId="77777777" w:rsidR="00087B91" w:rsidRPr="002029AF" w:rsidRDefault="00087B91" w:rsidP="00860E95">
            <w:pPr>
              <w:pStyle w:val="ARfintablecolheadright"/>
            </w:pPr>
            <w:r w:rsidRPr="002029AF">
              <w:t>$M</w:t>
            </w:r>
          </w:p>
        </w:tc>
        <w:tc>
          <w:tcPr>
            <w:tcW w:w="907" w:type="dxa"/>
            <w:tcBorders>
              <w:bottom w:val="single" w:sz="4" w:space="0" w:color="auto"/>
            </w:tcBorders>
            <w:hideMark/>
          </w:tcPr>
          <w:p w14:paraId="7CB7ADC8" w14:textId="134E8A38" w:rsidR="00087B91" w:rsidRPr="002029AF" w:rsidRDefault="00087B91" w:rsidP="00860E95">
            <w:pPr>
              <w:pStyle w:val="ARfintablecolheadright"/>
            </w:pPr>
            <w:r w:rsidRPr="002029AF">
              <w:t>Total</w:t>
            </w:r>
            <w:r w:rsidR="000A5329" w:rsidRPr="002029AF">
              <w:t xml:space="preserve"> </w:t>
            </w:r>
            <w:r w:rsidRPr="002029AF">
              <w:t>receipts</w:t>
            </w:r>
          </w:p>
          <w:p w14:paraId="2D92BB28" w14:textId="77777777" w:rsidR="00087B91" w:rsidRPr="002029AF" w:rsidRDefault="00087B91" w:rsidP="00860E95">
            <w:pPr>
              <w:pStyle w:val="ARfintablecolheadright"/>
            </w:pPr>
            <w:r w:rsidRPr="002029AF">
              <w:t>$M</w:t>
            </w:r>
          </w:p>
        </w:tc>
        <w:tc>
          <w:tcPr>
            <w:tcW w:w="907" w:type="dxa"/>
            <w:tcBorders>
              <w:bottom w:val="single" w:sz="4" w:space="0" w:color="auto"/>
            </w:tcBorders>
            <w:hideMark/>
          </w:tcPr>
          <w:p w14:paraId="7122BDC7" w14:textId="2FDFC709" w:rsidR="00087B91" w:rsidRPr="002029AF" w:rsidRDefault="00087B91" w:rsidP="00860E95">
            <w:pPr>
              <w:pStyle w:val="ARfintablecolheadright"/>
            </w:pPr>
            <w:r w:rsidRPr="002029AF">
              <w:t>Total</w:t>
            </w:r>
            <w:r w:rsidR="000A5329" w:rsidRPr="002029AF">
              <w:t xml:space="preserve"> </w:t>
            </w:r>
            <w:r w:rsidRPr="002029AF">
              <w:t>pay-</w:t>
            </w:r>
            <w:r w:rsidRPr="002029AF">
              <w:br/>
              <w:t>ments</w:t>
            </w:r>
          </w:p>
          <w:p w14:paraId="5CD769BC" w14:textId="77777777" w:rsidR="00087B91" w:rsidRPr="002029AF" w:rsidRDefault="00087B91" w:rsidP="00860E95">
            <w:pPr>
              <w:pStyle w:val="ARfintablecolheadright"/>
            </w:pPr>
            <w:r w:rsidRPr="002029AF">
              <w:t>$M</w:t>
            </w:r>
          </w:p>
        </w:tc>
        <w:tc>
          <w:tcPr>
            <w:tcW w:w="907" w:type="dxa"/>
            <w:tcBorders>
              <w:bottom w:val="single" w:sz="4" w:space="0" w:color="auto"/>
            </w:tcBorders>
            <w:hideMark/>
          </w:tcPr>
          <w:p w14:paraId="4F00479C" w14:textId="26CF0E1D" w:rsidR="00087B91" w:rsidRPr="002029AF" w:rsidRDefault="00087B91" w:rsidP="00860E95">
            <w:pPr>
              <w:pStyle w:val="ARfintablecolheadright"/>
            </w:pPr>
            <w:r w:rsidRPr="002029AF">
              <w:t>Non</w:t>
            </w:r>
            <w:r w:rsidR="000A5329" w:rsidRPr="002029AF">
              <w:t xml:space="preserve"> </w:t>
            </w:r>
            <w:r w:rsidRPr="002029AF">
              <w:t>cash</w:t>
            </w:r>
            <w:r w:rsidR="000A5329" w:rsidRPr="002029AF">
              <w:t xml:space="preserve"> </w:t>
            </w:r>
            <w:r w:rsidRPr="002029AF">
              <w:t>move-</w:t>
            </w:r>
            <w:r w:rsidRPr="002029AF">
              <w:br/>
              <w:t>ment</w:t>
            </w:r>
          </w:p>
          <w:p w14:paraId="58C7FE3E" w14:textId="77777777" w:rsidR="00087B91" w:rsidRPr="002029AF" w:rsidRDefault="00087B91" w:rsidP="00860E95">
            <w:pPr>
              <w:pStyle w:val="ARfintablecolheadright"/>
            </w:pPr>
            <w:r w:rsidRPr="002029AF">
              <w:t>$M</w:t>
            </w:r>
          </w:p>
        </w:tc>
        <w:tc>
          <w:tcPr>
            <w:tcW w:w="907" w:type="dxa"/>
            <w:tcBorders>
              <w:bottom w:val="single" w:sz="4" w:space="0" w:color="auto"/>
            </w:tcBorders>
            <w:hideMark/>
          </w:tcPr>
          <w:p w14:paraId="0B7170CF" w14:textId="2B334D1E" w:rsidR="00087B91" w:rsidRPr="002029AF" w:rsidRDefault="00087B91" w:rsidP="00860E95">
            <w:pPr>
              <w:pStyle w:val="ARfintablecolheadright"/>
            </w:pPr>
            <w:r w:rsidRPr="002029AF">
              <w:t>Closing</w:t>
            </w:r>
            <w:r w:rsidR="000A5329" w:rsidRPr="002029AF">
              <w:t xml:space="preserve"> </w:t>
            </w:r>
            <w:r w:rsidRPr="002029AF">
              <w:t>balance</w:t>
            </w:r>
            <w:r w:rsidR="000A5329" w:rsidRPr="002029AF">
              <w:t xml:space="preserve"> </w:t>
            </w:r>
            <w:r w:rsidRPr="002029AF">
              <w:t>as</w:t>
            </w:r>
            <w:r w:rsidR="000A5329" w:rsidRPr="002029AF">
              <w:t xml:space="preserve"> </w:t>
            </w:r>
            <w:r w:rsidRPr="002029AF">
              <w:t>at</w:t>
            </w:r>
            <w:r w:rsidR="000A5329" w:rsidRPr="002029AF">
              <w:t xml:space="preserve"> </w:t>
            </w:r>
            <w:r w:rsidRPr="002029AF">
              <w:br/>
              <w:t>30</w:t>
            </w:r>
            <w:r w:rsidR="000A5329" w:rsidRPr="002029AF">
              <w:t xml:space="preserve"> </w:t>
            </w:r>
            <w:r w:rsidRPr="002029AF">
              <w:t>June</w:t>
            </w:r>
            <w:r w:rsidR="000A5329" w:rsidRPr="002029AF">
              <w:t xml:space="preserve"> </w:t>
            </w:r>
            <w:r w:rsidRPr="002029AF">
              <w:t>2019</w:t>
            </w:r>
          </w:p>
          <w:p w14:paraId="1A017856" w14:textId="77777777" w:rsidR="00087B91" w:rsidRPr="002029AF" w:rsidRDefault="00087B91" w:rsidP="00860E95">
            <w:pPr>
              <w:pStyle w:val="ARfintablecolheadright"/>
            </w:pPr>
            <w:r w:rsidRPr="002029AF">
              <w:t>$M</w:t>
            </w:r>
          </w:p>
        </w:tc>
      </w:tr>
      <w:tr w:rsidR="00087B91" w:rsidRPr="002029AF" w14:paraId="05DFE95C" w14:textId="77777777" w:rsidTr="00860E95">
        <w:tc>
          <w:tcPr>
            <w:tcW w:w="14459" w:type="dxa"/>
            <w:gridSpan w:val="13"/>
            <w:tcBorders>
              <w:top w:val="single" w:sz="4" w:space="0" w:color="auto"/>
              <w:bottom w:val="single" w:sz="4" w:space="0" w:color="A6A6A6"/>
            </w:tcBorders>
            <w:hideMark/>
          </w:tcPr>
          <w:p w14:paraId="4CC6E8DB" w14:textId="3EF4B05F" w:rsidR="00087B91" w:rsidRPr="002029AF" w:rsidRDefault="00087B91" w:rsidP="00860E95">
            <w:pPr>
              <w:pStyle w:val="ARfintablebodybold"/>
            </w:pPr>
            <w:r w:rsidRPr="002029AF">
              <w:t>Controlled</w:t>
            </w:r>
            <w:r w:rsidR="000A5329" w:rsidRPr="002029AF">
              <w:t xml:space="preserve"> </w:t>
            </w:r>
            <w:r w:rsidRPr="002029AF">
              <w:t>trusts</w:t>
            </w:r>
          </w:p>
        </w:tc>
      </w:tr>
      <w:tr w:rsidR="00087B91" w:rsidRPr="002029AF" w14:paraId="3E4D60BD" w14:textId="77777777" w:rsidTr="00860E95">
        <w:tc>
          <w:tcPr>
            <w:tcW w:w="3574" w:type="dxa"/>
            <w:tcBorders>
              <w:top w:val="single" w:sz="4" w:space="0" w:color="A6A6A6"/>
              <w:bottom w:val="single" w:sz="4" w:space="0" w:color="A6A6A6"/>
            </w:tcBorders>
            <w:noWrap/>
            <w:hideMark/>
          </w:tcPr>
          <w:p w14:paraId="7A08330E" w14:textId="6AC81770" w:rsidR="00087B91" w:rsidRPr="002029AF" w:rsidRDefault="00087B91" w:rsidP="00860E95">
            <w:pPr>
              <w:pStyle w:val="ARfintablebody"/>
            </w:pPr>
            <w:r w:rsidRPr="002029AF">
              <w:t>Casey</w:t>
            </w:r>
            <w:r w:rsidR="000A5329" w:rsidRPr="002029AF">
              <w:t xml:space="preserve"> </w:t>
            </w:r>
            <w:r w:rsidRPr="002029AF">
              <w:t>Hospital</w:t>
            </w:r>
            <w:r w:rsidR="000A5329" w:rsidRPr="002029AF">
              <w:t xml:space="preserve"> </w:t>
            </w:r>
            <w:r w:rsidRPr="002029AF">
              <w:t>Escrow</w:t>
            </w:r>
            <w:r w:rsidR="000A5329" w:rsidRPr="002029AF">
              <w:t xml:space="preserve"> </w:t>
            </w:r>
            <w:r w:rsidRPr="002029AF">
              <w:t>Account</w:t>
            </w:r>
          </w:p>
        </w:tc>
        <w:tc>
          <w:tcPr>
            <w:tcW w:w="908" w:type="dxa"/>
            <w:tcBorders>
              <w:top w:val="single" w:sz="4" w:space="0" w:color="A6A6A6"/>
              <w:bottom w:val="single" w:sz="4" w:space="0" w:color="A6A6A6"/>
              <w:right w:val="nil"/>
            </w:tcBorders>
            <w:shd w:val="clear" w:color="auto" w:fill="E7E6E6"/>
            <w:noWrap/>
            <w:hideMark/>
          </w:tcPr>
          <w:p w14:paraId="279B889D" w14:textId="77777777" w:rsidR="00087B91" w:rsidRPr="002029AF" w:rsidRDefault="00087B91" w:rsidP="00860E95">
            <w:pPr>
              <w:pStyle w:val="ARfintablebodyright"/>
            </w:pPr>
            <w:r w:rsidRPr="002029AF">
              <w:t>6.8</w:t>
            </w:r>
          </w:p>
        </w:tc>
        <w:tc>
          <w:tcPr>
            <w:tcW w:w="907" w:type="dxa"/>
            <w:tcBorders>
              <w:top w:val="single" w:sz="4" w:space="0" w:color="A6A6A6"/>
              <w:left w:val="nil"/>
              <w:bottom w:val="single" w:sz="4" w:space="0" w:color="A6A6A6"/>
              <w:right w:val="nil"/>
            </w:tcBorders>
            <w:shd w:val="clear" w:color="auto" w:fill="E7E6E6"/>
            <w:noWrap/>
            <w:hideMark/>
          </w:tcPr>
          <w:p w14:paraId="14D4B180" w14:textId="77777777" w:rsidR="00087B91" w:rsidRPr="002029AF" w:rsidRDefault="00087B91" w:rsidP="00860E95">
            <w:pPr>
              <w:pStyle w:val="ARfintablebodyright"/>
            </w:pPr>
            <w:r w:rsidRPr="002029AF">
              <w:t>–</w:t>
            </w:r>
          </w:p>
        </w:tc>
        <w:tc>
          <w:tcPr>
            <w:tcW w:w="907" w:type="dxa"/>
            <w:tcBorders>
              <w:top w:val="single" w:sz="4" w:space="0" w:color="A6A6A6"/>
              <w:left w:val="nil"/>
              <w:bottom w:val="single" w:sz="4" w:space="0" w:color="A6A6A6"/>
              <w:right w:val="nil"/>
            </w:tcBorders>
            <w:shd w:val="clear" w:color="auto" w:fill="E7E6E6"/>
            <w:noWrap/>
            <w:hideMark/>
          </w:tcPr>
          <w:p w14:paraId="3EAA3366" w14:textId="77777777" w:rsidR="00087B91" w:rsidRPr="002029AF" w:rsidRDefault="00087B91" w:rsidP="00860E95">
            <w:pPr>
              <w:pStyle w:val="ARfintablebodyright"/>
            </w:pPr>
            <w:r w:rsidRPr="002029AF">
              <w:t>–</w:t>
            </w:r>
          </w:p>
        </w:tc>
        <w:tc>
          <w:tcPr>
            <w:tcW w:w="907" w:type="dxa"/>
            <w:tcBorders>
              <w:top w:val="single" w:sz="4" w:space="0" w:color="A6A6A6"/>
              <w:left w:val="nil"/>
              <w:bottom w:val="single" w:sz="4" w:space="0" w:color="A6A6A6"/>
              <w:right w:val="nil"/>
            </w:tcBorders>
            <w:shd w:val="clear" w:color="auto" w:fill="E7E6E6"/>
            <w:noWrap/>
            <w:hideMark/>
          </w:tcPr>
          <w:p w14:paraId="228296DD" w14:textId="77777777" w:rsidR="00087B91" w:rsidRPr="002029AF" w:rsidRDefault="00087B91" w:rsidP="00860E95">
            <w:pPr>
              <w:pStyle w:val="ARfintablebodyright"/>
            </w:pPr>
            <w:r w:rsidRPr="002029AF">
              <w:t>–</w:t>
            </w:r>
          </w:p>
        </w:tc>
        <w:tc>
          <w:tcPr>
            <w:tcW w:w="907" w:type="dxa"/>
            <w:tcBorders>
              <w:top w:val="single" w:sz="4" w:space="0" w:color="A6A6A6"/>
              <w:left w:val="nil"/>
              <w:bottom w:val="single" w:sz="4" w:space="0" w:color="A6A6A6"/>
              <w:right w:val="nil"/>
            </w:tcBorders>
            <w:shd w:val="clear" w:color="auto" w:fill="E7E6E6"/>
            <w:noWrap/>
            <w:hideMark/>
          </w:tcPr>
          <w:p w14:paraId="06E268B7" w14:textId="77777777" w:rsidR="00087B91" w:rsidRPr="002029AF" w:rsidRDefault="00087B91" w:rsidP="00860E95">
            <w:pPr>
              <w:pStyle w:val="ARfintablebodyright"/>
            </w:pPr>
            <w:r w:rsidRPr="002029AF">
              <w:t>–</w:t>
            </w:r>
          </w:p>
        </w:tc>
        <w:tc>
          <w:tcPr>
            <w:tcW w:w="907" w:type="dxa"/>
            <w:tcBorders>
              <w:top w:val="single" w:sz="4" w:space="0" w:color="A6A6A6"/>
              <w:left w:val="nil"/>
              <w:bottom w:val="single" w:sz="4" w:space="0" w:color="A6A6A6"/>
            </w:tcBorders>
            <w:shd w:val="clear" w:color="auto" w:fill="E7E6E6"/>
            <w:noWrap/>
            <w:hideMark/>
          </w:tcPr>
          <w:p w14:paraId="36D7F272" w14:textId="77777777" w:rsidR="00087B91" w:rsidRPr="002029AF" w:rsidRDefault="00087B91" w:rsidP="00860E95">
            <w:pPr>
              <w:pStyle w:val="ARfintablebodyright"/>
            </w:pPr>
            <w:r w:rsidRPr="002029AF">
              <w:t>6.8</w:t>
            </w:r>
          </w:p>
        </w:tc>
        <w:tc>
          <w:tcPr>
            <w:tcW w:w="907" w:type="dxa"/>
            <w:tcBorders>
              <w:top w:val="single" w:sz="4" w:space="0" w:color="A6A6A6"/>
              <w:bottom w:val="single" w:sz="4" w:space="0" w:color="A6A6A6"/>
            </w:tcBorders>
            <w:noWrap/>
            <w:hideMark/>
          </w:tcPr>
          <w:p w14:paraId="157CE193" w14:textId="77777777" w:rsidR="00087B91" w:rsidRPr="002029AF" w:rsidRDefault="00087B91" w:rsidP="00860E95">
            <w:pPr>
              <w:pStyle w:val="ARfintablebodyright"/>
            </w:pPr>
            <w:r w:rsidRPr="002029AF">
              <w:t>2.1</w:t>
            </w:r>
          </w:p>
        </w:tc>
        <w:tc>
          <w:tcPr>
            <w:tcW w:w="907" w:type="dxa"/>
            <w:tcBorders>
              <w:top w:val="single" w:sz="4" w:space="0" w:color="A6A6A6"/>
              <w:bottom w:val="single" w:sz="4" w:space="0" w:color="A6A6A6"/>
            </w:tcBorders>
            <w:noWrap/>
            <w:hideMark/>
          </w:tcPr>
          <w:p w14:paraId="72E675ED" w14:textId="77777777" w:rsidR="00087B91" w:rsidRPr="002029AF" w:rsidRDefault="00087B91" w:rsidP="00860E95">
            <w:pPr>
              <w:pStyle w:val="ARfintablebodyright"/>
            </w:pPr>
            <w:r w:rsidRPr="002029AF">
              <w:t>–</w:t>
            </w:r>
          </w:p>
        </w:tc>
        <w:tc>
          <w:tcPr>
            <w:tcW w:w="907" w:type="dxa"/>
            <w:tcBorders>
              <w:top w:val="single" w:sz="4" w:space="0" w:color="A6A6A6"/>
              <w:bottom w:val="single" w:sz="4" w:space="0" w:color="A6A6A6"/>
            </w:tcBorders>
            <w:noWrap/>
            <w:hideMark/>
          </w:tcPr>
          <w:p w14:paraId="0E4707C7" w14:textId="77777777" w:rsidR="00087B91" w:rsidRPr="002029AF" w:rsidRDefault="00087B91" w:rsidP="00860E95">
            <w:pPr>
              <w:pStyle w:val="ARfintablebodyright"/>
            </w:pPr>
            <w:r w:rsidRPr="002029AF">
              <w:t>–</w:t>
            </w:r>
          </w:p>
        </w:tc>
        <w:tc>
          <w:tcPr>
            <w:tcW w:w="907" w:type="dxa"/>
            <w:tcBorders>
              <w:top w:val="single" w:sz="4" w:space="0" w:color="A6A6A6"/>
              <w:bottom w:val="single" w:sz="4" w:space="0" w:color="A6A6A6"/>
            </w:tcBorders>
            <w:noWrap/>
            <w:hideMark/>
          </w:tcPr>
          <w:p w14:paraId="56020860" w14:textId="77777777" w:rsidR="00087B91" w:rsidRPr="002029AF" w:rsidRDefault="00087B91" w:rsidP="00860E95">
            <w:pPr>
              <w:pStyle w:val="ARfintablebodyright"/>
            </w:pPr>
            <w:r w:rsidRPr="002029AF">
              <w:t>–</w:t>
            </w:r>
          </w:p>
        </w:tc>
        <w:tc>
          <w:tcPr>
            <w:tcW w:w="907" w:type="dxa"/>
            <w:tcBorders>
              <w:top w:val="single" w:sz="4" w:space="0" w:color="A6A6A6"/>
              <w:bottom w:val="single" w:sz="4" w:space="0" w:color="A6A6A6"/>
            </w:tcBorders>
            <w:noWrap/>
            <w:hideMark/>
          </w:tcPr>
          <w:p w14:paraId="270835B9" w14:textId="77777777" w:rsidR="00087B91" w:rsidRPr="002029AF" w:rsidRDefault="00087B91" w:rsidP="00860E95">
            <w:pPr>
              <w:pStyle w:val="ARfintablebodyright"/>
            </w:pPr>
            <w:r w:rsidRPr="002029AF">
              <w:t>4.7</w:t>
            </w:r>
          </w:p>
        </w:tc>
        <w:tc>
          <w:tcPr>
            <w:tcW w:w="907" w:type="dxa"/>
            <w:tcBorders>
              <w:top w:val="single" w:sz="4" w:space="0" w:color="A6A6A6"/>
              <w:bottom w:val="single" w:sz="4" w:space="0" w:color="A6A6A6"/>
            </w:tcBorders>
            <w:noWrap/>
            <w:hideMark/>
          </w:tcPr>
          <w:p w14:paraId="0101D4CD" w14:textId="77777777" w:rsidR="00087B91" w:rsidRPr="002029AF" w:rsidRDefault="00087B91" w:rsidP="00860E95">
            <w:pPr>
              <w:pStyle w:val="ARfintablebodyright"/>
            </w:pPr>
            <w:r w:rsidRPr="002029AF">
              <w:t>6.8</w:t>
            </w:r>
          </w:p>
        </w:tc>
      </w:tr>
      <w:tr w:rsidR="00087B91" w:rsidRPr="002029AF" w14:paraId="17356030" w14:textId="77777777" w:rsidTr="00860E95">
        <w:tc>
          <w:tcPr>
            <w:tcW w:w="3574" w:type="dxa"/>
            <w:tcBorders>
              <w:top w:val="single" w:sz="4" w:space="0" w:color="A6A6A6"/>
              <w:bottom w:val="single" w:sz="4" w:space="0" w:color="A6A6A6"/>
            </w:tcBorders>
            <w:hideMark/>
          </w:tcPr>
          <w:p w14:paraId="39850934" w14:textId="50919113" w:rsidR="00087B91" w:rsidRPr="002029AF" w:rsidRDefault="00087B91" w:rsidP="00860E95">
            <w:pPr>
              <w:pStyle w:val="ARfintablebody"/>
            </w:pPr>
            <w:r w:rsidRPr="002029AF">
              <w:t>Health</w:t>
            </w:r>
            <w:r w:rsidR="000A5329" w:rsidRPr="002029AF">
              <w:t xml:space="preserve"> </w:t>
            </w:r>
            <w:r w:rsidRPr="002029AF">
              <w:t>State</w:t>
            </w:r>
            <w:r w:rsidR="000A5329" w:rsidRPr="002029AF">
              <w:t xml:space="preserve"> </w:t>
            </w:r>
            <w:r w:rsidRPr="002029AF">
              <w:t>Managed</w:t>
            </w:r>
            <w:r w:rsidR="000A5329" w:rsidRPr="002029AF">
              <w:t xml:space="preserve"> </w:t>
            </w:r>
            <w:r w:rsidRPr="002029AF">
              <w:t>Fund</w:t>
            </w:r>
          </w:p>
        </w:tc>
        <w:tc>
          <w:tcPr>
            <w:tcW w:w="908" w:type="dxa"/>
            <w:tcBorders>
              <w:top w:val="single" w:sz="4" w:space="0" w:color="A6A6A6"/>
              <w:bottom w:val="single" w:sz="4" w:space="0" w:color="A6A6A6"/>
              <w:right w:val="nil"/>
            </w:tcBorders>
            <w:shd w:val="clear" w:color="auto" w:fill="E7E6E6"/>
            <w:noWrap/>
            <w:hideMark/>
          </w:tcPr>
          <w:p w14:paraId="3FBEED54" w14:textId="77777777" w:rsidR="00087B91" w:rsidRPr="002029AF" w:rsidRDefault="00087B91" w:rsidP="00860E95">
            <w:pPr>
              <w:pStyle w:val="ARfintablebodyright"/>
            </w:pPr>
            <w:r w:rsidRPr="002029AF">
              <w:t>2.2</w:t>
            </w:r>
          </w:p>
        </w:tc>
        <w:tc>
          <w:tcPr>
            <w:tcW w:w="907" w:type="dxa"/>
            <w:tcBorders>
              <w:top w:val="single" w:sz="4" w:space="0" w:color="A6A6A6"/>
              <w:left w:val="nil"/>
              <w:bottom w:val="single" w:sz="4" w:space="0" w:color="A6A6A6"/>
              <w:right w:val="nil"/>
            </w:tcBorders>
            <w:shd w:val="clear" w:color="auto" w:fill="E7E6E6"/>
            <w:noWrap/>
            <w:hideMark/>
          </w:tcPr>
          <w:p w14:paraId="1AA37667" w14:textId="77777777" w:rsidR="00087B91" w:rsidRPr="002029AF" w:rsidRDefault="00087B91" w:rsidP="00860E95">
            <w:pPr>
              <w:pStyle w:val="ARfintablebodyright"/>
            </w:pPr>
            <w:r w:rsidRPr="002029AF">
              <w:t>–</w:t>
            </w:r>
          </w:p>
        </w:tc>
        <w:tc>
          <w:tcPr>
            <w:tcW w:w="907" w:type="dxa"/>
            <w:tcBorders>
              <w:top w:val="single" w:sz="4" w:space="0" w:color="A6A6A6"/>
              <w:left w:val="nil"/>
              <w:bottom w:val="single" w:sz="4" w:space="0" w:color="A6A6A6"/>
              <w:right w:val="nil"/>
            </w:tcBorders>
            <w:shd w:val="clear" w:color="auto" w:fill="E7E6E6"/>
            <w:noWrap/>
            <w:hideMark/>
          </w:tcPr>
          <w:p w14:paraId="0C01FA74" w14:textId="77777777" w:rsidR="00087B91" w:rsidRPr="002029AF" w:rsidRDefault="00087B91" w:rsidP="00860E95">
            <w:pPr>
              <w:pStyle w:val="ARfintablebodyright"/>
            </w:pPr>
            <w:r w:rsidRPr="002029AF">
              <w:t>1,698.1</w:t>
            </w:r>
          </w:p>
        </w:tc>
        <w:tc>
          <w:tcPr>
            <w:tcW w:w="907" w:type="dxa"/>
            <w:tcBorders>
              <w:top w:val="single" w:sz="4" w:space="0" w:color="A6A6A6"/>
              <w:left w:val="nil"/>
              <w:bottom w:val="single" w:sz="4" w:space="0" w:color="A6A6A6"/>
              <w:right w:val="nil"/>
            </w:tcBorders>
            <w:shd w:val="clear" w:color="auto" w:fill="E7E6E6"/>
            <w:noWrap/>
            <w:hideMark/>
          </w:tcPr>
          <w:p w14:paraId="42F1EDFC" w14:textId="77777777" w:rsidR="00087B91" w:rsidRPr="002029AF" w:rsidRDefault="00087B91" w:rsidP="00860E95">
            <w:pPr>
              <w:pStyle w:val="ARfintablebodyright"/>
            </w:pPr>
            <w:r w:rsidRPr="002029AF">
              <w:t>1,697.5</w:t>
            </w:r>
          </w:p>
        </w:tc>
        <w:tc>
          <w:tcPr>
            <w:tcW w:w="907" w:type="dxa"/>
            <w:tcBorders>
              <w:top w:val="single" w:sz="4" w:space="0" w:color="A6A6A6"/>
              <w:left w:val="nil"/>
              <w:bottom w:val="single" w:sz="4" w:space="0" w:color="A6A6A6"/>
              <w:right w:val="nil"/>
            </w:tcBorders>
            <w:shd w:val="clear" w:color="auto" w:fill="E7E6E6"/>
            <w:noWrap/>
            <w:hideMark/>
          </w:tcPr>
          <w:p w14:paraId="5643BF14" w14:textId="77777777" w:rsidR="00087B91" w:rsidRPr="002029AF" w:rsidRDefault="00087B91" w:rsidP="00860E95">
            <w:pPr>
              <w:pStyle w:val="ARfintablebodyright"/>
            </w:pPr>
            <w:r w:rsidRPr="002029AF">
              <w:t>(0.6)</w:t>
            </w:r>
          </w:p>
        </w:tc>
        <w:tc>
          <w:tcPr>
            <w:tcW w:w="907" w:type="dxa"/>
            <w:tcBorders>
              <w:top w:val="single" w:sz="4" w:space="0" w:color="A6A6A6"/>
              <w:left w:val="nil"/>
              <w:bottom w:val="single" w:sz="4" w:space="0" w:color="A6A6A6"/>
            </w:tcBorders>
            <w:shd w:val="clear" w:color="auto" w:fill="E7E6E6"/>
            <w:noWrap/>
            <w:hideMark/>
          </w:tcPr>
          <w:p w14:paraId="000636A4" w14:textId="77777777" w:rsidR="00087B91" w:rsidRPr="002029AF" w:rsidRDefault="00087B91" w:rsidP="00860E95">
            <w:pPr>
              <w:pStyle w:val="ARfintablebodyright"/>
            </w:pPr>
            <w:r w:rsidRPr="002029AF">
              <w:t>2.2</w:t>
            </w:r>
          </w:p>
        </w:tc>
        <w:tc>
          <w:tcPr>
            <w:tcW w:w="907" w:type="dxa"/>
            <w:tcBorders>
              <w:top w:val="single" w:sz="4" w:space="0" w:color="A6A6A6"/>
              <w:bottom w:val="single" w:sz="4" w:space="0" w:color="A6A6A6"/>
            </w:tcBorders>
            <w:noWrap/>
            <w:hideMark/>
          </w:tcPr>
          <w:p w14:paraId="096AD2ED" w14:textId="77777777" w:rsidR="00087B91" w:rsidRPr="002029AF" w:rsidRDefault="00087B91" w:rsidP="00860E95">
            <w:pPr>
              <w:pStyle w:val="ARfintablebodyright"/>
            </w:pPr>
            <w:r w:rsidRPr="002029AF">
              <w:t>2.2</w:t>
            </w:r>
          </w:p>
        </w:tc>
        <w:tc>
          <w:tcPr>
            <w:tcW w:w="907" w:type="dxa"/>
            <w:tcBorders>
              <w:top w:val="single" w:sz="4" w:space="0" w:color="A6A6A6"/>
              <w:bottom w:val="single" w:sz="4" w:space="0" w:color="A6A6A6"/>
            </w:tcBorders>
            <w:noWrap/>
            <w:hideMark/>
          </w:tcPr>
          <w:p w14:paraId="622A7B0E" w14:textId="77777777" w:rsidR="00087B91" w:rsidRPr="002029AF" w:rsidRDefault="00087B91" w:rsidP="00860E95">
            <w:pPr>
              <w:pStyle w:val="ARfintablebodyright"/>
            </w:pPr>
            <w:r w:rsidRPr="002029AF">
              <w:t>–</w:t>
            </w:r>
          </w:p>
        </w:tc>
        <w:tc>
          <w:tcPr>
            <w:tcW w:w="907" w:type="dxa"/>
            <w:tcBorders>
              <w:top w:val="single" w:sz="4" w:space="0" w:color="A6A6A6"/>
              <w:bottom w:val="single" w:sz="4" w:space="0" w:color="A6A6A6"/>
            </w:tcBorders>
            <w:noWrap/>
            <w:hideMark/>
          </w:tcPr>
          <w:p w14:paraId="12BFAEFC" w14:textId="77777777" w:rsidR="00087B91" w:rsidRPr="002029AF" w:rsidRDefault="00087B91" w:rsidP="00860E95">
            <w:pPr>
              <w:pStyle w:val="ARfintablebodyright"/>
            </w:pPr>
            <w:r w:rsidRPr="002029AF">
              <w:t>1,592.7</w:t>
            </w:r>
          </w:p>
        </w:tc>
        <w:tc>
          <w:tcPr>
            <w:tcW w:w="907" w:type="dxa"/>
            <w:tcBorders>
              <w:top w:val="single" w:sz="4" w:space="0" w:color="A6A6A6"/>
              <w:bottom w:val="single" w:sz="4" w:space="0" w:color="A6A6A6"/>
            </w:tcBorders>
            <w:noWrap/>
            <w:hideMark/>
          </w:tcPr>
          <w:p w14:paraId="5EA8B437" w14:textId="77777777" w:rsidR="00087B91" w:rsidRPr="002029AF" w:rsidRDefault="00087B91" w:rsidP="00860E95">
            <w:pPr>
              <w:pStyle w:val="ARfintablebodyright"/>
            </w:pPr>
            <w:r w:rsidRPr="002029AF">
              <w:t>1,593.3</w:t>
            </w:r>
          </w:p>
        </w:tc>
        <w:tc>
          <w:tcPr>
            <w:tcW w:w="907" w:type="dxa"/>
            <w:tcBorders>
              <w:top w:val="single" w:sz="4" w:space="0" w:color="A6A6A6"/>
              <w:bottom w:val="single" w:sz="4" w:space="0" w:color="A6A6A6"/>
            </w:tcBorders>
            <w:noWrap/>
            <w:hideMark/>
          </w:tcPr>
          <w:p w14:paraId="09168471" w14:textId="77777777" w:rsidR="00087B91" w:rsidRPr="002029AF" w:rsidRDefault="00087B91" w:rsidP="00860E95">
            <w:pPr>
              <w:pStyle w:val="ARfintablebodyright"/>
            </w:pPr>
            <w:r w:rsidRPr="002029AF">
              <w:t>0.6</w:t>
            </w:r>
          </w:p>
        </w:tc>
        <w:tc>
          <w:tcPr>
            <w:tcW w:w="907" w:type="dxa"/>
            <w:tcBorders>
              <w:top w:val="single" w:sz="4" w:space="0" w:color="A6A6A6"/>
              <w:bottom w:val="single" w:sz="4" w:space="0" w:color="A6A6A6"/>
            </w:tcBorders>
            <w:noWrap/>
            <w:hideMark/>
          </w:tcPr>
          <w:p w14:paraId="3FE38A17" w14:textId="77777777" w:rsidR="00087B91" w:rsidRPr="002029AF" w:rsidRDefault="00087B91" w:rsidP="00860E95">
            <w:pPr>
              <w:pStyle w:val="ARfintablebodyright"/>
            </w:pPr>
            <w:r w:rsidRPr="002029AF">
              <w:t>2.2</w:t>
            </w:r>
          </w:p>
        </w:tc>
      </w:tr>
      <w:tr w:rsidR="00087B91" w:rsidRPr="002029AF" w14:paraId="0B3FEB74" w14:textId="77777777" w:rsidTr="00860E95">
        <w:tc>
          <w:tcPr>
            <w:tcW w:w="3574" w:type="dxa"/>
            <w:tcBorders>
              <w:top w:val="single" w:sz="4" w:space="0" w:color="A6A6A6"/>
              <w:bottom w:val="single" w:sz="4" w:space="0" w:color="A6A6A6"/>
            </w:tcBorders>
            <w:noWrap/>
            <w:hideMark/>
          </w:tcPr>
          <w:p w14:paraId="75B7BE04" w14:textId="7925C419" w:rsidR="00087B91" w:rsidRPr="002029AF" w:rsidRDefault="00087B91" w:rsidP="00860E95">
            <w:pPr>
              <w:pStyle w:val="ARfintablebody"/>
            </w:pPr>
            <w:r w:rsidRPr="002029AF">
              <w:t>Hospitals</w:t>
            </w:r>
            <w:r w:rsidR="000A5329" w:rsidRPr="002029AF">
              <w:t xml:space="preserve"> </w:t>
            </w:r>
            <w:r w:rsidRPr="002029AF">
              <w:t>and</w:t>
            </w:r>
            <w:r w:rsidR="000A5329" w:rsidRPr="002029AF">
              <w:t xml:space="preserve"> </w:t>
            </w:r>
            <w:r w:rsidRPr="002029AF">
              <w:t>Charities</w:t>
            </w:r>
            <w:r w:rsidR="000A5329" w:rsidRPr="002029AF">
              <w:t xml:space="preserve"> </w:t>
            </w:r>
            <w:r w:rsidRPr="002029AF">
              <w:t>Fund</w:t>
            </w:r>
          </w:p>
        </w:tc>
        <w:tc>
          <w:tcPr>
            <w:tcW w:w="908" w:type="dxa"/>
            <w:tcBorders>
              <w:top w:val="single" w:sz="4" w:space="0" w:color="A6A6A6"/>
              <w:bottom w:val="single" w:sz="4" w:space="0" w:color="A6A6A6"/>
              <w:right w:val="nil"/>
            </w:tcBorders>
            <w:shd w:val="clear" w:color="auto" w:fill="E7E6E6"/>
            <w:noWrap/>
            <w:hideMark/>
          </w:tcPr>
          <w:p w14:paraId="2501A294" w14:textId="77777777" w:rsidR="00087B91" w:rsidRPr="002029AF" w:rsidRDefault="00087B91" w:rsidP="00860E95">
            <w:pPr>
              <w:pStyle w:val="ARfintablebodyright"/>
            </w:pPr>
            <w:r w:rsidRPr="002029AF">
              <w:t>155.9</w:t>
            </w:r>
          </w:p>
        </w:tc>
        <w:tc>
          <w:tcPr>
            <w:tcW w:w="907" w:type="dxa"/>
            <w:tcBorders>
              <w:top w:val="single" w:sz="4" w:space="0" w:color="A6A6A6"/>
              <w:left w:val="nil"/>
              <w:bottom w:val="single" w:sz="4" w:space="0" w:color="A6A6A6"/>
              <w:right w:val="nil"/>
            </w:tcBorders>
            <w:shd w:val="clear" w:color="auto" w:fill="E7E6E6"/>
            <w:noWrap/>
            <w:hideMark/>
          </w:tcPr>
          <w:p w14:paraId="4AC6DCCF" w14:textId="77777777" w:rsidR="00087B91" w:rsidRPr="002029AF" w:rsidRDefault="00087B91" w:rsidP="00860E95">
            <w:pPr>
              <w:pStyle w:val="ARfintablebodyright"/>
            </w:pPr>
            <w:r w:rsidRPr="002029AF">
              <w:t>–</w:t>
            </w:r>
          </w:p>
        </w:tc>
        <w:tc>
          <w:tcPr>
            <w:tcW w:w="907" w:type="dxa"/>
            <w:tcBorders>
              <w:top w:val="single" w:sz="4" w:space="0" w:color="A6A6A6"/>
              <w:left w:val="nil"/>
              <w:bottom w:val="single" w:sz="4" w:space="0" w:color="A6A6A6"/>
              <w:right w:val="nil"/>
            </w:tcBorders>
            <w:shd w:val="clear" w:color="auto" w:fill="E7E6E6"/>
            <w:noWrap/>
            <w:hideMark/>
          </w:tcPr>
          <w:p w14:paraId="4A11D142" w14:textId="77777777" w:rsidR="00087B91" w:rsidRPr="002029AF" w:rsidRDefault="00087B91" w:rsidP="00860E95">
            <w:pPr>
              <w:pStyle w:val="ARfintablebodyright"/>
            </w:pPr>
            <w:r w:rsidRPr="002029AF">
              <w:t>1,664.1</w:t>
            </w:r>
          </w:p>
        </w:tc>
        <w:tc>
          <w:tcPr>
            <w:tcW w:w="907" w:type="dxa"/>
            <w:tcBorders>
              <w:top w:val="single" w:sz="4" w:space="0" w:color="A6A6A6"/>
              <w:left w:val="nil"/>
              <w:bottom w:val="single" w:sz="4" w:space="0" w:color="A6A6A6"/>
              <w:right w:val="nil"/>
            </w:tcBorders>
            <w:shd w:val="clear" w:color="auto" w:fill="E7E6E6"/>
            <w:noWrap/>
            <w:hideMark/>
          </w:tcPr>
          <w:p w14:paraId="2895A593" w14:textId="77777777" w:rsidR="00087B91" w:rsidRPr="002029AF" w:rsidRDefault="00087B91" w:rsidP="00860E95">
            <w:pPr>
              <w:pStyle w:val="ARfintablebodyright"/>
            </w:pPr>
            <w:r w:rsidRPr="002029AF">
              <w:t>1,912.2</w:t>
            </w:r>
          </w:p>
        </w:tc>
        <w:tc>
          <w:tcPr>
            <w:tcW w:w="907" w:type="dxa"/>
            <w:tcBorders>
              <w:top w:val="single" w:sz="4" w:space="0" w:color="A6A6A6"/>
              <w:left w:val="nil"/>
              <w:bottom w:val="single" w:sz="4" w:space="0" w:color="A6A6A6"/>
              <w:right w:val="nil"/>
            </w:tcBorders>
            <w:shd w:val="clear" w:color="auto" w:fill="E7E6E6"/>
            <w:noWrap/>
            <w:hideMark/>
          </w:tcPr>
          <w:p w14:paraId="0FFDAEA7" w14:textId="77777777" w:rsidR="00087B91" w:rsidRPr="002029AF" w:rsidRDefault="00087B91" w:rsidP="00860E95">
            <w:pPr>
              <w:pStyle w:val="ARfintablebodyright"/>
            </w:pPr>
            <w:r w:rsidRPr="002029AF">
              <w:t>92.2</w:t>
            </w:r>
          </w:p>
        </w:tc>
        <w:tc>
          <w:tcPr>
            <w:tcW w:w="907" w:type="dxa"/>
            <w:tcBorders>
              <w:top w:val="single" w:sz="4" w:space="0" w:color="A6A6A6"/>
              <w:left w:val="nil"/>
              <w:bottom w:val="single" w:sz="4" w:space="0" w:color="A6A6A6"/>
            </w:tcBorders>
            <w:shd w:val="clear" w:color="auto" w:fill="E7E6E6"/>
            <w:noWrap/>
            <w:hideMark/>
          </w:tcPr>
          <w:p w14:paraId="122203A1" w14:textId="77777777" w:rsidR="00087B91" w:rsidRPr="002029AF" w:rsidRDefault="00087B91" w:rsidP="00860E95">
            <w:pPr>
              <w:pStyle w:val="ARfintablebodyright"/>
            </w:pPr>
            <w:r w:rsidRPr="002029AF">
              <w:t>–</w:t>
            </w:r>
          </w:p>
        </w:tc>
        <w:tc>
          <w:tcPr>
            <w:tcW w:w="907" w:type="dxa"/>
            <w:tcBorders>
              <w:top w:val="single" w:sz="4" w:space="0" w:color="A6A6A6"/>
              <w:bottom w:val="single" w:sz="4" w:space="0" w:color="A6A6A6"/>
            </w:tcBorders>
            <w:noWrap/>
            <w:hideMark/>
          </w:tcPr>
          <w:p w14:paraId="3DF1EB7D" w14:textId="77777777" w:rsidR="00087B91" w:rsidRPr="002029AF" w:rsidRDefault="00087B91" w:rsidP="00860E95">
            <w:pPr>
              <w:pStyle w:val="ARfintablebodyright"/>
            </w:pPr>
            <w:r w:rsidRPr="002029AF">
              <w:t>150.1</w:t>
            </w:r>
          </w:p>
        </w:tc>
        <w:tc>
          <w:tcPr>
            <w:tcW w:w="907" w:type="dxa"/>
            <w:tcBorders>
              <w:top w:val="single" w:sz="4" w:space="0" w:color="A6A6A6"/>
              <w:bottom w:val="single" w:sz="4" w:space="0" w:color="A6A6A6"/>
            </w:tcBorders>
            <w:noWrap/>
            <w:hideMark/>
          </w:tcPr>
          <w:p w14:paraId="04E3F680" w14:textId="77777777" w:rsidR="00087B91" w:rsidRPr="002029AF" w:rsidRDefault="00087B91" w:rsidP="00860E95">
            <w:pPr>
              <w:pStyle w:val="ARfintablebodyright"/>
            </w:pPr>
            <w:r w:rsidRPr="002029AF">
              <w:t>–</w:t>
            </w:r>
          </w:p>
        </w:tc>
        <w:tc>
          <w:tcPr>
            <w:tcW w:w="907" w:type="dxa"/>
            <w:tcBorders>
              <w:top w:val="single" w:sz="4" w:space="0" w:color="A6A6A6"/>
              <w:bottom w:val="single" w:sz="4" w:space="0" w:color="A6A6A6"/>
            </w:tcBorders>
            <w:noWrap/>
            <w:hideMark/>
          </w:tcPr>
          <w:p w14:paraId="3874490B" w14:textId="77777777" w:rsidR="00087B91" w:rsidRPr="002029AF" w:rsidRDefault="00087B91" w:rsidP="00860E95">
            <w:pPr>
              <w:pStyle w:val="ARfintablebodyright"/>
            </w:pPr>
            <w:r w:rsidRPr="002029AF">
              <w:t>1,554.1</w:t>
            </w:r>
          </w:p>
        </w:tc>
        <w:tc>
          <w:tcPr>
            <w:tcW w:w="907" w:type="dxa"/>
            <w:tcBorders>
              <w:top w:val="single" w:sz="4" w:space="0" w:color="A6A6A6"/>
              <w:bottom w:val="single" w:sz="4" w:space="0" w:color="A6A6A6"/>
            </w:tcBorders>
            <w:noWrap/>
            <w:hideMark/>
          </w:tcPr>
          <w:p w14:paraId="6022FBD8" w14:textId="77777777" w:rsidR="00087B91" w:rsidRPr="002029AF" w:rsidRDefault="00087B91" w:rsidP="00860E95">
            <w:pPr>
              <w:pStyle w:val="ARfintablebodyright"/>
            </w:pPr>
            <w:r w:rsidRPr="002029AF">
              <w:t>1,508.6</w:t>
            </w:r>
          </w:p>
        </w:tc>
        <w:tc>
          <w:tcPr>
            <w:tcW w:w="907" w:type="dxa"/>
            <w:tcBorders>
              <w:top w:val="single" w:sz="4" w:space="0" w:color="A6A6A6"/>
              <w:bottom w:val="single" w:sz="4" w:space="0" w:color="A6A6A6"/>
            </w:tcBorders>
            <w:noWrap/>
            <w:hideMark/>
          </w:tcPr>
          <w:p w14:paraId="392466EF" w14:textId="77777777" w:rsidR="00087B91" w:rsidRPr="002029AF" w:rsidRDefault="00087B91" w:rsidP="00860E95">
            <w:pPr>
              <w:pStyle w:val="ARfintablebodyright"/>
            </w:pPr>
            <w:r w:rsidRPr="002029AF">
              <w:t>(39.6)</w:t>
            </w:r>
          </w:p>
        </w:tc>
        <w:tc>
          <w:tcPr>
            <w:tcW w:w="907" w:type="dxa"/>
            <w:tcBorders>
              <w:top w:val="single" w:sz="4" w:space="0" w:color="A6A6A6"/>
              <w:bottom w:val="single" w:sz="4" w:space="0" w:color="A6A6A6"/>
            </w:tcBorders>
            <w:noWrap/>
            <w:hideMark/>
          </w:tcPr>
          <w:p w14:paraId="448DB405" w14:textId="77777777" w:rsidR="00087B91" w:rsidRPr="002029AF" w:rsidRDefault="00087B91" w:rsidP="00860E95">
            <w:pPr>
              <w:pStyle w:val="ARfintablebodyright"/>
            </w:pPr>
            <w:r w:rsidRPr="002029AF">
              <w:t>155.9</w:t>
            </w:r>
          </w:p>
        </w:tc>
      </w:tr>
      <w:tr w:rsidR="00087B91" w:rsidRPr="002029AF" w14:paraId="7BCFD9D4" w14:textId="77777777" w:rsidTr="00860E95">
        <w:tc>
          <w:tcPr>
            <w:tcW w:w="3574" w:type="dxa"/>
            <w:tcBorders>
              <w:top w:val="single" w:sz="4" w:space="0" w:color="A6A6A6"/>
              <w:bottom w:val="single" w:sz="4" w:space="0" w:color="A6A6A6"/>
            </w:tcBorders>
            <w:hideMark/>
          </w:tcPr>
          <w:p w14:paraId="2E386721" w14:textId="12408852" w:rsidR="00087B91" w:rsidRPr="002029AF" w:rsidRDefault="00087B91" w:rsidP="00860E95">
            <w:pPr>
              <w:pStyle w:val="ARfintablebody"/>
            </w:pPr>
            <w:r w:rsidRPr="002029AF">
              <w:t>Intellectually</w:t>
            </w:r>
            <w:r w:rsidR="000A5329" w:rsidRPr="002029AF">
              <w:t xml:space="preserve"> </w:t>
            </w:r>
            <w:r w:rsidRPr="002029AF">
              <w:t>Handicapped</w:t>
            </w:r>
            <w:r w:rsidR="000A5329" w:rsidRPr="002029AF">
              <w:t xml:space="preserve"> </w:t>
            </w:r>
            <w:r w:rsidRPr="002029AF">
              <w:t>Children’s</w:t>
            </w:r>
            <w:r w:rsidR="000A5329" w:rsidRPr="002029AF">
              <w:t xml:space="preserve"> </w:t>
            </w:r>
            <w:r w:rsidRPr="002029AF">
              <w:t>Amenities</w:t>
            </w:r>
            <w:r w:rsidR="000A5329" w:rsidRPr="002029AF">
              <w:t xml:space="preserve"> </w:t>
            </w:r>
            <w:r w:rsidRPr="002029AF">
              <w:t>Fund</w:t>
            </w:r>
          </w:p>
        </w:tc>
        <w:tc>
          <w:tcPr>
            <w:tcW w:w="908" w:type="dxa"/>
            <w:tcBorders>
              <w:top w:val="single" w:sz="4" w:space="0" w:color="A6A6A6"/>
              <w:bottom w:val="single" w:sz="4" w:space="0" w:color="A6A6A6"/>
              <w:right w:val="nil"/>
            </w:tcBorders>
            <w:shd w:val="clear" w:color="auto" w:fill="E7E6E6"/>
            <w:noWrap/>
            <w:hideMark/>
          </w:tcPr>
          <w:p w14:paraId="44D93A59" w14:textId="77777777" w:rsidR="00087B91" w:rsidRPr="002029AF" w:rsidRDefault="00087B91" w:rsidP="00860E95">
            <w:pPr>
              <w:pStyle w:val="ARfintablebodyright"/>
            </w:pPr>
            <w:r w:rsidRPr="002029AF">
              <w:t>0.1</w:t>
            </w:r>
          </w:p>
        </w:tc>
        <w:tc>
          <w:tcPr>
            <w:tcW w:w="907" w:type="dxa"/>
            <w:tcBorders>
              <w:top w:val="single" w:sz="4" w:space="0" w:color="A6A6A6"/>
              <w:left w:val="nil"/>
              <w:bottom w:val="single" w:sz="4" w:space="0" w:color="A6A6A6"/>
              <w:right w:val="nil"/>
            </w:tcBorders>
            <w:shd w:val="clear" w:color="auto" w:fill="E7E6E6"/>
            <w:noWrap/>
            <w:hideMark/>
          </w:tcPr>
          <w:p w14:paraId="5CA04E9C" w14:textId="77777777" w:rsidR="00087B91" w:rsidRPr="002029AF" w:rsidRDefault="00087B91" w:rsidP="00860E95">
            <w:pPr>
              <w:pStyle w:val="ARfintablebodyright"/>
            </w:pPr>
            <w:r w:rsidRPr="002029AF">
              <w:t>–</w:t>
            </w:r>
          </w:p>
        </w:tc>
        <w:tc>
          <w:tcPr>
            <w:tcW w:w="907" w:type="dxa"/>
            <w:tcBorders>
              <w:top w:val="single" w:sz="4" w:space="0" w:color="A6A6A6"/>
              <w:left w:val="nil"/>
              <w:bottom w:val="single" w:sz="4" w:space="0" w:color="A6A6A6"/>
              <w:right w:val="nil"/>
            </w:tcBorders>
            <w:shd w:val="clear" w:color="auto" w:fill="E7E6E6"/>
            <w:noWrap/>
            <w:hideMark/>
          </w:tcPr>
          <w:p w14:paraId="0CF48E31" w14:textId="77777777" w:rsidR="00087B91" w:rsidRPr="002029AF" w:rsidRDefault="00087B91" w:rsidP="00860E95">
            <w:pPr>
              <w:pStyle w:val="ARfintablebodyright"/>
            </w:pPr>
            <w:r w:rsidRPr="002029AF">
              <w:t>–</w:t>
            </w:r>
          </w:p>
        </w:tc>
        <w:tc>
          <w:tcPr>
            <w:tcW w:w="907" w:type="dxa"/>
            <w:tcBorders>
              <w:top w:val="single" w:sz="4" w:space="0" w:color="A6A6A6"/>
              <w:left w:val="nil"/>
              <w:bottom w:val="single" w:sz="4" w:space="0" w:color="A6A6A6"/>
              <w:right w:val="nil"/>
            </w:tcBorders>
            <w:shd w:val="clear" w:color="auto" w:fill="E7E6E6"/>
            <w:noWrap/>
            <w:hideMark/>
          </w:tcPr>
          <w:p w14:paraId="1CFFA746" w14:textId="77777777" w:rsidR="00087B91" w:rsidRPr="002029AF" w:rsidRDefault="00087B91" w:rsidP="00860E95">
            <w:pPr>
              <w:pStyle w:val="ARfintablebodyright"/>
            </w:pPr>
            <w:r w:rsidRPr="002029AF">
              <w:t>–</w:t>
            </w:r>
          </w:p>
        </w:tc>
        <w:tc>
          <w:tcPr>
            <w:tcW w:w="907" w:type="dxa"/>
            <w:tcBorders>
              <w:top w:val="single" w:sz="4" w:space="0" w:color="A6A6A6"/>
              <w:left w:val="nil"/>
              <w:bottom w:val="single" w:sz="4" w:space="0" w:color="A6A6A6"/>
              <w:right w:val="nil"/>
            </w:tcBorders>
            <w:shd w:val="clear" w:color="auto" w:fill="E7E6E6"/>
            <w:noWrap/>
            <w:hideMark/>
          </w:tcPr>
          <w:p w14:paraId="16C0E81F" w14:textId="77777777" w:rsidR="00087B91" w:rsidRPr="002029AF" w:rsidRDefault="00087B91" w:rsidP="00860E95">
            <w:pPr>
              <w:pStyle w:val="ARfintablebodyright"/>
            </w:pPr>
            <w:r w:rsidRPr="002029AF">
              <w:t>–</w:t>
            </w:r>
          </w:p>
        </w:tc>
        <w:tc>
          <w:tcPr>
            <w:tcW w:w="907" w:type="dxa"/>
            <w:tcBorders>
              <w:top w:val="single" w:sz="4" w:space="0" w:color="A6A6A6"/>
              <w:left w:val="nil"/>
              <w:bottom w:val="single" w:sz="4" w:space="0" w:color="A6A6A6"/>
            </w:tcBorders>
            <w:shd w:val="clear" w:color="auto" w:fill="E7E6E6"/>
            <w:noWrap/>
            <w:hideMark/>
          </w:tcPr>
          <w:p w14:paraId="0195AFE1" w14:textId="77777777" w:rsidR="00087B91" w:rsidRPr="002029AF" w:rsidRDefault="00087B91" w:rsidP="00860E95">
            <w:pPr>
              <w:pStyle w:val="ARfintablebodyright"/>
            </w:pPr>
            <w:r w:rsidRPr="002029AF">
              <w:t>0.1</w:t>
            </w:r>
          </w:p>
        </w:tc>
        <w:tc>
          <w:tcPr>
            <w:tcW w:w="907" w:type="dxa"/>
            <w:tcBorders>
              <w:top w:val="single" w:sz="4" w:space="0" w:color="A6A6A6"/>
              <w:bottom w:val="single" w:sz="4" w:space="0" w:color="A6A6A6"/>
            </w:tcBorders>
            <w:noWrap/>
            <w:hideMark/>
          </w:tcPr>
          <w:p w14:paraId="6688EA35" w14:textId="77777777" w:rsidR="00087B91" w:rsidRPr="002029AF" w:rsidRDefault="00087B91" w:rsidP="00860E95">
            <w:pPr>
              <w:pStyle w:val="ARfintablebodyright"/>
            </w:pPr>
            <w:r w:rsidRPr="002029AF">
              <w:t>0.1</w:t>
            </w:r>
          </w:p>
        </w:tc>
        <w:tc>
          <w:tcPr>
            <w:tcW w:w="907" w:type="dxa"/>
            <w:tcBorders>
              <w:top w:val="single" w:sz="4" w:space="0" w:color="A6A6A6"/>
              <w:bottom w:val="single" w:sz="4" w:space="0" w:color="A6A6A6"/>
            </w:tcBorders>
            <w:noWrap/>
            <w:hideMark/>
          </w:tcPr>
          <w:p w14:paraId="2D8DD82F" w14:textId="77777777" w:rsidR="00087B91" w:rsidRPr="002029AF" w:rsidRDefault="00087B91" w:rsidP="00860E95">
            <w:pPr>
              <w:pStyle w:val="ARfintablebodyright"/>
            </w:pPr>
            <w:r w:rsidRPr="002029AF">
              <w:t>–</w:t>
            </w:r>
          </w:p>
        </w:tc>
        <w:tc>
          <w:tcPr>
            <w:tcW w:w="907" w:type="dxa"/>
            <w:tcBorders>
              <w:top w:val="single" w:sz="4" w:space="0" w:color="A6A6A6"/>
              <w:bottom w:val="single" w:sz="4" w:space="0" w:color="A6A6A6"/>
            </w:tcBorders>
            <w:noWrap/>
            <w:hideMark/>
          </w:tcPr>
          <w:p w14:paraId="35AB5BB7" w14:textId="77777777" w:rsidR="00087B91" w:rsidRPr="002029AF" w:rsidRDefault="00087B91" w:rsidP="00860E95">
            <w:pPr>
              <w:pStyle w:val="ARfintablebodyright"/>
            </w:pPr>
            <w:r w:rsidRPr="002029AF">
              <w:t>–</w:t>
            </w:r>
          </w:p>
        </w:tc>
        <w:tc>
          <w:tcPr>
            <w:tcW w:w="907" w:type="dxa"/>
            <w:tcBorders>
              <w:top w:val="single" w:sz="4" w:space="0" w:color="A6A6A6"/>
              <w:bottom w:val="single" w:sz="4" w:space="0" w:color="A6A6A6"/>
            </w:tcBorders>
            <w:noWrap/>
            <w:hideMark/>
          </w:tcPr>
          <w:p w14:paraId="09EA50C1" w14:textId="77777777" w:rsidR="00087B91" w:rsidRPr="002029AF" w:rsidRDefault="00087B91" w:rsidP="00860E95">
            <w:pPr>
              <w:pStyle w:val="ARfintablebodyright"/>
            </w:pPr>
            <w:r w:rsidRPr="002029AF">
              <w:t>–</w:t>
            </w:r>
          </w:p>
        </w:tc>
        <w:tc>
          <w:tcPr>
            <w:tcW w:w="907" w:type="dxa"/>
            <w:tcBorders>
              <w:top w:val="single" w:sz="4" w:space="0" w:color="A6A6A6"/>
              <w:bottom w:val="single" w:sz="4" w:space="0" w:color="A6A6A6"/>
            </w:tcBorders>
            <w:noWrap/>
            <w:hideMark/>
          </w:tcPr>
          <w:p w14:paraId="7D28A459" w14:textId="77777777" w:rsidR="00087B91" w:rsidRPr="002029AF" w:rsidRDefault="00087B91" w:rsidP="00860E95">
            <w:pPr>
              <w:pStyle w:val="ARfintablebodyright"/>
            </w:pPr>
            <w:r w:rsidRPr="002029AF">
              <w:t>–</w:t>
            </w:r>
          </w:p>
        </w:tc>
        <w:tc>
          <w:tcPr>
            <w:tcW w:w="907" w:type="dxa"/>
            <w:tcBorders>
              <w:top w:val="single" w:sz="4" w:space="0" w:color="A6A6A6"/>
              <w:bottom w:val="single" w:sz="4" w:space="0" w:color="A6A6A6"/>
            </w:tcBorders>
            <w:noWrap/>
            <w:hideMark/>
          </w:tcPr>
          <w:p w14:paraId="1B35D8EE" w14:textId="77777777" w:rsidR="00087B91" w:rsidRPr="002029AF" w:rsidRDefault="00087B91" w:rsidP="00860E95">
            <w:pPr>
              <w:pStyle w:val="ARfintablebodyright"/>
            </w:pPr>
            <w:r w:rsidRPr="002029AF">
              <w:t>0.1</w:t>
            </w:r>
          </w:p>
        </w:tc>
      </w:tr>
      <w:tr w:rsidR="00087B91" w:rsidRPr="002029AF" w14:paraId="275A3A3B" w14:textId="77777777" w:rsidTr="00860E95">
        <w:tc>
          <w:tcPr>
            <w:tcW w:w="3574" w:type="dxa"/>
            <w:tcBorders>
              <w:top w:val="single" w:sz="4" w:space="0" w:color="A6A6A6"/>
              <w:bottom w:val="single" w:sz="4" w:space="0" w:color="A6A6A6"/>
            </w:tcBorders>
            <w:noWrap/>
            <w:hideMark/>
          </w:tcPr>
          <w:p w14:paraId="6FE4A322" w14:textId="4323FF3D" w:rsidR="00087B91" w:rsidRPr="002029AF" w:rsidRDefault="00087B91" w:rsidP="00860E95">
            <w:pPr>
              <w:pStyle w:val="ARfintablebody"/>
            </w:pPr>
            <w:r w:rsidRPr="002029AF">
              <w:t>Mental</w:t>
            </w:r>
            <w:r w:rsidR="000A5329" w:rsidRPr="002029AF">
              <w:t xml:space="preserve"> </w:t>
            </w:r>
            <w:r w:rsidRPr="002029AF">
              <w:t>Health</w:t>
            </w:r>
            <w:r w:rsidR="000A5329" w:rsidRPr="002029AF">
              <w:t xml:space="preserve"> </w:t>
            </w:r>
            <w:r w:rsidRPr="002029AF">
              <w:t>Fund</w:t>
            </w:r>
          </w:p>
        </w:tc>
        <w:tc>
          <w:tcPr>
            <w:tcW w:w="908" w:type="dxa"/>
            <w:tcBorders>
              <w:top w:val="single" w:sz="4" w:space="0" w:color="A6A6A6"/>
              <w:bottom w:val="single" w:sz="4" w:space="0" w:color="A6A6A6"/>
              <w:right w:val="nil"/>
            </w:tcBorders>
            <w:shd w:val="clear" w:color="auto" w:fill="E7E6E6"/>
            <w:noWrap/>
            <w:hideMark/>
          </w:tcPr>
          <w:p w14:paraId="315338C7" w14:textId="77777777" w:rsidR="00087B91" w:rsidRPr="002029AF" w:rsidRDefault="00087B91" w:rsidP="00860E95">
            <w:pPr>
              <w:pStyle w:val="ARfintablebodyright"/>
            </w:pPr>
            <w:r w:rsidRPr="002029AF">
              <w:t>2.1</w:t>
            </w:r>
          </w:p>
        </w:tc>
        <w:tc>
          <w:tcPr>
            <w:tcW w:w="907" w:type="dxa"/>
            <w:tcBorders>
              <w:top w:val="single" w:sz="4" w:space="0" w:color="A6A6A6"/>
              <w:left w:val="nil"/>
              <w:bottom w:val="single" w:sz="4" w:space="0" w:color="A6A6A6"/>
              <w:right w:val="nil"/>
            </w:tcBorders>
            <w:shd w:val="clear" w:color="auto" w:fill="E7E6E6"/>
            <w:noWrap/>
            <w:hideMark/>
          </w:tcPr>
          <w:p w14:paraId="60B5F3A5" w14:textId="77777777" w:rsidR="00087B91" w:rsidRPr="002029AF" w:rsidRDefault="00087B91" w:rsidP="00860E95">
            <w:pPr>
              <w:pStyle w:val="ARfintablebodyright"/>
            </w:pPr>
            <w:r w:rsidRPr="002029AF">
              <w:t>–</w:t>
            </w:r>
          </w:p>
        </w:tc>
        <w:tc>
          <w:tcPr>
            <w:tcW w:w="907" w:type="dxa"/>
            <w:tcBorders>
              <w:top w:val="single" w:sz="4" w:space="0" w:color="A6A6A6"/>
              <w:left w:val="nil"/>
              <w:bottom w:val="single" w:sz="4" w:space="0" w:color="A6A6A6"/>
              <w:right w:val="nil"/>
            </w:tcBorders>
            <w:shd w:val="clear" w:color="auto" w:fill="E7E6E6"/>
            <w:noWrap/>
            <w:hideMark/>
          </w:tcPr>
          <w:p w14:paraId="3F50FA7A" w14:textId="77777777" w:rsidR="00087B91" w:rsidRPr="002029AF" w:rsidRDefault="00087B91" w:rsidP="00860E95">
            <w:pPr>
              <w:pStyle w:val="ARfintablebodyright"/>
            </w:pPr>
            <w:r w:rsidRPr="002029AF">
              <w:t>63.9</w:t>
            </w:r>
          </w:p>
        </w:tc>
        <w:tc>
          <w:tcPr>
            <w:tcW w:w="907" w:type="dxa"/>
            <w:tcBorders>
              <w:top w:val="single" w:sz="4" w:space="0" w:color="A6A6A6"/>
              <w:left w:val="nil"/>
              <w:bottom w:val="single" w:sz="4" w:space="0" w:color="A6A6A6"/>
              <w:right w:val="nil"/>
            </w:tcBorders>
            <w:shd w:val="clear" w:color="auto" w:fill="E7E6E6"/>
            <w:noWrap/>
            <w:hideMark/>
          </w:tcPr>
          <w:p w14:paraId="20A5E5A0" w14:textId="77777777" w:rsidR="00087B91" w:rsidRPr="002029AF" w:rsidRDefault="00087B91" w:rsidP="00860E95">
            <w:pPr>
              <w:pStyle w:val="ARfintablebodyright"/>
            </w:pPr>
            <w:r w:rsidRPr="002029AF">
              <w:t>63.9</w:t>
            </w:r>
          </w:p>
        </w:tc>
        <w:tc>
          <w:tcPr>
            <w:tcW w:w="907" w:type="dxa"/>
            <w:tcBorders>
              <w:top w:val="single" w:sz="4" w:space="0" w:color="A6A6A6"/>
              <w:left w:val="nil"/>
              <w:bottom w:val="single" w:sz="4" w:space="0" w:color="A6A6A6"/>
              <w:right w:val="nil"/>
            </w:tcBorders>
            <w:shd w:val="clear" w:color="auto" w:fill="E7E6E6"/>
            <w:noWrap/>
            <w:hideMark/>
          </w:tcPr>
          <w:p w14:paraId="1766F3A9" w14:textId="77777777" w:rsidR="00087B91" w:rsidRPr="002029AF" w:rsidRDefault="00087B91" w:rsidP="00860E95">
            <w:pPr>
              <w:pStyle w:val="ARfintablebodyright"/>
            </w:pPr>
            <w:r w:rsidRPr="002029AF">
              <w:t>–</w:t>
            </w:r>
          </w:p>
        </w:tc>
        <w:tc>
          <w:tcPr>
            <w:tcW w:w="907" w:type="dxa"/>
            <w:tcBorders>
              <w:top w:val="single" w:sz="4" w:space="0" w:color="A6A6A6"/>
              <w:left w:val="nil"/>
              <w:bottom w:val="single" w:sz="4" w:space="0" w:color="A6A6A6"/>
            </w:tcBorders>
            <w:shd w:val="clear" w:color="auto" w:fill="E7E6E6"/>
            <w:noWrap/>
            <w:hideMark/>
          </w:tcPr>
          <w:p w14:paraId="639E4746" w14:textId="77777777" w:rsidR="00087B91" w:rsidRPr="002029AF" w:rsidRDefault="00087B91" w:rsidP="00860E95">
            <w:pPr>
              <w:pStyle w:val="ARfintablebodyright"/>
            </w:pPr>
            <w:r w:rsidRPr="002029AF">
              <w:t>2.1</w:t>
            </w:r>
          </w:p>
        </w:tc>
        <w:tc>
          <w:tcPr>
            <w:tcW w:w="907" w:type="dxa"/>
            <w:tcBorders>
              <w:top w:val="single" w:sz="4" w:space="0" w:color="A6A6A6"/>
              <w:bottom w:val="single" w:sz="4" w:space="0" w:color="A6A6A6"/>
            </w:tcBorders>
            <w:noWrap/>
            <w:hideMark/>
          </w:tcPr>
          <w:p w14:paraId="4A214110" w14:textId="77777777" w:rsidR="00087B91" w:rsidRPr="002029AF" w:rsidRDefault="00087B91" w:rsidP="00860E95">
            <w:pPr>
              <w:pStyle w:val="ARfintablebodyright"/>
            </w:pPr>
            <w:r w:rsidRPr="002029AF">
              <w:t>2.1</w:t>
            </w:r>
          </w:p>
        </w:tc>
        <w:tc>
          <w:tcPr>
            <w:tcW w:w="907" w:type="dxa"/>
            <w:tcBorders>
              <w:top w:val="single" w:sz="4" w:space="0" w:color="A6A6A6"/>
              <w:bottom w:val="single" w:sz="4" w:space="0" w:color="A6A6A6"/>
            </w:tcBorders>
            <w:noWrap/>
            <w:hideMark/>
          </w:tcPr>
          <w:p w14:paraId="78C9ED95" w14:textId="77777777" w:rsidR="00087B91" w:rsidRPr="002029AF" w:rsidRDefault="00087B91" w:rsidP="00860E95">
            <w:pPr>
              <w:pStyle w:val="ARfintablebodyright"/>
            </w:pPr>
            <w:r w:rsidRPr="002029AF">
              <w:t>–</w:t>
            </w:r>
          </w:p>
        </w:tc>
        <w:tc>
          <w:tcPr>
            <w:tcW w:w="907" w:type="dxa"/>
            <w:tcBorders>
              <w:top w:val="single" w:sz="4" w:space="0" w:color="A6A6A6"/>
              <w:bottom w:val="single" w:sz="4" w:space="0" w:color="A6A6A6"/>
            </w:tcBorders>
            <w:noWrap/>
            <w:hideMark/>
          </w:tcPr>
          <w:p w14:paraId="75AC671C" w14:textId="77777777" w:rsidR="00087B91" w:rsidRPr="002029AF" w:rsidRDefault="00087B91" w:rsidP="00860E95">
            <w:pPr>
              <w:pStyle w:val="ARfintablebodyright"/>
            </w:pPr>
            <w:r w:rsidRPr="002029AF">
              <w:t>63.9</w:t>
            </w:r>
          </w:p>
        </w:tc>
        <w:tc>
          <w:tcPr>
            <w:tcW w:w="907" w:type="dxa"/>
            <w:tcBorders>
              <w:top w:val="single" w:sz="4" w:space="0" w:color="A6A6A6"/>
              <w:bottom w:val="single" w:sz="4" w:space="0" w:color="A6A6A6"/>
            </w:tcBorders>
            <w:noWrap/>
            <w:hideMark/>
          </w:tcPr>
          <w:p w14:paraId="71FC9248" w14:textId="77777777" w:rsidR="00087B91" w:rsidRPr="002029AF" w:rsidRDefault="00087B91" w:rsidP="00860E95">
            <w:pPr>
              <w:pStyle w:val="ARfintablebodyright"/>
            </w:pPr>
            <w:r w:rsidRPr="002029AF">
              <w:t>63.9</w:t>
            </w:r>
          </w:p>
        </w:tc>
        <w:tc>
          <w:tcPr>
            <w:tcW w:w="907" w:type="dxa"/>
            <w:tcBorders>
              <w:top w:val="single" w:sz="4" w:space="0" w:color="A6A6A6"/>
              <w:bottom w:val="single" w:sz="4" w:space="0" w:color="A6A6A6"/>
            </w:tcBorders>
            <w:noWrap/>
            <w:hideMark/>
          </w:tcPr>
          <w:p w14:paraId="0184D0C4" w14:textId="77777777" w:rsidR="00087B91" w:rsidRPr="002029AF" w:rsidRDefault="00087B91" w:rsidP="00860E95">
            <w:pPr>
              <w:pStyle w:val="ARfintablebodyright"/>
            </w:pPr>
            <w:r w:rsidRPr="002029AF">
              <w:t>–</w:t>
            </w:r>
          </w:p>
        </w:tc>
        <w:tc>
          <w:tcPr>
            <w:tcW w:w="907" w:type="dxa"/>
            <w:tcBorders>
              <w:top w:val="single" w:sz="4" w:space="0" w:color="A6A6A6"/>
              <w:bottom w:val="single" w:sz="4" w:space="0" w:color="A6A6A6"/>
            </w:tcBorders>
            <w:noWrap/>
            <w:hideMark/>
          </w:tcPr>
          <w:p w14:paraId="5F49A560" w14:textId="77777777" w:rsidR="00087B91" w:rsidRPr="002029AF" w:rsidRDefault="00087B91" w:rsidP="00860E95">
            <w:pPr>
              <w:pStyle w:val="ARfintablebodyright"/>
            </w:pPr>
            <w:r w:rsidRPr="002029AF">
              <w:t>2.1</w:t>
            </w:r>
          </w:p>
        </w:tc>
      </w:tr>
      <w:tr w:rsidR="00087B91" w:rsidRPr="002029AF" w14:paraId="3F7D47AC" w14:textId="77777777" w:rsidTr="00860E95">
        <w:tc>
          <w:tcPr>
            <w:tcW w:w="3574" w:type="dxa"/>
            <w:tcBorders>
              <w:top w:val="single" w:sz="4" w:space="0" w:color="A6A6A6"/>
              <w:bottom w:val="single" w:sz="4" w:space="0" w:color="A6A6A6"/>
            </w:tcBorders>
            <w:noWrap/>
            <w:hideMark/>
          </w:tcPr>
          <w:p w14:paraId="4B78AD05" w14:textId="5AC17DB9" w:rsidR="00087B91" w:rsidRPr="002029AF" w:rsidRDefault="00087B91" w:rsidP="00860E95">
            <w:pPr>
              <w:pStyle w:val="ARfintablebody"/>
            </w:pPr>
            <w:r w:rsidRPr="002029AF">
              <w:t>Public</w:t>
            </w:r>
            <w:r w:rsidR="000A5329" w:rsidRPr="002029AF">
              <w:t xml:space="preserve"> </w:t>
            </w:r>
            <w:r w:rsidRPr="002029AF">
              <w:t>Health</w:t>
            </w:r>
            <w:r w:rsidR="000A5329" w:rsidRPr="002029AF">
              <w:t xml:space="preserve"> </w:t>
            </w:r>
            <w:r w:rsidRPr="002029AF">
              <w:t>Fund</w:t>
            </w:r>
          </w:p>
        </w:tc>
        <w:tc>
          <w:tcPr>
            <w:tcW w:w="908" w:type="dxa"/>
            <w:tcBorders>
              <w:top w:val="single" w:sz="4" w:space="0" w:color="A6A6A6"/>
              <w:bottom w:val="single" w:sz="4" w:space="0" w:color="A6A6A6"/>
              <w:right w:val="nil"/>
            </w:tcBorders>
            <w:shd w:val="clear" w:color="auto" w:fill="E7E6E6"/>
            <w:noWrap/>
            <w:hideMark/>
          </w:tcPr>
          <w:p w14:paraId="6F926C82" w14:textId="77777777" w:rsidR="00087B91" w:rsidRPr="002029AF" w:rsidRDefault="00087B91" w:rsidP="00860E95">
            <w:pPr>
              <w:pStyle w:val="ARfintablebodyright"/>
            </w:pPr>
            <w:r w:rsidRPr="002029AF">
              <w:t>0.2</w:t>
            </w:r>
          </w:p>
        </w:tc>
        <w:tc>
          <w:tcPr>
            <w:tcW w:w="907" w:type="dxa"/>
            <w:tcBorders>
              <w:top w:val="single" w:sz="4" w:space="0" w:color="A6A6A6"/>
              <w:left w:val="nil"/>
              <w:bottom w:val="single" w:sz="4" w:space="0" w:color="A6A6A6"/>
              <w:right w:val="nil"/>
            </w:tcBorders>
            <w:shd w:val="clear" w:color="auto" w:fill="E7E6E6"/>
            <w:noWrap/>
            <w:hideMark/>
          </w:tcPr>
          <w:p w14:paraId="5F59B34E" w14:textId="77777777" w:rsidR="00087B91" w:rsidRPr="002029AF" w:rsidRDefault="00087B91" w:rsidP="00860E95">
            <w:pPr>
              <w:pStyle w:val="ARfintablebodyright"/>
            </w:pPr>
            <w:r w:rsidRPr="002029AF">
              <w:t>–</w:t>
            </w:r>
          </w:p>
        </w:tc>
        <w:tc>
          <w:tcPr>
            <w:tcW w:w="907" w:type="dxa"/>
            <w:tcBorders>
              <w:top w:val="single" w:sz="4" w:space="0" w:color="A6A6A6"/>
              <w:left w:val="nil"/>
              <w:bottom w:val="single" w:sz="4" w:space="0" w:color="A6A6A6"/>
              <w:right w:val="nil"/>
            </w:tcBorders>
            <w:shd w:val="clear" w:color="auto" w:fill="E7E6E6"/>
            <w:noWrap/>
            <w:hideMark/>
          </w:tcPr>
          <w:p w14:paraId="0F40AFC0" w14:textId="77777777" w:rsidR="00087B91" w:rsidRPr="002029AF" w:rsidRDefault="00087B91" w:rsidP="00860E95">
            <w:pPr>
              <w:pStyle w:val="ARfintablebodyright"/>
            </w:pPr>
            <w:r w:rsidRPr="002029AF">
              <w:t>1,493.0</w:t>
            </w:r>
          </w:p>
        </w:tc>
        <w:tc>
          <w:tcPr>
            <w:tcW w:w="907" w:type="dxa"/>
            <w:tcBorders>
              <w:top w:val="single" w:sz="4" w:space="0" w:color="A6A6A6"/>
              <w:left w:val="nil"/>
              <w:bottom w:val="single" w:sz="4" w:space="0" w:color="A6A6A6"/>
              <w:right w:val="nil"/>
            </w:tcBorders>
            <w:shd w:val="clear" w:color="auto" w:fill="E7E6E6"/>
            <w:noWrap/>
            <w:hideMark/>
          </w:tcPr>
          <w:p w14:paraId="3FA30841" w14:textId="77777777" w:rsidR="00087B91" w:rsidRPr="002029AF" w:rsidRDefault="00087B91" w:rsidP="00860E95">
            <w:pPr>
              <w:pStyle w:val="ARfintablebodyright"/>
            </w:pPr>
            <w:r w:rsidRPr="002029AF">
              <w:t>1,023.6</w:t>
            </w:r>
          </w:p>
        </w:tc>
        <w:tc>
          <w:tcPr>
            <w:tcW w:w="907" w:type="dxa"/>
            <w:tcBorders>
              <w:top w:val="single" w:sz="4" w:space="0" w:color="A6A6A6"/>
              <w:left w:val="nil"/>
              <w:bottom w:val="single" w:sz="4" w:space="0" w:color="A6A6A6"/>
              <w:right w:val="nil"/>
            </w:tcBorders>
            <w:shd w:val="clear" w:color="auto" w:fill="E7E6E6"/>
            <w:noWrap/>
            <w:hideMark/>
          </w:tcPr>
          <w:p w14:paraId="6C808598" w14:textId="77777777" w:rsidR="00087B91" w:rsidRPr="002029AF" w:rsidRDefault="00087B91" w:rsidP="00860E95">
            <w:pPr>
              <w:pStyle w:val="ARfintablebodyright"/>
            </w:pPr>
            <w:r w:rsidRPr="002029AF">
              <w:t>(469.3)</w:t>
            </w:r>
          </w:p>
        </w:tc>
        <w:tc>
          <w:tcPr>
            <w:tcW w:w="907" w:type="dxa"/>
            <w:tcBorders>
              <w:top w:val="single" w:sz="4" w:space="0" w:color="A6A6A6"/>
              <w:left w:val="nil"/>
              <w:bottom w:val="single" w:sz="4" w:space="0" w:color="A6A6A6"/>
            </w:tcBorders>
            <w:shd w:val="clear" w:color="auto" w:fill="E7E6E6"/>
            <w:noWrap/>
            <w:hideMark/>
          </w:tcPr>
          <w:p w14:paraId="19920C36" w14:textId="77777777" w:rsidR="00087B91" w:rsidRPr="002029AF" w:rsidRDefault="00087B91" w:rsidP="00860E95">
            <w:pPr>
              <w:pStyle w:val="ARfintablebodyright"/>
            </w:pPr>
            <w:r w:rsidRPr="002029AF">
              <w:t>0.2</w:t>
            </w:r>
          </w:p>
        </w:tc>
        <w:tc>
          <w:tcPr>
            <w:tcW w:w="907" w:type="dxa"/>
            <w:tcBorders>
              <w:top w:val="single" w:sz="4" w:space="0" w:color="A6A6A6"/>
              <w:bottom w:val="single" w:sz="4" w:space="0" w:color="A6A6A6"/>
            </w:tcBorders>
            <w:noWrap/>
            <w:hideMark/>
          </w:tcPr>
          <w:p w14:paraId="12EB2DFD" w14:textId="77777777" w:rsidR="00087B91" w:rsidRPr="002029AF" w:rsidRDefault="00087B91" w:rsidP="00860E95">
            <w:pPr>
              <w:pStyle w:val="ARfintablebodyright"/>
            </w:pPr>
            <w:r w:rsidRPr="002029AF">
              <w:t>0.2</w:t>
            </w:r>
          </w:p>
        </w:tc>
        <w:tc>
          <w:tcPr>
            <w:tcW w:w="907" w:type="dxa"/>
            <w:tcBorders>
              <w:top w:val="single" w:sz="4" w:space="0" w:color="A6A6A6"/>
              <w:bottom w:val="single" w:sz="4" w:space="0" w:color="A6A6A6"/>
            </w:tcBorders>
            <w:noWrap/>
            <w:hideMark/>
          </w:tcPr>
          <w:p w14:paraId="6350097E" w14:textId="77777777" w:rsidR="00087B91" w:rsidRPr="002029AF" w:rsidRDefault="00087B91" w:rsidP="00860E95">
            <w:pPr>
              <w:pStyle w:val="ARfintablebodyright"/>
            </w:pPr>
            <w:r w:rsidRPr="002029AF">
              <w:t>–</w:t>
            </w:r>
          </w:p>
        </w:tc>
        <w:tc>
          <w:tcPr>
            <w:tcW w:w="907" w:type="dxa"/>
            <w:tcBorders>
              <w:top w:val="single" w:sz="4" w:space="0" w:color="A6A6A6"/>
              <w:bottom w:val="single" w:sz="4" w:space="0" w:color="A6A6A6"/>
            </w:tcBorders>
            <w:noWrap/>
            <w:hideMark/>
          </w:tcPr>
          <w:p w14:paraId="108904A9" w14:textId="77777777" w:rsidR="00087B91" w:rsidRPr="002029AF" w:rsidRDefault="00087B91" w:rsidP="00860E95">
            <w:pPr>
              <w:pStyle w:val="ARfintablebodyright"/>
            </w:pPr>
            <w:r w:rsidRPr="002029AF">
              <w:t>163.7</w:t>
            </w:r>
          </w:p>
        </w:tc>
        <w:tc>
          <w:tcPr>
            <w:tcW w:w="907" w:type="dxa"/>
            <w:tcBorders>
              <w:top w:val="single" w:sz="4" w:space="0" w:color="A6A6A6"/>
              <w:bottom w:val="single" w:sz="4" w:space="0" w:color="A6A6A6"/>
            </w:tcBorders>
            <w:noWrap/>
            <w:hideMark/>
          </w:tcPr>
          <w:p w14:paraId="738491B8" w14:textId="77777777" w:rsidR="00087B91" w:rsidRPr="002029AF" w:rsidRDefault="00087B91" w:rsidP="00860E95">
            <w:pPr>
              <w:pStyle w:val="ARfintablebodyright"/>
            </w:pPr>
            <w:r w:rsidRPr="002029AF">
              <w:t>162.4</w:t>
            </w:r>
          </w:p>
        </w:tc>
        <w:tc>
          <w:tcPr>
            <w:tcW w:w="907" w:type="dxa"/>
            <w:tcBorders>
              <w:top w:val="single" w:sz="4" w:space="0" w:color="A6A6A6"/>
              <w:bottom w:val="single" w:sz="4" w:space="0" w:color="A6A6A6"/>
            </w:tcBorders>
            <w:noWrap/>
            <w:hideMark/>
          </w:tcPr>
          <w:p w14:paraId="3FD7473D" w14:textId="77777777" w:rsidR="00087B91" w:rsidRPr="002029AF" w:rsidRDefault="00087B91" w:rsidP="00860E95">
            <w:pPr>
              <w:pStyle w:val="ARfintablebodyright"/>
            </w:pPr>
            <w:r w:rsidRPr="002029AF">
              <w:t>(1.3)</w:t>
            </w:r>
          </w:p>
        </w:tc>
        <w:tc>
          <w:tcPr>
            <w:tcW w:w="907" w:type="dxa"/>
            <w:tcBorders>
              <w:top w:val="single" w:sz="4" w:space="0" w:color="A6A6A6"/>
              <w:bottom w:val="single" w:sz="4" w:space="0" w:color="A6A6A6"/>
            </w:tcBorders>
            <w:noWrap/>
            <w:hideMark/>
          </w:tcPr>
          <w:p w14:paraId="40D4D1B1" w14:textId="77777777" w:rsidR="00087B91" w:rsidRPr="002029AF" w:rsidRDefault="00087B91" w:rsidP="00860E95">
            <w:pPr>
              <w:pStyle w:val="ARfintablebodyright"/>
            </w:pPr>
            <w:r w:rsidRPr="002029AF">
              <w:t>0.2</w:t>
            </w:r>
          </w:p>
        </w:tc>
      </w:tr>
      <w:tr w:rsidR="00087B91" w:rsidRPr="002029AF" w14:paraId="6139C630" w14:textId="77777777" w:rsidTr="00860E95">
        <w:tc>
          <w:tcPr>
            <w:tcW w:w="3574" w:type="dxa"/>
            <w:tcBorders>
              <w:top w:val="single" w:sz="4" w:space="0" w:color="A6A6A6"/>
              <w:bottom w:val="single" w:sz="4" w:space="0" w:color="A6A6A6"/>
            </w:tcBorders>
            <w:noWrap/>
            <w:hideMark/>
          </w:tcPr>
          <w:p w14:paraId="44335931" w14:textId="2B390D3A" w:rsidR="00087B91" w:rsidRPr="002029AF" w:rsidRDefault="00087B91" w:rsidP="00860E95">
            <w:pPr>
              <w:pStyle w:val="ARfintablebody"/>
            </w:pPr>
            <w:r w:rsidRPr="002029AF">
              <w:t>State</w:t>
            </w:r>
            <w:r w:rsidR="000A5329" w:rsidRPr="002029AF">
              <w:t xml:space="preserve"> </w:t>
            </w:r>
            <w:r w:rsidRPr="002029AF">
              <w:t>Development</w:t>
            </w:r>
            <w:r w:rsidR="000A5329" w:rsidRPr="002029AF">
              <w:t xml:space="preserve"> </w:t>
            </w:r>
            <w:r w:rsidRPr="002029AF">
              <w:t>Special</w:t>
            </w:r>
            <w:r w:rsidR="000A5329" w:rsidRPr="002029AF">
              <w:t xml:space="preserve"> </w:t>
            </w:r>
            <w:r w:rsidRPr="002029AF">
              <w:t>Projects</w:t>
            </w:r>
            <w:r w:rsidR="000A5329" w:rsidRPr="002029AF">
              <w:t xml:space="preserve"> </w:t>
            </w:r>
            <w:r w:rsidRPr="002029AF">
              <w:t>Trust</w:t>
            </w:r>
            <w:r w:rsidR="000A5329" w:rsidRPr="002029AF">
              <w:t xml:space="preserve"> </w:t>
            </w:r>
            <w:r w:rsidRPr="002029AF">
              <w:t>Account</w:t>
            </w:r>
          </w:p>
        </w:tc>
        <w:tc>
          <w:tcPr>
            <w:tcW w:w="908" w:type="dxa"/>
            <w:tcBorders>
              <w:top w:val="single" w:sz="4" w:space="0" w:color="A6A6A6"/>
              <w:bottom w:val="single" w:sz="4" w:space="0" w:color="A6A6A6"/>
              <w:right w:val="nil"/>
            </w:tcBorders>
            <w:shd w:val="clear" w:color="auto" w:fill="E7E6E6"/>
            <w:noWrap/>
            <w:hideMark/>
          </w:tcPr>
          <w:p w14:paraId="00F18020" w14:textId="77777777" w:rsidR="00087B91" w:rsidRPr="002029AF" w:rsidRDefault="00087B91" w:rsidP="00860E95">
            <w:pPr>
              <w:pStyle w:val="ARfintablebodyright"/>
            </w:pPr>
            <w:r w:rsidRPr="002029AF">
              <w:t>–</w:t>
            </w:r>
          </w:p>
        </w:tc>
        <w:tc>
          <w:tcPr>
            <w:tcW w:w="907" w:type="dxa"/>
            <w:tcBorders>
              <w:top w:val="single" w:sz="4" w:space="0" w:color="A6A6A6"/>
              <w:left w:val="nil"/>
              <w:bottom w:val="single" w:sz="4" w:space="0" w:color="A6A6A6"/>
              <w:right w:val="nil"/>
            </w:tcBorders>
            <w:shd w:val="clear" w:color="auto" w:fill="E7E6E6"/>
            <w:noWrap/>
            <w:hideMark/>
          </w:tcPr>
          <w:p w14:paraId="4BCCFE80" w14:textId="77777777" w:rsidR="00087B91" w:rsidRPr="002029AF" w:rsidRDefault="00087B91" w:rsidP="00860E95">
            <w:pPr>
              <w:pStyle w:val="ARfintablebodyright"/>
            </w:pPr>
            <w:r w:rsidRPr="002029AF">
              <w:t>–</w:t>
            </w:r>
          </w:p>
        </w:tc>
        <w:tc>
          <w:tcPr>
            <w:tcW w:w="907" w:type="dxa"/>
            <w:tcBorders>
              <w:top w:val="single" w:sz="4" w:space="0" w:color="A6A6A6"/>
              <w:left w:val="nil"/>
              <w:bottom w:val="single" w:sz="4" w:space="0" w:color="A6A6A6"/>
              <w:right w:val="nil"/>
            </w:tcBorders>
            <w:shd w:val="clear" w:color="auto" w:fill="E7E6E6"/>
            <w:noWrap/>
            <w:hideMark/>
          </w:tcPr>
          <w:p w14:paraId="124C5B28" w14:textId="77777777" w:rsidR="00087B91" w:rsidRPr="002029AF" w:rsidRDefault="00087B91" w:rsidP="00860E95">
            <w:pPr>
              <w:pStyle w:val="ARfintablebodyright"/>
            </w:pPr>
            <w:r w:rsidRPr="002029AF">
              <w:t>–</w:t>
            </w:r>
          </w:p>
        </w:tc>
        <w:tc>
          <w:tcPr>
            <w:tcW w:w="907" w:type="dxa"/>
            <w:tcBorders>
              <w:top w:val="single" w:sz="4" w:space="0" w:color="A6A6A6"/>
              <w:left w:val="nil"/>
              <w:bottom w:val="single" w:sz="4" w:space="0" w:color="A6A6A6"/>
              <w:right w:val="nil"/>
            </w:tcBorders>
            <w:shd w:val="clear" w:color="auto" w:fill="E7E6E6"/>
            <w:noWrap/>
            <w:hideMark/>
          </w:tcPr>
          <w:p w14:paraId="1651C6A1" w14:textId="77777777" w:rsidR="00087B91" w:rsidRPr="002029AF" w:rsidRDefault="00087B91" w:rsidP="00860E95">
            <w:pPr>
              <w:pStyle w:val="ARfintablebodyright"/>
            </w:pPr>
            <w:r w:rsidRPr="002029AF">
              <w:t>–</w:t>
            </w:r>
          </w:p>
        </w:tc>
        <w:tc>
          <w:tcPr>
            <w:tcW w:w="907" w:type="dxa"/>
            <w:tcBorders>
              <w:top w:val="single" w:sz="4" w:space="0" w:color="A6A6A6"/>
              <w:left w:val="nil"/>
              <w:bottom w:val="single" w:sz="4" w:space="0" w:color="A6A6A6"/>
              <w:right w:val="nil"/>
            </w:tcBorders>
            <w:shd w:val="clear" w:color="auto" w:fill="E7E6E6"/>
            <w:noWrap/>
            <w:hideMark/>
          </w:tcPr>
          <w:p w14:paraId="5A3DD1B3" w14:textId="77777777" w:rsidR="00087B91" w:rsidRPr="002029AF" w:rsidRDefault="00087B91" w:rsidP="00860E95">
            <w:pPr>
              <w:pStyle w:val="ARfintablebodyright"/>
            </w:pPr>
            <w:r w:rsidRPr="002029AF">
              <w:t>–</w:t>
            </w:r>
          </w:p>
        </w:tc>
        <w:tc>
          <w:tcPr>
            <w:tcW w:w="907" w:type="dxa"/>
            <w:tcBorders>
              <w:top w:val="single" w:sz="4" w:space="0" w:color="A6A6A6"/>
              <w:left w:val="nil"/>
              <w:bottom w:val="single" w:sz="4" w:space="0" w:color="A6A6A6"/>
            </w:tcBorders>
            <w:shd w:val="clear" w:color="auto" w:fill="E7E6E6"/>
            <w:noWrap/>
            <w:hideMark/>
          </w:tcPr>
          <w:p w14:paraId="10A2973F" w14:textId="77777777" w:rsidR="00087B91" w:rsidRPr="002029AF" w:rsidRDefault="00087B91" w:rsidP="00860E95">
            <w:pPr>
              <w:pStyle w:val="ARfintablebodyright"/>
            </w:pPr>
            <w:r w:rsidRPr="002029AF">
              <w:t>–</w:t>
            </w:r>
          </w:p>
        </w:tc>
        <w:tc>
          <w:tcPr>
            <w:tcW w:w="907" w:type="dxa"/>
            <w:tcBorders>
              <w:top w:val="single" w:sz="4" w:space="0" w:color="A6A6A6"/>
              <w:bottom w:val="single" w:sz="4" w:space="0" w:color="A6A6A6"/>
            </w:tcBorders>
            <w:noWrap/>
            <w:hideMark/>
          </w:tcPr>
          <w:p w14:paraId="48910FD9" w14:textId="77777777" w:rsidR="00087B91" w:rsidRPr="002029AF" w:rsidRDefault="00087B91" w:rsidP="00860E95">
            <w:pPr>
              <w:pStyle w:val="ARfintablebodyright"/>
            </w:pPr>
            <w:r w:rsidRPr="002029AF">
              <w:t>5.1</w:t>
            </w:r>
          </w:p>
        </w:tc>
        <w:tc>
          <w:tcPr>
            <w:tcW w:w="907" w:type="dxa"/>
            <w:tcBorders>
              <w:top w:val="single" w:sz="4" w:space="0" w:color="A6A6A6"/>
              <w:bottom w:val="single" w:sz="4" w:space="0" w:color="A6A6A6"/>
            </w:tcBorders>
            <w:noWrap/>
            <w:hideMark/>
          </w:tcPr>
          <w:p w14:paraId="0019C802" w14:textId="77777777" w:rsidR="00087B91" w:rsidRPr="002029AF" w:rsidRDefault="00087B91" w:rsidP="00860E95">
            <w:pPr>
              <w:pStyle w:val="ARfintablebodyright"/>
            </w:pPr>
            <w:r w:rsidRPr="002029AF">
              <w:t>(4.9)</w:t>
            </w:r>
          </w:p>
        </w:tc>
        <w:tc>
          <w:tcPr>
            <w:tcW w:w="907" w:type="dxa"/>
            <w:tcBorders>
              <w:top w:val="single" w:sz="4" w:space="0" w:color="A6A6A6"/>
              <w:bottom w:val="single" w:sz="4" w:space="0" w:color="A6A6A6"/>
            </w:tcBorders>
            <w:noWrap/>
            <w:hideMark/>
          </w:tcPr>
          <w:p w14:paraId="781AB5D6" w14:textId="77777777" w:rsidR="00087B91" w:rsidRPr="002029AF" w:rsidRDefault="00087B91" w:rsidP="00860E95">
            <w:pPr>
              <w:pStyle w:val="ARfintablebodyright"/>
            </w:pPr>
            <w:r w:rsidRPr="002029AF">
              <w:t>3.0</w:t>
            </w:r>
          </w:p>
        </w:tc>
        <w:tc>
          <w:tcPr>
            <w:tcW w:w="907" w:type="dxa"/>
            <w:tcBorders>
              <w:top w:val="single" w:sz="4" w:space="0" w:color="A6A6A6"/>
              <w:bottom w:val="single" w:sz="4" w:space="0" w:color="A6A6A6"/>
            </w:tcBorders>
            <w:noWrap/>
            <w:hideMark/>
          </w:tcPr>
          <w:p w14:paraId="33BECD07" w14:textId="77777777" w:rsidR="00087B91" w:rsidRPr="002029AF" w:rsidRDefault="00087B91" w:rsidP="00860E95">
            <w:pPr>
              <w:pStyle w:val="ARfintablebodyright"/>
            </w:pPr>
            <w:r w:rsidRPr="002029AF">
              <w:t>2.9</w:t>
            </w:r>
          </w:p>
        </w:tc>
        <w:tc>
          <w:tcPr>
            <w:tcW w:w="907" w:type="dxa"/>
            <w:tcBorders>
              <w:top w:val="single" w:sz="4" w:space="0" w:color="A6A6A6"/>
              <w:bottom w:val="single" w:sz="4" w:space="0" w:color="A6A6A6"/>
            </w:tcBorders>
            <w:noWrap/>
            <w:hideMark/>
          </w:tcPr>
          <w:p w14:paraId="39CC5797" w14:textId="77777777" w:rsidR="00087B91" w:rsidRPr="002029AF" w:rsidRDefault="00087B91" w:rsidP="00860E95">
            <w:pPr>
              <w:pStyle w:val="ARfintablebodyright"/>
            </w:pPr>
            <w:r w:rsidRPr="002029AF">
              <w:t>(0.3)</w:t>
            </w:r>
          </w:p>
        </w:tc>
        <w:tc>
          <w:tcPr>
            <w:tcW w:w="907" w:type="dxa"/>
            <w:tcBorders>
              <w:top w:val="single" w:sz="4" w:space="0" w:color="A6A6A6"/>
              <w:bottom w:val="single" w:sz="4" w:space="0" w:color="A6A6A6"/>
            </w:tcBorders>
            <w:noWrap/>
            <w:hideMark/>
          </w:tcPr>
          <w:p w14:paraId="6F4911B9" w14:textId="77777777" w:rsidR="00087B91" w:rsidRPr="002029AF" w:rsidRDefault="00087B91" w:rsidP="00860E95">
            <w:pPr>
              <w:pStyle w:val="ARfintablebodyright"/>
            </w:pPr>
            <w:r w:rsidRPr="002029AF">
              <w:t>–</w:t>
            </w:r>
          </w:p>
        </w:tc>
      </w:tr>
      <w:tr w:rsidR="00087B91" w:rsidRPr="002029AF" w14:paraId="0C28A3EA" w14:textId="77777777" w:rsidTr="00860E95">
        <w:tc>
          <w:tcPr>
            <w:tcW w:w="3574" w:type="dxa"/>
            <w:tcBorders>
              <w:top w:val="single" w:sz="4" w:space="0" w:color="A6A6A6"/>
              <w:bottom w:val="single" w:sz="4" w:space="0" w:color="A6A6A6"/>
            </w:tcBorders>
            <w:noWrap/>
            <w:hideMark/>
          </w:tcPr>
          <w:p w14:paraId="00751381" w14:textId="61DE019D" w:rsidR="00087B91" w:rsidRPr="002029AF" w:rsidRDefault="00087B91" w:rsidP="00860E95">
            <w:pPr>
              <w:pStyle w:val="ARfintablebody"/>
            </w:pPr>
            <w:r w:rsidRPr="002029AF">
              <w:t>Treasury</w:t>
            </w:r>
            <w:r w:rsidR="000A5329" w:rsidRPr="002029AF">
              <w:t xml:space="preserve"> </w:t>
            </w:r>
            <w:r w:rsidRPr="002029AF">
              <w:t>Trust</w:t>
            </w:r>
          </w:p>
        </w:tc>
        <w:tc>
          <w:tcPr>
            <w:tcW w:w="908" w:type="dxa"/>
            <w:tcBorders>
              <w:top w:val="single" w:sz="4" w:space="0" w:color="A6A6A6"/>
              <w:bottom w:val="single" w:sz="4" w:space="0" w:color="A6A6A6"/>
              <w:right w:val="nil"/>
            </w:tcBorders>
            <w:shd w:val="clear" w:color="auto" w:fill="E7E6E6"/>
            <w:noWrap/>
            <w:hideMark/>
          </w:tcPr>
          <w:p w14:paraId="2679FD34" w14:textId="77777777" w:rsidR="00087B91" w:rsidRPr="002029AF" w:rsidRDefault="00087B91" w:rsidP="00860E95">
            <w:pPr>
              <w:pStyle w:val="ARfintablebodyright"/>
            </w:pPr>
            <w:r w:rsidRPr="002029AF">
              <w:t>74.8</w:t>
            </w:r>
          </w:p>
        </w:tc>
        <w:tc>
          <w:tcPr>
            <w:tcW w:w="907" w:type="dxa"/>
            <w:tcBorders>
              <w:top w:val="single" w:sz="4" w:space="0" w:color="A6A6A6"/>
              <w:left w:val="nil"/>
              <w:bottom w:val="single" w:sz="4" w:space="0" w:color="A6A6A6"/>
              <w:right w:val="nil"/>
            </w:tcBorders>
            <w:shd w:val="clear" w:color="auto" w:fill="E7E6E6"/>
            <w:noWrap/>
            <w:hideMark/>
          </w:tcPr>
          <w:p w14:paraId="30F3765B" w14:textId="77777777" w:rsidR="00087B91" w:rsidRPr="002029AF" w:rsidRDefault="00087B91" w:rsidP="00860E95">
            <w:pPr>
              <w:pStyle w:val="ARfintablebodyright"/>
            </w:pPr>
            <w:r w:rsidRPr="002029AF">
              <w:t>–</w:t>
            </w:r>
          </w:p>
        </w:tc>
        <w:tc>
          <w:tcPr>
            <w:tcW w:w="907" w:type="dxa"/>
            <w:tcBorders>
              <w:top w:val="single" w:sz="4" w:space="0" w:color="A6A6A6"/>
              <w:left w:val="nil"/>
              <w:bottom w:val="single" w:sz="4" w:space="0" w:color="A6A6A6"/>
              <w:right w:val="nil"/>
            </w:tcBorders>
            <w:shd w:val="clear" w:color="auto" w:fill="E7E6E6"/>
            <w:noWrap/>
            <w:hideMark/>
          </w:tcPr>
          <w:p w14:paraId="07104476" w14:textId="77777777" w:rsidR="00087B91" w:rsidRPr="002029AF" w:rsidRDefault="00087B91" w:rsidP="00860E95">
            <w:pPr>
              <w:pStyle w:val="ARfintablebodyright"/>
            </w:pPr>
            <w:r w:rsidRPr="002029AF">
              <w:t>47.9</w:t>
            </w:r>
          </w:p>
        </w:tc>
        <w:tc>
          <w:tcPr>
            <w:tcW w:w="907" w:type="dxa"/>
            <w:tcBorders>
              <w:top w:val="single" w:sz="4" w:space="0" w:color="A6A6A6"/>
              <w:left w:val="nil"/>
              <w:bottom w:val="single" w:sz="4" w:space="0" w:color="A6A6A6"/>
              <w:right w:val="nil"/>
            </w:tcBorders>
            <w:shd w:val="clear" w:color="auto" w:fill="E7E6E6"/>
            <w:noWrap/>
            <w:hideMark/>
          </w:tcPr>
          <w:p w14:paraId="161F11F6" w14:textId="77777777" w:rsidR="00087B91" w:rsidRPr="002029AF" w:rsidRDefault="00087B91" w:rsidP="00860E95">
            <w:pPr>
              <w:pStyle w:val="ARfintablebodyright"/>
            </w:pPr>
            <w:r w:rsidRPr="002029AF">
              <w:t>57.5</w:t>
            </w:r>
          </w:p>
        </w:tc>
        <w:tc>
          <w:tcPr>
            <w:tcW w:w="907" w:type="dxa"/>
            <w:tcBorders>
              <w:top w:val="single" w:sz="4" w:space="0" w:color="A6A6A6"/>
              <w:left w:val="nil"/>
              <w:bottom w:val="single" w:sz="4" w:space="0" w:color="A6A6A6"/>
              <w:right w:val="nil"/>
            </w:tcBorders>
            <w:shd w:val="clear" w:color="auto" w:fill="E7E6E6"/>
            <w:noWrap/>
            <w:hideMark/>
          </w:tcPr>
          <w:p w14:paraId="4100D735" w14:textId="77777777" w:rsidR="00087B91" w:rsidRPr="002029AF" w:rsidRDefault="00087B91" w:rsidP="00860E95">
            <w:pPr>
              <w:pStyle w:val="ARfintablebodyright"/>
            </w:pPr>
            <w:r w:rsidRPr="002029AF">
              <w:t>(0.8)</w:t>
            </w:r>
          </w:p>
        </w:tc>
        <w:tc>
          <w:tcPr>
            <w:tcW w:w="907" w:type="dxa"/>
            <w:tcBorders>
              <w:top w:val="single" w:sz="4" w:space="0" w:color="A6A6A6"/>
              <w:left w:val="nil"/>
              <w:bottom w:val="single" w:sz="4" w:space="0" w:color="A6A6A6"/>
            </w:tcBorders>
            <w:shd w:val="clear" w:color="auto" w:fill="E7E6E6"/>
            <w:noWrap/>
            <w:hideMark/>
          </w:tcPr>
          <w:p w14:paraId="584CDD5D" w14:textId="77777777" w:rsidR="00087B91" w:rsidRPr="002029AF" w:rsidRDefault="00087B91" w:rsidP="00860E95">
            <w:pPr>
              <w:pStyle w:val="ARfintablebodyright"/>
            </w:pPr>
            <w:r w:rsidRPr="002029AF">
              <w:t>64.4</w:t>
            </w:r>
          </w:p>
        </w:tc>
        <w:tc>
          <w:tcPr>
            <w:tcW w:w="907" w:type="dxa"/>
            <w:tcBorders>
              <w:top w:val="single" w:sz="4" w:space="0" w:color="A6A6A6"/>
              <w:bottom w:val="single" w:sz="4" w:space="0" w:color="A6A6A6"/>
            </w:tcBorders>
            <w:noWrap/>
            <w:hideMark/>
          </w:tcPr>
          <w:p w14:paraId="17D5177F" w14:textId="77777777" w:rsidR="00087B91" w:rsidRPr="002029AF" w:rsidRDefault="00087B91" w:rsidP="00860E95">
            <w:pPr>
              <w:pStyle w:val="ARfintablebodyright"/>
            </w:pPr>
            <w:r w:rsidRPr="002029AF">
              <w:t>66.7</w:t>
            </w:r>
          </w:p>
        </w:tc>
        <w:tc>
          <w:tcPr>
            <w:tcW w:w="907" w:type="dxa"/>
            <w:tcBorders>
              <w:top w:val="single" w:sz="4" w:space="0" w:color="A6A6A6"/>
              <w:bottom w:val="single" w:sz="4" w:space="0" w:color="A6A6A6"/>
            </w:tcBorders>
            <w:noWrap/>
            <w:hideMark/>
          </w:tcPr>
          <w:p w14:paraId="64F32D64" w14:textId="77777777" w:rsidR="00087B91" w:rsidRPr="002029AF" w:rsidRDefault="00087B91" w:rsidP="00860E95">
            <w:pPr>
              <w:pStyle w:val="ARfintablebodyright"/>
            </w:pPr>
            <w:r w:rsidRPr="002029AF">
              <w:t>(3.7)</w:t>
            </w:r>
          </w:p>
        </w:tc>
        <w:tc>
          <w:tcPr>
            <w:tcW w:w="907" w:type="dxa"/>
            <w:tcBorders>
              <w:top w:val="single" w:sz="4" w:space="0" w:color="A6A6A6"/>
              <w:bottom w:val="single" w:sz="4" w:space="0" w:color="A6A6A6"/>
            </w:tcBorders>
            <w:noWrap/>
            <w:hideMark/>
          </w:tcPr>
          <w:p w14:paraId="60212F64" w14:textId="77777777" w:rsidR="00087B91" w:rsidRPr="002029AF" w:rsidRDefault="00087B91" w:rsidP="00860E95">
            <w:pPr>
              <w:pStyle w:val="ARfintablebodyright"/>
            </w:pPr>
            <w:r w:rsidRPr="002029AF">
              <w:t>54.1</w:t>
            </w:r>
          </w:p>
        </w:tc>
        <w:tc>
          <w:tcPr>
            <w:tcW w:w="907" w:type="dxa"/>
            <w:tcBorders>
              <w:top w:val="single" w:sz="4" w:space="0" w:color="A6A6A6"/>
              <w:bottom w:val="single" w:sz="4" w:space="0" w:color="A6A6A6"/>
            </w:tcBorders>
            <w:noWrap/>
            <w:hideMark/>
          </w:tcPr>
          <w:p w14:paraId="7423F5E7" w14:textId="77777777" w:rsidR="00087B91" w:rsidRPr="002029AF" w:rsidRDefault="00087B91" w:rsidP="00860E95">
            <w:pPr>
              <w:pStyle w:val="ARfintablebodyright"/>
            </w:pPr>
            <w:r w:rsidRPr="002029AF">
              <w:t>38.1</w:t>
            </w:r>
          </w:p>
        </w:tc>
        <w:tc>
          <w:tcPr>
            <w:tcW w:w="907" w:type="dxa"/>
            <w:tcBorders>
              <w:top w:val="single" w:sz="4" w:space="0" w:color="A6A6A6"/>
              <w:bottom w:val="single" w:sz="4" w:space="0" w:color="A6A6A6"/>
            </w:tcBorders>
            <w:noWrap/>
            <w:hideMark/>
          </w:tcPr>
          <w:p w14:paraId="229D924F" w14:textId="77777777" w:rsidR="00087B91" w:rsidRPr="002029AF" w:rsidRDefault="00087B91" w:rsidP="00860E95">
            <w:pPr>
              <w:pStyle w:val="ARfintablebodyright"/>
            </w:pPr>
            <w:r w:rsidRPr="002029AF">
              <w:t>(4.2)</w:t>
            </w:r>
          </w:p>
        </w:tc>
        <w:tc>
          <w:tcPr>
            <w:tcW w:w="907" w:type="dxa"/>
            <w:tcBorders>
              <w:top w:val="single" w:sz="4" w:space="0" w:color="A6A6A6"/>
              <w:bottom w:val="single" w:sz="4" w:space="0" w:color="A6A6A6"/>
            </w:tcBorders>
            <w:noWrap/>
            <w:hideMark/>
          </w:tcPr>
          <w:p w14:paraId="1202B00D" w14:textId="77777777" w:rsidR="00087B91" w:rsidRPr="002029AF" w:rsidRDefault="00087B91" w:rsidP="00860E95">
            <w:pPr>
              <w:pStyle w:val="ARfintablebodyright"/>
            </w:pPr>
            <w:r w:rsidRPr="002029AF">
              <w:t>74.8</w:t>
            </w:r>
          </w:p>
        </w:tc>
      </w:tr>
      <w:tr w:rsidR="00087B91" w:rsidRPr="002029AF" w14:paraId="2DD9B4AB" w14:textId="77777777" w:rsidTr="00860E95">
        <w:tc>
          <w:tcPr>
            <w:tcW w:w="3574" w:type="dxa"/>
            <w:tcBorders>
              <w:top w:val="single" w:sz="4" w:space="0" w:color="A6A6A6"/>
              <w:bottom w:val="single" w:sz="4" w:space="0" w:color="A6A6A6"/>
            </w:tcBorders>
            <w:noWrap/>
            <w:hideMark/>
          </w:tcPr>
          <w:p w14:paraId="0E24FC89" w14:textId="6ACF5F34" w:rsidR="00087B91" w:rsidRPr="002029AF" w:rsidRDefault="00087B91" w:rsidP="00860E95">
            <w:pPr>
              <w:pStyle w:val="ARfintablebody"/>
            </w:pPr>
            <w:r w:rsidRPr="002029AF">
              <w:t>Inter-Departmental</w:t>
            </w:r>
            <w:r w:rsidR="000A5329" w:rsidRPr="002029AF">
              <w:t xml:space="preserve"> </w:t>
            </w:r>
            <w:r w:rsidRPr="002029AF">
              <w:t>Transfer</w:t>
            </w:r>
            <w:r w:rsidR="000A5329" w:rsidRPr="002029AF">
              <w:t xml:space="preserve"> </w:t>
            </w:r>
            <w:r w:rsidRPr="002029AF">
              <w:t>Trust</w:t>
            </w:r>
          </w:p>
        </w:tc>
        <w:tc>
          <w:tcPr>
            <w:tcW w:w="908" w:type="dxa"/>
            <w:tcBorders>
              <w:top w:val="single" w:sz="4" w:space="0" w:color="A6A6A6"/>
              <w:bottom w:val="single" w:sz="4" w:space="0" w:color="A6A6A6"/>
              <w:right w:val="nil"/>
            </w:tcBorders>
            <w:shd w:val="clear" w:color="auto" w:fill="E7E6E6"/>
            <w:noWrap/>
            <w:hideMark/>
          </w:tcPr>
          <w:p w14:paraId="3BF8D3E9" w14:textId="77777777" w:rsidR="00087B91" w:rsidRPr="002029AF" w:rsidRDefault="00087B91" w:rsidP="00860E95">
            <w:pPr>
              <w:pStyle w:val="ARfintablebodyright"/>
            </w:pPr>
            <w:r w:rsidRPr="002029AF">
              <w:t>71.2</w:t>
            </w:r>
          </w:p>
        </w:tc>
        <w:tc>
          <w:tcPr>
            <w:tcW w:w="907" w:type="dxa"/>
            <w:tcBorders>
              <w:top w:val="single" w:sz="4" w:space="0" w:color="A6A6A6"/>
              <w:left w:val="nil"/>
              <w:bottom w:val="single" w:sz="4" w:space="0" w:color="A6A6A6"/>
              <w:right w:val="nil"/>
            </w:tcBorders>
            <w:shd w:val="clear" w:color="auto" w:fill="E7E6E6"/>
            <w:noWrap/>
            <w:hideMark/>
          </w:tcPr>
          <w:p w14:paraId="53E657B4" w14:textId="77777777" w:rsidR="00087B91" w:rsidRPr="002029AF" w:rsidRDefault="00087B91" w:rsidP="00860E95">
            <w:pPr>
              <w:pStyle w:val="ARfintablebodyright"/>
            </w:pPr>
            <w:r w:rsidRPr="002029AF">
              <w:t>2.1</w:t>
            </w:r>
          </w:p>
        </w:tc>
        <w:tc>
          <w:tcPr>
            <w:tcW w:w="907" w:type="dxa"/>
            <w:tcBorders>
              <w:top w:val="single" w:sz="4" w:space="0" w:color="A6A6A6"/>
              <w:left w:val="nil"/>
              <w:bottom w:val="single" w:sz="4" w:space="0" w:color="A6A6A6"/>
              <w:right w:val="nil"/>
            </w:tcBorders>
            <w:shd w:val="clear" w:color="auto" w:fill="E7E6E6"/>
            <w:noWrap/>
            <w:hideMark/>
          </w:tcPr>
          <w:p w14:paraId="46BF67DC" w14:textId="77777777" w:rsidR="00087B91" w:rsidRPr="002029AF" w:rsidRDefault="00087B91" w:rsidP="00860E95">
            <w:pPr>
              <w:pStyle w:val="ARfintablebodyright"/>
            </w:pPr>
            <w:r w:rsidRPr="002029AF">
              <w:t>265.8</w:t>
            </w:r>
          </w:p>
        </w:tc>
        <w:tc>
          <w:tcPr>
            <w:tcW w:w="907" w:type="dxa"/>
            <w:tcBorders>
              <w:top w:val="single" w:sz="4" w:space="0" w:color="A6A6A6"/>
              <w:left w:val="nil"/>
              <w:bottom w:val="single" w:sz="4" w:space="0" w:color="A6A6A6"/>
              <w:right w:val="nil"/>
            </w:tcBorders>
            <w:shd w:val="clear" w:color="auto" w:fill="E7E6E6"/>
            <w:noWrap/>
            <w:hideMark/>
          </w:tcPr>
          <w:p w14:paraId="38004A19" w14:textId="77777777" w:rsidR="00087B91" w:rsidRPr="002029AF" w:rsidRDefault="00087B91" w:rsidP="00860E95">
            <w:pPr>
              <w:pStyle w:val="ARfintablebodyright"/>
            </w:pPr>
            <w:r w:rsidRPr="002029AF">
              <w:t>278.5</w:t>
            </w:r>
          </w:p>
        </w:tc>
        <w:tc>
          <w:tcPr>
            <w:tcW w:w="907" w:type="dxa"/>
            <w:tcBorders>
              <w:top w:val="single" w:sz="4" w:space="0" w:color="A6A6A6"/>
              <w:left w:val="nil"/>
              <w:bottom w:val="single" w:sz="4" w:space="0" w:color="A6A6A6"/>
              <w:right w:val="nil"/>
            </w:tcBorders>
            <w:shd w:val="clear" w:color="auto" w:fill="E7E6E6"/>
            <w:noWrap/>
            <w:hideMark/>
          </w:tcPr>
          <w:p w14:paraId="7E277F7D" w14:textId="77777777" w:rsidR="00087B91" w:rsidRPr="002029AF" w:rsidRDefault="00087B91" w:rsidP="00860E95">
            <w:pPr>
              <w:pStyle w:val="ARfintablebodyright"/>
            </w:pPr>
            <w:r w:rsidRPr="002029AF">
              <w:t>5.2</w:t>
            </w:r>
          </w:p>
        </w:tc>
        <w:tc>
          <w:tcPr>
            <w:tcW w:w="907" w:type="dxa"/>
            <w:tcBorders>
              <w:top w:val="single" w:sz="4" w:space="0" w:color="A6A6A6"/>
              <w:left w:val="nil"/>
              <w:bottom w:val="single" w:sz="4" w:space="0" w:color="A6A6A6"/>
            </w:tcBorders>
            <w:shd w:val="clear" w:color="auto" w:fill="E7E6E6"/>
            <w:noWrap/>
            <w:hideMark/>
          </w:tcPr>
          <w:p w14:paraId="4C52D984" w14:textId="77777777" w:rsidR="00087B91" w:rsidRPr="002029AF" w:rsidRDefault="00087B91" w:rsidP="00860E95">
            <w:pPr>
              <w:pStyle w:val="ARfintablebodyright"/>
            </w:pPr>
            <w:r w:rsidRPr="002029AF">
              <w:t>65.8</w:t>
            </w:r>
          </w:p>
        </w:tc>
        <w:tc>
          <w:tcPr>
            <w:tcW w:w="907" w:type="dxa"/>
            <w:tcBorders>
              <w:top w:val="single" w:sz="4" w:space="0" w:color="A6A6A6"/>
              <w:bottom w:val="single" w:sz="4" w:space="0" w:color="A6A6A6"/>
            </w:tcBorders>
            <w:noWrap/>
            <w:hideMark/>
          </w:tcPr>
          <w:p w14:paraId="216F8794" w14:textId="77777777" w:rsidR="00087B91" w:rsidRPr="002029AF" w:rsidRDefault="00087B91" w:rsidP="00860E95">
            <w:pPr>
              <w:pStyle w:val="ARfintablebodyright"/>
            </w:pPr>
            <w:r w:rsidRPr="002029AF">
              <w:t>43.2</w:t>
            </w:r>
          </w:p>
        </w:tc>
        <w:tc>
          <w:tcPr>
            <w:tcW w:w="907" w:type="dxa"/>
            <w:tcBorders>
              <w:top w:val="single" w:sz="4" w:space="0" w:color="A6A6A6"/>
              <w:bottom w:val="single" w:sz="4" w:space="0" w:color="A6A6A6"/>
            </w:tcBorders>
            <w:noWrap/>
            <w:hideMark/>
          </w:tcPr>
          <w:p w14:paraId="4EB0FE73" w14:textId="77777777" w:rsidR="00087B91" w:rsidRPr="002029AF" w:rsidRDefault="00087B91" w:rsidP="00860E95">
            <w:pPr>
              <w:pStyle w:val="ARfintablebodyright"/>
            </w:pPr>
            <w:r w:rsidRPr="002029AF">
              <w:t>9.2</w:t>
            </w:r>
          </w:p>
        </w:tc>
        <w:tc>
          <w:tcPr>
            <w:tcW w:w="907" w:type="dxa"/>
            <w:tcBorders>
              <w:top w:val="single" w:sz="4" w:space="0" w:color="A6A6A6"/>
              <w:bottom w:val="single" w:sz="4" w:space="0" w:color="A6A6A6"/>
            </w:tcBorders>
            <w:noWrap/>
            <w:hideMark/>
          </w:tcPr>
          <w:p w14:paraId="771E58C4" w14:textId="77777777" w:rsidR="00087B91" w:rsidRPr="002029AF" w:rsidRDefault="00087B91" w:rsidP="00860E95">
            <w:pPr>
              <w:pStyle w:val="ARfintablebodyright"/>
            </w:pPr>
            <w:r w:rsidRPr="002029AF">
              <w:t>162.0</w:t>
            </w:r>
          </w:p>
        </w:tc>
        <w:tc>
          <w:tcPr>
            <w:tcW w:w="907" w:type="dxa"/>
            <w:tcBorders>
              <w:top w:val="single" w:sz="4" w:space="0" w:color="A6A6A6"/>
              <w:bottom w:val="single" w:sz="4" w:space="0" w:color="A6A6A6"/>
            </w:tcBorders>
            <w:noWrap/>
            <w:hideMark/>
          </w:tcPr>
          <w:p w14:paraId="624052FC" w14:textId="77777777" w:rsidR="00087B91" w:rsidRPr="002029AF" w:rsidRDefault="00087B91" w:rsidP="00860E95">
            <w:pPr>
              <w:pStyle w:val="ARfintablebodyright"/>
            </w:pPr>
            <w:r w:rsidRPr="002029AF">
              <w:t>137.1</w:t>
            </w:r>
          </w:p>
        </w:tc>
        <w:tc>
          <w:tcPr>
            <w:tcW w:w="907" w:type="dxa"/>
            <w:tcBorders>
              <w:top w:val="single" w:sz="4" w:space="0" w:color="A6A6A6"/>
              <w:bottom w:val="single" w:sz="4" w:space="0" w:color="A6A6A6"/>
            </w:tcBorders>
            <w:noWrap/>
            <w:hideMark/>
          </w:tcPr>
          <w:p w14:paraId="58BC6A15" w14:textId="77777777" w:rsidR="00087B91" w:rsidRPr="002029AF" w:rsidRDefault="00087B91" w:rsidP="00860E95">
            <w:pPr>
              <w:pStyle w:val="ARfintablebodyright"/>
            </w:pPr>
            <w:r w:rsidRPr="002029AF">
              <w:t>(6.1)</w:t>
            </w:r>
          </w:p>
        </w:tc>
        <w:tc>
          <w:tcPr>
            <w:tcW w:w="907" w:type="dxa"/>
            <w:tcBorders>
              <w:top w:val="single" w:sz="4" w:space="0" w:color="A6A6A6"/>
              <w:bottom w:val="single" w:sz="4" w:space="0" w:color="A6A6A6"/>
            </w:tcBorders>
            <w:noWrap/>
            <w:hideMark/>
          </w:tcPr>
          <w:p w14:paraId="4F3E8DFB" w14:textId="77777777" w:rsidR="00087B91" w:rsidRPr="002029AF" w:rsidRDefault="00087B91" w:rsidP="00860E95">
            <w:pPr>
              <w:pStyle w:val="ARfintablebodyright"/>
            </w:pPr>
            <w:r w:rsidRPr="002029AF">
              <w:t>71.2</w:t>
            </w:r>
          </w:p>
        </w:tc>
      </w:tr>
      <w:tr w:rsidR="00087B91" w:rsidRPr="002029AF" w14:paraId="36D9A7D3" w14:textId="77777777" w:rsidTr="00860E95">
        <w:tc>
          <w:tcPr>
            <w:tcW w:w="3574" w:type="dxa"/>
            <w:tcBorders>
              <w:top w:val="single" w:sz="4" w:space="0" w:color="A6A6A6"/>
              <w:bottom w:val="single" w:sz="4" w:space="0" w:color="A6A6A6"/>
            </w:tcBorders>
            <w:noWrap/>
            <w:hideMark/>
          </w:tcPr>
          <w:p w14:paraId="13F4DFD6" w14:textId="276AFED1" w:rsidR="00087B91" w:rsidRPr="002029AF" w:rsidRDefault="00087B91" w:rsidP="00860E95">
            <w:pPr>
              <w:pStyle w:val="ARfintablebody"/>
            </w:pPr>
            <w:r w:rsidRPr="002029AF">
              <w:t>Vehicle</w:t>
            </w:r>
            <w:r w:rsidR="000A5329" w:rsidRPr="002029AF">
              <w:t xml:space="preserve"> </w:t>
            </w:r>
            <w:r w:rsidRPr="002029AF">
              <w:t>Lease</w:t>
            </w:r>
            <w:r w:rsidR="000A5329" w:rsidRPr="002029AF">
              <w:t xml:space="preserve"> </w:t>
            </w:r>
            <w:r w:rsidRPr="002029AF">
              <w:t>Trust</w:t>
            </w:r>
            <w:r w:rsidR="000A5329" w:rsidRPr="002029AF">
              <w:t xml:space="preserve"> </w:t>
            </w:r>
            <w:r w:rsidRPr="002029AF">
              <w:t>Account</w:t>
            </w:r>
          </w:p>
        </w:tc>
        <w:tc>
          <w:tcPr>
            <w:tcW w:w="908" w:type="dxa"/>
            <w:tcBorders>
              <w:top w:val="single" w:sz="4" w:space="0" w:color="A6A6A6"/>
              <w:bottom w:val="single" w:sz="4" w:space="0" w:color="A6A6A6"/>
              <w:right w:val="nil"/>
            </w:tcBorders>
            <w:shd w:val="clear" w:color="auto" w:fill="E7E6E6"/>
            <w:noWrap/>
            <w:hideMark/>
          </w:tcPr>
          <w:p w14:paraId="343BD4CF" w14:textId="77777777" w:rsidR="00087B91" w:rsidRPr="002029AF" w:rsidRDefault="00087B91" w:rsidP="00860E95">
            <w:pPr>
              <w:pStyle w:val="ARfintablebodyright"/>
            </w:pPr>
            <w:r w:rsidRPr="002029AF">
              <w:t>31.0</w:t>
            </w:r>
          </w:p>
        </w:tc>
        <w:tc>
          <w:tcPr>
            <w:tcW w:w="907" w:type="dxa"/>
            <w:tcBorders>
              <w:top w:val="single" w:sz="4" w:space="0" w:color="A6A6A6"/>
              <w:left w:val="nil"/>
              <w:bottom w:val="single" w:sz="4" w:space="0" w:color="A6A6A6"/>
              <w:right w:val="nil"/>
            </w:tcBorders>
            <w:shd w:val="clear" w:color="auto" w:fill="E7E6E6"/>
            <w:noWrap/>
            <w:hideMark/>
          </w:tcPr>
          <w:p w14:paraId="765FC849" w14:textId="77777777" w:rsidR="00087B91" w:rsidRPr="002029AF" w:rsidRDefault="00087B91" w:rsidP="00860E95">
            <w:pPr>
              <w:pStyle w:val="ARfintablebodyright"/>
            </w:pPr>
            <w:r w:rsidRPr="002029AF">
              <w:t>–</w:t>
            </w:r>
          </w:p>
        </w:tc>
        <w:tc>
          <w:tcPr>
            <w:tcW w:w="907" w:type="dxa"/>
            <w:tcBorders>
              <w:top w:val="single" w:sz="4" w:space="0" w:color="A6A6A6"/>
              <w:left w:val="nil"/>
              <w:bottom w:val="single" w:sz="4" w:space="0" w:color="A6A6A6"/>
              <w:right w:val="nil"/>
            </w:tcBorders>
            <w:shd w:val="clear" w:color="auto" w:fill="E7E6E6"/>
            <w:noWrap/>
            <w:hideMark/>
          </w:tcPr>
          <w:p w14:paraId="53939679" w14:textId="77777777" w:rsidR="00087B91" w:rsidRPr="002029AF" w:rsidRDefault="00087B91" w:rsidP="00860E95">
            <w:pPr>
              <w:pStyle w:val="ARfintablebodyright"/>
            </w:pPr>
            <w:r w:rsidRPr="002029AF">
              <w:t>2.1</w:t>
            </w:r>
          </w:p>
        </w:tc>
        <w:tc>
          <w:tcPr>
            <w:tcW w:w="907" w:type="dxa"/>
            <w:tcBorders>
              <w:top w:val="single" w:sz="4" w:space="0" w:color="A6A6A6"/>
              <w:left w:val="nil"/>
              <w:bottom w:val="single" w:sz="4" w:space="0" w:color="A6A6A6"/>
              <w:right w:val="nil"/>
            </w:tcBorders>
            <w:shd w:val="clear" w:color="auto" w:fill="E7E6E6"/>
            <w:noWrap/>
            <w:hideMark/>
          </w:tcPr>
          <w:p w14:paraId="600086D5" w14:textId="77777777" w:rsidR="00087B91" w:rsidRPr="002029AF" w:rsidRDefault="00087B91" w:rsidP="00860E95">
            <w:pPr>
              <w:pStyle w:val="ARfintablebodyright"/>
            </w:pPr>
            <w:r w:rsidRPr="002029AF">
              <w:t>22.7</w:t>
            </w:r>
          </w:p>
        </w:tc>
        <w:tc>
          <w:tcPr>
            <w:tcW w:w="907" w:type="dxa"/>
            <w:tcBorders>
              <w:top w:val="single" w:sz="4" w:space="0" w:color="A6A6A6"/>
              <w:left w:val="nil"/>
              <w:bottom w:val="single" w:sz="4" w:space="0" w:color="A6A6A6"/>
              <w:right w:val="nil"/>
            </w:tcBorders>
            <w:shd w:val="clear" w:color="auto" w:fill="E7E6E6"/>
            <w:noWrap/>
            <w:hideMark/>
          </w:tcPr>
          <w:p w14:paraId="0F418248" w14:textId="77777777" w:rsidR="00087B91" w:rsidRPr="002029AF" w:rsidRDefault="00087B91" w:rsidP="00860E95">
            <w:pPr>
              <w:pStyle w:val="ARfintablebodyright"/>
            </w:pPr>
            <w:r w:rsidRPr="002029AF">
              <w:t>(0.1)</w:t>
            </w:r>
          </w:p>
        </w:tc>
        <w:tc>
          <w:tcPr>
            <w:tcW w:w="907" w:type="dxa"/>
            <w:tcBorders>
              <w:top w:val="single" w:sz="4" w:space="0" w:color="A6A6A6"/>
              <w:left w:val="nil"/>
              <w:bottom w:val="single" w:sz="4" w:space="0" w:color="A6A6A6"/>
            </w:tcBorders>
            <w:shd w:val="clear" w:color="auto" w:fill="E7E6E6"/>
            <w:noWrap/>
            <w:hideMark/>
          </w:tcPr>
          <w:p w14:paraId="5F2FC305" w14:textId="77777777" w:rsidR="00087B91" w:rsidRPr="002029AF" w:rsidRDefault="00087B91" w:rsidP="00860E95">
            <w:pPr>
              <w:pStyle w:val="ARfintablebodyright"/>
            </w:pPr>
            <w:r w:rsidRPr="002029AF">
              <w:t>10.3</w:t>
            </w:r>
          </w:p>
        </w:tc>
        <w:tc>
          <w:tcPr>
            <w:tcW w:w="907" w:type="dxa"/>
            <w:tcBorders>
              <w:top w:val="single" w:sz="4" w:space="0" w:color="A6A6A6"/>
              <w:bottom w:val="single" w:sz="4" w:space="0" w:color="A6A6A6"/>
            </w:tcBorders>
            <w:noWrap/>
            <w:hideMark/>
          </w:tcPr>
          <w:p w14:paraId="46597FDE" w14:textId="77777777" w:rsidR="00087B91" w:rsidRPr="002029AF" w:rsidRDefault="00087B91" w:rsidP="00860E95">
            <w:pPr>
              <w:pStyle w:val="ARfintablebodyright"/>
            </w:pPr>
            <w:r w:rsidRPr="002029AF">
              <w:t>27.1</w:t>
            </w:r>
          </w:p>
        </w:tc>
        <w:tc>
          <w:tcPr>
            <w:tcW w:w="907" w:type="dxa"/>
            <w:tcBorders>
              <w:top w:val="single" w:sz="4" w:space="0" w:color="A6A6A6"/>
              <w:bottom w:val="single" w:sz="4" w:space="0" w:color="A6A6A6"/>
            </w:tcBorders>
            <w:noWrap/>
            <w:hideMark/>
          </w:tcPr>
          <w:p w14:paraId="728B3472" w14:textId="77777777" w:rsidR="00087B91" w:rsidRPr="002029AF" w:rsidRDefault="00087B91" w:rsidP="00860E95">
            <w:pPr>
              <w:pStyle w:val="ARfintablebodyright"/>
            </w:pPr>
            <w:r w:rsidRPr="002029AF">
              <w:t>–</w:t>
            </w:r>
          </w:p>
        </w:tc>
        <w:tc>
          <w:tcPr>
            <w:tcW w:w="907" w:type="dxa"/>
            <w:tcBorders>
              <w:top w:val="single" w:sz="4" w:space="0" w:color="A6A6A6"/>
              <w:bottom w:val="single" w:sz="4" w:space="0" w:color="A6A6A6"/>
            </w:tcBorders>
            <w:noWrap/>
            <w:hideMark/>
          </w:tcPr>
          <w:p w14:paraId="61680095" w14:textId="77777777" w:rsidR="00087B91" w:rsidRPr="002029AF" w:rsidRDefault="00087B91" w:rsidP="00860E95">
            <w:pPr>
              <w:pStyle w:val="ARfintablebodyright"/>
            </w:pPr>
            <w:r w:rsidRPr="002029AF">
              <w:t>2.3</w:t>
            </w:r>
          </w:p>
        </w:tc>
        <w:tc>
          <w:tcPr>
            <w:tcW w:w="907" w:type="dxa"/>
            <w:tcBorders>
              <w:top w:val="single" w:sz="4" w:space="0" w:color="A6A6A6"/>
              <w:bottom w:val="single" w:sz="4" w:space="0" w:color="A6A6A6"/>
            </w:tcBorders>
            <w:noWrap/>
            <w:hideMark/>
          </w:tcPr>
          <w:p w14:paraId="6DEB480A" w14:textId="77777777" w:rsidR="00087B91" w:rsidRPr="002029AF" w:rsidRDefault="00087B91" w:rsidP="00860E95">
            <w:pPr>
              <w:pStyle w:val="ARfintablebodyright"/>
            </w:pPr>
            <w:r w:rsidRPr="002029AF">
              <w:t>(1.2)</w:t>
            </w:r>
          </w:p>
        </w:tc>
        <w:tc>
          <w:tcPr>
            <w:tcW w:w="907" w:type="dxa"/>
            <w:tcBorders>
              <w:top w:val="single" w:sz="4" w:space="0" w:color="A6A6A6"/>
              <w:bottom w:val="single" w:sz="4" w:space="0" w:color="A6A6A6"/>
            </w:tcBorders>
            <w:noWrap/>
            <w:hideMark/>
          </w:tcPr>
          <w:p w14:paraId="7637A7C2" w14:textId="77777777" w:rsidR="00087B91" w:rsidRPr="002029AF" w:rsidRDefault="00087B91" w:rsidP="00860E95">
            <w:pPr>
              <w:pStyle w:val="ARfintablebodyright"/>
            </w:pPr>
            <w:r w:rsidRPr="002029AF">
              <w:t>0.3</w:t>
            </w:r>
          </w:p>
        </w:tc>
        <w:tc>
          <w:tcPr>
            <w:tcW w:w="907" w:type="dxa"/>
            <w:tcBorders>
              <w:top w:val="single" w:sz="4" w:space="0" w:color="A6A6A6"/>
              <w:bottom w:val="single" w:sz="4" w:space="0" w:color="A6A6A6"/>
            </w:tcBorders>
            <w:noWrap/>
            <w:hideMark/>
          </w:tcPr>
          <w:p w14:paraId="502BAEB1" w14:textId="77777777" w:rsidR="00087B91" w:rsidRPr="002029AF" w:rsidRDefault="00087B91" w:rsidP="00860E95">
            <w:pPr>
              <w:pStyle w:val="ARfintablebodyright"/>
            </w:pPr>
            <w:r w:rsidRPr="002029AF">
              <w:t>31.0</w:t>
            </w:r>
          </w:p>
        </w:tc>
      </w:tr>
      <w:tr w:rsidR="00087B91" w:rsidRPr="002029AF" w14:paraId="314408B4" w14:textId="77777777" w:rsidTr="00860E95">
        <w:tc>
          <w:tcPr>
            <w:tcW w:w="3574" w:type="dxa"/>
            <w:tcBorders>
              <w:top w:val="single" w:sz="4" w:space="0" w:color="A6A6A6"/>
            </w:tcBorders>
            <w:noWrap/>
            <w:hideMark/>
          </w:tcPr>
          <w:p w14:paraId="5708163A" w14:textId="6FDC558B" w:rsidR="00087B91" w:rsidRPr="002029AF" w:rsidRDefault="00087B91" w:rsidP="00860E95">
            <w:pPr>
              <w:pStyle w:val="ARfintablebody"/>
            </w:pPr>
            <w:r w:rsidRPr="002029AF">
              <w:t>Victorian</w:t>
            </w:r>
            <w:r w:rsidR="000A5329" w:rsidRPr="002029AF">
              <w:t xml:space="preserve"> </w:t>
            </w:r>
            <w:r w:rsidRPr="002029AF">
              <w:t>Health</w:t>
            </w:r>
            <w:r w:rsidR="000A5329" w:rsidRPr="002029AF">
              <w:t xml:space="preserve"> </w:t>
            </w:r>
            <w:r w:rsidRPr="002029AF">
              <w:t>Promotion</w:t>
            </w:r>
            <w:r w:rsidR="000A5329" w:rsidRPr="002029AF">
              <w:t xml:space="preserve"> </w:t>
            </w:r>
            <w:r w:rsidRPr="002029AF">
              <w:t>Fund</w:t>
            </w:r>
          </w:p>
        </w:tc>
        <w:tc>
          <w:tcPr>
            <w:tcW w:w="908" w:type="dxa"/>
            <w:tcBorders>
              <w:top w:val="single" w:sz="4" w:space="0" w:color="A6A6A6"/>
              <w:right w:val="nil"/>
            </w:tcBorders>
            <w:shd w:val="clear" w:color="auto" w:fill="E7E6E6"/>
            <w:noWrap/>
            <w:hideMark/>
          </w:tcPr>
          <w:p w14:paraId="6C49A155" w14:textId="77777777" w:rsidR="00087B91" w:rsidRPr="002029AF" w:rsidRDefault="00087B91" w:rsidP="00860E95">
            <w:pPr>
              <w:pStyle w:val="ARfintablebodyright"/>
            </w:pPr>
            <w:r w:rsidRPr="002029AF">
              <w:t>–</w:t>
            </w:r>
          </w:p>
        </w:tc>
        <w:tc>
          <w:tcPr>
            <w:tcW w:w="907" w:type="dxa"/>
            <w:tcBorders>
              <w:top w:val="single" w:sz="4" w:space="0" w:color="A6A6A6"/>
              <w:left w:val="nil"/>
              <w:right w:val="nil"/>
            </w:tcBorders>
            <w:shd w:val="clear" w:color="auto" w:fill="E7E6E6"/>
            <w:noWrap/>
            <w:hideMark/>
          </w:tcPr>
          <w:p w14:paraId="5FBF3A28" w14:textId="77777777" w:rsidR="00087B91" w:rsidRPr="002029AF" w:rsidRDefault="00087B91" w:rsidP="00860E95">
            <w:pPr>
              <w:pStyle w:val="ARfintablebodyright"/>
            </w:pPr>
            <w:r w:rsidRPr="002029AF">
              <w:t>–</w:t>
            </w:r>
          </w:p>
        </w:tc>
        <w:tc>
          <w:tcPr>
            <w:tcW w:w="907" w:type="dxa"/>
            <w:tcBorders>
              <w:top w:val="single" w:sz="4" w:space="0" w:color="A6A6A6"/>
              <w:left w:val="nil"/>
              <w:right w:val="nil"/>
            </w:tcBorders>
            <w:shd w:val="clear" w:color="auto" w:fill="E7E6E6"/>
            <w:noWrap/>
            <w:hideMark/>
          </w:tcPr>
          <w:p w14:paraId="4626E92C" w14:textId="77777777" w:rsidR="00087B91" w:rsidRPr="002029AF" w:rsidRDefault="00087B91" w:rsidP="00860E95">
            <w:pPr>
              <w:pStyle w:val="ARfintablebodyright"/>
            </w:pPr>
            <w:r w:rsidRPr="002029AF">
              <w:t>40.7</w:t>
            </w:r>
          </w:p>
        </w:tc>
        <w:tc>
          <w:tcPr>
            <w:tcW w:w="907" w:type="dxa"/>
            <w:tcBorders>
              <w:top w:val="single" w:sz="4" w:space="0" w:color="A6A6A6"/>
              <w:left w:val="nil"/>
              <w:right w:val="nil"/>
            </w:tcBorders>
            <w:shd w:val="clear" w:color="auto" w:fill="E7E6E6"/>
            <w:noWrap/>
            <w:hideMark/>
          </w:tcPr>
          <w:p w14:paraId="5DCC1240" w14:textId="77777777" w:rsidR="00087B91" w:rsidRPr="002029AF" w:rsidRDefault="00087B91" w:rsidP="00860E95">
            <w:pPr>
              <w:pStyle w:val="ARfintablebodyright"/>
            </w:pPr>
            <w:r w:rsidRPr="002029AF">
              <w:t>40.7</w:t>
            </w:r>
          </w:p>
        </w:tc>
        <w:tc>
          <w:tcPr>
            <w:tcW w:w="907" w:type="dxa"/>
            <w:tcBorders>
              <w:top w:val="single" w:sz="4" w:space="0" w:color="A6A6A6"/>
              <w:left w:val="nil"/>
              <w:right w:val="nil"/>
            </w:tcBorders>
            <w:shd w:val="clear" w:color="auto" w:fill="E7E6E6"/>
            <w:noWrap/>
            <w:hideMark/>
          </w:tcPr>
          <w:p w14:paraId="78E51636" w14:textId="77777777" w:rsidR="00087B91" w:rsidRPr="002029AF" w:rsidRDefault="00087B91" w:rsidP="00860E95">
            <w:pPr>
              <w:pStyle w:val="ARfintablebodyright"/>
            </w:pPr>
            <w:r w:rsidRPr="002029AF">
              <w:t>–</w:t>
            </w:r>
          </w:p>
        </w:tc>
        <w:tc>
          <w:tcPr>
            <w:tcW w:w="907" w:type="dxa"/>
            <w:tcBorders>
              <w:top w:val="single" w:sz="4" w:space="0" w:color="A6A6A6"/>
              <w:left w:val="nil"/>
            </w:tcBorders>
            <w:shd w:val="clear" w:color="auto" w:fill="E7E6E6"/>
            <w:noWrap/>
            <w:hideMark/>
          </w:tcPr>
          <w:p w14:paraId="07920437" w14:textId="77777777" w:rsidR="00087B91" w:rsidRPr="002029AF" w:rsidRDefault="00087B91" w:rsidP="00860E95">
            <w:pPr>
              <w:pStyle w:val="ARfintablebodyright"/>
            </w:pPr>
            <w:r w:rsidRPr="002029AF">
              <w:t>–</w:t>
            </w:r>
          </w:p>
        </w:tc>
        <w:tc>
          <w:tcPr>
            <w:tcW w:w="907" w:type="dxa"/>
            <w:tcBorders>
              <w:top w:val="single" w:sz="4" w:space="0" w:color="A6A6A6"/>
            </w:tcBorders>
            <w:noWrap/>
            <w:hideMark/>
          </w:tcPr>
          <w:p w14:paraId="07B8695B" w14:textId="77777777" w:rsidR="00087B91" w:rsidRPr="002029AF" w:rsidRDefault="00087B91" w:rsidP="00860E95">
            <w:pPr>
              <w:pStyle w:val="ARfintablebodyright"/>
            </w:pPr>
            <w:r w:rsidRPr="002029AF">
              <w:t>–</w:t>
            </w:r>
          </w:p>
        </w:tc>
        <w:tc>
          <w:tcPr>
            <w:tcW w:w="907" w:type="dxa"/>
            <w:tcBorders>
              <w:top w:val="single" w:sz="4" w:space="0" w:color="A6A6A6"/>
            </w:tcBorders>
            <w:noWrap/>
            <w:hideMark/>
          </w:tcPr>
          <w:p w14:paraId="48AE8473" w14:textId="77777777" w:rsidR="00087B91" w:rsidRPr="002029AF" w:rsidRDefault="00087B91" w:rsidP="00860E95">
            <w:pPr>
              <w:pStyle w:val="ARfintablebodyright"/>
            </w:pPr>
            <w:r w:rsidRPr="002029AF">
              <w:t>–</w:t>
            </w:r>
          </w:p>
        </w:tc>
        <w:tc>
          <w:tcPr>
            <w:tcW w:w="907" w:type="dxa"/>
            <w:tcBorders>
              <w:top w:val="single" w:sz="4" w:space="0" w:color="A6A6A6"/>
            </w:tcBorders>
            <w:noWrap/>
            <w:hideMark/>
          </w:tcPr>
          <w:p w14:paraId="6A1C190D" w14:textId="77777777" w:rsidR="00087B91" w:rsidRPr="002029AF" w:rsidRDefault="00087B91" w:rsidP="00860E95">
            <w:pPr>
              <w:pStyle w:val="ARfintablebodyright"/>
            </w:pPr>
            <w:r w:rsidRPr="002029AF">
              <w:t>40.2</w:t>
            </w:r>
          </w:p>
        </w:tc>
        <w:tc>
          <w:tcPr>
            <w:tcW w:w="907" w:type="dxa"/>
            <w:tcBorders>
              <w:top w:val="single" w:sz="4" w:space="0" w:color="A6A6A6"/>
            </w:tcBorders>
            <w:noWrap/>
            <w:hideMark/>
          </w:tcPr>
          <w:p w14:paraId="52F9E96E" w14:textId="77777777" w:rsidR="00087B91" w:rsidRPr="002029AF" w:rsidRDefault="00087B91" w:rsidP="00860E95">
            <w:pPr>
              <w:pStyle w:val="ARfintablebodyright"/>
            </w:pPr>
            <w:r w:rsidRPr="002029AF">
              <w:t>40.2</w:t>
            </w:r>
          </w:p>
        </w:tc>
        <w:tc>
          <w:tcPr>
            <w:tcW w:w="907" w:type="dxa"/>
            <w:tcBorders>
              <w:top w:val="single" w:sz="4" w:space="0" w:color="A6A6A6"/>
            </w:tcBorders>
            <w:noWrap/>
            <w:hideMark/>
          </w:tcPr>
          <w:p w14:paraId="587CF567" w14:textId="77777777" w:rsidR="00087B91" w:rsidRPr="002029AF" w:rsidRDefault="00087B91" w:rsidP="00860E95">
            <w:pPr>
              <w:pStyle w:val="ARfintablebodyright"/>
            </w:pPr>
            <w:r w:rsidRPr="002029AF">
              <w:t>–</w:t>
            </w:r>
          </w:p>
        </w:tc>
        <w:tc>
          <w:tcPr>
            <w:tcW w:w="907" w:type="dxa"/>
            <w:tcBorders>
              <w:top w:val="single" w:sz="4" w:space="0" w:color="A6A6A6"/>
            </w:tcBorders>
            <w:noWrap/>
            <w:hideMark/>
          </w:tcPr>
          <w:p w14:paraId="4CDF6575" w14:textId="77777777" w:rsidR="00087B91" w:rsidRPr="002029AF" w:rsidRDefault="00087B91" w:rsidP="00860E95">
            <w:pPr>
              <w:pStyle w:val="ARfintablebodyright"/>
            </w:pPr>
            <w:r w:rsidRPr="002029AF">
              <w:t>–</w:t>
            </w:r>
          </w:p>
        </w:tc>
      </w:tr>
      <w:tr w:rsidR="00087B91" w:rsidRPr="002029AF" w14:paraId="0A13615D" w14:textId="77777777" w:rsidTr="00860E95">
        <w:tc>
          <w:tcPr>
            <w:tcW w:w="3574" w:type="dxa"/>
            <w:hideMark/>
          </w:tcPr>
          <w:p w14:paraId="1A0EBB02" w14:textId="1ECEF692" w:rsidR="00087B91" w:rsidRPr="002029AF" w:rsidRDefault="00087B91" w:rsidP="00860E95">
            <w:pPr>
              <w:pStyle w:val="ARfintablebodybold"/>
            </w:pPr>
            <w:r w:rsidRPr="002029AF">
              <w:t>Total</w:t>
            </w:r>
            <w:r w:rsidR="000A5329" w:rsidRPr="002029AF">
              <w:t xml:space="preserve"> </w:t>
            </w:r>
            <w:r w:rsidRPr="002029AF">
              <w:t>controlled</w:t>
            </w:r>
            <w:r w:rsidR="000A5329" w:rsidRPr="002029AF">
              <w:t xml:space="preserve"> </w:t>
            </w:r>
            <w:r w:rsidRPr="002029AF">
              <w:t>trusts</w:t>
            </w:r>
          </w:p>
        </w:tc>
        <w:tc>
          <w:tcPr>
            <w:tcW w:w="908" w:type="dxa"/>
            <w:tcBorders>
              <w:right w:val="nil"/>
            </w:tcBorders>
            <w:shd w:val="clear" w:color="auto" w:fill="E7E6E6"/>
            <w:noWrap/>
            <w:hideMark/>
          </w:tcPr>
          <w:p w14:paraId="4228F87E" w14:textId="77777777" w:rsidR="00087B91" w:rsidRPr="002029AF" w:rsidRDefault="00087B91" w:rsidP="00860E95">
            <w:pPr>
              <w:pStyle w:val="ARfintablebodyrightbold"/>
            </w:pPr>
            <w:r w:rsidRPr="002029AF">
              <w:t>344.3</w:t>
            </w:r>
          </w:p>
        </w:tc>
        <w:tc>
          <w:tcPr>
            <w:tcW w:w="907" w:type="dxa"/>
            <w:tcBorders>
              <w:left w:val="nil"/>
              <w:right w:val="nil"/>
            </w:tcBorders>
            <w:shd w:val="clear" w:color="auto" w:fill="E7E6E6"/>
            <w:noWrap/>
            <w:hideMark/>
          </w:tcPr>
          <w:p w14:paraId="38D1DF87" w14:textId="77777777" w:rsidR="00087B91" w:rsidRPr="002029AF" w:rsidRDefault="00087B91" w:rsidP="00860E95">
            <w:pPr>
              <w:pStyle w:val="ARfintablebodyrightbold"/>
            </w:pPr>
            <w:r w:rsidRPr="002029AF">
              <w:t>2.1</w:t>
            </w:r>
          </w:p>
        </w:tc>
        <w:tc>
          <w:tcPr>
            <w:tcW w:w="907" w:type="dxa"/>
            <w:tcBorders>
              <w:left w:val="nil"/>
              <w:right w:val="nil"/>
            </w:tcBorders>
            <w:shd w:val="clear" w:color="auto" w:fill="E7E6E6"/>
            <w:noWrap/>
            <w:hideMark/>
          </w:tcPr>
          <w:p w14:paraId="66790B24" w14:textId="77777777" w:rsidR="00087B91" w:rsidRPr="002029AF" w:rsidRDefault="00087B91" w:rsidP="00860E95">
            <w:pPr>
              <w:pStyle w:val="ARfintablebodyrightbold"/>
            </w:pPr>
            <w:r w:rsidRPr="002029AF">
              <w:t>5,275.7</w:t>
            </w:r>
          </w:p>
        </w:tc>
        <w:tc>
          <w:tcPr>
            <w:tcW w:w="907" w:type="dxa"/>
            <w:tcBorders>
              <w:left w:val="nil"/>
              <w:right w:val="nil"/>
            </w:tcBorders>
            <w:shd w:val="clear" w:color="auto" w:fill="E7E6E6"/>
            <w:noWrap/>
            <w:hideMark/>
          </w:tcPr>
          <w:p w14:paraId="4CAD60C2" w14:textId="77777777" w:rsidR="00087B91" w:rsidRPr="002029AF" w:rsidRDefault="00087B91" w:rsidP="00860E95">
            <w:pPr>
              <w:pStyle w:val="ARfintablebodyrightbold"/>
            </w:pPr>
            <w:r w:rsidRPr="002029AF">
              <w:t>5,096.7</w:t>
            </w:r>
          </w:p>
        </w:tc>
        <w:tc>
          <w:tcPr>
            <w:tcW w:w="907" w:type="dxa"/>
            <w:tcBorders>
              <w:left w:val="nil"/>
              <w:right w:val="nil"/>
            </w:tcBorders>
            <w:shd w:val="clear" w:color="auto" w:fill="E7E6E6"/>
            <w:noWrap/>
            <w:hideMark/>
          </w:tcPr>
          <w:p w14:paraId="3265D5E8" w14:textId="77777777" w:rsidR="00087B91" w:rsidRPr="002029AF" w:rsidRDefault="00087B91" w:rsidP="00860E95">
            <w:pPr>
              <w:pStyle w:val="ARfintablebodyrightbold"/>
            </w:pPr>
            <w:r w:rsidRPr="002029AF">
              <w:t>(373.4)</w:t>
            </w:r>
          </w:p>
        </w:tc>
        <w:tc>
          <w:tcPr>
            <w:tcW w:w="907" w:type="dxa"/>
            <w:tcBorders>
              <w:left w:val="nil"/>
            </w:tcBorders>
            <w:shd w:val="clear" w:color="auto" w:fill="E7E6E6"/>
            <w:noWrap/>
            <w:hideMark/>
          </w:tcPr>
          <w:p w14:paraId="07CC008C" w14:textId="77777777" w:rsidR="00087B91" w:rsidRPr="002029AF" w:rsidRDefault="00087B91" w:rsidP="00860E95">
            <w:pPr>
              <w:pStyle w:val="ARfintablebodyrightbold"/>
            </w:pPr>
            <w:r w:rsidRPr="002029AF">
              <w:t>151.9</w:t>
            </w:r>
          </w:p>
        </w:tc>
        <w:tc>
          <w:tcPr>
            <w:tcW w:w="907" w:type="dxa"/>
            <w:noWrap/>
            <w:hideMark/>
          </w:tcPr>
          <w:p w14:paraId="383DB77A" w14:textId="77777777" w:rsidR="00087B91" w:rsidRPr="002029AF" w:rsidRDefault="00087B91" w:rsidP="00860E95">
            <w:pPr>
              <w:pStyle w:val="ARfintablebodyrightbold"/>
            </w:pPr>
            <w:r w:rsidRPr="002029AF">
              <w:t>298.9</w:t>
            </w:r>
          </w:p>
        </w:tc>
        <w:tc>
          <w:tcPr>
            <w:tcW w:w="907" w:type="dxa"/>
            <w:noWrap/>
            <w:hideMark/>
          </w:tcPr>
          <w:p w14:paraId="32B49B23" w14:textId="77777777" w:rsidR="00087B91" w:rsidRPr="002029AF" w:rsidRDefault="00087B91" w:rsidP="00860E95">
            <w:pPr>
              <w:pStyle w:val="ARfintablebodyrightbold"/>
            </w:pPr>
            <w:r w:rsidRPr="002029AF">
              <w:t>0.6</w:t>
            </w:r>
          </w:p>
        </w:tc>
        <w:tc>
          <w:tcPr>
            <w:tcW w:w="907" w:type="dxa"/>
            <w:noWrap/>
            <w:hideMark/>
          </w:tcPr>
          <w:p w14:paraId="55B0630F" w14:textId="77777777" w:rsidR="00087B91" w:rsidRPr="002029AF" w:rsidRDefault="00087B91" w:rsidP="00860E95">
            <w:pPr>
              <w:pStyle w:val="ARfintablebodyrightbold"/>
            </w:pPr>
            <w:r w:rsidRPr="002029AF">
              <w:t>3,636.1</w:t>
            </w:r>
          </w:p>
        </w:tc>
        <w:tc>
          <w:tcPr>
            <w:tcW w:w="907" w:type="dxa"/>
            <w:noWrap/>
            <w:hideMark/>
          </w:tcPr>
          <w:p w14:paraId="6AD50C04" w14:textId="77777777" w:rsidR="00087B91" w:rsidRPr="002029AF" w:rsidRDefault="00087B91" w:rsidP="00860E95">
            <w:pPr>
              <w:pStyle w:val="ARfintablebodyrightbold"/>
            </w:pPr>
            <w:r w:rsidRPr="002029AF">
              <w:t>3,545.3</w:t>
            </w:r>
          </w:p>
        </w:tc>
        <w:tc>
          <w:tcPr>
            <w:tcW w:w="907" w:type="dxa"/>
            <w:noWrap/>
            <w:hideMark/>
          </w:tcPr>
          <w:p w14:paraId="0A3ADFEE" w14:textId="77777777" w:rsidR="00087B91" w:rsidRPr="002029AF" w:rsidRDefault="00087B91" w:rsidP="00860E95">
            <w:pPr>
              <w:pStyle w:val="ARfintablebodyrightbold"/>
            </w:pPr>
            <w:r w:rsidRPr="002029AF">
              <w:t>(46.0)</w:t>
            </w:r>
          </w:p>
        </w:tc>
        <w:tc>
          <w:tcPr>
            <w:tcW w:w="907" w:type="dxa"/>
            <w:noWrap/>
            <w:hideMark/>
          </w:tcPr>
          <w:p w14:paraId="0FAD6549" w14:textId="77777777" w:rsidR="00087B91" w:rsidRPr="002029AF" w:rsidRDefault="00087B91" w:rsidP="00860E95">
            <w:pPr>
              <w:pStyle w:val="ARfintablebodyrightbold"/>
            </w:pPr>
            <w:r w:rsidRPr="002029AF">
              <w:t>344.3</w:t>
            </w:r>
          </w:p>
        </w:tc>
      </w:tr>
      <w:tr w:rsidR="00087B91" w:rsidRPr="002029AF" w14:paraId="7D65CC0B" w14:textId="77777777" w:rsidTr="00860E95">
        <w:tc>
          <w:tcPr>
            <w:tcW w:w="14459" w:type="dxa"/>
            <w:gridSpan w:val="13"/>
          </w:tcPr>
          <w:p w14:paraId="248AD6F9" w14:textId="21B6A1BE" w:rsidR="00087B91" w:rsidRPr="002029AF" w:rsidRDefault="00087B91" w:rsidP="00860E95">
            <w:pPr>
              <w:pStyle w:val="ARfintablebodybold"/>
              <w:pageBreakBefore/>
            </w:pPr>
            <w:r w:rsidRPr="002029AF">
              <w:lastRenderedPageBreak/>
              <w:t>Administered</w:t>
            </w:r>
            <w:r w:rsidR="000A5329" w:rsidRPr="002029AF">
              <w:t xml:space="preserve"> </w:t>
            </w:r>
            <w:r w:rsidRPr="002029AF">
              <w:t>trusts</w:t>
            </w:r>
          </w:p>
        </w:tc>
      </w:tr>
      <w:tr w:rsidR="00087B91" w:rsidRPr="002029AF" w14:paraId="7F784CF7" w14:textId="77777777" w:rsidTr="00860E95">
        <w:tc>
          <w:tcPr>
            <w:tcW w:w="3574" w:type="dxa"/>
          </w:tcPr>
          <w:p w14:paraId="4551CE09" w14:textId="03F7687F" w:rsidR="00087B91" w:rsidRPr="002029AF" w:rsidRDefault="00087B91" w:rsidP="00860E95">
            <w:pPr>
              <w:pStyle w:val="ARfintablebody"/>
            </w:pPr>
            <w:r w:rsidRPr="002029AF">
              <w:t>Anzac</w:t>
            </w:r>
            <w:r w:rsidR="000A5329" w:rsidRPr="002029AF">
              <w:t xml:space="preserve"> </w:t>
            </w:r>
            <w:r w:rsidRPr="002029AF">
              <w:t>Day</w:t>
            </w:r>
            <w:r w:rsidR="000A5329" w:rsidRPr="002029AF">
              <w:t xml:space="preserve"> </w:t>
            </w:r>
            <w:r w:rsidRPr="002029AF">
              <w:t>Proceeds</w:t>
            </w:r>
            <w:r w:rsidR="000A5329" w:rsidRPr="002029AF">
              <w:t xml:space="preserve"> </w:t>
            </w:r>
            <w:r w:rsidRPr="002029AF">
              <w:t>Fund</w:t>
            </w:r>
          </w:p>
        </w:tc>
        <w:tc>
          <w:tcPr>
            <w:tcW w:w="908" w:type="dxa"/>
            <w:tcBorders>
              <w:right w:val="nil"/>
            </w:tcBorders>
            <w:shd w:val="clear" w:color="auto" w:fill="E7E6E6"/>
            <w:noWrap/>
          </w:tcPr>
          <w:p w14:paraId="6E5A1BD7" w14:textId="77777777" w:rsidR="00087B91" w:rsidRPr="002029AF" w:rsidRDefault="00087B91" w:rsidP="00860E95">
            <w:pPr>
              <w:pStyle w:val="ARfintablebodyright"/>
            </w:pPr>
            <w:r w:rsidRPr="002029AF">
              <w:t>–</w:t>
            </w:r>
          </w:p>
        </w:tc>
        <w:tc>
          <w:tcPr>
            <w:tcW w:w="907" w:type="dxa"/>
            <w:tcBorders>
              <w:left w:val="nil"/>
              <w:right w:val="nil"/>
            </w:tcBorders>
            <w:shd w:val="clear" w:color="auto" w:fill="E7E6E6"/>
            <w:noWrap/>
          </w:tcPr>
          <w:p w14:paraId="11EAE884" w14:textId="77777777" w:rsidR="00087B91" w:rsidRPr="002029AF" w:rsidRDefault="00087B91" w:rsidP="00860E95">
            <w:pPr>
              <w:pStyle w:val="ARfintablebodyright"/>
            </w:pPr>
            <w:r w:rsidRPr="002029AF">
              <w:t>–</w:t>
            </w:r>
          </w:p>
        </w:tc>
        <w:tc>
          <w:tcPr>
            <w:tcW w:w="907" w:type="dxa"/>
            <w:tcBorders>
              <w:left w:val="nil"/>
              <w:right w:val="nil"/>
            </w:tcBorders>
            <w:shd w:val="clear" w:color="auto" w:fill="E7E6E6"/>
            <w:noWrap/>
          </w:tcPr>
          <w:p w14:paraId="7BE6C885" w14:textId="77777777" w:rsidR="00087B91" w:rsidRPr="002029AF" w:rsidRDefault="00087B91" w:rsidP="00860E95">
            <w:pPr>
              <w:pStyle w:val="ARfintablebodyright"/>
            </w:pPr>
            <w:r w:rsidRPr="002029AF">
              <w:t>–</w:t>
            </w:r>
          </w:p>
        </w:tc>
        <w:tc>
          <w:tcPr>
            <w:tcW w:w="907" w:type="dxa"/>
            <w:tcBorders>
              <w:left w:val="nil"/>
              <w:right w:val="nil"/>
            </w:tcBorders>
            <w:shd w:val="clear" w:color="auto" w:fill="E7E6E6"/>
            <w:noWrap/>
          </w:tcPr>
          <w:p w14:paraId="5FA79BD6" w14:textId="77777777" w:rsidR="00087B91" w:rsidRPr="002029AF" w:rsidRDefault="00087B91" w:rsidP="00860E95">
            <w:pPr>
              <w:pStyle w:val="ARfintablebodyright"/>
            </w:pPr>
            <w:r w:rsidRPr="002029AF">
              <w:t>–</w:t>
            </w:r>
          </w:p>
        </w:tc>
        <w:tc>
          <w:tcPr>
            <w:tcW w:w="907" w:type="dxa"/>
            <w:tcBorders>
              <w:left w:val="nil"/>
              <w:right w:val="nil"/>
            </w:tcBorders>
            <w:shd w:val="clear" w:color="auto" w:fill="E7E6E6"/>
            <w:noWrap/>
          </w:tcPr>
          <w:p w14:paraId="3C1254F5" w14:textId="77777777" w:rsidR="00087B91" w:rsidRPr="002029AF" w:rsidRDefault="00087B91" w:rsidP="00860E95">
            <w:pPr>
              <w:pStyle w:val="ARfintablebodyright"/>
            </w:pPr>
            <w:r w:rsidRPr="002029AF">
              <w:t>–</w:t>
            </w:r>
          </w:p>
        </w:tc>
        <w:tc>
          <w:tcPr>
            <w:tcW w:w="907" w:type="dxa"/>
            <w:tcBorders>
              <w:left w:val="nil"/>
            </w:tcBorders>
            <w:shd w:val="clear" w:color="auto" w:fill="E7E6E6"/>
            <w:noWrap/>
          </w:tcPr>
          <w:p w14:paraId="26520A48" w14:textId="77777777" w:rsidR="00087B91" w:rsidRPr="002029AF" w:rsidRDefault="00087B91" w:rsidP="00860E95">
            <w:pPr>
              <w:pStyle w:val="ARfintablebodyright"/>
            </w:pPr>
            <w:r w:rsidRPr="002029AF">
              <w:t>–</w:t>
            </w:r>
          </w:p>
        </w:tc>
        <w:tc>
          <w:tcPr>
            <w:tcW w:w="907" w:type="dxa"/>
            <w:noWrap/>
          </w:tcPr>
          <w:p w14:paraId="34612660" w14:textId="77777777" w:rsidR="00087B91" w:rsidRPr="002029AF" w:rsidRDefault="00087B91" w:rsidP="00860E95">
            <w:pPr>
              <w:pStyle w:val="ARfintablebodyright"/>
            </w:pPr>
            <w:r w:rsidRPr="002029AF">
              <w:t>0.4</w:t>
            </w:r>
          </w:p>
        </w:tc>
        <w:tc>
          <w:tcPr>
            <w:tcW w:w="907" w:type="dxa"/>
            <w:noWrap/>
          </w:tcPr>
          <w:p w14:paraId="0E0A0FE3" w14:textId="77777777" w:rsidR="00087B91" w:rsidRPr="002029AF" w:rsidRDefault="00087B91" w:rsidP="00860E95">
            <w:pPr>
              <w:pStyle w:val="ARfintablebodyright"/>
            </w:pPr>
            <w:r w:rsidRPr="002029AF">
              <w:t>–</w:t>
            </w:r>
          </w:p>
        </w:tc>
        <w:tc>
          <w:tcPr>
            <w:tcW w:w="907" w:type="dxa"/>
            <w:noWrap/>
          </w:tcPr>
          <w:p w14:paraId="3310373B" w14:textId="77777777" w:rsidR="00087B91" w:rsidRPr="002029AF" w:rsidRDefault="00087B91" w:rsidP="00860E95">
            <w:pPr>
              <w:pStyle w:val="ARfintablebodyright"/>
            </w:pPr>
            <w:r w:rsidRPr="002029AF">
              <w:t>–</w:t>
            </w:r>
          </w:p>
        </w:tc>
        <w:tc>
          <w:tcPr>
            <w:tcW w:w="907" w:type="dxa"/>
            <w:noWrap/>
          </w:tcPr>
          <w:p w14:paraId="10239C04" w14:textId="77777777" w:rsidR="00087B91" w:rsidRPr="002029AF" w:rsidRDefault="00087B91" w:rsidP="00860E95">
            <w:pPr>
              <w:pStyle w:val="ARfintablebodyright"/>
            </w:pPr>
            <w:r w:rsidRPr="002029AF">
              <w:t>0.4</w:t>
            </w:r>
          </w:p>
        </w:tc>
        <w:tc>
          <w:tcPr>
            <w:tcW w:w="907" w:type="dxa"/>
            <w:noWrap/>
          </w:tcPr>
          <w:p w14:paraId="4125072A" w14:textId="77777777" w:rsidR="00087B91" w:rsidRPr="002029AF" w:rsidRDefault="00087B91" w:rsidP="00860E95">
            <w:pPr>
              <w:pStyle w:val="ARfintablebodyright"/>
            </w:pPr>
            <w:r w:rsidRPr="002029AF">
              <w:t>–</w:t>
            </w:r>
          </w:p>
        </w:tc>
        <w:tc>
          <w:tcPr>
            <w:tcW w:w="907" w:type="dxa"/>
            <w:noWrap/>
          </w:tcPr>
          <w:p w14:paraId="4490BB90" w14:textId="77777777" w:rsidR="00087B91" w:rsidRPr="002029AF" w:rsidRDefault="00087B91" w:rsidP="00860E95">
            <w:pPr>
              <w:pStyle w:val="ARfintablebodyright"/>
            </w:pPr>
            <w:r w:rsidRPr="002029AF">
              <w:t>–</w:t>
            </w:r>
          </w:p>
        </w:tc>
      </w:tr>
      <w:tr w:rsidR="00087B91" w:rsidRPr="002029AF" w14:paraId="482AB928" w14:textId="77777777" w:rsidTr="00860E95">
        <w:tc>
          <w:tcPr>
            <w:tcW w:w="3574" w:type="dxa"/>
          </w:tcPr>
          <w:p w14:paraId="452D8EC6" w14:textId="6FE92727" w:rsidR="00087B91" w:rsidRPr="002029AF" w:rsidRDefault="00087B91" w:rsidP="00860E95">
            <w:pPr>
              <w:pStyle w:val="ARfintablebody"/>
            </w:pPr>
            <w:r w:rsidRPr="002029AF">
              <w:t>National</w:t>
            </w:r>
            <w:r w:rsidR="000A5329" w:rsidRPr="002029AF">
              <w:t xml:space="preserve"> </w:t>
            </w:r>
            <w:r w:rsidRPr="002029AF">
              <w:t>Disability</w:t>
            </w:r>
            <w:r w:rsidR="000A5329" w:rsidRPr="002029AF">
              <w:t xml:space="preserve"> </w:t>
            </w:r>
            <w:r w:rsidRPr="002029AF">
              <w:t>Insurance</w:t>
            </w:r>
            <w:r w:rsidR="000A5329" w:rsidRPr="002029AF">
              <w:t xml:space="preserve"> </w:t>
            </w:r>
            <w:r w:rsidRPr="002029AF">
              <w:t>Scheme</w:t>
            </w:r>
            <w:r w:rsidR="000A5329" w:rsidRPr="002029AF">
              <w:t xml:space="preserve"> </w:t>
            </w:r>
            <w:r w:rsidRPr="002029AF">
              <w:t>Trust</w:t>
            </w:r>
            <w:r w:rsidR="000A5329" w:rsidRPr="002029AF">
              <w:t xml:space="preserve"> </w:t>
            </w:r>
            <w:r w:rsidRPr="002029AF">
              <w:t>Account</w:t>
            </w:r>
          </w:p>
        </w:tc>
        <w:tc>
          <w:tcPr>
            <w:tcW w:w="908" w:type="dxa"/>
            <w:tcBorders>
              <w:right w:val="nil"/>
            </w:tcBorders>
            <w:shd w:val="clear" w:color="auto" w:fill="E7E6E6"/>
            <w:noWrap/>
          </w:tcPr>
          <w:p w14:paraId="7FCB2342" w14:textId="77777777" w:rsidR="00087B91" w:rsidRPr="002029AF" w:rsidRDefault="00087B91" w:rsidP="00860E95">
            <w:pPr>
              <w:pStyle w:val="ARfintablebodyright"/>
            </w:pPr>
            <w:r w:rsidRPr="002029AF">
              <w:t>73.1</w:t>
            </w:r>
          </w:p>
        </w:tc>
        <w:tc>
          <w:tcPr>
            <w:tcW w:w="907" w:type="dxa"/>
            <w:tcBorders>
              <w:left w:val="nil"/>
              <w:right w:val="nil"/>
            </w:tcBorders>
            <w:shd w:val="clear" w:color="auto" w:fill="E7E6E6"/>
            <w:noWrap/>
          </w:tcPr>
          <w:p w14:paraId="2F14994F" w14:textId="77777777" w:rsidR="00087B91" w:rsidRPr="002029AF" w:rsidRDefault="00087B91" w:rsidP="00860E95">
            <w:pPr>
              <w:pStyle w:val="ARfintablebodyright"/>
            </w:pPr>
            <w:r w:rsidRPr="002029AF">
              <w:t>–</w:t>
            </w:r>
          </w:p>
        </w:tc>
        <w:tc>
          <w:tcPr>
            <w:tcW w:w="907" w:type="dxa"/>
            <w:tcBorders>
              <w:left w:val="nil"/>
              <w:right w:val="nil"/>
            </w:tcBorders>
            <w:shd w:val="clear" w:color="auto" w:fill="E7E6E6"/>
            <w:noWrap/>
          </w:tcPr>
          <w:p w14:paraId="444A28C4" w14:textId="77777777" w:rsidR="00087B91" w:rsidRPr="002029AF" w:rsidRDefault="00087B91" w:rsidP="00860E95">
            <w:pPr>
              <w:pStyle w:val="ARfintablebodyright"/>
            </w:pPr>
            <w:r w:rsidRPr="002029AF">
              <w:t>1,577.8</w:t>
            </w:r>
          </w:p>
        </w:tc>
        <w:tc>
          <w:tcPr>
            <w:tcW w:w="907" w:type="dxa"/>
            <w:tcBorders>
              <w:left w:val="nil"/>
              <w:right w:val="nil"/>
            </w:tcBorders>
            <w:shd w:val="clear" w:color="auto" w:fill="E7E6E6"/>
            <w:noWrap/>
          </w:tcPr>
          <w:p w14:paraId="6C0AC277" w14:textId="77777777" w:rsidR="00087B91" w:rsidRPr="002029AF" w:rsidRDefault="00087B91" w:rsidP="00860E95">
            <w:pPr>
              <w:pStyle w:val="ARfintablebodyright"/>
            </w:pPr>
            <w:r w:rsidRPr="002029AF">
              <w:t>1,231.8</w:t>
            </w:r>
          </w:p>
        </w:tc>
        <w:tc>
          <w:tcPr>
            <w:tcW w:w="907" w:type="dxa"/>
            <w:tcBorders>
              <w:left w:val="nil"/>
              <w:right w:val="nil"/>
            </w:tcBorders>
            <w:shd w:val="clear" w:color="auto" w:fill="E7E6E6"/>
            <w:noWrap/>
          </w:tcPr>
          <w:p w14:paraId="73D33235" w14:textId="77777777" w:rsidR="00087B91" w:rsidRPr="002029AF" w:rsidRDefault="00087B91" w:rsidP="00860E95">
            <w:pPr>
              <w:pStyle w:val="ARfintablebodyright"/>
            </w:pPr>
            <w:r w:rsidRPr="002029AF">
              <w:t>(419.1)</w:t>
            </w:r>
          </w:p>
        </w:tc>
        <w:tc>
          <w:tcPr>
            <w:tcW w:w="907" w:type="dxa"/>
            <w:tcBorders>
              <w:left w:val="nil"/>
            </w:tcBorders>
            <w:shd w:val="clear" w:color="auto" w:fill="E7E6E6"/>
            <w:noWrap/>
          </w:tcPr>
          <w:p w14:paraId="083A1983" w14:textId="77777777" w:rsidR="00087B91" w:rsidRPr="002029AF" w:rsidRDefault="00087B91" w:rsidP="00860E95">
            <w:pPr>
              <w:pStyle w:val="ARfintablebodyright"/>
            </w:pPr>
            <w:r w:rsidRPr="002029AF">
              <w:t>–</w:t>
            </w:r>
          </w:p>
        </w:tc>
        <w:tc>
          <w:tcPr>
            <w:tcW w:w="907" w:type="dxa"/>
            <w:noWrap/>
          </w:tcPr>
          <w:p w14:paraId="37F16C9D" w14:textId="77777777" w:rsidR="00087B91" w:rsidRPr="002029AF" w:rsidRDefault="00087B91" w:rsidP="00860E95">
            <w:pPr>
              <w:pStyle w:val="ARfintablebodyright"/>
            </w:pPr>
            <w:r w:rsidRPr="002029AF">
              <w:t>28.3</w:t>
            </w:r>
          </w:p>
        </w:tc>
        <w:tc>
          <w:tcPr>
            <w:tcW w:w="907" w:type="dxa"/>
            <w:noWrap/>
          </w:tcPr>
          <w:p w14:paraId="43E09B73" w14:textId="77777777" w:rsidR="00087B91" w:rsidRPr="002029AF" w:rsidRDefault="00087B91" w:rsidP="00860E95">
            <w:pPr>
              <w:pStyle w:val="ARfintablebodyright"/>
            </w:pPr>
            <w:r w:rsidRPr="002029AF">
              <w:t>–</w:t>
            </w:r>
          </w:p>
        </w:tc>
        <w:tc>
          <w:tcPr>
            <w:tcW w:w="907" w:type="dxa"/>
            <w:noWrap/>
          </w:tcPr>
          <w:p w14:paraId="1AB87182" w14:textId="77777777" w:rsidR="00087B91" w:rsidRPr="002029AF" w:rsidRDefault="00087B91" w:rsidP="00860E95">
            <w:pPr>
              <w:pStyle w:val="ARfintablebodyright"/>
            </w:pPr>
            <w:r w:rsidRPr="002029AF">
              <w:t>1,067.2</w:t>
            </w:r>
          </w:p>
        </w:tc>
        <w:tc>
          <w:tcPr>
            <w:tcW w:w="907" w:type="dxa"/>
            <w:noWrap/>
          </w:tcPr>
          <w:p w14:paraId="30E73CD4" w14:textId="77777777" w:rsidR="00087B91" w:rsidRPr="002029AF" w:rsidRDefault="00087B91" w:rsidP="00860E95">
            <w:pPr>
              <w:pStyle w:val="ARfintablebodyright"/>
            </w:pPr>
            <w:r w:rsidRPr="002029AF">
              <w:t>1,106.8</w:t>
            </w:r>
          </w:p>
        </w:tc>
        <w:tc>
          <w:tcPr>
            <w:tcW w:w="907" w:type="dxa"/>
            <w:noWrap/>
          </w:tcPr>
          <w:p w14:paraId="32155820" w14:textId="77777777" w:rsidR="00087B91" w:rsidRPr="002029AF" w:rsidRDefault="00087B91" w:rsidP="00860E95">
            <w:pPr>
              <w:pStyle w:val="ARfintablebodyright"/>
            </w:pPr>
            <w:r w:rsidRPr="002029AF">
              <w:t>84.3</w:t>
            </w:r>
          </w:p>
        </w:tc>
        <w:tc>
          <w:tcPr>
            <w:tcW w:w="907" w:type="dxa"/>
            <w:noWrap/>
          </w:tcPr>
          <w:p w14:paraId="77E2858F" w14:textId="77777777" w:rsidR="00087B91" w:rsidRPr="002029AF" w:rsidRDefault="00087B91" w:rsidP="00860E95">
            <w:pPr>
              <w:pStyle w:val="ARfintablebodyright"/>
            </w:pPr>
            <w:r w:rsidRPr="002029AF">
              <w:t>73.1</w:t>
            </w:r>
          </w:p>
        </w:tc>
      </w:tr>
      <w:tr w:rsidR="00087B91" w:rsidRPr="002029AF" w14:paraId="3CFE959E" w14:textId="77777777" w:rsidTr="00860E95">
        <w:tc>
          <w:tcPr>
            <w:tcW w:w="3574" w:type="dxa"/>
          </w:tcPr>
          <w:p w14:paraId="2A0E1743" w14:textId="2389AC52" w:rsidR="00087B91" w:rsidRPr="002029AF" w:rsidRDefault="00087B91" w:rsidP="00860E95">
            <w:pPr>
              <w:pStyle w:val="ARfintablebody"/>
            </w:pPr>
            <w:r w:rsidRPr="002029AF">
              <w:t>National</w:t>
            </w:r>
            <w:r w:rsidR="000A5329" w:rsidRPr="002029AF">
              <w:t xml:space="preserve"> </w:t>
            </w:r>
            <w:r w:rsidRPr="002029AF">
              <w:t>Health</w:t>
            </w:r>
            <w:r w:rsidR="000A5329" w:rsidRPr="002029AF">
              <w:t xml:space="preserve"> </w:t>
            </w:r>
            <w:r w:rsidRPr="002029AF">
              <w:t>Funding</w:t>
            </w:r>
            <w:r w:rsidR="000A5329" w:rsidRPr="002029AF">
              <w:t xml:space="preserve"> </w:t>
            </w:r>
            <w:r w:rsidRPr="002029AF">
              <w:t>Pool</w:t>
            </w:r>
            <w:r w:rsidR="000A5329" w:rsidRPr="002029AF">
              <w:t xml:space="preserve"> </w:t>
            </w:r>
            <w:r w:rsidRPr="002029AF">
              <w:t>–</w:t>
            </w:r>
            <w:r w:rsidR="000A5329" w:rsidRPr="002029AF">
              <w:t xml:space="preserve"> </w:t>
            </w:r>
            <w:r w:rsidRPr="002029AF">
              <w:t>Victorian</w:t>
            </w:r>
            <w:r w:rsidR="000A5329" w:rsidRPr="002029AF">
              <w:t xml:space="preserve"> </w:t>
            </w:r>
            <w:r w:rsidRPr="002029AF">
              <w:t>State</w:t>
            </w:r>
            <w:r w:rsidR="000A5329" w:rsidRPr="002029AF">
              <w:t xml:space="preserve"> </w:t>
            </w:r>
            <w:r w:rsidRPr="002029AF">
              <w:t>Pool</w:t>
            </w:r>
            <w:r w:rsidR="000A5329" w:rsidRPr="002029AF">
              <w:t xml:space="preserve"> </w:t>
            </w:r>
            <w:r w:rsidRPr="002029AF">
              <w:t>Fund</w:t>
            </w:r>
          </w:p>
        </w:tc>
        <w:tc>
          <w:tcPr>
            <w:tcW w:w="908" w:type="dxa"/>
            <w:tcBorders>
              <w:right w:val="nil"/>
            </w:tcBorders>
            <w:shd w:val="clear" w:color="auto" w:fill="E7E6E6"/>
            <w:noWrap/>
          </w:tcPr>
          <w:p w14:paraId="799F361C" w14:textId="77777777" w:rsidR="00087B91" w:rsidRPr="002029AF" w:rsidRDefault="00087B91" w:rsidP="00860E95">
            <w:pPr>
              <w:pStyle w:val="ARfintablebodyright"/>
            </w:pPr>
            <w:r w:rsidRPr="002029AF">
              <w:t>–</w:t>
            </w:r>
          </w:p>
        </w:tc>
        <w:tc>
          <w:tcPr>
            <w:tcW w:w="907" w:type="dxa"/>
            <w:tcBorders>
              <w:left w:val="nil"/>
              <w:right w:val="nil"/>
            </w:tcBorders>
            <w:shd w:val="clear" w:color="auto" w:fill="E7E6E6"/>
            <w:noWrap/>
          </w:tcPr>
          <w:p w14:paraId="6BEBC907" w14:textId="77777777" w:rsidR="00087B91" w:rsidRPr="002029AF" w:rsidRDefault="00087B91" w:rsidP="00860E95">
            <w:pPr>
              <w:pStyle w:val="ARfintablebodyright"/>
            </w:pPr>
            <w:r w:rsidRPr="002029AF">
              <w:t>–</w:t>
            </w:r>
          </w:p>
        </w:tc>
        <w:tc>
          <w:tcPr>
            <w:tcW w:w="907" w:type="dxa"/>
            <w:tcBorders>
              <w:left w:val="nil"/>
              <w:right w:val="nil"/>
            </w:tcBorders>
            <w:shd w:val="clear" w:color="auto" w:fill="E7E6E6"/>
            <w:noWrap/>
          </w:tcPr>
          <w:p w14:paraId="4F8C114C" w14:textId="77777777" w:rsidR="00087B91" w:rsidRPr="002029AF" w:rsidRDefault="00087B91" w:rsidP="00860E95">
            <w:pPr>
              <w:pStyle w:val="ARfintablebodyright"/>
            </w:pPr>
            <w:r w:rsidRPr="002029AF">
              <w:t>13,071.0</w:t>
            </w:r>
          </w:p>
        </w:tc>
        <w:tc>
          <w:tcPr>
            <w:tcW w:w="907" w:type="dxa"/>
            <w:tcBorders>
              <w:left w:val="nil"/>
              <w:right w:val="nil"/>
            </w:tcBorders>
            <w:shd w:val="clear" w:color="auto" w:fill="E7E6E6"/>
            <w:noWrap/>
          </w:tcPr>
          <w:p w14:paraId="4B805EE9" w14:textId="77777777" w:rsidR="00087B91" w:rsidRPr="002029AF" w:rsidRDefault="00087B91" w:rsidP="00860E95">
            <w:pPr>
              <w:pStyle w:val="ARfintablebodyright"/>
            </w:pPr>
            <w:r w:rsidRPr="002029AF">
              <w:t>13,071.0</w:t>
            </w:r>
          </w:p>
        </w:tc>
        <w:tc>
          <w:tcPr>
            <w:tcW w:w="907" w:type="dxa"/>
            <w:tcBorders>
              <w:left w:val="nil"/>
              <w:right w:val="nil"/>
            </w:tcBorders>
            <w:shd w:val="clear" w:color="auto" w:fill="E7E6E6"/>
            <w:noWrap/>
          </w:tcPr>
          <w:p w14:paraId="16C5E35E" w14:textId="77777777" w:rsidR="00087B91" w:rsidRPr="002029AF" w:rsidRDefault="00087B91" w:rsidP="00860E95">
            <w:pPr>
              <w:pStyle w:val="ARfintablebodyright"/>
            </w:pPr>
            <w:r w:rsidRPr="002029AF">
              <w:t>–</w:t>
            </w:r>
          </w:p>
        </w:tc>
        <w:tc>
          <w:tcPr>
            <w:tcW w:w="907" w:type="dxa"/>
            <w:tcBorders>
              <w:left w:val="nil"/>
            </w:tcBorders>
            <w:shd w:val="clear" w:color="auto" w:fill="E7E6E6"/>
            <w:noWrap/>
          </w:tcPr>
          <w:p w14:paraId="40B05501" w14:textId="77777777" w:rsidR="00087B91" w:rsidRPr="002029AF" w:rsidRDefault="00087B91" w:rsidP="00860E95">
            <w:pPr>
              <w:pStyle w:val="ARfintablebodyright"/>
            </w:pPr>
            <w:r w:rsidRPr="002029AF">
              <w:t>–</w:t>
            </w:r>
          </w:p>
        </w:tc>
        <w:tc>
          <w:tcPr>
            <w:tcW w:w="907" w:type="dxa"/>
            <w:noWrap/>
          </w:tcPr>
          <w:p w14:paraId="47B9E89F" w14:textId="77777777" w:rsidR="00087B91" w:rsidRPr="002029AF" w:rsidRDefault="00087B91" w:rsidP="00860E95">
            <w:pPr>
              <w:pStyle w:val="ARfintablebodyright"/>
            </w:pPr>
            <w:r w:rsidRPr="002029AF">
              <w:t>–</w:t>
            </w:r>
          </w:p>
        </w:tc>
        <w:tc>
          <w:tcPr>
            <w:tcW w:w="907" w:type="dxa"/>
            <w:noWrap/>
          </w:tcPr>
          <w:p w14:paraId="421DECC2" w14:textId="77777777" w:rsidR="00087B91" w:rsidRPr="002029AF" w:rsidRDefault="00087B91" w:rsidP="00860E95">
            <w:pPr>
              <w:pStyle w:val="ARfintablebodyright"/>
            </w:pPr>
            <w:r w:rsidRPr="002029AF">
              <w:t>–</w:t>
            </w:r>
          </w:p>
        </w:tc>
        <w:tc>
          <w:tcPr>
            <w:tcW w:w="907" w:type="dxa"/>
            <w:noWrap/>
          </w:tcPr>
          <w:p w14:paraId="1110B5E1" w14:textId="77777777" w:rsidR="00087B91" w:rsidRPr="002029AF" w:rsidRDefault="00087B91" w:rsidP="00860E95">
            <w:pPr>
              <w:pStyle w:val="ARfintablebodyright"/>
            </w:pPr>
            <w:r w:rsidRPr="002029AF">
              <w:t>10,547.5</w:t>
            </w:r>
          </w:p>
        </w:tc>
        <w:tc>
          <w:tcPr>
            <w:tcW w:w="907" w:type="dxa"/>
            <w:noWrap/>
          </w:tcPr>
          <w:p w14:paraId="491E45B0" w14:textId="77777777" w:rsidR="00087B91" w:rsidRPr="002029AF" w:rsidRDefault="00087B91" w:rsidP="00860E95">
            <w:pPr>
              <w:pStyle w:val="ARfintablebodyright"/>
            </w:pPr>
            <w:r w:rsidRPr="002029AF">
              <w:t>10,547.5</w:t>
            </w:r>
          </w:p>
        </w:tc>
        <w:tc>
          <w:tcPr>
            <w:tcW w:w="907" w:type="dxa"/>
            <w:noWrap/>
          </w:tcPr>
          <w:p w14:paraId="29645FAF" w14:textId="77777777" w:rsidR="00087B91" w:rsidRPr="002029AF" w:rsidRDefault="00087B91" w:rsidP="00860E95">
            <w:pPr>
              <w:pStyle w:val="ARfintablebodyright"/>
            </w:pPr>
            <w:r w:rsidRPr="002029AF">
              <w:t>–</w:t>
            </w:r>
          </w:p>
        </w:tc>
        <w:tc>
          <w:tcPr>
            <w:tcW w:w="907" w:type="dxa"/>
            <w:noWrap/>
          </w:tcPr>
          <w:p w14:paraId="0AB781E3" w14:textId="77777777" w:rsidR="00087B91" w:rsidRPr="002029AF" w:rsidRDefault="00087B91" w:rsidP="00860E95">
            <w:pPr>
              <w:pStyle w:val="ARfintablebodyright"/>
            </w:pPr>
            <w:r w:rsidRPr="002029AF">
              <w:t>–</w:t>
            </w:r>
          </w:p>
        </w:tc>
      </w:tr>
      <w:tr w:rsidR="00087B91" w:rsidRPr="002029AF" w14:paraId="3587AE54" w14:textId="77777777" w:rsidTr="00860E95">
        <w:tc>
          <w:tcPr>
            <w:tcW w:w="3574" w:type="dxa"/>
          </w:tcPr>
          <w:p w14:paraId="0DBE9210" w14:textId="5925DFEA" w:rsidR="00087B91" w:rsidRPr="002029AF" w:rsidRDefault="00087B91" w:rsidP="00860E95">
            <w:pPr>
              <w:pStyle w:val="ARfintablebody"/>
            </w:pPr>
            <w:r w:rsidRPr="002029AF">
              <w:t>Public</w:t>
            </w:r>
            <w:r w:rsidR="000A5329" w:rsidRPr="002029AF">
              <w:t xml:space="preserve"> </w:t>
            </w:r>
            <w:r w:rsidRPr="002029AF">
              <w:t>Service</w:t>
            </w:r>
            <w:r w:rsidR="000A5329" w:rsidRPr="002029AF">
              <w:t xml:space="preserve"> </w:t>
            </w:r>
            <w:r w:rsidRPr="002029AF">
              <w:t>Commuter</w:t>
            </w:r>
            <w:r w:rsidR="000A5329" w:rsidRPr="002029AF">
              <w:t xml:space="preserve"> </w:t>
            </w:r>
            <w:r w:rsidRPr="002029AF">
              <w:t>Club</w:t>
            </w:r>
          </w:p>
        </w:tc>
        <w:tc>
          <w:tcPr>
            <w:tcW w:w="908" w:type="dxa"/>
            <w:tcBorders>
              <w:right w:val="nil"/>
            </w:tcBorders>
            <w:shd w:val="clear" w:color="auto" w:fill="E7E6E6"/>
            <w:noWrap/>
          </w:tcPr>
          <w:p w14:paraId="62F6241C" w14:textId="77777777" w:rsidR="00087B91" w:rsidRPr="002029AF" w:rsidRDefault="00087B91" w:rsidP="00860E95">
            <w:pPr>
              <w:pStyle w:val="ARfintablebodyright"/>
            </w:pPr>
            <w:r w:rsidRPr="002029AF">
              <w:t>(1.0)</w:t>
            </w:r>
          </w:p>
        </w:tc>
        <w:tc>
          <w:tcPr>
            <w:tcW w:w="907" w:type="dxa"/>
            <w:tcBorders>
              <w:left w:val="nil"/>
              <w:right w:val="nil"/>
            </w:tcBorders>
            <w:shd w:val="clear" w:color="auto" w:fill="E7E6E6"/>
            <w:noWrap/>
          </w:tcPr>
          <w:p w14:paraId="17D43E23" w14:textId="77777777" w:rsidR="00087B91" w:rsidRPr="002029AF" w:rsidRDefault="00087B91" w:rsidP="00860E95">
            <w:pPr>
              <w:pStyle w:val="ARfintablebodyright"/>
            </w:pPr>
            <w:r w:rsidRPr="002029AF">
              <w:t>–</w:t>
            </w:r>
          </w:p>
        </w:tc>
        <w:tc>
          <w:tcPr>
            <w:tcW w:w="907" w:type="dxa"/>
            <w:tcBorders>
              <w:left w:val="nil"/>
              <w:right w:val="nil"/>
            </w:tcBorders>
            <w:shd w:val="clear" w:color="auto" w:fill="E7E6E6"/>
            <w:noWrap/>
          </w:tcPr>
          <w:p w14:paraId="446070C6" w14:textId="77777777" w:rsidR="00087B91" w:rsidRPr="002029AF" w:rsidRDefault="00087B91" w:rsidP="00860E95">
            <w:pPr>
              <w:pStyle w:val="ARfintablebodyright"/>
            </w:pPr>
            <w:r w:rsidRPr="002029AF">
              <w:t>1.8</w:t>
            </w:r>
          </w:p>
        </w:tc>
        <w:tc>
          <w:tcPr>
            <w:tcW w:w="907" w:type="dxa"/>
            <w:tcBorders>
              <w:left w:val="nil"/>
              <w:right w:val="nil"/>
            </w:tcBorders>
            <w:shd w:val="clear" w:color="auto" w:fill="E7E6E6"/>
            <w:noWrap/>
          </w:tcPr>
          <w:p w14:paraId="42D32E47" w14:textId="77777777" w:rsidR="00087B91" w:rsidRPr="002029AF" w:rsidRDefault="00087B91" w:rsidP="00860E95">
            <w:pPr>
              <w:pStyle w:val="ARfintablebodyright"/>
            </w:pPr>
            <w:r w:rsidRPr="002029AF">
              <w:t>1.5</w:t>
            </w:r>
          </w:p>
        </w:tc>
        <w:tc>
          <w:tcPr>
            <w:tcW w:w="907" w:type="dxa"/>
            <w:tcBorders>
              <w:left w:val="nil"/>
              <w:right w:val="nil"/>
            </w:tcBorders>
            <w:shd w:val="clear" w:color="auto" w:fill="E7E6E6"/>
            <w:noWrap/>
          </w:tcPr>
          <w:p w14:paraId="3AA3252C" w14:textId="77777777" w:rsidR="00087B91" w:rsidRPr="002029AF" w:rsidRDefault="00087B91" w:rsidP="00860E95">
            <w:pPr>
              <w:pStyle w:val="ARfintablebodyright"/>
            </w:pPr>
            <w:r w:rsidRPr="002029AF">
              <w:t>–</w:t>
            </w:r>
          </w:p>
        </w:tc>
        <w:tc>
          <w:tcPr>
            <w:tcW w:w="907" w:type="dxa"/>
            <w:tcBorders>
              <w:left w:val="nil"/>
            </w:tcBorders>
            <w:shd w:val="clear" w:color="auto" w:fill="E7E6E6"/>
            <w:noWrap/>
          </w:tcPr>
          <w:p w14:paraId="1FD5D87C" w14:textId="77777777" w:rsidR="00087B91" w:rsidRPr="002029AF" w:rsidRDefault="00087B91" w:rsidP="00860E95">
            <w:pPr>
              <w:pStyle w:val="ARfintablebodyright"/>
            </w:pPr>
            <w:r w:rsidRPr="002029AF">
              <w:t>(0.7)</w:t>
            </w:r>
          </w:p>
        </w:tc>
        <w:tc>
          <w:tcPr>
            <w:tcW w:w="907" w:type="dxa"/>
            <w:noWrap/>
          </w:tcPr>
          <w:p w14:paraId="69DEDC2B" w14:textId="77777777" w:rsidR="00087B91" w:rsidRPr="002029AF" w:rsidRDefault="00087B91" w:rsidP="00860E95">
            <w:pPr>
              <w:pStyle w:val="ARfintablebodyright"/>
            </w:pPr>
            <w:r w:rsidRPr="002029AF">
              <w:t>(1.0)</w:t>
            </w:r>
          </w:p>
        </w:tc>
        <w:tc>
          <w:tcPr>
            <w:tcW w:w="907" w:type="dxa"/>
            <w:noWrap/>
          </w:tcPr>
          <w:p w14:paraId="25B156A2" w14:textId="77777777" w:rsidR="00087B91" w:rsidRPr="002029AF" w:rsidRDefault="00087B91" w:rsidP="00860E95">
            <w:pPr>
              <w:pStyle w:val="ARfintablebodyright"/>
            </w:pPr>
            <w:r w:rsidRPr="002029AF">
              <w:t>–</w:t>
            </w:r>
          </w:p>
        </w:tc>
        <w:tc>
          <w:tcPr>
            <w:tcW w:w="907" w:type="dxa"/>
            <w:noWrap/>
          </w:tcPr>
          <w:p w14:paraId="1F5545BE" w14:textId="77777777" w:rsidR="00087B91" w:rsidRPr="002029AF" w:rsidRDefault="00087B91" w:rsidP="00860E95">
            <w:pPr>
              <w:pStyle w:val="ARfintablebodyright"/>
            </w:pPr>
            <w:r w:rsidRPr="002029AF">
              <w:t>1.8</w:t>
            </w:r>
          </w:p>
        </w:tc>
        <w:tc>
          <w:tcPr>
            <w:tcW w:w="907" w:type="dxa"/>
            <w:noWrap/>
          </w:tcPr>
          <w:p w14:paraId="2561490A" w14:textId="77777777" w:rsidR="00087B91" w:rsidRPr="002029AF" w:rsidRDefault="00087B91" w:rsidP="00860E95">
            <w:pPr>
              <w:pStyle w:val="ARfintablebodyright"/>
            </w:pPr>
            <w:r w:rsidRPr="002029AF">
              <w:t>1.7</w:t>
            </w:r>
          </w:p>
        </w:tc>
        <w:tc>
          <w:tcPr>
            <w:tcW w:w="907" w:type="dxa"/>
            <w:noWrap/>
          </w:tcPr>
          <w:p w14:paraId="203BD542" w14:textId="77777777" w:rsidR="00087B91" w:rsidRPr="002029AF" w:rsidRDefault="00087B91" w:rsidP="00860E95">
            <w:pPr>
              <w:pStyle w:val="ARfintablebodyright"/>
            </w:pPr>
            <w:r w:rsidRPr="002029AF">
              <w:t>–</w:t>
            </w:r>
          </w:p>
        </w:tc>
        <w:tc>
          <w:tcPr>
            <w:tcW w:w="907" w:type="dxa"/>
            <w:noWrap/>
          </w:tcPr>
          <w:p w14:paraId="32710989" w14:textId="77777777" w:rsidR="00087B91" w:rsidRPr="002029AF" w:rsidRDefault="00087B91" w:rsidP="00860E95">
            <w:pPr>
              <w:pStyle w:val="ARfintablebodyright"/>
            </w:pPr>
            <w:r w:rsidRPr="002029AF">
              <w:t>(1.0)</w:t>
            </w:r>
          </w:p>
        </w:tc>
      </w:tr>
      <w:tr w:rsidR="00087B91" w:rsidRPr="002029AF" w14:paraId="27C26963" w14:textId="77777777" w:rsidTr="00860E95">
        <w:tc>
          <w:tcPr>
            <w:tcW w:w="3574" w:type="dxa"/>
          </w:tcPr>
          <w:p w14:paraId="31379306" w14:textId="4A02861D" w:rsidR="00087B91" w:rsidRPr="002029AF" w:rsidRDefault="00087B91" w:rsidP="00860E95">
            <w:pPr>
              <w:pStyle w:val="ARfintablebody"/>
            </w:pPr>
            <w:r w:rsidRPr="002029AF">
              <w:t>Revenue</w:t>
            </w:r>
            <w:r w:rsidR="000A5329" w:rsidRPr="002029AF">
              <w:t xml:space="preserve"> </w:t>
            </w:r>
            <w:r w:rsidRPr="002029AF">
              <w:t>Suspense</w:t>
            </w:r>
            <w:r w:rsidR="000A5329" w:rsidRPr="002029AF">
              <w:t xml:space="preserve"> </w:t>
            </w:r>
            <w:r w:rsidRPr="002029AF">
              <w:t>Account</w:t>
            </w:r>
          </w:p>
        </w:tc>
        <w:tc>
          <w:tcPr>
            <w:tcW w:w="908" w:type="dxa"/>
            <w:tcBorders>
              <w:right w:val="nil"/>
            </w:tcBorders>
            <w:shd w:val="clear" w:color="auto" w:fill="E7E6E6"/>
            <w:noWrap/>
          </w:tcPr>
          <w:p w14:paraId="3C102419" w14:textId="77777777" w:rsidR="00087B91" w:rsidRPr="002029AF" w:rsidRDefault="00087B91" w:rsidP="00860E95">
            <w:pPr>
              <w:pStyle w:val="ARfintablebodyright"/>
            </w:pPr>
            <w:r w:rsidRPr="002029AF">
              <w:t>3.4</w:t>
            </w:r>
          </w:p>
        </w:tc>
        <w:tc>
          <w:tcPr>
            <w:tcW w:w="907" w:type="dxa"/>
            <w:tcBorders>
              <w:left w:val="nil"/>
              <w:right w:val="nil"/>
            </w:tcBorders>
            <w:shd w:val="clear" w:color="auto" w:fill="E7E6E6"/>
            <w:noWrap/>
          </w:tcPr>
          <w:p w14:paraId="5245A188" w14:textId="77777777" w:rsidR="00087B91" w:rsidRPr="002029AF" w:rsidRDefault="00087B91" w:rsidP="00860E95">
            <w:pPr>
              <w:pStyle w:val="ARfintablebodyright"/>
            </w:pPr>
            <w:r w:rsidRPr="002029AF">
              <w:t>–</w:t>
            </w:r>
          </w:p>
        </w:tc>
        <w:tc>
          <w:tcPr>
            <w:tcW w:w="907" w:type="dxa"/>
            <w:tcBorders>
              <w:left w:val="nil"/>
              <w:right w:val="nil"/>
            </w:tcBorders>
            <w:shd w:val="clear" w:color="auto" w:fill="E7E6E6"/>
            <w:noWrap/>
          </w:tcPr>
          <w:p w14:paraId="5452BF10" w14:textId="77777777" w:rsidR="00087B91" w:rsidRPr="002029AF" w:rsidRDefault="00087B91" w:rsidP="00860E95">
            <w:pPr>
              <w:pStyle w:val="ARfintablebodyright"/>
            </w:pPr>
            <w:r w:rsidRPr="002029AF">
              <w:t>0.4</w:t>
            </w:r>
          </w:p>
        </w:tc>
        <w:tc>
          <w:tcPr>
            <w:tcW w:w="907" w:type="dxa"/>
            <w:tcBorders>
              <w:left w:val="nil"/>
              <w:right w:val="nil"/>
            </w:tcBorders>
            <w:shd w:val="clear" w:color="auto" w:fill="E7E6E6"/>
            <w:noWrap/>
          </w:tcPr>
          <w:p w14:paraId="0578AECB" w14:textId="77777777" w:rsidR="00087B91" w:rsidRPr="002029AF" w:rsidRDefault="00087B91" w:rsidP="00860E95">
            <w:pPr>
              <w:pStyle w:val="ARfintablebodyright"/>
            </w:pPr>
            <w:r w:rsidRPr="002029AF">
              <w:t>–</w:t>
            </w:r>
          </w:p>
        </w:tc>
        <w:tc>
          <w:tcPr>
            <w:tcW w:w="907" w:type="dxa"/>
            <w:tcBorders>
              <w:left w:val="nil"/>
              <w:right w:val="nil"/>
            </w:tcBorders>
            <w:shd w:val="clear" w:color="auto" w:fill="E7E6E6"/>
            <w:noWrap/>
          </w:tcPr>
          <w:p w14:paraId="01D65D65" w14:textId="77777777" w:rsidR="00087B91" w:rsidRPr="002029AF" w:rsidRDefault="00087B91" w:rsidP="00860E95">
            <w:pPr>
              <w:pStyle w:val="ARfintablebodyright"/>
            </w:pPr>
            <w:r w:rsidRPr="002029AF">
              <w:t>–</w:t>
            </w:r>
          </w:p>
        </w:tc>
        <w:tc>
          <w:tcPr>
            <w:tcW w:w="907" w:type="dxa"/>
            <w:tcBorders>
              <w:left w:val="nil"/>
            </w:tcBorders>
            <w:shd w:val="clear" w:color="auto" w:fill="E7E6E6"/>
            <w:noWrap/>
          </w:tcPr>
          <w:p w14:paraId="17C98F49" w14:textId="77777777" w:rsidR="00087B91" w:rsidRPr="002029AF" w:rsidRDefault="00087B91" w:rsidP="00860E95">
            <w:pPr>
              <w:pStyle w:val="ARfintablebodyright"/>
            </w:pPr>
            <w:r w:rsidRPr="002029AF">
              <w:t>3.8</w:t>
            </w:r>
          </w:p>
        </w:tc>
        <w:tc>
          <w:tcPr>
            <w:tcW w:w="907" w:type="dxa"/>
            <w:noWrap/>
          </w:tcPr>
          <w:p w14:paraId="2A8AA1B7" w14:textId="77777777" w:rsidR="00087B91" w:rsidRPr="002029AF" w:rsidRDefault="00087B91" w:rsidP="00860E95">
            <w:pPr>
              <w:pStyle w:val="ARfintablebodyright"/>
            </w:pPr>
            <w:r w:rsidRPr="002029AF">
              <w:t>3.0</w:t>
            </w:r>
          </w:p>
        </w:tc>
        <w:tc>
          <w:tcPr>
            <w:tcW w:w="907" w:type="dxa"/>
            <w:noWrap/>
          </w:tcPr>
          <w:p w14:paraId="236AAAD2" w14:textId="77777777" w:rsidR="00087B91" w:rsidRPr="002029AF" w:rsidRDefault="00087B91" w:rsidP="00860E95">
            <w:pPr>
              <w:pStyle w:val="ARfintablebodyright"/>
            </w:pPr>
            <w:r w:rsidRPr="002029AF">
              <w:t>–</w:t>
            </w:r>
          </w:p>
        </w:tc>
        <w:tc>
          <w:tcPr>
            <w:tcW w:w="907" w:type="dxa"/>
            <w:noWrap/>
          </w:tcPr>
          <w:p w14:paraId="4E27FCC0" w14:textId="77777777" w:rsidR="00087B91" w:rsidRPr="002029AF" w:rsidRDefault="00087B91" w:rsidP="00860E95">
            <w:pPr>
              <w:pStyle w:val="ARfintablebodyright"/>
            </w:pPr>
            <w:r w:rsidRPr="002029AF">
              <w:t>0.4</w:t>
            </w:r>
          </w:p>
        </w:tc>
        <w:tc>
          <w:tcPr>
            <w:tcW w:w="907" w:type="dxa"/>
            <w:noWrap/>
          </w:tcPr>
          <w:p w14:paraId="6F183002" w14:textId="77777777" w:rsidR="00087B91" w:rsidRPr="002029AF" w:rsidRDefault="00087B91" w:rsidP="00860E95">
            <w:pPr>
              <w:pStyle w:val="ARfintablebodyright"/>
            </w:pPr>
            <w:r w:rsidRPr="002029AF">
              <w:t>–</w:t>
            </w:r>
          </w:p>
        </w:tc>
        <w:tc>
          <w:tcPr>
            <w:tcW w:w="907" w:type="dxa"/>
            <w:noWrap/>
          </w:tcPr>
          <w:p w14:paraId="0DF6A9E7" w14:textId="77777777" w:rsidR="00087B91" w:rsidRPr="002029AF" w:rsidRDefault="00087B91" w:rsidP="00860E95">
            <w:pPr>
              <w:pStyle w:val="ARfintablebodyright"/>
            </w:pPr>
            <w:r w:rsidRPr="002029AF">
              <w:t>–</w:t>
            </w:r>
          </w:p>
        </w:tc>
        <w:tc>
          <w:tcPr>
            <w:tcW w:w="907" w:type="dxa"/>
            <w:noWrap/>
          </w:tcPr>
          <w:p w14:paraId="4AE0A90E" w14:textId="77777777" w:rsidR="00087B91" w:rsidRPr="002029AF" w:rsidRDefault="00087B91" w:rsidP="00860E95">
            <w:pPr>
              <w:pStyle w:val="ARfintablebodyright"/>
            </w:pPr>
            <w:r w:rsidRPr="002029AF">
              <w:t>3.4</w:t>
            </w:r>
          </w:p>
        </w:tc>
      </w:tr>
      <w:tr w:rsidR="00087B91" w:rsidRPr="002029AF" w14:paraId="38D726DB" w14:textId="77777777" w:rsidTr="00860E95">
        <w:tc>
          <w:tcPr>
            <w:tcW w:w="3574" w:type="dxa"/>
          </w:tcPr>
          <w:p w14:paraId="6851B2A2" w14:textId="126C6124" w:rsidR="00087B91" w:rsidRPr="002029AF" w:rsidRDefault="00087B91" w:rsidP="00860E95">
            <w:pPr>
              <w:pStyle w:val="ARfintablebody"/>
            </w:pPr>
            <w:r w:rsidRPr="002029AF">
              <w:t>Victorian</w:t>
            </w:r>
            <w:r w:rsidR="000A5329" w:rsidRPr="002029AF">
              <w:t xml:space="preserve"> </w:t>
            </w:r>
            <w:r w:rsidRPr="002029AF">
              <w:t>Natural</w:t>
            </w:r>
            <w:r w:rsidR="000A5329" w:rsidRPr="002029AF">
              <w:t xml:space="preserve"> </w:t>
            </w:r>
            <w:r w:rsidRPr="002029AF">
              <w:t>Disasters</w:t>
            </w:r>
            <w:r w:rsidR="000A5329" w:rsidRPr="002029AF">
              <w:t xml:space="preserve"> </w:t>
            </w:r>
            <w:r w:rsidRPr="002029AF">
              <w:t>Relief</w:t>
            </w:r>
            <w:r w:rsidR="000A5329" w:rsidRPr="002029AF">
              <w:t xml:space="preserve"> </w:t>
            </w:r>
            <w:r w:rsidRPr="002029AF">
              <w:t>Fund</w:t>
            </w:r>
          </w:p>
        </w:tc>
        <w:tc>
          <w:tcPr>
            <w:tcW w:w="908" w:type="dxa"/>
            <w:tcBorders>
              <w:right w:val="nil"/>
            </w:tcBorders>
            <w:shd w:val="clear" w:color="auto" w:fill="E7E6E6"/>
            <w:noWrap/>
          </w:tcPr>
          <w:p w14:paraId="213EEF7C" w14:textId="77777777" w:rsidR="00087B91" w:rsidRPr="002029AF" w:rsidRDefault="00087B91" w:rsidP="00860E95">
            <w:pPr>
              <w:pStyle w:val="ARfintablebodyright"/>
            </w:pPr>
            <w:r w:rsidRPr="002029AF">
              <w:t>–</w:t>
            </w:r>
          </w:p>
        </w:tc>
        <w:tc>
          <w:tcPr>
            <w:tcW w:w="907" w:type="dxa"/>
            <w:tcBorders>
              <w:left w:val="nil"/>
              <w:right w:val="nil"/>
            </w:tcBorders>
            <w:shd w:val="clear" w:color="auto" w:fill="E7E6E6"/>
            <w:noWrap/>
          </w:tcPr>
          <w:p w14:paraId="06761A7A" w14:textId="77777777" w:rsidR="00087B91" w:rsidRPr="002029AF" w:rsidRDefault="00087B91" w:rsidP="00860E95">
            <w:pPr>
              <w:pStyle w:val="ARfintablebodyright"/>
            </w:pPr>
            <w:r w:rsidRPr="002029AF">
              <w:t>–</w:t>
            </w:r>
          </w:p>
        </w:tc>
        <w:tc>
          <w:tcPr>
            <w:tcW w:w="907" w:type="dxa"/>
            <w:tcBorders>
              <w:left w:val="nil"/>
              <w:right w:val="nil"/>
            </w:tcBorders>
            <w:shd w:val="clear" w:color="auto" w:fill="E7E6E6"/>
            <w:noWrap/>
          </w:tcPr>
          <w:p w14:paraId="7BE27729" w14:textId="77777777" w:rsidR="00087B91" w:rsidRPr="002029AF" w:rsidRDefault="00087B91" w:rsidP="00860E95">
            <w:pPr>
              <w:pStyle w:val="ARfintablebodyright"/>
            </w:pPr>
            <w:r w:rsidRPr="002029AF">
              <w:t>25.4</w:t>
            </w:r>
          </w:p>
        </w:tc>
        <w:tc>
          <w:tcPr>
            <w:tcW w:w="907" w:type="dxa"/>
            <w:tcBorders>
              <w:left w:val="nil"/>
              <w:right w:val="nil"/>
            </w:tcBorders>
            <w:shd w:val="clear" w:color="auto" w:fill="E7E6E6"/>
            <w:noWrap/>
          </w:tcPr>
          <w:p w14:paraId="3A024C9E" w14:textId="77777777" w:rsidR="00087B91" w:rsidRPr="002029AF" w:rsidRDefault="00087B91" w:rsidP="00860E95">
            <w:pPr>
              <w:pStyle w:val="ARfintablebodyright"/>
            </w:pPr>
            <w:r w:rsidRPr="002029AF">
              <w:t>25.4</w:t>
            </w:r>
          </w:p>
        </w:tc>
        <w:tc>
          <w:tcPr>
            <w:tcW w:w="907" w:type="dxa"/>
            <w:tcBorders>
              <w:left w:val="nil"/>
              <w:right w:val="nil"/>
            </w:tcBorders>
            <w:shd w:val="clear" w:color="auto" w:fill="E7E6E6"/>
            <w:noWrap/>
          </w:tcPr>
          <w:p w14:paraId="05421275" w14:textId="77777777" w:rsidR="00087B91" w:rsidRPr="002029AF" w:rsidRDefault="00087B91" w:rsidP="00860E95">
            <w:pPr>
              <w:pStyle w:val="ARfintablebodyright"/>
            </w:pPr>
            <w:r w:rsidRPr="002029AF">
              <w:t>–</w:t>
            </w:r>
          </w:p>
        </w:tc>
        <w:tc>
          <w:tcPr>
            <w:tcW w:w="907" w:type="dxa"/>
            <w:tcBorders>
              <w:left w:val="nil"/>
            </w:tcBorders>
            <w:shd w:val="clear" w:color="auto" w:fill="E7E6E6"/>
            <w:noWrap/>
          </w:tcPr>
          <w:p w14:paraId="52CAC9CD" w14:textId="77777777" w:rsidR="00087B91" w:rsidRPr="002029AF" w:rsidRDefault="00087B91" w:rsidP="00860E95">
            <w:pPr>
              <w:pStyle w:val="ARfintablebodyright"/>
            </w:pPr>
            <w:r w:rsidRPr="002029AF">
              <w:t>–</w:t>
            </w:r>
          </w:p>
        </w:tc>
        <w:tc>
          <w:tcPr>
            <w:tcW w:w="907" w:type="dxa"/>
            <w:noWrap/>
          </w:tcPr>
          <w:p w14:paraId="48AC9942" w14:textId="77777777" w:rsidR="00087B91" w:rsidRPr="002029AF" w:rsidRDefault="00087B91" w:rsidP="00860E95">
            <w:pPr>
              <w:pStyle w:val="ARfintablebodyright"/>
            </w:pPr>
            <w:r w:rsidRPr="002029AF">
              <w:t>–</w:t>
            </w:r>
          </w:p>
        </w:tc>
        <w:tc>
          <w:tcPr>
            <w:tcW w:w="907" w:type="dxa"/>
            <w:noWrap/>
          </w:tcPr>
          <w:p w14:paraId="20806660" w14:textId="77777777" w:rsidR="00087B91" w:rsidRPr="002029AF" w:rsidRDefault="00087B91" w:rsidP="00860E95">
            <w:pPr>
              <w:pStyle w:val="ARfintablebodyright"/>
            </w:pPr>
            <w:r w:rsidRPr="002029AF">
              <w:t>–</w:t>
            </w:r>
          </w:p>
        </w:tc>
        <w:tc>
          <w:tcPr>
            <w:tcW w:w="907" w:type="dxa"/>
            <w:noWrap/>
          </w:tcPr>
          <w:p w14:paraId="78E42BD7" w14:textId="77777777" w:rsidR="00087B91" w:rsidRPr="002029AF" w:rsidRDefault="00087B91" w:rsidP="00860E95">
            <w:pPr>
              <w:pStyle w:val="ARfintablebodyright"/>
            </w:pPr>
            <w:r w:rsidRPr="002029AF">
              <w:t>1.6</w:t>
            </w:r>
          </w:p>
        </w:tc>
        <w:tc>
          <w:tcPr>
            <w:tcW w:w="907" w:type="dxa"/>
            <w:noWrap/>
          </w:tcPr>
          <w:p w14:paraId="6472D56F" w14:textId="77777777" w:rsidR="00087B91" w:rsidRPr="002029AF" w:rsidRDefault="00087B91" w:rsidP="00860E95">
            <w:pPr>
              <w:pStyle w:val="ARfintablebodyright"/>
            </w:pPr>
            <w:r w:rsidRPr="002029AF">
              <w:t>1.6</w:t>
            </w:r>
          </w:p>
        </w:tc>
        <w:tc>
          <w:tcPr>
            <w:tcW w:w="907" w:type="dxa"/>
            <w:noWrap/>
          </w:tcPr>
          <w:p w14:paraId="2472E6C2" w14:textId="77777777" w:rsidR="00087B91" w:rsidRPr="002029AF" w:rsidRDefault="00087B91" w:rsidP="00860E95">
            <w:pPr>
              <w:pStyle w:val="ARfintablebodyright"/>
            </w:pPr>
            <w:r w:rsidRPr="002029AF">
              <w:t>–</w:t>
            </w:r>
          </w:p>
        </w:tc>
        <w:tc>
          <w:tcPr>
            <w:tcW w:w="907" w:type="dxa"/>
            <w:noWrap/>
          </w:tcPr>
          <w:p w14:paraId="670B5560" w14:textId="77777777" w:rsidR="00087B91" w:rsidRPr="002029AF" w:rsidRDefault="00087B91" w:rsidP="00860E95">
            <w:pPr>
              <w:pStyle w:val="ARfintablebodyright"/>
            </w:pPr>
            <w:r w:rsidRPr="002029AF">
              <w:t>–</w:t>
            </w:r>
          </w:p>
        </w:tc>
      </w:tr>
      <w:tr w:rsidR="00087B91" w:rsidRPr="002029AF" w14:paraId="7464455E" w14:textId="77777777" w:rsidTr="00860E95">
        <w:tc>
          <w:tcPr>
            <w:tcW w:w="3574" w:type="dxa"/>
          </w:tcPr>
          <w:p w14:paraId="30FA7760" w14:textId="57D85925" w:rsidR="00087B91" w:rsidRPr="002029AF" w:rsidRDefault="00087B91" w:rsidP="00860E95">
            <w:pPr>
              <w:pStyle w:val="ARfintablebodybold"/>
            </w:pPr>
            <w:r w:rsidRPr="002029AF">
              <w:t>Total</w:t>
            </w:r>
            <w:r w:rsidR="000A5329" w:rsidRPr="002029AF">
              <w:t xml:space="preserve"> </w:t>
            </w:r>
            <w:r w:rsidRPr="002029AF">
              <w:t>administered</w:t>
            </w:r>
            <w:r w:rsidR="000A5329" w:rsidRPr="002029AF">
              <w:t xml:space="preserve"> </w:t>
            </w:r>
            <w:r w:rsidRPr="002029AF">
              <w:t>trusts</w:t>
            </w:r>
          </w:p>
        </w:tc>
        <w:tc>
          <w:tcPr>
            <w:tcW w:w="908" w:type="dxa"/>
            <w:tcBorders>
              <w:right w:val="nil"/>
            </w:tcBorders>
            <w:shd w:val="clear" w:color="auto" w:fill="E7E6E6"/>
            <w:noWrap/>
          </w:tcPr>
          <w:p w14:paraId="13C27339" w14:textId="77777777" w:rsidR="00087B91" w:rsidRPr="002029AF" w:rsidRDefault="00087B91" w:rsidP="00860E95">
            <w:pPr>
              <w:pStyle w:val="ARfintablebodyrightbold"/>
            </w:pPr>
            <w:r w:rsidRPr="002029AF">
              <w:t>75.5</w:t>
            </w:r>
          </w:p>
        </w:tc>
        <w:tc>
          <w:tcPr>
            <w:tcW w:w="907" w:type="dxa"/>
            <w:tcBorders>
              <w:left w:val="nil"/>
              <w:right w:val="nil"/>
            </w:tcBorders>
            <w:shd w:val="clear" w:color="auto" w:fill="E7E6E6"/>
            <w:noWrap/>
          </w:tcPr>
          <w:p w14:paraId="25CB00EA" w14:textId="77777777" w:rsidR="00087B91" w:rsidRPr="002029AF" w:rsidRDefault="00087B91" w:rsidP="00860E95">
            <w:pPr>
              <w:pStyle w:val="ARfintablebodyrightbold"/>
            </w:pPr>
            <w:r w:rsidRPr="002029AF">
              <w:t>–</w:t>
            </w:r>
          </w:p>
        </w:tc>
        <w:tc>
          <w:tcPr>
            <w:tcW w:w="907" w:type="dxa"/>
            <w:tcBorders>
              <w:left w:val="nil"/>
              <w:right w:val="nil"/>
            </w:tcBorders>
            <w:shd w:val="clear" w:color="auto" w:fill="E7E6E6"/>
            <w:noWrap/>
          </w:tcPr>
          <w:p w14:paraId="77EED51D" w14:textId="77777777" w:rsidR="00087B91" w:rsidRPr="002029AF" w:rsidRDefault="00087B91" w:rsidP="00860E95">
            <w:pPr>
              <w:pStyle w:val="ARfintablebodyrightbold"/>
            </w:pPr>
            <w:r w:rsidRPr="002029AF">
              <w:t>14,676.3</w:t>
            </w:r>
          </w:p>
        </w:tc>
        <w:tc>
          <w:tcPr>
            <w:tcW w:w="907" w:type="dxa"/>
            <w:tcBorders>
              <w:left w:val="nil"/>
              <w:right w:val="nil"/>
            </w:tcBorders>
            <w:shd w:val="clear" w:color="auto" w:fill="E7E6E6"/>
            <w:noWrap/>
          </w:tcPr>
          <w:p w14:paraId="2072BE03" w14:textId="77777777" w:rsidR="00087B91" w:rsidRPr="002029AF" w:rsidRDefault="00087B91" w:rsidP="00860E95">
            <w:pPr>
              <w:pStyle w:val="ARfintablebodyrightbold"/>
            </w:pPr>
            <w:r w:rsidRPr="002029AF">
              <w:t>14,329.7</w:t>
            </w:r>
          </w:p>
        </w:tc>
        <w:tc>
          <w:tcPr>
            <w:tcW w:w="907" w:type="dxa"/>
            <w:tcBorders>
              <w:left w:val="nil"/>
              <w:right w:val="nil"/>
            </w:tcBorders>
            <w:shd w:val="clear" w:color="auto" w:fill="E7E6E6"/>
            <w:noWrap/>
          </w:tcPr>
          <w:p w14:paraId="6CF031F5" w14:textId="77777777" w:rsidR="00087B91" w:rsidRPr="002029AF" w:rsidRDefault="00087B91" w:rsidP="00860E95">
            <w:pPr>
              <w:pStyle w:val="ARfintablebodyrightbold"/>
            </w:pPr>
            <w:r w:rsidRPr="002029AF">
              <w:t>(419.1)</w:t>
            </w:r>
          </w:p>
        </w:tc>
        <w:tc>
          <w:tcPr>
            <w:tcW w:w="907" w:type="dxa"/>
            <w:tcBorders>
              <w:left w:val="nil"/>
            </w:tcBorders>
            <w:shd w:val="clear" w:color="auto" w:fill="E7E6E6"/>
            <w:noWrap/>
          </w:tcPr>
          <w:p w14:paraId="55B97F09" w14:textId="77777777" w:rsidR="00087B91" w:rsidRPr="002029AF" w:rsidRDefault="00087B91" w:rsidP="00860E95">
            <w:pPr>
              <w:pStyle w:val="ARfintablebodyrightbold"/>
            </w:pPr>
            <w:r w:rsidRPr="002029AF">
              <w:t>3.1</w:t>
            </w:r>
          </w:p>
        </w:tc>
        <w:tc>
          <w:tcPr>
            <w:tcW w:w="907" w:type="dxa"/>
            <w:noWrap/>
          </w:tcPr>
          <w:p w14:paraId="484B6000" w14:textId="77777777" w:rsidR="00087B91" w:rsidRPr="002029AF" w:rsidRDefault="00087B91" w:rsidP="00860E95">
            <w:pPr>
              <w:pStyle w:val="ARfintablebodyrightbold"/>
            </w:pPr>
            <w:r w:rsidRPr="002029AF">
              <w:t>30.7</w:t>
            </w:r>
          </w:p>
        </w:tc>
        <w:tc>
          <w:tcPr>
            <w:tcW w:w="907" w:type="dxa"/>
            <w:noWrap/>
          </w:tcPr>
          <w:p w14:paraId="0EAEB0C7" w14:textId="77777777" w:rsidR="00087B91" w:rsidRPr="002029AF" w:rsidRDefault="00087B91" w:rsidP="00860E95">
            <w:pPr>
              <w:pStyle w:val="ARfintablebodyrightbold"/>
            </w:pPr>
            <w:r w:rsidRPr="002029AF">
              <w:t>–</w:t>
            </w:r>
          </w:p>
        </w:tc>
        <w:tc>
          <w:tcPr>
            <w:tcW w:w="907" w:type="dxa"/>
            <w:noWrap/>
          </w:tcPr>
          <w:p w14:paraId="5EC06E6D" w14:textId="77777777" w:rsidR="00087B91" w:rsidRPr="002029AF" w:rsidRDefault="00087B91" w:rsidP="00860E95">
            <w:pPr>
              <w:pStyle w:val="ARfintablebodyrightbold"/>
            </w:pPr>
            <w:r w:rsidRPr="002029AF">
              <w:t>11,618.6</w:t>
            </w:r>
          </w:p>
        </w:tc>
        <w:tc>
          <w:tcPr>
            <w:tcW w:w="907" w:type="dxa"/>
            <w:noWrap/>
          </w:tcPr>
          <w:p w14:paraId="175924EA" w14:textId="77777777" w:rsidR="00087B91" w:rsidRPr="002029AF" w:rsidRDefault="00087B91" w:rsidP="00860E95">
            <w:pPr>
              <w:pStyle w:val="ARfintablebodyrightbold"/>
            </w:pPr>
            <w:r w:rsidRPr="002029AF">
              <w:t>11,658.0</w:t>
            </w:r>
          </w:p>
        </w:tc>
        <w:tc>
          <w:tcPr>
            <w:tcW w:w="907" w:type="dxa"/>
            <w:noWrap/>
          </w:tcPr>
          <w:p w14:paraId="51E9EC44" w14:textId="77777777" w:rsidR="00087B91" w:rsidRPr="002029AF" w:rsidRDefault="00087B91" w:rsidP="00860E95">
            <w:pPr>
              <w:pStyle w:val="ARfintablebodyrightbold"/>
            </w:pPr>
            <w:r w:rsidRPr="002029AF">
              <w:t>84.3</w:t>
            </w:r>
          </w:p>
        </w:tc>
        <w:tc>
          <w:tcPr>
            <w:tcW w:w="907" w:type="dxa"/>
            <w:noWrap/>
          </w:tcPr>
          <w:p w14:paraId="1619BC94" w14:textId="77777777" w:rsidR="00087B91" w:rsidRPr="002029AF" w:rsidRDefault="00087B91" w:rsidP="00860E95">
            <w:pPr>
              <w:pStyle w:val="ARfintablebodyrightbold"/>
            </w:pPr>
            <w:r w:rsidRPr="002029AF">
              <w:t>75.5</w:t>
            </w:r>
          </w:p>
        </w:tc>
      </w:tr>
    </w:tbl>
    <w:p w14:paraId="45C60B8D" w14:textId="77777777" w:rsidR="00087B91" w:rsidRPr="002029AF" w:rsidRDefault="00087B91" w:rsidP="00087B91">
      <w:pPr>
        <w:pStyle w:val="ARfinbody"/>
      </w:pPr>
    </w:p>
    <w:p w14:paraId="59B60959" w14:textId="77777777" w:rsidR="00087B91" w:rsidRPr="002029AF" w:rsidRDefault="00087B91" w:rsidP="00087B91">
      <w:pPr>
        <w:pStyle w:val="ARfinbody"/>
        <w:sectPr w:rsidR="00087B91" w:rsidRPr="002029AF" w:rsidSect="00860E95">
          <w:footerReference w:type="even" r:id="rId211"/>
          <w:pgSz w:w="16838" w:h="11906" w:orient="landscape" w:code="9"/>
          <w:pgMar w:top="1418" w:right="1531" w:bottom="1418" w:left="851" w:header="851" w:footer="851" w:gutter="0"/>
          <w:cols w:space="708"/>
          <w:docGrid w:linePitch="360"/>
          <w15:footnoteColumns w:val="1"/>
        </w:sectPr>
      </w:pPr>
    </w:p>
    <w:p w14:paraId="37916F1A" w14:textId="3349686F" w:rsidR="00087B91" w:rsidRPr="002029AF" w:rsidRDefault="00087B91" w:rsidP="00C81A0B">
      <w:pPr>
        <w:pStyle w:val="Heading5"/>
        <w:spacing w:before="0"/>
      </w:pPr>
      <w:r w:rsidRPr="002029AF">
        <w:lastRenderedPageBreak/>
        <w:t>7.4.2</w:t>
      </w:r>
      <w:r w:rsidR="000A5329" w:rsidRPr="002029AF">
        <w:t xml:space="preserve"> </w:t>
      </w:r>
      <w:r w:rsidRPr="002029AF">
        <w:t>Trust</w:t>
      </w:r>
      <w:r w:rsidR="000A5329" w:rsidRPr="002029AF">
        <w:t xml:space="preserve"> </w:t>
      </w:r>
      <w:r w:rsidRPr="002029AF">
        <w:t>account</w:t>
      </w:r>
      <w:r w:rsidR="000A5329" w:rsidRPr="002029AF">
        <w:t xml:space="preserve"> </w:t>
      </w:r>
      <w:r w:rsidRPr="002029AF">
        <w:t>–</w:t>
      </w:r>
      <w:r w:rsidR="000A5329" w:rsidRPr="002029AF">
        <w:t xml:space="preserve"> </w:t>
      </w:r>
      <w:r w:rsidRPr="002029AF">
        <w:t>Legislative</w:t>
      </w:r>
      <w:r w:rsidR="000A5329" w:rsidRPr="002029AF">
        <w:t xml:space="preserve"> </w:t>
      </w:r>
      <w:r w:rsidRPr="002029AF">
        <w:t>references</w:t>
      </w:r>
      <w:r w:rsidR="000A5329" w:rsidRPr="002029AF">
        <w:t xml:space="preserve"> </w:t>
      </w:r>
      <w:r w:rsidRPr="002029AF">
        <w:t>and</w:t>
      </w:r>
      <w:r w:rsidR="000A5329" w:rsidRPr="002029AF">
        <w:t xml:space="preserve"> </w:t>
      </w:r>
      <w:r w:rsidRPr="002029AF">
        <w:t>nature</w:t>
      </w:r>
    </w:p>
    <w:p w14:paraId="61601521" w14:textId="61DB651A" w:rsidR="00087B91" w:rsidRPr="002029AF" w:rsidRDefault="00087B91" w:rsidP="00087B91">
      <w:pPr>
        <w:pStyle w:val="Heading6"/>
        <w:rPr>
          <w:lang w:val="en-AU"/>
        </w:rPr>
      </w:pPr>
      <w:r w:rsidRPr="002029AF">
        <w:rPr>
          <w:lang w:val="en-AU"/>
        </w:rPr>
        <w:t>Controlled</w:t>
      </w:r>
      <w:r w:rsidR="000A5329" w:rsidRPr="002029AF">
        <w:rPr>
          <w:lang w:val="en-AU"/>
        </w:rPr>
        <w:t xml:space="preserve"> </w:t>
      </w:r>
      <w:r w:rsidRPr="002029AF">
        <w:rPr>
          <w:lang w:val="en-AU"/>
        </w:rPr>
        <w:t>trusts</w:t>
      </w:r>
    </w:p>
    <w:p w14:paraId="3E178747" w14:textId="17095ADA" w:rsidR="00087B91" w:rsidRPr="002029AF" w:rsidRDefault="00087B91" w:rsidP="00087B91">
      <w:pPr>
        <w:pStyle w:val="Heading7"/>
      </w:pPr>
      <w:r w:rsidRPr="002029AF">
        <w:t>Casey</w:t>
      </w:r>
      <w:r w:rsidR="000A5329" w:rsidRPr="002029AF">
        <w:t xml:space="preserve"> </w:t>
      </w:r>
      <w:r w:rsidRPr="002029AF">
        <w:t>Hospital</w:t>
      </w:r>
      <w:r w:rsidR="000A5329" w:rsidRPr="002029AF">
        <w:t xml:space="preserve"> </w:t>
      </w:r>
      <w:r w:rsidRPr="002029AF">
        <w:t>Escrow</w:t>
      </w:r>
      <w:r w:rsidR="000A5329" w:rsidRPr="002029AF">
        <w:t xml:space="preserve"> </w:t>
      </w:r>
      <w:r w:rsidRPr="002029AF">
        <w:t>Account</w:t>
      </w:r>
    </w:p>
    <w:p w14:paraId="27AD850A" w14:textId="48EBBD9F" w:rsidR="00087B91" w:rsidRPr="002029AF" w:rsidRDefault="00087B91" w:rsidP="00087B91">
      <w:pPr>
        <w:pStyle w:val="ARfinbody"/>
      </w:pPr>
      <w:r w:rsidRPr="002029AF">
        <w:t>Established</w:t>
      </w:r>
      <w:r w:rsidR="000A5329" w:rsidRPr="002029AF">
        <w:t xml:space="preserve"> </w:t>
      </w:r>
      <w:r w:rsidRPr="002029AF">
        <w:t>to</w:t>
      </w:r>
      <w:r w:rsidR="000A5329" w:rsidRPr="002029AF">
        <w:t xml:space="preserve"> </w:t>
      </w:r>
      <w:r w:rsidRPr="002029AF">
        <w:t>manage</w:t>
      </w:r>
      <w:r w:rsidR="000A5329" w:rsidRPr="002029AF">
        <w:t xml:space="preserve"> </w:t>
      </w:r>
      <w:r w:rsidRPr="002029AF">
        <w:t>and</w:t>
      </w:r>
      <w:r w:rsidR="000A5329" w:rsidRPr="002029AF">
        <w:t xml:space="preserve"> </w:t>
      </w:r>
      <w:r w:rsidRPr="002029AF">
        <w:t>control</w:t>
      </w:r>
      <w:r w:rsidR="000A5329" w:rsidRPr="002029AF">
        <w:t xml:space="preserve"> </w:t>
      </w:r>
      <w:r w:rsidRPr="002029AF">
        <w:t>payments</w:t>
      </w:r>
      <w:r w:rsidR="000A5329" w:rsidRPr="002029AF">
        <w:t xml:space="preserve"> </w:t>
      </w:r>
      <w:r w:rsidRPr="002029AF">
        <w:t>to</w:t>
      </w:r>
      <w:r w:rsidR="000A5329" w:rsidRPr="002029AF">
        <w:t xml:space="preserve"> </w:t>
      </w:r>
      <w:r w:rsidRPr="002029AF">
        <w:t>the</w:t>
      </w:r>
      <w:r w:rsidR="000A5329" w:rsidRPr="002029AF">
        <w:t xml:space="preserve"> </w:t>
      </w:r>
      <w:r w:rsidRPr="002029AF">
        <w:t>contractor</w:t>
      </w:r>
      <w:r w:rsidR="000A5329" w:rsidRPr="002029AF">
        <w:t xml:space="preserve"> </w:t>
      </w:r>
      <w:r w:rsidRPr="002029AF">
        <w:t>for</w:t>
      </w:r>
      <w:r w:rsidR="000A5329" w:rsidRPr="002029AF">
        <w:t xml:space="preserve"> </w:t>
      </w:r>
      <w:r w:rsidRPr="002029AF">
        <w:t>the</w:t>
      </w:r>
      <w:r w:rsidR="000A5329" w:rsidRPr="002029AF">
        <w:t xml:space="preserve"> </w:t>
      </w:r>
      <w:r w:rsidRPr="002029AF">
        <w:t>completion</w:t>
      </w:r>
      <w:r w:rsidR="000A5329" w:rsidRPr="002029AF">
        <w:t xml:space="preserve"> </w:t>
      </w:r>
      <w:r w:rsidRPr="002029AF">
        <w:t>of</w:t>
      </w:r>
      <w:r w:rsidR="000A5329" w:rsidRPr="002029AF">
        <w:t xml:space="preserve"> </w:t>
      </w:r>
      <w:r w:rsidRPr="002029AF">
        <w:t>the</w:t>
      </w:r>
      <w:r w:rsidR="000A5329" w:rsidRPr="002029AF">
        <w:t xml:space="preserve"> </w:t>
      </w:r>
      <w:r w:rsidRPr="002029AF">
        <w:t>Casey</w:t>
      </w:r>
      <w:r w:rsidR="000A5329" w:rsidRPr="002029AF">
        <w:t xml:space="preserve"> </w:t>
      </w:r>
      <w:r w:rsidRPr="002029AF">
        <w:t>Hospital</w:t>
      </w:r>
      <w:r w:rsidR="000A5329" w:rsidRPr="002029AF">
        <w:t xml:space="preserve"> </w:t>
      </w:r>
      <w:r w:rsidRPr="002029AF">
        <w:t>refurbishment.</w:t>
      </w:r>
    </w:p>
    <w:p w14:paraId="46D586BB" w14:textId="28E99CBF" w:rsidR="00087B91" w:rsidRPr="002029AF" w:rsidRDefault="00087B91" w:rsidP="00087B91">
      <w:pPr>
        <w:pStyle w:val="Heading7"/>
      </w:pPr>
      <w:r w:rsidRPr="002029AF">
        <w:t>Health</w:t>
      </w:r>
      <w:r w:rsidR="000A5329" w:rsidRPr="002029AF">
        <w:t xml:space="preserve"> </w:t>
      </w:r>
      <w:r w:rsidRPr="002029AF">
        <w:t>State</w:t>
      </w:r>
      <w:r w:rsidR="000A5329" w:rsidRPr="002029AF">
        <w:t xml:space="preserve"> </w:t>
      </w:r>
      <w:r w:rsidRPr="002029AF">
        <w:t>Managed</w:t>
      </w:r>
      <w:r w:rsidR="000A5329" w:rsidRPr="002029AF">
        <w:t xml:space="preserve"> </w:t>
      </w:r>
      <w:r w:rsidRPr="002029AF">
        <w:t>Fund</w:t>
      </w:r>
    </w:p>
    <w:p w14:paraId="089E9352" w14:textId="64304ADE" w:rsidR="00087B91" w:rsidRPr="002029AF" w:rsidRDefault="00087B91" w:rsidP="00087B91">
      <w:pPr>
        <w:pStyle w:val="ARfinbody"/>
      </w:pPr>
      <w:r w:rsidRPr="002029AF">
        <w:t>Established</w:t>
      </w:r>
      <w:r w:rsidR="000A5329" w:rsidRPr="002029AF">
        <w:t xml:space="preserve"> </w:t>
      </w:r>
      <w:r w:rsidRPr="002029AF">
        <w:t>under</w:t>
      </w:r>
      <w:r w:rsidR="000A5329" w:rsidRPr="002029AF">
        <w:t xml:space="preserve"> </w:t>
      </w:r>
      <w:r w:rsidRPr="002029AF">
        <w:t>the</w:t>
      </w:r>
      <w:r w:rsidR="000A5329" w:rsidRPr="002029AF">
        <w:t xml:space="preserve"> </w:t>
      </w:r>
      <w:r w:rsidRPr="002029AF">
        <w:rPr>
          <w:rStyle w:val="Emphasis"/>
        </w:rPr>
        <w:t>Health</w:t>
      </w:r>
      <w:r w:rsidR="000A5329" w:rsidRPr="002029AF">
        <w:rPr>
          <w:rStyle w:val="Emphasis"/>
        </w:rPr>
        <w:t xml:space="preserve"> </w:t>
      </w:r>
      <w:r w:rsidRPr="002029AF">
        <w:rPr>
          <w:rStyle w:val="Emphasis"/>
        </w:rPr>
        <w:t>(Commonwealth</w:t>
      </w:r>
      <w:r w:rsidR="000A5329" w:rsidRPr="002029AF">
        <w:rPr>
          <w:rStyle w:val="Emphasis"/>
        </w:rPr>
        <w:t xml:space="preserve"> </w:t>
      </w:r>
      <w:r w:rsidRPr="002029AF">
        <w:rPr>
          <w:rStyle w:val="Emphasis"/>
        </w:rPr>
        <w:t>State</w:t>
      </w:r>
      <w:r w:rsidR="000A5329" w:rsidRPr="002029AF">
        <w:rPr>
          <w:rStyle w:val="Emphasis"/>
        </w:rPr>
        <w:t xml:space="preserve"> </w:t>
      </w:r>
      <w:r w:rsidRPr="002029AF">
        <w:rPr>
          <w:rStyle w:val="Emphasis"/>
        </w:rPr>
        <w:t>Funding</w:t>
      </w:r>
      <w:r w:rsidR="000A5329" w:rsidRPr="002029AF">
        <w:rPr>
          <w:rStyle w:val="Emphasis"/>
        </w:rPr>
        <w:t xml:space="preserve"> </w:t>
      </w:r>
      <w:r w:rsidRPr="002029AF">
        <w:rPr>
          <w:rStyle w:val="Emphasis"/>
        </w:rPr>
        <w:t>Arrangements)</w:t>
      </w:r>
      <w:r w:rsidR="000A5329" w:rsidRPr="002029AF">
        <w:rPr>
          <w:rStyle w:val="Emphasis"/>
        </w:rPr>
        <w:t xml:space="preserve"> </w:t>
      </w:r>
      <w:r w:rsidRPr="002029AF">
        <w:rPr>
          <w:rStyle w:val="Emphasis"/>
        </w:rPr>
        <w:t>Act</w:t>
      </w:r>
      <w:r w:rsidR="000A5329" w:rsidRPr="002029AF">
        <w:rPr>
          <w:rStyle w:val="Emphasis"/>
        </w:rPr>
        <w:t xml:space="preserve"> </w:t>
      </w:r>
      <w:r w:rsidRPr="002029AF">
        <w:rPr>
          <w:rStyle w:val="Emphasis"/>
        </w:rPr>
        <w:t>2012</w:t>
      </w:r>
      <w:r w:rsidR="000A5329" w:rsidRPr="002029AF">
        <w:rPr>
          <w:rStyle w:val="Emphasis"/>
        </w:rPr>
        <w:t xml:space="preserve"> </w:t>
      </w:r>
      <w:r w:rsidRPr="002029AF">
        <w:rPr>
          <w:rStyle w:val="Emphasis"/>
        </w:rPr>
        <w:t>No.</w:t>
      </w:r>
      <w:r w:rsidR="000A5329" w:rsidRPr="002029AF">
        <w:rPr>
          <w:rStyle w:val="Emphasis"/>
        </w:rPr>
        <w:t xml:space="preserve"> </w:t>
      </w:r>
      <w:r w:rsidRPr="002029AF">
        <w:rPr>
          <w:rStyle w:val="Emphasis"/>
        </w:rPr>
        <w:t>40</w:t>
      </w:r>
      <w:r w:rsidR="000A5329" w:rsidRPr="002029AF">
        <w:rPr>
          <w:rStyle w:val="Emphasis"/>
        </w:rPr>
        <w:t xml:space="preserve"> </w:t>
      </w:r>
      <w:r w:rsidRPr="002029AF">
        <w:rPr>
          <w:rStyle w:val="Emphasis"/>
        </w:rPr>
        <w:t>of</w:t>
      </w:r>
      <w:r w:rsidR="000A5329" w:rsidRPr="002029AF">
        <w:rPr>
          <w:rStyle w:val="Emphasis"/>
        </w:rPr>
        <w:t xml:space="preserve"> </w:t>
      </w:r>
      <w:r w:rsidRPr="002029AF">
        <w:rPr>
          <w:rStyle w:val="Emphasis"/>
        </w:rPr>
        <w:t>2012</w:t>
      </w:r>
      <w:r w:rsidR="000A5329" w:rsidRPr="002029AF">
        <w:t xml:space="preserve"> </w:t>
      </w:r>
      <w:r w:rsidRPr="002029AF">
        <w:t>for</w:t>
      </w:r>
      <w:r w:rsidR="000A5329" w:rsidRPr="002029AF">
        <w:t xml:space="preserve"> </w:t>
      </w:r>
      <w:r w:rsidRPr="002029AF">
        <w:t>the</w:t>
      </w:r>
      <w:r w:rsidR="000A5329" w:rsidRPr="002029AF">
        <w:t xml:space="preserve"> </w:t>
      </w:r>
      <w:r w:rsidRPr="002029AF">
        <w:t>purpose</w:t>
      </w:r>
      <w:r w:rsidR="000A5329" w:rsidRPr="002029AF">
        <w:t xml:space="preserve"> </w:t>
      </w:r>
      <w:r w:rsidRPr="002029AF">
        <w:t>of</w:t>
      </w:r>
      <w:r w:rsidR="000A5329" w:rsidRPr="002029AF">
        <w:t xml:space="preserve"> </w:t>
      </w:r>
      <w:r w:rsidRPr="002029AF">
        <w:t>receiving</w:t>
      </w:r>
      <w:r w:rsidR="000A5329" w:rsidRPr="002029AF">
        <w:t xml:space="preserve"> </w:t>
      </w:r>
      <w:r w:rsidRPr="002029AF">
        <w:t>funding</w:t>
      </w:r>
      <w:r w:rsidR="000A5329" w:rsidRPr="002029AF">
        <w:t xml:space="preserve"> </w:t>
      </w:r>
      <w:r w:rsidRPr="002029AF">
        <w:t>for</w:t>
      </w:r>
      <w:r w:rsidR="000A5329" w:rsidRPr="002029AF">
        <w:t xml:space="preserve"> </w:t>
      </w:r>
      <w:r w:rsidRPr="002029AF">
        <w:t>block</w:t>
      </w:r>
      <w:r w:rsidR="000A5329" w:rsidRPr="002029AF">
        <w:t xml:space="preserve"> </w:t>
      </w:r>
      <w:r w:rsidRPr="002029AF">
        <w:t>grants,</w:t>
      </w:r>
      <w:r w:rsidR="000A5329" w:rsidRPr="002029AF">
        <w:t xml:space="preserve"> </w:t>
      </w:r>
      <w:r w:rsidRPr="002029AF">
        <w:t>teaching,</w:t>
      </w:r>
      <w:r w:rsidR="000A5329" w:rsidRPr="002029AF">
        <w:t xml:space="preserve"> </w:t>
      </w:r>
      <w:r w:rsidRPr="002029AF">
        <w:t>training</w:t>
      </w:r>
      <w:r w:rsidR="000A5329" w:rsidRPr="002029AF">
        <w:t xml:space="preserve"> </w:t>
      </w:r>
      <w:r w:rsidRPr="002029AF">
        <w:t>and</w:t>
      </w:r>
      <w:r w:rsidR="000A5329" w:rsidRPr="002029AF">
        <w:t xml:space="preserve"> </w:t>
      </w:r>
      <w:r w:rsidRPr="002029AF">
        <w:t>research.</w:t>
      </w:r>
    </w:p>
    <w:p w14:paraId="46866D08" w14:textId="1BA91C8C" w:rsidR="00087B91" w:rsidRPr="002029AF" w:rsidRDefault="00087B91" w:rsidP="00087B91">
      <w:pPr>
        <w:pStyle w:val="Heading7"/>
      </w:pPr>
      <w:r w:rsidRPr="002029AF">
        <w:t>Hospitals</w:t>
      </w:r>
      <w:r w:rsidR="000A5329" w:rsidRPr="002029AF">
        <w:t xml:space="preserve"> </w:t>
      </w:r>
      <w:r w:rsidRPr="002029AF">
        <w:t>and</w:t>
      </w:r>
      <w:r w:rsidR="000A5329" w:rsidRPr="002029AF">
        <w:t xml:space="preserve"> </w:t>
      </w:r>
      <w:r w:rsidRPr="002029AF">
        <w:t>Charities</w:t>
      </w:r>
      <w:r w:rsidR="000A5329" w:rsidRPr="002029AF">
        <w:t xml:space="preserve"> </w:t>
      </w:r>
      <w:r w:rsidRPr="002029AF">
        <w:t>Fund</w:t>
      </w:r>
    </w:p>
    <w:p w14:paraId="2E11A73F" w14:textId="34F8A2C2" w:rsidR="00087B91" w:rsidRPr="002029AF" w:rsidRDefault="00087B91" w:rsidP="00087B91">
      <w:pPr>
        <w:pStyle w:val="ARfinbody"/>
      </w:pPr>
      <w:r w:rsidRPr="002029AF">
        <w:t>Established</w:t>
      </w:r>
      <w:r w:rsidR="000A5329" w:rsidRPr="002029AF">
        <w:t xml:space="preserve"> </w:t>
      </w:r>
      <w:r w:rsidRPr="002029AF">
        <w:t>under</w:t>
      </w:r>
      <w:r w:rsidR="000A5329" w:rsidRPr="002029AF">
        <w:t xml:space="preserve"> </w:t>
      </w:r>
      <w:r w:rsidRPr="002029AF">
        <w:t>the</w:t>
      </w:r>
      <w:r w:rsidR="000A5329" w:rsidRPr="002029AF">
        <w:t xml:space="preserve"> </w:t>
      </w:r>
      <w:r w:rsidRPr="002029AF">
        <w:rPr>
          <w:rStyle w:val="Emphasis"/>
        </w:rPr>
        <w:t>Health</w:t>
      </w:r>
      <w:r w:rsidR="000A5329" w:rsidRPr="002029AF">
        <w:rPr>
          <w:rStyle w:val="Emphasis"/>
        </w:rPr>
        <w:t xml:space="preserve"> </w:t>
      </w:r>
      <w:r w:rsidRPr="002029AF">
        <w:rPr>
          <w:rStyle w:val="Emphasis"/>
        </w:rPr>
        <w:t>Services</w:t>
      </w:r>
      <w:r w:rsidR="000A5329" w:rsidRPr="002029AF">
        <w:rPr>
          <w:rStyle w:val="Emphasis"/>
        </w:rPr>
        <w:t xml:space="preserve"> </w:t>
      </w:r>
      <w:r w:rsidRPr="002029AF">
        <w:rPr>
          <w:rStyle w:val="Emphasis"/>
        </w:rPr>
        <w:t>Act</w:t>
      </w:r>
      <w:r w:rsidR="000A5329" w:rsidRPr="002029AF">
        <w:rPr>
          <w:rStyle w:val="Emphasis"/>
        </w:rPr>
        <w:t xml:space="preserve"> </w:t>
      </w:r>
      <w:r w:rsidRPr="002029AF">
        <w:rPr>
          <w:rStyle w:val="Emphasis"/>
        </w:rPr>
        <w:t>1988</w:t>
      </w:r>
      <w:r w:rsidR="000A5329" w:rsidRPr="002029AF">
        <w:t xml:space="preserve"> </w:t>
      </w:r>
      <w:r w:rsidRPr="002029AF">
        <w:t>to</w:t>
      </w:r>
      <w:r w:rsidR="000A5329" w:rsidRPr="002029AF">
        <w:t xml:space="preserve"> </w:t>
      </w:r>
      <w:r w:rsidRPr="002029AF">
        <w:t>record</w:t>
      </w:r>
      <w:r w:rsidR="000A5329" w:rsidRPr="002029AF">
        <w:t xml:space="preserve"> </w:t>
      </w:r>
      <w:r w:rsidRPr="002029AF">
        <w:t>funding</w:t>
      </w:r>
      <w:r w:rsidR="000A5329" w:rsidRPr="002029AF">
        <w:t xml:space="preserve"> </w:t>
      </w:r>
      <w:r w:rsidRPr="002029AF">
        <w:t>for</w:t>
      </w:r>
      <w:r w:rsidR="000A5329" w:rsidRPr="002029AF">
        <w:t xml:space="preserve"> </w:t>
      </w:r>
      <w:r w:rsidRPr="002029AF">
        <w:t>health</w:t>
      </w:r>
      <w:r w:rsidR="000A5329" w:rsidRPr="002029AF">
        <w:t xml:space="preserve"> </w:t>
      </w:r>
      <w:r w:rsidRPr="002029AF">
        <w:t>service</w:t>
      </w:r>
      <w:r w:rsidR="000A5329" w:rsidRPr="002029AF">
        <w:t xml:space="preserve"> </w:t>
      </w:r>
      <w:r w:rsidRPr="002029AF">
        <w:t>agencies.</w:t>
      </w:r>
      <w:r w:rsidR="000A5329" w:rsidRPr="002029AF">
        <w:t xml:space="preserve"> </w:t>
      </w:r>
      <w:r w:rsidRPr="002029AF">
        <w:t>Monies</w:t>
      </w:r>
      <w:r w:rsidR="000A5329" w:rsidRPr="002029AF">
        <w:t xml:space="preserve"> </w:t>
      </w:r>
      <w:r w:rsidRPr="002029AF">
        <w:t>are</w:t>
      </w:r>
      <w:r w:rsidR="000A5329" w:rsidRPr="002029AF">
        <w:t xml:space="preserve"> </w:t>
      </w:r>
      <w:r w:rsidRPr="002029AF">
        <w:t>paid</w:t>
      </w:r>
      <w:r w:rsidR="000A5329" w:rsidRPr="002029AF">
        <w:t xml:space="preserve"> </w:t>
      </w:r>
      <w:r w:rsidRPr="002029AF">
        <w:t>into</w:t>
      </w:r>
      <w:r w:rsidR="000A5329" w:rsidRPr="002029AF">
        <w:t xml:space="preserve"> </w:t>
      </w:r>
      <w:r w:rsidRPr="002029AF">
        <w:t>the</w:t>
      </w:r>
      <w:r w:rsidR="000A5329" w:rsidRPr="002029AF">
        <w:t xml:space="preserve"> </w:t>
      </w:r>
      <w:r w:rsidRPr="002029AF">
        <w:t>fund</w:t>
      </w:r>
      <w:r w:rsidR="000A5329" w:rsidRPr="002029AF">
        <w:t xml:space="preserve"> </w:t>
      </w:r>
      <w:r w:rsidRPr="002029AF">
        <w:t>from</w:t>
      </w:r>
      <w:r w:rsidR="000A5329" w:rsidRPr="002029AF">
        <w:t xml:space="preserve"> </w:t>
      </w:r>
      <w:r w:rsidRPr="002029AF">
        <w:t>the</w:t>
      </w:r>
      <w:r w:rsidR="000A5329" w:rsidRPr="002029AF">
        <w:t xml:space="preserve"> </w:t>
      </w:r>
      <w:r w:rsidRPr="002029AF">
        <w:rPr>
          <w:rStyle w:val="Emphasis"/>
        </w:rPr>
        <w:t>Gambling</w:t>
      </w:r>
      <w:r w:rsidR="000A5329" w:rsidRPr="002029AF">
        <w:rPr>
          <w:rStyle w:val="Emphasis"/>
        </w:rPr>
        <w:t xml:space="preserve"> </w:t>
      </w:r>
      <w:r w:rsidRPr="002029AF">
        <w:rPr>
          <w:rStyle w:val="Emphasis"/>
        </w:rPr>
        <w:t>Regulation</w:t>
      </w:r>
      <w:r w:rsidR="000A5329" w:rsidRPr="002029AF">
        <w:rPr>
          <w:rStyle w:val="Emphasis"/>
        </w:rPr>
        <w:t xml:space="preserve"> </w:t>
      </w:r>
      <w:r w:rsidRPr="002029AF">
        <w:rPr>
          <w:rStyle w:val="Emphasis"/>
        </w:rPr>
        <w:t>Act</w:t>
      </w:r>
      <w:r w:rsidR="000A5329" w:rsidRPr="002029AF">
        <w:rPr>
          <w:rStyle w:val="Emphasis"/>
        </w:rPr>
        <w:t xml:space="preserve"> </w:t>
      </w:r>
      <w:r w:rsidRPr="002029AF">
        <w:rPr>
          <w:rStyle w:val="Emphasis"/>
        </w:rPr>
        <w:t>No.</w:t>
      </w:r>
      <w:r w:rsidR="000A5329" w:rsidRPr="002029AF">
        <w:rPr>
          <w:rStyle w:val="Emphasis"/>
        </w:rPr>
        <w:t xml:space="preserve"> </w:t>
      </w:r>
      <w:r w:rsidRPr="002029AF">
        <w:rPr>
          <w:rStyle w:val="Emphasis"/>
        </w:rPr>
        <w:t>114</w:t>
      </w:r>
      <w:r w:rsidR="000A5329" w:rsidRPr="002029AF">
        <w:t xml:space="preserve"> </w:t>
      </w:r>
      <w:r w:rsidRPr="002029AF">
        <w:rPr>
          <w:iCs/>
        </w:rPr>
        <w:t>of</w:t>
      </w:r>
      <w:r w:rsidR="000A5329" w:rsidRPr="002029AF">
        <w:rPr>
          <w:iCs/>
        </w:rPr>
        <w:t xml:space="preserve"> </w:t>
      </w:r>
      <w:r w:rsidRPr="002029AF">
        <w:rPr>
          <w:iCs/>
        </w:rPr>
        <w:t>2003</w:t>
      </w:r>
      <w:r w:rsidRPr="002029AF">
        <w:t>,</w:t>
      </w:r>
      <w:r w:rsidR="000A5329" w:rsidRPr="002029AF">
        <w:t xml:space="preserve"> </w:t>
      </w:r>
      <w:r w:rsidRPr="002029AF">
        <w:rPr>
          <w:rStyle w:val="Emphasis"/>
        </w:rPr>
        <w:t>Casino</w:t>
      </w:r>
      <w:r w:rsidR="000A5329" w:rsidRPr="002029AF">
        <w:rPr>
          <w:rStyle w:val="Emphasis"/>
        </w:rPr>
        <w:t xml:space="preserve"> </w:t>
      </w:r>
      <w:r w:rsidRPr="002029AF">
        <w:rPr>
          <w:rStyle w:val="Emphasis"/>
        </w:rPr>
        <w:t>Control</w:t>
      </w:r>
      <w:r w:rsidR="000A5329" w:rsidRPr="002029AF">
        <w:rPr>
          <w:rStyle w:val="Emphasis"/>
        </w:rPr>
        <w:t xml:space="preserve"> </w:t>
      </w:r>
      <w:r w:rsidRPr="002029AF">
        <w:rPr>
          <w:rStyle w:val="Emphasis"/>
        </w:rPr>
        <w:t>Act</w:t>
      </w:r>
      <w:r w:rsidR="000A5329" w:rsidRPr="002029AF">
        <w:rPr>
          <w:rStyle w:val="Emphasis"/>
        </w:rPr>
        <w:t xml:space="preserve"> </w:t>
      </w:r>
      <w:r w:rsidRPr="002029AF">
        <w:rPr>
          <w:rStyle w:val="Emphasis"/>
        </w:rPr>
        <w:t>No.</w:t>
      </w:r>
      <w:r w:rsidR="000A5329" w:rsidRPr="002029AF">
        <w:rPr>
          <w:rStyle w:val="Emphasis"/>
        </w:rPr>
        <w:t xml:space="preserve"> </w:t>
      </w:r>
      <w:r w:rsidRPr="002029AF">
        <w:rPr>
          <w:rStyle w:val="Emphasis"/>
        </w:rPr>
        <w:t>47</w:t>
      </w:r>
      <w:r w:rsidR="000A5329" w:rsidRPr="002029AF">
        <w:rPr>
          <w:rStyle w:val="Emphasis"/>
        </w:rPr>
        <w:t xml:space="preserve"> </w:t>
      </w:r>
      <w:r w:rsidRPr="002029AF">
        <w:rPr>
          <w:rStyle w:val="Emphasis"/>
        </w:rPr>
        <w:t>of</w:t>
      </w:r>
      <w:r w:rsidR="000A5329" w:rsidRPr="002029AF">
        <w:rPr>
          <w:rStyle w:val="Emphasis"/>
        </w:rPr>
        <w:t xml:space="preserve"> </w:t>
      </w:r>
      <w:r w:rsidRPr="002029AF">
        <w:rPr>
          <w:rStyle w:val="Emphasis"/>
        </w:rPr>
        <w:t>1991</w:t>
      </w:r>
      <w:r w:rsidR="000A5329" w:rsidRPr="002029AF">
        <w:t xml:space="preserve"> </w:t>
      </w:r>
      <w:r w:rsidRPr="002029AF">
        <w:t>and</w:t>
      </w:r>
      <w:r w:rsidR="000A5329" w:rsidRPr="002029AF">
        <w:t xml:space="preserve"> </w:t>
      </w:r>
      <w:r w:rsidRPr="002029AF">
        <w:t>s.</w:t>
      </w:r>
      <w:r w:rsidR="000A5329" w:rsidRPr="002029AF">
        <w:t xml:space="preserve"> </w:t>
      </w:r>
      <w:r w:rsidRPr="002029AF">
        <w:t>10</w:t>
      </w:r>
      <w:r w:rsidR="000A5329" w:rsidRPr="002029AF">
        <w:t xml:space="preserve"> </w:t>
      </w:r>
      <w:r w:rsidRPr="002029AF">
        <w:t>of</w:t>
      </w:r>
      <w:r w:rsidR="000A5329" w:rsidRPr="002029AF">
        <w:t xml:space="preserve"> </w:t>
      </w:r>
      <w:r w:rsidRPr="002029AF">
        <w:t>the</w:t>
      </w:r>
      <w:r w:rsidR="000A5329" w:rsidRPr="002029AF">
        <w:rPr>
          <w:rStyle w:val="Emphasis"/>
        </w:rPr>
        <w:t xml:space="preserve"> </w:t>
      </w:r>
      <w:r w:rsidRPr="002029AF">
        <w:rPr>
          <w:rStyle w:val="Emphasis"/>
        </w:rPr>
        <w:t>Financial</w:t>
      </w:r>
      <w:r w:rsidR="000A5329" w:rsidRPr="002029AF">
        <w:rPr>
          <w:rStyle w:val="Emphasis"/>
        </w:rPr>
        <w:t xml:space="preserve"> </w:t>
      </w:r>
      <w:r w:rsidRPr="002029AF">
        <w:rPr>
          <w:rStyle w:val="Emphasis"/>
        </w:rPr>
        <w:t>Management</w:t>
      </w:r>
      <w:r w:rsidR="000A5329" w:rsidRPr="002029AF">
        <w:rPr>
          <w:rStyle w:val="Emphasis"/>
        </w:rPr>
        <w:t xml:space="preserve"> </w:t>
      </w:r>
      <w:r w:rsidRPr="002029AF">
        <w:rPr>
          <w:rStyle w:val="Emphasis"/>
        </w:rPr>
        <w:t>Act</w:t>
      </w:r>
      <w:r w:rsidR="000A5329" w:rsidRPr="002029AF">
        <w:rPr>
          <w:rStyle w:val="Emphasis"/>
        </w:rPr>
        <w:t xml:space="preserve"> </w:t>
      </w:r>
      <w:r w:rsidRPr="002029AF">
        <w:rPr>
          <w:rStyle w:val="Emphasis"/>
        </w:rPr>
        <w:t>1994</w:t>
      </w:r>
      <w:r w:rsidRPr="002029AF">
        <w:t>.</w:t>
      </w:r>
    </w:p>
    <w:p w14:paraId="7649DF78" w14:textId="707D4A47" w:rsidR="00087B91" w:rsidRPr="002029AF" w:rsidRDefault="00087B91" w:rsidP="00087B91">
      <w:pPr>
        <w:pStyle w:val="Heading7"/>
      </w:pPr>
      <w:r w:rsidRPr="002029AF">
        <w:t>Intellectually</w:t>
      </w:r>
      <w:r w:rsidR="000A5329" w:rsidRPr="002029AF">
        <w:t xml:space="preserve"> </w:t>
      </w:r>
      <w:r w:rsidRPr="002029AF">
        <w:t>Handicapped</w:t>
      </w:r>
      <w:r w:rsidR="000A5329" w:rsidRPr="002029AF">
        <w:t xml:space="preserve"> </w:t>
      </w:r>
      <w:r w:rsidRPr="002029AF">
        <w:t>Children’s</w:t>
      </w:r>
      <w:r w:rsidR="000A5329" w:rsidRPr="002029AF">
        <w:t xml:space="preserve"> </w:t>
      </w:r>
      <w:r w:rsidRPr="002029AF">
        <w:t>Amenities</w:t>
      </w:r>
      <w:r w:rsidR="000A5329" w:rsidRPr="002029AF">
        <w:t xml:space="preserve"> </w:t>
      </w:r>
      <w:r w:rsidRPr="002029AF">
        <w:t>Fund</w:t>
      </w:r>
    </w:p>
    <w:p w14:paraId="0B0EF8A8" w14:textId="74D8AA9D" w:rsidR="00087B91" w:rsidRPr="002029AF" w:rsidRDefault="00087B91" w:rsidP="00087B91">
      <w:pPr>
        <w:pStyle w:val="ARfinbody"/>
      </w:pPr>
      <w:r w:rsidRPr="002029AF">
        <w:rPr>
          <w:iCs/>
        </w:rPr>
        <w:t>Established</w:t>
      </w:r>
      <w:r w:rsidR="000A5329" w:rsidRPr="002029AF">
        <w:rPr>
          <w:iCs/>
        </w:rPr>
        <w:t xml:space="preserve"> </w:t>
      </w:r>
      <w:r w:rsidRPr="002029AF">
        <w:rPr>
          <w:iCs/>
        </w:rPr>
        <w:t>under</w:t>
      </w:r>
      <w:r w:rsidR="000A5329" w:rsidRPr="002029AF">
        <w:rPr>
          <w:iCs/>
        </w:rPr>
        <w:t xml:space="preserve"> </w:t>
      </w:r>
      <w:r w:rsidRPr="002029AF">
        <w:rPr>
          <w:iCs/>
        </w:rPr>
        <w:t>the</w:t>
      </w:r>
      <w:r w:rsidR="000A5329" w:rsidRPr="002029AF">
        <w:rPr>
          <w:iCs/>
        </w:rPr>
        <w:t xml:space="preserve"> </w:t>
      </w:r>
      <w:r w:rsidRPr="002029AF">
        <w:rPr>
          <w:rStyle w:val="Emphasis"/>
        </w:rPr>
        <w:t>Intellectually</w:t>
      </w:r>
      <w:r w:rsidR="000A5329" w:rsidRPr="002029AF">
        <w:rPr>
          <w:rStyle w:val="Emphasis"/>
        </w:rPr>
        <w:t xml:space="preserve"> </w:t>
      </w:r>
      <w:r w:rsidRPr="002029AF">
        <w:rPr>
          <w:rStyle w:val="Emphasis"/>
        </w:rPr>
        <w:t>Disabled</w:t>
      </w:r>
      <w:r w:rsidR="000A5329" w:rsidRPr="002029AF">
        <w:rPr>
          <w:rStyle w:val="Emphasis"/>
        </w:rPr>
        <w:t xml:space="preserve"> </w:t>
      </w:r>
      <w:r w:rsidRPr="002029AF">
        <w:rPr>
          <w:rStyle w:val="Emphasis"/>
        </w:rPr>
        <w:t>Persons</w:t>
      </w:r>
      <w:r w:rsidR="000A5329" w:rsidRPr="002029AF">
        <w:rPr>
          <w:rStyle w:val="Emphasis"/>
        </w:rPr>
        <w:t xml:space="preserve"> </w:t>
      </w:r>
      <w:r w:rsidRPr="002029AF">
        <w:rPr>
          <w:rStyle w:val="Emphasis"/>
        </w:rPr>
        <w:t>Act</w:t>
      </w:r>
      <w:r w:rsidR="000A5329" w:rsidRPr="002029AF">
        <w:rPr>
          <w:rStyle w:val="Emphasis"/>
        </w:rPr>
        <w:t xml:space="preserve"> </w:t>
      </w:r>
      <w:r w:rsidRPr="002029AF">
        <w:rPr>
          <w:rStyle w:val="Emphasis"/>
        </w:rPr>
        <w:t>1986</w:t>
      </w:r>
      <w:r w:rsidR="000A5329" w:rsidRPr="002029AF">
        <w:t xml:space="preserve"> </w:t>
      </w:r>
      <w:r w:rsidRPr="002029AF">
        <w:t>which</w:t>
      </w:r>
      <w:r w:rsidR="000A5329" w:rsidRPr="002029AF">
        <w:t xml:space="preserve"> </w:t>
      </w:r>
      <w:r w:rsidRPr="002029AF">
        <w:t>was</w:t>
      </w:r>
      <w:r w:rsidR="000A5329" w:rsidRPr="002029AF">
        <w:t xml:space="preserve"> </w:t>
      </w:r>
      <w:r w:rsidRPr="002029AF">
        <w:t>then</w:t>
      </w:r>
      <w:r w:rsidR="000A5329" w:rsidRPr="002029AF">
        <w:t xml:space="preserve"> </w:t>
      </w:r>
      <w:r w:rsidRPr="002029AF">
        <w:t>repealed</w:t>
      </w:r>
      <w:r w:rsidR="000A5329" w:rsidRPr="002029AF">
        <w:t xml:space="preserve"> </w:t>
      </w:r>
      <w:r w:rsidRPr="002029AF">
        <w:t>by</w:t>
      </w:r>
      <w:r w:rsidR="000A5329" w:rsidRPr="002029AF">
        <w:t xml:space="preserve"> </w:t>
      </w:r>
      <w:r w:rsidRPr="002029AF">
        <w:t>the</w:t>
      </w:r>
      <w:r w:rsidR="000A5329" w:rsidRPr="002029AF">
        <w:t xml:space="preserve"> </w:t>
      </w:r>
      <w:r w:rsidRPr="002029AF">
        <w:rPr>
          <w:rStyle w:val="Emphasis"/>
        </w:rPr>
        <w:t>Disability</w:t>
      </w:r>
      <w:r w:rsidR="000A5329" w:rsidRPr="002029AF">
        <w:rPr>
          <w:rStyle w:val="Emphasis"/>
        </w:rPr>
        <w:t xml:space="preserve"> </w:t>
      </w:r>
      <w:r w:rsidRPr="002029AF">
        <w:rPr>
          <w:rStyle w:val="Emphasis"/>
        </w:rPr>
        <w:t>Act</w:t>
      </w:r>
      <w:r w:rsidR="000A5329" w:rsidRPr="002029AF">
        <w:rPr>
          <w:rStyle w:val="Emphasis"/>
        </w:rPr>
        <w:t xml:space="preserve"> </w:t>
      </w:r>
      <w:r w:rsidRPr="002029AF">
        <w:rPr>
          <w:rStyle w:val="Emphasis"/>
        </w:rPr>
        <w:t>2006</w:t>
      </w:r>
      <w:r w:rsidRPr="002029AF">
        <w:t>.</w:t>
      </w:r>
      <w:r w:rsidR="000A5329" w:rsidRPr="002029AF">
        <w:t xml:space="preserve"> </w:t>
      </w:r>
      <w:r w:rsidRPr="002029AF">
        <w:t>The</w:t>
      </w:r>
      <w:r w:rsidR="000A5329" w:rsidRPr="002029AF">
        <w:t xml:space="preserve"> </w:t>
      </w:r>
      <w:r w:rsidRPr="002029AF">
        <w:t>trust</w:t>
      </w:r>
      <w:r w:rsidR="000A5329" w:rsidRPr="002029AF">
        <w:t xml:space="preserve"> </w:t>
      </w:r>
      <w:r w:rsidRPr="002029AF">
        <w:t>was</w:t>
      </w:r>
      <w:r w:rsidR="000A5329" w:rsidRPr="002029AF">
        <w:t xml:space="preserve"> </w:t>
      </w:r>
      <w:r w:rsidRPr="002029AF">
        <w:t>established</w:t>
      </w:r>
      <w:r w:rsidR="000A5329" w:rsidRPr="002029AF">
        <w:t xml:space="preserve"> </w:t>
      </w:r>
      <w:r w:rsidRPr="002029AF">
        <w:t>to</w:t>
      </w:r>
      <w:r w:rsidR="000A5329" w:rsidRPr="002029AF">
        <w:t xml:space="preserve"> </w:t>
      </w:r>
      <w:r w:rsidRPr="002029AF">
        <w:t>meet</w:t>
      </w:r>
      <w:r w:rsidR="000A5329" w:rsidRPr="002029AF">
        <w:t xml:space="preserve"> </w:t>
      </w:r>
      <w:r w:rsidRPr="002029AF">
        <w:t>the</w:t>
      </w:r>
      <w:r w:rsidR="000A5329" w:rsidRPr="002029AF">
        <w:t xml:space="preserve"> </w:t>
      </w:r>
      <w:r w:rsidRPr="002029AF">
        <w:t>cost</w:t>
      </w:r>
      <w:r w:rsidR="000A5329" w:rsidRPr="002029AF">
        <w:t xml:space="preserve"> </w:t>
      </w:r>
      <w:r w:rsidRPr="002029AF">
        <w:t>of</w:t>
      </w:r>
      <w:r w:rsidR="000A5329" w:rsidRPr="002029AF">
        <w:t xml:space="preserve"> </w:t>
      </w:r>
      <w:r w:rsidRPr="002029AF">
        <w:t>the</w:t>
      </w:r>
      <w:r w:rsidR="000A5329" w:rsidRPr="002029AF">
        <w:t xml:space="preserve"> </w:t>
      </w:r>
      <w:r w:rsidRPr="002029AF">
        <w:t>provision</w:t>
      </w:r>
      <w:r w:rsidR="000A5329" w:rsidRPr="002029AF">
        <w:t xml:space="preserve"> </w:t>
      </w:r>
      <w:r w:rsidRPr="002029AF">
        <w:t>of</w:t>
      </w:r>
      <w:r w:rsidR="000A5329" w:rsidRPr="002029AF">
        <w:t xml:space="preserve"> </w:t>
      </w:r>
      <w:r w:rsidRPr="002029AF">
        <w:t>amenities</w:t>
      </w:r>
      <w:r w:rsidR="000A5329" w:rsidRPr="002029AF">
        <w:t xml:space="preserve"> </w:t>
      </w:r>
      <w:r w:rsidRPr="002029AF">
        <w:t>for</w:t>
      </w:r>
      <w:r w:rsidR="000A5329" w:rsidRPr="002029AF">
        <w:t xml:space="preserve"> </w:t>
      </w:r>
      <w:r w:rsidRPr="002029AF">
        <w:t>children</w:t>
      </w:r>
      <w:r w:rsidR="000A5329" w:rsidRPr="002029AF">
        <w:t xml:space="preserve"> </w:t>
      </w:r>
      <w:r w:rsidRPr="002029AF">
        <w:t>under</w:t>
      </w:r>
      <w:r w:rsidR="000A5329" w:rsidRPr="002029AF">
        <w:t xml:space="preserve"> </w:t>
      </w:r>
      <w:r w:rsidRPr="002029AF">
        <w:t>the</w:t>
      </w:r>
      <w:r w:rsidR="000A5329" w:rsidRPr="002029AF">
        <w:t xml:space="preserve"> </w:t>
      </w:r>
      <w:r w:rsidRPr="002029AF">
        <w:t>age</w:t>
      </w:r>
      <w:r w:rsidR="000A5329" w:rsidRPr="002029AF">
        <w:t xml:space="preserve"> </w:t>
      </w:r>
      <w:r w:rsidRPr="002029AF">
        <w:t>of</w:t>
      </w:r>
      <w:r w:rsidR="000A5329" w:rsidRPr="002029AF">
        <w:t xml:space="preserve"> </w:t>
      </w:r>
      <w:r w:rsidRPr="002029AF">
        <w:t>16</w:t>
      </w:r>
      <w:r w:rsidR="000A5329" w:rsidRPr="002029AF">
        <w:t xml:space="preserve"> </w:t>
      </w:r>
      <w:r w:rsidRPr="002029AF">
        <w:t>years</w:t>
      </w:r>
      <w:r w:rsidR="000A5329" w:rsidRPr="002029AF">
        <w:t xml:space="preserve"> </w:t>
      </w:r>
      <w:r w:rsidRPr="002029AF">
        <w:t>in</w:t>
      </w:r>
      <w:r w:rsidR="000A5329" w:rsidRPr="002029AF">
        <w:t xml:space="preserve"> </w:t>
      </w:r>
      <w:r w:rsidRPr="002029AF">
        <w:t>the</w:t>
      </w:r>
      <w:r w:rsidR="000A5329" w:rsidRPr="002029AF">
        <w:t xml:space="preserve"> </w:t>
      </w:r>
      <w:r w:rsidRPr="002029AF">
        <w:t>care</w:t>
      </w:r>
      <w:r w:rsidR="000A5329" w:rsidRPr="002029AF">
        <w:t xml:space="preserve"> </w:t>
      </w:r>
      <w:r w:rsidRPr="002029AF">
        <w:t>of</w:t>
      </w:r>
      <w:r w:rsidR="000A5329" w:rsidRPr="002029AF">
        <w:t xml:space="preserve"> </w:t>
      </w:r>
      <w:r w:rsidRPr="002029AF">
        <w:t>the</w:t>
      </w:r>
      <w:r w:rsidR="000A5329" w:rsidRPr="002029AF">
        <w:t xml:space="preserve"> </w:t>
      </w:r>
      <w:r w:rsidRPr="002029AF">
        <w:t>department.</w:t>
      </w:r>
    </w:p>
    <w:p w14:paraId="5865F476" w14:textId="76A06C3B" w:rsidR="00087B91" w:rsidRPr="002029AF" w:rsidRDefault="00087B91" w:rsidP="00087B91">
      <w:pPr>
        <w:pStyle w:val="Heading7"/>
      </w:pPr>
      <w:r w:rsidRPr="002029AF">
        <w:t>Mental</w:t>
      </w:r>
      <w:r w:rsidR="000A5329" w:rsidRPr="002029AF">
        <w:t xml:space="preserve"> </w:t>
      </w:r>
      <w:r w:rsidRPr="002029AF">
        <w:t>Health</w:t>
      </w:r>
      <w:r w:rsidR="000A5329" w:rsidRPr="002029AF">
        <w:t xml:space="preserve"> </w:t>
      </w:r>
      <w:r w:rsidRPr="002029AF">
        <w:t>Fund</w:t>
      </w:r>
    </w:p>
    <w:p w14:paraId="5A602BE1" w14:textId="3725DBB7" w:rsidR="00087B91" w:rsidRPr="002029AF" w:rsidRDefault="00087B91" w:rsidP="00087B91">
      <w:pPr>
        <w:pStyle w:val="ARfinbody"/>
      </w:pPr>
      <w:r w:rsidRPr="002029AF">
        <w:t>Established</w:t>
      </w:r>
      <w:r w:rsidR="000A5329" w:rsidRPr="002029AF">
        <w:t xml:space="preserve"> </w:t>
      </w:r>
      <w:r w:rsidRPr="002029AF">
        <w:t>under</w:t>
      </w:r>
      <w:r w:rsidR="000A5329" w:rsidRPr="002029AF">
        <w:t xml:space="preserve"> </w:t>
      </w:r>
      <w:r w:rsidRPr="002029AF">
        <w:t>the</w:t>
      </w:r>
      <w:r w:rsidR="000A5329" w:rsidRPr="002029AF">
        <w:t xml:space="preserve"> </w:t>
      </w:r>
      <w:r w:rsidRPr="002029AF">
        <w:rPr>
          <w:rStyle w:val="Emphasis"/>
        </w:rPr>
        <w:t>Gaming</w:t>
      </w:r>
      <w:r w:rsidR="000A5329" w:rsidRPr="002029AF">
        <w:rPr>
          <w:rStyle w:val="Emphasis"/>
        </w:rPr>
        <w:t xml:space="preserve"> </w:t>
      </w:r>
      <w:r w:rsidRPr="002029AF">
        <w:rPr>
          <w:rStyle w:val="Emphasis"/>
        </w:rPr>
        <w:t>Regulation</w:t>
      </w:r>
      <w:r w:rsidR="000A5329" w:rsidRPr="002029AF">
        <w:rPr>
          <w:rStyle w:val="Emphasis"/>
        </w:rPr>
        <w:t xml:space="preserve"> </w:t>
      </w:r>
      <w:r w:rsidRPr="002029AF">
        <w:rPr>
          <w:rStyle w:val="Emphasis"/>
        </w:rPr>
        <w:t>Act</w:t>
      </w:r>
      <w:r w:rsidR="000A5329" w:rsidRPr="002029AF">
        <w:rPr>
          <w:rStyle w:val="Emphasis"/>
        </w:rPr>
        <w:t xml:space="preserve"> </w:t>
      </w:r>
      <w:r w:rsidRPr="002029AF">
        <w:rPr>
          <w:rStyle w:val="Emphasis"/>
        </w:rPr>
        <w:t>2003</w:t>
      </w:r>
      <w:r w:rsidR="000A5329" w:rsidRPr="002029AF">
        <w:t xml:space="preserve"> </w:t>
      </w:r>
      <w:r w:rsidRPr="002029AF">
        <w:t>for</w:t>
      </w:r>
      <w:r w:rsidR="000A5329" w:rsidRPr="002029AF">
        <w:t xml:space="preserve"> </w:t>
      </w:r>
      <w:r w:rsidRPr="002029AF">
        <w:t>the</w:t>
      </w:r>
      <w:r w:rsidR="000A5329" w:rsidRPr="002029AF">
        <w:t xml:space="preserve"> </w:t>
      </w:r>
      <w:r w:rsidRPr="002029AF">
        <w:t>establishment</w:t>
      </w:r>
      <w:r w:rsidR="000A5329" w:rsidRPr="002029AF">
        <w:t xml:space="preserve"> </w:t>
      </w:r>
      <w:r w:rsidRPr="002029AF">
        <w:t>and</w:t>
      </w:r>
      <w:r w:rsidR="000A5329" w:rsidRPr="002029AF">
        <w:t xml:space="preserve"> </w:t>
      </w:r>
      <w:r w:rsidRPr="002029AF">
        <w:t>maintenance</w:t>
      </w:r>
      <w:r w:rsidR="000A5329" w:rsidRPr="002029AF">
        <w:t xml:space="preserve"> </w:t>
      </w:r>
      <w:r w:rsidRPr="002029AF">
        <w:t>of</w:t>
      </w:r>
      <w:r w:rsidR="000A5329" w:rsidRPr="002029AF">
        <w:t xml:space="preserve"> </w:t>
      </w:r>
      <w:r w:rsidRPr="002029AF">
        <w:t>mental</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and</w:t>
      </w:r>
      <w:r w:rsidR="000A5329" w:rsidRPr="002029AF">
        <w:t xml:space="preserve"> </w:t>
      </w:r>
      <w:r w:rsidRPr="002029AF">
        <w:t>residential</w:t>
      </w:r>
      <w:r w:rsidR="000A5329" w:rsidRPr="002029AF">
        <w:t xml:space="preserve"> </w:t>
      </w:r>
      <w:r w:rsidRPr="002029AF">
        <w:t>institutions</w:t>
      </w:r>
      <w:r w:rsidR="000A5329" w:rsidRPr="002029AF">
        <w:t xml:space="preserve"> </w:t>
      </w:r>
      <w:r w:rsidRPr="002029AF">
        <w:t>and</w:t>
      </w:r>
      <w:r w:rsidR="000A5329" w:rsidRPr="002029AF">
        <w:t xml:space="preserve"> </w:t>
      </w:r>
      <w:r w:rsidRPr="002029AF">
        <w:t>facilities,</w:t>
      </w:r>
      <w:r w:rsidR="000A5329" w:rsidRPr="002029AF">
        <w:t xml:space="preserve"> </w:t>
      </w:r>
      <w:r w:rsidRPr="002029AF">
        <w:t>for</w:t>
      </w:r>
      <w:r w:rsidR="000A5329" w:rsidRPr="002029AF">
        <w:t xml:space="preserve"> </w:t>
      </w:r>
      <w:r w:rsidRPr="002029AF">
        <w:t>the</w:t>
      </w:r>
      <w:r w:rsidR="000A5329" w:rsidRPr="002029AF">
        <w:t xml:space="preserve"> </w:t>
      </w:r>
      <w:r w:rsidRPr="002029AF">
        <w:t>administration</w:t>
      </w:r>
      <w:r w:rsidR="000A5329" w:rsidRPr="002029AF">
        <w:t xml:space="preserve"> </w:t>
      </w:r>
      <w:r w:rsidRPr="002029AF">
        <w:t>of</w:t>
      </w:r>
      <w:r w:rsidR="000A5329" w:rsidRPr="002029AF">
        <w:t xml:space="preserve"> </w:t>
      </w:r>
      <w:r w:rsidRPr="002029AF">
        <w:t>the</w:t>
      </w:r>
      <w:r w:rsidR="000A5329" w:rsidRPr="002029AF">
        <w:t xml:space="preserve"> </w:t>
      </w:r>
      <w:r w:rsidRPr="002029AF">
        <w:rPr>
          <w:rStyle w:val="Emphasis"/>
        </w:rPr>
        <w:t>Mental</w:t>
      </w:r>
      <w:r w:rsidR="000A5329" w:rsidRPr="002029AF">
        <w:rPr>
          <w:rStyle w:val="Emphasis"/>
        </w:rPr>
        <w:t xml:space="preserve"> </w:t>
      </w:r>
      <w:r w:rsidRPr="002029AF">
        <w:rPr>
          <w:rStyle w:val="Emphasis"/>
        </w:rPr>
        <w:t>Health</w:t>
      </w:r>
      <w:r w:rsidR="000A5329" w:rsidRPr="002029AF">
        <w:rPr>
          <w:rStyle w:val="Emphasis"/>
        </w:rPr>
        <w:t xml:space="preserve"> </w:t>
      </w:r>
      <w:r w:rsidRPr="002029AF">
        <w:rPr>
          <w:rStyle w:val="Emphasis"/>
        </w:rPr>
        <w:t>Act</w:t>
      </w:r>
      <w:r w:rsidR="000A5329" w:rsidRPr="002029AF">
        <w:rPr>
          <w:rStyle w:val="Emphasis"/>
        </w:rPr>
        <w:t xml:space="preserve"> </w:t>
      </w:r>
      <w:r w:rsidRPr="002029AF">
        <w:rPr>
          <w:rStyle w:val="Emphasis"/>
        </w:rPr>
        <w:t>1986</w:t>
      </w:r>
      <w:r w:rsidR="000A5329" w:rsidRPr="002029AF">
        <w:t xml:space="preserve"> </w:t>
      </w:r>
      <w:r w:rsidRPr="002029AF">
        <w:t>and</w:t>
      </w:r>
      <w:r w:rsidR="000A5329" w:rsidRPr="002029AF">
        <w:t xml:space="preserve"> </w:t>
      </w:r>
      <w:r w:rsidRPr="002029AF">
        <w:t>for</w:t>
      </w:r>
      <w:r w:rsidR="000A5329" w:rsidRPr="002029AF">
        <w:t xml:space="preserve"> </w:t>
      </w:r>
      <w:r w:rsidRPr="002029AF">
        <w:t>the</w:t>
      </w:r>
      <w:r w:rsidR="000A5329" w:rsidRPr="002029AF">
        <w:t xml:space="preserve"> </w:t>
      </w:r>
      <w:r w:rsidRPr="002029AF">
        <w:t>administration</w:t>
      </w:r>
      <w:r w:rsidR="000A5329" w:rsidRPr="002029AF">
        <w:t xml:space="preserve"> </w:t>
      </w:r>
      <w:r w:rsidRPr="002029AF">
        <w:t>of</w:t>
      </w:r>
      <w:r w:rsidR="000A5329" w:rsidRPr="002029AF">
        <w:t xml:space="preserve"> </w:t>
      </w:r>
      <w:r w:rsidRPr="002029AF">
        <w:t>the</w:t>
      </w:r>
      <w:r w:rsidR="000A5329" w:rsidRPr="002029AF">
        <w:t xml:space="preserve"> </w:t>
      </w:r>
      <w:r w:rsidRPr="002029AF">
        <w:rPr>
          <w:rStyle w:val="Emphasis"/>
        </w:rPr>
        <w:t>Disability</w:t>
      </w:r>
      <w:r w:rsidR="000A5329" w:rsidRPr="002029AF">
        <w:rPr>
          <w:rStyle w:val="Emphasis"/>
        </w:rPr>
        <w:t xml:space="preserve"> </w:t>
      </w:r>
      <w:r w:rsidRPr="002029AF">
        <w:rPr>
          <w:rStyle w:val="Emphasis"/>
        </w:rPr>
        <w:t>Act</w:t>
      </w:r>
      <w:r w:rsidR="000A5329" w:rsidRPr="002029AF">
        <w:rPr>
          <w:rStyle w:val="Emphasis"/>
        </w:rPr>
        <w:t xml:space="preserve"> </w:t>
      </w:r>
      <w:r w:rsidRPr="002029AF">
        <w:rPr>
          <w:rStyle w:val="Emphasis"/>
        </w:rPr>
        <w:t>2006</w:t>
      </w:r>
      <w:r w:rsidRPr="002029AF">
        <w:t>.</w:t>
      </w:r>
    </w:p>
    <w:p w14:paraId="36804ED9" w14:textId="503DB7C4" w:rsidR="00087B91" w:rsidRPr="002029AF" w:rsidRDefault="00087B91" w:rsidP="00087B91">
      <w:pPr>
        <w:pStyle w:val="Heading7"/>
      </w:pPr>
      <w:r w:rsidRPr="002029AF">
        <w:t>Public</w:t>
      </w:r>
      <w:r w:rsidR="000A5329" w:rsidRPr="002029AF">
        <w:t xml:space="preserve"> </w:t>
      </w:r>
      <w:r w:rsidRPr="002029AF">
        <w:t>Health</w:t>
      </w:r>
      <w:r w:rsidR="000A5329" w:rsidRPr="002029AF">
        <w:t xml:space="preserve"> </w:t>
      </w:r>
      <w:r w:rsidRPr="002029AF">
        <w:t>Fund</w:t>
      </w:r>
    </w:p>
    <w:p w14:paraId="735DBB30" w14:textId="0EC4109D" w:rsidR="00087B91" w:rsidRPr="002029AF" w:rsidRDefault="00087B91" w:rsidP="00087B91">
      <w:pPr>
        <w:pStyle w:val="ARfinbody"/>
      </w:pPr>
      <w:r w:rsidRPr="002029AF">
        <w:t>Established</w:t>
      </w:r>
      <w:r w:rsidR="000A5329" w:rsidRPr="002029AF">
        <w:t xml:space="preserve"> </w:t>
      </w:r>
      <w:r w:rsidRPr="002029AF">
        <w:t>by</w:t>
      </w:r>
      <w:r w:rsidR="000A5329" w:rsidRPr="002029AF">
        <w:t xml:space="preserve"> </w:t>
      </w:r>
      <w:r w:rsidRPr="002029AF">
        <w:t>the</w:t>
      </w:r>
      <w:r w:rsidR="000A5329" w:rsidRPr="002029AF">
        <w:t xml:space="preserve"> </w:t>
      </w:r>
      <w:r w:rsidRPr="002029AF">
        <w:t>Assistant</w:t>
      </w:r>
      <w:r w:rsidR="000A5329" w:rsidRPr="002029AF">
        <w:t xml:space="preserve"> </w:t>
      </w:r>
      <w:r w:rsidRPr="002029AF">
        <w:t>Treasurer</w:t>
      </w:r>
      <w:r w:rsidR="000A5329" w:rsidRPr="002029AF">
        <w:t xml:space="preserve"> </w:t>
      </w:r>
      <w:r w:rsidRPr="002029AF">
        <w:t>in</w:t>
      </w:r>
      <w:r w:rsidR="000A5329" w:rsidRPr="002029AF">
        <w:t xml:space="preserve"> </w:t>
      </w:r>
      <w:r w:rsidRPr="002029AF">
        <w:t>accordance</w:t>
      </w:r>
      <w:r w:rsidR="000A5329" w:rsidRPr="002029AF">
        <w:t xml:space="preserve"> </w:t>
      </w:r>
      <w:r w:rsidRPr="002029AF">
        <w:t>with</w:t>
      </w:r>
      <w:r w:rsidR="000A5329" w:rsidRPr="002029AF">
        <w:t xml:space="preserve"> </w:t>
      </w:r>
      <w:r w:rsidRPr="002029AF">
        <w:t>the</w:t>
      </w:r>
      <w:r w:rsidR="000A5329" w:rsidRPr="002029AF">
        <w:t xml:space="preserve"> </w:t>
      </w:r>
      <w:r w:rsidRPr="002029AF">
        <w:t>National</w:t>
      </w:r>
      <w:r w:rsidR="000A5329" w:rsidRPr="002029AF">
        <w:t xml:space="preserve"> </w:t>
      </w:r>
      <w:r w:rsidRPr="002029AF">
        <w:t>Health</w:t>
      </w:r>
      <w:r w:rsidR="000A5329" w:rsidRPr="002029AF">
        <w:t xml:space="preserve"> </w:t>
      </w:r>
      <w:r w:rsidRPr="002029AF">
        <w:t>Reform</w:t>
      </w:r>
      <w:r w:rsidR="000A5329" w:rsidRPr="002029AF">
        <w:t xml:space="preserve"> </w:t>
      </w:r>
      <w:r w:rsidRPr="002029AF">
        <w:t>Agreement</w:t>
      </w:r>
      <w:r w:rsidR="000A5329" w:rsidRPr="002029AF">
        <w:t xml:space="preserve"> </w:t>
      </w:r>
      <w:r w:rsidRPr="002029AF">
        <w:t>to</w:t>
      </w:r>
      <w:r w:rsidR="000A5329" w:rsidRPr="002029AF">
        <w:t xml:space="preserve"> </w:t>
      </w:r>
      <w:r w:rsidRPr="002029AF">
        <w:t>allow</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of</w:t>
      </w:r>
      <w:r w:rsidR="000A5329" w:rsidRPr="002029AF">
        <w:t xml:space="preserve"> </w:t>
      </w:r>
      <w:r w:rsidRPr="002029AF">
        <w:t>Health</w:t>
      </w:r>
      <w:r w:rsidR="000A5329" w:rsidRPr="002029AF">
        <w:t xml:space="preserve"> </w:t>
      </w:r>
      <w:r w:rsidRPr="002029AF">
        <w:t>and</w:t>
      </w:r>
      <w:r w:rsidR="000A5329" w:rsidRPr="002029AF">
        <w:t xml:space="preserve"> </w:t>
      </w:r>
      <w:r w:rsidRPr="002029AF">
        <w:t>Human</w:t>
      </w:r>
      <w:r w:rsidR="000A5329" w:rsidRPr="002029AF">
        <w:t xml:space="preserve"> </w:t>
      </w:r>
      <w:r w:rsidRPr="002029AF">
        <w:t>Services</w:t>
      </w:r>
      <w:r w:rsidR="000A5329" w:rsidRPr="002029AF">
        <w:t xml:space="preserve"> </w:t>
      </w:r>
      <w:r w:rsidRPr="002029AF">
        <w:t>to</w:t>
      </w:r>
      <w:r w:rsidR="000A5329" w:rsidRPr="002029AF">
        <w:t xml:space="preserve"> </w:t>
      </w:r>
      <w:r w:rsidRPr="002029AF">
        <w:t>access</w:t>
      </w:r>
      <w:r w:rsidR="000A5329" w:rsidRPr="002029AF">
        <w:t xml:space="preserve"> </w:t>
      </w:r>
      <w:r w:rsidRPr="002029AF">
        <w:t>public</w:t>
      </w:r>
      <w:r w:rsidR="000A5329" w:rsidRPr="002029AF">
        <w:t xml:space="preserve"> </w:t>
      </w:r>
      <w:r w:rsidRPr="002029AF">
        <w:t>health</w:t>
      </w:r>
      <w:r w:rsidR="000A5329" w:rsidRPr="002029AF">
        <w:t xml:space="preserve"> </w:t>
      </w:r>
      <w:r w:rsidRPr="002029AF">
        <w:t>funding</w:t>
      </w:r>
      <w:r w:rsidR="000A5329" w:rsidRPr="002029AF">
        <w:t xml:space="preserve"> </w:t>
      </w:r>
      <w:r w:rsidRPr="002029AF">
        <w:t>contributions</w:t>
      </w:r>
      <w:r w:rsidR="000A5329" w:rsidRPr="002029AF">
        <w:t xml:space="preserve"> </w:t>
      </w:r>
      <w:r w:rsidRPr="002029AF">
        <w:t>paid</w:t>
      </w:r>
      <w:r w:rsidR="000A5329" w:rsidRPr="002029AF">
        <w:t xml:space="preserve"> </w:t>
      </w:r>
      <w:r w:rsidRPr="002029AF">
        <w:t>by</w:t>
      </w:r>
      <w:r w:rsidR="000A5329" w:rsidRPr="002029AF">
        <w:t xml:space="preserve"> </w:t>
      </w:r>
      <w:r w:rsidRPr="002029AF">
        <w:t>the</w:t>
      </w:r>
      <w:r w:rsidR="000A5329" w:rsidRPr="002029AF">
        <w:t xml:space="preserve"> </w:t>
      </w:r>
      <w:r w:rsidRPr="002029AF">
        <w:t>Commonwealth</w:t>
      </w:r>
      <w:r w:rsidR="000A5329" w:rsidRPr="002029AF">
        <w:t xml:space="preserve"> </w:t>
      </w:r>
      <w:r w:rsidRPr="002029AF">
        <w:t>through</w:t>
      </w:r>
      <w:r w:rsidR="000A5329" w:rsidRPr="002029AF">
        <w:t xml:space="preserve"> </w:t>
      </w:r>
      <w:r w:rsidRPr="002029AF">
        <w:t>the</w:t>
      </w:r>
      <w:r w:rsidR="000A5329" w:rsidRPr="002029AF">
        <w:t xml:space="preserve"> </w:t>
      </w:r>
      <w:r w:rsidRPr="002029AF">
        <w:t>National</w:t>
      </w:r>
      <w:r w:rsidR="000A5329" w:rsidRPr="002029AF">
        <w:t xml:space="preserve"> </w:t>
      </w:r>
      <w:r w:rsidRPr="002029AF">
        <w:t>Health</w:t>
      </w:r>
      <w:r w:rsidR="000A5329" w:rsidRPr="002029AF">
        <w:t xml:space="preserve"> </w:t>
      </w:r>
      <w:r w:rsidRPr="002029AF">
        <w:t>Funding</w:t>
      </w:r>
      <w:r w:rsidR="000A5329" w:rsidRPr="002029AF">
        <w:t xml:space="preserve"> </w:t>
      </w:r>
      <w:r w:rsidRPr="002029AF">
        <w:t>Pool</w:t>
      </w:r>
      <w:r w:rsidR="000A5329" w:rsidRPr="002029AF">
        <w:t xml:space="preserve"> </w:t>
      </w:r>
      <w:r w:rsidRPr="002029AF">
        <w:t>and</w:t>
      </w:r>
      <w:r w:rsidR="000A5329" w:rsidRPr="002029AF">
        <w:t xml:space="preserve"> </w:t>
      </w:r>
      <w:r w:rsidRPr="002029AF">
        <w:t>apply</w:t>
      </w:r>
      <w:r w:rsidR="000A5329" w:rsidRPr="002029AF">
        <w:t xml:space="preserve"> </w:t>
      </w:r>
      <w:r w:rsidRPr="002029AF">
        <w:t>the</w:t>
      </w:r>
      <w:r w:rsidR="000A5329" w:rsidRPr="002029AF">
        <w:t xml:space="preserve"> </w:t>
      </w:r>
      <w:r w:rsidRPr="002029AF">
        <w:t>funding</w:t>
      </w:r>
      <w:r w:rsidR="000A5329" w:rsidRPr="002029AF">
        <w:t xml:space="preserve"> </w:t>
      </w:r>
      <w:r w:rsidRPr="002029AF">
        <w:t>to</w:t>
      </w:r>
      <w:r w:rsidR="000A5329" w:rsidRPr="002029AF">
        <w:t xml:space="preserve"> </w:t>
      </w:r>
      <w:r w:rsidRPr="002029AF">
        <w:t>deliver</w:t>
      </w:r>
      <w:r w:rsidR="000A5329" w:rsidRPr="002029AF">
        <w:t xml:space="preserve"> </w:t>
      </w:r>
      <w:r w:rsidRPr="002029AF">
        <w:t>public</w:t>
      </w:r>
      <w:r w:rsidR="000A5329" w:rsidRPr="002029AF">
        <w:t xml:space="preserve"> </w:t>
      </w:r>
      <w:r w:rsidRPr="002029AF">
        <w:t>health</w:t>
      </w:r>
      <w:r w:rsidR="000A5329" w:rsidRPr="002029AF">
        <w:t xml:space="preserve"> </w:t>
      </w:r>
      <w:r w:rsidRPr="002029AF">
        <w:t>activities</w:t>
      </w:r>
      <w:r w:rsidR="000A5329" w:rsidRPr="002029AF">
        <w:t xml:space="preserve"> </w:t>
      </w:r>
      <w:r w:rsidRPr="002029AF">
        <w:t>managed</w:t>
      </w:r>
      <w:r w:rsidR="000A5329" w:rsidRPr="002029AF">
        <w:t xml:space="preserve"> </w:t>
      </w:r>
      <w:r w:rsidRPr="002029AF">
        <w:t>by</w:t>
      </w:r>
      <w:r w:rsidR="000A5329" w:rsidRPr="002029AF">
        <w:t xml:space="preserve"> </w:t>
      </w:r>
      <w:r w:rsidRPr="002029AF">
        <w:t>the</w:t>
      </w:r>
      <w:r w:rsidR="000A5329" w:rsidRPr="002029AF">
        <w:t xml:space="preserve"> </w:t>
      </w:r>
      <w:r w:rsidRPr="002029AF">
        <w:t>state.</w:t>
      </w:r>
    </w:p>
    <w:p w14:paraId="6DE310E7" w14:textId="795935F4" w:rsidR="00087B91" w:rsidRPr="002029AF" w:rsidRDefault="00087B91" w:rsidP="00087B91">
      <w:pPr>
        <w:pStyle w:val="Heading7"/>
      </w:pPr>
      <w:r w:rsidRPr="002029AF">
        <w:t>State</w:t>
      </w:r>
      <w:r w:rsidR="000A5329" w:rsidRPr="002029AF">
        <w:t xml:space="preserve"> </w:t>
      </w:r>
      <w:r w:rsidRPr="002029AF">
        <w:t>Development</w:t>
      </w:r>
      <w:r w:rsidR="000A5329" w:rsidRPr="002029AF">
        <w:t xml:space="preserve"> </w:t>
      </w:r>
      <w:r w:rsidRPr="002029AF">
        <w:t>Special</w:t>
      </w:r>
      <w:r w:rsidR="000A5329" w:rsidRPr="002029AF">
        <w:t xml:space="preserve"> </w:t>
      </w:r>
      <w:r w:rsidRPr="002029AF">
        <w:t>Projects</w:t>
      </w:r>
      <w:r w:rsidR="000A5329" w:rsidRPr="002029AF">
        <w:t xml:space="preserve"> </w:t>
      </w:r>
      <w:r w:rsidRPr="002029AF">
        <w:t>Trust</w:t>
      </w:r>
      <w:r w:rsidR="000A5329" w:rsidRPr="002029AF">
        <w:t xml:space="preserve"> </w:t>
      </w:r>
      <w:r w:rsidRPr="002029AF">
        <w:t>Account</w:t>
      </w:r>
    </w:p>
    <w:p w14:paraId="3B0C607C" w14:textId="2341F54F" w:rsidR="00087B91" w:rsidRPr="002029AF" w:rsidRDefault="00087B91" w:rsidP="00087B91">
      <w:pPr>
        <w:pStyle w:val="ARfinbody"/>
      </w:pPr>
      <w:r w:rsidRPr="002029AF">
        <w:t>Established</w:t>
      </w:r>
      <w:r w:rsidR="000A5329" w:rsidRPr="002029AF">
        <w:t xml:space="preserve"> </w:t>
      </w:r>
      <w:r w:rsidRPr="002029AF">
        <w:t>under</w:t>
      </w:r>
      <w:r w:rsidR="000A5329" w:rsidRPr="002029AF">
        <w:t xml:space="preserve"> </w:t>
      </w:r>
      <w:r w:rsidRPr="002029AF">
        <w:t>the</w:t>
      </w:r>
      <w:r w:rsidR="000A5329" w:rsidRPr="002029AF">
        <w:t xml:space="preserve"> </w:t>
      </w:r>
      <w:r w:rsidRPr="002029AF">
        <w:rPr>
          <w:rStyle w:val="Emphasis"/>
        </w:rPr>
        <w:t>Financial</w:t>
      </w:r>
      <w:r w:rsidR="000A5329" w:rsidRPr="002029AF">
        <w:rPr>
          <w:rStyle w:val="Emphasis"/>
        </w:rPr>
        <w:t xml:space="preserve"> </w:t>
      </w:r>
      <w:r w:rsidRPr="002029AF">
        <w:rPr>
          <w:rStyle w:val="Emphasis"/>
        </w:rPr>
        <w:t>Management</w:t>
      </w:r>
      <w:r w:rsidR="000A5329" w:rsidRPr="002029AF">
        <w:rPr>
          <w:rStyle w:val="Emphasis"/>
        </w:rPr>
        <w:t xml:space="preserve"> </w:t>
      </w:r>
      <w:r w:rsidRPr="002029AF">
        <w:rPr>
          <w:rStyle w:val="Emphasis"/>
        </w:rPr>
        <w:t>Act</w:t>
      </w:r>
      <w:r w:rsidR="000A5329" w:rsidRPr="002029AF">
        <w:rPr>
          <w:rStyle w:val="Emphasis"/>
        </w:rPr>
        <w:t xml:space="preserve"> </w:t>
      </w:r>
      <w:r w:rsidRPr="002029AF">
        <w:rPr>
          <w:rStyle w:val="Emphasis"/>
        </w:rPr>
        <w:t>1994</w:t>
      </w:r>
      <w:r w:rsidR="000A5329" w:rsidRPr="002029AF">
        <w:t xml:space="preserve"> </w:t>
      </w:r>
      <w:r w:rsidRPr="002029AF">
        <w:t>to</w:t>
      </w:r>
      <w:r w:rsidR="000A5329" w:rsidRPr="002029AF">
        <w:t xml:space="preserve"> </w:t>
      </w:r>
      <w:r w:rsidRPr="002029AF">
        <w:t>assist</w:t>
      </w:r>
      <w:r w:rsidR="000A5329" w:rsidRPr="002029AF">
        <w:t xml:space="preserve"> </w:t>
      </w:r>
      <w:r w:rsidRPr="002029AF">
        <w:t>in</w:t>
      </w:r>
      <w:r w:rsidR="000A5329" w:rsidRPr="002029AF">
        <w:t xml:space="preserve"> </w:t>
      </w:r>
      <w:r w:rsidRPr="002029AF">
        <w:t>facilitating,</w:t>
      </w:r>
      <w:r w:rsidR="000A5329" w:rsidRPr="002029AF">
        <w:t xml:space="preserve"> </w:t>
      </w:r>
      <w:r w:rsidRPr="002029AF">
        <w:t>encouraging,</w:t>
      </w:r>
      <w:r w:rsidR="000A5329" w:rsidRPr="002029AF">
        <w:t xml:space="preserve"> </w:t>
      </w:r>
      <w:r w:rsidRPr="002029AF">
        <w:t>promoting</w:t>
      </w:r>
      <w:r w:rsidR="000A5329" w:rsidRPr="002029AF">
        <w:t xml:space="preserve"> </w:t>
      </w:r>
      <w:r w:rsidRPr="002029AF">
        <w:t>and</w:t>
      </w:r>
      <w:r w:rsidR="000A5329" w:rsidRPr="002029AF">
        <w:t xml:space="preserve"> </w:t>
      </w:r>
      <w:r w:rsidRPr="002029AF">
        <w:t>carrying</w:t>
      </w:r>
      <w:r w:rsidR="000A5329" w:rsidRPr="002029AF">
        <w:t xml:space="preserve"> </w:t>
      </w:r>
      <w:r w:rsidRPr="002029AF">
        <w:t>out</w:t>
      </w:r>
      <w:r w:rsidR="000A5329" w:rsidRPr="002029AF">
        <w:t xml:space="preserve"> </w:t>
      </w:r>
      <w:r w:rsidRPr="002029AF">
        <w:t>activities</w:t>
      </w:r>
      <w:r w:rsidR="000A5329" w:rsidRPr="002029AF">
        <w:t xml:space="preserve"> </w:t>
      </w:r>
      <w:r w:rsidRPr="002029AF">
        <w:t>leading</w:t>
      </w:r>
      <w:r w:rsidR="000A5329" w:rsidRPr="002029AF">
        <w:t xml:space="preserve"> </w:t>
      </w:r>
      <w:r w:rsidRPr="002029AF">
        <w:t>to</w:t>
      </w:r>
      <w:r w:rsidR="000A5329" w:rsidRPr="002029AF">
        <w:t xml:space="preserve"> </w:t>
      </w:r>
      <w:r w:rsidRPr="002029AF">
        <w:t>a</w:t>
      </w:r>
      <w:r w:rsidR="000A5329" w:rsidRPr="002029AF">
        <w:t xml:space="preserve"> </w:t>
      </w:r>
      <w:r w:rsidRPr="002029AF">
        <w:t>balanced</w:t>
      </w:r>
      <w:r w:rsidR="000A5329" w:rsidRPr="002029AF">
        <w:t xml:space="preserve"> </w:t>
      </w:r>
      <w:r w:rsidRPr="002029AF">
        <w:t>economic</w:t>
      </w:r>
      <w:r w:rsidR="000A5329" w:rsidRPr="002029AF">
        <w:t xml:space="preserve"> </w:t>
      </w:r>
      <w:r w:rsidRPr="002029AF">
        <w:t>development</w:t>
      </w:r>
      <w:r w:rsidR="000A5329" w:rsidRPr="002029AF">
        <w:t xml:space="preserve"> </w:t>
      </w:r>
      <w:r w:rsidRPr="002029AF">
        <w:t>of</w:t>
      </w:r>
      <w:r w:rsidR="000A5329" w:rsidRPr="002029AF">
        <w:t xml:space="preserve"> </w:t>
      </w:r>
      <w:r w:rsidRPr="002029AF">
        <w:t>the</w:t>
      </w:r>
      <w:r w:rsidR="000A5329" w:rsidRPr="002029AF">
        <w:t xml:space="preserve"> </w:t>
      </w:r>
      <w:r w:rsidRPr="002029AF">
        <w:t>state.</w:t>
      </w:r>
    </w:p>
    <w:p w14:paraId="64DE448B" w14:textId="4496DE56" w:rsidR="00087B91" w:rsidRPr="002029AF" w:rsidRDefault="00087B91" w:rsidP="00087B91">
      <w:pPr>
        <w:pStyle w:val="Heading7"/>
      </w:pPr>
      <w:r w:rsidRPr="002029AF">
        <w:t>Treasury</w:t>
      </w:r>
      <w:r w:rsidR="000A5329" w:rsidRPr="002029AF">
        <w:t xml:space="preserve"> </w:t>
      </w:r>
      <w:r w:rsidRPr="002029AF">
        <w:t>Trust</w:t>
      </w:r>
    </w:p>
    <w:p w14:paraId="3DF87DFC" w14:textId="4DA74306" w:rsidR="00087B91" w:rsidRPr="002029AF" w:rsidRDefault="00087B91" w:rsidP="00087B91">
      <w:pPr>
        <w:pStyle w:val="ARfinbody"/>
      </w:pPr>
      <w:r w:rsidRPr="002029AF">
        <w:t>Established</w:t>
      </w:r>
      <w:r w:rsidR="000A5329" w:rsidRPr="002029AF">
        <w:t xml:space="preserve"> </w:t>
      </w:r>
      <w:r w:rsidRPr="002029AF">
        <w:t>to</w:t>
      </w:r>
      <w:r w:rsidR="000A5329" w:rsidRPr="002029AF">
        <w:t xml:space="preserve"> </w:t>
      </w:r>
      <w:r w:rsidRPr="002029AF">
        <w:t>record</w:t>
      </w:r>
      <w:r w:rsidR="000A5329" w:rsidRPr="002029AF">
        <w:t xml:space="preserve"> </w:t>
      </w:r>
      <w:r w:rsidRPr="002029AF">
        <w:t>the</w:t>
      </w:r>
      <w:r w:rsidR="000A5329" w:rsidRPr="002029AF">
        <w:t xml:space="preserve"> </w:t>
      </w:r>
      <w:r w:rsidRPr="002029AF">
        <w:t>receipt</w:t>
      </w:r>
      <w:r w:rsidR="000A5329" w:rsidRPr="002029AF">
        <w:t xml:space="preserve"> </w:t>
      </w:r>
      <w:r w:rsidRPr="002029AF">
        <w:t>and</w:t>
      </w:r>
      <w:r w:rsidR="000A5329" w:rsidRPr="002029AF">
        <w:t xml:space="preserve"> </w:t>
      </w:r>
      <w:r w:rsidRPr="002029AF">
        <w:t>disbursement</w:t>
      </w:r>
      <w:r w:rsidR="000A5329" w:rsidRPr="002029AF">
        <w:t xml:space="preserve"> </w:t>
      </w:r>
      <w:r w:rsidRPr="002029AF">
        <w:t>of</w:t>
      </w:r>
      <w:r w:rsidR="000A5329" w:rsidRPr="002029AF">
        <w:t xml:space="preserve"> </w:t>
      </w:r>
      <w:r w:rsidRPr="002029AF">
        <w:t>unclaimed</w:t>
      </w:r>
      <w:r w:rsidR="000A5329" w:rsidRPr="002029AF">
        <w:t xml:space="preserve"> </w:t>
      </w:r>
      <w:r w:rsidRPr="002029AF">
        <w:t>monies</w:t>
      </w:r>
      <w:r w:rsidR="000A5329" w:rsidRPr="002029AF">
        <w:t xml:space="preserve"> </w:t>
      </w:r>
      <w:r w:rsidRPr="002029AF">
        <w:t>and</w:t>
      </w:r>
      <w:r w:rsidR="000A5329" w:rsidRPr="002029AF">
        <w:t xml:space="preserve"> </w:t>
      </w:r>
      <w:r w:rsidRPr="002029AF">
        <w:t>other</w:t>
      </w:r>
      <w:r w:rsidR="000A5329" w:rsidRPr="002029AF">
        <w:t xml:space="preserve"> </w:t>
      </w:r>
      <w:r w:rsidRPr="002029AF">
        <w:t>funds</w:t>
      </w:r>
      <w:r w:rsidR="000A5329" w:rsidRPr="002029AF">
        <w:t xml:space="preserve"> </w:t>
      </w:r>
      <w:r w:rsidRPr="002029AF">
        <w:t>held</w:t>
      </w:r>
      <w:r w:rsidR="000A5329" w:rsidRPr="002029AF">
        <w:t xml:space="preserve"> </w:t>
      </w:r>
      <w:r w:rsidRPr="002029AF">
        <w:t>in</w:t>
      </w:r>
      <w:r w:rsidR="000A5329" w:rsidRPr="002029AF">
        <w:t xml:space="preserve"> </w:t>
      </w:r>
      <w:r w:rsidRPr="002029AF">
        <w:t>trust.</w:t>
      </w:r>
    </w:p>
    <w:p w14:paraId="0105FF32" w14:textId="5822E1FF" w:rsidR="00087B91" w:rsidRPr="002029AF" w:rsidRDefault="00087B91" w:rsidP="00087B91">
      <w:pPr>
        <w:pStyle w:val="Heading7"/>
      </w:pPr>
      <w:r w:rsidRPr="002029AF">
        <w:t>Inter-Departmental</w:t>
      </w:r>
      <w:r w:rsidR="000A5329" w:rsidRPr="002029AF">
        <w:t xml:space="preserve"> </w:t>
      </w:r>
      <w:r w:rsidRPr="002029AF">
        <w:t>Transfer</w:t>
      </w:r>
      <w:r w:rsidR="000A5329" w:rsidRPr="002029AF">
        <w:t xml:space="preserve"> </w:t>
      </w:r>
      <w:r w:rsidRPr="002029AF">
        <w:t>Trust</w:t>
      </w:r>
    </w:p>
    <w:p w14:paraId="5E1BE20D" w14:textId="3E165790" w:rsidR="00087B91" w:rsidRPr="002029AF" w:rsidRDefault="00087B91" w:rsidP="00087B91">
      <w:pPr>
        <w:pStyle w:val="ARfinbody"/>
      </w:pPr>
      <w:r w:rsidRPr="002029AF">
        <w:t>Established</w:t>
      </w:r>
      <w:r w:rsidR="000A5329" w:rsidRPr="002029AF">
        <w:t xml:space="preserve"> </w:t>
      </w:r>
      <w:r w:rsidRPr="002029AF">
        <w:t>under</w:t>
      </w:r>
      <w:r w:rsidR="000A5329" w:rsidRPr="002029AF">
        <w:t xml:space="preserve"> </w:t>
      </w:r>
      <w:r w:rsidRPr="002029AF">
        <w:t>s.</w:t>
      </w:r>
      <w:r w:rsidR="000A5329" w:rsidRPr="002029AF">
        <w:t xml:space="preserve"> </w:t>
      </w:r>
      <w:r w:rsidRPr="002029AF">
        <w:t>19</w:t>
      </w:r>
      <w:r w:rsidR="000A5329" w:rsidRPr="002029AF">
        <w:t xml:space="preserve"> </w:t>
      </w:r>
      <w:r w:rsidRPr="002029AF">
        <w:t>of</w:t>
      </w:r>
      <w:r w:rsidR="000A5329" w:rsidRPr="002029AF">
        <w:t xml:space="preserve"> </w:t>
      </w:r>
      <w:r w:rsidRPr="002029AF">
        <w:t>the</w:t>
      </w:r>
      <w:r w:rsidR="000A5329" w:rsidRPr="002029AF">
        <w:t xml:space="preserve"> </w:t>
      </w:r>
      <w:r w:rsidRPr="002029AF">
        <w:rPr>
          <w:rStyle w:val="Emphasis"/>
        </w:rPr>
        <w:t>Financial</w:t>
      </w:r>
      <w:r w:rsidR="000A5329" w:rsidRPr="002029AF">
        <w:rPr>
          <w:rStyle w:val="Emphasis"/>
        </w:rPr>
        <w:t xml:space="preserve"> </w:t>
      </w:r>
      <w:r w:rsidRPr="002029AF">
        <w:rPr>
          <w:rStyle w:val="Emphasis"/>
        </w:rPr>
        <w:t>Management</w:t>
      </w:r>
      <w:r w:rsidR="000A5329" w:rsidRPr="002029AF">
        <w:rPr>
          <w:rStyle w:val="Emphasis"/>
        </w:rPr>
        <w:t xml:space="preserve"> </w:t>
      </w:r>
      <w:r w:rsidRPr="002029AF">
        <w:rPr>
          <w:rStyle w:val="Emphasis"/>
        </w:rPr>
        <w:t>Act</w:t>
      </w:r>
      <w:r w:rsidR="000A5329" w:rsidRPr="002029AF">
        <w:rPr>
          <w:rStyle w:val="Emphasis"/>
        </w:rPr>
        <w:t xml:space="preserve"> </w:t>
      </w:r>
      <w:r w:rsidRPr="002029AF">
        <w:rPr>
          <w:rStyle w:val="Emphasis"/>
        </w:rPr>
        <w:t>1994</w:t>
      </w:r>
      <w:r w:rsidR="000A5329" w:rsidRPr="002029AF">
        <w:t xml:space="preserve"> </w:t>
      </w:r>
      <w:r w:rsidRPr="002029AF">
        <w:t>by</w:t>
      </w:r>
      <w:r w:rsidR="000A5329" w:rsidRPr="002029AF">
        <w:t xml:space="preserve"> </w:t>
      </w:r>
      <w:r w:rsidRPr="002029AF">
        <w:t>the</w:t>
      </w:r>
      <w:r w:rsidR="000A5329" w:rsidRPr="002029AF">
        <w:t xml:space="preserve"> </w:t>
      </w:r>
      <w:r w:rsidRPr="002029AF">
        <w:t>Assistant</w:t>
      </w:r>
      <w:r w:rsidR="000A5329" w:rsidRPr="002029AF">
        <w:t xml:space="preserve"> </w:t>
      </w:r>
      <w:r w:rsidRPr="002029AF">
        <w:t>Treasurer</w:t>
      </w:r>
      <w:r w:rsidR="000A5329" w:rsidRPr="002029AF">
        <w:t xml:space="preserve"> </w:t>
      </w:r>
      <w:r w:rsidRPr="002029AF">
        <w:t>to</w:t>
      </w:r>
      <w:r w:rsidR="000A5329" w:rsidRPr="002029AF">
        <w:t xml:space="preserve"> </w:t>
      </w:r>
      <w:r w:rsidRPr="002029AF">
        <w:t>record</w:t>
      </w:r>
      <w:r w:rsidR="000A5329" w:rsidRPr="002029AF">
        <w:t xml:space="preserve"> </w:t>
      </w:r>
      <w:r w:rsidRPr="002029AF">
        <w:t>inter-departmental</w:t>
      </w:r>
      <w:r w:rsidR="000A5329" w:rsidRPr="002029AF">
        <w:t xml:space="preserve"> </w:t>
      </w:r>
      <w:r w:rsidRPr="002029AF">
        <w:t>transfers</w:t>
      </w:r>
      <w:r w:rsidR="000A5329" w:rsidRPr="002029AF">
        <w:t xml:space="preserve"> </w:t>
      </w:r>
      <w:r w:rsidRPr="002029AF">
        <w:t>when</w:t>
      </w:r>
      <w:r w:rsidR="000A5329" w:rsidRPr="002029AF">
        <w:t xml:space="preserve"> </w:t>
      </w:r>
      <w:r w:rsidRPr="002029AF">
        <w:t>no</w:t>
      </w:r>
      <w:r w:rsidR="000A5329" w:rsidRPr="002029AF">
        <w:t xml:space="preserve"> </w:t>
      </w:r>
      <w:r w:rsidRPr="002029AF">
        <w:t>other</w:t>
      </w:r>
      <w:r w:rsidR="000A5329" w:rsidRPr="002029AF">
        <w:t xml:space="preserve"> </w:t>
      </w:r>
      <w:r w:rsidRPr="002029AF">
        <w:t>trust</w:t>
      </w:r>
      <w:r w:rsidR="000A5329" w:rsidRPr="002029AF">
        <w:t xml:space="preserve"> </w:t>
      </w:r>
      <w:r w:rsidRPr="002029AF">
        <w:t>arrangement</w:t>
      </w:r>
      <w:r w:rsidR="000A5329" w:rsidRPr="002029AF">
        <w:t xml:space="preserve"> </w:t>
      </w:r>
      <w:r w:rsidRPr="002029AF">
        <w:t>exists.</w:t>
      </w:r>
    </w:p>
    <w:p w14:paraId="6EBBF219" w14:textId="3A132F0F" w:rsidR="00087B91" w:rsidRPr="002029AF" w:rsidRDefault="00087B91" w:rsidP="00087B91">
      <w:pPr>
        <w:pStyle w:val="Heading7"/>
      </w:pPr>
      <w:r w:rsidRPr="002029AF">
        <w:t>Vehicle</w:t>
      </w:r>
      <w:r w:rsidR="000A5329" w:rsidRPr="002029AF">
        <w:t xml:space="preserve"> </w:t>
      </w:r>
      <w:r w:rsidRPr="002029AF">
        <w:t>Lease</w:t>
      </w:r>
      <w:r w:rsidR="000A5329" w:rsidRPr="002029AF">
        <w:t xml:space="preserve"> </w:t>
      </w:r>
      <w:r w:rsidRPr="002029AF">
        <w:t>Trust</w:t>
      </w:r>
      <w:r w:rsidR="000A5329" w:rsidRPr="002029AF">
        <w:t xml:space="preserve"> </w:t>
      </w:r>
      <w:r w:rsidRPr="002029AF">
        <w:t>Account</w:t>
      </w:r>
    </w:p>
    <w:p w14:paraId="3B43AB88" w14:textId="30B4DB85" w:rsidR="00087B91" w:rsidRPr="002029AF" w:rsidRDefault="00087B91" w:rsidP="00087B91">
      <w:pPr>
        <w:pStyle w:val="ARfinbody"/>
      </w:pPr>
      <w:r w:rsidRPr="002029AF">
        <w:t>Established</w:t>
      </w:r>
      <w:r w:rsidR="000A5329" w:rsidRPr="002029AF">
        <w:t xml:space="preserve"> </w:t>
      </w:r>
      <w:r w:rsidRPr="002029AF">
        <w:t>to</w:t>
      </w:r>
      <w:r w:rsidR="000A5329" w:rsidRPr="002029AF">
        <w:t xml:space="preserve"> </w:t>
      </w:r>
      <w:r w:rsidRPr="002029AF">
        <w:t>record</w:t>
      </w:r>
      <w:r w:rsidR="000A5329" w:rsidRPr="002029AF">
        <w:t xml:space="preserve"> </w:t>
      </w:r>
      <w:r w:rsidRPr="002029AF">
        <w:t>transactions</w:t>
      </w:r>
      <w:r w:rsidR="000A5329" w:rsidRPr="002029AF">
        <w:t xml:space="preserve"> </w:t>
      </w:r>
      <w:r w:rsidRPr="002029AF">
        <w:t>relating</w:t>
      </w:r>
      <w:r w:rsidR="000A5329" w:rsidRPr="002029AF">
        <w:t xml:space="preserve"> </w:t>
      </w:r>
      <w:r w:rsidRPr="002029AF">
        <w:t>to</w:t>
      </w:r>
      <w:r w:rsidR="000A5329" w:rsidRPr="002029AF">
        <w:t xml:space="preserve"> </w:t>
      </w:r>
      <w:r w:rsidRPr="002029AF">
        <w:t>the</w:t>
      </w:r>
      <w:r w:rsidR="000A5329" w:rsidRPr="002029AF">
        <w:t xml:space="preserve"> </w:t>
      </w:r>
      <w:r w:rsidRPr="002029AF">
        <w:t>government’s</w:t>
      </w:r>
      <w:r w:rsidR="000A5329" w:rsidRPr="002029AF">
        <w:t xml:space="preserve"> </w:t>
      </w:r>
      <w:r w:rsidRPr="002029AF">
        <w:t>vehicle</w:t>
      </w:r>
      <w:r w:rsidR="000A5329" w:rsidRPr="002029AF">
        <w:t xml:space="preserve"> </w:t>
      </w:r>
      <w:r w:rsidRPr="002029AF">
        <w:t>pool</w:t>
      </w:r>
      <w:r w:rsidR="000A5329" w:rsidRPr="002029AF">
        <w:t xml:space="preserve"> </w:t>
      </w:r>
      <w:r w:rsidRPr="002029AF">
        <w:t>and</w:t>
      </w:r>
      <w:r w:rsidR="000A5329" w:rsidRPr="002029AF">
        <w:t xml:space="preserve"> </w:t>
      </w:r>
      <w:r w:rsidRPr="002029AF">
        <w:t>fleet</w:t>
      </w:r>
      <w:r w:rsidR="000A5329" w:rsidRPr="002029AF">
        <w:t xml:space="preserve"> </w:t>
      </w:r>
      <w:r w:rsidRPr="002029AF">
        <w:t>management</w:t>
      </w:r>
      <w:r w:rsidR="000A5329" w:rsidRPr="002029AF">
        <w:t xml:space="preserve"> </w:t>
      </w:r>
      <w:r w:rsidRPr="002029AF">
        <w:t>business.</w:t>
      </w:r>
    </w:p>
    <w:p w14:paraId="2E186363" w14:textId="35D1C938" w:rsidR="00087B91" w:rsidRPr="002029AF" w:rsidRDefault="00087B91" w:rsidP="00087B91">
      <w:pPr>
        <w:pStyle w:val="Heading7"/>
      </w:pPr>
      <w:r w:rsidRPr="002029AF">
        <w:t>Victorian</w:t>
      </w:r>
      <w:r w:rsidR="000A5329" w:rsidRPr="002029AF">
        <w:t xml:space="preserve"> </w:t>
      </w:r>
      <w:r w:rsidRPr="002029AF">
        <w:t>Health</w:t>
      </w:r>
      <w:r w:rsidR="000A5329" w:rsidRPr="002029AF">
        <w:t xml:space="preserve"> </w:t>
      </w:r>
      <w:r w:rsidRPr="002029AF">
        <w:t>Promotion</w:t>
      </w:r>
      <w:r w:rsidR="000A5329" w:rsidRPr="002029AF">
        <w:t xml:space="preserve"> </w:t>
      </w:r>
      <w:r w:rsidRPr="002029AF">
        <w:t>Fund</w:t>
      </w:r>
    </w:p>
    <w:p w14:paraId="78A9A4C7" w14:textId="6C9D4CA1" w:rsidR="00087B91" w:rsidRPr="002029AF" w:rsidRDefault="00087B91" w:rsidP="00087B91">
      <w:pPr>
        <w:pStyle w:val="ARfinbody"/>
      </w:pPr>
      <w:r w:rsidRPr="002029AF">
        <w:t>Established</w:t>
      </w:r>
      <w:r w:rsidR="000A5329" w:rsidRPr="002029AF">
        <w:t xml:space="preserve"> </w:t>
      </w:r>
      <w:r w:rsidRPr="002029AF">
        <w:t>under</w:t>
      </w:r>
      <w:r w:rsidR="000A5329" w:rsidRPr="002029AF">
        <w:t xml:space="preserve"> </w:t>
      </w:r>
      <w:r w:rsidRPr="002029AF">
        <w:t>the</w:t>
      </w:r>
      <w:r w:rsidR="000A5329" w:rsidRPr="002029AF">
        <w:t xml:space="preserve"> </w:t>
      </w:r>
      <w:r w:rsidRPr="002029AF">
        <w:rPr>
          <w:rStyle w:val="Emphasis"/>
        </w:rPr>
        <w:t>Tobacco</w:t>
      </w:r>
      <w:r w:rsidR="000A5329" w:rsidRPr="002029AF">
        <w:rPr>
          <w:rStyle w:val="Emphasis"/>
        </w:rPr>
        <w:t xml:space="preserve"> </w:t>
      </w:r>
      <w:r w:rsidRPr="002029AF">
        <w:rPr>
          <w:rStyle w:val="Emphasis"/>
        </w:rPr>
        <w:t>Act</w:t>
      </w:r>
      <w:r w:rsidR="000A5329" w:rsidRPr="002029AF">
        <w:rPr>
          <w:rStyle w:val="Emphasis"/>
        </w:rPr>
        <w:t xml:space="preserve"> </w:t>
      </w:r>
      <w:r w:rsidRPr="002029AF">
        <w:rPr>
          <w:rStyle w:val="Emphasis"/>
        </w:rPr>
        <w:t>1987</w:t>
      </w:r>
      <w:r w:rsidR="000A5329" w:rsidRPr="002029AF">
        <w:t xml:space="preserve"> </w:t>
      </w:r>
      <w:r w:rsidRPr="002029AF">
        <w:t>s.</w:t>
      </w:r>
      <w:r w:rsidR="000A5329" w:rsidRPr="002029AF">
        <w:t xml:space="preserve"> </w:t>
      </w:r>
      <w:r w:rsidRPr="002029AF">
        <w:t>32,</w:t>
      </w:r>
      <w:r w:rsidR="000A5329" w:rsidRPr="002029AF">
        <w:t xml:space="preserve"> </w:t>
      </w:r>
      <w:r w:rsidRPr="002029AF">
        <w:t>prior</w:t>
      </w:r>
      <w:r w:rsidR="000A5329" w:rsidRPr="002029AF">
        <w:t xml:space="preserve"> </w:t>
      </w:r>
      <w:r w:rsidRPr="002029AF">
        <w:t>to</w:t>
      </w:r>
      <w:r w:rsidR="000A5329" w:rsidRPr="002029AF">
        <w:t xml:space="preserve"> </w:t>
      </w:r>
      <w:r w:rsidRPr="002029AF">
        <w:t>the</w:t>
      </w:r>
      <w:r w:rsidR="000A5329" w:rsidRPr="002029AF">
        <w:t xml:space="preserve"> </w:t>
      </w:r>
      <w:r w:rsidRPr="002029AF">
        <w:t>abolition</w:t>
      </w:r>
      <w:r w:rsidR="000A5329" w:rsidRPr="002029AF">
        <w:t xml:space="preserve"> </w:t>
      </w:r>
      <w:r w:rsidRPr="002029AF">
        <w:t>by</w:t>
      </w:r>
      <w:r w:rsidR="000A5329" w:rsidRPr="002029AF">
        <w:t xml:space="preserve"> </w:t>
      </w:r>
      <w:r w:rsidRPr="002029AF">
        <w:t>the</w:t>
      </w:r>
      <w:r w:rsidR="000A5329" w:rsidRPr="002029AF">
        <w:t xml:space="preserve"> </w:t>
      </w:r>
      <w:r w:rsidRPr="002029AF">
        <w:t>High</w:t>
      </w:r>
      <w:r w:rsidR="000A5329" w:rsidRPr="002029AF">
        <w:t xml:space="preserve"> </w:t>
      </w:r>
      <w:r w:rsidRPr="002029AF">
        <w:t>Court</w:t>
      </w:r>
      <w:r w:rsidR="000A5329" w:rsidRPr="002029AF">
        <w:t xml:space="preserve"> </w:t>
      </w:r>
      <w:r w:rsidRPr="002029AF">
        <w:t>in</w:t>
      </w:r>
      <w:r w:rsidR="000A5329" w:rsidRPr="002029AF">
        <w:t xml:space="preserve"> </w:t>
      </w:r>
      <w:r w:rsidRPr="002029AF">
        <w:t>July</w:t>
      </w:r>
      <w:r w:rsidR="000A5329" w:rsidRPr="002029AF">
        <w:t xml:space="preserve"> </w:t>
      </w:r>
      <w:r w:rsidRPr="002029AF">
        <w:t>1997</w:t>
      </w:r>
      <w:r w:rsidR="000A5329" w:rsidRPr="002029AF">
        <w:t xml:space="preserve"> </w:t>
      </w:r>
      <w:r w:rsidRPr="002029AF">
        <w:t>of</w:t>
      </w:r>
      <w:r w:rsidR="000A5329" w:rsidRPr="002029AF">
        <w:t xml:space="preserve"> </w:t>
      </w:r>
      <w:r w:rsidRPr="002029AF">
        <w:t>taxes</w:t>
      </w:r>
      <w:r w:rsidR="000A5329" w:rsidRPr="002029AF">
        <w:t xml:space="preserve"> </w:t>
      </w:r>
      <w:r w:rsidRPr="002029AF">
        <w:t>on</w:t>
      </w:r>
      <w:r w:rsidR="000A5329" w:rsidRPr="002029AF">
        <w:t xml:space="preserve"> </w:t>
      </w:r>
      <w:r w:rsidRPr="002029AF">
        <w:t>tobacco</w:t>
      </w:r>
      <w:r w:rsidR="000A5329" w:rsidRPr="002029AF">
        <w:t xml:space="preserve"> </w:t>
      </w:r>
      <w:r w:rsidRPr="002029AF">
        <w:t>products.</w:t>
      </w:r>
      <w:r w:rsidR="000A5329" w:rsidRPr="002029AF">
        <w:t xml:space="preserve"> </w:t>
      </w:r>
      <w:r w:rsidRPr="002029AF">
        <w:t>Following</w:t>
      </w:r>
      <w:r w:rsidR="000A5329" w:rsidRPr="002029AF">
        <w:t xml:space="preserve"> </w:t>
      </w:r>
      <w:r w:rsidRPr="002029AF">
        <w:t>the</w:t>
      </w:r>
      <w:r w:rsidR="000A5329" w:rsidRPr="002029AF">
        <w:t xml:space="preserve"> </w:t>
      </w:r>
      <w:r w:rsidRPr="002029AF">
        <w:t>High</w:t>
      </w:r>
      <w:r w:rsidR="000A5329" w:rsidRPr="002029AF">
        <w:t xml:space="preserve"> </w:t>
      </w:r>
      <w:r w:rsidRPr="002029AF">
        <w:t>Court</w:t>
      </w:r>
      <w:r w:rsidR="000A5329" w:rsidRPr="002029AF">
        <w:t xml:space="preserve"> </w:t>
      </w:r>
      <w:r w:rsidRPr="002029AF">
        <w:t>decision,</w:t>
      </w:r>
      <w:r w:rsidR="000A5329" w:rsidRPr="002029AF">
        <w:t xml:space="preserve"> </w:t>
      </w:r>
      <w:r w:rsidRPr="002029AF">
        <w:t>the</w:t>
      </w:r>
      <w:r w:rsidR="000A5329" w:rsidRPr="002029AF">
        <w:t xml:space="preserve"> </w:t>
      </w:r>
      <w:r w:rsidRPr="002029AF">
        <w:t>Act</w:t>
      </w:r>
      <w:r w:rsidR="000A5329" w:rsidRPr="002029AF">
        <w:t xml:space="preserve"> </w:t>
      </w:r>
      <w:r w:rsidRPr="002029AF">
        <w:t>was</w:t>
      </w:r>
      <w:r w:rsidR="000A5329" w:rsidRPr="002029AF">
        <w:t xml:space="preserve"> </w:t>
      </w:r>
      <w:r w:rsidR="00B6430C" w:rsidRPr="002029AF">
        <w:t>amended,</w:t>
      </w:r>
      <w:r w:rsidR="000A5329" w:rsidRPr="002029AF">
        <w:t xml:space="preserve"> </w:t>
      </w:r>
      <w:r w:rsidRPr="002029AF">
        <w:t>and</w:t>
      </w:r>
      <w:r w:rsidR="000A5329" w:rsidRPr="002029AF">
        <w:t xml:space="preserve"> </w:t>
      </w:r>
      <w:r w:rsidRPr="002029AF">
        <w:t>the</w:t>
      </w:r>
      <w:r w:rsidR="000A5329" w:rsidRPr="002029AF">
        <w:t xml:space="preserve"> </w:t>
      </w:r>
      <w:r w:rsidRPr="002029AF">
        <w:t>source</w:t>
      </w:r>
      <w:r w:rsidR="000A5329" w:rsidRPr="002029AF">
        <w:t xml:space="preserve"> </w:t>
      </w:r>
      <w:r w:rsidRPr="002029AF">
        <w:t>of</w:t>
      </w:r>
      <w:r w:rsidR="000A5329" w:rsidRPr="002029AF">
        <w:t xml:space="preserve"> </w:t>
      </w:r>
      <w:r w:rsidRPr="002029AF">
        <w:t>funding</w:t>
      </w:r>
      <w:r w:rsidR="000A5329" w:rsidRPr="002029AF">
        <w:t xml:space="preserve"> </w:t>
      </w:r>
      <w:r w:rsidRPr="002029AF">
        <w:t>was</w:t>
      </w:r>
      <w:r w:rsidR="000A5329" w:rsidRPr="002029AF">
        <w:t xml:space="preserve"> </w:t>
      </w:r>
      <w:r w:rsidRPr="002029AF">
        <w:t>specified</w:t>
      </w:r>
      <w:r w:rsidR="000A5329" w:rsidRPr="002029AF">
        <w:t xml:space="preserve"> </w:t>
      </w:r>
      <w:r w:rsidRPr="002029AF">
        <w:t>by</w:t>
      </w:r>
      <w:r w:rsidR="000A5329" w:rsidRPr="002029AF">
        <w:t xml:space="preserve"> </w:t>
      </w:r>
      <w:r w:rsidRPr="002029AF">
        <w:t>the</w:t>
      </w:r>
      <w:r w:rsidR="000A5329" w:rsidRPr="002029AF">
        <w:t xml:space="preserve"> </w:t>
      </w:r>
      <w:r w:rsidRPr="002029AF">
        <w:t>Treasurer</w:t>
      </w:r>
      <w:r w:rsidR="000A5329" w:rsidRPr="002029AF">
        <w:t xml:space="preserve"> </w:t>
      </w:r>
      <w:r w:rsidRPr="002029AF">
        <w:t>under</w:t>
      </w:r>
      <w:r w:rsidR="000A5329" w:rsidRPr="002029AF">
        <w:t xml:space="preserve"> </w:t>
      </w:r>
      <w:r w:rsidRPr="002029AF">
        <w:t>s.</w:t>
      </w:r>
      <w:r w:rsidR="000A5329" w:rsidRPr="002029AF">
        <w:t xml:space="preserve"> </w:t>
      </w:r>
      <w:r w:rsidRPr="002029AF">
        <w:t>32(3a).</w:t>
      </w:r>
    </w:p>
    <w:p w14:paraId="1F236200" w14:textId="4938ED41" w:rsidR="00087B91" w:rsidRPr="002029AF" w:rsidRDefault="00087B91" w:rsidP="00087B91">
      <w:pPr>
        <w:pStyle w:val="Heading6"/>
        <w:rPr>
          <w:lang w:val="en-AU"/>
        </w:rPr>
      </w:pPr>
      <w:r w:rsidRPr="002029AF">
        <w:rPr>
          <w:lang w:val="en-AU"/>
        </w:rPr>
        <w:t>Administered</w:t>
      </w:r>
      <w:r w:rsidR="000A5329" w:rsidRPr="002029AF">
        <w:rPr>
          <w:lang w:val="en-AU"/>
        </w:rPr>
        <w:t xml:space="preserve"> </w:t>
      </w:r>
      <w:r w:rsidRPr="002029AF">
        <w:rPr>
          <w:lang w:val="en-AU"/>
        </w:rPr>
        <w:t>trusts</w:t>
      </w:r>
    </w:p>
    <w:p w14:paraId="2B736FA5" w14:textId="60ED9419" w:rsidR="00087B91" w:rsidRPr="002029AF" w:rsidRDefault="00087B91" w:rsidP="00087B91">
      <w:pPr>
        <w:pStyle w:val="Heading7"/>
      </w:pPr>
      <w:r w:rsidRPr="002029AF">
        <w:t>Anzac</w:t>
      </w:r>
      <w:r w:rsidR="000A5329" w:rsidRPr="002029AF">
        <w:t xml:space="preserve"> </w:t>
      </w:r>
      <w:r w:rsidRPr="002029AF">
        <w:t>Day</w:t>
      </w:r>
      <w:r w:rsidR="000A5329" w:rsidRPr="002029AF">
        <w:t xml:space="preserve"> </w:t>
      </w:r>
      <w:r w:rsidRPr="002029AF">
        <w:t>Proceeds</w:t>
      </w:r>
      <w:r w:rsidR="000A5329" w:rsidRPr="002029AF">
        <w:t xml:space="preserve"> </w:t>
      </w:r>
      <w:r w:rsidRPr="002029AF">
        <w:t>Fund</w:t>
      </w:r>
    </w:p>
    <w:p w14:paraId="068ED806" w14:textId="5EADE7EC" w:rsidR="00087B91" w:rsidRPr="002029AF" w:rsidRDefault="00087B91" w:rsidP="00087B91">
      <w:pPr>
        <w:pStyle w:val="ARfinbody"/>
      </w:pPr>
      <w:r w:rsidRPr="002029AF">
        <w:t>Established</w:t>
      </w:r>
      <w:r w:rsidR="000A5329" w:rsidRPr="002029AF">
        <w:t xml:space="preserve"> </w:t>
      </w:r>
      <w:r w:rsidRPr="002029AF">
        <w:t>under</w:t>
      </w:r>
      <w:r w:rsidR="000A5329" w:rsidRPr="002029AF">
        <w:t xml:space="preserve"> </w:t>
      </w:r>
      <w:r w:rsidRPr="002029AF">
        <w:t>the</w:t>
      </w:r>
      <w:r w:rsidR="000A5329" w:rsidRPr="002029AF">
        <w:t xml:space="preserve"> </w:t>
      </w:r>
      <w:r w:rsidRPr="002029AF">
        <w:rPr>
          <w:rStyle w:val="Emphasis"/>
        </w:rPr>
        <w:t>ANZAC</w:t>
      </w:r>
      <w:r w:rsidR="000A5329" w:rsidRPr="002029AF">
        <w:rPr>
          <w:rStyle w:val="Emphasis"/>
        </w:rPr>
        <w:t xml:space="preserve"> </w:t>
      </w:r>
      <w:r w:rsidRPr="002029AF">
        <w:rPr>
          <w:rStyle w:val="Emphasis"/>
        </w:rPr>
        <w:t>Day</w:t>
      </w:r>
      <w:r w:rsidR="000A5329" w:rsidRPr="002029AF">
        <w:rPr>
          <w:rStyle w:val="Emphasis"/>
        </w:rPr>
        <w:t xml:space="preserve"> </w:t>
      </w:r>
      <w:r w:rsidRPr="002029AF">
        <w:rPr>
          <w:rStyle w:val="Emphasis"/>
        </w:rPr>
        <w:t>Act</w:t>
      </w:r>
      <w:r w:rsidR="000A5329" w:rsidRPr="002029AF">
        <w:rPr>
          <w:rStyle w:val="Emphasis"/>
        </w:rPr>
        <w:t xml:space="preserve"> </w:t>
      </w:r>
      <w:r w:rsidRPr="002029AF">
        <w:rPr>
          <w:rStyle w:val="Emphasis"/>
        </w:rPr>
        <w:t>No.</w:t>
      </w:r>
      <w:r w:rsidR="000A5329" w:rsidRPr="002029AF">
        <w:rPr>
          <w:rStyle w:val="Emphasis"/>
        </w:rPr>
        <w:t xml:space="preserve"> </w:t>
      </w:r>
      <w:r w:rsidRPr="002029AF">
        <w:rPr>
          <w:rStyle w:val="Emphasis"/>
        </w:rPr>
        <w:t>6198</w:t>
      </w:r>
      <w:r w:rsidR="000A5329" w:rsidRPr="002029AF">
        <w:t xml:space="preserve"> </w:t>
      </w:r>
      <w:r w:rsidRPr="002029AF">
        <w:rPr>
          <w:iCs/>
        </w:rPr>
        <w:t>of</w:t>
      </w:r>
      <w:r w:rsidR="000A5329" w:rsidRPr="002029AF">
        <w:rPr>
          <w:iCs/>
        </w:rPr>
        <w:t xml:space="preserve"> </w:t>
      </w:r>
      <w:r w:rsidRPr="002029AF">
        <w:rPr>
          <w:iCs/>
        </w:rPr>
        <w:t>1958</w:t>
      </w:r>
      <w:r w:rsidR="000A5329" w:rsidRPr="002029AF">
        <w:t xml:space="preserve"> </w:t>
      </w:r>
      <w:r w:rsidRPr="002029AF">
        <w:t>s.</w:t>
      </w:r>
      <w:r w:rsidR="000A5329" w:rsidRPr="002029AF">
        <w:t xml:space="preserve"> </w:t>
      </w:r>
      <w:r w:rsidRPr="002029AF">
        <w:t>4A</w:t>
      </w:r>
      <w:r w:rsidR="000A5329" w:rsidRPr="002029AF">
        <w:t xml:space="preserve"> </w:t>
      </w:r>
      <w:r w:rsidRPr="002029AF">
        <w:t>to</w:t>
      </w:r>
      <w:r w:rsidR="000A5329" w:rsidRPr="002029AF">
        <w:t xml:space="preserve"> </w:t>
      </w:r>
      <w:r w:rsidRPr="002029AF">
        <w:t>receive</w:t>
      </w:r>
      <w:r w:rsidR="000A5329" w:rsidRPr="002029AF">
        <w:t xml:space="preserve"> </w:t>
      </w:r>
      <w:r w:rsidRPr="002029AF">
        <w:t>funds</w:t>
      </w:r>
      <w:r w:rsidR="000A5329" w:rsidRPr="002029AF">
        <w:t xml:space="preserve"> </w:t>
      </w:r>
      <w:r w:rsidRPr="002029AF">
        <w:t>as</w:t>
      </w:r>
      <w:r w:rsidR="000A5329" w:rsidRPr="002029AF">
        <w:t xml:space="preserve"> </w:t>
      </w:r>
      <w:r w:rsidRPr="002029AF">
        <w:t>required</w:t>
      </w:r>
      <w:r w:rsidR="000A5329" w:rsidRPr="002029AF">
        <w:t xml:space="preserve"> </w:t>
      </w:r>
      <w:r w:rsidRPr="002029AF">
        <w:t>to</w:t>
      </w:r>
      <w:r w:rsidR="000A5329" w:rsidRPr="002029AF">
        <w:t xml:space="preserve"> </w:t>
      </w:r>
      <w:r w:rsidRPr="002029AF">
        <w:t>be</w:t>
      </w:r>
      <w:r w:rsidR="000A5329" w:rsidRPr="002029AF">
        <w:t xml:space="preserve"> </w:t>
      </w:r>
      <w:r w:rsidRPr="002029AF">
        <w:t>paid</w:t>
      </w:r>
      <w:r w:rsidR="000A5329" w:rsidRPr="002029AF">
        <w:t xml:space="preserve"> </w:t>
      </w:r>
      <w:r w:rsidRPr="002029AF">
        <w:t>by</w:t>
      </w:r>
      <w:r w:rsidR="000A5329" w:rsidRPr="002029AF">
        <w:t xml:space="preserve"> </w:t>
      </w:r>
      <w:r w:rsidRPr="002029AF">
        <w:t>the</w:t>
      </w:r>
      <w:r w:rsidR="000A5329" w:rsidRPr="002029AF">
        <w:t xml:space="preserve"> </w:t>
      </w:r>
      <w:r w:rsidRPr="002029AF">
        <w:rPr>
          <w:rStyle w:val="Emphasis"/>
        </w:rPr>
        <w:t>ANZAC</w:t>
      </w:r>
      <w:r w:rsidR="000A5329" w:rsidRPr="002029AF">
        <w:rPr>
          <w:rStyle w:val="Emphasis"/>
        </w:rPr>
        <w:t xml:space="preserve"> </w:t>
      </w:r>
      <w:r w:rsidRPr="002029AF">
        <w:rPr>
          <w:rStyle w:val="Emphasis"/>
        </w:rPr>
        <w:t>Day</w:t>
      </w:r>
      <w:r w:rsidR="000A5329" w:rsidRPr="002029AF">
        <w:rPr>
          <w:rStyle w:val="Emphasis"/>
        </w:rPr>
        <w:t xml:space="preserve"> </w:t>
      </w:r>
      <w:r w:rsidRPr="002029AF">
        <w:rPr>
          <w:rStyle w:val="Emphasis"/>
        </w:rPr>
        <w:t>Act</w:t>
      </w:r>
      <w:r w:rsidR="000A5329" w:rsidRPr="002029AF">
        <w:rPr>
          <w:rStyle w:val="Emphasis"/>
        </w:rPr>
        <w:t xml:space="preserve"> </w:t>
      </w:r>
      <w:r w:rsidRPr="002029AF">
        <w:rPr>
          <w:rStyle w:val="Emphasis"/>
        </w:rPr>
        <w:t>1958</w:t>
      </w:r>
      <w:r w:rsidR="000A5329" w:rsidRPr="002029AF">
        <w:t xml:space="preserve"> </w:t>
      </w:r>
      <w:r w:rsidRPr="002029AF">
        <w:t>and</w:t>
      </w:r>
      <w:r w:rsidR="000A5329" w:rsidRPr="002029AF">
        <w:t xml:space="preserve"> </w:t>
      </w:r>
      <w:r w:rsidRPr="002029AF">
        <w:t>the</w:t>
      </w:r>
      <w:r w:rsidR="000A5329" w:rsidRPr="002029AF">
        <w:t xml:space="preserve"> </w:t>
      </w:r>
      <w:r w:rsidRPr="002029AF">
        <w:rPr>
          <w:rStyle w:val="Emphasis"/>
        </w:rPr>
        <w:t>Racing</w:t>
      </w:r>
      <w:r w:rsidR="000A5329" w:rsidRPr="002029AF">
        <w:rPr>
          <w:rStyle w:val="Emphasis"/>
        </w:rPr>
        <w:t xml:space="preserve"> </w:t>
      </w:r>
      <w:r w:rsidRPr="002029AF">
        <w:rPr>
          <w:rStyle w:val="Emphasis"/>
        </w:rPr>
        <w:t>Act</w:t>
      </w:r>
      <w:r w:rsidR="000A5329" w:rsidRPr="002029AF">
        <w:rPr>
          <w:rStyle w:val="Emphasis"/>
        </w:rPr>
        <w:t xml:space="preserve"> </w:t>
      </w:r>
      <w:r w:rsidRPr="002029AF">
        <w:rPr>
          <w:rStyle w:val="Emphasis"/>
        </w:rPr>
        <w:t>1958</w:t>
      </w:r>
      <w:r w:rsidR="000A5329" w:rsidRPr="002029AF">
        <w:t xml:space="preserve"> </w:t>
      </w:r>
      <w:r w:rsidRPr="002029AF">
        <w:t>and</w:t>
      </w:r>
      <w:r w:rsidR="000A5329" w:rsidRPr="002029AF">
        <w:t xml:space="preserve"> </w:t>
      </w:r>
      <w:r w:rsidRPr="002029AF">
        <w:t>to</w:t>
      </w:r>
      <w:r w:rsidR="000A5329" w:rsidRPr="002029AF">
        <w:t xml:space="preserve"> </w:t>
      </w:r>
      <w:r w:rsidRPr="002029AF">
        <w:t>be</w:t>
      </w:r>
      <w:r w:rsidR="000A5329" w:rsidRPr="002029AF">
        <w:t xml:space="preserve"> </w:t>
      </w:r>
      <w:r w:rsidRPr="002029AF">
        <w:t>credited</w:t>
      </w:r>
      <w:r w:rsidR="000A5329" w:rsidRPr="002029AF">
        <w:t xml:space="preserve"> </w:t>
      </w:r>
      <w:r w:rsidRPr="002029AF">
        <w:t>to</w:t>
      </w:r>
      <w:r w:rsidR="000A5329" w:rsidRPr="002029AF">
        <w:t xml:space="preserve"> </w:t>
      </w:r>
      <w:r w:rsidRPr="002029AF">
        <w:t>the</w:t>
      </w:r>
      <w:r w:rsidR="000A5329" w:rsidRPr="002029AF">
        <w:t xml:space="preserve"> </w:t>
      </w:r>
      <w:r w:rsidRPr="002029AF">
        <w:t>Victorian</w:t>
      </w:r>
      <w:r w:rsidR="000A5329" w:rsidRPr="002029AF">
        <w:t xml:space="preserve"> </w:t>
      </w:r>
      <w:r w:rsidRPr="002029AF">
        <w:t>Veterans</w:t>
      </w:r>
      <w:r w:rsidR="000A5329" w:rsidRPr="002029AF">
        <w:t xml:space="preserve"> </w:t>
      </w:r>
      <w:r w:rsidRPr="002029AF">
        <w:t>Fund.</w:t>
      </w:r>
    </w:p>
    <w:p w14:paraId="310211CE" w14:textId="14EAEC51" w:rsidR="00087B91" w:rsidRPr="002029AF" w:rsidRDefault="00087B91" w:rsidP="00087B91">
      <w:pPr>
        <w:pStyle w:val="Heading7"/>
      </w:pPr>
      <w:r w:rsidRPr="002029AF">
        <w:t>National</w:t>
      </w:r>
      <w:r w:rsidR="000A5329" w:rsidRPr="002029AF">
        <w:t xml:space="preserve"> </w:t>
      </w:r>
      <w:r w:rsidRPr="002029AF">
        <w:t>Disability</w:t>
      </w:r>
      <w:r w:rsidR="000A5329" w:rsidRPr="002029AF">
        <w:t xml:space="preserve"> </w:t>
      </w:r>
      <w:r w:rsidRPr="002029AF">
        <w:t>Insurance</w:t>
      </w:r>
      <w:r w:rsidR="000A5329" w:rsidRPr="002029AF">
        <w:t xml:space="preserve"> </w:t>
      </w:r>
      <w:r w:rsidRPr="002029AF">
        <w:t>Scheme</w:t>
      </w:r>
      <w:r w:rsidR="000A5329" w:rsidRPr="002029AF">
        <w:t xml:space="preserve"> </w:t>
      </w:r>
      <w:r w:rsidRPr="002029AF">
        <w:t>Trust</w:t>
      </w:r>
      <w:r w:rsidR="000A5329" w:rsidRPr="002029AF">
        <w:t xml:space="preserve"> </w:t>
      </w:r>
      <w:r w:rsidRPr="002029AF">
        <w:t>Account</w:t>
      </w:r>
    </w:p>
    <w:p w14:paraId="3771EB72" w14:textId="0C8CF747" w:rsidR="00087B91" w:rsidRPr="002029AF" w:rsidRDefault="00087B91" w:rsidP="00087B91">
      <w:pPr>
        <w:pStyle w:val="ARfinbody"/>
      </w:pPr>
      <w:r w:rsidRPr="002029AF">
        <w:t>Established</w:t>
      </w:r>
      <w:r w:rsidR="000A5329" w:rsidRPr="002029AF">
        <w:t xml:space="preserve"> </w:t>
      </w:r>
      <w:r w:rsidRPr="002029AF">
        <w:t>in</w:t>
      </w:r>
      <w:r w:rsidR="000A5329" w:rsidRPr="002029AF">
        <w:t xml:space="preserve"> </w:t>
      </w:r>
      <w:r w:rsidRPr="002029AF">
        <w:t>accordance</w:t>
      </w:r>
      <w:r w:rsidR="000A5329" w:rsidRPr="002029AF">
        <w:t xml:space="preserve"> </w:t>
      </w:r>
      <w:r w:rsidRPr="002029AF">
        <w:t>with</w:t>
      </w:r>
      <w:r w:rsidR="000A5329" w:rsidRPr="002029AF">
        <w:t xml:space="preserve"> </w:t>
      </w:r>
      <w:r w:rsidRPr="002029AF">
        <w:t>a</w:t>
      </w:r>
      <w:r w:rsidR="000A5329" w:rsidRPr="002029AF">
        <w:t xml:space="preserve"> </w:t>
      </w:r>
      <w:r w:rsidRPr="002029AF">
        <w:t>memorandum</w:t>
      </w:r>
      <w:r w:rsidR="000A5329" w:rsidRPr="002029AF">
        <w:t xml:space="preserve"> </w:t>
      </w:r>
      <w:r w:rsidRPr="002029AF">
        <w:t>of</w:t>
      </w:r>
      <w:r w:rsidR="000A5329" w:rsidRPr="002029AF">
        <w:t xml:space="preserve"> </w:t>
      </w:r>
      <w:r w:rsidRPr="002029AF">
        <w:t>understanding</w:t>
      </w:r>
      <w:r w:rsidR="000A5329" w:rsidRPr="002029AF">
        <w:t xml:space="preserve"> </w:t>
      </w:r>
      <w:r w:rsidRPr="002029AF">
        <w:t>(MOU)</w:t>
      </w:r>
      <w:r w:rsidR="000A5329" w:rsidRPr="002029AF">
        <w:t xml:space="preserve"> </w:t>
      </w:r>
      <w:r w:rsidRPr="002029AF">
        <w:t>between</w:t>
      </w:r>
      <w:r w:rsidR="000A5329" w:rsidRPr="002029AF">
        <w:t xml:space="preserve"> </w:t>
      </w:r>
      <w:r w:rsidRPr="002029AF">
        <w:t>Department</w:t>
      </w:r>
      <w:r w:rsidR="000A5329" w:rsidRPr="002029AF">
        <w:t xml:space="preserve"> </w:t>
      </w:r>
      <w:r w:rsidRPr="002029AF">
        <w:t>of</w:t>
      </w:r>
      <w:r w:rsidR="000A5329" w:rsidRPr="002029AF">
        <w:t xml:space="preserve"> </w:t>
      </w:r>
      <w:r w:rsidRPr="002029AF">
        <w:t>Health</w:t>
      </w:r>
      <w:r w:rsidR="000A5329" w:rsidRPr="002029AF">
        <w:t xml:space="preserve"> </w:t>
      </w:r>
      <w:r w:rsidRPr="002029AF">
        <w:t>and</w:t>
      </w:r>
      <w:r w:rsidR="000A5329" w:rsidRPr="002029AF">
        <w:t xml:space="preserve"> </w:t>
      </w:r>
      <w:r w:rsidRPr="002029AF">
        <w:t>Human</w:t>
      </w:r>
      <w:r w:rsidR="000A5329" w:rsidRPr="002029AF">
        <w:t xml:space="preserve"> </w:t>
      </w:r>
      <w:r w:rsidRPr="002029AF">
        <w:t>Services,</w:t>
      </w:r>
      <w:r w:rsidR="000A5329" w:rsidRPr="002029AF">
        <w:t xml:space="preserve"> </w:t>
      </w:r>
      <w:r w:rsidRPr="002029AF">
        <w:t>Department</w:t>
      </w:r>
      <w:r w:rsidR="000A5329" w:rsidRPr="002029AF">
        <w:t xml:space="preserve"> </w:t>
      </w:r>
      <w:r w:rsidRPr="002029AF">
        <w:t>of</w:t>
      </w:r>
      <w:r w:rsidR="000A5329" w:rsidRPr="002029AF">
        <w:t xml:space="preserve"> </w:t>
      </w:r>
      <w:r w:rsidRPr="002029AF">
        <w:t>Education</w:t>
      </w:r>
      <w:r w:rsidR="000A5329" w:rsidRPr="002029AF">
        <w:t xml:space="preserve"> </w:t>
      </w:r>
      <w:r w:rsidRPr="002029AF">
        <w:t>and</w:t>
      </w:r>
      <w:r w:rsidR="000A5329" w:rsidRPr="002029AF">
        <w:t xml:space="preserve"> </w:t>
      </w:r>
      <w:r w:rsidRPr="002029AF">
        <w:t>Training,</w:t>
      </w:r>
      <w:r w:rsidR="000A5329" w:rsidRPr="002029AF">
        <w:t xml:space="preserve"> </w:t>
      </w:r>
      <w:r w:rsidRPr="002029AF">
        <w:t>Taxi</w:t>
      </w:r>
      <w:r w:rsidR="000A5329" w:rsidRPr="002029AF">
        <w:t xml:space="preserve"> </w:t>
      </w:r>
      <w:r w:rsidRPr="002029AF">
        <w:t>Services</w:t>
      </w:r>
      <w:r w:rsidR="000A5329" w:rsidRPr="002029AF">
        <w:t xml:space="preserve"> </w:t>
      </w:r>
      <w:r w:rsidRPr="002029AF">
        <w:t>Commission,</w:t>
      </w:r>
      <w:r w:rsidR="000A5329" w:rsidRPr="002029AF">
        <w:t xml:space="preserve"> </w:t>
      </w:r>
      <w:r w:rsidRPr="002029AF">
        <w:t>and</w:t>
      </w:r>
      <w:r w:rsidR="000A5329" w:rsidRPr="002029AF">
        <w:t xml:space="preserve"> </w:t>
      </w:r>
      <w:r w:rsidRPr="002029AF">
        <w:t>Department</w:t>
      </w:r>
      <w:r w:rsidR="000A5329" w:rsidRPr="002029AF">
        <w:t xml:space="preserve"> </w:t>
      </w:r>
      <w:r w:rsidRPr="002029AF">
        <w:t>of</w:t>
      </w:r>
      <w:r w:rsidR="000A5329" w:rsidRPr="002029AF">
        <w:t xml:space="preserve"> </w:t>
      </w:r>
      <w:r w:rsidRPr="002029AF">
        <w:t>Treasury</w:t>
      </w:r>
      <w:r w:rsidR="000A5329" w:rsidRPr="002029AF">
        <w:t xml:space="preserve"> </w:t>
      </w:r>
      <w:r w:rsidRPr="002029AF">
        <w:t>and</w:t>
      </w:r>
      <w:r w:rsidR="000A5329" w:rsidRPr="002029AF">
        <w:t xml:space="preserve"> </w:t>
      </w:r>
      <w:r w:rsidRPr="002029AF">
        <w:t>Finance.</w:t>
      </w:r>
      <w:r w:rsidR="000A5329" w:rsidRPr="002029AF">
        <w:t xml:space="preserve"> </w:t>
      </w:r>
      <w:r w:rsidRPr="002029AF">
        <w:t>The</w:t>
      </w:r>
      <w:r w:rsidR="000A5329" w:rsidRPr="002029AF">
        <w:t xml:space="preserve"> </w:t>
      </w:r>
      <w:r w:rsidRPr="002029AF">
        <w:t>trust</w:t>
      </w:r>
      <w:r w:rsidR="000A5329" w:rsidRPr="002029AF">
        <w:t xml:space="preserve"> </w:t>
      </w:r>
      <w:r w:rsidRPr="002029AF">
        <w:t>is</w:t>
      </w:r>
      <w:r w:rsidR="000A5329" w:rsidRPr="002029AF">
        <w:t xml:space="preserve"> </w:t>
      </w:r>
      <w:r w:rsidRPr="002029AF">
        <w:t>used</w:t>
      </w:r>
      <w:r w:rsidR="000A5329" w:rsidRPr="002029AF">
        <w:t xml:space="preserve"> </w:t>
      </w:r>
      <w:r w:rsidRPr="002029AF">
        <w:t>solely</w:t>
      </w:r>
      <w:r w:rsidR="000A5329" w:rsidRPr="002029AF">
        <w:t xml:space="preserve"> </w:t>
      </w:r>
      <w:r w:rsidRPr="002029AF">
        <w:t>to</w:t>
      </w:r>
      <w:r w:rsidR="007920F7" w:rsidRPr="002029AF">
        <w:t> </w:t>
      </w:r>
      <w:r w:rsidRPr="002029AF">
        <w:t>manage</w:t>
      </w:r>
      <w:r w:rsidR="000A5329" w:rsidRPr="002029AF">
        <w:t xml:space="preserve"> </w:t>
      </w:r>
      <w:r w:rsidRPr="002029AF">
        <w:t>the</w:t>
      </w:r>
      <w:r w:rsidR="000A5329" w:rsidRPr="002029AF">
        <w:t xml:space="preserve"> </w:t>
      </w:r>
      <w:r w:rsidRPr="002029AF">
        <w:t>state’s</w:t>
      </w:r>
      <w:r w:rsidR="000A5329" w:rsidRPr="002029AF">
        <w:t xml:space="preserve"> </w:t>
      </w:r>
      <w:r w:rsidRPr="002029AF">
        <w:t>payments</w:t>
      </w:r>
      <w:r w:rsidR="000A5329" w:rsidRPr="002029AF">
        <w:t xml:space="preserve"> </w:t>
      </w:r>
      <w:r w:rsidRPr="002029AF">
        <w:t>to</w:t>
      </w:r>
      <w:r w:rsidR="000A5329" w:rsidRPr="002029AF">
        <w:t xml:space="preserve"> </w:t>
      </w:r>
      <w:r w:rsidRPr="002029AF">
        <w:t>the</w:t>
      </w:r>
      <w:r w:rsidR="000A5329" w:rsidRPr="002029AF">
        <w:t xml:space="preserve"> </w:t>
      </w:r>
      <w:r w:rsidRPr="002029AF">
        <w:t>NDIA,</w:t>
      </w:r>
      <w:r w:rsidR="000A5329" w:rsidRPr="002029AF">
        <w:t xml:space="preserve"> </w:t>
      </w:r>
      <w:r w:rsidRPr="002029AF">
        <w:t>as</w:t>
      </w:r>
      <w:r w:rsidR="000A5329" w:rsidRPr="002029AF">
        <w:t xml:space="preserve"> </w:t>
      </w:r>
      <w:r w:rsidRPr="002029AF">
        <w:t>required</w:t>
      </w:r>
      <w:r w:rsidR="000A5329" w:rsidRPr="002029AF">
        <w:t xml:space="preserve"> </w:t>
      </w:r>
      <w:r w:rsidRPr="002029AF">
        <w:t>under</w:t>
      </w:r>
      <w:r w:rsidR="000A5329" w:rsidRPr="002029AF">
        <w:t xml:space="preserve"> </w:t>
      </w:r>
      <w:r w:rsidRPr="002029AF">
        <w:t>the</w:t>
      </w:r>
      <w:r w:rsidR="000A5329" w:rsidRPr="002029AF">
        <w:t xml:space="preserve"> </w:t>
      </w:r>
      <w:r w:rsidRPr="002029AF">
        <w:t>bilateral</w:t>
      </w:r>
      <w:r w:rsidR="000A5329" w:rsidRPr="002029AF">
        <w:t xml:space="preserve"> </w:t>
      </w:r>
      <w:r w:rsidRPr="002029AF">
        <w:t>agreement</w:t>
      </w:r>
      <w:r w:rsidR="000A5329" w:rsidRPr="002029AF">
        <w:t xml:space="preserve"> </w:t>
      </w:r>
      <w:r w:rsidRPr="002029AF">
        <w:t>between</w:t>
      </w:r>
      <w:r w:rsidR="000A5329" w:rsidRPr="002029AF">
        <w:t xml:space="preserve"> </w:t>
      </w:r>
      <w:r w:rsidRPr="002029AF">
        <w:t>the</w:t>
      </w:r>
      <w:r w:rsidR="000A5329" w:rsidRPr="002029AF">
        <w:t xml:space="preserve"> </w:t>
      </w:r>
      <w:r w:rsidRPr="002029AF">
        <w:t>Commonwealth</w:t>
      </w:r>
      <w:r w:rsidR="000A5329" w:rsidRPr="002029AF">
        <w:t xml:space="preserve"> </w:t>
      </w:r>
      <w:r w:rsidRPr="002029AF">
        <w:t>and</w:t>
      </w:r>
      <w:r w:rsidR="000A5329" w:rsidRPr="002029AF">
        <w:t xml:space="preserve"> </w:t>
      </w:r>
      <w:r w:rsidRPr="002029AF">
        <w:t>Victoria</w:t>
      </w:r>
      <w:r w:rsidR="000A5329" w:rsidRPr="002029AF">
        <w:t xml:space="preserve"> </w:t>
      </w:r>
      <w:r w:rsidRPr="002029AF">
        <w:t>that</w:t>
      </w:r>
      <w:r w:rsidR="000A5329" w:rsidRPr="002029AF">
        <w:t xml:space="preserve"> </w:t>
      </w:r>
      <w:r w:rsidRPr="002029AF">
        <w:t>outlines</w:t>
      </w:r>
      <w:r w:rsidR="000A5329" w:rsidRPr="002029AF">
        <w:t xml:space="preserve"> </w:t>
      </w:r>
      <w:r w:rsidRPr="002029AF">
        <w:t>the</w:t>
      </w:r>
      <w:r w:rsidR="000A5329" w:rsidRPr="002029AF">
        <w:t xml:space="preserve"> </w:t>
      </w:r>
      <w:r w:rsidRPr="002029AF">
        <w:t>transition</w:t>
      </w:r>
      <w:r w:rsidR="000A5329" w:rsidRPr="002029AF">
        <w:t xml:space="preserve"> </w:t>
      </w:r>
      <w:r w:rsidRPr="002029AF">
        <w:t>to</w:t>
      </w:r>
      <w:r w:rsidR="000A5329" w:rsidRPr="002029AF">
        <w:t xml:space="preserve"> </w:t>
      </w:r>
      <w:r w:rsidRPr="002029AF">
        <w:t>the</w:t>
      </w:r>
      <w:r w:rsidR="000A5329" w:rsidRPr="002029AF">
        <w:t xml:space="preserve"> </w:t>
      </w:r>
      <w:r w:rsidRPr="002029AF">
        <w:t>National</w:t>
      </w:r>
      <w:r w:rsidR="000A5329" w:rsidRPr="002029AF">
        <w:t xml:space="preserve"> </w:t>
      </w:r>
      <w:r w:rsidRPr="002029AF">
        <w:t>Disability</w:t>
      </w:r>
      <w:r w:rsidR="000A5329" w:rsidRPr="002029AF">
        <w:t xml:space="preserve"> </w:t>
      </w:r>
      <w:r w:rsidRPr="002029AF">
        <w:t>Insurance</w:t>
      </w:r>
      <w:r w:rsidR="000A5329" w:rsidRPr="002029AF">
        <w:t xml:space="preserve"> </w:t>
      </w:r>
      <w:r w:rsidRPr="002029AF">
        <w:t>Scheme.</w:t>
      </w:r>
    </w:p>
    <w:p w14:paraId="28624590" w14:textId="33D5F37B" w:rsidR="00087B91" w:rsidRPr="002029AF" w:rsidRDefault="00087B91" w:rsidP="00087B91">
      <w:pPr>
        <w:pStyle w:val="Heading7"/>
      </w:pPr>
      <w:r w:rsidRPr="002029AF">
        <w:t>National</w:t>
      </w:r>
      <w:r w:rsidR="000A5329" w:rsidRPr="002029AF">
        <w:t xml:space="preserve"> </w:t>
      </w:r>
      <w:r w:rsidRPr="002029AF">
        <w:t>Health</w:t>
      </w:r>
      <w:r w:rsidR="000A5329" w:rsidRPr="002029AF">
        <w:t xml:space="preserve"> </w:t>
      </w:r>
      <w:r w:rsidRPr="002029AF">
        <w:t>Funding</w:t>
      </w:r>
      <w:r w:rsidR="000A5329" w:rsidRPr="002029AF">
        <w:t xml:space="preserve"> </w:t>
      </w:r>
      <w:r w:rsidRPr="002029AF">
        <w:t>Pool</w:t>
      </w:r>
      <w:r w:rsidR="000A5329" w:rsidRPr="002029AF">
        <w:t xml:space="preserve"> </w:t>
      </w:r>
      <w:r w:rsidRPr="002029AF">
        <w:t>–</w:t>
      </w:r>
      <w:r w:rsidR="000A5329" w:rsidRPr="002029AF">
        <w:t xml:space="preserve"> </w:t>
      </w:r>
      <w:r w:rsidRPr="002029AF">
        <w:t>Victorian</w:t>
      </w:r>
      <w:r w:rsidR="000A5329" w:rsidRPr="002029AF">
        <w:t xml:space="preserve"> </w:t>
      </w:r>
      <w:r w:rsidRPr="002029AF">
        <w:t>State</w:t>
      </w:r>
      <w:r w:rsidR="000A5329" w:rsidRPr="002029AF">
        <w:t xml:space="preserve"> </w:t>
      </w:r>
      <w:r w:rsidRPr="002029AF">
        <w:t>Pool</w:t>
      </w:r>
      <w:r w:rsidR="000A5329" w:rsidRPr="002029AF">
        <w:t xml:space="preserve"> </w:t>
      </w:r>
      <w:r w:rsidRPr="002029AF">
        <w:t>Fund</w:t>
      </w:r>
    </w:p>
    <w:p w14:paraId="5D137449" w14:textId="7E686339" w:rsidR="00087B91" w:rsidRPr="002029AF" w:rsidRDefault="00087B91" w:rsidP="00087B91">
      <w:pPr>
        <w:pStyle w:val="ARfinbody"/>
      </w:pPr>
      <w:r w:rsidRPr="002029AF">
        <w:t>Established</w:t>
      </w:r>
      <w:r w:rsidR="000A5329" w:rsidRPr="002029AF">
        <w:t xml:space="preserve"> </w:t>
      </w:r>
      <w:r w:rsidRPr="002029AF">
        <w:t>under</w:t>
      </w:r>
      <w:r w:rsidR="000A5329" w:rsidRPr="002029AF">
        <w:t xml:space="preserve"> </w:t>
      </w:r>
      <w:r w:rsidRPr="002029AF">
        <w:t>the</w:t>
      </w:r>
      <w:r w:rsidR="000A5329" w:rsidRPr="002029AF">
        <w:t xml:space="preserve"> </w:t>
      </w:r>
      <w:r w:rsidRPr="002029AF">
        <w:rPr>
          <w:rStyle w:val="Emphasis"/>
        </w:rPr>
        <w:t>Health</w:t>
      </w:r>
      <w:r w:rsidR="000A5329" w:rsidRPr="002029AF">
        <w:rPr>
          <w:rStyle w:val="Emphasis"/>
        </w:rPr>
        <w:t xml:space="preserve"> </w:t>
      </w:r>
      <w:r w:rsidRPr="002029AF">
        <w:rPr>
          <w:rStyle w:val="Emphasis"/>
        </w:rPr>
        <w:t>(Commonwealth</w:t>
      </w:r>
      <w:r w:rsidR="000A5329" w:rsidRPr="002029AF">
        <w:rPr>
          <w:rStyle w:val="Emphasis"/>
        </w:rPr>
        <w:t xml:space="preserve"> </w:t>
      </w:r>
      <w:r w:rsidRPr="002029AF">
        <w:rPr>
          <w:rStyle w:val="Emphasis"/>
        </w:rPr>
        <w:t>State</w:t>
      </w:r>
      <w:r w:rsidR="000A5329" w:rsidRPr="002029AF">
        <w:rPr>
          <w:rStyle w:val="Emphasis"/>
        </w:rPr>
        <w:t xml:space="preserve"> </w:t>
      </w:r>
      <w:r w:rsidRPr="002029AF">
        <w:rPr>
          <w:rStyle w:val="Emphasis"/>
        </w:rPr>
        <w:t>Funding</w:t>
      </w:r>
      <w:r w:rsidR="000A5329" w:rsidRPr="002029AF">
        <w:rPr>
          <w:rStyle w:val="Emphasis"/>
        </w:rPr>
        <w:t xml:space="preserve"> </w:t>
      </w:r>
      <w:r w:rsidRPr="002029AF">
        <w:rPr>
          <w:rStyle w:val="Emphasis"/>
        </w:rPr>
        <w:t>Arrangements)</w:t>
      </w:r>
      <w:r w:rsidR="000A5329" w:rsidRPr="002029AF">
        <w:rPr>
          <w:rStyle w:val="Emphasis"/>
        </w:rPr>
        <w:t xml:space="preserve"> </w:t>
      </w:r>
      <w:r w:rsidRPr="002029AF">
        <w:rPr>
          <w:rStyle w:val="Emphasis"/>
        </w:rPr>
        <w:t>Act</w:t>
      </w:r>
      <w:r w:rsidR="000A5329" w:rsidRPr="002029AF">
        <w:rPr>
          <w:rStyle w:val="Emphasis"/>
        </w:rPr>
        <w:t xml:space="preserve"> </w:t>
      </w:r>
      <w:r w:rsidRPr="002029AF">
        <w:rPr>
          <w:rStyle w:val="Emphasis"/>
        </w:rPr>
        <w:t>2012</w:t>
      </w:r>
      <w:r w:rsidR="000A5329" w:rsidRPr="002029AF">
        <w:rPr>
          <w:rStyle w:val="Emphasis"/>
        </w:rPr>
        <w:t xml:space="preserve"> </w:t>
      </w:r>
      <w:r w:rsidRPr="002029AF">
        <w:rPr>
          <w:rStyle w:val="Emphasis"/>
        </w:rPr>
        <w:t>No.</w:t>
      </w:r>
      <w:r w:rsidR="000A5329" w:rsidRPr="002029AF">
        <w:rPr>
          <w:rStyle w:val="Emphasis"/>
        </w:rPr>
        <w:t xml:space="preserve"> </w:t>
      </w:r>
      <w:r w:rsidRPr="002029AF">
        <w:rPr>
          <w:rStyle w:val="Emphasis"/>
        </w:rPr>
        <w:t>40</w:t>
      </w:r>
      <w:r w:rsidR="000A5329" w:rsidRPr="002029AF">
        <w:t xml:space="preserve"> </w:t>
      </w:r>
      <w:r w:rsidRPr="002029AF">
        <w:rPr>
          <w:iCs/>
        </w:rPr>
        <w:t>of</w:t>
      </w:r>
      <w:r w:rsidR="000A5329" w:rsidRPr="002029AF">
        <w:rPr>
          <w:iCs/>
        </w:rPr>
        <w:t xml:space="preserve"> </w:t>
      </w:r>
      <w:r w:rsidRPr="002029AF">
        <w:rPr>
          <w:iCs/>
        </w:rPr>
        <w:t>2012</w:t>
      </w:r>
      <w:r w:rsidR="000A5329" w:rsidRPr="002029AF">
        <w:t xml:space="preserve"> </w:t>
      </w:r>
      <w:r w:rsidRPr="002029AF">
        <w:t>to</w:t>
      </w:r>
      <w:r w:rsidR="000A5329" w:rsidRPr="002029AF">
        <w:t xml:space="preserve"> </w:t>
      </w:r>
      <w:r w:rsidRPr="002029AF">
        <w:t>record</w:t>
      </w:r>
      <w:r w:rsidR="000A5329" w:rsidRPr="002029AF">
        <w:t xml:space="preserve"> </w:t>
      </w:r>
      <w:r w:rsidRPr="002029AF">
        <w:t>funding</w:t>
      </w:r>
      <w:r w:rsidR="000A5329" w:rsidRPr="002029AF">
        <w:t xml:space="preserve"> </w:t>
      </w:r>
      <w:r w:rsidRPr="002029AF">
        <w:t>made</w:t>
      </w:r>
      <w:r w:rsidR="000A5329" w:rsidRPr="002029AF">
        <w:t xml:space="preserve"> </w:t>
      </w:r>
      <w:r w:rsidRPr="002029AF">
        <w:t>available</w:t>
      </w:r>
      <w:r w:rsidR="000A5329" w:rsidRPr="002029AF">
        <w:t xml:space="preserve"> </w:t>
      </w:r>
      <w:r w:rsidRPr="002029AF">
        <w:t>by</w:t>
      </w:r>
      <w:r w:rsidR="000A5329" w:rsidRPr="002029AF">
        <w:t xml:space="preserve"> </w:t>
      </w:r>
      <w:r w:rsidRPr="002029AF">
        <w:t>the</w:t>
      </w:r>
      <w:r w:rsidR="000A5329" w:rsidRPr="002029AF">
        <w:t xml:space="preserve"> </w:t>
      </w:r>
      <w:r w:rsidRPr="002029AF">
        <w:t>Commonwealth</w:t>
      </w:r>
      <w:r w:rsidR="000A5329" w:rsidRPr="002029AF">
        <w:t xml:space="preserve"> </w:t>
      </w:r>
      <w:r w:rsidRPr="002029AF">
        <w:t>and</w:t>
      </w:r>
      <w:r w:rsidR="000A5329" w:rsidRPr="002029AF">
        <w:t xml:space="preserve"> </w:t>
      </w:r>
      <w:r w:rsidRPr="002029AF">
        <w:t>the</w:t>
      </w:r>
      <w:r w:rsidR="000A5329" w:rsidRPr="002029AF">
        <w:t xml:space="preserve"> </w:t>
      </w:r>
      <w:r w:rsidRPr="002029AF">
        <w:t>state</w:t>
      </w:r>
      <w:r w:rsidR="000A5329" w:rsidRPr="002029AF">
        <w:t xml:space="preserve"> </w:t>
      </w:r>
      <w:r w:rsidRPr="002029AF">
        <w:t>under</w:t>
      </w:r>
      <w:r w:rsidR="000A5329" w:rsidRPr="002029AF">
        <w:t xml:space="preserve"> </w:t>
      </w:r>
      <w:r w:rsidRPr="002029AF">
        <w:t>the</w:t>
      </w:r>
      <w:r w:rsidR="000A5329" w:rsidRPr="002029AF">
        <w:t xml:space="preserve"> </w:t>
      </w:r>
      <w:r w:rsidRPr="002029AF">
        <w:t>National</w:t>
      </w:r>
      <w:r w:rsidR="000A5329" w:rsidRPr="002029AF">
        <w:t xml:space="preserve"> </w:t>
      </w:r>
      <w:r w:rsidRPr="002029AF">
        <w:t>Health</w:t>
      </w:r>
      <w:r w:rsidR="000A5329" w:rsidRPr="002029AF">
        <w:t xml:space="preserve"> </w:t>
      </w:r>
      <w:r w:rsidRPr="002029AF">
        <w:t>Reform</w:t>
      </w:r>
      <w:r w:rsidR="000A5329" w:rsidRPr="002029AF">
        <w:t xml:space="preserve"> </w:t>
      </w:r>
      <w:r w:rsidRPr="002029AF">
        <w:t>Agreement.</w:t>
      </w:r>
    </w:p>
    <w:p w14:paraId="4E60FF97" w14:textId="374FA246" w:rsidR="00087B91" w:rsidRPr="002029AF" w:rsidRDefault="00087B91" w:rsidP="00087B91">
      <w:pPr>
        <w:pStyle w:val="Heading7"/>
      </w:pPr>
      <w:r w:rsidRPr="002029AF">
        <w:t>Public</w:t>
      </w:r>
      <w:r w:rsidR="000A5329" w:rsidRPr="002029AF">
        <w:t xml:space="preserve"> </w:t>
      </w:r>
      <w:r w:rsidRPr="002029AF">
        <w:t>Service</w:t>
      </w:r>
      <w:r w:rsidR="000A5329" w:rsidRPr="002029AF">
        <w:t xml:space="preserve"> </w:t>
      </w:r>
      <w:r w:rsidRPr="002029AF">
        <w:t>Commuter</w:t>
      </w:r>
      <w:r w:rsidR="000A5329" w:rsidRPr="002029AF">
        <w:t xml:space="preserve"> </w:t>
      </w:r>
      <w:r w:rsidRPr="002029AF">
        <w:t>Club</w:t>
      </w:r>
    </w:p>
    <w:p w14:paraId="7A3A3358" w14:textId="4003BFD2" w:rsidR="00087B91" w:rsidRPr="002029AF" w:rsidRDefault="00087B91" w:rsidP="00087B91">
      <w:pPr>
        <w:pStyle w:val="ARfinbody"/>
      </w:pPr>
      <w:r w:rsidRPr="002029AF">
        <w:t>Established</w:t>
      </w:r>
      <w:r w:rsidR="000A5329" w:rsidRPr="002029AF">
        <w:t xml:space="preserve"> </w:t>
      </w:r>
      <w:r w:rsidRPr="002029AF">
        <w:t>to</w:t>
      </w:r>
      <w:r w:rsidR="000A5329" w:rsidRPr="002029AF">
        <w:t xml:space="preserve"> </w:t>
      </w:r>
      <w:r w:rsidRPr="002029AF">
        <w:t>record</w:t>
      </w:r>
      <w:r w:rsidR="000A5329" w:rsidRPr="002029AF">
        <w:t xml:space="preserve"> </w:t>
      </w:r>
      <w:r w:rsidRPr="002029AF">
        <w:t>the</w:t>
      </w:r>
      <w:r w:rsidR="000A5329" w:rsidRPr="002029AF">
        <w:t xml:space="preserve"> </w:t>
      </w:r>
      <w:r w:rsidRPr="002029AF">
        <w:t>receipt</w:t>
      </w:r>
      <w:r w:rsidR="000A5329" w:rsidRPr="002029AF">
        <w:t xml:space="preserve"> </w:t>
      </w:r>
      <w:r w:rsidRPr="002029AF">
        <w:t>of</w:t>
      </w:r>
      <w:r w:rsidR="000A5329" w:rsidRPr="002029AF">
        <w:t xml:space="preserve"> </w:t>
      </w:r>
      <w:r w:rsidRPr="002029AF">
        <w:t>amounts</w:t>
      </w:r>
      <w:r w:rsidR="000A5329" w:rsidRPr="002029AF">
        <w:t xml:space="preserve"> </w:t>
      </w:r>
      <w:r w:rsidRPr="002029AF">
        <w:t>associated</w:t>
      </w:r>
      <w:r w:rsidR="000A5329" w:rsidRPr="002029AF">
        <w:t xml:space="preserve"> </w:t>
      </w:r>
      <w:r w:rsidRPr="002029AF">
        <w:t>with</w:t>
      </w:r>
      <w:r w:rsidR="000A5329" w:rsidRPr="002029AF">
        <w:t xml:space="preserve"> </w:t>
      </w:r>
      <w:r w:rsidRPr="002029AF">
        <w:t>the</w:t>
      </w:r>
      <w:r w:rsidR="000A5329" w:rsidRPr="002029AF">
        <w:t xml:space="preserve"> </w:t>
      </w:r>
      <w:r w:rsidRPr="002029AF">
        <w:t>Public</w:t>
      </w:r>
      <w:r w:rsidR="000A5329" w:rsidRPr="002029AF">
        <w:t xml:space="preserve"> </w:t>
      </w:r>
      <w:r w:rsidRPr="002029AF">
        <w:t>Service</w:t>
      </w:r>
      <w:r w:rsidR="000A5329" w:rsidRPr="002029AF">
        <w:t xml:space="preserve"> </w:t>
      </w:r>
      <w:r w:rsidRPr="002029AF">
        <w:t>Commuter</w:t>
      </w:r>
      <w:r w:rsidR="000A5329" w:rsidRPr="002029AF">
        <w:t xml:space="preserve"> </w:t>
      </w:r>
      <w:r w:rsidRPr="002029AF">
        <w:t>Club</w:t>
      </w:r>
      <w:r w:rsidR="000A5329" w:rsidRPr="002029AF">
        <w:t xml:space="preserve"> </w:t>
      </w:r>
      <w:r w:rsidRPr="002029AF">
        <w:t>Scheme</w:t>
      </w:r>
      <w:r w:rsidR="000A5329" w:rsidRPr="002029AF">
        <w:t xml:space="preserve"> </w:t>
      </w:r>
      <w:r w:rsidRPr="002029AF">
        <w:t>and</w:t>
      </w:r>
      <w:r w:rsidR="000A5329" w:rsidRPr="002029AF">
        <w:t xml:space="preserve"> </w:t>
      </w:r>
      <w:r w:rsidRPr="002029AF">
        <w:t>deductions</w:t>
      </w:r>
      <w:r w:rsidR="000A5329" w:rsidRPr="002029AF">
        <w:t xml:space="preserve"> </w:t>
      </w:r>
      <w:r w:rsidRPr="002029AF">
        <w:t>from</w:t>
      </w:r>
      <w:r w:rsidR="000A5329" w:rsidRPr="002029AF">
        <w:t xml:space="preserve"> </w:t>
      </w:r>
      <w:r w:rsidRPr="002029AF">
        <w:t>club</w:t>
      </w:r>
      <w:r w:rsidR="000A5329" w:rsidRPr="002029AF">
        <w:t xml:space="preserve"> </w:t>
      </w:r>
      <w:r w:rsidRPr="002029AF">
        <w:t>members</w:t>
      </w:r>
      <w:r w:rsidR="000A5329" w:rsidRPr="002029AF">
        <w:t xml:space="preserve"> </w:t>
      </w:r>
      <w:r w:rsidRPr="002029AF">
        <w:t>salaries</w:t>
      </w:r>
      <w:r w:rsidR="000A5329" w:rsidRPr="002029AF">
        <w:t xml:space="preserve"> </w:t>
      </w:r>
      <w:r w:rsidRPr="002029AF">
        <w:t>as</w:t>
      </w:r>
      <w:r w:rsidR="000A5329" w:rsidRPr="002029AF">
        <w:t xml:space="preserve"> </w:t>
      </w:r>
      <w:r w:rsidRPr="002029AF">
        <w:t>well</w:t>
      </w:r>
      <w:r w:rsidR="000A5329" w:rsidRPr="002029AF">
        <w:t xml:space="preserve"> </w:t>
      </w:r>
      <w:r w:rsidRPr="002029AF">
        <w:t>as</w:t>
      </w:r>
      <w:r w:rsidR="000A5329" w:rsidRPr="002029AF">
        <w:t xml:space="preserve"> </w:t>
      </w:r>
      <w:r w:rsidRPr="002029AF">
        <w:t>recording</w:t>
      </w:r>
      <w:r w:rsidR="000A5329" w:rsidRPr="002029AF">
        <w:t xml:space="preserve"> </w:t>
      </w:r>
      <w:r w:rsidRPr="002029AF">
        <w:t>payment</w:t>
      </w:r>
      <w:r w:rsidR="000A5329" w:rsidRPr="002029AF">
        <w:t xml:space="preserve"> </w:t>
      </w:r>
      <w:r w:rsidRPr="002029AF">
        <w:t>to</w:t>
      </w:r>
      <w:r w:rsidR="000A5329" w:rsidRPr="002029AF">
        <w:t xml:space="preserve"> </w:t>
      </w:r>
      <w:r w:rsidRPr="002029AF">
        <w:t>the</w:t>
      </w:r>
      <w:r w:rsidR="000A5329" w:rsidRPr="002029AF">
        <w:t xml:space="preserve"> </w:t>
      </w:r>
      <w:r w:rsidRPr="002029AF">
        <w:t>Public</w:t>
      </w:r>
      <w:r w:rsidR="000A5329" w:rsidRPr="002029AF">
        <w:t xml:space="preserve"> </w:t>
      </w:r>
      <w:r w:rsidRPr="002029AF">
        <w:t>Transport</w:t>
      </w:r>
      <w:r w:rsidR="000A5329" w:rsidRPr="002029AF">
        <w:t xml:space="preserve"> </w:t>
      </w:r>
      <w:r w:rsidRPr="002029AF">
        <w:t>Corporation.</w:t>
      </w:r>
    </w:p>
    <w:p w14:paraId="25D0C1F6" w14:textId="38C18A8E" w:rsidR="00087B91" w:rsidRPr="002029AF" w:rsidRDefault="00087B91" w:rsidP="00087B91">
      <w:pPr>
        <w:pStyle w:val="Heading7"/>
      </w:pPr>
      <w:r w:rsidRPr="002029AF">
        <w:lastRenderedPageBreak/>
        <w:t>Revenue</w:t>
      </w:r>
      <w:r w:rsidR="000A5329" w:rsidRPr="002029AF">
        <w:t xml:space="preserve"> </w:t>
      </w:r>
      <w:r w:rsidRPr="002029AF">
        <w:t>Suspense</w:t>
      </w:r>
      <w:r w:rsidR="000A5329" w:rsidRPr="002029AF">
        <w:t xml:space="preserve"> </w:t>
      </w:r>
      <w:r w:rsidRPr="002029AF">
        <w:t>Account</w:t>
      </w:r>
    </w:p>
    <w:p w14:paraId="54ADD21B" w14:textId="4D8EF66B" w:rsidR="00087B91" w:rsidRPr="002029AF" w:rsidRDefault="00087B91" w:rsidP="00087B91">
      <w:pPr>
        <w:pStyle w:val="ARfinbody"/>
      </w:pPr>
      <w:r w:rsidRPr="002029AF">
        <w:t>Short</w:t>
      </w:r>
      <w:r w:rsidR="000A5329" w:rsidRPr="002029AF">
        <w:t xml:space="preserve"> </w:t>
      </w:r>
      <w:r w:rsidRPr="002029AF">
        <w:t>term</w:t>
      </w:r>
      <w:r w:rsidR="000A5329" w:rsidRPr="002029AF">
        <w:t xml:space="preserve"> </w:t>
      </w:r>
      <w:r w:rsidRPr="002029AF">
        <w:t>clearing</w:t>
      </w:r>
      <w:r w:rsidR="000A5329" w:rsidRPr="002029AF">
        <w:t xml:space="preserve"> </w:t>
      </w:r>
      <w:r w:rsidRPr="002029AF">
        <w:t>account</w:t>
      </w:r>
      <w:r w:rsidR="000A5329" w:rsidRPr="002029AF">
        <w:t xml:space="preserve"> </w:t>
      </w:r>
      <w:r w:rsidRPr="002029AF">
        <w:t>pending</w:t>
      </w:r>
      <w:r w:rsidR="000A5329" w:rsidRPr="002029AF">
        <w:t xml:space="preserve"> </w:t>
      </w:r>
      <w:r w:rsidRPr="002029AF">
        <w:t>correct</w:t>
      </w:r>
      <w:r w:rsidR="000A5329" w:rsidRPr="002029AF">
        <w:t xml:space="preserve"> </w:t>
      </w:r>
      <w:r w:rsidRPr="002029AF">
        <w:t>identification</w:t>
      </w:r>
      <w:r w:rsidR="000A5329" w:rsidRPr="002029AF">
        <w:t xml:space="preserve"> </w:t>
      </w:r>
      <w:r w:rsidRPr="002029AF">
        <w:t>of</w:t>
      </w:r>
      <w:r w:rsidR="000A5329" w:rsidRPr="002029AF">
        <w:t xml:space="preserve"> </w:t>
      </w:r>
      <w:r w:rsidRPr="002029AF">
        <w:t>receipts.</w:t>
      </w:r>
    </w:p>
    <w:p w14:paraId="2B624A8C" w14:textId="45F13648" w:rsidR="00087B91" w:rsidRPr="002029AF" w:rsidRDefault="00087B91" w:rsidP="00087B91">
      <w:pPr>
        <w:pStyle w:val="Heading7"/>
      </w:pPr>
      <w:r w:rsidRPr="002029AF">
        <w:t>Victorian</w:t>
      </w:r>
      <w:r w:rsidR="000A5329" w:rsidRPr="002029AF">
        <w:t xml:space="preserve"> </w:t>
      </w:r>
      <w:r w:rsidRPr="002029AF">
        <w:t>Natural</w:t>
      </w:r>
      <w:r w:rsidR="000A5329" w:rsidRPr="002029AF">
        <w:t xml:space="preserve"> </w:t>
      </w:r>
      <w:r w:rsidRPr="002029AF">
        <w:t>Disasters</w:t>
      </w:r>
      <w:r w:rsidR="000A5329" w:rsidRPr="002029AF">
        <w:t xml:space="preserve"> </w:t>
      </w:r>
      <w:r w:rsidRPr="002029AF">
        <w:t>Relief</w:t>
      </w:r>
      <w:r w:rsidR="000A5329" w:rsidRPr="002029AF">
        <w:t xml:space="preserve"> </w:t>
      </w:r>
      <w:r w:rsidRPr="002029AF">
        <w:t>Fund</w:t>
      </w:r>
    </w:p>
    <w:p w14:paraId="74D2B68C" w14:textId="30550B42" w:rsidR="00087B91" w:rsidRPr="002029AF" w:rsidRDefault="00087B91" w:rsidP="00087B91">
      <w:pPr>
        <w:pStyle w:val="ARfinbody"/>
      </w:pPr>
      <w:r w:rsidRPr="002029AF">
        <w:t>Established</w:t>
      </w:r>
      <w:r w:rsidR="000A5329" w:rsidRPr="002029AF">
        <w:t xml:space="preserve"> </w:t>
      </w:r>
      <w:r w:rsidRPr="002029AF">
        <w:t>for</w:t>
      </w:r>
      <w:r w:rsidR="000A5329" w:rsidRPr="002029AF">
        <w:t xml:space="preserve"> </w:t>
      </w:r>
      <w:r w:rsidRPr="002029AF">
        <w:t>the</w:t>
      </w:r>
      <w:r w:rsidR="000A5329" w:rsidRPr="002029AF">
        <w:t xml:space="preserve"> </w:t>
      </w:r>
      <w:r w:rsidRPr="002029AF">
        <w:t>purpose</w:t>
      </w:r>
      <w:r w:rsidR="000A5329" w:rsidRPr="002029AF">
        <w:t xml:space="preserve"> </w:t>
      </w:r>
      <w:r w:rsidRPr="002029AF">
        <w:t>of</w:t>
      </w:r>
      <w:r w:rsidR="000A5329" w:rsidRPr="002029AF">
        <w:t xml:space="preserve"> </w:t>
      </w:r>
      <w:r w:rsidRPr="002029AF">
        <w:t>granting</w:t>
      </w:r>
      <w:r w:rsidR="000A5329" w:rsidRPr="002029AF">
        <w:t xml:space="preserve"> </w:t>
      </w:r>
      <w:r w:rsidRPr="002029AF">
        <w:t>assistance</w:t>
      </w:r>
      <w:r w:rsidR="000A5329" w:rsidRPr="002029AF">
        <w:t xml:space="preserve"> </w:t>
      </w:r>
      <w:r w:rsidRPr="002029AF">
        <w:t>to</w:t>
      </w:r>
      <w:r w:rsidR="000A5329" w:rsidRPr="002029AF">
        <w:t xml:space="preserve"> </w:t>
      </w:r>
      <w:r w:rsidRPr="002029AF">
        <w:t>persons</w:t>
      </w:r>
      <w:r w:rsidR="000A5329" w:rsidRPr="002029AF">
        <w:t xml:space="preserve"> </w:t>
      </w:r>
      <w:r w:rsidRPr="002029AF">
        <w:t>who</w:t>
      </w:r>
      <w:r w:rsidR="000A5329" w:rsidRPr="002029AF">
        <w:t xml:space="preserve"> </w:t>
      </w:r>
      <w:r w:rsidRPr="002029AF">
        <w:t>suffer</w:t>
      </w:r>
      <w:r w:rsidR="000A5329" w:rsidRPr="002029AF">
        <w:t xml:space="preserve"> </w:t>
      </w:r>
      <w:r w:rsidRPr="002029AF">
        <w:t>losses</w:t>
      </w:r>
      <w:r w:rsidR="000A5329" w:rsidRPr="002029AF">
        <w:t xml:space="preserve"> </w:t>
      </w:r>
      <w:r w:rsidRPr="002029AF">
        <w:t>as</w:t>
      </w:r>
      <w:r w:rsidR="000A5329" w:rsidRPr="002029AF">
        <w:t xml:space="preserve"> </w:t>
      </w:r>
      <w:r w:rsidRPr="002029AF">
        <w:t>a</w:t>
      </w:r>
      <w:r w:rsidR="000A5329" w:rsidRPr="002029AF">
        <w:t xml:space="preserve"> </w:t>
      </w:r>
      <w:r w:rsidRPr="002029AF">
        <w:t>result</w:t>
      </w:r>
      <w:r w:rsidR="000A5329" w:rsidRPr="002029AF">
        <w:t xml:space="preserve"> </w:t>
      </w:r>
      <w:r w:rsidRPr="002029AF">
        <w:t>of</w:t>
      </w:r>
      <w:r w:rsidR="000A5329" w:rsidRPr="002029AF">
        <w:t xml:space="preserve"> </w:t>
      </w:r>
      <w:r w:rsidRPr="002029AF">
        <w:t>flood,</w:t>
      </w:r>
      <w:r w:rsidR="000A5329" w:rsidRPr="002029AF">
        <w:t xml:space="preserve"> </w:t>
      </w:r>
      <w:r w:rsidRPr="002029AF">
        <w:t>bushfires</w:t>
      </w:r>
      <w:r w:rsidR="000A5329" w:rsidRPr="002029AF">
        <w:t xml:space="preserve"> </w:t>
      </w:r>
      <w:r w:rsidRPr="002029AF">
        <w:t>and</w:t>
      </w:r>
      <w:r w:rsidR="000A5329" w:rsidRPr="002029AF">
        <w:t xml:space="preserve"> </w:t>
      </w:r>
      <w:r w:rsidRPr="002029AF">
        <w:t>other</w:t>
      </w:r>
      <w:r w:rsidR="000A5329" w:rsidRPr="002029AF">
        <w:t xml:space="preserve"> </w:t>
      </w:r>
      <w:r w:rsidRPr="002029AF">
        <w:t>natural</w:t>
      </w:r>
      <w:r w:rsidR="000A5329" w:rsidRPr="002029AF">
        <w:t xml:space="preserve"> </w:t>
      </w:r>
      <w:r w:rsidRPr="002029AF">
        <w:t>disasters</w:t>
      </w:r>
      <w:r w:rsidR="00BF3638">
        <w:t>.</w:t>
      </w:r>
    </w:p>
    <w:p w14:paraId="52B202F5" w14:textId="1AA75F8E" w:rsidR="00087B91" w:rsidRPr="002029AF" w:rsidRDefault="00087B91" w:rsidP="00087B91">
      <w:pPr>
        <w:pStyle w:val="Heading4"/>
      </w:pPr>
      <w:r w:rsidRPr="002029AF">
        <w:t>Third</w:t>
      </w:r>
      <w:r w:rsidR="000A5329" w:rsidRPr="002029AF">
        <w:t xml:space="preserve"> </w:t>
      </w:r>
      <w:r w:rsidRPr="002029AF">
        <w:t>party</w:t>
      </w:r>
      <w:r w:rsidR="000A5329" w:rsidRPr="002029AF">
        <w:t xml:space="preserve"> </w:t>
      </w:r>
      <w:r w:rsidRPr="002029AF">
        <w:t>funds</w:t>
      </w:r>
      <w:r w:rsidR="000A5329" w:rsidRPr="002029AF">
        <w:t xml:space="preserve"> </w:t>
      </w:r>
      <w:r w:rsidRPr="002029AF">
        <w:t>under</w:t>
      </w:r>
      <w:r w:rsidR="000A5329" w:rsidRPr="002029AF">
        <w:t xml:space="preserve"> </w:t>
      </w:r>
      <w:r w:rsidRPr="002029AF">
        <w:t>management</w:t>
      </w:r>
    </w:p>
    <w:p w14:paraId="122852A3" w14:textId="2B279B08" w:rsidR="00087B91" w:rsidRPr="002029AF" w:rsidRDefault="00087B91" w:rsidP="00087B91">
      <w:pPr>
        <w:pStyle w:val="ARfinbody"/>
      </w:pPr>
      <w:r w:rsidRPr="002029AF">
        <w:t>Third</w:t>
      </w:r>
      <w:r w:rsidR="000A5329" w:rsidRPr="002029AF">
        <w:t xml:space="preserve"> </w:t>
      </w:r>
      <w:r w:rsidRPr="002029AF">
        <w:t>party</w:t>
      </w:r>
      <w:r w:rsidR="000A5329" w:rsidRPr="002029AF">
        <w:t xml:space="preserve"> </w:t>
      </w:r>
      <w:r w:rsidRPr="002029AF">
        <w:t>funds</w:t>
      </w:r>
      <w:r w:rsidR="000A5329" w:rsidRPr="002029AF">
        <w:t xml:space="preserve"> </w:t>
      </w:r>
      <w:r w:rsidRPr="002029AF">
        <w:t>under</w:t>
      </w:r>
      <w:r w:rsidR="000A5329" w:rsidRPr="002029AF">
        <w:t xml:space="preserve"> </w:t>
      </w:r>
      <w:r w:rsidRPr="002029AF">
        <w:t>management</w:t>
      </w:r>
      <w:r w:rsidR="000A5329" w:rsidRPr="002029AF">
        <w:t xml:space="preserve"> </w:t>
      </w:r>
      <w:r w:rsidRPr="002029AF">
        <w:t>are</w:t>
      </w:r>
      <w:r w:rsidR="000A5329" w:rsidRPr="002029AF">
        <w:t xml:space="preserve"> </w:t>
      </w:r>
      <w:r w:rsidRPr="002029AF">
        <w:t>funds</w:t>
      </w:r>
      <w:r w:rsidR="000A5329" w:rsidRPr="002029AF">
        <w:t xml:space="preserve"> </w:t>
      </w:r>
      <w:r w:rsidRPr="002029AF">
        <w:t>held</w:t>
      </w:r>
      <w:r w:rsidR="000A5329" w:rsidRPr="002029AF">
        <w:t xml:space="preserve"> </w:t>
      </w:r>
      <w:r w:rsidRPr="002029AF">
        <w:t>in</w:t>
      </w:r>
      <w:r w:rsidR="000A5329" w:rsidRPr="002029AF">
        <w:t xml:space="preserve"> </w:t>
      </w:r>
      <w:r w:rsidRPr="002029AF">
        <w:t>trust</w:t>
      </w:r>
      <w:r w:rsidR="000A5329" w:rsidRPr="002029AF">
        <w:t xml:space="preserve"> </w:t>
      </w:r>
      <w:r w:rsidRPr="002029AF">
        <w:t>for</w:t>
      </w:r>
      <w:r w:rsidR="000A5329" w:rsidRPr="002029AF">
        <w:t xml:space="preserve"> </w:t>
      </w:r>
      <w:r w:rsidRPr="002029AF">
        <w:t>certain</w:t>
      </w:r>
      <w:r w:rsidR="000A5329" w:rsidRPr="002029AF">
        <w:t xml:space="preserve"> </w:t>
      </w:r>
      <w:r w:rsidRPr="002029AF">
        <w:t>clients.</w:t>
      </w:r>
      <w:r w:rsidR="000A5329" w:rsidRPr="002029AF">
        <w:t xml:space="preserve"> </w:t>
      </w:r>
      <w:r w:rsidRPr="002029AF">
        <w:t>They</w:t>
      </w:r>
      <w:r w:rsidR="000A5329" w:rsidRPr="002029AF">
        <w:t xml:space="preserve"> </w:t>
      </w:r>
      <w:r w:rsidRPr="002029AF">
        <w:t>are</w:t>
      </w:r>
      <w:r w:rsidR="000A5329" w:rsidRPr="002029AF">
        <w:t xml:space="preserve"> </w:t>
      </w:r>
      <w:r w:rsidRPr="002029AF">
        <w:t>not</w:t>
      </w:r>
      <w:r w:rsidR="000A5329" w:rsidRPr="002029AF">
        <w:t xml:space="preserve"> </w:t>
      </w:r>
      <w:r w:rsidRPr="002029AF">
        <w:t>used</w:t>
      </w:r>
      <w:r w:rsidR="000A5329" w:rsidRPr="002029AF">
        <w:t xml:space="preserve"> </w:t>
      </w:r>
      <w:r w:rsidRPr="002029AF">
        <w:t>for</w:t>
      </w:r>
      <w:r w:rsidR="000A5329" w:rsidRPr="002029AF">
        <w:t xml:space="preserve"> </w:t>
      </w:r>
      <w:r w:rsidRPr="002029AF">
        <w:t>government</w:t>
      </w:r>
      <w:r w:rsidR="000A5329" w:rsidRPr="002029AF">
        <w:t xml:space="preserve"> </w:t>
      </w:r>
      <w:r w:rsidRPr="002029AF">
        <w:t>purposes</w:t>
      </w:r>
      <w:r w:rsidR="000A5329" w:rsidRPr="002029AF">
        <w:t xml:space="preserve"> </w:t>
      </w:r>
      <w:r w:rsidRPr="002029AF">
        <w:t>and</w:t>
      </w:r>
      <w:r w:rsidR="000A5329" w:rsidRPr="002029AF">
        <w:t xml:space="preserve"> </w:t>
      </w:r>
      <w:r w:rsidRPr="002029AF">
        <w:t>therefore</w:t>
      </w:r>
      <w:r w:rsidR="000A5329" w:rsidRPr="002029AF">
        <w:t xml:space="preserve"> </w:t>
      </w:r>
      <w:r w:rsidRPr="002029AF">
        <w:t>not</w:t>
      </w:r>
      <w:r w:rsidR="000A5329" w:rsidRPr="002029AF">
        <w:t xml:space="preserve"> </w:t>
      </w:r>
      <w:r w:rsidRPr="002029AF">
        <w:t>included</w:t>
      </w:r>
      <w:r w:rsidR="000A5329" w:rsidRPr="002029AF">
        <w:t xml:space="preserve"> </w:t>
      </w:r>
      <w:r w:rsidRPr="002029AF">
        <w:t>in</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financial</w:t>
      </w:r>
      <w:r w:rsidR="000A5329" w:rsidRPr="002029AF">
        <w:t xml:space="preserve"> </w:t>
      </w:r>
      <w:r w:rsidRPr="002029AF">
        <w:t>statements.</w:t>
      </w:r>
    </w:p>
    <w:p w14:paraId="2FF704B1" w14:textId="7FE8F5B8" w:rsidR="00087B91" w:rsidRPr="002029AF" w:rsidRDefault="00087B91" w:rsidP="00087B91">
      <w:pPr>
        <w:pStyle w:val="ARfinbody"/>
      </w:pPr>
      <w:r w:rsidRPr="002029AF">
        <w:t>In</w:t>
      </w:r>
      <w:r w:rsidR="000A5329" w:rsidRPr="002029AF">
        <w:t xml:space="preserve"> </w:t>
      </w:r>
      <w:r w:rsidRPr="002029AF">
        <w:t>February</w:t>
      </w:r>
      <w:r w:rsidR="000A5329" w:rsidRPr="002029AF">
        <w:t xml:space="preserve"> </w:t>
      </w:r>
      <w:r w:rsidRPr="002029AF">
        <w:t>2009,</w:t>
      </w:r>
      <w:r w:rsidR="000A5329" w:rsidRPr="002029AF">
        <w:t xml:space="preserve"> </w:t>
      </w:r>
      <w:r w:rsidRPr="002029AF">
        <w:t>the</w:t>
      </w:r>
      <w:r w:rsidR="000A5329" w:rsidRPr="002029AF">
        <w:t xml:space="preserve"> </w:t>
      </w:r>
      <w:r w:rsidRPr="002029AF">
        <w:t>Assistant</w:t>
      </w:r>
      <w:r w:rsidR="000A5329" w:rsidRPr="002029AF">
        <w:t xml:space="preserve"> </w:t>
      </w:r>
      <w:r w:rsidRPr="002029AF">
        <w:t>Treasurer</w:t>
      </w:r>
      <w:r w:rsidR="000A5329" w:rsidRPr="002029AF">
        <w:t xml:space="preserve"> </w:t>
      </w:r>
      <w:r w:rsidRPr="002029AF">
        <w:t>approved</w:t>
      </w:r>
      <w:r w:rsidR="000A5329" w:rsidRPr="002029AF">
        <w:t xml:space="preserve"> </w:t>
      </w:r>
      <w:r w:rsidRPr="002029AF">
        <w:t>the</w:t>
      </w:r>
      <w:r w:rsidR="000A5329" w:rsidRPr="002029AF">
        <w:t xml:space="preserve"> </w:t>
      </w:r>
      <w:r w:rsidRPr="002029AF">
        <w:t>establishment</w:t>
      </w:r>
      <w:r w:rsidR="000A5329" w:rsidRPr="002029AF">
        <w:t xml:space="preserve"> </w:t>
      </w:r>
      <w:r w:rsidRPr="002029AF">
        <w:t>of</w:t>
      </w:r>
      <w:r w:rsidR="000A5329" w:rsidRPr="002029AF">
        <w:t xml:space="preserve"> </w:t>
      </w:r>
      <w:r w:rsidRPr="002029AF">
        <w:t>the</w:t>
      </w:r>
      <w:r w:rsidR="000A5329" w:rsidRPr="002029AF">
        <w:t xml:space="preserve"> </w:t>
      </w:r>
      <w:r w:rsidRPr="002029AF">
        <w:t>2009</w:t>
      </w:r>
      <w:r w:rsidR="000A5329" w:rsidRPr="002029AF">
        <w:t xml:space="preserve"> </w:t>
      </w:r>
      <w:r w:rsidRPr="002029AF">
        <w:t>Victorian</w:t>
      </w:r>
      <w:r w:rsidR="000A5329" w:rsidRPr="002029AF">
        <w:t xml:space="preserve"> </w:t>
      </w:r>
      <w:r w:rsidRPr="002029AF">
        <w:t>Bushfire</w:t>
      </w:r>
      <w:r w:rsidR="000A5329" w:rsidRPr="002029AF">
        <w:t xml:space="preserve"> </w:t>
      </w:r>
      <w:r w:rsidRPr="002029AF">
        <w:t>Appeal</w:t>
      </w:r>
      <w:r w:rsidR="000A5329" w:rsidRPr="002029AF">
        <w:t xml:space="preserve"> </w:t>
      </w:r>
      <w:r w:rsidRPr="002029AF">
        <w:t>Trust</w:t>
      </w:r>
      <w:r w:rsidR="000A5329" w:rsidRPr="002029AF">
        <w:t xml:space="preserve"> </w:t>
      </w:r>
      <w:r w:rsidRPr="002029AF">
        <w:t>Account</w:t>
      </w:r>
      <w:r w:rsidR="000A5329" w:rsidRPr="002029AF">
        <w:t xml:space="preserve"> </w:t>
      </w:r>
      <w:r w:rsidRPr="002029AF">
        <w:t>in</w:t>
      </w:r>
      <w:r w:rsidR="000A5329" w:rsidRPr="002029AF">
        <w:t xml:space="preserve"> </w:t>
      </w:r>
      <w:r w:rsidRPr="002029AF">
        <w:t>the</w:t>
      </w:r>
      <w:r w:rsidR="000A5329" w:rsidRPr="002029AF">
        <w:t xml:space="preserve"> </w:t>
      </w:r>
      <w:r w:rsidRPr="002029AF">
        <w:t>Public</w:t>
      </w:r>
      <w:r w:rsidR="000A5329" w:rsidRPr="002029AF">
        <w:t xml:space="preserve"> </w:t>
      </w:r>
      <w:r w:rsidRPr="002029AF">
        <w:t>Account,</w:t>
      </w:r>
      <w:r w:rsidR="000A5329" w:rsidRPr="002029AF">
        <w:t xml:space="preserve"> </w:t>
      </w:r>
      <w:r w:rsidRPr="002029AF">
        <w:t>as</w:t>
      </w:r>
      <w:r w:rsidR="000A5329" w:rsidRPr="002029AF">
        <w:t xml:space="preserve"> </w:t>
      </w:r>
      <w:r w:rsidRPr="002029AF">
        <w:t>part</w:t>
      </w:r>
      <w:r w:rsidR="000A5329" w:rsidRPr="002029AF">
        <w:t xml:space="preserve"> </w:t>
      </w:r>
      <w:r w:rsidRPr="002029AF">
        <w:t>of</w:t>
      </w:r>
      <w:r w:rsidR="000A5329" w:rsidRPr="002029AF">
        <w:t xml:space="preserve"> </w:t>
      </w:r>
      <w:r w:rsidRPr="002029AF">
        <w:t>the</w:t>
      </w:r>
      <w:r w:rsidR="000A5329" w:rsidRPr="002029AF">
        <w:t xml:space="preserve"> </w:t>
      </w:r>
      <w:r w:rsidRPr="002029AF">
        <w:t>Trust</w:t>
      </w:r>
      <w:r w:rsidR="000A5329" w:rsidRPr="002029AF">
        <w:t xml:space="preserve"> </w:t>
      </w:r>
      <w:r w:rsidRPr="002029AF">
        <w:t>Fund,</w:t>
      </w:r>
      <w:r w:rsidR="000A5329" w:rsidRPr="002029AF">
        <w:t xml:space="preserve"> </w:t>
      </w:r>
      <w:r w:rsidRPr="002029AF">
        <w:t>pursuant</w:t>
      </w:r>
      <w:r w:rsidR="000A5329" w:rsidRPr="002029AF">
        <w:t xml:space="preserve"> </w:t>
      </w:r>
      <w:r w:rsidRPr="002029AF">
        <w:t>to</w:t>
      </w:r>
      <w:r w:rsidR="000A5329" w:rsidRPr="002029AF">
        <w:t xml:space="preserve"> </w:t>
      </w:r>
      <w:r w:rsidRPr="002029AF">
        <w:t>s.</w:t>
      </w:r>
      <w:r w:rsidR="000A5329" w:rsidRPr="002029AF">
        <w:t xml:space="preserve"> </w:t>
      </w:r>
      <w:r w:rsidRPr="002029AF">
        <w:t>19(1)</w:t>
      </w:r>
      <w:r w:rsidR="000A5329" w:rsidRPr="002029AF">
        <w:t xml:space="preserve"> </w:t>
      </w:r>
      <w:r w:rsidRPr="002029AF">
        <w:t>of</w:t>
      </w:r>
      <w:r w:rsidR="000A5329" w:rsidRPr="002029AF">
        <w:t xml:space="preserve"> </w:t>
      </w:r>
      <w:r w:rsidRPr="002029AF">
        <w:t>the</w:t>
      </w:r>
      <w:r w:rsidR="000A5329" w:rsidRPr="002029AF">
        <w:t xml:space="preserve"> </w:t>
      </w:r>
      <w:r w:rsidRPr="002029AF">
        <w:rPr>
          <w:rStyle w:val="Emphasis"/>
        </w:rPr>
        <w:t>Financial</w:t>
      </w:r>
      <w:r w:rsidR="000A5329" w:rsidRPr="002029AF">
        <w:rPr>
          <w:rStyle w:val="Emphasis"/>
        </w:rPr>
        <w:t xml:space="preserve"> </w:t>
      </w:r>
      <w:r w:rsidRPr="002029AF">
        <w:rPr>
          <w:rStyle w:val="Emphasis"/>
        </w:rPr>
        <w:t>Management</w:t>
      </w:r>
      <w:r w:rsidR="000A5329" w:rsidRPr="002029AF">
        <w:rPr>
          <w:rStyle w:val="Emphasis"/>
        </w:rPr>
        <w:t xml:space="preserve"> </w:t>
      </w:r>
      <w:r w:rsidRPr="002029AF">
        <w:rPr>
          <w:rStyle w:val="Emphasis"/>
        </w:rPr>
        <w:t>Act</w:t>
      </w:r>
      <w:r w:rsidR="000A5329" w:rsidRPr="002029AF">
        <w:rPr>
          <w:rStyle w:val="Emphasis"/>
        </w:rPr>
        <w:t xml:space="preserve"> </w:t>
      </w:r>
      <w:r w:rsidRPr="002029AF">
        <w:rPr>
          <w:rStyle w:val="Emphasis"/>
        </w:rPr>
        <w:t>1994</w:t>
      </w:r>
      <w:r w:rsidRPr="002029AF">
        <w:t>.</w:t>
      </w:r>
    </w:p>
    <w:p w14:paraId="327BCD19" w14:textId="3088D681" w:rsidR="00087B91" w:rsidRPr="002029AF" w:rsidRDefault="00087B91" w:rsidP="00087B91">
      <w:pPr>
        <w:pStyle w:val="ARfinbody"/>
      </w:pPr>
      <w:r w:rsidRPr="002029AF">
        <w:t>The</w:t>
      </w:r>
      <w:r w:rsidR="000A5329" w:rsidRPr="002029AF">
        <w:t xml:space="preserve"> </w:t>
      </w:r>
      <w:r w:rsidRPr="002029AF">
        <w:t>purpose</w:t>
      </w:r>
      <w:r w:rsidR="000A5329" w:rsidRPr="002029AF">
        <w:t xml:space="preserve"> </w:t>
      </w:r>
      <w:r w:rsidRPr="002029AF">
        <w:t>of</w:t>
      </w:r>
      <w:r w:rsidR="000A5329" w:rsidRPr="002029AF">
        <w:t xml:space="preserve"> </w:t>
      </w:r>
      <w:r w:rsidRPr="002029AF">
        <w:t>the</w:t>
      </w:r>
      <w:r w:rsidR="000A5329" w:rsidRPr="002029AF">
        <w:t xml:space="preserve"> </w:t>
      </w:r>
      <w:r w:rsidRPr="002029AF">
        <w:t>trust</w:t>
      </w:r>
      <w:r w:rsidR="000A5329" w:rsidRPr="002029AF">
        <w:t xml:space="preserve"> </w:t>
      </w:r>
      <w:r w:rsidRPr="002029AF">
        <w:t>account</w:t>
      </w:r>
      <w:r w:rsidR="000A5329" w:rsidRPr="002029AF">
        <w:t xml:space="preserve"> </w:t>
      </w:r>
      <w:r w:rsidRPr="002029AF">
        <w:t>is</w:t>
      </w:r>
      <w:r w:rsidR="000A5329" w:rsidRPr="002029AF">
        <w:t xml:space="preserve"> </w:t>
      </w:r>
      <w:r w:rsidRPr="002029AF">
        <w:t>the</w:t>
      </w:r>
      <w:r w:rsidR="000A5329" w:rsidRPr="002029AF">
        <w:t xml:space="preserve"> </w:t>
      </w:r>
      <w:r w:rsidRPr="002029AF">
        <w:t>receipt</w:t>
      </w:r>
      <w:r w:rsidR="000A5329" w:rsidRPr="002029AF">
        <w:t xml:space="preserve"> </w:t>
      </w:r>
      <w:r w:rsidRPr="002029AF">
        <w:t>of</w:t>
      </w:r>
      <w:r w:rsidR="000A5329" w:rsidRPr="002029AF">
        <w:t xml:space="preserve"> </w:t>
      </w:r>
      <w:r w:rsidRPr="002029AF">
        <w:t>donations</w:t>
      </w:r>
      <w:r w:rsidR="000A5329" w:rsidRPr="002029AF">
        <w:t xml:space="preserve"> </w:t>
      </w:r>
      <w:r w:rsidRPr="002029AF">
        <w:t>and</w:t>
      </w:r>
      <w:r w:rsidR="000A5329" w:rsidRPr="002029AF">
        <w:t xml:space="preserve"> </w:t>
      </w:r>
      <w:r w:rsidRPr="002029AF">
        <w:t>other</w:t>
      </w:r>
      <w:r w:rsidR="000A5329" w:rsidRPr="002029AF">
        <w:t xml:space="preserve"> </w:t>
      </w:r>
      <w:r w:rsidRPr="002029AF">
        <w:t>contributions,</w:t>
      </w:r>
      <w:r w:rsidR="000A5329" w:rsidRPr="002029AF">
        <w:t xml:space="preserve"> </w:t>
      </w:r>
      <w:r w:rsidRPr="002029AF">
        <w:t>and</w:t>
      </w:r>
      <w:r w:rsidR="000A5329" w:rsidRPr="002029AF">
        <w:t xml:space="preserve"> </w:t>
      </w:r>
      <w:r w:rsidRPr="002029AF">
        <w:t>their</w:t>
      </w:r>
      <w:r w:rsidR="000A5329" w:rsidRPr="002029AF">
        <w:t xml:space="preserve"> </w:t>
      </w:r>
      <w:r w:rsidRPr="002029AF">
        <w:t>disbursement</w:t>
      </w:r>
      <w:r w:rsidR="000A5329" w:rsidRPr="002029AF">
        <w:t xml:space="preserve"> </w:t>
      </w:r>
      <w:r w:rsidRPr="002029AF">
        <w:t>for</w:t>
      </w:r>
      <w:r w:rsidR="000A5329" w:rsidRPr="002029AF">
        <w:t xml:space="preserve"> </w:t>
      </w:r>
      <w:r w:rsidRPr="002029AF">
        <w:t>assistance</w:t>
      </w:r>
      <w:r w:rsidR="000A5329" w:rsidRPr="002029AF">
        <w:t xml:space="preserve"> </w:t>
      </w:r>
      <w:r w:rsidRPr="002029AF">
        <w:t>to</w:t>
      </w:r>
      <w:r w:rsidR="000A5329" w:rsidRPr="002029AF">
        <w:t xml:space="preserve"> </w:t>
      </w:r>
      <w:r w:rsidRPr="002029AF">
        <w:t>individuals</w:t>
      </w:r>
      <w:r w:rsidR="000A5329" w:rsidRPr="002029AF">
        <w:t xml:space="preserve"> </w:t>
      </w:r>
      <w:r w:rsidRPr="002029AF">
        <w:t>and</w:t>
      </w:r>
      <w:r w:rsidR="000A5329" w:rsidRPr="002029AF">
        <w:t xml:space="preserve"> </w:t>
      </w:r>
      <w:r w:rsidRPr="002029AF">
        <w:t>communities</w:t>
      </w:r>
      <w:r w:rsidR="000A5329" w:rsidRPr="002029AF">
        <w:t xml:space="preserve"> </w:t>
      </w:r>
      <w:r w:rsidRPr="002029AF">
        <w:t>in</w:t>
      </w:r>
      <w:r w:rsidR="000A5329" w:rsidRPr="002029AF">
        <w:t xml:space="preserve"> </w:t>
      </w:r>
      <w:r w:rsidRPr="002029AF">
        <w:t>towns,</w:t>
      </w:r>
      <w:r w:rsidR="000A5329" w:rsidRPr="002029AF">
        <w:t xml:space="preserve"> </w:t>
      </w:r>
      <w:r w:rsidRPr="002029AF">
        <w:t>suburbs</w:t>
      </w:r>
      <w:r w:rsidR="000A5329" w:rsidRPr="002029AF">
        <w:t xml:space="preserve"> </w:t>
      </w:r>
      <w:r w:rsidRPr="002029AF">
        <w:t>and</w:t>
      </w:r>
      <w:r w:rsidR="000A5329" w:rsidRPr="002029AF">
        <w:t xml:space="preserve"> </w:t>
      </w:r>
      <w:r w:rsidRPr="002029AF">
        <w:t>rural</w:t>
      </w:r>
      <w:r w:rsidR="000A5329" w:rsidRPr="002029AF">
        <w:t xml:space="preserve"> </w:t>
      </w:r>
      <w:r w:rsidRPr="002029AF">
        <w:t>areas</w:t>
      </w:r>
      <w:r w:rsidR="000A5329" w:rsidRPr="002029AF">
        <w:t xml:space="preserve"> </w:t>
      </w:r>
      <w:r w:rsidRPr="002029AF">
        <w:t>affected</w:t>
      </w:r>
      <w:r w:rsidR="000A5329" w:rsidRPr="002029AF">
        <w:t xml:space="preserve"> </w:t>
      </w:r>
      <w:r w:rsidRPr="002029AF">
        <w:t>by</w:t>
      </w:r>
      <w:r w:rsidR="000A5329" w:rsidRPr="002029AF">
        <w:t xml:space="preserve"> </w:t>
      </w:r>
      <w:r w:rsidRPr="002029AF">
        <w:t>the</w:t>
      </w:r>
      <w:r w:rsidR="000A5329" w:rsidRPr="002029AF">
        <w:t xml:space="preserve"> </w:t>
      </w:r>
      <w:r w:rsidRPr="002029AF">
        <w:t>2009</w:t>
      </w:r>
      <w:r w:rsidR="000A5329" w:rsidRPr="002029AF">
        <w:t xml:space="preserve"> </w:t>
      </w:r>
      <w:r w:rsidRPr="002029AF">
        <w:t>Victorian</w:t>
      </w:r>
      <w:r w:rsidR="000A5329" w:rsidRPr="002029AF">
        <w:t xml:space="preserve"> </w:t>
      </w:r>
      <w:r w:rsidRPr="002029AF">
        <w:t>bushfires.</w:t>
      </w:r>
      <w:r w:rsidR="000A5329" w:rsidRPr="002029AF">
        <w:t xml:space="preserve"> </w:t>
      </w:r>
      <w:r w:rsidRPr="002029AF">
        <w:t>Contributions</w:t>
      </w:r>
      <w:r w:rsidR="000A5329" w:rsidRPr="002029AF">
        <w:t xml:space="preserve"> </w:t>
      </w:r>
      <w:r w:rsidRPr="002029AF">
        <w:t>include</w:t>
      </w:r>
      <w:r w:rsidR="000A5329" w:rsidRPr="002029AF">
        <w:t xml:space="preserve"> </w:t>
      </w:r>
      <w:r w:rsidRPr="002029AF">
        <w:t>funds</w:t>
      </w:r>
      <w:r w:rsidR="000A5329" w:rsidRPr="002029AF">
        <w:t xml:space="preserve"> </w:t>
      </w:r>
      <w:r w:rsidRPr="002029AF">
        <w:t>provided</w:t>
      </w:r>
      <w:r w:rsidR="000A5329" w:rsidRPr="002029AF">
        <w:t xml:space="preserve"> </w:t>
      </w:r>
      <w:r w:rsidRPr="002029AF">
        <w:t>by</w:t>
      </w:r>
      <w:r w:rsidR="000A5329" w:rsidRPr="002029AF">
        <w:t xml:space="preserve"> </w:t>
      </w:r>
      <w:r w:rsidRPr="002029AF">
        <w:t>the</w:t>
      </w:r>
      <w:r w:rsidR="000A5329" w:rsidRPr="002029AF">
        <w:t xml:space="preserve"> </w:t>
      </w:r>
      <w:r w:rsidRPr="002029AF">
        <w:t>Victorian,</w:t>
      </w:r>
      <w:r w:rsidR="000A5329" w:rsidRPr="002029AF">
        <w:t xml:space="preserve"> </w:t>
      </w:r>
      <w:r w:rsidRPr="002029AF">
        <w:t>Commonwealth</w:t>
      </w:r>
      <w:r w:rsidR="000A5329" w:rsidRPr="002029AF">
        <w:t xml:space="preserve"> </w:t>
      </w:r>
      <w:r w:rsidRPr="002029AF">
        <w:t>and</w:t>
      </w:r>
      <w:r w:rsidR="000A5329" w:rsidRPr="002029AF">
        <w:t xml:space="preserve"> </w:t>
      </w:r>
      <w:r w:rsidRPr="002029AF">
        <w:t>other</w:t>
      </w:r>
      <w:r w:rsidR="000A5329" w:rsidRPr="002029AF">
        <w:t xml:space="preserve"> </w:t>
      </w:r>
      <w:r w:rsidRPr="002029AF">
        <w:t>jurisdictions,</w:t>
      </w:r>
      <w:r w:rsidR="000A5329" w:rsidRPr="002029AF">
        <w:t xml:space="preserve"> </w:t>
      </w:r>
      <w:r w:rsidRPr="002029AF">
        <w:t>as</w:t>
      </w:r>
      <w:r w:rsidR="000A5329" w:rsidRPr="002029AF">
        <w:t xml:space="preserve"> </w:t>
      </w:r>
      <w:r w:rsidRPr="002029AF">
        <w:t>well</w:t>
      </w:r>
      <w:r w:rsidR="000A5329" w:rsidRPr="002029AF">
        <w:t xml:space="preserve"> </w:t>
      </w:r>
      <w:r w:rsidRPr="002029AF">
        <w:t>as</w:t>
      </w:r>
      <w:r w:rsidR="000A5329" w:rsidRPr="002029AF">
        <w:t xml:space="preserve"> </w:t>
      </w:r>
      <w:r w:rsidRPr="002029AF">
        <w:t>the</w:t>
      </w:r>
      <w:r w:rsidR="000A5329" w:rsidRPr="002029AF">
        <w:t xml:space="preserve"> </w:t>
      </w:r>
      <w:r w:rsidRPr="002029AF">
        <w:t>general</w:t>
      </w:r>
      <w:r w:rsidR="000A5329" w:rsidRPr="002029AF">
        <w:t xml:space="preserve"> </w:t>
      </w:r>
      <w:r w:rsidRPr="002029AF">
        <w:t>public,</w:t>
      </w:r>
      <w:r w:rsidR="000A5329" w:rsidRPr="002029AF">
        <w:t xml:space="preserve"> </w:t>
      </w:r>
      <w:r w:rsidRPr="002029AF">
        <w:t>for</w:t>
      </w:r>
      <w:r w:rsidR="000A5329" w:rsidRPr="002029AF">
        <w:t xml:space="preserve"> </w:t>
      </w:r>
      <w:r w:rsidRPr="002029AF">
        <w:t>the</w:t>
      </w:r>
      <w:r w:rsidR="000A5329" w:rsidRPr="002029AF">
        <w:t xml:space="preserve"> </w:t>
      </w:r>
      <w:r w:rsidRPr="002029AF">
        <w:t>above</w:t>
      </w:r>
      <w:r w:rsidR="000A5329" w:rsidRPr="002029AF">
        <w:t xml:space="preserve"> </w:t>
      </w:r>
      <w:r w:rsidRPr="002029AF">
        <w:t>purpose.</w:t>
      </w:r>
    </w:p>
    <w:p w14:paraId="527806E8" w14:textId="640FBB09" w:rsidR="00087B91" w:rsidRPr="002029AF" w:rsidRDefault="00087B91" w:rsidP="00087B91">
      <w:pPr>
        <w:pStyle w:val="ARfinbodylargespace"/>
      </w:pPr>
      <w:r w:rsidRPr="002029AF">
        <w:t>Pursuant</w:t>
      </w:r>
      <w:r w:rsidR="000A5329" w:rsidRPr="002029AF">
        <w:t xml:space="preserve"> </w:t>
      </w:r>
      <w:r w:rsidRPr="002029AF">
        <w:t>to</w:t>
      </w:r>
      <w:r w:rsidR="000A5329" w:rsidRPr="002029AF">
        <w:t xml:space="preserve"> </w:t>
      </w:r>
      <w:r w:rsidRPr="002029AF">
        <w:t>s.</w:t>
      </w:r>
      <w:r w:rsidR="000A5329" w:rsidRPr="002029AF">
        <w:t xml:space="preserve"> </w:t>
      </w:r>
      <w:r w:rsidRPr="002029AF">
        <w:t>21</w:t>
      </w:r>
      <w:r w:rsidR="000A5329" w:rsidRPr="002029AF">
        <w:t xml:space="preserve"> </w:t>
      </w:r>
      <w:r w:rsidRPr="002029AF">
        <w:t>of</w:t>
      </w:r>
      <w:r w:rsidR="000A5329" w:rsidRPr="002029AF">
        <w:t xml:space="preserve"> </w:t>
      </w:r>
      <w:r w:rsidRPr="002029AF">
        <w:t>the</w:t>
      </w:r>
      <w:r w:rsidR="000A5329" w:rsidRPr="002029AF">
        <w:t xml:space="preserve"> </w:t>
      </w:r>
      <w:r w:rsidRPr="002029AF">
        <w:rPr>
          <w:rStyle w:val="Emphasis"/>
        </w:rPr>
        <w:t>Financial</w:t>
      </w:r>
      <w:r w:rsidR="000A5329" w:rsidRPr="002029AF">
        <w:rPr>
          <w:rStyle w:val="Emphasis"/>
        </w:rPr>
        <w:t xml:space="preserve"> </w:t>
      </w:r>
      <w:r w:rsidRPr="002029AF">
        <w:rPr>
          <w:rStyle w:val="Emphasis"/>
        </w:rPr>
        <w:t>Management</w:t>
      </w:r>
      <w:r w:rsidR="000A5329" w:rsidRPr="002029AF">
        <w:rPr>
          <w:rStyle w:val="Emphasis"/>
        </w:rPr>
        <w:t xml:space="preserve"> </w:t>
      </w:r>
      <w:r w:rsidRPr="002029AF">
        <w:rPr>
          <w:rStyle w:val="Emphasis"/>
        </w:rPr>
        <w:t>Act</w:t>
      </w:r>
      <w:r w:rsidR="000A5329" w:rsidRPr="002029AF">
        <w:rPr>
          <w:rStyle w:val="Emphasis"/>
        </w:rPr>
        <w:t xml:space="preserve"> </w:t>
      </w:r>
      <w:r w:rsidRPr="002029AF">
        <w:rPr>
          <w:rStyle w:val="Emphasis"/>
        </w:rPr>
        <w:t>1994</w:t>
      </w:r>
      <w:r w:rsidRPr="002029AF">
        <w:t>,</w:t>
      </w:r>
      <w:r w:rsidR="000A5329" w:rsidRPr="002029AF">
        <w:t xml:space="preserve"> </w:t>
      </w:r>
      <w:r w:rsidRPr="002029AF">
        <w:t>monies</w:t>
      </w:r>
      <w:r w:rsidR="000A5329" w:rsidRPr="002029AF">
        <w:t xml:space="preserve"> </w:t>
      </w:r>
      <w:r w:rsidRPr="002029AF">
        <w:t>from</w:t>
      </w:r>
      <w:r w:rsidR="000A5329" w:rsidRPr="002029AF">
        <w:t xml:space="preserve"> </w:t>
      </w:r>
      <w:r w:rsidRPr="002029AF">
        <w:t>the</w:t>
      </w:r>
      <w:r w:rsidR="000A5329" w:rsidRPr="002029AF">
        <w:t xml:space="preserve"> </w:t>
      </w:r>
      <w:r w:rsidRPr="002029AF">
        <w:t>2009</w:t>
      </w:r>
      <w:r w:rsidR="000A5329" w:rsidRPr="002029AF">
        <w:t xml:space="preserve"> </w:t>
      </w:r>
      <w:r w:rsidRPr="002029AF">
        <w:t>Victorian</w:t>
      </w:r>
      <w:r w:rsidR="000A5329" w:rsidRPr="002029AF">
        <w:t xml:space="preserve"> </w:t>
      </w:r>
      <w:r w:rsidRPr="002029AF">
        <w:t>Bushfire</w:t>
      </w:r>
      <w:r w:rsidR="000A5329" w:rsidRPr="002029AF">
        <w:t xml:space="preserve"> </w:t>
      </w:r>
      <w:r w:rsidRPr="002029AF">
        <w:t>Appeal</w:t>
      </w:r>
      <w:r w:rsidR="000A5329" w:rsidRPr="002029AF">
        <w:t xml:space="preserve"> </w:t>
      </w:r>
      <w:r w:rsidRPr="002029AF">
        <w:t>Trust</w:t>
      </w:r>
      <w:r w:rsidR="000A5329" w:rsidRPr="002029AF">
        <w:t xml:space="preserve"> </w:t>
      </w:r>
      <w:r w:rsidRPr="002029AF">
        <w:t>Account</w:t>
      </w:r>
      <w:r w:rsidR="000A5329" w:rsidRPr="002029AF">
        <w:t xml:space="preserve"> </w:t>
      </w:r>
      <w:r w:rsidRPr="002029AF">
        <w:t>have</w:t>
      </w:r>
      <w:r w:rsidR="000A5329" w:rsidRPr="002029AF">
        <w:t xml:space="preserve"> </w:t>
      </w:r>
      <w:r w:rsidRPr="002029AF">
        <w:t>been</w:t>
      </w:r>
      <w:r w:rsidR="000A5329" w:rsidRPr="002029AF">
        <w:t xml:space="preserve"> </w:t>
      </w:r>
      <w:r w:rsidRPr="002029AF">
        <w:t>invested</w:t>
      </w:r>
      <w:r w:rsidR="000A5329" w:rsidRPr="002029AF">
        <w:t xml:space="preserve"> </w:t>
      </w:r>
      <w:r w:rsidRPr="002029AF">
        <w:t>as</w:t>
      </w:r>
      <w:r w:rsidR="000A5329" w:rsidRPr="002029AF">
        <w:t xml:space="preserve"> </w:t>
      </w:r>
      <w:r w:rsidRPr="002029AF">
        <w:t>allowed</w:t>
      </w:r>
      <w:r w:rsidR="000A5329" w:rsidRPr="002029AF">
        <w:t xml:space="preserve"> </w:t>
      </w:r>
      <w:r w:rsidRPr="002029AF">
        <w:t>under</w:t>
      </w:r>
      <w:r w:rsidR="000A5329" w:rsidRPr="002029AF">
        <w:t xml:space="preserve"> </w:t>
      </w:r>
      <w:r w:rsidRPr="002029AF">
        <w:t>the</w:t>
      </w:r>
      <w:r w:rsidR="000A5329" w:rsidRPr="002029AF">
        <w:t xml:space="preserve"> </w:t>
      </w:r>
      <w:r w:rsidRPr="002029AF">
        <w:rPr>
          <w:rStyle w:val="Emphasis"/>
        </w:rPr>
        <w:t>Trustee</w:t>
      </w:r>
      <w:r w:rsidR="000A5329" w:rsidRPr="002029AF">
        <w:rPr>
          <w:rStyle w:val="Emphasis"/>
        </w:rPr>
        <w:t xml:space="preserve"> </w:t>
      </w:r>
      <w:r w:rsidRPr="002029AF">
        <w:rPr>
          <w:rStyle w:val="Emphasis"/>
        </w:rPr>
        <w:t>Act</w:t>
      </w:r>
      <w:r w:rsidR="000A5329" w:rsidRPr="002029AF">
        <w:rPr>
          <w:rStyle w:val="Emphasis"/>
        </w:rPr>
        <w:t xml:space="preserve"> </w:t>
      </w:r>
      <w:r w:rsidRPr="002029AF">
        <w:rPr>
          <w:rStyle w:val="Emphasis"/>
        </w:rPr>
        <w:t>1958</w:t>
      </w:r>
      <w:r w:rsidRPr="002029AF">
        <w:t>.</w:t>
      </w:r>
      <w:r w:rsidR="000A5329" w:rsidRPr="002029AF">
        <w:t xml:space="preserve"> </w:t>
      </w:r>
      <w:r w:rsidRPr="002029AF">
        <w:t>Interest</w:t>
      </w:r>
      <w:r w:rsidR="000A5329" w:rsidRPr="002029AF">
        <w:t xml:space="preserve"> </w:t>
      </w:r>
      <w:r w:rsidRPr="002029AF">
        <w:t>earned</w:t>
      </w:r>
      <w:r w:rsidR="000A5329" w:rsidRPr="002029AF">
        <w:t xml:space="preserve"> </w:t>
      </w:r>
      <w:r w:rsidRPr="002029AF">
        <w:t>is</w:t>
      </w:r>
      <w:r w:rsidR="000A5329" w:rsidRPr="002029AF">
        <w:t xml:space="preserve"> </w:t>
      </w:r>
      <w:r w:rsidRPr="002029AF">
        <w:t>credited</w:t>
      </w:r>
      <w:r w:rsidR="000A5329" w:rsidRPr="002029AF">
        <w:t xml:space="preserve"> </w:t>
      </w:r>
      <w:r w:rsidRPr="002029AF">
        <w:t>to</w:t>
      </w:r>
      <w:r w:rsidR="000A5329" w:rsidRPr="002029AF">
        <w:t xml:space="preserve"> </w:t>
      </w:r>
      <w:r w:rsidRPr="002029AF">
        <w:t>the</w:t>
      </w:r>
      <w:r w:rsidR="000A5329" w:rsidRPr="002029AF">
        <w:t xml:space="preserve"> </w:t>
      </w:r>
      <w:r w:rsidRPr="002029AF">
        <w:t>trust</w:t>
      </w:r>
      <w:r w:rsidR="000A5329" w:rsidRPr="002029AF">
        <w:t xml:space="preserve"> </w:t>
      </w:r>
      <w:r w:rsidRPr="002029AF">
        <w:t>account.</w:t>
      </w:r>
    </w:p>
    <w:tbl>
      <w:tblPr>
        <w:tblStyle w:val="TableGrid"/>
        <w:tblW w:w="9637" w:type="dxa"/>
        <w:tblLayout w:type="fixed"/>
        <w:tblLook w:val="06A0" w:firstRow="1" w:lastRow="0" w:firstColumn="1" w:lastColumn="0" w:noHBand="1" w:noVBand="1"/>
      </w:tblPr>
      <w:tblGrid>
        <w:gridCol w:w="7371"/>
        <w:gridCol w:w="1133"/>
        <w:gridCol w:w="1133"/>
      </w:tblGrid>
      <w:tr w:rsidR="00087B91" w:rsidRPr="002029AF" w14:paraId="7ACE3196"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7371" w:type="dxa"/>
            <w:tcBorders>
              <w:bottom w:val="single" w:sz="4" w:space="0" w:color="auto"/>
            </w:tcBorders>
            <w:noWrap/>
            <w:hideMark/>
          </w:tcPr>
          <w:p w14:paraId="61ADCF6A" w14:textId="77777777" w:rsidR="00087B91" w:rsidRPr="002029AF" w:rsidRDefault="00087B91" w:rsidP="00860E95">
            <w:pPr>
              <w:pStyle w:val="ARfintablecolhead"/>
            </w:pPr>
          </w:p>
        </w:tc>
        <w:tc>
          <w:tcPr>
            <w:tcW w:w="1133" w:type="dxa"/>
            <w:tcBorders>
              <w:bottom w:val="single" w:sz="4" w:space="0" w:color="auto"/>
            </w:tcBorders>
            <w:shd w:val="clear" w:color="auto" w:fill="E7E6E6"/>
            <w:hideMark/>
          </w:tcPr>
          <w:p w14:paraId="63FB0D3E" w14:textId="77777777" w:rsidR="00087B91" w:rsidRPr="002029AF" w:rsidRDefault="00087B91" w:rsidP="00860E95">
            <w:pPr>
              <w:pStyle w:val="ARfintablecolheadright"/>
            </w:pPr>
            <w:r w:rsidRPr="002029AF">
              <w:t>2020</w:t>
            </w:r>
          </w:p>
          <w:p w14:paraId="3137E767" w14:textId="77777777" w:rsidR="00087B91" w:rsidRPr="002029AF" w:rsidRDefault="00087B91" w:rsidP="00860E95">
            <w:pPr>
              <w:pStyle w:val="ARfintablecolheadright"/>
            </w:pPr>
            <w:r w:rsidRPr="002029AF">
              <w:t>$M</w:t>
            </w:r>
          </w:p>
        </w:tc>
        <w:tc>
          <w:tcPr>
            <w:tcW w:w="1133" w:type="dxa"/>
            <w:tcBorders>
              <w:bottom w:val="single" w:sz="4" w:space="0" w:color="auto"/>
            </w:tcBorders>
            <w:hideMark/>
          </w:tcPr>
          <w:p w14:paraId="48B53921" w14:textId="77777777" w:rsidR="00087B91" w:rsidRPr="002029AF" w:rsidRDefault="00087B91" w:rsidP="00860E95">
            <w:pPr>
              <w:pStyle w:val="ARfintablecolheadright"/>
            </w:pPr>
            <w:r w:rsidRPr="002029AF">
              <w:t>2019</w:t>
            </w:r>
          </w:p>
          <w:p w14:paraId="6B5D713D" w14:textId="77777777" w:rsidR="00087B91" w:rsidRPr="002029AF" w:rsidRDefault="00087B91" w:rsidP="00860E95">
            <w:pPr>
              <w:pStyle w:val="ARfintablecolheadright"/>
            </w:pPr>
            <w:r w:rsidRPr="002029AF">
              <w:t>$M</w:t>
            </w:r>
          </w:p>
        </w:tc>
      </w:tr>
      <w:tr w:rsidR="00087B91" w:rsidRPr="002029AF" w14:paraId="6C66F561" w14:textId="77777777" w:rsidTr="00860E95">
        <w:tc>
          <w:tcPr>
            <w:tcW w:w="9637" w:type="dxa"/>
            <w:gridSpan w:val="3"/>
            <w:tcBorders>
              <w:top w:val="single" w:sz="4" w:space="0" w:color="auto"/>
              <w:bottom w:val="single" w:sz="4" w:space="0" w:color="A6A6A6"/>
            </w:tcBorders>
            <w:hideMark/>
          </w:tcPr>
          <w:p w14:paraId="53512E38" w14:textId="4231B7CF" w:rsidR="00087B91" w:rsidRPr="002029AF" w:rsidRDefault="00087B91" w:rsidP="00860E95">
            <w:pPr>
              <w:pStyle w:val="ARfintablebodybold"/>
            </w:pPr>
            <w:r w:rsidRPr="002029AF">
              <w:t>2009</w:t>
            </w:r>
            <w:r w:rsidR="000A5329" w:rsidRPr="002029AF">
              <w:t xml:space="preserve"> </w:t>
            </w:r>
            <w:r w:rsidRPr="002029AF">
              <w:t>Victorian</w:t>
            </w:r>
            <w:r w:rsidR="000A5329" w:rsidRPr="002029AF">
              <w:t xml:space="preserve"> </w:t>
            </w:r>
            <w:r w:rsidRPr="002029AF">
              <w:t>Bushfire</w:t>
            </w:r>
            <w:r w:rsidR="000A5329" w:rsidRPr="002029AF">
              <w:t xml:space="preserve"> </w:t>
            </w:r>
            <w:r w:rsidRPr="002029AF">
              <w:t>Appeal</w:t>
            </w:r>
            <w:r w:rsidR="000A5329" w:rsidRPr="002029AF">
              <w:t xml:space="preserve"> </w:t>
            </w:r>
            <w:r w:rsidRPr="002029AF">
              <w:t>Trust</w:t>
            </w:r>
            <w:r w:rsidR="000A5329" w:rsidRPr="002029AF">
              <w:t xml:space="preserve"> </w:t>
            </w:r>
            <w:r w:rsidRPr="002029AF">
              <w:t>account</w:t>
            </w:r>
          </w:p>
        </w:tc>
      </w:tr>
      <w:tr w:rsidR="00087B91" w:rsidRPr="002029AF" w14:paraId="589ADBE7" w14:textId="77777777" w:rsidTr="00860E95">
        <w:tc>
          <w:tcPr>
            <w:tcW w:w="7371" w:type="dxa"/>
            <w:tcBorders>
              <w:top w:val="single" w:sz="4" w:space="0" w:color="A6A6A6"/>
              <w:bottom w:val="single" w:sz="4" w:space="0" w:color="A6A6A6"/>
            </w:tcBorders>
            <w:hideMark/>
          </w:tcPr>
          <w:p w14:paraId="44E07EAD" w14:textId="5559BCD1" w:rsidR="00087B91" w:rsidRPr="002029AF" w:rsidRDefault="00087B91" w:rsidP="00860E95">
            <w:pPr>
              <w:pStyle w:val="ARfintablebody"/>
            </w:pPr>
            <w:r w:rsidRPr="002029AF">
              <w:t>Cash</w:t>
            </w:r>
            <w:r w:rsidR="000A5329" w:rsidRPr="002029AF">
              <w:t xml:space="preserve"> </w:t>
            </w:r>
            <w:r w:rsidRPr="002029AF">
              <w:t>at</w:t>
            </w:r>
            <w:r w:rsidR="000A5329" w:rsidRPr="002029AF">
              <w:t xml:space="preserve"> </w:t>
            </w:r>
            <w:r w:rsidRPr="002029AF">
              <w:t>bank</w:t>
            </w:r>
          </w:p>
        </w:tc>
        <w:tc>
          <w:tcPr>
            <w:tcW w:w="1133" w:type="dxa"/>
            <w:tcBorders>
              <w:top w:val="single" w:sz="4" w:space="0" w:color="A6A6A6"/>
              <w:bottom w:val="single" w:sz="4" w:space="0" w:color="A6A6A6"/>
            </w:tcBorders>
            <w:shd w:val="clear" w:color="auto" w:fill="E7E6E6"/>
            <w:noWrap/>
            <w:hideMark/>
          </w:tcPr>
          <w:p w14:paraId="7368972C" w14:textId="77777777" w:rsidR="00087B91" w:rsidRPr="002029AF" w:rsidRDefault="00087B91" w:rsidP="00860E95">
            <w:pPr>
              <w:pStyle w:val="ARfintablebodyright"/>
            </w:pPr>
            <w:r w:rsidRPr="002029AF">
              <w:t>–</w:t>
            </w:r>
          </w:p>
        </w:tc>
        <w:tc>
          <w:tcPr>
            <w:tcW w:w="1133" w:type="dxa"/>
            <w:tcBorders>
              <w:top w:val="single" w:sz="4" w:space="0" w:color="A6A6A6"/>
              <w:bottom w:val="single" w:sz="4" w:space="0" w:color="A6A6A6"/>
            </w:tcBorders>
            <w:noWrap/>
            <w:hideMark/>
          </w:tcPr>
          <w:p w14:paraId="0E7C7B82" w14:textId="77777777" w:rsidR="00087B91" w:rsidRPr="002029AF" w:rsidRDefault="00087B91" w:rsidP="00860E95">
            <w:pPr>
              <w:pStyle w:val="ARfintablebodyright"/>
            </w:pPr>
            <w:r w:rsidRPr="002029AF">
              <w:t>0.8</w:t>
            </w:r>
          </w:p>
        </w:tc>
      </w:tr>
      <w:tr w:rsidR="00087B91" w:rsidRPr="002029AF" w14:paraId="176289CC" w14:textId="77777777" w:rsidTr="00860E95">
        <w:tc>
          <w:tcPr>
            <w:tcW w:w="7371" w:type="dxa"/>
            <w:tcBorders>
              <w:top w:val="single" w:sz="4" w:space="0" w:color="A6A6A6"/>
            </w:tcBorders>
            <w:hideMark/>
          </w:tcPr>
          <w:p w14:paraId="47F3172B" w14:textId="77777777" w:rsidR="00087B91" w:rsidRPr="002029AF" w:rsidRDefault="00087B91" w:rsidP="00860E95">
            <w:pPr>
              <w:pStyle w:val="ARfintablebody"/>
            </w:pPr>
            <w:r w:rsidRPr="002029AF">
              <w:t>Receivable</w:t>
            </w:r>
          </w:p>
        </w:tc>
        <w:tc>
          <w:tcPr>
            <w:tcW w:w="1133" w:type="dxa"/>
            <w:tcBorders>
              <w:top w:val="single" w:sz="4" w:space="0" w:color="A6A6A6"/>
            </w:tcBorders>
            <w:shd w:val="clear" w:color="auto" w:fill="E7E6E6"/>
            <w:noWrap/>
            <w:hideMark/>
          </w:tcPr>
          <w:p w14:paraId="53CC95D3" w14:textId="77777777" w:rsidR="00087B91" w:rsidRPr="002029AF" w:rsidRDefault="00087B91" w:rsidP="00860E95">
            <w:pPr>
              <w:pStyle w:val="ARfintablebodyright"/>
            </w:pPr>
            <w:r w:rsidRPr="002029AF">
              <w:t>0.1</w:t>
            </w:r>
          </w:p>
        </w:tc>
        <w:tc>
          <w:tcPr>
            <w:tcW w:w="1133" w:type="dxa"/>
            <w:tcBorders>
              <w:top w:val="single" w:sz="4" w:space="0" w:color="A6A6A6"/>
            </w:tcBorders>
            <w:noWrap/>
            <w:hideMark/>
          </w:tcPr>
          <w:p w14:paraId="6A9CAB3F" w14:textId="77777777" w:rsidR="00087B91" w:rsidRPr="002029AF" w:rsidRDefault="00087B91" w:rsidP="00860E95">
            <w:pPr>
              <w:pStyle w:val="ARfintablebodyright"/>
            </w:pPr>
            <w:r w:rsidRPr="002029AF">
              <w:t>0.1</w:t>
            </w:r>
          </w:p>
        </w:tc>
      </w:tr>
      <w:tr w:rsidR="00087B91" w:rsidRPr="002029AF" w14:paraId="695E877A" w14:textId="77777777" w:rsidTr="00860E95">
        <w:tc>
          <w:tcPr>
            <w:tcW w:w="7371" w:type="dxa"/>
            <w:tcBorders>
              <w:bottom w:val="single" w:sz="4" w:space="0" w:color="auto"/>
            </w:tcBorders>
            <w:hideMark/>
          </w:tcPr>
          <w:p w14:paraId="3A4D1EE4" w14:textId="06A8C081" w:rsidR="00087B91" w:rsidRPr="002029AF" w:rsidRDefault="00087B91" w:rsidP="00860E95">
            <w:pPr>
              <w:pStyle w:val="ARfintablebodybold"/>
            </w:pPr>
            <w:r w:rsidRPr="002029AF">
              <w:t>Total</w:t>
            </w:r>
            <w:r w:rsidR="000A5329" w:rsidRPr="002029AF">
              <w:t xml:space="preserve"> </w:t>
            </w:r>
            <w:r w:rsidRPr="002029AF">
              <w:t>funds</w:t>
            </w:r>
            <w:r w:rsidR="000A5329" w:rsidRPr="002029AF">
              <w:t xml:space="preserve"> </w:t>
            </w:r>
            <w:r w:rsidRPr="002029AF">
              <w:t>under</w:t>
            </w:r>
            <w:r w:rsidR="000A5329" w:rsidRPr="002029AF">
              <w:t xml:space="preserve"> </w:t>
            </w:r>
            <w:r w:rsidRPr="002029AF">
              <w:t>management</w:t>
            </w:r>
          </w:p>
        </w:tc>
        <w:tc>
          <w:tcPr>
            <w:tcW w:w="1133" w:type="dxa"/>
            <w:tcBorders>
              <w:bottom w:val="single" w:sz="4" w:space="0" w:color="auto"/>
            </w:tcBorders>
            <w:shd w:val="clear" w:color="auto" w:fill="E7E6E6"/>
            <w:noWrap/>
            <w:hideMark/>
          </w:tcPr>
          <w:p w14:paraId="3BA6EB1E" w14:textId="77777777" w:rsidR="00087B91" w:rsidRPr="002029AF" w:rsidRDefault="00087B91" w:rsidP="00860E95">
            <w:pPr>
              <w:pStyle w:val="ARfintablebodyrightbold"/>
            </w:pPr>
            <w:r w:rsidRPr="002029AF">
              <w:t>0.1</w:t>
            </w:r>
          </w:p>
        </w:tc>
        <w:tc>
          <w:tcPr>
            <w:tcW w:w="1133" w:type="dxa"/>
            <w:tcBorders>
              <w:bottom w:val="single" w:sz="4" w:space="0" w:color="auto"/>
            </w:tcBorders>
            <w:noWrap/>
            <w:hideMark/>
          </w:tcPr>
          <w:p w14:paraId="0D96B305" w14:textId="77777777" w:rsidR="00087B91" w:rsidRPr="002029AF" w:rsidRDefault="00087B91" w:rsidP="00860E95">
            <w:pPr>
              <w:pStyle w:val="ARfintablebodyrightbold"/>
            </w:pPr>
            <w:r w:rsidRPr="002029AF">
              <w:t>0.9</w:t>
            </w:r>
          </w:p>
        </w:tc>
      </w:tr>
      <w:tr w:rsidR="00087B91" w:rsidRPr="002029AF" w14:paraId="2F1E63DF" w14:textId="77777777" w:rsidTr="00860E95">
        <w:tc>
          <w:tcPr>
            <w:tcW w:w="7371" w:type="dxa"/>
            <w:tcBorders>
              <w:top w:val="single" w:sz="4" w:space="0" w:color="auto"/>
              <w:bottom w:val="single" w:sz="4" w:space="0" w:color="A6A6A6"/>
            </w:tcBorders>
            <w:hideMark/>
          </w:tcPr>
          <w:p w14:paraId="6A804A28" w14:textId="48151A9B" w:rsidR="00087B91" w:rsidRPr="002029AF" w:rsidRDefault="00087B91" w:rsidP="00860E95">
            <w:pPr>
              <w:pStyle w:val="ARfintablebody"/>
            </w:pPr>
            <w:r w:rsidRPr="002029AF">
              <w:t>Balance</w:t>
            </w:r>
            <w:r w:rsidR="000A5329" w:rsidRPr="002029AF">
              <w:t xml:space="preserve"> </w:t>
            </w:r>
            <w:r w:rsidRPr="002029AF">
              <w:t>of</w:t>
            </w:r>
            <w:r w:rsidR="000A5329" w:rsidRPr="002029AF">
              <w:t xml:space="preserve"> </w:t>
            </w:r>
            <w:r w:rsidRPr="002029AF">
              <w:t>funds</w:t>
            </w:r>
            <w:r w:rsidR="000A5329" w:rsidRPr="002029AF">
              <w:t xml:space="preserve"> </w:t>
            </w:r>
            <w:r w:rsidRPr="002029AF">
              <w:t>brought</w:t>
            </w:r>
            <w:r w:rsidR="000A5329" w:rsidRPr="002029AF">
              <w:t xml:space="preserve"> </w:t>
            </w:r>
            <w:r w:rsidRPr="002029AF">
              <w:t>forward</w:t>
            </w:r>
            <w:r w:rsidR="000A5329" w:rsidRPr="002029AF">
              <w:t xml:space="preserve"> </w:t>
            </w:r>
            <w:r w:rsidRPr="002029AF">
              <w:t>1</w:t>
            </w:r>
            <w:r w:rsidR="000A5329" w:rsidRPr="002029AF">
              <w:t xml:space="preserve"> </w:t>
            </w:r>
            <w:r w:rsidRPr="002029AF">
              <w:t>July</w:t>
            </w:r>
            <w:r w:rsidR="000A5329" w:rsidRPr="002029AF">
              <w:t xml:space="preserve"> </w:t>
            </w:r>
            <w:r w:rsidRPr="002029AF">
              <w:t>2019</w:t>
            </w:r>
          </w:p>
        </w:tc>
        <w:tc>
          <w:tcPr>
            <w:tcW w:w="1133" w:type="dxa"/>
            <w:tcBorders>
              <w:top w:val="single" w:sz="4" w:space="0" w:color="auto"/>
              <w:bottom w:val="single" w:sz="4" w:space="0" w:color="A6A6A6"/>
            </w:tcBorders>
            <w:shd w:val="clear" w:color="auto" w:fill="E7E6E6"/>
            <w:noWrap/>
            <w:hideMark/>
          </w:tcPr>
          <w:p w14:paraId="56A9BD84" w14:textId="77777777" w:rsidR="00087B91" w:rsidRPr="002029AF" w:rsidRDefault="00087B91" w:rsidP="00860E95">
            <w:pPr>
              <w:pStyle w:val="ARfintablebodyright"/>
            </w:pPr>
            <w:r w:rsidRPr="002029AF">
              <w:t>0.9</w:t>
            </w:r>
          </w:p>
        </w:tc>
        <w:tc>
          <w:tcPr>
            <w:tcW w:w="1133" w:type="dxa"/>
            <w:tcBorders>
              <w:top w:val="single" w:sz="4" w:space="0" w:color="auto"/>
              <w:bottom w:val="single" w:sz="4" w:space="0" w:color="A6A6A6"/>
            </w:tcBorders>
            <w:noWrap/>
            <w:hideMark/>
          </w:tcPr>
          <w:p w14:paraId="48D85AC0" w14:textId="77777777" w:rsidR="00087B91" w:rsidRPr="002029AF" w:rsidRDefault="00087B91" w:rsidP="00860E95">
            <w:pPr>
              <w:pStyle w:val="ARfintablebodyright"/>
            </w:pPr>
            <w:r w:rsidRPr="002029AF">
              <w:t>1.0</w:t>
            </w:r>
          </w:p>
        </w:tc>
      </w:tr>
      <w:tr w:rsidR="00087B91" w:rsidRPr="002029AF" w14:paraId="4295F203" w14:textId="77777777" w:rsidTr="00860E95">
        <w:tc>
          <w:tcPr>
            <w:tcW w:w="7371" w:type="dxa"/>
            <w:tcBorders>
              <w:top w:val="single" w:sz="4" w:space="0" w:color="A6A6A6"/>
            </w:tcBorders>
            <w:hideMark/>
          </w:tcPr>
          <w:p w14:paraId="3BEA3FF9" w14:textId="675BD548" w:rsidR="00087B91" w:rsidRPr="002029AF" w:rsidRDefault="00087B91" w:rsidP="00860E95">
            <w:pPr>
              <w:pStyle w:val="ARfintablebody"/>
            </w:pPr>
            <w:r w:rsidRPr="002029AF">
              <w:t>Interest</w:t>
            </w:r>
            <w:r w:rsidR="000A5329" w:rsidRPr="002029AF">
              <w:t xml:space="preserve"> </w:t>
            </w:r>
            <w:r w:rsidRPr="002029AF">
              <w:t>earned</w:t>
            </w:r>
          </w:p>
        </w:tc>
        <w:tc>
          <w:tcPr>
            <w:tcW w:w="1133" w:type="dxa"/>
            <w:tcBorders>
              <w:top w:val="single" w:sz="4" w:space="0" w:color="A6A6A6"/>
            </w:tcBorders>
            <w:shd w:val="clear" w:color="auto" w:fill="E7E6E6"/>
            <w:noWrap/>
            <w:hideMark/>
          </w:tcPr>
          <w:p w14:paraId="24A504C2" w14:textId="77777777" w:rsidR="00087B91" w:rsidRPr="002029AF" w:rsidRDefault="00087B91" w:rsidP="00860E95">
            <w:pPr>
              <w:pStyle w:val="ARfintablebodyright"/>
            </w:pPr>
            <w:r w:rsidRPr="002029AF">
              <w:t>–</w:t>
            </w:r>
          </w:p>
        </w:tc>
        <w:tc>
          <w:tcPr>
            <w:tcW w:w="1133" w:type="dxa"/>
            <w:tcBorders>
              <w:top w:val="single" w:sz="4" w:space="0" w:color="A6A6A6"/>
            </w:tcBorders>
            <w:noWrap/>
            <w:hideMark/>
          </w:tcPr>
          <w:p w14:paraId="69B43D06" w14:textId="77777777" w:rsidR="00087B91" w:rsidRPr="002029AF" w:rsidRDefault="00087B91" w:rsidP="00860E95">
            <w:pPr>
              <w:pStyle w:val="ARfintablebodyright"/>
            </w:pPr>
            <w:r w:rsidRPr="002029AF">
              <w:t>–</w:t>
            </w:r>
          </w:p>
        </w:tc>
      </w:tr>
      <w:tr w:rsidR="00087B91" w:rsidRPr="002029AF" w14:paraId="03FD8310" w14:textId="77777777" w:rsidTr="00860E95">
        <w:tc>
          <w:tcPr>
            <w:tcW w:w="7371" w:type="dxa"/>
            <w:hideMark/>
          </w:tcPr>
          <w:p w14:paraId="0D7226F9" w14:textId="2CA707CA" w:rsidR="00087B91" w:rsidRPr="002029AF" w:rsidRDefault="00087B91" w:rsidP="00860E95">
            <w:pPr>
              <w:pStyle w:val="ARfintablebodybold"/>
            </w:pPr>
            <w:r w:rsidRPr="002029AF">
              <w:t>Total</w:t>
            </w:r>
            <w:r w:rsidR="000A5329" w:rsidRPr="002029AF">
              <w:t xml:space="preserve"> </w:t>
            </w:r>
            <w:r w:rsidRPr="002029AF">
              <w:t>funds</w:t>
            </w:r>
            <w:r w:rsidR="000A5329" w:rsidRPr="002029AF">
              <w:t xml:space="preserve"> </w:t>
            </w:r>
            <w:r w:rsidRPr="002029AF">
              <w:t>available</w:t>
            </w:r>
          </w:p>
        </w:tc>
        <w:tc>
          <w:tcPr>
            <w:tcW w:w="1133" w:type="dxa"/>
            <w:shd w:val="clear" w:color="auto" w:fill="E7E6E6"/>
            <w:noWrap/>
            <w:hideMark/>
          </w:tcPr>
          <w:p w14:paraId="6F4DD5AD" w14:textId="77777777" w:rsidR="00087B91" w:rsidRPr="002029AF" w:rsidRDefault="00087B91" w:rsidP="00860E95">
            <w:pPr>
              <w:pStyle w:val="ARfintablebodyrightbold"/>
            </w:pPr>
            <w:r w:rsidRPr="002029AF">
              <w:t>0.9</w:t>
            </w:r>
          </w:p>
        </w:tc>
        <w:tc>
          <w:tcPr>
            <w:tcW w:w="1133" w:type="dxa"/>
            <w:noWrap/>
            <w:hideMark/>
          </w:tcPr>
          <w:p w14:paraId="180B4908" w14:textId="77777777" w:rsidR="00087B91" w:rsidRPr="002029AF" w:rsidRDefault="00087B91" w:rsidP="00860E95">
            <w:pPr>
              <w:pStyle w:val="ARfintablebodyrightbold"/>
            </w:pPr>
            <w:r w:rsidRPr="002029AF">
              <w:t>1.0</w:t>
            </w:r>
          </w:p>
        </w:tc>
      </w:tr>
      <w:tr w:rsidR="00087B91" w:rsidRPr="002029AF" w14:paraId="5437404F" w14:textId="77777777" w:rsidTr="00860E95">
        <w:tc>
          <w:tcPr>
            <w:tcW w:w="7371" w:type="dxa"/>
            <w:hideMark/>
          </w:tcPr>
          <w:p w14:paraId="2F99B768" w14:textId="1B601EBF" w:rsidR="00087B91" w:rsidRPr="002029AF" w:rsidRDefault="00087B91" w:rsidP="00860E95">
            <w:pPr>
              <w:pStyle w:val="ARfintablebody"/>
            </w:pPr>
            <w:r w:rsidRPr="002029AF">
              <w:t>Payments</w:t>
            </w:r>
            <w:r w:rsidR="000A5329" w:rsidRPr="002029AF">
              <w:t xml:space="preserve"> </w:t>
            </w:r>
            <w:r w:rsidRPr="002029AF">
              <w:t>to</w:t>
            </w:r>
            <w:r w:rsidR="000A5329" w:rsidRPr="002029AF">
              <w:t xml:space="preserve"> </w:t>
            </w:r>
            <w:r w:rsidRPr="002029AF">
              <w:t>individuals</w:t>
            </w:r>
            <w:r w:rsidR="000A5329" w:rsidRPr="002029AF">
              <w:t xml:space="preserve"> </w:t>
            </w:r>
            <w:r w:rsidRPr="002029AF">
              <w:t>and</w:t>
            </w:r>
            <w:r w:rsidR="000A5329" w:rsidRPr="002029AF">
              <w:t xml:space="preserve"> </w:t>
            </w:r>
            <w:r w:rsidRPr="002029AF">
              <w:t>communities</w:t>
            </w:r>
          </w:p>
        </w:tc>
        <w:tc>
          <w:tcPr>
            <w:tcW w:w="1133" w:type="dxa"/>
            <w:shd w:val="clear" w:color="auto" w:fill="E7E6E6"/>
            <w:noWrap/>
            <w:hideMark/>
          </w:tcPr>
          <w:p w14:paraId="371DEC45" w14:textId="77777777" w:rsidR="00087B91" w:rsidRPr="002029AF" w:rsidRDefault="00087B91" w:rsidP="00860E95">
            <w:pPr>
              <w:pStyle w:val="ARfintablebodyright"/>
            </w:pPr>
            <w:r w:rsidRPr="002029AF">
              <w:t>0.8</w:t>
            </w:r>
          </w:p>
        </w:tc>
        <w:tc>
          <w:tcPr>
            <w:tcW w:w="1133" w:type="dxa"/>
            <w:noWrap/>
            <w:hideMark/>
          </w:tcPr>
          <w:p w14:paraId="11FDE497" w14:textId="77777777" w:rsidR="00087B91" w:rsidRPr="002029AF" w:rsidRDefault="00087B91" w:rsidP="00860E95">
            <w:pPr>
              <w:pStyle w:val="ARfintablebodyright"/>
            </w:pPr>
            <w:r w:rsidRPr="002029AF">
              <w:t>0.1</w:t>
            </w:r>
          </w:p>
        </w:tc>
      </w:tr>
      <w:tr w:rsidR="00087B91" w:rsidRPr="002029AF" w14:paraId="08C3A52D" w14:textId="77777777" w:rsidTr="00860E95">
        <w:tc>
          <w:tcPr>
            <w:tcW w:w="7371" w:type="dxa"/>
            <w:hideMark/>
          </w:tcPr>
          <w:p w14:paraId="66AAED2A" w14:textId="748F6A36" w:rsidR="00087B91" w:rsidRPr="002029AF" w:rsidRDefault="00087B91" w:rsidP="00860E95">
            <w:pPr>
              <w:pStyle w:val="ARfintablebodybold"/>
            </w:pPr>
            <w:r w:rsidRPr="002029AF">
              <w:t>Total</w:t>
            </w:r>
            <w:r w:rsidR="000A5329" w:rsidRPr="002029AF">
              <w:t xml:space="preserve"> </w:t>
            </w:r>
            <w:r w:rsidRPr="002029AF">
              <w:t>payments</w:t>
            </w:r>
          </w:p>
        </w:tc>
        <w:tc>
          <w:tcPr>
            <w:tcW w:w="1133" w:type="dxa"/>
            <w:shd w:val="clear" w:color="auto" w:fill="E7E6E6"/>
            <w:noWrap/>
            <w:hideMark/>
          </w:tcPr>
          <w:p w14:paraId="465955A0" w14:textId="77777777" w:rsidR="00087B91" w:rsidRPr="002029AF" w:rsidRDefault="00087B91" w:rsidP="00860E95">
            <w:pPr>
              <w:pStyle w:val="ARfintablebodyrightbold"/>
            </w:pPr>
            <w:r w:rsidRPr="002029AF">
              <w:t>0.8</w:t>
            </w:r>
          </w:p>
        </w:tc>
        <w:tc>
          <w:tcPr>
            <w:tcW w:w="1133" w:type="dxa"/>
            <w:noWrap/>
            <w:hideMark/>
          </w:tcPr>
          <w:p w14:paraId="6C36AE25" w14:textId="77777777" w:rsidR="00087B91" w:rsidRPr="002029AF" w:rsidRDefault="00087B91" w:rsidP="00860E95">
            <w:pPr>
              <w:pStyle w:val="ARfintablebodyrightbold"/>
            </w:pPr>
            <w:r w:rsidRPr="002029AF">
              <w:t>0.1</w:t>
            </w:r>
          </w:p>
        </w:tc>
      </w:tr>
      <w:tr w:rsidR="00087B91" w:rsidRPr="002029AF" w14:paraId="36BB6964" w14:textId="77777777" w:rsidTr="00860E95">
        <w:tc>
          <w:tcPr>
            <w:tcW w:w="7371" w:type="dxa"/>
            <w:hideMark/>
          </w:tcPr>
          <w:p w14:paraId="54A459D5" w14:textId="1F976BFA" w:rsidR="00087B91" w:rsidRPr="002029AF" w:rsidRDefault="00087B91" w:rsidP="00860E95">
            <w:pPr>
              <w:pStyle w:val="ARfintablebodybold"/>
            </w:pPr>
            <w:r w:rsidRPr="002029AF">
              <w:t>Balance</w:t>
            </w:r>
            <w:r w:rsidR="000A5329" w:rsidRPr="002029AF">
              <w:t xml:space="preserve"> </w:t>
            </w:r>
            <w:r w:rsidRPr="002029AF">
              <w:t>carried</w:t>
            </w:r>
            <w:r w:rsidR="000A5329" w:rsidRPr="002029AF">
              <w:t xml:space="preserve"> </w:t>
            </w:r>
            <w:r w:rsidRPr="002029AF">
              <w:t>forward</w:t>
            </w:r>
          </w:p>
        </w:tc>
        <w:tc>
          <w:tcPr>
            <w:tcW w:w="1133" w:type="dxa"/>
            <w:shd w:val="clear" w:color="auto" w:fill="E7E6E6"/>
            <w:noWrap/>
            <w:hideMark/>
          </w:tcPr>
          <w:p w14:paraId="401719D8" w14:textId="77777777" w:rsidR="00087B91" w:rsidRPr="002029AF" w:rsidRDefault="00087B91" w:rsidP="00860E95">
            <w:pPr>
              <w:pStyle w:val="ARfintablebodyrightbold"/>
            </w:pPr>
            <w:r w:rsidRPr="002029AF">
              <w:t>0.1</w:t>
            </w:r>
          </w:p>
        </w:tc>
        <w:tc>
          <w:tcPr>
            <w:tcW w:w="1133" w:type="dxa"/>
            <w:noWrap/>
            <w:hideMark/>
          </w:tcPr>
          <w:p w14:paraId="514748A9" w14:textId="77777777" w:rsidR="00087B91" w:rsidRPr="002029AF" w:rsidRDefault="00087B91" w:rsidP="00860E95">
            <w:pPr>
              <w:pStyle w:val="ARfintablebodyrightbold"/>
            </w:pPr>
            <w:r w:rsidRPr="002029AF">
              <w:t>0.9</w:t>
            </w:r>
          </w:p>
        </w:tc>
      </w:tr>
    </w:tbl>
    <w:p w14:paraId="4EC6EDAE" w14:textId="77777777" w:rsidR="00087B91" w:rsidRPr="002029AF" w:rsidRDefault="00087B91" w:rsidP="00087B91">
      <w:pPr>
        <w:pStyle w:val="ARfinbody"/>
      </w:pPr>
      <w:r w:rsidRPr="002029AF">
        <w:br w:type="page"/>
      </w:r>
    </w:p>
    <w:p w14:paraId="40990992" w14:textId="7FED170F" w:rsidR="00087B91" w:rsidRPr="002029AF" w:rsidRDefault="00087B91" w:rsidP="00087B91">
      <w:pPr>
        <w:pStyle w:val="Heading4"/>
      </w:pPr>
      <w:bookmarkStart w:id="371" w:name="_Toc39242160"/>
      <w:r w:rsidRPr="002029AF">
        <w:lastRenderedPageBreak/>
        <w:t>7.5</w:t>
      </w:r>
      <w:r w:rsidR="000A5329" w:rsidRPr="002029AF">
        <w:t xml:space="preserve"> </w:t>
      </w:r>
      <w:r w:rsidRPr="002029AF">
        <w:t>Commitments</w:t>
      </w:r>
      <w:r w:rsidR="000A5329" w:rsidRPr="002029AF">
        <w:t xml:space="preserve"> </w:t>
      </w:r>
      <w:r w:rsidRPr="002029AF">
        <w:t>for</w:t>
      </w:r>
      <w:r w:rsidR="000A5329" w:rsidRPr="002029AF">
        <w:t xml:space="preserve"> </w:t>
      </w:r>
      <w:r w:rsidRPr="002029AF">
        <w:t>expenditure</w:t>
      </w:r>
      <w:bookmarkEnd w:id="371"/>
    </w:p>
    <w:p w14:paraId="4A110C51" w14:textId="21C678BF" w:rsidR="00087B91" w:rsidRPr="002029AF" w:rsidRDefault="00087B91" w:rsidP="00087B91">
      <w:pPr>
        <w:pStyle w:val="ARfinbody"/>
      </w:pPr>
      <w:r w:rsidRPr="002029AF">
        <w:t>Commitments</w:t>
      </w:r>
      <w:r w:rsidR="000A5329" w:rsidRPr="002029AF">
        <w:t xml:space="preserve"> </w:t>
      </w:r>
      <w:r w:rsidRPr="002029AF">
        <w:t>for</w:t>
      </w:r>
      <w:r w:rsidR="000A5329" w:rsidRPr="002029AF">
        <w:t xml:space="preserve"> </w:t>
      </w:r>
      <w:r w:rsidRPr="002029AF">
        <w:t>future</w:t>
      </w:r>
      <w:r w:rsidR="000A5329" w:rsidRPr="002029AF">
        <w:t xml:space="preserve"> </w:t>
      </w:r>
      <w:r w:rsidRPr="002029AF">
        <w:t>expenditure</w:t>
      </w:r>
      <w:r w:rsidR="000A5329" w:rsidRPr="002029AF">
        <w:t xml:space="preserve"> </w:t>
      </w:r>
      <w:r w:rsidRPr="002029AF">
        <w:t>include</w:t>
      </w:r>
      <w:r w:rsidR="000A5329" w:rsidRPr="002029AF">
        <w:t xml:space="preserve"> </w:t>
      </w:r>
      <w:r w:rsidRPr="002029AF">
        <w:t>operating</w:t>
      </w:r>
      <w:r w:rsidR="000A5329" w:rsidRPr="002029AF">
        <w:t xml:space="preserve"> </w:t>
      </w:r>
      <w:r w:rsidRPr="002029AF">
        <w:t>and</w:t>
      </w:r>
      <w:r w:rsidR="000A5329" w:rsidRPr="002029AF">
        <w:t xml:space="preserve"> </w:t>
      </w:r>
      <w:r w:rsidRPr="002029AF">
        <w:t>capital</w:t>
      </w:r>
      <w:r w:rsidR="000A5329" w:rsidRPr="002029AF">
        <w:t xml:space="preserve"> </w:t>
      </w:r>
      <w:r w:rsidRPr="002029AF">
        <w:t>commitments</w:t>
      </w:r>
      <w:r w:rsidR="000A5329" w:rsidRPr="002029AF">
        <w:t xml:space="preserve"> </w:t>
      </w:r>
      <w:r w:rsidRPr="002029AF">
        <w:t>arising</w:t>
      </w:r>
      <w:r w:rsidR="000A5329" w:rsidRPr="002029AF">
        <w:t xml:space="preserve"> </w:t>
      </w:r>
      <w:r w:rsidRPr="002029AF">
        <w:t>from</w:t>
      </w:r>
      <w:r w:rsidR="000A5329" w:rsidRPr="002029AF">
        <w:t xml:space="preserve"> </w:t>
      </w:r>
      <w:r w:rsidRPr="002029AF">
        <w:t>contracts.</w:t>
      </w:r>
      <w:r w:rsidR="000A5329" w:rsidRPr="002029AF">
        <w:t xml:space="preserve"> </w:t>
      </w:r>
      <w:r w:rsidRPr="002029AF">
        <w:t>These</w:t>
      </w:r>
      <w:r w:rsidR="000A5329" w:rsidRPr="002029AF">
        <w:t xml:space="preserve"> </w:t>
      </w:r>
      <w:r w:rsidRPr="002029AF">
        <w:t>commitments</w:t>
      </w:r>
      <w:r w:rsidR="000A5329" w:rsidRPr="002029AF">
        <w:t xml:space="preserve"> </w:t>
      </w:r>
      <w:r w:rsidRPr="002029AF">
        <w:t>are</w:t>
      </w:r>
      <w:r w:rsidR="000A5329" w:rsidRPr="002029AF">
        <w:t xml:space="preserve"> </w:t>
      </w:r>
      <w:r w:rsidRPr="002029AF">
        <w:t>recorded</w:t>
      </w:r>
      <w:r w:rsidR="000A5329" w:rsidRPr="002029AF">
        <w:t xml:space="preserve"> </w:t>
      </w:r>
      <w:r w:rsidRPr="002029AF">
        <w:t>below</w:t>
      </w:r>
      <w:r w:rsidR="000A5329" w:rsidRPr="002029AF">
        <w:t xml:space="preserve"> </w:t>
      </w:r>
      <w:r w:rsidRPr="002029AF">
        <w:t>at</w:t>
      </w:r>
      <w:r w:rsidR="000A5329" w:rsidRPr="002029AF">
        <w:t xml:space="preserve"> </w:t>
      </w:r>
      <w:r w:rsidRPr="002029AF">
        <w:t>their</w:t>
      </w:r>
      <w:r w:rsidR="000A5329" w:rsidRPr="002029AF">
        <w:t xml:space="preserve"> </w:t>
      </w:r>
      <w:r w:rsidRPr="002029AF">
        <w:t>nominal</w:t>
      </w:r>
      <w:r w:rsidR="000A5329" w:rsidRPr="002029AF">
        <w:t xml:space="preserve"> </w:t>
      </w:r>
      <w:r w:rsidRPr="002029AF">
        <w:t>value</w:t>
      </w:r>
      <w:r w:rsidR="000A5329" w:rsidRPr="002029AF">
        <w:t xml:space="preserve"> </w:t>
      </w:r>
      <w:r w:rsidRPr="002029AF">
        <w:t>and</w:t>
      </w:r>
      <w:r w:rsidR="000A5329" w:rsidRPr="002029AF">
        <w:t xml:space="preserve"> </w:t>
      </w:r>
      <w:r w:rsidRPr="002029AF">
        <w:t>inclusive</w:t>
      </w:r>
      <w:r w:rsidR="000A5329" w:rsidRPr="002029AF">
        <w:t xml:space="preserve"> </w:t>
      </w:r>
      <w:r w:rsidRPr="002029AF">
        <w:t>of</w:t>
      </w:r>
      <w:r w:rsidR="000A5329" w:rsidRPr="002029AF">
        <w:t xml:space="preserve"> </w:t>
      </w:r>
      <w:r w:rsidRPr="002029AF">
        <w:t>GST.</w:t>
      </w:r>
      <w:r w:rsidR="000A5329" w:rsidRPr="002029AF">
        <w:t xml:space="preserve"> </w:t>
      </w:r>
      <w:r w:rsidRPr="002029AF">
        <w:t>These</w:t>
      </w:r>
      <w:r w:rsidR="000A5329" w:rsidRPr="002029AF">
        <w:t xml:space="preserve"> </w:t>
      </w:r>
      <w:r w:rsidRPr="002029AF">
        <w:t>future</w:t>
      </w:r>
      <w:r w:rsidR="000A5329" w:rsidRPr="002029AF">
        <w:t xml:space="preserve"> </w:t>
      </w:r>
      <w:r w:rsidRPr="002029AF">
        <w:t>expenditures</w:t>
      </w:r>
      <w:r w:rsidR="000A5329" w:rsidRPr="002029AF">
        <w:t xml:space="preserve"> </w:t>
      </w:r>
      <w:r w:rsidRPr="002029AF">
        <w:t>cease</w:t>
      </w:r>
      <w:r w:rsidR="000A5329" w:rsidRPr="002029AF">
        <w:t xml:space="preserve"> </w:t>
      </w:r>
      <w:r w:rsidRPr="002029AF">
        <w:t>to</w:t>
      </w:r>
      <w:r w:rsidR="000A5329" w:rsidRPr="002029AF">
        <w:t xml:space="preserve"> </w:t>
      </w:r>
      <w:r w:rsidRPr="002029AF">
        <w:t>be</w:t>
      </w:r>
      <w:r w:rsidR="000A5329" w:rsidRPr="002029AF">
        <w:t xml:space="preserve"> </w:t>
      </w:r>
      <w:r w:rsidRPr="002029AF">
        <w:t>disclosed</w:t>
      </w:r>
      <w:r w:rsidR="000A5329" w:rsidRPr="002029AF">
        <w:t xml:space="preserve"> </w:t>
      </w:r>
      <w:r w:rsidRPr="002029AF">
        <w:t>as</w:t>
      </w:r>
      <w:r w:rsidR="000A5329" w:rsidRPr="002029AF">
        <w:t xml:space="preserve"> </w:t>
      </w:r>
      <w:r w:rsidRPr="002029AF">
        <w:t>commitments</w:t>
      </w:r>
      <w:r w:rsidR="000A5329" w:rsidRPr="002029AF">
        <w:t xml:space="preserve"> </w:t>
      </w:r>
      <w:r w:rsidRPr="002029AF">
        <w:t>once</w:t>
      </w:r>
      <w:r w:rsidR="000A5329" w:rsidRPr="002029AF">
        <w:t xml:space="preserve"> </w:t>
      </w:r>
      <w:r w:rsidRPr="002029AF">
        <w:t>the</w:t>
      </w:r>
      <w:r w:rsidR="007920F7" w:rsidRPr="002029AF">
        <w:t> </w:t>
      </w:r>
      <w:r w:rsidRPr="002029AF">
        <w:t>related</w:t>
      </w:r>
      <w:r w:rsidR="000A5329" w:rsidRPr="002029AF">
        <w:t xml:space="preserve"> </w:t>
      </w:r>
      <w:r w:rsidRPr="002029AF">
        <w:t>liabilities</w:t>
      </w:r>
      <w:r w:rsidR="000A5329" w:rsidRPr="002029AF">
        <w:t xml:space="preserve"> </w:t>
      </w:r>
      <w:r w:rsidRPr="002029AF">
        <w:t>are</w:t>
      </w:r>
      <w:r w:rsidR="000A5329" w:rsidRPr="002029AF">
        <w:t xml:space="preserve"> </w:t>
      </w:r>
      <w:r w:rsidRPr="002029AF">
        <w:t>recognised</w:t>
      </w:r>
      <w:r w:rsidR="000A5329" w:rsidRPr="002029AF">
        <w:t xml:space="preserve"> </w:t>
      </w:r>
      <w:r w:rsidRPr="002029AF">
        <w:t>in</w:t>
      </w:r>
      <w:r w:rsidR="000A5329" w:rsidRPr="002029AF">
        <w:t xml:space="preserve"> </w:t>
      </w:r>
      <w:r w:rsidRPr="002029AF">
        <w:t>the</w:t>
      </w:r>
      <w:r w:rsidR="000A5329" w:rsidRPr="002029AF">
        <w:t xml:space="preserve"> </w:t>
      </w:r>
      <w:r w:rsidRPr="002029AF">
        <w:t>balance</w:t>
      </w:r>
      <w:r w:rsidR="000A5329" w:rsidRPr="002029AF">
        <w:t xml:space="preserve"> </w:t>
      </w:r>
      <w:r w:rsidRPr="002029AF">
        <w:t>sheet.</w:t>
      </w:r>
    </w:p>
    <w:p w14:paraId="0B1256F2" w14:textId="17D6E962" w:rsidR="00087B91" w:rsidRPr="002029AF" w:rsidRDefault="00087B91" w:rsidP="00087B91">
      <w:pPr>
        <w:pStyle w:val="Heading5"/>
      </w:pPr>
      <w:r w:rsidRPr="002029AF">
        <w:t>7.5.1</w:t>
      </w:r>
      <w:r w:rsidR="000A5329" w:rsidRPr="002029AF">
        <w:t xml:space="preserve"> </w:t>
      </w:r>
      <w:r w:rsidRPr="002029AF">
        <w:t>Total</w:t>
      </w:r>
      <w:r w:rsidR="000A5329" w:rsidRPr="002029AF">
        <w:t xml:space="preserve"> </w:t>
      </w:r>
      <w:r w:rsidRPr="002029AF">
        <w:t>commitments</w:t>
      </w:r>
      <w:r w:rsidR="000A5329" w:rsidRPr="002029AF">
        <w:t xml:space="preserve"> </w:t>
      </w:r>
      <w:r w:rsidRPr="002029AF">
        <w:t>payable</w:t>
      </w:r>
      <w:r w:rsidR="000A5329" w:rsidRPr="002029AF">
        <w:t xml:space="preserve"> </w:t>
      </w:r>
      <w:r w:rsidRPr="002029AF">
        <w:rPr>
          <w:rStyle w:val="Superscript"/>
        </w:rPr>
        <w:t>(i)</w:t>
      </w:r>
    </w:p>
    <w:tbl>
      <w:tblPr>
        <w:tblStyle w:val="TableGrid"/>
        <w:tblW w:w="9637" w:type="dxa"/>
        <w:tblLayout w:type="fixed"/>
        <w:tblLook w:val="06A0" w:firstRow="1" w:lastRow="0" w:firstColumn="1" w:lastColumn="0" w:noHBand="1" w:noVBand="1"/>
      </w:tblPr>
      <w:tblGrid>
        <w:gridCol w:w="7371"/>
        <w:gridCol w:w="1133"/>
        <w:gridCol w:w="1133"/>
      </w:tblGrid>
      <w:tr w:rsidR="00087B91" w:rsidRPr="002029AF" w14:paraId="51F5BB19"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7371" w:type="dxa"/>
            <w:noWrap/>
            <w:hideMark/>
          </w:tcPr>
          <w:p w14:paraId="599E3B62" w14:textId="77777777" w:rsidR="00087B91" w:rsidRPr="002029AF" w:rsidRDefault="00087B91" w:rsidP="00860E95">
            <w:pPr>
              <w:pStyle w:val="ARfintablecolhead"/>
            </w:pPr>
          </w:p>
        </w:tc>
        <w:tc>
          <w:tcPr>
            <w:tcW w:w="1133" w:type="dxa"/>
            <w:shd w:val="clear" w:color="auto" w:fill="E7E6E6"/>
            <w:hideMark/>
          </w:tcPr>
          <w:p w14:paraId="265904A8" w14:textId="77777777" w:rsidR="00087B91" w:rsidRPr="002029AF" w:rsidRDefault="00087B91" w:rsidP="00860E95">
            <w:pPr>
              <w:pStyle w:val="ARfintablecolheadright"/>
            </w:pPr>
            <w:r w:rsidRPr="002029AF">
              <w:t>2020</w:t>
            </w:r>
          </w:p>
          <w:p w14:paraId="401463A5" w14:textId="77777777" w:rsidR="00087B91" w:rsidRPr="002029AF" w:rsidRDefault="00087B91" w:rsidP="00860E95">
            <w:pPr>
              <w:pStyle w:val="ARfintablecolheadright"/>
            </w:pPr>
            <w:r w:rsidRPr="002029AF">
              <w:t>$M</w:t>
            </w:r>
          </w:p>
        </w:tc>
        <w:tc>
          <w:tcPr>
            <w:tcW w:w="1133" w:type="dxa"/>
            <w:hideMark/>
          </w:tcPr>
          <w:p w14:paraId="693F76C6" w14:textId="77777777" w:rsidR="00087B91" w:rsidRPr="002029AF" w:rsidRDefault="00087B91" w:rsidP="00860E95">
            <w:pPr>
              <w:pStyle w:val="ARfintablecolheadright"/>
            </w:pPr>
            <w:r w:rsidRPr="002029AF">
              <w:t>2019</w:t>
            </w:r>
          </w:p>
          <w:p w14:paraId="42BC6EDC" w14:textId="77777777" w:rsidR="00087B91" w:rsidRPr="002029AF" w:rsidRDefault="00087B91" w:rsidP="00860E95">
            <w:pPr>
              <w:pStyle w:val="ARfintablecolheadright"/>
            </w:pPr>
            <w:r w:rsidRPr="002029AF">
              <w:t>$M</w:t>
            </w:r>
          </w:p>
        </w:tc>
      </w:tr>
      <w:tr w:rsidR="00087B91" w:rsidRPr="002029AF" w14:paraId="314A7475" w14:textId="77777777" w:rsidTr="00860E95">
        <w:tc>
          <w:tcPr>
            <w:tcW w:w="9637" w:type="dxa"/>
            <w:gridSpan w:val="3"/>
            <w:tcBorders>
              <w:bottom w:val="single" w:sz="4" w:space="0" w:color="auto"/>
            </w:tcBorders>
            <w:hideMark/>
          </w:tcPr>
          <w:p w14:paraId="5B178B5E" w14:textId="4A6A06B6" w:rsidR="00087B91" w:rsidRPr="002029AF" w:rsidRDefault="00087B91" w:rsidP="00860E95">
            <w:pPr>
              <w:pStyle w:val="ARfintablebody"/>
              <w:spacing w:before="20" w:line="240" w:lineRule="auto"/>
              <w:rPr>
                <w:b/>
                <w:bCs/>
              </w:rPr>
            </w:pPr>
            <w:r w:rsidRPr="002029AF">
              <w:t>The</w:t>
            </w:r>
            <w:r w:rsidR="000A5329" w:rsidRPr="002029AF">
              <w:t xml:space="preserve"> </w:t>
            </w:r>
            <w:r w:rsidRPr="002029AF">
              <w:t>following</w:t>
            </w:r>
            <w:r w:rsidR="000A5329" w:rsidRPr="002029AF">
              <w:t xml:space="preserve"> </w:t>
            </w:r>
            <w:r w:rsidRPr="002029AF">
              <w:t>commitments</w:t>
            </w:r>
            <w:r w:rsidR="000A5329" w:rsidRPr="002029AF">
              <w:t xml:space="preserve"> </w:t>
            </w:r>
            <w:r w:rsidRPr="002029AF">
              <w:t>have</w:t>
            </w:r>
            <w:r w:rsidR="000A5329" w:rsidRPr="002029AF">
              <w:t xml:space="preserve"> </w:t>
            </w:r>
            <w:r w:rsidRPr="002029AF">
              <w:t>not</w:t>
            </w:r>
            <w:r w:rsidR="000A5329" w:rsidRPr="002029AF">
              <w:t xml:space="preserve"> </w:t>
            </w:r>
            <w:r w:rsidRPr="002029AF">
              <w:t>been</w:t>
            </w:r>
            <w:r w:rsidR="000A5329" w:rsidRPr="002029AF">
              <w:t xml:space="preserve"> </w:t>
            </w:r>
            <w:r w:rsidRPr="002029AF">
              <w:t>recognised</w:t>
            </w:r>
            <w:r w:rsidR="000A5329" w:rsidRPr="002029AF">
              <w:t xml:space="preserve"> </w:t>
            </w:r>
            <w:r w:rsidRPr="002029AF">
              <w:t>as</w:t>
            </w:r>
            <w:r w:rsidR="000A5329" w:rsidRPr="002029AF">
              <w:t xml:space="preserve"> </w:t>
            </w:r>
            <w:r w:rsidRPr="002029AF">
              <w:t>liabilities</w:t>
            </w:r>
            <w:r w:rsidR="000A5329" w:rsidRPr="002029AF">
              <w:t xml:space="preserve"> </w:t>
            </w:r>
            <w:r w:rsidRPr="002029AF">
              <w:t>in</w:t>
            </w:r>
            <w:r w:rsidR="000A5329" w:rsidRPr="002029AF">
              <w:t xml:space="preserve"> </w:t>
            </w:r>
            <w:r w:rsidRPr="002029AF">
              <w:t>the</w:t>
            </w:r>
            <w:r w:rsidR="000A5329" w:rsidRPr="002029AF">
              <w:t xml:space="preserve"> </w:t>
            </w:r>
            <w:r w:rsidRPr="002029AF">
              <w:t>financial</w:t>
            </w:r>
            <w:r w:rsidR="000A5329" w:rsidRPr="002029AF">
              <w:t xml:space="preserve"> </w:t>
            </w:r>
            <w:r w:rsidRPr="002029AF">
              <w:t>statements.</w:t>
            </w:r>
          </w:p>
        </w:tc>
      </w:tr>
      <w:tr w:rsidR="00087B91" w:rsidRPr="002029AF" w14:paraId="2F0DAC8A" w14:textId="77777777" w:rsidTr="00860E95">
        <w:tc>
          <w:tcPr>
            <w:tcW w:w="9637" w:type="dxa"/>
            <w:gridSpan w:val="3"/>
            <w:tcBorders>
              <w:top w:val="single" w:sz="4" w:space="0" w:color="auto"/>
              <w:bottom w:val="single" w:sz="4" w:space="0" w:color="A6A6A6"/>
            </w:tcBorders>
            <w:hideMark/>
          </w:tcPr>
          <w:p w14:paraId="10628825" w14:textId="74A6D2EA" w:rsidR="00087B91" w:rsidRPr="002029AF" w:rsidRDefault="00087B91" w:rsidP="00860E95">
            <w:pPr>
              <w:pStyle w:val="ARfintablebodybold"/>
              <w:spacing w:before="20" w:line="240" w:lineRule="auto"/>
            </w:pPr>
            <w:r w:rsidRPr="002029AF">
              <w:t>(a)</w:t>
            </w:r>
            <w:r w:rsidR="000A5329" w:rsidRPr="002029AF">
              <w:t xml:space="preserve"> </w:t>
            </w:r>
            <w:r w:rsidRPr="002029AF">
              <w:t>Capital</w:t>
            </w:r>
            <w:r w:rsidR="000A5329" w:rsidRPr="002029AF">
              <w:t xml:space="preserve"> </w:t>
            </w:r>
            <w:r w:rsidRPr="002029AF">
              <w:t>expenditure</w:t>
            </w:r>
            <w:r w:rsidR="000A5329" w:rsidRPr="002029AF">
              <w:t xml:space="preserve"> </w:t>
            </w:r>
            <w:r w:rsidRPr="002029AF">
              <w:t>commitments</w:t>
            </w:r>
            <w:r w:rsidR="000A5329" w:rsidRPr="002029AF">
              <w:t xml:space="preserve"> </w:t>
            </w:r>
            <w:r w:rsidRPr="002029AF">
              <w:rPr>
                <w:rStyle w:val="Superscript"/>
              </w:rPr>
              <w:t>(ii)</w:t>
            </w:r>
          </w:p>
        </w:tc>
      </w:tr>
      <w:tr w:rsidR="00087B91" w:rsidRPr="002029AF" w14:paraId="54A13A3A" w14:textId="77777777" w:rsidTr="00860E95">
        <w:tc>
          <w:tcPr>
            <w:tcW w:w="7371" w:type="dxa"/>
            <w:tcBorders>
              <w:top w:val="single" w:sz="4" w:space="0" w:color="A6A6A6"/>
              <w:bottom w:val="single" w:sz="4" w:space="0" w:color="A6A6A6"/>
            </w:tcBorders>
            <w:hideMark/>
          </w:tcPr>
          <w:p w14:paraId="3AA0ED58" w14:textId="1B5953EE" w:rsidR="00087B91" w:rsidRPr="002029AF" w:rsidRDefault="00087B91" w:rsidP="00860E95">
            <w:pPr>
              <w:pStyle w:val="ARfintablebody"/>
              <w:spacing w:before="20" w:line="240" w:lineRule="auto"/>
            </w:pPr>
            <w:r w:rsidRPr="002029AF">
              <w:t>Less</w:t>
            </w:r>
            <w:r w:rsidR="000A5329" w:rsidRPr="002029AF">
              <w:t xml:space="preserve"> </w:t>
            </w:r>
            <w:r w:rsidRPr="002029AF">
              <w:t>than</w:t>
            </w:r>
            <w:r w:rsidR="000A5329" w:rsidRPr="002029AF">
              <w:t xml:space="preserve"> </w:t>
            </w:r>
            <w:r w:rsidRPr="002029AF">
              <w:t>1</w:t>
            </w:r>
            <w:r w:rsidR="000A5329" w:rsidRPr="002029AF">
              <w:t xml:space="preserve"> </w:t>
            </w:r>
            <w:r w:rsidRPr="002029AF">
              <w:t>year</w:t>
            </w:r>
          </w:p>
        </w:tc>
        <w:tc>
          <w:tcPr>
            <w:tcW w:w="1133" w:type="dxa"/>
            <w:tcBorders>
              <w:top w:val="single" w:sz="4" w:space="0" w:color="A6A6A6"/>
              <w:bottom w:val="single" w:sz="4" w:space="0" w:color="A6A6A6"/>
            </w:tcBorders>
            <w:shd w:val="clear" w:color="auto" w:fill="E7E6E6"/>
            <w:noWrap/>
            <w:hideMark/>
          </w:tcPr>
          <w:p w14:paraId="4ABE202F" w14:textId="77777777" w:rsidR="00087B91" w:rsidRPr="002029AF" w:rsidRDefault="00087B91" w:rsidP="00860E95">
            <w:pPr>
              <w:pStyle w:val="ARfintablebodyright"/>
              <w:spacing w:before="20" w:line="240" w:lineRule="auto"/>
            </w:pPr>
            <w:r w:rsidRPr="002029AF">
              <w:t>399.8</w:t>
            </w:r>
          </w:p>
        </w:tc>
        <w:tc>
          <w:tcPr>
            <w:tcW w:w="1133" w:type="dxa"/>
            <w:tcBorders>
              <w:top w:val="single" w:sz="4" w:space="0" w:color="A6A6A6"/>
              <w:bottom w:val="single" w:sz="4" w:space="0" w:color="A6A6A6"/>
            </w:tcBorders>
            <w:noWrap/>
            <w:hideMark/>
          </w:tcPr>
          <w:p w14:paraId="7AE59565" w14:textId="77777777" w:rsidR="00087B91" w:rsidRPr="002029AF" w:rsidRDefault="00087B91" w:rsidP="00860E95">
            <w:pPr>
              <w:pStyle w:val="ARfintablebodyright"/>
              <w:spacing w:before="20" w:line="240" w:lineRule="auto"/>
            </w:pPr>
            <w:r w:rsidRPr="002029AF">
              <w:t>270.7</w:t>
            </w:r>
          </w:p>
        </w:tc>
      </w:tr>
      <w:tr w:rsidR="00087B91" w:rsidRPr="002029AF" w14:paraId="30F9F976" w14:textId="77777777" w:rsidTr="00860E95">
        <w:tc>
          <w:tcPr>
            <w:tcW w:w="7371" w:type="dxa"/>
            <w:tcBorders>
              <w:top w:val="single" w:sz="4" w:space="0" w:color="A6A6A6"/>
              <w:bottom w:val="single" w:sz="4" w:space="0" w:color="A6A6A6"/>
            </w:tcBorders>
            <w:hideMark/>
          </w:tcPr>
          <w:p w14:paraId="4843AAB2" w14:textId="48BF8186" w:rsidR="00087B91" w:rsidRPr="002029AF" w:rsidRDefault="00087B91" w:rsidP="00860E95">
            <w:pPr>
              <w:pStyle w:val="ARfintablebody"/>
              <w:spacing w:before="20" w:line="240" w:lineRule="auto"/>
            </w:pPr>
            <w:r w:rsidRPr="002029AF">
              <w:t>Longer</w:t>
            </w:r>
            <w:r w:rsidR="000A5329" w:rsidRPr="002029AF">
              <w:t xml:space="preserve"> </w:t>
            </w:r>
            <w:r w:rsidRPr="002029AF">
              <w:t>than</w:t>
            </w:r>
            <w:r w:rsidR="000A5329" w:rsidRPr="002029AF">
              <w:t xml:space="preserve"> </w:t>
            </w:r>
            <w:r w:rsidRPr="002029AF">
              <w:t>1</w:t>
            </w:r>
            <w:r w:rsidR="000A5329" w:rsidRPr="002029AF">
              <w:t xml:space="preserve"> </w:t>
            </w:r>
            <w:r w:rsidRPr="002029AF">
              <w:t>year</w:t>
            </w:r>
            <w:r w:rsidR="000A5329" w:rsidRPr="002029AF">
              <w:t xml:space="preserve"> </w:t>
            </w:r>
            <w:r w:rsidRPr="002029AF">
              <w:t>and</w:t>
            </w:r>
            <w:r w:rsidR="000A5329" w:rsidRPr="002029AF">
              <w:t xml:space="preserve"> </w:t>
            </w:r>
            <w:r w:rsidRPr="002029AF">
              <w:t>not</w:t>
            </w:r>
            <w:r w:rsidR="000A5329" w:rsidRPr="002029AF">
              <w:t xml:space="preserve"> </w:t>
            </w:r>
            <w:r w:rsidRPr="002029AF">
              <w:t>longer</w:t>
            </w:r>
            <w:r w:rsidR="000A5329" w:rsidRPr="002029AF">
              <w:t xml:space="preserve"> </w:t>
            </w:r>
            <w:r w:rsidRPr="002029AF">
              <w:t>than</w:t>
            </w:r>
            <w:r w:rsidR="000A5329" w:rsidRPr="002029AF">
              <w:t xml:space="preserve"> </w:t>
            </w:r>
            <w:r w:rsidRPr="002029AF">
              <w:t>5</w:t>
            </w:r>
            <w:r w:rsidR="000A5329" w:rsidRPr="002029AF">
              <w:t xml:space="preserve"> </w:t>
            </w:r>
            <w:r w:rsidRPr="002029AF">
              <w:t>years</w:t>
            </w:r>
          </w:p>
        </w:tc>
        <w:tc>
          <w:tcPr>
            <w:tcW w:w="1133" w:type="dxa"/>
            <w:tcBorders>
              <w:top w:val="single" w:sz="4" w:space="0" w:color="A6A6A6"/>
              <w:bottom w:val="single" w:sz="4" w:space="0" w:color="A6A6A6"/>
            </w:tcBorders>
            <w:shd w:val="clear" w:color="auto" w:fill="E7E6E6"/>
            <w:noWrap/>
            <w:hideMark/>
          </w:tcPr>
          <w:p w14:paraId="66F85085" w14:textId="77777777" w:rsidR="00087B91" w:rsidRPr="002029AF" w:rsidRDefault="00087B91" w:rsidP="00860E95">
            <w:pPr>
              <w:pStyle w:val="ARfintablebodyright"/>
              <w:spacing w:before="20" w:line="240" w:lineRule="auto"/>
            </w:pPr>
            <w:r w:rsidRPr="002029AF">
              <w:t>345.9</w:t>
            </w:r>
          </w:p>
        </w:tc>
        <w:tc>
          <w:tcPr>
            <w:tcW w:w="1133" w:type="dxa"/>
            <w:tcBorders>
              <w:top w:val="single" w:sz="4" w:space="0" w:color="A6A6A6"/>
              <w:bottom w:val="single" w:sz="4" w:space="0" w:color="A6A6A6"/>
            </w:tcBorders>
            <w:noWrap/>
            <w:hideMark/>
          </w:tcPr>
          <w:p w14:paraId="5F35E0B2" w14:textId="77777777" w:rsidR="00087B91" w:rsidRPr="002029AF" w:rsidRDefault="00087B91" w:rsidP="00860E95">
            <w:pPr>
              <w:pStyle w:val="ARfintablebodyright"/>
              <w:spacing w:before="20" w:line="240" w:lineRule="auto"/>
            </w:pPr>
            <w:r w:rsidRPr="002029AF">
              <w:t>522.1</w:t>
            </w:r>
          </w:p>
        </w:tc>
      </w:tr>
      <w:tr w:rsidR="00087B91" w:rsidRPr="002029AF" w14:paraId="5DAC48D5" w14:textId="77777777" w:rsidTr="00860E95">
        <w:tc>
          <w:tcPr>
            <w:tcW w:w="7371" w:type="dxa"/>
            <w:tcBorders>
              <w:top w:val="single" w:sz="4" w:space="0" w:color="A6A6A6"/>
            </w:tcBorders>
            <w:hideMark/>
          </w:tcPr>
          <w:p w14:paraId="00E3F3D2" w14:textId="161AF14C" w:rsidR="00087B91" w:rsidRPr="002029AF" w:rsidRDefault="00087B91" w:rsidP="00860E95">
            <w:pPr>
              <w:pStyle w:val="ARfintablebody"/>
              <w:spacing w:before="20" w:line="240" w:lineRule="auto"/>
            </w:pPr>
            <w:r w:rsidRPr="002029AF">
              <w:t>Longer</w:t>
            </w:r>
            <w:r w:rsidR="000A5329" w:rsidRPr="002029AF">
              <w:t xml:space="preserve"> </w:t>
            </w:r>
            <w:r w:rsidRPr="002029AF">
              <w:t>than</w:t>
            </w:r>
            <w:r w:rsidR="000A5329" w:rsidRPr="002029AF">
              <w:t xml:space="preserve"> </w:t>
            </w:r>
            <w:r w:rsidRPr="002029AF">
              <w:t>5</w:t>
            </w:r>
            <w:r w:rsidR="000A5329" w:rsidRPr="002029AF">
              <w:t xml:space="preserve"> </w:t>
            </w:r>
            <w:r w:rsidRPr="002029AF">
              <w:t>years</w:t>
            </w:r>
          </w:p>
        </w:tc>
        <w:tc>
          <w:tcPr>
            <w:tcW w:w="1133" w:type="dxa"/>
            <w:tcBorders>
              <w:top w:val="single" w:sz="4" w:space="0" w:color="A6A6A6"/>
            </w:tcBorders>
            <w:shd w:val="clear" w:color="auto" w:fill="E7E6E6"/>
            <w:noWrap/>
            <w:hideMark/>
          </w:tcPr>
          <w:p w14:paraId="440D6B7F" w14:textId="77777777" w:rsidR="00087B91" w:rsidRPr="002029AF" w:rsidRDefault="00087B91" w:rsidP="00860E95">
            <w:pPr>
              <w:pStyle w:val="ARfintablebodyright"/>
              <w:spacing w:before="20" w:line="240" w:lineRule="auto"/>
            </w:pPr>
            <w:r w:rsidRPr="002029AF">
              <w:t>–</w:t>
            </w:r>
          </w:p>
        </w:tc>
        <w:tc>
          <w:tcPr>
            <w:tcW w:w="1133" w:type="dxa"/>
            <w:tcBorders>
              <w:top w:val="single" w:sz="4" w:space="0" w:color="A6A6A6"/>
            </w:tcBorders>
            <w:noWrap/>
            <w:hideMark/>
          </w:tcPr>
          <w:p w14:paraId="51E1C76C" w14:textId="77777777" w:rsidR="00087B91" w:rsidRPr="002029AF" w:rsidRDefault="00087B91" w:rsidP="00860E95">
            <w:pPr>
              <w:pStyle w:val="ARfintablebodyright"/>
              <w:spacing w:before="20" w:line="240" w:lineRule="auto"/>
            </w:pPr>
            <w:r w:rsidRPr="002029AF">
              <w:t>0.1</w:t>
            </w:r>
          </w:p>
        </w:tc>
      </w:tr>
      <w:tr w:rsidR="00087B91" w:rsidRPr="002029AF" w14:paraId="617A65DC" w14:textId="77777777" w:rsidTr="00860E95">
        <w:tc>
          <w:tcPr>
            <w:tcW w:w="7371" w:type="dxa"/>
            <w:tcBorders>
              <w:bottom w:val="single" w:sz="4" w:space="0" w:color="auto"/>
            </w:tcBorders>
            <w:hideMark/>
          </w:tcPr>
          <w:p w14:paraId="357301F9" w14:textId="640231DF" w:rsidR="00087B91" w:rsidRPr="002029AF" w:rsidRDefault="00087B91" w:rsidP="00860E95">
            <w:pPr>
              <w:pStyle w:val="ARfintablebodybold"/>
              <w:spacing w:before="20" w:line="240" w:lineRule="auto"/>
            </w:pPr>
            <w:r w:rsidRPr="002029AF">
              <w:t>Total</w:t>
            </w:r>
            <w:r w:rsidR="000A5329" w:rsidRPr="002029AF">
              <w:t xml:space="preserve"> </w:t>
            </w:r>
            <w:r w:rsidRPr="002029AF">
              <w:t>capital</w:t>
            </w:r>
            <w:r w:rsidR="000A5329" w:rsidRPr="002029AF">
              <w:t xml:space="preserve"> </w:t>
            </w:r>
            <w:r w:rsidRPr="002029AF">
              <w:t>commitments</w:t>
            </w:r>
          </w:p>
        </w:tc>
        <w:tc>
          <w:tcPr>
            <w:tcW w:w="1133" w:type="dxa"/>
            <w:tcBorders>
              <w:bottom w:val="single" w:sz="4" w:space="0" w:color="auto"/>
            </w:tcBorders>
            <w:shd w:val="clear" w:color="auto" w:fill="E7E6E6"/>
            <w:noWrap/>
            <w:hideMark/>
          </w:tcPr>
          <w:p w14:paraId="181F8B32" w14:textId="77777777" w:rsidR="00087B91" w:rsidRPr="002029AF" w:rsidRDefault="00087B91" w:rsidP="00860E95">
            <w:pPr>
              <w:pStyle w:val="ARfintablebodyrightbold"/>
              <w:spacing w:before="20"/>
            </w:pPr>
            <w:r w:rsidRPr="002029AF">
              <w:t>745.7</w:t>
            </w:r>
          </w:p>
        </w:tc>
        <w:tc>
          <w:tcPr>
            <w:tcW w:w="1133" w:type="dxa"/>
            <w:tcBorders>
              <w:bottom w:val="single" w:sz="4" w:space="0" w:color="auto"/>
            </w:tcBorders>
            <w:noWrap/>
            <w:hideMark/>
          </w:tcPr>
          <w:p w14:paraId="0D2BB98F" w14:textId="77777777" w:rsidR="00087B91" w:rsidRPr="002029AF" w:rsidRDefault="00087B91" w:rsidP="00860E95">
            <w:pPr>
              <w:pStyle w:val="ARfintablebodyrightbold"/>
              <w:spacing w:before="20"/>
            </w:pPr>
            <w:r w:rsidRPr="002029AF">
              <w:t>792.9</w:t>
            </w:r>
          </w:p>
        </w:tc>
      </w:tr>
      <w:tr w:rsidR="00087B91" w:rsidRPr="002029AF" w14:paraId="09AD16F0" w14:textId="77777777" w:rsidTr="00860E95">
        <w:tc>
          <w:tcPr>
            <w:tcW w:w="9637" w:type="dxa"/>
            <w:gridSpan w:val="3"/>
            <w:tcBorders>
              <w:top w:val="single" w:sz="4" w:space="0" w:color="auto"/>
              <w:bottom w:val="single" w:sz="4" w:space="0" w:color="A6A6A6"/>
            </w:tcBorders>
            <w:hideMark/>
          </w:tcPr>
          <w:p w14:paraId="2FA28AA1" w14:textId="4017C086" w:rsidR="00087B91" w:rsidRPr="002029AF" w:rsidRDefault="00087B91" w:rsidP="00860E95">
            <w:pPr>
              <w:pStyle w:val="ARfintablebodybold"/>
              <w:spacing w:before="20" w:line="240" w:lineRule="auto"/>
            </w:pPr>
            <w:r w:rsidRPr="002029AF">
              <w:t>(b)</w:t>
            </w:r>
            <w:r w:rsidR="000A5329" w:rsidRPr="002029AF">
              <w:t xml:space="preserve"> </w:t>
            </w:r>
            <w:r w:rsidRPr="002029AF">
              <w:t>Operating</w:t>
            </w:r>
            <w:r w:rsidR="000A5329" w:rsidRPr="002029AF">
              <w:t xml:space="preserve"> </w:t>
            </w:r>
            <w:r w:rsidRPr="002029AF">
              <w:t>lease</w:t>
            </w:r>
            <w:r w:rsidR="000A5329" w:rsidRPr="002029AF">
              <w:t xml:space="preserve"> </w:t>
            </w:r>
            <w:r w:rsidRPr="002029AF">
              <w:t>commitments</w:t>
            </w:r>
            <w:r w:rsidR="000A5329" w:rsidRPr="002029AF">
              <w:t xml:space="preserve"> </w:t>
            </w:r>
            <w:r w:rsidRPr="002029AF">
              <w:rPr>
                <w:rStyle w:val="Superscript"/>
              </w:rPr>
              <w:t>(ii)</w:t>
            </w:r>
          </w:p>
        </w:tc>
      </w:tr>
      <w:tr w:rsidR="00087B91" w:rsidRPr="002029AF" w14:paraId="6451A8B5" w14:textId="77777777" w:rsidTr="00860E95">
        <w:tc>
          <w:tcPr>
            <w:tcW w:w="7371" w:type="dxa"/>
            <w:tcBorders>
              <w:top w:val="single" w:sz="4" w:space="0" w:color="A6A6A6"/>
              <w:bottom w:val="single" w:sz="4" w:space="0" w:color="A6A6A6"/>
            </w:tcBorders>
            <w:hideMark/>
          </w:tcPr>
          <w:p w14:paraId="50559D80" w14:textId="4D5F76DC" w:rsidR="00087B91" w:rsidRPr="002029AF" w:rsidRDefault="00087B91" w:rsidP="00860E95">
            <w:pPr>
              <w:pStyle w:val="ARfintablebody"/>
              <w:spacing w:before="20" w:line="240" w:lineRule="auto"/>
            </w:pPr>
            <w:r w:rsidRPr="002029AF">
              <w:t>Less</w:t>
            </w:r>
            <w:r w:rsidR="000A5329" w:rsidRPr="002029AF">
              <w:t xml:space="preserve"> </w:t>
            </w:r>
            <w:r w:rsidRPr="002029AF">
              <w:t>than</w:t>
            </w:r>
            <w:r w:rsidR="000A5329" w:rsidRPr="002029AF">
              <w:t xml:space="preserve"> </w:t>
            </w:r>
            <w:r w:rsidRPr="002029AF">
              <w:t>1</w:t>
            </w:r>
            <w:r w:rsidR="000A5329" w:rsidRPr="002029AF">
              <w:t xml:space="preserve"> </w:t>
            </w:r>
            <w:r w:rsidRPr="002029AF">
              <w:t>year</w:t>
            </w:r>
          </w:p>
        </w:tc>
        <w:tc>
          <w:tcPr>
            <w:tcW w:w="1133" w:type="dxa"/>
            <w:tcBorders>
              <w:top w:val="single" w:sz="4" w:space="0" w:color="A6A6A6"/>
              <w:bottom w:val="single" w:sz="4" w:space="0" w:color="A6A6A6"/>
            </w:tcBorders>
            <w:shd w:val="clear" w:color="auto" w:fill="E7E6E6"/>
            <w:noWrap/>
            <w:hideMark/>
          </w:tcPr>
          <w:p w14:paraId="7F8806B2" w14:textId="77777777" w:rsidR="00087B91" w:rsidRPr="002029AF" w:rsidRDefault="00087B91" w:rsidP="00860E95">
            <w:pPr>
              <w:pStyle w:val="ARfintablebodyright"/>
              <w:spacing w:before="20" w:line="240" w:lineRule="auto"/>
            </w:pPr>
            <w:r w:rsidRPr="002029AF">
              <w:t>–</w:t>
            </w:r>
          </w:p>
        </w:tc>
        <w:tc>
          <w:tcPr>
            <w:tcW w:w="1133" w:type="dxa"/>
            <w:tcBorders>
              <w:top w:val="single" w:sz="4" w:space="0" w:color="A6A6A6"/>
              <w:bottom w:val="single" w:sz="4" w:space="0" w:color="A6A6A6"/>
            </w:tcBorders>
            <w:noWrap/>
            <w:hideMark/>
          </w:tcPr>
          <w:p w14:paraId="2075DAA5" w14:textId="77777777" w:rsidR="00087B91" w:rsidRPr="002029AF" w:rsidRDefault="00087B91" w:rsidP="00860E95">
            <w:pPr>
              <w:pStyle w:val="ARfintablebodyright"/>
              <w:spacing w:before="20" w:line="240" w:lineRule="auto"/>
            </w:pPr>
            <w:r w:rsidRPr="002029AF">
              <w:t>81.3</w:t>
            </w:r>
          </w:p>
        </w:tc>
      </w:tr>
      <w:tr w:rsidR="00087B91" w:rsidRPr="002029AF" w14:paraId="3EE3D3CF" w14:textId="77777777" w:rsidTr="00860E95">
        <w:tc>
          <w:tcPr>
            <w:tcW w:w="7371" w:type="dxa"/>
            <w:tcBorders>
              <w:top w:val="single" w:sz="4" w:space="0" w:color="A6A6A6"/>
              <w:bottom w:val="single" w:sz="4" w:space="0" w:color="A6A6A6"/>
            </w:tcBorders>
            <w:hideMark/>
          </w:tcPr>
          <w:p w14:paraId="2BC20D82" w14:textId="140734EF" w:rsidR="00087B91" w:rsidRPr="002029AF" w:rsidRDefault="00087B91" w:rsidP="00860E95">
            <w:pPr>
              <w:pStyle w:val="ARfintablebody"/>
              <w:spacing w:before="20" w:line="240" w:lineRule="auto"/>
            </w:pPr>
            <w:r w:rsidRPr="002029AF">
              <w:t>Longer</w:t>
            </w:r>
            <w:r w:rsidR="000A5329" w:rsidRPr="002029AF">
              <w:t xml:space="preserve"> </w:t>
            </w:r>
            <w:r w:rsidRPr="002029AF">
              <w:t>than</w:t>
            </w:r>
            <w:r w:rsidR="000A5329" w:rsidRPr="002029AF">
              <w:t xml:space="preserve"> </w:t>
            </w:r>
            <w:r w:rsidRPr="002029AF">
              <w:t>1</w:t>
            </w:r>
            <w:r w:rsidR="000A5329" w:rsidRPr="002029AF">
              <w:t xml:space="preserve"> </w:t>
            </w:r>
            <w:r w:rsidRPr="002029AF">
              <w:t>year</w:t>
            </w:r>
            <w:r w:rsidR="000A5329" w:rsidRPr="002029AF">
              <w:t xml:space="preserve"> </w:t>
            </w:r>
            <w:r w:rsidRPr="002029AF">
              <w:t>and</w:t>
            </w:r>
            <w:r w:rsidR="000A5329" w:rsidRPr="002029AF">
              <w:t xml:space="preserve"> </w:t>
            </w:r>
            <w:r w:rsidRPr="002029AF">
              <w:t>not</w:t>
            </w:r>
            <w:r w:rsidR="000A5329" w:rsidRPr="002029AF">
              <w:t xml:space="preserve"> </w:t>
            </w:r>
            <w:r w:rsidRPr="002029AF">
              <w:t>longer</w:t>
            </w:r>
            <w:r w:rsidR="000A5329" w:rsidRPr="002029AF">
              <w:t xml:space="preserve"> </w:t>
            </w:r>
            <w:r w:rsidRPr="002029AF">
              <w:t>than</w:t>
            </w:r>
            <w:r w:rsidR="000A5329" w:rsidRPr="002029AF">
              <w:t xml:space="preserve"> </w:t>
            </w:r>
            <w:r w:rsidRPr="002029AF">
              <w:t>5</w:t>
            </w:r>
            <w:r w:rsidR="000A5329" w:rsidRPr="002029AF">
              <w:t xml:space="preserve"> </w:t>
            </w:r>
            <w:r w:rsidRPr="002029AF">
              <w:t>years</w:t>
            </w:r>
          </w:p>
        </w:tc>
        <w:tc>
          <w:tcPr>
            <w:tcW w:w="1133" w:type="dxa"/>
            <w:tcBorders>
              <w:top w:val="single" w:sz="4" w:space="0" w:color="A6A6A6"/>
              <w:bottom w:val="single" w:sz="4" w:space="0" w:color="A6A6A6"/>
            </w:tcBorders>
            <w:shd w:val="clear" w:color="auto" w:fill="E7E6E6"/>
            <w:noWrap/>
            <w:hideMark/>
          </w:tcPr>
          <w:p w14:paraId="4E8D0154" w14:textId="77777777" w:rsidR="00087B91" w:rsidRPr="002029AF" w:rsidRDefault="00087B91" w:rsidP="00860E95">
            <w:pPr>
              <w:pStyle w:val="ARfintablebodyright"/>
              <w:spacing w:before="20" w:line="240" w:lineRule="auto"/>
            </w:pPr>
            <w:r w:rsidRPr="002029AF">
              <w:t>–</w:t>
            </w:r>
          </w:p>
        </w:tc>
        <w:tc>
          <w:tcPr>
            <w:tcW w:w="1133" w:type="dxa"/>
            <w:tcBorders>
              <w:top w:val="single" w:sz="4" w:space="0" w:color="A6A6A6"/>
              <w:bottom w:val="single" w:sz="4" w:space="0" w:color="A6A6A6"/>
            </w:tcBorders>
            <w:noWrap/>
            <w:hideMark/>
          </w:tcPr>
          <w:p w14:paraId="1278C9D6" w14:textId="77777777" w:rsidR="00087B91" w:rsidRPr="002029AF" w:rsidRDefault="00087B91" w:rsidP="00860E95">
            <w:pPr>
              <w:pStyle w:val="ARfintablebodyright"/>
              <w:spacing w:before="20" w:line="240" w:lineRule="auto"/>
            </w:pPr>
            <w:r w:rsidRPr="002029AF">
              <w:t>217.2</w:t>
            </w:r>
          </w:p>
        </w:tc>
      </w:tr>
      <w:tr w:rsidR="00087B91" w:rsidRPr="002029AF" w14:paraId="12149DA7" w14:textId="77777777" w:rsidTr="00860E95">
        <w:tc>
          <w:tcPr>
            <w:tcW w:w="7371" w:type="dxa"/>
            <w:tcBorders>
              <w:top w:val="single" w:sz="4" w:space="0" w:color="A6A6A6"/>
            </w:tcBorders>
            <w:hideMark/>
          </w:tcPr>
          <w:p w14:paraId="45418776" w14:textId="4674AC36" w:rsidR="00087B91" w:rsidRPr="002029AF" w:rsidRDefault="00087B91" w:rsidP="00860E95">
            <w:pPr>
              <w:pStyle w:val="ARfintablebody"/>
              <w:spacing w:before="20" w:line="240" w:lineRule="auto"/>
            </w:pPr>
            <w:r w:rsidRPr="002029AF">
              <w:t>Longer</w:t>
            </w:r>
            <w:r w:rsidR="000A5329" w:rsidRPr="002029AF">
              <w:t xml:space="preserve"> </w:t>
            </w:r>
            <w:r w:rsidRPr="002029AF">
              <w:t>than</w:t>
            </w:r>
            <w:r w:rsidR="000A5329" w:rsidRPr="002029AF">
              <w:t xml:space="preserve"> </w:t>
            </w:r>
            <w:r w:rsidRPr="002029AF">
              <w:t>5</w:t>
            </w:r>
            <w:r w:rsidR="000A5329" w:rsidRPr="002029AF">
              <w:t xml:space="preserve"> </w:t>
            </w:r>
            <w:r w:rsidRPr="002029AF">
              <w:t>years</w:t>
            </w:r>
          </w:p>
        </w:tc>
        <w:tc>
          <w:tcPr>
            <w:tcW w:w="1133" w:type="dxa"/>
            <w:tcBorders>
              <w:top w:val="single" w:sz="4" w:space="0" w:color="A6A6A6"/>
            </w:tcBorders>
            <w:shd w:val="clear" w:color="auto" w:fill="E7E6E6"/>
            <w:noWrap/>
            <w:hideMark/>
          </w:tcPr>
          <w:p w14:paraId="7DF69CD8" w14:textId="77777777" w:rsidR="00087B91" w:rsidRPr="002029AF" w:rsidRDefault="00087B91" w:rsidP="00860E95">
            <w:pPr>
              <w:pStyle w:val="ARfintablebodyright"/>
              <w:spacing w:before="20" w:line="240" w:lineRule="auto"/>
            </w:pPr>
            <w:r w:rsidRPr="002029AF">
              <w:t>–</w:t>
            </w:r>
          </w:p>
        </w:tc>
        <w:tc>
          <w:tcPr>
            <w:tcW w:w="1133" w:type="dxa"/>
            <w:tcBorders>
              <w:top w:val="single" w:sz="4" w:space="0" w:color="A6A6A6"/>
            </w:tcBorders>
            <w:noWrap/>
            <w:hideMark/>
          </w:tcPr>
          <w:p w14:paraId="78EC08A5" w14:textId="77777777" w:rsidR="00087B91" w:rsidRPr="002029AF" w:rsidRDefault="00087B91" w:rsidP="00860E95">
            <w:pPr>
              <w:pStyle w:val="ARfintablebodyright"/>
              <w:spacing w:before="20" w:line="240" w:lineRule="auto"/>
            </w:pPr>
            <w:r w:rsidRPr="002029AF">
              <w:t>141.3</w:t>
            </w:r>
          </w:p>
        </w:tc>
      </w:tr>
      <w:tr w:rsidR="00087B91" w:rsidRPr="002029AF" w14:paraId="752367F7" w14:textId="77777777" w:rsidTr="00860E95">
        <w:tc>
          <w:tcPr>
            <w:tcW w:w="7371" w:type="dxa"/>
            <w:tcBorders>
              <w:bottom w:val="single" w:sz="4" w:space="0" w:color="auto"/>
            </w:tcBorders>
            <w:hideMark/>
          </w:tcPr>
          <w:p w14:paraId="3BF0BEF3" w14:textId="4968D89D" w:rsidR="00087B91" w:rsidRPr="002029AF" w:rsidRDefault="00087B91" w:rsidP="00860E95">
            <w:pPr>
              <w:pStyle w:val="ARfintablebodybold"/>
              <w:spacing w:before="20" w:line="240" w:lineRule="auto"/>
            </w:pPr>
            <w:r w:rsidRPr="002029AF">
              <w:t>Total</w:t>
            </w:r>
            <w:r w:rsidR="000A5329" w:rsidRPr="002029AF">
              <w:t xml:space="preserve"> </w:t>
            </w:r>
            <w:r w:rsidRPr="002029AF">
              <w:t>operating</w:t>
            </w:r>
            <w:r w:rsidR="000A5329" w:rsidRPr="002029AF">
              <w:t xml:space="preserve"> </w:t>
            </w:r>
            <w:r w:rsidRPr="002029AF">
              <w:t>lease</w:t>
            </w:r>
            <w:r w:rsidR="000A5329" w:rsidRPr="002029AF">
              <w:t xml:space="preserve"> </w:t>
            </w:r>
            <w:r w:rsidRPr="002029AF">
              <w:t>commitments</w:t>
            </w:r>
          </w:p>
        </w:tc>
        <w:tc>
          <w:tcPr>
            <w:tcW w:w="1133" w:type="dxa"/>
            <w:tcBorders>
              <w:bottom w:val="single" w:sz="4" w:space="0" w:color="auto"/>
            </w:tcBorders>
            <w:shd w:val="clear" w:color="auto" w:fill="E7E6E6"/>
            <w:noWrap/>
            <w:hideMark/>
          </w:tcPr>
          <w:p w14:paraId="1DDA3B5C" w14:textId="77777777" w:rsidR="00087B91" w:rsidRPr="002029AF" w:rsidRDefault="00087B91" w:rsidP="00860E95">
            <w:pPr>
              <w:pStyle w:val="ARfintablebodyrightbold"/>
              <w:spacing w:before="20"/>
            </w:pPr>
            <w:r w:rsidRPr="002029AF">
              <w:t>–</w:t>
            </w:r>
          </w:p>
        </w:tc>
        <w:tc>
          <w:tcPr>
            <w:tcW w:w="1133" w:type="dxa"/>
            <w:tcBorders>
              <w:bottom w:val="single" w:sz="4" w:space="0" w:color="auto"/>
            </w:tcBorders>
            <w:noWrap/>
            <w:hideMark/>
          </w:tcPr>
          <w:p w14:paraId="5823EC0C" w14:textId="77777777" w:rsidR="00087B91" w:rsidRPr="002029AF" w:rsidRDefault="00087B91" w:rsidP="00860E95">
            <w:pPr>
              <w:pStyle w:val="ARfintablebodyrightbold"/>
              <w:spacing w:before="20"/>
            </w:pPr>
            <w:r w:rsidRPr="002029AF">
              <w:t>439.9</w:t>
            </w:r>
          </w:p>
        </w:tc>
      </w:tr>
      <w:tr w:rsidR="00087B91" w:rsidRPr="002029AF" w14:paraId="5C572792" w14:textId="77777777" w:rsidTr="00860E95">
        <w:tc>
          <w:tcPr>
            <w:tcW w:w="9637" w:type="dxa"/>
            <w:gridSpan w:val="3"/>
            <w:tcBorders>
              <w:top w:val="single" w:sz="4" w:space="0" w:color="auto"/>
              <w:bottom w:val="single" w:sz="4" w:space="0" w:color="A6A6A6"/>
            </w:tcBorders>
            <w:hideMark/>
          </w:tcPr>
          <w:p w14:paraId="6A58663D" w14:textId="290C11A3" w:rsidR="00087B91" w:rsidRPr="002029AF" w:rsidRDefault="00087B91" w:rsidP="00860E95">
            <w:pPr>
              <w:pStyle w:val="ARfintablebodybold"/>
              <w:spacing w:before="20" w:line="240" w:lineRule="auto"/>
              <w:rPr>
                <w:rFonts w:ascii="Calibri Light" w:hAnsi="Calibri Light"/>
              </w:rPr>
            </w:pPr>
            <w:r w:rsidRPr="002029AF">
              <w:t>(c)</w:t>
            </w:r>
            <w:r w:rsidR="000A5329" w:rsidRPr="002029AF">
              <w:t xml:space="preserve"> </w:t>
            </w:r>
            <w:r w:rsidRPr="002029AF">
              <w:t>Accommodation</w:t>
            </w:r>
            <w:r w:rsidR="000A5329" w:rsidRPr="002029AF">
              <w:t xml:space="preserve"> </w:t>
            </w:r>
            <w:r w:rsidRPr="002029AF">
              <w:t>expenses</w:t>
            </w:r>
            <w:r w:rsidR="000A5329" w:rsidRPr="002029AF">
              <w:t xml:space="preserve"> </w:t>
            </w:r>
            <w:r w:rsidRPr="002029AF">
              <w:t>payable</w:t>
            </w:r>
            <w:r w:rsidR="000A5329" w:rsidRPr="002029AF">
              <w:t xml:space="preserve"> </w:t>
            </w:r>
            <w:r w:rsidRPr="002029AF">
              <w:rPr>
                <w:rStyle w:val="Superscript"/>
              </w:rPr>
              <w:t>(ii)(iii)(iv)</w:t>
            </w:r>
          </w:p>
        </w:tc>
      </w:tr>
      <w:tr w:rsidR="00087B91" w:rsidRPr="002029AF" w14:paraId="106EB27E" w14:textId="77777777" w:rsidTr="00860E95">
        <w:tc>
          <w:tcPr>
            <w:tcW w:w="7371" w:type="dxa"/>
            <w:tcBorders>
              <w:top w:val="single" w:sz="4" w:space="0" w:color="A6A6A6"/>
              <w:bottom w:val="single" w:sz="4" w:space="0" w:color="A6A6A6"/>
            </w:tcBorders>
            <w:hideMark/>
          </w:tcPr>
          <w:p w14:paraId="1695FE15" w14:textId="39C1FAA8" w:rsidR="00087B91" w:rsidRPr="002029AF" w:rsidRDefault="00087B91" w:rsidP="00860E95">
            <w:pPr>
              <w:pStyle w:val="ARfintablebody"/>
              <w:spacing w:before="20" w:line="240" w:lineRule="auto"/>
            </w:pPr>
            <w:r w:rsidRPr="002029AF">
              <w:t>Less</w:t>
            </w:r>
            <w:r w:rsidR="000A5329" w:rsidRPr="002029AF">
              <w:t xml:space="preserve"> </w:t>
            </w:r>
            <w:r w:rsidRPr="002029AF">
              <w:t>than</w:t>
            </w:r>
            <w:r w:rsidR="000A5329" w:rsidRPr="002029AF">
              <w:t xml:space="preserve"> </w:t>
            </w:r>
            <w:r w:rsidRPr="002029AF">
              <w:t>1</w:t>
            </w:r>
            <w:r w:rsidR="000A5329" w:rsidRPr="002029AF">
              <w:t xml:space="preserve"> </w:t>
            </w:r>
            <w:r w:rsidRPr="002029AF">
              <w:t>year</w:t>
            </w:r>
          </w:p>
        </w:tc>
        <w:tc>
          <w:tcPr>
            <w:tcW w:w="1133" w:type="dxa"/>
            <w:tcBorders>
              <w:top w:val="single" w:sz="4" w:space="0" w:color="A6A6A6"/>
              <w:bottom w:val="single" w:sz="4" w:space="0" w:color="A6A6A6"/>
            </w:tcBorders>
            <w:shd w:val="clear" w:color="auto" w:fill="E7E6E6"/>
            <w:noWrap/>
            <w:hideMark/>
          </w:tcPr>
          <w:p w14:paraId="134130A4" w14:textId="77777777" w:rsidR="00087B91" w:rsidRPr="002029AF" w:rsidRDefault="00087B91" w:rsidP="00860E95">
            <w:pPr>
              <w:pStyle w:val="ARfintablebodyright"/>
              <w:spacing w:before="20" w:line="240" w:lineRule="auto"/>
            </w:pPr>
            <w:r w:rsidRPr="002029AF">
              <w:t>101.3</w:t>
            </w:r>
          </w:p>
        </w:tc>
        <w:tc>
          <w:tcPr>
            <w:tcW w:w="1133" w:type="dxa"/>
            <w:tcBorders>
              <w:top w:val="single" w:sz="4" w:space="0" w:color="A6A6A6"/>
              <w:bottom w:val="single" w:sz="4" w:space="0" w:color="A6A6A6"/>
            </w:tcBorders>
            <w:noWrap/>
            <w:hideMark/>
          </w:tcPr>
          <w:p w14:paraId="46F3C238" w14:textId="77777777" w:rsidR="00087B91" w:rsidRPr="002029AF" w:rsidRDefault="00087B91" w:rsidP="00860E95">
            <w:pPr>
              <w:pStyle w:val="ARfintablebodyright"/>
              <w:spacing w:before="20" w:line="240" w:lineRule="auto"/>
            </w:pPr>
            <w:r w:rsidRPr="002029AF">
              <w:t>–</w:t>
            </w:r>
          </w:p>
        </w:tc>
      </w:tr>
      <w:tr w:rsidR="00087B91" w:rsidRPr="002029AF" w14:paraId="2473BD08" w14:textId="77777777" w:rsidTr="00860E95">
        <w:tc>
          <w:tcPr>
            <w:tcW w:w="7371" w:type="dxa"/>
            <w:tcBorders>
              <w:top w:val="single" w:sz="4" w:space="0" w:color="A6A6A6"/>
              <w:bottom w:val="single" w:sz="4" w:space="0" w:color="A6A6A6"/>
            </w:tcBorders>
            <w:hideMark/>
          </w:tcPr>
          <w:p w14:paraId="01C23E94" w14:textId="31D4E94F" w:rsidR="00087B91" w:rsidRPr="002029AF" w:rsidRDefault="00087B91" w:rsidP="00860E95">
            <w:pPr>
              <w:pStyle w:val="ARfintablebody"/>
              <w:spacing w:before="20" w:line="240" w:lineRule="auto"/>
            </w:pPr>
            <w:r w:rsidRPr="002029AF">
              <w:t>Longer</w:t>
            </w:r>
            <w:r w:rsidR="000A5329" w:rsidRPr="002029AF">
              <w:t xml:space="preserve"> </w:t>
            </w:r>
            <w:r w:rsidRPr="002029AF">
              <w:t>than</w:t>
            </w:r>
            <w:r w:rsidR="000A5329" w:rsidRPr="002029AF">
              <w:t xml:space="preserve"> </w:t>
            </w:r>
            <w:r w:rsidRPr="002029AF">
              <w:t>1</w:t>
            </w:r>
            <w:r w:rsidR="000A5329" w:rsidRPr="002029AF">
              <w:t xml:space="preserve"> </w:t>
            </w:r>
            <w:r w:rsidRPr="002029AF">
              <w:t>year</w:t>
            </w:r>
            <w:r w:rsidR="000A5329" w:rsidRPr="002029AF">
              <w:t xml:space="preserve"> </w:t>
            </w:r>
            <w:r w:rsidRPr="002029AF">
              <w:t>and</w:t>
            </w:r>
            <w:r w:rsidR="000A5329" w:rsidRPr="002029AF">
              <w:t xml:space="preserve"> </w:t>
            </w:r>
            <w:r w:rsidRPr="002029AF">
              <w:t>not</w:t>
            </w:r>
            <w:r w:rsidR="000A5329" w:rsidRPr="002029AF">
              <w:t xml:space="preserve"> </w:t>
            </w:r>
            <w:r w:rsidRPr="002029AF">
              <w:t>longer</w:t>
            </w:r>
            <w:r w:rsidR="000A5329" w:rsidRPr="002029AF">
              <w:t xml:space="preserve"> </w:t>
            </w:r>
            <w:r w:rsidRPr="002029AF">
              <w:t>than</w:t>
            </w:r>
            <w:r w:rsidR="000A5329" w:rsidRPr="002029AF">
              <w:t xml:space="preserve"> </w:t>
            </w:r>
            <w:r w:rsidRPr="002029AF">
              <w:t>5</w:t>
            </w:r>
            <w:r w:rsidR="000A5329" w:rsidRPr="002029AF">
              <w:t xml:space="preserve"> </w:t>
            </w:r>
            <w:r w:rsidRPr="002029AF">
              <w:t>years</w:t>
            </w:r>
          </w:p>
        </w:tc>
        <w:tc>
          <w:tcPr>
            <w:tcW w:w="1133" w:type="dxa"/>
            <w:tcBorders>
              <w:top w:val="single" w:sz="4" w:space="0" w:color="A6A6A6"/>
              <w:bottom w:val="single" w:sz="4" w:space="0" w:color="A6A6A6"/>
            </w:tcBorders>
            <w:shd w:val="clear" w:color="auto" w:fill="E7E6E6"/>
            <w:noWrap/>
            <w:hideMark/>
          </w:tcPr>
          <w:p w14:paraId="13E76D17" w14:textId="77777777" w:rsidR="00087B91" w:rsidRPr="002029AF" w:rsidRDefault="00087B91" w:rsidP="00860E95">
            <w:pPr>
              <w:pStyle w:val="ARfintablebodyright"/>
              <w:spacing w:before="20" w:line="240" w:lineRule="auto"/>
            </w:pPr>
            <w:r w:rsidRPr="002029AF">
              <w:t>104.7</w:t>
            </w:r>
          </w:p>
        </w:tc>
        <w:tc>
          <w:tcPr>
            <w:tcW w:w="1133" w:type="dxa"/>
            <w:tcBorders>
              <w:top w:val="single" w:sz="4" w:space="0" w:color="A6A6A6"/>
              <w:bottom w:val="single" w:sz="4" w:space="0" w:color="A6A6A6"/>
            </w:tcBorders>
            <w:noWrap/>
            <w:hideMark/>
          </w:tcPr>
          <w:p w14:paraId="3050BD1D" w14:textId="77777777" w:rsidR="00087B91" w:rsidRPr="002029AF" w:rsidRDefault="00087B91" w:rsidP="00860E95">
            <w:pPr>
              <w:pStyle w:val="ARfintablebodyright"/>
              <w:spacing w:before="20" w:line="240" w:lineRule="auto"/>
            </w:pPr>
            <w:r w:rsidRPr="002029AF">
              <w:t>–</w:t>
            </w:r>
          </w:p>
        </w:tc>
      </w:tr>
      <w:tr w:rsidR="00087B91" w:rsidRPr="002029AF" w14:paraId="1FB94FA2" w14:textId="77777777" w:rsidTr="00860E95">
        <w:tc>
          <w:tcPr>
            <w:tcW w:w="7371" w:type="dxa"/>
            <w:tcBorders>
              <w:top w:val="single" w:sz="4" w:space="0" w:color="A6A6A6"/>
            </w:tcBorders>
            <w:hideMark/>
          </w:tcPr>
          <w:p w14:paraId="072797ED" w14:textId="4713CC6D" w:rsidR="00087B91" w:rsidRPr="002029AF" w:rsidRDefault="00087B91" w:rsidP="00860E95">
            <w:pPr>
              <w:pStyle w:val="ARfintablebody"/>
              <w:spacing w:before="20" w:line="240" w:lineRule="auto"/>
            </w:pPr>
            <w:r w:rsidRPr="002029AF">
              <w:t>Longer</w:t>
            </w:r>
            <w:r w:rsidR="000A5329" w:rsidRPr="002029AF">
              <w:t xml:space="preserve"> </w:t>
            </w:r>
            <w:r w:rsidRPr="002029AF">
              <w:t>than</w:t>
            </w:r>
            <w:r w:rsidR="000A5329" w:rsidRPr="002029AF">
              <w:t xml:space="preserve"> </w:t>
            </w:r>
            <w:r w:rsidRPr="002029AF">
              <w:t>5</w:t>
            </w:r>
            <w:r w:rsidR="000A5329" w:rsidRPr="002029AF">
              <w:t xml:space="preserve"> </w:t>
            </w:r>
            <w:r w:rsidRPr="002029AF">
              <w:t>years</w:t>
            </w:r>
          </w:p>
        </w:tc>
        <w:tc>
          <w:tcPr>
            <w:tcW w:w="1133" w:type="dxa"/>
            <w:tcBorders>
              <w:top w:val="single" w:sz="4" w:space="0" w:color="A6A6A6"/>
            </w:tcBorders>
            <w:shd w:val="clear" w:color="auto" w:fill="E7E6E6"/>
            <w:noWrap/>
            <w:hideMark/>
          </w:tcPr>
          <w:p w14:paraId="14FC2589" w14:textId="77777777" w:rsidR="00087B91" w:rsidRPr="002029AF" w:rsidRDefault="00087B91" w:rsidP="00860E95">
            <w:pPr>
              <w:pStyle w:val="ARfintablebodyright"/>
              <w:spacing w:before="20" w:line="240" w:lineRule="auto"/>
            </w:pPr>
            <w:r w:rsidRPr="002029AF">
              <w:t>–</w:t>
            </w:r>
          </w:p>
        </w:tc>
        <w:tc>
          <w:tcPr>
            <w:tcW w:w="1133" w:type="dxa"/>
            <w:tcBorders>
              <w:top w:val="single" w:sz="4" w:space="0" w:color="A6A6A6"/>
            </w:tcBorders>
            <w:noWrap/>
            <w:hideMark/>
          </w:tcPr>
          <w:p w14:paraId="2838A25B" w14:textId="77777777" w:rsidR="00087B91" w:rsidRPr="002029AF" w:rsidRDefault="00087B91" w:rsidP="00860E95">
            <w:pPr>
              <w:pStyle w:val="ARfintablebodyright"/>
              <w:spacing w:before="20" w:line="240" w:lineRule="auto"/>
            </w:pPr>
            <w:r w:rsidRPr="002029AF">
              <w:t>–</w:t>
            </w:r>
          </w:p>
        </w:tc>
      </w:tr>
      <w:tr w:rsidR="00087B91" w:rsidRPr="002029AF" w14:paraId="75692FAD" w14:textId="77777777" w:rsidTr="00860E95">
        <w:tc>
          <w:tcPr>
            <w:tcW w:w="7371" w:type="dxa"/>
            <w:tcBorders>
              <w:bottom w:val="single" w:sz="4" w:space="0" w:color="auto"/>
            </w:tcBorders>
            <w:hideMark/>
          </w:tcPr>
          <w:p w14:paraId="2330B3C6" w14:textId="7EA554AD" w:rsidR="00087B91" w:rsidRPr="002029AF" w:rsidRDefault="00087B91" w:rsidP="00860E95">
            <w:pPr>
              <w:pStyle w:val="ARfintablebodybold"/>
              <w:spacing w:before="20" w:line="240" w:lineRule="auto"/>
            </w:pPr>
            <w:r w:rsidRPr="002029AF">
              <w:t>Total</w:t>
            </w:r>
            <w:r w:rsidR="000A5329" w:rsidRPr="002029AF">
              <w:t xml:space="preserve"> </w:t>
            </w:r>
            <w:r w:rsidRPr="002029AF">
              <w:t>accommodation</w:t>
            </w:r>
            <w:r w:rsidR="000A5329" w:rsidRPr="002029AF">
              <w:t xml:space="preserve"> </w:t>
            </w:r>
            <w:r w:rsidRPr="002029AF">
              <w:t>expenses</w:t>
            </w:r>
            <w:r w:rsidR="000A5329" w:rsidRPr="002029AF">
              <w:t xml:space="preserve"> </w:t>
            </w:r>
            <w:r w:rsidRPr="002029AF">
              <w:t>payable</w:t>
            </w:r>
          </w:p>
        </w:tc>
        <w:tc>
          <w:tcPr>
            <w:tcW w:w="1133" w:type="dxa"/>
            <w:tcBorders>
              <w:bottom w:val="single" w:sz="4" w:space="0" w:color="auto"/>
            </w:tcBorders>
            <w:shd w:val="clear" w:color="auto" w:fill="E7E6E6"/>
            <w:noWrap/>
            <w:hideMark/>
          </w:tcPr>
          <w:p w14:paraId="1E6D7611" w14:textId="77777777" w:rsidR="00087B91" w:rsidRPr="002029AF" w:rsidRDefault="00087B91" w:rsidP="00860E95">
            <w:pPr>
              <w:pStyle w:val="ARfintablebodyrightbold"/>
              <w:spacing w:before="20"/>
            </w:pPr>
            <w:r w:rsidRPr="002029AF">
              <w:t>206.0</w:t>
            </w:r>
          </w:p>
        </w:tc>
        <w:tc>
          <w:tcPr>
            <w:tcW w:w="1133" w:type="dxa"/>
            <w:tcBorders>
              <w:bottom w:val="single" w:sz="4" w:space="0" w:color="auto"/>
            </w:tcBorders>
            <w:noWrap/>
            <w:hideMark/>
          </w:tcPr>
          <w:p w14:paraId="68573A6C" w14:textId="77777777" w:rsidR="00087B91" w:rsidRPr="002029AF" w:rsidRDefault="00087B91" w:rsidP="00860E95">
            <w:pPr>
              <w:pStyle w:val="ARfintablebodyrightbold"/>
              <w:spacing w:before="20"/>
            </w:pPr>
            <w:r w:rsidRPr="002029AF">
              <w:t>–</w:t>
            </w:r>
          </w:p>
        </w:tc>
      </w:tr>
      <w:tr w:rsidR="00087B91" w:rsidRPr="002029AF" w14:paraId="262895CD" w14:textId="77777777" w:rsidTr="00860E95">
        <w:tc>
          <w:tcPr>
            <w:tcW w:w="9637" w:type="dxa"/>
            <w:gridSpan w:val="3"/>
            <w:tcBorders>
              <w:top w:val="single" w:sz="4" w:space="0" w:color="auto"/>
              <w:bottom w:val="single" w:sz="4" w:space="0" w:color="A6A6A6"/>
            </w:tcBorders>
            <w:hideMark/>
          </w:tcPr>
          <w:p w14:paraId="5F56F602" w14:textId="61301EE1" w:rsidR="00087B91" w:rsidRPr="002029AF" w:rsidRDefault="00087B91" w:rsidP="00860E95">
            <w:pPr>
              <w:pStyle w:val="ARfintablebodybold"/>
              <w:spacing w:before="20" w:line="240" w:lineRule="auto"/>
            </w:pPr>
            <w:r w:rsidRPr="002029AF">
              <w:t>(d)</w:t>
            </w:r>
            <w:r w:rsidR="000A5329" w:rsidRPr="002029AF">
              <w:t xml:space="preserve"> </w:t>
            </w:r>
            <w:r w:rsidRPr="002029AF">
              <w:t>Other</w:t>
            </w:r>
            <w:r w:rsidR="000A5329" w:rsidRPr="002029AF">
              <w:t xml:space="preserve"> </w:t>
            </w:r>
            <w:r w:rsidRPr="002029AF">
              <w:t>expenditure</w:t>
            </w:r>
            <w:r w:rsidR="000A5329" w:rsidRPr="002029AF">
              <w:t xml:space="preserve"> </w:t>
            </w:r>
            <w:r w:rsidRPr="002029AF">
              <w:t>commitments</w:t>
            </w:r>
            <w:r w:rsidR="000A5329" w:rsidRPr="002029AF">
              <w:t xml:space="preserve"> </w:t>
            </w:r>
            <w:r w:rsidRPr="002029AF">
              <w:rPr>
                <w:rStyle w:val="Superscript"/>
              </w:rPr>
              <w:t>(ii)(iii)</w:t>
            </w:r>
          </w:p>
        </w:tc>
      </w:tr>
      <w:tr w:rsidR="00087B91" w:rsidRPr="002029AF" w14:paraId="7BE33ED0" w14:textId="77777777" w:rsidTr="00860E95">
        <w:tc>
          <w:tcPr>
            <w:tcW w:w="7371" w:type="dxa"/>
            <w:tcBorders>
              <w:top w:val="single" w:sz="4" w:space="0" w:color="A6A6A6"/>
              <w:bottom w:val="single" w:sz="4" w:space="0" w:color="A6A6A6"/>
            </w:tcBorders>
            <w:hideMark/>
          </w:tcPr>
          <w:p w14:paraId="7E07A299" w14:textId="0758F59F" w:rsidR="00087B91" w:rsidRPr="002029AF" w:rsidRDefault="00087B91" w:rsidP="00860E95">
            <w:pPr>
              <w:pStyle w:val="ARfintablebody"/>
              <w:spacing w:before="20" w:line="240" w:lineRule="auto"/>
            </w:pPr>
            <w:r w:rsidRPr="002029AF">
              <w:t>Less</w:t>
            </w:r>
            <w:r w:rsidR="000A5329" w:rsidRPr="002029AF">
              <w:t xml:space="preserve"> </w:t>
            </w:r>
            <w:r w:rsidRPr="002029AF">
              <w:t>than</w:t>
            </w:r>
            <w:r w:rsidR="000A5329" w:rsidRPr="002029AF">
              <w:t xml:space="preserve"> </w:t>
            </w:r>
            <w:r w:rsidRPr="002029AF">
              <w:t>1</w:t>
            </w:r>
            <w:r w:rsidR="000A5329" w:rsidRPr="002029AF">
              <w:t xml:space="preserve"> </w:t>
            </w:r>
            <w:r w:rsidRPr="002029AF">
              <w:t>year</w:t>
            </w:r>
          </w:p>
        </w:tc>
        <w:tc>
          <w:tcPr>
            <w:tcW w:w="1133" w:type="dxa"/>
            <w:tcBorders>
              <w:top w:val="single" w:sz="4" w:space="0" w:color="A6A6A6"/>
              <w:bottom w:val="single" w:sz="4" w:space="0" w:color="A6A6A6"/>
            </w:tcBorders>
            <w:shd w:val="clear" w:color="auto" w:fill="E7E6E6"/>
            <w:noWrap/>
            <w:hideMark/>
          </w:tcPr>
          <w:p w14:paraId="05F5D294" w14:textId="77777777" w:rsidR="00087B91" w:rsidRPr="002029AF" w:rsidRDefault="00087B91" w:rsidP="00860E95">
            <w:pPr>
              <w:pStyle w:val="ARfintablebodyright"/>
              <w:spacing w:before="20" w:line="240" w:lineRule="auto"/>
            </w:pPr>
            <w:r w:rsidRPr="002029AF">
              <w:t>345.9</w:t>
            </w:r>
          </w:p>
        </w:tc>
        <w:tc>
          <w:tcPr>
            <w:tcW w:w="1133" w:type="dxa"/>
            <w:tcBorders>
              <w:top w:val="single" w:sz="4" w:space="0" w:color="A6A6A6"/>
              <w:bottom w:val="single" w:sz="4" w:space="0" w:color="A6A6A6"/>
            </w:tcBorders>
            <w:noWrap/>
            <w:hideMark/>
          </w:tcPr>
          <w:p w14:paraId="429C2925" w14:textId="77777777" w:rsidR="00087B91" w:rsidRPr="002029AF" w:rsidRDefault="00087B91" w:rsidP="00860E95">
            <w:pPr>
              <w:pStyle w:val="ARfintablebodyright"/>
              <w:spacing w:before="20" w:line="240" w:lineRule="auto"/>
            </w:pPr>
            <w:r w:rsidRPr="002029AF">
              <w:t>305.9</w:t>
            </w:r>
          </w:p>
        </w:tc>
      </w:tr>
      <w:tr w:rsidR="00087B91" w:rsidRPr="002029AF" w14:paraId="5CEC9DE9" w14:textId="77777777" w:rsidTr="00860E95">
        <w:tc>
          <w:tcPr>
            <w:tcW w:w="7371" w:type="dxa"/>
            <w:tcBorders>
              <w:top w:val="single" w:sz="4" w:space="0" w:color="A6A6A6"/>
              <w:bottom w:val="single" w:sz="4" w:space="0" w:color="A6A6A6"/>
            </w:tcBorders>
            <w:hideMark/>
          </w:tcPr>
          <w:p w14:paraId="57EDB19D" w14:textId="7B0CCC6D" w:rsidR="00087B91" w:rsidRPr="002029AF" w:rsidRDefault="00087B91" w:rsidP="00860E95">
            <w:pPr>
              <w:pStyle w:val="ARfintablebody"/>
              <w:spacing w:before="20" w:line="240" w:lineRule="auto"/>
            </w:pPr>
            <w:r w:rsidRPr="002029AF">
              <w:t>Longer</w:t>
            </w:r>
            <w:r w:rsidR="000A5329" w:rsidRPr="002029AF">
              <w:t xml:space="preserve"> </w:t>
            </w:r>
            <w:r w:rsidRPr="002029AF">
              <w:t>than</w:t>
            </w:r>
            <w:r w:rsidR="000A5329" w:rsidRPr="002029AF">
              <w:t xml:space="preserve"> </w:t>
            </w:r>
            <w:r w:rsidRPr="002029AF">
              <w:t>1</w:t>
            </w:r>
            <w:r w:rsidR="000A5329" w:rsidRPr="002029AF">
              <w:t xml:space="preserve"> </w:t>
            </w:r>
            <w:r w:rsidRPr="002029AF">
              <w:t>year</w:t>
            </w:r>
            <w:r w:rsidR="000A5329" w:rsidRPr="002029AF">
              <w:t xml:space="preserve"> </w:t>
            </w:r>
            <w:r w:rsidRPr="002029AF">
              <w:t>and</w:t>
            </w:r>
            <w:r w:rsidR="000A5329" w:rsidRPr="002029AF">
              <w:t xml:space="preserve"> </w:t>
            </w:r>
            <w:r w:rsidRPr="002029AF">
              <w:t>not</w:t>
            </w:r>
            <w:r w:rsidR="000A5329" w:rsidRPr="002029AF">
              <w:t xml:space="preserve"> </w:t>
            </w:r>
            <w:r w:rsidRPr="002029AF">
              <w:t>longer</w:t>
            </w:r>
            <w:r w:rsidR="000A5329" w:rsidRPr="002029AF">
              <w:t xml:space="preserve"> </w:t>
            </w:r>
            <w:r w:rsidRPr="002029AF">
              <w:t>than</w:t>
            </w:r>
            <w:r w:rsidR="000A5329" w:rsidRPr="002029AF">
              <w:t xml:space="preserve"> </w:t>
            </w:r>
            <w:r w:rsidRPr="002029AF">
              <w:t>5</w:t>
            </w:r>
            <w:r w:rsidR="000A5329" w:rsidRPr="002029AF">
              <w:t xml:space="preserve"> </w:t>
            </w:r>
            <w:r w:rsidRPr="002029AF">
              <w:t>years</w:t>
            </w:r>
          </w:p>
        </w:tc>
        <w:tc>
          <w:tcPr>
            <w:tcW w:w="1133" w:type="dxa"/>
            <w:tcBorders>
              <w:top w:val="single" w:sz="4" w:space="0" w:color="A6A6A6"/>
              <w:bottom w:val="single" w:sz="4" w:space="0" w:color="A6A6A6"/>
            </w:tcBorders>
            <w:shd w:val="clear" w:color="auto" w:fill="E7E6E6"/>
            <w:noWrap/>
            <w:hideMark/>
          </w:tcPr>
          <w:p w14:paraId="54C3BE35" w14:textId="77777777" w:rsidR="00087B91" w:rsidRPr="002029AF" w:rsidRDefault="00087B91" w:rsidP="00860E95">
            <w:pPr>
              <w:pStyle w:val="ARfintablebodyright"/>
              <w:spacing w:before="20" w:line="240" w:lineRule="auto"/>
            </w:pPr>
            <w:r w:rsidRPr="002029AF">
              <w:t>169.4</w:t>
            </w:r>
          </w:p>
        </w:tc>
        <w:tc>
          <w:tcPr>
            <w:tcW w:w="1133" w:type="dxa"/>
            <w:tcBorders>
              <w:top w:val="single" w:sz="4" w:space="0" w:color="A6A6A6"/>
              <w:bottom w:val="single" w:sz="4" w:space="0" w:color="A6A6A6"/>
            </w:tcBorders>
            <w:noWrap/>
            <w:hideMark/>
          </w:tcPr>
          <w:p w14:paraId="7464DFDA" w14:textId="77777777" w:rsidR="00087B91" w:rsidRPr="002029AF" w:rsidRDefault="00087B91" w:rsidP="00860E95">
            <w:pPr>
              <w:pStyle w:val="ARfintablebodyright"/>
              <w:spacing w:before="20" w:line="240" w:lineRule="auto"/>
            </w:pPr>
            <w:r w:rsidRPr="002029AF">
              <w:t>168.4</w:t>
            </w:r>
          </w:p>
        </w:tc>
      </w:tr>
      <w:tr w:rsidR="00087B91" w:rsidRPr="002029AF" w14:paraId="1892B4BD" w14:textId="77777777" w:rsidTr="00860E95">
        <w:tc>
          <w:tcPr>
            <w:tcW w:w="7371" w:type="dxa"/>
            <w:tcBorders>
              <w:top w:val="single" w:sz="4" w:space="0" w:color="A6A6A6"/>
            </w:tcBorders>
            <w:hideMark/>
          </w:tcPr>
          <w:p w14:paraId="7C72ED40" w14:textId="28915365" w:rsidR="00087B91" w:rsidRPr="002029AF" w:rsidRDefault="00087B91" w:rsidP="00860E95">
            <w:pPr>
              <w:pStyle w:val="ARfintablebody"/>
              <w:spacing w:before="20" w:line="240" w:lineRule="auto"/>
            </w:pPr>
            <w:r w:rsidRPr="002029AF">
              <w:t>Longer</w:t>
            </w:r>
            <w:r w:rsidR="000A5329" w:rsidRPr="002029AF">
              <w:t xml:space="preserve"> </w:t>
            </w:r>
            <w:r w:rsidRPr="002029AF">
              <w:t>than</w:t>
            </w:r>
            <w:r w:rsidR="000A5329" w:rsidRPr="002029AF">
              <w:t xml:space="preserve"> </w:t>
            </w:r>
            <w:r w:rsidRPr="002029AF">
              <w:t>5</w:t>
            </w:r>
            <w:r w:rsidR="000A5329" w:rsidRPr="002029AF">
              <w:t xml:space="preserve"> </w:t>
            </w:r>
            <w:r w:rsidRPr="002029AF">
              <w:t>years</w:t>
            </w:r>
          </w:p>
        </w:tc>
        <w:tc>
          <w:tcPr>
            <w:tcW w:w="1133" w:type="dxa"/>
            <w:tcBorders>
              <w:top w:val="single" w:sz="4" w:space="0" w:color="A6A6A6"/>
            </w:tcBorders>
            <w:shd w:val="clear" w:color="auto" w:fill="E7E6E6"/>
            <w:noWrap/>
            <w:hideMark/>
          </w:tcPr>
          <w:p w14:paraId="6004A8E2" w14:textId="77777777" w:rsidR="00087B91" w:rsidRPr="002029AF" w:rsidRDefault="00087B91" w:rsidP="00860E95">
            <w:pPr>
              <w:pStyle w:val="ARfintablebodyright"/>
              <w:spacing w:before="20" w:line="240" w:lineRule="auto"/>
            </w:pPr>
            <w:r w:rsidRPr="002029AF">
              <w:t>37.2</w:t>
            </w:r>
          </w:p>
        </w:tc>
        <w:tc>
          <w:tcPr>
            <w:tcW w:w="1133" w:type="dxa"/>
            <w:tcBorders>
              <w:top w:val="single" w:sz="4" w:space="0" w:color="A6A6A6"/>
            </w:tcBorders>
            <w:noWrap/>
            <w:hideMark/>
          </w:tcPr>
          <w:p w14:paraId="2DCFD107" w14:textId="77777777" w:rsidR="00087B91" w:rsidRPr="002029AF" w:rsidRDefault="00087B91" w:rsidP="00860E95">
            <w:pPr>
              <w:pStyle w:val="ARfintablebodyright"/>
              <w:spacing w:before="20" w:line="240" w:lineRule="auto"/>
            </w:pPr>
            <w:r w:rsidRPr="002029AF">
              <w:t>44.2</w:t>
            </w:r>
          </w:p>
        </w:tc>
      </w:tr>
      <w:tr w:rsidR="00087B91" w:rsidRPr="002029AF" w14:paraId="798739DC" w14:textId="77777777" w:rsidTr="00860E95">
        <w:tc>
          <w:tcPr>
            <w:tcW w:w="7371" w:type="dxa"/>
            <w:hideMark/>
          </w:tcPr>
          <w:p w14:paraId="4F2C7D2B" w14:textId="2ADF517D" w:rsidR="00087B91" w:rsidRPr="002029AF" w:rsidRDefault="00087B91" w:rsidP="00860E95">
            <w:pPr>
              <w:pStyle w:val="ARfintablebodybold"/>
              <w:spacing w:before="20" w:line="240" w:lineRule="auto"/>
            </w:pPr>
            <w:r w:rsidRPr="002029AF">
              <w:t>Total</w:t>
            </w:r>
            <w:r w:rsidR="000A5329" w:rsidRPr="002029AF">
              <w:t xml:space="preserve"> </w:t>
            </w:r>
            <w:r w:rsidRPr="002029AF">
              <w:t>other</w:t>
            </w:r>
            <w:r w:rsidR="000A5329" w:rsidRPr="002029AF">
              <w:t xml:space="preserve"> </w:t>
            </w:r>
            <w:r w:rsidRPr="002029AF">
              <w:t>expenditure</w:t>
            </w:r>
            <w:r w:rsidR="000A5329" w:rsidRPr="002029AF">
              <w:t xml:space="preserve"> </w:t>
            </w:r>
            <w:r w:rsidRPr="002029AF">
              <w:t>commitments</w:t>
            </w:r>
          </w:p>
        </w:tc>
        <w:tc>
          <w:tcPr>
            <w:tcW w:w="1133" w:type="dxa"/>
            <w:shd w:val="clear" w:color="auto" w:fill="E7E6E6"/>
            <w:noWrap/>
            <w:hideMark/>
          </w:tcPr>
          <w:p w14:paraId="78CAB189" w14:textId="77777777" w:rsidR="00087B91" w:rsidRPr="002029AF" w:rsidRDefault="00087B91" w:rsidP="00860E95">
            <w:pPr>
              <w:pStyle w:val="ARfintablebodyrightbold"/>
              <w:spacing w:before="20"/>
            </w:pPr>
            <w:r w:rsidRPr="002029AF">
              <w:t>552.5</w:t>
            </w:r>
          </w:p>
        </w:tc>
        <w:tc>
          <w:tcPr>
            <w:tcW w:w="1133" w:type="dxa"/>
            <w:noWrap/>
            <w:hideMark/>
          </w:tcPr>
          <w:p w14:paraId="1309C996" w14:textId="77777777" w:rsidR="00087B91" w:rsidRPr="002029AF" w:rsidRDefault="00087B91" w:rsidP="00860E95">
            <w:pPr>
              <w:pStyle w:val="ARfintablebodyrightbold"/>
              <w:spacing w:before="20"/>
            </w:pPr>
            <w:r w:rsidRPr="002029AF">
              <w:t>518.6</w:t>
            </w:r>
          </w:p>
        </w:tc>
      </w:tr>
      <w:tr w:rsidR="00087B91" w:rsidRPr="002029AF" w14:paraId="1690ECE6" w14:textId="77777777" w:rsidTr="00860E95">
        <w:tc>
          <w:tcPr>
            <w:tcW w:w="7371" w:type="dxa"/>
            <w:hideMark/>
          </w:tcPr>
          <w:p w14:paraId="53C399DE" w14:textId="1E33EB03" w:rsidR="00087B91" w:rsidRPr="002029AF" w:rsidRDefault="00087B91" w:rsidP="00860E95">
            <w:pPr>
              <w:pStyle w:val="ARfintablebodybold"/>
              <w:spacing w:before="20" w:line="240" w:lineRule="auto"/>
            </w:pPr>
            <w:r w:rsidRPr="002029AF">
              <w:t>Total</w:t>
            </w:r>
            <w:r w:rsidR="000A5329" w:rsidRPr="002029AF">
              <w:t xml:space="preserve"> </w:t>
            </w:r>
            <w:r w:rsidRPr="002029AF">
              <w:t>commitments</w:t>
            </w:r>
            <w:r w:rsidR="000A5329" w:rsidRPr="002029AF">
              <w:t xml:space="preserve"> </w:t>
            </w:r>
            <w:r w:rsidRPr="002029AF">
              <w:t>other</w:t>
            </w:r>
            <w:r w:rsidR="000A5329" w:rsidRPr="002029AF">
              <w:t xml:space="preserve"> </w:t>
            </w:r>
            <w:r w:rsidRPr="002029AF">
              <w:t>than</w:t>
            </w:r>
            <w:r w:rsidR="000A5329" w:rsidRPr="002029AF">
              <w:t xml:space="preserve"> </w:t>
            </w:r>
            <w:r w:rsidRPr="002029AF">
              <w:t>PPP</w:t>
            </w:r>
          </w:p>
        </w:tc>
        <w:tc>
          <w:tcPr>
            <w:tcW w:w="1133" w:type="dxa"/>
            <w:shd w:val="clear" w:color="auto" w:fill="E7E6E6"/>
            <w:noWrap/>
            <w:hideMark/>
          </w:tcPr>
          <w:p w14:paraId="11F2B7B0" w14:textId="77777777" w:rsidR="00087B91" w:rsidRPr="002029AF" w:rsidRDefault="00087B91" w:rsidP="00860E95">
            <w:pPr>
              <w:pStyle w:val="ARfintablebodyrightbold"/>
              <w:spacing w:before="20"/>
            </w:pPr>
            <w:r w:rsidRPr="002029AF">
              <w:t>1,504.2</w:t>
            </w:r>
          </w:p>
        </w:tc>
        <w:tc>
          <w:tcPr>
            <w:tcW w:w="1133" w:type="dxa"/>
            <w:noWrap/>
            <w:hideMark/>
          </w:tcPr>
          <w:p w14:paraId="277D8CD7" w14:textId="77777777" w:rsidR="00087B91" w:rsidRPr="002029AF" w:rsidRDefault="00087B91" w:rsidP="00860E95">
            <w:pPr>
              <w:pStyle w:val="ARfintablebodyrightbold"/>
              <w:spacing w:before="20"/>
            </w:pPr>
            <w:r w:rsidRPr="002029AF">
              <w:t>1,751.4</w:t>
            </w:r>
          </w:p>
        </w:tc>
      </w:tr>
      <w:tr w:rsidR="00087B91" w:rsidRPr="002029AF" w14:paraId="46FF3F6A" w14:textId="77777777" w:rsidTr="00860E95">
        <w:tc>
          <w:tcPr>
            <w:tcW w:w="9637" w:type="dxa"/>
            <w:gridSpan w:val="3"/>
            <w:tcBorders>
              <w:bottom w:val="single" w:sz="4" w:space="0" w:color="auto"/>
            </w:tcBorders>
            <w:hideMark/>
          </w:tcPr>
          <w:p w14:paraId="50DCF065" w14:textId="39CCD322" w:rsidR="00087B91" w:rsidRPr="002029AF" w:rsidRDefault="00087B91" w:rsidP="00860E95">
            <w:pPr>
              <w:pStyle w:val="ARfintablebodybold"/>
              <w:spacing w:before="20" w:line="240" w:lineRule="auto"/>
            </w:pPr>
            <w:r w:rsidRPr="002029AF">
              <w:t>(e)</w:t>
            </w:r>
            <w:r w:rsidR="000A5329" w:rsidRPr="002029AF">
              <w:t xml:space="preserve"> </w:t>
            </w:r>
            <w:r w:rsidRPr="002029AF">
              <w:t>Public</w:t>
            </w:r>
            <w:r w:rsidR="000A5329" w:rsidRPr="002029AF">
              <w:t xml:space="preserve"> </w:t>
            </w:r>
            <w:r w:rsidRPr="002029AF">
              <w:t>Private</w:t>
            </w:r>
            <w:r w:rsidR="000A5329" w:rsidRPr="002029AF">
              <w:t xml:space="preserve"> </w:t>
            </w:r>
            <w:r w:rsidRPr="002029AF">
              <w:t>Partnership</w:t>
            </w:r>
            <w:r w:rsidR="000A5329" w:rsidRPr="002029AF">
              <w:t xml:space="preserve"> </w:t>
            </w:r>
            <w:r w:rsidRPr="002029AF">
              <w:t>(PPP)</w:t>
            </w:r>
            <w:r w:rsidR="000A5329" w:rsidRPr="002029AF">
              <w:t xml:space="preserve"> </w:t>
            </w:r>
            <w:r w:rsidRPr="002029AF">
              <w:t>commitments</w:t>
            </w:r>
          </w:p>
        </w:tc>
      </w:tr>
      <w:tr w:rsidR="00087B91" w:rsidRPr="002029AF" w14:paraId="66D7281A" w14:textId="77777777" w:rsidTr="00860E95">
        <w:tc>
          <w:tcPr>
            <w:tcW w:w="9637" w:type="dxa"/>
            <w:gridSpan w:val="3"/>
            <w:tcBorders>
              <w:top w:val="single" w:sz="4" w:space="0" w:color="auto"/>
              <w:bottom w:val="single" w:sz="4" w:space="0" w:color="A6A6A6"/>
            </w:tcBorders>
            <w:hideMark/>
          </w:tcPr>
          <w:p w14:paraId="49308E7D" w14:textId="3508A2DF" w:rsidR="00087B91" w:rsidRPr="002029AF" w:rsidRDefault="00087B91" w:rsidP="00860E95">
            <w:pPr>
              <w:pStyle w:val="ARfintablebodybold"/>
              <w:spacing w:before="20" w:line="240" w:lineRule="auto"/>
            </w:pPr>
            <w:r w:rsidRPr="002029AF">
              <w:t>1.</w:t>
            </w:r>
            <w:r w:rsidR="000A5329" w:rsidRPr="002029AF">
              <w:t xml:space="preserve"> </w:t>
            </w:r>
            <w:r w:rsidRPr="002029AF">
              <w:t>The</w:t>
            </w:r>
            <w:r w:rsidR="000A5329" w:rsidRPr="002029AF">
              <w:t xml:space="preserve"> </w:t>
            </w:r>
            <w:r w:rsidRPr="002029AF">
              <w:t>Royal</w:t>
            </w:r>
            <w:r w:rsidR="000A5329" w:rsidRPr="002029AF">
              <w:t xml:space="preserve"> </w:t>
            </w:r>
            <w:r w:rsidRPr="002029AF">
              <w:t>Women’s</w:t>
            </w:r>
            <w:r w:rsidR="000A5329" w:rsidRPr="002029AF">
              <w:t xml:space="preserve"> </w:t>
            </w:r>
            <w:r w:rsidRPr="002029AF">
              <w:t>Hospital</w:t>
            </w:r>
          </w:p>
        </w:tc>
      </w:tr>
      <w:tr w:rsidR="00087B91" w:rsidRPr="002029AF" w14:paraId="1A020874" w14:textId="77777777" w:rsidTr="00860E95">
        <w:tc>
          <w:tcPr>
            <w:tcW w:w="7371" w:type="dxa"/>
            <w:tcBorders>
              <w:top w:val="single" w:sz="4" w:space="0" w:color="A6A6A6"/>
              <w:bottom w:val="single" w:sz="4" w:space="0" w:color="A6A6A6"/>
            </w:tcBorders>
            <w:hideMark/>
          </w:tcPr>
          <w:p w14:paraId="672A4D5A" w14:textId="5AF4426F" w:rsidR="00087B91" w:rsidRPr="002029AF" w:rsidRDefault="00087B91" w:rsidP="00860E95">
            <w:pPr>
              <w:pStyle w:val="ARfintablebody"/>
              <w:spacing w:before="20" w:line="240" w:lineRule="auto"/>
            </w:pPr>
            <w:r w:rsidRPr="002029AF">
              <w:t>Less</w:t>
            </w:r>
            <w:r w:rsidR="000A5329" w:rsidRPr="002029AF">
              <w:t xml:space="preserve"> </w:t>
            </w:r>
            <w:r w:rsidRPr="002029AF">
              <w:t>than</w:t>
            </w:r>
            <w:r w:rsidR="000A5329" w:rsidRPr="002029AF">
              <w:t xml:space="preserve"> </w:t>
            </w:r>
            <w:r w:rsidRPr="002029AF">
              <w:t>1</w:t>
            </w:r>
            <w:r w:rsidR="000A5329" w:rsidRPr="002029AF">
              <w:t xml:space="preserve"> </w:t>
            </w:r>
            <w:r w:rsidRPr="002029AF">
              <w:t>year</w:t>
            </w:r>
          </w:p>
        </w:tc>
        <w:tc>
          <w:tcPr>
            <w:tcW w:w="1133" w:type="dxa"/>
            <w:tcBorders>
              <w:top w:val="single" w:sz="4" w:space="0" w:color="A6A6A6"/>
              <w:bottom w:val="single" w:sz="4" w:space="0" w:color="A6A6A6"/>
            </w:tcBorders>
            <w:shd w:val="clear" w:color="auto" w:fill="E7E6E6"/>
            <w:noWrap/>
            <w:hideMark/>
          </w:tcPr>
          <w:p w14:paraId="5CE662B7" w14:textId="77777777" w:rsidR="00087B91" w:rsidRPr="002029AF" w:rsidRDefault="00087B91" w:rsidP="00860E95">
            <w:pPr>
              <w:pStyle w:val="ARfintablebodyright"/>
              <w:spacing w:before="20" w:line="240" w:lineRule="auto"/>
            </w:pPr>
            <w:r w:rsidRPr="002029AF">
              <w:t>50.6</w:t>
            </w:r>
          </w:p>
        </w:tc>
        <w:tc>
          <w:tcPr>
            <w:tcW w:w="1133" w:type="dxa"/>
            <w:tcBorders>
              <w:top w:val="single" w:sz="4" w:space="0" w:color="A6A6A6"/>
              <w:bottom w:val="single" w:sz="4" w:space="0" w:color="A6A6A6"/>
            </w:tcBorders>
            <w:noWrap/>
            <w:hideMark/>
          </w:tcPr>
          <w:p w14:paraId="0D65EB56" w14:textId="77777777" w:rsidR="00087B91" w:rsidRPr="002029AF" w:rsidRDefault="00087B91" w:rsidP="00860E95">
            <w:pPr>
              <w:pStyle w:val="ARfintablebodyright"/>
              <w:spacing w:before="20" w:line="240" w:lineRule="auto"/>
            </w:pPr>
            <w:r w:rsidRPr="002029AF">
              <w:t>49.0</w:t>
            </w:r>
          </w:p>
        </w:tc>
      </w:tr>
      <w:tr w:rsidR="00087B91" w:rsidRPr="002029AF" w14:paraId="71DD442A" w14:textId="77777777" w:rsidTr="00860E95">
        <w:tc>
          <w:tcPr>
            <w:tcW w:w="7371" w:type="dxa"/>
            <w:tcBorders>
              <w:top w:val="single" w:sz="4" w:space="0" w:color="A6A6A6"/>
              <w:bottom w:val="single" w:sz="4" w:space="0" w:color="A6A6A6"/>
            </w:tcBorders>
            <w:hideMark/>
          </w:tcPr>
          <w:p w14:paraId="5B0B052F" w14:textId="26C0A6FF" w:rsidR="00087B91" w:rsidRPr="002029AF" w:rsidRDefault="00087B91" w:rsidP="00860E95">
            <w:pPr>
              <w:pStyle w:val="ARfintablebody"/>
              <w:spacing w:before="20" w:line="240" w:lineRule="auto"/>
            </w:pPr>
            <w:r w:rsidRPr="002029AF">
              <w:t>Longer</w:t>
            </w:r>
            <w:r w:rsidR="000A5329" w:rsidRPr="002029AF">
              <w:t xml:space="preserve"> </w:t>
            </w:r>
            <w:r w:rsidRPr="002029AF">
              <w:t>than</w:t>
            </w:r>
            <w:r w:rsidR="000A5329" w:rsidRPr="002029AF">
              <w:t xml:space="preserve"> </w:t>
            </w:r>
            <w:r w:rsidRPr="002029AF">
              <w:t>1</w:t>
            </w:r>
            <w:r w:rsidR="000A5329" w:rsidRPr="002029AF">
              <w:t xml:space="preserve"> </w:t>
            </w:r>
            <w:r w:rsidRPr="002029AF">
              <w:t>year</w:t>
            </w:r>
            <w:r w:rsidR="000A5329" w:rsidRPr="002029AF">
              <w:t xml:space="preserve"> </w:t>
            </w:r>
            <w:r w:rsidRPr="002029AF">
              <w:t>and</w:t>
            </w:r>
            <w:r w:rsidR="000A5329" w:rsidRPr="002029AF">
              <w:t xml:space="preserve"> </w:t>
            </w:r>
            <w:r w:rsidRPr="002029AF">
              <w:t>not</w:t>
            </w:r>
            <w:r w:rsidR="000A5329" w:rsidRPr="002029AF">
              <w:t xml:space="preserve"> </w:t>
            </w:r>
            <w:r w:rsidRPr="002029AF">
              <w:t>longer</w:t>
            </w:r>
            <w:r w:rsidR="000A5329" w:rsidRPr="002029AF">
              <w:t xml:space="preserve"> </w:t>
            </w:r>
            <w:r w:rsidRPr="002029AF">
              <w:t>than</w:t>
            </w:r>
            <w:r w:rsidR="000A5329" w:rsidRPr="002029AF">
              <w:t xml:space="preserve"> </w:t>
            </w:r>
            <w:r w:rsidRPr="002029AF">
              <w:t>5</w:t>
            </w:r>
            <w:r w:rsidR="000A5329" w:rsidRPr="002029AF">
              <w:t xml:space="preserve"> </w:t>
            </w:r>
            <w:r w:rsidRPr="002029AF">
              <w:t>years</w:t>
            </w:r>
          </w:p>
        </w:tc>
        <w:tc>
          <w:tcPr>
            <w:tcW w:w="1133" w:type="dxa"/>
            <w:tcBorders>
              <w:top w:val="single" w:sz="4" w:space="0" w:color="A6A6A6"/>
              <w:bottom w:val="single" w:sz="4" w:space="0" w:color="A6A6A6"/>
            </w:tcBorders>
            <w:shd w:val="clear" w:color="auto" w:fill="E7E6E6"/>
            <w:noWrap/>
            <w:hideMark/>
          </w:tcPr>
          <w:p w14:paraId="50D2BB02" w14:textId="77777777" w:rsidR="00087B91" w:rsidRPr="002029AF" w:rsidRDefault="00087B91" w:rsidP="00860E95">
            <w:pPr>
              <w:pStyle w:val="ARfintablebodyright"/>
              <w:spacing w:before="20" w:line="240" w:lineRule="auto"/>
            </w:pPr>
            <w:r w:rsidRPr="002029AF">
              <w:t>204.5</w:t>
            </w:r>
          </w:p>
        </w:tc>
        <w:tc>
          <w:tcPr>
            <w:tcW w:w="1133" w:type="dxa"/>
            <w:tcBorders>
              <w:top w:val="single" w:sz="4" w:space="0" w:color="A6A6A6"/>
              <w:bottom w:val="single" w:sz="4" w:space="0" w:color="A6A6A6"/>
            </w:tcBorders>
            <w:noWrap/>
            <w:hideMark/>
          </w:tcPr>
          <w:p w14:paraId="3F5D1AE3" w14:textId="77777777" w:rsidR="00087B91" w:rsidRPr="002029AF" w:rsidRDefault="00087B91" w:rsidP="00860E95">
            <w:pPr>
              <w:pStyle w:val="ARfintablebodyright"/>
              <w:spacing w:before="20" w:line="240" w:lineRule="auto"/>
            </w:pPr>
            <w:r w:rsidRPr="002029AF">
              <w:t>200.9</w:t>
            </w:r>
          </w:p>
        </w:tc>
      </w:tr>
      <w:tr w:rsidR="00087B91" w:rsidRPr="002029AF" w14:paraId="7049F699" w14:textId="77777777" w:rsidTr="00860E95">
        <w:tc>
          <w:tcPr>
            <w:tcW w:w="7371" w:type="dxa"/>
            <w:tcBorders>
              <w:top w:val="single" w:sz="4" w:space="0" w:color="A6A6A6"/>
            </w:tcBorders>
            <w:hideMark/>
          </w:tcPr>
          <w:p w14:paraId="508CE6F5" w14:textId="270399A3" w:rsidR="00087B91" w:rsidRPr="002029AF" w:rsidRDefault="00087B91" w:rsidP="00860E95">
            <w:pPr>
              <w:pStyle w:val="ARfintablebody"/>
              <w:spacing w:before="20" w:line="240" w:lineRule="auto"/>
            </w:pPr>
            <w:r w:rsidRPr="002029AF">
              <w:t>Longer</w:t>
            </w:r>
            <w:r w:rsidR="000A5329" w:rsidRPr="002029AF">
              <w:t xml:space="preserve"> </w:t>
            </w:r>
            <w:r w:rsidRPr="002029AF">
              <w:t>than</w:t>
            </w:r>
            <w:r w:rsidR="000A5329" w:rsidRPr="002029AF">
              <w:t xml:space="preserve"> </w:t>
            </w:r>
            <w:r w:rsidRPr="002029AF">
              <w:t>5</w:t>
            </w:r>
            <w:r w:rsidR="000A5329" w:rsidRPr="002029AF">
              <w:t xml:space="preserve"> </w:t>
            </w:r>
            <w:r w:rsidRPr="002029AF">
              <w:t>years</w:t>
            </w:r>
          </w:p>
        </w:tc>
        <w:tc>
          <w:tcPr>
            <w:tcW w:w="1133" w:type="dxa"/>
            <w:tcBorders>
              <w:top w:val="single" w:sz="4" w:space="0" w:color="A6A6A6"/>
            </w:tcBorders>
            <w:shd w:val="clear" w:color="auto" w:fill="E7E6E6"/>
            <w:noWrap/>
            <w:hideMark/>
          </w:tcPr>
          <w:p w14:paraId="48852DD4" w14:textId="77777777" w:rsidR="00087B91" w:rsidRPr="002029AF" w:rsidRDefault="00087B91" w:rsidP="00860E95">
            <w:pPr>
              <w:pStyle w:val="ARfintablebodyright"/>
              <w:spacing w:before="20" w:line="240" w:lineRule="auto"/>
            </w:pPr>
            <w:r w:rsidRPr="002029AF">
              <w:t>461.9</w:t>
            </w:r>
          </w:p>
        </w:tc>
        <w:tc>
          <w:tcPr>
            <w:tcW w:w="1133" w:type="dxa"/>
            <w:tcBorders>
              <w:top w:val="single" w:sz="4" w:space="0" w:color="A6A6A6"/>
            </w:tcBorders>
            <w:noWrap/>
            <w:hideMark/>
          </w:tcPr>
          <w:p w14:paraId="383BFC47" w14:textId="77777777" w:rsidR="00087B91" w:rsidRPr="002029AF" w:rsidRDefault="00087B91" w:rsidP="00860E95">
            <w:pPr>
              <w:pStyle w:val="ARfintablebodyright"/>
              <w:spacing w:before="20" w:line="240" w:lineRule="auto"/>
            </w:pPr>
            <w:r w:rsidRPr="002029AF">
              <w:t>516.3</w:t>
            </w:r>
          </w:p>
        </w:tc>
      </w:tr>
      <w:tr w:rsidR="00087B91" w:rsidRPr="002029AF" w14:paraId="3850AA3B" w14:textId="77777777" w:rsidTr="00860E95">
        <w:tc>
          <w:tcPr>
            <w:tcW w:w="7371" w:type="dxa"/>
            <w:tcBorders>
              <w:bottom w:val="single" w:sz="4" w:space="0" w:color="auto"/>
            </w:tcBorders>
            <w:hideMark/>
          </w:tcPr>
          <w:p w14:paraId="60863E5F" w14:textId="50B97E09" w:rsidR="00087B91" w:rsidRPr="002029AF" w:rsidRDefault="00087B91" w:rsidP="00860E95">
            <w:pPr>
              <w:pStyle w:val="ARfintablebodybold"/>
              <w:spacing w:before="20" w:line="240" w:lineRule="auto"/>
            </w:pPr>
            <w:r w:rsidRPr="002029AF">
              <w:t>Total</w:t>
            </w:r>
            <w:r w:rsidR="000A5329" w:rsidRPr="002029AF">
              <w:t xml:space="preserve"> </w:t>
            </w:r>
            <w:r w:rsidRPr="002029AF">
              <w:t>The</w:t>
            </w:r>
            <w:r w:rsidR="000A5329" w:rsidRPr="002029AF">
              <w:t xml:space="preserve"> </w:t>
            </w:r>
            <w:r w:rsidRPr="002029AF">
              <w:t>Royal</w:t>
            </w:r>
            <w:r w:rsidR="000A5329" w:rsidRPr="002029AF">
              <w:t xml:space="preserve"> </w:t>
            </w:r>
            <w:r w:rsidRPr="002029AF">
              <w:t>Women’s</w:t>
            </w:r>
            <w:r w:rsidR="000A5329" w:rsidRPr="002029AF">
              <w:t xml:space="preserve"> </w:t>
            </w:r>
            <w:r w:rsidRPr="002029AF">
              <w:t>Hospital</w:t>
            </w:r>
            <w:r w:rsidR="000A5329" w:rsidRPr="002029AF">
              <w:t xml:space="preserve"> </w:t>
            </w:r>
            <w:r w:rsidRPr="002029AF">
              <w:t>commitments</w:t>
            </w:r>
          </w:p>
        </w:tc>
        <w:tc>
          <w:tcPr>
            <w:tcW w:w="1133" w:type="dxa"/>
            <w:tcBorders>
              <w:bottom w:val="single" w:sz="4" w:space="0" w:color="auto"/>
            </w:tcBorders>
            <w:shd w:val="clear" w:color="auto" w:fill="E7E6E6"/>
            <w:noWrap/>
            <w:hideMark/>
          </w:tcPr>
          <w:p w14:paraId="1913A6D8" w14:textId="77777777" w:rsidR="00087B91" w:rsidRPr="002029AF" w:rsidRDefault="00087B91" w:rsidP="00860E95">
            <w:pPr>
              <w:pStyle w:val="ARfintablebodyrightbold"/>
              <w:spacing w:before="20"/>
            </w:pPr>
            <w:r w:rsidRPr="002029AF">
              <w:t>717.0</w:t>
            </w:r>
          </w:p>
        </w:tc>
        <w:tc>
          <w:tcPr>
            <w:tcW w:w="1133" w:type="dxa"/>
            <w:tcBorders>
              <w:bottom w:val="single" w:sz="4" w:space="0" w:color="auto"/>
            </w:tcBorders>
            <w:noWrap/>
            <w:hideMark/>
          </w:tcPr>
          <w:p w14:paraId="21F46844" w14:textId="77777777" w:rsidR="00087B91" w:rsidRPr="002029AF" w:rsidRDefault="00087B91" w:rsidP="00860E95">
            <w:pPr>
              <w:pStyle w:val="ARfintablebodyrightbold"/>
              <w:spacing w:before="20"/>
            </w:pPr>
            <w:r w:rsidRPr="002029AF">
              <w:t>766.1</w:t>
            </w:r>
          </w:p>
        </w:tc>
      </w:tr>
      <w:tr w:rsidR="00087B91" w:rsidRPr="002029AF" w14:paraId="4574F1D5" w14:textId="77777777" w:rsidTr="00860E95">
        <w:tc>
          <w:tcPr>
            <w:tcW w:w="9637" w:type="dxa"/>
            <w:gridSpan w:val="3"/>
            <w:tcBorders>
              <w:top w:val="single" w:sz="4" w:space="0" w:color="auto"/>
              <w:bottom w:val="single" w:sz="4" w:space="0" w:color="A6A6A6"/>
            </w:tcBorders>
            <w:hideMark/>
          </w:tcPr>
          <w:p w14:paraId="099F75C0" w14:textId="0A282E21" w:rsidR="00087B91" w:rsidRPr="002029AF" w:rsidRDefault="00087B91" w:rsidP="00860E95">
            <w:pPr>
              <w:pStyle w:val="ARfintablebodybold"/>
              <w:spacing w:before="20" w:line="240" w:lineRule="auto"/>
            </w:pPr>
            <w:r w:rsidRPr="002029AF">
              <w:t>2.</w:t>
            </w:r>
            <w:r w:rsidR="000A5329" w:rsidRPr="002029AF">
              <w:t xml:space="preserve"> </w:t>
            </w:r>
            <w:r w:rsidRPr="002029AF">
              <w:t>Monash</w:t>
            </w:r>
            <w:r w:rsidR="000A5329" w:rsidRPr="002029AF">
              <w:t xml:space="preserve"> </w:t>
            </w:r>
            <w:r w:rsidRPr="002029AF">
              <w:t>Health</w:t>
            </w:r>
          </w:p>
        </w:tc>
      </w:tr>
      <w:tr w:rsidR="00087B91" w:rsidRPr="002029AF" w14:paraId="5363B4B9" w14:textId="77777777" w:rsidTr="00860E95">
        <w:tc>
          <w:tcPr>
            <w:tcW w:w="7371" w:type="dxa"/>
            <w:tcBorders>
              <w:top w:val="single" w:sz="4" w:space="0" w:color="A6A6A6"/>
              <w:bottom w:val="single" w:sz="4" w:space="0" w:color="A6A6A6"/>
            </w:tcBorders>
            <w:hideMark/>
          </w:tcPr>
          <w:p w14:paraId="326E633A" w14:textId="04E9E792" w:rsidR="00087B91" w:rsidRPr="002029AF" w:rsidRDefault="00087B91" w:rsidP="00860E95">
            <w:pPr>
              <w:pStyle w:val="ARfintablebody"/>
              <w:spacing w:before="20" w:line="240" w:lineRule="auto"/>
            </w:pPr>
            <w:r w:rsidRPr="002029AF">
              <w:t>Less</w:t>
            </w:r>
            <w:r w:rsidR="000A5329" w:rsidRPr="002029AF">
              <w:t xml:space="preserve"> </w:t>
            </w:r>
            <w:r w:rsidRPr="002029AF">
              <w:t>than</w:t>
            </w:r>
            <w:r w:rsidR="000A5329" w:rsidRPr="002029AF">
              <w:t xml:space="preserve"> </w:t>
            </w:r>
            <w:r w:rsidRPr="002029AF">
              <w:t>1</w:t>
            </w:r>
            <w:r w:rsidR="000A5329" w:rsidRPr="002029AF">
              <w:t xml:space="preserve"> </w:t>
            </w:r>
            <w:r w:rsidRPr="002029AF">
              <w:t>year</w:t>
            </w:r>
          </w:p>
        </w:tc>
        <w:tc>
          <w:tcPr>
            <w:tcW w:w="1133" w:type="dxa"/>
            <w:tcBorders>
              <w:top w:val="single" w:sz="4" w:space="0" w:color="A6A6A6"/>
              <w:bottom w:val="single" w:sz="4" w:space="0" w:color="A6A6A6"/>
            </w:tcBorders>
            <w:shd w:val="clear" w:color="auto" w:fill="E7E6E6"/>
            <w:noWrap/>
            <w:hideMark/>
          </w:tcPr>
          <w:p w14:paraId="4FE182A8" w14:textId="77777777" w:rsidR="00087B91" w:rsidRPr="002029AF" w:rsidRDefault="00087B91" w:rsidP="00860E95">
            <w:pPr>
              <w:pStyle w:val="ARfintablebodyright"/>
              <w:spacing w:before="20" w:line="240" w:lineRule="auto"/>
            </w:pPr>
            <w:r w:rsidRPr="002029AF">
              <w:t>23.9</w:t>
            </w:r>
          </w:p>
        </w:tc>
        <w:tc>
          <w:tcPr>
            <w:tcW w:w="1133" w:type="dxa"/>
            <w:tcBorders>
              <w:top w:val="single" w:sz="4" w:space="0" w:color="A6A6A6"/>
              <w:bottom w:val="single" w:sz="4" w:space="0" w:color="A6A6A6"/>
            </w:tcBorders>
            <w:noWrap/>
            <w:hideMark/>
          </w:tcPr>
          <w:p w14:paraId="195E5807" w14:textId="77777777" w:rsidR="00087B91" w:rsidRPr="002029AF" w:rsidRDefault="00087B91" w:rsidP="00860E95">
            <w:pPr>
              <w:pStyle w:val="ARfintablebodyright"/>
              <w:spacing w:before="20" w:line="240" w:lineRule="auto"/>
            </w:pPr>
            <w:r w:rsidRPr="002029AF">
              <w:t>22.9</w:t>
            </w:r>
          </w:p>
        </w:tc>
      </w:tr>
      <w:tr w:rsidR="00087B91" w:rsidRPr="002029AF" w14:paraId="2B42898C" w14:textId="77777777" w:rsidTr="00860E95">
        <w:tc>
          <w:tcPr>
            <w:tcW w:w="7371" w:type="dxa"/>
            <w:tcBorders>
              <w:top w:val="single" w:sz="4" w:space="0" w:color="A6A6A6"/>
              <w:bottom w:val="single" w:sz="4" w:space="0" w:color="A6A6A6"/>
            </w:tcBorders>
            <w:hideMark/>
          </w:tcPr>
          <w:p w14:paraId="3318EF2E" w14:textId="53B66C63" w:rsidR="00087B91" w:rsidRPr="002029AF" w:rsidRDefault="00087B91" w:rsidP="00860E95">
            <w:pPr>
              <w:pStyle w:val="ARfintablebody"/>
              <w:spacing w:before="20" w:line="240" w:lineRule="auto"/>
            </w:pPr>
            <w:r w:rsidRPr="002029AF">
              <w:t>Longer</w:t>
            </w:r>
            <w:r w:rsidR="000A5329" w:rsidRPr="002029AF">
              <w:t xml:space="preserve"> </w:t>
            </w:r>
            <w:r w:rsidRPr="002029AF">
              <w:t>than</w:t>
            </w:r>
            <w:r w:rsidR="000A5329" w:rsidRPr="002029AF">
              <w:t xml:space="preserve"> </w:t>
            </w:r>
            <w:r w:rsidRPr="002029AF">
              <w:t>1</w:t>
            </w:r>
            <w:r w:rsidR="000A5329" w:rsidRPr="002029AF">
              <w:t xml:space="preserve"> </w:t>
            </w:r>
            <w:r w:rsidRPr="002029AF">
              <w:t>year</w:t>
            </w:r>
            <w:r w:rsidR="000A5329" w:rsidRPr="002029AF">
              <w:t xml:space="preserve"> </w:t>
            </w:r>
            <w:r w:rsidRPr="002029AF">
              <w:t>and</w:t>
            </w:r>
            <w:r w:rsidR="000A5329" w:rsidRPr="002029AF">
              <w:t xml:space="preserve"> </w:t>
            </w:r>
            <w:r w:rsidRPr="002029AF">
              <w:t>not</w:t>
            </w:r>
            <w:r w:rsidR="000A5329" w:rsidRPr="002029AF">
              <w:t xml:space="preserve"> </w:t>
            </w:r>
            <w:r w:rsidRPr="002029AF">
              <w:t>longer</w:t>
            </w:r>
            <w:r w:rsidR="000A5329" w:rsidRPr="002029AF">
              <w:t xml:space="preserve"> </w:t>
            </w:r>
            <w:r w:rsidRPr="002029AF">
              <w:t>than</w:t>
            </w:r>
            <w:r w:rsidR="000A5329" w:rsidRPr="002029AF">
              <w:t xml:space="preserve"> </w:t>
            </w:r>
            <w:r w:rsidRPr="002029AF">
              <w:t>5</w:t>
            </w:r>
            <w:r w:rsidR="000A5329" w:rsidRPr="002029AF">
              <w:t xml:space="preserve"> </w:t>
            </w:r>
            <w:r w:rsidRPr="002029AF">
              <w:t>years</w:t>
            </w:r>
          </w:p>
        </w:tc>
        <w:tc>
          <w:tcPr>
            <w:tcW w:w="1133" w:type="dxa"/>
            <w:tcBorders>
              <w:top w:val="single" w:sz="4" w:space="0" w:color="A6A6A6"/>
              <w:bottom w:val="single" w:sz="4" w:space="0" w:color="A6A6A6"/>
            </w:tcBorders>
            <w:shd w:val="clear" w:color="auto" w:fill="E7E6E6"/>
            <w:noWrap/>
            <w:hideMark/>
          </w:tcPr>
          <w:p w14:paraId="5E9C869C" w14:textId="77777777" w:rsidR="00087B91" w:rsidRPr="002029AF" w:rsidRDefault="00087B91" w:rsidP="00860E95">
            <w:pPr>
              <w:pStyle w:val="ARfintablebodyright"/>
              <w:spacing w:before="20" w:line="240" w:lineRule="auto"/>
            </w:pPr>
            <w:r w:rsidRPr="002029AF">
              <w:t>122.0</w:t>
            </w:r>
          </w:p>
        </w:tc>
        <w:tc>
          <w:tcPr>
            <w:tcW w:w="1133" w:type="dxa"/>
            <w:tcBorders>
              <w:top w:val="single" w:sz="4" w:space="0" w:color="A6A6A6"/>
              <w:bottom w:val="single" w:sz="4" w:space="0" w:color="A6A6A6"/>
            </w:tcBorders>
            <w:noWrap/>
            <w:hideMark/>
          </w:tcPr>
          <w:p w14:paraId="35E4F2C7" w14:textId="77777777" w:rsidR="00087B91" w:rsidRPr="002029AF" w:rsidRDefault="00087B91" w:rsidP="00860E95">
            <w:pPr>
              <w:pStyle w:val="ARfintablebodyright"/>
              <w:spacing w:before="20" w:line="240" w:lineRule="auto"/>
            </w:pPr>
            <w:r w:rsidRPr="002029AF">
              <w:t>109.5</w:t>
            </w:r>
          </w:p>
        </w:tc>
      </w:tr>
      <w:tr w:rsidR="00087B91" w:rsidRPr="002029AF" w14:paraId="67CB3876" w14:textId="77777777" w:rsidTr="00860E95">
        <w:tc>
          <w:tcPr>
            <w:tcW w:w="7371" w:type="dxa"/>
            <w:tcBorders>
              <w:top w:val="single" w:sz="4" w:space="0" w:color="A6A6A6"/>
            </w:tcBorders>
            <w:hideMark/>
          </w:tcPr>
          <w:p w14:paraId="32A37DC0" w14:textId="2EB1E118" w:rsidR="00087B91" w:rsidRPr="002029AF" w:rsidRDefault="00087B91" w:rsidP="00860E95">
            <w:pPr>
              <w:pStyle w:val="ARfintablebody"/>
              <w:spacing w:before="20" w:line="240" w:lineRule="auto"/>
            </w:pPr>
            <w:r w:rsidRPr="002029AF">
              <w:t>Longer</w:t>
            </w:r>
            <w:r w:rsidR="000A5329" w:rsidRPr="002029AF">
              <w:t xml:space="preserve"> </w:t>
            </w:r>
            <w:r w:rsidRPr="002029AF">
              <w:t>than</w:t>
            </w:r>
            <w:r w:rsidR="000A5329" w:rsidRPr="002029AF">
              <w:t xml:space="preserve"> </w:t>
            </w:r>
            <w:r w:rsidRPr="002029AF">
              <w:t>5</w:t>
            </w:r>
            <w:r w:rsidR="000A5329" w:rsidRPr="002029AF">
              <w:t xml:space="preserve"> </w:t>
            </w:r>
            <w:r w:rsidRPr="002029AF">
              <w:t>years</w:t>
            </w:r>
          </w:p>
        </w:tc>
        <w:tc>
          <w:tcPr>
            <w:tcW w:w="1133" w:type="dxa"/>
            <w:tcBorders>
              <w:top w:val="single" w:sz="4" w:space="0" w:color="A6A6A6"/>
            </w:tcBorders>
            <w:shd w:val="clear" w:color="auto" w:fill="E7E6E6"/>
            <w:noWrap/>
            <w:hideMark/>
          </w:tcPr>
          <w:p w14:paraId="451C09F0" w14:textId="77777777" w:rsidR="00087B91" w:rsidRPr="002029AF" w:rsidRDefault="00087B91" w:rsidP="00860E95">
            <w:pPr>
              <w:pStyle w:val="ARfintablebodyright"/>
              <w:spacing w:before="20" w:line="240" w:lineRule="auto"/>
            </w:pPr>
            <w:r w:rsidRPr="002029AF">
              <w:t>135.8</w:t>
            </w:r>
          </w:p>
        </w:tc>
        <w:tc>
          <w:tcPr>
            <w:tcW w:w="1133" w:type="dxa"/>
            <w:tcBorders>
              <w:top w:val="single" w:sz="4" w:space="0" w:color="A6A6A6"/>
            </w:tcBorders>
            <w:noWrap/>
            <w:hideMark/>
          </w:tcPr>
          <w:p w14:paraId="5FB61833" w14:textId="77777777" w:rsidR="00087B91" w:rsidRPr="002029AF" w:rsidRDefault="00087B91" w:rsidP="00860E95">
            <w:pPr>
              <w:pStyle w:val="ARfintablebodyright"/>
              <w:spacing w:before="20" w:line="240" w:lineRule="auto"/>
            </w:pPr>
            <w:r w:rsidRPr="002029AF">
              <w:t>169.3</w:t>
            </w:r>
          </w:p>
        </w:tc>
      </w:tr>
      <w:tr w:rsidR="00087B91" w:rsidRPr="002029AF" w14:paraId="2475F1A5" w14:textId="77777777" w:rsidTr="00860E95">
        <w:tc>
          <w:tcPr>
            <w:tcW w:w="7371" w:type="dxa"/>
            <w:tcBorders>
              <w:bottom w:val="single" w:sz="4" w:space="0" w:color="auto"/>
            </w:tcBorders>
            <w:hideMark/>
          </w:tcPr>
          <w:p w14:paraId="7A420232" w14:textId="6DC6CFC4" w:rsidR="00087B91" w:rsidRPr="002029AF" w:rsidRDefault="00087B91" w:rsidP="00860E95">
            <w:pPr>
              <w:pStyle w:val="ARfintablebodybold"/>
              <w:spacing w:before="20" w:line="240" w:lineRule="auto"/>
            </w:pPr>
            <w:r w:rsidRPr="002029AF">
              <w:t>Total</w:t>
            </w:r>
            <w:r w:rsidR="000A5329" w:rsidRPr="002029AF">
              <w:t xml:space="preserve"> </w:t>
            </w:r>
            <w:r w:rsidRPr="002029AF">
              <w:t>Monash</w:t>
            </w:r>
            <w:r w:rsidR="000A5329" w:rsidRPr="002029AF">
              <w:t xml:space="preserve"> </w:t>
            </w:r>
            <w:r w:rsidRPr="002029AF">
              <w:t>Health</w:t>
            </w:r>
            <w:r w:rsidR="000A5329" w:rsidRPr="002029AF">
              <w:t xml:space="preserve"> </w:t>
            </w:r>
            <w:r w:rsidRPr="002029AF">
              <w:t>commitments</w:t>
            </w:r>
          </w:p>
        </w:tc>
        <w:tc>
          <w:tcPr>
            <w:tcW w:w="1133" w:type="dxa"/>
            <w:tcBorders>
              <w:bottom w:val="single" w:sz="4" w:space="0" w:color="auto"/>
            </w:tcBorders>
            <w:shd w:val="clear" w:color="auto" w:fill="E7E6E6"/>
            <w:noWrap/>
            <w:hideMark/>
          </w:tcPr>
          <w:p w14:paraId="515B379E" w14:textId="77777777" w:rsidR="00087B91" w:rsidRPr="002029AF" w:rsidRDefault="00087B91" w:rsidP="00860E95">
            <w:pPr>
              <w:pStyle w:val="ARfintablebodyrightbold"/>
              <w:spacing w:before="20"/>
            </w:pPr>
            <w:r w:rsidRPr="002029AF">
              <w:t>281.7</w:t>
            </w:r>
          </w:p>
        </w:tc>
        <w:tc>
          <w:tcPr>
            <w:tcW w:w="1133" w:type="dxa"/>
            <w:tcBorders>
              <w:bottom w:val="single" w:sz="4" w:space="0" w:color="auto"/>
            </w:tcBorders>
            <w:noWrap/>
            <w:hideMark/>
          </w:tcPr>
          <w:p w14:paraId="33718131" w14:textId="77777777" w:rsidR="00087B91" w:rsidRPr="002029AF" w:rsidRDefault="00087B91" w:rsidP="00860E95">
            <w:pPr>
              <w:pStyle w:val="ARfintablebodyrightbold"/>
              <w:spacing w:before="20"/>
            </w:pPr>
            <w:r w:rsidRPr="002029AF">
              <w:t>301.7</w:t>
            </w:r>
          </w:p>
        </w:tc>
      </w:tr>
      <w:tr w:rsidR="00087B91" w:rsidRPr="002029AF" w14:paraId="0B3F0BF5" w14:textId="77777777" w:rsidTr="00860E95">
        <w:tc>
          <w:tcPr>
            <w:tcW w:w="9637" w:type="dxa"/>
            <w:gridSpan w:val="3"/>
            <w:tcBorders>
              <w:top w:val="single" w:sz="4" w:space="0" w:color="auto"/>
              <w:bottom w:val="single" w:sz="4" w:space="0" w:color="A6A6A6"/>
            </w:tcBorders>
            <w:hideMark/>
          </w:tcPr>
          <w:p w14:paraId="5BC40D4C" w14:textId="0D8D4AFE" w:rsidR="00087B91" w:rsidRPr="002029AF" w:rsidRDefault="00087B91" w:rsidP="00860E95">
            <w:pPr>
              <w:pStyle w:val="ARfintablebodybold"/>
              <w:spacing w:before="20" w:line="240" w:lineRule="auto"/>
            </w:pPr>
            <w:r w:rsidRPr="002029AF">
              <w:t>3.</w:t>
            </w:r>
            <w:r w:rsidR="000A5329" w:rsidRPr="002029AF">
              <w:t xml:space="preserve"> </w:t>
            </w:r>
            <w:r w:rsidRPr="002029AF">
              <w:t>The</w:t>
            </w:r>
            <w:r w:rsidR="000A5329" w:rsidRPr="002029AF">
              <w:t xml:space="preserve"> </w:t>
            </w:r>
            <w:r w:rsidRPr="002029AF">
              <w:t>Royal</w:t>
            </w:r>
            <w:r w:rsidR="000A5329" w:rsidRPr="002029AF">
              <w:t xml:space="preserve"> </w:t>
            </w:r>
            <w:r w:rsidRPr="002029AF">
              <w:t>Children’s</w:t>
            </w:r>
            <w:r w:rsidR="000A5329" w:rsidRPr="002029AF">
              <w:t xml:space="preserve"> </w:t>
            </w:r>
            <w:r w:rsidRPr="002029AF">
              <w:t>Hospital</w:t>
            </w:r>
          </w:p>
        </w:tc>
      </w:tr>
      <w:tr w:rsidR="00087B91" w:rsidRPr="002029AF" w14:paraId="62153A7C" w14:textId="77777777" w:rsidTr="00860E95">
        <w:tc>
          <w:tcPr>
            <w:tcW w:w="7371" w:type="dxa"/>
            <w:tcBorders>
              <w:top w:val="single" w:sz="4" w:space="0" w:color="A6A6A6"/>
              <w:bottom w:val="single" w:sz="4" w:space="0" w:color="A6A6A6"/>
            </w:tcBorders>
            <w:hideMark/>
          </w:tcPr>
          <w:p w14:paraId="0CBA6656" w14:textId="3BD707F1" w:rsidR="00087B91" w:rsidRPr="002029AF" w:rsidRDefault="00087B91" w:rsidP="00860E95">
            <w:pPr>
              <w:pStyle w:val="ARfintablebody"/>
              <w:spacing w:before="20" w:line="240" w:lineRule="auto"/>
            </w:pPr>
            <w:r w:rsidRPr="002029AF">
              <w:t>Less</w:t>
            </w:r>
            <w:r w:rsidR="000A5329" w:rsidRPr="002029AF">
              <w:t xml:space="preserve"> </w:t>
            </w:r>
            <w:r w:rsidRPr="002029AF">
              <w:t>than</w:t>
            </w:r>
            <w:r w:rsidR="000A5329" w:rsidRPr="002029AF">
              <w:t xml:space="preserve"> </w:t>
            </w:r>
            <w:r w:rsidRPr="002029AF">
              <w:t>1</w:t>
            </w:r>
            <w:r w:rsidR="000A5329" w:rsidRPr="002029AF">
              <w:t xml:space="preserve"> </w:t>
            </w:r>
            <w:r w:rsidRPr="002029AF">
              <w:t>year</w:t>
            </w:r>
          </w:p>
        </w:tc>
        <w:tc>
          <w:tcPr>
            <w:tcW w:w="1133" w:type="dxa"/>
            <w:tcBorders>
              <w:top w:val="single" w:sz="4" w:space="0" w:color="A6A6A6"/>
              <w:bottom w:val="single" w:sz="4" w:space="0" w:color="A6A6A6"/>
            </w:tcBorders>
            <w:shd w:val="clear" w:color="auto" w:fill="E7E6E6"/>
            <w:noWrap/>
            <w:hideMark/>
          </w:tcPr>
          <w:p w14:paraId="65F4AAC9" w14:textId="77777777" w:rsidR="00087B91" w:rsidRPr="002029AF" w:rsidRDefault="00087B91" w:rsidP="00860E95">
            <w:pPr>
              <w:pStyle w:val="ARfintablebodyright"/>
              <w:spacing w:before="20" w:line="240" w:lineRule="auto"/>
            </w:pPr>
            <w:r w:rsidRPr="002029AF">
              <w:t>159.1</w:t>
            </w:r>
          </w:p>
        </w:tc>
        <w:tc>
          <w:tcPr>
            <w:tcW w:w="1133" w:type="dxa"/>
            <w:tcBorders>
              <w:top w:val="single" w:sz="4" w:space="0" w:color="A6A6A6"/>
              <w:bottom w:val="single" w:sz="4" w:space="0" w:color="A6A6A6"/>
            </w:tcBorders>
            <w:noWrap/>
            <w:hideMark/>
          </w:tcPr>
          <w:p w14:paraId="7648CE0A" w14:textId="77777777" w:rsidR="00087B91" w:rsidRPr="002029AF" w:rsidRDefault="00087B91" w:rsidP="00860E95">
            <w:pPr>
              <w:pStyle w:val="ARfintablebodyright"/>
              <w:spacing w:before="20" w:line="240" w:lineRule="auto"/>
            </w:pPr>
            <w:r w:rsidRPr="002029AF">
              <w:t>149.5</w:t>
            </w:r>
          </w:p>
        </w:tc>
      </w:tr>
      <w:tr w:rsidR="00087B91" w:rsidRPr="002029AF" w14:paraId="124E0B22" w14:textId="77777777" w:rsidTr="00860E95">
        <w:tc>
          <w:tcPr>
            <w:tcW w:w="7371" w:type="dxa"/>
            <w:tcBorders>
              <w:top w:val="single" w:sz="4" w:space="0" w:color="A6A6A6"/>
              <w:bottom w:val="single" w:sz="4" w:space="0" w:color="A6A6A6"/>
            </w:tcBorders>
            <w:hideMark/>
          </w:tcPr>
          <w:p w14:paraId="637193C4" w14:textId="2F0EF2DE" w:rsidR="00087B91" w:rsidRPr="002029AF" w:rsidRDefault="00087B91" w:rsidP="00860E95">
            <w:pPr>
              <w:pStyle w:val="ARfintablebody"/>
              <w:spacing w:before="20" w:line="240" w:lineRule="auto"/>
            </w:pPr>
            <w:r w:rsidRPr="002029AF">
              <w:t>Longer</w:t>
            </w:r>
            <w:r w:rsidR="000A5329" w:rsidRPr="002029AF">
              <w:t xml:space="preserve"> </w:t>
            </w:r>
            <w:r w:rsidRPr="002029AF">
              <w:t>than</w:t>
            </w:r>
            <w:r w:rsidR="000A5329" w:rsidRPr="002029AF">
              <w:t xml:space="preserve"> </w:t>
            </w:r>
            <w:r w:rsidRPr="002029AF">
              <w:t>1</w:t>
            </w:r>
            <w:r w:rsidR="000A5329" w:rsidRPr="002029AF">
              <w:t xml:space="preserve"> </w:t>
            </w:r>
            <w:r w:rsidRPr="002029AF">
              <w:t>year</w:t>
            </w:r>
            <w:r w:rsidR="000A5329" w:rsidRPr="002029AF">
              <w:t xml:space="preserve"> </w:t>
            </w:r>
            <w:r w:rsidRPr="002029AF">
              <w:t>and</w:t>
            </w:r>
            <w:r w:rsidR="000A5329" w:rsidRPr="002029AF">
              <w:t xml:space="preserve"> </w:t>
            </w:r>
            <w:r w:rsidRPr="002029AF">
              <w:t>not</w:t>
            </w:r>
            <w:r w:rsidR="000A5329" w:rsidRPr="002029AF">
              <w:t xml:space="preserve"> </w:t>
            </w:r>
            <w:r w:rsidRPr="002029AF">
              <w:t>longer</w:t>
            </w:r>
            <w:r w:rsidR="000A5329" w:rsidRPr="002029AF">
              <w:t xml:space="preserve"> </w:t>
            </w:r>
            <w:r w:rsidRPr="002029AF">
              <w:t>than</w:t>
            </w:r>
            <w:r w:rsidR="000A5329" w:rsidRPr="002029AF">
              <w:t xml:space="preserve"> </w:t>
            </w:r>
            <w:r w:rsidRPr="002029AF">
              <w:t>5</w:t>
            </w:r>
            <w:r w:rsidR="000A5329" w:rsidRPr="002029AF">
              <w:t xml:space="preserve"> </w:t>
            </w:r>
            <w:r w:rsidRPr="002029AF">
              <w:t>years</w:t>
            </w:r>
          </w:p>
        </w:tc>
        <w:tc>
          <w:tcPr>
            <w:tcW w:w="1133" w:type="dxa"/>
            <w:tcBorders>
              <w:top w:val="single" w:sz="4" w:space="0" w:color="A6A6A6"/>
              <w:bottom w:val="single" w:sz="4" w:space="0" w:color="A6A6A6"/>
            </w:tcBorders>
            <w:shd w:val="clear" w:color="auto" w:fill="E7E6E6"/>
            <w:noWrap/>
            <w:hideMark/>
          </w:tcPr>
          <w:p w14:paraId="173EB58D" w14:textId="77777777" w:rsidR="00087B91" w:rsidRPr="002029AF" w:rsidRDefault="00087B91" w:rsidP="00860E95">
            <w:pPr>
              <w:pStyle w:val="ARfintablebodyright"/>
              <w:spacing w:before="20" w:line="240" w:lineRule="auto"/>
            </w:pPr>
            <w:r w:rsidRPr="002029AF">
              <w:t>655.3</w:t>
            </w:r>
          </w:p>
        </w:tc>
        <w:tc>
          <w:tcPr>
            <w:tcW w:w="1133" w:type="dxa"/>
            <w:tcBorders>
              <w:top w:val="single" w:sz="4" w:space="0" w:color="A6A6A6"/>
              <w:bottom w:val="single" w:sz="4" w:space="0" w:color="A6A6A6"/>
            </w:tcBorders>
            <w:noWrap/>
            <w:hideMark/>
          </w:tcPr>
          <w:p w14:paraId="5BC7928D" w14:textId="77777777" w:rsidR="00087B91" w:rsidRPr="002029AF" w:rsidRDefault="00087B91" w:rsidP="00860E95">
            <w:pPr>
              <w:pStyle w:val="ARfintablebodyright"/>
              <w:spacing w:before="20" w:line="240" w:lineRule="auto"/>
            </w:pPr>
            <w:r w:rsidRPr="002029AF">
              <w:t>650.2</w:t>
            </w:r>
          </w:p>
        </w:tc>
      </w:tr>
      <w:tr w:rsidR="00087B91" w:rsidRPr="002029AF" w14:paraId="38F405A6" w14:textId="77777777" w:rsidTr="00860E95">
        <w:tc>
          <w:tcPr>
            <w:tcW w:w="7371" w:type="dxa"/>
            <w:tcBorders>
              <w:top w:val="single" w:sz="4" w:space="0" w:color="A6A6A6"/>
            </w:tcBorders>
            <w:hideMark/>
          </w:tcPr>
          <w:p w14:paraId="570DDE02" w14:textId="2B24EAC8" w:rsidR="00087B91" w:rsidRPr="002029AF" w:rsidRDefault="00087B91" w:rsidP="00860E95">
            <w:pPr>
              <w:pStyle w:val="ARfintablebody"/>
              <w:spacing w:before="20" w:line="240" w:lineRule="auto"/>
            </w:pPr>
            <w:r w:rsidRPr="002029AF">
              <w:t>Longer</w:t>
            </w:r>
            <w:r w:rsidR="000A5329" w:rsidRPr="002029AF">
              <w:t xml:space="preserve"> </w:t>
            </w:r>
            <w:r w:rsidRPr="002029AF">
              <w:t>than</w:t>
            </w:r>
            <w:r w:rsidR="000A5329" w:rsidRPr="002029AF">
              <w:t xml:space="preserve"> </w:t>
            </w:r>
            <w:r w:rsidRPr="002029AF">
              <w:t>5</w:t>
            </w:r>
            <w:r w:rsidR="000A5329" w:rsidRPr="002029AF">
              <w:t xml:space="preserve"> </w:t>
            </w:r>
            <w:r w:rsidRPr="002029AF">
              <w:t>years</w:t>
            </w:r>
          </w:p>
        </w:tc>
        <w:tc>
          <w:tcPr>
            <w:tcW w:w="1133" w:type="dxa"/>
            <w:tcBorders>
              <w:top w:val="single" w:sz="4" w:space="0" w:color="A6A6A6"/>
            </w:tcBorders>
            <w:shd w:val="clear" w:color="auto" w:fill="E7E6E6"/>
            <w:noWrap/>
            <w:hideMark/>
          </w:tcPr>
          <w:p w14:paraId="4A0AD794" w14:textId="77777777" w:rsidR="00087B91" w:rsidRPr="002029AF" w:rsidRDefault="00087B91" w:rsidP="00860E95">
            <w:pPr>
              <w:pStyle w:val="ARfintablebodyright"/>
              <w:spacing w:before="20" w:line="240" w:lineRule="auto"/>
            </w:pPr>
            <w:r w:rsidRPr="002029AF">
              <w:t>2,295.3</w:t>
            </w:r>
          </w:p>
        </w:tc>
        <w:tc>
          <w:tcPr>
            <w:tcW w:w="1133" w:type="dxa"/>
            <w:tcBorders>
              <w:top w:val="single" w:sz="4" w:space="0" w:color="A6A6A6"/>
            </w:tcBorders>
            <w:noWrap/>
            <w:hideMark/>
          </w:tcPr>
          <w:p w14:paraId="1CFD3557" w14:textId="77777777" w:rsidR="00087B91" w:rsidRPr="002029AF" w:rsidRDefault="00087B91" w:rsidP="00860E95">
            <w:pPr>
              <w:pStyle w:val="ARfintablebodyright"/>
              <w:spacing w:before="20" w:line="240" w:lineRule="auto"/>
            </w:pPr>
            <w:r w:rsidRPr="002029AF">
              <w:t>2,454.4</w:t>
            </w:r>
          </w:p>
        </w:tc>
      </w:tr>
      <w:tr w:rsidR="00087B91" w:rsidRPr="002029AF" w14:paraId="2D56291D" w14:textId="77777777" w:rsidTr="00860E95">
        <w:tc>
          <w:tcPr>
            <w:tcW w:w="7371" w:type="dxa"/>
            <w:tcBorders>
              <w:bottom w:val="single" w:sz="4" w:space="0" w:color="auto"/>
            </w:tcBorders>
            <w:hideMark/>
          </w:tcPr>
          <w:p w14:paraId="0489903E" w14:textId="575171B4" w:rsidR="00087B91" w:rsidRPr="002029AF" w:rsidRDefault="00087B91" w:rsidP="00860E95">
            <w:pPr>
              <w:pStyle w:val="ARfintablebodybold"/>
              <w:spacing w:before="20" w:line="240" w:lineRule="auto"/>
            </w:pPr>
            <w:r w:rsidRPr="002029AF">
              <w:t>Total</w:t>
            </w:r>
            <w:r w:rsidR="000A5329" w:rsidRPr="002029AF">
              <w:t xml:space="preserve"> </w:t>
            </w:r>
            <w:r w:rsidRPr="002029AF">
              <w:t>The</w:t>
            </w:r>
            <w:r w:rsidR="000A5329" w:rsidRPr="002029AF">
              <w:t xml:space="preserve"> </w:t>
            </w:r>
            <w:r w:rsidRPr="002029AF">
              <w:t>Royal</w:t>
            </w:r>
            <w:r w:rsidR="000A5329" w:rsidRPr="002029AF">
              <w:t xml:space="preserve"> </w:t>
            </w:r>
            <w:r w:rsidRPr="002029AF">
              <w:t>Children’s</w:t>
            </w:r>
            <w:r w:rsidR="000A5329" w:rsidRPr="002029AF">
              <w:t xml:space="preserve"> </w:t>
            </w:r>
            <w:r w:rsidRPr="002029AF">
              <w:t>Hospital</w:t>
            </w:r>
            <w:r w:rsidR="000A5329" w:rsidRPr="002029AF">
              <w:t xml:space="preserve"> </w:t>
            </w:r>
            <w:r w:rsidRPr="002029AF">
              <w:t>commitments</w:t>
            </w:r>
          </w:p>
        </w:tc>
        <w:tc>
          <w:tcPr>
            <w:tcW w:w="1133" w:type="dxa"/>
            <w:tcBorders>
              <w:bottom w:val="single" w:sz="4" w:space="0" w:color="auto"/>
            </w:tcBorders>
            <w:shd w:val="clear" w:color="auto" w:fill="E7E6E6"/>
            <w:noWrap/>
            <w:hideMark/>
          </w:tcPr>
          <w:p w14:paraId="2C6F5352" w14:textId="77777777" w:rsidR="00087B91" w:rsidRPr="002029AF" w:rsidRDefault="00087B91" w:rsidP="00860E95">
            <w:pPr>
              <w:pStyle w:val="ARfintablebodyrightbold"/>
              <w:spacing w:before="20"/>
            </w:pPr>
            <w:r w:rsidRPr="002029AF">
              <w:t>3,109.7</w:t>
            </w:r>
          </w:p>
        </w:tc>
        <w:tc>
          <w:tcPr>
            <w:tcW w:w="1133" w:type="dxa"/>
            <w:tcBorders>
              <w:bottom w:val="single" w:sz="4" w:space="0" w:color="auto"/>
            </w:tcBorders>
            <w:noWrap/>
            <w:hideMark/>
          </w:tcPr>
          <w:p w14:paraId="45DC3E7D" w14:textId="77777777" w:rsidR="00087B91" w:rsidRPr="002029AF" w:rsidRDefault="00087B91" w:rsidP="00860E95">
            <w:pPr>
              <w:pStyle w:val="ARfintablebodyrightbold"/>
              <w:spacing w:before="20"/>
            </w:pPr>
            <w:r w:rsidRPr="002029AF">
              <w:t>3,254.1</w:t>
            </w:r>
          </w:p>
        </w:tc>
      </w:tr>
      <w:tr w:rsidR="00087B91" w:rsidRPr="002029AF" w14:paraId="4630B7E5" w14:textId="77777777" w:rsidTr="00860E95">
        <w:tc>
          <w:tcPr>
            <w:tcW w:w="9637" w:type="dxa"/>
            <w:gridSpan w:val="3"/>
            <w:tcBorders>
              <w:top w:val="single" w:sz="4" w:space="0" w:color="auto"/>
              <w:bottom w:val="single" w:sz="4" w:space="0" w:color="A6A6A6"/>
            </w:tcBorders>
            <w:hideMark/>
          </w:tcPr>
          <w:p w14:paraId="5D73FFFF" w14:textId="748A017F" w:rsidR="00087B91" w:rsidRPr="002029AF" w:rsidRDefault="00087B91" w:rsidP="00860E95">
            <w:pPr>
              <w:pStyle w:val="ARfintablebodybold"/>
              <w:spacing w:before="20" w:line="240" w:lineRule="auto"/>
            </w:pPr>
            <w:r w:rsidRPr="002029AF">
              <w:t>4.</w:t>
            </w:r>
            <w:r w:rsidR="000A5329" w:rsidRPr="002029AF">
              <w:t xml:space="preserve"> </w:t>
            </w:r>
            <w:r w:rsidRPr="002029AF">
              <w:t>Peter</w:t>
            </w:r>
            <w:r w:rsidR="000A5329" w:rsidRPr="002029AF">
              <w:t xml:space="preserve"> </w:t>
            </w:r>
            <w:r w:rsidRPr="002029AF">
              <w:t>MacCallum</w:t>
            </w:r>
            <w:r w:rsidR="000A5329" w:rsidRPr="002029AF">
              <w:t xml:space="preserve"> </w:t>
            </w:r>
            <w:r w:rsidRPr="002029AF">
              <w:t>Cancer</w:t>
            </w:r>
            <w:r w:rsidR="000A5329" w:rsidRPr="002029AF">
              <w:t xml:space="preserve"> </w:t>
            </w:r>
            <w:r w:rsidRPr="002029AF">
              <w:t>Centre</w:t>
            </w:r>
          </w:p>
        </w:tc>
      </w:tr>
      <w:tr w:rsidR="00087B91" w:rsidRPr="002029AF" w14:paraId="299E8E12" w14:textId="77777777" w:rsidTr="00860E95">
        <w:tc>
          <w:tcPr>
            <w:tcW w:w="7371" w:type="dxa"/>
            <w:tcBorders>
              <w:top w:val="single" w:sz="4" w:space="0" w:color="A6A6A6"/>
              <w:bottom w:val="single" w:sz="4" w:space="0" w:color="A6A6A6"/>
            </w:tcBorders>
            <w:hideMark/>
          </w:tcPr>
          <w:p w14:paraId="560BB95C" w14:textId="7B7A0C3F" w:rsidR="00087B91" w:rsidRPr="002029AF" w:rsidRDefault="00087B91" w:rsidP="00860E95">
            <w:pPr>
              <w:pStyle w:val="ARfintablebody"/>
              <w:spacing w:before="20" w:line="240" w:lineRule="auto"/>
            </w:pPr>
            <w:r w:rsidRPr="002029AF">
              <w:t>Less</w:t>
            </w:r>
            <w:r w:rsidR="000A5329" w:rsidRPr="002029AF">
              <w:t xml:space="preserve"> </w:t>
            </w:r>
            <w:r w:rsidRPr="002029AF">
              <w:t>than</w:t>
            </w:r>
            <w:r w:rsidR="000A5329" w:rsidRPr="002029AF">
              <w:t xml:space="preserve"> </w:t>
            </w:r>
            <w:r w:rsidRPr="002029AF">
              <w:t>1</w:t>
            </w:r>
            <w:r w:rsidR="000A5329" w:rsidRPr="002029AF">
              <w:t xml:space="preserve"> </w:t>
            </w:r>
            <w:r w:rsidRPr="002029AF">
              <w:t>year</w:t>
            </w:r>
          </w:p>
        </w:tc>
        <w:tc>
          <w:tcPr>
            <w:tcW w:w="1133" w:type="dxa"/>
            <w:tcBorders>
              <w:top w:val="single" w:sz="4" w:space="0" w:color="A6A6A6"/>
              <w:bottom w:val="single" w:sz="4" w:space="0" w:color="A6A6A6"/>
            </w:tcBorders>
            <w:shd w:val="clear" w:color="auto" w:fill="E7E6E6"/>
            <w:noWrap/>
            <w:hideMark/>
          </w:tcPr>
          <w:p w14:paraId="1AD2F137" w14:textId="77777777" w:rsidR="00087B91" w:rsidRPr="002029AF" w:rsidRDefault="00087B91" w:rsidP="00860E95">
            <w:pPr>
              <w:pStyle w:val="ARfintablebodyright"/>
              <w:spacing w:before="20" w:line="240" w:lineRule="auto"/>
            </w:pPr>
            <w:r w:rsidRPr="002029AF">
              <w:t>171.6</w:t>
            </w:r>
          </w:p>
        </w:tc>
        <w:tc>
          <w:tcPr>
            <w:tcW w:w="1133" w:type="dxa"/>
            <w:tcBorders>
              <w:top w:val="single" w:sz="4" w:space="0" w:color="A6A6A6"/>
              <w:bottom w:val="single" w:sz="4" w:space="0" w:color="A6A6A6"/>
            </w:tcBorders>
            <w:noWrap/>
            <w:hideMark/>
          </w:tcPr>
          <w:p w14:paraId="297C88F3" w14:textId="77777777" w:rsidR="00087B91" w:rsidRPr="002029AF" w:rsidRDefault="00087B91" w:rsidP="00860E95">
            <w:pPr>
              <w:pStyle w:val="ARfintablebodyright"/>
              <w:spacing w:before="20" w:line="240" w:lineRule="auto"/>
            </w:pPr>
            <w:r w:rsidRPr="002029AF">
              <w:t>169.2</w:t>
            </w:r>
          </w:p>
        </w:tc>
      </w:tr>
      <w:tr w:rsidR="00087B91" w:rsidRPr="002029AF" w14:paraId="72ED8A4B" w14:textId="77777777" w:rsidTr="00860E95">
        <w:tc>
          <w:tcPr>
            <w:tcW w:w="7371" w:type="dxa"/>
            <w:tcBorders>
              <w:top w:val="single" w:sz="4" w:space="0" w:color="A6A6A6"/>
              <w:bottom w:val="single" w:sz="4" w:space="0" w:color="A6A6A6"/>
            </w:tcBorders>
            <w:hideMark/>
          </w:tcPr>
          <w:p w14:paraId="42BD206E" w14:textId="7FC3B64E" w:rsidR="00087B91" w:rsidRPr="002029AF" w:rsidRDefault="00087B91" w:rsidP="00860E95">
            <w:pPr>
              <w:pStyle w:val="ARfintablebody"/>
              <w:spacing w:before="20" w:line="240" w:lineRule="auto"/>
            </w:pPr>
            <w:r w:rsidRPr="002029AF">
              <w:t>Longer</w:t>
            </w:r>
            <w:r w:rsidR="000A5329" w:rsidRPr="002029AF">
              <w:t xml:space="preserve"> </w:t>
            </w:r>
            <w:r w:rsidRPr="002029AF">
              <w:t>than</w:t>
            </w:r>
            <w:r w:rsidR="000A5329" w:rsidRPr="002029AF">
              <w:t xml:space="preserve"> </w:t>
            </w:r>
            <w:r w:rsidRPr="002029AF">
              <w:t>1</w:t>
            </w:r>
            <w:r w:rsidR="000A5329" w:rsidRPr="002029AF">
              <w:t xml:space="preserve"> </w:t>
            </w:r>
            <w:r w:rsidRPr="002029AF">
              <w:t>year</w:t>
            </w:r>
            <w:r w:rsidR="000A5329" w:rsidRPr="002029AF">
              <w:t xml:space="preserve"> </w:t>
            </w:r>
            <w:r w:rsidRPr="002029AF">
              <w:t>and</w:t>
            </w:r>
            <w:r w:rsidR="000A5329" w:rsidRPr="002029AF">
              <w:t xml:space="preserve"> </w:t>
            </w:r>
            <w:r w:rsidRPr="002029AF">
              <w:t>not</w:t>
            </w:r>
            <w:r w:rsidR="000A5329" w:rsidRPr="002029AF">
              <w:t xml:space="preserve"> </w:t>
            </w:r>
            <w:r w:rsidRPr="002029AF">
              <w:t>longer</w:t>
            </w:r>
            <w:r w:rsidR="000A5329" w:rsidRPr="002029AF">
              <w:t xml:space="preserve"> </w:t>
            </w:r>
            <w:r w:rsidRPr="002029AF">
              <w:t>than</w:t>
            </w:r>
            <w:r w:rsidR="000A5329" w:rsidRPr="002029AF">
              <w:t xml:space="preserve"> </w:t>
            </w:r>
            <w:r w:rsidRPr="002029AF">
              <w:t>5</w:t>
            </w:r>
            <w:r w:rsidR="000A5329" w:rsidRPr="002029AF">
              <w:t xml:space="preserve"> </w:t>
            </w:r>
            <w:r w:rsidRPr="002029AF">
              <w:t>years</w:t>
            </w:r>
          </w:p>
        </w:tc>
        <w:tc>
          <w:tcPr>
            <w:tcW w:w="1133" w:type="dxa"/>
            <w:tcBorders>
              <w:top w:val="single" w:sz="4" w:space="0" w:color="A6A6A6"/>
              <w:bottom w:val="single" w:sz="4" w:space="0" w:color="A6A6A6"/>
            </w:tcBorders>
            <w:shd w:val="clear" w:color="auto" w:fill="E7E6E6"/>
            <w:noWrap/>
            <w:hideMark/>
          </w:tcPr>
          <w:p w14:paraId="6C91F845" w14:textId="77777777" w:rsidR="00087B91" w:rsidRPr="002029AF" w:rsidRDefault="00087B91" w:rsidP="00860E95">
            <w:pPr>
              <w:pStyle w:val="ARfintablebodyright"/>
              <w:spacing w:before="20" w:line="240" w:lineRule="auto"/>
            </w:pPr>
            <w:r w:rsidRPr="002029AF">
              <w:t>561.1</w:t>
            </w:r>
          </w:p>
        </w:tc>
        <w:tc>
          <w:tcPr>
            <w:tcW w:w="1133" w:type="dxa"/>
            <w:tcBorders>
              <w:top w:val="single" w:sz="4" w:space="0" w:color="A6A6A6"/>
              <w:bottom w:val="single" w:sz="4" w:space="0" w:color="A6A6A6"/>
            </w:tcBorders>
            <w:noWrap/>
            <w:hideMark/>
          </w:tcPr>
          <w:p w14:paraId="36EE66E1" w14:textId="77777777" w:rsidR="00087B91" w:rsidRPr="002029AF" w:rsidRDefault="00087B91" w:rsidP="00860E95">
            <w:pPr>
              <w:pStyle w:val="ARfintablebodyright"/>
              <w:spacing w:before="20" w:line="240" w:lineRule="auto"/>
            </w:pPr>
            <w:r w:rsidRPr="002029AF">
              <w:t>600.1</w:t>
            </w:r>
          </w:p>
        </w:tc>
      </w:tr>
      <w:tr w:rsidR="00087B91" w:rsidRPr="002029AF" w14:paraId="2E260984" w14:textId="77777777" w:rsidTr="00860E95">
        <w:tc>
          <w:tcPr>
            <w:tcW w:w="7371" w:type="dxa"/>
            <w:tcBorders>
              <w:top w:val="single" w:sz="4" w:space="0" w:color="A6A6A6"/>
            </w:tcBorders>
            <w:hideMark/>
          </w:tcPr>
          <w:p w14:paraId="1DDF672B" w14:textId="70D44E45" w:rsidR="00087B91" w:rsidRPr="002029AF" w:rsidRDefault="00087B91" w:rsidP="00860E95">
            <w:pPr>
              <w:pStyle w:val="ARfintablebody"/>
              <w:spacing w:before="20" w:line="240" w:lineRule="auto"/>
            </w:pPr>
            <w:r w:rsidRPr="002029AF">
              <w:t>Longer</w:t>
            </w:r>
            <w:r w:rsidR="000A5329" w:rsidRPr="002029AF">
              <w:t xml:space="preserve"> </w:t>
            </w:r>
            <w:r w:rsidRPr="002029AF">
              <w:t>than</w:t>
            </w:r>
            <w:r w:rsidR="000A5329" w:rsidRPr="002029AF">
              <w:t xml:space="preserve"> </w:t>
            </w:r>
            <w:r w:rsidRPr="002029AF">
              <w:t>5</w:t>
            </w:r>
            <w:r w:rsidR="000A5329" w:rsidRPr="002029AF">
              <w:t xml:space="preserve"> </w:t>
            </w:r>
            <w:r w:rsidRPr="002029AF">
              <w:t>years</w:t>
            </w:r>
          </w:p>
        </w:tc>
        <w:tc>
          <w:tcPr>
            <w:tcW w:w="1133" w:type="dxa"/>
            <w:tcBorders>
              <w:top w:val="single" w:sz="4" w:space="0" w:color="A6A6A6"/>
            </w:tcBorders>
            <w:shd w:val="clear" w:color="auto" w:fill="E7E6E6"/>
            <w:noWrap/>
            <w:hideMark/>
          </w:tcPr>
          <w:p w14:paraId="1E85A348" w14:textId="77777777" w:rsidR="00087B91" w:rsidRPr="002029AF" w:rsidRDefault="00087B91" w:rsidP="00860E95">
            <w:pPr>
              <w:pStyle w:val="ARfintablebodyright"/>
              <w:spacing w:before="20" w:line="240" w:lineRule="auto"/>
            </w:pPr>
            <w:r w:rsidRPr="002029AF">
              <w:t>1,651.3</w:t>
            </w:r>
          </w:p>
        </w:tc>
        <w:tc>
          <w:tcPr>
            <w:tcW w:w="1133" w:type="dxa"/>
            <w:tcBorders>
              <w:top w:val="single" w:sz="4" w:space="0" w:color="A6A6A6"/>
            </w:tcBorders>
            <w:noWrap/>
            <w:hideMark/>
          </w:tcPr>
          <w:p w14:paraId="07D5BFA6" w14:textId="77777777" w:rsidR="00087B91" w:rsidRPr="002029AF" w:rsidRDefault="00087B91" w:rsidP="00860E95">
            <w:pPr>
              <w:pStyle w:val="ARfintablebodyright"/>
              <w:spacing w:before="20" w:line="240" w:lineRule="auto"/>
            </w:pPr>
            <w:r w:rsidRPr="002029AF">
              <w:t>1,836.3</w:t>
            </w:r>
          </w:p>
        </w:tc>
      </w:tr>
      <w:tr w:rsidR="00087B91" w:rsidRPr="002029AF" w14:paraId="09AF923B" w14:textId="77777777" w:rsidTr="00860E95">
        <w:tc>
          <w:tcPr>
            <w:tcW w:w="7371" w:type="dxa"/>
            <w:tcBorders>
              <w:bottom w:val="single" w:sz="4" w:space="0" w:color="auto"/>
            </w:tcBorders>
            <w:hideMark/>
          </w:tcPr>
          <w:p w14:paraId="0447C800" w14:textId="074E09D1" w:rsidR="00087B91" w:rsidRPr="002029AF" w:rsidRDefault="00087B91" w:rsidP="00860E95">
            <w:pPr>
              <w:pStyle w:val="ARfintablebodybold"/>
              <w:spacing w:before="20" w:line="240" w:lineRule="auto"/>
            </w:pPr>
            <w:r w:rsidRPr="002029AF">
              <w:t>Total</w:t>
            </w:r>
            <w:r w:rsidR="000A5329" w:rsidRPr="002029AF">
              <w:t xml:space="preserve"> </w:t>
            </w:r>
            <w:r w:rsidRPr="002029AF">
              <w:t>Peter</w:t>
            </w:r>
            <w:r w:rsidR="000A5329" w:rsidRPr="002029AF">
              <w:t xml:space="preserve"> </w:t>
            </w:r>
            <w:r w:rsidRPr="002029AF">
              <w:t>MacCallum</w:t>
            </w:r>
            <w:r w:rsidR="000A5329" w:rsidRPr="002029AF">
              <w:t xml:space="preserve"> </w:t>
            </w:r>
            <w:r w:rsidRPr="002029AF">
              <w:t>Cancer</w:t>
            </w:r>
            <w:r w:rsidR="000A5329" w:rsidRPr="002029AF">
              <w:t xml:space="preserve"> </w:t>
            </w:r>
            <w:r w:rsidRPr="002029AF">
              <w:t>Centre</w:t>
            </w:r>
            <w:r w:rsidR="000A5329" w:rsidRPr="002029AF">
              <w:t xml:space="preserve"> </w:t>
            </w:r>
            <w:r w:rsidRPr="002029AF">
              <w:t>commitments</w:t>
            </w:r>
          </w:p>
        </w:tc>
        <w:tc>
          <w:tcPr>
            <w:tcW w:w="1133" w:type="dxa"/>
            <w:tcBorders>
              <w:bottom w:val="single" w:sz="4" w:space="0" w:color="auto"/>
            </w:tcBorders>
            <w:shd w:val="clear" w:color="auto" w:fill="E7E6E6"/>
            <w:noWrap/>
            <w:hideMark/>
          </w:tcPr>
          <w:p w14:paraId="50D06092" w14:textId="77777777" w:rsidR="00087B91" w:rsidRPr="002029AF" w:rsidRDefault="00087B91" w:rsidP="00860E95">
            <w:pPr>
              <w:pStyle w:val="ARfintablebodyrightbold"/>
              <w:spacing w:before="20"/>
            </w:pPr>
            <w:r w:rsidRPr="002029AF">
              <w:t>2,384.0</w:t>
            </w:r>
          </w:p>
        </w:tc>
        <w:tc>
          <w:tcPr>
            <w:tcW w:w="1133" w:type="dxa"/>
            <w:tcBorders>
              <w:bottom w:val="single" w:sz="4" w:space="0" w:color="auto"/>
            </w:tcBorders>
            <w:noWrap/>
            <w:hideMark/>
          </w:tcPr>
          <w:p w14:paraId="6515A032" w14:textId="77777777" w:rsidR="00087B91" w:rsidRPr="002029AF" w:rsidRDefault="00087B91" w:rsidP="00860E95">
            <w:pPr>
              <w:pStyle w:val="ARfintablebodyrightbold"/>
              <w:spacing w:before="20"/>
            </w:pPr>
            <w:r w:rsidRPr="002029AF">
              <w:t>2,605.6</w:t>
            </w:r>
          </w:p>
        </w:tc>
      </w:tr>
      <w:tr w:rsidR="00087B91" w:rsidRPr="002029AF" w14:paraId="4E364864" w14:textId="77777777" w:rsidTr="00860E95">
        <w:tc>
          <w:tcPr>
            <w:tcW w:w="9637" w:type="dxa"/>
            <w:gridSpan w:val="3"/>
            <w:tcBorders>
              <w:top w:val="single" w:sz="4" w:space="0" w:color="auto"/>
              <w:bottom w:val="single" w:sz="4" w:space="0" w:color="A6A6A6"/>
            </w:tcBorders>
            <w:hideMark/>
          </w:tcPr>
          <w:p w14:paraId="2F89A2C6" w14:textId="66953CBC" w:rsidR="00087B91" w:rsidRPr="002029AF" w:rsidRDefault="00087B91" w:rsidP="00860E95">
            <w:pPr>
              <w:pStyle w:val="ARfintablebodybold"/>
              <w:spacing w:before="20" w:line="240" w:lineRule="auto"/>
            </w:pPr>
            <w:r w:rsidRPr="002029AF">
              <w:t>5.</w:t>
            </w:r>
            <w:r w:rsidR="000A5329" w:rsidRPr="002029AF">
              <w:t xml:space="preserve"> </w:t>
            </w:r>
            <w:r w:rsidRPr="002029AF">
              <w:t>Bendigo</w:t>
            </w:r>
            <w:r w:rsidR="000A5329" w:rsidRPr="002029AF">
              <w:t xml:space="preserve"> </w:t>
            </w:r>
            <w:r w:rsidRPr="002029AF">
              <w:t>Health</w:t>
            </w:r>
          </w:p>
        </w:tc>
      </w:tr>
      <w:tr w:rsidR="00087B91" w:rsidRPr="002029AF" w14:paraId="1A5A4668" w14:textId="77777777" w:rsidTr="00860E95">
        <w:tc>
          <w:tcPr>
            <w:tcW w:w="7371" w:type="dxa"/>
            <w:tcBorders>
              <w:top w:val="single" w:sz="4" w:space="0" w:color="A6A6A6"/>
              <w:bottom w:val="single" w:sz="4" w:space="0" w:color="A6A6A6"/>
            </w:tcBorders>
            <w:hideMark/>
          </w:tcPr>
          <w:p w14:paraId="13840297" w14:textId="69FF1586" w:rsidR="00087B91" w:rsidRPr="002029AF" w:rsidRDefault="00087B91" w:rsidP="00860E95">
            <w:pPr>
              <w:pStyle w:val="ARfintablebody"/>
              <w:spacing w:before="20" w:line="240" w:lineRule="auto"/>
            </w:pPr>
            <w:r w:rsidRPr="002029AF">
              <w:t>Less</w:t>
            </w:r>
            <w:r w:rsidR="000A5329" w:rsidRPr="002029AF">
              <w:t xml:space="preserve"> </w:t>
            </w:r>
            <w:r w:rsidRPr="002029AF">
              <w:t>than</w:t>
            </w:r>
            <w:r w:rsidR="000A5329" w:rsidRPr="002029AF">
              <w:t xml:space="preserve"> </w:t>
            </w:r>
            <w:r w:rsidRPr="002029AF">
              <w:t>1</w:t>
            </w:r>
            <w:r w:rsidR="000A5329" w:rsidRPr="002029AF">
              <w:t xml:space="preserve"> </w:t>
            </w:r>
            <w:r w:rsidRPr="002029AF">
              <w:t>year</w:t>
            </w:r>
          </w:p>
        </w:tc>
        <w:tc>
          <w:tcPr>
            <w:tcW w:w="1133" w:type="dxa"/>
            <w:tcBorders>
              <w:top w:val="single" w:sz="4" w:space="0" w:color="A6A6A6"/>
              <w:bottom w:val="single" w:sz="4" w:space="0" w:color="A6A6A6"/>
            </w:tcBorders>
            <w:shd w:val="clear" w:color="auto" w:fill="E7E6E6"/>
            <w:noWrap/>
            <w:hideMark/>
          </w:tcPr>
          <w:p w14:paraId="4A6421AA" w14:textId="77777777" w:rsidR="00087B91" w:rsidRPr="002029AF" w:rsidRDefault="00087B91" w:rsidP="00860E95">
            <w:pPr>
              <w:pStyle w:val="ARfintablebodyright"/>
              <w:spacing w:before="20" w:line="240" w:lineRule="auto"/>
            </w:pPr>
            <w:r w:rsidRPr="002029AF">
              <w:t>67.3</w:t>
            </w:r>
          </w:p>
        </w:tc>
        <w:tc>
          <w:tcPr>
            <w:tcW w:w="1133" w:type="dxa"/>
            <w:tcBorders>
              <w:top w:val="single" w:sz="4" w:space="0" w:color="A6A6A6"/>
              <w:bottom w:val="single" w:sz="4" w:space="0" w:color="A6A6A6"/>
            </w:tcBorders>
            <w:noWrap/>
            <w:hideMark/>
          </w:tcPr>
          <w:p w14:paraId="7E6C432E" w14:textId="77777777" w:rsidR="00087B91" w:rsidRPr="002029AF" w:rsidRDefault="00087B91" w:rsidP="00860E95">
            <w:pPr>
              <w:pStyle w:val="ARfintablebodyright"/>
              <w:spacing w:before="20" w:line="240" w:lineRule="auto"/>
            </w:pPr>
            <w:r w:rsidRPr="002029AF">
              <w:t>65.8</w:t>
            </w:r>
          </w:p>
        </w:tc>
      </w:tr>
      <w:tr w:rsidR="00087B91" w:rsidRPr="002029AF" w14:paraId="779C7699" w14:textId="77777777" w:rsidTr="00860E95">
        <w:tc>
          <w:tcPr>
            <w:tcW w:w="7371" w:type="dxa"/>
            <w:tcBorders>
              <w:top w:val="single" w:sz="4" w:space="0" w:color="A6A6A6"/>
              <w:bottom w:val="single" w:sz="4" w:space="0" w:color="A6A6A6"/>
            </w:tcBorders>
            <w:hideMark/>
          </w:tcPr>
          <w:p w14:paraId="144BBFA7" w14:textId="5828246B" w:rsidR="00087B91" w:rsidRPr="002029AF" w:rsidRDefault="00087B91" w:rsidP="00860E95">
            <w:pPr>
              <w:pStyle w:val="ARfintablebody"/>
              <w:spacing w:before="20" w:line="240" w:lineRule="auto"/>
            </w:pPr>
            <w:r w:rsidRPr="002029AF">
              <w:t>Longer</w:t>
            </w:r>
            <w:r w:rsidR="000A5329" w:rsidRPr="002029AF">
              <w:t xml:space="preserve"> </w:t>
            </w:r>
            <w:r w:rsidRPr="002029AF">
              <w:t>than</w:t>
            </w:r>
            <w:r w:rsidR="000A5329" w:rsidRPr="002029AF">
              <w:t xml:space="preserve"> </w:t>
            </w:r>
            <w:r w:rsidRPr="002029AF">
              <w:t>1</w:t>
            </w:r>
            <w:r w:rsidR="000A5329" w:rsidRPr="002029AF">
              <w:t xml:space="preserve"> </w:t>
            </w:r>
            <w:r w:rsidRPr="002029AF">
              <w:t>year</w:t>
            </w:r>
            <w:r w:rsidR="000A5329" w:rsidRPr="002029AF">
              <w:t xml:space="preserve"> </w:t>
            </w:r>
            <w:r w:rsidRPr="002029AF">
              <w:t>and</w:t>
            </w:r>
            <w:r w:rsidR="000A5329" w:rsidRPr="002029AF">
              <w:t xml:space="preserve"> </w:t>
            </w:r>
            <w:r w:rsidRPr="002029AF">
              <w:t>not</w:t>
            </w:r>
            <w:r w:rsidR="000A5329" w:rsidRPr="002029AF">
              <w:t xml:space="preserve"> </w:t>
            </w:r>
            <w:r w:rsidRPr="002029AF">
              <w:t>longer</w:t>
            </w:r>
            <w:r w:rsidR="000A5329" w:rsidRPr="002029AF">
              <w:t xml:space="preserve"> </w:t>
            </w:r>
            <w:r w:rsidRPr="002029AF">
              <w:t>than</w:t>
            </w:r>
            <w:r w:rsidR="000A5329" w:rsidRPr="002029AF">
              <w:t xml:space="preserve"> </w:t>
            </w:r>
            <w:r w:rsidRPr="002029AF">
              <w:t>5</w:t>
            </w:r>
            <w:r w:rsidR="000A5329" w:rsidRPr="002029AF">
              <w:t xml:space="preserve"> </w:t>
            </w:r>
            <w:r w:rsidRPr="002029AF">
              <w:t>years</w:t>
            </w:r>
          </w:p>
        </w:tc>
        <w:tc>
          <w:tcPr>
            <w:tcW w:w="1133" w:type="dxa"/>
            <w:tcBorders>
              <w:top w:val="single" w:sz="4" w:space="0" w:color="A6A6A6"/>
              <w:bottom w:val="single" w:sz="4" w:space="0" w:color="A6A6A6"/>
            </w:tcBorders>
            <w:shd w:val="clear" w:color="auto" w:fill="E7E6E6"/>
            <w:noWrap/>
            <w:hideMark/>
          </w:tcPr>
          <w:p w14:paraId="3904222A" w14:textId="77777777" w:rsidR="00087B91" w:rsidRPr="002029AF" w:rsidRDefault="00087B91" w:rsidP="00860E95">
            <w:pPr>
              <w:pStyle w:val="ARfintablebodyright"/>
              <w:spacing w:before="20" w:line="240" w:lineRule="auto"/>
            </w:pPr>
            <w:r w:rsidRPr="002029AF">
              <w:t>290.0</w:t>
            </w:r>
          </w:p>
        </w:tc>
        <w:tc>
          <w:tcPr>
            <w:tcW w:w="1133" w:type="dxa"/>
            <w:tcBorders>
              <w:top w:val="single" w:sz="4" w:space="0" w:color="A6A6A6"/>
              <w:bottom w:val="single" w:sz="4" w:space="0" w:color="A6A6A6"/>
            </w:tcBorders>
            <w:noWrap/>
            <w:hideMark/>
          </w:tcPr>
          <w:p w14:paraId="6E9F7D72" w14:textId="77777777" w:rsidR="00087B91" w:rsidRPr="002029AF" w:rsidRDefault="00087B91" w:rsidP="00860E95">
            <w:pPr>
              <w:pStyle w:val="ARfintablebodyright"/>
              <w:spacing w:before="20" w:line="240" w:lineRule="auto"/>
            </w:pPr>
            <w:r w:rsidRPr="002029AF">
              <w:t>279.6</w:t>
            </w:r>
          </w:p>
        </w:tc>
      </w:tr>
      <w:tr w:rsidR="00087B91" w:rsidRPr="002029AF" w14:paraId="59D5A519" w14:textId="77777777" w:rsidTr="00860E95">
        <w:tc>
          <w:tcPr>
            <w:tcW w:w="7371" w:type="dxa"/>
            <w:tcBorders>
              <w:top w:val="single" w:sz="4" w:space="0" w:color="A6A6A6"/>
            </w:tcBorders>
            <w:hideMark/>
          </w:tcPr>
          <w:p w14:paraId="487EB2E8" w14:textId="43D6B44D" w:rsidR="00087B91" w:rsidRPr="002029AF" w:rsidRDefault="00087B91" w:rsidP="00860E95">
            <w:pPr>
              <w:pStyle w:val="ARfintablebody"/>
              <w:spacing w:before="20" w:line="240" w:lineRule="auto"/>
            </w:pPr>
            <w:r w:rsidRPr="002029AF">
              <w:t>Longer</w:t>
            </w:r>
            <w:r w:rsidR="000A5329" w:rsidRPr="002029AF">
              <w:t xml:space="preserve"> </w:t>
            </w:r>
            <w:r w:rsidRPr="002029AF">
              <w:t>than</w:t>
            </w:r>
            <w:r w:rsidR="000A5329" w:rsidRPr="002029AF">
              <w:t xml:space="preserve"> </w:t>
            </w:r>
            <w:r w:rsidRPr="002029AF">
              <w:t>5</w:t>
            </w:r>
            <w:r w:rsidR="000A5329" w:rsidRPr="002029AF">
              <w:t xml:space="preserve"> </w:t>
            </w:r>
            <w:r w:rsidRPr="002029AF">
              <w:t>years</w:t>
            </w:r>
          </w:p>
        </w:tc>
        <w:tc>
          <w:tcPr>
            <w:tcW w:w="1133" w:type="dxa"/>
            <w:tcBorders>
              <w:top w:val="single" w:sz="4" w:space="0" w:color="A6A6A6"/>
            </w:tcBorders>
            <w:shd w:val="clear" w:color="auto" w:fill="E7E6E6"/>
            <w:noWrap/>
            <w:hideMark/>
          </w:tcPr>
          <w:p w14:paraId="3FA25AB4" w14:textId="77777777" w:rsidR="00087B91" w:rsidRPr="002029AF" w:rsidRDefault="00087B91" w:rsidP="00860E95">
            <w:pPr>
              <w:pStyle w:val="ARfintablebodyright"/>
              <w:spacing w:before="20" w:line="240" w:lineRule="auto"/>
            </w:pPr>
            <w:r w:rsidRPr="002029AF">
              <w:t>1,543.3</w:t>
            </w:r>
          </w:p>
        </w:tc>
        <w:tc>
          <w:tcPr>
            <w:tcW w:w="1133" w:type="dxa"/>
            <w:tcBorders>
              <w:top w:val="single" w:sz="4" w:space="0" w:color="A6A6A6"/>
            </w:tcBorders>
            <w:noWrap/>
            <w:hideMark/>
          </w:tcPr>
          <w:p w14:paraId="527E7EDC" w14:textId="77777777" w:rsidR="00087B91" w:rsidRPr="002029AF" w:rsidRDefault="00087B91" w:rsidP="00860E95">
            <w:pPr>
              <w:pStyle w:val="ARfintablebodyright"/>
              <w:spacing w:before="20" w:line="240" w:lineRule="auto"/>
            </w:pPr>
            <w:r w:rsidRPr="002029AF">
              <w:t>1,619.2</w:t>
            </w:r>
          </w:p>
        </w:tc>
      </w:tr>
      <w:tr w:rsidR="00087B91" w:rsidRPr="002029AF" w14:paraId="257D4973" w14:textId="77777777" w:rsidTr="00860E95">
        <w:tc>
          <w:tcPr>
            <w:tcW w:w="7371" w:type="dxa"/>
            <w:tcBorders>
              <w:bottom w:val="single" w:sz="4" w:space="0" w:color="auto"/>
            </w:tcBorders>
            <w:hideMark/>
          </w:tcPr>
          <w:p w14:paraId="742B8E7D" w14:textId="243D07E1" w:rsidR="00087B91" w:rsidRPr="002029AF" w:rsidRDefault="00087B91" w:rsidP="00860E95">
            <w:pPr>
              <w:pStyle w:val="ARfintablebodybold"/>
              <w:spacing w:before="20" w:line="240" w:lineRule="auto"/>
            </w:pPr>
            <w:r w:rsidRPr="002029AF">
              <w:t>Total</w:t>
            </w:r>
            <w:r w:rsidR="000A5329" w:rsidRPr="002029AF">
              <w:t xml:space="preserve"> </w:t>
            </w:r>
            <w:r w:rsidRPr="002029AF">
              <w:t>Bendigo</w:t>
            </w:r>
            <w:r w:rsidR="000A5329" w:rsidRPr="002029AF">
              <w:t xml:space="preserve"> </w:t>
            </w:r>
            <w:r w:rsidRPr="002029AF">
              <w:t>Health</w:t>
            </w:r>
            <w:r w:rsidR="000A5329" w:rsidRPr="002029AF">
              <w:t xml:space="preserve"> </w:t>
            </w:r>
            <w:r w:rsidRPr="002029AF">
              <w:t>commitments</w:t>
            </w:r>
          </w:p>
        </w:tc>
        <w:tc>
          <w:tcPr>
            <w:tcW w:w="1133" w:type="dxa"/>
            <w:tcBorders>
              <w:bottom w:val="single" w:sz="4" w:space="0" w:color="auto"/>
            </w:tcBorders>
            <w:shd w:val="clear" w:color="auto" w:fill="E7E6E6"/>
            <w:noWrap/>
            <w:hideMark/>
          </w:tcPr>
          <w:p w14:paraId="46064C84" w14:textId="77777777" w:rsidR="00087B91" w:rsidRPr="002029AF" w:rsidRDefault="00087B91" w:rsidP="00860E95">
            <w:pPr>
              <w:pStyle w:val="ARfintablebodyrightbold"/>
              <w:spacing w:before="20"/>
            </w:pPr>
            <w:r w:rsidRPr="002029AF">
              <w:t>1,900.6</w:t>
            </w:r>
          </w:p>
        </w:tc>
        <w:tc>
          <w:tcPr>
            <w:tcW w:w="1133" w:type="dxa"/>
            <w:tcBorders>
              <w:bottom w:val="single" w:sz="4" w:space="0" w:color="auto"/>
            </w:tcBorders>
            <w:noWrap/>
            <w:hideMark/>
          </w:tcPr>
          <w:p w14:paraId="7AB24E93" w14:textId="77777777" w:rsidR="00087B91" w:rsidRPr="002029AF" w:rsidRDefault="00087B91" w:rsidP="00860E95">
            <w:pPr>
              <w:pStyle w:val="ARfintablebodyrightbold"/>
              <w:spacing w:before="20"/>
            </w:pPr>
            <w:r w:rsidRPr="002029AF">
              <w:t>1,964.5</w:t>
            </w:r>
          </w:p>
        </w:tc>
      </w:tr>
      <w:tr w:rsidR="00087B91" w:rsidRPr="002029AF" w14:paraId="44CD6963" w14:textId="77777777" w:rsidTr="00860E95">
        <w:tc>
          <w:tcPr>
            <w:tcW w:w="7371" w:type="dxa"/>
            <w:tcBorders>
              <w:top w:val="single" w:sz="4" w:space="0" w:color="auto"/>
              <w:bottom w:val="single" w:sz="4" w:space="0" w:color="A6A6A6"/>
            </w:tcBorders>
            <w:hideMark/>
          </w:tcPr>
          <w:p w14:paraId="527797EB" w14:textId="64213695" w:rsidR="00087B91" w:rsidRPr="002029AF" w:rsidRDefault="00087B91" w:rsidP="00860E95">
            <w:pPr>
              <w:pStyle w:val="ARfintablebodybold"/>
              <w:spacing w:before="20" w:line="240" w:lineRule="auto"/>
            </w:pPr>
            <w:r w:rsidRPr="002029AF">
              <w:t>Total</w:t>
            </w:r>
            <w:r w:rsidR="000A5329" w:rsidRPr="002029AF">
              <w:t xml:space="preserve"> </w:t>
            </w:r>
            <w:r w:rsidRPr="002029AF">
              <w:t>PPP</w:t>
            </w:r>
            <w:r w:rsidR="000A5329" w:rsidRPr="002029AF">
              <w:t xml:space="preserve"> </w:t>
            </w:r>
            <w:r w:rsidRPr="002029AF">
              <w:t>commitments</w:t>
            </w:r>
          </w:p>
        </w:tc>
        <w:tc>
          <w:tcPr>
            <w:tcW w:w="1133" w:type="dxa"/>
            <w:tcBorders>
              <w:top w:val="single" w:sz="4" w:space="0" w:color="auto"/>
              <w:bottom w:val="single" w:sz="4" w:space="0" w:color="A6A6A6"/>
            </w:tcBorders>
            <w:shd w:val="clear" w:color="auto" w:fill="E7E6E6"/>
            <w:noWrap/>
            <w:hideMark/>
          </w:tcPr>
          <w:p w14:paraId="510BF5BA" w14:textId="77777777" w:rsidR="00087B91" w:rsidRPr="002029AF" w:rsidRDefault="00087B91" w:rsidP="00860E95">
            <w:pPr>
              <w:pStyle w:val="ARfintablebodyrightbold"/>
              <w:spacing w:before="20"/>
            </w:pPr>
            <w:r w:rsidRPr="002029AF">
              <w:t>8,393.0</w:t>
            </w:r>
          </w:p>
        </w:tc>
        <w:tc>
          <w:tcPr>
            <w:tcW w:w="1133" w:type="dxa"/>
            <w:tcBorders>
              <w:top w:val="single" w:sz="4" w:space="0" w:color="auto"/>
              <w:bottom w:val="single" w:sz="4" w:space="0" w:color="A6A6A6"/>
            </w:tcBorders>
            <w:noWrap/>
            <w:hideMark/>
          </w:tcPr>
          <w:p w14:paraId="52DEB4DD" w14:textId="77777777" w:rsidR="00087B91" w:rsidRPr="002029AF" w:rsidRDefault="00087B91" w:rsidP="00860E95">
            <w:pPr>
              <w:pStyle w:val="ARfintablebodyrightbold"/>
              <w:spacing w:before="20"/>
            </w:pPr>
            <w:r w:rsidRPr="002029AF">
              <w:t>8,892.0</w:t>
            </w:r>
          </w:p>
        </w:tc>
      </w:tr>
      <w:tr w:rsidR="00087B91" w:rsidRPr="002029AF" w14:paraId="15424D23" w14:textId="77777777" w:rsidTr="00860E95">
        <w:tc>
          <w:tcPr>
            <w:tcW w:w="7371" w:type="dxa"/>
            <w:tcBorders>
              <w:top w:val="single" w:sz="4" w:space="0" w:color="A6A6A6"/>
              <w:bottom w:val="single" w:sz="4" w:space="0" w:color="A6A6A6"/>
            </w:tcBorders>
            <w:hideMark/>
          </w:tcPr>
          <w:p w14:paraId="1750D269" w14:textId="55AED9C8" w:rsidR="00087B91" w:rsidRPr="002029AF" w:rsidRDefault="00087B91" w:rsidP="00860E95">
            <w:pPr>
              <w:pStyle w:val="ARfintablebodybold"/>
              <w:spacing w:before="20" w:line="240" w:lineRule="auto"/>
            </w:pPr>
            <w:r w:rsidRPr="002029AF">
              <w:t>Total</w:t>
            </w:r>
            <w:r w:rsidR="000A5329" w:rsidRPr="002029AF">
              <w:t xml:space="preserve"> </w:t>
            </w:r>
            <w:r w:rsidRPr="002029AF">
              <w:t>commitments</w:t>
            </w:r>
            <w:r w:rsidR="000A5329" w:rsidRPr="002029AF">
              <w:t xml:space="preserve"> </w:t>
            </w:r>
            <w:r w:rsidRPr="002029AF">
              <w:t>for</w:t>
            </w:r>
            <w:r w:rsidR="000A5329" w:rsidRPr="002029AF">
              <w:t xml:space="preserve"> </w:t>
            </w:r>
            <w:r w:rsidRPr="002029AF">
              <w:t>expenditure</w:t>
            </w:r>
            <w:r w:rsidR="000A5329" w:rsidRPr="002029AF">
              <w:t xml:space="preserve"> </w:t>
            </w:r>
            <w:r w:rsidRPr="002029AF">
              <w:t>(inclusive</w:t>
            </w:r>
            <w:r w:rsidR="000A5329" w:rsidRPr="002029AF">
              <w:t xml:space="preserve"> </w:t>
            </w:r>
            <w:r w:rsidRPr="002029AF">
              <w:t>of</w:t>
            </w:r>
            <w:r w:rsidR="000A5329" w:rsidRPr="002029AF">
              <w:t xml:space="preserve"> </w:t>
            </w:r>
            <w:r w:rsidRPr="002029AF">
              <w:t>GST)</w:t>
            </w:r>
            <w:r w:rsidR="000A5329" w:rsidRPr="002029AF">
              <w:t xml:space="preserve"> </w:t>
            </w:r>
          </w:p>
        </w:tc>
        <w:tc>
          <w:tcPr>
            <w:tcW w:w="1133" w:type="dxa"/>
            <w:tcBorders>
              <w:top w:val="single" w:sz="4" w:space="0" w:color="A6A6A6"/>
              <w:bottom w:val="single" w:sz="4" w:space="0" w:color="A6A6A6"/>
            </w:tcBorders>
            <w:shd w:val="clear" w:color="auto" w:fill="E7E6E6"/>
            <w:noWrap/>
            <w:hideMark/>
          </w:tcPr>
          <w:p w14:paraId="12A4B8A6" w14:textId="77777777" w:rsidR="00087B91" w:rsidRPr="002029AF" w:rsidRDefault="00087B91" w:rsidP="00860E95">
            <w:pPr>
              <w:pStyle w:val="ARfintablebodyrightbold"/>
              <w:spacing w:before="20" w:line="240" w:lineRule="auto"/>
            </w:pPr>
            <w:r w:rsidRPr="002029AF">
              <w:t>9,897.2</w:t>
            </w:r>
          </w:p>
        </w:tc>
        <w:tc>
          <w:tcPr>
            <w:tcW w:w="1133" w:type="dxa"/>
            <w:tcBorders>
              <w:top w:val="single" w:sz="4" w:space="0" w:color="A6A6A6"/>
              <w:bottom w:val="single" w:sz="4" w:space="0" w:color="A6A6A6"/>
            </w:tcBorders>
            <w:noWrap/>
            <w:hideMark/>
          </w:tcPr>
          <w:p w14:paraId="544C7C1D" w14:textId="77777777" w:rsidR="00087B91" w:rsidRPr="002029AF" w:rsidRDefault="00087B91" w:rsidP="00860E95">
            <w:pPr>
              <w:pStyle w:val="ARfintablebodyrightbold"/>
              <w:spacing w:before="20" w:line="240" w:lineRule="auto"/>
            </w:pPr>
            <w:r w:rsidRPr="002029AF">
              <w:t>10,643.4</w:t>
            </w:r>
          </w:p>
        </w:tc>
      </w:tr>
      <w:tr w:rsidR="00087B91" w:rsidRPr="002029AF" w14:paraId="384796C4" w14:textId="77777777" w:rsidTr="00860E95">
        <w:tc>
          <w:tcPr>
            <w:tcW w:w="7371" w:type="dxa"/>
            <w:tcBorders>
              <w:top w:val="single" w:sz="4" w:space="0" w:color="A6A6A6"/>
            </w:tcBorders>
            <w:hideMark/>
          </w:tcPr>
          <w:p w14:paraId="2B960112" w14:textId="0D178AE5" w:rsidR="00087B91" w:rsidRPr="002029AF" w:rsidRDefault="00087B91" w:rsidP="00860E95">
            <w:pPr>
              <w:pStyle w:val="ARfintablebody"/>
              <w:spacing w:before="20" w:line="240" w:lineRule="auto"/>
            </w:pPr>
            <w:r w:rsidRPr="002029AF">
              <w:t>Less</w:t>
            </w:r>
            <w:r w:rsidR="000A5329" w:rsidRPr="002029AF">
              <w:t xml:space="preserve"> </w:t>
            </w:r>
            <w:r w:rsidRPr="002029AF">
              <w:t>GST</w:t>
            </w:r>
            <w:r w:rsidR="000A5329" w:rsidRPr="002029AF">
              <w:t xml:space="preserve"> </w:t>
            </w:r>
            <w:r w:rsidRPr="002029AF">
              <w:t>recoverable</w:t>
            </w:r>
            <w:r w:rsidR="000A5329" w:rsidRPr="002029AF">
              <w:t xml:space="preserve"> </w:t>
            </w:r>
            <w:r w:rsidRPr="002029AF">
              <w:t>from</w:t>
            </w:r>
            <w:r w:rsidR="000A5329" w:rsidRPr="002029AF">
              <w:t xml:space="preserve"> </w:t>
            </w:r>
            <w:r w:rsidRPr="002029AF">
              <w:t>the</w:t>
            </w:r>
            <w:r w:rsidR="000A5329" w:rsidRPr="002029AF">
              <w:t xml:space="preserve"> </w:t>
            </w:r>
            <w:r w:rsidRPr="002029AF">
              <w:t>ATO</w:t>
            </w:r>
          </w:p>
        </w:tc>
        <w:tc>
          <w:tcPr>
            <w:tcW w:w="1133" w:type="dxa"/>
            <w:tcBorders>
              <w:top w:val="single" w:sz="4" w:space="0" w:color="A6A6A6"/>
            </w:tcBorders>
            <w:shd w:val="clear" w:color="auto" w:fill="E7E6E6"/>
            <w:noWrap/>
            <w:hideMark/>
          </w:tcPr>
          <w:p w14:paraId="34B3E2B6" w14:textId="77777777" w:rsidR="00087B91" w:rsidRPr="002029AF" w:rsidRDefault="00087B91" w:rsidP="00860E95">
            <w:pPr>
              <w:pStyle w:val="ARfintablebodyright"/>
              <w:spacing w:before="20" w:line="240" w:lineRule="auto"/>
            </w:pPr>
            <w:r w:rsidRPr="002029AF">
              <w:t>876.6</w:t>
            </w:r>
          </w:p>
        </w:tc>
        <w:tc>
          <w:tcPr>
            <w:tcW w:w="1133" w:type="dxa"/>
            <w:tcBorders>
              <w:top w:val="single" w:sz="4" w:space="0" w:color="A6A6A6"/>
            </w:tcBorders>
            <w:noWrap/>
            <w:hideMark/>
          </w:tcPr>
          <w:p w14:paraId="740D2B6B" w14:textId="77777777" w:rsidR="00087B91" w:rsidRPr="002029AF" w:rsidRDefault="00087B91" w:rsidP="00860E95">
            <w:pPr>
              <w:pStyle w:val="ARfintablebodyright"/>
              <w:spacing w:before="20" w:line="240" w:lineRule="auto"/>
            </w:pPr>
            <w:r w:rsidRPr="002029AF">
              <w:t>942.0</w:t>
            </w:r>
          </w:p>
        </w:tc>
      </w:tr>
      <w:tr w:rsidR="00087B91" w:rsidRPr="002029AF" w14:paraId="4031D4F9" w14:textId="77777777" w:rsidTr="00860E95">
        <w:tc>
          <w:tcPr>
            <w:tcW w:w="7371" w:type="dxa"/>
            <w:hideMark/>
          </w:tcPr>
          <w:p w14:paraId="2D6FB073" w14:textId="543B8E29" w:rsidR="00087B91" w:rsidRPr="002029AF" w:rsidRDefault="00087B91" w:rsidP="00860E95">
            <w:pPr>
              <w:pStyle w:val="ARfintablebodybold"/>
              <w:spacing w:before="20" w:line="240" w:lineRule="auto"/>
            </w:pPr>
            <w:r w:rsidRPr="002029AF">
              <w:t>Total</w:t>
            </w:r>
            <w:r w:rsidR="000A5329" w:rsidRPr="002029AF">
              <w:t xml:space="preserve"> </w:t>
            </w:r>
            <w:r w:rsidRPr="002029AF">
              <w:t>commitments</w:t>
            </w:r>
            <w:r w:rsidR="000A5329" w:rsidRPr="002029AF">
              <w:t xml:space="preserve"> </w:t>
            </w:r>
            <w:r w:rsidRPr="002029AF">
              <w:t>for</w:t>
            </w:r>
            <w:r w:rsidR="000A5329" w:rsidRPr="002029AF">
              <w:t xml:space="preserve"> </w:t>
            </w:r>
            <w:r w:rsidRPr="002029AF">
              <w:t>expenditure</w:t>
            </w:r>
            <w:r w:rsidR="000A5329" w:rsidRPr="002029AF">
              <w:t xml:space="preserve"> </w:t>
            </w:r>
            <w:r w:rsidRPr="002029AF">
              <w:t>(exclusive</w:t>
            </w:r>
            <w:r w:rsidR="000A5329" w:rsidRPr="002029AF">
              <w:t xml:space="preserve"> </w:t>
            </w:r>
            <w:r w:rsidRPr="002029AF">
              <w:t>of</w:t>
            </w:r>
            <w:r w:rsidR="000A5329" w:rsidRPr="002029AF">
              <w:t xml:space="preserve"> </w:t>
            </w:r>
            <w:r w:rsidRPr="002029AF">
              <w:t>GST)</w:t>
            </w:r>
          </w:p>
        </w:tc>
        <w:tc>
          <w:tcPr>
            <w:tcW w:w="1133" w:type="dxa"/>
            <w:shd w:val="clear" w:color="auto" w:fill="E7E6E6"/>
            <w:noWrap/>
            <w:hideMark/>
          </w:tcPr>
          <w:p w14:paraId="30D0FE0D" w14:textId="77777777" w:rsidR="00087B91" w:rsidRPr="002029AF" w:rsidRDefault="00087B91" w:rsidP="00860E95">
            <w:pPr>
              <w:pStyle w:val="ARfintablebodyrightbold"/>
              <w:spacing w:before="20"/>
            </w:pPr>
            <w:r w:rsidRPr="002029AF">
              <w:t>9,020.6</w:t>
            </w:r>
          </w:p>
        </w:tc>
        <w:tc>
          <w:tcPr>
            <w:tcW w:w="1133" w:type="dxa"/>
            <w:noWrap/>
            <w:hideMark/>
          </w:tcPr>
          <w:p w14:paraId="5CAEFD21" w14:textId="77777777" w:rsidR="00087B91" w:rsidRPr="002029AF" w:rsidRDefault="00087B91" w:rsidP="00860E95">
            <w:pPr>
              <w:pStyle w:val="ARfintablebodyrightbold"/>
              <w:spacing w:before="20"/>
            </w:pPr>
            <w:r w:rsidRPr="002029AF">
              <w:t>9,701.4</w:t>
            </w:r>
          </w:p>
        </w:tc>
      </w:tr>
    </w:tbl>
    <w:p w14:paraId="52C42335" w14:textId="77777777" w:rsidR="00087B91" w:rsidRPr="002029AF" w:rsidRDefault="00087B91" w:rsidP="00087B91">
      <w:pPr>
        <w:pStyle w:val="ARfintablefootnote"/>
        <w:keepNext/>
        <w:spacing w:line="240" w:lineRule="auto"/>
        <w:rPr>
          <w:iCs/>
          <w:lang w:eastAsia="en-AU"/>
        </w:rPr>
      </w:pPr>
      <w:r w:rsidRPr="002029AF">
        <w:rPr>
          <w:iCs/>
          <w:lang w:eastAsia="en-AU"/>
        </w:rPr>
        <w:lastRenderedPageBreak/>
        <w:t>Notes:</w:t>
      </w:r>
    </w:p>
    <w:p w14:paraId="49877E6C" w14:textId="3AE1F162" w:rsidR="00087B91" w:rsidRPr="002029AF" w:rsidRDefault="00087B91" w:rsidP="00087B91">
      <w:pPr>
        <w:pStyle w:val="ARfintablefootnoteindent"/>
      </w:pPr>
      <w:r w:rsidRPr="002029AF">
        <w:t>(i)</w:t>
      </w:r>
      <w:r w:rsidRPr="002029AF">
        <w:tab/>
        <w:t>For</w:t>
      </w:r>
      <w:r w:rsidR="000A5329" w:rsidRPr="002029AF">
        <w:t xml:space="preserve"> </w:t>
      </w:r>
      <w:r w:rsidRPr="002029AF">
        <w:t>future</w:t>
      </w:r>
      <w:r w:rsidR="000A5329" w:rsidRPr="002029AF">
        <w:t xml:space="preserve"> </w:t>
      </w:r>
      <w:r w:rsidRPr="002029AF">
        <w:t>finance</w:t>
      </w:r>
      <w:r w:rsidR="000A5329" w:rsidRPr="002029AF">
        <w:t xml:space="preserve"> </w:t>
      </w:r>
      <w:r w:rsidRPr="002029AF">
        <w:t>lease</w:t>
      </w:r>
      <w:r w:rsidR="000A5329" w:rsidRPr="002029AF">
        <w:t xml:space="preserve"> </w:t>
      </w:r>
      <w:r w:rsidRPr="002029AF">
        <w:t>and</w:t>
      </w:r>
      <w:r w:rsidR="000A5329" w:rsidRPr="002029AF">
        <w:t xml:space="preserve"> </w:t>
      </w:r>
      <w:r w:rsidRPr="002029AF">
        <w:t>non-cancellable</w:t>
      </w:r>
      <w:r w:rsidR="000A5329" w:rsidRPr="002029AF">
        <w:t xml:space="preserve"> </w:t>
      </w:r>
      <w:r w:rsidRPr="002029AF">
        <w:t>operating</w:t>
      </w:r>
      <w:r w:rsidR="000A5329" w:rsidRPr="002029AF">
        <w:t xml:space="preserve"> </w:t>
      </w:r>
      <w:r w:rsidRPr="002029AF">
        <w:t>lease</w:t>
      </w:r>
      <w:r w:rsidR="000A5329" w:rsidRPr="002029AF">
        <w:t xml:space="preserve"> </w:t>
      </w:r>
      <w:r w:rsidRPr="002029AF">
        <w:t>payments</w:t>
      </w:r>
      <w:r w:rsidR="000A5329" w:rsidRPr="002029AF">
        <w:t xml:space="preserve"> </w:t>
      </w:r>
      <w:r w:rsidRPr="002029AF">
        <w:t>that</w:t>
      </w:r>
      <w:r w:rsidR="000A5329" w:rsidRPr="002029AF">
        <w:t xml:space="preserve"> </w:t>
      </w:r>
      <w:r w:rsidRPr="002029AF">
        <w:t>are</w:t>
      </w:r>
      <w:r w:rsidR="000A5329" w:rsidRPr="002029AF">
        <w:t xml:space="preserve"> </w:t>
      </w:r>
      <w:r w:rsidRPr="002029AF">
        <w:t>recognised</w:t>
      </w:r>
      <w:r w:rsidR="000A5329" w:rsidRPr="002029AF">
        <w:t xml:space="preserve"> </w:t>
      </w:r>
      <w:r w:rsidRPr="002029AF">
        <w:t>on</w:t>
      </w:r>
      <w:r w:rsidR="000A5329" w:rsidRPr="002029AF">
        <w:t xml:space="preserve"> </w:t>
      </w:r>
      <w:r w:rsidRPr="002029AF">
        <w:t>the</w:t>
      </w:r>
      <w:r w:rsidR="000A5329" w:rsidRPr="002029AF">
        <w:t xml:space="preserve"> </w:t>
      </w:r>
      <w:r w:rsidRPr="002029AF">
        <w:t>balance</w:t>
      </w:r>
      <w:r w:rsidR="000A5329" w:rsidRPr="002029AF">
        <w:t xml:space="preserve"> </w:t>
      </w:r>
      <w:r w:rsidRPr="002029AF">
        <w:t>sheet,</w:t>
      </w:r>
      <w:r w:rsidR="000A5329" w:rsidRPr="002029AF">
        <w:t xml:space="preserve"> </w:t>
      </w:r>
      <w:r w:rsidRPr="002029AF">
        <w:t>refer</w:t>
      </w:r>
      <w:r w:rsidR="000A5329" w:rsidRPr="002029AF">
        <w:t xml:space="preserve"> </w:t>
      </w:r>
      <w:r w:rsidRPr="002029AF">
        <w:t>to</w:t>
      </w:r>
      <w:r w:rsidR="000A5329" w:rsidRPr="002029AF">
        <w:t xml:space="preserve"> </w:t>
      </w:r>
      <w:r w:rsidRPr="002029AF">
        <w:t>Note</w:t>
      </w:r>
      <w:r w:rsidR="000A5329" w:rsidRPr="002029AF">
        <w:t xml:space="preserve"> </w:t>
      </w:r>
      <w:r w:rsidRPr="002029AF">
        <w:t>7.2</w:t>
      </w:r>
      <w:r w:rsidR="000A5329" w:rsidRPr="002029AF">
        <w:t xml:space="preserve"> </w:t>
      </w:r>
      <w:r w:rsidRPr="002029AF">
        <w:t>Leases.</w:t>
      </w:r>
    </w:p>
    <w:p w14:paraId="6E09CABA" w14:textId="2CA3B22E" w:rsidR="00087B91" w:rsidRPr="002029AF" w:rsidRDefault="00087B91" w:rsidP="00087B91">
      <w:pPr>
        <w:pStyle w:val="ARfintablefootnoteindent"/>
      </w:pPr>
      <w:r w:rsidRPr="002029AF">
        <w:t>(ii)</w:t>
      </w:r>
      <w:r w:rsidRPr="002029AF">
        <w:tab/>
        <w:t>GST</w:t>
      </w:r>
      <w:r w:rsidR="000A5329" w:rsidRPr="002029AF">
        <w:t xml:space="preserve"> </w:t>
      </w:r>
      <w:r w:rsidRPr="002029AF">
        <w:t>is</w:t>
      </w:r>
      <w:r w:rsidR="000A5329" w:rsidRPr="002029AF">
        <w:t xml:space="preserve"> </w:t>
      </w:r>
      <w:r w:rsidRPr="002029AF">
        <w:t>not</w:t>
      </w:r>
      <w:r w:rsidR="000A5329" w:rsidRPr="002029AF">
        <w:t xml:space="preserve"> </w:t>
      </w:r>
      <w:r w:rsidRPr="002029AF">
        <w:t>included</w:t>
      </w:r>
      <w:r w:rsidR="000A5329" w:rsidRPr="002029AF">
        <w:t xml:space="preserve"> </w:t>
      </w:r>
      <w:r w:rsidRPr="002029AF">
        <w:t>in</w:t>
      </w:r>
      <w:r w:rsidR="000A5329" w:rsidRPr="002029AF">
        <w:t xml:space="preserve"> </w:t>
      </w:r>
      <w:r w:rsidRPr="002029AF">
        <w:t>some</w:t>
      </w:r>
      <w:r w:rsidR="000A5329" w:rsidRPr="002029AF">
        <w:t xml:space="preserve"> </w:t>
      </w:r>
      <w:r w:rsidRPr="002029AF">
        <w:t>of</w:t>
      </w:r>
      <w:r w:rsidR="000A5329" w:rsidRPr="002029AF">
        <w:t xml:space="preserve"> </w:t>
      </w:r>
      <w:r w:rsidRPr="002029AF">
        <w:t>the</w:t>
      </w:r>
      <w:r w:rsidR="000A5329" w:rsidRPr="002029AF">
        <w:t xml:space="preserve"> </w:t>
      </w:r>
      <w:r w:rsidRPr="002029AF">
        <w:t>above</w:t>
      </w:r>
      <w:r w:rsidR="000A5329" w:rsidRPr="002029AF">
        <w:t xml:space="preserve"> </w:t>
      </w:r>
      <w:r w:rsidRPr="002029AF">
        <w:t>commitments</w:t>
      </w:r>
      <w:r w:rsidR="000A5329" w:rsidRPr="002029AF">
        <w:t xml:space="preserve"> </w:t>
      </w:r>
      <w:r w:rsidRPr="002029AF">
        <w:t>as</w:t>
      </w:r>
      <w:r w:rsidR="000A5329" w:rsidRPr="002029AF">
        <w:t xml:space="preserve"> </w:t>
      </w:r>
      <w:r w:rsidRPr="002029AF">
        <w:t>they</w:t>
      </w:r>
      <w:r w:rsidR="000A5329" w:rsidRPr="002029AF">
        <w:t xml:space="preserve"> </w:t>
      </w:r>
      <w:r w:rsidRPr="002029AF">
        <w:t>relate</w:t>
      </w:r>
      <w:r w:rsidR="000A5329" w:rsidRPr="002029AF">
        <w:t xml:space="preserve"> </w:t>
      </w:r>
      <w:r w:rsidRPr="002029AF">
        <w:t>to</w:t>
      </w:r>
      <w:r w:rsidR="000A5329" w:rsidRPr="002029AF">
        <w:t xml:space="preserve"> </w:t>
      </w:r>
      <w:r w:rsidRPr="002029AF">
        <w:t>either</w:t>
      </w:r>
      <w:r w:rsidR="000A5329" w:rsidRPr="002029AF">
        <w:t xml:space="preserve"> </w:t>
      </w:r>
      <w:r w:rsidRPr="002029AF">
        <w:t>input</w:t>
      </w:r>
      <w:r w:rsidR="000A5329" w:rsidRPr="002029AF">
        <w:t xml:space="preserve"> </w:t>
      </w:r>
      <w:r w:rsidRPr="002029AF">
        <w:t>taxed</w:t>
      </w:r>
      <w:r w:rsidR="000A5329" w:rsidRPr="002029AF">
        <w:t xml:space="preserve"> </w:t>
      </w:r>
      <w:r w:rsidRPr="002029AF">
        <w:t>or</w:t>
      </w:r>
      <w:r w:rsidR="000A5329" w:rsidRPr="002029AF">
        <w:t xml:space="preserve"> </w:t>
      </w:r>
      <w:r w:rsidRPr="002029AF">
        <w:t>exempt</w:t>
      </w:r>
      <w:r w:rsidR="000A5329" w:rsidRPr="002029AF">
        <w:t xml:space="preserve"> </w:t>
      </w:r>
      <w:r w:rsidRPr="002029AF">
        <w:t>goods</w:t>
      </w:r>
      <w:r w:rsidR="000A5329" w:rsidRPr="002029AF">
        <w:t xml:space="preserve"> </w:t>
      </w:r>
      <w:r w:rsidRPr="002029AF">
        <w:t>and</w:t>
      </w:r>
      <w:r w:rsidR="000A5329" w:rsidRPr="002029AF">
        <w:t xml:space="preserve"> </w:t>
      </w:r>
      <w:r w:rsidRPr="002029AF">
        <w:t>services.</w:t>
      </w:r>
    </w:p>
    <w:p w14:paraId="08B32514" w14:textId="1394C611" w:rsidR="00087B91" w:rsidRPr="002029AF" w:rsidRDefault="00087B91" w:rsidP="00087B91">
      <w:pPr>
        <w:pStyle w:val="ARfintablefootnoteindent"/>
      </w:pPr>
      <w:r w:rsidRPr="002029AF">
        <w:t>(iii)</w:t>
      </w:r>
      <w:r w:rsidRPr="002029AF">
        <w:tab/>
        <w:t>On</w:t>
      </w:r>
      <w:r w:rsidR="000A5329" w:rsidRPr="002029AF">
        <w:t xml:space="preserve"> </w:t>
      </w:r>
      <w:r w:rsidRPr="002029AF">
        <w:t>27</w:t>
      </w:r>
      <w:r w:rsidR="000A5329" w:rsidRPr="002029AF">
        <w:t xml:space="preserve"> </w:t>
      </w:r>
      <w:r w:rsidRPr="002029AF">
        <w:t>August</w:t>
      </w:r>
      <w:r w:rsidR="000A5329" w:rsidRPr="002029AF">
        <w:t xml:space="preserve"> </w:t>
      </w:r>
      <w:r w:rsidRPr="002029AF">
        <w:t>2013,</w:t>
      </w:r>
      <w:r w:rsidR="000A5329" w:rsidRPr="002029AF">
        <w:t xml:space="preserve"> </w:t>
      </w:r>
      <w:r w:rsidRPr="002029AF">
        <w:t>the</w:t>
      </w:r>
      <w:r w:rsidR="000A5329" w:rsidRPr="002029AF">
        <w:t xml:space="preserve"> </w:t>
      </w:r>
      <w:r w:rsidRPr="002029AF">
        <w:t>Minister</w:t>
      </w:r>
      <w:r w:rsidR="000A5329" w:rsidRPr="002029AF">
        <w:t xml:space="preserve"> </w:t>
      </w:r>
      <w:r w:rsidRPr="002029AF">
        <w:t>for</w:t>
      </w:r>
      <w:r w:rsidR="000A5329" w:rsidRPr="002029AF">
        <w:t xml:space="preserve"> </w:t>
      </w:r>
      <w:r w:rsidRPr="002029AF">
        <w:t>Health</w:t>
      </w:r>
      <w:r w:rsidR="000A5329" w:rsidRPr="002029AF">
        <w:t xml:space="preserve"> </w:t>
      </w:r>
      <w:r w:rsidRPr="002029AF">
        <w:t>signed</w:t>
      </w:r>
      <w:r w:rsidR="000A5329" w:rsidRPr="002029AF">
        <w:t xml:space="preserve"> </w:t>
      </w:r>
      <w:r w:rsidRPr="002029AF">
        <w:t>a</w:t>
      </w:r>
      <w:r w:rsidR="000A5329" w:rsidRPr="002029AF">
        <w:t xml:space="preserve"> </w:t>
      </w:r>
      <w:r w:rsidRPr="002029AF">
        <w:t>Services</w:t>
      </w:r>
      <w:r w:rsidR="000A5329" w:rsidRPr="002029AF">
        <w:t xml:space="preserve"> </w:t>
      </w:r>
      <w:r w:rsidRPr="002029AF">
        <w:t>Agreement</w:t>
      </w:r>
      <w:r w:rsidR="000A5329" w:rsidRPr="002029AF">
        <w:t xml:space="preserve"> </w:t>
      </w:r>
      <w:r w:rsidRPr="002029AF">
        <w:t>Restructure</w:t>
      </w:r>
      <w:r w:rsidR="000A5329" w:rsidRPr="002029AF">
        <w:t xml:space="preserve"> </w:t>
      </w:r>
      <w:r w:rsidRPr="002029AF">
        <w:t>Deed</w:t>
      </w:r>
      <w:r w:rsidR="000A5329" w:rsidRPr="002029AF">
        <w:t xml:space="preserve"> </w:t>
      </w:r>
      <w:r w:rsidRPr="002029AF">
        <w:t>and</w:t>
      </w:r>
      <w:r w:rsidR="000A5329" w:rsidRPr="002029AF">
        <w:t xml:space="preserve"> </w:t>
      </w:r>
      <w:r w:rsidRPr="002029AF">
        <w:t>other</w:t>
      </w:r>
      <w:r w:rsidR="000A5329" w:rsidRPr="002029AF">
        <w:t xml:space="preserve"> </w:t>
      </w:r>
      <w:r w:rsidRPr="002029AF">
        <w:t>relevant</w:t>
      </w:r>
      <w:r w:rsidR="000A5329" w:rsidRPr="002029AF">
        <w:t xml:space="preserve"> </w:t>
      </w:r>
      <w:r w:rsidRPr="002029AF">
        <w:t>documents</w:t>
      </w:r>
      <w:r w:rsidR="000A5329" w:rsidRPr="002029AF">
        <w:t xml:space="preserve"> </w:t>
      </w:r>
      <w:r w:rsidRPr="002029AF">
        <w:t>in</w:t>
      </w:r>
      <w:r w:rsidR="000A5329" w:rsidRPr="002029AF">
        <w:t xml:space="preserve"> </w:t>
      </w:r>
      <w:r w:rsidRPr="002029AF">
        <w:t>accordance</w:t>
      </w:r>
      <w:r w:rsidR="000A5329" w:rsidRPr="002029AF">
        <w:t xml:space="preserve"> </w:t>
      </w:r>
      <w:r w:rsidRPr="002029AF">
        <w:t>with</w:t>
      </w:r>
      <w:r w:rsidR="000A5329" w:rsidRPr="002029AF">
        <w:t xml:space="preserve"> </w:t>
      </w:r>
      <w:r w:rsidRPr="002029AF">
        <w:t>Part</w:t>
      </w:r>
      <w:r w:rsidR="000A5329" w:rsidRPr="002029AF">
        <w:t xml:space="preserve"> </w:t>
      </w:r>
      <w:r w:rsidRPr="002029AF">
        <w:t>3A</w:t>
      </w:r>
      <w:r w:rsidR="000A5329" w:rsidRPr="002029AF">
        <w:t xml:space="preserve"> </w:t>
      </w:r>
      <w:r w:rsidRPr="002029AF">
        <w:t>of</w:t>
      </w:r>
      <w:r w:rsidR="000A5329" w:rsidRPr="002029AF">
        <w:t xml:space="preserve"> </w:t>
      </w:r>
      <w:r w:rsidRPr="002029AF">
        <w:t>the</w:t>
      </w:r>
      <w:r w:rsidR="000A5329" w:rsidRPr="002029AF">
        <w:t xml:space="preserve"> </w:t>
      </w:r>
      <w:r w:rsidRPr="002029AF">
        <w:rPr>
          <w:rStyle w:val="Emphasis"/>
        </w:rPr>
        <w:t>Health</w:t>
      </w:r>
      <w:r w:rsidR="000A5329" w:rsidRPr="002029AF">
        <w:rPr>
          <w:rStyle w:val="Emphasis"/>
        </w:rPr>
        <w:t xml:space="preserve"> </w:t>
      </w:r>
      <w:r w:rsidRPr="002029AF">
        <w:rPr>
          <w:rStyle w:val="Emphasis"/>
        </w:rPr>
        <w:t>Services</w:t>
      </w:r>
      <w:r w:rsidR="000A5329" w:rsidRPr="002029AF">
        <w:rPr>
          <w:rStyle w:val="Emphasis"/>
        </w:rPr>
        <w:t xml:space="preserve"> </w:t>
      </w:r>
      <w:r w:rsidRPr="002029AF">
        <w:rPr>
          <w:rStyle w:val="Emphasis"/>
        </w:rPr>
        <w:t>Act</w:t>
      </w:r>
      <w:r w:rsidR="000A5329" w:rsidRPr="002029AF">
        <w:rPr>
          <w:rStyle w:val="Emphasis"/>
        </w:rPr>
        <w:t xml:space="preserve"> </w:t>
      </w:r>
      <w:r w:rsidRPr="002029AF">
        <w:rPr>
          <w:rStyle w:val="Emphasis"/>
        </w:rPr>
        <w:t>1988</w:t>
      </w:r>
      <w:r w:rsidR="000A5329" w:rsidRPr="002029AF">
        <w:t xml:space="preserve"> </w:t>
      </w:r>
      <w:r w:rsidRPr="002029AF">
        <w:t>with</w:t>
      </w:r>
      <w:r w:rsidR="000A5329" w:rsidRPr="002029AF">
        <w:t xml:space="preserve"> </w:t>
      </w:r>
      <w:r w:rsidRPr="002029AF">
        <w:t>the</w:t>
      </w:r>
      <w:r w:rsidR="000A5329" w:rsidRPr="002029AF">
        <w:t xml:space="preserve"> </w:t>
      </w:r>
      <w:r w:rsidRPr="002029AF">
        <w:t>owners</w:t>
      </w:r>
      <w:r w:rsidR="000A5329" w:rsidRPr="002029AF">
        <w:t xml:space="preserve"> </w:t>
      </w:r>
      <w:r w:rsidRPr="002029AF">
        <w:t>of</w:t>
      </w:r>
      <w:r w:rsidR="000A5329" w:rsidRPr="002029AF">
        <w:t xml:space="preserve"> </w:t>
      </w:r>
      <w:r w:rsidRPr="002029AF">
        <w:t>Mildura</w:t>
      </w:r>
      <w:r w:rsidR="000A5329" w:rsidRPr="002029AF">
        <w:t xml:space="preserve"> </w:t>
      </w:r>
      <w:r w:rsidRPr="002029AF">
        <w:t>Base</w:t>
      </w:r>
      <w:r w:rsidR="000A5329" w:rsidRPr="002029AF">
        <w:t xml:space="preserve"> </w:t>
      </w:r>
      <w:r w:rsidRPr="002029AF">
        <w:t>Hospital,</w:t>
      </w:r>
      <w:r w:rsidR="000A5329" w:rsidRPr="002029AF">
        <w:t xml:space="preserve"> </w:t>
      </w:r>
      <w:r w:rsidRPr="002029AF">
        <w:t>the</w:t>
      </w:r>
      <w:r w:rsidR="000A5329" w:rsidRPr="002029AF">
        <w:t xml:space="preserve"> </w:t>
      </w:r>
      <w:r w:rsidRPr="002029AF">
        <w:t>Motor</w:t>
      </w:r>
      <w:r w:rsidR="000A5329" w:rsidRPr="002029AF">
        <w:t xml:space="preserve"> </w:t>
      </w:r>
      <w:r w:rsidRPr="002029AF">
        <w:t>Trades</w:t>
      </w:r>
      <w:r w:rsidR="000A5329" w:rsidRPr="002029AF">
        <w:t xml:space="preserve"> </w:t>
      </w:r>
      <w:r w:rsidRPr="002029AF">
        <w:t>Association</w:t>
      </w:r>
      <w:r w:rsidR="000A5329" w:rsidRPr="002029AF">
        <w:t xml:space="preserve"> </w:t>
      </w:r>
      <w:r w:rsidRPr="002029AF">
        <w:t>of</w:t>
      </w:r>
      <w:r w:rsidR="000A5329" w:rsidRPr="002029AF">
        <w:t xml:space="preserve"> </w:t>
      </w:r>
      <w:r w:rsidRPr="002029AF">
        <w:t>Australia</w:t>
      </w:r>
      <w:r w:rsidR="000A5329" w:rsidRPr="002029AF">
        <w:t xml:space="preserve"> </w:t>
      </w:r>
      <w:r w:rsidRPr="002029AF">
        <w:t>Superannuation</w:t>
      </w:r>
      <w:r w:rsidR="000A5329" w:rsidRPr="002029AF">
        <w:t xml:space="preserve"> </w:t>
      </w:r>
      <w:r w:rsidRPr="002029AF">
        <w:t>Fund</w:t>
      </w:r>
      <w:r w:rsidR="000A5329" w:rsidRPr="002029AF">
        <w:t xml:space="preserve"> </w:t>
      </w:r>
      <w:r w:rsidRPr="002029AF">
        <w:t>(MTAA),</w:t>
      </w:r>
      <w:r w:rsidR="000A5329" w:rsidRPr="002029AF">
        <w:t xml:space="preserve"> </w:t>
      </w:r>
      <w:r w:rsidRPr="002029AF">
        <w:t>and</w:t>
      </w:r>
      <w:r w:rsidR="000A5329" w:rsidRPr="002029AF">
        <w:t xml:space="preserve"> </w:t>
      </w:r>
      <w:r w:rsidRPr="002029AF">
        <w:t>the</w:t>
      </w:r>
      <w:r w:rsidR="000A5329" w:rsidRPr="002029AF">
        <w:t xml:space="preserve"> </w:t>
      </w:r>
      <w:r w:rsidRPr="002029AF">
        <w:t>other</w:t>
      </w:r>
      <w:r w:rsidR="000A5329" w:rsidRPr="002029AF">
        <w:t xml:space="preserve"> </w:t>
      </w:r>
      <w:r w:rsidRPr="002029AF">
        <w:t>parties</w:t>
      </w:r>
      <w:r w:rsidR="000A5329" w:rsidRPr="002029AF">
        <w:t xml:space="preserve"> </w:t>
      </w:r>
      <w:r w:rsidRPr="002029AF">
        <w:t>to</w:t>
      </w:r>
      <w:r w:rsidR="000A5329" w:rsidRPr="002029AF">
        <w:t xml:space="preserve"> </w:t>
      </w:r>
      <w:r w:rsidRPr="002029AF">
        <w:t>the</w:t>
      </w:r>
      <w:r w:rsidR="000A5329" w:rsidRPr="002029AF">
        <w:t xml:space="preserve"> </w:t>
      </w:r>
      <w:r w:rsidRPr="002029AF">
        <w:t>transaction.</w:t>
      </w:r>
      <w:r w:rsidR="000A5329" w:rsidRPr="002029AF">
        <w:t xml:space="preserve"> </w:t>
      </w:r>
      <w:r w:rsidRPr="002029AF">
        <w:t>In</w:t>
      </w:r>
      <w:r w:rsidR="000A5329" w:rsidRPr="002029AF">
        <w:t xml:space="preserve"> </w:t>
      </w:r>
      <w:r w:rsidRPr="002029AF">
        <w:t>accordance</w:t>
      </w:r>
      <w:r w:rsidR="000A5329" w:rsidRPr="002029AF">
        <w:t xml:space="preserve"> </w:t>
      </w:r>
      <w:r w:rsidRPr="002029AF">
        <w:t>with</w:t>
      </w:r>
      <w:r w:rsidR="000A5329" w:rsidRPr="002029AF">
        <w:t xml:space="preserve"> </w:t>
      </w:r>
      <w:r w:rsidRPr="002029AF">
        <w:t>the</w:t>
      </w:r>
      <w:r w:rsidR="000A5329" w:rsidRPr="002029AF">
        <w:t xml:space="preserve"> </w:t>
      </w:r>
      <w:r w:rsidRPr="002029AF">
        <w:t>restructure</w:t>
      </w:r>
      <w:r w:rsidR="000A5329" w:rsidRPr="002029AF">
        <w:t xml:space="preserve"> </w:t>
      </w:r>
      <w:r w:rsidRPr="002029AF">
        <w:t>agreement,</w:t>
      </w:r>
      <w:r w:rsidR="000A5329" w:rsidRPr="002029AF">
        <w:t xml:space="preserve"> </w:t>
      </w:r>
      <w:r w:rsidRPr="002029AF">
        <w:t>the</w:t>
      </w:r>
      <w:r w:rsidR="000A5329" w:rsidRPr="002029AF">
        <w:t xml:space="preserve"> </w:t>
      </w:r>
      <w:r w:rsidRPr="002029AF">
        <w:t>MTAA</w:t>
      </w:r>
      <w:r w:rsidR="000A5329" w:rsidRPr="002029AF">
        <w:t xml:space="preserve"> </w:t>
      </w:r>
      <w:r w:rsidRPr="002029AF">
        <w:t>agreed</w:t>
      </w:r>
      <w:r w:rsidR="000A5329" w:rsidRPr="002029AF">
        <w:t xml:space="preserve"> </w:t>
      </w:r>
      <w:r w:rsidRPr="002029AF">
        <w:t>to</w:t>
      </w:r>
      <w:r w:rsidR="000A5329" w:rsidRPr="002029AF">
        <w:t xml:space="preserve"> </w:t>
      </w:r>
      <w:r w:rsidRPr="002029AF">
        <w:t>surrender</w:t>
      </w:r>
      <w:r w:rsidR="000A5329" w:rsidRPr="002029AF">
        <w:t xml:space="preserve"> </w:t>
      </w:r>
      <w:r w:rsidRPr="002029AF">
        <w:t>the</w:t>
      </w:r>
      <w:r w:rsidR="000A5329" w:rsidRPr="002029AF">
        <w:t xml:space="preserve"> </w:t>
      </w:r>
      <w:r w:rsidRPr="002029AF">
        <w:t>99-year</w:t>
      </w:r>
      <w:r w:rsidR="000A5329" w:rsidRPr="002029AF">
        <w:t xml:space="preserve"> </w:t>
      </w:r>
      <w:r w:rsidRPr="002029AF">
        <w:t>lease</w:t>
      </w:r>
      <w:r w:rsidR="000A5329" w:rsidRPr="002029AF">
        <w:t xml:space="preserve"> </w:t>
      </w:r>
      <w:r w:rsidRPr="002029AF">
        <w:t>of</w:t>
      </w:r>
      <w:r w:rsidR="000A5329" w:rsidRPr="002029AF">
        <w:t xml:space="preserve"> </w:t>
      </w:r>
      <w:r w:rsidRPr="002029AF">
        <w:t>the</w:t>
      </w:r>
      <w:r w:rsidR="000A5329" w:rsidRPr="002029AF">
        <w:t xml:space="preserve"> </w:t>
      </w:r>
      <w:r w:rsidRPr="002029AF">
        <w:t>site,</w:t>
      </w:r>
      <w:r w:rsidR="000A5329" w:rsidRPr="002029AF">
        <w:t xml:space="preserve"> </w:t>
      </w:r>
      <w:r w:rsidRPr="002029AF">
        <w:t>transfer</w:t>
      </w:r>
      <w:r w:rsidR="000A5329" w:rsidRPr="002029AF">
        <w:t xml:space="preserve"> </w:t>
      </w:r>
      <w:r w:rsidRPr="002029AF">
        <w:t>the</w:t>
      </w:r>
      <w:r w:rsidR="000A5329" w:rsidRPr="002029AF">
        <w:t xml:space="preserve"> </w:t>
      </w:r>
      <w:r w:rsidRPr="002029AF">
        <w:t>building,</w:t>
      </w:r>
      <w:r w:rsidR="000A5329" w:rsidRPr="002029AF">
        <w:t xml:space="preserve"> </w:t>
      </w:r>
      <w:r w:rsidRPr="002029AF">
        <w:t>plant</w:t>
      </w:r>
      <w:r w:rsidR="000A5329" w:rsidRPr="002029AF">
        <w:t xml:space="preserve"> </w:t>
      </w:r>
      <w:r w:rsidRPr="002029AF">
        <w:t>and</w:t>
      </w:r>
      <w:r w:rsidR="000A5329" w:rsidRPr="002029AF">
        <w:t xml:space="preserve"> </w:t>
      </w:r>
      <w:r w:rsidRPr="002029AF">
        <w:t>equipment</w:t>
      </w:r>
      <w:r w:rsidR="000A5329" w:rsidRPr="002029AF">
        <w:t xml:space="preserve"> </w:t>
      </w:r>
      <w:r w:rsidRPr="002029AF">
        <w:t>on</w:t>
      </w:r>
      <w:r w:rsidR="000A5329" w:rsidRPr="002029AF">
        <w:t xml:space="preserve"> </w:t>
      </w:r>
      <w:r w:rsidRPr="002029AF">
        <w:t>site</w:t>
      </w:r>
      <w:r w:rsidR="000A5329" w:rsidRPr="002029AF">
        <w:t xml:space="preserve"> </w:t>
      </w:r>
      <w:r w:rsidRPr="002029AF">
        <w:t>to</w:t>
      </w:r>
      <w:r w:rsidR="000A5329" w:rsidRPr="002029AF">
        <w:t xml:space="preserve"> </w:t>
      </w:r>
      <w:r w:rsidRPr="002029AF">
        <w:t>the</w:t>
      </w:r>
      <w:r w:rsidR="000A5329" w:rsidRPr="002029AF">
        <w:t xml:space="preserve"> </w:t>
      </w:r>
      <w:r w:rsidRPr="002029AF">
        <w:t>state,</w:t>
      </w:r>
      <w:r w:rsidR="000A5329" w:rsidRPr="002029AF">
        <w:t xml:space="preserve"> </w:t>
      </w:r>
      <w:r w:rsidRPr="002029AF">
        <w:t>and</w:t>
      </w:r>
      <w:r w:rsidR="000A5329" w:rsidRPr="002029AF">
        <w:t xml:space="preserve"> </w:t>
      </w:r>
      <w:r w:rsidRPr="002029AF">
        <w:t>forego</w:t>
      </w:r>
      <w:r w:rsidR="000A5329" w:rsidRPr="002029AF">
        <w:t xml:space="preserve"> </w:t>
      </w:r>
      <w:r w:rsidRPr="002029AF">
        <w:t>the</w:t>
      </w:r>
      <w:r w:rsidR="000A5329" w:rsidRPr="002029AF">
        <w:t xml:space="preserve"> </w:t>
      </w:r>
      <w:r w:rsidRPr="002029AF">
        <w:t>service</w:t>
      </w:r>
      <w:r w:rsidR="000A5329" w:rsidRPr="002029AF">
        <w:t xml:space="preserve"> </w:t>
      </w:r>
      <w:r w:rsidRPr="002029AF">
        <w:t>delivery</w:t>
      </w:r>
      <w:r w:rsidR="000A5329" w:rsidRPr="002029AF">
        <w:t xml:space="preserve"> </w:t>
      </w:r>
      <w:r w:rsidRPr="002029AF">
        <w:t>franchise.</w:t>
      </w:r>
      <w:r w:rsidR="000A5329" w:rsidRPr="002029AF">
        <w:t xml:space="preserve"> </w:t>
      </w:r>
      <w:r w:rsidRPr="002029AF">
        <w:t>In</w:t>
      </w:r>
      <w:r w:rsidR="000A5329" w:rsidRPr="002029AF">
        <w:t xml:space="preserve"> </w:t>
      </w:r>
      <w:r w:rsidRPr="002029AF">
        <w:t>exchange,</w:t>
      </w:r>
      <w:r w:rsidR="000A5329" w:rsidRPr="002029AF">
        <w:t xml:space="preserve"> </w:t>
      </w:r>
      <w:r w:rsidRPr="002029AF">
        <w:t>the</w:t>
      </w:r>
      <w:r w:rsidR="000A5329" w:rsidRPr="002029AF">
        <w:t xml:space="preserve"> </w:t>
      </w:r>
      <w:r w:rsidRPr="002029AF">
        <w:t>government</w:t>
      </w:r>
      <w:r w:rsidR="000A5329" w:rsidRPr="002029AF">
        <w:t xml:space="preserve"> </w:t>
      </w:r>
      <w:r w:rsidRPr="002029AF">
        <w:t>made</w:t>
      </w:r>
      <w:r w:rsidR="000A5329" w:rsidRPr="002029AF">
        <w:t xml:space="preserve"> </w:t>
      </w:r>
      <w:r w:rsidRPr="002029AF">
        <w:t>a</w:t>
      </w:r>
      <w:r w:rsidR="000A5329" w:rsidRPr="002029AF">
        <w:t xml:space="preserve"> </w:t>
      </w:r>
      <w:r w:rsidRPr="002029AF">
        <w:t>restructure</w:t>
      </w:r>
      <w:r w:rsidR="000A5329" w:rsidRPr="002029AF">
        <w:t xml:space="preserve"> </w:t>
      </w:r>
      <w:r w:rsidRPr="002029AF">
        <w:t>fee</w:t>
      </w:r>
      <w:r w:rsidR="000A5329" w:rsidRPr="002029AF">
        <w:t xml:space="preserve"> </w:t>
      </w:r>
      <w:r w:rsidRPr="002029AF">
        <w:t>payment</w:t>
      </w:r>
      <w:r w:rsidR="000A5329" w:rsidRPr="002029AF">
        <w:t xml:space="preserve"> </w:t>
      </w:r>
      <w:r w:rsidRPr="002029AF">
        <w:t>to</w:t>
      </w:r>
      <w:r w:rsidR="000A5329" w:rsidRPr="002029AF">
        <w:t xml:space="preserve"> </w:t>
      </w:r>
      <w:r w:rsidRPr="002029AF">
        <w:t>the</w:t>
      </w:r>
      <w:r w:rsidR="000A5329" w:rsidRPr="002029AF">
        <w:t xml:space="preserve"> </w:t>
      </w:r>
      <w:r w:rsidRPr="002029AF">
        <w:t>MTAA</w:t>
      </w:r>
      <w:r w:rsidR="000A5329" w:rsidRPr="002029AF">
        <w:t xml:space="preserve"> </w:t>
      </w:r>
      <w:r w:rsidRPr="002029AF">
        <w:t>and</w:t>
      </w:r>
      <w:r w:rsidR="000A5329" w:rsidRPr="002029AF">
        <w:t xml:space="preserve"> </w:t>
      </w:r>
      <w:r w:rsidRPr="002029AF">
        <w:t>agreed</w:t>
      </w:r>
      <w:r w:rsidR="000A5329" w:rsidRPr="002029AF">
        <w:t xml:space="preserve"> </w:t>
      </w:r>
      <w:r w:rsidRPr="002029AF">
        <w:t>to</w:t>
      </w:r>
      <w:r w:rsidR="000A5329" w:rsidRPr="002029AF">
        <w:t xml:space="preserve"> </w:t>
      </w:r>
      <w:r w:rsidRPr="002029AF">
        <w:t>accept</w:t>
      </w:r>
      <w:r w:rsidR="000A5329" w:rsidRPr="002029AF">
        <w:t xml:space="preserve"> </w:t>
      </w:r>
      <w:r w:rsidRPr="002029AF">
        <w:t>liability</w:t>
      </w:r>
      <w:r w:rsidR="000A5329" w:rsidRPr="002029AF">
        <w:t xml:space="preserve"> </w:t>
      </w:r>
      <w:r w:rsidRPr="002029AF">
        <w:t>for</w:t>
      </w:r>
      <w:r w:rsidR="000A5329" w:rsidRPr="002029AF">
        <w:t xml:space="preserve"> </w:t>
      </w:r>
      <w:r w:rsidRPr="002029AF">
        <w:t>the</w:t>
      </w:r>
      <w:r w:rsidR="000A5329" w:rsidRPr="002029AF">
        <w:t xml:space="preserve"> </w:t>
      </w:r>
      <w:r w:rsidRPr="002029AF">
        <w:t>outstanding</w:t>
      </w:r>
      <w:r w:rsidR="000A5329" w:rsidRPr="002029AF">
        <w:t xml:space="preserve"> </w:t>
      </w:r>
      <w:r w:rsidRPr="002029AF">
        <w:t>bond</w:t>
      </w:r>
      <w:r w:rsidR="000A5329" w:rsidRPr="002029AF">
        <w:t xml:space="preserve"> </w:t>
      </w:r>
      <w:r w:rsidRPr="002029AF">
        <w:t>payments</w:t>
      </w:r>
      <w:r w:rsidR="000A5329" w:rsidRPr="002029AF">
        <w:t xml:space="preserve"> </w:t>
      </w:r>
      <w:r w:rsidRPr="002029AF">
        <w:t>relating</w:t>
      </w:r>
      <w:r w:rsidR="000A5329" w:rsidRPr="002029AF">
        <w:t xml:space="preserve"> </w:t>
      </w:r>
      <w:r w:rsidRPr="002029AF">
        <w:t>to</w:t>
      </w:r>
      <w:r w:rsidR="000A5329" w:rsidRPr="002029AF">
        <w:t xml:space="preserve"> </w:t>
      </w:r>
      <w:r w:rsidRPr="002029AF">
        <w:t>a</w:t>
      </w:r>
      <w:r w:rsidR="000A5329" w:rsidRPr="002029AF">
        <w:t xml:space="preserve"> </w:t>
      </w:r>
      <w:r w:rsidRPr="002029AF">
        <w:t>previous</w:t>
      </w:r>
      <w:r w:rsidR="000A5329" w:rsidRPr="002029AF">
        <w:t xml:space="preserve"> </w:t>
      </w:r>
      <w:r w:rsidRPr="002029AF">
        <w:t>financing</w:t>
      </w:r>
      <w:r w:rsidR="000A5329" w:rsidRPr="002029AF">
        <w:t xml:space="preserve"> </w:t>
      </w:r>
      <w:r w:rsidRPr="002029AF">
        <w:t>arrangement</w:t>
      </w:r>
      <w:r w:rsidR="000A5329" w:rsidRPr="002029AF">
        <w:t xml:space="preserve"> </w:t>
      </w:r>
      <w:r w:rsidRPr="002029AF">
        <w:t>for</w:t>
      </w:r>
      <w:r w:rsidR="000A5329" w:rsidRPr="002029AF">
        <w:t xml:space="preserve"> </w:t>
      </w:r>
      <w:r w:rsidRPr="002029AF">
        <w:t>the</w:t>
      </w:r>
      <w:r w:rsidR="000A5329" w:rsidRPr="002029AF">
        <w:t xml:space="preserve"> </w:t>
      </w:r>
      <w:r w:rsidRPr="002029AF">
        <w:t>hospital.</w:t>
      </w:r>
      <w:r w:rsidR="000A5329" w:rsidRPr="002029AF">
        <w:t xml:space="preserve"> </w:t>
      </w:r>
      <w:r w:rsidRPr="002029AF">
        <w:t>The</w:t>
      </w:r>
      <w:r w:rsidR="000A5329" w:rsidRPr="002029AF">
        <w:t xml:space="preserve"> </w:t>
      </w:r>
      <w:r w:rsidRPr="002029AF">
        <w:t>formal</w:t>
      </w:r>
      <w:r w:rsidR="000A5329" w:rsidRPr="002029AF">
        <w:t xml:space="preserve"> </w:t>
      </w:r>
      <w:r w:rsidRPr="002029AF">
        <w:t>transfer</w:t>
      </w:r>
      <w:r w:rsidR="000A5329" w:rsidRPr="002029AF">
        <w:t xml:space="preserve"> </w:t>
      </w:r>
      <w:r w:rsidRPr="002029AF">
        <w:t>of</w:t>
      </w:r>
      <w:r w:rsidR="000A5329" w:rsidRPr="002029AF">
        <w:t xml:space="preserve"> </w:t>
      </w:r>
      <w:r w:rsidRPr="002029AF">
        <w:t>the</w:t>
      </w:r>
      <w:r w:rsidR="000A5329" w:rsidRPr="002029AF">
        <w:t xml:space="preserve"> </w:t>
      </w:r>
      <w:r w:rsidRPr="002029AF">
        <w:t>site</w:t>
      </w:r>
      <w:r w:rsidR="000A5329" w:rsidRPr="002029AF">
        <w:t xml:space="preserve"> </w:t>
      </w:r>
      <w:r w:rsidRPr="002029AF">
        <w:t>occurred</w:t>
      </w:r>
      <w:r w:rsidR="000A5329" w:rsidRPr="002029AF">
        <w:t xml:space="preserve"> </w:t>
      </w:r>
      <w:r w:rsidRPr="002029AF">
        <w:t>on</w:t>
      </w:r>
      <w:r w:rsidR="000A5329" w:rsidRPr="002029AF">
        <w:t xml:space="preserve"> </w:t>
      </w:r>
      <w:r w:rsidRPr="002029AF">
        <w:t>30</w:t>
      </w:r>
      <w:r w:rsidR="000A5329" w:rsidRPr="002029AF">
        <w:t xml:space="preserve"> </w:t>
      </w:r>
      <w:r w:rsidRPr="002029AF">
        <w:t>August</w:t>
      </w:r>
      <w:r w:rsidR="000A5329" w:rsidRPr="002029AF">
        <w:t xml:space="preserve"> </w:t>
      </w:r>
      <w:r w:rsidRPr="002029AF">
        <w:t>2013.</w:t>
      </w:r>
      <w:r w:rsidR="000A5329" w:rsidRPr="002029AF">
        <w:t xml:space="preserve"> </w:t>
      </w:r>
      <w:r w:rsidRPr="002029AF">
        <w:t>Mildura</w:t>
      </w:r>
      <w:r w:rsidR="000A5329" w:rsidRPr="002029AF">
        <w:t xml:space="preserve"> </w:t>
      </w:r>
      <w:r w:rsidRPr="002029AF">
        <w:t>Hospital</w:t>
      </w:r>
      <w:r w:rsidR="000A5329" w:rsidRPr="002029AF">
        <w:t xml:space="preserve"> </w:t>
      </w:r>
      <w:r w:rsidRPr="002029AF">
        <w:t>continues</w:t>
      </w:r>
      <w:r w:rsidR="000A5329" w:rsidRPr="002029AF">
        <w:t xml:space="preserve"> </w:t>
      </w:r>
      <w:r w:rsidRPr="002029AF">
        <w:t>to</w:t>
      </w:r>
      <w:r w:rsidR="000A5329" w:rsidRPr="002029AF">
        <w:t xml:space="preserve"> </w:t>
      </w:r>
      <w:r w:rsidRPr="002029AF">
        <w:t>be</w:t>
      </w:r>
      <w:r w:rsidR="000A5329" w:rsidRPr="002029AF">
        <w:t xml:space="preserve"> </w:t>
      </w:r>
      <w:r w:rsidRPr="002029AF">
        <w:t>operated</w:t>
      </w:r>
      <w:r w:rsidR="000A5329" w:rsidRPr="002029AF">
        <w:t xml:space="preserve"> </w:t>
      </w:r>
      <w:r w:rsidRPr="002029AF">
        <w:t>by</w:t>
      </w:r>
      <w:r w:rsidR="000A5329" w:rsidRPr="002029AF">
        <w:t xml:space="preserve"> </w:t>
      </w:r>
      <w:r w:rsidRPr="002029AF">
        <w:t>Ramsay</w:t>
      </w:r>
      <w:r w:rsidR="000A5329" w:rsidRPr="002029AF">
        <w:t xml:space="preserve"> </w:t>
      </w:r>
      <w:r w:rsidRPr="002029AF">
        <w:t>Health</w:t>
      </w:r>
      <w:r w:rsidR="000A5329" w:rsidRPr="002029AF">
        <w:t xml:space="preserve"> </w:t>
      </w:r>
      <w:r w:rsidRPr="002029AF">
        <w:t>Care</w:t>
      </w:r>
      <w:r w:rsidR="000A5329" w:rsidRPr="002029AF">
        <w:t xml:space="preserve"> </w:t>
      </w:r>
      <w:r w:rsidRPr="002029AF">
        <w:t>Group</w:t>
      </w:r>
      <w:r w:rsidR="000A5329" w:rsidRPr="002029AF">
        <w:t xml:space="preserve"> </w:t>
      </w:r>
      <w:r w:rsidRPr="002029AF">
        <w:t>until</w:t>
      </w:r>
      <w:r w:rsidR="000A5329" w:rsidRPr="002029AF">
        <w:t xml:space="preserve"> </w:t>
      </w:r>
      <w:r w:rsidRPr="002029AF">
        <w:t>15</w:t>
      </w:r>
      <w:r w:rsidR="000A5329" w:rsidRPr="002029AF">
        <w:t xml:space="preserve"> </w:t>
      </w:r>
      <w:r w:rsidRPr="002029AF">
        <w:t>September</w:t>
      </w:r>
      <w:r w:rsidR="000A5329" w:rsidRPr="002029AF">
        <w:t xml:space="preserve"> </w:t>
      </w:r>
      <w:r w:rsidRPr="002029AF">
        <w:t>2020</w:t>
      </w:r>
      <w:r w:rsidR="000A5329" w:rsidRPr="002029AF">
        <w:t xml:space="preserve"> </w:t>
      </w:r>
      <w:r w:rsidRPr="002029AF">
        <w:t>when</w:t>
      </w:r>
      <w:r w:rsidR="000A5329" w:rsidRPr="002029AF">
        <w:t xml:space="preserve"> </w:t>
      </w:r>
      <w:r w:rsidRPr="002029AF">
        <w:t>the</w:t>
      </w:r>
      <w:r w:rsidR="000A5329" w:rsidRPr="002029AF">
        <w:t xml:space="preserve"> </w:t>
      </w:r>
      <w:r w:rsidRPr="002029AF">
        <w:t>Mildura</w:t>
      </w:r>
      <w:r w:rsidR="000A5329" w:rsidRPr="002029AF">
        <w:t xml:space="preserve"> </w:t>
      </w:r>
      <w:r w:rsidRPr="002029AF">
        <w:t>Base</w:t>
      </w:r>
      <w:r w:rsidR="000A5329" w:rsidRPr="002029AF">
        <w:t xml:space="preserve"> </w:t>
      </w:r>
      <w:r w:rsidRPr="002029AF">
        <w:t>Public</w:t>
      </w:r>
      <w:r w:rsidR="000A5329" w:rsidRPr="002029AF">
        <w:t xml:space="preserve"> </w:t>
      </w:r>
      <w:r w:rsidRPr="002029AF">
        <w:t>Hospital</w:t>
      </w:r>
      <w:r w:rsidR="000A5329" w:rsidRPr="002029AF">
        <w:t xml:space="preserve"> </w:t>
      </w:r>
      <w:r w:rsidRPr="002029AF">
        <w:t>takes</w:t>
      </w:r>
      <w:r w:rsidR="000A5329" w:rsidRPr="002029AF">
        <w:t xml:space="preserve"> </w:t>
      </w:r>
      <w:r w:rsidRPr="002029AF">
        <w:t>over</w:t>
      </w:r>
      <w:r w:rsidR="000A5329" w:rsidRPr="002029AF">
        <w:t xml:space="preserve"> </w:t>
      </w:r>
      <w:r w:rsidRPr="002029AF">
        <w:t>the</w:t>
      </w:r>
      <w:r w:rsidR="000A5329" w:rsidRPr="002029AF">
        <w:t xml:space="preserve"> </w:t>
      </w:r>
      <w:r w:rsidRPr="002029AF">
        <w:t>operations.</w:t>
      </w:r>
    </w:p>
    <w:p w14:paraId="5BA22C22" w14:textId="5F1D1C60" w:rsidR="00087B91" w:rsidRPr="002029AF" w:rsidRDefault="00087B91" w:rsidP="00087B91">
      <w:pPr>
        <w:pStyle w:val="ARfintablefootnoteindent"/>
      </w:pPr>
      <w:r w:rsidRPr="002029AF">
        <w:t>(iv)</w:t>
      </w:r>
      <w:r w:rsidRPr="002029AF">
        <w:tab/>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an</w:t>
      </w:r>
      <w:r w:rsidR="000A5329" w:rsidRPr="002029AF">
        <w:t xml:space="preserve"> </w:t>
      </w:r>
      <w:r w:rsidRPr="002029AF">
        <w:t>occupancy</w:t>
      </w:r>
      <w:r w:rsidR="000A5329" w:rsidRPr="002029AF">
        <w:t xml:space="preserve"> </w:t>
      </w:r>
      <w:r w:rsidRPr="002029AF">
        <w:t>agreement,</w:t>
      </w:r>
      <w:r w:rsidR="000A5329" w:rsidRPr="002029AF">
        <w:t xml:space="preserve"> </w:t>
      </w:r>
      <w:r w:rsidRPr="002029AF">
        <w:t>ending</w:t>
      </w:r>
      <w:r w:rsidR="000A5329" w:rsidRPr="002029AF">
        <w:t xml:space="preserve"> </w:t>
      </w:r>
      <w:r w:rsidRPr="002029AF">
        <w:t>on</w:t>
      </w:r>
      <w:r w:rsidR="000A5329" w:rsidRPr="002029AF">
        <w:t xml:space="preserve"> </w:t>
      </w:r>
      <w:r w:rsidRPr="002029AF">
        <w:t>31</w:t>
      </w:r>
      <w:r w:rsidR="000A5329" w:rsidRPr="002029AF">
        <w:t xml:space="preserve"> </w:t>
      </w:r>
      <w:r w:rsidRPr="002029AF">
        <w:t>October</w:t>
      </w:r>
      <w:r w:rsidR="000A5329" w:rsidRPr="002029AF">
        <w:t xml:space="preserve"> </w:t>
      </w:r>
      <w:r w:rsidRPr="002029AF">
        <w:t>2021,</w:t>
      </w:r>
      <w:r w:rsidR="000A5329" w:rsidRPr="002029AF">
        <w:t xml:space="preserve"> </w:t>
      </w:r>
      <w:r w:rsidRPr="002029AF">
        <w:t>with</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of</w:t>
      </w:r>
      <w:r w:rsidR="000A5329" w:rsidRPr="002029AF">
        <w:t xml:space="preserve"> </w:t>
      </w:r>
      <w:r w:rsidRPr="002029AF">
        <w:t>Treasury</w:t>
      </w:r>
      <w:r w:rsidR="000A5329" w:rsidRPr="002029AF">
        <w:t xml:space="preserve"> </w:t>
      </w:r>
      <w:r w:rsidRPr="002029AF">
        <w:t>and</w:t>
      </w:r>
      <w:r w:rsidR="000A5329" w:rsidRPr="002029AF">
        <w:t xml:space="preserve"> </w:t>
      </w:r>
      <w:r w:rsidRPr="002029AF">
        <w:t>Finance</w:t>
      </w:r>
      <w:r w:rsidR="000A5329" w:rsidRPr="002029AF">
        <w:t xml:space="preserve"> </w:t>
      </w:r>
      <w:r w:rsidRPr="002029AF">
        <w:t>Shared</w:t>
      </w:r>
      <w:r w:rsidR="000A5329" w:rsidRPr="002029AF">
        <w:t xml:space="preserve"> </w:t>
      </w:r>
      <w:r w:rsidRPr="002029AF">
        <w:t>Service</w:t>
      </w:r>
      <w:r w:rsidR="000A5329" w:rsidRPr="002029AF">
        <w:t xml:space="preserve"> </w:t>
      </w:r>
      <w:r w:rsidRPr="002029AF">
        <w:t>Provider</w:t>
      </w:r>
      <w:r w:rsidR="000A5329" w:rsidRPr="002029AF">
        <w:t xml:space="preserve"> </w:t>
      </w:r>
      <w:r w:rsidRPr="002029AF">
        <w:t>for</w:t>
      </w:r>
      <w:r w:rsidR="000A5329" w:rsidRPr="002029AF">
        <w:t xml:space="preserve"> </w:t>
      </w:r>
      <w:r w:rsidRPr="002029AF">
        <w:t>office</w:t>
      </w:r>
      <w:r w:rsidR="000A5329" w:rsidRPr="002029AF">
        <w:t xml:space="preserve"> </w:t>
      </w:r>
      <w:r w:rsidRPr="002029AF">
        <w:t>accommodation</w:t>
      </w:r>
      <w:r w:rsidR="000A5329" w:rsidRPr="002029AF">
        <w:t xml:space="preserve"> </w:t>
      </w:r>
      <w:r w:rsidRPr="002029AF">
        <w:t>at</w:t>
      </w:r>
      <w:r w:rsidR="000A5329" w:rsidRPr="002029AF">
        <w:t xml:space="preserve"> </w:t>
      </w:r>
      <w:r w:rsidRPr="002029AF">
        <w:t>various</w:t>
      </w:r>
      <w:r w:rsidR="000A5329" w:rsidRPr="002029AF">
        <w:t xml:space="preserve"> </w:t>
      </w:r>
      <w:r w:rsidRPr="002029AF">
        <w:t>locations</w:t>
      </w:r>
      <w:r w:rsidR="000A5329" w:rsidRPr="002029AF">
        <w:t xml:space="preserve"> </w:t>
      </w:r>
      <w:r w:rsidRPr="002029AF">
        <w:t>across</w:t>
      </w:r>
      <w:r w:rsidR="000A5329" w:rsidRPr="002029AF">
        <w:t xml:space="preserve"> </w:t>
      </w:r>
      <w:r w:rsidRPr="002029AF">
        <w:t>Victoria</w:t>
      </w:r>
      <w:r w:rsidR="000A5329" w:rsidRPr="002029AF">
        <w:t xml:space="preserve"> </w:t>
      </w:r>
      <w:r w:rsidRPr="002029AF">
        <w:t>and</w:t>
      </w:r>
      <w:r w:rsidR="000A5329" w:rsidRPr="002029AF">
        <w:t xml:space="preserve"> </w:t>
      </w:r>
      <w:r w:rsidRPr="002029AF">
        <w:t>other</w:t>
      </w:r>
      <w:r w:rsidR="000A5329" w:rsidRPr="002029AF">
        <w:t xml:space="preserve"> </w:t>
      </w:r>
      <w:r w:rsidRPr="002029AF">
        <w:t>related</w:t>
      </w:r>
      <w:r w:rsidR="000A5329" w:rsidRPr="002029AF">
        <w:t xml:space="preserve"> </w:t>
      </w:r>
      <w:r w:rsidRPr="002029AF">
        <w:t>services,</w:t>
      </w:r>
      <w:r w:rsidR="000A5329" w:rsidRPr="002029AF">
        <w:t xml:space="preserve"> </w:t>
      </w:r>
      <w:r w:rsidRPr="002029AF">
        <w:t>including</w:t>
      </w:r>
      <w:r w:rsidR="000A5329" w:rsidRPr="002029AF">
        <w:t xml:space="preserve"> </w:t>
      </w:r>
      <w:r w:rsidRPr="002029AF">
        <w:t>management</w:t>
      </w:r>
      <w:r w:rsidR="000A5329" w:rsidRPr="002029AF">
        <w:t xml:space="preserve"> </w:t>
      </w:r>
      <w:r w:rsidRPr="002029AF">
        <w:t>fee,</w:t>
      </w:r>
      <w:r w:rsidR="000A5329" w:rsidRPr="002029AF">
        <w:t xml:space="preserve"> </w:t>
      </w:r>
      <w:r w:rsidRPr="002029AF">
        <w:t>repairs</w:t>
      </w:r>
      <w:r w:rsidR="000A5329" w:rsidRPr="002029AF">
        <w:t xml:space="preserve"> </w:t>
      </w:r>
      <w:r w:rsidRPr="002029AF">
        <w:t>and</w:t>
      </w:r>
      <w:r w:rsidR="000A5329" w:rsidRPr="002029AF">
        <w:t xml:space="preserve"> </w:t>
      </w:r>
      <w:r w:rsidRPr="002029AF">
        <w:t>maintenance,</w:t>
      </w:r>
      <w:r w:rsidR="000A5329" w:rsidRPr="002029AF">
        <w:t xml:space="preserve"> </w:t>
      </w:r>
      <w:r w:rsidRPr="002029AF">
        <w:t>cleaning,</w:t>
      </w:r>
      <w:r w:rsidR="000A5329" w:rsidRPr="002029AF">
        <w:t xml:space="preserve"> </w:t>
      </w:r>
      <w:r w:rsidRPr="002029AF">
        <w:t>security,</w:t>
      </w:r>
      <w:r w:rsidR="000A5329" w:rsidRPr="002029AF">
        <w:t xml:space="preserve"> </w:t>
      </w:r>
      <w:r w:rsidRPr="002029AF">
        <w:t>utilities,</w:t>
      </w:r>
      <w:r w:rsidR="000A5329" w:rsidRPr="002029AF">
        <w:t xml:space="preserve"> </w:t>
      </w:r>
      <w:r w:rsidRPr="002029AF">
        <w:t>etc.</w:t>
      </w:r>
      <w:r w:rsidR="000A5329" w:rsidRPr="002029AF">
        <w:t xml:space="preserve"> </w:t>
      </w:r>
      <w:r w:rsidRPr="002029AF">
        <w:t>A</w:t>
      </w:r>
      <w:r w:rsidR="000A5329" w:rsidRPr="002029AF">
        <w:t xml:space="preserve"> </w:t>
      </w:r>
      <w:r w:rsidRPr="002029AF">
        <w:t>significant</w:t>
      </w:r>
      <w:r w:rsidR="000A5329" w:rsidRPr="002029AF">
        <w:t xml:space="preserve"> </w:t>
      </w:r>
      <w:r w:rsidRPr="002029AF">
        <w:t>judgement</w:t>
      </w:r>
      <w:r w:rsidR="000A5329" w:rsidRPr="002029AF">
        <w:t xml:space="preserve"> </w:t>
      </w:r>
      <w:r w:rsidRPr="002029AF">
        <w:t>was</w:t>
      </w:r>
      <w:r w:rsidR="000A5329" w:rsidRPr="002029AF">
        <w:t xml:space="preserve"> </w:t>
      </w:r>
      <w:r w:rsidRPr="002029AF">
        <w:t>made</w:t>
      </w:r>
      <w:r w:rsidR="000A5329" w:rsidRPr="002029AF">
        <w:t xml:space="preserve"> </w:t>
      </w:r>
      <w:r w:rsidRPr="002029AF">
        <w:t>that</w:t>
      </w:r>
      <w:r w:rsidR="000A5329" w:rsidRPr="002029AF">
        <w:t xml:space="preserve"> </w:t>
      </w:r>
      <w:r w:rsidRPr="002029AF">
        <w:t>the</w:t>
      </w:r>
      <w:r w:rsidR="000A5329" w:rsidRPr="002029AF">
        <w:t xml:space="preserve"> </w:t>
      </w:r>
      <w:r w:rsidRPr="002029AF">
        <w:t>occupancy</w:t>
      </w:r>
      <w:r w:rsidR="000A5329" w:rsidRPr="002029AF">
        <w:t xml:space="preserve"> </w:t>
      </w:r>
      <w:r w:rsidRPr="002029AF">
        <w:t>agreement</w:t>
      </w:r>
      <w:r w:rsidR="000A5329" w:rsidRPr="002029AF">
        <w:t xml:space="preserve"> </w:t>
      </w:r>
      <w:r w:rsidRPr="002029AF">
        <w:t>is</w:t>
      </w:r>
      <w:r w:rsidR="000A5329" w:rsidRPr="002029AF">
        <w:t xml:space="preserve"> </w:t>
      </w:r>
      <w:r w:rsidRPr="002029AF">
        <w:t>a</w:t>
      </w:r>
      <w:r w:rsidR="000A5329" w:rsidRPr="002029AF">
        <w:t xml:space="preserve"> </w:t>
      </w:r>
      <w:r w:rsidRPr="002029AF">
        <w:t>service</w:t>
      </w:r>
      <w:r w:rsidR="000A5329" w:rsidRPr="002029AF">
        <w:t xml:space="preserve"> </w:t>
      </w:r>
      <w:r w:rsidRPr="002029AF">
        <w:t>contract</w:t>
      </w:r>
      <w:r w:rsidR="000A5329" w:rsidRPr="002029AF">
        <w:t xml:space="preserve"> </w:t>
      </w:r>
      <w:r w:rsidRPr="002029AF">
        <w:t>(rather</w:t>
      </w:r>
      <w:r w:rsidR="000A5329" w:rsidRPr="002029AF">
        <w:t xml:space="preserve"> </w:t>
      </w:r>
      <w:r w:rsidRPr="002029AF">
        <w:t>than</w:t>
      </w:r>
      <w:r w:rsidR="000A5329" w:rsidRPr="002029AF">
        <w:t xml:space="preserve"> </w:t>
      </w:r>
      <w:r w:rsidRPr="002029AF">
        <w:t>a</w:t>
      </w:r>
      <w:r w:rsidR="000A5329" w:rsidRPr="002029AF">
        <w:t xml:space="preserve"> </w:t>
      </w:r>
      <w:r w:rsidRPr="002029AF">
        <w:t>‘lease’</w:t>
      </w:r>
      <w:r w:rsidR="000A5329" w:rsidRPr="002029AF">
        <w:t xml:space="preserve"> </w:t>
      </w:r>
      <w:r w:rsidRPr="002029AF">
        <w:t>as</w:t>
      </w:r>
      <w:r w:rsidR="000A5329" w:rsidRPr="002029AF">
        <w:t xml:space="preserve"> </w:t>
      </w:r>
      <w:r w:rsidRPr="002029AF">
        <w:t>defined</w:t>
      </w:r>
      <w:r w:rsidR="000A5329" w:rsidRPr="002029AF">
        <w:t xml:space="preserve"> </w:t>
      </w:r>
      <w:r w:rsidRPr="002029AF">
        <w:t>in</w:t>
      </w:r>
      <w:r w:rsidR="000A5329" w:rsidRPr="002029AF">
        <w:t xml:space="preserve"> </w:t>
      </w:r>
      <w:r w:rsidRPr="002029AF">
        <w:t>AASB</w:t>
      </w:r>
      <w:r w:rsidR="000A5329" w:rsidRPr="002029AF">
        <w:t xml:space="preserve"> </w:t>
      </w:r>
      <w:r w:rsidRPr="002029AF">
        <w:t>16</w:t>
      </w:r>
      <w:r w:rsidR="000A5329" w:rsidRPr="002029AF">
        <w:t xml:space="preserve"> </w:t>
      </w:r>
      <w:r w:rsidRPr="002029AF">
        <w:rPr>
          <w:rStyle w:val="Emphasis"/>
        </w:rPr>
        <w:t>Leases</w:t>
      </w:r>
      <w:r w:rsidRPr="002029AF">
        <w:t>).</w:t>
      </w:r>
      <w:r w:rsidR="000A5329" w:rsidRPr="002029AF">
        <w:t xml:space="preserve"> </w:t>
      </w:r>
      <w:r w:rsidRPr="002029AF">
        <w:t>The</w:t>
      </w:r>
      <w:r w:rsidR="000A5329" w:rsidRPr="002029AF">
        <w:t xml:space="preserve"> </w:t>
      </w:r>
      <w:r w:rsidRPr="002029AF">
        <w:t>cost</w:t>
      </w:r>
      <w:r w:rsidR="000A5329" w:rsidRPr="002029AF">
        <w:t xml:space="preserve"> </w:t>
      </w:r>
      <w:r w:rsidRPr="002029AF">
        <w:t>for</w:t>
      </w:r>
      <w:r w:rsidR="000A5329" w:rsidRPr="002029AF">
        <w:t xml:space="preserve"> </w:t>
      </w:r>
      <w:r w:rsidRPr="002029AF">
        <w:t>the</w:t>
      </w:r>
      <w:r w:rsidR="000A5329" w:rsidRPr="002029AF">
        <w:t xml:space="preserve"> </w:t>
      </w:r>
      <w:r w:rsidRPr="002029AF">
        <w:t>accommodation</w:t>
      </w:r>
      <w:r w:rsidR="000A5329" w:rsidRPr="002029AF">
        <w:t xml:space="preserve"> </w:t>
      </w:r>
      <w:r w:rsidRPr="002029AF">
        <w:t>and</w:t>
      </w:r>
      <w:r w:rsidR="000A5329" w:rsidRPr="002029AF">
        <w:t xml:space="preserve"> </w:t>
      </w:r>
      <w:r w:rsidRPr="002029AF">
        <w:t>other</w:t>
      </w:r>
      <w:r w:rsidR="000A5329" w:rsidRPr="002029AF">
        <w:t xml:space="preserve"> </w:t>
      </w:r>
      <w:r w:rsidRPr="002029AF">
        <w:t>related</w:t>
      </w:r>
      <w:r w:rsidR="000A5329" w:rsidRPr="002029AF">
        <w:t xml:space="preserve"> </w:t>
      </w:r>
      <w:r w:rsidRPr="002029AF">
        <w:t>services</w:t>
      </w:r>
      <w:r w:rsidR="000A5329" w:rsidRPr="002029AF">
        <w:t xml:space="preserve"> </w:t>
      </w:r>
      <w:r w:rsidRPr="002029AF">
        <w:t>are</w:t>
      </w:r>
      <w:r w:rsidR="000A5329" w:rsidRPr="002029AF">
        <w:t xml:space="preserve"> </w:t>
      </w:r>
      <w:r w:rsidRPr="002029AF">
        <w:t>expensed</w:t>
      </w:r>
      <w:r w:rsidR="000A5329" w:rsidRPr="002029AF">
        <w:t xml:space="preserve"> </w:t>
      </w:r>
      <w:r w:rsidRPr="002029AF">
        <w:t>(refer</w:t>
      </w:r>
      <w:r w:rsidR="000A5329" w:rsidRPr="002029AF">
        <w:t xml:space="preserve"> </w:t>
      </w:r>
      <w:r w:rsidRPr="002029AF">
        <w:t>to</w:t>
      </w:r>
      <w:r w:rsidR="000A5329" w:rsidRPr="002029AF">
        <w:t xml:space="preserve"> </w:t>
      </w:r>
      <w:r w:rsidRPr="002029AF">
        <w:t>Note</w:t>
      </w:r>
      <w:r w:rsidR="000A5329" w:rsidRPr="002029AF">
        <w:t xml:space="preserve"> </w:t>
      </w:r>
      <w:r w:rsidRPr="002029AF">
        <w:t>3.1.5</w:t>
      </w:r>
      <w:r w:rsidR="000A5329" w:rsidRPr="002029AF">
        <w:t xml:space="preserve"> </w:t>
      </w:r>
      <w:r w:rsidRPr="002029AF">
        <w:t>Other</w:t>
      </w:r>
      <w:r w:rsidR="000A5329" w:rsidRPr="002029AF">
        <w:t xml:space="preserve"> </w:t>
      </w:r>
      <w:r w:rsidRPr="002029AF">
        <w:t>operating</w:t>
      </w:r>
      <w:r w:rsidR="000A5329" w:rsidRPr="002029AF">
        <w:t xml:space="preserve"> </w:t>
      </w:r>
      <w:r w:rsidRPr="002029AF">
        <w:t>expenses)</w:t>
      </w:r>
      <w:r w:rsidR="000A5329" w:rsidRPr="002029AF">
        <w:t xml:space="preserve"> </w:t>
      </w:r>
      <w:r w:rsidRPr="002029AF">
        <w:t>based</w:t>
      </w:r>
      <w:r w:rsidR="000A5329" w:rsidRPr="002029AF">
        <w:t xml:space="preserve"> </w:t>
      </w:r>
      <w:r w:rsidRPr="002029AF">
        <w:t>on</w:t>
      </w:r>
      <w:r w:rsidR="000A5329" w:rsidRPr="002029AF">
        <w:t xml:space="preserve"> </w:t>
      </w:r>
      <w:r w:rsidRPr="002029AF">
        <w:t>the</w:t>
      </w:r>
      <w:r w:rsidR="000A5329" w:rsidRPr="002029AF">
        <w:t xml:space="preserve"> </w:t>
      </w:r>
      <w:r w:rsidRPr="002029AF">
        <w:t>agreed</w:t>
      </w:r>
      <w:r w:rsidR="000A5329" w:rsidRPr="002029AF">
        <w:t xml:space="preserve"> </w:t>
      </w:r>
      <w:r w:rsidRPr="002029AF">
        <w:t>payments</w:t>
      </w:r>
      <w:r w:rsidR="000A5329" w:rsidRPr="002029AF">
        <w:t xml:space="preserve"> </w:t>
      </w:r>
      <w:r w:rsidRPr="002029AF">
        <w:t>as</w:t>
      </w:r>
      <w:r w:rsidR="000A5329" w:rsidRPr="002029AF">
        <w:t xml:space="preserve"> </w:t>
      </w:r>
      <w:r w:rsidRPr="002029AF">
        <w:t>per</w:t>
      </w:r>
      <w:r w:rsidR="000A5329" w:rsidRPr="002029AF">
        <w:t xml:space="preserve"> </w:t>
      </w:r>
      <w:r w:rsidRPr="002029AF">
        <w:t>the</w:t>
      </w:r>
      <w:r w:rsidR="000A5329" w:rsidRPr="002029AF">
        <w:t xml:space="preserve"> </w:t>
      </w:r>
      <w:r w:rsidRPr="002029AF">
        <w:t>occupancy</w:t>
      </w:r>
      <w:r w:rsidR="000A5329" w:rsidRPr="002029AF">
        <w:t xml:space="preserve"> </w:t>
      </w:r>
      <w:r w:rsidRPr="002029AF">
        <w:t>agreement.</w:t>
      </w:r>
    </w:p>
    <w:p w14:paraId="7783F335" w14:textId="55331745" w:rsidR="00087B91" w:rsidRPr="002029AF" w:rsidRDefault="00087B91" w:rsidP="00087B91">
      <w:pPr>
        <w:pStyle w:val="Heading6"/>
        <w:rPr>
          <w:lang w:val="en-AU"/>
        </w:rPr>
      </w:pPr>
      <w:r w:rsidRPr="002029AF">
        <w:rPr>
          <w:lang w:val="en-AU"/>
        </w:rPr>
        <w:t>Public</w:t>
      </w:r>
      <w:r w:rsidR="000A5329" w:rsidRPr="002029AF">
        <w:rPr>
          <w:lang w:val="en-AU"/>
        </w:rPr>
        <w:t xml:space="preserve"> </w:t>
      </w:r>
      <w:r w:rsidRPr="002029AF">
        <w:rPr>
          <w:lang w:val="en-AU"/>
        </w:rPr>
        <w:t>private</w:t>
      </w:r>
      <w:r w:rsidR="000A5329" w:rsidRPr="002029AF">
        <w:rPr>
          <w:lang w:val="en-AU"/>
        </w:rPr>
        <w:t xml:space="preserve"> </w:t>
      </w:r>
      <w:r w:rsidRPr="002029AF">
        <w:rPr>
          <w:lang w:val="en-AU"/>
        </w:rPr>
        <w:t>partnership</w:t>
      </w:r>
      <w:r w:rsidR="000A5329" w:rsidRPr="002029AF">
        <w:rPr>
          <w:lang w:val="en-AU"/>
        </w:rPr>
        <w:t xml:space="preserve"> </w:t>
      </w:r>
      <w:r w:rsidRPr="002029AF">
        <w:rPr>
          <w:lang w:val="en-AU"/>
        </w:rPr>
        <w:t>(PPP)</w:t>
      </w:r>
      <w:r w:rsidR="000A5329" w:rsidRPr="002029AF">
        <w:rPr>
          <w:lang w:val="en-AU"/>
        </w:rPr>
        <w:t xml:space="preserve"> </w:t>
      </w:r>
      <w:r w:rsidRPr="002029AF">
        <w:rPr>
          <w:lang w:val="en-AU"/>
        </w:rPr>
        <w:t>commitments</w:t>
      </w:r>
    </w:p>
    <w:p w14:paraId="1C1636CF" w14:textId="5FDCB52F" w:rsidR="00087B91" w:rsidRPr="002029AF" w:rsidRDefault="00087B91" w:rsidP="00087B91">
      <w:pPr>
        <w:pStyle w:val="ARfinbody"/>
      </w:pPr>
      <w:r w:rsidRPr="002029AF">
        <w:t>The</w:t>
      </w:r>
      <w:r w:rsidR="000A5329" w:rsidRPr="002029AF">
        <w:t xml:space="preserve"> </w:t>
      </w:r>
      <w:r w:rsidRPr="002029AF">
        <w:t>Minister</w:t>
      </w:r>
      <w:r w:rsidR="000A5329" w:rsidRPr="002029AF">
        <w:t xml:space="preserve"> </w:t>
      </w:r>
      <w:r w:rsidRPr="002029AF">
        <w:t>for</w:t>
      </w:r>
      <w:r w:rsidR="000A5329" w:rsidRPr="002029AF">
        <w:t xml:space="preserve"> </w:t>
      </w:r>
      <w:r w:rsidRPr="002029AF">
        <w:t>Health</w:t>
      </w:r>
      <w:r w:rsidR="000A5329" w:rsidRPr="002029AF">
        <w:t xml:space="preserve"> </w:t>
      </w:r>
      <w:r w:rsidRPr="002029AF">
        <w:t>entered</w:t>
      </w:r>
      <w:r w:rsidR="000A5329" w:rsidRPr="002029AF">
        <w:t xml:space="preserve"> </w:t>
      </w:r>
      <w:r w:rsidRPr="002029AF">
        <w:t>into</w:t>
      </w:r>
      <w:r w:rsidR="000A5329" w:rsidRPr="002029AF">
        <w:t xml:space="preserve"> </w:t>
      </w:r>
      <w:r w:rsidRPr="002029AF">
        <w:t>six</w:t>
      </w:r>
      <w:r w:rsidR="000A5329" w:rsidRPr="002029AF">
        <w:t xml:space="preserve"> </w:t>
      </w:r>
      <w:r w:rsidRPr="002029AF">
        <w:t>long-term</w:t>
      </w:r>
      <w:r w:rsidR="000A5329" w:rsidRPr="002029AF">
        <w:t xml:space="preserve"> </w:t>
      </w:r>
      <w:r w:rsidRPr="002029AF">
        <w:t>contracts</w:t>
      </w:r>
      <w:r w:rsidR="000A5329" w:rsidRPr="002029AF">
        <w:t xml:space="preserve"> </w:t>
      </w:r>
      <w:r w:rsidRPr="002029AF">
        <w:t>with</w:t>
      </w:r>
      <w:r w:rsidR="000A5329" w:rsidRPr="002029AF">
        <w:t xml:space="preserve"> </w:t>
      </w:r>
      <w:r w:rsidRPr="002029AF">
        <w:t>various</w:t>
      </w:r>
      <w:r w:rsidR="000A5329" w:rsidRPr="002029AF">
        <w:t xml:space="preserve"> </w:t>
      </w:r>
      <w:r w:rsidRPr="002029AF">
        <w:t>private</w:t>
      </w:r>
      <w:r w:rsidR="000A5329" w:rsidRPr="002029AF">
        <w:t xml:space="preserve"> </w:t>
      </w:r>
      <w:r w:rsidRPr="002029AF">
        <w:t>sector</w:t>
      </w:r>
      <w:r w:rsidR="000A5329" w:rsidRPr="002029AF">
        <w:t xml:space="preserve"> </w:t>
      </w:r>
      <w:r w:rsidRPr="002029AF">
        <w:t>consortiums</w:t>
      </w:r>
      <w:r w:rsidR="000A5329" w:rsidRPr="002029AF">
        <w:t xml:space="preserve"> </w:t>
      </w:r>
      <w:r w:rsidRPr="002029AF">
        <w:t>for</w:t>
      </w:r>
      <w:r w:rsidR="000A5329" w:rsidRPr="002029AF">
        <w:t xml:space="preserve"> </w:t>
      </w:r>
      <w:r w:rsidRPr="002029AF">
        <w:t>the</w:t>
      </w:r>
      <w:r w:rsidR="000A5329" w:rsidRPr="002029AF">
        <w:t xml:space="preserve"> </w:t>
      </w:r>
      <w:r w:rsidRPr="002029AF">
        <w:t>design,</w:t>
      </w:r>
      <w:r w:rsidR="000A5329" w:rsidRPr="002029AF">
        <w:t xml:space="preserve"> </w:t>
      </w:r>
      <w:r w:rsidRPr="002029AF">
        <w:t>construction,</w:t>
      </w:r>
      <w:r w:rsidR="000A5329" w:rsidRPr="002029AF">
        <w:t xml:space="preserve"> </w:t>
      </w:r>
      <w:r w:rsidRPr="002029AF">
        <w:t>maintenance</w:t>
      </w:r>
      <w:r w:rsidR="000A5329" w:rsidRPr="002029AF">
        <w:t xml:space="preserve"> </w:t>
      </w:r>
      <w:r w:rsidRPr="002029AF">
        <w:t>and</w:t>
      </w:r>
      <w:r w:rsidR="000A5329" w:rsidRPr="002029AF">
        <w:t xml:space="preserve"> </w:t>
      </w:r>
      <w:r w:rsidRPr="002029AF">
        <w:t>financing</w:t>
      </w:r>
      <w:r w:rsidR="000A5329" w:rsidRPr="002029AF">
        <w:t xml:space="preserve"> </w:t>
      </w:r>
      <w:r w:rsidRPr="002029AF">
        <w:t>of</w:t>
      </w:r>
      <w:r w:rsidR="000A5329" w:rsidRPr="002029AF">
        <w:t xml:space="preserve"> </w:t>
      </w:r>
      <w:r w:rsidRPr="002029AF">
        <w:t>hospital</w:t>
      </w:r>
      <w:r w:rsidR="000A5329" w:rsidRPr="002029AF">
        <w:t xml:space="preserve"> </w:t>
      </w:r>
      <w:r w:rsidRPr="002029AF">
        <w:t>infrastructure</w:t>
      </w:r>
      <w:r w:rsidR="000A5329" w:rsidRPr="002029AF">
        <w:t xml:space="preserve"> </w:t>
      </w:r>
      <w:r w:rsidRPr="002029AF">
        <w:t>assets,</w:t>
      </w:r>
      <w:r w:rsidR="000A5329" w:rsidRPr="002029AF">
        <w:t xml:space="preserve"> </w:t>
      </w:r>
      <w:r w:rsidRPr="002029AF">
        <w:t>one</w:t>
      </w:r>
      <w:r w:rsidR="000A5329" w:rsidRPr="002029AF">
        <w:t xml:space="preserve"> </w:t>
      </w:r>
      <w:r w:rsidRPr="002029AF">
        <w:t>for</w:t>
      </w:r>
      <w:r w:rsidR="000A5329" w:rsidRPr="002029AF">
        <w:t xml:space="preserve"> </w:t>
      </w:r>
      <w:r w:rsidRPr="002029AF">
        <w:t>the</w:t>
      </w:r>
      <w:r w:rsidR="000A5329" w:rsidRPr="002029AF">
        <w:t xml:space="preserve"> </w:t>
      </w:r>
      <w:r w:rsidRPr="002029AF">
        <w:t>Royal</w:t>
      </w:r>
      <w:r w:rsidR="000A5329" w:rsidRPr="002029AF">
        <w:t xml:space="preserve"> </w:t>
      </w:r>
      <w:r w:rsidRPr="002029AF">
        <w:t>Women’s</w:t>
      </w:r>
      <w:r w:rsidR="000A5329" w:rsidRPr="002029AF">
        <w:t xml:space="preserve"> </w:t>
      </w:r>
      <w:r w:rsidRPr="002029AF">
        <w:t>Hospital,</w:t>
      </w:r>
      <w:r w:rsidR="000A5329" w:rsidRPr="002029AF">
        <w:t xml:space="preserve"> </w:t>
      </w:r>
      <w:r w:rsidRPr="002029AF">
        <w:t>the</w:t>
      </w:r>
      <w:r w:rsidR="000A5329" w:rsidRPr="002029AF">
        <w:t xml:space="preserve"> </w:t>
      </w:r>
      <w:r w:rsidRPr="002029AF">
        <w:t>Royal</w:t>
      </w:r>
      <w:r w:rsidR="000A5329" w:rsidRPr="002029AF">
        <w:t xml:space="preserve"> </w:t>
      </w:r>
      <w:r w:rsidRPr="002029AF">
        <w:t>Children’s</w:t>
      </w:r>
      <w:r w:rsidR="000A5329" w:rsidRPr="002029AF">
        <w:t xml:space="preserve"> </w:t>
      </w:r>
      <w:r w:rsidRPr="002029AF">
        <w:t>Hospital,</w:t>
      </w:r>
      <w:r w:rsidR="000A5329" w:rsidRPr="002029AF">
        <w:t xml:space="preserve"> </w:t>
      </w:r>
      <w:r w:rsidRPr="002029AF">
        <w:t>the</w:t>
      </w:r>
      <w:r w:rsidR="000A5329" w:rsidRPr="002029AF">
        <w:t xml:space="preserve"> </w:t>
      </w:r>
      <w:r w:rsidRPr="002029AF">
        <w:t>Victorian</w:t>
      </w:r>
      <w:r w:rsidR="000A5329" w:rsidRPr="002029AF">
        <w:t xml:space="preserve"> </w:t>
      </w:r>
      <w:r w:rsidRPr="002029AF">
        <w:t>Comprehensive</w:t>
      </w:r>
      <w:r w:rsidR="000A5329" w:rsidRPr="002029AF">
        <w:t xml:space="preserve"> </w:t>
      </w:r>
      <w:r w:rsidRPr="002029AF">
        <w:t>Cancer</w:t>
      </w:r>
      <w:r w:rsidR="000A5329" w:rsidRPr="002029AF">
        <w:t xml:space="preserve"> </w:t>
      </w:r>
      <w:r w:rsidRPr="002029AF">
        <w:t>Centre,</w:t>
      </w:r>
      <w:r w:rsidR="000A5329" w:rsidRPr="002029AF">
        <w:t xml:space="preserve"> </w:t>
      </w:r>
      <w:r w:rsidRPr="002029AF">
        <w:t>Bendigo</w:t>
      </w:r>
      <w:r w:rsidR="000A5329" w:rsidRPr="002029AF">
        <w:t xml:space="preserve"> </w:t>
      </w:r>
      <w:r w:rsidRPr="002029AF">
        <w:t>Hospital</w:t>
      </w:r>
      <w:r w:rsidR="000A5329" w:rsidRPr="002029AF">
        <w:t xml:space="preserve"> </w:t>
      </w:r>
      <w:r w:rsidRPr="002029AF">
        <w:t>and</w:t>
      </w:r>
      <w:r w:rsidR="000A5329" w:rsidRPr="002029AF">
        <w:t xml:space="preserve"> </w:t>
      </w:r>
      <w:r w:rsidRPr="002029AF">
        <w:t>two</w:t>
      </w:r>
      <w:r w:rsidR="000A5329" w:rsidRPr="002029AF">
        <w:t xml:space="preserve"> </w:t>
      </w:r>
      <w:r w:rsidRPr="002029AF">
        <w:t>for</w:t>
      </w:r>
      <w:r w:rsidR="000A5329" w:rsidRPr="002029AF">
        <w:t xml:space="preserve"> </w:t>
      </w:r>
      <w:r w:rsidRPr="002029AF">
        <w:t>Casey</w:t>
      </w:r>
      <w:r w:rsidR="000A5329" w:rsidRPr="002029AF">
        <w:t xml:space="preserve"> </w:t>
      </w:r>
      <w:r w:rsidRPr="002029AF">
        <w:t>Hospital.</w:t>
      </w:r>
      <w:r w:rsidR="000A5329" w:rsidRPr="002029AF">
        <w:t xml:space="preserve"> </w:t>
      </w:r>
      <w:r w:rsidRPr="002029AF">
        <w:t>These</w:t>
      </w:r>
      <w:r w:rsidR="000A5329" w:rsidRPr="002029AF">
        <w:t xml:space="preserve"> </w:t>
      </w:r>
      <w:r w:rsidRPr="002029AF">
        <w:t>arrangements</w:t>
      </w:r>
      <w:r w:rsidR="000A5329" w:rsidRPr="002029AF">
        <w:t xml:space="preserve"> </w:t>
      </w:r>
      <w:r w:rsidRPr="002029AF">
        <w:t>are</w:t>
      </w:r>
      <w:r w:rsidR="000A5329" w:rsidRPr="002029AF">
        <w:t xml:space="preserve"> </w:t>
      </w:r>
      <w:r w:rsidRPr="002029AF">
        <w:t>referred</w:t>
      </w:r>
      <w:r w:rsidR="000A5329" w:rsidRPr="002029AF">
        <w:t xml:space="preserve"> </w:t>
      </w:r>
      <w:r w:rsidRPr="002029AF">
        <w:t>to</w:t>
      </w:r>
      <w:r w:rsidR="000A5329" w:rsidRPr="002029AF">
        <w:t xml:space="preserve"> </w:t>
      </w:r>
      <w:r w:rsidRPr="002029AF">
        <w:t>as</w:t>
      </w:r>
      <w:r w:rsidR="000A5329" w:rsidRPr="002029AF">
        <w:t xml:space="preserve"> </w:t>
      </w:r>
      <w:r w:rsidRPr="002029AF">
        <w:t>public</w:t>
      </w:r>
      <w:r w:rsidR="000A5329" w:rsidRPr="002029AF">
        <w:t xml:space="preserve"> </w:t>
      </w:r>
      <w:r w:rsidRPr="002029AF">
        <w:t>private</w:t>
      </w:r>
      <w:r w:rsidR="000A5329" w:rsidRPr="002029AF">
        <w:t xml:space="preserve"> </w:t>
      </w:r>
      <w:r w:rsidRPr="002029AF">
        <w:t>partnerships</w:t>
      </w:r>
      <w:r w:rsidR="000A5329" w:rsidRPr="002029AF">
        <w:t xml:space="preserve"> </w:t>
      </w:r>
      <w:r w:rsidRPr="002029AF">
        <w:t>(PPP).</w:t>
      </w:r>
    </w:p>
    <w:p w14:paraId="1B417519" w14:textId="4BBA80FD" w:rsidR="00087B91" w:rsidRPr="002029AF" w:rsidRDefault="00087B91" w:rsidP="00087B91">
      <w:pPr>
        <w:pStyle w:val="ARfinbody"/>
      </w:pPr>
      <w:r w:rsidRPr="002029AF">
        <w:t>The</w:t>
      </w:r>
      <w:r w:rsidR="000A5329" w:rsidRPr="002029AF">
        <w:t xml:space="preserve"> </w:t>
      </w:r>
      <w:r w:rsidRPr="002029AF">
        <w:t>respective</w:t>
      </w:r>
      <w:r w:rsidR="000A5329" w:rsidRPr="002029AF">
        <w:t xml:space="preserve"> </w:t>
      </w:r>
      <w:r w:rsidRPr="002029AF">
        <w:t>health</w:t>
      </w:r>
      <w:r w:rsidR="000A5329" w:rsidRPr="002029AF">
        <w:t xml:space="preserve"> </w:t>
      </w:r>
      <w:r w:rsidRPr="002029AF">
        <w:t>agency</w:t>
      </w:r>
      <w:r w:rsidR="000A5329" w:rsidRPr="002029AF">
        <w:t xml:space="preserve"> </w:t>
      </w:r>
      <w:r w:rsidRPr="002029AF">
        <w:t>is</w:t>
      </w:r>
      <w:r w:rsidR="000A5329" w:rsidRPr="002029AF">
        <w:t xml:space="preserve"> </w:t>
      </w:r>
      <w:r w:rsidRPr="002029AF">
        <w:t>the</w:t>
      </w:r>
      <w:r w:rsidR="000A5329" w:rsidRPr="002029AF">
        <w:t xml:space="preserve"> </w:t>
      </w:r>
      <w:r w:rsidRPr="002029AF">
        <w:t>operator</w:t>
      </w:r>
      <w:r w:rsidR="000A5329" w:rsidRPr="002029AF">
        <w:t xml:space="preserve"> </w:t>
      </w:r>
      <w:r w:rsidRPr="002029AF">
        <w:t>of</w:t>
      </w:r>
      <w:r w:rsidR="000A5329" w:rsidRPr="002029AF">
        <w:t xml:space="preserve"> </w:t>
      </w:r>
      <w:r w:rsidRPr="002029AF">
        <w:t>the</w:t>
      </w:r>
      <w:r w:rsidR="000A5329" w:rsidRPr="002029AF">
        <w:t xml:space="preserve"> </w:t>
      </w:r>
      <w:r w:rsidRPr="002029AF">
        <w:t>PPP</w:t>
      </w:r>
      <w:r w:rsidR="000A5329" w:rsidRPr="002029AF">
        <w:t xml:space="preserve"> </w:t>
      </w:r>
      <w:r w:rsidRPr="002029AF">
        <w:t>infrastructure</w:t>
      </w:r>
      <w:r w:rsidR="000A5329" w:rsidRPr="002029AF">
        <w:t xml:space="preserve"> </w:t>
      </w:r>
      <w:r w:rsidRPr="002029AF">
        <w:t>assets</w:t>
      </w:r>
      <w:r w:rsidR="000A5329" w:rsidRPr="002029AF">
        <w:t xml:space="preserve"> </w:t>
      </w:r>
      <w:r w:rsidRPr="002029AF">
        <w:t>and</w:t>
      </w:r>
      <w:r w:rsidR="000A5329" w:rsidRPr="002029AF">
        <w:t xml:space="preserve"> </w:t>
      </w:r>
      <w:r w:rsidRPr="002029AF">
        <w:t>consequently</w:t>
      </w:r>
      <w:r w:rsidR="000A5329" w:rsidRPr="002029AF">
        <w:t xml:space="preserve"> </w:t>
      </w:r>
      <w:r w:rsidRPr="002029AF">
        <w:t>recognises</w:t>
      </w:r>
      <w:r w:rsidR="000A5329" w:rsidRPr="002029AF">
        <w:t xml:space="preserve"> </w:t>
      </w:r>
      <w:r w:rsidRPr="002029AF">
        <w:t>the</w:t>
      </w:r>
      <w:r w:rsidR="000A5329" w:rsidRPr="002029AF">
        <w:t xml:space="preserve"> </w:t>
      </w:r>
      <w:r w:rsidRPr="002029AF">
        <w:t>associated</w:t>
      </w:r>
      <w:r w:rsidR="000A5329" w:rsidRPr="002029AF">
        <w:t xml:space="preserve"> </w:t>
      </w:r>
      <w:r w:rsidRPr="002029AF">
        <w:t>assets,</w:t>
      </w:r>
      <w:r w:rsidR="000A5329" w:rsidRPr="002029AF">
        <w:t xml:space="preserve"> </w:t>
      </w:r>
      <w:r w:rsidRPr="002029AF">
        <w:t>finance</w:t>
      </w:r>
      <w:r w:rsidR="000A5329" w:rsidRPr="002029AF">
        <w:t xml:space="preserve"> </w:t>
      </w:r>
      <w:r w:rsidRPr="002029AF">
        <w:t>lease</w:t>
      </w:r>
      <w:r w:rsidR="000A5329" w:rsidRPr="002029AF">
        <w:t xml:space="preserve"> </w:t>
      </w:r>
      <w:r w:rsidRPr="002029AF">
        <w:t>liabilities,</w:t>
      </w:r>
      <w:r w:rsidR="000A5329" w:rsidRPr="002029AF">
        <w:t xml:space="preserve"> </w:t>
      </w:r>
      <w:r w:rsidRPr="002029AF">
        <w:t>transactions</w:t>
      </w:r>
      <w:r w:rsidR="000A5329" w:rsidRPr="002029AF">
        <w:t xml:space="preserve"> </w:t>
      </w:r>
      <w:r w:rsidRPr="002029AF">
        <w:t>and</w:t>
      </w:r>
      <w:r w:rsidR="000A5329" w:rsidRPr="002029AF">
        <w:t xml:space="preserve"> </w:t>
      </w:r>
      <w:r w:rsidRPr="002029AF">
        <w:t>commitments</w:t>
      </w:r>
      <w:r w:rsidR="000A5329" w:rsidRPr="002029AF">
        <w:t xml:space="preserve"> </w:t>
      </w:r>
      <w:r w:rsidRPr="002029AF">
        <w:t>to</w:t>
      </w:r>
      <w:r w:rsidR="000A5329" w:rsidRPr="002029AF">
        <w:t xml:space="preserve"> </w:t>
      </w:r>
      <w:r w:rsidRPr="002029AF">
        <w:t>the</w:t>
      </w:r>
      <w:r w:rsidR="000A5329" w:rsidRPr="002029AF">
        <w:t xml:space="preserve"> </w:t>
      </w:r>
      <w:r w:rsidRPr="002029AF">
        <w:t>private</w:t>
      </w:r>
      <w:r w:rsidR="000A5329" w:rsidRPr="002029AF">
        <w:t xml:space="preserve"> </w:t>
      </w:r>
      <w:r w:rsidRPr="002029AF">
        <w:t>sector</w:t>
      </w:r>
      <w:r w:rsidR="000A5329" w:rsidRPr="002029AF">
        <w:t xml:space="preserve"> </w:t>
      </w:r>
      <w:r w:rsidRPr="002029AF">
        <w:t>provider,</w:t>
      </w:r>
      <w:r w:rsidR="000A5329" w:rsidRPr="002029AF">
        <w:t xml:space="preserve"> </w:t>
      </w:r>
      <w:r w:rsidRPr="002029AF">
        <w:t>in</w:t>
      </w:r>
      <w:r w:rsidR="000A5329" w:rsidRPr="002029AF">
        <w:t xml:space="preserve"> </w:t>
      </w:r>
      <w:r w:rsidRPr="002029AF">
        <w:t>their</w:t>
      </w:r>
      <w:r w:rsidR="000A5329" w:rsidRPr="002029AF">
        <w:t xml:space="preserve"> </w:t>
      </w:r>
      <w:r w:rsidRPr="002029AF">
        <w:t>own</w:t>
      </w:r>
      <w:r w:rsidR="000A5329" w:rsidRPr="002029AF">
        <w:t xml:space="preserve"> </w:t>
      </w:r>
      <w:r w:rsidRPr="002029AF">
        <w:t>financial</w:t>
      </w:r>
      <w:r w:rsidR="000A5329" w:rsidRPr="002029AF">
        <w:t xml:space="preserve"> </w:t>
      </w:r>
      <w:r w:rsidRPr="002029AF">
        <w:t>statements.</w:t>
      </w:r>
      <w:r w:rsidR="000A5329" w:rsidRPr="002029AF">
        <w:t xml:space="preserve"> </w:t>
      </w:r>
      <w:r w:rsidRPr="002029AF">
        <w:t>For</w:t>
      </w:r>
      <w:r w:rsidR="000A5329" w:rsidRPr="002029AF">
        <w:t xml:space="preserve"> </w:t>
      </w:r>
      <w:r w:rsidRPr="002029AF">
        <w:t>additional</w:t>
      </w:r>
      <w:r w:rsidR="000A5329" w:rsidRPr="002029AF">
        <w:t xml:space="preserve"> </w:t>
      </w:r>
      <w:r w:rsidRPr="002029AF">
        <w:t>information</w:t>
      </w:r>
      <w:r w:rsidR="000A5329" w:rsidRPr="002029AF">
        <w:t xml:space="preserve"> </w:t>
      </w:r>
      <w:r w:rsidRPr="002029AF">
        <w:t>relating</w:t>
      </w:r>
      <w:r w:rsidR="000A5329" w:rsidRPr="002029AF">
        <w:t xml:space="preserve"> </w:t>
      </w:r>
      <w:r w:rsidRPr="002029AF">
        <w:t>to</w:t>
      </w:r>
      <w:r w:rsidR="000A5329" w:rsidRPr="002029AF">
        <w:t xml:space="preserve"> </w:t>
      </w:r>
      <w:r w:rsidRPr="002029AF">
        <w:t>these</w:t>
      </w:r>
      <w:r w:rsidR="000A5329" w:rsidRPr="002029AF">
        <w:t xml:space="preserve"> </w:t>
      </w:r>
      <w:r w:rsidRPr="002029AF">
        <w:t>balances,</w:t>
      </w:r>
      <w:r w:rsidR="000A5329" w:rsidRPr="002029AF">
        <w:t xml:space="preserve"> </w:t>
      </w:r>
      <w:r w:rsidRPr="002029AF">
        <w:t>transactions</w:t>
      </w:r>
      <w:r w:rsidR="000A5329" w:rsidRPr="002029AF">
        <w:t xml:space="preserve"> </w:t>
      </w:r>
      <w:r w:rsidRPr="002029AF">
        <w:t>and</w:t>
      </w:r>
      <w:r w:rsidR="000A5329" w:rsidRPr="002029AF">
        <w:t xml:space="preserve"> </w:t>
      </w:r>
      <w:r w:rsidRPr="002029AF">
        <w:t>commitments</w:t>
      </w:r>
      <w:r w:rsidR="000A5329" w:rsidRPr="002029AF">
        <w:t xml:space="preserve"> </w:t>
      </w:r>
      <w:r w:rsidRPr="002029AF">
        <w:t>(including</w:t>
      </w:r>
      <w:r w:rsidR="000A5329" w:rsidRPr="002029AF">
        <w:t xml:space="preserve"> </w:t>
      </w:r>
      <w:r w:rsidRPr="002029AF">
        <w:t>present</w:t>
      </w:r>
      <w:r w:rsidR="000A5329" w:rsidRPr="002029AF">
        <w:t xml:space="preserve"> </w:t>
      </w:r>
      <w:r w:rsidRPr="002029AF">
        <w:t>value</w:t>
      </w:r>
      <w:r w:rsidR="000A5329" w:rsidRPr="002029AF">
        <w:t xml:space="preserve"> </w:t>
      </w:r>
      <w:r w:rsidRPr="002029AF">
        <w:t>information)</w:t>
      </w:r>
      <w:r w:rsidR="000A5329" w:rsidRPr="002029AF">
        <w:t xml:space="preserve"> </w:t>
      </w:r>
      <w:r w:rsidRPr="002029AF">
        <w:t>refer</w:t>
      </w:r>
      <w:r w:rsidR="000A5329" w:rsidRPr="002029AF">
        <w:t xml:space="preserve"> </w:t>
      </w:r>
      <w:r w:rsidRPr="002029AF">
        <w:t>to</w:t>
      </w:r>
      <w:r w:rsidR="000A5329" w:rsidRPr="002029AF">
        <w:t xml:space="preserve"> </w:t>
      </w:r>
      <w:r w:rsidRPr="002029AF">
        <w:t>the</w:t>
      </w:r>
      <w:r w:rsidR="000A5329" w:rsidRPr="002029AF">
        <w:t xml:space="preserve"> </w:t>
      </w:r>
      <w:r w:rsidRPr="002029AF">
        <w:t>relevant</w:t>
      </w:r>
      <w:r w:rsidR="000A5329" w:rsidRPr="002029AF">
        <w:t xml:space="preserve"> </w:t>
      </w:r>
      <w:r w:rsidRPr="002029AF">
        <w:t>health</w:t>
      </w:r>
      <w:r w:rsidR="000A5329" w:rsidRPr="002029AF">
        <w:t xml:space="preserve"> </w:t>
      </w:r>
      <w:r w:rsidRPr="002029AF">
        <w:t>agencies’</w:t>
      </w:r>
      <w:r w:rsidR="000A5329" w:rsidRPr="002029AF">
        <w:t xml:space="preserve"> </w:t>
      </w:r>
      <w:r w:rsidRPr="002029AF">
        <w:t>financial</w:t>
      </w:r>
      <w:r w:rsidR="000A5329" w:rsidRPr="002029AF">
        <w:t xml:space="preserve"> </w:t>
      </w:r>
      <w:r w:rsidRPr="002029AF">
        <w:t>reports.</w:t>
      </w:r>
    </w:p>
    <w:p w14:paraId="39360804" w14:textId="7F61D4D5" w:rsidR="00087B91" w:rsidRPr="002029AF" w:rsidRDefault="00087B91" w:rsidP="00087B91">
      <w:pPr>
        <w:pStyle w:val="ARfinbody"/>
      </w:pPr>
      <w:r w:rsidRPr="002029AF">
        <w:t>In</w:t>
      </w:r>
      <w:r w:rsidR="000A5329" w:rsidRPr="002029AF">
        <w:t xml:space="preserve"> </w:t>
      </w:r>
      <w:r w:rsidRPr="002029AF">
        <w:t>the</w:t>
      </w:r>
      <w:r w:rsidR="000A5329" w:rsidRPr="002029AF">
        <w:t xml:space="preserve"> </w:t>
      </w:r>
      <w:r w:rsidRPr="002029AF">
        <w:t>table</w:t>
      </w:r>
      <w:r w:rsidR="000A5329" w:rsidRPr="002029AF">
        <w:t xml:space="preserve"> </w:t>
      </w:r>
      <w:r w:rsidRPr="002029AF">
        <w:t>above,</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disclosed</w:t>
      </w:r>
      <w:r w:rsidR="000A5329" w:rsidRPr="002029AF">
        <w:t xml:space="preserve"> </w:t>
      </w:r>
      <w:r w:rsidRPr="002029AF">
        <w:t>the</w:t>
      </w:r>
      <w:r w:rsidR="000A5329" w:rsidRPr="002029AF">
        <w:t xml:space="preserve"> </w:t>
      </w:r>
      <w:r w:rsidRPr="002029AF">
        <w:t>total</w:t>
      </w:r>
      <w:r w:rsidR="000A5329" w:rsidRPr="002029AF">
        <w:t xml:space="preserve"> </w:t>
      </w:r>
      <w:r w:rsidRPr="002029AF">
        <w:t>nominal</w:t>
      </w:r>
      <w:r w:rsidR="000A5329" w:rsidRPr="002029AF">
        <w:t xml:space="preserve"> </w:t>
      </w:r>
      <w:r w:rsidRPr="002029AF">
        <w:t>amounts</w:t>
      </w:r>
      <w:r w:rsidR="000A5329" w:rsidRPr="002029AF">
        <w:t xml:space="preserve"> </w:t>
      </w:r>
      <w:r w:rsidRPr="002029AF">
        <w:t>due</w:t>
      </w:r>
      <w:r w:rsidR="000A5329" w:rsidRPr="002029AF">
        <w:t xml:space="preserve"> </w:t>
      </w:r>
      <w:r w:rsidRPr="002029AF">
        <w:t>to</w:t>
      </w:r>
      <w:r w:rsidR="000A5329" w:rsidRPr="002029AF">
        <w:t xml:space="preserve"> </w:t>
      </w:r>
      <w:r w:rsidRPr="002029AF">
        <w:t>the</w:t>
      </w:r>
      <w:r w:rsidR="000A5329" w:rsidRPr="002029AF">
        <w:t xml:space="preserve"> </w:t>
      </w:r>
      <w:r w:rsidRPr="002029AF">
        <w:t>private</w:t>
      </w:r>
      <w:r w:rsidR="000A5329" w:rsidRPr="002029AF">
        <w:t xml:space="preserve"> </w:t>
      </w:r>
      <w:r w:rsidRPr="002029AF">
        <w:t>sector</w:t>
      </w:r>
      <w:r w:rsidR="000A5329" w:rsidRPr="002029AF">
        <w:t xml:space="preserve"> </w:t>
      </w:r>
      <w:r w:rsidRPr="002029AF">
        <w:t>consortiums,</w:t>
      </w:r>
      <w:r w:rsidR="000A5329" w:rsidRPr="002029AF">
        <w:t xml:space="preserve"> </w:t>
      </w:r>
      <w:r w:rsidRPr="002029AF">
        <w:t>as</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agreed</w:t>
      </w:r>
      <w:r w:rsidR="000A5329" w:rsidRPr="002029AF">
        <w:t xml:space="preserve"> </w:t>
      </w:r>
      <w:r w:rsidRPr="002029AF">
        <w:t>to</w:t>
      </w:r>
      <w:r w:rsidR="000A5329" w:rsidRPr="002029AF">
        <w:t xml:space="preserve"> </w:t>
      </w:r>
      <w:r w:rsidRPr="002029AF">
        <w:t>fund</w:t>
      </w:r>
      <w:r w:rsidR="000A5329" w:rsidRPr="002029AF">
        <w:t xml:space="preserve"> </w:t>
      </w:r>
      <w:r w:rsidRPr="002029AF">
        <w:t>these</w:t>
      </w:r>
      <w:r w:rsidR="000A5329" w:rsidRPr="002029AF">
        <w:t xml:space="preserve"> </w:t>
      </w:r>
      <w:r w:rsidRPr="002029AF">
        <w:t>amounts</w:t>
      </w:r>
      <w:r w:rsidR="000A5329" w:rsidRPr="002029AF">
        <w:t xml:space="preserve"> </w:t>
      </w:r>
      <w:r w:rsidRPr="002029AF">
        <w:t>on</w:t>
      </w:r>
      <w:r w:rsidR="000A5329" w:rsidRPr="002029AF">
        <w:t xml:space="preserve"> </w:t>
      </w:r>
      <w:r w:rsidRPr="002029AF">
        <w:t>behalf</w:t>
      </w:r>
      <w:r w:rsidR="000A5329" w:rsidRPr="002029AF">
        <w:t xml:space="preserve"> </w:t>
      </w:r>
      <w:r w:rsidRPr="002029AF">
        <w:t>of</w:t>
      </w:r>
      <w:r w:rsidR="000A5329" w:rsidRPr="002029AF">
        <w:t xml:space="preserve"> </w:t>
      </w:r>
      <w:r w:rsidRPr="002029AF">
        <w:t>the</w:t>
      </w:r>
      <w:r w:rsidR="000A5329" w:rsidRPr="002029AF">
        <w:t xml:space="preserve"> </w:t>
      </w:r>
      <w:r w:rsidRPr="002029AF">
        <w:t>relevant</w:t>
      </w:r>
      <w:r w:rsidR="000A5329" w:rsidRPr="002029AF">
        <w:t xml:space="preserve"> </w:t>
      </w:r>
      <w:r w:rsidRPr="002029AF">
        <w:t>health</w:t>
      </w:r>
      <w:r w:rsidR="000A5329" w:rsidRPr="002029AF">
        <w:t xml:space="preserve"> </w:t>
      </w:r>
      <w:r w:rsidRPr="002029AF">
        <w:t>sector</w:t>
      </w:r>
      <w:r w:rsidR="000A5329" w:rsidRPr="002029AF">
        <w:t xml:space="preserve"> </w:t>
      </w:r>
      <w:r w:rsidRPr="002029AF">
        <w:t>agencies,</w:t>
      </w:r>
      <w:r w:rsidR="000A5329" w:rsidRPr="002029AF">
        <w:t xml:space="preserve"> </w:t>
      </w:r>
      <w:r w:rsidRPr="002029AF">
        <w:t>to</w:t>
      </w:r>
      <w:r w:rsidR="000A5329" w:rsidRPr="002029AF">
        <w:t xml:space="preserve"> </w:t>
      </w:r>
      <w:r w:rsidRPr="002029AF">
        <w:t>satisfy</w:t>
      </w:r>
      <w:r w:rsidR="000A5329" w:rsidRPr="002029AF">
        <w:t xml:space="preserve"> </w:t>
      </w:r>
      <w:r w:rsidRPr="002029AF">
        <w:t>the</w:t>
      </w:r>
      <w:r w:rsidR="000A5329" w:rsidRPr="002029AF">
        <w:t xml:space="preserve"> </w:t>
      </w:r>
      <w:r w:rsidRPr="002029AF">
        <w:t>terms</w:t>
      </w:r>
      <w:r w:rsidR="000A5329" w:rsidRPr="002029AF">
        <w:t xml:space="preserve"> </w:t>
      </w:r>
      <w:r w:rsidRPr="002029AF">
        <w:t>of</w:t>
      </w:r>
      <w:r w:rsidR="000A5329" w:rsidRPr="002029AF">
        <w:t xml:space="preserve"> </w:t>
      </w:r>
      <w:r w:rsidRPr="002029AF">
        <w:t>the</w:t>
      </w:r>
      <w:r w:rsidR="000A5329" w:rsidRPr="002029AF">
        <w:t xml:space="preserve"> </w:t>
      </w:r>
      <w:r w:rsidRPr="002029AF">
        <w:t>PPP</w:t>
      </w:r>
      <w:r w:rsidR="000A5329" w:rsidRPr="002029AF">
        <w:t xml:space="preserve"> </w:t>
      </w:r>
      <w:r w:rsidRPr="002029AF">
        <w:t>arrangements.</w:t>
      </w:r>
      <w:r w:rsidR="000A5329" w:rsidRPr="002029AF">
        <w:t xml:space="preserve"> </w:t>
      </w:r>
      <w:r w:rsidRPr="002029AF">
        <w:t>These</w:t>
      </w:r>
      <w:r w:rsidR="000A5329" w:rsidRPr="002029AF">
        <w:t xml:space="preserve"> </w:t>
      </w:r>
      <w:r w:rsidRPr="002029AF">
        <w:t>amounts</w:t>
      </w:r>
      <w:r w:rsidR="000A5329" w:rsidRPr="002029AF">
        <w:t xml:space="preserve"> </w:t>
      </w:r>
      <w:r w:rsidRPr="002029AF">
        <w:t>include</w:t>
      </w:r>
      <w:r w:rsidR="000A5329" w:rsidRPr="002029AF">
        <w:t xml:space="preserve"> </w:t>
      </w:r>
      <w:r w:rsidRPr="002029AF">
        <w:t>the</w:t>
      </w:r>
      <w:r w:rsidR="000A5329" w:rsidRPr="002029AF">
        <w:t xml:space="preserve"> </w:t>
      </w:r>
      <w:r w:rsidRPr="002029AF">
        <w:t>principal,</w:t>
      </w:r>
      <w:r w:rsidR="000A5329" w:rsidRPr="002029AF">
        <w:t xml:space="preserve"> </w:t>
      </w:r>
      <w:r w:rsidRPr="002029AF">
        <w:t>interest,</w:t>
      </w:r>
      <w:r w:rsidR="000A5329" w:rsidRPr="002029AF">
        <w:t xml:space="preserve"> </w:t>
      </w:r>
      <w:r w:rsidRPr="002029AF">
        <w:t>maintenance</w:t>
      </w:r>
      <w:r w:rsidR="000A5329" w:rsidRPr="002029AF">
        <w:t xml:space="preserve"> </w:t>
      </w:r>
      <w:r w:rsidRPr="002029AF">
        <w:t>and</w:t>
      </w:r>
      <w:r w:rsidR="000A5329" w:rsidRPr="002029AF">
        <w:t xml:space="preserve"> </w:t>
      </w:r>
      <w:r w:rsidRPr="002029AF">
        <w:t>ancillary</w:t>
      </w:r>
      <w:r w:rsidR="000A5329" w:rsidRPr="002029AF">
        <w:t xml:space="preserve"> </w:t>
      </w:r>
      <w:r w:rsidRPr="002029AF">
        <w:t>services</w:t>
      </w:r>
      <w:r w:rsidR="000A5329" w:rsidRPr="002029AF">
        <w:t xml:space="preserve"> </w:t>
      </w:r>
      <w:r w:rsidRPr="002029AF">
        <w:t>payments</w:t>
      </w:r>
      <w:r w:rsidR="000A5329" w:rsidRPr="002029AF">
        <w:t xml:space="preserve"> </w:t>
      </w:r>
      <w:r w:rsidRPr="002029AF">
        <w:t>required</w:t>
      </w:r>
      <w:r w:rsidR="000A5329" w:rsidRPr="002029AF">
        <w:t xml:space="preserve"> </w:t>
      </w:r>
      <w:r w:rsidRPr="002029AF">
        <w:t>over</w:t>
      </w:r>
      <w:r w:rsidR="000A5329" w:rsidRPr="002029AF">
        <w:t xml:space="preserve"> </w:t>
      </w:r>
      <w:r w:rsidRPr="002029AF">
        <w:t>the</w:t>
      </w:r>
      <w:r w:rsidR="000A5329" w:rsidRPr="002029AF">
        <w:t xml:space="preserve"> </w:t>
      </w:r>
      <w:r w:rsidRPr="002029AF">
        <w:t>remaining</w:t>
      </w:r>
      <w:r w:rsidR="000A5329" w:rsidRPr="002029AF">
        <w:t xml:space="preserve"> </w:t>
      </w:r>
      <w:r w:rsidRPr="002029AF">
        <w:t>terms</w:t>
      </w:r>
      <w:r w:rsidR="000A5329" w:rsidRPr="002029AF">
        <w:t xml:space="preserve"> </w:t>
      </w:r>
      <w:r w:rsidRPr="002029AF">
        <w:t>of</w:t>
      </w:r>
      <w:r w:rsidR="000A5329" w:rsidRPr="002029AF">
        <w:t xml:space="preserve"> </w:t>
      </w:r>
      <w:r w:rsidRPr="002029AF">
        <w:t>the</w:t>
      </w:r>
      <w:r w:rsidR="000A5329" w:rsidRPr="002029AF">
        <w:t xml:space="preserve"> </w:t>
      </w:r>
      <w:r w:rsidRPr="002029AF">
        <w:t>contracts.</w:t>
      </w:r>
      <w:r w:rsidR="000A5329" w:rsidRPr="002029AF">
        <w:t xml:space="preserve"> </w:t>
      </w:r>
      <w:r w:rsidRPr="002029AF">
        <w:t>These</w:t>
      </w:r>
      <w:r w:rsidR="000A5329" w:rsidRPr="002029AF">
        <w:t xml:space="preserve"> </w:t>
      </w:r>
      <w:r w:rsidRPr="002029AF">
        <w:t>payments</w:t>
      </w:r>
      <w:r w:rsidR="000A5329" w:rsidRPr="002029AF">
        <w:t xml:space="preserve"> </w:t>
      </w:r>
      <w:r w:rsidRPr="002029AF">
        <w:t>will</w:t>
      </w:r>
      <w:r w:rsidR="000A5329" w:rsidRPr="002029AF">
        <w:t xml:space="preserve"> </w:t>
      </w:r>
      <w:r w:rsidRPr="002029AF">
        <w:t>be</w:t>
      </w:r>
      <w:r w:rsidR="000A5329" w:rsidRPr="002029AF">
        <w:t xml:space="preserve"> </w:t>
      </w:r>
      <w:r w:rsidRPr="002029AF">
        <w:t>funded</w:t>
      </w:r>
      <w:r w:rsidR="000A5329" w:rsidRPr="002029AF">
        <w:t xml:space="preserve"> </w:t>
      </w:r>
      <w:r w:rsidRPr="002029AF">
        <w:t>via</w:t>
      </w:r>
      <w:r w:rsidR="000A5329" w:rsidRPr="002029AF">
        <w:t xml:space="preserve"> </w:t>
      </w:r>
      <w:r w:rsidRPr="002029AF">
        <w:t>appropriation</w:t>
      </w:r>
      <w:r w:rsidR="000A5329" w:rsidRPr="002029AF">
        <w:t xml:space="preserve"> </w:t>
      </w:r>
      <w:r w:rsidRPr="002029AF">
        <w:t>revenue</w:t>
      </w:r>
      <w:r w:rsidR="000A5329" w:rsidRPr="002029AF">
        <w:t xml:space="preserve"> </w:t>
      </w:r>
      <w:r w:rsidRPr="002029AF">
        <w:t>and</w:t>
      </w:r>
      <w:r w:rsidR="000A5329" w:rsidRPr="002029AF">
        <w:t xml:space="preserve"> </w:t>
      </w:r>
      <w:r w:rsidRPr="002029AF">
        <w:t>will</w:t>
      </w:r>
      <w:r w:rsidR="000A5329" w:rsidRPr="002029AF">
        <w:t xml:space="preserve"> </w:t>
      </w:r>
      <w:r w:rsidRPr="002029AF">
        <w:t>be</w:t>
      </w:r>
      <w:r w:rsidR="000A5329" w:rsidRPr="002029AF">
        <w:t xml:space="preserve"> </w:t>
      </w:r>
      <w:r w:rsidRPr="002029AF">
        <w:t>recognised</w:t>
      </w:r>
      <w:r w:rsidR="000A5329" w:rsidRPr="002029AF">
        <w:t xml:space="preserve"> </w:t>
      </w:r>
      <w:r w:rsidRPr="002029AF">
        <w:t>as</w:t>
      </w:r>
      <w:r w:rsidR="000A5329" w:rsidRPr="002029AF">
        <w:t xml:space="preserve"> </w:t>
      </w:r>
      <w:r w:rsidRPr="002029AF">
        <w:t>a</w:t>
      </w:r>
      <w:r w:rsidR="000A5329" w:rsidRPr="002029AF">
        <w:t xml:space="preserve"> </w:t>
      </w:r>
      <w:r w:rsidRPr="002029AF">
        <w:t>grant</w:t>
      </w:r>
      <w:r w:rsidR="000A5329" w:rsidRPr="002029AF">
        <w:t xml:space="preserve"> </w:t>
      </w:r>
      <w:r w:rsidRPr="002029AF">
        <w:t>expense</w:t>
      </w:r>
      <w:r w:rsidR="000A5329" w:rsidRPr="002029AF">
        <w:t xml:space="preserve"> </w:t>
      </w:r>
      <w:r w:rsidRPr="002029AF">
        <w:t>to</w:t>
      </w:r>
      <w:r w:rsidR="000A5329" w:rsidRPr="002029AF">
        <w:t xml:space="preserve"> </w:t>
      </w:r>
      <w:r w:rsidRPr="002029AF">
        <w:t>the</w:t>
      </w:r>
      <w:r w:rsidR="000A5329" w:rsidRPr="002029AF">
        <w:t xml:space="preserve"> </w:t>
      </w:r>
      <w:r w:rsidRPr="002029AF">
        <w:t>health</w:t>
      </w:r>
      <w:r w:rsidR="000A5329" w:rsidRPr="002029AF">
        <w:t xml:space="preserve"> </w:t>
      </w:r>
      <w:r w:rsidRPr="002029AF">
        <w:t>agency.</w:t>
      </w:r>
    </w:p>
    <w:p w14:paraId="68DE4350" w14:textId="5F9D39AA" w:rsidR="00087B91" w:rsidRPr="002029AF" w:rsidRDefault="00087B91" w:rsidP="00087B91">
      <w:pPr>
        <w:pStyle w:val="Heading5"/>
      </w:pPr>
      <w:r w:rsidRPr="002029AF">
        <w:t>7.5.2</w:t>
      </w:r>
      <w:r w:rsidR="000A5329" w:rsidRPr="002029AF">
        <w:t xml:space="preserve"> </w:t>
      </w:r>
      <w:r w:rsidRPr="002029AF">
        <w:t>AASB</w:t>
      </w:r>
      <w:r w:rsidR="000A5329" w:rsidRPr="002029AF">
        <w:t xml:space="preserve"> </w:t>
      </w:r>
      <w:r w:rsidRPr="002029AF">
        <w:t>1059</w:t>
      </w:r>
      <w:r w:rsidR="000A5329" w:rsidRPr="002029AF">
        <w:t xml:space="preserve"> </w:t>
      </w:r>
      <w:r w:rsidRPr="002029AF">
        <w:t>Service</w:t>
      </w:r>
      <w:r w:rsidR="000A5329" w:rsidRPr="002029AF">
        <w:t xml:space="preserve"> </w:t>
      </w:r>
      <w:r w:rsidRPr="002029AF">
        <w:t>Concession</w:t>
      </w:r>
      <w:r w:rsidR="000A5329" w:rsidRPr="002029AF">
        <w:t xml:space="preserve"> </w:t>
      </w:r>
      <w:r w:rsidRPr="002029AF">
        <w:t>Arrangements:</w:t>
      </w:r>
      <w:r w:rsidR="000A5329" w:rsidRPr="002029AF">
        <w:t xml:space="preserve"> </w:t>
      </w:r>
      <w:r w:rsidRPr="002029AF">
        <w:t>Grantors</w:t>
      </w:r>
    </w:p>
    <w:p w14:paraId="31C9474E" w14:textId="062EE3A4" w:rsidR="00087B91" w:rsidRPr="002029AF" w:rsidRDefault="00087B91" w:rsidP="00087B91">
      <w:pPr>
        <w:pStyle w:val="ARfinbody"/>
      </w:pPr>
      <w:r w:rsidRPr="002029AF">
        <w:t>In</w:t>
      </w:r>
      <w:r w:rsidR="000A5329" w:rsidRPr="002029AF">
        <w:t xml:space="preserve"> </w:t>
      </w:r>
      <w:r w:rsidRPr="002029AF">
        <w:t>line</w:t>
      </w:r>
      <w:r w:rsidR="000A5329" w:rsidRPr="002029AF">
        <w:t xml:space="preserve"> </w:t>
      </w:r>
      <w:r w:rsidRPr="002029AF">
        <w:t>with</w:t>
      </w:r>
      <w:r w:rsidR="000A5329" w:rsidRPr="002029AF">
        <w:t xml:space="preserve"> </w:t>
      </w:r>
      <w:r w:rsidRPr="002029AF">
        <w:t>the</w:t>
      </w:r>
      <w:r w:rsidR="000A5329" w:rsidRPr="002029AF">
        <w:t xml:space="preserve"> </w:t>
      </w:r>
      <w:r w:rsidRPr="002029AF">
        <w:t>State</w:t>
      </w:r>
      <w:r w:rsidR="000A5329" w:rsidRPr="002029AF">
        <w:t xml:space="preserve"> </w:t>
      </w:r>
      <w:r w:rsidRPr="002029AF">
        <w:t>of</w:t>
      </w:r>
      <w:r w:rsidR="000A5329" w:rsidRPr="002029AF">
        <w:t xml:space="preserve"> </w:t>
      </w:r>
      <w:r w:rsidRPr="002029AF">
        <w:t>Victoria’s</w:t>
      </w:r>
      <w:r w:rsidR="000A5329" w:rsidRPr="002029AF">
        <w:t xml:space="preserve"> </w:t>
      </w:r>
      <w:r w:rsidRPr="002029AF">
        <w:t>direction</w:t>
      </w:r>
      <w:r w:rsidR="000A5329" w:rsidRPr="002029AF">
        <w:t xml:space="preserve"> </w:t>
      </w:r>
      <w:r w:rsidRPr="002029AF">
        <w:t>prescribed</w:t>
      </w:r>
      <w:r w:rsidR="000A5329" w:rsidRPr="002029AF">
        <w:t xml:space="preserve"> </w:t>
      </w:r>
      <w:r w:rsidRPr="002029AF">
        <w:t>in</w:t>
      </w:r>
      <w:r w:rsidR="000A5329" w:rsidRPr="002029AF">
        <w:t xml:space="preserve"> </w:t>
      </w:r>
      <w:r w:rsidRPr="002029AF">
        <w:t>FRD</w:t>
      </w:r>
      <w:r w:rsidR="000A5329" w:rsidRPr="002029AF">
        <w:t xml:space="preserve"> </w:t>
      </w:r>
      <w:r w:rsidRPr="002029AF">
        <w:t>124</w:t>
      </w:r>
      <w:r w:rsidR="000A5329" w:rsidRPr="002029AF">
        <w:t xml:space="preserve"> </w:t>
      </w:r>
      <w:r w:rsidRPr="002029AF">
        <w:rPr>
          <w:rStyle w:val="Emphasis"/>
        </w:rPr>
        <w:t>Transitional</w:t>
      </w:r>
      <w:r w:rsidR="000A5329" w:rsidRPr="002029AF">
        <w:t xml:space="preserve"> </w:t>
      </w:r>
      <w:r w:rsidRPr="002029AF">
        <w:t>requirements</w:t>
      </w:r>
      <w:r w:rsidR="000A5329" w:rsidRPr="002029AF">
        <w:t xml:space="preserve"> </w:t>
      </w:r>
      <w:r w:rsidRPr="002029AF">
        <w:t>on</w:t>
      </w:r>
      <w:r w:rsidR="000A5329" w:rsidRPr="002029AF">
        <w:t xml:space="preserve"> </w:t>
      </w:r>
      <w:r w:rsidRPr="002029AF">
        <w:t>the</w:t>
      </w:r>
      <w:r w:rsidR="000A5329" w:rsidRPr="002029AF">
        <w:t xml:space="preserve"> </w:t>
      </w:r>
      <w:r w:rsidRPr="002029AF">
        <w:t>application</w:t>
      </w:r>
      <w:r w:rsidR="000A5329" w:rsidRPr="002029AF">
        <w:t xml:space="preserve"> </w:t>
      </w:r>
      <w:r w:rsidRPr="002029AF">
        <w:t>of</w:t>
      </w:r>
      <w:r w:rsidR="000A5329" w:rsidRPr="002029AF">
        <w:t xml:space="preserve"> </w:t>
      </w:r>
      <w:r w:rsidRPr="002029AF">
        <w:t>AASB</w:t>
      </w:r>
      <w:r w:rsidR="000A5329" w:rsidRPr="002029AF">
        <w:t xml:space="preserve"> </w:t>
      </w:r>
      <w:r w:rsidRPr="002029AF">
        <w:t>1059</w:t>
      </w:r>
      <w:r w:rsidR="000A5329" w:rsidRPr="002029AF">
        <w:rPr>
          <w:rStyle w:val="Emphasis"/>
        </w:rPr>
        <w:t xml:space="preserve"> </w:t>
      </w:r>
      <w:r w:rsidRPr="002029AF">
        <w:rPr>
          <w:rStyle w:val="Emphasis"/>
        </w:rPr>
        <w:t>Service</w:t>
      </w:r>
      <w:r w:rsidR="000A5329" w:rsidRPr="002029AF">
        <w:rPr>
          <w:rStyle w:val="Emphasis"/>
        </w:rPr>
        <w:t xml:space="preserve"> </w:t>
      </w:r>
      <w:r w:rsidRPr="002029AF">
        <w:rPr>
          <w:rStyle w:val="Emphasis"/>
        </w:rPr>
        <w:t>Concession</w:t>
      </w:r>
      <w:r w:rsidR="000A5329" w:rsidRPr="002029AF">
        <w:rPr>
          <w:rStyle w:val="Emphasis"/>
        </w:rPr>
        <w:t xml:space="preserve"> </w:t>
      </w:r>
      <w:r w:rsidRPr="002029AF">
        <w:rPr>
          <w:rStyle w:val="Emphasis"/>
        </w:rPr>
        <w:t>Arrangements:</w:t>
      </w:r>
      <w:r w:rsidR="000A5329" w:rsidRPr="002029AF">
        <w:rPr>
          <w:rStyle w:val="Emphasis"/>
        </w:rPr>
        <w:t xml:space="preserve"> </w:t>
      </w:r>
      <w:r w:rsidRPr="002029AF">
        <w:rPr>
          <w:rStyle w:val="Emphasis"/>
        </w:rPr>
        <w:t>Grantors</w:t>
      </w:r>
      <w:r w:rsidRPr="002029AF">
        <w:t>,</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early</w:t>
      </w:r>
      <w:r w:rsidR="000A5329" w:rsidRPr="002029AF">
        <w:t xml:space="preserve"> </w:t>
      </w:r>
      <w:r w:rsidRPr="002029AF">
        <w:t>adopted</w:t>
      </w:r>
      <w:r w:rsidR="000A5329" w:rsidRPr="002029AF">
        <w:t xml:space="preserve"> </w:t>
      </w:r>
      <w:r w:rsidRPr="002029AF">
        <w:t>AASB</w:t>
      </w:r>
      <w:r w:rsidR="000A5329" w:rsidRPr="002029AF">
        <w:t xml:space="preserve"> </w:t>
      </w:r>
      <w:r w:rsidRPr="002029AF">
        <w:t>1059</w:t>
      </w:r>
      <w:r w:rsidR="000A5329" w:rsidRPr="002029AF">
        <w:t xml:space="preserve"> </w:t>
      </w:r>
      <w:r w:rsidRPr="002029AF">
        <w:t>from</w:t>
      </w:r>
      <w:r w:rsidR="000A5329" w:rsidRPr="002029AF">
        <w:t xml:space="preserve"> </w:t>
      </w:r>
      <w:r w:rsidRPr="002029AF">
        <w:t>1</w:t>
      </w:r>
      <w:r w:rsidR="000A5329" w:rsidRPr="002029AF">
        <w:t xml:space="preserve"> </w:t>
      </w:r>
      <w:r w:rsidRPr="002029AF">
        <w:t>July</w:t>
      </w:r>
      <w:r w:rsidR="000A5329" w:rsidRPr="002029AF">
        <w:t xml:space="preserve"> </w:t>
      </w:r>
      <w:r w:rsidRPr="002029AF">
        <w:t>2019.</w:t>
      </w:r>
      <w:r w:rsidR="000A5329" w:rsidRPr="002029AF">
        <w:t xml:space="preserve"> </w:t>
      </w:r>
      <w:r w:rsidRPr="002029AF">
        <w:t>Further</w:t>
      </w:r>
      <w:r w:rsidR="000A5329" w:rsidRPr="002029AF">
        <w:t xml:space="preserve"> </w:t>
      </w:r>
      <w:r w:rsidRPr="002029AF">
        <w:t>transitional</w:t>
      </w:r>
      <w:r w:rsidR="000A5329" w:rsidRPr="002029AF">
        <w:t xml:space="preserve"> </w:t>
      </w:r>
      <w:r w:rsidRPr="002029AF">
        <w:t>disclosures</w:t>
      </w:r>
      <w:r w:rsidR="000A5329" w:rsidRPr="002029AF">
        <w:t xml:space="preserve"> </w:t>
      </w:r>
      <w:r w:rsidRPr="002029AF">
        <w:t>are</w:t>
      </w:r>
      <w:r w:rsidR="000A5329" w:rsidRPr="002029AF">
        <w:t xml:space="preserve"> </w:t>
      </w:r>
      <w:r w:rsidRPr="002029AF">
        <w:t>included</w:t>
      </w:r>
      <w:r w:rsidR="000A5329" w:rsidRPr="002029AF">
        <w:t xml:space="preserve"> </w:t>
      </w:r>
      <w:r w:rsidRPr="002029AF">
        <w:t>in</w:t>
      </w:r>
      <w:r w:rsidR="000A5329" w:rsidRPr="002029AF">
        <w:t xml:space="preserve"> </w:t>
      </w:r>
      <w:r w:rsidRPr="002029AF">
        <w:t>Note</w:t>
      </w:r>
      <w:r w:rsidR="000A5329" w:rsidRPr="002029AF">
        <w:t xml:space="preserve"> </w:t>
      </w:r>
      <w:r w:rsidRPr="002029AF">
        <w:t>9.12.</w:t>
      </w:r>
    </w:p>
    <w:p w14:paraId="7C8989F3" w14:textId="140D8FF1" w:rsidR="000A5329" w:rsidRPr="002029AF" w:rsidRDefault="00087B91" w:rsidP="00087B91">
      <w:pPr>
        <w:pStyle w:val="ARfinbody"/>
      </w:pPr>
      <w:r w:rsidRPr="002029AF">
        <w:t>The</w:t>
      </w:r>
      <w:r w:rsidR="000A5329" w:rsidRPr="002029AF">
        <w:t xml:space="preserve"> </w:t>
      </w:r>
      <w:r w:rsidRPr="002029AF">
        <w:t>standard</w:t>
      </w:r>
      <w:r w:rsidR="000A5329" w:rsidRPr="002029AF">
        <w:t xml:space="preserve"> </w:t>
      </w:r>
      <w:r w:rsidRPr="002029AF">
        <w:t>addresses</w:t>
      </w:r>
      <w:r w:rsidR="000A5329" w:rsidRPr="002029AF">
        <w:t xml:space="preserve"> </w:t>
      </w:r>
      <w:r w:rsidRPr="002029AF">
        <w:t>the</w:t>
      </w:r>
      <w:r w:rsidR="000A5329" w:rsidRPr="002029AF">
        <w:t xml:space="preserve"> </w:t>
      </w:r>
      <w:r w:rsidRPr="002029AF">
        <w:t>accounting</w:t>
      </w:r>
      <w:r w:rsidR="000A5329" w:rsidRPr="002029AF">
        <w:t xml:space="preserve"> </w:t>
      </w:r>
      <w:r w:rsidRPr="002029AF">
        <w:t>for</w:t>
      </w:r>
      <w:r w:rsidR="000A5329" w:rsidRPr="002029AF">
        <w:t xml:space="preserve"> </w:t>
      </w:r>
      <w:r w:rsidRPr="002029AF">
        <w:t>a</w:t>
      </w:r>
      <w:r w:rsidR="000A5329" w:rsidRPr="002029AF">
        <w:t xml:space="preserve"> </w:t>
      </w:r>
      <w:r w:rsidRPr="002029AF">
        <w:t>service</w:t>
      </w:r>
      <w:r w:rsidR="000A5329" w:rsidRPr="002029AF">
        <w:t xml:space="preserve"> </w:t>
      </w:r>
      <w:r w:rsidRPr="002029AF">
        <w:t>concession</w:t>
      </w:r>
      <w:r w:rsidR="000A5329" w:rsidRPr="002029AF">
        <w:t xml:space="preserve"> </w:t>
      </w:r>
      <w:r w:rsidRPr="002029AF">
        <w:t>arrangement</w:t>
      </w:r>
      <w:r w:rsidR="000A5329" w:rsidRPr="002029AF">
        <w:t xml:space="preserve"> </w:t>
      </w:r>
      <w:r w:rsidRPr="002029AF">
        <w:t>by</w:t>
      </w:r>
      <w:r w:rsidR="000A5329" w:rsidRPr="002029AF">
        <w:t xml:space="preserve"> </w:t>
      </w:r>
      <w:r w:rsidRPr="002029AF">
        <w:t>a</w:t>
      </w:r>
      <w:r w:rsidR="000A5329" w:rsidRPr="002029AF">
        <w:t xml:space="preserve"> </w:t>
      </w:r>
      <w:r w:rsidRPr="002029AF">
        <w:t>grantor</w:t>
      </w:r>
      <w:r w:rsidR="000A5329" w:rsidRPr="002029AF">
        <w:t xml:space="preserve"> </w:t>
      </w:r>
      <w:r w:rsidRPr="002029AF">
        <w:t>that</w:t>
      </w:r>
      <w:r w:rsidR="000A5329" w:rsidRPr="002029AF">
        <w:t xml:space="preserve"> </w:t>
      </w:r>
      <w:r w:rsidRPr="002029AF">
        <w:t>is</w:t>
      </w:r>
      <w:r w:rsidR="000A5329" w:rsidRPr="002029AF">
        <w:t xml:space="preserve"> </w:t>
      </w:r>
      <w:r w:rsidRPr="002029AF">
        <w:t>a</w:t>
      </w:r>
      <w:r w:rsidR="000A5329" w:rsidRPr="002029AF">
        <w:t xml:space="preserve"> </w:t>
      </w:r>
      <w:r w:rsidRPr="002029AF">
        <w:t>public</w:t>
      </w:r>
      <w:r w:rsidR="000A5329" w:rsidRPr="002029AF">
        <w:t xml:space="preserve"> </w:t>
      </w:r>
      <w:r w:rsidRPr="002029AF">
        <w:t>sector</w:t>
      </w:r>
      <w:r w:rsidR="000A5329" w:rsidRPr="002029AF">
        <w:t xml:space="preserve"> </w:t>
      </w:r>
      <w:r w:rsidRPr="002029AF">
        <w:t>entity</w:t>
      </w:r>
      <w:r w:rsidR="000A5329" w:rsidRPr="002029AF">
        <w:t xml:space="preserve"> </w:t>
      </w:r>
      <w:r w:rsidRPr="002029AF">
        <w:t>by</w:t>
      </w:r>
      <w:r w:rsidR="000A5329" w:rsidRPr="002029AF">
        <w:t xml:space="preserve"> </w:t>
      </w:r>
      <w:r w:rsidRPr="002029AF">
        <w:t>prescribing</w:t>
      </w:r>
      <w:r w:rsidR="000A5329" w:rsidRPr="002029AF">
        <w:t xml:space="preserve"> </w:t>
      </w:r>
      <w:r w:rsidRPr="002029AF">
        <w:t>the</w:t>
      </w:r>
      <w:r w:rsidR="000A5329" w:rsidRPr="002029AF">
        <w:t xml:space="preserve"> </w:t>
      </w:r>
      <w:r w:rsidRPr="002029AF">
        <w:t>accounting</w:t>
      </w:r>
      <w:r w:rsidR="000A5329" w:rsidRPr="002029AF">
        <w:t xml:space="preserve"> </w:t>
      </w:r>
      <w:r w:rsidRPr="002029AF">
        <w:t>for</w:t>
      </w:r>
      <w:r w:rsidR="000A5329" w:rsidRPr="002029AF">
        <w:t xml:space="preserve"> </w:t>
      </w:r>
      <w:r w:rsidRPr="002029AF">
        <w:t>the</w:t>
      </w:r>
      <w:r w:rsidR="000A5329" w:rsidRPr="002029AF">
        <w:t xml:space="preserve"> </w:t>
      </w:r>
      <w:r w:rsidRPr="002029AF">
        <w:t>arrangement</w:t>
      </w:r>
      <w:r w:rsidR="000A5329" w:rsidRPr="002029AF">
        <w:t xml:space="preserve"> </w:t>
      </w:r>
      <w:r w:rsidRPr="002029AF">
        <w:t>from</w:t>
      </w:r>
      <w:r w:rsidR="000A5329" w:rsidRPr="002029AF">
        <w:t xml:space="preserve"> </w:t>
      </w:r>
      <w:r w:rsidRPr="002029AF">
        <w:t>a</w:t>
      </w:r>
      <w:r w:rsidR="000A5329" w:rsidRPr="002029AF">
        <w:t xml:space="preserve"> </w:t>
      </w:r>
      <w:r w:rsidRPr="002029AF">
        <w:t>grantor’s</w:t>
      </w:r>
      <w:r w:rsidR="000A5329" w:rsidRPr="002029AF">
        <w:t xml:space="preserve"> </w:t>
      </w:r>
      <w:r w:rsidRPr="002029AF">
        <w:t>perspective.</w:t>
      </w:r>
    </w:p>
    <w:p w14:paraId="3D445B2E" w14:textId="252C592E" w:rsidR="00087B91" w:rsidRPr="002029AF" w:rsidRDefault="00087B91" w:rsidP="00087B91">
      <w:pPr>
        <w:pStyle w:val="ARfinbody"/>
      </w:pPr>
      <w:r w:rsidRPr="002029AF">
        <w:t>The</w:t>
      </w:r>
      <w:r w:rsidR="000A5329" w:rsidRPr="002029AF">
        <w:t xml:space="preserve"> </w:t>
      </w:r>
      <w:r w:rsidRPr="002029AF">
        <w:t>AASB</w:t>
      </w:r>
      <w:r w:rsidR="000A5329" w:rsidRPr="002029AF">
        <w:t xml:space="preserve"> </w:t>
      </w:r>
      <w:r w:rsidRPr="002029AF">
        <w:t>issued</w:t>
      </w:r>
      <w:r w:rsidR="000A5329" w:rsidRPr="002029AF">
        <w:t xml:space="preserve"> </w:t>
      </w:r>
      <w:r w:rsidRPr="002029AF">
        <w:t>the</w:t>
      </w:r>
      <w:r w:rsidR="000A5329" w:rsidRPr="002029AF">
        <w:t xml:space="preserve"> </w:t>
      </w:r>
      <w:r w:rsidRPr="002029AF">
        <w:t>standard</w:t>
      </w:r>
      <w:r w:rsidR="000A5329" w:rsidRPr="002029AF">
        <w:t xml:space="preserve"> </w:t>
      </w:r>
      <w:r w:rsidRPr="002029AF">
        <w:t>to</w:t>
      </w:r>
      <w:r w:rsidR="000A5329" w:rsidRPr="002029AF">
        <w:t xml:space="preserve"> </w:t>
      </w:r>
      <w:r w:rsidRPr="002029AF">
        <w:t>address</w:t>
      </w:r>
      <w:r w:rsidR="000A5329" w:rsidRPr="002029AF">
        <w:t xml:space="preserve"> </w:t>
      </w:r>
      <w:r w:rsidRPr="002029AF">
        <w:t>the</w:t>
      </w:r>
      <w:r w:rsidR="000A5329" w:rsidRPr="002029AF">
        <w:t xml:space="preserve"> </w:t>
      </w:r>
      <w:r w:rsidRPr="002029AF">
        <w:t>lack</w:t>
      </w:r>
      <w:r w:rsidR="000A5329" w:rsidRPr="002029AF">
        <w:t xml:space="preserve"> </w:t>
      </w:r>
      <w:r w:rsidRPr="002029AF">
        <w:t>of</w:t>
      </w:r>
      <w:r w:rsidR="000A5329" w:rsidRPr="002029AF">
        <w:t xml:space="preserve"> </w:t>
      </w:r>
      <w:r w:rsidRPr="002029AF">
        <w:t>specific</w:t>
      </w:r>
      <w:r w:rsidR="000A5329" w:rsidRPr="002029AF">
        <w:t xml:space="preserve"> </w:t>
      </w:r>
      <w:r w:rsidRPr="002029AF">
        <w:t>accounting</w:t>
      </w:r>
      <w:r w:rsidR="000A5329" w:rsidRPr="002029AF">
        <w:t xml:space="preserve"> </w:t>
      </w:r>
      <w:r w:rsidRPr="002029AF">
        <w:t>guidance</w:t>
      </w:r>
      <w:r w:rsidR="000A5329" w:rsidRPr="002029AF">
        <w:t xml:space="preserve"> </w:t>
      </w:r>
      <w:r w:rsidRPr="002029AF">
        <w:t>and</w:t>
      </w:r>
      <w:r w:rsidR="000A5329" w:rsidRPr="002029AF">
        <w:t xml:space="preserve"> </w:t>
      </w:r>
      <w:r w:rsidRPr="002029AF">
        <w:t>based</w:t>
      </w:r>
      <w:r w:rsidR="000A5329" w:rsidRPr="002029AF">
        <w:t xml:space="preserve"> </w:t>
      </w:r>
      <w:r w:rsidRPr="002029AF">
        <w:t>the</w:t>
      </w:r>
      <w:r w:rsidR="000A5329" w:rsidRPr="002029AF">
        <w:t xml:space="preserve"> </w:t>
      </w:r>
      <w:r w:rsidRPr="002029AF">
        <w:t>content</w:t>
      </w:r>
      <w:r w:rsidR="000A5329" w:rsidRPr="002029AF">
        <w:t xml:space="preserve"> </w:t>
      </w:r>
      <w:r w:rsidRPr="002029AF">
        <w:t>thereof</w:t>
      </w:r>
      <w:r w:rsidR="000A5329" w:rsidRPr="002029AF">
        <w:t xml:space="preserve"> </w:t>
      </w:r>
      <w:r w:rsidRPr="002029AF">
        <w:t>broadly</w:t>
      </w:r>
      <w:r w:rsidR="000A5329" w:rsidRPr="002029AF">
        <w:t xml:space="preserve"> </w:t>
      </w:r>
      <w:r w:rsidRPr="002029AF">
        <w:t>on</w:t>
      </w:r>
      <w:r w:rsidR="000A5329" w:rsidRPr="002029AF">
        <w:t xml:space="preserve"> </w:t>
      </w:r>
      <w:r w:rsidRPr="002029AF">
        <w:t>its</w:t>
      </w:r>
      <w:r w:rsidR="000A5329" w:rsidRPr="002029AF">
        <w:t xml:space="preserve"> </w:t>
      </w:r>
      <w:r w:rsidRPr="002029AF">
        <w:t>international</w:t>
      </w:r>
      <w:r w:rsidR="000A5329" w:rsidRPr="002029AF">
        <w:t xml:space="preserve"> </w:t>
      </w:r>
      <w:r w:rsidRPr="002029AF">
        <w:t>equivalent:</w:t>
      </w:r>
      <w:r w:rsidR="000A5329" w:rsidRPr="002029AF">
        <w:t xml:space="preserve"> </w:t>
      </w:r>
      <w:r w:rsidRPr="002029AF">
        <w:rPr>
          <w:rStyle w:val="Emphasis"/>
        </w:rPr>
        <w:t>International</w:t>
      </w:r>
      <w:r w:rsidR="000A5329" w:rsidRPr="002029AF">
        <w:rPr>
          <w:rStyle w:val="Emphasis"/>
        </w:rPr>
        <w:t xml:space="preserve"> </w:t>
      </w:r>
      <w:r w:rsidRPr="002029AF">
        <w:rPr>
          <w:rStyle w:val="Emphasis"/>
        </w:rPr>
        <w:t>Public</w:t>
      </w:r>
      <w:r w:rsidR="000A5329" w:rsidRPr="002029AF">
        <w:rPr>
          <w:rStyle w:val="Emphasis"/>
        </w:rPr>
        <w:t xml:space="preserve"> </w:t>
      </w:r>
      <w:r w:rsidRPr="002029AF">
        <w:rPr>
          <w:rStyle w:val="Emphasis"/>
        </w:rPr>
        <w:t>Sector</w:t>
      </w:r>
      <w:r w:rsidR="000A5329" w:rsidRPr="002029AF">
        <w:rPr>
          <w:rStyle w:val="Emphasis"/>
        </w:rPr>
        <w:t xml:space="preserve"> </w:t>
      </w:r>
      <w:r w:rsidRPr="002029AF">
        <w:rPr>
          <w:rStyle w:val="Emphasis"/>
        </w:rPr>
        <w:t>Accounting</w:t>
      </w:r>
      <w:r w:rsidR="000A5329" w:rsidRPr="002029AF">
        <w:rPr>
          <w:rStyle w:val="Emphasis"/>
        </w:rPr>
        <w:t xml:space="preserve"> </w:t>
      </w:r>
      <w:r w:rsidRPr="002029AF">
        <w:rPr>
          <w:rStyle w:val="Emphasis"/>
        </w:rPr>
        <w:t>Standard</w:t>
      </w:r>
      <w:r w:rsidR="000A5329" w:rsidRPr="002029AF">
        <w:rPr>
          <w:rStyle w:val="Emphasis"/>
        </w:rPr>
        <w:t xml:space="preserve"> </w:t>
      </w:r>
      <w:r w:rsidRPr="002029AF">
        <w:rPr>
          <w:rStyle w:val="Emphasis"/>
        </w:rPr>
        <w:t>32</w:t>
      </w:r>
      <w:r w:rsidR="000A5329" w:rsidRPr="002029AF">
        <w:rPr>
          <w:rStyle w:val="Emphasis"/>
        </w:rPr>
        <w:t xml:space="preserve"> </w:t>
      </w:r>
      <w:r w:rsidRPr="002029AF">
        <w:rPr>
          <w:rStyle w:val="Emphasis"/>
        </w:rPr>
        <w:t>Service</w:t>
      </w:r>
      <w:r w:rsidR="000A5329" w:rsidRPr="002029AF">
        <w:rPr>
          <w:rStyle w:val="Emphasis"/>
        </w:rPr>
        <w:t xml:space="preserve"> </w:t>
      </w:r>
      <w:r w:rsidRPr="002029AF">
        <w:rPr>
          <w:rStyle w:val="Emphasis"/>
        </w:rPr>
        <w:t>Concession</w:t>
      </w:r>
      <w:r w:rsidR="000A5329" w:rsidRPr="002029AF">
        <w:rPr>
          <w:rStyle w:val="Emphasis"/>
        </w:rPr>
        <w:t xml:space="preserve"> </w:t>
      </w:r>
      <w:r w:rsidRPr="002029AF">
        <w:rPr>
          <w:rStyle w:val="Emphasis"/>
        </w:rPr>
        <w:t>Arrangements:</w:t>
      </w:r>
      <w:r w:rsidR="000A5329" w:rsidRPr="002029AF">
        <w:rPr>
          <w:rStyle w:val="Emphasis"/>
        </w:rPr>
        <w:t xml:space="preserve"> </w:t>
      </w:r>
      <w:r w:rsidRPr="002029AF">
        <w:rPr>
          <w:rStyle w:val="Emphasis"/>
        </w:rPr>
        <w:t>Grantor</w:t>
      </w:r>
      <w:r w:rsidRPr="002029AF">
        <w:t>.</w:t>
      </w:r>
    </w:p>
    <w:p w14:paraId="026ACDDB" w14:textId="263F0638" w:rsidR="00087B91" w:rsidRPr="002029AF" w:rsidRDefault="00087B91" w:rsidP="00087B91">
      <w:pPr>
        <w:pStyle w:val="ARfinbody"/>
      </w:pPr>
      <w:r w:rsidRPr="002029AF">
        <w:t>For</w:t>
      </w:r>
      <w:r w:rsidR="000A5329" w:rsidRPr="002029AF">
        <w:t xml:space="preserve"> </w:t>
      </w:r>
      <w:r w:rsidRPr="002029AF">
        <w:t>arrangements</w:t>
      </w:r>
      <w:r w:rsidR="000A5329" w:rsidRPr="002029AF">
        <w:t xml:space="preserve"> </w:t>
      </w:r>
      <w:r w:rsidRPr="002029AF">
        <w:t>within</w:t>
      </w:r>
      <w:r w:rsidR="000A5329" w:rsidRPr="002029AF">
        <w:t xml:space="preserve"> </w:t>
      </w:r>
      <w:r w:rsidRPr="002029AF">
        <w:t>the</w:t>
      </w:r>
      <w:r w:rsidR="000A5329" w:rsidRPr="002029AF">
        <w:t xml:space="preserve"> </w:t>
      </w:r>
      <w:r w:rsidRPr="002029AF">
        <w:t>scope</w:t>
      </w:r>
      <w:r w:rsidR="000A5329" w:rsidRPr="002029AF">
        <w:t xml:space="preserve"> </w:t>
      </w:r>
      <w:r w:rsidRPr="002029AF">
        <w:t>of</w:t>
      </w:r>
      <w:r w:rsidR="000A5329" w:rsidRPr="002029AF">
        <w:t xml:space="preserve"> </w:t>
      </w:r>
      <w:r w:rsidRPr="002029AF">
        <w:t>AASB</w:t>
      </w:r>
      <w:r w:rsidR="000A5329" w:rsidRPr="002029AF">
        <w:t xml:space="preserve"> </w:t>
      </w:r>
      <w:r w:rsidRPr="002029AF">
        <w:t>1059,</w:t>
      </w:r>
      <w:r w:rsidR="000A5329" w:rsidRPr="002029AF">
        <w:t xml:space="preserve"> </w:t>
      </w:r>
      <w:r w:rsidRPr="002029AF">
        <w:t>on</w:t>
      </w:r>
      <w:r w:rsidR="000A5329" w:rsidRPr="002029AF">
        <w:t xml:space="preserve"> </w:t>
      </w:r>
      <w:r w:rsidRPr="002029AF">
        <w:t>transition</w:t>
      </w:r>
      <w:r w:rsidR="000A5329" w:rsidRPr="002029AF">
        <w:t xml:space="preserve"> </w:t>
      </w:r>
      <w:r w:rsidRPr="002029AF">
        <w:t>and</w:t>
      </w:r>
      <w:r w:rsidR="000A5329" w:rsidRPr="002029AF">
        <w:t xml:space="preserve"> </w:t>
      </w:r>
      <w:r w:rsidRPr="002029AF">
        <w:t>at</w:t>
      </w:r>
      <w:r w:rsidR="000A5329" w:rsidRPr="002029AF">
        <w:t xml:space="preserve"> </w:t>
      </w:r>
      <w:r w:rsidRPr="002029AF">
        <w:t>initial</w:t>
      </w:r>
      <w:r w:rsidR="000A5329" w:rsidRPr="002029AF">
        <w:t xml:space="preserve"> </w:t>
      </w:r>
      <w:r w:rsidRPr="002029AF">
        <w:t>recognition</w:t>
      </w:r>
      <w:r w:rsidR="000A5329" w:rsidRPr="002029AF">
        <w:t xml:space="preserve"> </w:t>
      </w:r>
      <w:r w:rsidRPr="002029AF">
        <w:t>a</w:t>
      </w:r>
      <w:r w:rsidR="000A5329" w:rsidRPr="002029AF">
        <w:t xml:space="preserve"> </w:t>
      </w:r>
      <w:r w:rsidRPr="002029AF">
        <w:t>public</w:t>
      </w:r>
      <w:r w:rsidR="000A5329" w:rsidRPr="002029AF">
        <w:t xml:space="preserve"> </w:t>
      </w:r>
      <w:r w:rsidRPr="002029AF">
        <w:t>sector</w:t>
      </w:r>
      <w:r w:rsidR="000A5329" w:rsidRPr="002029AF">
        <w:t xml:space="preserve"> </w:t>
      </w:r>
      <w:r w:rsidRPr="002029AF">
        <w:t>grantor</w:t>
      </w:r>
      <w:r w:rsidR="000A5329" w:rsidRPr="002029AF">
        <w:t xml:space="preserve"> </w:t>
      </w:r>
      <w:r w:rsidRPr="002029AF">
        <w:t>is</w:t>
      </w:r>
      <w:r w:rsidR="000A5329" w:rsidRPr="002029AF">
        <w:t xml:space="preserve"> </w:t>
      </w:r>
      <w:r w:rsidRPr="002029AF">
        <w:t>required</w:t>
      </w:r>
      <w:r w:rsidR="000A5329" w:rsidRPr="002029AF">
        <w:t xml:space="preserve"> </w:t>
      </w:r>
      <w:r w:rsidRPr="002029AF">
        <w:t>to</w:t>
      </w:r>
      <w:r w:rsidR="000A5329" w:rsidRPr="002029AF">
        <w:t xml:space="preserve"> </w:t>
      </w:r>
      <w:r w:rsidRPr="002029AF">
        <w:t>record</w:t>
      </w:r>
      <w:r w:rsidR="000A5329" w:rsidRPr="002029AF">
        <w:t xml:space="preserve"> </w:t>
      </w:r>
      <w:r w:rsidRPr="002029AF">
        <w:t>the</w:t>
      </w:r>
      <w:r w:rsidR="000A5329" w:rsidRPr="002029AF">
        <w:t xml:space="preserve"> </w:t>
      </w:r>
      <w:r w:rsidRPr="002029AF">
        <w:t>asset(s)</w:t>
      </w:r>
      <w:r w:rsidR="000A5329" w:rsidRPr="002029AF">
        <w:t xml:space="preserve"> </w:t>
      </w:r>
      <w:r w:rsidRPr="002029AF">
        <w:t>used</w:t>
      </w:r>
      <w:r w:rsidR="000A5329" w:rsidRPr="002029AF">
        <w:t xml:space="preserve"> </w:t>
      </w:r>
      <w:r w:rsidRPr="002029AF">
        <w:t>in</w:t>
      </w:r>
      <w:r w:rsidR="000A5329" w:rsidRPr="002029AF">
        <w:t xml:space="preserve"> </w:t>
      </w:r>
      <w:r w:rsidRPr="002029AF">
        <w:t>the</w:t>
      </w:r>
      <w:r w:rsidR="000A5329" w:rsidRPr="002029AF">
        <w:t xml:space="preserve"> </w:t>
      </w:r>
      <w:r w:rsidRPr="002029AF">
        <w:t>service</w:t>
      </w:r>
      <w:r w:rsidR="000A5329" w:rsidRPr="002029AF">
        <w:t xml:space="preserve"> </w:t>
      </w:r>
      <w:r w:rsidRPr="002029AF">
        <w:t>concession</w:t>
      </w:r>
      <w:r w:rsidR="000A5329" w:rsidRPr="002029AF">
        <w:t xml:space="preserve"> </w:t>
      </w:r>
      <w:r w:rsidRPr="002029AF">
        <w:t>arrangement</w:t>
      </w:r>
      <w:r w:rsidR="000A5329" w:rsidRPr="002029AF">
        <w:t xml:space="preserve"> </w:t>
      </w:r>
      <w:r w:rsidRPr="002029AF">
        <w:t>at</w:t>
      </w:r>
      <w:r w:rsidR="000A5329" w:rsidRPr="002029AF">
        <w:t xml:space="preserve"> </w:t>
      </w:r>
      <w:r w:rsidRPr="002029AF">
        <w:t>current</w:t>
      </w:r>
      <w:r w:rsidR="000A5329" w:rsidRPr="002029AF">
        <w:t xml:space="preserve"> </w:t>
      </w:r>
      <w:r w:rsidRPr="002029AF">
        <w:t>replacement</w:t>
      </w:r>
      <w:r w:rsidR="000A5329" w:rsidRPr="002029AF">
        <w:t xml:space="preserve"> </w:t>
      </w:r>
      <w:r w:rsidRPr="002029AF">
        <w:t>cost</w:t>
      </w:r>
      <w:r w:rsidR="000A5329" w:rsidRPr="002029AF">
        <w:t xml:space="preserve"> </w:t>
      </w:r>
      <w:r w:rsidRPr="002029AF">
        <w:t>in</w:t>
      </w:r>
      <w:r w:rsidR="000A5329" w:rsidRPr="002029AF">
        <w:t xml:space="preserve"> </w:t>
      </w:r>
      <w:r w:rsidRPr="002029AF">
        <w:t>accordance</w:t>
      </w:r>
      <w:r w:rsidR="000A5329" w:rsidRPr="002029AF">
        <w:t xml:space="preserve"> </w:t>
      </w:r>
      <w:r w:rsidRPr="002029AF">
        <w:t>with</w:t>
      </w:r>
      <w:r w:rsidR="000A5329" w:rsidRPr="002029AF">
        <w:t xml:space="preserve"> </w:t>
      </w:r>
      <w:r w:rsidRPr="002029AF">
        <w:t>the</w:t>
      </w:r>
      <w:r w:rsidR="000A5329" w:rsidRPr="002029AF">
        <w:t xml:space="preserve"> </w:t>
      </w:r>
      <w:r w:rsidRPr="002029AF">
        <w:t>cost</w:t>
      </w:r>
      <w:r w:rsidR="000A5329" w:rsidRPr="002029AF">
        <w:t xml:space="preserve"> </w:t>
      </w:r>
      <w:r w:rsidRPr="002029AF">
        <w:t>approach</w:t>
      </w:r>
      <w:r w:rsidR="000A5329" w:rsidRPr="002029AF">
        <w:t xml:space="preserve"> </w:t>
      </w:r>
      <w:r w:rsidRPr="002029AF">
        <w:t>to</w:t>
      </w:r>
      <w:r w:rsidR="000A5329" w:rsidRPr="002029AF">
        <w:t xml:space="preserve"> </w:t>
      </w:r>
      <w:r w:rsidRPr="002029AF">
        <w:t>fair</w:t>
      </w:r>
      <w:r w:rsidR="000A5329" w:rsidRPr="002029AF">
        <w:t xml:space="preserve"> </w:t>
      </w:r>
      <w:r w:rsidRPr="002029AF">
        <w:t>value</w:t>
      </w:r>
      <w:r w:rsidR="000A5329" w:rsidRPr="002029AF">
        <w:t xml:space="preserve"> </w:t>
      </w:r>
      <w:r w:rsidRPr="002029AF">
        <w:t>under</w:t>
      </w:r>
      <w:r w:rsidR="000A5329" w:rsidRPr="002029AF">
        <w:t xml:space="preserve"> </w:t>
      </w:r>
      <w:r w:rsidRPr="002029AF">
        <w:t>AASB</w:t>
      </w:r>
      <w:r w:rsidR="000A5329" w:rsidRPr="002029AF">
        <w:t xml:space="preserve"> </w:t>
      </w:r>
      <w:r w:rsidRPr="002029AF">
        <w:t>13</w:t>
      </w:r>
      <w:r w:rsidR="000A5329" w:rsidRPr="002029AF">
        <w:t xml:space="preserve"> </w:t>
      </w:r>
      <w:r w:rsidRPr="002029AF">
        <w:rPr>
          <w:rStyle w:val="Emphasis"/>
        </w:rPr>
        <w:t>Fair</w:t>
      </w:r>
      <w:r w:rsidR="000A5329" w:rsidRPr="002029AF">
        <w:rPr>
          <w:rStyle w:val="Emphasis"/>
        </w:rPr>
        <w:t xml:space="preserve"> </w:t>
      </w:r>
      <w:r w:rsidRPr="002029AF">
        <w:rPr>
          <w:rStyle w:val="Emphasis"/>
        </w:rPr>
        <w:t>Value</w:t>
      </w:r>
      <w:r w:rsidR="000A5329" w:rsidRPr="002029AF">
        <w:rPr>
          <w:rStyle w:val="Emphasis"/>
        </w:rPr>
        <w:t xml:space="preserve"> </w:t>
      </w:r>
      <w:r w:rsidRPr="002029AF">
        <w:rPr>
          <w:rStyle w:val="Emphasis"/>
        </w:rPr>
        <w:t>Measurement</w:t>
      </w:r>
      <w:r w:rsidRPr="002029AF">
        <w:t>,</w:t>
      </w:r>
      <w:r w:rsidR="000A5329" w:rsidRPr="002029AF">
        <w:t xml:space="preserve"> </w:t>
      </w:r>
      <w:r w:rsidRPr="002029AF">
        <w:t>with</w:t>
      </w:r>
      <w:r w:rsidR="000A5329" w:rsidRPr="002029AF">
        <w:t xml:space="preserve"> </w:t>
      </w:r>
      <w:r w:rsidRPr="002029AF">
        <w:t>a</w:t>
      </w:r>
      <w:r w:rsidR="000A5329" w:rsidRPr="002029AF">
        <w:t xml:space="preserve"> </w:t>
      </w:r>
      <w:r w:rsidRPr="002029AF">
        <w:t>related</w:t>
      </w:r>
      <w:r w:rsidR="000A5329" w:rsidRPr="002029AF">
        <w:t xml:space="preserve"> </w:t>
      </w:r>
      <w:r w:rsidRPr="002029AF">
        <w:t>liability,</w:t>
      </w:r>
      <w:r w:rsidR="000A5329" w:rsidRPr="002029AF">
        <w:t xml:space="preserve"> </w:t>
      </w:r>
      <w:r w:rsidRPr="002029AF">
        <w:t>which</w:t>
      </w:r>
      <w:r w:rsidR="000A5329" w:rsidRPr="002029AF">
        <w:t xml:space="preserve"> </w:t>
      </w:r>
      <w:r w:rsidRPr="002029AF">
        <w:t>could</w:t>
      </w:r>
      <w:r w:rsidR="000A5329" w:rsidRPr="002029AF">
        <w:t xml:space="preserve"> </w:t>
      </w:r>
      <w:r w:rsidRPr="002029AF">
        <w:t>be</w:t>
      </w:r>
      <w:r w:rsidR="000A5329" w:rsidRPr="002029AF">
        <w:t xml:space="preserve"> </w:t>
      </w:r>
      <w:r w:rsidRPr="002029AF">
        <w:t>a</w:t>
      </w:r>
      <w:r w:rsidR="000A5329" w:rsidRPr="002029AF">
        <w:t xml:space="preserve"> </w:t>
      </w:r>
      <w:r w:rsidRPr="002029AF">
        <w:t>financial</w:t>
      </w:r>
      <w:r w:rsidR="000A5329" w:rsidRPr="002029AF">
        <w:t xml:space="preserve"> </w:t>
      </w:r>
      <w:r w:rsidRPr="002029AF">
        <w:t>liability,</w:t>
      </w:r>
      <w:r w:rsidR="000A5329" w:rsidRPr="002029AF">
        <w:t xml:space="preserve"> </w:t>
      </w:r>
      <w:r w:rsidRPr="002029AF">
        <w:t>an</w:t>
      </w:r>
      <w:r w:rsidR="000A5329" w:rsidRPr="002029AF">
        <w:t xml:space="preserve"> </w:t>
      </w:r>
      <w:r w:rsidRPr="002029AF">
        <w:t>accrued</w:t>
      </w:r>
      <w:r w:rsidR="000A5329" w:rsidRPr="002029AF">
        <w:t xml:space="preserve"> </w:t>
      </w:r>
      <w:r w:rsidRPr="002029AF">
        <w:t>revenue</w:t>
      </w:r>
      <w:r w:rsidR="000A5329" w:rsidRPr="002029AF">
        <w:t xml:space="preserve"> </w:t>
      </w:r>
      <w:r w:rsidRPr="002029AF">
        <w:t>liability</w:t>
      </w:r>
      <w:r w:rsidR="000A5329" w:rsidRPr="002029AF">
        <w:t xml:space="preserve"> </w:t>
      </w:r>
      <w:r w:rsidRPr="002029AF">
        <w:t>(referred</w:t>
      </w:r>
      <w:r w:rsidR="000A5329" w:rsidRPr="002029AF">
        <w:t xml:space="preserve"> </w:t>
      </w:r>
      <w:r w:rsidRPr="002029AF">
        <w:t>to</w:t>
      </w:r>
      <w:r w:rsidR="000A5329" w:rsidRPr="002029AF">
        <w:t xml:space="preserve"> </w:t>
      </w:r>
      <w:r w:rsidRPr="002029AF">
        <w:t>as</w:t>
      </w:r>
      <w:r w:rsidR="000A5329" w:rsidRPr="002029AF">
        <w:t xml:space="preserve"> </w:t>
      </w:r>
      <w:r w:rsidRPr="002029AF">
        <w:t>the</w:t>
      </w:r>
      <w:r w:rsidR="000A5329" w:rsidRPr="002029AF">
        <w:t xml:space="preserve"> </w:t>
      </w:r>
      <w:r w:rsidR="005F298C">
        <w:t>‘</w:t>
      </w:r>
      <w:r w:rsidRPr="002029AF">
        <w:t>Grant</w:t>
      </w:r>
      <w:r w:rsidR="000A5329" w:rsidRPr="002029AF">
        <w:t xml:space="preserve"> </w:t>
      </w:r>
      <w:r w:rsidRPr="002029AF">
        <w:t>Of</w:t>
      </w:r>
      <w:r w:rsidR="000A5329" w:rsidRPr="002029AF">
        <w:t xml:space="preserve"> </w:t>
      </w:r>
      <w:r w:rsidRPr="002029AF">
        <w:t>A</w:t>
      </w:r>
      <w:r w:rsidR="000A5329" w:rsidRPr="002029AF">
        <w:t xml:space="preserve"> </w:t>
      </w:r>
      <w:r w:rsidRPr="002029AF">
        <w:t>Right</w:t>
      </w:r>
      <w:r w:rsidR="000A5329" w:rsidRPr="002029AF">
        <w:t xml:space="preserve"> </w:t>
      </w:r>
      <w:r w:rsidRPr="002029AF">
        <w:t>To</w:t>
      </w:r>
      <w:r w:rsidR="000A5329" w:rsidRPr="002029AF">
        <w:t xml:space="preserve"> </w:t>
      </w:r>
      <w:r w:rsidRPr="002029AF">
        <w:t>The</w:t>
      </w:r>
      <w:r w:rsidR="000A5329" w:rsidRPr="002029AF">
        <w:t xml:space="preserve"> </w:t>
      </w:r>
      <w:r w:rsidRPr="002029AF">
        <w:t>Operator</w:t>
      </w:r>
      <w:r w:rsidR="005F298C">
        <w:t>’</w:t>
      </w:r>
      <w:r w:rsidR="000A5329" w:rsidRPr="002029AF">
        <w:t xml:space="preserve"> </w:t>
      </w:r>
      <w:r w:rsidRPr="002029AF">
        <w:t>or</w:t>
      </w:r>
      <w:r w:rsidR="000A5329" w:rsidRPr="002029AF">
        <w:t xml:space="preserve"> </w:t>
      </w:r>
      <w:r w:rsidRPr="002029AF">
        <w:t>GORTO</w:t>
      </w:r>
      <w:r w:rsidR="000A5329" w:rsidRPr="002029AF">
        <w:t xml:space="preserve"> </w:t>
      </w:r>
      <w:r w:rsidRPr="002029AF">
        <w:t>liability)</w:t>
      </w:r>
      <w:r w:rsidR="000A5329" w:rsidRPr="002029AF">
        <w:t xml:space="preserve"> </w:t>
      </w:r>
      <w:r w:rsidRPr="002029AF">
        <w:t>or</w:t>
      </w:r>
      <w:r w:rsidR="000A5329" w:rsidRPr="002029AF">
        <w:t xml:space="preserve"> </w:t>
      </w:r>
      <w:r w:rsidRPr="002029AF">
        <w:t>a</w:t>
      </w:r>
      <w:r w:rsidR="000A5329" w:rsidRPr="002029AF">
        <w:t xml:space="preserve"> </w:t>
      </w:r>
      <w:r w:rsidRPr="002029AF">
        <w:t>combination</w:t>
      </w:r>
      <w:r w:rsidR="000A5329" w:rsidRPr="002029AF">
        <w:t xml:space="preserve"> </w:t>
      </w:r>
      <w:r w:rsidRPr="002029AF">
        <w:t>of</w:t>
      </w:r>
      <w:r w:rsidR="000A5329" w:rsidRPr="002029AF">
        <w:t xml:space="preserve"> </w:t>
      </w:r>
      <w:r w:rsidRPr="002029AF">
        <w:t>both.</w:t>
      </w:r>
    </w:p>
    <w:p w14:paraId="5667EB60" w14:textId="311077B5" w:rsidR="00087B91" w:rsidRPr="002029AF" w:rsidRDefault="00087B91" w:rsidP="00087B91">
      <w:pPr>
        <w:pStyle w:val="ARfinbody"/>
      </w:pP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applied</w:t>
      </w:r>
      <w:r w:rsidR="000A5329" w:rsidRPr="002029AF">
        <w:t xml:space="preserve"> </w:t>
      </w:r>
      <w:r w:rsidRPr="002029AF">
        <w:t>the</w:t>
      </w:r>
      <w:r w:rsidR="000A5329" w:rsidRPr="002029AF">
        <w:t xml:space="preserve"> </w:t>
      </w:r>
      <w:r w:rsidRPr="002029AF">
        <w:t>transitional</w:t>
      </w:r>
      <w:r w:rsidR="000A5329" w:rsidRPr="002029AF">
        <w:t xml:space="preserve"> </w:t>
      </w:r>
      <w:r w:rsidRPr="002029AF">
        <w:t>provisions</w:t>
      </w:r>
      <w:r w:rsidR="000A5329" w:rsidRPr="002029AF">
        <w:t xml:space="preserve"> </w:t>
      </w:r>
      <w:r w:rsidRPr="002029AF">
        <w:t>of</w:t>
      </w:r>
      <w:r w:rsidR="000A5329" w:rsidRPr="002029AF">
        <w:t xml:space="preserve"> </w:t>
      </w:r>
      <w:r w:rsidRPr="002029AF">
        <w:t>AASB</w:t>
      </w:r>
      <w:r w:rsidR="000A5329" w:rsidRPr="002029AF">
        <w:t xml:space="preserve"> </w:t>
      </w:r>
      <w:r w:rsidRPr="002029AF">
        <w:t>1059</w:t>
      </w:r>
      <w:r w:rsidR="000A5329" w:rsidRPr="002029AF">
        <w:t xml:space="preserve"> </w:t>
      </w:r>
      <w:r w:rsidRPr="002029AF">
        <w:t>and</w:t>
      </w:r>
      <w:r w:rsidR="000A5329" w:rsidRPr="002029AF">
        <w:t xml:space="preserve"> </w:t>
      </w:r>
      <w:r w:rsidRPr="002029AF">
        <w:t>elected</w:t>
      </w:r>
      <w:r w:rsidR="000A5329" w:rsidRPr="002029AF">
        <w:t xml:space="preserve"> </w:t>
      </w:r>
      <w:r w:rsidRPr="002029AF">
        <w:t>a</w:t>
      </w:r>
      <w:r w:rsidR="000A5329" w:rsidRPr="002029AF">
        <w:t xml:space="preserve"> </w:t>
      </w:r>
      <w:r w:rsidRPr="002029AF">
        <w:t>full</w:t>
      </w:r>
      <w:r w:rsidR="000A5329" w:rsidRPr="002029AF">
        <w:t xml:space="preserve"> </w:t>
      </w:r>
      <w:r w:rsidRPr="002029AF">
        <w:t>retrospective</w:t>
      </w:r>
      <w:r w:rsidR="000A5329" w:rsidRPr="002029AF">
        <w:t xml:space="preserve"> </w:t>
      </w:r>
      <w:r w:rsidRPr="002029AF">
        <w:t>approach</w:t>
      </w:r>
      <w:r w:rsidR="000A5329" w:rsidRPr="002029AF">
        <w:t xml:space="preserve"> </w:t>
      </w:r>
      <w:r w:rsidRPr="002029AF">
        <w:t>to</w:t>
      </w:r>
      <w:r w:rsidR="000A5329" w:rsidRPr="002029AF">
        <w:t xml:space="preserve"> </w:t>
      </w:r>
      <w:r w:rsidRPr="002029AF">
        <w:t>prior</w:t>
      </w:r>
      <w:r w:rsidR="000A5329" w:rsidRPr="002029AF">
        <w:t xml:space="preserve"> </w:t>
      </w:r>
      <w:r w:rsidRPr="002029AF">
        <w:t>reporting</w:t>
      </w:r>
      <w:r w:rsidR="000A5329" w:rsidRPr="002029AF">
        <w:t xml:space="preserve"> </w:t>
      </w:r>
      <w:r w:rsidRPr="002029AF">
        <w:t>periods.</w:t>
      </w:r>
      <w:r w:rsidR="000A5329" w:rsidRPr="002029AF">
        <w:t xml:space="preserve"> </w:t>
      </w:r>
      <w:r w:rsidRPr="002029AF">
        <w:t>The</w:t>
      </w:r>
      <w:r w:rsidR="000A5329" w:rsidRPr="002029AF">
        <w:t xml:space="preserve"> </w:t>
      </w:r>
      <w:r w:rsidRPr="002029AF">
        <w:t>effect</w:t>
      </w:r>
      <w:r w:rsidR="000A5329" w:rsidRPr="002029AF">
        <w:t xml:space="preserve"> </w:t>
      </w:r>
      <w:r w:rsidRPr="002029AF">
        <w:t>of</w:t>
      </w:r>
      <w:r w:rsidR="000A5329" w:rsidRPr="002029AF">
        <w:t xml:space="preserve"> </w:t>
      </w:r>
      <w:r w:rsidRPr="002029AF">
        <w:t>this</w:t>
      </w:r>
      <w:r w:rsidR="000A5329" w:rsidRPr="002029AF">
        <w:t xml:space="preserve"> </w:t>
      </w:r>
      <w:r w:rsidRPr="002029AF">
        <w:t>is</w:t>
      </w:r>
      <w:r w:rsidR="000A5329" w:rsidRPr="002029AF">
        <w:t xml:space="preserve"> </w:t>
      </w:r>
      <w:r w:rsidRPr="002029AF">
        <w:t>as</w:t>
      </w:r>
      <w:r w:rsidR="000A5329" w:rsidRPr="002029AF">
        <w:t xml:space="preserve"> </w:t>
      </w:r>
      <w:r w:rsidRPr="002029AF">
        <w:t>if</w:t>
      </w:r>
      <w:r w:rsidR="000A5329" w:rsidRPr="002029AF">
        <w:t xml:space="preserve"> </w:t>
      </w:r>
      <w:r w:rsidRPr="002029AF">
        <w:t>the</w:t>
      </w:r>
      <w:r w:rsidR="000A5329" w:rsidRPr="002029AF">
        <w:t xml:space="preserve"> </w:t>
      </w:r>
      <w:r w:rsidRPr="002029AF">
        <w:t>standard</w:t>
      </w:r>
      <w:r w:rsidR="000A5329" w:rsidRPr="002029AF">
        <w:t xml:space="preserve"> </w:t>
      </w:r>
      <w:r w:rsidRPr="002029AF">
        <w:t>has</w:t>
      </w:r>
      <w:r w:rsidR="000A5329" w:rsidRPr="002029AF">
        <w:t xml:space="preserve"> </w:t>
      </w:r>
      <w:r w:rsidRPr="002029AF">
        <w:t>always</w:t>
      </w:r>
      <w:r w:rsidR="000A5329" w:rsidRPr="002029AF">
        <w:t xml:space="preserve"> </w:t>
      </w:r>
      <w:r w:rsidRPr="002029AF">
        <w:t>been</w:t>
      </w:r>
      <w:r w:rsidR="000A5329" w:rsidRPr="002029AF">
        <w:t xml:space="preserve"> </w:t>
      </w:r>
      <w:r w:rsidRPr="002029AF">
        <w:t>applied.</w:t>
      </w:r>
      <w:r w:rsidR="000A5329" w:rsidRPr="002029AF">
        <w:t xml:space="preserve"> </w:t>
      </w:r>
      <w:r w:rsidRPr="002029AF">
        <w:t>Retrospective</w:t>
      </w:r>
      <w:r w:rsidR="000A5329" w:rsidRPr="002029AF">
        <w:t xml:space="preserve"> </w:t>
      </w:r>
      <w:r w:rsidRPr="002029AF">
        <w:t>application</w:t>
      </w:r>
      <w:r w:rsidR="000A5329" w:rsidRPr="002029AF">
        <w:t xml:space="preserve"> </w:t>
      </w:r>
      <w:r w:rsidRPr="002029AF">
        <w:t>requires</w:t>
      </w:r>
      <w:r w:rsidR="000A5329" w:rsidRPr="002029AF">
        <w:t xml:space="preserve"> </w:t>
      </w:r>
      <w:r w:rsidRPr="002029AF">
        <w:t>the</w:t>
      </w:r>
      <w:r w:rsidR="000A5329" w:rsidRPr="002029AF">
        <w:t xml:space="preserve"> </w:t>
      </w:r>
      <w:r w:rsidRPr="002029AF">
        <w:t>derecognition</w:t>
      </w:r>
      <w:r w:rsidR="000A5329" w:rsidRPr="002029AF">
        <w:t xml:space="preserve"> </w:t>
      </w:r>
      <w:r w:rsidRPr="002029AF">
        <w:t>or</w:t>
      </w:r>
      <w:r w:rsidR="000A5329" w:rsidRPr="002029AF">
        <w:t xml:space="preserve"> </w:t>
      </w:r>
      <w:r w:rsidRPr="002029AF">
        <w:t>adjustment</w:t>
      </w:r>
      <w:r w:rsidR="000A5329" w:rsidRPr="002029AF">
        <w:t xml:space="preserve"> </w:t>
      </w:r>
      <w:r w:rsidRPr="002029AF">
        <w:t>of</w:t>
      </w:r>
      <w:r w:rsidR="000A5329" w:rsidRPr="002029AF">
        <w:t xml:space="preserve"> </w:t>
      </w:r>
      <w:r w:rsidRPr="002029AF">
        <w:t>any</w:t>
      </w:r>
      <w:r w:rsidR="000A5329" w:rsidRPr="002029AF">
        <w:t xml:space="preserve"> </w:t>
      </w:r>
      <w:r w:rsidRPr="002029AF">
        <w:t>service</w:t>
      </w:r>
      <w:r w:rsidR="000A5329" w:rsidRPr="002029AF">
        <w:t xml:space="preserve"> </w:t>
      </w:r>
      <w:r w:rsidRPr="002029AF">
        <w:t>concession</w:t>
      </w:r>
      <w:r w:rsidR="000A5329" w:rsidRPr="002029AF">
        <w:t xml:space="preserve"> </w:t>
      </w:r>
      <w:r w:rsidRPr="002029AF">
        <w:t>assets</w:t>
      </w:r>
      <w:r w:rsidR="000A5329" w:rsidRPr="002029AF">
        <w:t xml:space="preserve"> </w:t>
      </w:r>
      <w:r w:rsidRPr="002029AF">
        <w:t>and</w:t>
      </w:r>
      <w:r w:rsidR="000A5329" w:rsidRPr="002029AF">
        <w:t xml:space="preserve"> </w:t>
      </w:r>
      <w:r w:rsidRPr="002029AF">
        <w:t>liabilities</w:t>
      </w:r>
      <w:r w:rsidR="000A5329" w:rsidRPr="002029AF">
        <w:t xml:space="preserve"> </w:t>
      </w:r>
      <w:r w:rsidRPr="002029AF">
        <w:t>recognised</w:t>
      </w:r>
      <w:r w:rsidR="000A5329" w:rsidRPr="002029AF">
        <w:t xml:space="preserve"> </w:t>
      </w:r>
      <w:r w:rsidRPr="002029AF">
        <w:t>under</w:t>
      </w:r>
      <w:r w:rsidR="000A5329" w:rsidRPr="002029AF">
        <w:t xml:space="preserve"> </w:t>
      </w:r>
      <w:r w:rsidRPr="002029AF">
        <w:t>previous</w:t>
      </w:r>
      <w:r w:rsidR="000A5329" w:rsidRPr="002029AF">
        <w:t xml:space="preserve"> </w:t>
      </w:r>
      <w:r w:rsidRPr="002029AF">
        <w:t>accounting</w:t>
      </w:r>
      <w:r w:rsidR="000A5329" w:rsidRPr="002029AF">
        <w:t xml:space="preserve"> </w:t>
      </w:r>
      <w:r w:rsidRPr="002029AF">
        <w:t>policies</w:t>
      </w:r>
      <w:r w:rsidR="000A5329" w:rsidRPr="002029AF">
        <w:t xml:space="preserve"> </w:t>
      </w:r>
      <w:r w:rsidRPr="002029AF">
        <w:t>and</w:t>
      </w:r>
      <w:r w:rsidR="000A5329" w:rsidRPr="002029AF">
        <w:t xml:space="preserve"> </w:t>
      </w:r>
      <w:r w:rsidRPr="002029AF">
        <w:t>the</w:t>
      </w:r>
      <w:r w:rsidR="000A5329" w:rsidRPr="002029AF">
        <w:t xml:space="preserve"> </w:t>
      </w:r>
      <w:r w:rsidRPr="002029AF">
        <w:t>initial</w:t>
      </w:r>
      <w:r w:rsidR="000A5329" w:rsidRPr="002029AF">
        <w:t xml:space="preserve"> </w:t>
      </w:r>
      <w:r w:rsidRPr="002029AF">
        <w:t>recognition</w:t>
      </w:r>
      <w:r w:rsidR="000A5329" w:rsidRPr="002029AF">
        <w:t xml:space="preserve"> </w:t>
      </w:r>
      <w:r w:rsidRPr="002029AF">
        <w:t>of</w:t>
      </w:r>
      <w:r w:rsidR="007920F7" w:rsidRPr="002029AF">
        <w:t> </w:t>
      </w:r>
      <w:r w:rsidRPr="002029AF">
        <w:t>service</w:t>
      </w:r>
      <w:r w:rsidR="000A5329" w:rsidRPr="002029AF">
        <w:t xml:space="preserve"> </w:t>
      </w:r>
      <w:r w:rsidRPr="002029AF">
        <w:t>concession</w:t>
      </w:r>
      <w:r w:rsidR="000A5329" w:rsidRPr="002029AF">
        <w:t xml:space="preserve"> </w:t>
      </w:r>
      <w:r w:rsidRPr="002029AF">
        <w:t>assets</w:t>
      </w:r>
      <w:r w:rsidR="000A5329" w:rsidRPr="002029AF">
        <w:t xml:space="preserve"> </w:t>
      </w:r>
      <w:r w:rsidRPr="002029AF">
        <w:t>and</w:t>
      </w:r>
      <w:r w:rsidR="000A5329" w:rsidRPr="002029AF">
        <w:t xml:space="preserve"> </w:t>
      </w:r>
      <w:r w:rsidRPr="002029AF">
        <w:t>liabilities</w:t>
      </w:r>
      <w:r w:rsidR="000A5329" w:rsidRPr="002029AF">
        <w:t xml:space="preserve"> </w:t>
      </w:r>
      <w:r w:rsidRPr="002029AF">
        <w:t>under</w:t>
      </w:r>
      <w:r w:rsidR="000A5329" w:rsidRPr="002029AF">
        <w:t xml:space="preserve"> </w:t>
      </w:r>
      <w:r w:rsidRPr="002029AF">
        <w:t>AASB</w:t>
      </w:r>
      <w:r w:rsidR="000A5329" w:rsidRPr="002029AF">
        <w:t xml:space="preserve"> </w:t>
      </w:r>
      <w:r w:rsidRPr="002029AF">
        <w:t>1059.</w:t>
      </w:r>
      <w:r w:rsidR="000A5329" w:rsidRPr="002029AF">
        <w:t xml:space="preserve"> </w:t>
      </w:r>
      <w:r w:rsidRPr="002029AF">
        <w:t>As</w:t>
      </w:r>
      <w:r w:rsidR="000A5329" w:rsidRPr="002029AF">
        <w:t xml:space="preserve"> </w:t>
      </w:r>
      <w:r w:rsidRPr="002029AF">
        <w:t>well</w:t>
      </w:r>
      <w:r w:rsidR="000A5329" w:rsidRPr="002029AF">
        <w:t xml:space="preserve"> </w:t>
      </w:r>
      <w:r w:rsidRPr="002029AF">
        <w:t>as</w:t>
      </w:r>
      <w:r w:rsidR="000A5329" w:rsidRPr="002029AF">
        <w:t xml:space="preserve"> </w:t>
      </w:r>
      <w:r w:rsidRPr="002029AF">
        <w:t>below,</w:t>
      </w:r>
      <w:r w:rsidR="000A5329" w:rsidRPr="002029AF">
        <w:t xml:space="preserve"> </w:t>
      </w:r>
      <w:r w:rsidRPr="002029AF">
        <w:t>Note</w:t>
      </w:r>
      <w:r w:rsidR="000A5329" w:rsidRPr="002029AF">
        <w:t xml:space="preserve"> </w:t>
      </w:r>
      <w:r w:rsidRPr="002029AF">
        <w:t>9.12</w:t>
      </w:r>
      <w:r w:rsidR="000A5329" w:rsidRPr="002029AF">
        <w:t xml:space="preserve"> </w:t>
      </w:r>
      <w:r w:rsidRPr="002029AF">
        <w:t>summarises</w:t>
      </w:r>
      <w:r w:rsidR="000A5329" w:rsidRPr="002029AF">
        <w:t xml:space="preserve"> </w:t>
      </w:r>
      <w:r w:rsidRPr="002029AF">
        <w:t>the</w:t>
      </w:r>
      <w:r w:rsidR="000A5329" w:rsidRPr="002029AF">
        <w:t xml:space="preserve"> </w:t>
      </w:r>
      <w:r w:rsidRPr="002029AF">
        <w:t>impact</w:t>
      </w:r>
      <w:r w:rsidR="000A5329" w:rsidRPr="002029AF">
        <w:t xml:space="preserve"> </w:t>
      </w:r>
      <w:r w:rsidRPr="002029AF">
        <w:t>of</w:t>
      </w:r>
      <w:r w:rsidR="000A5329" w:rsidRPr="002029AF">
        <w:t xml:space="preserve"> </w:t>
      </w:r>
      <w:r w:rsidRPr="002029AF">
        <w:t>applying</w:t>
      </w:r>
      <w:r w:rsidR="000A5329" w:rsidRPr="002029AF">
        <w:t xml:space="preserve"> </w:t>
      </w:r>
      <w:r w:rsidRPr="002029AF">
        <w:t>the</w:t>
      </w:r>
      <w:r w:rsidR="000A5329" w:rsidRPr="002029AF">
        <w:t xml:space="preserve"> </w:t>
      </w:r>
      <w:r w:rsidRPr="002029AF">
        <w:t>standard.</w:t>
      </w:r>
    </w:p>
    <w:p w14:paraId="6BBDB125" w14:textId="4624027B" w:rsidR="00087B91" w:rsidRPr="002029AF" w:rsidRDefault="00087B91" w:rsidP="00087B91">
      <w:pPr>
        <w:pStyle w:val="ARfinbody"/>
        <w:rPr>
          <w:color w:val="auto"/>
        </w:rPr>
      </w:pPr>
      <w:r w:rsidRPr="002029AF">
        <w:t>After</w:t>
      </w:r>
      <w:r w:rsidR="000A5329" w:rsidRPr="002029AF">
        <w:t xml:space="preserve"> </w:t>
      </w:r>
      <w:r w:rsidRPr="002029AF">
        <w:t>initial</w:t>
      </w:r>
      <w:r w:rsidR="000A5329" w:rsidRPr="002029AF">
        <w:t xml:space="preserve"> </w:t>
      </w:r>
      <w:r w:rsidRPr="002029AF">
        <w:t>recognition,</w:t>
      </w:r>
      <w:r w:rsidR="000A5329" w:rsidRPr="002029AF">
        <w:t xml:space="preserve"> </w:t>
      </w:r>
      <w:r w:rsidRPr="002029AF">
        <w:t>service</w:t>
      </w:r>
      <w:r w:rsidR="000A5329" w:rsidRPr="002029AF">
        <w:t xml:space="preserve"> </w:t>
      </w:r>
      <w:r w:rsidRPr="002029AF">
        <w:t>concession</w:t>
      </w:r>
      <w:r w:rsidR="000A5329" w:rsidRPr="002029AF">
        <w:t xml:space="preserve"> </w:t>
      </w:r>
      <w:r w:rsidRPr="002029AF">
        <w:t>assets</w:t>
      </w:r>
      <w:r w:rsidR="000A5329" w:rsidRPr="002029AF">
        <w:t xml:space="preserve"> </w:t>
      </w:r>
      <w:r w:rsidRPr="002029AF">
        <w:t>are</w:t>
      </w:r>
      <w:r w:rsidR="000A5329" w:rsidRPr="002029AF">
        <w:t xml:space="preserve"> </w:t>
      </w:r>
      <w:r w:rsidRPr="002029AF">
        <w:t>measured</w:t>
      </w:r>
      <w:r w:rsidR="000A5329" w:rsidRPr="002029AF">
        <w:t xml:space="preserve"> </w:t>
      </w:r>
      <w:r w:rsidRPr="002029AF">
        <w:t>applying</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property,</w:t>
      </w:r>
      <w:r w:rsidR="000A5329" w:rsidRPr="002029AF">
        <w:t xml:space="preserve"> </w:t>
      </w:r>
      <w:r w:rsidRPr="002029AF">
        <w:t>plant</w:t>
      </w:r>
      <w:r w:rsidR="000A5329" w:rsidRPr="002029AF">
        <w:t xml:space="preserve"> </w:t>
      </w:r>
      <w:r w:rsidRPr="002029AF">
        <w:t>and</w:t>
      </w:r>
      <w:r w:rsidR="000A5329" w:rsidRPr="002029AF">
        <w:t xml:space="preserve"> </w:t>
      </w:r>
      <w:r w:rsidRPr="002029AF">
        <w:t>equipment</w:t>
      </w:r>
      <w:r w:rsidR="000A5329" w:rsidRPr="002029AF">
        <w:t xml:space="preserve"> </w:t>
      </w:r>
      <w:r w:rsidRPr="002029AF">
        <w:t>(Note</w:t>
      </w:r>
      <w:r w:rsidR="000A5329" w:rsidRPr="002029AF">
        <w:t xml:space="preserve"> </w:t>
      </w:r>
      <w:r w:rsidRPr="002029AF">
        <w:t>5.1)</w:t>
      </w:r>
      <w:r w:rsidR="000A5329" w:rsidRPr="002029AF">
        <w:t xml:space="preserve"> </w:t>
      </w:r>
      <w:r w:rsidRPr="002029AF">
        <w:t>and</w:t>
      </w:r>
      <w:r w:rsidR="000A5329" w:rsidRPr="002029AF">
        <w:t xml:space="preserve"> </w:t>
      </w:r>
      <w:r w:rsidRPr="002029AF">
        <w:rPr>
          <w:color w:val="auto"/>
        </w:rPr>
        <w:t>intangible</w:t>
      </w:r>
      <w:r w:rsidR="000A5329" w:rsidRPr="002029AF">
        <w:rPr>
          <w:color w:val="auto"/>
        </w:rPr>
        <w:t xml:space="preserve"> </w:t>
      </w:r>
      <w:r w:rsidRPr="002029AF">
        <w:rPr>
          <w:color w:val="auto"/>
        </w:rPr>
        <w:t>assets</w:t>
      </w:r>
      <w:r w:rsidR="000A5329" w:rsidRPr="002029AF">
        <w:rPr>
          <w:color w:val="auto"/>
        </w:rPr>
        <w:t xml:space="preserve"> </w:t>
      </w:r>
      <w:r w:rsidRPr="002029AF">
        <w:rPr>
          <w:color w:val="auto"/>
        </w:rPr>
        <w:t>(Note</w:t>
      </w:r>
      <w:r w:rsidR="000A5329" w:rsidRPr="002029AF">
        <w:rPr>
          <w:color w:val="auto"/>
        </w:rPr>
        <w:t xml:space="preserve"> </w:t>
      </w:r>
      <w:r w:rsidRPr="002029AF">
        <w:rPr>
          <w:color w:val="auto"/>
        </w:rPr>
        <w:t>5.2)</w:t>
      </w:r>
      <w:r w:rsidR="000A5329" w:rsidRPr="002029AF">
        <w:rPr>
          <w:color w:val="auto"/>
        </w:rPr>
        <w:t xml:space="preserve"> </w:t>
      </w:r>
      <w:r w:rsidRPr="002029AF">
        <w:rPr>
          <w:color w:val="auto"/>
        </w:rPr>
        <w:t>subsequent</w:t>
      </w:r>
      <w:r w:rsidR="000A5329" w:rsidRPr="002029AF">
        <w:rPr>
          <w:color w:val="auto"/>
        </w:rPr>
        <w:t xml:space="preserve"> </w:t>
      </w:r>
      <w:r w:rsidRPr="002029AF">
        <w:rPr>
          <w:color w:val="auto"/>
        </w:rPr>
        <w:t>measurement</w:t>
      </w:r>
      <w:r w:rsidR="000A5329" w:rsidRPr="002029AF">
        <w:rPr>
          <w:color w:val="auto"/>
        </w:rPr>
        <w:t xml:space="preserve"> </w:t>
      </w:r>
      <w:r w:rsidRPr="002029AF">
        <w:rPr>
          <w:color w:val="auto"/>
        </w:rPr>
        <w:t>accounting</w:t>
      </w:r>
      <w:r w:rsidR="000A5329" w:rsidRPr="002029AF">
        <w:rPr>
          <w:color w:val="auto"/>
        </w:rPr>
        <w:t xml:space="preserve"> </w:t>
      </w:r>
      <w:r w:rsidRPr="002029AF">
        <w:rPr>
          <w:color w:val="auto"/>
        </w:rPr>
        <w:t>policies.</w:t>
      </w:r>
    </w:p>
    <w:p w14:paraId="6741BF2B" w14:textId="541E9022" w:rsidR="00087B91" w:rsidRPr="002029AF" w:rsidRDefault="00087B91" w:rsidP="00087B91">
      <w:pPr>
        <w:pStyle w:val="ARfinbody"/>
        <w:rPr>
          <w:color w:val="auto"/>
        </w:rPr>
      </w:pPr>
      <w:r w:rsidRPr="002029AF">
        <w:rPr>
          <w:color w:val="auto"/>
        </w:rPr>
        <w:t>The</w:t>
      </w:r>
      <w:r w:rsidR="000A5329" w:rsidRPr="002029AF">
        <w:rPr>
          <w:color w:val="auto"/>
        </w:rPr>
        <w:t xml:space="preserve"> </w:t>
      </w:r>
      <w:r w:rsidRPr="002029AF">
        <w:rPr>
          <w:color w:val="auto"/>
        </w:rPr>
        <w:t>department</w:t>
      </w:r>
      <w:r w:rsidR="000A5329" w:rsidRPr="002029AF">
        <w:rPr>
          <w:color w:val="auto"/>
        </w:rPr>
        <w:t xml:space="preserve"> </w:t>
      </w:r>
      <w:r w:rsidRPr="002029AF">
        <w:rPr>
          <w:color w:val="auto"/>
        </w:rPr>
        <w:t>has</w:t>
      </w:r>
      <w:r w:rsidR="000A5329" w:rsidRPr="002029AF">
        <w:rPr>
          <w:color w:val="auto"/>
        </w:rPr>
        <w:t xml:space="preserve"> </w:t>
      </w:r>
      <w:r w:rsidRPr="002029AF">
        <w:rPr>
          <w:color w:val="auto"/>
        </w:rPr>
        <w:t>reviewed</w:t>
      </w:r>
      <w:r w:rsidR="000A5329" w:rsidRPr="002029AF">
        <w:rPr>
          <w:color w:val="auto"/>
        </w:rPr>
        <w:t xml:space="preserve"> </w:t>
      </w:r>
      <w:r w:rsidRPr="002029AF">
        <w:rPr>
          <w:color w:val="auto"/>
        </w:rPr>
        <w:t>all</w:t>
      </w:r>
      <w:r w:rsidR="000A5329" w:rsidRPr="002029AF">
        <w:rPr>
          <w:color w:val="auto"/>
        </w:rPr>
        <w:t xml:space="preserve"> </w:t>
      </w:r>
      <w:r w:rsidRPr="002029AF">
        <w:rPr>
          <w:color w:val="auto"/>
        </w:rPr>
        <w:t>of</w:t>
      </w:r>
      <w:r w:rsidR="000A5329" w:rsidRPr="002029AF">
        <w:rPr>
          <w:color w:val="auto"/>
        </w:rPr>
        <w:t xml:space="preserve"> </w:t>
      </w:r>
      <w:r w:rsidRPr="002029AF">
        <w:rPr>
          <w:color w:val="auto"/>
        </w:rPr>
        <w:t>its</w:t>
      </w:r>
      <w:r w:rsidR="000A5329" w:rsidRPr="002029AF">
        <w:rPr>
          <w:color w:val="auto"/>
        </w:rPr>
        <w:t xml:space="preserve"> </w:t>
      </w:r>
      <w:r w:rsidRPr="002029AF">
        <w:rPr>
          <w:color w:val="auto"/>
        </w:rPr>
        <w:t>arrangements,</w:t>
      </w:r>
      <w:r w:rsidR="000A5329" w:rsidRPr="002029AF">
        <w:rPr>
          <w:color w:val="auto"/>
        </w:rPr>
        <w:t xml:space="preserve"> </w:t>
      </w:r>
      <w:r w:rsidRPr="002029AF">
        <w:rPr>
          <w:color w:val="auto"/>
        </w:rPr>
        <w:t>including</w:t>
      </w:r>
      <w:r w:rsidR="000A5329" w:rsidRPr="002029AF">
        <w:rPr>
          <w:color w:val="auto"/>
        </w:rPr>
        <w:t xml:space="preserve"> </w:t>
      </w:r>
      <w:r w:rsidRPr="002029AF">
        <w:rPr>
          <w:color w:val="auto"/>
        </w:rPr>
        <w:t>those</w:t>
      </w:r>
      <w:r w:rsidR="000A5329" w:rsidRPr="002029AF">
        <w:rPr>
          <w:color w:val="auto"/>
        </w:rPr>
        <w:t xml:space="preserve"> </w:t>
      </w:r>
      <w:r w:rsidRPr="002029AF">
        <w:rPr>
          <w:color w:val="auto"/>
        </w:rPr>
        <w:t>disclosed</w:t>
      </w:r>
      <w:r w:rsidR="000A5329" w:rsidRPr="002029AF">
        <w:rPr>
          <w:color w:val="auto"/>
        </w:rPr>
        <w:t xml:space="preserve"> </w:t>
      </w:r>
      <w:r w:rsidRPr="002029AF">
        <w:rPr>
          <w:color w:val="auto"/>
        </w:rPr>
        <w:t>in</w:t>
      </w:r>
      <w:r w:rsidR="000A5329" w:rsidRPr="002029AF">
        <w:rPr>
          <w:color w:val="auto"/>
        </w:rPr>
        <w:t xml:space="preserve"> </w:t>
      </w:r>
      <w:r w:rsidRPr="002029AF">
        <w:rPr>
          <w:color w:val="auto"/>
        </w:rPr>
        <w:t>Note</w:t>
      </w:r>
      <w:r w:rsidR="000A5329" w:rsidRPr="002029AF">
        <w:rPr>
          <w:color w:val="auto"/>
        </w:rPr>
        <w:t xml:space="preserve"> </w:t>
      </w:r>
      <w:r w:rsidRPr="002029AF">
        <w:rPr>
          <w:color w:val="auto"/>
        </w:rPr>
        <w:t>7.5.1</w:t>
      </w:r>
      <w:r w:rsidR="000A5329" w:rsidRPr="002029AF">
        <w:rPr>
          <w:color w:val="auto"/>
        </w:rPr>
        <w:t xml:space="preserve"> </w:t>
      </w:r>
      <w:r w:rsidRPr="002029AF">
        <w:rPr>
          <w:color w:val="auto"/>
        </w:rPr>
        <w:t>and</w:t>
      </w:r>
      <w:r w:rsidR="000A5329" w:rsidRPr="002029AF">
        <w:rPr>
          <w:color w:val="auto"/>
        </w:rPr>
        <w:t xml:space="preserve"> </w:t>
      </w:r>
      <w:r w:rsidRPr="002029AF">
        <w:rPr>
          <w:color w:val="auto"/>
        </w:rPr>
        <w:t>arrangements</w:t>
      </w:r>
      <w:r w:rsidR="000A5329" w:rsidRPr="002029AF">
        <w:rPr>
          <w:color w:val="auto"/>
        </w:rPr>
        <w:t xml:space="preserve"> </w:t>
      </w:r>
      <w:r w:rsidRPr="002029AF">
        <w:rPr>
          <w:color w:val="auto"/>
        </w:rPr>
        <w:t>which</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department</w:t>
      </w:r>
      <w:r w:rsidR="000A5329" w:rsidRPr="002029AF">
        <w:rPr>
          <w:color w:val="auto"/>
        </w:rPr>
        <w:t xml:space="preserve"> </w:t>
      </w:r>
      <w:r w:rsidRPr="002029AF">
        <w:rPr>
          <w:color w:val="auto"/>
        </w:rPr>
        <w:t>has</w:t>
      </w:r>
      <w:r w:rsidR="000A5329" w:rsidRPr="002029AF">
        <w:rPr>
          <w:color w:val="auto"/>
        </w:rPr>
        <w:t xml:space="preserve"> </w:t>
      </w:r>
      <w:r w:rsidRPr="002029AF">
        <w:rPr>
          <w:color w:val="auto"/>
        </w:rPr>
        <w:t>with</w:t>
      </w:r>
      <w:r w:rsidR="000A5329" w:rsidRPr="002029AF">
        <w:rPr>
          <w:color w:val="auto"/>
        </w:rPr>
        <w:t xml:space="preserve"> </w:t>
      </w:r>
      <w:r w:rsidRPr="002029AF">
        <w:rPr>
          <w:color w:val="auto"/>
        </w:rPr>
        <w:t>another</w:t>
      </w:r>
      <w:r w:rsidR="000A5329" w:rsidRPr="002029AF">
        <w:rPr>
          <w:color w:val="auto"/>
        </w:rPr>
        <w:t xml:space="preserve"> </w:t>
      </w:r>
      <w:r w:rsidRPr="002029AF">
        <w:rPr>
          <w:color w:val="auto"/>
        </w:rPr>
        <w:t>entity</w:t>
      </w:r>
      <w:r w:rsidR="000A5329" w:rsidRPr="002029AF">
        <w:rPr>
          <w:color w:val="auto"/>
        </w:rPr>
        <w:t xml:space="preserve"> </w:t>
      </w:r>
      <w:r w:rsidRPr="002029AF">
        <w:rPr>
          <w:color w:val="auto"/>
        </w:rPr>
        <w:t>that</w:t>
      </w:r>
      <w:r w:rsidR="000A5329" w:rsidRPr="002029AF">
        <w:rPr>
          <w:color w:val="auto"/>
        </w:rPr>
        <w:t xml:space="preserve"> </w:t>
      </w:r>
      <w:r w:rsidRPr="002029AF">
        <w:rPr>
          <w:color w:val="auto"/>
        </w:rPr>
        <w:t>includes</w:t>
      </w:r>
      <w:r w:rsidR="000A5329" w:rsidRPr="002029AF">
        <w:rPr>
          <w:color w:val="auto"/>
        </w:rPr>
        <w:t xml:space="preserve"> </w:t>
      </w:r>
      <w:r w:rsidRPr="002029AF">
        <w:rPr>
          <w:color w:val="auto"/>
        </w:rPr>
        <w:t>a</w:t>
      </w:r>
      <w:r w:rsidR="000A5329" w:rsidRPr="002029AF">
        <w:rPr>
          <w:color w:val="auto"/>
        </w:rPr>
        <w:t xml:space="preserve"> </w:t>
      </w:r>
      <w:r w:rsidRPr="002029AF">
        <w:rPr>
          <w:color w:val="auto"/>
        </w:rPr>
        <w:t>service</w:t>
      </w:r>
      <w:r w:rsidR="000A5329" w:rsidRPr="002029AF">
        <w:rPr>
          <w:color w:val="auto"/>
        </w:rPr>
        <w:t xml:space="preserve"> </w:t>
      </w:r>
      <w:r w:rsidRPr="002029AF">
        <w:rPr>
          <w:color w:val="auto"/>
        </w:rPr>
        <w:t>concession</w:t>
      </w:r>
      <w:r w:rsidR="000A5329" w:rsidRPr="002029AF">
        <w:rPr>
          <w:color w:val="auto"/>
        </w:rPr>
        <w:t xml:space="preserve"> </w:t>
      </w:r>
      <w:r w:rsidRPr="002029AF">
        <w:rPr>
          <w:color w:val="auto"/>
        </w:rPr>
        <w:t>asset</w:t>
      </w:r>
      <w:r w:rsidR="000A5329" w:rsidRPr="002029AF">
        <w:rPr>
          <w:color w:val="auto"/>
        </w:rPr>
        <w:t xml:space="preserve"> </w:t>
      </w:r>
      <w:r w:rsidRPr="002029AF">
        <w:rPr>
          <w:color w:val="auto"/>
        </w:rPr>
        <w:t>to</w:t>
      </w:r>
      <w:r w:rsidR="000A5329" w:rsidRPr="002029AF">
        <w:rPr>
          <w:color w:val="auto"/>
        </w:rPr>
        <w:t xml:space="preserve"> </w:t>
      </w:r>
      <w:r w:rsidRPr="002029AF">
        <w:rPr>
          <w:color w:val="auto"/>
        </w:rPr>
        <w:t>assess</w:t>
      </w:r>
      <w:r w:rsidR="000A5329" w:rsidRPr="002029AF">
        <w:rPr>
          <w:color w:val="auto"/>
        </w:rPr>
        <w:t xml:space="preserve"> </w:t>
      </w:r>
      <w:r w:rsidRPr="002029AF">
        <w:rPr>
          <w:color w:val="auto"/>
        </w:rPr>
        <w:t>whether</w:t>
      </w:r>
      <w:r w:rsidR="000A5329" w:rsidRPr="002029AF">
        <w:rPr>
          <w:color w:val="auto"/>
        </w:rPr>
        <w:t xml:space="preserve"> </w:t>
      </w:r>
      <w:r w:rsidRPr="002029AF">
        <w:rPr>
          <w:color w:val="auto"/>
        </w:rPr>
        <w:t>AASB</w:t>
      </w:r>
      <w:r w:rsidR="000A5329" w:rsidRPr="002029AF">
        <w:rPr>
          <w:color w:val="auto"/>
        </w:rPr>
        <w:t xml:space="preserve"> </w:t>
      </w:r>
      <w:r w:rsidRPr="002029AF">
        <w:rPr>
          <w:color w:val="auto"/>
        </w:rPr>
        <w:t>1059</w:t>
      </w:r>
      <w:r w:rsidR="000A5329" w:rsidRPr="002029AF">
        <w:rPr>
          <w:color w:val="auto"/>
        </w:rPr>
        <w:t xml:space="preserve"> </w:t>
      </w:r>
      <w:r w:rsidRPr="002029AF">
        <w:rPr>
          <w:color w:val="auto"/>
        </w:rPr>
        <w:t>applies.</w:t>
      </w:r>
    </w:p>
    <w:p w14:paraId="604FAFA8" w14:textId="61D7AFEC" w:rsidR="00087B91" w:rsidRPr="002029AF" w:rsidRDefault="00087B91" w:rsidP="00087B91">
      <w:pPr>
        <w:pStyle w:val="ARfinbody"/>
        <w:rPr>
          <w:color w:val="auto"/>
        </w:rPr>
      </w:pPr>
      <w:r w:rsidRPr="002029AF">
        <w:rPr>
          <w:color w:val="auto"/>
        </w:rPr>
        <w:t>The</w:t>
      </w:r>
      <w:r w:rsidR="000A5329" w:rsidRPr="002029AF">
        <w:rPr>
          <w:color w:val="auto"/>
        </w:rPr>
        <w:t xml:space="preserve"> </w:t>
      </w:r>
      <w:r w:rsidRPr="002029AF">
        <w:rPr>
          <w:color w:val="auto"/>
        </w:rPr>
        <w:t>department</w:t>
      </w:r>
      <w:r w:rsidR="000A5329" w:rsidRPr="002029AF">
        <w:rPr>
          <w:color w:val="auto"/>
        </w:rPr>
        <w:t xml:space="preserve"> </w:t>
      </w:r>
      <w:r w:rsidRPr="002029AF">
        <w:rPr>
          <w:color w:val="auto"/>
        </w:rPr>
        <w:t>has</w:t>
      </w:r>
      <w:r w:rsidR="000A5329" w:rsidRPr="002029AF">
        <w:rPr>
          <w:color w:val="auto"/>
        </w:rPr>
        <w:t xml:space="preserve"> </w:t>
      </w:r>
      <w:r w:rsidRPr="002029AF">
        <w:rPr>
          <w:color w:val="auto"/>
        </w:rPr>
        <w:t>arrangements</w:t>
      </w:r>
      <w:r w:rsidR="000A5329" w:rsidRPr="002029AF">
        <w:rPr>
          <w:color w:val="auto"/>
        </w:rPr>
        <w:t xml:space="preserve"> </w:t>
      </w:r>
      <w:r w:rsidRPr="002029AF">
        <w:rPr>
          <w:color w:val="auto"/>
        </w:rPr>
        <w:t>in</w:t>
      </w:r>
      <w:r w:rsidR="000A5329" w:rsidRPr="002029AF">
        <w:rPr>
          <w:color w:val="auto"/>
        </w:rPr>
        <w:t xml:space="preserve"> </w:t>
      </w:r>
      <w:r w:rsidRPr="002029AF">
        <w:rPr>
          <w:color w:val="auto"/>
        </w:rPr>
        <w:t>place</w:t>
      </w:r>
      <w:r w:rsidR="000A5329" w:rsidRPr="002029AF">
        <w:rPr>
          <w:color w:val="auto"/>
        </w:rPr>
        <w:t xml:space="preserve"> </w:t>
      </w:r>
      <w:r w:rsidRPr="002029AF">
        <w:rPr>
          <w:color w:val="auto"/>
        </w:rPr>
        <w:t>with</w:t>
      </w:r>
      <w:r w:rsidR="000A5329" w:rsidRPr="002029AF">
        <w:rPr>
          <w:color w:val="auto"/>
        </w:rPr>
        <w:t xml:space="preserve"> </w:t>
      </w:r>
      <w:r w:rsidRPr="002029AF">
        <w:rPr>
          <w:color w:val="auto"/>
        </w:rPr>
        <w:t>three</w:t>
      </w:r>
      <w:r w:rsidR="000A5329" w:rsidRPr="002029AF">
        <w:rPr>
          <w:color w:val="auto"/>
        </w:rPr>
        <w:t xml:space="preserve"> </w:t>
      </w:r>
      <w:r w:rsidRPr="002029AF">
        <w:rPr>
          <w:color w:val="auto"/>
        </w:rPr>
        <w:t>private</w:t>
      </w:r>
      <w:r w:rsidR="000A5329" w:rsidRPr="002029AF">
        <w:rPr>
          <w:color w:val="auto"/>
        </w:rPr>
        <w:t xml:space="preserve"> </w:t>
      </w:r>
      <w:r w:rsidRPr="002029AF">
        <w:rPr>
          <w:color w:val="auto"/>
        </w:rPr>
        <w:t>hospitals</w:t>
      </w:r>
      <w:r w:rsidR="000A5329" w:rsidRPr="002029AF">
        <w:rPr>
          <w:color w:val="auto"/>
        </w:rPr>
        <w:t xml:space="preserve"> </w:t>
      </w:r>
      <w:r w:rsidRPr="002029AF">
        <w:rPr>
          <w:color w:val="auto"/>
        </w:rPr>
        <w:t>and</w:t>
      </w:r>
      <w:r w:rsidR="000A5329" w:rsidRPr="002029AF">
        <w:rPr>
          <w:color w:val="auto"/>
        </w:rPr>
        <w:t xml:space="preserve"> </w:t>
      </w:r>
      <w:r w:rsidRPr="002029AF">
        <w:rPr>
          <w:color w:val="auto"/>
        </w:rPr>
        <w:t>other</w:t>
      </w:r>
      <w:r w:rsidR="000A5329" w:rsidRPr="002029AF">
        <w:rPr>
          <w:color w:val="auto"/>
        </w:rPr>
        <w:t xml:space="preserve"> </w:t>
      </w:r>
      <w:r w:rsidRPr="002029AF">
        <w:rPr>
          <w:color w:val="auto"/>
        </w:rPr>
        <w:t>non-public</w:t>
      </w:r>
      <w:r w:rsidR="000A5329" w:rsidRPr="002029AF">
        <w:rPr>
          <w:color w:val="auto"/>
        </w:rPr>
        <w:t xml:space="preserve"> </w:t>
      </w:r>
      <w:r w:rsidRPr="002029AF">
        <w:rPr>
          <w:color w:val="auto"/>
        </w:rPr>
        <w:t>entities,</w:t>
      </w:r>
      <w:r w:rsidR="000A5329" w:rsidRPr="002029AF">
        <w:rPr>
          <w:color w:val="auto"/>
        </w:rPr>
        <w:t xml:space="preserve"> </w:t>
      </w:r>
      <w:r w:rsidRPr="002029AF">
        <w:rPr>
          <w:color w:val="auto"/>
        </w:rPr>
        <w:t>where</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private</w:t>
      </w:r>
      <w:r w:rsidR="000A5329" w:rsidRPr="002029AF">
        <w:rPr>
          <w:color w:val="auto"/>
        </w:rPr>
        <w:t xml:space="preserve"> </w:t>
      </w:r>
      <w:r w:rsidRPr="002029AF">
        <w:rPr>
          <w:color w:val="auto"/>
        </w:rPr>
        <w:t>hospitals</w:t>
      </w:r>
      <w:r w:rsidR="000A5329" w:rsidRPr="002029AF">
        <w:rPr>
          <w:color w:val="auto"/>
        </w:rPr>
        <w:t xml:space="preserve"> </w:t>
      </w:r>
      <w:r w:rsidRPr="002029AF">
        <w:rPr>
          <w:color w:val="auto"/>
        </w:rPr>
        <w:t>and</w:t>
      </w:r>
      <w:r w:rsidR="000A5329" w:rsidRPr="002029AF">
        <w:rPr>
          <w:color w:val="auto"/>
        </w:rPr>
        <w:t xml:space="preserve"> </w:t>
      </w:r>
      <w:r w:rsidRPr="002029AF">
        <w:rPr>
          <w:color w:val="auto"/>
        </w:rPr>
        <w:t>non-public</w:t>
      </w:r>
      <w:r w:rsidR="000A5329" w:rsidRPr="002029AF">
        <w:rPr>
          <w:color w:val="auto"/>
        </w:rPr>
        <w:t xml:space="preserve"> </w:t>
      </w:r>
      <w:r w:rsidRPr="002029AF">
        <w:rPr>
          <w:color w:val="auto"/>
        </w:rPr>
        <w:t>entities</w:t>
      </w:r>
      <w:r w:rsidR="000A5329" w:rsidRPr="002029AF">
        <w:rPr>
          <w:color w:val="auto"/>
        </w:rPr>
        <w:t xml:space="preserve"> </w:t>
      </w:r>
      <w:r w:rsidRPr="002029AF">
        <w:rPr>
          <w:color w:val="auto"/>
        </w:rPr>
        <w:t>operate</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department-owned</w:t>
      </w:r>
      <w:r w:rsidR="000A5329" w:rsidRPr="002029AF">
        <w:rPr>
          <w:color w:val="auto"/>
        </w:rPr>
        <w:t xml:space="preserve"> </w:t>
      </w:r>
      <w:r w:rsidRPr="002029AF">
        <w:rPr>
          <w:color w:val="auto"/>
        </w:rPr>
        <w:t>assets</w:t>
      </w:r>
      <w:r w:rsidR="000A5329" w:rsidRPr="002029AF">
        <w:rPr>
          <w:color w:val="auto"/>
        </w:rPr>
        <w:t xml:space="preserve"> </w:t>
      </w:r>
      <w:r w:rsidRPr="002029AF">
        <w:rPr>
          <w:color w:val="auto"/>
        </w:rPr>
        <w:t>including</w:t>
      </w:r>
      <w:r w:rsidR="000A5329" w:rsidRPr="002029AF">
        <w:rPr>
          <w:color w:val="auto"/>
        </w:rPr>
        <w:t xml:space="preserve"> </w:t>
      </w:r>
      <w:r w:rsidRPr="002029AF">
        <w:rPr>
          <w:color w:val="auto"/>
        </w:rPr>
        <w:t>land,</w:t>
      </w:r>
      <w:r w:rsidR="000A5329" w:rsidRPr="002029AF">
        <w:rPr>
          <w:color w:val="auto"/>
        </w:rPr>
        <w:t xml:space="preserve"> </w:t>
      </w:r>
      <w:r w:rsidRPr="002029AF">
        <w:rPr>
          <w:color w:val="auto"/>
        </w:rPr>
        <w:t>buildings</w:t>
      </w:r>
      <w:r w:rsidR="000A5329" w:rsidRPr="002029AF">
        <w:rPr>
          <w:color w:val="auto"/>
        </w:rPr>
        <w:t xml:space="preserve"> </w:t>
      </w:r>
      <w:r w:rsidRPr="002029AF">
        <w:rPr>
          <w:color w:val="auto"/>
        </w:rPr>
        <w:t>and</w:t>
      </w:r>
      <w:r w:rsidR="000A5329" w:rsidRPr="002029AF">
        <w:rPr>
          <w:color w:val="auto"/>
        </w:rPr>
        <w:t xml:space="preserve"> </w:t>
      </w:r>
      <w:r w:rsidRPr="002029AF">
        <w:rPr>
          <w:color w:val="auto"/>
        </w:rPr>
        <w:t>equipment</w:t>
      </w:r>
      <w:r w:rsidR="000A5329" w:rsidRPr="002029AF">
        <w:rPr>
          <w:color w:val="auto"/>
        </w:rPr>
        <w:t xml:space="preserve"> </w:t>
      </w:r>
      <w:r w:rsidRPr="002029AF">
        <w:rPr>
          <w:color w:val="auto"/>
        </w:rPr>
        <w:t>to</w:t>
      </w:r>
      <w:r w:rsidR="000A5329" w:rsidRPr="002029AF">
        <w:rPr>
          <w:color w:val="auto"/>
        </w:rPr>
        <w:t xml:space="preserve"> </w:t>
      </w:r>
      <w:r w:rsidRPr="002029AF">
        <w:rPr>
          <w:color w:val="auto"/>
        </w:rPr>
        <w:t>deliver</w:t>
      </w:r>
      <w:r w:rsidR="000A5329" w:rsidRPr="002029AF">
        <w:rPr>
          <w:color w:val="auto"/>
        </w:rPr>
        <w:t xml:space="preserve"> </w:t>
      </w:r>
      <w:r w:rsidRPr="002029AF">
        <w:rPr>
          <w:color w:val="auto"/>
        </w:rPr>
        <w:t>health</w:t>
      </w:r>
      <w:r w:rsidR="000A5329" w:rsidRPr="002029AF">
        <w:rPr>
          <w:color w:val="auto"/>
        </w:rPr>
        <w:t xml:space="preserve"> </w:t>
      </w:r>
      <w:r w:rsidRPr="002029AF">
        <w:rPr>
          <w:color w:val="auto"/>
        </w:rPr>
        <w:t>services</w:t>
      </w:r>
      <w:r w:rsidR="000A5329" w:rsidRPr="002029AF">
        <w:rPr>
          <w:color w:val="auto"/>
        </w:rPr>
        <w:t xml:space="preserve"> </w:t>
      </w:r>
      <w:r w:rsidRPr="002029AF">
        <w:rPr>
          <w:color w:val="auto"/>
        </w:rPr>
        <w:t>to</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general</w:t>
      </w:r>
      <w:r w:rsidR="000A5329" w:rsidRPr="002029AF">
        <w:rPr>
          <w:color w:val="auto"/>
        </w:rPr>
        <w:t xml:space="preserve"> </w:t>
      </w:r>
      <w:r w:rsidRPr="002029AF">
        <w:rPr>
          <w:color w:val="auto"/>
        </w:rPr>
        <w:t>public.</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department</w:t>
      </w:r>
      <w:r w:rsidR="000A5329" w:rsidRPr="002029AF">
        <w:rPr>
          <w:color w:val="auto"/>
        </w:rPr>
        <w:t xml:space="preserve"> </w:t>
      </w:r>
      <w:r w:rsidRPr="002029AF">
        <w:rPr>
          <w:color w:val="auto"/>
        </w:rPr>
        <w:t>maintains</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ownership</w:t>
      </w:r>
      <w:r w:rsidR="000A5329" w:rsidRPr="002029AF">
        <w:rPr>
          <w:color w:val="auto"/>
        </w:rPr>
        <w:t xml:space="preserve"> </w:t>
      </w:r>
      <w:r w:rsidRPr="002029AF">
        <w:rPr>
          <w:color w:val="auto"/>
        </w:rPr>
        <w:t>and</w:t>
      </w:r>
      <w:r w:rsidR="000A5329" w:rsidRPr="002029AF">
        <w:rPr>
          <w:color w:val="auto"/>
        </w:rPr>
        <w:t xml:space="preserve"> </w:t>
      </w:r>
      <w:r w:rsidRPr="002029AF">
        <w:rPr>
          <w:color w:val="auto"/>
        </w:rPr>
        <w:t>control</w:t>
      </w:r>
      <w:r w:rsidR="000A5329" w:rsidRPr="002029AF">
        <w:rPr>
          <w:color w:val="auto"/>
        </w:rPr>
        <w:t xml:space="preserve"> </w:t>
      </w:r>
      <w:r w:rsidRPr="002029AF">
        <w:rPr>
          <w:color w:val="auto"/>
        </w:rPr>
        <w:t>of</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assets</w:t>
      </w:r>
      <w:r w:rsidR="000A5329" w:rsidRPr="002029AF">
        <w:rPr>
          <w:color w:val="auto"/>
        </w:rPr>
        <w:t xml:space="preserve"> </w:t>
      </w:r>
      <w:r w:rsidRPr="002029AF">
        <w:rPr>
          <w:color w:val="auto"/>
        </w:rPr>
        <w:t>throughout</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arrangements</w:t>
      </w:r>
      <w:r w:rsidR="000A5329" w:rsidRPr="002029AF">
        <w:rPr>
          <w:color w:val="auto"/>
        </w:rPr>
        <w:t xml:space="preserve"> </w:t>
      </w:r>
      <w:r w:rsidRPr="002029AF">
        <w:rPr>
          <w:color w:val="auto"/>
        </w:rPr>
        <w:t>and</w:t>
      </w:r>
      <w:r w:rsidR="000A5329" w:rsidRPr="002029AF">
        <w:rPr>
          <w:color w:val="auto"/>
        </w:rPr>
        <w:t xml:space="preserve"> </w:t>
      </w:r>
      <w:r w:rsidRPr="002029AF">
        <w:rPr>
          <w:color w:val="auto"/>
        </w:rPr>
        <w:t>does</w:t>
      </w:r>
      <w:r w:rsidR="000A5329" w:rsidRPr="002029AF">
        <w:rPr>
          <w:color w:val="auto"/>
        </w:rPr>
        <w:t xml:space="preserve"> </w:t>
      </w:r>
      <w:r w:rsidRPr="002029AF">
        <w:rPr>
          <w:color w:val="auto"/>
        </w:rPr>
        <w:t>not</w:t>
      </w:r>
      <w:r w:rsidR="000A5329" w:rsidRPr="002029AF">
        <w:rPr>
          <w:color w:val="auto"/>
        </w:rPr>
        <w:t xml:space="preserve"> </w:t>
      </w:r>
      <w:r w:rsidRPr="002029AF">
        <w:rPr>
          <w:color w:val="auto"/>
        </w:rPr>
        <w:t>incur</w:t>
      </w:r>
      <w:r w:rsidR="000A5329" w:rsidRPr="002029AF">
        <w:rPr>
          <w:color w:val="auto"/>
        </w:rPr>
        <w:t xml:space="preserve"> </w:t>
      </w:r>
      <w:r w:rsidRPr="002029AF">
        <w:rPr>
          <w:color w:val="auto"/>
        </w:rPr>
        <w:t>any</w:t>
      </w:r>
      <w:r w:rsidR="00020FE5">
        <w:rPr>
          <w:color w:val="auto"/>
        </w:rPr>
        <w:t> </w:t>
      </w:r>
      <w:r w:rsidRPr="002029AF">
        <w:rPr>
          <w:color w:val="auto"/>
        </w:rPr>
        <w:t>related</w:t>
      </w:r>
      <w:r w:rsidR="000A5329" w:rsidRPr="002029AF">
        <w:rPr>
          <w:color w:val="auto"/>
        </w:rPr>
        <w:t xml:space="preserve"> </w:t>
      </w:r>
      <w:r w:rsidRPr="002029AF">
        <w:rPr>
          <w:color w:val="auto"/>
        </w:rPr>
        <w:t>liability.</w:t>
      </w:r>
    </w:p>
    <w:p w14:paraId="6C12B478" w14:textId="42FFCAD5" w:rsidR="00087B91" w:rsidRPr="002029AF" w:rsidRDefault="00087B91" w:rsidP="00087B91">
      <w:pPr>
        <w:pStyle w:val="ARfinbody"/>
        <w:rPr>
          <w:color w:val="auto"/>
          <w:highlight w:val="yellow"/>
        </w:rPr>
      </w:pPr>
      <w:r w:rsidRPr="002029AF">
        <w:rPr>
          <w:color w:val="auto"/>
        </w:rPr>
        <w:t>Prior</w:t>
      </w:r>
      <w:r w:rsidR="000A5329" w:rsidRPr="002029AF">
        <w:rPr>
          <w:color w:val="auto"/>
        </w:rPr>
        <w:t xml:space="preserve"> </w:t>
      </w:r>
      <w:r w:rsidRPr="002029AF">
        <w:rPr>
          <w:color w:val="auto"/>
        </w:rPr>
        <w:t>to</w:t>
      </w:r>
      <w:r w:rsidR="000A5329" w:rsidRPr="002029AF">
        <w:rPr>
          <w:color w:val="auto"/>
        </w:rPr>
        <w:t xml:space="preserve"> </w:t>
      </w:r>
      <w:r w:rsidRPr="002029AF">
        <w:rPr>
          <w:color w:val="auto"/>
        </w:rPr>
        <w:t>AASB</w:t>
      </w:r>
      <w:r w:rsidR="000A5329" w:rsidRPr="002029AF">
        <w:rPr>
          <w:color w:val="auto"/>
        </w:rPr>
        <w:t xml:space="preserve"> </w:t>
      </w:r>
      <w:r w:rsidRPr="002029AF">
        <w:rPr>
          <w:color w:val="auto"/>
        </w:rPr>
        <w:t>1059,</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assets</w:t>
      </w:r>
      <w:r w:rsidR="000A5329" w:rsidRPr="002029AF">
        <w:rPr>
          <w:color w:val="auto"/>
        </w:rPr>
        <w:t xml:space="preserve"> </w:t>
      </w:r>
      <w:r w:rsidRPr="002029AF">
        <w:rPr>
          <w:color w:val="auto"/>
        </w:rPr>
        <w:t>were</w:t>
      </w:r>
      <w:r w:rsidR="000A5329" w:rsidRPr="002029AF">
        <w:rPr>
          <w:color w:val="auto"/>
        </w:rPr>
        <w:t xml:space="preserve"> </w:t>
      </w:r>
      <w:r w:rsidRPr="002029AF">
        <w:rPr>
          <w:color w:val="auto"/>
        </w:rPr>
        <w:t>recognised</w:t>
      </w:r>
      <w:r w:rsidR="000A5329" w:rsidRPr="002029AF">
        <w:rPr>
          <w:color w:val="auto"/>
        </w:rPr>
        <w:t xml:space="preserve"> </w:t>
      </w:r>
      <w:r w:rsidRPr="002029AF">
        <w:rPr>
          <w:color w:val="auto"/>
        </w:rPr>
        <w:t>as</w:t>
      </w:r>
      <w:r w:rsidR="000A5329" w:rsidRPr="002029AF">
        <w:rPr>
          <w:color w:val="auto"/>
        </w:rPr>
        <w:t xml:space="preserve"> </w:t>
      </w:r>
      <w:r w:rsidRPr="002029AF">
        <w:rPr>
          <w:color w:val="auto"/>
        </w:rPr>
        <w:t>property,</w:t>
      </w:r>
      <w:r w:rsidR="000A5329" w:rsidRPr="002029AF">
        <w:rPr>
          <w:color w:val="auto"/>
        </w:rPr>
        <w:t xml:space="preserve"> </w:t>
      </w:r>
      <w:r w:rsidRPr="002029AF">
        <w:rPr>
          <w:color w:val="auto"/>
        </w:rPr>
        <w:t>plant</w:t>
      </w:r>
      <w:r w:rsidR="000A5329" w:rsidRPr="002029AF">
        <w:rPr>
          <w:color w:val="auto"/>
        </w:rPr>
        <w:t xml:space="preserve"> </w:t>
      </w:r>
      <w:r w:rsidRPr="002029AF">
        <w:rPr>
          <w:color w:val="auto"/>
        </w:rPr>
        <w:t>and</w:t>
      </w:r>
      <w:r w:rsidR="000A5329" w:rsidRPr="002029AF">
        <w:rPr>
          <w:color w:val="auto"/>
        </w:rPr>
        <w:t xml:space="preserve"> </w:t>
      </w:r>
      <w:r w:rsidRPr="002029AF">
        <w:rPr>
          <w:color w:val="auto"/>
        </w:rPr>
        <w:t>equipment</w:t>
      </w:r>
      <w:r w:rsidR="000A5329" w:rsidRPr="002029AF">
        <w:rPr>
          <w:color w:val="auto"/>
        </w:rPr>
        <w:t xml:space="preserve"> </w:t>
      </w:r>
      <w:r w:rsidRPr="002029AF">
        <w:rPr>
          <w:color w:val="auto"/>
        </w:rPr>
        <w:t>assets</w:t>
      </w:r>
      <w:r w:rsidR="000A5329" w:rsidRPr="002029AF">
        <w:rPr>
          <w:color w:val="auto"/>
        </w:rPr>
        <w:t xml:space="preserve"> </w:t>
      </w:r>
      <w:r w:rsidRPr="002029AF">
        <w:rPr>
          <w:color w:val="auto"/>
        </w:rPr>
        <w:t>in</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financial</w:t>
      </w:r>
      <w:r w:rsidR="000A5329" w:rsidRPr="002029AF">
        <w:rPr>
          <w:color w:val="auto"/>
        </w:rPr>
        <w:t xml:space="preserve"> </w:t>
      </w:r>
      <w:r w:rsidRPr="002029AF">
        <w:rPr>
          <w:color w:val="auto"/>
        </w:rPr>
        <w:t>statements.</w:t>
      </w:r>
      <w:r w:rsidR="000A5329" w:rsidRPr="002029AF">
        <w:rPr>
          <w:color w:val="auto"/>
        </w:rPr>
        <w:t xml:space="preserve"> </w:t>
      </w:r>
      <w:r w:rsidRPr="002029AF">
        <w:rPr>
          <w:color w:val="auto"/>
        </w:rPr>
        <w:t>In</w:t>
      </w:r>
      <w:r w:rsidR="000A5329" w:rsidRPr="002029AF">
        <w:rPr>
          <w:color w:val="auto"/>
        </w:rPr>
        <w:t xml:space="preserve"> </w:t>
      </w:r>
      <w:r w:rsidRPr="002029AF">
        <w:rPr>
          <w:color w:val="auto"/>
        </w:rPr>
        <w:t>applying</w:t>
      </w:r>
      <w:r w:rsidR="000A5329" w:rsidRPr="002029AF">
        <w:rPr>
          <w:color w:val="auto"/>
        </w:rPr>
        <w:t xml:space="preserve"> </w:t>
      </w:r>
      <w:r w:rsidRPr="002029AF">
        <w:rPr>
          <w:color w:val="auto"/>
        </w:rPr>
        <w:t>AASB</w:t>
      </w:r>
      <w:r w:rsidR="000A5329" w:rsidRPr="002029AF">
        <w:rPr>
          <w:color w:val="auto"/>
        </w:rPr>
        <w:t xml:space="preserve"> </w:t>
      </w:r>
      <w:r w:rsidRPr="002029AF">
        <w:rPr>
          <w:color w:val="auto"/>
        </w:rPr>
        <w:t>1059,</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assets</w:t>
      </w:r>
      <w:r w:rsidR="000A5329" w:rsidRPr="002029AF">
        <w:rPr>
          <w:color w:val="auto"/>
        </w:rPr>
        <w:t xml:space="preserve"> </w:t>
      </w:r>
      <w:r w:rsidRPr="002029AF">
        <w:rPr>
          <w:color w:val="auto"/>
        </w:rPr>
        <w:t>have</w:t>
      </w:r>
      <w:r w:rsidR="000A5329" w:rsidRPr="002029AF">
        <w:rPr>
          <w:color w:val="auto"/>
        </w:rPr>
        <w:t xml:space="preserve"> </w:t>
      </w:r>
      <w:r w:rsidRPr="002029AF">
        <w:rPr>
          <w:color w:val="auto"/>
        </w:rPr>
        <w:t>been</w:t>
      </w:r>
      <w:r w:rsidR="000A5329" w:rsidRPr="002029AF">
        <w:rPr>
          <w:color w:val="auto"/>
        </w:rPr>
        <w:t xml:space="preserve"> </w:t>
      </w:r>
      <w:r w:rsidRPr="002029AF">
        <w:rPr>
          <w:color w:val="auto"/>
        </w:rPr>
        <w:t>reclassified</w:t>
      </w:r>
      <w:r w:rsidR="000A5329" w:rsidRPr="002029AF">
        <w:rPr>
          <w:color w:val="auto"/>
        </w:rPr>
        <w:t xml:space="preserve"> </w:t>
      </w:r>
      <w:r w:rsidRPr="002029AF">
        <w:rPr>
          <w:color w:val="auto"/>
        </w:rPr>
        <w:t>as</w:t>
      </w:r>
      <w:r w:rsidR="000A5329" w:rsidRPr="002029AF">
        <w:rPr>
          <w:color w:val="auto"/>
        </w:rPr>
        <w:t xml:space="preserve"> </w:t>
      </w:r>
      <w:r w:rsidRPr="002029AF">
        <w:rPr>
          <w:color w:val="auto"/>
        </w:rPr>
        <w:t>service</w:t>
      </w:r>
      <w:r w:rsidR="000A5329" w:rsidRPr="002029AF">
        <w:rPr>
          <w:color w:val="auto"/>
        </w:rPr>
        <w:t xml:space="preserve"> </w:t>
      </w:r>
      <w:r w:rsidRPr="002029AF">
        <w:rPr>
          <w:color w:val="auto"/>
        </w:rPr>
        <w:t>concession</w:t>
      </w:r>
      <w:r w:rsidR="000A5329" w:rsidRPr="002029AF">
        <w:rPr>
          <w:color w:val="auto"/>
        </w:rPr>
        <w:t xml:space="preserve"> </w:t>
      </w:r>
      <w:r w:rsidRPr="002029AF">
        <w:rPr>
          <w:color w:val="auto"/>
        </w:rPr>
        <w:t>assets</w:t>
      </w:r>
      <w:r w:rsidR="000A5329" w:rsidRPr="002029AF">
        <w:rPr>
          <w:color w:val="auto"/>
        </w:rPr>
        <w:t xml:space="preserve"> </w:t>
      </w:r>
      <w:r w:rsidRPr="002029AF">
        <w:rPr>
          <w:color w:val="auto"/>
        </w:rPr>
        <w:t>within</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same</w:t>
      </w:r>
      <w:r w:rsidR="000A5329" w:rsidRPr="002029AF">
        <w:rPr>
          <w:color w:val="auto"/>
        </w:rPr>
        <w:t xml:space="preserve"> </w:t>
      </w:r>
      <w:r w:rsidRPr="002029AF">
        <w:rPr>
          <w:color w:val="auto"/>
        </w:rPr>
        <w:t>property,</w:t>
      </w:r>
      <w:r w:rsidR="000A5329" w:rsidRPr="002029AF">
        <w:rPr>
          <w:color w:val="auto"/>
        </w:rPr>
        <w:t xml:space="preserve"> </w:t>
      </w:r>
      <w:r w:rsidRPr="002029AF">
        <w:rPr>
          <w:color w:val="auto"/>
        </w:rPr>
        <w:t>plant</w:t>
      </w:r>
      <w:r w:rsidR="000A5329" w:rsidRPr="002029AF">
        <w:rPr>
          <w:color w:val="auto"/>
        </w:rPr>
        <w:t xml:space="preserve"> </w:t>
      </w:r>
      <w:r w:rsidRPr="002029AF">
        <w:rPr>
          <w:color w:val="auto"/>
        </w:rPr>
        <w:t>and</w:t>
      </w:r>
      <w:r w:rsidR="000A5329" w:rsidRPr="002029AF">
        <w:rPr>
          <w:color w:val="auto"/>
        </w:rPr>
        <w:t xml:space="preserve"> </w:t>
      </w:r>
      <w:r w:rsidRPr="002029AF">
        <w:rPr>
          <w:color w:val="auto"/>
        </w:rPr>
        <w:t>equipment</w:t>
      </w:r>
      <w:r w:rsidR="000A5329" w:rsidRPr="002029AF">
        <w:rPr>
          <w:color w:val="auto"/>
        </w:rPr>
        <w:t xml:space="preserve"> </w:t>
      </w:r>
      <w:r w:rsidRPr="002029AF">
        <w:rPr>
          <w:color w:val="auto"/>
        </w:rPr>
        <w:t>asset</w:t>
      </w:r>
      <w:r w:rsidR="000A5329" w:rsidRPr="002029AF">
        <w:rPr>
          <w:color w:val="auto"/>
        </w:rPr>
        <w:t xml:space="preserve"> </w:t>
      </w:r>
      <w:r w:rsidRPr="002029AF">
        <w:rPr>
          <w:color w:val="auto"/>
        </w:rPr>
        <w:t>class.</w:t>
      </w:r>
      <w:r w:rsidR="000A5329" w:rsidRPr="002029AF">
        <w:rPr>
          <w:color w:val="auto"/>
        </w:rPr>
        <w:t xml:space="preserve"> </w:t>
      </w:r>
      <w:r w:rsidRPr="002029AF">
        <w:rPr>
          <w:color w:val="auto"/>
        </w:rPr>
        <w:t>As</w:t>
      </w:r>
      <w:r w:rsidR="000A5329" w:rsidRPr="002029AF">
        <w:rPr>
          <w:color w:val="auto"/>
        </w:rPr>
        <w:t xml:space="preserve"> </w:t>
      </w:r>
      <w:r w:rsidRPr="002029AF">
        <w:rPr>
          <w:color w:val="auto"/>
        </w:rPr>
        <w:t>a</w:t>
      </w:r>
      <w:r w:rsidR="000A5329" w:rsidRPr="002029AF">
        <w:rPr>
          <w:color w:val="auto"/>
        </w:rPr>
        <w:t xml:space="preserve"> </w:t>
      </w:r>
      <w:r w:rsidRPr="002029AF">
        <w:rPr>
          <w:color w:val="auto"/>
        </w:rPr>
        <w:t>result,</w:t>
      </w:r>
      <w:r w:rsidR="000A5329" w:rsidRPr="002029AF">
        <w:rPr>
          <w:color w:val="auto"/>
        </w:rPr>
        <w:t xml:space="preserve"> </w:t>
      </w:r>
      <w:r w:rsidRPr="002029AF">
        <w:rPr>
          <w:color w:val="auto"/>
        </w:rPr>
        <w:t>there</w:t>
      </w:r>
      <w:r w:rsidR="000A5329" w:rsidRPr="002029AF">
        <w:rPr>
          <w:color w:val="auto"/>
        </w:rPr>
        <w:t xml:space="preserve"> </w:t>
      </w:r>
      <w:r w:rsidRPr="002029AF">
        <w:rPr>
          <w:color w:val="auto"/>
        </w:rPr>
        <w:t>is</w:t>
      </w:r>
      <w:r w:rsidR="000A5329" w:rsidRPr="002029AF">
        <w:rPr>
          <w:color w:val="auto"/>
        </w:rPr>
        <w:t xml:space="preserve"> </w:t>
      </w:r>
      <w:r w:rsidRPr="002029AF">
        <w:rPr>
          <w:color w:val="auto"/>
        </w:rPr>
        <w:t>no</w:t>
      </w:r>
      <w:r w:rsidR="000A5329" w:rsidRPr="002029AF">
        <w:rPr>
          <w:color w:val="auto"/>
        </w:rPr>
        <w:t xml:space="preserve"> </w:t>
      </w:r>
      <w:r w:rsidRPr="002029AF">
        <w:rPr>
          <w:color w:val="auto"/>
        </w:rPr>
        <w:t>net</w:t>
      </w:r>
      <w:r w:rsidR="000A5329" w:rsidRPr="002029AF">
        <w:rPr>
          <w:color w:val="auto"/>
        </w:rPr>
        <w:t xml:space="preserve"> </w:t>
      </w:r>
      <w:r w:rsidRPr="002029AF">
        <w:rPr>
          <w:color w:val="auto"/>
        </w:rPr>
        <w:t>impact</w:t>
      </w:r>
      <w:r w:rsidR="000A5329" w:rsidRPr="002029AF">
        <w:rPr>
          <w:color w:val="auto"/>
        </w:rPr>
        <w:t xml:space="preserve"> </w:t>
      </w:r>
      <w:r w:rsidRPr="002029AF">
        <w:rPr>
          <w:color w:val="auto"/>
        </w:rPr>
        <w:t>to</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comprehensive</w:t>
      </w:r>
      <w:r w:rsidR="000A5329" w:rsidRPr="002029AF">
        <w:rPr>
          <w:color w:val="auto"/>
        </w:rPr>
        <w:t xml:space="preserve"> </w:t>
      </w:r>
      <w:r w:rsidRPr="002029AF">
        <w:rPr>
          <w:color w:val="auto"/>
        </w:rPr>
        <w:t>operating</w:t>
      </w:r>
      <w:r w:rsidR="000A5329" w:rsidRPr="002029AF">
        <w:rPr>
          <w:color w:val="auto"/>
        </w:rPr>
        <w:t xml:space="preserve"> </w:t>
      </w:r>
      <w:r w:rsidRPr="002029AF">
        <w:rPr>
          <w:color w:val="auto"/>
        </w:rPr>
        <w:t>statement</w:t>
      </w:r>
      <w:r w:rsidR="000A5329" w:rsidRPr="002029AF">
        <w:rPr>
          <w:color w:val="auto"/>
        </w:rPr>
        <w:t xml:space="preserve"> </w:t>
      </w:r>
      <w:r w:rsidRPr="002029AF">
        <w:rPr>
          <w:color w:val="auto"/>
        </w:rPr>
        <w:t>and</w:t>
      </w:r>
      <w:r w:rsidR="000A5329" w:rsidRPr="002029AF">
        <w:rPr>
          <w:color w:val="auto"/>
        </w:rPr>
        <w:t xml:space="preserve"> </w:t>
      </w:r>
      <w:r w:rsidRPr="002029AF">
        <w:rPr>
          <w:color w:val="auto"/>
        </w:rPr>
        <w:t>balance</w:t>
      </w:r>
      <w:r w:rsidR="000A5329" w:rsidRPr="002029AF">
        <w:rPr>
          <w:color w:val="auto"/>
        </w:rPr>
        <w:t xml:space="preserve"> </w:t>
      </w:r>
      <w:r w:rsidRPr="002029AF">
        <w:rPr>
          <w:color w:val="auto"/>
        </w:rPr>
        <w:t>sheet.</w:t>
      </w:r>
    </w:p>
    <w:p w14:paraId="24A243C6" w14:textId="6774BB10" w:rsidR="00087B91" w:rsidRPr="002029AF" w:rsidRDefault="00087B91" w:rsidP="00087B91">
      <w:pPr>
        <w:pStyle w:val="ARfinbody"/>
      </w:pPr>
      <w:r w:rsidRPr="002029AF">
        <w:t>A</w:t>
      </w:r>
      <w:r w:rsidR="000A5329" w:rsidRPr="002029AF">
        <w:t xml:space="preserve"> </w:t>
      </w:r>
      <w:r w:rsidRPr="002029AF">
        <w:t>summary</w:t>
      </w:r>
      <w:r w:rsidR="000A5329" w:rsidRPr="002029AF">
        <w:t xml:space="preserve"> </w:t>
      </w:r>
      <w:r w:rsidRPr="002029AF">
        <w:t>of</w:t>
      </w:r>
      <w:r w:rsidR="000A5329" w:rsidRPr="002029AF">
        <w:t xml:space="preserve"> </w:t>
      </w:r>
      <w:r w:rsidRPr="002029AF">
        <w:t>the</w:t>
      </w:r>
      <w:r w:rsidR="000A5329" w:rsidRPr="002029AF">
        <w:t xml:space="preserve"> </w:t>
      </w:r>
      <w:r w:rsidRPr="002029AF">
        <w:t>impact</w:t>
      </w:r>
      <w:r w:rsidR="000A5329" w:rsidRPr="002029AF">
        <w:t xml:space="preserve"> </w:t>
      </w:r>
      <w:r w:rsidRPr="002029AF">
        <w:t>of</w:t>
      </w:r>
      <w:r w:rsidR="000A5329" w:rsidRPr="002029AF">
        <w:t xml:space="preserve"> </w:t>
      </w:r>
      <w:r w:rsidRPr="002029AF">
        <w:t>the</w:t>
      </w:r>
      <w:r w:rsidR="000A5329" w:rsidRPr="002029AF">
        <w:t xml:space="preserve"> </w:t>
      </w:r>
      <w:r w:rsidRPr="002029AF">
        <w:t>application</w:t>
      </w:r>
      <w:r w:rsidR="000A5329" w:rsidRPr="002029AF">
        <w:t xml:space="preserve"> </w:t>
      </w:r>
      <w:r w:rsidRPr="002029AF">
        <w:t>of</w:t>
      </w:r>
      <w:r w:rsidR="000A5329" w:rsidRPr="002029AF">
        <w:t xml:space="preserve"> </w:t>
      </w:r>
      <w:r w:rsidRPr="002029AF">
        <w:t>AASB</w:t>
      </w:r>
      <w:r w:rsidR="000A5329" w:rsidRPr="002029AF">
        <w:t xml:space="preserve"> </w:t>
      </w:r>
      <w:r w:rsidRPr="002029AF">
        <w:t>1059,</w:t>
      </w:r>
      <w:r w:rsidR="000A5329" w:rsidRPr="002029AF">
        <w:t xml:space="preserve"> </w:t>
      </w:r>
      <w:r w:rsidRPr="002029AF">
        <w:t>is</w:t>
      </w:r>
      <w:r w:rsidR="000A5329" w:rsidRPr="002029AF">
        <w:t xml:space="preserve"> </w:t>
      </w:r>
      <w:r w:rsidRPr="002029AF">
        <w:t>included</w:t>
      </w:r>
      <w:r w:rsidR="000A5329" w:rsidRPr="002029AF">
        <w:t xml:space="preserve"> </w:t>
      </w:r>
      <w:r w:rsidRPr="002029AF">
        <w:t>below.</w:t>
      </w:r>
      <w:r w:rsidR="000A5329" w:rsidRPr="002029AF">
        <w:t xml:space="preserve"> </w:t>
      </w:r>
      <w:r w:rsidRPr="002029AF">
        <w:t>The</w:t>
      </w:r>
      <w:r w:rsidR="000A5329" w:rsidRPr="002029AF">
        <w:t xml:space="preserve"> </w:t>
      </w:r>
      <w:r w:rsidRPr="002029AF">
        <w:t>adoption</w:t>
      </w:r>
      <w:r w:rsidR="000A5329" w:rsidRPr="002029AF">
        <w:t xml:space="preserve"> </w:t>
      </w:r>
      <w:r w:rsidRPr="002029AF">
        <w:t>of</w:t>
      </w:r>
      <w:r w:rsidR="000A5329" w:rsidRPr="002029AF">
        <w:t xml:space="preserve"> </w:t>
      </w:r>
      <w:r w:rsidRPr="002029AF">
        <w:t>AASB</w:t>
      </w:r>
      <w:r w:rsidR="000A5329" w:rsidRPr="002029AF">
        <w:t xml:space="preserve"> </w:t>
      </w:r>
      <w:r w:rsidRPr="002029AF">
        <w:t>1059</w:t>
      </w:r>
      <w:r w:rsidR="000A5329" w:rsidRPr="002029AF">
        <w:t xml:space="preserve"> </w:t>
      </w:r>
      <w:r w:rsidRPr="002029AF">
        <w:t>does</w:t>
      </w:r>
      <w:r w:rsidR="000A5329" w:rsidRPr="002029AF">
        <w:t xml:space="preserve"> </w:t>
      </w:r>
      <w:r w:rsidRPr="002029AF">
        <w:t>not</w:t>
      </w:r>
      <w:r w:rsidR="000A5329" w:rsidRPr="002029AF">
        <w:t xml:space="preserve"> </w:t>
      </w:r>
      <w:r w:rsidRPr="002029AF">
        <w:t>have</w:t>
      </w:r>
      <w:r w:rsidR="000A5329" w:rsidRPr="002029AF">
        <w:t xml:space="preserve"> </w:t>
      </w:r>
      <w:r w:rsidRPr="002029AF">
        <w:t>an</w:t>
      </w:r>
      <w:r w:rsidR="000A5329" w:rsidRPr="002029AF">
        <w:t xml:space="preserve"> </w:t>
      </w:r>
      <w:r w:rsidRPr="002029AF">
        <w:t>impact</w:t>
      </w:r>
      <w:r w:rsidR="000A5329" w:rsidRPr="002029AF">
        <w:t xml:space="preserve"> </w:t>
      </w:r>
      <w:r w:rsidRPr="002029AF">
        <w:t>on</w:t>
      </w:r>
      <w:r w:rsidR="000A5329" w:rsidRPr="002029AF">
        <w:t xml:space="preserve"> </w:t>
      </w:r>
      <w:r w:rsidRPr="002029AF">
        <w:t>periods</w:t>
      </w:r>
      <w:r w:rsidR="000A5329" w:rsidRPr="002029AF">
        <w:t xml:space="preserve"> </w:t>
      </w:r>
      <w:r w:rsidRPr="002029AF">
        <w:t>prior</w:t>
      </w:r>
      <w:r w:rsidR="000A5329" w:rsidRPr="002029AF">
        <w:t xml:space="preserve"> </w:t>
      </w:r>
      <w:r w:rsidRPr="002029AF">
        <w:t>to</w:t>
      </w:r>
      <w:r w:rsidR="000A5329" w:rsidRPr="002029AF">
        <w:t xml:space="preserve"> </w:t>
      </w:r>
      <w:r w:rsidRPr="002029AF">
        <w:t>2018–19.</w:t>
      </w:r>
    </w:p>
    <w:p w14:paraId="000ED73A" w14:textId="77777777" w:rsidR="00087B91" w:rsidRPr="002029AF" w:rsidRDefault="00087B91" w:rsidP="00087B91">
      <w:pPr>
        <w:pStyle w:val="ARfinbody"/>
      </w:pPr>
      <w:r w:rsidRPr="002029AF">
        <w:br w:type="page"/>
      </w:r>
    </w:p>
    <w:tbl>
      <w:tblPr>
        <w:tblStyle w:val="TableGrid"/>
        <w:tblW w:w="9637" w:type="dxa"/>
        <w:tblLayout w:type="fixed"/>
        <w:tblLook w:val="06A0" w:firstRow="1" w:lastRow="0" w:firstColumn="1" w:lastColumn="0" w:noHBand="1" w:noVBand="1"/>
      </w:tblPr>
      <w:tblGrid>
        <w:gridCol w:w="2064"/>
        <w:gridCol w:w="2064"/>
        <w:gridCol w:w="861"/>
        <w:gridCol w:w="861"/>
        <w:gridCol w:w="2065"/>
        <w:gridCol w:w="861"/>
        <w:gridCol w:w="861"/>
      </w:tblGrid>
      <w:tr w:rsidR="00087B91" w:rsidRPr="002029AF" w14:paraId="31F6B5B0"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2064" w:type="dxa"/>
            <w:vMerge w:val="restart"/>
            <w:hideMark/>
          </w:tcPr>
          <w:p w14:paraId="54638CCF" w14:textId="77777777" w:rsidR="00087B91" w:rsidRPr="002029AF" w:rsidRDefault="00087B91" w:rsidP="00860E95">
            <w:pPr>
              <w:pStyle w:val="ARfintablecolhead"/>
            </w:pPr>
            <w:r w:rsidRPr="002029AF">
              <w:lastRenderedPageBreak/>
              <w:t>Note</w:t>
            </w:r>
          </w:p>
        </w:tc>
        <w:tc>
          <w:tcPr>
            <w:tcW w:w="3786" w:type="dxa"/>
            <w:gridSpan w:val="3"/>
            <w:tcBorders>
              <w:top w:val="nil"/>
              <w:bottom w:val="single" w:sz="4" w:space="0" w:color="auto"/>
              <w:right w:val="single" w:sz="4" w:space="0" w:color="auto"/>
            </w:tcBorders>
            <w:shd w:val="clear" w:color="auto" w:fill="auto"/>
            <w:hideMark/>
          </w:tcPr>
          <w:p w14:paraId="0A1DB8A5" w14:textId="1D15E77B" w:rsidR="00087B91" w:rsidRPr="002029AF" w:rsidRDefault="00087B91" w:rsidP="00860E95">
            <w:pPr>
              <w:pStyle w:val="ARfintablecolheadcentre"/>
            </w:pPr>
            <w:r w:rsidRPr="002029AF">
              <w:t>Pre-AASB</w:t>
            </w:r>
            <w:r w:rsidR="000A5329" w:rsidRPr="002029AF">
              <w:t xml:space="preserve"> </w:t>
            </w:r>
            <w:r w:rsidRPr="002029AF">
              <w:t>1059</w:t>
            </w:r>
            <w:r w:rsidR="000A5329" w:rsidRPr="002029AF">
              <w:t xml:space="preserve"> </w:t>
            </w:r>
            <w:r w:rsidRPr="002029AF">
              <w:t>accounting</w:t>
            </w:r>
          </w:p>
        </w:tc>
        <w:tc>
          <w:tcPr>
            <w:tcW w:w="3787" w:type="dxa"/>
            <w:gridSpan w:val="3"/>
            <w:tcBorders>
              <w:left w:val="single" w:sz="4" w:space="0" w:color="auto"/>
            </w:tcBorders>
            <w:hideMark/>
          </w:tcPr>
          <w:p w14:paraId="31415215" w14:textId="5FFF3D77" w:rsidR="00087B91" w:rsidRPr="002029AF" w:rsidRDefault="00087B91" w:rsidP="00860E95">
            <w:pPr>
              <w:pStyle w:val="ARfintablecolheadcentre"/>
            </w:pPr>
            <w:r w:rsidRPr="002029AF">
              <w:t>Application</w:t>
            </w:r>
            <w:r w:rsidR="000A5329" w:rsidRPr="002029AF">
              <w:t xml:space="preserve"> </w:t>
            </w:r>
            <w:r w:rsidRPr="002029AF">
              <w:t>of</w:t>
            </w:r>
            <w:r w:rsidR="000A5329" w:rsidRPr="002029AF">
              <w:t xml:space="preserve"> </w:t>
            </w:r>
            <w:r w:rsidRPr="002029AF">
              <w:t>AASB</w:t>
            </w:r>
            <w:r w:rsidR="000A5329" w:rsidRPr="002029AF">
              <w:t xml:space="preserve"> </w:t>
            </w:r>
            <w:r w:rsidRPr="002029AF">
              <w:t>1059</w:t>
            </w:r>
          </w:p>
        </w:tc>
      </w:tr>
      <w:tr w:rsidR="00087B91" w:rsidRPr="002029AF" w14:paraId="39102725"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2064" w:type="dxa"/>
            <w:vMerge/>
            <w:tcBorders>
              <w:bottom w:val="single" w:sz="4" w:space="0" w:color="auto"/>
            </w:tcBorders>
            <w:hideMark/>
          </w:tcPr>
          <w:p w14:paraId="60A4F468" w14:textId="77777777" w:rsidR="00087B91" w:rsidRPr="002029AF" w:rsidRDefault="00087B91" w:rsidP="00860E95">
            <w:pPr>
              <w:pStyle w:val="ARfintablecolhead"/>
            </w:pPr>
          </w:p>
        </w:tc>
        <w:tc>
          <w:tcPr>
            <w:tcW w:w="2064" w:type="dxa"/>
            <w:tcBorders>
              <w:top w:val="single" w:sz="4" w:space="0" w:color="auto"/>
              <w:bottom w:val="single" w:sz="4" w:space="0" w:color="auto"/>
              <w:right w:val="nil"/>
            </w:tcBorders>
            <w:shd w:val="clear" w:color="auto" w:fill="auto"/>
            <w:hideMark/>
          </w:tcPr>
          <w:p w14:paraId="334120F5" w14:textId="5756C86C" w:rsidR="00087B91" w:rsidRPr="002029AF" w:rsidRDefault="00087B91" w:rsidP="00860E95">
            <w:pPr>
              <w:pStyle w:val="ARfintablecolhead"/>
              <w:ind w:left="113"/>
            </w:pPr>
            <w:r w:rsidRPr="002029AF">
              <w:t>Line</w:t>
            </w:r>
            <w:r w:rsidR="000A5329" w:rsidRPr="002029AF">
              <w:t xml:space="preserve"> </w:t>
            </w:r>
            <w:r w:rsidRPr="002029AF">
              <w:t>item</w:t>
            </w:r>
          </w:p>
        </w:tc>
        <w:tc>
          <w:tcPr>
            <w:tcW w:w="861" w:type="dxa"/>
            <w:tcBorders>
              <w:top w:val="single" w:sz="4" w:space="0" w:color="auto"/>
              <w:left w:val="nil"/>
              <w:bottom w:val="single" w:sz="4" w:space="0" w:color="auto"/>
              <w:right w:val="nil"/>
            </w:tcBorders>
            <w:shd w:val="clear" w:color="auto" w:fill="E7E6E6"/>
            <w:hideMark/>
          </w:tcPr>
          <w:p w14:paraId="649A3569" w14:textId="77777777" w:rsidR="00087B91" w:rsidRPr="002029AF" w:rsidRDefault="00087B91" w:rsidP="00860E95">
            <w:pPr>
              <w:pStyle w:val="ARfintablecolheadright"/>
            </w:pPr>
            <w:r w:rsidRPr="002029AF">
              <w:t>2020</w:t>
            </w:r>
          </w:p>
          <w:p w14:paraId="0AFFF841" w14:textId="77777777" w:rsidR="00087B91" w:rsidRPr="002029AF" w:rsidRDefault="00087B91" w:rsidP="00860E95">
            <w:pPr>
              <w:pStyle w:val="ARfintablecolheadright"/>
            </w:pPr>
            <w:r w:rsidRPr="002029AF">
              <w:t>$M</w:t>
            </w:r>
          </w:p>
        </w:tc>
        <w:tc>
          <w:tcPr>
            <w:tcW w:w="861" w:type="dxa"/>
            <w:tcBorders>
              <w:top w:val="single" w:sz="4" w:space="0" w:color="auto"/>
              <w:left w:val="nil"/>
              <w:bottom w:val="single" w:sz="4" w:space="0" w:color="auto"/>
              <w:right w:val="single" w:sz="4" w:space="0" w:color="auto"/>
            </w:tcBorders>
            <w:shd w:val="clear" w:color="auto" w:fill="auto"/>
            <w:hideMark/>
          </w:tcPr>
          <w:p w14:paraId="18E399CD" w14:textId="77777777" w:rsidR="00087B91" w:rsidRPr="002029AF" w:rsidRDefault="00087B91" w:rsidP="00860E95">
            <w:pPr>
              <w:pStyle w:val="ARfintablecolheadright"/>
            </w:pPr>
            <w:r w:rsidRPr="002029AF">
              <w:t>2019</w:t>
            </w:r>
          </w:p>
          <w:p w14:paraId="6E900C2F" w14:textId="77777777" w:rsidR="00087B91" w:rsidRPr="002029AF" w:rsidRDefault="00087B91" w:rsidP="00860E95">
            <w:pPr>
              <w:pStyle w:val="ARfintablecolheadright"/>
            </w:pPr>
            <w:r w:rsidRPr="002029AF">
              <w:t>$M</w:t>
            </w:r>
          </w:p>
        </w:tc>
        <w:tc>
          <w:tcPr>
            <w:tcW w:w="2065" w:type="dxa"/>
            <w:tcBorders>
              <w:left w:val="single" w:sz="4" w:space="0" w:color="auto"/>
              <w:bottom w:val="single" w:sz="4" w:space="0" w:color="auto"/>
            </w:tcBorders>
            <w:hideMark/>
          </w:tcPr>
          <w:p w14:paraId="2730688D" w14:textId="23EA72FA" w:rsidR="00087B91" w:rsidRPr="002029AF" w:rsidRDefault="00087B91" w:rsidP="00860E95">
            <w:pPr>
              <w:pStyle w:val="ARfintablecolhead"/>
              <w:ind w:left="113"/>
            </w:pPr>
            <w:r w:rsidRPr="002029AF">
              <w:t>Line</w:t>
            </w:r>
            <w:r w:rsidR="000A5329" w:rsidRPr="002029AF">
              <w:t xml:space="preserve"> </w:t>
            </w:r>
            <w:r w:rsidRPr="002029AF">
              <w:t>item</w:t>
            </w:r>
          </w:p>
        </w:tc>
        <w:tc>
          <w:tcPr>
            <w:tcW w:w="861" w:type="dxa"/>
            <w:tcBorders>
              <w:bottom w:val="single" w:sz="4" w:space="0" w:color="auto"/>
            </w:tcBorders>
            <w:shd w:val="clear" w:color="auto" w:fill="E7E6E6"/>
            <w:hideMark/>
          </w:tcPr>
          <w:p w14:paraId="0727BE45" w14:textId="77777777" w:rsidR="00087B91" w:rsidRPr="002029AF" w:rsidRDefault="00087B91" w:rsidP="00860E95">
            <w:pPr>
              <w:pStyle w:val="ARfintablecolheadright"/>
            </w:pPr>
            <w:r w:rsidRPr="002029AF">
              <w:t>2020</w:t>
            </w:r>
          </w:p>
          <w:p w14:paraId="1ABB16C4" w14:textId="77777777" w:rsidR="00087B91" w:rsidRPr="002029AF" w:rsidRDefault="00087B91" w:rsidP="00860E95">
            <w:pPr>
              <w:pStyle w:val="ARfintablecolheadright"/>
            </w:pPr>
            <w:r w:rsidRPr="002029AF">
              <w:t>$M</w:t>
            </w:r>
          </w:p>
        </w:tc>
        <w:tc>
          <w:tcPr>
            <w:tcW w:w="861" w:type="dxa"/>
            <w:tcBorders>
              <w:bottom w:val="single" w:sz="4" w:space="0" w:color="auto"/>
            </w:tcBorders>
            <w:hideMark/>
          </w:tcPr>
          <w:p w14:paraId="16650B70" w14:textId="77777777" w:rsidR="00087B91" w:rsidRPr="002029AF" w:rsidRDefault="00087B91" w:rsidP="00860E95">
            <w:pPr>
              <w:pStyle w:val="ARfintablecolheadright"/>
            </w:pPr>
            <w:r w:rsidRPr="002029AF">
              <w:t>2019</w:t>
            </w:r>
          </w:p>
          <w:p w14:paraId="3D747DF0" w14:textId="77777777" w:rsidR="00087B91" w:rsidRPr="002029AF" w:rsidRDefault="00087B91" w:rsidP="00860E95">
            <w:pPr>
              <w:pStyle w:val="ARfintablecolheadright"/>
            </w:pPr>
            <w:r w:rsidRPr="002029AF">
              <w:t>$M</w:t>
            </w:r>
          </w:p>
        </w:tc>
      </w:tr>
      <w:tr w:rsidR="00087B91" w:rsidRPr="002029AF" w14:paraId="0C31F5C7" w14:textId="77777777" w:rsidTr="00860E95">
        <w:tc>
          <w:tcPr>
            <w:tcW w:w="2064" w:type="dxa"/>
            <w:tcBorders>
              <w:top w:val="single" w:sz="4" w:space="0" w:color="auto"/>
              <w:bottom w:val="single" w:sz="4" w:space="0" w:color="A6A6A6"/>
            </w:tcBorders>
            <w:hideMark/>
          </w:tcPr>
          <w:p w14:paraId="3BBA90CE" w14:textId="1EDBF5E2" w:rsidR="00087B91" w:rsidRPr="002029AF" w:rsidRDefault="00087B91" w:rsidP="00860E95">
            <w:pPr>
              <w:pStyle w:val="ARfintablebody"/>
            </w:pPr>
            <w:r w:rsidRPr="002029AF">
              <w:t>5.1</w:t>
            </w:r>
            <w:r w:rsidR="000A5329" w:rsidRPr="002029AF">
              <w:t xml:space="preserve"> </w:t>
            </w:r>
            <w:r w:rsidRPr="002029AF">
              <w:t>Total</w:t>
            </w:r>
            <w:r w:rsidR="000A5329" w:rsidRPr="002029AF">
              <w:t xml:space="preserve"> </w:t>
            </w:r>
            <w:r w:rsidRPr="002029AF">
              <w:t>property,</w:t>
            </w:r>
            <w:r w:rsidR="000A5329" w:rsidRPr="002029AF">
              <w:t xml:space="preserve"> </w:t>
            </w:r>
            <w:r w:rsidRPr="002029AF">
              <w:t>plant</w:t>
            </w:r>
            <w:r w:rsidR="000A5329" w:rsidRPr="002029AF">
              <w:t xml:space="preserve"> </w:t>
            </w:r>
            <w:r w:rsidRPr="002029AF">
              <w:t>and</w:t>
            </w:r>
            <w:r w:rsidR="000A5329" w:rsidRPr="002029AF">
              <w:t xml:space="preserve"> </w:t>
            </w:r>
            <w:r w:rsidRPr="002029AF">
              <w:t>equipment</w:t>
            </w:r>
          </w:p>
        </w:tc>
        <w:tc>
          <w:tcPr>
            <w:tcW w:w="2064" w:type="dxa"/>
            <w:tcBorders>
              <w:top w:val="single" w:sz="4" w:space="0" w:color="auto"/>
              <w:bottom w:val="single" w:sz="4" w:space="0" w:color="A6A6A6"/>
              <w:right w:val="nil"/>
            </w:tcBorders>
            <w:shd w:val="clear" w:color="auto" w:fill="auto"/>
            <w:hideMark/>
          </w:tcPr>
          <w:p w14:paraId="7F520AEB" w14:textId="44D02453" w:rsidR="00087B91" w:rsidRPr="002029AF" w:rsidRDefault="00087B91" w:rsidP="00860E95">
            <w:pPr>
              <w:pStyle w:val="ARfintablebody"/>
              <w:ind w:left="113"/>
            </w:pPr>
            <w:r w:rsidRPr="002029AF">
              <w:t>Land</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tc>
        <w:tc>
          <w:tcPr>
            <w:tcW w:w="861" w:type="dxa"/>
            <w:tcBorders>
              <w:top w:val="single" w:sz="4" w:space="0" w:color="auto"/>
              <w:left w:val="nil"/>
              <w:bottom w:val="single" w:sz="4" w:space="0" w:color="A6A6A6"/>
              <w:right w:val="nil"/>
            </w:tcBorders>
            <w:shd w:val="clear" w:color="auto" w:fill="E7E6E6"/>
            <w:noWrap/>
            <w:hideMark/>
          </w:tcPr>
          <w:p w14:paraId="0979E2A5" w14:textId="77777777" w:rsidR="00087B91" w:rsidRPr="002029AF" w:rsidRDefault="00087B91" w:rsidP="00860E95">
            <w:pPr>
              <w:pStyle w:val="ARfintablebodyright"/>
            </w:pPr>
            <w:r w:rsidRPr="002029AF">
              <w:t>430.4</w:t>
            </w:r>
          </w:p>
        </w:tc>
        <w:tc>
          <w:tcPr>
            <w:tcW w:w="861" w:type="dxa"/>
            <w:tcBorders>
              <w:top w:val="single" w:sz="4" w:space="0" w:color="auto"/>
              <w:left w:val="nil"/>
              <w:bottom w:val="single" w:sz="4" w:space="0" w:color="A6A6A6"/>
              <w:right w:val="single" w:sz="4" w:space="0" w:color="auto"/>
            </w:tcBorders>
            <w:shd w:val="clear" w:color="auto" w:fill="auto"/>
            <w:noWrap/>
            <w:hideMark/>
          </w:tcPr>
          <w:p w14:paraId="23F87E6E" w14:textId="77777777" w:rsidR="00087B91" w:rsidRPr="002029AF" w:rsidRDefault="00087B91" w:rsidP="00860E95">
            <w:pPr>
              <w:pStyle w:val="ARfintablebodyright"/>
            </w:pPr>
            <w:r w:rsidRPr="002029AF">
              <w:t>424.9</w:t>
            </w:r>
          </w:p>
        </w:tc>
        <w:tc>
          <w:tcPr>
            <w:tcW w:w="2065" w:type="dxa"/>
            <w:tcBorders>
              <w:top w:val="single" w:sz="4" w:space="0" w:color="auto"/>
              <w:left w:val="single" w:sz="4" w:space="0" w:color="auto"/>
              <w:bottom w:val="single" w:sz="4" w:space="0" w:color="A6A6A6"/>
            </w:tcBorders>
            <w:hideMark/>
          </w:tcPr>
          <w:p w14:paraId="0F16F511" w14:textId="5CB38EBB" w:rsidR="00087B91" w:rsidRPr="002029AF" w:rsidRDefault="00087B91" w:rsidP="00860E95">
            <w:pPr>
              <w:pStyle w:val="ARfintablebody"/>
              <w:ind w:left="113"/>
            </w:pPr>
            <w:r w:rsidRPr="002029AF">
              <w:t>Land</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tc>
        <w:tc>
          <w:tcPr>
            <w:tcW w:w="861" w:type="dxa"/>
            <w:tcBorders>
              <w:top w:val="single" w:sz="4" w:space="0" w:color="auto"/>
              <w:bottom w:val="single" w:sz="4" w:space="0" w:color="A6A6A6"/>
            </w:tcBorders>
            <w:shd w:val="clear" w:color="auto" w:fill="E7E6E6"/>
            <w:noWrap/>
            <w:hideMark/>
          </w:tcPr>
          <w:p w14:paraId="7EC43C01" w14:textId="77777777" w:rsidR="00087B91" w:rsidRPr="002029AF" w:rsidRDefault="00087B91" w:rsidP="00860E95">
            <w:pPr>
              <w:pStyle w:val="ARfintablebodyright"/>
            </w:pPr>
            <w:r w:rsidRPr="002029AF">
              <w:t>430.4</w:t>
            </w:r>
          </w:p>
        </w:tc>
        <w:tc>
          <w:tcPr>
            <w:tcW w:w="861" w:type="dxa"/>
            <w:tcBorders>
              <w:top w:val="single" w:sz="4" w:space="0" w:color="auto"/>
              <w:bottom w:val="single" w:sz="4" w:space="0" w:color="A6A6A6"/>
            </w:tcBorders>
            <w:noWrap/>
            <w:hideMark/>
          </w:tcPr>
          <w:p w14:paraId="493EE05C" w14:textId="77777777" w:rsidR="00087B91" w:rsidRPr="002029AF" w:rsidRDefault="00087B91" w:rsidP="00860E95">
            <w:pPr>
              <w:pStyle w:val="ARfintablebodyright"/>
            </w:pPr>
            <w:r w:rsidRPr="002029AF">
              <w:t>424.9</w:t>
            </w:r>
          </w:p>
        </w:tc>
      </w:tr>
      <w:tr w:rsidR="00087B91" w:rsidRPr="002029AF" w14:paraId="329F08DC" w14:textId="77777777" w:rsidTr="00860E95">
        <w:tc>
          <w:tcPr>
            <w:tcW w:w="2064" w:type="dxa"/>
            <w:tcBorders>
              <w:top w:val="single" w:sz="4" w:space="0" w:color="A6A6A6"/>
              <w:bottom w:val="single" w:sz="4" w:space="0" w:color="A6A6A6"/>
            </w:tcBorders>
            <w:hideMark/>
          </w:tcPr>
          <w:p w14:paraId="73AE8A4A" w14:textId="4B6FC837" w:rsidR="00087B91" w:rsidRPr="002029AF" w:rsidRDefault="00087B91" w:rsidP="00860E95">
            <w:pPr>
              <w:pStyle w:val="ARfintablebody"/>
            </w:pPr>
            <w:r w:rsidRPr="002029AF">
              <w:t>5.1</w:t>
            </w:r>
            <w:r w:rsidR="000A5329" w:rsidRPr="002029AF">
              <w:t xml:space="preserve"> </w:t>
            </w:r>
            <w:r w:rsidRPr="002029AF">
              <w:t>Total</w:t>
            </w:r>
            <w:r w:rsidR="000A5329" w:rsidRPr="002029AF">
              <w:t xml:space="preserve"> </w:t>
            </w:r>
            <w:r w:rsidRPr="002029AF">
              <w:t>property,</w:t>
            </w:r>
            <w:r w:rsidR="000A5329" w:rsidRPr="002029AF">
              <w:t xml:space="preserve"> </w:t>
            </w:r>
            <w:r w:rsidRPr="002029AF">
              <w:t>plant</w:t>
            </w:r>
            <w:r w:rsidR="000A5329" w:rsidRPr="002029AF">
              <w:t xml:space="preserve"> </w:t>
            </w:r>
            <w:r w:rsidRPr="002029AF">
              <w:t>and</w:t>
            </w:r>
            <w:r w:rsidR="000A5329" w:rsidRPr="002029AF">
              <w:t xml:space="preserve"> </w:t>
            </w:r>
            <w:r w:rsidRPr="002029AF">
              <w:t>equipment</w:t>
            </w:r>
          </w:p>
        </w:tc>
        <w:tc>
          <w:tcPr>
            <w:tcW w:w="2064" w:type="dxa"/>
            <w:tcBorders>
              <w:top w:val="single" w:sz="4" w:space="0" w:color="A6A6A6"/>
              <w:bottom w:val="single" w:sz="4" w:space="0" w:color="A6A6A6"/>
              <w:right w:val="nil"/>
            </w:tcBorders>
            <w:shd w:val="clear" w:color="auto" w:fill="auto"/>
            <w:hideMark/>
          </w:tcPr>
          <w:p w14:paraId="09FC1F2A" w14:textId="357165E1" w:rsidR="00087B91" w:rsidRPr="002029AF" w:rsidRDefault="00087B91" w:rsidP="00860E95">
            <w:pPr>
              <w:pStyle w:val="ARfintablebody"/>
              <w:ind w:left="113"/>
            </w:pPr>
            <w:r w:rsidRPr="002029AF">
              <w:t>Buildings</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tc>
        <w:tc>
          <w:tcPr>
            <w:tcW w:w="861" w:type="dxa"/>
            <w:tcBorders>
              <w:top w:val="single" w:sz="4" w:space="0" w:color="A6A6A6"/>
              <w:left w:val="nil"/>
              <w:bottom w:val="single" w:sz="4" w:space="0" w:color="A6A6A6"/>
              <w:right w:val="nil"/>
            </w:tcBorders>
            <w:shd w:val="clear" w:color="auto" w:fill="E7E6E6"/>
            <w:noWrap/>
            <w:hideMark/>
          </w:tcPr>
          <w:p w14:paraId="28443F7D" w14:textId="77777777" w:rsidR="00087B91" w:rsidRPr="002029AF" w:rsidRDefault="00087B91" w:rsidP="00860E95">
            <w:pPr>
              <w:pStyle w:val="ARfintablebodyright"/>
            </w:pPr>
            <w:r w:rsidRPr="002029AF">
              <w:t>568.1</w:t>
            </w:r>
          </w:p>
        </w:tc>
        <w:tc>
          <w:tcPr>
            <w:tcW w:w="861" w:type="dxa"/>
            <w:tcBorders>
              <w:top w:val="single" w:sz="4" w:space="0" w:color="A6A6A6"/>
              <w:left w:val="nil"/>
              <w:bottom w:val="single" w:sz="4" w:space="0" w:color="A6A6A6"/>
              <w:right w:val="single" w:sz="4" w:space="0" w:color="auto"/>
            </w:tcBorders>
            <w:shd w:val="clear" w:color="auto" w:fill="auto"/>
            <w:noWrap/>
            <w:hideMark/>
          </w:tcPr>
          <w:p w14:paraId="5D445ED9" w14:textId="77777777" w:rsidR="00087B91" w:rsidRPr="002029AF" w:rsidRDefault="00087B91" w:rsidP="00860E95">
            <w:pPr>
              <w:pStyle w:val="ARfintablebodyright"/>
            </w:pPr>
            <w:r w:rsidRPr="002029AF">
              <w:t>588.6</w:t>
            </w:r>
          </w:p>
        </w:tc>
        <w:tc>
          <w:tcPr>
            <w:tcW w:w="2065" w:type="dxa"/>
            <w:tcBorders>
              <w:top w:val="single" w:sz="4" w:space="0" w:color="A6A6A6"/>
              <w:left w:val="single" w:sz="4" w:space="0" w:color="auto"/>
              <w:bottom w:val="single" w:sz="4" w:space="0" w:color="A6A6A6"/>
            </w:tcBorders>
            <w:hideMark/>
          </w:tcPr>
          <w:p w14:paraId="22F78CC4" w14:textId="77FD3A78" w:rsidR="00087B91" w:rsidRPr="002029AF" w:rsidRDefault="00087B91" w:rsidP="00860E95">
            <w:pPr>
              <w:pStyle w:val="ARfintablebody"/>
              <w:ind w:left="113"/>
            </w:pPr>
            <w:r w:rsidRPr="002029AF">
              <w:t>Buildings</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tc>
        <w:tc>
          <w:tcPr>
            <w:tcW w:w="861" w:type="dxa"/>
            <w:tcBorders>
              <w:top w:val="single" w:sz="4" w:space="0" w:color="A6A6A6"/>
              <w:bottom w:val="single" w:sz="4" w:space="0" w:color="A6A6A6"/>
            </w:tcBorders>
            <w:shd w:val="clear" w:color="auto" w:fill="E7E6E6"/>
            <w:noWrap/>
            <w:hideMark/>
          </w:tcPr>
          <w:p w14:paraId="0DDFFE31" w14:textId="77777777" w:rsidR="00087B91" w:rsidRPr="002029AF" w:rsidRDefault="00087B91" w:rsidP="00860E95">
            <w:pPr>
              <w:pStyle w:val="ARfintablebodyright"/>
            </w:pPr>
            <w:r w:rsidRPr="002029AF">
              <w:t>568.1</w:t>
            </w:r>
          </w:p>
        </w:tc>
        <w:tc>
          <w:tcPr>
            <w:tcW w:w="861" w:type="dxa"/>
            <w:tcBorders>
              <w:top w:val="single" w:sz="4" w:space="0" w:color="A6A6A6"/>
              <w:bottom w:val="single" w:sz="4" w:space="0" w:color="A6A6A6"/>
            </w:tcBorders>
            <w:noWrap/>
            <w:hideMark/>
          </w:tcPr>
          <w:p w14:paraId="6527601C" w14:textId="77777777" w:rsidR="00087B91" w:rsidRPr="002029AF" w:rsidRDefault="00087B91" w:rsidP="00860E95">
            <w:pPr>
              <w:pStyle w:val="ARfintablebodyright"/>
            </w:pPr>
            <w:r w:rsidRPr="002029AF">
              <w:t>588.6</w:t>
            </w:r>
          </w:p>
        </w:tc>
      </w:tr>
      <w:tr w:rsidR="00087B91" w:rsidRPr="002029AF" w14:paraId="68E61237" w14:textId="77777777" w:rsidTr="00860E95">
        <w:tc>
          <w:tcPr>
            <w:tcW w:w="2064" w:type="dxa"/>
            <w:tcBorders>
              <w:top w:val="single" w:sz="4" w:space="0" w:color="A6A6A6"/>
              <w:bottom w:val="single" w:sz="4" w:space="0" w:color="A6A6A6"/>
            </w:tcBorders>
            <w:hideMark/>
          </w:tcPr>
          <w:p w14:paraId="1A23AEF9" w14:textId="2F102F12" w:rsidR="00087B91" w:rsidRPr="002029AF" w:rsidRDefault="00087B91" w:rsidP="00860E95">
            <w:pPr>
              <w:pStyle w:val="ARfintablebody"/>
            </w:pPr>
            <w:r w:rsidRPr="002029AF">
              <w:t>5.1</w:t>
            </w:r>
            <w:r w:rsidR="000A5329" w:rsidRPr="002029AF">
              <w:t xml:space="preserve"> </w:t>
            </w:r>
            <w:r w:rsidRPr="002029AF">
              <w:t>Total</w:t>
            </w:r>
            <w:r w:rsidR="000A5329" w:rsidRPr="002029AF">
              <w:t xml:space="preserve"> </w:t>
            </w:r>
            <w:r w:rsidRPr="002029AF">
              <w:t>property,</w:t>
            </w:r>
            <w:r w:rsidR="000A5329" w:rsidRPr="002029AF">
              <w:t xml:space="preserve"> </w:t>
            </w:r>
            <w:r w:rsidRPr="002029AF">
              <w:t>plant</w:t>
            </w:r>
            <w:r w:rsidR="000A5329" w:rsidRPr="002029AF">
              <w:t xml:space="preserve"> </w:t>
            </w:r>
            <w:r w:rsidRPr="002029AF">
              <w:t>and</w:t>
            </w:r>
            <w:r w:rsidR="000A5329" w:rsidRPr="002029AF">
              <w:t xml:space="preserve"> </w:t>
            </w:r>
            <w:r w:rsidRPr="002029AF">
              <w:t>equipment</w:t>
            </w:r>
          </w:p>
        </w:tc>
        <w:tc>
          <w:tcPr>
            <w:tcW w:w="2064" w:type="dxa"/>
            <w:tcBorders>
              <w:top w:val="single" w:sz="4" w:space="0" w:color="A6A6A6"/>
              <w:bottom w:val="single" w:sz="4" w:space="0" w:color="A6A6A6"/>
              <w:right w:val="nil"/>
            </w:tcBorders>
            <w:shd w:val="clear" w:color="auto" w:fill="auto"/>
            <w:hideMark/>
          </w:tcPr>
          <w:p w14:paraId="65FC5222" w14:textId="119A8807" w:rsidR="00087B91" w:rsidRPr="002029AF" w:rsidRDefault="00087B91" w:rsidP="00860E95">
            <w:pPr>
              <w:pStyle w:val="ARfintablebody"/>
              <w:ind w:left="113"/>
            </w:pPr>
            <w:r w:rsidRPr="002029AF">
              <w:t>Plant,</w:t>
            </w:r>
            <w:r w:rsidR="000A5329" w:rsidRPr="002029AF">
              <w:t xml:space="preserve"> </w:t>
            </w:r>
            <w:r w:rsidRPr="002029AF">
              <w:t>equipment</w:t>
            </w:r>
            <w:r w:rsidR="000A5329" w:rsidRPr="002029AF">
              <w:t xml:space="preserve"> </w:t>
            </w:r>
            <w:r w:rsidRPr="002029AF">
              <w:t>and</w:t>
            </w:r>
            <w:r w:rsidR="000A5329" w:rsidRPr="002029AF">
              <w:t xml:space="preserve"> </w:t>
            </w:r>
            <w:r w:rsidRPr="002029AF">
              <w:t>vehicle</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tc>
        <w:tc>
          <w:tcPr>
            <w:tcW w:w="861" w:type="dxa"/>
            <w:tcBorders>
              <w:top w:val="single" w:sz="4" w:space="0" w:color="A6A6A6"/>
              <w:left w:val="nil"/>
              <w:bottom w:val="single" w:sz="4" w:space="0" w:color="A6A6A6"/>
              <w:right w:val="nil"/>
            </w:tcBorders>
            <w:shd w:val="clear" w:color="auto" w:fill="E7E6E6"/>
            <w:noWrap/>
            <w:hideMark/>
          </w:tcPr>
          <w:p w14:paraId="1BE7CDBA" w14:textId="77777777" w:rsidR="00087B91" w:rsidRPr="002029AF" w:rsidRDefault="00087B91" w:rsidP="00860E95">
            <w:pPr>
              <w:pStyle w:val="ARfintablebodyright"/>
            </w:pPr>
            <w:r w:rsidRPr="002029AF">
              <w:t>1.4</w:t>
            </w:r>
          </w:p>
        </w:tc>
        <w:tc>
          <w:tcPr>
            <w:tcW w:w="861" w:type="dxa"/>
            <w:tcBorders>
              <w:top w:val="single" w:sz="4" w:space="0" w:color="A6A6A6"/>
              <w:left w:val="nil"/>
              <w:bottom w:val="single" w:sz="4" w:space="0" w:color="A6A6A6"/>
              <w:right w:val="single" w:sz="4" w:space="0" w:color="auto"/>
            </w:tcBorders>
            <w:shd w:val="clear" w:color="auto" w:fill="auto"/>
            <w:noWrap/>
            <w:hideMark/>
          </w:tcPr>
          <w:p w14:paraId="26CC1736" w14:textId="77777777" w:rsidR="00087B91" w:rsidRPr="002029AF" w:rsidRDefault="00087B91" w:rsidP="00860E95">
            <w:pPr>
              <w:pStyle w:val="ARfintablebodyright"/>
            </w:pPr>
            <w:r w:rsidRPr="002029AF">
              <w:t>2.0</w:t>
            </w:r>
          </w:p>
        </w:tc>
        <w:tc>
          <w:tcPr>
            <w:tcW w:w="2065" w:type="dxa"/>
            <w:tcBorders>
              <w:top w:val="single" w:sz="4" w:space="0" w:color="A6A6A6"/>
              <w:left w:val="single" w:sz="4" w:space="0" w:color="auto"/>
              <w:bottom w:val="single" w:sz="4" w:space="0" w:color="A6A6A6"/>
            </w:tcBorders>
            <w:hideMark/>
          </w:tcPr>
          <w:p w14:paraId="7EA346C2" w14:textId="5E0A0DE5" w:rsidR="00087B91" w:rsidRPr="002029AF" w:rsidRDefault="00087B91" w:rsidP="00860E95">
            <w:pPr>
              <w:pStyle w:val="ARfintablebody"/>
              <w:ind w:left="113"/>
            </w:pPr>
            <w:r w:rsidRPr="002029AF">
              <w:t>Plant,</w:t>
            </w:r>
            <w:r w:rsidR="000A5329" w:rsidRPr="002029AF">
              <w:t xml:space="preserve"> </w:t>
            </w:r>
            <w:r w:rsidRPr="002029AF">
              <w:t>equipment</w:t>
            </w:r>
            <w:r w:rsidR="000A5329" w:rsidRPr="002029AF">
              <w:t xml:space="preserve"> </w:t>
            </w:r>
            <w:r w:rsidRPr="002029AF">
              <w:t>and</w:t>
            </w:r>
            <w:r w:rsidR="000A5329" w:rsidRPr="002029AF">
              <w:t xml:space="preserve"> </w:t>
            </w:r>
            <w:r w:rsidRPr="002029AF">
              <w:t>vehicle</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tc>
        <w:tc>
          <w:tcPr>
            <w:tcW w:w="861" w:type="dxa"/>
            <w:tcBorders>
              <w:top w:val="single" w:sz="4" w:space="0" w:color="A6A6A6"/>
              <w:bottom w:val="single" w:sz="4" w:space="0" w:color="A6A6A6"/>
            </w:tcBorders>
            <w:shd w:val="clear" w:color="auto" w:fill="E7E6E6"/>
            <w:noWrap/>
            <w:hideMark/>
          </w:tcPr>
          <w:p w14:paraId="58DE8001" w14:textId="77777777" w:rsidR="00087B91" w:rsidRPr="002029AF" w:rsidRDefault="00087B91" w:rsidP="00860E95">
            <w:pPr>
              <w:pStyle w:val="ARfintablebodyright"/>
            </w:pPr>
            <w:r w:rsidRPr="002029AF">
              <w:t>1.4</w:t>
            </w:r>
          </w:p>
        </w:tc>
        <w:tc>
          <w:tcPr>
            <w:tcW w:w="861" w:type="dxa"/>
            <w:tcBorders>
              <w:top w:val="single" w:sz="4" w:space="0" w:color="A6A6A6"/>
              <w:bottom w:val="single" w:sz="4" w:space="0" w:color="A6A6A6"/>
            </w:tcBorders>
            <w:noWrap/>
            <w:hideMark/>
          </w:tcPr>
          <w:p w14:paraId="6AE18632" w14:textId="77777777" w:rsidR="00087B91" w:rsidRPr="002029AF" w:rsidRDefault="00087B91" w:rsidP="00860E95">
            <w:pPr>
              <w:pStyle w:val="ARfintablebodyright"/>
            </w:pPr>
            <w:r w:rsidRPr="002029AF">
              <w:t>2.0</w:t>
            </w:r>
          </w:p>
        </w:tc>
      </w:tr>
      <w:tr w:rsidR="00087B91" w:rsidRPr="002029AF" w14:paraId="4A640DF2" w14:textId="77777777" w:rsidTr="00860E95">
        <w:tc>
          <w:tcPr>
            <w:tcW w:w="2064" w:type="dxa"/>
            <w:tcBorders>
              <w:top w:val="single" w:sz="4" w:space="0" w:color="A6A6A6"/>
              <w:bottom w:val="single" w:sz="4" w:space="0" w:color="A6A6A6"/>
            </w:tcBorders>
            <w:hideMark/>
          </w:tcPr>
          <w:p w14:paraId="5D55B11A" w14:textId="184A207F" w:rsidR="00087B91" w:rsidRPr="002029AF" w:rsidRDefault="00087B91" w:rsidP="00860E95">
            <w:pPr>
              <w:pStyle w:val="ARfintablebody"/>
            </w:pPr>
            <w:r w:rsidRPr="002029AF">
              <w:t>5.2</w:t>
            </w:r>
            <w:r w:rsidR="000A5329" w:rsidRPr="002029AF">
              <w:t xml:space="preserve"> </w:t>
            </w:r>
            <w:r w:rsidRPr="002029AF">
              <w:t>Intangible</w:t>
            </w:r>
            <w:r w:rsidR="000A5329" w:rsidRPr="002029AF">
              <w:t xml:space="preserve"> </w:t>
            </w:r>
            <w:r w:rsidRPr="002029AF">
              <w:t>assets</w:t>
            </w:r>
          </w:p>
        </w:tc>
        <w:tc>
          <w:tcPr>
            <w:tcW w:w="2064" w:type="dxa"/>
            <w:tcBorders>
              <w:top w:val="single" w:sz="4" w:space="0" w:color="A6A6A6"/>
              <w:bottom w:val="single" w:sz="4" w:space="0" w:color="A6A6A6"/>
              <w:right w:val="nil"/>
            </w:tcBorders>
            <w:shd w:val="clear" w:color="auto" w:fill="auto"/>
            <w:hideMark/>
          </w:tcPr>
          <w:p w14:paraId="3B782C94" w14:textId="4DF22F1D" w:rsidR="00087B91" w:rsidRPr="002029AF" w:rsidRDefault="00087B91" w:rsidP="00860E95">
            <w:pPr>
              <w:pStyle w:val="ARfintablebody"/>
              <w:ind w:left="113"/>
            </w:pPr>
            <w:r w:rsidRPr="002029AF">
              <w:t>Additions</w:t>
            </w:r>
            <w:r w:rsidR="000A5329" w:rsidRPr="002029AF">
              <w:t xml:space="preserve"> </w:t>
            </w:r>
            <w:r w:rsidRPr="002029AF">
              <w:t>from</w:t>
            </w:r>
            <w:r w:rsidR="000A5329" w:rsidRPr="002029AF">
              <w:t xml:space="preserve"> </w:t>
            </w:r>
            <w:r w:rsidRPr="002029AF">
              <w:t>internal</w:t>
            </w:r>
            <w:r w:rsidR="000A5329" w:rsidRPr="002029AF">
              <w:t xml:space="preserve"> </w:t>
            </w:r>
            <w:r w:rsidRPr="002029AF">
              <w:t>development</w:t>
            </w:r>
          </w:p>
        </w:tc>
        <w:tc>
          <w:tcPr>
            <w:tcW w:w="861" w:type="dxa"/>
            <w:tcBorders>
              <w:top w:val="single" w:sz="4" w:space="0" w:color="A6A6A6"/>
              <w:left w:val="nil"/>
              <w:bottom w:val="single" w:sz="4" w:space="0" w:color="A6A6A6"/>
              <w:right w:val="nil"/>
            </w:tcBorders>
            <w:shd w:val="clear" w:color="auto" w:fill="E7E6E6"/>
            <w:noWrap/>
            <w:hideMark/>
          </w:tcPr>
          <w:p w14:paraId="0C530675" w14:textId="77777777" w:rsidR="00087B91" w:rsidRPr="002029AF" w:rsidRDefault="00087B91" w:rsidP="00860E95">
            <w:pPr>
              <w:pStyle w:val="ARfintablebodyright"/>
            </w:pPr>
            <w:r w:rsidRPr="002029AF">
              <w:t>2.2</w:t>
            </w:r>
          </w:p>
        </w:tc>
        <w:tc>
          <w:tcPr>
            <w:tcW w:w="861" w:type="dxa"/>
            <w:tcBorders>
              <w:top w:val="single" w:sz="4" w:space="0" w:color="A6A6A6"/>
              <w:left w:val="nil"/>
              <w:bottom w:val="single" w:sz="4" w:space="0" w:color="A6A6A6"/>
              <w:right w:val="single" w:sz="4" w:space="0" w:color="auto"/>
            </w:tcBorders>
            <w:shd w:val="clear" w:color="auto" w:fill="auto"/>
            <w:noWrap/>
            <w:hideMark/>
          </w:tcPr>
          <w:p w14:paraId="682B5E10" w14:textId="77777777" w:rsidR="00087B91" w:rsidRPr="002029AF" w:rsidRDefault="00087B91" w:rsidP="00860E95">
            <w:pPr>
              <w:pStyle w:val="ARfintablebodyright"/>
            </w:pPr>
            <w:r w:rsidRPr="002029AF">
              <w:t>2.5</w:t>
            </w:r>
          </w:p>
        </w:tc>
        <w:tc>
          <w:tcPr>
            <w:tcW w:w="2065" w:type="dxa"/>
            <w:tcBorders>
              <w:top w:val="single" w:sz="4" w:space="0" w:color="A6A6A6"/>
              <w:left w:val="single" w:sz="4" w:space="0" w:color="auto"/>
              <w:bottom w:val="single" w:sz="4" w:space="0" w:color="A6A6A6"/>
            </w:tcBorders>
            <w:hideMark/>
          </w:tcPr>
          <w:p w14:paraId="62C4886B" w14:textId="3B089BBF" w:rsidR="00087B91" w:rsidRPr="002029AF" w:rsidRDefault="00087B91" w:rsidP="00860E95">
            <w:pPr>
              <w:pStyle w:val="ARfintablebody"/>
              <w:ind w:left="113"/>
            </w:pPr>
            <w:r w:rsidRPr="002029AF">
              <w:t>Additions</w:t>
            </w:r>
            <w:r w:rsidR="000A5329" w:rsidRPr="002029AF">
              <w:t xml:space="preserve"> </w:t>
            </w:r>
            <w:r w:rsidRPr="002029AF">
              <w:t>from</w:t>
            </w:r>
            <w:r w:rsidR="000A5329" w:rsidRPr="002029AF">
              <w:t xml:space="preserve"> </w:t>
            </w:r>
            <w:r w:rsidRPr="002029AF">
              <w:t>internal</w:t>
            </w:r>
            <w:r w:rsidR="000A5329" w:rsidRPr="002029AF">
              <w:t xml:space="preserve"> </w:t>
            </w:r>
            <w:r w:rsidRPr="002029AF">
              <w:t>development</w:t>
            </w:r>
          </w:p>
        </w:tc>
        <w:tc>
          <w:tcPr>
            <w:tcW w:w="861" w:type="dxa"/>
            <w:tcBorders>
              <w:top w:val="single" w:sz="4" w:space="0" w:color="A6A6A6"/>
              <w:bottom w:val="single" w:sz="4" w:space="0" w:color="A6A6A6"/>
            </w:tcBorders>
            <w:shd w:val="clear" w:color="auto" w:fill="E7E6E6"/>
            <w:noWrap/>
            <w:hideMark/>
          </w:tcPr>
          <w:p w14:paraId="28B24D56" w14:textId="77777777" w:rsidR="00087B91" w:rsidRPr="002029AF" w:rsidRDefault="00087B91" w:rsidP="00860E95">
            <w:pPr>
              <w:pStyle w:val="ARfintablebodyright"/>
            </w:pPr>
            <w:r w:rsidRPr="002029AF">
              <w:t>2.2</w:t>
            </w:r>
          </w:p>
        </w:tc>
        <w:tc>
          <w:tcPr>
            <w:tcW w:w="861" w:type="dxa"/>
            <w:tcBorders>
              <w:top w:val="single" w:sz="4" w:space="0" w:color="A6A6A6"/>
              <w:bottom w:val="single" w:sz="4" w:space="0" w:color="A6A6A6"/>
            </w:tcBorders>
            <w:noWrap/>
            <w:hideMark/>
          </w:tcPr>
          <w:p w14:paraId="5B4D9543" w14:textId="77777777" w:rsidR="00087B91" w:rsidRPr="002029AF" w:rsidRDefault="00087B91" w:rsidP="00860E95">
            <w:pPr>
              <w:pStyle w:val="ARfintablebodyright"/>
            </w:pPr>
            <w:r w:rsidRPr="002029AF">
              <w:t>2.5</w:t>
            </w:r>
          </w:p>
        </w:tc>
      </w:tr>
      <w:tr w:rsidR="00087B91" w:rsidRPr="002029AF" w14:paraId="2D906284" w14:textId="77777777" w:rsidTr="00860E95">
        <w:tc>
          <w:tcPr>
            <w:tcW w:w="2064" w:type="dxa"/>
            <w:tcBorders>
              <w:top w:val="single" w:sz="4" w:space="0" w:color="A6A6A6"/>
            </w:tcBorders>
          </w:tcPr>
          <w:p w14:paraId="7B77D840" w14:textId="3CA9007A" w:rsidR="00087B91" w:rsidRPr="002029AF" w:rsidRDefault="00087B91" w:rsidP="00860E95">
            <w:pPr>
              <w:pStyle w:val="ARfintablebody"/>
            </w:pPr>
            <w:r w:rsidRPr="002029AF">
              <w:t>5.1</w:t>
            </w:r>
            <w:r w:rsidR="000A5329" w:rsidRPr="002029AF">
              <w:t xml:space="preserve"> </w:t>
            </w:r>
            <w:r w:rsidRPr="002029AF">
              <w:t>Total</w:t>
            </w:r>
            <w:r w:rsidR="000A5329" w:rsidRPr="002029AF">
              <w:t xml:space="preserve"> </w:t>
            </w:r>
            <w:r w:rsidRPr="002029AF">
              <w:t>property,</w:t>
            </w:r>
            <w:r w:rsidR="000A5329" w:rsidRPr="002029AF">
              <w:t xml:space="preserve"> </w:t>
            </w:r>
            <w:r w:rsidRPr="002029AF">
              <w:t>plant</w:t>
            </w:r>
            <w:r w:rsidR="000A5329" w:rsidRPr="002029AF">
              <w:t xml:space="preserve"> </w:t>
            </w:r>
            <w:r w:rsidRPr="002029AF">
              <w:t>and</w:t>
            </w:r>
            <w:r w:rsidR="000A5329" w:rsidRPr="002029AF">
              <w:t xml:space="preserve"> </w:t>
            </w:r>
            <w:r w:rsidRPr="002029AF">
              <w:t>equipment</w:t>
            </w:r>
          </w:p>
        </w:tc>
        <w:tc>
          <w:tcPr>
            <w:tcW w:w="2064" w:type="dxa"/>
            <w:tcBorders>
              <w:top w:val="single" w:sz="4" w:space="0" w:color="A6A6A6"/>
              <w:right w:val="nil"/>
            </w:tcBorders>
            <w:shd w:val="clear" w:color="auto" w:fill="auto"/>
          </w:tcPr>
          <w:p w14:paraId="3FAFF933" w14:textId="4484F5B8" w:rsidR="00087B91" w:rsidRPr="002029AF" w:rsidRDefault="00087B91" w:rsidP="00860E95">
            <w:pPr>
              <w:pStyle w:val="ARfintablebody"/>
              <w:ind w:left="113"/>
            </w:pPr>
            <w:r w:rsidRPr="002029AF">
              <w:t>Assets</w:t>
            </w:r>
            <w:r w:rsidR="000A5329" w:rsidRPr="002029AF">
              <w:t xml:space="preserve"> </w:t>
            </w:r>
            <w:r w:rsidRPr="002029AF">
              <w:t>under</w:t>
            </w:r>
            <w:r w:rsidR="000A5329" w:rsidRPr="002029AF">
              <w:t xml:space="preserve"> </w:t>
            </w:r>
            <w:r w:rsidRPr="002029AF">
              <w:t>construction</w:t>
            </w:r>
          </w:p>
        </w:tc>
        <w:tc>
          <w:tcPr>
            <w:tcW w:w="861" w:type="dxa"/>
            <w:tcBorders>
              <w:top w:val="single" w:sz="4" w:space="0" w:color="A6A6A6"/>
              <w:left w:val="nil"/>
              <w:right w:val="nil"/>
            </w:tcBorders>
            <w:shd w:val="clear" w:color="auto" w:fill="E7E6E6"/>
            <w:noWrap/>
          </w:tcPr>
          <w:p w14:paraId="5CF7ED5F" w14:textId="77777777" w:rsidR="00087B91" w:rsidRPr="002029AF" w:rsidRDefault="00087B91" w:rsidP="00860E95">
            <w:pPr>
              <w:pStyle w:val="ARfintablebodyright"/>
            </w:pPr>
            <w:r w:rsidRPr="002029AF">
              <w:t>56.6</w:t>
            </w:r>
          </w:p>
        </w:tc>
        <w:tc>
          <w:tcPr>
            <w:tcW w:w="861" w:type="dxa"/>
            <w:tcBorders>
              <w:top w:val="single" w:sz="4" w:space="0" w:color="A6A6A6"/>
              <w:left w:val="nil"/>
              <w:right w:val="single" w:sz="4" w:space="0" w:color="auto"/>
            </w:tcBorders>
            <w:shd w:val="clear" w:color="auto" w:fill="auto"/>
            <w:noWrap/>
          </w:tcPr>
          <w:p w14:paraId="2E5A392B" w14:textId="77777777" w:rsidR="00087B91" w:rsidRPr="002029AF" w:rsidRDefault="00087B91" w:rsidP="00860E95">
            <w:pPr>
              <w:pStyle w:val="ARfintablebodyright"/>
            </w:pPr>
            <w:r w:rsidRPr="002029AF">
              <w:t>30.2</w:t>
            </w:r>
          </w:p>
        </w:tc>
        <w:tc>
          <w:tcPr>
            <w:tcW w:w="2065" w:type="dxa"/>
            <w:tcBorders>
              <w:top w:val="single" w:sz="4" w:space="0" w:color="A6A6A6"/>
              <w:left w:val="single" w:sz="4" w:space="0" w:color="auto"/>
            </w:tcBorders>
          </w:tcPr>
          <w:p w14:paraId="564FF06D" w14:textId="4ADC4FED" w:rsidR="00087B91" w:rsidRPr="002029AF" w:rsidRDefault="00087B91" w:rsidP="00860E95">
            <w:pPr>
              <w:pStyle w:val="ARfintablebody"/>
              <w:ind w:left="113"/>
            </w:pPr>
            <w:r w:rsidRPr="002029AF">
              <w:t>Assets</w:t>
            </w:r>
            <w:r w:rsidR="000A5329" w:rsidRPr="002029AF">
              <w:t xml:space="preserve"> </w:t>
            </w:r>
            <w:r w:rsidRPr="002029AF">
              <w:t>under</w:t>
            </w:r>
            <w:r w:rsidR="000A5329" w:rsidRPr="002029AF">
              <w:t xml:space="preserve"> </w:t>
            </w:r>
            <w:r w:rsidRPr="002029AF">
              <w:t>construction</w:t>
            </w:r>
          </w:p>
        </w:tc>
        <w:tc>
          <w:tcPr>
            <w:tcW w:w="861" w:type="dxa"/>
            <w:tcBorders>
              <w:top w:val="single" w:sz="4" w:space="0" w:color="A6A6A6"/>
            </w:tcBorders>
            <w:shd w:val="clear" w:color="auto" w:fill="E7E6E6"/>
            <w:noWrap/>
          </w:tcPr>
          <w:p w14:paraId="53C75C37" w14:textId="77777777" w:rsidR="00087B91" w:rsidRPr="002029AF" w:rsidRDefault="00087B91" w:rsidP="00860E95">
            <w:pPr>
              <w:pStyle w:val="ARfintablebodyright"/>
            </w:pPr>
            <w:r w:rsidRPr="002029AF">
              <w:t>56.6</w:t>
            </w:r>
          </w:p>
        </w:tc>
        <w:tc>
          <w:tcPr>
            <w:tcW w:w="861" w:type="dxa"/>
            <w:tcBorders>
              <w:top w:val="single" w:sz="4" w:space="0" w:color="A6A6A6"/>
            </w:tcBorders>
            <w:noWrap/>
          </w:tcPr>
          <w:p w14:paraId="222982EC" w14:textId="77777777" w:rsidR="00087B91" w:rsidRPr="002029AF" w:rsidRDefault="00087B91" w:rsidP="00860E95">
            <w:pPr>
              <w:pStyle w:val="ARfintablebodyright"/>
            </w:pPr>
            <w:r w:rsidRPr="002029AF">
              <w:t>30.2</w:t>
            </w:r>
          </w:p>
        </w:tc>
      </w:tr>
    </w:tbl>
    <w:p w14:paraId="17202012" w14:textId="77777777" w:rsidR="00087B91" w:rsidRPr="002029AF" w:rsidRDefault="00087B91" w:rsidP="00087B91">
      <w:pPr>
        <w:pStyle w:val="ARfinbody"/>
      </w:pPr>
      <w:r w:rsidRPr="002029AF">
        <w:br w:type="page"/>
      </w:r>
    </w:p>
    <w:p w14:paraId="467B1C45" w14:textId="325AD057" w:rsidR="00087B91" w:rsidRPr="002029AF" w:rsidRDefault="00087B91" w:rsidP="00087B91">
      <w:pPr>
        <w:pStyle w:val="Heading3"/>
      </w:pPr>
      <w:bookmarkStart w:id="372" w:name="_Toc39242161"/>
      <w:bookmarkStart w:id="373" w:name="_Toc51235519"/>
      <w:bookmarkStart w:id="374" w:name="_Ref52284265"/>
      <w:bookmarkStart w:id="375" w:name="_Toc54690818"/>
      <w:r w:rsidRPr="002029AF">
        <w:lastRenderedPageBreak/>
        <w:t>8.</w:t>
      </w:r>
      <w:r w:rsidR="000A5329" w:rsidRPr="002029AF">
        <w:t xml:space="preserve"> </w:t>
      </w:r>
      <w:r w:rsidRPr="002029AF">
        <w:t>Risks,</w:t>
      </w:r>
      <w:r w:rsidR="000A5329" w:rsidRPr="002029AF">
        <w:t xml:space="preserve"> </w:t>
      </w:r>
      <w:r w:rsidRPr="002029AF">
        <w:t>contingencies</w:t>
      </w:r>
      <w:r w:rsidR="000A5329" w:rsidRPr="002029AF">
        <w:t xml:space="preserve"> </w:t>
      </w:r>
      <w:r w:rsidRPr="002029AF">
        <w:t>and</w:t>
      </w:r>
      <w:r w:rsidR="000A5329" w:rsidRPr="002029AF">
        <w:t xml:space="preserve"> </w:t>
      </w:r>
      <w:r w:rsidRPr="002029AF">
        <w:t>valuation</w:t>
      </w:r>
      <w:r w:rsidR="000A5329" w:rsidRPr="002029AF">
        <w:t xml:space="preserve"> </w:t>
      </w:r>
      <w:r w:rsidRPr="002029AF">
        <w:t>judgements</w:t>
      </w:r>
      <w:bookmarkEnd w:id="372"/>
      <w:bookmarkEnd w:id="373"/>
      <w:bookmarkEnd w:id="374"/>
      <w:bookmarkEnd w:id="375"/>
    </w:p>
    <w:p w14:paraId="7BF852B6" w14:textId="77777777" w:rsidR="00087B91" w:rsidRPr="002029AF" w:rsidRDefault="00087B91" w:rsidP="00087B91">
      <w:pPr>
        <w:pStyle w:val="Heading4"/>
      </w:pPr>
      <w:r w:rsidRPr="002029AF">
        <w:t>Introduction</w:t>
      </w:r>
    </w:p>
    <w:p w14:paraId="008A138C" w14:textId="145F1BCB" w:rsidR="00087B91" w:rsidRPr="002029AF" w:rsidRDefault="00087B91" w:rsidP="00087B91">
      <w:pPr>
        <w:pStyle w:val="ARfinbody"/>
      </w:pPr>
      <w:r w:rsidRPr="002029AF">
        <w:t>The</w:t>
      </w:r>
      <w:r w:rsidR="000A5329" w:rsidRPr="002029AF">
        <w:t xml:space="preserve"> </w:t>
      </w:r>
      <w:r w:rsidRPr="002029AF">
        <w:t>department</w:t>
      </w:r>
      <w:r w:rsidR="000A5329" w:rsidRPr="002029AF">
        <w:t xml:space="preserve"> </w:t>
      </w:r>
      <w:r w:rsidRPr="002029AF">
        <w:t>is</w:t>
      </w:r>
      <w:r w:rsidR="000A5329" w:rsidRPr="002029AF">
        <w:t xml:space="preserve"> </w:t>
      </w:r>
      <w:r w:rsidRPr="002029AF">
        <w:t>exposed</w:t>
      </w:r>
      <w:r w:rsidR="000A5329" w:rsidRPr="002029AF">
        <w:t xml:space="preserve"> </w:t>
      </w:r>
      <w:r w:rsidRPr="002029AF">
        <w:t>to</w:t>
      </w:r>
      <w:r w:rsidR="000A5329" w:rsidRPr="002029AF">
        <w:t xml:space="preserve"> </w:t>
      </w:r>
      <w:r w:rsidRPr="002029AF">
        <w:t>risk</w:t>
      </w:r>
      <w:r w:rsidR="000A5329" w:rsidRPr="002029AF">
        <w:t xml:space="preserve"> </w:t>
      </w:r>
      <w:r w:rsidRPr="002029AF">
        <w:t>from</w:t>
      </w:r>
      <w:r w:rsidR="000A5329" w:rsidRPr="002029AF">
        <w:t xml:space="preserve"> </w:t>
      </w:r>
      <w:r w:rsidRPr="002029AF">
        <w:t>its</w:t>
      </w:r>
      <w:r w:rsidR="000A5329" w:rsidRPr="002029AF">
        <w:t xml:space="preserve"> </w:t>
      </w:r>
      <w:r w:rsidRPr="002029AF">
        <w:t>activities</w:t>
      </w:r>
      <w:r w:rsidR="000A5329" w:rsidRPr="002029AF">
        <w:t xml:space="preserve"> </w:t>
      </w:r>
      <w:r w:rsidRPr="002029AF">
        <w:t>and</w:t>
      </w:r>
      <w:r w:rsidR="000A5329" w:rsidRPr="002029AF">
        <w:t xml:space="preserve"> </w:t>
      </w:r>
      <w:r w:rsidRPr="002029AF">
        <w:t>outside</w:t>
      </w:r>
      <w:r w:rsidR="000A5329" w:rsidRPr="002029AF">
        <w:t xml:space="preserve"> </w:t>
      </w:r>
      <w:r w:rsidRPr="002029AF">
        <w:t>factors.</w:t>
      </w:r>
      <w:r w:rsidR="000A5329" w:rsidRPr="002029AF">
        <w:t xml:space="preserve"> </w:t>
      </w:r>
      <w:r w:rsidRPr="002029AF">
        <w:t>In</w:t>
      </w:r>
      <w:r w:rsidR="000A5329" w:rsidRPr="002029AF">
        <w:t xml:space="preserve"> </w:t>
      </w:r>
      <w:r w:rsidRPr="002029AF">
        <w:t>addition,</w:t>
      </w:r>
      <w:r w:rsidR="000A5329" w:rsidRPr="002029AF">
        <w:t xml:space="preserve"> </w:t>
      </w:r>
      <w:r w:rsidRPr="002029AF">
        <w:t>it</w:t>
      </w:r>
      <w:r w:rsidR="000A5329" w:rsidRPr="002029AF">
        <w:t xml:space="preserve"> </w:t>
      </w:r>
      <w:r w:rsidRPr="002029AF">
        <w:t>is</w:t>
      </w:r>
      <w:r w:rsidR="000A5329" w:rsidRPr="002029AF">
        <w:t xml:space="preserve"> </w:t>
      </w:r>
      <w:r w:rsidRPr="002029AF">
        <w:t>often</w:t>
      </w:r>
      <w:r w:rsidR="000A5329" w:rsidRPr="002029AF">
        <w:t xml:space="preserve"> </w:t>
      </w:r>
      <w:r w:rsidRPr="002029AF">
        <w:t>necessary</w:t>
      </w:r>
      <w:r w:rsidR="000A5329" w:rsidRPr="002029AF">
        <w:t xml:space="preserve"> </w:t>
      </w:r>
      <w:r w:rsidRPr="002029AF">
        <w:t>to</w:t>
      </w:r>
      <w:r w:rsidR="000A5329" w:rsidRPr="002029AF">
        <w:t xml:space="preserve"> </w:t>
      </w:r>
      <w:r w:rsidRPr="002029AF">
        <w:t>make</w:t>
      </w:r>
      <w:r w:rsidR="000A5329" w:rsidRPr="002029AF">
        <w:t xml:space="preserve"> </w:t>
      </w:r>
      <w:r w:rsidRPr="002029AF">
        <w:t>judgements</w:t>
      </w:r>
      <w:r w:rsidR="000A5329" w:rsidRPr="002029AF">
        <w:t xml:space="preserve"> </w:t>
      </w:r>
      <w:r w:rsidRPr="002029AF">
        <w:t>and</w:t>
      </w:r>
      <w:r w:rsidR="000A5329" w:rsidRPr="002029AF">
        <w:t xml:space="preserve"> </w:t>
      </w:r>
      <w:r w:rsidRPr="002029AF">
        <w:t>estimates</w:t>
      </w:r>
      <w:r w:rsidR="000A5329" w:rsidRPr="002029AF">
        <w:t xml:space="preserve"> </w:t>
      </w:r>
      <w:r w:rsidRPr="002029AF">
        <w:t>associated</w:t>
      </w:r>
      <w:r w:rsidR="000A5329" w:rsidRPr="002029AF">
        <w:t xml:space="preserve"> </w:t>
      </w:r>
      <w:r w:rsidRPr="002029AF">
        <w:t>with</w:t>
      </w:r>
      <w:r w:rsidR="000A5329" w:rsidRPr="002029AF">
        <w:t xml:space="preserve"> </w:t>
      </w:r>
      <w:r w:rsidRPr="002029AF">
        <w:t>recognition</w:t>
      </w:r>
      <w:r w:rsidR="000A5329" w:rsidRPr="002029AF">
        <w:t xml:space="preserve"> </w:t>
      </w:r>
      <w:r w:rsidRPr="002029AF">
        <w:t>and</w:t>
      </w:r>
      <w:r w:rsidR="000A5329" w:rsidRPr="002029AF">
        <w:t xml:space="preserve"> </w:t>
      </w:r>
      <w:r w:rsidRPr="002029AF">
        <w:t>measurement</w:t>
      </w:r>
      <w:r w:rsidR="000A5329" w:rsidRPr="002029AF">
        <w:t xml:space="preserve"> </w:t>
      </w:r>
      <w:r w:rsidRPr="002029AF">
        <w:t>of</w:t>
      </w:r>
      <w:r w:rsidR="000A5329" w:rsidRPr="002029AF">
        <w:t xml:space="preserve"> </w:t>
      </w:r>
      <w:r w:rsidRPr="002029AF">
        <w:t>items</w:t>
      </w:r>
      <w:r w:rsidR="000A5329" w:rsidRPr="002029AF">
        <w:t xml:space="preserve"> </w:t>
      </w:r>
      <w:r w:rsidRPr="002029AF">
        <w:t>in</w:t>
      </w:r>
      <w:r w:rsidR="000A5329" w:rsidRPr="002029AF">
        <w:t xml:space="preserve"> </w:t>
      </w:r>
      <w:r w:rsidRPr="002029AF">
        <w:t>the</w:t>
      </w:r>
      <w:r w:rsidR="000A5329" w:rsidRPr="002029AF">
        <w:t xml:space="preserve"> </w:t>
      </w:r>
      <w:r w:rsidRPr="002029AF">
        <w:t>financial</w:t>
      </w:r>
      <w:r w:rsidR="000A5329" w:rsidRPr="002029AF">
        <w:t xml:space="preserve"> </w:t>
      </w:r>
      <w:r w:rsidRPr="002029AF">
        <w:t>statements.</w:t>
      </w:r>
      <w:r w:rsidR="000A5329" w:rsidRPr="002029AF">
        <w:t xml:space="preserve"> </w:t>
      </w:r>
      <w:r w:rsidRPr="002029AF">
        <w:t>This</w:t>
      </w:r>
      <w:r w:rsidR="000A5329" w:rsidRPr="002029AF">
        <w:t xml:space="preserve"> </w:t>
      </w:r>
      <w:r w:rsidRPr="002029AF">
        <w:t>section</w:t>
      </w:r>
      <w:r w:rsidR="000A5329" w:rsidRPr="002029AF">
        <w:t xml:space="preserve"> </w:t>
      </w:r>
      <w:r w:rsidRPr="002029AF">
        <w:t>sets</w:t>
      </w:r>
      <w:r w:rsidR="000A5329" w:rsidRPr="002029AF">
        <w:t xml:space="preserve"> </w:t>
      </w:r>
      <w:r w:rsidRPr="002029AF">
        <w:t>out</w:t>
      </w:r>
      <w:r w:rsidR="000A5329" w:rsidRPr="002029AF">
        <w:t xml:space="preserve"> </w:t>
      </w:r>
      <w:r w:rsidRPr="002029AF">
        <w:t>financial</w:t>
      </w:r>
      <w:r w:rsidR="000A5329" w:rsidRPr="002029AF">
        <w:t xml:space="preserve"> </w:t>
      </w:r>
      <w:r w:rsidRPr="002029AF">
        <w:t>instrument</w:t>
      </w:r>
      <w:r w:rsidR="000A5329" w:rsidRPr="002029AF">
        <w:t xml:space="preserve"> </w:t>
      </w:r>
      <w:r w:rsidRPr="002029AF">
        <w:t>specific</w:t>
      </w:r>
      <w:r w:rsidR="000A5329" w:rsidRPr="002029AF">
        <w:t xml:space="preserve"> </w:t>
      </w:r>
      <w:r w:rsidRPr="002029AF">
        <w:t>information</w:t>
      </w:r>
      <w:r w:rsidR="000A5329" w:rsidRPr="002029AF">
        <w:t xml:space="preserve"> </w:t>
      </w:r>
      <w:r w:rsidRPr="002029AF">
        <w:t>(including</w:t>
      </w:r>
      <w:r w:rsidR="000A5329" w:rsidRPr="002029AF">
        <w:t xml:space="preserve"> </w:t>
      </w:r>
      <w:r w:rsidRPr="002029AF">
        <w:t>exposures</w:t>
      </w:r>
      <w:r w:rsidR="000A5329" w:rsidRPr="002029AF">
        <w:t xml:space="preserve"> </w:t>
      </w:r>
      <w:r w:rsidRPr="002029AF">
        <w:t>to</w:t>
      </w:r>
      <w:r w:rsidR="000A5329" w:rsidRPr="002029AF">
        <w:t xml:space="preserve"> </w:t>
      </w:r>
      <w:r w:rsidRPr="002029AF">
        <w:t>financial</w:t>
      </w:r>
      <w:r w:rsidR="000A5329" w:rsidRPr="002029AF">
        <w:t xml:space="preserve"> </w:t>
      </w:r>
      <w:r w:rsidRPr="002029AF">
        <w:t>risks),</w:t>
      </w:r>
      <w:r w:rsidR="000A5329" w:rsidRPr="002029AF">
        <w:t xml:space="preserve"> </w:t>
      </w:r>
      <w:r w:rsidRPr="002029AF">
        <w:t>as</w:t>
      </w:r>
      <w:r w:rsidR="000A5329" w:rsidRPr="002029AF">
        <w:t xml:space="preserve"> </w:t>
      </w:r>
      <w:r w:rsidRPr="002029AF">
        <w:t>well</w:t>
      </w:r>
      <w:r w:rsidR="000A5329" w:rsidRPr="002029AF">
        <w:t xml:space="preserve"> </w:t>
      </w:r>
      <w:r w:rsidRPr="002029AF">
        <w:t>as</w:t>
      </w:r>
      <w:r w:rsidR="000A5329" w:rsidRPr="002029AF">
        <w:t xml:space="preserve"> </w:t>
      </w:r>
      <w:r w:rsidRPr="002029AF">
        <w:t>those</w:t>
      </w:r>
      <w:r w:rsidR="000A5329" w:rsidRPr="002029AF">
        <w:t xml:space="preserve"> </w:t>
      </w:r>
      <w:r w:rsidRPr="002029AF">
        <w:t>items</w:t>
      </w:r>
      <w:r w:rsidR="000A5329" w:rsidRPr="002029AF">
        <w:t xml:space="preserve"> </w:t>
      </w:r>
      <w:r w:rsidRPr="002029AF">
        <w:t>that</w:t>
      </w:r>
      <w:r w:rsidR="000A5329" w:rsidRPr="002029AF">
        <w:t xml:space="preserve"> </w:t>
      </w:r>
      <w:r w:rsidRPr="002029AF">
        <w:t>are</w:t>
      </w:r>
      <w:r w:rsidR="000A5329" w:rsidRPr="002029AF">
        <w:t xml:space="preserve"> </w:t>
      </w:r>
      <w:r w:rsidRPr="002029AF">
        <w:t>contingent</w:t>
      </w:r>
      <w:r w:rsidR="000A5329" w:rsidRPr="002029AF">
        <w:t xml:space="preserve"> </w:t>
      </w:r>
      <w:r w:rsidRPr="002029AF">
        <w:t>in</w:t>
      </w:r>
      <w:r w:rsidR="000A5329" w:rsidRPr="002029AF">
        <w:t xml:space="preserve"> </w:t>
      </w:r>
      <w:r w:rsidRPr="002029AF">
        <w:t>nature</w:t>
      </w:r>
      <w:r w:rsidR="000A5329" w:rsidRPr="002029AF">
        <w:t xml:space="preserve"> </w:t>
      </w:r>
      <w:r w:rsidRPr="002029AF">
        <w:t>or</w:t>
      </w:r>
      <w:r w:rsidR="000A5329" w:rsidRPr="002029AF">
        <w:t xml:space="preserve"> </w:t>
      </w:r>
      <w:r w:rsidRPr="002029AF">
        <w:t>require</w:t>
      </w:r>
      <w:r w:rsidR="000A5329" w:rsidRPr="002029AF">
        <w:t xml:space="preserve"> </w:t>
      </w:r>
      <w:r w:rsidRPr="002029AF">
        <w:t>a</w:t>
      </w:r>
      <w:r w:rsidR="000A5329" w:rsidRPr="002029AF">
        <w:t xml:space="preserve"> </w:t>
      </w:r>
      <w:r w:rsidRPr="002029AF">
        <w:t>higher</w:t>
      </w:r>
      <w:r w:rsidR="000A5329" w:rsidRPr="002029AF">
        <w:t xml:space="preserve"> </w:t>
      </w:r>
      <w:r w:rsidRPr="002029AF">
        <w:t>level</w:t>
      </w:r>
      <w:r w:rsidR="000A5329" w:rsidRPr="002029AF">
        <w:t xml:space="preserve"> </w:t>
      </w:r>
      <w:r w:rsidRPr="002029AF">
        <w:t>of</w:t>
      </w:r>
      <w:r w:rsidR="000A5329" w:rsidRPr="002029AF">
        <w:t xml:space="preserve"> </w:t>
      </w:r>
      <w:r w:rsidRPr="002029AF">
        <w:t>judgement</w:t>
      </w:r>
      <w:r w:rsidR="000A5329" w:rsidRPr="002029AF">
        <w:t xml:space="preserve"> </w:t>
      </w:r>
      <w:r w:rsidRPr="002029AF">
        <w:t>to</w:t>
      </w:r>
      <w:r w:rsidR="000A5329" w:rsidRPr="002029AF">
        <w:t xml:space="preserve"> </w:t>
      </w:r>
      <w:r w:rsidRPr="002029AF">
        <w:t>be</w:t>
      </w:r>
      <w:r w:rsidR="000A5329" w:rsidRPr="002029AF">
        <w:t xml:space="preserve"> </w:t>
      </w:r>
      <w:r w:rsidRPr="002029AF">
        <w:t>applied,</w:t>
      </w:r>
      <w:r w:rsidR="000A5329" w:rsidRPr="002029AF">
        <w:t xml:space="preserve"> </w:t>
      </w:r>
      <w:r w:rsidRPr="002029AF">
        <w:t>which</w:t>
      </w:r>
      <w:r w:rsidR="000A5329" w:rsidRPr="002029AF">
        <w:t xml:space="preserve"> </w:t>
      </w:r>
      <w:r w:rsidRPr="002029AF">
        <w:t>for</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related</w:t>
      </w:r>
      <w:r w:rsidR="000A5329" w:rsidRPr="002029AF">
        <w:t xml:space="preserve"> </w:t>
      </w:r>
      <w:r w:rsidRPr="002029AF">
        <w:t>mainly</w:t>
      </w:r>
      <w:r w:rsidR="000A5329" w:rsidRPr="002029AF">
        <w:t xml:space="preserve"> </w:t>
      </w:r>
      <w:r w:rsidRPr="002029AF">
        <w:t>to</w:t>
      </w:r>
      <w:r w:rsidR="000A5329" w:rsidRPr="002029AF">
        <w:t xml:space="preserve"> </w:t>
      </w:r>
      <w:r w:rsidRPr="002029AF">
        <w:t>fair</w:t>
      </w:r>
      <w:r w:rsidR="000A5329" w:rsidRPr="002029AF">
        <w:t xml:space="preserve"> </w:t>
      </w:r>
      <w:r w:rsidRPr="002029AF">
        <w:t>value</w:t>
      </w:r>
      <w:r w:rsidR="000A5329" w:rsidRPr="002029AF">
        <w:t xml:space="preserve"> </w:t>
      </w:r>
      <w:r w:rsidRPr="002029AF">
        <w:t>determination.</w:t>
      </w:r>
    </w:p>
    <w:p w14:paraId="4C1C860D" w14:textId="77777777" w:rsidR="00087B91" w:rsidRPr="002029AF" w:rsidRDefault="00087B91" w:rsidP="00087B91">
      <w:pPr>
        <w:pStyle w:val="Heading4"/>
      </w:pPr>
      <w:r w:rsidRPr="002029AF">
        <w:t>Structure</w:t>
      </w:r>
    </w:p>
    <w:p w14:paraId="7D4F704B" w14:textId="298938AA" w:rsidR="00087B91" w:rsidRPr="002029AF" w:rsidRDefault="00087B91" w:rsidP="00087B91">
      <w:pPr>
        <w:pStyle w:val="ARfinstructure1"/>
      </w:pPr>
      <w:r w:rsidRPr="002029AF">
        <w:t>8.1</w:t>
      </w:r>
      <w:r w:rsidRPr="002029AF">
        <w:tab/>
        <w:t>Financial</w:t>
      </w:r>
      <w:r w:rsidR="000A5329" w:rsidRPr="002029AF">
        <w:t xml:space="preserve"> </w:t>
      </w:r>
      <w:r w:rsidRPr="002029AF">
        <w:t>instruments</w:t>
      </w:r>
      <w:r w:rsidR="000A5329" w:rsidRPr="002029AF">
        <w:t xml:space="preserve"> </w:t>
      </w:r>
      <w:r w:rsidRPr="002029AF">
        <w:t>specific</w:t>
      </w:r>
      <w:r w:rsidR="000A5329" w:rsidRPr="002029AF">
        <w:t xml:space="preserve"> </w:t>
      </w:r>
      <w:r w:rsidRPr="002029AF">
        <w:t>disclosures</w:t>
      </w:r>
    </w:p>
    <w:p w14:paraId="6B93F52A" w14:textId="4ECD32A3" w:rsidR="00087B91" w:rsidRPr="002029AF" w:rsidRDefault="00087B91" w:rsidP="00961519">
      <w:pPr>
        <w:pStyle w:val="ARfinstructure2"/>
        <w:ind w:left="720"/>
      </w:pPr>
      <w:r w:rsidRPr="002029AF">
        <w:t>8.1.1</w:t>
      </w:r>
      <w:r w:rsidRPr="002029AF">
        <w:tab/>
        <w:t>Financial</w:t>
      </w:r>
      <w:r w:rsidR="000A5329" w:rsidRPr="002029AF">
        <w:t xml:space="preserve"> </w:t>
      </w:r>
      <w:r w:rsidRPr="002029AF">
        <w:t>instruments:</w:t>
      </w:r>
      <w:r w:rsidR="000A5329" w:rsidRPr="002029AF">
        <w:t xml:space="preserve"> </w:t>
      </w:r>
      <w:r w:rsidRPr="002029AF">
        <w:t>categorisation</w:t>
      </w:r>
    </w:p>
    <w:p w14:paraId="26313948" w14:textId="63485B49" w:rsidR="00087B91" w:rsidRPr="002029AF" w:rsidRDefault="00087B91" w:rsidP="00961519">
      <w:pPr>
        <w:pStyle w:val="ARfinstructure2"/>
        <w:ind w:left="720"/>
      </w:pPr>
      <w:r w:rsidRPr="002029AF">
        <w:t>8.1.2</w:t>
      </w:r>
      <w:r w:rsidRPr="002029AF">
        <w:tab/>
        <w:t>Financial</w:t>
      </w:r>
      <w:r w:rsidR="000A5329" w:rsidRPr="002029AF">
        <w:t xml:space="preserve"> </w:t>
      </w:r>
      <w:r w:rsidRPr="002029AF">
        <w:t>instruments:</w:t>
      </w:r>
      <w:r w:rsidR="000A5329" w:rsidRPr="002029AF">
        <w:t xml:space="preserve"> </w:t>
      </w:r>
      <w:r w:rsidRPr="002029AF">
        <w:t>net</w:t>
      </w:r>
      <w:r w:rsidR="000A5329" w:rsidRPr="002029AF">
        <w:t xml:space="preserve"> </w:t>
      </w:r>
      <w:r w:rsidRPr="002029AF">
        <w:t>holding</w:t>
      </w:r>
      <w:r w:rsidR="000A5329" w:rsidRPr="002029AF">
        <w:t xml:space="preserve"> </w:t>
      </w:r>
      <w:r w:rsidRPr="002029AF">
        <w:t>gain/(loss)</w:t>
      </w:r>
      <w:r w:rsidR="000A5329" w:rsidRPr="002029AF">
        <w:t xml:space="preserve"> </w:t>
      </w:r>
      <w:r w:rsidRPr="002029AF">
        <w:t>on</w:t>
      </w:r>
      <w:r w:rsidR="000A5329" w:rsidRPr="002029AF">
        <w:t xml:space="preserve"> </w:t>
      </w:r>
      <w:r w:rsidRPr="002029AF">
        <w:t>financial</w:t>
      </w:r>
      <w:r w:rsidR="000A5329" w:rsidRPr="002029AF">
        <w:t xml:space="preserve"> </w:t>
      </w:r>
      <w:r w:rsidRPr="002029AF">
        <w:t>instruments</w:t>
      </w:r>
      <w:r w:rsidR="000A5329" w:rsidRPr="002029AF">
        <w:t xml:space="preserve"> </w:t>
      </w:r>
      <w:r w:rsidRPr="002029AF">
        <w:t>by</w:t>
      </w:r>
      <w:r w:rsidR="000A5329" w:rsidRPr="002029AF">
        <w:t xml:space="preserve"> </w:t>
      </w:r>
      <w:r w:rsidRPr="002029AF">
        <w:t>category</w:t>
      </w:r>
    </w:p>
    <w:p w14:paraId="496F3DB9" w14:textId="76634EE3" w:rsidR="00087B91" w:rsidRPr="002029AF" w:rsidRDefault="00087B91" w:rsidP="00961519">
      <w:pPr>
        <w:pStyle w:val="ARfinstructure2"/>
        <w:ind w:left="720"/>
      </w:pPr>
      <w:r w:rsidRPr="002029AF">
        <w:t>8.1.3</w:t>
      </w:r>
      <w:r w:rsidRPr="002029AF">
        <w:tab/>
        <w:t>Financial</w:t>
      </w:r>
      <w:r w:rsidR="000A5329" w:rsidRPr="002029AF">
        <w:t xml:space="preserve"> </w:t>
      </w:r>
      <w:r w:rsidRPr="002029AF">
        <w:t>risk</w:t>
      </w:r>
      <w:r w:rsidR="000A5329" w:rsidRPr="002029AF">
        <w:t xml:space="preserve"> </w:t>
      </w:r>
      <w:r w:rsidRPr="002029AF">
        <w:t>management</w:t>
      </w:r>
      <w:r w:rsidR="000A5329" w:rsidRPr="002029AF">
        <w:t xml:space="preserve"> </w:t>
      </w:r>
      <w:r w:rsidRPr="002029AF">
        <w:t>objectives</w:t>
      </w:r>
      <w:r w:rsidR="000A5329" w:rsidRPr="002029AF">
        <w:t xml:space="preserve"> </w:t>
      </w:r>
      <w:r w:rsidRPr="002029AF">
        <w:t>and</w:t>
      </w:r>
      <w:r w:rsidR="000A5329" w:rsidRPr="002029AF">
        <w:t xml:space="preserve"> </w:t>
      </w:r>
      <w:r w:rsidRPr="002029AF">
        <w:t>policies</w:t>
      </w:r>
    </w:p>
    <w:p w14:paraId="4B9FAF62" w14:textId="5C856E66" w:rsidR="00087B91" w:rsidRPr="002029AF" w:rsidRDefault="00087B91" w:rsidP="00087B91">
      <w:pPr>
        <w:pStyle w:val="ARfinstructure1"/>
      </w:pPr>
      <w:r w:rsidRPr="002029AF">
        <w:t>8.2</w:t>
      </w:r>
      <w:r w:rsidRPr="002029AF">
        <w:tab/>
        <w:t>Contingent</w:t>
      </w:r>
      <w:r w:rsidR="000A5329" w:rsidRPr="002029AF">
        <w:t xml:space="preserve"> </w:t>
      </w:r>
      <w:r w:rsidRPr="002029AF">
        <w:t>assets</w:t>
      </w:r>
      <w:r w:rsidR="000A5329" w:rsidRPr="002029AF">
        <w:t xml:space="preserve"> </w:t>
      </w:r>
      <w:r w:rsidRPr="002029AF">
        <w:t>and</w:t>
      </w:r>
      <w:r w:rsidR="000A5329" w:rsidRPr="002029AF">
        <w:t xml:space="preserve"> </w:t>
      </w:r>
      <w:r w:rsidRPr="002029AF">
        <w:t>contingent</w:t>
      </w:r>
      <w:r w:rsidR="000A5329" w:rsidRPr="002029AF">
        <w:t xml:space="preserve"> </w:t>
      </w:r>
      <w:r w:rsidRPr="002029AF">
        <w:t>liabilities</w:t>
      </w:r>
    </w:p>
    <w:p w14:paraId="48181FE3" w14:textId="03E632C0" w:rsidR="00087B91" w:rsidRPr="002029AF" w:rsidRDefault="00087B91" w:rsidP="00087B91">
      <w:pPr>
        <w:pStyle w:val="ARfinstructure1"/>
      </w:pPr>
      <w:r w:rsidRPr="002029AF">
        <w:t>8.3</w:t>
      </w:r>
      <w:r w:rsidRPr="002029AF">
        <w:tab/>
        <w:t>Fair</w:t>
      </w:r>
      <w:r w:rsidR="000A5329" w:rsidRPr="002029AF">
        <w:t xml:space="preserve"> </w:t>
      </w:r>
      <w:r w:rsidRPr="002029AF">
        <w:t>value</w:t>
      </w:r>
      <w:r w:rsidR="000A5329" w:rsidRPr="002029AF">
        <w:t xml:space="preserve"> </w:t>
      </w:r>
      <w:r w:rsidRPr="002029AF">
        <w:t>determination</w:t>
      </w:r>
    </w:p>
    <w:p w14:paraId="608C26C6" w14:textId="5800BBD8" w:rsidR="00087B91" w:rsidRPr="002029AF" w:rsidRDefault="00087B91" w:rsidP="00961519">
      <w:pPr>
        <w:pStyle w:val="ARfinstructure2"/>
        <w:ind w:left="720"/>
      </w:pPr>
      <w:r w:rsidRPr="002029AF">
        <w:t>8.3.1</w:t>
      </w:r>
      <w:r w:rsidRPr="002029AF">
        <w:tab/>
        <w:t>Fair</w:t>
      </w:r>
      <w:r w:rsidR="000A5329" w:rsidRPr="002029AF">
        <w:t xml:space="preserve"> </w:t>
      </w:r>
      <w:r w:rsidRPr="002029AF">
        <w:t>value</w:t>
      </w:r>
      <w:r w:rsidR="000A5329" w:rsidRPr="002029AF">
        <w:t xml:space="preserve"> </w:t>
      </w:r>
      <w:r w:rsidRPr="002029AF">
        <w:t>determination</w:t>
      </w:r>
      <w:r w:rsidR="000A5329" w:rsidRPr="002029AF">
        <w:t xml:space="preserve"> </w:t>
      </w:r>
      <w:r w:rsidRPr="002029AF">
        <w:t>of</w:t>
      </w:r>
      <w:r w:rsidR="000A5329" w:rsidRPr="002029AF">
        <w:t xml:space="preserve"> </w:t>
      </w:r>
      <w:r w:rsidRPr="002029AF">
        <w:t>financial</w:t>
      </w:r>
      <w:r w:rsidR="000A5329" w:rsidRPr="002029AF">
        <w:t xml:space="preserve"> </w:t>
      </w:r>
      <w:r w:rsidRPr="002029AF">
        <w:t>assets</w:t>
      </w:r>
      <w:r w:rsidR="000A5329" w:rsidRPr="002029AF">
        <w:t xml:space="preserve"> </w:t>
      </w:r>
      <w:r w:rsidRPr="002029AF">
        <w:t>and</w:t>
      </w:r>
      <w:r w:rsidR="000A5329" w:rsidRPr="002029AF">
        <w:t xml:space="preserve"> </w:t>
      </w:r>
      <w:r w:rsidRPr="002029AF">
        <w:t>liabilities</w:t>
      </w:r>
    </w:p>
    <w:p w14:paraId="7BB85590" w14:textId="6EFB8DD1" w:rsidR="00087B91" w:rsidRPr="002029AF" w:rsidRDefault="00087B91" w:rsidP="00961519">
      <w:pPr>
        <w:pStyle w:val="ARfinstructure2"/>
        <w:ind w:left="720"/>
      </w:pPr>
      <w:r w:rsidRPr="002029AF">
        <w:t>8.3.2</w:t>
      </w:r>
      <w:r w:rsidRPr="002029AF">
        <w:tab/>
        <w:t>Fair</w:t>
      </w:r>
      <w:r w:rsidR="000A5329" w:rsidRPr="002029AF">
        <w:t xml:space="preserve"> </w:t>
      </w:r>
      <w:r w:rsidRPr="002029AF">
        <w:t>value</w:t>
      </w:r>
      <w:r w:rsidR="000A5329" w:rsidRPr="002029AF">
        <w:t xml:space="preserve"> </w:t>
      </w:r>
      <w:r w:rsidRPr="002029AF">
        <w:t>determination</w:t>
      </w:r>
      <w:r w:rsidR="000A5329" w:rsidRPr="002029AF">
        <w:t xml:space="preserve"> </w:t>
      </w:r>
      <w:r w:rsidRPr="002029AF">
        <w:t>of</w:t>
      </w:r>
      <w:r w:rsidR="000A5329" w:rsidRPr="002029AF">
        <w:t xml:space="preserve"> </w:t>
      </w:r>
      <w:r w:rsidRPr="002029AF">
        <w:t>non-financial</w:t>
      </w:r>
      <w:r w:rsidR="000A5329" w:rsidRPr="002029AF">
        <w:t xml:space="preserve"> </w:t>
      </w:r>
      <w:r w:rsidRPr="002029AF">
        <w:t>physical</w:t>
      </w:r>
      <w:r w:rsidR="000A5329" w:rsidRPr="002029AF">
        <w:t xml:space="preserve"> </w:t>
      </w:r>
      <w:r w:rsidRPr="002029AF">
        <w:t>assets</w:t>
      </w:r>
    </w:p>
    <w:p w14:paraId="69B77B22" w14:textId="548BFA1B" w:rsidR="00087B91" w:rsidRPr="002029AF" w:rsidRDefault="00087B91" w:rsidP="00087B91">
      <w:pPr>
        <w:pStyle w:val="Heading4"/>
      </w:pPr>
      <w:bookmarkStart w:id="376" w:name="_Toc39242162"/>
      <w:bookmarkStart w:id="377" w:name="_Ref52455344"/>
      <w:r w:rsidRPr="002029AF">
        <w:t>8.1</w:t>
      </w:r>
      <w:r w:rsidR="000A5329" w:rsidRPr="002029AF">
        <w:t xml:space="preserve"> </w:t>
      </w:r>
      <w:r w:rsidRPr="002029AF">
        <w:t>Financial</w:t>
      </w:r>
      <w:r w:rsidR="000A5329" w:rsidRPr="002029AF">
        <w:t xml:space="preserve"> </w:t>
      </w:r>
      <w:r w:rsidRPr="002029AF">
        <w:t>instruments</w:t>
      </w:r>
      <w:r w:rsidR="000A5329" w:rsidRPr="002029AF">
        <w:t xml:space="preserve"> </w:t>
      </w:r>
      <w:r w:rsidRPr="002029AF">
        <w:t>specific</w:t>
      </w:r>
      <w:r w:rsidR="000A5329" w:rsidRPr="002029AF">
        <w:t xml:space="preserve"> </w:t>
      </w:r>
      <w:r w:rsidRPr="002029AF">
        <w:t>disclosures</w:t>
      </w:r>
      <w:bookmarkEnd w:id="376"/>
      <w:bookmarkEnd w:id="377"/>
    </w:p>
    <w:p w14:paraId="3EFBB113" w14:textId="77777777" w:rsidR="00087B91" w:rsidRPr="002029AF" w:rsidRDefault="00087B91" w:rsidP="00087B91">
      <w:pPr>
        <w:pStyle w:val="Heading5"/>
      </w:pPr>
      <w:r w:rsidRPr="002029AF">
        <w:t>Introduction</w:t>
      </w:r>
    </w:p>
    <w:p w14:paraId="58C50B0E" w14:textId="12EEEBCF" w:rsidR="00087B91" w:rsidRPr="002029AF" w:rsidRDefault="00087B91" w:rsidP="00087B91">
      <w:pPr>
        <w:pStyle w:val="ARfinbody"/>
      </w:pPr>
      <w:r w:rsidRPr="002029AF">
        <w:t>Financial</w:t>
      </w:r>
      <w:r w:rsidR="000A5329" w:rsidRPr="002029AF">
        <w:t xml:space="preserve"> </w:t>
      </w:r>
      <w:r w:rsidRPr="002029AF">
        <w:t>instruments</w:t>
      </w:r>
      <w:r w:rsidR="000A5329" w:rsidRPr="002029AF">
        <w:t xml:space="preserve"> </w:t>
      </w:r>
      <w:r w:rsidRPr="002029AF">
        <w:t>arise</w:t>
      </w:r>
      <w:r w:rsidR="000A5329" w:rsidRPr="002029AF">
        <w:t xml:space="preserve"> </w:t>
      </w:r>
      <w:r w:rsidRPr="002029AF">
        <w:t>out</w:t>
      </w:r>
      <w:r w:rsidR="000A5329" w:rsidRPr="002029AF">
        <w:t xml:space="preserve"> </w:t>
      </w:r>
      <w:r w:rsidRPr="002029AF">
        <w:t>of</w:t>
      </w:r>
      <w:r w:rsidR="000A5329" w:rsidRPr="002029AF">
        <w:t xml:space="preserve"> </w:t>
      </w:r>
      <w:r w:rsidRPr="002029AF">
        <w:t>contractual</w:t>
      </w:r>
      <w:r w:rsidR="000A5329" w:rsidRPr="002029AF">
        <w:t xml:space="preserve"> </w:t>
      </w:r>
      <w:r w:rsidRPr="002029AF">
        <w:t>agreements</w:t>
      </w:r>
      <w:r w:rsidR="000A5329" w:rsidRPr="002029AF">
        <w:t xml:space="preserve"> </w:t>
      </w:r>
      <w:r w:rsidRPr="002029AF">
        <w:t>that</w:t>
      </w:r>
      <w:r w:rsidR="000A5329" w:rsidRPr="002029AF">
        <w:t xml:space="preserve"> </w:t>
      </w:r>
      <w:r w:rsidRPr="002029AF">
        <w:t>give</w:t>
      </w:r>
      <w:r w:rsidR="000A5329" w:rsidRPr="002029AF">
        <w:t xml:space="preserve"> </w:t>
      </w:r>
      <w:r w:rsidRPr="002029AF">
        <w:t>rise</w:t>
      </w:r>
      <w:r w:rsidR="000A5329" w:rsidRPr="002029AF">
        <w:t xml:space="preserve"> </w:t>
      </w:r>
      <w:r w:rsidRPr="002029AF">
        <w:t>to</w:t>
      </w:r>
      <w:r w:rsidR="000A5329" w:rsidRPr="002029AF">
        <w:t xml:space="preserve"> </w:t>
      </w:r>
      <w:r w:rsidRPr="002029AF">
        <w:t>a</w:t>
      </w:r>
      <w:r w:rsidR="000A5329" w:rsidRPr="002029AF">
        <w:t xml:space="preserve"> </w:t>
      </w:r>
      <w:r w:rsidRPr="002029AF">
        <w:t>financial</w:t>
      </w:r>
      <w:r w:rsidR="000A5329" w:rsidRPr="002029AF">
        <w:t xml:space="preserve"> </w:t>
      </w:r>
      <w:r w:rsidRPr="002029AF">
        <w:t>asset</w:t>
      </w:r>
      <w:r w:rsidR="000A5329" w:rsidRPr="002029AF">
        <w:t xml:space="preserve"> </w:t>
      </w:r>
      <w:r w:rsidRPr="002029AF">
        <w:t>of</w:t>
      </w:r>
      <w:r w:rsidR="000A5329" w:rsidRPr="002029AF">
        <w:t xml:space="preserve"> </w:t>
      </w:r>
      <w:r w:rsidRPr="002029AF">
        <w:t>one</w:t>
      </w:r>
      <w:r w:rsidR="000A5329" w:rsidRPr="002029AF">
        <w:t xml:space="preserve"> </w:t>
      </w:r>
      <w:r w:rsidRPr="002029AF">
        <w:t>entity</w:t>
      </w:r>
      <w:r w:rsidR="000A5329" w:rsidRPr="002029AF">
        <w:t xml:space="preserve"> </w:t>
      </w:r>
      <w:r w:rsidRPr="002029AF">
        <w:t>and</w:t>
      </w:r>
      <w:r w:rsidR="000A5329" w:rsidRPr="002029AF">
        <w:t xml:space="preserve"> </w:t>
      </w:r>
      <w:r w:rsidRPr="002029AF">
        <w:t>a</w:t>
      </w:r>
      <w:r w:rsidR="000A5329" w:rsidRPr="002029AF">
        <w:t xml:space="preserve"> </w:t>
      </w:r>
      <w:r w:rsidRPr="002029AF">
        <w:t>financial</w:t>
      </w:r>
      <w:r w:rsidR="000A5329" w:rsidRPr="002029AF">
        <w:t xml:space="preserve"> </w:t>
      </w:r>
      <w:r w:rsidRPr="002029AF">
        <w:t>liability</w:t>
      </w:r>
      <w:r w:rsidR="000A5329" w:rsidRPr="002029AF">
        <w:t xml:space="preserve"> </w:t>
      </w:r>
      <w:r w:rsidRPr="002029AF">
        <w:t>or</w:t>
      </w:r>
      <w:r w:rsidR="000A5329" w:rsidRPr="002029AF">
        <w:t xml:space="preserve"> </w:t>
      </w:r>
      <w:r w:rsidRPr="002029AF">
        <w:t>equity</w:t>
      </w:r>
      <w:r w:rsidR="000A5329" w:rsidRPr="002029AF">
        <w:t xml:space="preserve"> </w:t>
      </w:r>
      <w:r w:rsidRPr="002029AF">
        <w:t>instrument</w:t>
      </w:r>
      <w:r w:rsidR="000A5329" w:rsidRPr="002029AF">
        <w:t xml:space="preserve"> </w:t>
      </w:r>
      <w:r w:rsidRPr="002029AF">
        <w:t>of</w:t>
      </w:r>
      <w:r w:rsidR="000A5329" w:rsidRPr="002029AF">
        <w:t xml:space="preserve"> </w:t>
      </w:r>
      <w:r w:rsidRPr="002029AF">
        <w:t>another</w:t>
      </w:r>
      <w:r w:rsidR="000A5329" w:rsidRPr="002029AF">
        <w:t xml:space="preserve"> </w:t>
      </w:r>
      <w:r w:rsidRPr="002029AF">
        <w:t>entity.</w:t>
      </w:r>
      <w:r w:rsidR="000A5329" w:rsidRPr="002029AF">
        <w:t xml:space="preserve"> </w:t>
      </w:r>
      <w:r w:rsidRPr="002029AF">
        <w:t>Due</w:t>
      </w:r>
      <w:r w:rsidR="000A5329" w:rsidRPr="002029AF">
        <w:t xml:space="preserve"> </w:t>
      </w:r>
      <w:r w:rsidRPr="002029AF">
        <w:t>to</w:t>
      </w:r>
      <w:r w:rsidR="000A5329" w:rsidRPr="002029AF">
        <w:t xml:space="preserve"> </w:t>
      </w:r>
      <w:r w:rsidRPr="002029AF">
        <w:t>the</w:t>
      </w:r>
      <w:r w:rsidR="000A5329" w:rsidRPr="002029AF">
        <w:t xml:space="preserve"> </w:t>
      </w:r>
      <w:r w:rsidRPr="002029AF">
        <w:t>nature</w:t>
      </w:r>
      <w:r w:rsidR="000A5329" w:rsidRPr="002029AF">
        <w:t xml:space="preserve"> </w:t>
      </w:r>
      <w:r w:rsidRPr="002029AF">
        <w:t>of</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activities,</w:t>
      </w:r>
      <w:r w:rsidR="000A5329" w:rsidRPr="002029AF">
        <w:t xml:space="preserve"> </w:t>
      </w:r>
      <w:r w:rsidRPr="002029AF">
        <w:t>certain</w:t>
      </w:r>
      <w:r w:rsidR="000A5329" w:rsidRPr="002029AF">
        <w:t xml:space="preserve"> </w:t>
      </w:r>
      <w:r w:rsidRPr="002029AF">
        <w:t>financial</w:t>
      </w:r>
      <w:r w:rsidR="000A5329" w:rsidRPr="002029AF">
        <w:t xml:space="preserve"> </w:t>
      </w:r>
      <w:r w:rsidRPr="002029AF">
        <w:t>assets</w:t>
      </w:r>
      <w:r w:rsidR="000A5329" w:rsidRPr="002029AF">
        <w:t xml:space="preserve"> </w:t>
      </w:r>
      <w:r w:rsidRPr="002029AF">
        <w:t>and</w:t>
      </w:r>
      <w:r w:rsidR="000A5329" w:rsidRPr="002029AF">
        <w:t xml:space="preserve"> </w:t>
      </w:r>
      <w:r w:rsidRPr="002029AF">
        <w:t>financial</w:t>
      </w:r>
      <w:r w:rsidR="000A5329" w:rsidRPr="002029AF">
        <w:t xml:space="preserve"> </w:t>
      </w:r>
      <w:r w:rsidRPr="002029AF">
        <w:t>liabilities</w:t>
      </w:r>
      <w:r w:rsidR="000A5329" w:rsidRPr="002029AF">
        <w:t xml:space="preserve"> </w:t>
      </w:r>
      <w:r w:rsidRPr="002029AF">
        <w:t>arise</w:t>
      </w:r>
      <w:r w:rsidR="000A5329" w:rsidRPr="002029AF">
        <w:t xml:space="preserve"> </w:t>
      </w:r>
      <w:r w:rsidRPr="002029AF">
        <w:t>under</w:t>
      </w:r>
      <w:r w:rsidR="000A5329" w:rsidRPr="002029AF">
        <w:t xml:space="preserve"> </w:t>
      </w:r>
      <w:r w:rsidRPr="002029AF">
        <w:t>statute</w:t>
      </w:r>
      <w:r w:rsidR="000A5329" w:rsidRPr="002029AF">
        <w:t xml:space="preserve"> </w:t>
      </w:r>
      <w:r w:rsidRPr="002029AF">
        <w:t>rather</w:t>
      </w:r>
      <w:r w:rsidR="000A5329" w:rsidRPr="002029AF">
        <w:t xml:space="preserve"> </w:t>
      </w:r>
      <w:r w:rsidRPr="002029AF">
        <w:t>than</w:t>
      </w:r>
      <w:r w:rsidR="000A5329" w:rsidRPr="002029AF">
        <w:t xml:space="preserve"> </w:t>
      </w:r>
      <w:r w:rsidRPr="002029AF">
        <w:t>a</w:t>
      </w:r>
      <w:r w:rsidR="000A5329" w:rsidRPr="002029AF">
        <w:t xml:space="preserve"> </w:t>
      </w:r>
      <w:r w:rsidRPr="002029AF">
        <w:t>contract</w:t>
      </w:r>
      <w:r w:rsidR="000A5329" w:rsidRPr="002029AF">
        <w:t xml:space="preserve"> </w:t>
      </w:r>
      <w:r w:rsidRPr="002029AF">
        <w:t>(for</w:t>
      </w:r>
      <w:r w:rsidR="000A5329" w:rsidRPr="002029AF">
        <w:t xml:space="preserve"> </w:t>
      </w:r>
      <w:r w:rsidRPr="002029AF">
        <w:t>example</w:t>
      </w:r>
      <w:r w:rsidR="000A5329" w:rsidRPr="002029AF">
        <w:t xml:space="preserve"> </w:t>
      </w:r>
      <w:r w:rsidRPr="002029AF">
        <w:t>taxes,</w:t>
      </w:r>
      <w:r w:rsidR="000A5329" w:rsidRPr="002029AF">
        <w:t xml:space="preserve"> </w:t>
      </w:r>
      <w:r w:rsidRPr="002029AF">
        <w:t>fines</w:t>
      </w:r>
      <w:r w:rsidR="000A5329" w:rsidRPr="002029AF">
        <w:t xml:space="preserve"> </w:t>
      </w:r>
      <w:r w:rsidRPr="002029AF">
        <w:t>and</w:t>
      </w:r>
      <w:r w:rsidR="000A5329" w:rsidRPr="002029AF">
        <w:t xml:space="preserve"> </w:t>
      </w:r>
      <w:r w:rsidRPr="002029AF">
        <w:t>penalties).</w:t>
      </w:r>
      <w:r w:rsidR="000A5329" w:rsidRPr="002029AF">
        <w:t xml:space="preserve"> </w:t>
      </w:r>
      <w:r w:rsidRPr="002029AF">
        <w:t>Such</w:t>
      </w:r>
      <w:r w:rsidR="000A5329" w:rsidRPr="002029AF">
        <w:t xml:space="preserve"> </w:t>
      </w:r>
      <w:r w:rsidRPr="002029AF">
        <w:t>assets</w:t>
      </w:r>
      <w:r w:rsidR="000A5329" w:rsidRPr="002029AF">
        <w:t xml:space="preserve"> </w:t>
      </w:r>
      <w:r w:rsidRPr="002029AF">
        <w:t>and</w:t>
      </w:r>
      <w:r w:rsidR="000A5329" w:rsidRPr="002029AF">
        <w:t xml:space="preserve"> </w:t>
      </w:r>
      <w:r w:rsidRPr="002029AF">
        <w:t>liabilities</w:t>
      </w:r>
      <w:r w:rsidR="000A5329" w:rsidRPr="002029AF">
        <w:t xml:space="preserve"> </w:t>
      </w:r>
      <w:r w:rsidRPr="002029AF">
        <w:t>do</w:t>
      </w:r>
      <w:r w:rsidR="000A5329" w:rsidRPr="002029AF">
        <w:t xml:space="preserve"> </w:t>
      </w:r>
      <w:r w:rsidRPr="002029AF">
        <w:t>not</w:t>
      </w:r>
      <w:r w:rsidR="000A5329" w:rsidRPr="002029AF">
        <w:t xml:space="preserve"> </w:t>
      </w:r>
      <w:r w:rsidRPr="002029AF">
        <w:t>meet</w:t>
      </w:r>
      <w:r w:rsidR="000A5329" w:rsidRPr="002029AF">
        <w:t xml:space="preserve"> </w:t>
      </w:r>
      <w:r w:rsidRPr="002029AF">
        <w:t>the</w:t>
      </w:r>
      <w:r w:rsidR="000A5329" w:rsidRPr="002029AF">
        <w:t xml:space="preserve"> </w:t>
      </w:r>
      <w:r w:rsidRPr="002029AF">
        <w:t>definition</w:t>
      </w:r>
      <w:r w:rsidR="000A5329" w:rsidRPr="002029AF">
        <w:t xml:space="preserve"> </w:t>
      </w:r>
      <w:r w:rsidRPr="002029AF">
        <w:t>of</w:t>
      </w:r>
      <w:r w:rsidR="000A5329" w:rsidRPr="002029AF">
        <w:t xml:space="preserve"> </w:t>
      </w:r>
      <w:r w:rsidRPr="002029AF">
        <w:t>financial</w:t>
      </w:r>
      <w:r w:rsidR="000A5329" w:rsidRPr="002029AF">
        <w:t xml:space="preserve"> </w:t>
      </w:r>
      <w:r w:rsidRPr="002029AF">
        <w:t>instruments</w:t>
      </w:r>
      <w:r w:rsidR="000A5329" w:rsidRPr="002029AF">
        <w:t xml:space="preserve"> </w:t>
      </w:r>
      <w:r w:rsidRPr="002029AF">
        <w:t>in</w:t>
      </w:r>
      <w:r w:rsidR="000A5329" w:rsidRPr="002029AF">
        <w:t xml:space="preserve"> </w:t>
      </w:r>
      <w:r w:rsidRPr="002029AF">
        <w:t>AASB</w:t>
      </w:r>
      <w:r w:rsidR="000A5329" w:rsidRPr="002029AF">
        <w:t xml:space="preserve"> </w:t>
      </w:r>
      <w:r w:rsidRPr="002029AF">
        <w:t>132</w:t>
      </w:r>
      <w:r w:rsidR="000A5329" w:rsidRPr="002029AF">
        <w:t xml:space="preserve"> </w:t>
      </w:r>
      <w:r w:rsidRPr="002029AF">
        <w:rPr>
          <w:rStyle w:val="Emphasis"/>
        </w:rPr>
        <w:t>Financial</w:t>
      </w:r>
      <w:r w:rsidR="000A5329" w:rsidRPr="002029AF">
        <w:rPr>
          <w:rStyle w:val="Emphasis"/>
        </w:rPr>
        <w:t xml:space="preserve"> </w:t>
      </w:r>
      <w:r w:rsidRPr="002029AF">
        <w:rPr>
          <w:rStyle w:val="Emphasis"/>
        </w:rPr>
        <w:t>Instruments:</w:t>
      </w:r>
      <w:r w:rsidR="000A5329" w:rsidRPr="002029AF">
        <w:rPr>
          <w:rStyle w:val="Emphasis"/>
        </w:rPr>
        <w:t xml:space="preserve"> </w:t>
      </w:r>
      <w:r w:rsidRPr="002029AF">
        <w:rPr>
          <w:rStyle w:val="Emphasis"/>
        </w:rPr>
        <w:t>Presentation</w:t>
      </w:r>
      <w:r w:rsidRPr="002029AF">
        <w:t>.</w:t>
      </w:r>
    </w:p>
    <w:p w14:paraId="1A45FA2B" w14:textId="36E085AC" w:rsidR="00087B91" w:rsidRPr="002029AF" w:rsidRDefault="00087B91" w:rsidP="00087B91">
      <w:pPr>
        <w:pStyle w:val="ARfinbody"/>
      </w:pPr>
      <w:r w:rsidRPr="002029AF">
        <w:t>Guarantees</w:t>
      </w:r>
      <w:r w:rsidR="000A5329" w:rsidRPr="002029AF">
        <w:t xml:space="preserve"> </w:t>
      </w:r>
      <w:r w:rsidRPr="002029AF">
        <w:t>issued</w:t>
      </w:r>
      <w:r w:rsidR="000A5329" w:rsidRPr="002029AF">
        <w:t xml:space="preserve"> </w:t>
      </w:r>
      <w:r w:rsidRPr="002029AF">
        <w:t>on</w:t>
      </w:r>
      <w:r w:rsidR="000A5329" w:rsidRPr="002029AF">
        <w:t xml:space="preserve"> </w:t>
      </w:r>
      <w:r w:rsidRPr="002029AF">
        <w:t>behalf</w:t>
      </w:r>
      <w:r w:rsidR="000A5329" w:rsidRPr="002029AF">
        <w:t xml:space="preserve"> </w:t>
      </w:r>
      <w:r w:rsidRPr="002029AF">
        <w:t>of</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are</w:t>
      </w:r>
      <w:r w:rsidR="000A5329" w:rsidRPr="002029AF">
        <w:t xml:space="preserve"> </w:t>
      </w:r>
      <w:r w:rsidRPr="002029AF">
        <w:t>financial</w:t>
      </w:r>
      <w:r w:rsidR="000A5329" w:rsidRPr="002029AF">
        <w:t xml:space="preserve"> </w:t>
      </w:r>
      <w:r w:rsidRPr="002029AF">
        <w:t>instruments</w:t>
      </w:r>
      <w:r w:rsidR="000A5329" w:rsidRPr="002029AF">
        <w:t xml:space="preserve"> </w:t>
      </w:r>
      <w:r w:rsidRPr="002029AF">
        <w:t>because,</w:t>
      </w:r>
      <w:r w:rsidR="000A5329" w:rsidRPr="002029AF">
        <w:t xml:space="preserve"> </w:t>
      </w:r>
      <w:r w:rsidRPr="002029AF">
        <w:t>although</w:t>
      </w:r>
      <w:r w:rsidR="000A5329" w:rsidRPr="002029AF">
        <w:t xml:space="preserve"> </w:t>
      </w:r>
      <w:r w:rsidRPr="002029AF">
        <w:t>authorised</w:t>
      </w:r>
      <w:r w:rsidR="000A5329" w:rsidRPr="002029AF">
        <w:t xml:space="preserve"> </w:t>
      </w:r>
      <w:r w:rsidRPr="002029AF">
        <w:t>under</w:t>
      </w:r>
      <w:r w:rsidR="000A5329" w:rsidRPr="002029AF">
        <w:t xml:space="preserve"> </w:t>
      </w:r>
      <w:r w:rsidRPr="002029AF">
        <w:t>statute,</w:t>
      </w:r>
      <w:r w:rsidR="000A5329" w:rsidRPr="002029AF">
        <w:t xml:space="preserve"> </w:t>
      </w:r>
      <w:r w:rsidRPr="002029AF">
        <w:t>terms</w:t>
      </w:r>
      <w:r w:rsidR="000A5329" w:rsidRPr="002029AF">
        <w:t xml:space="preserve"> </w:t>
      </w:r>
      <w:r w:rsidRPr="002029AF">
        <w:t>and</w:t>
      </w:r>
      <w:r w:rsidR="000A5329" w:rsidRPr="002029AF">
        <w:t xml:space="preserve"> </w:t>
      </w:r>
      <w:r w:rsidRPr="002029AF">
        <w:t>conditions</w:t>
      </w:r>
      <w:r w:rsidR="000A5329" w:rsidRPr="002029AF">
        <w:t xml:space="preserve"> </w:t>
      </w:r>
      <w:r w:rsidRPr="002029AF">
        <w:t>for</w:t>
      </w:r>
      <w:r w:rsidR="000A5329" w:rsidRPr="002029AF">
        <w:t xml:space="preserve"> </w:t>
      </w:r>
      <w:r w:rsidRPr="002029AF">
        <w:t>each</w:t>
      </w:r>
      <w:r w:rsidR="000A5329" w:rsidRPr="002029AF">
        <w:t xml:space="preserve"> </w:t>
      </w:r>
      <w:r w:rsidRPr="002029AF">
        <w:t>financial</w:t>
      </w:r>
      <w:r w:rsidR="000A5329" w:rsidRPr="002029AF">
        <w:t xml:space="preserve"> </w:t>
      </w:r>
      <w:r w:rsidRPr="002029AF">
        <w:t>guarantee</w:t>
      </w:r>
      <w:r w:rsidR="000A5329" w:rsidRPr="002029AF">
        <w:t xml:space="preserve"> </w:t>
      </w:r>
      <w:r w:rsidRPr="002029AF">
        <w:t>may</w:t>
      </w:r>
      <w:r w:rsidR="000A5329" w:rsidRPr="002029AF">
        <w:t xml:space="preserve"> </w:t>
      </w:r>
      <w:r w:rsidRPr="002029AF">
        <w:t>vary</w:t>
      </w:r>
      <w:r w:rsidR="000A5329" w:rsidRPr="002029AF">
        <w:t xml:space="preserve"> </w:t>
      </w:r>
      <w:r w:rsidRPr="002029AF">
        <w:t>and</w:t>
      </w:r>
      <w:r w:rsidR="000A5329" w:rsidRPr="002029AF">
        <w:t xml:space="preserve"> </w:t>
      </w:r>
      <w:r w:rsidRPr="002029AF">
        <w:t>are</w:t>
      </w:r>
      <w:r w:rsidR="000A5329" w:rsidRPr="002029AF">
        <w:t xml:space="preserve"> </w:t>
      </w:r>
      <w:r w:rsidRPr="002029AF">
        <w:t>subject</w:t>
      </w:r>
      <w:r w:rsidR="000A5329" w:rsidRPr="002029AF">
        <w:t xml:space="preserve"> </w:t>
      </w:r>
      <w:r w:rsidRPr="002029AF">
        <w:t>to</w:t>
      </w:r>
      <w:r w:rsidR="000A5329" w:rsidRPr="002029AF">
        <w:t xml:space="preserve"> </w:t>
      </w:r>
      <w:r w:rsidRPr="002029AF">
        <w:t>an</w:t>
      </w:r>
      <w:r w:rsidR="000A5329" w:rsidRPr="002029AF">
        <w:t xml:space="preserve"> </w:t>
      </w:r>
      <w:r w:rsidRPr="002029AF">
        <w:t>agreement.</w:t>
      </w:r>
    </w:p>
    <w:p w14:paraId="099B148C" w14:textId="493EADEF" w:rsidR="00087B91" w:rsidRPr="002029AF" w:rsidRDefault="00087B91" w:rsidP="00087B91">
      <w:pPr>
        <w:pStyle w:val="Heading5"/>
      </w:pPr>
      <w:r w:rsidRPr="002029AF">
        <w:t>Categories</w:t>
      </w:r>
      <w:r w:rsidR="000A5329" w:rsidRPr="002029AF">
        <w:t xml:space="preserve"> </w:t>
      </w:r>
      <w:r w:rsidRPr="002029AF">
        <w:t>of</w:t>
      </w:r>
      <w:r w:rsidR="000A5329" w:rsidRPr="002029AF">
        <w:t xml:space="preserve"> </w:t>
      </w:r>
      <w:r w:rsidRPr="002029AF">
        <w:t>financial</w:t>
      </w:r>
      <w:r w:rsidR="000A5329" w:rsidRPr="002029AF">
        <w:t xml:space="preserve"> </w:t>
      </w:r>
      <w:r w:rsidRPr="002029AF">
        <w:t>assets</w:t>
      </w:r>
    </w:p>
    <w:p w14:paraId="1D6FF8EE" w14:textId="22A31235" w:rsidR="00087B91" w:rsidRPr="002029AF" w:rsidRDefault="00087B91" w:rsidP="00087B91">
      <w:pPr>
        <w:pStyle w:val="Heading6"/>
        <w:rPr>
          <w:lang w:val="en-AU"/>
        </w:rPr>
      </w:pPr>
      <w:r w:rsidRPr="002029AF">
        <w:rPr>
          <w:lang w:val="en-AU"/>
        </w:rPr>
        <w:t>Financial</w:t>
      </w:r>
      <w:r w:rsidR="000A5329" w:rsidRPr="002029AF">
        <w:rPr>
          <w:lang w:val="en-AU"/>
        </w:rPr>
        <w:t xml:space="preserve"> </w:t>
      </w:r>
      <w:r w:rsidRPr="002029AF">
        <w:rPr>
          <w:lang w:val="en-AU"/>
        </w:rPr>
        <w:t>assets</w:t>
      </w:r>
      <w:r w:rsidR="000A5329" w:rsidRPr="002029AF">
        <w:rPr>
          <w:lang w:val="en-AU"/>
        </w:rPr>
        <w:t xml:space="preserve"> </w:t>
      </w:r>
      <w:r w:rsidRPr="002029AF">
        <w:rPr>
          <w:lang w:val="en-AU"/>
        </w:rPr>
        <w:t>at</w:t>
      </w:r>
      <w:r w:rsidR="000A5329" w:rsidRPr="002029AF">
        <w:rPr>
          <w:lang w:val="en-AU"/>
        </w:rPr>
        <w:t xml:space="preserve"> </w:t>
      </w:r>
      <w:r w:rsidRPr="002029AF">
        <w:rPr>
          <w:lang w:val="en-AU"/>
        </w:rPr>
        <w:t>amortised</w:t>
      </w:r>
      <w:r w:rsidR="000A5329" w:rsidRPr="002029AF">
        <w:rPr>
          <w:lang w:val="en-AU"/>
        </w:rPr>
        <w:t xml:space="preserve"> </w:t>
      </w:r>
      <w:r w:rsidRPr="002029AF">
        <w:rPr>
          <w:lang w:val="en-AU"/>
        </w:rPr>
        <w:t>cost</w:t>
      </w:r>
    </w:p>
    <w:p w14:paraId="6BAD9388" w14:textId="35C54592" w:rsidR="00087B91" w:rsidRPr="002029AF" w:rsidRDefault="00087B91" w:rsidP="00087B91">
      <w:pPr>
        <w:pStyle w:val="ARfinbody"/>
      </w:pPr>
      <w:r w:rsidRPr="002029AF">
        <w:t>Financial</w:t>
      </w:r>
      <w:r w:rsidR="000A5329" w:rsidRPr="002029AF">
        <w:t xml:space="preserve"> </w:t>
      </w:r>
      <w:r w:rsidRPr="002029AF">
        <w:t>assets</w:t>
      </w:r>
      <w:r w:rsidR="000A5329" w:rsidRPr="002029AF">
        <w:t xml:space="preserve"> </w:t>
      </w:r>
      <w:r w:rsidRPr="002029AF">
        <w:t>are</w:t>
      </w:r>
      <w:r w:rsidR="000A5329" w:rsidRPr="002029AF">
        <w:t xml:space="preserve"> </w:t>
      </w:r>
      <w:r w:rsidRPr="002029AF">
        <w:t>measured</w:t>
      </w:r>
      <w:r w:rsidR="000A5329" w:rsidRPr="002029AF">
        <w:t xml:space="preserve"> </w:t>
      </w:r>
      <w:r w:rsidRPr="002029AF">
        <w:t>at</w:t>
      </w:r>
      <w:r w:rsidR="000A5329" w:rsidRPr="002029AF">
        <w:t xml:space="preserve"> </w:t>
      </w:r>
      <w:r w:rsidRPr="002029AF">
        <w:t>amortised</w:t>
      </w:r>
      <w:r w:rsidR="000A5329" w:rsidRPr="002029AF">
        <w:t xml:space="preserve"> </w:t>
      </w:r>
      <w:r w:rsidRPr="002029AF">
        <w:t>costs</w:t>
      </w:r>
      <w:r w:rsidR="000A5329" w:rsidRPr="002029AF">
        <w:t xml:space="preserve"> </w:t>
      </w:r>
      <w:r w:rsidRPr="002029AF">
        <w:t>if</w:t>
      </w:r>
      <w:r w:rsidR="000A5329" w:rsidRPr="002029AF">
        <w:t xml:space="preserve"> </w:t>
      </w:r>
      <w:r w:rsidRPr="002029AF">
        <w:t>both</w:t>
      </w:r>
      <w:r w:rsidR="000A5329" w:rsidRPr="002029AF">
        <w:t xml:space="preserve"> </w:t>
      </w:r>
      <w:r w:rsidRPr="002029AF">
        <w:t>of</w:t>
      </w:r>
      <w:r w:rsidR="000A5329" w:rsidRPr="002029AF">
        <w:t xml:space="preserve"> </w:t>
      </w:r>
      <w:r w:rsidRPr="002029AF">
        <w:t>the</w:t>
      </w:r>
      <w:r w:rsidR="000A5329" w:rsidRPr="002029AF">
        <w:t xml:space="preserve"> </w:t>
      </w:r>
      <w:r w:rsidRPr="002029AF">
        <w:t>following</w:t>
      </w:r>
      <w:r w:rsidR="000A5329" w:rsidRPr="002029AF">
        <w:t xml:space="preserve"> </w:t>
      </w:r>
      <w:r w:rsidRPr="002029AF">
        <w:t>criteria</w:t>
      </w:r>
      <w:r w:rsidR="000A5329" w:rsidRPr="002029AF">
        <w:t xml:space="preserve"> </w:t>
      </w:r>
      <w:r w:rsidRPr="002029AF">
        <w:t>are</w:t>
      </w:r>
      <w:r w:rsidR="000A5329" w:rsidRPr="002029AF">
        <w:t xml:space="preserve"> </w:t>
      </w:r>
      <w:r w:rsidRPr="002029AF">
        <w:t>met</w:t>
      </w:r>
      <w:r w:rsidR="000A5329" w:rsidRPr="002029AF">
        <w:t xml:space="preserve"> </w:t>
      </w:r>
      <w:r w:rsidRPr="002029AF">
        <w:t>and</w:t>
      </w:r>
      <w:r w:rsidR="000A5329" w:rsidRPr="002029AF">
        <w:t xml:space="preserve"> </w:t>
      </w:r>
      <w:r w:rsidRPr="002029AF">
        <w:t>the</w:t>
      </w:r>
      <w:r w:rsidR="000A5329" w:rsidRPr="002029AF">
        <w:t xml:space="preserve"> </w:t>
      </w:r>
      <w:r w:rsidRPr="002029AF">
        <w:t>assets</w:t>
      </w:r>
      <w:r w:rsidR="000A5329" w:rsidRPr="002029AF">
        <w:t xml:space="preserve"> </w:t>
      </w:r>
      <w:r w:rsidRPr="002029AF">
        <w:t>are</w:t>
      </w:r>
      <w:r w:rsidR="000A5329" w:rsidRPr="002029AF">
        <w:t xml:space="preserve"> </w:t>
      </w:r>
      <w:r w:rsidRPr="002029AF">
        <w:t>not</w:t>
      </w:r>
      <w:r w:rsidR="000A5329" w:rsidRPr="002029AF">
        <w:t xml:space="preserve"> </w:t>
      </w:r>
      <w:r w:rsidRPr="002029AF">
        <w:t>designated</w:t>
      </w:r>
      <w:r w:rsidR="000A5329" w:rsidRPr="002029AF">
        <w:t xml:space="preserve"> </w:t>
      </w:r>
      <w:r w:rsidRPr="002029AF">
        <w:t>as</w:t>
      </w:r>
      <w:r w:rsidR="000A5329" w:rsidRPr="002029AF">
        <w:t xml:space="preserve"> </w:t>
      </w:r>
      <w:r w:rsidRPr="002029AF">
        <w:t>fair</w:t>
      </w:r>
      <w:r w:rsidR="000A5329" w:rsidRPr="002029AF">
        <w:t xml:space="preserve"> </w:t>
      </w:r>
      <w:r w:rsidRPr="002029AF">
        <w:t>value</w:t>
      </w:r>
      <w:r w:rsidR="000A5329" w:rsidRPr="002029AF">
        <w:t xml:space="preserve"> </w:t>
      </w:r>
      <w:r w:rsidRPr="002029AF">
        <w:t>through</w:t>
      </w:r>
      <w:r w:rsidR="000A5329" w:rsidRPr="002029AF">
        <w:t xml:space="preserve"> </w:t>
      </w:r>
      <w:r w:rsidRPr="002029AF">
        <w:t>net</w:t>
      </w:r>
      <w:r w:rsidR="000A5329" w:rsidRPr="002029AF">
        <w:t xml:space="preserve"> </w:t>
      </w:r>
      <w:r w:rsidRPr="002029AF">
        <w:t>result:</w:t>
      </w:r>
    </w:p>
    <w:p w14:paraId="7D01B6C6" w14:textId="40B35D41" w:rsidR="00087B91" w:rsidRPr="002029AF" w:rsidRDefault="00087B91" w:rsidP="00087B91">
      <w:pPr>
        <w:pStyle w:val="ARfinbullet1"/>
      </w:pPr>
      <w:r w:rsidRPr="002029AF">
        <w:t>the</w:t>
      </w:r>
      <w:r w:rsidR="000A5329" w:rsidRPr="002029AF">
        <w:t xml:space="preserve"> </w:t>
      </w:r>
      <w:r w:rsidRPr="002029AF">
        <w:t>assets</w:t>
      </w:r>
      <w:r w:rsidR="000A5329" w:rsidRPr="002029AF">
        <w:t xml:space="preserve"> </w:t>
      </w:r>
      <w:r w:rsidRPr="002029AF">
        <w:t>are</w:t>
      </w:r>
      <w:r w:rsidR="000A5329" w:rsidRPr="002029AF">
        <w:t xml:space="preserve"> </w:t>
      </w:r>
      <w:r w:rsidRPr="002029AF">
        <w:t>held</w:t>
      </w:r>
      <w:r w:rsidR="000A5329" w:rsidRPr="002029AF">
        <w:t xml:space="preserve"> </w:t>
      </w:r>
      <w:r w:rsidRPr="002029AF">
        <w:t>by</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to</w:t>
      </w:r>
      <w:r w:rsidR="000A5329" w:rsidRPr="002029AF">
        <w:t xml:space="preserve"> </w:t>
      </w:r>
      <w:r w:rsidRPr="002029AF">
        <w:t>collect</w:t>
      </w:r>
      <w:r w:rsidR="000A5329" w:rsidRPr="002029AF">
        <w:t xml:space="preserve"> </w:t>
      </w:r>
      <w:r w:rsidRPr="002029AF">
        <w:t>the</w:t>
      </w:r>
      <w:r w:rsidR="000A5329" w:rsidRPr="002029AF">
        <w:t xml:space="preserve"> </w:t>
      </w:r>
      <w:r w:rsidRPr="002029AF">
        <w:t>contractual</w:t>
      </w:r>
      <w:r w:rsidR="000A5329" w:rsidRPr="002029AF">
        <w:t xml:space="preserve"> </w:t>
      </w:r>
      <w:r w:rsidRPr="002029AF">
        <w:t>cash</w:t>
      </w:r>
      <w:r w:rsidR="000A5329" w:rsidRPr="002029AF">
        <w:t xml:space="preserve"> </w:t>
      </w:r>
      <w:r w:rsidRPr="002029AF">
        <w:t>flows,</w:t>
      </w:r>
      <w:r w:rsidR="000A5329" w:rsidRPr="002029AF">
        <w:t xml:space="preserve"> </w:t>
      </w:r>
      <w:r w:rsidRPr="002029AF">
        <w:t>and</w:t>
      </w:r>
    </w:p>
    <w:p w14:paraId="45CDB933" w14:textId="18AF1AD9" w:rsidR="00087B91" w:rsidRPr="002029AF" w:rsidRDefault="00087B91" w:rsidP="00087B91">
      <w:pPr>
        <w:pStyle w:val="ARfinbullet1"/>
      </w:pPr>
      <w:r w:rsidRPr="002029AF">
        <w:t>the</w:t>
      </w:r>
      <w:r w:rsidR="000A5329" w:rsidRPr="002029AF">
        <w:t xml:space="preserve"> </w:t>
      </w:r>
      <w:r w:rsidRPr="002029AF">
        <w:t>assets’</w:t>
      </w:r>
      <w:r w:rsidR="000A5329" w:rsidRPr="002029AF">
        <w:t xml:space="preserve"> </w:t>
      </w:r>
      <w:r w:rsidRPr="002029AF">
        <w:t>contractual</w:t>
      </w:r>
      <w:r w:rsidR="000A5329" w:rsidRPr="002029AF">
        <w:t xml:space="preserve"> </w:t>
      </w:r>
      <w:r w:rsidRPr="002029AF">
        <w:t>terms</w:t>
      </w:r>
      <w:r w:rsidR="000A5329" w:rsidRPr="002029AF">
        <w:t xml:space="preserve"> </w:t>
      </w:r>
      <w:r w:rsidRPr="002029AF">
        <w:t>give</w:t>
      </w:r>
      <w:r w:rsidR="000A5329" w:rsidRPr="002029AF">
        <w:t xml:space="preserve"> </w:t>
      </w:r>
      <w:r w:rsidRPr="002029AF">
        <w:t>rise</w:t>
      </w:r>
      <w:r w:rsidR="000A5329" w:rsidRPr="002029AF">
        <w:t xml:space="preserve"> </w:t>
      </w:r>
      <w:r w:rsidRPr="002029AF">
        <w:t>to</w:t>
      </w:r>
      <w:r w:rsidR="000A5329" w:rsidRPr="002029AF">
        <w:t xml:space="preserve"> </w:t>
      </w:r>
      <w:r w:rsidRPr="002029AF">
        <w:t>cash</w:t>
      </w:r>
      <w:r w:rsidR="000A5329" w:rsidRPr="002029AF">
        <w:t xml:space="preserve"> </w:t>
      </w:r>
      <w:r w:rsidRPr="002029AF">
        <w:t>flows</w:t>
      </w:r>
      <w:r w:rsidR="000A5329" w:rsidRPr="002029AF">
        <w:t xml:space="preserve"> </w:t>
      </w:r>
      <w:r w:rsidRPr="002029AF">
        <w:t>that</w:t>
      </w:r>
      <w:r w:rsidR="000A5329" w:rsidRPr="002029AF">
        <w:t xml:space="preserve"> </w:t>
      </w:r>
      <w:r w:rsidRPr="002029AF">
        <w:t>are</w:t>
      </w:r>
      <w:r w:rsidR="000A5329" w:rsidRPr="002029AF">
        <w:t xml:space="preserve"> </w:t>
      </w:r>
      <w:r w:rsidRPr="002029AF">
        <w:t>solely</w:t>
      </w:r>
      <w:r w:rsidR="000A5329" w:rsidRPr="002029AF">
        <w:t xml:space="preserve"> </w:t>
      </w:r>
      <w:r w:rsidRPr="002029AF">
        <w:t>payments</w:t>
      </w:r>
      <w:r w:rsidR="000A5329" w:rsidRPr="002029AF">
        <w:t xml:space="preserve"> </w:t>
      </w:r>
      <w:r w:rsidRPr="002029AF">
        <w:t>of</w:t>
      </w:r>
      <w:r w:rsidR="000A5329" w:rsidRPr="002029AF">
        <w:t xml:space="preserve"> </w:t>
      </w:r>
      <w:r w:rsidRPr="002029AF">
        <w:t>principal</w:t>
      </w:r>
      <w:r w:rsidR="000A5329" w:rsidRPr="002029AF">
        <w:t xml:space="preserve"> </w:t>
      </w:r>
      <w:r w:rsidRPr="002029AF">
        <w:t>and</w:t>
      </w:r>
      <w:r w:rsidR="000A5329" w:rsidRPr="002029AF">
        <w:t xml:space="preserve"> </w:t>
      </w:r>
      <w:r w:rsidRPr="002029AF">
        <w:t>interests.</w:t>
      </w:r>
    </w:p>
    <w:p w14:paraId="0046A955" w14:textId="561FBD39" w:rsidR="00087B91" w:rsidRPr="002029AF" w:rsidRDefault="00087B91" w:rsidP="00087B91">
      <w:pPr>
        <w:pStyle w:val="ARfinbody"/>
      </w:pPr>
      <w:r w:rsidRPr="002029AF">
        <w:t>These</w:t>
      </w:r>
      <w:r w:rsidR="000A5329" w:rsidRPr="002029AF">
        <w:t xml:space="preserve"> </w:t>
      </w:r>
      <w:r w:rsidRPr="002029AF">
        <w:t>assets</w:t>
      </w:r>
      <w:r w:rsidR="000A5329" w:rsidRPr="002029AF">
        <w:t xml:space="preserve"> </w:t>
      </w:r>
      <w:r w:rsidRPr="002029AF">
        <w:t>are</w:t>
      </w:r>
      <w:r w:rsidR="000A5329" w:rsidRPr="002029AF">
        <w:t xml:space="preserve"> </w:t>
      </w:r>
      <w:r w:rsidRPr="002029AF">
        <w:t>initially</w:t>
      </w:r>
      <w:r w:rsidR="000A5329" w:rsidRPr="002029AF">
        <w:t xml:space="preserve"> </w:t>
      </w:r>
      <w:r w:rsidRPr="002029AF">
        <w:t>recognised</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r w:rsidR="000A5329" w:rsidRPr="002029AF">
        <w:t xml:space="preserve"> </w:t>
      </w:r>
      <w:r w:rsidRPr="002029AF">
        <w:t>plus</w:t>
      </w:r>
      <w:r w:rsidR="000A5329" w:rsidRPr="002029AF">
        <w:t xml:space="preserve"> </w:t>
      </w:r>
      <w:r w:rsidRPr="002029AF">
        <w:t>any</w:t>
      </w:r>
      <w:r w:rsidR="000A5329" w:rsidRPr="002029AF">
        <w:t xml:space="preserve"> </w:t>
      </w:r>
      <w:r w:rsidRPr="002029AF">
        <w:t>directly</w:t>
      </w:r>
      <w:r w:rsidR="000A5329" w:rsidRPr="002029AF">
        <w:t xml:space="preserve"> </w:t>
      </w:r>
      <w:r w:rsidRPr="002029AF">
        <w:t>attributable</w:t>
      </w:r>
      <w:r w:rsidR="000A5329" w:rsidRPr="002029AF">
        <w:t xml:space="preserve"> </w:t>
      </w:r>
      <w:r w:rsidRPr="002029AF">
        <w:t>transaction</w:t>
      </w:r>
      <w:r w:rsidR="000A5329" w:rsidRPr="002029AF">
        <w:t xml:space="preserve"> </w:t>
      </w:r>
      <w:r w:rsidRPr="002029AF">
        <w:t>costs</w:t>
      </w:r>
      <w:r w:rsidR="000A5329" w:rsidRPr="002029AF">
        <w:t xml:space="preserve"> </w:t>
      </w:r>
      <w:r w:rsidRPr="002029AF">
        <w:t>and</w:t>
      </w:r>
      <w:r w:rsidR="000A5329" w:rsidRPr="002029AF">
        <w:t xml:space="preserve"> </w:t>
      </w:r>
      <w:r w:rsidRPr="002029AF">
        <w:t>subsequently</w:t>
      </w:r>
      <w:r w:rsidR="000A5329" w:rsidRPr="002029AF">
        <w:t xml:space="preserve"> </w:t>
      </w:r>
      <w:r w:rsidRPr="002029AF">
        <w:t>measured</w:t>
      </w:r>
      <w:r w:rsidR="000A5329" w:rsidRPr="002029AF">
        <w:t xml:space="preserve"> </w:t>
      </w:r>
      <w:r w:rsidRPr="002029AF">
        <w:t>at</w:t>
      </w:r>
      <w:r w:rsidR="000A5329" w:rsidRPr="002029AF">
        <w:t xml:space="preserve"> </w:t>
      </w:r>
      <w:r w:rsidRPr="002029AF">
        <w:t>amortised</w:t>
      </w:r>
      <w:r w:rsidR="000A5329" w:rsidRPr="002029AF">
        <w:t xml:space="preserve"> </w:t>
      </w:r>
      <w:r w:rsidRPr="002029AF">
        <w:t>cost</w:t>
      </w:r>
      <w:r w:rsidR="000A5329" w:rsidRPr="002029AF">
        <w:t xml:space="preserve"> </w:t>
      </w:r>
      <w:r w:rsidRPr="002029AF">
        <w:t>using</w:t>
      </w:r>
      <w:r w:rsidR="000A5329" w:rsidRPr="002029AF">
        <w:t xml:space="preserve"> </w:t>
      </w:r>
      <w:r w:rsidRPr="002029AF">
        <w:t>the</w:t>
      </w:r>
      <w:r w:rsidR="000A5329" w:rsidRPr="002029AF">
        <w:t xml:space="preserve"> </w:t>
      </w:r>
      <w:r w:rsidRPr="002029AF">
        <w:t>effective</w:t>
      </w:r>
      <w:r w:rsidR="000A5329" w:rsidRPr="002029AF">
        <w:t xml:space="preserve"> </w:t>
      </w:r>
      <w:r w:rsidRPr="002029AF">
        <w:t>interest</w:t>
      </w:r>
      <w:r w:rsidR="000A5329" w:rsidRPr="002029AF">
        <w:t xml:space="preserve"> </w:t>
      </w:r>
      <w:r w:rsidRPr="002029AF">
        <w:t>method</w:t>
      </w:r>
      <w:r w:rsidR="000A5329" w:rsidRPr="002029AF">
        <w:t xml:space="preserve"> </w:t>
      </w:r>
      <w:r w:rsidRPr="002029AF">
        <w:t>less</w:t>
      </w:r>
      <w:r w:rsidR="000A5329" w:rsidRPr="002029AF">
        <w:t xml:space="preserve"> </w:t>
      </w:r>
      <w:r w:rsidRPr="002029AF">
        <w:t>any</w:t>
      </w:r>
      <w:r w:rsidR="000A5329" w:rsidRPr="002029AF">
        <w:t xml:space="preserve"> </w:t>
      </w:r>
      <w:r w:rsidRPr="002029AF">
        <w:t>impairment.</w:t>
      </w:r>
    </w:p>
    <w:p w14:paraId="31DAC027" w14:textId="3342D6D8" w:rsidR="00087B91" w:rsidRPr="002029AF" w:rsidRDefault="00087B91" w:rsidP="00087B91">
      <w:pPr>
        <w:pStyle w:val="ARfinbody"/>
      </w:pPr>
      <w:r w:rsidRPr="002029AF">
        <w:t>The</w:t>
      </w:r>
      <w:r w:rsidR="000A5329" w:rsidRPr="002029AF">
        <w:t xml:space="preserve"> </w:t>
      </w:r>
      <w:r w:rsidRPr="002029AF">
        <w:t>department</w:t>
      </w:r>
      <w:r w:rsidR="000A5329" w:rsidRPr="002029AF">
        <w:t xml:space="preserve"> </w:t>
      </w:r>
      <w:r w:rsidRPr="002029AF">
        <w:t>recognises</w:t>
      </w:r>
      <w:r w:rsidR="000A5329" w:rsidRPr="002029AF">
        <w:t xml:space="preserve"> </w:t>
      </w:r>
      <w:r w:rsidRPr="002029AF">
        <w:t>the</w:t>
      </w:r>
      <w:r w:rsidR="000A5329" w:rsidRPr="002029AF">
        <w:t xml:space="preserve"> </w:t>
      </w:r>
      <w:r w:rsidRPr="002029AF">
        <w:t>following</w:t>
      </w:r>
      <w:r w:rsidR="000A5329" w:rsidRPr="002029AF">
        <w:t xml:space="preserve"> </w:t>
      </w:r>
      <w:r w:rsidRPr="002029AF">
        <w:t>assets</w:t>
      </w:r>
      <w:r w:rsidR="000A5329" w:rsidRPr="002029AF">
        <w:t xml:space="preserve"> </w:t>
      </w:r>
      <w:r w:rsidRPr="002029AF">
        <w:t>in</w:t>
      </w:r>
      <w:r w:rsidR="000A5329" w:rsidRPr="002029AF">
        <w:t xml:space="preserve"> </w:t>
      </w:r>
      <w:r w:rsidRPr="002029AF">
        <w:t>this</w:t>
      </w:r>
      <w:r w:rsidR="000A5329" w:rsidRPr="002029AF">
        <w:t xml:space="preserve"> </w:t>
      </w:r>
      <w:r w:rsidRPr="002029AF">
        <w:t>category:</w:t>
      </w:r>
    </w:p>
    <w:p w14:paraId="300A5A55" w14:textId="794BB6EB" w:rsidR="00087B91" w:rsidRPr="002029AF" w:rsidRDefault="00087B91" w:rsidP="00087B91">
      <w:pPr>
        <w:pStyle w:val="ARfinbullet1"/>
      </w:pPr>
      <w:r w:rsidRPr="002029AF">
        <w:t>cash</w:t>
      </w:r>
      <w:r w:rsidR="000A5329" w:rsidRPr="002029AF">
        <w:t xml:space="preserve"> </w:t>
      </w:r>
      <w:r w:rsidRPr="002029AF">
        <w:t>and</w:t>
      </w:r>
      <w:r w:rsidR="000A5329" w:rsidRPr="002029AF">
        <w:t xml:space="preserve"> </w:t>
      </w:r>
      <w:r w:rsidRPr="002029AF">
        <w:t>deposits</w:t>
      </w:r>
    </w:p>
    <w:p w14:paraId="18383FA8" w14:textId="0513F6CC" w:rsidR="00087B91" w:rsidRPr="002029AF" w:rsidRDefault="00087B91" w:rsidP="00087B91">
      <w:pPr>
        <w:pStyle w:val="ARfinbullet1"/>
      </w:pPr>
      <w:r w:rsidRPr="002029AF">
        <w:t>receivables</w:t>
      </w:r>
      <w:r w:rsidR="000A5329" w:rsidRPr="002029AF">
        <w:t xml:space="preserve"> </w:t>
      </w:r>
      <w:r w:rsidRPr="002029AF">
        <w:t>(excluding</w:t>
      </w:r>
      <w:r w:rsidR="000A5329" w:rsidRPr="002029AF">
        <w:t xml:space="preserve"> </w:t>
      </w:r>
      <w:r w:rsidRPr="002029AF">
        <w:t>statutory</w:t>
      </w:r>
      <w:r w:rsidR="000A5329" w:rsidRPr="002029AF">
        <w:t xml:space="preserve"> </w:t>
      </w:r>
      <w:r w:rsidRPr="002029AF">
        <w:t>receivables)</w:t>
      </w:r>
    </w:p>
    <w:p w14:paraId="40EEBC2A" w14:textId="26A622B9" w:rsidR="00087B91" w:rsidRPr="002029AF" w:rsidRDefault="00087B91" w:rsidP="00087B91">
      <w:pPr>
        <w:pStyle w:val="ARfinbullet1"/>
      </w:pPr>
      <w:r w:rsidRPr="002029AF">
        <w:t>term</w:t>
      </w:r>
      <w:r w:rsidR="000A5329" w:rsidRPr="002029AF">
        <w:t xml:space="preserve"> </w:t>
      </w:r>
      <w:r w:rsidRPr="002029AF">
        <w:t>deposits</w:t>
      </w:r>
    </w:p>
    <w:p w14:paraId="21B57093" w14:textId="578E2C0E" w:rsidR="00087B91" w:rsidRPr="002029AF" w:rsidRDefault="00087B91" w:rsidP="00087B91">
      <w:pPr>
        <w:pStyle w:val="ARfinbullet1"/>
      </w:pPr>
      <w:r w:rsidRPr="002029AF">
        <w:t>loan</w:t>
      </w:r>
      <w:r w:rsidR="000A5329" w:rsidRPr="002029AF">
        <w:t xml:space="preserve"> </w:t>
      </w:r>
      <w:r w:rsidRPr="002029AF">
        <w:t>receivables.</w:t>
      </w:r>
    </w:p>
    <w:p w14:paraId="48AC7EA9" w14:textId="21B560EC" w:rsidR="00087B91" w:rsidRPr="002029AF" w:rsidRDefault="00087B91" w:rsidP="00087B91">
      <w:pPr>
        <w:pStyle w:val="Heading5"/>
      </w:pPr>
      <w:bookmarkStart w:id="378" w:name="_Ref52458571"/>
      <w:r w:rsidRPr="002029AF">
        <w:t>Categories</w:t>
      </w:r>
      <w:r w:rsidR="000A5329" w:rsidRPr="002029AF">
        <w:t xml:space="preserve"> </w:t>
      </w:r>
      <w:r w:rsidRPr="002029AF">
        <w:t>of</w:t>
      </w:r>
      <w:r w:rsidR="000A5329" w:rsidRPr="002029AF">
        <w:t xml:space="preserve"> </w:t>
      </w:r>
      <w:r w:rsidRPr="002029AF">
        <w:t>financial</w:t>
      </w:r>
      <w:r w:rsidR="000A5329" w:rsidRPr="002029AF">
        <w:t xml:space="preserve"> </w:t>
      </w:r>
      <w:r w:rsidRPr="002029AF">
        <w:t>liabilities</w:t>
      </w:r>
      <w:bookmarkEnd w:id="378"/>
    </w:p>
    <w:p w14:paraId="1C83E945" w14:textId="2D07CD0B" w:rsidR="00087B91" w:rsidRPr="002029AF" w:rsidRDefault="00087B91" w:rsidP="00087B91">
      <w:pPr>
        <w:pStyle w:val="ARfinbody"/>
        <w:rPr>
          <w:color w:val="auto"/>
        </w:rPr>
      </w:pPr>
      <w:r w:rsidRPr="002029AF">
        <w:rPr>
          <w:rStyle w:val="Strong"/>
          <w:color w:val="auto"/>
        </w:rPr>
        <w:t>Financial</w:t>
      </w:r>
      <w:r w:rsidR="000A5329" w:rsidRPr="002029AF">
        <w:rPr>
          <w:rStyle w:val="Strong"/>
          <w:color w:val="auto"/>
        </w:rPr>
        <w:t xml:space="preserve"> </w:t>
      </w:r>
      <w:r w:rsidRPr="002029AF">
        <w:rPr>
          <w:rStyle w:val="Strong"/>
          <w:color w:val="auto"/>
        </w:rPr>
        <w:t>liabilities</w:t>
      </w:r>
      <w:r w:rsidR="000A5329" w:rsidRPr="002029AF">
        <w:rPr>
          <w:rStyle w:val="Strong"/>
          <w:color w:val="auto"/>
        </w:rPr>
        <w:t xml:space="preserve"> </w:t>
      </w:r>
      <w:r w:rsidRPr="002029AF">
        <w:rPr>
          <w:rStyle w:val="Strong"/>
          <w:color w:val="auto"/>
        </w:rPr>
        <w:t>at</w:t>
      </w:r>
      <w:r w:rsidR="000A5329" w:rsidRPr="002029AF">
        <w:rPr>
          <w:rStyle w:val="Strong"/>
          <w:color w:val="auto"/>
        </w:rPr>
        <w:t xml:space="preserve"> </w:t>
      </w:r>
      <w:r w:rsidRPr="002029AF">
        <w:rPr>
          <w:rStyle w:val="Strong"/>
          <w:color w:val="auto"/>
        </w:rPr>
        <w:t>amortised</w:t>
      </w:r>
      <w:r w:rsidR="000A5329" w:rsidRPr="002029AF">
        <w:rPr>
          <w:rStyle w:val="Strong"/>
          <w:color w:val="auto"/>
        </w:rPr>
        <w:t xml:space="preserve"> </w:t>
      </w:r>
      <w:r w:rsidRPr="002029AF">
        <w:rPr>
          <w:rStyle w:val="Strong"/>
          <w:color w:val="auto"/>
        </w:rPr>
        <w:t>cost</w:t>
      </w:r>
      <w:r w:rsidR="000A5329" w:rsidRPr="002029AF">
        <w:rPr>
          <w:color w:val="auto"/>
        </w:rPr>
        <w:t xml:space="preserve"> </w:t>
      </w:r>
      <w:r w:rsidRPr="002029AF">
        <w:rPr>
          <w:color w:val="auto"/>
        </w:rPr>
        <w:t>are</w:t>
      </w:r>
      <w:r w:rsidR="000A5329" w:rsidRPr="002029AF">
        <w:rPr>
          <w:color w:val="auto"/>
        </w:rPr>
        <w:t xml:space="preserve"> </w:t>
      </w:r>
      <w:r w:rsidRPr="002029AF">
        <w:rPr>
          <w:color w:val="auto"/>
        </w:rPr>
        <w:t>initially</w:t>
      </w:r>
      <w:r w:rsidR="000A5329" w:rsidRPr="002029AF">
        <w:rPr>
          <w:color w:val="auto"/>
        </w:rPr>
        <w:t xml:space="preserve"> </w:t>
      </w:r>
      <w:r w:rsidRPr="002029AF">
        <w:rPr>
          <w:color w:val="auto"/>
        </w:rPr>
        <w:t>recognised</w:t>
      </w:r>
      <w:r w:rsidR="000A5329" w:rsidRPr="002029AF">
        <w:rPr>
          <w:color w:val="auto"/>
        </w:rPr>
        <w:t xml:space="preserve"> </w:t>
      </w:r>
      <w:r w:rsidRPr="002029AF">
        <w:rPr>
          <w:color w:val="auto"/>
        </w:rPr>
        <w:t>on</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date</w:t>
      </w:r>
      <w:r w:rsidR="000A5329" w:rsidRPr="002029AF">
        <w:rPr>
          <w:color w:val="auto"/>
        </w:rPr>
        <w:t xml:space="preserve"> </w:t>
      </w:r>
      <w:r w:rsidRPr="002029AF">
        <w:rPr>
          <w:color w:val="auto"/>
        </w:rPr>
        <w:t>they</w:t>
      </w:r>
      <w:r w:rsidR="000A5329" w:rsidRPr="002029AF">
        <w:rPr>
          <w:color w:val="auto"/>
        </w:rPr>
        <w:t xml:space="preserve"> </w:t>
      </w:r>
      <w:r w:rsidRPr="002029AF">
        <w:rPr>
          <w:color w:val="auto"/>
        </w:rPr>
        <w:t>are</w:t>
      </w:r>
      <w:r w:rsidR="000A5329" w:rsidRPr="002029AF">
        <w:rPr>
          <w:color w:val="auto"/>
        </w:rPr>
        <w:t xml:space="preserve"> </w:t>
      </w:r>
      <w:r w:rsidRPr="002029AF">
        <w:rPr>
          <w:color w:val="auto"/>
        </w:rPr>
        <w:t>originated.</w:t>
      </w:r>
      <w:r w:rsidR="000A5329" w:rsidRPr="002029AF">
        <w:rPr>
          <w:color w:val="auto"/>
        </w:rPr>
        <w:t xml:space="preserve"> </w:t>
      </w:r>
      <w:r w:rsidRPr="002029AF">
        <w:rPr>
          <w:color w:val="auto"/>
        </w:rPr>
        <w:t>They</w:t>
      </w:r>
      <w:r w:rsidR="000A5329" w:rsidRPr="002029AF">
        <w:rPr>
          <w:color w:val="auto"/>
        </w:rPr>
        <w:t xml:space="preserve"> </w:t>
      </w:r>
      <w:r w:rsidRPr="002029AF">
        <w:rPr>
          <w:color w:val="auto"/>
        </w:rPr>
        <w:t>are</w:t>
      </w:r>
      <w:r w:rsidR="000A5329" w:rsidRPr="002029AF">
        <w:rPr>
          <w:color w:val="auto"/>
        </w:rPr>
        <w:t xml:space="preserve"> </w:t>
      </w:r>
      <w:r w:rsidRPr="002029AF">
        <w:rPr>
          <w:color w:val="auto"/>
        </w:rPr>
        <w:t>initially</w:t>
      </w:r>
      <w:r w:rsidR="000A5329" w:rsidRPr="002029AF">
        <w:rPr>
          <w:color w:val="auto"/>
        </w:rPr>
        <w:t xml:space="preserve"> </w:t>
      </w:r>
      <w:r w:rsidRPr="002029AF">
        <w:rPr>
          <w:color w:val="auto"/>
        </w:rPr>
        <w:t>measured</w:t>
      </w:r>
      <w:r w:rsidR="000A5329" w:rsidRPr="002029AF">
        <w:rPr>
          <w:color w:val="auto"/>
        </w:rPr>
        <w:t xml:space="preserve"> </w:t>
      </w:r>
      <w:r w:rsidRPr="002029AF">
        <w:rPr>
          <w:color w:val="auto"/>
        </w:rPr>
        <w:t>at</w:t>
      </w:r>
      <w:r w:rsidR="000A5329" w:rsidRPr="002029AF">
        <w:rPr>
          <w:color w:val="auto"/>
        </w:rPr>
        <w:t xml:space="preserve"> </w:t>
      </w:r>
      <w:r w:rsidRPr="002029AF">
        <w:rPr>
          <w:color w:val="auto"/>
        </w:rPr>
        <w:t>fair</w:t>
      </w:r>
      <w:r w:rsidR="000A5329" w:rsidRPr="002029AF">
        <w:rPr>
          <w:color w:val="auto"/>
        </w:rPr>
        <w:t xml:space="preserve"> </w:t>
      </w:r>
      <w:r w:rsidRPr="002029AF">
        <w:rPr>
          <w:color w:val="auto"/>
        </w:rPr>
        <w:t>value</w:t>
      </w:r>
      <w:r w:rsidR="000A5329" w:rsidRPr="002029AF">
        <w:rPr>
          <w:color w:val="auto"/>
        </w:rPr>
        <w:t xml:space="preserve"> </w:t>
      </w:r>
      <w:r w:rsidRPr="002029AF">
        <w:rPr>
          <w:color w:val="auto"/>
        </w:rPr>
        <w:t>plus</w:t>
      </w:r>
      <w:r w:rsidR="000A5329" w:rsidRPr="002029AF">
        <w:rPr>
          <w:color w:val="auto"/>
        </w:rPr>
        <w:t xml:space="preserve"> </w:t>
      </w:r>
      <w:r w:rsidRPr="002029AF">
        <w:rPr>
          <w:color w:val="auto"/>
        </w:rPr>
        <w:t>any</w:t>
      </w:r>
      <w:r w:rsidR="000A5329" w:rsidRPr="002029AF">
        <w:rPr>
          <w:color w:val="auto"/>
        </w:rPr>
        <w:t xml:space="preserve"> </w:t>
      </w:r>
      <w:r w:rsidRPr="002029AF">
        <w:rPr>
          <w:color w:val="auto"/>
        </w:rPr>
        <w:t>directly</w:t>
      </w:r>
      <w:r w:rsidR="000A5329" w:rsidRPr="002029AF">
        <w:rPr>
          <w:color w:val="auto"/>
        </w:rPr>
        <w:t xml:space="preserve"> </w:t>
      </w:r>
      <w:r w:rsidRPr="002029AF">
        <w:rPr>
          <w:color w:val="auto"/>
        </w:rPr>
        <w:t>attributable</w:t>
      </w:r>
      <w:r w:rsidR="000A5329" w:rsidRPr="002029AF">
        <w:rPr>
          <w:color w:val="auto"/>
        </w:rPr>
        <w:t xml:space="preserve"> </w:t>
      </w:r>
      <w:r w:rsidRPr="002029AF">
        <w:rPr>
          <w:color w:val="auto"/>
        </w:rPr>
        <w:t>transaction</w:t>
      </w:r>
      <w:r w:rsidR="000A5329" w:rsidRPr="002029AF">
        <w:rPr>
          <w:color w:val="auto"/>
        </w:rPr>
        <w:t xml:space="preserve"> </w:t>
      </w:r>
      <w:r w:rsidRPr="002029AF">
        <w:rPr>
          <w:color w:val="auto"/>
        </w:rPr>
        <w:t>costs.</w:t>
      </w:r>
      <w:r w:rsidR="000A5329" w:rsidRPr="002029AF">
        <w:rPr>
          <w:color w:val="auto"/>
        </w:rPr>
        <w:t xml:space="preserve"> </w:t>
      </w:r>
      <w:r w:rsidRPr="002029AF">
        <w:rPr>
          <w:color w:val="auto"/>
        </w:rPr>
        <w:t>Subsequent</w:t>
      </w:r>
      <w:r w:rsidR="000A5329" w:rsidRPr="002029AF">
        <w:rPr>
          <w:color w:val="auto"/>
        </w:rPr>
        <w:t xml:space="preserve"> </w:t>
      </w:r>
      <w:r w:rsidRPr="002029AF">
        <w:rPr>
          <w:color w:val="auto"/>
        </w:rPr>
        <w:t>to</w:t>
      </w:r>
      <w:r w:rsidR="000A5329" w:rsidRPr="002029AF">
        <w:rPr>
          <w:color w:val="auto"/>
        </w:rPr>
        <w:t xml:space="preserve"> </w:t>
      </w:r>
      <w:r w:rsidRPr="002029AF">
        <w:rPr>
          <w:color w:val="auto"/>
        </w:rPr>
        <w:t>initial</w:t>
      </w:r>
      <w:r w:rsidR="000A5329" w:rsidRPr="002029AF">
        <w:rPr>
          <w:color w:val="auto"/>
        </w:rPr>
        <w:t xml:space="preserve"> </w:t>
      </w:r>
      <w:r w:rsidRPr="002029AF">
        <w:rPr>
          <w:color w:val="auto"/>
        </w:rPr>
        <w:t>recognition,</w:t>
      </w:r>
      <w:r w:rsidR="000A5329" w:rsidRPr="002029AF">
        <w:rPr>
          <w:color w:val="auto"/>
        </w:rPr>
        <w:t xml:space="preserve"> </w:t>
      </w:r>
      <w:r w:rsidRPr="002029AF">
        <w:rPr>
          <w:color w:val="auto"/>
        </w:rPr>
        <w:t>these</w:t>
      </w:r>
      <w:r w:rsidR="000A5329" w:rsidRPr="002029AF">
        <w:rPr>
          <w:color w:val="auto"/>
        </w:rPr>
        <w:t xml:space="preserve"> </w:t>
      </w:r>
      <w:r w:rsidRPr="002029AF">
        <w:rPr>
          <w:color w:val="auto"/>
        </w:rPr>
        <w:t>financial</w:t>
      </w:r>
      <w:r w:rsidR="000A5329" w:rsidRPr="002029AF">
        <w:rPr>
          <w:color w:val="auto"/>
        </w:rPr>
        <w:t xml:space="preserve"> </w:t>
      </w:r>
      <w:r w:rsidRPr="002029AF">
        <w:rPr>
          <w:color w:val="auto"/>
        </w:rPr>
        <w:t>instruments</w:t>
      </w:r>
      <w:r w:rsidR="000A5329" w:rsidRPr="002029AF">
        <w:rPr>
          <w:color w:val="auto"/>
        </w:rPr>
        <w:t xml:space="preserve"> </w:t>
      </w:r>
      <w:r w:rsidRPr="002029AF">
        <w:rPr>
          <w:color w:val="auto"/>
        </w:rPr>
        <w:t>are</w:t>
      </w:r>
      <w:r w:rsidR="000A5329" w:rsidRPr="002029AF">
        <w:rPr>
          <w:color w:val="auto"/>
        </w:rPr>
        <w:t xml:space="preserve"> </w:t>
      </w:r>
      <w:r w:rsidRPr="002029AF">
        <w:rPr>
          <w:color w:val="auto"/>
        </w:rPr>
        <w:t>measured</w:t>
      </w:r>
      <w:r w:rsidR="000A5329" w:rsidRPr="002029AF">
        <w:rPr>
          <w:color w:val="auto"/>
        </w:rPr>
        <w:t xml:space="preserve"> </w:t>
      </w:r>
      <w:r w:rsidRPr="002029AF">
        <w:rPr>
          <w:color w:val="auto"/>
        </w:rPr>
        <w:t>at</w:t>
      </w:r>
      <w:r w:rsidR="000A5329" w:rsidRPr="002029AF">
        <w:rPr>
          <w:color w:val="auto"/>
        </w:rPr>
        <w:t xml:space="preserve"> </w:t>
      </w:r>
      <w:r w:rsidRPr="002029AF">
        <w:rPr>
          <w:color w:val="auto"/>
        </w:rPr>
        <w:t>amortised</w:t>
      </w:r>
      <w:r w:rsidR="000A5329" w:rsidRPr="002029AF">
        <w:rPr>
          <w:color w:val="auto"/>
        </w:rPr>
        <w:t xml:space="preserve"> </w:t>
      </w:r>
      <w:r w:rsidRPr="002029AF">
        <w:rPr>
          <w:color w:val="auto"/>
        </w:rPr>
        <w:t>cost</w:t>
      </w:r>
      <w:r w:rsidR="000A5329" w:rsidRPr="002029AF">
        <w:rPr>
          <w:color w:val="auto"/>
        </w:rPr>
        <w:t xml:space="preserve"> </w:t>
      </w:r>
      <w:r w:rsidRPr="002029AF">
        <w:rPr>
          <w:color w:val="auto"/>
        </w:rPr>
        <w:t>with</w:t>
      </w:r>
      <w:r w:rsidR="000A5329" w:rsidRPr="002029AF">
        <w:rPr>
          <w:color w:val="auto"/>
        </w:rPr>
        <w:t xml:space="preserve"> </w:t>
      </w:r>
      <w:r w:rsidRPr="002029AF">
        <w:rPr>
          <w:color w:val="auto"/>
        </w:rPr>
        <w:t>any</w:t>
      </w:r>
      <w:r w:rsidR="000A5329" w:rsidRPr="002029AF">
        <w:rPr>
          <w:color w:val="auto"/>
        </w:rPr>
        <w:t xml:space="preserve"> </w:t>
      </w:r>
      <w:r w:rsidRPr="002029AF">
        <w:rPr>
          <w:color w:val="auto"/>
        </w:rPr>
        <w:t>difference</w:t>
      </w:r>
      <w:r w:rsidR="000A5329" w:rsidRPr="002029AF">
        <w:rPr>
          <w:color w:val="auto"/>
        </w:rPr>
        <w:t xml:space="preserve"> </w:t>
      </w:r>
      <w:r w:rsidRPr="002029AF">
        <w:rPr>
          <w:color w:val="auto"/>
        </w:rPr>
        <w:t>between</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initially</w:t>
      </w:r>
      <w:r w:rsidR="000A5329" w:rsidRPr="002029AF">
        <w:rPr>
          <w:color w:val="auto"/>
        </w:rPr>
        <w:t xml:space="preserve"> </w:t>
      </w:r>
      <w:r w:rsidRPr="002029AF">
        <w:rPr>
          <w:color w:val="auto"/>
        </w:rPr>
        <w:t>recognised</w:t>
      </w:r>
      <w:r w:rsidR="000A5329" w:rsidRPr="002029AF">
        <w:rPr>
          <w:color w:val="auto"/>
        </w:rPr>
        <w:t xml:space="preserve"> </w:t>
      </w:r>
      <w:r w:rsidRPr="002029AF">
        <w:rPr>
          <w:color w:val="auto"/>
        </w:rPr>
        <w:t>amount</w:t>
      </w:r>
      <w:r w:rsidR="000A5329" w:rsidRPr="002029AF">
        <w:rPr>
          <w:color w:val="auto"/>
        </w:rPr>
        <w:t xml:space="preserve"> </w:t>
      </w:r>
      <w:r w:rsidRPr="002029AF">
        <w:rPr>
          <w:color w:val="auto"/>
        </w:rPr>
        <w:t>and</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redemption</w:t>
      </w:r>
      <w:r w:rsidR="000A5329" w:rsidRPr="002029AF">
        <w:rPr>
          <w:color w:val="auto"/>
        </w:rPr>
        <w:t xml:space="preserve"> </w:t>
      </w:r>
      <w:r w:rsidRPr="002029AF">
        <w:rPr>
          <w:color w:val="auto"/>
        </w:rPr>
        <w:t>value</w:t>
      </w:r>
      <w:r w:rsidR="000A5329" w:rsidRPr="002029AF">
        <w:rPr>
          <w:color w:val="auto"/>
        </w:rPr>
        <w:t xml:space="preserve"> </w:t>
      </w:r>
      <w:r w:rsidRPr="002029AF">
        <w:rPr>
          <w:color w:val="auto"/>
        </w:rPr>
        <w:t>being</w:t>
      </w:r>
      <w:r w:rsidR="000A5329" w:rsidRPr="002029AF">
        <w:rPr>
          <w:color w:val="auto"/>
        </w:rPr>
        <w:t xml:space="preserve"> </w:t>
      </w:r>
      <w:r w:rsidRPr="002029AF">
        <w:rPr>
          <w:color w:val="auto"/>
        </w:rPr>
        <w:t>recognised</w:t>
      </w:r>
      <w:r w:rsidR="000A5329" w:rsidRPr="002029AF">
        <w:rPr>
          <w:color w:val="auto"/>
        </w:rPr>
        <w:t xml:space="preserve"> </w:t>
      </w:r>
      <w:r w:rsidRPr="002029AF">
        <w:rPr>
          <w:color w:val="auto"/>
        </w:rPr>
        <w:t>in</w:t>
      </w:r>
      <w:r w:rsidR="000A5329" w:rsidRPr="002029AF">
        <w:rPr>
          <w:color w:val="auto"/>
        </w:rPr>
        <w:t xml:space="preserve"> </w:t>
      </w:r>
      <w:r w:rsidRPr="002029AF">
        <w:rPr>
          <w:color w:val="auto"/>
        </w:rPr>
        <w:t>profit</w:t>
      </w:r>
      <w:r w:rsidR="000A5329" w:rsidRPr="002029AF">
        <w:rPr>
          <w:color w:val="auto"/>
        </w:rPr>
        <w:t xml:space="preserve"> </w:t>
      </w:r>
      <w:r w:rsidRPr="002029AF">
        <w:rPr>
          <w:color w:val="auto"/>
        </w:rPr>
        <w:t>and</w:t>
      </w:r>
      <w:r w:rsidR="000A5329" w:rsidRPr="002029AF">
        <w:rPr>
          <w:color w:val="auto"/>
        </w:rPr>
        <w:t xml:space="preserve"> </w:t>
      </w:r>
      <w:r w:rsidRPr="002029AF">
        <w:rPr>
          <w:color w:val="auto"/>
        </w:rPr>
        <w:t>loss</w:t>
      </w:r>
      <w:r w:rsidR="000A5329" w:rsidRPr="002029AF">
        <w:rPr>
          <w:color w:val="auto"/>
        </w:rPr>
        <w:t xml:space="preserve"> </w:t>
      </w:r>
      <w:r w:rsidRPr="002029AF">
        <w:rPr>
          <w:color w:val="auto"/>
        </w:rPr>
        <w:t>over</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period</w:t>
      </w:r>
      <w:r w:rsidR="000A5329" w:rsidRPr="002029AF">
        <w:rPr>
          <w:color w:val="auto"/>
        </w:rPr>
        <w:t xml:space="preserve"> </w:t>
      </w:r>
      <w:r w:rsidRPr="002029AF">
        <w:rPr>
          <w:color w:val="auto"/>
        </w:rPr>
        <w:t>of</w:t>
      </w:r>
      <w:r w:rsidR="000A5329" w:rsidRPr="002029AF">
        <w:rPr>
          <w:color w:val="auto"/>
        </w:rPr>
        <w:t xml:space="preserve"> </w:t>
      </w:r>
      <w:r w:rsidRPr="002029AF">
        <w:rPr>
          <w:color w:val="auto"/>
        </w:rPr>
        <w:t>the</w:t>
      </w:r>
      <w:r w:rsidR="000A5329" w:rsidRPr="002029AF">
        <w:rPr>
          <w:color w:val="auto"/>
        </w:rPr>
        <w:t xml:space="preserve"> </w:t>
      </w:r>
      <w:r w:rsidR="00FF453D" w:rsidRPr="002029AF">
        <w:rPr>
          <w:color w:val="auto"/>
        </w:rPr>
        <w:t>interest-bearing</w:t>
      </w:r>
      <w:r w:rsidR="000A5329" w:rsidRPr="002029AF">
        <w:rPr>
          <w:color w:val="auto"/>
        </w:rPr>
        <w:t xml:space="preserve"> </w:t>
      </w:r>
      <w:r w:rsidRPr="002029AF">
        <w:rPr>
          <w:color w:val="auto"/>
        </w:rPr>
        <w:t>liability,</w:t>
      </w:r>
      <w:r w:rsidR="000A5329" w:rsidRPr="002029AF">
        <w:rPr>
          <w:color w:val="auto"/>
        </w:rPr>
        <w:t xml:space="preserve"> </w:t>
      </w:r>
      <w:r w:rsidRPr="002029AF">
        <w:rPr>
          <w:color w:val="auto"/>
        </w:rPr>
        <w:t>using</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effective</w:t>
      </w:r>
      <w:r w:rsidR="000A5329" w:rsidRPr="002029AF">
        <w:rPr>
          <w:color w:val="auto"/>
        </w:rPr>
        <w:t xml:space="preserve"> </w:t>
      </w:r>
      <w:r w:rsidRPr="002029AF">
        <w:rPr>
          <w:color w:val="auto"/>
        </w:rPr>
        <w:t>interest</w:t>
      </w:r>
      <w:r w:rsidR="000A5329" w:rsidRPr="002029AF">
        <w:rPr>
          <w:color w:val="auto"/>
        </w:rPr>
        <w:t xml:space="preserve"> </w:t>
      </w:r>
      <w:r w:rsidRPr="002029AF">
        <w:rPr>
          <w:color w:val="auto"/>
        </w:rPr>
        <w:t>rate</w:t>
      </w:r>
      <w:r w:rsidR="000A5329" w:rsidRPr="002029AF">
        <w:rPr>
          <w:color w:val="auto"/>
        </w:rPr>
        <w:t xml:space="preserve"> </w:t>
      </w:r>
      <w:r w:rsidRPr="002029AF">
        <w:rPr>
          <w:color w:val="auto"/>
        </w:rPr>
        <w:t>method.</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department</w:t>
      </w:r>
      <w:r w:rsidR="000A5329" w:rsidRPr="002029AF">
        <w:rPr>
          <w:color w:val="auto"/>
        </w:rPr>
        <w:t xml:space="preserve"> </w:t>
      </w:r>
      <w:r w:rsidRPr="002029AF">
        <w:rPr>
          <w:color w:val="auto"/>
        </w:rPr>
        <w:t>recognises</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following</w:t>
      </w:r>
      <w:r w:rsidR="000A5329" w:rsidRPr="002029AF">
        <w:rPr>
          <w:color w:val="auto"/>
        </w:rPr>
        <w:t xml:space="preserve"> </w:t>
      </w:r>
      <w:r w:rsidRPr="002029AF">
        <w:rPr>
          <w:color w:val="auto"/>
        </w:rPr>
        <w:t>liabilities</w:t>
      </w:r>
      <w:r w:rsidR="000A5329" w:rsidRPr="002029AF">
        <w:rPr>
          <w:color w:val="auto"/>
        </w:rPr>
        <w:t xml:space="preserve"> </w:t>
      </w:r>
      <w:r w:rsidRPr="002029AF">
        <w:rPr>
          <w:color w:val="auto"/>
        </w:rPr>
        <w:t>in</w:t>
      </w:r>
      <w:r w:rsidR="000A5329" w:rsidRPr="002029AF">
        <w:rPr>
          <w:color w:val="auto"/>
        </w:rPr>
        <w:t xml:space="preserve"> </w:t>
      </w:r>
      <w:r w:rsidRPr="002029AF">
        <w:rPr>
          <w:color w:val="auto"/>
        </w:rPr>
        <w:t>this</w:t>
      </w:r>
      <w:r w:rsidR="000A5329" w:rsidRPr="002029AF">
        <w:rPr>
          <w:color w:val="auto"/>
        </w:rPr>
        <w:t xml:space="preserve"> </w:t>
      </w:r>
      <w:r w:rsidRPr="002029AF">
        <w:rPr>
          <w:color w:val="auto"/>
        </w:rPr>
        <w:t>category:</w:t>
      </w:r>
    </w:p>
    <w:p w14:paraId="0B98C7AC" w14:textId="085DD68C" w:rsidR="00087B91" w:rsidRPr="002029AF" w:rsidRDefault="00087B91" w:rsidP="00087B91">
      <w:pPr>
        <w:pStyle w:val="ARfinbullet1"/>
        <w:rPr>
          <w:color w:val="auto"/>
        </w:rPr>
      </w:pPr>
      <w:r w:rsidRPr="002029AF">
        <w:rPr>
          <w:color w:val="auto"/>
        </w:rPr>
        <w:t>payables</w:t>
      </w:r>
      <w:r w:rsidR="000A5329" w:rsidRPr="002029AF">
        <w:rPr>
          <w:color w:val="auto"/>
        </w:rPr>
        <w:t xml:space="preserve"> </w:t>
      </w:r>
      <w:r w:rsidRPr="002029AF">
        <w:rPr>
          <w:color w:val="auto"/>
        </w:rPr>
        <w:t>(excluding</w:t>
      </w:r>
      <w:r w:rsidR="000A5329" w:rsidRPr="002029AF">
        <w:rPr>
          <w:color w:val="auto"/>
        </w:rPr>
        <w:t xml:space="preserve"> </w:t>
      </w:r>
      <w:r w:rsidRPr="002029AF">
        <w:rPr>
          <w:color w:val="auto"/>
        </w:rPr>
        <w:t>statutory</w:t>
      </w:r>
      <w:r w:rsidR="000A5329" w:rsidRPr="002029AF">
        <w:rPr>
          <w:color w:val="auto"/>
        </w:rPr>
        <w:t xml:space="preserve"> </w:t>
      </w:r>
      <w:r w:rsidRPr="002029AF">
        <w:rPr>
          <w:color w:val="auto"/>
        </w:rPr>
        <w:t>payables)</w:t>
      </w:r>
    </w:p>
    <w:p w14:paraId="7F30CF85" w14:textId="40D5E94C" w:rsidR="00087B91" w:rsidRPr="002029AF" w:rsidRDefault="00087B91" w:rsidP="00087B91">
      <w:pPr>
        <w:pStyle w:val="ARfinbullet1"/>
        <w:rPr>
          <w:color w:val="auto"/>
        </w:rPr>
      </w:pPr>
      <w:r w:rsidRPr="002029AF">
        <w:rPr>
          <w:color w:val="auto"/>
        </w:rPr>
        <w:t>borrowings</w:t>
      </w:r>
      <w:r w:rsidR="000A5329" w:rsidRPr="002029AF">
        <w:rPr>
          <w:color w:val="auto"/>
        </w:rPr>
        <w:t xml:space="preserve"> </w:t>
      </w:r>
      <w:r w:rsidRPr="002029AF">
        <w:rPr>
          <w:color w:val="auto"/>
        </w:rPr>
        <w:t>(including</w:t>
      </w:r>
      <w:r w:rsidR="000A5329" w:rsidRPr="002029AF">
        <w:rPr>
          <w:color w:val="auto"/>
        </w:rPr>
        <w:t xml:space="preserve"> </w:t>
      </w:r>
      <w:r w:rsidRPr="002029AF">
        <w:rPr>
          <w:color w:val="auto"/>
        </w:rPr>
        <w:t>lease</w:t>
      </w:r>
      <w:r w:rsidR="000A5329" w:rsidRPr="002029AF">
        <w:rPr>
          <w:color w:val="auto"/>
        </w:rPr>
        <w:t xml:space="preserve"> </w:t>
      </w:r>
      <w:r w:rsidRPr="002029AF">
        <w:rPr>
          <w:color w:val="auto"/>
        </w:rPr>
        <w:t>liabilities).</w:t>
      </w:r>
    </w:p>
    <w:p w14:paraId="0E9630CF" w14:textId="736AC20B" w:rsidR="00087B91" w:rsidRPr="002029AF" w:rsidRDefault="00087B91" w:rsidP="00087B91">
      <w:pPr>
        <w:pStyle w:val="ARfinbody"/>
        <w:rPr>
          <w:color w:val="auto"/>
        </w:rPr>
      </w:pPr>
      <w:r w:rsidRPr="002029AF">
        <w:rPr>
          <w:rStyle w:val="Strong"/>
        </w:rPr>
        <w:t>Offsetting</w:t>
      </w:r>
      <w:r w:rsidR="000A5329" w:rsidRPr="002029AF">
        <w:rPr>
          <w:rStyle w:val="Strong"/>
        </w:rPr>
        <w:t xml:space="preserve"> </w:t>
      </w:r>
      <w:r w:rsidRPr="002029AF">
        <w:rPr>
          <w:rStyle w:val="Strong"/>
        </w:rPr>
        <w:t>financial</w:t>
      </w:r>
      <w:r w:rsidR="000A5329" w:rsidRPr="002029AF">
        <w:rPr>
          <w:rStyle w:val="Strong"/>
        </w:rPr>
        <w:t xml:space="preserve"> </w:t>
      </w:r>
      <w:r w:rsidRPr="002029AF">
        <w:rPr>
          <w:rStyle w:val="Strong"/>
        </w:rPr>
        <w:t>instruments:</w:t>
      </w:r>
      <w:r w:rsidR="000A5329" w:rsidRPr="002029AF">
        <w:rPr>
          <w:b/>
          <w:bCs/>
          <w:color w:val="auto"/>
        </w:rPr>
        <w:t xml:space="preserve"> </w:t>
      </w:r>
      <w:r w:rsidRPr="002029AF">
        <w:rPr>
          <w:color w:val="auto"/>
        </w:rPr>
        <w:t>Financial</w:t>
      </w:r>
      <w:r w:rsidR="000A5329" w:rsidRPr="002029AF">
        <w:rPr>
          <w:color w:val="auto"/>
        </w:rPr>
        <w:t xml:space="preserve"> </w:t>
      </w:r>
      <w:r w:rsidRPr="002029AF">
        <w:rPr>
          <w:color w:val="auto"/>
        </w:rPr>
        <w:t>instrument</w:t>
      </w:r>
      <w:r w:rsidR="000A5329" w:rsidRPr="002029AF">
        <w:rPr>
          <w:color w:val="auto"/>
        </w:rPr>
        <w:t xml:space="preserve"> </w:t>
      </w:r>
      <w:r w:rsidRPr="002029AF">
        <w:rPr>
          <w:color w:val="auto"/>
        </w:rPr>
        <w:t>assets</w:t>
      </w:r>
      <w:r w:rsidR="000A5329" w:rsidRPr="002029AF">
        <w:rPr>
          <w:color w:val="auto"/>
        </w:rPr>
        <w:t xml:space="preserve"> </w:t>
      </w:r>
      <w:r w:rsidRPr="002029AF">
        <w:rPr>
          <w:color w:val="auto"/>
        </w:rPr>
        <w:t>and</w:t>
      </w:r>
      <w:r w:rsidR="000A5329" w:rsidRPr="002029AF">
        <w:rPr>
          <w:color w:val="auto"/>
        </w:rPr>
        <w:t xml:space="preserve"> </w:t>
      </w:r>
      <w:r w:rsidRPr="002029AF">
        <w:rPr>
          <w:color w:val="auto"/>
        </w:rPr>
        <w:t>liabilities</w:t>
      </w:r>
      <w:r w:rsidR="000A5329" w:rsidRPr="002029AF">
        <w:rPr>
          <w:color w:val="auto"/>
        </w:rPr>
        <w:t xml:space="preserve"> </w:t>
      </w:r>
      <w:r w:rsidRPr="002029AF">
        <w:rPr>
          <w:color w:val="auto"/>
        </w:rPr>
        <w:t>are</w:t>
      </w:r>
      <w:r w:rsidR="000A5329" w:rsidRPr="002029AF">
        <w:rPr>
          <w:color w:val="auto"/>
        </w:rPr>
        <w:t xml:space="preserve"> </w:t>
      </w:r>
      <w:r w:rsidRPr="002029AF">
        <w:rPr>
          <w:color w:val="auto"/>
        </w:rPr>
        <w:t>offset</w:t>
      </w:r>
      <w:r w:rsidR="000A5329" w:rsidRPr="002029AF">
        <w:rPr>
          <w:color w:val="auto"/>
        </w:rPr>
        <w:t xml:space="preserve"> </w:t>
      </w:r>
      <w:r w:rsidRPr="002029AF">
        <w:rPr>
          <w:color w:val="auto"/>
        </w:rPr>
        <w:t>and</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net</w:t>
      </w:r>
      <w:r w:rsidR="000A5329" w:rsidRPr="002029AF">
        <w:rPr>
          <w:color w:val="auto"/>
        </w:rPr>
        <w:t xml:space="preserve"> </w:t>
      </w:r>
      <w:r w:rsidRPr="002029AF">
        <w:rPr>
          <w:color w:val="auto"/>
        </w:rPr>
        <w:t>amount</w:t>
      </w:r>
      <w:r w:rsidR="000A5329" w:rsidRPr="002029AF">
        <w:rPr>
          <w:color w:val="auto"/>
        </w:rPr>
        <w:t xml:space="preserve"> </w:t>
      </w:r>
      <w:r w:rsidRPr="002029AF">
        <w:rPr>
          <w:color w:val="auto"/>
        </w:rPr>
        <w:t>presented</w:t>
      </w:r>
      <w:r w:rsidR="000A5329" w:rsidRPr="002029AF">
        <w:rPr>
          <w:color w:val="auto"/>
        </w:rPr>
        <w:t xml:space="preserve"> </w:t>
      </w:r>
      <w:r w:rsidRPr="002029AF">
        <w:rPr>
          <w:color w:val="auto"/>
        </w:rPr>
        <w:t>in</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consolidated</w:t>
      </w:r>
      <w:r w:rsidR="000A5329" w:rsidRPr="002029AF">
        <w:rPr>
          <w:color w:val="auto"/>
        </w:rPr>
        <w:t xml:space="preserve"> </w:t>
      </w:r>
      <w:r w:rsidRPr="002029AF">
        <w:rPr>
          <w:color w:val="auto"/>
        </w:rPr>
        <w:t>balance</w:t>
      </w:r>
      <w:r w:rsidR="000A5329" w:rsidRPr="002029AF">
        <w:rPr>
          <w:color w:val="auto"/>
        </w:rPr>
        <w:t xml:space="preserve"> </w:t>
      </w:r>
      <w:r w:rsidRPr="002029AF">
        <w:rPr>
          <w:color w:val="auto"/>
        </w:rPr>
        <w:t>sheet</w:t>
      </w:r>
      <w:r w:rsidR="000A5329" w:rsidRPr="002029AF">
        <w:rPr>
          <w:color w:val="auto"/>
        </w:rPr>
        <w:t xml:space="preserve"> </w:t>
      </w:r>
      <w:r w:rsidRPr="002029AF">
        <w:rPr>
          <w:color w:val="auto"/>
        </w:rPr>
        <w:t>when,</w:t>
      </w:r>
      <w:r w:rsidR="000A5329" w:rsidRPr="002029AF">
        <w:rPr>
          <w:color w:val="auto"/>
        </w:rPr>
        <w:t xml:space="preserve"> </w:t>
      </w:r>
      <w:r w:rsidRPr="002029AF">
        <w:rPr>
          <w:color w:val="auto"/>
        </w:rPr>
        <w:t>and</w:t>
      </w:r>
      <w:r w:rsidR="000A5329" w:rsidRPr="002029AF">
        <w:rPr>
          <w:color w:val="auto"/>
        </w:rPr>
        <w:t xml:space="preserve"> </w:t>
      </w:r>
      <w:r w:rsidRPr="002029AF">
        <w:rPr>
          <w:color w:val="auto"/>
        </w:rPr>
        <w:t>only</w:t>
      </w:r>
      <w:r w:rsidR="000A5329" w:rsidRPr="002029AF">
        <w:rPr>
          <w:color w:val="auto"/>
        </w:rPr>
        <w:t xml:space="preserve"> </w:t>
      </w:r>
      <w:r w:rsidRPr="002029AF">
        <w:rPr>
          <w:color w:val="auto"/>
        </w:rPr>
        <w:t>when,</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department</w:t>
      </w:r>
      <w:r w:rsidR="000A5329" w:rsidRPr="002029AF">
        <w:rPr>
          <w:color w:val="auto"/>
        </w:rPr>
        <w:t xml:space="preserve"> </w:t>
      </w:r>
      <w:r w:rsidRPr="002029AF">
        <w:rPr>
          <w:color w:val="auto"/>
        </w:rPr>
        <w:t>concerned</w:t>
      </w:r>
      <w:r w:rsidR="000A5329" w:rsidRPr="002029AF">
        <w:rPr>
          <w:color w:val="auto"/>
        </w:rPr>
        <w:t xml:space="preserve"> </w:t>
      </w:r>
      <w:r w:rsidRPr="002029AF">
        <w:rPr>
          <w:color w:val="auto"/>
        </w:rPr>
        <w:t>has</w:t>
      </w:r>
      <w:r w:rsidR="000A5329" w:rsidRPr="002029AF">
        <w:rPr>
          <w:color w:val="auto"/>
        </w:rPr>
        <w:t xml:space="preserve"> </w:t>
      </w:r>
      <w:r w:rsidRPr="002029AF">
        <w:rPr>
          <w:color w:val="auto"/>
        </w:rPr>
        <w:t>a</w:t>
      </w:r>
      <w:r w:rsidR="000A5329" w:rsidRPr="002029AF">
        <w:rPr>
          <w:color w:val="auto"/>
        </w:rPr>
        <w:t xml:space="preserve"> </w:t>
      </w:r>
      <w:r w:rsidRPr="002029AF">
        <w:rPr>
          <w:color w:val="auto"/>
        </w:rPr>
        <w:t>legal</w:t>
      </w:r>
      <w:r w:rsidR="000A5329" w:rsidRPr="002029AF">
        <w:rPr>
          <w:color w:val="auto"/>
        </w:rPr>
        <w:t xml:space="preserve"> </w:t>
      </w:r>
      <w:r w:rsidRPr="002029AF">
        <w:rPr>
          <w:color w:val="auto"/>
        </w:rPr>
        <w:t>right</w:t>
      </w:r>
      <w:r w:rsidR="000A5329" w:rsidRPr="002029AF">
        <w:rPr>
          <w:color w:val="auto"/>
        </w:rPr>
        <w:t xml:space="preserve"> </w:t>
      </w:r>
      <w:r w:rsidRPr="002029AF">
        <w:rPr>
          <w:color w:val="auto"/>
        </w:rPr>
        <w:t>to</w:t>
      </w:r>
      <w:r w:rsidR="000A5329" w:rsidRPr="002029AF">
        <w:rPr>
          <w:color w:val="auto"/>
        </w:rPr>
        <w:t xml:space="preserve"> </w:t>
      </w:r>
      <w:r w:rsidRPr="002029AF">
        <w:rPr>
          <w:color w:val="auto"/>
        </w:rPr>
        <w:t>offset</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amounts</w:t>
      </w:r>
      <w:r w:rsidR="000A5329" w:rsidRPr="002029AF">
        <w:rPr>
          <w:color w:val="auto"/>
        </w:rPr>
        <w:t xml:space="preserve"> </w:t>
      </w:r>
      <w:r w:rsidRPr="002029AF">
        <w:rPr>
          <w:color w:val="auto"/>
        </w:rPr>
        <w:t>and</w:t>
      </w:r>
      <w:r w:rsidR="000A5329" w:rsidRPr="002029AF">
        <w:rPr>
          <w:color w:val="auto"/>
        </w:rPr>
        <w:t xml:space="preserve"> </w:t>
      </w:r>
      <w:r w:rsidRPr="002029AF">
        <w:rPr>
          <w:color w:val="auto"/>
        </w:rPr>
        <w:t>intends</w:t>
      </w:r>
      <w:r w:rsidR="000A5329" w:rsidRPr="002029AF">
        <w:rPr>
          <w:color w:val="auto"/>
        </w:rPr>
        <w:t xml:space="preserve"> </w:t>
      </w:r>
      <w:r w:rsidRPr="002029AF">
        <w:rPr>
          <w:color w:val="auto"/>
        </w:rPr>
        <w:t>either</w:t>
      </w:r>
      <w:r w:rsidR="000A5329" w:rsidRPr="002029AF">
        <w:rPr>
          <w:color w:val="auto"/>
        </w:rPr>
        <w:t xml:space="preserve"> </w:t>
      </w:r>
      <w:r w:rsidRPr="002029AF">
        <w:rPr>
          <w:color w:val="auto"/>
        </w:rPr>
        <w:t>to</w:t>
      </w:r>
      <w:r w:rsidR="000A5329" w:rsidRPr="002029AF">
        <w:rPr>
          <w:color w:val="auto"/>
        </w:rPr>
        <w:t xml:space="preserve"> </w:t>
      </w:r>
      <w:r w:rsidRPr="002029AF">
        <w:rPr>
          <w:color w:val="auto"/>
        </w:rPr>
        <w:t>settle</w:t>
      </w:r>
      <w:r w:rsidR="000A5329" w:rsidRPr="002029AF">
        <w:rPr>
          <w:color w:val="auto"/>
        </w:rPr>
        <w:t xml:space="preserve"> </w:t>
      </w:r>
      <w:r w:rsidRPr="002029AF">
        <w:rPr>
          <w:color w:val="auto"/>
        </w:rPr>
        <w:t>on</w:t>
      </w:r>
      <w:r w:rsidR="000A5329" w:rsidRPr="002029AF">
        <w:rPr>
          <w:color w:val="auto"/>
        </w:rPr>
        <w:t xml:space="preserve"> </w:t>
      </w:r>
      <w:r w:rsidRPr="002029AF">
        <w:rPr>
          <w:color w:val="auto"/>
        </w:rPr>
        <w:t>a</w:t>
      </w:r>
      <w:r w:rsidR="000A5329" w:rsidRPr="002029AF">
        <w:rPr>
          <w:color w:val="auto"/>
        </w:rPr>
        <w:t xml:space="preserve"> </w:t>
      </w:r>
      <w:r w:rsidRPr="002029AF">
        <w:rPr>
          <w:color w:val="auto"/>
        </w:rPr>
        <w:t>net</w:t>
      </w:r>
      <w:r w:rsidR="000A5329" w:rsidRPr="002029AF">
        <w:rPr>
          <w:color w:val="auto"/>
        </w:rPr>
        <w:t xml:space="preserve"> </w:t>
      </w:r>
      <w:r w:rsidRPr="002029AF">
        <w:rPr>
          <w:color w:val="auto"/>
        </w:rPr>
        <w:t>basis</w:t>
      </w:r>
      <w:r w:rsidR="000A5329" w:rsidRPr="002029AF">
        <w:rPr>
          <w:color w:val="auto"/>
        </w:rPr>
        <w:t xml:space="preserve"> </w:t>
      </w:r>
      <w:r w:rsidRPr="002029AF">
        <w:rPr>
          <w:color w:val="auto"/>
        </w:rPr>
        <w:t>or</w:t>
      </w:r>
      <w:r w:rsidR="000A5329" w:rsidRPr="002029AF">
        <w:rPr>
          <w:color w:val="auto"/>
        </w:rPr>
        <w:t xml:space="preserve"> </w:t>
      </w:r>
      <w:r w:rsidRPr="002029AF">
        <w:rPr>
          <w:color w:val="auto"/>
        </w:rPr>
        <w:t>to</w:t>
      </w:r>
      <w:r w:rsidR="000A5329" w:rsidRPr="002029AF">
        <w:rPr>
          <w:color w:val="auto"/>
        </w:rPr>
        <w:t xml:space="preserve"> </w:t>
      </w:r>
      <w:r w:rsidRPr="002029AF">
        <w:rPr>
          <w:color w:val="auto"/>
        </w:rPr>
        <w:t>realise</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asset</w:t>
      </w:r>
      <w:r w:rsidR="000A5329" w:rsidRPr="002029AF">
        <w:rPr>
          <w:color w:val="auto"/>
        </w:rPr>
        <w:t xml:space="preserve"> </w:t>
      </w:r>
      <w:r w:rsidRPr="002029AF">
        <w:rPr>
          <w:color w:val="auto"/>
        </w:rPr>
        <w:t>and</w:t>
      </w:r>
      <w:r w:rsidR="000A5329" w:rsidRPr="002029AF">
        <w:rPr>
          <w:color w:val="auto"/>
        </w:rPr>
        <w:t xml:space="preserve"> </w:t>
      </w:r>
      <w:r w:rsidRPr="002029AF">
        <w:rPr>
          <w:color w:val="auto"/>
        </w:rPr>
        <w:t>settle</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liability</w:t>
      </w:r>
      <w:r w:rsidR="000A5329" w:rsidRPr="002029AF">
        <w:rPr>
          <w:color w:val="auto"/>
        </w:rPr>
        <w:t xml:space="preserve"> </w:t>
      </w:r>
      <w:r w:rsidRPr="002029AF">
        <w:rPr>
          <w:color w:val="auto"/>
        </w:rPr>
        <w:t>simultaneously.</w:t>
      </w:r>
    </w:p>
    <w:p w14:paraId="32DB22AF" w14:textId="3039F133" w:rsidR="00087B91" w:rsidRPr="002029AF" w:rsidRDefault="00087B91" w:rsidP="00087B91">
      <w:pPr>
        <w:pStyle w:val="ARfinbody"/>
        <w:rPr>
          <w:color w:val="auto"/>
        </w:rPr>
      </w:pPr>
      <w:r w:rsidRPr="002029AF">
        <w:rPr>
          <w:color w:val="auto"/>
        </w:rPr>
        <w:t>Some</w:t>
      </w:r>
      <w:r w:rsidR="000A5329" w:rsidRPr="002029AF">
        <w:rPr>
          <w:color w:val="auto"/>
        </w:rPr>
        <w:t xml:space="preserve"> </w:t>
      </w:r>
      <w:r w:rsidRPr="002029AF">
        <w:rPr>
          <w:color w:val="auto"/>
        </w:rPr>
        <w:t>master</w:t>
      </w:r>
      <w:r w:rsidR="000A5329" w:rsidRPr="002029AF">
        <w:rPr>
          <w:color w:val="auto"/>
        </w:rPr>
        <w:t xml:space="preserve"> </w:t>
      </w:r>
      <w:r w:rsidRPr="002029AF">
        <w:rPr>
          <w:color w:val="auto"/>
        </w:rPr>
        <w:t>netting</w:t>
      </w:r>
      <w:r w:rsidR="000A5329" w:rsidRPr="002029AF">
        <w:rPr>
          <w:color w:val="auto"/>
        </w:rPr>
        <w:t xml:space="preserve"> </w:t>
      </w:r>
      <w:r w:rsidRPr="002029AF">
        <w:rPr>
          <w:color w:val="auto"/>
        </w:rPr>
        <w:t>arrangements</w:t>
      </w:r>
      <w:r w:rsidR="000A5329" w:rsidRPr="002029AF">
        <w:rPr>
          <w:color w:val="auto"/>
        </w:rPr>
        <w:t xml:space="preserve"> </w:t>
      </w:r>
      <w:r w:rsidRPr="002029AF">
        <w:rPr>
          <w:color w:val="auto"/>
        </w:rPr>
        <w:t>do</w:t>
      </w:r>
      <w:r w:rsidR="000A5329" w:rsidRPr="002029AF">
        <w:rPr>
          <w:color w:val="auto"/>
        </w:rPr>
        <w:t xml:space="preserve"> </w:t>
      </w:r>
      <w:r w:rsidRPr="002029AF">
        <w:rPr>
          <w:color w:val="auto"/>
        </w:rPr>
        <w:t>not</w:t>
      </w:r>
      <w:r w:rsidR="000A5329" w:rsidRPr="002029AF">
        <w:rPr>
          <w:color w:val="auto"/>
        </w:rPr>
        <w:t xml:space="preserve"> </w:t>
      </w:r>
      <w:r w:rsidRPr="002029AF">
        <w:rPr>
          <w:color w:val="auto"/>
        </w:rPr>
        <w:t>result</w:t>
      </w:r>
      <w:r w:rsidR="000A5329" w:rsidRPr="002029AF">
        <w:rPr>
          <w:color w:val="auto"/>
        </w:rPr>
        <w:t xml:space="preserve"> </w:t>
      </w:r>
      <w:r w:rsidRPr="002029AF">
        <w:rPr>
          <w:color w:val="auto"/>
        </w:rPr>
        <w:t>in</w:t>
      </w:r>
      <w:r w:rsidR="000A5329" w:rsidRPr="002029AF">
        <w:rPr>
          <w:color w:val="auto"/>
        </w:rPr>
        <w:t xml:space="preserve"> </w:t>
      </w:r>
      <w:r w:rsidRPr="002029AF">
        <w:rPr>
          <w:color w:val="auto"/>
        </w:rPr>
        <w:t>an</w:t>
      </w:r>
      <w:r w:rsidR="000A5329" w:rsidRPr="002029AF">
        <w:rPr>
          <w:color w:val="auto"/>
        </w:rPr>
        <w:t xml:space="preserve"> </w:t>
      </w:r>
      <w:r w:rsidRPr="002029AF">
        <w:rPr>
          <w:color w:val="auto"/>
        </w:rPr>
        <w:t>offset</w:t>
      </w:r>
      <w:r w:rsidR="000A5329" w:rsidRPr="002029AF">
        <w:rPr>
          <w:color w:val="auto"/>
        </w:rPr>
        <w:t xml:space="preserve"> </w:t>
      </w:r>
      <w:r w:rsidRPr="002029AF">
        <w:rPr>
          <w:color w:val="auto"/>
        </w:rPr>
        <w:t>of</w:t>
      </w:r>
      <w:r w:rsidR="000A5329" w:rsidRPr="002029AF">
        <w:rPr>
          <w:color w:val="auto"/>
        </w:rPr>
        <w:t xml:space="preserve"> </w:t>
      </w:r>
      <w:r w:rsidRPr="002029AF">
        <w:rPr>
          <w:color w:val="auto"/>
        </w:rPr>
        <w:t>balance</w:t>
      </w:r>
      <w:r w:rsidR="000A5329" w:rsidRPr="002029AF">
        <w:rPr>
          <w:color w:val="auto"/>
        </w:rPr>
        <w:t xml:space="preserve"> </w:t>
      </w:r>
      <w:r w:rsidRPr="002029AF">
        <w:rPr>
          <w:color w:val="auto"/>
        </w:rPr>
        <w:t>sheet</w:t>
      </w:r>
      <w:r w:rsidR="000A5329" w:rsidRPr="002029AF">
        <w:rPr>
          <w:color w:val="auto"/>
        </w:rPr>
        <w:t xml:space="preserve"> </w:t>
      </w:r>
      <w:r w:rsidRPr="002029AF">
        <w:rPr>
          <w:color w:val="auto"/>
        </w:rPr>
        <w:t>assets</w:t>
      </w:r>
      <w:r w:rsidR="000A5329" w:rsidRPr="002029AF">
        <w:rPr>
          <w:color w:val="auto"/>
        </w:rPr>
        <w:t xml:space="preserve"> </w:t>
      </w:r>
      <w:r w:rsidRPr="002029AF">
        <w:rPr>
          <w:color w:val="auto"/>
        </w:rPr>
        <w:t>and</w:t>
      </w:r>
      <w:r w:rsidR="000A5329" w:rsidRPr="002029AF">
        <w:rPr>
          <w:color w:val="auto"/>
        </w:rPr>
        <w:t xml:space="preserve"> </w:t>
      </w:r>
      <w:r w:rsidRPr="002029AF">
        <w:rPr>
          <w:color w:val="auto"/>
        </w:rPr>
        <w:t>liabilities.</w:t>
      </w:r>
      <w:r w:rsidR="000A5329" w:rsidRPr="002029AF">
        <w:rPr>
          <w:color w:val="auto"/>
        </w:rPr>
        <w:t xml:space="preserve"> </w:t>
      </w:r>
      <w:r w:rsidRPr="002029AF">
        <w:rPr>
          <w:color w:val="auto"/>
        </w:rPr>
        <w:t>Where</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department</w:t>
      </w:r>
      <w:r w:rsidR="000A5329" w:rsidRPr="002029AF">
        <w:rPr>
          <w:color w:val="auto"/>
        </w:rPr>
        <w:t xml:space="preserve"> </w:t>
      </w:r>
      <w:r w:rsidRPr="002029AF">
        <w:rPr>
          <w:color w:val="auto"/>
        </w:rPr>
        <w:t>does</w:t>
      </w:r>
      <w:r w:rsidR="000A5329" w:rsidRPr="002029AF">
        <w:rPr>
          <w:color w:val="auto"/>
        </w:rPr>
        <w:t xml:space="preserve"> </w:t>
      </w:r>
      <w:r w:rsidRPr="002029AF">
        <w:rPr>
          <w:color w:val="auto"/>
        </w:rPr>
        <w:t>not</w:t>
      </w:r>
      <w:r w:rsidR="000A5329" w:rsidRPr="002029AF">
        <w:rPr>
          <w:color w:val="auto"/>
        </w:rPr>
        <w:t xml:space="preserve"> </w:t>
      </w:r>
      <w:r w:rsidRPr="002029AF">
        <w:rPr>
          <w:color w:val="auto"/>
        </w:rPr>
        <w:t>have</w:t>
      </w:r>
      <w:r w:rsidR="000A5329" w:rsidRPr="002029AF">
        <w:rPr>
          <w:color w:val="auto"/>
        </w:rPr>
        <w:t xml:space="preserve"> </w:t>
      </w:r>
      <w:r w:rsidRPr="002029AF">
        <w:rPr>
          <w:color w:val="auto"/>
        </w:rPr>
        <w:t>a</w:t>
      </w:r>
      <w:r w:rsidR="000A5329" w:rsidRPr="002029AF">
        <w:rPr>
          <w:color w:val="auto"/>
        </w:rPr>
        <w:t xml:space="preserve"> </w:t>
      </w:r>
      <w:r w:rsidRPr="002029AF">
        <w:rPr>
          <w:color w:val="auto"/>
        </w:rPr>
        <w:t>legally</w:t>
      </w:r>
      <w:r w:rsidR="000A5329" w:rsidRPr="002029AF">
        <w:rPr>
          <w:color w:val="auto"/>
        </w:rPr>
        <w:t xml:space="preserve"> </w:t>
      </w:r>
      <w:r w:rsidRPr="002029AF">
        <w:rPr>
          <w:color w:val="auto"/>
        </w:rPr>
        <w:t>enforceable</w:t>
      </w:r>
      <w:r w:rsidR="000A5329" w:rsidRPr="002029AF">
        <w:rPr>
          <w:color w:val="auto"/>
        </w:rPr>
        <w:t xml:space="preserve"> </w:t>
      </w:r>
      <w:r w:rsidRPr="002029AF">
        <w:rPr>
          <w:color w:val="auto"/>
        </w:rPr>
        <w:t>right</w:t>
      </w:r>
      <w:r w:rsidR="000A5329" w:rsidRPr="002029AF">
        <w:rPr>
          <w:color w:val="auto"/>
        </w:rPr>
        <w:t xml:space="preserve"> </w:t>
      </w:r>
      <w:r w:rsidRPr="002029AF">
        <w:rPr>
          <w:color w:val="auto"/>
        </w:rPr>
        <w:t>to</w:t>
      </w:r>
      <w:r w:rsidR="000A5329" w:rsidRPr="002029AF">
        <w:rPr>
          <w:color w:val="auto"/>
        </w:rPr>
        <w:t xml:space="preserve"> </w:t>
      </w:r>
      <w:r w:rsidRPr="002029AF">
        <w:rPr>
          <w:color w:val="auto"/>
        </w:rPr>
        <w:t>offset</w:t>
      </w:r>
      <w:r w:rsidR="000A5329" w:rsidRPr="002029AF">
        <w:rPr>
          <w:color w:val="auto"/>
        </w:rPr>
        <w:t xml:space="preserve"> </w:t>
      </w:r>
      <w:r w:rsidRPr="002029AF">
        <w:rPr>
          <w:color w:val="auto"/>
        </w:rPr>
        <w:t>recognised</w:t>
      </w:r>
      <w:r w:rsidR="000A5329" w:rsidRPr="002029AF">
        <w:rPr>
          <w:color w:val="auto"/>
        </w:rPr>
        <w:t xml:space="preserve"> </w:t>
      </w:r>
      <w:r w:rsidRPr="002029AF">
        <w:rPr>
          <w:color w:val="auto"/>
        </w:rPr>
        <w:t>amounts,</w:t>
      </w:r>
      <w:r w:rsidR="000A5329" w:rsidRPr="002029AF">
        <w:rPr>
          <w:color w:val="auto"/>
        </w:rPr>
        <w:t xml:space="preserve"> </w:t>
      </w:r>
      <w:r w:rsidRPr="002029AF">
        <w:rPr>
          <w:color w:val="auto"/>
        </w:rPr>
        <w:t>because</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right</w:t>
      </w:r>
      <w:r w:rsidR="000A5329" w:rsidRPr="002029AF">
        <w:rPr>
          <w:color w:val="auto"/>
        </w:rPr>
        <w:t xml:space="preserve"> </w:t>
      </w:r>
      <w:r w:rsidRPr="002029AF">
        <w:rPr>
          <w:color w:val="auto"/>
        </w:rPr>
        <w:t>to</w:t>
      </w:r>
      <w:r w:rsidR="000A5329" w:rsidRPr="002029AF">
        <w:rPr>
          <w:color w:val="auto"/>
        </w:rPr>
        <w:t xml:space="preserve"> </w:t>
      </w:r>
      <w:r w:rsidRPr="002029AF">
        <w:rPr>
          <w:color w:val="auto"/>
        </w:rPr>
        <w:t>offset</w:t>
      </w:r>
      <w:r w:rsidR="000A5329" w:rsidRPr="002029AF">
        <w:rPr>
          <w:color w:val="auto"/>
        </w:rPr>
        <w:t xml:space="preserve"> </w:t>
      </w:r>
      <w:r w:rsidRPr="002029AF">
        <w:rPr>
          <w:color w:val="auto"/>
        </w:rPr>
        <w:t>is</w:t>
      </w:r>
      <w:r w:rsidR="000A5329" w:rsidRPr="002029AF">
        <w:rPr>
          <w:color w:val="auto"/>
        </w:rPr>
        <w:t xml:space="preserve"> </w:t>
      </w:r>
      <w:r w:rsidRPr="002029AF">
        <w:rPr>
          <w:color w:val="auto"/>
        </w:rPr>
        <w:t>enforceable</w:t>
      </w:r>
      <w:r w:rsidR="000A5329" w:rsidRPr="002029AF">
        <w:rPr>
          <w:color w:val="auto"/>
        </w:rPr>
        <w:t xml:space="preserve"> </w:t>
      </w:r>
      <w:r w:rsidRPr="002029AF">
        <w:rPr>
          <w:color w:val="auto"/>
        </w:rPr>
        <w:t>only</w:t>
      </w:r>
      <w:r w:rsidR="000A5329" w:rsidRPr="002029AF">
        <w:rPr>
          <w:color w:val="auto"/>
        </w:rPr>
        <w:t xml:space="preserve"> </w:t>
      </w:r>
      <w:r w:rsidRPr="002029AF">
        <w:rPr>
          <w:color w:val="auto"/>
        </w:rPr>
        <w:t>on</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occurrence</w:t>
      </w:r>
      <w:r w:rsidR="000A5329" w:rsidRPr="002029AF">
        <w:rPr>
          <w:color w:val="auto"/>
        </w:rPr>
        <w:t xml:space="preserve"> </w:t>
      </w:r>
      <w:r w:rsidRPr="002029AF">
        <w:rPr>
          <w:color w:val="auto"/>
        </w:rPr>
        <w:t>of</w:t>
      </w:r>
      <w:r w:rsidR="000A5329" w:rsidRPr="002029AF">
        <w:rPr>
          <w:color w:val="auto"/>
        </w:rPr>
        <w:t xml:space="preserve"> </w:t>
      </w:r>
      <w:r w:rsidRPr="002029AF">
        <w:rPr>
          <w:color w:val="auto"/>
        </w:rPr>
        <w:t>future</w:t>
      </w:r>
      <w:r w:rsidR="000A5329" w:rsidRPr="002029AF">
        <w:rPr>
          <w:color w:val="auto"/>
        </w:rPr>
        <w:t xml:space="preserve"> </w:t>
      </w:r>
      <w:r w:rsidRPr="002029AF">
        <w:rPr>
          <w:color w:val="auto"/>
        </w:rPr>
        <w:t>events</w:t>
      </w:r>
      <w:r w:rsidR="000A5329" w:rsidRPr="002029AF">
        <w:rPr>
          <w:color w:val="auto"/>
        </w:rPr>
        <w:t xml:space="preserve"> </w:t>
      </w:r>
      <w:r w:rsidRPr="002029AF">
        <w:rPr>
          <w:color w:val="auto"/>
        </w:rPr>
        <w:t>such</w:t>
      </w:r>
      <w:r w:rsidR="000A5329" w:rsidRPr="002029AF">
        <w:rPr>
          <w:color w:val="auto"/>
        </w:rPr>
        <w:t xml:space="preserve"> </w:t>
      </w:r>
      <w:r w:rsidRPr="002029AF">
        <w:rPr>
          <w:color w:val="auto"/>
        </w:rPr>
        <w:t>as</w:t>
      </w:r>
      <w:r w:rsidR="000A5329" w:rsidRPr="002029AF">
        <w:rPr>
          <w:color w:val="auto"/>
        </w:rPr>
        <w:t xml:space="preserve"> </w:t>
      </w:r>
      <w:r w:rsidRPr="002029AF">
        <w:rPr>
          <w:color w:val="auto"/>
        </w:rPr>
        <w:t>default,</w:t>
      </w:r>
      <w:r w:rsidR="000A5329" w:rsidRPr="002029AF">
        <w:rPr>
          <w:color w:val="auto"/>
        </w:rPr>
        <w:t xml:space="preserve"> </w:t>
      </w:r>
      <w:r w:rsidRPr="002029AF">
        <w:rPr>
          <w:color w:val="auto"/>
        </w:rPr>
        <w:t>insolvency</w:t>
      </w:r>
      <w:r w:rsidR="000A5329" w:rsidRPr="002029AF">
        <w:rPr>
          <w:color w:val="auto"/>
        </w:rPr>
        <w:t xml:space="preserve"> </w:t>
      </w:r>
      <w:r w:rsidRPr="002029AF">
        <w:rPr>
          <w:color w:val="auto"/>
        </w:rPr>
        <w:t>or</w:t>
      </w:r>
      <w:r w:rsidR="000A5329" w:rsidRPr="002029AF">
        <w:rPr>
          <w:color w:val="auto"/>
        </w:rPr>
        <w:t xml:space="preserve"> </w:t>
      </w:r>
      <w:r w:rsidRPr="002029AF">
        <w:rPr>
          <w:color w:val="auto"/>
        </w:rPr>
        <w:t>bankruptcy,</w:t>
      </w:r>
      <w:r w:rsidR="000A5329" w:rsidRPr="002029AF">
        <w:rPr>
          <w:color w:val="auto"/>
        </w:rPr>
        <w:t xml:space="preserve"> </w:t>
      </w:r>
      <w:r w:rsidRPr="002029AF">
        <w:rPr>
          <w:color w:val="auto"/>
        </w:rPr>
        <w:t>they</w:t>
      </w:r>
      <w:r w:rsidR="000A5329" w:rsidRPr="002029AF">
        <w:rPr>
          <w:color w:val="auto"/>
        </w:rPr>
        <w:t xml:space="preserve"> </w:t>
      </w:r>
      <w:r w:rsidRPr="002029AF">
        <w:rPr>
          <w:color w:val="auto"/>
        </w:rPr>
        <w:t>are</w:t>
      </w:r>
      <w:r w:rsidR="000A5329" w:rsidRPr="002029AF">
        <w:rPr>
          <w:color w:val="auto"/>
        </w:rPr>
        <w:t xml:space="preserve"> </w:t>
      </w:r>
      <w:r w:rsidRPr="002029AF">
        <w:rPr>
          <w:color w:val="auto"/>
        </w:rPr>
        <w:t>reported</w:t>
      </w:r>
      <w:r w:rsidR="000A5329" w:rsidRPr="002029AF">
        <w:rPr>
          <w:color w:val="auto"/>
        </w:rPr>
        <w:t xml:space="preserve"> </w:t>
      </w:r>
      <w:r w:rsidRPr="002029AF">
        <w:rPr>
          <w:color w:val="auto"/>
        </w:rPr>
        <w:t>on</w:t>
      </w:r>
      <w:r w:rsidR="000A5329" w:rsidRPr="002029AF">
        <w:rPr>
          <w:color w:val="auto"/>
        </w:rPr>
        <w:t xml:space="preserve"> </w:t>
      </w:r>
      <w:r w:rsidRPr="002029AF">
        <w:rPr>
          <w:color w:val="auto"/>
        </w:rPr>
        <w:t>a</w:t>
      </w:r>
      <w:r w:rsidR="000A5329" w:rsidRPr="002029AF">
        <w:rPr>
          <w:color w:val="auto"/>
        </w:rPr>
        <w:t xml:space="preserve"> </w:t>
      </w:r>
      <w:r w:rsidRPr="002029AF">
        <w:rPr>
          <w:color w:val="auto"/>
        </w:rPr>
        <w:t>gross</w:t>
      </w:r>
      <w:r w:rsidR="000A5329" w:rsidRPr="002029AF">
        <w:rPr>
          <w:color w:val="auto"/>
        </w:rPr>
        <w:t xml:space="preserve"> </w:t>
      </w:r>
      <w:r w:rsidRPr="002029AF">
        <w:rPr>
          <w:color w:val="auto"/>
        </w:rPr>
        <w:t>basis.</w:t>
      </w:r>
    </w:p>
    <w:p w14:paraId="1BCE50DE" w14:textId="333E6116" w:rsidR="00087B91" w:rsidRPr="002029AF" w:rsidRDefault="00087B91" w:rsidP="00087B91">
      <w:pPr>
        <w:pStyle w:val="ARfinbody"/>
        <w:rPr>
          <w:color w:val="auto"/>
        </w:rPr>
      </w:pPr>
      <w:r w:rsidRPr="002029AF">
        <w:rPr>
          <w:rStyle w:val="Strong"/>
        </w:rPr>
        <w:t>Derecognition</w:t>
      </w:r>
      <w:r w:rsidR="000A5329" w:rsidRPr="002029AF">
        <w:rPr>
          <w:rStyle w:val="Strong"/>
        </w:rPr>
        <w:t xml:space="preserve"> </w:t>
      </w:r>
      <w:r w:rsidRPr="002029AF">
        <w:rPr>
          <w:rStyle w:val="Strong"/>
        </w:rPr>
        <w:t>of</w:t>
      </w:r>
      <w:r w:rsidR="000A5329" w:rsidRPr="002029AF">
        <w:rPr>
          <w:rStyle w:val="Strong"/>
        </w:rPr>
        <w:t xml:space="preserve"> </w:t>
      </w:r>
      <w:r w:rsidRPr="002029AF">
        <w:rPr>
          <w:rStyle w:val="Strong"/>
        </w:rPr>
        <w:t>financial</w:t>
      </w:r>
      <w:r w:rsidR="000A5329" w:rsidRPr="002029AF">
        <w:rPr>
          <w:rStyle w:val="Strong"/>
        </w:rPr>
        <w:t xml:space="preserve"> </w:t>
      </w:r>
      <w:r w:rsidRPr="002029AF">
        <w:rPr>
          <w:rStyle w:val="Strong"/>
        </w:rPr>
        <w:t>assets:</w:t>
      </w:r>
      <w:r w:rsidR="000A5329" w:rsidRPr="002029AF">
        <w:t xml:space="preserve"> </w:t>
      </w:r>
      <w:r w:rsidRPr="002029AF">
        <w:rPr>
          <w:color w:val="auto"/>
        </w:rPr>
        <w:t>A</w:t>
      </w:r>
      <w:r w:rsidR="000A5329" w:rsidRPr="002029AF">
        <w:rPr>
          <w:color w:val="auto"/>
        </w:rPr>
        <w:t xml:space="preserve"> </w:t>
      </w:r>
      <w:r w:rsidRPr="002029AF">
        <w:rPr>
          <w:color w:val="auto"/>
        </w:rPr>
        <w:t>financial</w:t>
      </w:r>
      <w:r w:rsidR="000A5329" w:rsidRPr="002029AF">
        <w:rPr>
          <w:color w:val="auto"/>
        </w:rPr>
        <w:t xml:space="preserve"> </w:t>
      </w:r>
      <w:r w:rsidRPr="002029AF">
        <w:rPr>
          <w:color w:val="auto"/>
        </w:rPr>
        <w:t>asset</w:t>
      </w:r>
      <w:r w:rsidR="000A5329" w:rsidRPr="002029AF">
        <w:rPr>
          <w:color w:val="auto"/>
        </w:rPr>
        <w:t xml:space="preserve"> </w:t>
      </w:r>
      <w:r w:rsidRPr="002029AF">
        <w:rPr>
          <w:color w:val="auto"/>
        </w:rPr>
        <w:t>(or,</w:t>
      </w:r>
      <w:r w:rsidR="000A5329" w:rsidRPr="002029AF">
        <w:rPr>
          <w:color w:val="auto"/>
        </w:rPr>
        <w:t xml:space="preserve"> </w:t>
      </w:r>
      <w:r w:rsidRPr="002029AF">
        <w:rPr>
          <w:color w:val="auto"/>
        </w:rPr>
        <w:t>where</w:t>
      </w:r>
      <w:r w:rsidR="000A5329" w:rsidRPr="002029AF">
        <w:rPr>
          <w:color w:val="auto"/>
        </w:rPr>
        <w:t xml:space="preserve"> </w:t>
      </w:r>
      <w:r w:rsidRPr="002029AF">
        <w:rPr>
          <w:color w:val="auto"/>
        </w:rPr>
        <w:t>applicable,</w:t>
      </w:r>
      <w:r w:rsidR="000A5329" w:rsidRPr="002029AF">
        <w:rPr>
          <w:color w:val="auto"/>
        </w:rPr>
        <w:t xml:space="preserve"> </w:t>
      </w:r>
      <w:r w:rsidRPr="002029AF">
        <w:rPr>
          <w:color w:val="auto"/>
        </w:rPr>
        <w:t>a</w:t>
      </w:r>
      <w:r w:rsidR="000A5329" w:rsidRPr="002029AF">
        <w:rPr>
          <w:color w:val="auto"/>
        </w:rPr>
        <w:t xml:space="preserve"> </w:t>
      </w:r>
      <w:r w:rsidRPr="002029AF">
        <w:rPr>
          <w:color w:val="auto"/>
        </w:rPr>
        <w:t>part</w:t>
      </w:r>
      <w:r w:rsidR="000A5329" w:rsidRPr="002029AF">
        <w:rPr>
          <w:color w:val="auto"/>
        </w:rPr>
        <w:t xml:space="preserve"> </w:t>
      </w:r>
      <w:r w:rsidRPr="002029AF">
        <w:rPr>
          <w:color w:val="auto"/>
        </w:rPr>
        <w:t>of</w:t>
      </w:r>
      <w:r w:rsidR="000A5329" w:rsidRPr="002029AF">
        <w:rPr>
          <w:color w:val="auto"/>
        </w:rPr>
        <w:t xml:space="preserve"> </w:t>
      </w:r>
      <w:r w:rsidRPr="002029AF">
        <w:rPr>
          <w:color w:val="auto"/>
        </w:rPr>
        <w:t>a</w:t>
      </w:r>
      <w:r w:rsidR="000A5329" w:rsidRPr="002029AF">
        <w:rPr>
          <w:color w:val="auto"/>
        </w:rPr>
        <w:t xml:space="preserve"> </w:t>
      </w:r>
      <w:r w:rsidRPr="002029AF">
        <w:rPr>
          <w:color w:val="auto"/>
        </w:rPr>
        <w:t>financial</w:t>
      </w:r>
      <w:r w:rsidR="000A5329" w:rsidRPr="002029AF">
        <w:rPr>
          <w:color w:val="auto"/>
        </w:rPr>
        <w:t xml:space="preserve"> </w:t>
      </w:r>
      <w:r w:rsidRPr="002029AF">
        <w:rPr>
          <w:color w:val="auto"/>
        </w:rPr>
        <w:t>asset</w:t>
      </w:r>
      <w:r w:rsidR="000A5329" w:rsidRPr="002029AF">
        <w:rPr>
          <w:color w:val="auto"/>
        </w:rPr>
        <w:t xml:space="preserve"> </w:t>
      </w:r>
      <w:r w:rsidRPr="002029AF">
        <w:rPr>
          <w:color w:val="auto"/>
        </w:rPr>
        <w:t>or</w:t>
      </w:r>
      <w:r w:rsidR="000A5329" w:rsidRPr="002029AF">
        <w:rPr>
          <w:color w:val="auto"/>
        </w:rPr>
        <w:t xml:space="preserve"> </w:t>
      </w:r>
      <w:r w:rsidRPr="002029AF">
        <w:rPr>
          <w:color w:val="auto"/>
        </w:rPr>
        <w:t>part</w:t>
      </w:r>
      <w:r w:rsidR="000A5329" w:rsidRPr="002029AF">
        <w:rPr>
          <w:color w:val="auto"/>
        </w:rPr>
        <w:t xml:space="preserve"> </w:t>
      </w:r>
      <w:r w:rsidRPr="002029AF">
        <w:rPr>
          <w:color w:val="auto"/>
        </w:rPr>
        <w:t>of</w:t>
      </w:r>
      <w:r w:rsidR="000A5329" w:rsidRPr="002029AF">
        <w:rPr>
          <w:color w:val="auto"/>
        </w:rPr>
        <w:t xml:space="preserve"> </w:t>
      </w:r>
      <w:r w:rsidRPr="002029AF">
        <w:rPr>
          <w:color w:val="auto"/>
        </w:rPr>
        <w:t>a</w:t>
      </w:r>
      <w:r w:rsidR="000A5329" w:rsidRPr="002029AF">
        <w:rPr>
          <w:color w:val="auto"/>
        </w:rPr>
        <w:t xml:space="preserve"> </w:t>
      </w:r>
      <w:r w:rsidRPr="002029AF">
        <w:rPr>
          <w:color w:val="auto"/>
        </w:rPr>
        <w:t>group</w:t>
      </w:r>
      <w:r w:rsidR="000A5329" w:rsidRPr="002029AF">
        <w:rPr>
          <w:color w:val="auto"/>
        </w:rPr>
        <w:t xml:space="preserve"> </w:t>
      </w:r>
      <w:r w:rsidRPr="002029AF">
        <w:rPr>
          <w:color w:val="auto"/>
        </w:rPr>
        <w:t>of</w:t>
      </w:r>
      <w:r w:rsidR="000A5329" w:rsidRPr="002029AF">
        <w:rPr>
          <w:color w:val="auto"/>
        </w:rPr>
        <w:t xml:space="preserve"> </w:t>
      </w:r>
      <w:r w:rsidRPr="002029AF">
        <w:rPr>
          <w:color w:val="auto"/>
        </w:rPr>
        <w:t>similar</w:t>
      </w:r>
      <w:r w:rsidR="000A5329" w:rsidRPr="002029AF">
        <w:rPr>
          <w:color w:val="auto"/>
        </w:rPr>
        <w:t xml:space="preserve"> </w:t>
      </w:r>
      <w:r w:rsidRPr="002029AF">
        <w:rPr>
          <w:color w:val="auto"/>
        </w:rPr>
        <w:t>financial</w:t>
      </w:r>
      <w:r w:rsidR="000A5329" w:rsidRPr="002029AF">
        <w:rPr>
          <w:color w:val="auto"/>
        </w:rPr>
        <w:t xml:space="preserve"> </w:t>
      </w:r>
      <w:r w:rsidRPr="002029AF">
        <w:rPr>
          <w:color w:val="auto"/>
        </w:rPr>
        <w:t>assets)</w:t>
      </w:r>
      <w:r w:rsidR="000A5329" w:rsidRPr="002029AF">
        <w:rPr>
          <w:color w:val="auto"/>
        </w:rPr>
        <w:t xml:space="preserve"> </w:t>
      </w:r>
      <w:r w:rsidRPr="002029AF">
        <w:rPr>
          <w:color w:val="auto"/>
        </w:rPr>
        <w:t>is</w:t>
      </w:r>
      <w:r w:rsidR="000A5329" w:rsidRPr="002029AF">
        <w:rPr>
          <w:color w:val="auto"/>
        </w:rPr>
        <w:t xml:space="preserve"> </w:t>
      </w:r>
      <w:r w:rsidRPr="002029AF">
        <w:rPr>
          <w:color w:val="auto"/>
        </w:rPr>
        <w:t>derecognised</w:t>
      </w:r>
      <w:r w:rsidR="000A5329" w:rsidRPr="002029AF">
        <w:rPr>
          <w:color w:val="auto"/>
        </w:rPr>
        <w:t xml:space="preserve"> </w:t>
      </w:r>
      <w:r w:rsidRPr="002029AF">
        <w:rPr>
          <w:color w:val="auto"/>
        </w:rPr>
        <w:t>when:</w:t>
      </w:r>
    </w:p>
    <w:p w14:paraId="55011E74" w14:textId="291B6A7D" w:rsidR="00087B91" w:rsidRPr="002029AF" w:rsidRDefault="00087B91" w:rsidP="00087B91">
      <w:pPr>
        <w:pStyle w:val="ARfinbullet1"/>
        <w:rPr>
          <w:color w:val="auto"/>
        </w:rPr>
      </w:pPr>
      <w:r w:rsidRPr="002029AF">
        <w:rPr>
          <w:color w:val="auto"/>
        </w:rPr>
        <w:t>the</w:t>
      </w:r>
      <w:r w:rsidR="000A5329" w:rsidRPr="002029AF">
        <w:rPr>
          <w:color w:val="auto"/>
        </w:rPr>
        <w:t xml:space="preserve"> </w:t>
      </w:r>
      <w:r w:rsidRPr="002029AF">
        <w:rPr>
          <w:color w:val="auto"/>
        </w:rPr>
        <w:t>rights</w:t>
      </w:r>
      <w:r w:rsidR="000A5329" w:rsidRPr="002029AF">
        <w:rPr>
          <w:color w:val="auto"/>
        </w:rPr>
        <w:t xml:space="preserve"> </w:t>
      </w:r>
      <w:r w:rsidRPr="002029AF">
        <w:rPr>
          <w:color w:val="auto"/>
        </w:rPr>
        <w:t>to</w:t>
      </w:r>
      <w:r w:rsidR="000A5329" w:rsidRPr="002029AF">
        <w:rPr>
          <w:color w:val="auto"/>
        </w:rPr>
        <w:t xml:space="preserve"> </w:t>
      </w:r>
      <w:r w:rsidRPr="002029AF">
        <w:rPr>
          <w:color w:val="auto"/>
        </w:rPr>
        <w:t>receive</w:t>
      </w:r>
      <w:r w:rsidR="000A5329" w:rsidRPr="002029AF">
        <w:rPr>
          <w:color w:val="auto"/>
        </w:rPr>
        <w:t xml:space="preserve"> </w:t>
      </w:r>
      <w:r w:rsidRPr="002029AF">
        <w:rPr>
          <w:color w:val="auto"/>
        </w:rPr>
        <w:t>cash</w:t>
      </w:r>
      <w:r w:rsidR="000A5329" w:rsidRPr="002029AF">
        <w:rPr>
          <w:color w:val="auto"/>
        </w:rPr>
        <w:t xml:space="preserve"> </w:t>
      </w:r>
      <w:r w:rsidRPr="002029AF">
        <w:rPr>
          <w:color w:val="auto"/>
        </w:rPr>
        <w:t>flows</w:t>
      </w:r>
      <w:r w:rsidR="000A5329" w:rsidRPr="002029AF">
        <w:rPr>
          <w:color w:val="auto"/>
        </w:rPr>
        <w:t xml:space="preserve"> </w:t>
      </w:r>
      <w:r w:rsidRPr="002029AF">
        <w:rPr>
          <w:color w:val="auto"/>
        </w:rPr>
        <w:t>from</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asset</w:t>
      </w:r>
      <w:r w:rsidR="000A5329" w:rsidRPr="002029AF">
        <w:rPr>
          <w:color w:val="auto"/>
        </w:rPr>
        <w:t xml:space="preserve"> </w:t>
      </w:r>
      <w:r w:rsidRPr="002029AF">
        <w:rPr>
          <w:color w:val="auto"/>
        </w:rPr>
        <w:t>have</w:t>
      </w:r>
      <w:r w:rsidR="000A5329" w:rsidRPr="002029AF">
        <w:rPr>
          <w:color w:val="auto"/>
        </w:rPr>
        <w:t xml:space="preserve"> </w:t>
      </w:r>
      <w:r w:rsidRPr="002029AF">
        <w:rPr>
          <w:color w:val="auto"/>
        </w:rPr>
        <w:t>expired,</w:t>
      </w:r>
      <w:r w:rsidR="000A5329" w:rsidRPr="002029AF">
        <w:rPr>
          <w:color w:val="auto"/>
        </w:rPr>
        <w:t xml:space="preserve"> </w:t>
      </w:r>
      <w:r w:rsidRPr="002029AF">
        <w:rPr>
          <w:color w:val="auto"/>
        </w:rPr>
        <w:t>or</w:t>
      </w:r>
    </w:p>
    <w:p w14:paraId="26FA1EC2" w14:textId="693614D3" w:rsidR="00087B91" w:rsidRPr="002029AF" w:rsidRDefault="00087B91" w:rsidP="00087B91">
      <w:pPr>
        <w:pStyle w:val="ARfinbullet1"/>
        <w:rPr>
          <w:color w:val="auto"/>
        </w:rPr>
      </w:pPr>
      <w:r w:rsidRPr="002029AF">
        <w:rPr>
          <w:color w:val="auto"/>
        </w:rPr>
        <w:t>the</w:t>
      </w:r>
      <w:r w:rsidR="000A5329" w:rsidRPr="002029AF">
        <w:rPr>
          <w:color w:val="auto"/>
        </w:rPr>
        <w:t xml:space="preserve"> </w:t>
      </w:r>
      <w:r w:rsidRPr="002029AF">
        <w:rPr>
          <w:color w:val="auto"/>
        </w:rPr>
        <w:t>department</w:t>
      </w:r>
      <w:r w:rsidR="000A5329" w:rsidRPr="002029AF">
        <w:rPr>
          <w:color w:val="auto"/>
        </w:rPr>
        <w:t xml:space="preserve"> </w:t>
      </w:r>
      <w:r w:rsidRPr="002029AF">
        <w:rPr>
          <w:color w:val="auto"/>
        </w:rPr>
        <w:t>retains</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right</w:t>
      </w:r>
      <w:r w:rsidR="000A5329" w:rsidRPr="002029AF">
        <w:rPr>
          <w:color w:val="auto"/>
        </w:rPr>
        <w:t xml:space="preserve"> </w:t>
      </w:r>
      <w:r w:rsidRPr="002029AF">
        <w:rPr>
          <w:color w:val="auto"/>
        </w:rPr>
        <w:t>to</w:t>
      </w:r>
      <w:r w:rsidR="000A5329" w:rsidRPr="002029AF">
        <w:rPr>
          <w:color w:val="auto"/>
        </w:rPr>
        <w:t xml:space="preserve"> </w:t>
      </w:r>
      <w:r w:rsidRPr="002029AF">
        <w:rPr>
          <w:color w:val="auto"/>
        </w:rPr>
        <w:t>receive</w:t>
      </w:r>
      <w:r w:rsidR="000A5329" w:rsidRPr="002029AF">
        <w:rPr>
          <w:color w:val="auto"/>
        </w:rPr>
        <w:t xml:space="preserve"> </w:t>
      </w:r>
      <w:r w:rsidRPr="002029AF">
        <w:rPr>
          <w:color w:val="auto"/>
        </w:rPr>
        <w:t>cash</w:t>
      </w:r>
      <w:r w:rsidR="000A5329" w:rsidRPr="002029AF">
        <w:rPr>
          <w:color w:val="auto"/>
        </w:rPr>
        <w:t xml:space="preserve"> </w:t>
      </w:r>
      <w:r w:rsidRPr="002029AF">
        <w:rPr>
          <w:color w:val="auto"/>
        </w:rPr>
        <w:t>flows</w:t>
      </w:r>
      <w:r w:rsidR="000A5329" w:rsidRPr="002029AF">
        <w:rPr>
          <w:color w:val="auto"/>
        </w:rPr>
        <w:t xml:space="preserve"> </w:t>
      </w:r>
      <w:r w:rsidRPr="002029AF">
        <w:rPr>
          <w:color w:val="auto"/>
        </w:rPr>
        <w:t>from</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asset,</w:t>
      </w:r>
      <w:r w:rsidR="000A5329" w:rsidRPr="002029AF">
        <w:rPr>
          <w:color w:val="auto"/>
        </w:rPr>
        <w:t xml:space="preserve"> </w:t>
      </w:r>
      <w:r w:rsidRPr="002029AF">
        <w:rPr>
          <w:color w:val="auto"/>
        </w:rPr>
        <w:t>but</w:t>
      </w:r>
      <w:r w:rsidR="000A5329" w:rsidRPr="002029AF">
        <w:rPr>
          <w:color w:val="auto"/>
        </w:rPr>
        <w:t xml:space="preserve"> </w:t>
      </w:r>
      <w:r w:rsidRPr="002029AF">
        <w:rPr>
          <w:color w:val="auto"/>
        </w:rPr>
        <w:t>has</w:t>
      </w:r>
      <w:r w:rsidR="000A5329" w:rsidRPr="002029AF">
        <w:rPr>
          <w:color w:val="auto"/>
        </w:rPr>
        <w:t xml:space="preserve"> </w:t>
      </w:r>
      <w:r w:rsidRPr="002029AF">
        <w:rPr>
          <w:color w:val="auto"/>
        </w:rPr>
        <w:t>assumed</w:t>
      </w:r>
      <w:r w:rsidR="000A5329" w:rsidRPr="002029AF">
        <w:rPr>
          <w:color w:val="auto"/>
        </w:rPr>
        <w:t xml:space="preserve"> </w:t>
      </w:r>
      <w:r w:rsidRPr="002029AF">
        <w:rPr>
          <w:color w:val="auto"/>
        </w:rPr>
        <w:t>an</w:t>
      </w:r>
      <w:r w:rsidR="000A5329" w:rsidRPr="002029AF">
        <w:rPr>
          <w:color w:val="auto"/>
        </w:rPr>
        <w:t xml:space="preserve"> </w:t>
      </w:r>
      <w:r w:rsidRPr="002029AF">
        <w:rPr>
          <w:color w:val="auto"/>
        </w:rPr>
        <w:t>obligation</w:t>
      </w:r>
      <w:r w:rsidR="000A5329" w:rsidRPr="002029AF">
        <w:rPr>
          <w:color w:val="auto"/>
        </w:rPr>
        <w:t xml:space="preserve"> </w:t>
      </w:r>
      <w:r w:rsidRPr="002029AF">
        <w:rPr>
          <w:color w:val="auto"/>
        </w:rPr>
        <w:t>to</w:t>
      </w:r>
      <w:r w:rsidR="000A5329" w:rsidRPr="002029AF">
        <w:rPr>
          <w:color w:val="auto"/>
        </w:rPr>
        <w:t xml:space="preserve"> </w:t>
      </w:r>
      <w:r w:rsidRPr="002029AF">
        <w:rPr>
          <w:color w:val="auto"/>
        </w:rPr>
        <w:t>pay</w:t>
      </w:r>
      <w:r w:rsidR="000A5329" w:rsidRPr="002029AF">
        <w:rPr>
          <w:color w:val="auto"/>
        </w:rPr>
        <w:t xml:space="preserve"> </w:t>
      </w:r>
      <w:r w:rsidRPr="002029AF">
        <w:rPr>
          <w:color w:val="auto"/>
        </w:rPr>
        <w:t>them</w:t>
      </w:r>
      <w:r w:rsidR="000A5329" w:rsidRPr="002029AF">
        <w:rPr>
          <w:color w:val="auto"/>
        </w:rPr>
        <w:t xml:space="preserve"> </w:t>
      </w:r>
      <w:r w:rsidRPr="002029AF">
        <w:rPr>
          <w:color w:val="auto"/>
        </w:rPr>
        <w:t>in</w:t>
      </w:r>
      <w:r w:rsidR="000A5329" w:rsidRPr="002029AF">
        <w:rPr>
          <w:color w:val="auto"/>
        </w:rPr>
        <w:t xml:space="preserve"> </w:t>
      </w:r>
      <w:r w:rsidRPr="002029AF">
        <w:rPr>
          <w:color w:val="auto"/>
        </w:rPr>
        <w:t>full</w:t>
      </w:r>
      <w:r w:rsidR="000A5329" w:rsidRPr="002029AF">
        <w:rPr>
          <w:color w:val="auto"/>
        </w:rPr>
        <w:t xml:space="preserve"> </w:t>
      </w:r>
      <w:r w:rsidRPr="002029AF">
        <w:rPr>
          <w:color w:val="auto"/>
        </w:rPr>
        <w:t>without</w:t>
      </w:r>
      <w:r w:rsidR="000A5329" w:rsidRPr="002029AF">
        <w:rPr>
          <w:color w:val="auto"/>
        </w:rPr>
        <w:t xml:space="preserve"> </w:t>
      </w:r>
      <w:r w:rsidRPr="002029AF">
        <w:rPr>
          <w:color w:val="auto"/>
        </w:rPr>
        <w:t>material</w:t>
      </w:r>
      <w:r w:rsidR="000A5329" w:rsidRPr="002029AF">
        <w:rPr>
          <w:color w:val="auto"/>
        </w:rPr>
        <w:t xml:space="preserve"> </w:t>
      </w:r>
      <w:r w:rsidRPr="002029AF">
        <w:rPr>
          <w:color w:val="auto"/>
        </w:rPr>
        <w:t>delay</w:t>
      </w:r>
      <w:r w:rsidR="000A5329" w:rsidRPr="002029AF">
        <w:rPr>
          <w:color w:val="auto"/>
        </w:rPr>
        <w:t xml:space="preserve"> </w:t>
      </w:r>
      <w:r w:rsidRPr="002029AF">
        <w:rPr>
          <w:color w:val="auto"/>
        </w:rPr>
        <w:t>to</w:t>
      </w:r>
      <w:r w:rsidR="000A5329" w:rsidRPr="002029AF">
        <w:rPr>
          <w:color w:val="auto"/>
        </w:rPr>
        <w:t xml:space="preserve"> </w:t>
      </w:r>
      <w:r w:rsidRPr="002029AF">
        <w:rPr>
          <w:color w:val="auto"/>
        </w:rPr>
        <w:t>a</w:t>
      </w:r>
      <w:r w:rsidR="000A5329" w:rsidRPr="002029AF">
        <w:rPr>
          <w:color w:val="auto"/>
        </w:rPr>
        <w:t xml:space="preserve"> </w:t>
      </w:r>
      <w:r w:rsidRPr="002029AF">
        <w:rPr>
          <w:color w:val="auto"/>
        </w:rPr>
        <w:t>third</w:t>
      </w:r>
      <w:r w:rsidR="000A5329" w:rsidRPr="002029AF">
        <w:rPr>
          <w:color w:val="auto"/>
        </w:rPr>
        <w:t xml:space="preserve"> </w:t>
      </w:r>
      <w:r w:rsidRPr="002029AF">
        <w:rPr>
          <w:color w:val="auto"/>
        </w:rPr>
        <w:t>party</w:t>
      </w:r>
      <w:r w:rsidR="000A5329" w:rsidRPr="002029AF">
        <w:rPr>
          <w:color w:val="auto"/>
        </w:rPr>
        <w:t xml:space="preserve"> </w:t>
      </w:r>
      <w:r w:rsidRPr="002029AF">
        <w:rPr>
          <w:color w:val="auto"/>
        </w:rPr>
        <w:t>under</w:t>
      </w:r>
      <w:r w:rsidR="000A5329" w:rsidRPr="002029AF">
        <w:rPr>
          <w:color w:val="auto"/>
        </w:rPr>
        <w:t xml:space="preserve"> </w:t>
      </w:r>
      <w:r w:rsidRPr="002029AF">
        <w:rPr>
          <w:color w:val="auto"/>
        </w:rPr>
        <w:t>a</w:t>
      </w:r>
      <w:r w:rsidR="000A5329" w:rsidRPr="002029AF">
        <w:rPr>
          <w:color w:val="auto"/>
        </w:rPr>
        <w:t xml:space="preserve"> </w:t>
      </w:r>
      <w:r w:rsidRPr="002029AF">
        <w:rPr>
          <w:color w:val="auto"/>
        </w:rPr>
        <w:t>‘pass</w:t>
      </w:r>
      <w:r w:rsidR="000A5329" w:rsidRPr="002029AF">
        <w:rPr>
          <w:color w:val="auto"/>
        </w:rPr>
        <w:t xml:space="preserve"> </w:t>
      </w:r>
      <w:r w:rsidRPr="002029AF">
        <w:rPr>
          <w:color w:val="auto"/>
        </w:rPr>
        <w:t>through’</w:t>
      </w:r>
      <w:r w:rsidR="000A5329" w:rsidRPr="002029AF">
        <w:rPr>
          <w:color w:val="auto"/>
        </w:rPr>
        <w:t xml:space="preserve"> </w:t>
      </w:r>
      <w:r w:rsidRPr="002029AF">
        <w:rPr>
          <w:color w:val="auto"/>
        </w:rPr>
        <w:t>arrangement,</w:t>
      </w:r>
      <w:r w:rsidR="000A5329" w:rsidRPr="002029AF">
        <w:rPr>
          <w:color w:val="auto"/>
        </w:rPr>
        <w:t xml:space="preserve"> </w:t>
      </w:r>
      <w:r w:rsidRPr="002029AF">
        <w:rPr>
          <w:color w:val="auto"/>
        </w:rPr>
        <w:t>or</w:t>
      </w:r>
    </w:p>
    <w:p w14:paraId="647AD16A" w14:textId="7DB4CD9B" w:rsidR="00087B91" w:rsidRPr="002029AF" w:rsidRDefault="00087B91" w:rsidP="00087B91">
      <w:pPr>
        <w:pStyle w:val="ARfinbullet1"/>
        <w:rPr>
          <w:color w:val="auto"/>
        </w:rPr>
      </w:pPr>
      <w:r w:rsidRPr="002029AF">
        <w:rPr>
          <w:color w:val="auto"/>
        </w:rPr>
        <w:lastRenderedPageBreak/>
        <w:t>the</w:t>
      </w:r>
      <w:r w:rsidR="000A5329" w:rsidRPr="002029AF">
        <w:rPr>
          <w:color w:val="auto"/>
        </w:rPr>
        <w:t xml:space="preserve"> </w:t>
      </w:r>
      <w:r w:rsidRPr="002029AF">
        <w:rPr>
          <w:color w:val="auto"/>
        </w:rPr>
        <w:t>department</w:t>
      </w:r>
      <w:r w:rsidR="000A5329" w:rsidRPr="002029AF">
        <w:rPr>
          <w:color w:val="auto"/>
        </w:rPr>
        <w:t xml:space="preserve"> </w:t>
      </w:r>
      <w:r w:rsidRPr="002029AF">
        <w:rPr>
          <w:color w:val="auto"/>
        </w:rPr>
        <w:t>has</w:t>
      </w:r>
      <w:r w:rsidR="000A5329" w:rsidRPr="002029AF">
        <w:rPr>
          <w:color w:val="auto"/>
        </w:rPr>
        <w:t xml:space="preserve"> </w:t>
      </w:r>
      <w:r w:rsidRPr="002029AF">
        <w:rPr>
          <w:color w:val="auto"/>
        </w:rPr>
        <w:t>transferred</w:t>
      </w:r>
      <w:r w:rsidR="000A5329" w:rsidRPr="002029AF">
        <w:rPr>
          <w:color w:val="auto"/>
        </w:rPr>
        <w:t xml:space="preserve"> </w:t>
      </w:r>
      <w:r w:rsidRPr="002029AF">
        <w:rPr>
          <w:color w:val="auto"/>
        </w:rPr>
        <w:t>its</w:t>
      </w:r>
      <w:r w:rsidR="000A5329" w:rsidRPr="002029AF">
        <w:rPr>
          <w:color w:val="auto"/>
        </w:rPr>
        <w:t xml:space="preserve"> </w:t>
      </w:r>
      <w:r w:rsidRPr="002029AF">
        <w:rPr>
          <w:color w:val="auto"/>
        </w:rPr>
        <w:t>rights</w:t>
      </w:r>
      <w:r w:rsidR="000A5329" w:rsidRPr="002029AF">
        <w:rPr>
          <w:color w:val="auto"/>
        </w:rPr>
        <w:t xml:space="preserve"> </w:t>
      </w:r>
      <w:r w:rsidRPr="002029AF">
        <w:rPr>
          <w:color w:val="auto"/>
        </w:rPr>
        <w:t>to</w:t>
      </w:r>
      <w:r w:rsidR="000A5329" w:rsidRPr="002029AF">
        <w:rPr>
          <w:color w:val="auto"/>
        </w:rPr>
        <w:t xml:space="preserve"> </w:t>
      </w:r>
      <w:r w:rsidRPr="002029AF">
        <w:rPr>
          <w:color w:val="auto"/>
        </w:rPr>
        <w:t>receive</w:t>
      </w:r>
      <w:r w:rsidR="000A5329" w:rsidRPr="002029AF">
        <w:rPr>
          <w:color w:val="auto"/>
        </w:rPr>
        <w:t xml:space="preserve"> </w:t>
      </w:r>
      <w:r w:rsidRPr="002029AF">
        <w:rPr>
          <w:color w:val="auto"/>
        </w:rPr>
        <w:t>cash</w:t>
      </w:r>
      <w:r w:rsidR="000A5329" w:rsidRPr="002029AF">
        <w:rPr>
          <w:color w:val="auto"/>
        </w:rPr>
        <w:t xml:space="preserve"> </w:t>
      </w:r>
      <w:r w:rsidRPr="002029AF">
        <w:rPr>
          <w:color w:val="auto"/>
        </w:rPr>
        <w:t>flows</w:t>
      </w:r>
      <w:r w:rsidR="000A5329" w:rsidRPr="002029AF">
        <w:rPr>
          <w:color w:val="auto"/>
        </w:rPr>
        <w:t xml:space="preserve"> </w:t>
      </w:r>
      <w:r w:rsidRPr="002029AF">
        <w:rPr>
          <w:color w:val="auto"/>
        </w:rPr>
        <w:t>from</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asset</w:t>
      </w:r>
      <w:r w:rsidR="000A5329" w:rsidRPr="002029AF">
        <w:rPr>
          <w:color w:val="auto"/>
        </w:rPr>
        <w:t xml:space="preserve"> </w:t>
      </w:r>
      <w:r w:rsidRPr="002029AF">
        <w:rPr>
          <w:color w:val="auto"/>
        </w:rPr>
        <w:t>and</w:t>
      </w:r>
      <w:r w:rsidR="000A5329" w:rsidRPr="002029AF">
        <w:rPr>
          <w:color w:val="auto"/>
        </w:rPr>
        <w:t xml:space="preserve"> </w:t>
      </w:r>
      <w:r w:rsidRPr="002029AF">
        <w:rPr>
          <w:color w:val="auto"/>
        </w:rPr>
        <w:t>either:</w:t>
      </w:r>
    </w:p>
    <w:p w14:paraId="56C0C0A6" w14:textId="7DF174DB" w:rsidR="00087B91" w:rsidRPr="002029AF" w:rsidRDefault="00087B91" w:rsidP="00087B91">
      <w:pPr>
        <w:pStyle w:val="ARfinbullet2"/>
        <w:rPr>
          <w:color w:val="auto"/>
        </w:rPr>
      </w:pPr>
      <w:r w:rsidRPr="002029AF">
        <w:rPr>
          <w:color w:val="auto"/>
        </w:rPr>
        <w:t>has</w:t>
      </w:r>
      <w:r w:rsidR="000A5329" w:rsidRPr="002029AF">
        <w:rPr>
          <w:color w:val="auto"/>
        </w:rPr>
        <w:t xml:space="preserve"> </w:t>
      </w:r>
      <w:r w:rsidRPr="002029AF">
        <w:rPr>
          <w:color w:val="auto"/>
        </w:rPr>
        <w:t>transferred</w:t>
      </w:r>
      <w:r w:rsidR="000A5329" w:rsidRPr="002029AF">
        <w:rPr>
          <w:color w:val="auto"/>
        </w:rPr>
        <w:t xml:space="preserve"> </w:t>
      </w:r>
      <w:r w:rsidRPr="002029AF">
        <w:rPr>
          <w:color w:val="auto"/>
        </w:rPr>
        <w:t>substantially</w:t>
      </w:r>
      <w:r w:rsidR="000A5329" w:rsidRPr="002029AF">
        <w:rPr>
          <w:color w:val="auto"/>
        </w:rPr>
        <w:t xml:space="preserve"> </w:t>
      </w:r>
      <w:r w:rsidRPr="002029AF">
        <w:rPr>
          <w:color w:val="auto"/>
        </w:rPr>
        <w:t>all</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risks</w:t>
      </w:r>
      <w:r w:rsidR="000A5329" w:rsidRPr="002029AF">
        <w:rPr>
          <w:color w:val="auto"/>
        </w:rPr>
        <w:t xml:space="preserve"> </w:t>
      </w:r>
      <w:r w:rsidRPr="002029AF">
        <w:rPr>
          <w:color w:val="auto"/>
        </w:rPr>
        <w:t>and</w:t>
      </w:r>
      <w:r w:rsidR="000A5329" w:rsidRPr="002029AF">
        <w:rPr>
          <w:color w:val="auto"/>
        </w:rPr>
        <w:t xml:space="preserve"> </w:t>
      </w:r>
      <w:r w:rsidRPr="002029AF">
        <w:rPr>
          <w:color w:val="auto"/>
        </w:rPr>
        <w:t>rewards</w:t>
      </w:r>
      <w:r w:rsidR="000A5329" w:rsidRPr="002029AF">
        <w:rPr>
          <w:color w:val="auto"/>
        </w:rPr>
        <w:t xml:space="preserve"> </w:t>
      </w:r>
      <w:r w:rsidRPr="002029AF">
        <w:rPr>
          <w:color w:val="auto"/>
        </w:rPr>
        <w:t>of</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asset,</w:t>
      </w:r>
      <w:r w:rsidR="000A5329" w:rsidRPr="002029AF">
        <w:rPr>
          <w:color w:val="auto"/>
        </w:rPr>
        <w:t xml:space="preserve"> </w:t>
      </w:r>
      <w:r w:rsidRPr="002029AF">
        <w:rPr>
          <w:color w:val="auto"/>
        </w:rPr>
        <w:t>or</w:t>
      </w:r>
    </w:p>
    <w:p w14:paraId="3BAB84C9" w14:textId="0E2763EB" w:rsidR="00087B91" w:rsidRPr="002029AF" w:rsidRDefault="00087B91" w:rsidP="00087B91">
      <w:pPr>
        <w:pStyle w:val="ARfinbullet2"/>
        <w:rPr>
          <w:color w:val="auto"/>
        </w:rPr>
      </w:pPr>
      <w:r w:rsidRPr="002029AF">
        <w:rPr>
          <w:color w:val="auto"/>
        </w:rPr>
        <w:t>has</w:t>
      </w:r>
      <w:r w:rsidR="000A5329" w:rsidRPr="002029AF">
        <w:rPr>
          <w:color w:val="auto"/>
        </w:rPr>
        <w:t xml:space="preserve"> </w:t>
      </w:r>
      <w:r w:rsidRPr="002029AF">
        <w:rPr>
          <w:color w:val="auto"/>
        </w:rPr>
        <w:t>neither</w:t>
      </w:r>
      <w:r w:rsidR="000A5329" w:rsidRPr="002029AF">
        <w:rPr>
          <w:color w:val="auto"/>
        </w:rPr>
        <w:t xml:space="preserve"> </w:t>
      </w:r>
      <w:r w:rsidRPr="002029AF">
        <w:rPr>
          <w:color w:val="auto"/>
        </w:rPr>
        <w:t>transferred</w:t>
      </w:r>
      <w:r w:rsidR="000A5329" w:rsidRPr="002029AF">
        <w:rPr>
          <w:color w:val="auto"/>
        </w:rPr>
        <w:t xml:space="preserve"> </w:t>
      </w:r>
      <w:r w:rsidRPr="002029AF">
        <w:rPr>
          <w:color w:val="auto"/>
        </w:rPr>
        <w:t>nor</w:t>
      </w:r>
      <w:r w:rsidR="000A5329" w:rsidRPr="002029AF">
        <w:rPr>
          <w:color w:val="auto"/>
        </w:rPr>
        <w:t xml:space="preserve"> </w:t>
      </w:r>
      <w:r w:rsidRPr="002029AF">
        <w:rPr>
          <w:color w:val="auto"/>
        </w:rPr>
        <w:t>retained</w:t>
      </w:r>
      <w:r w:rsidR="000A5329" w:rsidRPr="002029AF">
        <w:rPr>
          <w:color w:val="auto"/>
        </w:rPr>
        <w:t xml:space="preserve"> </w:t>
      </w:r>
      <w:r w:rsidRPr="002029AF">
        <w:rPr>
          <w:color w:val="auto"/>
        </w:rPr>
        <w:t>substantially</w:t>
      </w:r>
      <w:r w:rsidR="000A5329" w:rsidRPr="002029AF">
        <w:rPr>
          <w:color w:val="auto"/>
        </w:rPr>
        <w:t xml:space="preserve"> </w:t>
      </w:r>
      <w:r w:rsidRPr="002029AF">
        <w:rPr>
          <w:color w:val="auto"/>
        </w:rPr>
        <w:t>all</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risks</w:t>
      </w:r>
      <w:r w:rsidR="000A5329" w:rsidRPr="002029AF">
        <w:rPr>
          <w:color w:val="auto"/>
        </w:rPr>
        <w:t xml:space="preserve"> </w:t>
      </w:r>
      <w:r w:rsidRPr="002029AF">
        <w:rPr>
          <w:color w:val="auto"/>
        </w:rPr>
        <w:t>and</w:t>
      </w:r>
      <w:r w:rsidR="000A5329" w:rsidRPr="002029AF">
        <w:rPr>
          <w:color w:val="auto"/>
        </w:rPr>
        <w:t xml:space="preserve"> </w:t>
      </w:r>
      <w:r w:rsidRPr="002029AF">
        <w:rPr>
          <w:color w:val="auto"/>
        </w:rPr>
        <w:t>rewards</w:t>
      </w:r>
      <w:r w:rsidR="000A5329" w:rsidRPr="002029AF">
        <w:rPr>
          <w:color w:val="auto"/>
        </w:rPr>
        <w:t xml:space="preserve"> </w:t>
      </w:r>
      <w:r w:rsidRPr="002029AF">
        <w:rPr>
          <w:color w:val="auto"/>
        </w:rPr>
        <w:t>of</w:t>
      </w:r>
      <w:r w:rsidR="000A5329" w:rsidRPr="002029AF">
        <w:rPr>
          <w:color w:val="auto"/>
        </w:rPr>
        <w:t xml:space="preserve"> </w:t>
      </w:r>
      <w:r w:rsidRPr="002029AF">
        <w:rPr>
          <w:color w:val="auto"/>
        </w:rPr>
        <w:t>the</w:t>
      </w:r>
      <w:r w:rsidR="000A5329" w:rsidRPr="002029AF">
        <w:rPr>
          <w:color w:val="auto"/>
        </w:rPr>
        <w:t xml:space="preserve"> </w:t>
      </w:r>
      <w:r w:rsidR="00FF453D" w:rsidRPr="002029AF">
        <w:rPr>
          <w:color w:val="auto"/>
        </w:rPr>
        <w:t>asset but</w:t>
      </w:r>
      <w:r w:rsidR="000A5329" w:rsidRPr="002029AF">
        <w:rPr>
          <w:color w:val="auto"/>
        </w:rPr>
        <w:t xml:space="preserve"> </w:t>
      </w:r>
      <w:r w:rsidRPr="002029AF">
        <w:rPr>
          <w:color w:val="auto"/>
        </w:rPr>
        <w:t>has</w:t>
      </w:r>
      <w:r w:rsidR="000A5329" w:rsidRPr="002029AF">
        <w:rPr>
          <w:color w:val="auto"/>
        </w:rPr>
        <w:t xml:space="preserve"> </w:t>
      </w:r>
      <w:r w:rsidRPr="002029AF">
        <w:rPr>
          <w:color w:val="auto"/>
        </w:rPr>
        <w:t>transferred</w:t>
      </w:r>
      <w:r w:rsidR="000A5329" w:rsidRPr="002029AF">
        <w:rPr>
          <w:color w:val="auto"/>
        </w:rPr>
        <w:t xml:space="preserve"> </w:t>
      </w:r>
      <w:r w:rsidRPr="002029AF">
        <w:rPr>
          <w:color w:val="auto"/>
        </w:rPr>
        <w:t>control</w:t>
      </w:r>
      <w:r w:rsidR="000A5329" w:rsidRPr="002029AF">
        <w:rPr>
          <w:color w:val="auto"/>
        </w:rPr>
        <w:t xml:space="preserve"> </w:t>
      </w:r>
      <w:r w:rsidRPr="002029AF">
        <w:rPr>
          <w:color w:val="auto"/>
        </w:rPr>
        <w:t>of</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asset.</w:t>
      </w:r>
    </w:p>
    <w:p w14:paraId="3E11DCC0" w14:textId="7210A403" w:rsidR="00087B91" w:rsidRPr="002029AF" w:rsidRDefault="00087B91" w:rsidP="00087B91">
      <w:pPr>
        <w:pStyle w:val="ARfinbody"/>
        <w:rPr>
          <w:color w:val="auto"/>
        </w:rPr>
      </w:pPr>
      <w:r w:rsidRPr="002029AF">
        <w:rPr>
          <w:color w:val="auto"/>
        </w:rPr>
        <w:t>Where</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department</w:t>
      </w:r>
      <w:r w:rsidR="000A5329" w:rsidRPr="002029AF">
        <w:rPr>
          <w:color w:val="auto"/>
        </w:rPr>
        <w:t xml:space="preserve"> </w:t>
      </w:r>
      <w:r w:rsidRPr="002029AF">
        <w:rPr>
          <w:color w:val="auto"/>
        </w:rPr>
        <w:t>has</w:t>
      </w:r>
      <w:r w:rsidR="000A5329" w:rsidRPr="002029AF">
        <w:rPr>
          <w:color w:val="auto"/>
        </w:rPr>
        <w:t xml:space="preserve"> </w:t>
      </w:r>
      <w:r w:rsidRPr="002029AF">
        <w:rPr>
          <w:color w:val="auto"/>
        </w:rPr>
        <w:t>neither</w:t>
      </w:r>
      <w:r w:rsidR="000A5329" w:rsidRPr="002029AF">
        <w:rPr>
          <w:color w:val="auto"/>
        </w:rPr>
        <w:t xml:space="preserve"> </w:t>
      </w:r>
      <w:r w:rsidRPr="002029AF">
        <w:rPr>
          <w:color w:val="auto"/>
        </w:rPr>
        <w:t>transferred</w:t>
      </w:r>
      <w:r w:rsidR="000A5329" w:rsidRPr="002029AF">
        <w:rPr>
          <w:color w:val="auto"/>
        </w:rPr>
        <w:t xml:space="preserve"> </w:t>
      </w:r>
      <w:r w:rsidRPr="002029AF">
        <w:rPr>
          <w:color w:val="auto"/>
        </w:rPr>
        <w:t>nor</w:t>
      </w:r>
      <w:r w:rsidR="000A5329" w:rsidRPr="002029AF">
        <w:rPr>
          <w:color w:val="auto"/>
        </w:rPr>
        <w:t xml:space="preserve"> </w:t>
      </w:r>
      <w:r w:rsidRPr="002029AF">
        <w:rPr>
          <w:color w:val="auto"/>
        </w:rPr>
        <w:t>retained</w:t>
      </w:r>
      <w:r w:rsidR="000A5329" w:rsidRPr="002029AF">
        <w:rPr>
          <w:color w:val="auto"/>
        </w:rPr>
        <w:t xml:space="preserve"> </w:t>
      </w:r>
      <w:r w:rsidRPr="002029AF">
        <w:rPr>
          <w:color w:val="auto"/>
        </w:rPr>
        <w:t>substantially</w:t>
      </w:r>
      <w:r w:rsidR="000A5329" w:rsidRPr="002029AF">
        <w:rPr>
          <w:color w:val="auto"/>
        </w:rPr>
        <w:t xml:space="preserve"> </w:t>
      </w:r>
      <w:r w:rsidRPr="002029AF">
        <w:rPr>
          <w:color w:val="auto"/>
        </w:rPr>
        <w:t>all</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risks</w:t>
      </w:r>
      <w:r w:rsidR="000A5329" w:rsidRPr="002029AF">
        <w:rPr>
          <w:color w:val="auto"/>
        </w:rPr>
        <w:t xml:space="preserve"> </w:t>
      </w:r>
      <w:r w:rsidRPr="002029AF">
        <w:rPr>
          <w:color w:val="auto"/>
        </w:rPr>
        <w:t>and</w:t>
      </w:r>
      <w:r w:rsidR="000A5329" w:rsidRPr="002029AF">
        <w:rPr>
          <w:color w:val="auto"/>
        </w:rPr>
        <w:t xml:space="preserve"> </w:t>
      </w:r>
      <w:r w:rsidRPr="002029AF">
        <w:rPr>
          <w:color w:val="auto"/>
        </w:rPr>
        <w:t>rewards</w:t>
      </w:r>
      <w:r w:rsidR="000A5329" w:rsidRPr="002029AF">
        <w:rPr>
          <w:color w:val="auto"/>
        </w:rPr>
        <w:t xml:space="preserve"> </w:t>
      </w:r>
      <w:r w:rsidRPr="002029AF">
        <w:rPr>
          <w:color w:val="auto"/>
        </w:rPr>
        <w:t>or</w:t>
      </w:r>
      <w:r w:rsidR="000A5329" w:rsidRPr="002029AF">
        <w:rPr>
          <w:color w:val="auto"/>
        </w:rPr>
        <w:t xml:space="preserve"> </w:t>
      </w:r>
      <w:r w:rsidRPr="002029AF">
        <w:rPr>
          <w:color w:val="auto"/>
        </w:rPr>
        <w:t>transferred</w:t>
      </w:r>
      <w:r w:rsidR="000A5329" w:rsidRPr="002029AF">
        <w:rPr>
          <w:color w:val="auto"/>
        </w:rPr>
        <w:t xml:space="preserve"> </w:t>
      </w:r>
      <w:r w:rsidRPr="002029AF">
        <w:rPr>
          <w:color w:val="auto"/>
        </w:rPr>
        <w:t>control,</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asset</w:t>
      </w:r>
      <w:r w:rsidR="000A5329" w:rsidRPr="002029AF">
        <w:rPr>
          <w:color w:val="auto"/>
        </w:rPr>
        <w:t xml:space="preserve"> </w:t>
      </w:r>
      <w:r w:rsidRPr="002029AF">
        <w:rPr>
          <w:color w:val="auto"/>
        </w:rPr>
        <w:t>is</w:t>
      </w:r>
      <w:r w:rsidR="000A5329" w:rsidRPr="002029AF">
        <w:rPr>
          <w:color w:val="auto"/>
        </w:rPr>
        <w:t xml:space="preserve"> </w:t>
      </w:r>
      <w:r w:rsidRPr="002029AF">
        <w:rPr>
          <w:color w:val="auto"/>
        </w:rPr>
        <w:t>recognised</w:t>
      </w:r>
      <w:r w:rsidR="000A5329" w:rsidRPr="002029AF">
        <w:rPr>
          <w:color w:val="auto"/>
        </w:rPr>
        <w:t xml:space="preserve"> </w:t>
      </w:r>
      <w:r w:rsidRPr="002029AF">
        <w:rPr>
          <w:color w:val="auto"/>
        </w:rPr>
        <w:t>to</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extent</w:t>
      </w:r>
      <w:r w:rsidR="000A5329" w:rsidRPr="002029AF">
        <w:rPr>
          <w:color w:val="auto"/>
        </w:rPr>
        <w:t xml:space="preserve"> </w:t>
      </w:r>
      <w:r w:rsidRPr="002029AF">
        <w:rPr>
          <w:color w:val="auto"/>
        </w:rPr>
        <w:t>of</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department’s</w:t>
      </w:r>
      <w:r w:rsidR="000A5329" w:rsidRPr="002029AF">
        <w:rPr>
          <w:color w:val="auto"/>
        </w:rPr>
        <w:t xml:space="preserve"> </w:t>
      </w:r>
      <w:r w:rsidRPr="002029AF">
        <w:rPr>
          <w:color w:val="auto"/>
        </w:rPr>
        <w:t>continuing</w:t>
      </w:r>
      <w:r w:rsidR="000A5329" w:rsidRPr="002029AF">
        <w:rPr>
          <w:color w:val="auto"/>
        </w:rPr>
        <w:t xml:space="preserve"> </w:t>
      </w:r>
      <w:r w:rsidRPr="002029AF">
        <w:rPr>
          <w:color w:val="auto"/>
        </w:rPr>
        <w:t>involvement</w:t>
      </w:r>
      <w:r w:rsidR="000A5329" w:rsidRPr="002029AF">
        <w:rPr>
          <w:color w:val="auto"/>
        </w:rPr>
        <w:t xml:space="preserve"> </w:t>
      </w:r>
      <w:r w:rsidRPr="002029AF">
        <w:rPr>
          <w:color w:val="auto"/>
        </w:rPr>
        <w:t>in</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asset.</w:t>
      </w:r>
    </w:p>
    <w:p w14:paraId="4E4E8166" w14:textId="459ECA73" w:rsidR="00087B91" w:rsidRPr="002029AF" w:rsidRDefault="00087B91" w:rsidP="00087B91">
      <w:pPr>
        <w:pStyle w:val="ARfinbody"/>
        <w:rPr>
          <w:color w:val="auto"/>
        </w:rPr>
      </w:pPr>
      <w:r w:rsidRPr="002029AF">
        <w:rPr>
          <w:rStyle w:val="Strong"/>
        </w:rPr>
        <w:t>Derecognition</w:t>
      </w:r>
      <w:r w:rsidR="000A5329" w:rsidRPr="002029AF">
        <w:rPr>
          <w:rStyle w:val="Strong"/>
        </w:rPr>
        <w:t xml:space="preserve"> </w:t>
      </w:r>
      <w:r w:rsidRPr="002029AF">
        <w:rPr>
          <w:rStyle w:val="Strong"/>
        </w:rPr>
        <w:t>of</w:t>
      </w:r>
      <w:r w:rsidR="000A5329" w:rsidRPr="002029AF">
        <w:rPr>
          <w:rStyle w:val="Strong"/>
        </w:rPr>
        <w:t xml:space="preserve"> </w:t>
      </w:r>
      <w:r w:rsidRPr="002029AF">
        <w:rPr>
          <w:rStyle w:val="Strong"/>
        </w:rPr>
        <w:t>financial</w:t>
      </w:r>
      <w:r w:rsidR="000A5329" w:rsidRPr="002029AF">
        <w:rPr>
          <w:rStyle w:val="Strong"/>
        </w:rPr>
        <w:t xml:space="preserve"> </w:t>
      </w:r>
      <w:r w:rsidRPr="002029AF">
        <w:rPr>
          <w:rStyle w:val="Strong"/>
        </w:rPr>
        <w:t>liabilities:</w:t>
      </w:r>
      <w:r w:rsidR="000A5329" w:rsidRPr="002029AF">
        <w:rPr>
          <w:color w:val="auto"/>
        </w:rPr>
        <w:t xml:space="preserve"> </w:t>
      </w:r>
      <w:r w:rsidRPr="002029AF">
        <w:rPr>
          <w:color w:val="auto"/>
        </w:rPr>
        <w:t>A</w:t>
      </w:r>
      <w:r w:rsidR="000A5329" w:rsidRPr="002029AF">
        <w:rPr>
          <w:color w:val="auto"/>
        </w:rPr>
        <w:t xml:space="preserve"> </w:t>
      </w:r>
      <w:r w:rsidRPr="002029AF">
        <w:rPr>
          <w:color w:val="auto"/>
        </w:rPr>
        <w:t>financial</w:t>
      </w:r>
      <w:r w:rsidR="000A5329" w:rsidRPr="002029AF">
        <w:rPr>
          <w:color w:val="auto"/>
        </w:rPr>
        <w:t xml:space="preserve"> </w:t>
      </w:r>
      <w:r w:rsidRPr="002029AF">
        <w:rPr>
          <w:color w:val="auto"/>
        </w:rPr>
        <w:t>liability</w:t>
      </w:r>
      <w:r w:rsidR="000A5329" w:rsidRPr="002029AF">
        <w:rPr>
          <w:color w:val="auto"/>
        </w:rPr>
        <w:t xml:space="preserve"> </w:t>
      </w:r>
      <w:r w:rsidRPr="002029AF">
        <w:rPr>
          <w:color w:val="auto"/>
        </w:rPr>
        <w:t>is</w:t>
      </w:r>
      <w:r w:rsidR="000A5329" w:rsidRPr="002029AF">
        <w:rPr>
          <w:color w:val="auto"/>
        </w:rPr>
        <w:t xml:space="preserve"> </w:t>
      </w:r>
      <w:r w:rsidRPr="002029AF">
        <w:rPr>
          <w:color w:val="auto"/>
        </w:rPr>
        <w:t>derecognised</w:t>
      </w:r>
      <w:r w:rsidR="000A5329" w:rsidRPr="002029AF">
        <w:rPr>
          <w:color w:val="auto"/>
        </w:rPr>
        <w:t xml:space="preserve"> </w:t>
      </w:r>
      <w:r w:rsidRPr="002029AF">
        <w:rPr>
          <w:color w:val="auto"/>
        </w:rPr>
        <w:t>when</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obligation</w:t>
      </w:r>
      <w:r w:rsidR="000A5329" w:rsidRPr="002029AF">
        <w:rPr>
          <w:color w:val="auto"/>
        </w:rPr>
        <w:t xml:space="preserve"> </w:t>
      </w:r>
      <w:r w:rsidRPr="002029AF">
        <w:rPr>
          <w:color w:val="auto"/>
        </w:rPr>
        <w:t>under</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liability</w:t>
      </w:r>
      <w:r w:rsidR="000A5329" w:rsidRPr="002029AF">
        <w:rPr>
          <w:color w:val="auto"/>
        </w:rPr>
        <w:t xml:space="preserve"> </w:t>
      </w:r>
      <w:r w:rsidRPr="002029AF">
        <w:rPr>
          <w:color w:val="auto"/>
        </w:rPr>
        <w:t>is</w:t>
      </w:r>
      <w:r w:rsidR="000A5329" w:rsidRPr="002029AF">
        <w:rPr>
          <w:color w:val="auto"/>
        </w:rPr>
        <w:t xml:space="preserve"> </w:t>
      </w:r>
      <w:r w:rsidRPr="002029AF">
        <w:rPr>
          <w:color w:val="auto"/>
        </w:rPr>
        <w:t>discharged,</w:t>
      </w:r>
      <w:r w:rsidR="000A5329" w:rsidRPr="002029AF">
        <w:rPr>
          <w:color w:val="auto"/>
        </w:rPr>
        <w:t xml:space="preserve"> </w:t>
      </w:r>
      <w:r w:rsidRPr="002029AF">
        <w:rPr>
          <w:color w:val="auto"/>
        </w:rPr>
        <w:t>cancelled</w:t>
      </w:r>
      <w:r w:rsidR="000A5329" w:rsidRPr="002029AF">
        <w:rPr>
          <w:color w:val="auto"/>
        </w:rPr>
        <w:t xml:space="preserve"> </w:t>
      </w:r>
      <w:r w:rsidRPr="002029AF">
        <w:rPr>
          <w:color w:val="auto"/>
        </w:rPr>
        <w:t>or</w:t>
      </w:r>
      <w:r w:rsidR="000A5329" w:rsidRPr="002029AF">
        <w:rPr>
          <w:color w:val="auto"/>
        </w:rPr>
        <w:t xml:space="preserve"> </w:t>
      </w:r>
      <w:r w:rsidRPr="002029AF">
        <w:rPr>
          <w:color w:val="auto"/>
        </w:rPr>
        <w:t>expires.</w:t>
      </w:r>
      <w:r w:rsidR="000A5329" w:rsidRPr="002029AF">
        <w:rPr>
          <w:color w:val="auto"/>
        </w:rPr>
        <w:t xml:space="preserve"> </w:t>
      </w:r>
      <w:r w:rsidRPr="002029AF">
        <w:rPr>
          <w:color w:val="auto"/>
        </w:rPr>
        <w:t>When</w:t>
      </w:r>
      <w:r w:rsidR="000A5329" w:rsidRPr="002029AF">
        <w:rPr>
          <w:color w:val="auto"/>
        </w:rPr>
        <w:t xml:space="preserve"> </w:t>
      </w:r>
      <w:r w:rsidRPr="002029AF">
        <w:rPr>
          <w:color w:val="auto"/>
        </w:rPr>
        <w:t>an</w:t>
      </w:r>
      <w:r w:rsidR="000A5329" w:rsidRPr="002029AF">
        <w:rPr>
          <w:color w:val="auto"/>
        </w:rPr>
        <w:t xml:space="preserve"> </w:t>
      </w:r>
      <w:r w:rsidRPr="002029AF">
        <w:rPr>
          <w:color w:val="auto"/>
        </w:rPr>
        <w:t>existing</w:t>
      </w:r>
      <w:r w:rsidR="000A5329" w:rsidRPr="002029AF">
        <w:rPr>
          <w:color w:val="auto"/>
        </w:rPr>
        <w:t xml:space="preserve"> </w:t>
      </w:r>
      <w:r w:rsidRPr="002029AF">
        <w:rPr>
          <w:color w:val="auto"/>
        </w:rPr>
        <w:t>financial</w:t>
      </w:r>
      <w:r w:rsidR="000A5329" w:rsidRPr="002029AF">
        <w:rPr>
          <w:color w:val="auto"/>
        </w:rPr>
        <w:t xml:space="preserve"> </w:t>
      </w:r>
      <w:r w:rsidRPr="002029AF">
        <w:rPr>
          <w:color w:val="auto"/>
        </w:rPr>
        <w:t>liability</w:t>
      </w:r>
      <w:r w:rsidR="000A5329" w:rsidRPr="002029AF">
        <w:rPr>
          <w:color w:val="auto"/>
        </w:rPr>
        <w:t xml:space="preserve"> </w:t>
      </w:r>
      <w:r w:rsidRPr="002029AF">
        <w:rPr>
          <w:color w:val="auto"/>
        </w:rPr>
        <w:t>is</w:t>
      </w:r>
      <w:r w:rsidR="000A5329" w:rsidRPr="002029AF">
        <w:rPr>
          <w:color w:val="auto"/>
        </w:rPr>
        <w:t xml:space="preserve"> </w:t>
      </w:r>
      <w:r w:rsidRPr="002029AF">
        <w:rPr>
          <w:color w:val="auto"/>
        </w:rPr>
        <w:t>replaced</w:t>
      </w:r>
      <w:r w:rsidR="000A5329" w:rsidRPr="002029AF">
        <w:rPr>
          <w:color w:val="auto"/>
        </w:rPr>
        <w:t xml:space="preserve"> </w:t>
      </w:r>
      <w:r w:rsidRPr="002029AF">
        <w:rPr>
          <w:color w:val="auto"/>
        </w:rPr>
        <w:t>by</w:t>
      </w:r>
      <w:r w:rsidR="000A5329" w:rsidRPr="002029AF">
        <w:rPr>
          <w:color w:val="auto"/>
        </w:rPr>
        <w:t xml:space="preserve"> </w:t>
      </w:r>
      <w:r w:rsidRPr="002029AF">
        <w:rPr>
          <w:color w:val="auto"/>
        </w:rPr>
        <w:t>another</w:t>
      </w:r>
      <w:r w:rsidR="000A5329" w:rsidRPr="002029AF">
        <w:rPr>
          <w:color w:val="auto"/>
        </w:rPr>
        <w:t xml:space="preserve"> </w:t>
      </w:r>
      <w:r w:rsidRPr="002029AF">
        <w:rPr>
          <w:color w:val="auto"/>
        </w:rPr>
        <w:t>from</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same</w:t>
      </w:r>
      <w:r w:rsidR="000A5329" w:rsidRPr="002029AF">
        <w:rPr>
          <w:color w:val="auto"/>
        </w:rPr>
        <w:t xml:space="preserve"> </w:t>
      </w:r>
      <w:r w:rsidRPr="002029AF">
        <w:rPr>
          <w:color w:val="auto"/>
        </w:rPr>
        <w:t>lender</w:t>
      </w:r>
      <w:r w:rsidR="000A5329" w:rsidRPr="002029AF">
        <w:rPr>
          <w:color w:val="auto"/>
        </w:rPr>
        <w:t xml:space="preserve"> </w:t>
      </w:r>
      <w:r w:rsidRPr="002029AF">
        <w:rPr>
          <w:color w:val="auto"/>
        </w:rPr>
        <w:t>on</w:t>
      </w:r>
      <w:r w:rsidR="000A5329" w:rsidRPr="002029AF">
        <w:rPr>
          <w:color w:val="auto"/>
        </w:rPr>
        <w:t xml:space="preserve"> </w:t>
      </w:r>
      <w:r w:rsidRPr="002029AF">
        <w:rPr>
          <w:color w:val="auto"/>
        </w:rPr>
        <w:t>substantially</w:t>
      </w:r>
      <w:r w:rsidR="000A5329" w:rsidRPr="002029AF">
        <w:rPr>
          <w:color w:val="auto"/>
        </w:rPr>
        <w:t xml:space="preserve"> </w:t>
      </w:r>
      <w:r w:rsidRPr="002029AF">
        <w:rPr>
          <w:color w:val="auto"/>
        </w:rPr>
        <w:t>different</w:t>
      </w:r>
      <w:r w:rsidR="000A5329" w:rsidRPr="002029AF">
        <w:rPr>
          <w:color w:val="auto"/>
        </w:rPr>
        <w:t xml:space="preserve"> </w:t>
      </w:r>
      <w:r w:rsidRPr="002029AF">
        <w:rPr>
          <w:color w:val="auto"/>
        </w:rPr>
        <w:t>terms,</w:t>
      </w:r>
      <w:r w:rsidR="000A5329" w:rsidRPr="002029AF">
        <w:rPr>
          <w:color w:val="auto"/>
        </w:rPr>
        <w:t xml:space="preserve"> </w:t>
      </w:r>
      <w:r w:rsidRPr="002029AF">
        <w:rPr>
          <w:color w:val="auto"/>
        </w:rPr>
        <w:t>or</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terms</w:t>
      </w:r>
      <w:r w:rsidR="000A5329" w:rsidRPr="002029AF">
        <w:rPr>
          <w:color w:val="auto"/>
        </w:rPr>
        <w:t xml:space="preserve"> </w:t>
      </w:r>
      <w:r w:rsidRPr="002029AF">
        <w:rPr>
          <w:color w:val="auto"/>
        </w:rPr>
        <w:t>of</w:t>
      </w:r>
      <w:r w:rsidR="000A5329" w:rsidRPr="002029AF">
        <w:rPr>
          <w:color w:val="auto"/>
        </w:rPr>
        <w:t xml:space="preserve"> </w:t>
      </w:r>
      <w:r w:rsidRPr="002029AF">
        <w:rPr>
          <w:color w:val="auto"/>
        </w:rPr>
        <w:t>an</w:t>
      </w:r>
      <w:r w:rsidR="000A5329" w:rsidRPr="002029AF">
        <w:rPr>
          <w:color w:val="auto"/>
        </w:rPr>
        <w:t xml:space="preserve"> </w:t>
      </w:r>
      <w:r w:rsidRPr="002029AF">
        <w:rPr>
          <w:color w:val="auto"/>
        </w:rPr>
        <w:t>existing</w:t>
      </w:r>
      <w:r w:rsidR="000A5329" w:rsidRPr="002029AF">
        <w:rPr>
          <w:color w:val="auto"/>
        </w:rPr>
        <w:t xml:space="preserve"> </w:t>
      </w:r>
      <w:r w:rsidRPr="002029AF">
        <w:rPr>
          <w:color w:val="auto"/>
        </w:rPr>
        <w:t>liability</w:t>
      </w:r>
      <w:r w:rsidR="000A5329" w:rsidRPr="002029AF">
        <w:rPr>
          <w:color w:val="auto"/>
        </w:rPr>
        <w:t xml:space="preserve"> </w:t>
      </w:r>
      <w:r w:rsidRPr="002029AF">
        <w:rPr>
          <w:color w:val="auto"/>
        </w:rPr>
        <w:t>are</w:t>
      </w:r>
      <w:r w:rsidR="000A5329" w:rsidRPr="002029AF">
        <w:rPr>
          <w:color w:val="auto"/>
        </w:rPr>
        <w:t xml:space="preserve"> </w:t>
      </w:r>
      <w:r w:rsidRPr="002029AF">
        <w:rPr>
          <w:color w:val="auto"/>
        </w:rPr>
        <w:t>substantially</w:t>
      </w:r>
      <w:r w:rsidR="000A5329" w:rsidRPr="002029AF">
        <w:rPr>
          <w:color w:val="auto"/>
        </w:rPr>
        <w:t xml:space="preserve"> </w:t>
      </w:r>
      <w:r w:rsidRPr="002029AF">
        <w:rPr>
          <w:color w:val="auto"/>
        </w:rPr>
        <w:t>modified,</w:t>
      </w:r>
      <w:r w:rsidR="000A5329" w:rsidRPr="002029AF">
        <w:rPr>
          <w:color w:val="auto"/>
        </w:rPr>
        <w:t xml:space="preserve"> </w:t>
      </w:r>
      <w:r w:rsidRPr="002029AF">
        <w:rPr>
          <w:color w:val="auto"/>
        </w:rPr>
        <w:t>such</w:t>
      </w:r>
      <w:r w:rsidR="000A5329" w:rsidRPr="002029AF">
        <w:rPr>
          <w:color w:val="auto"/>
        </w:rPr>
        <w:t xml:space="preserve"> </w:t>
      </w:r>
      <w:r w:rsidRPr="002029AF">
        <w:rPr>
          <w:color w:val="auto"/>
        </w:rPr>
        <w:t>an</w:t>
      </w:r>
      <w:r w:rsidR="000A5329" w:rsidRPr="002029AF">
        <w:rPr>
          <w:color w:val="auto"/>
        </w:rPr>
        <w:t xml:space="preserve"> </w:t>
      </w:r>
      <w:r w:rsidRPr="002029AF">
        <w:rPr>
          <w:color w:val="auto"/>
        </w:rPr>
        <w:t>exchange</w:t>
      </w:r>
      <w:r w:rsidR="000A5329" w:rsidRPr="002029AF">
        <w:rPr>
          <w:color w:val="auto"/>
        </w:rPr>
        <w:t xml:space="preserve"> </w:t>
      </w:r>
      <w:r w:rsidRPr="002029AF">
        <w:rPr>
          <w:color w:val="auto"/>
        </w:rPr>
        <w:t>or</w:t>
      </w:r>
      <w:r w:rsidR="000A5329" w:rsidRPr="002029AF">
        <w:rPr>
          <w:color w:val="auto"/>
        </w:rPr>
        <w:t xml:space="preserve"> </w:t>
      </w:r>
      <w:r w:rsidRPr="002029AF">
        <w:rPr>
          <w:color w:val="auto"/>
        </w:rPr>
        <w:t>modification</w:t>
      </w:r>
      <w:r w:rsidR="000A5329" w:rsidRPr="002029AF">
        <w:rPr>
          <w:color w:val="auto"/>
        </w:rPr>
        <w:t xml:space="preserve"> </w:t>
      </w:r>
      <w:r w:rsidRPr="002029AF">
        <w:rPr>
          <w:color w:val="auto"/>
        </w:rPr>
        <w:t>is</w:t>
      </w:r>
      <w:r w:rsidR="000A5329" w:rsidRPr="002029AF">
        <w:rPr>
          <w:color w:val="auto"/>
        </w:rPr>
        <w:t xml:space="preserve"> </w:t>
      </w:r>
      <w:r w:rsidRPr="002029AF">
        <w:rPr>
          <w:color w:val="auto"/>
        </w:rPr>
        <w:t>treated</w:t>
      </w:r>
      <w:r w:rsidR="000A5329" w:rsidRPr="002029AF">
        <w:rPr>
          <w:color w:val="auto"/>
        </w:rPr>
        <w:t xml:space="preserve"> </w:t>
      </w:r>
      <w:r w:rsidRPr="002029AF">
        <w:rPr>
          <w:color w:val="auto"/>
        </w:rPr>
        <w:t>as</w:t>
      </w:r>
      <w:r w:rsidR="000A5329" w:rsidRPr="002029AF">
        <w:rPr>
          <w:color w:val="auto"/>
        </w:rPr>
        <w:t xml:space="preserve"> </w:t>
      </w:r>
      <w:r w:rsidRPr="002029AF">
        <w:rPr>
          <w:color w:val="auto"/>
        </w:rPr>
        <w:t>a</w:t>
      </w:r>
      <w:r w:rsidR="000A5329" w:rsidRPr="002029AF">
        <w:rPr>
          <w:color w:val="auto"/>
        </w:rPr>
        <w:t xml:space="preserve"> </w:t>
      </w:r>
      <w:r w:rsidRPr="002029AF">
        <w:rPr>
          <w:color w:val="auto"/>
        </w:rPr>
        <w:t>derecognition</w:t>
      </w:r>
      <w:r w:rsidR="000A5329" w:rsidRPr="002029AF">
        <w:rPr>
          <w:color w:val="auto"/>
        </w:rPr>
        <w:t xml:space="preserve"> </w:t>
      </w:r>
      <w:r w:rsidRPr="002029AF">
        <w:rPr>
          <w:color w:val="auto"/>
        </w:rPr>
        <w:t>of</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original</w:t>
      </w:r>
      <w:r w:rsidR="000A5329" w:rsidRPr="002029AF">
        <w:rPr>
          <w:color w:val="auto"/>
        </w:rPr>
        <w:t xml:space="preserve"> </w:t>
      </w:r>
      <w:r w:rsidRPr="002029AF">
        <w:rPr>
          <w:color w:val="auto"/>
        </w:rPr>
        <w:t>liability</w:t>
      </w:r>
      <w:r w:rsidR="000A5329" w:rsidRPr="002029AF">
        <w:rPr>
          <w:color w:val="auto"/>
        </w:rPr>
        <w:t xml:space="preserve"> </w:t>
      </w:r>
      <w:r w:rsidRPr="002029AF">
        <w:rPr>
          <w:color w:val="auto"/>
        </w:rPr>
        <w:t>and</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recognition</w:t>
      </w:r>
      <w:r w:rsidR="000A5329" w:rsidRPr="002029AF">
        <w:rPr>
          <w:color w:val="auto"/>
        </w:rPr>
        <w:t xml:space="preserve"> </w:t>
      </w:r>
      <w:r w:rsidRPr="002029AF">
        <w:rPr>
          <w:color w:val="auto"/>
        </w:rPr>
        <w:t>of</w:t>
      </w:r>
      <w:r w:rsidR="000A5329" w:rsidRPr="002029AF">
        <w:rPr>
          <w:color w:val="auto"/>
        </w:rPr>
        <w:t xml:space="preserve"> </w:t>
      </w:r>
      <w:r w:rsidRPr="002029AF">
        <w:rPr>
          <w:color w:val="auto"/>
        </w:rPr>
        <w:t>a</w:t>
      </w:r>
      <w:r w:rsidR="000A5329" w:rsidRPr="002029AF">
        <w:rPr>
          <w:color w:val="auto"/>
        </w:rPr>
        <w:t xml:space="preserve"> </w:t>
      </w:r>
      <w:r w:rsidRPr="002029AF">
        <w:rPr>
          <w:color w:val="auto"/>
        </w:rPr>
        <w:t>new</w:t>
      </w:r>
      <w:r w:rsidR="000A5329" w:rsidRPr="002029AF">
        <w:rPr>
          <w:color w:val="auto"/>
        </w:rPr>
        <w:t xml:space="preserve"> </w:t>
      </w:r>
      <w:r w:rsidRPr="002029AF">
        <w:rPr>
          <w:color w:val="auto"/>
        </w:rPr>
        <w:t>liability.</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difference</w:t>
      </w:r>
      <w:r w:rsidR="000A5329" w:rsidRPr="002029AF">
        <w:rPr>
          <w:color w:val="auto"/>
        </w:rPr>
        <w:t xml:space="preserve"> </w:t>
      </w:r>
      <w:r w:rsidRPr="002029AF">
        <w:rPr>
          <w:color w:val="auto"/>
        </w:rPr>
        <w:t>in</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respective</w:t>
      </w:r>
      <w:r w:rsidR="000A5329" w:rsidRPr="002029AF">
        <w:rPr>
          <w:color w:val="auto"/>
        </w:rPr>
        <w:t xml:space="preserve"> </w:t>
      </w:r>
      <w:r w:rsidRPr="002029AF">
        <w:rPr>
          <w:color w:val="auto"/>
        </w:rPr>
        <w:t>carrying</w:t>
      </w:r>
      <w:r w:rsidR="000A5329" w:rsidRPr="002029AF">
        <w:rPr>
          <w:color w:val="auto"/>
        </w:rPr>
        <w:t xml:space="preserve"> </w:t>
      </w:r>
      <w:r w:rsidRPr="002029AF">
        <w:rPr>
          <w:color w:val="auto"/>
        </w:rPr>
        <w:t>amounts</w:t>
      </w:r>
      <w:r w:rsidR="000A5329" w:rsidRPr="002029AF">
        <w:rPr>
          <w:color w:val="auto"/>
        </w:rPr>
        <w:t xml:space="preserve"> </w:t>
      </w:r>
      <w:r w:rsidRPr="002029AF">
        <w:rPr>
          <w:color w:val="auto"/>
        </w:rPr>
        <w:t>is</w:t>
      </w:r>
      <w:r w:rsidR="000A5329" w:rsidRPr="002029AF">
        <w:rPr>
          <w:color w:val="auto"/>
        </w:rPr>
        <w:t xml:space="preserve"> </w:t>
      </w:r>
      <w:r w:rsidRPr="002029AF">
        <w:rPr>
          <w:color w:val="auto"/>
        </w:rPr>
        <w:t>recognised</w:t>
      </w:r>
      <w:r w:rsidR="000A5329" w:rsidRPr="002029AF">
        <w:rPr>
          <w:color w:val="auto"/>
        </w:rPr>
        <w:t xml:space="preserve"> </w:t>
      </w:r>
      <w:r w:rsidRPr="002029AF">
        <w:rPr>
          <w:color w:val="auto"/>
        </w:rPr>
        <w:t>as</w:t>
      </w:r>
      <w:r w:rsidR="000A5329" w:rsidRPr="002029AF">
        <w:rPr>
          <w:color w:val="auto"/>
        </w:rPr>
        <w:t xml:space="preserve"> </w:t>
      </w:r>
      <w:r w:rsidRPr="002029AF">
        <w:rPr>
          <w:color w:val="auto"/>
        </w:rPr>
        <w:t>an</w:t>
      </w:r>
      <w:r w:rsidR="000A5329" w:rsidRPr="002029AF">
        <w:rPr>
          <w:color w:val="auto"/>
        </w:rPr>
        <w:t xml:space="preserve"> </w:t>
      </w:r>
      <w:r w:rsidRPr="002029AF">
        <w:rPr>
          <w:color w:val="auto"/>
        </w:rPr>
        <w:t>‘other</w:t>
      </w:r>
      <w:r w:rsidR="000A5329" w:rsidRPr="002029AF">
        <w:rPr>
          <w:color w:val="auto"/>
        </w:rPr>
        <w:t xml:space="preserve"> </w:t>
      </w:r>
      <w:r w:rsidRPr="002029AF">
        <w:rPr>
          <w:color w:val="auto"/>
        </w:rPr>
        <w:t>economic</w:t>
      </w:r>
      <w:r w:rsidR="000A5329" w:rsidRPr="002029AF">
        <w:rPr>
          <w:color w:val="auto"/>
        </w:rPr>
        <w:t xml:space="preserve"> </w:t>
      </w:r>
      <w:r w:rsidRPr="002029AF">
        <w:rPr>
          <w:color w:val="auto"/>
        </w:rPr>
        <w:t>flow’</w:t>
      </w:r>
      <w:r w:rsidR="000A5329" w:rsidRPr="002029AF">
        <w:rPr>
          <w:color w:val="auto"/>
        </w:rPr>
        <w:t xml:space="preserve"> </w:t>
      </w:r>
      <w:r w:rsidRPr="002029AF">
        <w:rPr>
          <w:color w:val="auto"/>
        </w:rPr>
        <w:t>in</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comprehensive</w:t>
      </w:r>
      <w:r w:rsidR="000A5329" w:rsidRPr="002029AF">
        <w:rPr>
          <w:color w:val="auto"/>
        </w:rPr>
        <w:t xml:space="preserve"> </w:t>
      </w:r>
      <w:r w:rsidRPr="002029AF">
        <w:rPr>
          <w:color w:val="auto"/>
        </w:rPr>
        <w:t>operating</w:t>
      </w:r>
      <w:r w:rsidR="000A5329" w:rsidRPr="002029AF">
        <w:rPr>
          <w:color w:val="auto"/>
        </w:rPr>
        <w:t xml:space="preserve"> </w:t>
      </w:r>
      <w:r w:rsidRPr="002029AF">
        <w:rPr>
          <w:color w:val="auto"/>
        </w:rPr>
        <w:t>statement.</w:t>
      </w:r>
    </w:p>
    <w:p w14:paraId="34C7031E" w14:textId="15CB92FC" w:rsidR="00087B91" w:rsidRPr="002029AF" w:rsidRDefault="00087B91" w:rsidP="00087B91">
      <w:pPr>
        <w:pStyle w:val="Heading5"/>
      </w:pPr>
      <w:r w:rsidRPr="002029AF">
        <w:t>8.1.1</w:t>
      </w:r>
      <w:r w:rsidR="000A5329" w:rsidRPr="002029AF">
        <w:t xml:space="preserve"> </w:t>
      </w:r>
      <w:r w:rsidRPr="002029AF">
        <w:t>Financial</w:t>
      </w:r>
      <w:r w:rsidR="000A5329" w:rsidRPr="002029AF">
        <w:t xml:space="preserve"> </w:t>
      </w:r>
      <w:r w:rsidRPr="002029AF">
        <w:t>Instruments:</w:t>
      </w:r>
      <w:r w:rsidR="000A5329" w:rsidRPr="002029AF">
        <w:t xml:space="preserve"> </w:t>
      </w:r>
      <w:r w:rsidRPr="002029AF">
        <w:t>categorisation</w:t>
      </w:r>
    </w:p>
    <w:tbl>
      <w:tblPr>
        <w:tblStyle w:val="TableGrid"/>
        <w:tblW w:w="9637" w:type="dxa"/>
        <w:tblLayout w:type="fixed"/>
        <w:tblLook w:val="06A0" w:firstRow="1" w:lastRow="0" w:firstColumn="1" w:lastColumn="0" w:noHBand="1" w:noVBand="1"/>
      </w:tblPr>
      <w:tblGrid>
        <w:gridCol w:w="3968"/>
        <w:gridCol w:w="1418"/>
        <w:gridCol w:w="1417"/>
        <w:gridCol w:w="1417"/>
        <w:gridCol w:w="1417"/>
      </w:tblGrid>
      <w:tr w:rsidR="00087B91" w:rsidRPr="002029AF" w14:paraId="1FC09207" w14:textId="77777777" w:rsidTr="002E438F">
        <w:trPr>
          <w:cnfStyle w:val="100000000000" w:firstRow="1" w:lastRow="0" w:firstColumn="0" w:lastColumn="0" w:oddVBand="0" w:evenVBand="0" w:oddHBand="0" w:evenHBand="0" w:firstRowFirstColumn="0" w:firstRowLastColumn="0" w:lastRowFirstColumn="0" w:lastRowLastColumn="0"/>
          <w:tblHeader/>
        </w:trPr>
        <w:tc>
          <w:tcPr>
            <w:tcW w:w="3968" w:type="dxa"/>
            <w:tcBorders>
              <w:bottom w:val="single" w:sz="4" w:space="0" w:color="auto"/>
            </w:tcBorders>
            <w:hideMark/>
          </w:tcPr>
          <w:p w14:paraId="51CF604D" w14:textId="77777777" w:rsidR="00087B91" w:rsidRPr="002029AF" w:rsidRDefault="00087B91" w:rsidP="00860E95">
            <w:pPr>
              <w:pStyle w:val="ARfintablecolhead"/>
            </w:pPr>
            <w:r w:rsidRPr="002029AF">
              <w:t>2020</w:t>
            </w:r>
          </w:p>
        </w:tc>
        <w:tc>
          <w:tcPr>
            <w:tcW w:w="1418" w:type="dxa"/>
            <w:tcBorders>
              <w:bottom w:val="single" w:sz="4" w:space="0" w:color="auto"/>
            </w:tcBorders>
            <w:hideMark/>
          </w:tcPr>
          <w:p w14:paraId="1BAE51FA" w14:textId="0505B731" w:rsidR="00087B91" w:rsidRPr="002029AF" w:rsidRDefault="00087B91" w:rsidP="00860E95">
            <w:pPr>
              <w:pStyle w:val="ARfintablecolheadright"/>
            </w:pPr>
            <w:r w:rsidRPr="002029AF">
              <w:t>Cash</w:t>
            </w:r>
            <w:r w:rsidR="000A5329" w:rsidRPr="002029AF">
              <w:t xml:space="preserve"> </w:t>
            </w:r>
            <w:r w:rsidRPr="002029AF">
              <w:t>and</w:t>
            </w:r>
            <w:r w:rsidR="000A5329" w:rsidRPr="002029AF">
              <w:t xml:space="preserve"> </w:t>
            </w:r>
            <w:r w:rsidRPr="002029AF">
              <w:t>deposits</w:t>
            </w:r>
          </w:p>
          <w:p w14:paraId="098B9BCC" w14:textId="77777777" w:rsidR="00087B91" w:rsidRPr="002029AF" w:rsidRDefault="00087B91" w:rsidP="00860E95">
            <w:pPr>
              <w:pStyle w:val="ARfintablecolheadright"/>
            </w:pPr>
            <w:r w:rsidRPr="002029AF">
              <w:t>$M</w:t>
            </w:r>
          </w:p>
        </w:tc>
        <w:tc>
          <w:tcPr>
            <w:tcW w:w="1417" w:type="dxa"/>
            <w:tcBorders>
              <w:bottom w:val="single" w:sz="4" w:space="0" w:color="auto"/>
            </w:tcBorders>
            <w:hideMark/>
          </w:tcPr>
          <w:p w14:paraId="4BE48885" w14:textId="0DA148FD" w:rsidR="00087B91" w:rsidRPr="002029AF" w:rsidRDefault="00087B91" w:rsidP="00860E95">
            <w:pPr>
              <w:pStyle w:val="ARfintablecolheadright"/>
            </w:pPr>
            <w:r w:rsidRPr="002029AF">
              <w:t>Financial</w:t>
            </w:r>
            <w:r w:rsidR="000A5329" w:rsidRPr="002029AF">
              <w:t xml:space="preserve"> </w:t>
            </w:r>
            <w:r w:rsidRPr="002029AF">
              <w:br/>
              <w:t>assets</w:t>
            </w:r>
            <w:r w:rsidR="000A5329" w:rsidRPr="002029AF">
              <w:t xml:space="preserve"> </w:t>
            </w:r>
            <w:r w:rsidRPr="002029AF">
              <w:t>at</w:t>
            </w:r>
            <w:r w:rsidR="000A5329" w:rsidRPr="002029AF">
              <w:t xml:space="preserve"> </w:t>
            </w:r>
            <w:r w:rsidRPr="002029AF">
              <w:t>amortised</w:t>
            </w:r>
            <w:r w:rsidR="000A5329" w:rsidRPr="002029AF">
              <w:t xml:space="preserve"> </w:t>
            </w:r>
            <w:r w:rsidRPr="002029AF">
              <w:t>cost</w:t>
            </w:r>
            <w:r w:rsidR="000A5329" w:rsidRPr="002029AF">
              <w:t xml:space="preserve"> </w:t>
            </w:r>
            <w:r w:rsidRPr="002029AF">
              <w:t>(AC)</w:t>
            </w:r>
          </w:p>
          <w:p w14:paraId="195644FD" w14:textId="77777777" w:rsidR="00087B91" w:rsidRPr="002029AF" w:rsidRDefault="00087B91" w:rsidP="00860E95">
            <w:pPr>
              <w:pStyle w:val="ARfintablecolheadright"/>
            </w:pPr>
            <w:r w:rsidRPr="002029AF">
              <w:t>$M</w:t>
            </w:r>
          </w:p>
        </w:tc>
        <w:tc>
          <w:tcPr>
            <w:tcW w:w="1417" w:type="dxa"/>
            <w:tcBorders>
              <w:bottom w:val="single" w:sz="4" w:space="0" w:color="auto"/>
            </w:tcBorders>
            <w:hideMark/>
          </w:tcPr>
          <w:p w14:paraId="1DA15C41" w14:textId="533D6826" w:rsidR="00087B91" w:rsidRPr="002029AF" w:rsidRDefault="00087B91" w:rsidP="00860E95">
            <w:pPr>
              <w:pStyle w:val="ARfintablecolheadright"/>
            </w:pPr>
            <w:r w:rsidRPr="002029AF">
              <w:t>Financial</w:t>
            </w:r>
            <w:r w:rsidR="000A5329" w:rsidRPr="002029AF">
              <w:t xml:space="preserve"> </w:t>
            </w:r>
            <w:r w:rsidRPr="002029AF">
              <w:t>liabilities</w:t>
            </w:r>
            <w:r w:rsidR="000A5329" w:rsidRPr="002029AF">
              <w:t xml:space="preserve"> </w:t>
            </w:r>
            <w:r w:rsidRPr="002029AF">
              <w:t>at</w:t>
            </w:r>
            <w:r w:rsidR="000A5329" w:rsidRPr="002029AF">
              <w:t xml:space="preserve"> </w:t>
            </w:r>
            <w:r w:rsidRPr="002029AF">
              <w:t>amortised</w:t>
            </w:r>
            <w:r w:rsidR="000A5329" w:rsidRPr="002029AF">
              <w:t xml:space="preserve"> </w:t>
            </w:r>
            <w:r w:rsidRPr="002029AF">
              <w:t>cost</w:t>
            </w:r>
            <w:r w:rsidR="000A5329" w:rsidRPr="002029AF">
              <w:t xml:space="preserve"> </w:t>
            </w:r>
            <w:r w:rsidRPr="002029AF">
              <w:t>(AC)</w:t>
            </w:r>
          </w:p>
          <w:p w14:paraId="525CE1E2" w14:textId="77777777" w:rsidR="00087B91" w:rsidRPr="002029AF" w:rsidRDefault="00087B91" w:rsidP="00860E95">
            <w:pPr>
              <w:pStyle w:val="ARfintablecolheadright"/>
            </w:pPr>
            <w:r w:rsidRPr="002029AF">
              <w:t>$M</w:t>
            </w:r>
          </w:p>
        </w:tc>
        <w:tc>
          <w:tcPr>
            <w:tcW w:w="1417" w:type="dxa"/>
            <w:tcBorders>
              <w:bottom w:val="single" w:sz="4" w:space="0" w:color="auto"/>
            </w:tcBorders>
            <w:hideMark/>
          </w:tcPr>
          <w:p w14:paraId="505284C0" w14:textId="77777777" w:rsidR="00087B91" w:rsidRPr="002029AF" w:rsidRDefault="00087B91" w:rsidP="00860E95">
            <w:pPr>
              <w:pStyle w:val="ARfintablecolheadright"/>
            </w:pPr>
            <w:r w:rsidRPr="002029AF">
              <w:t>Total</w:t>
            </w:r>
          </w:p>
          <w:p w14:paraId="08BB97F0" w14:textId="77777777" w:rsidR="00087B91" w:rsidRPr="002029AF" w:rsidRDefault="00087B91" w:rsidP="00860E95">
            <w:pPr>
              <w:pStyle w:val="ARfintablecolheadright"/>
            </w:pPr>
            <w:r w:rsidRPr="002029AF">
              <w:t>$M</w:t>
            </w:r>
          </w:p>
        </w:tc>
      </w:tr>
      <w:tr w:rsidR="00087B91" w:rsidRPr="002029AF" w14:paraId="05E44150" w14:textId="77777777" w:rsidTr="00860E95">
        <w:tc>
          <w:tcPr>
            <w:tcW w:w="9637" w:type="dxa"/>
            <w:gridSpan w:val="5"/>
            <w:tcBorders>
              <w:top w:val="single" w:sz="4" w:space="0" w:color="auto"/>
              <w:bottom w:val="single" w:sz="4" w:space="0" w:color="A6A6A6"/>
            </w:tcBorders>
            <w:hideMark/>
          </w:tcPr>
          <w:p w14:paraId="39AEE717" w14:textId="01FDD8C7" w:rsidR="00087B91" w:rsidRPr="002029AF" w:rsidRDefault="00087B91" w:rsidP="00860E95">
            <w:pPr>
              <w:pStyle w:val="ARfintablebodybold"/>
            </w:pPr>
            <w:r w:rsidRPr="002029AF">
              <w:t>Contractual</w:t>
            </w:r>
            <w:r w:rsidR="000A5329" w:rsidRPr="002029AF">
              <w:t xml:space="preserve"> </w:t>
            </w:r>
            <w:r w:rsidRPr="002029AF">
              <w:t>financial</w:t>
            </w:r>
            <w:r w:rsidR="000A5329" w:rsidRPr="002029AF">
              <w:t xml:space="preserve"> </w:t>
            </w:r>
            <w:r w:rsidRPr="002029AF">
              <w:t>assets</w:t>
            </w:r>
          </w:p>
        </w:tc>
      </w:tr>
      <w:tr w:rsidR="00087B91" w:rsidRPr="002029AF" w14:paraId="18E0610F" w14:textId="77777777" w:rsidTr="00860E95">
        <w:tc>
          <w:tcPr>
            <w:tcW w:w="3968" w:type="dxa"/>
            <w:tcBorders>
              <w:top w:val="single" w:sz="4" w:space="0" w:color="A6A6A6"/>
              <w:bottom w:val="single" w:sz="4" w:space="0" w:color="A6A6A6"/>
            </w:tcBorders>
            <w:hideMark/>
          </w:tcPr>
          <w:p w14:paraId="20AA5961" w14:textId="4123C181" w:rsidR="00087B91" w:rsidRPr="002029AF" w:rsidRDefault="00087B91" w:rsidP="00860E95">
            <w:pPr>
              <w:pStyle w:val="ARfintablebody"/>
            </w:pPr>
            <w:r w:rsidRPr="002029AF">
              <w:t>Cash</w:t>
            </w:r>
            <w:r w:rsidR="000A5329" w:rsidRPr="002029AF">
              <w:t xml:space="preserve"> </w:t>
            </w:r>
            <w:r w:rsidRPr="002029AF">
              <w:t>and</w:t>
            </w:r>
            <w:r w:rsidR="000A5329" w:rsidRPr="002029AF">
              <w:t xml:space="preserve"> </w:t>
            </w:r>
            <w:r w:rsidRPr="002029AF">
              <w:t>deposits</w:t>
            </w:r>
          </w:p>
        </w:tc>
        <w:tc>
          <w:tcPr>
            <w:tcW w:w="1418" w:type="dxa"/>
            <w:tcBorders>
              <w:top w:val="single" w:sz="4" w:space="0" w:color="A6A6A6"/>
              <w:bottom w:val="single" w:sz="4" w:space="0" w:color="A6A6A6"/>
            </w:tcBorders>
            <w:noWrap/>
            <w:hideMark/>
          </w:tcPr>
          <w:p w14:paraId="4233A45F" w14:textId="77777777" w:rsidR="00087B91" w:rsidRPr="002029AF" w:rsidRDefault="00087B91" w:rsidP="00860E95">
            <w:pPr>
              <w:pStyle w:val="ARfintablebodyright"/>
            </w:pPr>
            <w:r w:rsidRPr="002029AF">
              <w:t>597.7</w:t>
            </w:r>
          </w:p>
        </w:tc>
        <w:tc>
          <w:tcPr>
            <w:tcW w:w="1417" w:type="dxa"/>
            <w:tcBorders>
              <w:top w:val="single" w:sz="4" w:space="0" w:color="A6A6A6"/>
              <w:bottom w:val="single" w:sz="4" w:space="0" w:color="A6A6A6"/>
            </w:tcBorders>
            <w:noWrap/>
            <w:hideMark/>
          </w:tcPr>
          <w:p w14:paraId="5235AAF3" w14:textId="77777777" w:rsidR="00087B91" w:rsidRPr="002029AF" w:rsidRDefault="00087B91" w:rsidP="00860E95">
            <w:pPr>
              <w:pStyle w:val="ARfintablebodyright"/>
            </w:pPr>
            <w:r w:rsidRPr="002029AF">
              <w:t>–</w:t>
            </w:r>
          </w:p>
        </w:tc>
        <w:tc>
          <w:tcPr>
            <w:tcW w:w="1417" w:type="dxa"/>
            <w:tcBorders>
              <w:top w:val="single" w:sz="4" w:space="0" w:color="A6A6A6"/>
              <w:bottom w:val="single" w:sz="4" w:space="0" w:color="A6A6A6"/>
            </w:tcBorders>
            <w:noWrap/>
            <w:hideMark/>
          </w:tcPr>
          <w:p w14:paraId="6FEC0F54" w14:textId="77777777" w:rsidR="00087B91" w:rsidRPr="002029AF" w:rsidRDefault="00087B91" w:rsidP="00860E95">
            <w:pPr>
              <w:pStyle w:val="ARfintablebodyright"/>
            </w:pPr>
            <w:r w:rsidRPr="002029AF">
              <w:t>–</w:t>
            </w:r>
          </w:p>
        </w:tc>
        <w:tc>
          <w:tcPr>
            <w:tcW w:w="1417" w:type="dxa"/>
            <w:tcBorders>
              <w:top w:val="single" w:sz="4" w:space="0" w:color="A6A6A6"/>
              <w:bottom w:val="single" w:sz="4" w:space="0" w:color="A6A6A6"/>
            </w:tcBorders>
            <w:noWrap/>
            <w:hideMark/>
          </w:tcPr>
          <w:p w14:paraId="4E150EAA" w14:textId="77777777" w:rsidR="00087B91" w:rsidRPr="002029AF" w:rsidRDefault="00087B91" w:rsidP="00860E95">
            <w:pPr>
              <w:pStyle w:val="ARfintablebodyright"/>
            </w:pPr>
            <w:r w:rsidRPr="002029AF">
              <w:t>597.7</w:t>
            </w:r>
          </w:p>
        </w:tc>
      </w:tr>
      <w:tr w:rsidR="00087B91" w:rsidRPr="002029AF" w14:paraId="6C1566C7" w14:textId="77777777" w:rsidTr="00860E95">
        <w:tc>
          <w:tcPr>
            <w:tcW w:w="3968" w:type="dxa"/>
            <w:tcBorders>
              <w:top w:val="single" w:sz="4" w:space="0" w:color="A6A6A6"/>
              <w:bottom w:val="single" w:sz="4" w:space="0" w:color="A6A6A6"/>
            </w:tcBorders>
            <w:hideMark/>
          </w:tcPr>
          <w:p w14:paraId="72F832FF" w14:textId="45D48EB8" w:rsidR="00087B91" w:rsidRPr="002029AF" w:rsidRDefault="00087B91" w:rsidP="00860E95">
            <w:pPr>
              <w:pStyle w:val="ARfintablebody"/>
            </w:pPr>
            <w:r w:rsidRPr="002029AF">
              <w:t>Receivables</w:t>
            </w:r>
            <w:r w:rsidR="000A5329" w:rsidRPr="002029AF">
              <w:t xml:space="preserve"> </w:t>
            </w:r>
            <w:r w:rsidRPr="002029AF">
              <w:rPr>
                <w:rStyle w:val="Superscript"/>
              </w:rPr>
              <w:t>(i)</w:t>
            </w:r>
          </w:p>
        </w:tc>
        <w:tc>
          <w:tcPr>
            <w:tcW w:w="1418" w:type="dxa"/>
            <w:tcBorders>
              <w:top w:val="single" w:sz="4" w:space="0" w:color="A6A6A6"/>
              <w:bottom w:val="single" w:sz="4" w:space="0" w:color="A6A6A6"/>
            </w:tcBorders>
            <w:noWrap/>
            <w:hideMark/>
          </w:tcPr>
          <w:p w14:paraId="36C94378" w14:textId="77777777" w:rsidR="00087B91" w:rsidRPr="002029AF" w:rsidRDefault="00087B91" w:rsidP="00860E95">
            <w:pPr>
              <w:pStyle w:val="ARfintablebodyright"/>
            </w:pPr>
            <w:r w:rsidRPr="002029AF">
              <w:t>–</w:t>
            </w:r>
          </w:p>
        </w:tc>
        <w:tc>
          <w:tcPr>
            <w:tcW w:w="1417" w:type="dxa"/>
            <w:tcBorders>
              <w:top w:val="single" w:sz="4" w:space="0" w:color="A6A6A6"/>
              <w:bottom w:val="single" w:sz="4" w:space="0" w:color="A6A6A6"/>
            </w:tcBorders>
            <w:noWrap/>
            <w:hideMark/>
          </w:tcPr>
          <w:p w14:paraId="622E1C8C" w14:textId="77777777" w:rsidR="00087B91" w:rsidRPr="002029AF" w:rsidRDefault="00087B91" w:rsidP="00860E95">
            <w:pPr>
              <w:pStyle w:val="ARfintablebodyright"/>
            </w:pPr>
            <w:r w:rsidRPr="002029AF">
              <w:t>487.7</w:t>
            </w:r>
          </w:p>
        </w:tc>
        <w:tc>
          <w:tcPr>
            <w:tcW w:w="1417" w:type="dxa"/>
            <w:tcBorders>
              <w:top w:val="single" w:sz="4" w:space="0" w:color="A6A6A6"/>
              <w:bottom w:val="single" w:sz="4" w:space="0" w:color="A6A6A6"/>
            </w:tcBorders>
            <w:noWrap/>
            <w:hideMark/>
          </w:tcPr>
          <w:p w14:paraId="1E0A0B6A" w14:textId="77777777" w:rsidR="00087B91" w:rsidRPr="002029AF" w:rsidRDefault="00087B91" w:rsidP="00860E95">
            <w:pPr>
              <w:pStyle w:val="ARfintablebodyright"/>
            </w:pPr>
            <w:r w:rsidRPr="002029AF">
              <w:t>–</w:t>
            </w:r>
          </w:p>
        </w:tc>
        <w:tc>
          <w:tcPr>
            <w:tcW w:w="1417" w:type="dxa"/>
            <w:tcBorders>
              <w:top w:val="single" w:sz="4" w:space="0" w:color="A6A6A6"/>
              <w:bottom w:val="single" w:sz="4" w:space="0" w:color="A6A6A6"/>
            </w:tcBorders>
            <w:noWrap/>
            <w:hideMark/>
          </w:tcPr>
          <w:p w14:paraId="0264B236" w14:textId="77777777" w:rsidR="00087B91" w:rsidRPr="002029AF" w:rsidRDefault="00087B91" w:rsidP="00860E95">
            <w:pPr>
              <w:pStyle w:val="ARfintablebodyright"/>
            </w:pPr>
            <w:r w:rsidRPr="002029AF">
              <w:t>487.7</w:t>
            </w:r>
          </w:p>
        </w:tc>
      </w:tr>
      <w:tr w:rsidR="00087B91" w:rsidRPr="002029AF" w14:paraId="3CEDE05F" w14:textId="77777777" w:rsidTr="00860E95">
        <w:tc>
          <w:tcPr>
            <w:tcW w:w="3968" w:type="dxa"/>
            <w:tcBorders>
              <w:top w:val="single" w:sz="4" w:space="0" w:color="A6A6A6"/>
              <w:bottom w:val="single" w:sz="4" w:space="0" w:color="A6A6A6"/>
            </w:tcBorders>
            <w:hideMark/>
          </w:tcPr>
          <w:p w14:paraId="0C14E419" w14:textId="77777777" w:rsidR="00087B91" w:rsidRPr="002029AF" w:rsidRDefault="00087B91" w:rsidP="00860E95">
            <w:pPr>
              <w:pStyle w:val="ARfintablebody"/>
            </w:pPr>
            <w:r w:rsidRPr="002029AF">
              <w:t>Loans</w:t>
            </w:r>
          </w:p>
        </w:tc>
        <w:tc>
          <w:tcPr>
            <w:tcW w:w="1418" w:type="dxa"/>
            <w:tcBorders>
              <w:top w:val="single" w:sz="4" w:space="0" w:color="A6A6A6"/>
              <w:bottom w:val="single" w:sz="4" w:space="0" w:color="A6A6A6"/>
            </w:tcBorders>
            <w:noWrap/>
            <w:hideMark/>
          </w:tcPr>
          <w:p w14:paraId="187F4A9B" w14:textId="77777777" w:rsidR="00087B91" w:rsidRPr="002029AF" w:rsidRDefault="00087B91" w:rsidP="00860E95">
            <w:pPr>
              <w:pStyle w:val="ARfintablebodyright"/>
            </w:pPr>
            <w:r w:rsidRPr="002029AF">
              <w:t>–</w:t>
            </w:r>
          </w:p>
        </w:tc>
        <w:tc>
          <w:tcPr>
            <w:tcW w:w="1417" w:type="dxa"/>
            <w:tcBorders>
              <w:top w:val="single" w:sz="4" w:space="0" w:color="A6A6A6"/>
              <w:bottom w:val="single" w:sz="4" w:space="0" w:color="A6A6A6"/>
            </w:tcBorders>
            <w:noWrap/>
            <w:hideMark/>
          </w:tcPr>
          <w:p w14:paraId="665DE6A3" w14:textId="77777777" w:rsidR="00087B91" w:rsidRPr="002029AF" w:rsidRDefault="00087B91" w:rsidP="00860E95">
            <w:pPr>
              <w:pStyle w:val="ARfintablebodyright"/>
            </w:pPr>
            <w:r w:rsidRPr="002029AF">
              <w:t>389.5</w:t>
            </w:r>
          </w:p>
        </w:tc>
        <w:tc>
          <w:tcPr>
            <w:tcW w:w="1417" w:type="dxa"/>
            <w:tcBorders>
              <w:top w:val="single" w:sz="4" w:space="0" w:color="A6A6A6"/>
              <w:bottom w:val="single" w:sz="4" w:space="0" w:color="A6A6A6"/>
            </w:tcBorders>
            <w:noWrap/>
            <w:hideMark/>
          </w:tcPr>
          <w:p w14:paraId="3B65DC3F" w14:textId="77777777" w:rsidR="00087B91" w:rsidRPr="002029AF" w:rsidRDefault="00087B91" w:rsidP="00860E95">
            <w:pPr>
              <w:pStyle w:val="ARfintablebodyright"/>
            </w:pPr>
            <w:r w:rsidRPr="002029AF">
              <w:t>–</w:t>
            </w:r>
          </w:p>
        </w:tc>
        <w:tc>
          <w:tcPr>
            <w:tcW w:w="1417" w:type="dxa"/>
            <w:tcBorders>
              <w:top w:val="single" w:sz="4" w:space="0" w:color="A6A6A6"/>
              <w:bottom w:val="single" w:sz="4" w:space="0" w:color="A6A6A6"/>
            </w:tcBorders>
            <w:noWrap/>
            <w:hideMark/>
          </w:tcPr>
          <w:p w14:paraId="4DBF3F58" w14:textId="77777777" w:rsidR="00087B91" w:rsidRPr="002029AF" w:rsidRDefault="00087B91" w:rsidP="00860E95">
            <w:pPr>
              <w:pStyle w:val="ARfintablebodyright"/>
            </w:pPr>
            <w:r w:rsidRPr="002029AF">
              <w:t>389.5</w:t>
            </w:r>
          </w:p>
        </w:tc>
      </w:tr>
      <w:tr w:rsidR="00087B91" w:rsidRPr="002029AF" w14:paraId="1B8DBED3" w14:textId="77777777" w:rsidTr="00860E95">
        <w:tc>
          <w:tcPr>
            <w:tcW w:w="3968" w:type="dxa"/>
            <w:tcBorders>
              <w:top w:val="single" w:sz="4" w:space="0" w:color="A6A6A6"/>
            </w:tcBorders>
            <w:hideMark/>
          </w:tcPr>
          <w:p w14:paraId="0CC56858" w14:textId="5A406A73" w:rsidR="00087B91" w:rsidRPr="002029AF" w:rsidRDefault="00087B91" w:rsidP="00860E95">
            <w:pPr>
              <w:pStyle w:val="ARfintablebody"/>
            </w:pPr>
            <w:r w:rsidRPr="002029AF">
              <w:t>Short-term</w:t>
            </w:r>
            <w:r w:rsidR="000A5329" w:rsidRPr="002029AF">
              <w:t xml:space="preserve"> </w:t>
            </w:r>
            <w:r w:rsidRPr="002029AF">
              <w:t>investments</w:t>
            </w:r>
            <w:r w:rsidR="000A5329" w:rsidRPr="002029AF">
              <w:t xml:space="preserve"> </w:t>
            </w:r>
            <w:r w:rsidRPr="002029AF">
              <w:t>–</w:t>
            </w:r>
            <w:r w:rsidR="000A5329" w:rsidRPr="002029AF">
              <w:t xml:space="preserve"> </w:t>
            </w:r>
            <w:r w:rsidRPr="002029AF">
              <w:t>term</w:t>
            </w:r>
            <w:r w:rsidR="000A5329" w:rsidRPr="002029AF">
              <w:t xml:space="preserve"> </w:t>
            </w:r>
            <w:r w:rsidRPr="002029AF">
              <w:t>deposits</w:t>
            </w:r>
          </w:p>
        </w:tc>
        <w:tc>
          <w:tcPr>
            <w:tcW w:w="1418" w:type="dxa"/>
            <w:tcBorders>
              <w:top w:val="single" w:sz="4" w:space="0" w:color="A6A6A6"/>
            </w:tcBorders>
            <w:noWrap/>
            <w:hideMark/>
          </w:tcPr>
          <w:p w14:paraId="0C40A48E" w14:textId="77777777" w:rsidR="00087B91" w:rsidRPr="002029AF" w:rsidRDefault="00087B91" w:rsidP="00860E95">
            <w:pPr>
              <w:pStyle w:val="ARfintablebodyright"/>
            </w:pPr>
            <w:r w:rsidRPr="002029AF">
              <w:t>–</w:t>
            </w:r>
          </w:p>
        </w:tc>
        <w:tc>
          <w:tcPr>
            <w:tcW w:w="1417" w:type="dxa"/>
            <w:tcBorders>
              <w:top w:val="single" w:sz="4" w:space="0" w:color="A6A6A6"/>
            </w:tcBorders>
            <w:noWrap/>
            <w:hideMark/>
          </w:tcPr>
          <w:p w14:paraId="26F591FC" w14:textId="77777777" w:rsidR="00087B91" w:rsidRPr="002029AF" w:rsidRDefault="00087B91" w:rsidP="00860E95">
            <w:pPr>
              <w:pStyle w:val="ARfintablebodyright"/>
            </w:pPr>
            <w:r w:rsidRPr="002029AF">
              <w:t>–</w:t>
            </w:r>
          </w:p>
        </w:tc>
        <w:tc>
          <w:tcPr>
            <w:tcW w:w="1417" w:type="dxa"/>
            <w:tcBorders>
              <w:top w:val="single" w:sz="4" w:space="0" w:color="A6A6A6"/>
            </w:tcBorders>
            <w:noWrap/>
            <w:hideMark/>
          </w:tcPr>
          <w:p w14:paraId="35EE4571" w14:textId="77777777" w:rsidR="00087B91" w:rsidRPr="002029AF" w:rsidRDefault="00087B91" w:rsidP="00860E95">
            <w:pPr>
              <w:pStyle w:val="ARfintablebodyright"/>
            </w:pPr>
            <w:r w:rsidRPr="002029AF">
              <w:t>–</w:t>
            </w:r>
          </w:p>
        </w:tc>
        <w:tc>
          <w:tcPr>
            <w:tcW w:w="1417" w:type="dxa"/>
            <w:tcBorders>
              <w:top w:val="single" w:sz="4" w:space="0" w:color="A6A6A6"/>
            </w:tcBorders>
            <w:noWrap/>
            <w:hideMark/>
          </w:tcPr>
          <w:p w14:paraId="10EAD22D" w14:textId="77777777" w:rsidR="00087B91" w:rsidRPr="002029AF" w:rsidRDefault="00087B91" w:rsidP="00860E95">
            <w:pPr>
              <w:pStyle w:val="ARfintablebodyright"/>
            </w:pPr>
            <w:r w:rsidRPr="002029AF">
              <w:t>–</w:t>
            </w:r>
          </w:p>
        </w:tc>
      </w:tr>
      <w:tr w:rsidR="00087B91" w:rsidRPr="002029AF" w14:paraId="7922D607" w14:textId="77777777" w:rsidTr="00860E95">
        <w:tc>
          <w:tcPr>
            <w:tcW w:w="3968" w:type="dxa"/>
            <w:tcBorders>
              <w:bottom w:val="single" w:sz="4" w:space="0" w:color="auto"/>
            </w:tcBorders>
            <w:hideMark/>
          </w:tcPr>
          <w:p w14:paraId="27DE5A27" w14:textId="7534C049" w:rsidR="00087B91" w:rsidRPr="002029AF" w:rsidRDefault="00087B91" w:rsidP="00860E95">
            <w:pPr>
              <w:pStyle w:val="ARfintablebodybold"/>
            </w:pPr>
            <w:r w:rsidRPr="002029AF">
              <w:t>Total</w:t>
            </w:r>
            <w:r w:rsidR="000A5329" w:rsidRPr="002029AF">
              <w:t xml:space="preserve"> </w:t>
            </w:r>
            <w:r w:rsidRPr="002029AF">
              <w:t>contractual</w:t>
            </w:r>
            <w:r w:rsidR="000A5329" w:rsidRPr="002029AF">
              <w:t xml:space="preserve"> </w:t>
            </w:r>
            <w:r w:rsidRPr="002029AF">
              <w:t>financial</w:t>
            </w:r>
            <w:r w:rsidR="000A5329" w:rsidRPr="002029AF">
              <w:t xml:space="preserve"> </w:t>
            </w:r>
            <w:r w:rsidRPr="002029AF">
              <w:t>assets</w:t>
            </w:r>
          </w:p>
        </w:tc>
        <w:tc>
          <w:tcPr>
            <w:tcW w:w="1418" w:type="dxa"/>
            <w:tcBorders>
              <w:bottom w:val="single" w:sz="4" w:space="0" w:color="auto"/>
            </w:tcBorders>
            <w:noWrap/>
            <w:hideMark/>
          </w:tcPr>
          <w:p w14:paraId="1835582C" w14:textId="77777777" w:rsidR="00087B91" w:rsidRPr="002029AF" w:rsidRDefault="00087B91" w:rsidP="00860E95">
            <w:pPr>
              <w:pStyle w:val="ARfintablebodyrightbold"/>
            </w:pPr>
            <w:r w:rsidRPr="002029AF">
              <w:t>597.7</w:t>
            </w:r>
          </w:p>
        </w:tc>
        <w:tc>
          <w:tcPr>
            <w:tcW w:w="1417" w:type="dxa"/>
            <w:tcBorders>
              <w:bottom w:val="single" w:sz="4" w:space="0" w:color="auto"/>
            </w:tcBorders>
            <w:noWrap/>
            <w:hideMark/>
          </w:tcPr>
          <w:p w14:paraId="518446D5" w14:textId="77777777" w:rsidR="00087B91" w:rsidRPr="002029AF" w:rsidRDefault="00087B91" w:rsidP="00860E95">
            <w:pPr>
              <w:pStyle w:val="ARfintablebodyrightbold"/>
            </w:pPr>
            <w:r w:rsidRPr="002029AF">
              <w:t>877.2</w:t>
            </w:r>
          </w:p>
        </w:tc>
        <w:tc>
          <w:tcPr>
            <w:tcW w:w="1417" w:type="dxa"/>
            <w:tcBorders>
              <w:bottom w:val="single" w:sz="4" w:space="0" w:color="auto"/>
            </w:tcBorders>
            <w:noWrap/>
            <w:hideMark/>
          </w:tcPr>
          <w:p w14:paraId="5A9E31B8" w14:textId="77777777" w:rsidR="00087B91" w:rsidRPr="002029AF" w:rsidRDefault="00087B91" w:rsidP="00860E95">
            <w:pPr>
              <w:pStyle w:val="ARfintablebodyrightbold"/>
            </w:pPr>
            <w:r w:rsidRPr="002029AF">
              <w:t>–</w:t>
            </w:r>
          </w:p>
        </w:tc>
        <w:tc>
          <w:tcPr>
            <w:tcW w:w="1417" w:type="dxa"/>
            <w:tcBorders>
              <w:bottom w:val="single" w:sz="4" w:space="0" w:color="auto"/>
            </w:tcBorders>
            <w:noWrap/>
            <w:hideMark/>
          </w:tcPr>
          <w:p w14:paraId="01E63F9B" w14:textId="77777777" w:rsidR="00087B91" w:rsidRPr="002029AF" w:rsidRDefault="00087B91" w:rsidP="00860E95">
            <w:pPr>
              <w:pStyle w:val="ARfintablebodyrightbold"/>
            </w:pPr>
            <w:r w:rsidRPr="002029AF">
              <w:t>1,474.9</w:t>
            </w:r>
          </w:p>
        </w:tc>
      </w:tr>
      <w:tr w:rsidR="00087B91" w:rsidRPr="002029AF" w14:paraId="1131308E" w14:textId="77777777" w:rsidTr="00860E95">
        <w:tc>
          <w:tcPr>
            <w:tcW w:w="3968" w:type="dxa"/>
            <w:tcBorders>
              <w:top w:val="single" w:sz="4" w:space="0" w:color="auto"/>
              <w:bottom w:val="single" w:sz="4" w:space="0" w:color="A6A6A6"/>
            </w:tcBorders>
            <w:hideMark/>
          </w:tcPr>
          <w:p w14:paraId="4879B7A4" w14:textId="70C198F4" w:rsidR="00087B91" w:rsidRPr="002029AF" w:rsidRDefault="00087B91" w:rsidP="00860E95">
            <w:pPr>
              <w:pStyle w:val="ARfintablebodybold"/>
            </w:pPr>
            <w:r w:rsidRPr="002029AF">
              <w:t>Contractual</w:t>
            </w:r>
            <w:r w:rsidR="000A5329" w:rsidRPr="002029AF">
              <w:t xml:space="preserve"> </w:t>
            </w:r>
            <w:r w:rsidRPr="002029AF">
              <w:t>financial</w:t>
            </w:r>
            <w:r w:rsidR="000A5329" w:rsidRPr="002029AF">
              <w:t xml:space="preserve"> </w:t>
            </w:r>
            <w:r w:rsidRPr="002029AF">
              <w:t>liabilities</w:t>
            </w:r>
          </w:p>
        </w:tc>
        <w:tc>
          <w:tcPr>
            <w:tcW w:w="1418" w:type="dxa"/>
            <w:tcBorders>
              <w:top w:val="single" w:sz="4" w:space="0" w:color="auto"/>
              <w:bottom w:val="single" w:sz="4" w:space="0" w:color="A6A6A6"/>
            </w:tcBorders>
            <w:hideMark/>
          </w:tcPr>
          <w:p w14:paraId="0086EB1E" w14:textId="77777777" w:rsidR="00087B91" w:rsidRPr="002029AF" w:rsidRDefault="00087B91" w:rsidP="00860E95">
            <w:pPr>
              <w:pStyle w:val="ARfintablebodybold"/>
            </w:pPr>
          </w:p>
        </w:tc>
        <w:tc>
          <w:tcPr>
            <w:tcW w:w="1417" w:type="dxa"/>
            <w:tcBorders>
              <w:top w:val="single" w:sz="4" w:space="0" w:color="auto"/>
              <w:bottom w:val="single" w:sz="4" w:space="0" w:color="A6A6A6"/>
            </w:tcBorders>
            <w:hideMark/>
          </w:tcPr>
          <w:p w14:paraId="52F69DE3" w14:textId="77777777" w:rsidR="00087B91" w:rsidRPr="002029AF" w:rsidRDefault="00087B91" w:rsidP="00860E95">
            <w:pPr>
              <w:pStyle w:val="ARfintablebodybold"/>
            </w:pPr>
          </w:p>
        </w:tc>
        <w:tc>
          <w:tcPr>
            <w:tcW w:w="1417" w:type="dxa"/>
            <w:tcBorders>
              <w:top w:val="single" w:sz="4" w:space="0" w:color="auto"/>
              <w:bottom w:val="single" w:sz="4" w:space="0" w:color="A6A6A6"/>
            </w:tcBorders>
            <w:hideMark/>
          </w:tcPr>
          <w:p w14:paraId="5A13EBF3" w14:textId="77777777" w:rsidR="00087B91" w:rsidRPr="002029AF" w:rsidRDefault="00087B91" w:rsidP="00860E95">
            <w:pPr>
              <w:pStyle w:val="ARfintablebodybold"/>
            </w:pPr>
          </w:p>
        </w:tc>
        <w:tc>
          <w:tcPr>
            <w:tcW w:w="1417" w:type="dxa"/>
            <w:tcBorders>
              <w:top w:val="single" w:sz="4" w:space="0" w:color="auto"/>
              <w:bottom w:val="single" w:sz="4" w:space="0" w:color="A6A6A6"/>
            </w:tcBorders>
            <w:hideMark/>
          </w:tcPr>
          <w:p w14:paraId="494FB074" w14:textId="77777777" w:rsidR="00087B91" w:rsidRPr="002029AF" w:rsidRDefault="00087B91" w:rsidP="00860E95">
            <w:pPr>
              <w:pStyle w:val="ARfintablebodybold"/>
            </w:pPr>
          </w:p>
        </w:tc>
      </w:tr>
      <w:tr w:rsidR="00087B91" w:rsidRPr="002029AF" w14:paraId="7EB50D2D" w14:textId="77777777" w:rsidTr="00860E95">
        <w:tc>
          <w:tcPr>
            <w:tcW w:w="3968" w:type="dxa"/>
            <w:tcBorders>
              <w:top w:val="single" w:sz="4" w:space="0" w:color="A6A6A6"/>
              <w:bottom w:val="single" w:sz="4" w:space="0" w:color="A6A6A6"/>
            </w:tcBorders>
            <w:hideMark/>
          </w:tcPr>
          <w:p w14:paraId="272065F8" w14:textId="33BE641D" w:rsidR="00087B91" w:rsidRPr="002029AF" w:rsidRDefault="00087B91" w:rsidP="00860E95">
            <w:pPr>
              <w:pStyle w:val="ARfintablebody"/>
            </w:pPr>
            <w:r w:rsidRPr="002029AF">
              <w:t>Payables</w:t>
            </w:r>
            <w:r w:rsidR="000A5329" w:rsidRPr="002029AF">
              <w:t xml:space="preserve"> </w:t>
            </w:r>
            <w:r w:rsidRPr="002029AF">
              <w:rPr>
                <w:rStyle w:val="Superscript"/>
              </w:rPr>
              <w:t>(i)</w:t>
            </w:r>
          </w:p>
        </w:tc>
        <w:tc>
          <w:tcPr>
            <w:tcW w:w="1418" w:type="dxa"/>
            <w:tcBorders>
              <w:top w:val="single" w:sz="4" w:space="0" w:color="A6A6A6"/>
              <w:bottom w:val="single" w:sz="4" w:space="0" w:color="A6A6A6"/>
            </w:tcBorders>
            <w:noWrap/>
            <w:hideMark/>
          </w:tcPr>
          <w:p w14:paraId="20F49F48" w14:textId="77777777" w:rsidR="00087B91" w:rsidRPr="002029AF" w:rsidRDefault="00087B91" w:rsidP="00860E95">
            <w:pPr>
              <w:pStyle w:val="ARfintablebodyright"/>
            </w:pPr>
            <w:r w:rsidRPr="002029AF">
              <w:t>–</w:t>
            </w:r>
          </w:p>
        </w:tc>
        <w:tc>
          <w:tcPr>
            <w:tcW w:w="1417" w:type="dxa"/>
            <w:tcBorders>
              <w:top w:val="single" w:sz="4" w:space="0" w:color="A6A6A6"/>
              <w:bottom w:val="single" w:sz="4" w:space="0" w:color="A6A6A6"/>
            </w:tcBorders>
            <w:noWrap/>
            <w:hideMark/>
          </w:tcPr>
          <w:p w14:paraId="638F4BDF" w14:textId="77777777" w:rsidR="00087B91" w:rsidRPr="002029AF" w:rsidRDefault="00087B91" w:rsidP="00860E95">
            <w:pPr>
              <w:pStyle w:val="ARfintablebodyright"/>
            </w:pPr>
            <w:r w:rsidRPr="002029AF">
              <w:t>–</w:t>
            </w:r>
          </w:p>
        </w:tc>
        <w:tc>
          <w:tcPr>
            <w:tcW w:w="1417" w:type="dxa"/>
            <w:tcBorders>
              <w:top w:val="single" w:sz="4" w:space="0" w:color="A6A6A6"/>
              <w:bottom w:val="single" w:sz="4" w:space="0" w:color="A6A6A6"/>
            </w:tcBorders>
            <w:noWrap/>
            <w:hideMark/>
          </w:tcPr>
          <w:p w14:paraId="0B5E8521" w14:textId="77777777" w:rsidR="00087B91" w:rsidRPr="002029AF" w:rsidRDefault="00087B91" w:rsidP="00860E95">
            <w:pPr>
              <w:pStyle w:val="ARfintablebodyright"/>
            </w:pPr>
            <w:r w:rsidRPr="002029AF">
              <w:t>1,847.0</w:t>
            </w:r>
          </w:p>
        </w:tc>
        <w:tc>
          <w:tcPr>
            <w:tcW w:w="1417" w:type="dxa"/>
            <w:tcBorders>
              <w:top w:val="single" w:sz="4" w:space="0" w:color="A6A6A6"/>
              <w:bottom w:val="single" w:sz="4" w:space="0" w:color="A6A6A6"/>
            </w:tcBorders>
            <w:noWrap/>
            <w:hideMark/>
          </w:tcPr>
          <w:p w14:paraId="4425F1AB" w14:textId="77777777" w:rsidR="00087B91" w:rsidRPr="002029AF" w:rsidRDefault="00087B91" w:rsidP="00860E95">
            <w:pPr>
              <w:pStyle w:val="ARfintablebodyright"/>
            </w:pPr>
            <w:r w:rsidRPr="002029AF">
              <w:t>1,847.0</w:t>
            </w:r>
          </w:p>
        </w:tc>
      </w:tr>
      <w:tr w:rsidR="00087B91" w:rsidRPr="002029AF" w14:paraId="73C2B6E4" w14:textId="77777777" w:rsidTr="00860E95">
        <w:tc>
          <w:tcPr>
            <w:tcW w:w="3968" w:type="dxa"/>
            <w:tcBorders>
              <w:top w:val="single" w:sz="4" w:space="0" w:color="A6A6A6"/>
            </w:tcBorders>
            <w:hideMark/>
          </w:tcPr>
          <w:p w14:paraId="02C7724F" w14:textId="4A647F0E" w:rsidR="00087B91" w:rsidRPr="002029AF" w:rsidRDefault="00087B91" w:rsidP="00860E95">
            <w:pPr>
              <w:pStyle w:val="ARfintablebody"/>
            </w:pPr>
            <w:r w:rsidRPr="002029AF">
              <w:t>Borrowings</w:t>
            </w:r>
            <w:r w:rsidR="000A5329" w:rsidRPr="002029AF">
              <w:t xml:space="preserve"> </w:t>
            </w:r>
            <w:r w:rsidRPr="002029AF">
              <w:rPr>
                <w:rStyle w:val="Superscript"/>
              </w:rPr>
              <w:t>(i)</w:t>
            </w:r>
          </w:p>
        </w:tc>
        <w:tc>
          <w:tcPr>
            <w:tcW w:w="1418" w:type="dxa"/>
            <w:tcBorders>
              <w:top w:val="single" w:sz="4" w:space="0" w:color="A6A6A6"/>
            </w:tcBorders>
            <w:noWrap/>
            <w:hideMark/>
          </w:tcPr>
          <w:p w14:paraId="3878F706" w14:textId="77777777" w:rsidR="00087B91" w:rsidRPr="002029AF" w:rsidRDefault="00087B91" w:rsidP="00860E95">
            <w:pPr>
              <w:pStyle w:val="ARfintablebodyright"/>
            </w:pPr>
            <w:r w:rsidRPr="002029AF">
              <w:t>–</w:t>
            </w:r>
          </w:p>
        </w:tc>
        <w:tc>
          <w:tcPr>
            <w:tcW w:w="1417" w:type="dxa"/>
            <w:tcBorders>
              <w:top w:val="single" w:sz="4" w:space="0" w:color="A6A6A6"/>
            </w:tcBorders>
            <w:noWrap/>
            <w:hideMark/>
          </w:tcPr>
          <w:p w14:paraId="13A96F1C" w14:textId="77777777" w:rsidR="00087B91" w:rsidRPr="002029AF" w:rsidRDefault="00087B91" w:rsidP="00860E95">
            <w:pPr>
              <w:pStyle w:val="ARfintablebodyright"/>
            </w:pPr>
            <w:r w:rsidRPr="002029AF">
              <w:t>–</w:t>
            </w:r>
          </w:p>
        </w:tc>
        <w:tc>
          <w:tcPr>
            <w:tcW w:w="1417" w:type="dxa"/>
            <w:tcBorders>
              <w:top w:val="single" w:sz="4" w:space="0" w:color="A6A6A6"/>
            </w:tcBorders>
            <w:noWrap/>
            <w:hideMark/>
          </w:tcPr>
          <w:p w14:paraId="66184C0D" w14:textId="77777777" w:rsidR="00087B91" w:rsidRPr="002029AF" w:rsidRDefault="00087B91" w:rsidP="00860E95">
            <w:pPr>
              <w:pStyle w:val="ARfintablebodyright"/>
            </w:pPr>
            <w:r w:rsidRPr="002029AF">
              <w:t>415.4</w:t>
            </w:r>
          </w:p>
        </w:tc>
        <w:tc>
          <w:tcPr>
            <w:tcW w:w="1417" w:type="dxa"/>
            <w:tcBorders>
              <w:top w:val="single" w:sz="4" w:space="0" w:color="A6A6A6"/>
            </w:tcBorders>
            <w:noWrap/>
            <w:hideMark/>
          </w:tcPr>
          <w:p w14:paraId="4D2A887B" w14:textId="77777777" w:rsidR="00087B91" w:rsidRPr="002029AF" w:rsidRDefault="00087B91" w:rsidP="00860E95">
            <w:pPr>
              <w:pStyle w:val="ARfintablebodyright"/>
            </w:pPr>
            <w:r w:rsidRPr="002029AF">
              <w:t>415.4</w:t>
            </w:r>
          </w:p>
        </w:tc>
      </w:tr>
      <w:tr w:rsidR="00087B91" w:rsidRPr="002029AF" w14:paraId="0B65C9D5" w14:textId="77777777" w:rsidTr="00860E95">
        <w:tc>
          <w:tcPr>
            <w:tcW w:w="3968" w:type="dxa"/>
            <w:hideMark/>
          </w:tcPr>
          <w:p w14:paraId="0FEF2B5D" w14:textId="4EA91035" w:rsidR="00087B91" w:rsidRPr="002029AF" w:rsidRDefault="00087B91" w:rsidP="00860E95">
            <w:pPr>
              <w:pStyle w:val="ARfintablebodybold"/>
            </w:pPr>
            <w:r w:rsidRPr="002029AF">
              <w:t>Total</w:t>
            </w:r>
            <w:r w:rsidR="000A5329" w:rsidRPr="002029AF">
              <w:t xml:space="preserve"> </w:t>
            </w:r>
            <w:r w:rsidRPr="002029AF">
              <w:t>contractual</w:t>
            </w:r>
            <w:r w:rsidR="000A5329" w:rsidRPr="002029AF">
              <w:t xml:space="preserve"> </w:t>
            </w:r>
            <w:r w:rsidRPr="002029AF">
              <w:t>financial</w:t>
            </w:r>
            <w:r w:rsidR="000A5329" w:rsidRPr="002029AF">
              <w:t xml:space="preserve"> </w:t>
            </w:r>
            <w:r w:rsidRPr="002029AF">
              <w:t>liabilities</w:t>
            </w:r>
          </w:p>
        </w:tc>
        <w:tc>
          <w:tcPr>
            <w:tcW w:w="1418" w:type="dxa"/>
            <w:noWrap/>
            <w:hideMark/>
          </w:tcPr>
          <w:p w14:paraId="655F3CDD" w14:textId="77777777" w:rsidR="00087B91" w:rsidRPr="002029AF" w:rsidRDefault="00087B91" w:rsidP="00860E95">
            <w:pPr>
              <w:pStyle w:val="ARfintablebodyrightbold"/>
            </w:pPr>
            <w:r w:rsidRPr="002029AF">
              <w:t>–</w:t>
            </w:r>
          </w:p>
        </w:tc>
        <w:tc>
          <w:tcPr>
            <w:tcW w:w="1417" w:type="dxa"/>
            <w:noWrap/>
            <w:hideMark/>
          </w:tcPr>
          <w:p w14:paraId="11AEDF54" w14:textId="77777777" w:rsidR="00087B91" w:rsidRPr="002029AF" w:rsidRDefault="00087B91" w:rsidP="00860E95">
            <w:pPr>
              <w:pStyle w:val="ARfintablebodyrightbold"/>
            </w:pPr>
            <w:r w:rsidRPr="002029AF">
              <w:t>–</w:t>
            </w:r>
          </w:p>
        </w:tc>
        <w:tc>
          <w:tcPr>
            <w:tcW w:w="1417" w:type="dxa"/>
            <w:noWrap/>
            <w:hideMark/>
          </w:tcPr>
          <w:p w14:paraId="7CBA4259" w14:textId="77777777" w:rsidR="00087B91" w:rsidRPr="002029AF" w:rsidRDefault="00087B91" w:rsidP="00860E95">
            <w:pPr>
              <w:pStyle w:val="ARfintablebodyrightbold"/>
            </w:pPr>
            <w:r w:rsidRPr="002029AF">
              <w:t>2,262.4</w:t>
            </w:r>
          </w:p>
        </w:tc>
        <w:tc>
          <w:tcPr>
            <w:tcW w:w="1417" w:type="dxa"/>
            <w:noWrap/>
            <w:hideMark/>
          </w:tcPr>
          <w:p w14:paraId="10905050" w14:textId="77777777" w:rsidR="00087B91" w:rsidRPr="002029AF" w:rsidRDefault="00087B91" w:rsidP="00860E95">
            <w:pPr>
              <w:pStyle w:val="ARfintablebodyrightbold"/>
            </w:pPr>
            <w:r w:rsidRPr="002029AF">
              <w:t>2,262.4</w:t>
            </w:r>
          </w:p>
        </w:tc>
      </w:tr>
    </w:tbl>
    <w:p w14:paraId="5AFCAFC4" w14:textId="77777777" w:rsidR="00087B91" w:rsidRPr="002029AF" w:rsidRDefault="00087B91" w:rsidP="00087B91">
      <w:pPr>
        <w:pStyle w:val="ARfinbody"/>
      </w:pPr>
    </w:p>
    <w:tbl>
      <w:tblPr>
        <w:tblStyle w:val="TableGrid"/>
        <w:tblW w:w="9637" w:type="dxa"/>
        <w:tblLayout w:type="fixed"/>
        <w:tblLook w:val="06A0" w:firstRow="1" w:lastRow="0" w:firstColumn="1" w:lastColumn="0" w:noHBand="1" w:noVBand="1"/>
      </w:tblPr>
      <w:tblGrid>
        <w:gridCol w:w="3968"/>
        <w:gridCol w:w="1418"/>
        <w:gridCol w:w="1417"/>
        <w:gridCol w:w="1417"/>
        <w:gridCol w:w="1417"/>
      </w:tblGrid>
      <w:tr w:rsidR="00087B91" w:rsidRPr="002029AF" w14:paraId="2DB7A8B7" w14:textId="77777777" w:rsidTr="002E438F">
        <w:trPr>
          <w:cnfStyle w:val="100000000000" w:firstRow="1" w:lastRow="0" w:firstColumn="0" w:lastColumn="0" w:oddVBand="0" w:evenVBand="0" w:oddHBand="0" w:evenHBand="0" w:firstRowFirstColumn="0" w:firstRowLastColumn="0" w:lastRowFirstColumn="0" w:lastRowLastColumn="0"/>
          <w:tblHeader/>
        </w:trPr>
        <w:tc>
          <w:tcPr>
            <w:tcW w:w="3968" w:type="dxa"/>
            <w:tcBorders>
              <w:bottom w:val="single" w:sz="4" w:space="0" w:color="auto"/>
            </w:tcBorders>
            <w:hideMark/>
          </w:tcPr>
          <w:p w14:paraId="2AEFE5AB" w14:textId="77777777" w:rsidR="00087B91" w:rsidRPr="002029AF" w:rsidRDefault="00087B91" w:rsidP="00860E95">
            <w:pPr>
              <w:pStyle w:val="ARfintablecolhead"/>
            </w:pPr>
            <w:r w:rsidRPr="002029AF">
              <w:t>2019</w:t>
            </w:r>
          </w:p>
        </w:tc>
        <w:tc>
          <w:tcPr>
            <w:tcW w:w="1418" w:type="dxa"/>
            <w:tcBorders>
              <w:bottom w:val="single" w:sz="4" w:space="0" w:color="auto"/>
            </w:tcBorders>
            <w:hideMark/>
          </w:tcPr>
          <w:p w14:paraId="504AA770" w14:textId="458729ED" w:rsidR="00087B91" w:rsidRPr="002029AF" w:rsidRDefault="00087B91" w:rsidP="00860E95">
            <w:pPr>
              <w:pStyle w:val="ARfintablecolheadright"/>
            </w:pPr>
            <w:r w:rsidRPr="002029AF">
              <w:t>Cash</w:t>
            </w:r>
            <w:r w:rsidR="000A5329" w:rsidRPr="002029AF">
              <w:t xml:space="preserve"> </w:t>
            </w:r>
            <w:r w:rsidRPr="002029AF">
              <w:t>and</w:t>
            </w:r>
            <w:r w:rsidR="000A5329" w:rsidRPr="002029AF">
              <w:t xml:space="preserve"> </w:t>
            </w:r>
            <w:r w:rsidRPr="002029AF">
              <w:t>deposits</w:t>
            </w:r>
          </w:p>
          <w:p w14:paraId="5B06571E" w14:textId="77777777" w:rsidR="00087B91" w:rsidRPr="002029AF" w:rsidRDefault="00087B91" w:rsidP="00860E95">
            <w:pPr>
              <w:pStyle w:val="ARfintablecolheadright"/>
            </w:pPr>
            <w:r w:rsidRPr="002029AF">
              <w:t>$M</w:t>
            </w:r>
          </w:p>
        </w:tc>
        <w:tc>
          <w:tcPr>
            <w:tcW w:w="1417" w:type="dxa"/>
            <w:tcBorders>
              <w:bottom w:val="single" w:sz="4" w:space="0" w:color="auto"/>
            </w:tcBorders>
            <w:hideMark/>
          </w:tcPr>
          <w:p w14:paraId="1D48F52A" w14:textId="77310140" w:rsidR="00087B91" w:rsidRPr="002029AF" w:rsidRDefault="00087B91" w:rsidP="00860E95">
            <w:pPr>
              <w:pStyle w:val="ARfintablecolheadright"/>
            </w:pPr>
            <w:r w:rsidRPr="002029AF">
              <w:t>Financial</w:t>
            </w:r>
            <w:r w:rsidR="000A5329" w:rsidRPr="002029AF">
              <w:t xml:space="preserve"> </w:t>
            </w:r>
            <w:r w:rsidRPr="002029AF">
              <w:t>assets</w:t>
            </w:r>
            <w:r w:rsidR="000A5329" w:rsidRPr="002029AF">
              <w:t xml:space="preserve"> </w:t>
            </w:r>
            <w:r w:rsidRPr="002029AF">
              <w:t>at</w:t>
            </w:r>
            <w:r w:rsidR="000A5329" w:rsidRPr="002029AF">
              <w:t xml:space="preserve"> </w:t>
            </w:r>
            <w:r w:rsidRPr="002029AF">
              <w:t>amortised</w:t>
            </w:r>
            <w:r w:rsidR="000A5329" w:rsidRPr="002029AF">
              <w:t xml:space="preserve"> </w:t>
            </w:r>
            <w:r w:rsidRPr="002029AF">
              <w:t>cost</w:t>
            </w:r>
            <w:r w:rsidR="000A5329" w:rsidRPr="002029AF">
              <w:t xml:space="preserve"> </w:t>
            </w:r>
            <w:r w:rsidRPr="002029AF">
              <w:t>(AC)</w:t>
            </w:r>
          </w:p>
          <w:p w14:paraId="12F208E1" w14:textId="77777777" w:rsidR="00087B91" w:rsidRPr="002029AF" w:rsidRDefault="00087B91" w:rsidP="00860E95">
            <w:pPr>
              <w:pStyle w:val="ARfintablecolheadright"/>
            </w:pPr>
            <w:r w:rsidRPr="002029AF">
              <w:t>$M</w:t>
            </w:r>
          </w:p>
        </w:tc>
        <w:tc>
          <w:tcPr>
            <w:tcW w:w="1417" w:type="dxa"/>
            <w:tcBorders>
              <w:bottom w:val="single" w:sz="4" w:space="0" w:color="auto"/>
            </w:tcBorders>
            <w:hideMark/>
          </w:tcPr>
          <w:p w14:paraId="6A4B5130" w14:textId="2E7EDA1C" w:rsidR="00087B91" w:rsidRPr="002029AF" w:rsidRDefault="00087B91" w:rsidP="00860E95">
            <w:pPr>
              <w:pStyle w:val="ARfintablecolheadright"/>
            </w:pPr>
            <w:r w:rsidRPr="002029AF">
              <w:t>Financial</w:t>
            </w:r>
            <w:r w:rsidR="000A5329" w:rsidRPr="002029AF">
              <w:t xml:space="preserve"> </w:t>
            </w:r>
            <w:r w:rsidRPr="002029AF">
              <w:t>liabilities</w:t>
            </w:r>
            <w:r w:rsidR="000A5329" w:rsidRPr="002029AF">
              <w:t xml:space="preserve"> </w:t>
            </w:r>
            <w:r w:rsidRPr="002029AF">
              <w:t>at</w:t>
            </w:r>
            <w:r w:rsidR="000A5329" w:rsidRPr="002029AF">
              <w:t xml:space="preserve"> </w:t>
            </w:r>
            <w:r w:rsidRPr="002029AF">
              <w:t>amortised</w:t>
            </w:r>
            <w:r w:rsidR="000A5329" w:rsidRPr="002029AF">
              <w:t xml:space="preserve"> </w:t>
            </w:r>
            <w:r w:rsidRPr="002029AF">
              <w:t>cost</w:t>
            </w:r>
            <w:r w:rsidR="000A5329" w:rsidRPr="002029AF">
              <w:t xml:space="preserve"> </w:t>
            </w:r>
            <w:r w:rsidRPr="002029AF">
              <w:t>(AC)</w:t>
            </w:r>
          </w:p>
          <w:p w14:paraId="66769A24" w14:textId="77777777" w:rsidR="00087B91" w:rsidRPr="002029AF" w:rsidRDefault="00087B91" w:rsidP="00860E95">
            <w:pPr>
              <w:pStyle w:val="ARfintablecolheadright"/>
            </w:pPr>
            <w:r w:rsidRPr="002029AF">
              <w:t>$M</w:t>
            </w:r>
          </w:p>
        </w:tc>
        <w:tc>
          <w:tcPr>
            <w:tcW w:w="1417" w:type="dxa"/>
            <w:tcBorders>
              <w:bottom w:val="single" w:sz="4" w:space="0" w:color="auto"/>
            </w:tcBorders>
            <w:hideMark/>
          </w:tcPr>
          <w:p w14:paraId="6F045302" w14:textId="77777777" w:rsidR="00087B91" w:rsidRPr="002029AF" w:rsidRDefault="00087B91" w:rsidP="00860E95">
            <w:pPr>
              <w:pStyle w:val="ARfintablecolheadright"/>
            </w:pPr>
            <w:r w:rsidRPr="002029AF">
              <w:t>Total</w:t>
            </w:r>
          </w:p>
          <w:p w14:paraId="13F15E34" w14:textId="77777777" w:rsidR="00087B91" w:rsidRPr="002029AF" w:rsidRDefault="00087B91" w:rsidP="00860E95">
            <w:pPr>
              <w:pStyle w:val="ARfintablecolheadright"/>
            </w:pPr>
            <w:r w:rsidRPr="002029AF">
              <w:t>$M</w:t>
            </w:r>
          </w:p>
        </w:tc>
      </w:tr>
      <w:tr w:rsidR="00087B91" w:rsidRPr="002029AF" w14:paraId="4373FE56" w14:textId="77777777" w:rsidTr="00860E95">
        <w:trPr>
          <w:trHeight w:val="255"/>
        </w:trPr>
        <w:tc>
          <w:tcPr>
            <w:tcW w:w="9637" w:type="dxa"/>
            <w:gridSpan w:val="5"/>
            <w:tcBorders>
              <w:top w:val="single" w:sz="4" w:space="0" w:color="auto"/>
              <w:bottom w:val="single" w:sz="4" w:space="0" w:color="A6A6A6"/>
            </w:tcBorders>
            <w:hideMark/>
          </w:tcPr>
          <w:p w14:paraId="79D03451" w14:textId="59B48804" w:rsidR="00087B91" w:rsidRPr="002029AF" w:rsidRDefault="00087B91" w:rsidP="00860E95">
            <w:pPr>
              <w:pStyle w:val="ARfintablebodybold"/>
            </w:pPr>
            <w:r w:rsidRPr="002029AF">
              <w:t>Contractual</w:t>
            </w:r>
            <w:r w:rsidR="000A5329" w:rsidRPr="002029AF">
              <w:t xml:space="preserve"> </w:t>
            </w:r>
            <w:r w:rsidRPr="002029AF">
              <w:t>financial</w:t>
            </w:r>
            <w:r w:rsidR="000A5329" w:rsidRPr="002029AF">
              <w:t xml:space="preserve"> </w:t>
            </w:r>
            <w:r w:rsidRPr="002029AF">
              <w:t>assets</w:t>
            </w:r>
          </w:p>
        </w:tc>
      </w:tr>
      <w:tr w:rsidR="00087B91" w:rsidRPr="002029AF" w14:paraId="7558C6B8" w14:textId="77777777" w:rsidTr="00860E95">
        <w:trPr>
          <w:trHeight w:val="255"/>
        </w:trPr>
        <w:tc>
          <w:tcPr>
            <w:tcW w:w="3968" w:type="dxa"/>
            <w:tcBorders>
              <w:top w:val="single" w:sz="4" w:space="0" w:color="A6A6A6"/>
              <w:bottom w:val="single" w:sz="4" w:space="0" w:color="A6A6A6"/>
            </w:tcBorders>
            <w:hideMark/>
          </w:tcPr>
          <w:p w14:paraId="53F10D45" w14:textId="5EF14C36" w:rsidR="00087B91" w:rsidRPr="002029AF" w:rsidRDefault="00087B91" w:rsidP="00860E95">
            <w:pPr>
              <w:pStyle w:val="ARfintablebody"/>
            </w:pPr>
            <w:r w:rsidRPr="002029AF">
              <w:t>Cash</w:t>
            </w:r>
            <w:r w:rsidR="000A5329" w:rsidRPr="002029AF">
              <w:t xml:space="preserve"> </w:t>
            </w:r>
            <w:r w:rsidRPr="002029AF">
              <w:t>and</w:t>
            </w:r>
            <w:r w:rsidR="000A5329" w:rsidRPr="002029AF">
              <w:t xml:space="preserve"> </w:t>
            </w:r>
            <w:r w:rsidRPr="002029AF">
              <w:t>deposits</w:t>
            </w:r>
          </w:p>
        </w:tc>
        <w:tc>
          <w:tcPr>
            <w:tcW w:w="1418" w:type="dxa"/>
            <w:tcBorders>
              <w:top w:val="single" w:sz="4" w:space="0" w:color="A6A6A6"/>
              <w:bottom w:val="single" w:sz="4" w:space="0" w:color="A6A6A6"/>
            </w:tcBorders>
            <w:noWrap/>
            <w:hideMark/>
          </w:tcPr>
          <w:p w14:paraId="6196FCB6" w14:textId="77777777" w:rsidR="00087B91" w:rsidRPr="002029AF" w:rsidRDefault="00087B91" w:rsidP="00860E95">
            <w:pPr>
              <w:pStyle w:val="ARfintablebodyright"/>
            </w:pPr>
            <w:r w:rsidRPr="002029AF">
              <w:t>799.9</w:t>
            </w:r>
          </w:p>
        </w:tc>
        <w:tc>
          <w:tcPr>
            <w:tcW w:w="1417" w:type="dxa"/>
            <w:tcBorders>
              <w:top w:val="single" w:sz="4" w:space="0" w:color="A6A6A6"/>
              <w:bottom w:val="single" w:sz="4" w:space="0" w:color="A6A6A6"/>
            </w:tcBorders>
            <w:noWrap/>
            <w:hideMark/>
          </w:tcPr>
          <w:p w14:paraId="7869BA7D" w14:textId="77777777" w:rsidR="00087B91" w:rsidRPr="002029AF" w:rsidRDefault="00087B91" w:rsidP="00860E95">
            <w:pPr>
              <w:pStyle w:val="ARfintablebodyright"/>
            </w:pPr>
            <w:r w:rsidRPr="002029AF">
              <w:t>–</w:t>
            </w:r>
          </w:p>
        </w:tc>
        <w:tc>
          <w:tcPr>
            <w:tcW w:w="1417" w:type="dxa"/>
            <w:tcBorders>
              <w:top w:val="single" w:sz="4" w:space="0" w:color="A6A6A6"/>
              <w:bottom w:val="single" w:sz="4" w:space="0" w:color="A6A6A6"/>
            </w:tcBorders>
            <w:noWrap/>
            <w:hideMark/>
          </w:tcPr>
          <w:p w14:paraId="0B244E97" w14:textId="77777777" w:rsidR="00087B91" w:rsidRPr="002029AF" w:rsidRDefault="00087B91" w:rsidP="00860E95">
            <w:pPr>
              <w:pStyle w:val="ARfintablebodyright"/>
            </w:pPr>
            <w:r w:rsidRPr="002029AF">
              <w:t>–</w:t>
            </w:r>
          </w:p>
        </w:tc>
        <w:tc>
          <w:tcPr>
            <w:tcW w:w="1417" w:type="dxa"/>
            <w:tcBorders>
              <w:top w:val="single" w:sz="4" w:space="0" w:color="A6A6A6"/>
              <w:bottom w:val="single" w:sz="4" w:space="0" w:color="A6A6A6"/>
            </w:tcBorders>
            <w:noWrap/>
            <w:hideMark/>
          </w:tcPr>
          <w:p w14:paraId="0AE7B008" w14:textId="77777777" w:rsidR="00087B91" w:rsidRPr="002029AF" w:rsidRDefault="00087B91" w:rsidP="00860E95">
            <w:pPr>
              <w:pStyle w:val="ARfintablebodyright"/>
            </w:pPr>
            <w:r w:rsidRPr="002029AF">
              <w:t>799.9</w:t>
            </w:r>
          </w:p>
        </w:tc>
      </w:tr>
      <w:tr w:rsidR="00087B91" w:rsidRPr="002029AF" w14:paraId="53498EE7" w14:textId="77777777" w:rsidTr="00860E95">
        <w:trPr>
          <w:trHeight w:val="255"/>
        </w:trPr>
        <w:tc>
          <w:tcPr>
            <w:tcW w:w="3968" w:type="dxa"/>
            <w:tcBorders>
              <w:top w:val="single" w:sz="4" w:space="0" w:color="A6A6A6"/>
              <w:bottom w:val="single" w:sz="4" w:space="0" w:color="A6A6A6"/>
            </w:tcBorders>
            <w:hideMark/>
          </w:tcPr>
          <w:p w14:paraId="69CC7A4D" w14:textId="7488F6B9" w:rsidR="00087B91" w:rsidRPr="002029AF" w:rsidRDefault="00087B91" w:rsidP="00860E95">
            <w:pPr>
              <w:pStyle w:val="ARfintablebody"/>
            </w:pPr>
            <w:r w:rsidRPr="002029AF">
              <w:t>Receivables</w:t>
            </w:r>
            <w:r w:rsidR="000A5329" w:rsidRPr="002029AF">
              <w:t xml:space="preserve"> </w:t>
            </w:r>
            <w:r w:rsidRPr="002029AF">
              <w:rPr>
                <w:rStyle w:val="Superscript"/>
              </w:rPr>
              <w:t>(i)</w:t>
            </w:r>
          </w:p>
        </w:tc>
        <w:tc>
          <w:tcPr>
            <w:tcW w:w="1418" w:type="dxa"/>
            <w:tcBorders>
              <w:top w:val="single" w:sz="4" w:space="0" w:color="A6A6A6"/>
              <w:bottom w:val="single" w:sz="4" w:space="0" w:color="A6A6A6"/>
            </w:tcBorders>
            <w:noWrap/>
            <w:hideMark/>
          </w:tcPr>
          <w:p w14:paraId="647CC6BE" w14:textId="77777777" w:rsidR="00087B91" w:rsidRPr="002029AF" w:rsidRDefault="00087B91" w:rsidP="00860E95">
            <w:pPr>
              <w:pStyle w:val="ARfintablebodyright"/>
            </w:pPr>
            <w:r w:rsidRPr="002029AF">
              <w:t>–</w:t>
            </w:r>
          </w:p>
        </w:tc>
        <w:tc>
          <w:tcPr>
            <w:tcW w:w="1417" w:type="dxa"/>
            <w:tcBorders>
              <w:top w:val="single" w:sz="4" w:space="0" w:color="A6A6A6"/>
              <w:bottom w:val="single" w:sz="4" w:space="0" w:color="A6A6A6"/>
            </w:tcBorders>
            <w:noWrap/>
            <w:hideMark/>
          </w:tcPr>
          <w:p w14:paraId="21E16102" w14:textId="77777777" w:rsidR="00087B91" w:rsidRPr="002029AF" w:rsidRDefault="00087B91" w:rsidP="00860E95">
            <w:pPr>
              <w:pStyle w:val="ARfintablebodyright"/>
            </w:pPr>
            <w:r w:rsidRPr="002029AF">
              <w:t>325.0</w:t>
            </w:r>
          </w:p>
        </w:tc>
        <w:tc>
          <w:tcPr>
            <w:tcW w:w="1417" w:type="dxa"/>
            <w:tcBorders>
              <w:top w:val="single" w:sz="4" w:space="0" w:color="A6A6A6"/>
              <w:bottom w:val="single" w:sz="4" w:space="0" w:color="A6A6A6"/>
            </w:tcBorders>
            <w:noWrap/>
            <w:hideMark/>
          </w:tcPr>
          <w:p w14:paraId="5E53587A" w14:textId="77777777" w:rsidR="00087B91" w:rsidRPr="002029AF" w:rsidRDefault="00087B91" w:rsidP="00860E95">
            <w:pPr>
              <w:pStyle w:val="ARfintablebodyright"/>
            </w:pPr>
            <w:r w:rsidRPr="002029AF">
              <w:t>–</w:t>
            </w:r>
          </w:p>
        </w:tc>
        <w:tc>
          <w:tcPr>
            <w:tcW w:w="1417" w:type="dxa"/>
            <w:tcBorders>
              <w:top w:val="single" w:sz="4" w:space="0" w:color="A6A6A6"/>
              <w:bottom w:val="single" w:sz="4" w:space="0" w:color="A6A6A6"/>
            </w:tcBorders>
            <w:noWrap/>
            <w:hideMark/>
          </w:tcPr>
          <w:p w14:paraId="3E76167D" w14:textId="77777777" w:rsidR="00087B91" w:rsidRPr="002029AF" w:rsidRDefault="00087B91" w:rsidP="00860E95">
            <w:pPr>
              <w:pStyle w:val="ARfintablebodyright"/>
            </w:pPr>
            <w:r w:rsidRPr="002029AF">
              <w:t>325.0</w:t>
            </w:r>
          </w:p>
        </w:tc>
      </w:tr>
      <w:tr w:rsidR="00087B91" w:rsidRPr="002029AF" w14:paraId="3332E08A" w14:textId="77777777" w:rsidTr="00860E95">
        <w:trPr>
          <w:trHeight w:val="255"/>
        </w:trPr>
        <w:tc>
          <w:tcPr>
            <w:tcW w:w="3968" w:type="dxa"/>
            <w:tcBorders>
              <w:top w:val="single" w:sz="4" w:space="0" w:color="A6A6A6"/>
              <w:bottom w:val="single" w:sz="4" w:space="0" w:color="A6A6A6"/>
            </w:tcBorders>
            <w:hideMark/>
          </w:tcPr>
          <w:p w14:paraId="47FC176C" w14:textId="77777777" w:rsidR="00087B91" w:rsidRPr="002029AF" w:rsidRDefault="00087B91" w:rsidP="00860E95">
            <w:pPr>
              <w:pStyle w:val="ARfintablebody"/>
            </w:pPr>
            <w:r w:rsidRPr="002029AF">
              <w:t>Loans</w:t>
            </w:r>
          </w:p>
        </w:tc>
        <w:tc>
          <w:tcPr>
            <w:tcW w:w="1418" w:type="dxa"/>
            <w:tcBorders>
              <w:top w:val="single" w:sz="4" w:space="0" w:color="A6A6A6"/>
              <w:bottom w:val="single" w:sz="4" w:space="0" w:color="A6A6A6"/>
            </w:tcBorders>
            <w:noWrap/>
            <w:hideMark/>
          </w:tcPr>
          <w:p w14:paraId="2D1B6C78" w14:textId="77777777" w:rsidR="00087B91" w:rsidRPr="002029AF" w:rsidRDefault="00087B91" w:rsidP="00860E95">
            <w:pPr>
              <w:pStyle w:val="ARfintablebodyright"/>
            </w:pPr>
            <w:r w:rsidRPr="002029AF">
              <w:t>–</w:t>
            </w:r>
          </w:p>
        </w:tc>
        <w:tc>
          <w:tcPr>
            <w:tcW w:w="1417" w:type="dxa"/>
            <w:tcBorders>
              <w:top w:val="single" w:sz="4" w:space="0" w:color="A6A6A6"/>
              <w:bottom w:val="single" w:sz="4" w:space="0" w:color="A6A6A6"/>
            </w:tcBorders>
            <w:noWrap/>
            <w:hideMark/>
          </w:tcPr>
          <w:p w14:paraId="101CF018" w14:textId="77777777" w:rsidR="00087B91" w:rsidRPr="002029AF" w:rsidRDefault="00087B91" w:rsidP="00860E95">
            <w:pPr>
              <w:pStyle w:val="ARfintablebodyright"/>
            </w:pPr>
            <w:r w:rsidRPr="002029AF">
              <w:t>94.9</w:t>
            </w:r>
          </w:p>
        </w:tc>
        <w:tc>
          <w:tcPr>
            <w:tcW w:w="1417" w:type="dxa"/>
            <w:tcBorders>
              <w:top w:val="single" w:sz="4" w:space="0" w:color="A6A6A6"/>
              <w:bottom w:val="single" w:sz="4" w:space="0" w:color="A6A6A6"/>
            </w:tcBorders>
            <w:noWrap/>
            <w:hideMark/>
          </w:tcPr>
          <w:p w14:paraId="41337A8C" w14:textId="77777777" w:rsidR="00087B91" w:rsidRPr="002029AF" w:rsidRDefault="00087B91" w:rsidP="00860E95">
            <w:pPr>
              <w:pStyle w:val="ARfintablebodyright"/>
            </w:pPr>
            <w:r w:rsidRPr="002029AF">
              <w:t>–</w:t>
            </w:r>
          </w:p>
        </w:tc>
        <w:tc>
          <w:tcPr>
            <w:tcW w:w="1417" w:type="dxa"/>
            <w:tcBorders>
              <w:top w:val="single" w:sz="4" w:space="0" w:color="A6A6A6"/>
              <w:bottom w:val="single" w:sz="4" w:space="0" w:color="A6A6A6"/>
            </w:tcBorders>
            <w:noWrap/>
            <w:hideMark/>
          </w:tcPr>
          <w:p w14:paraId="6EF11EAE" w14:textId="77777777" w:rsidR="00087B91" w:rsidRPr="002029AF" w:rsidRDefault="00087B91" w:rsidP="00860E95">
            <w:pPr>
              <w:pStyle w:val="ARfintablebodyright"/>
            </w:pPr>
            <w:r w:rsidRPr="002029AF">
              <w:t>94.9</w:t>
            </w:r>
          </w:p>
        </w:tc>
      </w:tr>
      <w:tr w:rsidR="00087B91" w:rsidRPr="002029AF" w14:paraId="4C029339" w14:textId="77777777" w:rsidTr="00860E95">
        <w:trPr>
          <w:trHeight w:val="255"/>
        </w:trPr>
        <w:tc>
          <w:tcPr>
            <w:tcW w:w="3968" w:type="dxa"/>
            <w:tcBorders>
              <w:top w:val="single" w:sz="4" w:space="0" w:color="A6A6A6"/>
            </w:tcBorders>
            <w:hideMark/>
          </w:tcPr>
          <w:p w14:paraId="41DCD431" w14:textId="46DDA7C1" w:rsidR="00087B91" w:rsidRPr="002029AF" w:rsidRDefault="00087B91" w:rsidP="00860E95">
            <w:pPr>
              <w:pStyle w:val="ARfintablebody"/>
            </w:pPr>
            <w:r w:rsidRPr="002029AF">
              <w:t>Short-term</w:t>
            </w:r>
            <w:r w:rsidR="000A5329" w:rsidRPr="002029AF">
              <w:t xml:space="preserve"> </w:t>
            </w:r>
            <w:r w:rsidRPr="002029AF">
              <w:t>investments</w:t>
            </w:r>
            <w:r w:rsidR="000A5329" w:rsidRPr="002029AF">
              <w:t xml:space="preserve"> </w:t>
            </w:r>
            <w:r w:rsidRPr="002029AF">
              <w:t>–</w:t>
            </w:r>
            <w:r w:rsidR="000A5329" w:rsidRPr="002029AF">
              <w:t xml:space="preserve"> </w:t>
            </w:r>
            <w:r w:rsidRPr="002029AF">
              <w:t>term</w:t>
            </w:r>
            <w:r w:rsidR="000A5329" w:rsidRPr="002029AF">
              <w:t xml:space="preserve"> </w:t>
            </w:r>
            <w:r w:rsidRPr="002029AF">
              <w:t>deposits</w:t>
            </w:r>
          </w:p>
        </w:tc>
        <w:tc>
          <w:tcPr>
            <w:tcW w:w="1418" w:type="dxa"/>
            <w:tcBorders>
              <w:top w:val="single" w:sz="4" w:space="0" w:color="A6A6A6"/>
            </w:tcBorders>
            <w:noWrap/>
            <w:hideMark/>
          </w:tcPr>
          <w:p w14:paraId="4FC52F45" w14:textId="77777777" w:rsidR="00087B91" w:rsidRPr="002029AF" w:rsidRDefault="00087B91" w:rsidP="00860E95">
            <w:pPr>
              <w:pStyle w:val="ARfintablebodyright"/>
            </w:pPr>
            <w:r w:rsidRPr="002029AF">
              <w:t>–</w:t>
            </w:r>
          </w:p>
        </w:tc>
        <w:tc>
          <w:tcPr>
            <w:tcW w:w="1417" w:type="dxa"/>
            <w:tcBorders>
              <w:top w:val="single" w:sz="4" w:space="0" w:color="A6A6A6"/>
            </w:tcBorders>
            <w:noWrap/>
            <w:hideMark/>
          </w:tcPr>
          <w:p w14:paraId="5AB3513E" w14:textId="77777777" w:rsidR="00087B91" w:rsidRPr="002029AF" w:rsidRDefault="00087B91" w:rsidP="00860E95">
            <w:pPr>
              <w:pStyle w:val="ARfintablebodyright"/>
            </w:pPr>
            <w:r w:rsidRPr="002029AF">
              <w:t>100.0</w:t>
            </w:r>
          </w:p>
        </w:tc>
        <w:tc>
          <w:tcPr>
            <w:tcW w:w="1417" w:type="dxa"/>
            <w:tcBorders>
              <w:top w:val="single" w:sz="4" w:space="0" w:color="A6A6A6"/>
            </w:tcBorders>
            <w:noWrap/>
            <w:hideMark/>
          </w:tcPr>
          <w:p w14:paraId="2C4095EF" w14:textId="77777777" w:rsidR="00087B91" w:rsidRPr="002029AF" w:rsidRDefault="00087B91" w:rsidP="00860E95">
            <w:pPr>
              <w:pStyle w:val="ARfintablebodyright"/>
            </w:pPr>
            <w:r w:rsidRPr="002029AF">
              <w:t>–</w:t>
            </w:r>
          </w:p>
        </w:tc>
        <w:tc>
          <w:tcPr>
            <w:tcW w:w="1417" w:type="dxa"/>
            <w:tcBorders>
              <w:top w:val="single" w:sz="4" w:space="0" w:color="A6A6A6"/>
            </w:tcBorders>
            <w:noWrap/>
            <w:hideMark/>
          </w:tcPr>
          <w:p w14:paraId="44C4C691" w14:textId="77777777" w:rsidR="00087B91" w:rsidRPr="002029AF" w:rsidRDefault="00087B91" w:rsidP="00860E95">
            <w:pPr>
              <w:pStyle w:val="ARfintablebodyright"/>
            </w:pPr>
            <w:r w:rsidRPr="002029AF">
              <w:t>100.0</w:t>
            </w:r>
          </w:p>
        </w:tc>
      </w:tr>
      <w:tr w:rsidR="00087B91" w:rsidRPr="002029AF" w14:paraId="57C46994" w14:textId="77777777" w:rsidTr="00860E95">
        <w:trPr>
          <w:trHeight w:val="255"/>
        </w:trPr>
        <w:tc>
          <w:tcPr>
            <w:tcW w:w="3968" w:type="dxa"/>
            <w:tcBorders>
              <w:bottom w:val="single" w:sz="4" w:space="0" w:color="auto"/>
            </w:tcBorders>
            <w:hideMark/>
          </w:tcPr>
          <w:p w14:paraId="19D6D6CA" w14:textId="3EB3377B" w:rsidR="00087B91" w:rsidRPr="002029AF" w:rsidRDefault="00087B91" w:rsidP="00860E95">
            <w:pPr>
              <w:pStyle w:val="ARfintablebodybold"/>
            </w:pPr>
            <w:r w:rsidRPr="002029AF">
              <w:t>Total</w:t>
            </w:r>
            <w:r w:rsidR="000A5329" w:rsidRPr="002029AF">
              <w:t xml:space="preserve"> </w:t>
            </w:r>
            <w:r w:rsidRPr="002029AF">
              <w:t>contractual</w:t>
            </w:r>
            <w:r w:rsidR="000A5329" w:rsidRPr="002029AF">
              <w:t xml:space="preserve"> </w:t>
            </w:r>
            <w:r w:rsidRPr="002029AF">
              <w:t>financial</w:t>
            </w:r>
            <w:r w:rsidR="000A5329" w:rsidRPr="002029AF">
              <w:t xml:space="preserve"> </w:t>
            </w:r>
            <w:r w:rsidRPr="002029AF">
              <w:t>assets</w:t>
            </w:r>
          </w:p>
        </w:tc>
        <w:tc>
          <w:tcPr>
            <w:tcW w:w="1418" w:type="dxa"/>
            <w:tcBorders>
              <w:bottom w:val="single" w:sz="4" w:space="0" w:color="auto"/>
            </w:tcBorders>
            <w:noWrap/>
            <w:hideMark/>
          </w:tcPr>
          <w:p w14:paraId="61FAB821" w14:textId="77777777" w:rsidR="00087B91" w:rsidRPr="002029AF" w:rsidRDefault="00087B91" w:rsidP="00860E95">
            <w:pPr>
              <w:pStyle w:val="ARfintablebodyrightbold"/>
            </w:pPr>
            <w:r w:rsidRPr="002029AF">
              <w:t>799.9</w:t>
            </w:r>
          </w:p>
        </w:tc>
        <w:tc>
          <w:tcPr>
            <w:tcW w:w="1417" w:type="dxa"/>
            <w:tcBorders>
              <w:bottom w:val="single" w:sz="4" w:space="0" w:color="auto"/>
            </w:tcBorders>
            <w:noWrap/>
            <w:hideMark/>
          </w:tcPr>
          <w:p w14:paraId="6A76C565" w14:textId="77777777" w:rsidR="00087B91" w:rsidRPr="002029AF" w:rsidRDefault="00087B91" w:rsidP="00860E95">
            <w:pPr>
              <w:pStyle w:val="ARfintablebodyrightbold"/>
            </w:pPr>
            <w:r w:rsidRPr="002029AF">
              <w:t>519.9</w:t>
            </w:r>
          </w:p>
        </w:tc>
        <w:tc>
          <w:tcPr>
            <w:tcW w:w="1417" w:type="dxa"/>
            <w:tcBorders>
              <w:bottom w:val="single" w:sz="4" w:space="0" w:color="auto"/>
            </w:tcBorders>
            <w:noWrap/>
            <w:hideMark/>
          </w:tcPr>
          <w:p w14:paraId="697F93BF" w14:textId="77777777" w:rsidR="00087B91" w:rsidRPr="002029AF" w:rsidRDefault="00087B91" w:rsidP="00860E95">
            <w:pPr>
              <w:pStyle w:val="ARfintablebodyrightbold"/>
            </w:pPr>
            <w:r w:rsidRPr="002029AF">
              <w:t>–</w:t>
            </w:r>
          </w:p>
        </w:tc>
        <w:tc>
          <w:tcPr>
            <w:tcW w:w="1417" w:type="dxa"/>
            <w:tcBorders>
              <w:bottom w:val="single" w:sz="4" w:space="0" w:color="auto"/>
            </w:tcBorders>
            <w:noWrap/>
            <w:hideMark/>
          </w:tcPr>
          <w:p w14:paraId="5E540158" w14:textId="77777777" w:rsidR="00087B91" w:rsidRPr="002029AF" w:rsidRDefault="00087B91" w:rsidP="00860E95">
            <w:pPr>
              <w:pStyle w:val="ARfintablebodyrightbold"/>
            </w:pPr>
            <w:r w:rsidRPr="002029AF">
              <w:t>1,319.8</w:t>
            </w:r>
          </w:p>
        </w:tc>
      </w:tr>
      <w:tr w:rsidR="00087B91" w:rsidRPr="002029AF" w14:paraId="675A7210" w14:textId="77777777" w:rsidTr="00860E95">
        <w:trPr>
          <w:trHeight w:val="255"/>
        </w:trPr>
        <w:tc>
          <w:tcPr>
            <w:tcW w:w="3968" w:type="dxa"/>
            <w:tcBorders>
              <w:top w:val="single" w:sz="4" w:space="0" w:color="auto"/>
              <w:bottom w:val="single" w:sz="4" w:space="0" w:color="A6A6A6"/>
            </w:tcBorders>
            <w:hideMark/>
          </w:tcPr>
          <w:p w14:paraId="25134017" w14:textId="5913A33A" w:rsidR="00087B91" w:rsidRPr="002029AF" w:rsidRDefault="00087B91" w:rsidP="00860E95">
            <w:pPr>
              <w:pStyle w:val="ARfintablebodybold"/>
            </w:pPr>
            <w:r w:rsidRPr="002029AF">
              <w:t>Contractual</w:t>
            </w:r>
            <w:r w:rsidR="000A5329" w:rsidRPr="002029AF">
              <w:t xml:space="preserve"> </w:t>
            </w:r>
            <w:r w:rsidRPr="002029AF">
              <w:t>financial</w:t>
            </w:r>
            <w:r w:rsidR="000A5329" w:rsidRPr="002029AF">
              <w:t xml:space="preserve"> </w:t>
            </w:r>
            <w:r w:rsidRPr="002029AF">
              <w:t>liabilities</w:t>
            </w:r>
          </w:p>
        </w:tc>
        <w:tc>
          <w:tcPr>
            <w:tcW w:w="1418" w:type="dxa"/>
            <w:tcBorders>
              <w:top w:val="single" w:sz="4" w:space="0" w:color="auto"/>
              <w:bottom w:val="single" w:sz="4" w:space="0" w:color="A6A6A6"/>
            </w:tcBorders>
            <w:hideMark/>
          </w:tcPr>
          <w:p w14:paraId="6E8E665A" w14:textId="77777777" w:rsidR="00087B91" w:rsidRPr="002029AF" w:rsidRDefault="00087B91" w:rsidP="00860E95">
            <w:pPr>
              <w:pStyle w:val="ARfintablebodybold"/>
            </w:pPr>
          </w:p>
        </w:tc>
        <w:tc>
          <w:tcPr>
            <w:tcW w:w="1417" w:type="dxa"/>
            <w:tcBorders>
              <w:top w:val="single" w:sz="4" w:space="0" w:color="auto"/>
              <w:bottom w:val="single" w:sz="4" w:space="0" w:color="A6A6A6"/>
            </w:tcBorders>
            <w:hideMark/>
          </w:tcPr>
          <w:p w14:paraId="67F98D25" w14:textId="77777777" w:rsidR="00087B91" w:rsidRPr="002029AF" w:rsidRDefault="00087B91" w:rsidP="00860E95">
            <w:pPr>
              <w:pStyle w:val="ARfintablebodybold"/>
            </w:pPr>
          </w:p>
        </w:tc>
        <w:tc>
          <w:tcPr>
            <w:tcW w:w="1417" w:type="dxa"/>
            <w:tcBorders>
              <w:top w:val="single" w:sz="4" w:space="0" w:color="auto"/>
              <w:bottom w:val="single" w:sz="4" w:space="0" w:color="A6A6A6"/>
            </w:tcBorders>
            <w:hideMark/>
          </w:tcPr>
          <w:p w14:paraId="6BA8A76B" w14:textId="77777777" w:rsidR="00087B91" w:rsidRPr="002029AF" w:rsidRDefault="00087B91" w:rsidP="00860E95">
            <w:pPr>
              <w:pStyle w:val="ARfintablebodybold"/>
            </w:pPr>
          </w:p>
        </w:tc>
        <w:tc>
          <w:tcPr>
            <w:tcW w:w="1417" w:type="dxa"/>
            <w:tcBorders>
              <w:top w:val="single" w:sz="4" w:space="0" w:color="auto"/>
              <w:bottom w:val="single" w:sz="4" w:space="0" w:color="A6A6A6"/>
            </w:tcBorders>
            <w:hideMark/>
          </w:tcPr>
          <w:p w14:paraId="402BB20D" w14:textId="77777777" w:rsidR="00087B91" w:rsidRPr="002029AF" w:rsidRDefault="00087B91" w:rsidP="00860E95">
            <w:pPr>
              <w:pStyle w:val="ARfintablebodybold"/>
            </w:pPr>
          </w:p>
        </w:tc>
      </w:tr>
      <w:tr w:rsidR="00087B91" w:rsidRPr="002029AF" w14:paraId="43F09331" w14:textId="77777777" w:rsidTr="00860E95">
        <w:trPr>
          <w:trHeight w:val="255"/>
        </w:trPr>
        <w:tc>
          <w:tcPr>
            <w:tcW w:w="3968" w:type="dxa"/>
            <w:tcBorders>
              <w:top w:val="single" w:sz="4" w:space="0" w:color="A6A6A6"/>
              <w:bottom w:val="single" w:sz="4" w:space="0" w:color="A6A6A6"/>
            </w:tcBorders>
            <w:hideMark/>
          </w:tcPr>
          <w:p w14:paraId="13D6CBBF" w14:textId="309A20D2" w:rsidR="00087B91" w:rsidRPr="002029AF" w:rsidRDefault="00087B91" w:rsidP="00860E95">
            <w:pPr>
              <w:pStyle w:val="ARfintablebody"/>
            </w:pPr>
            <w:r w:rsidRPr="002029AF">
              <w:t>Payables</w:t>
            </w:r>
            <w:r w:rsidR="000A5329" w:rsidRPr="002029AF">
              <w:t xml:space="preserve"> </w:t>
            </w:r>
            <w:r w:rsidRPr="002029AF">
              <w:rPr>
                <w:rStyle w:val="Superscript"/>
              </w:rPr>
              <w:t>(i)</w:t>
            </w:r>
          </w:p>
        </w:tc>
        <w:tc>
          <w:tcPr>
            <w:tcW w:w="1418" w:type="dxa"/>
            <w:tcBorders>
              <w:top w:val="single" w:sz="4" w:space="0" w:color="A6A6A6"/>
              <w:bottom w:val="single" w:sz="4" w:space="0" w:color="A6A6A6"/>
            </w:tcBorders>
            <w:noWrap/>
            <w:hideMark/>
          </w:tcPr>
          <w:p w14:paraId="3253227F" w14:textId="77777777" w:rsidR="00087B91" w:rsidRPr="002029AF" w:rsidRDefault="00087B91" w:rsidP="00860E95">
            <w:pPr>
              <w:pStyle w:val="ARfintablebodyright"/>
            </w:pPr>
            <w:r w:rsidRPr="002029AF">
              <w:t>–</w:t>
            </w:r>
          </w:p>
        </w:tc>
        <w:tc>
          <w:tcPr>
            <w:tcW w:w="1417" w:type="dxa"/>
            <w:tcBorders>
              <w:top w:val="single" w:sz="4" w:space="0" w:color="A6A6A6"/>
              <w:bottom w:val="single" w:sz="4" w:space="0" w:color="A6A6A6"/>
            </w:tcBorders>
            <w:noWrap/>
            <w:hideMark/>
          </w:tcPr>
          <w:p w14:paraId="3A5F403F" w14:textId="77777777" w:rsidR="00087B91" w:rsidRPr="002029AF" w:rsidRDefault="00087B91" w:rsidP="00860E95">
            <w:pPr>
              <w:pStyle w:val="ARfintablebodyright"/>
            </w:pPr>
            <w:r w:rsidRPr="002029AF">
              <w:t>–</w:t>
            </w:r>
          </w:p>
        </w:tc>
        <w:tc>
          <w:tcPr>
            <w:tcW w:w="1417" w:type="dxa"/>
            <w:tcBorders>
              <w:top w:val="single" w:sz="4" w:space="0" w:color="A6A6A6"/>
              <w:bottom w:val="single" w:sz="4" w:space="0" w:color="A6A6A6"/>
            </w:tcBorders>
            <w:noWrap/>
            <w:hideMark/>
          </w:tcPr>
          <w:p w14:paraId="7330901E" w14:textId="77777777" w:rsidR="00087B91" w:rsidRPr="002029AF" w:rsidRDefault="00087B91" w:rsidP="00860E95">
            <w:pPr>
              <w:pStyle w:val="ARfintablebodyright"/>
            </w:pPr>
            <w:r w:rsidRPr="002029AF">
              <w:t>1,513.5</w:t>
            </w:r>
          </w:p>
        </w:tc>
        <w:tc>
          <w:tcPr>
            <w:tcW w:w="1417" w:type="dxa"/>
            <w:tcBorders>
              <w:top w:val="single" w:sz="4" w:space="0" w:color="A6A6A6"/>
              <w:bottom w:val="single" w:sz="4" w:space="0" w:color="A6A6A6"/>
            </w:tcBorders>
            <w:noWrap/>
            <w:hideMark/>
          </w:tcPr>
          <w:p w14:paraId="2915C9EF" w14:textId="77777777" w:rsidR="00087B91" w:rsidRPr="002029AF" w:rsidRDefault="00087B91" w:rsidP="00860E95">
            <w:pPr>
              <w:pStyle w:val="ARfintablebodyright"/>
            </w:pPr>
            <w:r w:rsidRPr="002029AF">
              <w:t>1,513.5</w:t>
            </w:r>
          </w:p>
        </w:tc>
      </w:tr>
      <w:tr w:rsidR="00087B91" w:rsidRPr="002029AF" w14:paraId="68DF655B" w14:textId="77777777" w:rsidTr="00860E95">
        <w:trPr>
          <w:trHeight w:val="255"/>
        </w:trPr>
        <w:tc>
          <w:tcPr>
            <w:tcW w:w="3968" w:type="dxa"/>
            <w:tcBorders>
              <w:top w:val="single" w:sz="4" w:space="0" w:color="A6A6A6"/>
            </w:tcBorders>
            <w:hideMark/>
          </w:tcPr>
          <w:p w14:paraId="7F4B8F92" w14:textId="5C7CE164" w:rsidR="00087B91" w:rsidRPr="002029AF" w:rsidRDefault="00087B91" w:rsidP="00860E95">
            <w:pPr>
              <w:pStyle w:val="ARfintablebody"/>
            </w:pPr>
            <w:r w:rsidRPr="002029AF">
              <w:t>Borrowings</w:t>
            </w:r>
            <w:r w:rsidR="000A5329" w:rsidRPr="002029AF">
              <w:t xml:space="preserve"> </w:t>
            </w:r>
            <w:r w:rsidRPr="002029AF">
              <w:rPr>
                <w:rStyle w:val="Superscript"/>
              </w:rPr>
              <w:t>(i)</w:t>
            </w:r>
          </w:p>
        </w:tc>
        <w:tc>
          <w:tcPr>
            <w:tcW w:w="1418" w:type="dxa"/>
            <w:tcBorders>
              <w:top w:val="single" w:sz="4" w:space="0" w:color="A6A6A6"/>
            </w:tcBorders>
            <w:noWrap/>
            <w:hideMark/>
          </w:tcPr>
          <w:p w14:paraId="10CFCCE7" w14:textId="77777777" w:rsidR="00087B91" w:rsidRPr="002029AF" w:rsidRDefault="00087B91" w:rsidP="00860E95">
            <w:pPr>
              <w:pStyle w:val="ARfintablebodyright"/>
            </w:pPr>
            <w:r w:rsidRPr="002029AF">
              <w:t>–</w:t>
            </w:r>
          </w:p>
        </w:tc>
        <w:tc>
          <w:tcPr>
            <w:tcW w:w="1417" w:type="dxa"/>
            <w:tcBorders>
              <w:top w:val="single" w:sz="4" w:space="0" w:color="A6A6A6"/>
            </w:tcBorders>
            <w:noWrap/>
            <w:hideMark/>
          </w:tcPr>
          <w:p w14:paraId="0EF46CF3" w14:textId="77777777" w:rsidR="00087B91" w:rsidRPr="002029AF" w:rsidRDefault="00087B91" w:rsidP="00860E95">
            <w:pPr>
              <w:pStyle w:val="ARfintablebodyright"/>
            </w:pPr>
            <w:r w:rsidRPr="002029AF">
              <w:t>–</w:t>
            </w:r>
          </w:p>
        </w:tc>
        <w:tc>
          <w:tcPr>
            <w:tcW w:w="1417" w:type="dxa"/>
            <w:tcBorders>
              <w:top w:val="single" w:sz="4" w:space="0" w:color="A6A6A6"/>
            </w:tcBorders>
            <w:noWrap/>
            <w:hideMark/>
          </w:tcPr>
          <w:p w14:paraId="52044E23" w14:textId="77777777" w:rsidR="00087B91" w:rsidRPr="002029AF" w:rsidRDefault="00087B91" w:rsidP="00860E95">
            <w:pPr>
              <w:pStyle w:val="ARfintablebodyright"/>
            </w:pPr>
            <w:r w:rsidRPr="002029AF">
              <w:t>62.2</w:t>
            </w:r>
          </w:p>
        </w:tc>
        <w:tc>
          <w:tcPr>
            <w:tcW w:w="1417" w:type="dxa"/>
            <w:tcBorders>
              <w:top w:val="single" w:sz="4" w:space="0" w:color="A6A6A6"/>
            </w:tcBorders>
            <w:noWrap/>
            <w:hideMark/>
          </w:tcPr>
          <w:p w14:paraId="0A3686D6" w14:textId="77777777" w:rsidR="00087B91" w:rsidRPr="002029AF" w:rsidRDefault="00087B91" w:rsidP="00860E95">
            <w:pPr>
              <w:pStyle w:val="ARfintablebodyright"/>
            </w:pPr>
            <w:r w:rsidRPr="002029AF">
              <w:t>62.2</w:t>
            </w:r>
          </w:p>
        </w:tc>
      </w:tr>
      <w:tr w:rsidR="00087B91" w:rsidRPr="002029AF" w14:paraId="04CE6471" w14:textId="77777777" w:rsidTr="00860E95">
        <w:trPr>
          <w:trHeight w:val="255"/>
        </w:trPr>
        <w:tc>
          <w:tcPr>
            <w:tcW w:w="3968" w:type="dxa"/>
            <w:hideMark/>
          </w:tcPr>
          <w:p w14:paraId="5D4034F0" w14:textId="0EDB07E0" w:rsidR="00087B91" w:rsidRPr="002029AF" w:rsidRDefault="00087B91" w:rsidP="00860E95">
            <w:pPr>
              <w:pStyle w:val="ARfintablebodybold"/>
            </w:pPr>
            <w:r w:rsidRPr="002029AF">
              <w:t>Total</w:t>
            </w:r>
            <w:r w:rsidR="000A5329" w:rsidRPr="002029AF">
              <w:t xml:space="preserve"> </w:t>
            </w:r>
            <w:r w:rsidRPr="002029AF">
              <w:t>contractual</w:t>
            </w:r>
            <w:r w:rsidR="000A5329" w:rsidRPr="002029AF">
              <w:t xml:space="preserve"> </w:t>
            </w:r>
            <w:r w:rsidRPr="002029AF">
              <w:t>financial</w:t>
            </w:r>
            <w:r w:rsidR="000A5329" w:rsidRPr="002029AF">
              <w:t xml:space="preserve"> </w:t>
            </w:r>
            <w:r w:rsidRPr="002029AF">
              <w:t>liabilities</w:t>
            </w:r>
          </w:p>
        </w:tc>
        <w:tc>
          <w:tcPr>
            <w:tcW w:w="1418" w:type="dxa"/>
            <w:noWrap/>
            <w:hideMark/>
          </w:tcPr>
          <w:p w14:paraId="033BD613" w14:textId="77777777" w:rsidR="00087B91" w:rsidRPr="002029AF" w:rsidRDefault="00087B91" w:rsidP="00860E95">
            <w:pPr>
              <w:pStyle w:val="ARfintablebodyrightbold"/>
            </w:pPr>
            <w:r w:rsidRPr="002029AF">
              <w:t>–</w:t>
            </w:r>
          </w:p>
        </w:tc>
        <w:tc>
          <w:tcPr>
            <w:tcW w:w="1417" w:type="dxa"/>
            <w:noWrap/>
            <w:hideMark/>
          </w:tcPr>
          <w:p w14:paraId="2990462F" w14:textId="77777777" w:rsidR="00087B91" w:rsidRPr="002029AF" w:rsidRDefault="00087B91" w:rsidP="00860E95">
            <w:pPr>
              <w:pStyle w:val="ARfintablebodyrightbold"/>
            </w:pPr>
            <w:r w:rsidRPr="002029AF">
              <w:t>–</w:t>
            </w:r>
          </w:p>
        </w:tc>
        <w:tc>
          <w:tcPr>
            <w:tcW w:w="1417" w:type="dxa"/>
            <w:noWrap/>
            <w:hideMark/>
          </w:tcPr>
          <w:p w14:paraId="1EE14428" w14:textId="77777777" w:rsidR="00087B91" w:rsidRPr="002029AF" w:rsidRDefault="00087B91" w:rsidP="00860E95">
            <w:pPr>
              <w:pStyle w:val="ARfintablebodyrightbold"/>
            </w:pPr>
            <w:r w:rsidRPr="002029AF">
              <w:t>1,575.7</w:t>
            </w:r>
          </w:p>
        </w:tc>
        <w:tc>
          <w:tcPr>
            <w:tcW w:w="1417" w:type="dxa"/>
            <w:noWrap/>
            <w:hideMark/>
          </w:tcPr>
          <w:p w14:paraId="43007D29" w14:textId="77777777" w:rsidR="00087B91" w:rsidRPr="002029AF" w:rsidRDefault="00087B91" w:rsidP="00860E95">
            <w:pPr>
              <w:pStyle w:val="ARfintablebodyrightbold"/>
            </w:pPr>
            <w:r w:rsidRPr="002029AF">
              <w:t>1,575.7</w:t>
            </w:r>
          </w:p>
        </w:tc>
      </w:tr>
    </w:tbl>
    <w:p w14:paraId="7CEFEEA8" w14:textId="77777777" w:rsidR="00087B91" w:rsidRPr="002029AF" w:rsidRDefault="00087B91" w:rsidP="00087B91">
      <w:pPr>
        <w:pStyle w:val="ARfintablefootnote"/>
      </w:pPr>
      <w:r w:rsidRPr="002029AF">
        <w:t>Note:</w:t>
      </w:r>
    </w:p>
    <w:p w14:paraId="1BA3984C" w14:textId="44880433" w:rsidR="00087B91" w:rsidRPr="002029AF" w:rsidRDefault="00087B91" w:rsidP="00087B91">
      <w:pPr>
        <w:pStyle w:val="ARfintablefootnoteindent"/>
      </w:pPr>
      <w:r w:rsidRPr="002029AF">
        <w:t>(i)</w:t>
      </w:r>
      <w:r w:rsidRPr="002029AF">
        <w:tab/>
        <w:t>The</w:t>
      </w:r>
      <w:r w:rsidR="000A5329" w:rsidRPr="002029AF">
        <w:t xml:space="preserve"> </w:t>
      </w:r>
      <w:r w:rsidRPr="002029AF">
        <w:t>total</w:t>
      </w:r>
      <w:r w:rsidR="000A5329" w:rsidRPr="002029AF">
        <w:t xml:space="preserve"> </w:t>
      </w:r>
      <w:r w:rsidRPr="002029AF">
        <w:t>amounts</w:t>
      </w:r>
      <w:r w:rsidR="000A5329" w:rsidRPr="002029AF">
        <w:t xml:space="preserve"> </w:t>
      </w:r>
      <w:r w:rsidRPr="002029AF">
        <w:t>disclosed</w:t>
      </w:r>
      <w:r w:rsidR="000A5329" w:rsidRPr="002029AF">
        <w:t xml:space="preserve"> </w:t>
      </w:r>
      <w:r w:rsidRPr="002029AF">
        <w:t>here</w:t>
      </w:r>
      <w:r w:rsidR="000A5329" w:rsidRPr="002029AF">
        <w:t xml:space="preserve"> </w:t>
      </w:r>
      <w:r w:rsidRPr="002029AF">
        <w:t>exclude</w:t>
      </w:r>
      <w:r w:rsidR="000A5329" w:rsidRPr="002029AF">
        <w:t xml:space="preserve"> </w:t>
      </w:r>
      <w:r w:rsidRPr="002029AF">
        <w:t>statutory</w:t>
      </w:r>
      <w:r w:rsidR="000A5329" w:rsidRPr="002029AF">
        <w:t xml:space="preserve"> </w:t>
      </w:r>
      <w:r w:rsidRPr="002029AF">
        <w:t>amounts,</w:t>
      </w:r>
      <w:r w:rsidR="000A5329" w:rsidRPr="002029AF">
        <w:t xml:space="preserve"> </w:t>
      </w:r>
      <w:r w:rsidRPr="002029AF">
        <w:t>for</w:t>
      </w:r>
      <w:r w:rsidR="000A5329" w:rsidRPr="002029AF">
        <w:t xml:space="preserve"> </w:t>
      </w:r>
      <w:r w:rsidRPr="002029AF">
        <w:t>example,</w:t>
      </w:r>
      <w:r w:rsidR="000A5329" w:rsidRPr="002029AF">
        <w:t xml:space="preserve"> </w:t>
      </w:r>
      <w:r w:rsidRPr="002029AF">
        <w:t>amounts</w:t>
      </w:r>
      <w:r w:rsidR="000A5329" w:rsidRPr="002029AF">
        <w:t xml:space="preserve"> </w:t>
      </w:r>
      <w:r w:rsidRPr="002029AF">
        <w:t>owing</w:t>
      </w:r>
      <w:r w:rsidR="000A5329" w:rsidRPr="002029AF">
        <w:t xml:space="preserve"> </w:t>
      </w:r>
      <w:r w:rsidRPr="002029AF">
        <w:t>to/from</w:t>
      </w:r>
      <w:r w:rsidR="000A5329" w:rsidRPr="002029AF">
        <w:t xml:space="preserve"> </w:t>
      </w:r>
      <w:r w:rsidRPr="002029AF">
        <w:t>Victorian</w:t>
      </w:r>
      <w:r w:rsidR="000A5329" w:rsidRPr="002029AF">
        <w:t xml:space="preserve"> </w:t>
      </w:r>
      <w:r w:rsidRPr="002029AF">
        <w:t>Government</w:t>
      </w:r>
      <w:r w:rsidR="000A5329" w:rsidRPr="002029AF">
        <w:t xml:space="preserve"> </w:t>
      </w:r>
      <w:r w:rsidRPr="002029AF">
        <w:t>and</w:t>
      </w:r>
      <w:r w:rsidR="000A5329" w:rsidRPr="002029AF">
        <w:t xml:space="preserve"> </w:t>
      </w:r>
      <w:r w:rsidRPr="002029AF">
        <w:t>GST</w:t>
      </w:r>
      <w:r w:rsidR="000A5329" w:rsidRPr="002029AF">
        <w:t xml:space="preserve"> </w:t>
      </w:r>
      <w:r w:rsidRPr="002029AF">
        <w:t>input</w:t>
      </w:r>
      <w:r w:rsidR="000A5329" w:rsidRPr="002029AF">
        <w:t xml:space="preserve"> </w:t>
      </w:r>
      <w:r w:rsidRPr="002029AF">
        <w:t>tax</w:t>
      </w:r>
      <w:r w:rsidR="000A5329" w:rsidRPr="002029AF">
        <w:t xml:space="preserve"> </w:t>
      </w:r>
      <w:r w:rsidRPr="002029AF">
        <w:t>credit</w:t>
      </w:r>
      <w:r w:rsidR="000A5329" w:rsidRPr="002029AF">
        <w:t xml:space="preserve"> </w:t>
      </w:r>
      <w:r w:rsidRPr="002029AF">
        <w:t>recoverable</w:t>
      </w:r>
      <w:r w:rsidR="000A5329" w:rsidRPr="002029AF">
        <w:t xml:space="preserve"> </w:t>
      </w:r>
      <w:r w:rsidRPr="002029AF">
        <w:t>and</w:t>
      </w:r>
      <w:r w:rsidR="000A5329" w:rsidRPr="002029AF">
        <w:t xml:space="preserve"> </w:t>
      </w:r>
      <w:r w:rsidRPr="002029AF">
        <w:t>taxes</w:t>
      </w:r>
      <w:r w:rsidR="000A5329" w:rsidRPr="002029AF">
        <w:t xml:space="preserve"> </w:t>
      </w:r>
      <w:r w:rsidRPr="002029AF">
        <w:t>payable.</w:t>
      </w:r>
      <w:r w:rsidR="000A5329" w:rsidRPr="002029AF">
        <w:t xml:space="preserve"> </w:t>
      </w:r>
      <w:r w:rsidRPr="002029AF">
        <w:t>Refer</w:t>
      </w:r>
      <w:r w:rsidR="000A5329" w:rsidRPr="002029AF">
        <w:t xml:space="preserve"> </w:t>
      </w:r>
      <w:r w:rsidRPr="002029AF">
        <w:t>to</w:t>
      </w:r>
      <w:r w:rsidR="000A5329" w:rsidRPr="002029AF">
        <w:t xml:space="preserve"> </w:t>
      </w:r>
      <w:r w:rsidRPr="002029AF">
        <w:t>Note</w:t>
      </w:r>
      <w:r w:rsidR="000A5329" w:rsidRPr="002029AF">
        <w:t xml:space="preserve"> </w:t>
      </w:r>
      <w:r w:rsidRPr="002029AF">
        <w:t>6.1</w:t>
      </w:r>
      <w:r w:rsidR="000A5329" w:rsidRPr="002029AF">
        <w:t xml:space="preserve"> </w:t>
      </w:r>
      <w:r w:rsidRPr="002029AF">
        <w:t>for</w:t>
      </w:r>
      <w:r w:rsidR="000A5329" w:rsidRPr="002029AF">
        <w:t xml:space="preserve"> </w:t>
      </w:r>
      <w:r w:rsidRPr="002029AF">
        <w:t>the</w:t>
      </w:r>
      <w:r w:rsidR="000A5329" w:rsidRPr="002029AF">
        <w:t xml:space="preserve"> </w:t>
      </w:r>
      <w:r w:rsidRPr="002029AF">
        <w:t>breakdown</w:t>
      </w:r>
      <w:r w:rsidR="000A5329" w:rsidRPr="002029AF">
        <w:t xml:space="preserve"> </w:t>
      </w:r>
      <w:r w:rsidRPr="002029AF">
        <w:t>of</w:t>
      </w:r>
      <w:r w:rsidR="000A5329" w:rsidRPr="002029AF">
        <w:t xml:space="preserve"> </w:t>
      </w:r>
      <w:r w:rsidRPr="002029AF">
        <w:t>contractual</w:t>
      </w:r>
      <w:r w:rsidR="000A5329" w:rsidRPr="002029AF">
        <w:t xml:space="preserve"> </w:t>
      </w:r>
      <w:r w:rsidRPr="002029AF">
        <w:t>and</w:t>
      </w:r>
      <w:r w:rsidR="000A5329" w:rsidRPr="002029AF">
        <w:t xml:space="preserve"> </w:t>
      </w:r>
      <w:r w:rsidRPr="002029AF">
        <w:t>statutory</w:t>
      </w:r>
      <w:r w:rsidR="000A5329" w:rsidRPr="002029AF">
        <w:t xml:space="preserve"> </w:t>
      </w:r>
      <w:r w:rsidRPr="002029AF">
        <w:t>receivables.</w:t>
      </w:r>
    </w:p>
    <w:p w14:paraId="6E16596C" w14:textId="77777777" w:rsidR="00087B91" w:rsidRPr="002029AF" w:rsidRDefault="00087B91" w:rsidP="00087B91">
      <w:pPr>
        <w:pStyle w:val="ARfinbody"/>
      </w:pPr>
      <w:r w:rsidRPr="002029AF">
        <w:br w:type="page"/>
      </w:r>
    </w:p>
    <w:p w14:paraId="6A717ED1" w14:textId="2DA68061" w:rsidR="00087B91" w:rsidRPr="002029AF" w:rsidRDefault="00087B91" w:rsidP="00087B91">
      <w:pPr>
        <w:pStyle w:val="Heading5"/>
      </w:pPr>
      <w:bookmarkStart w:id="379" w:name="_Ref52458588"/>
      <w:r w:rsidRPr="002029AF">
        <w:lastRenderedPageBreak/>
        <w:t>8.1.2</w:t>
      </w:r>
      <w:r w:rsidR="000A5329" w:rsidRPr="002029AF">
        <w:t xml:space="preserve"> </w:t>
      </w:r>
      <w:r w:rsidRPr="002029AF">
        <w:t>Financial</w:t>
      </w:r>
      <w:r w:rsidR="000A5329" w:rsidRPr="002029AF">
        <w:t xml:space="preserve"> </w:t>
      </w:r>
      <w:r w:rsidRPr="002029AF">
        <w:t>Instruments:</w:t>
      </w:r>
      <w:r w:rsidR="000A5329" w:rsidRPr="002029AF">
        <w:t xml:space="preserve"> </w:t>
      </w:r>
      <w:r w:rsidRPr="002029AF">
        <w:t>net</w:t>
      </w:r>
      <w:r w:rsidR="000A5329" w:rsidRPr="002029AF">
        <w:t xml:space="preserve"> </w:t>
      </w:r>
      <w:r w:rsidRPr="002029AF">
        <w:t>holding</w:t>
      </w:r>
      <w:r w:rsidR="000A5329" w:rsidRPr="002029AF">
        <w:t xml:space="preserve"> </w:t>
      </w:r>
      <w:r w:rsidRPr="002029AF">
        <w:t>gain/(loss)</w:t>
      </w:r>
      <w:r w:rsidR="000A5329" w:rsidRPr="002029AF">
        <w:t xml:space="preserve"> </w:t>
      </w:r>
      <w:r w:rsidRPr="002029AF">
        <w:t>on</w:t>
      </w:r>
      <w:r w:rsidR="000A5329" w:rsidRPr="002029AF">
        <w:t xml:space="preserve"> </w:t>
      </w:r>
      <w:r w:rsidRPr="002029AF">
        <w:t>financial</w:t>
      </w:r>
      <w:r w:rsidR="000A5329" w:rsidRPr="002029AF">
        <w:t xml:space="preserve"> </w:t>
      </w:r>
      <w:r w:rsidRPr="002029AF">
        <w:t>instruments</w:t>
      </w:r>
      <w:r w:rsidR="000A5329" w:rsidRPr="002029AF">
        <w:t xml:space="preserve"> </w:t>
      </w:r>
      <w:r w:rsidRPr="002029AF">
        <w:t>by</w:t>
      </w:r>
      <w:r w:rsidR="000A5329" w:rsidRPr="002029AF">
        <w:t xml:space="preserve"> </w:t>
      </w:r>
      <w:r w:rsidRPr="002029AF">
        <w:t>category</w:t>
      </w:r>
      <w:bookmarkEnd w:id="379"/>
    </w:p>
    <w:tbl>
      <w:tblPr>
        <w:tblStyle w:val="TableGrid"/>
        <w:tblW w:w="9639" w:type="dxa"/>
        <w:tblLayout w:type="fixed"/>
        <w:tblLook w:val="06A0" w:firstRow="1" w:lastRow="0" w:firstColumn="1" w:lastColumn="0" w:noHBand="1" w:noVBand="1"/>
      </w:tblPr>
      <w:tblGrid>
        <w:gridCol w:w="6804"/>
        <w:gridCol w:w="1701"/>
        <w:gridCol w:w="1134"/>
      </w:tblGrid>
      <w:tr w:rsidR="00087B91" w:rsidRPr="002029AF" w14:paraId="4B9FAB99"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6804" w:type="dxa"/>
            <w:hideMark/>
          </w:tcPr>
          <w:p w14:paraId="1F1AF810" w14:textId="77777777" w:rsidR="00087B91" w:rsidRPr="002029AF" w:rsidRDefault="00087B91" w:rsidP="00860E95">
            <w:pPr>
              <w:pStyle w:val="ARfintablecolhead"/>
            </w:pPr>
          </w:p>
        </w:tc>
        <w:tc>
          <w:tcPr>
            <w:tcW w:w="1701" w:type="dxa"/>
            <w:hideMark/>
          </w:tcPr>
          <w:p w14:paraId="68AB3302" w14:textId="0AC96A88" w:rsidR="00087B91" w:rsidRPr="002029AF" w:rsidRDefault="00087B91" w:rsidP="00860E95">
            <w:pPr>
              <w:pStyle w:val="ARfintablecolheadright"/>
            </w:pPr>
            <w:r w:rsidRPr="002029AF">
              <w:t>Total</w:t>
            </w:r>
            <w:r w:rsidR="000A5329" w:rsidRPr="002029AF">
              <w:t xml:space="preserve"> </w:t>
            </w:r>
            <w:r w:rsidRPr="002029AF">
              <w:t>interest</w:t>
            </w:r>
            <w:r w:rsidR="000A5329" w:rsidRPr="002029AF">
              <w:t xml:space="preserve"> </w:t>
            </w:r>
            <w:r w:rsidRPr="002029AF">
              <w:t>income/(expense)</w:t>
            </w:r>
          </w:p>
          <w:p w14:paraId="0AD0D295" w14:textId="77777777" w:rsidR="00087B91" w:rsidRPr="002029AF" w:rsidRDefault="00087B91" w:rsidP="00860E95">
            <w:pPr>
              <w:pStyle w:val="ARfintablecolheadright"/>
            </w:pPr>
            <w:r w:rsidRPr="002029AF">
              <w:t>$M</w:t>
            </w:r>
          </w:p>
        </w:tc>
        <w:tc>
          <w:tcPr>
            <w:tcW w:w="1134" w:type="dxa"/>
            <w:hideMark/>
          </w:tcPr>
          <w:p w14:paraId="082B6577" w14:textId="77777777" w:rsidR="00087B91" w:rsidRPr="002029AF" w:rsidRDefault="00087B91" w:rsidP="00860E95">
            <w:pPr>
              <w:pStyle w:val="ARfintablecolheadright"/>
            </w:pPr>
            <w:r w:rsidRPr="002029AF">
              <w:t>Total</w:t>
            </w:r>
          </w:p>
          <w:p w14:paraId="03E036B7" w14:textId="77777777" w:rsidR="00087B91" w:rsidRPr="002029AF" w:rsidRDefault="00087B91" w:rsidP="00860E95">
            <w:pPr>
              <w:pStyle w:val="ARfintablecolheadright"/>
            </w:pPr>
            <w:r w:rsidRPr="002029AF">
              <w:t>$M</w:t>
            </w:r>
          </w:p>
        </w:tc>
      </w:tr>
      <w:tr w:rsidR="00087B91" w:rsidRPr="002029AF" w14:paraId="1EE63C07" w14:textId="77777777" w:rsidTr="00860E95">
        <w:tc>
          <w:tcPr>
            <w:tcW w:w="9639" w:type="dxa"/>
            <w:gridSpan w:val="3"/>
            <w:tcBorders>
              <w:bottom w:val="single" w:sz="4" w:space="0" w:color="auto"/>
            </w:tcBorders>
            <w:hideMark/>
          </w:tcPr>
          <w:p w14:paraId="4786F15C" w14:textId="77777777" w:rsidR="00087B91" w:rsidRPr="002029AF" w:rsidRDefault="00087B91" w:rsidP="00860E95">
            <w:pPr>
              <w:pStyle w:val="ARfintablebodybold"/>
            </w:pPr>
            <w:r w:rsidRPr="002029AF">
              <w:t>2020</w:t>
            </w:r>
          </w:p>
        </w:tc>
      </w:tr>
      <w:tr w:rsidR="00087B91" w:rsidRPr="002029AF" w14:paraId="7C5DD94F" w14:textId="77777777" w:rsidTr="00860E95">
        <w:tc>
          <w:tcPr>
            <w:tcW w:w="9639" w:type="dxa"/>
            <w:gridSpan w:val="3"/>
            <w:tcBorders>
              <w:top w:val="single" w:sz="4" w:space="0" w:color="auto"/>
              <w:bottom w:val="single" w:sz="4" w:space="0" w:color="A6A6A6"/>
            </w:tcBorders>
            <w:hideMark/>
          </w:tcPr>
          <w:p w14:paraId="019997B6" w14:textId="62D9694B" w:rsidR="00087B91" w:rsidRPr="002029AF" w:rsidRDefault="00087B91" w:rsidP="00860E95">
            <w:pPr>
              <w:pStyle w:val="ARfintablebodybold"/>
            </w:pPr>
            <w:r w:rsidRPr="002029AF">
              <w:t>Contractual</w:t>
            </w:r>
            <w:r w:rsidR="000A5329" w:rsidRPr="002029AF">
              <w:t xml:space="preserve"> </w:t>
            </w:r>
            <w:r w:rsidRPr="002029AF">
              <w:t>financial</w:t>
            </w:r>
            <w:r w:rsidR="000A5329" w:rsidRPr="002029AF">
              <w:t xml:space="preserve"> </w:t>
            </w:r>
            <w:r w:rsidRPr="002029AF">
              <w:t>assets</w:t>
            </w:r>
          </w:p>
        </w:tc>
      </w:tr>
      <w:tr w:rsidR="00087B91" w:rsidRPr="002029AF" w14:paraId="6EAF243D" w14:textId="77777777" w:rsidTr="00860E95">
        <w:tc>
          <w:tcPr>
            <w:tcW w:w="6804" w:type="dxa"/>
            <w:tcBorders>
              <w:top w:val="single" w:sz="4" w:space="0" w:color="A6A6A6"/>
              <w:bottom w:val="single" w:sz="4" w:space="0" w:color="A6A6A6"/>
            </w:tcBorders>
            <w:hideMark/>
          </w:tcPr>
          <w:p w14:paraId="3766B4BF" w14:textId="318B7953" w:rsidR="00087B91" w:rsidRPr="002029AF" w:rsidRDefault="00087B91" w:rsidP="00860E95">
            <w:pPr>
              <w:pStyle w:val="ARfintablebody"/>
            </w:pPr>
            <w:r w:rsidRPr="002029AF">
              <w:t>Cash</w:t>
            </w:r>
            <w:r w:rsidR="000A5329" w:rsidRPr="002029AF">
              <w:t xml:space="preserve"> </w:t>
            </w:r>
            <w:r w:rsidRPr="002029AF">
              <w:t>and</w:t>
            </w:r>
            <w:r w:rsidR="000A5329" w:rsidRPr="002029AF">
              <w:t xml:space="preserve"> </w:t>
            </w:r>
            <w:r w:rsidRPr="002029AF">
              <w:t>deposits</w:t>
            </w:r>
          </w:p>
        </w:tc>
        <w:tc>
          <w:tcPr>
            <w:tcW w:w="1701" w:type="dxa"/>
            <w:tcBorders>
              <w:top w:val="single" w:sz="4" w:space="0" w:color="A6A6A6"/>
              <w:bottom w:val="single" w:sz="4" w:space="0" w:color="A6A6A6"/>
            </w:tcBorders>
            <w:noWrap/>
            <w:hideMark/>
          </w:tcPr>
          <w:p w14:paraId="7A30CAF1"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3CE66B4C" w14:textId="77777777" w:rsidR="00087B91" w:rsidRPr="002029AF" w:rsidRDefault="00087B91" w:rsidP="00860E95">
            <w:pPr>
              <w:pStyle w:val="ARfintablebodyright"/>
            </w:pPr>
            <w:r w:rsidRPr="002029AF">
              <w:t>–</w:t>
            </w:r>
          </w:p>
        </w:tc>
      </w:tr>
      <w:tr w:rsidR="00087B91" w:rsidRPr="002029AF" w14:paraId="0F811FBF" w14:textId="77777777" w:rsidTr="00860E95">
        <w:tc>
          <w:tcPr>
            <w:tcW w:w="6804" w:type="dxa"/>
            <w:tcBorders>
              <w:top w:val="single" w:sz="4" w:space="0" w:color="A6A6A6"/>
              <w:bottom w:val="single" w:sz="4" w:space="0" w:color="A6A6A6"/>
            </w:tcBorders>
            <w:hideMark/>
          </w:tcPr>
          <w:p w14:paraId="500E2C00" w14:textId="56C8C5A8" w:rsidR="00087B91" w:rsidRPr="002029AF" w:rsidRDefault="00087B91" w:rsidP="00860E95">
            <w:pPr>
              <w:pStyle w:val="ARfintablebody"/>
            </w:pPr>
            <w:r w:rsidRPr="002029AF">
              <w:t>Receivables</w:t>
            </w:r>
            <w:r w:rsidR="000A5329" w:rsidRPr="002029AF">
              <w:t xml:space="preserve"> </w:t>
            </w:r>
            <w:r w:rsidRPr="002029AF">
              <w:rPr>
                <w:rStyle w:val="Superscript"/>
              </w:rPr>
              <w:t>(i)</w:t>
            </w:r>
          </w:p>
        </w:tc>
        <w:tc>
          <w:tcPr>
            <w:tcW w:w="1701" w:type="dxa"/>
            <w:tcBorders>
              <w:top w:val="single" w:sz="4" w:space="0" w:color="A6A6A6"/>
              <w:bottom w:val="single" w:sz="4" w:space="0" w:color="A6A6A6"/>
            </w:tcBorders>
            <w:noWrap/>
            <w:hideMark/>
          </w:tcPr>
          <w:p w14:paraId="4ABACEF2"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7BA1F6AC" w14:textId="77777777" w:rsidR="00087B91" w:rsidRPr="002029AF" w:rsidRDefault="00087B91" w:rsidP="00860E95">
            <w:pPr>
              <w:pStyle w:val="ARfintablebodyright"/>
            </w:pPr>
            <w:r w:rsidRPr="002029AF">
              <w:t>–</w:t>
            </w:r>
          </w:p>
        </w:tc>
      </w:tr>
      <w:tr w:rsidR="00087B91" w:rsidRPr="002029AF" w14:paraId="7A5ADC3B" w14:textId="77777777" w:rsidTr="00860E95">
        <w:tc>
          <w:tcPr>
            <w:tcW w:w="6804" w:type="dxa"/>
            <w:tcBorders>
              <w:top w:val="single" w:sz="4" w:space="0" w:color="A6A6A6"/>
              <w:bottom w:val="single" w:sz="4" w:space="0" w:color="A6A6A6"/>
            </w:tcBorders>
            <w:hideMark/>
          </w:tcPr>
          <w:p w14:paraId="67AB8E38" w14:textId="77777777" w:rsidR="00087B91" w:rsidRPr="002029AF" w:rsidRDefault="00087B91" w:rsidP="00860E95">
            <w:pPr>
              <w:pStyle w:val="ARfintablebody"/>
            </w:pPr>
            <w:r w:rsidRPr="002029AF">
              <w:t>Loans</w:t>
            </w:r>
          </w:p>
        </w:tc>
        <w:tc>
          <w:tcPr>
            <w:tcW w:w="1701" w:type="dxa"/>
            <w:tcBorders>
              <w:top w:val="single" w:sz="4" w:space="0" w:color="A6A6A6"/>
              <w:bottom w:val="single" w:sz="4" w:space="0" w:color="A6A6A6"/>
            </w:tcBorders>
            <w:noWrap/>
            <w:hideMark/>
          </w:tcPr>
          <w:p w14:paraId="3B7BDE26" w14:textId="77777777" w:rsidR="00087B91" w:rsidRPr="002029AF" w:rsidRDefault="00087B91" w:rsidP="00860E95">
            <w:pPr>
              <w:pStyle w:val="ARfintablebodyright"/>
            </w:pPr>
            <w:r w:rsidRPr="002029AF">
              <w:t>0.5</w:t>
            </w:r>
          </w:p>
        </w:tc>
        <w:tc>
          <w:tcPr>
            <w:tcW w:w="1134" w:type="dxa"/>
            <w:tcBorders>
              <w:top w:val="single" w:sz="4" w:space="0" w:color="A6A6A6"/>
              <w:bottom w:val="single" w:sz="4" w:space="0" w:color="A6A6A6"/>
            </w:tcBorders>
            <w:noWrap/>
            <w:hideMark/>
          </w:tcPr>
          <w:p w14:paraId="1A062F8C" w14:textId="77777777" w:rsidR="00087B91" w:rsidRPr="002029AF" w:rsidRDefault="00087B91" w:rsidP="00860E95">
            <w:pPr>
              <w:pStyle w:val="ARfintablebodyright"/>
            </w:pPr>
            <w:r w:rsidRPr="002029AF">
              <w:t>0.5</w:t>
            </w:r>
          </w:p>
        </w:tc>
      </w:tr>
      <w:tr w:rsidR="00087B91" w:rsidRPr="002029AF" w14:paraId="27CA2F45" w14:textId="77777777" w:rsidTr="00860E95">
        <w:tc>
          <w:tcPr>
            <w:tcW w:w="6804" w:type="dxa"/>
            <w:tcBorders>
              <w:top w:val="single" w:sz="4" w:space="0" w:color="A6A6A6"/>
            </w:tcBorders>
            <w:hideMark/>
          </w:tcPr>
          <w:p w14:paraId="0ABFC37D" w14:textId="41117FD3" w:rsidR="00087B91" w:rsidRPr="002029AF" w:rsidRDefault="00087B91" w:rsidP="00860E95">
            <w:pPr>
              <w:pStyle w:val="ARfintablebody"/>
            </w:pPr>
            <w:r w:rsidRPr="002029AF">
              <w:t>Short-term</w:t>
            </w:r>
            <w:r w:rsidR="000A5329" w:rsidRPr="002029AF">
              <w:t xml:space="preserve"> </w:t>
            </w:r>
            <w:r w:rsidRPr="002029AF">
              <w:t>investments</w:t>
            </w:r>
            <w:r w:rsidR="000A5329" w:rsidRPr="002029AF">
              <w:t xml:space="preserve"> </w:t>
            </w:r>
            <w:r w:rsidRPr="002029AF">
              <w:t>–</w:t>
            </w:r>
            <w:r w:rsidR="000A5329" w:rsidRPr="002029AF">
              <w:t xml:space="preserve"> </w:t>
            </w:r>
            <w:r w:rsidRPr="002029AF">
              <w:t>term</w:t>
            </w:r>
            <w:r w:rsidR="000A5329" w:rsidRPr="002029AF">
              <w:t xml:space="preserve"> </w:t>
            </w:r>
            <w:r w:rsidRPr="002029AF">
              <w:t>deposits</w:t>
            </w:r>
          </w:p>
        </w:tc>
        <w:tc>
          <w:tcPr>
            <w:tcW w:w="1701" w:type="dxa"/>
            <w:tcBorders>
              <w:top w:val="single" w:sz="4" w:space="0" w:color="A6A6A6"/>
            </w:tcBorders>
            <w:noWrap/>
            <w:hideMark/>
          </w:tcPr>
          <w:p w14:paraId="79BB5638" w14:textId="77777777" w:rsidR="00087B91" w:rsidRPr="002029AF" w:rsidRDefault="00087B91" w:rsidP="00860E95">
            <w:pPr>
              <w:pStyle w:val="ARfintablebodyright"/>
            </w:pPr>
            <w:r w:rsidRPr="002029AF">
              <w:t>6.4</w:t>
            </w:r>
          </w:p>
        </w:tc>
        <w:tc>
          <w:tcPr>
            <w:tcW w:w="1134" w:type="dxa"/>
            <w:tcBorders>
              <w:top w:val="single" w:sz="4" w:space="0" w:color="A6A6A6"/>
            </w:tcBorders>
            <w:noWrap/>
            <w:hideMark/>
          </w:tcPr>
          <w:p w14:paraId="22E78AF2" w14:textId="77777777" w:rsidR="00087B91" w:rsidRPr="002029AF" w:rsidRDefault="00087B91" w:rsidP="00860E95">
            <w:pPr>
              <w:pStyle w:val="ARfintablebodyright"/>
            </w:pPr>
            <w:r w:rsidRPr="002029AF">
              <w:t>6.4</w:t>
            </w:r>
          </w:p>
        </w:tc>
      </w:tr>
      <w:tr w:rsidR="00087B91" w:rsidRPr="002029AF" w14:paraId="3A7FED16" w14:textId="77777777" w:rsidTr="00860E95">
        <w:tc>
          <w:tcPr>
            <w:tcW w:w="6804" w:type="dxa"/>
            <w:tcBorders>
              <w:bottom w:val="single" w:sz="4" w:space="0" w:color="auto"/>
            </w:tcBorders>
            <w:hideMark/>
          </w:tcPr>
          <w:p w14:paraId="12843D3D" w14:textId="56272DBF" w:rsidR="00087B91" w:rsidRPr="002029AF" w:rsidRDefault="00087B91" w:rsidP="00860E95">
            <w:pPr>
              <w:pStyle w:val="ARfintablebodybold"/>
            </w:pPr>
            <w:r w:rsidRPr="002029AF">
              <w:t>Total</w:t>
            </w:r>
            <w:r w:rsidR="000A5329" w:rsidRPr="002029AF">
              <w:t xml:space="preserve"> </w:t>
            </w:r>
            <w:r w:rsidRPr="002029AF">
              <w:t>contractual</w:t>
            </w:r>
            <w:r w:rsidR="000A5329" w:rsidRPr="002029AF">
              <w:t xml:space="preserve"> </w:t>
            </w:r>
            <w:r w:rsidRPr="002029AF">
              <w:t>financial</w:t>
            </w:r>
            <w:r w:rsidR="000A5329" w:rsidRPr="002029AF">
              <w:t xml:space="preserve"> </w:t>
            </w:r>
            <w:r w:rsidRPr="002029AF">
              <w:t>assets</w:t>
            </w:r>
          </w:p>
        </w:tc>
        <w:tc>
          <w:tcPr>
            <w:tcW w:w="1701" w:type="dxa"/>
            <w:tcBorders>
              <w:bottom w:val="single" w:sz="4" w:space="0" w:color="auto"/>
            </w:tcBorders>
            <w:noWrap/>
            <w:hideMark/>
          </w:tcPr>
          <w:p w14:paraId="762E1876" w14:textId="77777777" w:rsidR="00087B91" w:rsidRPr="002029AF" w:rsidRDefault="00087B91" w:rsidP="00860E95">
            <w:pPr>
              <w:pStyle w:val="ARfintablebodyrightbold"/>
            </w:pPr>
            <w:r w:rsidRPr="002029AF">
              <w:t>6.9</w:t>
            </w:r>
          </w:p>
        </w:tc>
        <w:tc>
          <w:tcPr>
            <w:tcW w:w="1134" w:type="dxa"/>
            <w:tcBorders>
              <w:bottom w:val="single" w:sz="4" w:space="0" w:color="auto"/>
            </w:tcBorders>
            <w:noWrap/>
            <w:hideMark/>
          </w:tcPr>
          <w:p w14:paraId="616D55C2" w14:textId="77777777" w:rsidR="00087B91" w:rsidRPr="002029AF" w:rsidRDefault="00087B91" w:rsidP="00860E95">
            <w:pPr>
              <w:pStyle w:val="ARfintablebodyrightbold"/>
            </w:pPr>
            <w:r w:rsidRPr="002029AF">
              <w:t>6.9</w:t>
            </w:r>
          </w:p>
        </w:tc>
      </w:tr>
      <w:tr w:rsidR="00087B91" w:rsidRPr="002029AF" w14:paraId="07CFF01E" w14:textId="77777777" w:rsidTr="00860E95">
        <w:tc>
          <w:tcPr>
            <w:tcW w:w="9639" w:type="dxa"/>
            <w:gridSpan w:val="3"/>
            <w:tcBorders>
              <w:top w:val="single" w:sz="4" w:space="0" w:color="auto"/>
              <w:bottom w:val="single" w:sz="4" w:space="0" w:color="A6A6A6"/>
            </w:tcBorders>
            <w:hideMark/>
          </w:tcPr>
          <w:p w14:paraId="58B73743" w14:textId="042844BA" w:rsidR="00087B91" w:rsidRPr="002029AF" w:rsidRDefault="00087B91" w:rsidP="00860E95">
            <w:pPr>
              <w:pStyle w:val="ARfintablebodybold"/>
            </w:pPr>
            <w:r w:rsidRPr="002029AF">
              <w:t>Contractual</w:t>
            </w:r>
            <w:r w:rsidR="000A5329" w:rsidRPr="002029AF">
              <w:t xml:space="preserve"> </w:t>
            </w:r>
            <w:r w:rsidRPr="002029AF">
              <w:t>financial</w:t>
            </w:r>
            <w:r w:rsidR="000A5329" w:rsidRPr="002029AF">
              <w:t xml:space="preserve"> </w:t>
            </w:r>
            <w:r w:rsidRPr="002029AF">
              <w:t>liabilities</w:t>
            </w:r>
          </w:p>
        </w:tc>
      </w:tr>
      <w:tr w:rsidR="00087B91" w:rsidRPr="002029AF" w14:paraId="4A9326A5" w14:textId="77777777" w:rsidTr="00860E95">
        <w:tc>
          <w:tcPr>
            <w:tcW w:w="6804" w:type="dxa"/>
            <w:tcBorders>
              <w:top w:val="single" w:sz="4" w:space="0" w:color="A6A6A6"/>
              <w:bottom w:val="single" w:sz="4" w:space="0" w:color="A6A6A6"/>
            </w:tcBorders>
            <w:hideMark/>
          </w:tcPr>
          <w:p w14:paraId="4F3B5C28" w14:textId="3A2A151E" w:rsidR="00087B91" w:rsidRPr="002029AF" w:rsidRDefault="00087B91" w:rsidP="00860E95">
            <w:pPr>
              <w:pStyle w:val="ARfintablebody"/>
            </w:pPr>
            <w:r w:rsidRPr="002029AF">
              <w:t>Payables</w:t>
            </w:r>
            <w:r w:rsidR="000A5329" w:rsidRPr="002029AF">
              <w:t xml:space="preserve"> </w:t>
            </w:r>
            <w:r w:rsidRPr="002029AF">
              <w:rPr>
                <w:rStyle w:val="Superscript"/>
              </w:rPr>
              <w:t>(i)</w:t>
            </w:r>
          </w:p>
        </w:tc>
        <w:tc>
          <w:tcPr>
            <w:tcW w:w="1701" w:type="dxa"/>
            <w:tcBorders>
              <w:top w:val="single" w:sz="4" w:space="0" w:color="A6A6A6"/>
              <w:bottom w:val="single" w:sz="4" w:space="0" w:color="A6A6A6"/>
            </w:tcBorders>
            <w:noWrap/>
            <w:hideMark/>
          </w:tcPr>
          <w:p w14:paraId="334B3948"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67E15552" w14:textId="77777777" w:rsidR="00087B91" w:rsidRPr="002029AF" w:rsidRDefault="00087B91" w:rsidP="00860E95">
            <w:pPr>
              <w:pStyle w:val="ARfintablebodyright"/>
            </w:pPr>
            <w:r w:rsidRPr="002029AF">
              <w:t>–</w:t>
            </w:r>
          </w:p>
        </w:tc>
      </w:tr>
      <w:tr w:rsidR="00087B91" w:rsidRPr="002029AF" w14:paraId="6715CEA9" w14:textId="77777777" w:rsidTr="00860E95">
        <w:tc>
          <w:tcPr>
            <w:tcW w:w="6804" w:type="dxa"/>
            <w:tcBorders>
              <w:top w:val="single" w:sz="4" w:space="0" w:color="A6A6A6"/>
            </w:tcBorders>
            <w:hideMark/>
          </w:tcPr>
          <w:p w14:paraId="0A3E6B73" w14:textId="77777777" w:rsidR="00087B91" w:rsidRPr="002029AF" w:rsidRDefault="00087B91" w:rsidP="00860E95">
            <w:pPr>
              <w:pStyle w:val="ARfintablebody"/>
            </w:pPr>
            <w:r w:rsidRPr="002029AF">
              <w:t>Borrowings</w:t>
            </w:r>
          </w:p>
        </w:tc>
        <w:tc>
          <w:tcPr>
            <w:tcW w:w="1701" w:type="dxa"/>
            <w:tcBorders>
              <w:top w:val="single" w:sz="4" w:space="0" w:color="A6A6A6"/>
            </w:tcBorders>
            <w:noWrap/>
            <w:hideMark/>
          </w:tcPr>
          <w:p w14:paraId="17ACD6A6" w14:textId="77777777" w:rsidR="00087B91" w:rsidRPr="002029AF" w:rsidRDefault="00087B91" w:rsidP="00860E95">
            <w:pPr>
              <w:pStyle w:val="ARfintablebodyright"/>
            </w:pPr>
            <w:r w:rsidRPr="002029AF">
              <w:t>(7.0)</w:t>
            </w:r>
          </w:p>
        </w:tc>
        <w:tc>
          <w:tcPr>
            <w:tcW w:w="1134" w:type="dxa"/>
            <w:tcBorders>
              <w:top w:val="single" w:sz="4" w:space="0" w:color="A6A6A6"/>
            </w:tcBorders>
            <w:noWrap/>
            <w:hideMark/>
          </w:tcPr>
          <w:p w14:paraId="5CB356CD" w14:textId="77777777" w:rsidR="00087B91" w:rsidRPr="002029AF" w:rsidRDefault="00087B91" w:rsidP="00860E95">
            <w:pPr>
              <w:pStyle w:val="ARfintablebodyright"/>
            </w:pPr>
            <w:r w:rsidRPr="002029AF">
              <w:t>(7.0)</w:t>
            </w:r>
          </w:p>
        </w:tc>
      </w:tr>
      <w:tr w:rsidR="00087B91" w:rsidRPr="002029AF" w14:paraId="30210DE5" w14:textId="77777777" w:rsidTr="00860E95">
        <w:tc>
          <w:tcPr>
            <w:tcW w:w="6804" w:type="dxa"/>
            <w:hideMark/>
          </w:tcPr>
          <w:p w14:paraId="4AA62194" w14:textId="745E5BF3" w:rsidR="00087B91" w:rsidRPr="002029AF" w:rsidRDefault="00087B91" w:rsidP="00860E95">
            <w:pPr>
              <w:pStyle w:val="ARfintablebodybold"/>
            </w:pPr>
            <w:r w:rsidRPr="002029AF">
              <w:t>Total</w:t>
            </w:r>
            <w:r w:rsidR="000A5329" w:rsidRPr="002029AF">
              <w:t xml:space="preserve"> </w:t>
            </w:r>
            <w:r w:rsidRPr="002029AF">
              <w:t>contractual</w:t>
            </w:r>
            <w:r w:rsidR="000A5329" w:rsidRPr="002029AF">
              <w:t xml:space="preserve"> </w:t>
            </w:r>
            <w:r w:rsidRPr="002029AF">
              <w:t>financial</w:t>
            </w:r>
            <w:r w:rsidR="000A5329" w:rsidRPr="002029AF">
              <w:t xml:space="preserve"> </w:t>
            </w:r>
            <w:r w:rsidRPr="002029AF">
              <w:t>liabilities</w:t>
            </w:r>
          </w:p>
        </w:tc>
        <w:tc>
          <w:tcPr>
            <w:tcW w:w="1701" w:type="dxa"/>
            <w:noWrap/>
            <w:hideMark/>
          </w:tcPr>
          <w:p w14:paraId="62631217" w14:textId="77777777" w:rsidR="00087B91" w:rsidRPr="002029AF" w:rsidRDefault="00087B91" w:rsidP="00860E95">
            <w:pPr>
              <w:pStyle w:val="ARfintablebodyrightbold"/>
            </w:pPr>
            <w:r w:rsidRPr="002029AF">
              <w:t>(7.0)</w:t>
            </w:r>
          </w:p>
        </w:tc>
        <w:tc>
          <w:tcPr>
            <w:tcW w:w="1134" w:type="dxa"/>
            <w:noWrap/>
            <w:hideMark/>
          </w:tcPr>
          <w:p w14:paraId="0DB9E8B5" w14:textId="77777777" w:rsidR="00087B91" w:rsidRPr="002029AF" w:rsidRDefault="00087B91" w:rsidP="00860E95">
            <w:pPr>
              <w:pStyle w:val="ARfintablebodyrightbold"/>
            </w:pPr>
            <w:r w:rsidRPr="002029AF">
              <w:t>(7.0)</w:t>
            </w:r>
          </w:p>
        </w:tc>
      </w:tr>
      <w:tr w:rsidR="00087B91" w:rsidRPr="002029AF" w14:paraId="5BFCDCA9" w14:textId="77777777" w:rsidTr="00860E95">
        <w:tc>
          <w:tcPr>
            <w:tcW w:w="9639" w:type="dxa"/>
            <w:gridSpan w:val="3"/>
            <w:tcBorders>
              <w:bottom w:val="single" w:sz="4" w:space="0" w:color="auto"/>
            </w:tcBorders>
            <w:hideMark/>
          </w:tcPr>
          <w:p w14:paraId="7F1ECF1F" w14:textId="77777777" w:rsidR="00087B91" w:rsidRPr="002029AF" w:rsidRDefault="00087B91" w:rsidP="00860E95">
            <w:pPr>
              <w:pStyle w:val="ARfintablebodybold"/>
            </w:pPr>
            <w:r w:rsidRPr="002029AF">
              <w:t>2019</w:t>
            </w:r>
          </w:p>
        </w:tc>
      </w:tr>
      <w:tr w:rsidR="00087B91" w:rsidRPr="002029AF" w14:paraId="2E5D670E" w14:textId="77777777" w:rsidTr="00860E95">
        <w:tc>
          <w:tcPr>
            <w:tcW w:w="9639" w:type="dxa"/>
            <w:gridSpan w:val="3"/>
            <w:tcBorders>
              <w:top w:val="single" w:sz="4" w:space="0" w:color="auto"/>
              <w:bottom w:val="single" w:sz="4" w:space="0" w:color="A6A6A6"/>
            </w:tcBorders>
            <w:hideMark/>
          </w:tcPr>
          <w:p w14:paraId="0EAA17BD" w14:textId="26E66AAF" w:rsidR="00087B91" w:rsidRPr="002029AF" w:rsidRDefault="00087B91" w:rsidP="00860E95">
            <w:pPr>
              <w:pStyle w:val="ARfintablebodybold"/>
            </w:pPr>
            <w:r w:rsidRPr="002029AF">
              <w:t>Contractual</w:t>
            </w:r>
            <w:r w:rsidR="000A5329" w:rsidRPr="002029AF">
              <w:t xml:space="preserve"> </w:t>
            </w:r>
            <w:r w:rsidRPr="002029AF">
              <w:t>financial</w:t>
            </w:r>
            <w:r w:rsidR="000A5329" w:rsidRPr="002029AF">
              <w:t xml:space="preserve"> </w:t>
            </w:r>
            <w:r w:rsidRPr="002029AF">
              <w:t>assets</w:t>
            </w:r>
          </w:p>
        </w:tc>
      </w:tr>
      <w:tr w:rsidR="00087B91" w:rsidRPr="002029AF" w14:paraId="1628276D" w14:textId="77777777" w:rsidTr="00860E95">
        <w:tc>
          <w:tcPr>
            <w:tcW w:w="6804" w:type="dxa"/>
            <w:tcBorders>
              <w:top w:val="single" w:sz="4" w:space="0" w:color="A6A6A6"/>
              <w:bottom w:val="single" w:sz="4" w:space="0" w:color="A6A6A6"/>
            </w:tcBorders>
            <w:hideMark/>
          </w:tcPr>
          <w:p w14:paraId="5047632B" w14:textId="1FBAA85E" w:rsidR="00087B91" w:rsidRPr="002029AF" w:rsidRDefault="00087B91" w:rsidP="00860E95">
            <w:pPr>
              <w:pStyle w:val="ARfintablebody"/>
            </w:pPr>
            <w:r w:rsidRPr="002029AF">
              <w:t>Cash</w:t>
            </w:r>
            <w:r w:rsidR="000A5329" w:rsidRPr="002029AF">
              <w:t xml:space="preserve"> </w:t>
            </w:r>
            <w:r w:rsidRPr="002029AF">
              <w:t>and</w:t>
            </w:r>
            <w:r w:rsidR="000A5329" w:rsidRPr="002029AF">
              <w:t xml:space="preserve"> </w:t>
            </w:r>
            <w:r w:rsidRPr="002029AF">
              <w:t>deposits</w:t>
            </w:r>
          </w:p>
        </w:tc>
        <w:tc>
          <w:tcPr>
            <w:tcW w:w="1701" w:type="dxa"/>
            <w:tcBorders>
              <w:top w:val="single" w:sz="4" w:space="0" w:color="A6A6A6"/>
              <w:bottom w:val="single" w:sz="4" w:space="0" w:color="A6A6A6"/>
            </w:tcBorders>
            <w:noWrap/>
            <w:hideMark/>
          </w:tcPr>
          <w:p w14:paraId="5DB455B7"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6A49394D" w14:textId="77777777" w:rsidR="00087B91" w:rsidRPr="002029AF" w:rsidRDefault="00087B91" w:rsidP="00860E95">
            <w:pPr>
              <w:pStyle w:val="ARfintablebodyright"/>
            </w:pPr>
            <w:r w:rsidRPr="002029AF">
              <w:t>–</w:t>
            </w:r>
          </w:p>
        </w:tc>
      </w:tr>
      <w:tr w:rsidR="00087B91" w:rsidRPr="002029AF" w14:paraId="67904D76" w14:textId="77777777" w:rsidTr="00860E95">
        <w:tc>
          <w:tcPr>
            <w:tcW w:w="6804" w:type="dxa"/>
            <w:tcBorders>
              <w:top w:val="single" w:sz="4" w:space="0" w:color="A6A6A6"/>
              <w:bottom w:val="single" w:sz="4" w:space="0" w:color="A6A6A6"/>
            </w:tcBorders>
            <w:hideMark/>
          </w:tcPr>
          <w:p w14:paraId="1D7D3C05" w14:textId="026A7DD4" w:rsidR="00087B91" w:rsidRPr="002029AF" w:rsidRDefault="00087B91" w:rsidP="00860E95">
            <w:pPr>
              <w:pStyle w:val="ARfintablebody"/>
            </w:pPr>
            <w:r w:rsidRPr="002029AF">
              <w:t>Receivables</w:t>
            </w:r>
            <w:r w:rsidR="000A5329" w:rsidRPr="002029AF">
              <w:t xml:space="preserve"> </w:t>
            </w:r>
            <w:r w:rsidRPr="002029AF">
              <w:rPr>
                <w:rStyle w:val="Superscript"/>
              </w:rPr>
              <w:t>(i)</w:t>
            </w:r>
          </w:p>
        </w:tc>
        <w:tc>
          <w:tcPr>
            <w:tcW w:w="1701" w:type="dxa"/>
            <w:tcBorders>
              <w:top w:val="single" w:sz="4" w:space="0" w:color="A6A6A6"/>
              <w:bottom w:val="single" w:sz="4" w:space="0" w:color="A6A6A6"/>
            </w:tcBorders>
            <w:noWrap/>
            <w:hideMark/>
          </w:tcPr>
          <w:p w14:paraId="687440DD"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4EE94F34" w14:textId="77777777" w:rsidR="00087B91" w:rsidRPr="002029AF" w:rsidRDefault="00087B91" w:rsidP="00860E95">
            <w:pPr>
              <w:pStyle w:val="ARfintablebodyright"/>
            </w:pPr>
            <w:r w:rsidRPr="002029AF">
              <w:t>–</w:t>
            </w:r>
          </w:p>
        </w:tc>
      </w:tr>
      <w:tr w:rsidR="00087B91" w:rsidRPr="002029AF" w14:paraId="1144E9D1" w14:textId="77777777" w:rsidTr="00860E95">
        <w:tc>
          <w:tcPr>
            <w:tcW w:w="6804" w:type="dxa"/>
            <w:tcBorders>
              <w:top w:val="single" w:sz="4" w:space="0" w:color="A6A6A6"/>
              <w:bottom w:val="single" w:sz="4" w:space="0" w:color="A6A6A6"/>
            </w:tcBorders>
            <w:hideMark/>
          </w:tcPr>
          <w:p w14:paraId="25F8A453" w14:textId="77777777" w:rsidR="00087B91" w:rsidRPr="002029AF" w:rsidRDefault="00087B91" w:rsidP="00860E95">
            <w:pPr>
              <w:pStyle w:val="ARfintablebody"/>
            </w:pPr>
            <w:r w:rsidRPr="002029AF">
              <w:t>Loans</w:t>
            </w:r>
          </w:p>
        </w:tc>
        <w:tc>
          <w:tcPr>
            <w:tcW w:w="1701" w:type="dxa"/>
            <w:tcBorders>
              <w:top w:val="single" w:sz="4" w:space="0" w:color="A6A6A6"/>
              <w:bottom w:val="single" w:sz="4" w:space="0" w:color="A6A6A6"/>
            </w:tcBorders>
            <w:noWrap/>
            <w:hideMark/>
          </w:tcPr>
          <w:p w14:paraId="4EC4D2AD" w14:textId="77777777" w:rsidR="00087B91" w:rsidRPr="002029AF" w:rsidRDefault="00087B91" w:rsidP="00860E95">
            <w:pPr>
              <w:pStyle w:val="ARfintablebodyright"/>
            </w:pPr>
            <w:r w:rsidRPr="002029AF">
              <w:t>0.6</w:t>
            </w:r>
          </w:p>
        </w:tc>
        <w:tc>
          <w:tcPr>
            <w:tcW w:w="1134" w:type="dxa"/>
            <w:tcBorders>
              <w:top w:val="single" w:sz="4" w:space="0" w:color="A6A6A6"/>
              <w:bottom w:val="single" w:sz="4" w:space="0" w:color="A6A6A6"/>
            </w:tcBorders>
            <w:noWrap/>
            <w:hideMark/>
          </w:tcPr>
          <w:p w14:paraId="6FD31E79" w14:textId="77777777" w:rsidR="00087B91" w:rsidRPr="002029AF" w:rsidRDefault="00087B91" w:rsidP="00860E95">
            <w:pPr>
              <w:pStyle w:val="ARfintablebodyright"/>
            </w:pPr>
            <w:r w:rsidRPr="002029AF">
              <w:t>0.6</w:t>
            </w:r>
          </w:p>
        </w:tc>
      </w:tr>
      <w:tr w:rsidR="00087B91" w:rsidRPr="002029AF" w14:paraId="7BBC5F21" w14:textId="77777777" w:rsidTr="00860E95">
        <w:tc>
          <w:tcPr>
            <w:tcW w:w="6804" w:type="dxa"/>
            <w:tcBorders>
              <w:top w:val="single" w:sz="4" w:space="0" w:color="A6A6A6"/>
            </w:tcBorders>
            <w:hideMark/>
          </w:tcPr>
          <w:p w14:paraId="1BCAB319" w14:textId="7A437511" w:rsidR="00087B91" w:rsidRPr="002029AF" w:rsidRDefault="00087B91" w:rsidP="00860E95">
            <w:pPr>
              <w:pStyle w:val="ARfintablebody"/>
            </w:pPr>
            <w:r w:rsidRPr="002029AF">
              <w:t>Short-term</w:t>
            </w:r>
            <w:r w:rsidR="000A5329" w:rsidRPr="002029AF">
              <w:t xml:space="preserve"> </w:t>
            </w:r>
            <w:r w:rsidRPr="002029AF">
              <w:t>investments</w:t>
            </w:r>
            <w:r w:rsidR="000A5329" w:rsidRPr="002029AF">
              <w:t xml:space="preserve"> </w:t>
            </w:r>
            <w:r w:rsidRPr="002029AF">
              <w:t>–</w:t>
            </w:r>
            <w:r w:rsidR="000A5329" w:rsidRPr="002029AF">
              <w:t xml:space="preserve"> </w:t>
            </w:r>
            <w:r w:rsidRPr="002029AF">
              <w:t>term</w:t>
            </w:r>
            <w:r w:rsidR="000A5329" w:rsidRPr="002029AF">
              <w:t xml:space="preserve"> </w:t>
            </w:r>
            <w:r w:rsidRPr="002029AF">
              <w:t>deposits</w:t>
            </w:r>
          </w:p>
        </w:tc>
        <w:tc>
          <w:tcPr>
            <w:tcW w:w="1701" w:type="dxa"/>
            <w:tcBorders>
              <w:top w:val="single" w:sz="4" w:space="0" w:color="A6A6A6"/>
            </w:tcBorders>
            <w:noWrap/>
            <w:hideMark/>
          </w:tcPr>
          <w:p w14:paraId="4A457416" w14:textId="77777777" w:rsidR="00087B91" w:rsidRPr="002029AF" w:rsidRDefault="00087B91" w:rsidP="00860E95">
            <w:pPr>
              <w:pStyle w:val="ARfintablebodyright"/>
            </w:pPr>
            <w:r w:rsidRPr="002029AF">
              <w:t>12.6</w:t>
            </w:r>
          </w:p>
        </w:tc>
        <w:tc>
          <w:tcPr>
            <w:tcW w:w="1134" w:type="dxa"/>
            <w:tcBorders>
              <w:top w:val="single" w:sz="4" w:space="0" w:color="A6A6A6"/>
            </w:tcBorders>
            <w:noWrap/>
            <w:hideMark/>
          </w:tcPr>
          <w:p w14:paraId="65835E0F" w14:textId="77777777" w:rsidR="00087B91" w:rsidRPr="002029AF" w:rsidRDefault="00087B91" w:rsidP="00860E95">
            <w:pPr>
              <w:pStyle w:val="ARfintablebodyright"/>
            </w:pPr>
            <w:r w:rsidRPr="002029AF">
              <w:t>12.6</w:t>
            </w:r>
          </w:p>
        </w:tc>
      </w:tr>
      <w:tr w:rsidR="00087B91" w:rsidRPr="002029AF" w14:paraId="5006B5D3" w14:textId="77777777" w:rsidTr="00860E95">
        <w:tc>
          <w:tcPr>
            <w:tcW w:w="6804" w:type="dxa"/>
            <w:tcBorders>
              <w:bottom w:val="single" w:sz="4" w:space="0" w:color="auto"/>
            </w:tcBorders>
            <w:hideMark/>
          </w:tcPr>
          <w:p w14:paraId="049A7498" w14:textId="29038935" w:rsidR="00087B91" w:rsidRPr="002029AF" w:rsidRDefault="00087B91" w:rsidP="00860E95">
            <w:pPr>
              <w:pStyle w:val="ARfintablebodybold"/>
            </w:pPr>
            <w:r w:rsidRPr="002029AF">
              <w:t>Total</w:t>
            </w:r>
            <w:r w:rsidR="000A5329" w:rsidRPr="002029AF">
              <w:t xml:space="preserve"> </w:t>
            </w:r>
            <w:r w:rsidRPr="002029AF">
              <w:t>contractual</w:t>
            </w:r>
            <w:r w:rsidR="000A5329" w:rsidRPr="002029AF">
              <w:t xml:space="preserve"> </w:t>
            </w:r>
            <w:r w:rsidRPr="002029AF">
              <w:t>financial</w:t>
            </w:r>
            <w:r w:rsidR="000A5329" w:rsidRPr="002029AF">
              <w:t xml:space="preserve"> </w:t>
            </w:r>
            <w:r w:rsidRPr="002029AF">
              <w:t>assets</w:t>
            </w:r>
          </w:p>
        </w:tc>
        <w:tc>
          <w:tcPr>
            <w:tcW w:w="1701" w:type="dxa"/>
            <w:tcBorders>
              <w:bottom w:val="single" w:sz="4" w:space="0" w:color="auto"/>
            </w:tcBorders>
            <w:noWrap/>
            <w:hideMark/>
          </w:tcPr>
          <w:p w14:paraId="3477AB95" w14:textId="77777777" w:rsidR="00087B91" w:rsidRPr="002029AF" w:rsidRDefault="00087B91" w:rsidP="00860E95">
            <w:pPr>
              <w:pStyle w:val="ARfintablebodyrightbold"/>
            </w:pPr>
            <w:r w:rsidRPr="002029AF">
              <w:t>13.2</w:t>
            </w:r>
          </w:p>
        </w:tc>
        <w:tc>
          <w:tcPr>
            <w:tcW w:w="1134" w:type="dxa"/>
            <w:tcBorders>
              <w:bottom w:val="single" w:sz="4" w:space="0" w:color="auto"/>
            </w:tcBorders>
            <w:noWrap/>
            <w:hideMark/>
          </w:tcPr>
          <w:p w14:paraId="6DFE4E17" w14:textId="77777777" w:rsidR="00087B91" w:rsidRPr="002029AF" w:rsidRDefault="00087B91" w:rsidP="00860E95">
            <w:pPr>
              <w:pStyle w:val="ARfintablebodyrightbold"/>
            </w:pPr>
            <w:r w:rsidRPr="002029AF">
              <w:t>13.2</w:t>
            </w:r>
          </w:p>
        </w:tc>
      </w:tr>
      <w:tr w:rsidR="00087B91" w:rsidRPr="002029AF" w14:paraId="6A2A0F5B" w14:textId="77777777" w:rsidTr="00860E95">
        <w:tc>
          <w:tcPr>
            <w:tcW w:w="9639" w:type="dxa"/>
            <w:gridSpan w:val="3"/>
            <w:tcBorders>
              <w:top w:val="single" w:sz="4" w:space="0" w:color="auto"/>
              <w:bottom w:val="single" w:sz="4" w:space="0" w:color="A6A6A6"/>
            </w:tcBorders>
            <w:hideMark/>
          </w:tcPr>
          <w:p w14:paraId="2C7A4807" w14:textId="177703E8" w:rsidR="00087B91" w:rsidRPr="002029AF" w:rsidRDefault="00087B91" w:rsidP="00860E95">
            <w:pPr>
              <w:pStyle w:val="ARfintablebodybold"/>
            </w:pPr>
            <w:r w:rsidRPr="002029AF">
              <w:t>Contractual</w:t>
            </w:r>
            <w:r w:rsidR="000A5329" w:rsidRPr="002029AF">
              <w:t xml:space="preserve"> </w:t>
            </w:r>
            <w:r w:rsidRPr="002029AF">
              <w:t>financial</w:t>
            </w:r>
            <w:r w:rsidR="000A5329" w:rsidRPr="002029AF">
              <w:t xml:space="preserve"> </w:t>
            </w:r>
            <w:r w:rsidRPr="002029AF">
              <w:t>liabilities</w:t>
            </w:r>
          </w:p>
        </w:tc>
      </w:tr>
      <w:tr w:rsidR="00087B91" w:rsidRPr="002029AF" w14:paraId="3BDE6A94" w14:textId="77777777" w:rsidTr="00860E95">
        <w:tc>
          <w:tcPr>
            <w:tcW w:w="6804" w:type="dxa"/>
            <w:tcBorders>
              <w:top w:val="single" w:sz="4" w:space="0" w:color="A6A6A6"/>
              <w:bottom w:val="single" w:sz="4" w:space="0" w:color="A6A6A6"/>
            </w:tcBorders>
            <w:hideMark/>
          </w:tcPr>
          <w:p w14:paraId="6A9BF597" w14:textId="0E139625" w:rsidR="00087B91" w:rsidRPr="002029AF" w:rsidRDefault="00087B91" w:rsidP="00860E95">
            <w:pPr>
              <w:pStyle w:val="ARfintablebody"/>
            </w:pPr>
            <w:r w:rsidRPr="002029AF">
              <w:t>Payables</w:t>
            </w:r>
            <w:r w:rsidR="000A5329" w:rsidRPr="002029AF">
              <w:t xml:space="preserve"> </w:t>
            </w:r>
            <w:r w:rsidRPr="002029AF">
              <w:rPr>
                <w:rStyle w:val="Superscript"/>
              </w:rPr>
              <w:t>(i)</w:t>
            </w:r>
          </w:p>
        </w:tc>
        <w:tc>
          <w:tcPr>
            <w:tcW w:w="1701" w:type="dxa"/>
            <w:tcBorders>
              <w:top w:val="single" w:sz="4" w:space="0" w:color="A6A6A6"/>
              <w:bottom w:val="single" w:sz="4" w:space="0" w:color="A6A6A6"/>
            </w:tcBorders>
            <w:noWrap/>
            <w:hideMark/>
          </w:tcPr>
          <w:p w14:paraId="7C299265"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61E22626" w14:textId="77777777" w:rsidR="00087B91" w:rsidRPr="002029AF" w:rsidRDefault="00087B91" w:rsidP="00860E95">
            <w:pPr>
              <w:pStyle w:val="ARfintablebodyright"/>
            </w:pPr>
            <w:r w:rsidRPr="002029AF">
              <w:t>–</w:t>
            </w:r>
          </w:p>
        </w:tc>
      </w:tr>
      <w:tr w:rsidR="00087B91" w:rsidRPr="002029AF" w14:paraId="500B02F2" w14:textId="77777777" w:rsidTr="00860E95">
        <w:tc>
          <w:tcPr>
            <w:tcW w:w="6804" w:type="dxa"/>
            <w:tcBorders>
              <w:top w:val="single" w:sz="4" w:space="0" w:color="A6A6A6"/>
            </w:tcBorders>
            <w:hideMark/>
          </w:tcPr>
          <w:p w14:paraId="5EAB8362" w14:textId="77777777" w:rsidR="00087B91" w:rsidRPr="002029AF" w:rsidRDefault="00087B91" w:rsidP="00860E95">
            <w:pPr>
              <w:pStyle w:val="ARfintablebody"/>
            </w:pPr>
            <w:r w:rsidRPr="002029AF">
              <w:t>Borrowings</w:t>
            </w:r>
          </w:p>
        </w:tc>
        <w:tc>
          <w:tcPr>
            <w:tcW w:w="1701" w:type="dxa"/>
            <w:tcBorders>
              <w:top w:val="single" w:sz="4" w:space="0" w:color="A6A6A6"/>
            </w:tcBorders>
            <w:noWrap/>
            <w:hideMark/>
          </w:tcPr>
          <w:p w14:paraId="74DC3BB6" w14:textId="77777777" w:rsidR="00087B91" w:rsidRPr="002029AF" w:rsidRDefault="00087B91" w:rsidP="00860E95">
            <w:pPr>
              <w:pStyle w:val="ARfintablebodyright"/>
            </w:pPr>
            <w:r w:rsidRPr="002029AF">
              <w:t>(0.6)</w:t>
            </w:r>
          </w:p>
        </w:tc>
        <w:tc>
          <w:tcPr>
            <w:tcW w:w="1134" w:type="dxa"/>
            <w:tcBorders>
              <w:top w:val="single" w:sz="4" w:space="0" w:color="A6A6A6"/>
            </w:tcBorders>
            <w:noWrap/>
            <w:hideMark/>
          </w:tcPr>
          <w:p w14:paraId="3FEBB1A6" w14:textId="77777777" w:rsidR="00087B91" w:rsidRPr="002029AF" w:rsidRDefault="00087B91" w:rsidP="00860E95">
            <w:pPr>
              <w:pStyle w:val="ARfintablebodyright"/>
            </w:pPr>
            <w:r w:rsidRPr="002029AF">
              <w:t>(0.6)</w:t>
            </w:r>
          </w:p>
        </w:tc>
      </w:tr>
      <w:tr w:rsidR="00087B91" w:rsidRPr="002029AF" w14:paraId="6525EA3D" w14:textId="77777777" w:rsidTr="00860E95">
        <w:tc>
          <w:tcPr>
            <w:tcW w:w="6804" w:type="dxa"/>
            <w:hideMark/>
          </w:tcPr>
          <w:p w14:paraId="517CEF5B" w14:textId="7C1391CE" w:rsidR="00087B91" w:rsidRPr="002029AF" w:rsidRDefault="00087B91" w:rsidP="00860E95">
            <w:pPr>
              <w:pStyle w:val="ARfintablebodybold"/>
            </w:pPr>
            <w:r w:rsidRPr="002029AF">
              <w:t>Total</w:t>
            </w:r>
            <w:r w:rsidR="000A5329" w:rsidRPr="002029AF">
              <w:t xml:space="preserve"> </w:t>
            </w:r>
            <w:r w:rsidRPr="002029AF">
              <w:t>contractual</w:t>
            </w:r>
            <w:r w:rsidR="000A5329" w:rsidRPr="002029AF">
              <w:t xml:space="preserve"> </w:t>
            </w:r>
            <w:r w:rsidRPr="002029AF">
              <w:t>financial</w:t>
            </w:r>
            <w:r w:rsidR="000A5329" w:rsidRPr="002029AF">
              <w:t xml:space="preserve"> </w:t>
            </w:r>
            <w:r w:rsidRPr="002029AF">
              <w:t>liabilities</w:t>
            </w:r>
          </w:p>
        </w:tc>
        <w:tc>
          <w:tcPr>
            <w:tcW w:w="1701" w:type="dxa"/>
            <w:noWrap/>
            <w:hideMark/>
          </w:tcPr>
          <w:p w14:paraId="40F7500C" w14:textId="77777777" w:rsidR="00087B91" w:rsidRPr="002029AF" w:rsidRDefault="00087B91" w:rsidP="00860E95">
            <w:pPr>
              <w:pStyle w:val="ARfintablebodyrightbold"/>
            </w:pPr>
            <w:r w:rsidRPr="002029AF">
              <w:t>(0.6)</w:t>
            </w:r>
          </w:p>
        </w:tc>
        <w:tc>
          <w:tcPr>
            <w:tcW w:w="1134" w:type="dxa"/>
            <w:noWrap/>
            <w:hideMark/>
          </w:tcPr>
          <w:p w14:paraId="6AC6BBF7" w14:textId="77777777" w:rsidR="00087B91" w:rsidRPr="002029AF" w:rsidRDefault="00087B91" w:rsidP="00860E95">
            <w:pPr>
              <w:pStyle w:val="ARfintablebodyrightbold"/>
            </w:pPr>
            <w:r w:rsidRPr="002029AF">
              <w:t>(0.6)</w:t>
            </w:r>
          </w:p>
        </w:tc>
      </w:tr>
    </w:tbl>
    <w:p w14:paraId="7A981B92" w14:textId="77777777" w:rsidR="00087B91" w:rsidRPr="002029AF" w:rsidRDefault="00087B91" w:rsidP="00087B91">
      <w:pPr>
        <w:pStyle w:val="ARfintablefootnote"/>
      </w:pPr>
      <w:r w:rsidRPr="002029AF">
        <w:t>Note:</w:t>
      </w:r>
    </w:p>
    <w:p w14:paraId="3866A215" w14:textId="47531BBB" w:rsidR="00087B91" w:rsidRPr="002029AF" w:rsidRDefault="00087B91" w:rsidP="00087B91">
      <w:pPr>
        <w:pStyle w:val="ARfintablefootnoteindent"/>
      </w:pPr>
      <w:r w:rsidRPr="002029AF">
        <w:t>(i)</w:t>
      </w:r>
      <w:r w:rsidRPr="002029AF">
        <w:tab/>
        <w:t>The</w:t>
      </w:r>
      <w:r w:rsidR="000A5329" w:rsidRPr="002029AF">
        <w:t xml:space="preserve"> </w:t>
      </w:r>
      <w:r w:rsidRPr="002029AF">
        <w:t>total</w:t>
      </w:r>
      <w:r w:rsidR="000A5329" w:rsidRPr="002029AF">
        <w:t xml:space="preserve"> </w:t>
      </w:r>
      <w:r w:rsidRPr="002029AF">
        <w:t>amounts</w:t>
      </w:r>
      <w:r w:rsidR="000A5329" w:rsidRPr="002029AF">
        <w:t xml:space="preserve"> </w:t>
      </w:r>
      <w:r w:rsidRPr="002029AF">
        <w:t>disclosed</w:t>
      </w:r>
      <w:r w:rsidR="000A5329" w:rsidRPr="002029AF">
        <w:t xml:space="preserve"> </w:t>
      </w:r>
      <w:r w:rsidRPr="002029AF">
        <w:t>here</w:t>
      </w:r>
      <w:r w:rsidR="000A5329" w:rsidRPr="002029AF">
        <w:t xml:space="preserve"> </w:t>
      </w:r>
      <w:r w:rsidRPr="002029AF">
        <w:t>exclude</w:t>
      </w:r>
      <w:r w:rsidR="000A5329" w:rsidRPr="002029AF">
        <w:t xml:space="preserve"> </w:t>
      </w:r>
      <w:r w:rsidRPr="002029AF">
        <w:t>statutory</w:t>
      </w:r>
      <w:r w:rsidR="000A5329" w:rsidRPr="002029AF">
        <w:t xml:space="preserve"> </w:t>
      </w:r>
      <w:r w:rsidRPr="002029AF">
        <w:t>amounts,</w:t>
      </w:r>
      <w:r w:rsidR="000A5329" w:rsidRPr="002029AF">
        <w:t xml:space="preserve"> </w:t>
      </w:r>
      <w:r w:rsidRPr="002029AF">
        <w:t>for</w:t>
      </w:r>
      <w:r w:rsidR="000A5329" w:rsidRPr="002029AF">
        <w:t xml:space="preserve"> </w:t>
      </w:r>
      <w:r w:rsidRPr="002029AF">
        <w:t>example,</w:t>
      </w:r>
      <w:r w:rsidR="000A5329" w:rsidRPr="002029AF">
        <w:t xml:space="preserve"> </w:t>
      </w:r>
      <w:r w:rsidRPr="002029AF">
        <w:t>amounts</w:t>
      </w:r>
      <w:r w:rsidR="000A5329" w:rsidRPr="002029AF">
        <w:t xml:space="preserve"> </w:t>
      </w:r>
      <w:r w:rsidRPr="002029AF">
        <w:t>owing</w:t>
      </w:r>
      <w:r w:rsidR="000A5329" w:rsidRPr="002029AF">
        <w:t xml:space="preserve"> </w:t>
      </w:r>
      <w:r w:rsidRPr="002029AF">
        <w:t>to/from</w:t>
      </w:r>
      <w:r w:rsidR="000A5329" w:rsidRPr="002029AF">
        <w:t xml:space="preserve"> </w:t>
      </w:r>
      <w:r w:rsidRPr="002029AF">
        <w:t>Victorian</w:t>
      </w:r>
      <w:r w:rsidR="000A5329" w:rsidRPr="002029AF">
        <w:t xml:space="preserve"> </w:t>
      </w:r>
      <w:r w:rsidRPr="002029AF">
        <w:t>Government</w:t>
      </w:r>
      <w:r w:rsidR="000A5329" w:rsidRPr="002029AF">
        <w:t xml:space="preserve"> </w:t>
      </w:r>
      <w:r w:rsidRPr="002029AF">
        <w:t>and</w:t>
      </w:r>
      <w:r w:rsidR="000A5329" w:rsidRPr="002029AF">
        <w:t xml:space="preserve"> </w:t>
      </w:r>
      <w:r w:rsidRPr="002029AF">
        <w:t>GST</w:t>
      </w:r>
      <w:r w:rsidR="000A5329" w:rsidRPr="002029AF">
        <w:t xml:space="preserve"> </w:t>
      </w:r>
      <w:r w:rsidRPr="002029AF">
        <w:t>input</w:t>
      </w:r>
      <w:r w:rsidR="000A5329" w:rsidRPr="002029AF">
        <w:t xml:space="preserve"> </w:t>
      </w:r>
      <w:r w:rsidRPr="002029AF">
        <w:t>tax</w:t>
      </w:r>
      <w:r w:rsidR="000A5329" w:rsidRPr="002029AF">
        <w:t xml:space="preserve"> </w:t>
      </w:r>
      <w:r w:rsidRPr="002029AF">
        <w:t>credit</w:t>
      </w:r>
      <w:r w:rsidR="000A5329" w:rsidRPr="002029AF">
        <w:t xml:space="preserve"> </w:t>
      </w:r>
      <w:r w:rsidRPr="002029AF">
        <w:t>recoverable</w:t>
      </w:r>
      <w:r w:rsidR="000A5329" w:rsidRPr="002029AF">
        <w:t xml:space="preserve"> </w:t>
      </w:r>
      <w:r w:rsidRPr="002029AF">
        <w:t>and</w:t>
      </w:r>
      <w:r w:rsidR="000A5329" w:rsidRPr="002029AF">
        <w:t xml:space="preserve"> </w:t>
      </w:r>
      <w:r w:rsidRPr="002029AF">
        <w:t>taxes</w:t>
      </w:r>
      <w:r w:rsidR="000A5329" w:rsidRPr="002029AF">
        <w:t xml:space="preserve"> </w:t>
      </w:r>
      <w:r w:rsidRPr="002029AF">
        <w:t>payable.</w:t>
      </w:r>
    </w:p>
    <w:p w14:paraId="5464C4C9" w14:textId="039F2215" w:rsidR="00087B91" w:rsidRPr="002029AF" w:rsidRDefault="00087B91" w:rsidP="00087B91">
      <w:pPr>
        <w:pStyle w:val="ARfinbodyaftertable"/>
      </w:pPr>
      <w:r w:rsidRPr="002029AF">
        <w:t>The</w:t>
      </w:r>
      <w:r w:rsidR="000A5329" w:rsidRPr="002029AF">
        <w:t xml:space="preserve"> </w:t>
      </w:r>
      <w:r w:rsidRPr="002029AF">
        <w:t>net</w:t>
      </w:r>
      <w:r w:rsidR="000A5329" w:rsidRPr="002029AF">
        <w:t xml:space="preserve"> </w:t>
      </w:r>
      <w:r w:rsidRPr="002029AF">
        <w:t>holding</w:t>
      </w:r>
      <w:r w:rsidR="000A5329" w:rsidRPr="002029AF">
        <w:t xml:space="preserve"> </w:t>
      </w:r>
      <w:r w:rsidR="00FF453D" w:rsidRPr="002029AF">
        <w:t>gains,</w:t>
      </w:r>
      <w:r w:rsidR="000A5329" w:rsidRPr="002029AF">
        <w:t xml:space="preserve"> </w:t>
      </w:r>
      <w:r w:rsidRPr="002029AF">
        <w:t>or</w:t>
      </w:r>
      <w:r w:rsidR="000A5329" w:rsidRPr="002029AF">
        <w:t xml:space="preserve"> </w:t>
      </w:r>
      <w:r w:rsidRPr="002029AF">
        <w:t>losses</w:t>
      </w:r>
      <w:r w:rsidR="000A5329" w:rsidRPr="002029AF">
        <w:t xml:space="preserve"> </w:t>
      </w:r>
      <w:r w:rsidRPr="002029AF">
        <w:t>disclosed</w:t>
      </w:r>
      <w:r w:rsidR="000A5329" w:rsidRPr="002029AF">
        <w:t xml:space="preserve"> </w:t>
      </w:r>
      <w:r w:rsidRPr="002029AF">
        <w:t>above</w:t>
      </w:r>
      <w:r w:rsidR="000A5329" w:rsidRPr="002029AF">
        <w:t xml:space="preserve"> </w:t>
      </w:r>
      <w:r w:rsidRPr="002029AF">
        <w:t>are</w:t>
      </w:r>
      <w:r w:rsidR="000A5329" w:rsidRPr="002029AF">
        <w:t xml:space="preserve"> </w:t>
      </w:r>
      <w:r w:rsidRPr="002029AF">
        <w:t>determined</w:t>
      </w:r>
      <w:r w:rsidR="000A5329" w:rsidRPr="002029AF">
        <w:t xml:space="preserve"> </w:t>
      </w:r>
      <w:r w:rsidRPr="002029AF">
        <w:t>as</w:t>
      </w:r>
      <w:r w:rsidR="000A5329" w:rsidRPr="002029AF">
        <w:t xml:space="preserve"> </w:t>
      </w:r>
      <w:r w:rsidRPr="002029AF">
        <w:t>follows:</w:t>
      </w:r>
    </w:p>
    <w:p w14:paraId="38DE45F6" w14:textId="20CB02C1" w:rsidR="00087B91" w:rsidRPr="002029AF" w:rsidRDefault="00087B91" w:rsidP="00087B91">
      <w:pPr>
        <w:pStyle w:val="ARfinbullet1"/>
      </w:pPr>
      <w:r w:rsidRPr="002029AF">
        <w:t>for</w:t>
      </w:r>
      <w:r w:rsidR="000A5329" w:rsidRPr="002029AF">
        <w:t xml:space="preserve"> </w:t>
      </w:r>
      <w:r w:rsidRPr="002029AF">
        <w:t>cash</w:t>
      </w:r>
      <w:r w:rsidR="000A5329" w:rsidRPr="002029AF">
        <w:t xml:space="preserve"> </w:t>
      </w:r>
      <w:r w:rsidRPr="002029AF">
        <w:t>and</w:t>
      </w:r>
      <w:r w:rsidR="000A5329" w:rsidRPr="002029AF">
        <w:t xml:space="preserve"> </w:t>
      </w:r>
      <w:r w:rsidRPr="002029AF">
        <w:t>cash</w:t>
      </w:r>
      <w:r w:rsidR="000A5329" w:rsidRPr="002029AF">
        <w:t xml:space="preserve"> </w:t>
      </w:r>
      <w:r w:rsidRPr="002029AF">
        <w:t>equivalents,</w:t>
      </w:r>
      <w:r w:rsidR="000A5329" w:rsidRPr="002029AF">
        <w:t xml:space="preserve"> </w:t>
      </w:r>
      <w:r w:rsidRPr="002029AF">
        <w:t>loans</w:t>
      </w:r>
      <w:r w:rsidR="000A5329" w:rsidRPr="002029AF">
        <w:t xml:space="preserve"> </w:t>
      </w:r>
      <w:r w:rsidRPr="002029AF">
        <w:t>and</w:t>
      </w:r>
      <w:r w:rsidR="000A5329" w:rsidRPr="002029AF">
        <w:t xml:space="preserve"> </w:t>
      </w:r>
      <w:r w:rsidRPr="002029AF">
        <w:t>receivables,</w:t>
      </w:r>
      <w:r w:rsidR="000A5329" w:rsidRPr="002029AF">
        <w:t xml:space="preserve"> </w:t>
      </w:r>
      <w:r w:rsidRPr="002029AF">
        <w:t>the</w:t>
      </w:r>
      <w:r w:rsidR="000A5329" w:rsidRPr="002029AF">
        <w:t xml:space="preserve"> </w:t>
      </w:r>
      <w:r w:rsidRPr="002029AF">
        <w:t>net</w:t>
      </w:r>
      <w:r w:rsidR="000A5329" w:rsidRPr="002029AF">
        <w:t xml:space="preserve"> </w:t>
      </w:r>
      <w:r w:rsidRPr="002029AF">
        <w:t>gain</w:t>
      </w:r>
      <w:r w:rsidR="000A5329" w:rsidRPr="002029AF">
        <w:t xml:space="preserve"> </w:t>
      </w:r>
      <w:r w:rsidRPr="002029AF">
        <w:t>or</w:t>
      </w:r>
      <w:r w:rsidR="000A5329" w:rsidRPr="002029AF">
        <w:t xml:space="preserve"> </w:t>
      </w:r>
      <w:r w:rsidRPr="002029AF">
        <w:t>loss</w:t>
      </w:r>
      <w:r w:rsidR="000A5329" w:rsidRPr="002029AF">
        <w:t xml:space="preserve"> </w:t>
      </w:r>
      <w:r w:rsidRPr="002029AF">
        <w:t>is</w:t>
      </w:r>
      <w:r w:rsidR="000A5329" w:rsidRPr="002029AF">
        <w:t xml:space="preserve"> </w:t>
      </w:r>
      <w:r w:rsidRPr="002029AF">
        <w:t>calculated</w:t>
      </w:r>
      <w:r w:rsidR="000A5329" w:rsidRPr="002029AF">
        <w:t xml:space="preserve"> </w:t>
      </w:r>
      <w:r w:rsidRPr="002029AF">
        <w:t>by</w:t>
      </w:r>
      <w:r w:rsidR="000A5329" w:rsidRPr="002029AF">
        <w:t xml:space="preserve"> </w:t>
      </w:r>
      <w:r w:rsidRPr="002029AF">
        <w:t>taking</w:t>
      </w:r>
      <w:r w:rsidR="000A5329" w:rsidRPr="002029AF">
        <w:t xml:space="preserve"> </w:t>
      </w:r>
      <w:r w:rsidRPr="002029AF">
        <w:t>the</w:t>
      </w:r>
      <w:r w:rsidR="000A5329" w:rsidRPr="002029AF">
        <w:t xml:space="preserve"> </w:t>
      </w:r>
      <w:r w:rsidRPr="002029AF">
        <w:t>movement</w:t>
      </w:r>
      <w:r w:rsidR="000A5329" w:rsidRPr="002029AF">
        <w:t xml:space="preserve"> </w:t>
      </w:r>
      <w:r w:rsidRPr="002029AF">
        <w:t>in</w:t>
      </w:r>
      <w:r w:rsidR="000A5329" w:rsidRPr="002029AF">
        <w:t xml:space="preserve"> </w:t>
      </w:r>
      <w:r w:rsidRPr="002029AF">
        <w:t>the</w:t>
      </w:r>
      <w:r w:rsidR="000A5329" w:rsidRPr="002029AF">
        <w:t xml:space="preserve"> </w:t>
      </w:r>
      <w:r w:rsidRPr="002029AF">
        <w:t>fair</w:t>
      </w:r>
      <w:r w:rsidR="000A5329" w:rsidRPr="002029AF">
        <w:t xml:space="preserve"> </w:t>
      </w:r>
      <w:r w:rsidRPr="002029AF">
        <w:t>value</w:t>
      </w:r>
      <w:r w:rsidR="000A5329" w:rsidRPr="002029AF">
        <w:t xml:space="preserve"> </w:t>
      </w:r>
      <w:r w:rsidRPr="002029AF">
        <w:t>of</w:t>
      </w:r>
      <w:r w:rsidR="000A5329" w:rsidRPr="002029AF">
        <w:t xml:space="preserve"> </w:t>
      </w:r>
      <w:r w:rsidRPr="002029AF">
        <w:t>the</w:t>
      </w:r>
      <w:r w:rsidR="000A5329" w:rsidRPr="002029AF">
        <w:t xml:space="preserve"> </w:t>
      </w:r>
      <w:r w:rsidRPr="002029AF">
        <w:t>asset,</w:t>
      </w:r>
      <w:r w:rsidR="000A5329" w:rsidRPr="002029AF">
        <w:t xml:space="preserve"> </w:t>
      </w:r>
      <w:r w:rsidRPr="002029AF">
        <w:t>the</w:t>
      </w:r>
      <w:r w:rsidR="000A5329" w:rsidRPr="002029AF">
        <w:t xml:space="preserve"> </w:t>
      </w:r>
      <w:r w:rsidRPr="002029AF">
        <w:t>interest</w:t>
      </w:r>
      <w:r w:rsidR="000A5329" w:rsidRPr="002029AF">
        <w:t xml:space="preserve"> </w:t>
      </w:r>
      <w:r w:rsidRPr="002029AF">
        <w:t>income,</w:t>
      </w:r>
      <w:r w:rsidR="000A5329" w:rsidRPr="002029AF">
        <w:t xml:space="preserve"> </w:t>
      </w:r>
      <w:r w:rsidRPr="002029AF">
        <w:t>and</w:t>
      </w:r>
      <w:r w:rsidR="000A5329" w:rsidRPr="002029AF">
        <w:t xml:space="preserve"> </w:t>
      </w:r>
      <w:r w:rsidRPr="002029AF">
        <w:t>minus</w:t>
      </w:r>
      <w:r w:rsidR="000A5329" w:rsidRPr="002029AF">
        <w:t xml:space="preserve"> </w:t>
      </w:r>
      <w:r w:rsidRPr="002029AF">
        <w:t>any</w:t>
      </w:r>
      <w:r w:rsidR="000A5329" w:rsidRPr="002029AF">
        <w:t xml:space="preserve"> </w:t>
      </w:r>
      <w:r w:rsidRPr="002029AF">
        <w:t>impairment</w:t>
      </w:r>
      <w:r w:rsidR="000A5329" w:rsidRPr="002029AF">
        <w:t xml:space="preserve"> </w:t>
      </w:r>
      <w:r w:rsidRPr="002029AF">
        <w:t>recognised</w:t>
      </w:r>
      <w:r w:rsidR="000A5329" w:rsidRPr="002029AF">
        <w:t xml:space="preserve"> </w:t>
      </w:r>
      <w:r w:rsidRPr="002029AF">
        <w:t>in</w:t>
      </w:r>
      <w:r w:rsidR="000A5329" w:rsidRPr="002029AF">
        <w:t xml:space="preserve"> </w:t>
      </w:r>
      <w:r w:rsidRPr="002029AF">
        <w:t>the</w:t>
      </w:r>
      <w:r w:rsidR="000A5329" w:rsidRPr="002029AF">
        <w:t xml:space="preserve"> </w:t>
      </w:r>
      <w:r w:rsidRPr="002029AF">
        <w:t>net</w:t>
      </w:r>
      <w:r w:rsidR="000A5329" w:rsidRPr="002029AF">
        <w:t xml:space="preserve"> </w:t>
      </w:r>
      <w:r w:rsidRPr="002029AF">
        <w:t>result;</w:t>
      </w:r>
    </w:p>
    <w:p w14:paraId="422EBA45" w14:textId="60B65B76" w:rsidR="00087B91" w:rsidRPr="002029AF" w:rsidRDefault="00087B91" w:rsidP="00087B91">
      <w:pPr>
        <w:pStyle w:val="ARfinbullet1"/>
      </w:pPr>
      <w:r w:rsidRPr="002029AF">
        <w:t>for</w:t>
      </w:r>
      <w:r w:rsidR="000A5329" w:rsidRPr="002029AF">
        <w:t xml:space="preserve"> </w:t>
      </w:r>
      <w:r w:rsidRPr="002029AF">
        <w:t>financial</w:t>
      </w:r>
      <w:r w:rsidR="000A5329" w:rsidRPr="002029AF">
        <w:t xml:space="preserve"> </w:t>
      </w:r>
      <w:r w:rsidRPr="002029AF">
        <w:t>liabilities</w:t>
      </w:r>
      <w:r w:rsidR="000A5329" w:rsidRPr="002029AF">
        <w:t xml:space="preserve"> </w:t>
      </w:r>
      <w:r w:rsidRPr="002029AF">
        <w:t>measured</w:t>
      </w:r>
      <w:r w:rsidR="000A5329" w:rsidRPr="002029AF">
        <w:t xml:space="preserve"> </w:t>
      </w:r>
      <w:r w:rsidRPr="002029AF">
        <w:t>at</w:t>
      </w:r>
      <w:r w:rsidR="000A5329" w:rsidRPr="002029AF">
        <w:t xml:space="preserve"> </w:t>
      </w:r>
      <w:r w:rsidRPr="002029AF">
        <w:t>amortised</w:t>
      </w:r>
      <w:r w:rsidR="000A5329" w:rsidRPr="002029AF">
        <w:t xml:space="preserve"> </w:t>
      </w:r>
      <w:r w:rsidRPr="002029AF">
        <w:t>cost,</w:t>
      </w:r>
      <w:r w:rsidR="000A5329" w:rsidRPr="002029AF">
        <w:t xml:space="preserve"> </w:t>
      </w:r>
      <w:r w:rsidRPr="002029AF">
        <w:t>the</w:t>
      </w:r>
      <w:r w:rsidR="000A5329" w:rsidRPr="002029AF">
        <w:t xml:space="preserve"> </w:t>
      </w:r>
      <w:r w:rsidRPr="002029AF">
        <w:t>net</w:t>
      </w:r>
      <w:r w:rsidR="000A5329" w:rsidRPr="002029AF">
        <w:t xml:space="preserve"> </w:t>
      </w:r>
      <w:r w:rsidRPr="002029AF">
        <w:t>gain</w:t>
      </w:r>
      <w:r w:rsidR="000A5329" w:rsidRPr="002029AF">
        <w:t xml:space="preserve"> </w:t>
      </w:r>
      <w:r w:rsidRPr="002029AF">
        <w:t>or</w:t>
      </w:r>
      <w:r w:rsidR="000A5329" w:rsidRPr="002029AF">
        <w:t xml:space="preserve"> </w:t>
      </w:r>
      <w:r w:rsidRPr="002029AF">
        <w:t>loss</w:t>
      </w:r>
      <w:r w:rsidR="000A5329" w:rsidRPr="002029AF">
        <w:t xml:space="preserve"> </w:t>
      </w:r>
      <w:r w:rsidRPr="002029AF">
        <w:t>is</w:t>
      </w:r>
      <w:r w:rsidR="000A5329" w:rsidRPr="002029AF">
        <w:t xml:space="preserve"> </w:t>
      </w:r>
      <w:r w:rsidRPr="002029AF">
        <w:t>the</w:t>
      </w:r>
      <w:r w:rsidR="000A5329" w:rsidRPr="002029AF">
        <w:t xml:space="preserve"> </w:t>
      </w:r>
      <w:r w:rsidRPr="002029AF">
        <w:t>interest</w:t>
      </w:r>
      <w:r w:rsidR="000A5329" w:rsidRPr="002029AF">
        <w:t xml:space="preserve"> </w:t>
      </w:r>
      <w:r w:rsidRPr="002029AF">
        <w:t>expense.</w:t>
      </w:r>
    </w:p>
    <w:p w14:paraId="15ACC2FC" w14:textId="069CF6AE" w:rsidR="00087B91" w:rsidRPr="002029AF" w:rsidRDefault="00087B91" w:rsidP="00087B91">
      <w:pPr>
        <w:pStyle w:val="Heading5"/>
      </w:pPr>
      <w:r w:rsidRPr="002029AF">
        <w:t>8.1.3</w:t>
      </w:r>
      <w:r w:rsidR="000A5329" w:rsidRPr="002029AF">
        <w:t xml:space="preserve"> </w:t>
      </w:r>
      <w:r w:rsidRPr="002029AF">
        <w:t>Financial</w:t>
      </w:r>
      <w:r w:rsidR="000A5329" w:rsidRPr="002029AF">
        <w:t xml:space="preserve"> </w:t>
      </w:r>
      <w:r w:rsidRPr="002029AF">
        <w:t>risk</w:t>
      </w:r>
      <w:r w:rsidR="000A5329" w:rsidRPr="002029AF">
        <w:t xml:space="preserve"> </w:t>
      </w:r>
      <w:r w:rsidRPr="002029AF">
        <w:t>management</w:t>
      </w:r>
      <w:r w:rsidR="000A5329" w:rsidRPr="002029AF">
        <w:t xml:space="preserve"> </w:t>
      </w:r>
      <w:r w:rsidRPr="002029AF">
        <w:t>objectives</w:t>
      </w:r>
      <w:r w:rsidR="000A5329" w:rsidRPr="002029AF">
        <w:t xml:space="preserve"> </w:t>
      </w:r>
      <w:r w:rsidRPr="002029AF">
        <w:t>and</w:t>
      </w:r>
      <w:r w:rsidR="000A5329" w:rsidRPr="002029AF">
        <w:t xml:space="preserve"> </w:t>
      </w:r>
      <w:r w:rsidRPr="002029AF">
        <w:t>policies</w:t>
      </w:r>
    </w:p>
    <w:p w14:paraId="1FC0EFD3" w14:textId="77777777" w:rsidR="00087B91" w:rsidRPr="002029AF" w:rsidRDefault="00087B91" w:rsidP="00087B91">
      <w:pPr>
        <w:pStyle w:val="ARfinbodyaftertable"/>
        <w:spacing w:after="240"/>
      </w:pPr>
      <w:r>
        <w:rPr>
          <w:noProof/>
          <w:lang w:bidi="as-IN"/>
        </w:rPr>
        <w:drawing>
          <wp:inline distT="0" distB="0" distL="0" distR="0" wp14:anchorId="66FAC5F1" wp14:editId="1605702D">
            <wp:extent cx="3676871" cy="1302733"/>
            <wp:effectExtent l="0" t="0" r="0" b="0"/>
            <wp:docPr id="90" name="Picture 90" descr="Financial risks comprise credit risk, liquidity risk and market risk. Market risk includes interest rate 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pic:nvPicPr>
                  <pic:blipFill>
                    <a:blip r:embed="rId212" cstate="print">
                      <a:extLst>
                        <a:ext uri="{28A0092B-C50C-407E-A947-70E740481C1C}">
                          <a14:useLocalDpi xmlns:a14="http://schemas.microsoft.com/office/drawing/2010/main" val="0"/>
                        </a:ext>
                      </a:extLst>
                    </a:blip>
                    <a:stretch>
                      <a:fillRect/>
                    </a:stretch>
                  </pic:blipFill>
                  <pic:spPr>
                    <a:xfrm>
                      <a:off x="0" y="0"/>
                      <a:ext cx="3676871" cy="1302733"/>
                    </a:xfrm>
                    <a:prstGeom prst="rect">
                      <a:avLst/>
                    </a:prstGeom>
                  </pic:spPr>
                </pic:pic>
              </a:graphicData>
            </a:graphic>
          </wp:inline>
        </w:drawing>
      </w:r>
    </w:p>
    <w:p w14:paraId="47BD46EC" w14:textId="6280C70D" w:rsidR="00087B91" w:rsidRPr="002029AF" w:rsidRDefault="00087B91" w:rsidP="00087B91">
      <w:pPr>
        <w:pStyle w:val="ARfinbody"/>
      </w:pPr>
      <w:r w:rsidRPr="002029AF">
        <w:t>As</w:t>
      </w:r>
      <w:r w:rsidR="000A5329" w:rsidRPr="002029AF">
        <w:t xml:space="preserve"> </w:t>
      </w:r>
      <w:r w:rsidRPr="002029AF">
        <w:t>a</w:t>
      </w:r>
      <w:r w:rsidR="000A5329" w:rsidRPr="002029AF">
        <w:t xml:space="preserve"> </w:t>
      </w:r>
      <w:r w:rsidRPr="002029AF">
        <w:t>whole,</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financial</w:t>
      </w:r>
      <w:r w:rsidR="000A5329" w:rsidRPr="002029AF">
        <w:t xml:space="preserve"> </w:t>
      </w:r>
      <w:r w:rsidRPr="002029AF">
        <w:t>risk</w:t>
      </w:r>
      <w:r w:rsidR="000A5329" w:rsidRPr="002029AF">
        <w:t xml:space="preserve"> </w:t>
      </w:r>
      <w:r w:rsidRPr="002029AF">
        <w:t>management</w:t>
      </w:r>
      <w:r w:rsidR="000A5329" w:rsidRPr="002029AF">
        <w:t xml:space="preserve"> </w:t>
      </w:r>
      <w:r w:rsidRPr="002029AF">
        <w:t>program</w:t>
      </w:r>
      <w:r w:rsidR="000A5329" w:rsidRPr="002029AF">
        <w:t xml:space="preserve"> </w:t>
      </w:r>
      <w:r w:rsidRPr="002029AF">
        <w:t>seeks</w:t>
      </w:r>
      <w:r w:rsidR="000A5329" w:rsidRPr="002029AF">
        <w:t xml:space="preserve"> </w:t>
      </w:r>
      <w:r w:rsidRPr="002029AF">
        <w:t>to</w:t>
      </w:r>
      <w:r w:rsidR="000A5329" w:rsidRPr="002029AF">
        <w:t xml:space="preserve"> </w:t>
      </w:r>
      <w:r w:rsidRPr="002029AF">
        <w:t>manage</w:t>
      </w:r>
      <w:r w:rsidR="000A5329" w:rsidRPr="002029AF">
        <w:t xml:space="preserve"> </w:t>
      </w:r>
      <w:r w:rsidRPr="002029AF">
        <w:t>these</w:t>
      </w:r>
      <w:r w:rsidR="000A5329" w:rsidRPr="002029AF">
        <w:t xml:space="preserve"> </w:t>
      </w:r>
      <w:r w:rsidRPr="002029AF">
        <w:t>risks</w:t>
      </w:r>
      <w:r w:rsidR="000A5329" w:rsidRPr="002029AF">
        <w:t xml:space="preserve"> </w:t>
      </w:r>
      <w:r w:rsidRPr="002029AF">
        <w:t>and</w:t>
      </w:r>
      <w:r w:rsidR="000A5329" w:rsidRPr="002029AF">
        <w:t xml:space="preserve"> </w:t>
      </w:r>
      <w:r w:rsidRPr="002029AF">
        <w:t>the</w:t>
      </w:r>
      <w:r w:rsidR="000A5329" w:rsidRPr="002029AF">
        <w:t xml:space="preserve"> </w:t>
      </w:r>
      <w:r w:rsidRPr="002029AF">
        <w:t>associated</w:t>
      </w:r>
      <w:r w:rsidR="000A5329" w:rsidRPr="002029AF">
        <w:t xml:space="preserve"> </w:t>
      </w:r>
      <w:r w:rsidRPr="002029AF">
        <w:t>volatility</w:t>
      </w:r>
      <w:r w:rsidR="000A5329" w:rsidRPr="002029AF">
        <w:t xml:space="preserve"> </w:t>
      </w:r>
      <w:r w:rsidRPr="002029AF">
        <w:t>of</w:t>
      </w:r>
      <w:r w:rsidR="000A5329" w:rsidRPr="002029AF">
        <w:t xml:space="preserve"> </w:t>
      </w:r>
      <w:r w:rsidRPr="002029AF">
        <w:t>its</w:t>
      </w:r>
      <w:r w:rsidR="000A5329" w:rsidRPr="002029AF">
        <w:t xml:space="preserve"> </w:t>
      </w:r>
      <w:r w:rsidRPr="002029AF">
        <w:t>financial</w:t>
      </w:r>
      <w:r w:rsidR="000A5329" w:rsidRPr="002029AF">
        <w:t xml:space="preserve"> </w:t>
      </w:r>
      <w:r w:rsidRPr="002029AF">
        <w:t>performance.</w:t>
      </w:r>
    </w:p>
    <w:p w14:paraId="43569A56" w14:textId="6684A62D" w:rsidR="00087B91" w:rsidRPr="002029AF" w:rsidRDefault="00087B91" w:rsidP="00087B91">
      <w:pPr>
        <w:pStyle w:val="ARfinbody"/>
      </w:pPr>
      <w:r w:rsidRPr="002029AF">
        <w:t>Details</w:t>
      </w:r>
      <w:r w:rsidR="000A5329" w:rsidRPr="002029AF">
        <w:t xml:space="preserve"> </w:t>
      </w:r>
      <w:r w:rsidRPr="002029AF">
        <w:t>of</w:t>
      </w:r>
      <w:r w:rsidR="000A5329" w:rsidRPr="002029AF">
        <w:t xml:space="preserve"> </w:t>
      </w:r>
      <w:r w:rsidRPr="002029AF">
        <w:t>the</w:t>
      </w:r>
      <w:r w:rsidR="000A5329" w:rsidRPr="002029AF">
        <w:t xml:space="preserve"> </w:t>
      </w:r>
      <w:r w:rsidRPr="002029AF">
        <w:t>significant</w:t>
      </w:r>
      <w:r w:rsidR="000A5329" w:rsidRPr="002029AF">
        <w:t xml:space="preserve"> </w:t>
      </w:r>
      <w:r w:rsidRPr="002029AF">
        <w:t>accounting</w:t>
      </w:r>
      <w:r w:rsidR="000A5329" w:rsidRPr="002029AF">
        <w:t xml:space="preserve"> </w:t>
      </w:r>
      <w:r w:rsidRPr="002029AF">
        <w:t>policies</w:t>
      </w:r>
      <w:r w:rsidR="000A5329" w:rsidRPr="002029AF">
        <w:t xml:space="preserve"> </w:t>
      </w:r>
      <w:r w:rsidRPr="002029AF">
        <w:t>and</w:t>
      </w:r>
      <w:r w:rsidR="000A5329" w:rsidRPr="002029AF">
        <w:t xml:space="preserve"> </w:t>
      </w:r>
      <w:r w:rsidRPr="002029AF">
        <w:t>methods</w:t>
      </w:r>
      <w:r w:rsidR="000A5329" w:rsidRPr="002029AF">
        <w:t xml:space="preserve"> </w:t>
      </w:r>
      <w:r w:rsidRPr="002029AF">
        <w:t>adopted,</w:t>
      </w:r>
      <w:r w:rsidR="000A5329" w:rsidRPr="002029AF">
        <w:t xml:space="preserve"> </w:t>
      </w:r>
      <w:r w:rsidRPr="002029AF">
        <w:t>including</w:t>
      </w:r>
      <w:r w:rsidR="000A5329" w:rsidRPr="002029AF">
        <w:t xml:space="preserve"> </w:t>
      </w:r>
      <w:r w:rsidRPr="002029AF">
        <w:t>the</w:t>
      </w:r>
      <w:r w:rsidR="000A5329" w:rsidRPr="002029AF">
        <w:t xml:space="preserve"> </w:t>
      </w:r>
      <w:r w:rsidRPr="002029AF">
        <w:t>criteria</w:t>
      </w:r>
      <w:r w:rsidR="000A5329" w:rsidRPr="002029AF">
        <w:t xml:space="preserve"> </w:t>
      </w:r>
      <w:r w:rsidRPr="002029AF">
        <w:t>for</w:t>
      </w:r>
      <w:r w:rsidR="000A5329" w:rsidRPr="002029AF">
        <w:t xml:space="preserve"> </w:t>
      </w:r>
      <w:r w:rsidRPr="002029AF">
        <w:t>recognition,</w:t>
      </w:r>
      <w:r w:rsidR="000A5329" w:rsidRPr="002029AF">
        <w:t xml:space="preserve"> </w:t>
      </w:r>
      <w:r w:rsidRPr="002029AF">
        <w:t>the</w:t>
      </w:r>
      <w:r w:rsidR="000A5329" w:rsidRPr="002029AF">
        <w:t xml:space="preserve"> </w:t>
      </w:r>
      <w:r w:rsidRPr="002029AF">
        <w:t>basis</w:t>
      </w:r>
      <w:r w:rsidR="000A5329" w:rsidRPr="002029AF">
        <w:t xml:space="preserve"> </w:t>
      </w:r>
      <w:r w:rsidRPr="002029AF">
        <w:t>of</w:t>
      </w:r>
      <w:r w:rsidR="000A5329" w:rsidRPr="002029AF">
        <w:t xml:space="preserve"> </w:t>
      </w:r>
      <w:r w:rsidRPr="002029AF">
        <w:t>measurement</w:t>
      </w:r>
      <w:r w:rsidR="000A5329" w:rsidRPr="002029AF">
        <w:t xml:space="preserve"> </w:t>
      </w:r>
      <w:r w:rsidRPr="002029AF">
        <w:t>and</w:t>
      </w:r>
      <w:r w:rsidR="000A5329" w:rsidRPr="002029AF">
        <w:t xml:space="preserve"> </w:t>
      </w:r>
      <w:r w:rsidRPr="002029AF">
        <w:t>the</w:t>
      </w:r>
      <w:r w:rsidR="000A5329" w:rsidRPr="002029AF">
        <w:t xml:space="preserve"> </w:t>
      </w:r>
      <w:r w:rsidRPr="002029AF">
        <w:t>basis</w:t>
      </w:r>
      <w:r w:rsidR="000A5329" w:rsidRPr="002029AF">
        <w:t xml:space="preserve"> </w:t>
      </w:r>
      <w:r w:rsidRPr="002029AF">
        <w:t>on</w:t>
      </w:r>
      <w:r w:rsidR="000A5329" w:rsidRPr="002029AF">
        <w:t xml:space="preserve"> </w:t>
      </w:r>
      <w:r w:rsidRPr="002029AF">
        <w:t>which</w:t>
      </w:r>
      <w:r w:rsidR="000A5329" w:rsidRPr="002029AF">
        <w:t xml:space="preserve"> </w:t>
      </w:r>
      <w:r w:rsidRPr="002029AF">
        <w:t>income</w:t>
      </w:r>
      <w:r w:rsidR="000A5329" w:rsidRPr="002029AF">
        <w:t xml:space="preserve"> </w:t>
      </w:r>
      <w:r w:rsidRPr="002029AF">
        <w:t>and</w:t>
      </w:r>
      <w:r w:rsidR="000A5329" w:rsidRPr="002029AF">
        <w:t xml:space="preserve"> </w:t>
      </w:r>
      <w:r w:rsidRPr="002029AF">
        <w:t>expenses</w:t>
      </w:r>
      <w:r w:rsidR="000A5329" w:rsidRPr="002029AF">
        <w:t xml:space="preserve"> </w:t>
      </w:r>
      <w:r w:rsidRPr="002029AF">
        <w:t>are</w:t>
      </w:r>
      <w:r w:rsidR="000A5329" w:rsidRPr="002029AF">
        <w:t xml:space="preserve"> </w:t>
      </w:r>
      <w:r w:rsidRPr="002029AF">
        <w:t>recognised,</w:t>
      </w:r>
      <w:r w:rsidR="000A5329" w:rsidRPr="002029AF">
        <w:t xml:space="preserve"> </w:t>
      </w:r>
      <w:r w:rsidRPr="002029AF">
        <w:t>with</w:t>
      </w:r>
      <w:r w:rsidR="000A5329" w:rsidRPr="002029AF">
        <w:t xml:space="preserve"> </w:t>
      </w:r>
      <w:r w:rsidRPr="002029AF">
        <w:t>respect</w:t>
      </w:r>
      <w:r w:rsidR="000A5329" w:rsidRPr="002029AF">
        <w:t xml:space="preserve"> </w:t>
      </w:r>
      <w:r w:rsidRPr="002029AF">
        <w:t>to</w:t>
      </w:r>
      <w:r w:rsidR="000A5329" w:rsidRPr="002029AF">
        <w:t xml:space="preserve"> </w:t>
      </w:r>
      <w:r w:rsidRPr="002029AF">
        <w:t>each</w:t>
      </w:r>
      <w:r w:rsidR="000A5329" w:rsidRPr="002029AF">
        <w:t xml:space="preserve"> </w:t>
      </w:r>
      <w:r w:rsidRPr="002029AF">
        <w:t>class</w:t>
      </w:r>
      <w:r w:rsidR="000A5329" w:rsidRPr="002029AF">
        <w:t xml:space="preserve"> </w:t>
      </w:r>
      <w:r w:rsidRPr="002029AF">
        <w:t>of</w:t>
      </w:r>
      <w:r w:rsidR="000A5329" w:rsidRPr="002029AF">
        <w:t xml:space="preserve"> </w:t>
      </w:r>
      <w:r w:rsidRPr="002029AF">
        <w:t>financial</w:t>
      </w:r>
      <w:r w:rsidR="000A5329" w:rsidRPr="002029AF">
        <w:t xml:space="preserve"> </w:t>
      </w:r>
      <w:r w:rsidRPr="002029AF">
        <w:t>asset</w:t>
      </w:r>
      <w:r w:rsidR="000A5329" w:rsidRPr="002029AF">
        <w:t xml:space="preserve"> </w:t>
      </w:r>
      <w:r w:rsidRPr="002029AF">
        <w:t>and</w:t>
      </w:r>
      <w:r w:rsidR="000A5329" w:rsidRPr="002029AF">
        <w:t xml:space="preserve"> </w:t>
      </w:r>
      <w:r w:rsidRPr="002029AF">
        <w:t>financial</w:t>
      </w:r>
      <w:r w:rsidR="000A5329" w:rsidRPr="002029AF">
        <w:t xml:space="preserve"> </w:t>
      </w:r>
      <w:r w:rsidRPr="002029AF">
        <w:t>liability,</w:t>
      </w:r>
      <w:r w:rsidR="000A5329" w:rsidRPr="002029AF">
        <w:t xml:space="preserve"> </w:t>
      </w:r>
      <w:r w:rsidRPr="002029AF">
        <w:t>are</w:t>
      </w:r>
      <w:r w:rsidR="000A5329" w:rsidRPr="002029AF">
        <w:t xml:space="preserve"> </w:t>
      </w:r>
      <w:r w:rsidRPr="002029AF">
        <w:t>disclosed</w:t>
      </w:r>
      <w:r w:rsidR="000A5329" w:rsidRPr="002029AF">
        <w:t xml:space="preserve"> </w:t>
      </w:r>
      <w:r w:rsidRPr="002029AF">
        <w:t>in</w:t>
      </w:r>
      <w:r w:rsidR="000A5329" w:rsidRPr="002029AF">
        <w:t xml:space="preserve"> </w:t>
      </w:r>
      <w:r w:rsidRPr="002029AF">
        <w:t>Note</w:t>
      </w:r>
      <w:r w:rsidR="000A5329" w:rsidRPr="002029AF">
        <w:t xml:space="preserve"> </w:t>
      </w:r>
      <w:r w:rsidRPr="002029AF">
        <w:t>8.3.1.</w:t>
      </w:r>
    </w:p>
    <w:p w14:paraId="6C6B9D78" w14:textId="255301B0" w:rsidR="00087B91" w:rsidRPr="002029AF" w:rsidRDefault="00087B91" w:rsidP="00087B91">
      <w:pPr>
        <w:pStyle w:val="ARfinbody"/>
      </w:pPr>
      <w:r w:rsidRPr="002029AF">
        <w:t>The</w:t>
      </w:r>
      <w:r w:rsidR="000A5329" w:rsidRPr="002029AF">
        <w:t xml:space="preserve"> </w:t>
      </w:r>
      <w:r w:rsidRPr="002029AF">
        <w:t>main</w:t>
      </w:r>
      <w:r w:rsidR="000A5329" w:rsidRPr="002029AF">
        <w:t xml:space="preserve"> </w:t>
      </w:r>
      <w:r w:rsidRPr="002029AF">
        <w:t>purpose</w:t>
      </w:r>
      <w:r w:rsidR="000A5329" w:rsidRPr="002029AF">
        <w:t xml:space="preserve"> </w:t>
      </w:r>
      <w:r w:rsidRPr="002029AF">
        <w:t>in</w:t>
      </w:r>
      <w:r w:rsidR="000A5329" w:rsidRPr="002029AF">
        <w:t xml:space="preserve"> </w:t>
      </w:r>
      <w:r w:rsidRPr="002029AF">
        <w:t>holding</w:t>
      </w:r>
      <w:r w:rsidR="000A5329" w:rsidRPr="002029AF">
        <w:t xml:space="preserve"> </w:t>
      </w:r>
      <w:r w:rsidRPr="002029AF">
        <w:t>financial</w:t>
      </w:r>
      <w:r w:rsidR="000A5329" w:rsidRPr="002029AF">
        <w:t xml:space="preserve"> </w:t>
      </w:r>
      <w:r w:rsidRPr="002029AF">
        <w:t>instruments</w:t>
      </w:r>
      <w:r w:rsidR="000A5329" w:rsidRPr="002029AF">
        <w:t xml:space="preserve"> </w:t>
      </w:r>
      <w:r w:rsidRPr="002029AF">
        <w:t>is</w:t>
      </w:r>
      <w:r w:rsidR="000A5329" w:rsidRPr="002029AF">
        <w:t xml:space="preserve"> </w:t>
      </w:r>
      <w:r w:rsidRPr="002029AF">
        <w:t>to</w:t>
      </w:r>
      <w:r w:rsidR="000A5329" w:rsidRPr="002029AF">
        <w:t xml:space="preserve"> </w:t>
      </w:r>
      <w:r w:rsidRPr="002029AF">
        <w:t>prudentially</w:t>
      </w:r>
      <w:r w:rsidR="000A5329" w:rsidRPr="002029AF">
        <w:t xml:space="preserve"> </w:t>
      </w:r>
      <w:r w:rsidRPr="002029AF">
        <w:t>manage</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financial</w:t>
      </w:r>
      <w:r w:rsidR="000A5329" w:rsidRPr="002029AF">
        <w:t xml:space="preserve"> </w:t>
      </w:r>
      <w:r w:rsidRPr="002029AF">
        <w:t>risks</w:t>
      </w:r>
      <w:r w:rsidR="000A5329" w:rsidRPr="002029AF">
        <w:t xml:space="preserve"> </w:t>
      </w:r>
      <w:r w:rsidRPr="002029AF">
        <w:t>within</w:t>
      </w:r>
      <w:r w:rsidR="000A5329" w:rsidRPr="002029AF">
        <w:t xml:space="preserve"> </w:t>
      </w:r>
      <w:r w:rsidRPr="002029AF">
        <w:t>the</w:t>
      </w:r>
      <w:r w:rsidR="000A5329" w:rsidRPr="002029AF">
        <w:t xml:space="preserve"> </w:t>
      </w:r>
      <w:r w:rsidRPr="002029AF">
        <w:t>government</w:t>
      </w:r>
      <w:r w:rsidR="000A5329" w:rsidRPr="002029AF">
        <w:t xml:space="preserve"> </w:t>
      </w:r>
      <w:r w:rsidRPr="002029AF">
        <w:t>policy</w:t>
      </w:r>
      <w:r w:rsidR="000A5329" w:rsidRPr="002029AF">
        <w:t xml:space="preserve"> </w:t>
      </w:r>
      <w:r w:rsidRPr="002029AF">
        <w:t>parameters.</w:t>
      </w:r>
    </w:p>
    <w:p w14:paraId="778508B0" w14:textId="72E86613" w:rsidR="00087B91" w:rsidRPr="002029AF" w:rsidRDefault="00087B91" w:rsidP="00087B91">
      <w:pPr>
        <w:pStyle w:val="ARfinbody"/>
      </w:pPr>
      <w:r w:rsidRPr="002029AF">
        <w:t>The</w:t>
      </w:r>
      <w:r w:rsidR="000A5329" w:rsidRPr="002029AF">
        <w:t xml:space="preserve"> </w:t>
      </w:r>
      <w:r w:rsidRPr="002029AF">
        <w:t>department’s</w:t>
      </w:r>
      <w:r w:rsidR="000A5329" w:rsidRPr="002029AF">
        <w:t xml:space="preserve"> </w:t>
      </w:r>
      <w:r w:rsidRPr="002029AF">
        <w:t>main</w:t>
      </w:r>
      <w:r w:rsidR="000A5329" w:rsidRPr="002029AF">
        <w:t xml:space="preserve"> </w:t>
      </w:r>
      <w:r w:rsidRPr="002029AF">
        <w:t>financial</w:t>
      </w:r>
      <w:r w:rsidR="000A5329" w:rsidRPr="002029AF">
        <w:t xml:space="preserve"> </w:t>
      </w:r>
      <w:r w:rsidRPr="002029AF">
        <w:t>risks</w:t>
      </w:r>
      <w:r w:rsidR="000A5329" w:rsidRPr="002029AF">
        <w:t xml:space="preserve"> </w:t>
      </w:r>
      <w:r w:rsidRPr="002029AF">
        <w:t>include</w:t>
      </w:r>
      <w:r w:rsidR="000A5329" w:rsidRPr="002029AF">
        <w:t xml:space="preserve"> </w:t>
      </w:r>
      <w:r w:rsidRPr="002029AF">
        <w:t>credit</w:t>
      </w:r>
      <w:r w:rsidR="000A5329" w:rsidRPr="002029AF">
        <w:t xml:space="preserve"> </w:t>
      </w:r>
      <w:r w:rsidRPr="002029AF">
        <w:t>risk,</w:t>
      </w:r>
      <w:r w:rsidR="000A5329" w:rsidRPr="002029AF">
        <w:t xml:space="preserve"> </w:t>
      </w:r>
      <w:r w:rsidRPr="002029AF">
        <w:t>liquidity</w:t>
      </w:r>
      <w:r w:rsidR="000A5329" w:rsidRPr="002029AF">
        <w:t xml:space="preserve"> </w:t>
      </w:r>
      <w:r w:rsidRPr="002029AF">
        <w:t>risk</w:t>
      </w:r>
      <w:r w:rsidR="000A5329" w:rsidRPr="002029AF">
        <w:t xml:space="preserve"> </w:t>
      </w:r>
      <w:r w:rsidRPr="002029AF">
        <w:t>and</w:t>
      </w:r>
      <w:r w:rsidR="000A5329" w:rsidRPr="002029AF">
        <w:t xml:space="preserve"> </w:t>
      </w:r>
      <w:r w:rsidRPr="002029AF">
        <w:t>interest</w:t>
      </w:r>
      <w:r w:rsidR="000A5329" w:rsidRPr="002029AF">
        <w:t xml:space="preserve"> </w:t>
      </w:r>
      <w:r w:rsidRPr="002029AF">
        <w:t>rate</w:t>
      </w:r>
      <w:r w:rsidR="000A5329" w:rsidRPr="002029AF">
        <w:t xml:space="preserve"> </w:t>
      </w:r>
      <w:r w:rsidRPr="002029AF">
        <w:t>risk.</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manages</w:t>
      </w:r>
      <w:r w:rsidR="000A5329" w:rsidRPr="002029AF">
        <w:t xml:space="preserve"> </w:t>
      </w:r>
      <w:r w:rsidRPr="002029AF">
        <w:t>these</w:t>
      </w:r>
      <w:r w:rsidR="000A5329" w:rsidRPr="002029AF">
        <w:t xml:space="preserve"> </w:t>
      </w:r>
      <w:r w:rsidRPr="002029AF">
        <w:t>financial</w:t>
      </w:r>
      <w:r w:rsidR="000A5329" w:rsidRPr="002029AF">
        <w:t xml:space="preserve"> </w:t>
      </w:r>
      <w:r w:rsidRPr="002029AF">
        <w:t>risks</w:t>
      </w:r>
      <w:r w:rsidR="000A5329" w:rsidRPr="002029AF">
        <w:t xml:space="preserve"> </w:t>
      </w:r>
      <w:r w:rsidRPr="002029AF">
        <w:t>in</w:t>
      </w:r>
      <w:r w:rsidR="000A5329" w:rsidRPr="002029AF">
        <w:t xml:space="preserve"> </w:t>
      </w:r>
      <w:r w:rsidRPr="002029AF">
        <w:t>accordance</w:t>
      </w:r>
      <w:r w:rsidR="000A5329" w:rsidRPr="002029AF">
        <w:t xml:space="preserve"> </w:t>
      </w:r>
      <w:r w:rsidRPr="002029AF">
        <w:t>with</w:t>
      </w:r>
      <w:r w:rsidR="000A5329" w:rsidRPr="002029AF">
        <w:t xml:space="preserve"> </w:t>
      </w:r>
      <w:r w:rsidRPr="002029AF">
        <w:t>its</w:t>
      </w:r>
      <w:r w:rsidR="000A5329" w:rsidRPr="002029AF">
        <w:t xml:space="preserve"> </w:t>
      </w:r>
      <w:r w:rsidRPr="002029AF">
        <w:t>financial</w:t>
      </w:r>
      <w:r w:rsidR="000A5329" w:rsidRPr="002029AF">
        <w:t xml:space="preserve"> </w:t>
      </w:r>
      <w:r w:rsidRPr="002029AF">
        <w:t>risk</w:t>
      </w:r>
      <w:r w:rsidR="000A5329" w:rsidRPr="002029AF">
        <w:t xml:space="preserve"> </w:t>
      </w:r>
      <w:r w:rsidRPr="002029AF">
        <w:t>management</w:t>
      </w:r>
      <w:r w:rsidR="000A5329" w:rsidRPr="002029AF">
        <w:t xml:space="preserve"> </w:t>
      </w:r>
      <w:r w:rsidRPr="002029AF">
        <w:t>policy.</w:t>
      </w:r>
    </w:p>
    <w:p w14:paraId="45AB5122" w14:textId="25A716D0" w:rsidR="00087B91" w:rsidRPr="002029AF" w:rsidRDefault="00087B91" w:rsidP="00087B91">
      <w:pPr>
        <w:pStyle w:val="ARfinbody"/>
      </w:pPr>
      <w:r w:rsidRPr="002029AF">
        <w:t>The</w:t>
      </w:r>
      <w:r w:rsidR="000A5329" w:rsidRPr="002029AF">
        <w:t xml:space="preserve"> </w:t>
      </w:r>
      <w:r w:rsidRPr="002029AF">
        <w:t>department</w:t>
      </w:r>
      <w:r w:rsidR="000A5329" w:rsidRPr="002029AF">
        <w:t xml:space="preserve"> </w:t>
      </w:r>
      <w:r w:rsidRPr="002029AF">
        <w:t>uses</w:t>
      </w:r>
      <w:r w:rsidR="000A5329" w:rsidRPr="002029AF">
        <w:t xml:space="preserve"> </w:t>
      </w:r>
      <w:r w:rsidRPr="002029AF">
        <w:t>different</w:t>
      </w:r>
      <w:r w:rsidR="000A5329" w:rsidRPr="002029AF">
        <w:t xml:space="preserve"> </w:t>
      </w:r>
      <w:r w:rsidRPr="002029AF">
        <w:t>methods</w:t>
      </w:r>
      <w:r w:rsidR="000A5329" w:rsidRPr="002029AF">
        <w:t xml:space="preserve"> </w:t>
      </w:r>
      <w:r w:rsidRPr="002029AF">
        <w:t>to</w:t>
      </w:r>
      <w:r w:rsidR="000A5329" w:rsidRPr="002029AF">
        <w:t xml:space="preserve"> </w:t>
      </w:r>
      <w:r w:rsidRPr="002029AF">
        <w:t>measure</w:t>
      </w:r>
      <w:r w:rsidR="000A5329" w:rsidRPr="002029AF">
        <w:t xml:space="preserve"> </w:t>
      </w:r>
      <w:r w:rsidRPr="002029AF">
        <w:t>and</w:t>
      </w:r>
      <w:r w:rsidR="000A5329" w:rsidRPr="002029AF">
        <w:t xml:space="preserve"> </w:t>
      </w:r>
      <w:r w:rsidRPr="002029AF">
        <w:t>manage</w:t>
      </w:r>
      <w:r w:rsidR="000A5329" w:rsidRPr="002029AF">
        <w:t xml:space="preserve"> </w:t>
      </w:r>
      <w:r w:rsidRPr="002029AF">
        <w:t>the</w:t>
      </w:r>
      <w:r w:rsidR="000A5329" w:rsidRPr="002029AF">
        <w:t xml:space="preserve"> </w:t>
      </w:r>
      <w:r w:rsidRPr="002029AF">
        <w:t>different</w:t>
      </w:r>
      <w:r w:rsidR="000A5329" w:rsidRPr="002029AF">
        <w:t xml:space="preserve"> </w:t>
      </w:r>
      <w:r w:rsidRPr="002029AF">
        <w:t>risks</w:t>
      </w:r>
      <w:r w:rsidR="000A5329" w:rsidRPr="002029AF">
        <w:t xml:space="preserve"> </w:t>
      </w:r>
      <w:r w:rsidRPr="002029AF">
        <w:t>to</w:t>
      </w:r>
      <w:r w:rsidR="000A5329" w:rsidRPr="002029AF">
        <w:t xml:space="preserve"> </w:t>
      </w:r>
      <w:r w:rsidRPr="002029AF">
        <w:t>which</w:t>
      </w:r>
      <w:r w:rsidR="000A5329" w:rsidRPr="002029AF">
        <w:t xml:space="preserve"> </w:t>
      </w:r>
      <w:r w:rsidRPr="002029AF">
        <w:t>it</w:t>
      </w:r>
      <w:r w:rsidR="000A5329" w:rsidRPr="002029AF">
        <w:t xml:space="preserve"> </w:t>
      </w:r>
      <w:r w:rsidRPr="002029AF">
        <w:t>is</w:t>
      </w:r>
      <w:r w:rsidR="000A5329" w:rsidRPr="002029AF">
        <w:t xml:space="preserve"> </w:t>
      </w:r>
      <w:r w:rsidRPr="002029AF">
        <w:t>exposed.</w:t>
      </w:r>
      <w:r w:rsidR="000A5329" w:rsidRPr="002029AF">
        <w:t xml:space="preserve"> </w:t>
      </w:r>
      <w:r w:rsidRPr="002029AF">
        <w:t>Primary</w:t>
      </w:r>
      <w:r w:rsidR="000A5329" w:rsidRPr="002029AF">
        <w:t xml:space="preserve"> </w:t>
      </w:r>
      <w:r w:rsidRPr="002029AF">
        <w:t>responsibility</w:t>
      </w:r>
      <w:r w:rsidR="000A5329" w:rsidRPr="002029AF">
        <w:t xml:space="preserve"> </w:t>
      </w:r>
      <w:r w:rsidRPr="002029AF">
        <w:t>for</w:t>
      </w:r>
      <w:r w:rsidR="000A5329" w:rsidRPr="002029AF">
        <w:t xml:space="preserve"> </w:t>
      </w:r>
      <w:r w:rsidRPr="002029AF">
        <w:t>the</w:t>
      </w:r>
      <w:r w:rsidR="000A5329" w:rsidRPr="002029AF">
        <w:t xml:space="preserve"> </w:t>
      </w:r>
      <w:r w:rsidRPr="002029AF">
        <w:t>identification</w:t>
      </w:r>
      <w:r w:rsidR="000A5329" w:rsidRPr="002029AF">
        <w:t xml:space="preserve"> </w:t>
      </w:r>
      <w:r w:rsidRPr="002029AF">
        <w:t>and</w:t>
      </w:r>
      <w:r w:rsidR="000A5329" w:rsidRPr="002029AF">
        <w:t xml:space="preserve"> </w:t>
      </w:r>
      <w:r w:rsidRPr="002029AF">
        <w:t>management</w:t>
      </w:r>
      <w:r w:rsidR="000A5329" w:rsidRPr="002029AF">
        <w:t xml:space="preserve"> </w:t>
      </w:r>
      <w:r w:rsidRPr="002029AF">
        <w:t>of</w:t>
      </w:r>
      <w:r w:rsidR="000A5329" w:rsidRPr="002029AF">
        <w:t xml:space="preserve"> </w:t>
      </w:r>
      <w:r w:rsidRPr="002029AF">
        <w:t>financial</w:t>
      </w:r>
      <w:r w:rsidR="000A5329" w:rsidRPr="002029AF">
        <w:t xml:space="preserve"> </w:t>
      </w:r>
      <w:r w:rsidRPr="002029AF">
        <w:t>risks</w:t>
      </w:r>
      <w:r w:rsidR="000A5329" w:rsidRPr="002029AF">
        <w:t xml:space="preserve"> </w:t>
      </w:r>
      <w:r w:rsidRPr="002029AF">
        <w:t>rests</w:t>
      </w:r>
      <w:r w:rsidR="000A5329" w:rsidRPr="002029AF">
        <w:t xml:space="preserve"> </w:t>
      </w:r>
      <w:r w:rsidRPr="002029AF">
        <w:t>with</w:t>
      </w:r>
      <w:r w:rsidR="000A5329" w:rsidRPr="002029AF">
        <w:t xml:space="preserve"> </w:t>
      </w:r>
      <w:r w:rsidRPr="002029AF">
        <w:t>the</w:t>
      </w:r>
      <w:r w:rsidR="000A5329" w:rsidRPr="002029AF">
        <w:t xml:space="preserve"> </w:t>
      </w:r>
      <w:r w:rsidRPr="002029AF">
        <w:t>accountable</w:t>
      </w:r>
      <w:r w:rsidR="000A5329" w:rsidRPr="002029AF">
        <w:t xml:space="preserve"> </w:t>
      </w:r>
      <w:r w:rsidRPr="002029AF">
        <w:t>officer</w:t>
      </w:r>
      <w:r w:rsidR="000A5329" w:rsidRPr="002029AF">
        <w:t xml:space="preserve"> </w:t>
      </w:r>
      <w:r w:rsidRPr="002029AF">
        <w:t>of</w:t>
      </w:r>
      <w:r w:rsidR="000A5329" w:rsidRPr="002029AF">
        <w:t xml:space="preserve"> </w:t>
      </w:r>
      <w:r w:rsidRPr="002029AF">
        <w:t>the</w:t>
      </w:r>
      <w:r w:rsidR="000A5329" w:rsidRPr="002029AF">
        <w:t xml:space="preserve"> </w:t>
      </w:r>
      <w:r w:rsidRPr="002029AF">
        <w:t>department.</w:t>
      </w:r>
    </w:p>
    <w:p w14:paraId="58544F4E" w14:textId="77777777" w:rsidR="00087B91" w:rsidRPr="002029AF" w:rsidRDefault="00087B91" w:rsidP="00087B91">
      <w:pPr>
        <w:pStyle w:val="ARfinbody"/>
      </w:pPr>
      <w:r w:rsidRPr="002029AF">
        <w:br w:type="page"/>
      </w:r>
    </w:p>
    <w:p w14:paraId="357347E4" w14:textId="59514413" w:rsidR="00087B91" w:rsidRPr="002029AF" w:rsidRDefault="00087B91" w:rsidP="00087B91">
      <w:pPr>
        <w:pStyle w:val="Heading6"/>
        <w:rPr>
          <w:lang w:val="en-AU"/>
        </w:rPr>
      </w:pPr>
      <w:r w:rsidRPr="002029AF">
        <w:rPr>
          <w:lang w:val="en-AU"/>
        </w:rPr>
        <w:lastRenderedPageBreak/>
        <w:t>8.1.3.1</w:t>
      </w:r>
      <w:r w:rsidR="000A5329" w:rsidRPr="002029AF">
        <w:rPr>
          <w:lang w:val="en-AU"/>
        </w:rPr>
        <w:t xml:space="preserve"> </w:t>
      </w:r>
      <w:r w:rsidRPr="002029AF">
        <w:rPr>
          <w:lang w:val="en-AU"/>
        </w:rPr>
        <w:t>Financial</w:t>
      </w:r>
      <w:r w:rsidR="000A5329" w:rsidRPr="002029AF">
        <w:rPr>
          <w:lang w:val="en-AU"/>
        </w:rPr>
        <w:t xml:space="preserve"> </w:t>
      </w:r>
      <w:r w:rsidRPr="002029AF">
        <w:rPr>
          <w:lang w:val="en-AU"/>
        </w:rPr>
        <w:t>instruments:</w:t>
      </w:r>
      <w:r w:rsidR="000A5329" w:rsidRPr="002029AF">
        <w:rPr>
          <w:lang w:val="en-AU"/>
        </w:rPr>
        <w:t xml:space="preserve"> </w:t>
      </w:r>
      <w:r w:rsidRPr="002029AF">
        <w:rPr>
          <w:lang w:val="en-AU"/>
        </w:rPr>
        <w:t>credit</w:t>
      </w:r>
      <w:r w:rsidR="000A5329" w:rsidRPr="002029AF">
        <w:rPr>
          <w:lang w:val="en-AU"/>
        </w:rPr>
        <w:t xml:space="preserve"> </w:t>
      </w:r>
      <w:r w:rsidRPr="002029AF">
        <w:rPr>
          <w:lang w:val="en-AU"/>
        </w:rPr>
        <w:t>risk</w:t>
      </w:r>
    </w:p>
    <w:p w14:paraId="2299C687" w14:textId="274639A3" w:rsidR="00087B91" w:rsidRPr="002029AF" w:rsidRDefault="00087B91" w:rsidP="00087B91">
      <w:pPr>
        <w:pStyle w:val="ARfinbody"/>
      </w:pPr>
      <w:r w:rsidRPr="002029AF">
        <w:t>Credit</w:t>
      </w:r>
      <w:r w:rsidR="000A5329" w:rsidRPr="002029AF">
        <w:t xml:space="preserve"> </w:t>
      </w:r>
      <w:r w:rsidRPr="002029AF">
        <w:t>risk</w:t>
      </w:r>
      <w:r w:rsidR="000A5329" w:rsidRPr="002029AF">
        <w:t xml:space="preserve"> </w:t>
      </w:r>
      <w:r w:rsidRPr="002029AF">
        <w:t>refers</w:t>
      </w:r>
      <w:r w:rsidR="000A5329" w:rsidRPr="002029AF">
        <w:t xml:space="preserve"> </w:t>
      </w:r>
      <w:r w:rsidRPr="002029AF">
        <w:t>to</w:t>
      </w:r>
      <w:r w:rsidR="000A5329" w:rsidRPr="002029AF">
        <w:t xml:space="preserve"> </w:t>
      </w:r>
      <w:r w:rsidRPr="002029AF">
        <w:t>the</w:t>
      </w:r>
      <w:r w:rsidR="000A5329" w:rsidRPr="002029AF">
        <w:t xml:space="preserve"> </w:t>
      </w:r>
      <w:r w:rsidRPr="002029AF">
        <w:t>possibility</w:t>
      </w:r>
      <w:r w:rsidR="000A5329" w:rsidRPr="002029AF">
        <w:t xml:space="preserve"> </w:t>
      </w:r>
      <w:r w:rsidRPr="002029AF">
        <w:t>that</w:t>
      </w:r>
      <w:r w:rsidR="000A5329" w:rsidRPr="002029AF">
        <w:t xml:space="preserve"> </w:t>
      </w:r>
      <w:r w:rsidRPr="002029AF">
        <w:t>a</w:t>
      </w:r>
      <w:r w:rsidR="000A5329" w:rsidRPr="002029AF">
        <w:t xml:space="preserve"> </w:t>
      </w:r>
      <w:r w:rsidRPr="002029AF">
        <w:t>borrower</w:t>
      </w:r>
      <w:r w:rsidR="000A5329" w:rsidRPr="002029AF">
        <w:t xml:space="preserve"> </w:t>
      </w:r>
      <w:r w:rsidRPr="002029AF">
        <w:t>will</w:t>
      </w:r>
      <w:r w:rsidR="000A5329" w:rsidRPr="002029AF">
        <w:t xml:space="preserve"> </w:t>
      </w:r>
      <w:r w:rsidRPr="002029AF">
        <w:t>default</w:t>
      </w:r>
      <w:r w:rsidR="000A5329" w:rsidRPr="002029AF">
        <w:t xml:space="preserve"> </w:t>
      </w:r>
      <w:r w:rsidRPr="002029AF">
        <w:t>on</w:t>
      </w:r>
      <w:r w:rsidR="000A5329" w:rsidRPr="002029AF">
        <w:t xml:space="preserve"> </w:t>
      </w:r>
      <w:r w:rsidRPr="002029AF">
        <w:t>its</w:t>
      </w:r>
      <w:r w:rsidR="000A5329" w:rsidRPr="002029AF">
        <w:t xml:space="preserve"> </w:t>
      </w:r>
      <w:r w:rsidRPr="002029AF">
        <w:t>financial</w:t>
      </w:r>
      <w:r w:rsidR="000A5329" w:rsidRPr="002029AF">
        <w:t xml:space="preserve"> </w:t>
      </w:r>
      <w:r w:rsidRPr="002029AF">
        <w:t>obligations</w:t>
      </w:r>
      <w:r w:rsidR="000A5329" w:rsidRPr="002029AF">
        <w:t xml:space="preserve"> </w:t>
      </w:r>
      <w:r w:rsidRPr="002029AF">
        <w:t>as</w:t>
      </w:r>
      <w:r w:rsidR="000A5329" w:rsidRPr="002029AF">
        <w:t xml:space="preserve"> </w:t>
      </w:r>
      <w:r w:rsidRPr="002029AF">
        <w:t>and</w:t>
      </w:r>
      <w:r w:rsidR="000A5329" w:rsidRPr="002029AF">
        <w:t xml:space="preserve"> </w:t>
      </w:r>
      <w:r w:rsidRPr="002029AF">
        <w:t>when</w:t>
      </w:r>
      <w:r w:rsidR="000A5329" w:rsidRPr="002029AF">
        <w:t xml:space="preserve"> </w:t>
      </w:r>
      <w:r w:rsidRPr="002029AF">
        <w:t>they</w:t>
      </w:r>
      <w:r w:rsidR="000A5329" w:rsidRPr="002029AF">
        <w:t xml:space="preserve"> </w:t>
      </w:r>
      <w:r w:rsidRPr="002029AF">
        <w:t>fall</w:t>
      </w:r>
      <w:r w:rsidR="000A5329" w:rsidRPr="002029AF">
        <w:t xml:space="preserve"> </w:t>
      </w:r>
      <w:r w:rsidRPr="002029AF">
        <w:t>due.</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exposure</w:t>
      </w:r>
      <w:r w:rsidR="000A5329" w:rsidRPr="002029AF">
        <w:t xml:space="preserve"> </w:t>
      </w:r>
      <w:r w:rsidRPr="002029AF">
        <w:t>to</w:t>
      </w:r>
      <w:r w:rsidR="000A5329" w:rsidRPr="002029AF">
        <w:t xml:space="preserve"> </w:t>
      </w:r>
      <w:r w:rsidRPr="002029AF">
        <w:t>credit</w:t>
      </w:r>
      <w:r w:rsidR="000A5329" w:rsidRPr="002029AF">
        <w:t xml:space="preserve"> </w:t>
      </w:r>
      <w:r w:rsidRPr="002029AF">
        <w:t>risk</w:t>
      </w:r>
      <w:r w:rsidR="000A5329" w:rsidRPr="002029AF">
        <w:t xml:space="preserve"> </w:t>
      </w:r>
      <w:r w:rsidRPr="002029AF">
        <w:t>arises</w:t>
      </w:r>
      <w:r w:rsidR="000A5329" w:rsidRPr="002029AF">
        <w:t xml:space="preserve"> </w:t>
      </w:r>
      <w:r w:rsidRPr="002029AF">
        <w:t>from</w:t>
      </w:r>
      <w:r w:rsidR="000A5329" w:rsidRPr="002029AF">
        <w:t xml:space="preserve"> </w:t>
      </w:r>
      <w:r w:rsidRPr="002029AF">
        <w:t>the</w:t>
      </w:r>
      <w:r w:rsidR="000A5329" w:rsidRPr="002029AF">
        <w:t xml:space="preserve"> </w:t>
      </w:r>
      <w:r w:rsidRPr="002029AF">
        <w:t>potential</w:t>
      </w:r>
      <w:r w:rsidR="000A5329" w:rsidRPr="002029AF">
        <w:t xml:space="preserve"> </w:t>
      </w:r>
      <w:r w:rsidRPr="002029AF">
        <w:t>default</w:t>
      </w:r>
      <w:r w:rsidR="000A5329" w:rsidRPr="002029AF">
        <w:t xml:space="preserve"> </w:t>
      </w:r>
      <w:r w:rsidRPr="002029AF">
        <w:t>of</w:t>
      </w:r>
      <w:r w:rsidR="000A5329" w:rsidRPr="002029AF">
        <w:t xml:space="preserve"> </w:t>
      </w:r>
      <w:r w:rsidRPr="002029AF">
        <w:t>a</w:t>
      </w:r>
      <w:r w:rsidR="000A5329" w:rsidRPr="002029AF">
        <w:t xml:space="preserve"> </w:t>
      </w:r>
      <w:r w:rsidRPr="002029AF">
        <w:t>counter</w:t>
      </w:r>
      <w:r w:rsidR="000A5329" w:rsidRPr="002029AF">
        <w:t xml:space="preserve"> </w:t>
      </w:r>
      <w:r w:rsidRPr="002029AF">
        <w:t>party</w:t>
      </w:r>
      <w:r w:rsidR="000A5329" w:rsidRPr="002029AF">
        <w:t xml:space="preserve"> </w:t>
      </w:r>
      <w:r w:rsidRPr="002029AF">
        <w:t>on</w:t>
      </w:r>
      <w:r w:rsidR="000A5329" w:rsidRPr="002029AF">
        <w:t xml:space="preserve"> </w:t>
      </w:r>
      <w:r w:rsidRPr="002029AF">
        <w:t>their</w:t>
      </w:r>
      <w:r w:rsidR="000A5329" w:rsidRPr="002029AF">
        <w:t xml:space="preserve"> </w:t>
      </w:r>
      <w:r w:rsidRPr="002029AF">
        <w:t>contractual</w:t>
      </w:r>
      <w:r w:rsidR="000A5329" w:rsidRPr="002029AF">
        <w:t xml:space="preserve"> </w:t>
      </w:r>
      <w:r w:rsidRPr="002029AF">
        <w:t>obligations</w:t>
      </w:r>
      <w:r w:rsidR="000A5329" w:rsidRPr="002029AF">
        <w:t xml:space="preserve"> </w:t>
      </w:r>
      <w:r w:rsidRPr="002029AF">
        <w:t>resulting</w:t>
      </w:r>
      <w:r w:rsidR="000A5329" w:rsidRPr="002029AF">
        <w:t xml:space="preserve"> </w:t>
      </w:r>
      <w:r w:rsidRPr="002029AF">
        <w:t>in</w:t>
      </w:r>
      <w:r w:rsidR="000A5329" w:rsidRPr="002029AF">
        <w:t xml:space="preserve"> </w:t>
      </w:r>
      <w:r w:rsidRPr="002029AF">
        <w:t>financial</w:t>
      </w:r>
      <w:r w:rsidR="000A5329" w:rsidRPr="002029AF">
        <w:t xml:space="preserve"> </w:t>
      </w:r>
      <w:r w:rsidRPr="002029AF">
        <w:t>loss</w:t>
      </w:r>
      <w:r w:rsidR="000A5329" w:rsidRPr="002029AF">
        <w:t xml:space="preserve"> </w:t>
      </w:r>
      <w:r w:rsidRPr="002029AF">
        <w:t>to</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Credit</w:t>
      </w:r>
      <w:r w:rsidR="000A5329" w:rsidRPr="002029AF">
        <w:t xml:space="preserve"> </w:t>
      </w:r>
      <w:r w:rsidRPr="002029AF">
        <w:t>risk</w:t>
      </w:r>
      <w:r w:rsidR="000A5329" w:rsidRPr="002029AF">
        <w:t xml:space="preserve"> </w:t>
      </w:r>
      <w:r w:rsidRPr="002029AF">
        <w:t>is</w:t>
      </w:r>
      <w:r w:rsidR="000A5329" w:rsidRPr="002029AF">
        <w:t xml:space="preserve"> </w:t>
      </w:r>
      <w:r w:rsidRPr="002029AF">
        <w:t>measured</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r w:rsidR="000A5329" w:rsidRPr="002029AF">
        <w:t xml:space="preserve"> </w:t>
      </w:r>
      <w:r w:rsidRPr="002029AF">
        <w:t>and</w:t>
      </w:r>
      <w:r w:rsidR="000A5329" w:rsidRPr="002029AF">
        <w:t xml:space="preserve"> </w:t>
      </w:r>
      <w:r w:rsidRPr="002029AF">
        <w:t>is</w:t>
      </w:r>
      <w:r w:rsidR="000A5329" w:rsidRPr="002029AF">
        <w:t xml:space="preserve"> </w:t>
      </w:r>
      <w:r w:rsidRPr="002029AF">
        <w:t>monitored</w:t>
      </w:r>
      <w:r w:rsidR="000A5329" w:rsidRPr="002029AF">
        <w:t xml:space="preserve"> </w:t>
      </w:r>
      <w:r w:rsidRPr="002029AF">
        <w:t>on</w:t>
      </w:r>
      <w:r w:rsidR="000A5329" w:rsidRPr="002029AF">
        <w:t xml:space="preserve"> </w:t>
      </w:r>
      <w:r w:rsidRPr="002029AF">
        <w:t>a</w:t>
      </w:r>
      <w:r w:rsidR="000A5329" w:rsidRPr="002029AF">
        <w:t xml:space="preserve"> </w:t>
      </w:r>
      <w:r w:rsidRPr="002029AF">
        <w:t>regular</w:t>
      </w:r>
      <w:r w:rsidR="000A5329" w:rsidRPr="002029AF">
        <w:t xml:space="preserve"> </w:t>
      </w:r>
      <w:r w:rsidRPr="002029AF">
        <w:t>basis.</w:t>
      </w:r>
    </w:p>
    <w:p w14:paraId="0061F493" w14:textId="1CF27EC9" w:rsidR="00087B91" w:rsidRPr="002029AF" w:rsidRDefault="00087B91" w:rsidP="00087B91">
      <w:pPr>
        <w:pStyle w:val="ARfinbody"/>
      </w:pPr>
      <w:r w:rsidRPr="002029AF">
        <w:t>Credit</w:t>
      </w:r>
      <w:r w:rsidR="000A5329" w:rsidRPr="002029AF">
        <w:t xml:space="preserve"> </w:t>
      </w:r>
      <w:r w:rsidRPr="002029AF">
        <w:t>risk</w:t>
      </w:r>
      <w:r w:rsidR="000A5329" w:rsidRPr="002029AF">
        <w:t xml:space="preserve"> </w:t>
      </w:r>
      <w:r w:rsidRPr="002029AF">
        <w:t>associated</w:t>
      </w:r>
      <w:r w:rsidR="000A5329" w:rsidRPr="002029AF">
        <w:t xml:space="preserve"> </w:t>
      </w:r>
      <w:r w:rsidRPr="002029AF">
        <w:t>with</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contractual</w:t>
      </w:r>
      <w:r w:rsidR="000A5329" w:rsidRPr="002029AF">
        <w:t xml:space="preserve"> </w:t>
      </w:r>
      <w:r w:rsidRPr="002029AF">
        <w:t>financial</w:t>
      </w:r>
      <w:r w:rsidR="000A5329" w:rsidRPr="002029AF">
        <w:t xml:space="preserve"> </w:t>
      </w:r>
      <w:r w:rsidRPr="002029AF">
        <w:t>assets</w:t>
      </w:r>
      <w:r w:rsidR="000A5329" w:rsidRPr="002029AF">
        <w:t xml:space="preserve"> </w:t>
      </w:r>
      <w:r w:rsidRPr="002029AF">
        <w:t>is</w:t>
      </w:r>
      <w:r w:rsidR="000A5329" w:rsidRPr="002029AF">
        <w:t xml:space="preserve"> </w:t>
      </w:r>
      <w:r w:rsidRPr="002029AF">
        <w:t>minimal</w:t>
      </w:r>
      <w:r w:rsidR="000A5329" w:rsidRPr="002029AF">
        <w:t xml:space="preserve"> </w:t>
      </w:r>
      <w:r w:rsidRPr="002029AF">
        <w:t>because</w:t>
      </w:r>
      <w:r w:rsidR="000A5329" w:rsidRPr="002029AF">
        <w:t xml:space="preserve"> </w:t>
      </w:r>
      <w:r w:rsidRPr="002029AF">
        <w:t>the</w:t>
      </w:r>
      <w:r w:rsidR="000A5329" w:rsidRPr="002029AF">
        <w:t xml:space="preserve"> </w:t>
      </w:r>
      <w:r w:rsidRPr="002029AF">
        <w:t>main</w:t>
      </w:r>
      <w:r w:rsidR="000A5329" w:rsidRPr="002029AF">
        <w:t xml:space="preserve"> </w:t>
      </w:r>
      <w:r w:rsidRPr="002029AF">
        <w:t>debtor</w:t>
      </w:r>
      <w:r w:rsidR="000A5329" w:rsidRPr="002029AF">
        <w:t xml:space="preserve"> </w:t>
      </w:r>
      <w:r w:rsidRPr="002029AF">
        <w:t>is</w:t>
      </w:r>
      <w:r w:rsidR="000A5329" w:rsidRPr="002029AF">
        <w:t xml:space="preserve"> </w:t>
      </w:r>
      <w:r w:rsidRPr="002029AF">
        <w:t>the</w:t>
      </w:r>
      <w:r w:rsidR="000A5329" w:rsidRPr="002029AF">
        <w:t xml:space="preserve"> </w:t>
      </w:r>
      <w:r w:rsidRPr="002029AF">
        <w:t>Victorian</w:t>
      </w:r>
      <w:r w:rsidR="000A5329" w:rsidRPr="002029AF">
        <w:t xml:space="preserve"> </w:t>
      </w:r>
      <w:r w:rsidRPr="002029AF">
        <w:t>Government.</w:t>
      </w:r>
      <w:r w:rsidR="000A5329" w:rsidRPr="002029AF">
        <w:t xml:space="preserve"> </w:t>
      </w:r>
      <w:r w:rsidRPr="002029AF">
        <w:t>For</w:t>
      </w:r>
      <w:r w:rsidR="000A5329" w:rsidRPr="002029AF">
        <w:t xml:space="preserve"> </w:t>
      </w:r>
      <w:r w:rsidRPr="002029AF">
        <w:t>debtors</w:t>
      </w:r>
      <w:r w:rsidR="000A5329" w:rsidRPr="002029AF">
        <w:t xml:space="preserve"> </w:t>
      </w:r>
      <w:r w:rsidRPr="002029AF">
        <w:t>other</w:t>
      </w:r>
      <w:r w:rsidR="000A5329" w:rsidRPr="002029AF">
        <w:t xml:space="preserve"> </w:t>
      </w:r>
      <w:r w:rsidRPr="002029AF">
        <w:t>than</w:t>
      </w:r>
      <w:r w:rsidR="000A5329" w:rsidRPr="002029AF">
        <w:t xml:space="preserve"> </w:t>
      </w:r>
      <w:r w:rsidRPr="002029AF">
        <w:t>the</w:t>
      </w:r>
      <w:r w:rsidR="000A5329" w:rsidRPr="002029AF">
        <w:t xml:space="preserve"> </w:t>
      </w:r>
      <w:r w:rsidRPr="002029AF">
        <w:t>Victorian</w:t>
      </w:r>
      <w:r w:rsidR="000A5329" w:rsidRPr="002029AF">
        <w:t xml:space="preserve"> </w:t>
      </w:r>
      <w:r w:rsidRPr="002029AF">
        <w:t>Government</w:t>
      </w:r>
      <w:r w:rsidR="000A5329" w:rsidRPr="002029AF">
        <w:t xml:space="preserve"> </w:t>
      </w:r>
      <w:r w:rsidRPr="002029AF">
        <w:t>and</w:t>
      </w:r>
      <w:r w:rsidR="000A5329" w:rsidRPr="002029AF">
        <w:t xml:space="preserve"> </w:t>
      </w:r>
      <w:r w:rsidRPr="002029AF">
        <w:t>home</w:t>
      </w:r>
      <w:r w:rsidR="000A5329" w:rsidRPr="002029AF">
        <w:t xml:space="preserve"> </w:t>
      </w:r>
      <w:r w:rsidRPr="002029AF">
        <w:t>loan</w:t>
      </w:r>
      <w:r w:rsidR="000A5329" w:rsidRPr="002029AF">
        <w:t xml:space="preserve"> </w:t>
      </w:r>
      <w:r w:rsidRPr="002029AF">
        <w:t>recipients,</w:t>
      </w:r>
      <w:r w:rsidR="000A5329" w:rsidRPr="002029AF">
        <w:t xml:space="preserve"> </w:t>
      </w:r>
      <w:r w:rsidRPr="002029AF">
        <w:t>it</w:t>
      </w:r>
      <w:r w:rsidR="000A5329" w:rsidRPr="002029AF">
        <w:t xml:space="preserve"> </w:t>
      </w:r>
      <w:r w:rsidRPr="002029AF">
        <w:t>is</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policy</w:t>
      </w:r>
      <w:r w:rsidR="000A5329" w:rsidRPr="002029AF">
        <w:t xml:space="preserve"> </w:t>
      </w:r>
      <w:r w:rsidRPr="002029AF">
        <w:t>to</w:t>
      </w:r>
      <w:r w:rsidR="000A5329" w:rsidRPr="002029AF">
        <w:t xml:space="preserve"> </w:t>
      </w:r>
      <w:r w:rsidRPr="002029AF">
        <w:t>only</w:t>
      </w:r>
      <w:r w:rsidR="000A5329" w:rsidRPr="002029AF">
        <w:t xml:space="preserve"> </w:t>
      </w:r>
      <w:r w:rsidRPr="002029AF">
        <w:t>deal</w:t>
      </w:r>
      <w:r w:rsidR="000A5329" w:rsidRPr="002029AF">
        <w:t xml:space="preserve"> </w:t>
      </w:r>
      <w:r w:rsidRPr="002029AF">
        <w:t>with</w:t>
      </w:r>
      <w:r w:rsidR="000A5329" w:rsidRPr="002029AF">
        <w:t xml:space="preserve"> </w:t>
      </w:r>
      <w:r w:rsidRPr="002029AF">
        <w:t>entities</w:t>
      </w:r>
      <w:r w:rsidR="000A5329" w:rsidRPr="002029AF">
        <w:t xml:space="preserve"> </w:t>
      </w:r>
      <w:r w:rsidRPr="002029AF">
        <w:t>with</w:t>
      </w:r>
      <w:r w:rsidR="000A5329" w:rsidRPr="002029AF">
        <w:t xml:space="preserve"> </w:t>
      </w:r>
      <w:r w:rsidRPr="002029AF">
        <w:t>high</w:t>
      </w:r>
      <w:r w:rsidR="000A5329" w:rsidRPr="002029AF">
        <w:t xml:space="preserve"> </w:t>
      </w:r>
      <w:r w:rsidRPr="002029AF">
        <w:t>credit</w:t>
      </w:r>
      <w:r w:rsidR="000A5329" w:rsidRPr="002029AF">
        <w:t xml:space="preserve"> </w:t>
      </w:r>
      <w:r w:rsidRPr="002029AF">
        <w:t>ratings</w:t>
      </w:r>
      <w:r w:rsidR="000A5329" w:rsidRPr="002029AF">
        <w:t xml:space="preserve"> </w:t>
      </w:r>
      <w:r w:rsidRPr="002029AF">
        <w:t>of</w:t>
      </w:r>
      <w:r w:rsidR="000A5329" w:rsidRPr="002029AF">
        <w:t xml:space="preserve"> </w:t>
      </w:r>
      <w:r w:rsidRPr="002029AF">
        <w:t>a</w:t>
      </w:r>
      <w:r w:rsidR="000A5329" w:rsidRPr="002029AF">
        <w:t xml:space="preserve"> </w:t>
      </w:r>
      <w:r w:rsidRPr="002029AF">
        <w:t>minimum</w:t>
      </w:r>
      <w:r w:rsidR="000A5329" w:rsidRPr="002029AF">
        <w:t xml:space="preserve"> </w:t>
      </w:r>
      <w:r w:rsidRPr="002029AF">
        <w:t>triple-B</w:t>
      </w:r>
      <w:r w:rsidR="000A5329" w:rsidRPr="002029AF">
        <w:t xml:space="preserve"> </w:t>
      </w:r>
      <w:r w:rsidRPr="002029AF">
        <w:t>rating</w:t>
      </w:r>
      <w:r w:rsidR="000A5329" w:rsidRPr="002029AF">
        <w:t xml:space="preserve"> </w:t>
      </w:r>
      <w:r w:rsidRPr="002029AF">
        <w:t>and</w:t>
      </w:r>
      <w:r w:rsidR="000A5329" w:rsidRPr="002029AF">
        <w:t xml:space="preserve"> </w:t>
      </w:r>
      <w:r w:rsidRPr="002029AF">
        <w:t>to</w:t>
      </w:r>
      <w:r w:rsidR="000A5329" w:rsidRPr="002029AF">
        <w:t xml:space="preserve"> </w:t>
      </w:r>
      <w:r w:rsidRPr="002029AF">
        <w:t>obtain</w:t>
      </w:r>
      <w:r w:rsidR="000A5329" w:rsidRPr="002029AF">
        <w:t xml:space="preserve"> </w:t>
      </w:r>
      <w:r w:rsidRPr="002029AF">
        <w:t>sufficient</w:t>
      </w:r>
      <w:r w:rsidR="000A5329" w:rsidRPr="002029AF">
        <w:t xml:space="preserve"> </w:t>
      </w:r>
      <w:r w:rsidRPr="002029AF">
        <w:t>collateral</w:t>
      </w:r>
      <w:r w:rsidR="000A5329" w:rsidRPr="002029AF">
        <w:t xml:space="preserve"> </w:t>
      </w:r>
      <w:r w:rsidRPr="002029AF">
        <w:t>or</w:t>
      </w:r>
      <w:r w:rsidR="000A5329" w:rsidRPr="002029AF">
        <w:t xml:space="preserve"> </w:t>
      </w:r>
      <w:r w:rsidRPr="002029AF">
        <w:t>credit</w:t>
      </w:r>
      <w:r w:rsidR="000A5329" w:rsidRPr="002029AF">
        <w:t xml:space="preserve"> </w:t>
      </w:r>
      <w:r w:rsidRPr="002029AF">
        <w:t>enhancements,</w:t>
      </w:r>
      <w:r w:rsidR="000A5329" w:rsidRPr="002029AF">
        <w:t xml:space="preserve"> </w:t>
      </w:r>
      <w:r w:rsidRPr="002029AF">
        <w:t>where</w:t>
      </w:r>
      <w:r w:rsidR="000A5329" w:rsidRPr="002029AF">
        <w:t xml:space="preserve"> </w:t>
      </w:r>
      <w:r w:rsidRPr="002029AF">
        <w:t>appropriate.</w:t>
      </w:r>
    </w:p>
    <w:p w14:paraId="48F06279" w14:textId="176815AC" w:rsidR="00087B91" w:rsidRPr="002029AF" w:rsidRDefault="00087B91" w:rsidP="00087B91">
      <w:pPr>
        <w:pStyle w:val="ARfinbody"/>
      </w:pPr>
      <w:r w:rsidRPr="002029AF">
        <w:t>In</w:t>
      </w:r>
      <w:r w:rsidR="000A5329" w:rsidRPr="002029AF">
        <w:t xml:space="preserve"> </w:t>
      </w:r>
      <w:r w:rsidRPr="002029AF">
        <w:t>addition,</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does</w:t>
      </w:r>
      <w:r w:rsidR="000A5329" w:rsidRPr="002029AF">
        <w:t xml:space="preserve"> </w:t>
      </w:r>
      <w:r w:rsidRPr="002029AF">
        <w:t>not</w:t>
      </w:r>
      <w:r w:rsidR="000A5329" w:rsidRPr="002029AF">
        <w:t xml:space="preserve"> </w:t>
      </w:r>
      <w:r w:rsidRPr="002029AF">
        <w:t>engage</w:t>
      </w:r>
      <w:r w:rsidR="000A5329" w:rsidRPr="002029AF">
        <w:t xml:space="preserve"> </w:t>
      </w:r>
      <w:r w:rsidRPr="002029AF">
        <w:t>in</w:t>
      </w:r>
      <w:r w:rsidR="000A5329" w:rsidRPr="002029AF">
        <w:t xml:space="preserve"> </w:t>
      </w:r>
      <w:r w:rsidRPr="002029AF">
        <w:t>hedging</w:t>
      </w:r>
      <w:r w:rsidR="000A5329" w:rsidRPr="002029AF">
        <w:t xml:space="preserve"> </w:t>
      </w:r>
      <w:r w:rsidRPr="002029AF">
        <w:t>for</w:t>
      </w:r>
      <w:r w:rsidR="000A5329" w:rsidRPr="002029AF">
        <w:t xml:space="preserve"> </w:t>
      </w:r>
      <w:r w:rsidRPr="002029AF">
        <w:t>its</w:t>
      </w:r>
      <w:r w:rsidR="000A5329" w:rsidRPr="002029AF">
        <w:t xml:space="preserve"> </w:t>
      </w:r>
      <w:r w:rsidRPr="002029AF">
        <w:t>contractual</w:t>
      </w:r>
      <w:r w:rsidR="000A5329" w:rsidRPr="002029AF">
        <w:t xml:space="preserve"> </w:t>
      </w:r>
      <w:r w:rsidRPr="002029AF">
        <w:t>financial</w:t>
      </w:r>
      <w:r w:rsidR="000A5329" w:rsidRPr="002029AF">
        <w:t xml:space="preserve"> </w:t>
      </w:r>
      <w:r w:rsidRPr="002029AF">
        <w:t>assets</w:t>
      </w:r>
      <w:r w:rsidR="000A5329" w:rsidRPr="002029AF">
        <w:t xml:space="preserve"> </w:t>
      </w:r>
      <w:r w:rsidRPr="002029AF">
        <w:t>and</w:t>
      </w:r>
      <w:r w:rsidR="000A5329" w:rsidRPr="002029AF">
        <w:t xml:space="preserve"> </w:t>
      </w:r>
      <w:r w:rsidRPr="002029AF">
        <w:t>mainly</w:t>
      </w:r>
      <w:r w:rsidR="000A5329" w:rsidRPr="002029AF">
        <w:t xml:space="preserve"> </w:t>
      </w:r>
      <w:r w:rsidRPr="002029AF">
        <w:t>obtains</w:t>
      </w:r>
      <w:r w:rsidR="000A5329" w:rsidRPr="002029AF">
        <w:t xml:space="preserve"> </w:t>
      </w:r>
      <w:r w:rsidRPr="002029AF">
        <w:t>contractual</w:t>
      </w:r>
      <w:r w:rsidR="000A5329" w:rsidRPr="002029AF">
        <w:t xml:space="preserve"> </w:t>
      </w:r>
      <w:r w:rsidRPr="002029AF">
        <w:t>financial</w:t>
      </w:r>
      <w:r w:rsidR="000A5329" w:rsidRPr="002029AF">
        <w:t xml:space="preserve"> </w:t>
      </w:r>
      <w:r w:rsidRPr="002029AF">
        <w:t>assets</w:t>
      </w:r>
      <w:r w:rsidR="000A5329" w:rsidRPr="002029AF">
        <w:t xml:space="preserve"> </w:t>
      </w:r>
      <w:r w:rsidRPr="002029AF">
        <w:t>that</w:t>
      </w:r>
      <w:r w:rsidR="000A5329" w:rsidRPr="002029AF">
        <w:t xml:space="preserve"> </w:t>
      </w:r>
      <w:r w:rsidRPr="002029AF">
        <w:t>are</w:t>
      </w:r>
      <w:r w:rsidR="000A5329" w:rsidRPr="002029AF">
        <w:t xml:space="preserve"> </w:t>
      </w:r>
      <w:r w:rsidRPr="002029AF">
        <w:t>on</w:t>
      </w:r>
      <w:r w:rsidR="000A5329" w:rsidRPr="002029AF">
        <w:t xml:space="preserve"> </w:t>
      </w:r>
      <w:r w:rsidRPr="002029AF">
        <w:t>fixed</w:t>
      </w:r>
      <w:r w:rsidR="000A5329" w:rsidRPr="002029AF">
        <w:t xml:space="preserve"> </w:t>
      </w:r>
      <w:r w:rsidRPr="002029AF">
        <w:t>interest,</w:t>
      </w:r>
      <w:r w:rsidR="000A5329" w:rsidRPr="002029AF">
        <w:t xml:space="preserve"> </w:t>
      </w:r>
      <w:r w:rsidRPr="002029AF">
        <w:t>except</w:t>
      </w:r>
      <w:r w:rsidR="000A5329" w:rsidRPr="002029AF">
        <w:t xml:space="preserve"> </w:t>
      </w:r>
      <w:r w:rsidRPr="002029AF">
        <w:t>for</w:t>
      </w:r>
      <w:r w:rsidR="000A5329" w:rsidRPr="002029AF">
        <w:t xml:space="preserve"> </w:t>
      </w:r>
      <w:r w:rsidRPr="002029AF">
        <w:t>cash</w:t>
      </w:r>
      <w:r w:rsidR="000A5329" w:rsidRPr="002029AF">
        <w:t xml:space="preserve"> </w:t>
      </w:r>
      <w:r w:rsidRPr="002029AF">
        <w:t>and</w:t>
      </w:r>
      <w:r w:rsidR="000A5329" w:rsidRPr="002029AF">
        <w:t xml:space="preserve"> </w:t>
      </w:r>
      <w:r w:rsidRPr="002029AF">
        <w:t>deposits,</w:t>
      </w:r>
      <w:r w:rsidR="000A5329" w:rsidRPr="002029AF">
        <w:t xml:space="preserve"> </w:t>
      </w:r>
      <w:r w:rsidRPr="002029AF">
        <w:t>which</w:t>
      </w:r>
      <w:r w:rsidR="000A5329" w:rsidRPr="002029AF">
        <w:t xml:space="preserve"> </w:t>
      </w:r>
      <w:r w:rsidRPr="002029AF">
        <w:t>are</w:t>
      </w:r>
      <w:r w:rsidR="000A5329" w:rsidRPr="002029AF">
        <w:t xml:space="preserve"> </w:t>
      </w:r>
      <w:r w:rsidRPr="002029AF">
        <w:t>mainly</w:t>
      </w:r>
      <w:r w:rsidR="000A5329" w:rsidRPr="002029AF">
        <w:t xml:space="preserve"> </w:t>
      </w:r>
      <w:r w:rsidRPr="002029AF">
        <w:t>cash</w:t>
      </w:r>
      <w:r w:rsidR="000A5329" w:rsidRPr="002029AF">
        <w:t xml:space="preserve"> </w:t>
      </w:r>
      <w:r w:rsidRPr="002029AF">
        <w:t>at</w:t>
      </w:r>
      <w:r w:rsidR="000A5329" w:rsidRPr="002029AF">
        <w:t xml:space="preserve"> </w:t>
      </w:r>
      <w:r w:rsidRPr="002029AF">
        <w:t>bank.</w:t>
      </w:r>
      <w:r w:rsidR="000A5329" w:rsidRPr="002029AF">
        <w:t xml:space="preserve"> </w:t>
      </w:r>
      <w:r w:rsidRPr="002029AF">
        <w:t>As</w:t>
      </w:r>
      <w:r w:rsidR="000A5329" w:rsidRPr="002029AF">
        <w:t xml:space="preserve"> </w:t>
      </w:r>
      <w:r w:rsidRPr="002029AF">
        <w:t>with</w:t>
      </w:r>
      <w:r w:rsidR="000A5329" w:rsidRPr="002029AF">
        <w:t xml:space="preserve"> </w:t>
      </w:r>
      <w:r w:rsidRPr="002029AF">
        <w:t>the</w:t>
      </w:r>
      <w:r w:rsidR="000A5329" w:rsidRPr="002029AF">
        <w:t xml:space="preserve"> </w:t>
      </w:r>
      <w:r w:rsidRPr="002029AF">
        <w:t>policy</w:t>
      </w:r>
      <w:r w:rsidR="000A5329" w:rsidRPr="002029AF">
        <w:t xml:space="preserve"> </w:t>
      </w:r>
      <w:r w:rsidRPr="002029AF">
        <w:t>for</w:t>
      </w:r>
      <w:r w:rsidR="000A5329" w:rsidRPr="002029AF">
        <w:t xml:space="preserve"> </w:t>
      </w:r>
      <w:r w:rsidRPr="002029AF">
        <w:t>debtors,</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policy</w:t>
      </w:r>
      <w:r w:rsidR="000A5329" w:rsidRPr="002029AF">
        <w:t xml:space="preserve"> </w:t>
      </w:r>
      <w:r w:rsidRPr="002029AF">
        <w:t>is</w:t>
      </w:r>
      <w:r w:rsidR="000A5329" w:rsidRPr="002029AF">
        <w:t xml:space="preserve"> </w:t>
      </w:r>
      <w:r w:rsidRPr="002029AF">
        <w:t>to</w:t>
      </w:r>
      <w:r w:rsidR="000A5329" w:rsidRPr="002029AF">
        <w:t xml:space="preserve"> </w:t>
      </w:r>
      <w:r w:rsidRPr="002029AF">
        <w:t>only</w:t>
      </w:r>
      <w:r w:rsidR="000A5329" w:rsidRPr="002029AF">
        <w:t xml:space="preserve"> </w:t>
      </w:r>
      <w:r w:rsidRPr="002029AF">
        <w:t>deal</w:t>
      </w:r>
      <w:r w:rsidR="000A5329" w:rsidRPr="002029AF">
        <w:t xml:space="preserve"> </w:t>
      </w:r>
      <w:r w:rsidRPr="002029AF">
        <w:t>with</w:t>
      </w:r>
      <w:r w:rsidR="000A5329" w:rsidRPr="002029AF">
        <w:t xml:space="preserve"> </w:t>
      </w:r>
      <w:r w:rsidRPr="002029AF">
        <w:t>banks</w:t>
      </w:r>
      <w:r w:rsidR="000A5329" w:rsidRPr="002029AF">
        <w:t xml:space="preserve"> </w:t>
      </w:r>
      <w:r w:rsidRPr="002029AF">
        <w:t>with</w:t>
      </w:r>
      <w:r w:rsidR="000A5329" w:rsidRPr="002029AF">
        <w:t xml:space="preserve"> </w:t>
      </w:r>
      <w:r w:rsidRPr="002029AF">
        <w:t>high</w:t>
      </w:r>
      <w:r w:rsidR="000A5329" w:rsidRPr="002029AF">
        <w:t xml:space="preserve"> </w:t>
      </w:r>
      <w:r w:rsidRPr="002029AF">
        <w:t>credit</w:t>
      </w:r>
      <w:r w:rsidR="000A5329" w:rsidRPr="002029AF">
        <w:t xml:space="preserve"> </w:t>
      </w:r>
      <w:r w:rsidRPr="002029AF">
        <w:t>ratings.</w:t>
      </w:r>
    </w:p>
    <w:p w14:paraId="48FEA934" w14:textId="1E18E423" w:rsidR="00087B91" w:rsidRPr="002029AF" w:rsidRDefault="00087B91" w:rsidP="00087B91">
      <w:pPr>
        <w:pStyle w:val="ARfinbody"/>
      </w:pPr>
      <w:r w:rsidRPr="002029AF">
        <w:t>Provision</w:t>
      </w:r>
      <w:r w:rsidR="000A5329" w:rsidRPr="002029AF">
        <w:t xml:space="preserve"> </w:t>
      </w:r>
      <w:r w:rsidRPr="002029AF">
        <w:t>of</w:t>
      </w:r>
      <w:r w:rsidR="000A5329" w:rsidRPr="002029AF">
        <w:t xml:space="preserve"> </w:t>
      </w:r>
      <w:r w:rsidRPr="002029AF">
        <w:t>impairment</w:t>
      </w:r>
      <w:r w:rsidR="000A5329" w:rsidRPr="002029AF">
        <w:t xml:space="preserve"> </w:t>
      </w:r>
      <w:r w:rsidRPr="002029AF">
        <w:t>for</w:t>
      </w:r>
      <w:r w:rsidR="000A5329" w:rsidRPr="002029AF">
        <w:t xml:space="preserve"> </w:t>
      </w:r>
      <w:r w:rsidRPr="002029AF">
        <w:t>financial</w:t>
      </w:r>
      <w:r w:rsidR="000A5329" w:rsidRPr="002029AF">
        <w:t xml:space="preserve"> </w:t>
      </w:r>
      <w:r w:rsidRPr="002029AF">
        <w:t>assets</w:t>
      </w:r>
      <w:r w:rsidR="000A5329" w:rsidRPr="002029AF">
        <w:t xml:space="preserve"> </w:t>
      </w:r>
      <w:r w:rsidRPr="002029AF">
        <w:t>is</w:t>
      </w:r>
      <w:r w:rsidR="000A5329" w:rsidRPr="002029AF">
        <w:t xml:space="preserve"> </w:t>
      </w:r>
      <w:r w:rsidRPr="002029AF">
        <w:t>calculated</w:t>
      </w:r>
      <w:r w:rsidR="000A5329" w:rsidRPr="002029AF">
        <w:t xml:space="preserve"> </w:t>
      </w:r>
      <w:r w:rsidRPr="002029AF">
        <w:t>based</w:t>
      </w:r>
      <w:r w:rsidR="000A5329" w:rsidRPr="002029AF">
        <w:t xml:space="preserve"> </w:t>
      </w:r>
      <w:r w:rsidRPr="002029AF">
        <w:t>on</w:t>
      </w:r>
      <w:r w:rsidR="000A5329" w:rsidRPr="002029AF">
        <w:t xml:space="preserve"> </w:t>
      </w:r>
      <w:r w:rsidRPr="002029AF">
        <w:t>past</w:t>
      </w:r>
      <w:r w:rsidR="000A5329" w:rsidRPr="002029AF">
        <w:t xml:space="preserve"> </w:t>
      </w:r>
      <w:r w:rsidRPr="002029AF">
        <w:t>experience,</w:t>
      </w:r>
      <w:r w:rsidR="000A5329" w:rsidRPr="002029AF">
        <w:t xml:space="preserve"> </w:t>
      </w:r>
      <w:r w:rsidRPr="002029AF">
        <w:t>and</w:t>
      </w:r>
      <w:r w:rsidR="000A5329" w:rsidRPr="002029AF">
        <w:t xml:space="preserve"> </w:t>
      </w:r>
      <w:r w:rsidRPr="002029AF">
        <w:t>current</w:t>
      </w:r>
      <w:r w:rsidR="000A5329" w:rsidRPr="002029AF">
        <w:t xml:space="preserve"> </w:t>
      </w:r>
      <w:r w:rsidRPr="002029AF">
        <w:t>and</w:t>
      </w:r>
      <w:r w:rsidR="000A5329" w:rsidRPr="002029AF">
        <w:t xml:space="preserve"> </w:t>
      </w:r>
      <w:r w:rsidRPr="002029AF">
        <w:t>expected</w:t>
      </w:r>
      <w:r w:rsidR="000A5329" w:rsidRPr="002029AF">
        <w:t xml:space="preserve"> </w:t>
      </w:r>
      <w:r w:rsidRPr="002029AF">
        <w:t>changes</w:t>
      </w:r>
      <w:r w:rsidR="000A5329" w:rsidRPr="002029AF">
        <w:t xml:space="preserve"> </w:t>
      </w:r>
      <w:r w:rsidRPr="002029AF">
        <w:t>in</w:t>
      </w:r>
      <w:r w:rsidR="000A5329" w:rsidRPr="002029AF">
        <w:t xml:space="preserve"> </w:t>
      </w:r>
      <w:r w:rsidRPr="002029AF">
        <w:t>client</w:t>
      </w:r>
      <w:r w:rsidR="000A5329" w:rsidRPr="002029AF">
        <w:t xml:space="preserve"> </w:t>
      </w:r>
      <w:r w:rsidRPr="002029AF">
        <w:t>credit</w:t>
      </w:r>
      <w:r w:rsidR="000A5329" w:rsidRPr="002029AF">
        <w:t xml:space="preserve"> </w:t>
      </w:r>
      <w:r w:rsidRPr="002029AF">
        <w:t>ratings,</w:t>
      </w:r>
      <w:r w:rsidR="000A5329" w:rsidRPr="002029AF">
        <w:t xml:space="preserve"> </w:t>
      </w:r>
      <w:r w:rsidRPr="002029AF">
        <w:t>or</w:t>
      </w:r>
      <w:r w:rsidR="000A5329" w:rsidRPr="002029AF">
        <w:t xml:space="preserve"> </w:t>
      </w:r>
      <w:r w:rsidRPr="002029AF">
        <w:t>based</w:t>
      </w:r>
      <w:r w:rsidR="000A5329" w:rsidRPr="002029AF">
        <w:t xml:space="preserve"> </w:t>
      </w:r>
      <w:r w:rsidRPr="002029AF">
        <w:t>on</w:t>
      </w:r>
      <w:r w:rsidR="000A5329" w:rsidRPr="002029AF">
        <w:t xml:space="preserve"> </w:t>
      </w:r>
      <w:r w:rsidRPr="002029AF">
        <w:t>the</w:t>
      </w:r>
      <w:r w:rsidR="000A5329" w:rsidRPr="002029AF">
        <w:t xml:space="preserve"> </w:t>
      </w:r>
      <w:r w:rsidRPr="002029AF">
        <w:t>assumptions</w:t>
      </w:r>
      <w:r w:rsidR="000A5329" w:rsidRPr="002029AF">
        <w:t xml:space="preserve"> </w:t>
      </w:r>
      <w:r w:rsidRPr="002029AF">
        <w:t>about</w:t>
      </w:r>
      <w:r w:rsidR="000A5329" w:rsidRPr="002029AF">
        <w:t xml:space="preserve"> </w:t>
      </w:r>
      <w:r w:rsidRPr="002029AF">
        <w:t>risk</w:t>
      </w:r>
      <w:r w:rsidR="000A5329" w:rsidRPr="002029AF">
        <w:t xml:space="preserve"> </w:t>
      </w:r>
      <w:r w:rsidRPr="002029AF">
        <w:t>of</w:t>
      </w:r>
      <w:r w:rsidR="000A5329" w:rsidRPr="002029AF">
        <w:t xml:space="preserve"> </w:t>
      </w:r>
      <w:r w:rsidRPr="002029AF">
        <w:t>default</w:t>
      </w:r>
      <w:r w:rsidR="000A5329" w:rsidRPr="002029AF">
        <w:t xml:space="preserve"> </w:t>
      </w:r>
      <w:r w:rsidRPr="002029AF">
        <w:t>and</w:t>
      </w:r>
      <w:r w:rsidR="000A5329" w:rsidRPr="002029AF">
        <w:t xml:space="preserve"> </w:t>
      </w:r>
      <w:r w:rsidRPr="002029AF">
        <w:t>expected</w:t>
      </w:r>
      <w:r w:rsidR="000A5329" w:rsidRPr="002029AF">
        <w:t xml:space="preserve"> </w:t>
      </w:r>
      <w:r w:rsidRPr="002029AF">
        <w:t>credit</w:t>
      </w:r>
      <w:r w:rsidR="000A5329" w:rsidRPr="002029AF">
        <w:t xml:space="preserve"> </w:t>
      </w:r>
      <w:r w:rsidRPr="002029AF">
        <w:t>loss</w:t>
      </w:r>
      <w:r w:rsidR="000A5329" w:rsidRPr="002029AF">
        <w:t xml:space="preserve"> </w:t>
      </w:r>
      <w:r w:rsidRPr="002029AF">
        <w:t>rates.</w:t>
      </w:r>
      <w:r w:rsidR="000A5329" w:rsidRPr="002029AF">
        <w:t xml:space="preserve"> </w:t>
      </w:r>
      <w:r w:rsidRPr="002029AF">
        <w:t>Tenant</w:t>
      </w:r>
      <w:r w:rsidR="000A5329" w:rsidRPr="002029AF">
        <w:t xml:space="preserve"> </w:t>
      </w:r>
      <w:r w:rsidRPr="002029AF">
        <w:t>loans</w:t>
      </w:r>
      <w:r w:rsidR="000A5329" w:rsidRPr="002029AF">
        <w:t xml:space="preserve"> </w:t>
      </w:r>
      <w:r w:rsidRPr="002029AF">
        <w:t>are</w:t>
      </w:r>
      <w:r w:rsidR="000A5329" w:rsidRPr="002029AF">
        <w:t xml:space="preserve"> </w:t>
      </w:r>
      <w:r w:rsidRPr="002029AF">
        <w:t>made</w:t>
      </w:r>
      <w:r w:rsidR="000A5329" w:rsidRPr="002029AF">
        <w:t xml:space="preserve"> </w:t>
      </w:r>
      <w:r w:rsidRPr="002029AF">
        <w:t>up</w:t>
      </w:r>
      <w:r w:rsidR="000A5329" w:rsidRPr="002029AF">
        <w:t xml:space="preserve"> </w:t>
      </w:r>
      <w:r w:rsidRPr="002029AF">
        <w:t>of</w:t>
      </w:r>
      <w:r w:rsidR="000A5329" w:rsidRPr="002029AF">
        <w:t xml:space="preserve"> </w:t>
      </w:r>
      <w:r w:rsidRPr="002029AF">
        <w:t>small</w:t>
      </w:r>
      <w:r w:rsidR="000A5329" w:rsidRPr="002029AF">
        <w:t xml:space="preserve"> </w:t>
      </w:r>
      <w:r w:rsidRPr="002029AF">
        <w:t>amounts</w:t>
      </w:r>
      <w:r w:rsidR="000A5329" w:rsidRPr="002029AF">
        <w:t xml:space="preserve"> </w:t>
      </w:r>
      <w:r w:rsidRPr="002029AF">
        <w:t>therefore</w:t>
      </w:r>
      <w:r w:rsidR="000A5329" w:rsidRPr="002029AF">
        <w:t xml:space="preserve"> </w:t>
      </w:r>
      <w:r w:rsidRPr="002029AF">
        <w:t>the</w:t>
      </w:r>
      <w:r w:rsidR="000A5329" w:rsidRPr="002029AF">
        <w:t xml:space="preserve"> </w:t>
      </w:r>
      <w:r w:rsidRPr="002029AF">
        <w:t>likelihood</w:t>
      </w:r>
      <w:r w:rsidR="000A5329" w:rsidRPr="002029AF">
        <w:t xml:space="preserve"> </w:t>
      </w:r>
      <w:r w:rsidRPr="002029AF">
        <w:t>of</w:t>
      </w:r>
      <w:r w:rsidR="000A5329" w:rsidRPr="002029AF">
        <w:t xml:space="preserve"> </w:t>
      </w:r>
      <w:r w:rsidRPr="002029AF">
        <w:t>default</w:t>
      </w:r>
      <w:r w:rsidR="000A5329" w:rsidRPr="002029AF">
        <w:t xml:space="preserve"> </w:t>
      </w:r>
      <w:r w:rsidRPr="002029AF">
        <w:t>is</w:t>
      </w:r>
      <w:r w:rsidR="000A5329" w:rsidRPr="002029AF">
        <w:t xml:space="preserve"> </w:t>
      </w:r>
      <w:r w:rsidRPr="002029AF">
        <w:t>considered</w:t>
      </w:r>
      <w:r w:rsidR="000A5329" w:rsidRPr="002029AF">
        <w:t xml:space="preserve"> </w:t>
      </w:r>
      <w:r w:rsidRPr="002029AF">
        <w:t>immaterial.</w:t>
      </w:r>
    </w:p>
    <w:p w14:paraId="6CAE11AB" w14:textId="59B31314" w:rsidR="00087B91" w:rsidRPr="002029AF" w:rsidRDefault="00087B91" w:rsidP="00087B91">
      <w:pPr>
        <w:pStyle w:val="ARfinbody"/>
      </w:pPr>
      <w:r w:rsidRPr="002029AF">
        <w:t>Contract</w:t>
      </w:r>
      <w:r w:rsidR="000A5329" w:rsidRPr="002029AF">
        <w:t xml:space="preserve"> </w:t>
      </w:r>
      <w:r w:rsidRPr="002029AF">
        <w:t>financial</w:t>
      </w:r>
      <w:r w:rsidR="000A5329" w:rsidRPr="002029AF">
        <w:t xml:space="preserve"> </w:t>
      </w:r>
      <w:r w:rsidRPr="002029AF">
        <w:t>assets</w:t>
      </w:r>
      <w:r w:rsidR="000A5329" w:rsidRPr="002029AF">
        <w:t xml:space="preserve"> </w:t>
      </w:r>
      <w:r w:rsidRPr="002029AF">
        <w:t>are</w:t>
      </w:r>
      <w:r w:rsidR="000A5329" w:rsidRPr="002029AF">
        <w:t xml:space="preserve"> </w:t>
      </w:r>
      <w:r w:rsidRPr="002029AF">
        <w:t>written</w:t>
      </w:r>
      <w:r w:rsidR="000A5329" w:rsidRPr="002029AF">
        <w:t xml:space="preserve"> </w:t>
      </w:r>
      <w:r w:rsidRPr="002029AF">
        <w:t>off</w:t>
      </w:r>
      <w:r w:rsidR="000A5329" w:rsidRPr="002029AF">
        <w:t xml:space="preserve"> </w:t>
      </w:r>
      <w:r w:rsidRPr="002029AF">
        <w:t>against</w:t>
      </w:r>
      <w:r w:rsidR="000A5329" w:rsidRPr="002029AF">
        <w:t xml:space="preserve"> </w:t>
      </w:r>
      <w:r w:rsidRPr="002029AF">
        <w:t>the</w:t>
      </w:r>
      <w:r w:rsidR="000A5329" w:rsidRPr="002029AF">
        <w:t xml:space="preserve"> </w:t>
      </w:r>
      <w:r w:rsidRPr="002029AF">
        <w:t>carrying</w:t>
      </w:r>
      <w:r w:rsidR="000A5329" w:rsidRPr="002029AF">
        <w:t xml:space="preserve"> </w:t>
      </w:r>
      <w:r w:rsidRPr="002029AF">
        <w:t>amount</w:t>
      </w:r>
      <w:r w:rsidR="000A5329" w:rsidRPr="002029AF">
        <w:t xml:space="preserve"> </w:t>
      </w:r>
      <w:r w:rsidRPr="002029AF">
        <w:t>when</w:t>
      </w:r>
      <w:r w:rsidR="000A5329" w:rsidRPr="002029AF">
        <w:t xml:space="preserve"> </w:t>
      </w:r>
      <w:r w:rsidRPr="002029AF">
        <w:t>there</w:t>
      </w:r>
      <w:r w:rsidR="000A5329" w:rsidRPr="002029AF">
        <w:t xml:space="preserve"> </w:t>
      </w:r>
      <w:r w:rsidRPr="002029AF">
        <w:t>is</w:t>
      </w:r>
      <w:r w:rsidR="000A5329" w:rsidRPr="002029AF">
        <w:t xml:space="preserve"> </w:t>
      </w:r>
      <w:r w:rsidRPr="002029AF">
        <w:t>no</w:t>
      </w:r>
      <w:r w:rsidR="000A5329" w:rsidRPr="002029AF">
        <w:t xml:space="preserve"> </w:t>
      </w:r>
      <w:r w:rsidRPr="002029AF">
        <w:t>reasonable</w:t>
      </w:r>
      <w:r w:rsidR="000A5329" w:rsidRPr="002029AF">
        <w:t xml:space="preserve"> </w:t>
      </w:r>
      <w:r w:rsidRPr="002029AF">
        <w:t>expectation</w:t>
      </w:r>
      <w:r w:rsidR="000A5329" w:rsidRPr="002029AF">
        <w:t xml:space="preserve"> </w:t>
      </w:r>
      <w:r w:rsidRPr="002029AF">
        <w:t>of</w:t>
      </w:r>
      <w:r w:rsidR="000A5329" w:rsidRPr="002029AF">
        <w:t xml:space="preserve"> </w:t>
      </w:r>
      <w:r w:rsidRPr="002029AF">
        <w:t>recovery.</w:t>
      </w:r>
      <w:r w:rsidR="000A5329" w:rsidRPr="002029AF">
        <w:t xml:space="preserve"> </w:t>
      </w:r>
      <w:r w:rsidRPr="002029AF">
        <w:t>Bad</w:t>
      </w:r>
      <w:r w:rsidR="000A5329" w:rsidRPr="002029AF">
        <w:t xml:space="preserve"> </w:t>
      </w:r>
      <w:r w:rsidRPr="002029AF">
        <w:t>debt</w:t>
      </w:r>
      <w:r w:rsidR="000A5329" w:rsidRPr="002029AF">
        <w:t xml:space="preserve"> </w:t>
      </w:r>
      <w:r w:rsidRPr="002029AF">
        <w:t>written</w:t>
      </w:r>
      <w:r w:rsidR="000A5329" w:rsidRPr="002029AF">
        <w:t xml:space="preserve"> </w:t>
      </w:r>
      <w:r w:rsidRPr="002029AF">
        <w:t>off</w:t>
      </w:r>
      <w:r w:rsidR="000A5329" w:rsidRPr="002029AF">
        <w:t xml:space="preserve"> </w:t>
      </w:r>
      <w:r w:rsidRPr="002029AF">
        <w:t>by</w:t>
      </w:r>
      <w:r w:rsidR="000A5329" w:rsidRPr="002029AF">
        <w:t xml:space="preserve"> </w:t>
      </w:r>
      <w:r w:rsidRPr="002029AF">
        <w:t>mutual</w:t>
      </w:r>
      <w:r w:rsidR="000A5329" w:rsidRPr="002029AF">
        <w:t xml:space="preserve"> </w:t>
      </w:r>
      <w:r w:rsidRPr="002029AF">
        <w:t>consent</w:t>
      </w:r>
      <w:r w:rsidR="000A5329" w:rsidRPr="002029AF">
        <w:t xml:space="preserve"> </w:t>
      </w:r>
      <w:r w:rsidRPr="002029AF">
        <w:t>is</w:t>
      </w:r>
      <w:r w:rsidR="000A5329" w:rsidRPr="002029AF">
        <w:t xml:space="preserve"> </w:t>
      </w:r>
      <w:r w:rsidRPr="002029AF">
        <w:t>classified</w:t>
      </w:r>
      <w:r w:rsidR="000A5329" w:rsidRPr="002029AF">
        <w:t xml:space="preserve"> </w:t>
      </w:r>
      <w:r w:rsidRPr="002029AF">
        <w:t>as</w:t>
      </w:r>
      <w:r w:rsidR="000A5329" w:rsidRPr="002029AF">
        <w:t xml:space="preserve"> </w:t>
      </w:r>
      <w:r w:rsidRPr="002029AF">
        <w:t>a</w:t>
      </w:r>
      <w:r w:rsidR="000A5329" w:rsidRPr="002029AF">
        <w:t xml:space="preserve"> </w:t>
      </w:r>
      <w:r w:rsidRPr="002029AF">
        <w:t>transaction</w:t>
      </w:r>
      <w:r w:rsidR="000A5329" w:rsidRPr="002029AF">
        <w:t xml:space="preserve"> </w:t>
      </w:r>
      <w:r w:rsidRPr="002029AF">
        <w:t>expense.</w:t>
      </w:r>
      <w:r w:rsidR="000A5329" w:rsidRPr="002029AF">
        <w:t xml:space="preserve"> </w:t>
      </w:r>
      <w:r w:rsidRPr="002029AF">
        <w:t>Bad</w:t>
      </w:r>
      <w:r w:rsidR="000A5329" w:rsidRPr="002029AF">
        <w:t xml:space="preserve"> </w:t>
      </w:r>
      <w:r w:rsidRPr="002029AF">
        <w:t>debt</w:t>
      </w:r>
      <w:r w:rsidR="000A5329" w:rsidRPr="002029AF">
        <w:t xml:space="preserve"> </w:t>
      </w:r>
      <w:r w:rsidRPr="002029AF">
        <w:t>written</w:t>
      </w:r>
      <w:r w:rsidR="000A5329" w:rsidRPr="002029AF">
        <w:t xml:space="preserve"> </w:t>
      </w:r>
      <w:r w:rsidRPr="002029AF">
        <w:t>off</w:t>
      </w:r>
      <w:r w:rsidR="000A5329" w:rsidRPr="002029AF">
        <w:t xml:space="preserve"> </w:t>
      </w:r>
      <w:r w:rsidRPr="002029AF">
        <w:t>following</w:t>
      </w:r>
      <w:r w:rsidR="000A5329" w:rsidRPr="002029AF">
        <w:t xml:space="preserve"> </w:t>
      </w:r>
      <w:r w:rsidRPr="002029AF">
        <w:t>a</w:t>
      </w:r>
      <w:r w:rsidR="000A5329" w:rsidRPr="002029AF">
        <w:t xml:space="preserve"> </w:t>
      </w:r>
      <w:r w:rsidRPr="002029AF">
        <w:t>unilateral</w:t>
      </w:r>
      <w:r w:rsidR="000A5329" w:rsidRPr="002029AF">
        <w:t xml:space="preserve"> </w:t>
      </w:r>
      <w:r w:rsidRPr="002029AF">
        <w:t>decision</w:t>
      </w:r>
      <w:r w:rsidR="000A5329" w:rsidRPr="002029AF">
        <w:t xml:space="preserve"> </w:t>
      </w:r>
      <w:r w:rsidRPr="002029AF">
        <w:t>is</w:t>
      </w:r>
      <w:r w:rsidR="000A5329" w:rsidRPr="002029AF">
        <w:t xml:space="preserve"> </w:t>
      </w:r>
      <w:r w:rsidRPr="002029AF">
        <w:t>recognised</w:t>
      </w:r>
      <w:r w:rsidR="000A5329" w:rsidRPr="002029AF">
        <w:t xml:space="preserve"> </w:t>
      </w:r>
      <w:r w:rsidRPr="002029AF">
        <w:t>as</w:t>
      </w:r>
      <w:r w:rsidR="007920F7" w:rsidRPr="002029AF">
        <w:t> </w:t>
      </w:r>
      <w:r w:rsidRPr="002029AF">
        <w:t>other</w:t>
      </w:r>
      <w:r w:rsidR="000A5329" w:rsidRPr="002029AF">
        <w:t xml:space="preserve"> </w:t>
      </w:r>
      <w:r w:rsidRPr="002029AF">
        <w:t>economic</w:t>
      </w:r>
      <w:r w:rsidR="000A5329" w:rsidRPr="002029AF">
        <w:t xml:space="preserve"> </w:t>
      </w:r>
      <w:r w:rsidRPr="002029AF">
        <w:t>flows</w:t>
      </w:r>
      <w:r w:rsidR="000A5329" w:rsidRPr="002029AF">
        <w:t xml:space="preserve"> </w:t>
      </w:r>
      <w:r w:rsidRPr="002029AF">
        <w:t>in</w:t>
      </w:r>
      <w:r w:rsidR="000A5329" w:rsidRPr="002029AF">
        <w:t xml:space="preserve"> </w:t>
      </w:r>
      <w:r w:rsidRPr="002029AF">
        <w:t>the</w:t>
      </w:r>
      <w:r w:rsidR="000A5329" w:rsidRPr="002029AF">
        <w:t xml:space="preserve"> </w:t>
      </w:r>
      <w:r w:rsidRPr="002029AF">
        <w:t>net</w:t>
      </w:r>
      <w:r w:rsidR="000A5329" w:rsidRPr="002029AF">
        <w:t xml:space="preserve"> </w:t>
      </w:r>
      <w:r w:rsidRPr="002029AF">
        <w:t>result.</w:t>
      </w:r>
    </w:p>
    <w:p w14:paraId="6CE8CEE5" w14:textId="4F93FFBC" w:rsidR="00087B91" w:rsidRPr="002029AF" w:rsidRDefault="00087B91" w:rsidP="00087B91">
      <w:pPr>
        <w:pStyle w:val="ARfinbody"/>
      </w:pPr>
      <w:r w:rsidRPr="002029AF">
        <w:t>Except</w:t>
      </w:r>
      <w:r w:rsidR="000A5329" w:rsidRPr="002029AF">
        <w:t xml:space="preserve"> </w:t>
      </w:r>
      <w:r w:rsidRPr="002029AF">
        <w:t>as</w:t>
      </w:r>
      <w:r w:rsidR="000A5329" w:rsidRPr="002029AF">
        <w:t xml:space="preserve"> </w:t>
      </w:r>
      <w:r w:rsidRPr="002029AF">
        <w:t>otherwise</w:t>
      </w:r>
      <w:r w:rsidR="000A5329" w:rsidRPr="002029AF">
        <w:t xml:space="preserve"> </w:t>
      </w:r>
      <w:r w:rsidRPr="002029AF">
        <w:t>detailed</w:t>
      </w:r>
      <w:r w:rsidR="000A5329" w:rsidRPr="002029AF">
        <w:t xml:space="preserve"> </w:t>
      </w:r>
      <w:r w:rsidRPr="002029AF">
        <w:t>in</w:t>
      </w:r>
      <w:r w:rsidR="000A5329" w:rsidRPr="002029AF">
        <w:t xml:space="preserve"> </w:t>
      </w:r>
      <w:r w:rsidRPr="002029AF">
        <w:t>the</w:t>
      </w:r>
      <w:r w:rsidR="000A5329" w:rsidRPr="002029AF">
        <w:t xml:space="preserve"> </w:t>
      </w:r>
      <w:r w:rsidRPr="002029AF">
        <w:t>following</w:t>
      </w:r>
      <w:r w:rsidR="000A5329" w:rsidRPr="002029AF">
        <w:t xml:space="preserve"> </w:t>
      </w:r>
      <w:r w:rsidRPr="002029AF">
        <w:t>table,</w:t>
      </w:r>
      <w:r w:rsidR="000A5329" w:rsidRPr="002029AF">
        <w:t xml:space="preserve"> </w:t>
      </w:r>
      <w:r w:rsidRPr="002029AF">
        <w:t>the</w:t>
      </w:r>
      <w:r w:rsidR="000A5329" w:rsidRPr="002029AF">
        <w:t xml:space="preserve"> </w:t>
      </w:r>
      <w:r w:rsidRPr="002029AF">
        <w:t>carrying</w:t>
      </w:r>
      <w:r w:rsidR="000A5329" w:rsidRPr="002029AF">
        <w:t xml:space="preserve"> </w:t>
      </w:r>
      <w:r w:rsidRPr="002029AF">
        <w:t>amount</w:t>
      </w:r>
      <w:r w:rsidR="000A5329" w:rsidRPr="002029AF">
        <w:t xml:space="preserve"> </w:t>
      </w:r>
      <w:r w:rsidRPr="002029AF">
        <w:t>of</w:t>
      </w:r>
      <w:r w:rsidR="000A5329" w:rsidRPr="002029AF">
        <w:t xml:space="preserve"> </w:t>
      </w:r>
      <w:r w:rsidRPr="002029AF">
        <w:t>contractual</w:t>
      </w:r>
      <w:r w:rsidR="000A5329" w:rsidRPr="002029AF">
        <w:t xml:space="preserve"> </w:t>
      </w:r>
      <w:r w:rsidRPr="002029AF">
        <w:t>financial</w:t>
      </w:r>
      <w:r w:rsidR="000A5329" w:rsidRPr="002029AF">
        <w:t xml:space="preserve"> </w:t>
      </w:r>
      <w:r w:rsidRPr="002029AF">
        <w:t>assets</w:t>
      </w:r>
      <w:r w:rsidR="000A5329" w:rsidRPr="002029AF">
        <w:t xml:space="preserve"> </w:t>
      </w:r>
      <w:r w:rsidRPr="002029AF">
        <w:t>recorded</w:t>
      </w:r>
      <w:r w:rsidR="000A5329" w:rsidRPr="002029AF">
        <w:t xml:space="preserve"> </w:t>
      </w:r>
      <w:r w:rsidRPr="002029AF">
        <w:t>in</w:t>
      </w:r>
      <w:r w:rsidR="000A5329" w:rsidRPr="002029AF">
        <w:t xml:space="preserve"> </w:t>
      </w:r>
      <w:r w:rsidRPr="002029AF">
        <w:t>the</w:t>
      </w:r>
      <w:r w:rsidR="000A5329" w:rsidRPr="002029AF">
        <w:t xml:space="preserve"> </w:t>
      </w:r>
      <w:r w:rsidRPr="002029AF">
        <w:t>financial</w:t>
      </w:r>
      <w:r w:rsidR="000A5329" w:rsidRPr="002029AF">
        <w:t xml:space="preserve"> </w:t>
      </w:r>
      <w:r w:rsidRPr="002029AF">
        <w:t>report</w:t>
      </w:r>
      <w:r w:rsidR="000A5329" w:rsidRPr="002029AF">
        <w:t xml:space="preserve"> </w:t>
      </w:r>
      <w:r w:rsidRPr="002029AF">
        <w:t>statements,</w:t>
      </w:r>
      <w:r w:rsidR="000A5329" w:rsidRPr="002029AF">
        <w:t xml:space="preserve"> </w:t>
      </w:r>
      <w:r w:rsidRPr="002029AF">
        <w:t>net</w:t>
      </w:r>
      <w:r w:rsidR="000A5329" w:rsidRPr="002029AF">
        <w:t xml:space="preserve"> </w:t>
      </w:r>
      <w:r w:rsidRPr="002029AF">
        <w:t>of</w:t>
      </w:r>
      <w:r w:rsidR="000A5329" w:rsidRPr="002029AF">
        <w:t xml:space="preserve"> </w:t>
      </w:r>
      <w:r w:rsidRPr="002029AF">
        <w:t>any</w:t>
      </w:r>
      <w:r w:rsidR="000A5329" w:rsidRPr="002029AF">
        <w:t xml:space="preserve"> </w:t>
      </w:r>
      <w:r w:rsidRPr="002029AF">
        <w:t>allowances</w:t>
      </w:r>
      <w:r w:rsidR="000A5329" w:rsidRPr="002029AF">
        <w:t xml:space="preserve"> </w:t>
      </w:r>
      <w:r w:rsidRPr="002029AF">
        <w:t>for</w:t>
      </w:r>
      <w:r w:rsidR="000A5329" w:rsidRPr="002029AF">
        <w:t xml:space="preserve"> </w:t>
      </w:r>
      <w:r w:rsidRPr="002029AF">
        <w:t>losses,</w:t>
      </w:r>
      <w:r w:rsidR="000A5329" w:rsidRPr="002029AF">
        <w:t xml:space="preserve"> </w:t>
      </w:r>
      <w:r w:rsidRPr="002029AF">
        <w:t>represents</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maximum</w:t>
      </w:r>
      <w:r w:rsidR="000A5329" w:rsidRPr="002029AF">
        <w:t xml:space="preserve"> </w:t>
      </w:r>
      <w:r w:rsidRPr="002029AF">
        <w:t>exposure</w:t>
      </w:r>
      <w:r w:rsidR="000A5329" w:rsidRPr="002029AF">
        <w:t xml:space="preserve"> </w:t>
      </w:r>
      <w:r w:rsidRPr="002029AF">
        <w:t>to</w:t>
      </w:r>
      <w:r w:rsidR="000A5329" w:rsidRPr="002029AF">
        <w:t xml:space="preserve"> </w:t>
      </w:r>
      <w:r w:rsidRPr="002029AF">
        <w:t>credit</w:t>
      </w:r>
      <w:r w:rsidR="000A5329" w:rsidRPr="002029AF">
        <w:t xml:space="preserve"> </w:t>
      </w:r>
      <w:r w:rsidRPr="002029AF">
        <w:t>risk</w:t>
      </w:r>
      <w:r w:rsidR="000A5329" w:rsidRPr="002029AF">
        <w:t xml:space="preserve"> </w:t>
      </w:r>
      <w:r w:rsidRPr="002029AF">
        <w:t>without</w:t>
      </w:r>
      <w:r w:rsidR="000A5329" w:rsidRPr="002029AF">
        <w:t xml:space="preserve"> </w:t>
      </w:r>
      <w:r w:rsidRPr="002029AF">
        <w:t>taking</w:t>
      </w:r>
      <w:r w:rsidR="000A5329" w:rsidRPr="002029AF">
        <w:t xml:space="preserve"> </w:t>
      </w:r>
      <w:r w:rsidRPr="002029AF">
        <w:t>account</w:t>
      </w:r>
      <w:r w:rsidR="000A5329" w:rsidRPr="002029AF">
        <w:t xml:space="preserve"> </w:t>
      </w:r>
      <w:r w:rsidRPr="002029AF">
        <w:t>of</w:t>
      </w:r>
      <w:r w:rsidR="000A5329" w:rsidRPr="002029AF">
        <w:t xml:space="preserve"> </w:t>
      </w:r>
      <w:r w:rsidRPr="002029AF">
        <w:t>the</w:t>
      </w:r>
      <w:r w:rsidR="000A5329" w:rsidRPr="002029AF">
        <w:t xml:space="preserve"> </w:t>
      </w:r>
      <w:r w:rsidRPr="002029AF">
        <w:t>value</w:t>
      </w:r>
      <w:r w:rsidR="000A5329" w:rsidRPr="002029AF">
        <w:t xml:space="preserve"> </w:t>
      </w:r>
      <w:r w:rsidRPr="002029AF">
        <w:t>of</w:t>
      </w:r>
      <w:r w:rsidR="000A5329" w:rsidRPr="002029AF">
        <w:t xml:space="preserve"> </w:t>
      </w:r>
      <w:r w:rsidRPr="002029AF">
        <w:t>any</w:t>
      </w:r>
      <w:r w:rsidR="000A5329" w:rsidRPr="002029AF">
        <w:t xml:space="preserve"> </w:t>
      </w:r>
      <w:r w:rsidRPr="002029AF">
        <w:t>collateral</w:t>
      </w:r>
      <w:r w:rsidR="000A5329" w:rsidRPr="002029AF">
        <w:t xml:space="preserve"> </w:t>
      </w:r>
      <w:r w:rsidRPr="002029AF">
        <w:t>obtained.</w:t>
      </w:r>
    </w:p>
    <w:p w14:paraId="3A56181C" w14:textId="35C63A07" w:rsidR="00087B91" w:rsidRPr="002029AF" w:rsidRDefault="00087B91" w:rsidP="00087B91">
      <w:pPr>
        <w:pStyle w:val="ARfinbody"/>
      </w:pPr>
      <w:r w:rsidRPr="002029AF">
        <w:t>There</w:t>
      </w:r>
      <w:r w:rsidR="000A5329" w:rsidRPr="002029AF">
        <w:t xml:space="preserve"> </w:t>
      </w:r>
      <w:r w:rsidRPr="002029AF">
        <w:t>has</w:t>
      </w:r>
      <w:r w:rsidR="000A5329" w:rsidRPr="002029AF">
        <w:t xml:space="preserve"> </w:t>
      </w:r>
      <w:r w:rsidRPr="002029AF">
        <w:t>been</w:t>
      </w:r>
      <w:r w:rsidR="000A5329" w:rsidRPr="002029AF">
        <w:t xml:space="preserve"> </w:t>
      </w:r>
      <w:r w:rsidRPr="002029AF">
        <w:t>no</w:t>
      </w:r>
      <w:r w:rsidR="000A5329" w:rsidRPr="002029AF">
        <w:t xml:space="preserve"> </w:t>
      </w:r>
      <w:r w:rsidRPr="002029AF">
        <w:t>material</w:t>
      </w:r>
      <w:r w:rsidR="000A5329" w:rsidRPr="002029AF">
        <w:t xml:space="preserve"> </w:t>
      </w:r>
      <w:r w:rsidRPr="002029AF">
        <w:t>change</w:t>
      </w:r>
      <w:r w:rsidR="000A5329" w:rsidRPr="002029AF">
        <w:t xml:space="preserve"> </w:t>
      </w:r>
      <w:r w:rsidRPr="002029AF">
        <w:t>to</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credit</w:t>
      </w:r>
      <w:r w:rsidR="000A5329" w:rsidRPr="002029AF">
        <w:t xml:space="preserve"> </w:t>
      </w:r>
      <w:r w:rsidRPr="002029AF">
        <w:t>risk</w:t>
      </w:r>
      <w:r w:rsidR="000A5329" w:rsidRPr="002029AF">
        <w:t xml:space="preserve"> </w:t>
      </w:r>
      <w:r w:rsidRPr="002029AF">
        <w:t>profile</w:t>
      </w:r>
      <w:r w:rsidR="000A5329" w:rsidRPr="002029AF">
        <w:t xml:space="preserve"> </w:t>
      </w:r>
      <w:r w:rsidRPr="002029AF">
        <w:t>in</w:t>
      </w:r>
      <w:r w:rsidR="000A5329" w:rsidRPr="002029AF">
        <w:t xml:space="preserve"> </w:t>
      </w:r>
      <w:r w:rsidRPr="002029AF">
        <w:t>2019–20.</w:t>
      </w:r>
    </w:p>
    <w:p w14:paraId="13E7B9D3" w14:textId="5EEF9FE7" w:rsidR="00087B91" w:rsidRPr="002029AF" w:rsidRDefault="00087B91" w:rsidP="00087B91">
      <w:pPr>
        <w:pStyle w:val="Heading7"/>
      </w:pPr>
      <w:r w:rsidRPr="002029AF">
        <w:t>Credit</w:t>
      </w:r>
      <w:r w:rsidR="000A5329" w:rsidRPr="002029AF">
        <w:t xml:space="preserve"> </w:t>
      </w:r>
      <w:r w:rsidRPr="002029AF">
        <w:t>quality</w:t>
      </w:r>
      <w:r w:rsidR="000A5329" w:rsidRPr="002029AF">
        <w:t xml:space="preserve"> </w:t>
      </w:r>
      <w:r w:rsidRPr="002029AF">
        <w:t>of</w:t>
      </w:r>
      <w:r w:rsidR="000A5329" w:rsidRPr="002029AF">
        <w:t xml:space="preserve"> </w:t>
      </w:r>
      <w:r w:rsidRPr="002029AF">
        <w:t>contractual</w:t>
      </w:r>
      <w:r w:rsidR="000A5329" w:rsidRPr="002029AF">
        <w:t xml:space="preserve"> </w:t>
      </w:r>
      <w:r w:rsidRPr="002029AF">
        <w:t>financial</w:t>
      </w:r>
      <w:r w:rsidR="000A5329" w:rsidRPr="002029AF">
        <w:t xml:space="preserve"> </w:t>
      </w:r>
      <w:r w:rsidRPr="002029AF">
        <w:t>assets</w:t>
      </w:r>
    </w:p>
    <w:tbl>
      <w:tblPr>
        <w:tblStyle w:val="TableGrid"/>
        <w:tblW w:w="9637" w:type="dxa"/>
        <w:tblLayout w:type="fixed"/>
        <w:tblLook w:val="06A0" w:firstRow="1" w:lastRow="0" w:firstColumn="1" w:lastColumn="0" w:noHBand="1" w:noVBand="1"/>
      </w:tblPr>
      <w:tblGrid>
        <w:gridCol w:w="4534"/>
        <w:gridCol w:w="1275"/>
        <w:gridCol w:w="1276"/>
        <w:gridCol w:w="1276"/>
        <w:gridCol w:w="1276"/>
      </w:tblGrid>
      <w:tr w:rsidR="00087B91" w:rsidRPr="002029AF" w14:paraId="3942403C"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4534" w:type="dxa"/>
            <w:hideMark/>
          </w:tcPr>
          <w:p w14:paraId="3BD08A5A" w14:textId="77777777" w:rsidR="00087B91" w:rsidRPr="002029AF" w:rsidRDefault="00087B91" w:rsidP="00860E95">
            <w:pPr>
              <w:pStyle w:val="ARfintablecolhead"/>
            </w:pPr>
          </w:p>
        </w:tc>
        <w:tc>
          <w:tcPr>
            <w:tcW w:w="1275" w:type="dxa"/>
            <w:hideMark/>
          </w:tcPr>
          <w:p w14:paraId="4A586919" w14:textId="6751C9A2" w:rsidR="00087B91" w:rsidRPr="002029AF" w:rsidRDefault="00087B91" w:rsidP="00860E95">
            <w:pPr>
              <w:pStyle w:val="ARfintablecolheadright"/>
            </w:pPr>
            <w:r w:rsidRPr="002029AF">
              <w:t>Financial</w:t>
            </w:r>
            <w:r w:rsidR="000A5329" w:rsidRPr="002029AF">
              <w:t xml:space="preserve"> </w:t>
            </w:r>
            <w:r w:rsidRPr="002029AF">
              <w:t>institutions</w:t>
            </w:r>
            <w:r w:rsidR="000A5329" w:rsidRPr="002029AF">
              <w:t xml:space="preserve"> </w:t>
            </w:r>
            <w:r w:rsidRPr="002029AF">
              <w:t>double-A</w:t>
            </w:r>
            <w:r w:rsidR="000A5329" w:rsidRPr="002029AF">
              <w:t xml:space="preserve"> </w:t>
            </w:r>
            <w:r w:rsidRPr="002029AF">
              <w:t>credit</w:t>
            </w:r>
            <w:r w:rsidR="000A5329" w:rsidRPr="002029AF">
              <w:t xml:space="preserve"> </w:t>
            </w:r>
            <w:r w:rsidRPr="002029AF">
              <w:t>rating</w:t>
            </w:r>
            <w:r w:rsidRPr="002029AF">
              <w:br/>
              <w:t>Total</w:t>
            </w:r>
          </w:p>
          <w:p w14:paraId="3CC4CC15" w14:textId="77777777" w:rsidR="00087B91" w:rsidRPr="002029AF" w:rsidRDefault="00087B91" w:rsidP="00860E95">
            <w:pPr>
              <w:pStyle w:val="ARfintablecolheadright"/>
            </w:pPr>
            <w:r w:rsidRPr="002029AF">
              <w:t>$M</w:t>
            </w:r>
          </w:p>
        </w:tc>
        <w:tc>
          <w:tcPr>
            <w:tcW w:w="1276" w:type="dxa"/>
            <w:hideMark/>
          </w:tcPr>
          <w:p w14:paraId="64D61FF6" w14:textId="4279D3EA" w:rsidR="00087B91" w:rsidRPr="002029AF" w:rsidRDefault="00087B91" w:rsidP="00860E95">
            <w:pPr>
              <w:pStyle w:val="ARfintablecolheadright"/>
            </w:pPr>
            <w:r w:rsidRPr="002029AF">
              <w:t>Government</w:t>
            </w:r>
            <w:r w:rsidR="000A5329" w:rsidRPr="002029AF">
              <w:t xml:space="preserve"> </w:t>
            </w:r>
            <w:r w:rsidRPr="002029AF">
              <w:t>agencies</w:t>
            </w:r>
            <w:r w:rsidR="000A5329" w:rsidRPr="002029AF">
              <w:t xml:space="preserve"> </w:t>
            </w:r>
            <w:r w:rsidRPr="002029AF">
              <w:t>triple-A</w:t>
            </w:r>
            <w:r w:rsidR="000A5329" w:rsidRPr="002029AF">
              <w:t xml:space="preserve"> </w:t>
            </w:r>
            <w:r w:rsidRPr="002029AF">
              <w:t>credit</w:t>
            </w:r>
            <w:r w:rsidR="000A5329" w:rsidRPr="002029AF">
              <w:t xml:space="preserve"> </w:t>
            </w:r>
            <w:r w:rsidRPr="002029AF">
              <w:t>rating</w:t>
            </w:r>
            <w:r w:rsidRPr="002029AF">
              <w:br/>
              <w:t>Total</w:t>
            </w:r>
          </w:p>
          <w:p w14:paraId="05951483" w14:textId="77777777" w:rsidR="00087B91" w:rsidRPr="002029AF" w:rsidRDefault="00087B91" w:rsidP="00860E95">
            <w:pPr>
              <w:pStyle w:val="ARfintablecolheadright"/>
            </w:pPr>
            <w:r w:rsidRPr="002029AF">
              <w:t>$M</w:t>
            </w:r>
          </w:p>
        </w:tc>
        <w:tc>
          <w:tcPr>
            <w:tcW w:w="1276" w:type="dxa"/>
            <w:hideMark/>
          </w:tcPr>
          <w:p w14:paraId="43408788" w14:textId="63F20234" w:rsidR="00087B91" w:rsidRPr="002029AF" w:rsidRDefault="00087B91" w:rsidP="00860E95">
            <w:pPr>
              <w:pStyle w:val="ARfintablecolheadright"/>
            </w:pPr>
            <w:r w:rsidRPr="002029AF">
              <w:t>Credit</w:t>
            </w:r>
            <w:r w:rsidR="000A5329" w:rsidRPr="002029AF">
              <w:t xml:space="preserve"> </w:t>
            </w:r>
            <w:r w:rsidRPr="002029AF">
              <w:t>ratings</w:t>
            </w:r>
            <w:r w:rsidR="000A5329" w:rsidRPr="002029AF">
              <w:t xml:space="preserve"> </w:t>
            </w:r>
            <w:r w:rsidRPr="002029AF">
              <w:t>not</w:t>
            </w:r>
            <w:r w:rsidR="000A5329" w:rsidRPr="002029AF">
              <w:t xml:space="preserve"> </w:t>
            </w:r>
            <w:r w:rsidRPr="002029AF">
              <w:t>disclosed</w:t>
            </w:r>
          </w:p>
          <w:p w14:paraId="1D9C511D" w14:textId="77777777" w:rsidR="00087B91" w:rsidRPr="002029AF" w:rsidRDefault="00087B91" w:rsidP="00860E95">
            <w:pPr>
              <w:pStyle w:val="ARfintablecolheadright"/>
            </w:pPr>
            <w:r w:rsidRPr="002029AF">
              <w:t>$M</w:t>
            </w:r>
          </w:p>
        </w:tc>
        <w:tc>
          <w:tcPr>
            <w:tcW w:w="1276" w:type="dxa"/>
            <w:hideMark/>
          </w:tcPr>
          <w:p w14:paraId="10E07DCF" w14:textId="77777777" w:rsidR="00087B91" w:rsidRPr="002029AF" w:rsidRDefault="00087B91" w:rsidP="00860E95">
            <w:pPr>
              <w:pStyle w:val="ARfintablecolheadright"/>
            </w:pPr>
            <w:r w:rsidRPr="002029AF">
              <w:t>Total</w:t>
            </w:r>
          </w:p>
          <w:p w14:paraId="0F47317D" w14:textId="77777777" w:rsidR="00087B91" w:rsidRPr="002029AF" w:rsidRDefault="00087B91" w:rsidP="00860E95">
            <w:pPr>
              <w:pStyle w:val="ARfintablecolheadright"/>
            </w:pPr>
            <w:r w:rsidRPr="002029AF">
              <w:t>$M</w:t>
            </w:r>
          </w:p>
        </w:tc>
      </w:tr>
      <w:tr w:rsidR="00087B91" w:rsidRPr="002029AF" w14:paraId="4A5D26C3" w14:textId="77777777" w:rsidTr="00860E95">
        <w:tc>
          <w:tcPr>
            <w:tcW w:w="9637" w:type="dxa"/>
            <w:gridSpan w:val="5"/>
            <w:tcBorders>
              <w:bottom w:val="single" w:sz="4" w:space="0" w:color="auto"/>
            </w:tcBorders>
            <w:hideMark/>
          </w:tcPr>
          <w:p w14:paraId="3DA6FDA3" w14:textId="77777777" w:rsidR="00087B91" w:rsidRPr="002029AF" w:rsidRDefault="00087B91" w:rsidP="00860E95">
            <w:pPr>
              <w:pStyle w:val="ARfintablebodybold"/>
            </w:pPr>
            <w:r w:rsidRPr="002029AF">
              <w:t>2020</w:t>
            </w:r>
          </w:p>
        </w:tc>
      </w:tr>
      <w:tr w:rsidR="00087B91" w:rsidRPr="002029AF" w14:paraId="2A7D56BD" w14:textId="77777777" w:rsidTr="00860E95">
        <w:tc>
          <w:tcPr>
            <w:tcW w:w="4534" w:type="dxa"/>
            <w:tcBorders>
              <w:top w:val="single" w:sz="4" w:space="0" w:color="auto"/>
              <w:bottom w:val="single" w:sz="4" w:space="0" w:color="A6A6A6"/>
            </w:tcBorders>
            <w:hideMark/>
          </w:tcPr>
          <w:p w14:paraId="72A4EACB" w14:textId="3E299BB0" w:rsidR="00087B91" w:rsidRPr="002029AF" w:rsidRDefault="00087B91" w:rsidP="00860E95">
            <w:pPr>
              <w:pStyle w:val="ARfintablebody"/>
            </w:pPr>
            <w:r w:rsidRPr="002029AF">
              <w:t>Cash</w:t>
            </w:r>
            <w:r w:rsidR="000A5329" w:rsidRPr="002029AF">
              <w:t xml:space="preserve"> </w:t>
            </w:r>
            <w:r w:rsidRPr="002029AF">
              <w:t>and</w:t>
            </w:r>
            <w:r w:rsidR="000A5329" w:rsidRPr="002029AF">
              <w:t xml:space="preserve"> </w:t>
            </w:r>
            <w:r w:rsidRPr="002029AF">
              <w:t>deposits</w:t>
            </w:r>
            <w:r w:rsidR="000A5329" w:rsidRPr="002029AF">
              <w:t xml:space="preserve"> </w:t>
            </w:r>
            <w:r w:rsidRPr="002029AF">
              <w:t>(not</w:t>
            </w:r>
            <w:r w:rsidR="000A5329" w:rsidRPr="002029AF">
              <w:t xml:space="preserve"> </w:t>
            </w:r>
            <w:r w:rsidRPr="002029AF">
              <w:t>assessed</w:t>
            </w:r>
            <w:r w:rsidR="000A5329" w:rsidRPr="002029AF">
              <w:t xml:space="preserve"> </w:t>
            </w:r>
            <w:r w:rsidRPr="002029AF">
              <w:t>for</w:t>
            </w:r>
            <w:r w:rsidR="000A5329" w:rsidRPr="002029AF">
              <w:t xml:space="preserve"> </w:t>
            </w:r>
            <w:r w:rsidRPr="002029AF">
              <w:t>impairment</w:t>
            </w:r>
            <w:r w:rsidR="000A5329" w:rsidRPr="002029AF">
              <w:t xml:space="preserve"> </w:t>
            </w:r>
            <w:r w:rsidRPr="002029AF">
              <w:t>due</w:t>
            </w:r>
            <w:r w:rsidR="000A5329" w:rsidRPr="002029AF">
              <w:t xml:space="preserve"> </w:t>
            </w:r>
            <w:r w:rsidRPr="002029AF">
              <w:t>to</w:t>
            </w:r>
            <w:r w:rsidR="000A5329" w:rsidRPr="002029AF">
              <w:t xml:space="preserve"> </w:t>
            </w:r>
            <w:r w:rsidRPr="002029AF">
              <w:t>materiality)</w:t>
            </w:r>
          </w:p>
        </w:tc>
        <w:tc>
          <w:tcPr>
            <w:tcW w:w="1275" w:type="dxa"/>
            <w:tcBorders>
              <w:top w:val="single" w:sz="4" w:space="0" w:color="auto"/>
              <w:bottom w:val="single" w:sz="4" w:space="0" w:color="A6A6A6"/>
            </w:tcBorders>
            <w:noWrap/>
            <w:hideMark/>
          </w:tcPr>
          <w:p w14:paraId="3BD0536D" w14:textId="77777777" w:rsidR="00087B91" w:rsidRPr="002029AF" w:rsidRDefault="00087B91" w:rsidP="00860E95">
            <w:pPr>
              <w:pStyle w:val="ARfintablebodyright"/>
            </w:pPr>
            <w:r w:rsidRPr="002029AF">
              <w:t>452.2</w:t>
            </w:r>
          </w:p>
        </w:tc>
        <w:tc>
          <w:tcPr>
            <w:tcW w:w="1276" w:type="dxa"/>
            <w:tcBorders>
              <w:top w:val="single" w:sz="4" w:space="0" w:color="auto"/>
              <w:bottom w:val="single" w:sz="4" w:space="0" w:color="A6A6A6"/>
            </w:tcBorders>
            <w:noWrap/>
            <w:hideMark/>
          </w:tcPr>
          <w:p w14:paraId="421D42CE" w14:textId="77777777" w:rsidR="00087B91" w:rsidRPr="002029AF" w:rsidRDefault="00087B91" w:rsidP="00860E95">
            <w:pPr>
              <w:pStyle w:val="ARfintablebodyright"/>
            </w:pPr>
            <w:r w:rsidRPr="002029AF">
              <w:t>145.5</w:t>
            </w:r>
          </w:p>
        </w:tc>
        <w:tc>
          <w:tcPr>
            <w:tcW w:w="1276" w:type="dxa"/>
            <w:tcBorders>
              <w:top w:val="single" w:sz="4" w:space="0" w:color="auto"/>
              <w:bottom w:val="single" w:sz="4" w:space="0" w:color="A6A6A6"/>
            </w:tcBorders>
            <w:noWrap/>
            <w:hideMark/>
          </w:tcPr>
          <w:p w14:paraId="7798BA3D" w14:textId="77777777" w:rsidR="00087B91" w:rsidRPr="002029AF" w:rsidRDefault="00087B91" w:rsidP="00860E95">
            <w:pPr>
              <w:pStyle w:val="ARfintablebodyright"/>
            </w:pPr>
            <w:r w:rsidRPr="002029AF">
              <w:t>–</w:t>
            </w:r>
          </w:p>
        </w:tc>
        <w:tc>
          <w:tcPr>
            <w:tcW w:w="1276" w:type="dxa"/>
            <w:tcBorders>
              <w:top w:val="single" w:sz="4" w:space="0" w:color="auto"/>
              <w:bottom w:val="single" w:sz="4" w:space="0" w:color="A6A6A6"/>
            </w:tcBorders>
            <w:noWrap/>
            <w:hideMark/>
          </w:tcPr>
          <w:p w14:paraId="392DBB75" w14:textId="77777777" w:rsidR="00087B91" w:rsidRPr="002029AF" w:rsidRDefault="00087B91" w:rsidP="00860E95">
            <w:pPr>
              <w:pStyle w:val="ARfintablebodyright"/>
            </w:pPr>
            <w:r w:rsidRPr="002029AF">
              <w:t>597.7</w:t>
            </w:r>
          </w:p>
        </w:tc>
      </w:tr>
      <w:tr w:rsidR="00087B91" w:rsidRPr="002029AF" w14:paraId="24B584F6" w14:textId="77777777" w:rsidTr="00860E95">
        <w:tc>
          <w:tcPr>
            <w:tcW w:w="4534" w:type="dxa"/>
            <w:tcBorders>
              <w:top w:val="single" w:sz="4" w:space="0" w:color="A6A6A6"/>
              <w:bottom w:val="single" w:sz="4" w:space="0" w:color="A6A6A6"/>
            </w:tcBorders>
            <w:hideMark/>
          </w:tcPr>
          <w:p w14:paraId="25756555" w14:textId="19C5D28A" w:rsidR="00087B91" w:rsidRPr="002029AF" w:rsidRDefault="00087B91" w:rsidP="00860E95">
            <w:pPr>
              <w:pStyle w:val="ARfintablebody"/>
            </w:pPr>
            <w:r w:rsidRPr="002029AF">
              <w:t>Contractual</w:t>
            </w:r>
            <w:r w:rsidR="000A5329" w:rsidRPr="002029AF">
              <w:t xml:space="preserve"> </w:t>
            </w:r>
            <w:r w:rsidRPr="002029AF">
              <w:t>receivables</w:t>
            </w:r>
            <w:r w:rsidR="000A5329" w:rsidRPr="002029AF">
              <w:t xml:space="preserve"> </w:t>
            </w:r>
            <w:r w:rsidRPr="002029AF">
              <w:t>applying</w:t>
            </w:r>
            <w:r w:rsidR="000A5329" w:rsidRPr="002029AF">
              <w:t xml:space="preserve"> </w:t>
            </w:r>
            <w:r w:rsidRPr="002029AF">
              <w:t>the</w:t>
            </w:r>
            <w:r w:rsidR="000A5329" w:rsidRPr="002029AF">
              <w:t xml:space="preserve"> </w:t>
            </w:r>
            <w:r w:rsidRPr="002029AF">
              <w:t>simplified</w:t>
            </w:r>
            <w:r w:rsidR="000A5329" w:rsidRPr="002029AF">
              <w:t xml:space="preserve"> </w:t>
            </w:r>
            <w:r w:rsidRPr="002029AF">
              <w:t>approach</w:t>
            </w:r>
            <w:r w:rsidR="000A5329" w:rsidRPr="002029AF">
              <w:t xml:space="preserve"> </w:t>
            </w:r>
            <w:r w:rsidRPr="002029AF">
              <w:t>for</w:t>
            </w:r>
            <w:r w:rsidR="000A5329" w:rsidRPr="002029AF">
              <w:t xml:space="preserve"> </w:t>
            </w:r>
            <w:r w:rsidRPr="002029AF">
              <w:t>impairment</w:t>
            </w:r>
            <w:r w:rsidR="000A5329" w:rsidRPr="002029AF">
              <w:t xml:space="preserve"> </w:t>
            </w:r>
            <w:r w:rsidRPr="002029AF">
              <w:rPr>
                <w:rStyle w:val="Superscript"/>
              </w:rPr>
              <w:t>(i)(ii)</w:t>
            </w:r>
          </w:p>
        </w:tc>
        <w:tc>
          <w:tcPr>
            <w:tcW w:w="1275" w:type="dxa"/>
            <w:tcBorders>
              <w:top w:val="single" w:sz="4" w:space="0" w:color="A6A6A6"/>
              <w:bottom w:val="single" w:sz="4" w:space="0" w:color="A6A6A6"/>
            </w:tcBorders>
            <w:noWrap/>
            <w:hideMark/>
          </w:tcPr>
          <w:p w14:paraId="23BD2B19" w14:textId="77777777" w:rsidR="00087B91" w:rsidRPr="002029AF" w:rsidRDefault="00087B91" w:rsidP="00860E95">
            <w:pPr>
              <w:pStyle w:val="ARfintablebodyright"/>
            </w:pPr>
            <w:r w:rsidRPr="002029AF">
              <w:t>–</w:t>
            </w:r>
          </w:p>
        </w:tc>
        <w:tc>
          <w:tcPr>
            <w:tcW w:w="1276" w:type="dxa"/>
            <w:tcBorders>
              <w:top w:val="single" w:sz="4" w:space="0" w:color="A6A6A6"/>
              <w:bottom w:val="single" w:sz="4" w:space="0" w:color="A6A6A6"/>
            </w:tcBorders>
            <w:noWrap/>
            <w:hideMark/>
          </w:tcPr>
          <w:p w14:paraId="2B2B20EB" w14:textId="77777777" w:rsidR="00087B91" w:rsidRPr="002029AF" w:rsidRDefault="00087B91" w:rsidP="00860E95">
            <w:pPr>
              <w:pStyle w:val="ARfintablebodyright"/>
            </w:pPr>
            <w:r w:rsidRPr="002029AF">
              <w:t>382.5</w:t>
            </w:r>
          </w:p>
        </w:tc>
        <w:tc>
          <w:tcPr>
            <w:tcW w:w="1276" w:type="dxa"/>
            <w:tcBorders>
              <w:top w:val="single" w:sz="4" w:space="0" w:color="A6A6A6"/>
              <w:bottom w:val="single" w:sz="4" w:space="0" w:color="A6A6A6"/>
            </w:tcBorders>
            <w:noWrap/>
            <w:hideMark/>
          </w:tcPr>
          <w:p w14:paraId="309AB21C" w14:textId="77777777" w:rsidR="00087B91" w:rsidRPr="002029AF" w:rsidRDefault="00087B91" w:rsidP="00860E95">
            <w:pPr>
              <w:pStyle w:val="ARfintablebodyright"/>
            </w:pPr>
            <w:r w:rsidRPr="002029AF">
              <w:t>105.2</w:t>
            </w:r>
          </w:p>
        </w:tc>
        <w:tc>
          <w:tcPr>
            <w:tcW w:w="1276" w:type="dxa"/>
            <w:tcBorders>
              <w:top w:val="single" w:sz="4" w:space="0" w:color="A6A6A6"/>
              <w:bottom w:val="single" w:sz="4" w:space="0" w:color="A6A6A6"/>
            </w:tcBorders>
            <w:noWrap/>
            <w:hideMark/>
          </w:tcPr>
          <w:p w14:paraId="39AFB4BD" w14:textId="77777777" w:rsidR="00087B91" w:rsidRPr="002029AF" w:rsidRDefault="00087B91" w:rsidP="00860E95">
            <w:pPr>
              <w:pStyle w:val="ARfintablebodyright"/>
            </w:pPr>
            <w:r w:rsidRPr="002029AF">
              <w:t>487.7</w:t>
            </w:r>
          </w:p>
        </w:tc>
      </w:tr>
      <w:tr w:rsidR="00087B91" w:rsidRPr="002029AF" w14:paraId="4EFA8CF5" w14:textId="77777777" w:rsidTr="00860E95">
        <w:tc>
          <w:tcPr>
            <w:tcW w:w="4534" w:type="dxa"/>
            <w:tcBorders>
              <w:top w:val="single" w:sz="4" w:space="0" w:color="A6A6A6"/>
              <w:bottom w:val="single" w:sz="4" w:space="0" w:color="A6A6A6"/>
            </w:tcBorders>
            <w:hideMark/>
          </w:tcPr>
          <w:p w14:paraId="62BAA416" w14:textId="64D7A55F" w:rsidR="00087B91" w:rsidRPr="002029AF" w:rsidRDefault="00087B91" w:rsidP="00860E95">
            <w:pPr>
              <w:pStyle w:val="ARfintablebody"/>
            </w:pPr>
            <w:r w:rsidRPr="002029AF">
              <w:t>Loans</w:t>
            </w:r>
            <w:r w:rsidR="000A5329" w:rsidRPr="002029AF">
              <w:t xml:space="preserve"> </w:t>
            </w:r>
            <w:r w:rsidRPr="002029AF">
              <w:rPr>
                <w:rStyle w:val="Superscript"/>
              </w:rPr>
              <w:t>(ii)</w:t>
            </w:r>
          </w:p>
        </w:tc>
        <w:tc>
          <w:tcPr>
            <w:tcW w:w="1275" w:type="dxa"/>
            <w:tcBorders>
              <w:top w:val="single" w:sz="4" w:space="0" w:color="A6A6A6"/>
              <w:bottom w:val="single" w:sz="4" w:space="0" w:color="A6A6A6"/>
            </w:tcBorders>
            <w:noWrap/>
            <w:hideMark/>
          </w:tcPr>
          <w:p w14:paraId="2D35CE37" w14:textId="77777777" w:rsidR="00087B91" w:rsidRPr="002029AF" w:rsidRDefault="00087B91" w:rsidP="00860E95">
            <w:pPr>
              <w:pStyle w:val="ARfintablebodyright"/>
            </w:pPr>
            <w:r w:rsidRPr="002029AF">
              <w:t>–</w:t>
            </w:r>
          </w:p>
        </w:tc>
        <w:tc>
          <w:tcPr>
            <w:tcW w:w="1276" w:type="dxa"/>
            <w:tcBorders>
              <w:top w:val="single" w:sz="4" w:space="0" w:color="A6A6A6"/>
              <w:bottom w:val="single" w:sz="4" w:space="0" w:color="A6A6A6"/>
            </w:tcBorders>
            <w:noWrap/>
            <w:hideMark/>
          </w:tcPr>
          <w:p w14:paraId="0434CEE1" w14:textId="77777777" w:rsidR="00087B91" w:rsidRPr="002029AF" w:rsidRDefault="00087B91" w:rsidP="00860E95">
            <w:pPr>
              <w:pStyle w:val="ARfintablebodyright"/>
            </w:pPr>
            <w:r w:rsidRPr="002029AF">
              <w:t>323.5</w:t>
            </w:r>
          </w:p>
        </w:tc>
        <w:tc>
          <w:tcPr>
            <w:tcW w:w="1276" w:type="dxa"/>
            <w:tcBorders>
              <w:top w:val="single" w:sz="4" w:space="0" w:color="A6A6A6"/>
              <w:bottom w:val="single" w:sz="4" w:space="0" w:color="A6A6A6"/>
            </w:tcBorders>
            <w:noWrap/>
            <w:hideMark/>
          </w:tcPr>
          <w:p w14:paraId="78F1385F" w14:textId="77777777" w:rsidR="00087B91" w:rsidRPr="002029AF" w:rsidRDefault="00087B91" w:rsidP="00860E95">
            <w:pPr>
              <w:pStyle w:val="ARfintablebodyright"/>
            </w:pPr>
            <w:r w:rsidRPr="002029AF">
              <w:t>66.0</w:t>
            </w:r>
          </w:p>
        </w:tc>
        <w:tc>
          <w:tcPr>
            <w:tcW w:w="1276" w:type="dxa"/>
            <w:tcBorders>
              <w:top w:val="single" w:sz="4" w:space="0" w:color="A6A6A6"/>
              <w:bottom w:val="single" w:sz="4" w:space="0" w:color="A6A6A6"/>
            </w:tcBorders>
            <w:noWrap/>
            <w:hideMark/>
          </w:tcPr>
          <w:p w14:paraId="590C7BE9" w14:textId="77777777" w:rsidR="00087B91" w:rsidRPr="002029AF" w:rsidRDefault="00087B91" w:rsidP="00860E95">
            <w:pPr>
              <w:pStyle w:val="ARfintablebodyright"/>
            </w:pPr>
            <w:r w:rsidRPr="002029AF">
              <w:t>389.5</w:t>
            </w:r>
          </w:p>
        </w:tc>
      </w:tr>
      <w:tr w:rsidR="00087B91" w:rsidRPr="002029AF" w14:paraId="2A649426" w14:textId="77777777" w:rsidTr="00860E95">
        <w:tc>
          <w:tcPr>
            <w:tcW w:w="4534" w:type="dxa"/>
            <w:tcBorders>
              <w:top w:val="single" w:sz="4" w:space="0" w:color="A6A6A6"/>
              <w:bottom w:val="single" w:sz="4" w:space="0" w:color="A6A6A6"/>
            </w:tcBorders>
            <w:hideMark/>
          </w:tcPr>
          <w:p w14:paraId="7CFE81BF" w14:textId="3DD08F2E" w:rsidR="00087B91" w:rsidRPr="002029AF" w:rsidRDefault="00087B91" w:rsidP="00860E95">
            <w:pPr>
              <w:pStyle w:val="ARfintablebody"/>
            </w:pPr>
            <w:r w:rsidRPr="002029AF">
              <w:t>Short-term</w:t>
            </w:r>
            <w:r w:rsidR="000A5329" w:rsidRPr="002029AF">
              <w:t xml:space="preserve"> </w:t>
            </w:r>
            <w:r w:rsidRPr="002029AF">
              <w:t>investments</w:t>
            </w:r>
            <w:r w:rsidR="000A5329" w:rsidRPr="002029AF">
              <w:t xml:space="preserve"> </w:t>
            </w:r>
            <w:r w:rsidRPr="002029AF">
              <w:t>–</w:t>
            </w:r>
            <w:r w:rsidR="000A5329" w:rsidRPr="002029AF">
              <w:t xml:space="preserve"> </w:t>
            </w:r>
            <w:r w:rsidRPr="002029AF">
              <w:t>term</w:t>
            </w:r>
            <w:r w:rsidR="000A5329" w:rsidRPr="002029AF">
              <w:t xml:space="preserve"> </w:t>
            </w:r>
            <w:r w:rsidRPr="002029AF">
              <w:t>deposits</w:t>
            </w:r>
          </w:p>
        </w:tc>
        <w:tc>
          <w:tcPr>
            <w:tcW w:w="1275" w:type="dxa"/>
            <w:tcBorders>
              <w:top w:val="single" w:sz="4" w:space="0" w:color="A6A6A6"/>
              <w:bottom w:val="single" w:sz="4" w:space="0" w:color="A6A6A6"/>
            </w:tcBorders>
            <w:noWrap/>
            <w:hideMark/>
          </w:tcPr>
          <w:p w14:paraId="4AC4680F" w14:textId="77777777" w:rsidR="00087B91" w:rsidRPr="002029AF" w:rsidRDefault="00087B91" w:rsidP="00860E95">
            <w:pPr>
              <w:pStyle w:val="ARfintablebodyright"/>
            </w:pPr>
            <w:r w:rsidRPr="002029AF">
              <w:t>–</w:t>
            </w:r>
          </w:p>
        </w:tc>
        <w:tc>
          <w:tcPr>
            <w:tcW w:w="1276" w:type="dxa"/>
            <w:tcBorders>
              <w:top w:val="single" w:sz="4" w:space="0" w:color="A6A6A6"/>
              <w:bottom w:val="single" w:sz="4" w:space="0" w:color="A6A6A6"/>
            </w:tcBorders>
            <w:noWrap/>
            <w:hideMark/>
          </w:tcPr>
          <w:p w14:paraId="6BD8E209" w14:textId="77777777" w:rsidR="00087B91" w:rsidRPr="002029AF" w:rsidRDefault="00087B91" w:rsidP="00860E95">
            <w:pPr>
              <w:pStyle w:val="ARfintablebodyright"/>
            </w:pPr>
            <w:r w:rsidRPr="002029AF">
              <w:t>–</w:t>
            </w:r>
          </w:p>
        </w:tc>
        <w:tc>
          <w:tcPr>
            <w:tcW w:w="1276" w:type="dxa"/>
            <w:tcBorders>
              <w:top w:val="single" w:sz="4" w:space="0" w:color="A6A6A6"/>
              <w:bottom w:val="single" w:sz="4" w:space="0" w:color="A6A6A6"/>
            </w:tcBorders>
            <w:noWrap/>
            <w:hideMark/>
          </w:tcPr>
          <w:p w14:paraId="7A646442" w14:textId="77777777" w:rsidR="00087B91" w:rsidRPr="002029AF" w:rsidRDefault="00087B91" w:rsidP="00860E95">
            <w:pPr>
              <w:pStyle w:val="ARfintablebodyright"/>
            </w:pPr>
            <w:r w:rsidRPr="002029AF">
              <w:t>–</w:t>
            </w:r>
          </w:p>
        </w:tc>
        <w:tc>
          <w:tcPr>
            <w:tcW w:w="1276" w:type="dxa"/>
            <w:tcBorders>
              <w:top w:val="single" w:sz="4" w:space="0" w:color="A6A6A6"/>
              <w:bottom w:val="single" w:sz="4" w:space="0" w:color="A6A6A6"/>
            </w:tcBorders>
            <w:noWrap/>
            <w:hideMark/>
          </w:tcPr>
          <w:p w14:paraId="786734E1" w14:textId="77777777" w:rsidR="00087B91" w:rsidRPr="002029AF" w:rsidRDefault="00087B91" w:rsidP="00860E95">
            <w:pPr>
              <w:pStyle w:val="ARfintablebodyright"/>
            </w:pPr>
            <w:r w:rsidRPr="002029AF">
              <w:t>–</w:t>
            </w:r>
          </w:p>
        </w:tc>
      </w:tr>
      <w:tr w:rsidR="00087B91" w:rsidRPr="002029AF" w14:paraId="6D1FE607" w14:textId="77777777" w:rsidTr="00860E95">
        <w:tc>
          <w:tcPr>
            <w:tcW w:w="4534" w:type="dxa"/>
            <w:tcBorders>
              <w:top w:val="single" w:sz="4" w:space="0" w:color="A6A6A6"/>
            </w:tcBorders>
            <w:hideMark/>
          </w:tcPr>
          <w:p w14:paraId="6F944BBF" w14:textId="52CC0418" w:rsidR="00087B91" w:rsidRPr="002029AF" w:rsidRDefault="00087B91" w:rsidP="00860E95">
            <w:pPr>
              <w:pStyle w:val="ARfintablebody"/>
            </w:pPr>
            <w:r w:rsidRPr="002029AF">
              <w:t>Statutory</w:t>
            </w:r>
            <w:r w:rsidR="000A5329" w:rsidRPr="002029AF">
              <w:t xml:space="preserve"> </w:t>
            </w:r>
            <w:r w:rsidRPr="002029AF">
              <w:t>receivables</w:t>
            </w:r>
            <w:r w:rsidR="000A5329" w:rsidRPr="002029AF">
              <w:t xml:space="preserve"> </w:t>
            </w:r>
            <w:r w:rsidRPr="002029AF">
              <w:t>(with</w:t>
            </w:r>
            <w:r w:rsidR="000A5329" w:rsidRPr="002029AF">
              <w:t xml:space="preserve"> </w:t>
            </w:r>
            <w:r w:rsidRPr="002029AF">
              <w:t>no</w:t>
            </w:r>
            <w:r w:rsidR="000A5329" w:rsidRPr="002029AF">
              <w:t xml:space="preserve"> </w:t>
            </w:r>
            <w:r w:rsidRPr="002029AF">
              <w:t>impairment</w:t>
            </w:r>
            <w:r w:rsidR="000A5329" w:rsidRPr="002029AF">
              <w:t xml:space="preserve"> </w:t>
            </w:r>
            <w:r w:rsidRPr="002029AF">
              <w:t>loss</w:t>
            </w:r>
            <w:r w:rsidR="000A5329" w:rsidRPr="002029AF">
              <w:t xml:space="preserve"> </w:t>
            </w:r>
            <w:r w:rsidRPr="002029AF">
              <w:t>recognised)</w:t>
            </w:r>
          </w:p>
        </w:tc>
        <w:tc>
          <w:tcPr>
            <w:tcW w:w="1275" w:type="dxa"/>
            <w:tcBorders>
              <w:top w:val="single" w:sz="4" w:space="0" w:color="A6A6A6"/>
            </w:tcBorders>
            <w:noWrap/>
            <w:hideMark/>
          </w:tcPr>
          <w:p w14:paraId="272AC557" w14:textId="77777777" w:rsidR="00087B91" w:rsidRPr="002029AF" w:rsidRDefault="00087B91" w:rsidP="00860E95">
            <w:pPr>
              <w:pStyle w:val="ARfintablebodyright"/>
            </w:pPr>
            <w:r w:rsidRPr="002029AF">
              <w:t>3,756.9</w:t>
            </w:r>
          </w:p>
        </w:tc>
        <w:tc>
          <w:tcPr>
            <w:tcW w:w="1276" w:type="dxa"/>
            <w:tcBorders>
              <w:top w:val="single" w:sz="4" w:space="0" w:color="A6A6A6"/>
            </w:tcBorders>
            <w:noWrap/>
            <w:hideMark/>
          </w:tcPr>
          <w:p w14:paraId="2EE16443" w14:textId="77777777" w:rsidR="00087B91" w:rsidRPr="002029AF" w:rsidRDefault="00087B91" w:rsidP="00860E95">
            <w:pPr>
              <w:pStyle w:val="ARfintablebodyright"/>
            </w:pPr>
            <w:r w:rsidRPr="002029AF">
              <w:t>–</w:t>
            </w:r>
          </w:p>
        </w:tc>
        <w:tc>
          <w:tcPr>
            <w:tcW w:w="1276" w:type="dxa"/>
            <w:tcBorders>
              <w:top w:val="single" w:sz="4" w:space="0" w:color="A6A6A6"/>
            </w:tcBorders>
            <w:noWrap/>
            <w:hideMark/>
          </w:tcPr>
          <w:p w14:paraId="17D02706" w14:textId="77777777" w:rsidR="00087B91" w:rsidRPr="002029AF" w:rsidRDefault="00087B91" w:rsidP="00860E95">
            <w:pPr>
              <w:pStyle w:val="ARfintablebodyright"/>
            </w:pPr>
            <w:r w:rsidRPr="002029AF">
              <w:t>–</w:t>
            </w:r>
          </w:p>
        </w:tc>
        <w:tc>
          <w:tcPr>
            <w:tcW w:w="1276" w:type="dxa"/>
            <w:tcBorders>
              <w:top w:val="single" w:sz="4" w:space="0" w:color="A6A6A6"/>
            </w:tcBorders>
            <w:noWrap/>
            <w:hideMark/>
          </w:tcPr>
          <w:p w14:paraId="2775CC00" w14:textId="77777777" w:rsidR="00087B91" w:rsidRPr="002029AF" w:rsidRDefault="00087B91" w:rsidP="00860E95">
            <w:pPr>
              <w:pStyle w:val="ARfintablebodyright"/>
            </w:pPr>
            <w:r w:rsidRPr="002029AF">
              <w:t>3,756.9</w:t>
            </w:r>
          </w:p>
        </w:tc>
      </w:tr>
      <w:tr w:rsidR="00087B91" w:rsidRPr="002029AF" w14:paraId="703C40F6" w14:textId="77777777" w:rsidTr="00860E95">
        <w:tc>
          <w:tcPr>
            <w:tcW w:w="4534" w:type="dxa"/>
            <w:hideMark/>
          </w:tcPr>
          <w:p w14:paraId="7BC88610" w14:textId="44F4B802" w:rsidR="00087B91" w:rsidRPr="002029AF" w:rsidRDefault="00087B91" w:rsidP="00860E95">
            <w:pPr>
              <w:pStyle w:val="ARfintablebodybold"/>
            </w:pPr>
            <w:r w:rsidRPr="002029AF">
              <w:t>Total</w:t>
            </w:r>
            <w:r w:rsidR="000A5329" w:rsidRPr="002029AF">
              <w:t xml:space="preserve"> </w:t>
            </w:r>
            <w:r w:rsidRPr="002029AF">
              <w:t>financial</w:t>
            </w:r>
            <w:r w:rsidR="000A5329" w:rsidRPr="002029AF">
              <w:t xml:space="preserve"> </w:t>
            </w:r>
            <w:r w:rsidRPr="002029AF">
              <w:t>assets</w:t>
            </w:r>
          </w:p>
        </w:tc>
        <w:tc>
          <w:tcPr>
            <w:tcW w:w="1275" w:type="dxa"/>
            <w:noWrap/>
            <w:hideMark/>
          </w:tcPr>
          <w:p w14:paraId="56CC06D4" w14:textId="77777777" w:rsidR="00087B91" w:rsidRPr="002029AF" w:rsidRDefault="00087B91" w:rsidP="00860E95">
            <w:pPr>
              <w:pStyle w:val="ARfintablebodyrightbold"/>
            </w:pPr>
            <w:r w:rsidRPr="002029AF">
              <w:t>4,209.1</w:t>
            </w:r>
          </w:p>
        </w:tc>
        <w:tc>
          <w:tcPr>
            <w:tcW w:w="1276" w:type="dxa"/>
            <w:noWrap/>
            <w:hideMark/>
          </w:tcPr>
          <w:p w14:paraId="6C2EC5F5" w14:textId="77777777" w:rsidR="00087B91" w:rsidRPr="002029AF" w:rsidRDefault="00087B91" w:rsidP="00860E95">
            <w:pPr>
              <w:pStyle w:val="ARfintablebodyrightbold"/>
            </w:pPr>
            <w:r w:rsidRPr="002029AF">
              <w:t>851.5</w:t>
            </w:r>
          </w:p>
        </w:tc>
        <w:tc>
          <w:tcPr>
            <w:tcW w:w="1276" w:type="dxa"/>
            <w:noWrap/>
            <w:hideMark/>
          </w:tcPr>
          <w:p w14:paraId="596D4B21" w14:textId="77777777" w:rsidR="00087B91" w:rsidRPr="002029AF" w:rsidRDefault="00087B91" w:rsidP="00860E95">
            <w:pPr>
              <w:pStyle w:val="ARfintablebodyrightbold"/>
            </w:pPr>
            <w:r w:rsidRPr="002029AF">
              <w:t>171.2</w:t>
            </w:r>
          </w:p>
        </w:tc>
        <w:tc>
          <w:tcPr>
            <w:tcW w:w="1276" w:type="dxa"/>
            <w:noWrap/>
            <w:hideMark/>
          </w:tcPr>
          <w:p w14:paraId="50E80608" w14:textId="77777777" w:rsidR="00087B91" w:rsidRPr="002029AF" w:rsidRDefault="00087B91" w:rsidP="00860E95">
            <w:pPr>
              <w:pStyle w:val="ARfintablebodyrightbold"/>
            </w:pPr>
            <w:r w:rsidRPr="002029AF">
              <w:t>5,231.8</w:t>
            </w:r>
          </w:p>
        </w:tc>
      </w:tr>
      <w:tr w:rsidR="00087B91" w:rsidRPr="002029AF" w14:paraId="3CD304D7" w14:textId="77777777" w:rsidTr="00860E95">
        <w:tc>
          <w:tcPr>
            <w:tcW w:w="9637" w:type="dxa"/>
            <w:gridSpan w:val="5"/>
            <w:tcBorders>
              <w:bottom w:val="single" w:sz="4" w:space="0" w:color="auto"/>
            </w:tcBorders>
            <w:hideMark/>
          </w:tcPr>
          <w:p w14:paraId="52951853" w14:textId="77777777" w:rsidR="00087B91" w:rsidRPr="002029AF" w:rsidRDefault="00087B91" w:rsidP="00860E95">
            <w:pPr>
              <w:pStyle w:val="ARfintablebodybold"/>
            </w:pPr>
            <w:r w:rsidRPr="002029AF">
              <w:t>2019</w:t>
            </w:r>
          </w:p>
        </w:tc>
      </w:tr>
      <w:tr w:rsidR="00087B91" w:rsidRPr="002029AF" w14:paraId="44171FEB" w14:textId="77777777" w:rsidTr="00860E95">
        <w:tc>
          <w:tcPr>
            <w:tcW w:w="4534" w:type="dxa"/>
            <w:tcBorders>
              <w:top w:val="single" w:sz="4" w:space="0" w:color="auto"/>
              <w:bottom w:val="single" w:sz="4" w:space="0" w:color="A6A6A6"/>
            </w:tcBorders>
            <w:hideMark/>
          </w:tcPr>
          <w:p w14:paraId="066D7A09" w14:textId="23D8F2F4" w:rsidR="00087B91" w:rsidRPr="002029AF" w:rsidRDefault="00087B91" w:rsidP="00860E95">
            <w:pPr>
              <w:pStyle w:val="ARfintablebody"/>
            </w:pPr>
            <w:r w:rsidRPr="002029AF">
              <w:t>Cash</w:t>
            </w:r>
            <w:r w:rsidR="000A5329" w:rsidRPr="002029AF">
              <w:t xml:space="preserve"> </w:t>
            </w:r>
            <w:r w:rsidRPr="002029AF">
              <w:t>and</w:t>
            </w:r>
            <w:r w:rsidR="000A5329" w:rsidRPr="002029AF">
              <w:t xml:space="preserve"> </w:t>
            </w:r>
            <w:r w:rsidRPr="002029AF">
              <w:t>deposits</w:t>
            </w:r>
            <w:r w:rsidR="000A5329" w:rsidRPr="002029AF">
              <w:t xml:space="preserve"> </w:t>
            </w:r>
            <w:r w:rsidRPr="002029AF">
              <w:t>(not</w:t>
            </w:r>
            <w:r w:rsidR="000A5329" w:rsidRPr="002029AF">
              <w:t xml:space="preserve"> </w:t>
            </w:r>
            <w:r w:rsidRPr="002029AF">
              <w:t>assessed</w:t>
            </w:r>
            <w:r w:rsidR="000A5329" w:rsidRPr="002029AF">
              <w:t xml:space="preserve"> </w:t>
            </w:r>
            <w:r w:rsidRPr="002029AF">
              <w:t>for</w:t>
            </w:r>
            <w:r w:rsidR="000A5329" w:rsidRPr="002029AF">
              <w:t xml:space="preserve"> </w:t>
            </w:r>
            <w:r w:rsidRPr="002029AF">
              <w:t>impairment</w:t>
            </w:r>
            <w:r w:rsidR="000A5329" w:rsidRPr="002029AF">
              <w:t xml:space="preserve"> </w:t>
            </w:r>
            <w:r w:rsidRPr="002029AF">
              <w:t>due</w:t>
            </w:r>
            <w:r w:rsidR="000A5329" w:rsidRPr="002029AF">
              <w:t xml:space="preserve"> </w:t>
            </w:r>
            <w:r w:rsidRPr="002029AF">
              <w:t>to</w:t>
            </w:r>
            <w:r w:rsidR="000A5329" w:rsidRPr="002029AF">
              <w:t xml:space="preserve"> </w:t>
            </w:r>
            <w:r w:rsidRPr="002029AF">
              <w:t>materiality)</w:t>
            </w:r>
          </w:p>
        </w:tc>
        <w:tc>
          <w:tcPr>
            <w:tcW w:w="1275" w:type="dxa"/>
            <w:tcBorders>
              <w:top w:val="single" w:sz="4" w:space="0" w:color="auto"/>
              <w:bottom w:val="single" w:sz="4" w:space="0" w:color="A6A6A6"/>
            </w:tcBorders>
            <w:noWrap/>
            <w:hideMark/>
          </w:tcPr>
          <w:p w14:paraId="30EF5B26" w14:textId="77777777" w:rsidR="00087B91" w:rsidRPr="002029AF" w:rsidRDefault="00087B91" w:rsidP="00860E95">
            <w:pPr>
              <w:pStyle w:val="ARfintablebodyright"/>
            </w:pPr>
            <w:r w:rsidRPr="002029AF">
              <w:t>461.9</w:t>
            </w:r>
          </w:p>
        </w:tc>
        <w:tc>
          <w:tcPr>
            <w:tcW w:w="1276" w:type="dxa"/>
            <w:tcBorders>
              <w:top w:val="single" w:sz="4" w:space="0" w:color="auto"/>
              <w:bottom w:val="single" w:sz="4" w:space="0" w:color="A6A6A6"/>
            </w:tcBorders>
            <w:noWrap/>
            <w:hideMark/>
          </w:tcPr>
          <w:p w14:paraId="69889D44" w14:textId="77777777" w:rsidR="00087B91" w:rsidRPr="002029AF" w:rsidRDefault="00087B91" w:rsidP="00860E95">
            <w:pPr>
              <w:pStyle w:val="ARfintablebodyright"/>
            </w:pPr>
            <w:r w:rsidRPr="002029AF">
              <w:t>338.0</w:t>
            </w:r>
          </w:p>
        </w:tc>
        <w:tc>
          <w:tcPr>
            <w:tcW w:w="1276" w:type="dxa"/>
            <w:tcBorders>
              <w:top w:val="single" w:sz="4" w:space="0" w:color="auto"/>
              <w:bottom w:val="single" w:sz="4" w:space="0" w:color="A6A6A6"/>
            </w:tcBorders>
            <w:noWrap/>
            <w:hideMark/>
          </w:tcPr>
          <w:p w14:paraId="39061916" w14:textId="77777777" w:rsidR="00087B91" w:rsidRPr="002029AF" w:rsidRDefault="00087B91" w:rsidP="00860E95">
            <w:pPr>
              <w:pStyle w:val="ARfintablebodyright"/>
            </w:pPr>
            <w:r w:rsidRPr="002029AF">
              <w:t>–</w:t>
            </w:r>
          </w:p>
        </w:tc>
        <w:tc>
          <w:tcPr>
            <w:tcW w:w="1276" w:type="dxa"/>
            <w:tcBorders>
              <w:top w:val="single" w:sz="4" w:space="0" w:color="auto"/>
              <w:bottom w:val="single" w:sz="4" w:space="0" w:color="A6A6A6"/>
            </w:tcBorders>
            <w:noWrap/>
            <w:hideMark/>
          </w:tcPr>
          <w:p w14:paraId="39FD4399" w14:textId="77777777" w:rsidR="00087B91" w:rsidRPr="002029AF" w:rsidRDefault="00087B91" w:rsidP="00860E95">
            <w:pPr>
              <w:pStyle w:val="ARfintablebodyright"/>
            </w:pPr>
            <w:r w:rsidRPr="002029AF">
              <w:t>799.9</w:t>
            </w:r>
          </w:p>
        </w:tc>
      </w:tr>
      <w:tr w:rsidR="00087B91" w:rsidRPr="002029AF" w14:paraId="1687C3E2" w14:textId="77777777" w:rsidTr="00860E95">
        <w:tc>
          <w:tcPr>
            <w:tcW w:w="4534" w:type="dxa"/>
            <w:tcBorders>
              <w:top w:val="single" w:sz="4" w:space="0" w:color="A6A6A6"/>
              <w:bottom w:val="single" w:sz="4" w:space="0" w:color="A6A6A6"/>
            </w:tcBorders>
            <w:hideMark/>
          </w:tcPr>
          <w:p w14:paraId="46306452" w14:textId="0040EF45" w:rsidR="00087B91" w:rsidRPr="002029AF" w:rsidRDefault="00087B91" w:rsidP="00860E95">
            <w:pPr>
              <w:pStyle w:val="ARfintablebody"/>
            </w:pPr>
            <w:r w:rsidRPr="002029AF">
              <w:t>Contractual</w:t>
            </w:r>
            <w:r w:rsidR="000A5329" w:rsidRPr="002029AF">
              <w:t xml:space="preserve"> </w:t>
            </w:r>
            <w:r w:rsidRPr="002029AF">
              <w:t>receivables</w:t>
            </w:r>
            <w:r w:rsidR="000A5329" w:rsidRPr="002029AF">
              <w:t xml:space="preserve"> </w:t>
            </w:r>
            <w:r w:rsidRPr="002029AF">
              <w:t>applying</w:t>
            </w:r>
            <w:r w:rsidR="000A5329" w:rsidRPr="002029AF">
              <w:t xml:space="preserve"> </w:t>
            </w:r>
            <w:r w:rsidRPr="002029AF">
              <w:t>the</w:t>
            </w:r>
            <w:r w:rsidR="000A5329" w:rsidRPr="002029AF">
              <w:t xml:space="preserve"> </w:t>
            </w:r>
            <w:r w:rsidRPr="002029AF">
              <w:t>simplified</w:t>
            </w:r>
            <w:r w:rsidR="000A5329" w:rsidRPr="002029AF">
              <w:t xml:space="preserve"> </w:t>
            </w:r>
            <w:r w:rsidRPr="002029AF">
              <w:t>approach</w:t>
            </w:r>
            <w:r w:rsidR="000A5329" w:rsidRPr="002029AF">
              <w:t xml:space="preserve"> </w:t>
            </w:r>
            <w:r w:rsidRPr="002029AF">
              <w:t>for</w:t>
            </w:r>
            <w:r w:rsidR="000A5329" w:rsidRPr="002029AF">
              <w:t xml:space="preserve"> </w:t>
            </w:r>
            <w:r w:rsidRPr="002029AF">
              <w:t>impairment</w:t>
            </w:r>
            <w:r w:rsidR="000A5329" w:rsidRPr="002029AF">
              <w:t xml:space="preserve"> </w:t>
            </w:r>
            <w:r w:rsidRPr="002029AF">
              <w:rPr>
                <w:rStyle w:val="Superscript"/>
              </w:rPr>
              <w:t>(i)(ii)</w:t>
            </w:r>
          </w:p>
        </w:tc>
        <w:tc>
          <w:tcPr>
            <w:tcW w:w="1275" w:type="dxa"/>
            <w:tcBorders>
              <w:top w:val="single" w:sz="4" w:space="0" w:color="A6A6A6"/>
              <w:bottom w:val="single" w:sz="4" w:space="0" w:color="A6A6A6"/>
            </w:tcBorders>
            <w:noWrap/>
            <w:hideMark/>
          </w:tcPr>
          <w:p w14:paraId="4985717C" w14:textId="77777777" w:rsidR="00087B91" w:rsidRPr="002029AF" w:rsidRDefault="00087B91" w:rsidP="00860E95">
            <w:pPr>
              <w:pStyle w:val="ARfintablebodyright"/>
            </w:pPr>
            <w:r w:rsidRPr="002029AF">
              <w:t>–</w:t>
            </w:r>
          </w:p>
        </w:tc>
        <w:tc>
          <w:tcPr>
            <w:tcW w:w="1276" w:type="dxa"/>
            <w:tcBorders>
              <w:top w:val="single" w:sz="4" w:space="0" w:color="A6A6A6"/>
              <w:bottom w:val="single" w:sz="4" w:space="0" w:color="A6A6A6"/>
            </w:tcBorders>
            <w:noWrap/>
            <w:hideMark/>
          </w:tcPr>
          <w:p w14:paraId="1F5F77C4" w14:textId="77777777" w:rsidR="00087B91" w:rsidRPr="002029AF" w:rsidRDefault="00087B91" w:rsidP="00860E95">
            <w:pPr>
              <w:pStyle w:val="ARfintablebodyright"/>
            </w:pPr>
            <w:r w:rsidRPr="002029AF">
              <w:t>101.9</w:t>
            </w:r>
          </w:p>
        </w:tc>
        <w:tc>
          <w:tcPr>
            <w:tcW w:w="1276" w:type="dxa"/>
            <w:tcBorders>
              <w:top w:val="single" w:sz="4" w:space="0" w:color="A6A6A6"/>
              <w:bottom w:val="single" w:sz="4" w:space="0" w:color="A6A6A6"/>
            </w:tcBorders>
            <w:noWrap/>
            <w:hideMark/>
          </w:tcPr>
          <w:p w14:paraId="2C826C40" w14:textId="77777777" w:rsidR="00087B91" w:rsidRPr="002029AF" w:rsidRDefault="00087B91" w:rsidP="00860E95">
            <w:pPr>
              <w:pStyle w:val="ARfintablebodyright"/>
            </w:pPr>
            <w:r w:rsidRPr="002029AF">
              <w:t>223.1</w:t>
            </w:r>
          </w:p>
        </w:tc>
        <w:tc>
          <w:tcPr>
            <w:tcW w:w="1276" w:type="dxa"/>
            <w:tcBorders>
              <w:top w:val="single" w:sz="4" w:space="0" w:color="A6A6A6"/>
              <w:bottom w:val="single" w:sz="4" w:space="0" w:color="A6A6A6"/>
            </w:tcBorders>
            <w:noWrap/>
            <w:hideMark/>
          </w:tcPr>
          <w:p w14:paraId="227FA91F" w14:textId="77777777" w:rsidR="00087B91" w:rsidRPr="002029AF" w:rsidRDefault="00087B91" w:rsidP="00860E95">
            <w:pPr>
              <w:pStyle w:val="ARfintablebodyright"/>
            </w:pPr>
            <w:r w:rsidRPr="002029AF">
              <w:t>325.0</w:t>
            </w:r>
          </w:p>
        </w:tc>
      </w:tr>
      <w:tr w:rsidR="00087B91" w:rsidRPr="002029AF" w14:paraId="4860FC92" w14:textId="77777777" w:rsidTr="00860E95">
        <w:tc>
          <w:tcPr>
            <w:tcW w:w="4534" w:type="dxa"/>
            <w:tcBorders>
              <w:top w:val="single" w:sz="4" w:space="0" w:color="A6A6A6"/>
              <w:bottom w:val="single" w:sz="4" w:space="0" w:color="A6A6A6"/>
            </w:tcBorders>
            <w:hideMark/>
          </w:tcPr>
          <w:p w14:paraId="717282B9" w14:textId="51769A29" w:rsidR="00087B91" w:rsidRPr="002029AF" w:rsidRDefault="00087B91" w:rsidP="00860E95">
            <w:pPr>
              <w:pStyle w:val="ARfintablebody"/>
            </w:pPr>
            <w:r w:rsidRPr="002029AF">
              <w:t>Loans</w:t>
            </w:r>
            <w:r w:rsidR="000A5329" w:rsidRPr="002029AF">
              <w:t xml:space="preserve"> </w:t>
            </w:r>
            <w:r w:rsidRPr="002029AF">
              <w:rPr>
                <w:rStyle w:val="Superscript"/>
              </w:rPr>
              <w:t>(ii)</w:t>
            </w:r>
          </w:p>
        </w:tc>
        <w:tc>
          <w:tcPr>
            <w:tcW w:w="1275" w:type="dxa"/>
            <w:tcBorders>
              <w:top w:val="single" w:sz="4" w:space="0" w:color="A6A6A6"/>
              <w:bottom w:val="single" w:sz="4" w:space="0" w:color="A6A6A6"/>
            </w:tcBorders>
            <w:noWrap/>
            <w:hideMark/>
          </w:tcPr>
          <w:p w14:paraId="510DFA4D" w14:textId="77777777" w:rsidR="00087B91" w:rsidRPr="002029AF" w:rsidRDefault="00087B91" w:rsidP="00860E95">
            <w:pPr>
              <w:pStyle w:val="ARfintablebodyright"/>
            </w:pPr>
            <w:r w:rsidRPr="002029AF">
              <w:t>–</w:t>
            </w:r>
          </w:p>
        </w:tc>
        <w:tc>
          <w:tcPr>
            <w:tcW w:w="1276" w:type="dxa"/>
            <w:tcBorders>
              <w:top w:val="single" w:sz="4" w:space="0" w:color="A6A6A6"/>
              <w:bottom w:val="single" w:sz="4" w:space="0" w:color="A6A6A6"/>
            </w:tcBorders>
            <w:noWrap/>
            <w:hideMark/>
          </w:tcPr>
          <w:p w14:paraId="204848FF" w14:textId="77777777" w:rsidR="00087B91" w:rsidRPr="002029AF" w:rsidRDefault="00087B91" w:rsidP="00860E95">
            <w:pPr>
              <w:pStyle w:val="ARfintablebodyright"/>
            </w:pPr>
            <w:r w:rsidRPr="002029AF">
              <w:t>60.6</w:t>
            </w:r>
          </w:p>
        </w:tc>
        <w:tc>
          <w:tcPr>
            <w:tcW w:w="1276" w:type="dxa"/>
            <w:tcBorders>
              <w:top w:val="single" w:sz="4" w:space="0" w:color="A6A6A6"/>
              <w:bottom w:val="single" w:sz="4" w:space="0" w:color="A6A6A6"/>
            </w:tcBorders>
            <w:noWrap/>
            <w:hideMark/>
          </w:tcPr>
          <w:p w14:paraId="10251D21" w14:textId="77777777" w:rsidR="00087B91" w:rsidRPr="002029AF" w:rsidRDefault="00087B91" w:rsidP="00860E95">
            <w:pPr>
              <w:pStyle w:val="ARfintablebodyright"/>
            </w:pPr>
            <w:r w:rsidRPr="002029AF">
              <w:t>34.3</w:t>
            </w:r>
          </w:p>
        </w:tc>
        <w:tc>
          <w:tcPr>
            <w:tcW w:w="1276" w:type="dxa"/>
            <w:tcBorders>
              <w:top w:val="single" w:sz="4" w:space="0" w:color="A6A6A6"/>
              <w:bottom w:val="single" w:sz="4" w:space="0" w:color="A6A6A6"/>
            </w:tcBorders>
            <w:noWrap/>
            <w:hideMark/>
          </w:tcPr>
          <w:p w14:paraId="7ADB4131" w14:textId="77777777" w:rsidR="00087B91" w:rsidRPr="002029AF" w:rsidRDefault="00087B91" w:rsidP="00860E95">
            <w:pPr>
              <w:pStyle w:val="ARfintablebodyright"/>
            </w:pPr>
            <w:r w:rsidRPr="002029AF">
              <w:t>94.9</w:t>
            </w:r>
          </w:p>
        </w:tc>
      </w:tr>
      <w:tr w:rsidR="00087B91" w:rsidRPr="002029AF" w14:paraId="291094F2" w14:textId="77777777" w:rsidTr="00860E95">
        <w:tc>
          <w:tcPr>
            <w:tcW w:w="4534" w:type="dxa"/>
            <w:tcBorders>
              <w:top w:val="single" w:sz="4" w:space="0" w:color="A6A6A6"/>
              <w:bottom w:val="single" w:sz="4" w:space="0" w:color="A6A6A6"/>
            </w:tcBorders>
            <w:hideMark/>
          </w:tcPr>
          <w:p w14:paraId="4BC64BF9" w14:textId="57351FA5" w:rsidR="00087B91" w:rsidRPr="002029AF" w:rsidRDefault="00087B91" w:rsidP="00860E95">
            <w:pPr>
              <w:pStyle w:val="ARfintablebody"/>
            </w:pPr>
            <w:r w:rsidRPr="002029AF">
              <w:t>Short-term</w:t>
            </w:r>
            <w:r w:rsidR="000A5329" w:rsidRPr="002029AF">
              <w:t xml:space="preserve"> </w:t>
            </w:r>
            <w:r w:rsidRPr="002029AF">
              <w:t>investments</w:t>
            </w:r>
            <w:r w:rsidR="000A5329" w:rsidRPr="002029AF">
              <w:t xml:space="preserve"> </w:t>
            </w:r>
            <w:r w:rsidRPr="002029AF">
              <w:t>–</w:t>
            </w:r>
            <w:r w:rsidR="000A5329" w:rsidRPr="002029AF">
              <w:t xml:space="preserve"> </w:t>
            </w:r>
            <w:r w:rsidRPr="002029AF">
              <w:t>term</w:t>
            </w:r>
            <w:r w:rsidR="000A5329" w:rsidRPr="002029AF">
              <w:t xml:space="preserve"> </w:t>
            </w:r>
            <w:r w:rsidRPr="002029AF">
              <w:t>deposits</w:t>
            </w:r>
          </w:p>
        </w:tc>
        <w:tc>
          <w:tcPr>
            <w:tcW w:w="1275" w:type="dxa"/>
            <w:tcBorders>
              <w:top w:val="single" w:sz="4" w:space="0" w:color="A6A6A6"/>
              <w:bottom w:val="single" w:sz="4" w:space="0" w:color="A6A6A6"/>
            </w:tcBorders>
            <w:noWrap/>
            <w:hideMark/>
          </w:tcPr>
          <w:p w14:paraId="115D6E9E" w14:textId="77777777" w:rsidR="00087B91" w:rsidRPr="002029AF" w:rsidRDefault="00087B91" w:rsidP="00860E95">
            <w:pPr>
              <w:pStyle w:val="ARfintablebodyright"/>
            </w:pPr>
            <w:r w:rsidRPr="002029AF">
              <w:t>–</w:t>
            </w:r>
          </w:p>
        </w:tc>
        <w:tc>
          <w:tcPr>
            <w:tcW w:w="1276" w:type="dxa"/>
            <w:tcBorders>
              <w:top w:val="single" w:sz="4" w:space="0" w:color="A6A6A6"/>
              <w:bottom w:val="single" w:sz="4" w:space="0" w:color="A6A6A6"/>
            </w:tcBorders>
            <w:noWrap/>
            <w:hideMark/>
          </w:tcPr>
          <w:p w14:paraId="48697119" w14:textId="77777777" w:rsidR="00087B91" w:rsidRPr="002029AF" w:rsidRDefault="00087B91" w:rsidP="00860E95">
            <w:pPr>
              <w:pStyle w:val="ARfintablebodyright"/>
            </w:pPr>
            <w:r w:rsidRPr="002029AF">
              <w:t>100.0</w:t>
            </w:r>
          </w:p>
        </w:tc>
        <w:tc>
          <w:tcPr>
            <w:tcW w:w="1276" w:type="dxa"/>
            <w:tcBorders>
              <w:top w:val="single" w:sz="4" w:space="0" w:color="A6A6A6"/>
              <w:bottom w:val="single" w:sz="4" w:space="0" w:color="A6A6A6"/>
            </w:tcBorders>
            <w:noWrap/>
            <w:hideMark/>
          </w:tcPr>
          <w:p w14:paraId="1024B3C9" w14:textId="77777777" w:rsidR="00087B91" w:rsidRPr="002029AF" w:rsidRDefault="00087B91" w:rsidP="00860E95">
            <w:pPr>
              <w:pStyle w:val="ARfintablebodyright"/>
            </w:pPr>
            <w:r w:rsidRPr="002029AF">
              <w:t>–</w:t>
            </w:r>
          </w:p>
        </w:tc>
        <w:tc>
          <w:tcPr>
            <w:tcW w:w="1276" w:type="dxa"/>
            <w:tcBorders>
              <w:top w:val="single" w:sz="4" w:space="0" w:color="A6A6A6"/>
              <w:bottom w:val="single" w:sz="4" w:space="0" w:color="A6A6A6"/>
            </w:tcBorders>
            <w:noWrap/>
            <w:hideMark/>
          </w:tcPr>
          <w:p w14:paraId="6B11E87B" w14:textId="77777777" w:rsidR="00087B91" w:rsidRPr="002029AF" w:rsidRDefault="00087B91" w:rsidP="00860E95">
            <w:pPr>
              <w:pStyle w:val="ARfintablebodyright"/>
            </w:pPr>
            <w:r w:rsidRPr="002029AF">
              <w:t>100.0</w:t>
            </w:r>
          </w:p>
        </w:tc>
      </w:tr>
      <w:tr w:rsidR="00087B91" w:rsidRPr="002029AF" w14:paraId="76A974A9" w14:textId="77777777" w:rsidTr="00860E95">
        <w:tc>
          <w:tcPr>
            <w:tcW w:w="4534" w:type="dxa"/>
            <w:tcBorders>
              <w:top w:val="single" w:sz="4" w:space="0" w:color="A6A6A6"/>
            </w:tcBorders>
            <w:hideMark/>
          </w:tcPr>
          <w:p w14:paraId="7C2ECEDE" w14:textId="20E2EEE5" w:rsidR="00087B91" w:rsidRPr="002029AF" w:rsidRDefault="00087B91" w:rsidP="00860E95">
            <w:pPr>
              <w:pStyle w:val="ARfintablebody"/>
            </w:pPr>
            <w:r w:rsidRPr="002029AF">
              <w:t>Statutory</w:t>
            </w:r>
            <w:r w:rsidR="000A5329" w:rsidRPr="002029AF">
              <w:t xml:space="preserve"> </w:t>
            </w:r>
            <w:r w:rsidRPr="002029AF">
              <w:t>receivables</w:t>
            </w:r>
            <w:r w:rsidR="000A5329" w:rsidRPr="002029AF">
              <w:t xml:space="preserve"> </w:t>
            </w:r>
            <w:r w:rsidRPr="002029AF">
              <w:t>(with</w:t>
            </w:r>
            <w:r w:rsidR="000A5329" w:rsidRPr="002029AF">
              <w:t xml:space="preserve"> </w:t>
            </w:r>
            <w:r w:rsidRPr="002029AF">
              <w:t>no</w:t>
            </w:r>
            <w:r w:rsidR="000A5329" w:rsidRPr="002029AF">
              <w:t xml:space="preserve"> </w:t>
            </w:r>
            <w:r w:rsidRPr="002029AF">
              <w:t>impairment</w:t>
            </w:r>
            <w:r w:rsidR="000A5329" w:rsidRPr="002029AF">
              <w:t xml:space="preserve"> </w:t>
            </w:r>
            <w:r w:rsidRPr="002029AF">
              <w:t>loss</w:t>
            </w:r>
            <w:r w:rsidR="000A5329" w:rsidRPr="002029AF">
              <w:t xml:space="preserve"> </w:t>
            </w:r>
            <w:r w:rsidRPr="002029AF">
              <w:t>recognised)</w:t>
            </w:r>
          </w:p>
        </w:tc>
        <w:tc>
          <w:tcPr>
            <w:tcW w:w="1275" w:type="dxa"/>
            <w:tcBorders>
              <w:top w:val="single" w:sz="4" w:space="0" w:color="A6A6A6"/>
            </w:tcBorders>
            <w:noWrap/>
            <w:hideMark/>
          </w:tcPr>
          <w:p w14:paraId="2AC31B60" w14:textId="77777777" w:rsidR="00087B91" w:rsidRPr="002029AF" w:rsidRDefault="00087B91" w:rsidP="00860E95">
            <w:pPr>
              <w:pStyle w:val="ARfintablebodyright"/>
            </w:pPr>
            <w:r w:rsidRPr="002029AF">
              <w:t>3,044.8</w:t>
            </w:r>
          </w:p>
        </w:tc>
        <w:tc>
          <w:tcPr>
            <w:tcW w:w="1276" w:type="dxa"/>
            <w:tcBorders>
              <w:top w:val="single" w:sz="4" w:space="0" w:color="A6A6A6"/>
            </w:tcBorders>
            <w:noWrap/>
            <w:hideMark/>
          </w:tcPr>
          <w:p w14:paraId="19FE0E1D" w14:textId="77777777" w:rsidR="00087B91" w:rsidRPr="002029AF" w:rsidRDefault="00087B91" w:rsidP="00860E95">
            <w:pPr>
              <w:pStyle w:val="ARfintablebodyright"/>
            </w:pPr>
            <w:r w:rsidRPr="002029AF">
              <w:t>–</w:t>
            </w:r>
          </w:p>
        </w:tc>
        <w:tc>
          <w:tcPr>
            <w:tcW w:w="1276" w:type="dxa"/>
            <w:tcBorders>
              <w:top w:val="single" w:sz="4" w:space="0" w:color="A6A6A6"/>
            </w:tcBorders>
            <w:noWrap/>
            <w:hideMark/>
          </w:tcPr>
          <w:p w14:paraId="42703904" w14:textId="77777777" w:rsidR="00087B91" w:rsidRPr="002029AF" w:rsidRDefault="00087B91" w:rsidP="00860E95">
            <w:pPr>
              <w:pStyle w:val="ARfintablebodyright"/>
            </w:pPr>
            <w:r w:rsidRPr="002029AF">
              <w:t>–</w:t>
            </w:r>
          </w:p>
        </w:tc>
        <w:tc>
          <w:tcPr>
            <w:tcW w:w="1276" w:type="dxa"/>
            <w:tcBorders>
              <w:top w:val="single" w:sz="4" w:space="0" w:color="A6A6A6"/>
            </w:tcBorders>
            <w:noWrap/>
            <w:hideMark/>
          </w:tcPr>
          <w:p w14:paraId="6648170E" w14:textId="77777777" w:rsidR="00087B91" w:rsidRPr="002029AF" w:rsidRDefault="00087B91" w:rsidP="00860E95">
            <w:pPr>
              <w:pStyle w:val="ARfintablebodyright"/>
            </w:pPr>
            <w:r w:rsidRPr="002029AF">
              <w:t>3,044.8</w:t>
            </w:r>
          </w:p>
        </w:tc>
      </w:tr>
      <w:tr w:rsidR="00087B91" w:rsidRPr="002029AF" w14:paraId="1DE5CF45" w14:textId="77777777" w:rsidTr="00860E95">
        <w:tc>
          <w:tcPr>
            <w:tcW w:w="4534" w:type="dxa"/>
            <w:hideMark/>
          </w:tcPr>
          <w:p w14:paraId="5DED6BE8" w14:textId="708870EB" w:rsidR="00087B91" w:rsidRPr="002029AF" w:rsidRDefault="00087B91" w:rsidP="00860E95">
            <w:pPr>
              <w:pStyle w:val="ARfintablebodybold"/>
            </w:pPr>
            <w:r w:rsidRPr="002029AF">
              <w:t>Total</w:t>
            </w:r>
            <w:r w:rsidR="000A5329" w:rsidRPr="002029AF">
              <w:t xml:space="preserve"> </w:t>
            </w:r>
            <w:r w:rsidRPr="002029AF">
              <w:t>financial</w:t>
            </w:r>
            <w:r w:rsidR="000A5329" w:rsidRPr="002029AF">
              <w:t xml:space="preserve"> </w:t>
            </w:r>
            <w:r w:rsidRPr="002029AF">
              <w:t>assets</w:t>
            </w:r>
          </w:p>
        </w:tc>
        <w:tc>
          <w:tcPr>
            <w:tcW w:w="1275" w:type="dxa"/>
            <w:noWrap/>
            <w:hideMark/>
          </w:tcPr>
          <w:p w14:paraId="78518E80" w14:textId="77777777" w:rsidR="00087B91" w:rsidRPr="002029AF" w:rsidRDefault="00087B91" w:rsidP="00860E95">
            <w:pPr>
              <w:pStyle w:val="ARfintablebodyrightbold"/>
            </w:pPr>
            <w:r w:rsidRPr="002029AF">
              <w:t>3,506.7</w:t>
            </w:r>
          </w:p>
        </w:tc>
        <w:tc>
          <w:tcPr>
            <w:tcW w:w="1276" w:type="dxa"/>
            <w:noWrap/>
            <w:hideMark/>
          </w:tcPr>
          <w:p w14:paraId="6BD4C1ED" w14:textId="77777777" w:rsidR="00087B91" w:rsidRPr="002029AF" w:rsidRDefault="00087B91" w:rsidP="00860E95">
            <w:pPr>
              <w:pStyle w:val="ARfintablebodyrightbold"/>
            </w:pPr>
            <w:r w:rsidRPr="002029AF">
              <w:t>600.5</w:t>
            </w:r>
          </w:p>
        </w:tc>
        <w:tc>
          <w:tcPr>
            <w:tcW w:w="1276" w:type="dxa"/>
            <w:noWrap/>
            <w:hideMark/>
          </w:tcPr>
          <w:p w14:paraId="5C20A3FF" w14:textId="77777777" w:rsidR="00087B91" w:rsidRPr="002029AF" w:rsidRDefault="00087B91" w:rsidP="00860E95">
            <w:pPr>
              <w:pStyle w:val="ARfintablebodyrightbold"/>
            </w:pPr>
            <w:r w:rsidRPr="002029AF">
              <w:t>257.4</w:t>
            </w:r>
          </w:p>
        </w:tc>
        <w:tc>
          <w:tcPr>
            <w:tcW w:w="1276" w:type="dxa"/>
            <w:noWrap/>
            <w:hideMark/>
          </w:tcPr>
          <w:p w14:paraId="6B405410" w14:textId="77777777" w:rsidR="00087B91" w:rsidRPr="002029AF" w:rsidRDefault="00087B91" w:rsidP="00860E95">
            <w:pPr>
              <w:pStyle w:val="ARfintablebodyrightbold"/>
            </w:pPr>
            <w:r w:rsidRPr="002029AF">
              <w:t>4,364.6</w:t>
            </w:r>
          </w:p>
        </w:tc>
      </w:tr>
    </w:tbl>
    <w:p w14:paraId="144D3B72" w14:textId="77777777" w:rsidR="00087B91" w:rsidRPr="002029AF" w:rsidRDefault="00087B91" w:rsidP="00087B91">
      <w:pPr>
        <w:pStyle w:val="ARfintablefootnote"/>
        <w:rPr>
          <w:lang w:eastAsia="en-AU"/>
        </w:rPr>
      </w:pPr>
      <w:r w:rsidRPr="002029AF">
        <w:rPr>
          <w:lang w:eastAsia="en-AU"/>
        </w:rPr>
        <w:t>Notes:</w:t>
      </w:r>
    </w:p>
    <w:p w14:paraId="71EE52C9" w14:textId="31059BB5" w:rsidR="00087B91" w:rsidRPr="002029AF" w:rsidRDefault="00087B91" w:rsidP="00087B91">
      <w:pPr>
        <w:pStyle w:val="ARfintablefootnoteindent"/>
      </w:pPr>
      <w:r w:rsidRPr="002029AF">
        <w:t>(i)</w:t>
      </w:r>
      <w:r w:rsidRPr="002029AF">
        <w:tab/>
        <w:t>The</w:t>
      </w:r>
      <w:r w:rsidR="000A5329" w:rsidRPr="002029AF">
        <w:t xml:space="preserve"> </w:t>
      </w:r>
      <w:r w:rsidRPr="002029AF">
        <w:t>total</w:t>
      </w:r>
      <w:r w:rsidR="000A5329" w:rsidRPr="002029AF">
        <w:t xml:space="preserve"> </w:t>
      </w:r>
      <w:r w:rsidRPr="002029AF">
        <w:t>amounts</w:t>
      </w:r>
      <w:r w:rsidR="000A5329" w:rsidRPr="002029AF">
        <w:t xml:space="preserve"> </w:t>
      </w:r>
      <w:r w:rsidRPr="002029AF">
        <w:t>disclosed</w:t>
      </w:r>
      <w:r w:rsidR="000A5329" w:rsidRPr="002029AF">
        <w:t xml:space="preserve"> </w:t>
      </w:r>
      <w:r w:rsidRPr="002029AF">
        <w:t>here</w:t>
      </w:r>
      <w:r w:rsidR="000A5329" w:rsidRPr="002029AF">
        <w:t xml:space="preserve"> </w:t>
      </w:r>
      <w:r w:rsidRPr="002029AF">
        <w:t>exclude</w:t>
      </w:r>
      <w:r w:rsidR="000A5329" w:rsidRPr="002029AF">
        <w:t xml:space="preserve"> </w:t>
      </w:r>
      <w:r w:rsidRPr="002029AF">
        <w:t>statutory</w:t>
      </w:r>
      <w:r w:rsidR="000A5329" w:rsidRPr="002029AF">
        <w:t xml:space="preserve"> </w:t>
      </w:r>
      <w:r w:rsidRPr="002029AF">
        <w:t>amounts,</w:t>
      </w:r>
      <w:r w:rsidR="000A5329" w:rsidRPr="002029AF">
        <w:t xml:space="preserve"> </w:t>
      </w:r>
      <w:r w:rsidRPr="002029AF">
        <w:t>for</w:t>
      </w:r>
      <w:r w:rsidR="000A5329" w:rsidRPr="002029AF">
        <w:t xml:space="preserve"> </w:t>
      </w:r>
      <w:r w:rsidRPr="002029AF">
        <w:t>example,</w:t>
      </w:r>
      <w:r w:rsidR="000A5329" w:rsidRPr="002029AF">
        <w:t xml:space="preserve"> </w:t>
      </w:r>
      <w:r w:rsidRPr="002029AF">
        <w:t>amounts</w:t>
      </w:r>
      <w:r w:rsidR="000A5329" w:rsidRPr="002029AF">
        <w:t xml:space="preserve"> </w:t>
      </w:r>
      <w:r w:rsidRPr="002029AF">
        <w:t>owing</w:t>
      </w:r>
      <w:r w:rsidR="000A5329" w:rsidRPr="002029AF">
        <w:t xml:space="preserve"> </w:t>
      </w:r>
      <w:r w:rsidRPr="002029AF">
        <w:t>from</w:t>
      </w:r>
      <w:r w:rsidR="000A5329" w:rsidRPr="002029AF">
        <w:t xml:space="preserve"> </w:t>
      </w:r>
      <w:r w:rsidRPr="002029AF">
        <w:t>Victorian</w:t>
      </w:r>
      <w:r w:rsidR="000A5329" w:rsidRPr="002029AF">
        <w:t xml:space="preserve"> </w:t>
      </w:r>
      <w:r w:rsidRPr="002029AF">
        <w:t>Government,</w:t>
      </w:r>
      <w:r w:rsidR="000A5329" w:rsidRPr="002029AF">
        <w:t xml:space="preserve"> </w:t>
      </w:r>
      <w:r w:rsidRPr="002029AF">
        <w:t>GST</w:t>
      </w:r>
      <w:r w:rsidR="000A5329" w:rsidRPr="002029AF">
        <w:t xml:space="preserve"> </w:t>
      </w:r>
      <w:r w:rsidRPr="002029AF">
        <w:t>input</w:t>
      </w:r>
      <w:r w:rsidR="000A5329" w:rsidRPr="002029AF">
        <w:t xml:space="preserve"> </w:t>
      </w:r>
      <w:r w:rsidRPr="002029AF">
        <w:t>tax</w:t>
      </w:r>
      <w:r w:rsidR="000A5329" w:rsidRPr="002029AF">
        <w:t xml:space="preserve"> </w:t>
      </w:r>
      <w:r w:rsidRPr="002029AF">
        <w:t>credit</w:t>
      </w:r>
      <w:r w:rsidR="000A5329" w:rsidRPr="002029AF">
        <w:t xml:space="preserve"> </w:t>
      </w:r>
      <w:r w:rsidRPr="002029AF">
        <w:t>recoverable</w:t>
      </w:r>
      <w:r w:rsidR="000A5329" w:rsidRPr="002029AF">
        <w:t xml:space="preserve"> </w:t>
      </w:r>
      <w:r w:rsidRPr="002029AF">
        <w:t>and</w:t>
      </w:r>
      <w:r w:rsidR="000A5329" w:rsidRPr="002029AF">
        <w:t xml:space="preserve"> </w:t>
      </w:r>
      <w:r w:rsidRPr="002029AF">
        <w:t>other</w:t>
      </w:r>
      <w:r w:rsidR="000A5329" w:rsidRPr="002029AF">
        <w:t xml:space="preserve"> </w:t>
      </w:r>
      <w:r w:rsidRPr="002029AF">
        <w:t>taxes</w:t>
      </w:r>
      <w:r w:rsidR="000A5329" w:rsidRPr="002029AF">
        <w:t xml:space="preserve"> </w:t>
      </w:r>
      <w:r w:rsidRPr="002029AF">
        <w:t>payable.</w:t>
      </w:r>
    </w:p>
    <w:p w14:paraId="5EEAE912" w14:textId="12729D58" w:rsidR="00087B91" w:rsidRPr="002029AF" w:rsidRDefault="00087B91" w:rsidP="00087B91">
      <w:pPr>
        <w:pStyle w:val="ARfintablefootnoteindent"/>
      </w:pPr>
      <w:r w:rsidRPr="002029AF">
        <w:t>(ii)</w:t>
      </w:r>
      <w:r w:rsidRPr="002029AF">
        <w:tab/>
        <w:t>The</w:t>
      </w:r>
      <w:r w:rsidR="000A5329" w:rsidRPr="002029AF">
        <w:t xml:space="preserve"> </w:t>
      </w:r>
      <w:r w:rsidRPr="002029AF">
        <w:t>carrying</w:t>
      </w:r>
      <w:r w:rsidR="000A5329" w:rsidRPr="002029AF">
        <w:t xml:space="preserve"> </w:t>
      </w:r>
      <w:r w:rsidRPr="002029AF">
        <w:t>amounts</w:t>
      </w:r>
      <w:r w:rsidR="000A5329" w:rsidRPr="002029AF">
        <w:t xml:space="preserve"> </w:t>
      </w:r>
      <w:r w:rsidRPr="002029AF">
        <w:t>consist</w:t>
      </w:r>
      <w:r w:rsidR="000A5329" w:rsidRPr="002029AF">
        <w:t xml:space="preserve"> </w:t>
      </w:r>
      <w:r w:rsidRPr="002029AF">
        <w:t>of</w:t>
      </w:r>
      <w:r w:rsidR="000A5329" w:rsidRPr="002029AF">
        <w:t xml:space="preserve"> </w:t>
      </w:r>
      <w:r w:rsidRPr="002029AF">
        <w:t>amounts</w:t>
      </w:r>
      <w:r w:rsidR="000A5329" w:rsidRPr="002029AF">
        <w:t xml:space="preserve"> </w:t>
      </w:r>
      <w:r w:rsidRPr="002029AF">
        <w:t>due</w:t>
      </w:r>
      <w:r w:rsidR="000A5329" w:rsidRPr="002029AF">
        <w:t xml:space="preserve"> </w:t>
      </w:r>
      <w:r w:rsidRPr="002029AF">
        <w:t>from</w:t>
      </w:r>
      <w:r w:rsidR="000A5329" w:rsidRPr="002029AF">
        <w:t xml:space="preserve"> </w:t>
      </w:r>
      <w:r w:rsidRPr="002029AF">
        <w:t>numerous</w:t>
      </w:r>
      <w:r w:rsidR="000A5329" w:rsidRPr="002029AF">
        <w:t xml:space="preserve"> </w:t>
      </w:r>
      <w:r w:rsidRPr="002029AF">
        <w:t>counterparties</w:t>
      </w:r>
      <w:r w:rsidR="000A5329" w:rsidRPr="002029AF">
        <w:t xml:space="preserve"> </w:t>
      </w:r>
      <w:r w:rsidRPr="002029AF">
        <w:t>for</w:t>
      </w:r>
      <w:r w:rsidR="000A5329" w:rsidRPr="002029AF">
        <w:t xml:space="preserve"> </w:t>
      </w:r>
      <w:r w:rsidRPr="002029AF">
        <w:t>which</w:t>
      </w:r>
      <w:r w:rsidR="000A5329" w:rsidRPr="002029AF">
        <w:t xml:space="preserve"> </w:t>
      </w:r>
      <w:r w:rsidRPr="002029AF">
        <w:t>no</w:t>
      </w:r>
      <w:r w:rsidR="000A5329" w:rsidRPr="002029AF">
        <w:t xml:space="preserve"> </w:t>
      </w:r>
      <w:r w:rsidRPr="002029AF">
        <w:t>credit</w:t>
      </w:r>
      <w:r w:rsidR="000A5329" w:rsidRPr="002029AF">
        <w:t xml:space="preserve"> </w:t>
      </w:r>
      <w:r w:rsidRPr="002029AF">
        <w:t>ratings</w:t>
      </w:r>
      <w:r w:rsidR="000A5329" w:rsidRPr="002029AF">
        <w:t xml:space="preserve"> </w:t>
      </w:r>
      <w:r w:rsidRPr="002029AF">
        <w:t>have</w:t>
      </w:r>
      <w:r w:rsidR="000A5329" w:rsidRPr="002029AF">
        <w:t xml:space="preserve"> </w:t>
      </w:r>
      <w:r w:rsidRPr="002029AF">
        <w:t>been</w:t>
      </w:r>
      <w:r w:rsidR="000A5329" w:rsidRPr="002029AF">
        <w:t xml:space="preserve"> </w:t>
      </w:r>
      <w:r w:rsidRPr="002029AF">
        <w:t>disclosed</w:t>
      </w:r>
      <w:r w:rsidR="000A5329" w:rsidRPr="002029AF">
        <w:t xml:space="preserve"> </w:t>
      </w:r>
      <w:r w:rsidRPr="002029AF">
        <w:t>due</w:t>
      </w:r>
      <w:r w:rsidR="000A5329" w:rsidRPr="002029AF">
        <w:t xml:space="preserve"> </w:t>
      </w:r>
      <w:r w:rsidRPr="002029AF">
        <w:t>to</w:t>
      </w:r>
      <w:r w:rsidR="000A5329" w:rsidRPr="002029AF">
        <w:t xml:space="preserve"> </w:t>
      </w:r>
      <w:r w:rsidRPr="002029AF">
        <w:t>impracticability.</w:t>
      </w:r>
    </w:p>
    <w:p w14:paraId="74FC41B6" w14:textId="60E19B78" w:rsidR="00087B91" w:rsidRPr="002029AF" w:rsidRDefault="00087B91" w:rsidP="00087B91">
      <w:pPr>
        <w:pStyle w:val="Heading7"/>
      </w:pPr>
      <w:r w:rsidRPr="002029AF">
        <w:t>Impairment</w:t>
      </w:r>
      <w:r w:rsidR="000A5329" w:rsidRPr="002029AF">
        <w:t xml:space="preserve"> </w:t>
      </w:r>
      <w:r w:rsidRPr="002029AF">
        <w:t>of</w:t>
      </w:r>
      <w:r w:rsidR="000A5329" w:rsidRPr="002029AF">
        <w:t xml:space="preserve"> </w:t>
      </w:r>
      <w:r w:rsidRPr="002029AF">
        <w:t>financial</w:t>
      </w:r>
      <w:r w:rsidR="000A5329" w:rsidRPr="002029AF">
        <w:t xml:space="preserve"> </w:t>
      </w:r>
      <w:r w:rsidRPr="002029AF">
        <w:t>assets</w:t>
      </w:r>
      <w:r w:rsidR="000A5329" w:rsidRPr="002029AF">
        <w:t xml:space="preserve"> </w:t>
      </w:r>
      <w:r w:rsidRPr="002029AF">
        <w:t>under</w:t>
      </w:r>
      <w:r w:rsidR="000A5329" w:rsidRPr="002029AF">
        <w:t xml:space="preserve"> </w:t>
      </w:r>
      <w:r w:rsidRPr="002029AF">
        <w:t>AASB</w:t>
      </w:r>
      <w:r w:rsidR="000A5329" w:rsidRPr="002029AF">
        <w:t xml:space="preserve"> </w:t>
      </w:r>
      <w:r w:rsidRPr="002029AF">
        <w:t>9</w:t>
      </w:r>
    </w:p>
    <w:p w14:paraId="0C71CBB8" w14:textId="7FE683A1" w:rsidR="00087B91" w:rsidRPr="002029AF" w:rsidRDefault="00087B91" w:rsidP="00087B91">
      <w:pPr>
        <w:pStyle w:val="ARfinbody"/>
        <w:rPr>
          <w:color w:val="auto"/>
        </w:rPr>
      </w:pPr>
      <w:r w:rsidRPr="002029AF">
        <w:rPr>
          <w:color w:val="auto"/>
        </w:rPr>
        <w:t>The</w:t>
      </w:r>
      <w:r w:rsidR="000A5329" w:rsidRPr="002029AF">
        <w:rPr>
          <w:color w:val="auto"/>
        </w:rPr>
        <w:t xml:space="preserve"> </w:t>
      </w:r>
      <w:r w:rsidRPr="002029AF">
        <w:rPr>
          <w:color w:val="auto"/>
        </w:rPr>
        <w:t>department</w:t>
      </w:r>
      <w:r w:rsidR="000A5329" w:rsidRPr="002029AF">
        <w:rPr>
          <w:color w:val="auto"/>
        </w:rPr>
        <w:t xml:space="preserve"> </w:t>
      </w:r>
      <w:r w:rsidRPr="002029AF">
        <w:rPr>
          <w:color w:val="auto"/>
        </w:rPr>
        <w:t>records</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allowance</w:t>
      </w:r>
      <w:r w:rsidR="000A5329" w:rsidRPr="002029AF">
        <w:rPr>
          <w:color w:val="auto"/>
        </w:rPr>
        <w:t xml:space="preserve"> </w:t>
      </w:r>
      <w:r w:rsidRPr="002029AF">
        <w:rPr>
          <w:color w:val="auto"/>
        </w:rPr>
        <w:t>for</w:t>
      </w:r>
      <w:r w:rsidR="000A5329" w:rsidRPr="002029AF">
        <w:rPr>
          <w:color w:val="auto"/>
        </w:rPr>
        <w:t xml:space="preserve"> </w:t>
      </w:r>
      <w:r w:rsidRPr="002029AF">
        <w:rPr>
          <w:color w:val="auto"/>
        </w:rPr>
        <w:t>expected</w:t>
      </w:r>
      <w:r w:rsidR="000A5329" w:rsidRPr="002029AF">
        <w:rPr>
          <w:color w:val="auto"/>
        </w:rPr>
        <w:t xml:space="preserve"> </w:t>
      </w:r>
      <w:r w:rsidRPr="002029AF">
        <w:rPr>
          <w:color w:val="auto"/>
        </w:rPr>
        <w:t>credit</w:t>
      </w:r>
      <w:r w:rsidR="000A5329" w:rsidRPr="002029AF">
        <w:rPr>
          <w:color w:val="auto"/>
        </w:rPr>
        <w:t xml:space="preserve"> </w:t>
      </w:r>
      <w:r w:rsidRPr="002029AF">
        <w:rPr>
          <w:color w:val="auto"/>
        </w:rPr>
        <w:t>loss</w:t>
      </w:r>
      <w:r w:rsidR="000A5329" w:rsidRPr="002029AF">
        <w:rPr>
          <w:color w:val="auto"/>
        </w:rPr>
        <w:t xml:space="preserve"> </w:t>
      </w:r>
      <w:r w:rsidRPr="002029AF">
        <w:rPr>
          <w:color w:val="auto"/>
        </w:rPr>
        <w:t>for</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relevant</w:t>
      </w:r>
      <w:r w:rsidR="000A5329" w:rsidRPr="002029AF">
        <w:rPr>
          <w:color w:val="auto"/>
        </w:rPr>
        <w:t xml:space="preserve"> </w:t>
      </w:r>
      <w:r w:rsidRPr="002029AF">
        <w:rPr>
          <w:color w:val="auto"/>
        </w:rPr>
        <w:t>financial</w:t>
      </w:r>
      <w:r w:rsidR="000A5329" w:rsidRPr="002029AF">
        <w:rPr>
          <w:color w:val="auto"/>
        </w:rPr>
        <w:t xml:space="preserve"> </w:t>
      </w:r>
      <w:r w:rsidRPr="002029AF">
        <w:rPr>
          <w:color w:val="auto"/>
        </w:rPr>
        <w:t>instruments</w:t>
      </w:r>
      <w:r w:rsidR="000A5329" w:rsidRPr="002029AF">
        <w:rPr>
          <w:color w:val="auto"/>
        </w:rPr>
        <w:t xml:space="preserve"> </w:t>
      </w:r>
      <w:r w:rsidRPr="002029AF">
        <w:rPr>
          <w:color w:val="auto"/>
        </w:rPr>
        <w:t>applying</w:t>
      </w:r>
      <w:r w:rsidR="000A5329" w:rsidRPr="002029AF">
        <w:rPr>
          <w:color w:val="auto"/>
        </w:rPr>
        <w:t xml:space="preserve"> </w:t>
      </w:r>
      <w:r w:rsidRPr="002029AF">
        <w:rPr>
          <w:color w:val="auto"/>
        </w:rPr>
        <w:t>AASB</w:t>
      </w:r>
      <w:r w:rsidR="000A5329" w:rsidRPr="002029AF">
        <w:rPr>
          <w:color w:val="auto"/>
        </w:rPr>
        <w:t xml:space="preserve"> </w:t>
      </w:r>
      <w:r w:rsidRPr="002029AF">
        <w:rPr>
          <w:color w:val="auto"/>
        </w:rPr>
        <w:t>9’s</w:t>
      </w:r>
      <w:r w:rsidR="000A5329" w:rsidRPr="002029AF">
        <w:rPr>
          <w:color w:val="auto"/>
        </w:rPr>
        <w:t xml:space="preserve"> </w:t>
      </w:r>
      <w:r w:rsidRPr="002029AF">
        <w:rPr>
          <w:color w:val="auto"/>
        </w:rPr>
        <w:t>Expected</w:t>
      </w:r>
      <w:r w:rsidR="000A5329" w:rsidRPr="002029AF">
        <w:rPr>
          <w:color w:val="auto"/>
        </w:rPr>
        <w:t xml:space="preserve"> </w:t>
      </w:r>
      <w:r w:rsidRPr="002029AF">
        <w:rPr>
          <w:color w:val="auto"/>
        </w:rPr>
        <w:t>Credit</w:t>
      </w:r>
      <w:r w:rsidR="000A5329" w:rsidRPr="002029AF">
        <w:rPr>
          <w:color w:val="auto"/>
        </w:rPr>
        <w:t xml:space="preserve"> </w:t>
      </w:r>
      <w:r w:rsidRPr="002029AF">
        <w:rPr>
          <w:color w:val="auto"/>
        </w:rPr>
        <w:t>Loss</w:t>
      </w:r>
      <w:r w:rsidR="000A5329" w:rsidRPr="002029AF">
        <w:rPr>
          <w:color w:val="auto"/>
        </w:rPr>
        <w:t xml:space="preserve"> </w:t>
      </w:r>
      <w:r w:rsidRPr="002029AF">
        <w:rPr>
          <w:color w:val="auto"/>
        </w:rPr>
        <w:t>approach.</w:t>
      </w:r>
      <w:r w:rsidR="000A5329" w:rsidRPr="002029AF">
        <w:rPr>
          <w:color w:val="auto"/>
        </w:rPr>
        <w:t xml:space="preserve"> </w:t>
      </w:r>
      <w:r w:rsidRPr="002029AF">
        <w:rPr>
          <w:color w:val="auto"/>
        </w:rPr>
        <w:t>Subject</w:t>
      </w:r>
      <w:r w:rsidR="000A5329" w:rsidRPr="002029AF">
        <w:rPr>
          <w:color w:val="auto"/>
        </w:rPr>
        <w:t xml:space="preserve"> </w:t>
      </w:r>
      <w:r w:rsidRPr="002029AF">
        <w:rPr>
          <w:color w:val="auto"/>
        </w:rPr>
        <w:t>to</w:t>
      </w:r>
      <w:r w:rsidR="000A5329" w:rsidRPr="002029AF">
        <w:rPr>
          <w:color w:val="auto"/>
        </w:rPr>
        <w:t xml:space="preserve"> </w:t>
      </w:r>
      <w:r w:rsidRPr="002029AF">
        <w:rPr>
          <w:color w:val="auto"/>
        </w:rPr>
        <w:t>AASB</w:t>
      </w:r>
      <w:r w:rsidR="000A5329" w:rsidRPr="002029AF">
        <w:rPr>
          <w:color w:val="auto"/>
        </w:rPr>
        <w:t xml:space="preserve"> </w:t>
      </w:r>
      <w:r w:rsidRPr="002029AF">
        <w:rPr>
          <w:color w:val="auto"/>
        </w:rPr>
        <w:t>9</w:t>
      </w:r>
      <w:r w:rsidR="000A5329" w:rsidRPr="002029AF">
        <w:rPr>
          <w:color w:val="auto"/>
        </w:rPr>
        <w:t xml:space="preserve"> </w:t>
      </w:r>
      <w:r w:rsidRPr="002029AF">
        <w:rPr>
          <w:color w:val="auto"/>
        </w:rPr>
        <w:t>impairment</w:t>
      </w:r>
      <w:r w:rsidR="000A5329" w:rsidRPr="002029AF">
        <w:rPr>
          <w:color w:val="auto"/>
        </w:rPr>
        <w:t xml:space="preserve"> </w:t>
      </w:r>
      <w:r w:rsidRPr="002029AF">
        <w:rPr>
          <w:color w:val="auto"/>
        </w:rPr>
        <w:t>assessment</w:t>
      </w:r>
      <w:r w:rsidR="000A5329" w:rsidRPr="002029AF">
        <w:rPr>
          <w:color w:val="auto"/>
        </w:rPr>
        <w:t xml:space="preserve"> </w:t>
      </w:r>
      <w:r w:rsidRPr="002029AF">
        <w:rPr>
          <w:color w:val="auto"/>
        </w:rPr>
        <w:t>include</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department’s</w:t>
      </w:r>
      <w:r w:rsidR="000A5329" w:rsidRPr="002029AF">
        <w:rPr>
          <w:color w:val="auto"/>
        </w:rPr>
        <w:t xml:space="preserve"> </w:t>
      </w:r>
      <w:r w:rsidRPr="002029AF">
        <w:rPr>
          <w:color w:val="auto"/>
        </w:rPr>
        <w:t>contractual</w:t>
      </w:r>
      <w:r w:rsidR="000A5329" w:rsidRPr="002029AF">
        <w:rPr>
          <w:color w:val="auto"/>
        </w:rPr>
        <w:t xml:space="preserve"> </w:t>
      </w:r>
      <w:r w:rsidRPr="002029AF">
        <w:rPr>
          <w:color w:val="auto"/>
        </w:rPr>
        <w:t>receivables</w:t>
      </w:r>
      <w:r w:rsidR="000A5329" w:rsidRPr="002029AF">
        <w:rPr>
          <w:color w:val="auto"/>
        </w:rPr>
        <w:t xml:space="preserve"> </w:t>
      </w:r>
      <w:r w:rsidRPr="002029AF">
        <w:rPr>
          <w:color w:val="auto"/>
        </w:rPr>
        <w:t>and</w:t>
      </w:r>
      <w:r w:rsidR="000A5329" w:rsidRPr="002029AF">
        <w:rPr>
          <w:color w:val="auto"/>
        </w:rPr>
        <w:t xml:space="preserve"> </w:t>
      </w:r>
      <w:r w:rsidRPr="002029AF">
        <w:rPr>
          <w:color w:val="auto"/>
        </w:rPr>
        <w:t>statutory</w:t>
      </w:r>
      <w:r w:rsidR="000A5329" w:rsidRPr="002029AF">
        <w:rPr>
          <w:color w:val="auto"/>
        </w:rPr>
        <w:t xml:space="preserve"> </w:t>
      </w:r>
      <w:r w:rsidRPr="002029AF">
        <w:rPr>
          <w:color w:val="auto"/>
        </w:rPr>
        <w:t>receivables.</w:t>
      </w:r>
    </w:p>
    <w:p w14:paraId="04A11B34" w14:textId="58B89FAC" w:rsidR="00087B91" w:rsidRPr="002029AF" w:rsidRDefault="00087B91" w:rsidP="00087B91">
      <w:pPr>
        <w:pStyle w:val="ARfinbody"/>
        <w:rPr>
          <w:color w:val="auto"/>
        </w:rPr>
      </w:pPr>
      <w:r w:rsidRPr="002029AF">
        <w:rPr>
          <w:color w:val="auto"/>
        </w:rPr>
        <w:t>Equity</w:t>
      </w:r>
      <w:r w:rsidR="000A5329" w:rsidRPr="002029AF">
        <w:rPr>
          <w:color w:val="auto"/>
        </w:rPr>
        <w:t xml:space="preserve"> </w:t>
      </w:r>
      <w:r w:rsidRPr="002029AF">
        <w:rPr>
          <w:color w:val="auto"/>
        </w:rPr>
        <w:t>instruments</w:t>
      </w:r>
      <w:r w:rsidR="000A5329" w:rsidRPr="002029AF">
        <w:rPr>
          <w:color w:val="auto"/>
        </w:rPr>
        <w:t xml:space="preserve"> </w:t>
      </w:r>
      <w:r w:rsidRPr="002029AF">
        <w:rPr>
          <w:color w:val="auto"/>
        </w:rPr>
        <w:t>are</w:t>
      </w:r>
      <w:r w:rsidR="000A5329" w:rsidRPr="002029AF">
        <w:rPr>
          <w:color w:val="auto"/>
        </w:rPr>
        <w:t xml:space="preserve"> </w:t>
      </w:r>
      <w:r w:rsidRPr="002029AF">
        <w:rPr>
          <w:color w:val="auto"/>
        </w:rPr>
        <w:t>not</w:t>
      </w:r>
      <w:r w:rsidR="000A5329" w:rsidRPr="002029AF">
        <w:rPr>
          <w:color w:val="auto"/>
        </w:rPr>
        <w:t xml:space="preserve"> </w:t>
      </w:r>
      <w:r w:rsidRPr="002029AF">
        <w:rPr>
          <w:color w:val="auto"/>
        </w:rPr>
        <w:t>subject</w:t>
      </w:r>
      <w:r w:rsidR="000A5329" w:rsidRPr="002029AF">
        <w:rPr>
          <w:color w:val="auto"/>
        </w:rPr>
        <w:t xml:space="preserve"> </w:t>
      </w:r>
      <w:r w:rsidRPr="002029AF">
        <w:rPr>
          <w:color w:val="auto"/>
        </w:rPr>
        <w:t>to</w:t>
      </w:r>
      <w:r w:rsidR="000A5329" w:rsidRPr="002029AF">
        <w:rPr>
          <w:color w:val="auto"/>
        </w:rPr>
        <w:t xml:space="preserve"> </w:t>
      </w:r>
      <w:r w:rsidRPr="002029AF">
        <w:rPr>
          <w:color w:val="auto"/>
        </w:rPr>
        <w:t>impairment</w:t>
      </w:r>
      <w:r w:rsidR="000A5329" w:rsidRPr="002029AF">
        <w:rPr>
          <w:color w:val="auto"/>
        </w:rPr>
        <w:t xml:space="preserve"> </w:t>
      </w:r>
      <w:r w:rsidRPr="002029AF">
        <w:rPr>
          <w:color w:val="auto"/>
        </w:rPr>
        <w:t>under</w:t>
      </w:r>
      <w:r w:rsidR="000A5329" w:rsidRPr="002029AF">
        <w:rPr>
          <w:color w:val="auto"/>
        </w:rPr>
        <w:t xml:space="preserve"> </w:t>
      </w:r>
      <w:r w:rsidRPr="002029AF">
        <w:rPr>
          <w:color w:val="auto"/>
        </w:rPr>
        <w:t>AASB</w:t>
      </w:r>
      <w:r w:rsidR="000A5329" w:rsidRPr="002029AF">
        <w:rPr>
          <w:color w:val="auto"/>
        </w:rPr>
        <w:t xml:space="preserve"> </w:t>
      </w:r>
      <w:r w:rsidRPr="002029AF">
        <w:rPr>
          <w:color w:val="auto"/>
        </w:rPr>
        <w:t>9.</w:t>
      </w:r>
      <w:r w:rsidR="000A5329" w:rsidRPr="002029AF">
        <w:rPr>
          <w:color w:val="auto"/>
        </w:rPr>
        <w:t xml:space="preserve"> </w:t>
      </w:r>
      <w:r w:rsidRPr="002029AF">
        <w:rPr>
          <w:color w:val="auto"/>
        </w:rPr>
        <w:t>Other</w:t>
      </w:r>
      <w:r w:rsidR="000A5329" w:rsidRPr="002029AF">
        <w:rPr>
          <w:color w:val="auto"/>
        </w:rPr>
        <w:t xml:space="preserve"> </w:t>
      </w:r>
      <w:r w:rsidRPr="002029AF">
        <w:rPr>
          <w:color w:val="auto"/>
        </w:rPr>
        <w:t>financial</w:t>
      </w:r>
      <w:r w:rsidR="000A5329" w:rsidRPr="002029AF">
        <w:rPr>
          <w:color w:val="auto"/>
        </w:rPr>
        <w:t xml:space="preserve"> </w:t>
      </w:r>
      <w:r w:rsidRPr="002029AF">
        <w:rPr>
          <w:color w:val="auto"/>
        </w:rPr>
        <w:t>assets</w:t>
      </w:r>
      <w:r w:rsidR="000A5329" w:rsidRPr="002029AF">
        <w:rPr>
          <w:color w:val="auto"/>
        </w:rPr>
        <w:t xml:space="preserve"> </w:t>
      </w:r>
      <w:r w:rsidRPr="002029AF">
        <w:rPr>
          <w:color w:val="auto"/>
        </w:rPr>
        <w:t>mandatorily</w:t>
      </w:r>
      <w:r w:rsidR="000A5329" w:rsidRPr="002029AF">
        <w:rPr>
          <w:color w:val="auto"/>
        </w:rPr>
        <w:t xml:space="preserve"> </w:t>
      </w:r>
      <w:r w:rsidRPr="002029AF">
        <w:rPr>
          <w:color w:val="auto"/>
        </w:rPr>
        <w:t>measured</w:t>
      </w:r>
      <w:r w:rsidR="000A5329" w:rsidRPr="002029AF">
        <w:rPr>
          <w:color w:val="auto"/>
        </w:rPr>
        <w:t xml:space="preserve"> </w:t>
      </w:r>
      <w:r w:rsidRPr="002029AF">
        <w:rPr>
          <w:color w:val="auto"/>
        </w:rPr>
        <w:t>or</w:t>
      </w:r>
      <w:r w:rsidR="000A5329" w:rsidRPr="002029AF">
        <w:rPr>
          <w:color w:val="auto"/>
        </w:rPr>
        <w:t xml:space="preserve"> </w:t>
      </w:r>
      <w:r w:rsidRPr="002029AF">
        <w:rPr>
          <w:color w:val="auto"/>
        </w:rPr>
        <w:t>designated</w:t>
      </w:r>
      <w:r w:rsidR="000A5329" w:rsidRPr="002029AF">
        <w:rPr>
          <w:color w:val="auto"/>
        </w:rPr>
        <w:t xml:space="preserve"> </w:t>
      </w:r>
      <w:r w:rsidRPr="002029AF">
        <w:rPr>
          <w:color w:val="auto"/>
        </w:rPr>
        <w:t>at</w:t>
      </w:r>
      <w:r w:rsidR="000A5329" w:rsidRPr="002029AF">
        <w:rPr>
          <w:color w:val="auto"/>
        </w:rPr>
        <w:t xml:space="preserve"> </w:t>
      </w:r>
      <w:r w:rsidRPr="002029AF">
        <w:rPr>
          <w:color w:val="auto"/>
        </w:rPr>
        <w:t>fair</w:t>
      </w:r>
      <w:r w:rsidR="000A5329" w:rsidRPr="002029AF">
        <w:rPr>
          <w:color w:val="auto"/>
        </w:rPr>
        <w:t xml:space="preserve"> </w:t>
      </w:r>
      <w:r w:rsidRPr="002029AF">
        <w:rPr>
          <w:color w:val="auto"/>
        </w:rPr>
        <w:t>value</w:t>
      </w:r>
      <w:r w:rsidR="000A5329" w:rsidRPr="002029AF">
        <w:rPr>
          <w:color w:val="auto"/>
        </w:rPr>
        <w:t xml:space="preserve"> </w:t>
      </w:r>
      <w:r w:rsidRPr="002029AF">
        <w:rPr>
          <w:color w:val="auto"/>
        </w:rPr>
        <w:t>through</w:t>
      </w:r>
      <w:r w:rsidR="000A5329" w:rsidRPr="002029AF">
        <w:rPr>
          <w:color w:val="auto"/>
        </w:rPr>
        <w:t xml:space="preserve"> </w:t>
      </w:r>
      <w:r w:rsidRPr="002029AF">
        <w:rPr>
          <w:color w:val="auto"/>
        </w:rPr>
        <w:t>net</w:t>
      </w:r>
      <w:r w:rsidR="000A5329" w:rsidRPr="002029AF">
        <w:rPr>
          <w:color w:val="auto"/>
        </w:rPr>
        <w:t xml:space="preserve"> </w:t>
      </w:r>
      <w:r w:rsidRPr="002029AF">
        <w:rPr>
          <w:color w:val="auto"/>
        </w:rPr>
        <w:t>result</w:t>
      </w:r>
      <w:r w:rsidR="000A5329" w:rsidRPr="002029AF">
        <w:rPr>
          <w:color w:val="auto"/>
        </w:rPr>
        <w:t xml:space="preserve"> </w:t>
      </w:r>
      <w:r w:rsidRPr="002029AF">
        <w:rPr>
          <w:color w:val="auto"/>
        </w:rPr>
        <w:t>are</w:t>
      </w:r>
      <w:r w:rsidR="000A5329" w:rsidRPr="002029AF">
        <w:rPr>
          <w:color w:val="auto"/>
        </w:rPr>
        <w:t xml:space="preserve"> </w:t>
      </w:r>
      <w:r w:rsidRPr="002029AF">
        <w:rPr>
          <w:color w:val="auto"/>
        </w:rPr>
        <w:t>not</w:t>
      </w:r>
      <w:r w:rsidR="000A5329" w:rsidRPr="002029AF">
        <w:rPr>
          <w:color w:val="auto"/>
        </w:rPr>
        <w:t xml:space="preserve"> </w:t>
      </w:r>
      <w:r w:rsidRPr="002029AF">
        <w:rPr>
          <w:color w:val="auto"/>
        </w:rPr>
        <w:t>subject</w:t>
      </w:r>
      <w:r w:rsidR="000A5329" w:rsidRPr="002029AF">
        <w:rPr>
          <w:color w:val="auto"/>
        </w:rPr>
        <w:t xml:space="preserve"> </w:t>
      </w:r>
      <w:r w:rsidRPr="002029AF">
        <w:rPr>
          <w:color w:val="auto"/>
        </w:rPr>
        <w:t>to</w:t>
      </w:r>
      <w:r w:rsidR="000A5329" w:rsidRPr="002029AF">
        <w:rPr>
          <w:color w:val="auto"/>
        </w:rPr>
        <w:t xml:space="preserve"> </w:t>
      </w:r>
      <w:r w:rsidRPr="002029AF">
        <w:rPr>
          <w:color w:val="auto"/>
        </w:rPr>
        <w:t>impairment</w:t>
      </w:r>
      <w:r w:rsidR="000A5329" w:rsidRPr="002029AF">
        <w:rPr>
          <w:color w:val="auto"/>
        </w:rPr>
        <w:t xml:space="preserve"> </w:t>
      </w:r>
      <w:r w:rsidRPr="002029AF">
        <w:rPr>
          <w:color w:val="auto"/>
        </w:rPr>
        <w:t>assessment</w:t>
      </w:r>
      <w:r w:rsidR="000A5329" w:rsidRPr="002029AF">
        <w:rPr>
          <w:color w:val="auto"/>
        </w:rPr>
        <w:t xml:space="preserve"> </w:t>
      </w:r>
      <w:r w:rsidRPr="002029AF">
        <w:rPr>
          <w:color w:val="auto"/>
        </w:rPr>
        <w:t>under</w:t>
      </w:r>
      <w:r w:rsidR="000A5329" w:rsidRPr="002029AF">
        <w:rPr>
          <w:color w:val="auto"/>
        </w:rPr>
        <w:t xml:space="preserve"> </w:t>
      </w:r>
      <w:r w:rsidRPr="002029AF">
        <w:rPr>
          <w:color w:val="auto"/>
        </w:rPr>
        <w:t>AASB</w:t>
      </w:r>
      <w:r w:rsidR="000A5329" w:rsidRPr="002029AF">
        <w:rPr>
          <w:color w:val="auto"/>
        </w:rPr>
        <w:t xml:space="preserve"> </w:t>
      </w:r>
      <w:r w:rsidRPr="002029AF">
        <w:rPr>
          <w:color w:val="auto"/>
        </w:rPr>
        <w:t>9.</w:t>
      </w:r>
      <w:r w:rsidR="000A5329" w:rsidRPr="002029AF">
        <w:rPr>
          <w:color w:val="auto"/>
        </w:rPr>
        <w:t xml:space="preserve"> </w:t>
      </w:r>
      <w:r w:rsidRPr="002029AF">
        <w:rPr>
          <w:color w:val="auto"/>
        </w:rPr>
        <w:t>While</w:t>
      </w:r>
      <w:r w:rsidR="000A5329" w:rsidRPr="002029AF">
        <w:rPr>
          <w:color w:val="auto"/>
        </w:rPr>
        <w:t xml:space="preserve"> </w:t>
      </w:r>
      <w:r w:rsidRPr="002029AF">
        <w:rPr>
          <w:color w:val="auto"/>
        </w:rPr>
        <w:t>cash</w:t>
      </w:r>
      <w:r w:rsidR="000A5329" w:rsidRPr="002029AF">
        <w:rPr>
          <w:color w:val="auto"/>
        </w:rPr>
        <w:t xml:space="preserve"> </w:t>
      </w:r>
      <w:r w:rsidRPr="002029AF">
        <w:rPr>
          <w:color w:val="auto"/>
        </w:rPr>
        <w:t>and</w:t>
      </w:r>
      <w:r w:rsidR="000A5329" w:rsidRPr="002029AF">
        <w:rPr>
          <w:color w:val="auto"/>
        </w:rPr>
        <w:t xml:space="preserve"> </w:t>
      </w:r>
      <w:r w:rsidRPr="002029AF">
        <w:rPr>
          <w:color w:val="auto"/>
        </w:rPr>
        <w:t>cash</w:t>
      </w:r>
      <w:r w:rsidR="000A5329" w:rsidRPr="002029AF">
        <w:rPr>
          <w:color w:val="auto"/>
        </w:rPr>
        <w:t xml:space="preserve"> </w:t>
      </w:r>
      <w:r w:rsidRPr="002029AF">
        <w:rPr>
          <w:color w:val="auto"/>
        </w:rPr>
        <w:t>equivalents</w:t>
      </w:r>
      <w:r w:rsidR="000A5329" w:rsidRPr="002029AF">
        <w:rPr>
          <w:color w:val="auto"/>
        </w:rPr>
        <w:t xml:space="preserve"> </w:t>
      </w:r>
      <w:r w:rsidRPr="002029AF">
        <w:rPr>
          <w:color w:val="auto"/>
        </w:rPr>
        <w:t>are</w:t>
      </w:r>
      <w:r w:rsidR="000A5329" w:rsidRPr="002029AF">
        <w:rPr>
          <w:color w:val="auto"/>
        </w:rPr>
        <w:t xml:space="preserve"> </w:t>
      </w:r>
      <w:r w:rsidRPr="002029AF">
        <w:rPr>
          <w:color w:val="auto"/>
        </w:rPr>
        <w:t>also</w:t>
      </w:r>
      <w:r w:rsidR="000A5329" w:rsidRPr="002029AF">
        <w:rPr>
          <w:color w:val="auto"/>
        </w:rPr>
        <w:t xml:space="preserve"> </w:t>
      </w:r>
      <w:r w:rsidRPr="002029AF">
        <w:rPr>
          <w:color w:val="auto"/>
        </w:rPr>
        <w:t>subject</w:t>
      </w:r>
      <w:r w:rsidR="000A5329" w:rsidRPr="002029AF">
        <w:rPr>
          <w:color w:val="auto"/>
        </w:rPr>
        <w:t xml:space="preserve"> </w:t>
      </w:r>
      <w:r w:rsidRPr="002029AF">
        <w:rPr>
          <w:color w:val="auto"/>
        </w:rPr>
        <w:t>to</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impairment</w:t>
      </w:r>
      <w:r w:rsidR="000A5329" w:rsidRPr="002029AF">
        <w:rPr>
          <w:color w:val="auto"/>
        </w:rPr>
        <w:t xml:space="preserve"> </w:t>
      </w:r>
      <w:r w:rsidRPr="002029AF">
        <w:rPr>
          <w:color w:val="auto"/>
        </w:rPr>
        <w:t>requirements</w:t>
      </w:r>
      <w:r w:rsidR="000A5329" w:rsidRPr="002029AF">
        <w:rPr>
          <w:color w:val="auto"/>
        </w:rPr>
        <w:t xml:space="preserve"> </w:t>
      </w:r>
      <w:r w:rsidRPr="002029AF">
        <w:rPr>
          <w:color w:val="auto"/>
        </w:rPr>
        <w:t>of</w:t>
      </w:r>
      <w:r w:rsidR="000A5329" w:rsidRPr="002029AF">
        <w:rPr>
          <w:color w:val="auto"/>
        </w:rPr>
        <w:t xml:space="preserve"> </w:t>
      </w:r>
      <w:r w:rsidRPr="002029AF">
        <w:rPr>
          <w:color w:val="auto"/>
        </w:rPr>
        <w:t>AASB</w:t>
      </w:r>
      <w:r w:rsidR="000A5329" w:rsidRPr="002029AF">
        <w:rPr>
          <w:color w:val="auto"/>
        </w:rPr>
        <w:t xml:space="preserve"> </w:t>
      </w:r>
      <w:r w:rsidRPr="002029AF">
        <w:rPr>
          <w:color w:val="auto"/>
        </w:rPr>
        <w:t>9,</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identified</w:t>
      </w:r>
      <w:r w:rsidR="000A5329" w:rsidRPr="002029AF">
        <w:rPr>
          <w:color w:val="auto"/>
        </w:rPr>
        <w:t xml:space="preserve"> </w:t>
      </w:r>
      <w:r w:rsidRPr="002029AF">
        <w:rPr>
          <w:color w:val="auto"/>
        </w:rPr>
        <w:t>impairment</w:t>
      </w:r>
      <w:r w:rsidR="000A5329" w:rsidRPr="002029AF">
        <w:rPr>
          <w:color w:val="auto"/>
        </w:rPr>
        <w:t xml:space="preserve"> </w:t>
      </w:r>
      <w:r w:rsidRPr="002029AF">
        <w:rPr>
          <w:color w:val="auto"/>
        </w:rPr>
        <w:t>loss</w:t>
      </w:r>
      <w:r w:rsidR="000A5329" w:rsidRPr="002029AF">
        <w:rPr>
          <w:color w:val="auto"/>
        </w:rPr>
        <w:t xml:space="preserve"> </w:t>
      </w:r>
      <w:r w:rsidRPr="002029AF">
        <w:rPr>
          <w:color w:val="auto"/>
        </w:rPr>
        <w:t>was</w:t>
      </w:r>
      <w:r w:rsidR="000A5329" w:rsidRPr="002029AF">
        <w:rPr>
          <w:color w:val="auto"/>
        </w:rPr>
        <w:t xml:space="preserve"> </w:t>
      </w:r>
      <w:r w:rsidRPr="002029AF">
        <w:rPr>
          <w:color w:val="auto"/>
        </w:rPr>
        <w:t>immaterial.</w:t>
      </w:r>
    </w:p>
    <w:p w14:paraId="339D46B3" w14:textId="384747A7" w:rsidR="00087B91" w:rsidRPr="002029AF" w:rsidRDefault="00087B91" w:rsidP="00087B91">
      <w:pPr>
        <w:pStyle w:val="Heading7"/>
      </w:pPr>
      <w:r w:rsidRPr="002029AF">
        <w:t>Contractual</w:t>
      </w:r>
      <w:r w:rsidR="000A5329" w:rsidRPr="002029AF">
        <w:t xml:space="preserve"> </w:t>
      </w:r>
      <w:r w:rsidRPr="002029AF">
        <w:t>receivables</w:t>
      </w:r>
      <w:r w:rsidR="000A5329" w:rsidRPr="002029AF">
        <w:t xml:space="preserve"> </w:t>
      </w:r>
      <w:r w:rsidRPr="002029AF">
        <w:t>at</w:t>
      </w:r>
      <w:r w:rsidR="000A5329" w:rsidRPr="002029AF">
        <w:t xml:space="preserve"> </w:t>
      </w:r>
      <w:r w:rsidRPr="002029AF">
        <w:t>amortised</w:t>
      </w:r>
      <w:r w:rsidR="000A5329" w:rsidRPr="002029AF">
        <w:t xml:space="preserve"> </w:t>
      </w:r>
      <w:r w:rsidRPr="002029AF">
        <w:t>cost</w:t>
      </w:r>
    </w:p>
    <w:p w14:paraId="33AE0C55" w14:textId="795B3C14" w:rsidR="00087B91" w:rsidRPr="002029AF" w:rsidRDefault="00087B91" w:rsidP="00087B91">
      <w:pPr>
        <w:pStyle w:val="ARfinbody"/>
      </w:pPr>
      <w:r w:rsidRPr="002029AF">
        <w:t>The</w:t>
      </w:r>
      <w:r w:rsidR="000A5329" w:rsidRPr="002029AF">
        <w:t xml:space="preserve"> </w:t>
      </w:r>
      <w:r w:rsidRPr="002029AF">
        <w:t>department</w:t>
      </w:r>
      <w:r w:rsidR="000A5329" w:rsidRPr="002029AF">
        <w:t xml:space="preserve"> </w:t>
      </w:r>
      <w:r w:rsidRPr="002029AF">
        <w:t>applies</w:t>
      </w:r>
      <w:r w:rsidR="000A5329" w:rsidRPr="002029AF">
        <w:t xml:space="preserve"> </w:t>
      </w:r>
      <w:r w:rsidRPr="002029AF">
        <w:t>the</w:t>
      </w:r>
      <w:r w:rsidR="000A5329" w:rsidRPr="002029AF">
        <w:t xml:space="preserve"> </w:t>
      </w:r>
      <w:r w:rsidRPr="002029AF">
        <w:t>AASB</w:t>
      </w:r>
      <w:r w:rsidR="000A5329" w:rsidRPr="002029AF">
        <w:t xml:space="preserve"> </w:t>
      </w:r>
      <w:r w:rsidRPr="002029AF">
        <w:t>9</w:t>
      </w:r>
      <w:r w:rsidR="000A5329" w:rsidRPr="002029AF">
        <w:t xml:space="preserve"> </w:t>
      </w:r>
      <w:r w:rsidRPr="002029AF">
        <w:t>simplified</w:t>
      </w:r>
      <w:r w:rsidR="000A5329" w:rsidRPr="002029AF">
        <w:t xml:space="preserve"> </w:t>
      </w:r>
      <w:r w:rsidRPr="002029AF">
        <w:t>approach</w:t>
      </w:r>
      <w:r w:rsidR="000A5329" w:rsidRPr="002029AF">
        <w:t xml:space="preserve"> </w:t>
      </w:r>
      <w:r w:rsidRPr="002029AF">
        <w:t>for</w:t>
      </w:r>
      <w:r w:rsidR="000A5329" w:rsidRPr="002029AF">
        <w:t xml:space="preserve"> </w:t>
      </w:r>
      <w:r w:rsidRPr="002029AF">
        <w:t>all</w:t>
      </w:r>
      <w:r w:rsidR="000A5329" w:rsidRPr="002029AF">
        <w:t xml:space="preserve"> </w:t>
      </w:r>
      <w:r w:rsidRPr="002029AF">
        <w:t>contractual</w:t>
      </w:r>
      <w:r w:rsidR="000A5329" w:rsidRPr="002029AF">
        <w:t xml:space="preserve"> </w:t>
      </w:r>
      <w:r w:rsidRPr="002029AF">
        <w:t>receivables</w:t>
      </w:r>
      <w:r w:rsidR="000A5329" w:rsidRPr="002029AF">
        <w:t xml:space="preserve"> </w:t>
      </w:r>
      <w:r w:rsidRPr="002029AF">
        <w:t>to</w:t>
      </w:r>
      <w:r w:rsidR="000A5329" w:rsidRPr="002029AF">
        <w:t xml:space="preserve"> </w:t>
      </w:r>
      <w:r w:rsidRPr="002029AF">
        <w:t>measure</w:t>
      </w:r>
      <w:r w:rsidR="000A5329" w:rsidRPr="002029AF">
        <w:t xml:space="preserve"> </w:t>
      </w:r>
      <w:r w:rsidRPr="002029AF">
        <w:t>expected</w:t>
      </w:r>
      <w:r w:rsidR="000A5329" w:rsidRPr="002029AF">
        <w:t xml:space="preserve"> </w:t>
      </w:r>
      <w:r w:rsidRPr="002029AF">
        <w:t>credit</w:t>
      </w:r>
      <w:r w:rsidR="000A5329" w:rsidRPr="002029AF">
        <w:t xml:space="preserve"> </w:t>
      </w:r>
      <w:r w:rsidRPr="002029AF">
        <w:t>losses</w:t>
      </w:r>
      <w:r w:rsidR="000A5329" w:rsidRPr="002029AF">
        <w:t xml:space="preserve"> </w:t>
      </w:r>
      <w:r w:rsidRPr="002029AF">
        <w:t>using</w:t>
      </w:r>
      <w:r w:rsidR="000A5329" w:rsidRPr="002029AF">
        <w:t xml:space="preserve"> </w:t>
      </w:r>
      <w:r w:rsidRPr="002029AF">
        <w:t>a</w:t>
      </w:r>
      <w:r w:rsidR="000A5329" w:rsidRPr="002029AF">
        <w:t xml:space="preserve"> </w:t>
      </w:r>
      <w:r w:rsidRPr="002029AF">
        <w:t>lifetime</w:t>
      </w:r>
      <w:r w:rsidR="000A5329" w:rsidRPr="002029AF">
        <w:t xml:space="preserve"> </w:t>
      </w:r>
      <w:r w:rsidRPr="002029AF">
        <w:t>expected</w:t>
      </w:r>
      <w:r w:rsidR="000A5329" w:rsidRPr="002029AF">
        <w:t xml:space="preserve"> </w:t>
      </w:r>
      <w:r w:rsidRPr="002029AF">
        <w:t>loss</w:t>
      </w:r>
      <w:r w:rsidR="000A5329" w:rsidRPr="002029AF">
        <w:t xml:space="preserve"> </w:t>
      </w:r>
      <w:r w:rsidRPr="002029AF">
        <w:t>allowance</w:t>
      </w:r>
      <w:r w:rsidR="000A5329" w:rsidRPr="002029AF">
        <w:t xml:space="preserve"> </w:t>
      </w:r>
      <w:r w:rsidRPr="002029AF">
        <w:t>based</w:t>
      </w:r>
      <w:r w:rsidR="000A5329" w:rsidRPr="002029AF">
        <w:t xml:space="preserve"> </w:t>
      </w:r>
      <w:r w:rsidRPr="002029AF">
        <w:t>on</w:t>
      </w:r>
      <w:r w:rsidR="000A5329" w:rsidRPr="002029AF">
        <w:t xml:space="preserve"> </w:t>
      </w:r>
      <w:r w:rsidRPr="002029AF">
        <w:t>the</w:t>
      </w:r>
      <w:r w:rsidR="000A5329" w:rsidRPr="002029AF">
        <w:t xml:space="preserve"> </w:t>
      </w:r>
      <w:r w:rsidRPr="002029AF">
        <w:t>assumptions</w:t>
      </w:r>
      <w:r w:rsidR="000A5329" w:rsidRPr="002029AF">
        <w:t xml:space="preserve"> </w:t>
      </w:r>
      <w:r w:rsidRPr="002029AF">
        <w:t>about</w:t>
      </w:r>
      <w:r w:rsidR="000A5329" w:rsidRPr="002029AF">
        <w:t xml:space="preserve"> </w:t>
      </w:r>
      <w:r w:rsidRPr="002029AF">
        <w:t>risk</w:t>
      </w:r>
      <w:r w:rsidR="000A5329" w:rsidRPr="002029AF">
        <w:t xml:space="preserve"> </w:t>
      </w:r>
      <w:r w:rsidRPr="002029AF">
        <w:t>of</w:t>
      </w:r>
      <w:r w:rsidR="000A5329" w:rsidRPr="002029AF">
        <w:t xml:space="preserve"> </w:t>
      </w:r>
      <w:r w:rsidRPr="002029AF">
        <w:t>default</w:t>
      </w:r>
      <w:r w:rsidR="000A5329" w:rsidRPr="002029AF">
        <w:t xml:space="preserve"> </w:t>
      </w:r>
      <w:r w:rsidRPr="002029AF">
        <w:t>and</w:t>
      </w:r>
      <w:r w:rsidR="000A5329" w:rsidRPr="002029AF">
        <w:t xml:space="preserve"> </w:t>
      </w:r>
      <w:r w:rsidRPr="002029AF">
        <w:t>expected</w:t>
      </w:r>
      <w:r w:rsidR="000A5329" w:rsidRPr="002029AF">
        <w:t xml:space="preserve"> </w:t>
      </w:r>
      <w:r w:rsidRPr="002029AF">
        <w:t>loss</w:t>
      </w:r>
      <w:r w:rsidR="000A5329" w:rsidRPr="002029AF">
        <w:t xml:space="preserve"> </w:t>
      </w:r>
      <w:r w:rsidRPr="002029AF">
        <w:t>rates.</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grouped</w:t>
      </w:r>
      <w:r w:rsidR="000A5329" w:rsidRPr="002029AF">
        <w:t xml:space="preserve"> </w:t>
      </w:r>
      <w:r w:rsidRPr="002029AF">
        <w:t>contractual</w:t>
      </w:r>
      <w:r w:rsidR="000A5329" w:rsidRPr="002029AF">
        <w:t xml:space="preserve"> </w:t>
      </w:r>
      <w:r w:rsidRPr="002029AF">
        <w:t>receivables</w:t>
      </w:r>
      <w:r w:rsidR="000A5329" w:rsidRPr="002029AF">
        <w:t xml:space="preserve"> </w:t>
      </w:r>
      <w:r w:rsidRPr="002029AF">
        <w:t>on</w:t>
      </w:r>
      <w:r w:rsidR="000A5329" w:rsidRPr="002029AF">
        <w:t xml:space="preserve"> </w:t>
      </w:r>
      <w:r w:rsidRPr="002029AF">
        <w:t>shared</w:t>
      </w:r>
      <w:r w:rsidR="000A5329" w:rsidRPr="002029AF">
        <w:t xml:space="preserve"> </w:t>
      </w:r>
      <w:r w:rsidRPr="002029AF">
        <w:t>credit</w:t>
      </w:r>
      <w:r w:rsidR="000A5329" w:rsidRPr="002029AF">
        <w:t xml:space="preserve"> </w:t>
      </w:r>
      <w:r w:rsidRPr="002029AF">
        <w:t>risk</w:t>
      </w:r>
      <w:r w:rsidR="000A5329" w:rsidRPr="002029AF">
        <w:t xml:space="preserve"> </w:t>
      </w:r>
      <w:r w:rsidRPr="002029AF">
        <w:t>characteristics</w:t>
      </w:r>
      <w:r w:rsidR="000A5329" w:rsidRPr="002029AF">
        <w:t xml:space="preserve"> </w:t>
      </w:r>
      <w:r w:rsidRPr="002029AF">
        <w:t>and</w:t>
      </w:r>
      <w:r w:rsidR="000A5329" w:rsidRPr="002029AF">
        <w:t xml:space="preserve"> </w:t>
      </w:r>
      <w:r w:rsidRPr="002029AF">
        <w:t>days</w:t>
      </w:r>
      <w:r w:rsidR="000A5329" w:rsidRPr="002029AF">
        <w:t xml:space="preserve"> </w:t>
      </w:r>
      <w:r w:rsidRPr="002029AF">
        <w:t>past</w:t>
      </w:r>
      <w:r w:rsidR="000A5329" w:rsidRPr="002029AF">
        <w:t xml:space="preserve"> </w:t>
      </w:r>
      <w:r w:rsidRPr="002029AF">
        <w:t>due</w:t>
      </w:r>
      <w:r w:rsidR="000A5329" w:rsidRPr="002029AF">
        <w:t xml:space="preserve"> </w:t>
      </w:r>
      <w:r w:rsidRPr="002029AF">
        <w:t>and</w:t>
      </w:r>
      <w:r w:rsidR="000A5329" w:rsidRPr="002029AF">
        <w:t xml:space="preserve"> </w:t>
      </w:r>
      <w:r w:rsidRPr="002029AF">
        <w:t>selected</w:t>
      </w:r>
      <w:r w:rsidR="000A5329" w:rsidRPr="002029AF">
        <w:t xml:space="preserve"> </w:t>
      </w:r>
      <w:r w:rsidRPr="002029AF">
        <w:t>the</w:t>
      </w:r>
      <w:r w:rsidR="000A5329" w:rsidRPr="002029AF">
        <w:t xml:space="preserve"> </w:t>
      </w:r>
      <w:r w:rsidRPr="002029AF">
        <w:t>expected</w:t>
      </w:r>
      <w:r w:rsidR="000A5329" w:rsidRPr="002029AF">
        <w:t xml:space="preserve"> </w:t>
      </w:r>
      <w:r w:rsidRPr="002029AF">
        <w:t>credit</w:t>
      </w:r>
      <w:r w:rsidR="000A5329" w:rsidRPr="002029AF">
        <w:t xml:space="preserve"> </w:t>
      </w:r>
      <w:r w:rsidRPr="002029AF">
        <w:t>loss</w:t>
      </w:r>
      <w:r w:rsidR="000A5329" w:rsidRPr="002029AF">
        <w:t xml:space="preserve"> </w:t>
      </w:r>
      <w:r w:rsidRPr="002029AF">
        <w:t>rate</w:t>
      </w:r>
      <w:r w:rsidR="000A5329" w:rsidRPr="002029AF">
        <w:t xml:space="preserve"> </w:t>
      </w:r>
      <w:r w:rsidRPr="002029AF">
        <w:t>based</w:t>
      </w:r>
      <w:r w:rsidR="000A5329" w:rsidRPr="002029AF">
        <w:t xml:space="preserve"> </w:t>
      </w:r>
      <w:r w:rsidRPr="002029AF">
        <w:t>on</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past</w:t>
      </w:r>
      <w:r w:rsidR="000A5329" w:rsidRPr="002029AF">
        <w:t xml:space="preserve"> </w:t>
      </w:r>
      <w:r w:rsidRPr="002029AF">
        <w:t>history,</w:t>
      </w:r>
      <w:r w:rsidR="000A5329" w:rsidRPr="002029AF">
        <w:t xml:space="preserve"> </w:t>
      </w:r>
      <w:r w:rsidRPr="002029AF">
        <w:t>existing</w:t>
      </w:r>
      <w:r w:rsidR="000A5329" w:rsidRPr="002029AF">
        <w:t xml:space="preserve"> </w:t>
      </w:r>
      <w:r w:rsidRPr="002029AF">
        <w:t>market</w:t>
      </w:r>
      <w:r w:rsidR="000A5329" w:rsidRPr="002029AF">
        <w:t xml:space="preserve"> </w:t>
      </w:r>
      <w:r w:rsidRPr="002029AF">
        <w:t>conditions,</w:t>
      </w:r>
      <w:r w:rsidR="000A5329" w:rsidRPr="002029AF">
        <w:t xml:space="preserve"> </w:t>
      </w:r>
      <w:r w:rsidRPr="002029AF">
        <w:t>as</w:t>
      </w:r>
      <w:r w:rsidR="000A5329" w:rsidRPr="002029AF">
        <w:t xml:space="preserve"> </w:t>
      </w:r>
      <w:r w:rsidRPr="002029AF">
        <w:t>well</w:t>
      </w:r>
      <w:r w:rsidR="000A5329" w:rsidRPr="002029AF">
        <w:t xml:space="preserve"> </w:t>
      </w:r>
      <w:r w:rsidRPr="002029AF">
        <w:t>as</w:t>
      </w:r>
      <w:r w:rsidR="000A5329" w:rsidRPr="002029AF">
        <w:t xml:space="preserve"> </w:t>
      </w:r>
      <w:r w:rsidRPr="002029AF">
        <w:t>forward-looking</w:t>
      </w:r>
      <w:r w:rsidR="000A5329" w:rsidRPr="002029AF">
        <w:t xml:space="preserve"> </w:t>
      </w:r>
      <w:r w:rsidRPr="002029AF">
        <w:t>estimates</w:t>
      </w:r>
      <w:r w:rsidR="000A5329" w:rsidRPr="002029AF">
        <w:t xml:space="preserve"> </w:t>
      </w:r>
      <w:r w:rsidRPr="002029AF">
        <w:t>at</w:t>
      </w:r>
      <w:r w:rsidR="000A5329" w:rsidRPr="002029AF">
        <w:t xml:space="preserve"> </w:t>
      </w:r>
      <w:r w:rsidRPr="002029AF">
        <w:t>the</w:t>
      </w:r>
      <w:r w:rsidR="000A5329" w:rsidRPr="002029AF">
        <w:t xml:space="preserve"> </w:t>
      </w:r>
      <w:r w:rsidRPr="002029AF">
        <w:t>end</w:t>
      </w:r>
      <w:r w:rsidR="000A5329" w:rsidRPr="002029AF">
        <w:t xml:space="preserve"> </w:t>
      </w:r>
      <w:r w:rsidRPr="002029AF">
        <w:t>of</w:t>
      </w:r>
      <w:r w:rsidR="000A5329" w:rsidRPr="002029AF">
        <w:t xml:space="preserve"> </w:t>
      </w:r>
      <w:r w:rsidRPr="002029AF">
        <w:t>financial</w:t>
      </w:r>
      <w:r w:rsidR="000A5329" w:rsidRPr="002029AF">
        <w:t xml:space="preserve"> </w:t>
      </w:r>
      <w:r w:rsidRPr="002029AF">
        <w:t>year.</w:t>
      </w:r>
    </w:p>
    <w:p w14:paraId="371BE169" w14:textId="72E5A7A3" w:rsidR="00087B91" w:rsidRPr="002029AF" w:rsidRDefault="00087B91" w:rsidP="00087B91">
      <w:pPr>
        <w:pStyle w:val="ARfinbody"/>
      </w:pPr>
      <w:r w:rsidRPr="002029AF">
        <w:lastRenderedPageBreak/>
        <w:t>On</w:t>
      </w:r>
      <w:r w:rsidR="000A5329" w:rsidRPr="002029AF">
        <w:t xml:space="preserve"> </w:t>
      </w:r>
      <w:r w:rsidRPr="002029AF">
        <w:t>this</w:t>
      </w:r>
      <w:r w:rsidR="000A5329" w:rsidRPr="002029AF">
        <w:t xml:space="preserve"> </w:t>
      </w:r>
      <w:r w:rsidRPr="002029AF">
        <w:t>basis,</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determines</w:t>
      </w:r>
      <w:r w:rsidR="000A5329" w:rsidRPr="002029AF">
        <w:t xml:space="preserve"> </w:t>
      </w:r>
      <w:r w:rsidRPr="002029AF">
        <w:t>the</w:t>
      </w:r>
      <w:r w:rsidR="000A5329" w:rsidRPr="002029AF">
        <w:t xml:space="preserve"> </w:t>
      </w:r>
      <w:r w:rsidRPr="002029AF">
        <w:t>loss</w:t>
      </w:r>
      <w:r w:rsidR="000A5329" w:rsidRPr="002029AF">
        <w:t xml:space="preserve"> </w:t>
      </w:r>
      <w:r w:rsidRPr="002029AF">
        <w:t>allowance</w:t>
      </w:r>
      <w:r w:rsidR="000A5329" w:rsidRPr="002029AF">
        <w:t xml:space="preserve"> </w:t>
      </w:r>
      <w:r w:rsidRPr="002029AF">
        <w:t>at</w:t>
      </w:r>
      <w:r w:rsidR="000A5329" w:rsidRPr="002029AF">
        <w:t xml:space="preserve"> </w:t>
      </w:r>
      <w:r w:rsidRPr="002029AF">
        <w:t>the</w:t>
      </w:r>
      <w:r w:rsidR="000A5329" w:rsidRPr="002029AF">
        <w:t xml:space="preserve"> </w:t>
      </w:r>
      <w:r w:rsidRPr="002029AF">
        <w:t>end</w:t>
      </w:r>
      <w:r w:rsidR="000A5329" w:rsidRPr="002029AF">
        <w:t xml:space="preserve"> </w:t>
      </w:r>
      <w:r w:rsidRPr="002029AF">
        <w:t>of</w:t>
      </w:r>
      <w:r w:rsidR="000A5329" w:rsidRPr="002029AF">
        <w:t xml:space="preserve"> </w:t>
      </w:r>
      <w:r w:rsidRPr="002029AF">
        <w:t>financial</w:t>
      </w:r>
      <w:r w:rsidR="000A5329" w:rsidRPr="002029AF">
        <w:t xml:space="preserve"> </w:t>
      </w:r>
      <w:r w:rsidRPr="002029AF">
        <w:t>year</w:t>
      </w:r>
      <w:r w:rsidR="000A5329" w:rsidRPr="002029AF">
        <w:t xml:space="preserve"> </w:t>
      </w:r>
      <w:r w:rsidRPr="002029AF">
        <w:t>as</w:t>
      </w:r>
      <w:r w:rsidR="000A5329" w:rsidRPr="002029AF">
        <w:t xml:space="preserve"> </w:t>
      </w:r>
      <w:r w:rsidRPr="002029AF">
        <w:t>follows:</w:t>
      </w:r>
    </w:p>
    <w:tbl>
      <w:tblPr>
        <w:tblStyle w:val="TableGrid"/>
        <w:tblW w:w="9637" w:type="dxa"/>
        <w:tblLayout w:type="fixed"/>
        <w:tblLook w:val="06A0" w:firstRow="1" w:lastRow="0" w:firstColumn="1" w:lastColumn="0" w:noHBand="1" w:noVBand="1"/>
      </w:tblPr>
      <w:tblGrid>
        <w:gridCol w:w="2486"/>
        <w:gridCol w:w="1031"/>
        <w:gridCol w:w="1030"/>
        <w:gridCol w:w="1018"/>
        <w:gridCol w:w="1018"/>
        <w:gridCol w:w="1018"/>
        <w:gridCol w:w="1018"/>
        <w:gridCol w:w="1018"/>
      </w:tblGrid>
      <w:tr w:rsidR="00087B91" w:rsidRPr="002029AF" w14:paraId="17FCD544"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2486" w:type="dxa"/>
            <w:vMerge w:val="restart"/>
            <w:tcBorders>
              <w:top w:val="nil"/>
              <w:right w:val="nil"/>
            </w:tcBorders>
            <w:noWrap/>
            <w:hideMark/>
          </w:tcPr>
          <w:p w14:paraId="43A34C64" w14:textId="77777777" w:rsidR="00087B91" w:rsidRPr="002029AF" w:rsidRDefault="00087B91" w:rsidP="00860E95">
            <w:pPr>
              <w:pStyle w:val="ARfintablecolhead"/>
            </w:pPr>
          </w:p>
        </w:tc>
        <w:tc>
          <w:tcPr>
            <w:tcW w:w="1031" w:type="dxa"/>
            <w:vMerge w:val="restart"/>
            <w:tcBorders>
              <w:top w:val="nil"/>
              <w:left w:val="nil"/>
              <w:right w:val="nil"/>
            </w:tcBorders>
            <w:hideMark/>
          </w:tcPr>
          <w:p w14:paraId="6AB66A99" w14:textId="6205C38A" w:rsidR="00087B91" w:rsidRPr="002029AF" w:rsidRDefault="00087B91" w:rsidP="00860E95">
            <w:pPr>
              <w:pStyle w:val="ARfintablecolheadright"/>
            </w:pPr>
            <w:r w:rsidRPr="002029AF">
              <w:t>Gross</w:t>
            </w:r>
            <w:r w:rsidR="000A5329" w:rsidRPr="002029AF">
              <w:t xml:space="preserve"> </w:t>
            </w:r>
            <w:r w:rsidRPr="002029AF">
              <w:t>amount</w:t>
            </w:r>
          </w:p>
          <w:p w14:paraId="73245A5A" w14:textId="77777777" w:rsidR="00087B91" w:rsidRPr="002029AF" w:rsidRDefault="00087B91" w:rsidP="00860E95">
            <w:pPr>
              <w:pStyle w:val="ARfintablecolheadright"/>
            </w:pPr>
            <w:r w:rsidRPr="002029AF">
              <w:t>$M</w:t>
            </w:r>
          </w:p>
        </w:tc>
        <w:tc>
          <w:tcPr>
            <w:tcW w:w="1030" w:type="dxa"/>
            <w:vMerge w:val="restart"/>
            <w:tcBorders>
              <w:top w:val="nil"/>
              <w:left w:val="nil"/>
              <w:right w:val="nil"/>
            </w:tcBorders>
          </w:tcPr>
          <w:p w14:paraId="54AB28AD" w14:textId="11EE2E62" w:rsidR="00087B91" w:rsidRPr="002029AF" w:rsidRDefault="00087B91" w:rsidP="00860E95">
            <w:pPr>
              <w:pStyle w:val="ARfintablecolheadright"/>
            </w:pPr>
            <w:r w:rsidRPr="002029AF">
              <w:t>Not</w:t>
            </w:r>
            <w:r w:rsidR="000A5329" w:rsidRPr="002029AF">
              <w:t xml:space="preserve"> </w:t>
            </w:r>
            <w:r w:rsidRPr="002029AF">
              <w:t>past</w:t>
            </w:r>
            <w:r w:rsidR="000A5329" w:rsidRPr="002029AF">
              <w:t xml:space="preserve"> </w:t>
            </w:r>
            <w:r w:rsidRPr="002029AF">
              <w:t>due</w:t>
            </w:r>
            <w:r w:rsidR="000A5329" w:rsidRPr="002029AF">
              <w:t xml:space="preserve"> </w:t>
            </w:r>
            <w:r w:rsidRPr="002029AF">
              <w:t>and</w:t>
            </w:r>
            <w:r w:rsidR="000A5329" w:rsidRPr="002029AF">
              <w:t xml:space="preserve"> </w:t>
            </w:r>
            <w:r w:rsidRPr="002029AF">
              <w:t>not</w:t>
            </w:r>
            <w:r w:rsidR="000A5329" w:rsidRPr="002029AF">
              <w:t xml:space="preserve"> </w:t>
            </w:r>
            <w:r w:rsidRPr="002029AF">
              <w:t>impaired</w:t>
            </w:r>
            <w:r w:rsidR="000A5329" w:rsidRPr="002029AF">
              <w:t xml:space="preserve"> </w:t>
            </w:r>
            <w:r w:rsidRPr="002029AF">
              <w:rPr>
                <w:rFonts w:cs="Arial"/>
                <w:vertAlign w:val="superscript"/>
              </w:rPr>
              <w:t>(i)</w:t>
            </w:r>
          </w:p>
          <w:p w14:paraId="454469F6" w14:textId="77777777" w:rsidR="00087B91" w:rsidRPr="002029AF" w:rsidRDefault="00087B91" w:rsidP="00860E95">
            <w:pPr>
              <w:pStyle w:val="ARfintablecolheadright"/>
            </w:pPr>
            <w:r w:rsidRPr="002029AF">
              <w:t>$M</w:t>
            </w:r>
          </w:p>
        </w:tc>
        <w:tc>
          <w:tcPr>
            <w:tcW w:w="5090" w:type="dxa"/>
            <w:gridSpan w:val="5"/>
            <w:tcBorders>
              <w:top w:val="nil"/>
              <w:left w:val="nil"/>
            </w:tcBorders>
            <w:hideMark/>
          </w:tcPr>
          <w:p w14:paraId="6CA1D888" w14:textId="4284A7C0" w:rsidR="00087B91" w:rsidRPr="002029AF" w:rsidRDefault="00087B91" w:rsidP="00860E95">
            <w:pPr>
              <w:pStyle w:val="ARfintablecolheadcentre"/>
            </w:pPr>
            <w:r w:rsidRPr="002029AF">
              <w:t>Past</w:t>
            </w:r>
            <w:r w:rsidR="000A5329" w:rsidRPr="002029AF">
              <w:t xml:space="preserve"> </w:t>
            </w:r>
            <w:r w:rsidRPr="002029AF">
              <w:t>due</w:t>
            </w:r>
          </w:p>
        </w:tc>
      </w:tr>
      <w:tr w:rsidR="00087B91" w:rsidRPr="002029AF" w14:paraId="2E7B6A2E"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2486" w:type="dxa"/>
            <w:vMerge/>
            <w:tcBorders>
              <w:right w:val="nil"/>
            </w:tcBorders>
            <w:hideMark/>
          </w:tcPr>
          <w:p w14:paraId="598E4EEB" w14:textId="77777777" w:rsidR="00087B91" w:rsidRPr="002029AF" w:rsidRDefault="00087B91" w:rsidP="00860E95">
            <w:pPr>
              <w:pStyle w:val="ARfintablecolhead"/>
            </w:pPr>
          </w:p>
        </w:tc>
        <w:tc>
          <w:tcPr>
            <w:tcW w:w="1031" w:type="dxa"/>
            <w:vMerge/>
            <w:tcBorders>
              <w:left w:val="nil"/>
              <w:right w:val="nil"/>
            </w:tcBorders>
            <w:hideMark/>
          </w:tcPr>
          <w:p w14:paraId="43767692" w14:textId="77777777" w:rsidR="00087B91" w:rsidRPr="002029AF" w:rsidRDefault="00087B91" w:rsidP="00860E95">
            <w:pPr>
              <w:pStyle w:val="ARfintablecolheadright"/>
            </w:pPr>
          </w:p>
        </w:tc>
        <w:tc>
          <w:tcPr>
            <w:tcW w:w="1030" w:type="dxa"/>
            <w:vMerge/>
            <w:tcBorders>
              <w:left w:val="nil"/>
              <w:right w:val="nil"/>
            </w:tcBorders>
            <w:hideMark/>
          </w:tcPr>
          <w:p w14:paraId="32AF99C7" w14:textId="77777777" w:rsidR="00087B91" w:rsidRPr="002029AF" w:rsidRDefault="00087B91" w:rsidP="00860E95">
            <w:pPr>
              <w:pStyle w:val="ARfintablecolheadright"/>
            </w:pPr>
          </w:p>
        </w:tc>
        <w:tc>
          <w:tcPr>
            <w:tcW w:w="1018" w:type="dxa"/>
            <w:tcBorders>
              <w:left w:val="nil"/>
              <w:right w:val="nil"/>
            </w:tcBorders>
            <w:hideMark/>
          </w:tcPr>
          <w:p w14:paraId="15AB3FDC" w14:textId="6C205344" w:rsidR="00087B91" w:rsidRPr="002029AF" w:rsidRDefault="00087B91" w:rsidP="00860E95">
            <w:pPr>
              <w:pStyle w:val="ARfintablecolheadright"/>
            </w:pPr>
            <w:r w:rsidRPr="002029AF">
              <w:t>Less</w:t>
            </w:r>
            <w:r w:rsidR="000A5329" w:rsidRPr="002029AF">
              <w:t xml:space="preserve"> </w:t>
            </w:r>
            <w:r w:rsidRPr="002029AF">
              <w:t>than</w:t>
            </w:r>
            <w:r w:rsidR="000A5329" w:rsidRPr="002029AF">
              <w:t xml:space="preserve"> </w:t>
            </w:r>
            <w:r w:rsidRPr="002029AF">
              <w:t>1</w:t>
            </w:r>
            <w:r w:rsidR="000A5329" w:rsidRPr="002029AF">
              <w:t xml:space="preserve"> </w:t>
            </w:r>
            <w:r w:rsidRPr="002029AF">
              <w:t>month</w:t>
            </w:r>
          </w:p>
          <w:p w14:paraId="65BDA938" w14:textId="77777777" w:rsidR="00087B91" w:rsidRPr="002029AF" w:rsidRDefault="00087B91" w:rsidP="00860E95">
            <w:pPr>
              <w:pStyle w:val="ARfintablecolheadright"/>
            </w:pPr>
            <w:r w:rsidRPr="002029AF">
              <w:t>$M</w:t>
            </w:r>
          </w:p>
        </w:tc>
        <w:tc>
          <w:tcPr>
            <w:tcW w:w="1018" w:type="dxa"/>
            <w:tcBorders>
              <w:left w:val="nil"/>
              <w:right w:val="nil"/>
            </w:tcBorders>
            <w:hideMark/>
          </w:tcPr>
          <w:p w14:paraId="3811C26E" w14:textId="13E86B15" w:rsidR="00087B91" w:rsidRPr="002029AF" w:rsidRDefault="00087B91" w:rsidP="00860E95">
            <w:pPr>
              <w:pStyle w:val="ARfintablecolheadright"/>
            </w:pPr>
            <w:r w:rsidRPr="002029AF">
              <w:t>1–3</w:t>
            </w:r>
            <w:r w:rsidR="000A5329" w:rsidRPr="002029AF">
              <w:t xml:space="preserve"> </w:t>
            </w:r>
            <w:r w:rsidRPr="002029AF">
              <w:t>months</w:t>
            </w:r>
          </w:p>
          <w:p w14:paraId="1C5CBDD2" w14:textId="77777777" w:rsidR="00087B91" w:rsidRPr="002029AF" w:rsidRDefault="00087B91" w:rsidP="00860E95">
            <w:pPr>
              <w:pStyle w:val="ARfintablecolheadright"/>
            </w:pPr>
            <w:r w:rsidRPr="002029AF">
              <w:t>$M</w:t>
            </w:r>
          </w:p>
        </w:tc>
        <w:tc>
          <w:tcPr>
            <w:tcW w:w="1018" w:type="dxa"/>
            <w:tcBorders>
              <w:left w:val="nil"/>
              <w:right w:val="nil"/>
            </w:tcBorders>
            <w:hideMark/>
          </w:tcPr>
          <w:p w14:paraId="2CEADC2F" w14:textId="7759A4C5" w:rsidR="00087B91" w:rsidRPr="002029AF" w:rsidRDefault="00087B91" w:rsidP="00860E95">
            <w:pPr>
              <w:pStyle w:val="ARfintablecolheadright"/>
            </w:pPr>
            <w:r w:rsidRPr="002029AF">
              <w:t>3</w:t>
            </w:r>
            <w:r w:rsidR="000A5329" w:rsidRPr="002029AF">
              <w:t xml:space="preserve"> </w:t>
            </w:r>
            <w:r w:rsidRPr="002029AF">
              <w:t>months</w:t>
            </w:r>
            <w:r w:rsidR="000A5329" w:rsidRPr="002029AF">
              <w:t xml:space="preserve"> </w:t>
            </w:r>
            <w:r w:rsidRPr="002029AF">
              <w:t>–</w:t>
            </w:r>
            <w:r w:rsidR="000A5329" w:rsidRPr="002029AF">
              <w:t xml:space="preserve"> </w:t>
            </w:r>
            <w:r w:rsidRPr="002029AF">
              <w:t>1</w:t>
            </w:r>
            <w:r w:rsidR="000A5329" w:rsidRPr="002029AF">
              <w:t xml:space="preserve"> </w:t>
            </w:r>
            <w:r w:rsidRPr="002029AF">
              <w:t>year</w:t>
            </w:r>
          </w:p>
          <w:p w14:paraId="490DC812" w14:textId="77777777" w:rsidR="00087B91" w:rsidRPr="002029AF" w:rsidRDefault="00087B91" w:rsidP="00860E95">
            <w:pPr>
              <w:pStyle w:val="ARfintablecolheadright"/>
            </w:pPr>
            <w:r w:rsidRPr="002029AF">
              <w:t>$M</w:t>
            </w:r>
          </w:p>
        </w:tc>
        <w:tc>
          <w:tcPr>
            <w:tcW w:w="1018" w:type="dxa"/>
            <w:tcBorders>
              <w:left w:val="nil"/>
              <w:right w:val="nil"/>
            </w:tcBorders>
            <w:hideMark/>
          </w:tcPr>
          <w:p w14:paraId="30C141F1" w14:textId="0912896B" w:rsidR="00087B91" w:rsidRPr="002029AF" w:rsidRDefault="00087B91" w:rsidP="00860E95">
            <w:pPr>
              <w:pStyle w:val="ARfintablecolheadright"/>
            </w:pPr>
            <w:r w:rsidRPr="002029AF">
              <w:t>1–5</w:t>
            </w:r>
            <w:r w:rsidR="000A5329" w:rsidRPr="002029AF">
              <w:t xml:space="preserve"> </w:t>
            </w:r>
            <w:r w:rsidRPr="002029AF">
              <w:t>years</w:t>
            </w:r>
          </w:p>
          <w:p w14:paraId="010B8782" w14:textId="77777777" w:rsidR="00087B91" w:rsidRPr="002029AF" w:rsidRDefault="00087B91" w:rsidP="00860E95">
            <w:pPr>
              <w:pStyle w:val="ARfintablecolheadright"/>
            </w:pPr>
            <w:r w:rsidRPr="002029AF">
              <w:t>$M</w:t>
            </w:r>
          </w:p>
        </w:tc>
        <w:tc>
          <w:tcPr>
            <w:tcW w:w="1018" w:type="dxa"/>
            <w:tcBorders>
              <w:left w:val="nil"/>
            </w:tcBorders>
            <w:hideMark/>
          </w:tcPr>
          <w:p w14:paraId="325A283F" w14:textId="77777777" w:rsidR="00087B91" w:rsidRPr="002029AF" w:rsidRDefault="00087B91" w:rsidP="00860E95">
            <w:pPr>
              <w:pStyle w:val="ARfintablecolheadright"/>
            </w:pPr>
            <w:r w:rsidRPr="002029AF">
              <w:t>Total</w:t>
            </w:r>
          </w:p>
          <w:p w14:paraId="47C6BE32" w14:textId="77777777" w:rsidR="00087B91" w:rsidRPr="002029AF" w:rsidRDefault="00087B91" w:rsidP="00860E95">
            <w:pPr>
              <w:pStyle w:val="ARfintablecolheadright"/>
            </w:pPr>
            <w:r w:rsidRPr="002029AF">
              <w:t>$M</w:t>
            </w:r>
          </w:p>
        </w:tc>
      </w:tr>
      <w:tr w:rsidR="00087B91" w:rsidRPr="002029AF" w14:paraId="1087DFF6" w14:textId="77777777" w:rsidTr="00860E95">
        <w:tc>
          <w:tcPr>
            <w:tcW w:w="9637" w:type="dxa"/>
            <w:gridSpan w:val="8"/>
            <w:tcBorders>
              <w:bottom w:val="single" w:sz="4" w:space="0" w:color="auto"/>
            </w:tcBorders>
            <w:hideMark/>
          </w:tcPr>
          <w:p w14:paraId="4FA538FB" w14:textId="77777777" w:rsidR="00087B91" w:rsidRPr="002029AF" w:rsidRDefault="00087B91" w:rsidP="00860E95">
            <w:pPr>
              <w:pStyle w:val="ARfintablebodybold"/>
            </w:pPr>
            <w:r w:rsidRPr="002029AF">
              <w:t>2020</w:t>
            </w:r>
          </w:p>
        </w:tc>
      </w:tr>
      <w:tr w:rsidR="00087B91" w:rsidRPr="002029AF" w14:paraId="7E08C454" w14:textId="77777777" w:rsidTr="00860E95">
        <w:tc>
          <w:tcPr>
            <w:tcW w:w="2486" w:type="dxa"/>
            <w:tcBorders>
              <w:top w:val="single" w:sz="4" w:space="0" w:color="auto"/>
              <w:bottom w:val="single" w:sz="4" w:space="0" w:color="A6A6A6"/>
              <w:right w:val="nil"/>
            </w:tcBorders>
            <w:hideMark/>
          </w:tcPr>
          <w:p w14:paraId="47A78DA0" w14:textId="6E4F2DF8" w:rsidR="00087B91" w:rsidRPr="002029AF" w:rsidRDefault="00087B91" w:rsidP="00860E95">
            <w:pPr>
              <w:pStyle w:val="ARfintablebodybold"/>
            </w:pPr>
            <w:r w:rsidRPr="002029AF">
              <w:t>Expected</w:t>
            </w:r>
            <w:r w:rsidR="000A5329" w:rsidRPr="002029AF">
              <w:t xml:space="preserve"> </w:t>
            </w:r>
            <w:r w:rsidRPr="002029AF">
              <w:t>loss</w:t>
            </w:r>
            <w:r w:rsidR="000A5329" w:rsidRPr="002029AF">
              <w:t xml:space="preserve"> </w:t>
            </w:r>
            <w:r w:rsidRPr="002029AF">
              <w:t>rate</w:t>
            </w:r>
          </w:p>
        </w:tc>
        <w:tc>
          <w:tcPr>
            <w:tcW w:w="1031" w:type="dxa"/>
            <w:tcBorders>
              <w:top w:val="single" w:sz="4" w:space="0" w:color="auto"/>
              <w:left w:val="nil"/>
              <w:bottom w:val="single" w:sz="4" w:space="0" w:color="A6A6A6"/>
              <w:right w:val="nil"/>
            </w:tcBorders>
            <w:noWrap/>
            <w:hideMark/>
          </w:tcPr>
          <w:p w14:paraId="01F101E1" w14:textId="77777777" w:rsidR="00087B91" w:rsidRPr="002029AF" w:rsidRDefault="00087B91" w:rsidP="00860E95">
            <w:pPr>
              <w:pStyle w:val="ARfintablebodyrightbold"/>
            </w:pPr>
          </w:p>
        </w:tc>
        <w:tc>
          <w:tcPr>
            <w:tcW w:w="1030" w:type="dxa"/>
            <w:tcBorders>
              <w:top w:val="single" w:sz="4" w:space="0" w:color="auto"/>
              <w:left w:val="nil"/>
              <w:bottom w:val="single" w:sz="4" w:space="0" w:color="A6A6A6"/>
              <w:right w:val="nil"/>
            </w:tcBorders>
            <w:noWrap/>
            <w:hideMark/>
          </w:tcPr>
          <w:p w14:paraId="15E1C48C" w14:textId="77777777" w:rsidR="00087B91" w:rsidRPr="002029AF" w:rsidRDefault="00087B91" w:rsidP="00860E95">
            <w:pPr>
              <w:pStyle w:val="ARfintablebodyrightbold"/>
            </w:pPr>
            <w:r w:rsidRPr="002029AF">
              <w:t>0%</w:t>
            </w:r>
          </w:p>
        </w:tc>
        <w:tc>
          <w:tcPr>
            <w:tcW w:w="1018" w:type="dxa"/>
            <w:tcBorders>
              <w:top w:val="single" w:sz="4" w:space="0" w:color="auto"/>
              <w:left w:val="nil"/>
              <w:bottom w:val="single" w:sz="4" w:space="0" w:color="A6A6A6"/>
              <w:right w:val="nil"/>
            </w:tcBorders>
            <w:noWrap/>
            <w:hideMark/>
          </w:tcPr>
          <w:p w14:paraId="113DDDFF" w14:textId="77777777" w:rsidR="00087B91" w:rsidRPr="002029AF" w:rsidRDefault="00087B91" w:rsidP="00860E95">
            <w:pPr>
              <w:pStyle w:val="ARfintablebodyrightbold"/>
            </w:pPr>
            <w:r w:rsidRPr="002029AF">
              <w:t>3%</w:t>
            </w:r>
          </w:p>
        </w:tc>
        <w:tc>
          <w:tcPr>
            <w:tcW w:w="1018" w:type="dxa"/>
            <w:tcBorders>
              <w:top w:val="single" w:sz="4" w:space="0" w:color="auto"/>
              <w:left w:val="nil"/>
              <w:bottom w:val="single" w:sz="4" w:space="0" w:color="A6A6A6"/>
              <w:right w:val="nil"/>
            </w:tcBorders>
            <w:noWrap/>
            <w:hideMark/>
          </w:tcPr>
          <w:p w14:paraId="0D7A2D6C" w14:textId="77777777" w:rsidR="00087B91" w:rsidRPr="002029AF" w:rsidRDefault="00087B91" w:rsidP="00860E95">
            <w:pPr>
              <w:pStyle w:val="ARfintablebodyrightbold"/>
            </w:pPr>
            <w:r w:rsidRPr="002029AF">
              <w:t>9%</w:t>
            </w:r>
          </w:p>
        </w:tc>
        <w:tc>
          <w:tcPr>
            <w:tcW w:w="1018" w:type="dxa"/>
            <w:tcBorders>
              <w:top w:val="single" w:sz="4" w:space="0" w:color="auto"/>
              <w:left w:val="nil"/>
              <w:bottom w:val="single" w:sz="4" w:space="0" w:color="A6A6A6"/>
              <w:right w:val="nil"/>
            </w:tcBorders>
            <w:noWrap/>
            <w:hideMark/>
          </w:tcPr>
          <w:p w14:paraId="232D3B0A" w14:textId="77777777" w:rsidR="00087B91" w:rsidRPr="002029AF" w:rsidRDefault="00087B91" w:rsidP="00860E95">
            <w:pPr>
              <w:pStyle w:val="ARfintablebodyrightbold"/>
            </w:pPr>
            <w:r w:rsidRPr="002029AF">
              <w:t>18%</w:t>
            </w:r>
          </w:p>
        </w:tc>
        <w:tc>
          <w:tcPr>
            <w:tcW w:w="1018" w:type="dxa"/>
            <w:tcBorders>
              <w:top w:val="single" w:sz="4" w:space="0" w:color="auto"/>
              <w:left w:val="nil"/>
              <w:bottom w:val="single" w:sz="4" w:space="0" w:color="A6A6A6"/>
              <w:right w:val="nil"/>
            </w:tcBorders>
            <w:noWrap/>
            <w:hideMark/>
          </w:tcPr>
          <w:p w14:paraId="193EA7F5" w14:textId="77777777" w:rsidR="00087B91" w:rsidRPr="002029AF" w:rsidRDefault="00087B91" w:rsidP="00860E95">
            <w:pPr>
              <w:pStyle w:val="ARfintablebodyrightbold"/>
            </w:pPr>
            <w:r w:rsidRPr="002029AF">
              <w:t>90%</w:t>
            </w:r>
          </w:p>
        </w:tc>
        <w:tc>
          <w:tcPr>
            <w:tcW w:w="1018" w:type="dxa"/>
            <w:tcBorders>
              <w:top w:val="single" w:sz="4" w:space="0" w:color="auto"/>
              <w:left w:val="nil"/>
              <w:bottom w:val="single" w:sz="4" w:space="0" w:color="A6A6A6"/>
            </w:tcBorders>
            <w:noWrap/>
            <w:hideMark/>
          </w:tcPr>
          <w:p w14:paraId="13BE13C2" w14:textId="77777777" w:rsidR="00087B91" w:rsidRPr="002029AF" w:rsidRDefault="00087B91" w:rsidP="00860E95">
            <w:pPr>
              <w:pStyle w:val="ARfintablebodyrightbold"/>
            </w:pPr>
          </w:p>
        </w:tc>
      </w:tr>
      <w:tr w:rsidR="00087B91" w:rsidRPr="002029AF" w14:paraId="22883611" w14:textId="77777777" w:rsidTr="00860E95">
        <w:tc>
          <w:tcPr>
            <w:tcW w:w="2486" w:type="dxa"/>
            <w:tcBorders>
              <w:top w:val="single" w:sz="4" w:space="0" w:color="A6A6A6"/>
              <w:right w:val="nil"/>
            </w:tcBorders>
            <w:hideMark/>
          </w:tcPr>
          <w:p w14:paraId="3160B5F7" w14:textId="428B2278" w:rsidR="00087B91" w:rsidRPr="002029AF" w:rsidRDefault="00087B91" w:rsidP="00860E95">
            <w:pPr>
              <w:pStyle w:val="ARfintablebody"/>
            </w:pPr>
            <w:r w:rsidRPr="002029AF">
              <w:t>Gross</w:t>
            </w:r>
            <w:r w:rsidR="000A5329" w:rsidRPr="002029AF">
              <w:t xml:space="preserve"> </w:t>
            </w:r>
            <w:r w:rsidRPr="002029AF">
              <w:t>carrying</w:t>
            </w:r>
            <w:r w:rsidR="000A5329" w:rsidRPr="002029AF">
              <w:t xml:space="preserve"> </w:t>
            </w:r>
            <w:r w:rsidRPr="002029AF">
              <w:t>amount</w:t>
            </w:r>
            <w:r w:rsidR="000A5329" w:rsidRPr="002029AF">
              <w:t xml:space="preserve"> </w:t>
            </w:r>
            <w:r w:rsidRPr="002029AF">
              <w:t>of</w:t>
            </w:r>
            <w:r w:rsidR="000A5329" w:rsidRPr="002029AF">
              <w:t xml:space="preserve"> </w:t>
            </w:r>
            <w:r w:rsidRPr="002029AF">
              <w:t>contractual</w:t>
            </w:r>
            <w:r w:rsidR="000A5329" w:rsidRPr="002029AF">
              <w:t xml:space="preserve"> </w:t>
            </w:r>
            <w:r w:rsidRPr="002029AF">
              <w:t>receivables</w:t>
            </w:r>
          </w:p>
        </w:tc>
        <w:tc>
          <w:tcPr>
            <w:tcW w:w="1031" w:type="dxa"/>
            <w:tcBorders>
              <w:top w:val="single" w:sz="4" w:space="0" w:color="A6A6A6"/>
              <w:left w:val="nil"/>
              <w:right w:val="nil"/>
            </w:tcBorders>
            <w:noWrap/>
            <w:hideMark/>
          </w:tcPr>
          <w:p w14:paraId="66318A7D" w14:textId="77777777" w:rsidR="00087B91" w:rsidRPr="002029AF" w:rsidRDefault="00087B91" w:rsidP="00860E95">
            <w:pPr>
              <w:pStyle w:val="ARfintablebodyright"/>
            </w:pPr>
            <w:r w:rsidRPr="002029AF">
              <w:t>498.5</w:t>
            </w:r>
          </w:p>
        </w:tc>
        <w:tc>
          <w:tcPr>
            <w:tcW w:w="1030" w:type="dxa"/>
            <w:tcBorders>
              <w:top w:val="single" w:sz="4" w:space="0" w:color="A6A6A6"/>
              <w:left w:val="nil"/>
              <w:right w:val="nil"/>
            </w:tcBorders>
            <w:noWrap/>
            <w:hideMark/>
          </w:tcPr>
          <w:p w14:paraId="159ABB60" w14:textId="77777777" w:rsidR="00087B91" w:rsidRPr="002029AF" w:rsidRDefault="00087B91" w:rsidP="00860E95">
            <w:pPr>
              <w:pStyle w:val="ARfintablebodyright"/>
            </w:pPr>
            <w:r w:rsidRPr="002029AF">
              <w:t>424.1</w:t>
            </w:r>
          </w:p>
        </w:tc>
        <w:tc>
          <w:tcPr>
            <w:tcW w:w="1018" w:type="dxa"/>
            <w:tcBorders>
              <w:top w:val="single" w:sz="4" w:space="0" w:color="A6A6A6"/>
              <w:left w:val="nil"/>
              <w:right w:val="nil"/>
            </w:tcBorders>
            <w:noWrap/>
            <w:hideMark/>
          </w:tcPr>
          <w:p w14:paraId="6C12FCCE" w14:textId="77777777" w:rsidR="00087B91" w:rsidRPr="002029AF" w:rsidRDefault="00087B91" w:rsidP="00860E95">
            <w:pPr>
              <w:pStyle w:val="ARfintablebodyright"/>
            </w:pPr>
            <w:r w:rsidRPr="002029AF">
              <w:t>34.6</w:t>
            </w:r>
          </w:p>
        </w:tc>
        <w:tc>
          <w:tcPr>
            <w:tcW w:w="1018" w:type="dxa"/>
            <w:tcBorders>
              <w:top w:val="single" w:sz="4" w:space="0" w:color="A6A6A6"/>
              <w:left w:val="nil"/>
              <w:right w:val="nil"/>
            </w:tcBorders>
            <w:noWrap/>
            <w:hideMark/>
          </w:tcPr>
          <w:p w14:paraId="2F796E1D" w14:textId="77777777" w:rsidR="00087B91" w:rsidRPr="002029AF" w:rsidRDefault="00087B91" w:rsidP="00860E95">
            <w:pPr>
              <w:pStyle w:val="ARfintablebodyright"/>
            </w:pPr>
            <w:r w:rsidRPr="002029AF">
              <w:t>20.2</w:t>
            </w:r>
          </w:p>
        </w:tc>
        <w:tc>
          <w:tcPr>
            <w:tcW w:w="1018" w:type="dxa"/>
            <w:tcBorders>
              <w:top w:val="single" w:sz="4" w:space="0" w:color="A6A6A6"/>
              <w:left w:val="nil"/>
              <w:right w:val="nil"/>
            </w:tcBorders>
            <w:noWrap/>
            <w:hideMark/>
          </w:tcPr>
          <w:p w14:paraId="60820B00" w14:textId="77777777" w:rsidR="00087B91" w:rsidRPr="002029AF" w:rsidRDefault="00087B91" w:rsidP="00860E95">
            <w:pPr>
              <w:pStyle w:val="ARfintablebodyright"/>
            </w:pPr>
            <w:r w:rsidRPr="002029AF">
              <w:t>13.6</w:t>
            </w:r>
          </w:p>
        </w:tc>
        <w:tc>
          <w:tcPr>
            <w:tcW w:w="1018" w:type="dxa"/>
            <w:tcBorders>
              <w:top w:val="single" w:sz="4" w:space="0" w:color="A6A6A6"/>
              <w:left w:val="nil"/>
              <w:right w:val="nil"/>
            </w:tcBorders>
            <w:noWrap/>
            <w:hideMark/>
          </w:tcPr>
          <w:p w14:paraId="77ECEF3D" w14:textId="77777777" w:rsidR="00087B91" w:rsidRPr="002029AF" w:rsidRDefault="00087B91" w:rsidP="00860E95">
            <w:pPr>
              <w:pStyle w:val="ARfintablebodyright"/>
            </w:pPr>
            <w:r w:rsidRPr="002029AF">
              <w:t>6.0</w:t>
            </w:r>
          </w:p>
        </w:tc>
        <w:tc>
          <w:tcPr>
            <w:tcW w:w="1018" w:type="dxa"/>
            <w:tcBorders>
              <w:top w:val="single" w:sz="4" w:space="0" w:color="A6A6A6"/>
              <w:left w:val="nil"/>
            </w:tcBorders>
            <w:noWrap/>
            <w:hideMark/>
          </w:tcPr>
          <w:p w14:paraId="57A2FB1C" w14:textId="77777777" w:rsidR="00087B91" w:rsidRPr="002029AF" w:rsidRDefault="00087B91" w:rsidP="00860E95">
            <w:pPr>
              <w:pStyle w:val="ARfintablebodyright"/>
            </w:pPr>
          </w:p>
        </w:tc>
      </w:tr>
      <w:tr w:rsidR="00087B91" w:rsidRPr="002029AF" w14:paraId="256335C4" w14:textId="77777777" w:rsidTr="00860E95">
        <w:tc>
          <w:tcPr>
            <w:tcW w:w="2486" w:type="dxa"/>
            <w:tcBorders>
              <w:right w:val="nil"/>
            </w:tcBorders>
            <w:hideMark/>
          </w:tcPr>
          <w:p w14:paraId="5E8EFC4C" w14:textId="5C9D1A23" w:rsidR="00087B91" w:rsidRPr="002029AF" w:rsidRDefault="00087B91" w:rsidP="00860E95">
            <w:pPr>
              <w:pStyle w:val="ARfintablebodybold"/>
            </w:pPr>
            <w:r w:rsidRPr="002029AF">
              <w:t>Loss</w:t>
            </w:r>
            <w:r w:rsidR="000A5329" w:rsidRPr="002029AF">
              <w:t xml:space="preserve"> </w:t>
            </w:r>
            <w:r w:rsidRPr="002029AF">
              <w:t>allowance</w:t>
            </w:r>
          </w:p>
        </w:tc>
        <w:tc>
          <w:tcPr>
            <w:tcW w:w="1031" w:type="dxa"/>
            <w:tcBorders>
              <w:left w:val="nil"/>
              <w:right w:val="nil"/>
            </w:tcBorders>
            <w:noWrap/>
            <w:hideMark/>
          </w:tcPr>
          <w:p w14:paraId="2E71CC72" w14:textId="77777777" w:rsidR="00087B91" w:rsidRPr="002029AF" w:rsidRDefault="00087B91" w:rsidP="00860E95">
            <w:pPr>
              <w:pStyle w:val="ARfintablebodyrightbold"/>
            </w:pPr>
          </w:p>
        </w:tc>
        <w:tc>
          <w:tcPr>
            <w:tcW w:w="1030" w:type="dxa"/>
            <w:tcBorders>
              <w:left w:val="nil"/>
              <w:right w:val="nil"/>
            </w:tcBorders>
            <w:noWrap/>
            <w:hideMark/>
          </w:tcPr>
          <w:p w14:paraId="5EBD0D46" w14:textId="77777777" w:rsidR="00087B91" w:rsidRPr="002029AF" w:rsidRDefault="00087B91" w:rsidP="00860E95">
            <w:pPr>
              <w:pStyle w:val="ARfintablebodyrightbold"/>
            </w:pPr>
            <w:r w:rsidRPr="002029AF">
              <w:t>–</w:t>
            </w:r>
          </w:p>
        </w:tc>
        <w:tc>
          <w:tcPr>
            <w:tcW w:w="1018" w:type="dxa"/>
            <w:tcBorders>
              <w:left w:val="nil"/>
              <w:right w:val="nil"/>
            </w:tcBorders>
            <w:noWrap/>
            <w:hideMark/>
          </w:tcPr>
          <w:p w14:paraId="15B32ACC" w14:textId="77777777" w:rsidR="00087B91" w:rsidRPr="002029AF" w:rsidRDefault="00087B91" w:rsidP="00860E95">
            <w:pPr>
              <w:pStyle w:val="ARfintablebodyrightbold"/>
            </w:pPr>
            <w:r w:rsidRPr="002029AF">
              <w:t>1.1</w:t>
            </w:r>
          </w:p>
        </w:tc>
        <w:tc>
          <w:tcPr>
            <w:tcW w:w="1018" w:type="dxa"/>
            <w:tcBorders>
              <w:left w:val="nil"/>
              <w:right w:val="nil"/>
            </w:tcBorders>
            <w:noWrap/>
            <w:hideMark/>
          </w:tcPr>
          <w:p w14:paraId="157D8AF6" w14:textId="77777777" w:rsidR="00087B91" w:rsidRPr="002029AF" w:rsidRDefault="00087B91" w:rsidP="00860E95">
            <w:pPr>
              <w:pStyle w:val="ARfintablebodyrightbold"/>
            </w:pPr>
            <w:r w:rsidRPr="002029AF">
              <w:t>1.8</w:t>
            </w:r>
          </w:p>
        </w:tc>
        <w:tc>
          <w:tcPr>
            <w:tcW w:w="1018" w:type="dxa"/>
            <w:tcBorders>
              <w:left w:val="nil"/>
              <w:right w:val="nil"/>
            </w:tcBorders>
            <w:noWrap/>
            <w:hideMark/>
          </w:tcPr>
          <w:p w14:paraId="0C48B159" w14:textId="77777777" w:rsidR="00087B91" w:rsidRPr="002029AF" w:rsidRDefault="00087B91" w:rsidP="00860E95">
            <w:pPr>
              <w:pStyle w:val="ARfintablebodyrightbold"/>
            </w:pPr>
            <w:r w:rsidRPr="002029AF">
              <w:t>2.5</w:t>
            </w:r>
          </w:p>
        </w:tc>
        <w:tc>
          <w:tcPr>
            <w:tcW w:w="1018" w:type="dxa"/>
            <w:tcBorders>
              <w:left w:val="nil"/>
              <w:right w:val="nil"/>
            </w:tcBorders>
            <w:noWrap/>
            <w:hideMark/>
          </w:tcPr>
          <w:p w14:paraId="5BC85CBA" w14:textId="77777777" w:rsidR="00087B91" w:rsidRPr="002029AF" w:rsidRDefault="00087B91" w:rsidP="00860E95">
            <w:pPr>
              <w:pStyle w:val="ARfintablebodyrightbold"/>
            </w:pPr>
            <w:r w:rsidRPr="002029AF">
              <w:t>5.4</w:t>
            </w:r>
          </w:p>
        </w:tc>
        <w:tc>
          <w:tcPr>
            <w:tcW w:w="1018" w:type="dxa"/>
            <w:tcBorders>
              <w:left w:val="nil"/>
            </w:tcBorders>
            <w:noWrap/>
            <w:hideMark/>
          </w:tcPr>
          <w:p w14:paraId="309A2AA8" w14:textId="77777777" w:rsidR="00087B91" w:rsidRPr="002029AF" w:rsidRDefault="00087B91" w:rsidP="00860E95">
            <w:pPr>
              <w:pStyle w:val="ARfintablebodyrightbold"/>
            </w:pPr>
            <w:r w:rsidRPr="002029AF">
              <w:t>10.8</w:t>
            </w:r>
          </w:p>
        </w:tc>
      </w:tr>
      <w:tr w:rsidR="00087B91" w:rsidRPr="002029AF" w14:paraId="5ED2ECD8" w14:textId="77777777" w:rsidTr="00860E95">
        <w:tc>
          <w:tcPr>
            <w:tcW w:w="9637" w:type="dxa"/>
            <w:gridSpan w:val="8"/>
            <w:tcBorders>
              <w:bottom w:val="single" w:sz="4" w:space="0" w:color="auto"/>
            </w:tcBorders>
            <w:hideMark/>
          </w:tcPr>
          <w:p w14:paraId="6A1265A9" w14:textId="77777777" w:rsidR="00087B91" w:rsidRPr="002029AF" w:rsidRDefault="00087B91" w:rsidP="00860E95">
            <w:pPr>
              <w:pStyle w:val="ARfintablebodybold"/>
            </w:pPr>
            <w:r w:rsidRPr="002029AF">
              <w:t>2019</w:t>
            </w:r>
          </w:p>
        </w:tc>
      </w:tr>
      <w:tr w:rsidR="00087B91" w:rsidRPr="002029AF" w14:paraId="55A30D0C" w14:textId="77777777" w:rsidTr="00860E95">
        <w:tc>
          <w:tcPr>
            <w:tcW w:w="2486" w:type="dxa"/>
            <w:tcBorders>
              <w:top w:val="single" w:sz="4" w:space="0" w:color="auto"/>
              <w:bottom w:val="single" w:sz="4" w:space="0" w:color="A6A6A6"/>
              <w:right w:val="nil"/>
            </w:tcBorders>
            <w:hideMark/>
          </w:tcPr>
          <w:p w14:paraId="5CD4FC40" w14:textId="3EC75505" w:rsidR="00087B91" w:rsidRPr="002029AF" w:rsidRDefault="00087B91" w:rsidP="00860E95">
            <w:pPr>
              <w:pStyle w:val="ARfintablebodybold"/>
            </w:pPr>
            <w:r w:rsidRPr="002029AF">
              <w:t>Expected</w:t>
            </w:r>
            <w:r w:rsidR="000A5329" w:rsidRPr="002029AF">
              <w:t xml:space="preserve"> </w:t>
            </w:r>
            <w:r w:rsidRPr="002029AF">
              <w:t>loss</w:t>
            </w:r>
            <w:r w:rsidR="000A5329" w:rsidRPr="002029AF">
              <w:t xml:space="preserve"> </w:t>
            </w:r>
            <w:r w:rsidRPr="002029AF">
              <w:t>rate</w:t>
            </w:r>
          </w:p>
        </w:tc>
        <w:tc>
          <w:tcPr>
            <w:tcW w:w="1031" w:type="dxa"/>
            <w:tcBorders>
              <w:top w:val="single" w:sz="4" w:space="0" w:color="auto"/>
              <w:left w:val="nil"/>
              <w:bottom w:val="single" w:sz="4" w:space="0" w:color="A6A6A6"/>
              <w:right w:val="nil"/>
            </w:tcBorders>
            <w:noWrap/>
            <w:hideMark/>
          </w:tcPr>
          <w:p w14:paraId="71DDFEA9" w14:textId="77777777" w:rsidR="00087B91" w:rsidRPr="002029AF" w:rsidRDefault="00087B91" w:rsidP="00860E95">
            <w:pPr>
              <w:pStyle w:val="ARfintablebodyrightbold"/>
            </w:pPr>
          </w:p>
        </w:tc>
        <w:tc>
          <w:tcPr>
            <w:tcW w:w="1030" w:type="dxa"/>
            <w:tcBorders>
              <w:top w:val="single" w:sz="4" w:space="0" w:color="auto"/>
              <w:left w:val="nil"/>
              <w:bottom w:val="single" w:sz="4" w:space="0" w:color="A6A6A6"/>
              <w:right w:val="nil"/>
            </w:tcBorders>
            <w:noWrap/>
            <w:hideMark/>
          </w:tcPr>
          <w:p w14:paraId="6C7F8A4F" w14:textId="77777777" w:rsidR="00087B91" w:rsidRPr="002029AF" w:rsidRDefault="00087B91" w:rsidP="00860E95">
            <w:pPr>
              <w:pStyle w:val="ARfintablebodyrightbold"/>
            </w:pPr>
            <w:r w:rsidRPr="002029AF">
              <w:t>0%</w:t>
            </w:r>
          </w:p>
        </w:tc>
        <w:tc>
          <w:tcPr>
            <w:tcW w:w="1018" w:type="dxa"/>
            <w:tcBorders>
              <w:top w:val="single" w:sz="4" w:space="0" w:color="auto"/>
              <w:left w:val="nil"/>
              <w:bottom w:val="single" w:sz="4" w:space="0" w:color="A6A6A6"/>
              <w:right w:val="nil"/>
            </w:tcBorders>
            <w:noWrap/>
            <w:hideMark/>
          </w:tcPr>
          <w:p w14:paraId="73E9EEB5" w14:textId="77777777" w:rsidR="00087B91" w:rsidRPr="002029AF" w:rsidRDefault="00087B91" w:rsidP="00860E95">
            <w:pPr>
              <w:pStyle w:val="ARfintablebodyrightbold"/>
            </w:pPr>
            <w:r w:rsidRPr="002029AF">
              <w:t>6%</w:t>
            </w:r>
          </w:p>
        </w:tc>
        <w:tc>
          <w:tcPr>
            <w:tcW w:w="1018" w:type="dxa"/>
            <w:tcBorders>
              <w:top w:val="single" w:sz="4" w:space="0" w:color="auto"/>
              <w:left w:val="nil"/>
              <w:bottom w:val="single" w:sz="4" w:space="0" w:color="A6A6A6"/>
              <w:right w:val="nil"/>
            </w:tcBorders>
            <w:noWrap/>
            <w:hideMark/>
          </w:tcPr>
          <w:p w14:paraId="70779940" w14:textId="77777777" w:rsidR="00087B91" w:rsidRPr="002029AF" w:rsidRDefault="00087B91" w:rsidP="00860E95">
            <w:pPr>
              <w:pStyle w:val="ARfintablebodyrightbold"/>
            </w:pPr>
            <w:r w:rsidRPr="002029AF">
              <w:t>20%</w:t>
            </w:r>
          </w:p>
        </w:tc>
        <w:tc>
          <w:tcPr>
            <w:tcW w:w="1018" w:type="dxa"/>
            <w:tcBorders>
              <w:top w:val="single" w:sz="4" w:space="0" w:color="auto"/>
              <w:left w:val="nil"/>
              <w:bottom w:val="single" w:sz="4" w:space="0" w:color="A6A6A6"/>
              <w:right w:val="nil"/>
            </w:tcBorders>
            <w:noWrap/>
            <w:hideMark/>
          </w:tcPr>
          <w:p w14:paraId="373F2410" w14:textId="77777777" w:rsidR="00087B91" w:rsidRPr="002029AF" w:rsidRDefault="00087B91" w:rsidP="00860E95">
            <w:pPr>
              <w:pStyle w:val="ARfintablebodyrightbold"/>
            </w:pPr>
            <w:r w:rsidRPr="002029AF">
              <w:t>4%</w:t>
            </w:r>
          </w:p>
        </w:tc>
        <w:tc>
          <w:tcPr>
            <w:tcW w:w="1018" w:type="dxa"/>
            <w:tcBorders>
              <w:top w:val="single" w:sz="4" w:space="0" w:color="auto"/>
              <w:left w:val="nil"/>
              <w:bottom w:val="single" w:sz="4" w:space="0" w:color="A6A6A6"/>
              <w:right w:val="nil"/>
            </w:tcBorders>
            <w:noWrap/>
            <w:hideMark/>
          </w:tcPr>
          <w:p w14:paraId="0C573E60" w14:textId="77777777" w:rsidR="00087B91" w:rsidRPr="002029AF" w:rsidRDefault="00087B91" w:rsidP="00860E95">
            <w:pPr>
              <w:pStyle w:val="ARfintablebodyrightbold"/>
            </w:pPr>
            <w:r w:rsidRPr="002029AF">
              <w:t>63%</w:t>
            </w:r>
          </w:p>
        </w:tc>
        <w:tc>
          <w:tcPr>
            <w:tcW w:w="1018" w:type="dxa"/>
            <w:tcBorders>
              <w:top w:val="single" w:sz="4" w:space="0" w:color="auto"/>
              <w:left w:val="nil"/>
              <w:bottom w:val="single" w:sz="4" w:space="0" w:color="A6A6A6"/>
            </w:tcBorders>
            <w:noWrap/>
            <w:hideMark/>
          </w:tcPr>
          <w:p w14:paraId="0A00A412" w14:textId="77777777" w:rsidR="00087B91" w:rsidRPr="002029AF" w:rsidRDefault="00087B91" w:rsidP="00860E95">
            <w:pPr>
              <w:pStyle w:val="ARfintablebodyrightbold"/>
            </w:pPr>
          </w:p>
        </w:tc>
      </w:tr>
      <w:tr w:rsidR="00087B91" w:rsidRPr="002029AF" w14:paraId="3FE0AC72" w14:textId="77777777" w:rsidTr="00860E95">
        <w:tc>
          <w:tcPr>
            <w:tcW w:w="2486" w:type="dxa"/>
            <w:tcBorders>
              <w:top w:val="single" w:sz="4" w:space="0" w:color="A6A6A6"/>
              <w:right w:val="nil"/>
            </w:tcBorders>
            <w:hideMark/>
          </w:tcPr>
          <w:p w14:paraId="6B385C46" w14:textId="65CEEDBE" w:rsidR="00087B91" w:rsidRPr="002029AF" w:rsidRDefault="00087B91" w:rsidP="00860E95">
            <w:pPr>
              <w:pStyle w:val="ARfintablebody"/>
            </w:pPr>
            <w:r w:rsidRPr="002029AF">
              <w:t>Gross</w:t>
            </w:r>
            <w:r w:rsidR="000A5329" w:rsidRPr="002029AF">
              <w:t xml:space="preserve"> </w:t>
            </w:r>
            <w:r w:rsidRPr="002029AF">
              <w:t>carrying</w:t>
            </w:r>
            <w:r w:rsidR="000A5329" w:rsidRPr="002029AF">
              <w:t xml:space="preserve"> </w:t>
            </w:r>
            <w:r w:rsidRPr="002029AF">
              <w:t>amount</w:t>
            </w:r>
            <w:r w:rsidR="000A5329" w:rsidRPr="002029AF">
              <w:t xml:space="preserve"> </w:t>
            </w:r>
            <w:r w:rsidRPr="002029AF">
              <w:t>of</w:t>
            </w:r>
            <w:r w:rsidR="000A5329" w:rsidRPr="002029AF">
              <w:t xml:space="preserve"> </w:t>
            </w:r>
            <w:r w:rsidRPr="002029AF">
              <w:t>contractual</w:t>
            </w:r>
            <w:r w:rsidR="000A5329" w:rsidRPr="002029AF">
              <w:t xml:space="preserve"> </w:t>
            </w:r>
            <w:r w:rsidRPr="002029AF">
              <w:t>receivables</w:t>
            </w:r>
          </w:p>
        </w:tc>
        <w:tc>
          <w:tcPr>
            <w:tcW w:w="1031" w:type="dxa"/>
            <w:tcBorders>
              <w:top w:val="single" w:sz="4" w:space="0" w:color="A6A6A6"/>
              <w:left w:val="nil"/>
              <w:right w:val="nil"/>
            </w:tcBorders>
            <w:noWrap/>
            <w:hideMark/>
          </w:tcPr>
          <w:p w14:paraId="6C38DE3E" w14:textId="77777777" w:rsidR="00087B91" w:rsidRPr="002029AF" w:rsidRDefault="00087B91" w:rsidP="00860E95">
            <w:pPr>
              <w:pStyle w:val="ARfintablebodyright"/>
            </w:pPr>
            <w:r w:rsidRPr="002029AF">
              <w:t>338.1</w:t>
            </w:r>
          </w:p>
        </w:tc>
        <w:tc>
          <w:tcPr>
            <w:tcW w:w="1030" w:type="dxa"/>
            <w:tcBorders>
              <w:top w:val="single" w:sz="4" w:space="0" w:color="A6A6A6"/>
              <w:left w:val="nil"/>
              <w:right w:val="nil"/>
            </w:tcBorders>
            <w:noWrap/>
            <w:hideMark/>
          </w:tcPr>
          <w:p w14:paraId="5CB2D141" w14:textId="77777777" w:rsidR="00087B91" w:rsidRPr="002029AF" w:rsidRDefault="00087B91" w:rsidP="00860E95">
            <w:pPr>
              <w:pStyle w:val="ARfintablebodyright"/>
            </w:pPr>
            <w:r w:rsidRPr="002029AF">
              <w:t>195.8</w:t>
            </w:r>
          </w:p>
        </w:tc>
        <w:tc>
          <w:tcPr>
            <w:tcW w:w="1018" w:type="dxa"/>
            <w:tcBorders>
              <w:top w:val="single" w:sz="4" w:space="0" w:color="A6A6A6"/>
              <w:left w:val="nil"/>
              <w:right w:val="nil"/>
            </w:tcBorders>
            <w:noWrap/>
            <w:hideMark/>
          </w:tcPr>
          <w:p w14:paraId="531297A2" w14:textId="77777777" w:rsidR="00087B91" w:rsidRPr="002029AF" w:rsidRDefault="00087B91" w:rsidP="00860E95">
            <w:pPr>
              <w:pStyle w:val="ARfintablebodyright"/>
            </w:pPr>
            <w:r w:rsidRPr="002029AF">
              <w:t>21.8</w:t>
            </w:r>
          </w:p>
        </w:tc>
        <w:tc>
          <w:tcPr>
            <w:tcW w:w="1018" w:type="dxa"/>
            <w:tcBorders>
              <w:top w:val="single" w:sz="4" w:space="0" w:color="A6A6A6"/>
              <w:left w:val="nil"/>
              <w:right w:val="nil"/>
            </w:tcBorders>
            <w:noWrap/>
            <w:hideMark/>
          </w:tcPr>
          <w:p w14:paraId="0B5006B5" w14:textId="77777777" w:rsidR="00087B91" w:rsidRPr="002029AF" w:rsidRDefault="00087B91" w:rsidP="00860E95">
            <w:pPr>
              <w:pStyle w:val="ARfintablebodyright"/>
            </w:pPr>
            <w:r w:rsidRPr="002029AF">
              <w:t>9.8</w:t>
            </w:r>
          </w:p>
        </w:tc>
        <w:tc>
          <w:tcPr>
            <w:tcW w:w="1018" w:type="dxa"/>
            <w:tcBorders>
              <w:top w:val="single" w:sz="4" w:space="0" w:color="A6A6A6"/>
              <w:left w:val="nil"/>
              <w:right w:val="nil"/>
            </w:tcBorders>
            <w:noWrap/>
            <w:hideMark/>
          </w:tcPr>
          <w:p w14:paraId="181E13F7" w14:textId="77777777" w:rsidR="00087B91" w:rsidRPr="002029AF" w:rsidRDefault="00087B91" w:rsidP="00860E95">
            <w:pPr>
              <w:pStyle w:val="ARfintablebodyright"/>
            </w:pPr>
            <w:r w:rsidRPr="002029AF">
              <w:t>100.9</w:t>
            </w:r>
          </w:p>
        </w:tc>
        <w:tc>
          <w:tcPr>
            <w:tcW w:w="1018" w:type="dxa"/>
            <w:tcBorders>
              <w:top w:val="single" w:sz="4" w:space="0" w:color="A6A6A6"/>
              <w:left w:val="nil"/>
              <w:right w:val="nil"/>
            </w:tcBorders>
            <w:noWrap/>
            <w:hideMark/>
          </w:tcPr>
          <w:p w14:paraId="54F0A5C6" w14:textId="77777777" w:rsidR="00087B91" w:rsidRPr="002029AF" w:rsidRDefault="00087B91" w:rsidP="00860E95">
            <w:pPr>
              <w:pStyle w:val="ARfintablebodyright"/>
            </w:pPr>
            <w:r w:rsidRPr="002029AF">
              <w:t>9.8</w:t>
            </w:r>
          </w:p>
        </w:tc>
        <w:tc>
          <w:tcPr>
            <w:tcW w:w="1018" w:type="dxa"/>
            <w:tcBorders>
              <w:top w:val="single" w:sz="4" w:space="0" w:color="A6A6A6"/>
              <w:left w:val="nil"/>
            </w:tcBorders>
            <w:noWrap/>
            <w:hideMark/>
          </w:tcPr>
          <w:p w14:paraId="2F147BDD" w14:textId="77777777" w:rsidR="00087B91" w:rsidRPr="002029AF" w:rsidRDefault="00087B91" w:rsidP="00860E95">
            <w:pPr>
              <w:pStyle w:val="ARfintablebodyright"/>
            </w:pPr>
          </w:p>
        </w:tc>
      </w:tr>
      <w:tr w:rsidR="00087B91" w:rsidRPr="002029AF" w14:paraId="5DACF555" w14:textId="77777777" w:rsidTr="00860E95">
        <w:tc>
          <w:tcPr>
            <w:tcW w:w="2486" w:type="dxa"/>
            <w:tcBorders>
              <w:right w:val="nil"/>
            </w:tcBorders>
            <w:hideMark/>
          </w:tcPr>
          <w:p w14:paraId="29445F1E" w14:textId="27C175ED" w:rsidR="00087B91" w:rsidRPr="002029AF" w:rsidRDefault="00087B91" w:rsidP="00860E95">
            <w:pPr>
              <w:pStyle w:val="ARfintablebodybold"/>
            </w:pPr>
            <w:r w:rsidRPr="002029AF">
              <w:t>Loss</w:t>
            </w:r>
            <w:r w:rsidR="000A5329" w:rsidRPr="002029AF">
              <w:t xml:space="preserve"> </w:t>
            </w:r>
            <w:r w:rsidRPr="002029AF">
              <w:t>allowance</w:t>
            </w:r>
          </w:p>
        </w:tc>
        <w:tc>
          <w:tcPr>
            <w:tcW w:w="1031" w:type="dxa"/>
            <w:tcBorders>
              <w:left w:val="nil"/>
              <w:right w:val="nil"/>
            </w:tcBorders>
            <w:noWrap/>
            <w:hideMark/>
          </w:tcPr>
          <w:p w14:paraId="3F01C33C" w14:textId="77777777" w:rsidR="00087B91" w:rsidRPr="002029AF" w:rsidRDefault="00087B91" w:rsidP="00860E95">
            <w:pPr>
              <w:pStyle w:val="ARfintablebodyrightbold"/>
            </w:pPr>
          </w:p>
        </w:tc>
        <w:tc>
          <w:tcPr>
            <w:tcW w:w="1030" w:type="dxa"/>
            <w:tcBorders>
              <w:left w:val="nil"/>
              <w:right w:val="nil"/>
            </w:tcBorders>
            <w:noWrap/>
            <w:hideMark/>
          </w:tcPr>
          <w:p w14:paraId="41ABBD9F" w14:textId="77777777" w:rsidR="00087B91" w:rsidRPr="002029AF" w:rsidRDefault="00087B91" w:rsidP="00860E95">
            <w:pPr>
              <w:pStyle w:val="ARfintablebodyrightbold"/>
            </w:pPr>
            <w:r w:rsidRPr="002029AF">
              <w:t>–</w:t>
            </w:r>
          </w:p>
        </w:tc>
        <w:tc>
          <w:tcPr>
            <w:tcW w:w="1018" w:type="dxa"/>
            <w:tcBorders>
              <w:left w:val="nil"/>
              <w:right w:val="nil"/>
            </w:tcBorders>
            <w:noWrap/>
            <w:hideMark/>
          </w:tcPr>
          <w:p w14:paraId="74965B05" w14:textId="77777777" w:rsidR="00087B91" w:rsidRPr="002029AF" w:rsidRDefault="00087B91" w:rsidP="00860E95">
            <w:pPr>
              <w:pStyle w:val="ARfintablebodyrightbold"/>
            </w:pPr>
            <w:r w:rsidRPr="002029AF">
              <w:t>1.2</w:t>
            </w:r>
          </w:p>
        </w:tc>
        <w:tc>
          <w:tcPr>
            <w:tcW w:w="1018" w:type="dxa"/>
            <w:tcBorders>
              <w:left w:val="nil"/>
              <w:right w:val="nil"/>
            </w:tcBorders>
            <w:noWrap/>
            <w:hideMark/>
          </w:tcPr>
          <w:p w14:paraId="472EBBFD" w14:textId="77777777" w:rsidR="00087B91" w:rsidRPr="002029AF" w:rsidRDefault="00087B91" w:rsidP="00860E95">
            <w:pPr>
              <w:pStyle w:val="ARfintablebodyrightbold"/>
            </w:pPr>
            <w:r w:rsidRPr="002029AF">
              <w:t>2.0</w:t>
            </w:r>
          </w:p>
        </w:tc>
        <w:tc>
          <w:tcPr>
            <w:tcW w:w="1018" w:type="dxa"/>
            <w:tcBorders>
              <w:left w:val="nil"/>
              <w:right w:val="nil"/>
            </w:tcBorders>
            <w:noWrap/>
            <w:hideMark/>
          </w:tcPr>
          <w:p w14:paraId="66EEA569" w14:textId="77777777" w:rsidR="00087B91" w:rsidRPr="002029AF" w:rsidRDefault="00087B91" w:rsidP="00860E95">
            <w:pPr>
              <w:pStyle w:val="ARfintablebodyrightbold"/>
            </w:pPr>
            <w:r w:rsidRPr="002029AF">
              <w:t>3.7</w:t>
            </w:r>
          </w:p>
        </w:tc>
        <w:tc>
          <w:tcPr>
            <w:tcW w:w="1018" w:type="dxa"/>
            <w:tcBorders>
              <w:left w:val="nil"/>
              <w:right w:val="nil"/>
            </w:tcBorders>
            <w:noWrap/>
            <w:hideMark/>
          </w:tcPr>
          <w:p w14:paraId="6C4C9871" w14:textId="77777777" w:rsidR="00087B91" w:rsidRPr="002029AF" w:rsidRDefault="00087B91" w:rsidP="00860E95">
            <w:pPr>
              <w:pStyle w:val="ARfintablebodyrightbold"/>
            </w:pPr>
            <w:r w:rsidRPr="002029AF">
              <w:t>6.2</w:t>
            </w:r>
          </w:p>
        </w:tc>
        <w:tc>
          <w:tcPr>
            <w:tcW w:w="1018" w:type="dxa"/>
            <w:tcBorders>
              <w:left w:val="nil"/>
            </w:tcBorders>
            <w:noWrap/>
            <w:hideMark/>
          </w:tcPr>
          <w:p w14:paraId="51810516" w14:textId="77777777" w:rsidR="00087B91" w:rsidRPr="002029AF" w:rsidRDefault="00087B91" w:rsidP="00860E95">
            <w:pPr>
              <w:pStyle w:val="ARfintablebodyrightbold"/>
            </w:pPr>
            <w:r w:rsidRPr="002029AF">
              <w:t>13.1</w:t>
            </w:r>
          </w:p>
        </w:tc>
      </w:tr>
    </w:tbl>
    <w:p w14:paraId="4F4C9DA3" w14:textId="77777777" w:rsidR="00087B91" w:rsidRPr="002029AF" w:rsidRDefault="00087B91" w:rsidP="00087B91">
      <w:pPr>
        <w:pStyle w:val="ARfintablefootnote"/>
        <w:rPr>
          <w:lang w:eastAsia="en-AU"/>
        </w:rPr>
      </w:pPr>
      <w:r w:rsidRPr="002029AF">
        <w:rPr>
          <w:lang w:eastAsia="en-AU"/>
        </w:rPr>
        <w:t>Note:</w:t>
      </w:r>
    </w:p>
    <w:p w14:paraId="4948554C" w14:textId="0D8A7F46" w:rsidR="00087B91" w:rsidRPr="002029AF" w:rsidRDefault="00087B91" w:rsidP="00087B91">
      <w:pPr>
        <w:pStyle w:val="ARfintablefootnoteindent"/>
      </w:pPr>
      <w:r w:rsidRPr="002029AF">
        <w:t>(i)</w:t>
      </w:r>
      <w:r w:rsidRPr="002029AF">
        <w:tab/>
        <w:t>The</w:t>
      </w:r>
      <w:r w:rsidR="000A5329" w:rsidRPr="002029AF">
        <w:t xml:space="preserve"> </w:t>
      </w:r>
      <w:r w:rsidRPr="002029AF">
        <w:t>amounts</w:t>
      </w:r>
      <w:r w:rsidR="000A5329" w:rsidRPr="002029AF">
        <w:t xml:space="preserve"> </w:t>
      </w:r>
      <w:r w:rsidRPr="002029AF">
        <w:t>disclosed</w:t>
      </w:r>
      <w:r w:rsidR="000A5329" w:rsidRPr="002029AF">
        <w:t xml:space="preserve"> </w:t>
      </w:r>
      <w:r w:rsidRPr="002029AF">
        <w:t>here</w:t>
      </w:r>
      <w:r w:rsidR="000A5329" w:rsidRPr="002029AF">
        <w:t xml:space="preserve"> </w:t>
      </w:r>
      <w:r w:rsidRPr="002029AF">
        <w:t>include</w:t>
      </w:r>
      <w:r w:rsidR="000A5329" w:rsidRPr="002029AF">
        <w:t xml:space="preserve"> </w:t>
      </w:r>
      <w:r w:rsidRPr="002029AF">
        <w:t>repayments</w:t>
      </w:r>
      <w:r w:rsidR="000A5329" w:rsidRPr="002029AF">
        <w:t xml:space="preserve"> </w:t>
      </w:r>
      <w:r w:rsidRPr="002029AF">
        <w:t>of</w:t>
      </w:r>
      <w:r w:rsidR="000A5329" w:rsidRPr="002029AF">
        <w:t xml:space="preserve"> </w:t>
      </w:r>
      <w:r w:rsidRPr="002029AF">
        <w:t>borrowings</w:t>
      </w:r>
      <w:r w:rsidR="000A5329" w:rsidRPr="002029AF">
        <w:t xml:space="preserve"> </w:t>
      </w:r>
      <w:r w:rsidRPr="002029AF">
        <w:t>that</w:t>
      </w:r>
      <w:r w:rsidR="000A5329" w:rsidRPr="002029AF">
        <w:t xml:space="preserve"> </w:t>
      </w:r>
      <w:r w:rsidRPr="002029AF">
        <w:t>are</w:t>
      </w:r>
      <w:r w:rsidR="000A5329" w:rsidRPr="002029AF">
        <w:t xml:space="preserve"> </w:t>
      </w:r>
      <w:r w:rsidRPr="002029AF">
        <w:t>not</w:t>
      </w:r>
      <w:r w:rsidR="000A5329" w:rsidRPr="002029AF">
        <w:t xml:space="preserve"> </w:t>
      </w:r>
      <w:r w:rsidRPr="002029AF">
        <w:t>scheduled</w:t>
      </w:r>
      <w:r w:rsidR="000A5329" w:rsidRPr="002029AF">
        <w:t xml:space="preserve"> </w:t>
      </w:r>
      <w:r w:rsidRPr="002029AF">
        <w:t>to</w:t>
      </w:r>
      <w:r w:rsidR="000A5329" w:rsidRPr="002029AF">
        <w:t xml:space="preserve"> </w:t>
      </w:r>
      <w:r w:rsidRPr="002029AF">
        <w:t>be</w:t>
      </w:r>
      <w:r w:rsidR="000A5329" w:rsidRPr="002029AF">
        <w:t xml:space="preserve"> </w:t>
      </w:r>
      <w:r w:rsidRPr="002029AF">
        <w:t>repaid</w:t>
      </w:r>
      <w:r w:rsidR="000A5329" w:rsidRPr="002029AF">
        <w:t xml:space="preserve"> </w:t>
      </w:r>
      <w:r w:rsidRPr="002029AF">
        <w:t>in</w:t>
      </w:r>
      <w:r w:rsidR="000A5329" w:rsidRPr="002029AF">
        <w:t xml:space="preserve"> </w:t>
      </w:r>
      <w:r w:rsidRPr="002029AF">
        <w:t>the</w:t>
      </w:r>
      <w:r w:rsidR="000A5329" w:rsidRPr="002029AF">
        <w:t xml:space="preserve"> </w:t>
      </w:r>
      <w:r w:rsidRPr="002029AF">
        <w:t>next</w:t>
      </w:r>
      <w:r w:rsidR="000A5329" w:rsidRPr="002029AF">
        <w:t xml:space="preserve"> </w:t>
      </w:r>
      <w:r w:rsidRPr="002029AF">
        <w:t>12</w:t>
      </w:r>
      <w:r w:rsidR="000A5329" w:rsidRPr="002029AF">
        <w:t xml:space="preserve"> </w:t>
      </w:r>
      <w:r w:rsidRPr="002029AF">
        <w:t>months.</w:t>
      </w:r>
    </w:p>
    <w:p w14:paraId="76FD31B4" w14:textId="254D4B23" w:rsidR="00087B91" w:rsidRPr="002029AF" w:rsidRDefault="00087B91" w:rsidP="00087B91">
      <w:pPr>
        <w:pStyle w:val="ARfinbodyaftertable"/>
      </w:pPr>
      <w:r w:rsidRPr="002029AF">
        <w:t>The</w:t>
      </w:r>
      <w:r w:rsidR="000A5329" w:rsidRPr="002029AF">
        <w:t xml:space="preserve"> </w:t>
      </w:r>
      <w:r w:rsidRPr="002029AF">
        <w:t>average</w:t>
      </w:r>
      <w:r w:rsidR="000A5329" w:rsidRPr="002029AF">
        <w:t xml:space="preserve"> </w:t>
      </w:r>
      <w:r w:rsidRPr="002029AF">
        <w:t>credit</w:t>
      </w:r>
      <w:r w:rsidR="000A5329" w:rsidRPr="002029AF">
        <w:t xml:space="preserve"> </w:t>
      </w:r>
      <w:r w:rsidRPr="002029AF">
        <w:t>period</w:t>
      </w:r>
      <w:r w:rsidR="000A5329" w:rsidRPr="002029AF">
        <w:t xml:space="preserve"> </w:t>
      </w:r>
      <w:r w:rsidRPr="002029AF">
        <w:t>for</w:t>
      </w:r>
      <w:r w:rsidR="000A5329" w:rsidRPr="002029AF">
        <w:t xml:space="preserve"> </w:t>
      </w:r>
      <w:r w:rsidRPr="002029AF">
        <w:t>receivables</w:t>
      </w:r>
      <w:r w:rsidR="000A5329" w:rsidRPr="002029AF">
        <w:t xml:space="preserve"> </w:t>
      </w:r>
      <w:r w:rsidRPr="002029AF">
        <w:t>is</w:t>
      </w:r>
      <w:r w:rsidR="000A5329" w:rsidRPr="002029AF">
        <w:t xml:space="preserve"> </w:t>
      </w:r>
      <w:r w:rsidRPr="002029AF">
        <w:t>30</w:t>
      </w:r>
      <w:r w:rsidR="000A5329" w:rsidRPr="002029AF">
        <w:t xml:space="preserve"> </w:t>
      </w:r>
      <w:r w:rsidRPr="002029AF">
        <w:t>days.</w:t>
      </w:r>
    </w:p>
    <w:p w14:paraId="6A68B236" w14:textId="63E94DEC" w:rsidR="00087B91" w:rsidRPr="002029AF" w:rsidRDefault="00087B91" w:rsidP="00087B91">
      <w:pPr>
        <w:pStyle w:val="ARfinbodylargespace"/>
      </w:pPr>
      <w:r w:rsidRPr="002029AF">
        <w:t>Reconciliation</w:t>
      </w:r>
      <w:r w:rsidR="000A5329" w:rsidRPr="002029AF">
        <w:t xml:space="preserve"> </w:t>
      </w:r>
      <w:r w:rsidRPr="002029AF">
        <w:t>of</w:t>
      </w:r>
      <w:r w:rsidR="000A5329" w:rsidRPr="002029AF">
        <w:t xml:space="preserve"> </w:t>
      </w:r>
      <w:r w:rsidRPr="002029AF">
        <w:t>movement</w:t>
      </w:r>
      <w:r w:rsidR="000A5329" w:rsidRPr="002029AF">
        <w:t xml:space="preserve"> </w:t>
      </w:r>
      <w:r w:rsidRPr="002029AF">
        <w:t>in</w:t>
      </w:r>
      <w:r w:rsidR="000A5329" w:rsidRPr="002029AF">
        <w:t xml:space="preserve"> </w:t>
      </w:r>
      <w:r w:rsidRPr="002029AF">
        <w:t>the</w:t>
      </w:r>
      <w:r w:rsidR="000A5329" w:rsidRPr="002029AF">
        <w:t xml:space="preserve"> </w:t>
      </w:r>
      <w:r w:rsidRPr="002029AF">
        <w:t>loss</w:t>
      </w:r>
      <w:r w:rsidR="000A5329" w:rsidRPr="002029AF">
        <w:t xml:space="preserve"> </w:t>
      </w:r>
      <w:r w:rsidRPr="002029AF">
        <w:t>allowance</w:t>
      </w:r>
      <w:r w:rsidR="000A5329" w:rsidRPr="002029AF">
        <w:t xml:space="preserve"> </w:t>
      </w:r>
      <w:r w:rsidRPr="002029AF">
        <w:t>for</w:t>
      </w:r>
      <w:r w:rsidR="000A5329" w:rsidRPr="002029AF">
        <w:t xml:space="preserve"> </w:t>
      </w:r>
      <w:r w:rsidRPr="002029AF">
        <w:t>contractual</w:t>
      </w:r>
      <w:r w:rsidR="000A5329" w:rsidRPr="002029AF">
        <w:t xml:space="preserve"> </w:t>
      </w:r>
      <w:r w:rsidRPr="002029AF">
        <w:t>receivables</w:t>
      </w:r>
      <w:r w:rsidR="000A5329" w:rsidRPr="002029AF">
        <w:t xml:space="preserve"> </w:t>
      </w:r>
      <w:r w:rsidRPr="002029AF">
        <w:t>is</w:t>
      </w:r>
      <w:r w:rsidR="000A5329" w:rsidRPr="002029AF">
        <w:t xml:space="preserve"> </w:t>
      </w:r>
      <w:r w:rsidRPr="002029AF">
        <w:t>shown</w:t>
      </w:r>
      <w:r w:rsidR="000A5329" w:rsidRPr="002029AF">
        <w:t xml:space="preserve"> </w:t>
      </w:r>
      <w:r w:rsidRPr="002029AF">
        <w:t>as</w:t>
      </w:r>
      <w:r w:rsidR="000A5329" w:rsidRPr="002029AF">
        <w:t xml:space="preserve"> </w:t>
      </w:r>
      <w:r w:rsidRPr="002029AF">
        <w:t>follows:</w:t>
      </w:r>
    </w:p>
    <w:tbl>
      <w:tblPr>
        <w:tblStyle w:val="TableGrid"/>
        <w:tblW w:w="9637" w:type="dxa"/>
        <w:tblLayout w:type="fixed"/>
        <w:tblLook w:val="06A0" w:firstRow="1" w:lastRow="0" w:firstColumn="1" w:lastColumn="0" w:noHBand="1" w:noVBand="1"/>
      </w:tblPr>
      <w:tblGrid>
        <w:gridCol w:w="7595"/>
        <w:gridCol w:w="1021"/>
        <w:gridCol w:w="1021"/>
      </w:tblGrid>
      <w:tr w:rsidR="00087B91" w:rsidRPr="002029AF" w14:paraId="00BC1CFE" w14:textId="77777777" w:rsidTr="00860E95">
        <w:trPr>
          <w:cnfStyle w:val="100000000000" w:firstRow="1" w:lastRow="0" w:firstColumn="0" w:lastColumn="0" w:oddVBand="0" w:evenVBand="0" w:oddHBand="0" w:evenHBand="0" w:firstRowFirstColumn="0" w:firstRowLastColumn="0" w:lastRowFirstColumn="0" w:lastRowLastColumn="0"/>
          <w:tblHeader/>
        </w:trPr>
        <w:tc>
          <w:tcPr>
            <w:tcW w:w="7598" w:type="dxa"/>
            <w:noWrap/>
            <w:hideMark/>
          </w:tcPr>
          <w:p w14:paraId="4D89AA24" w14:textId="77777777" w:rsidR="00087B91" w:rsidRPr="002029AF" w:rsidRDefault="00087B91" w:rsidP="00860E95">
            <w:pPr>
              <w:pStyle w:val="ARfintablecolhead"/>
            </w:pPr>
          </w:p>
        </w:tc>
        <w:tc>
          <w:tcPr>
            <w:tcW w:w="1021" w:type="dxa"/>
            <w:shd w:val="clear" w:color="auto" w:fill="E7E6E6"/>
            <w:hideMark/>
          </w:tcPr>
          <w:p w14:paraId="35510FD4" w14:textId="77777777" w:rsidR="00087B91" w:rsidRPr="002029AF" w:rsidRDefault="00087B91" w:rsidP="00860E95">
            <w:pPr>
              <w:pStyle w:val="ARfintablecolheadright"/>
            </w:pPr>
            <w:r w:rsidRPr="002029AF">
              <w:t>2020</w:t>
            </w:r>
          </w:p>
          <w:p w14:paraId="01D90F50" w14:textId="77777777" w:rsidR="00087B91" w:rsidRPr="002029AF" w:rsidRDefault="00087B91" w:rsidP="00860E95">
            <w:pPr>
              <w:pStyle w:val="ARfintablecolheadright"/>
            </w:pPr>
            <w:r w:rsidRPr="002029AF">
              <w:t>$M</w:t>
            </w:r>
          </w:p>
        </w:tc>
        <w:tc>
          <w:tcPr>
            <w:tcW w:w="1021" w:type="dxa"/>
            <w:hideMark/>
          </w:tcPr>
          <w:p w14:paraId="7F2D14A0" w14:textId="77777777" w:rsidR="00087B91" w:rsidRPr="002029AF" w:rsidRDefault="00087B91" w:rsidP="00860E95">
            <w:pPr>
              <w:pStyle w:val="ARfintablecolheadright"/>
            </w:pPr>
            <w:r w:rsidRPr="002029AF">
              <w:t>2019</w:t>
            </w:r>
          </w:p>
          <w:p w14:paraId="7F7D308A" w14:textId="77777777" w:rsidR="00087B91" w:rsidRPr="002029AF" w:rsidRDefault="00087B91" w:rsidP="00860E95">
            <w:pPr>
              <w:pStyle w:val="ARfintablecolheadright"/>
            </w:pPr>
            <w:r w:rsidRPr="002029AF">
              <w:t>$M</w:t>
            </w:r>
          </w:p>
        </w:tc>
      </w:tr>
      <w:tr w:rsidR="00087B91" w:rsidRPr="002029AF" w14:paraId="7D92A4AE" w14:textId="77777777" w:rsidTr="00860E95">
        <w:tc>
          <w:tcPr>
            <w:tcW w:w="7598" w:type="dxa"/>
            <w:hideMark/>
          </w:tcPr>
          <w:p w14:paraId="4BB0DD51" w14:textId="42B71687" w:rsidR="00087B91" w:rsidRPr="002029AF" w:rsidRDefault="00087B91" w:rsidP="00860E95">
            <w:pPr>
              <w:pStyle w:val="ARfintablebodybold"/>
            </w:pPr>
            <w:r w:rsidRPr="002029AF">
              <w:t>Balance</w:t>
            </w:r>
            <w:r w:rsidR="000A5329" w:rsidRPr="002029AF">
              <w:t xml:space="preserve"> </w:t>
            </w:r>
            <w:r w:rsidRPr="002029AF">
              <w:t>at</w:t>
            </w:r>
            <w:r w:rsidR="000A5329" w:rsidRPr="002029AF">
              <w:t xml:space="preserve"> </w:t>
            </w:r>
            <w:r w:rsidRPr="002029AF">
              <w:t>beginning</w:t>
            </w:r>
            <w:r w:rsidR="000A5329" w:rsidRPr="002029AF">
              <w:t xml:space="preserve"> </w:t>
            </w:r>
            <w:r w:rsidRPr="002029AF">
              <w:t>of</w:t>
            </w:r>
            <w:r w:rsidR="000A5329" w:rsidRPr="002029AF">
              <w:t xml:space="preserve"> </w:t>
            </w:r>
            <w:r w:rsidRPr="002029AF">
              <w:t>the</w:t>
            </w:r>
            <w:r w:rsidR="000A5329" w:rsidRPr="002029AF">
              <w:t xml:space="preserve"> </w:t>
            </w:r>
            <w:r w:rsidRPr="002029AF">
              <w:t>year</w:t>
            </w:r>
          </w:p>
        </w:tc>
        <w:tc>
          <w:tcPr>
            <w:tcW w:w="1021" w:type="dxa"/>
            <w:shd w:val="clear" w:color="auto" w:fill="E7E6E6"/>
            <w:noWrap/>
            <w:hideMark/>
          </w:tcPr>
          <w:p w14:paraId="5B274A3C" w14:textId="77777777" w:rsidR="00087B91" w:rsidRPr="002029AF" w:rsidRDefault="00087B91" w:rsidP="00860E95">
            <w:pPr>
              <w:pStyle w:val="ARfintablebodyrightbold"/>
            </w:pPr>
            <w:r w:rsidRPr="002029AF">
              <w:t>(13.1)</w:t>
            </w:r>
          </w:p>
        </w:tc>
        <w:tc>
          <w:tcPr>
            <w:tcW w:w="1021" w:type="dxa"/>
            <w:noWrap/>
            <w:hideMark/>
          </w:tcPr>
          <w:p w14:paraId="0D57D4FD" w14:textId="77777777" w:rsidR="00087B91" w:rsidRPr="002029AF" w:rsidRDefault="00087B91" w:rsidP="00860E95">
            <w:pPr>
              <w:pStyle w:val="ARfintablebodyrightbold"/>
            </w:pPr>
            <w:r w:rsidRPr="002029AF">
              <w:t>(11.0)</w:t>
            </w:r>
          </w:p>
        </w:tc>
      </w:tr>
      <w:tr w:rsidR="00087B91" w:rsidRPr="002029AF" w14:paraId="4A0D9D7C" w14:textId="77777777" w:rsidTr="00860E95">
        <w:tc>
          <w:tcPr>
            <w:tcW w:w="7598" w:type="dxa"/>
            <w:tcBorders>
              <w:bottom w:val="single" w:sz="4" w:space="0" w:color="auto"/>
            </w:tcBorders>
            <w:hideMark/>
          </w:tcPr>
          <w:p w14:paraId="7DC49EF1" w14:textId="1BECD5BD" w:rsidR="00087B91" w:rsidRPr="002029AF" w:rsidRDefault="00087B91" w:rsidP="00860E95">
            <w:pPr>
              <w:pStyle w:val="ARfintablebodybold"/>
            </w:pPr>
            <w:r w:rsidRPr="002029AF">
              <w:t>Opening</w:t>
            </w:r>
            <w:r w:rsidR="000A5329" w:rsidRPr="002029AF">
              <w:t xml:space="preserve"> </w:t>
            </w:r>
            <w:r w:rsidRPr="002029AF">
              <w:t>loss</w:t>
            </w:r>
            <w:r w:rsidR="000A5329" w:rsidRPr="002029AF">
              <w:t xml:space="preserve"> </w:t>
            </w:r>
            <w:r w:rsidRPr="002029AF">
              <w:t>allowance</w:t>
            </w:r>
          </w:p>
        </w:tc>
        <w:tc>
          <w:tcPr>
            <w:tcW w:w="1021" w:type="dxa"/>
            <w:tcBorders>
              <w:bottom w:val="single" w:sz="4" w:space="0" w:color="auto"/>
            </w:tcBorders>
            <w:shd w:val="clear" w:color="auto" w:fill="E7E6E6"/>
            <w:noWrap/>
            <w:hideMark/>
          </w:tcPr>
          <w:p w14:paraId="7B128DF1" w14:textId="77777777" w:rsidR="00087B91" w:rsidRPr="002029AF" w:rsidRDefault="00087B91" w:rsidP="00860E95">
            <w:pPr>
              <w:pStyle w:val="ARfintablebodyrightbold"/>
            </w:pPr>
            <w:r w:rsidRPr="002029AF">
              <w:t>(13.1)</w:t>
            </w:r>
          </w:p>
        </w:tc>
        <w:tc>
          <w:tcPr>
            <w:tcW w:w="1021" w:type="dxa"/>
            <w:tcBorders>
              <w:bottom w:val="single" w:sz="4" w:space="0" w:color="auto"/>
            </w:tcBorders>
            <w:noWrap/>
            <w:hideMark/>
          </w:tcPr>
          <w:p w14:paraId="11DC4346" w14:textId="77777777" w:rsidR="00087B91" w:rsidRPr="002029AF" w:rsidRDefault="00087B91" w:rsidP="00860E95">
            <w:pPr>
              <w:pStyle w:val="ARfintablebodyrightbold"/>
            </w:pPr>
            <w:r w:rsidRPr="002029AF">
              <w:t>(11.0)</w:t>
            </w:r>
          </w:p>
        </w:tc>
      </w:tr>
      <w:tr w:rsidR="00087B91" w:rsidRPr="002029AF" w14:paraId="2D00E560" w14:textId="77777777" w:rsidTr="00860E95">
        <w:tc>
          <w:tcPr>
            <w:tcW w:w="7598" w:type="dxa"/>
            <w:tcBorders>
              <w:top w:val="single" w:sz="4" w:space="0" w:color="auto"/>
              <w:bottom w:val="single" w:sz="4" w:space="0" w:color="A6A6A6"/>
            </w:tcBorders>
            <w:hideMark/>
          </w:tcPr>
          <w:p w14:paraId="075F7BB6" w14:textId="5A724C63" w:rsidR="00087B91" w:rsidRPr="002029AF" w:rsidRDefault="00087B91" w:rsidP="00860E95">
            <w:pPr>
              <w:pStyle w:val="ARfintablebody"/>
            </w:pPr>
            <w:r w:rsidRPr="002029AF">
              <w:t>Increase</w:t>
            </w:r>
            <w:r w:rsidR="000A5329" w:rsidRPr="002029AF">
              <w:t xml:space="preserve"> </w:t>
            </w:r>
            <w:r w:rsidRPr="002029AF">
              <w:t>in</w:t>
            </w:r>
            <w:r w:rsidR="000A5329" w:rsidRPr="002029AF">
              <w:t xml:space="preserve"> </w:t>
            </w:r>
            <w:r w:rsidRPr="002029AF">
              <w:t>provision</w:t>
            </w:r>
            <w:r w:rsidR="000A5329" w:rsidRPr="002029AF">
              <w:t xml:space="preserve"> </w:t>
            </w:r>
            <w:r w:rsidRPr="002029AF">
              <w:t>recognised</w:t>
            </w:r>
            <w:r w:rsidR="000A5329" w:rsidRPr="002029AF">
              <w:t xml:space="preserve"> </w:t>
            </w:r>
            <w:r w:rsidRPr="002029AF">
              <w:t>in</w:t>
            </w:r>
            <w:r w:rsidR="000A5329" w:rsidRPr="002029AF">
              <w:t xml:space="preserve"> </w:t>
            </w:r>
            <w:r w:rsidRPr="002029AF">
              <w:t>the</w:t>
            </w:r>
            <w:r w:rsidR="000A5329" w:rsidRPr="002029AF">
              <w:t xml:space="preserve"> </w:t>
            </w:r>
            <w:r w:rsidRPr="002029AF">
              <w:t>net</w:t>
            </w:r>
            <w:r w:rsidR="000A5329" w:rsidRPr="002029AF">
              <w:t xml:space="preserve"> </w:t>
            </w:r>
            <w:r w:rsidRPr="002029AF">
              <w:t>result</w:t>
            </w:r>
          </w:p>
        </w:tc>
        <w:tc>
          <w:tcPr>
            <w:tcW w:w="1021" w:type="dxa"/>
            <w:tcBorders>
              <w:top w:val="single" w:sz="4" w:space="0" w:color="auto"/>
              <w:bottom w:val="single" w:sz="4" w:space="0" w:color="A6A6A6"/>
            </w:tcBorders>
            <w:shd w:val="clear" w:color="auto" w:fill="E7E6E6"/>
            <w:noWrap/>
            <w:hideMark/>
          </w:tcPr>
          <w:p w14:paraId="7519AA8A" w14:textId="77777777" w:rsidR="00087B91" w:rsidRPr="002029AF" w:rsidRDefault="00087B91" w:rsidP="00860E95">
            <w:pPr>
              <w:pStyle w:val="ARfintablebodyright"/>
            </w:pPr>
            <w:r w:rsidRPr="002029AF">
              <w:t>(2.5)</w:t>
            </w:r>
          </w:p>
        </w:tc>
        <w:tc>
          <w:tcPr>
            <w:tcW w:w="1021" w:type="dxa"/>
            <w:tcBorders>
              <w:top w:val="single" w:sz="4" w:space="0" w:color="auto"/>
              <w:bottom w:val="single" w:sz="4" w:space="0" w:color="A6A6A6"/>
            </w:tcBorders>
            <w:noWrap/>
            <w:hideMark/>
          </w:tcPr>
          <w:p w14:paraId="74B05D86" w14:textId="77777777" w:rsidR="00087B91" w:rsidRPr="002029AF" w:rsidRDefault="00087B91" w:rsidP="00860E95">
            <w:pPr>
              <w:pStyle w:val="ARfintablebodyright"/>
            </w:pPr>
            <w:r w:rsidRPr="002029AF">
              <w:t>(9.1)</w:t>
            </w:r>
          </w:p>
        </w:tc>
      </w:tr>
      <w:tr w:rsidR="00087B91" w:rsidRPr="002029AF" w14:paraId="2EAFD34F" w14:textId="77777777" w:rsidTr="00860E95">
        <w:tc>
          <w:tcPr>
            <w:tcW w:w="7598" w:type="dxa"/>
            <w:tcBorders>
              <w:top w:val="single" w:sz="4" w:space="0" w:color="A6A6A6"/>
            </w:tcBorders>
            <w:hideMark/>
          </w:tcPr>
          <w:p w14:paraId="166C6BEB" w14:textId="34D92FD7" w:rsidR="00087B91" w:rsidRPr="002029AF" w:rsidRDefault="00087B91" w:rsidP="00860E95">
            <w:pPr>
              <w:pStyle w:val="ARfintablebody"/>
            </w:pPr>
            <w:r w:rsidRPr="002029AF">
              <w:t>Reversal</w:t>
            </w:r>
            <w:r w:rsidR="000A5329" w:rsidRPr="002029AF">
              <w:t xml:space="preserve"> </w:t>
            </w:r>
            <w:r w:rsidRPr="002029AF">
              <w:t>of</w:t>
            </w:r>
            <w:r w:rsidR="000A5329" w:rsidRPr="002029AF">
              <w:t xml:space="preserve"> </w:t>
            </w:r>
            <w:r w:rsidRPr="002029AF">
              <w:t>provision</w:t>
            </w:r>
            <w:r w:rsidR="000A5329" w:rsidRPr="002029AF">
              <w:t xml:space="preserve"> </w:t>
            </w:r>
            <w:r w:rsidRPr="002029AF">
              <w:t>of</w:t>
            </w:r>
            <w:r w:rsidR="000A5329" w:rsidRPr="002029AF">
              <w:t xml:space="preserve"> </w:t>
            </w:r>
            <w:r w:rsidRPr="002029AF">
              <w:t>receivables</w:t>
            </w:r>
            <w:r w:rsidR="000A5329" w:rsidRPr="002029AF">
              <w:t xml:space="preserve"> </w:t>
            </w:r>
            <w:r w:rsidRPr="002029AF">
              <w:t>written</w:t>
            </w:r>
            <w:r w:rsidR="000A5329" w:rsidRPr="002029AF">
              <w:t xml:space="preserve"> </w:t>
            </w:r>
            <w:r w:rsidRPr="002029AF">
              <w:t>off</w:t>
            </w:r>
            <w:r w:rsidR="000A5329" w:rsidRPr="002029AF">
              <w:t xml:space="preserve"> </w:t>
            </w:r>
            <w:r w:rsidRPr="002029AF">
              <w:t>during</w:t>
            </w:r>
            <w:r w:rsidR="000A5329" w:rsidRPr="002029AF">
              <w:t xml:space="preserve"> </w:t>
            </w:r>
            <w:r w:rsidRPr="002029AF">
              <w:t>the</w:t>
            </w:r>
            <w:r w:rsidR="000A5329" w:rsidRPr="002029AF">
              <w:t xml:space="preserve"> </w:t>
            </w:r>
            <w:r w:rsidRPr="002029AF">
              <w:t>year</w:t>
            </w:r>
            <w:r w:rsidR="000A5329" w:rsidRPr="002029AF">
              <w:t xml:space="preserve"> </w:t>
            </w:r>
            <w:r w:rsidRPr="002029AF">
              <w:t>as</w:t>
            </w:r>
            <w:r w:rsidR="000A5329" w:rsidRPr="002029AF">
              <w:t xml:space="preserve"> </w:t>
            </w:r>
            <w:r w:rsidRPr="002029AF">
              <w:t>uncollectible</w:t>
            </w:r>
          </w:p>
        </w:tc>
        <w:tc>
          <w:tcPr>
            <w:tcW w:w="1021" w:type="dxa"/>
            <w:tcBorders>
              <w:top w:val="single" w:sz="4" w:space="0" w:color="A6A6A6"/>
            </w:tcBorders>
            <w:shd w:val="clear" w:color="auto" w:fill="E7E6E6"/>
            <w:noWrap/>
            <w:hideMark/>
          </w:tcPr>
          <w:p w14:paraId="5874DA41" w14:textId="77777777" w:rsidR="00087B91" w:rsidRPr="002029AF" w:rsidRDefault="00087B91" w:rsidP="00860E95">
            <w:pPr>
              <w:pStyle w:val="ARfintablebodyright"/>
            </w:pPr>
            <w:r w:rsidRPr="002029AF">
              <w:t>4.8</w:t>
            </w:r>
          </w:p>
        </w:tc>
        <w:tc>
          <w:tcPr>
            <w:tcW w:w="1021" w:type="dxa"/>
            <w:tcBorders>
              <w:top w:val="single" w:sz="4" w:space="0" w:color="A6A6A6"/>
            </w:tcBorders>
            <w:noWrap/>
            <w:hideMark/>
          </w:tcPr>
          <w:p w14:paraId="15E5DF2F" w14:textId="77777777" w:rsidR="00087B91" w:rsidRPr="002029AF" w:rsidRDefault="00087B91" w:rsidP="00860E95">
            <w:pPr>
              <w:pStyle w:val="ARfintablebodyright"/>
            </w:pPr>
            <w:r w:rsidRPr="002029AF">
              <w:t>7.0</w:t>
            </w:r>
          </w:p>
        </w:tc>
      </w:tr>
      <w:tr w:rsidR="00087B91" w:rsidRPr="002029AF" w14:paraId="47B87044" w14:textId="77777777" w:rsidTr="00860E95">
        <w:tc>
          <w:tcPr>
            <w:tcW w:w="7598" w:type="dxa"/>
            <w:hideMark/>
          </w:tcPr>
          <w:p w14:paraId="2A4A513F" w14:textId="3AE55EAD" w:rsidR="00087B91" w:rsidRPr="002029AF" w:rsidRDefault="00087B91" w:rsidP="00860E95">
            <w:pPr>
              <w:pStyle w:val="ARfintablebodybold"/>
            </w:pPr>
            <w:r w:rsidRPr="002029AF">
              <w:t>Balance</w:t>
            </w:r>
            <w:r w:rsidR="000A5329" w:rsidRPr="002029AF">
              <w:t xml:space="preserve"> </w:t>
            </w:r>
            <w:r w:rsidRPr="002029AF">
              <w:t>at</w:t>
            </w:r>
            <w:r w:rsidR="000A5329" w:rsidRPr="002029AF">
              <w:t xml:space="preserve"> </w:t>
            </w:r>
            <w:r w:rsidRPr="002029AF">
              <w:t>the</w:t>
            </w:r>
            <w:r w:rsidR="000A5329" w:rsidRPr="002029AF">
              <w:t xml:space="preserve"> </w:t>
            </w:r>
            <w:r w:rsidRPr="002029AF">
              <w:t>end</w:t>
            </w:r>
            <w:r w:rsidR="000A5329" w:rsidRPr="002029AF">
              <w:t xml:space="preserve"> </w:t>
            </w:r>
            <w:r w:rsidRPr="002029AF">
              <w:t>of</w:t>
            </w:r>
            <w:r w:rsidR="000A5329" w:rsidRPr="002029AF">
              <w:t xml:space="preserve"> </w:t>
            </w:r>
            <w:r w:rsidRPr="002029AF">
              <w:t>the</w:t>
            </w:r>
            <w:r w:rsidR="000A5329" w:rsidRPr="002029AF">
              <w:t xml:space="preserve"> </w:t>
            </w:r>
            <w:r w:rsidRPr="002029AF">
              <w:t>year</w:t>
            </w:r>
          </w:p>
        </w:tc>
        <w:tc>
          <w:tcPr>
            <w:tcW w:w="1021" w:type="dxa"/>
            <w:shd w:val="clear" w:color="auto" w:fill="E7E6E6"/>
            <w:noWrap/>
            <w:hideMark/>
          </w:tcPr>
          <w:p w14:paraId="001BA5AC" w14:textId="77777777" w:rsidR="00087B91" w:rsidRPr="002029AF" w:rsidRDefault="00087B91" w:rsidP="00860E95">
            <w:pPr>
              <w:pStyle w:val="ARfintablebodyrightbold"/>
            </w:pPr>
            <w:r w:rsidRPr="002029AF">
              <w:t>(10.8)</w:t>
            </w:r>
          </w:p>
        </w:tc>
        <w:tc>
          <w:tcPr>
            <w:tcW w:w="1021" w:type="dxa"/>
            <w:noWrap/>
            <w:hideMark/>
          </w:tcPr>
          <w:p w14:paraId="3FAF6B69" w14:textId="77777777" w:rsidR="00087B91" w:rsidRPr="002029AF" w:rsidRDefault="00087B91" w:rsidP="00860E95">
            <w:pPr>
              <w:pStyle w:val="ARfintablebodyrightbold"/>
            </w:pPr>
            <w:r w:rsidRPr="002029AF">
              <w:t>(13.1)</w:t>
            </w:r>
          </w:p>
        </w:tc>
      </w:tr>
    </w:tbl>
    <w:p w14:paraId="09B7AFC2" w14:textId="3025BF95" w:rsidR="00087B91" w:rsidRPr="002029AF" w:rsidRDefault="00087B91" w:rsidP="00087B91">
      <w:pPr>
        <w:pStyle w:val="ARfinbodyaftertable"/>
      </w:pPr>
      <w:r w:rsidRPr="002029AF">
        <w:t>Credit</w:t>
      </w:r>
      <w:r w:rsidR="000A5329" w:rsidRPr="002029AF">
        <w:t xml:space="preserve"> </w:t>
      </w:r>
      <w:r w:rsidRPr="002029AF">
        <w:t>loss</w:t>
      </w:r>
      <w:r w:rsidR="000A5329" w:rsidRPr="002029AF">
        <w:t xml:space="preserve"> </w:t>
      </w:r>
      <w:r w:rsidRPr="002029AF">
        <w:t>allowance</w:t>
      </w:r>
      <w:r w:rsidR="000A5329" w:rsidRPr="002029AF">
        <w:t xml:space="preserve"> </w:t>
      </w:r>
      <w:r w:rsidRPr="002029AF">
        <w:t>is</w:t>
      </w:r>
      <w:r w:rsidR="000A5329" w:rsidRPr="002029AF">
        <w:t xml:space="preserve"> </w:t>
      </w:r>
      <w:r w:rsidRPr="002029AF">
        <w:t>classified</w:t>
      </w:r>
      <w:r w:rsidR="000A5329" w:rsidRPr="002029AF">
        <w:t xml:space="preserve"> </w:t>
      </w:r>
      <w:r w:rsidRPr="002029AF">
        <w:t>as</w:t>
      </w:r>
      <w:r w:rsidR="000A5329" w:rsidRPr="002029AF">
        <w:t xml:space="preserve"> </w:t>
      </w:r>
      <w:r w:rsidRPr="002029AF">
        <w:t>other</w:t>
      </w:r>
      <w:r w:rsidR="000A5329" w:rsidRPr="002029AF">
        <w:t xml:space="preserve"> </w:t>
      </w:r>
      <w:r w:rsidRPr="002029AF">
        <w:t>economic</w:t>
      </w:r>
      <w:r w:rsidR="000A5329" w:rsidRPr="002029AF">
        <w:t xml:space="preserve"> </w:t>
      </w:r>
      <w:r w:rsidRPr="002029AF">
        <w:t>flows</w:t>
      </w:r>
      <w:r w:rsidR="000A5329" w:rsidRPr="002029AF">
        <w:t xml:space="preserve"> </w:t>
      </w:r>
      <w:r w:rsidRPr="002029AF">
        <w:t>in</w:t>
      </w:r>
      <w:r w:rsidR="000A5329" w:rsidRPr="002029AF">
        <w:t xml:space="preserve"> </w:t>
      </w:r>
      <w:r w:rsidRPr="002029AF">
        <w:t>the</w:t>
      </w:r>
      <w:r w:rsidR="000A5329" w:rsidRPr="002029AF">
        <w:t xml:space="preserve"> </w:t>
      </w:r>
      <w:r w:rsidRPr="002029AF">
        <w:t>net</w:t>
      </w:r>
      <w:r w:rsidR="000A5329" w:rsidRPr="002029AF">
        <w:t xml:space="preserve"> </w:t>
      </w:r>
      <w:r w:rsidRPr="002029AF">
        <w:t>result.</w:t>
      </w:r>
      <w:r w:rsidR="000A5329" w:rsidRPr="002029AF">
        <w:t xml:space="preserve"> </w:t>
      </w:r>
      <w:r w:rsidRPr="002029AF">
        <w:t>Contractual</w:t>
      </w:r>
      <w:r w:rsidR="000A5329" w:rsidRPr="002029AF">
        <w:t xml:space="preserve"> </w:t>
      </w:r>
      <w:r w:rsidRPr="002029AF">
        <w:t>receivables</w:t>
      </w:r>
      <w:r w:rsidR="000A5329" w:rsidRPr="002029AF">
        <w:t xml:space="preserve"> </w:t>
      </w:r>
      <w:r w:rsidRPr="002029AF">
        <w:t>are</w:t>
      </w:r>
      <w:r w:rsidR="000A5329" w:rsidRPr="002029AF">
        <w:t xml:space="preserve"> </w:t>
      </w:r>
      <w:r w:rsidRPr="002029AF">
        <w:t>written</w:t>
      </w:r>
      <w:r w:rsidR="000A5329" w:rsidRPr="002029AF">
        <w:t xml:space="preserve"> </w:t>
      </w:r>
      <w:r w:rsidRPr="002029AF">
        <w:t>off</w:t>
      </w:r>
      <w:r w:rsidR="000A5329" w:rsidRPr="002029AF">
        <w:t xml:space="preserve"> </w:t>
      </w:r>
      <w:r w:rsidRPr="002029AF">
        <w:t>when</w:t>
      </w:r>
      <w:r w:rsidR="000A5329" w:rsidRPr="002029AF">
        <w:t xml:space="preserve"> </w:t>
      </w:r>
      <w:r w:rsidRPr="002029AF">
        <w:t>there</w:t>
      </w:r>
      <w:r w:rsidR="000A5329" w:rsidRPr="002029AF">
        <w:t xml:space="preserve"> </w:t>
      </w:r>
      <w:r w:rsidRPr="002029AF">
        <w:t>is</w:t>
      </w:r>
      <w:r w:rsidR="000A5329" w:rsidRPr="002029AF">
        <w:t xml:space="preserve"> </w:t>
      </w:r>
      <w:r w:rsidRPr="002029AF">
        <w:t>no</w:t>
      </w:r>
      <w:r w:rsidR="000A5329" w:rsidRPr="002029AF">
        <w:t xml:space="preserve"> </w:t>
      </w:r>
      <w:r w:rsidRPr="002029AF">
        <w:t>reasonable</w:t>
      </w:r>
      <w:r w:rsidR="000A5329" w:rsidRPr="002029AF">
        <w:t xml:space="preserve"> </w:t>
      </w:r>
      <w:r w:rsidRPr="002029AF">
        <w:t>expectation</w:t>
      </w:r>
      <w:r w:rsidR="000A5329" w:rsidRPr="002029AF">
        <w:t xml:space="preserve"> </w:t>
      </w:r>
      <w:r w:rsidRPr="002029AF">
        <w:t>of</w:t>
      </w:r>
      <w:r w:rsidR="000A5329" w:rsidRPr="002029AF">
        <w:t xml:space="preserve"> </w:t>
      </w:r>
      <w:r w:rsidRPr="002029AF">
        <w:t>recovery</w:t>
      </w:r>
      <w:r w:rsidR="000A5329" w:rsidRPr="002029AF">
        <w:t xml:space="preserve"> </w:t>
      </w:r>
      <w:r w:rsidRPr="002029AF">
        <w:t>and</w:t>
      </w:r>
      <w:r w:rsidR="000A5329" w:rsidRPr="002029AF">
        <w:t xml:space="preserve"> </w:t>
      </w:r>
      <w:r w:rsidRPr="002029AF">
        <w:t>impairment</w:t>
      </w:r>
      <w:r w:rsidR="000A5329" w:rsidRPr="002029AF">
        <w:t xml:space="preserve"> </w:t>
      </w:r>
      <w:r w:rsidRPr="002029AF">
        <w:t>losses</w:t>
      </w:r>
      <w:r w:rsidR="000A5329" w:rsidRPr="002029AF">
        <w:t xml:space="preserve"> </w:t>
      </w:r>
      <w:r w:rsidRPr="002029AF">
        <w:t>are</w:t>
      </w:r>
      <w:r w:rsidR="000A5329" w:rsidRPr="002029AF">
        <w:t xml:space="preserve"> </w:t>
      </w:r>
      <w:r w:rsidRPr="002029AF">
        <w:t>classified</w:t>
      </w:r>
      <w:r w:rsidR="000A5329" w:rsidRPr="002029AF">
        <w:t xml:space="preserve"> </w:t>
      </w:r>
      <w:r w:rsidRPr="002029AF">
        <w:t>as</w:t>
      </w:r>
      <w:r w:rsidR="000A5329" w:rsidRPr="002029AF">
        <w:t xml:space="preserve"> </w:t>
      </w:r>
      <w:r w:rsidRPr="002029AF">
        <w:t>a</w:t>
      </w:r>
      <w:r w:rsidR="000A5329" w:rsidRPr="002029AF">
        <w:t xml:space="preserve"> </w:t>
      </w:r>
      <w:r w:rsidRPr="002029AF">
        <w:t>transaction</w:t>
      </w:r>
      <w:r w:rsidR="000A5329" w:rsidRPr="002029AF">
        <w:t xml:space="preserve"> </w:t>
      </w:r>
      <w:r w:rsidRPr="002029AF">
        <w:t>expense.</w:t>
      </w:r>
      <w:r w:rsidR="000A5329" w:rsidRPr="002029AF">
        <w:t xml:space="preserve"> </w:t>
      </w:r>
      <w:r w:rsidRPr="002029AF">
        <w:t>Subsequent</w:t>
      </w:r>
      <w:r w:rsidR="000A5329" w:rsidRPr="002029AF">
        <w:t xml:space="preserve"> </w:t>
      </w:r>
      <w:r w:rsidRPr="002029AF">
        <w:t>recoveries</w:t>
      </w:r>
      <w:r w:rsidR="000A5329" w:rsidRPr="002029AF">
        <w:t xml:space="preserve"> </w:t>
      </w:r>
      <w:r w:rsidRPr="002029AF">
        <w:t>of</w:t>
      </w:r>
      <w:r w:rsidR="000A5329" w:rsidRPr="002029AF">
        <w:t xml:space="preserve"> </w:t>
      </w:r>
      <w:r w:rsidRPr="002029AF">
        <w:t>amounts</w:t>
      </w:r>
      <w:r w:rsidR="000A5329" w:rsidRPr="002029AF">
        <w:t xml:space="preserve"> </w:t>
      </w:r>
      <w:r w:rsidRPr="002029AF">
        <w:t>previously</w:t>
      </w:r>
      <w:r w:rsidR="000A5329" w:rsidRPr="002029AF">
        <w:t xml:space="preserve"> </w:t>
      </w:r>
      <w:r w:rsidRPr="002029AF">
        <w:t>written</w:t>
      </w:r>
      <w:r w:rsidR="000A5329" w:rsidRPr="002029AF">
        <w:t xml:space="preserve"> </w:t>
      </w:r>
      <w:r w:rsidRPr="002029AF">
        <w:t>off</w:t>
      </w:r>
      <w:r w:rsidR="000A5329" w:rsidRPr="002029AF">
        <w:t xml:space="preserve"> </w:t>
      </w:r>
      <w:r w:rsidRPr="002029AF">
        <w:t>are</w:t>
      </w:r>
      <w:r w:rsidR="000A5329" w:rsidRPr="002029AF">
        <w:t xml:space="preserve"> </w:t>
      </w:r>
      <w:r w:rsidRPr="002029AF">
        <w:t>credited</w:t>
      </w:r>
      <w:r w:rsidR="000A5329" w:rsidRPr="002029AF">
        <w:t xml:space="preserve"> </w:t>
      </w:r>
      <w:r w:rsidRPr="002029AF">
        <w:t>against</w:t>
      </w:r>
      <w:r w:rsidR="000A5329" w:rsidRPr="002029AF">
        <w:t xml:space="preserve"> </w:t>
      </w:r>
      <w:r w:rsidRPr="002029AF">
        <w:t>the</w:t>
      </w:r>
      <w:r w:rsidR="000A5329" w:rsidRPr="002029AF">
        <w:t xml:space="preserve"> </w:t>
      </w:r>
      <w:r w:rsidRPr="002029AF">
        <w:t>same</w:t>
      </w:r>
      <w:r w:rsidR="000A5329" w:rsidRPr="002029AF">
        <w:t xml:space="preserve"> </w:t>
      </w:r>
      <w:r w:rsidRPr="002029AF">
        <w:t>line</w:t>
      </w:r>
      <w:r w:rsidR="000A5329" w:rsidRPr="002029AF">
        <w:t xml:space="preserve"> </w:t>
      </w:r>
      <w:r w:rsidRPr="002029AF">
        <w:t>item.</w:t>
      </w:r>
    </w:p>
    <w:p w14:paraId="66DE4ACA" w14:textId="67AF5799" w:rsidR="00087B91" w:rsidRPr="002029AF" w:rsidRDefault="00087B91" w:rsidP="00087B91">
      <w:pPr>
        <w:pStyle w:val="Heading7"/>
      </w:pPr>
      <w:r w:rsidRPr="002029AF">
        <w:t>Statutory</w:t>
      </w:r>
      <w:r w:rsidR="000A5329" w:rsidRPr="002029AF">
        <w:t xml:space="preserve"> </w:t>
      </w:r>
      <w:r w:rsidRPr="002029AF">
        <w:t>receivables</w:t>
      </w:r>
      <w:r w:rsidR="000A5329" w:rsidRPr="002029AF">
        <w:t xml:space="preserve"> </w:t>
      </w:r>
      <w:r w:rsidRPr="002029AF">
        <w:t>and</w:t>
      </w:r>
      <w:r w:rsidR="000A5329" w:rsidRPr="002029AF">
        <w:t xml:space="preserve"> </w:t>
      </w:r>
      <w:r w:rsidRPr="002029AF">
        <w:t>debt</w:t>
      </w:r>
      <w:r w:rsidR="000A5329" w:rsidRPr="002029AF">
        <w:t xml:space="preserve"> </w:t>
      </w:r>
      <w:r w:rsidRPr="002029AF">
        <w:t>investments</w:t>
      </w:r>
      <w:r w:rsidR="000A5329" w:rsidRPr="002029AF">
        <w:t xml:space="preserve"> </w:t>
      </w:r>
      <w:r w:rsidRPr="002029AF">
        <w:t>at</w:t>
      </w:r>
      <w:r w:rsidR="000A5329" w:rsidRPr="002029AF">
        <w:t xml:space="preserve"> </w:t>
      </w:r>
      <w:r w:rsidRPr="002029AF">
        <w:t>amortised</w:t>
      </w:r>
      <w:r w:rsidR="000A5329" w:rsidRPr="002029AF">
        <w:t xml:space="preserve"> </w:t>
      </w:r>
      <w:r w:rsidRPr="002029AF">
        <w:t>cost</w:t>
      </w:r>
    </w:p>
    <w:p w14:paraId="78E812C0" w14:textId="663A02B2" w:rsidR="00087B91" w:rsidRPr="002029AF" w:rsidRDefault="00087B91" w:rsidP="00087B91">
      <w:pPr>
        <w:pStyle w:val="ARfinbody"/>
      </w:pPr>
      <w:r w:rsidRPr="002029AF">
        <w:t>The</w:t>
      </w:r>
      <w:r w:rsidR="000A5329" w:rsidRPr="002029AF">
        <w:t xml:space="preserve"> </w:t>
      </w:r>
      <w:r w:rsidRPr="002029AF">
        <w:t>department’s</w:t>
      </w:r>
      <w:r w:rsidR="000A5329" w:rsidRPr="002029AF">
        <w:t xml:space="preserve"> </w:t>
      </w:r>
      <w:r w:rsidRPr="002029AF">
        <w:t>non-contractual</w:t>
      </w:r>
      <w:r w:rsidR="000A5329" w:rsidRPr="002029AF">
        <w:t xml:space="preserve"> </w:t>
      </w:r>
      <w:r w:rsidRPr="002029AF">
        <w:t>receivables</w:t>
      </w:r>
      <w:r w:rsidR="000A5329" w:rsidRPr="002029AF">
        <w:t xml:space="preserve"> </w:t>
      </w:r>
      <w:r w:rsidRPr="002029AF">
        <w:t>arising</w:t>
      </w:r>
      <w:r w:rsidR="000A5329" w:rsidRPr="002029AF">
        <w:t xml:space="preserve"> </w:t>
      </w:r>
      <w:r w:rsidRPr="002029AF">
        <w:t>from</w:t>
      </w:r>
      <w:r w:rsidR="000A5329" w:rsidRPr="002029AF">
        <w:t xml:space="preserve"> </w:t>
      </w:r>
      <w:r w:rsidRPr="002029AF">
        <w:t>statutory</w:t>
      </w:r>
      <w:r w:rsidR="000A5329" w:rsidRPr="002029AF">
        <w:t xml:space="preserve"> </w:t>
      </w:r>
      <w:r w:rsidRPr="002029AF">
        <w:t>requirements</w:t>
      </w:r>
      <w:r w:rsidR="000A5329" w:rsidRPr="002029AF">
        <w:t xml:space="preserve"> </w:t>
      </w:r>
      <w:r w:rsidRPr="002029AF">
        <w:t>are</w:t>
      </w:r>
      <w:r w:rsidR="000A5329" w:rsidRPr="002029AF">
        <w:t xml:space="preserve"> </w:t>
      </w:r>
      <w:r w:rsidRPr="002029AF">
        <w:t>not</w:t>
      </w:r>
      <w:r w:rsidR="000A5329" w:rsidRPr="002029AF">
        <w:t xml:space="preserve"> </w:t>
      </w:r>
      <w:r w:rsidRPr="002029AF">
        <w:t>financial</w:t>
      </w:r>
      <w:r w:rsidR="000A5329" w:rsidRPr="002029AF">
        <w:t xml:space="preserve"> </w:t>
      </w:r>
      <w:r w:rsidRPr="002029AF">
        <w:t>instruments.</w:t>
      </w:r>
      <w:r w:rsidR="000A5329" w:rsidRPr="002029AF">
        <w:t xml:space="preserve"> </w:t>
      </w:r>
      <w:r w:rsidRPr="002029AF">
        <w:t>However,</w:t>
      </w:r>
      <w:r w:rsidR="000A5329" w:rsidRPr="002029AF">
        <w:t xml:space="preserve"> </w:t>
      </w:r>
      <w:r w:rsidRPr="002029AF">
        <w:t>they</w:t>
      </w:r>
      <w:r w:rsidR="000A5329" w:rsidRPr="002029AF">
        <w:t xml:space="preserve"> </w:t>
      </w:r>
      <w:r w:rsidRPr="002029AF">
        <w:t>are</w:t>
      </w:r>
      <w:r w:rsidR="000A5329" w:rsidRPr="002029AF">
        <w:t xml:space="preserve"> </w:t>
      </w:r>
      <w:r w:rsidRPr="002029AF">
        <w:t>nevertheless</w:t>
      </w:r>
      <w:r w:rsidR="000A5329" w:rsidRPr="002029AF">
        <w:t xml:space="preserve"> </w:t>
      </w:r>
      <w:r w:rsidRPr="002029AF">
        <w:t>recognised</w:t>
      </w:r>
      <w:r w:rsidR="000A5329" w:rsidRPr="002029AF">
        <w:t xml:space="preserve"> </w:t>
      </w:r>
      <w:r w:rsidRPr="002029AF">
        <w:t>and</w:t>
      </w:r>
      <w:r w:rsidR="000A5329" w:rsidRPr="002029AF">
        <w:t xml:space="preserve"> </w:t>
      </w:r>
      <w:r w:rsidRPr="002029AF">
        <w:t>measured</w:t>
      </w:r>
      <w:r w:rsidR="000A5329" w:rsidRPr="002029AF">
        <w:t xml:space="preserve"> </w:t>
      </w:r>
      <w:r w:rsidRPr="002029AF">
        <w:t>in</w:t>
      </w:r>
      <w:r w:rsidR="000A5329" w:rsidRPr="002029AF">
        <w:t xml:space="preserve"> </w:t>
      </w:r>
      <w:r w:rsidRPr="002029AF">
        <w:t>accordance</w:t>
      </w:r>
      <w:r w:rsidR="000A5329" w:rsidRPr="002029AF">
        <w:t xml:space="preserve"> </w:t>
      </w:r>
      <w:r w:rsidRPr="002029AF">
        <w:t>with</w:t>
      </w:r>
      <w:r w:rsidR="000A5329" w:rsidRPr="002029AF">
        <w:t xml:space="preserve"> </w:t>
      </w:r>
      <w:r w:rsidRPr="002029AF">
        <w:t>AASB</w:t>
      </w:r>
      <w:r w:rsidR="000A5329" w:rsidRPr="002029AF">
        <w:t xml:space="preserve"> </w:t>
      </w:r>
      <w:r w:rsidRPr="002029AF">
        <w:t>9</w:t>
      </w:r>
      <w:r w:rsidR="000A5329" w:rsidRPr="002029AF">
        <w:t xml:space="preserve"> </w:t>
      </w:r>
      <w:r w:rsidRPr="002029AF">
        <w:t>requirements</w:t>
      </w:r>
      <w:r w:rsidR="000A5329" w:rsidRPr="002029AF">
        <w:t xml:space="preserve"> </w:t>
      </w:r>
      <w:r w:rsidRPr="002029AF">
        <w:t>as</w:t>
      </w:r>
      <w:r w:rsidR="000A5329" w:rsidRPr="002029AF">
        <w:t xml:space="preserve"> </w:t>
      </w:r>
      <w:r w:rsidRPr="002029AF">
        <w:t>if</w:t>
      </w:r>
      <w:r w:rsidR="000A5329" w:rsidRPr="002029AF">
        <w:t xml:space="preserve"> </w:t>
      </w:r>
      <w:r w:rsidRPr="002029AF">
        <w:t>those</w:t>
      </w:r>
      <w:r w:rsidR="000A5329" w:rsidRPr="002029AF">
        <w:t xml:space="preserve"> </w:t>
      </w:r>
      <w:r w:rsidRPr="002029AF">
        <w:t>receivables</w:t>
      </w:r>
      <w:r w:rsidR="000A5329" w:rsidRPr="002029AF">
        <w:t xml:space="preserve"> </w:t>
      </w:r>
      <w:r w:rsidRPr="002029AF">
        <w:t>are</w:t>
      </w:r>
      <w:r w:rsidR="000A5329" w:rsidRPr="002029AF">
        <w:t xml:space="preserve"> </w:t>
      </w:r>
      <w:r w:rsidRPr="002029AF">
        <w:t>financial</w:t>
      </w:r>
      <w:r w:rsidR="000A5329" w:rsidRPr="002029AF">
        <w:t xml:space="preserve"> </w:t>
      </w:r>
      <w:r w:rsidRPr="002029AF">
        <w:t>instruments.</w:t>
      </w:r>
    </w:p>
    <w:p w14:paraId="7A245B1D" w14:textId="52EF5422" w:rsidR="00087B91" w:rsidRPr="002029AF" w:rsidRDefault="00087B91" w:rsidP="00087B91">
      <w:pPr>
        <w:pStyle w:val="ARfinbody"/>
      </w:pPr>
      <w:r w:rsidRPr="002029AF">
        <w:t>Both</w:t>
      </w:r>
      <w:r w:rsidR="000A5329" w:rsidRPr="002029AF">
        <w:t xml:space="preserve"> </w:t>
      </w:r>
      <w:r w:rsidRPr="002029AF">
        <w:t>statutory</w:t>
      </w:r>
      <w:r w:rsidR="000A5329" w:rsidRPr="002029AF">
        <w:t xml:space="preserve"> </w:t>
      </w:r>
      <w:r w:rsidRPr="002029AF">
        <w:t>receivables</w:t>
      </w:r>
      <w:r w:rsidR="000A5329" w:rsidRPr="002029AF">
        <w:t xml:space="preserve"> </w:t>
      </w:r>
      <w:r w:rsidRPr="002029AF">
        <w:t>and</w:t>
      </w:r>
      <w:r w:rsidR="000A5329" w:rsidRPr="002029AF">
        <w:t xml:space="preserve"> </w:t>
      </w:r>
      <w:r w:rsidRPr="002029AF">
        <w:t>investments</w:t>
      </w:r>
      <w:r w:rsidR="000A5329" w:rsidRPr="002029AF">
        <w:t xml:space="preserve"> </w:t>
      </w:r>
      <w:r w:rsidRPr="002029AF">
        <w:t>in</w:t>
      </w:r>
      <w:r w:rsidR="000A5329" w:rsidRPr="002029AF">
        <w:t xml:space="preserve"> </w:t>
      </w:r>
      <w:r w:rsidRPr="002029AF">
        <w:t>debt</w:t>
      </w:r>
      <w:r w:rsidR="000A5329" w:rsidRPr="002029AF">
        <w:t xml:space="preserve"> </w:t>
      </w:r>
      <w:r w:rsidRPr="002029AF">
        <w:t>instruments</w:t>
      </w:r>
      <w:r w:rsidR="000A5329" w:rsidRPr="002029AF">
        <w:t xml:space="preserve"> </w:t>
      </w:r>
      <w:r w:rsidRPr="002029AF">
        <w:t>are</w:t>
      </w:r>
      <w:r w:rsidR="000A5329" w:rsidRPr="002029AF">
        <w:t xml:space="preserve"> </w:t>
      </w:r>
      <w:r w:rsidRPr="002029AF">
        <w:t>considered</w:t>
      </w:r>
      <w:r w:rsidR="000A5329" w:rsidRPr="002029AF">
        <w:t xml:space="preserve"> </w:t>
      </w:r>
      <w:r w:rsidRPr="002029AF">
        <w:t>to</w:t>
      </w:r>
      <w:r w:rsidR="000A5329" w:rsidRPr="002029AF">
        <w:t xml:space="preserve"> </w:t>
      </w:r>
      <w:r w:rsidRPr="002029AF">
        <w:t>have</w:t>
      </w:r>
      <w:r w:rsidR="000A5329" w:rsidRPr="002029AF">
        <w:t xml:space="preserve"> </w:t>
      </w:r>
      <w:r w:rsidRPr="002029AF">
        <w:t>low</w:t>
      </w:r>
      <w:r w:rsidR="000A5329" w:rsidRPr="002029AF">
        <w:t xml:space="preserve"> </w:t>
      </w:r>
      <w:r w:rsidRPr="002029AF">
        <w:t>credit</w:t>
      </w:r>
      <w:r w:rsidR="000A5329" w:rsidRPr="002029AF">
        <w:t xml:space="preserve"> </w:t>
      </w:r>
      <w:r w:rsidRPr="002029AF">
        <w:t>risk,</w:t>
      </w:r>
      <w:r w:rsidR="000A5329" w:rsidRPr="002029AF">
        <w:t xml:space="preserve"> </w:t>
      </w:r>
      <w:r w:rsidRPr="002029AF">
        <w:t>taking</w:t>
      </w:r>
      <w:r w:rsidR="000A5329" w:rsidRPr="002029AF">
        <w:t xml:space="preserve"> </w:t>
      </w:r>
      <w:r w:rsidRPr="002029AF">
        <w:t>into</w:t>
      </w:r>
      <w:r w:rsidR="000A5329" w:rsidRPr="002029AF">
        <w:t xml:space="preserve"> </w:t>
      </w:r>
      <w:r w:rsidRPr="002029AF">
        <w:t>account</w:t>
      </w:r>
      <w:r w:rsidR="000A5329" w:rsidRPr="002029AF">
        <w:t xml:space="preserve"> </w:t>
      </w:r>
      <w:r w:rsidRPr="002029AF">
        <w:t>the</w:t>
      </w:r>
      <w:r w:rsidR="000A5329" w:rsidRPr="002029AF">
        <w:t xml:space="preserve"> </w:t>
      </w:r>
      <w:r w:rsidRPr="002029AF">
        <w:t>counterparty’s</w:t>
      </w:r>
      <w:r w:rsidR="000A5329" w:rsidRPr="002029AF">
        <w:t xml:space="preserve"> </w:t>
      </w:r>
      <w:r w:rsidRPr="002029AF">
        <w:t>credit</w:t>
      </w:r>
      <w:r w:rsidR="000A5329" w:rsidRPr="002029AF">
        <w:t xml:space="preserve"> </w:t>
      </w:r>
      <w:r w:rsidRPr="002029AF">
        <w:t>rating,</w:t>
      </w:r>
      <w:r w:rsidR="000A5329" w:rsidRPr="002029AF">
        <w:t xml:space="preserve"> </w:t>
      </w:r>
      <w:r w:rsidRPr="002029AF">
        <w:t>risk</w:t>
      </w:r>
      <w:r w:rsidR="000A5329" w:rsidRPr="002029AF">
        <w:t xml:space="preserve"> </w:t>
      </w:r>
      <w:r w:rsidRPr="002029AF">
        <w:t>of</w:t>
      </w:r>
      <w:r w:rsidR="000A5329" w:rsidRPr="002029AF">
        <w:t xml:space="preserve"> </w:t>
      </w:r>
      <w:r w:rsidRPr="002029AF">
        <w:t>default</w:t>
      </w:r>
      <w:r w:rsidR="000A5329" w:rsidRPr="002029AF">
        <w:t xml:space="preserve"> </w:t>
      </w:r>
      <w:r w:rsidRPr="002029AF">
        <w:t>and</w:t>
      </w:r>
      <w:r w:rsidR="000A5329" w:rsidRPr="002029AF">
        <w:t xml:space="preserve"> </w:t>
      </w:r>
      <w:r w:rsidRPr="002029AF">
        <w:t>capacity</w:t>
      </w:r>
      <w:r w:rsidR="000A5329" w:rsidRPr="002029AF">
        <w:t xml:space="preserve"> </w:t>
      </w:r>
      <w:r w:rsidRPr="002029AF">
        <w:t>to</w:t>
      </w:r>
      <w:r w:rsidR="000A5329" w:rsidRPr="002029AF">
        <w:t xml:space="preserve"> </w:t>
      </w:r>
      <w:r w:rsidRPr="002029AF">
        <w:t>meet</w:t>
      </w:r>
      <w:r w:rsidR="000A5329" w:rsidRPr="002029AF">
        <w:t xml:space="preserve"> </w:t>
      </w:r>
      <w:r w:rsidRPr="002029AF">
        <w:t>contractual</w:t>
      </w:r>
      <w:r w:rsidR="000A5329" w:rsidRPr="002029AF">
        <w:t xml:space="preserve"> </w:t>
      </w:r>
      <w:r w:rsidRPr="002029AF">
        <w:t>cash</w:t>
      </w:r>
      <w:r w:rsidR="000A5329" w:rsidRPr="002029AF">
        <w:t xml:space="preserve"> </w:t>
      </w:r>
      <w:r w:rsidRPr="002029AF">
        <w:t>flow</w:t>
      </w:r>
      <w:r w:rsidR="000A5329" w:rsidRPr="002029AF">
        <w:t xml:space="preserve"> </w:t>
      </w:r>
      <w:r w:rsidRPr="002029AF">
        <w:t>obligations</w:t>
      </w:r>
      <w:r w:rsidR="000A5329" w:rsidRPr="002029AF">
        <w:t xml:space="preserve"> </w:t>
      </w:r>
      <w:r w:rsidRPr="002029AF">
        <w:t>in</w:t>
      </w:r>
      <w:r w:rsidR="000A5329" w:rsidRPr="002029AF">
        <w:t xml:space="preserve"> </w:t>
      </w:r>
      <w:r w:rsidRPr="002029AF">
        <w:t>the</w:t>
      </w:r>
      <w:r w:rsidR="000A5329" w:rsidRPr="002029AF">
        <w:t xml:space="preserve"> </w:t>
      </w:r>
      <w:r w:rsidRPr="002029AF">
        <w:t>near</w:t>
      </w:r>
      <w:r w:rsidR="000A5329" w:rsidRPr="002029AF">
        <w:t xml:space="preserve"> </w:t>
      </w:r>
      <w:r w:rsidRPr="002029AF">
        <w:t>term.</w:t>
      </w:r>
      <w:r w:rsidR="000A5329" w:rsidRPr="002029AF">
        <w:t xml:space="preserve"> </w:t>
      </w:r>
      <w:r w:rsidRPr="002029AF">
        <w:t>As</w:t>
      </w:r>
      <w:r w:rsidR="000A5329" w:rsidRPr="002029AF">
        <w:t xml:space="preserve"> </w:t>
      </w:r>
      <w:r w:rsidRPr="002029AF">
        <w:t>a</w:t>
      </w:r>
      <w:r w:rsidR="000A5329" w:rsidRPr="002029AF">
        <w:t xml:space="preserve"> </w:t>
      </w:r>
      <w:r w:rsidRPr="002029AF">
        <w:t>result,</w:t>
      </w:r>
      <w:r w:rsidR="000A5329" w:rsidRPr="002029AF">
        <w:t xml:space="preserve"> </w:t>
      </w:r>
      <w:r w:rsidRPr="002029AF">
        <w:t>the</w:t>
      </w:r>
      <w:r w:rsidR="000A5329" w:rsidRPr="002029AF">
        <w:t xml:space="preserve"> </w:t>
      </w:r>
      <w:r w:rsidRPr="002029AF">
        <w:t>loss</w:t>
      </w:r>
      <w:r w:rsidR="000A5329" w:rsidRPr="002029AF">
        <w:t xml:space="preserve"> </w:t>
      </w:r>
      <w:r w:rsidRPr="002029AF">
        <w:t>allowance</w:t>
      </w:r>
      <w:r w:rsidR="000A5329" w:rsidRPr="002029AF">
        <w:t xml:space="preserve"> </w:t>
      </w:r>
      <w:r w:rsidRPr="002029AF">
        <w:t>recognised</w:t>
      </w:r>
      <w:r w:rsidR="000A5329" w:rsidRPr="002029AF">
        <w:t xml:space="preserve"> </w:t>
      </w:r>
      <w:r w:rsidRPr="002029AF">
        <w:t>for</w:t>
      </w:r>
      <w:r w:rsidR="000A5329" w:rsidRPr="002029AF">
        <w:t xml:space="preserve"> </w:t>
      </w:r>
      <w:r w:rsidRPr="002029AF">
        <w:t>these</w:t>
      </w:r>
      <w:r w:rsidR="000A5329" w:rsidRPr="002029AF">
        <w:t xml:space="preserve"> </w:t>
      </w:r>
      <w:r w:rsidRPr="002029AF">
        <w:t>financial</w:t>
      </w:r>
      <w:r w:rsidR="000A5329" w:rsidRPr="002029AF">
        <w:t xml:space="preserve"> </w:t>
      </w:r>
      <w:r w:rsidRPr="002029AF">
        <w:t>assets</w:t>
      </w:r>
      <w:r w:rsidR="000A5329" w:rsidRPr="002029AF">
        <w:t xml:space="preserve"> </w:t>
      </w:r>
      <w:r w:rsidRPr="002029AF">
        <w:t>during</w:t>
      </w:r>
      <w:r w:rsidR="000A5329" w:rsidRPr="002029AF">
        <w:t xml:space="preserve"> </w:t>
      </w:r>
      <w:r w:rsidRPr="002029AF">
        <w:t>the</w:t>
      </w:r>
      <w:r w:rsidR="000A5329" w:rsidRPr="002029AF">
        <w:t xml:space="preserve"> </w:t>
      </w:r>
      <w:r w:rsidRPr="002029AF">
        <w:t>period</w:t>
      </w:r>
      <w:r w:rsidR="000A5329" w:rsidRPr="002029AF">
        <w:t xml:space="preserve"> </w:t>
      </w:r>
      <w:r w:rsidRPr="002029AF">
        <w:t>was</w:t>
      </w:r>
      <w:r w:rsidR="000A5329" w:rsidRPr="002029AF">
        <w:t xml:space="preserve"> </w:t>
      </w:r>
      <w:r w:rsidRPr="002029AF">
        <w:t>limited</w:t>
      </w:r>
      <w:r w:rsidR="000A5329" w:rsidRPr="002029AF">
        <w:t xml:space="preserve"> </w:t>
      </w:r>
      <w:r w:rsidRPr="002029AF">
        <w:t>to</w:t>
      </w:r>
      <w:r w:rsidR="000A5329" w:rsidRPr="002029AF">
        <w:t xml:space="preserve"> </w:t>
      </w:r>
      <w:r w:rsidRPr="002029AF">
        <w:t>12</w:t>
      </w:r>
      <w:r w:rsidR="000A5329" w:rsidRPr="002029AF">
        <w:t xml:space="preserve"> </w:t>
      </w:r>
      <w:r w:rsidRPr="002029AF">
        <w:t>months</w:t>
      </w:r>
      <w:r w:rsidR="000A5329" w:rsidRPr="002029AF">
        <w:t xml:space="preserve"> </w:t>
      </w:r>
      <w:r w:rsidRPr="002029AF">
        <w:t>expected</w:t>
      </w:r>
      <w:r w:rsidR="000A5329" w:rsidRPr="002029AF">
        <w:t xml:space="preserve"> </w:t>
      </w:r>
      <w:r w:rsidRPr="002029AF">
        <w:t>losses.</w:t>
      </w:r>
      <w:r w:rsidR="000A5329" w:rsidRPr="002029AF">
        <w:t xml:space="preserve"> </w:t>
      </w:r>
      <w:r w:rsidRPr="002029AF">
        <w:t>No</w:t>
      </w:r>
      <w:r w:rsidR="000A5329" w:rsidRPr="002029AF">
        <w:t xml:space="preserve"> </w:t>
      </w:r>
      <w:r w:rsidRPr="002029AF">
        <w:t>loss</w:t>
      </w:r>
      <w:r w:rsidR="000A5329" w:rsidRPr="002029AF">
        <w:t xml:space="preserve"> </w:t>
      </w:r>
      <w:r w:rsidRPr="002029AF">
        <w:t>allowance</w:t>
      </w:r>
      <w:r w:rsidR="000A5329" w:rsidRPr="002029AF">
        <w:t xml:space="preserve"> </w:t>
      </w:r>
      <w:r w:rsidRPr="002029AF">
        <w:t>has</w:t>
      </w:r>
      <w:r w:rsidR="000A5329" w:rsidRPr="002029AF">
        <w:t xml:space="preserve"> </w:t>
      </w:r>
      <w:r w:rsidRPr="002029AF">
        <w:t>been</w:t>
      </w:r>
      <w:r w:rsidR="000A5329" w:rsidRPr="002029AF">
        <w:t xml:space="preserve"> </w:t>
      </w:r>
      <w:r w:rsidRPr="002029AF">
        <w:t>recognised.</w:t>
      </w:r>
    </w:p>
    <w:p w14:paraId="5FC8620B" w14:textId="2C04B3F7" w:rsidR="00087B91" w:rsidRPr="002029AF" w:rsidRDefault="00087B91" w:rsidP="00087B91">
      <w:pPr>
        <w:pStyle w:val="Heading6"/>
        <w:rPr>
          <w:lang w:val="en-AU"/>
        </w:rPr>
      </w:pPr>
      <w:r w:rsidRPr="002029AF">
        <w:rPr>
          <w:lang w:val="en-AU"/>
        </w:rPr>
        <w:t>8.1.3.2</w:t>
      </w:r>
      <w:r w:rsidR="000A5329" w:rsidRPr="002029AF">
        <w:rPr>
          <w:lang w:val="en-AU"/>
        </w:rPr>
        <w:t xml:space="preserve"> </w:t>
      </w:r>
      <w:r w:rsidRPr="002029AF">
        <w:rPr>
          <w:lang w:val="en-AU"/>
        </w:rPr>
        <w:t>Financial</w:t>
      </w:r>
      <w:r w:rsidR="000A5329" w:rsidRPr="002029AF">
        <w:rPr>
          <w:lang w:val="en-AU"/>
        </w:rPr>
        <w:t xml:space="preserve"> </w:t>
      </w:r>
      <w:r w:rsidRPr="002029AF">
        <w:rPr>
          <w:lang w:val="en-AU"/>
        </w:rPr>
        <w:t>instruments:</w:t>
      </w:r>
      <w:r w:rsidR="000A5329" w:rsidRPr="002029AF">
        <w:rPr>
          <w:lang w:val="en-AU"/>
        </w:rPr>
        <w:t xml:space="preserve"> </w:t>
      </w:r>
      <w:r w:rsidRPr="002029AF">
        <w:rPr>
          <w:lang w:val="en-AU"/>
        </w:rPr>
        <w:t>liquidity</w:t>
      </w:r>
      <w:r w:rsidR="000A5329" w:rsidRPr="002029AF">
        <w:rPr>
          <w:lang w:val="en-AU"/>
        </w:rPr>
        <w:t xml:space="preserve"> </w:t>
      </w:r>
      <w:r w:rsidRPr="002029AF">
        <w:rPr>
          <w:lang w:val="en-AU"/>
        </w:rPr>
        <w:t>risk</w:t>
      </w:r>
    </w:p>
    <w:p w14:paraId="2566193D" w14:textId="16B3060D" w:rsidR="00087B91" w:rsidRPr="002029AF" w:rsidRDefault="00087B91" w:rsidP="00087B91">
      <w:pPr>
        <w:pStyle w:val="ARfinbody"/>
      </w:pPr>
      <w:r w:rsidRPr="002029AF">
        <w:t>Liquidity</w:t>
      </w:r>
      <w:r w:rsidR="000A5329" w:rsidRPr="002029AF">
        <w:t xml:space="preserve"> </w:t>
      </w:r>
      <w:r w:rsidRPr="002029AF">
        <w:t>risk</w:t>
      </w:r>
      <w:r w:rsidR="000A5329" w:rsidRPr="002029AF">
        <w:t xml:space="preserve"> </w:t>
      </w:r>
      <w:r w:rsidRPr="002029AF">
        <w:t>arises</w:t>
      </w:r>
      <w:r w:rsidR="000A5329" w:rsidRPr="002029AF">
        <w:t xml:space="preserve"> </w:t>
      </w:r>
      <w:r w:rsidRPr="002029AF">
        <w:t>from</w:t>
      </w:r>
      <w:r w:rsidR="000A5329" w:rsidRPr="002029AF">
        <w:t xml:space="preserve"> </w:t>
      </w:r>
      <w:r w:rsidRPr="002029AF">
        <w:t>being</w:t>
      </w:r>
      <w:r w:rsidR="000A5329" w:rsidRPr="002029AF">
        <w:t xml:space="preserve"> </w:t>
      </w:r>
      <w:r w:rsidRPr="002029AF">
        <w:t>unable</w:t>
      </w:r>
      <w:r w:rsidR="000A5329" w:rsidRPr="002029AF">
        <w:t xml:space="preserve"> </w:t>
      </w:r>
      <w:r w:rsidRPr="002029AF">
        <w:t>to</w:t>
      </w:r>
      <w:r w:rsidR="000A5329" w:rsidRPr="002029AF">
        <w:t xml:space="preserve"> </w:t>
      </w:r>
      <w:r w:rsidRPr="002029AF">
        <w:t>meet</w:t>
      </w:r>
      <w:r w:rsidR="000A5329" w:rsidRPr="002029AF">
        <w:t xml:space="preserve"> </w:t>
      </w:r>
      <w:r w:rsidRPr="002029AF">
        <w:t>financial</w:t>
      </w:r>
      <w:r w:rsidR="000A5329" w:rsidRPr="002029AF">
        <w:t xml:space="preserve"> </w:t>
      </w:r>
      <w:r w:rsidRPr="002029AF">
        <w:t>obligations</w:t>
      </w:r>
      <w:r w:rsidR="000A5329" w:rsidRPr="002029AF">
        <w:t xml:space="preserve"> </w:t>
      </w:r>
      <w:r w:rsidRPr="002029AF">
        <w:t>as</w:t>
      </w:r>
      <w:r w:rsidR="000A5329" w:rsidRPr="002029AF">
        <w:t xml:space="preserve"> </w:t>
      </w:r>
      <w:r w:rsidRPr="002029AF">
        <w:t>they</w:t>
      </w:r>
      <w:r w:rsidR="000A5329" w:rsidRPr="002029AF">
        <w:t xml:space="preserve"> </w:t>
      </w:r>
      <w:r w:rsidRPr="002029AF">
        <w:t>fall</w:t>
      </w:r>
      <w:r w:rsidR="000A5329" w:rsidRPr="002029AF">
        <w:t xml:space="preserve"> </w:t>
      </w:r>
      <w:r w:rsidRPr="002029AF">
        <w:t>due.</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operates</w:t>
      </w:r>
      <w:r w:rsidR="000A5329" w:rsidRPr="002029AF">
        <w:t xml:space="preserve"> </w:t>
      </w:r>
      <w:r w:rsidRPr="002029AF">
        <w:t>under</w:t>
      </w:r>
      <w:r w:rsidR="000A5329" w:rsidRPr="002029AF">
        <w:t xml:space="preserve"> </w:t>
      </w:r>
      <w:r w:rsidRPr="002029AF">
        <w:t>the</w:t>
      </w:r>
      <w:r w:rsidR="000A5329" w:rsidRPr="002029AF">
        <w:t xml:space="preserve"> </w:t>
      </w:r>
      <w:r w:rsidRPr="002029AF">
        <w:t>government</w:t>
      </w:r>
      <w:r w:rsidR="000A5329" w:rsidRPr="002029AF">
        <w:t xml:space="preserve"> </w:t>
      </w:r>
      <w:r w:rsidRPr="002029AF">
        <w:t>fair</w:t>
      </w:r>
      <w:r w:rsidR="000A5329" w:rsidRPr="002029AF">
        <w:t xml:space="preserve"> </w:t>
      </w:r>
      <w:r w:rsidRPr="002029AF">
        <w:t>payments</w:t>
      </w:r>
      <w:r w:rsidR="000A5329" w:rsidRPr="002029AF">
        <w:t xml:space="preserve"> </w:t>
      </w:r>
      <w:r w:rsidRPr="002029AF">
        <w:t>policy</w:t>
      </w:r>
      <w:r w:rsidR="000A5329" w:rsidRPr="002029AF">
        <w:t xml:space="preserve"> </w:t>
      </w:r>
      <w:r w:rsidRPr="002029AF">
        <w:t>of</w:t>
      </w:r>
      <w:r w:rsidR="000A5329" w:rsidRPr="002029AF">
        <w:t xml:space="preserve"> </w:t>
      </w:r>
      <w:r w:rsidRPr="002029AF">
        <w:t>settling</w:t>
      </w:r>
      <w:r w:rsidR="000A5329" w:rsidRPr="002029AF">
        <w:t xml:space="preserve"> </w:t>
      </w:r>
      <w:r w:rsidRPr="002029AF">
        <w:t>financial</w:t>
      </w:r>
      <w:r w:rsidR="000A5329" w:rsidRPr="002029AF">
        <w:t xml:space="preserve"> </w:t>
      </w:r>
      <w:r w:rsidRPr="002029AF">
        <w:t>obligations</w:t>
      </w:r>
      <w:r w:rsidR="000A5329" w:rsidRPr="002029AF">
        <w:t xml:space="preserve"> </w:t>
      </w:r>
      <w:r w:rsidRPr="002029AF">
        <w:t>within</w:t>
      </w:r>
      <w:r w:rsidR="000A5329" w:rsidRPr="002029AF">
        <w:t xml:space="preserve"> </w:t>
      </w:r>
      <w:r w:rsidRPr="002029AF">
        <w:t>30</w:t>
      </w:r>
      <w:r w:rsidR="000A5329" w:rsidRPr="002029AF">
        <w:t xml:space="preserve"> </w:t>
      </w:r>
      <w:r w:rsidRPr="002029AF">
        <w:t>days</w:t>
      </w:r>
      <w:r w:rsidR="000A5329" w:rsidRPr="002029AF">
        <w:t xml:space="preserve"> </w:t>
      </w:r>
      <w:r w:rsidRPr="002029AF">
        <w:t>and</w:t>
      </w:r>
      <w:r w:rsidR="000A5329" w:rsidRPr="002029AF">
        <w:t xml:space="preserve"> </w:t>
      </w:r>
      <w:r w:rsidRPr="002029AF">
        <w:t>in</w:t>
      </w:r>
      <w:r w:rsidR="000A5329" w:rsidRPr="002029AF">
        <w:t xml:space="preserve"> </w:t>
      </w:r>
      <w:r w:rsidRPr="002029AF">
        <w:t>the</w:t>
      </w:r>
      <w:r w:rsidR="000A5329" w:rsidRPr="002029AF">
        <w:t xml:space="preserve"> </w:t>
      </w:r>
      <w:r w:rsidRPr="002029AF">
        <w:t>event</w:t>
      </w:r>
      <w:r w:rsidR="000A5329" w:rsidRPr="002029AF">
        <w:t xml:space="preserve"> </w:t>
      </w:r>
      <w:r w:rsidRPr="002029AF">
        <w:t>of</w:t>
      </w:r>
      <w:r w:rsidR="000A5329" w:rsidRPr="002029AF">
        <w:t xml:space="preserve"> </w:t>
      </w:r>
      <w:r w:rsidRPr="002029AF">
        <w:t>a</w:t>
      </w:r>
      <w:r w:rsidR="000A5329" w:rsidRPr="002029AF">
        <w:t xml:space="preserve"> </w:t>
      </w:r>
      <w:r w:rsidRPr="002029AF">
        <w:t>dispute,</w:t>
      </w:r>
      <w:r w:rsidR="000A5329" w:rsidRPr="002029AF">
        <w:t xml:space="preserve"> </w:t>
      </w:r>
      <w:r w:rsidRPr="002029AF">
        <w:t>make</w:t>
      </w:r>
      <w:r w:rsidR="000A5329" w:rsidRPr="002029AF">
        <w:t xml:space="preserve"> </w:t>
      </w:r>
      <w:r w:rsidRPr="002029AF">
        <w:t>payments</w:t>
      </w:r>
      <w:r w:rsidR="000A5329" w:rsidRPr="002029AF">
        <w:t xml:space="preserve"> </w:t>
      </w:r>
      <w:r w:rsidRPr="002029AF">
        <w:t>within</w:t>
      </w:r>
      <w:r w:rsidR="000A5329" w:rsidRPr="002029AF">
        <w:t xml:space="preserve"> </w:t>
      </w:r>
      <w:r w:rsidRPr="002029AF">
        <w:t>30</w:t>
      </w:r>
      <w:r w:rsidR="000A5329" w:rsidRPr="002029AF">
        <w:t xml:space="preserve"> </w:t>
      </w:r>
      <w:r w:rsidRPr="002029AF">
        <w:t>days</w:t>
      </w:r>
      <w:r w:rsidR="000A5329" w:rsidRPr="002029AF">
        <w:t xml:space="preserve"> </w:t>
      </w:r>
      <w:r w:rsidRPr="002029AF">
        <w:t>from</w:t>
      </w:r>
      <w:r w:rsidR="000A5329" w:rsidRPr="002029AF">
        <w:t xml:space="preserve"> </w:t>
      </w:r>
      <w:r w:rsidRPr="002029AF">
        <w:t>the</w:t>
      </w:r>
      <w:r w:rsidR="000A5329" w:rsidRPr="002029AF">
        <w:t xml:space="preserve"> </w:t>
      </w:r>
      <w:r w:rsidRPr="002029AF">
        <w:t>date</w:t>
      </w:r>
      <w:r w:rsidR="000A5329" w:rsidRPr="002029AF">
        <w:t xml:space="preserve"> </w:t>
      </w:r>
      <w:r w:rsidRPr="002029AF">
        <w:t>of</w:t>
      </w:r>
      <w:r w:rsidR="000A5329" w:rsidRPr="002029AF">
        <w:t xml:space="preserve"> </w:t>
      </w:r>
      <w:r w:rsidRPr="002029AF">
        <w:t>resolution.</w:t>
      </w:r>
    </w:p>
    <w:p w14:paraId="58E2F973" w14:textId="42962349" w:rsidR="00087B91" w:rsidRPr="002029AF" w:rsidRDefault="00087B91" w:rsidP="00087B91">
      <w:pPr>
        <w:pStyle w:val="ARfinbody"/>
      </w:pPr>
      <w:r w:rsidRPr="002029AF">
        <w:t>The</w:t>
      </w:r>
      <w:r w:rsidR="000A5329" w:rsidRPr="002029AF">
        <w:t xml:space="preserve"> </w:t>
      </w:r>
      <w:r w:rsidRPr="002029AF">
        <w:t>department</w:t>
      </w:r>
      <w:r w:rsidR="000A5329" w:rsidRPr="002029AF">
        <w:t xml:space="preserve"> </w:t>
      </w:r>
      <w:r w:rsidRPr="002029AF">
        <w:t>is</w:t>
      </w:r>
      <w:r w:rsidR="000A5329" w:rsidRPr="002029AF">
        <w:t xml:space="preserve"> </w:t>
      </w:r>
      <w:r w:rsidRPr="002029AF">
        <w:t>exposed</w:t>
      </w:r>
      <w:r w:rsidR="000A5329" w:rsidRPr="002029AF">
        <w:t xml:space="preserve"> </w:t>
      </w:r>
      <w:r w:rsidRPr="002029AF">
        <w:t>to</w:t>
      </w:r>
      <w:r w:rsidR="000A5329" w:rsidRPr="002029AF">
        <w:t xml:space="preserve"> </w:t>
      </w:r>
      <w:r w:rsidRPr="002029AF">
        <w:t>liquidity</w:t>
      </w:r>
      <w:r w:rsidR="000A5329" w:rsidRPr="002029AF">
        <w:t xml:space="preserve"> </w:t>
      </w:r>
      <w:r w:rsidRPr="002029AF">
        <w:t>risk</w:t>
      </w:r>
      <w:r w:rsidR="000A5329" w:rsidRPr="002029AF">
        <w:t xml:space="preserve"> </w:t>
      </w:r>
      <w:r w:rsidRPr="002029AF">
        <w:t>mainly</w:t>
      </w:r>
      <w:r w:rsidR="000A5329" w:rsidRPr="002029AF">
        <w:t xml:space="preserve"> </w:t>
      </w:r>
      <w:r w:rsidRPr="002029AF">
        <w:t>through</w:t>
      </w:r>
      <w:r w:rsidR="000A5329" w:rsidRPr="002029AF">
        <w:t xml:space="preserve"> </w:t>
      </w:r>
      <w:r w:rsidRPr="002029AF">
        <w:t>the</w:t>
      </w:r>
      <w:r w:rsidR="000A5329" w:rsidRPr="002029AF">
        <w:t xml:space="preserve"> </w:t>
      </w:r>
      <w:r w:rsidRPr="002029AF">
        <w:t>financial</w:t>
      </w:r>
      <w:r w:rsidR="000A5329" w:rsidRPr="002029AF">
        <w:t xml:space="preserve"> </w:t>
      </w:r>
      <w:r w:rsidRPr="002029AF">
        <w:t>liabilities</w:t>
      </w:r>
      <w:r w:rsidR="000A5329" w:rsidRPr="002029AF">
        <w:t xml:space="preserve"> </w:t>
      </w:r>
      <w:r w:rsidRPr="002029AF">
        <w:t>as</w:t>
      </w:r>
      <w:r w:rsidR="000A5329" w:rsidRPr="002029AF">
        <w:t xml:space="preserve"> </w:t>
      </w:r>
      <w:r w:rsidRPr="002029AF">
        <w:t>disclosed</w:t>
      </w:r>
      <w:r w:rsidR="000A5329" w:rsidRPr="002029AF">
        <w:t xml:space="preserve"> </w:t>
      </w:r>
      <w:r w:rsidRPr="002029AF">
        <w:t>in</w:t>
      </w:r>
      <w:r w:rsidR="000A5329" w:rsidRPr="002029AF">
        <w:t xml:space="preserve"> </w:t>
      </w:r>
      <w:r w:rsidRPr="002029AF">
        <w:t>the</w:t>
      </w:r>
      <w:r w:rsidR="000A5329" w:rsidRPr="002029AF">
        <w:t xml:space="preserve"> </w:t>
      </w:r>
      <w:r w:rsidRPr="002029AF">
        <w:t>face</w:t>
      </w:r>
      <w:r w:rsidR="000A5329" w:rsidRPr="002029AF">
        <w:t xml:space="preserve"> </w:t>
      </w:r>
      <w:r w:rsidRPr="002029AF">
        <w:t>of</w:t>
      </w:r>
      <w:r w:rsidR="000A5329" w:rsidRPr="002029AF">
        <w:t xml:space="preserve"> </w:t>
      </w:r>
      <w:r w:rsidRPr="002029AF">
        <w:t>the</w:t>
      </w:r>
      <w:r w:rsidR="000A5329" w:rsidRPr="002029AF">
        <w:t xml:space="preserve"> </w:t>
      </w:r>
      <w:r w:rsidRPr="002029AF">
        <w:t>balance</w:t>
      </w:r>
      <w:r w:rsidR="000A5329" w:rsidRPr="002029AF">
        <w:t xml:space="preserve"> </w:t>
      </w:r>
      <w:r w:rsidRPr="002029AF">
        <w:t>sheet</w:t>
      </w:r>
      <w:r w:rsidR="000A5329" w:rsidRPr="002029AF">
        <w:t xml:space="preserve"> </w:t>
      </w:r>
      <w:r w:rsidRPr="002029AF">
        <w:t>and</w:t>
      </w:r>
      <w:r w:rsidR="000A5329" w:rsidRPr="002029AF">
        <w:t xml:space="preserve"> </w:t>
      </w:r>
      <w:r w:rsidRPr="002029AF">
        <w:t>the</w:t>
      </w:r>
      <w:r w:rsidR="000A5329" w:rsidRPr="002029AF">
        <w:t xml:space="preserve"> </w:t>
      </w:r>
      <w:r w:rsidRPr="002029AF">
        <w:t>amounts</w:t>
      </w:r>
      <w:r w:rsidR="000A5329" w:rsidRPr="002029AF">
        <w:t xml:space="preserve"> </w:t>
      </w:r>
      <w:r w:rsidRPr="002029AF">
        <w:t>related</w:t>
      </w:r>
      <w:r w:rsidR="000A5329" w:rsidRPr="002029AF">
        <w:t xml:space="preserve"> </w:t>
      </w:r>
      <w:r w:rsidRPr="002029AF">
        <w:t>to</w:t>
      </w:r>
      <w:r w:rsidR="000A5329" w:rsidRPr="002029AF">
        <w:t xml:space="preserve"> </w:t>
      </w:r>
      <w:r w:rsidRPr="002029AF">
        <w:t>financial</w:t>
      </w:r>
      <w:r w:rsidR="000A5329" w:rsidRPr="002029AF">
        <w:t xml:space="preserve"> </w:t>
      </w:r>
      <w:r w:rsidRPr="002029AF">
        <w:t>guarantees.</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manages</w:t>
      </w:r>
      <w:r w:rsidR="000A5329" w:rsidRPr="002029AF">
        <w:t xml:space="preserve"> </w:t>
      </w:r>
      <w:r w:rsidRPr="002029AF">
        <w:t>its</w:t>
      </w:r>
      <w:r w:rsidR="000A5329" w:rsidRPr="002029AF">
        <w:t xml:space="preserve"> </w:t>
      </w:r>
      <w:r w:rsidRPr="002029AF">
        <w:t>liquidity</w:t>
      </w:r>
      <w:r w:rsidR="000A5329" w:rsidRPr="002029AF">
        <w:t xml:space="preserve"> </w:t>
      </w:r>
      <w:r w:rsidRPr="002029AF">
        <w:t>risk</w:t>
      </w:r>
      <w:r w:rsidR="000A5329" w:rsidRPr="002029AF">
        <w:t xml:space="preserve"> </w:t>
      </w:r>
      <w:r w:rsidRPr="002029AF">
        <w:t>by:</w:t>
      </w:r>
    </w:p>
    <w:p w14:paraId="168884C6" w14:textId="7B24B76F" w:rsidR="00087B91" w:rsidRPr="002029AF" w:rsidRDefault="00087B91" w:rsidP="00087B91">
      <w:pPr>
        <w:pStyle w:val="ARfinbullet1"/>
      </w:pPr>
      <w:r w:rsidRPr="002029AF">
        <w:t>close</w:t>
      </w:r>
      <w:r w:rsidR="000A5329" w:rsidRPr="002029AF">
        <w:t xml:space="preserve"> </w:t>
      </w:r>
      <w:r w:rsidRPr="002029AF">
        <w:t>monitoring</w:t>
      </w:r>
      <w:r w:rsidR="000A5329" w:rsidRPr="002029AF">
        <w:t xml:space="preserve"> </w:t>
      </w:r>
      <w:r w:rsidRPr="002029AF">
        <w:t>of</w:t>
      </w:r>
      <w:r w:rsidR="000A5329" w:rsidRPr="002029AF">
        <w:t xml:space="preserve"> </w:t>
      </w:r>
      <w:r w:rsidRPr="002029AF">
        <w:t>its</w:t>
      </w:r>
      <w:r w:rsidR="000A5329" w:rsidRPr="002029AF">
        <w:t xml:space="preserve"> </w:t>
      </w:r>
      <w:r w:rsidRPr="002029AF">
        <w:t>short-term</w:t>
      </w:r>
      <w:r w:rsidR="000A5329" w:rsidRPr="002029AF">
        <w:t xml:space="preserve"> </w:t>
      </w:r>
      <w:r w:rsidRPr="002029AF">
        <w:t>and</w:t>
      </w:r>
      <w:r w:rsidR="000A5329" w:rsidRPr="002029AF">
        <w:t xml:space="preserve"> </w:t>
      </w:r>
      <w:r w:rsidRPr="002029AF">
        <w:t>long-term</w:t>
      </w:r>
      <w:r w:rsidR="000A5329" w:rsidRPr="002029AF">
        <w:t xml:space="preserve"> </w:t>
      </w:r>
      <w:r w:rsidRPr="002029AF">
        <w:t>borrowings</w:t>
      </w:r>
      <w:r w:rsidR="000A5329" w:rsidRPr="002029AF">
        <w:t xml:space="preserve"> </w:t>
      </w:r>
      <w:r w:rsidRPr="002029AF">
        <w:t>by</w:t>
      </w:r>
      <w:r w:rsidR="000A5329" w:rsidRPr="002029AF">
        <w:t xml:space="preserve"> </w:t>
      </w:r>
      <w:r w:rsidRPr="002029AF">
        <w:t>senior</w:t>
      </w:r>
      <w:r w:rsidR="000A5329" w:rsidRPr="002029AF">
        <w:t xml:space="preserve"> </w:t>
      </w:r>
      <w:r w:rsidRPr="002029AF">
        <w:t>management,</w:t>
      </w:r>
      <w:r w:rsidR="000A5329" w:rsidRPr="002029AF">
        <w:t xml:space="preserve"> </w:t>
      </w:r>
      <w:r w:rsidRPr="002029AF">
        <w:t>including</w:t>
      </w:r>
      <w:r w:rsidR="000A5329" w:rsidRPr="002029AF">
        <w:t xml:space="preserve"> </w:t>
      </w:r>
      <w:r w:rsidRPr="002029AF">
        <w:t>monthly</w:t>
      </w:r>
      <w:r w:rsidR="000A5329" w:rsidRPr="002029AF">
        <w:t xml:space="preserve"> </w:t>
      </w:r>
      <w:r w:rsidRPr="002029AF">
        <w:t>reviews</w:t>
      </w:r>
      <w:r w:rsidR="000A5329" w:rsidRPr="002029AF">
        <w:t xml:space="preserve"> </w:t>
      </w:r>
      <w:r w:rsidRPr="002029AF">
        <w:t>on</w:t>
      </w:r>
      <w:r w:rsidR="000A5329" w:rsidRPr="002029AF">
        <w:t xml:space="preserve"> </w:t>
      </w:r>
      <w:r w:rsidRPr="002029AF">
        <w:t>current</w:t>
      </w:r>
      <w:r w:rsidR="000A5329" w:rsidRPr="002029AF">
        <w:t xml:space="preserve"> </w:t>
      </w:r>
      <w:r w:rsidRPr="002029AF">
        <w:t>and</w:t>
      </w:r>
      <w:r w:rsidR="000A5329" w:rsidRPr="002029AF">
        <w:t xml:space="preserve"> </w:t>
      </w:r>
      <w:r w:rsidRPr="002029AF">
        <w:t>future</w:t>
      </w:r>
      <w:r w:rsidR="000A5329" w:rsidRPr="002029AF">
        <w:t xml:space="preserve"> </w:t>
      </w:r>
      <w:r w:rsidRPr="002029AF">
        <w:t>borrowing</w:t>
      </w:r>
      <w:r w:rsidR="000A5329" w:rsidRPr="002029AF">
        <w:t xml:space="preserve"> </w:t>
      </w:r>
      <w:r w:rsidRPr="002029AF">
        <w:t>levels</w:t>
      </w:r>
      <w:r w:rsidR="000A5329" w:rsidRPr="002029AF">
        <w:t xml:space="preserve"> </w:t>
      </w:r>
      <w:r w:rsidRPr="002029AF">
        <w:t>and</w:t>
      </w:r>
      <w:r w:rsidR="000A5329" w:rsidRPr="002029AF">
        <w:t xml:space="preserve"> </w:t>
      </w:r>
      <w:r w:rsidRPr="002029AF">
        <w:t>requirements</w:t>
      </w:r>
    </w:p>
    <w:p w14:paraId="0E5A6B29" w14:textId="46604464" w:rsidR="00087B91" w:rsidRPr="002029AF" w:rsidRDefault="00087B91" w:rsidP="00087B91">
      <w:pPr>
        <w:pStyle w:val="ARfinbullet1"/>
      </w:pPr>
      <w:r w:rsidRPr="002029AF">
        <w:t>maintaining</w:t>
      </w:r>
      <w:r w:rsidR="000A5329" w:rsidRPr="002029AF">
        <w:t xml:space="preserve"> </w:t>
      </w:r>
      <w:r w:rsidRPr="002029AF">
        <w:t>an</w:t>
      </w:r>
      <w:r w:rsidR="000A5329" w:rsidRPr="002029AF">
        <w:t xml:space="preserve"> </w:t>
      </w:r>
      <w:r w:rsidRPr="002029AF">
        <w:t>adequate</w:t>
      </w:r>
      <w:r w:rsidR="000A5329" w:rsidRPr="002029AF">
        <w:t xml:space="preserve"> </w:t>
      </w:r>
      <w:r w:rsidRPr="002029AF">
        <w:t>level</w:t>
      </w:r>
      <w:r w:rsidR="000A5329" w:rsidRPr="002029AF">
        <w:t xml:space="preserve"> </w:t>
      </w:r>
      <w:r w:rsidRPr="002029AF">
        <w:t>of</w:t>
      </w:r>
      <w:r w:rsidR="000A5329" w:rsidRPr="002029AF">
        <w:t xml:space="preserve"> </w:t>
      </w:r>
      <w:r w:rsidRPr="002029AF">
        <w:t>uncommitted</w:t>
      </w:r>
      <w:r w:rsidR="000A5329" w:rsidRPr="002029AF">
        <w:t xml:space="preserve"> </w:t>
      </w:r>
      <w:r w:rsidRPr="002029AF">
        <w:t>funds</w:t>
      </w:r>
      <w:r w:rsidR="000A5329" w:rsidRPr="002029AF">
        <w:t xml:space="preserve"> </w:t>
      </w:r>
      <w:r w:rsidRPr="002029AF">
        <w:t>that</w:t>
      </w:r>
      <w:r w:rsidR="000A5329" w:rsidRPr="002029AF">
        <w:t xml:space="preserve"> </w:t>
      </w:r>
      <w:r w:rsidRPr="002029AF">
        <w:t>can</w:t>
      </w:r>
      <w:r w:rsidR="000A5329" w:rsidRPr="002029AF">
        <w:t xml:space="preserve"> </w:t>
      </w:r>
      <w:r w:rsidRPr="002029AF">
        <w:t>be</w:t>
      </w:r>
      <w:r w:rsidR="000A5329" w:rsidRPr="002029AF">
        <w:t xml:space="preserve"> </w:t>
      </w:r>
      <w:r w:rsidRPr="002029AF">
        <w:t>drawn</w:t>
      </w:r>
      <w:r w:rsidR="000A5329" w:rsidRPr="002029AF">
        <w:t xml:space="preserve"> </w:t>
      </w:r>
      <w:r w:rsidRPr="002029AF">
        <w:t>at</w:t>
      </w:r>
      <w:r w:rsidR="000A5329" w:rsidRPr="002029AF">
        <w:t xml:space="preserve"> </w:t>
      </w:r>
      <w:r w:rsidRPr="002029AF">
        <w:t>short</w:t>
      </w:r>
      <w:r w:rsidR="000A5329" w:rsidRPr="002029AF">
        <w:t xml:space="preserve"> </w:t>
      </w:r>
      <w:r w:rsidRPr="002029AF">
        <w:t>notice</w:t>
      </w:r>
      <w:r w:rsidR="000A5329" w:rsidRPr="002029AF">
        <w:t xml:space="preserve"> </w:t>
      </w:r>
      <w:r w:rsidRPr="002029AF">
        <w:t>to</w:t>
      </w:r>
      <w:r w:rsidR="000A5329" w:rsidRPr="002029AF">
        <w:t xml:space="preserve"> </w:t>
      </w:r>
      <w:r w:rsidRPr="002029AF">
        <w:t>meet</w:t>
      </w:r>
      <w:r w:rsidR="000A5329" w:rsidRPr="002029AF">
        <w:t xml:space="preserve"> </w:t>
      </w:r>
      <w:r w:rsidRPr="002029AF">
        <w:t>its</w:t>
      </w:r>
      <w:r w:rsidR="000A5329" w:rsidRPr="002029AF">
        <w:t xml:space="preserve"> </w:t>
      </w:r>
      <w:r w:rsidRPr="002029AF">
        <w:t>short</w:t>
      </w:r>
      <w:r w:rsidR="5A25EFE5" w:rsidRPr="002029AF">
        <w:t>-</w:t>
      </w:r>
      <w:r w:rsidRPr="002029AF">
        <w:t>term</w:t>
      </w:r>
      <w:r w:rsidR="000A5329" w:rsidRPr="002029AF">
        <w:t xml:space="preserve"> </w:t>
      </w:r>
      <w:r w:rsidRPr="002029AF">
        <w:t>obligations</w:t>
      </w:r>
    </w:p>
    <w:p w14:paraId="3DCDC575" w14:textId="79CDF062" w:rsidR="00087B91" w:rsidRPr="002029AF" w:rsidRDefault="00087B91" w:rsidP="00087B91">
      <w:pPr>
        <w:pStyle w:val="ARfinbullet1"/>
      </w:pPr>
      <w:r w:rsidRPr="002029AF">
        <w:t>holding</w:t>
      </w:r>
      <w:r w:rsidR="000A5329" w:rsidRPr="002029AF">
        <w:t xml:space="preserve"> </w:t>
      </w:r>
      <w:r w:rsidRPr="002029AF">
        <w:t>investments</w:t>
      </w:r>
      <w:r w:rsidR="000A5329" w:rsidRPr="002029AF">
        <w:t xml:space="preserve"> </w:t>
      </w:r>
      <w:r w:rsidRPr="002029AF">
        <w:t>and</w:t>
      </w:r>
      <w:r w:rsidR="000A5329" w:rsidRPr="002029AF">
        <w:t xml:space="preserve"> </w:t>
      </w:r>
      <w:r w:rsidRPr="002029AF">
        <w:t>other</w:t>
      </w:r>
      <w:r w:rsidR="000A5329" w:rsidRPr="002029AF">
        <w:t xml:space="preserve"> </w:t>
      </w:r>
      <w:r w:rsidRPr="002029AF">
        <w:t>contractual</w:t>
      </w:r>
      <w:r w:rsidR="000A5329" w:rsidRPr="002029AF">
        <w:t xml:space="preserve"> </w:t>
      </w:r>
      <w:r w:rsidRPr="002029AF">
        <w:t>financial</w:t>
      </w:r>
      <w:r w:rsidR="000A5329" w:rsidRPr="002029AF">
        <w:t xml:space="preserve"> </w:t>
      </w:r>
      <w:r w:rsidRPr="002029AF">
        <w:t>assets</w:t>
      </w:r>
      <w:r w:rsidR="000A5329" w:rsidRPr="002029AF">
        <w:t xml:space="preserve"> </w:t>
      </w:r>
      <w:r w:rsidRPr="002029AF">
        <w:t>that</w:t>
      </w:r>
      <w:r w:rsidR="000A5329" w:rsidRPr="002029AF">
        <w:t xml:space="preserve"> </w:t>
      </w:r>
      <w:r w:rsidRPr="002029AF">
        <w:t>are</w:t>
      </w:r>
      <w:r w:rsidR="000A5329" w:rsidRPr="002029AF">
        <w:t xml:space="preserve"> </w:t>
      </w:r>
      <w:r w:rsidRPr="002029AF">
        <w:t>readily</w:t>
      </w:r>
      <w:r w:rsidR="000A5329" w:rsidRPr="002029AF">
        <w:t xml:space="preserve"> </w:t>
      </w:r>
      <w:r w:rsidRPr="002029AF">
        <w:t>tradeable</w:t>
      </w:r>
      <w:r w:rsidR="000A5329" w:rsidRPr="002029AF">
        <w:t xml:space="preserve"> </w:t>
      </w:r>
      <w:r w:rsidRPr="002029AF">
        <w:t>in</w:t>
      </w:r>
      <w:r w:rsidR="000A5329" w:rsidRPr="002029AF">
        <w:t xml:space="preserve"> </w:t>
      </w:r>
      <w:r w:rsidRPr="002029AF">
        <w:t>the</w:t>
      </w:r>
      <w:r w:rsidR="000A5329" w:rsidRPr="002029AF">
        <w:t xml:space="preserve"> </w:t>
      </w:r>
      <w:r w:rsidRPr="002029AF">
        <w:t>financial</w:t>
      </w:r>
      <w:r w:rsidR="000A5329" w:rsidRPr="002029AF">
        <w:t xml:space="preserve"> </w:t>
      </w:r>
      <w:r w:rsidRPr="002029AF">
        <w:t>markets</w:t>
      </w:r>
    </w:p>
    <w:p w14:paraId="1A1CF0DF" w14:textId="66FE79BC" w:rsidR="00087B91" w:rsidRPr="002029AF" w:rsidRDefault="00087B91" w:rsidP="00087B91">
      <w:pPr>
        <w:pStyle w:val="ARfinbullet1"/>
      </w:pPr>
      <w:r w:rsidRPr="002029AF">
        <w:t>careful</w:t>
      </w:r>
      <w:r w:rsidR="000A5329" w:rsidRPr="002029AF">
        <w:t xml:space="preserve"> </w:t>
      </w:r>
      <w:r w:rsidRPr="002029AF">
        <w:t>maturity</w:t>
      </w:r>
      <w:r w:rsidR="000A5329" w:rsidRPr="002029AF">
        <w:t xml:space="preserve"> </w:t>
      </w:r>
      <w:r w:rsidRPr="002029AF">
        <w:t>planning</w:t>
      </w:r>
      <w:r w:rsidR="000A5329" w:rsidRPr="002029AF">
        <w:t xml:space="preserve"> </w:t>
      </w:r>
      <w:r w:rsidRPr="002029AF">
        <w:t>of</w:t>
      </w:r>
      <w:r w:rsidR="000A5329" w:rsidRPr="002029AF">
        <w:t xml:space="preserve"> </w:t>
      </w:r>
      <w:r w:rsidRPr="002029AF">
        <w:t>its</w:t>
      </w:r>
      <w:r w:rsidR="000A5329" w:rsidRPr="002029AF">
        <w:t xml:space="preserve"> </w:t>
      </w:r>
      <w:r w:rsidRPr="002029AF">
        <w:t>financial</w:t>
      </w:r>
      <w:r w:rsidR="000A5329" w:rsidRPr="002029AF">
        <w:t xml:space="preserve"> </w:t>
      </w:r>
      <w:r w:rsidRPr="002029AF">
        <w:t>obligations</w:t>
      </w:r>
      <w:r w:rsidR="000A5329" w:rsidRPr="002029AF">
        <w:t xml:space="preserve"> </w:t>
      </w:r>
      <w:r w:rsidRPr="002029AF">
        <w:t>based</w:t>
      </w:r>
      <w:r w:rsidR="000A5329" w:rsidRPr="002029AF">
        <w:t xml:space="preserve"> </w:t>
      </w:r>
      <w:r w:rsidRPr="002029AF">
        <w:t>on</w:t>
      </w:r>
      <w:r w:rsidR="000A5329" w:rsidRPr="002029AF">
        <w:t xml:space="preserve"> </w:t>
      </w:r>
      <w:r w:rsidRPr="002029AF">
        <w:t>forecasts</w:t>
      </w:r>
      <w:r w:rsidR="000A5329" w:rsidRPr="002029AF">
        <w:t xml:space="preserve"> </w:t>
      </w:r>
      <w:r w:rsidRPr="002029AF">
        <w:t>of</w:t>
      </w:r>
      <w:r w:rsidR="000A5329" w:rsidRPr="002029AF">
        <w:t xml:space="preserve"> </w:t>
      </w:r>
      <w:r w:rsidRPr="002029AF">
        <w:t>future</w:t>
      </w:r>
      <w:r w:rsidR="000A5329" w:rsidRPr="002029AF">
        <w:t xml:space="preserve"> </w:t>
      </w:r>
      <w:r w:rsidRPr="002029AF">
        <w:t>cash</w:t>
      </w:r>
      <w:r w:rsidR="000A5329" w:rsidRPr="002029AF">
        <w:t xml:space="preserve"> </w:t>
      </w:r>
      <w:r w:rsidRPr="002029AF">
        <w:t>flows</w:t>
      </w:r>
    </w:p>
    <w:p w14:paraId="63516CE8" w14:textId="451C4404" w:rsidR="00087B91" w:rsidRPr="002029AF" w:rsidRDefault="00087B91" w:rsidP="00087B91">
      <w:pPr>
        <w:pStyle w:val="ARfinbullet1"/>
      </w:pPr>
      <w:r w:rsidRPr="002029AF">
        <w:t>a</w:t>
      </w:r>
      <w:r w:rsidR="000A5329" w:rsidRPr="002029AF">
        <w:t xml:space="preserve"> </w:t>
      </w:r>
      <w:r w:rsidRPr="002029AF">
        <w:t>high</w:t>
      </w:r>
      <w:r w:rsidR="000A5329" w:rsidRPr="002029AF">
        <w:t xml:space="preserve"> </w:t>
      </w:r>
      <w:r w:rsidRPr="002029AF">
        <w:t>credit</w:t>
      </w:r>
      <w:r w:rsidR="000A5329" w:rsidRPr="002029AF">
        <w:t xml:space="preserve"> </w:t>
      </w:r>
      <w:r w:rsidRPr="002029AF">
        <w:t>rating</w:t>
      </w:r>
      <w:r w:rsidR="000A5329" w:rsidRPr="002029AF">
        <w:t xml:space="preserve"> </w:t>
      </w:r>
      <w:r w:rsidRPr="002029AF">
        <w:t>for</w:t>
      </w:r>
      <w:r w:rsidR="000A5329" w:rsidRPr="002029AF">
        <w:t xml:space="preserve"> </w:t>
      </w:r>
      <w:r w:rsidRPr="002029AF">
        <w:t>the</w:t>
      </w:r>
      <w:r w:rsidR="000A5329" w:rsidRPr="002029AF">
        <w:t xml:space="preserve"> </w:t>
      </w:r>
      <w:r w:rsidRPr="002029AF">
        <w:t>State</w:t>
      </w:r>
      <w:r w:rsidR="000A5329" w:rsidRPr="002029AF">
        <w:t xml:space="preserve"> </w:t>
      </w:r>
      <w:r w:rsidRPr="002029AF">
        <w:t>of</w:t>
      </w:r>
      <w:r w:rsidR="000A5329" w:rsidRPr="002029AF">
        <w:t xml:space="preserve"> </w:t>
      </w:r>
      <w:r w:rsidRPr="002029AF">
        <w:t>Victoria</w:t>
      </w:r>
      <w:r w:rsidR="000A5329" w:rsidRPr="002029AF">
        <w:t xml:space="preserve"> </w:t>
      </w:r>
      <w:r w:rsidRPr="002029AF">
        <w:t>(Moody’s</w:t>
      </w:r>
      <w:r w:rsidR="000A5329" w:rsidRPr="002029AF">
        <w:t xml:space="preserve"> </w:t>
      </w:r>
      <w:r w:rsidRPr="002029AF">
        <w:t>Investor</w:t>
      </w:r>
      <w:r w:rsidR="000A5329" w:rsidRPr="002029AF">
        <w:t xml:space="preserve"> </w:t>
      </w:r>
      <w:r w:rsidRPr="002029AF">
        <w:t>Services,</w:t>
      </w:r>
      <w:r w:rsidR="000A5329" w:rsidRPr="002029AF">
        <w:t xml:space="preserve"> </w:t>
      </w:r>
      <w:r w:rsidRPr="002029AF">
        <w:t>Standard</w:t>
      </w:r>
      <w:r w:rsidR="000A5329" w:rsidRPr="002029AF">
        <w:t xml:space="preserve"> </w:t>
      </w:r>
      <w:r w:rsidRPr="002029AF">
        <w:t>&amp;</w:t>
      </w:r>
      <w:r w:rsidR="000A5329" w:rsidRPr="002029AF">
        <w:t xml:space="preserve"> </w:t>
      </w:r>
      <w:r w:rsidRPr="002029AF">
        <w:t>Poor’s</w:t>
      </w:r>
      <w:r w:rsidR="000A5329" w:rsidRPr="002029AF">
        <w:t xml:space="preserve"> </w:t>
      </w:r>
      <w:r w:rsidRPr="002029AF">
        <w:t>triple-A,</w:t>
      </w:r>
      <w:r w:rsidR="000A5329" w:rsidRPr="002029AF">
        <w:t xml:space="preserve"> </w:t>
      </w:r>
      <w:r w:rsidRPr="002029AF">
        <w:t>which</w:t>
      </w:r>
      <w:r w:rsidR="000A5329" w:rsidRPr="002029AF">
        <w:t xml:space="preserve"> </w:t>
      </w:r>
      <w:r w:rsidRPr="002029AF">
        <w:t>assists</w:t>
      </w:r>
      <w:r w:rsidR="000A5329" w:rsidRPr="002029AF">
        <w:t xml:space="preserve"> </w:t>
      </w:r>
      <w:r w:rsidRPr="002029AF">
        <w:t>in</w:t>
      </w:r>
      <w:r w:rsidR="000A5329" w:rsidRPr="002029AF">
        <w:t xml:space="preserve"> </w:t>
      </w:r>
      <w:r w:rsidRPr="002029AF">
        <w:t>accessing</w:t>
      </w:r>
      <w:r w:rsidR="000A5329" w:rsidRPr="002029AF">
        <w:t xml:space="preserve"> </w:t>
      </w:r>
      <w:r w:rsidRPr="002029AF">
        <w:t>debt</w:t>
      </w:r>
      <w:r w:rsidR="000A5329" w:rsidRPr="002029AF">
        <w:t xml:space="preserve"> </w:t>
      </w:r>
      <w:r w:rsidRPr="002029AF">
        <w:t>market</w:t>
      </w:r>
      <w:r w:rsidR="000A5329" w:rsidRPr="002029AF">
        <w:t xml:space="preserve"> </w:t>
      </w:r>
      <w:r w:rsidRPr="002029AF">
        <w:t>at</w:t>
      </w:r>
      <w:r w:rsidR="000A5329" w:rsidRPr="002029AF">
        <w:t xml:space="preserve"> </w:t>
      </w:r>
      <w:r w:rsidRPr="002029AF">
        <w:t>a</w:t>
      </w:r>
      <w:r w:rsidR="000A5329" w:rsidRPr="002029AF">
        <w:t xml:space="preserve"> </w:t>
      </w:r>
      <w:r w:rsidRPr="002029AF">
        <w:t>lower</w:t>
      </w:r>
      <w:r w:rsidR="000A5329" w:rsidRPr="002029AF">
        <w:t xml:space="preserve"> </w:t>
      </w:r>
      <w:r w:rsidRPr="002029AF">
        <w:t>interest</w:t>
      </w:r>
      <w:r w:rsidR="000A5329" w:rsidRPr="002029AF">
        <w:t xml:space="preserve"> </w:t>
      </w:r>
      <w:r w:rsidRPr="002029AF">
        <w:t>rate).</w:t>
      </w:r>
    </w:p>
    <w:p w14:paraId="45CBEE93" w14:textId="0A5159D7" w:rsidR="00087B91" w:rsidRPr="002029AF" w:rsidRDefault="00087B91" w:rsidP="00087B91">
      <w:pPr>
        <w:pStyle w:val="ARfinbody"/>
      </w:pPr>
      <w:r w:rsidRPr="002029AF">
        <w:t>The</w:t>
      </w:r>
      <w:r w:rsidR="000A5329" w:rsidRPr="002029AF">
        <w:t xml:space="preserve"> </w:t>
      </w:r>
      <w:r w:rsidRPr="002029AF">
        <w:t>department’s</w:t>
      </w:r>
      <w:r w:rsidR="000A5329" w:rsidRPr="002029AF">
        <w:t xml:space="preserve"> </w:t>
      </w:r>
      <w:r w:rsidRPr="002029AF">
        <w:t>exposure</w:t>
      </w:r>
      <w:r w:rsidR="000A5329" w:rsidRPr="002029AF">
        <w:t xml:space="preserve"> </w:t>
      </w:r>
      <w:r w:rsidRPr="002029AF">
        <w:t>to</w:t>
      </w:r>
      <w:r w:rsidR="000A5329" w:rsidRPr="002029AF">
        <w:t xml:space="preserve"> </w:t>
      </w:r>
      <w:r w:rsidRPr="002029AF">
        <w:t>liquidity</w:t>
      </w:r>
      <w:r w:rsidR="000A5329" w:rsidRPr="002029AF">
        <w:t xml:space="preserve"> </w:t>
      </w:r>
      <w:r w:rsidRPr="002029AF">
        <w:t>risk</w:t>
      </w:r>
      <w:r w:rsidR="000A5329" w:rsidRPr="002029AF">
        <w:t xml:space="preserve"> </w:t>
      </w:r>
      <w:r w:rsidRPr="002029AF">
        <w:t>is</w:t>
      </w:r>
      <w:r w:rsidR="000A5329" w:rsidRPr="002029AF">
        <w:t xml:space="preserve"> </w:t>
      </w:r>
      <w:r w:rsidRPr="002029AF">
        <w:t>deemed</w:t>
      </w:r>
      <w:r w:rsidR="000A5329" w:rsidRPr="002029AF">
        <w:t xml:space="preserve"> </w:t>
      </w:r>
      <w:r w:rsidRPr="002029AF">
        <w:t>insignificant</w:t>
      </w:r>
      <w:r w:rsidR="000A5329" w:rsidRPr="002029AF">
        <w:t xml:space="preserve"> </w:t>
      </w:r>
      <w:r w:rsidRPr="002029AF">
        <w:t>based</w:t>
      </w:r>
      <w:r w:rsidR="000A5329" w:rsidRPr="002029AF">
        <w:t xml:space="preserve"> </w:t>
      </w:r>
      <w:r w:rsidRPr="002029AF">
        <w:t>on</w:t>
      </w:r>
      <w:r w:rsidR="000A5329" w:rsidRPr="002029AF">
        <w:t xml:space="preserve"> </w:t>
      </w:r>
      <w:r w:rsidRPr="002029AF">
        <w:t>prior</w:t>
      </w:r>
      <w:r w:rsidR="000A5329" w:rsidRPr="002029AF">
        <w:t xml:space="preserve"> </w:t>
      </w:r>
      <w:r w:rsidRPr="002029AF">
        <w:t>periods’</w:t>
      </w:r>
      <w:r w:rsidR="000A5329" w:rsidRPr="002029AF">
        <w:t xml:space="preserve"> </w:t>
      </w:r>
      <w:r w:rsidRPr="002029AF">
        <w:t>data</w:t>
      </w:r>
      <w:r w:rsidR="000A5329" w:rsidRPr="002029AF">
        <w:t xml:space="preserve"> </w:t>
      </w:r>
      <w:r w:rsidRPr="002029AF">
        <w:t>and</w:t>
      </w:r>
      <w:r w:rsidR="000A5329" w:rsidRPr="002029AF">
        <w:t xml:space="preserve"> </w:t>
      </w:r>
      <w:r w:rsidRPr="002029AF">
        <w:t>current</w:t>
      </w:r>
      <w:r w:rsidR="000A5329" w:rsidRPr="002029AF">
        <w:t xml:space="preserve"> </w:t>
      </w:r>
      <w:r w:rsidRPr="002029AF">
        <w:t>assessment</w:t>
      </w:r>
      <w:r w:rsidR="000A5329" w:rsidRPr="002029AF">
        <w:t xml:space="preserve"> </w:t>
      </w:r>
      <w:r w:rsidRPr="002029AF">
        <w:t>of</w:t>
      </w:r>
      <w:r w:rsidR="000A5329" w:rsidRPr="002029AF">
        <w:t xml:space="preserve"> </w:t>
      </w:r>
      <w:r w:rsidRPr="002029AF">
        <w:t>risk.</w:t>
      </w:r>
    </w:p>
    <w:p w14:paraId="3B8C65A1" w14:textId="2CBA0BD0" w:rsidR="00087B91" w:rsidRPr="002029AF" w:rsidRDefault="00087B91" w:rsidP="00087B91">
      <w:pPr>
        <w:pStyle w:val="ARfinbody"/>
      </w:pPr>
      <w:r w:rsidRPr="002029AF">
        <w:t>The</w:t>
      </w:r>
      <w:r w:rsidR="000A5329" w:rsidRPr="002029AF">
        <w:t xml:space="preserve"> </w:t>
      </w:r>
      <w:r w:rsidRPr="002029AF">
        <w:t>carrying</w:t>
      </w:r>
      <w:r w:rsidR="000A5329" w:rsidRPr="002029AF">
        <w:t xml:space="preserve"> </w:t>
      </w:r>
      <w:r w:rsidRPr="002029AF">
        <w:t>amount</w:t>
      </w:r>
      <w:r w:rsidR="000A5329" w:rsidRPr="002029AF">
        <w:t xml:space="preserve"> </w:t>
      </w:r>
      <w:r w:rsidRPr="002029AF">
        <w:t>detailed</w:t>
      </w:r>
      <w:r w:rsidR="000A5329" w:rsidRPr="002029AF">
        <w:t xml:space="preserve"> </w:t>
      </w:r>
      <w:r w:rsidRPr="002029AF">
        <w:t>in</w:t>
      </w:r>
      <w:r w:rsidR="000A5329" w:rsidRPr="002029AF">
        <w:t xml:space="preserve"> </w:t>
      </w:r>
      <w:r w:rsidRPr="002029AF">
        <w:t>Notes</w:t>
      </w:r>
      <w:r w:rsidR="000A5329" w:rsidRPr="002029AF">
        <w:t xml:space="preserve"> </w:t>
      </w:r>
      <w:r w:rsidRPr="002029AF">
        <w:t>6.4.1</w:t>
      </w:r>
      <w:r w:rsidR="000A5329" w:rsidRPr="002029AF">
        <w:t xml:space="preserve"> </w:t>
      </w:r>
      <w:r w:rsidRPr="002029AF">
        <w:t>and</w:t>
      </w:r>
      <w:r w:rsidR="000A5329" w:rsidRPr="002029AF">
        <w:t xml:space="preserve"> </w:t>
      </w:r>
      <w:r w:rsidRPr="002029AF">
        <w:t>7.1.1,</w:t>
      </w:r>
      <w:r w:rsidR="000A5329" w:rsidRPr="002029AF">
        <w:t xml:space="preserve"> </w:t>
      </w:r>
      <w:r w:rsidRPr="002029AF">
        <w:t>of</w:t>
      </w:r>
      <w:r w:rsidR="000A5329" w:rsidRPr="002029AF">
        <w:t xml:space="preserve"> </w:t>
      </w:r>
      <w:r w:rsidRPr="002029AF">
        <w:t>contractual</w:t>
      </w:r>
      <w:r w:rsidR="000A5329" w:rsidRPr="002029AF">
        <w:t xml:space="preserve"> </w:t>
      </w:r>
      <w:r w:rsidRPr="002029AF">
        <w:t>financial</w:t>
      </w:r>
      <w:r w:rsidR="000A5329" w:rsidRPr="002029AF">
        <w:t xml:space="preserve"> </w:t>
      </w:r>
      <w:r w:rsidRPr="002029AF">
        <w:t>liabilities</w:t>
      </w:r>
      <w:r w:rsidR="000A5329" w:rsidRPr="002029AF">
        <w:t xml:space="preserve"> </w:t>
      </w:r>
      <w:r w:rsidRPr="002029AF">
        <w:t>recorded</w:t>
      </w:r>
      <w:r w:rsidR="000A5329" w:rsidRPr="002029AF">
        <w:t xml:space="preserve"> </w:t>
      </w:r>
      <w:r w:rsidRPr="002029AF">
        <w:t>in</w:t>
      </w:r>
      <w:r w:rsidR="000A5329" w:rsidRPr="002029AF">
        <w:t xml:space="preserve"> </w:t>
      </w:r>
      <w:r w:rsidRPr="002029AF">
        <w:t>the</w:t>
      </w:r>
      <w:r w:rsidR="000A5329" w:rsidRPr="002029AF">
        <w:t xml:space="preserve"> </w:t>
      </w:r>
      <w:r w:rsidRPr="002029AF">
        <w:t>financial</w:t>
      </w:r>
      <w:r w:rsidR="000A5329" w:rsidRPr="002029AF">
        <w:t xml:space="preserve"> </w:t>
      </w:r>
      <w:r w:rsidRPr="002029AF">
        <w:t>statements,</w:t>
      </w:r>
      <w:r w:rsidR="000A5329" w:rsidRPr="002029AF">
        <w:t xml:space="preserve"> </w:t>
      </w:r>
      <w:r w:rsidRPr="002029AF">
        <w:t>represents</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maximum</w:t>
      </w:r>
      <w:r w:rsidR="000A5329" w:rsidRPr="002029AF">
        <w:t xml:space="preserve"> </w:t>
      </w:r>
      <w:r w:rsidRPr="002029AF">
        <w:t>exposure</w:t>
      </w:r>
      <w:r w:rsidR="000A5329" w:rsidRPr="002029AF">
        <w:t xml:space="preserve"> </w:t>
      </w:r>
      <w:r w:rsidRPr="002029AF">
        <w:t>to</w:t>
      </w:r>
      <w:r w:rsidR="000A5329" w:rsidRPr="002029AF">
        <w:t xml:space="preserve"> </w:t>
      </w:r>
      <w:r w:rsidRPr="002029AF">
        <w:t>liquidity</w:t>
      </w:r>
      <w:r w:rsidR="000A5329" w:rsidRPr="002029AF">
        <w:t xml:space="preserve"> </w:t>
      </w:r>
      <w:r w:rsidRPr="002029AF">
        <w:t>risk.</w:t>
      </w:r>
    </w:p>
    <w:p w14:paraId="14239E5E" w14:textId="77777777" w:rsidR="00087B91" w:rsidRPr="002029AF" w:rsidRDefault="00087B91" w:rsidP="00087B91">
      <w:pPr>
        <w:pStyle w:val="ARfinbody"/>
      </w:pPr>
      <w:r w:rsidRPr="002029AF">
        <w:br w:type="page"/>
      </w:r>
    </w:p>
    <w:p w14:paraId="357F3D90" w14:textId="41A7B633" w:rsidR="00087B91" w:rsidRPr="002029AF" w:rsidRDefault="00087B91" w:rsidP="00087B91">
      <w:pPr>
        <w:pStyle w:val="Heading6"/>
        <w:rPr>
          <w:lang w:val="en-AU"/>
        </w:rPr>
      </w:pPr>
      <w:bookmarkStart w:id="380" w:name="_Ref52555390"/>
      <w:r w:rsidRPr="002029AF">
        <w:rPr>
          <w:lang w:val="en-AU"/>
        </w:rPr>
        <w:lastRenderedPageBreak/>
        <w:t>8.1.3.3</w:t>
      </w:r>
      <w:r w:rsidR="000A5329" w:rsidRPr="002029AF">
        <w:rPr>
          <w:lang w:val="en-AU"/>
        </w:rPr>
        <w:t xml:space="preserve"> </w:t>
      </w:r>
      <w:r w:rsidRPr="002029AF">
        <w:rPr>
          <w:lang w:val="en-AU"/>
        </w:rPr>
        <w:t>Financial</w:t>
      </w:r>
      <w:r w:rsidR="000A5329" w:rsidRPr="002029AF">
        <w:rPr>
          <w:lang w:val="en-AU"/>
        </w:rPr>
        <w:t xml:space="preserve"> </w:t>
      </w:r>
      <w:r w:rsidRPr="002029AF">
        <w:rPr>
          <w:lang w:val="en-AU"/>
        </w:rPr>
        <w:t>instruments:</w:t>
      </w:r>
      <w:r w:rsidR="000A5329" w:rsidRPr="002029AF">
        <w:rPr>
          <w:lang w:val="en-AU"/>
        </w:rPr>
        <w:t xml:space="preserve"> </w:t>
      </w:r>
      <w:r w:rsidRPr="002029AF">
        <w:rPr>
          <w:lang w:val="en-AU"/>
        </w:rPr>
        <w:t>market</w:t>
      </w:r>
      <w:r w:rsidR="000A5329" w:rsidRPr="002029AF">
        <w:rPr>
          <w:lang w:val="en-AU"/>
        </w:rPr>
        <w:t xml:space="preserve"> </w:t>
      </w:r>
      <w:r w:rsidRPr="002029AF">
        <w:rPr>
          <w:lang w:val="en-AU"/>
        </w:rPr>
        <w:t>risk</w:t>
      </w:r>
      <w:bookmarkEnd w:id="380"/>
    </w:p>
    <w:p w14:paraId="6D6986BD" w14:textId="28CB3D93" w:rsidR="00087B91" w:rsidRPr="002029AF" w:rsidRDefault="00087B91" w:rsidP="00087B91">
      <w:pPr>
        <w:pStyle w:val="ARfinbody"/>
      </w:pPr>
      <w:r w:rsidRPr="002029AF">
        <w:t>The</w:t>
      </w:r>
      <w:r w:rsidR="000A5329" w:rsidRPr="002029AF">
        <w:t xml:space="preserve"> </w:t>
      </w:r>
      <w:r w:rsidRPr="002029AF">
        <w:t>department’s</w:t>
      </w:r>
      <w:r w:rsidR="000A5329" w:rsidRPr="002029AF">
        <w:t xml:space="preserve"> </w:t>
      </w:r>
      <w:r w:rsidRPr="002029AF">
        <w:t>exposures</w:t>
      </w:r>
      <w:r w:rsidR="000A5329" w:rsidRPr="002029AF">
        <w:t xml:space="preserve"> </w:t>
      </w:r>
      <w:r w:rsidRPr="002029AF">
        <w:t>to</w:t>
      </w:r>
      <w:r w:rsidR="000A5329" w:rsidRPr="002029AF">
        <w:t xml:space="preserve"> </w:t>
      </w:r>
      <w:r w:rsidRPr="002029AF">
        <w:t>market</w:t>
      </w:r>
      <w:r w:rsidR="000A5329" w:rsidRPr="002029AF">
        <w:t xml:space="preserve"> </w:t>
      </w:r>
      <w:r w:rsidRPr="002029AF">
        <w:t>risk</w:t>
      </w:r>
      <w:r w:rsidR="000A5329" w:rsidRPr="002029AF">
        <w:t xml:space="preserve"> </w:t>
      </w:r>
      <w:r w:rsidRPr="002029AF">
        <w:t>is</w:t>
      </w:r>
      <w:r w:rsidR="000A5329" w:rsidRPr="002029AF">
        <w:t xml:space="preserve"> </w:t>
      </w:r>
      <w:r w:rsidRPr="002029AF">
        <w:t>primarily</w:t>
      </w:r>
      <w:r w:rsidR="000A5329" w:rsidRPr="002029AF">
        <w:t xml:space="preserve"> </w:t>
      </w:r>
      <w:r w:rsidRPr="002029AF">
        <w:t>through</w:t>
      </w:r>
      <w:r w:rsidR="000A5329" w:rsidRPr="002029AF">
        <w:t xml:space="preserve"> </w:t>
      </w:r>
      <w:r w:rsidRPr="002029AF">
        <w:t>interest</w:t>
      </w:r>
      <w:r w:rsidR="000A5329" w:rsidRPr="002029AF">
        <w:t xml:space="preserve"> </w:t>
      </w:r>
      <w:r w:rsidRPr="002029AF">
        <w:t>rate</w:t>
      </w:r>
      <w:r w:rsidR="000A5329" w:rsidRPr="002029AF">
        <w:t xml:space="preserve"> </w:t>
      </w:r>
      <w:r w:rsidRPr="002029AF">
        <w:t>risk.</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exposure</w:t>
      </w:r>
      <w:r w:rsidR="000A5329" w:rsidRPr="002029AF">
        <w:t xml:space="preserve"> </w:t>
      </w:r>
      <w:r w:rsidRPr="002029AF">
        <w:t>to</w:t>
      </w:r>
      <w:r w:rsidR="000A5329" w:rsidRPr="002029AF">
        <w:t xml:space="preserve"> </w:t>
      </w:r>
      <w:r w:rsidRPr="002029AF">
        <w:t>other</w:t>
      </w:r>
      <w:r w:rsidR="000A5329" w:rsidRPr="002029AF">
        <w:t xml:space="preserve"> </w:t>
      </w:r>
      <w:r w:rsidRPr="002029AF">
        <w:t>price</w:t>
      </w:r>
      <w:r w:rsidR="000A5329" w:rsidRPr="002029AF">
        <w:t xml:space="preserve"> </w:t>
      </w:r>
      <w:r w:rsidRPr="002029AF">
        <w:t>risks</w:t>
      </w:r>
      <w:r w:rsidR="000A5329" w:rsidRPr="002029AF">
        <w:t xml:space="preserve"> </w:t>
      </w:r>
      <w:r w:rsidRPr="002029AF">
        <w:t>is</w:t>
      </w:r>
      <w:r w:rsidR="000A5329" w:rsidRPr="002029AF">
        <w:t xml:space="preserve"> </w:t>
      </w:r>
      <w:r w:rsidRPr="002029AF">
        <w:t>insignificant.</w:t>
      </w:r>
      <w:r w:rsidR="000A5329" w:rsidRPr="002029AF">
        <w:t xml:space="preserve"> </w:t>
      </w:r>
      <w:r w:rsidRPr="002029AF">
        <w:t>Objectives,</w:t>
      </w:r>
      <w:r w:rsidR="000A5329" w:rsidRPr="002029AF">
        <w:t xml:space="preserve"> </w:t>
      </w:r>
      <w:r w:rsidRPr="002029AF">
        <w:t>policies</w:t>
      </w:r>
      <w:r w:rsidR="000A5329" w:rsidRPr="002029AF">
        <w:t xml:space="preserve"> </w:t>
      </w:r>
      <w:r w:rsidRPr="002029AF">
        <w:t>and</w:t>
      </w:r>
      <w:r w:rsidR="000A5329" w:rsidRPr="002029AF">
        <w:t xml:space="preserve"> </w:t>
      </w:r>
      <w:r w:rsidRPr="002029AF">
        <w:t>processes</w:t>
      </w:r>
      <w:r w:rsidR="000A5329" w:rsidRPr="002029AF">
        <w:t xml:space="preserve"> </w:t>
      </w:r>
      <w:r w:rsidRPr="002029AF">
        <w:t>used</w:t>
      </w:r>
      <w:r w:rsidR="000A5329" w:rsidRPr="002029AF">
        <w:t xml:space="preserve"> </w:t>
      </w:r>
      <w:r w:rsidRPr="002029AF">
        <w:t>to</w:t>
      </w:r>
      <w:r w:rsidR="000A5329" w:rsidRPr="002029AF">
        <w:t xml:space="preserve"> </w:t>
      </w:r>
      <w:r w:rsidRPr="002029AF">
        <w:t>manage</w:t>
      </w:r>
      <w:r w:rsidR="000A5329" w:rsidRPr="002029AF">
        <w:t xml:space="preserve"> </w:t>
      </w:r>
      <w:r w:rsidRPr="002029AF">
        <w:t>the</w:t>
      </w:r>
      <w:r w:rsidR="000A5329" w:rsidRPr="002029AF">
        <w:t xml:space="preserve"> </w:t>
      </w:r>
      <w:r w:rsidRPr="002029AF">
        <w:t>risk</w:t>
      </w:r>
      <w:r w:rsidR="000A5329" w:rsidRPr="002029AF">
        <w:t xml:space="preserve"> </w:t>
      </w:r>
      <w:r w:rsidRPr="002029AF">
        <w:t>are</w:t>
      </w:r>
      <w:r w:rsidR="000A5329" w:rsidRPr="002029AF">
        <w:t xml:space="preserve"> </w:t>
      </w:r>
      <w:r w:rsidRPr="002029AF">
        <w:t>disclosed</w:t>
      </w:r>
      <w:r w:rsidR="000A5329" w:rsidRPr="002029AF">
        <w:t xml:space="preserve"> </w:t>
      </w:r>
      <w:r w:rsidRPr="002029AF">
        <w:t>below.</w:t>
      </w:r>
    </w:p>
    <w:p w14:paraId="0463012B" w14:textId="2BF234AC" w:rsidR="00087B91" w:rsidRPr="002029AF" w:rsidRDefault="00087B91" w:rsidP="00087B91">
      <w:pPr>
        <w:pStyle w:val="Heading7"/>
      </w:pPr>
      <w:r w:rsidRPr="002029AF">
        <w:t>Sensitivity</w:t>
      </w:r>
      <w:r w:rsidR="000A5329" w:rsidRPr="002029AF">
        <w:t xml:space="preserve"> </w:t>
      </w:r>
      <w:r w:rsidRPr="002029AF">
        <w:t>disclosure</w:t>
      </w:r>
      <w:r w:rsidR="000A5329" w:rsidRPr="002029AF">
        <w:t xml:space="preserve"> </w:t>
      </w:r>
      <w:r w:rsidRPr="002029AF">
        <w:t>analysis</w:t>
      </w:r>
      <w:r w:rsidR="000A5329" w:rsidRPr="002029AF">
        <w:t xml:space="preserve"> </w:t>
      </w:r>
      <w:r w:rsidRPr="002029AF">
        <w:t>and</w:t>
      </w:r>
      <w:r w:rsidR="000A5329" w:rsidRPr="002029AF">
        <w:t xml:space="preserve"> </w:t>
      </w:r>
      <w:r w:rsidRPr="002029AF">
        <w:t>assumptions</w:t>
      </w:r>
    </w:p>
    <w:p w14:paraId="65306F83" w14:textId="7F3E792D" w:rsidR="00087B91" w:rsidRPr="002029AF" w:rsidRDefault="00087B91" w:rsidP="00087B91">
      <w:pPr>
        <w:pStyle w:val="ARfinbodyaftertable"/>
      </w:pPr>
      <w:r w:rsidRPr="002029AF">
        <w:t>Taking</w:t>
      </w:r>
      <w:r w:rsidR="000A5329" w:rsidRPr="002029AF">
        <w:t xml:space="preserve"> </w:t>
      </w:r>
      <w:r w:rsidRPr="002029AF">
        <w:t>into</w:t>
      </w:r>
      <w:r w:rsidR="000A5329" w:rsidRPr="002029AF">
        <w:t xml:space="preserve"> </w:t>
      </w:r>
      <w:r w:rsidRPr="002029AF">
        <w:t>account</w:t>
      </w:r>
      <w:r w:rsidR="000A5329" w:rsidRPr="002029AF">
        <w:t xml:space="preserve"> </w:t>
      </w:r>
      <w:r w:rsidRPr="002029AF">
        <w:t>past</w:t>
      </w:r>
      <w:r w:rsidR="000A5329" w:rsidRPr="002029AF">
        <w:t xml:space="preserve"> </w:t>
      </w:r>
      <w:r w:rsidRPr="002029AF">
        <w:t>performance,</w:t>
      </w:r>
      <w:r w:rsidR="000A5329" w:rsidRPr="002029AF">
        <w:t xml:space="preserve"> </w:t>
      </w:r>
      <w:r w:rsidRPr="002029AF">
        <w:t>future</w:t>
      </w:r>
      <w:r w:rsidR="000A5329" w:rsidRPr="002029AF">
        <w:t xml:space="preserve"> </w:t>
      </w:r>
      <w:r w:rsidRPr="002029AF">
        <w:t>expectations,</w:t>
      </w:r>
      <w:r w:rsidR="000A5329" w:rsidRPr="002029AF">
        <w:t xml:space="preserve"> </w:t>
      </w:r>
      <w:r w:rsidRPr="002029AF">
        <w:t>economic</w:t>
      </w:r>
      <w:r w:rsidR="000A5329" w:rsidRPr="002029AF">
        <w:t xml:space="preserve"> </w:t>
      </w:r>
      <w:r w:rsidRPr="002029AF">
        <w:t>forecasts,</w:t>
      </w:r>
      <w:r w:rsidR="000A5329" w:rsidRPr="002029AF">
        <w:t xml:space="preserve"> </w:t>
      </w:r>
      <w:r w:rsidRPr="002029AF">
        <w:t>and</w:t>
      </w:r>
      <w:r w:rsidR="000A5329" w:rsidRPr="002029AF">
        <w:t xml:space="preserve"> </w:t>
      </w:r>
      <w:r w:rsidRPr="002029AF">
        <w:t>management’s</w:t>
      </w:r>
      <w:r w:rsidR="000A5329" w:rsidRPr="002029AF">
        <w:t xml:space="preserve"> </w:t>
      </w:r>
      <w:r w:rsidRPr="002029AF">
        <w:t>knowledge</w:t>
      </w:r>
      <w:r w:rsidR="000A5329" w:rsidRPr="002029AF">
        <w:t xml:space="preserve"> </w:t>
      </w:r>
      <w:r w:rsidRPr="002029AF">
        <w:t>and</w:t>
      </w:r>
      <w:r w:rsidR="000A5329" w:rsidRPr="002029AF">
        <w:t xml:space="preserve"> </w:t>
      </w:r>
      <w:r w:rsidRPr="002029AF">
        <w:t>experience</w:t>
      </w:r>
      <w:r w:rsidR="000A5329" w:rsidRPr="002029AF">
        <w:t xml:space="preserve"> </w:t>
      </w:r>
      <w:r w:rsidRPr="002029AF">
        <w:t>of</w:t>
      </w:r>
      <w:r w:rsidR="000A5329" w:rsidRPr="002029AF">
        <w:t xml:space="preserve"> </w:t>
      </w:r>
      <w:r w:rsidRPr="002029AF">
        <w:t>the</w:t>
      </w:r>
      <w:r w:rsidR="000A5329" w:rsidRPr="002029AF">
        <w:t xml:space="preserve"> </w:t>
      </w:r>
      <w:r w:rsidRPr="002029AF">
        <w:t>financial</w:t>
      </w:r>
      <w:r w:rsidR="000A5329" w:rsidRPr="002029AF">
        <w:t xml:space="preserve"> </w:t>
      </w:r>
      <w:r w:rsidRPr="002029AF">
        <w:t>markets,</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believes</w:t>
      </w:r>
      <w:r w:rsidR="000A5329" w:rsidRPr="002029AF">
        <w:t xml:space="preserve"> </w:t>
      </w:r>
      <w:r w:rsidRPr="002029AF">
        <w:t>the</w:t>
      </w:r>
      <w:r w:rsidR="000A5329" w:rsidRPr="002029AF">
        <w:t xml:space="preserve"> </w:t>
      </w:r>
      <w:r w:rsidRPr="002029AF">
        <w:t>following</w:t>
      </w:r>
      <w:r w:rsidR="000A5329" w:rsidRPr="002029AF">
        <w:t xml:space="preserve"> </w:t>
      </w:r>
      <w:r w:rsidRPr="002029AF">
        <w:t>movements</w:t>
      </w:r>
      <w:r w:rsidR="000A5329" w:rsidRPr="002029AF">
        <w:t xml:space="preserve"> </w:t>
      </w:r>
      <w:r w:rsidRPr="002029AF">
        <w:t>are</w:t>
      </w:r>
      <w:r w:rsidR="000A5329" w:rsidRPr="002029AF">
        <w:t xml:space="preserve"> </w:t>
      </w:r>
      <w:r w:rsidRPr="002029AF">
        <w:t>‘reasonably</w:t>
      </w:r>
      <w:r w:rsidR="000A5329" w:rsidRPr="002029AF">
        <w:t xml:space="preserve"> </w:t>
      </w:r>
      <w:r w:rsidRPr="002029AF">
        <w:t>possible’</w:t>
      </w:r>
      <w:r w:rsidR="000A5329" w:rsidRPr="002029AF">
        <w:t xml:space="preserve"> </w:t>
      </w:r>
      <w:r w:rsidRPr="002029AF">
        <w:t>over</w:t>
      </w:r>
      <w:r w:rsidR="000A5329" w:rsidRPr="002029AF">
        <w:t xml:space="preserve"> </w:t>
      </w:r>
      <w:r w:rsidRPr="002029AF">
        <w:t>the</w:t>
      </w:r>
      <w:r w:rsidR="000A5329" w:rsidRPr="002029AF">
        <w:t xml:space="preserve"> </w:t>
      </w:r>
      <w:r w:rsidRPr="002029AF">
        <w:t>next</w:t>
      </w:r>
      <w:r w:rsidR="000A5329" w:rsidRPr="002029AF">
        <w:t xml:space="preserve"> </w:t>
      </w:r>
      <w:r w:rsidRPr="002029AF">
        <w:t>12</w:t>
      </w:r>
      <w:r w:rsidR="000A5329" w:rsidRPr="002029AF">
        <w:t xml:space="preserve"> </w:t>
      </w:r>
      <w:r w:rsidRPr="002029AF">
        <w:t>months:</w:t>
      </w:r>
    </w:p>
    <w:p w14:paraId="0E32EAD4" w14:textId="6A709181" w:rsidR="00087B91" w:rsidRPr="002029AF" w:rsidRDefault="00087B91" w:rsidP="00087B91">
      <w:pPr>
        <w:pStyle w:val="ARfinbullet1"/>
      </w:pPr>
      <w:r w:rsidRPr="002029AF">
        <w:t>A</w:t>
      </w:r>
      <w:r w:rsidR="000A5329" w:rsidRPr="002029AF">
        <w:t xml:space="preserve"> </w:t>
      </w:r>
      <w:r w:rsidRPr="002029AF">
        <w:t>shift</w:t>
      </w:r>
      <w:r w:rsidR="000A5329" w:rsidRPr="002029AF">
        <w:t xml:space="preserve"> </w:t>
      </w:r>
      <w:r w:rsidRPr="002029AF">
        <w:rPr>
          <w:color w:val="auto"/>
        </w:rPr>
        <w:t>of</w:t>
      </w:r>
      <w:r w:rsidR="000A5329" w:rsidRPr="002029AF">
        <w:rPr>
          <w:color w:val="auto"/>
        </w:rPr>
        <w:t xml:space="preserve"> </w:t>
      </w:r>
      <w:r w:rsidRPr="002029AF">
        <w:rPr>
          <w:color w:val="auto"/>
        </w:rPr>
        <w:t>+0.5%</w:t>
      </w:r>
      <w:r w:rsidR="000A5329" w:rsidRPr="002029AF">
        <w:rPr>
          <w:color w:val="auto"/>
        </w:rPr>
        <w:t xml:space="preserve"> </w:t>
      </w:r>
      <w:r w:rsidRPr="002029AF">
        <w:rPr>
          <w:color w:val="auto"/>
        </w:rPr>
        <w:t>and</w:t>
      </w:r>
      <w:r w:rsidR="000A5329" w:rsidRPr="002029AF">
        <w:rPr>
          <w:color w:val="auto"/>
        </w:rPr>
        <w:t xml:space="preserve"> </w:t>
      </w:r>
      <w:r w:rsidRPr="002029AF">
        <w:rPr>
          <w:color w:val="auto"/>
        </w:rPr>
        <w:t>-0.5%</w:t>
      </w:r>
      <w:r w:rsidR="000A5329" w:rsidRPr="002029AF">
        <w:rPr>
          <w:color w:val="auto"/>
        </w:rPr>
        <w:t xml:space="preserve"> </w:t>
      </w:r>
      <w:r w:rsidRPr="002029AF">
        <w:rPr>
          <w:color w:val="auto"/>
        </w:rPr>
        <w:t>(2019:</w:t>
      </w:r>
      <w:r w:rsidR="000A5329" w:rsidRPr="002029AF">
        <w:rPr>
          <w:color w:val="auto"/>
        </w:rPr>
        <w:t xml:space="preserve"> </w:t>
      </w:r>
      <w:r w:rsidRPr="002029AF">
        <w:t>+0.5%</w:t>
      </w:r>
      <w:r w:rsidR="000A5329" w:rsidRPr="002029AF">
        <w:t xml:space="preserve"> </w:t>
      </w:r>
      <w:r w:rsidRPr="002029AF">
        <w:t>and</w:t>
      </w:r>
      <w:r w:rsidR="000A5329" w:rsidRPr="002029AF">
        <w:t xml:space="preserve"> </w:t>
      </w:r>
      <w:r w:rsidRPr="002029AF">
        <w:t>-0.5%)</w:t>
      </w:r>
      <w:r w:rsidR="000A5329" w:rsidRPr="002029AF">
        <w:t xml:space="preserve"> </w:t>
      </w:r>
      <w:r w:rsidRPr="002029AF">
        <w:t>in</w:t>
      </w:r>
      <w:r w:rsidR="000A5329" w:rsidRPr="002029AF">
        <w:t xml:space="preserve"> </w:t>
      </w:r>
      <w:r w:rsidRPr="002029AF">
        <w:t>market</w:t>
      </w:r>
      <w:r w:rsidR="000A5329" w:rsidRPr="002029AF">
        <w:t xml:space="preserve"> </w:t>
      </w:r>
      <w:r w:rsidRPr="002029AF">
        <w:t>interest</w:t>
      </w:r>
      <w:r w:rsidR="000A5329" w:rsidRPr="002029AF">
        <w:t xml:space="preserve"> </w:t>
      </w:r>
      <w:r w:rsidRPr="002029AF">
        <w:t>rates</w:t>
      </w:r>
      <w:r w:rsidR="000A5329" w:rsidRPr="002029AF">
        <w:t xml:space="preserve"> </w:t>
      </w:r>
      <w:r w:rsidRPr="002029AF">
        <w:t>(AUD)</w:t>
      </w:r>
      <w:r w:rsidR="000A5329" w:rsidRPr="002029AF">
        <w:t xml:space="preserve"> </w:t>
      </w:r>
      <w:r w:rsidRPr="002029AF">
        <w:t>from</w:t>
      </w:r>
      <w:r w:rsidR="000A5329" w:rsidRPr="002029AF">
        <w:t xml:space="preserve"> </w:t>
      </w:r>
      <w:r w:rsidRPr="002029AF">
        <w:t>year-end</w:t>
      </w:r>
      <w:r w:rsidR="000A5329" w:rsidRPr="002029AF">
        <w:t xml:space="preserve"> </w:t>
      </w:r>
      <w:r w:rsidRPr="002029AF">
        <w:t>cash</w:t>
      </w:r>
      <w:r w:rsidR="000A5329" w:rsidRPr="002029AF">
        <w:t xml:space="preserve"> </w:t>
      </w:r>
      <w:r w:rsidRPr="002029AF">
        <w:t>deposits.</w:t>
      </w:r>
    </w:p>
    <w:p w14:paraId="5267929E" w14:textId="54128303" w:rsidR="00087B91" w:rsidRPr="002029AF" w:rsidRDefault="00087B91" w:rsidP="00087B91">
      <w:pPr>
        <w:pStyle w:val="ARfinbody"/>
      </w:pPr>
      <w:r w:rsidRPr="002029AF">
        <w:t>Several</w:t>
      </w:r>
      <w:r w:rsidR="000A5329" w:rsidRPr="002029AF">
        <w:t xml:space="preserve"> </w:t>
      </w:r>
      <w:r w:rsidRPr="002029AF">
        <w:t>loan</w:t>
      </w:r>
      <w:r w:rsidR="000A5329" w:rsidRPr="002029AF">
        <w:t xml:space="preserve"> </w:t>
      </w:r>
      <w:r w:rsidRPr="002029AF">
        <w:t>programs</w:t>
      </w:r>
      <w:r w:rsidR="000A5329" w:rsidRPr="002029AF">
        <w:t xml:space="preserve"> </w:t>
      </w:r>
      <w:r w:rsidRPr="002029AF">
        <w:t>have</w:t>
      </w:r>
      <w:r w:rsidR="000A5329" w:rsidRPr="002029AF">
        <w:t xml:space="preserve"> </w:t>
      </w:r>
      <w:r w:rsidRPr="002029AF">
        <w:t>loans</w:t>
      </w:r>
      <w:r w:rsidR="000A5329" w:rsidRPr="002029AF">
        <w:t xml:space="preserve"> </w:t>
      </w:r>
      <w:r w:rsidRPr="002029AF">
        <w:t>with</w:t>
      </w:r>
      <w:r w:rsidR="000A5329" w:rsidRPr="002029AF">
        <w:t xml:space="preserve"> </w:t>
      </w:r>
      <w:r w:rsidRPr="002029AF">
        <w:t>interest</w:t>
      </w:r>
      <w:r w:rsidR="000A5329" w:rsidRPr="002029AF">
        <w:t xml:space="preserve"> </w:t>
      </w:r>
      <w:r w:rsidRPr="002029AF">
        <w:t>rates</w:t>
      </w:r>
      <w:r w:rsidR="000A5329" w:rsidRPr="002029AF">
        <w:t xml:space="preserve"> </w:t>
      </w:r>
      <w:r w:rsidRPr="002029AF">
        <w:t>linked</w:t>
      </w:r>
      <w:r w:rsidR="000A5329" w:rsidRPr="002029AF">
        <w:t xml:space="preserve"> </w:t>
      </w:r>
      <w:r w:rsidRPr="002029AF">
        <w:t>to</w:t>
      </w:r>
      <w:r w:rsidR="000A5329" w:rsidRPr="002029AF">
        <w:t xml:space="preserve"> </w:t>
      </w:r>
      <w:r w:rsidRPr="002029AF">
        <w:t>movement</w:t>
      </w:r>
      <w:r w:rsidR="000A5329" w:rsidRPr="002029AF">
        <w:t xml:space="preserve"> </w:t>
      </w:r>
      <w:r w:rsidRPr="002029AF">
        <w:t>in</w:t>
      </w:r>
      <w:r w:rsidR="000A5329" w:rsidRPr="002029AF">
        <w:t xml:space="preserve"> </w:t>
      </w:r>
      <w:r w:rsidRPr="002029AF">
        <w:t>the</w:t>
      </w:r>
      <w:r w:rsidR="000A5329" w:rsidRPr="002029AF">
        <w:t xml:space="preserve"> </w:t>
      </w:r>
      <w:r w:rsidRPr="002029AF">
        <w:t>consumer</w:t>
      </w:r>
      <w:r w:rsidR="000A5329" w:rsidRPr="002029AF">
        <w:t xml:space="preserve"> </w:t>
      </w:r>
      <w:r w:rsidRPr="002029AF">
        <w:t>price</w:t>
      </w:r>
      <w:r w:rsidR="000A5329" w:rsidRPr="002029AF">
        <w:t xml:space="preserve"> </w:t>
      </w:r>
      <w:r w:rsidRPr="002029AF">
        <w:t>index</w:t>
      </w:r>
      <w:r w:rsidR="000A5329" w:rsidRPr="002029AF">
        <w:t xml:space="preserve"> </w:t>
      </w:r>
      <w:r w:rsidRPr="002029AF">
        <w:t>(CPI).</w:t>
      </w:r>
      <w:r w:rsidR="000A5329" w:rsidRPr="002029AF">
        <w:t xml:space="preserve"> </w:t>
      </w:r>
      <w:r w:rsidRPr="002029AF">
        <w:t>The</w:t>
      </w:r>
      <w:r w:rsidR="000A5329" w:rsidRPr="002029AF">
        <w:t xml:space="preserve"> </w:t>
      </w:r>
      <w:r w:rsidRPr="002029AF">
        <w:t>total</w:t>
      </w:r>
      <w:r w:rsidR="000A5329" w:rsidRPr="002029AF">
        <w:t xml:space="preserve"> </w:t>
      </w:r>
      <w:r w:rsidRPr="002029AF">
        <w:t>balances</w:t>
      </w:r>
      <w:r w:rsidR="000A5329" w:rsidRPr="002029AF">
        <w:t xml:space="preserve"> </w:t>
      </w:r>
      <w:r w:rsidRPr="002029AF">
        <w:t>outstanding</w:t>
      </w:r>
      <w:r w:rsidR="000A5329" w:rsidRPr="002029AF">
        <w:t xml:space="preserve"> </w:t>
      </w:r>
      <w:r w:rsidRPr="002029AF">
        <w:t>under</w:t>
      </w:r>
      <w:r w:rsidR="000A5329" w:rsidRPr="002029AF">
        <w:t xml:space="preserve"> </w:t>
      </w:r>
      <w:r w:rsidRPr="002029AF">
        <w:t>these</w:t>
      </w:r>
      <w:r w:rsidR="000A5329" w:rsidRPr="002029AF">
        <w:t xml:space="preserve"> </w:t>
      </w:r>
      <w:r w:rsidRPr="002029AF">
        <w:t>programs</w:t>
      </w:r>
      <w:r w:rsidR="000A5329" w:rsidRPr="002029AF">
        <w:t xml:space="preserve"> </w:t>
      </w:r>
      <w:r w:rsidRPr="002029AF">
        <w:t>have</w:t>
      </w:r>
      <w:r w:rsidR="000A5329" w:rsidRPr="002029AF">
        <w:t xml:space="preserve"> </w:t>
      </w:r>
      <w:r w:rsidRPr="002029AF">
        <w:t>reduced</w:t>
      </w:r>
      <w:r w:rsidR="000A5329" w:rsidRPr="002029AF">
        <w:t xml:space="preserve"> </w:t>
      </w:r>
      <w:r w:rsidRPr="002029AF">
        <w:t>to</w:t>
      </w:r>
      <w:r w:rsidR="000A5329" w:rsidRPr="002029AF">
        <w:t xml:space="preserve"> </w:t>
      </w:r>
      <w:r w:rsidRPr="002029AF">
        <w:t>a</w:t>
      </w:r>
      <w:r w:rsidR="000A5329" w:rsidRPr="002029AF">
        <w:t xml:space="preserve"> </w:t>
      </w:r>
      <w:r w:rsidRPr="002029AF">
        <w:t>level</w:t>
      </w:r>
      <w:r w:rsidR="000A5329" w:rsidRPr="002029AF">
        <w:t xml:space="preserve"> </w:t>
      </w:r>
      <w:r w:rsidRPr="002029AF">
        <w:t>that</w:t>
      </w:r>
      <w:r w:rsidR="000A5329" w:rsidRPr="002029AF">
        <w:t xml:space="preserve"> </w:t>
      </w:r>
      <w:r w:rsidRPr="002029AF">
        <w:t>any</w:t>
      </w:r>
      <w:r w:rsidR="000A5329" w:rsidRPr="002029AF">
        <w:t xml:space="preserve"> </w:t>
      </w:r>
      <w:r w:rsidRPr="002029AF">
        <w:t>changes</w:t>
      </w:r>
      <w:r w:rsidR="000A5329" w:rsidRPr="002029AF">
        <w:t xml:space="preserve"> </w:t>
      </w:r>
      <w:r w:rsidRPr="002029AF">
        <w:t>to</w:t>
      </w:r>
      <w:r w:rsidR="000A5329" w:rsidRPr="002029AF">
        <w:t xml:space="preserve"> </w:t>
      </w:r>
      <w:r w:rsidRPr="002029AF">
        <w:t>the</w:t>
      </w:r>
      <w:r w:rsidR="000A5329" w:rsidRPr="002029AF">
        <w:t xml:space="preserve"> </w:t>
      </w:r>
      <w:r w:rsidRPr="002029AF">
        <w:t>CPI</w:t>
      </w:r>
      <w:r w:rsidR="000A5329" w:rsidRPr="002029AF">
        <w:t xml:space="preserve"> </w:t>
      </w:r>
      <w:r w:rsidRPr="002029AF">
        <w:t>have</w:t>
      </w:r>
      <w:r w:rsidR="000A5329" w:rsidRPr="002029AF">
        <w:t xml:space="preserve"> </w:t>
      </w:r>
      <w:r w:rsidRPr="002029AF">
        <w:t>a</w:t>
      </w:r>
      <w:r w:rsidR="000A5329" w:rsidRPr="002029AF">
        <w:t xml:space="preserve"> </w:t>
      </w:r>
      <w:r w:rsidRPr="002029AF">
        <w:t>limited</w:t>
      </w:r>
      <w:r w:rsidR="000A5329" w:rsidRPr="002029AF">
        <w:t xml:space="preserve"> </w:t>
      </w:r>
      <w:r w:rsidRPr="002029AF">
        <w:t>impact</w:t>
      </w:r>
      <w:r w:rsidR="000A5329" w:rsidRPr="002029AF">
        <w:t xml:space="preserve"> </w:t>
      </w:r>
      <w:r w:rsidRPr="002029AF">
        <w:t>on</w:t>
      </w:r>
      <w:r w:rsidR="000A5329" w:rsidRPr="002029AF">
        <w:t xml:space="preserve"> </w:t>
      </w:r>
      <w:r w:rsidRPr="002029AF">
        <w:t>the</w:t>
      </w:r>
      <w:r w:rsidR="000A5329" w:rsidRPr="002029AF">
        <w:t xml:space="preserve"> </w:t>
      </w:r>
      <w:r w:rsidRPr="002029AF">
        <w:t>amount</w:t>
      </w:r>
      <w:r w:rsidR="000A5329" w:rsidRPr="002029AF">
        <w:t xml:space="preserve"> </w:t>
      </w:r>
      <w:r w:rsidRPr="002029AF">
        <w:t>of</w:t>
      </w:r>
      <w:r w:rsidR="000A5329" w:rsidRPr="002029AF">
        <w:t xml:space="preserve"> </w:t>
      </w:r>
      <w:r w:rsidRPr="002029AF">
        <w:t>interest</w:t>
      </w:r>
      <w:r w:rsidR="000A5329" w:rsidRPr="002029AF">
        <w:t xml:space="preserve"> </w:t>
      </w:r>
      <w:r w:rsidRPr="002029AF">
        <w:t>charged</w:t>
      </w:r>
      <w:r w:rsidR="000A5329" w:rsidRPr="002029AF">
        <w:t xml:space="preserve"> </w:t>
      </w:r>
      <w:r w:rsidRPr="002029AF">
        <w:t>and</w:t>
      </w:r>
      <w:r w:rsidR="000A5329" w:rsidRPr="002029AF">
        <w:t xml:space="preserve"> </w:t>
      </w:r>
      <w:r w:rsidRPr="002029AF">
        <w:t>no</w:t>
      </w:r>
      <w:r w:rsidR="000A5329" w:rsidRPr="002029AF">
        <w:t xml:space="preserve"> </w:t>
      </w:r>
      <w:r w:rsidRPr="002029AF">
        <w:t>new</w:t>
      </w:r>
      <w:r w:rsidR="000A5329" w:rsidRPr="002029AF">
        <w:t xml:space="preserve"> </w:t>
      </w:r>
      <w:r w:rsidRPr="002029AF">
        <w:t>lending</w:t>
      </w:r>
      <w:r w:rsidR="000A5329" w:rsidRPr="002029AF">
        <w:t xml:space="preserve"> </w:t>
      </w:r>
      <w:r w:rsidRPr="002029AF">
        <w:t>is</w:t>
      </w:r>
      <w:r w:rsidR="000A5329" w:rsidRPr="002029AF">
        <w:t xml:space="preserve"> </w:t>
      </w:r>
      <w:r w:rsidRPr="002029AF">
        <w:t>made</w:t>
      </w:r>
      <w:r w:rsidR="000A5329" w:rsidRPr="002029AF">
        <w:t xml:space="preserve"> </w:t>
      </w:r>
      <w:r w:rsidRPr="002029AF">
        <w:t>under</w:t>
      </w:r>
      <w:r w:rsidR="000A5329" w:rsidRPr="002029AF">
        <w:t xml:space="preserve"> </w:t>
      </w:r>
      <w:r w:rsidRPr="002029AF">
        <w:t>these</w:t>
      </w:r>
      <w:r w:rsidR="000A5329" w:rsidRPr="002029AF">
        <w:t xml:space="preserve"> </w:t>
      </w:r>
      <w:r w:rsidRPr="002029AF">
        <w:t>programs.</w:t>
      </w:r>
    </w:p>
    <w:p w14:paraId="6A709BCD" w14:textId="72F49CFA" w:rsidR="00087B91" w:rsidRPr="002029AF" w:rsidRDefault="00087B91" w:rsidP="00087B91">
      <w:pPr>
        <w:pStyle w:val="ARfinbody"/>
      </w:pPr>
      <w:r w:rsidRPr="002029AF">
        <w:t>The</w:t>
      </w:r>
      <w:r w:rsidR="000A5329" w:rsidRPr="002029AF">
        <w:t xml:space="preserve"> </w:t>
      </w:r>
      <w:r w:rsidRPr="002029AF">
        <w:t>tables</w:t>
      </w:r>
      <w:r w:rsidR="000A5329" w:rsidRPr="002029AF">
        <w:t xml:space="preserve"> </w:t>
      </w:r>
      <w:r w:rsidRPr="002029AF">
        <w:t>that</w:t>
      </w:r>
      <w:r w:rsidR="000A5329" w:rsidRPr="002029AF">
        <w:t xml:space="preserve"> </w:t>
      </w:r>
      <w:r w:rsidRPr="002029AF">
        <w:t>follow</w:t>
      </w:r>
      <w:r w:rsidR="000A5329" w:rsidRPr="002029AF">
        <w:t xml:space="preserve"> </w:t>
      </w:r>
      <w:r w:rsidRPr="002029AF">
        <w:t>show</w:t>
      </w:r>
      <w:r w:rsidR="000A5329" w:rsidRPr="002029AF">
        <w:t xml:space="preserve"> </w:t>
      </w:r>
      <w:r w:rsidRPr="002029AF">
        <w:t>the</w:t>
      </w:r>
      <w:r w:rsidR="000A5329" w:rsidRPr="002029AF">
        <w:t xml:space="preserve"> </w:t>
      </w:r>
      <w:r w:rsidRPr="002029AF">
        <w:t>impact</w:t>
      </w:r>
      <w:r w:rsidR="000A5329" w:rsidRPr="002029AF">
        <w:t xml:space="preserve"> </w:t>
      </w:r>
      <w:r w:rsidRPr="002029AF">
        <w:t>on</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net</w:t>
      </w:r>
      <w:r w:rsidR="000A5329" w:rsidRPr="002029AF">
        <w:t xml:space="preserve"> </w:t>
      </w:r>
      <w:r w:rsidRPr="002029AF">
        <w:t>result</w:t>
      </w:r>
      <w:r w:rsidR="000A5329" w:rsidRPr="002029AF">
        <w:t xml:space="preserve"> </w:t>
      </w:r>
      <w:r w:rsidRPr="002029AF">
        <w:t>and</w:t>
      </w:r>
      <w:r w:rsidR="000A5329" w:rsidRPr="002029AF">
        <w:t xml:space="preserve"> </w:t>
      </w:r>
      <w:r w:rsidRPr="002029AF">
        <w:t>equity</w:t>
      </w:r>
      <w:r w:rsidR="000A5329" w:rsidRPr="002029AF">
        <w:t xml:space="preserve"> </w:t>
      </w:r>
      <w:r w:rsidRPr="002029AF">
        <w:t>for</w:t>
      </w:r>
      <w:r w:rsidR="000A5329" w:rsidRPr="002029AF">
        <w:t xml:space="preserve"> </w:t>
      </w:r>
      <w:r w:rsidRPr="002029AF">
        <w:t>each</w:t>
      </w:r>
      <w:r w:rsidR="000A5329" w:rsidRPr="002029AF">
        <w:t xml:space="preserve"> </w:t>
      </w:r>
      <w:r w:rsidRPr="002029AF">
        <w:t>category</w:t>
      </w:r>
      <w:r w:rsidR="000A5329" w:rsidRPr="002029AF">
        <w:t xml:space="preserve"> </w:t>
      </w:r>
      <w:r w:rsidRPr="002029AF">
        <w:t>of</w:t>
      </w:r>
      <w:r w:rsidR="000A5329" w:rsidRPr="002029AF">
        <w:t xml:space="preserve"> </w:t>
      </w:r>
      <w:r w:rsidRPr="002029AF">
        <w:t>financial</w:t>
      </w:r>
      <w:r w:rsidR="000A5329" w:rsidRPr="002029AF">
        <w:t xml:space="preserve"> </w:t>
      </w:r>
      <w:r w:rsidRPr="002029AF">
        <w:t>instrument</w:t>
      </w:r>
      <w:r w:rsidR="000A5329" w:rsidRPr="002029AF">
        <w:t xml:space="preserve"> </w:t>
      </w:r>
      <w:r w:rsidRPr="002029AF">
        <w:t>held</w:t>
      </w:r>
      <w:r w:rsidR="000A5329" w:rsidRPr="002029AF">
        <w:t xml:space="preserve"> </w:t>
      </w:r>
      <w:r w:rsidRPr="002029AF">
        <w:t>by</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at</w:t>
      </w:r>
      <w:r w:rsidR="000A5329" w:rsidRPr="002029AF">
        <w:t xml:space="preserve"> </w:t>
      </w:r>
      <w:r w:rsidRPr="002029AF">
        <w:t>the</w:t>
      </w:r>
      <w:r w:rsidR="000A5329" w:rsidRPr="002029AF">
        <w:t xml:space="preserve"> </w:t>
      </w:r>
      <w:r w:rsidRPr="002029AF">
        <w:t>end</w:t>
      </w:r>
      <w:r w:rsidR="000A5329" w:rsidRPr="002029AF">
        <w:t xml:space="preserve"> </w:t>
      </w:r>
      <w:r w:rsidRPr="002029AF">
        <w:t>of</w:t>
      </w:r>
      <w:r w:rsidR="000A5329" w:rsidRPr="002029AF">
        <w:t xml:space="preserve"> </w:t>
      </w:r>
      <w:r w:rsidRPr="002029AF">
        <w:t>the</w:t>
      </w:r>
      <w:r w:rsidR="000A5329" w:rsidRPr="002029AF">
        <w:t xml:space="preserve"> </w:t>
      </w:r>
      <w:r w:rsidRPr="002029AF">
        <w:t>reporting</w:t>
      </w:r>
      <w:r w:rsidR="000A5329" w:rsidRPr="002029AF">
        <w:t xml:space="preserve"> </w:t>
      </w:r>
      <w:r w:rsidRPr="002029AF">
        <w:t>period,</w:t>
      </w:r>
      <w:r w:rsidR="000A5329" w:rsidRPr="002029AF">
        <w:t xml:space="preserve"> </w:t>
      </w:r>
      <w:r w:rsidRPr="002029AF">
        <w:t>if</w:t>
      </w:r>
      <w:r w:rsidR="000A5329" w:rsidRPr="002029AF">
        <w:t xml:space="preserve"> </w:t>
      </w:r>
      <w:r w:rsidRPr="002029AF">
        <w:t>the</w:t>
      </w:r>
      <w:r w:rsidR="000A5329" w:rsidRPr="002029AF">
        <w:t xml:space="preserve"> </w:t>
      </w:r>
      <w:r w:rsidRPr="002029AF">
        <w:t>above</w:t>
      </w:r>
      <w:r w:rsidR="000A5329" w:rsidRPr="002029AF">
        <w:t xml:space="preserve"> </w:t>
      </w:r>
      <w:r w:rsidRPr="002029AF">
        <w:t>movements</w:t>
      </w:r>
      <w:r w:rsidR="000A5329" w:rsidRPr="002029AF">
        <w:t xml:space="preserve"> </w:t>
      </w:r>
      <w:r w:rsidRPr="002029AF">
        <w:t>were</w:t>
      </w:r>
      <w:r w:rsidR="000A5329" w:rsidRPr="002029AF">
        <w:t xml:space="preserve"> </w:t>
      </w:r>
      <w:r w:rsidRPr="002029AF">
        <w:t>to</w:t>
      </w:r>
      <w:r w:rsidR="000A5329" w:rsidRPr="002029AF">
        <w:t xml:space="preserve"> </w:t>
      </w:r>
      <w:r w:rsidRPr="002029AF">
        <w:t>occur.</w:t>
      </w:r>
    </w:p>
    <w:p w14:paraId="7D15F098" w14:textId="3DC5AB6E" w:rsidR="00087B91" w:rsidRPr="002029AF" w:rsidRDefault="00087B91" w:rsidP="00087B91">
      <w:pPr>
        <w:pStyle w:val="Heading7"/>
      </w:pPr>
      <w:r w:rsidRPr="002029AF">
        <w:t>Interest</w:t>
      </w:r>
      <w:r w:rsidR="000A5329" w:rsidRPr="002029AF">
        <w:t xml:space="preserve"> </w:t>
      </w:r>
      <w:r w:rsidRPr="002029AF">
        <w:t>rate</w:t>
      </w:r>
      <w:r w:rsidR="000A5329" w:rsidRPr="002029AF">
        <w:t xml:space="preserve"> </w:t>
      </w:r>
      <w:r w:rsidRPr="002029AF">
        <w:t>risk</w:t>
      </w:r>
    </w:p>
    <w:p w14:paraId="4DBBF15A" w14:textId="5EF2AE8F" w:rsidR="00087B91" w:rsidRPr="002029AF" w:rsidRDefault="00087B91" w:rsidP="00087B91">
      <w:pPr>
        <w:pStyle w:val="ARfinbody"/>
      </w:pPr>
      <w:r w:rsidRPr="002029AF">
        <w:t>Fair</w:t>
      </w:r>
      <w:r w:rsidR="000A5329" w:rsidRPr="002029AF">
        <w:t xml:space="preserve"> </w:t>
      </w:r>
      <w:r w:rsidRPr="002029AF">
        <w:t>value</w:t>
      </w:r>
      <w:r w:rsidR="000A5329" w:rsidRPr="002029AF">
        <w:t xml:space="preserve"> </w:t>
      </w:r>
      <w:r w:rsidRPr="002029AF">
        <w:t>interest</w:t>
      </w:r>
      <w:r w:rsidR="000A5329" w:rsidRPr="002029AF">
        <w:t xml:space="preserve"> </w:t>
      </w:r>
      <w:r w:rsidRPr="002029AF">
        <w:t>rate</w:t>
      </w:r>
      <w:r w:rsidR="000A5329" w:rsidRPr="002029AF">
        <w:t xml:space="preserve"> </w:t>
      </w:r>
      <w:r w:rsidRPr="002029AF">
        <w:t>risk</w:t>
      </w:r>
      <w:r w:rsidR="000A5329" w:rsidRPr="002029AF">
        <w:t xml:space="preserve"> </w:t>
      </w:r>
      <w:r w:rsidRPr="002029AF">
        <w:t>is</w:t>
      </w:r>
      <w:r w:rsidR="000A5329" w:rsidRPr="002029AF">
        <w:t xml:space="preserve"> </w:t>
      </w:r>
      <w:r w:rsidRPr="002029AF">
        <w:t>the</w:t>
      </w:r>
      <w:r w:rsidR="000A5329" w:rsidRPr="002029AF">
        <w:t xml:space="preserve"> </w:t>
      </w:r>
      <w:r w:rsidRPr="002029AF">
        <w:t>risk</w:t>
      </w:r>
      <w:r w:rsidR="000A5329" w:rsidRPr="002029AF">
        <w:t xml:space="preserve"> </w:t>
      </w:r>
      <w:r w:rsidRPr="002029AF">
        <w:t>that</w:t>
      </w:r>
      <w:r w:rsidR="000A5329" w:rsidRPr="002029AF">
        <w:t xml:space="preserve"> </w:t>
      </w:r>
      <w:r w:rsidRPr="002029AF">
        <w:t>the</w:t>
      </w:r>
      <w:r w:rsidR="000A5329" w:rsidRPr="002029AF">
        <w:t xml:space="preserve"> </w:t>
      </w:r>
      <w:r w:rsidRPr="002029AF">
        <w:t>fair</w:t>
      </w:r>
      <w:r w:rsidR="000A5329" w:rsidRPr="002029AF">
        <w:t xml:space="preserve"> </w:t>
      </w:r>
      <w:r w:rsidRPr="002029AF">
        <w:t>value</w:t>
      </w:r>
      <w:r w:rsidR="000A5329" w:rsidRPr="002029AF">
        <w:t xml:space="preserve"> </w:t>
      </w:r>
      <w:r w:rsidRPr="002029AF">
        <w:t>of</w:t>
      </w:r>
      <w:r w:rsidR="000A5329" w:rsidRPr="002029AF">
        <w:t xml:space="preserve"> </w:t>
      </w:r>
      <w:r w:rsidRPr="002029AF">
        <w:t>a</w:t>
      </w:r>
      <w:r w:rsidR="000A5329" w:rsidRPr="002029AF">
        <w:t xml:space="preserve"> </w:t>
      </w:r>
      <w:r w:rsidRPr="002029AF">
        <w:t>financial</w:t>
      </w:r>
      <w:r w:rsidR="000A5329" w:rsidRPr="002029AF">
        <w:t xml:space="preserve"> </w:t>
      </w:r>
      <w:r w:rsidRPr="002029AF">
        <w:t>instrument</w:t>
      </w:r>
      <w:r w:rsidR="000A5329" w:rsidRPr="002029AF">
        <w:t xml:space="preserve"> </w:t>
      </w:r>
      <w:r w:rsidRPr="002029AF">
        <w:t>will</w:t>
      </w:r>
      <w:r w:rsidR="000A5329" w:rsidRPr="002029AF">
        <w:t xml:space="preserve"> </w:t>
      </w:r>
      <w:r w:rsidRPr="002029AF">
        <w:t>fluctuate</w:t>
      </w:r>
      <w:r w:rsidR="000A5329" w:rsidRPr="002029AF">
        <w:t xml:space="preserve"> </w:t>
      </w:r>
      <w:r w:rsidRPr="002029AF">
        <w:t>because</w:t>
      </w:r>
      <w:r w:rsidR="000A5329" w:rsidRPr="002029AF">
        <w:t xml:space="preserve"> </w:t>
      </w:r>
      <w:r w:rsidRPr="002029AF">
        <w:t>of</w:t>
      </w:r>
      <w:r w:rsidR="000A5329" w:rsidRPr="002029AF">
        <w:t xml:space="preserve"> </w:t>
      </w:r>
      <w:r w:rsidRPr="002029AF">
        <w:t>changes</w:t>
      </w:r>
      <w:r w:rsidR="000A5329" w:rsidRPr="002029AF">
        <w:t xml:space="preserve"> </w:t>
      </w:r>
      <w:r w:rsidRPr="002029AF">
        <w:t>in</w:t>
      </w:r>
      <w:r w:rsidR="000A5329" w:rsidRPr="002029AF">
        <w:t xml:space="preserve"> </w:t>
      </w:r>
      <w:r w:rsidRPr="002029AF">
        <w:t>market</w:t>
      </w:r>
      <w:r w:rsidR="000A5329" w:rsidRPr="002029AF">
        <w:t xml:space="preserve"> </w:t>
      </w:r>
      <w:r w:rsidRPr="002029AF">
        <w:t>interest</w:t>
      </w:r>
      <w:r w:rsidR="000A5329" w:rsidRPr="002029AF">
        <w:t xml:space="preserve"> </w:t>
      </w:r>
      <w:r w:rsidRPr="002029AF">
        <w:t>rates.</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does</w:t>
      </w:r>
      <w:r w:rsidR="000A5329" w:rsidRPr="002029AF">
        <w:t xml:space="preserve"> </w:t>
      </w:r>
      <w:r w:rsidRPr="002029AF">
        <w:t>not</w:t>
      </w:r>
      <w:r w:rsidR="000A5329" w:rsidRPr="002029AF">
        <w:t xml:space="preserve"> </w:t>
      </w:r>
      <w:r w:rsidRPr="002029AF">
        <w:t>hold</w:t>
      </w:r>
      <w:r w:rsidR="000A5329" w:rsidRPr="002029AF">
        <w:t xml:space="preserve"> </w:t>
      </w:r>
      <w:r w:rsidRPr="002029AF">
        <w:t>any</w:t>
      </w:r>
      <w:r w:rsidR="000A5329" w:rsidRPr="002029AF">
        <w:t xml:space="preserve"> </w:t>
      </w:r>
      <w:r w:rsidR="00201F08" w:rsidRPr="002029AF">
        <w:t>interest-bearing</w:t>
      </w:r>
      <w:r w:rsidR="000A5329" w:rsidRPr="002029AF">
        <w:t xml:space="preserve"> </w:t>
      </w:r>
      <w:r w:rsidRPr="002029AF">
        <w:t>financial</w:t>
      </w:r>
      <w:r w:rsidR="000A5329" w:rsidRPr="002029AF">
        <w:t xml:space="preserve"> </w:t>
      </w:r>
      <w:r w:rsidRPr="002029AF">
        <w:t>instruments</w:t>
      </w:r>
      <w:r w:rsidR="000A5329" w:rsidRPr="002029AF">
        <w:t xml:space="preserve"> </w:t>
      </w:r>
      <w:r w:rsidRPr="002029AF">
        <w:t>that</w:t>
      </w:r>
      <w:r w:rsidR="000A5329" w:rsidRPr="002029AF">
        <w:t xml:space="preserve"> </w:t>
      </w:r>
      <w:r w:rsidRPr="002029AF">
        <w:t>are</w:t>
      </w:r>
      <w:r w:rsidR="000A5329" w:rsidRPr="002029AF">
        <w:t xml:space="preserve"> </w:t>
      </w:r>
      <w:r w:rsidRPr="002029AF">
        <w:t>measured</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r w:rsidR="000A5329" w:rsidRPr="002029AF">
        <w:t xml:space="preserve"> </w:t>
      </w:r>
      <w:r w:rsidRPr="002029AF">
        <w:t>and</w:t>
      </w:r>
      <w:r w:rsidR="000A5329" w:rsidRPr="002029AF">
        <w:t xml:space="preserve"> </w:t>
      </w:r>
      <w:r w:rsidRPr="002029AF">
        <w:t>therefore</w:t>
      </w:r>
      <w:r w:rsidR="000A5329" w:rsidRPr="002029AF">
        <w:t xml:space="preserve"> </w:t>
      </w:r>
      <w:r w:rsidRPr="002029AF">
        <w:t>has</w:t>
      </w:r>
      <w:r w:rsidR="000A5329" w:rsidRPr="002029AF">
        <w:t xml:space="preserve"> </w:t>
      </w:r>
      <w:r w:rsidRPr="002029AF">
        <w:t>no</w:t>
      </w:r>
      <w:r w:rsidR="000A5329" w:rsidRPr="002029AF">
        <w:t xml:space="preserve"> </w:t>
      </w:r>
      <w:r w:rsidRPr="002029AF">
        <w:t>exposure</w:t>
      </w:r>
      <w:r w:rsidR="000A5329" w:rsidRPr="002029AF">
        <w:t xml:space="preserve"> </w:t>
      </w:r>
      <w:r w:rsidRPr="002029AF">
        <w:t>to</w:t>
      </w:r>
      <w:r w:rsidR="000A5329" w:rsidRPr="002029AF">
        <w:t xml:space="preserve"> </w:t>
      </w:r>
      <w:r w:rsidRPr="002029AF">
        <w:t>fair</w:t>
      </w:r>
      <w:r w:rsidR="000A5329" w:rsidRPr="002029AF">
        <w:t xml:space="preserve"> </w:t>
      </w:r>
      <w:r w:rsidRPr="002029AF">
        <w:t>value</w:t>
      </w:r>
      <w:r w:rsidR="000A5329" w:rsidRPr="002029AF">
        <w:t xml:space="preserve"> </w:t>
      </w:r>
      <w:r w:rsidRPr="002029AF">
        <w:t>interest</w:t>
      </w:r>
      <w:r w:rsidR="000A5329" w:rsidRPr="002029AF">
        <w:t xml:space="preserve"> </w:t>
      </w:r>
      <w:r w:rsidRPr="002029AF">
        <w:t>rate</w:t>
      </w:r>
      <w:r w:rsidR="000A5329" w:rsidRPr="002029AF">
        <w:t xml:space="preserve"> </w:t>
      </w:r>
      <w:r w:rsidRPr="002029AF">
        <w:t>risk.</w:t>
      </w:r>
    </w:p>
    <w:p w14:paraId="3E26E688" w14:textId="1A9E416A" w:rsidR="00087B91" w:rsidRPr="002029AF" w:rsidRDefault="00087B91" w:rsidP="00087B91">
      <w:pPr>
        <w:pStyle w:val="ARfinbody"/>
      </w:pPr>
      <w:r w:rsidRPr="002029AF">
        <w:t>Cash</w:t>
      </w:r>
      <w:r w:rsidR="000A5329" w:rsidRPr="002029AF">
        <w:t xml:space="preserve"> </w:t>
      </w:r>
      <w:r w:rsidRPr="002029AF">
        <w:t>flow</w:t>
      </w:r>
      <w:r w:rsidR="000A5329" w:rsidRPr="002029AF">
        <w:t xml:space="preserve"> </w:t>
      </w:r>
      <w:r w:rsidRPr="002029AF">
        <w:t>interest</w:t>
      </w:r>
      <w:r w:rsidR="000A5329" w:rsidRPr="002029AF">
        <w:t xml:space="preserve"> </w:t>
      </w:r>
      <w:r w:rsidRPr="002029AF">
        <w:t>rate</w:t>
      </w:r>
      <w:r w:rsidR="000A5329" w:rsidRPr="002029AF">
        <w:t xml:space="preserve"> </w:t>
      </w:r>
      <w:r w:rsidRPr="002029AF">
        <w:t>risk</w:t>
      </w:r>
      <w:r w:rsidR="000A5329" w:rsidRPr="002029AF">
        <w:t xml:space="preserve"> </w:t>
      </w:r>
      <w:r w:rsidRPr="002029AF">
        <w:t>is</w:t>
      </w:r>
      <w:r w:rsidR="000A5329" w:rsidRPr="002029AF">
        <w:t xml:space="preserve"> </w:t>
      </w:r>
      <w:r w:rsidRPr="002029AF">
        <w:t>the</w:t>
      </w:r>
      <w:r w:rsidR="000A5329" w:rsidRPr="002029AF">
        <w:t xml:space="preserve"> </w:t>
      </w:r>
      <w:r w:rsidRPr="002029AF">
        <w:t>risk</w:t>
      </w:r>
      <w:r w:rsidR="000A5329" w:rsidRPr="002029AF">
        <w:t xml:space="preserve"> </w:t>
      </w:r>
      <w:r w:rsidRPr="002029AF">
        <w:t>that</w:t>
      </w:r>
      <w:r w:rsidR="000A5329" w:rsidRPr="002029AF">
        <w:t xml:space="preserve"> </w:t>
      </w:r>
      <w:r w:rsidRPr="002029AF">
        <w:t>the</w:t>
      </w:r>
      <w:r w:rsidR="000A5329" w:rsidRPr="002029AF">
        <w:t xml:space="preserve"> </w:t>
      </w:r>
      <w:r w:rsidRPr="002029AF">
        <w:t>future</w:t>
      </w:r>
      <w:r w:rsidR="000A5329" w:rsidRPr="002029AF">
        <w:t xml:space="preserve"> </w:t>
      </w:r>
      <w:r w:rsidRPr="002029AF">
        <w:t>cash</w:t>
      </w:r>
      <w:r w:rsidR="000A5329" w:rsidRPr="002029AF">
        <w:t xml:space="preserve"> </w:t>
      </w:r>
      <w:r w:rsidRPr="002029AF">
        <w:t>flows</w:t>
      </w:r>
      <w:r w:rsidR="000A5329" w:rsidRPr="002029AF">
        <w:t xml:space="preserve"> </w:t>
      </w:r>
      <w:r w:rsidRPr="002029AF">
        <w:t>of</w:t>
      </w:r>
      <w:r w:rsidR="000A5329" w:rsidRPr="002029AF">
        <w:t xml:space="preserve"> </w:t>
      </w:r>
      <w:r w:rsidRPr="002029AF">
        <w:t>a</w:t>
      </w:r>
      <w:r w:rsidR="000A5329" w:rsidRPr="002029AF">
        <w:t xml:space="preserve"> </w:t>
      </w:r>
      <w:r w:rsidRPr="002029AF">
        <w:t>financial</w:t>
      </w:r>
      <w:r w:rsidR="000A5329" w:rsidRPr="002029AF">
        <w:t xml:space="preserve"> </w:t>
      </w:r>
      <w:r w:rsidRPr="002029AF">
        <w:t>instrument</w:t>
      </w:r>
      <w:r w:rsidR="000A5329" w:rsidRPr="002029AF">
        <w:t xml:space="preserve"> </w:t>
      </w:r>
      <w:r w:rsidRPr="002029AF">
        <w:t>will</w:t>
      </w:r>
      <w:r w:rsidR="000A5329" w:rsidRPr="002029AF">
        <w:t xml:space="preserve"> </w:t>
      </w:r>
      <w:r w:rsidRPr="002029AF">
        <w:t>fluctuate</w:t>
      </w:r>
      <w:r w:rsidR="000A5329" w:rsidRPr="002029AF">
        <w:t xml:space="preserve"> </w:t>
      </w:r>
      <w:r w:rsidRPr="002029AF">
        <w:t>because</w:t>
      </w:r>
      <w:r w:rsidR="000A5329" w:rsidRPr="002029AF">
        <w:t xml:space="preserve"> </w:t>
      </w:r>
      <w:r w:rsidRPr="002029AF">
        <w:t>of</w:t>
      </w:r>
      <w:r w:rsidR="000A5329" w:rsidRPr="002029AF">
        <w:t xml:space="preserve"> </w:t>
      </w:r>
      <w:r w:rsidRPr="002029AF">
        <w:t>changes</w:t>
      </w:r>
      <w:r w:rsidR="000A5329" w:rsidRPr="002029AF">
        <w:t xml:space="preserve"> </w:t>
      </w:r>
      <w:r w:rsidRPr="002029AF">
        <w:t>in</w:t>
      </w:r>
      <w:r w:rsidR="000A5329" w:rsidRPr="002029AF">
        <w:t xml:space="preserve"> </w:t>
      </w:r>
      <w:r w:rsidRPr="002029AF">
        <w:t>market</w:t>
      </w:r>
      <w:r w:rsidR="000A5329" w:rsidRPr="002029AF">
        <w:t xml:space="preserve"> </w:t>
      </w:r>
      <w:r w:rsidRPr="002029AF">
        <w:t>interest</w:t>
      </w:r>
      <w:r w:rsidR="000A5329" w:rsidRPr="002029AF">
        <w:t xml:space="preserve"> </w:t>
      </w:r>
      <w:r w:rsidRPr="002029AF">
        <w:t>rates.</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minimal</w:t>
      </w:r>
      <w:r w:rsidR="000A5329" w:rsidRPr="002029AF">
        <w:t xml:space="preserve"> </w:t>
      </w:r>
      <w:r w:rsidRPr="002029AF">
        <w:t>exposure</w:t>
      </w:r>
      <w:r w:rsidR="000A5329" w:rsidRPr="002029AF">
        <w:t xml:space="preserve"> </w:t>
      </w:r>
      <w:r w:rsidRPr="002029AF">
        <w:t>to</w:t>
      </w:r>
      <w:r w:rsidR="000A5329" w:rsidRPr="002029AF">
        <w:t xml:space="preserve"> </w:t>
      </w:r>
      <w:r w:rsidRPr="002029AF">
        <w:t>cash</w:t>
      </w:r>
      <w:r w:rsidR="000A5329" w:rsidRPr="002029AF">
        <w:t xml:space="preserve"> </w:t>
      </w:r>
      <w:r w:rsidRPr="002029AF">
        <w:t>flow</w:t>
      </w:r>
      <w:r w:rsidR="000A5329" w:rsidRPr="002029AF">
        <w:t xml:space="preserve"> </w:t>
      </w:r>
      <w:r w:rsidRPr="002029AF">
        <w:t>interest</w:t>
      </w:r>
      <w:r w:rsidR="000A5329" w:rsidRPr="002029AF">
        <w:t xml:space="preserve"> </w:t>
      </w:r>
      <w:r w:rsidRPr="002029AF">
        <w:t>rate</w:t>
      </w:r>
      <w:r w:rsidR="000A5329" w:rsidRPr="002029AF">
        <w:t xml:space="preserve"> </w:t>
      </w:r>
      <w:r w:rsidRPr="002029AF">
        <w:t>risks</w:t>
      </w:r>
      <w:r w:rsidR="000A5329" w:rsidRPr="002029AF">
        <w:t xml:space="preserve"> </w:t>
      </w:r>
      <w:r w:rsidRPr="002029AF">
        <w:t>through</w:t>
      </w:r>
      <w:r w:rsidR="000A5329" w:rsidRPr="002029AF">
        <w:t xml:space="preserve"> </w:t>
      </w:r>
      <w:r w:rsidRPr="002029AF">
        <w:t>cash</w:t>
      </w:r>
      <w:r w:rsidR="000A5329" w:rsidRPr="002029AF">
        <w:t xml:space="preserve"> </w:t>
      </w:r>
      <w:r w:rsidRPr="002029AF">
        <w:t>and</w:t>
      </w:r>
      <w:r w:rsidR="000A5329" w:rsidRPr="002029AF">
        <w:t xml:space="preserve"> </w:t>
      </w:r>
      <w:r w:rsidRPr="002029AF">
        <w:t>deposits</w:t>
      </w:r>
      <w:r w:rsidR="000A5329" w:rsidRPr="002029AF">
        <w:t xml:space="preserve"> </w:t>
      </w:r>
      <w:r w:rsidRPr="002029AF">
        <w:t>and</w:t>
      </w:r>
      <w:r w:rsidR="000A5329" w:rsidRPr="002029AF">
        <w:t xml:space="preserve"> </w:t>
      </w:r>
      <w:r w:rsidRPr="002029AF">
        <w:t>term</w:t>
      </w:r>
      <w:r w:rsidR="000A5329" w:rsidRPr="002029AF">
        <w:t xml:space="preserve"> </w:t>
      </w:r>
      <w:r w:rsidRPr="002029AF">
        <w:t>deposits.</w:t>
      </w:r>
    </w:p>
    <w:p w14:paraId="7566CB44" w14:textId="289FEB22" w:rsidR="00087B91" w:rsidRPr="002029AF" w:rsidRDefault="00087B91" w:rsidP="00087B91">
      <w:pPr>
        <w:pStyle w:val="ARfinbody"/>
      </w:pPr>
      <w:r w:rsidRPr="002029AF">
        <w:t>Exposure</w:t>
      </w:r>
      <w:r w:rsidR="000A5329" w:rsidRPr="002029AF">
        <w:t xml:space="preserve"> </w:t>
      </w:r>
      <w:r w:rsidRPr="002029AF">
        <w:t>to</w:t>
      </w:r>
      <w:r w:rsidR="000A5329" w:rsidRPr="002029AF">
        <w:t xml:space="preserve"> </w:t>
      </w:r>
      <w:r w:rsidRPr="002029AF">
        <w:t>interest</w:t>
      </w:r>
      <w:r w:rsidR="000A5329" w:rsidRPr="002029AF">
        <w:t xml:space="preserve"> </w:t>
      </w:r>
      <w:r w:rsidRPr="002029AF">
        <w:t>rate</w:t>
      </w:r>
      <w:r w:rsidR="000A5329" w:rsidRPr="002029AF">
        <w:t xml:space="preserve"> </w:t>
      </w:r>
      <w:r w:rsidRPr="002029AF">
        <w:t>risk</w:t>
      </w:r>
      <w:r w:rsidR="000A5329" w:rsidRPr="002029AF">
        <w:t xml:space="preserve"> </w:t>
      </w:r>
      <w:r w:rsidRPr="002029AF">
        <w:t>is</w:t>
      </w:r>
      <w:r w:rsidR="000A5329" w:rsidRPr="002029AF">
        <w:t xml:space="preserve"> </w:t>
      </w:r>
      <w:r w:rsidRPr="002029AF">
        <w:t>insignificant</w:t>
      </w:r>
      <w:r w:rsidR="000A5329" w:rsidRPr="002029AF">
        <w:t xml:space="preserve"> </w:t>
      </w:r>
      <w:r w:rsidRPr="002029AF">
        <w:t>and</w:t>
      </w:r>
      <w:r w:rsidR="000A5329" w:rsidRPr="002029AF">
        <w:t xml:space="preserve"> </w:t>
      </w:r>
      <w:r w:rsidRPr="002029AF">
        <w:t>might</w:t>
      </w:r>
      <w:r w:rsidR="000A5329" w:rsidRPr="002029AF">
        <w:t xml:space="preserve"> </w:t>
      </w:r>
      <w:r w:rsidRPr="002029AF">
        <w:t>arise</w:t>
      </w:r>
      <w:r w:rsidR="000A5329" w:rsidRPr="002029AF">
        <w:t xml:space="preserve"> </w:t>
      </w:r>
      <w:r w:rsidRPr="002029AF">
        <w:t>primarily</w:t>
      </w:r>
      <w:r w:rsidR="000A5329" w:rsidRPr="002029AF">
        <w:t xml:space="preserve"> </w:t>
      </w:r>
      <w:r w:rsidRPr="002029AF">
        <w:t>through</w:t>
      </w:r>
      <w:r w:rsidR="000A5329" w:rsidRPr="002029AF">
        <w:t xml:space="preserve"> </w:t>
      </w:r>
      <w:r w:rsidRPr="002029AF">
        <w:t>the</w:t>
      </w:r>
      <w:r w:rsidR="000A5329" w:rsidRPr="002029AF">
        <w:t xml:space="preserve"> </w:t>
      </w:r>
      <w:r w:rsidRPr="002029AF">
        <w:t>department’s</w:t>
      </w:r>
      <w:r w:rsidR="000A5329" w:rsidRPr="002029AF">
        <w:t xml:space="preserve"> </w:t>
      </w:r>
      <w:r w:rsidR="00201F08" w:rsidRPr="002029AF">
        <w:t>interest-bearing</w:t>
      </w:r>
      <w:r w:rsidR="000A5329" w:rsidRPr="002029AF">
        <w:t xml:space="preserve"> </w:t>
      </w:r>
      <w:r w:rsidRPr="002029AF">
        <w:t>assets.</w:t>
      </w:r>
      <w:r w:rsidR="000A5329" w:rsidRPr="002029AF">
        <w:t xml:space="preserve"> </w:t>
      </w:r>
      <w:r w:rsidRPr="002029AF">
        <w:t>Minimisation</w:t>
      </w:r>
      <w:r w:rsidR="000A5329" w:rsidRPr="002029AF">
        <w:t xml:space="preserve"> </w:t>
      </w:r>
      <w:r w:rsidRPr="002029AF">
        <w:t>of</w:t>
      </w:r>
      <w:r w:rsidR="000A5329" w:rsidRPr="002029AF">
        <w:t xml:space="preserve"> </w:t>
      </w:r>
      <w:r w:rsidRPr="002029AF">
        <w:t>risk</w:t>
      </w:r>
      <w:r w:rsidR="000A5329" w:rsidRPr="002029AF">
        <w:t xml:space="preserve"> </w:t>
      </w:r>
      <w:r w:rsidRPr="002029AF">
        <w:t>is</w:t>
      </w:r>
      <w:r w:rsidR="000A5329" w:rsidRPr="002029AF">
        <w:t xml:space="preserve"> </w:t>
      </w:r>
      <w:r w:rsidRPr="002029AF">
        <w:t>achieved</w:t>
      </w:r>
      <w:r w:rsidR="000A5329" w:rsidRPr="002029AF">
        <w:t xml:space="preserve"> </w:t>
      </w:r>
      <w:r w:rsidRPr="002029AF">
        <w:t>by</w:t>
      </w:r>
      <w:r w:rsidR="000A5329" w:rsidRPr="002029AF">
        <w:t xml:space="preserve"> </w:t>
      </w:r>
      <w:r w:rsidRPr="002029AF">
        <w:t>mainly</w:t>
      </w:r>
      <w:r w:rsidR="000A5329" w:rsidRPr="002029AF">
        <w:t xml:space="preserve"> </w:t>
      </w:r>
      <w:r w:rsidRPr="002029AF">
        <w:t>undertaking</w:t>
      </w:r>
      <w:r w:rsidR="000A5329" w:rsidRPr="002029AF">
        <w:t xml:space="preserve"> </w:t>
      </w:r>
      <w:r w:rsidRPr="002029AF">
        <w:t>fixed</w:t>
      </w:r>
      <w:r w:rsidR="000A5329" w:rsidRPr="002029AF">
        <w:t xml:space="preserve"> </w:t>
      </w:r>
      <w:r w:rsidRPr="002029AF">
        <w:t>rate</w:t>
      </w:r>
      <w:r w:rsidR="000A5329" w:rsidRPr="002029AF">
        <w:t xml:space="preserve"> </w:t>
      </w:r>
      <w:r w:rsidRPr="002029AF">
        <w:t>or</w:t>
      </w:r>
      <w:r w:rsidR="000A5329" w:rsidRPr="002029AF">
        <w:t xml:space="preserve"> </w:t>
      </w:r>
      <w:r w:rsidRPr="002029AF">
        <w:t>non-</w:t>
      </w:r>
      <w:r w:rsidR="00201F08" w:rsidRPr="002029AF">
        <w:t>interest-bearing</w:t>
      </w:r>
      <w:r w:rsidR="000A5329" w:rsidRPr="002029AF">
        <w:t xml:space="preserve"> </w:t>
      </w:r>
      <w:r w:rsidRPr="002029AF">
        <w:t>financial</w:t>
      </w:r>
      <w:r w:rsidR="000A5329" w:rsidRPr="002029AF">
        <w:t xml:space="preserve"> </w:t>
      </w:r>
      <w:r w:rsidRPr="002029AF">
        <w:t>instruments.</w:t>
      </w:r>
      <w:r w:rsidR="000A5329" w:rsidRPr="002029AF">
        <w:t xml:space="preserve"> </w:t>
      </w:r>
      <w:r w:rsidRPr="002029AF">
        <w:t>For</w:t>
      </w:r>
      <w:r w:rsidR="000A5329" w:rsidRPr="002029AF">
        <w:t xml:space="preserve"> </w:t>
      </w:r>
      <w:r w:rsidRPr="002029AF">
        <w:t>financial</w:t>
      </w:r>
      <w:r w:rsidR="000A5329" w:rsidRPr="002029AF">
        <w:t xml:space="preserve"> </w:t>
      </w:r>
      <w:r w:rsidRPr="002029AF">
        <w:t>liabilities,</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mainly</w:t>
      </w:r>
      <w:r w:rsidR="000A5329" w:rsidRPr="002029AF">
        <w:t xml:space="preserve"> </w:t>
      </w:r>
      <w:r w:rsidRPr="002029AF">
        <w:t>incurs</w:t>
      </w:r>
      <w:r w:rsidR="000A5329" w:rsidRPr="002029AF">
        <w:t xml:space="preserve"> </w:t>
      </w:r>
      <w:r w:rsidRPr="002029AF">
        <w:t>financial</w:t>
      </w:r>
      <w:r w:rsidR="000A5329" w:rsidRPr="002029AF">
        <w:t xml:space="preserve"> </w:t>
      </w:r>
      <w:r w:rsidRPr="002029AF">
        <w:t>liabilities</w:t>
      </w:r>
      <w:r w:rsidR="000A5329" w:rsidRPr="002029AF">
        <w:t xml:space="preserve"> </w:t>
      </w:r>
      <w:r w:rsidRPr="002029AF">
        <w:t>with</w:t>
      </w:r>
      <w:r w:rsidR="000A5329" w:rsidRPr="002029AF">
        <w:t xml:space="preserve"> </w:t>
      </w:r>
      <w:r w:rsidRPr="002029AF">
        <w:t>relatively</w:t>
      </w:r>
      <w:r w:rsidR="000A5329" w:rsidRPr="002029AF">
        <w:t xml:space="preserve"> </w:t>
      </w:r>
      <w:r w:rsidRPr="002029AF">
        <w:t>even</w:t>
      </w:r>
      <w:r w:rsidR="000A5329" w:rsidRPr="002029AF">
        <w:t xml:space="preserve"> </w:t>
      </w:r>
      <w:r w:rsidRPr="002029AF">
        <w:t>maturity</w:t>
      </w:r>
      <w:r w:rsidR="000A5329" w:rsidRPr="002029AF">
        <w:t xml:space="preserve"> </w:t>
      </w:r>
      <w:r w:rsidRPr="002029AF">
        <w:t>profiles.</w:t>
      </w:r>
    </w:p>
    <w:p w14:paraId="0390E412" w14:textId="2C0EF1CA" w:rsidR="00087B91" w:rsidRPr="002029AF" w:rsidRDefault="00087B91" w:rsidP="00087B91">
      <w:pPr>
        <w:pStyle w:val="ARfinbody"/>
      </w:pPr>
      <w:r w:rsidRPr="002029AF">
        <w:t>The</w:t>
      </w:r>
      <w:r w:rsidR="000A5329" w:rsidRPr="002029AF">
        <w:t xml:space="preserve"> </w:t>
      </w:r>
      <w:r w:rsidRPr="002029AF">
        <w:t>carrying</w:t>
      </w:r>
      <w:r w:rsidR="000A5329" w:rsidRPr="002029AF">
        <w:t xml:space="preserve"> </w:t>
      </w:r>
      <w:r w:rsidRPr="002029AF">
        <w:t>amounts</w:t>
      </w:r>
      <w:r w:rsidR="000A5329" w:rsidRPr="002029AF">
        <w:t xml:space="preserve"> </w:t>
      </w:r>
      <w:r w:rsidRPr="002029AF">
        <w:t>of</w:t>
      </w:r>
      <w:r w:rsidR="000A5329" w:rsidRPr="002029AF">
        <w:t xml:space="preserve"> </w:t>
      </w:r>
      <w:r w:rsidRPr="002029AF">
        <w:t>financial</w:t>
      </w:r>
      <w:r w:rsidR="000A5329" w:rsidRPr="002029AF">
        <w:t xml:space="preserve"> </w:t>
      </w:r>
      <w:r w:rsidRPr="002029AF">
        <w:t>assets</w:t>
      </w:r>
      <w:r w:rsidR="000A5329" w:rsidRPr="002029AF">
        <w:t xml:space="preserve"> </w:t>
      </w:r>
      <w:r w:rsidRPr="002029AF">
        <w:t>and</w:t>
      </w:r>
      <w:r w:rsidR="000A5329" w:rsidRPr="002029AF">
        <w:t xml:space="preserve"> </w:t>
      </w:r>
      <w:r w:rsidRPr="002029AF">
        <w:t>financial</w:t>
      </w:r>
      <w:r w:rsidR="000A5329" w:rsidRPr="002029AF">
        <w:t xml:space="preserve"> </w:t>
      </w:r>
      <w:r w:rsidRPr="002029AF">
        <w:t>liabilities</w:t>
      </w:r>
      <w:r w:rsidR="000A5329" w:rsidRPr="002029AF">
        <w:t xml:space="preserve"> </w:t>
      </w:r>
      <w:r w:rsidRPr="002029AF">
        <w:t>that</w:t>
      </w:r>
      <w:r w:rsidR="000A5329" w:rsidRPr="002029AF">
        <w:t xml:space="preserve"> </w:t>
      </w:r>
      <w:r w:rsidRPr="002029AF">
        <w:t>are</w:t>
      </w:r>
      <w:r w:rsidR="000A5329" w:rsidRPr="002029AF">
        <w:t xml:space="preserve"> </w:t>
      </w:r>
      <w:r w:rsidRPr="002029AF">
        <w:t>exposed</w:t>
      </w:r>
      <w:r w:rsidR="000A5329" w:rsidRPr="002029AF">
        <w:t xml:space="preserve"> </w:t>
      </w:r>
      <w:r w:rsidRPr="002029AF">
        <w:t>to</w:t>
      </w:r>
      <w:r w:rsidR="000A5329" w:rsidRPr="002029AF">
        <w:t xml:space="preserve"> </w:t>
      </w:r>
      <w:r w:rsidRPr="002029AF">
        <w:t>interest</w:t>
      </w:r>
      <w:r w:rsidR="000A5329" w:rsidRPr="002029AF">
        <w:t xml:space="preserve"> </w:t>
      </w:r>
      <w:r w:rsidRPr="002029AF">
        <w:t>rates</w:t>
      </w:r>
      <w:r w:rsidR="000A5329" w:rsidRPr="002029AF">
        <w:t xml:space="preserve"> </w:t>
      </w:r>
      <w:r w:rsidRPr="002029AF">
        <w:t>and</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sensitivity</w:t>
      </w:r>
      <w:r w:rsidR="000A5329" w:rsidRPr="002029AF">
        <w:t xml:space="preserve"> </w:t>
      </w:r>
      <w:r w:rsidRPr="002029AF">
        <w:t>to</w:t>
      </w:r>
      <w:r w:rsidR="000A5329" w:rsidRPr="002029AF">
        <w:t xml:space="preserve"> </w:t>
      </w:r>
      <w:r w:rsidRPr="002029AF">
        <w:t>interest</w:t>
      </w:r>
      <w:r w:rsidR="000A5329" w:rsidRPr="002029AF">
        <w:t xml:space="preserve"> </w:t>
      </w:r>
      <w:r w:rsidRPr="002029AF">
        <w:t>rate</w:t>
      </w:r>
      <w:r w:rsidR="000A5329" w:rsidRPr="002029AF">
        <w:t xml:space="preserve"> </w:t>
      </w:r>
      <w:r w:rsidRPr="002029AF">
        <w:t>risk</w:t>
      </w:r>
      <w:r w:rsidR="000A5329" w:rsidRPr="002029AF">
        <w:t xml:space="preserve"> </w:t>
      </w:r>
      <w:r w:rsidRPr="002029AF">
        <w:t>are</w:t>
      </w:r>
      <w:r w:rsidR="000A5329" w:rsidRPr="002029AF">
        <w:t xml:space="preserve"> </w:t>
      </w:r>
      <w:r w:rsidRPr="002029AF">
        <w:t>set</w:t>
      </w:r>
      <w:r w:rsidR="000A5329" w:rsidRPr="002029AF">
        <w:t xml:space="preserve"> </w:t>
      </w:r>
      <w:r w:rsidRPr="002029AF">
        <w:t>out</w:t>
      </w:r>
      <w:r w:rsidR="000A5329" w:rsidRPr="002029AF">
        <w:t xml:space="preserve"> </w:t>
      </w:r>
      <w:r w:rsidRPr="002029AF">
        <w:t>in</w:t>
      </w:r>
      <w:r w:rsidR="000A5329" w:rsidRPr="002029AF">
        <w:t xml:space="preserve"> </w:t>
      </w:r>
      <w:r w:rsidRPr="002029AF">
        <w:t>the</w:t>
      </w:r>
      <w:r w:rsidR="000A5329" w:rsidRPr="002029AF">
        <w:t xml:space="preserve"> </w:t>
      </w:r>
      <w:r w:rsidRPr="002029AF">
        <w:t>table</w:t>
      </w:r>
      <w:r w:rsidR="000A5329" w:rsidRPr="002029AF">
        <w:t xml:space="preserve"> </w:t>
      </w:r>
      <w:r w:rsidRPr="002029AF">
        <w:t>that</w:t>
      </w:r>
      <w:r w:rsidR="000A5329" w:rsidRPr="002029AF">
        <w:t xml:space="preserve"> </w:t>
      </w:r>
      <w:r w:rsidRPr="002029AF">
        <w:t>follows.</w:t>
      </w:r>
    </w:p>
    <w:p w14:paraId="688A3D76" w14:textId="77777777" w:rsidR="00087B91" w:rsidRPr="002029AF" w:rsidRDefault="00087B91" w:rsidP="00087B91">
      <w:pPr>
        <w:pStyle w:val="ARfinbody"/>
      </w:pPr>
      <w:r w:rsidRPr="002029AF">
        <w:br w:type="page"/>
      </w:r>
    </w:p>
    <w:p w14:paraId="1A64B72E" w14:textId="08A81B8A" w:rsidR="00087B91" w:rsidRPr="002029AF" w:rsidRDefault="00087B91" w:rsidP="00087B91">
      <w:pPr>
        <w:pStyle w:val="Heading7"/>
      </w:pPr>
      <w:r w:rsidRPr="002029AF">
        <w:lastRenderedPageBreak/>
        <w:t>Interest</w:t>
      </w:r>
      <w:r w:rsidR="000A5329" w:rsidRPr="002029AF">
        <w:t xml:space="preserve"> </w:t>
      </w:r>
      <w:r w:rsidRPr="002029AF">
        <w:t>rate</w:t>
      </w:r>
      <w:r w:rsidR="000A5329" w:rsidRPr="002029AF">
        <w:t xml:space="preserve"> </w:t>
      </w:r>
      <w:r w:rsidRPr="002029AF">
        <w:t>exposure</w:t>
      </w:r>
      <w:r w:rsidR="000A5329" w:rsidRPr="002029AF">
        <w:t xml:space="preserve"> </w:t>
      </w:r>
      <w:r w:rsidRPr="002029AF">
        <w:t>of</w:t>
      </w:r>
      <w:r w:rsidR="000A5329" w:rsidRPr="002029AF">
        <w:t xml:space="preserve"> </w:t>
      </w:r>
      <w:r w:rsidRPr="002029AF">
        <w:t>financial</w:t>
      </w:r>
      <w:r w:rsidR="000A5329" w:rsidRPr="002029AF">
        <w:t xml:space="preserve"> </w:t>
      </w:r>
      <w:r w:rsidRPr="002029AF">
        <w:t>instruments</w:t>
      </w:r>
    </w:p>
    <w:tbl>
      <w:tblPr>
        <w:tblStyle w:val="TableGrid"/>
        <w:tblW w:w="9639" w:type="dxa"/>
        <w:tblLayout w:type="fixed"/>
        <w:tblLook w:val="06A0" w:firstRow="1" w:lastRow="0" w:firstColumn="1" w:lastColumn="0" w:noHBand="1" w:noVBand="1"/>
      </w:tblPr>
      <w:tblGrid>
        <w:gridCol w:w="3969"/>
        <w:gridCol w:w="1134"/>
        <w:gridCol w:w="1134"/>
        <w:gridCol w:w="1134"/>
        <w:gridCol w:w="1134"/>
        <w:gridCol w:w="1134"/>
      </w:tblGrid>
      <w:tr w:rsidR="00087B91" w:rsidRPr="002029AF" w14:paraId="2645A817"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3969" w:type="dxa"/>
            <w:vMerge w:val="restart"/>
            <w:hideMark/>
          </w:tcPr>
          <w:p w14:paraId="24D414FD" w14:textId="77777777" w:rsidR="00087B91" w:rsidRPr="002029AF" w:rsidRDefault="00087B91" w:rsidP="00860E95">
            <w:pPr>
              <w:pStyle w:val="ARfintablecolhead"/>
            </w:pPr>
          </w:p>
        </w:tc>
        <w:tc>
          <w:tcPr>
            <w:tcW w:w="1134" w:type="dxa"/>
            <w:vMerge w:val="restart"/>
            <w:hideMark/>
          </w:tcPr>
          <w:p w14:paraId="7735E701" w14:textId="77B38F8A" w:rsidR="00087B91" w:rsidRPr="002029AF" w:rsidRDefault="00087B91" w:rsidP="00860E95">
            <w:pPr>
              <w:pStyle w:val="ARfintablecolheadright"/>
            </w:pPr>
            <w:r w:rsidRPr="002029AF">
              <w:t>Weighted</w:t>
            </w:r>
            <w:r w:rsidR="000A5329" w:rsidRPr="002029AF">
              <w:t xml:space="preserve"> </w:t>
            </w:r>
            <w:r w:rsidRPr="002029AF">
              <w:t>average</w:t>
            </w:r>
            <w:r w:rsidR="000A5329" w:rsidRPr="002029AF">
              <w:t xml:space="preserve"> </w:t>
            </w:r>
            <w:r w:rsidRPr="002029AF">
              <w:t>effective</w:t>
            </w:r>
            <w:r w:rsidR="000A5329" w:rsidRPr="002029AF">
              <w:t xml:space="preserve"> </w:t>
            </w:r>
            <w:r w:rsidRPr="002029AF">
              <w:t>interest</w:t>
            </w:r>
            <w:r w:rsidR="000A5329" w:rsidRPr="002029AF">
              <w:t xml:space="preserve"> </w:t>
            </w:r>
            <w:r w:rsidRPr="002029AF">
              <w:t>rate</w:t>
            </w:r>
            <w:r w:rsidR="000A5329" w:rsidRPr="002029AF">
              <w:t xml:space="preserve"> </w:t>
            </w:r>
            <w:r w:rsidRPr="002029AF">
              <w:t>(%)</w:t>
            </w:r>
          </w:p>
        </w:tc>
        <w:tc>
          <w:tcPr>
            <w:tcW w:w="1134" w:type="dxa"/>
            <w:vMerge w:val="restart"/>
            <w:hideMark/>
          </w:tcPr>
          <w:p w14:paraId="69EBFAEF" w14:textId="30F511CE" w:rsidR="00087B91" w:rsidRPr="002029AF" w:rsidRDefault="00087B91" w:rsidP="00860E95">
            <w:pPr>
              <w:pStyle w:val="ARfintablecolheadright"/>
            </w:pPr>
            <w:r w:rsidRPr="002029AF">
              <w:t>Carrying</w:t>
            </w:r>
            <w:r w:rsidR="000A5329" w:rsidRPr="002029AF">
              <w:t xml:space="preserve"> </w:t>
            </w:r>
            <w:r w:rsidRPr="002029AF">
              <w:t>amount</w:t>
            </w:r>
          </w:p>
          <w:p w14:paraId="1D06A07B" w14:textId="77777777" w:rsidR="00087B91" w:rsidRPr="002029AF" w:rsidRDefault="00087B91" w:rsidP="00860E95">
            <w:pPr>
              <w:pStyle w:val="ARfintablecolheadright"/>
            </w:pPr>
            <w:r w:rsidRPr="002029AF">
              <w:t>$M</w:t>
            </w:r>
          </w:p>
        </w:tc>
        <w:tc>
          <w:tcPr>
            <w:tcW w:w="3402" w:type="dxa"/>
            <w:gridSpan w:val="3"/>
            <w:hideMark/>
          </w:tcPr>
          <w:p w14:paraId="2247599D" w14:textId="601B0602" w:rsidR="00087B91" w:rsidRPr="002029AF" w:rsidRDefault="00087B91" w:rsidP="00E64696">
            <w:pPr>
              <w:pStyle w:val="ARfintablecolheadright"/>
              <w:jc w:val="center"/>
            </w:pPr>
            <w:r w:rsidRPr="002029AF">
              <w:t>Interest</w:t>
            </w:r>
            <w:r w:rsidR="000A5329" w:rsidRPr="002029AF">
              <w:t xml:space="preserve"> </w:t>
            </w:r>
            <w:r w:rsidRPr="002029AF">
              <w:t>rate</w:t>
            </w:r>
            <w:r w:rsidR="000A5329" w:rsidRPr="002029AF">
              <w:t xml:space="preserve"> </w:t>
            </w:r>
            <w:r w:rsidRPr="002029AF">
              <w:t>exposure</w:t>
            </w:r>
          </w:p>
        </w:tc>
      </w:tr>
      <w:tr w:rsidR="00087B91" w:rsidRPr="002029AF" w14:paraId="2E42DAC9"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3969" w:type="dxa"/>
            <w:vMerge/>
            <w:hideMark/>
          </w:tcPr>
          <w:p w14:paraId="594E3BD7" w14:textId="77777777" w:rsidR="00087B91" w:rsidRPr="002029AF" w:rsidRDefault="00087B91" w:rsidP="00860E95">
            <w:pPr>
              <w:pStyle w:val="ARfintablecolhead"/>
            </w:pPr>
          </w:p>
        </w:tc>
        <w:tc>
          <w:tcPr>
            <w:tcW w:w="1134" w:type="dxa"/>
            <w:vMerge/>
            <w:hideMark/>
          </w:tcPr>
          <w:p w14:paraId="295A9DDE" w14:textId="77777777" w:rsidR="00087B91" w:rsidRPr="002029AF" w:rsidRDefault="00087B91" w:rsidP="00860E95">
            <w:pPr>
              <w:pStyle w:val="ARfintablecolheadright"/>
            </w:pPr>
          </w:p>
        </w:tc>
        <w:tc>
          <w:tcPr>
            <w:tcW w:w="1134" w:type="dxa"/>
            <w:vMerge/>
            <w:hideMark/>
          </w:tcPr>
          <w:p w14:paraId="146723AB" w14:textId="77777777" w:rsidR="00087B91" w:rsidRPr="002029AF" w:rsidRDefault="00087B91" w:rsidP="00860E95">
            <w:pPr>
              <w:pStyle w:val="ARfintablecolheadright"/>
            </w:pPr>
          </w:p>
        </w:tc>
        <w:tc>
          <w:tcPr>
            <w:tcW w:w="1134" w:type="dxa"/>
            <w:hideMark/>
          </w:tcPr>
          <w:p w14:paraId="53D01EAD" w14:textId="5A52C2C3" w:rsidR="00087B91" w:rsidRPr="002029AF" w:rsidRDefault="00087B91" w:rsidP="00860E95">
            <w:pPr>
              <w:pStyle w:val="ARfintablecolheadright"/>
            </w:pPr>
            <w:r w:rsidRPr="002029AF">
              <w:t>Fixed</w:t>
            </w:r>
            <w:r w:rsidR="000A5329" w:rsidRPr="002029AF">
              <w:t xml:space="preserve"> </w:t>
            </w:r>
            <w:r w:rsidRPr="002029AF">
              <w:t>interest</w:t>
            </w:r>
            <w:r w:rsidR="000A5329" w:rsidRPr="002029AF">
              <w:t xml:space="preserve"> </w:t>
            </w:r>
            <w:r w:rsidRPr="002029AF">
              <w:t>rate</w:t>
            </w:r>
          </w:p>
          <w:p w14:paraId="7235BE98" w14:textId="77777777" w:rsidR="00087B91" w:rsidRPr="002029AF" w:rsidRDefault="00087B91" w:rsidP="00860E95">
            <w:pPr>
              <w:pStyle w:val="ARfintablecolheadright"/>
            </w:pPr>
            <w:r w:rsidRPr="002029AF">
              <w:t>$M</w:t>
            </w:r>
          </w:p>
        </w:tc>
        <w:tc>
          <w:tcPr>
            <w:tcW w:w="1134" w:type="dxa"/>
            <w:hideMark/>
          </w:tcPr>
          <w:p w14:paraId="12DDAEB4" w14:textId="25D2EB26" w:rsidR="00087B91" w:rsidRPr="002029AF" w:rsidRDefault="00087B91" w:rsidP="00860E95">
            <w:pPr>
              <w:pStyle w:val="ARfintablecolheadright"/>
            </w:pPr>
            <w:r w:rsidRPr="002029AF">
              <w:t>Variable</w:t>
            </w:r>
            <w:r w:rsidR="000A5329" w:rsidRPr="002029AF">
              <w:t xml:space="preserve"> </w:t>
            </w:r>
            <w:r w:rsidRPr="002029AF">
              <w:t>interest</w:t>
            </w:r>
            <w:r w:rsidR="000A5329" w:rsidRPr="002029AF">
              <w:t xml:space="preserve"> </w:t>
            </w:r>
            <w:r w:rsidRPr="002029AF">
              <w:t>rate</w:t>
            </w:r>
          </w:p>
          <w:p w14:paraId="5D83EF01" w14:textId="77777777" w:rsidR="00087B91" w:rsidRPr="002029AF" w:rsidRDefault="00087B91" w:rsidP="00860E95">
            <w:pPr>
              <w:pStyle w:val="ARfintablecolheadright"/>
            </w:pPr>
            <w:r w:rsidRPr="002029AF">
              <w:t>$M</w:t>
            </w:r>
          </w:p>
        </w:tc>
        <w:tc>
          <w:tcPr>
            <w:tcW w:w="1134" w:type="dxa"/>
            <w:hideMark/>
          </w:tcPr>
          <w:p w14:paraId="2974DB5F" w14:textId="6F83DA49" w:rsidR="00087B91" w:rsidRPr="002029AF" w:rsidRDefault="00087B91" w:rsidP="00860E95">
            <w:pPr>
              <w:pStyle w:val="ARfintablecolheadright"/>
            </w:pPr>
            <w:r w:rsidRPr="002029AF">
              <w:t>Non-interest</w:t>
            </w:r>
            <w:r w:rsidR="000A5329" w:rsidRPr="002029AF">
              <w:t xml:space="preserve"> </w:t>
            </w:r>
            <w:r w:rsidRPr="002029AF">
              <w:t>bearing</w:t>
            </w:r>
          </w:p>
          <w:p w14:paraId="03109578" w14:textId="77777777" w:rsidR="00087B91" w:rsidRPr="002029AF" w:rsidRDefault="00087B91" w:rsidP="00860E95">
            <w:pPr>
              <w:pStyle w:val="ARfintablecolheadright"/>
            </w:pPr>
            <w:r w:rsidRPr="002029AF">
              <w:t>$M</w:t>
            </w:r>
          </w:p>
        </w:tc>
      </w:tr>
      <w:tr w:rsidR="00087B91" w:rsidRPr="002029AF" w14:paraId="2CAA7260" w14:textId="77777777" w:rsidTr="00860E95">
        <w:tc>
          <w:tcPr>
            <w:tcW w:w="9639" w:type="dxa"/>
            <w:gridSpan w:val="6"/>
            <w:tcBorders>
              <w:bottom w:val="single" w:sz="4" w:space="0" w:color="auto"/>
            </w:tcBorders>
            <w:hideMark/>
          </w:tcPr>
          <w:p w14:paraId="55D021B8" w14:textId="77777777" w:rsidR="00087B91" w:rsidRPr="002029AF" w:rsidRDefault="00087B91" w:rsidP="00860E95">
            <w:pPr>
              <w:pStyle w:val="ARfintablebodybold"/>
            </w:pPr>
            <w:r w:rsidRPr="002029AF">
              <w:t>2020</w:t>
            </w:r>
          </w:p>
        </w:tc>
      </w:tr>
      <w:tr w:rsidR="00087B91" w:rsidRPr="002029AF" w14:paraId="7420B597" w14:textId="77777777" w:rsidTr="00860E95">
        <w:tc>
          <w:tcPr>
            <w:tcW w:w="9639" w:type="dxa"/>
            <w:gridSpan w:val="6"/>
            <w:tcBorders>
              <w:top w:val="single" w:sz="4" w:space="0" w:color="auto"/>
              <w:bottom w:val="single" w:sz="4" w:space="0" w:color="A6A6A6"/>
            </w:tcBorders>
            <w:hideMark/>
          </w:tcPr>
          <w:p w14:paraId="21F2A13F" w14:textId="0A2A0508" w:rsidR="00087B91" w:rsidRPr="002029AF" w:rsidRDefault="00087B91" w:rsidP="00860E95">
            <w:pPr>
              <w:pStyle w:val="ARfintablebodybold"/>
            </w:pPr>
            <w:r w:rsidRPr="002029AF">
              <w:t>Financial</w:t>
            </w:r>
            <w:r w:rsidR="000A5329" w:rsidRPr="002029AF">
              <w:t xml:space="preserve"> </w:t>
            </w:r>
            <w:r w:rsidRPr="002029AF">
              <w:t>assets</w:t>
            </w:r>
          </w:p>
        </w:tc>
      </w:tr>
      <w:tr w:rsidR="00087B91" w:rsidRPr="002029AF" w14:paraId="1EB7E82A" w14:textId="77777777" w:rsidTr="00860E95">
        <w:tc>
          <w:tcPr>
            <w:tcW w:w="3969" w:type="dxa"/>
            <w:tcBorders>
              <w:top w:val="single" w:sz="4" w:space="0" w:color="A6A6A6"/>
              <w:bottom w:val="single" w:sz="4" w:space="0" w:color="A6A6A6"/>
            </w:tcBorders>
            <w:hideMark/>
          </w:tcPr>
          <w:p w14:paraId="25E35B8A" w14:textId="489BFCD8" w:rsidR="00087B91" w:rsidRPr="002029AF" w:rsidRDefault="00087B91" w:rsidP="00860E95">
            <w:pPr>
              <w:pStyle w:val="ARfintablebody"/>
            </w:pPr>
            <w:r w:rsidRPr="002029AF">
              <w:t>Cash</w:t>
            </w:r>
            <w:r w:rsidR="000A5329" w:rsidRPr="002029AF">
              <w:t xml:space="preserve"> </w:t>
            </w:r>
            <w:r w:rsidRPr="002029AF">
              <w:t>and</w:t>
            </w:r>
            <w:r w:rsidR="000A5329" w:rsidRPr="002029AF">
              <w:t xml:space="preserve"> </w:t>
            </w:r>
            <w:r w:rsidRPr="002029AF">
              <w:t>deposits</w:t>
            </w:r>
          </w:p>
        </w:tc>
        <w:tc>
          <w:tcPr>
            <w:tcW w:w="1134" w:type="dxa"/>
            <w:tcBorders>
              <w:top w:val="single" w:sz="4" w:space="0" w:color="A6A6A6"/>
              <w:bottom w:val="single" w:sz="4" w:space="0" w:color="A6A6A6"/>
            </w:tcBorders>
            <w:noWrap/>
            <w:hideMark/>
          </w:tcPr>
          <w:p w14:paraId="1E3B9660" w14:textId="77777777" w:rsidR="00087B91" w:rsidRPr="002029AF" w:rsidRDefault="00087B91" w:rsidP="00860E95">
            <w:pPr>
              <w:pStyle w:val="ARfintablebodyright"/>
            </w:pPr>
            <w:r w:rsidRPr="002029AF">
              <w:t>0.6%</w:t>
            </w:r>
          </w:p>
        </w:tc>
        <w:tc>
          <w:tcPr>
            <w:tcW w:w="1134" w:type="dxa"/>
            <w:tcBorders>
              <w:top w:val="single" w:sz="4" w:space="0" w:color="A6A6A6"/>
              <w:bottom w:val="single" w:sz="4" w:space="0" w:color="A6A6A6"/>
            </w:tcBorders>
            <w:noWrap/>
            <w:hideMark/>
          </w:tcPr>
          <w:p w14:paraId="6F04A129" w14:textId="77777777" w:rsidR="00087B91" w:rsidRPr="002029AF" w:rsidRDefault="00087B91" w:rsidP="00860E95">
            <w:pPr>
              <w:pStyle w:val="ARfintablebodyright"/>
            </w:pPr>
            <w:r w:rsidRPr="002029AF">
              <w:t>597.7</w:t>
            </w:r>
          </w:p>
        </w:tc>
        <w:tc>
          <w:tcPr>
            <w:tcW w:w="1134" w:type="dxa"/>
            <w:tcBorders>
              <w:top w:val="single" w:sz="4" w:space="0" w:color="A6A6A6"/>
              <w:bottom w:val="single" w:sz="4" w:space="0" w:color="A6A6A6"/>
            </w:tcBorders>
            <w:noWrap/>
            <w:hideMark/>
          </w:tcPr>
          <w:p w14:paraId="1FA79C41"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7C2234EA" w14:textId="77777777" w:rsidR="00087B91" w:rsidRPr="002029AF" w:rsidRDefault="00087B91" w:rsidP="00860E95">
            <w:pPr>
              <w:pStyle w:val="ARfintablebodyright"/>
            </w:pPr>
            <w:r w:rsidRPr="002029AF">
              <w:t>489.8</w:t>
            </w:r>
          </w:p>
        </w:tc>
        <w:tc>
          <w:tcPr>
            <w:tcW w:w="1134" w:type="dxa"/>
            <w:tcBorders>
              <w:top w:val="single" w:sz="4" w:space="0" w:color="A6A6A6"/>
              <w:bottom w:val="single" w:sz="4" w:space="0" w:color="A6A6A6"/>
            </w:tcBorders>
            <w:noWrap/>
            <w:hideMark/>
          </w:tcPr>
          <w:p w14:paraId="4754E3E7" w14:textId="77777777" w:rsidR="00087B91" w:rsidRPr="002029AF" w:rsidRDefault="00087B91" w:rsidP="00860E95">
            <w:pPr>
              <w:pStyle w:val="ARfintablebodyright"/>
            </w:pPr>
            <w:r w:rsidRPr="002029AF">
              <w:t>107.9</w:t>
            </w:r>
          </w:p>
        </w:tc>
      </w:tr>
      <w:tr w:rsidR="00087B91" w:rsidRPr="002029AF" w14:paraId="47513016" w14:textId="77777777" w:rsidTr="00860E95">
        <w:tc>
          <w:tcPr>
            <w:tcW w:w="3969" w:type="dxa"/>
            <w:tcBorders>
              <w:top w:val="single" w:sz="4" w:space="0" w:color="A6A6A6"/>
              <w:bottom w:val="single" w:sz="4" w:space="0" w:color="A6A6A6"/>
            </w:tcBorders>
            <w:hideMark/>
          </w:tcPr>
          <w:p w14:paraId="10526588" w14:textId="63716445" w:rsidR="00087B91" w:rsidRPr="002029AF" w:rsidRDefault="00087B91" w:rsidP="00860E95">
            <w:pPr>
              <w:pStyle w:val="ARfintablebody"/>
            </w:pPr>
            <w:r w:rsidRPr="002029AF">
              <w:t>Receivables</w:t>
            </w:r>
            <w:r w:rsidR="000A5329" w:rsidRPr="002029AF">
              <w:t xml:space="preserve"> </w:t>
            </w:r>
            <w:r w:rsidRPr="002029AF">
              <w:rPr>
                <w:rStyle w:val="Superscript"/>
              </w:rPr>
              <w:t>(i)</w:t>
            </w:r>
          </w:p>
        </w:tc>
        <w:tc>
          <w:tcPr>
            <w:tcW w:w="1134" w:type="dxa"/>
            <w:tcBorders>
              <w:top w:val="single" w:sz="4" w:space="0" w:color="A6A6A6"/>
              <w:bottom w:val="single" w:sz="4" w:space="0" w:color="A6A6A6"/>
            </w:tcBorders>
            <w:noWrap/>
            <w:hideMark/>
          </w:tcPr>
          <w:p w14:paraId="440DD6D1" w14:textId="77777777" w:rsidR="00087B91" w:rsidRPr="002029AF" w:rsidRDefault="00087B91" w:rsidP="00860E95">
            <w:pPr>
              <w:pStyle w:val="ARfintablebodyright"/>
            </w:pPr>
          </w:p>
        </w:tc>
        <w:tc>
          <w:tcPr>
            <w:tcW w:w="1134" w:type="dxa"/>
            <w:tcBorders>
              <w:top w:val="single" w:sz="4" w:space="0" w:color="A6A6A6"/>
              <w:bottom w:val="single" w:sz="4" w:space="0" w:color="A6A6A6"/>
            </w:tcBorders>
            <w:noWrap/>
            <w:hideMark/>
          </w:tcPr>
          <w:p w14:paraId="61F6E38B" w14:textId="77777777" w:rsidR="00087B91" w:rsidRPr="002029AF" w:rsidRDefault="00087B91" w:rsidP="00860E95">
            <w:pPr>
              <w:pStyle w:val="ARfintablebodyright"/>
            </w:pPr>
            <w:r w:rsidRPr="002029AF">
              <w:t>487.7</w:t>
            </w:r>
          </w:p>
        </w:tc>
        <w:tc>
          <w:tcPr>
            <w:tcW w:w="1134" w:type="dxa"/>
            <w:tcBorders>
              <w:top w:val="single" w:sz="4" w:space="0" w:color="A6A6A6"/>
              <w:bottom w:val="single" w:sz="4" w:space="0" w:color="A6A6A6"/>
            </w:tcBorders>
            <w:noWrap/>
            <w:hideMark/>
          </w:tcPr>
          <w:p w14:paraId="5784409C"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07AF76D8"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716EEB99" w14:textId="77777777" w:rsidR="00087B91" w:rsidRPr="002029AF" w:rsidRDefault="00087B91" w:rsidP="00860E95">
            <w:pPr>
              <w:pStyle w:val="ARfintablebodyright"/>
            </w:pPr>
            <w:r w:rsidRPr="002029AF">
              <w:t>487.7</w:t>
            </w:r>
          </w:p>
        </w:tc>
      </w:tr>
      <w:tr w:rsidR="00087B91" w:rsidRPr="002029AF" w14:paraId="135CAB38" w14:textId="77777777" w:rsidTr="00860E95">
        <w:tc>
          <w:tcPr>
            <w:tcW w:w="3969" w:type="dxa"/>
            <w:tcBorders>
              <w:top w:val="single" w:sz="4" w:space="0" w:color="A6A6A6"/>
              <w:bottom w:val="single" w:sz="4" w:space="0" w:color="A6A6A6"/>
            </w:tcBorders>
            <w:hideMark/>
          </w:tcPr>
          <w:p w14:paraId="10AE9E3A" w14:textId="77777777" w:rsidR="00087B91" w:rsidRPr="002029AF" w:rsidRDefault="00087B91" w:rsidP="00860E95">
            <w:pPr>
              <w:pStyle w:val="ARfintablebody"/>
            </w:pPr>
            <w:r w:rsidRPr="002029AF">
              <w:t>Loans</w:t>
            </w:r>
          </w:p>
        </w:tc>
        <w:tc>
          <w:tcPr>
            <w:tcW w:w="1134" w:type="dxa"/>
            <w:tcBorders>
              <w:top w:val="single" w:sz="4" w:space="0" w:color="A6A6A6"/>
              <w:bottom w:val="single" w:sz="4" w:space="0" w:color="A6A6A6"/>
            </w:tcBorders>
            <w:noWrap/>
            <w:hideMark/>
          </w:tcPr>
          <w:p w14:paraId="15F8CF92" w14:textId="77777777" w:rsidR="00087B91" w:rsidRPr="002029AF" w:rsidRDefault="00087B91" w:rsidP="00860E95">
            <w:pPr>
              <w:pStyle w:val="ARfintablebodyright"/>
            </w:pPr>
            <w:r w:rsidRPr="002029AF">
              <w:t>3.2%</w:t>
            </w:r>
          </w:p>
        </w:tc>
        <w:tc>
          <w:tcPr>
            <w:tcW w:w="1134" w:type="dxa"/>
            <w:tcBorders>
              <w:top w:val="single" w:sz="4" w:space="0" w:color="A6A6A6"/>
              <w:bottom w:val="single" w:sz="4" w:space="0" w:color="A6A6A6"/>
            </w:tcBorders>
            <w:noWrap/>
            <w:hideMark/>
          </w:tcPr>
          <w:p w14:paraId="053FC5DF" w14:textId="77777777" w:rsidR="00087B91" w:rsidRPr="002029AF" w:rsidRDefault="00087B91" w:rsidP="00860E95">
            <w:pPr>
              <w:pStyle w:val="ARfintablebodyright"/>
            </w:pPr>
            <w:r w:rsidRPr="002029AF">
              <w:t>389.5</w:t>
            </w:r>
          </w:p>
        </w:tc>
        <w:tc>
          <w:tcPr>
            <w:tcW w:w="1134" w:type="dxa"/>
            <w:tcBorders>
              <w:top w:val="single" w:sz="4" w:space="0" w:color="A6A6A6"/>
              <w:bottom w:val="single" w:sz="4" w:space="0" w:color="A6A6A6"/>
            </w:tcBorders>
            <w:noWrap/>
            <w:hideMark/>
          </w:tcPr>
          <w:p w14:paraId="7A96A778" w14:textId="77777777" w:rsidR="00087B91" w:rsidRPr="002029AF" w:rsidRDefault="00087B91" w:rsidP="00860E95">
            <w:pPr>
              <w:pStyle w:val="ARfintablebodyright"/>
            </w:pPr>
            <w:r w:rsidRPr="002029AF">
              <w:t>1.5</w:t>
            </w:r>
          </w:p>
        </w:tc>
        <w:tc>
          <w:tcPr>
            <w:tcW w:w="1134" w:type="dxa"/>
            <w:tcBorders>
              <w:top w:val="single" w:sz="4" w:space="0" w:color="A6A6A6"/>
              <w:bottom w:val="single" w:sz="4" w:space="0" w:color="A6A6A6"/>
            </w:tcBorders>
            <w:noWrap/>
            <w:hideMark/>
          </w:tcPr>
          <w:p w14:paraId="00A38DED" w14:textId="77777777" w:rsidR="00087B91" w:rsidRPr="002029AF" w:rsidRDefault="00087B91" w:rsidP="00860E95">
            <w:pPr>
              <w:pStyle w:val="ARfintablebodyright"/>
            </w:pPr>
            <w:r w:rsidRPr="002029AF">
              <w:t>10.9</w:t>
            </w:r>
          </w:p>
        </w:tc>
        <w:tc>
          <w:tcPr>
            <w:tcW w:w="1134" w:type="dxa"/>
            <w:tcBorders>
              <w:top w:val="single" w:sz="4" w:space="0" w:color="A6A6A6"/>
              <w:bottom w:val="single" w:sz="4" w:space="0" w:color="A6A6A6"/>
            </w:tcBorders>
            <w:noWrap/>
            <w:hideMark/>
          </w:tcPr>
          <w:p w14:paraId="1D885CCB" w14:textId="77777777" w:rsidR="00087B91" w:rsidRPr="002029AF" w:rsidRDefault="00087B91" w:rsidP="00860E95">
            <w:pPr>
              <w:pStyle w:val="ARfintablebodyright"/>
            </w:pPr>
            <w:r w:rsidRPr="002029AF">
              <w:t>377.1</w:t>
            </w:r>
          </w:p>
        </w:tc>
      </w:tr>
      <w:tr w:rsidR="00087B91" w:rsidRPr="002029AF" w14:paraId="39C46A46" w14:textId="77777777" w:rsidTr="00860E95">
        <w:tc>
          <w:tcPr>
            <w:tcW w:w="3969" w:type="dxa"/>
            <w:tcBorders>
              <w:top w:val="single" w:sz="4" w:space="0" w:color="A6A6A6"/>
            </w:tcBorders>
            <w:hideMark/>
          </w:tcPr>
          <w:p w14:paraId="65214FA8" w14:textId="17171522" w:rsidR="00087B91" w:rsidRPr="002029AF" w:rsidRDefault="00087B91" w:rsidP="00860E95">
            <w:pPr>
              <w:pStyle w:val="ARfintablebody"/>
            </w:pPr>
            <w:r w:rsidRPr="002029AF">
              <w:t>Short-term</w:t>
            </w:r>
            <w:r w:rsidR="000A5329" w:rsidRPr="002029AF">
              <w:t xml:space="preserve"> </w:t>
            </w:r>
            <w:r w:rsidRPr="002029AF">
              <w:t>investments</w:t>
            </w:r>
            <w:r w:rsidR="000A5329" w:rsidRPr="002029AF">
              <w:t xml:space="preserve"> </w:t>
            </w:r>
            <w:r w:rsidRPr="002029AF">
              <w:t>–</w:t>
            </w:r>
            <w:r w:rsidR="000A5329" w:rsidRPr="002029AF">
              <w:t xml:space="preserve"> </w:t>
            </w:r>
            <w:r w:rsidRPr="002029AF">
              <w:t>term</w:t>
            </w:r>
            <w:r w:rsidR="000A5329" w:rsidRPr="002029AF">
              <w:t xml:space="preserve"> </w:t>
            </w:r>
            <w:r w:rsidRPr="002029AF">
              <w:t>deposits</w:t>
            </w:r>
          </w:p>
        </w:tc>
        <w:tc>
          <w:tcPr>
            <w:tcW w:w="1134" w:type="dxa"/>
            <w:tcBorders>
              <w:top w:val="single" w:sz="4" w:space="0" w:color="A6A6A6"/>
            </w:tcBorders>
            <w:noWrap/>
            <w:hideMark/>
          </w:tcPr>
          <w:p w14:paraId="49F9CD17" w14:textId="77777777" w:rsidR="00087B91" w:rsidRPr="002029AF" w:rsidRDefault="00087B91" w:rsidP="00860E95">
            <w:pPr>
              <w:pStyle w:val="ARfintablebodyright"/>
            </w:pPr>
          </w:p>
        </w:tc>
        <w:tc>
          <w:tcPr>
            <w:tcW w:w="1134" w:type="dxa"/>
            <w:tcBorders>
              <w:top w:val="single" w:sz="4" w:space="0" w:color="A6A6A6"/>
            </w:tcBorders>
            <w:noWrap/>
            <w:hideMark/>
          </w:tcPr>
          <w:p w14:paraId="0F3DC07A" w14:textId="77777777" w:rsidR="00087B91" w:rsidRPr="002029AF" w:rsidRDefault="00087B91" w:rsidP="00860E95">
            <w:pPr>
              <w:pStyle w:val="ARfintablebodyright"/>
            </w:pPr>
            <w:r w:rsidRPr="002029AF">
              <w:t>–</w:t>
            </w:r>
          </w:p>
        </w:tc>
        <w:tc>
          <w:tcPr>
            <w:tcW w:w="1134" w:type="dxa"/>
            <w:tcBorders>
              <w:top w:val="single" w:sz="4" w:space="0" w:color="A6A6A6"/>
            </w:tcBorders>
            <w:noWrap/>
            <w:hideMark/>
          </w:tcPr>
          <w:p w14:paraId="4F0DC8FC" w14:textId="77777777" w:rsidR="00087B91" w:rsidRPr="002029AF" w:rsidRDefault="00087B91" w:rsidP="00860E95">
            <w:pPr>
              <w:pStyle w:val="ARfintablebodyright"/>
            </w:pPr>
            <w:r w:rsidRPr="002029AF">
              <w:t>–</w:t>
            </w:r>
          </w:p>
        </w:tc>
        <w:tc>
          <w:tcPr>
            <w:tcW w:w="1134" w:type="dxa"/>
            <w:tcBorders>
              <w:top w:val="single" w:sz="4" w:space="0" w:color="A6A6A6"/>
            </w:tcBorders>
            <w:noWrap/>
            <w:hideMark/>
          </w:tcPr>
          <w:p w14:paraId="5EE43C05" w14:textId="77777777" w:rsidR="00087B91" w:rsidRPr="002029AF" w:rsidRDefault="00087B91" w:rsidP="00860E95">
            <w:pPr>
              <w:pStyle w:val="ARfintablebodyright"/>
            </w:pPr>
            <w:r w:rsidRPr="002029AF">
              <w:t>–</w:t>
            </w:r>
          </w:p>
        </w:tc>
        <w:tc>
          <w:tcPr>
            <w:tcW w:w="1134" w:type="dxa"/>
            <w:tcBorders>
              <w:top w:val="single" w:sz="4" w:space="0" w:color="A6A6A6"/>
            </w:tcBorders>
            <w:noWrap/>
            <w:hideMark/>
          </w:tcPr>
          <w:p w14:paraId="74DF68CD" w14:textId="77777777" w:rsidR="00087B91" w:rsidRPr="002029AF" w:rsidRDefault="00087B91" w:rsidP="00860E95">
            <w:pPr>
              <w:pStyle w:val="ARfintablebodyright"/>
            </w:pPr>
            <w:r w:rsidRPr="002029AF">
              <w:t>–</w:t>
            </w:r>
          </w:p>
        </w:tc>
      </w:tr>
      <w:tr w:rsidR="00087B91" w:rsidRPr="002029AF" w14:paraId="1AF526BE" w14:textId="77777777" w:rsidTr="00860E95">
        <w:tc>
          <w:tcPr>
            <w:tcW w:w="3969" w:type="dxa"/>
            <w:tcBorders>
              <w:bottom w:val="single" w:sz="4" w:space="0" w:color="auto"/>
            </w:tcBorders>
            <w:hideMark/>
          </w:tcPr>
          <w:p w14:paraId="3F2DC530" w14:textId="5747B8E7" w:rsidR="00087B91" w:rsidRPr="002029AF" w:rsidRDefault="00087B91" w:rsidP="00860E95">
            <w:pPr>
              <w:pStyle w:val="ARfintablebodybold"/>
            </w:pPr>
            <w:r w:rsidRPr="002029AF">
              <w:t>Total</w:t>
            </w:r>
            <w:r w:rsidR="000A5329" w:rsidRPr="002029AF">
              <w:t xml:space="preserve"> </w:t>
            </w:r>
            <w:r w:rsidRPr="002029AF">
              <w:t>financial</w:t>
            </w:r>
            <w:r w:rsidR="000A5329" w:rsidRPr="002029AF">
              <w:t xml:space="preserve"> </w:t>
            </w:r>
            <w:r w:rsidRPr="002029AF">
              <w:t>assets</w:t>
            </w:r>
          </w:p>
        </w:tc>
        <w:tc>
          <w:tcPr>
            <w:tcW w:w="1134" w:type="dxa"/>
            <w:tcBorders>
              <w:bottom w:val="single" w:sz="4" w:space="0" w:color="auto"/>
            </w:tcBorders>
            <w:noWrap/>
            <w:hideMark/>
          </w:tcPr>
          <w:p w14:paraId="59F2A065" w14:textId="77777777" w:rsidR="00087B91" w:rsidRPr="002029AF" w:rsidRDefault="00087B91" w:rsidP="00860E95">
            <w:pPr>
              <w:pStyle w:val="ARfintablebodyrightbold"/>
            </w:pPr>
          </w:p>
        </w:tc>
        <w:tc>
          <w:tcPr>
            <w:tcW w:w="1134" w:type="dxa"/>
            <w:tcBorders>
              <w:bottom w:val="single" w:sz="4" w:space="0" w:color="auto"/>
            </w:tcBorders>
            <w:noWrap/>
            <w:hideMark/>
          </w:tcPr>
          <w:p w14:paraId="4C003A5A" w14:textId="77777777" w:rsidR="00087B91" w:rsidRPr="002029AF" w:rsidRDefault="00087B91" w:rsidP="00860E95">
            <w:pPr>
              <w:pStyle w:val="ARfintablebodyrightbold"/>
            </w:pPr>
            <w:r w:rsidRPr="002029AF">
              <w:t>1,474.9</w:t>
            </w:r>
          </w:p>
        </w:tc>
        <w:tc>
          <w:tcPr>
            <w:tcW w:w="1134" w:type="dxa"/>
            <w:tcBorders>
              <w:bottom w:val="single" w:sz="4" w:space="0" w:color="auto"/>
            </w:tcBorders>
            <w:noWrap/>
            <w:hideMark/>
          </w:tcPr>
          <w:p w14:paraId="3FCB6B9B" w14:textId="77777777" w:rsidR="00087B91" w:rsidRPr="002029AF" w:rsidRDefault="00087B91" w:rsidP="00860E95">
            <w:pPr>
              <w:pStyle w:val="ARfintablebodyrightbold"/>
            </w:pPr>
            <w:r w:rsidRPr="002029AF">
              <w:t>1.5</w:t>
            </w:r>
          </w:p>
        </w:tc>
        <w:tc>
          <w:tcPr>
            <w:tcW w:w="1134" w:type="dxa"/>
            <w:tcBorders>
              <w:bottom w:val="single" w:sz="4" w:space="0" w:color="auto"/>
            </w:tcBorders>
            <w:noWrap/>
            <w:hideMark/>
          </w:tcPr>
          <w:p w14:paraId="79EBFC23" w14:textId="77777777" w:rsidR="00087B91" w:rsidRPr="002029AF" w:rsidRDefault="00087B91" w:rsidP="00860E95">
            <w:pPr>
              <w:pStyle w:val="ARfintablebodyrightbold"/>
            </w:pPr>
            <w:r w:rsidRPr="002029AF">
              <w:t>500.7</w:t>
            </w:r>
          </w:p>
        </w:tc>
        <w:tc>
          <w:tcPr>
            <w:tcW w:w="1134" w:type="dxa"/>
            <w:tcBorders>
              <w:bottom w:val="single" w:sz="4" w:space="0" w:color="auto"/>
            </w:tcBorders>
            <w:noWrap/>
            <w:hideMark/>
          </w:tcPr>
          <w:p w14:paraId="6D34BAF4" w14:textId="77777777" w:rsidR="00087B91" w:rsidRPr="002029AF" w:rsidRDefault="00087B91" w:rsidP="00860E95">
            <w:pPr>
              <w:pStyle w:val="ARfintablebodyrightbold"/>
            </w:pPr>
            <w:r w:rsidRPr="002029AF">
              <w:t>972.7</w:t>
            </w:r>
          </w:p>
        </w:tc>
      </w:tr>
      <w:tr w:rsidR="00087B91" w:rsidRPr="002029AF" w14:paraId="187EC2A8" w14:textId="77777777" w:rsidTr="00860E95">
        <w:tc>
          <w:tcPr>
            <w:tcW w:w="9639" w:type="dxa"/>
            <w:gridSpan w:val="6"/>
            <w:tcBorders>
              <w:top w:val="single" w:sz="4" w:space="0" w:color="auto"/>
              <w:bottom w:val="single" w:sz="4" w:space="0" w:color="A6A6A6"/>
            </w:tcBorders>
            <w:hideMark/>
          </w:tcPr>
          <w:p w14:paraId="49DC037E" w14:textId="4A956780" w:rsidR="00087B91" w:rsidRPr="002029AF" w:rsidRDefault="00087B91" w:rsidP="00860E95">
            <w:pPr>
              <w:pStyle w:val="ARfintablebodybold"/>
            </w:pPr>
            <w:r w:rsidRPr="002029AF">
              <w:t>Financial</w:t>
            </w:r>
            <w:r w:rsidR="000A5329" w:rsidRPr="002029AF">
              <w:t xml:space="preserve"> </w:t>
            </w:r>
            <w:r w:rsidRPr="002029AF">
              <w:t>liabilities</w:t>
            </w:r>
          </w:p>
        </w:tc>
      </w:tr>
      <w:tr w:rsidR="00087B91" w:rsidRPr="002029AF" w14:paraId="7ECDE69B" w14:textId="77777777" w:rsidTr="00860E95">
        <w:tc>
          <w:tcPr>
            <w:tcW w:w="3969" w:type="dxa"/>
            <w:tcBorders>
              <w:top w:val="single" w:sz="4" w:space="0" w:color="A6A6A6"/>
              <w:bottom w:val="single" w:sz="4" w:space="0" w:color="A6A6A6"/>
            </w:tcBorders>
            <w:hideMark/>
          </w:tcPr>
          <w:p w14:paraId="51FE5E41" w14:textId="6C3A22CB" w:rsidR="00087B91" w:rsidRPr="002029AF" w:rsidRDefault="00087B91" w:rsidP="00860E95">
            <w:pPr>
              <w:pStyle w:val="ARfintablebody"/>
            </w:pPr>
            <w:r w:rsidRPr="002029AF">
              <w:t>Payables</w:t>
            </w:r>
            <w:r w:rsidR="000A5329" w:rsidRPr="002029AF">
              <w:t xml:space="preserve"> </w:t>
            </w:r>
            <w:r w:rsidRPr="002029AF">
              <w:rPr>
                <w:rStyle w:val="Superscript"/>
              </w:rPr>
              <w:t>(i)</w:t>
            </w:r>
          </w:p>
        </w:tc>
        <w:tc>
          <w:tcPr>
            <w:tcW w:w="1134" w:type="dxa"/>
            <w:tcBorders>
              <w:top w:val="single" w:sz="4" w:space="0" w:color="A6A6A6"/>
              <w:bottom w:val="single" w:sz="4" w:space="0" w:color="A6A6A6"/>
            </w:tcBorders>
            <w:noWrap/>
            <w:hideMark/>
          </w:tcPr>
          <w:p w14:paraId="2672B86F" w14:textId="77777777" w:rsidR="00087B91" w:rsidRPr="002029AF" w:rsidRDefault="00087B91" w:rsidP="00860E95">
            <w:pPr>
              <w:pStyle w:val="ARfintablebodyright"/>
            </w:pPr>
          </w:p>
        </w:tc>
        <w:tc>
          <w:tcPr>
            <w:tcW w:w="1134" w:type="dxa"/>
            <w:tcBorders>
              <w:top w:val="single" w:sz="4" w:space="0" w:color="A6A6A6"/>
              <w:bottom w:val="single" w:sz="4" w:space="0" w:color="A6A6A6"/>
            </w:tcBorders>
            <w:noWrap/>
            <w:hideMark/>
          </w:tcPr>
          <w:p w14:paraId="1A1A457B" w14:textId="77777777" w:rsidR="00087B91" w:rsidRPr="002029AF" w:rsidRDefault="00087B91" w:rsidP="00860E95">
            <w:pPr>
              <w:pStyle w:val="ARfintablebodyright"/>
            </w:pPr>
            <w:r w:rsidRPr="002029AF">
              <w:t>1,847.0</w:t>
            </w:r>
          </w:p>
        </w:tc>
        <w:tc>
          <w:tcPr>
            <w:tcW w:w="1134" w:type="dxa"/>
            <w:tcBorders>
              <w:top w:val="single" w:sz="4" w:space="0" w:color="A6A6A6"/>
              <w:bottom w:val="single" w:sz="4" w:space="0" w:color="A6A6A6"/>
            </w:tcBorders>
            <w:noWrap/>
            <w:hideMark/>
          </w:tcPr>
          <w:p w14:paraId="7CE83A46"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74109147"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3AA248C1" w14:textId="77777777" w:rsidR="00087B91" w:rsidRPr="002029AF" w:rsidRDefault="00087B91" w:rsidP="00860E95">
            <w:pPr>
              <w:pStyle w:val="ARfintablebodyright"/>
            </w:pPr>
            <w:r w:rsidRPr="002029AF">
              <w:t>1,847.0</w:t>
            </w:r>
          </w:p>
        </w:tc>
      </w:tr>
      <w:tr w:rsidR="00087B91" w:rsidRPr="002029AF" w14:paraId="0D8935DA" w14:textId="77777777" w:rsidTr="00860E95">
        <w:tc>
          <w:tcPr>
            <w:tcW w:w="3969" w:type="dxa"/>
            <w:tcBorders>
              <w:top w:val="single" w:sz="4" w:space="0" w:color="A6A6A6"/>
            </w:tcBorders>
            <w:hideMark/>
          </w:tcPr>
          <w:p w14:paraId="3C14C7FD" w14:textId="2B3F3391" w:rsidR="00087B91" w:rsidRPr="002029AF" w:rsidRDefault="00087B91" w:rsidP="00860E95">
            <w:pPr>
              <w:pStyle w:val="ARfintablebody"/>
            </w:pPr>
            <w:r w:rsidRPr="002029AF">
              <w:t>Borrowings</w:t>
            </w:r>
            <w:r w:rsidR="000A5329" w:rsidRPr="002029AF">
              <w:t xml:space="preserve"> </w:t>
            </w:r>
            <w:r w:rsidRPr="002029AF">
              <w:rPr>
                <w:rStyle w:val="Superscript"/>
              </w:rPr>
              <w:t>(i)</w:t>
            </w:r>
          </w:p>
        </w:tc>
        <w:tc>
          <w:tcPr>
            <w:tcW w:w="1134" w:type="dxa"/>
            <w:tcBorders>
              <w:top w:val="single" w:sz="4" w:space="0" w:color="A6A6A6"/>
            </w:tcBorders>
            <w:noWrap/>
            <w:hideMark/>
          </w:tcPr>
          <w:p w14:paraId="0448FC2C" w14:textId="77777777" w:rsidR="00087B91" w:rsidRPr="002029AF" w:rsidRDefault="00087B91" w:rsidP="00860E95">
            <w:pPr>
              <w:pStyle w:val="ARfintablebodyright"/>
            </w:pPr>
            <w:r w:rsidRPr="002029AF">
              <w:t>2.6%</w:t>
            </w:r>
          </w:p>
        </w:tc>
        <w:tc>
          <w:tcPr>
            <w:tcW w:w="1134" w:type="dxa"/>
            <w:tcBorders>
              <w:top w:val="single" w:sz="4" w:space="0" w:color="A6A6A6"/>
            </w:tcBorders>
            <w:noWrap/>
            <w:hideMark/>
          </w:tcPr>
          <w:p w14:paraId="7EFECD7E" w14:textId="77777777" w:rsidR="00087B91" w:rsidRPr="002029AF" w:rsidRDefault="00087B91" w:rsidP="00860E95">
            <w:pPr>
              <w:pStyle w:val="ARfintablebodyright"/>
            </w:pPr>
            <w:r w:rsidRPr="002029AF">
              <w:t>415.4</w:t>
            </w:r>
          </w:p>
        </w:tc>
        <w:tc>
          <w:tcPr>
            <w:tcW w:w="1134" w:type="dxa"/>
            <w:tcBorders>
              <w:top w:val="single" w:sz="4" w:space="0" w:color="A6A6A6"/>
            </w:tcBorders>
            <w:noWrap/>
            <w:hideMark/>
          </w:tcPr>
          <w:p w14:paraId="101E4CBE" w14:textId="77777777" w:rsidR="00087B91" w:rsidRPr="002029AF" w:rsidRDefault="00087B91" w:rsidP="00860E95">
            <w:pPr>
              <w:pStyle w:val="ARfintablebodyright"/>
            </w:pPr>
            <w:r w:rsidRPr="002029AF">
              <w:t>83.5</w:t>
            </w:r>
          </w:p>
        </w:tc>
        <w:tc>
          <w:tcPr>
            <w:tcW w:w="1134" w:type="dxa"/>
            <w:tcBorders>
              <w:top w:val="single" w:sz="4" w:space="0" w:color="A6A6A6"/>
            </w:tcBorders>
            <w:noWrap/>
            <w:hideMark/>
          </w:tcPr>
          <w:p w14:paraId="7572D323" w14:textId="77777777" w:rsidR="00087B91" w:rsidRPr="002029AF" w:rsidRDefault="00087B91" w:rsidP="00860E95">
            <w:pPr>
              <w:pStyle w:val="ARfintablebodyright"/>
            </w:pPr>
            <w:r w:rsidRPr="002029AF">
              <w:t>–</w:t>
            </w:r>
          </w:p>
        </w:tc>
        <w:tc>
          <w:tcPr>
            <w:tcW w:w="1134" w:type="dxa"/>
            <w:tcBorders>
              <w:top w:val="single" w:sz="4" w:space="0" w:color="A6A6A6"/>
            </w:tcBorders>
            <w:noWrap/>
            <w:hideMark/>
          </w:tcPr>
          <w:p w14:paraId="511AD5CF" w14:textId="77777777" w:rsidR="00087B91" w:rsidRPr="002029AF" w:rsidRDefault="00087B91" w:rsidP="00860E95">
            <w:pPr>
              <w:pStyle w:val="ARfintablebodyright"/>
            </w:pPr>
            <w:r w:rsidRPr="002029AF">
              <w:t>331.9</w:t>
            </w:r>
          </w:p>
        </w:tc>
      </w:tr>
      <w:tr w:rsidR="00087B91" w:rsidRPr="002029AF" w14:paraId="0FA1A6B0" w14:textId="77777777" w:rsidTr="00860E95">
        <w:tc>
          <w:tcPr>
            <w:tcW w:w="3969" w:type="dxa"/>
            <w:hideMark/>
          </w:tcPr>
          <w:p w14:paraId="63E3A2E4" w14:textId="30E3A038" w:rsidR="00087B91" w:rsidRPr="002029AF" w:rsidRDefault="00087B91" w:rsidP="00860E95">
            <w:pPr>
              <w:pStyle w:val="ARfintablebodybold"/>
            </w:pPr>
            <w:r w:rsidRPr="002029AF">
              <w:t>Total</w:t>
            </w:r>
            <w:r w:rsidR="000A5329" w:rsidRPr="002029AF">
              <w:t xml:space="preserve"> </w:t>
            </w:r>
            <w:r w:rsidRPr="002029AF">
              <w:t>financial</w:t>
            </w:r>
            <w:r w:rsidR="000A5329" w:rsidRPr="002029AF">
              <w:t xml:space="preserve"> </w:t>
            </w:r>
            <w:r w:rsidRPr="002029AF">
              <w:t>liabilities</w:t>
            </w:r>
          </w:p>
        </w:tc>
        <w:tc>
          <w:tcPr>
            <w:tcW w:w="1134" w:type="dxa"/>
            <w:noWrap/>
            <w:hideMark/>
          </w:tcPr>
          <w:p w14:paraId="2EECF599" w14:textId="77777777" w:rsidR="00087B91" w:rsidRPr="002029AF" w:rsidRDefault="00087B91" w:rsidP="00860E95">
            <w:pPr>
              <w:pStyle w:val="ARfintablebodyrightbold"/>
            </w:pPr>
          </w:p>
        </w:tc>
        <w:tc>
          <w:tcPr>
            <w:tcW w:w="1134" w:type="dxa"/>
            <w:noWrap/>
            <w:hideMark/>
          </w:tcPr>
          <w:p w14:paraId="5396B038" w14:textId="77777777" w:rsidR="00087B91" w:rsidRPr="002029AF" w:rsidRDefault="00087B91" w:rsidP="00860E95">
            <w:pPr>
              <w:pStyle w:val="ARfintablebodyrightbold"/>
            </w:pPr>
            <w:r w:rsidRPr="002029AF">
              <w:t>2,262.4</w:t>
            </w:r>
          </w:p>
        </w:tc>
        <w:tc>
          <w:tcPr>
            <w:tcW w:w="1134" w:type="dxa"/>
            <w:noWrap/>
            <w:hideMark/>
          </w:tcPr>
          <w:p w14:paraId="56F332AD" w14:textId="77777777" w:rsidR="00087B91" w:rsidRPr="002029AF" w:rsidRDefault="00087B91" w:rsidP="00860E95">
            <w:pPr>
              <w:pStyle w:val="ARfintablebodyrightbold"/>
            </w:pPr>
            <w:r w:rsidRPr="002029AF">
              <w:t>83.5</w:t>
            </w:r>
          </w:p>
        </w:tc>
        <w:tc>
          <w:tcPr>
            <w:tcW w:w="1134" w:type="dxa"/>
            <w:noWrap/>
            <w:hideMark/>
          </w:tcPr>
          <w:p w14:paraId="4AEC0AFC" w14:textId="77777777" w:rsidR="00087B91" w:rsidRPr="002029AF" w:rsidRDefault="00087B91" w:rsidP="00860E95">
            <w:pPr>
              <w:pStyle w:val="ARfintablebodyrightbold"/>
            </w:pPr>
            <w:r w:rsidRPr="002029AF">
              <w:t>–</w:t>
            </w:r>
          </w:p>
        </w:tc>
        <w:tc>
          <w:tcPr>
            <w:tcW w:w="1134" w:type="dxa"/>
            <w:noWrap/>
            <w:hideMark/>
          </w:tcPr>
          <w:p w14:paraId="5C6E5437" w14:textId="77777777" w:rsidR="00087B91" w:rsidRPr="002029AF" w:rsidRDefault="00087B91" w:rsidP="00860E95">
            <w:pPr>
              <w:pStyle w:val="ARfintablebodyrightbold"/>
            </w:pPr>
            <w:r w:rsidRPr="002029AF">
              <w:t>2,178.9</w:t>
            </w:r>
          </w:p>
        </w:tc>
      </w:tr>
      <w:tr w:rsidR="00087B91" w:rsidRPr="002029AF" w14:paraId="3D51E8E7" w14:textId="77777777" w:rsidTr="00860E95">
        <w:tc>
          <w:tcPr>
            <w:tcW w:w="9639" w:type="dxa"/>
            <w:gridSpan w:val="6"/>
            <w:tcBorders>
              <w:bottom w:val="single" w:sz="4" w:space="0" w:color="auto"/>
            </w:tcBorders>
            <w:hideMark/>
          </w:tcPr>
          <w:p w14:paraId="47846635" w14:textId="77777777" w:rsidR="00087B91" w:rsidRPr="002029AF" w:rsidRDefault="00087B91" w:rsidP="00860E95">
            <w:pPr>
              <w:pStyle w:val="ARfintablebodybold"/>
            </w:pPr>
            <w:r w:rsidRPr="002029AF">
              <w:t>2019</w:t>
            </w:r>
          </w:p>
        </w:tc>
      </w:tr>
      <w:tr w:rsidR="00087B91" w:rsidRPr="002029AF" w14:paraId="3D4FFFA6" w14:textId="77777777" w:rsidTr="00860E95">
        <w:tc>
          <w:tcPr>
            <w:tcW w:w="9639" w:type="dxa"/>
            <w:gridSpan w:val="6"/>
            <w:tcBorders>
              <w:top w:val="single" w:sz="4" w:space="0" w:color="auto"/>
              <w:bottom w:val="single" w:sz="4" w:space="0" w:color="A6A6A6"/>
            </w:tcBorders>
            <w:hideMark/>
          </w:tcPr>
          <w:p w14:paraId="0A60C41B" w14:textId="6964DC68" w:rsidR="00087B91" w:rsidRPr="002029AF" w:rsidRDefault="00087B91" w:rsidP="00860E95">
            <w:pPr>
              <w:pStyle w:val="ARfintablebodybold"/>
            </w:pPr>
            <w:r w:rsidRPr="002029AF">
              <w:t>Financial</w:t>
            </w:r>
            <w:r w:rsidR="000A5329" w:rsidRPr="002029AF">
              <w:t xml:space="preserve"> </w:t>
            </w:r>
            <w:r w:rsidRPr="002029AF">
              <w:t>assets</w:t>
            </w:r>
          </w:p>
        </w:tc>
      </w:tr>
      <w:tr w:rsidR="00087B91" w:rsidRPr="002029AF" w14:paraId="442D1DB5" w14:textId="77777777" w:rsidTr="00860E95">
        <w:tc>
          <w:tcPr>
            <w:tcW w:w="3969" w:type="dxa"/>
            <w:tcBorders>
              <w:top w:val="single" w:sz="4" w:space="0" w:color="A6A6A6"/>
              <w:bottom w:val="single" w:sz="4" w:space="0" w:color="A6A6A6"/>
            </w:tcBorders>
            <w:hideMark/>
          </w:tcPr>
          <w:p w14:paraId="410F53DA" w14:textId="707078EE" w:rsidR="00087B91" w:rsidRPr="002029AF" w:rsidRDefault="00087B91" w:rsidP="00860E95">
            <w:pPr>
              <w:pStyle w:val="ARfintablebody"/>
            </w:pPr>
            <w:r w:rsidRPr="002029AF">
              <w:t>Cash</w:t>
            </w:r>
            <w:r w:rsidR="000A5329" w:rsidRPr="002029AF">
              <w:t xml:space="preserve"> </w:t>
            </w:r>
            <w:r w:rsidRPr="002029AF">
              <w:t>and</w:t>
            </w:r>
            <w:r w:rsidR="000A5329" w:rsidRPr="002029AF">
              <w:t xml:space="preserve"> </w:t>
            </w:r>
            <w:r w:rsidRPr="002029AF">
              <w:t>deposits</w:t>
            </w:r>
          </w:p>
        </w:tc>
        <w:tc>
          <w:tcPr>
            <w:tcW w:w="1134" w:type="dxa"/>
            <w:tcBorders>
              <w:top w:val="single" w:sz="4" w:space="0" w:color="A6A6A6"/>
              <w:bottom w:val="single" w:sz="4" w:space="0" w:color="A6A6A6"/>
            </w:tcBorders>
            <w:noWrap/>
            <w:hideMark/>
          </w:tcPr>
          <w:p w14:paraId="0410B627" w14:textId="77777777" w:rsidR="00087B91" w:rsidRPr="002029AF" w:rsidRDefault="00087B91" w:rsidP="00860E95">
            <w:pPr>
              <w:pStyle w:val="ARfintablebodyright"/>
            </w:pPr>
            <w:r w:rsidRPr="002029AF">
              <w:t>1.1%</w:t>
            </w:r>
          </w:p>
        </w:tc>
        <w:tc>
          <w:tcPr>
            <w:tcW w:w="1134" w:type="dxa"/>
            <w:tcBorders>
              <w:top w:val="single" w:sz="4" w:space="0" w:color="A6A6A6"/>
              <w:bottom w:val="single" w:sz="4" w:space="0" w:color="A6A6A6"/>
            </w:tcBorders>
            <w:noWrap/>
            <w:hideMark/>
          </w:tcPr>
          <w:p w14:paraId="1028B57C" w14:textId="77777777" w:rsidR="00087B91" w:rsidRPr="002029AF" w:rsidRDefault="00087B91" w:rsidP="00860E95">
            <w:pPr>
              <w:pStyle w:val="ARfintablebodyright"/>
            </w:pPr>
            <w:r w:rsidRPr="002029AF">
              <w:t>799.9</w:t>
            </w:r>
          </w:p>
        </w:tc>
        <w:tc>
          <w:tcPr>
            <w:tcW w:w="1134" w:type="dxa"/>
            <w:tcBorders>
              <w:top w:val="single" w:sz="4" w:space="0" w:color="A6A6A6"/>
              <w:bottom w:val="single" w:sz="4" w:space="0" w:color="A6A6A6"/>
            </w:tcBorders>
            <w:noWrap/>
            <w:hideMark/>
          </w:tcPr>
          <w:p w14:paraId="04C71C2F"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6590EB26" w14:textId="77777777" w:rsidR="00087B91" w:rsidRPr="002029AF" w:rsidRDefault="00087B91" w:rsidP="00860E95">
            <w:pPr>
              <w:pStyle w:val="ARfintablebodyright"/>
            </w:pPr>
            <w:r w:rsidRPr="002029AF">
              <w:t>463.7</w:t>
            </w:r>
          </w:p>
        </w:tc>
        <w:tc>
          <w:tcPr>
            <w:tcW w:w="1134" w:type="dxa"/>
            <w:tcBorders>
              <w:top w:val="single" w:sz="4" w:space="0" w:color="A6A6A6"/>
              <w:bottom w:val="single" w:sz="4" w:space="0" w:color="A6A6A6"/>
            </w:tcBorders>
            <w:noWrap/>
            <w:hideMark/>
          </w:tcPr>
          <w:p w14:paraId="0399F3DD" w14:textId="77777777" w:rsidR="00087B91" w:rsidRPr="002029AF" w:rsidRDefault="00087B91" w:rsidP="00860E95">
            <w:pPr>
              <w:pStyle w:val="ARfintablebodyright"/>
            </w:pPr>
            <w:r w:rsidRPr="002029AF">
              <w:t>336.2</w:t>
            </w:r>
          </w:p>
        </w:tc>
      </w:tr>
      <w:tr w:rsidR="00087B91" w:rsidRPr="002029AF" w14:paraId="52D1F753" w14:textId="77777777" w:rsidTr="00860E95">
        <w:tc>
          <w:tcPr>
            <w:tcW w:w="3969" w:type="dxa"/>
            <w:tcBorders>
              <w:top w:val="single" w:sz="4" w:space="0" w:color="A6A6A6"/>
              <w:bottom w:val="single" w:sz="4" w:space="0" w:color="A6A6A6"/>
            </w:tcBorders>
            <w:hideMark/>
          </w:tcPr>
          <w:p w14:paraId="11D979FB" w14:textId="0B896171" w:rsidR="00087B91" w:rsidRPr="002029AF" w:rsidRDefault="00087B91" w:rsidP="00860E95">
            <w:pPr>
              <w:pStyle w:val="ARfintablebody"/>
            </w:pPr>
            <w:r w:rsidRPr="002029AF">
              <w:t>Receivables</w:t>
            </w:r>
            <w:r w:rsidR="000A5329" w:rsidRPr="002029AF">
              <w:t xml:space="preserve"> </w:t>
            </w:r>
            <w:r w:rsidRPr="002029AF">
              <w:rPr>
                <w:rStyle w:val="Superscript"/>
              </w:rPr>
              <w:t>(i)</w:t>
            </w:r>
          </w:p>
        </w:tc>
        <w:tc>
          <w:tcPr>
            <w:tcW w:w="1134" w:type="dxa"/>
            <w:tcBorders>
              <w:top w:val="single" w:sz="4" w:space="0" w:color="A6A6A6"/>
              <w:bottom w:val="single" w:sz="4" w:space="0" w:color="A6A6A6"/>
            </w:tcBorders>
            <w:noWrap/>
            <w:hideMark/>
          </w:tcPr>
          <w:p w14:paraId="5F2941C3" w14:textId="77777777" w:rsidR="00087B91" w:rsidRPr="002029AF" w:rsidRDefault="00087B91" w:rsidP="00860E95">
            <w:pPr>
              <w:pStyle w:val="ARfintablebodyright"/>
            </w:pPr>
          </w:p>
        </w:tc>
        <w:tc>
          <w:tcPr>
            <w:tcW w:w="1134" w:type="dxa"/>
            <w:tcBorders>
              <w:top w:val="single" w:sz="4" w:space="0" w:color="A6A6A6"/>
              <w:bottom w:val="single" w:sz="4" w:space="0" w:color="A6A6A6"/>
            </w:tcBorders>
            <w:noWrap/>
            <w:hideMark/>
          </w:tcPr>
          <w:p w14:paraId="4CCCBCCA" w14:textId="77777777" w:rsidR="00087B91" w:rsidRPr="002029AF" w:rsidRDefault="00087B91" w:rsidP="00860E95">
            <w:pPr>
              <w:pStyle w:val="ARfintablebodyright"/>
            </w:pPr>
            <w:r w:rsidRPr="002029AF">
              <w:t>325.0</w:t>
            </w:r>
          </w:p>
        </w:tc>
        <w:tc>
          <w:tcPr>
            <w:tcW w:w="1134" w:type="dxa"/>
            <w:tcBorders>
              <w:top w:val="single" w:sz="4" w:space="0" w:color="A6A6A6"/>
              <w:bottom w:val="single" w:sz="4" w:space="0" w:color="A6A6A6"/>
            </w:tcBorders>
            <w:noWrap/>
            <w:hideMark/>
          </w:tcPr>
          <w:p w14:paraId="65738140" w14:textId="77777777" w:rsidR="00087B91" w:rsidRPr="002029AF" w:rsidRDefault="00087B91" w:rsidP="00860E95">
            <w:pPr>
              <w:pStyle w:val="ARfintablebodyright"/>
            </w:pPr>
            <w:r w:rsidRPr="002029AF">
              <w:t>0.2</w:t>
            </w:r>
          </w:p>
        </w:tc>
        <w:tc>
          <w:tcPr>
            <w:tcW w:w="1134" w:type="dxa"/>
            <w:tcBorders>
              <w:top w:val="single" w:sz="4" w:space="0" w:color="A6A6A6"/>
              <w:bottom w:val="single" w:sz="4" w:space="0" w:color="A6A6A6"/>
            </w:tcBorders>
            <w:noWrap/>
            <w:hideMark/>
          </w:tcPr>
          <w:p w14:paraId="1B32555C"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75016D7B" w14:textId="77777777" w:rsidR="00087B91" w:rsidRPr="002029AF" w:rsidRDefault="00087B91" w:rsidP="00860E95">
            <w:pPr>
              <w:pStyle w:val="ARfintablebodyright"/>
            </w:pPr>
            <w:r w:rsidRPr="002029AF">
              <w:t>324.8</w:t>
            </w:r>
          </w:p>
        </w:tc>
      </w:tr>
      <w:tr w:rsidR="00087B91" w:rsidRPr="002029AF" w14:paraId="6BBB1854" w14:textId="77777777" w:rsidTr="00860E95">
        <w:tc>
          <w:tcPr>
            <w:tcW w:w="3969" w:type="dxa"/>
            <w:tcBorders>
              <w:top w:val="single" w:sz="4" w:space="0" w:color="A6A6A6"/>
              <w:bottom w:val="single" w:sz="4" w:space="0" w:color="A6A6A6"/>
            </w:tcBorders>
            <w:hideMark/>
          </w:tcPr>
          <w:p w14:paraId="5C0A1DDE" w14:textId="77777777" w:rsidR="00087B91" w:rsidRPr="002029AF" w:rsidRDefault="00087B91" w:rsidP="00860E95">
            <w:pPr>
              <w:pStyle w:val="ARfintablebody"/>
            </w:pPr>
            <w:r w:rsidRPr="002029AF">
              <w:t>Loans</w:t>
            </w:r>
          </w:p>
        </w:tc>
        <w:tc>
          <w:tcPr>
            <w:tcW w:w="1134" w:type="dxa"/>
            <w:tcBorders>
              <w:top w:val="single" w:sz="4" w:space="0" w:color="A6A6A6"/>
              <w:bottom w:val="single" w:sz="4" w:space="0" w:color="A6A6A6"/>
            </w:tcBorders>
            <w:noWrap/>
            <w:hideMark/>
          </w:tcPr>
          <w:p w14:paraId="0B28AB03" w14:textId="77777777" w:rsidR="00087B91" w:rsidRPr="002029AF" w:rsidRDefault="00087B91" w:rsidP="00860E95">
            <w:pPr>
              <w:pStyle w:val="ARfintablebodyright"/>
            </w:pPr>
            <w:r w:rsidRPr="002029AF">
              <w:t>3.5%</w:t>
            </w:r>
          </w:p>
        </w:tc>
        <w:tc>
          <w:tcPr>
            <w:tcW w:w="1134" w:type="dxa"/>
            <w:tcBorders>
              <w:top w:val="single" w:sz="4" w:space="0" w:color="A6A6A6"/>
              <w:bottom w:val="single" w:sz="4" w:space="0" w:color="A6A6A6"/>
            </w:tcBorders>
            <w:noWrap/>
            <w:hideMark/>
          </w:tcPr>
          <w:p w14:paraId="32355201" w14:textId="77777777" w:rsidR="00087B91" w:rsidRPr="002029AF" w:rsidRDefault="00087B91" w:rsidP="00860E95">
            <w:pPr>
              <w:pStyle w:val="ARfintablebodyright"/>
            </w:pPr>
            <w:r w:rsidRPr="002029AF">
              <w:t>94.9</w:t>
            </w:r>
          </w:p>
        </w:tc>
        <w:tc>
          <w:tcPr>
            <w:tcW w:w="1134" w:type="dxa"/>
            <w:tcBorders>
              <w:top w:val="single" w:sz="4" w:space="0" w:color="A6A6A6"/>
              <w:bottom w:val="single" w:sz="4" w:space="0" w:color="A6A6A6"/>
            </w:tcBorders>
            <w:noWrap/>
            <w:hideMark/>
          </w:tcPr>
          <w:p w14:paraId="4297C7E1" w14:textId="77777777" w:rsidR="00087B91" w:rsidRPr="002029AF" w:rsidRDefault="00087B91" w:rsidP="00860E95">
            <w:pPr>
              <w:pStyle w:val="ARfintablebodyright"/>
            </w:pPr>
            <w:r w:rsidRPr="002029AF">
              <w:t>2.1</w:t>
            </w:r>
          </w:p>
        </w:tc>
        <w:tc>
          <w:tcPr>
            <w:tcW w:w="1134" w:type="dxa"/>
            <w:tcBorders>
              <w:top w:val="single" w:sz="4" w:space="0" w:color="A6A6A6"/>
              <w:bottom w:val="single" w:sz="4" w:space="0" w:color="A6A6A6"/>
            </w:tcBorders>
            <w:noWrap/>
            <w:hideMark/>
          </w:tcPr>
          <w:p w14:paraId="53DBE292" w14:textId="77777777" w:rsidR="00087B91" w:rsidRPr="002029AF" w:rsidRDefault="00087B91" w:rsidP="00860E95">
            <w:pPr>
              <w:pStyle w:val="ARfintablebodyright"/>
            </w:pPr>
            <w:r w:rsidRPr="002029AF">
              <w:t>11.5</w:t>
            </w:r>
          </w:p>
        </w:tc>
        <w:tc>
          <w:tcPr>
            <w:tcW w:w="1134" w:type="dxa"/>
            <w:tcBorders>
              <w:top w:val="single" w:sz="4" w:space="0" w:color="A6A6A6"/>
              <w:bottom w:val="single" w:sz="4" w:space="0" w:color="A6A6A6"/>
            </w:tcBorders>
            <w:noWrap/>
            <w:hideMark/>
          </w:tcPr>
          <w:p w14:paraId="358FE118" w14:textId="77777777" w:rsidR="00087B91" w:rsidRPr="002029AF" w:rsidRDefault="00087B91" w:rsidP="00860E95">
            <w:pPr>
              <w:pStyle w:val="ARfintablebodyright"/>
            </w:pPr>
            <w:r w:rsidRPr="002029AF">
              <w:t>81.3</w:t>
            </w:r>
          </w:p>
        </w:tc>
      </w:tr>
      <w:tr w:rsidR="00087B91" w:rsidRPr="002029AF" w14:paraId="3D7CCEFA" w14:textId="77777777" w:rsidTr="00860E95">
        <w:tc>
          <w:tcPr>
            <w:tcW w:w="3969" w:type="dxa"/>
            <w:tcBorders>
              <w:top w:val="single" w:sz="4" w:space="0" w:color="A6A6A6"/>
            </w:tcBorders>
            <w:hideMark/>
          </w:tcPr>
          <w:p w14:paraId="03A13AB7" w14:textId="7FF630CA" w:rsidR="00087B91" w:rsidRPr="002029AF" w:rsidRDefault="00087B91" w:rsidP="00860E95">
            <w:pPr>
              <w:pStyle w:val="ARfintablebody"/>
            </w:pPr>
            <w:r w:rsidRPr="002029AF">
              <w:t>Short-term</w:t>
            </w:r>
            <w:r w:rsidR="000A5329" w:rsidRPr="002029AF">
              <w:t xml:space="preserve"> </w:t>
            </w:r>
            <w:r w:rsidRPr="002029AF">
              <w:t>investments</w:t>
            </w:r>
            <w:r w:rsidR="000A5329" w:rsidRPr="002029AF">
              <w:t xml:space="preserve"> </w:t>
            </w:r>
            <w:r w:rsidRPr="002029AF">
              <w:t>–</w:t>
            </w:r>
            <w:r w:rsidR="000A5329" w:rsidRPr="002029AF">
              <w:t xml:space="preserve"> </w:t>
            </w:r>
            <w:r w:rsidRPr="002029AF">
              <w:t>term</w:t>
            </w:r>
            <w:r w:rsidR="000A5329" w:rsidRPr="002029AF">
              <w:t xml:space="preserve"> </w:t>
            </w:r>
            <w:r w:rsidRPr="002029AF">
              <w:t>deposits</w:t>
            </w:r>
          </w:p>
        </w:tc>
        <w:tc>
          <w:tcPr>
            <w:tcW w:w="1134" w:type="dxa"/>
            <w:tcBorders>
              <w:top w:val="single" w:sz="4" w:space="0" w:color="A6A6A6"/>
            </w:tcBorders>
            <w:noWrap/>
            <w:hideMark/>
          </w:tcPr>
          <w:p w14:paraId="5B563D0B" w14:textId="77777777" w:rsidR="00087B91" w:rsidRPr="002029AF" w:rsidRDefault="00087B91" w:rsidP="00860E95">
            <w:pPr>
              <w:pStyle w:val="ARfintablebodyright"/>
            </w:pPr>
            <w:r w:rsidRPr="002029AF">
              <w:t>2.1%</w:t>
            </w:r>
          </w:p>
        </w:tc>
        <w:tc>
          <w:tcPr>
            <w:tcW w:w="1134" w:type="dxa"/>
            <w:tcBorders>
              <w:top w:val="single" w:sz="4" w:space="0" w:color="A6A6A6"/>
            </w:tcBorders>
            <w:noWrap/>
            <w:hideMark/>
          </w:tcPr>
          <w:p w14:paraId="1670C28A" w14:textId="77777777" w:rsidR="00087B91" w:rsidRPr="002029AF" w:rsidRDefault="00087B91" w:rsidP="00860E95">
            <w:pPr>
              <w:pStyle w:val="ARfintablebodyright"/>
            </w:pPr>
            <w:r w:rsidRPr="002029AF">
              <w:t>100.0</w:t>
            </w:r>
          </w:p>
        </w:tc>
        <w:tc>
          <w:tcPr>
            <w:tcW w:w="1134" w:type="dxa"/>
            <w:tcBorders>
              <w:top w:val="single" w:sz="4" w:space="0" w:color="A6A6A6"/>
            </w:tcBorders>
            <w:noWrap/>
            <w:hideMark/>
          </w:tcPr>
          <w:p w14:paraId="7EE3DF0D" w14:textId="77777777" w:rsidR="00087B91" w:rsidRPr="002029AF" w:rsidRDefault="00087B91" w:rsidP="00860E95">
            <w:pPr>
              <w:pStyle w:val="ARfintablebodyright"/>
            </w:pPr>
            <w:r w:rsidRPr="002029AF">
              <w:t>100.0</w:t>
            </w:r>
          </w:p>
        </w:tc>
        <w:tc>
          <w:tcPr>
            <w:tcW w:w="1134" w:type="dxa"/>
            <w:tcBorders>
              <w:top w:val="single" w:sz="4" w:space="0" w:color="A6A6A6"/>
            </w:tcBorders>
            <w:noWrap/>
            <w:hideMark/>
          </w:tcPr>
          <w:p w14:paraId="06F0FB66" w14:textId="77777777" w:rsidR="00087B91" w:rsidRPr="002029AF" w:rsidRDefault="00087B91" w:rsidP="00860E95">
            <w:pPr>
              <w:pStyle w:val="ARfintablebodyright"/>
            </w:pPr>
            <w:r w:rsidRPr="002029AF">
              <w:t>–</w:t>
            </w:r>
          </w:p>
        </w:tc>
        <w:tc>
          <w:tcPr>
            <w:tcW w:w="1134" w:type="dxa"/>
            <w:tcBorders>
              <w:top w:val="single" w:sz="4" w:space="0" w:color="A6A6A6"/>
            </w:tcBorders>
            <w:noWrap/>
            <w:hideMark/>
          </w:tcPr>
          <w:p w14:paraId="65E92D54" w14:textId="77777777" w:rsidR="00087B91" w:rsidRPr="002029AF" w:rsidRDefault="00087B91" w:rsidP="00860E95">
            <w:pPr>
              <w:pStyle w:val="ARfintablebodyright"/>
            </w:pPr>
            <w:r w:rsidRPr="002029AF">
              <w:t>–</w:t>
            </w:r>
          </w:p>
        </w:tc>
      </w:tr>
      <w:tr w:rsidR="00087B91" w:rsidRPr="002029AF" w14:paraId="2567701B" w14:textId="77777777" w:rsidTr="00860E95">
        <w:tc>
          <w:tcPr>
            <w:tcW w:w="3969" w:type="dxa"/>
            <w:tcBorders>
              <w:bottom w:val="single" w:sz="4" w:space="0" w:color="auto"/>
            </w:tcBorders>
            <w:hideMark/>
          </w:tcPr>
          <w:p w14:paraId="781D1007" w14:textId="1E6AF665" w:rsidR="00087B91" w:rsidRPr="002029AF" w:rsidRDefault="00087B91" w:rsidP="00860E95">
            <w:pPr>
              <w:pStyle w:val="ARfintablebodybold"/>
            </w:pPr>
            <w:r w:rsidRPr="002029AF">
              <w:t>Total</w:t>
            </w:r>
            <w:r w:rsidR="000A5329" w:rsidRPr="002029AF">
              <w:t xml:space="preserve"> </w:t>
            </w:r>
            <w:r w:rsidRPr="002029AF">
              <w:t>financial</w:t>
            </w:r>
            <w:r w:rsidR="000A5329" w:rsidRPr="002029AF">
              <w:t xml:space="preserve"> </w:t>
            </w:r>
            <w:r w:rsidRPr="002029AF">
              <w:t>assets</w:t>
            </w:r>
          </w:p>
        </w:tc>
        <w:tc>
          <w:tcPr>
            <w:tcW w:w="1134" w:type="dxa"/>
            <w:tcBorders>
              <w:bottom w:val="single" w:sz="4" w:space="0" w:color="auto"/>
            </w:tcBorders>
            <w:noWrap/>
            <w:hideMark/>
          </w:tcPr>
          <w:p w14:paraId="0DFCDA20" w14:textId="77777777" w:rsidR="00087B91" w:rsidRPr="002029AF" w:rsidRDefault="00087B91" w:rsidP="00860E95">
            <w:pPr>
              <w:pStyle w:val="ARfintablebodyrightbold"/>
            </w:pPr>
          </w:p>
        </w:tc>
        <w:tc>
          <w:tcPr>
            <w:tcW w:w="1134" w:type="dxa"/>
            <w:tcBorders>
              <w:bottom w:val="single" w:sz="4" w:space="0" w:color="auto"/>
            </w:tcBorders>
            <w:noWrap/>
            <w:hideMark/>
          </w:tcPr>
          <w:p w14:paraId="3848C196" w14:textId="77777777" w:rsidR="00087B91" w:rsidRPr="002029AF" w:rsidRDefault="00087B91" w:rsidP="00860E95">
            <w:pPr>
              <w:pStyle w:val="ARfintablebodyrightbold"/>
            </w:pPr>
            <w:r w:rsidRPr="002029AF">
              <w:t>1,319.8</w:t>
            </w:r>
          </w:p>
        </w:tc>
        <w:tc>
          <w:tcPr>
            <w:tcW w:w="1134" w:type="dxa"/>
            <w:tcBorders>
              <w:bottom w:val="single" w:sz="4" w:space="0" w:color="auto"/>
            </w:tcBorders>
            <w:noWrap/>
            <w:hideMark/>
          </w:tcPr>
          <w:p w14:paraId="5A3767AA" w14:textId="77777777" w:rsidR="00087B91" w:rsidRPr="002029AF" w:rsidRDefault="00087B91" w:rsidP="00860E95">
            <w:pPr>
              <w:pStyle w:val="ARfintablebodyrightbold"/>
            </w:pPr>
            <w:r w:rsidRPr="002029AF">
              <w:t>102.3</w:t>
            </w:r>
          </w:p>
        </w:tc>
        <w:tc>
          <w:tcPr>
            <w:tcW w:w="1134" w:type="dxa"/>
            <w:tcBorders>
              <w:bottom w:val="single" w:sz="4" w:space="0" w:color="auto"/>
            </w:tcBorders>
            <w:noWrap/>
            <w:hideMark/>
          </w:tcPr>
          <w:p w14:paraId="1A90CC3D" w14:textId="77777777" w:rsidR="00087B91" w:rsidRPr="002029AF" w:rsidRDefault="00087B91" w:rsidP="00860E95">
            <w:pPr>
              <w:pStyle w:val="ARfintablebodyrightbold"/>
            </w:pPr>
            <w:r w:rsidRPr="002029AF">
              <w:t>475.2</w:t>
            </w:r>
          </w:p>
        </w:tc>
        <w:tc>
          <w:tcPr>
            <w:tcW w:w="1134" w:type="dxa"/>
            <w:tcBorders>
              <w:bottom w:val="single" w:sz="4" w:space="0" w:color="auto"/>
            </w:tcBorders>
            <w:noWrap/>
            <w:hideMark/>
          </w:tcPr>
          <w:p w14:paraId="3FF7EDB8" w14:textId="77777777" w:rsidR="00087B91" w:rsidRPr="002029AF" w:rsidRDefault="00087B91" w:rsidP="00860E95">
            <w:pPr>
              <w:pStyle w:val="ARfintablebodyrightbold"/>
            </w:pPr>
            <w:r w:rsidRPr="002029AF">
              <w:t>742.4</w:t>
            </w:r>
          </w:p>
        </w:tc>
      </w:tr>
      <w:tr w:rsidR="00087B91" w:rsidRPr="002029AF" w14:paraId="3B2895C4" w14:textId="77777777" w:rsidTr="00860E95">
        <w:tc>
          <w:tcPr>
            <w:tcW w:w="9639" w:type="dxa"/>
            <w:gridSpan w:val="6"/>
            <w:tcBorders>
              <w:top w:val="single" w:sz="4" w:space="0" w:color="auto"/>
              <w:bottom w:val="single" w:sz="4" w:space="0" w:color="A6A6A6"/>
            </w:tcBorders>
            <w:hideMark/>
          </w:tcPr>
          <w:p w14:paraId="0C44817F" w14:textId="7B5632BA" w:rsidR="00087B91" w:rsidRPr="002029AF" w:rsidRDefault="00087B91" w:rsidP="00860E95">
            <w:pPr>
              <w:pStyle w:val="ARfintablebodybold"/>
            </w:pPr>
            <w:r w:rsidRPr="002029AF">
              <w:t>Financial</w:t>
            </w:r>
            <w:r w:rsidR="000A5329" w:rsidRPr="002029AF">
              <w:t xml:space="preserve"> </w:t>
            </w:r>
            <w:r w:rsidRPr="002029AF">
              <w:t>liabilities</w:t>
            </w:r>
          </w:p>
        </w:tc>
      </w:tr>
      <w:tr w:rsidR="00087B91" w:rsidRPr="002029AF" w14:paraId="0A897A36" w14:textId="77777777" w:rsidTr="00860E95">
        <w:tc>
          <w:tcPr>
            <w:tcW w:w="3969" w:type="dxa"/>
            <w:tcBorders>
              <w:top w:val="single" w:sz="4" w:space="0" w:color="A6A6A6"/>
              <w:bottom w:val="single" w:sz="4" w:space="0" w:color="A6A6A6"/>
            </w:tcBorders>
            <w:hideMark/>
          </w:tcPr>
          <w:p w14:paraId="1F0655A0" w14:textId="512DA8AE" w:rsidR="00087B91" w:rsidRPr="002029AF" w:rsidRDefault="00087B91" w:rsidP="00860E95">
            <w:pPr>
              <w:pStyle w:val="ARfintablebody"/>
            </w:pPr>
            <w:r w:rsidRPr="002029AF">
              <w:t>Payables</w:t>
            </w:r>
            <w:r w:rsidR="000A5329" w:rsidRPr="002029AF">
              <w:t xml:space="preserve"> </w:t>
            </w:r>
            <w:r w:rsidRPr="002029AF">
              <w:rPr>
                <w:rStyle w:val="Superscript"/>
              </w:rPr>
              <w:t>(i)</w:t>
            </w:r>
          </w:p>
        </w:tc>
        <w:tc>
          <w:tcPr>
            <w:tcW w:w="1134" w:type="dxa"/>
            <w:tcBorders>
              <w:top w:val="single" w:sz="4" w:space="0" w:color="A6A6A6"/>
              <w:bottom w:val="single" w:sz="4" w:space="0" w:color="A6A6A6"/>
            </w:tcBorders>
            <w:noWrap/>
            <w:hideMark/>
          </w:tcPr>
          <w:p w14:paraId="510F914C" w14:textId="77777777" w:rsidR="00087B91" w:rsidRPr="002029AF" w:rsidRDefault="00087B91" w:rsidP="00860E95">
            <w:pPr>
              <w:pStyle w:val="ARfintablebodyright"/>
            </w:pPr>
          </w:p>
        </w:tc>
        <w:tc>
          <w:tcPr>
            <w:tcW w:w="1134" w:type="dxa"/>
            <w:tcBorders>
              <w:top w:val="single" w:sz="4" w:space="0" w:color="A6A6A6"/>
              <w:bottom w:val="single" w:sz="4" w:space="0" w:color="A6A6A6"/>
            </w:tcBorders>
            <w:noWrap/>
            <w:hideMark/>
          </w:tcPr>
          <w:p w14:paraId="5D45F6F6" w14:textId="77777777" w:rsidR="00087B91" w:rsidRPr="002029AF" w:rsidRDefault="00087B91" w:rsidP="00860E95">
            <w:pPr>
              <w:pStyle w:val="ARfintablebodyright"/>
            </w:pPr>
            <w:r w:rsidRPr="002029AF">
              <w:t>1,513.5</w:t>
            </w:r>
          </w:p>
        </w:tc>
        <w:tc>
          <w:tcPr>
            <w:tcW w:w="1134" w:type="dxa"/>
            <w:tcBorders>
              <w:top w:val="single" w:sz="4" w:space="0" w:color="A6A6A6"/>
              <w:bottom w:val="single" w:sz="4" w:space="0" w:color="A6A6A6"/>
            </w:tcBorders>
            <w:noWrap/>
            <w:hideMark/>
          </w:tcPr>
          <w:p w14:paraId="602019DA"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4A8C9BE8"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0F45F9B6" w14:textId="77777777" w:rsidR="00087B91" w:rsidRPr="002029AF" w:rsidRDefault="00087B91" w:rsidP="00860E95">
            <w:pPr>
              <w:pStyle w:val="ARfintablebodyright"/>
            </w:pPr>
            <w:r w:rsidRPr="002029AF">
              <w:t>1,513.5</w:t>
            </w:r>
          </w:p>
        </w:tc>
      </w:tr>
      <w:tr w:rsidR="00087B91" w:rsidRPr="002029AF" w14:paraId="36D4DAF5" w14:textId="77777777" w:rsidTr="00860E95">
        <w:tc>
          <w:tcPr>
            <w:tcW w:w="3969" w:type="dxa"/>
            <w:tcBorders>
              <w:top w:val="single" w:sz="4" w:space="0" w:color="A6A6A6"/>
            </w:tcBorders>
            <w:hideMark/>
          </w:tcPr>
          <w:p w14:paraId="57221AD8" w14:textId="097862F1" w:rsidR="00087B91" w:rsidRPr="002029AF" w:rsidRDefault="00087B91" w:rsidP="00860E95">
            <w:pPr>
              <w:pStyle w:val="ARfintablebody"/>
            </w:pPr>
            <w:r w:rsidRPr="002029AF">
              <w:t>Borrowings</w:t>
            </w:r>
            <w:r w:rsidR="000A5329" w:rsidRPr="002029AF">
              <w:t xml:space="preserve"> </w:t>
            </w:r>
            <w:r w:rsidRPr="002029AF">
              <w:rPr>
                <w:rStyle w:val="Superscript"/>
              </w:rPr>
              <w:t>(i)</w:t>
            </w:r>
          </w:p>
        </w:tc>
        <w:tc>
          <w:tcPr>
            <w:tcW w:w="1134" w:type="dxa"/>
            <w:tcBorders>
              <w:top w:val="single" w:sz="4" w:space="0" w:color="A6A6A6"/>
            </w:tcBorders>
            <w:noWrap/>
            <w:hideMark/>
          </w:tcPr>
          <w:p w14:paraId="526CB745" w14:textId="77777777" w:rsidR="00087B91" w:rsidRPr="002029AF" w:rsidRDefault="00087B91" w:rsidP="00860E95">
            <w:pPr>
              <w:pStyle w:val="ARfintablebodyright"/>
            </w:pPr>
            <w:r w:rsidRPr="002029AF">
              <w:t>3.2%</w:t>
            </w:r>
          </w:p>
        </w:tc>
        <w:tc>
          <w:tcPr>
            <w:tcW w:w="1134" w:type="dxa"/>
            <w:tcBorders>
              <w:top w:val="single" w:sz="4" w:space="0" w:color="A6A6A6"/>
            </w:tcBorders>
            <w:noWrap/>
            <w:hideMark/>
          </w:tcPr>
          <w:p w14:paraId="2FBFB400" w14:textId="77777777" w:rsidR="00087B91" w:rsidRPr="002029AF" w:rsidRDefault="00087B91" w:rsidP="00860E95">
            <w:pPr>
              <w:pStyle w:val="ARfintablebodyright"/>
            </w:pPr>
            <w:r w:rsidRPr="002029AF">
              <w:t>62.2</w:t>
            </w:r>
          </w:p>
        </w:tc>
        <w:tc>
          <w:tcPr>
            <w:tcW w:w="1134" w:type="dxa"/>
            <w:tcBorders>
              <w:top w:val="single" w:sz="4" w:space="0" w:color="A6A6A6"/>
            </w:tcBorders>
            <w:noWrap/>
            <w:hideMark/>
          </w:tcPr>
          <w:p w14:paraId="686926FC" w14:textId="77777777" w:rsidR="00087B91" w:rsidRPr="002029AF" w:rsidRDefault="00087B91" w:rsidP="00860E95">
            <w:pPr>
              <w:pStyle w:val="ARfintablebodyright"/>
            </w:pPr>
            <w:r w:rsidRPr="002029AF">
              <w:t>33.0</w:t>
            </w:r>
          </w:p>
        </w:tc>
        <w:tc>
          <w:tcPr>
            <w:tcW w:w="1134" w:type="dxa"/>
            <w:tcBorders>
              <w:top w:val="single" w:sz="4" w:space="0" w:color="A6A6A6"/>
            </w:tcBorders>
            <w:noWrap/>
            <w:hideMark/>
          </w:tcPr>
          <w:p w14:paraId="25097A39" w14:textId="77777777" w:rsidR="00087B91" w:rsidRPr="002029AF" w:rsidRDefault="00087B91" w:rsidP="00860E95">
            <w:pPr>
              <w:pStyle w:val="ARfintablebodyright"/>
            </w:pPr>
            <w:r w:rsidRPr="002029AF">
              <w:t>–</w:t>
            </w:r>
          </w:p>
        </w:tc>
        <w:tc>
          <w:tcPr>
            <w:tcW w:w="1134" w:type="dxa"/>
            <w:tcBorders>
              <w:top w:val="single" w:sz="4" w:space="0" w:color="A6A6A6"/>
            </w:tcBorders>
            <w:noWrap/>
            <w:hideMark/>
          </w:tcPr>
          <w:p w14:paraId="77A2AD07" w14:textId="77777777" w:rsidR="00087B91" w:rsidRPr="002029AF" w:rsidRDefault="00087B91" w:rsidP="00860E95">
            <w:pPr>
              <w:pStyle w:val="ARfintablebodyright"/>
            </w:pPr>
            <w:r w:rsidRPr="002029AF">
              <w:t>29.2</w:t>
            </w:r>
          </w:p>
        </w:tc>
      </w:tr>
      <w:tr w:rsidR="00087B91" w:rsidRPr="002029AF" w14:paraId="45107274" w14:textId="77777777" w:rsidTr="00860E95">
        <w:tc>
          <w:tcPr>
            <w:tcW w:w="3969" w:type="dxa"/>
            <w:hideMark/>
          </w:tcPr>
          <w:p w14:paraId="1EE0B4C2" w14:textId="2FDD5543" w:rsidR="00087B91" w:rsidRPr="002029AF" w:rsidRDefault="00087B91" w:rsidP="00860E95">
            <w:pPr>
              <w:pStyle w:val="ARfintablebodybold"/>
            </w:pPr>
            <w:r w:rsidRPr="002029AF">
              <w:t>Total</w:t>
            </w:r>
            <w:r w:rsidR="000A5329" w:rsidRPr="002029AF">
              <w:t xml:space="preserve"> </w:t>
            </w:r>
            <w:r w:rsidRPr="002029AF">
              <w:t>financial</w:t>
            </w:r>
            <w:r w:rsidR="000A5329" w:rsidRPr="002029AF">
              <w:t xml:space="preserve"> </w:t>
            </w:r>
            <w:r w:rsidRPr="002029AF">
              <w:t>liabilities</w:t>
            </w:r>
          </w:p>
        </w:tc>
        <w:tc>
          <w:tcPr>
            <w:tcW w:w="1134" w:type="dxa"/>
            <w:noWrap/>
            <w:hideMark/>
          </w:tcPr>
          <w:p w14:paraId="2D834275" w14:textId="77777777" w:rsidR="00087B91" w:rsidRPr="002029AF" w:rsidRDefault="00087B91" w:rsidP="00860E95">
            <w:pPr>
              <w:pStyle w:val="ARfintablebodyrightbold"/>
            </w:pPr>
          </w:p>
        </w:tc>
        <w:tc>
          <w:tcPr>
            <w:tcW w:w="1134" w:type="dxa"/>
            <w:noWrap/>
            <w:hideMark/>
          </w:tcPr>
          <w:p w14:paraId="1F993D06" w14:textId="77777777" w:rsidR="00087B91" w:rsidRPr="002029AF" w:rsidRDefault="00087B91" w:rsidP="00860E95">
            <w:pPr>
              <w:pStyle w:val="ARfintablebodyrightbold"/>
            </w:pPr>
            <w:r w:rsidRPr="002029AF">
              <w:t>1,575.7</w:t>
            </w:r>
          </w:p>
        </w:tc>
        <w:tc>
          <w:tcPr>
            <w:tcW w:w="1134" w:type="dxa"/>
            <w:noWrap/>
            <w:hideMark/>
          </w:tcPr>
          <w:p w14:paraId="54C6E3B3" w14:textId="77777777" w:rsidR="00087B91" w:rsidRPr="002029AF" w:rsidRDefault="00087B91" w:rsidP="00860E95">
            <w:pPr>
              <w:pStyle w:val="ARfintablebodyrightbold"/>
            </w:pPr>
            <w:r w:rsidRPr="002029AF">
              <w:t>33.0</w:t>
            </w:r>
          </w:p>
        </w:tc>
        <w:tc>
          <w:tcPr>
            <w:tcW w:w="1134" w:type="dxa"/>
            <w:noWrap/>
            <w:hideMark/>
          </w:tcPr>
          <w:p w14:paraId="6D1A1FAB" w14:textId="77777777" w:rsidR="00087B91" w:rsidRPr="002029AF" w:rsidRDefault="00087B91" w:rsidP="00860E95">
            <w:pPr>
              <w:pStyle w:val="ARfintablebodyrightbold"/>
            </w:pPr>
            <w:r w:rsidRPr="002029AF">
              <w:t>–</w:t>
            </w:r>
          </w:p>
        </w:tc>
        <w:tc>
          <w:tcPr>
            <w:tcW w:w="1134" w:type="dxa"/>
            <w:noWrap/>
            <w:hideMark/>
          </w:tcPr>
          <w:p w14:paraId="1E3DD491" w14:textId="77777777" w:rsidR="00087B91" w:rsidRPr="002029AF" w:rsidRDefault="00087B91" w:rsidP="00860E95">
            <w:pPr>
              <w:pStyle w:val="ARfintablebodyrightbold"/>
            </w:pPr>
            <w:r w:rsidRPr="002029AF">
              <w:t>1,542.7</w:t>
            </w:r>
          </w:p>
        </w:tc>
      </w:tr>
    </w:tbl>
    <w:p w14:paraId="23039353" w14:textId="77777777" w:rsidR="00087B91" w:rsidRPr="002029AF" w:rsidRDefault="00087B91" w:rsidP="00087B91">
      <w:pPr>
        <w:pStyle w:val="ARfintablefootnote"/>
        <w:rPr>
          <w:lang w:eastAsia="en-AU"/>
        </w:rPr>
      </w:pPr>
      <w:r w:rsidRPr="002029AF">
        <w:rPr>
          <w:lang w:eastAsia="en-AU"/>
        </w:rPr>
        <w:t>Note:</w:t>
      </w:r>
    </w:p>
    <w:p w14:paraId="5B37A00E" w14:textId="6AD4E40D" w:rsidR="00087B91" w:rsidRPr="002029AF" w:rsidRDefault="00087B91" w:rsidP="00087B91">
      <w:pPr>
        <w:pStyle w:val="ARfintablefootnoteindent"/>
      </w:pPr>
      <w:r w:rsidRPr="002029AF">
        <w:t>(i)</w:t>
      </w:r>
      <w:r w:rsidRPr="002029AF">
        <w:tab/>
        <w:t>The</w:t>
      </w:r>
      <w:r w:rsidR="000A5329" w:rsidRPr="002029AF">
        <w:t xml:space="preserve"> </w:t>
      </w:r>
      <w:r w:rsidRPr="002029AF">
        <w:t>carrying</w:t>
      </w:r>
      <w:r w:rsidR="000A5329" w:rsidRPr="002029AF">
        <w:t xml:space="preserve"> </w:t>
      </w:r>
      <w:r w:rsidRPr="002029AF">
        <w:t>amounts</w:t>
      </w:r>
      <w:r w:rsidR="000A5329" w:rsidRPr="002029AF">
        <w:t xml:space="preserve"> </w:t>
      </w:r>
      <w:r w:rsidRPr="002029AF">
        <w:t>disclosed</w:t>
      </w:r>
      <w:r w:rsidR="000A5329" w:rsidRPr="002029AF">
        <w:t xml:space="preserve"> </w:t>
      </w:r>
      <w:r w:rsidRPr="002029AF">
        <w:t>here</w:t>
      </w:r>
      <w:r w:rsidR="000A5329" w:rsidRPr="002029AF">
        <w:t xml:space="preserve"> </w:t>
      </w:r>
      <w:r w:rsidRPr="002029AF">
        <w:t>exclude</w:t>
      </w:r>
      <w:r w:rsidR="000A5329" w:rsidRPr="002029AF">
        <w:t xml:space="preserve"> </w:t>
      </w:r>
      <w:r w:rsidRPr="002029AF">
        <w:t>statutory</w:t>
      </w:r>
      <w:r w:rsidR="000A5329" w:rsidRPr="002029AF">
        <w:t xml:space="preserve"> </w:t>
      </w:r>
      <w:r w:rsidRPr="002029AF">
        <w:t>amounts,</w:t>
      </w:r>
      <w:r w:rsidR="000A5329" w:rsidRPr="002029AF">
        <w:t xml:space="preserve"> </w:t>
      </w:r>
      <w:r w:rsidRPr="002029AF">
        <w:t>for</w:t>
      </w:r>
      <w:r w:rsidR="000A5329" w:rsidRPr="002029AF">
        <w:t xml:space="preserve"> </w:t>
      </w:r>
      <w:r w:rsidRPr="002029AF">
        <w:t>example,</w:t>
      </w:r>
      <w:r w:rsidR="000A5329" w:rsidRPr="002029AF">
        <w:t xml:space="preserve"> </w:t>
      </w:r>
      <w:r w:rsidRPr="002029AF">
        <w:t>amounts</w:t>
      </w:r>
      <w:r w:rsidR="000A5329" w:rsidRPr="002029AF">
        <w:t xml:space="preserve"> </w:t>
      </w:r>
      <w:r w:rsidRPr="002029AF">
        <w:t>owing</w:t>
      </w:r>
      <w:r w:rsidR="000A5329" w:rsidRPr="002029AF">
        <w:t xml:space="preserve"> </w:t>
      </w:r>
      <w:r w:rsidRPr="002029AF">
        <w:t>to/from</w:t>
      </w:r>
      <w:r w:rsidR="000A5329" w:rsidRPr="002029AF">
        <w:t xml:space="preserve"> </w:t>
      </w:r>
      <w:r w:rsidRPr="002029AF">
        <w:t>Victorian</w:t>
      </w:r>
      <w:r w:rsidR="000A5329" w:rsidRPr="002029AF">
        <w:t xml:space="preserve"> </w:t>
      </w:r>
      <w:r w:rsidRPr="002029AF">
        <w:t>Government</w:t>
      </w:r>
      <w:r w:rsidR="000A5329" w:rsidRPr="002029AF">
        <w:t xml:space="preserve"> </w:t>
      </w:r>
      <w:r w:rsidRPr="002029AF">
        <w:t>and</w:t>
      </w:r>
      <w:r w:rsidR="000A5329" w:rsidRPr="002029AF">
        <w:t xml:space="preserve"> </w:t>
      </w:r>
      <w:r w:rsidRPr="002029AF">
        <w:t>GST</w:t>
      </w:r>
      <w:r w:rsidR="000A5329" w:rsidRPr="002029AF">
        <w:t xml:space="preserve"> </w:t>
      </w:r>
      <w:r w:rsidRPr="002029AF">
        <w:t>input</w:t>
      </w:r>
      <w:r w:rsidR="000A5329" w:rsidRPr="002029AF">
        <w:t xml:space="preserve"> </w:t>
      </w:r>
      <w:r w:rsidRPr="002029AF">
        <w:t>tax</w:t>
      </w:r>
      <w:r w:rsidR="000A5329" w:rsidRPr="002029AF">
        <w:t xml:space="preserve"> </w:t>
      </w:r>
      <w:r w:rsidRPr="002029AF">
        <w:t>credit</w:t>
      </w:r>
      <w:r w:rsidR="000A5329" w:rsidRPr="002029AF">
        <w:t xml:space="preserve"> </w:t>
      </w:r>
      <w:r w:rsidRPr="002029AF">
        <w:t>recoverable</w:t>
      </w:r>
      <w:r w:rsidR="000A5329" w:rsidRPr="002029AF">
        <w:t xml:space="preserve"> </w:t>
      </w:r>
      <w:r w:rsidRPr="002029AF">
        <w:t>and</w:t>
      </w:r>
      <w:r w:rsidR="000A5329" w:rsidRPr="002029AF">
        <w:t xml:space="preserve"> </w:t>
      </w:r>
      <w:r w:rsidRPr="002029AF">
        <w:t>taxes</w:t>
      </w:r>
      <w:r w:rsidR="000A5329" w:rsidRPr="002029AF">
        <w:t xml:space="preserve"> </w:t>
      </w:r>
      <w:r w:rsidRPr="002029AF">
        <w:t>payable.</w:t>
      </w:r>
    </w:p>
    <w:p w14:paraId="00042F2D" w14:textId="77777777" w:rsidR="00087B91" w:rsidRPr="002029AF" w:rsidRDefault="00087B91" w:rsidP="00087B91">
      <w:pPr>
        <w:pStyle w:val="ARfintablefootnoteindent"/>
      </w:pPr>
      <w:r w:rsidRPr="002029AF">
        <w:br w:type="page"/>
      </w:r>
    </w:p>
    <w:p w14:paraId="3B928F04" w14:textId="62F3CBD7" w:rsidR="00087B91" w:rsidRPr="002029AF" w:rsidRDefault="00087B91" w:rsidP="00087B91">
      <w:pPr>
        <w:pStyle w:val="Heading7"/>
      </w:pPr>
      <w:bookmarkStart w:id="381" w:name="_Ref52455366"/>
      <w:r w:rsidRPr="002029AF">
        <w:lastRenderedPageBreak/>
        <w:t>Interest</w:t>
      </w:r>
      <w:r w:rsidR="000A5329" w:rsidRPr="002029AF">
        <w:t xml:space="preserve"> </w:t>
      </w:r>
      <w:r w:rsidRPr="002029AF">
        <w:t>rate</w:t>
      </w:r>
      <w:r w:rsidR="000A5329" w:rsidRPr="002029AF">
        <w:t xml:space="preserve"> </w:t>
      </w:r>
      <w:r w:rsidRPr="002029AF">
        <w:t>risk</w:t>
      </w:r>
      <w:r w:rsidR="000A5329" w:rsidRPr="002029AF">
        <w:t xml:space="preserve"> </w:t>
      </w:r>
      <w:r w:rsidRPr="002029AF">
        <w:t>sensitivity</w:t>
      </w:r>
      <w:r w:rsidR="000A5329" w:rsidRPr="002029AF">
        <w:t xml:space="preserve"> </w:t>
      </w:r>
      <w:r w:rsidRPr="002029AF">
        <w:t>analysis</w:t>
      </w:r>
      <w:bookmarkEnd w:id="381"/>
    </w:p>
    <w:tbl>
      <w:tblPr>
        <w:tblStyle w:val="TableGrid"/>
        <w:tblW w:w="9639" w:type="dxa"/>
        <w:tblLayout w:type="fixed"/>
        <w:tblLook w:val="06A0" w:firstRow="1" w:lastRow="0" w:firstColumn="1" w:lastColumn="0" w:noHBand="1" w:noVBand="1"/>
      </w:tblPr>
      <w:tblGrid>
        <w:gridCol w:w="3969"/>
        <w:gridCol w:w="1134"/>
        <w:gridCol w:w="1134"/>
        <w:gridCol w:w="1134"/>
        <w:gridCol w:w="1134"/>
        <w:gridCol w:w="1134"/>
      </w:tblGrid>
      <w:tr w:rsidR="00087B91" w:rsidRPr="002029AF" w14:paraId="7B26A75F"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3969" w:type="dxa"/>
            <w:vMerge w:val="restart"/>
            <w:hideMark/>
          </w:tcPr>
          <w:p w14:paraId="008552BE" w14:textId="77777777" w:rsidR="00087B91" w:rsidRPr="002029AF" w:rsidRDefault="00087B91" w:rsidP="00860E95">
            <w:pPr>
              <w:pStyle w:val="ARfintablecolhead"/>
            </w:pPr>
          </w:p>
        </w:tc>
        <w:tc>
          <w:tcPr>
            <w:tcW w:w="1134" w:type="dxa"/>
            <w:vMerge w:val="restart"/>
            <w:hideMark/>
          </w:tcPr>
          <w:p w14:paraId="15C3EC89" w14:textId="53254E9F" w:rsidR="00087B91" w:rsidRPr="002029AF" w:rsidRDefault="00087B91" w:rsidP="00860E95">
            <w:pPr>
              <w:pStyle w:val="ARfintablecolheadright"/>
            </w:pPr>
            <w:r w:rsidRPr="002029AF">
              <w:t>Carrying</w:t>
            </w:r>
            <w:r w:rsidR="000A5329" w:rsidRPr="002029AF">
              <w:t xml:space="preserve"> </w:t>
            </w:r>
            <w:r w:rsidRPr="002029AF">
              <w:t>amount</w:t>
            </w:r>
          </w:p>
          <w:p w14:paraId="18560F60" w14:textId="77777777" w:rsidR="00087B91" w:rsidRPr="002029AF" w:rsidRDefault="00087B91" w:rsidP="00860E95">
            <w:pPr>
              <w:pStyle w:val="ARfintablecolheadright"/>
            </w:pPr>
            <w:r w:rsidRPr="002029AF">
              <w:t>$M</w:t>
            </w:r>
          </w:p>
        </w:tc>
        <w:tc>
          <w:tcPr>
            <w:tcW w:w="2268" w:type="dxa"/>
            <w:gridSpan w:val="2"/>
            <w:hideMark/>
          </w:tcPr>
          <w:p w14:paraId="38989F6B" w14:textId="2B433048" w:rsidR="00087B91" w:rsidRPr="002029AF" w:rsidRDefault="00087B91" w:rsidP="00860E95">
            <w:pPr>
              <w:pStyle w:val="ARfintablecolheadcentre"/>
            </w:pPr>
            <w:r w:rsidRPr="002029AF">
              <w:t>Interest</w:t>
            </w:r>
            <w:r w:rsidR="000A5329" w:rsidRPr="002029AF">
              <w:t xml:space="preserve"> </w:t>
            </w:r>
            <w:r w:rsidRPr="002029AF">
              <w:t>rate</w:t>
            </w:r>
            <w:r w:rsidR="000A5329" w:rsidRPr="002029AF">
              <w:t xml:space="preserve"> </w:t>
            </w:r>
            <w:r w:rsidRPr="002029AF">
              <w:t>risk</w:t>
            </w:r>
          </w:p>
        </w:tc>
        <w:tc>
          <w:tcPr>
            <w:tcW w:w="2268" w:type="dxa"/>
            <w:gridSpan w:val="2"/>
            <w:hideMark/>
          </w:tcPr>
          <w:p w14:paraId="52289D48" w14:textId="38C77614" w:rsidR="00087B91" w:rsidRPr="002029AF" w:rsidRDefault="00087B91" w:rsidP="00860E95">
            <w:pPr>
              <w:pStyle w:val="ARfintablecolheadcentre"/>
            </w:pPr>
            <w:r w:rsidRPr="002029AF">
              <w:t>Consumer</w:t>
            </w:r>
            <w:r w:rsidR="000A5329" w:rsidRPr="002029AF">
              <w:t xml:space="preserve"> </w:t>
            </w:r>
            <w:r w:rsidRPr="002029AF">
              <w:t>Price</w:t>
            </w:r>
            <w:r w:rsidR="000A5329" w:rsidRPr="002029AF">
              <w:t xml:space="preserve"> </w:t>
            </w:r>
            <w:r w:rsidRPr="002029AF">
              <w:t>Index</w:t>
            </w:r>
            <w:r w:rsidR="000A5329" w:rsidRPr="002029AF">
              <w:t xml:space="preserve"> </w:t>
            </w:r>
            <w:r w:rsidRPr="002029AF">
              <w:t>(CPI)</w:t>
            </w:r>
          </w:p>
        </w:tc>
      </w:tr>
      <w:tr w:rsidR="00087B91" w:rsidRPr="002029AF" w14:paraId="12590AE4"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3969" w:type="dxa"/>
            <w:vMerge/>
            <w:hideMark/>
          </w:tcPr>
          <w:p w14:paraId="14EFEE03" w14:textId="77777777" w:rsidR="00087B91" w:rsidRPr="002029AF" w:rsidRDefault="00087B91" w:rsidP="00860E95">
            <w:pPr>
              <w:pStyle w:val="ARfintablecolhead"/>
            </w:pPr>
          </w:p>
        </w:tc>
        <w:tc>
          <w:tcPr>
            <w:tcW w:w="1134" w:type="dxa"/>
            <w:vMerge/>
            <w:hideMark/>
          </w:tcPr>
          <w:p w14:paraId="538A9E5D" w14:textId="77777777" w:rsidR="00087B91" w:rsidRPr="002029AF" w:rsidRDefault="00087B91" w:rsidP="00860E95">
            <w:pPr>
              <w:pStyle w:val="ARfintablecolheadright"/>
            </w:pPr>
          </w:p>
        </w:tc>
        <w:tc>
          <w:tcPr>
            <w:tcW w:w="1134" w:type="dxa"/>
            <w:hideMark/>
          </w:tcPr>
          <w:p w14:paraId="07EA353F" w14:textId="2738E138" w:rsidR="00087B91" w:rsidRPr="002029AF" w:rsidRDefault="00087B91" w:rsidP="00860E95">
            <w:pPr>
              <w:pStyle w:val="ARfintablecolheadright"/>
            </w:pPr>
            <w:r w:rsidRPr="002029AF">
              <w:t>–0.50%</w:t>
            </w:r>
            <w:r w:rsidRPr="002029AF">
              <w:br/>
              <w:t>Net</w:t>
            </w:r>
            <w:r w:rsidR="000A5329" w:rsidRPr="002029AF">
              <w:t xml:space="preserve"> </w:t>
            </w:r>
            <w:r w:rsidRPr="002029AF">
              <w:t>result</w:t>
            </w:r>
          </w:p>
          <w:p w14:paraId="3F097519" w14:textId="77777777" w:rsidR="00087B91" w:rsidRPr="002029AF" w:rsidRDefault="00087B91" w:rsidP="00860E95">
            <w:pPr>
              <w:pStyle w:val="ARfintablecolheadright"/>
            </w:pPr>
            <w:r w:rsidRPr="002029AF">
              <w:t>$M</w:t>
            </w:r>
          </w:p>
        </w:tc>
        <w:tc>
          <w:tcPr>
            <w:tcW w:w="1134" w:type="dxa"/>
            <w:hideMark/>
          </w:tcPr>
          <w:p w14:paraId="68DE174C" w14:textId="40C53742" w:rsidR="00087B91" w:rsidRPr="002029AF" w:rsidRDefault="00087B91" w:rsidP="00860E95">
            <w:pPr>
              <w:pStyle w:val="ARfintablecolheadright"/>
            </w:pPr>
            <w:r w:rsidRPr="002029AF">
              <w:t>+0.50%</w:t>
            </w:r>
            <w:r w:rsidRPr="002029AF">
              <w:br/>
              <w:t>Net</w:t>
            </w:r>
            <w:r w:rsidR="000A5329" w:rsidRPr="002029AF">
              <w:t xml:space="preserve"> </w:t>
            </w:r>
            <w:r w:rsidRPr="002029AF">
              <w:t>result</w:t>
            </w:r>
          </w:p>
          <w:p w14:paraId="2B30A8EF" w14:textId="77777777" w:rsidR="00087B91" w:rsidRPr="002029AF" w:rsidRDefault="00087B91" w:rsidP="00860E95">
            <w:pPr>
              <w:pStyle w:val="ARfintablecolheadright"/>
            </w:pPr>
            <w:r w:rsidRPr="002029AF">
              <w:t>$M</w:t>
            </w:r>
          </w:p>
        </w:tc>
        <w:tc>
          <w:tcPr>
            <w:tcW w:w="1134" w:type="dxa"/>
            <w:hideMark/>
          </w:tcPr>
          <w:p w14:paraId="04CDA900" w14:textId="4D57F979" w:rsidR="00087B91" w:rsidRPr="002029AF" w:rsidRDefault="00087B91" w:rsidP="00860E95">
            <w:pPr>
              <w:pStyle w:val="ARfintablecolheadright"/>
            </w:pPr>
            <w:r w:rsidRPr="002029AF">
              <w:t>–0.25%</w:t>
            </w:r>
            <w:r w:rsidRPr="002029AF">
              <w:br/>
              <w:t>Net</w:t>
            </w:r>
            <w:r w:rsidR="000A5329" w:rsidRPr="002029AF">
              <w:t xml:space="preserve"> </w:t>
            </w:r>
            <w:r w:rsidRPr="002029AF">
              <w:t>result</w:t>
            </w:r>
          </w:p>
          <w:p w14:paraId="60D9261C" w14:textId="77777777" w:rsidR="00087B91" w:rsidRPr="002029AF" w:rsidRDefault="00087B91" w:rsidP="00860E95">
            <w:pPr>
              <w:pStyle w:val="ARfintablecolheadright"/>
            </w:pPr>
            <w:r w:rsidRPr="002029AF">
              <w:t>$M</w:t>
            </w:r>
          </w:p>
        </w:tc>
        <w:tc>
          <w:tcPr>
            <w:tcW w:w="1134" w:type="dxa"/>
            <w:hideMark/>
          </w:tcPr>
          <w:p w14:paraId="0597FA75" w14:textId="0173C0D9" w:rsidR="00087B91" w:rsidRPr="002029AF" w:rsidRDefault="00087B91" w:rsidP="00860E95">
            <w:pPr>
              <w:pStyle w:val="ARfintablecolheadright"/>
            </w:pPr>
            <w:r w:rsidRPr="002029AF">
              <w:t>1.50%</w:t>
            </w:r>
            <w:r w:rsidRPr="002029AF">
              <w:br/>
              <w:t>Net</w:t>
            </w:r>
            <w:r w:rsidR="000A5329" w:rsidRPr="002029AF">
              <w:t xml:space="preserve"> </w:t>
            </w:r>
            <w:r w:rsidRPr="002029AF">
              <w:t>result</w:t>
            </w:r>
          </w:p>
          <w:p w14:paraId="32701EC4" w14:textId="77777777" w:rsidR="00087B91" w:rsidRPr="002029AF" w:rsidRDefault="00087B91" w:rsidP="00860E95">
            <w:pPr>
              <w:pStyle w:val="ARfintablecolheadright"/>
            </w:pPr>
            <w:r w:rsidRPr="002029AF">
              <w:t>$M</w:t>
            </w:r>
          </w:p>
        </w:tc>
      </w:tr>
      <w:tr w:rsidR="00087B91" w:rsidRPr="002029AF" w14:paraId="09F0C6ED" w14:textId="77777777" w:rsidTr="00860E95">
        <w:tc>
          <w:tcPr>
            <w:tcW w:w="9639" w:type="dxa"/>
            <w:gridSpan w:val="6"/>
            <w:tcBorders>
              <w:bottom w:val="single" w:sz="4" w:space="0" w:color="auto"/>
            </w:tcBorders>
            <w:hideMark/>
          </w:tcPr>
          <w:p w14:paraId="7D037D74" w14:textId="77777777" w:rsidR="00087B91" w:rsidRPr="002029AF" w:rsidRDefault="00087B91" w:rsidP="00860E95">
            <w:pPr>
              <w:pStyle w:val="ARfintablebodybold"/>
            </w:pPr>
            <w:r w:rsidRPr="002029AF">
              <w:t>2020</w:t>
            </w:r>
          </w:p>
        </w:tc>
      </w:tr>
      <w:tr w:rsidR="00087B91" w:rsidRPr="002029AF" w14:paraId="6E71C56A" w14:textId="77777777" w:rsidTr="00860E95">
        <w:tc>
          <w:tcPr>
            <w:tcW w:w="9639" w:type="dxa"/>
            <w:gridSpan w:val="6"/>
            <w:tcBorders>
              <w:top w:val="single" w:sz="4" w:space="0" w:color="auto"/>
              <w:bottom w:val="single" w:sz="4" w:space="0" w:color="A6A6A6"/>
            </w:tcBorders>
            <w:hideMark/>
          </w:tcPr>
          <w:p w14:paraId="750C2845" w14:textId="00E39888" w:rsidR="00087B91" w:rsidRPr="002029AF" w:rsidRDefault="00087B91" w:rsidP="00860E95">
            <w:pPr>
              <w:pStyle w:val="ARfintablebodybold"/>
            </w:pPr>
            <w:r w:rsidRPr="002029AF">
              <w:t>Contractual</w:t>
            </w:r>
            <w:r w:rsidR="000A5329" w:rsidRPr="002029AF">
              <w:t xml:space="preserve"> </w:t>
            </w:r>
            <w:r w:rsidRPr="002029AF">
              <w:t>financial</w:t>
            </w:r>
            <w:r w:rsidR="000A5329" w:rsidRPr="002029AF">
              <w:t xml:space="preserve"> </w:t>
            </w:r>
            <w:r w:rsidRPr="002029AF">
              <w:t>assets</w:t>
            </w:r>
          </w:p>
        </w:tc>
      </w:tr>
      <w:tr w:rsidR="00087B91" w:rsidRPr="002029AF" w14:paraId="59B62237" w14:textId="77777777" w:rsidTr="00860E95">
        <w:tc>
          <w:tcPr>
            <w:tcW w:w="3969" w:type="dxa"/>
            <w:tcBorders>
              <w:top w:val="single" w:sz="4" w:space="0" w:color="A6A6A6"/>
              <w:bottom w:val="single" w:sz="4" w:space="0" w:color="A6A6A6"/>
            </w:tcBorders>
            <w:hideMark/>
          </w:tcPr>
          <w:p w14:paraId="1DAF7882" w14:textId="38C2A083" w:rsidR="00087B91" w:rsidRPr="002029AF" w:rsidRDefault="00087B91" w:rsidP="00860E95">
            <w:pPr>
              <w:pStyle w:val="ARfintablebody"/>
            </w:pPr>
            <w:r w:rsidRPr="002029AF">
              <w:t>Cash</w:t>
            </w:r>
            <w:r w:rsidR="000A5329" w:rsidRPr="002029AF">
              <w:t xml:space="preserve"> </w:t>
            </w:r>
            <w:r w:rsidRPr="002029AF">
              <w:t>and</w:t>
            </w:r>
            <w:r w:rsidR="000A5329" w:rsidRPr="002029AF">
              <w:t xml:space="preserve"> </w:t>
            </w:r>
            <w:r w:rsidRPr="002029AF">
              <w:t>deposits</w:t>
            </w:r>
            <w:r w:rsidR="000A5329" w:rsidRPr="002029AF">
              <w:t xml:space="preserve"> </w:t>
            </w:r>
            <w:r w:rsidRPr="002029AF">
              <w:rPr>
                <w:rStyle w:val="Superscript"/>
              </w:rPr>
              <w:t>(i)</w:t>
            </w:r>
          </w:p>
        </w:tc>
        <w:tc>
          <w:tcPr>
            <w:tcW w:w="1134" w:type="dxa"/>
            <w:tcBorders>
              <w:top w:val="single" w:sz="4" w:space="0" w:color="A6A6A6"/>
              <w:bottom w:val="single" w:sz="4" w:space="0" w:color="A6A6A6"/>
            </w:tcBorders>
            <w:noWrap/>
            <w:hideMark/>
          </w:tcPr>
          <w:p w14:paraId="6FAED696" w14:textId="77777777" w:rsidR="00087B91" w:rsidRPr="002029AF" w:rsidRDefault="00087B91" w:rsidP="00860E95">
            <w:pPr>
              <w:pStyle w:val="ARfintablebodyright"/>
            </w:pPr>
            <w:r w:rsidRPr="002029AF">
              <w:t>597.7</w:t>
            </w:r>
          </w:p>
        </w:tc>
        <w:tc>
          <w:tcPr>
            <w:tcW w:w="1134" w:type="dxa"/>
            <w:tcBorders>
              <w:top w:val="single" w:sz="4" w:space="0" w:color="A6A6A6"/>
              <w:bottom w:val="single" w:sz="4" w:space="0" w:color="A6A6A6"/>
            </w:tcBorders>
            <w:noWrap/>
            <w:hideMark/>
          </w:tcPr>
          <w:p w14:paraId="216B1DA6" w14:textId="77777777" w:rsidR="00087B91" w:rsidRPr="002029AF" w:rsidRDefault="00087B91" w:rsidP="00860E95">
            <w:pPr>
              <w:pStyle w:val="ARfintablebodyright"/>
            </w:pPr>
            <w:r w:rsidRPr="002029AF">
              <w:t>(2.4)</w:t>
            </w:r>
          </w:p>
        </w:tc>
        <w:tc>
          <w:tcPr>
            <w:tcW w:w="1134" w:type="dxa"/>
            <w:tcBorders>
              <w:top w:val="single" w:sz="4" w:space="0" w:color="A6A6A6"/>
              <w:bottom w:val="single" w:sz="4" w:space="0" w:color="A6A6A6"/>
            </w:tcBorders>
            <w:noWrap/>
            <w:hideMark/>
          </w:tcPr>
          <w:p w14:paraId="255D252D" w14:textId="77777777" w:rsidR="00087B91" w:rsidRPr="002029AF" w:rsidRDefault="00087B91" w:rsidP="00860E95">
            <w:pPr>
              <w:pStyle w:val="ARfintablebodyright"/>
            </w:pPr>
            <w:r w:rsidRPr="002029AF">
              <w:t>2.4</w:t>
            </w:r>
          </w:p>
        </w:tc>
        <w:tc>
          <w:tcPr>
            <w:tcW w:w="1134" w:type="dxa"/>
            <w:tcBorders>
              <w:top w:val="single" w:sz="4" w:space="0" w:color="A6A6A6"/>
              <w:bottom w:val="single" w:sz="4" w:space="0" w:color="A6A6A6"/>
            </w:tcBorders>
            <w:noWrap/>
            <w:hideMark/>
          </w:tcPr>
          <w:p w14:paraId="0167E7D9"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0A3621AA" w14:textId="77777777" w:rsidR="00087B91" w:rsidRPr="002029AF" w:rsidRDefault="00087B91" w:rsidP="00860E95">
            <w:pPr>
              <w:pStyle w:val="ARfintablebodyright"/>
            </w:pPr>
            <w:r w:rsidRPr="002029AF">
              <w:t>–</w:t>
            </w:r>
          </w:p>
        </w:tc>
      </w:tr>
      <w:tr w:rsidR="00087B91" w:rsidRPr="002029AF" w14:paraId="38813AB8" w14:textId="77777777" w:rsidTr="00860E95">
        <w:tc>
          <w:tcPr>
            <w:tcW w:w="3969" w:type="dxa"/>
            <w:tcBorders>
              <w:top w:val="single" w:sz="4" w:space="0" w:color="A6A6A6"/>
              <w:bottom w:val="single" w:sz="4" w:space="0" w:color="A6A6A6"/>
            </w:tcBorders>
            <w:hideMark/>
          </w:tcPr>
          <w:p w14:paraId="3B4B8ACF" w14:textId="6918BCC3" w:rsidR="00087B91" w:rsidRPr="002029AF" w:rsidRDefault="00087B91" w:rsidP="00860E95">
            <w:pPr>
              <w:pStyle w:val="ARfintablebody"/>
            </w:pPr>
            <w:r w:rsidRPr="002029AF">
              <w:t>Receivables</w:t>
            </w:r>
            <w:r w:rsidR="000A5329" w:rsidRPr="002029AF">
              <w:rPr>
                <w:rStyle w:val="Superscript"/>
              </w:rPr>
              <w:t xml:space="preserve"> </w:t>
            </w:r>
            <w:r w:rsidRPr="002029AF">
              <w:rPr>
                <w:rStyle w:val="Superscript"/>
              </w:rPr>
              <w:t>(ii)(iii)</w:t>
            </w:r>
          </w:p>
        </w:tc>
        <w:tc>
          <w:tcPr>
            <w:tcW w:w="1134" w:type="dxa"/>
            <w:tcBorders>
              <w:top w:val="single" w:sz="4" w:space="0" w:color="A6A6A6"/>
              <w:bottom w:val="single" w:sz="4" w:space="0" w:color="A6A6A6"/>
            </w:tcBorders>
            <w:noWrap/>
            <w:hideMark/>
          </w:tcPr>
          <w:p w14:paraId="5C18FBDE" w14:textId="77777777" w:rsidR="00087B91" w:rsidRPr="002029AF" w:rsidRDefault="00087B91" w:rsidP="00860E95">
            <w:pPr>
              <w:pStyle w:val="ARfintablebodyright"/>
            </w:pPr>
            <w:r w:rsidRPr="002029AF">
              <w:t>487.7</w:t>
            </w:r>
          </w:p>
        </w:tc>
        <w:tc>
          <w:tcPr>
            <w:tcW w:w="1134" w:type="dxa"/>
            <w:tcBorders>
              <w:top w:val="single" w:sz="4" w:space="0" w:color="A6A6A6"/>
              <w:bottom w:val="single" w:sz="4" w:space="0" w:color="A6A6A6"/>
            </w:tcBorders>
            <w:noWrap/>
            <w:hideMark/>
          </w:tcPr>
          <w:p w14:paraId="4583573A"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5AB63545"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1B2672CF"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2D0F2167" w14:textId="77777777" w:rsidR="00087B91" w:rsidRPr="002029AF" w:rsidRDefault="00087B91" w:rsidP="00860E95">
            <w:pPr>
              <w:pStyle w:val="ARfintablebodyright"/>
            </w:pPr>
            <w:r w:rsidRPr="002029AF">
              <w:t>–</w:t>
            </w:r>
          </w:p>
        </w:tc>
      </w:tr>
      <w:tr w:rsidR="00087B91" w:rsidRPr="002029AF" w14:paraId="2B3C4519" w14:textId="77777777" w:rsidTr="00860E95">
        <w:tc>
          <w:tcPr>
            <w:tcW w:w="3969" w:type="dxa"/>
            <w:tcBorders>
              <w:top w:val="single" w:sz="4" w:space="0" w:color="A6A6A6"/>
              <w:bottom w:val="single" w:sz="4" w:space="0" w:color="A6A6A6"/>
            </w:tcBorders>
            <w:hideMark/>
          </w:tcPr>
          <w:p w14:paraId="50B67790" w14:textId="43DFE48C" w:rsidR="00087B91" w:rsidRPr="002029AF" w:rsidRDefault="00087B91" w:rsidP="00860E95">
            <w:pPr>
              <w:pStyle w:val="ARfintablebody"/>
            </w:pPr>
            <w:r w:rsidRPr="002029AF">
              <w:t>Loans</w:t>
            </w:r>
            <w:r w:rsidR="000A5329" w:rsidRPr="002029AF">
              <w:t xml:space="preserve"> </w:t>
            </w:r>
            <w:r w:rsidRPr="002029AF">
              <w:rPr>
                <w:rStyle w:val="Superscript"/>
              </w:rPr>
              <w:t>(iii)</w:t>
            </w:r>
          </w:p>
        </w:tc>
        <w:tc>
          <w:tcPr>
            <w:tcW w:w="1134" w:type="dxa"/>
            <w:tcBorders>
              <w:top w:val="single" w:sz="4" w:space="0" w:color="A6A6A6"/>
              <w:bottom w:val="single" w:sz="4" w:space="0" w:color="A6A6A6"/>
            </w:tcBorders>
            <w:noWrap/>
            <w:hideMark/>
          </w:tcPr>
          <w:p w14:paraId="0315BD89" w14:textId="77777777" w:rsidR="00087B91" w:rsidRPr="002029AF" w:rsidRDefault="00087B91" w:rsidP="00860E95">
            <w:pPr>
              <w:pStyle w:val="ARfintablebodyright"/>
            </w:pPr>
            <w:r w:rsidRPr="002029AF">
              <w:t>389.5</w:t>
            </w:r>
          </w:p>
        </w:tc>
        <w:tc>
          <w:tcPr>
            <w:tcW w:w="1134" w:type="dxa"/>
            <w:tcBorders>
              <w:top w:val="single" w:sz="4" w:space="0" w:color="A6A6A6"/>
              <w:bottom w:val="single" w:sz="4" w:space="0" w:color="A6A6A6"/>
            </w:tcBorders>
            <w:noWrap/>
            <w:hideMark/>
          </w:tcPr>
          <w:p w14:paraId="7414EBA9" w14:textId="77777777" w:rsidR="00087B91" w:rsidRPr="002029AF" w:rsidRDefault="00087B91" w:rsidP="00860E95">
            <w:pPr>
              <w:pStyle w:val="ARfintablebodyright"/>
            </w:pPr>
            <w:r w:rsidRPr="002029AF">
              <w:t>(0.1)</w:t>
            </w:r>
          </w:p>
        </w:tc>
        <w:tc>
          <w:tcPr>
            <w:tcW w:w="1134" w:type="dxa"/>
            <w:tcBorders>
              <w:top w:val="single" w:sz="4" w:space="0" w:color="A6A6A6"/>
              <w:bottom w:val="single" w:sz="4" w:space="0" w:color="A6A6A6"/>
            </w:tcBorders>
            <w:noWrap/>
            <w:hideMark/>
          </w:tcPr>
          <w:p w14:paraId="61A1A9C2" w14:textId="77777777" w:rsidR="00087B91" w:rsidRPr="002029AF" w:rsidRDefault="00087B91" w:rsidP="00860E95">
            <w:pPr>
              <w:pStyle w:val="ARfintablebodyright"/>
            </w:pPr>
            <w:r w:rsidRPr="002029AF">
              <w:t>0.1</w:t>
            </w:r>
          </w:p>
        </w:tc>
        <w:tc>
          <w:tcPr>
            <w:tcW w:w="1134" w:type="dxa"/>
            <w:tcBorders>
              <w:top w:val="single" w:sz="4" w:space="0" w:color="A6A6A6"/>
              <w:bottom w:val="single" w:sz="4" w:space="0" w:color="A6A6A6"/>
            </w:tcBorders>
            <w:noWrap/>
            <w:hideMark/>
          </w:tcPr>
          <w:p w14:paraId="11FA4F85"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4AC96533" w14:textId="77777777" w:rsidR="00087B91" w:rsidRPr="002029AF" w:rsidRDefault="00087B91" w:rsidP="00860E95">
            <w:pPr>
              <w:pStyle w:val="ARfintablebodyright"/>
            </w:pPr>
            <w:r w:rsidRPr="002029AF">
              <w:t>0.2</w:t>
            </w:r>
          </w:p>
        </w:tc>
      </w:tr>
      <w:tr w:rsidR="00087B91" w:rsidRPr="002029AF" w14:paraId="3D3FF5D1" w14:textId="77777777" w:rsidTr="00860E95">
        <w:tc>
          <w:tcPr>
            <w:tcW w:w="3969" w:type="dxa"/>
            <w:tcBorders>
              <w:top w:val="single" w:sz="4" w:space="0" w:color="A6A6A6"/>
            </w:tcBorders>
            <w:hideMark/>
          </w:tcPr>
          <w:p w14:paraId="42339551" w14:textId="694235AA" w:rsidR="00087B91" w:rsidRPr="002029AF" w:rsidRDefault="00087B91" w:rsidP="00860E95">
            <w:pPr>
              <w:pStyle w:val="ARfintablebody"/>
            </w:pPr>
            <w:r w:rsidRPr="002029AF">
              <w:t>Short-term</w:t>
            </w:r>
            <w:r w:rsidR="000A5329" w:rsidRPr="002029AF">
              <w:t xml:space="preserve"> </w:t>
            </w:r>
            <w:r w:rsidRPr="002029AF">
              <w:t>investments</w:t>
            </w:r>
            <w:r w:rsidR="000A5329" w:rsidRPr="002029AF">
              <w:t xml:space="preserve"> </w:t>
            </w:r>
            <w:r w:rsidRPr="002029AF">
              <w:t>–</w:t>
            </w:r>
            <w:r w:rsidR="000A5329" w:rsidRPr="002029AF">
              <w:t xml:space="preserve"> </w:t>
            </w:r>
            <w:r w:rsidRPr="002029AF">
              <w:t>term</w:t>
            </w:r>
            <w:r w:rsidR="000A5329" w:rsidRPr="002029AF">
              <w:t xml:space="preserve"> </w:t>
            </w:r>
            <w:r w:rsidRPr="002029AF">
              <w:t>deposits</w:t>
            </w:r>
          </w:p>
        </w:tc>
        <w:tc>
          <w:tcPr>
            <w:tcW w:w="1134" w:type="dxa"/>
            <w:tcBorders>
              <w:top w:val="single" w:sz="4" w:space="0" w:color="A6A6A6"/>
            </w:tcBorders>
            <w:noWrap/>
            <w:hideMark/>
          </w:tcPr>
          <w:p w14:paraId="4FF417F8" w14:textId="77777777" w:rsidR="00087B91" w:rsidRPr="002029AF" w:rsidRDefault="00087B91" w:rsidP="00860E95">
            <w:pPr>
              <w:pStyle w:val="ARfintablebodyright"/>
            </w:pPr>
            <w:r w:rsidRPr="002029AF">
              <w:t>–</w:t>
            </w:r>
          </w:p>
        </w:tc>
        <w:tc>
          <w:tcPr>
            <w:tcW w:w="1134" w:type="dxa"/>
            <w:tcBorders>
              <w:top w:val="single" w:sz="4" w:space="0" w:color="A6A6A6"/>
            </w:tcBorders>
            <w:noWrap/>
            <w:hideMark/>
          </w:tcPr>
          <w:p w14:paraId="6248733D" w14:textId="77777777" w:rsidR="00087B91" w:rsidRPr="002029AF" w:rsidRDefault="00087B91" w:rsidP="00860E95">
            <w:pPr>
              <w:pStyle w:val="ARfintablebodyright"/>
            </w:pPr>
            <w:r w:rsidRPr="002029AF">
              <w:t>–</w:t>
            </w:r>
          </w:p>
        </w:tc>
        <w:tc>
          <w:tcPr>
            <w:tcW w:w="1134" w:type="dxa"/>
            <w:tcBorders>
              <w:top w:val="single" w:sz="4" w:space="0" w:color="A6A6A6"/>
            </w:tcBorders>
            <w:noWrap/>
            <w:hideMark/>
          </w:tcPr>
          <w:p w14:paraId="1079C574" w14:textId="77777777" w:rsidR="00087B91" w:rsidRPr="002029AF" w:rsidRDefault="00087B91" w:rsidP="00860E95">
            <w:pPr>
              <w:pStyle w:val="ARfintablebodyright"/>
            </w:pPr>
            <w:r w:rsidRPr="002029AF">
              <w:t>–</w:t>
            </w:r>
          </w:p>
        </w:tc>
        <w:tc>
          <w:tcPr>
            <w:tcW w:w="1134" w:type="dxa"/>
            <w:tcBorders>
              <w:top w:val="single" w:sz="4" w:space="0" w:color="A6A6A6"/>
            </w:tcBorders>
            <w:noWrap/>
            <w:hideMark/>
          </w:tcPr>
          <w:p w14:paraId="2A98A1E6" w14:textId="77777777" w:rsidR="00087B91" w:rsidRPr="002029AF" w:rsidRDefault="00087B91" w:rsidP="00860E95">
            <w:pPr>
              <w:pStyle w:val="ARfintablebodyright"/>
            </w:pPr>
            <w:r w:rsidRPr="002029AF">
              <w:t>–</w:t>
            </w:r>
          </w:p>
        </w:tc>
        <w:tc>
          <w:tcPr>
            <w:tcW w:w="1134" w:type="dxa"/>
            <w:tcBorders>
              <w:top w:val="single" w:sz="4" w:space="0" w:color="A6A6A6"/>
            </w:tcBorders>
            <w:noWrap/>
            <w:hideMark/>
          </w:tcPr>
          <w:p w14:paraId="3C87B538" w14:textId="77777777" w:rsidR="00087B91" w:rsidRPr="002029AF" w:rsidRDefault="00087B91" w:rsidP="00860E95">
            <w:pPr>
              <w:pStyle w:val="ARfintablebodyright"/>
            </w:pPr>
            <w:r w:rsidRPr="002029AF">
              <w:t>–</w:t>
            </w:r>
          </w:p>
        </w:tc>
      </w:tr>
      <w:tr w:rsidR="00087B91" w:rsidRPr="002029AF" w14:paraId="745501A7" w14:textId="77777777" w:rsidTr="00860E95">
        <w:tc>
          <w:tcPr>
            <w:tcW w:w="3969" w:type="dxa"/>
            <w:tcBorders>
              <w:bottom w:val="single" w:sz="4" w:space="0" w:color="auto"/>
            </w:tcBorders>
            <w:hideMark/>
          </w:tcPr>
          <w:p w14:paraId="59C62FE9" w14:textId="3F0A835E" w:rsidR="00087B91" w:rsidRPr="002029AF" w:rsidRDefault="00087B91" w:rsidP="00860E95">
            <w:pPr>
              <w:pStyle w:val="ARfintablebodybold"/>
            </w:pPr>
            <w:r w:rsidRPr="002029AF">
              <w:t>Total</w:t>
            </w:r>
            <w:r w:rsidR="000A5329" w:rsidRPr="002029AF">
              <w:t xml:space="preserve"> </w:t>
            </w:r>
            <w:r w:rsidRPr="002029AF">
              <w:t>impact</w:t>
            </w:r>
          </w:p>
        </w:tc>
        <w:tc>
          <w:tcPr>
            <w:tcW w:w="1134" w:type="dxa"/>
            <w:tcBorders>
              <w:bottom w:val="single" w:sz="4" w:space="0" w:color="auto"/>
            </w:tcBorders>
            <w:noWrap/>
            <w:hideMark/>
          </w:tcPr>
          <w:p w14:paraId="2328E772" w14:textId="77777777" w:rsidR="00087B91" w:rsidRPr="002029AF" w:rsidRDefault="00087B91" w:rsidP="00860E95">
            <w:pPr>
              <w:pStyle w:val="ARfintablebodyrightbold"/>
            </w:pPr>
            <w:r w:rsidRPr="002029AF">
              <w:t>1,474.9</w:t>
            </w:r>
          </w:p>
        </w:tc>
        <w:tc>
          <w:tcPr>
            <w:tcW w:w="1134" w:type="dxa"/>
            <w:tcBorders>
              <w:bottom w:val="single" w:sz="4" w:space="0" w:color="auto"/>
            </w:tcBorders>
            <w:noWrap/>
            <w:hideMark/>
          </w:tcPr>
          <w:p w14:paraId="7343C62B" w14:textId="77777777" w:rsidR="00087B91" w:rsidRPr="002029AF" w:rsidRDefault="00087B91" w:rsidP="00860E95">
            <w:pPr>
              <w:pStyle w:val="ARfintablebodyrightbold"/>
            </w:pPr>
            <w:r w:rsidRPr="002029AF">
              <w:t>(2.5)</w:t>
            </w:r>
          </w:p>
        </w:tc>
        <w:tc>
          <w:tcPr>
            <w:tcW w:w="1134" w:type="dxa"/>
            <w:tcBorders>
              <w:bottom w:val="single" w:sz="4" w:space="0" w:color="auto"/>
            </w:tcBorders>
            <w:noWrap/>
            <w:hideMark/>
          </w:tcPr>
          <w:p w14:paraId="0A1663F3" w14:textId="77777777" w:rsidR="00087B91" w:rsidRPr="002029AF" w:rsidRDefault="00087B91" w:rsidP="00860E95">
            <w:pPr>
              <w:pStyle w:val="ARfintablebodyrightbold"/>
            </w:pPr>
            <w:r w:rsidRPr="002029AF">
              <w:t>2.5</w:t>
            </w:r>
          </w:p>
        </w:tc>
        <w:tc>
          <w:tcPr>
            <w:tcW w:w="1134" w:type="dxa"/>
            <w:tcBorders>
              <w:bottom w:val="single" w:sz="4" w:space="0" w:color="auto"/>
            </w:tcBorders>
            <w:noWrap/>
            <w:hideMark/>
          </w:tcPr>
          <w:p w14:paraId="18050C5D" w14:textId="77777777" w:rsidR="00087B91" w:rsidRPr="002029AF" w:rsidRDefault="00087B91" w:rsidP="00860E95">
            <w:pPr>
              <w:pStyle w:val="ARfintablebodyrightbold"/>
            </w:pPr>
            <w:r w:rsidRPr="002029AF">
              <w:t>–</w:t>
            </w:r>
          </w:p>
        </w:tc>
        <w:tc>
          <w:tcPr>
            <w:tcW w:w="1134" w:type="dxa"/>
            <w:tcBorders>
              <w:bottom w:val="single" w:sz="4" w:space="0" w:color="auto"/>
            </w:tcBorders>
            <w:noWrap/>
            <w:hideMark/>
          </w:tcPr>
          <w:p w14:paraId="14B81046" w14:textId="77777777" w:rsidR="00087B91" w:rsidRPr="002029AF" w:rsidRDefault="00087B91" w:rsidP="00860E95">
            <w:pPr>
              <w:pStyle w:val="ARfintablebodyrightbold"/>
            </w:pPr>
            <w:r w:rsidRPr="002029AF">
              <w:t>0.2</w:t>
            </w:r>
          </w:p>
        </w:tc>
      </w:tr>
      <w:tr w:rsidR="00087B91" w:rsidRPr="002029AF" w14:paraId="34BAC13E" w14:textId="77777777" w:rsidTr="00860E95">
        <w:tc>
          <w:tcPr>
            <w:tcW w:w="3969" w:type="dxa"/>
            <w:tcBorders>
              <w:top w:val="single" w:sz="4" w:space="0" w:color="auto"/>
              <w:bottom w:val="single" w:sz="4" w:space="0" w:color="A6A6A6"/>
            </w:tcBorders>
            <w:hideMark/>
          </w:tcPr>
          <w:p w14:paraId="7C2D54A8" w14:textId="2115FE82" w:rsidR="00087B91" w:rsidRPr="002029AF" w:rsidRDefault="00087B91" w:rsidP="00860E95">
            <w:pPr>
              <w:pStyle w:val="ARfintablebodybold"/>
            </w:pPr>
            <w:r w:rsidRPr="002029AF">
              <w:t>Contractual</w:t>
            </w:r>
            <w:r w:rsidR="000A5329" w:rsidRPr="002029AF">
              <w:t xml:space="preserve"> </w:t>
            </w:r>
            <w:r w:rsidRPr="002029AF">
              <w:t>financial</w:t>
            </w:r>
            <w:r w:rsidR="000A5329" w:rsidRPr="002029AF">
              <w:t xml:space="preserve"> </w:t>
            </w:r>
            <w:r w:rsidRPr="002029AF">
              <w:t>liabilities</w:t>
            </w:r>
          </w:p>
        </w:tc>
        <w:tc>
          <w:tcPr>
            <w:tcW w:w="1134" w:type="dxa"/>
            <w:tcBorders>
              <w:top w:val="single" w:sz="4" w:space="0" w:color="auto"/>
              <w:bottom w:val="single" w:sz="4" w:space="0" w:color="A6A6A6"/>
            </w:tcBorders>
            <w:hideMark/>
          </w:tcPr>
          <w:p w14:paraId="7215ADEF" w14:textId="77777777" w:rsidR="00087B91" w:rsidRPr="002029AF" w:rsidRDefault="00087B91" w:rsidP="00860E95">
            <w:pPr>
              <w:pStyle w:val="ARfintablebodybold"/>
            </w:pPr>
          </w:p>
        </w:tc>
        <w:tc>
          <w:tcPr>
            <w:tcW w:w="1134" w:type="dxa"/>
            <w:tcBorders>
              <w:top w:val="single" w:sz="4" w:space="0" w:color="auto"/>
              <w:bottom w:val="single" w:sz="4" w:space="0" w:color="A6A6A6"/>
            </w:tcBorders>
            <w:hideMark/>
          </w:tcPr>
          <w:p w14:paraId="44BEA23C" w14:textId="77777777" w:rsidR="00087B91" w:rsidRPr="002029AF" w:rsidRDefault="00087B91" w:rsidP="00860E95">
            <w:pPr>
              <w:pStyle w:val="ARfintablebodybold"/>
            </w:pPr>
          </w:p>
        </w:tc>
        <w:tc>
          <w:tcPr>
            <w:tcW w:w="1134" w:type="dxa"/>
            <w:tcBorders>
              <w:top w:val="single" w:sz="4" w:space="0" w:color="auto"/>
              <w:bottom w:val="single" w:sz="4" w:space="0" w:color="A6A6A6"/>
            </w:tcBorders>
            <w:hideMark/>
          </w:tcPr>
          <w:p w14:paraId="6062ADBD" w14:textId="77777777" w:rsidR="00087B91" w:rsidRPr="002029AF" w:rsidRDefault="00087B91" w:rsidP="00860E95">
            <w:pPr>
              <w:pStyle w:val="ARfintablebodybold"/>
            </w:pPr>
          </w:p>
        </w:tc>
        <w:tc>
          <w:tcPr>
            <w:tcW w:w="1134" w:type="dxa"/>
            <w:tcBorders>
              <w:top w:val="single" w:sz="4" w:space="0" w:color="auto"/>
              <w:bottom w:val="single" w:sz="4" w:space="0" w:color="A6A6A6"/>
            </w:tcBorders>
            <w:hideMark/>
          </w:tcPr>
          <w:p w14:paraId="44B0129D" w14:textId="77777777" w:rsidR="00087B91" w:rsidRPr="002029AF" w:rsidRDefault="00087B91" w:rsidP="00860E95">
            <w:pPr>
              <w:pStyle w:val="ARfintablebodybold"/>
            </w:pPr>
          </w:p>
        </w:tc>
        <w:tc>
          <w:tcPr>
            <w:tcW w:w="1134" w:type="dxa"/>
            <w:tcBorders>
              <w:top w:val="single" w:sz="4" w:space="0" w:color="auto"/>
              <w:bottom w:val="single" w:sz="4" w:space="0" w:color="A6A6A6"/>
            </w:tcBorders>
            <w:hideMark/>
          </w:tcPr>
          <w:p w14:paraId="31C6DA8A" w14:textId="77777777" w:rsidR="00087B91" w:rsidRPr="002029AF" w:rsidRDefault="00087B91" w:rsidP="00860E95">
            <w:pPr>
              <w:pStyle w:val="ARfintablebodybold"/>
            </w:pPr>
          </w:p>
        </w:tc>
      </w:tr>
      <w:tr w:rsidR="00087B91" w:rsidRPr="002029AF" w14:paraId="19EA3435" w14:textId="77777777" w:rsidTr="00860E95">
        <w:tc>
          <w:tcPr>
            <w:tcW w:w="3969" w:type="dxa"/>
            <w:tcBorders>
              <w:top w:val="single" w:sz="4" w:space="0" w:color="A6A6A6"/>
              <w:bottom w:val="single" w:sz="4" w:space="0" w:color="A6A6A6"/>
            </w:tcBorders>
            <w:hideMark/>
          </w:tcPr>
          <w:p w14:paraId="7B942A95" w14:textId="7842AEDB" w:rsidR="00087B91" w:rsidRPr="002029AF" w:rsidRDefault="00087B91" w:rsidP="00860E95">
            <w:pPr>
              <w:pStyle w:val="ARfintablebody"/>
            </w:pPr>
            <w:r w:rsidRPr="002029AF">
              <w:t>Payables</w:t>
            </w:r>
            <w:r w:rsidR="000A5329" w:rsidRPr="002029AF">
              <w:t xml:space="preserve"> </w:t>
            </w:r>
            <w:r w:rsidRPr="002029AF">
              <w:rPr>
                <w:rStyle w:val="Superscript"/>
              </w:rPr>
              <w:t>(iii)</w:t>
            </w:r>
          </w:p>
        </w:tc>
        <w:tc>
          <w:tcPr>
            <w:tcW w:w="1134" w:type="dxa"/>
            <w:tcBorders>
              <w:top w:val="single" w:sz="4" w:space="0" w:color="A6A6A6"/>
              <w:bottom w:val="single" w:sz="4" w:space="0" w:color="A6A6A6"/>
            </w:tcBorders>
            <w:noWrap/>
            <w:hideMark/>
          </w:tcPr>
          <w:p w14:paraId="7E3285C5" w14:textId="77777777" w:rsidR="00087B91" w:rsidRPr="002029AF" w:rsidRDefault="00087B91" w:rsidP="00860E95">
            <w:pPr>
              <w:pStyle w:val="ARfintablebodyright"/>
            </w:pPr>
            <w:r w:rsidRPr="002029AF">
              <w:t>1,847.0</w:t>
            </w:r>
          </w:p>
        </w:tc>
        <w:tc>
          <w:tcPr>
            <w:tcW w:w="1134" w:type="dxa"/>
            <w:tcBorders>
              <w:top w:val="single" w:sz="4" w:space="0" w:color="A6A6A6"/>
              <w:bottom w:val="single" w:sz="4" w:space="0" w:color="A6A6A6"/>
            </w:tcBorders>
            <w:noWrap/>
            <w:hideMark/>
          </w:tcPr>
          <w:p w14:paraId="7342C947"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6430AC97"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3A5A0A2D"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2B453AB6" w14:textId="77777777" w:rsidR="00087B91" w:rsidRPr="002029AF" w:rsidRDefault="00087B91" w:rsidP="00860E95">
            <w:pPr>
              <w:pStyle w:val="ARfintablebodyright"/>
            </w:pPr>
            <w:r w:rsidRPr="002029AF">
              <w:t>–</w:t>
            </w:r>
          </w:p>
        </w:tc>
      </w:tr>
      <w:tr w:rsidR="00087B91" w:rsidRPr="002029AF" w14:paraId="42E72546" w14:textId="77777777" w:rsidTr="00860E95">
        <w:tc>
          <w:tcPr>
            <w:tcW w:w="3969" w:type="dxa"/>
            <w:tcBorders>
              <w:top w:val="single" w:sz="4" w:space="0" w:color="A6A6A6"/>
            </w:tcBorders>
            <w:hideMark/>
          </w:tcPr>
          <w:p w14:paraId="48E191CC" w14:textId="420725C1" w:rsidR="00087B91" w:rsidRPr="002029AF" w:rsidRDefault="00087B91" w:rsidP="00860E95">
            <w:pPr>
              <w:pStyle w:val="ARfintablebody"/>
            </w:pPr>
            <w:r w:rsidRPr="002029AF">
              <w:t>Borrowings</w:t>
            </w:r>
            <w:r w:rsidR="000A5329" w:rsidRPr="002029AF">
              <w:t xml:space="preserve"> </w:t>
            </w:r>
            <w:r w:rsidRPr="002029AF">
              <w:rPr>
                <w:rStyle w:val="Superscript"/>
              </w:rPr>
              <w:t>(iv)</w:t>
            </w:r>
          </w:p>
        </w:tc>
        <w:tc>
          <w:tcPr>
            <w:tcW w:w="1134" w:type="dxa"/>
            <w:tcBorders>
              <w:top w:val="single" w:sz="4" w:space="0" w:color="A6A6A6"/>
            </w:tcBorders>
            <w:noWrap/>
            <w:hideMark/>
          </w:tcPr>
          <w:p w14:paraId="10A30FF6" w14:textId="77777777" w:rsidR="00087B91" w:rsidRPr="002029AF" w:rsidRDefault="00087B91" w:rsidP="00860E95">
            <w:pPr>
              <w:pStyle w:val="ARfintablebodyright"/>
            </w:pPr>
            <w:r w:rsidRPr="002029AF">
              <w:t>415.4</w:t>
            </w:r>
          </w:p>
        </w:tc>
        <w:tc>
          <w:tcPr>
            <w:tcW w:w="1134" w:type="dxa"/>
            <w:tcBorders>
              <w:top w:val="single" w:sz="4" w:space="0" w:color="A6A6A6"/>
            </w:tcBorders>
            <w:noWrap/>
            <w:hideMark/>
          </w:tcPr>
          <w:p w14:paraId="5AA80378" w14:textId="77777777" w:rsidR="00087B91" w:rsidRPr="002029AF" w:rsidRDefault="00087B91" w:rsidP="00860E95">
            <w:pPr>
              <w:pStyle w:val="ARfintablebodyright"/>
            </w:pPr>
            <w:r w:rsidRPr="002029AF">
              <w:t>–</w:t>
            </w:r>
          </w:p>
        </w:tc>
        <w:tc>
          <w:tcPr>
            <w:tcW w:w="1134" w:type="dxa"/>
            <w:tcBorders>
              <w:top w:val="single" w:sz="4" w:space="0" w:color="A6A6A6"/>
            </w:tcBorders>
            <w:noWrap/>
            <w:hideMark/>
          </w:tcPr>
          <w:p w14:paraId="7A99E7C9" w14:textId="77777777" w:rsidR="00087B91" w:rsidRPr="002029AF" w:rsidRDefault="00087B91" w:rsidP="00860E95">
            <w:pPr>
              <w:pStyle w:val="ARfintablebodyright"/>
            </w:pPr>
            <w:r w:rsidRPr="002029AF">
              <w:t>–</w:t>
            </w:r>
          </w:p>
        </w:tc>
        <w:tc>
          <w:tcPr>
            <w:tcW w:w="1134" w:type="dxa"/>
            <w:tcBorders>
              <w:top w:val="single" w:sz="4" w:space="0" w:color="A6A6A6"/>
            </w:tcBorders>
            <w:noWrap/>
            <w:hideMark/>
          </w:tcPr>
          <w:p w14:paraId="7D5DF803" w14:textId="77777777" w:rsidR="00087B91" w:rsidRPr="002029AF" w:rsidRDefault="00087B91" w:rsidP="00860E95">
            <w:pPr>
              <w:pStyle w:val="ARfintablebodyright"/>
            </w:pPr>
            <w:r w:rsidRPr="002029AF">
              <w:t>–</w:t>
            </w:r>
          </w:p>
        </w:tc>
        <w:tc>
          <w:tcPr>
            <w:tcW w:w="1134" w:type="dxa"/>
            <w:tcBorders>
              <w:top w:val="single" w:sz="4" w:space="0" w:color="A6A6A6"/>
            </w:tcBorders>
            <w:noWrap/>
            <w:hideMark/>
          </w:tcPr>
          <w:p w14:paraId="19007DCF" w14:textId="77777777" w:rsidR="00087B91" w:rsidRPr="002029AF" w:rsidRDefault="00087B91" w:rsidP="00860E95">
            <w:pPr>
              <w:pStyle w:val="ARfintablebodyright"/>
            </w:pPr>
            <w:r w:rsidRPr="002029AF">
              <w:t>–</w:t>
            </w:r>
          </w:p>
        </w:tc>
      </w:tr>
      <w:tr w:rsidR="00087B91" w:rsidRPr="002029AF" w14:paraId="48BABFFB" w14:textId="77777777" w:rsidTr="00860E95">
        <w:tc>
          <w:tcPr>
            <w:tcW w:w="3969" w:type="dxa"/>
            <w:hideMark/>
          </w:tcPr>
          <w:p w14:paraId="388DB550" w14:textId="66551721" w:rsidR="00087B91" w:rsidRPr="002029AF" w:rsidRDefault="00087B91" w:rsidP="00860E95">
            <w:pPr>
              <w:pStyle w:val="ARfintablebodybold"/>
            </w:pPr>
            <w:r w:rsidRPr="002029AF">
              <w:t>Total</w:t>
            </w:r>
            <w:r w:rsidR="000A5329" w:rsidRPr="002029AF">
              <w:t xml:space="preserve"> </w:t>
            </w:r>
            <w:r w:rsidRPr="002029AF">
              <w:t>impact</w:t>
            </w:r>
          </w:p>
        </w:tc>
        <w:tc>
          <w:tcPr>
            <w:tcW w:w="1134" w:type="dxa"/>
            <w:noWrap/>
            <w:hideMark/>
          </w:tcPr>
          <w:p w14:paraId="2F719176" w14:textId="77777777" w:rsidR="00087B91" w:rsidRPr="002029AF" w:rsidRDefault="00087B91" w:rsidP="00860E95">
            <w:pPr>
              <w:pStyle w:val="ARfintablebodyrightbold"/>
            </w:pPr>
            <w:r w:rsidRPr="002029AF">
              <w:t>2,262.4</w:t>
            </w:r>
          </w:p>
        </w:tc>
        <w:tc>
          <w:tcPr>
            <w:tcW w:w="1134" w:type="dxa"/>
            <w:noWrap/>
            <w:hideMark/>
          </w:tcPr>
          <w:p w14:paraId="32E615B7" w14:textId="77777777" w:rsidR="00087B91" w:rsidRPr="002029AF" w:rsidRDefault="00087B91" w:rsidP="00860E95">
            <w:pPr>
              <w:pStyle w:val="ARfintablebodyrightbold"/>
            </w:pPr>
            <w:r w:rsidRPr="002029AF">
              <w:t>–</w:t>
            </w:r>
          </w:p>
        </w:tc>
        <w:tc>
          <w:tcPr>
            <w:tcW w:w="1134" w:type="dxa"/>
            <w:noWrap/>
            <w:hideMark/>
          </w:tcPr>
          <w:p w14:paraId="3FDBC9A6" w14:textId="77777777" w:rsidR="00087B91" w:rsidRPr="002029AF" w:rsidRDefault="00087B91" w:rsidP="00860E95">
            <w:pPr>
              <w:pStyle w:val="ARfintablebodyrightbold"/>
            </w:pPr>
            <w:r w:rsidRPr="002029AF">
              <w:t>–</w:t>
            </w:r>
          </w:p>
        </w:tc>
        <w:tc>
          <w:tcPr>
            <w:tcW w:w="1134" w:type="dxa"/>
            <w:noWrap/>
            <w:hideMark/>
          </w:tcPr>
          <w:p w14:paraId="6DD3B9AC" w14:textId="77777777" w:rsidR="00087B91" w:rsidRPr="002029AF" w:rsidRDefault="00087B91" w:rsidP="00860E95">
            <w:pPr>
              <w:pStyle w:val="ARfintablebodyrightbold"/>
            </w:pPr>
            <w:r w:rsidRPr="002029AF">
              <w:t>–</w:t>
            </w:r>
          </w:p>
        </w:tc>
        <w:tc>
          <w:tcPr>
            <w:tcW w:w="1134" w:type="dxa"/>
            <w:noWrap/>
            <w:hideMark/>
          </w:tcPr>
          <w:p w14:paraId="6E86E98D" w14:textId="77777777" w:rsidR="00087B91" w:rsidRPr="002029AF" w:rsidRDefault="00087B91" w:rsidP="00860E95">
            <w:pPr>
              <w:pStyle w:val="ARfintablebodyrightbold"/>
            </w:pPr>
            <w:r w:rsidRPr="002029AF">
              <w:t>–</w:t>
            </w:r>
          </w:p>
        </w:tc>
      </w:tr>
    </w:tbl>
    <w:p w14:paraId="3F63E078" w14:textId="77777777" w:rsidR="00087B91" w:rsidRPr="002029AF" w:rsidRDefault="00087B91" w:rsidP="00087B91">
      <w:pPr>
        <w:pStyle w:val="ARfinbody"/>
      </w:pPr>
    </w:p>
    <w:tbl>
      <w:tblPr>
        <w:tblStyle w:val="TableGrid"/>
        <w:tblW w:w="9639" w:type="dxa"/>
        <w:tblLayout w:type="fixed"/>
        <w:tblLook w:val="06A0" w:firstRow="1" w:lastRow="0" w:firstColumn="1" w:lastColumn="0" w:noHBand="1" w:noVBand="1"/>
      </w:tblPr>
      <w:tblGrid>
        <w:gridCol w:w="3969"/>
        <w:gridCol w:w="1134"/>
        <w:gridCol w:w="1134"/>
        <w:gridCol w:w="1134"/>
        <w:gridCol w:w="1134"/>
        <w:gridCol w:w="1134"/>
      </w:tblGrid>
      <w:tr w:rsidR="00087B91" w:rsidRPr="002029AF" w14:paraId="671B1051"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3969" w:type="dxa"/>
            <w:vMerge w:val="restart"/>
            <w:hideMark/>
          </w:tcPr>
          <w:p w14:paraId="75A71EBA" w14:textId="77777777" w:rsidR="00087B91" w:rsidRPr="002029AF" w:rsidRDefault="00087B91" w:rsidP="00860E95">
            <w:pPr>
              <w:pStyle w:val="ARfintablecolhead"/>
            </w:pPr>
          </w:p>
        </w:tc>
        <w:tc>
          <w:tcPr>
            <w:tcW w:w="1134" w:type="dxa"/>
            <w:vMerge w:val="restart"/>
            <w:hideMark/>
          </w:tcPr>
          <w:p w14:paraId="2752BC2F" w14:textId="6AA32CC3" w:rsidR="00087B91" w:rsidRPr="002029AF" w:rsidRDefault="00087B91" w:rsidP="00860E95">
            <w:pPr>
              <w:pStyle w:val="ARfintablecolheadright"/>
            </w:pPr>
            <w:r w:rsidRPr="002029AF">
              <w:t>Carrying</w:t>
            </w:r>
            <w:r w:rsidR="000A5329" w:rsidRPr="002029AF">
              <w:t xml:space="preserve"> </w:t>
            </w:r>
            <w:r w:rsidRPr="002029AF">
              <w:t>amount</w:t>
            </w:r>
          </w:p>
          <w:p w14:paraId="2C0A1F3B" w14:textId="77777777" w:rsidR="00087B91" w:rsidRPr="002029AF" w:rsidRDefault="00087B91" w:rsidP="00860E95">
            <w:pPr>
              <w:pStyle w:val="ARfintablecolheadright"/>
            </w:pPr>
            <w:r w:rsidRPr="002029AF">
              <w:t>$M</w:t>
            </w:r>
          </w:p>
        </w:tc>
        <w:tc>
          <w:tcPr>
            <w:tcW w:w="2268" w:type="dxa"/>
            <w:gridSpan w:val="2"/>
            <w:hideMark/>
          </w:tcPr>
          <w:p w14:paraId="1B5CF134" w14:textId="4282F0F6" w:rsidR="00087B91" w:rsidRPr="002029AF" w:rsidRDefault="00087B91" w:rsidP="00860E95">
            <w:pPr>
              <w:pStyle w:val="ARfintablecolheadcentre"/>
            </w:pPr>
            <w:r w:rsidRPr="002029AF">
              <w:t>Interest</w:t>
            </w:r>
            <w:r w:rsidR="000A5329" w:rsidRPr="002029AF">
              <w:t xml:space="preserve"> </w:t>
            </w:r>
            <w:r w:rsidRPr="002029AF">
              <w:t>rate</w:t>
            </w:r>
            <w:r w:rsidR="000A5329" w:rsidRPr="002029AF">
              <w:t xml:space="preserve"> </w:t>
            </w:r>
            <w:r w:rsidRPr="002029AF">
              <w:t>risk</w:t>
            </w:r>
          </w:p>
        </w:tc>
        <w:tc>
          <w:tcPr>
            <w:tcW w:w="2268" w:type="dxa"/>
            <w:gridSpan w:val="2"/>
            <w:hideMark/>
          </w:tcPr>
          <w:p w14:paraId="579E1867" w14:textId="7E13EFAF" w:rsidR="00087B91" w:rsidRPr="002029AF" w:rsidRDefault="00087B91" w:rsidP="00860E95">
            <w:pPr>
              <w:pStyle w:val="ARfintablecolheadcentre"/>
            </w:pPr>
            <w:r w:rsidRPr="002029AF">
              <w:t>Consumer</w:t>
            </w:r>
            <w:r w:rsidR="000A5329" w:rsidRPr="002029AF">
              <w:t xml:space="preserve"> </w:t>
            </w:r>
            <w:r w:rsidRPr="002029AF">
              <w:t>Price</w:t>
            </w:r>
            <w:r w:rsidR="000A5329" w:rsidRPr="002029AF">
              <w:t xml:space="preserve"> </w:t>
            </w:r>
            <w:r w:rsidRPr="002029AF">
              <w:t>Index</w:t>
            </w:r>
            <w:r w:rsidR="000A5329" w:rsidRPr="002029AF">
              <w:t xml:space="preserve"> </w:t>
            </w:r>
            <w:r w:rsidRPr="002029AF">
              <w:t>(CPI)</w:t>
            </w:r>
          </w:p>
        </w:tc>
      </w:tr>
      <w:tr w:rsidR="00087B91" w:rsidRPr="002029AF" w14:paraId="4D40E0A9"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3969" w:type="dxa"/>
            <w:vMerge/>
            <w:hideMark/>
          </w:tcPr>
          <w:p w14:paraId="144DD8A8" w14:textId="77777777" w:rsidR="00087B91" w:rsidRPr="002029AF" w:rsidRDefault="00087B91" w:rsidP="00860E95">
            <w:pPr>
              <w:pStyle w:val="ARfintablecolhead"/>
            </w:pPr>
          </w:p>
        </w:tc>
        <w:tc>
          <w:tcPr>
            <w:tcW w:w="1134" w:type="dxa"/>
            <w:vMerge/>
            <w:hideMark/>
          </w:tcPr>
          <w:p w14:paraId="097D67B9" w14:textId="77777777" w:rsidR="00087B91" w:rsidRPr="002029AF" w:rsidRDefault="00087B91" w:rsidP="00860E95">
            <w:pPr>
              <w:pStyle w:val="ARfintablecolheadright"/>
            </w:pPr>
          </w:p>
        </w:tc>
        <w:tc>
          <w:tcPr>
            <w:tcW w:w="1134" w:type="dxa"/>
            <w:hideMark/>
          </w:tcPr>
          <w:p w14:paraId="2B00CAA6" w14:textId="4EB27A38" w:rsidR="00087B91" w:rsidRPr="002029AF" w:rsidRDefault="00087B91" w:rsidP="00860E95">
            <w:pPr>
              <w:pStyle w:val="ARfintablecolheadright"/>
            </w:pPr>
            <w:r w:rsidRPr="002029AF">
              <w:t>–0.50%</w:t>
            </w:r>
            <w:r w:rsidRPr="002029AF">
              <w:br/>
              <w:t>Net</w:t>
            </w:r>
            <w:r w:rsidR="000A5329" w:rsidRPr="002029AF">
              <w:t xml:space="preserve"> </w:t>
            </w:r>
            <w:r w:rsidRPr="002029AF">
              <w:t>result</w:t>
            </w:r>
          </w:p>
          <w:p w14:paraId="586AFCBF" w14:textId="77777777" w:rsidR="00087B91" w:rsidRPr="002029AF" w:rsidRDefault="00087B91" w:rsidP="00860E95">
            <w:pPr>
              <w:pStyle w:val="ARfintablecolheadright"/>
            </w:pPr>
            <w:r w:rsidRPr="002029AF">
              <w:t>$M</w:t>
            </w:r>
          </w:p>
        </w:tc>
        <w:tc>
          <w:tcPr>
            <w:tcW w:w="1134" w:type="dxa"/>
            <w:hideMark/>
          </w:tcPr>
          <w:p w14:paraId="1B6F1F4E" w14:textId="2C055A54" w:rsidR="00087B91" w:rsidRPr="002029AF" w:rsidRDefault="00087B91" w:rsidP="00860E95">
            <w:pPr>
              <w:pStyle w:val="ARfintablecolheadright"/>
            </w:pPr>
            <w:r w:rsidRPr="002029AF">
              <w:t>+0.50%</w:t>
            </w:r>
            <w:r w:rsidRPr="002029AF">
              <w:br/>
              <w:t>Net</w:t>
            </w:r>
            <w:r w:rsidR="000A5329" w:rsidRPr="002029AF">
              <w:t xml:space="preserve"> </w:t>
            </w:r>
            <w:r w:rsidRPr="002029AF">
              <w:t>result</w:t>
            </w:r>
          </w:p>
          <w:p w14:paraId="1110A6BD" w14:textId="77777777" w:rsidR="00087B91" w:rsidRPr="002029AF" w:rsidRDefault="00087B91" w:rsidP="00860E95">
            <w:pPr>
              <w:pStyle w:val="ARfintablecolheadright"/>
            </w:pPr>
            <w:r w:rsidRPr="002029AF">
              <w:t>$M</w:t>
            </w:r>
          </w:p>
        </w:tc>
        <w:tc>
          <w:tcPr>
            <w:tcW w:w="1134" w:type="dxa"/>
            <w:hideMark/>
          </w:tcPr>
          <w:p w14:paraId="46D96B5D" w14:textId="5F67DF3A" w:rsidR="00087B91" w:rsidRPr="002029AF" w:rsidRDefault="00087B91" w:rsidP="00860E95">
            <w:pPr>
              <w:pStyle w:val="ARfintablecolheadright"/>
            </w:pPr>
            <w:r w:rsidRPr="002029AF">
              <w:t>–0.25%</w:t>
            </w:r>
            <w:r w:rsidRPr="002029AF">
              <w:br/>
              <w:t>Net</w:t>
            </w:r>
            <w:r w:rsidR="000A5329" w:rsidRPr="002029AF">
              <w:t xml:space="preserve"> </w:t>
            </w:r>
            <w:r w:rsidRPr="002029AF">
              <w:t>result</w:t>
            </w:r>
          </w:p>
          <w:p w14:paraId="1DF8AC4C" w14:textId="77777777" w:rsidR="00087B91" w:rsidRPr="002029AF" w:rsidRDefault="00087B91" w:rsidP="00860E95">
            <w:pPr>
              <w:pStyle w:val="ARfintablecolheadright"/>
            </w:pPr>
            <w:r w:rsidRPr="002029AF">
              <w:t>$M</w:t>
            </w:r>
          </w:p>
        </w:tc>
        <w:tc>
          <w:tcPr>
            <w:tcW w:w="1134" w:type="dxa"/>
            <w:hideMark/>
          </w:tcPr>
          <w:p w14:paraId="67F6AD75" w14:textId="1F3F8358" w:rsidR="00087B91" w:rsidRPr="002029AF" w:rsidRDefault="00087B91" w:rsidP="00860E95">
            <w:pPr>
              <w:pStyle w:val="ARfintablecolheadright"/>
            </w:pPr>
            <w:r w:rsidRPr="002029AF">
              <w:t>1.50%</w:t>
            </w:r>
            <w:r w:rsidRPr="002029AF">
              <w:br/>
              <w:t>Net</w:t>
            </w:r>
            <w:r w:rsidR="000A5329" w:rsidRPr="002029AF">
              <w:t xml:space="preserve"> </w:t>
            </w:r>
            <w:r w:rsidRPr="002029AF">
              <w:t>result</w:t>
            </w:r>
          </w:p>
          <w:p w14:paraId="7D695723" w14:textId="77777777" w:rsidR="00087B91" w:rsidRPr="002029AF" w:rsidRDefault="00087B91" w:rsidP="00860E95">
            <w:pPr>
              <w:pStyle w:val="ARfintablecolheadright"/>
            </w:pPr>
            <w:r w:rsidRPr="002029AF">
              <w:t>$M</w:t>
            </w:r>
          </w:p>
        </w:tc>
      </w:tr>
      <w:tr w:rsidR="00087B91" w:rsidRPr="002029AF" w14:paraId="50BB3F6A" w14:textId="77777777" w:rsidTr="00860E95">
        <w:tc>
          <w:tcPr>
            <w:tcW w:w="9639" w:type="dxa"/>
            <w:gridSpan w:val="6"/>
            <w:tcBorders>
              <w:bottom w:val="single" w:sz="4" w:space="0" w:color="auto"/>
            </w:tcBorders>
            <w:hideMark/>
          </w:tcPr>
          <w:p w14:paraId="4CF7927A" w14:textId="77777777" w:rsidR="00087B91" w:rsidRPr="002029AF" w:rsidRDefault="00087B91" w:rsidP="00860E95">
            <w:pPr>
              <w:pStyle w:val="ARfintablebodybold"/>
            </w:pPr>
            <w:r w:rsidRPr="002029AF">
              <w:t>2019</w:t>
            </w:r>
          </w:p>
        </w:tc>
      </w:tr>
      <w:tr w:rsidR="00087B91" w:rsidRPr="002029AF" w14:paraId="5CABCBF7" w14:textId="77777777" w:rsidTr="00860E95">
        <w:tc>
          <w:tcPr>
            <w:tcW w:w="9639" w:type="dxa"/>
            <w:gridSpan w:val="6"/>
            <w:tcBorders>
              <w:top w:val="single" w:sz="4" w:space="0" w:color="auto"/>
              <w:bottom w:val="single" w:sz="4" w:space="0" w:color="A6A6A6"/>
            </w:tcBorders>
            <w:hideMark/>
          </w:tcPr>
          <w:p w14:paraId="3A7CB155" w14:textId="3689C5DC" w:rsidR="00087B91" w:rsidRPr="002029AF" w:rsidRDefault="00087B91" w:rsidP="00860E95">
            <w:pPr>
              <w:pStyle w:val="ARfintablebodybold"/>
            </w:pPr>
            <w:r w:rsidRPr="002029AF">
              <w:t>Contractual</w:t>
            </w:r>
            <w:r w:rsidR="000A5329" w:rsidRPr="002029AF">
              <w:t xml:space="preserve"> </w:t>
            </w:r>
            <w:r w:rsidRPr="002029AF">
              <w:t>financial</w:t>
            </w:r>
            <w:r w:rsidR="000A5329" w:rsidRPr="002029AF">
              <w:t xml:space="preserve"> </w:t>
            </w:r>
            <w:r w:rsidRPr="002029AF">
              <w:t>assets</w:t>
            </w:r>
          </w:p>
        </w:tc>
      </w:tr>
      <w:tr w:rsidR="00087B91" w:rsidRPr="002029AF" w14:paraId="6432D314" w14:textId="77777777" w:rsidTr="00860E95">
        <w:tc>
          <w:tcPr>
            <w:tcW w:w="3969" w:type="dxa"/>
            <w:tcBorders>
              <w:top w:val="single" w:sz="4" w:space="0" w:color="A6A6A6"/>
              <w:bottom w:val="single" w:sz="4" w:space="0" w:color="A6A6A6"/>
            </w:tcBorders>
            <w:hideMark/>
          </w:tcPr>
          <w:p w14:paraId="45BCA483" w14:textId="6EAC584E" w:rsidR="00087B91" w:rsidRPr="002029AF" w:rsidRDefault="00087B91" w:rsidP="00860E95">
            <w:pPr>
              <w:pStyle w:val="ARfintablebody"/>
            </w:pPr>
            <w:r w:rsidRPr="002029AF">
              <w:t>Cash</w:t>
            </w:r>
            <w:r w:rsidR="000A5329" w:rsidRPr="002029AF">
              <w:t xml:space="preserve"> </w:t>
            </w:r>
            <w:r w:rsidRPr="002029AF">
              <w:t>and</w:t>
            </w:r>
            <w:r w:rsidR="000A5329" w:rsidRPr="002029AF">
              <w:t xml:space="preserve"> </w:t>
            </w:r>
            <w:r w:rsidRPr="002029AF">
              <w:t>deposits</w:t>
            </w:r>
            <w:r w:rsidR="000A5329" w:rsidRPr="002029AF">
              <w:t xml:space="preserve"> </w:t>
            </w:r>
            <w:r w:rsidRPr="002029AF">
              <w:rPr>
                <w:rStyle w:val="Superscript"/>
              </w:rPr>
              <w:t>(i)</w:t>
            </w:r>
          </w:p>
        </w:tc>
        <w:tc>
          <w:tcPr>
            <w:tcW w:w="1134" w:type="dxa"/>
            <w:tcBorders>
              <w:top w:val="single" w:sz="4" w:space="0" w:color="A6A6A6"/>
              <w:bottom w:val="single" w:sz="4" w:space="0" w:color="A6A6A6"/>
            </w:tcBorders>
            <w:noWrap/>
            <w:hideMark/>
          </w:tcPr>
          <w:p w14:paraId="71001100" w14:textId="77777777" w:rsidR="00087B91" w:rsidRPr="002029AF" w:rsidRDefault="00087B91" w:rsidP="00860E95">
            <w:pPr>
              <w:pStyle w:val="ARfintablebodyright"/>
            </w:pPr>
            <w:r w:rsidRPr="002029AF">
              <w:t>799.9</w:t>
            </w:r>
          </w:p>
        </w:tc>
        <w:tc>
          <w:tcPr>
            <w:tcW w:w="1134" w:type="dxa"/>
            <w:tcBorders>
              <w:top w:val="single" w:sz="4" w:space="0" w:color="A6A6A6"/>
              <w:bottom w:val="single" w:sz="4" w:space="0" w:color="A6A6A6"/>
            </w:tcBorders>
            <w:noWrap/>
            <w:hideMark/>
          </w:tcPr>
          <w:p w14:paraId="2A991DEB" w14:textId="77777777" w:rsidR="00087B91" w:rsidRPr="002029AF" w:rsidRDefault="00087B91" w:rsidP="00860E95">
            <w:pPr>
              <w:pStyle w:val="ARfintablebodyright"/>
            </w:pPr>
            <w:r w:rsidRPr="002029AF">
              <w:t>(2.3)</w:t>
            </w:r>
          </w:p>
        </w:tc>
        <w:tc>
          <w:tcPr>
            <w:tcW w:w="1134" w:type="dxa"/>
            <w:tcBorders>
              <w:top w:val="single" w:sz="4" w:space="0" w:color="A6A6A6"/>
              <w:bottom w:val="single" w:sz="4" w:space="0" w:color="A6A6A6"/>
            </w:tcBorders>
            <w:noWrap/>
            <w:hideMark/>
          </w:tcPr>
          <w:p w14:paraId="4F1D9005" w14:textId="77777777" w:rsidR="00087B91" w:rsidRPr="002029AF" w:rsidRDefault="00087B91" w:rsidP="00860E95">
            <w:pPr>
              <w:pStyle w:val="ARfintablebodyright"/>
            </w:pPr>
            <w:r w:rsidRPr="002029AF">
              <w:t>2.3</w:t>
            </w:r>
          </w:p>
        </w:tc>
        <w:tc>
          <w:tcPr>
            <w:tcW w:w="1134" w:type="dxa"/>
            <w:tcBorders>
              <w:top w:val="single" w:sz="4" w:space="0" w:color="A6A6A6"/>
              <w:bottom w:val="single" w:sz="4" w:space="0" w:color="A6A6A6"/>
            </w:tcBorders>
            <w:noWrap/>
            <w:hideMark/>
          </w:tcPr>
          <w:p w14:paraId="3C2AECE1"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55CE3E24" w14:textId="77777777" w:rsidR="00087B91" w:rsidRPr="002029AF" w:rsidRDefault="00087B91" w:rsidP="00860E95">
            <w:pPr>
              <w:pStyle w:val="ARfintablebodyright"/>
            </w:pPr>
            <w:r w:rsidRPr="002029AF">
              <w:t>–</w:t>
            </w:r>
          </w:p>
        </w:tc>
      </w:tr>
      <w:tr w:rsidR="00087B91" w:rsidRPr="002029AF" w14:paraId="3FF18426" w14:textId="77777777" w:rsidTr="00860E95">
        <w:tc>
          <w:tcPr>
            <w:tcW w:w="3969" w:type="dxa"/>
            <w:tcBorders>
              <w:top w:val="single" w:sz="4" w:space="0" w:color="A6A6A6"/>
              <w:bottom w:val="single" w:sz="4" w:space="0" w:color="A6A6A6"/>
            </w:tcBorders>
            <w:hideMark/>
          </w:tcPr>
          <w:p w14:paraId="0CD8849B" w14:textId="64356DE6" w:rsidR="00087B91" w:rsidRPr="002029AF" w:rsidRDefault="00087B91" w:rsidP="00860E95">
            <w:pPr>
              <w:pStyle w:val="ARfintablebody"/>
            </w:pPr>
            <w:r w:rsidRPr="002029AF">
              <w:t>Receivables</w:t>
            </w:r>
            <w:r w:rsidR="000A5329" w:rsidRPr="002029AF">
              <w:t xml:space="preserve"> </w:t>
            </w:r>
            <w:r w:rsidRPr="002029AF">
              <w:rPr>
                <w:rStyle w:val="Superscript"/>
              </w:rPr>
              <w:t>(ii)(iii)</w:t>
            </w:r>
          </w:p>
        </w:tc>
        <w:tc>
          <w:tcPr>
            <w:tcW w:w="1134" w:type="dxa"/>
            <w:tcBorders>
              <w:top w:val="single" w:sz="4" w:space="0" w:color="A6A6A6"/>
              <w:bottom w:val="single" w:sz="4" w:space="0" w:color="A6A6A6"/>
            </w:tcBorders>
            <w:noWrap/>
            <w:hideMark/>
          </w:tcPr>
          <w:p w14:paraId="6963D5B8" w14:textId="77777777" w:rsidR="00087B91" w:rsidRPr="002029AF" w:rsidRDefault="00087B91" w:rsidP="00860E95">
            <w:pPr>
              <w:pStyle w:val="ARfintablebodyright"/>
            </w:pPr>
            <w:r w:rsidRPr="002029AF">
              <w:t>325.0</w:t>
            </w:r>
          </w:p>
        </w:tc>
        <w:tc>
          <w:tcPr>
            <w:tcW w:w="1134" w:type="dxa"/>
            <w:tcBorders>
              <w:top w:val="single" w:sz="4" w:space="0" w:color="A6A6A6"/>
              <w:bottom w:val="single" w:sz="4" w:space="0" w:color="A6A6A6"/>
            </w:tcBorders>
            <w:noWrap/>
            <w:hideMark/>
          </w:tcPr>
          <w:p w14:paraId="360AE284"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5AA0A04B"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5F323BE1"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25301064" w14:textId="77777777" w:rsidR="00087B91" w:rsidRPr="002029AF" w:rsidRDefault="00087B91" w:rsidP="00860E95">
            <w:pPr>
              <w:pStyle w:val="ARfintablebodyright"/>
            </w:pPr>
            <w:r w:rsidRPr="002029AF">
              <w:t>–</w:t>
            </w:r>
          </w:p>
        </w:tc>
      </w:tr>
      <w:tr w:rsidR="00087B91" w:rsidRPr="002029AF" w14:paraId="7403D2BB" w14:textId="77777777" w:rsidTr="00860E95">
        <w:tc>
          <w:tcPr>
            <w:tcW w:w="3969" w:type="dxa"/>
            <w:tcBorders>
              <w:top w:val="single" w:sz="4" w:space="0" w:color="A6A6A6"/>
              <w:bottom w:val="single" w:sz="4" w:space="0" w:color="A6A6A6"/>
            </w:tcBorders>
            <w:hideMark/>
          </w:tcPr>
          <w:p w14:paraId="2F678C02" w14:textId="7810A492" w:rsidR="00087B91" w:rsidRPr="002029AF" w:rsidRDefault="00087B91" w:rsidP="00860E95">
            <w:pPr>
              <w:pStyle w:val="ARfintablebody"/>
            </w:pPr>
            <w:r w:rsidRPr="002029AF">
              <w:t>Loans</w:t>
            </w:r>
            <w:r w:rsidR="000A5329" w:rsidRPr="002029AF">
              <w:t xml:space="preserve"> </w:t>
            </w:r>
            <w:r w:rsidRPr="002029AF">
              <w:rPr>
                <w:rStyle w:val="Superscript"/>
              </w:rPr>
              <w:t>(iii)</w:t>
            </w:r>
          </w:p>
        </w:tc>
        <w:tc>
          <w:tcPr>
            <w:tcW w:w="1134" w:type="dxa"/>
            <w:tcBorders>
              <w:top w:val="single" w:sz="4" w:space="0" w:color="A6A6A6"/>
              <w:bottom w:val="single" w:sz="4" w:space="0" w:color="A6A6A6"/>
            </w:tcBorders>
            <w:noWrap/>
            <w:hideMark/>
          </w:tcPr>
          <w:p w14:paraId="3272F947" w14:textId="77777777" w:rsidR="00087B91" w:rsidRPr="002029AF" w:rsidRDefault="00087B91" w:rsidP="00860E95">
            <w:pPr>
              <w:pStyle w:val="ARfintablebodyright"/>
            </w:pPr>
            <w:r w:rsidRPr="002029AF">
              <w:t>94.9</w:t>
            </w:r>
          </w:p>
        </w:tc>
        <w:tc>
          <w:tcPr>
            <w:tcW w:w="1134" w:type="dxa"/>
            <w:tcBorders>
              <w:top w:val="single" w:sz="4" w:space="0" w:color="A6A6A6"/>
              <w:bottom w:val="single" w:sz="4" w:space="0" w:color="A6A6A6"/>
            </w:tcBorders>
            <w:noWrap/>
            <w:hideMark/>
          </w:tcPr>
          <w:p w14:paraId="7FD1D661" w14:textId="77777777" w:rsidR="00087B91" w:rsidRPr="002029AF" w:rsidRDefault="00087B91" w:rsidP="00860E95">
            <w:pPr>
              <w:pStyle w:val="ARfintablebodyright"/>
            </w:pPr>
            <w:r w:rsidRPr="002029AF">
              <w:t>(0.1)</w:t>
            </w:r>
          </w:p>
        </w:tc>
        <w:tc>
          <w:tcPr>
            <w:tcW w:w="1134" w:type="dxa"/>
            <w:tcBorders>
              <w:top w:val="single" w:sz="4" w:space="0" w:color="A6A6A6"/>
              <w:bottom w:val="single" w:sz="4" w:space="0" w:color="A6A6A6"/>
            </w:tcBorders>
            <w:noWrap/>
            <w:hideMark/>
          </w:tcPr>
          <w:p w14:paraId="301A5348" w14:textId="77777777" w:rsidR="00087B91" w:rsidRPr="002029AF" w:rsidRDefault="00087B91" w:rsidP="00860E95">
            <w:pPr>
              <w:pStyle w:val="ARfintablebodyright"/>
            </w:pPr>
            <w:r w:rsidRPr="002029AF">
              <w:t>0.1</w:t>
            </w:r>
          </w:p>
        </w:tc>
        <w:tc>
          <w:tcPr>
            <w:tcW w:w="1134" w:type="dxa"/>
            <w:tcBorders>
              <w:top w:val="single" w:sz="4" w:space="0" w:color="A6A6A6"/>
              <w:bottom w:val="single" w:sz="4" w:space="0" w:color="A6A6A6"/>
            </w:tcBorders>
            <w:noWrap/>
            <w:hideMark/>
          </w:tcPr>
          <w:p w14:paraId="7CF9B75C"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12FC4C32" w14:textId="77777777" w:rsidR="00087B91" w:rsidRPr="002029AF" w:rsidRDefault="00087B91" w:rsidP="00860E95">
            <w:pPr>
              <w:pStyle w:val="ARfintablebodyright"/>
            </w:pPr>
            <w:r w:rsidRPr="002029AF">
              <w:t>0.2</w:t>
            </w:r>
          </w:p>
        </w:tc>
      </w:tr>
      <w:tr w:rsidR="00087B91" w:rsidRPr="002029AF" w14:paraId="21AC1C72" w14:textId="77777777" w:rsidTr="00860E95">
        <w:tc>
          <w:tcPr>
            <w:tcW w:w="3969" w:type="dxa"/>
            <w:tcBorders>
              <w:top w:val="single" w:sz="4" w:space="0" w:color="A6A6A6"/>
            </w:tcBorders>
            <w:hideMark/>
          </w:tcPr>
          <w:p w14:paraId="51B85574" w14:textId="50B7B01A" w:rsidR="00087B91" w:rsidRPr="002029AF" w:rsidRDefault="00087B91" w:rsidP="00860E95">
            <w:pPr>
              <w:pStyle w:val="ARfintablebody"/>
            </w:pPr>
            <w:r w:rsidRPr="002029AF">
              <w:t>Short-term</w:t>
            </w:r>
            <w:r w:rsidR="000A5329" w:rsidRPr="002029AF">
              <w:t xml:space="preserve"> </w:t>
            </w:r>
            <w:r w:rsidRPr="002029AF">
              <w:t>investments</w:t>
            </w:r>
            <w:r w:rsidR="000A5329" w:rsidRPr="002029AF">
              <w:t xml:space="preserve"> </w:t>
            </w:r>
            <w:r w:rsidRPr="002029AF">
              <w:t>–</w:t>
            </w:r>
            <w:r w:rsidR="000A5329" w:rsidRPr="002029AF">
              <w:t xml:space="preserve"> </w:t>
            </w:r>
            <w:r w:rsidRPr="002029AF">
              <w:t>term</w:t>
            </w:r>
            <w:r w:rsidR="000A5329" w:rsidRPr="002029AF">
              <w:t xml:space="preserve"> </w:t>
            </w:r>
            <w:r w:rsidRPr="002029AF">
              <w:t>deposits</w:t>
            </w:r>
          </w:p>
        </w:tc>
        <w:tc>
          <w:tcPr>
            <w:tcW w:w="1134" w:type="dxa"/>
            <w:tcBorders>
              <w:top w:val="single" w:sz="4" w:space="0" w:color="A6A6A6"/>
            </w:tcBorders>
            <w:noWrap/>
            <w:hideMark/>
          </w:tcPr>
          <w:p w14:paraId="27B3375B" w14:textId="77777777" w:rsidR="00087B91" w:rsidRPr="002029AF" w:rsidRDefault="00087B91" w:rsidP="00860E95">
            <w:pPr>
              <w:pStyle w:val="ARfintablebodyright"/>
            </w:pPr>
            <w:r w:rsidRPr="002029AF">
              <w:t>100.0</w:t>
            </w:r>
          </w:p>
        </w:tc>
        <w:tc>
          <w:tcPr>
            <w:tcW w:w="1134" w:type="dxa"/>
            <w:tcBorders>
              <w:top w:val="single" w:sz="4" w:space="0" w:color="A6A6A6"/>
            </w:tcBorders>
            <w:noWrap/>
            <w:hideMark/>
          </w:tcPr>
          <w:p w14:paraId="215F6D56" w14:textId="77777777" w:rsidR="00087B91" w:rsidRPr="002029AF" w:rsidRDefault="00087B91" w:rsidP="00860E95">
            <w:pPr>
              <w:pStyle w:val="ARfintablebodyright"/>
            </w:pPr>
            <w:r w:rsidRPr="002029AF">
              <w:t>(0.5)</w:t>
            </w:r>
          </w:p>
        </w:tc>
        <w:tc>
          <w:tcPr>
            <w:tcW w:w="1134" w:type="dxa"/>
            <w:tcBorders>
              <w:top w:val="single" w:sz="4" w:space="0" w:color="A6A6A6"/>
            </w:tcBorders>
            <w:noWrap/>
            <w:hideMark/>
          </w:tcPr>
          <w:p w14:paraId="64F23676" w14:textId="77777777" w:rsidR="00087B91" w:rsidRPr="002029AF" w:rsidRDefault="00087B91" w:rsidP="00860E95">
            <w:pPr>
              <w:pStyle w:val="ARfintablebodyright"/>
            </w:pPr>
            <w:r w:rsidRPr="002029AF">
              <w:t>0.5</w:t>
            </w:r>
          </w:p>
        </w:tc>
        <w:tc>
          <w:tcPr>
            <w:tcW w:w="1134" w:type="dxa"/>
            <w:tcBorders>
              <w:top w:val="single" w:sz="4" w:space="0" w:color="A6A6A6"/>
            </w:tcBorders>
            <w:noWrap/>
            <w:hideMark/>
          </w:tcPr>
          <w:p w14:paraId="3B202BE0" w14:textId="77777777" w:rsidR="00087B91" w:rsidRPr="002029AF" w:rsidRDefault="00087B91" w:rsidP="00860E95">
            <w:pPr>
              <w:pStyle w:val="ARfintablebodyright"/>
            </w:pPr>
            <w:r w:rsidRPr="002029AF">
              <w:t>–</w:t>
            </w:r>
          </w:p>
        </w:tc>
        <w:tc>
          <w:tcPr>
            <w:tcW w:w="1134" w:type="dxa"/>
            <w:tcBorders>
              <w:top w:val="single" w:sz="4" w:space="0" w:color="A6A6A6"/>
            </w:tcBorders>
            <w:noWrap/>
            <w:hideMark/>
          </w:tcPr>
          <w:p w14:paraId="5C401680" w14:textId="77777777" w:rsidR="00087B91" w:rsidRPr="002029AF" w:rsidRDefault="00087B91" w:rsidP="00860E95">
            <w:pPr>
              <w:pStyle w:val="ARfintablebodyright"/>
            </w:pPr>
            <w:r w:rsidRPr="002029AF">
              <w:t>–</w:t>
            </w:r>
          </w:p>
        </w:tc>
      </w:tr>
      <w:tr w:rsidR="00087B91" w:rsidRPr="002029AF" w14:paraId="291EA3A4" w14:textId="77777777" w:rsidTr="00860E95">
        <w:tc>
          <w:tcPr>
            <w:tcW w:w="3969" w:type="dxa"/>
            <w:tcBorders>
              <w:bottom w:val="single" w:sz="4" w:space="0" w:color="auto"/>
            </w:tcBorders>
            <w:hideMark/>
          </w:tcPr>
          <w:p w14:paraId="62CC0320" w14:textId="3B82003E" w:rsidR="00087B91" w:rsidRPr="002029AF" w:rsidRDefault="00087B91" w:rsidP="00860E95">
            <w:pPr>
              <w:pStyle w:val="ARfintablebodybold"/>
            </w:pPr>
            <w:r w:rsidRPr="002029AF">
              <w:t>Total</w:t>
            </w:r>
            <w:r w:rsidR="000A5329" w:rsidRPr="002029AF">
              <w:t xml:space="preserve"> </w:t>
            </w:r>
            <w:r w:rsidRPr="002029AF">
              <w:t>impact</w:t>
            </w:r>
          </w:p>
        </w:tc>
        <w:tc>
          <w:tcPr>
            <w:tcW w:w="1134" w:type="dxa"/>
            <w:tcBorders>
              <w:bottom w:val="single" w:sz="4" w:space="0" w:color="auto"/>
            </w:tcBorders>
            <w:noWrap/>
            <w:hideMark/>
          </w:tcPr>
          <w:p w14:paraId="47A0C7EE" w14:textId="77777777" w:rsidR="00087B91" w:rsidRPr="002029AF" w:rsidRDefault="00087B91" w:rsidP="00860E95">
            <w:pPr>
              <w:pStyle w:val="ARfintablebodyrightbold"/>
            </w:pPr>
            <w:r w:rsidRPr="002029AF">
              <w:t>1,319.8</w:t>
            </w:r>
          </w:p>
        </w:tc>
        <w:tc>
          <w:tcPr>
            <w:tcW w:w="1134" w:type="dxa"/>
            <w:tcBorders>
              <w:bottom w:val="single" w:sz="4" w:space="0" w:color="auto"/>
            </w:tcBorders>
            <w:noWrap/>
            <w:hideMark/>
          </w:tcPr>
          <w:p w14:paraId="7E22BF1D" w14:textId="77777777" w:rsidR="00087B91" w:rsidRPr="002029AF" w:rsidRDefault="00087B91" w:rsidP="00860E95">
            <w:pPr>
              <w:pStyle w:val="ARfintablebodyrightbold"/>
            </w:pPr>
            <w:r w:rsidRPr="002029AF">
              <w:t>(2.9)</w:t>
            </w:r>
          </w:p>
        </w:tc>
        <w:tc>
          <w:tcPr>
            <w:tcW w:w="1134" w:type="dxa"/>
            <w:tcBorders>
              <w:bottom w:val="single" w:sz="4" w:space="0" w:color="auto"/>
            </w:tcBorders>
            <w:noWrap/>
            <w:hideMark/>
          </w:tcPr>
          <w:p w14:paraId="160AAA95" w14:textId="77777777" w:rsidR="00087B91" w:rsidRPr="002029AF" w:rsidRDefault="00087B91" w:rsidP="00860E95">
            <w:pPr>
              <w:pStyle w:val="ARfintablebodyrightbold"/>
            </w:pPr>
            <w:r w:rsidRPr="002029AF">
              <w:t>2.9</w:t>
            </w:r>
          </w:p>
        </w:tc>
        <w:tc>
          <w:tcPr>
            <w:tcW w:w="1134" w:type="dxa"/>
            <w:tcBorders>
              <w:bottom w:val="single" w:sz="4" w:space="0" w:color="auto"/>
            </w:tcBorders>
            <w:noWrap/>
            <w:hideMark/>
          </w:tcPr>
          <w:p w14:paraId="323ED119" w14:textId="77777777" w:rsidR="00087B91" w:rsidRPr="002029AF" w:rsidRDefault="00087B91" w:rsidP="00860E95">
            <w:pPr>
              <w:pStyle w:val="ARfintablebodyrightbold"/>
            </w:pPr>
            <w:r w:rsidRPr="002029AF">
              <w:t>–</w:t>
            </w:r>
          </w:p>
        </w:tc>
        <w:tc>
          <w:tcPr>
            <w:tcW w:w="1134" w:type="dxa"/>
            <w:tcBorders>
              <w:bottom w:val="single" w:sz="4" w:space="0" w:color="auto"/>
            </w:tcBorders>
            <w:noWrap/>
            <w:hideMark/>
          </w:tcPr>
          <w:p w14:paraId="2EE8840D" w14:textId="77777777" w:rsidR="00087B91" w:rsidRPr="002029AF" w:rsidRDefault="00087B91" w:rsidP="00860E95">
            <w:pPr>
              <w:pStyle w:val="ARfintablebodyrightbold"/>
            </w:pPr>
            <w:r w:rsidRPr="002029AF">
              <w:t>0.2</w:t>
            </w:r>
          </w:p>
        </w:tc>
      </w:tr>
      <w:tr w:rsidR="00087B91" w:rsidRPr="002029AF" w14:paraId="613FACE6" w14:textId="77777777" w:rsidTr="00860E95">
        <w:tc>
          <w:tcPr>
            <w:tcW w:w="3969" w:type="dxa"/>
            <w:tcBorders>
              <w:top w:val="single" w:sz="4" w:space="0" w:color="auto"/>
              <w:bottom w:val="single" w:sz="4" w:space="0" w:color="A6A6A6"/>
            </w:tcBorders>
            <w:hideMark/>
          </w:tcPr>
          <w:p w14:paraId="177897E8" w14:textId="269B2E82" w:rsidR="00087B91" w:rsidRPr="002029AF" w:rsidRDefault="00087B91" w:rsidP="00860E95">
            <w:pPr>
              <w:pStyle w:val="ARfintablebodybold"/>
            </w:pPr>
            <w:r w:rsidRPr="002029AF">
              <w:t>Contractual</w:t>
            </w:r>
            <w:r w:rsidR="000A5329" w:rsidRPr="002029AF">
              <w:t xml:space="preserve"> </w:t>
            </w:r>
            <w:r w:rsidRPr="002029AF">
              <w:t>financial</w:t>
            </w:r>
            <w:r w:rsidR="000A5329" w:rsidRPr="002029AF">
              <w:t xml:space="preserve"> </w:t>
            </w:r>
            <w:r w:rsidRPr="002029AF">
              <w:t>liabilities</w:t>
            </w:r>
          </w:p>
        </w:tc>
        <w:tc>
          <w:tcPr>
            <w:tcW w:w="1134" w:type="dxa"/>
            <w:tcBorders>
              <w:top w:val="single" w:sz="4" w:space="0" w:color="auto"/>
              <w:bottom w:val="single" w:sz="4" w:space="0" w:color="A6A6A6"/>
            </w:tcBorders>
            <w:hideMark/>
          </w:tcPr>
          <w:p w14:paraId="08686425" w14:textId="77777777" w:rsidR="00087B91" w:rsidRPr="002029AF" w:rsidRDefault="00087B91" w:rsidP="00860E95">
            <w:pPr>
              <w:pStyle w:val="ARfintablebodybold"/>
            </w:pPr>
          </w:p>
        </w:tc>
        <w:tc>
          <w:tcPr>
            <w:tcW w:w="1134" w:type="dxa"/>
            <w:tcBorders>
              <w:top w:val="single" w:sz="4" w:space="0" w:color="auto"/>
              <w:bottom w:val="single" w:sz="4" w:space="0" w:color="A6A6A6"/>
            </w:tcBorders>
            <w:hideMark/>
          </w:tcPr>
          <w:p w14:paraId="27D69026" w14:textId="77777777" w:rsidR="00087B91" w:rsidRPr="002029AF" w:rsidRDefault="00087B91" w:rsidP="00860E95">
            <w:pPr>
              <w:pStyle w:val="ARfintablebodybold"/>
            </w:pPr>
          </w:p>
        </w:tc>
        <w:tc>
          <w:tcPr>
            <w:tcW w:w="1134" w:type="dxa"/>
            <w:tcBorders>
              <w:top w:val="single" w:sz="4" w:space="0" w:color="auto"/>
              <w:bottom w:val="single" w:sz="4" w:space="0" w:color="A6A6A6"/>
            </w:tcBorders>
            <w:hideMark/>
          </w:tcPr>
          <w:p w14:paraId="6D64B7D3" w14:textId="77777777" w:rsidR="00087B91" w:rsidRPr="002029AF" w:rsidRDefault="00087B91" w:rsidP="00860E95">
            <w:pPr>
              <w:pStyle w:val="ARfintablebodybold"/>
            </w:pPr>
          </w:p>
        </w:tc>
        <w:tc>
          <w:tcPr>
            <w:tcW w:w="1134" w:type="dxa"/>
            <w:tcBorders>
              <w:top w:val="single" w:sz="4" w:space="0" w:color="auto"/>
              <w:bottom w:val="single" w:sz="4" w:space="0" w:color="A6A6A6"/>
            </w:tcBorders>
            <w:hideMark/>
          </w:tcPr>
          <w:p w14:paraId="4BED186E" w14:textId="77777777" w:rsidR="00087B91" w:rsidRPr="002029AF" w:rsidRDefault="00087B91" w:rsidP="00860E95">
            <w:pPr>
              <w:pStyle w:val="ARfintablebodybold"/>
            </w:pPr>
          </w:p>
        </w:tc>
        <w:tc>
          <w:tcPr>
            <w:tcW w:w="1134" w:type="dxa"/>
            <w:tcBorders>
              <w:top w:val="single" w:sz="4" w:space="0" w:color="auto"/>
              <w:bottom w:val="single" w:sz="4" w:space="0" w:color="A6A6A6"/>
            </w:tcBorders>
            <w:hideMark/>
          </w:tcPr>
          <w:p w14:paraId="61CF1AB0" w14:textId="77777777" w:rsidR="00087B91" w:rsidRPr="002029AF" w:rsidRDefault="00087B91" w:rsidP="00860E95">
            <w:pPr>
              <w:pStyle w:val="ARfintablebodybold"/>
            </w:pPr>
          </w:p>
        </w:tc>
      </w:tr>
      <w:tr w:rsidR="00087B91" w:rsidRPr="002029AF" w14:paraId="2296CF94" w14:textId="77777777" w:rsidTr="00860E95">
        <w:tc>
          <w:tcPr>
            <w:tcW w:w="3969" w:type="dxa"/>
            <w:tcBorders>
              <w:top w:val="single" w:sz="4" w:space="0" w:color="A6A6A6"/>
              <w:bottom w:val="single" w:sz="4" w:space="0" w:color="A6A6A6"/>
            </w:tcBorders>
            <w:hideMark/>
          </w:tcPr>
          <w:p w14:paraId="62D8E106" w14:textId="710EECD3" w:rsidR="00087B91" w:rsidRPr="002029AF" w:rsidRDefault="00087B91" w:rsidP="00860E95">
            <w:pPr>
              <w:pStyle w:val="ARfintablebody"/>
            </w:pPr>
            <w:r w:rsidRPr="002029AF">
              <w:t>Payables</w:t>
            </w:r>
            <w:r w:rsidR="000A5329" w:rsidRPr="002029AF">
              <w:t xml:space="preserve"> </w:t>
            </w:r>
            <w:r w:rsidRPr="002029AF">
              <w:rPr>
                <w:rStyle w:val="Superscript"/>
              </w:rPr>
              <w:t>(iii)</w:t>
            </w:r>
          </w:p>
        </w:tc>
        <w:tc>
          <w:tcPr>
            <w:tcW w:w="1134" w:type="dxa"/>
            <w:tcBorders>
              <w:top w:val="single" w:sz="4" w:space="0" w:color="A6A6A6"/>
              <w:bottom w:val="single" w:sz="4" w:space="0" w:color="A6A6A6"/>
            </w:tcBorders>
            <w:noWrap/>
            <w:hideMark/>
          </w:tcPr>
          <w:p w14:paraId="353D8B7B" w14:textId="77777777" w:rsidR="00087B91" w:rsidRPr="002029AF" w:rsidRDefault="00087B91" w:rsidP="00860E95">
            <w:pPr>
              <w:pStyle w:val="ARfintablebodyright"/>
            </w:pPr>
            <w:r w:rsidRPr="002029AF">
              <w:t>1,513.5</w:t>
            </w:r>
          </w:p>
        </w:tc>
        <w:tc>
          <w:tcPr>
            <w:tcW w:w="1134" w:type="dxa"/>
            <w:tcBorders>
              <w:top w:val="single" w:sz="4" w:space="0" w:color="A6A6A6"/>
              <w:bottom w:val="single" w:sz="4" w:space="0" w:color="A6A6A6"/>
            </w:tcBorders>
            <w:noWrap/>
            <w:hideMark/>
          </w:tcPr>
          <w:p w14:paraId="151CC188"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0B393BB3"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2DB40BD5"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6F36C0FE" w14:textId="77777777" w:rsidR="00087B91" w:rsidRPr="002029AF" w:rsidRDefault="00087B91" w:rsidP="00860E95">
            <w:pPr>
              <w:pStyle w:val="ARfintablebodyright"/>
            </w:pPr>
            <w:r w:rsidRPr="002029AF">
              <w:t>–</w:t>
            </w:r>
          </w:p>
        </w:tc>
      </w:tr>
      <w:tr w:rsidR="00087B91" w:rsidRPr="002029AF" w14:paraId="7800726F" w14:textId="77777777" w:rsidTr="00860E95">
        <w:tc>
          <w:tcPr>
            <w:tcW w:w="3969" w:type="dxa"/>
            <w:tcBorders>
              <w:top w:val="single" w:sz="4" w:space="0" w:color="A6A6A6"/>
            </w:tcBorders>
            <w:hideMark/>
          </w:tcPr>
          <w:p w14:paraId="0EA62B9F" w14:textId="75E17FDA" w:rsidR="00087B91" w:rsidRPr="002029AF" w:rsidRDefault="00087B91" w:rsidP="00860E95">
            <w:pPr>
              <w:pStyle w:val="ARfintablebody"/>
            </w:pPr>
            <w:r w:rsidRPr="002029AF">
              <w:t>Borrowings</w:t>
            </w:r>
            <w:r w:rsidR="000A5329" w:rsidRPr="002029AF">
              <w:t xml:space="preserve"> </w:t>
            </w:r>
            <w:r w:rsidRPr="002029AF">
              <w:rPr>
                <w:rStyle w:val="Superscript"/>
              </w:rPr>
              <w:t>(iv)</w:t>
            </w:r>
          </w:p>
        </w:tc>
        <w:tc>
          <w:tcPr>
            <w:tcW w:w="1134" w:type="dxa"/>
            <w:tcBorders>
              <w:top w:val="single" w:sz="4" w:space="0" w:color="A6A6A6"/>
            </w:tcBorders>
            <w:noWrap/>
            <w:hideMark/>
          </w:tcPr>
          <w:p w14:paraId="17E437D9" w14:textId="77777777" w:rsidR="00087B91" w:rsidRPr="002029AF" w:rsidRDefault="00087B91" w:rsidP="00860E95">
            <w:pPr>
              <w:pStyle w:val="ARfintablebodyright"/>
            </w:pPr>
            <w:r w:rsidRPr="002029AF">
              <w:t>62.2</w:t>
            </w:r>
          </w:p>
        </w:tc>
        <w:tc>
          <w:tcPr>
            <w:tcW w:w="1134" w:type="dxa"/>
            <w:tcBorders>
              <w:top w:val="single" w:sz="4" w:space="0" w:color="A6A6A6"/>
            </w:tcBorders>
            <w:noWrap/>
            <w:hideMark/>
          </w:tcPr>
          <w:p w14:paraId="293F4571" w14:textId="77777777" w:rsidR="00087B91" w:rsidRPr="002029AF" w:rsidRDefault="00087B91" w:rsidP="00860E95">
            <w:pPr>
              <w:pStyle w:val="ARfintablebodyright"/>
            </w:pPr>
            <w:r w:rsidRPr="002029AF">
              <w:t>–</w:t>
            </w:r>
          </w:p>
        </w:tc>
        <w:tc>
          <w:tcPr>
            <w:tcW w:w="1134" w:type="dxa"/>
            <w:tcBorders>
              <w:top w:val="single" w:sz="4" w:space="0" w:color="A6A6A6"/>
            </w:tcBorders>
            <w:noWrap/>
            <w:hideMark/>
          </w:tcPr>
          <w:p w14:paraId="7B57D012" w14:textId="77777777" w:rsidR="00087B91" w:rsidRPr="002029AF" w:rsidRDefault="00087B91" w:rsidP="00860E95">
            <w:pPr>
              <w:pStyle w:val="ARfintablebodyright"/>
            </w:pPr>
            <w:r w:rsidRPr="002029AF">
              <w:t>–</w:t>
            </w:r>
          </w:p>
        </w:tc>
        <w:tc>
          <w:tcPr>
            <w:tcW w:w="1134" w:type="dxa"/>
            <w:tcBorders>
              <w:top w:val="single" w:sz="4" w:space="0" w:color="A6A6A6"/>
            </w:tcBorders>
            <w:noWrap/>
            <w:hideMark/>
          </w:tcPr>
          <w:p w14:paraId="72D64270" w14:textId="77777777" w:rsidR="00087B91" w:rsidRPr="002029AF" w:rsidRDefault="00087B91" w:rsidP="00860E95">
            <w:pPr>
              <w:pStyle w:val="ARfintablebodyright"/>
            </w:pPr>
            <w:r w:rsidRPr="002029AF">
              <w:t>–</w:t>
            </w:r>
          </w:p>
        </w:tc>
        <w:tc>
          <w:tcPr>
            <w:tcW w:w="1134" w:type="dxa"/>
            <w:tcBorders>
              <w:top w:val="single" w:sz="4" w:space="0" w:color="A6A6A6"/>
            </w:tcBorders>
            <w:noWrap/>
            <w:hideMark/>
          </w:tcPr>
          <w:p w14:paraId="20BFC54A" w14:textId="77777777" w:rsidR="00087B91" w:rsidRPr="002029AF" w:rsidRDefault="00087B91" w:rsidP="00860E95">
            <w:pPr>
              <w:pStyle w:val="ARfintablebodyright"/>
            </w:pPr>
            <w:r w:rsidRPr="002029AF">
              <w:t>–</w:t>
            </w:r>
          </w:p>
        </w:tc>
      </w:tr>
      <w:tr w:rsidR="00087B91" w:rsidRPr="002029AF" w14:paraId="1E6A427D" w14:textId="77777777" w:rsidTr="00860E95">
        <w:tc>
          <w:tcPr>
            <w:tcW w:w="3969" w:type="dxa"/>
            <w:hideMark/>
          </w:tcPr>
          <w:p w14:paraId="44330243" w14:textId="0C328D63" w:rsidR="00087B91" w:rsidRPr="002029AF" w:rsidRDefault="00087B91" w:rsidP="00860E95">
            <w:pPr>
              <w:pStyle w:val="ARfintablebodybold"/>
            </w:pPr>
            <w:r w:rsidRPr="002029AF">
              <w:t>Total</w:t>
            </w:r>
            <w:r w:rsidR="000A5329" w:rsidRPr="002029AF">
              <w:t xml:space="preserve"> </w:t>
            </w:r>
            <w:r w:rsidRPr="002029AF">
              <w:t>impact</w:t>
            </w:r>
          </w:p>
        </w:tc>
        <w:tc>
          <w:tcPr>
            <w:tcW w:w="1134" w:type="dxa"/>
            <w:noWrap/>
            <w:hideMark/>
          </w:tcPr>
          <w:p w14:paraId="73EA9A94" w14:textId="77777777" w:rsidR="00087B91" w:rsidRPr="002029AF" w:rsidRDefault="00087B91" w:rsidP="00860E95">
            <w:pPr>
              <w:pStyle w:val="ARfintablebodyrightbold"/>
            </w:pPr>
            <w:r w:rsidRPr="002029AF">
              <w:t>1,575.7</w:t>
            </w:r>
          </w:p>
        </w:tc>
        <w:tc>
          <w:tcPr>
            <w:tcW w:w="1134" w:type="dxa"/>
            <w:noWrap/>
            <w:hideMark/>
          </w:tcPr>
          <w:p w14:paraId="0A392298" w14:textId="77777777" w:rsidR="00087B91" w:rsidRPr="002029AF" w:rsidRDefault="00087B91" w:rsidP="00860E95">
            <w:pPr>
              <w:pStyle w:val="ARfintablebodyrightbold"/>
            </w:pPr>
            <w:r w:rsidRPr="002029AF">
              <w:t>–</w:t>
            </w:r>
          </w:p>
        </w:tc>
        <w:tc>
          <w:tcPr>
            <w:tcW w:w="1134" w:type="dxa"/>
            <w:noWrap/>
            <w:hideMark/>
          </w:tcPr>
          <w:p w14:paraId="4CF0DA63" w14:textId="77777777" w:rsidR="00087B91" w:rsidRPr="002029AF" w:rsidRDefault="00087B91" w:rsidP="00860E95">
            <w:pPr>
              <w:pStyle w:val="ARfintablebodyrightbold"/>
            </w:pPr>
            <w:r w:rsidRPr="002029AF">
              <w:t>–</w:t>
            </w:r>
          </w:p>
        </w:tc>
        <w:tc>
          <w:tcPr>
            <w:tcW w:w="1134" w:type="dxa"/>
            <w:noWrap/>
            <w:hideMark/>
          </w:tcPr>
          <w:p w14:paraId="4EF6F882" w14:textId="77777777" w:rsidR="00087B91" w:rsidRPr="002029AF" w:rsidRDefault="00087B91" w:rsidP="00860E95">
            <w:pPr>
              <w:pStyle w:val="ARfintablebodyrightbold"/>
            </w:pPr>
            <w:r w:rsidRPr="002029AF">
              <w:t>–</w:t>
            </w:r>
          </w:p>
        </w:tc>
        <w:tc>
          <w:tcPr>
            <w:tcW w:w="1134" w:type="dxa"/>
            <w:noWrap/>
            <w:hideMark/>
          </w:tcPr>
          <w:p w14:paraId="73A86652" w14:textId="77777777" w:rsidR="00087B91" w:rsidRPr="002029AF" w:rsidRDefault="00087B91" w:rsidP="00860E95">
            <w:pPr>
              <w:pStyle w:val="ARfintablebodyrightbold"/>
            </w:pPr>
            <w:r w:rsidRPr="002029AF">
              <w:t>–</w:t>
            </w:r>
          </w:p>
        </w:tc>
      </w:tr>
    </w:tbl>
    <w:p w14:paraId="6D85820F" w14:textId="77777777" w:rsidR="00087B91" w:rsidRPr="002029AF" w:rsidRDefault="00087B91" w:rsidP="00087B91">
      <w:pPr>
        <w:pStyle w:val="ARfintablefootnote"/>
        <w:rPr>
          <w:lang w:eastAsia="en-AU"/>
        </w:rPr>
      </w:pPr>
      <w:r w:rsidRPr="002029AF">
        <w:rPr>
          <w:lang w:eastAsia="en-AU"/>
        </w:rPr>
        <w:t>Notes:</w:t>
      </w:r>
    </w:p>
    <w:p w14:paraId="35DB72AF" w14:textId="3541CBB0" w:rsidR="00087B91" w:rsidRPr="002029AF" w:rsidRDefault="00087B91" w:rsidP="00087B91">
      <w:pPr>
        <w:pStyle w:val="ARfintablefootnoteindent"/>
      </w:pPr>
      <w:r w:rsidRPr="002029AF">
        <w:t>(i)</w:t>
      </w:r>
      <w:r w:rsidRPr="002029AF">
        <w:tab/>
        <w:t>All</w:t>
      </w:r>
      <w:r w:rsidR="000A5329" w:rsidRPr="002029AF">
        <w:t xml:space="preserve"> </w:t>
      </w:r>
      <w:r w:rsidRPr="002029AF">
        <w:t>cash</w:t>
      </w:r>
      <w:r w:rsidR="000A5329" w:rsidRPr="002029AF">
        <w:t xml:space="preserve"> </w:t>
      </w:r>
      <w:r w:rsidRPr="002029AF">
        <w:t>and</w:t>
      </w:r>
      <w:r w:rsidR="000A5329" w:rsidRPr="002029AF">
        <w:t xml:space="preserve"> </w:t>
      </w:r>
      <w:r w:rsidRPr="002029AF">
        <w:t>deposits</w:t>
      </w:r>
      <w:r w:rsidR="000A5329" w:rsidRPr="002029AF">
        <w:t xml:space="preserve"> </w:t>
      </w:r>
      <w:r w:rsidRPr="002029AF">
        <w:t>are</w:t>
      </w:r>
      <w:r w:rsidR="000A5329" w:rsidRPr="002029AF">
        <w:t xml:space="preserve"> </w:t>
      </w:r>
      <w:r w:rsidRPr="002029AF">
        <w:t>held</w:t>
      </w:r>
      <w:r w:rsidR="000A5329" w:rsidRPr="002029AF">
        <w:t xml:space="preserve"> </w:t>
      </w:r>
      <w:r w:rsidRPr="002029AF">
        <w:t>in</w:t>
      </w:r>
      <w:r w:rsidR="000A5329" w:rsidRPr="002029AF">
        <w:t xml:space="preserve"> </w:t>
      </w:r>
      <w:r w:rsidRPr="002029AF">
        <w:t>Australian</w:t>
      </w:r>
      <w:r w:rsidR="000A5329" w:rsidRPr="002029AF">
        <w:t xml:space="preserve"> </w:t>
      </w:r>
      <w:r w:rsidRPr="002029AF">
        <w:t>dollars</w:t>
      </w:r>
      <w:r w:rsidR="000A5329" w:rsidRPr="002029AF">
        <w:t xml:space="preserve"> </w:t>
      </w:r>
      <w:r w:rsidRPr="002029AF">
        <w:t>and</w:t>
      </w:r>
      <w:r w:rsidR="000A5329" w:rsidRPr="002029AF">
        <w:t xml:space="preserve"> </w:t>
      </w:r>
      <w:r w:rsidRPr="002029AF">
        <w:t>were</w:t>
      </w:r>
      <w:r w:rsidR="000A5329" w:rsidRPr="002029AF">
        <w:t xml:space="preserve"> </w:t>
      </w:r>
      <w:r w:rsidRPr="002029AF">
        <w:t>held</w:t>
      </w:r>
      <w:r w:rsidR="000A5329" w:rsidRPr="002029AF">
        <w:t xml:space="preserve"> </w:t>
      </w:r>
      <w:r w:rsidRPr="002029AF">
        <w:t>on</w:t>
      </w:r>
      <w:r w:rsidR="000A5329" w:rsidRPr="002029AF">
        <w:t xml:space="preserve"> </w:t>
      </w:r>
      <w:r w:rsidRPr="002029AF">
        <w:t>deposits</w:t>
      </w:r>
      <w:r w:rsidR="000A5329" w:rsidRPr="002029AF">
        <w:t xml:space="preserve"> </w:t>
      </w:r>
      <w:r w:rsidRPr="002029AF">
        <w:t>at</w:t>
      </w:r>
      <w:r w:rsidR="000A5329" w:rsidRPr="002029AF">
        <w:t xml:space="preserve"> </w:t>
      </w:r>
      <w:r w:rsidRPr="002029AF">
        <w:t>fixed</w:t>
      </w:r>
      <w:r w:rsidR="000A5329" w:rsidRPr="002029AF">
        <w:t xml:space="preserve"> </w:t>
      </w:r>
      <w:r w:rsidRPr="002029AF">
        <w:t>and</w:t>
      </w:r>
      <w:r w:rsidR="000A5329" w:rsidRPr="002029AF">
        <w:t xml:space="preserve"> </w:t>
      </w:r>
      <w:r w:rsidRPr="002029AF">
        <w:t>variable</w:t>
      </w:r>
      <w:r w:rsidR="000A5329" w:rsidRPr="002029AF">
        <w:t xml:space="preserve"> </w:t>
      </w:r>
      <w:r w:rsidRPr="002029AF">
        <w:t>interest</w:t>
      </w:r>
      <w:r w:rsidR="000A5329" w:rsidRPr="002029AF">
        <w:t xml:space="preserve"> </w:t>
      </w:r>
      <w:r w:rsidRPr="002029AF">
        <w:t>rates.</w:t>
      </w:r>
      <w:r w:rsidR="000A5329" w:rsidRPr="002029AF">
        <w:t xml:space="preserve"> </w:t>
      </w:r>
      <w:r w:rsidRPr="002029AF">
        <w:t>This</w:t>
      </w:r>
      <w:r w:rsidR="000A5329" w:rsidRPr="002029AF">
        <w:t xml:space="preserve"> </w:t>
      </w:r>
      <w:r w:rsidRPr="002029AF">
        <w:t>item</w:t>
      </w:r>
      <w:r w:rsidR="000A5329" w:rsidRPr="002029AF">
        <w:t xml:space="preserve"> </w:t>
      </w:r>
      <w:r w:rsidRPr="002029AF">
        <w:t>is</w:t>
      </w:r>
      <w:r w:rsidR="000A5329" w:rsidRPr="002029AF">
        <w:t xml:space="preserve"> </w:t>
      </w:r>
      <w:r w:rsidRPr="002029AF">
        <w:t>not</w:t>
      </w:r>
      <w:r w:rsidR="000A5329" w:rsidRPr="002029AF">
        <w:t xml:space="preserve"> </w:t>
      </w:r>
      <w:r w:rsidRPr="002029AF">
        <w:t>subject</w:t>
      </w:r>
      <w:r w:rsidR="000A5329" w:rsidRPr="002029AF">
        <w:t xml:space="preserve"> </w:t>
      </w:r>
      <w:r w:rsidRPr="002029AF">
        <w:t>to</w:t>
      </w:r>
      <w:r w:rsidR="000A5329" w:rsidRPr="002029AF">
        <w:t xml:space="preserve"> </w:t>
      </w:r>
      <w:r w:rsidRPr="002029AF">
        <w:t>any</w:t>
      </w:r>
      <w:r w:rsidR="000A5329" w:rsidRPr="002029AF">
        <w:t xml:space="preserve"> </w:t>
      </w:r>
      <w:r w:rsidRPr="002029AF">
        <w:t>other</w:t>
      </w:r>
      <w:r w:rsidR="000A5329" w:rsidRPr="002029AF">
        <w:t xml:space="preserve"> </w:t>
      </w:r>
      <w:r w:rsidRPr="002029AF">
        <w:t>identified</w:t>
      </w:r>
      <w:r w:rsidR="000A5329" w:rsidRPr="002029AF">
        <w:t xml:space="preserve"> </w:t>
      </w:r>
      <w:r w:rsidRPr="002029AF">
        <w:t>risk</w:t>
      </w:r>
      <w:r w:rsidR="000A5329" w:rsidRPr="002029AF">
        <w:t xml:space="preserve"> </w:t>
      </w:r>
      <w:r w:rsidRPr="002029AF">
        <w:t>sensitivities.</w:t>
      </w:r>
    </w:p>
    <w:p w14:paraId="3ECB7984" w14:textId="247FE3B5" w:rsidR="00087B91" w:rsidRPr="002029AF" w:rsidRDefault="00087B91" w:rsidP="00087B91">
      <w:pPr>
        <w:pStyle w:val="ARfintablefootnoteindent"/>
      </w:pPr>
      <w:r w:rsidRPr="002029AF">
        <w:t>(ii)</w:t>
      </w:r>
      <w:r w:rsidRPr="002029AF">
        <w:tab/>
        <w:t>The</w:t>
      </w:r>
      <w:r w:rsidR="000A5329" w:rsidRPr="002029AF">
        <w:t xml:space="preserve"> </w:t>
      </w:r>
      <w:r w:rsidRPr="002029AF">
        <w:t>carrying</w:t>
      </w:r>
      <w:r w:rsidR="000A5329" w:rsidRPr="002029AF">
        <w:t xml:space="preserve"> </w:t>
      </w:r>
      <w:r w:rsidRPr="002029AF">
        <w:t>amount</w:t>
      </w:r>
      <w:r w:rsidR="000A5329" w:rsidRPr="002029AF">
        <w:t xml:space="preserve"> </w:t>
      </w:r>
      <w:r w:rsidRPr="002029AF">
        <w:t>is</w:t>
      </w:r>
      <w:r w:rsidR="000A5329" w:rsidRPr="002029AF">
        <w:t xml:space="preserve"> </w:t>
      </w:r>
      <w:r w:rsidRPr="002029AF">
        <w:t>denominated</w:t>
      </w:r>
      <w:r w:rsidR="000A5329" w:rsidRPr="002029AF">
        <w:t xml:space="preserve"> </w:t>
      </w:r>
      <w:r w:rsidRPr="002029AF">
        <w:t>in</w:t>
      </w:r>
      <w:r w:rsidR="000A5329" w:rsidRPr="002029AF">
        <w:t xml:space="preserve"> </w:t>
      </w:r>
      <w:r w:rsidRPr="002029AF">
        <w:t>Australian</w:t>
      </w:r>
      <w:r w:rsidR="000A5329" w:rsidRPr="002029AF">
        <w:t xml:space="preserve"> </w:t>
      </w:r>
      <w:r w:rsidRPr="002029AF">
        <w:t>dollars</w:t>
      </w:r>
      <w:r w:rsidR="000A5329" w:rsidRPr="002029AF">
        <w:t xml:space="preserve"> </w:t>
      </w:r>
      <w:r w:rsidRPr="002029AF">
        <w:t>and</w:t>
      </w:r>
      <w:r w:rsidR="000A5329" w:rsidRPr="002029AF">
        <w:t xml:space="preserve"> </w:t>
      </w:r>
      <w:r w:rsidRPr="002029AF">
        <w:t>is</w:t>
      </w:r>
      <w:r w:rsidR="000A5329" w:rsidRPr="002029AF">
        <w:t xml:space="preserve"> </w:t>
      </w:r>
      <w:r w:rsidRPr="002029AF">
        <w:t>non-interest</w:t>
      </w:r>
      <w:r w:rsidR="000A5329" w:rsidRPr="002029AF">
        <w:t xml:space="preserve"> </w:t>
      </w:r>
      <w:r w:rsidRPr="002029AF">
        <w:t>bearing.</w:t>
      </w:r>
      <w:r w:rsidR="000A5329" w:rsidRPr="002029AF">
        <w:t xml:space="preserve"> </w:t>
      </w:r>
      <w:r w:rsidRPr="002029AF">
        <w:t>This</w:t>
      </w:r>
      <w:r w:rsidR="000A5329" w:rsidRPr="002029AF">
        <w:t xml:space="preserve"> </w:t>
      </w:r>
      <w:r w:rsidRPr="002029AF">
        <w:t>item</w:t>
      </w:r>
      <w:r w:rsidR="000A5329" w:rsidRPr="002029AF">
        <w:t xml:space="preserve"> </w:t>
      </w:r>
      <w:r w:rsidRPr="002029AF">
        <w:t>is</w:t>
      </w:r>
      <w:r w:rsidR="000A5329" w:rsidRPr="002029AF">
        <w:t xml:space="preserve"> </w:t>
      </w:r>
      <w:r w:rsidRPr="002029AF">
        <w:t>not</w:t>
      </w:r>
      <w:r w:rsidR="000A5329" w:rsidRPr="002029AF">
        <w:t xml:space="preserve"> </w:t>
      </w:r>
      <w:r w:rsidRPr="002029AF">
        <w:t>subject</w:t>
      </w:r>
      <w:r w:rsidR="000A5329" w:rsidRPr="002029AF">
        <w:t xml:space="preserve"> </w:t>
      </w:r>
      <w:r w:rsidRPr="002029AF">
        <w:t>to</w:t>
      </w:r>
      <w:r w:rsidR="000A5329" w:rsidRPr="002029AF">
        <w:t xml:space="preserve"> </w:t>
      </w:r>
      <w:r w:rsidRPr="002029AF">
        <w:t>the</w:t>
      </w:r>
      <w:r w:rsidR="000A5329" w:rsidRPr="002029AF">
        <w:t xml:space="preserve"> </w:t>
      </w:r>
      <w:r w:rsidRPr="002029AF">
        <w:t>identified</w:t>
      </w:r>
      <w:r w:rsidR="000A5329" w:rsidRPr="002029AF">
        <w:t xml:space="preserve"> </w:t>
      </w:r>
      <w:r w:rsidRPr="002029AF">
        <w:t>risk</w:t>
      </w:r>
      <w:r w:rsidR="000A5329" w:rsidRPr="002029AF">
        <w:t xml:space="preserve"> </w:t>
      </w:r>
      <w:r w:rsidRPr="002029AF">
        <w:t>sensitivities.</w:t>
      </w:r>
    </w:p>
    <w:p w14:paraId="1F01A3E8" w14:textId="52E47428" w:rsidR="00087B91" w:rsidRPr="002029AF" w:rsidRDefault="00087B91" w:rsidP="00087B91">
      <w:pPr>
        <w:pStyle w:val="ARfintablefootnoteindent"/>
      </w:pPr>
      <w:r w:rsidRPr="002029AF">
        <w:t>(iii)</w:t>
      </w:r>
      <w:r w:rsidRPr="002029AF">
        <w:tab/>
        <w:t>The</w:t>
      </w:r>
      <w:r w:rsidR="000A5329" w:rsidRPr="002029AF">
        <w:t xml:space="preserve"> </w:t>
      </w:r>
      <w:r w:rsidRPr="002029AF">
        <w:t>total</w:t>
      </w:r>
      <w:r w:rsidR="000A5329" w:rsidRPr="002029AF">
        <w:t xml:space="preserve"> </w:t>
      </w:r>
      <w:r w:rsidRPr="002029AF">
        <w:t>amounts</w:t>
      </w:r>
      <w:r w:rsidR="000A5329" w:rsidRPr="002029AF">
        <w:t xml:space="preserve"> </w:t>
      </w:r>
      <w:r w:rsidRPr="002029AF">
        <w:t>disclosed</w:t>
      </w:r>
      <w:r w:rsidR="000A5329" w:rsidRPr="002029AF">
        <w:t xml:space="preserve"> </w:t>
      </w:r>
      <w:r w:rsidRPr="002029AF">
        <w:t>here</w:t>
      </w:r>
      <w:r w:rsidR="000A5329" w:rsidRPr="002029AF">
        <w:t xml:space="preserve"> </w:t>
      </w:r>
      <w:r w:rsidRPr="002029AF">
        <w:t>exclude</w:t>
      </w:r>
      <w:r w:rsidR="000A5329" w:rsidRPr="002029AF">
        <w:t xml:space="preserve"> </w:t>
      </w:r>
      <w:r w:rsidRPr="002029AF">
        <w:t>statutory</w:t>
      </w:r>
      <w:r w:rsidR="000A5329" w:rsidRPr="002029AF">
        <w:t xml:space="preserve"> </w:t>
      </w:r>
      <w:r w:rsidRPr="002029AF">
        <w:t>amounts,</w:t>
      </w:r>
      <w:r w:rsidR="000A5329" w:rsidRPr="002029AF">
        <w:t xml:space="preserve"> </w:t>
      </w:r>
      <w:r w:rsidRPr="002029AF">
        <w:t>for</w:t>
      </w:r>
      <w:r w:rsidR="000A5329" w:rsidRPr="002029AF">
        <w:t xml:space="preserve"> </w:t>
      </w:r>
      <w:r w:rsidRPr="002029AF">
        <w:t>example,</w:t>
      </w:r>
      <w:r w:rsidR="000A5329" w:rsidRPr="002029AF">
        <w:t xml:space="preserve"> </w:t>
      </w:r>
      <w:r w:rsidRPr="002029AF">
        <w:t>amounts</w:t>
      </w:r>
      <w:r w:rsidR="000A5329" w:rsidRPr="002029AF">
        <w:t xml:space="preserve"> </w:t>
      </w:r>
      <w:r w:rsidRPr="002029AF">
        <w:t>owing</w:t>
      </w:r>
      <w:r w:rsidR="000A5329" w:rsidRPr="002029AF">
        <w:t xml:space="preserve"> </w:t>
      </w:r>
      <w:r w:rsidRPr="002029AF">
        <w:t>to/from</w:t>
      </w:r>
      <w:r w:rsidR="000A5329" w:rsidRPr="002029AF">
        <w:t xml:space="preserve"> </w:t>
      </w:r>
      <w:r w:rsidRPr="002029AF">
        <w:t>Victorian</w:t>
      </w:r>
      <w:r w:rsidR="000A5329" w:rsidRPr="002029AF">
        <w:t xml:space="preserve"> </w:t>
      </w:r>
      <w:r w:rsidRPr="002029AF">
        <w:t>Government</w:t>
      </w:r>
      <w:r w:rsidR="000A5329" w:rsidRPr="002029AF">
        <w:t xml:space="preserve"> </w:t>
      </w:r>
      <w:r w:rsidRPr="002029AF">
        <w:t>and</w:t>
      </w:r>
      <w:r w:rsidR="000A5329" w:rsidRPr="002029AF">
        <w:t xml:space="preserve"> </w:t>
      </w:r>
      <w:r w:rsidRPr="002029AF">
        <w:t>GST</w:t>
      </w:r>
      <w:r w:rsidR="000A5329" w:rsidRPr="002029AF">
        <w:t xml:space="preserve"> </w:t>
      </w:r>
      <w:r w:rsidRPr="002029AF">
        <w:t>input</w:t>
      </w:r>
      <w:r w:rsidR="000A5329" w:rsidRPr="002029AF">
        <w:t xml:space="preserve"> </w:t>
      </w:r>
      <w:r w:rsidRPr="002029AF">
        <w:t>tax</w:t>
      </w:r>
      <w:r w:rsidR="000A5329" w:rsidRPr="002029AF">
        <w:t xml:space="preserve"> </w:t>
      </w:r>
      <w:r w:rsidRPr="002029AF">
        <w:t>credit</w:t>
      </w:r>
      <w:r w:rsidR="000A5329" w:rsidRPr="002029AF">
        <w:t xml:space="preserve"> </w:t>
      </w:r>
      <w:r w:rsidRPr="002029AF">
        <w:t>recoverable</w:t>
      </w:r>
      <w:r w:rsidR="000A5329" w:rsidRPr="002029AF">
        <w:t xml:space="preserve"> </w:t>
      </w:r>
      <w:r w:rsidRPr="002029AF">
        <w:t>and</w:t>
      </w:r>
      <w:r w:rsidR="000A5329" w:rsidRPr="002029AF">
        <w:t xml:space="preserve"> </w:t>
      </w:r>
      <w:r w:rsidRPr="002029AF">
        <w:t>taxes</w:t>
      </w:r>
      <w:r w:rsidR="000A5329" w:rsidRPr="002029AF">
        <w:t xml:space="preserve"> </w:t>
      </w:r>
      <w:r w:rsidRPr="002029AF">
        <w:t>payable.</w:t>
      </w:r>
    </w:p>
    <w:p w14:paraId="1CF9C4CA" w14:textId="254C0FB7" w:rsidR="00087B91" w:rsidRPr="002029AF" w:rsidRDefault="00087B91" w:rsidP="00087B91">
      <w:pPr>
        <w:pStyle w:val="ARfintablefootnoteindent"/>
      </w:pPr>
      <w:r w:rsidRPr="002029AF">
        <w:t>(iv)</w:t>
      </w:r>
      <w:r w:rsidRPr="002029AF">
        <w:tab/>
        <w:t>Borrowings</w:t>
      </w:r>
      <w:r w:rsidR="000A5329" w:rsidRPr="002029AF">
        <w:t xml:space="preserve"> </w:t>
      </w:r>
      <w:r w:rsidRPr="002029AF">
        <w:t>are</w:t>
      </w:r>
      <w:r w:rsidR="000A5329" w:rsidRPr="002029AF">
        <w:t xml:space="preserve"> </w:t>
      </w:r>
      <w:r w:rsidRPr="002029AF">
        <w:t>denominated</w:t>
      </w:r>
      <w:r w:rsidR="000A5329" w:rsidRPr="002029AF">
        <w:t xml:space="preserve"> </w:t>
      </w:r>
      <w:r w:rsidRPr="002029AF">
        <w:t>in</w:t>
      </w:r>
      <w:r w:rsidR="000A5329" w:rsidRPr="002029AF">
        <w:t xml:space="preserve"> </w:t>
      </w:r>
      <w:r w:rsidRPr="002029AF">
        <w:t>Australian</w:t>
      </w:r>
      <w:r w:rsidR="000A5329" w:rsidRPr="002029AF">
        <w:t xml:space="preserve"> </w:t>
      </w:r>
      <w:r w:rsidRPr="002029AF">
        <w:t>dollars.</w:t>
      </w:r>
      <w:r w:rsidR="000A5329" w:rsidRPr="002029AF">
        <w:t xml:space="preserve"> </w:t>
      </w:r>
      <w:r w:rsidRPr="002029AF">
        <w:t>$83.5</w:t>
      </w:r>
      <w:r w:rsidR="000A5329" w:rsidRPr="002029AF">
        <w:t xml:space="preserve"> </w:t>
      </w:r>
      <w:r w:rsidRPr="002029AF">
        <w:t>million</w:t>
      </w:r>
      <w:r w:rsidR="000A5329" w:rsidRPr="002029AF">
        <w:t xml:space="preserve"> </w:t>
      </w:r>
      <w:r w:rsidRPr="002029AF">
        <w:t>(2019:</w:t>
      </w:r>
      <w:r w:rsidR="000A5329" w:rsidRPr="002029AF">
        <w:t xml:space="preserve"> </w:t>
      </w:r>
      <w:r w:rsidRPr="002029AF">
        <w:t>$33.0</w:t>
      </w:r>
      <w:r w:rsidR="000A5329" w:rsidRPr="002029AF">
        <w:t xml:space="preserve"> </w:t>
      </w:r>
      <w:r w:rsidRPr="002029AF">
        <w:t>million)</w:t>
      </w:r>
      <w:r w:rsidR="000A5329" w:rsidRPr="002029AF">
        <w:t xml:space="preserve"> </w:t>
      </w:r>
      <w:r w:rsidRPr="002029AF">
        <w:t>relates</w:t>
      </w:r>
      <w:r w:rsidR="000A5329" w:rsidRPr="002029AF">
        <w:t xml:space="preserve"> </w:t>
      </w:r>
      <w:r w:rsidRPr="002029AF">
        <w:t>to</w:t>
      </w:r>
      <w:r w:rsidR="000A5329" w:rsidRPr="002029AF">
        <w:t xml:space="preserve"> </w:t>
      </w:r>
      <w:r w:rsidRPr="002029AF">
        <w:t>lease</w:t>
      </w:r>
      <w:r w:rsidR="000A5329" w:rsidRPr="002029AF">
        <w:t xml:space="preserve"> </w:t>
      </w:r>
      <w:r w:rsidRPr="002029AF">
        <w:t>liabilities.</w:t>
      </w:r>
    </w:p>
    <w:p w14:paraId="34FF3421" w14:textId="77777777" w:rsidR="00087B91" w:rsidRPr="002029AF" w:rsidRDefault="00087B91" w:rsidP="00087B91">
      <w:pPr>
        <w:pStyle w:val="ARfinbody"/>
      </w:pPr>
      <w:r w:rsidRPr="002029AF">
        <w:br w:type="page"/>
      </w:r>
    </w:p>
    <w:p w14:paraId="3D7F990D" w14:textId="0C9776E3" w:rsidR="00087B91" w:rsidRPr="002029AF" w:rsidRDefault="00087B91" w:rsidP="00087B91">
      <w:pPr>
        <w:pStyle w:val="Heading4"/>
      </w:pPr>
      <w:bookmarkStart w:id="382" w:name="_Toc39242163"/>
      <w:r w:rsidRPr="002029AF">
        <w:lastRenderedPageBreak/>
        <w:t>8.2</w:t>
      </w:r>
      <w:r w:rsidR="000A5329" w:rsidRPr="002029AF">
        <w:t xml:space="preserve"> </w:t>
      </w:r>
      <w:r w:rsidRPr="002029AF">
        <w:t>Contingent</w:t>
      </w:r>
      <w:r w:rsidR="000A5329" w:rsidRPr="002029AF">
        <w:t xml:space="preserve"> </w:t>
      </w:r>
      <w:r w:rsidRPr="002029AF">
        <w:t>assets</w:t>
      </w:r>
      <w:r w:rsidR="000A5329" w:rsidRPr="002029AF">
        <w:t xml:space="preserve"> </w:t>
      </w:r>
      <w:r w:rsidRPr="002029AF">
        <w:t>and</w:t>
      </w:r>
      <w:r w:rsidR="000A5329" w:rsidRPr="002029AF">
        <w:t xml:space="preserve"> </w:t>
      </w:r>
      <w:r w:rsidRPr="002029AF">
        <w:t>contingent</w:t>
      </w:r>
      <w:r w:rsidR="000A5329" w:rsidRPr="002029AF">
        <w:t xml:space="preserve"> </w:t>
      </w:r>
      <w:r w:rsidRPr="002029AF">
        <w:t>liabilities</w:t>
      </w:r>
      <w:bookmarkEnd w:id="382"/>
    </w:p>
    <w:p w14:paraId="631F5100" w14:textId="19A6BD9D" w:rsidR="00087B91" w:rsidRPr="002029AF" w:rsidRDefault="00087B91" w:rsidP="00087B91">
      <w:pPr>
        <w:pStyle w:val="ARfinbody"/>
      </w:pPr>
      <w:r w:rsidRPr="002029AF">
        <w:t>Contingent</w:t>
      </w:r>
      <w:r w:rsidR="000A5329" w:rsidRPr="002029AF">
        <w:t xml:space="preserve"> </w:t>
      </w:r>
      <w:r w:rsidRPr="002029AF">
        <w:t>assets</w:t>
      </w:r>
      <w:r w:rsidR="000A5329" w:rsidRPr="002029AF">
        <w:t xml:space="preserve"> </w:t>
      </w:r>
      <w:r w:rsidRPr="002029AF">
        <w:t>and</w:t>
      </w:r>
      <w:r w:rsidR="000A5329" w:rsidRPr="002029AF">
        <w:t xml:space="preserve"> </w:t>
      </w:r>
      <w:r w:rsidRPr="002029AF">
        <w:t>contingent</w:t>
      </w:r>
      <w:r w:rsidR="000A5329" w:rsidRPr="002029AF">
        <w:t xml:space="preserve"> </w:t>
      </w:r>
      <w:r w:rsidRPr="002029AF">
        <w:t>liabilities</w:t>
      </w:r>
      <w:r w:rsidR="000A5329" w:rsidRPr="002029AF">
        <w:t xml:space="preserve"> </w:t>
      </w:r>
      <w:r w:rsidRPr="002029AF">
        <w:t>are</w:t>
      </w:r>
      <w:r w:rsidR="000A5329" w:rsidRPr="002029AF">
        <w:t xml:space="preserve"> </w:t>
      </w:r>
      <w:r w:rsidRPr="002029AF">
        <w:t>not</w:t>
      </w:r>
      <w:r w:rsidR="000A5329" w:rsidRPr="002029AF">
        <w:t xml:space="preserve"> </w:t>
      </w:r>
      <w:r w:rsidRPr="002029AF">
        <w:t>recognised</w:t>
      </w:r>
      <w:r w:rsidR="000A5329" w:rsidRPr="002029AF">
        <w:t xml:space="preserve"> </w:t>
      </w:r>
      <w:r w:rsidRPr="002029AF">
        <w:t>in</w:t>
      </w:r>
      <w:r w:rsidR="000A5329" w:rsidRPr="002029AF">
        <w:t xml:space="preserve"> </w:t>
      </w:r>
      <w:r w:rsidRPr="002029AF">
        <w:t>the</w:t>
      </w:r>
      <w:r w:rsidR="000A5329" w:rsidRPr="002029AF">
        <w:t xml:space="preserve"> </w:t>
      </w:r>
      <w:r w:rsidRPr="002029AF">
        <w:t>balance</w:t>
      </w:r>
      <w:r w:rsidR="000A5329" w:rsidRPr="002029AF">
        <w:t xml:space="preserve"> </w:t>
      </w:r>
      <w:r w:rsidRPr="002029AF">
        <w:t>sheet,</w:t>
      </w:r>
      <w:r w:rsidR="000A5329" w:rsidRPr="002029AF">
        <w:t xml:space="preserve"> </w:t>
      </w:r>
      <w:r w:rsidRPr="002029AF">
        <w:t>but</w:t>
      </w:r>
      <w:r w:rsidR="000A5329" w:rsidRPr="002029AF">
        <w:t xml:space="preserve"> </w:t>
      </w:r>
      <w:r w:rsidRPr="002029AF">
        <w:t>are</w:t>
      </w:r>
      <w:r w:rsidR="000A5329" w:rsidRPr="002029AF">
        <w:t xml:space="preserve"> </w:t>
      </w:r>
      <w:r w:rsidRPr="002029AF">
        <w:t>disclosed</w:t>
      </w:r>
      <w:r w:rsidR="000A5329" w:rsidRPr="002029AF">
        <w:t xml:space="preserve"> </w:t>
      </w:r>
      <w:r w:rsidRPr="002029AF">
        <w:t>by</w:t>
      </w:r>
      <w:r w:rsidR="000A5329" w:rsidRPr="002029AF">
        <w:t xml:space="preserve"> </w:t>
      </w:r>
      <w:r w:rsidRPr="002029AF">
        <w:t>way</w:t>
      </w:r>
      <w:r w:rsidR="000A5329" w:rsidRPr="002029AF">
        <w:t xml:space="preserve"> </w:t>
      </w:r>
      <w:r w:rsidRPr="002029AF">
        <w:t>of</w:t>
      </w:r>
      <w:r w:rsidR="000A5329" w:rsidRPr="002029AF">
        <w:t xml:space="preserve"> </w:t>
      </w:r>
      <w:r w:rsidRPr="002029AF">
        <w:t>a</w:t>
      </w:r>
      <w:r w:rsidR="000A5329" w:rsidRPr="002029AF">
        <w:t xml:space="preserve"> </w:t>
      </w:r>
      <w:r w:rsidRPr="002029AF">
        <w:t>disclosure</w:t>
      </w:r>
      <w:r w:rsidR="000A5329" w:rsidRPr="002029AF">
        <w:t xml:space="preserve"> </w:t>
      </w:r>
      <w:r w:rsidRPr="002029AF">
        <w:t>and,</w:t>
      </w:r>
      <w:r w:rsidR="000A5329" w:rsidRPr="002029AF">
        <w:t xml:space="preserve"> </w:t>
      </w:r>
      <w:r w:rsidRPr="002029AF">
        <w:t>if</w:t>
      </w:r>
      <w:r w:rsidR="007920F7" w:rsidRPr="002029AF">
        <w:t> </w:t>
      </w:r>
      <w:r w:rsidRPr="002029AF">
        <w:t>quantifiable,</w:t>
      </w:r>
      <w:r w:rsidR="000A5329" w:rsidRPr="002029AF">
        <w:t xml:space="preserve"> </w:t>
      </w:r>
      <w:r w:rsidRPr="002029AF">
        <w:t>are</w:t>
      </w:r>
      <w:r w:rsidR="000A5329" w:rsidRPr="002029AF">
        <w:t xml:space="preserve"> </w:t>
      </w:r>
      <w:r w:rsidRPr="002029AF">
        <w:t>stated</w:t>
      </w:r>
      <w:r w:rsidR="000A5329" w:rsidRPr="002029AF">
        <w:t xml:space="preserve"> </w:t>
      </w:r>
      <w:r w:rsidRPr="002029AF">
        <w:t>at</w:t>
      </w:r>
      <w:r w:rsidR="000A5329" w:rsidRPr="002029AF">
        <w:t xml:space="preserve"> </w:t>
      </w:r>
      <w:r w:rsidRPr="002029AF">
        <w:t>nominal</w:t>
      </w:r>
      <w:r w:rsidR="000A5329" w:rsidRPr="002029AF">
        <w:t xml:space="preserve"> </w:t>
      </w:r>
      <w:r w:rsidRPr="002029AF">
        <w:t>value.</w:t>
      </w:r>
      <w:r w:rsidR="000A5329" w:rsidRPr="002029AF">
        <w:t xml:space="preserve"> </w:t>
      </w:r>
      <w:r w:rsidRPr="002029AF">
        <w:t>Contingent</w:t>
      </w:r>
      <w:r w:rsidR="000A5329" w:rsidRPr="002029AF">
        <w:t xml:space="preserve"> </w:t>
      </w:r>
      <w:r w:rsidRPr="002029AF">
        <w:t>assets</w:t>
      </w:r>
      <w:r w:rsidR="000A5329" w:rsidRPr="002029AF">
        <w:t xml:space="preserve"> </w:t>
      </w:r>
      <w:r w:rsidRPr="002029AF">
        <w:t>and</w:t>
      </w:r>
      <w:r w:rsidR="000A5329" w:rsidRPr="002029AF">
        <w:t xml:space="preserve"> </w:t>
      </w:r>
      <w:r w:rsidRPr="002029AF">
        <w:t>liabilities</w:t>
      </w:r>
      <w:r w:rsidR="000A5329" w:rsidRPr="002029AF">
        <w:t xml:space="preserve"> </w:t>
      </w:r>
      <w:r w:rsidRPr="002029AF">
        <w:t>are</w:t>
      </w:r>
      <w:r w:rsidR="000A5329" w:rsidRPr="002029AF">
        <w:t xml:space="preserve"> </w:t>
      </w:r>
      <w:r w:rsidRPr="002029AF">
        <w:t>presented</w:t>
      </w:r>
      <w:r w:rsidR="000A5329" w:rsidRPr="002029AF">
        <w:t xml:space="preserve"> </w:t>
      </w:r>
      <w:r w:rsidRPr="002029AF">
        <w:t>inclusive</w:t>
      </w:r>
      <w:r w:rsidR="000A5329" w:rsidRPr="002029AF">
        <w:t xml:space="preserve"> </w:t>
      </w:r>
      <w:r w:rsidRPr="002029AF">
        <w:t>of</w:t>
      </w:r>
      <w:r w:rsidR="000A5329" w:rsidRPr="002029AF">
        <w:t xml:space="preserve"> </w:t>
      </w:r>
      <w:r w:rsidRPr="002029AF">
        <w:t>GST</w:t>
      </w:r>
      <w:r w:rsidR="000A5329" w:rsidRPr="002029AF">
        <w:t xml:space="preserve"> </w:t>
      </w:r>
      <w:r w:rsidRPr="002029AF">
        <w:t>receivable</w:t>
      </w:r>
      <w:r w:rsidR="000A5329" w:rsidRPr="002029AF">
        <w:t xml:space="preserve"> </w:t>
      </w:r>
      <w:r w:rsidRPr="002029AF">
        <w:t>or</w:t>
      </w:r>
      <w:r w:rsidR="000A5329" w:rsidRPr="002029AF">
        <w:t xml:space="preserve"> </w:t>
      </w:r>
      <w:r w:rsidRPr="002029AF">
        <w:t>payable</w:t>
      </w:r>
      <w:r w:rsidR="000A5329" w:rsidRPr="002029AF">
        <w:t xml:space="preserve"> </w:t>
      </w:r>
      <w:r w:rsidRPr="002029AF">
        <w:t>respectively.</w:t>
      </w:r>
    </w:p>
    <w:p w14:paraId="43735F91" w14:textId="4B5DB558" w:rsidR="00087B91" w:rsidRPr="002029AF" w:rsidRDefault="00087B91" w:rsidP="00087B91">
      <w:pPr>
        <w:pStyle w:val="Heading5"/>
      </w:pPr>
      <w:r w:rsidRPr="002029AF">
        <w:t>Contingent</w:t>
      </w:r>
      <w:r w:rsidR="000A5329" w:rsidRPr="002029AF">
        <w:t xml:space="preserve"> </w:t>
      </w:r>
      <w:r w:rsidRPr="002029AF">
        <w:t>assets</w:t>
      </w:r>
    </w:p>
    <w:p w14:paraId="3C260D1A" w14:textId="59599FAD" w:rsidR="00087B91" w:rsidRPr="002029AF" w:rsidRDefault="00087B91" w:rsidP="00087B91">
      <w:pPr>
        <w:pStyle w:val="ARfinbody"/>
      </w:pPr>
      <w:r w:rsidRPr="002029AF">
        <w:t>Contingent</w:t>
      </w:r>
      <w:r w:rsidR="000A5329" w:rsidRPr="002029AF">
        <w:t xml:space="preserve"> </w:t>
      </w:r>
      <w:r w:rsidRPr="002029AF">
        <w:t>assets</w:t>
      </w:r>
      <w:r w:rsidR="000A5329" w:rsidRPr="002029AF">
        <w:t xml:space="preserve"> </w:t>
      </w:r>
      <w:r w:rsidRPr="002029AF">
        <w:t>are</w:t>
      </w:r>
      <w:r w:rsidR="000A5329" w:rsidRPr="002029AF">
        <w:t xml:space="preserve"> </w:t>
      </w:r>
      <w:r w:rsidRPr="002029AF">
        <w:t>possible</w:t>
      </w:r>
      <w:r w:rsidR="000A5329" w:rsidRPr="002029AF">
        <w:t xml:space="preserve"> </w:t>
      </w:r>
      <w:r w:rsidRPr="002029AF">
        <w:t>assets</w:t>
      </w:r>
      <w:r w:rsidR="000A5329" w:rsidRPr="002029AF">
        <w:t xml:space="preserve"> </w:t>
      </w:r>
      <w:r w:rsidRPr="002029AF">
        <w:t>that</w:t>
      </w:r>
      <w:r w:rsidR="000A5329" w:rsidRPr="002029AF">
        <w:t xml:space="preserve"> </w:t>
      </w:r>
      <w:r w:rsidRPr="002029AF">
        <w:t>arise</w:t>
      </w:r>
      <w:r w:rsidR="000A5329" w:rsidRPr="002029AF">
        <w:t xml:space="preserve"> </w:t>
      </w:r>
      <w:r w:rsidRPr="002029AF">
        <w:t>from</w:t>
      </w:r>
      <w:r w:rsidR="000A5329" w:rsidRPr="002029AF">
        <w:t xml:space="preserve"> </w:t>
      </w:r>
      <w:r w:rsidRPr="002029AF">
        <w:t>past</w:t>
      </w:r>
      <w:r w:rsidR="000A5329" w:rsidRPr="002029AF">
        <w:t xml:space="preserve"> </w:t>
      </w:r>
      <w:r w:rsidRPr="002029AF">
        <w:t>events,</w:t>
      </w:r>
      <w:r w:rsidR="000A5329" w:rsidRPr="002029AF">
        <w:t xml:space="preserve"> </w:t>
      </w:r>
      <w:r w:rsidRPr="002029AF">
        <w:t>whose</w:t>
      </w:r>
      <w:r w:rsidR="000A5329" w:rsidRPr="002029AF">
        <w:t xml:space="preserve"> </w:t>
      </w:r>
      <w:r w:rsidRPr="002029AF">
        <w:t>existence</w:t>
      </w:r>
      <w:r w:rsidR="000A5329" w:rsidRPr="002029AF">
        <w:t xml:space="preserve"> </w:t>
      </w:r>
      <w:r w:rsidRPr="002029AF">
        <w:t>will</w:t>
      </w:r>
      <w:r w:rsidR="000A5329" w:rsidRPr="002029AF">
        <w:t xml:space="preserve"> </w:t>
      </w:r>
      <w:r w:rsidRPr="002029AF">
        <w:t>be</w:t>
      </w:r>
      <w:r w:rsidR="000A5329" w:rsidRPr="002029AF">
        <w:t xml:space="preserve"> </w:t>
      </w:r>
      <w:r w:rsidRPr="002029AF">
        <w:t>confirmed</w:t>
      </w:r>
      <w:r w:rsidR="000A5329" w:rsidRPr="002029AF">
        <w:t xml:space="preserve"> </w:t>
      </w:r>
      <w:r w:rsidRPr="002029AF">
        <w:t>only</w:t>
      </w:r>
      <w:r w:rsidR="000A5329" w:rsidRPr="002029AF">
        <w:t xml:space="preserve"> </w:t>
      </w:r>
      <w:r w:rsidRPr="002029AF">
        <w:t>by</w:t>
      </w:r>
      <w:r w:rsidR="000A5329" w:rsidRPr="002029AF">
        <w:t xml:space="preserve"> </w:t>
      </w:r>
      <w:r w:rsidRPr="002029AF">
        <w:t>the</w:t>
      </w:r>
      <w:r w:rsidR="000A5329" w:rsidRPr="002029AF">
        <w:t xml:space="preserve"> </w:t>
      </w:r>
      <w:r w:rsidRPr="002029AF">
        <w:t>occurrence</w:t>
      </w:r>
      <w:r w:rsidR="000A5329" w:rsidRPr="002029AF">
        <w:t xml:space="preserve"> </w:t>
      </w:r>
      <w:r w:rsidRPr="002029AF">
        <w:t>or</w:t>
      </w:r>
      <w:r w:rsidR="000A5329" w:rsidRPr="002029AF">
        <w:t xml:space="preserve"> </w:t>
      </w:r>
      <w:r w:rsidRPr="002029AF">
        <w:br/>
        <w:t>non-occurrence</w:t>
      </w:r>
      <w:r w:rsidR="000A5329" w:rsidRPr="002029AF">
        <w:t xml:space="preserve"> </w:t>
      </w:r>
      <w:r w:rsidRPr="002029AF">
        <w:t>of</w:t>
      </w:r>
      <w:r w:rsidR="000A5329" w:rsidRPr="002029AF">
        <w:t xml:space="preserve"> </w:t>
      </w:r>
      <w:r w:rsidRPr="002029AF">
        <w:t>one</w:t>
      </w:r>
      <w:r w:rsidR="000A5329" w:rsidRPr="002029AF">
        <w:t xml:space="preserve"> </w:t>
      </w:r>
      <w:r w:rsidRPr="002029AF">
        <w:t>or</w:t>
      </w:r>
      <w:r w:rsidR="000A5329" w:rsidRPr="002029AF">
        <w:t xml:space="preserve"> </w:t>
      </w:r>
      <w:r w:rsidRPr="002029AF">
        <w:t>more</w:t>
      </w:r>
      <w:r w:rsidR="000A5329" w:rsidRPr="002029AF">
        <w:t xml:space="preserve"> </w:t>
      </w:r>
      <w:r w:rsidRPr="002029AF">
        <w:t>uncertain</w:t>
      </w:r>
      <w:r w:rsidR="000A5329" w:rsidRPr="002029AF">
        <w:t xml:space="preserve"> </w:t>
      </w:r>
      <w:r w:rsidRPr="002029AF">
        <w:t>future</w:t>
      </w:r>
      <w:r w:rsidR="000A5329" w:rsidRPr="002029AF">
        <w:t xml:space="preserve"> </w:t>
      </w:r>
      <w:r w:rsidRPr="002029AF">
        <w:t>events</w:t>
      </w:r>
      <w:r w:rsidR="000A5329" w:rsidRPr="002029AF">
        <w:t xml:space="preserve"> </w:t>
      </w:r>
      <w:r w:rsidRPr="002029AF">
        <w:t>not</w:t>
      </w:r>
      <w:r w:rsidR="000A5329" w:rsidRPr="002029AF">
        <w:t xml:space="preserve"> </w:t>
      </w:r>
      <w:r w:rsidRPr="002029AF">
        <w:t>wholly</w:t>
      </w:r>
      <w:r w:rsidR="000A5329" w:rsidRPr="002029AF">
        <w:t xml:space="preserve"> </w:t>
      </w:r>
      <w:r w:rsidRPr="002029AF">
        <w:t>within</w:t>
      </w:r>
      <w:r w:rsidR="000A5329" w:rsidRPr="002029AF">
        <w:t xml:space="preserve"> </w:t>
      </w:r>
      <w:r w:rsidRPr="002029AF">
        <w:t>the</w:t>
      </w:r>
      <w:r w:rsidR="000A5329" w:rsidRPr="002029AF">
        <w:t xml:space="preserve"> </w:t>
      </w:r>
      <w:r w:rsidRPr="002029AF">
        <w:t>control</w:t>
      </w:r>
      <w:r w:rsidR="000A5329" w:rsidRPr="002029AF">
        <w:t xml:space="preserve"> </w:t>
      </w:r>
      <w:r w:rsidRPr="002029AF">
        <w:t>of</w:t>
      </w:r>
      <w:r w:rsidR="000A5329" w:rsidRPr="002029AF">
        <w:t xml:space="preserve"> </w:t>
      </w:r>
      <w:r w:rsidRPr="002029AF">
        <w:t>the</w:t>
      </w:r>
      <w:r w:rsidR="000A5329" w:rsidRPr="002029AF">
        <w:t xml:space="preserve"> </w:t>
      </w:r>
      <w:r w:rsidRPr="002029AF">
        <w:t>entity.</w:t>
      </w:r>
    </w:p>
    <w:p w14:paraId="1AD1669B" w14:textId="58D17E4C" w:rsidR="00087B91" w:rsidRPr="002029AF" w:rsidRDefault="00087B91" w:rsidP="00087B91">
      <w:pPr>
        <w:pStyle w:val="ARfinbodylargespace"/>
      </w:pPr>
      <w:r w:rsidRPr="002029AF">
        <w:t>These</w:t>
      </w:r>
      <w:r w:rsidR="000A5329" w:rsidRPr="002029AF">
        <w:t xml:space="preserve"> </w:t>
      </w:r>
      <w:r w:rsidRPr="002029AF">
        <w:t>are</w:t>
      </w:r>
      <w:r w:rsidR="000A5329" w:rsidRPr="002029AF">
        <w:t xml:space="preserve"> </w:t>
      </w:r>
      <w:r w:rsidRPr="002029AF">
        <w:t>classified</w:t>
      </w:r>
      <w:r w:rsidR="000A5329" w:rsidRPr="002029AF">
        <w:t xml:space="preserve"> </w:t>
      </w:r>
      <w:r w:rsidRPr="002029AF">
        <w:t>as</w:t>
      </w:r>
      <w:r w:rsidR="000A5329" w:rsidRPr="002029AF">
        <w:t xml:space="preserve"> </w:t>
      </w:r>
      <w:r w:rsidRPr="002029AF">
        <w:t>either</w:t>
      </w:r>
      <w:r w:rsidR="000A5329" w:rsidRPr="002029AF">
        <w:t xml:space="preserve"> </w:t>
      </w:r>
      <w:r w:rsidRPr="002029AF">
        <w:t>quantifiable,</w:t>
      </w:r>
      <w:r w:rsidR="000A5329" w:rsidRPr="002029AF">
        <w:t xml:space="preserve"> </w:t>
      </w:r>
      <w:r w:rsidRPr="002029AF">
        <w:t>where</w:t>
      </w:r>
      <w:r w:rsidR="000A5329" w:rsidRPr="002029AF">
        <w:t xml:space="preserve"> </w:t>
      </w:r>
      <w:r w:rsidRPr="002029AF">
        <w:t>the</w:t>
      </w:r>
      <w:r w:rsidR="000A5329" w:rsidRPr="002029AF">
        <w:t xml:space="preserve"> </w:t>
      </w:r>
      <w:r w:rsidRPr="002029AF">
        <w:t>potential</w:t>
      </w:r>
      <w:r w:rsidR="000A5329" w:rsidRPr="002029AF">
        <w:t xml:space="preserve"> </w:t>
      </w:r>
      <w:r w:rsidRPr="002029AF">
        <w:t>economic</w:t>
      </w:r>
      <w:r w:rsidR="000A5329" w:rsidRPr="002029AF">
        <w:t xml:space="preserve"> </w:t>
      </w:r>
      <w:r w:rsidRPr="002029AF">
        <w:t>benefit</w:t>
      </w:r>
      <w:r w:rsidR="000A5329" w:rsidRPr="002029AF">
        <w:t xml:space="preserve"> </w:t>
      </w:r>
      <w:r w:rsidRPr="002029AF">
        <w:t>is</w:t>
      </w:r>
      <w:r w:rsidR="000A5329" w:rsidRPr="002029AF">
        <w:t xml:space="preserve"> </w:t>
      </w:r>
      <w:r w:rsidRPr="002029AF">
        <w:t>known,</w:t>
      </w:r>
      <w:r w:rsidR="000A5329" w:rsidRPr="002029AF">
        <w:t xml:space="preserve"> </w:t>
      </w:r>
      <w:r w:rsidRPr="002029AF">
        <w:t>or</w:t>
      </w:r>
      <w:r w:rsidR="000A5329" w:rsidRPr="002029AF">
        <w:t xml:space="preserve"> </w:t>
      </w:r>
      <w:r w:rsidRPr="002029AF">
        <w:t>non-quantifiable.</w:t>
      </w:r>
    </w:p>
    <w:tbl>
      <w:tblPr>
        <w:tblStyle w:val="TableGrid"/>
        <w:tblW w:w="9637" w:type="dxa"/>
        <w:tblLayout w:type="fixed"/>
        <w:tblLook w:val="06A0" w:firstRow="1" w:lastRow="0" w:firstColumn="1" w:lastColumn="0" w:noHBand="1" w:noVBand="1"/>
      </w:tblPr>
      <w:tblGrid>
        <w:gridCol w:w="551"/>
        <w:gridCol w:w="6814"/>
        <w:gridCol w:w="1136"/>
        <w:gridCol w:w="1136"/>
      </w:tblGrid>
      <w:tr w:rsidR="00087B91" w:rsidRPr="002029AF" w14:paraId="5AEAFFE9"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551" w:type="dxa"/>
            <w:tcBorders>
              <w:bottom w:val="single" w:sz="4" w:space="0" w:color="auto"/>
            </w:tcBorders>
            <w:hideMark/>
          </w:tcPr>
          <w:p w14:paraId="6E59F8B6" w14:textId="77777777" w:rsidR="00087B91" w:rsidRPr="002029AF" w:rsidRDefault="00087B91" w:rsidP="00860E95">
            <w:pPr>
              <w:pStyle w:val="ARfintablecolhead"/>
            </w:pPr>
          </w:p>
        </w:tc>
        <w:tc>
          <w:tcPr>
            <w:tcW w:w="6804" w:type="dxa"/>
            <w:tcBorders>
              <w:bottom w:val="single" w:sz="4" w:space="0" w:color="auto"/>
            </w:tcBorders>
            <w:hideMark/>
          </w:tcPr>
          <w:p w14:paraId="0CA744FF" w14:textId="77777777" w:rsidR="00087B91" w:rsidRPr="002029AF" w:rsidRDefault="00087B91" w:rsidP="00860E95">
            <w:pPr>
              <w:pStyle w:val="ARfintablecolhead"/>
            </w:pPr>
          </w:p>
        </w:tc>
        <w:tc>
          <w:tcPr>
            <w:tcW w:w="1134" w:type="dxa"/>
            <w:tcBorders>
              <w:bottom w:val="single" w:sz="4" w:space="0" w:color="auto"/>
            </w:tcBorders>
            <w:shd w:val="clear" w:color="auto" w:fill="E7E6E6"/>
            <w:hideMark/>
          </w:tcPr>
          <w:p w14:paraId="080EAD40" w14:textId="77777777" w:rsidR="00087B91" w:rsidRPr="002029AF" w:rsidRDefault="00087B91" w:rsidP="00860E95">
            <w:pPr>
              <w:pStyle w:val="ARfintablecolheadright"/>
            </w:pPr>
            <w:r w:rsidRPr="002029AF">
              <w:t>2020</w:t>
            </w:r>
          </w:p>
          <w:p w14:paraId="36193616" w14:textId="77777777" w:rsidR="00087B91" w:rsidRPr="002029AF" w:rsidRDefault="00087B91" w:rsidP="00860E95">
            <w:pPr>
              <w:pStyle w:val="ARfintablecolheadright"/>
            </w:pPr>
            <w:r w:rsidRPr="002029AF">
              <w:t>$M</w:t>
            </w:r>
          </w:p>
        </w:tc>
        <w:tc>
          <w:tcPr>
            <w:tcW w:w="1134" w:type="dxa"/>
            <w:tcBorders>
              <w:bottom w:val="single" w:sz="4" w:space="0" w:color="auto"/>
            </w:tcBorders>
            <w:hideMark/>
          </w:tcPr>
          <w:p w14:paraId="003CA890" w14:textId="77777777" w:rsidR="00087B91" w:rsidRPr="002029AF" w:rsidRDefault="00087B91" w:rsidP="00860E95">
            <w:pPr>
              <w:pStyle w:val="ARfintablecolheadright"/>
            </w:pPr>
            <w:r w:rsidRPr="002029AF">
              <w:t>2019</w:t>
            </w:r>
          </w:p>
          <w:p w14:paraId="321B4320" w14:textId="77777777" w:rsidR="00087B91" w:rsidRPr="002029AF" w:rsidRDefault="00087B91" w:rsidP="00860E95">
            <w:pPr>
              <w:pStyle w:val="ARfintablecolheadright"/>
            </w:pPr>
            <w:r w:rsidRPr="002029AF">
              <w:t>$M</w:t>
            </w:r>
          </w:p>
        </w:tc>
      </w:tr>
      <w:tr w:rsidR="00087B91" w:rsidRPr="002029AF" w14:paraId="37508F73" w14:textId="77777777" w:rsidTr="00860E95">
        <w:trPr>
          <w:trHeight w:val="255"/>
        </w:trPr>
        <w:tc>
          <w:tcPr>
            <w:tcW w:w="6804" w:type="dxa"/>
            <w:gridSpan w:val="4"/>
            <w:tcBorders>
              <w:top w:val="single" w:sz="4" w:space="0" w:color="auto"/>
              <w:bottom w:val="single" w:sz="4" w:space="0" w:color="A6A6A6"/>
            </w:tcBorders>
            <w:hideMark/>
          </w:tcPr>
          <w:p w14:paraId="04687B58" w14:textId="1B45CF23" w:rsidR="00087B91" w:rsidRPr="002029AF" w:rsidRDefault="00087B91" w:rsidP="00860E95">
            <w:pPr>
              <w:pStyle w:val="ARfintablebodybold"/>
            </w:pPr>
            <w:r w:rsidRPr="002029AF">
              <w:t>Quantifiable</w:t>
            </w:r>
            <w:r w:rsidR="000A5329" w:rsidRPr="002029AF">
              <w:t xml:space="preserve"> </w:t>
            </w:r>
            <w:r w:rsidRPr="002029AF">
              <w:t>contingent</w:t>
            </w:r>
            <w:r w:rsidR="000A5329" w:rsidRPr="002029AF">
              <w:t xml:space="preserve"> </w:t>
            </w:r>
            <w:r w:rsidRPr="002029AF">
              <w:t>assets</w:t>
            </w:r>
          </w:p>
        </w:tc>
      </w:tr>
      <w:tr w:rsidR="00087B91" w:rsidRPr="002029AF" w14:paraId="6A00E349" w14:textId="77777777" w:rsidTr="00860E95">
        <w:trPr>
          <w:trHeight w:val="255"/>
        </w:trPr>
        <w:tc>
          <w:tcPr>
            <w:tcW w:w="551" w:type="dxa"/>
            <w:tcBorders>
              <w:top w:val="single" w:sz="4" w:space="0" w:color="A6A6A6"/>
              <w:bottom w:val="single" w:sz="4" w:space="0" w:color="A6A6A6"/>
            </w:tcBorders>
            <w:hideMark/>
          </w:tcPr>
          <w:p w14:paraId="289BF643" w14:textId="77777777" w:rsidR="00087B91" w:rsidRPr="002029AF" w:rsidRDefault="00087B91" w:rsidP="00860E95">
            <w:pPr>
              <w:pStyle w:val="ARfintablebody"/>
            </w:pPr>
          </w:p>
        </w:tc>
        <w:tc>
          <w:tcPr>
            <w:tcW w:w="6804" w:type="dxa"/>
            <w:tcBorders>
              <w:top w:val="single" w:sz="4" w:space="0" w:color="A6A6A6"/>
              <w:bottom w:val="single" w:sz="4" w:space="0" w:color="A6A6A6"/>
            </w:tcBorders>
            <w:noWrap/>
            <w:hideMark/>
          </w:tcPr>
          <w:p w14:paraId="024326C2" w14:textId="3906F771" w:rsidR="00087B91" w:rsidRPr="002029AF" w:rsidRDefault="00087B91" w:rsidP="00860E95">
            <w:pPr>
              <w:pStyle w:val="ARfintablebody"/>
            </w:pPr>
            <w:r w:rsidRPr="002029AF">
              <w:t>Details</w:t>
            </w:r>
            <w:r w:rsidR="000A5329" w:rsidRPr="002029AF">
              <w:t xml:space="preserve"> </w:t>
            </w:r>
            <w:r w:rsidRPr="002029AF">
              <w:t>and</w:t>
            </w:r>
            <w:r w:rsidR="000A5329" w:rsidRPr="002029AF">
              <w:t xml:space="preserve"> </w:t>
            </w:r>
            <w:r w:rsidRPr="002029AF">
              <w:t>estimates</w:t>
            </w:r>
            <w:r w:rsidR="000A5329" w:rsidRPr="002029AF">
              <w:t xml:space="preserve"> </w:t>
            </w:r>
            <w:r w:rsidRPr="002029AF">
              <w:t>of</w:t>
            </w:r>
            <w:r w:rsidR="000A5329" w:rsidRPr="002029AF">
              <w:t xml:space="preserve"> </w:t>
            </w:r>
            <w:r w:rsidRPr="002029AF">
              <w:t>contingent</w:t>
            </w:r>
            <w:r w:rsidR="000A5329" w:rsidRPr="002029AF">
              <w:t xml:space="preserve"> </w:t>
            </w:r>
            <w:r w:rsidRPr="002029AF">
              <w:t>assets</w:t>
            </w:r>
            <w:r w:rsidR="000A5329" w:rsidRPr="002029AF">
              <w:t xml:space="preserve"> </w:t>
            </w:r>
            <w:r w:rsidRPr="002029AF">
              <w:t>are</w:t>
            </w:r>
            <w:r w:rsidR="000A5329" w:rsidRPr="002029AF">
              <w:t xml:space="preserve"> </w:t>
            </w:r>
            <w:r w:rsidRPr="002029AF">
              <w:t>as</w:t>
            </w:r>
            <w:r w:rsidR="000A5329" w:rsidRPr="002029AF">
              <w:t xml:space="preserve"> </w:t>
            </w:r>
            <w:r w:rsidRPr="002029AF">
              <w:t>follows:</w:t>
            </w:r>
          </w:p>
        </w:tc>
        <w:tc>
          <w:tcPr>
            <w:tcW w:w="1134" w:type="dxa"/>
            <w:tcBorders>
              <w:top w:val="single" w:sz="4" w:space="0" w:color="A6A6A6"/>
              <w:bottom w:val="single" w:sz="4" w:space="0" w:color="A6A6A6"/>
            </w:tcBorders>
            <w:shd w:val="clear" w:color="auto" w:fill="E7E6E6"/>
            <w:noWrap/>
            <w:hideMark/>
          </w:tcPr>
          <w:p w14:paraId="65329FB7" w14:textId="77777777" w:rsidR="00087B91" w:rsidRPr="002029AF" w:rsidRDefault="00087B91" w:rsidP="00860E95">
            <w:pPr>
              <w:pStyle w:val="ARfintablebodyright"/>
            </w:pPr>
          </w:p>
        </w:tc>
        <w:tc>
          <w:tcPr>
            <w:tcW w:w="1134" w:type="dxa"/>
            <w:tcBorders>
              <w:top w:val="single" w:sz="4" w:space="0" w:color="A6A6A6"/>
              <w:bottom w:val="single" w:sz="4" w:space="0" w:color="A6A6A6"/>
            </w:tcBorders>
            <w:noWrap/>
            <w:hideMark/>
          </w:tcPr>
          <w:p w14:paraId="62261502" w14:textId="77777777" w:rsidR="00087B91" w:rsidRPr="002029AF" w:rsidRDefault="00087B91" w:rsidP="00860E95">
            <w:pPr>
              <w:pStyle w:val="ARfintablebodyright"/>
            </w:pPr>
          </w:p>
        </w:tc>
      </w:tr>
      <w:tr w:rsidR="00087B91" w:rsidRPr="002029AF" w14:paraId="2BFDE5A1" w14:textId="77777777" w:rsidTr="00860E95">
        <w:trPr>
          <w:trHeight w:val="255"/>
        </w:trPr>
        <w:tc>
          <w:tcPr>
            <w:tcW w:w="551" w:type="dxa"/>
            <w:tcBorders>
              <w:top w:val="single" w:sz="4" w:space="0" w:color="A6A6A6"/>
              <w:bottom w:val="single" w:sz="4" w:space="0" w:color="A6A6A6"/>
            </w:tcBorders>
            <w:hideMark/>
          </w:tcPr>
          <w:p w14:paraId="3F1C677F" w14:textId="77777777" w:rsidR="00087B91" w:rsidRPr="002029AF" w:rsidRDefault="00087B91" w:rsidP="00860E95">
            <w:pPr>
              <w:pStyle w:val="ARfintablebody"/>
            </w:pPr>
            <w:r w:rsidRPr="002029AF">
              <w:t>(a)</w:t>
            </w:r>
          </w:p>
        </w:tc>
        <w:tc>
          <w:tcPr>
            <w:tcW w:w="6804" w:type="dxa"/>
            <w:tcBorders>
              <w:top w:val="single" w:sz="4" w:space="0" w:color="A6A6A6"/>
              <w:bottom w:val="single" w:sz="4" w:space="0" w:color="A6A6A6"/>
            </w:tcBorders>
            <w:noWrap/>
            <w:hideMark/>
          </w:tcPr>
          <w:p w14:paraId="3FBB5644" w14:textId="2BFBA2E5" w:rsidR="00087B91" w:rsidRPr="002029AF" w:rsidRDefault="00087B91" w:rsidP="00860E95">
            <w:pPr>
              <w:pStyle w:val="ARfintablebody"/>
            </w:pPr>
            <w:r w:rsidRPr="002029AF">
              <w:t>Bank</w:t>
            </w:r>
            <w:r w:rsidR="000A5329" w:rsidRPr="002029AF">
              <w:t xml:space="preserve"> </w:t>
            </w:r>
            <w:r w:rsidRPr="002029AF">
              <w:t>guarantee</w:t>
            </w:r>
            <w:r w:rsidR="000A5329" w:rsidRPr="002029AF">
              <w:t xml:space="preserve"> </w:t>
            </w:r>
            <w:r w:rsidRPr="002029AF">
              <w:t>held</w:t>
            </w:r>
            <w:r w:rsidR="000A5329" w:rsidRPr="002029AF">
              <w:t xml:space="preserve"> </w:t>
            </w:r>
            <w:r w:rsidRPr="002029AF">
              <w:t>for:</w:t>
            </w:r>
          </w:p>
        </w:tc>
        <w:tc>
          <w:tcPr>
            <w:tcW w:w="1134" w:type="dxa"/>
            <w:tcBorders>
              <w:top w:val="single" w:sz="4" w:space="0" w:color="A6A6A6"/>
              <w:bottom w:val="single" w:sz="4" w:space="0" w:color="A6A6A6"/>
            </w:tcBorders>
            <w:shd w:val="clear" w:color="auto" w:fill="E7E6E6"/>
            <w:noWrap/>
            <w:hideMark/>
          </w:tcPr>
          <w:p w14:paraId="10E95475" w14:textId="77777777" w:rsidR="00087B91" w:rsidRPr="002029AF" w:rsidRDefault="00087B91" w:rsidP="00860E95">
            <w:pPr>
              <w:pStyle w:val="ARfintablebodyright"/>
            </w:pPr>
          </w:p>
        </w:tc>
        <w:tc>
          <w:tcPr>
            <w:tcW w:w="1134" w:type="dxa"/>
            <w:tcBorders>
              <w:top w:val="single" w:sz="4" w:space="0" w:color="A6A6A6"/>
              <w:bottom w:val="single" w:sz="4" w:space="0" w:color="A6A6A6"/>
            </w:tcBorders>
            <w:noWrap/>
            <w:hideMark/>
          </w:tcPr>
          <w:p w14:paraId="6259D99A" w14:textId="77777777" w:rsidR="00087B91" w:rsidRPr="002029AF" w:rsidRDefault="00087B91" w:rsidP="00860E95">
            <w:pPr>
              <w:pStyle w:val="ARfintablebodyright"/>
            </w:pPr>
          </w:p>
        </w:tc>
      </w:tr>
      <w:tr w:rsidR="00087B91" w:rsidRPr="002029AF" w14:paraId="61B26C94" w14:textId="77777777" w:rsidTr="00860E95">
        <w:trPr>
          <w:trHeight w:val="255"/>
        </w:trPr>
        <w:tc>
          <w:tcPr>
            <w:tcW w:w="551" w:type="dxa"/>
            <w:tcBorders>
              <w:top w:val="single" w:sz="4" w:space="0" w:color="A6A6A6"/>
              <w:bottom w:val="single" w:sz="4" w:space="0" w:color="A6A6A6"/>
            </w:tcBorders>
            <w:hideMark/>
          </w:tcPr>
          <w:p w14:paraId="465F0E8E" w14:textId="77777777" w:rsidR="00087B91" w:rsidRPr="002029AF" w:rsidRDefault="00087B91" w:rsidP="00860E95">
            <w:pPr>
              <w:pStyle w:val="ARfintablebody"/>
            </w:pPr>
          </w:p>
        </w:tc>
        <w:tc>
          <w:tcPr>
            <w:tcW w:w="6804" w:type="dxa"/>
            <w:tcBorders>
              <w:top w:val="single" w:sz="4" w:space="0" w:color="A6A6A6"/>
              <w:bottom w:val="single" w:sz="4" w:space="0" w:color="A6A6A6"/>
            </w:tcBorders>
            <w:noWrap/>
            <w:hideMark/>
          </w:tcPr>
          <w:p w14:paraId="47BE38D9" w14:textId="3421895E" w:rsidR="00087B91" w:rsidRPr="002029AF" w:rsidRDefault="00087B91" w:rsidP="00860E95">
            <w:pPr>
              <w:pStyle w:val="ARfintablebody"/>
            </w:pPr>
            <w:r w:rsidRPr="002029AF">
              <w:t>–</w:t>
            </w:r>
            <w:r w:rsidR="000A5329" w:rsidRPr="002029AF">
              <w:t xml:space="preserve"> </w:t>
            </w:r>
            <w:r w:rsidRPr="002029AF">
              <w:t>building</w:t>
            </w:r>
            <w:r w:rsidR="000A5329" w:rsidRPr="002029AF">
              <w:t xml:space="preserve"> </w:t>
            </w:r>
            <w:r w:rsidRPr="002029AF">
              <w:t>contracts</w:t>
            </w:r>
          </w:p>
        </w:tc>
        <w:tc>
          <w:tcPr>
            <w:tcW w:w="1134" w:type="dxa"/>
            <w:tcBorders>
              <w:top w:val="single" w:sz="4" w:space="0" w:color="A6A6A6"/>
              <w:bottom w:val="single" w:sz="4" w:space="0" w:color="A6A6A6"/>
            </w:tcBorders>
            <w:shd w:val="clear" w:color="auto" w:fill="E7E6E6"/>
            <w:noWrap/>
            <w:hideMark/>
          </w:tcPr>
          <w:p w14:paraId="6797BFCF" w14:textId="77777777" w:rsidR="00087B91" w:rsidRPr="002029AF" w:rsidRDefault="00087B91" w:rsidP="00860E95">
            <w:pPr>
              <w:pStyle w:val="ARfintablebodyright"/>
            </w:pPr>
            <w:r w:rsidRPr="002029AF">
              <w:t>16.9</w:t>
            </w:r>
          </w:p>
        </w:tc>
        <w:tc>
          <w:tcPr>
            <w:tcW w:w="1134" w:type="dxa"/>
            <w:tcBorders>
              <w:top w:val="single" w:sz="4" w:space="0" w:color="A6A6A6"/>
              <w:bottom w:val="single" w:sz="4" w:space="0" w:color="A6A6A6"/>
            </w:tcBorders>
            <w:noWrap/>
            <w:hideMark/>
          </w:tcPr>
          <w:p w14:paraId="43A66661" w14:textId="77777777" w:rsidR="00087B91" w:rsidRPr="002029AF" w:rsidRDefault="00087B91" w:rsidP="00860E95">
            <w:pPr>
              <w:pStyle w:val="ARfintablebodyright"/>
            </w:pPr>
            <w:r w:rsidRPr="002029AF">
              <w:t>17.5</w:t>
            </w:r>
          </w:p>
        </w:tc>
      </w:tr>
      <w:tr w:rsidR="00087B91" w:rsidRPr="002029AF" w14:paraId="5239A622" w14:textId="77777777" w:rsidTr="00860E95">
        <w:trPr>
          <w:trHeight w:val="255"/>
        </w:trPr>
        <w:tc>
          <w:tcPr>
            <w:tcW w:w="551" w:type="dxa"/>
            <w:tcBorders>
              <w:top w:val="single" w:sz="4" w:space="0" w:color="A6A6A6"/>
              <w:bottom w:val="single" w:sz="4" w:space="0" w:color="A6A6A6"/>
            </w:tcBorders>
            <w:hideMark/>
          </w:tcPr>
          <w:p w14:paraId="14FC65B3" w14:textId="77777777" w:rsidR="00087B91" w:rsidRPr="002029AF" w:rsidRDefault="00087B91" w:rsidP="00860E95">
            <w:pPr>
              <w:pStyle w:val="ARfintablebody"/>
            </w:pPr>
            <w:r w:rsidRPr="002029AF">
              <w:t>(b)</w:t>
            </w:r>
          </w:p>
        </w:tc>
        <w:tc>
          <w:tcPr>
            <w:tcW w:w="6804" w:type="dxa"/>
            <w:tcBorders>
              <w:top w:val="single" w:sz="4" w:space="0" w:color="A6A6A6"/>
              <w:bottom w:val="single" w:sz="4" w:space="0" w:color="A6A6A6"/>
            </w:tcBorders>
            <w:noWrap/>
            <w:hideMark/>
          </w:tcPr>
          <w:p w14:paraId="31D64823" w14:textId="555273A7" w:rsidR="00087B91" w:rsidRPr="002029AF" w:rsidRDefault="00087B91" w:rsidP="00860E95">
            <w:pPr>
              <w:pStyle w:val="ARfintablebody"/>
            </w:pPr>
            <w:r w:rsidRPr="002029AF">
              <w:t>Letter</w:t>
            </w:r>
            <w:r w:rsidR="000A5329" w:rsidRPr="002029AF">
              <w:t xml:space="preserve"> </w:t>
            </w:r>
            <w:r w:rsidRPr="002029AF">
              <w:t>of</w:t>
            </w:r>
            <w:r w:rsidR="000A5329" w:rsidRPr="002029AF">
              <w:t xml:space="preserve"> </w:t>
            </w:r>
            <w:r w:rsidRPr="002029AF">
              <w:t>comfort</w:t>
            </w:r>
            <w:r w:rsidR="000A5329" w:rsidRPr="002029AF">
              <w:t xml:space="preserve"> </w:t>
            </w:r>
            <w:r w:rsidRPr="002029AF">
              <w:t>held</w:t>
            </w:r>
            <w:r w:rsidR="000A5329" w:rsidRPr="002029AF">
              <w:t xml:space="preserve"> </w:t>
            </w:r>
            <w:r w:rsidRPr="002029AF">
              <w:t>for</w:t>
            </w:r>
            <w:r w:rsidR="000A5329" w:rsidRPr="002029AF">
              <w:t xml:space="preserve"> </w:t>
            </w:r>
            <w:r w:rsidRPr="002029AF">
              <w:t>Community</w:t>
            </w:r>
            <w:r w:rsidR="000A5329" w:rsidRPr="002029AF">
              <w:t xml:space="preserve"> </w:t>
            </w:r>
            <w:r w:rsidRPr="002029AF">
              <w:t>Chef</w:t>
            </w:r>
            <w:r w:rsidR="000A5329" w:rsidRPr="002029AF">
              <w:t xml:space="preserve"> </w:t>
            </w:r>
            <w:r w:rsidRPr="002029AF">
              <w:t>recallable</w:t>
            </w:r>
            <w:r w:rsidR="000A5329" w:rsidRPr="002029AF">
              <w:t xml:space="preserve"> </w:t>
            </w:r>
            <w:r w:rsidRPr="002029AF">
              <w:t>grant</w:t>
            </w:r>
          </w:p>
        </w:tc>
        <w:tc>
          <w:tcPr>
            <w:tcW w:w="1134" w:type="dxa"/>
            <w:tcBorders>
              <w:top w:val="single" w:sz="4" w:space="0" w:color="A6A6A6"/>
              <w:bottom w:val="single" w:sz="4" w:space="0" w:color="A6A6A6"/>
            </w:tcBorders>
            <w:shd w:val="clear" w:color="auto" w:fill="E7E6E6"/>
            <w:noWrap/>
            <w:hideMark/>
          </w:tcPr>
          <w:p w14:paraId="049A44D4" w14:textId="77777777" w:rsidR="00087B91" w:rsidRPr="002029AF" w:rsidRDefault="00087B91" w:rsidP="00860E95">
            <w:pPr>
              <w:pStyle w:val="ARfintablebodyright"/>
            </w:pPr>
            <w:r w:rsidRPr="002029AF">
              <w:t>6.4</w:t>
            </w:r>
          </w:p>
        </w:tc>
        <w:tc>
          <w:tcPr>
            <w:tcW w:w="1134" w:type="dxa"/>
            <w:tcBorders>
              <w:top w:val="single" w:sz="4" w:space="0" w:color="A6A6A6"/>
              <w:bottom w:val="single" w:sz="4" w:space="0" w:color="A6A6A6"/>
            </w:tcBorders>
            <w:noWrap/>
            <w:hideMark/>
          </w:tcPr>
          <w:p w14:paraId="2D4F31E3" w14:textId="77777777" w:rsidR="00087B91" w:rsidRPr="002029AF" w:rsidRDefault="00087B91" w:rsidP="00860E95">
            <w:pPr>
              <w:pStyle w:val="ARfintablebodyright"/>
            </w:pPr>
            <w:r w:rsidRPr="002029AF">
              <w:t>3.1</w:t>
            </w:r>
          </w:p>
        </w:tc>
      </w:tr>
      <w:tr w:rsidR="00087B91" w:rsidRPr="002029AF" w14:paraId="1000CBD3" w14:textId="77777777" w:rsidTr="00860E95">
        <w:trPr>
          <w:trHeight w:val="255"/>
        </w:trPr>
        <w:tc>
          <w:tcPr>
            <w:tcW w:w="551" w:type="dxa"/>
            <w:tcBorders>
              <w:top w:val="single" w:sz="4" w:space="0" w:color="A6A6A6"/>
              <w:bottom w:val="single" w:sz="4" w:space="0" w:color="A6A6A6"/>
            </w:tcBorders>
            <w:hideMark/>
          </w:tcPr>
          <w:p w14:paraId="08A749EF" w14:textId="77777777" w:rsidR="00087B91" w:rsidRPr="002029AF" w:rsidRDefault="00087B91" w:rsidP="00860E95">
            <w:pPr>
              <w:pStyle w:val="ARfintablebody"/>
            </w:pPr>
            <w:r w:rsidRPr="002029AF">
              <w:t>(c)</w:t>
            </w:r>
          </w:p>
        </w:tc>
        <w:tc>
          <w:tcPr>
            <w:tcW w:w="6804" w:type="dxa"/>
            <w:tcBorders>
              <w:top w:val="single" w:sz="4" w:space="0" w:color="A6A6A6"/>
              <w:bottom w:val="single" w:sz="4" w:space="0" w:color="A6A6A6"/>
            </w:tcBorders>
            <w:hideMark/>
          </w:tcPr>
          <w:p w14:paraId="14CC18AA" w14:textId="5021F88F" w:rsidR="00087B91" w:rsidRPr="002029AF" w:rsidRDefault="00087B91" w:rsidP="00860E95">
            <w:pPr>
              <w:pStyle w:val="ARfintablebody"/>
            </w:pPr>
            <w:r w:rsidRPr="002029AF">
              <w:t>Litigation</w:t>
            </w:r>
            <w:r w:rsidR="000A5329" w:rsidRPr="002029AF">
              <w:t xml:space="preserve"> </w:t>
            </w:r>
            <w:r w:rsidRPr="002029AF">
              <w:t>for</w:t>
            </w:r>
            <w:r w:rsidR="000A5329" w:rsidRPr="002029AF">
              <w:t xml:space="preserve"> </w:t>
            </w:r>
            <w:r w:rsidRPr="002029AF">
              <w:t>the</w:t>
            </w:r>
            <w:r w:rsidR="000A5329" w:rsidRPr="002029AF">
              <w:t xml:space="preserve"> </w:t>
            </w:r>
            <w:r w:rsidRPr="002029AF">
              <w:t>recovery</w:t>
            </w:r>
            <w:r w:rsidR="000A5329" w:rsidRPr="002029AF">
              <w:t xml:space="preserve"> </w:t>
            </w:r>
            <w:r w:rsidRPr="002029AF">
              <w:t>of</w:t>
            </w:r>
            <w:r w:rsidR="000A5329" w:rsidRPr="002029AF">
              <w:t xml:space="preserve"> </w:t>
            </w:r>
            <w:r w:rsidRPr="002029AF">
              <w:t>costs</w:t>
            </w:r>
            <w:r w:rsidR="000A5329" w:rsidRPr="002029AF">
              <w:t xml:space="preserve"> </w:t>
            </w:r>
            <w:r w:rsidRPr="002029AF">
              <w:t>in</w:t>
            </w:r>
            <w:r w:rsidR="000A5329" w:rsidRPr="002029AF">
              <w:t xml:space="preserve"> </w:t>
            </w:r>
            <w:r w:rsidRPr="002029AF">
              <w:t>relation</w:t>
            </w:r>
            <w:r w:rsidR="000A5329" w:rsidRPr="002029AF">
              <w:t xml:space="preserve"> </w:t>
            </w:r>
            <w:r w:rsidRPr="002029AF">
              <w:t>to</w:t>
            </w:r>
            <w:r w:rsidR="000A5329" w:rsidRPr="002029AF">
              <w:t xml:space="preserve"> </w:t>
            </w:r>
            <w:r w:rsidRPr="002029AF">
              <w:t>defective</w:t>
            </w:r>
            <w:r w:rsidR="000A5329" w:rsidRPr="002029AF">
              <w:t xml:space="preserve"> </w:t>
            </w:r>
            <w:r w:rsidRPr="002029AF">
              <w:t>construction</w:t>
            </w:r>
            <w:r w:rsidR="000A5329" w:rsidRPr="002029AF">
              <w:t xml:space="preserve"> </w:t>
            </w:r>
            <w:r w:rsidRPr="002029AF">
              <w:t>work</w:t>
            </w:r>
          </w:p>
        </w:tc>
        <w:tc>
          <w:tcPr>
            <w:tcW w:w="1134" w:type="dxa"/>
            <w:tcBorders>
              <w:top w:val="single" w:sz="4" w:space="0" w:color="A6A6A6"/>
              <w:bottom w:val="single" w:sz="4" w:space="0" w:color="A6A6A6"/>
            </w:tcBorders>
            <w:shd w:val="clear" w:color="auto" w:fill="E7E6E6"/>
            <w:noWrap/>
            <w:hideMark/>
          </w:tcPr>
          <w:p w14:paraId="74DAE621" w14:textId="77777777" w:rsidR="00087B91" w:rsidRPr="002029AF" w:rsidRDefault="00087B91" w:rsidP="00860E95">
            <w:pPr>
              <w:pStyle w:val="ARfintablebodyright"/>
            </w:pPr>
            <w:r w:rsidRPr="002029AF">
              <w:t>2.1</w:t>
            </w:r>
          </w:p>
        </w:tc>
        <w:tc>
          <w:tcPr>
            <w:tcW w:w="1134" w:type="dxa"/>
            <w:tcBorders>
              <w:top w:val="single" w:sz="4" w:space="0" w:color="A6A6A6"/>
              <w:bottom w:val="single" w:sz="4" w:space="0" w:color="A6A6A6"/>
            </w:tcBorders>
            <w:noWrap/>
            <w:hideMark/>
          </w:tcPr>
          <w:p w14:paraId="0CBB7EEC" w14:textId="77777777" w:rsidR="00087B91" w:rsidRPr="002029AF" w:rsidRDefault="00087B91" w:rsidP="00860E95">
            <w:pPr>
              <w:pStyle w:val="ARfintablebodyright"/>
            </w:pPr>
            <w:r w:rsidRPr="002029AF">
              <w:t>4.1</w:t>
            </w:r>
          </w:p>
        </w:tc>
      </w:tr>
      <w:tr w:rsidR="00087B91" w:rsidRPr="002029AF" w14:paraId="4C2B2038" w14:textId="77777777" w:rsidTr="00860E95">
        <w:trPr>
          <w:trHeight w:val="255"/>
        </w:trPr>
        <w:tc>
          <w:tcPr>
            <w:tcW w:w="551" w:type="dxa"/>
            <w:tcBorders>
              <w:top w:val="single" w:sz="4" w:space="0" w:color="A6A6A6"/>
            </w:tcBorders>
            <w:hideMark/>
          </w:tcPr>
          <w:p w14:paraId="099817F3" w14:textId="77777777" w:rsidR="00087B91" w:rsidRPr="002029AF" w:rsidRDefault="00087B91" w:rsidP="00860E95">
            <w:pPr>
              <w:pStyle w:val="ARfintablebody"/>
            </w:pPr>
            <w:r w:rsidRPr="002029AF">
              <w:t>(d)</w:t>
            </w:r>
          </w:p>
        </w:tc>
        <w:tc>
          <w:tcPr>
            <w:tcW w:w="6804" w:type="dxa"/>
            <w:tcBorders>
              <w:top w:val="single" w:sz="4" w:space="0" w:color="A6A6A6"/>
            </w:tcBorders>
            <w:noWrap/>
            <w:hideMark/>
          </w:tcPr>
          <w:p w14:paraId="2ADB84E5" w14:textId="027CB197" w:rsidR="00087B91" w:rsidRPr="002029AF" w:rsidRDefault="00087B91" w:rsidP="00860E95">
            <w:pPr>
              <w:pStyle w:val="ARfintablebody"/>
            </w:pPr>
            <w:r w:rsidRPr="002029AF">
              <w:t>Reimbursement</w:t>
            </w:r>
            <w:r w:rsidR="000A5329" w:rsidRPr="002029AF">
              <w:t xml:space="preserve"> </w:t>
            </w:r>
            <w:r w:rsidRPr="002029AF">
              <w:t>claim</w:t>
            </w:r>
            <w:r w:rsidR="000A5329" w:rsidRPr="002029AF">
              <w:t xml:space="preserve"> </w:t>
            </w:r>
            <w:r w:rsidRPr="002029AF">
              <w:t>for</w:t>
            </w:r>
            <w:r w:rsidR="000A5329" w:rsidRPr="002029AF">
              <w:t xml:space="preserve"> </w:t>
            </w:r>
            <w:r w:rsidRPr="002029AF">
              <w:t>the</w:t>
            </w:r>
            <w:r w:rsidR="000A5329" w:rsidRPr="002029AF">
              <w:t xml:space="preserve"> </w:t>
            </w:r>
            <w:r w:rsidRPr="002029AF">
              <w:t>work</w:t>
            </w:r>
            <w:r w:rsidR="000A5329" w:rsidRPr="002029AF">
              <w:t xml:space="preserve"> </w:t>
            </w:r>
            <w:r w:rsidRPr="002029AF">
              <w:t>undertaken</w:t>
            </w:r>
            <w:r w:rsidR="000A5329" w:rsidRPr="002029AF">
              <w:t xml:space="preserve"> </w:t>
            </w:r>
            <w:r w:rsidRPr="002029AF">
              <w:t>by</w:t>
            </w:r>
            <w:r w:rsidR="000A5329" w:rsidRPr="002029AF">
              <w:t xml:space="preserve"> </w:t>
            </w:r>
            <w:r w:rsidRPr="002029AF">
              <w:t>the</w:t>
            </w:r>
            <w:r w:rsidR="000A5329" w:rsidRPr="002029AF">
              <w:t xml:space="preserve"> </w:t>
            </w:r>
            <w:r w:rsidRPr="002029AF">
              <w:t>landlord</w:t>
            </w:r>
            <w:r w:rsidR="000A5329" w:rsidRPr="002029AF">
              <w:t xml:space="preserve"> </w:t>
            </w:r>
            <w:r w:rsidRPr="002029AF">
              <w:t>to</w:t>
            </w:r>
            <w:r w:rsidR="000A5329" w:rsidRPr="002029AF">
              <w:t xml:space="preserve"> </w:t>
            </w:r>
            <w:r w:rsidRPr="002029AF">
              <w:t>Orange</w:t>
            </w:r>
            <w:r w:rsidR="000A5329" w:rsidRPr="002029AF">
              <w:t xml:space="preserve"> </w:t>
            </w:r>
            <w:r w:rsidRPr="002029AF">
              <w:t>Door</w:t>
            </w:r>
            <w:r w:rsidR="000A5329" w:rsidRPr="002029AF">
              <w:t xml:space="preserve"> </w:t>
            </w:r>
            <w:r w:rsidRPr="002029AF">
              <w:t>site</w:t>
            </w:r>
          </w:p>
        </w:tc>
        <w:tc>
          <w:tcPr>
            <w:tcW w:w="1134" w:type="dxa"/>
            <w:tcBorders>
              <w:top w:val="single" w:sz="4" w:space="0" w:color="A6A6A6"/>
            </w:tcBorders>
            <w:shd w:val="clear" w:color="auto" w:fill="E7E6E6"/>
            <w:noWrap/>
            <w:hideMark/>
          </w:tcPr>
          <w:p w14:paraId="428600D6" w14:textId="77777777" w:rsidR="00087B91" w:rsidRPr="002029AF" w:rsidRDefault="00087B91" w:rsidP="00860E95">
            <w:pPr>
              <w:pStyle w:val="ARfintablebodyright"/>
            </w:pPr>
            <w:r w:rsidRPr="002029AF">
              <w:t>0.2</w:t>
            </w:r>
          </w:p>
        </w:tc>
        <w:tc>
          <w:tcPr>
            <w:tcW w:w="1134" w:type="dxa"/>
            <w:tcBorders>
              <w:top w:val="single" w:sz="4" w:space="0" w:color="A6A6A6"/>
            </w:tcBorders>
            <w:noWrap/>
            <w:hideMark/>
          </w:tcPr>
          <w:p w14:paraId="29DADBB3" w14:textId="77777777" w:rsidR="00087B91" w:rsidRPr="002029AF" w:rsidRDefault="00087B91" w:rsidP="00860E95">
            <w:pPr>
              <w:pStyle w:val="ARfintablebodyright"/>
            </w:pPr>
            <w:r w:rsidRPr="002029AF">
              <w:t>0.2</w:t>
            </w:r>
          </w:p>
        </w:tc>
      </w:tr>
      <w:tr w:rsidR="00087B91" w:rsidRPr="002029AF" w14:paraId="61A011C7" w14:textId="77777777" w:rsidTr="00860E95">
        <w:trPr>
          <w:trHeight w:val="255"/>
        </w:trPr>
        <w:tc>
          <w:tcPr>
            <w:tcW w:w="6804" w:type="dxa"/>
            <w:gridSpan w:val="2"/>
            <w:hideMark/>
          </w:tcPr>
          <w:p w14:paraId="2D7FD50B" w14:textId="77777777" w:rsidR="00087B91" w:rsidRPr="002029AF" w:rsidRDefault="00087B91" w:rsidP="00860E95">
            <w:pPr>
              <w:pStyle w:val="ARfintablebodybold"/>
            </w:pPr>
            <w:r w:rsidRPr="002029AF">
              <w:t>Total</w:t>
            </w:r>
          </w:p>
        </w:tc>
        <w:tc>
          <w:tcPr>
            <w:tcW w:w="1134" w:type="dxa"/>
            <w:shd w:val="clear" w:color="auto" w:fill="E7E6E6"/>
            <w:noWrap/>
            <w:hideMark/>
          </w:tcPr>
          <w:p w14:paraId="1C1CD287" w14:textId="77777777" w:rsidR="00087B91" w:rsidRPr="002029AF" w:rsidRDefault="00087B91" w:rsidP="00860E95">
            <w:pPr>
              <w:pStyle w:val="ARfintablebodyrightbold"/>
            </w:pPr>
            <w:r w:rsidRPr="002029AF">
              <w:t>25.6</w:t>
            </w:r>
          </w:p>
        </w:tc>
        <w:tc>
          <w:tcPr>
            <w:tcW w:w="1134" w:type="dxa"/>
            <w:noWrap/>
            <w:hideMark/>
          </w:tcPr>
          <w:p w14:paraId="18C53C1E" w14:textId="77777777" w:rsidR="00087B91" w:rsidRPr="002029AF" w:rsidRDefault="00087B91" w:rsidP="00860E95">
            <w:pPr>
              <w:pStyle w:val="ARfintablebodyrightbold"/>
            </w:pPr>
            <w:r w:rsidRPr="002029AF">
              <w:t>24.9</w:t>
            </w:r>
          </w:p>
        </w:tc>
      </w:tr>
    </w:tbl>
    <w:p w14:paraId="54D6F90D" w14:textId="48795A5A" w:rsidR="00087B91" w:rsidRPr="002029AF" w:rsidRDefault="00087B91" w:rsidP="00087B91">
      <w:pPr>
        <w:pStyle w:val="Heading5"/>
      </w:pPr>
      <w:r w:rsidRPr="002029AF">
        <w:t>Contingent</w:t>
      </w:r>
      <w:r w:rsidR="000A5329" w:rsidRPr="002029AF">
        <w:t xml:space="preserve"> </w:t>
      </w:r>
      <w:r w:rsidRPr="002029AF">
        <w:t>liabilities</w:t>
      </w:r>
    </w:p>
    <w:p w14:paraId="561D47EE" w14:textId="70A3BBC4" w:rsidR="00087B91" w:rsidRPr="002029AF" w:rsidRDefault="00087B91" w:rsidP="00087B91">
      <w:pPr>
        <w:pStyle w:val="ARfinbody"/>
      </w:pPr>
      <w:r w:rsidRPr="002029AF">
        <w:t>Contingent</w:t>
      </w:r>
      <w:r w:rsidR="000A5329" w:rsidRPr="002029AF">
        <w:t xml:space="preserve"> </w:t>
      </w:r>
      <w:r w:rsidRPr="002029AF">
        <w:t>liabilities</w:t>
      </w:r>
      <w:r w:rsidR="000A5329" w:rsidRPr="002029AF">
        <w:t xml:space="preserve"> </w:t>
      </w:r>
      <w:r w:rsidRPr="002029AF">
        <w:t>are:</w:t>
      </w:r>
    </w:p>
    <w:p w14:paraId="3C5D57FE" w14:textId="489EA11B" w:rsidR="00087B91" w:rsidRPr="002029AF" w:rsidRDefault="00087B91" w:rsidP="00087B91">
      <w:pPr>
        <w:pStyle w:val="ARfinbullet1"/>
      </w:pPr>
      <w:r w:rsidRPr="002029AF">
        <w:t>possible</w:t>
      </w:r>
      <w:r w:rsidR="000A5329" w:rsidRPr="002029AF">
        <w:t xml:space="preserve"> </w:t>
      </w:r>
      <w:r w:rsidRPr="002029AF">
        <w:t>obligations</w:t>
      </w:r>
      <w:r w:rsidR="000A5329" w:rsidRPr="002029AF">
        <w:t xml:space="preserve"> </w:t>
      </w:r>
      <w:r w:rsidRPr="002029AF">
        <w:t>that</w:t>
      </w:r>
      <w:r w:rsidR="000A5329" w:rsidRPr="002029AF">
        <w:t xml:space="preserve"> </w:t>
      </w:r>
      <w:r w:rsidRPr="002029AF">
        <w:t>arise</w:t>
      </w:r>
      <w:r w:rsidR="000A5329" w:rsidRPr="002029AF">
        <w:t xml:space="preserve"> </w:t>
      </w:r>
      <w:r w:rsidRPr="002029AF">
        <w:t>from</w:t>
      </w:r>
      <w:r w:rsidR="000A5329" w:rsidRPr="002029AF">
        <w:t xml:space="preserve"> </w:t>
      </w:r>
      <w:r w:rsidRPr="002029AF">
        <w:t>past</w:t>
      </w:r>
      <w:r w:rsidR="000A5329" w:rsidRPr="002029AF">
        <w:t xml:space="preserve"> </w:t>
      </w:r>
      <w:r w:rsidRPr="002029AF">
        <w:t>events,</w:t>
      </w:r>
      <w:r w:rsidR="000A5329" w:rsidRPr="002029AF">
        <w:t xml:space="preserve"> </w:t>
      </w:r>
      <w:r w:rsidRPr="002029AF">
        <w:t>whose</w:t>
      </w:r>
      <w:r w:rsidR="000A5329" w:rsidRPr="002029AF">
        <w:t xml:space="preserve"> </w:t>
      </w:r>
      <w:r w:rsidRPr="002029AF">
        <w:t>existence</w:t>
      </w:r>
      <w:r w:rsidR="000A5329" w:rsidRPr="002029AF">
        <w:t xml:space="preserve"> </w:t>
      </w:r>
      <w:r w:rsidRPr="002029AF">
        <w:t>will</w:t>
      </w:r>
      <w:r w:rsidR="000A5329" w:rsidRPr="002029AF">
        <w:t xml:space="preserve"> </w:t>
      </w:r>
      <w:r w:rsidRPr="002029AF">
        <w:t>be</w:t>
      </w:r>
      <w:r w:rsidR="000A5329" w:rsidRPr="002029AF">
        <w:t xml:space="preserve"> </w:t>
      </w:r>
      <w:r w:rsidRPr="002029AF">
        <w:t>confirmed</w:t>
      </w:r>
      <w:r w:rsidR="000A5329" w:rsidRPr="002029AF">
        <w:t xml:space="preserve"> </w:t>
      </w:r>
      <w:r w:rsidRPr="002029AF">
        <w:t>only</w:t>
      </w:r>
      <w:r w:rsidR="000A5329" w:rsidRPr="002029AF">
        <w:t xml:space="preserve"> </w:t>
      </w:r>
      <w:r w:rsidRPr="002029AF">
        <w:t>by</w:t>
      </w:r>
      <w:r w:rsidR="000A5329" w:rsidRPr="002029AF">
        <w:t xml:space="preserve"> </w:t>
      </w:r>
      <w:r w:rsidRPr="002029AF">
        <w:t>the</w:t>
      </w:r>
      <w:r w:rsidR="000A5329" w:rsidRPr="002029AF">
        <w:t xml:space="preserve"> </w:t>
      </w:r>
      <w:r w:rsidRPr="002029AF">
        <w:t>occurrence</w:t>
      </w:r>
      <w:r w:rsidR="000A5329" w:rsidRPr="002029AF">
        <w:t xml:space="preserve"> </w:t>
      </w:r>
      <w:r w:rsidRPr="002029AF">
        <w:t>or</w:t>
      </w:r>
      <w:r w:rsidR="000A5329" w:rsidRPr="002029AF">
        <w:t xml:space="preserve"> </w:t>
      </w:r>
      <w:r w:rsidRPr="002029AF">
        <w:t>non-occurrence</w:t>
      </w:r>
      <w:r w:rsidR="000A5329" w:rsidRPr="002029AF">
        <w:t xml:space="preserve"> </w:t>
      </w:r>
      <w:r w:rsidRPr="002029AF">
        <w:t>of</w:t>
      </w:r>
      <w:r w:rsidR="000A5329" w:rsidRPr="002029AF">
        <w:t xml:space="preserve"> </w:t>
      </w:r>
      <w:r w:rsidRPr="002029AF">
        <w:t>one</w:t>
      </w:r>
      <w:r w:rsidR="000A5329" w:rsidRPr="002029AF">
        <w:t xml:space="preserve"> </w:t>
      </w:r>
      <w:r w:rsidRPr="002029AF">
        <w:t>or</w:t>
      </w:r>
      <w:r w:rsidR="000A5329" w:rsidRPr="002029AF">
        <w:t xml:space="preserve"> </w:t>
      </w:r>
      <w:r w:rsidRPr="002029AF">
        <w:t>more</w:t>
      </w:r>
      <w:r w:rsidR="000A5329" w:rsidRPr="002029AF">
        <w:t xml:space="preserve"> </w:t>
      </w:r>
      <w:r w:rsidRPr="002029AF">
        <w:t>uncertain</w:t>
      </w:r>
      <w:r w:rsidR="000A5329" w:rsidRPr="002029AF">
        <w:t xml:space="preserve"> </w:t>
      </w:r>
      <w:r w:rsidRPr="002029AF">
        <w:t>future</w:t>
      </w:r>
      <w:r w:rsidR="000A5329" w:rsidRPr="002029AF">
        <w:t xml:space="preserve"> </w:t>
      </w:r>
      <w:r w:rsidRPr="002029AF">
        <w:t>events</w:t>
      </w:r>
      <w:r w:rsidR="000A5329" w:rsidRPr="002029AF">
        <w:t xml:space="preserve"> </w:t>
      </w:r>
      <w:r w:rsidRPr="002029AF">
        <w:t>not</w:t>
      </w:r>
      <w:r w:rsidR="000A5329" w:rsidRPr="002029AF">
        <w:t xml:space="preserve"> </w:t>
      </w:r>
      <w:r w:rsidRPr="002029AF">
        <w:t>wholly</w:t>
      </w:r>
      <w:r w:rsidR="000A5329" w:rsidRPr="002029AF">
        <w:t xml:space="preserve"> </w:t>
      </w:r>
      <w:r w:rsidRPr="002029AF">
        <w:t>within</w:t>
      </w:r>
      <w:r w:rsidR="000A5329" w:rsidRPr="002029AF">
        <w:t xml:space="preserve"> </w:t>
      </w:r>
      <w:r w:rsidRPr="002029AF">
        <w:t>the</w:t>
      </w:r>
      <w:r w:rsidR="000A5329" w:rsidRPr="002029AF">
        <w:t xml:space="preserve"> </w:t>
      </w:r>
      <w:r w:rsidRPr="002029AF">
        <w:t>control</w:t>
      </w:r>
      <w:r w:rsidR="000A5329" w:rsidRPr="002029AF">
        <w:t xml:space="preserve"> </w:t>
      </w:r>
      <w:r w:rsidRPr="002029AF">
        <w:t>of</w:t>
      </w:r>
      <w:r w:rsidR="000A5329" w:rsidRPr="002029AF">
        <w:t xml:space="preserve"> </w:t>
      </w:r>
      <w:r w:rsidRPr="002029AF">
        <w:t>the</w:t>
      </w:r>
      <w:r w:rsidR="000A5329" w:rsidRPr="002029AF">
        <w:t xml:space="preserve"> </w:t>
      </w:r>
      <w:r w:rsidRPr="002029AF">
        <w:t>entity,</w:t>
      </w:r>
      <w:r w:rsidR="000A5329" w:rsidRPr="002029AF">
        <w:t xml:space="preserve"> </w:t>
      </w:r>
      <w:r w:rsidRPr="002029AF">
        <w:t>or</w:t>
      </w:r>
    </w:p>
    <w:p w14:paraId="64057FA4" w14:textId="74CAF84B" w:rsidR="00087B91" w:rsidRPr="002029AF" w:rsidRDefault="00087B91" w:rsidP="00087B91">
      <w:pPr>
        <w:pStyle w:val="ARfinbullet1"/>
      </w:pPr>
      <w:r w:rsidRPr="002029AF">
        <w:t>present</w:t>
      </w:r>
      <w:r w:rsidR="000A5329" w:rsidRPr="002029AF">
        <w:t xml:space="preserve"> </w:t>
      </w:r>
      <w:r w:rsidRPr="002029AF">
        <w:t>obligations</w:t>
      </w:r>
      <w:r w:rsidR="000A5329" w:rsidRPr="002029AF">
        <w:t xml:space="preserve"> </w:t>
      </w:r>
      <w:r w:rsidRPr="002029AF">
        <w:t>that</w:t>
      </w:r>
      <w:r w:rsidR="000A5329" w:rsidRPr="002029AF">
        <w:t xml:space="preserve"> </w:t>
      </w:r>
      <w:r w:rsidRPr="002029AF">
        <w:t>arise</w:t>
      </w:r>
      <w:r w:rsidR="000A5329" w:rsidRPr="002029AF">
        <w:t xml:space="preserve"> </w:t>
      </w:r>
      <w:r w:rsidRPr="002029AF">
        <w:t>from</w:t>
      </w:r>
      <w:r w:rsidR="000A5329" w:rsidRPr="002029AF">
        <w:t xml:space="preserve"> </w:t>
      </w:r>
      <w:r w:rsidRPr="002029AF">
        <w:t>past</w:t>
      </w:r>
      <w:r w:rsidR="000A5329" w:rsidRPr="002029AF">
        <w:t xml:space="preserve"> </w:t>
      </w:r>
      <w:r w:rsidRPr="002029AF">
        <w:t>events</w:t>
      </w:r>
      <w:r w:rsidR="000A5329" w:rsidRPr="002029AF">
        <w:t xml:space="preserve"> </w:t>
      </w:r>
      <w:r w:rsidRPr="002029AF">
        <w:t>but</w:t>
      </w:r>
      <w:r w:rsidR="000A5329" w:rsidRPr="002029AF">
        <w:t xml:space="preserve"> </w:t>
      </w:r>
      <w:r w:rsidRPr="002029AF">
        <w:t>are</w:t>
      </w:r>
      <w:r w:rsidR="000A5329" w:rsidRPr="002029AF">
        <w:t xml:space="preserve"> </w:t>
      </w:r>
      <w:r w:rsidRPr="002029AF">
        <w:t>not</w:t>
      </w:r>
      <w:r w:rsidR="000A5329" w:rsidRPr="002029AF">
        <w:t xml:space="preserve"> </w:t>
      </w:r>
      <w:r w:rsidRPr="002029AF">
        <w:t>recognised</w:t>
      </w:r>
      <w:r w:rsidR="000A5329" w:rsidRPr="002029AF">
        <w:t xml:space="preserve"> </w:t>
      </w:r>
      <w:r w:rsidRPr="002029AF">
        <w:t>because:</w:t>
      </w:r>
    </w:p>
    <w:p w14:paraId="41FEA4A6" w14:textId="6A2D33A6" w:rsidR="00087B91" w:rsidRPr="002029AF" w:rsidRDefault="00087B91" w:rsidP="00087B91">
      <w:pPr>
        <w:pStyle w:val="ARfinbullet2"/>
      </w:pPr>
      <w:r w:rsidRPr="002029AF">
        <w:t>it</w:t>
      </w:r>
      <w:r w:rsidR="000A5329" w:rsidRPr="002029AF">
        <w:t xml:space="preserve"> </w:t>
      </w:r>
      <w:r w:rsidRPr="002029AF">
        <w:t>is</w:t>
      </w:r>
      <w:r w:rsidR="000A5329" w:rsidRPr="002029AF">
        <w:t xml:space="preserve"> </w:t>
      </w:r>
      <w:r w:rsidRPr="002029AF">
        <w:t>not</w:t>
      </w:r>
      <w:r w:rsidR="000A5329" w:rsidRPr="002029AF">
        <w:t xml:space="preserve"> </w:t>
      </w:r>
      <w:r w:rsidRPr="002029AF">
        <w:t>probable</w:t>
      </w:r>
      <w:r w:rsidR="000A5329" w:rsidRPr="002029AF">
        <w:t xml:space="preserve"> </w:t>
      </w:r>
      <w:r w:rsidRPr="002029AF">
        <w:t>that</w:t>
      </w:r>
      <w:r w:rsidR="000A5329" w:rsidRPr="002029AF">
        <w:t xml:space="preserve"> </w:t>
      </w:r>
      <w:r w:rsidRPr="002029AF">
        <w:t>an</w:t>
      </w:r>
      <w:r w:rsidR="000A5329" w:rsidRPr="002029AF">
        <w:t xml:space="preserve"> </w:t>
      </w:r>
      <w:r w:rsidRPr="002029AF">
        <w:t>outflow</w:t>
      </w:r>
      <w:r w:rsidR="000A5329" w:rsidRPr="002029AF">
        <w:t xml:space="preserve"> </w:t>
      </w:r>
      <w:r w:rsidRPr="002029AF">
        <w:t>of</w:t>
      </w:r>
      <w:r w:rsidR="000A5329" w:rsidRPr="002029AF">
        <w:t xml:space="preserve"> </w:t>
      </w:r>
      <w:r w:rsidRPr="002029AF">
        <w:t>resources</w:t>
      </w:r>
      <w:r w:rsidR="000A5329" w:rsidRPr="002029AF">
        <w:t xml:space="preserve"> </w:t>
      </w:r>
      <w:r w:rsidRPr="002029AF">
        <w:t>embodying</w:t>
      </w:r>
      <w:r w:rsidR="000A5329" w:rsidRPr="002029AF">
        <w:t xml:space="preserve"> </w:t>
      </w:r>
      <w:r w:rsidRPr="002029AF">
        <w:t>economic</w:t>
      </w:r>
      <w:r w:rsidR="000A5329" w:rsidRPr="002029AF">
        <w:t xml:space="preserve"> </w:t>
      </w:r>
      <w:r w:rsidRPr="002029AF">
        <w:t>benefits</w:t>
      </w:r>
      <w:r w:rsidR="000A5329" w:rsidRPr="002029AF">
        <w:t xml:space="preserve"> </w:t>
      </w:r>
      <w:r w:rsidRPr="002029AF">
        <w:t>will</w:t>
      </w:r>
      <w:r w:rsidR="000A5329" w:rsidRPr="002029AF">
        <w:t xml:space="preserve"> </w:t>
      </w:r>
      <w:r w:rsidRPr="002029AF">
        <w:t>be</w:t>
      </w:r>
      <w:r w:rsidR="000A5329" w:rsidRPr="002029AF">
        <w:t xml:space="preserve"> </w:t>
      </w:r>
      <w:r w:rsidRPr="002029AF">
        <w:t>required</w:t>
      </w:r>
      <w:r w:rsidR="000A5329" w:rsidRPr="002029AF">
        <w:t xml:space="preserve"> </w:t>
      </w:r>
      <w:r w:rsidRPr="002029AF">
        <w:t>to</w:t>
      </w:r>
      <w:r w:rsidR="000A5329" w:rsidRPr="002029AF">
        <w:t xml:space="preserve"> </w:t>
      </w:r>
      <w:r w:rsidRPr="002029AF">
        <w:t>settle</w:t>
      </w:r>
      <w:r w:rsidR="000A5329" w:rsidRPr="002029AF">
        <w:t xml:space="preserve"> </w:t>
      </w:r>
      <w:r w:rsidRPr="002029AF">
        <w:t>the</w:t>
      </w:r>
      <w:r w:rsidR="000A5329" w:rsidRPr="002029AF">
        <w:t xml:space="preserve"> </w:t>
      </w:r>
      <w:r w:rsidRPr="002029AF">
        <w:t>obligations,</w:t>
      </w:r>
      <w:r w:rsidR="000A5329" w:rsidRPr="002029AF">
        <w:t xml:space="preserve"> </w:t>
      </w:r>
      <w:r w:rsidRPr="002029AF">
        <w:t>or</w:t>
      </w:r>
    </w:p>
    <w:p w14:paraId="60FF47A0" w14:textId="07502871" w:rsidR="00087B91" w:rsidRPr="002029AF" w:rsidRDefault="00087B91" w:rsidP="00087B91">
      <w:pPr>
        <w:pStyle w:val="ARfinbullet2"/>
      </w:pPr>
      <w:r w:rsidRPr="002029AF">
        <w:t>the</w:t>
      </w:r>
      <w:r w:rsidR="000A5329" w:rsidRPr="002029AF">
        <w:t xml:space="preserve"> </w:t>
      </w:r>
      <w:r w:rsidRPr="002029AF">
        <w:t>amount</w:t>
      </w:r>
      <w:r w:rsidR="000A5329" w:rsidRPr="002029AF">
        <w:t xml:space="preserve"> </w:t>
      </w:r>
      <w:r w:rsidRPr="002029AF">
        <w:t>of</w:t>
      </w:r>
      <w:r w:rsidR="000A5329" w:rsidRPr="002029AF">
        <w:t xml:space="preserve"> </w:t>
      </w:r>
      <w:r w:rsidRPr="002029AF">
        <w:t>the</w:t>
      </w:r>
      <w:r w:rsidR="000A5329" w:rsidRPr="002029AF">
        <w:t xml:space="preserve"> </w:t>
      </w:r>
      <w:r w:rsidRPr="002029AF">
        <w:t>obligations</w:t>
      </w:r>
      <w:r w:rsidR="000A5329" w:rsidRPr="002029AF">
        <w:t xml:space="preserve"> </w:t>
      </w:r>
      <w:r w:rsidRPr="002029AF">
        <w:t>cannot</w:t>
      </w:r>
      <w:r w:rsidR="000A5329" w:rsidRPr="002029AF">
        <w:t xml:space="preserve"> </w:t>
      </w:r>
      <w:r w:rsidRPr="002029AF">
        <w:t>be</w:t>
      </w:r>
      <w:r w:rsidR="000A5329" w:rsidRPr="002029AF">
        <w:t xml:space="preserve"> </w:t>
      </w:r>
      <w:r w:rsidRPr="002029AF">
        <w:t>measured</w:t>
      </w:r>
      <w:r w:rsidR="000A5329" w:rsidRPr="002029AF">
        <w:t xml:space="preserve"> </w:t>
      </w:r>
      <w:r w:rsidRPr="002029AF">
        <w:t>with</w:t>
      </w:r>
      <w:r w:rsidR="000A5329" w:rsidRPr="002029AF">
        <w:t xml:space="preserve"> </w:t>
      </w:r>
      <w:r w:rsidRPr="002029AF">
        <w:t>sufficient</w:t>
      </w:r>
      <w:r w:rsidR="000A5329" w:rsidRPr="002029AF">
        <w:t xml:space="preserve"> </w:t>
      </w:r>
      <w:r w:rsidRPr="002029AF">
        <w:t>reliability.</w:t>
      </w:r>
    </w:p>
    <w:p w14:paraId="3C6B9E5D" w14:textId="6CDB4C28" w:rsidR="00087B91" w:rsidRPr="002029AF" w:rsidRDefault="00087B91" w:rsidP="00087B91">
      <w:pPr>
        <w:pStyle w:val="ARfinbodylargespace"/>
      </w:pPr>
      <w:r w:rsidRPr="002029AF">
        <w:t>Contingent</w:t>
      </w:r>
      <w:r w:rsidR="000A5329" w:rsidRPr="002029AF">
        <w:t xml:space="preserve"> </w:t>
      </w:r>
      <w:r w:rsidRPr="002029AF">
        <w:t>liabilities</w:t>
      </w:r>
      <w:r w:rsidR="000A5329" w:rsidRPr="002029AF">
        <w:t xml:space="preserve"> </w:t>
      </w:r>
      <w:r w:rsidRPr="002029AF">
        <w:t>are</w:t>
      </w:r>
      <w:r w:rsidR="000A5329" w:rsidRPr="002029AF">
        <w:t xml:space="preserve"> </w:t>
      </w:r>
      <w:r w:rsidRPr="002029AF">
        <w:t>also</w:t>
      </w:r>
      <w:r w:rsidR="000A5329" w:rsidRPr="002029AF">
        <w:t xml:space="preserve"> </w:t>
      </w:r>
      <w:r w:rsidRPr="002029AF">
        <w:t>classified</w:t>
      </w:r>
      <w:r w:rsidR="000A5329" w:rsidRPr="002029AF">
        <w:t xml:space="preserve"> </w:t>
      </w:r>
      <w:r w:rsidRPr="002029AF">
        <w:t>as</w:t>
      </w:r>
      <w:r w:rsidR="000A5329" w:rsidRPr="002029AF">
        <w:t xml:space="preserve"> </w:t>
      </w:r>
      <w:r w:rsidRPr="002029AF">
        <w:t>either</w:t>
      </w:r>
      <w:r w:rsidR="000A5329" w:rsidRPr="002029AF">
        <w:t xml:space="preserve"> </w:t>
      </w:r>
      <w:r w:rsidRPr="002029AF">
        <w:t>quantifiable</w:t>
      </w:r>
      <w:r w:rsidR="000A5329" w:rsidRPr="002029AF">
        <w:t xml:space="preserve"> </w:t>
      </w:r>
      <w:r w:rsidRPr="002029AF">
        <w:t>or</w:t>
      </w:r>
      <w:r w:rsidR="000A5329" w:rsidRPr="002029AF">
        <w:t xml:space="preserve"> </w:t>
      </w:r>
      <w:r w:rsidRPr="002029AF">
        <w:t>non-quantifiable.</w:t>
      </w:r>
    </w:p>
    <w:tbl>
      <w:tblPr>
        <w:tblStyle w:val="TableGrid"/>
        <w:tblW w:w="9637" w:type="dxa"/>
        <w:tblLayout w:type="fixed"/>
        <w:tblLook w:val="06A0" w:firstRow="1" w:lastRow="0" w:firstColumn="1" w:lastColumn="0" w:noHBand="1" w:noVBand="1"/>
      </w:tblPr>
      <w:tblGrid>
        <w:gridCol w:w="576"/>
        <w:gridCol w:w="6795"/>
        <w:gridCol w:w="1133"/>
        <w:gridCol w:w="1133"/>
      </w:tblGrid>
      <w:tr w:rsidR="00087B91" w:rsidRPr="002029AF" w14:paraId="36D50949" w14:textId="77777777" w:rsidTr="00FC2F9E">
        <w:trPr>
          <w:cnfStyle w:val="100000000000" w:firstRow="1" w:lastRow="0" w:firstColumn="0" w:lastColumn="0" w:oddVBand="0" w:evenVBand="0" w:oddHBand="0" w:evenHBand="0" w:firstRowFirstColumn="0" w:firstRowLastColumn="0" w:lastRowFirstColumn="0" w:lastRowLastColumn="0"/>
          <w:trHeight w:val="255"/>
          <w:tblHeader/>
        </w:trPr>
        <w:tc>
          <w:tcPr>
            <w:tcW w:w="578" w:type="dxa"/>
            <w:tcBorders>
              <w:bottom w:val="single" w:sz="4" w:space="0" w:color="auto"/>
            </w:tcBorders>
            <w:hideMark/>
          </w:tcPr>
          <w:p w14:paraId="07A73C71" w14:textId="77777777" w:rsidR="00087B91" w:rsidRPr="002029AF" w:rsidRDefault="00087B91" w:rsidP="00860E95">
            <w:pPr>
              <w:pStyle w:val="ARfintablecolhead"/>
            </w:pPr>
          </w:p>
        </w:tc>
        <w:tc>
          <w:tcPr>
            <w:tcW w:w="6743" w:type="dxa"/>
            <w:tcBorders>
              <w:bottom w:val="single" w:sz="4" w:space="0" w:color="auto"/>
            </w:tcBorders>
            <w:hideMark/>
          </w:tcPr>
          <w:p w14:paraId="35C668AF" w14:textId="77777777" w:rsidR="00087B91" w:rsidRPr="002029AF" w:rsidRDefault="00087B91" w:rsidP="00860E95">
            <w:pPr>
              <w:pStyle w:val="ARfintablecolhead"/>
            </w:pPr>
          </w:p>
        </w:tc>
        <w:tc>
          <w:tcPr>
            <w:tcW w:w="1134" w:type="dxa"/>
            <w:tcBorders>
              <w:bottom w:val="single" w:sz="4" w:space="0" w:color="auto"/>
            </w:tcBorders>
            <w:shd w:val="clear" w:color="auto" w:fill="E7E6E6"/>
            <w:hideMark/>
          </w:tcPr>
          <w:p w14:paraId="17AACCCE" w14:textId="77777777" w:rsidR="00087B91" w:rsidRPr="002029AF" w:rsidRDefault="00087B91" w:rsidP="00860E95">
            <w:pPr>
              <w:pStyle w:val="ARfintablecolheadright"/>
            </w:pPr>
            <w:r w:rsidRPr="002029AF">
              <w:t>2020</w:t>
            </w:r>
          </w:p>
          <w:p w14:paraId="0E7FBC67" w14:textId="77777777" w:rsidR="00087B91" w:rsidRPr="002029AF" w:rsidRDefault="00087B91" w:rsidP="00860E95">
            <w:pPr>
              <w:pStyle w:val="ARfintablecolheadright"/>
            </w:pPr>
            <w:r w:rsidRPr="002029AF">
              <w:t>$M</w:t>
            </w:r>
          </w:p>
        </w:tc>
        <w:tc>
          <w:tcPr>
            <w:tcW w:w="1134" w:type="dxa"/>
            <w:tcBorders>
              <w:bottom w:val="single" w:sz="4" w:space="0" w:color="auto"/>
            </w:tcBorders>
            <w:hideMark/>
          </w:tcPr>
          <w:p w14:paraId="556B6C6C" w14:textId="77777777" w:rsidR="00087B91" w:rsidRPr="002029AF" w:rsidRDefault="00087B91" w:rsidP="00860E95">
            <w:pPr>
              <w:pStyle w:val="ARfintablecolheadright"/>
            </w:pPr>
            <w:r w:rsidRPr="002029AF">
              <w:t>2019</w:t>
            </w:r>
          </w:p>
          <w:p w14:paraId="152B3D22" w14:textId="77777777" w:rsidR="00087B91" w:rsidRPr="002029AF" w:rsidRDefault="00087B91" w:rsidP="00860E95">
            <w:pPr>
              <w:pStyle w:val="ARfintablecolheadright"/>
            </w:pPr>
            <w:r w:rsidRPr="002029AF">
              <w:t>$M</w:t>
            </w:r>
          </w:p>
        </w:tc>
      </w:tr>
      <w:tr w:rsidR="00087B91" w:rsidRPr="002029AF" w14:paraId="030C377B" w14:textId="77777777" w:rsidTr="00860E95">
        <w:tc>
          <w:tcPr>
            <w:tcW w:w="1134" w:type="dxa"/>
            <w:gridSpan w:val="4"/>
            <w:tcBorders>
              <w:top w:val="single" w:sz="4" w:space="0" w:color="auto"/>
              <w:bottom w:val="single" w:sz="4" w:space="0" w:color="A6A6A6"/>
            </w:tcBorders>
            <w:hideMark/>
          </w:tcPr>
          <w:p w14:paraId="25D1F762" w14:textId="7173FAE7" w:rsidR="00087B91" w:rsidRPr="002029AF" w:rsidRDefault="00087B91" w:rsidP="00860E95">
            <w:pPr>
              <w:pStyle w:val="ARfintablebodybold"/>
            </w:pPr>
            <w:r w:rsidRPr="002029AF">
              <w:t>Quantifiable</w:t>
            </w:r>
            <w:r w:rsidR="000A5329" w:rsidRPr="002029AF">
              <w:t xml:space="preserve"> </w:t>
            </w:r>
            <w:r w:rsidRPr="002029AF">
              <w:t>contingent</w:t>
            </w:r>
            <w:r w:rsidR="000A5329" w:rsidRPr="002029AF">
              <w:t xml:space="preserve"> </w:t>
            </w:r>
            <w:r w:rsidRPr="002029AF">
              <w:t>liabilities</w:t>
            </w:r>
          </w:p>
        </w:tc>
      </w:tr>
      <w:tr w:rsidR="00087B91" w:rsidRPr="002029AF" w14:paraId="2B554603" w14:textId="77777777" w:rsidTr="00860E95">
        <w:trPr>
          <w:trHeight w:val="255"/>
        </w:trPr>
        <w:tc>
          <w:tcPr>
            <w:tcW w:w="578" w:type="dxa"/>
            <w:tcBorders>
              <w:top w:val="single" w:sz="4" w:space="0" w:color="A6A6A6"/>
            </w:tcBorders>
            <w:hideMark/>
          </w:tcPr>
          <w:p w14:paraId="06B92B1A" w14:textId="77777777" w:rsidR="00087B91" w:rsidRPr="002029AF" w:rsidRDefault="00087B91" w:rsidP="00860E95">
            <w:pPr>
              <w:pStyle w:val="ARfintablebody"/>
            </w:pPr>
            <w:r w:rsidRPr="002029AF">
              <w:t>(a)</w:t>
            </w:r>
          </w:p>
        </w:tc>
        <w:tc>
          <w:tcPr>
            <w:tcW w:w="6804" w:type="dxa"/>
            <w:tcBorders>
              <w:top w:val="single" w:sz="4" w:space="0" w:color="A6A6A6"/>
            </w:tcBorders>
            <w:hideMark/>
          </w:tcPr>
          <w:p w14:paraId="08B72785" w14:textId="723A8267" w:rsidR="00087B91" w:rsidRPr="002029AF" w:rsidRDefault="00087B91" w:rsidP="00860E95">
            <w:pPr>
              <w:pStyle w:val="ARfintablebody"/>
            </w:pPr>
            <w:r w:rsidRPr="002029AF">
              <w:t>The</w:t>
            </w:r>
            <w:r w:rsidR="000A5329" w:rsidRPr="002029AF">
              <w:t xml:space="preserve"> </w:t>
            </w:r>
            <w:r w:rsidRPr="002029AF">
              <w:t>Department</w:t>
            </w:r>
            <w:r w:rsidR="000A5329" w:rsidRPr="002029AF">
              <w:t xml:space="preserve"> </w:t>
            </w:r>
            <w:r w:rsidRPr="002029AF">
              <w:t>of</w:t>
            </w:r>
            <w:r w:rsidR="000A5329" w:rsidRPr="002029AF">
              <w:t xml:space="preserve"> </w:t>
            </w:r>
            <w:r w:rsidRPr="002029AF">
              <w:t>Health</w:t>
            </w:r>
            <w:r w:rsidR="000A5329" w:rsidRPr="002029AF">
              <w:t xml:space="preserve"> </w:t>
            </w:r>
            <w:r w:rsidRPr="002029AF">
              <w:t>and</w:t>
            </w:r>
            <w:r w:rsidR="000A5329" w:rsidRPr="002029AF">
              <w:t xml:space="preserve"> </w:t>
            </w:r>
            <w:r w:rsidRPr="002029AF">
              <w:t>Human</w:t>
            </w:r>
            <w:r w:rsidR="000A5329" w:rsidRPr="002029AF">
              <w:t xml:space="preserve"> </w:t>
            </w:r>
            <w:r w:rsidRPr="002029AF">
              <w:t>Services</w:t>
            </w:r>
            <w:r w:rsidR="000A5329" w:rsidRPr="002029AF">
              <w:t xml:space="preserve"> </w:t>
            </w:r>
            <w:r w:rsidRPr="002029AF">
              <w:t>has</w:t>
            </w:r>
            <w:r w:rsidR="000A5329" w:rsidRPr="002029AF">
              <w:t xml:space="preserve"> </w:t>
            </w:r>
            <w:r w:rsidRPr="002029AF">
              <w:t>estimated</w:t>
            </w:r>
            <w:r w:rsidR="000A5329" w:rsidRPr="002029AF">
              <w:t xml:space="preserve"> </w:t>
            </w:r>
            <w:r w:rsidRPr="002029AF">
              <w:t>that</w:t>
            </w:r>
            <w:r w:rsidR="000A5329" w:rsidRPr="002029AF">
              <w:t xml:space="preserve"> </w:t>
            </w:r>
            <w:r w:rsidRPr="002029AF">
              <w:t>potential</w:t>
            </w:r>
            <w:r w:rsidR="000A5329" w:rsidRPr="002029AF">
              <w:t xml:space="preserve"> </w:t>
            </w:r>
            <w:r w:rsidRPr="002029AF">
              <w:t>liability</w:t>
            </w:r>
            <w:r w:rsidR="000A5329" w:rsidRPr="002029AF">
              <w:t xml:space="preserve"> </w:t>
            </w:r>
            <w:r w:rsidRPr="002029AF">
              <w:t>exists</w:t>
            </w:r>
            <w:r w:rsidR="000A5329" w:rsidRPr="002029AF">
              <w:t xml:space="preserve"> </w:t>
            </w:r>
            <w:r w:rsidRPr="002029AF">
              <w:t>in</w:t>
            </w:r>
            <w:r w:rsidR="000A5329" w:rsidRPr="002029AF">
              <w:t xml:space="preserve"> </w:t>
            </w:r>
            <w:r w:rsidRPr="002029AF">
              <w:t>respect</w:t>
            </w:r>
            <w:r w:rsidR="000A5329" w:rsidRPr="002029AF">
              <w:t xml:space="preserve"> </w:t>
            </w:r>
            <w:r w:rsidRPr="002029AF">
              <w:t>of</w:t>
            </w:r>
            <w:r w:rsidR="000A5329" w:rsidRPr="002029AF">
              <w:t xml:space="preserve"> </w:t>
            </w:r>
            <w:r w:rsidRPr="002029AF">
              <w:t>a</w:t>
            </w:r>
            <w:r w:rsidR="000A5329" w:rsidRPr="002029AF">
              <w:t xml:space="preserve"> </w:t>
            </w:r>
            <w:r w:rsidRPr="002029AF">
              <w:t>number</w:t>
            </w:r>
            <w:r w:rsidR="000A5329" w:rsidRPr="002029AF">
              <w:t xml:space="preserve"> </w:t>
            </w:r>
            <w:r w:rsidRPr="002029AF">
              <w:t>of</w:t>
            </w:r>
            <w:r w:rsidR="000A5329" w:rsidRPr="002029AF">
              <w:t xml:space="preserve"> </w:t>
            </w:r>
            <w:r w:rsidRPr="002029AF">
              <w:t>legal</w:t>
            </w:r>
            <w:r w:rsidR="000A5329" w:rsidRPr="002029AF">
              <w:t xml:space="preserve"> </w:t>
            </w:r>
            <w:r w:rsidRPr="002029AF">
              <w:t>actions</w:t>
            </w:r>
            <w:r w:rsidR="000A5329" w:rsidRPr="002029AF">
              <w:t xml:space="preserve"> </w:t>
            </w:r>
            <w:r w:rsidRPr="002029AF">
              <w:t>instigated</w:t>
            </w:r>
            <w:r w:rsidR="000A5329" w:rsidRPr="002029AF">
              <w:t xml:space="preserve"> </w:t>
            </w:r>
            <w:r w:rsidRPr="002029AF">
              <w:t>by</w:t>
            </w:r>
            <w:r w:rsidR="000A5329" w:rsidRPr="002029AF">
              <w:t xml:space="preserve"> </w:t>
            </w:r>
            <w:r w:rsidRPr="002029AF">
              <w:t>clients</w:t>
            </w:r>
            <w:r w:rsidR="000A5329" w:rsidRPr="002029AF">
              <w:t xml:space="preserve"> </w:t>
            </w:r>
            <w:r w:rsidRPr="002029AF">
              <w:t>and</w:t>
            </w:r>
            <w:r w:rsidR="000A5329" w:rsidRPr="002029AF">
              <w:t xml:space="preserve"> </w:t>
            </w:r>
            <w:r w:rsidRPr="002029AF">
              <w:t>their</w:t>
            </w:r>
            <w:r w:rsidR="000A5329" w:rsidRPr="002029AF">
              <w:t xml:space="preserve"> </w:t>
            </w:r>
            <w:r w:rsidRPr="002029AF">
              <w:t>representatives,</w:t>
            </w:r>
            <w:r w:rsidR="000A5329" w:rsidRPr="002029AF">
              <w:t xml:space="preserve"> </w:t>
            </w:r>
            <w:r w:rsidRPr="002029AF">
              <w:t>employees</w:t>
            </w:r>
            <w:r w:rsidR="000A5329" w:rsidRPr="002029AF">
              <w:t xml:space="preserve"> </w:t>
            </w:r>
            <w:r w:rsidRPr="002029AF">
              <w:t>and</w:t>
            </w:r>
            <w:r w:rsidR="000A5329" w:rsidRPr="002029AF">
              <w:t xml:space="preserve"> </w:t>
            </w:r>
            <w:r w:rsidRPr="002029AF">
              <w:t>others,</w:t>
            </w:r>
            <w:r w:rsidR="000A5329" w:rsidRPr="002029AF">
              <w:t xml:space="preserve"> </w:t>
            </w:r>
            <w:r w:rsidRPr="002029AF">
              <w:t>and</w:t>
            </w:r>
            <w:r w:rsidR="000A5329" w:rsidRPr="002029AF">
              <w:t xml:space="preserve"> </w:t>
            </w:r>
            <w:r w:rsidRPr="002029AF">
              <w:t>other</w:t>
            </w:r>
            <w:r w:rsidR="000A5329" w:rsidRPr="002029AF">
              <w:t xml:space="preserve"> </w:t>
            </w:r>
            <w:r w:rsidRPr="002029AF">
              <w:t>contractual</w:t>
            </w:r>
            <w:r w:rsidR="000A5329" w:rsidRPr="002029AF">
              <w:t xml:space="preserve"> </w:t>
            </w:r>
            <w:r w:rsidRPr="002029AF">
              <w:t>liabilities.</w:t>
            </w:r>
          </w:p>
        </w:tc>
        <w:tc>
          <w:tcPr>
            <w:tcW w:w="1134" w:type="dxa"/>
            <w:tcBorders>
              <w:top w:val="single" w:sz="4" w:space="0" w:color="A6A6A6"/>
            </w:tcBorders>
            <w:shd w:val="clear" w:color="auto" w:fill="E7E6E6"/>
            <w:noWrap/>
            <w:hideMark/>
          </w:tcPr>
          <w:p w14:paraId="7573BDB8" w14:textId="77777777" w:rsidR="00087B91" w:rsidRPr="002029AF" w:rsidRDefault="00087B91" w:rsidP="00860E95">
            <w:pPr>
              <w:pStyle w:val="ARfintablebodyright"/>
            </w:pPr>
            <w:r w:rsidRPr="002029AF">
              <w:t>38.4</w:t>
            </w:r>
          </w:p>
        </w:tc>
        <w:tc>
          <w:tcPr>
            <w:tcW w:w="1134" w:type="dxa"/>
            <w:tcBorders>
              <w:top w:val="single" w:sz="4" w:space="0" w:color="A6A6A6"/>
            </w:tcBorders>
            <w:noWrap/>
            <w:hideMark/>
          </w:tcPr>
          <w:p w14:paraId="7442376D" w14:textId="77777777" w:rsidR="00087B91" w:rsidRPr="002029AF" w:rsidRDefault="00087B91" w:rsidP="00860E95">
            <w:pPr>
              <w:pStyle w:val="ARfintablebodyright"/>
            </w:pPr>
            <w:r w:rsidRPr="002029AF">
              <w:t>32.6</w:t>
            </w:r>
          </w:p>
        </w:tc>
      </w:tr>
      <w:tr w:rsidR="00087B91" w:rsidRPr="002029AF" w14:paraId="5570F7A1" w14:textId="77777777" w:rsidTr="00860E95">
        <w:trPr>
          <w:trHeight w:val="255"/>
        </w:trPr>
        <w:tc>
          <w:tcPr>
            <w:tcW w:w="7321" w:type="dxa"/>
            <w:gridSpan w:val="2"/>
            <w:hideMark/>
          </w:tcPr>
          <w:p w14:paraId="016BACD9" w14:textId="77777777" w:rsidR="00087B91" w:rsidRPr="002029AF" w:rsidRDefault="00087B91" w:rsidP="00860E95">
            <w:pPr>
              <w:pStyle w:val="ARfintablebodybold"/>
            </w:pPr>
            <w:r w:rsidRPr="002029AF">
              <w:t>Total</w:t>
            </w:r>
          </w:p>
        </w:tc>
        <w:tc>
          <w:tcPr>
            <w:tcW w:w="1134" w:type="dxa"/>
            <w:shd w:val="clear" w:color="auto" w:fill="E7E6E6"/>
            <w:noWrap/>
            <w:hideMark/>
          </w:tcPr>
          <w:p w14:paraId="1AD2A673" w14:textId="77777777" w:rsidR="00087B91" w:rsidRPr="002029AF" w:rsidRDefault="00087B91" w:rsidP="00860E95">
            <w:pPr>
              <w:pStyle w:val="ARfintablebodyrightbold"/>
            </w:pPr>
            <w:r w:rsidRPr="002029AF">
              <w:t>38.4</w:t>
            </w:r>
          </w:p>
        </w:tc>
        <w:tc>
          <w:tcPr>
            <w:tcW w:w="1134" w:type="dxa"/>
            <w:noWrap/>
            <w:hideMark/>
          </w:tcPr>
          <w:p w14:paraId="1E48444D" w14:textId="77777777" w:rsidR="00087B91" w:rsidRPr="002029AF" w:rsidRDefault="00087B91" w:rsidP="00860E95">
            <w:pPr>
              <w:pStyle w:val="ARfintablebodyrightbold"/>
            </w:pPr>
            <w:r w:rsidRPr="002029AF">
              <w:t>32.6</w:t>
            </w:r>
          </w:p>
        </w:tc>
      </w:tr>
    </w:tbl>
    <w:p w14:paraId="69D8BFC7" w14:textId="10DCDFBD" w:rsidR="00087B91" w:rsidRPr="002029AF" w:rsidRDefault="00087B91" w:rsidP="00087B91">
      <w:pPr>
        <w:pStyle w:val="Heading6"/>
        <w:rPr>
          <w:lang w:val="en-AU"/>
        </w:rPr>
      </w:pPr>
      <w:r w:rsidRPr="002029AF">
        <w:rPr>
          <w:lang w:val="en-AU"/>
        </w:rPr>
        <w:t>Non-quantifiable</w:t>
      </w:r>
      <w:r w:rsidR="000A5329" w:rsidRPr="002029AF">
        <w:rPr>
          <w:lang w:val="en-AU"/>
        </w:rPr>
        <w:t xml:space="preserve"> </w:t>
      </w:r>
      <w:r w:rsidRPr="002029AF">
        <w:rPr>
          <w:lang w:val="en-AU"/>
        </w:rPr>
        <w:t>contingent</w:t>
      </w:r>
      <w:r w:rsidR="000A5329" w:rsidRPr="002029AF">
        <w:rPr>
          <w:lang w:val="en-AU"/>
        </w:rPr>
        <w:t xml:space="preserve"> </w:t>
      </w:r>
      <w:r w:rsidRPr="002029AF">
        <w:rPr>
          <w:lang w:val="en-AU"/>
        </w:rPr>
        <w:t>liabilities</w:t>
      </w:r>
    </w:p>
    <w:p w14:paraId="3B42272F" w14:textId="414AD686" w:rsidR="00087B91" w:rsidRPr="002029AF" w:rsidRDefault="00087B91" w:rsidP="00087B91">
      <w:pPr>
        <w:pStyle w:val="ARfinbody"/>
      </w:pPr>
      <w:r w:rsidRPr="002029AF">
        <w:t>In</w:t>
      </w:r>
      <w:r w:rsidR="000A5329" w:rsidRPr="002029AF">
        <w:t xml:space="preserve"> </w:t>
      </w:r>
      <w:r w:rsidRPr="002029AF">
        <w:t>response</w:t>
      </w:r>
      <w:r w:rsidR="000A5329" w:rsidRPr="002029AF">
        <w:t xml:space="preserve"> </w:t>
      </w:r>
      <w:r w:rsidRPr="002029AF">
        <w:t>to</w:t>
      </w:r>
      <w:r w:rsidR="000A5329" w:rsidRPr="002029AF">
        <w:t xml:space="preserve"> </w:t>
      </w:r>
      <w:r w:rsidRPr="002029AF">
        <w:t>the</w:t>
      </w:r>
      <w:r w:rsidR="000A5329" w:rsidRPr="002029AF">
        <w:t xml:space="preserve"> </w:t>
      </w:r>
      <w:r w:rsidRPr="002029AF">
        <w:t>concerns</w:t>
      </w:r>
      <w:r w:rsidR="000A5329" w:rsidRPr="002029AF">
        <w:t xml:space="preserve"> </w:t>
      </w:r>
      <w:r w:rsidRPr="002029AF">
        <w:t>of</w:t>
      </w:r>
      <w:r w:rsidR="000A5329" w:rsidRPr="002029AF">
        <w:t xml:space="preserve"> </w:t>
      </w:r>
      <w:r w:rsidRPr="002029AF">
        <w:t>some</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undertaken</w:t>
      </w:r>
      <w:r w:rsidR="000A5329" w:rsidRPr="002029AF">
        <w:t xml:space="preserve"> </w:t>
      </w:r>
      <w:r w:rsidRPr="002029AF">
        <w:t>to</w:t>
      </w:r>
      <w:r w:rsidR="000A5329" w:rsidRPr="002029AF">
        <w:t xml:space="preserve"> </w:t>
      </w:r>
      <w:r w:rsidRPr="002029AF">
        <w:t>provide</w:t>
      </w:r>
      <w:r w:rsidR="000A5329" w:rsidRPr="002029AF">
        <w:t xml:space="preserve"> </w:t>
      </w:r>
      <w:r w:rsidRPr="002029AF">
        <w:t>certain</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adequate</w:t>
      </w:r>
      <w:r w:rsidR="000A5329" w:rsidRPr="002029AF">
        <w:t xml:space="preserve"> </w:t>
      </w:r>
      <w:r w:rsidRPr="002029AF">
        <w:t>cash</w:t>
      </w:r>
      <w:r w:rsidR="000A5329" w:rsidRPr="002029AF">
        <w:t xml:space="preserve"> </w:t>
      </w:r>
      <w:r w:rsidRPr="002029AF">
        <w:t>flow</w:t>
      </w:r>
      <w:r w:rsidR="000A5329" w:rsidRPr="002029AF">
        <w:t xml:space="preserve"> </w:t>
      </w:r>
      <w:r w:rsidRPr="002029AF">
        <w:t>support</w:t>
      </w:r>
      <w:r w:rsidR="000A5329" w:rsidRPr="002029AF">
        <w:t xml:space="preserve"> </w:t>
      </w:r>
      <w:r w:rsidRPr="002029AF">
        <w:t>to</w:t>
      </w:r>
      <w:r w:rsidR="000A5329" w:rsidRPr="002029AF">
        <w:t xml:space="preserve"> </w:t>
      </w:r>
      <w:r w:rsidRPr="002029AF">
        <w:t>enable</w:t>
      </w:r>
      <w:r w:rsidR="000A5329" w:rsidRPr="002029AF">
        <w:t xml:space="preserve"> </w:t>
      </w:r>
      <w:r w:rsidRPr="002029AF">
        <w:t>these</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to</w:t>
      </w:r>
      <w:r w:rsidR="000A5329" w:rsidRPr="002029AF">
        <w:t xml:space="preserve"> </w:t>
      </w:r>
      <w:r w:rsidRPr="002029AF">
        <w:t>meet</w:t>
      </w:r>
      <w:r w:rsidR="000A5329" w:rsidRPr="002029AF">
        <w:t xml:space="preserve"> </w:t>
      </w:r>
      <w:r w:rsidRPr="002029AF">
        <w:t>their</w:t>
      </w:r>
      <w:r w:rsidR="000A5329" w:rsidRPr="002029AF">
        <w:t xml:space="preserve"> </w:t>
      </w:r>
      <w:r w:rsidRPr="002029AF">
        <w:t>current</w:t>
      </w:r>
      <w:r w:rsidR="000A5329" w:rsidRPr="002029AF">
        <w:t xml:space="preserve"> </w:t>
      </w:r>
      <w:r w:rsidRPr="002029AF">
        <w:t>and</w:t>
      </w:r>
      <w:r w:rsidR="000A5329" w:rsidRPr="002029AF">
        <w:t xml:space="preserve"> </w:t>
      </w:r>
      <w:r w:rsidRPr="002029AF">
        <w:t>future</w:t>
      </w:r>
      <w:r w:rsidR="000A5329" w:rsidRPr="002029AF">
        <w:t xml:space="preserve"> </w:t>
      </w:r>
      <w:r w:rsidRPr="002029AF">
        <w:t>obligations</w:t>
      </w:r>
      <w:r w:rsidR="000A5329" w:rsidRPr="002029AF">
        <w:t xml:space="preserve"> </w:t>
      </w:r>
      <w:r w:rsidRPr="002029AF">
        <w:t>as</w:t>
      </w:r>
      <w:r w:rsidR="000A5329" w:rsidRPr="002029AF">
        <w:t xml:space="preserve"> </w:t>
      </w:r>
      <w:r w:rsidRPr="002029AF">
        <w:t>and</w:t>
      </w:r>
      <w:r w:rsidR="000A5329" w:rsidRPr="002029AF">
        <w:t xml:space="preserve"> </w:t>
      </w:r>
      <w:r w:rsidRPr="002029AF">
        <w:t>when</w:t>
      </w:r>
      <w:r w:rsidR="000A5329" w:rsidRPr="002029AF">
        <w:t xml:space="preserve"> </w:t>
      </w:r>
      <w:r w:rsidRPr="002029AF">
        <w:t>they</w:t>
      </w:r>
      <w:r w:rsidR="000A5329" w:rsidRPr="002029AF">
        <w:t xml:space="preserve"> </w:t>
      </w:r>
      <w:r w:rsidRPr="002029AF">
        <w:t>fall</w:t>
      </w:r>
      <w:r w:rsidR="000A5329" w:rsidRPr="002029AF">
        <w:t xml:space="preserve"> </w:t>
      </w:r>
      <w:r w:rsidRPr="002029AF">
        <w:t>due</w:t>
      </w:r>
      <w:r w:rsidR="000A5329" w:rsidRPr="002029AF">
        <w:t xml:space="preserve"> </w:t>
      </w:r>
      <w:r w:rsidRPr="002029AF">
        <w:t>in</w:t>
      </w:r>
      <w:r w:rsidR="000A5329" w:rsidRPr="002029AF">
        <w:t xml:space="preserve"> </w:t>
      </w:r>
      <w:r w:rsidRPr="002029AF">
        <w:t>the</w:t>
      </w:r>
      <w:r w:rsidR="000A5329" w:rsidRPr="002029AF">
        <w:t xml:space="preserve"> </w:t>
      </w:r>
      <w:r w:rsidRPr="002029AF">
        <w:t>2020–21</w:t>
      </w:r>
      <w:r w:rsidR="000A5329" w:rsidRPr="002029AF">
        <w:t xml:space="preserve"> </w:t>
      </w:r>
      <w:r w:rsidRPr="002029AF">
        <w:t>financial</w:t>
      </w:r>
      <w:r w:rsidR="000A5329" w:rsidRPr="002029AF">
        <w:t xml:space="preserve"> </w:t>
      </w:r>
      <w:r w:rsidRPr="002029AF">
        <w:t>year</w:t>
      </w:r>
      <w:r w:rsidR="000A5329" w:rsidRPr="002029AF">
        <w:t xml:space="preserve"> </w:t>
      </w:r>
      <w:r w:rsidRPr="002029AF">
        <w:t>should</w:t>
      </w:r>
      <w:r w:rsidR="000A5329" w:rsidRPr="002029AF">
        <w:t xml:space="preserve"> </w:t>
      </w:r>
      <w:r w:rsidRPr="002029AF">
        <w:t>this</w:t>
      </w:r>
      <w:r w:rsidR="000A5329" w:rsidRPr="002029AF">
        <w:t xml:space="preserve"> </w:t>
      </w:r>
      <w:r w:rsidRPr="002029AF">
        <w:t>be</w:t>
      </w:r>
      <w:r w:rsidR="000A5329" w:rsidRPr="002029AF">
        <w:t xml:space="preserve"> </w:t>
      </w:r>
      <w:r w:rsidRPr="002029AF">
        <w:t>required.</w:t>
      </w:r>
      <w:r w:rsidR="000A5329" w:rsidRPr="002029AF">
        <w:t xml:space="preserve"> </w:t>
      </w:r>
      <w:r w:rsidRPr="002029AF">
        <w:t>In</w:t>
      </w:r>
      <w:r w:rsidR="000A5329" w:rsidRPr="002029AF">
        <w:t xml:space="preserve"> </w:t>
      </w:r>
      <w:r w:rsidRPr="002029AF">
        <w:t>line</w:t>
      </w:r>
      <w:r w:rsidR="000A5329" w:rsidRPr="002029AF">
        <w:t xml:space="preserve"> </w:t>
      </w:r>
      <w:r w:rsidRPr="002029AF">
        <w:t>with</w:t>
      </w:r>
      <w:r w:rsidR="000A5329" w:rsidRPr="002029AF">
        <w:t xml:space="preserve"> </w:t>
      </w:r>
      <w:r w:rsidRPr="002029AF">
        <w:t>processes</w:t>
      </w:r>
      <w:r w:rsidR="000A5329" w:rsidRPr="002029AF">
        <w:t xml:space="preserve"> </w:t>
      </w:r>
      <w:r w:rsidRPr="002029AF">
        <w:t>already</w:t>
      </w:r>
      <w:r w:rsidR="000A5329" w:rsidRPr="002029AF">
        <w:t xml:space="preserve"> </w:t>
      </w:r>
      <w:r w:rsidRPr="002029AF">
        <w:t>established</w:t>
      </w:r>
      <w:r w:rsidR="000A5329" w:rsidRPr="002029AF">
        <w:t xml:space="preserve"> </w:t>
      </w:r>
      <w:r w:rsidRPr="002029AF">
        <w:t>by</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it</w:t>
      </w:r>
      <w:r w:rsidR="000A5329" w:rsidRPr="002029AF">
        <w:t xml:space="preserve"> </w:t>
      </w:r>
      <w:r w:rsidRPr="002029AF">
        <w:t>is</w:t>
      </w:r>
      <w:r w:rsidR="000A5329" w:rsidRPr="002029AF">
        <w:t xml:space="preserve"> </w:t>
      </w:r>
      <w:r w:rsidRPr="002029AF">
        <w:t>expected</w:t>
      </w:r>
      <w:r w:rsidR="000A5329" w:rsidRPr="002029AF">
        <w:t xml:space="preserve"> </w:t>
      </w:r>
      <w:r w:rsidRPr="002029AF">
        <w:t>that</w:t>
      </w:r>
      <w:r w:rsidR="000A5329" w:rsidRPr="002029AF">
        <w:t xml:space="preserve"> </w:t>
      </w:r>
      <w:r w:rsidRPr="002029AF">
        <w:t>each</w:t>
      </w:r>
      <w:r w:rsidR="000A5329" w:rsidRPr="002029AF">
        <w:t xml:space="preserve"> </w:t>
      </w:r>
      <w:r w:rsidRPr="002029AF">
        <w:t>health</w:t>
      </w:r>
      <w:r w:rsidR="000A5329" w:rsidRPr="002029AF">
        <w:t xml:space="preserve"> </w:t>
      </w:r>
      <w:r w:rsidRPr="002029AF">
        <w:t>service</w:t>
      </w:r>
      <w:r w:rsidR="000A5329" w:rsidRPr="002029AF">
        <w:t xml:space="preserve"> </w:t>
      </w:r>
      <w:r w:rsidRPr="002029AF">
        <w:t>that</w:t>
      </w:r>
      <w:r w:rsidR="000A5329" w:rsidRPr="002029AF">
        <w:t xml:space="preserve"> </w:t>
      </w:r>
      <w:r w:rsidRPr="002029AF">
        <w:t>has</w:t>
      </w:r>
      <w:r w:rsidR="000A5329" w:rsidRPr="002029AF">
        <w:t xml:space="preserve"> </w:t>
      </w:r>
      <w:r w:rsidRPr="002029AF">
        <w:t>been</w:t>
      </w:r>
      <w:r w:rsidR="000A5329" w:rsidRPr="002029AF">
        <w:t xml:space="preserve"> </w:t>
      </w:r>
      <w:r w:rsidRPr="002029AF">
        <w:t>pledged</w:t>
      </w:r>
      <w:r w:rsidR="000A5329" w:rsidRPr="002029AF">
        <w:t xml:space="preserve"> </w:t>
      </w:r>
      <w:r w:rsidRPr="002029AF">
        <w:t>this</w:t>
      </w:r>
      <w:r w:rsidR="000A5329" w:rsidRPr="002029AF">
        <w:t xml:space="preserve"> </w:t>
      </w:r>
      <w:r w:rsidRPr="002029AF">
        <w:t>support</w:t>
      </w:r>
      <w:r w:rsidR="000A5329" w:rsidRPr="002029AF">
        <w:t xml:space="preserve"> </w:t>
      </w:r>
      <w:r w:rsidRPr="002029AF">
        <w:t>will:</w:t>
      </w:r>
    </w:p>
    <w:p w14:paraId="73E61382" w14:textId="17B5826B" w:rsidR="00087B91" w:rsidRPr="002029AF" w:rsidRDefault="00087B91" w:rsidP="00087B91">
      <w:pPr>
        <w:pStyle w:val="ARfinbullet1"/>
      </w:pPr>
      <w:r w:rsidRPr="002029AF">
        <w:t>continue</w:t>
      </w:r>
      <w:r w:rsidR="000A5329" w:rsidRPr="002029AF">
        <w:t xml:space="preserve"> </w:t>
      </w:r>
      <w:r w:rsidRPr="002029AF">
        <w:t>to</w:t>
      </w:r>
      <w:r w:rsidR="000A5329" w:rsidRPr="002029AF">
        <w:t xml:space="preserve"> </w:t>
      </w:r>
      <w:r w:rsidRPr="002029AF">
        <w:t>provide</w:t>
      </w:r>
      <w:r w:rsidR="000A5329" w:rsidRPr="002029AF">
        <w:t xml:space="preserve"> </w:t>
      </w:r>
      <w:r w:rsidRPr="002029AF">
        <w:t>monthly</w:t>
      </w:r>
      <w:r w:rsidR="000A5329" w:rsidRPr="002029AF">
        <w:t xml:space="preserve"> </w:t>
      </w:r>
      <w:r w:rsidRPr="002029AF">
        <w:t>advice</w:t>
      </w:r>
      <w:r w:rsidR="000A5329" w:rsidRPr="002029AF">
        <w:t xml:space="preserve"> </w:t>
      </w:r>
      <w:r w:rsidRPr="002029AF">
        <w:t>on</w:t>
      </w:r>
      <w:r w:rsidR="000A5329" w:rsidRPr="002029AF">
        <w:t xml:space="preserve"> </w:t>
      </w:r>
      <w:r w:rsidRPr="002029AF">
        <w:t>its</w:t>
      </w:r>
      <w:r w:rsidR="000A5329" w:rsidRPr="002029AF">
        <w:t xml:space="preserve"> </w:t>
      </w:r>
      <w:r w:rsidRPr="002029AF">
        <w:t>financial</w:t>
      </w:r>
      <w:r w:rsidR="000A5329" w:rsidRPr="002029AF">
        <w:t xml:space="preserve"> </w:t>
      </w:r>
      <w:r w:rsidRPr="002029AF">
        <w:t>position,</w:t>
      </w:r>
      <w:r w:rsidR="000A5329" w:rsidRPr="002029AF">
        <w:t xml:space="preserve"> </w:t>
      </w:r>
      <w:r w:rsidRPr="002029AF">
        <w:t>including</w:t>
      </w:r>
      <w:r w:rsidR="000A5329" w:rsidRPr="002029AF">
        <w:t xml:space="preserve"> </w:t>
      </w:r>
      <w:r w:rsidRPr="002029AF">
        <w:t>the</w:t>
      </w:r>
      <w:r w:rsidR="000A5329" w:rsidRPr="002029AF">
        <w:t xml:space="preserve"> </w:t>
      </w:r>
      <w:r w:rsidRPr="002029AF">
        <w:t>likelihood</w:t>
      </w:r>
      <w:r w:rsidR="000A5329" w:rsidRPr="002029AF">
        <w:t xml:space="preserve"> </w:t>
      </w:r>
      <w:r w:rsidRPr="002029AF">
        <w:t>of</w:t>
      </w:r>
      <w:r w:rsidR="000A5329" w:rsidRPr="002029AF">
        <w:t xml:space="preserve"> </w:t>
      </w:r>
      <w:r w:rsidRPr="002029AF">
        <w:t>any</w:t>
      </w:r>
      <w:r w:rsidR="000A5329" w:rsidRPr="002029AF">
        <w:t xml:space="preserve"> </w:t>
      </w:r>
      <w:r w:rsidRPr="002029AF">
        <w:t>short-term</w:t>
      </w:r>
      <w:r w:rsidR="000A5329" w:rsidRPr="002029AF">
        <w:t xml:space="preserve"> </w:t>
      </w:r>
      <w:r w:rsidRPr="002029AF">
        <w:t>liquidity</w:t>
      </w:r>
      <w:r w:rsidR="000A5329" w:rsidRPr="002029AF">
        <w:t xml:space="preserve"> </w:t>
      </w:r>
      <w:r w:rsidRPr="002029AF">
        <w:t>issues</w:t>
      </w:r>
    </w:p>
    <w:p w14:paraId="5C874F78" w14:textId="07AEA298" w:rsidR="00087B91" w:rsidRPr="002029AF" w:rsidRDefault="00087B91" w:rsidP="00087B91">
      <w:pPr>
        <w:pStyle w:val="ARfinbullet1"/>
      </w:pPr>
      <w:r w:rsidRPr="002029AF">
        <w:t>commit</w:t>
      </w:r>
      <w:r w:rsidR="000A5329" w:rsidRPr="002029AF">
        <w:t xml:space="preserve"> </w:t>
      </w:r>
      <w:r w:rsidRPr="002029AF">
        <w:t>to</w:t>
      </w:r>
      <w:r w:rsidR="000A5329" w:rsidRPr="002029AF">
        <w:t xml:space="preserve"> </w:t>
      </w:r>
      <w:r w:rsidRPr="002029AF">
        <w:t>achieve</w:t>
      </w:r>
      <w:r w:rsidR="000A5329" w:rsidRPr="002029AF">
        <w:t xml:space="preserve"> </w:t>
      </w:r>
      <w:r w:rsidRPr="002029AF">
        <w:t>the</w:t>
      </w:r>
      <w:r w:rsidR="000A5329" w:rsidRPr="002029AF">
        <w:t xml:space="preserve"> </w:t>
      </w:r>
      <w:r w:rsidRPr="002029AF">
        <w:t>agreed</w:t>
      </w:r>
      <w:r w:rsidR="000A5329" w:rsidRPr="002029AF">
        <w:t xml:space="preserve"> </w:t>
      </w:r>
      <w:r w:rsidRPr="002029AF">
        <w:t>budget</w:t>
      </w:r>
      <w:r w:rsidR="000A5329" w:rsidRPr="002029AF">
        <w:t xml:space="preserve"> </w:t>
      </w:r>
      <w:r w:rsidRPr="002029AF">
        <w:t>targets,</w:t>
      </w:r>
      <w:r w:rsidR="000A5329" w:rsidRPr="002029AF">
        <w:t xml:space="preserve"> </w:t>
      </w:r>
      <w:r w:rsidRPr="002029AF">
        <w:t>and</w:t>
      </w:r>
      <w:r w:rsidR="000A5329" w:rsidRPr="002029AF">
        <w:t xml:space="preserve"> </w:t>
      </w:r>
      <w:r w:rsidRPr="002029AF">
        <w:t>all</w:t>
      </w:r>
      <w:r w:rsidR="000A5329" w:rsidRPr="002029AF">
        <w:t xml:space="preserve"> </w:t>
      </w:r>
      <w:r w:rsidRPr="002029AF">
        <w:t>other</w:t>
      </w:r>
      <w:r w:rsidR="000A5329" w:rsidRPr="002029AF">
        <w:t xml:space="preserve"> </w:t>
      </w:r>
      <w:r w:rsidRPr="002029AF">
        <w:t>requirements</w:t>
      </w:r>
      <w:r w:rsidR="000A5329" w:rsidRPr="002029AF">
        <w:t xml:space="preserve"> </w:t>
      </w:r>
      <w:r w:rsidRPr="002029AF">
        <w:t>of</w:t>
      </w:r>
      <w:r w:rsidR="000A5329" w:rsidRPr="002029AF">
        <w:t xml:space="preserve"> </w:t>
      </w:r>
      <w:r w:rsidRPr="002029AF">
        <w:t>their</w:t>
      </w:r>
      <w:r w:rsidR="000A5329" w:rsidRPr="002029AF">
        <w:t xml:space="preserve"> </w:t>
      </w:r>
      <w:r w:rsidRPr="002029AF">
        <w:t>service</w:t>
      </w:r>
      <w:r w:rsidR="000A5329" w:rsidRPr="002029AF">
        <w:t xml:space="preserve"> </w:t>
      </w:r>
      <w:r w:rsidRPr="002029AF">
        <w:t>agreements</w:t>
      </w:r>
      <w:r w:rsidR="000A5329" w:rsidRPr="002029AF">
        <w:t xml:space="preserve"> </w:t>
      </w:r>
      <w:r w:rsidRPr="002029AF">
        <w:t>or</w:t>
      </w:r>
      <w:r w:rsidR="000A5329" w:rsidRPr="002029AF">
        <w:t xml:space="preserve"> </w:t>
      </w:r>
      <w:r w:rsidRPr="002029AF">
        <w:t>statement</w:t>
      </w:r>
      <w:r w:rsidR="000A5329" w:rsidRPr="002029AF">
        <w:t xml:space="preserve"> </w:t>
      </w:r>
      <w:r w:rsidRPr="002029AF">
        <w:t>of</w:t>
      </w:r>
      <w:r w:rsidR="000A5329" w:rsidRPr="002029AF">
        <w:t xml:space="preserve"> </w:t>
      </w:r>
      <w:r w:rsidRPr="002029AF">
        <w:t>priorities</w:t>
      </w:r>
      <w:r w:rsidR="000A5329" w:rsidRPr="002029AF">
        <w:t xml:space="preserve"> </w:t>
      </w:r>
      <w:r w:rsidRPr="002029AF">
        <w:br/>
        <w:t>in</w:t>
      </w:r>
      <w:r w:rsidR="000A5329" w:rsidRPr="002029AF">
        <w:t xml:space="preserve"> </w:t>
      </w:r>
      <w:r w:rsidRPr="002029AF">
        <w:t>2020–21.</w:t>
      </w:r>
    </w:p>
    <w:p w14:paraId="4E00A880" w14:textId="77777777" w:rsidR="00087B91" w:rsidRPr="002029AF" w:rsidRDefault="00087B91" w:rsidP="00087B91">
      <w:pPr>
        <w:pStyle w:val="ARfinbullet1"/>
        <w:ind w:left="0" w:firstLine="0"/>
      </w:pPr>
      <w:r w:rsidRPr="002029AF">
        <w:br w:type="page"/>
      </w:r>
    </w:p>
    <w:p w14:paraId="0A4D24A6" w14:textId="29AB1643" w:rsidR="00087B91" w:rsidRPr="002029AF" w:rsidRDefault="00087B91" w:rsidP="00087B91">
      <w:pPr>
        <w:pStyle w:val="Heading4"/>
      </w:pPr>
      <w:bookmarkStart w:id="383" w:name="_Toc39242164"/>
      <w:r w:rsidRPr="002029AF">
        <w:lastRenderedPageBreak/>
        <w:t>8.3</w:t>
      </w:r>
      <w:r w:rsidR="000A5329" w:rsidRPr="002029AF">
        <w:t xml:space="preserve"> </w:t>
      </w:r>
      <w:r w:rsidRPr="002029AF">
        <w:t>Fair</w:t>
      </w:r>
      <w:r w:rsidR="000A5329" w:rsidRPr="002029AF">
        <w:t xml:space="preserve"> </w:t>
      </w:r>
      <w:r w:rsidRPr="002029AF">
        <w:t>value</w:t>
      </w:r>
      <w:r w:rsidR="000A5329" w:rsidRPr="002029AF">
        <w:t xml:space="preserve"> </w:t>
      </w:r>
      <w:r w:rsidRPr="002029AF">
        <w:t>determination</w:t>
      </w:r>
      <w:bookmarkEnd w:id="383"/>
    </w:p>
    <w:p w14:paraId="4C83A83B" w14:textId="35467090" w:rsidR="00087B91" w:rsidRPr="002029AF" w:rsidRDefault="00087B91" w:rsidP="00087B91">
      <w:pPr>
        <w:pStyle w:val="Heading5"/>
      </w:pPr>
      <w:r w:rsidRPr="002029AF">
        <w:t>Significant</w:t>
      </w:r>
      <w:r w:rsidR="000A5329" w:rsidRPr="002029AF">
        <w:t xml:space="preserve"> </w:t>
      </w:r>
      <w:r w:rsidRPr="002029AF">
        <w:t>judgement:</w:t>
      </w:r>
      <w:r w:rsidR="000A5329" w:rsidRPr="002029AF">
        <w:t xml:space="preserve"> </w:t>
      </w:r>
      <w:r w:rsidRPr="002029AF">
        <w:t>Fair</w:t>
      </w:r>
      <w:r w:rsidR="000A5329" w:rsidRPr="002029AF">
        <w:t xml:space="preserve"> </w:t>
      </w:r>
      <w:r w:rsidRPr="002029AF">
        <w:t>value</w:t>
      </w:r>
      <w:r w:rsidR="000A5329" w:rsidRPr="002029AF">
        <w:t xml:space="preserve"> </w:t>
      </w:r>
      <w:r w:rsidRPr="002029AF">
        <w:t>measurements</w:t>
      </w:r>
      <w:r w:rsidR="000A5329" w:rsidRPr="002029AF">
        <w:t xml:space="preserve"> </w:t>
      </w:r>
      <w:r w:rsidRPr="002029AF">
        <w:t>of</w:t>
      </w:r>
      <w:r w:rsidR="000A5329" w:rsidRPr="002029AF">
        <w:t xml:space="preserve"> </w:t>
      </w:r>
      <w:r w:rsidRPr="002029AF">
        <w:t>assets</w:t>
      </w:r>
      <w:r w:rsidR="000A5329" w:rsidRPr="002029AF">
        <w:t xml:space="preserve"> </w:t>
      </w:r>
      <w:r w:rsidRPr="002029AF">
        <w:t>and</w:t>
      </w:r>
      <w:r w:rsidR="000A5329" w:rsidRPr="002029AF">
        <w:t xml:space="preserve"> </w:t>
      </w:r>
      <w:r w:rsidRPr="002029AF">
        <w:t>liabilities</w:t>
      </w:r>
    </w:p>
    <w:p w14:paraId="71D9B48D" w14:textId="15A48C74" w:rsidR="00087B91" w:rsidRPr="002029AF" w:rsidRDefault="00087B91" w:rsidP="00087B91">
      <w:pPr>
        <w:pStyle w:val="ARfinbody"/>
      </w:pPr>
      <w:r w:rsidRPr="002029AF">
        <w:t>Fair</w:t>
      </w:r>
      <w:r w:rsidR="000A5329" w:rsidRPr="002029AF">
        <w:t xml:space="preserve"> </w:t>
      </w:r>
      <w:r w:rsidRPr="002029AF">
        <w:t>value</w:t>
      </w:r>
      <w:r w:rsidR="000A5329" w:rsidRPr="002029AF">
        <w:t xml:space="preserve"> </w:t>
      </w:r>
      <w:r w:rsidRPr="002029AF">
        <w:t>determination</w:t>
      </w:r>
      <w:r w:rsidR="000A5329" w:rsidRPr="002029AF">
        <w:t xml:space="preserve"> </w:t>
      </w:r>
      <w:r w:rsidRPr="002029AF">
        <w:t>requires</w:t>
      </w:r>
      <w:r w:rsidR="000A5329" w:rsidRPr="002029AF">
        <w:t xml:space="preserve"> </w:t>
      </w:r>
      <w:r w:rsidRPr="002029AF">
        <w:t>judgement</w:t>
      </w:r>
      <w:r w:rsidR="000A5329" w:rsidRPr="002029AF">
        <w:t xml:space="preserve"> </w:t>
      </w:r>
      <w:r w:rsidRPr="002029AF">
        <w:t>and</w:t>
      </w:r>
      <w:r w:rsidR="000A5329" w:rsidRPr="002029AF">
        <w:t xml:space="preserve"> </w:t>
      </w:r>
      <w:r w:rsidRPr="002029AF">
        <w:t>the</w:t>
      </w:r>
      <w:r w:rsidR="000A5329" w:rsidRPr="002029AF">
        <w:t xml:space="preserve"> </w:t>
      </w:r>
      <w:r w:rsidRPr="002029AF">
        <w:t>use</w:t>
      </w:r>
      <w:r w:rsidR="000A5329" w:rsidRPr="002029AF">
        <w:t xml:space="preserve"> </w:t>
      </w:r>
      <w:r w:rsidRPr="002029AF">
        <w:t>of</w:t>
      </w:r>
      <w:r w:rsidR="000A5329" w:rsidRPr="002029AF">
        <w:t xml:space="preserve"> </w:t>
      </w:r>
      <w:r w:rsidRPr="002029AF">
        <w:t>assumptions.</w:t>
      </w:r>
      <w:r w:rsidR="000A5329" w:rsidRPr="002029AF">
        <w:t xml:space="preserve"> </w:t>
      </w:r>
      <w:r w:rsidRPr="002029AF">
        <w:t>This</w:t>
      </w:r>
      <w:r w:rsidR="000A5329" w:rsidRPr="002029AF">
        <w:t xml:space="preserve"> </w:t>
      </w:r>
      <w:r w:rsidRPr="002029AF">
        <w:t>section</w:t>
      </w:r>
      <w:r w:rsidR="000A5329" w:rsidRPr="002029AF">
        <w:t xml:space="preserve"> </w:t>
      </w:r>
      <w:r w:rsidRPr="002029AF">
        <w:t>discloses</w:t>
      </w:r>
      <w:r w:rsidR="000A5329" w:rsidRPr="002029AF">
        <w:t xml:space="preserve"> </w:t>
      </w:r>
      <w:r w:rsidRPr="002029AF">
        <w:t>the</w:t>
      </w:r>
      <w:r w:rsidR="000A5329" w:rsidRPr="002029AF">
        <w:t xml:space="preserve"> </w:t>
      </w:r>
      <w:r w:rsidRPr="002029AF">
        <w:t>most</w:t>
      </w:r>
      <w:r w:rsidR="000A5329" w:rsidRPr="002029AF">
        <w:t xml:space="preserve"> </w:t>
      </w:r>
      <w:r w:rsidRPr="002029AF">
        <w:t>significant</w:t>
      </w:r>
      <w:r w:rsidR="000A5329" w:rsidRPr="002029AF">
        <w:t xml:space="preserve"> </w:t>
      </w:r>
      <w:r w:rsidRPr="002029AF">
        <w:t>assumptions</w:t>
      </w:r>
      <w:r w:rsidR="000A5329" w:rsidRPr="002029AF">
        <w:t xml:space="preserve"> </w:t>
      </w:r>
      <w:r w:rsidRPr="002029AF">
        <w:t>used</w:t>
      </w:r>
      <w:r w:rsidR="000A5329" w:rsidRPr="002029AF">
        <w:t xml:space="preserve"> </w:t>
      </w:r>
      <w:r w:rsidRPr="002029AF">
        <w:t>in</w:t>
      </w:r>
      <w:r w:rsidR="000A5329" w:rsidRPr="002029AF">
        <w:t xml:space="preserve"> </w:t>
      </w:r>
      <w:r w:rsidRPr="002029AF">
        <w:t>determining</w:t>
      </w:r>
      <w:r w:rsidR="000A5329" w:rsidRPr="002029AF">
        <w:t xml:space="preserve"> </w:t>
      </w:r>
      <w:r w:rsidRPr="002029AF">
        <w:t>fair</w:t>
      </w:r>
      <w:r w:rsidR="000A5329" w:rsidRPr="002029AF">
        <w:t xml:space="preserve"> </w:t>
      </w:r>
      <w:r w:rsidRPr="002029AF">
        <w:t>values.</w:t>
      </w:r>
      <w:r w:rsidR="000A5329" w:rsidRPr="002029AF">
        <w:t xml:space="preserve"> </w:t>
      </w:r>
      <w:r w:rsidRPr="002029AF">
        <w:t>Changes</w:t>
      </w:r>
      <w:r w:rsidR="000A5329" w:rsidRPr="002029AF">
        <w:t xml:space="preserve"> </w:t>
      </w:r>
      <w:r w:rsidRPr="002029AF">
        <w:t>to</w:t>
      </w:r>
      <w:r w:rsidR="000A5329" w:rsidRPr="002029AF">
        <w:t xml:space="preserve"> </w:t>
      </w:r>
      <w:r w:rsidRPr="002029AF">
        <w:t>assumptions</w:t>
      </w:r>
      <w:r w:rsidR="000A5329" w:rsidRPr="002029AF">
        <w:t xml:space="preserve"> </w:t>
      </w:r>
      <w:r w:rsidRPr="002029AF">
        <w:t>could</w:t>
      </w:r>
      <w:r w:rsidR="000A5329" w:rsidRPr="002029AF">
        <w:t xml:space="preserve"> </w:t>
      </w:r>
      <w:r w:rsidRPr="002029AF">
        <w:t>have</w:t>
      </w:r>
      <w:r w:rsidR="000A5329" w:rsidRPr="002029AF">
        <w:t xml:space="preserve"> </w:t>
      </w:r>
      <w:r w:rsidRPr="002029AF">
        <w:t>a</w:t>
      </w:r>
      <w:r w:rsidR="000A5329" w:rsidRPr="002029AF">
        <w:t xml:space="preserve"> </w:t>
      </w:r>
      <w:r w:rsidRPr="002029AF">
        <w:t>material</w:t>
      </w:r>
      <w:r w:rsidR="000A5329" w:rsidRPr="002029AF">
        <w:t xml:space="preserve"> </w:t>
      </w:r>
      <w:r w:rsidRPr="002029AF">
        <w:t>impact</w:t>
      </w:r>
      <w:r w:rsidR="000A5329" w:rsidRPr="002029AF">
        <w:t xml:space="preserve"> </w:t>
      </w:r>
      <w:r w:rsidRPr="002029AF">
        <w:t>on</w:t>
      </w:r>
      <w:r w:rsidR="000A5329" w:rsidRPr="002029AF">
        <w:t xml:space="preserve"> </w:t>
      </w:r>
      <w:r w:rsidRPr="002029AF">
        <w:t>the</w:t>
      </w:r>
      <w:r w:rsidR="000A5329" w:rsidRPr="002029AF">
        <w:t xml:space="preserve"> </w:t>
      </w:r>
      <w:r w:rsidRPr="002029AF">
        <w:t>results</w:t>
      </w:r>
      <w:r w:rsidR="000A5329" w:rsidRPr="002029AF">
        <w:t xml:space="preserve"> </w:t>
      </w:r>
      <w:r w:rsidRPr="002029AF">
        <w:t>and</w:t>
      </w:r>
      <w:r w:rsidR="000A5329" w:rsidRPr="002029AF">
        <w:t xml:space="preserve"> </w:t>
      </w:r>
      <w:r w:rsidRPr="002029AF">
        <w:t>financial</w:t>
      </w:r>
      <w:r w:rsidR="000A5329" w:rsidRPr="002029AF">
        <w:t xml:space="preserve"> </w:t>
      </w:r>
      <w:r w:rsidRPr="002029AF">
        <w:t>position</w:t>
      </w:r>
      <w:r w:rsidR="000A5329" w:rsidRPr="002029AF">
        <w:t xml:space="preserve"> </w:t>
      </w:r>
      <w:r w:rsidRPr="002029AF">
        <w:t>of</w:t>
      </w:r>
      <w:r w:rsidR="000A5329" w:rsidRPr="002029AF">
        <w:t xml:space="preserve"> </w:t>
      </w:r>
      <w:r w:rsidRPr="002029AF">
        <w:t>the</w:t>
      </w:r>
      <w:r w:rsidR="000A5329" w:rsidRPr="002029AF">
        <w:t xml:space="preserve"> </w:t>
      </w:r>
      <w:r w:rsidRPr="002029AF">
        <w:t>department.</w:t>
      </w:r>
    </w:p>
    <w:p w14:paraId="47F06C40" w14:textId="04F41621" w:rsidR="00087B91" w:rsidRPr="002029AF" w:rsidRDefault="00087B91" w:rsidP="00087B91">
      <w:pPr>
        <w:pStyle w:val="ARfinbody"/>
      </w:pPr>
      <w:r w:rsidRPr="002029AF">
        <w:t>This</w:t>
      </w:r>
      <w:r w:rsidR="000A5329" w:rsidRPr="002029AF">
        <w:t xml:space="preserve"> </w:t>
      </w:r>
      <w:r w:rsidRPr="002029AF">
        <w:t>section</w:t>
      </w:r>
      <w:r w:rsidR="000A5329" w:rsidRPr="002029AF">
        <w:t xml:space="preserve"> </w:t>
      </w:r>
      <w:r w:rsidRPr="002029AF">
        <w:t>sets</w:t>
      </w:r>
      <w:r w:rsidR="000A5329" w:rsidRPr="002029AF">
        <w:t xml:space="preserve"> </w:t>
      </w:r>
      <w:r w:rsidRPr="002029AF">
        <w:t>out</w:t>
      </w:r>
      <w:r w:rsidR="000A5329" w:rsidRPr="002029AF">
        <w:t xml:space="preserve"> </w:t>
      </w:r>
      <w:r w:rsidRPr="002029AF">
        <w:t>information</w:t>
      </w:r>
      <w:r w:rsidR="000A5329" w:rsidRPr="002029AF">
        <w:t xml:space="preserve"> </w:t>
      </w:r>
      <w:r w:rsidRPr="002029AF">
        <w:t>on</w:t>
      </w:r>
      <w:r w:rsidR="000A5329" w:rsidRPr="002029AF">
        <w:t xml:space="preserve"> </w:t>
      </w:r>
      <w:r w:rsidRPr="002029AF">
        <w:t>how</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determined</w:t>
      </w:r>
      <w:r w:rsidR="000A5329" w:rsidRPr="002029AF">
        <w:t xml:space="preserve"> </w:t>
      </w:r>
      <w:r w:rsidRPr="002029AF">
        <w:t>fair</w:t>
      </w:r>
      <w:r w:rsidR="000A5329" w:rsidRPr="002029AF">
        <w:t xml:space="preserve"> </w:t>
      </w:r>
      <w:r w:rsidRPr="002029AF">
        <w:t>value</w:t>
      </w:r>
      <w:r w:rsidR="000A5329" w:rsidRPr="002029AF">
        <w:t xml:space="preserve"> </w:t>
      </w:r>
      <w:r w:rsidRPr="002029AF">
        <w:t>for</w:t>
      </w:r>
      <w:r w:rsidR="000A5329" w:rsidRPr="002029AF">
        <w:t xml:space="preserve"> </w:t>
      </w:r>
      <w:r w:rsidRPr="002029AF">
        <w:t>financial</w:t>
      </w:r>
      <w:r w:rsidR="000A5329" w:rsidRPr="002029AF">
        <w:t xml:space="preserve"> </w:t>
      </w:r>
      <w:r w:rsidRPr="002029AF">
        <w:t>reporting</w:t>
      </w:r>
      <w:r w:rsidR="000A5329" w:rsidRPr="002029AF">
        <w:t xml:space="preserve"> </w:t>
      </w:r>
      <w:r w:rsidRPr="002029AF">
        <w:t>purposes.</w:t>
      </w:r>
      <w:r w:rsidR="000A5329" w:rsidRPr="002029AF">
        <w:t xml:space="preserve"> </w:t>
      </w:r>
      <w:r w:rsidRPr="002029AF">
        <w:t>Fair</w:t>
      </w:r>
      <w:r w:rsidR="000A5329" w:rsidRPr="002029AF">
        <w:t xml:space="preserve"> </w:t>
      </w:r>
      <w:r w:rsidRPr="002029AF">
        <w:t>value</w:t>
      </w:r>
      <w:r w:rsidR="000A5329" w:rsidRPr="002029AF">
        <w:t xml:space="preserve"> </w:t>
      </w:r>
      <w:r w:rsidRPr="002029AF">
        <w:t>is</w:t>
      </w:r>
      <w:r w:rsidR="000A5329" w:rsidRPr="002029AF">
        <w:t xml:space="preserve"> </w:t>
      </w:r>
      <w:r w:rsidRPr="002029AF">
        <w:t>the</w:t>
      </w:r>
      <w:r w:rsidR="000A5329" w:rsidRPr="002029AF">
        <w:t xml:space="preserve"> </w:t>
      </w:r>
      <w:r w:rsidRPr="002029AF">
        <w:t>price</w:t>
      </w:r>
      <w:r w:rsidR="000A5329" w:rsidRPr="002029AF">
        <w:t xml:space="preserve"> </w:t>
      </w:r>
      <w:r w:rsidRPr="002029AF">
        <w:t>that</w:t>
      </w:r>
      <w:r w:rsidR="000A5329" w:rsidRPr="002029AF">
        <w:t xml:space="preserve"> </w:t>
      </w:r>
      <w:r w:rsidRPr="002029AF">
        <w:t>would</w:t>
      </w:r>
      <w:r w:rsidR="000A5329" w:rsidRPr="002029AF">
        <w:t xml:space="preserve"> </w:t>
      </w:r>
      <w:r w:rsidRPr="002029AF">
        <w:t>be</w:t>
      </w:r>
      <w:r w:rsidR="000A5329" w:rsidRPr="002029AF">
        <w:t xml:space="preserve"> </w:t>
      </w:r>
      <w:r w:rsidRPr="002029AF">
        <w:t>received</w:t>
      </w:r>
      <w:r w:rsidR="000A5329" w:rsidRPr="002029AF">
        <w:t xml:space="preserve"> </w:t>
      </w:r>
      <w:r w:rsidRPr="002029AF">
        <w:t>to</w:t>
      </w:r>
      <w:r w:rsidR="000A5329" w:rsidRPr="002029AF">
        <w:t xml:space="preserve"> </w:t>
      </w:r>
      <w:r w:rsidRPr="002029AF">
        <w:t>sell</w:t>
      </w:r>
      <w:r w:rsidR="000A5329" w:rsidRPr="002029AF">
        <w:t xml:space="preserve"> </w:t>
      </w:r>
      <w:r w:rsidRPr="002029AF">
        <w:t>an</w:t>
      </w:r>
      <w:r w:rsidR="000A5329" w:rsidRPr="002029AF">
        <w:t xml:space="preserve"> </w:t>
      </w:r>
      <w:r w:rsidRPr="002029AF">
        <w:t>asset</w:t>
      </w:r>
      <w:r w:rsidR="000A5329" w:rsidRPr="002029AF">
        <w:t xml:space="preserve"> </w:t>
      </w:r>
      <w:r w:rsidRPr="002029AF">
        <w:t>or</w:t>
      </w:r>
      <w:r w:rsidR="000A5329" w:rsidRPr="002029AF">
        <w:t xml:space="preserve"> </w:t>
      </w:r>
      <w:r w:rsidRPr="002029AF">
        <w:t>paid</w:t>
      </w:r>
      <w:r w:rsidR="000A5329" w:rsidRPr="002029AF">
        <w:t xml:space="preserve"> </w:t>
      </w:r>
      <w:r w:rsidRPr="002029AF">
        <w:t>to</w:t>
      </w:r>
      <w:r w:rsidR="000A5329" w:rsidRPr="002029AF">
        <w:t xml:space="preserve"> </w:t>
      </w:r>
      <w:r w:rsidRPr="002029AF">
        <w:t>transfer</w:t>
      </w:r>
      <w:r w:rsidR="000A5329" w:rsidRPr="002029AF">
        <w:t xml:space="preserve"> </w:t>
      </w:r>
      <w:r w:rsidRPr="002029AF">
        <w:t>a</w:t>
      </w:r>
      <w:r w:rsidR="000A5329" w:rsidRPr="002029AF">
        <w:t xml:space="preserve"> </w:t>
      </w:r>
      <w:r w:rsidRPr="002029AF">
        <w:t>liability</w:t>
      </w:r>
      <w:r w:rsidR="000A5329" w:rsidRPr="002029AF">
        <w:t xml:space="preserve"> </w:t>
      </w:r>
      <w:r w:rsidRPr="002029AF">
        <w:t>in</w:t>
      </w:r>
      <w:r w:rsidR="000A5329" w:rsidRPr="002029AF">
        <w:t xml:space="preserve"> </w:t>
      </w:r>
      <w:r w:rsidRPr="002029AF">
        <w:t>an</w:t>
      </w:r>
      <w:r w:rsidR="000A5329" w:rsidRPr="002029AF">
        <w:t xml:space="preserve"> </w:t>
      </w:r>
      <w:r w:rsidRPr="002029AF">
        <w:t>orderly</w:t>
      </w:r>
      <w:r w:rsidR="000A5329" w:rsidRPr="002029AF">
        <w:t xml:space="preserve"> </w:t>
      </w:r>
      <w:r w:rsidRPr="002029AF">
        <w:t>transaction</w:t>
      </w:r>
      <w:r w:rsidR="000A5329" w:rsidRPr="002029AF">
        <w:t xml:space="preserve"> </w:t>
      </w:r>
      <w:r w:rsidRPr="002029AF">
        <w:t>between</w:t>
      </w:r>
      <w:r w:rsidR="000A5329" w:rsidRPr="002029AF">
        <w:t xml:space="preserve"> </w:t>
      </w:r>
      <w:r w:rsidRPr="002029AF">
        <w:t>market</w:t>
      </w:r>
      <w:r w:rsidR="000A5329" w:rsidRPr="002029AF">
        <w:t xml:space="preserve"> </w:t>
      </w:r>
      <w:r w:rsidRPr="002029AF">
        <w:t>participants</w:t>
      </w:r>
      <w:r w:rsidR="000A5329" w:rsidRPr="002029AF">
        <w:t xml:space="preserve"> </w:t>
      </w:r>
      <w:r w:rsidRPr="002029AF">
        <w:t>at</w:t>
      </w:r>
      <w:r w:rsidR="000A5329" w:rsidRPr="002029AF">
        <w:t xml:space="preserve"> </w:t>
      </w:r>
      <w:r w:rsidRPr="002029AF">
        <w:t>the</w:t>
      </w:r>
      <w:r w:rsidR="000A5329" w:rsidRPr="002029AF">
        <w:t xml:space="preserve"> </w:t>
      </w:r>
      <w:r w:rsidRPr="002029AF">
        <w:t>measurement</w:t>
      </w:r>
      <w:r w:rsidR="000A5329" w:rsidRPr="002029AF">
        <w:t xml:space="preserve"> </w:t>
      </w:r>
      <w:r w:rsidRPr="002029AF">
        <w:t>date.</w:t>
      </w:r>
    </w:p>
    <w:p w14:paraId="6D75A3CC" w14:textId="79C28C7D" w:rsidR="00087B91" w:rsidRPr="002029AF" w:rsidRDefault="00087B91" w:rsidP="00087B91">
      <w:pPr>
        <w:pStyle w:val="ARfinbody"/>
      </w:pPr>
      <w:r w:rsidRPr="002029AF">
        <w:t>The</w:t>
      </w:r>
      <w:r w:rsidR="000A5329" w:rsidRPr="002029AF">
        <w:t xml:space="preserve"> </w:t>
      </w:r>
      <w:r w:rsidRPr="002029AF">
        <w:t>following</w:t>
      </w:r>
      <w:r w:rsidR="000A5329" w:rsidRPr="002029AF">
        <w:t xml:space="preserve"> </w:t>
      </w:r>
      <w:r w:rsidRPr="002029AF">
        <w:t>assets</w:t>
      </w:r>
      <w:r w:rsidR="000A5329" w:rsidRPr="002029AF">
        <w:t xml:space="preserve"> </w:t>
      </w:r>
      <w:r w:rsidRPr="002029AF">
        <w:t>and</w:t>
      </w:r>
      <w:r w:rsidR="000A5329" w:rsidRPr="002029AF">
        <w:t xml:space="preserve"> </w:t>
      </w:r>
      <w:r w:rsidRPr="002029AF">
        <w:t>liabilities</w:t>
      </w:r>
      <w:r w:rsidR="000A5329" w:rsidRPr="002029AF">
        <w:t xml:space="preserve"> </w:t>
      </w:r>
      <w:r w:rsidRPr="002029AF">
        <w:t>are</w:t>
      </w:r>
      <w:r w:rsidR="000A5329" w:rsidRPr="002029AF">
        <w:t xml:space="preserve"> </w:t>
      </w:r>
      <w:r w:rsidRPr="002029AF">
        <w:t>carried</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p w14:paraId="5519AD10" w14:textId="14BD24C1" w:rsidR="00087B91" w:rsidRPr="002029AF" w:rsidRDefault="00087B91" w:rsidP="00087B91">
      <w:pPr>
        <w:pStyle w:val="ARfinbullet1"/>
      </w:pPr>
      <w:r w:rsidRPr="002029AF">
        <w:t>financial</w:t>
      </w:r>
      <w:r w:rsidR="000A5329" w:rsidRPr="002029AF">
        <w:t xml:space="preserve"> </w:t>
      </w:r>
      <w:r w:rsidRPr="002029AF">
        <w:t>assets</w:t>
      </w:r>
      <w:r w:rsidR="000A5329" w:rsidRPr="002029AF">
        <w:t xml:space="preserve"> </w:t>
      </w:r>
      <w:r w:rsidRPr="002029AF">
        <w:t>and</w:t>
      </w:r>
      <w:r w:rsidR="000A5329" w:rsidRPr="002029AF">
        <w:t xml:space="preserve"> </w:t>
      </w:r>
      <w:r w:rsidRPr="002029AF">
        <w:t>liabilities</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r w:rsidR="000A5329" w:rsidRPr="002029AF">
        <w:t xml:space="preserve"> </w:t>
      </w:r>
      <w:r w:rsidRPr="002029AF">
        <w:t>through</w:t>
      </w:r>
      <w:r w:rsidR="000A5329" w:rsidRPr="002029AF">
        <w:t xml:space="preserve"> </w:t>
      </w:r>
      <w:r w:rsidRPr="002029AF">
        <w:t>‘other</w:t>
      </w:r>
      <w:r w:rsidR="000A5329" w:rsidRPr="002029AF">
        <w:t xml:space="preserve"> </w:t>
      </w:r>
      <w:r w:rsidRPr="002029AF">
        <w:t>comprehensive</w:t>
      </w:r>
      <w:r w:rsidR="000A5329" w:rsidRPr="002029AF">
        <w:t xml:space="preserve"> </w:t>
      </w:r>
      <w:r w:rsidRPr="002029AF">
        <w:t>income’</w:t>
      </w:r>
    </w:p>
    <w:p w14:paraId="551124A4" w14:textId="7D7299CA" w:rsidR="00087B91" w:rsidRPr="002029AF" w:rsidRDefault="00087B91" w:rsidP="00087B91">
      <w:pPr>
        <w:pStyle w:val="ARfinbullet1"/>
      </w:pPr>
      <w:r w:rsidRPr="002029AF">
        <w:t>land,</w:t>
      </w:r>
      <w:r w:rsidR="000A5329" w:rsidRPr="002029AF">
        <w:t xml:space="preserve"> </w:t>
      </w:r>
      <w:r w:rsidRPr="002029AF">
        <w:t>buildings,</w:t>
      </w:r>
      <w:r w:rsidR="000A5329" w:rsidRPr="002029AF">
        <w:t xml:space="preserve"> </w:t>
      </w:r>
      <w:r w:rsidRPr="002029AF">
        <w:t>plant</w:t>
      </w:r>
      <w:r w:rsidR="000A5329" w:rsidRPr="002029AF">
        <w:t xml:space="preserve"> </w:t>
      </w:r>
      <w:r w:rsidRPr="002029AF">
        <w:t>and</w:t>
      </w:r>
      <w:r w:rsidR="000A5329" w:rsidRPr="002029AF">
        <w:t xml:space="preserve"> </w:t>
      </w:r>
      <w:r w:rsidRPr="002029AF">
        <w:t>equipment</w:t>
      </w:r>
    </w:p>
    <w:p w14:paraId="0DB77BA7" w14:textId="5FA4B2D6" w:rsidR="00087B91" w:rsidRPr="002029AF" w:rsidRDefault="00087B91" w:rsidP="002A5CF0">
      <w:pPr>
        <w:pStyle w:val="ARfinbody"/>
      </w:pPr>
      <w:r w:rsidRPr="002029AF">
        <w:t>In</w:t>
      </w:r>
      <w:r w:rsidR="000A5329" w:rsidRPr="002029AF">
        <w:t xml:space="preserve"> </w:t>
      </w:r>
      <w:r w:rsidRPr="002029AF">
        <w:t>addition,</w:t>
      </w:r>
      <w:r w:rsidR="000A5329" w:rsidRPr="002029AF">
        <w:t xml:space="preserve"> </w:t>
      </w:r>
      <w:r w:rsidRPr="002029AF">
        <w:t>the</w:t>
      </w:r>
      <w:r w:rsidR="000A5329" w:rsidRPr="002029AF">
        <w:t xml:space="preserve"> </w:t>
      </w:r>
      <w:r w:rsidRPr="002029AF">
        <w:t>fair</w:t>
      </w:r>
      <w:r w:rsidR="000A5329" w:rsidRPr="002029AF">
        <w:t xml:space="preserve"> </w:t>
      </w:r>
      <w:r w:rsidRPr="002029AF">
        <w:t>values</w:t>
      </w:r>
      <w:r w:rsidR="000A5329" w:rsidRPr="002029AF">
        <w:t xml:space="preserve"> </w:t>
      </w:r>
      <w:r w:rsidRPr="002029AF">
        <w:t>of</w:t>
      </w:r>
      <w:r w:rsidR="000A5329" w:rsidRPr="002029AF">
        <w:t xml:space="preserve"> </w:t>
      </w:r>
      <w:r w:rsidRPr="002029AF">
        <w:t>other</w:t>
      </w:r>
      <w:r w:rsidR="000A5329" w:rsidRPr="002029AF">
        <w:t xml:space="preserve"> </w:t>
      </w:r>
      <w:r w:rsidRPr="002029AF">
        <w:t>assets</w:t>
      </w:r>
      <w:r w:rsidR="000A5329" w:rsidRPr="002029AF">
        <w:t xml:space="preserve"> </w:t>
      </w:r>
      <w:r w:rsidRPr="002029AF">
        <w:t>and</w:t>
      </w:r>
      <w:r w:rsidR="000A5329" w:rsidRPr="002029AF">
        <w:t xml:space="preserve"> </w:t>
      </w:r>
      <w:r w:rsidRPr="002029AF">
        <w:t>liabilities</w:t>
      </w:r>
      <w:r w:rsidR="000A5329" w:rsidRPr="002029AF">
        <w:t xml:space="preserve"> </w:t>
      </w:r>
      <w:r w:rsidRPr="002029AF">
        <w:t>which</w:t>
      </w:r>
      <w:r w:rsidR="000A5329" w:rsidRPr="002029AF">
        <w:t xml:space="preserve"> </w:t>
      </w:r>
      <w:r w:rsidRPr="002029AF">
        <w:t>are</w:t>
      </w:r>
      <w:r w:rsidR="000A5329" w:rsidRPr="002029AF">
        <w:t xml:space="preserve"> </w:t>
      </w:r>
      <w:r w:rsidRPr="002029AF">
        <w:t>carried</w:t>
      </w:r>
      <w:r w:rsidR="000A5329" w:rsidRPr="002029AF">
        <w:t xml:space="preserve"> </w:t>
      </w:r>
      <w:r w:rsidRPr="002029AF">
        <w:t>at</w:t>
      </w:r>
      <w:r w:rsidR="000A5329" w:rsidRPr="002029AF">
        <w:t xml:space="preserve"> </w:t>
      </w:r>
      <w:r w:rsidRPr="002029AF">
        <w:t>amortised</w:t>
      </w:r>
      <w:r w:rsidR="000A5329" w:rsidRPr="002029AF">
        <w:t xml:space="preserve"> </w:t>
      </w:r>
      <w:r w:rsidRPr="002029AF">
        <w:t>cost,</w:t>
      </w:r>
      <w:r w:rsidR="000A5329" w:rsidRPr="002029AF">
        <w:t xml:space="preserve"> </w:t>
      </w:r>
      <w:r w:rsidRPr="002029AF">
        <w:t>also</w:t>
      </w:r>
      <w:r w:rsidR="000A5329" w:rsidRPr="002029AF">
        <w:t xml:space="preserve"> </w:t>
      </w:r>
      <w:r w:rsidRPr="002029AF">
        <w:t>need</w:t>
      </w:r>
      <w:r w:rsidR="000A5329" w:rsidRPr="002029AF">
        <w:t xml:space="preserve"> </w:t>
      </w:r>
      <w:r w:rsidRPr="002029AF">
        <w:t>to</w:t>
      </w:r>
      <w:r w:rsidR="000A5329" w:rsidRPr="002029AF">
        <w:t xml:space="preserve"> </w:t>
      </w:r>
      <w:r w:rsidRPr="002029AF">
        <w:t>be</w:t>
      </w:r>
      <w:r w:rsidR="000A5329" w:rsidRPr="002029AF">
        <w:t xml:space="preserve"> </w:t>
      </w:r>
      <w:r w:rsidRPr="002029AF">
        <w:t>determined</w:t>
      </w:r>
      <w:r w:rsidR="000A5329" w:rsidRPr="002029AF">
        <w:t xml:space="preserve"> </w:t>
      </w:r>
      <w:r w:rsidRPr="002029AF">
        <w:t>for</w:t>
      </w:r>
      <w:r w:rsidR="000A5329" w:rsidRPr="002029AF">
        <w:t xml:space="preserve"> </w:t>
      </w:r>
      <w:r w:rsidRPr="002029AF">
        <w:t>disclosure</w:t>
      </w:r>
      <w:r w:rsidR="000A5329" w:rsidRPr="002029AF">
        <w:t xml:space="preserve"> </w:t>
      </w:r>
      <w:r w:rsidRPr="002029AF">
        <w:t>purposes.</w:t>
      </w:r>
    </w:p>
    <w:p w14:paraId="530F6180" w14:textId="7274706A" w:rsidR="00087B91" w:rsidRPr="002029AF" w:rsidRDefault="00087B91" w:rsidP="00087B91">
      <w:pPr>
        <w:pStyle w:val="ARfinbody"/>
      </w:pPr>
      <w:r w:rsidRPr="002029AF">
        <w:t>The</w:t>
      </w:r>
      <w:r w:rsidR="000A5329" w:rsidRPr="002029AF">
        <w:t xml:space="preserve"> </w:t>
      </w:r>
      <w:r w:rsidRPr="002029AF">
        <w:t>department</w:t>
      </w:r>
      <w:r w:rsidR="000A5329" w:rsidRPr="002029AF">
        <w:t xml:space="preserve"> </w:t>
      </w:r>
      <w:r w:rsidRPr="002029AF">
        <w:t>determines</w:t>
      </w:r>
      <w:r w:rsidR="000A5329" w:rsidRPr="002029AF">
        <w:t xml:space="preserve"> </w:t>
      </w:r>
      <w:r w:rsidRPr="002029AF">
        <w:t>the</w:t>
      </w:r>
      <w:r w:rsidR="000A5329" w:rsidRPr="002029AF">
        <w:t xml:space="preserve"> </w:t>
      </w:r>
      <w:r w:rsidRPr="002029AF">
        <w:t>policies</w:t>
      </w:r>
      <w:r w:rsidR="000A5329" w:rsidRPr="002029AF">
        <w:t xml:space="preserve"> </w:t>
      </w:r>
      <w:r w:rsidRPr="002029AF">
        <w:t>and</w:t>
      </w:r>
      <w:r w:rsidR="000A5329" w:rsidRPr="002029AF">
        <w:t xml:space="preserve"> </w:t>
      </w:r>
      <w:r w:rsidRPr="002029AF">
        <w:t>procedures</w:t>
      </w:r>
      <w:r w:rsidR="000A5329" w:rsidRPr="002029AF">
        <w:t xml:space="preserve"> </w:t>
      </w:r>
      <w:r w:rsidRPr="002029AF">
        <w:t>for</w:t>
      </w:r>
      <w:r w:rsidR="000A5329" w:rsidRPr="002029AF">
        <w:t xml:space="preserve"> </w:t>
      </w:r>
      <w:r w:rsidRPr="002029AF">
        <w:t>determining</w:t>
      </w:r>
      <w:r w:rsidR="000A5329" w:rsidRPr="002029AF">
        <w:t xml:space="preserve"> </w:t>
      </w:r>
      <w:r w:rsidRPr="002029AF">
        <w:t>fair</w:t>
      </w:r>
      <w:r w:rsidR="000A5329" w:rsidRPr="002029AF">
        <w:t xml:space="preserve"> </w:t>
      </w:r>
      <w:r w:rsidRPr="002029AF">
        <w:t>values</w:t>
      </w:r>
      <w:r w:rsidR="000A5329" w:rsidRPr="002029AF">
        <w:t xml:space="preserve"> </w:t>
      </w:r>
      <w:r w:rsidRPr="002029AF">
        <w:t>for</w:t>
      </w:r>
      <w:r w:rsidR="000A5329" w:rsidRPr="002029AF">
        <w:t xml:space="preserve"> </w:t>
      </w:r>
      <w:r w:rsidRPr="002029AF">
        <w:t>both</w:t>
      </w:r>
      <w:r w:rsidR="000A5329" w:rsidRPr="002029AF">
        <w:t xml:space="preserve"> </w:t>
      </w:r>
      <w:r w:rsidRPr="002029AF">
        <w:t>financial</w:t>
      </w:r>
      <w:r w:rsidR="000A5329" w:rsidRPr="002029AF">
        <w:t xml:space="preserve"> </w:t>
      </w:r>
      <w:r w:rsidRPr="002029AF">
        <w:t>and</w:t>
      </w:r>
      <w:r w:rsidR="000A5329" w:rsidRPr="002029AF">
        <w:t xml:space="preserve"> </w:t>
      </w:r>
      <w:r w:rsidRPr="002029AF">
        <w:t>non-financial</w:t>
      </w:r>
      <w:r w:rsidR="000A5329" w:rsidRPr="002029AF">
        <w:t xml:space="preserve"> </w:t>
      </w:r>
      <w:r w:rsidRPr="002029AF">
        <w:t>assets</w:t>
      </w:r>
      <w:r w:rsidR="000A5329" w:rsidRPr="002029AF">
        <w:t xml:space="preserve"> </w:t>
      </w:r>
      <w:r w:rsidRPr="002029AF">
        <w:t>and</w:t>
      </w:r>
      <w:r w:rsidR="000A5329" w:rsidRPr="002029AF">
        <w:t xml:space="preserve"> </w:t>
      </w:r>
      <w:r w:rsidRPr="002029AF">
        <w:t>liabilities</w:t>
      </w:r>
      <w:r w:rsidR="000A5329" w:rsidRPr="002029AF">
        <w:t xml:space="preserve"> </w:t>
      </w:r>
      <w:r w:rsidRPr="002029AF">
        <w:t>as</w:t>
      </w:r>
      <w:r w:rsidR="000A5329" w:rsidRPr="002029AF">
        <w:t xml:space="preserve"> </w:t>
      </w:r>
      <w:r w:rsidRPr="002029AF">
        <w:t>required.</w:t>
      </w:r>
    </w:p>
    <w:p w14:paraId="101C4F4F" w14:textId="207C1C9D" w:rsidR="00087B91" w:rsidRPr="002029AF" w:rsidRDefault="00087B91" w:rsidP="00087B91">
      <w:pPr>
        <w:pStyle w:val="Heading5"/>
      </w:pPr>
      <w:r w:rsidRPr="002029AF">
        <w:t>Fair</w:t>
      </w:r>
      <w:r w:rsidR="000A5329" w:rsidRPr="002029AF">
        <w:t xml:space="preserve"> </w:t>
      </w:r>
      <w:r w:rsidRPr="002029AF">
        <w:t>value</w:t>
      </w:r>
      <w:r w:rsidR="000A5329" w:rsidRPr="002029AF">
        <w:t xml:space="preserve"> </w:t>
      </w:r>
      <w:r w:rsidRPr="002029AF">
        <w:t>hierarchy</w:t>
      </w:r>
    </w:p>
    <w:p w14:paraId="291B3B14" w14:textId="79C69FFC" w:rsidR="00087B91" w:rsidRPr="002029AF" w:rsidRDefault="00087B91" w:rsidP="00087B91">
      <w:pPr>
        <w:pStyle w:val="ARfinbody"/>
      </w:pPr>
      <w:r w:rsidRPr="002029AF">
        <w:t>In</w:t>
      </w:r>
      <w:r w:rsidR="000A5329" w:rsidRPr="002029AF">
        <w:t xml:space="preserve"> </w:t>
      </w:r>
      <w:r w:rsidRPr="002029AF">
        <w:t>determining</w:t>
      </w:r>
      <w:r w:rsidR="000A5329" w:rsidRPr="002029AF">
        <w:t xml:space="preserve"> </w:t>
      </w:r>
      <w:r w:rsidRPr="002029AF">
        <w:t>fair</w:t>
      </w:r>
      <w:r w:rsidR="000A5329" w:rsidRPr="002029AF">
        <w:t xml:space="preserve"> </w:t>
      </w:r>
      <w:r w:rsidRPr="002029AF">
        <w:t>values</w:t>
      </w:r>
      <w:r w:rsidR="7B603FE8" w:rsidRPr="002029AF">
        <w:t>,</w:t>
      </w:r>
      <w:r w:rsidR="000A5329" w:rsidRPr="002029AF">
        <w:t xml:space="preserve"> </w:t>
      </w:r>
      <w:r w:rsidRPr="002029AF">
        <w:t>a</w:t>
      </w:r>
      <w:r w:rsidR="000A5329" w:rsidRPr="002029AF">
        <w:t xml:space="preserve"> </w:t>
      </w:r>
      <w:r w:rsidRPr="002029AF">
        <w:t>number</w:t>
      </w:r>
      <w:r w:rsidR="000A5329" w:rsidRPr="002029AF">
        <w:t xml:space="preserve"> </w:t>
      </w:r>
      <w:r w:rsidRPr="002029AF">
        <w:t>of</w:t>
      </w:r>
      <w:r w:rsidR="000A5329" w:rsidRPr="002029AF">
        <w:t xml:space="preserve"> </w:t>
      </w:r>
      <w:r w:rsidRPr="002029AF">
        <w:t>inputs</w:t>
      </w:r>
      <w:r w:rsidR="000A5329" w:rsidRPr="002029AF">
        <w:t xml:space="preserve"> </w:t>
      </w:r>
      <w:r w:rsidRPr="002029AF">
        <w:t>are</w:t>
      </w:r>
      <w:r w:rsidR="000A5329" w:rsidRPr="002029AF">
        <w:t xml:space="preserve"> </w:t>
      </w:r>
      <w:r w:rsidRPr="002029AF">
        <w:t>used.</w:t>
      </w:r>
      <w:r w:rsidR="000A5329" w:rsidRPr="002029AF">
        <w:t xml:space="preserve"> </w:t>
      </w:r>
      <w:r w:rsidRPr="002029AF">
        <w:t>To</w:t>
      </w:r>
      <w:r w:rsidR="000A5329" w:rsidRPr="002029AF">
        <w:t xml:space="preserve"> </w:t>
      </w:r>
      <w:r w:rsidRPr="002029AF">
        <w:t>increase</w:t>
      </w:r>
      <w:r w:rsidR="000A5329" w:rsidRPr="002029AF">
        <w:t xml:space="preserve"> </w:t>
      </w:r>
      <w:r w:rsidRPr="002029AF">
        <w:t>consistency</w:t>
      </w:r>
      <w:r w:rsidR="000A5329" w:rsidRPr="002029AF">
        <w:t xml:space="preserve"> </w:t>
      </w:r>
      <w:r w:rsidRPr="002029AF">
        <w:t>and</w:t>
      </w:r>
      <w:r w:rsidR="000A5329" w:rsidRPr="002029AF">
        <w:t xml:space="preserve"> </w:t>
      </w:r>
      <w:r w:rsidRPr="002029AF">
        <w:t>comparability</w:t>
      </w:r>
      <w:r w:rsidR="000A5329" w:rsidRPr="002029AF">
        <w:t xml:space="preserve"> </w:t>
      </w:r>
      <w:r w:rsidRPr="002029AF">
        <w:t>in</w:t>
      </w:r>
      <w:r w:rsidR="000A5329" w:rsidRPr="002029AF">
        <w:t xml:space="preserve"> </w:t>
      </w:r>
      <w:r w:rsidRPr="002029AF">
        <w:t>the</w:t>
      </w:r>
      <w:r w:rsidR="000A5329" w:rsidRPr="002029AF">
        <w:t xml:space="preserve"> </w:t>
      </w:r>
      <w:r w:rsidRPr="002029AF">
        <w:t>financial</w:t>
      </w:r>
      <w:r w:rsidR="000A5329" w:rsidRPr="002029AF">
        <w:t xml:space="preserve"> </w:t>
      </w:r>
      <w:r w:rsidRPr="002029AF">
        <w:t>statements,</w:t>
      </w:r>
      <w:r w:rsidR="000A5329" w:rsidRPr="002029AF">
        <w:t xml:space="preserve"> </w:t>
      </w:r>
      <w:r w:rsidRPr="002029AF">
        <w:t>these</w:t>
      </w:r>
      <w:r w:rsidR="000A5329" w:rsidRPr="002029AF">
        <w:t xml:space="preserve"> </w:t>
      </w:r>
      <w:r w:rsidRPr="002029AF">
        <w:t>inputs</w:t>
      </w:r>
      <w:r w:rsidR="000A5329" w:rsidRPr="002029AF">
        <w:t xml:space="preserve"> </w:t>
      </w:r>
      <w:r w:rsidRPr="002029AF">
        <w:t>are</w:t>
      </w:r>
      <w:r w:rsidR="000A5329" w:rsidRPr="002029AF">
        <w:t xml:space="preserve"> </w:t>
      </w:r>
      <w:r w:rsidRPr="002029AF">
        <w:t>categorised</w:t>
      </w:r>
      <w:r w:rsidR="000A5329" w:rsidRPr="002029AF">
        <w:t xml:space="preserve"> </w:t>
      </w:r>
      <w:r w:rsidRPr="002029AF">
        <w:t>into</w:t>
      </w:r>
      <w:r w:rsidR="000A5329" w:rsidRPr="002029AF">
        <w:t xml:space="preserve"> </w:t>
      </w:r>
      <w:r w:rsidRPr="002029AF">
        <w:t>three</w:t>
      </w:r>
      <w:r w:rsidR="000A5329" w:rsidRPr="002029AF">
        <w:t xml:space="preserve"> </w:t>
      </w:r>
      <w:r w:rsidRPr="002029AF">
        <w:t>levels,</w:t>
      </w:r>
      <w:r w:rsidR="000A5329" w:rsidRPr="002029AF">
        <w:t xml:space="preserve"> </w:t>
      </w:r>
      <w:r w:rsidRPr="002029AF">
        <w:t>also</w:t>
      </w:r>
      <w:r w:rsidR="000A5329" w:rsidRPr="002029AF">
        <w:t xml:space="preserve"> </w:t>
      </w:r>
      <w:r w:rsidRPr="002029AF">
        <w:t>known</w:t>
      </w:r>
      <w:r w:rsidR="000A5329" w:rsidRPr="002029AF">
        <w:t xml:space="preserve"> </w:t>
      </w:r>
      <w:r w:rsidRPr="002029AF">
        <w:t>as</w:t>
      </w:r>
      <w:r w:rsidR="000A5329" w:rsidRPr="002029AF">
        <w:t xml:space="preserve"> </w:t>
      </w:r>
      <w:r w:rsidRPr="002029AF">
        <w:t>the</w:t>
      </w:r>
      <w:r w:rsidR="000A5329" w:rsidRPr="002029AF">
        <w:t xml:space="preserve"> </w:t>
      </w:r>
      <w:r w:rsidRPr="002029AF">
        <w:t>fair</w:t>
      </w:r>
      <w:r w:rsidR="000A5329" w:rsidRPr="002029AF">
        <w:t xml:space="preserve"> </w:t>
      </w:r>
      <w:r w:rsidRPr="002029AF">
        <w:t>value</w:t>
      </w:r>
      <w:r w:rsidR="000A5329" w:rsidRPr="002029AF">
        <w:t xml:space="preserve"> </w:t>
      </w:r>
      <w:r w:rsidRPr="002029AF">
        <w:t>hierarchy.</w:t>
      </w:r>
      <w:r w:rsidR="000A5329" w:rsidRPr="002029AF">
        <w:t xml:space="preserve"> </w:t>
      </w:r>
      <w:r w:rsidRPr="002029AF">
        <w:t>The</w:t>
      </w:r>
      <w:r w:rsidR="000A5329" w:rsidRPr="002029AF">
        <w:t xml:space="preserve"> </w:t>
      </w:r>
      <w:r w:rsidRPr="002029AF">
        <w:t>levels</w:t>
      </w:r>
      <w:r w:rsidR="000A5329" w:rsidRPr="002029AF">
        <w:t xml:space="preserve"> </w:t>
      </w:r>
      <w:r w:rsidRPr="002029AF">
        <w:t>are</w:t>
      </w:r>
      <w:r w:rsidR="000A5329" w:rsidRPr="002029AF">
        <w:t xml:space="preserve"> </w:t>
      </w:r>
      <w:r w:rsidRPr="002029AF">
        <w:t>as</w:t>
      </w:r>
      <w:r w:rsidR="000A5329" w:rsidRPr="002029AF">
        <w:t xml:space="preserve"> </w:t>
      </w:r>
      <w:r w:rsidRPr="002029AF">
        <w:t>follows:</w:t>
      </w:r>
    </w:p>
    <w:p w14:paraId="14B63CA5" w14:textId="08B47996" w:rsidR="00087B91" w:rsidRPr="002029AF" w:rsidRDefault="00087B91" w:rsidP="00087B91">
      <w:pPr>
        <w:pStyle w:val="ARfinbullet1"/>
      </w:pPr>
      <w:r w:rsidRPr="002029AF">
        <w:t>Level</w:t>
      </w:r>
      <w:r w:rsidR="000A5329" w:rsidRPr="002029AF">
        <w:t xml:space="preserve"> </w:t>
      </w:r>
      <w:r w:rsidRPr="002029AF">
        <w:t>1</w:t>
      </w:r>
      <w:r w:rsidR="000A5329" w:rsidRPr="002029AF">
        <w:t xml:space="preserve"> </w:t>
      </w:r>
      <w:r w:rsidRPr="002029AF">
        <w:t>–</w:t>
      </w:r>
      <w:r w:rsidR="000A5329" w:rsidRPr="002029AF">
        <w:t xml:space="preserve"> </w:t>
      </w:r>
      <w:r w:rsidRPr="002029AF">
        <w:t>Quoted</w:t>
      </w:r>
      <w:r w:rsidR="000A5329" w:rsidRPr="002029AF">
        <w:t xml:space="preserve"> </w:t>
      </w:r>
      <w:r w:rsidRPr="002029AF">
        <w:t>(unadjusted)</w:t>
      </w:r>
      <w:r w:rsidR="000A5329" w:rsidRPr="002029AF">
        <w:t xml:space="preserve"> </w:t>
      </w:r>
      <w:r w:rsidRPr="002029AF">
        <w:t>market</w:t>
      </w:r>
      <w:r w:rsidR="000A5329" w:rsidRPr="002029AF">
        <w:t xml:space="preserve"> </w:t>
      </w:r>
      <w:r w:rsidRPr="002029AF">
        <w:t>prices</w:t>
      </w:r>
      <w:r w:rsidR="000A5329" w:rsidRPr="002029AF">
        <w:t xml:space="preserve"> </w:t>
      </w:r>
      <w:r w:rsidRPr="002029AF">
        <w:t>in</w:t>
      </w:r>
      <w:r w:rsidR="000A5329" w:rsidRPr="002029AF">
        <w:t xml:space="preserve"> </w:t>
      </w:r>
      <w:r w:rsidRPr="002029AF">
        <w:t>active</w:t>
      </w:r>
      <w:r w:rsidR="000A5329" w:rsidRPr="002029AF">
        <w:t xml:space="preserve"> </w:t>
      </w:r>
      <w:r w:rsidRPr="002029AF">
        <w:t>markets</w:t>
      </w:r>
      <w:r w:rsidR="000A5329" w:rsidRPr="002029AF">
        <w:t xml:space="preserve"> </w:t>
      </w:r>
      <w:r w:rsidRPr="002029AF">
        <w:t>for</w:t>
      </w:r>
      <w:r w:rsidR="000A5329" w:rsidRPr="002029AF">
        <w:t xml:space="preserve"> </w:t>
      </w:r>
      <w:r w:rsidRPr="002029AF">
        <w:t>identical</w:t>
      </w:r>
      <w:r w:rsidR="000A5329" w:rsidRPr="002029AF">
        <w:t xml:space="preserve"> </w:t>
      </w:r>
      <w:r w:rsidRPr="002029AF">
        <w:t>assets</w:t>
      </w:r>
      <w:r w:rsidR="000A5329" w:rsidRPr="002029AF">
        <w:t xml:space="preserve"> </w:t>
      </w:r>
      <w:r w:rsidRPr="002029AF">
        <w:t>or</w:t>
      </w:r>
      <w:r w:rsidR="000A5329" w:rsidRPr="002029AF">
        <w:t xml:space="preserve"> </w:t>
      </w:r>
      <w:r w:rsidRPr="002029AF">
        <w:t>liabilities</w:t>
      </w:r>
    </w:p>
    <w:p w14:paraId="2E413945" w14:textId="0DA2E5D9" w:rsidR="00087B91" w:rsidRPr="002029AF" w:rsidRDefault="00087B91" w:rsidP="00087B91">
      <w:pPr>
        <w:pStyle w:val="ARfinbullet1"/>
      </w:pPr>
      <w:r w:rsidRPr="002029AF">
        <w:t>Level</w:t>
      </w:r>
      <w:r w:rsidR="000A5329" w:rsidRPr="002029AF">
        <w:t xml:space="preserve"> </w:t>
      </w:r>
      <w:r w:rsidRPr="002029AF">
        <w:t>2</w:t>
      </w:r>
      <w:r w:rsidR="000A5329" w:rsidRPr="002029AF">
        <w:t xml:space="preserve"> </w:t>
      </w:r>
      <w:r w:rsidRPr="002029AF">
        <w:t>–</w:t>
      </w:r>
      <w:r w:rsidR="000A5329" w:rsidRPr="002029AF">
        <w:t xml:space="preserve"> </w:t>
      </w:r>
      <w:r w:rsidRPr="002029AF">
        <w:t>Valuation</w:t>
      </w:r>
      <w:r w:rsidR="000A5329" w:rsidRPr="002029AF">
        <w:t xml:space="preserve"> </w:t>
      </w:r>
      <w:r w:rsidRPr="002029AF">
        <w:t>techniques</w:t>
      </w:r>
      <w:r w:rsidR="000A5329" w:rsidRPr="002029AF">
        <w:t xml:space="preserve"> </w:t>
      </w:r>
      <w:r w:rsidRPr="002029AF">
        <w:t>for</w:t>
      </w:r>
      <w:r w:rsidR="000A5329" w:rsidRPr="002029AF">
        <w:t xml:space="preserve"> </w:t>
      </w:r>
      <w:r w:rsidRPr="002029AF">
        <w:t>which</w:t>
      </w:r>
      <w:r w:rsidR="000A5329" w:rsidRPr="002029AF">
        <w:t xml:space="preserve"> </w:t>
      </w:r>
      <w:r w:rsidRPr="002029AF">
        <w:t>the</w:t>
      </w:r>
      <w:r w:rsidR="000A5329" w:rsidRPr="002029AF">
        <w:t xml:space="preserve"> </w:t>
      </w:r>
      <w:r w:rsidRPr="002029AF">
        <w:t>lowest</w:t>
      </w:r>
      <w:r w:rsidR="000A5329" w:rsidRPr="002029AF">
        <w:t xml:space="preserve"> </w:t>
      </w:r>
      <w:r w:rsidRPr="002029AF">
        <w:t>level</w:t>
      </w:r>
      <w:r w:rsidR="000A5329" w:rsidRPr="002029AF">
        <w:t xml:space="preserve"> </w:t>
      </w:r>
      <w:r w:rsidRPr="002029AF">
        <w:t>input</w:t>
      </w:r>
      <w:r w:rsidR="000A5329" w:rsidRPr="002029AF">
        <w:t xml:space="preserve"> </w:t>
      </w:r>
      <w:r w:rsidRPr="002029AF">
        <w:t>that</w:t>
      </w:r>
      <w:r w:rsidR="000A5329" w:rsidRPr="002029AF">
        <w:t xml:space="preserve"> </w:t>
      </w:r>
      <w:r w:rsidRPr="002029AF">
        <w:t>is</w:t>
      </w:r>
      <w:r w:rsidR="000A5329" w:rsidRPr="002029AF">
        <w:t xml:space="preserve"> </w:t>
      </w:r>
      <w:r w:rsidRPr="002029AF">
        <w:t>significant</w:t>
      </w:r>
      <w:r w:rsidR="000A5329" w:rsidRPr="002029AF">
        <w:t xml:space="preserve"> </w:t>
      </w:r>
      <w:r w:rsidRPr="002029AF">
        <w:t>to</w:t>
      </w:r>
      <w:r w:rsidR="000A5329" w:rsidRPr="002029AF">
        <w:t xml:space="preserve"> </w:t>
      </w:r>
      <w:r w:rsidRPr="002029AF">
        <w:t>the</w:t>
      </w:r>
      <w:r w:rsidR="000A5329" w:rsidRPr="002029AF">
        <w:t xml:space="preserve"> </w:t>
      </w:r>
      <w:r w:rsidRPr="002029AF">
        <w:t>fair</w:t>
      </w:r>
      <w:r w:rsidR="000A5329" w:rsidRPr="002029AF">
        <w:t xml:space="preserve"> </w:t>
      </w:r>
      <w:r w:rsidRPr="002029AF">
        <w:t>value</w:t>
      </w:r>
      <w:r w:rsidR="000A5329" w:rsidRPr="002029AF">
        <w:t xml:space="preserve"> </w:t>
      </w:r>
      <w:r w:rsidRPr="002029AF">
        <w:t>measurement</w:t>
      </w:r>
      <w:r w:rsidR="000A5329" w:rsidRPr="002029AF">
        <w:t xml:space="preserve"> </w:t>
      </w:r>
      <w:r w:rsidRPr="002029AF">
        <w:t>is</w:t>
      </w:r>
      <w:r w:rsidR="000A5329" w:rsidRPr="002029AF">
        <w:t xml:space="preserve"> </w:t>
      </w:r>
      <w:r w:rsidRPr="002029AF">
        <w:t>directly</w:t>
      </w:r>
      <w:r w:rsidR="000A5329" w:rsidRPr="002029AF">
        <w:t xml:space="preserve"> </w:t>
      </w:r>
      <w:r w:rsidRPr="002029AF">
        <w:t>or</w:t>
      </w:r>
      <w:r w:rsidR="000A5329" w:rsidRPr="002029AF">
        <w:t xml:space="preserve"> </w:t>
      </w:r>
      <w:r w:rsidRPr="002029AF">
        <w:t>indirectly</w:t>
      </w:r>
      <w:r w:rsidR="000A5329" w:rsidRPr="002029AF">
        <w:t xml:space="preserve"> </w:t>
      </w:r>
      <w:r w:rsidRPr="002029AF">
        <w:t>observable</w:t>
      </w:r>
    </w:p>
    <w:p w14:paraId="173ECFCE" w14:textId="45A0DD03" w:rsidR="00087B91" w:rsidRPr="002029AF" w:rsidRDefault="00087B91" w:rsidP="00087B91">
      <w:pPr>
        <w:pStyle w:val="ARfinbullet1"/>
      </w:pPr>
      <w:r w:rsidRPr="002029AF">
        <w:t>Level</w:t>
      </w:r>
      <w:r w:rsidR="000A5329" w:rsidRPr="002029AF">
        <w:t xml:space="preserve"> </w:t>
      </w:r>
      <w:r w:rsidRPr="002029AF">
        <w:t>3</w:t>
      </w:r>
      <w:r w:rsidR="000A5329" w:rsidRPr="002029AF">
        <w:t xml:space="preserve"> </w:t>
      </w:r>
      <w:r w:rsidRPr="002029AF">
        <w:t>–</w:t>
      </w:r>
      <w:r w:rsidR="000A5329" w:rsidRPr="002029AF">
        <w:t xml:space="preserve"> </w:t>
      </w:r>
      <w:r w:rsidRPr="002029AF">
        <w:t>Valuation</w:t>
      </w:r>
      <w:r w:rsidR="000A5329" w:rsidRPr="002029AF">
        <w:t xml:space="preserve"> </w:t>
      </w:r>
      <w:r w:rsidRPr="002029AF">
        <w:t>techniques</w:t>
      </w:r>
      <w:r w:rsidR="000A5329" w:rsidRPr="002029AF">
        <w:t xml:space="preserve"> </w:t>
      </w:r>
      <w:r w:rsidRPr="002029AF">
        <w:t>for</w:t>
      </w:r>
      <w:r w:rsidR="000A5329" w:rsidRPr="002029AF">
        <w:t xml:space="preserve"> </w:t>
      </w:r>
      <w:r w:rsidRPr="002029AF">
        <w:t>which</w:t>
      </w:r>
      <w:r w:rsidR="000A5329" w:rsidRPr="002029AF">
        <w:t xml:space="preserve"> </w:t>
      </w:r>
      <w:r w:rsidRPr="002029AF">
        <w:t>the</w:t>
      </w:r>
      <w:r w:rsidR="000A5329" w:rsidRPr="002029AF">
        <w:t xml:space="preserve"> </w:t>
      </w:r>
      <w:r w:rsidRPr="002029AF">
        <w:t>lowest</w:t>
      </w:r>
      <w:r w:rsidR="000A5329" w:rsidRPr="002029AF">
        <w:t xml:space="preserve"> </w:t>
      </w:r>
      <w:r w:rsidRPr="002029AF">
        <w:t>level</w:t>
      </w:r>
      <w:r w:rsidR="000A5329" w:rsidRPr="002029AF">
        <w:t xml:space="preserve"> </w:t>
      </w:r>
      <w:r w:rsidRPr="002029AF">
        <w:t>input</w:t>
      </w:r>
      <w:r w:rsidR="000A5329" w:rsidRPr="002029AF">
        <w:t xml:space="preserve"> </w:t>
      </w:r>
      <w:r w:rsidRPr="002029AF">
        <w:t>that</w:t>
      </w:r>
      <w:r w:rsidR="000A5329" w:rsidRPr="002029AF">
        <w:t xml:space="preserve"> </w:t>
      </w:r>
      <w:r w:rsidRPr="002029AF">
        <w:t>is</w:t>
      </w:r>
      <w:r w:rsidR="000A5329" w:rsidRPr="002029AF">
        <w:t xml:space="preserve"> </w:t>
      </w:r>
      <w:r w:rsidRPr="002029AF">
        <w:t>significant</w:t>
      </w:r>
      <w:r w:rsidR="000A5329" w:rsidRPr="002029AF">
        <w:t xml:space="preserve"> </w:t>
      </w:r>
      <w:r w:rsidRPr="002029AF">
        <w:t>to</w:t>
      </w:r>
      <w:r w:rsidR="000A5329" w:rsidRPr="002029AF">
        <w:t xml:space="preserve"> </w:t>
      </w:r>
      <w:r w:rsidRPr="002029AF">
        <w:t>the</w:t>
      </w:r>
      <w:r w:rsidR="000A5329" w:rsidRPr="002029AF">
        <w:t xml:space="preserve"> </w:t>
      </w:r>
      <w:r w:rsidRPr="002029AF">
        <w:t>fair</w:t>
      </w:r>
      <w:r w:rsidR="000A5329" w:rsidRPr="002029AF">
        <w:t xml:space="preserve"> </w:t>
      </w:r>
      <w:r w:rsidRPr="002029AF">
        <w:t>value</w:t>
      </w:r>
      <w:r w:rsidR="000A5329" w:rsidRPr="002029AF">
        <w:t xml:space="preserve"> </w:t>
      </w:r>
      <w:r w:rsidRPr="002029AF">
        <w:t>measurement</w:t>
      </w:r>
      <w:r w:rsidR="000A5329" w:rsidRPr="002029AF">
        <w:t xml:space="preserve"> </w:t>
      </w:r>
      <w:r w:rsidRPr="002029AF">
        <w:t>is</w:t>
      </w:r>
      <w:r w:rsidR="000A5329" w:rsidRPr="002029AF">
        <w:t xml:space="preserve"> </w:t>
      </w:r>
      <w:r w:rsidRPr="002029AF">
        <w:t>unobservable.</w:t>
      </w:r>
    </w:p>
    <w:p w14:paraId="5FB6CD1A" w14:textId="1FC8CC3B" w:rsidR="00087B91" w:rsidRPr="002029AF" w:rsidRDefault="00087B91" w:rsidP="00087B91">
      <w:pPr>
        <w:pStyle w:val="ARfinbody"/>
      </w:pPr>
      <w:r w:rsidRPr="002029AF">
        <w:t>The</w:t>
      </w:r>
      <w:r w:rsidR="000A5329" w:rsidRPr="002029AF">
        <w:t xml:space="preserve"> </w:t>
      </w:r>
      <w:r w:rsidRPr="002029AF">
        <w:t>department</w:t>
      </w:r>
      <w:r w:rsidR="000A5329" w:rsidRPr="002029AF">
        <w:t xml:space="preserve"> </w:t>
      </w:r>
      <w:r w:rsidRPr="002029AF">
        <w:t>determines</w:t>
      </w:r>
      <w:r w:rsidR="000A5329" w:rsidRPr="002029AF">
        <w:t xml:space="preserve"> </w:t>
      </w:r>
      <w:r w:rsidRPr="002029AF">
        <w:t>whether</w:t>
      </w:r>
      <w:r w:rsidR="000A5329" w:rsidRPr="002029AF">
        <w:t xml:space="preserve"> </w:t>
      </w:r>
      <w:r w:rsidRPr="002029AF">
        <w:t>transfers</w:t>
      </w:r>
      <w:r w:rsidR="000A5329" w:rsidRPr="002029AF">
        <w:t xml:space="preserve"> </w:t>
      </w:r>
      <w:r w:rsidRPr="002029AF">
        <w:t>have</w:t>
      </w:r>
      <w:r w:rsidR="000A5329" w:rsidRPr="002029AF">
        <w:t xml:space="preserve"> </w:t>
      </w:r>
      <w:r w:rsidRPr="002029AF">
        <w:t>occurred</w:t>
      </w:r>
      <w:r w:rsidR="000A5329" w:rsidRPr="002029AF">
        <w:t xml:space="preserve"> </w:t>
      </w:r>
      <w:r w:rsidRPr="002029AF">
        <w:t>between</w:t>
      </w:r>
      <w:r w:rsidR="000A5329" w:rsidRPr="002029AF">
        <w:t xml:space="preserve"> </w:t>
      </w:r>
      <w:r w:rsidRPr="002029AF">
        <w:t>levels</w:t>
      </w:r>
      <w:r w:rsidR="000A5329" w:rsidRPr="002029AF">
        <w:t xml:space="preserve"> </w:t>
      </w:r>
      <w:r w:rsidRPr="002029AF">
        <w:t>in</w:t>
      </w:r>
      <w:r w:rsidR="000A5329" w:rsidRPr="002029AF">
        <w:t xml:space="preserve"> </w:t>
      </w:r>
      <w:r w:rsidRPr="002029AF">
        <w:t>the</w:t>
      </w:r>
      <w:r w:rsidR="000A5329" w:rsidRPr="002029AF">
        <w:t xml:space="preserve"> </w:t>
      </w:r>
      <w:r w:rsidRPr="002029AF">
        <w:t>hierarchy</w:t>
      </w:r>
      <w:r w:rsidR="000A5329" w:rsidRPr="002029AF">
        <w:t xml:space="preserve"> </w:t>
      </w:r>
      <w:r w:rsidRPr="002029AF">
        <w:t>by</w:t>
      </w:r>
      <w:r w:rsidR="000A5329" w:rsidRPr="002029AF">
        <w:t xml:space="preserve"> </w:t>
      </w:r>
      <w:r w:rsidRPr="002029AF">
        <w:t>reassessing</w:t>
      </w:r>
      <w:r w:rsidR="000A5329" w:rsidRPr="002029AF">
        <w:t xml:space="preserve"> </w:t>
      </w:r>
      <w:r w:rsidRPr="002029AF">
        <w:t>categorisation</w:t>
      </w:r>
      <w:r w:rsidR="000A5329" w:rsidRPr="002029AF">
        <w:t xml:space="preserve"> </w:t>
      </w:r>
      <w:r w:rsidRPr="002029AF">
        <w:t>(based</w:t>
      </w:r>
      <w:r w:rsidR="000A5329" w:rsidRPr="002029AF">
        <w:t xml:space="preserve"> </w:t>
      </w:r>
      <w:r w:rsidRPr="002029AF">
        <w:t>on</w:t>
      </w:r>
      <w:r w:rsidR="000A5329" w:rsidRPr="002029AF">
        <w:t xml:space="preserve"> </w:t>
      </w:r>
      <w:r w:rsidRPr="002029AF">
        <w:t>the</w:t>
      </w:r>
      <w:r w:rsidR="000A5329" w:rsidRPr="002029AF">
        <w:t xml:space="preserve"> </w:t>
      </w:r>
      <w:r w:rsidRPr="002029AF">
        <w:t>lowest</w:t>
      </w:r>
      <w:r w:rsidR="000A5329" w:rsidRPr="002029AF">
        <w:t xml:space="preserve"> </w:t>
      </w:r>
      <w:r w:rsidRPr="002029AF">
        <w:t>level</w:t>
      </w:r>
      <w:r w:rsidR="000A5329" w:rsidRPr="002029AF">
        <w:t xml:space="preserve"> </w:t>
      </w:r>
      <w:r w:rsidRPr="002029AF">
        <w:t>input</w:t>
      </w:r>
      <w:r w:rsidR="000A5329" w:rsidRPr="002029AF">
        <w:t xml:space="preserve"> </w:t>
      </w:r>
      <w:r w:rsidRPr="002029AF">
        <w:t>that</w:t>
      </w:r>
      <w:r w:rsidR="000A5329" w:rsidRPr="002029AF">
        <w:t xml:space="preserve"> </w:t>
      </w:r>
      <w:r w:rsidRPr="002029AF">
        <w:t>is</w:t>
      </w:r>
      <w:r w:rsidR="000A5329" w:rsidRPr="002029AF">
        <w:t xml:space="preserve"> </w:t>
      </w:r>
      <w:r w:rsidRPr="002029AF">
        <w:t>significant</w:t>
      </w:r>
      <w:r w:rsidR="000A5329" w:rsidRPr="002029AF">
        <w:t xml:space="preserve"> </w:t>
      </w:r>
      <w:r w:rsidRPr="002029AF">
        <w:t>to</w:t>
      </w:r>
      <w:r w:rsidR="000A5329" w:rsidRPr="002029AF">
        <w:t xml:space="preserve"> </w:t>
      </w:r>
      <w:r w:rsidRPr="002029AF">
        <w:t>the</w:t>
      </w:r>
      <w:r w:rsidR="000A5329" w:rsidRPr="002029AF">
        <w:t xml:space="preserve"> </w:t>
      </w:r>
      <w:r w:rsidRPr="002029AF">
        <w:t>fair</w:t>
      </w:r>
      <w:r w:rsidR="000A5329" w:rsidRPr="002029AF">
        <w:t xml:space="preserve"> </w:t>
      </w:r>
      <w:r w:rsidRPr="002029AF">
        <w:t>value</w:t>
      </w:r>
      <w:r w:rsidR="000A5329" w:rsidRPr="002029AF">
        <w:t xml:space="preserve"> </w:t>
      </w:r>
      <w:r w:rsidRPr="002029AF">
        <w:t>measurement</w:t>
      </w:r>
      <w:r w:rsidR="000A5329" w:rsidRPr="002029AF">
        <w:t xml:space="preserve"> </w:t>
      </w:r>
      <w:r w:rsidRPr="002029AF">
        <w:t>as</w:t>
      </w:r>
      <w:r w:rsidR="000A5329" w:rsidRPr="002029AF">
        <w:t xml:space="preserve"> </w:t>
      </w:r>
      <w:r w:rsidRPr="002029AF">
        <w:t>a</w:t>
      </w:r>
      <w:r w:rsidR="000A5329" w:rsidRPr="002029AF">
        <w:t xml:space="preserve"> </w:t>
      </w:r>
      <w:r w:rsidRPr="002029AF">
        <w:t>whole)</w:t>
      </w:r>
      <w:r w:rsidR="000A5329" w:rsidRPr="002029AF">
        <w:t xml:space="preserve"> </w:t>
      </w:r>
      <w:r w:rsidRPr="002029AF">
        <w:t>at</w:t>
      </w:r>
      <w:r w:rsidR="000A5329" w:rsidRPr="002029AF">
        <w:t xml:space="preserve"> </w:t>
      </w:r>
      <w:r w:rsidRPr="002029AF">
        <w:t>the</w:t>
      </w:r>
      <w:r w:rsidR="000A5329" w:rsidRPr="002029AF">
        <w:t xml:space="preserve"> </w:t>
      </w:r>
      <w:r w:rsidRPr="002029AF">
        <w:t>end</w:t>
      </w:r>
      <w:r w:rsidR="000A5329" w:rsidRPr="002029AF">
        <w:t xml:space="preserve"> </w:t>
      </w:r>
      <w:r w:rsidRPr="002029AF">
        <w:t>of</w:t>
      </w:r>
      <w:r w:rsidR="000A5329" w:rsidRPr="002029AF">
        <w:t xml:space="preserve"> </w:t>
      </w:r>
      <w:r w:rsidRPr="002029AF">
        <w:t>each</w:t>
      </w:r>
      <w:r w:rsidR="000A5329" w:rsidRPr="002029AF">
        <w:t xml:space="preserve"> </w:t>
      </w:r>
      <w:r w:rsidRPr="002029AF">
        <w:t>reporting</w:t>
      </w:r>
      <w:r w:rsidR="000A5329" w:rsidRPr="002029AF">
        <w:t xml:space="preserve"> </w:t>
      </w:r>
      <w:r w:rsidRPr="002029AF">
        <w:t>period.</w:t>
      </w:r>
    </w:p>
    <w:p w14:paraId="02E7524A" w14:textId="640D0408" w:rsidR="00087B91" w:rsidRPr="002029AF" w:rsidRDefault="00087B91" w:rsidP="00087B91">
      <w:pPr>
        <w:pStyle w:val="ARfinbody"/>
      </w:pPr>
      <w:r w:rsidRPr="002029AF">
        <w:t>The</w:t>
      </w:r>
      <w:r w:rsidR="000A5329" w:rsidRPr="002029AF">
        <w:t xml:space="preserve"> </w:t>
      </w:r>
      <w:r w:rsidRPr="002029AF">
        <w:t>Valuer-General</w:t>
      </w:r>
      <w:r w:rsidR="000A5329" w:rsidRPr="002029AF">
        <w:t xml:space="preserve"> </w:t>
      </w:r>
      <w:r w:rsidRPr="002029AF">
        <w:t>Victoria</w:t>
      </w:r>
      <w:r w:rsidR="000A5329" w:rsidRPr="002029AF">
        <w:t xml:space="preserve"> </w:t>
      </w:r>
      <w:r w:rsidRPr="002029AF">
        <w:t>(VGV)</w:t>
      </w:r>
      <w:r w:rsidR="000A5329" w:rsidRPr="002029AF">
        <w:t xml:space="preserve"> </w:t>
      </w:r>
      <w:r w:rsidRPr="002029AF">
        <w:t>is</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independent</w:t>
      </w:r>
      <w:r w:rsidR="000A5329" w:rsidRPr="002029AF">
        <w:t xml:space="preserve"> </w:t>
      </w:r>
      <w:r w:rsidRPr="002029AF">
        <w:t>valuation</w:t>
      </w:r>
      <w:r w:rsidR="000A5329" w:rsidRPr="002029AF">
        <w:t xml:space="preserve"> </w:t>
      </w:r>
      <w:r w:rsidRPr="002029AF">
        <w:t>agency.</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in</w:t>
      </w:r>
      <w:r w:rsidR="000A5329" w:rsidRPr="002029AF">
        <w:t xml:space="preserve"> </w:t>
      </w:r>
      <w:r w:rsidRPr="002029AF">
        <w:t>conjunction</w:t>
      </w:r>
      <w:r w:rsidR="000A5329" w:rsidRPr="002029AF">
        <w:t xml:space="preserve"> </w:t>
      </w:r>
      <w:r w:rsidRPr="002029AF">
        <w:t>with</w:t>
      </w:r>
      <w:r w:rsidR="000A5329" w:rsidRPr="002029AF">
        <w:t xml:space="preserve"> </w:t>
      </w:r>
      <w:r w:rsidRPr="002029AF">
        <w:t>VGV,</w:t>
      </w:r>
      <w:r w:rsidR="000A5329" w:rsidRPr="002029AF">
        <w:t xml:space="preserve"> </w:t>
      </w:r>
      <w:r w:rsidRPr="002029AF">
        <w:t>monitors</w:t>
      </w:r>
      <w:r w:rsidR="000A5329" w:rsidRPr="002029AF">
        <w:t xml:space="preserve"> </w:t>
      </w:r>
      <w:r w:rsidRPr="002029AF">
        <w:t>changes</w:t>
      </w:r>
      <w:r w:rsidR="000A5329" w:rsidRPr="002029AF">
        <w:t xml:space="preserve"> </w:t>
      </w:r>
      <w:r w:rsidRPr="002029AF">
        <w:t>in</w:t>
      </w:r>
      <w:r w:rsidR="000A5329" w:rsidRPr="002029AF">
        <w:t xml:space="preserve"> </w:t>
      </w:r>
      <w:r w:rsidRPr="002029AF">
        <w:t>the</w:t>
      </w:r>
      <w:r w:rsidR="000A5329" w:rsidRPr="002029AF">
        <w:t xml:space="preserve"> </w:t>
      </w:r>
      <w:r w:rsidRPr="002029AF">
        <w:t>fair</w:t>
      </w:r>
      <w:r w:rsidR="000A5329" w:rsidRPr="002029AF">
        <w:t xml:space="preserve"> </w:t>
      </w:r>
      <w:r w:rsidRPr="002029AF">
        <w:t>value</w:t>
      </w:r>
      <w:r w:rsidR="000A5329" w:rsidRPr="002029AF">
        <w:t xml:space="preserve"> </w:t>
      </w:r>
      <w:r w:rsidRPr="002029AF">
        <w:t>of</w:t>
      </w:r>
      <w:r w:rsidR="000A5329" w:rsidRPr="002029AF">
        <w:t xml:space="preserve"> </w:t>
      </w:r>
      <w:r w:rsidRPr="002029AF">
        <w:t>each</w:t>
      </w:r>
      <w:r w:rsidR="000A5329" w:rsidRPr="002029AF">
        <w:t xml:space="preserve"> </w:t>
      </w:r>
      <w:r w:rsidRPr="002029AF">
        <w:t>asset</w:t>
      </w:r>
      <w:r w:rsidR="000A5329" w:rsidRPr="002029AF">
        <w:t xml:space="preserve"> </w:t>
      </w:r>
      <w:r w:rsidRPr="002029AF">
        <w:t>and</w:t>
      </w:r>
      <w:r w:rsidR="000A5329" w:rsidRPr="002029AF">
        <w:t xml:space="preserve"> </w:t>
      </w:r>
      <w:r w:rsidRPr="002029AF">
        <w:t>liability</w:t>
      </w:r>
      <w:r w:rsidR="000A5329" w:rsidRPr="002029AF">
        <w:t xml:space="preserve"> </w:t>
      </w:r>
      <w:r w:rsidRPr="002029AF">
        <w:t>through</w:t>
      </w:r>
      <w:r w:rsidR="000A5329" w:rsidRPr="002029AF">
        <w:t xml:space="preserve"> </w:t>
      </w:r>
      <w:r w:rsidRPr="002029AF">
        <w:t>relevant</w:t>
      </w:r>
      <w:r w:rsidR="000A5329" w:rsidRPr="002029AF">
        <w:t xml:space="preserve"> </w:t>
      </w:r>
      <w:r w:rsidRPr="002029AF">
        <w:t>data</w:t>
      </w:r>
      <w:r w:rsidR="000A5329" w:rsidRPr="002029AF">
        <w:t xml:space="preserve"> </w:t>
      </w:r>
      <w:r w:rsidRPr="002029AF">
        <w:t>sources</w:t>
      </w:r>
      <w:r w:rsidR="000A5329" w:rsidRPr="002029AF">
        <w:t xml:space="preserve"> </w:t>
      </w:r>
      <w:r w:rsidRPr="002029AF">
        <w:t>to</w:t>
      </w:r>
      <w:r w:rsidR="000A5329" w:rsidRPr="002029AF">
        <w:t xml:space="preserve"> </w:t>
      </w:r>
      <w:r w:rsidRPr="002029AF">
        <w:t>determine</w:t>
      </w:r>
      <w:r w:rsidR="000A5329" w:rsidRPr="002029AF">
        <w:t xml:space="preserve"> </w:t>
      </w:r>
      <w:r w:rsidRPr="002029AF">
        <w:t>whether</w:t>
      </w:r>
      <w:r w:rsidR="000A5329" w:rsidRPr="002029AF">
        <w:t xml:space="preserve"> </w:t>
      </w:r>
      <w:r w:rsidRPr="002029AF">
        <w:t>revaluation</w:t>
      </w:r>
      <w:r w:rsidR="000A5329" w:rsidRPr="002029AF">
        <w:t xml:space="preserve"> </w:t>
      </w:r>
      <w:r w:rsidRPr="002029AF">
        <w:t>is</w:t>
      </w:r>
      <w:r w:rsidR="000A5329" w:rsidRPr="002029AF">
        <w:t xml:space="preserve"> </w:t>
      </w:r>
      <w:r w:rsidRPr="002029AF">
        <w:t>required.</w:t>
      </w:r>
    </w:p>
    <w:p w14:paraId="7F4C8D50" w14:textId="5F060126" w:rsidR="00087B91" w:rsidRPr="002029AF" w:rsidRDefault="00087B91" w:rsidP="00087B91">
      <w:pPr>
        <w:pStyle w:val="Heading5"/>
      </w:pPr>
      <w:r w:rsidRPr="002029AF">
        <w:t>How</w:t>
      </w:r>
      <w:r w:rsidR="000A5329" w:rsidRPr="002029AF">
        <w:t xml:space="preserve"> </w:t>
      </w:r>
      <w:r w:rsidRPr="002029AF">
        <w:t>this</w:t>
      </w:r>
      <w:r w:rsidR="000A5329" w:rsidRPr="002029AF">
        <w:t xml:space="preserve"> </w:t>
      </w:r>
      <w:r w:rsidRPr="002029AF">
        <w:t>section</w:t>
      </w:r>
      <w:r w:rsidR="000A5329" w:rsidRPr="002029AF">
        <w:t xml:space="preserve"> </w:t>
      </w:r>
      <w:r w:rsidRPr="002029AF">
        <w:t>is</w:t>
      </w:r>
      <w:r w:rsidR="000A5329" w:rsidRPr="002029AF">
        <w:t xml:space="preserve"> </w:t>
      </w:r>
      <w:r w:rsidRPr="002029AF">
        <w:t>structured</w:t>
      </w:r>
    </w:p>
    <w:p w14:paraId="36D62B41" w14:textId="26E7036E" w:rsidR="00087B91" w:rsidRPr="002029AF" w:rsidRDefault="00087B91" w:rsidP="00087B91">
      <w:pPr>
        <w:pStyle w:val="ARfinbody"/>
      </w:pPr>
      <w:r w:rsidRPr="002029AF">
        <w:t>For</w:t>
      </w:r>
      <w:r w:rsidR="000A5329" w:rsidRPr="002029AF">
        <w:t xml:space="preserve"> </w:t>
      </w:r>
      <w:r w:rsidRPr="002029AF">
        <w:t>those</w:t>
      </w:r>
      <w:r w:rsidR="000A5329" w:rsidRPr="002029AF">
        <w:t xml:space="preserve"> </w:t>
      </w:r>
      <w:r w:rsidRPr="002029AF">
        <w:t>assets</w:t>
      </w:r>
      <w:r w:rsidR="000A5329" w:rsidRPr="002029AF">
        <w:t xml:space="preserve"> </w:t>
      </w:r>
      <w:r w:rsidRPr="002029AF">
        <w:t>and</w:t>
      </w:r>
      <w:r w:rsidR="000A5329" w:rsidRPr="002029AF">
        <w:t xml:space="preserve"> </w:t>
      </w:r>
      <w:r w:rsidRPr="002029AF">
        <w:t>liabilities</w:t>
      </w:r>
      <w:r w:rsidR="000A5329" w:rsidRPr="002029AF">
        <w:t xml:space="preserve"> </w:t>
      </w:r>
      <w:r w:rsidRPr="002029AF">
        <w:t>for</w:t>
      </w:r>
      <w:r w:rsidR="000A5329" w:rsidRPr="002029AF">
        <w:t xml:space="preserve"> </w:t>
      </w:r>
      <w:r w:rsidRPr="002029AF">
        <w:t>which</w:t>
      </w:r>
      <w:r w:rsidR="000A5329" w:rsidRPr="002029AF">
        <w:t xml:space="preserve"> </w:t>
      </w:r>
      <w:r w:rsidRPr="002029AF">
        <w:t>fair</w:t>
      </w:r>
      <w:r w:rsidR="000A5329" w:rsidRPr="002029AF">
        <w:t xml:space="preserve"> </w:t>
      </w:r>
      <w:r w:rsidRPr="002029AF">
        <w:t>values</w:t>
      </w:r>
      <w:r w:rsidR="000A5329" w:rsidRPr="002029AF">
        <w:t xml:space="preserve"> </w:t>
      </w:r>
      <w:r w:rsidRPr="002029AF">
        <w:t>are</w:t>
      </w:r>
      <w:r w:rsidR="000A5329" w:rsidRPr="002029AF">
        <w:t xml:space="preserve"> </w:t>
      </w:r>
      <w:r w:rsidRPr="002029AF">
        <w:t>determined,</w:t>
      </w:r>
      <w:r w:rsidR="000A5329" w:rsidRPr="002029AF">
        <w:t xml:space="preserve"> </w:t>
      </w:r>
      <w:r w:rsidRPr="002029AF">
        <w:t>the</w:t>
      </w:r>
      <w:r w:rsidR="000A5329" w:rsidRPr="002029AF">
        <w:t xml:space="preserve"> </w:t>
      </w:r>
      <w:r w:rsidRPr="002029AF">
        <w:t>following</w:t>
      </w:r>
      <w:r w:rsidR="000A5329" w:rsidRPr="002029AF">
        <w:t xml:space="preserve"> </w:t>
      </w:r>
      <w:r w:rsidRPr="002029AF">
        <w:t>disclosures</w:t>
      </w:r>
      <w:r w:rsidR="000A5329" w:rsidRPr="002029AF">
        <w:t xml:space="preserve"> </w:t>
      </w:r>
      <w:r w:rsidRPr="002029AF">
        <w:t>are</w:t>
      </w:r>
      <w:r w:rsidR="000A5329" w:rsidRPr="002029AF">
        <w:t xml:space="preserve"> </w:t>
      </w:r>
      <w:r w:rsidRPr="002029AF">
        <w:t>provided:</w:t>
      </w:r>
    </w:p>
    <w:p w14:paraId="51462A77" w14:textId="1A948A76" w:rsidR="00087B91" w:rsidRPr="002029AF" w:rsidRDefault="00087B91" w:rsidP="00087B91">
      <w:pPr>
        <w:pStyle w:val="ARfinbullet1"/>
      </w:pPr>
      <w:r w:rsidRPr="002029AF">
        <w:t>carrying</w:t>
      </w:r>
      <w:r w:rsidR="000A5329" w:rsidRPr="002029AF">
        <w:t xml:space="preserve"> </w:t>
      </w:r>
      <w:r w:rsidRPr="002029AF">
        <w:t>amount</w:t>
      </w:r>
      <w:r w:rsidR="000A5329" w:rsidRPr="002029AF">
        <w:t xml:space="preserve"> </w:t>
      </w:r>
      <w:r w:rsidRPr="002029AF">
        <w:t>and</w:t>
      </w:r>
      <w:r w:rsidR="000A5329" w:rsidRPr="002029AF">
        <w:t xml:space="preserve"> </w:t>
      </w:r>
      <w:r w:rsidRPr="002029AF">
        <w:t>the</w:t>
      </w:r>
      <w:r w:rsidR="000A5329" w:rsidRPr="002029AF">
        <w:t xml:space="preserve"> </w:t>
      </w:r>
      <w:r w:rsidRPr="002029AF">
        <w:t>fair</w:t>
      </w:r>
      <w:r w:rsidR="000A5329" w:rsidRPr="002029AF">
        <w:t xml:space="preserve"> </w:t>
      </w:r>
      <w:r w:rsidRPr="002029AF">
        <w:t>value</w:t>
      </w:r>
      <w:r w:rsidR="000A5329" w:rsidRPr="002029AF">
        <w:t xml:space="preserve"> </w:t>
      </w:r>
      <w:r w:rsidRPr="002029AF">
        <w:t>(which</w:t>
      </w:r>
      <w:r w:rsidR="000A5329" w:rsidRPr="002029AF">
        <w:t xml:space="preserve"> </w:t>
      </w:r>
      <w:r w:rsidRPr="002029AF">
        <w:t>would</w:t>
      </w:r>
      <w:r w:rsidR="000A5329" w:rsidRPr="002029AF">
        <w:t xml:space="preserve"> </w:t>
      </w:r>
      <w:r w:rsidRPr="002029AF">
        <w:t>be</w:t>
      </w:r>
      <w:r w:rsidR="000A5329" w:rsidRPr="002029AF">
        <w:t xml:space="preserve"> </w:t>
      </w:r>
      <w:r w:rsidRPr="002029AF">
        <w:t>the</w:t>
      </w:r>
      <w:r w:rsidR="000A5329" w:rsidRPr="002029AF">
        <w:t xml:space="preserve"> </w:t>
      </w:r>
      <w:r w:rsidRPr="002029AF">
        <w:t>same</w:t>
      </w:r>
      <w:r w:rsidR="000A5329" w:rsidRPr="002029AF">
        <w:t xml:space="preserve"> </w:t>
      </w:r>
      <w:r w:rsidRPr="002029AF">
        <w:t>for</w:t>
      </w:r>
      <w:r w:rsidR="000A5329" w:rsidRPr="002029AF">
        <w:t xml:space="preserve"> </w:t>
      </w:r>
      <w:r w:rsidRPr="002029AF">
        <w:t>those</w:t>
      </w:r>
      <w:r w:rsidR="000A5329" w:rsidRPr="002029AF">
        <w:t xml:space="preserve"> </w:t>
      </w:r>
      <w:r w:rsidRPr="002029AF">
        <w:t>assets</w:t>
      </w:r>
      <w:r w:rsidR="000A5329" w:rsidRPr="002029AF">
        <w:t xml:space="preserve"> </w:t>
      </w:r>
      <w:r w:rsidRPr="002029AF">
        <w:t>measured</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p w14:paraId="0BD7E682" w14:textId="55CDD2B3" w:rsidR="00087B91" w:rsidRPr="002029AF" w:rsidRDefault="00087B91" w:rsidP="00087B91">
      <w:pPr>
        <w:pStyle w:val="ARfinbullet1"/>
      </w:pPr>
      <w:r w:rsidRPr="002029AF">
        <w:t>which</w:t>
      </w:r>
      <w:r w:rsidR="000A5329" w:rsidRPr="002029AF">
        <w:t xml:space="preserve"> </w:t>
      </w:r>
      <w:r w:rsidRPr="002029AF">
        <w:t>level</w:t>
      </w:r>
      <w:r w:rsidR="000A5329" w:rsidRPr="002029AF">
        <w:t xml:space="preserve"> </w:t>
      </w:r>
      <w:r w:rsidRPr="002029AF">
        <w:t>of</w:t>
      </w:r>
      <w:r w:rsidR="000A5329" w:rsidRPr="002029AF">
        <w:t xml:space="preserve"> </w:t>
      </w:r>
      <w:r w:rsidRPr="002029AF">
        <w:t>the</w:t>
      </w:r>
      <w:r w:rsidR="000A5329" w:rsidRPr="002029AF">
        <w:t xml:space="preserve"> </w:t>
      </w:r>
      <w:r w:rsidRPr="002029AF">
        <w:t>fair</w:t>
      </w:r>
      <w:r w:rsidR="000A5329" w:rsidRPr="002029AF">
        <w:t xml:space="preserve"> </w:t>
      </w:r>
      <w:r w:rsidRPr="002029AF">
        <w:t>value</w:t>
      </w:r>
      <w:r w:rsidR="000A5329" w:rsidRPr="002029AF">
        <w:t xml:space="preserve"> </w:t>
      </w:r>
      <w:r w:rsidRPr="002029AF">
        <w:t>hierarchy</w:t>
      </w:r>
      <w:r w:rsidR="000A5329" w:rsidRPr="002029AF">
        <w:t xml:space="preserve"> </w:t>
      </w:r>
      <w:r w:rsidRPr="002029AF">
        <w:t>was</w:t>
      </w:r>
      <w:r w:rsidR="000A5329" w:rsidRPr="002029AF">
        <w:t xml:space="preserve"> </w:t>
      </w:r>
      <w:r w:rsidRPr="002029AF">
        <w:t>used</w:t>
      </w:r>
      <w:r w:rsidR="000A5329" w:rsidRPr="002029AF">
        <w:t xml:space="preserve"> </w:t>
      </w:r>
      <w:r w:rsidRPr="002029AF">
        <w:t>to</w:t>
      </w:r>
      <w:r w:rsidR="000A5329" w:rsidRPr="002029AF">
        <w:t xml:space="preserve"> </w:t>
      </w:r>
      <w:r w:rsidRPr="002029AF">
        <w:t>determine</w:t>
      </w:r>
      <w:r w:rsidR="000A5329" w:rsidRPr="002029AF">
        <w:t xml:space="preserve"> </w:t>
      </w:r>
      <w:r w:rsidRPr="002029AF">
        <w:t>the</w:t>
      </w:r>
      <w:r w:rsidR="000A5329" w:rsidRPr="002029AF">
        <w:t xml:space="preserve"> </w:t>
      </w:r>
      <w:r w:rsidRPr="002029AF">
        <w:t>fair</w:t>
      </w:r>
      <w:r w:rsidR="000A5329" w:rsidRPr="002029AF">
        <w:t xml:space="preserve"> </w:t>
      </w:r>
      <w:r w:rsidRPr="002029AF">
        <w:t>value</w:t>
      </w:r>
    </w:p>
    <w:p w14:paraId="74B2C371" w14:textId="1EA3BF8D" w:rsidR="00087B91" w:rsidRPr="002029AF" w:rsidRDefault="00087B91" w:rsidP="00087B91">
      <w:pPr>
        <w:pStyle w:val="ARfinbullet1"/>
      </w:pPr>
      <w:r w:rsidRPr="002029AF">
        <w:t>in</w:t>
      </w:r>
      <w:r w:rsidR="000A5329" w:rsidRPr="002029AF">
        <w:t xml:space="preserve"> </w:t>
      </w:r>
      <w:r w:rsidRPr="002029AF">
        <w:t>respect</w:t>
      </w:r>
      <w:r w:rsidR="000A5329" w:rsidRPr="002029AF">
        <w:t xml:space="preserve"> </w:t>
      </w:r>
      <w:r w:rsidRPr="002029AF">
        <w:t>of</w:t>
      </w:r>
      <w:r w:rsidR="000A5329" w:rsidRPr="002029AF">
        <w:t xml:space="preserve"> </w:t>
      </w:r>
      <w:r w:rsidRPr="002029AF">
        <w:t>those</w:t>
      </w:r>
      <w:r w:rsidR="000A5329" w:rsidRPr="002029AF">
        <w:t xml:space="preserve"> </w:t>
      </w:r>
      <w:r w:rsidRPr="002029AF">
        <w:t>assets</w:t>
      </w:r>
      <w:r w:rsidR="000A5329" w:rsidRPr="002029AF">
        <w:t xml:space="preserve"> </w:t>
      </w:r>
      <w:r w:rsidRPr="002029AF">
        <w:t>and</w:t>
      </w:r>
      <w:r w:rsidR="000A5329" w:rsidRPr="002029AF">
        <w:t xml:space="preserve"> </w:t>
      </w:r>
      <w:r w:rsidRPr="002029AF">
        <w:t>liabilities</w:t>
      </w:r>
      <w:r w:rsidR="000A5329" w:rsidRPr="002029AF">
        <w:t xml:space="preserve"> </w:t>
      </w:r>
      <w:r w:rsidRPr="002029AF">
        <w:t>subject</w:t>
      </w:r>
      <w:r w:rsidR="000A5329" w:rsidRPr="002029AF">
        <w:t xml:space="preserve"> </w:t>
      </w:r>
      <w:r w:rsidRPr="002029AF">
        <w:t>to</w:t>
      </w:r>
      <w:r w:rsidR="000A5329" w:rsidRPr="002029AF">
        <w:t xml:space="preserve"> </w:t>
      </w:r>
      <w:r w:rsidRPr="002029AF">
        <w:t>fair</w:t>
      </w:r>
      <w:r w:rsidR="000A5329" w:rsidRPr="002029AF">
        <w:t xml:space="preserve"> </w:t>
      </w:r>
      <w:r w:rsidRPr="002029AF">
        <w:t>value</w:t>
      </w:r>
      <w:r w:rsidR="000A5329" w:rsidRPr="002029AF">
        <w:t xml:space="preserve"> </w:t>
      </w:r>
      <w:r w:rsidRPr="002029AF">
        <w:t>determination</w:t>
      </w:r>
      <w:r w:rsidR="000A5329" w:rsidRPr="002029AF">
        <w:t xml:space="preserve"> </w:t>
      </w:r>
      <w:r w:rsidRPr="002029AF">
        <w:t>using</w:t>
      </w:r>
      <w:r w:rsidR="000A5329" w:rsidRPr="002029AF">
        <w:t xml:space="preserve"> </w:t>
      </w:r>
      <w:r w:rsidRPr="002029AF">
        <w:t>Level</w:t>
      </w:r>
      <w:r w:rsidR="000A5329" w:rsidRPr="002029AF">
        <w:t xml:space="preserve"> </w:t>
      </w:r>
      <w:r w:rsidRPr="002029AF">
        <w:t>3</w:t>
      </w:r>
      <w:r w:rsidR="000A5329" w:rsidRPr="002029AF">
        <w:t xml:space="preserve"> </w:t>
      </w:r>
      <w:r w:rsidRPr="002029AF">
        <w:t>inputs:</w:t>
      </w:r>
    </w:p>
    <w:p w14:paraId="0900CB6D" w14:textId="00326BC5" w:rsidR="00087B91" w:rsidRPr="002029AF" w:rsidRDefault="00087B91" w:rsidP="00087B91">
      <w:pPr>
        <w:pStyle w:val="ARfinbullet2"/>
      </w:pPr>
      <w:r w:rsidRPr="002029AF">
        <w:t>a</w:t>
      </w:r>
      <w:r w:rsidR="000A5329" w:rsidRPr="002029AF">
        <w:t xml:space="preserve"> </w:t>
      </w:r>
      <w:r w:rsidRPr="002029AF">
        <w:t>reconciliation</w:t>
      </w:r>
      <w:r w:rsidR="000A5329" w:rsidRPr="002029AF">
        <w:t xml:space="preserve"> </w:t>
      </w:r>
      <w:r w:rsidRPr="002029AF">
        <w:t>of</w:t>
      </w:r>
      <w:r w:rsidR="000A5329" w:rsidRPr="002029AF">
        <w:t xml:space="preserve"> </w:t>
      </w:r>
      <w:r w:rsidRPr="002029AF">
        <w:t>the</w:t>
      </w:r>
      <w:r w:rsidR="000A5329" w:rsidRPr="002029AF">
        <w:t xml:space="preserve"> </w:t>
      </w:r>
      <w:r w:rsidRPr="002029AF">
        <w:t>movements</w:t>
      </w:r>
      <w:r w:rsidR="000A5329" w:rsidRPr="002029AF">
        <w:t xml:space="preserve"> </w:t>
      </w:r>
      <w:r w:rsidRPr="002029AF">
        <w:t>in</w:t>
      </w:r>
      <w:r w:rsidR="000A5329" w:rsidRPr="002029AF">
        <w:t xml:space="preserve"> </w:t>
      </w:r>
      <w:r w:rsidRPr="002029AF">
        <w:t>fair</w:t>
      </w:r>
      <w:r w:rsidR="000A5329" w:rsidRPr="002029AF">
        <w:t xml:space="preserve"> </w:t>
      </w:r>
      <w:r w:rsidRPr="002029AF">
        <w:t>values</w:t>
      </w:r>
      <w:r w:rsidR="000A5329" w:rsidRPr="002029AF">
        <w:t xml:space="preserve"> </w:t>
      </w:r>
      <w:r w:rsidRPr="002029AF">
        <w:t>from</w:t>
      </w:r>
      <w:r w:rsidR="000A5329" w:rsidRPr="002029AF">
        <w:t xml:space="preserve"> </w:t>
      </w:r>
      <w:r w:rsidRPr="002029AF">
        <w:t>the</w:t>
      </w:r>
      <w:r w:rsidR="000A5329" w:rsidRPr="002029AF">
        <w:t xml:space="preserve"> </w:t>
      </w:r>
      <w:r w:rsidRPr="002029AF">
        <w:t>beginning</w:t>
      </w:r>
      <w:r w:rsidR="000A5329" w:rsidRPr="002029AF">
        <w:t xml:space="preserve"> </w:t>
      </w:r>
      <w:r w:rsidRPr="002029AF">
        <w:t>of</w:t>
      </w:r>
      <w:r w:rsidR="000A5329" w:rsidRPr="002029AF">
        <w:t xml:space="preserve"> </w:t>
      </w:r>
      <w:r w:rsidRPr="002029AF">
        <w:t>the</w:t>
      </w:r>
      <w:r w:rsidR="000A5329" w:rsidRPr="002029AF">
        <w:t xml:space="preserve"> </w:t>
      </w:r>
      <w:r w:rsidRPr="002029AF">
        <w:t>year</w:t>
      </w:r>
      <w:r w:rsidR="000A5329" w:rsidRPr="002029AF">
        <w:t xml:space="preserve"> </w:t>
      </w:r>
      <w:r w:rsidRPr="002029AF">
        <w:t>to</w:t>
      </w:r>
      <w:r w:rsidR="000A5329" w:rsidRPr="002029AF">
        <w:t xml:space="preserve"> </w:t>
      </w:r>
      <w:r w:rsidRPr="002029AF">
        <w:t>the</w:t>
      </w:r>
      <w:r w:rsidR="000A5329" w:rsidRPr="002029AF">
        <w:t xml:space="preserve"> </w:t>
      </w:r>
      <w:r w:rsidRPr="002029AF">
        <w:t>end</w:t>
      </w:r>
    </w:p>
    <w:p w14:paraId="7E88D45C" w14:textId="67D134BD" w:rsidR="00087B91" w:rsidRPr="002029AF" w:rsidRDefault="00087B91" w:rsidP="00087B91">
      <w:pPr>
        <w:pStyle w:val="ARfinbullet2"/>
      </w:pPr>
      <w:r w:rsidRPr="002029AF">
        <w:t>details</w:t>
      </w:r>
      <w:r w:rsidR="000A5329" w:rsidRPr="002029AF">
        <w:t xml:space="preserve"> </w:t>
      </w:r>
      <w:r w:rsidRPr="002029AF">
        <w:t>of</w:t>
      </w:r>
      <w:r w:rsidR="000A5329" w:rsidRPr="002029AF">
        <w:t xml:space="preserve"> </w:t>
      </w:r>
      <w:r w:rsidRPr="002029AF">
        <w:t>significant</w:t>
      </w:r>
      <w:r w:rsidR="000A5329" w:rsidRPr="002029AF">
        <w:t xml:space="preserve"> </w:t>
      </w:r>
      <w:r w:rsidRPr="002029AF">
        <w:t>unobservable</w:t>
      </w:r>
      <w:r w:rsidR="000A5329" w:rsidRPr="002029AF">
        <w:t xml:space="preserve"> </w:t>
      </w:r>
      <w:r w:rsidRPr="002029AF">
        <w:t>inputs</w:t>
      </w:r>
      <w:r w:rsidR="000A5329" w:rsidRPr="002029AF">
        <w:t xml:space="preserve"> </w:t>
      </w:r>
      <w:r w:rsidRPr="002029AF">
        <w:t>used</w:t>
      </w:r>
      <w:r w:rsidR="000A5329" w:rsidRPr="002029AF">
        <w:t xml:space="preserve"> </w:t>
      </w:r>
      <w:r w:rsidRPr="002029AF">
        <w:t>in</w:t>
      </w:r>
      <w:r w:rsidR="000A5329" w:rsidRPr="002029AF">
        <w:t xml:space="preserve"> </w:t>
      </w:r>
      <w:r w:rsidRPr="002029AF">
        <w:t>the</w:t>
      </w:r>
      <w:r w:rsidR="000A5329" w:rsidRPr="002029AF">
        <w:t xml:space="preserve"> </w:t>
      </w:r>
      <w:r w:rsidRPr="002029AF">
        <w:t>fair</w:t>
      </w:r>
      <w:r w:rsidR="000A5329" w:rsidRPr="002029AF">
        <w:t xml:space="preserve"> </w:t>
      </w:r>
      <w:r w:rsidRPr="002029AF">
        <w:t>value</w:t>
      </w:r>
      <w:r w:rsidR="000A5329" w:rsidRPr="002029AF">
        <w:t xml:space="preserve"> </w:t>
      </w:r>
      <w:r w:rsidRPr="002029AF">
        <w:t>determination.</w:t>
      </w:r>
    </w:p>
    <w:p w14:paraId="6247BD5D" w14:textId="2298D25D" w:rsidR="00087B91" w:rsidRPr="002029AF" w:rsidRDefault="00087B91" w:rsidP="00087B91">
      <w:pPr>
        <w:pStyle w:val="ARfinbody"/>
      </w:pPr>
      <w:r w:rsidRPr="002029AF">
        <w:t>This</w:t>
      </w:r>
      <w:r w:rsidR="000A5329" w:rsidRPr="002029AF">
        <w:t xml:space="preserve"> </w:t>
      </w:r>
      <w:r w:rsidRPr="002029AF">
        <w:t>section</w:t>
      </w:r>
      <w:r w:rsidR="000A5329" w:rsidRPr="002029AF">
        <w:t xml:space="preserve"> </w:t>
      </w:r>
      <w:r w:rsidRPr="002029AF">
        <w:t>is</w:t>
      </w:r>
      <w:r w:rsidR="000A5329" w:rsidRPr="002029AF">
        <w:t xml:space="preserve"> </w:t>
      </w:r>
      <w:r w:rsidRPr="002029AF">
        <w:t>divided</w:t>
      </w:r>
      <w:r w:rsidR="000A5329" w:rsidRPr="002029AF">
        <w:t xml:space="preserve"> </w:t>
      </w:r>
      <w:r w:rsidRPr="002029AF">
        <w:t>between</w:t>
      </w:r>
      <w:r w:rsidR="000A5329" w:rsidRPr="002029AF">
        <w:t xml:space="preserve"> </w:t>
      </w:r>
      <w:r w:rsidRPr="002029AF">
        <w:t>disclosures</w:t>
      </w:r>
      <w:r w:rsidR="000A5329" w:rsidRPr="002029AF">
        <w:t xml:space="preserve"> </w:t>
      </w:r>
      <w:r w:rsidRPr="002029AF">
        <w:t>in</w:t>
      </w:r>
      <w:r w:rsidR="000A5329" w:rsidRPr="002029AF">
        <w:t xml:space="preserve"> </w:t>
      </w:r>
      <w:r w:rsidRPr="002029AF">
        <w:t>connection</w:t>
      </w:r>
      <w:r w:rsidR="000A5329" w:rsidRPr="002029AF">
        <w:t xml:space="preserve"> </w:t>
      </w:r>
      <w:r w:rsidRPr="002029AF">
        <w:t>with</w:t>
      </w:r>
      <w:r w:rsidR="000A5329" w:rsidRPr="002029AF">
        <w:t xml:space="preserve"> </w:t>
      </w:r>
      <w:r w:rsidRPr="002029AF">
        <w:t>fair</w:t>
      </w:r>
      <w:r w:rsidR="000A5329" w:rsidRPr="002029AF">
        <w:t xml:space="preserve"> </w:t>
      </w:r>
      <w:r w:rsidRPr="002029AF">
        <w:t>value</w:t>
      </w:r>
      <w:r w:rsidR="000A5329" w:rsidRPr="002029AF">
        <w:t xml:space="preserve"> </w:t>
      </w:r>
      <w:r w:rsidRPr="002029AF">
        <w:t>determination</w:t>
      </w:r>
      <w:r w:rsidR="000A5329" w:rsidRPr="002029AF">
        <w:t xml:space="preserve"> </w:t>
      </w:r>
      <w:r w:rsidRPr="002029AF">
        <w:t>for</w:t>
      </w:r>
      <w:r w:rsidR="000A5329" w:rsidRPr="002029AF">
        <w:t xml:space="preserve"> </w:t>
      </w:r>
      <w:r w:rsidRPr="002029AF">
        <w:t>financial</w:t>
      </w:r>
      <w:r w:rsidR="000A5329" w:rsidRPr="002029AF">
        <w:t xml:space="preserve"> </w:t>
      </w:r>
      <w:r w:rsidRPr="002029AF">
        <w:t>instruments</w:t>
      </w:r>
      <w:r w:rsidR="000A5329" w:rsidRPr="002029AF">
        <w:t xml:space="preserve"> </w:t>
      </w:r>
      <w:r w:rsidRPr="002029AF">
        <w:t>(refer</w:t>
      </w:r>
      <w:r w:rsidR="000A5329" w:rsidRPr="002029AF">
        <w:t xml:space="preserve"> </w:t>
      </w:r>
      <w:r w:rsidRPr="002029AF">
        <w:t>Note</w:t>
      </w:r>
      <w:r w:rsidR="000A5329" w:rsidRPr="002029AF">
        <w:t xml:space="preserve"> </w:t>
      </w:r>
      <w:r w:rsidRPr="002029AF">
        <w:t>8.3.1)</w:t>
      </w:r>
      <w:r w:rsidR="000A5329" w:rsidRPr="002029AF">
        <w:t xml:space="preserve"> </w:t>
      </w:r>
      <w:r w:rsidRPr="002029AF">
        <w:t>and</w:t>
      </w:r>
      <w:r w:rsidR="000A5329" w:rsidRPr="002029AF">
        <w:t xml:space="preserve"> </w:t>
      </w:r>
      <w:r w:rsidRPr="002029AF">
        <w:t>non-financial</w:t>
      </w:r>
      <w:r w:rsidR="000A5329" w:rsidRPr="002029AF">
        <w:t xml:space="preserve"> </w:t>
      </w:r>
      <w:r w:rsidRPr="002029AF">
        <w:t>physical</w:t>
      </w:r>
      <w:r w:rsidR="000A5329" w:rsidRPr="002029AF">
        <w:t xml:space="preserve"> </w:t>
      </w:r>
      <w:r w:rsidRPr="002029AF">
        <w:t>assets</w:t>
      </w:r>
      <w:r w:rsidR="000A5329" w:rsidRPr="002029AF">
        <w:t xml:space="preserve"> </w:t>
      </w:r>
      <w:r w:rsidRPr="002029AF">
        <w:t>(refer</w:t>
      </w:r>
      <w:r w:rsidR="000A5329" w:rsidRPr="002029AF">
        <w:t xml:space="preserve"> </w:t>
      </w:r>
      <w:r w:rsidRPr="002029AF">
        <w:t>Note</w:t>
      </w:r>
      <w:r w:rsidR="000A5329" w:rsidRPr="002029AF">
        <w:t xml:space="preserve"> </w:t>
      </w:r>
      <w:r w:rsidRPr="002029AF">
        <w:t>8.3.2).</w:t>
      </w:r>
    </w:p>
    <w:p w14:paraId="75388102" w14:textId="31EE742D" w:rsidR="00087B91" w:rsidRPr="002029AF" w:rsidRDefault="00087B91" w:rsidP="00087B91">
      <w:pPr>
        <w:pStyle w:val="Heading5"/>
      </w:pPr>
      <w:r w:rsidRPr="002029AF">
        <w:t>8.3.1</w:t>
      </w:r>
      <w:r w:rsidR="000A5329" w:rsidRPr="002029AF">
        <w:t xml:space="preserve"> </w:t>
      </w:r>
      <w:r w:rsidRPr="002029AF">
        <w:t>Fair</w:t>
      </w:r>
      <w:r w:rsidR="000A5329" w:rsidRPr="002029AF">
        <w:t xml:space="preserve"> </w:t>
      </w:r>
      <w:r w:rsidRPr="002029AF">
        <w:t>value</w:t>
      </w:r>
      <w:r w:rsidR="000A5329" w:rsidRPr="002029AF">
        <w:t xml:space="preserve"> </w:t>
      </w:r>
      <w:r w:rsidRPr="002029AF">
        <w:t>determination</w:t>
      </w:r>
      <w:r w:rsidR="000A5329" w:rsidRPr="002029AF">
        <w:t xml:space="preserve"> </w:t>
      </w:r>
      <w:r w:rsidRPr="002029AF">
        <w:t>of</w:t>
      </w:r>
      <w:r w:rsidR="000A5329" w:rsidRPr="002029AF">
        <w:t xml:space="preserve"> </w:t>
      </w:r>
      <w:r w:rsidRPr="002029AF">
        <w:t>financial</w:t>
      </w:r>
      <w:r w:rsidR="000A5329" w:rsidRPr="002029AF">
        <w:t xml:space="preserve"> </w:t>
      </w:r>
      <w:r w:rsidRPr="002029AF">
        <w:t>assets</w:t>
      </w:r>
      <w:r w:rsidR="000A5329" w:rsidRPr="002029AF">
        <w:t xml:space="preserve"> </w:t>
      </w:r>
      <w:r w:rsidRPr="002029AF">
        <w:t>and</w:t>
      </w:r>
      <w:r w:rsidR="000A5329" w:rsidRPr="002029AF">
        <w:t xml:space="preserve"> </w:t>
      </w:r>
      <w:r w:rsidRPr="002029AF">
        <w:t>liabilities</w:t>
      </w:r>
    </w:p>
    <w:p w14:paraId="13BA1CF8" w14:textId="53932742" w:rsidR="00087B91" w:rsidRPr="002029AF" w:rsidRDefault="00087B91" w:rsidP="00087B91">
      <w:pPr>
        <w:pStyle w:val="ARfinbody"/>
      </w:pPr>
      <w:r w:rsidRPr="002029AF">
        <w:t>The</w:t>
      </w:r>
      <w:r w:rsidR="000A5329" w:rsidRPr="002029AF">
        <w:t xml:space="preserve"> </w:t>
      </w:r>
      <w:r w:rsidRPr="002029AF">
        <w:t>fair</w:t>
      </w:r>
      <w:r w:rsidR="000A5329" w:rsidRPr="002029AF">
        <w:t xml:space="preserve"> </w:t>
      </w:r>
      <w:r w:rsidRPr="002029AF">
        <w:t>values</w:t>
      </w:r>
      <w:r w:rsidR="000A5329" w:rsidRPr="002029AF">
        <w:t xml:space="preserve"> </w:t>
      </w:r>
      <w:r w:rsidRPr="002029AF">
        <w:t>and</w:t>
      </w:r>
      <w:r w:rsidR="000A5329" w:rsidRPr="002029AF">
        <w:t xml:space="preserve"> </w:t>
      </w:r>
      <w:r w:rsidRPr="002029AF">
        <w:t>net</w:t>
      </w:r>
      <w:r w:rsidR="000A5329" w:rsidRPr="002029AF">
        <w:t xml:space="preserve"> </w:t>
      </w:r>
      <w:r w:rsidRPr="002029AF">
        <w:t>fair</w:t>
      </w:r>
      <w:r w:rsidR="000A5329" w:rsidRPr="002029AF">
        <w:t xml:space="preserve"> </w:t>
      </w:r>
      <w:r w:rsidRPr="002029AF">
        <w:t>values</w:t>
      </w:r>
      <w:r w:rsidR="000A5329" w:rsidRPr="002029AF">
        <w:t xml:space="preserve"> </w:t>
      </w:r>
      <w:r w:rsidRPr="002029AF">
        <w:t>of</w:t>
      </w:r>
      <w:r w:rsidR="000A5329" w:rsidRPr="002029AF">
        <w:t xml:space="preserve"> </w:t>
      </w:r>
      <w:r w:rsidRPr="002029AF">
        <w:t>financial</w:t>
      </w:r>
      <w:r w:rsidR="000A5329" w:rsidRPr="002029AF">
        <w:t xml:space="preserve"> </w:t>
      </w:r>
      <w:r w:rsidRPr="002029AF">
        <w:t>assets</w:t>
      </w:r>
      <w:r w:rsidR="000A5329" w:rsidRPr="002029AF">
        <w:t xml:space="preserve"> </w:t>
      </w:r>
      <w:r w:rsidRPr="002029AF">
        <w:t>and</w:t>
      </w:r>
      <w:r w:rsidR="000A5329" w:rsidRPr="002029AF">
        <w:t xml:space="preserve"> </w:t>
      </w:r>
      <w:r w:rsidRPr="002029AF">
        <w:t>liabilities</w:t>
      </w:r>
      <w:r w:rsidR="000A5329" w:rsidRPr="002029AF">
        <w:t xml:space="preserve"> </w:t>
      </w:r>
      <w:r w:rsidRPr="002029AF">
        <w:t>are</w:t>
      </w:r>
      <w:r w:rsidR="000A5329" w:rsidRPr="002029AF">
        <w:t xml:space="preserve"> </w:t>
      </w:r>
      <w:r w:rsidRPr="002029AF">
        <w:t>determined</w:t>
      </w:r>
      <w:r w:rsidR="000A5329" w:rsidRPr="002029AF">
        <w:t xml:space="preserve"> </w:t>
      </w:r>
      <w:r w:rsidRPr="002029AF">
        <w:t>as</w:t>
      </w:r>
      <w:r w:rsidR="000A5329" w:rsidRPr="002029AF">
        <w:t xml:space="preserve"> </w:t>
      </w:r>
      <w:r w:rsidRPr="002029AF">
        <w:t>follows:</w:t>
      </w:r>
    </w:p>
    <w:p w14:paraId="65F617A7" w14:textId="4D5AE37D" w:rsidR="00087B91" w:rsidRPr="002029AF" w:rsidRDefault="00087B91" w:rsidP="00087B91">
      <w:pPr>
        <w:pStyle w:val="ARfinbullet1"/>
      </w:pPr>
      <w:r w:rsidRPr="002029AF">
        <w:t>Level</w:t>
      </w:r>
      <w:r w:rsidR="000A5329" w:rsidRPr="002029AF">
        <w:t xml:space="preserve"> </w:t>
      </w:r>
      <w:r w:rsidRPr="002029AF">
        <w:t>1</w:t>
      </w:r>
      <w:r w:rsidR="000A5329" w:rsidRPr="002029AF">
        <w:t xml:space="preserve"> </w:t>
      </w:r>
      <w:r w:rsidRPr="002029AF">
        <w:t>–</w:t>
      </w:r>
      <w:r w:rsidR="000A5329" w:rsidRPr="002029AF">
        <w:t xml:space="preserve"> </w:t>
      </w:r>
      <w:r w:rsidRPr="002029AF">
        <w:t>the</w:t>
      </w:r>
      <w:r w:rsidR="000A5329" w:rsidRPr="002029AF">
        <w:t xml:space="preserve"> </w:t>
      </w:r>
      <w:r w:rsidRPr="002029AF">
        <w:t>fair</w:t>
      </w:r>
      <w:r w:rsidR="000A5329" w:rsidRPr="002029AF">
        <w:t xml:space="preserve"> </w:t>
      </w:r>
      <w:r w:rsidRPr="002029AF">
        <w:t>value</w:t>
      </w:r>
      <w:r w:rsidR="000A5329" w:rsidRPr="002029AF">
        <w:t xml:space="preserve"> </w:t>
      </w:r>
      <w:r w:rsidRPr="002029AF">
        <w:t>of</w:t>
      </w:r>
      <w:r w:rsidR="000A5329" w:rsidRPr="002029AF">
        <w:t xml:space="preserve"> </w:t>
      </w:r>
      <w:r w:rsidRPr="002029AF">
        <w:t>financial</w:t>
      </w:r>
      <w:r w:rsidR="000A5329" w:rsidRPr="002029AF">
        <w:t xml:space="preserve"> </w:t>
      </w:r>
      <w:r w:rsidRPr="002029AF">
        <w:t>instruments</w:t>
      </w:r>
      <w:r w:rsidR="000A5329" w:rsidRPr="002029AF">
        <w:t xml:space="preserve"> </w:t>
      </w:r>
      <w:r w:rsidRPr="002029AF">
        <w:t>with</w:t>
      </w:r>
      <w:r w:rsidR="000A5329" w:rsidRPr="002029AF">
        <w:t xml:space="preserve"> </w:t>
      </w:r>
      <w:r w:rsidRPr="002029AF">
        <w:t>standard</w:t>
      </w:r>
      <w:r w:rsidR="000A5329" w:rsidRPr="002029AF">
        <w:t xml:space="preserve"> </w:t>
      </w:r>
      <w:r w:rsidRPr="002029AF">
        <w:t>terms</w:t>
      </w:r>
      <w:r w:rsidR="000A5329" w:rsidRPr="002029AF">
        <w:t xml:space="preserve"> </w:t>
      </w:r>
      <w:r w:rsidRPr="002029AF">
        <w:t>and</w:t>
      </w:r>
      <w:r w:rsidR="000A5329" w:rsidRPr="002029AF">
        <w:t xml:space="preserve"> </w:t>
      </w:r>
      <w:r w:rsidRPr="002029AF">
        <w:t>conditions</w:t>
      </w:r>
      <w:r w:rsidR="000A5329" w:rsidRPr="002029AF">
        <w:t xml:space="preserve"> </w:t>
      </w:r>
      <w:r w:rsidRPr="002029AF">
        <w:t>and</w:t>
      </w:r>
      <w:r w:rsidR="000A5329" w:rsidRPr="002029AF">
        <w:t xml:space="preserve"> </w:t>
      </w:r>
      <w:r w:rsidRPr="002029AF">
        <w:t>traded</w:t>
      </w:r>
      <w:r w:rsidR="000A5329" w:rsidRPr="002029AF">
        <w:t xml:space="preserve"> </w:t>
      </w:r>
      <w:r w:rsidRPr="002029AF">
        <w:t>in</w:t>
      </w:r>
      <w:r w:rsidR="000A5329" w:rsidRPr="002029AF">
        <w:t xml:space="preserve"> </w:t>
      </w:r>
      <w:r w:rsidRPr="002029AF">
        <w:t>active</w:t>
      </w:r>
      <w:r w:rsidR="000A5329" w:rsidRPr="002029AF">
        <w:t xml:space="preserve"> </w:t>
      </w:r>
      <w:r w:rsidRPr="002029AF">
        <w:t>markets</w:t>
      </w:r>
      <w:r w:rsidR="000A5329" w:rsidRPr="002029AF">
        <w:t xml:space="preserve"> </w:t>
      </w:r>
      <w:r w:rsidRPr="002029AF">
        <w:t>are</w:t>
      </w:r>
      <w:r w:rsidR="000A5329" w:rsidRPr="002029AF">
        <w:t xml:space="preserve"> </w:t>
      </w:r>
      <w:r w:rsidRPr="002029AF">
        <w:t>determined</w:t>
      </w:r>
      <w:r w:rsidR="000A5329" w:rsidRPr="002029AF">
        <w:t xml:space="preserve"> </w:t>
      </w:r>
      <w:r w:rsidRPr="002029AF">
        <w:t>with</w:t>
      </w:r>
      <w:r w:rsidR="000A5329" w:rsidRPr="002029AF">
        <w:t xml:space="preserve"> </w:t>
      </w:r>
      <w:r w:rsidRPr="002029AF">
        <w:t>reference</w:t>
      </w:r>
      <w:r w:rsidR="000A5329" w:rsidRPr="002029AF">
        <w:t xml:space="preserve"> </w:t>
      </w:r>
      <w:r w:rsidRPr="002029AF">
        <w:t>to</w:t>
      </w:r>
      <w:r w:rsidR="000A5329" w:rsidRPr="002029AF">
        <w:t xml:space="preserve"> </w:t>
      </w:r>
      <w:r w:rsidRPr="002029AF">
        <w:t>quoted</w:t>
      </w:r>
      <w:r w:rsidR="000A5329" w:rsidRPr="002029AF">
        <w:t xml:space="preserve"> </w:t>
      </w:r>
      <w:r w:rsidRPr="002029AF">
        <w:t>market</w:t>
      </w:r>
      <w:r w:rsidR="000A5329" w:rsidRPr="002029AF">
        <w:t xml:space="preserve"> </w:t>
      </w:r>
      <w:r w:rsidRPr="002029AF">
        <w:t>prices</w:t>
      </w:r>
    </w:p>
    <w:p w14:paraId="2CF65F66" w14:textId="51ED764C" w:rsidR="00087B91" w:rsidRPr="002029AF" w:rsidRDefault="00087B91" w:rsidP="00087B91">
      <w:pPr>
        <w:pStyle w:val="ARfinbullet1"/>
      </w:pPr>
      <w:r w:rsidRPr="002029AF">
        <w:t>Level</w:t>
      </w:r>
      <w:r w:rsidR="000A5329" w:rsidRPr="002029AF">
        <w:t xml:space="preserve"> </w:t>
      </w:r>
      <w:r w:rsidRPr="002029AF">
        <w:t>2</w:t>
      </w:r>
      <w:r w:rsidR="000A5329" w:rsidRPr="002029AF">
        <w:t xml:space="preserve"> </w:t>
      </w:r>
      <w:r w:rsidRPr="002029AF">
        <w:t>–</w:t>
      </w:r>
      <w:r w:rsidR="000A5329" w:rsidRPr="002029AF">
        <w:t xml:space="preserve"> </w:t>
      </w:r>
      <w:r w:rsidRPr="002029AF">
        <w:t>the</w:t>
      </w:r>
      <w:r w:rsidR="000A5329" w:rsidRPr="002029AF">
        <w:t xml:space="preserve"> </w:t>
      </w:r>
      <w:r w:rsidRPr="002029AF">
        <w:t>fair</w:t>
      </w:r>
      <w:r w:rsidR="000A5329" w:rsidRPr="002029AF">
        <w:t xml:space="preserve"> </w:t>
      </w:r>
      <w:r w:rsidRPr="002029AF">
        <w:t>value</w:t>
      </w:r>
      <w:r w:rsidR="000A5329" w:rsidRPr="002029AF">
        <w:t xml:space="preserve"> </w:t>
      </w:r>
      <w:r w:rsidRPr="002029AF">
        <w:t>is</w:t>
      </w:r>
      <w:r w:rsidR="000A5329" w:rsidRPr="002029AF">
        <w:t xml:space="preserve"> </w:t>
      </w:r>
      <w:r w:rsidRPr="002029AF">
        <w:t>determined</w:t>
      </w:r>
      <w:r w:rsidR="000A5329" w:rsidRPr="002029AF">
        <w:t xml:space="preserve"> </w:t>
      </w:r>
      <w:r w:rsidRPr="002029AF">
        <w:t>using</w:t>
      </w:r>
      <w:r w:rsidR="000A5329" w:rsidRPr="002029AF">
        <w:t xml:space="preserve"> </w:t>
      </w:r>
      <w:r w:rsidRPr="002029AF">
        <w:t>inputs</w:t>
      </w:r>
      <w:r w:rsidR="000A5329" w:rsidRPr="002029AF">
        <w:t xml:space="preserve"> </w:t>
      </w:r>
      <w:r w:rsidRPr="002029AF">
        <w:t>other</w:t>
      </w:r>
      <w:r w:rsidR="000A5329" w:rsidRPr="002029AF">
        <w:t xml:space="preserve"> </w:t>
      </w:r>
      <w:r w:rsidRPr="002029AF">
        <w:t>than</w:t>
      </w:r>
      <w:r w:rsidR="000A5329" w:rsidRPr="002029AF">
        <w:t xml:space="preserve"> </w:t>
      </w:r>
      <w:r w:rsidRPr="002029AF">
        <w:t>quoted</w:t>
      </w:r>
      <w:r w:rsidR="000A5329" w:rsidRPr="002029AF">
        <w:t xml:space="preserve"> </w:t>
      </w:r>
      <w:r w:rsidRPr="002029AF">
        <w:t>prices</w:t>
      </w:r>
      <w:r w:rsidR="000A5329" w:rsidRPr="002029AF">
        <w:t xml:space="preserve"> </w:t>
      </w:r>
      <w:r w:rsidRPr="002029AF">
        <w:t>that</w:t>
      </w:r>
      <w:r w:rsidR="000A5329" w:rsidRPr="002029AF">
        <w:t xml:space="preserve"> </w:t>
      </w:r>
      <w:r w:rsidRPr="002029AF">
        <w:t>are</w:t>
      </w:r>
      <w:r w:rsidR="000A5329" w:rsidRPr="002029AF">
        <w:t xml:space="preserve"> </w:t>
      </w:r>
      <w:r w:rsidRPr="002029AF">
        <w:t>observable</w:t>
      </w:r>
      <w:r w:rsidR="000A5329" w:rsidRPr="002029AF">
        <w:t xml:space="preserve"> </w:t>
      </w:r>
      <w:r w:rsidRPr="002029AF">
        <w:t>for</w:t>
      </w:r>
      <w:r w:rsidR="000A5329" w:rsidRPr="002029AF">
        <w:t xml:space="preserve"> </w:t>
      </w:r>
      <w:r w:rsidRPr="002029AF">
        <w:t>the</w:t>
      </w:r>
      <w:r w:rsidR="000A5329" w:rsidRPr="002029AF">
        <w:t xml:space="preserve"> </w:t>
      </w:r>
      <w:r w:rsidRPr="002029AF">
        <w:t>financial</w:t>
      </w:r>
      <w:r w:rsidR="000A5329" w:rsidRPr="002029AF">
        <w:t xml:space="preserve"> </w:t>
      </w:r>
      <w:r w:rsidRPr="002029AF">
        <w:t>asset</w:t>
      </w:r>
      <w:r w:rsidR="000A5329" w:rsidRPr="002029AF">
        <w:t xml:space="preserve"> </w:t>
      </w:r>
      <w:r w:rsidRPr="002029AF">
        <w:t>or</w:t>
      </w:r>
      <w:r w:rsidR="000A5329" w:rsidRPr="002029AF">
        <w:t xml:space="preserve"> </w:t>
      </w:r>
      <w:r w:rsidRPr="002029AF">
        <w:t>liability,</w:t>
      </w:r>
      <w:r w:rsidR="000A5329" w:rsidRPr="002029AF">
        <w:t xml:space="preserve"> </w:t>
      </w:r>
      <w:r w:rsidRPr="002029AF">
        <w:t>either</w:t>
      </w:r>
      <w:r w:rsidR="000A5329" w:rsidRPr="002029AF">
        <w:t xml:space="preserve"> </w:t>
      </w:r>
      <w:r w:rsidRPr="002029AF">
        <w:t>directly</w:t>
      </w:r>
      <w:r w:rsidR="000A5329" w:rsidRPr="002029AF">
        <w:t xml:space="preserve"> </w:t>
      </w:r>
      <w:r w:rsidRPr="002029AF">
        <w:t>or</w:t>
      </w:r>
      <w:r w:rsidR="000A5329" w:rsidRPr="002029AF">
        <w:t xml:space="preserve"> </w:t>
      </w:r>
      <w:r w:rsidRPr="002029AF">
        <w:t>indirectly</w:t>
      </w:r>
    </w:p>
    <w:p w14:paraId="02B69DF5" w14:textId="15FAA296" w:rsidR="00087B91" w:rsidRPr="002029AF" w:rsidRDefault="00087B91" w:rsidP="00087B91">
      <w:pPr>
        <w:pStyle w:val="ARfinbullet1"/>
      </w:pPr>
      <w:r w:rsidRPr="002029AF">
        <w:t>Level</w:t>
      </w:r>
      <w:r w:rsidR="000A5329" w:rsidRPr="002029AF">
        <w:t xml:space="preserve"> </w:t>
      </w:r>
      <w:r w:rsidRPr="002029AF">
        <w:t>3</w:t>
      </w:r>
      <w:r w:rsidR="000A5329" w:rsidRPr="002029AF">
        <w:t xml:space="preserve"> </w:t>
      </w:r>
      <w:r w:rsidRPr="002029AF">
        <w:t>–</w:t>
      </w:r>
      <w:r w:rsidR="000A5329" w:rsidRPr="002029AF">
        <w:t xml:space="preserve"> </w:t>
      </w:r>
      <w:r w:rsidRPr="002029AF">
        <w:t>the</w:t>
      </w:r>
      <w:r w:rsidR="000A5329" w:rsidRPr="002029AF">
        <w:t xml:space="preserve"> </w:t>
      </w:r>
      <w:r w:rsidRPr="002029AF">
        <w:t>fair</w:t>
      </w:r>
      <w:r w:rsidR="000A5329" w:rsidRPr="002029AF">
        <w:t xml:space="preserve"> </w:t>
      </w:r>
      <w:r w:rsidRPr="002029AF">
        <w:t>value</w:t>
      </w:r>
      <w:r w:rsidR="000A5329" w:rsidRPr="002029AF">
        <w:t xml:space="preserve"> </w:t>
      </w:r>
      <w:r w:rsidRPr="002029AF">
        <w:t>is</w:t>
      </w:r>
      <w:r w:rsidR="000A5329" w:rsidRPr="002029AF">
        <w:t xml:space="preserve"> </w:t>
      </w:r>
      <w:r w:rsidRPr="002029AF">
        <w:t>determined</w:t>
      </w:r>
      <w:r w:rsidR="000A5329" w:rsidRPr="002029AF">
        <w:t xml:space="preserve"> </w:t>
      </w:r>
      <w:r w:rsidRPr="002029AF">
        <w:t>in</w:t>
      </w:r>
      <w:r w:rsidR="000A5329" w:rsidRPr="002029AF">
        <w:t xml:space="preserve"> </w:t>
      </w:r>
      <w:r w:rsidRPr="002029AF">
        <w:t>accordance</w:t>
      </w:r>
      <w:r w:rsidR="000A5329" w:rsidRPr="002029AF">
        <w:t xml:space="preserve"> </w:t>
      </w:r>
      <w:r w:rsidRPr="002029AF">
        <w:t>with</w:t>
      </w:r>
      <w:r w:rsidR="000A5329" w:rsidRPr="002029AF">
        <w:t xml:space="preserve"> </w:t>
      </w:r>
      <w:r w:rsidRPr="002029AF">
        <w:t>generally</w:t>
      </w:r>
      <w:r w:rsidR="000A5329" w:rsidRPr="002029AF">
        <w:t xml:space="preserve"> </w:t>
      </w:r>
      <w:r w:rsidRPr="002029AF">
        <w:t>accepted</w:t>
      </w:r>
      <w:r w:rsidR="000A5329" w:rsidRPr="002029AF">
        <w:t xml:space="preserve"> </w:t>
      </w:r>
      <w:r w:rsidRPr="002029AF">
        <w:t>pricing</w:t>
      </w:r>
      <w:r w:rsidR="000A5329" w:rsidRPr="002029AF">
        <w:t xml:space="preserve"> </w:t>
      </w:r>
      <w:r w:rsidRPr="002029AF">
        <w:t>models</w:t>
      </w:r>
      <w:r w:rsidR="000A5329" w:rsidRPr="002029AF">
        <w:t xml:space="preserve"> </w:t>
      </w:r>
      <w:r w:rsidRPr="002029AF">
        <w:t>based</w:t>
      </w:r>
      <w:r w:rsidR="000A5329" w:rsidRPr="002029AF">
        <w:t xml:space="preserve"> </w:t>
      </w:r>
      <w:r w:rsidRPr="002029AF">
        <w:t>on</w:t>
      </w:r>
      <w:r w:rsidR="000A5329" w:rsidRPr="002029AF">
        <w:t xml:space="preserve"> </w:t>
      </w:r>
      <w:r w:rsidRPr="002029AF">
        <w:t>discounted</w:t>
      </w:r>
      <w:r w:rsidR="000A5329" w:rsidRPr="002029AF">
        <w:t xml:space="preserve"> </w:t>
      </w:r>
      <w:r w:rsidRPr="002029AF">
        <w:t>cash</w:t>
      </w:r>
      <w:r w:rsidR="000A5329" w:rsidRPr="002029AF">
        <w:t xml:space="preserve"> </w:t>
      </w:r>
      <w:r w:rsidRPr="002029AF">
        <w:t>flow</w:t>
      </w:r>
      <w:r w:rsidR="000A5329" w:rsidRPr="002029AF">
        <w:t xml:space="preserve"> </w:t>
      </w:r>
      <w:r w:rsidRPr="002029AF">
        <w:t>analysis</w:t>
      </w:r>
      <w:r w:rsidR="000A5329" w:rsidRPr="002029AF">
        <w:t xml:space="preserve"> </w:t>
      </w:r>
      <w:r w:rsidRPr="002029AF">
        <w:t>using</w:t>
      </w:r>
      <w:r w:rsidR="000A5329" w:rsidRPr="002029AF">
        <w:t xml:space="preserve"> </w:t>
      </w:r>
      <w:r w:rsidRPr="002029AF">
        <w:t>unobservable</w:t>
      </w:r>
      <w:r w:rsidR="000A5329" w:rsidRPr="002029AF">
        <w:t xml:space="preserve"> </w:t>
      </w:r>
      <w:r w:rsidRPr="002029AF">
        <w:t>market</w:t>
      </w:r>
      <w:r w:rsidR="000A5329" w:rsidRPr="002029AF">
        <w:t xml:space="preserve"> </w:t>
      </w:r>
      <w:r w:rsidRPr="002029AF">
        <w:t>inputs.</w:t>
      </w:r>
    </w:p>
    <w:p w14:paraId="32D66193" w14:textId="108C45A7" w:rsidR="00087B91" w:rsidRPr="002029AF" w:rsidRDefault="00087B91" w:rsidP="00087B91">
      <w:pPr>
        <w:pStyle w:val="ARfinbody"/>
      </w:pPr>
      <w:r w:rsidRPr="002029AF">
        <w:t>The</w:t>
      </w:r>
      <w:r w:rsidR="000A5329" w:rsidRPr="002029AF">
        <w:t xml:space="preserve"> </w:t>
      </w:r>
      <w:r w:rsidRPr="002029AF">
        <w:t>department</w:t>
      </w:r>
      <w:r w:rsidR="000A5329" w:rsidRPr="002029AF">
        <w:t xml:space="preserve"> </w:t>
      </w:r>
      <w:r w:rsidRPr="002029AF">
        <w:t>currently</w:t>
      </w:r>
      <w:r w:rsidR="000A5329" w:rsidRPr="002029AF">
        <w:t xml:space="preserve"> </w:t>
      </w:r>
      <w:r w:rsidRPr="002029AF">
        <w:t>holds</w:t>
      </w:r>
      <w:r w:rsidR="000A5329" w:rsidRPr="002029AF">
        <w:t xml:space="preserve"> </w:t>
      </w:r>
      <w:r w:rsidRPr="002029AF">
        <w:t>a</w:t>
      </w:r>
      <w:r w:rsidR="000A5329" w:rsidRPr="002029AF">
        <w:t xml:space="preserve"> </w:t>
      </w:r>
      <w:r w:rsidRPr="002029AF">
        <w:t>range</w:t>
      </w:r>
      <w:r w:rsidR="000A5329" w:rsidRPr="002029AF">
        <w:t xml:space="preserve"> </w:t>
      </w:r>
      <w:r w:rsidRPr="002029AF">
        <w:t>of</w:t>
      </w:r>
      <w:r w:rsidR="000A5329" w:rsidRPr="002029AF">
        <w:t xml:space="preserve"> </w:t>
      </w:r>
      <w:r w:rsidRPr="002029AF">
        <w:t>financial</w:t>
      </w:r>
      <w:r w:rsidR="000A5329" w:rsidRPr="002029AF">
        <w:t xml:space="preserve"> </w:t>
      </w:r>
      <w:r w:rsidRPr="002029AF">
        <w:t>instruments</w:t>
      </w:r>
      <w:r w:rsidR="000A5329" w:rsidRPr="002029AF">
        <w:t xml:space="preserve"> </w:t>
      </w:r>
      <w:r w:rsidRPr="002029AF">
        <w:t>that</w:t>
      </w:r>
      <w:r w:rsidR="000A5329" w:rsidRPr="002029AF">
        <w:t xml:space="preserve"> </w:t>
      </w:r>
      <w:r w:rsidRPr="002029AF">
        <w:t>are</w:t>
      </w:r>
      <w:r w:rsidR="000A5329" w:rsidRPr="002029AF">
        <w:t xml:space="preserve"> </w:t>
      </w:r>
      <w:r w:rsidRPr="002029AF">
        <w:t>recorded</w:t>
      </w:r>
      <w:r w:rsidR="000A5329" w:rsidRPr="002029AF">
        <w:t xml:space="preserve"> </w:t>
      </w:r>
      <w:r w:rsidRPr="002029AF">
        <w:t>in</w:t>
      </w:r>
      <w:r w:rsidR="000A5329" w:rsidRPr="002029AF">
        <w:t xml:space="preserve"> </w:t>
      </w:r>
      <w:r w:rsidRPr="002029AF">
        <w:t>the</w:t>
      </w:r>
      <w:r w:rsidR="000A5329" w:rsidRPr="002029AF">
        <w:t xml:space="preserve"> </w:t>
      </w:r>
      <w:r w:rsidRPr="002029AF">
        <w:t>financial</w:t>
      </w:r>
      <w:r w:rsidR="000A5329" w:rsidRPr="002029AF">
        <w:t xml:space="preserve"> </w:t>
      </w:r>
      <w:r w:rsidRPr="002029AF">
        <w:t>statements</w:t>
      </w:r>
      <w:r w:rsidR="000A5329" w:rsidRPr="002029AF">
        <w:t xml:space="preserve"> </w:t>
      </w:r>
      <w:r w:rsidRPr="002029AF">
        <w:t>where</w:t>
      </w:r>
      <w:r w:rsidR="000A5329" w:rsidRPr="002029AF">
        <w:t xml:space="preserve"> </w:t>
      </w:r>
      <w:r w:rsidRPr="002029AF">
        <w:t>the</w:t>
      </w:r>
      <w:r w:rsidR="000A5329" w:rsidRPr="002029AF">
        <w:t xml:space="preserve"> </w:t>
      </w:r>
      <w:r w:rsidRPr="002029AF">
        <w:t>carrying</w:t>
      </w:r>
      <w:r w:rsidR="000A5329" w:rsidRPr="002029AF">
        <w:t xml:space="preserve"> </w:t>
      </w:r>
      <w:r w:rsidRPr="002029AF">
        <w:t>amounts</w:t>
      </w:r>
      <w:r w:rsidR="000A5329" w:rsidRPr="002029AF">
        <w:t xml:space="preserve"> </w:t>
      </w:r>
      <w:r w:rsidRPr="002029AF">
        <w:t>are</w:t>
      </w:r>
      <w:r w:rsidR="000A5329" w:rsidRPr="002029AF">
        <w:t xml:space="preserve"> </w:t>
      </w:r>
      <w:r w:rsidRPr="002029AF">
        <w:t>a</w:t>
      </w:r>
      <w:r w:rsidR="000A5329" w:rsidRPr="002029AF">
        <w:t xml:space="preserve"> </w:t>
      </w:r>
      <w:r w:rsidRPr="002029AF">
        <w:t>reasonable</w:t>
      </w:r>
      <w:r w:rsidR="000A5329" w:rsidRPr="002029AF">
        <w:t xml:space="preserve"> </w:t>
      </w:r>
      <w:r w:rsidRPr="002029AF">
        <w:t>approximation</w:t>
      </w:r>
      <w:r w:rsidR="000A5329" w:rsidRPr="002029AF">
        <w:t xml:space="preserve"> </w:t>
      </w:r>
      <w:r w:rsidRPr="002029AF">
        <w:t>of</w:t>
      </w:r>
      <w:r w:rsidR="000A5329" w:rsidRPr="002029AF">
        <w:t xml:space="preserve"> </w:t>
      </w:r>
      <w:r w:rsidRPr="002029AF">
        <w:t>fair</w:t>
      </w:r>
      <w:r w:rsidR="000A5329" w:rsidRPr="002029AF">
        <w:t xml:space="preserve"> </w:t>
      </w:r>
      <w:r w:rsidRPr="002029AF">
        <w:t>value</w:t>
      </w:r>
      <w:r w:rsidRPr="002029AF">
        <w:rPr>
          <w:strike/>
        </w:rPr>
        <w:t>s</w:t>
      </w:r>
      <w:r w:rsidRPr="002029AF">
        <w:t>,</w:t>
      </w:r>
      <w:r w:rsidR="000A5329" w:rsidRPr="002029AF">
        <w:t xml:space="preserve"> </w:t>
      </w:r>
      <w:r w:rsidRPr="002029AF">
        <w:t>either</w:t>
      </w:r>
      <w:r w:rsidR="000A5329" w:rsidRPr="002029AF">
        <w:t xml:space="preserve"> </w:t>
      </w:r>
      <w:r w:rsidRPr="002029AF">
        <w:t>due</w:t>
      </w:r>
      <w:r w:rsidR="000A5329" w:rsidRPr="002029AF">
        <w:t xml:space="preserve"> </w:t>
      </w:r>
      <w:r w:rsidRPr="002029AF">
        <w:t>to</w:t>
      </w:r>
      <w:r w:rsidR="000A5329" w:rsidRPr="002029AF">
        <w:t xml:space="preserve"> </w:t>
      </w:r>
      <w:r w:rsidRPr="002029AF">
        <w:t>their</w:t>
      </w:r>
      <w:r w:rsidR="000A5329" w:rsidRPr="002029AF">
        <w:t xml:space="preserve"> </w:t>
      </w:r>
      <w:r w:rsidRPr="002029AF">
        <w:t>short-term</w:t>
      </w:r>
      <w:r w:rsidR="000A5329" w:rsidRPr="002029AF">
        <w:t xml:space="preserve"> </w:t>
      </w:r>
      <w:r w:rsidRPr="002029AF">
        <w:t>nature</w:t>
      </w:r>
      <w:r w:rsidR="000A5329" w:rsidRPr="002029AF">
        <w:t xml:space="preserve"> </w:t>
      </w:r>
      <w:r w:rsidRPr="002029AF">
        <w:t>or</w:t>
      </w:r>
      <w:r w:rsidR="000A5329" w:rsidRPr="002029AF">
        <w:t xml:space="preserve"> </w:t>
      </w:r>
      <w:r w:rsidRPr="002029AF">
        <w:t>with</w:t>
      </w:r>
      <w:r w:rsidR="000A5329" w:rsidRPr="002029AF">
        <w:t xml:space="preserve"> </w:t>
      </w:r>
      <w:r w:rsidRPr="002029AF">
        <w:t>the</w:t>
      </w:r>
      <w:r w:rsidR="000A5329" w:rsidRPr="002029AF">
        <w:t xml:space="preserve"> </w:t>
      </w:r>
      <w:r w:rsidRPr="002029AF">
        <w:t>expectation</w:t>
      </w:r>
      <w:r w:rsidR="000A5329" w:rsidRPr="002029AF">
        <w:t xml:space="preserve"> </w:t>
      </w:r>
      <w:r w:rsidRPr="002029AF">
        <w:t>that</w:t>
      </w:r>
      <w:r w:rsidR="000A5329" w:rsidRPr="002029AF">
        <w:t xml:space="preserve"> </w:t>
      </w:r>
      <w:r w:rsidRPr="002029AF">
        <w:t>they</w:t>
      </w:r>
      <w:r w:rsidR="000A5329" w:rsidRPr="002029AF">
        <w:t xml:space="preserve"> </w:t>
      </w:r>
      <w:r w:rsidRPr="002029AF">
        <w:t>will</w:t>
      </w:r>
      <w:r w:rsidR="000A5329" w:rsidRPr="002029AF">
        <w:t xml:space="preserve"> </w:t>
      </w:r>
      <w:r w:rsidRPr="002029AF">
        <w:t>be</w:t>
      </w:r>
      <w:r w:rsidR="000A5329" w:rsidRPr="002029AF">
        <w:t xml:space="preserve"> </w:t>
      </w:r>
      <w:r w:rsidRPr="002029AF">
        <w:t>paid</w:t>
      </w:r>
      <w:r w:rsidR="000A5329" w:rsidRPr="002029AF">
        <w:t xml:space="preserve"> </w:t>
      </w:r>
      <w:r w:rsidRPr="002029AF">
        <w:t>in</w:t>
      </w:r>
      <w:r w:rsidR="000A5329" w:rsidRPr="002029AF">
        <w:t xml:space="preserve"> </w:t>
      </w:r>
      <w:r w:rsidRPr="002029AF">
        <w:t>full</w:t>
      </w:r>
      <w:r w:rsidR="000A5329" w:rsidRPr="002029AF">
        <w:t xml:space="preserve"> </w:t>
      </w:r>
      <w:r w:rsidRPr="002029AF">
        <w:t>by</w:t>
      </w:r>
      <w:r w:rsidR="000A5329" w:rsidRPr="002029AF">
        <w:t xml:space="preserve"> </w:t>
      </w:r>
      <w:r w:rsidRPr="002029AF">
        <w:t>the</w:t>
      </w:r>
      <w:r w:rsidR="000A5329" w:rsidRPr="002029AF">
        <w:t xml:space="preserve"> </w:t>
      </w:r>
      <w:r w:rsidRPr="002029AF">
        <w:t>end</w:t>
      </w:r>
      <w:r w:rsidR="000A5329" w:rsidRPr="002029AF">
        <w:t xml:space="preserve"> </w:t>
      </w:r>
      <w:r w:rsidRPr="002029AF">
        <w:t>of</w:t>
      </w:r>
      <w:r w:rsidR="000A5329" w:rsidRPr="002029AF">
        <w:t xml:space="preserve"> </w:t>
      </w:r>
      <w:r w:rsidRPr="002029AF">
        <w:t>the</w:t>
      </w:r>
      <w:r w:rsidR="000A5329" w:rsidRPr="002029AF">
        <w:t xml:space="preserve"> </w:t>
      </w:r>
      <w:r w:rsidRPr="002029AF">
        <w:t>2019–20</w:t>
      </w:r>
      <w:r w:rsidR="000A5329" w:rsidRPr="002029AF">
        <w:t xml:space="preserve"> </w:t>
      </w:r>
      <w:r w:rsidRPr="002029AF">
        <w:t>reporting</w:t>
      </w:r>
      <w:r w:rsidR="000A5329" w:rsidRPr="002029AF">
        <w:t xml:space="preserve"> </w:t>
      </w:r>
      <w:r w:rsidRPr="002029AF">
        <w:t>period.</w:t>
      </w:r>
    </w:p>
    <w:p w14:paraId="656A0644" w14:textId="16738B88" w:rsidR="00087B91" w:rsidRPr="002029AF" w:rsidRDefault="00087B91" w:rsidP="00087B91">
      <w:pPr>
        <w:pStyle w:val="ARfinbody"/>
      </w:pPr>
      <w:r w:rsidRPr="002029AF">
        <w:t>The</w:t>
      </w:r>
      <w:r w:rsidR="000A5329" w:rsidRPr="002029AF">
        <w:t xml:space="preserve"> </w:t>
      </w:r>
      <w:r w:rsidRPr="002029AF">
        <w:t>fair</w:t>
      </w:r>
      <w:r w:rsidR="000A5329" w:rsidRPr="002029AF">
        <w:t xml:space="preserve"> </w:t>
      </w:r>
      <w:r w:rsidRPr="002029AF">
        <w:t>value</w:t>
      </w:r>
      <w:r w:rsidR="000A5329" w:rsidRPr="002029AF">
        <w:t xml:space="preserve"> </w:t>
      </w:r>
      <w:r w:rsidRPr="002029AF">
        <w:t>of</w:t>
      </w:r>
      <w:r w:rsidR="000A5329" w:rsidRPr="002029AF">
        <w:t xml:space="preserve"> </w:t>
      </w:r>
      <w:r w:rsidRPr="002029AF">
        <w:t>the</w:t>
      </w:r>
      <w:r w:rsidR="000A5329" w:rsidRPr="002029AF">
        <w:t xml:space="preserve"> </w:t>
      </w:r>
      <w:r w:rsidRPr="002029AF">
        <w:t>financial</w:t>
      </w:r>
      <w:r w:rsidR="000A5329" w:rsidRPr="002029AF">
        <w:t xml:space="preserve"> </w:t>
      </w:r>
      <w:r w:rsidRPr="002029AF">
        <w:t>instruments</w:t>
      </w:r>
      <w:r w:rsidR="000A5329" w:rsidRPr="002029AF">
        <w:t xml:space="preserve"> </w:t>
      </w:r>
      <w:r w:rsidRPr="002029AF">
        <w:t>is</w:t>
      </w:r>
      <w:r w:rsidR="000A5329" w:rsidRPr="002029AF">
        <w:t xml:space="preserve"> </w:t>
      </w:r>
      <w:r w:rsidRPr="002029AF">
        <w:t>the</w:t>
      </w:r>
      <w:r w:rsidR="000A5329" w:rsidRPr="002029AF">
        <w:t xml:space="preserve"> </w:t>
      </w:r>
      <w:r w:rsidRPr="002029AF">
        <w:t>same</w:t>
      </w:r>
      <w:r w:rsidR="000A5329" w:rsidRPr="002029AF">
        <w:t xml:space="preserve"> </w:t>
      </w:r>
      <w:r w:rsidRPr="002029AF">
        <w:t>as</w:t>
      </w:r>
      <w:r w:rsidR="000A5329" w:rsidRPr="002029AF">
        <w:t xml:space="preserve"> </w:t>
      </w:r>
      <w:r w:rsidRPr="002029AF">
        <w:t>the</w:t>
      </w:r>
      <w:r w:rsidR="000A5329" w:rsidRPr="002029AF">
        <w:t xml:space="preserve"> </w:t>
      </w:r>
      <w:r w:rsidRPr="002029AF">
        <w:t>carrying</w:t>
      </w:r>
      <w:r w:rsidR="000A5329" w:rsidRPr="002029AF">
        <w:t xml:space="preserve"> </w:t>
      </w:r>
      <w:r w:rsidRPr="002029AF">
        <w:t>amounts.</w:t>
      </w:r>
    </w:p>
    <w:p w14:paraId="2F7F4295" w14:textId="77777777" w:rsidR="00087B91" w:rsidRPr="002029AF" w:rsidRDefault="00087B91" w:rsidP="00087B91">
      <w:pPr>
        <w:pStyle w:val="ARfinbody"/>
      </w:pPr>
      <w:r w:rsidRPr="002029AF">
        <w:br w:type="page"/>
      </w:r>
    </w:p>
    <w:p w14:paraId="402A2CD7" w14:textId="19F47169" w:rsidR="00087B91" w:rsidRPr="002029AF" w:rsidRDefault="00087B91" w:rsidP="00087B91">
      <w:pPr>
        <w:pStyle w:val="Heading5"/>
      </w:pPr>
      <w:r w:rsidRPr="002029AF">
        <w:lastRenderedPageBreak/>
        <w:t>8.3.2</w:t>
      </w:r>
      <w:r w:rsidR="000A5329" w:rsidRPr="002029AF">
        <w:t xml:space="preserve"> </w:t>
      </w:r>
      <w:r w:rsidRPr="002029AF">
        <w:t>Fair</w:t>
      </w:r>
      <w:r w:rsidR="000A5329" w:rsidRPr="002029AF">
        <w:t xml:space="preserve"> </w:t>
      </w:r>
      <w:r w:rsidRPr="002029AF">
        <w:t>value</w:t>
      </w:r>
      <w:r w:rsidR="000A5329" w:rsidRPr="002029AF">
        <w:t xml:space="preserve"> </w:t>
      </w:r>
      <w:r w:rsidRPr="002029AF">
        <w:t>determination</w:t>
      </w:r>
      <w:r w:rsidR="000A5329" w:rsidRPr="002029AF">
        <w:t xml:space="preserve"> </w:t>
      </w:r>
      <w:r w:rsidRPr="002029AF">
        <w:t>of</w:t>
      </w:r>
      <w:r w:rsidR="000A5329" w:rsidRPr="002029AF">
        <w:t xml:space="preserve"> </w:t>
      </w:r>
      <w:r w:rsidRPr="002029AF">
        <w:t>non-financial</w:t>
      </w:r>
      <w:r w:rsidR="000A5329" w:rsidRPr="002029AF">
        <w:t xml:space="preserve"> </w:t>
      </w:r>
      <w:r w:rsidRPr="002029AF">
        <w:t>physical</w:t>
      </w:r>
      <w:r w:rsidR="000A5329" w:rsidRPr="002029AF">
        <w:t xml:space="preserve"> </w:t>
      </w:r>
      <w:r w:rsidRPr="002029AF">
        <w:t>assets</w:t>
      </w:r>
    </w:p>
    <w:p w14:paraId="2D06FE5C" w14:textId="13D660CB" w:rsidR="00087B91" w:rsidRPr="002029AF" w:rsidRDefault="00087B91" w:rsidP="00087B91">
      <w:pPr>
        <w:pStyle w:val="Heading6"/>
        <w:rPr>
          <w:lang w:val="en-AU"/>
        </w:rPr>
      </w:pPr>
      <w:r w:rsidRPr="002029AF">
        <w:rPr>
          <w:lang w:val="en-AU"/>
        </w:rPr>
        <w:t>Fair</w:t>
      </w:r>
      <w:r w:rsidR="000A5329" w:rsidRPr="002029AF">
        <w:rPr>
          <w:lang w:val="en-AU"/>
        </w:rPr>
        <w:t xml:space="preserve"> </w:t>
      </w:r>
      <w:r w:rsidRPr="002029AF">
        <w:rPr>
          <w:lang w:val="en-AU"/>
        </w:rPr>
        <w:t>value</w:t>
      </w:r>
      <w:r w:rsidR="000A5329" w:rsidRPr="002029AF">
        <w:rPr>
          <w:lang w:val="en-AU"/>
        </w:rPr>
        <w:t xml:space="preserve"> </w:t>
      </w:r>
      <w:r w:rsidRPr="002029AF">
        <w:rPr>
          <w:lang w:val="en-AU"/>
        </w:rPr>
        <w:t>measurement</w:t>
      </w:r>
      <w:r w:rsidR="000A5329" w:rsidRPr="002029AF">
        <w:rPr>
          <w:lang w:val="en-AU"/>
        </w:rPr>
        <w:t xml:space="preserve"> </w:t>
      </w:r>
      <w:r w:rsidRPr="002029AF">
        <w:rPr>
          <w:lang w:val="en-AU"/>
        </w:rPr>
        <w:t>hierarchy</w:t>
      </w:r>
    </w:p>
    <w:tbl>
      <w:tblPr>
        <w:tblStyle w:val="TableGrid"/>
        <w:tblW w:w="9637" w:type="dxa"/>
        <w:tblLayout w:type="fixed"/>
        <w:tblLook w:val="06A0" w:firstRow="1" w:lastRow="0" w:firstColumn="1" w:lastColumn="0" w:noHBand="1" w:noVBand="1"/>
      </w:tblPr>
      <w:tblGrid>
        <w:gridCol w:w="5101"/>
        <w:gridCol w:w="1134"/>
        <w:gridCol w:w="1134"/>
        <w:gridCol w:w="1134"/>
        <w:gridCol w:w="1134"/>
      </w:tblGrid>
      <w:tr w:rsidR="00087B91" w:rsidRPr="002029AF" w14:paraId="56AF20AC"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5101" w:type="dxa"/>
            <w:vMerge w:val="restart"/>
            <w:hideMark/>
          </w:tcPr>
          <w:p w14:paraId="0058E97D" w14:textId="77777777" w:rsidR="00087B91" w:rsidRPr="002029AF" w:rsidRDefault="00087B91" w:rsidP="00860E95">
            <w:pPr>
              <w:pStyle w:val="ARfintablecolhead"/>
            </w:pPr>
            <w:r w:rsidRPr="002029AF">
              <w:t>2020</w:t>
            </w:r>
          </w:p>
        </w:tc>
        <w:tc>
          <w:tcPr>
            <w:tcW w:w="1134" w:type="dxa"/>
            <w:vMerge w:val="restart"/>
            <w:hideMark/>
          </w:tcPr>
          <w:p w14:paraId="6E02209F" w14:textId="5BBB5AA6" w:rsidR="00087B91" w:rsidRPr="002029AF" w:rsidRDefault="00087B91" w:rsidP="00860E95">
            <w:pPr>
              <w:pStyle w:val="ARfintablecolheadright"/>
            </w:pPr>
            <w:r w:rsidRPr="002029AF">
              <w:t>Carrying</w:t>
            </w:r>
            <w:r w:rsidR="000A5329" w:rsidRPr="002029AF">
              <w:t xml:space="preserve"> </w:t>
            </w:r>
            <w:r w:rsidRPr="002029AF">
              <w:t>amount</w:t>
            </w:r>
          </w:p>
          <w:p w14:paraId="62AA6727" w14:textId="77777777" w:rsidR="00087B91" w:rsidRPr="002029AF" w:rsidRDefault="00087B91" w:rsidP="00860E95">
            <w:pPr>
              <w:pStyle w:val="ARfintablecolheadright"/>
            </w:pPr>
            <w:r w:rsidRPr="002029AF">
              <w:t>$M</w:t>
            </w:r>
          </w:p>
        </w:tc>
        <w:tc>
          <w:tcPr>
            <w:tcW w:w="3402" w:type="dxa"/>
            <w:gridSpan w:val="3"/>
            <w:hideMark/>
          </w:tcPr>
          <w:p w14:paraId="3E4420E7" w14:textId="66615F54" w:rsidR="00087B91" w:rsidRPr="002029AF" w:rsidRDefault="00087B91" w:rsidP="00860E95">
            <w:pPr>
              <w:pStyle w:val="ARfintablecolheadcentre"/>
            </w:pPr>
            <w:r w:rsidRPr="002029AF">
              <w:t>Fair</w:t>
            </w:r>
            <w:r w:rsidR="000A5329" w:rsidRPr="002029AF">
              <w:t xml:space="preserve"> </w:t>
            </w:r>
            <w:r w:rsidRPr="002029AF">
              <w:t>value</w:t>
            </w:r>
            <w:r w:rsidR="000A5329" w:rsidRPr="002029AF">
              <w:t xml:space="preserve"> </w:t>
            </w:r>
            <w:r w:rsidRPr="002029AF">
              <w:t>measurement</w:t>
            </w:r>
            <w:r w:rsidR="000A5329" w:rsidRPr="002029AF">
              <w:t xml:space="preserve"> </w:t>
            </w:r>
            <w:r w:rsidRPr="002029AF">
              <w:t>at</w:t>
            </w:r>
            <w:r w:rsidR="000A5329" w:rsidRPr="002029AF">
              <w:t xml:space="preserve"> </w:t>
            </w:r>
            <w:r w:rsidRPr="002029AF">
              <w:t>the</w:t>
            </w:r>
            <w:r w:rsidR="000A5329" w:rsidRPr="002029AF">
              <w:t xml:space="preserve"> </w:t>
            </w:r>
            <w:r w:rsidRPr="002029AF">
              <w:t>end</w:t>
            </w:r>
            <w:r w:rsidR="000A5329" w:rsidRPr="002029AF">
              <w:t xml:space="preserve"> </w:t>
            </w:r>
            <w:r w:rsidRPr="002029AF">
              <w:t>of</w:t>
            </w:r>
            <w:r w:rsidR="000A5329" w:rsidRPr="002029AF">
              <w:t xml:space="preserve"> </w:t>
            </w:r>
            <w:r w:rsidRPr="002029AF">
              <w:t>reporting</w:t>
            </w:r>
            <w:r w:rsidR="000A5329" w:rsidRPr="002029AF">
              <w:t xml:space="preserve"> </w:t>
            </w:r>
            <w:r w:rsidRPr="002029AF">
              <w:t>period</w:t>
            </w:r>
            <w:r w:rsidR="000A5329" w:rsidRPr="002029AF">
              <w:t xml:space="preserve"> </w:t>
            </w:r>
            <w:r w:rsidRPr="002029AF">
              <w:t>using:</w:t>
            </w:r>
          </w:p>
        </w:tc>
      </w:tr>
      <w:tr w:rsidR="00087B91" w:rsidRPr="002029AF" w14:paraId="7ABECE07"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5101" w:type="dxa"/>
            <w:vMerge/>
            <w:tcBorders>
              <w:bottom w:val="single" w:sz="4" w:space="0" w:color="auto"/>
            </w:tcBorders>
            <w:hideMark/>
          </w:tcPr>
          <w:p w14:paraId="17854FC3" w14:textId="77777777" w:rsidR="00087B91" w:rsidRPr="002029AF" w:rsidRDefault="00087B91" w:rsidP="00860E95">
            <w:pPr>
              <w:pStyle w:val="ARfintablecolhead"/>
            </w:pPr>
          </w:p>
        </w:tc>
        <w:tc>
          <w:tcPr>
            <w:tcW w:w="1134" w:type="dxa"/>
            <w:vMerge/>
            <w:tcBorders>
              <w:bottom w:val="single" w:sz="4" w:space="0" w:color="auto"/>
            </w:tcBorders>
            <w:hideMark/>
          </w:tcPr>
          <w:p w14:paraId="7051A72E" w14:textId="77777777" w:rsidR="00087B91" w:rsidRPr="002029AF" w:rsidRDefault="00087B91" w:rsidP="00860E95">
            <w:pPr>
              <w:pStyle w:val="ARfintablecolheadright"/>
            </w:pPr>
          </w:p>
        </w:tc>
        <w:tc>
          <w:tcPr>
            <w:tcW w:w="1134" w:type="dxa"/>
            <w:tcBorders>
              <w:bottom w:val="single" w:sz="4" w:space="0" w:color="auto"/>
            </w:tcBorders>
            <w:hideMark/>
          </w:tcPr>
          <w:p w14:paraId="07878A86" w14:textId="74DB161C" w:rsidR="00087B91" w:rsidRPr="002029AF" w:rsidRDefault="00087B91" w:rsidP="00860E95">
            <w:pPr>
              <w:pStyle w:val="ARfintablecolheadright"/>
            </w:pPr>
            <w:r w:rsidRPr="002029AF">
              <w:t>Level</w:t>
            </w:r>
            <w:r w:rsidR="000A5329" w:rsidRPr="002029AF">
              <w:t xml:space="preserve"> </w:t>
            </w:r>
            <w:r w:rsidRPr="002029AF">
              <w:t>1</w:t>
            </w:r>
            <w:r w:rsidR="000A5329" w:rsidRPr="002029AF">
              <w:t xml:space="preserve"> </w:t>
            </w:r>
            <w:r w:rsidRPr="002029AF">
              <w:rPr>
                <w:rStyle w:val="Superscript"/>
              </w:rPr>
              <w:t>(i)</w:t>
            </w:r>
          </w:p>
          <w:p w14:paraId="75D9DF10" w14:textId="77777777" w:rsidR="00087B91" w:rsidRPr="002029AF" w:rsidRDefault="00087B91" w:rsidP="00860E95">
            <w:pPr>
              <w:pStyle w:val="ARfintablecolheadright"/>
            </w:pPr>
            <w:r w:rsidRPr="002029AF">
              <w:t>$M</w:t>
            </w:r>
          </w:p>
        </w:tc>
        <w:tc>
          <w:tcPr>
            <w:tcW w:w="1134" w:type="dxa"/>
            <w:tcBorders>
              <w:bottom w:val="single" w:sz="4" w:space="0" w:color="auto"/>
            </w:tcBorders>
            <w:hideMark/>
          </w:tcPr>
          <w:p w14:paraId="424F6558" w14:textId="07F9D81B" w:rsidR="00087B91" w:rsidRPr="002029AF" w:rsidRDefault="00087B91" w:rsidP="00860E95">
            <w:pPr>
              <w:pStyle w:val="ARfintablecolheadright"/>
            </w:pPr>
            <w:r w:rsidRPr="002029AF">
              <w:t>Level</w:t>
            </w:r>
            <w:r w:rsidR="000A5329" w:rsidRPr="002029AF">
              <w:t xml:space="preserve"> </w:t>
            </w:r>
            <w:r w:rsidRPr="002029AF">
              <w:t>2</w:t>
            </w:r>
            <w:r w:rsidR="000A5329" w:rsidRPr="002029AF">
              <w:t xml:space="preserve"> </w:t>
            </w:r>
            <w:r w:rsidRPr="002029AF">
              <w:rPr>
                <w:rStyle w:val="Superscript"/>
              </w:rPr>
              <w:t>(i)</w:t>
            </w:r>
          </w:p>
          <w:p w14:paraId="7AEFB69C" w14:textId="77777777" w:rsidR="00087B91" w:rsidRPr="002029AF" w:rsidRDefault="00087B91" w:rsidP="00860E95">
            <w:pPr>
              <w:pStyle w:val="ARfintablecolheadright"/>
            </w:pPr>
            <w:r w:rsidRPr="002029AF">
              <w:t>$M</w:t>
            </w:r>
          </w:p>
        </w:tc>
        <w:tc>
          <w:tcPr>
            <w:tcW w:w="1134" w:type="dxa"/>
            <w:tcBorders>
              <w:bottom w:val="single" w:sz="4" w:space="0" w:color="auto"/>
            </w:tcBorders>
            <w:hideMark/>
          </w:tcPr>
          <w:p w14:paraId="593D701D" w14:textId="728415A1" w:rsidR="00087B91" w:rsidRPr="002029AF" w:rsidRDefault="00087B91" w:rsidP="00860E95">
            <w:pPr>
              <w:pStyle w:val="ARfintablecolheadright"/>
            </w:pPr>
            <w:r w:rsidRPr="002029AF">
              <w:t>Level</w:t>
            </w:r>
            <w:r w:rsidR="000A5329" w:rsidRPr="002029AF">
              <w:t xml:space="preserve"> </w:t>
            </w:r>
            <w:r w:rsidRPr="002029AF">
              <w:t>3</w:t>
            </w:r>
            <w:r w:rsidR="000A5329" w:rsidRPr="002029AF">
              <w:t xml:space="preserve"> </w:t>
            </w:r>
            <w:r w:rsidRPr="002029AF">
              <w:rPr>
                <w:rStyle w:val="Superscript"/>
              </w:rPr>
              <w:t>(i)</w:t>
            </w:r>
          </w:p>
          <w:p w14:paraId="2502E2AD" w14:textId="77777777" w:rsidR="00087B91" w:rsidRPr="002029AF" w:rsidRDefault="00087B91" w:rsidP="00860E95">
            <w:pPr>
              <w:pStyle w:val="ARfintablecolheadright"/>
            </w:pPr>
            <w:r w:rsidRPr="002029AF">
              <w:t>$M</w:t>
            </w:r>
          </w:p>
        </w:tc>
      </w:tr>
      <w:tr w:rsidR="00087B91" w:rsidRPr="002029AF" w14:paraId="7267E85C" w14:textId="77777777" w:rsidTr="00860E95">
        <w:tc>
          <w:tcPr>
            <w:tcW w:w="9637" w:type="dxa"/>
            <w:gridSpan w:val="5"/>
            <w:tcBorders>
              <w:top w:val="single" w:sz="4" w:space="0" w:color="auto"/>
              <w:bottom w:val="single" w:sz="4" w:space="0" w:color="A6A6A6"/>
            </w:tcBorders>
            <w:hideMark/>
          </w:tcPr>
          <w:p w14:paraId="04F2D1D1" w14:textId="6E41FFF8" w:rsidR="00087B91" w:rsidRPr="002029AF" w:rsidRDefault="00087B91" w:rsidP="00860E95">
            <w:pPr>
              <w:pStyle w:val="ARfintablebodybold"/>
            </w:pPr>
            <w:r w:rsidRPr="002029AF">
              <w:t>Land</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tc>
      </w:tr>
      <w:tr w:rsidR="00087B91" w:rsidRPr="002029AF" w14:paraId="6393CF9B" w14:textId="77777777" w:rsidTr="00860E95">
        <w:tc>
          <w:tcPr>
            <w:tcW w:w="5101" w:type="dxa"/>
            <w:tcBorders>
              <w:top w:val="single" w:sz="4" w:space="0" w:color="A6A6A6"/>
              <w:bottom w:val="single" w:sz="4" w:space="0" w:color="A6A6A6"/>
            </w:tcBorders>
            <w:hideMark/>
          </w:tcPr>
          <w:p w14:paraId="1749FC6C" w14:textId="769C9CA7" w:rsidR="00087B91" w:rsidRPr="002029AF" w:rsidRDefault="00087B91" w:rsidP="00860E95">
            <w:pPr>
              <w:pStyle w:val="ARfintablebody"/>
            </w:pPr>
            <w:r w:rsidRPr="002029AF">
              <w:t>Non-specialised</w:t>
            </w:r>
            <w:r w:rsidR="000A5329" w:rsidRPr="002029AF">
              <w:t xml:space="preserve"> </w:t>
            </w:r>
            <w:r w:rsidRPr="002029AF">
              <w:t>land</w:t>
            </w:r>
          </w:p>
        </w:tc>
        <w:tc>
          <w:tcPr>
            <w:tcW w:w="1134" w:type="dxa"/>
            <w:tcBorders>
              <w:top w:val="single" w:sz="4" w:space="0" w:color="A6A6A6"/>
              <w:bottom w:val="single" w:sz="4" w:space="0" w:color="A6A6A6"/>
            </w:tcBorders>
            <w:noWrap/>
            <w:hideMark/>
          </w:tcPr>
          <w:p w14:paraId="0C657D66" w14:textId="77777777" w:rsidR="00087B91" w:rsidRPr="002029AF" w:rsidRDefault="00087B91" w:rsidP="00860E95">
            <w:pPr>
              <w:pStyle w:val="ARfintablebodyright"/>
            </w:pPr>
            <w:r w:rsidRPr="002029AF">
              <w:t>17,920.8</w:t>
            </w:r>
          </w:p>
        </w:tc>
        <w:tc>
          <w:tcPr>
            <w:tcW w:w="1134" w:type="dxa"/>
            <w:tcBorders>
              <w:top w:val="single" w:sz="4" w:space="0" w:color="A6A6A6"/>
              <w:bottom w:val="single" w:sz="4" w:space="0" w:color="A6A6A6"/>
            </w:tcBorders>
            <w:noWrap/>
            <w:hideMark/>
          </w:tcPr>
          <w:p w14:paraId="2C887471"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09E7EA59" w14:textId="77777777" w:rsidR="00087B91" w:rsidRPr="002029AF" w:rsidRDefault="00087B91" w:rsidP="00860E95">
            <w:pPr>
              <w:pStyle w:val="ARfintablebodyright"/>
            </w:pPr>
            <w:r w:rsidRPr="002029AF">
              <w:t>17,920.8</w:t>
            </w:r>
          </w:p>
        </w:tc>
        <w:tc>
          <w:tcPr>
            <w:tcW w:w="1134" w:type="dxa"/>
            <w:tcBorders>
              <w:top w:val="single" w:sz="4" w:space="0" w:color="A6A6A6"/>
              <w:bottom w:val="single" w:sz="4" w:space="0" w:color="A6A6A6"/>
            </w:tcBorders>
            <w:noWrap/>
            <w:hideMark/>
          </w:tcPr>
          <w:p w14:paraId="2115FCE6" w14:textId="77777777" w:rsidR="00087B91" w:rsidRPr="002029AF" w:rsidRDefault="00087B91" w:rsidP="00860E95">
            <w:pPr>
              <w:pStyle w:val="ARfintablebodyright"/>
            </w:pPr>
            <w:r w:rsidRPr="002029AF">
              <w:t>–</w:t>
            </w:r>
          </w:p>
        </w:tc>
      </w:tr>
      <w:tr w:rsidR="00087B91" w:rsidRPr="002029AF" w14:paraId="13B49AD7" w14:textId="77777777" w:rsidTr="00860E95">
        <w:tc>
          <w:tcPr>
            <w:tcW w:w="5101" w:type="dxa"/>
            <w:tcBorders>
              <w:top w:val="single" w:sz="4" w:space="0" w:color="A6A6A6"/>
            </w:tcBorders>
            <w:hideMark/>
          </w:tcPr>
          <w:p w14:paraId="38905529" w14:textId="3EE2BF55" w:rsidR="00087B91" w:rsidRPr="002029AF" w:rsidRDefault="00087B91" w:rsidP="00860E95">
            <w:pPr>
              <w:pStyle w:val="ARfintablebody"/>
            </w:pPr>
            <w:r w:rsidRPr="002029AF">
              <w:t>Specialised</w:t>
            </w:r>
            <w:r w:rsidR="000A5329" w:rsidRPr="002029AF">
              <w:t xml:space="preserve"> </w:t>
            </w:r>
            <w:r w:rsidRPr="002029AF">
              <w:t>land</w:t>
            </w:r>
          </w:p>
        </w:tc>
        <w:tc>
          <w:tcPr>
            <w:tcW w:w="1134" w:type="dxa"/>
            <w:tcBorders>
              <w:top w:val="single" w:sz="4" w:space="0" w:color="A6A6A6"/>
            </w:tcBorders>
            <w:noWrap/>
            <w:hideMark/>
          </w:tcPr>
          <w:p w14:paraId="141FD64C" w14:textId="77777777" w:rsidR="00087B91" w:rsidRPr="002029AF" w:rsidRDefault="00087B91" w:rsidP="00860E95">
            <w:pPr>
              <w:pStyle w:val="ARfintablebodyright"/>
            </w:pPr>
            <w:r w:rsidRPr="002029AF">
              <w:t>592.7</w:t>
            </w:r>
          </w:p>
        </w:tc>
        <w:tc>
          <w:tcPr>
            <w:tcW w:w="1134" w:type="dxa"/>
            <w:tcBorders>
              <w:top w:val="single" w:sz="4" w:space="0" w:color="A6A6A6"/>
            </w:tcBorders>
            <w:noWrap/>
            <w:hideMark/>
          </w:tcPr>
          <w:p w14:paraId="246CD144" w14:textId="77777777" w:rsidR="00087B91" w:rsidRPr="002029AF" w:rsidRDefault="00087B91" w:rsidP="00860E95">
            <w:pPr>
              <w:pStyle w:val="ARfintablebodyright"/>
            </w:pPr>
            <w:r w:rsidRPr="002029AF">
              <w:t>–</w:t>
            </w:r>
          </w:p>
        </w:tc>
        <w:tc>
          <w:tcPr>
            <w:tcW w:w="1134" w:type="dxa"/>
            <w:tcBorders>
              <w:top w:val="single" w:sz="4" w:space="0" w:color="A6A6A6"/>
            </w:tcBorders>
            <w:noWrap/>
            <w:hideMark/>
          </w:tcPr>
          <w:p w14:paraId="7DA4E542" w14:textId="77777777" w:rsidR="00087B91" w:rsidRPr="002029AF" w:rsidRDefault="00087B91" w:rsidP="00860E95">
            <w:pPr>
              <w:pStyle w:val="ARfintablebodyright"/>
            </w:pPr>
            <w:r w:rsidRPr="002029AF">
              <w:t>77.2</w:t>
            </w:r>
          </w:p>
        </w:tc>
        <w:tc>
          <w:tcPr>
            <w:tcW w:w="1134" w:type="dxa"/>
            <w:tcBorders>
              <w:top w:val="single" w:sz="4" w:space="0" w:color="A6A6A6"/>
            </w:tcBorders>
            <w:noWrap/>
            <w:hideMark/>
          </w:tcPr>
          <w:p w14:paraId="39FC00B9" w14:textId="77777777" w:rsidR="00087B91" w:rsidRPr="002029AF" w:rsidRDefault="00087B91" w:rsidP="00860E95">
            <w:pPr>
              <w:pStyle w:val="ARfintablebodyright"/>
            </w:pPr>
            <w:r w:rsidRPr="002029AF">
              <w:t>515.5</w:t>
            </w:r>
          </w:p>
        </w:tc>
      </w:tr>
      <w:tr w:rsidR="00087B91" w:rsidRPr="002029AF" w14:paraId="4599347B" w14:textId="77777777" w:rsidTr="00860E95">
        <w:tc>
          <w:tcPr>
            <w:tcW w:w="5101" w:type="dxa"/>
            <w:tcBorders>
              <w:bottom w:val="single" w:sz="4" w:space="0" w:color="auto"/>
            </w:tcBorders>
            <w:hideMark/>
          </w:tcPr>
          <w:p w14:paraId="12A4F796" w14:textId="5233FAF5" w:rsidR="00087B91" w:rsidRPr="002029AF" w:rsidRDefault="00087B91" w:rsidP="00860E95">
            <w:pPr>
              <w:pStyle w:val="ARfintablebodybold"/>
            </w:pPr>
            <w:r w:rsidRPr="002029AF">
              <w:t>Total</w:t>
            </w:r>
            <w:r w:rsidR="000A5329" w:rsidRPr="002029AF">
              <w:t xml:space="preserve"> </w:t>
            </w:r>
            <w:r w:rsidRPr="002029AF">
              <w:t>land</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tc>
        <w:tc>
          <w:tcPr>
            <w:tcW w:w="1134" w:type="dxa"/>
            <w:tcBorders>
              <w:bottom w:val="single" w:sz="4" w:space="0" w:color="auto"/>
            </w:tcBorders>
            <w:noWrap/>
            <w:hideMark/>
          </w:tcPr>
          <w:p w14:paraId="5DBAE1EC" w14:textId="77777777" w:rsidR="00087B91" w:rsidRPr="002029AF" w:rsidRDefault="00087B91" w:rsidP="00860E95">
            <w:pPr>
              <w:pStyle w:val="ARfintablebodyrightbold"/>
            </w:pPr>
            <w:r w:rsidRPr="002029AF">
              <w:t>18,513.5</w:t>
            </w:r>
          </w:p>
        </w:tc>
        <w:tc>
          <w:tcPr>
            <w:tcW w:w="1134" w:type="dxa"/>
            <w:tcBorders>
              <w:bottom w:val="single" w:sz="4" w:space="0" w:color="auto"/>
            </w:tcBorders>
            <w:noWrap/>
            <w:hideMark/>
          </w:tcPr>
          <w:p w14:paraId="657A0FEC" w14:textId="77777777" w:rsidR="00087B91" w:rsidRPr="002029AF" w:rsidRDefault="00087B91" w:rsidP="00860E95">
            <w:pPr>
              <w:pStyle w:val="ARfintablebodyrightbold"/>
            </w:pPr>
            <w:r w:rsidRPr="002029AF">
              <w:t>–</w:t>
            </w:r>
          </w:p>
        </w:tc>
        <w:tc>
          <w:tcPr>
            <w:tcW w:w="1134" w:type="dxa"/>
            <w:tcBorders>
              <w:bottom w:val="single" w:sz="4" w:space="0" w:color="auto"/>
            </w:tcBorders>
            <w:noWrap/>
            <w:hideMark/>
          </w:tcPr>
          <w:p w14:paraId="16C1ADE0" w14:textId="77777777" w:rsidR="00087B91" w:rsidRPr="002029AF" w:rsidRDefault="00087B91" w:rsidP="00860E95">
            <w:pPr>
              <w:pStyle w:val="ARfintablebodyrightbold"/>
            </w:pPr>
            <w:r w:rsidRPr="002029AF">
              <w:t>17,998.0</w:t>
            </w:r>
          </w:p>
        </w:tc>
        <w:tc>
          <w:tcPr>
            <w:tcW w:w="1134" w:type="dxa"/>
            <w:tcBorders>
              <w:bottom w:val="single" w:sz="4" w:space="0" w:color="auto"/>
            </w:tcBorders>
            <w:noWrap/>
            <w:hideMark/>
          </w:tcPr>
          <w:p w14:paraId="1F381563" w14:textId="77777777" w:rsidR="00087B91" w:rsidRPr="002029AF" w:rsidRDefault="00087B91" w:rsidP="00860E95">
            <w:pPr>
              <w:pStyle w:val="ARfintablebodyrightbold"/>
            </w:pPr>
            <w:r w:rsidRPr="002029AF">
              <w:t>515.5</w:t>
            </w:r>
          </w:p>
        </w:tc>
      </w:tr>
      <w:tr w:rsidR="00087B91" w:rsidRPr="002029AF" w14:paraId="2796B9F2" w14:textId="77777777" w:rsidTr="00860E95">
        <w:tc>
          <w:tcPr>
            <w:tcW w:w="9637" w:type="dxa"/>
            <w:gridSpan w:val="5"/>
            <w:tcBorders>
              <w:top w:val="single" w:sz="4" w:space="0" w:color="auto"/>
              <w:bottom w:val="single" w:sz="4" w:space="0" w:color="A6A6A6"/>
            </w:tcBorders>
            <w:hideMark/>
          </w:tcPr>
          <w:p w14:paraId="217F3165" w14:textId="318770AB" w:rsidR="00087B91" w:rsidRPr="002029AF" w:rsidRDefault="00087B91" w:rsidP="00860E95">
            <w:pPr>
              <w:pStyle w:val="ARfintablebodybold"/>
            </w:pPr>
            <w:r w:rsidRPr="002029AF">
              <w:t>Buildings</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tc>
      </w:tr>
      <w:tr w:rsidR="00087B91" w:rsidRPr="002029AF" w14:paraId="2017168D" w14:textId="77777777" w:rsidTr="00860E95">
        <w:tc>
          <w:tcPr>
            <w:tcW w:w="5101" w:type="dxa"/>
            <w:tcBorders>
              <w:top w:val="single" w:sz="4" w:space="0" w:color="A6A6A6"/>
              <w:bottom w:val="single" w:sz="4" w:space="0" w:color="A6A6A6"/>
            </w:tcBorders>
            <w:hideMark/>
          </w:tcPr>
          <w:p w14:paraId="5C6852FA" w14:textId="1AA7E7E7" w:rsidR="00087B91" w:rsidRPr="002029AF" w:rsidRDefault="00087B91" w:rsidP="00860E95">
            <w:pPr>
              <w:pStyle w:val="ARfintablebody"/>
            </w:pPr>
            <w:r w:rsidRPr="002029AF">
              <w:t>Non-specialised</w:t>
            </w:r>
            <w:r w:rsidR="000A5329" w:rsidRPr="002029AF">
              <w:t xml:space="preserve"> </w:t>
            </w:r>
            <w:r w:rsidRPr="002029AF">
              <w:t>buildings</w:t>
            </w:r>
          </w:p>
        </w:tc>
        <w:tc>
          <w:tcPr>
            <w:tcW w:w="1134" w:type="dxa"/>
            <w:tcBorders>
              <w:top w:val="single" w:sz="4" w:space="0" w:color="A6A6A6"/>
              <w:bottom w:val="single" w:sz="4" w:space="0" w:color="A6A6A6"/>
            </w:tcBorders>
            <w:noWrap/>
            <w:hideMark/>
          </w:tcPr>
          <w:p w14:paraId="29442766" w14:textId="77777777" w:rsidR="00087B91" w:rsidRPr="002029AF" w:rsidRDefault="00087B91" w:rsidP="00860E95">
            <w:pPr>
              <w:pStyle w:val="ARfintablebodyright"/>
            </w:pPr>
            <w:r w:rsidRPr="002029AF">
              <w:t>8,885.6</w:t>
            </w:r>
          </w:p>
        </w:tc>
        <w:tc>
          <w:tcPr>
            <w:tcW w:w="1134" w:type="dxa"/>
            <w:tcBorders>
              <w:top w:val="single" w:sz="4" w:space="0" w:color="A6A6A6"/>
              <w:bottom w:val="single" w:sz="4" w:space="0" w:color="A6A6A6"/>
            </w:tcBorders>
            <w:noWrap/>
            <w:hideMark/>
          </w:tcPr>
          <w:p w14:paraId="36A84115"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6FD591FA" w14:textId="77777777" w:rsidR="00087B91" w:rsidRPr="002029AF" w:rsidRDefault="00087B91" w:rsidP="00860E95">
            <w:pPr>
              <w:pStyle w:val="ARfintablebodyright"/>
            </w:pPr>
            <w:r w:rsidRPr="002029AF">
              <w:t>8,885.6</w:t>
            </w:r>
          </w:p>
        </w:tc>
        <w:tc>
          <w:tcPr>
            <w:tcW w:w="1134" w:type="dxa"/>
            <w:tcBorders>
              <w:top w:val="single" w:sz="4" w:space="0" w:color="A6A6A6"/>
              <w:bottom w:val="single" w:sz="4" w:space="0" w:color="A6A6A6"/>
            </w:tcBorders>
            <w:noWrap/>
            <w:hideMark/>
          </w:tcPr>
          <w:p w14:paraId="6F4E0B5E" w14:textId="77777777" w:rsidR="00087B91" w:rsidRPr="002029AF" w:rsidRDefault="00087B91" w:rsidP="00860E95">
            <w:pPr>
              <w:pStyle w:val="ARfintablebodyright"/>
            </w:pPr>
            <w:r w:rsidRPr="002029AF">
              <w:t>–</w:t>
            </w:r>
          </w:p>
        </w:tc>
      </w:tr>
      <w:tr w:rsidR="00087B91" w:rsidRPr="002029AF" w14:paraId="58E18369" w14:textId="77777777" w:rsidTr="00860E95">
        <w:tc>
          <w:tcPr>
            <w:tcW w:w="5101" w:type="dxa"/>
            <w:tcBorders>
              <w:top w:val="single" w:sz="4" w:space="0" w:color="A6A6A6"/>
            </w:tcBorders>
            <w:hideMark/>
          </w:tcPr>
          <w:p w14:paraId="30C8ED60" w14:textId="3E109C19" w:rsidR="00087B91" w:rsidRPr="002029AF" w:rsidRDefault="00087B91" w:rsidP="00860E95">
            <w:pPr>
              <w:pStyle w:val="ARfintablebody"/>
            </w:pPr>
            <w:r w:rsidRPr="002029AF">
              <w:t>Specialised</w:t>
            </w:r>
            <w:r w:rsidR="000A5329" w:rsidRPr="002029AF">
              <w:t xml:space="preserve"> </w:t>
            </w:r>
            <w:r w:rsidRPr="002029AF">
              <w:t>buildings</w:t>
            </w:r>
          </w:p>
        </w:tc>
        <w:tc>
          <w:tcPr>
            <w:tcW w:w="1134" w:type="dxa"/>
            <w:tcBorders>
              <w:top w:val="single" w:sz="4" w:space="0" w:color="A6A6A6"/>
            </w:tcBorders>
            <w:noWrap/>
            <w:hideMark/>
          </w:tcPr>
          <w:p w14:paraId="274740A9" w14:textId="77777777" w:rsidR="00087B91" w:rsidRPr="002029AF" w:rsidRDefault="00087B91" w:rsidP="00860E95">
            <w:pPr>
              <w:pStyle w:val="ARfintablebodyright"/>
            </w:pPr>
            <w:r w:rsidRPr="002029AF">
              <w:t>704.6</w:t>
            </w:r>
          </w:p>
        </w:tc>
        <w:tc>
          <w:tcPr>
            <w:tcW w:w="1134" w:type="dxa"/>
            <w:tcBorders>
              <w:top w:val="single" w:sz="4" w:space="0" w:color="A6A6A6"/>
            </w:tcBorders>
            <w:noWrap/>
            <w:hideMark/>
          </w:tcPr>
          <w:p w14:paraId="7388637D" w14:textId="77777777" w:rsidR="00087B91" w:rsidRPr="002029AF" w:rsidRDefault="00087B91" w:rsidP="00860E95">
            <w:pPr>
              <w:pStyle w:val="ARfintablebodyright"/>
            </w:pPr>
            <w:r w:rsidRPr="002029AF">
              <w:t>–</w:t>
            </w:r>
          </w:p>
        </w:tc>
        <w:tc>
          <w:tcPr>
            <w:tcW w:w="1134" w:type="dxa"/>
            <w:tcBorders>
              <w:top w:val="single" w:sz="4" w:space="0" w:color="A6A6A6"/>
            </w:tcBorders>
            <w:noWrap/>
            <w:hideMark/>
          </w:tcPr>
          <w:p w14:paraId="525DB948" w14:textId="77777777" w:rsidR="00087B91" w:rsidRPr="002029AF" w:rsidRDefault="00087B91" w:rsidP="00860E95">
            <w:pPr>
              <w:pStyle w:val="ARfintablebodyright"/>
            </w:pPr>
            <w:r w:rsidRPr="002029AF">
              <w:t>1.0</w:t>
            </w:r>
          </w:p>
        </w:tc>
        <w:tc>
          <w:tcPr>
            <w:tcW w:w="1134" w:type="dxa"/>
            <w:tcBorders>
              <w:top w:val="single" w:sz="4" w:space="0" w:color="A6A6A6"/>
            </w:tcBorders>
            <w:noWrap/>
            <w:hideMark/>
          </w:tcPr>
          <w:p w14:paraId="7099D732" w14:textId="77777777" w:rsidR="00087B91" w:rsidRPr="002029AF" w:rsidRDefault="00087B91" w:rsidP="00860E95">
            <w:pPr>
              <w:pStyle w:val="ARfintablebodyright"/>
            </w:pPr>
            <w:r w:rsidRPr="002029AF">
              <w:t>703.6</w:t>
            </w:r>
          </w:p>
        </w:tc>
      </w:tr>
      <w:tr w:rsidR="00087B91" w:rsidRPr="002029AF" w14:paraId="6E59FAFB" w14:textId="77777777" w:rsidTr="00860E95">
        <w:tc>
          <w:tcPr>
            <w:tcW w:w="5101" w:type="dxa"/>
            <w:tcBorders>
              <w:bottom w:val="single" w:sz="4" w:space="0" w:color="auto"/>
            </w:tcBorders>
            <w:hideMark/>
          </w:tcPr>
          <w:p w14:paraId="5E7B42DC" w14:textId="2B1C25AF" w:rsidR="00087B91" w:rsidRPr="002029AF" w:rsidRDefault="00087B91" w:rsidP="00860E95">
            <w:pPr>
              <w:pStyle w:val="ARfintablebodybold"/>
            </w:pPr>
            <w:r w:rsidRPr="002029AF">
              <w:t>Total</w:t>
            </w:r>
            <w:r w:rsidR="000A5329" w:rsidRPr="002029AF">
              <w:t xml:space="preserve"> </w:t>
            </w:r>
            <w:r w:rsidRPr="002029AF">
              <w:t>buildings</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tc>
        <w:tc>
          <w:tcPr>
            <w:tcW w:w="1134" w:type="dxa"/>
            <w:tcBorders>
              <w:bottom w:val="single" w:sz="4" w:space="0" w:color="auto"/>
            </w:tcBorders>
            <w:noWrap/>
            <w:hideMark/>
          </w:tcPr>
          <w:p w14:paraId="39C0EB75" w14:textId="77777777" w:rsidR="00087B91" w:rsidRPr="002029AF" w:rsidRDefault="00087B91" w:rsidP="00860E95">
            <w:pPr>
              <w:pStyle w:val="ARfintablebodyrightbold"/>
            </w:pPr>
            <w:r w:rsidRPr="002029AF">
              <w:t>9,590.2</w:t>
            </w:r>
          </w:p>
        </w:tc>
        <w:tc>
          <w:tcPr>
            <w:tcW w:w="1134" w:type="dxa"/>
            <w:tcBorders>
              <w:bottom w:val="single" w:sz="4" w:space="0" w:color="auto"/>
            </w:tcBorders>
            <w:noWrap/>
            <w:hideMark/>
          </w:tcPr>
          <w:p w14:paraId="3915B2CF" w14:textId="77777777" w:rsidR="00087B91" w:rsidRPr="002029AF" w:rsidRDefault="00087B91" w:rsidP="00860E95">
            <w:pPr>
              <w:pStyle w:val="ARfintablebodyrightbold"/>
            </w:pPr>
            <w:r w:rsidRPr="002029AF">
              <w:t>–</w:t>
            </w:r>
          </w:p>
        </w:tc>
        <w:tc>
          <w:tcPr>
            <w:tcW w:w="1134" w:type="dxa"/>
            <w:tcBorders>
              <w:bottom w:val="single" w:sz="4" w:space="0" w:color="auto"/>
            </w:tcBorders>
            <w:noWrap/>
            <w:hideMark/>
          </w:tcPr>
          <w:p w14:paraId="107977BC" w14:textId="77777777" w:rsidR="00087B91" w:rsidRPr="002029AF" w:rsidRDefault="00087B91" w:rsidP="00860E95">
            <w:pPr>
              <w:pStyle w:val="ARfintablebodyrightbold"/>
            </w:pPr>
            <w:r w:rsidRPr="002029AF">
              <w:t>8,886.6</w:t>
            </w:r>
          </w:p>
        </w:tc>
        <w:tc>
          <w:tcPr>
            <w:tcW w:w="1134" w:type="dxa"/>
            <w:tcBorders>
              <w:bottom w:val="single" w:sz="4" w:space="0" w:color="auto"/>
            </w:tcBorders>
            <w:noWrap/>
            <w:hideMark/>
          </w:tcPr>
          <w:p w14:paraId="1EF3142E" w14:textId="77777777" w:rsidR="00087B91" w:rsidRPr="002029AF" w:rsidRDefault="00087B91" w:rsidP="00860E95">
            <w:pPr>
              <w:pStyle w:val="ARfintablebodyrightbold"/>
            </w:pPr>
            <w:r w:rsidRPr="002029AF">
              <w:t>703.6</w:t>
            </w:r>
          </w:p>
        </w:tc>
      </w:tr>
      <w:tr w:rsidR="00087B91" w:rsidRPr="002029AF" w14:paraId="14CDDFB4" w14:textId="77777777" w:rsidTr="00860E95">
        <w:tc>
          <w:tcPr>
            <w:tcW w:w="9637" w:type="dxa"/>
            <w:gridSpan w:val="5"/>
            <w:tcBorders>
              <w:top w:val="single" w:sz="4" w:space="0" w:color="auto"/>
              <w:bottom w:val="single" w:sz="4" w:space="0" w:color="A6A6A6"/>
            </w:tcBorders>
            <w:hideMark/>
          </w:tcPr>
          <w:p w14:paraId="0CFE59F6" w14:textId="10168A40" w:rsidR="00087B91" w:rsidRPr="002029AF" w:rsidRDefault="00087B91" w:rsidP="00860E95">
            <w:pPr>
              <w:pStyle w:val="ARfintablebodybold"/>
            </w:pPr>
            <w:r w:rsidRPr="002029AF">
              <w:t>Plant,</w:t>
            </w:r>
            <w:r w:rsidR="000A5329" w:rsidRPr="002029AF">
              <w:t xml:space="preserve"> </w:t>
            </w:r>
            <w:r w:rsidRPr="002029AF">
              <w:t>equipment</w:t>
            </w:r>
            <w:r w:rsidR="000A5329" w:rsidRPr="002029AF">
              <w:t xml:space="preserve"> </w:t>
            </w:r>
            <w:r w:rsidRPr="002029AF">
              <w:t>and</w:t>
            </w:r>
            <w:r w:rsidR="000A5329" w:rsidRPr="002029AF">
              <w:t xml:space="preserve"> </w:t>
            </w:r>
            <w:r w:rsidRPr="002029AF">
              <w:t>vehicles</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tc>
      </w:tr>
      <w:tr w:rsidR="00087B91" w:rsidRPr="002029AF" w14:paraId="1B406DAD" w14:textId="77777777" w:rsidTr="00860E95">
        <w:tc>
          <w:tcPr>
            <w:tcW w:w="5101" w:type="dxa"/>
            <w:tcBorders>
              <w:top w:val="single" w:sz="4" w:space="0" w:color="A6A6A6"/>
              <w:bottom w:val="single" w:sz="4" w:space="0" w:color="A6A6A6"/>
            </w:tcBorders>
            <w:hideMark/>
          </w:tcPr>
          <w:p w14:paraId="390BABBF" w14:textId="3939D57C" w:rsidR="00087B91" w:rsidRPr="002029AF" w:rsidRDefault="00087B91" w:rsidP="00860E95">
            <w:pPr>
              <w:pStyle w:val="ARfintablebody"/>
            </w:pPr>
            <w:r w:rsidRPr="002029AF">
              <w:t>Plant</w:t>
            </w:r>
            <w:r w:rsidR="000A5329" w:rsidRPr="002029AF">
              <w:t xml:space="preserve"> </w:t>
            </w:r>
            <w:r w:rsidRPr="002029AF">
              <w:t>and</w:t>
            </w:r>
            <w:r w:rsidR="000A5329" w:rsidRPr="002029AF">
              <w:t xml:space="preserve"> </w:t>
            </w:r>
            <w:r w:rsidRPr="002029AF">
              <w:t>equipment</w:t>
            </w:r>
          </w:p>
        </w:tc>
        <w:tc>
          <w:tcPr>
            <w:tcW w:w="1134" w:type="dxa"/>
            <w:tcBorders>
              <w:top w:val="single" w:sz="4" w:space="0" w:color="A6A6A6"/>
              <w:bottom w:val="single" w:sz="4" w:space="0" w:color="A6A6A6"/>
            </w:tcBorders>
            <w:noWrap/>
            <w:hideMark/>
          </w:tcPr>
          <w:p w14:paraId="0FC89070" w14:textId="77777777" w:rsidR="00087B91" w:rsidRPr="002029AF" w:rsidRDefault="00087B91" w:rsidP="00860E95">
            <w:pPr>
              <w:pStyle w:val="ARfintablebodyright"/>
            </w:pPr>
            <w:r w:rsidRPr="002029AF">
              <w:t>11.0</w:t>
            </w:r>
          </w:p>
        </w:tc>
        <w:tc>
          <w:tcPr>
            <w:tcW w:w="1134" w:type="dxa"/>
            <w:tcBorders>
              <w:top w:val="single" w:sz="4" w:space="0" w:color="A6A6A6"/>
              <w:bottom w:val="single" w:sz="4" w:space="0" w:color="A6A6A6"/>
            </w:tcBorders>
            <w:noWrap/>
            <w:hideMark/>
          </w:tcPr>
          <w:p w14:paraId="1C59C832"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3B61DFC9" w14:textId="77777777" w:rsidR="00087B91" w:rsidRPr="002029AF" w:rsidRDefault="00087B91" w:rsidP="00860E95">
            <w:pPr>
              <w:pStyle w:val="ARfintablebodyright"/>
            </w:pPr>
            <w:r w:rsidRPr="002029AF">
              <w:t>3.4</w:t>
            </w:r>
          </w:p>
        </w:tc>
        <w:tc>
          <w:tcPr>
            <w:tcW w:w="1134" w:type="dxa"/>
            <w:tcBorders>
              <w:top w:val="single" w:sz="4" w:space="0" w:color="A6A6A6"/>
              <w:bottom w:val="single" w:sz="4" w:space="0" w:color="A6A6A6"/>
            </w:tcBorders>
            <w:noWrap/>
            <w:hideMark/>
          </w:tcPr>
          <w:p w14:paraId="34D2EFA5" w14:textId="77777777" w:rsidR="00087B91" w:rsidRPr="002029AF" w:rsidRDefault="00087B91" w:rsidP="00860E95">
            <w:pPr>
              <w:pStyle w:val="ARfintablebodyright"/>
            </w:pPr>
            <w:r w:rsidRPr="002029AF">
              <w:t>7.6</w:t>
            </w:r>
          </w:p>
        </w:tc>
      </w:tr>
      <w:tr w:rsidR="00087B91" w:rsidRPr="002029AF" w14:paraId="29FF7FDC" w14:textId="77777777" w:rsidTr="00860E95">
        <w:tc>
          <w:tcPr>
            <w:tcW w:w="5101" w:type="dxa"/>
            <w:tcBorders>
              <w:top w:val="single" w:sz="4" w:space="0" w:color="A6A6A6"/>
            </w:tcBorders>
            <w:hideMark/>
          </w:tcPr>
          <w:p w14:paraId="11BC4C6F" w14:textId="29FBFBA2" w:rsidR="00087B91" w:rsidRPr="002029AF" w:rsidRDefault="00087B91" w:rsidP="00860E95">
            <w:pPr>
              <w:pStyle w:val="ARfintablebody"/>
            </w:pPr>
            <w:r w:rsidRPr="002029AF">
              <w:t>Motor</w:t>
            </w:r>
            <w:r w:rsidR="000A5329" w:rsidRPr="002029AF">
              <w:t xml:space="preserve"> </w:t>
            </w:r>
            <w:r w:rsidRPr="002029AF">
              <w:t>vehicles</w:t>
            </w:r>
          </w:p>
        </w:tc>
        <w:tc>
          <w:tcPr>
            <w:tcW w:w="1134" w:type="dxa"/>
            <w:tcBorders>
              <w:top w:val="single" w:sz="4" w:space="0" w:color="A6A6A6"/>
            </w:tcBorders>
            <w:noWrap/>
            <w:hideMark/>
          </w:tcPr>
          <w:p w14:paraId="7FCCF5D8" w14:textId="77777777" w:rsidR="00087B91" w:rsidRPr="002029AF" w:rsidRDefault="00087B91" w:rsidP="00860E95">
            <w:pPr>
              <w:pStyle w:val="ARfintablebodyright"/>
            </w:pPr>
            <w:r w:rsidRPr="002029AF">
              <w:t>0.4</w:t>
            </w:r>
          </w:p>
        </w:tc>
        <w:tc>
          <w:tcPr>
            <w:tcW w:w="1134" w:type="dxa"/>
            <w:tcBorders>
              <w:top w:val="single" w:sz="4" w:space="0" w:color="A6A6A6"/>
            </w:tcBorders>
            <w:noWrap/>
            <w:hideMark/>
          </w:tcPr>
          <w:p w14:paraId="75005028" w14:textId="77777777" w:rsidR="00087B91" w:rsidRPr="002029AF" w:rsidRDefault="00087B91" w:rsidP="00860E95">
            <w:pPr>
              <w:pStyle w:val="ARfintablebodyright"/>
            </w:pPr>
            <w:r w:rsidRPr="002029AF">
              <w:t>–</w:t>
            </w:r>
          </w:p>
        </w:tc>
        <w:tc>
          <w:tcPr>
            <w:tcW w:w="1134" w:type="dxa"/>
            <w:tcBorders>
              <w:top w:val="single" w:sz="4" w:space="0" w:color="A6A6A6"/>
            </w:tcBorders>
            <w:noWrap/>
            <w:hideMark/>
          </w:tcPr>
          <w:p w14:paraId="281015EE" w14:textId="77777777" w:rsidR="00087B91" w:rsidRPr="002029AF" w:rsidRDefault="00087B91" w:rsidP="00860E95">
            <w:pPr>
              <w:pStyle w:val="ARfintablebodyright"/>
            </w:pPr>
            <w:r w:rsidRPr="002029AF">
              <w:t>–</w:t>
            </w:r>
          </w:p>
        </w:tc>
        <w:tc>
          <w:tcPr>
            <w:tcW w:w="1134" w:type="dxa"/>
            <w:tcBorders>
              <w:top w:val="single" w:sz="4" w:space="0" w:color="A6A6A6"/>
            </w:tcBorders>
            <w:noWrap/>
            <w:hideMark/>
          </w:tcPr>
          <w:p w14:paraId="0C2607A2" w14:textId="77777777" w:rsidR="00087B91" w:rsidRPr="002029AF" w:rsidRDefault="00087B91" w:rsidP="00860E95">
            <w:pPr>
              <w:pStyle w:val="ARfintablebodyright"/>
            </w:pPr>
            <w:r w:rsidRPr="002029AF">
              <w:t>0.4</w:t>
            </w:r>
          </w:p>
        </w:tc>
      </w:tr>
      <w:tr w:rsidR="00087B91" w:rsidRPr="002029AF" w14:paraId="7DD4822B" w14:textId="77777777" w:rsidTr="00860E95">
        <w:tc>
          <w:tcPr>
            <w:tcW w:w="5101" w:type="dxa"/>
            <w:hideMark/>
          </w:tcPr>
          <w:p w14:paraId="49D8E2A1" w14:textId="038287CE" w:rsidR="00087B91" w:rsidRPr="002029AF" w:rsidRDefault="00087B91" w:rsidP="00860E95">
            <w:pPr>
              <w:pStyle w:val="ARfintablebodybold"/>
            </w:pPr>
            <w:r w:rsidRPr="002029AF">
              <w:t>Total</w:t>
            </w:r>
            <w:r w:rsidR="000A5329" w:rsidRPr="002029AF">
              <w:t xml:space="preserve"> </w:t>
            </w:r>
            <w:r w:rsidRPr="002029AF">
              <w:t>plant,</w:t>
            </w:r>
            <w:r w:rsidR="000A5329" w:rsidRPr="002029AF">
              <w:t xml:space="preserve"> </w:t>
            </w:r>
            <w:r w:rsidRPr="002029AF">
              <w:t>equipment</w:t>
            </w:r>
            <w:r w:rsidR="000A5329" w:rsidRPr="002029AF">
              <w:t xml:space="preserve"> </w:t>
            </w:r>
            <w:r w:rsidRPr="002029AF">
              <w:t>and</w:t>
            </w:r>
            <w:r w:rsidR="000A5329" w:rsidRPr="002029AF">
              <w:t xml:space="preserve"> </w:t>
            </w:r>
            <w:r w:rsidRPr="002029AF">
              <w:t>vehicles</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tc>
        <w:tc>
          <w:tcPr>
            <w:tcW w:w="1134" w:type="dxa"/>
            <w:noWrap/>
            <w:hideMark/>
          </w:tcPr>
          <w:p w14:paraId="207B0DD0" w14:textId="77777777" w:rsidR="00087B91" w:rsidRPr="002029AF" w:rsidRDefault="00087B91" w:rsidP="00860E95">
            <w:pPr>
              <w:pStyle w:val="ARfintablebodyrightbold"/>
            </w:pPr>
            <w:r w:rsidRPr="002029AF">
              <w:t>11.4</w:t>
            </w:r>
          </w:p>
        </w:tc>
        <w:tc>
          <w:tcPr>
            <w:tcW w:w="1134" w:type="dxa"/>
            <w:noWrap/>
            <w:hideMark/>
          </w:tcPr>
          <w:p w14:paraId="2BCD9771" w14:textId="77777777" w:rsidR="00087B91" w:rsidRPr="002029AF" w:rsidRDefault="00087B91" w:rsidP="00860E95">
            <w:pPr>
              <w:pStyle w:val="ARfintablebodyrightbold"/>
            </w:pPr>
            <w:r w:rsidRPr="002029AF">
              <w:t>–</w:t>
            </w:r>
          </w:p>
        </w:tc>
        <w:tc>
          <w:tcPr>
            <w:tcW w:w="1134" w:type="dxa"/>
            <w:noWrap/>
            <w:hideMark/>
          </w:tcPr>
          <w:p w14:paraId="09378A58" w14:textId="77777777" w:rsidR="00087B91" w:rsidRPr="002029AF" w:rsidRDefault="00087B91" w:rsidP="00860E95">
            <w:pPr>
              <w:pStyle w:val="ARfintablebodyrightbold"/>
            </w:pPr>
            <w:r w:rsidRPr="002029AF">
              <w:t>3.4</w:t>
            </w:r>
          </w:p>
        </w:tc>
        <w:tc>
          <w:tcPr>
            <w:tcW w:w="1134" w:type="dxa"/>
            <w:noWrap/>
            <w:hideMark/>
          </w:tcPr>
          <w:p w14:paraId="32C2FF9A" w14:textId="77777777" w:rsidR="00087B91" w:rsidRPr="002029AF" w:rsidRDefault="00087B91" w:rsidP="00860E95">
            <w:pPr>
              <w:pStyle w:val="ARfintablebodyrightbold"/>
            </w:pPr>
            <w:r w:rsidRPr="002029AF">
              <w:t>8.0</w:t>
            </w:r>
          </w:p>
        </w:tc>
      </w:tr>
    </w:tbl>
    <w:p w14:paraId="5C92B9E9" w14:textId="77777777" w:rsidR="00087B91" w:rsidRPr="002029AF" w:rsidRDefault="00087B91" w:rsidP="00087B91">
      <w:pPr>
        <w:pStyle w:val="ARfinbody"/>
      </w:pPr>
    </w:p>
    <w:tbl>
      <w:tblPr>
        <w:tblStyle w:val="TableGrid"/>
        <w:tblW w:w="9637" w:type="dxa"/>
        <w:tblLayout w:type="fixed"/>
        <w:tblLook w:val="06A0" w:firstRow="1" w:lastRow="0" w:firstColumn="1" w:lastColumn="0" w:noHBand="1" w:noVBand="1"/>
      </w:tblPr>
      <w:tblGrid>
        <w:gridCol w:w="5101"/>
        <w:gridCol w:w="1134"/>
        <w:gridCol w:w="1134"/>
        <w:gridCol w:w="1134"/>
        <w:gridCol w:w="1134"/>
      </w:tblGrid>
      <w:tr w:rsidR="00087B91" w:rsidRPr="002029AF" w14:paraId="5577F520"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5101" w:type="dxa"/>
            <w:vMerge w:val="restart"/>
            <w:hideMark/>
          </w:tcPr>
          <w:p w14:paraId="03F2F717" w14:textId="77777777" w:rsidR="00087B91" w:rsidRPr="002029AF" w:rsidRDefault="00087B91" w:rsidP="00860E95">
            <w:pPr>
              <w:pStyle w:val="ARfintablecolhead"/>
            </w:pPr>
            <w:r w:rsidRPr="002029AF">
              <w:t>2019</w:t>
            </w:r>
          </w:p>
        </w:tc>
        <w:tc>
          <w:tcPr>
            <w:tcW w:w="1134" w:type="dxa"/>
            <w:vMerge w:val="restart"/>
            <w:hideMark/>
          </w:tcPr>
          <w:p w14:paraId="1AFDDFDC" w14:textId="48E111C2" w:rsidR="00087B91" w:rsidRPr="002029AF" w:rsidRDefault="00087B91" w:rsidP="00860E95">
            <w:pPr>
              <w:pStyle w:val="ARfintablecolheadright"/>
            </w:pPr>
            <w:r w:rsidRPr="002029AF">
              <w:t>Carrying</w:t>
            </w:r>
            <w:r w:rsidR="000A5329" w:rsidRPr="002029AF">
              <w:t xml:space="preserve"> </w:t>
            </w:r>
            <w:r w:rsidRPr="002029AF">
              <w:t>amount</w:t>
            </w:r>
          </w:p>
          <w:p w14:paraId="1881BEBC" w14:textId="77777777" w:rsidR="00087B91" w:rsidRPr="002029AF" w:rsidRDefault="00087B91" w:rsidP="00860E95">
            <w:pPr>
              <w:pStyle w:val="ARfintablecolheadright"/>
            </w:pPr>
            <w:r w:rsidRPr="002029AF">
              <w:t>$M</w:t>
            </w:r>
          </w:p>
        </w:tc>
        <w:tc>
          <w:tcPr>
            <w:tcW w:w="3402" w:type="dxa"/>
            <w:gridSpan w:val="3"/>
            <w:hideMark/>
          </w:tcPr>
          <w:p w14:paraId="447EF489" w14:textId="64DBEB70" w:rsidR="00087B91" w:rsidRPr="002029AF" w:rsidRDefault="00087B91" w:rsidP="00860E95">
            <w:pPr>
              <w:pStyle w:val="ARfintablecolheadcentre"/>
            </w:pPr>
            <w:r w:rsidRPr="002029AF">
              <w:t>Fair</w:t>
            </w:r>
            <w:r w:rsidR="000A5329" w:rsidRPr="002029AF">
              <w:t xml:space="preserve"> </w:t>
            </w:r>
            <w:r w:rsidRPr="002029AF">
              <w:t>value</w:t>
            </w:r>
            <w:r w:rsidR="000A5329" w:rsidRPr="002029AF">
              <w:t xml:space="preserve"> </w:t>
            </w:r>
            <w:r w:rsidRPr="002029AF">
              <w:t>measurement</w:t>
            </w:r>
            <w:r w:rsidR="000A5329" w:rsidRPr="002029AF">
              <w:t xml:space="preserve"> </w:t>
            </w:r>
            <w:r w:rsidRPr="002029AF">
              <w:t>at</w:t>
            </w:r>
            <w:r w:rsidR="000A5329" w:rsidRPr="002029AF">
              <w:t xml:space="preserve"> </w:t>
            </w:r>
            <w:r w:rsidRPr="002029AF">
              <w:t>the</w:t>
            </w:r>
            <w:r w:rsidR="000A5329" w:rsidRPr="002029AF">
              <w:t xml:space="preserve"> </w:t>
            </w:r>
            <w:r w:rsidRPr="002029AF">
              <w:t>end</w:t>
            </w:r>
            <w:r w:rsidR="000A5329" w:rsidRPr="002029AF">
              <w:t xml:space="preserve"> </w:t>
            </w:r>
            <w:r w:rsidRPr="002029AF">
              <w:t>of</w:t>
            </w:r>
            <w:r w:rsidR="000A5329" w:rsidRPr="002029AF">
              <w:t xml:space="preserve"> </w:t>
            </w:r>
            <w:r w:rsidRPr="002029AF">
              <w:t>reporting</w:t>
            </w:r>
            <w:r w:rsidR="000A5329" w:rsidRPr="002029AF">
              <w:t xml:space="preserve"> </w:t>
            </w:r>
            <w:r w:rsidRPr="002029AF">
              <w:t>period</w:t>
            </w:r>
            <w:r w:rsidR="000A5329" w:rsidRPr="002029AF">
              <w:t xml:space="preserve"> </w:t>
            </w:r>
            <w:r w:rsidRPr="002029AF">
              <w:t>using:</w:t>
            </w:r>
          </w:p>
        </w:tc>
      </w:tr>
      <w:tr w:rsidR="00087B91" w:rsidRPr="002029AF" w14:paraId="05F2C4E1" w14:textId="77777777" w:rsidTr="00FC2F9E">
        <w:trPr>
          <w:cnfStyle w:val="100000000000" w:firstRow="1" w:lastRow="0" w:firstColumn="0" w:lastColumn="0" w:oddVBand="0" w:evenVBand="0" w:oddHBand="0" w:evenHBand="0" w:firstRowFirstColumn="0" w:firstRowLastColumn="0" w:lastRowFirstColumn="0" w:lastRowLastColumn="0"/>
          <w:trHeight w:val="255"/>
          <w:tblHeader/>
        </w:trPr>
        <w:tc>
          <w:tcPr>
            <w:tcW w:w="5101" w:type="dxa"/>
            <w:vMerge/>
            <w:tcBorders>
              <w:bottom w:val="single" w:sz="4" w:space="0" w:color="auto"/>
            </w:tcBorders>
            <w:hideMark/>
          </w:tcPr>
          <w:p w14:paraId="76039FCB" w14:textId="77777777" w:rsidR="00087B91" w:rsidRPr="002029AF" w:rsidRDefault="00087B91" w:rsidP="00860E95">
            <w:pPr>
              <w:pStyle w:val="ARfintablecolhead"/>
            </w:pPr>
          </w:p>
        </w:tc>
        <w:tc>
          <w:tcPr>
            <w:tcW w:w="1134" w:type="dxa"/>
            <w:vMerge/>
            <w:tcBorders>
              <w:bottom w:val="single" w:sz="4" w:space="0" w:color="auto"/>
            </w:tcBorders>
            <w:hideMark/>
          </w:tcPr>
          <w:p w14:paraId="0416206B" w14:textId="77777777" w:rsidR="00087B91" w:rsidRPr="002029AF" w:rsidRDefault="00087B91" w:rsidP="00860E95">
            <w:pPr>
              <w:pStyle w:val="ARfintablecolheadright"/>
            </w:pPr>
          </w:p>
        </w:tc>
        <w:tc>
          <w:tcPr>
            <w:tcW w:w="1134" w:type="dxa"/>
            <w:tcBorders>
              <w:bottom w:val="single" w:sz="4" w:space="0" w:color="auto"/>
            </w:tcBorders>
            <w:hideMark/>
          </w:tcPr>
          <w:p w14:paraId="5FE64B1D" w14:textId="78BD0106" w:rsidR="00087B91" w:rsidRPr="002029AF" w:rsidRDefault="00087B91" w:rsidP="00860E95">
            <w:pPr>
              <w:pStyle w:val="ARfintablecolheadright"/>
            </w:pPr>
            <w:r w:rsidRPr="002029AF">
              <w:t>Level</w:t>
            </w:r>
            <w:r w:rsidR="000A5329" w:rsidRPr="002029AF">
              <w:t xml:space="preserve"> </w:t>
            </w:r>
            <w:r w:rsidRPr="002029AF">
              <w:t>1</w:t>
            </w:r>
            <w:r w:rsidR="000A5329" w:rsidRPr="002029AF">
              <w:t xml:space="preserve"> </w:t>
            </w:r>
            <w:r w:rsidRPr="002029AF">
              <w:rPr>
                <w:rStyle w:val="Superscript"/>
              </w:rPr>
              <w:t>(i)</w:t>
            </w:r>
          </w:p>
          <w:p w14:paraId="20DC71C0" w14:textId="77777777" w:rsidR="00087B91" w:rsidRPr="002029AF" w:rsidRDefault="00087B91" w:rsidP="00860E95">
            <w:pPr>
              <w:pStyle w:val="ARfintablecolheadright"/>
            </w:pPr>
            <w:r w:rsidRPr="002029AF">
              <w:t>$M</w:t>
            </w:r>
          </w:p>
        </w:tc>
        <w:tc>
          <w:tcPr>
            <w:tcW w:w="1134" w:type="dxa"/>
            <w:tcBorders>
              <w:bottom w:val="single" w:sz="4" w:space="0" w:color="auto"/>
            </w:tcBorders>
            <w:hideMark/>
          </w:tcPr>
          <w:p w14:paraId="4404A0E6" w14:textId="69A077C4" w:rsidR="00087B91" w:rsidRPr="002029AF" w:rsidRDefault="00087B91" w:rsidP="00860E95">
            <w:pPr>
              <w:pStyle w:val="ARfintablecolheadright"/>
            </w:pPr>
            <w:r w:rsidRPr="002029AF">
              <w:t>Level</w:t>
            </w:r>
            <w:r w:rsidR="000A5329" w:rsidRPr="002029AF">
              <w:t xml:space="preserve"> </w:t>
            </w:r>
            <w:r w:rsidRPr="002029AF">
              <w:t>2</w:t>
            </w:r>
            <w:r w:rsidR="000A5329" w:rsidRPr="002029AF">
              <w:t xml:space="preserve"> </w:t>
            </w:r>
            <w:r w:rsidRPr="002029AF">
              <w:rPr>
                <w:rStyle w:val="Superscript"/>
              </w:rPr>
              <w:t>(i)</w:t>
            </w:r>
          </w:p>
          <w:p w14:paraId="009D82B5" w14:textId="77777777" w:rsidR="00087B91" w:rsidRPr="002029AF" w:rsidRDefault="00087B91" w:rsidP="00860E95">
            <w:pPr>
              <w:pStyle w:val="ARfintablecolheadright"/>
            </w:pPr>
            <w:r w:rsidRPr="002029AF">
              <w:t>$M</w:t>
            </w:r>
          </w:p>
        </w:tc>
        <w:tc>
          <w:tcPr>
            <w:tcW w:w="1134" w:type="dxa"/>
            <w:tcBorders>
              <w:bottom w:val="single" w:sz="4" w:space="0" w:color="auto"/>
            </w:tcBorders>
            <w:hideMark/>
          </w:tcPr>
          <w:p w14:paraId="35AC037D" w14:textId="0AE1564A" w:rsidR="00087B91" w:rsidRPr="002029AF" w:rsidRDefault="00087B91" w:rsidP="00860E95">
            <w:pPr>
              <w:pStyle w:val="ARfintablecolheadright"/>
            </w:pPr>
            <w:r w:rsidRPr="002029AF">
              <w:t>Level</w:t>
            </w:r>
            <w:r w:rsidR="000A5329" w:rsidRPr="002029AF">
              <w:t xml:space="preserve"> </w:t>
            </w:r>
            <w:r w:rsidRPr="002029AF">
              <w:t>3</w:t>
            </w:r>
            <w:r w:rsidR="000A5329" w:rsidRPr="002029AF">
              <w:t xml:space="preserve"> </w:t>
            </w:r>
            <w:r w:rsidRPr="002029AF">
              <w:rPr>
                <w:rStyle w:val="Superscript"/>
              </w:rPr>
              <w:t>(i)</w:t>
            </w:r>
          </w:p>
          <w:p w14:paraId="230EB2EC" w14:textId="77777777" w:rsidR="00087B91" w:rsidRPr="002029AF" w:rsidRDefault="00087B91" w:rsidP="00860E95">
            <w:pPr>
              <w:pStyle w:val="ARfintablecolheadright"/>
            </w:pPr>
            <w:r w:rsidRPr="002029AF">
              <w:t>$M</w:t>
            </w:r>
          </w:p>
        </w:tc>
      </w:tr>
      <w:tr w:rsidR="00087B91" w:rsidRPr="002029AF" w14:paraId="0265C42C" w14:textId="77777777" w:rsidTr="00860E95">
        <w:trPr>
          <w:trHeight w:val="255"/>
        </w:trPr>
        <w:tc>
          <w:tcPr>
            <w:tcW w:w="9637" w:type="dxa"/>
            <w:gridSpan w:val="5"/>
            <w:tcBorders>
              <w:top w:val="single" w:sz="4" w:space="0" w:color="auto"/>
              <w:bottom w:val="single" w:sz="4" w:space="0" w:color="A6A6A6"/>
            </w:tcBorders>
            <w:hideMark/>
          </w:tcPr>
          <w:p w14:paraId="4D77A79B" w14:textId="6406BD46" w:rsidR="00087B91" w:rsidRPr="002029AF" w:rsidRDefault="00087B91" w:rsidP="00860E95">
            <w:pPr>
              <w:pStyle w:val="ARfintablebodybold"/>
            </w:pPr>
            <w:r w:rsidRPr="002029AF">
              <w:t>Land</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tc>
      </w:tr>
      <w:tr w:rsidR="00087B91" w:rsidRPr="002029AF" w14:paraId="54C20B8E" w14:textId="77777777" w:rsidTr="00860E95">
        <w:trPr>
          <w:trHeight w:val="255"/>
        </w:trPr>
        <w:tc>
          <w:tcPr>
            <w:tcW w:w="5101" w:type="dxa"/>
            <w:tcBorders>
              <w:top w:val="single" w:sz="4" w:space="0" w:color="A6A6A6"/>
              <w:bottom w:val="single" w:sz="4" w:space="0" w:color="A6A6A6"/>
            </w:tcBorders>
            <w:hideMark/>
          </w:tcPr>
          <w:p w14:paraId="15237DD1" w14:textId="73CCF501" w:rsidR="00087B91" w:rsidRPr="002029AF" w:rsidRDefault="00087B91" w:rsidP="00860E95">
            <w:pPr>
              <w:pStyle w:val="ARfintablebody"/>
            </w:pPr>
            <w:r w:rsidRPr="002029AF">
              <w:t>Non-specialised</w:t>
            </w:r>
            <w:r w:rsidR="000A5329" w:rsidRPr="002029AF">
              <w:t xml:space="preserve"> </w:t>
            </w:r>
            <w:r w:rsidRPr="002029AF">
              <w:t>land</w:t>
            </w:r>
          </w:p>
        </w:tc>
        <w:tc>
          <w:tcPr>
            <w:tcW w:w="1134" w:type="dxa"/>
            <w:tcBorders>
              <w:top w:val="single" w:sz="4" w:space="0" w:color="A6A6A6"/>
              <w:bottom w:val="single" w:sz="4" w:space="0" w:color="A6A6A6"/>
            </w:tcBorders>
            <w:noWrap/>
            <w:hideMark/>
          </w:tcPr>
          <w:p w14:paraId="0D9E6664" w14:textId="77777777" w:rsidR="00087B91" w:rsidRPr="002029AF" w:rsidRDefault="00087B91" w:rsidP="00860E95">
            <w:pPr>
              <w:pStyle w:val="ARfintablebodyright"/>
            </w:pPr>
            <w:r w:rsidRPr="002029AF">
              <w:t>17,935.4</w:t>
            </w:r>
          </w:p>
        </w:tc>
        <w:tc>
          <w:tcPr>
            <w:tcW w:w="1134" w:type="dxa"/>
            <w:tcBorders>
              <w:top w:val="single" w:sz="4" w:space="0" w:color="A6A6A6"/>
              <w:bottom w:val="single" w:sz="4" w:space="0" w:color="A6A6A6"/>
            </w:tcBorders>
            <w:noWrap/>
            <w:hideMark/>
          </w:tcPr>
          <w:p w14:paraId="10CABBEF"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4C987CBE" w14:textId="77777777" w:rsidR="00087B91" w:rsidRPr="002029AF" w:rsidRDefault="00087B91" w:rsidP="00860E95">
            <w:pPr>
              <w:pStyle w:val="ARfintablebodyright"/>
            </w:pPr>
            <w:r w:rsidRPr="002029AF">
              <w:t>17,935.4</w:t>
            </w:r>
          </w:p>
        </w:tc>
        <w:tc>
          <w:tcPr>
            <w:tcW w:w="1134" w:type="dxa"/>
            <w:tcBorders>
              <w:top w:val="single" w:sz="4" w:space="0" w:color="A6A6A6"/>
              <w:bottom w:val="single" w:sz="4" w:space="0" w:color="A6A6A6"/>
            </w:tcBorders>
            <w:noWrap/>
            <w:hideMark/>
          </w:tcPr>
          <w:p w14:paraId="10F6525A" w14:textId="77777777" w:rsidR="00087B91" w:rsidRPr="002029AF" w:rsidRDefault="00087B91" w:rsidP="00860E95">
            <w:pPr>
              <w:pStyle w:val="ARfintablebodyright"/>
            </w:pPr>
            <w:r w:rsidRPr="002029AF">
              <w:t>–</w:t>
            </w:r>
          </w:p>
        </w:tc>
      </w:tr>
      <w:tr w:rsidR="00087B91" w:rsidRPr="002029AF" w14:paraId="21B25A61" w14:textId="77777777" w:rsidTr="00860E95">
        <w:trPr>
          <w:trHeight w:val="255"/>
        </w:trPr>
        <w:tc>
          <w:tcPr>
            <w:tcW w:w="5101" w:type="dxa"/>
            <w:tcBorders>
              <w:top w:val="single" w:sz="4" w:space="0" w:color="A6A6A6"/>
            </w:tcBorders>
            <w:hideMark/>
          </w:tcPr>
          <w:p w14:paraId="33421DA7" w14:textId="6A7D35DE" w:rsidR="00087B91" w:rsidRPr="002029AF" w:rsidRDefault="00087B91" w:rsidP="00860E95">
            <w:pPr>
              <w:pStyle w:val="ARfintablebody"/>
            </w:pPr>
            <w:r w:rsidRPr="002029AF">
              <w:t>Specialised</w:t>
            </w:r>
            <w:r w:rsidR="000A5329" w:rsidRPr="002029AF">
              <w:t xml:space="preserve"> </w:t>
            </w:r>
            <w:r w:rsidRPr="002029AF">
              <w:t>land</w:t>
            </w:r>
          </w:p>
        </w:tc>
        <w:tc>
          <w:tcPr>
            <w:tcW w:w="1134" w:type="dxa"/>
            <w:tcBorders>
              <w:top w:val="single" w:sz="4" w:space="0" w:color="A6A6A6"/>
            </w:tcBorders>
            <w:noWrap/>
            <w:hideMark/>
          </w:tcPr>
          <w:p w14:paraId="0A786C0F" w14:textId="77777777" w:rsidR="00087B91" w:rsidRPr="002029AF" w:rsidRDefault="00087B91" w:rsidP="00860E95">
            <w:pPr>
              <w:pStyle w:val="ARfintablebodyright"/>
            </w:pPr>
            <w:r w:rsidRPr="002029AF">
              <w:t>579.5</w:t>
            </w:r>
          </w:p>
        </w:tc>
        <w:tc>
          <w:tcPr>
            <w:tcW w:w="1134" w:type="dxa"/>
            <w:tcBorders>
              <w:top w:val="single" w:sz="4" w:space="0" w:color="A6A6A6"/>
            </w:tcBorders>
            <w:noWrap/>
            <w:hideMark/>
          </w:tcPr>
          <w:p w14:paraId="48D62D80" w14:textId="77777777" w:rsidR="00087B91" w:rsidRPr="002029AF" w:rsidRDefault="00087B91" w:rsidP="00860E95">
            <w:pPr>
              <w:pStyle w:val="ARfintablebodyright"/>
            </w:pPr>
            <w:r w:rsidRPr="002029AF">
              <w:t>–</w:t>
            </w:r>
          </w:p>
        </w:tc>
        <w:tc>
          <w:tcPr>
            <w:tcW w:w="1134" w:type="dxa"/>
            <w:tcBorders>
              <w:top w:val="single" w:sz="4" w:space="0" w:color="A6A6A6"/>
            </w:tcBorders>
            <w:noWrap/>
            <w:hideMark/>
          </w:tcPr>
          <w:p w14:paraId="5B9C6E3A" w14:textId="77777777" w:rsidR="00087B91" w:rsidRPr="002029AF" w:rsidRDefault="00087B91" w:rsidP="00860E95">
            <w:pPr>
              <w:pStyle w:val="ARfintablebodyright"/>
            </w:pPr>
            <w:r w:rsidRPr="002029AF">
              <w:t>77.2</w:t>
            </w:r>
          </w:p>
        </w:tc>
        <w:tc>
          <w:tcPr>
            <w:tcW w:w="1134" w:type="dxa"/>
            <w:tcBorders>
              <w:top w:val="single" w:sz="4" w:space="0" w:color="A6A6A6"/>
            </w:tcBorders>
            <w:noWrap/>
            <w:hideMark/>
          </w:tcPr>
          <w:p w14:paraId="1B3D8209" w14:textId="77777777" w:rsidR="00087B91" w:rsidRPr="002029AF" w:rsidRDefault="00087B91" w:rsidP="00860E95">
            <w:pPr>
              <w:pStyle w:val="ARfintablebodyright"/>
            </w:pPr>
            <w:r w:rsidRPr="002029AF">
              <w:t>502.3</w:t>
            </w:r>
          </w:p>
        </w:tc>
      </w:tr>
      <w:tr w:rsidR="00087B91" w:rsidRPr="002029AF" w14:paraId="3C2EC95E" w14:textId="77777777" w:rsidTr="00860E95">
        <w:trPr>
          <w:trHeight w:val="255"/>
        </w:trPr>
        <w:tc>
          <w:tcPr>
            <w:tcW w:w="5101" w:type="dxa"/>
            <w:tcBorders>
              <w:bottom w:val="single" w:sz="4" w:space="0" w:color="auto"/>
            </w:tcBorders>
            <w:hideMark/>
          </w:tcPr>
          <w:p w14:paraId="5241FD2D" w14:textId="5AB539FA" w:rsidR="00087B91" w:rsidRPr="002029AF" w:rsidRDefault="00087B91" w:rsidP="00860E95">
            <w:pPr>
              <w:pStyle w:val="ARfintablebodybold"/>
            </w:pPr>
            <w:r w:rsidRPr="002029AF">
              <w:t>Total</w:t>
            </w:r>
            <w:r w:rsidR="000A5329" w:rsidRPr="002029AF">
              <w:t xml:space="preserve"> </w:t>
            </w:r>
            <w:r w:rsidRPr="002029AF">
              <w:t>land</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tc>
        <w:tc>
          <w:tcPr>
            <w:tcW w:w="1134" w:type="dxa"/>
            <w:tcBorders>
              <w:bottom w:val="single" w:sz="4" w:space="0" w:color="auto"/>
            </w:tcBorders>
            <w:noWrap/>
            <w:hideMark/>
          </w:tcPr>
          <w:p w14:paraId="489A7B31" w14:textId="77777777" w:rsidR="00087B91" w:rsidRPr="002029AF" w:rsidRDefault="00087B91" w:rsidP="00860E95">
            <w:pPr>
              <w:pStyle w:val="ARfintablebodyrightbold"/>
            </w:pPr>
            <w:r w:rsidRPr="002029AF">
              <w:t>18,514.9</w:t>
            </w:r>
          </w:p>
        </w:tc>
        <w:tc>
          <w:tcPr>
            <w:tcW w:w="1134" w:type="dxa"/>
            <w:tcBorders>
              <w:bottom w:val="single" w:sz="4" w:space="0" w:color="auto"/>
            </w:tcBorders>
            <w:noWrap/>
            <w:hideMark/>
          </w:tcPr>
          <w:p w14:paraId="6974EA74" w14:textId="77777777" w:rsidR="00087B91" w:rsidRPr="002029AF" w:rsidRDefault="00087B91" w:rsidP="00860E95">
            <w:pPr>
              <w:pStyle w:val="ARfintablebodyrightbold"/>
            </w:pPr>
            <w:r w:rsidRPr="002029AF">
              <w:t>–</w:t>
            </w:r>
          </w:p>
        </w:tc>
        <w:tc>
          <w:tcPr>
            <w:tcW w:w="1134" w:type="dxa"/>
            <w:tcBorders>
              <w:bottom w:val="single" w:sz="4" w:space="0" w:color="auto"/>
            </w:tcBorders>
            <w:noWrap/>
            <w:hideMark/>
          </w:tcPr>
          <w:p w14:paraId="4553544F" w14:textId="77777777" w:rsidR="00087B91" w:rsidRPr="002029AF" w:rsidRDefault="00087B91" w:rsidP="00860E95">
            <w:pPr>
              <w:pStyle w:val="ARfintablebodyrightbold"/>
            </w:pPr>
            <w:r w:rsidRPr="002029AF">
              <w:t>18,012.5</w:t>
            </w:r>
          </w:p>
        </w:tc>
        <w:tc>
          <w:tcPr>
            <w:tcW w:w="1134" w:type="dxa"/>
            <w:tcBorders>
              <w:bottom w:val="single" w:sz="4" w:space="0" w:color="auto"/>
            </w:tcBorders>
            <w:noWrap/>
            <w:hideMark/>
          </w:tcPr>
          <w:p w14:paraId="28D63151" w14:textId="77777777" w:rsidR="00087B91" w:rsidRPr="002029AF" w:rsidRDefault="00087B91" w:rsidP="00860E95">
            <w:pPr>
              <w:pStyle w:val="ARfintablebodyrightbold"/>
            </w:pPr>
            <w:r w:rsidRPr="002029AF">
              <w:t>502.4</w:t>
            </w:r>
          </w:p>
        </w:tc>
      </w:tr>
      <w:tr w:rsidR="00087B91" w:rsidRPr="002029AF" w14:paraId="33549994" w14:textId="77777777" w:rsidTr="00860E95">
        <w:trPr>
          <w:trHeight w:val="255"/>
        </w:trPr>
        <w:tc>
          <w:tcPr>
            <w:tcW w:w="9637" w:type="dxa"/>
            <w:gridSpan w:val="5"/>
            <w:tcBorders>
              <w:top w:val="single" w:sz="4" w:space="0" w:color="auto"/>
              <w:bottom w:val="single" w:sz="4" w:space="0" w:color="A6A6A6"/>
            </w:tcBorders>
            <w:hideMark/>
          </w:tcPr>
          <w:p w14:paraId="69EFE5ED" w14:textId="6C8268FA" w:rsidR="00087B91" w:rsidRPr="002029AF" w:rsidRDefault="00087B91" w:rsidP="00860E95">
            <w:pPr>
              <w:pStyle w:val="ARfintablebodybold"/>
            </w:pPr>
            <w:r w:rsidRPr="002029AF">
              <w:t>Buildings</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tc>
      </w:tr>
      <w:tr w:rsidR="00087B91" w:rsidRPr="002029AF" w14:paraId="2B6A939E" w14:textId="77777777" w:rsidTr="00860E95">
        <w:trPr>
          <w:trHeight w:val="255"/>
        </w:trPr>
        <w:tc>
          <w:tcPr>
            <w:tcW w:w="5101" w:type="dxa"/>
            <w:tcBorders>
              <w:top w:val="single" w:sz="4" w:space="0" w:color="A6A6A6"/>
              <w:bottom w:val="single" w:sz="4" w:space="0" w:color="A6A6A6"/>
            </w:tcBorders>
            <w:hideMark/>
          </w:tcPr>
          <w:p w14:paraId="4F948C7F" w14:textId="096CAF9F" w:rsidR="00087B91" w:rsidRPr="002029AF" w:rsidRDefault="00087B91" w:rsidP="00860E95">
            <w:pPr>
              <w:pStyle w:val="ARfintablebody"/>
            </w:pPr>
            <w:r w:rsidRPr="002029AF">
              <w:t>Non-specialised</w:t>
            </w:r>
            <w:r w:rsidR="000A5329" w:rsidRPr="002029AF">
              <w:t xml:space="preserve"> </w:t>
            </w:r>
            <w:r w:rsidRPr="002029AF">
              <w:t>buildings</w:t>
            </w:r>
          </w:p>
        </w:tc>
        <w:tc>
          <w:tcPr>
            <w:tcW w:w="1134" w:type="dxa"/>
            <w:tcBorders>
              <w:top w:val="single" w:sz="4" w:space="0" w:color="A6A6A6"/>
              <w:bottom w:val="single" w:sz="4" w:space="0" w:color="A6A6A6"/>
            </w:tcBorders>
            <w:noWrap/>
            <w:hideMark/>
          </w:tcPr>
          <w:p w14:paraId="10DEB3CA" w14:textId="77777777" w:rsidR="00087B91" w:rsidRPr="002029AF" w:rsidRDefault="00087B91" w:rsidP="00860E95">
            <w:pPr>
              <w:pStyle w:val="ARfintablebodyright"/>
            </w:pPr>
            <w:r w:rsidRPr="002029AF">
              <w:t>9,033.4</w:t>
            </w:r>
          </w:p>
        </w:tc>
        <w:tc>
          <w:tcPr>
            <w:tcW w:w="1134" w:type="dxa"/>
            <w:tcBorders>
              <w:top w:val="single" w:sz="4" w:space="0" w:color="A6A6A6"/>
              <w:bottom w:val="single" w:sz="4" w:space="0" w:color="A6A6A6"/>
            </w:tcBorders>
            <w:noWrap/>
            <w:hideMark/>
          </w:tcPr>
          <w:p w14:paraId="4AA40315"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11170709" w14:textId="77777777" w:rsidR="00087B91" w:rsidRPr="002029AF" w:rsidRDefault="00087B91" w:rsidP="00860E95">
            <w:pPr>
              <w:pStyle w:val="ARfintablebodyright"/>
            </w:pPr>
            <w:r w:rsidRPr="002029AF">
              <w:t>9,033.4</w:t>
            </w:r>
          </w:p>
        </w:tc>
        <w:tc>
          <w:tcPr>
            <w:tcW w:w="1134" w:type="dxa"/>
            <w:tcBorders>
              <w:top w:val="single" w:sz="4" w:space="0" w:color="A6A6A6"/>
              <w:bottom w:val="single" w:sz="4" w:space="0" w:color="A6A6A6"/>
            </w:tcBorders>
            <w:noWrap/>
            <w:hideMark/>
          </w:tcPr>
          <w:p w14:paraId="3B75A5E8" w14:textId="77777777" w:rsidR="00087B91" w:rsidRPr="002029AF" w:rsidRDefault="00087B91" w:rsidP="00860E95">
            <w:pPr>
              <w:pStyle w:val="ARfintablebodyright"/>
            </w:pPr>
            <w:r w:rsidRPr="002029AF">
              <w:t>–</w:t>
            </w:r>
          </w:p>
        </w:tc>
      </w:tr>
      <w:tr w:rsidR="00087B91" w:rsidRPr="002029AF" w14:paraId="657C3B8A" w14:textId="77777777" w:rsidTr="00860E95">
        <w:trPr>
          <w:trHeight w:val="255"/>
        </w:trPr>
        <w:tc>
          <w:tcPr>
            <w:tcW w:w="5101" w:type="dxa"/>
            <w:tcBorders>
              <w:top w:val="single" w:sz="4" w:space="0" w:color="A6A6A6"/>
            </w:tcBorders>
            <w:hideMark/>
          </w:tcPr>
          <w:p w14:paraId="32ADE22D" w14:textId="19FB702B" w:rsidR="00087B91" w:rsidRPr="002029AF" w:rsidRDefault="00087B91" w:rsidP="00860E95">
            <w:pPr>
              <w:pStyle w:val="ARfintablebody"/>
            </w:pPr>
            <w:r w:rsidRPr="002029AF">
              <w:t>Specialised</w:t>
            </w:r>
            <w:r w:rsidR="000A5329" w:rsidRPr="002029AF">
              <w:t xml:space="preserve"> </w:t>
            </w:r>
            <w:r w:rsidRPr="002029AF">
              <w:t>buildings</w:t>
            </w:r>
          </w:p>
        </w:tc>
        <w:tc>
          <w:tcPr>
            <w:tcW w:w="1134" w:type="dxa"/>
            <w:tcBorders>
              <w:top w:val="single" w:sz="4" w:space="0" w:color="A6A6A6"/>
            </w:tcBorders>
            <w:noWrap/>
            <w:hideMark/>
          </w:tcPr>
          <w:p w14:paraId="53CAA0A7" w14:textId="77777777" w:rsidR="00087B91" w:rsidRPr="002029AF" w:rsidRDefault="00087B91" w:rsidP="00860E95">
            <w:pPr>
              <w:pStyle w:val="ARfintablebodyright"/>
            </w:pPr>
            <w:r w:rsidRPr="002029AF">
              <w:t>742.7</w:t>
            </w:r>
          </w:p>
        </w:tc>
        <w:tc>
          <w:tcPr>
            <w:tcW w:w="1134" w:type="dxa"/>
            <w:tcBorders>
              <w:top w:val="single" w:sz="4" w:space="0" w:color="A6A6A6"/>
            </w:tcBorders>
            <w:noWrap/>
            <w:hideMark/>
          </w:tcPr>
          <w:p w14:paraId="1F820B60" w14:textId="77777777" w:rsidR="00087B91" w:rsidRPr="002029AF" w:rsidRDefault="00087B91" w:rsidP="00860E95">
            <w:pPr>
              <w:pStyle w:val="ARfintablebodyright"/>
            </w:pPr>
            <w:r w:rsidRPr="002029AF">
              <w:t>–</w:t>
            </w:r>
          </w:p>
        </w:tc>
        <w:tc>
          <w:tcPr>
            <w:tcW w:w="1134" w:type="dxa"/>
            <w:tcBorders>
              <w:top w:val="single" w:sz="4" w:space="0" w:color="A6A6A6"/>
            </w:tcBorders>
            <w:noWrap/>
            <w:hideMark/>
          </w:tcPr>
          <w:p w14:paraId="5AFB1A25" w14:textId="77777777" w:rsidR="00087B91" w:rsidRPr="002029AF" w:rsidRDefault="00087B91" w:rsidP="00860E95">
            <w:pPr>
              <w:pStyle w:val="ARfintablebodyright"/>
            </w:pPr>
            <w:r w:rsidRPr="002029AF">
              <w:t>1.0</w:t>
            </w:r>
          </w:p>
        </w:tc>
        <w:tc>
          <w:tcPr>
            <w:tcW w:w="1134" w:type="dxa"/>
            <w:tcBorders>
              <w:top w:val="single" w:sz="4" w:space="0" w:color="A6A6A6"/>
            </w:tcBorders>
            <w:noWrap/>
            <w:hideMark/>
          </w:tcPr>
          <w:p w14:paraId="6E26E716" w14:textId="77777777" w:rsidR="00087B91" w:rsidRPr="002029AF" w:rsidRDefault="00087B91" w:rsidP="00860E95">
            <w:pPr>
              <w:pStyle w:val="ARfintablebodyright"/>
            </w:pPr>
            <w:r w:rsidRPr="002029AF">
              <w:t>741.6</w:t>
            </w:r>
          </w:p>
        </w:tc>
      </w:tr>
      <w:tr w:rsidR="00087B91" w:rsidRPr="002029AF" w14:paraId="31E0D7FF" w14:textId="77777777" w:rsidTr="00860E95">
        <w:trPr>
          <w:trHeight w:val="255"/>
        </w:trPr>
        <w:tc>
          <w:tcPr>
            <w:tcW w:w="5101" w:type="dxa"/>
            <w:tcBorders>
              <w:bottom w:val="single" w:sz="4" w:space="0" w:color="auto"/>
            </w:tcBorders>
            <w:hideMark/>
          </w:tcPr>
          <w:p w14:paraId="6A050368" w14:textId="06BBD7AB" w:rsidR="00087B91" w:rsidRPr="002029AF" w:rsidRDefault="00087B91" w:rsidP="00860E95">
            <w:pPr>
              <w:pStyle w:val="ARfintablebodybold"/>
            </w:pPr>
            <w:r w:rsidRPr="002029AF">
              <w:t>Total</w:t>
            </w:r>
            <w:r w:rsidR="000A5329" w:rsidRPr="002029AF">
              <w:t xml:space="preserve"> </w:t>
            </w:r>
            <w:r w:rsidRPr="002029AF">
              <w:t>buildings</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tc>
        <w:tc>
          <w:tcPr>
            <w:tcW w:w="1134" w:type="dxa"/>
            <w:tcBorders>
              <w:bottom w:val="single" w:sz="4" w:space="0" w:color="auto"/>
            </w:tcBorders>
            <w:noWrap/>
            <w:hideMark/>
          </w:tcPr>
          <w:p w14:paraId="5D60AAA9" w14:textId="77777777" w:rsidR="00087B91" w:rsidRPr="002029AF" w:rsidRDefault="00087B91" w:rsidP="00860E95">
            <w:pPr>
              <w:pStyle w:val="ARfintablebodyrightbold"/>
            </w:pPr>
            <w:r w:rsidRPr="002029AF">
              <w:t>9,776.0</w:t>
            </w:r>
          </w:p>
        </w:tc>
        <w:tc>
          <w:tcPr>
            <w:tcW w:w="1134" w:type="dxa"/>
            <w:tcBorders>
              <w:bottom w:val="single" w:sz="4" w:space="0" w:color="auto"/>
            </w:tcBorders>
            <w:noWrap/>
            <w:hideMark/>
          </w:tcPr>
          <w:p w14:paraId="607FF53A" w14:textId="77777777" w:rsidR="00087B91" w:rsidRPr="002029AF" w:rsidRDefault="00087B91" w:rsidP="00860E95">
            <w:pPr>
              <w:pStyle w:val="ARfintablebodyrightbold"/>
            </w:pPr>
            <w:r w:rsidRPr="002029AF">
              <w:t>–</w:t>
            </w:r>
          </w:p>
        </w:tc>
        <w:tc>
          <w:tcPr>
            <w:tcW w:w="1134" w:type="dxa"/>
            <w:tcBorders>
              <w:bottom w:val="single" w:sz="4" w:space="0" w:color="auto"/>
            </w:tcBorders>
            <w:noWrap/>
            <w:hideMark/>
          </w:tcPr>
          <w:p w14:paraId="27EF9820" w14:textId="77777777" w:rsidR="00087B91" w:rsidRPr="002029AF" w:rsidRDefault="00087B91" w:rsidP="00860E95">
            <w:pPr>
              <w:pStyle w:val="ARfintablebodyrightbold"/>
            </w:pPr>
            <w:r w:rsidRPr="002029AF">
              <w:t>9,034.4</w:t>
            </w:r>
          </w:p>
        </w:tc>
        <w:tc>
          <w:tcPr>
            <w:tcW w:w="1134" w:type="dxa"/>
            <w:tcBorders>
              <w:bottom w:val="single" w:sz="4" w:space="0" w:color="auto"/>
            </w:tcBorders>
            <w:noWrap/>
            <w:hideMark/>
          </w:tcPr>
          <w:p w14:paraId="2DABC63D" w14:textId="77777777" w:rsidR="00087B91" w:rsidRPr="002029AF" w:rsidRDefault="00087B91" w:rsidP="00860E95">
            <w:pPr>
              <w:pStyle w:val="ARfintablebodyrightbold"/>
            </w:pPr>
            <w:r w:rsidRPr="002029AF">
              <w:t>741.6</w:t>
            </w:r>
          </w:p>
        </w:tc>
      </w:tr>
      <w:tr w:rsidR="00087B91" w:rsidRPr="002029AF" w14:paraId="1E396812" w14:textId="77777777" w:rsidTr="00860E95">
        <w:trPr>
          <w:trHeight w:val="255"/>
        </w:trPr>
        <w:tc>
          <w:tcPr>
            <w:tcW w:w="9637" w:type="dxa"/>
            <w:gridSpan w:val="5"/>
            <w:tcBorders>
              <w:top w:val="single" w:sz="4" w:space="0" w:color="auto"/>
              <w:bottom w:val="single" w:sz="4" w:space="0" w:color="A6A6A6"/>
            </w:tcBorders>
            <w:hideMark/>
          </w:tcPr>
          <w:p w14:paraId="19CB1034" w14:textId="667CC8ED" w:rsidR="00087B91" w:rsidRPr="002029AF" w:rsidRDefault="00087B91" w:rsidP="00860E95">
            <w:pPr>
              <w:pStyle w:val="ARfintablebodybold"/>
            </w:pPr>
            <w:r w:rsidRPr="002029AF">
              <w:t>Plant,</w:t>
            </w:r>
            <w:r w:rsidR="000A5329" w:rsidRPr="002029AF">
              <w:t xml:space="preserve"> </w:t>
            </w:r>
            <w:r w:rsidRPr="002029AF">
              <w:t>equipment</w:t>
            </w:r>
            <w:r w:rsidR="000A5329" w:rsidRPr="002029AF">
              <w:t xml:space="preserve"> </w:t>
            </w:r>
            <w:r w:rsidRPr="002029AF">
              <w:t>and</w:t>
            </w:r>
            <w:r w:rsidR="000A5329" w:rsidRPr="002029AF">
              <w:t xml:space="preserve"> </w:t>
            </w:r>
            <w:r w:rsidRPr="002029AF">
              <w:t>vehicles</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tc>
      </w:tr>
      <w:tr w:rsidR="00087B91" w:rsidRPr="002029AF" w14:paraId="2501EE4C" w14:textId="77777777" w:rsidTr="00860E95">
        <w:trPr>
          <w:trHeight w:val="255"/>
        </w:trPr>
        <w:tc>
          <w:tcPr>
            <w:tcW w:w="5101" w:type="dxa"/>
            <w:tcBorders>
              <w:top w:val="single" w:sz="4" w:space="0" w:color="A6A6A6"/>
              <w:bottom w:val="single" w:sz="4" w:space="0" w:color="A6A6A6"/>
            </w:tcBorders>
            <w:hideMark/>
          </w:tcPr>
          <w:p w14:paraId="1B5A3177" w14:textId="27C25F0F" w:rsidR="00087B91" w:rsidRPr="002029AF" w:rsidRDefault="00087B91" w:rsidP="00860E95">
            <w:pPr>
              <w:pStyle w:val="ARfintablebody"/>
            </w:pPr>
            <w:r w:rsidRPr="002029AF">
              <w:t>Plant</w:t>
            </w:r>
            <w:r w:rsidR="000A5329" w:rsidRPr="002029AF">
              <w:t xml:space="preserve"> </w:t>
            </w:r>
            <w:r w:rsidRPr="002029AF">
              <w:t>and</w:t>
            </w:r>
            <w:r w:rsidR="000A5329" w:rsidRPr="002029AF">
              <w:t xml:space="preserve"> </w:t>
            </w:r>
            <w:r w:rsidRPr="002029AF">
              <w:t>equipment</w:t>
            </w:r>
          </w:p>
        </w:tc>
        <w:tc>
          <w:tcPr>
            <w:tcW w:w="1134" w:type="dxa"/>
            <w:tcBorders>
              <w:top w:val="single" w:sz="4" w:space="0" w:color="A6A6A6"/>
              <w:bottom w:val="single" w:sz="4" w:space="0" w:color="A6A6A6"/>
            </w:tcBorders>
            <w:noWrap/>
            <w:hideMark/>
          </w:tcPr>
          <w:p w14:paraId="6E285B2C" w14:textId="77777777" w:rsidR="00087B91" w:rsidRPr="002029AF" w:rsidRDefault="00087B91" w:rsidP="00860E95">
            <w:pPr>
              <w:pStyle w:val="ARfintablebodyright"/>
            </w:pPr>
            <w:r w:rsidRPr="002029AF">
              <w:t>10.8</w:t>
            </w:r>
          </w:p>
        </w:tc>
        <w:tc>
          <w:tcPr>
            <w:tcW w:w="1134" w:type="dxa"/>
            <w:tcBorders>
              <w:top w:val="single" w:sz="4" w:space="0" w:color="A6A6A6"/>
              <w:bottom w:val="single" w:sz="4" w:space="0" w:color="A6A6A6"/>
            </w:tcBorders>
            <w:noWrap/>
            <w:hideMark/>
          </w:tcPr>
          <w:p w14:paraId="1D3EA8FD"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07E5AB16"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10E10ED0" w14:textId="77777777" w:rsidR="00087B91" w:rsidRPr="002029AF" w:rsidRDefault="00087B91" w:rsidP="00860E95">
            <w:pPr>
              <w:pStyle w:val="ARfintablebodyright"/>
            </w:pPr>
            <w:r w:rsidRPr="002029AF">
              <w:t>10.8</w:t>
            </w:r>
          </w:p>
        </w:tc>
      </w:tr>
      <w:tr w:rsidR="00087B91" w:rsidRPr="002029AF" w14:paraId="61028852" w14:textId="77777777" w:rsidTr="00860E95">
        <w:trPr>
          <w:trHeight w:val="255"/>
        </w:trPr>
        <w:tc>
          <w:tcPr>
            <w:tcW w:w="5101" w:type="dxa"/>
            <w:tcBorders>
              <w:top w:val="single" w:sz="4" w:space="0" w:color="A6A6A6"/>
            </w:tcBorders>
            <w:hideMark/>
          </w:tcPr>
          <w:p w14:paraId="561F9DF1" w14:textId="44E7419E" w:rsidR="00087B91" w:rsidRPr="002029AF" w:rsidRDefault="00087B91" w:rsidP="00860E95">
            <w:pPr>
              <w:pStyle w:val="ARfintablebody"/>
            </w:pPr>
            <w:r w:rsidRPr="002029AF">
              <w:t>Motor</w:t>
            </w:r>
            <w:r w:rsidR="000A5329" w:rsidRPr="002029AF">
              <w:t xml:space="preserve"> </w:t>
            </w:r>
            <w:r w:rsidRPr="002029AF">
              <w:t>vehicles</w:t>
            </w:r>
          </w:p>
        </w:tc>
        <w:tc>
          <w:tcPr>
            <w:tcW w:w="1134" w:type="dxa"/>
            <w:tcBorders>
              <w:top w:val="single" w:sz="4" w:space="0" w:color="A6A6A6"/>
            </w:tcBorders>
            <w:noWrap/>
            <w:hideMark/>
          </w:tcPr>
          <w:p w14:paraId="15FB1992" w14:textId="77777777" w:rsidR="00087B91" w:rsidRPr="002029AF" w:rsidRDefault="00087B91" w:rsidP="00860E95">
            <w:pPr>
              <w:pStyle w:val="ARfintablebodyright"/>
            </w:pPr>
            <w:r w:rsidRPr="002029AF">
              <w:t>0.8</w:t>
            </w:r>
          </w:p>
        </w:tc>
        <w:tc>
          <w:tcPr>
            <w:tcW w:w="1134" w:type="dxa"/>
            <w:tcBorders>
              <w:top w:val="single" w:sz="4" w:space="0" w:color="A6A6A6"/>
            </w:tcBorders>
            <w:noWrap/>
            <w:hideMark/>
          </w:tcPr>
          <w:p w14:paraId="5D10A28C" w14:textId="77777777" w:rsidR="00087B91" w:rsidRPr="002029AF" w:rsidRDefault="00087B91" w:rsidP="00860E95">
            <w:pPr>
              <w:pStyle w:val="ARfintablebodyright"/>
            </w:pPr>
            <w:r w:rsidRPr="002029AF">
              <w:t>–</w:t>
            </w:r>
          </w:p>
        </w:tc>
        <w:tc>
          <w:tcPr>
            <w:tcW w:w="1134" w:type="dxa"/>
            <w:tcBorders>
              <w:top w:val="single" w:sz="4" w:space="0" w:color="A6A6A6"/>
            </w:tcBorders>
            <w:noWrap/>
            <w:hideMark/>
          </w:tcPr>
          <w:p w14:paraId="6238AAA7" w14:textId="77777777" w:rsidR="00087B91" w:rsidRPr="002029AF" w:rsidRDefault="00087B91" w:rsidP="00860E95">
            <w:pPr>
              <w:pStyle w:val="ARfintablebodyright"/>
            </w:pPr>
            <w:r w:rsidRPr="002029AF">
              <w:t>–</w:t>
            </w:r>
          </w:p>
        </w:tc>
        <w:tc>
          <w:tcPr>
            <w:tcW w:w="1134" w:type="dxa"/>
            <w:tcBorders>
              <w:top w:val="single" w:sz="4" w:space="0" w:color="A6A6A6"/>
            </w:tcBorders>
            <w:noWrap/>
            <w:hideMark/>
          </w:tcPr>
          <w:p w14:paraId="32F7A1AF" w14:textId="77777777" w:rsidR="00087B91" w:rsidRPr="002029AF" w:rsidRDefault="00087B91" w:rsidP="00860E95">
            <w:pPr>
              <w:pStyle w:val="ARfintablebodyright"/>
            </w:pPr>
            <w:r w:rsidRPr="002029AF">
              <w:t>0.8</w:t>
            </w:r>
          </w:p>
        </w:tc>
      </w:tr>
      <w:tr w:rsidR="00087B91" w:rsidRPr="002029AF" w14:paraId="4CBA31EA" w14:textId="77777777" w:rsidTr="00860E95">
        <w:trPr>
          <w:trHeight w:val="255"/>
        </w:trPr>
        <w:tc>
          <w:tcPr>
            <w:tcW w:w="5101" w:type="dxa"/>
            <w:hideMark/>
          </w:tcPr>
          <w:p w14:paraId="39349226" w14:textId="48B3E543" w:rsidR="00087B91" w:rsidRPr="002029AF" w:rsidRDefault="00087B91" w:rsidP="00860E95">
            <w:pPr>
              <w:pStyle w:val="ARfintablebodybold"/>
            </w:pPr>
            <w:r w:rsidRPr="002029AF">
              <w:t>Total</w:t>
            </w:r>
            <w:r w:rsidR="000A5329" w:rsidRPr="002029AF">
              <w:t xml:space="preserve"> </w:t>
            </w:r>
            <w:r w:rsidRPr="002029AF">
              <w:t>plant,</w:t>
            </w:r>
            <w:r w:rsidR="000A5329" w:rsidRPr="002029AF">
              <w:t xml:space="preserve"> </w:t>
            </w:r>
            <w:r w:rsidRPr="002029AF">
              <w:t>equipment</w:t>
            </w:r>
            <w:r w:rsidR="000A5329" w:rsidRPr="002029AF">
              <w:t xml:space="preserve"> </w:t>
            </w:r>
            <w:r w:rsidRPr="002029AF">
              <w:t>and</w:t>
            </w:r>
            <w:r w:rsidR="000A5329" w:rsidRPr="002029AF">
              <w:t xml:space="preserve"> </w:t>
            </w:r>
            <w:r w:rsidRPr="002029AF">
              <w:t>vehicles</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p>
        </w:tc>
        <w:tc>
          <w:tcPr>
            <w:tcW w:w="1134" w:type="dxa"/>
            <w:noWrap/>
            <w:hideMark/>
          </w:tcPr>
          <w:p w14:paraId="30D785E9" w14:textId="77777777" w:rsidR="00087B91" w:rsidRPr="002029AF" w:rsidRDefault="00087B91" w:rsidP="00860E95">
            <w:pPr>
              <w:pStyle w:val="ARfintablebodyrightbold"/>
            </w:pPr>
            <w:r w:rsidRPr="002029AF">
              <w:t>11.6</w:t>
            </w:r>
          </w:p>
        </w:tc>
        <w:tc>
          <w:tcPr>
            <w:tcW w:w="1134" w:type="dxa"/>
            <w:noWrap/>
            <w:hideMark/>
          </w:tcPr>
          <w:p w14:paraId="573907C5" w14:textId="77777777" w:rsidR="00087B91" w:rsidRPr="002029AF" w:rsidRDefault="00087B91" w:rsidP="00860E95">
            <w:pPr>
              <w:pStyle w:val="ARfintablebodyrightbold"/>
            </w:pPr>
            <w:r w:rsidRPr="002029AF">
              <w:t>–</w:t>
            </w:r>
          </w:p>
        </w:tc>
        <w:tc>
          <w:tcPr>
            <w:tcW w:w="1134" w:type="dxa"/>
            <w:noWrap/>
            <w:hideMark/>
          </w:tcPr>
          <w:p w14:paraId="41EBFF63" w14:textId="77777777" w:rsidR="00087B91" w:rsidRPr="002029AF" w:rsidRDefault="00087B91" w:rsidP="00860E95">
            <w:pPr>
              <w:pStyle w:val="ARfintablebodyrightbold"/>
            </w:pPr>
            <w:r w:rsidRPr="002029AF">
              <w:t>–</w:t>
            </w:r>
          </w:p>
        </w:tc>
        <w:tc>
          <w:tcPr>
            <w:tcW w:w="1134" w:type="dxa"/>
            <w:noWrap/>
            <w:hideMark/>
          </w:tcPr>
          <w:p w14:paraId="15B1453F" w14:textId="77777777" w:rsidR="00087B91" w:rsidRPr="002029AF" w:rsidRDefault="00087B91" w:rsidP="00860E95">
            <w:pPr>
              <w:pStyle w:val="ARfintablebodyrightbold"/>
            </w:pPr>
            <w:r w:rsidRPr="002029AF">
              <w:t>11.6</w:t>
            </w:r>
          </w:p>
        </w:tc>
      </w:tr>
    </w:tbl>
    <w:p w14:paraId="1E19C869" w14:textId="77777777" w:rsidR="00087B91" w:rsidRPr="002029AF" w:rsidRDefault="00087B91" w:rsidP="00087B91">
      <w:pPr>
        <w:pStyle w:val="ARfintablefootnote"/>
        <w:rPr>
          <w:lang w:eastAsia="en-AU"/>
        </w:rPr>
      </w:pPr>
      <w:r w:rsidRPr="002029AF">
        <w:rPr>
          <w:lang w:eastAsia="en-AU"/>
        </w:rPr>
        <w:t>Note:</w:t>
      </w:r>
    </w:p>
    <w:p w14:paraId="5E2A14EC" w14:textId="56D4037C" w:rsidR="00087B91" w:rsidRPr="002029AF" w:rsidRDefault="00087B91" w:rsidP="00087B91">
      <w:pPr>
        <w:pStyle w:val="ARfintablefootnoteindent"/>
      </w:pPr>
      <w:r w:rsidRPr="002029AF">
        <w:t>(i)</w:t>
      </w:r>
      <w:r w:rsidRPr="002029AF">
        <w:tab/>
        <w:t>Classified</w:t>
      </w:r>
      <w:r w:rsidR="000A5329" w:rsidRPr="002029AF">
        <w:t xml:space="preserve"> </w:t>
      </w:r>
      <w:r w:rsidRPr="002029AF">
        <w:t>in</w:t>
      </w:r>
      <w:r w:rsidR="000A5329" w:rsidRPr="002029AF">
        <w:t xml:space="preserve"> </w:t>
      </w:r>
      <w:r w:rsidRPr="002029AF">
        <w:t>accordance</w:t>
      </w:r>
      <w:r w:rsidR="000A5329" w:rsidRPr="002029AF">
        <w:t xml:space="preserve"> </w:t>
      </w:r>
      <w:r w:rsidRPr="002029AF">
        <w:t>with</w:t>
      </w:r>
      <w:r w:rsidR="000A5329" w:rsidRPr="002029AF">
        <w:t xml:space="preserve"> </w:t>
      </w:r>
      <w:r w:rsidRPr="002029AF">
        <w:t>the</w:t>
      </w:r>
      <w:r w:rsidR="000A5329" w:rsidRPr="002029AF">
        <w:t xml:space="preserve"> </w:t>
      </w:r>
      <w:r w:rsidRPr="002029AF">
        <w:t>fair</w:t>
      </w:r>
      <w:r w:rsidR="000A5329" w:rsidRPr="002029AF">
        <w:t xml:space="preserve"> </w:t>
      </w:r>
      <w:r w:rsidRPr="002029AF">
        <w:t>value</w:t>
      </w:r>
      <w:r w:rsidR="000A5329" w:rsidRPr="002029AF">
        <w:t xml:space="preserve"> </w:t>
      </w:r>
      <w:r w:rsidRPr="002029AF">
        <w:t>hierarchy.</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in</w:t>
      </w:r>
      <w:r w:rsidR="000A5329" w:rsidRPr="002029AF">
        <w:t xml:space="preserve"> </w:t>
      </w:r>
      <w:r w:rsidRPr="002029AF">
        <w:t>conjunction</w:t>
      </w:r>
      <w:r w:rsidR="000A5329" w:rsidRPr="002029AF">
        <w:t xml:space="preserve"> </w:t>
      </w:r>
      <w:r w:rsidRPr="002029AF">
        <w:t>with</w:t>
      </w:r>
      <w:r w:rsidR="000A5329" w:rsidRPr="002029AF">
        <w:t xml:space="preserve"> </w:t>
      </w:r>
      <w:r w:rsidRPr="002029AF">
        <w:t>the</w:t>
      </w:r>
      <w:r w:rsidR="000A5329" w:rsidRPr="002029AF">
        <w:t xml:space="preserve"> </w:t>
      </w:r>
      <w:r w:rsidRPr="002029AF">
        <w:t>Victorian</w:t>
      </w:r>
      <w:r w:rsidR="000A5329" w:rsidRPr="002029AF">
        <w:t xml:space="preserve"> </w:t>
      </w:r>
      <w:r w:rsidRPr="002029AF">
        <w:t>Valuer-General,</w:t>
      </w:r>
      <w:r w:rsidR="000A5329" w:rsidRPr="002029AF">
        <w:t xml:space="preserve"> </w:t>
      </w:r>
      <w:r w:rsidRPr="002029AF">
        <w:t>monitors</w:t>
      </w:r>
      <w:r w:rsidR="000A5329" w:rsidRPr="002029AF">
        <w:t xml:space="preserve"> </w:t>
      </w:r>
      <w:r w:rsidRPr="002029AF">
        <w:t>the</w:t>
      </w:r>
      <w:r w:rsidR="000A5329" w:rsidRPr="002029AF">
        <w:t xml:space="preserve"> </w:t>
      </w:r>
      <w:r w:rsidRPr="002029AF">
        <w:t>changes</w:t>
      </w:r>
      <w:r w:rsidR="000A5329" w:rsidRPr="002029AF">
        <w:t xml:space="preserve"> </w:t>
      </w:r>
      <w:r w:rsidRPr="002029AF">
        <w:t>in</w:t>
      </w:r>
      <w:r w:rsidR="000A5329" w:rsidRPr="002029AF">
        <w:t xml:space="preserve"> </w:t>
      </w:r>
      <w:r w:rsidRPr="002029AF">
        <w:t>the</w:t>
      </w:r>
      <w:r w:rsidR="000A5329" w:rsidRPr="002029AF">
        <w:t xml:space="preserve"> </w:t>
      </w:r>
      <w:r w:rsidRPr="002029AF">
        <w:t>fair</w:t>
      </w:r>
      <w:r w:rsidR="000A5329" w:rsidRPr="002029AF">
        <w:t xml:space="preserve"> </w:t>
      </w:r>
      <w:r w:rsidRPr="002029AF">
        <w:t>value</w:t>
      </w:r>
      <w:r w:rsidR="000A5329" w:rsidRPr="002029AF">
        <w:t xml:space="preserve"> </w:t>
      </w:r>
      <w:r w:rsidRPr="002029AF">
        <w:t>of</w:t>
      </w:r>
      <w:r w:rsidR="000A5329" w:rsidRPr="002029AF">
        <w:t xml:space="preserve"> </w:t>
      </w:r>
      <w:r w:rsidRPr="002029AF">
        <w:t>each</w:t>
      </w:r>
      <w:r w:rsidR="000A5329" w:rsidRPr="002029AF">
        <w:t xml:space="preserve"> </w:t>
      </w:r>
      <w:r w:rsidRPr="002029AF">
        <w:t>asset</w:t>
      </w:r>
      <w:r w:rsidR="000A5329" w:rsidRPr="002029AF">
        <w:t xml:space="preserve"> </w:t>
      </w:r>
      <w:r w:rsidRPr="002029AF">
        <w:t>and</w:t>
      </w:r>
      <w:r w:rsidR="000A5329" w:rsidRPr="002029AF">
        <w:t xml:space="preserve"> </w:t>
      </w:r>
      <w:r w:rsidRPr="002029AF">
        <w:t>liability</w:t>
      </w:r>
      <w:r w:rsidR="000A5329" w:rsidRPr="002029AF">
        <w:t xml:space="preserve"> </w:t>
      </w:r>
      <w:r w:rsidRPr="002029AF">
        <w:t>through</w:t>
      </w:r>
      <w:r w:rsidR="000A5329" w:rsidRPr="002029AF">
        <w:t xml:space="preserve"> </w:t>
      </w:r>
      <w:r w:rsidRPr="002029AF">
        <w:t>relevant</w:t>
      </w:r>
      <w:r w:rsidR="000A5329" w:rsidRPr="002029AF">
        <w:t xml:space="preserve"> </w:t>
      </w:r>
      <w:r w:rsidRPr="002029AF">
        <w:t>data</w:t>
      </w:r>
      <w:r w:rsidR="000A5329" w:rsidRPr="002029AF">
        <w:t xml:space="preserve"> </w:t>
      </w:r>
      <w:r w:rsidRPr="002029AF">
        <w:t>sources</w:t>
      </w:r>
      <w:r w:rsidR="000A5329" w:rsidRPr="002029AF">
        <w:t xml:space="preserve"> </w:t>
      </w:r>
      <w:r w:rsidRPr="002029AF">
        <w:t>to</w:t>
      </w:r>
      <w:r w:rsidR="000A5329" w:rsidRPr="002029AF">
        <w:t xml:space="preserve"> </w:t>
      </w:r>
      <w:r w:rsidRPr="002029AF">
        <w:t>determine</w:t>
      </w:r>
      <w:r w:rsidR="000A5329" w:rsidRPr="002029AF">
        <w:t xml:space="preserve"> </w:t>
      </w:r>
      <w:r w:rsidRPr="002029AF">
        <w:t>whether</w:t>
      </w:r>
      <w:r w:rsidR="000A5329" w:rsidRPr="002029AF">
        <w:t xml:space="preserve"> </w:t>
      </w:r>
      <w:r w:rsidRPr="002029AF">
        <w:t>revaluation</w:t>
      </w:r>
      <w:r w:rsidR="000A5329" w:rsidRPr="002029AF">
        <w:t xml:space="preserve"> </w:t>
      </w:r>
      <w:r w:rsidRPr="002029AF">
        <w:t>is</w:t>
      </w:r>
      <w:r w:rsidR="000A5329" w:rsidRPr="002029AF">
        <w:t xml:space="preserve"> </w:t>
      </w:r>
      <w:r w:rsidRPr="002029AF">
        <w:t>required.</w:t>
      </w:r>
    </w:p>
    <w:p w14:paraId="0F718518" w14:textId="772AF52F" w:rsidR="00087B91" w:rsidRPr="002029AF" w:rsidRDefault="00087B91" w:rsidP="00087B91">
      <w:pPr>
        <w:pStyle w:val="ARfinbodyaftertable"/>
        <w:rPr>
          <w:rStyle w:val="Strong"/>
          <w:b w:val="0"/>
          <w:bCs w:val="0"/>
        </w:rPr>
      </w:pPr>
      <w:r w:rsidRPr="002029AF">
        <w:rPr>
          <w:rStyle w:val="Strong"/>
        </w:rPr>
        <w:t>There</w:t>
      </w:r>
      <w:r w:rsidR="000A5329" w:rsidRPr="002029AF">
        <w:rPr>
          <w:rStyle w:val="Strong"/>
        </w:rPr>
        <w:t xml:space="preserve"> </w:t>
      </w:r>
      <w:r w:rsidRPr="002029AF">
        <w:rPr>
          <w:rStyle w:val="Strong"/>
        </w:rPr>
        <w:t>have</w:t>
      </w:r>
      <w:r w:rsidR="000A5329" w:rsidRPr="002029AF">
        <w:rPr>
          <w:rStyle w:val="Strong"/>
        </w:rPr>
        <w:t xml:space="preserve"> </w:t>
      </w:r>
      <w:r w:rsidRPr="002029AF">
        <w:rPr>
          <w:rStyle w:val="Strong"/>
        </w:rPr>
        <w:t>been</w:t>
      </w:r>
      <w:r w:rsidR="000A5329" w:rsidRPr="002029AF">
        <w:rPr>
          <w:rStyle w:val="Strong"/>
        </w:rPr>
        <w:t xml:space="preserve"> </w:t>
      </w:r>
      <w:r w:rsidRPr="002029AF">
        <w:rPr>
          <w:rStyle w:val="Strong"/>
        </w:rPr>
        <w:t>no</w:t>
      </w:r>
      <w:r w:rsidR="000A5329" w:rsidRPr="002029AF">
        <w:rPr>
          <w:rStyle w:val="Strong"/>
        </w:rPr>
        <w:t xml:space="preserve"> </w:t>
      </w:r>
      <w:r w:rsidRPr="002029AF">
        <w:rPr>
          <w:rStyle w:val="Strong"/>
        </w:rPr>
        <w:t>transfers</w:t>
      </w:r>
      <w:r w:rsidR="000A5329" w:rsidRPr="002029AF">
        <w:rPr>
          <w:rStyle w:val="Strong"/>
        </w:rPr>
        <w:t xml:space="preserve"> </w:t>
      </w:r>
      <w:r w:rsidRPr="002029AF">
        <w:rPr>
          <w:rStyle w:val="Strong"/>
        </w:rPr>
        <w:t>between</w:t>
      </w:r>
      <w:r w:rsidR="000A5329" w:rsidRPr="002029AF">
        <w:rPr>
          <w:rStyle w:val="Strong"/>
        </w:rPr>
        <w:t xml:space="preserve"> </w:t>
      </w:r>
      <w:r w:rsidRPr="002029AF">
        <w:rPr>
          <w:rStyle w:val="Strong"/>
        </w:rPr>
        <w:t>levels</w:t>
      </w:r>
      <w:r w:rsidR="000A5329" w:rsidRPr="002029AF">
        <w:rPr>
          <w:rStyle w:val="Strong"/>
        </w:rPr>
        <w:t xml:space="preserve"> </w:t>
      </w:r>
      <w:r w:rsidRPr="002029AF">
        <w:rPr>
          <w:rStyle w:val="Strong"/>
        </w:rPr>
        <w:t>during</w:t>
      </w:r>
      <w:r w:rsidR="000A5329" w:rsidRPr="002029AF">
        <w:rPr>
          <w:rStyle w:val="Strong"/>
        </w:rPr>
        <w:t xml:space="preserve"> </w:t>
      </w:r>
      <w:r w:rsidRPr="002029AF">
        <w:rPr>
          <w:rStyle w:val="Strong"/>
        </w:rPr>
        <w:t>the</w:t>
      </w:r>
      <w:r w:rsidR="000A5329" w:rsidRPr="002029AF">
        <w:rPr>
          <w:rStyle w:val="Strong"/>
        </w:rPr>
        <w:t xml:space="preserve"> </w:t>
      </w:r>
      <w:r w:rsidRPr="002029AF">
        <w:rPr>
          <w:rStyle w:val="Strong"/>
        </w:rPr>
        <w:t>period.</w:t>
      </w:r>
    </w:p>
    <w:p w14:paraId="110B97A7" w14:textId="7CC5BD29" w:rsidR="00087B91" w:rsidRPr="002029AF" w:rsidRDefault="00087B91" w:rsidP="00087B91">
      <w:pPr>
        <w:pStyle w:val="ARfinbodyaftertable"/>
      </w:pPr>
      <w:r w:rsidRPr="002029AF">
        <w:rPr>
          <w:rStyle w:val="Strong"/>
        </w:rPr>
        <w:t>Non-specialised</w:t>
      </w:r>
      <w:r w:rsidR="000A5329" w:rsidRPr="002029AF">
        <w:rPr>
          <w:rStyle w:val="Strong"/>
        </w:rPr>
        <w:t xml:space="preserve"> </w:t>
      </w:r>
      <w:r w:rsidRPr="002029AF">
        <w:rPr>
          <w:rStyle w:val="Strong"/>
        </w:rPr>
        <w:t>land</w:t>
      </w:r>
      <w:r w:rsidR="000A5329" w:rsidRPr="002029AF">
        <w:rPr>
          <w:rStyle w:val="Strong"/>
        </w:rPr>
        <w:t xml:space="preserve"> </w:t>
      </w:r>
      <w:r w:rsidRPr="002029AF">
        <w:rPr>
          <w:rStyle w:val="Strong"/>
        </w:rPr>
        <w:t>and</w:t>
      </w:r>
      <w:r w:rsidR="000A5329" w:rsidRPr="002029AF">
        <w:rPr>
          <w:rStyle w:val="Strong"/>
        </w:rPr>
        <w:t xml:space="preserve"> </w:t>
      </w:r>
      <w:r w:rsidRPr="002029AF">
        <w:rPr>
          <w:rStyle w:val="Strong"/>
        </w:rPr>
        <w:t>non-specialised</w:t>
      </w:r>
      <w:r w:rsidR="000A5329" w:rsidRPr="002029AF">
        <w:rPr>
          <w:rStyle w:val="Strong"/>
        </w:rPr>
        <w:t xml:space="preserve"> </w:t>
      </w:r>
      <w:r w:rsidRPr="002029AF">
        <w:rPr>
          <w:rStyle w:val="Strong"/>
        </w:rPr>
        <w:t>buildings</w:t>
      </w:r>
      <w:r w:rsidR="000A5329" w:rsidRPr="002029AF">
        <w:t xml:space="preserve"> </w:t>
      </w:r>
      <w:r w:rsidRPr="002029AF">
        <w:t>are</w:t>
      </w:r>
      <w:r w:rsidR="000A5329" w:rsidRPr="002029AF">
        <w:t xml:space="preserve"> </w:t>
      </w:r>
      <w:r w:rsidRPr="002029AF">
        <w:t>valued</w:t>
      </w:r>
      <w:r w:rsidR="000A5329" w:rsidRPr="002029AF">
        <w:t xml:space="preserve"> </w:t>
      </w:r>
      <w:r w:rsidRPr="002029AF">
        <w:t>using</w:t>
      </w:r>
      <w:r w:rsidR="000A5329" w:rsidRPr="002029AF">
        <w:t xml:space="preserve"> </w:t>
      </w:r>
      <w:r w:rsidRPr="002029AF">
        <w:t>the</w:t>
      </w:r>
      <w:r w:rsidR="000A5329" w:rsidRPr="002029AF">
        <w:t xml:space="preserve"> </w:t>
      </w:r>
      <w:r w:rsidRPr="002029AF">
        <w:t>market</w:t>
      </w:r>
      <w:r w:rsidR="000A5329" w:rsidRPr="002029AF">
        <w:t xml:space="preserve"> </w:t>
      </w:r>
      <w:r w:rsidRPr="002029AF">
        <w:t>approach,</w:t>
      </w:r>
      <w:r w:rsidR="000A5329" w:rsidRPr="002029AF">
        <w:t xml:space="preserve"> </w:t>
      </w:r>
      <w:r w:rsidRPr="002029AF">
        <w:t>whereby</w:t>
      </w:r>
      <w:r w:rsidR="000A5329" w:rsidRPr="002029AF">
        <w:t xml:space="preserve"> </w:t>
      </w:r>
      <w:r w:rsidRPr="002029AF">
        <w:t>assets</w:t>
      </w:r>
      <w:r w:rsidR="000A5329" w:rsidRPr="002029AF">
        <w:t xml:space="preserve"> </w:t>
      </w:r>
      <w:r w:rsidRPr="002029AF">
        <w:t>are</w:t>
      </w:r>
      <w:r w:rsidR="000A5329" w:rsidRPr="002029AF">
        <w:t xml:space="preserve"> </w:t>
      </w:r>
      <w:r w:rsidRPr="002029AF">
        <w:t>compared</w:t>
      </w:r>
      <w:r w:rsidR="000A5329" w:rsidRPr="002029AF">
        <w:t xml:space="preserve"> </w:t>
      </w:r>
      <w:r w:rsidRPr="002029AF">
        <w:t>to</w:t>
      </w:r>
      <w:r w:rsidR="000A5329" w:rsidRPr="002029AF">
        <w:t xml:space="preserve"> </w:t>
      </w:r>
      <w:r w:rsidRPr="002029AF">
        <w:t>recent</w:t>
      </w:r>
      <w:r w:rsidR="000A5329" w:rsidRPr="002029AF">
        <w:t xml:space="preserve"> </w:t>
      </w:r>
      <w:r w:rsidRPr="002029AF">
        <w:t>comparable</w:t>
      </w:r>
      <w:r w:rsidR="000A5329" w:rsidRPr="002029AF">
        <w:t xml:space="preserve"> </w:t>
      </w:r>
      <w:r w:rsidRPr="002029AF">
        <w:t>sales</w:t>
      </w:r>
      <w:r w:rsidR="000A5329" w:rsidRPr="002029AF">
        <w:t xml:space="preserve"> </w:t>
      </w:r>
      <w:r w:rsidRPr="002029AF">
        <w:t>or</w:t>
      </w:r>
      <w:r w:rsidR="000A5329" w:rsidRPr="002029AF">
        <w:t xml:space="preserve"> </w:t>
      </w:r>
      <w:r w:rsidRPr="002029AF">
        <w:t>sales</w:t>
      </w:r>
      <w:r w:rsidR="000A5329" w:rsidRPr="002029AF">
        <w:t xml:space="preserve"> </w:t>
      </w:r>
      <w:r w:rsidRPr="002029AF">
        <w:t>of</w:t>
      </w:r>
      <w:r w:rsidR="000A5329" w:rsidRPr="002029AF">
        <w:t xml:space="preserve"> </w:t>
      </w:r>
      <w:r w:rsidRPr="002029AF">
        <w:t>comparable</w:t>
      </w:r>
      <w:r w:rsidR="000A5329" w:rsidRPr="002029AF">
        <w:t xml:space="preserve"> </w:t>
      </w:r>
      <w:r w:rsidRPr="002029AF">
        <w:t>assets</w:t>
      </w:r>
      <w:r w:rsidR="000A5329" w:rsidRPr="002029AF">
        <w:t xml:space="preserve"> </w:t>
      </w:r>
      <w:r w:rsidRPr="002029AF">
        <w:t>that</w:t>
      </w:r>
      <w:r w:rsidR="000A5329" w:rsidRPr="002029AF">
        <w:t xml:space="preserve"> </w:t>
      </w:r>
      <w:r w:rsidRPr="002029AF">
        <w:t>are</w:t>
      </w:r>
      <w:r w:rsidR="000A5329" w:rsidRPr="002029AF">
        <w:t xml:space="preserve"> </w:t>
      </w:r>
      <w:r w:rsidRPr="002029AF">
        <w:t>considered</w:t>
      </w:r>
      <w:r w:rsidR="000A5329" w:rsidRPr="002029AF">
        <w:t xml:space="preserve"> </w:t>
      </w:r>
      <w:r w:rsidRPr="002029AF">
        <w:t>to</w:t>
      </w:r>
      <w:r w:rsidR="000A5329" w:rsidRPr="002029AF">
        <w:t xml:space="preserve"> </w:t>
      </w:r>
      <w:r w:rsidRPr="002029AF">
        <w:t>have</w:t>
      </w:r>
      <w:r w:rsidR="000A5329" w:rsidRPr="002029AF">
        <w:t xml:space="preserve"> </w:t>
      </w:r>
      <w:r w:rsidRPr="002029AF">
        <w:t>nominal</w:t>
      </w:r>
      <w:r w:rsidR="000A5329" w:rsidRPr="002029AF">
        <w:t xml:space="preserve"> </w:t>
      </w:r>
      <w:r w:rsidRPr="002029AF">
        <w:t>value.</w:t>
      </w:r>
    </w:p>
    <w:p w14:paraId="04C5A269" w14:textId="0D620B30" w:rsidR="00087B91" w:rsidRPr="002029AF" w:rsidRDefault="00087B91" w:rsidP="00087B91">
      <w:pPr>
        <w:pStyle w:val="ARfinbody"/>
      </w:pPr>
      <w:r w:rsidRPr="002029AF">
        <w:t>Director</w:t>
      </w:r>
      <w:r w:rsidR="000A5329" w:rsidRPr="002029AF">
        <w:t xml:space="preserve"> </w:t>
      </w:r>
      <w:r w:rsidRPr="002029AF">
        <w:t>of</w:t>
      </w:r>
      <w:r w:rsidR="000A5329" w:rsidRPr="002029AF">
        <w:t xml:space="preserve"> </w:t>
      </w:r>
      <w:r w:rsidRPr="002029AF">
        <w:t>Housing</w:t>
      </w:r>
      <w:r w:rsidR="000A5329" w:rsidRPr="002029AF">
        <w:t xml:space="preserve"> </w:t>
      </w:r>
      <w:r w:rsidRPr="002029AF">
        <w:t>land</w:t>
      </w:r>
      <w:r w:rsidR="000A5329" w:rsidRPr="002029AF">
        <w:t xml:space="preserve"> </w:t>
      </w:r>
      <w:r w:rsidRPr="002029AF">
        <w:t>and</w:t>
      </w:r>
      <w:r w:rsidR="000A5329" w:rsidRPr="002029AF">
        <w:t xml:space="preserve"> </w:t>
      </w:r>
      <w:r w:rsidRPr="002029AF">
        <w:t>buildings</w:t>
      </w:r>
      <w:r w:rsidR="000A5329" w:rsidRPr="002029AF">
        <w:t xml:space="preserve"> </w:t>
      </w:r>
      <w:r w:rsidRPr="002029AF">
        <w:t>are</w:t>
      </w:r>
      <w:r w:rsidR="000A5329" w:rsidRPr="002029AF">
        <w:t xml:space="preserve"> </w:t>
      </w:r>
      <w:r w:rsidRPr="002029AF">
        <w:t>primarily</w:t>
      </w:r>
      <w:r w:rsidR="000A5329" w:rsidRPr="002029AF">
        <w:t xml:space="preserve"> </w:t>
      </w:r>
      <w:r w:rsidRPr="002029AF">
        <w:t>held</w:t>
      </w:r>
      <w:r w:rsidR="000A5329" w:rsidRPr="002029AF">
        <w:t xml:space="preserve"> </w:t>
      </w:r>
      <w:r w:rsidRPr="002029AF">
        <w:t>in</w:t>
      </w:r>
      <w:r w:rsidR="000A5329" w:rsidRPr="002029AF">
        <w:t xml:space="preserve"> </w:t>
      </w:r>
      <w:r w:rsidRPr="002029AF">
        <w:t>Level</w:t>
      </w:r>
      <w:r w:rsidR="000A5329" w:rsidRPr="002029AF">
        <w:t xml:space="preserve"> </w:t>
      </w:r>
      <w:r w:rsidRPr="002029AF">
        <w:t>2</w:t>
      </w:r>
      <w:r w:rsidR="000A5329" w:rsidRPr="002029AF">
        <w:t xml:space="preserve"> </w:t>
      </w:r>
      <w:r w:rsidRPr="002029AF">
        <w:t>as</w:t>
      </w:r>
      <w:r w:rsidR="000A5329" w:rsidRPr="002029AF">
        <w:t xml:space="preserve"> </w:t>
      </w:r>
      <w:r w:rsidRPr="002029AF">
        <w:t>it</w:t>
      </w:r>
      <w:r w:rsidR="000A5329" w:rsidRPr="002029AF">
        <w:t xml:space="preserve"> </w:t>
      </w:r>
      <w:r w:rsidRPr="002029AF">
        <w:t>is</w:t>
      </w:r>
      <w:r w:rsidR="000A5329" w:rsidRPr="002029AF">
        <w:t xml:space="preserve"> </w:t>
      </w:r>
      <w:r w:rsidRPr="002029AF">
        <w:t>considered</w:t>
      </w:r>
      <w:r w:rsidR="000A5329" w:rsidRPr="002029AF">
        <w:t xml:space="preserve"> </w:t>
      </w:r>
      <w:r w:rsidRPr="002029AF">
        <w:t>that</w:t>
      </w:r>
      <w:r w:rsidR="000A5329" w:rsidRPr="002029AF">
        <w:t xml:space="preserve"> </w:t>
      </w:r>
      <w:r w:rsidRPr="002029AF">
        <w:t>each</w:t>
      </w:r>
      <w:r w:rsidR="000A5329" w:rsidRPr="002029AF">
        <w:t xml:space="preserve"> </w:t>
      </w:r>
      <w:r w:rsidRPr="002029AF">
        <w:t>residential</w:t>
      </w:r>
      <w:r w:rsidR="000A5329" w:rsidRPr="002029AF">
        <w:t xml:space="preserve"> </w:t>
      </w:r>
      <w:r w:rsidRPr="002029AF">
        <w:t>dwelling</w:t>
      </w:r>
      <w:r w:rsidR="000A5329" w:rsidRPr="002029AF">
        <w:t xml:space="preserve"> </w:t>
      </w:r>
      <w:r w:rsidRPr="002029AF">
        <w:t>assessed</w:t>
      </w:r>
      <w:r w:rsidR="000A5329" w:rsidRPr="002029AF">
        <w:t xml:space="preserve"> </w:t>
      </w:r>
      <w:r w:rsidRPr="002029AF">
        <w:t>has</w:t>
      </w:r>
      <w:r w:rsidR="000A5329" w:rsidRPr="002029AF">
        <w:t xml:space="preserve"> </w:t>
      </w:r>
      <w:r w:rsidRPr="002029AF">
        <w:t>an</w:t>
      </w:r>
      <w:r w:rsidR="000A5329" w:rsidRPr="002029AF">
        <w:t xml:space="preserve"> </w:t>
      </w:r>
      <w:r w:rsidRPr="002029AF">
        <w:t>active</w:t>
      </w:r>
      <w:r w:rsidR="000A5329" w:rsidRPr="002029AF">
        <w:t xml:space="preserve"> </w:t>
      </w:r>
      <w:r w:rsidRPr="002029AF">
        <w:t>and</w:t>
      </w:r>
      <w:r w:rsidR="000A5329" w:rsidRPr="002029AF">
        <w:t xml:space="preserve"> </w:t>
      </w:r>
      <w:r w:rsidRPr="002029AF">
        <w:t>liquid</w:t>
      </w:r>
      <w:r w:rsidR="000A5329" w:rsidRPr="002029AF">
        <w:t xml:space="preserve"> </w:t>
      </w:r>
      <w:r w:rsidRPr="002029AF">
        <w:t>market.</w:t>
      </w:r>
      <w:r w:rsidR="000A5329" w:rsidRPr="002029AF">
        <w:t xml:space="preserve"> </w:t>
      </w:r>
      <w:r w:rsidRPr="002029AF">
        <w:t>As</w:t>
      </w:r>
      <w:r w:rsidR="000A5329" w:rsidRPr="002029AF">
        <w:t xml:space="preserve"> </w:t>
      </w:r>
      <w:r w:rsidRPr="002029AF">
        <w:t>such,</w:t>
      </w:r>
      <w:r w:rsidR="000A5329" w:rsidRPr="002029AF">
        <w:t xml:space="preserve"> </w:t>
      </w:r>
      <w:r w:rsidRPr="002029AF">
        <w:t>the</w:t>
      </w:r>
      <w:r w:rsidR="000A5329" w:rsidRPr="002029AF">
        <w:t xml:space="preserve"> </w:t>
      </w:r>
      <w:r w:rsidRPr="002029AF">
        <w:t>market</w:t>
      </w:r>
      <w:r w:rsidR="000A5329" w:rsidRPr="002029AF">
        <w:t xml:space="preserve"> </w:t>
      </w:r>
      <w:r w:rsidRPr="002029AF">
        <w:t>value</w:t>
      </w:r>
      <w:r w:rsidR="000A5329" w:rsidRPr="002029AF">
        <w:t xml:space="preserve"> </w:t>
      </w:r>
      <w:r w:rsidRPr="002029AF">
        <w:t>of</w:t>
      </w:r>
      <w:r w:rsidR="000A5329" w:rsidRPr="002029AF">
        <w:t xml:space="preserve"> </w:t>
      </w:r>
      <w:r w:rsidRPr="002029AF">
        <w:t>each</w:t>
      </w:r>
      <w:r w:rsidR="000A5329" w:rsidRPr="002029AF">
        <w:t xml:space="preserve"> </w:t>
      </w:r>
      <w:r w:rsidRPr="002029AF">
        <w:t>residential</w:t>
      </w:r>
      <w:r w:rsidR="000A5329" w:rsidRPr="002029AF">
        <w:t xml:space="preserve"> </w:t>
      </w:r>
      <w:r w:rsidRPr="002029AF">
        <w:t>asset</w:t>
      </w:r>
      <w:r w:rsidR="000A5329" w:rsidRPr="002029AF">
        <w:t xml:space="preserve"> </w:t>
      </w:r>
      <w:r w:rsidRPr="002029AF">
        <w:t>has</w:t>
      </w:r>
      <w:r w:rsidR="000A5329" w:rsidRPr="002029AF">
        <w:t xml:space="preserve"> </w:t>
      </w:r>
      <w:r w:rsidRPr="002029AF">
        <w:t>been</w:t>
      </w:r>
      <w:r w:rsidR="000A5329" w:rsidRPr="002029AF">
        <w:t xml:space="preserve"> </w:t>
      </w:r>
      <w:r w:rsidRPr="002029AF">
        <w:t>determined</w:t>
      </w:r>
      <w:r w:rsidR="000A5329" w:rsidRPr="002029AF">
        <w:t xml:space="preserve"> </w:t>
      </w:r>
      <w:r w:rsidRPr="002029AF">
        <w:t>by</w:t>
      </w:r>
      <w:r w:rsidR="000A5329" w:rsidRPr="002029AF">
        <w:t xml:space="preserve"> </w:t>
      </w:r>
      <w:r w:rsidRPr="002029AF">
        <w:t>reference</w:t>
      </w:r>
      <w:r w:rsidR="000A5329" w:rsidRPr="002029AF">
        <w:t xml:space="preserve"> </w:t>
      </w:r>
      <w:r w:rsidRPr="002029AF">
        <w:t>to</w:t>
      </w:r>
      <w:r w:rsidR="000A5329" w:rsidRPr="002029AF">
        <w:t xml:space="preserve"> </w:t>
      </w:r>
      <w:r w:rsidRPr="002029AF">
        <w:t>the</w:t>
      </w:r>
      <w:r w:rsidR="000A5329" w:rsidRPr="002029AF">
        <w:t xml:space="preserve"> </w:t>
      </w:r>
      <w:r w:rsidRPr="002029AF">
        <w:t>current</w:t>
      </w:r>
      <w:r w:rsidR="000A5329" w:rsidRPr="002029AF">
        <w:t xml:space="preserve"> </w:t>
      </w:r>
      <w:r w:rsidRPr="002029AF">
        <w:t>property</w:t>
      </w:r>
      <w:r w:rsidR="000A5329" w:rsidRPr="002029AF">
        <w:t xml:space="preserve"> </w:t>
      </w:r>
      <w:r w:rsidRPr="002029AF">
        <w:t>market</w:t>
      </w:r>
      <w:r w:rsidR="000A5329" w:rsidRPr="002029AF">
        <w:t xml:space="preserve"> </w:t>
      </w:r>
      <w:r w:rsidRPr="002029AF">
        <w:t>for</w:t>
      </w:r>
      <w:r w:rsidR="000A5329" w:rsidRPr="002029AF">
        <w:t xml:space="preserve"> </w:t>
      </w:r>
      <w:r w:rsidRPr="002029AF">
        <w:t>similar</w:t>
      </w:r>
      <w:r w:rsidR="000A5329" w:rsidRPr="002029AF">
        <w:t xml:space="preserve"> </w:t>
      </w:r>
      <w:r w:rsidRPr="002029AF">
        <w:t>assets.</w:t>
      </w:r>
    </w:p>
    <w:p w14:paraId="2CF44739" w14:textId="04F11749" w:rsidR="00087B91" w:rsidRPr="002029AF" w:rsidRDefault="00087B91" w:rsidP="00087B91">
      <w:pPr>
        <w:pStyle w:val="ARfinbody"/>
      </w:pPr>
      <w:r w:rsidRPr="002029AF">
        <w:rPr>
          <w:rStyle w:val="Strong"/>
        </w:rPr>
        <w:t>Specialised</w:t>
      </w:r>
      <w:r w:rsidR="000A5329" w:rsidRPr="002029AF">
        <w:rPr>
          <w:rStyle w:val="Strong"/>
        </w:rPr>
        <w:t xml:space="preserve"> </w:t>
      </w:r>
      <w:r w:rsidRPr="002029AF">
        <w:rPr>
          <w:rStyle w:val="Strong"/>
        </w:rPr>
        <w:t>land</w:t>
      </w:r>
      <w:r w:rsidR="000A5329" w:rsidRPr="002029AF">
        <w:rPr>
          <w:rStyle w:val="Strong"/>
        </w:rPr>
        <w:t xml:space="preserve"> </w:t>
      </w:r>
      <w:r w:rsidRPr="002029AF">
        <w:rPr>
          <w:rStyle w:val="Strong"/>
        </w:rPr>
        <w:t>and</w:t>
      </w:r>
      <w:r w:rsidR="000A5329" w:rsidRPr="002029AF">
        <w:rPr>
          <w:rStyle w:val="Strong"/>
        </w:rPr>
        <w:t xml:space="preserve"> </w:t>
      </w:r>
      <w:r w:rsidRPr="002029AF">
        <w:rPr>
          <w:rStyle w:val="Strong"/>
        </w:rPr>
        <w:t>specialised</w:t>
      </w:r>
      <w:r w:rsidR="000A5329" w:rsidRPr="002029AF">
        <w:rPr>
          <w:rStyle w:val="Strong"/>
        </w:rPr>
        <w:t xml:space="preserve"> </w:t>
      </w:r>
      <w:r w:rsidRPr="002029AF">
        <w:rPr>
          <w:rStyle w:val="Strong"/>
        </w:rPr>
        <w:t>buildings:</w:t>
      </w:r>
      <w:r w:rsidR="000A5329" w:rsidRPr="002029AF">
        <w:t xml:space="preserve"> </w:t>
      </w:r>
      <w:r w:rsidRPr="002029AF">
        <w:t>The</w:t>
      </w:r>
      <w:r w:rsidR="000A5329" w:rsidRPr="002029AF">
        <w:t xml:space="preserve"> </w:t>
      </w:r>
      <w:r w:rsidRPr="002029AF">
        <w:t>market</w:t>
      </w:r>
      <w:r w:rsidR="000A5329" w:rsidRPr="002029AF">
        <w:t xml:space="preserve"> </w:t>
      </w:r>
      <w:r w:rsidRPr="002029AF">
        <w:t>approach</w:t>
      </w:r>
      <w:r w:rsidR="000A5329" w:rsidRPr="002029AF">
        <w:t xml:space="preserve"> </w:t>
      </w:r>
      <w:r w:rsidRPr="002029AF">
        <w:t>is</w:t>
      </w:r>
      <w:r w:rsidR="000A5329" w:rsidRPr="002029AF">
        <w:t xml:space="preserve"> </w:t>
      </w:r>
      <w:r w:rsidRPr="002029AF">
        <w:t>used</w:t>
      </w:r>
      <w:r w:rsidR="000A5329" w:rsidRPr="002029AF">
        <w:t xml:space="preserve"> </w:t>
      </w:r>
      <w:r w:rsidRPr="002029AF">
        <w:t>for</w:t>
      </w:r>
      <w:r w:rsidR="000A5329" w:rsidRPr="002029AF">
        <w:t xml:space="preserve"> </w:t>
      </w:r>
      <w:r w:rsidRPr="002029AF">
        <w:t>specialised</w:t>
      </w:r>
      <w:r w:rsidR="000A5329" w:rsidRPr="002029AF">
        <w:t xml:space="preserve"> </w:t>
      </w:r>
      <w:r w:rsidRPr="002029AF">
        <w:t>land,</w:t>
      </w:r>
      <w:r w:rsidR="000A5329" w:rsidRPr="002029AF">
        <w:t xml:space="preserve"> </w:t>
      </w:r>
      <w:r w:rsidRPr="002029AF">
        <w:t>although</w:t>
      </w:r>
      <w:r w:rsidR="000A5329" w:rsidRPr="002029AF">
        <w:t xml:space="preserve"> </w:t>
      </w:r>
      <w:r w:rsidRPr="002029AF">
        <w:t>this</w:t>
      </w:r>
      <w:r w:rsidR="000A5329" w:rsidRPr="002029AF">
        <w:t xml:space="preserve"> </w:t>
      </w:r>
      <w:r w:rsidRPr="002029AF">
        <w:t>may</w:t>
      </w:r>
      <w:r w:rsidR="000A5329" w:rsidRPr="002029AF">
        <w:t xml:space="preserve"> </w:t>
      </w:r>
      <w:r w:rsidRPr="002029AF">
        <w:t>be</w:t>
      </w:r>
      <w:r w:rsidR="000A5329" w:rsidRPr="002029AF">
        <w:t xml:space="preserve"> </w:t>
      </w:r>
      <w:r w:rsidRPr="002029AF">
        <w:t>adjusted</w:t>
      </w:r>
      <w:r w:rsidR="000A5329" w:rsidRPr="002029AF">
        <w:t xml:space="preserve"> </w:t>
      </w:r>
      <w:r w:rsidRPr="002029AF">
        <w:t>for</w:t>
      </w:r>
      <w:r w:rsidR="000A5329" w:rsidRPr="002029AF">
        <w:t xml:space="preserve"> </w:t>
      </w:r>
      <w:r w:rsidRPr="002029AF">
        <w:t>a</w:t>
      </w:r>
      <w:r w:rsidR="000A5329" w:rsidRPr="002029AF">
        <w:t xml:space="preserve"> </w:t>
      </w:r>
      <w:r w:rsidRPr="002029AF">
        <w:t>community</w:t>
      </w:r>
      <w:r w:rsidR="000A5329" w:rsidRPr="002029AF">
        <w:t xml:space="preserve"> </w:t>
      </w:r>
      <w:r w:rsidRPr="002029AF">
        <w:t>service</w:t>
      </w:r>
      <w:r w:rsidR="000A5329" w:rsidRPr="002029AF">
        <w:t xml:space="preserve"> </w:t>
      </w:r>
      <w:r w:rsidRPr="002029AF">
        <w:t>obligation</w:t>
      </w:r>
      <w:r w:rsidR="000A5329" w:rsidRPr="002029AF">
        <w:t xml:space="preserve"> </w:t>
      </w:r>
      <w:r w:rsidRPr="002029AF">
        <w:t>(CSO)</w:t>
      </w:r>
      <w:r w:rsidR="000A5329" w:rsidRPr="002029AF">
        <w:t xml:space="preserve"> </w:t>
      </w:r>
      <w:r w:rsidRPr="002029AF">
        <w:t>to</w:t>
      </w:r>
      <w:r w:rsidR="000A5329" w:rsidRPr="002029AF">
        <w:t xml:space="preserve"> </w:t>
      </w:r>
      <w:r w:rsidRPr="002029AF">
        <w:t>reflect</w:t>
      </w:r>
      <w:r w:rsidR="000A5329" w:rsidRPr="002029AF">
        <w:t xml:space="preserve"> </w:t>
      </w:r>
      <w:r w:rsidRPr="002029AF">
        <w:t>the</w:t>
      </w:r>
      <w:r w:rsidR="000A5329" w:rsidRPr="002029AF">
        <w:t xml:space="preserve"> </w:t>
      </w:r>
      <w:r w:rsidRPr="002029AF">
        <w:t>specialised</w:t>
      </w:r>
      <w:r w:rsidR="000A5329" w:rsidRPr="002029AF">
        <w:t xml:space="preserve"> </w:t>
      </w:r>
      <w:r w:rsidRPr="002029AF">
        <w:t>nature</w:t>
      </w:r>
      <w:r w:rsidR="000A5329" w:rsidRPr="002029AF">
        <w:t xml:space="preserve"> </w:t>
      </w:r>
      <w:r w:rsidRPr="002029AF">
        <w:t>of</w:t>
      </w:r>
      <w:r w:rsidR="000A5329" w:rsidRPr="002029AF">
        <w:t xml:space="preserve"> </w:t>
      </w:r>
      <w:r w:rsidRPr="002029AF">
        <w:t>the</w:t>
      </w:r>
      <w:r w:rsidR="000A5329" w:rsidRPr="002029AF">
        <w:t xml:space="preserve"> </w:t>
      </w:r>
      <w:r w:rsidRPr="002029AF">
        <w:t>land</w:t>
      </w:r>
      <w:r w:rsidR="000A5329" w:rsidRPr="002029AF">
        <w:t xml:space="preserve"> </w:t>
      </w:r>
      <w:r w:rsidRPr="002029AF">
        <w:t>being</w:t>
      </w:r>
      <w:r w:rsidR="000A5329" w:rsidRPr="002029AF">
        <w:t xml:space="preserve"> </w:t>
      </w:r>
      <w:r w:rsidRPr="002029AF">
        <w:t>valued.</w:t>
      </w:r>
    </w:p>
    <w:p w14:paraId="325D2E93" w14:textId="360FA17D" w:rsidR="00087B91" w:rsidRPr="002029AF" w:rsidRDefault="00087B91" w:rsidP="00087B91">
      <w:pPr>
        <w:pStyle w:val="ARfinbody"/>
      </w:pPr>
      <w:r w:rsidRPr="002029AF">
        <w:t>The</w:t>
      </w:r>
      <w:r w:rsidR="000A5329" w:rsidRPr="002029AF">
        <w:t xml:space="preserve"> </w:t>
      </w:r>
      <w:r w:rsidRPr="002029AF">
        <w:t>CSO</w:t>
      </w:r>
      <w:r w:rsidR="000A5329" w:rsidRPr="002029AF">
        <w:t xml:space="preserve"> </w:t>
      </w:r>
      <w:r w:rsidRPr="002029AF">
        <w:t>adjustment</w:t>
      </w:r>
      <w:r w:rsidR="000A5329" w:rsidRPr="002029AF">
        <w:t xml:space="preserve"> </w:t>
      </w:r>
      <w:r w:rsidRPr="002029AF">
        <w:t>is</w:t>
      </w:r>
      <w:r w:rsidR="000A5329" w:rsidRPr="002029AF">
        <w:t xml:space="preserve"> </w:t>
      </w:r>
      <w:r w:rsidRPr="002029AF">
        <w:t>a</w:t>
      </w:r>
      <w:r w:rsidR="000A5329" w:rsidRPr="002029AF">
        <w:t xml:space="preserve"> </w:t>
      </w:r>
      <w:r w:rsidRPr="002029AF">
        <w:t>reflection</w:t>
      </w:r>
      <w:r w:rsidR="000A5329" w:rsidRPr="002029AF">
        <w:t xml:space="preserve"> </w:t>
      </w:r>
      <w:r w:rsidRPr="002029AF">
        <w:t>of</w:t>
      </w:r>
      <w:r w:rsidR="000A5329" w:rsidRPr="002029AF">
        <w:t xml:space="preserve"> </w:t>
      </w:r>
      <w:r w:rsidRPr="002029AF">
        <w:t>the</w:t>
      </w:r>
      <w:r w:rsidR="000A5329" w:rsidRPr="002029AF">
        <w:t xml:space="preserve"> </w:t>
      </w:r>
      <w:r w:rsidRPr="002029AF">
        <w:t>valuer’s</w:t>
      </w:r>
      <w:r w:rsidR="000A5329" w:rsidRPr="002029AF">
        <w:t xml:space="preserve"> </w:t>
      </w:r>
      <w:r w:rsidRPr="002029AF">
        <w:t>assessment</w:t>
      </w:r>
      <w:r w:rsidR="000A5329" w:rsidRPr="002029AF">
        <w:t xml:space="preserve"> </w:t>
      </w:r>
      <w:r w:rsidRPr="002029AF">
        <w:t>of</w:t>
      </w:r>
      <w:r w:rsidR="000A5329" w:rsidRPr="002029AF">
        <w:t xml:space="preserve"> </w:t>
      </w:r>
      <w:r w:rsidRPr="002029AF">
        <w:t>the</w:t>
      </w:r>
      <w:r w:rsidR="000A5329" w:rsidRPr="002029AF">
        <w:t xml:space="preserve"> </w:t>
      </w:r>
      <w:r w:rsidRPr="002029AF">
        <w:t>impact</w:t>
      </w:r>
      <w:r w:rsidR="000A5329" w:rsidRPr="002029AF">
        <w:t xml:space="preserve"> </w:t>
      </w:r>
      <w:r w:rsidRPr="002029AF">
        <w:t>of</w:t>
      </w:r>
      <w:r w:rsidR="000A5329" w:rsidRPr="002029AF">
        <w:t xml:space="preserve"> </w:t>
      </w:r>
      <w:r w:rsidRPr="002029AF">
        <w:t>restrictions</w:t>
      </w:r>
      <w:r w:rsidR="000A5329" w:rsidRPr="002029AF">
        <w:t xml:space="preserve"> </w:t>
      </w:r>
      <w:r w:rsidRPr="002029AF">
        <w:t>associated</w:t>
      </w:r>
      <w:r w:rsidR="000A5329" w:rsidRPr="002029AF">
        <w:t xml:space="preserve"> </w:t>
      </w:r>
      <w:r w:rsidRPr="002029AF">
        <w:t>with</w:t>
      </w:r>
      <w:r w:rsidR="000A5329" w:rsidRPr="002029AF">
        <w:t xml:space="preserve"> </w:t>
      </w:r>
      <w:r w:rsidRPr="002029AF">
        <w:t>an</w:t>
      </w:r>
      <w:r w:rsidR="000A5329" w:rsidRPr="002029AF">
        <w:t xml:space="preserve"> </w:t>
      </w:r>
      <w:r w:rsidRPr="002029AF">
        <w:t>asset</w:t>
      </w:r>
      <w:r w:rsidR="000A5329" w:rsidRPr="002029AF">
        <w:t xml:space="preserve"> </w:t>
      </w:r>
      <w:r w:rsidRPr="002029AF">
        <w:t>to</w:t>
      </w:r>
      <w:r w:rsidR="000A5329" w:rsidRPr="002029AF">
        <w:t xml:space="preserve"> </w:t>
      </w:r>
      <w:r w:rsidRPr="002029AF">
        <w:t>the</w:t>
      </w:r>
      <w:r w:rsidR="000A5329" w:rsidRPr="002029AF">
        <w:t xml:space="preserve"> </w:t>
      </w:r>
      <w:r w:rsidRPr="002029AF">
        <w:t>extent</w:t>
      </w:r>
      <w:r w:rsidR="000A5329" w:rsidRPr="002029AF">
        <w:t xml:space="preserve"> </w:t>
      </w:r>
      <w:r w:rsidRPr="002029AF">
        <w:t>that</w:t>
      </w:r>
      <w:r w:rsidR="000A5329" w:rsidRPr="002029AF">
        <w:t xml:space="preserve"> </w:t>
      </w:r>
      <w:r w:rsidRPr="002029AF">
        <w:t>is</w:t>
      </w:r>
      <w:r w:rsidR="000A5329" w:rsidRPr="002029AF">
        <w:t xml:space="preserve"> </w:t>
      </w:r>
      <w:r w:rsidRPr="002029AF">
        <w:t>also</w:t>
      </w:r>
      <w:r w:rsidR="000A5329" w:rsidRPr="002029AF">
        <w:t xml:space="preserve"> </w:t>
      </w:r>
      <w:r w:rsidRPr="002029AF">
        <w:t>equally</w:t>
      </w:r>
      <w:r w:rsidR="000A5329" w:rsidRPr="002029AF">
        <w:t xml:space="preserve"> </w:t>
      </w:r>
      <w:r w:rsidRPr="002029AF">
        <w:t>applicable</w:t>
      </w:r>
      <w:r w:rsidR="000A5329" w:rsidRPr="002029AF">
        <w:t xml:space="preserve"> </w:t>
      </w:r>
      <w:r w:rsidRPr="002029AF">
        <w:t>to</w:t>
      </w:r>
      <w:r w:rsidR="000A5329" w:rsidRPr="002029AF">
        <w:t xml:space="preserve"> </w:t>
      </w:r>
      <w:r w:rsidRPr="002029AF">
        <w:t>market</w:t>
      </w:r>
      <w:r w:rsidR="000A5329" w:rsidRPr="002029AF">
        <w:t xml:space="preserve"> </w:t>
      </w:r>
      <w:r w:rsidRPr="002029AF">
        <w:t>participants.</w:t>
      </w:r>
      <w:r w:rsidR="000A5329" w:rsidRPr="002029AF">
        <w:t xml:space="preserve"> </w:t>
      </w:r>
      <w:r w:rsidRPr="002029AF">
        <w:t>This</w:t>
      </w:r>
      <w:r w:rsidR="000A5329" w:rsidRPr="002029AF">
        <w:t xml:space="preserve"> </w:t>
      </w:r>
      <w:r w:rsidRPr="002029AF">
        <w:t>approach</w:t>
      </w:r>
      <w:r w:rsidR="000A5329" w:rsidRPr="002029AF">
        <w:t xml:space="preserve"> </w:t>
      </w:r>
      <w:r w:rsidRPr="002029AF">
        <w:t>is</w:t>
      </w:r>
      <w:r w:rsidR="000A5329" w:rsidRPr="002029AF">
        <w:t xml:space="preserve"> </w:t>
      </w:r>
      <w:r w:rsidRPr="002029AF">
        <w:t>in</w:t>
      </w:r>
      <w:r w:rsidR="000A5329" w:rsidRPr="002029AF">
        <w:t xml:space="preserve"> </w:t>
      </w:r>
      <w:r w:rsidRPr="002029AF">
        <w:t>light</w:t>
      </w:r>
      <w:r w:rsidR="000A5329" w:rsidRPr="002029AF">
        <w:t xml:space="preserve"> </w:t>
      </w:r>
      <w:r w:rsidRPr="002029AF">
        <w:t>of</w:t>
      </w:r>
      <w:r w:rsidR="000A5329" w:rsidRPr="002029AF">
        <w:t xml:space="preserve"> </w:t>
      </w:r>
      <w:r w:rsidRPr="002029AF">
        <w:t>the</w:t>
      </w:r>
      <w:r w:rsidR="000A5329" w:rsidRPr="002029AF">
        <w:t xml:space="preserve"> </w:t>
      </w:r>
      <w:r w:rsidRPr="002029AF">
        <w:t>highest</w:t>
      </w:r>
      <w:r w:rsidR="000A5329" w:rsidRPr="002029AF">
        <w:t xml:space="preserve"> </w:t>
      </w:r>
      <w:r w:rsidRPr="002029AF">
        <w:t>and</w:t>
      </w:r>
      <w:r w:rsidR="000A5329" w:rsidRPr="002029AF">
        <w:t xml:space="preserve"> </w:t>
      </w:r>
      <w:r w:rsidRPr="002029AF">
        <w:t>best</w:t>
      </w:r>
      <w:r w:rsidR="000A5329" w:rsidRPr="002029AF">
        <w:t xml:space="preserve"> </w:t>
      </w:r>
      <w:r w:rsidRPr="002029AF">
        <w:t>use</w:t>
      </w:r>
      <w:r w:rsidR="000A5329" w:rsidRPr="002029AF">
        <w:t xml:space="preserve"> </w:t>
      </w:r>
      <w:r w:rsidRPr="002029AF">
        <w:t>consideration</w:t>
      </w:r>
      <w:r w:rsidR="000A5329" w:rsidRPr="002029AF">
        <w:t xml:space="preserve"> </w:t>
      </w:r>
      <w:r w:rsidRPr="002029AF">
        <w:t>required</w:t>
      </w:r>
      <w:r w:rsidR="000A5329" w:rsidRPr="002029AF">
        <w:t xml:space="preserve"> </w:t>
      </w:r>
      <w:r w:rsidRPr="002029AF">
        <w:t>for</w:t>
      </w:r>
      <w:r w:rsidR="000A5329" w:rsidRPr="002029AF">
        <w:t xml:space="preserve"> </w:t>
      </w:r>
      <w:r w:rsidRPr="002029AF">
        <w:t>fair</w:t>
      </w:r>
      <w:r w:rsidR="000A5329" w:rsidRPr="002029AF">
        <w:t xml:space="preserve"> </w:t>
      </w:r>
      <w:r w:rsidRPr="002029AF">
        <w:t>value</w:t>
      </w:r>
      <w:r w:rsidR="000A5329" w:rsidRPr="002029AF">
        <w:t xml:space="preserve"> </w:t>
      </w:r>
      <w:r w:rsidR="007D6895" w:rsidRPr="002029AF">
        <w:t>measurement and</w:t>
      </w:r>
      <w:r w:rsidR="000A5329" w:rsidRPr="002029AF">
        <w:t xml:space="preserve"> </w:t>
      </w:r>
      <w:r w:rsidRPr="002029AF">
        <w:t>takes</w:t>
      </w:r>
      <w:r w:rsidR="000A5329" w:rsidRPr="002029AF">
        <w:t xml:space="preserve"> </w:t>
      </w:r>
      <w:r w:rsidRPr="002029AF">
        <w:t>into</w:t>
      </w:r>
      <w:r w:rsidR="000A5329" w:rsidRPr="002029AF">
        <w:t xml:space="preserve"> </w:t>
      </w:r>
      <w:r w:rsidRPr="002029AF">
        <w:t>account</w:t>
      </w:r>
      <w:r w:rsidR="000A5329" w:rsidRPr="002029AF">
        <w:t xml:space="preserve"> </w:t>
      </w:r>
      <w:r w:rsidRPr="002029AF">
        <w:t>the</w:t>
      </w:r>
      <w:r w:rsidR="000A5329" w:rsidRPr="002029AF">
        <w:t xml:space="preserve"> </w:t>
      </w:r>
      <w:r w:rsidRPr="002029AF">
        <w:t>use</w:t>
      </w:r>
      <w:r w:rsidR="000A5329" w:rsidRPr="002029AF">
        <w:t xml:space="preserve"> </w:t>
      </w:r>
      <w:r w:rsidRPr="002029AF">
        <w:t>of</w:t>
      </w:r>
      <w:r w:rsidR="000A5329" w:rsidRPr="002029AF">
        <w:t xml:space="preserve"> </w:t>
      </w:r>
      <w:r w:rsidRPr="002029AF">
        <w:t>the</w:t>
      </w:r>
      <w:r w:rsidR="000A5329" w:rsidRPr="002029AF">
        <w:t xml:space="preserve"> </w:t>
      </w:r>
      <w:r w:rsidRPr="002029AF">
        <w:t>asset</w:t>
      </w:r>
      <w:r w:rsidR="000A5329" w:rsidRPr="002029AF">
        <w:t xml:space="preserve"> </w:t>
      </w:r>
      <w:r w:rsidRPr="002029AF">
        <w:t>that</w:t>
      </w:r>
      <w:r w:rsidR="000A5329" w:rsidRPr="002029AF">
        <w:t xml:space="preserve"> </w:t>
      </w:r>
      <w:r w:rsidRPr="002029AF">
        <w:t>is</w:t>
      </w:r>
      <w:r w:rsidR="000A5329" w:rsidRPr="002029AF">
        <w:t xml:space="preserve"> </w:t>
      </w:r>
      <w:r w:rsidRPr="002029AF">
        <w:t>physically</w:t>
      </w:r>
      <w:r w:rsidR="000A5329" w:rsidRPr="002029AF">
        <w:t xml:space="preserve"> </w:t>
      </w:r>
      <w:r w:rsidRPr="002029AF">
        <w:t>possible,</w:t>
      </w:r>
      <w:r w:rsidR="000A5329" w:rsidRPr="002029AF">
        <w:t xml:space="preserve"> </w:t>
      </w:r>
      <w:r w:rsidRPr="002029AF">
        <w:t>legally</w:t>
      </w:r>
      <w:r w:rsidR="000A5329" w:rsidRPr="002029AF">
        <w:t xml:space="preserve"> </w:t>
      </w:r>
      <w:r w:rsidRPr="002029AF">
        <w:t>permissible,</w:t>
      </w:r>
      <w:r w:rsidR="000A5329" w:rsidRPr="002029AF">
        <w:t xml:space="preserve"> </w:t>
      </w:r>
      <w:r w:rsidRPr="002029AF">
        <w:t>and</w:t>
      </w:r>
      <w:r w:rsidR="000A5329" w:rsidRPr="002029AF">
        <w:t xml:space="preserve"> </w:t>
      </w:r>
      <w:r w:rsidRPr="002029AF">
        <w:t>financially</w:t>
      </w:r>
      <w:r w:rsidR="000A5329" w:rsidRPr="002029AF">
        <w:t xml:space="preserve"> </w:t>
      </w:r>
      <w:r w:rsidRPr="002029AF">
        <w:t>feasible.</w:t>
      </w:r>
      <w:r w:rsidR="000A5329" w:rsidRPr="002029AF">
        <w:t xml:space="preserve"> </w:t>
      </w:r>
      <w:r w:rsidRPr="002029AF">
        <w:t>As</w:t>
      </w:r>
      <w:r w:rsidR="000A5329" w:rsidRPr="002029AF">
        <w:t xml:space="preserve"> </w:t>
      </w:r>
      <w:r w:rsidRPr="002029AF">
        <w:t>adjustments</w:t>
      </w:r>
      <w:r w:rsidR="000A5329" w:rsidRPr="002029AF">
        <w:t xml:space="preserve"> </w:t>
      </w:r>
      <w:r w:rsidRPr="002029AF">
        <w:t>of</w:t>
      </w:r>
      <w:r w:rsidR="000A5329" w:rsidRPr="002029AF">
        <w:t xml:space="preserve"> </w:t>
      </w:r>
      <w:r w:rsidRPr="002029AF">
        <w:t>CSO</w:t>
      </w:r>
      <w:r w:rsidR="000A5329" w:rsidRPr="002029AF">
        <w:t xml:space="preserve"> </w:t>
      </w:r>
      <w:r w:rsidRPr="002029AF">
        <w:t>are</w:t>
      </w:r>
      <w:r w:rsidR="000A5329" w:rsidRPr="002029AF">
        <w:t xml:space="preserve"> </w:t>
      </w:r>
      <w:r w:rsidRPr="002029AF">
        <w:t>considered</w:t>
      </w:r>
      <w:r w:rsidR="000A5329" w:rsidRPr="002029AF">
        <w:t xml:space="preserve"> </w:t>
      </w:r>
      <w:r w:rsidRPr="002029AF">
        <w:t>as</w:t>
      </w:r>
      <w:r w:rsidR="000A5329" w:rsidRPr="002029AF">
        <w:t xml:space="preserve"> </w:t>
      </w:r>
      <w:r w:rsidRPr="002029AF">
        <w:t>significant</w:t>
      </w:r>
      <w:r w:rsidR="000A5329" w:rsidRPr="002029AF">
        <w:t xml:space="preserve"> </w:t>
      </w:r>
      <w:r w:rsidRPr="002029AF">
        <w:t>unobservable</w:t>
      </w:r>
      <w:r w:rsidR="000A5329" w:rsidRPr="002029AF">
        <w:t xml:space="preserve"> </w:t>
      </w:r>
      <w:r w:rsidRPr="002029AF">
        <w:t>inputs,</w:t>
      </w:r>
      <w:r w:rsidR="000A5329" w:rsidRPr="002029AF">
        <w:t xml:space="preserve"> </w:t>
      </w:r>
      <w:r w:rsidRPr="002029AF">
        <w:t>specialised</w:t>
      </w:r>
      <w:r w:rsidR="000A5329" w:rsidRPr="002029AF">
        <w:t xml:space="preserve"> </w:t>
      </w:r>
      <w:r w:rsidRPr="002029AF">
        <w:t>land</w:t>
      </w:r>
      <w:r w:rsidR="000A5329" w:rsidRPr="002029AF">
        <w:t xml:space="preserve"> </w:t>
      </w:r>
      <w:r w:rsidRPr="002029AF">
        <w:t>with</w:t>
      </w:r>
      <w:r w:rsidR="000A5329" w:rsidRPr="002029AF">
        <w:t xml:space="preserve"> </w:t>
      </w:r>
      <w:r w:rsidRPr="002029AF">
        <w:t>a</w:t>
      </w:r>
      <w:r w:rsidR="000A5329" w:rsidRPr="002029AF">
        <w:t xml:space="preserve"> </w:t>
      </w:r>
      <w:r w:rsidRPr="002029AF">
        <w:t>CSO</w:t>
      </w:r>
      <w:r w:rsidR="000A5329" w:rsidRPr="002029AF">
        <w:t xml:space="preserve"> </w:t>
      </w:r>
      <w:r w:rsidRPr="002029AF">
        <w:t>adjustment</w:t>
      </w:r>
      <w:r w:rsidR="000A5329" w:rsidRPr="002029AF">
        <w:t xml:space="preserve"> </w:t>
      </w:r>
      <w:r w:rsidRPr="002029AF">
        <w:t>would</w:t>
      </w:r>
      <w:r w:rsidR="000A5329" w:rsidRPr="002029AF">
        <w:t xml:space="preserve"> </w:t>
      </w:r>
      <w:r w:rsidRPr="002029AF">
        <w:t>primarily</w:t>
      </w:r>
      <w:r w:rsidR="000A5329" w:rsidRPr="002029AF">
        <w:t xml:space="preserve"> </w:t>
      </w:r>
      <w:r w:rsidRPr="002029AF">
        <w:t>be</w:t>
      </w:r>
      <w:r w:rsidR="000A5329" w:rsidRPr="002029AF">
        <w:t xml:space="preserve"> </w:t>
      </w:r>
      <w:r w:rsidRPr="002029AF">
        <w:t>classified</w:t>
      </w:r>
      <w:r w:rsidR="000A5329" w:rsidRPr="002029AF">
        <w:t xml:space="preserve"> </w:t>
      </w:r>
      <w:r w:rsidRPr="002029AF">
        <w:t>as</w:t>
      </w:r>
      <w:r w:rsidR="000A5329" w:rsidRPr="002029AF">
        <w:t xml:space="preserve"> </w:t>
      </w:r>
      <w:r w:rsidRPr="002029AF">
        <w:t>Level</w:t>
      </w:r>
      <w:r w:rsidR="000A5329" w:rsidRPr="002029AF">
        <w:t xml:space="preserve"> </w:t>
      </w:r>
      <w:r w:rsidRPr="002029AF">
        <w:t>3</w:t>
      </w:r>
      <w:r w:rsidR="000A5329" w:rsidRPr="002029AF">
        <w:t xml:space="preserve"> </w:t>
      </w:r>
      <w:r w:rsidRPr="002029AF">
        <w:t>assets.</w:t>
      </w:r>
    </w:p>
    <w:p w14:paraId="3BD08137" w14:textId="65A4E2C7" w:rsidR="00087B91" w:rsidRPr="002029AF" w:rsidRDefault="00087B91" w:rsidP="00087B91">
      <w:pPr>
        <w:pStyle w:val="ARfinbody"/>
      </w:pPr>
      <w:r w:rsidRPr="002029AF">
        <w:t>For</w:t>
      </w:r>
      <w:r w:rsidR="000A5329" w:rsidRPr="002029AF">
        <w:t xml:space="preserve"> </w:t>
      </w:r>
      <w:r w:rsidRPr="002029AF">
        <w:t>the</w:t>
      </w:r>
      <w:r w:rsidR="000A5329" w:rsidRPr="002029AF">
        <w:t xml:space="preserve"> </w:t>
      </w:r>
      <w:r w:rsidRPr="002029AF">
        <w:t>majority</w:t>
      </w:r>
      <w:r w:rsidR="000A5329" w:rsidRPr="002029AF">
        <w:t xml:space="preserve"> </w:t>
      </w:r>
      <w:r w:rsidRPr="002029AF">
        <w:t>of</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specialised</w:t>
      </w:r>
      <w:r w:rsidR="000A5329" w:rsidRPr="002029AF">
        <w:t xml:space="preserve"> </w:t>
      </w:r>
      <w:r w:rsidRPr="002029AF">
        <w:t>buildings,</w:t>
      </w:r>
      <w:r w:rsidR="000A5329" w:rsidRPr="002029AF">
        <w:t xml:space="preserve"> </w:t>
      </w:r>
      <w:r w:rsidRPr="002029AF">
        <w:t>the</w:t>
      </w:r>
      <w:r w:rsidR="000A5329" w:rsidRPr="002029AF">
        <w:t xml:space="preserve"> </w:t>
      </w:r>
      <w:r w:rsidRPr="002029AF">
        <w:t>current</w:t>
      </w:r>
      <w:r w:rsidR="000A5329" w:rsidRPr="002029AF">
        <w:t xml:space="preserve"> </w:t>
      </w:r>
      <w:r w:rsidRPr="002029AF">
        <w:t>replacement</w:t>
      </w:r>
      <w:r w:rsidR="000A5329" w:rsidRPr="002029AF">
        <w:t xml:space="preserve"> </w:t>
      </w:r>
      <w:r w:rsidRPr="002029AF">
        <w:t>cost</w:t>
      </w:r>
      <w:r w:rsidR="000A5329" w:rsidRPr="002029AF">
        <w:t xml:space="preserve"> </w:t>
      </w:r>
      <w:r w:rsidRPr="002029AF">
        <w:t>method</w:t>
      </w:r>
      <w:r w:rsidR="000A5329" w:rsidRPr="002029AF">
        <w:t xml:space="preserve"> </w:t>
      </w:r>
      <w:r w:rsidRPr="002029AF">
        <w:t>is</w:t>
      </w:r>
      <w:r w:rsidR="000A5329" w:rsidRPr="002029AF">
        <w:t xml:space="preserve"> </w:t>
      </w:r>
      <w:r w:rsidRPr="002029AF">
        <w:t>used,</w:t>
      </w:r>
      <w:r w:rsidR="000A5329" w:rsidRPr="002029AF">
        <w:t xml:space="preserve"> </w:t>
      </w:r>
      <w:r w:rsidRPr="002029AF">
        <w:t>adjusting</w:t>
      </w:r>
      <w:r w:rsidR="000A5329" w:rsidRPr="002029AF">
        <w:t xml:space="preserve"> </w:t>
      </w:r>
      <w:r w:rsidRPr="002029AF">
        <w:t>for</w:t>
      </w:r>
      <w:r w:rsidR="000A5329" w:rsidRPr="002029AF">
        <w:t xml:space="preserve"> </w:t>
      </w:r>
      <w:r w:rsidRPr="002029AF">
        <w:t>the</w:t>
      </w:r>
      <w:r w:rsidR="000A5329" w:rsidRPr="002029AF">
        <w:t xml:space="preserve"> </w:t>
      </w:r>
      <w:r w:rsidRPr="002029AF">
        <w:t>associated</w:t>
      </w:r>
      <w:r w:rsidR="000A5329" w:rsidRPr="002029AF">
        <w:t xml:space="preserve"> </w:t>
      </w:r>
      <w:r w:rsidRPr="002029AF">
        <w:t>depreciations.</w:t>
      </w:r>
      <w:r w:rsidR="000A5329" w:rsidRPr="002029AF">
        <w:t xml:space="preserve"> </w:t>
      </w:r>
      <w:r w:rsidRPr="002029AF">
        <w:t>As</w:t>
      </w:r>
      <w:r w:rsidR="000A5329" w:rsidRPr="002029AF">
        <w:t xml:space="preserve"> </w:t>
      </w:r>
      <w:r w:rsidRPr="002029AF">
        <w:t>depreciation</w:t>
      </w:r>
      <w:r w:rsidR="000A5329" w:rsidRPr="002029AF">
        <w:t xml:space="preserve"> </w:t>
      </w:r>
      <w:r w:rsidRPr="002029AF">
        <w:t>adjustments</w:t>
      </w:r>
      <w:r w:rsidR="000A5329" w:rsidRPr="002029AF">
        <w:t xml:space="preserve"> </w:t>
      </w:r>
      <w:r w:rsidRPr="002029AF">
        <w:t>are</w:t>
      </w:r>
      <w:r w:rsidR="000A5329" w:rsidRPr="002029AF">
        <w:t xml:space="preserve"> </w:t>
      </w:r>
      <w:r w:rsidRPr="002029AF">
        <w:t>considered</w:t>
      </w:r>
      <w:r w:rsidR="000A5329" w:rsidRPr="002029AF">
        <w:t xml:space="preserve"> </w:t>
      </w:r>
      <w:r w:rsidRPr="002029AF">
        <w:t>as</w:t>
      </w:r>
      <w:r w:rsidR="000A5329" w:rsidRPr="002029AF">
        <w:t xml:space="preserve"> </w:t>
      </w:r>
      <w:r w:rsidRPr="002029AF">
        <w:t>significant,</w:t>
      </w:r>
      <w:r w:rsidR="000A5329" w:rsidRPr="002029AF">
        <w:t xml:space="preserve"> </w:t>
      </w:r>
      <w:r w:rsidRPr="002029AF">
        <w:t>unobservable</w:t>
      </w:r>
      <w:r w:rsidR="000A5329" w:rsidRPr="002029AF">
        <w:t xml:space="preserve"> </w:t>
      </w:r>
      <w:r w:rsidRPr="002029AF">
        <w:t>inputs</w:t>
      </w:r>
      <w:r w:rsidR="000A5329" w:rsidRPr="002029AF">
        <w:t xml:space="preserve"> </w:t>
      </w:r>
      <w:r w:rsidRPr="002029AF">
        <w:t>in</w:t>
      </w:r>
      <w:r w:rsidR="000A5329" w:rsidRPr="002029AF">
        <w:t xml:space="preserve"> </w:t>
      </w:r>
      <w:r w:rsidRPr="002029AF">
        <w:t>nature,</w:t>
      </w:r>
      <w:r w:rsidR="000A5329" w:rsidRPr="002029AF">
        <w:t xml:space="preserve"> </w:t>
      </w:r>
      <w:r w:rsidRPr="002029AF">
        <w:t>specialised</w:t>
      </w:r>
      <w:r w:rsidR="000A5329" w:rsidRPr="002029AF">
        <w:t xml:space="preserve"> </w:t>
      </w:r>
      <w:r w:rsidRPr="002029AF">
        <w:t>buildings</w:t>
      </w:r>
      <w:r w:rsidR="000A5329" w:rsidRPr="002029AF">
        <w:t xml:space="preserve"> </w:t>
      </w:r>
      <w:r w:rsidRPr="002029AF">
        <w:t>are</w:t>
      </w:r>
      <w:r w:rsidR="000A5329" w:rsidRPr="002029AF">
        <w:t xml:space="preserve"> </w:t>
      </w:r>
      <w:r w:rsidRPr="002029AF">
        <w:t>primarily</w:t>
      </w:r>
      <w:r w:rsidR="000A5329" w:rsidRPr="002029AF">
        <w:t xml:space="preserve"> </w:t>
      </w:r>
      <w:r w:rsidRPr="002029AF">
        <w:t>classified</w:t>
      </w:r>
      <w:r w:rsidR="000A5329" w:rsidRPr="002029AF">
        <w:t xml:space="preserve"> </w:t>
      </w:r>
      <w:r w:rsidRPr="002029AF">
        <w:t>as</w:t>
      </w:r>
      <w:r w:rsidR="000A5329" w:rsidRPr="002029AF">
        <w:t xml:space="preserve"> </w:t>
      </w:r>
      <w:r w:rsidRPr="002029AF">
        <w:t>Level</w:t>
      </w:r>
      <w:r w:rsidR="000A5329" w:rsidRPr="002029AF">
        <w:t xml:space="preserve"> </w:t>
      </w:r>
      <w:r w:rsidRPr="002029AF">
        <w:t>3</w:t>
      </w:r>
      <w:r w:rsidR="000A5329" w:rsidRPr="002029AF">
        <w:t xml:space="preserve"> </w:t>
      </w:r>
      <w:r w:rsidRPr="002029AF">
        <w:t>fair</w:t>
      </w:r>
      <w:r w:rsidR="000A5329" w:rsidRPr="002029AF">
        <w:t xml:space="preserve"> </w:t>
      </w:r>
      <w:r w:rsidRPr="002029AF">
        <w:t>value</w:t>
      </w:r>
      <w:r w:rsidR="000A5329" w:rsidRPr="002029AF">
        <w:t xml:space="preserve"> </w:t>
      </w:r>
      <w:r w:rsidRPr="002029AF">
        <w:t>measurements.</w:t>
      </w:r>
    </w:p>
    <w:p w14:paraId="48F9DD38" w14:textId="77777777" w:rsidR="00087B91" w:rsidRPr="002029AF" w:rsidRDefault="00087B91" w:rsidP="00087B91">
      <w:pPr>
        <w:pStyle w:val="ARfinbody"/>
      </w:pPr>
      <w:r w:rsidRPr="002029AF">
        <w:br w:type="page"/>
      </w:r>
    </w:p>
    <w:p w14:paraId="34A876B3" w14:textId="285397B3" w:rsidR="00087B91" w:rsidRPr="002029AF" w:rsidRDefault="00087B91" w:rsidP="00087B91">
      <w:pPr>
        <w:pStyle w:val="ARfinbody"/>
        <w:rPr>
          <w:color w:val="auto"/>
        </w:rPr>
      </w:pPr>
      <w:r w:rsidRPr="002029AF">
        <w:rPr>
          <w:color w:val="auto"/>
        </w:rPr>
        <w:lastRenderedPageBreak/>
        <w:t>A</w:t>
      </w:r>
      <w:r w:rsidR="000A5329" w:rsidRPr="002029AF">
        <w:rPr>
          <w:color w:val="auto"/>
        </w:rPr>
        <w:t xml:space="preserve"> </w:t>
      </w:r>
      <w:r w:rsidRPr="002029AF">
        <w:rPr>
          <w:color w:val="auto"/>
        </w:rPr>
        <w:t>full</w:t>
      </w:r>
      <w:r w:rsidR="000A5329" w:rsidRPr="002029AF">
        <w:rPr>
          <w:color w:val="auto"/>
        </w:rPr>
        <w:t xml:space="preserve"> </w:t>
      </w:r>
      <w:r w:rsidRPr="002029AF">
        <w:rPr>
          <w:color w:val="auto"/>
        </w:rPr>
        <w:t>revaluation</w:t>
      </w:r>
      <w:r w:rsidR="000A5329" w:rsidRPr="002029AF">
        <w:rPr>
          <w:color w:val="auto"/>
        </w:rPr>
        <w:t xml:space="preserve"> </w:t>
      </w:r>
      <w:r w:rsidRPr="002029AF">
        <w:rPr>
          <w:color w:val="auto"/>
        </w:rPr>
        <w:t>of</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department’s</w:t>
      </w:r>
      <w:r w:rsidR="000A5329" w:rsidRPr="002029AF">
        <w:rPr>
          <w:color w:val="auto"/>
        </w:rPr>
        <w:t xml:space="preserve"> </w:t>
      </w:r>
      <w:r w:rsidRPr="002029AF">
        <w:rPr>
          <w:color w:val="auto"/>
        </w:rPr>
        <w:t>land</w:t>
      </w:r>
      <w:r w:rsidR="000A5329" w:rsidRPr="002029AF">
        <w:rPr>
          <w:color w:val="auto"/>
        </w:rPr>
        <w:t xml:space="preserve"> </w:t>
      </w:r>
      <w:r w:rsidRPr="002029AF">
        <w:rPr>
          <w:color w:val="auto"/>
        </w:rPr>
        <w:t>and</w:t>
      </w:r>
      <w:r w:rsidR="000A5329" w:rsidRPr="002029AF">
        <w:rPr>
          <w:color w:val="auto"/>
        </w:rPr>
        <w:t xml:space="preserve"> </w:t>
      </w:r>
      <w:r w:rsidRPr="002029AF">
        <w:rPr>
          <w:color w:val="auto"/>
        </w:rPr>
        <w:t>buildings</w:t>
      </w:r>
      <w:r w:rsidR="000A5329" w:rsidRPr="002029AF">
        <w:rPr>
          <w:color w:val="auto"/>
        </w:rPr>
        <w:t xml:space="preserve"> </w:t>
      </w:r>
      <w:r w:rsidRPr="002029AF">
        <w:rPr>
          <w:color w:val="auto"/>
        </w:rPr>
        <w:t>was</w:t>
      </w:r>
      <w:r w:rsidR="000A5329" w:rsidRPr="002029AF">
        <w:rPr>
          <w:color w:val="auto"/>
        </w:rPr>
        <w:t xml:space="preserve"> </w:t>
      </w:r>
      <w:r w:rsidRPr="002029AF">
        <w:rPr>
          <w:color w:val="auto"/>
        </w:rPr>
        <w:t>performed</w:t>
      </w:r>
      <w:r w:rsidR="000A5329" w:rsidRPr="002029AF">
        <w:rPr>
          <w:color w:val="auto"/>
        </w:rPr>
        <w:t xml:space="preserve"> </w:t>
      </w:r>
      <w:r w:rsidRPr="002029AF">
        <w:rPr>
          <w:color w:val="auto"/>
        </w:rPr>
        <w:t>by</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Valuer-General</w:t>
      </w:r>
      <w:r w:rsidR="000A5329" w:rsidRPr="002029AF">
        <w:rPr>
          <w:color w:val="auto"/>
        </w:rPr>
        <w:t xml:space="preserve"> </w:t>
      </w:r>
      <w:r w:rsidRPr="002029AF">
        <w:rPr>
          <w:color w:val="auto"/>
        </w:rPr>
        <w:t>of</w:t>
      </w:r>
      <w:r w:rsidR="000A5329" w:rsidRPr="002029AF">
        <w:rPr>
          <w:color w:val="auto"/>
        </w:rPr>
        <w:t xml:space="preserve"> </w:t>
      </w:r>
      <w:r w:rsidRPr="002029AF">
        <w:rPr>
          <w:color w:val="auto"/>
        </w:rPr>
        <w:t>Victoria</w:t>
      </w:r>
      <w:r w:rsidR="000A5329" w:rsidRPr="002029AF">
        <w:rPr>
          <w:color w:val="auto"/>
        </w:rPr>
        <w:t xml:space="preserve"> </w:t>
      </w:r>
      <w:r w:rsidRPr="002029AF">
        <w:rPr>
          <w:color w:val="auto"/>
        </w:rPr>
        <w:t>(VGV)</w:t>
      </w:r>
      <w:r w:rsidR="000A5329" w:rsidRPr="002029AF">
        <w:rPr>
          <w:color w:val="auto"/>
        </w:rPr>
        <w:t xml:space="preserve"> </w:t>
      </w:r>
      <w:r w:rsidRPr="002029AF">
        <w:rPr>
          <w:color w:val="auto"/>
        </w:rPr>
        <w:t>in</w:t>
      </w:r>
      <w:r w:rsidR="000A5329" w:rsidRPr="002029AF">
        <w:rPr>
          <w:color w:val="auto"/>
        </w:rPr>
        <w:t xml:space="preserve"> </w:t>
      </w:r>
      <w:r w:rsidRPr="002029AF">
        <w:rPr>
          <w:color w:val="auto"/>
        </w:rPr>
        <w:t>May</w:t>
      </w:r>
      <w:r w:rsidR="000A5329" w:rsidRPr="002029AF">
        <w:rPr>
          <w:color w:val="auto"/>
        </w:rPr>
        <w:t xml:space="preserve"> </w:t>
      </w:r>
      <w:r w:rsidRPr="002029AF">
        <w:rPr>
          <w:color w:val="auto"/>
        </w:rPr>
        <w:t>2019</w:t>
      </w:r>
      <w:r w:rsidR="000A5329" w:rsidRPr="002029AF">
        <w:rPr>
          <w:color w:val="auto"/>
        </w:rPr>
        <w:t xml:space="preserve"> </w:t>
      </w:r>
      <w:r w:rsidRPr="002029AF">
        <w:rPr>
          <w:color w:val="auto"/>
        </w:rPr>
        <w:t>in</w:t>
      </w:r>
      <w:r w:rsidR="000A5329" w:rsidRPr="002029AF">
        <w:rPr>
          <w:color w:val="auto"/>
        </w:rPr>
        <w:t xml:space="preserve"> </w:t>
      </w:r>
      <w:r w:rsidRPr="002029AF">
        <w:rPr>
          <w:color w:val="auto"/>
        </w:rPr>
        <w:t>accordance</w:t>
      </w:r>
      <w:r w:rsidR="000A5329" w:rsidRPr="002029AF">
        <w:rPr>
          <w:color w:val="auto"/>
        </w:rPr>
        <w:t xml:space="preserve"> </w:t>
      </w:r>
      <w:r w:rsidRPr="002029AF">
        <w:rPr>
          <w:color w:val="auto"/>
        </w:rPr>
        <w:t>with</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requirements</w:t>
      </w:r>
      <w:r w:rsidR="000A5329" w:rsidRPr="002029AF">
        <w:rPr>
          <w:color w:val="auto"/>
        </w:rPr>
        <w:t xml:space="preserve"> </w:t>
      </w:r>
      <w:r w:rsidRPr="002029AF">
        <w:rPr>
          <w:color w:val="auto"/>
        </w:rPr>
        <w:t>of</w:t>
      </w:r>
      <w:r w:rsidR="000A5329" w:rsidRPr="002029AF">
        <w:rPr>
          <w:color w:val="auto"/>
        </w:rPr>
        <w:t xml:space="preserve"> </w:t>
      </w:r>
      <w:r w:rsidRPr="002029AF">
        <w:rPr>
          <w:color w:val="auto"/>
        </w:rPr>
        <w:t>Financial</w:t>
      </w:r>
      <w:r w:rsidR="000A5329" w:rsidRPr="002029AF">
        <w:rPr>
          <w:color w:val="auto"/>
        </w:rPr>
        <w:t xml:space="preserve"> </w:t>
      </w:r>
      <w:r w:rsidRPr="002029AF">
        <w:rPr>
          <w:color w:val="auto"/>
        </w:rPr>
        <w:t>Reporting</w:t>
      </w:r>
      <w:r w:rsidR="000A5329" w:rsidRPr="002029AF">
        <w:rPr>
          <w:color w:val="auto"/>
        </w:rPr>
        <w:t xml:space="preserve"> </w:t>
      </w:r>
      <w:r w:rsidRPr="002029AF">
        <w:rPr>
          <w:color w:val="auto"/>
        </w:rPr>
        <w:t>Direction</w:t>
      </w:r>
      <w:r w:rsidR="000A5329" w:rsidRPr="002029AF">
        <w:rPr>
          <w:color w:val="auto"/>
        </w:rPr>
        <w:t xml:space="preserve"> </w:t>
      </w:r>
      <w:r w:rsidRPr="002029AF">
        <w:rPr>
          <w:color w:val="auto"/>
        </w:rPr>
        <w:t>(FRD)</w:t>
      </w:r>
      <w:r w:rsidR="000A5329" w:rsidRPr="002029AF">
        <w:rPr>
          <w:color w:val="auto"/>
        </w:rPr>
        <w:t xml:space="preserve"> </w:t>
      </w:r>
      <w:r w:rsidRPr="002029AF">
        <w:rPr>
          <w:color w:val="auto"/>
        </w:rPr>
        <w:t>103H</w:t>
      </w:r>
      <w:r w:rsidR="000A5329" w:rsidRPr="002029AF">
        <w:rPr>
          <w:color w:val="auto"/>
        </w:rPr>
        <w:t xml:space="preserve"> </w:t>
      </w:r>
      <w:r w:rsidRPr="002029AF">
        <w:rPr>
          <w:rStyle w:val="Emphasis"/>
          <w:color w:val="auto"/>
        </w:rPr>
        <w:t>Non-Financial</w:t>
      </w:r>
      <w:r w:rsidR="000A5329" w:rsidRPr="002029AF">
        <w:rPr>
          <w:rStyle w:val="Emphasis"/>
          <w:color w:val="auto"/>
        </w:rPr>
        <w:t xml:space="preserve"> </w:t>
      </w:r>
      <w:r w:rsidRPr="002029AF">
        <w:rPr>
          <w:rStyle w:val="Emphasis"/>
          <w:color w:val="auto"/>
        </w:rPr>
        <w:t>Physical</w:t>
      </w:r>
      <w:r w:rsidR="000A5329" w:rsidRPr="002029AF">
        <w:rPr>
          <w:rStyle w:val="Emphasis"/>
          <w:color w:val="auto"/>
        </w:rPr>
        <w:t xml:space="preserve"> </w:t>
      </w:r>
      <w:r w:rsidRPr="002029AF">
        <w:rPr>
          <w:rStyle w:val="Emphasis"/>
          <w:color w:val="auto"/>
        </w:rPr>
        <w:t>Assets</w:t>
      </w:r>
      <w:r w:rsidRPr="002029AF">
        <w:rPr>
          <w:color w:val="auto"/>
        </w:rPr>
        <w:t>.</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valuation,</w:t>
      </w:r>
      <w:r w:rsidR="000A5329" w:rsidRPr="002029AF">
        <w:rPr>
          <w:color w:val="auto"/>
        </w:rPr>
        <w:t xml:space="preserve"> </w:t>
      </w:r>
      <w:r w:rsidRPr="002029AF">
        <w:rPr>
          <w:color w:val="auto"/>
        </w:rPr>
        <w:t>which</w:t>
      </w:r>
      <w:r w:rsidR="000A5329" w:rsidRPr="002029AF">
        <w:rPr>
          <w:color w:val="auto"/>
        </w:rPr>
        <w:t xml:space="preserve"> </w:t>
      </w:r>
      <w:r w:rsidRPr="002029AF">
        <w:rPr>
          <w:color w:val="auto"/>
        </w:rPr>
        <w:t>conforms</w:t>
      </w:r>
      <w:r w:rsidR="000A5329" w:rsidRPr="002029AF">
        <w:rPr>
          <w:color w:val="auto"/>
        </w:rPr>
        <w:t xml:space="preserve"> </w:t>
      </w:r>
      <w:r w:rsidRPr="002029AF">
        <w:rPr>
          <w:color w:val="auto"/>
        </w:rPr>
        <w:t>to</w:t>
      </w:r>
      <w:r w:rsidR="000A5329" w:rsidRPr="002029AF">
        <w:rPr>
          <w:color w:val="auto"/>
        </w:rPr>
        <w:t xml:space="preserve"> </w:t>
      </w:r>
      <w:r w:rsidRPr="002029AF">
        <w:rPr>
          <w:color w:val="auto"/>
        </w:rPr>
        <w:t>Australian</w:t>
      </w:r>
      <w:r w:rsidR="000A5329" w:rsidRPr="002029AF">
        <w:rPr>
          <w:color w:val="auto"/>
        </w:rPr>
        <w:t xml:space="preserve"> </w:t>
      </w:r>
      <w:r w:rsidRPr="002029AF">
        <w:rPr>
          <w:color w:val="auto"/>
        </w:rPr>
        <w:t>Valuation</w:t>
      </w:r>
      <w:r w:rsidR="000A5329" w:rsidRPr="002029AF">
        <w:rPr>
          <w:color w:val="auto"/>
        </w:rPr>
        <w:t xml:space="preserve"> </w:t>
      </w:r>
      <w:r w:rsidRPr="002029AF">
        <w:rPr>
          <w:color w:val="auto"/>
        </w:rPr>
        <w:t>Standards,</w:t>
      </w:r>
      <w:r w:rsidR="000A5329" w:rsidRPr="002029AF">
        <w:rPr>
          <w:color w:val="auto"/>
        </w:rPr>
        <w:t xml:space="preserve"> </w:t>
      </w:r>
      <w:r w:rsidRPr="002029AF">
        <w:rPr>
          <w:color w:val="auto"/>
        </w:rPr>
        <w:t>was</w:t>
      </w:r>
      <w:r w:rsidR="000A5329" w:rsidRPr="002029AF">
        <w:rPr>
          <w:color w:val="auto"/>
        </w:rPr>
        <w:t xml:space="preserve"> </w:t>
      </w:r>
      <w:r w:rsidRPr="002029AF">
        <w:rPr>
          <w:color w:val="auto"/>
        </w:rPr>
        <w:t>determined</w:t>
      </w:r>
      <w:r w:rsidR="000A5329" w:rsidRPr="002029AF">
        <w:rPr>
          <w:color w:val="auto"/>
        </w:rPr>
        <w:t xml:space="preserve"> </w:t>
      </w:r>
      <w:r w:rsidRPr="002029AF">
        <w:rPr>
          <w:color w:val="auto"/>
        </w:rPr>
        <w:t>by</w:t>
      </w:r>
      <w:r w:rsidR="000A5329" w:rsidRPr="002029AF">
        <w:rPr>
          <w:color w:val="auto"/>
        </w:rPr>
        <w:t xml:space="preserve"> </w:t>
      </w:r>
      <w:r w:rsidRPr="002029AF">
        <w:rPr>
          <w:color w:val="auto"/>
        </w:rPr>
        <w:t>reference</w:t>
      </w:r>
      <w:r w:rsidR="000A5329" w:rsidRPr="002029AF">
        <w:rPr>
          <w:color w:val="auto"/>
        </w:rPr>
        <w:t xml:space="preserve"> </w:t>
      </w:r>
      <w:r w:rsidRPr="002029AF">
        <w:rPr>
          <w:color w:val="auto"/>
        </w:rPr>
        <w:t>to</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amounts</w:t>
      </w:r>
      <w:r w:rsidR="000A5329" w:rsidRPr="002029AF">
        <w:rPr>
          <w:color w:val="auto"/>
        </w:rPr>
        <w:t xml:space="preserve"> </w:t>
      </w:r>
      <w:r w:rsidRPr="002029AF">
        <w:rPr>
          <w:color w:val="auto"/>
        </w:rPr>
        <w:t>for</w:t>
      </w:r>
      <w:r w:rsidR="000A5329" w:rsidRPr="002029AF">
        <w:rPr>
          <w:color w:val="auto"/>
        </w:rPr>
        <w:t xml:space="preserve"> </w:t>
      </w:r>
      <w:r w:rsidRPr="002029AF">
        <w:rPr>
          <w:color w:val="auto"/>
        </w:rPr>
        <w:t>which</w:t>
      </w:r>
      <w:r w:rsidR="000A5329" w:rsidRPr="002029AF">
        <w:rPr>
          <w:color w:val="auto"/>
        </w:rPr>
        <w:t xml:space="preserve"> </w:t>
      </w:r>
      <w:r w:rsidRPr="002029AF">
        <w:rPr>
          <w:color w:val="auto"/>
        </w:rPr>
        <w:t>assets</w:t>
      </w:r>
      <w:r w:rsidR="000A5329" w:rsidRPr="002029AF">
        <w:rPr>
          <w:color w:val="auto"/>
        </w:rPr>
        <w:t xml:space="preserve"> </w:t>
      </w:r>
      <w:r w:rsidRPr="002029AF">
        <w:rPr>
          <w:color w:val="auto"/>
        </w:rPr>
        <w:t>could</w:t>
      </w:r>
      <w:r w:rsidR="000A5329" w:rsidRPr="002029AF">
        <w:rPr>
          <w:color w:val="auto"/>
        </w:rPr>
        <w:t xml:space="preserve"> </w:t>
      </w:r>
      <w:r w:rsidRPr="002029AF">
        <w:rPr>
          <w:color w:val="auto"/>
        </w:rPr>
        <w:t>be</w:t>
      </w:r>
      <w:r w:rsidR="000A5329" w:rsidRPr="002029AF">
        <w:rPr>
          <w:color w:val="auto"/>
        </w:rPr>
        <w:t xml:space="preserve"> </w:t>
      </w:r>
      <w:r w:rsidRPr="002029AF">
        <w:rPr>
          <w:color w:val="auto"/>
        </w:rPr>
        <w:t>exchanged</w:t>
      </w:r>
      <w:r w:rsidR="000A5329" w:rsidRPr="002029AF">
        <w:rPr>
          <w:color w:val="auto"/>
        </w:rPr>
        <w:t xml:space="preserve"> </w:t>
      </w:r>
      <w:r w:rsidRPr="002029AF">
        <w:rPr>
          <w:color w:val="auto"/>
        </w:rPr>
        <w:t>between</w:t>
      </w:r>
      <w:r w:rsidR="000A5329" w:rsidRPr="002029AF">
        <w:rPr>
          <w:color w:val="auto"/>
        </w:rPr>
        <w:t xml:space="preserve"> </w:t>
      </w:r>
      <w:r w:rsidRPr="002029AF">
        <w:rPr>
          <w:color w:val="auto"/>
        </w:rPr>
        <w:t>knowledgeable</w:t>
      </w:r>
      <w:r w:rsidR="000A5329" w:rsidRPr="002029AF">
        <w:rPr>
          <w:color w:val="auto"/>
        </w:rPr>
        <w:t xml:space="preserve"> </w:t>
      </w:r>
      <w:r w:rsidRPr="002029AF">
        <w:rPr>
          <w:color w:val="auto"/>
        </w:rPr>
        <w:t>willing</w:t>
      </w:r>
      <w:r w:rsidR="000A5329" w:rsidRPr="002029AF">
        <w:rPr>
          <w:color w:val="auto"/>
        </w:rPr>
        <w:t xml:space="preserve"> </w:t>
      </w:r>
      <w:r w:rsidRPr="002029AF">
        <w:rPr>
          <w:color w:val="auto"/>
        </w:rPr>
        <w:t>parties</w:t>
      </w:r>
      <w:r w:rsidR="000A5329" w:rsidRPr="002029AF">
        <w:rPr>
          <w:color w:val="auto"/>
        </w:rPr>
        <w:t xml:space="preserve"> </w:t>
      </w:r>
      <w:r w:rsidRPr="002029AF">
        <w:rPr>
          <w:color w:val="auto"/>
        </w:rPr>
        <w:t>in</w:t>
      </w:r>
      <w:r w:rsidR="000A5329" w:rsidRPr="002029AF">
        <w:rPr>
          <w:color w:val="auto"/>
        </w:rPr>
        <w:t xml:space="preserve"> </w:t>
      </w:r>
      <w:r w:rsidRPr="002029AF">
        <w:rPr>
          <w:color w:val="auto"/>
        </w:rPr>
        <w:t>an</w:t>
      </w:r>
      <w:r w:rsidR="000A5329" w:rsidRPr="002029AF">
        <w:rPr>
          <w:color w:val="auto"/>
        </w:rPr>
        <w:t xml:space="preserve"> </w:t>
      </w:r>
      <w:r w:rsidRPr="002029AF">
        <w:rPr>
          <w:color w:val="auto"/>
        </w:rPr>
        <w:t>arm’s</w:t>
      </w:r>
      <w:r w:rsidR="000A5329" w:rsidRPr="002029AF">
        <w:rPr>
          <w:color w:val="auto"/>
        </w:rPr>
        <w:t xml:space="preserve"> </w:t>
      </w:r>
      <w:r w:rsidRPr="002029AF">
        <w:rPr>
          <w:color w:val="auto"/>
        </w:rPr>
        <w:t>length</w:t>
      </w:r>
      <w:r w:rsidR="000A5329" w:rsidRPr="002029AF">
        <w:rPr>
          <w:color w:val="auto"/>
        </w:rPr>
        <w:t xml:space="preserve"> </w:t>
      </w:r>
      <w:r w:rsidRPr="002029AF">
        <w:rPr>
          <w:color w:val="auto"/>
        </w:rPr>
        <w:t>transaction.</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effective</w:t>
      </w:r>
      <w:r w:rsidR="000A5329" w:rsidRPr="002029AF">
        <w:rPr>
          <w:color w:val="auto"/>
        </w:rPr>
        <w:t xml:space="preserve"> </w:t>
      </w:r>
      <w:r w:rsidRPr="002029AF">
        <w:rPr>
          <w:color w:val="auto"/>
        </w:rPr>
        <w:t>date</w:t>
      </w:r>
      <w:r w:rsidR="000A5329" w:rsidRPr="002029AF">
        <w:rPr>
          <w:color w:val="auto"/>
        </w:rPr>
        <w:t xml:space="preserve"> </w:t>
      </w:r>
      <w:r w:rsidRPr="002029AF">
        <w:rPr>
          <w:color w:val="auto"/>
        </w:rPr>
        <w:t>of</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valuation</w:t>
      </w:r>
      <w:r w:rsidR="000A5329" w:rsidRPr="002029AF">
        <w:rPr>
          <w:color w:val="auto"/>
        </w:rPr>
        <w:t xml:space="preserve"> </w:t>
      </w:r>
      <w:r w:rsidRPr="002029AF">
        <w:rPr>
          <w:color w:val="auto"/>
        </w:rPr>
        <w:t>for</w:t>
      </w:r>
      <w:r w:rsidR="000A5329" w:rsidRPr="002029AF">
        <w:rPr>
          <w:color w:val="auto"/>
        </w:rPr>
        <w:t xml:space="preserve"> </w:t>
      </w:r>
      <w:r w:rsidRPr="002029AF">
        <w:rPr>
          <w:color w:val="auto"/>
        </w:rPr>
        <w:t>both</w:t>
      </w:r>
      <w:r w:rsidR="000A5329" w:rsidRPr="002029AF">
        <w:rPr>
          <w:color w:val="auto"/>
        </w:rPr>
        <w:t xml:space="preserve"> </w:t>
      </w:r>
      <w:r w:rsidRPr="002029AF">
        <w:rPr>
          <w:color w:val="auto"/>
        </w:rPr>
        <w:t>land</w:t>
      </w:r>
      <w:r w:rsidR="000A5329" w:rsidRPr="002029AF">
        <w:rPr>
          <w:color w:val="auto"/>
        </w:rPr>
        <w:t xml:space="preserve"> </w:t>
      </w:r>
      <w:r w:rsidRPr="002029AF">
        <w:rPr>
          <w:color w:val="auto"/>
        </w:rPr>
        <w:t>and</w:t>
      </w:r>
      <w:r w:rsidR="000A5329" w:rsidRPr="002029AF">
        <w:rPr>
          <w:color w:val="auto"/>
        </w:rPr>
        <w:t xml:space="preserve"> </w:t>
      </w:r>
      <w:r w:rsidRPr="002029AF">
        <w:rPr>
          <w:color w:val="auto"/>
        </w:rPr>
        <w:t>buildings</w:t>
      </w:r>
      <w:r w:rsidR="000A5329" w:rsidRPr="002029AF">
        <w:rPr>
          <w:color w:val="auto"/>
        </w:rPr>
        <w:t xml:space="preserve"> </w:t>
      </w:r>
      <w:r w:rsidRPr="002029AF">
        <w:rPr>
          <w:color w:val="auto"/>
        </w:rPr>
        <w:t>was</w:t>
      </w:r>
      <w:r w:rsidR="00995257" w:rsidRPr="002029AF">
        <w:rPr>
          <w:color w:val="auto"/>
        </w:rPr>
        <w:t> </w:t>
      </w:r>
      <w:r w:rsidRPr="002029AF">
        <w:rPr>
          <w:color w:val="auto"/>
        </w:rPr>
        <w:t>30</w:t>
      </w:r>
      <w:r w:rsidR="000A5329" w:rsidRPr="002029AF">
        <w:rPr>
          <w:color w:val="auto"/>
        </w:rPr>
        <w:t xml:space="preserve"> </w:t>
      </w:r>
      <w:r w:rsidRPr="002029AF">
        <w:rPr>
          <w:color w:val="auto"/>
        </w:rPr>
        <w:t>June</w:t>
      </w:r>
      <w:r w:rsidR="000A5329" w:rsidRPr="002029AF">
        <w:rPr>
          <w:color w:val="auto"/>
        </w:rPr>
        <w:t xml:space="preserve"> </w:t>
      </w:r>
      <w:r w:rsidRPr="002029AF">
        <w:rPr>
          <w:color w:val="auto"/>
        </w:rPr>
        <w:t>2019.</w:t>
      </w:r>
    </w:p>
    <w:p w14:paraId="3DDE8433" w14:textId="7B717AE5" w:rsidR="00087B91" w:rsidRPr="002029AF" w:rsidRDefault="00087B91" w:rsidP="00087B91">
      <w:pPr>
        <w:pStyle w:val="ARfinbody"/>
        <w:rPr>
          <w:color w:val="auto"/>
        </w:rPr>
      </w:pPr>
      <w:r w:rsidRPr="002029AF">
        <w:rPr>
          <w:color w:val="auto"/>
        </w:rPr>
        <w:t>In</w:t>
      </w:r>
      <w:r w:rsidR="000A5329" w:rsidRPr="002029AF">
        <w:rPr>
          <w:color w:val="auto"/>
        </w:rPr>
        <w:t xml:space="preserve"> </w:t>
      </w:r>
      <w:r w:rsidRPr="002029AF">
        <w:rPr>
          <w:color w:val="auto"/>
        </w:rPr>
        <w:t>compliance</w:t>
      </w:r>
      <w:r w:rsidR="000A5329" w:rsidRPr="002029AF">
        <w:rPr>
          <w:color w:val="auto"/>
        </w:rPr>
        <w:t xml:space="preserve"> </w:t>
      </w:r>
      <w:r w:rsidRPr="002029AF">
        <w:rPr>
          <w:color w:val="auto"/>
        </w:rPr>
        <w:t>with</w:t>
      </w:r>
      <w:r w:rsidR="000A5329" w:rsidRPr="002029AF">
        <w:rPr>
          <w:color w:val="auto"/>
        </w:rPr>
        <w:t xml:space="preserve"> </w:t>
      </w:r>
      <w:r w:rsidRPr="002029AF">
        <w:rPr>
          <w:color w:val="auto"/>
        </w:rPr>
        <w:t>FRD</w:t>
      </w:r>
      <w:r w:rsidR="000A5329" w:rsidRPr="002029AF">
        <w:rPr>
          <w:color w:val="auto"/>
        </w:rPr>
        <w:t xml:space="preserve"> </w:t>
      </w:r>
      <w:r w:rsidRPr="002029AF">
        <w:rPr>
          <w:color w:val="auto"/>
        </w:rPr>
        <w:t>103H,</w:t>
      </w:r>
      <w:r w:rsidR="000A5329" w:rsidRPr="002029AF">
        <w:rPr>
          <w:color w:val="auto"/>
        </w:rPr>
        <w:t xml:space="preserve"> </w:t>
      </w:r>
      <w:r w:rsidRPr="002029AF">
        <w:rPr>
          <w:color w:val="auto"/>
        </w:rPr>
        <w:t>in</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year</w:t>
      </w:r>
      <w:r w:rsidR="000A5329" w:rsidRPr="002029AF">
        <w:rPr>
          <w:color w:val="auto"/>
        </w:rPr>
        <w:t xml:space="preserve"> </w:t>
      </w:r>
      <w:r w:rsidRPr="002029AF">
        <w:rPr>
          <w:color w:val="auto"/>
        </w:rPr>
        <w:t>ended</w:t>
      </w:r>
      <w:r w:rsidR="000A5329" w:rsidRPr="002029AF">
        <w:rPr>
          <w:color w:val="auto"/>
        </w:rPr>
        <w:t xml:space="preserve"> </w:t>
      </w:r>
      <w:r w:rsidRPr="002029AF">
        <w:rPr>
          <w:color w:val="auto"/>
        </w:rPr>
        <w:t>30</w:t>
      </w:r>
      <w:r w:rsidR="000A5329" w:rsidRPr="002029AF">
        <w:rPr>
          <w:color w:val="auto"/>
        </w:rPr>
        <w:t xml:space="preserve"> </w:t>
      </w:r>
      <w:r w:rsidRPr="002029AF">
        <w:rPr>
          <w:color w:val="auto"/>
        </w:rPr>
        <w:t>June</w:t>
      </w:r>
      <w:r w:rsidR="000A5329" w:rsidRPr="002029AF">
        <w:rPr>
          <w:color w:val="auto"/>
        </w:rPr>
        <w:t xml:space="preserve"> </w:t>
      </w:r>
      <w:r w:rsidRPr="002029AF">
        <w:rPr>
          <w:color w:val="auto"/>
        </w:rPr>
        <w:t>2020,</w:t>
      </w:r>
      <w:r w:rsidR="000A5329" w:rsidRPr="002029AF">
        <w:rPr>
          <w:color w:val="auto"/>
        </w:rPr>
        <w:t xml:space="preserve"> </w:t>
      </w:r>
      <w:r w:rsidRPr="002029AF">
        <w:rPr>
          <w:color w:val="auto"/>
        </w:rPr>
        <w:t>management</w:t>
      </w:r>
      <w:r w:rsidR="000A5329" w:rsidRPr="002029AF">
        <w:rPr>
          <w:color w:val="auto"/>
        </w:rPr>
        <w:t xml:space="preserve"> </w:t>
      </w:r>
      <w:r w:rsidRPr="002029AF">
        <w:rPr>
          <w:color w:val="auto"/>
        </w:rPr>
        <w:t>conducted</w:t>
      </w:r>
      <w:r w:rsidR="000A5329" w:rsidRPr="002029AF">
        <w:rPr>
          <w:color w:val="auto"/>
        </w:rPr>
        <w:t xml:space="preserve"> </w:t>
      </w:r>
      <w:r w:rsidRPr="002029AF">
        <w:rPr>
          <w:color w:val="auto"/>
        </w:rPr>
        <w:t>an</w:t>
      </w:r>
      <w:r w:rsidR="000A5329" w:rsidRPr="002029AF">
        <w:rPr>
          <w:color w:val="auto"/>
        </w:rPr>
        <w:t xml:space="preserve"> </w:t>
      </w:r>
      <w:r w:rsidRPr="002029AF">
        <w:rPr>
          <w:color w:val="auto"/>
        </w:rPr>
        <w:t>annual</w:t>
      </w:r>
      <w:r w:rsidR="000A5329" w:rsidRPr="002029AF">
        <w:rPr>
          <w:color w:val="auto"/>
        </w:rPr>
        <w:t xml:space="preserve"> </w:t>
      </w:r>
      <w:r w:rsidRPr="002029AF">
        <w:rPr>
          <w:color w:val="auto"/>
        </w:rPr>
        <w:t>assessment</w:t>
      </w:r>
      <w:r w:rsidR="000A5329" w:rsidRPr="002029AF">
        <w:rPr>
          <w:color w:val="auto"/>
        </w:rPr>
        <w:t xml:space="preserve"> </w:t>
      </w:r>
      <w:r w:rsidRPr="002029AF">
        <w:rPr>
          <w:color w:val="auto"/>
        </w:rPr>
        <w:t>of</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fair</w:t>
      </w:r>
      <w:r w:rsidR="000A5329" w:rsidRPr="002029AF">
        <w:rPr>
          <w:color w:val="auto"/>
        </w:rPr>
        <w:t xml:space="preserve"> </w:t>
      </w:r>
      <w:r w:rsidRPr="002029AF">
        <w:rPr>
          <w:color w:val="auto"/>
        </w:rPr>
        <w:t>value</w:t>
      </w:r>
      <w:r w:rsidR="000A5329" w:rsidRPr="002029AF">
        <w:rPr>
          <w:color w:val="auto"/>
        </w:rPr>
        <w:t xml:space="preserve"> </w:t>
      </w:r>
      <w:r w:rsidRPr="002029AF">
        <w:rPr>
          <w:color w:val="auto"/>
        </w:rPr>
        <w:t>of</w:t>
      </w:r>
      <w:r w:rsidR="000A5329" w:rsidRPr="002029AF">
        <w:rPr>
          <w:color w:val="auto"/>
        </w:rPr>
        <w:t xml:space="preserve"> </w:t>
      </w:r>
      <w:r w:rsidRPr="002029AF">
        <w:rPr>
          <w:color w:val="auto"/>
        </w:rPr>
        <w:t>land</w:t>
      </w:r>
      <w:r w:rsidR="000A5329" w:rsidRPr="002029AF">
        <w:rPr>
          <w:color w:val="auto"/>
        </w:rPr>
        <w:t xml:space="preserve"> </w:t>
      </w:r>
      <w:r w:rsidRPr="002029AF">
        <w:rPr>
          <w:color w:val="auto"/>
        </w:rPr>
        <w:t>and</w:t>
      </w:r>
      <w:r w:rsidR="000A5329" w:rsidRPr="002029AF">
        <w:rPr>
          <w:color w:val="auto"/>
        </w:rPr>
        <w:t xml:space="preserve"> </w:t>
      </w:r>
      <w:r w:rsidRPr="002029AF">
        <w:rPr>
          <w:color w:val="auto"/>
        </w:rPr>
        <w:t>buildings.</w:t>
      </w:r>
      <w:r w:rsidR="000A5329" w:rsidRPr="002029AF">
        <w:rPr>
          <w:color w:val="auto"/>
        </w:rPr>
        <w:t xml:space="preserve"> </w:t>
      </w:r>
      <w:r w:rsidRPr="002029AF">
        <w:rPr>
          <w:color w:val="auto"/>
        </w:rPr>
        <w:t>To</w:t>
      </w:r>
      <w:r w:rsidR="000A5329" w:rsidRPr="002029AF">
        <w:rPr>
          <w:color w:val="auto"/>
        </w:rPr>
        <w:t xml:space="preserve"> </w:t>
      </w:r>
      <w:r w:rsidRPr="002029AF">
        <w:rPr>
          <w:color w:val="auto"/>
        </w:rPr>
        <w:t>facilitate</w:t>
      </w:r>
      <w:r w:rsidR="000A5329" w:rsidRPr="002029AF">
        <w:rPr>
          <w:color w:val="auto"/>
        </w:rPr>
        <w:t xml:space="preserve"> </w:t>
      </w:r>
      <w:r w:rsidRPr="002029AF">
        <w:rPr>
          <w:color w:val="auto"/>
        </w:rPr>
        <w:t>this,</w:t>
      </w:r>
      <w:r w:rsidR="000A5329" w:rsidRPr="002029AF">
        <w:rPr>
          <w:color w:val="auto"/>
        </w:rPr>
        <w:t xml:space="preserve"> </w:t>
      </w:r>
      <w:r w:rsidRPr="002029AF">
        <w:rPr>
          <w:color w:val="auto"/>
        </w:rPr>
        <w:t>management</w:t>
      </w:r>
      <w:r w:rsidR="000A5329" w:rsidRPr="002029AF">
        <w:rPr>
          <w:color w:val="auto"/>
        </w:rPr>
        <w:t xml:space="preserve"> </w:t>
      </w:r>
      <w:r w:rsidRPr="002029AF">
        <w:rPr>
          <w:color w:val="auto"/>
        </w:rPr>
        <w:t>obtained</w:t>
      </w:r>
      <w:r w:rsidR="000A5329" w:rsidRPr="002029AF">
        <w:rPr>
          <w:color w:val="auto"/>
        </w:rPr>
        <w:t xml:space="preserve"> </w:t>
      </w:r>
      <w:r w:rsidRPr="002029AF">
        <w:rPr>
          <w:color w:val="auto"/>
        </w:rPr>
        <w:t>from</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Department</w:t>
      </w:r>
      <w:r w:rsidR="000A5329" w:rsidRPr="002029AF">
        <w:rPr>
          <w:color w:val="auto"/>
        </w:rPr>
        <w:t xml:space="preserve"> </w:t>
      </w:r>
      <w:r w:rsidRPr="002029AF">
        <w:rPr>
          <w:color w:val="auto"/>
        </w:rPr>
        <w:t>of</w:t>
      </w:r>
      <w:r w:rsidR="000A5329" w:rsidRPr="002029AF">
        <w:rPr>
          <w:color w:val="auto"/>
        </w:rPr>
        <w:t xml:space="preserve"> </w:t>
      </w:r>
      <w:r w:rsidRPr="002029AF">
        <w:rPr>
          <w:color w:val="auto"/>
        </w:rPr>
        <w:t>Treasury</w:t>
      </w:r>
      <w:r w:rsidR="000A5329" w:rsidRPr="002029AF">
        <w:rPr>
          <w:color w:val="auto"/>
        </w:rPr>
        <w:t xml:space="preserve"> </w:t>
      </w:r>
      <w:r w:rsidRPr="002029AF">
        <w:rPr>
          <w:color w:val="auto"/>
        </w:rPr>
        <w:t>and</w:t>
      </w:r>
      <w:r w:rsidR="000A5329" w:rsidRPr="002029AF">
        <w:rPr>
          <w:color w:val="auto"/>
        </w:rPr>
        <w:t xml:space="preserve"> </w:t>
      </w:r>
      <w:r w:rsidRPr="002029AF">
        <w:rPr>
          <w:color w:val="auto"/>
        </w:rPr>
        <w:t>Finance</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VGV</w:t>
      </w:r>
      <w:r w:rsidR="000A5329" w:rsidRPr="002029AF">
        <w:rPr>
          <w:color w:val="auto"/>
        </w:rPr>
        <w:t xml:space="preserve"> </w:t>
      </w:r>
      <w:r w:rsidRPr="002029AF">
        <w:rPr>
          <w:color w:val="auto"/>
        </w:rPr>
        <w:t>indices</w:t>
      </w:r>
      <w:r w:rsidR="000A5329" w:rsidRPr="002029AF">
        <w:rPr>
          <w:color w:val="auto"/>
        </w:rPr>
        <w:t xml:space="preserve"> </w:t>
      </w:r>
      <w:r w:rsidRPr="002029AF">
        <w:rPr>
          <w:color w:val="auto"/>
        </w:rPr>
        <w:t>for</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financial</w:t>
      </w:r>
      <w:r w:rsidR="000A5329" w:rsidRPr="002029AF">
        <w:rPr>
          <w:color w:val="auto"/>
        </w:rPr>
        <w:t xml:space="preserve"> </w:t>
      </w:r>
      <w:r w:rsidRPr="002029AF">
        <w:rPr>
          <w:color w:val="auto"/>
        </w:rPr>
        <w:t>year</w:t>
      </w:r>
      <w:r w:rsidR="000A5329" w:rsidRPr="002029AF">
        <w:rPr>
          <w:color w:val="auto"/>
        </w:rPr>
        <w:t xml:space="preserve"> </w:t>
      </w:r>
      <w:r w:rsidRPr="002029AF">
        <w:rPr>
          <w:color w:val="auto"/>
        </w:rPr>
        <w:t>ended</w:t>
      </w:r>
      <w:r w:rsidR="000A5329" w:rsidRPr="002029AF">
        <w:rPr>
          <w:color w:val="auto"/>
        </w:rPr>
        <w:t xml:space="preserve"> </w:t>
      </w:r>
      <w:r w:rsidRPr="002029AF">
        <w:rPr>
          <w:color w:val="auto"/>
        </w:rPr>
        <w:t>30</w:t>
      </w:r>
      <w:r w:rsidR="000A5329" w:rsidRPr="002029AF">
        <w:rPr>
          <w:color w:val="auto"/>
        </w:rPr>
        <w:t xml:space="preserve"> </w:t>
      </w:r>
      <w:r w:rsidRPr="002029AF">
        <w:rPr>
          <w:color w:val="auto"/>
        </w:rPr>
        <w:t>June</w:t>
      </w:r>
      <w:r w:rsidR="000A5329" w:rsidRPr="002029AF">
        <w:rPr>
          <w:color w:val="auto"/>
        </w:rPr>
        <w:t xml:space="preserve"> </w:t>
      </w:r>
      <w:r w:rsidRPr="002029AF">
        <w:rPr>
          <w:color w:val="auto"/>
        </w:rPr>
        <w:t>2020.</w:t>
      </w:r>
    </w:p>
    <w:p w14:paraId="1C8263D5" w14:textId="5AC23CE2" w:rsidR="00087B91" w:rsidRPr="002029AF" w:rsidRDefault="00087B91" w:rsidP="00087B91">
      <w:pPr>
        <w:pStyle w:val="ARfinbody"/>
        <w:rPr>
          <w:color w:val="auto"/>
        </w:rPr>
      </w:pPr>
      <w:r w:rsidRPr="002029AF">
        <w:rPr>
          <w:color w:val="auto"/>
        </w:rPr>
        <w:t>The</w:t>
      </w:r>
      <w:r w:rsidR="000A5329" w:rsidRPr="002029AF">
        <w:rPr>
          <w:color w:val="auto"/>
        </w:rPr>
        <w:t xml:space="preserve"> </w:t>
      </w:r>
      <w:r w:rsidRPr="002029AF">
        <w:rPr>
          <w:color w:val="auto"/>
        </w:rPr>
        <w:t>application</w:t>
      </w:r>
      <w:r w:rsidR="000A5329" w:rsidRPr="002029AF">
        <w:rPr>
          <w:color w:val="auto"/>
        </w:rPr>
        <w:t xml:space="preserve"> </w:t>
      </w:r>
      <w:r w:rsidRPr="002029AF">
        <w:rPr>
          <w:color w:val="auto"/>
        </w:rPr>
        <w:t>of</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VGV</w:t>
      </w:r>
      <w:r w:rsidR="000A5329" w:rsidRPr="002029AF">
        <w:rPr>
          <w:color w:val="auto"/>
        </w:rPr>
        <w:t xml:space="preserve"> </w:t>
      </w:r>
      <w:r w:rsidRPr="002029AF">
        <w:rPr>
          <w:color w:val="auto"/>
        </w:rPr>
        <w:t>indices,</w:t>
      </w:r>
      <w:r w:rsidR="000A5329" w:rsidRPr="002029AF">
        <w:rPr>
          <w:color w:val="auto"/>
        </w:rPr>
        <w:t xml:space="preserve"> </w:t>
      </w:r>
      <w:r w:rsidRPr="002029AF">
        <w:rPr>
          <w:color w:val="auto"/>
        </w:rPr>
        <w:t>which</w:t>
      </w:r>
      <w:r w:rsidR="000A5329" w:rsidRPr="002029AF">
        <w:rPr>
          <w:color w:val="auto"/>
        </w:rPr>
        <w:t xml:space="preserve"> </w:t>
      </w:r>
      <w:r w:rsidRPr="002029AF">
        <w:rPr>
          <w:color w:val="auto"/>
        </w:rPr>
        <w:t>are</w:t>
      </w:r>
      <w:r w:rsidR="000A5329" w:rsidRPr="002029AF">
        <w:rPr>
          <w:color w:val="auto"/>
        </w:rPr>
        <w:t xml:space="preserve"> </w:t>
      </w:r>
      <w:r w:rsidRPr="002029AF">
        <w:rPr>
          <w:color w:val="auto"/>
        </w:rPr>
        <w:t>based</w:t>
      </w:r>
      <w:r w:rsidR="000A5329" w:rsidRPr="002029AF">
        <w:rPr>
          <w:color w:val="auto"/>
        </w:rPr>
        <w:t xml:space="preserve"> </w:t>
      </w:r>
      <w:r w:rsidRPr="002029AF">
        <w:rPr>
          <w:color w:val="auto"/>
        </w:rPr>
        <w:t>on</w:t>
      </w:r>
      <w:r w:rsidR="000A5329" w:rsidRPr="002029AF">
        <w:rPr>
          <w:color w:val="auto"/>
        </w:rPr>
        <w:t xml:space="preserve"> </w:t>
      </w:r>
      <w:r w:rsidRPr="002029AF">
        <w:rPr>
          <w:color w:val="auto"/>
        </w:rPr>
        <w:t>data</w:t>
      </w:r>
      <w:r w:rsidR="000A5329" w:rsidRPr="002029AF">
        <w:rPr>
          <w:color w:val="auto"/>
        </w:rPr>
        <w:t xml:space="preserve"> </w:t>
      </w:r>
      <w:r w:rsidRPr="002029AF">
        <w:rPr>
          <w:color w:val="auto"/>
        </w:rPr>
        <w:t>to</w:t>
      </w:r>
      <w:r w:rsidR="000A5329" w:rsidRPr="002029AF">
        <w:rPr>
          <w:color w:val="auto"/>
        </w:rPr>
        <w:t xml:space="preserve"> </w:t>
      </w:r>
      <w:r w:rsidRPr="002029AF">
        <w:rPr>
          <w:color w:val="auto"/>
        </w:rPr>
        <w:t>March</w:t>
      </w:r>
      <w:r w:rsidR="000A5329" w:rsidRPr="002029AF">
        <w:rPr>
          <w:color w:val="auto"/>
        </w:rPr>
        <w:t xml:space="preserve"> </w:t>
      </w:r>
      <w:r w:rsidRPr="002029AF">
        <w:rPr>
          <w:color w:val="auto"/>
        </w:rPr>
        <w:t>2020,</w:t>
      </w:r>
      <w:r w:rsidR="000A5329" w:rsidRPr="002029AF">
        <w:rPr>
          <w:color w:val="auto"/>
        </w:rPr>
        <w:t xml:space="preserve"> </w:t>
      </w:r>
      <w:r w:rsidRPr="002029AF">
        <w:rPr>
          <w:color w:val="auto"/>
        </w:rPr>
        <w:t>to</w:t>
      </w:r>
      <w:r w:rsidR="000A5329" w:rsidRPr="002029AF">
        <w:rPr>
          <w:color w:val="auto"/>
        </w:rPr>
        <w:t xml:space="preserve"> </w:t>
      </w:r>
      <w:r w:rsidRPr="002029AF">
        <w:rPr>
          <w:color w:val="auto"/>
        </w:rPr>
        <w:t>land</w:t>
      </w:r>
      <w:r w:rsidR="000A5329" w:rsidRPr="002029AF">
        <w:rPr>
          <w:color w:val="auto"/>
        </w:rPr>
        <w:t xml:space="preserve"> </w:t>
      </w:r>
      <w:r w:rsidRPr="002029AF">
        <w:rPr>
          <w:color w:val="auto"/>
        </w:rPr>
        <w:t>and</w:t>
      </w:r>
      <w:r w:rsidR="000A5329" w:rsidRPr="002029AF">
        <w:rPr>
          <w:color w:val="auto"/>
        </w:rPr>
        <w:t xml:space="preserve"> </w:t>
      </w:r>
      <w:r w:rsidRPr="002029AF">
        <w:rPr>
          <w:color w:val="auto"/>
        </w:rPr>
        <w:t>building</w:t>
      </w:r>
      <w:r w:rsidR="000A5329" w:rsidRPr="002029AF">
        <w:rPr>
          <w:color w:val="auto"/>
        </w:rPr>
        <w:t xml:space="preserve"> </w:t>
      </w:r>
      <w:r w:rsidRPr="002029AF">
        <w:rPr>
          <w:color w:val="auto"/>
        </w:rPr>
        <w:t>values</w:t>
      </w:r>
      <w:r w:rsidR="000A5329" w:rsidRPr="002029AF">
        <w:rPr>
          <w:color w:val="auto"/>
        </w:rPr>
        <w:t xml:space="preserve"> </w:t>
      </w:r>
      <w:r w:rsidRPr="002029AF">
        <w:rPr>
          <w:color w:val="auto"/>
        </w:rPr>
        <w:t>from</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full</w:t>
      </w:r>
      <w:r w:rsidR="000A5329" w:rsidRPr="002029AF">
        <w:rPr>
          <w:color w:val="auto"/>
        </w:rPr>
        <w:t xml:space="preserve"> </w:t>
      </w:r>
      <w:r w:rsidRPr="002029AF">
        <w:rPr>
          <w:color w:val="auto"/>
        </w:rPr>
        <w:t>revaluation</w:t>
      </w:r>
      <w:r w:rsidR="000A5329" w:rsidRPr="002029AF">
        <w:rPr>
          <w:color w:val="auto"/>
        </w:rPr>
        <w:t xml:space="preserve"> </w:t>
      </w:r>
      <w:r w:rsidRPr="002029AF">
        <w:rPr>
          <w:color w:val="auto"/>
        </w:rPr>
        <w:t>resulted</w:t>
      </w:r>
      <w:r w:rsidR="000A5329" w:rsidRPr="002029AF">
        <w:rPr>
          <w:color w:val="auto"/>
        </w:rPr>
        <w:t xml:space="preserve"> </w:t>
      </w:r>
      <w:r w:rsidRPr="002029AF">
        <w:rPr>
          <w:color w:val="auto"/>
        </w:rPr>
        <w:t>in</w:t>
      </w:r>
      <w:r w:rsidR="000A5329" w:rsidRPr="002029AF">
        <w:rPr>
          <w:color w:val="auto"/>
        </w:rPr>
        <w:t xml:space="preserve"> </w:t>
      </w:r>
      <w:r w:rsidRPr="002029AF">
        <w:rPr>
          <w:color w:val="auto"/>
        </w:rPr>
        <w:t>an</w:t>
      </w:r>
      <w:r w:rsidR="000A5329" w:rsidRPr="002029AF">
        <w:rPr>
          <w:color w:val="auto"/>
        </w:rPr>
        <w:t xml:space="preserve"> </w:t>
      </w:r>
      <w:r w:rsidRPr="002029AF">
        <w:rPr>
          <w:color w:val="auto"/>
        </w:rPr>
        <w:t>increase</w:t>
      </w:r>
      <w:r w:rsidR="000A5329" w:rsidRPr="002029AF">
        <w:rPr>
          <w:color w:val="auto"/>
        </w:rPr>
        <w:t xml:space="preserve"> </w:t>
      </w:r>
      <w:r w:rsidRPr="002029AF">
        <w:rPr>
          <w:color w:val="auto"/>
        </w:rPr>
        <w:t>of</w:t>
      </w:r>
      <w:r w:rsidR="000A5329" w:rsidRPr="002029AF">
        <w:rPr>
          <w:color w:val="auto"/>
        </w:rPr>
        <w:t xml:space="preserve"> </w:t>
      </w:r>
      <w:r w:rsidRPr="002029AF">
        <w:rPr>
          <w:color w:val="auto"/>
        </w:rPr>
        <w:t>9.4%</w:t>
      </w:r>
      <w:r w:rsidR="000A5329" w:rsidRPr="002029AF">
        <w:rPr>
          <w:color w:val="auto"/>
        </w:rPr>
        <w:t xml:space="preserve"> </w:t>
      </w:r>
      <w:r w:rsidRPr="002029AF">
        <w:rPr>
          <w:color w:val="auto"/>
        </w:rPr>
        <w:t>across</w:t>
      </w:r>
      <w:r w:rsidR="000A5329" w:rsidRPr="002029AF">
        <w:rPr>
          <w:color w:val="auto"/>
        </w:rPr>
        <w:t xml:space="preserve"> </w:t>
      </w:r>
      <w:r w:rsidRPr="002029AF">
        <w:rPr>
          <w:color w:val="auto"/>
        </w:rPr>
        <w:t>all</w:t>
      </w:r>
      <w:r w:rsidR="000A5329" w:rsidRPr="002029AF">
        <w:rPr>
          <w:color w:val="auto"/>
        </w:rPr>
        <w:t xml:space="preserve"> </w:t>
      </w:r>
      <w:r w:rsidRPr="002029AF">
        <w:rPr>
          <w:color w:val="auto"/>
        </w:rPr>
        <w:t>land</w:t>
      </w:r>
      <w:r w:rsidR="000A5329" w:rsidRPr="002029AF">
        <w:rPr>
          <w:color w:val="auto"/>
        </w:rPr>
        <w:t xml:space="preserve"> </w:t>
      </w:r>
      <w:r w:rsidRPr="002029AF">
        <w:rPr>
          <w:color w:val="auto"/>
        </w:rPr>
        <w:t>parcels</w:t>
      </w:r>
      <w:r w:rsidR="000A5329" w:rsidRPr="002029AF">
        <w:rPr>
          <w:color w:val="auto"/>
        </w:rPr>
        <w:t xml:space="preserve"> </w:t>
      </w:r>
      <w:r w:rsidRPr="002029AF">
        <w:rPr>
          <w:color w:val="auto"/>
        </w:rPr>
        <w:t>and</w:t>
      </w:r>
      <w:r w:rsidR="000A5329" w:rsidRPr="002029AF">
        <w:rPr>
          <w:color w:val="auto"/>
        </w:rPr>
        <w:t xml:space="preserve"> </w:t>
      </w:r>
      <w:r w:rsidRPr="002029AF">
        <w:rPr>
          <w:color w:val="auto"/>
        </w:rPr>
        <w:t>a</w:t>
      </w:r>
      <w:r w:rsidR="000A5329" w:rsidRPr="002029AF">
        <w:rPr>
          <w:color w:val="auto"/>
        </w:rPr>
        <w:t xml:space="preserve"> </w:t>
      </w:r>
      <w:r w:rsidRPr="002029AF">
        <w:rPr>
          <w:color w:val="auto"/>
        </w:rPr>
        <w:t>2.1%</w:t>
      </w:r>
      <w:r w:rsidR="000A5329" w:rsidRPr="002029AF">
        <w:rPr>
          <w:color w:val="auto"/>
        </w:rPr>
        <w:t xml:space="preserve"> </w:t>
      </w:r>
      <w:r w:rsidRPr="002029AF">
        <w:rPr>
          <w:color w:val="auto"/>
        </w:rPr>
        <w:t>increase</w:t>
      </w:r>
      <w:r w:rsidR="000A5329" w:rsidRPr="002029AF">
        <w:rPr>
          <w:color w:val="auto"/>
        </w:rPr>
        <w:t xml:space="preserve"> </w:t>
      </w:r>
      <w:r w:rsidRPr="002029AF">
        <w:rPr>
          <w:color w:val="auto"/>
        </w:rPr>
        <w:t>in</w:t>
      </w:r>
      <w:r w:rsidR="000A5329" w:rsidRPr="002029AF">
        <w:rPr>
          <w:color w:val="auto"/>
        </w:rPr>
        <w:t xml:space="preserve"> </w:t>
      </w:r>
      <w:r w:rsidRPr="002029AF">
        <w:rPr>
          <w:color w:val="auto"/>
        </w:rPr>
        <w:t>buildings.</w:t>
      </w:r>
      <w:r w:rsidR="000A5329" w:rsidRPr="002029AF">
        <w:rPr>
          <w:color w:val="auto"/>
        </w:rPr>
        <w:t xml:space="preserve"> </w:t>
      </w:r>
      <w:r w:rsidRPr="002029AF">
        <w:rPr>
          <w:color w:val="auto"/>
        </w:rPr>
        <w:t>Management</w:t>
      </w:r>
      <w:r w:rsidR="000A5329" w:rsidRPr="002029AF">
        <w:rPr>
          <w:color w:val="auto"/>
        </w:rPr>
        <w:t xml:space="preserve"> </w:t>
      </w:r>
      <w:r w:rsidRPr="002029AF">
        <w:rPr>
          <w:color w:val="auto"/>
        </w:rPr>
        <w:t>regards</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VGV</w:t>
      </w:r>
      <w:r w:rsidR="000A5329" w:rsidRPr="002029AF">
        <w:rPr>
          <w:color w:val="auto"/>
        </w:rPr>
        <w:t xml:space="preserve"> </w:t>
      </w:r>
      <w:r w:rsidRPr="002029AF">
        <w:rPr>
          <w:color w:val="auto"/>
        </w:rPr>
        <w:t>indices</w:t>
      </w:r>
      <w:r w:rsidR="000A5329" w:rsidRPr="002029AF">
        <w:rPr>
          <w:color w:val="auto"/>
        </w:rPr>
        <w:t xml:space="preserve"> </w:t>
      </w:r>
      <w:r w:rsidRPr="002029AF">
        <w:rPr>
          <w:color w:val="auto"/>
        </w:rPr>
        <w:t>to</w:t>
      </w:r>
      <w:r w:rsidR="000A5329" w:rsidRPr="002029AF">
        <w:rPr>
          <w:color w:val="auto"/>
        </w:rPr>
        <w:t xml:space="preserve"> </w:t>
      </w:r>
      <w:r w:rsidRPr="002029AF">
        <w:rPr>
          <w:color w:val="auto"/>
        </w:rPr>
        <w:t>be</w:t>
      </w:r>
      <w:r w:rsidR="000A5329" w:rsidRPr="002029AF">
        <w:rPr>
          <w:color w:val="auto"/>
        </w:rPr>
        <w:t xml:space="preserve"> </w:t>
      </w:r>
      <w:r w:rsidRPr="002029AF">
        <w:rPr>
          <w:color w:val="auto"/>
        </w:rPr>
        <w:t>a</w:t>
      </w:r>
      <w:r w:rsidR="000A5329" w:rsidRPr="002029AF">
        <w:rPr>
          <w:color w:val="auto"/>
        </w:rPr>
        <w:t xml:space="preserve"> </w:t>
      </w:r>
      <w:r w:rsidRPr="002029AF">
        <w:rPr>
          <w:color w:val="auto"/>
        </w:rPr>
        <w:t>reliable</w:t>
      </w:r>
      <w:r w:rsidR="000A5329" w:rsidRPr="002029AF">
        <w:rPr>
          <w:color w:val="auto"/>
        </w:rPr>
        <w:t xml:space="preserve"> </w:t>
      </w:r>
      <w:r w:rsidRPr="002029AF">
        <w:rPr>
          <w:color w:val="auto"/>
        </w:rPr>
        <w:t>and</w:t>
      </w:r>
      <w:r w:rsidR="000A5329" w:rsidRPr="002029AF">
        <w:rPr>
          <w:color w:val="auto"/>
        </w:rPr>
        <w:t xml:space="preserve"> </w:t>
      </w:r>
      <w:r w:rsidRPr="002029AF">
        <w:rPr>
          <w:color w:val="auto"/>
        </w:rPr>
        <w:t>relevant</w:t>
      </w:r>
      <w:r w:rsidR="000A5329" w:rsidRPr="002029AF">
        <w:rPr>
          <w:color w:val="auto"/>
        </w:rPr>
        <w:t xml:space="preserve"> </w:t>
      </w:r>
      <w:r w:rsidRPr="002029AF">
        <w:rPr>
          <w:color w:val="auto"/>
        </w:rPr>
        <w:t>data</w:t>
      </w:r>
      <w:r w:rsidR="000A5329" w:rsidRPr="002029AF">
        <w:rPr>
          <w:color w:val="auto"/>
        </w:rPr>
        <w:t xml:space="preserve"> </w:t>
      </w:r>
      <w:r w:rsidRPr="002029AF">
        <w:rPr>
          <w:color w:val="auto"/>
        </w:rPr>
        <w:t>set</w:t>
      </w:r>
      <w:r w:rsidR="000A5329" w:rsidRPr="002029AF">
        <w:rPr>
          <w:color w:val="auto"/>
        </w:rPr>
        <w:t xml:space="preserve"> </w:t>
      </w:r>
      <w:r w:rsidRPr="002029AF">
        <w:rPr>
          <w:color w:val="auto"/>
        </w:rPr>
        <w:t>to</w:t>
      </w:r>
      <w:r w:rsidR="000A5329" w:rsidRPr="002029AF">
        <w:rPr>
          <w:color w:val="auto"/>
        </w:rPr>
        <w:t xml:space="preserve"> </w:t>
      </w:r>
      <w:r w:rsidRPr="002029AF">
        <w:rPr>
          <w:color w:val="auto"/>
        </w:rPr>
        <w:t>form</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basis</w:t>
      </w:r>
      <w:r w:rsidR="000A5329" w:rsidRPr="002029AF">
        <w:rPr>
          <w:color w:val="auto"/>
        </w:rPr>
        <w:t xml:space="preserve"> </w:t>
      </w:r>
      <w:r w:rsidRPr="002029AF">
        <w:rPr>
          <w:color w:val="auto"/>
        </w:rPr>
        <w:t>of</w:t>
      </w:r>
      <w:r w:rsidR="000A5329" w:rsidRPr="002029AF">
        <w:rPr>
          <w:color w:val="auto"/>
        </w:rPr>
        <w:t xml:space="preserve"> </w:t>
      </w:r>
      <w:r w:rsidRPr="002029AF">
        <w:rPr>
          <w:color w:val="auto"/>
        </w:rPr>
        <w:t>their</w:t>
      </w:r>
      <w:r w:rsidR="000A5329" w:rsidRPr="002029AF">
        <w:rPr>
          <w:color w:val="auto"/>
        </w:rPr>
        <w:t xml:space="preserve"> </w:t>
      </w:r>
      <w:r w:rsidRPr="002029AF">
        <w:rPr>
          <w:color w:val="auto"/>
        </w:rPr>
        <w:t>estimates.</w:t>
      </w:r>
      <w:r w:rsidR="000A5329" w:rsidRPr="002029AF">
        <w:rPr>
          <w:color w:val="auto"/>
        </w:rPr>
        <w:t xml:space="preserve"> </w:t>
      </w:r>
      <w:r w:rsidRPr="002029AF">
        <w:rPr>
          <w:color w:val="auto"/>
        </w:rPr>
        <w:t>Whilst</w:t>
      </w:r>
      <w:r w:rsidR="000A5329" w:rsidRPr="002029AF">
        <w:rPr>
          <w:color w:val="auto"/>
        </w:rPr>
        <w:t xml:space="preserve"> </w:t>
      </w:r>
      <w:r w:rsidRPr="002029AF">
        <w:rPr>
          <w:color w:val="auto"/>
        </w:rPr>
        <w:t>these</w:t>
      </w:r>
      <w:r w:rsidR="000A5329" w:rsidRPr="002029AF">
        <w:rPr>
          <w:color w:val="auto"/>
        </w:rPr>
        <w:t xml:space="preserve"> </w:t>
      </w:r>
      <w:r w:rsidRPr="002029AF">
        <w:rPr>
          <w:color w:val="auto"/>
        </w:rPr>
        <w:t>indices</w:t>
      </w:r>
      <w:r w:rsidR="000A5329" w:rsidRPr="002029AF">
        <w:rPr>
          <w:color w:val="auto"/>
        </w:rPr>
        <w:t xml:space="preserve"> </w:t>
      </w:r>
      <w:r w:rsidRPr="002029AF">
        <w:rPr>
          <w:color w:val="auto"/>
        </w:rPr>
        <w:t>are</w:t>
      </w:r>
      <w:r w:rsidR="000A5329" w:rsidRPr="002029AF">
        <w:rPr>
          <w:color w:val="auto"/>
        </w:rPr>
        <w:t xml:space="preserve"> </w:t>
      </w:r>
      <w:r w:rsidRPr="002029AF">
        <w:rPr>
          <w:color w:val="auto"/>
        </w:rPr>
        <w:t>applicable</w:t>
      </w:r>
      <w:r w:rsidR="000A5329" w:rsidRPr="002029AF">
        <w:rPr>
          <w:color w:val="auto"/>
        </w:rPr>
        <w:t xml:space="preserve"> </w:t>
      </w:r>
      <w:r w:rsidRPr="002029AF">
        <w:rPr>
          <w:color w:val="auto"/>
        </w:rPr>
        <w:t>at</w:t>
      </w:r>
      <w:r w:rsidR="000A5329" w:rsidRPr="002029AF">
        <w:rPr>
          <w:color w:val="auto"/>
        </w:rPr>
        <w:t xml:space="preserve"> </w:t>
      </w:r>
      <w:r w:rsidRPr="002029AF">
        <w:rPr>
          <w:color w:val="auto"/>
        </w:rPr>
        <w:t>30</w:t>
      </w:r>
      <w:r w:rsidR="000A5329" w:rsidRPr="002029AF">
        <w:rPr>
          <w:color w:val="auto"/>
        </w:rPr>
        <w:t xml:space="preserve"> </w:t>
      </w:r>
      <w:r w:rsidRPr="002029AF">
        <w:rPr>
          <w:color w:val="auto"/>
        </w:rPr>
        <w:t>June</w:t>
      </w:r>
      <w:r w:rsidR="000A5329" w:rsidRPr="002029AF">
        <w:rPr>
          <w:color w:val="auto"/>
        </w:rPr>
        <w:t xml:space="preserve"> </w:t>
      </w:r>
      <w:r w:rsidRPr="002029AF">
        <w:rPr>
          <w:color w:val="auto"/>
        </w:rPr>
        <w:t>2020,</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fair</w:t>
      </w:r>
      <w:r w:rsidR="000A5329" w:rsidRPr="002029AF">
        <w:rPr>
          <w:color w:val="auto"/>
        </w:rPr>
        <w:t xml:space="preserve"> </w:t>
      </w:r>
      <w:r w:rsidRPr="002029AF">
        <w:rPr>
          <w:color w:val="auto"/>
        </w:rPr>
        <w:t>value</w:t>
      </w:r>
      <w:r w:rsidR="000A5329" w:rsidRPr="002029AF">
        <w:rPr>
          <w:color w:val="auto"/>
        </w:rPr>
        <w:t xml:space="preserve"> </w:t>
      </w:r>
      <w:r w:rsidRPr="002029AF">
        <w:rPr>
          <w:color w:val="auto"/>
        </w:rPr>
        <w:t>of</w:t>
      </w:r>
      <w:r w:rsidR="000A5329" w:rsidRPr="002029AF">
        <w:rPr>
          <w:color w:val="auto"/>
        </w:rPr>
        <w:t xml:space="preserve"> </w:t>
      </w:r>
      <w:r w:rsidRPr="002029AF">
        <w:rPr>
          <w:color w:val="auto"/>
        </w:rPr>
        <w:t>land</w:t>
      </w:r>
      <w:r w:rsidR="000A5329" w:rsidRPr="002029AF">
        <w:rPr>
          <w:color w:val="auto"/>
        </w:rPr>
        <w:t xml:space="preserve"> </w:t>
      </w:r>
      <w:r w:rsidRPr="002029AF">
        <w:rPr>
          <w:color w:val="auto"/>
        </w:rPr>
        <w:t>and</w:t>
      </w:r>
      <w:r w:rsidR="000A5329" w:rsidRPr="002029AF">
        <w:rPr>
          <w:color w:val="auto"/>
        </w:rPr>
        <w:t xml:space="preserve"> </w:t>
      </w:r>
      <w:r w:rsidRPr="002029AF">
        <w:rPr>
          <w:color w:val="auto"/>
        </w:rPr>
        <w:t>buildings</w:t>
      </w:r>
      <w:r w:rsidR="000A5329" w:rsidRPr="002029AF">
        <w:rPr>
          <w:color w:val="auto"/>
        </w:rPr>
        <w:t xml:space="preserve"> </w:t>
      </w:r>
      <w:r w:rsidRPr="002029AF">
        <w:rPr>
          <w:color w:val="auto"/>
        </w:rPr>
        <w:t>will</w:t>
      </w:r>
      <w:r w:rsidR="000A5329" w:rsidRPr="002029AF">
        <w:rPr>
          <w:color w:val="auto"/>
        </w:rPr>
        <w:t xml:space="preserve"> </w:t>
      </w:r>
      <w:r w:rsidRPr="002029AF">
        <w:rPr>
          <w:color w:val="auto"/>
        </w:rPr>
        <w:t>continue</w:t>
      </w:r>
      <w:r w:rsidR="000A5329" w:rsidRPr="002029AF">
        <w:rPr>
          <w:color w:val="auto"/>
        </w:rPr>
        <w:t xml:space="preserve"> </w:t>
      </w:r>
      <w:r w:rsidRPr="002029AF">
        <w:rPr>
          <w:color w:val="auto"/>
        </w:rPr>
        <w:t>to</w:t>
      </w:r>
      <w:r w:rsidR="000A5329" w:rsidRPr="002029AF">
        <w:rPr>
          <w:color w:val="auto"/>
        </w:rPr>
        <w:t xml:space="preserve"> </w:t>
      </w:r>
      <w:r w:rsidRPr="002029AF">
        <w:rPr>
          <w:color w:val="auto"/>
        </w:rPr>
        <w:t>be</w:t>
      </w:r>
      <w:r w:rsidR="000A5329" w:rsidRPr="002029AF">
        <w:rPr>
          <w:color w:val="auto"/>
        </w:rPr>
        <w:t xml:space="preserve"> </w:t>
      </w:r>
      <w:r w:rsidRPr="002029AF">
        <w:rPr>
          <w:color w:val="auto"/>
        </w:rPr>
        <w:t>subjected</w:t>
      </w:r>
      <w:r w:rsidR="000A5329" w:rsidRPr="002029AF">
        <w:rPr>
          <w:color w:val="auto"/>
        </w:rPr>
        <w:t xml:space="preserve"> </w:t>
      </w:r>
      <w:r w:rsidRPr="002029AF">
        <w:rPr>
          <w:color w:val="auto"/>
        </w:rPr>
        <w:t>to</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impacts</w:t>
      </w:r>
      <w:r w:rsidR="000A5329" w:rsidRPr="002029AF">
        <w:rPr>
          <w:color w:val="auto"/>
        </w:rPr>
        <w:t xml:space="preserve"> </w:t>
      </w:r>
      <w:r w:rsidRPr="002029AF">
        <w:rPr>
          <w:color w:val="auto"/>
        </w:rPr>
        <w:t>of</w:t>
      </w:r>
      <w:r w:rsidR="000A5329" w:rsidRPr="002029AF">
        <w:rPr>
          <w:color w:val="auto"/>
        </w:rPr>
        <w:t xml:space="preserve"> </w:t>
      </w:r>
      <w:r w:rsidRPr="002029AF">
        <w:rPr>
          <w:color w:val="auto"/>
        </w:rPr>
        <w:t>coronavirus</w:t>
      </w:r>
      <w:r w:rsidR="000A5329" w:rsidRPr="002029AF">
        <w:rPr>
          <w:color w:val="auto"/>
        </w:rPr>
        <w:t xml:space="preserve"> </w:t>
      </w:r>
      <w:r w:rsidRPr="002029AF">
        <w:rPr>
          <w:color w:val="auto"/>
        </w:rPr>
        <w:t>(COVID-19)</w:t>
      </w:r>
      <w:r w:rsidR="000A5329" w:rsidRPr="002029AF">
        <w:rPr>
          <w:color w:val="auto"/>
        </w:rPr>
        <w:t xml:space="preserve"> </w:t>
      </w:r>
      <w:r w:rsidRPr="002029AF">
        <w:rPr>
          <w:color w:val="auto"/>
        </w:rPr>
        <w:t>in</w:t>
      </w:r>
      <w:r w:rsidR="000A5329" w:rsidRPr="002029AF">
        <w:rPr>
          <w:color w:val="auto"/>
        </w:rPr>
        <w:t xml:space="preserve"> </w:t>
      </w:r>
      <w:r w:rsidRPr="002029AF">
        <w:rPr>
          <w:color w:val="auto"/>
        </w:rPr>
        <w:t>future</w:t>
      </w:r>
      <w:r w:rsidR="000A5329" w:rsidRPr="002029AF">
        <w:rPr>
          <w:color w:val="auto"/>
        </w:rPr>
        <w:t xml:space="preserve"> </w:t>
      </w:r>
      <w:r w:rsidRPr="002029AF">
        <w:rPr>
          <w:color w:val="auto"/>
        </w:rPr>
        <w:t>accounting</w:t>
      </w:r>
      <w:r w:rsidR="000A5329" w:rsidRPr="002029AF">
        <w:rPr>
          <w:color w:val="auto"/>
        </w:rPr>
        <w:t xml:space="preserve"> </w:t>
      </w:r>
      <w:r w:rsidRPr="002029AF">
        <w:rPr>
          <w:color w:val="auto"/>
        </w:rPr>
        <w:t>periods.</w:t>
      </w:r>
    </w:p>
    <w:p w14:paraId="513CAAE9" w14:textId="4DF0720D" w:rsidR="00087B91" w:rsidRPr="002029AF" w:rsidRDefault="00087B91" w:rsidP="00087B91">
      <w:pPr>
        <w:pStyle w:val="ARfinbody"/>
        <w:rPr>
          <w:color w:val="auto"/>
        </w:rPr>
      </w:pPr>
      <w:r w:rsidRPr="002029AF">
        <w:rPr>
          <w:color w:val="auto"/>
        </w:rPr>
        <w:t>As</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accumulative</w:t>
      </w:r>
      <w:r w:rsidR="000A5329" w:rsidRPr="002029AF">
        <w:rPr>
          <w:color w:val="auto"/>
        </w:rPr>
        <w:t xml:space="preserve"> </w:t>
      </w:r>
      <w:r w:rsidRPr="002029AF">
        <w:rPr>
          <w:color w:val="auto"/>
        </w:rPr>
        <w:t>movement</w:t>
      </w:r>
      <w:r w:rsidR="000A5329" w:rsidRPr="002029AF">
        <w:rPr>
          <w:color w:val="auto"/>
        </w:rPr>
        <w:t xml:space="preserve"> </w:t>
      </w:r>
      <w:r w:rsidRPr="002029AF">
        <w:rPr>
          <w:color w:val="auto"/>
        </w:rPr>
        <w:t>was</w:t>
      </w:r>
      <w:r w:rsidR="000A5329" w:rsidRPr="002029AF">
        <w:rPr>
          <w:color w:val="auto"/>
        </w:rPr>
        <w:t xml:space="preserve"> </w:t>
      </w:r>
      <w:r w:rsidRPr="002029AF">
        <w:rPr>
          <w:color w:val="auto"/>
        </w:rPr>
        <w:t>less</w:t>
      </w:r>
      <w:r w:rsidR="000A5329" w:rsidRPr="002029AF">
        <w:rPr>
          <w:color w:val="auto"/>
        </w:rPr>
        <w:t xml:space="preserve"> </w:t>
      </w:r>
      <w:r w:rsidRPr="002029AF">
        <w:rPr>
          <w:color w:val="auto"/>
        </w:rPr>
        <w:t>than</w:t>
      </w:r>
      <w:r w:rsidR="000A5329" w:rsidRPr="002029AF">
        <w:rPr>
          <w:color w:val="auto"/>
        </w:rPr>
        <w:t xml:space="preserve"> </w:t>
      </w:r>
      <w:r w:rsidRPr="002029AF">
        <w:rPr>
          <w:color w:val="auto"/>
        </w:rPr>
        <w:t>10%</w:t>
      </w:r>
      <w:r w:rsidR="000A5329" w:rsidRPr="002029AF">
        <w:rPr>
          <w:color w:val="auto"/>
        </w:rPr>
        <w:t xml:space="preserve"> </w:t>
      </w:r>
      <w:r w:rsidRPr="002029AF">
        <w:rPr>
          <w:color w:val="auto"/>
        </w:rPr>
        <w:t>for</w:t>
      </w:r>
      <w:r w:rsidR="000A5329" w:rsidRPr="002029AF">
        <w:rPr>
          <w:color w:val="auto"/>
        </w:rPr>
        <w:t xml:space="preserve"> </w:t>
      </w:r>
      <w:r w:rsidRPr="002029AF">
        <w:rPr>
          <w:color w:val="auto"/>
        </w:rPr>
        <w:t>land</w:t>
      </w:r>
      <w:r w:rsidR="000A5329" w:rsidRPr="002029AF">
        <w:rPr>
          <w:color w:val="auto"/>
        </w:rPr>
        <w:t xml:space="preserve"> </w:t>
      </w:r>
      <w:r w:rsidRPr="002029AF">
        <w:rPr>
          <w:color w:val="auto"/>
        </w:rPr>
        <w:t>and</w:t>
      </w:r>
      <w:r w:rsidR="000A5329" w:rsidRPr="002029AF">
        <w:rPr>
          <w:color w:val="auto"/>
        </w:rPr>
        <w:t xml:space="preserve"> </w:t>
      </w:r>
      <w:r w:rsidRPr="002029AF">
        <w:rPr>
          <w:color w:val="auto"/>
        </w:rPr>
        <w:t>buildings,</w:t>
      </w:r>
      <w:r w:rsidR="000A5329" w:rsidRPr="002029AF">
        <w:rPr>
          <w:color w:val="auto"/>
        </w:rPr>
        <w:t xml:space="preserve"> </w:t>
      </w:r>
      <w:r w:rsidRPr="002029AF">
        <w:rPr>
          <w:color w:val="auto"/>
        </w:rPr>
        <w:t>no</w:t>
      </w:r>
      <w:r w:rsidR="000A5329" w:rsidRPr="002029AF">
        <w:rPr>
          <w:color w:val="auto"/>
        </w:rPr>
        <w:t xml:space="preserve"> </w:t>
      </w:r>
      <w:r w:rsidRPr="002029AF">
        <w:rPr>
          <w:color w:val="auto"/>
        </w:rPr>
        <w:t>managerial</w:t>
      </w:r>
      <w:r w:rsidR="000A5329" w:rsidRPr="002029AF">
        <w:rPr>
          <w:color w:val="auto"/>
        </w:rPr>
        <w:t xml:space="preserve"> </w:t>
      </w:r>
      <w:r w:rsidRPr="002029AF">
        <w:rPr>
          <w:color w:val="auto"/>
        </w:rPr>
        <w:t>revaluation</w:t>
      </w:r>
      <w:r w:rsidR="000A5329" w:rsidRPr="002029AF">
        <w:rPr>
          <w:color w:val="auto"/>
        </w:rPr>
        <w:t xml:space="preserve"> </w:t>
      </w:r>
      <w:r w:rsidRPr="002029AF">
        <w:rPr>
          <w:color w:val="auto"/>
        </w:rPr>
        <w:t>was</w:t>
      </w:r>
      <w:r w:rsidR="000A5329" w:rsidRPr="002029AF">
        <w:rPr>
          <w:color w:val="auto"/>
        </w:rPr>
        <w:t xml:space="preserve"> </w:t>
      </w:r>
      <w:r w:rsidRPr="002029AF">
        <w:rPr>
          <w:color w:val="auto"/>
        </w:rPr>
        <w:t>required.</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land</w:t>
      </w:r>
      <w:r w:rsidR="000A5329" w:rsidRPr="002029AF">
        <w:rPr>
          <w:color w:val="auto"/>
        </w:rPr>
        <w:t xml:space="preserve"> </w:t>
      </w:r>
      <w:r w:rsidRPr="002029AF">
        <w:rPr>
          <w:color w:val="auto"/>
        </w:rPr>
        <w:t>and</w:t>
      </w:r>
      <w:r w:rsidR="000A5329" w:rsidRPr="002029AF">
        <w:rPr>
          <w:color w:val="auto"/>
        </w:rPr>
        <w:t xml:space="preserve"> </w:t>
      </w:r>
      <w:r w:rsidRPr="002029AF">
        <w:rPr>
          <w:color w:val="auto"/>
        </w:rPr>
        <w:t>building</w:t>
      </w:r>
      <w:r w:rsidR="000A5329" w:rsidRPr="002029AF">
        <w:rPr>
          <w:color w:val="auto"/>
        </w:rPr>
        <w:t xml:space="preserve"> </w:t>
      </w:r>
      <w:r w:rsidRPr="002029AF">
        <w:rPr>
          <w:color w:val="auto"/>
        </w:rPr>
        <w:t>balances</w:t>
      </w:r>
      <w:r w:rsidR="000A5329" w:rsidRPr="002029AF">
        <w:rPr>
          <w:color w:val="auto"/>
        </w:rPr>
        <w:t xml:space="preserve"> </w:t>
      </w:r>
      <w:r w:rsidRPr="002029AF">
        <w:rPr>
          <w:color w:val="auto"/>
        </w:rPr>
        <w:t>are</w:t>
      </w:r>
      <w:r w:rsidR="000A5329" w:rsidRPr="002029AF">
        <w:rPr>
          <w:color w:val="auto"/>
        </w:rPr>
        <w:t xml:space="preserve"> </w:t>
      </w:r>
      <w:r w:rsidRPr="002029AF">
        <w:rPr>
          <w:color w:val="auto"/>
        </w:rPr>
        <w:t>considered</w:t>
      </w:r>
      <w:r w:rsidR="000A5329" w:rsidRPr="002029AF">
        <w:rPr>
          <w:color w:val="auto"/>
        </w:rPr>
        <w:t xml:space="preserve"> </w:t>
      </w:r>
      <w:r w:rsidRPr="002029AF">
        <w:rPr>
          <w:color w:val="auto"/>
        </w:rPr>
        <w:t>to</w:t>
      </w:r>
      <w:r w:rsidR="000A5329" w:rsidRPr="002029AF">
        <w:rPr>
          <w:color w:val="auto"/>
        </w:rPr>
        <w:t xml:space="preserve"> </w:t>
      </w:r>
      <w:r w:rsidRPr="002029AF">
        <w:rPr>
          <w:color w:val="auto"/>
        </w:rPr>
        <w:t>be</w:t>
      </w:r>
      <w:r w:rsidR="000A5329" w:rsidRPr="002029AF">
        <w:rPr>
          <w:color w:val="auto"/>
        </w:rPr>
        <w:t xml:space="preserve"> </w:t>
      </w:r>
      <w:r w:rsidRPr="002029AF">
        <w:rPr>
          <w:color w:val="auto"/>
        </w:rPr>
        <w:t>sensitive</w:t>
      </w:r>
      <w:r w:rsidR="000A5329" w:rsidRPr="002029AF">
        <w:rPr>
          <w:color w:val="auto"/>
        </w:rPr>
        <w:t xml:space="preserve"> </w:t>
      </w:r>
      <w:r w:rsidRPr="002029AF">
        <w:rPr>
          <w:color w:val="auto"/>
        </w:rPr>
        <w:t>to</w:t>
      </w:r>
      <w:r w:rsidR="000A5329" w:rsidRPr="002029AF">
        <w:rPr>
          <w:color w:val="auto"/>
        </w:rPr>
        <w:t xml:space="preserve"> </w:t>
      </w:r>
      <w:r w:rsidRPr="002029AF">
        <w:rPr>
          <w:color w:val="auto"/>
        </w:rPr>
        <w:t>market</w:t>
      </w:r>
      <w:r w:rsidR="000A5329" w:rsidRPr="002029AF">
        <w:rPr>
          <w:color w:val="auto"/>
        </w:rPr>
        <w:t xml:space="preserve"> </w:t>
      </w:r>
      <w:r w:rsidRPr="002029AF">
        <w:rPr>
          <w:color w:val="auto"/>
        </w:rPr>
        <w:t>conditions.</w:t>
      </w:r>
      <w:r w:rsidR="000A5329" w:rsidRPr="002029AF">
        <w:rPr>
          <w:color w:val="auto"/>
        </w:rPr>
        <w:t xml:space="preserve"> </w:t>
      </w:r>
      <w:r w:rsidRPr="002029AF">
        <w:rPr>
          <w:color w:val="auto"/>
        </w:rPr>
        <w:t>To</w:t>
      </w:r>
      <w:r w:rsidR="000A5329" w:rsidRPr="002029AF">
        <w:rPr>
          <w:color w:val="auto"/>
        </w:rPr>
        <w:t xml:space="preserve"> </w:t>
      </w:r>
      <w:r w:rsidRPr="002029AF">
        <w:rPr>
          <w:color w:val="auto"/>
        </w:rPr>
        <w:t>trigger</w:t>
      </w:r>
      <w:r w:rsidR="000A5329" w:rsidRPr="002029AF">
        <w:rPr>
          <w:color w:val="auto"/>
        </w:rPr>
        <w:t xml:space="preserve"> </w:t>
      </w:r>
      <w:r w:rsidRPr="002029AF">
        <w:rPr>
          <w:color w:val="auto"/>
        </w:rPr>
        <w:t>a</w:t>
      </w:r>
      <w:r w:rsidR="000A5329" w:rsidRPr="002029AF">
        <w:rPr>
          <w:color w:val="auto"/>
        </w:rPr>
        <w:t xml:space="preserve"> </w:t>
      </w:r>
      <w:r w:rsidRPr="002029AF">
        <w:rPr>
          <w:color w:val="auto"/>
        </w:rPr>
        <w:t>managerial</w:t>
      </w:r>
      <w:r w:rsidR="000A5329" w:rsidRPr="002029AF">
        <w:rPr>
          <w:color w:val="auto"/>
        </w:rPr>
        <w:t xml:space="preserve"> </w:t>
      </w:r>
      <w:r w:rsidRPr="002029AF">
        <w:rPr>
          <w:color w:val="auto"/>
        </w:rPr>
        <w:t>revaluation,</w:t>
      </w:r>
      <w:r w:rsidR="000A5329" w:rsidRPr="002029AF">
        <w:rPr>
          <w:color w:val="auto"/>
        </w:rPr>
        <w:t xml:space="preserve"> </w:t>
      </w:r>
      <w:r w:rsidRPr="002029AF">
        <w:rPr>
          <w:color w:val="auto"/>
        </w:rPr>
        <w:t>a</w:t>
      </w:r>
      <w:r w:rsidR="000A5329" w:rsidRPr="002029AF">
        <w:rPr>
          <w:color w:val="auto"/>
        </w:rPr>
        <w:t xml:space="preserve"> </w:t>
      </w:r>
      <w:r w:rsidRPr="002029AF">
        <w:rPr>
          <w:color w:val="auto"/>
        </w:rPr>
        <w:t>decrease</w:t>
      </w:r>
      <w:r w:rsidR="000A5329" w:rsidRPr="002029AF">
        <w:rPr>
          <w:color w:val="auto"/>
        </w:rPr>
        <w:t xml:space="preserve"> </w:t>
      </w:r>
      <w:r w:rsidRPr="002029AF">
        <w:rPr>
          <w:color w:val="auto"/>
        </w:rPr>
        <w:t>in</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land</w:t>
      </w:r>
      <w:r w:rsidR="000A5329" w:rsidRPr="002029AF">
        <w:rPr>
          <w:color w:val="auto"/>
        </w:rPr>
        <w:t xml:space="preserve"> </w:t>
      </w:r>
      <w:r w:rsidRPr="002029AF">
        <w:rPr>
          <w:color w:val="auto"/>
        </w:rPr>
        <w:t>indices</w:t>
      </w:r>
      <w:r w:rsidR="000A5329" w:rsidRPr="002029AF">
        <w:rPr>
          <w:color w:val="auto"/>
        </w:rPr>
        <w:t xml:space="preserve"> </w:t>
      </w:r>
      <w:r w:rsidRPr="002029AF">
        <w:rPr>
          <w:color w:val="auto"/>
        </w:rPr>
        <w:t>of</w:t>
      </w:r>
      <w:r w:rsidR="000A5329" w:rsidRPr="002029AF">
        <w:rPr>
          <w:color w:val="auto"/>
        </w:rPr>
        <w:t xml:space="preserve"> </w:t>
      </w:r>
      <w:r w:rsidRPr="002029AF">
        <w:rPr>
          <w:color w:val="auto"/>
        </w:rPr>
        <w:t>19.4%</w:t>
      </w:r>
      <w:r w:rsidR="000A5329" w:rsidRPr="002029AF">
        <w:rPr>
          <w:color w:val="auto"/>
        </w:rPr>
        <w:t xml:space="preserve"> </w:t>
      </w:r>
      <w:r w:rsidRPr="002029AF">
        <w:rPr>
          <w:color w:val="auto"/>
        </w:rPr>
        <w:t>and</w:t>
      </w:r>
      <w:r w:rsidR="000A5329" w:rsidRPr="002029AF">
        <w:rPr>
          <w:color w:val="auto"/>
        </w:rPr>
        <w:t xml:space="preserve"> </w:t>
      </w:r>
      <w:r w:rsidRPr="002029AF">
        <w:rPr>
          <w:color w:val="auto"/>
        </w:rPr>
        <w:t>a</w:t>
      </w:r>
      <w:r w:rsidR="000A5329" w:rsidRPr="002029AF">
        <w:rPr>
          <w:color w:val="auto"/>
        </w:rPr>
        <w:t xml:space="preserve"> </w:t>
      </w:r>
      <w:r w:rsidRPr="002029AF">
        <w:rPr>
          <w:color w:val="auto"/>
        </w:rPr>
        <w:t>decrease</w:t>
      </w:r>
      <w:r w:rsidR="000A5329" w:rsidRPr="002029AF">
        <w:rPr>
          <w:color w:val="auto"/>
        </w:rPr>
        <w:t xml:space="preserve"> </w:t>
      </w:r>
      <w:r w:rsidRPr="002029AF">
        <w:rPr>
          <w:color w:val="auto"/>
        </w:rPr>
        <w:t>in</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building</w:t>
      </w:r>
      <w:r w:rsidR="000A5329" w:rsidRPr="002029AF">
        <w:rPr>
          <w:color w:val="auto"/>
        </w:rPr>
        <w:t xml:space="preserve"> </w:t>
      </w:r>
      <w:r w:rsidRPr="002029AF">
        <w:rPr>
          <w:color w:val="auto"/>
        </w:rPr>
        <w:t>indices</w:t>
      </w:r>
      <w:r w:rsidR="000A5329" w:rsidRPr="002029AF">
        <w:rPr>
          <w:color w:val="auto"/>
        </w:rPr>
        <w:t xml:space="preserve"> </w:t>
      </w:r>
      <w:r w:rsidRPr="002029AF">
        <w:rPr>
          <w:color w:val="auto"/>
        </w:rPr>
        <w:t>of</w:t>
      </w:r>
      <w:r w:rsidR="000A5329" w:rsidRPr="002029AF">
        <w:rPr>
          <w:color w:val="auto"/>
        </w:rPr>
        <w:t xml:space="preserve"> </w:t>
      </w:r>
      <w:r w:rsidRPr="002029AF">
        <w:rPr>
          <w:color w:val="auto"/>
        </w:rPr>
        <w:t>12.1%</w:t>
      </w:r>
      <w:r w:rsidR="000A5329" w:rsidRPr="002029AF">
        <w:rPr>
          <w:color w:val="auto"/>
        </w:rPr>
        <w:t xml:space="preserve"> </w:t>
      </w:r>
      <w:r w:rsidRPr="002029AF">
        <w:rPr>
          <w:color w:val="auto"/>
        </w:rPr>
        <w:t>would</w:t>
      </w:r>
      <w:r w:rsidR="000A5329" w:rsidRPr="002029AF">
        <w:rPr>
          <w:color w:val="auto"/>
        </w:rPr>
        <w:t xml:space="preserve"> </w:t>
      </w:r>
      <w:r w:rsidRPr="002029AF">
        <w:rPr>
          <w:color w:val="auto"/>
        </w:rPr>
        <w:t>be</w:t>
      </w:r>
      <w:r w:rsidR="000A5329" w:rsidRPr="002029AF">
        <w:rPr>
          <w:color w:val="auto"/>
        </w:rPr>
        <w:t xml:space="preserve"> </w:t>
      </w:r>
      <w:r w:rsidRPr="002029AF">
        <w:rPr>
          <w:color w:val="auto"/>
        </w:rPr>
        <w:t>required.</w:t>
      </w:r>
    </w:p>
    <w:p w14:paraId="1F757FE4" w14:textId="3BB2F2A5" w:rsidR="00087B91" w:rsidRPr="002029AF" w:rsidRDefault="00087B91" w:rsidP="00087B91">
      <w:pPr>
        <w:pStyle w:val="ARfinbody"/>
      </w:pPr>
      <w:r w:rsidRPr="002029AF">
        <w:rPr>
          <w:rStyle w:val="Strong"/>
        </w:rPr>
        <w:t>Vehicles</w:t>
      </w:r>
      <w:r w:rsidR="000A5329" w:rsidRPr="002029AF">
        <w:t xml:space="preserve"> </w:t>
      </w:r>
      <w:r w:rsidRPr="002029AF">
        <w:t>are</w:t>
      </w:r>
      <w:r w:rsidR="000A5329" w:rsidRPr="002029AF">
        <w:t xml:space="preserve"> </w:t>
      </w:r>
      <w:r w:rsidRPr="002029AF">
        <w:t>valued</w:t>
      </w:r>
      <w:r w:rsidR="000A5329" w:rsidRPr="002029AF">
        <w:t xml:space="preserve"> </w:t>
      </w:r>
      <w:r w:rsidRPr="002029AF">
        <w:t>using</w:t>
      </w:r>
      <w:r w:rsidR="000A5329" w:rsidRPr="002029AF">
        <w:t xml:space="preserve"> </w:t>
      </w:r>
      <w:r w:rsidRPr="002029AF">
        <w:t>the</w:t>
      </w:r>
      <w:r w:rsidR="000A5329" w:rsidRPr="002029AF">
        <w:t xml:space="preserve"> </w:t>
      </w:r>
      <w:r w:rsidRPr="002029AF">
        <w:t>current</w:t>
      </w:r>
      <w:r w:rsidR="000A5329" w:rsidRPr="002029AF">
        <w:t xml:space="preserve"> </w:t>
      </w:r>
      <w:r w:rsidRPr="002029AF">
        <w:t>replacement</w:t>
      </w:r>
      <w:r w:rsidR="000A5329" w:rsidRPr="002029AF">
        <w:t xml:space="preserve"> </w:t>
      </w:r>
      <w:r w:rsidRPr="002029AF">
        <w:t>cost</w:t>
      </w:r>
      <w:r w:rsidR="000A5329" w:rsidRPr="002029AF">
        <w:t xml:space="preserve"> </w:t>
      </w:r>
      <w:r w:rsidRPr="002029AF">
        <w:t>method.</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acquires</w:t>
      </w:r>
      <w:r w:rsidR="000A5329" w:rsidRPr="002029AF">
        <w:t xml:space="preserve"> </w:t>
      </w:r>
      <w:r w:rsidRPr="002029AF">
        <w:t>new</w:t>
      </w:r>
      <w:r w:rsidR="000A5329" w:rsidRPr="002029AF">
        <w:t xml:space="preserve"> </w:t>
      </w:r>
      <w:r w:rsidRPr="002029AF">
        <w:t>vehicles</w:t>
      </w:r>
      <w:r w:rsidR="000A5329" w:rsidRPr="002029AF">
        <w:t xml:space="preserve"> </w:t>
      </w:r>
      <w:r w:rsidRPr="002029AF">
        <w:t>and</w:t>
      </w:r>
      <w:r w:rsidR="000A5329" w:rsidRPr="002029AF">
        <w:t xml:space="preserve"> </w:t>
      </w:r>
      <w:r w:rsidRPr="002029AF">
        <w:t>at</w:t>
      </w:r>
      <w:r w:rsidR="000A5329" w:rsidRPr="002029AF">
        <w:t xml:space="preserve"> </w:t>
      </w:r>
      <w:r w:rsidRPr="002029AF">
        <w:t>times</w:t>
      </w:r>
      <w:r w:rsidR="000A5329" w:rsidRPr="002029AF">
        <w:t xml:space="preserve"> </w:t>
      </w:r>
      <w:r w:rsidRPr="002029AF">
        <w:t>disposes</w:t>
      </w:r>
      <w:r w:rsidR="000A5329" w:rsidRPr="002029AF">
        <w:t xml:space="preserve"> </w:t>
      </w:r>
      <w:r w:rsidRPr="002029AF">
        <w:t>of</w:t>
      </w:r>
      <w:r w:rsidR="000A5329" w:rsidRPr="002029AF">
        <w:t xml:space="preserve"> </w:t>
      </w:r>
      <w:r w:rsidRPr="002029AF">
        <w:t>them</w:t>
      </w:r>
      <w:r w:rsidR="000A5329" w:rsidRPr="002029AF">
        <w:t xml:space="preserve"> </w:t>
      </w:r>
      <w:r w:rsidRPr="002029AF">
        <w:t>before</w:t>
      </w:r>
      <w:r w:rsidR="000A5329" w:rsidRPr="002029AF">
        <w:t xml:space="preserve"> </w:t>
      </w:r>
      <w:r w:rsidRPr="002029AF">
        <w:t>the</w:t>
      </w:r>
      <w:r w:rsidR="000A5329" w:rsidRPr="002029AF">
        <w:t xml:space="preserve"> </w:t>
      </w:r>
      <w:r w:rsidRPr="002029AF">
        <w:t>end</w:t>
      </w:r>
      <w:r w:rsidR="000A5329" w:rsidRPr="002029AF">
        <w:t xml:space="preserve"> </w:t>
      </w:r>
      <w:r w:rsidRPr="002029AF">
        <w:t>of</w:t>
      </w:r>
      <w:r w:rsidR="000A5329" w:rsidRPr="002029AF">
        <w:t xml:space="preserve"> </w:t>
      </w:r>
      <w:r w:rsidRPr="002029AF">
        <w:t>their</w:t>
      </w:r>
      <w:r w:rsidR="000A5329" w:rsidRPr="002029AF">
        <w:t xml:space="preserve"> </w:t>
      </w:r>
      <w:r w:rsidRPr="002029AF">
        <w:t>economic</w:t>
      </w:r>
      <w:r w:rsidR="000A5329" w:rsidRPr="002029AF">
        <w:t xml:space="preserve"> </w:t>
      </w:r>
      <w:r w:rsidRPr="002029AF">
        <w:t>life.</w:t>
      </w:r>
      <w:r w:rsidR="000A5329" w:rsidRPr="002029AF">
        <w:t xml:space="preserve"> </w:t>
      </w:r>
      <w:r w:rsidRPr="002029AF">
        <w:t>The</w:t>
      </w:r>
      <w:r w:rsidR="000A5329" w:rsidRPr="002029AF">
        <w:t xml:space="preserve"> </w:t>
      </w:r>
      <w:r w:rsidRPr="002029AF">
        <w:t>process</w:t>
      </w:r>
      <w:r w:rsidR="000A5329" w:rsidRPr="002029AF">
        <w:t xml:space="preserve"> </w:t>
      </w:r>
      <w:r w:rsidRPr="002029AF">
        <w:t>of</w:t>
      </w:r>
      <w:r w:rsidR="000A5329" w:rsidRPr="002029AF">
        <w:t xml:space="preserve"> </w:t>
      </w:r>
      <w:r w:rsidRPr="002029AF">
        <w:t>acquisition,</w:t>
      </w:r>
      <w:r w:rsidR="000A5329" w:rsidRPr="002029AF">
        <w:t xml:space="preserve"> </w:t>
      </w:r>
      <w:r w:rsidRPr="002029AF">
        <w:t>use</w:t>
      </w:r>
      <w:r w:rsidR="000A5329" w:rsidRPr="002029AF">
        <w:t xml:space="preserve"> </w:t>
      </w:r>
      <w:r w:rsidRPr="002029AF">
        <w:t>and</w:t>
      </w:r>
      <w:r w:rsidR="000A5329" w:rsidRPr="002029AF">
        <w:t xml:space="preserve"> </w:t>
      </w:r>
      <w:r w:rsidRPr="002029AF">
        <w:t>disposal</w:t>
      </w:r>
      <w:r w:rsidR="000A5329" w:rsidRPr="002029AF">
        <w:t xml:space="preserve"> </w:t>
      </w:r>
      <w:r w:rsidRPr="002029AF">
        <w:t>in</w:t>
      </w:r>
      <w:r w:rsidR="000A5329" w:rsidRPr="002029AF">
        <w:t xml:space="preserve"> </w:t>
      </w:r>
      <w:r w:rsidRPr="002029AF">
        <w:t>the</w:t>
      </w:r>
      <w:r w:rsidR="000A5329" w:rsidRPr="002029AF">
        <w:t xml:space="preserve"> </w:t>
      </w:r>
      <w:r w:rsidRPr="002029AF">
        <w:t>market</w:t>
      </w:r>
      <w:r w:rsidR="000A5329" w:rsidRPr="002029AF">
        <w:t xml:space="preserve"> </w:t>
      </w:r>
      <w:r w:rsidRPr="002029AF">
        <w:t>is</w:t>
      </w:r>
      <w:r w:rsidR="000A5329" w:rsidRPr="002029AF">
        <w:t xml:space="preserve"> </w:t>
      </w:r>
      <w:r w:rsidRPr="002029AF">
        <w:t>managed</w:t>
      </w:r>
      <w:r w:rsidR="000A5329" w:rsidRPr="002029AF">
        <w:t xml:space="preserve"> </w:t>
      </w:r>
      <w:r w:rsidRPr="002029AF">
        <w:t>by</w:t>
      </w:r>
      <w:r w:rsidR="000A5329" w:rsidRPr="002029AF">
        <w:t xml:space="preserve"> </w:t>
      </w:r>
      <w:r w:rsidRPr="002029AF">
        <w:t>experienced</w:t>
      </w:r>
      <w:r w:rsidR="000A5329" w:rsidRPr="002029AF">
        <w:t xml:space="preserve"> </w:t>
      </w:r>
      <w:r w:rsidRPr="002029AF">
        <w:t>fleet</w:t>
      </w:r>
      <w:r w:rsidR="000A5329" w:rsidRPr="002029AF">
        <w:t xml:space="preserve"> </w:t>
      </w:r>
      <w:r w:rsidRPr="002029AF">
        <w:t>managers</w:t>
      </w:r>
      <w:r w:rsidR="000A5329" w:rsidRPr="002029AF">
        <w:t xml:space="preserve"> </w:t>
      </w:r>
      <w:r w:rsidRPr="002029AF">
        <w:t>in</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who</w:t>
      </w:r>
      <w:r w:rsidR="000A5329" w:rsidRPr="002029AF">
        <w:t xml:space="preserve"> </w:t>
      </w:r>
      <w:r w:rsidRPr="002029AF">
        <w:t>set</w:t>
      </w:r>
      <w:r w:rsidR="000A5329" w:rsidRPr="002029AF">
        <w:t xml:space="preserve"> </w:t>
      </w:r>
      <w:r w:rsidRPr="002029AF">
        <w:t>relevant</w:t>
      </w:r>
      <w:r w:rsidR="000A5329" w:rsidRPr="002029AF">
        <w:t xml:space="preserve"> </w:t>
      </w:r>
      <w:r w:rsidRPr="002029AF">
        <w:t>depreciation</w:t>
      </w:r>
      <w:r w:rsidR="000A5329" w:rsidRPr="002029AF">
        <w:t xml:space="preserve"> </w:t>
      </w:r>
      <w:r w:rsidRPr="002029AF">
        <w:t>rates</w:t>
      </w:r>
      <w:r w:rsidR="000A5329" w:rsidRPr="002029AF">
        <w:t xml:space="preserve"> </w:t>
      </w:r>
      <w:r w:rsidRPr="002029AF">
        <w:t>during</w:t>
      </w:r>
      <w:r w:rsidR="000A5329" w:rsidRPr="002029AF">
        <w:t xml:space="preserve"> </w:t>
      </w:r>
      <w:r w:rsidRPr="002029AF">
        <w:t>use</w:t>
      </w:r>
      <w:r w:rsidR="000A5329" w:rsidRPr="002029AF">
        <w:t xml:space="preserve"> </w:t>
      </w:r>
      <w:r w:rsidRPr="002029AF">
        <w:t>to</w:t>
      </w:r>
      <w:r w:rsidR="000A5329" w:rsidRPr="002029AF">
        <w:t xml:space="preserve"> </w:t>
      </w:r>
      <w:r w:rsidRPr="002029AF">
        <w:t>reflect</w:t>
      </w:r>
      <w:r w:rsidR="000A5329" w:rsidRPr="002029AF">
        <w:t xml:space="preserve"> </w:t>
      </w:r>
      <w:r w:rsidRPr="002029AF">
        <w:t>the</w:t>
      </w:r>
      <w:r w:rsidR="000A5329" w:rsidRPr="002029AF">
        <w:t xml:space="preserve"> </w:t>
      </w:r>
      <w:r w:rsidRPr="002029AF">
        <w:t>utilisation</w:t>
      </w:r>
      <w:r w:rsidR="000A5329" w:rsidRPr="002029AF">
        <w:t xml:space="preserve"> </w:t>
      </w:r>
      <w:r w:rsidRPr="002029AF">
        <w:t>of</w:t>
      </w:r>
      <w:r w:rsidR="000A5329" w:rsidRPr="002029AF">
        <w:t xml:space="preserve"> </w:t>
      </w:r>
      <w:r w:rsidRPr="002029AF">
        <w:t>the</w:t>
      </w:r>
      <w:r w:rsidR="000A5329" w:rsidRPr="002029AF">
        <w:t xml:space="preserve"> </w:t>
      </w:r>
      <w:r w:rsidRPr="002029AF">
        <w:t>vehicles.</w:t>
      </w:r>
    </w:p>
    <w:p w14:paraId="79B82019" w14:textId="23C9FD54" w:rsidR="00087B91" w:rsidRPr="002029AF" w:rsidRDefault="00087B91" w:rsidP="00087B91">
      <w:pPr>
        <w:pStyle w:val="ARfinbody"/>
      </w:pPr>
      <w:r w:rsidRPr="002029AF">
        <w:rPr>
          <w:rStyle w:val="Strong"/>
        </w:rPr>
        <w:t>Plant</w:t>
      </w:r>
      <w:r w:rsidR="000A5329" w:rsidRPr="002029AF">
        <w:rPr>
          <w:rStyle w:val="Strong"/>
        </w:rPr>
        <w:t xml:space="preserve"> </w:t>
      </w:r>
      <w:r w:rsidRPr="002029AF">
        <w:rPr>
          <w:rStyle w:val="Strong"/>
        </w:rPr>
        <w:t>and</w:t>
      </w:r>
      <w:r w:rsidR="000A5329" w:rsidRPr="002029AF">
        <w:rPr>
          <w:rStyle w:val="Strong"/>
        </w:rPr>
        <w:t xml:space="preserve"> </w:t>
      </w:r>
      <w:r w:rsidRPr="002029AF">
        <w:rPr>
          <w:rStyle w:val="Strong"/>
        </w:rPr>
        <w:t>equipment</w:t>
      </w:r>
      <w:r w:rsidR="000A5329" w:rsidRPr="002029AF">
        <w:t xml:space="preserve"> </w:t>
      </w:r>
      <w:r w:rsidRPr="002029AF">
        <w:t>is</w:t>
      </w:r>
      <w:r w:rsidR="000A5329" w:rsidRPr="002029AF">
        <w:t xml:space="preserve"> </w:t>
      </w:r>
      <w:r w:rsidRPr="002029AF">
        <w:t>held</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r w:rsidR="000A5329" w:rsidRPr="002029AF">
        <w:t xml:space="preserve"> </w:t>
      </w:r>
      <w:r w:rsidRPr="002029AF">
        <w:t>When</w:t>
      </w:r>
      <w:r w:rsidR="000A5329" w:rsidRPr="002029AF">
        <w:t xml:space="preserve"> </w:t>
      </w:r>
      <w:r w:rsidRPr="002029AF">
        <w:t>plant</w:t>
      </w:r>
      <w:r w:rsidR="000A5329" w:rsidRPr="002029AF">
        <w:t xml:space="preserve"> </w:t>
      </w:r>
      <w:r w:rsidRPr="002029AF">
        <w:t>and</w:t>
      </w:r>
      <w:r w:rsidR="000A5329" w:rsidRPr="002029AF">
        <w:t xml:space="preserve"> </w:t>
      </w:r>
      <w:r w:rsidRPr="002029AF">
        <w:t>equipment</w:t>
      </w:r>
      <w:r w:rsidR="000A5329" w:rsidRPr="002029AF">
        <w:t xml:space="preserve"> </w:t>
      </w:r>
      <w:r w:rsidRPr="002029AF">
        <w:t>is</w:t>
      </w:r>
      <w:r w:rsidR="000A5329" w:rsidRPr="002029AF">
        <w:t xml:space="preserve"> </w:t>
      </w:r>
      <w:r w:rsidRPr="002029AF">
        <w:t>specialised</w:t>
      </w:r>
      <w:r w:rsidR="000A5329" w:rsidRPr="002029AF">
        <w:t xml:space="preserve"> </w:t>
      </w:r>
      <w:r w:rsidRPr="002029AF">
        <w:t>in</w:t>
      </w:r>
      <w:r w:rsidR="000A5329" w:rsidRPr="002029AF">
        <w:t xml:space="preserve"> </w:t>
      </w:r>
      <w:r w:rsidRPr="002029AF">
        <w:t>use,</w:t>
      </w:r>
      <w:r w:rsidR="000A5329" w:rsidRPr="002029AF">
        <w:t xml:space="preserve"> </w:t>
      </w:r>
      <w:r w:rsidRPr="002029AF">
        <w:t>such</w:t>
      </w:r>
      <w:r w:rsidR="000A5329" w:rsidRPr="002029AF">
        <w:t xml:space="preserve"> </w:t>
      </w:r>
      <w:r w:rsidRPr="002029AF">
        <w:t>that</w:t>
      </w:r>
      <w:r w:rsidR="000A5329" w:rsidRPr="002029AF">
        <w:t xml:space="preserve"> </w:t>
      </w:r>
      <w:r w:rsidRPr="002029AF">
        <w:t>it</w:t>
      </w:r>
      <w:r w:rsidR="000A5329" w:rsidRPr="002029AF">
        <w:t xml:space="preserve"> </w:t>
      </w:r>
      <w:r w:rsidRPr="002029AF">
        <w:t>is</w:t>
      </w:r>
      <w:r w:rsidR="000A5329" w:rsidRPr="002029AF">
        <w:t xml:space="preserve"> </w:t>
      </w:r>
      <w:r w:rsidRPr="002029AF">
        <w:t>rarely</w:t>
      </w:r>
      <w:r w:rsidR="000A5329" w:rsidRPr="002029AF">
        <w:t xml:space="preserve"> </w:t>
      </w:r>
      <w:r w:rsidRPr="002029AF">
        <w:t>sold</w:t>
      </w:r>
      <w:r w:rsidR="000A5329" w:rsidRPr="002029AF">
        <w:t xml:space="preserve"> </w:t>
      </w:r>
      <w:r w:rsidRPr="002029AF">
        <w:t>other</w:t>
      </w:r>
      <w:r w:rsidR="000A5329" w:rsidRPr="002029AF">
        <w:t xml:space="preserve"> </w:t>
      </w:r>
      <w:r w:rsidRPr="002029AF">
        <w:t>than</w:t>
      </w:r>
      <w:r w:rsidR="000A5329" w:rsidRPr="002029AF">
        <w:t xml:space="preserve"> </w:t>
      </w:r>
      <w:r w:rsidRPr="002029AF">
        <w:t>as</w:t>
      </w:r>
      <w:r w:rsidR="000A5329" w:rsidRPr="002029AF">
        <w:t xml:space="preserve"> </w:t>
      </w:r>
      <w:r w:rsidRPr="002029AF">
        <w:t>part</w:t>
      </w:r>
      <w:r w:rsidR="000A5329" w:rsidRPr="002029AF">
        <w:t xml:space="preserve"> </w:t>
      </w:r>
      <w:r w:rsidRPr="002029AF">
        <w:t>of</w:t>
      </w:r>
      <w:r w:rsidR="000A5329" w:rsidRPr="002029AF">
        <w:t xml:space="preserve"> </w:t>
      </w:r>
      <w:r w:rsidRPr="002029AF">
        <w:t>a</w:t>
      </w:r>
      <w:r w:rsidR="000A5329" w:rsidRPr="002029AF">
        <w:t xml:space="preserve"> </w:t>
      </w:r>
      <w:r w:rsidRPr="002029AF">
        <w:t>going</w:t>
      </w:r>
      <w:r w:rsidR="000A5329" w:rsidRPr="002029AF">
        <w:t xml:space="preserve"> </w:t>
      </w:r>
      <w:r w:rsidRPr="002029AF">
        <w:t>concern,</w:t>
      </w:r>
      <w:r w:rsidR="000A5329" w:rsidRPr="002029AF">
        <w:t xml:space="preserve"> </w:t>
      </w:r>
      <w:r w:rsidRPr="002029AF">
        <w:t>fair</w:t>
      </w:r>
      <w:r w:rsidR="000A5329" w:rsidRPr="002029AF">
        <w:t xml:space="preserve"> </w:t>
      </w:r>
      <w:r w:rsidRPr="002029AF">
        <w:t>value</w:t>
      </w:r>
      <w:r w:rsidR="000A5329" w:rsidRPr="002029AF">
        <w:t xml:space="preserve"> </w:t>
      </w:r>
      <w:r w:rsidRPr="002029AF">
        <w:t>is</w:t>
      </w:r>
      <w:r w:rsidR="000A5329" w:rsidRPr="002029AF">
        <w:t xml:space="preserve"> </w:t>
      </w:r>
      <w:r w:rsidRPr="002029AF">
        <w:t>determined</w:t>
      </w:r>
      <w:r w:rsidR="000A5329" w:rsidRPr="002029AF">
        <w:t xml:space="preserve"> </w:t>
      </w:r>
      <w:r w:rsidRPr="002029AF">
        <w:t>using</w:t>
      </w:r>
      <w:r w:rsidR="000A5329" w:rsidRPr="002029AF">
        <w:t xml:space="preserve"> </w:t>
      </w:r>
      <w:r w:rsidRPr="002029AF">
        <w:t>the</w:t>
      </w:r>
      <w:r w:rsidR="000A5329" w:rsidRPr="002029AF">
        <w:t xml:space="preserve"> </w:t>
      </w:r>
      <w:r w:rsidRPr="002029AF">
        <w:t>current</w:t>
      </w:r>
      <w:r w:rsidR="000A5329" w:rsidRPr="002029AF">
        <w:t xml:space="preserve"> </w:t>
      </w:r>
      <w:r w:rsidRPr="002029AF">
        <w:t>replacement</w:t>
      </w:r>
      <w:r w:rsidR="000A5329" w:rsidRPr="002029AF">
        <w:t xml:space="preserve"> </w:t>
      </w:r>
      <w:r w:rsidRPr="002029AF">
        <w:t>cost</w:t>
      </w:r>
      <w:r w:rsidR="000A5329" w:rsidRPr="002029AF">
        <w:t xml:space="preserve"> </w:t>
      </w:r>
      <w:r w:rsidRPr="002029AF">
        <w:t>method.</w:t>
      </w:r>
    </w:p>
    <w:p w14:paraId="27B449DB" w14:textId="073E74FA" w:rsidR="00087B91" w:rsidRPr="002029AF" w:rsidRDefault="00087B91" w:rsidP="00087B91">
      <w:pPr>
        <w:pStyle w:val="ARfinbody"/>
      </w:pPr>
      <w:r w:rsidRPr="002029AF">
        <w:t>There</w:t>
      </w:r>
      <w:r w:rsidR="000A5329" w:rsidRPr="002029AF">
        <w:t xml:space="preserve"> </w:t>
      </w:r>
      <w:r w:rsidRPr="002029AF">
        <w:t>were</w:t>
      </w:r>
      <w:r w:rsidR="000A5329" w:rsidRPr="002029AF">
        <w:t xml:space="preserve"> </w:t>
      </w:r>
      <w:r w:rsidRPr="002029AF">
        <w:t>no</w:t>
      </w:r>
      <w:r w:rsidR="000A5329" w:rsidRPr="002029AF">
        <w:t xml:space="preserve"> </w:t>
      </w:r>
      <w:r w:rsidRPr="002029AF">
        <w:t>changes</w:t>
      </w:r>
      <w:r w:rsidR="000A5329" w:rsidRPr="002029AF">
        <w:t xml:space="preserve"> </w:t>
      </w:r>
      <w:r w:rsidRPr="002029AF">
        <w:t>in</w:t>
      </w:r>
      <w:r w:rsidR="000A5329" w:rsidRPr="002029AF">
        <w:t xml:space="preserve"> </w:t>
      </w:r>
      <w:r w:rsidRPr="002029AF">
        <w:t>valuation</w:t>
      </w:r>
      <w:r w:rsidR="000A5329" w:rsidRPr="002029AF">
        <w:t xml:space="preserve"> </w:t>
      </w:r>
      <w:r w:rsidRPr="002029AF">
        <w:t>techniques</w:t>
      </w:r>
      <w:r w:rsidR="000A5329" w:rsidRPr="002029AF">
        <w:t xml:space="preserve"> </w:t>
      </w:r>
      <w:r w:rsidRPr="002029AF">
        <w:t>throughout</w:t>
      </w:r>
      <w:r w:rsidR="000A5329" w:rsidRPr="002029AF">
        <w:t xml:space="preserve"> </w:t>
      </w:r>
      <w:r w:rsidRPr="002029AF">
        <w:t>the</w:t>
      </w:r>
      <w:r w:rsidR="000A5329" w:rsidRPr="002029AF">
        <w:t xml:space="preserve"> </w:t>
      </w:r>
      <w:r w:rsidRPr="002029AF">
        <w:t>period</w:t>
      </w:r>
      <w:r w:rsidR="000A5329" w:rsidRPr="002029AF">
        <w:t xml:space="preserve"> </w:t>
      </w:r>
      <w:r w:rsidRPr="002029AF">
        <w:t>to</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p>
    <w:p w14:paraId="4A822A41" w14:textId="7A75C646" w:rsidR="00087B91" w:rsidRPr="002029AF" w:rsidRDefault="00087B91" w:rsidP="00087B91">
      <w:pPr>
        <w:pStyle w:val="ARfinbody"/>
      </w:pPr>
      <w:r w:rsidRPr="002029AF">
        <w:t>For</w:t>
      </w:r>
      <w:r w:rsidR="000A5329" w:rsidRPr="002029AF">
        <w:t xml:space="preserve"> </w:t>
      </w:r>
      <w:r w:rsidRPr="002029AF">
        <w:t>all</w:t>
      </w:r>
      <w:r w:rsidR="000A5329" w:rsidRPr="002029AF">
        <w:t xml:space="preserve"> </w:t>
      </w:r>
      <w:r w:rsidRPr="002029AF">
        <w:t>assets</w:t>
      </w:r>
      <w:r w:rsidR="000A5329" w:rsidRPr="002029AF">
        <w:t xml:space="preserve"> </w:t>
      </w:r>
      <w:r w:rsidRPr="002029AF">
        <w:t>measured</w:t>
      </w:r>
      <w:r w:rsidR="000A5329" w:rsidRPr="002029AF">
        <w:t xml:space="preserve"> </w:t>
      </w:r>
      <w:r w:rsidRPr="002029AF">
        <w:t>at</w:t>
      </w:r>
      <w:r w:rsidR="000A5329" w:rsidRPr="002029AF">
        <w:t xml:space="preserve"> </w:t>
      </w:r>
      <w:r w:rsidRPr="002029AF">
        <w:t>fair</w:t>
      </w:r>
      <w:r w:rsidR="000A5329" w:rsidRPr="002029AF">
        <w:t xml:space="preserve"> </w:t>
      </w:r>
      <w:r w:rsidRPr="002029AF">
        <w:t>value,</w:t>
      </w:r>
      <w:r w:rsidR="000A5329" w:rsidRPr="002029AF">
        <w:t xml:space="preserve"> </w:t>
      </w:r>
      <w:r w:rsidRPr="002029AF">
        <w:t>the</w:t>
      </w:r>
      <w:r w:rsidR="000A5329" w:rsidRPr="002029AF">
        <w:t xml:space="preserve"> </w:t>
      </w:r>
      <w:r w:rsidRPr="002029AF">
        <w:t>current</w:t>
      </w:r>
      <w:r w:rsidR="000A5329" w:rsidRPr="002029AF">
        <w:t xml:space="preserve"> </w:t>
      </w:r>
      <w:r w:rsidRPr="002029AF">
        <w:t>use</w:t>
      </w:r>
      <w:r w:rsidR="000A5329" w:rsidRPr="002029AF">
        <w:t xml:space="preserve"> </w:t>
      </w:r>
      <w:r w:rsidRPr="002029AF">
        <w:t>is</w:t>
      </w:r>
      <w:r w:rsidR="000A5329" w:rsidRPr="002029AF">
        <w:t xml:space="preserve"> </w:t>
      </w:r>
      <w:r w:rsidRPr="002029AF">
        <w:t>considered</w:t>
      </w:r>
      <w:r w:rsidR="000A5329" w:rsidRPr="002029AF">
        <w:t xml:space="preserve"> </w:t>
      </w:r>
      <w:r w:rsidRPr="002029AF">
        <w:t>the</w:t>
      </w:r>
      <w:r w:rsidR="000A5329" w:rsidRPr="002029AF">
        <w:t xml:space="preserve"> </w:t>
      </w:r>
      <w:r w:rsidRPr="002029AF">
        <w:t>highest</w:t>
      </w:r>
      <w:r w:rsidR="000A5329" w:rsidRPr="002029AF">
        <w:t xml:space="preserve"> </w:t>
      </w:r>
      <w:r w:rsidRPr="002029AF">
        <w:t>and</w:t>
      </w:r>
      <w:r w:rsidR="000A5329" w:rsidRPr="002029AF">
        <w:t xml:space="preserve"> </w:t>
      </w:r>
      <w:r w:rsidRPr="002029AF">
        <w:t>best</w:t>
      </w:r>
      <w:r w:rsidR="000A5329" w:rsidRPr="002029AF">
        <w:t xml:space="preserve"> </w:t>
      </w:r>
      <w:r w:rsidRPr="002029AF">
        <w:t>use.</w:t>
      </w:r>
    </w:p>
    <w:p w14:paraId="7E9BD554" w14:textId="77777777" w:rsidR="00087B91" w:rsidRPr="002029AF" w:rsidRDefault="00087B91" w:rsidP="00087B91">
      <w:pPr>
        <w:pStyle w:val="ARfinbody"/>
        <w:sectPr w:rsidR="00087B91" w:rsidRPr="002029AF" w:rsidSect="00860E95">
          <w:footerReference w:type="even" r:id="rId213"/>
          <w:pgSz w:w="11906" w:h="16838" w:code="9"/>
          <w:pgMar w:top="1531" w:right="851" w:bottom="851" w:left="1418" w:header="510" w:footer="340" w:gutter="0"/>
          <w:cols w:space="708"/>
          <w:docGrid w:linePitch="360"/>
          <w15:footnoteColumns w:val="1"/>
        </w:sectPr>
      </w:pPr>
    </w:p>
    <w:p w14:paraId="3B53EFED" w14:textId="403E1CCF" w:rsidR="00087B91" w:rsidRPr="002029AF" w:rsidRDefault="00087B91" w:rsidP="00087B91">
      <w:pPr>
        <w:pStyle w:val="Heading6"/>
        <w:spacing w:before="0"/>
        <w:rPr>
          <w:lang w:val="en-AU"/>
        </w:rPr>
      </w:pPr>
      <w:r w:rsidRPr="002029AF">
        <w:rPr>
          <w:lang w:val="en-AU"/>
        </w:rPr>
        <w:lastRenderedPageBreak/>
        <w:t>Reconciliation</w:t>
      </w:r>
      <w:r w:rsidR="000A5329" w:rsidRPr="002029AF">
        <w:rPr>
          <w:lang w:val="en-AU"/>
        </w:rPr>
        <w:t xml:space="preserve"> </w:t>
      </w:r>
      <w:r w:rsidRPr="002029AF">
        <w:rPr>
          <w:lang w:val="en-AU"/>
        </w:rPr>
        <w:t>of</w:t>
      </w:r>
      <w:r w:rsidR="000A5329" w:rsidRPr="002029AF">
        <w:rPr>
          <w:lang w:val="en-AU"/>
        </w:rPr>
        <w:t xml:space="preserve"> </w:t>
      </w:r>
      <w:r w:rsidRPr="002029AF">
        <w:rPr>
          <w:lang w:val="en-AU"/>
        </w:rPr>
        <w:t>Level</w:t>
      </w:r>
      <w:r w:rsidR="000A5329" w:rsidRPr="002029AF">
        <w:rPr>
          <w:lang w:val="en-AU"/>
        </w:rPr>
        <w:t xml:space="preserve"> </w:t>
      </w:r>
      <w:r w:rsidRPr="002029AF">
        <w:rPr>
          <w:lang w:val="en-AU"/>
        </w:rPr>
        <w:t>3</w:t>
      </w:r>
      <w:r w:rsidR="000A5329" w:rsidRPr="002029AF">
        <w:rPr>
          <w:lang w:val="en-AU"/>
        </w:rPr>
        <w:t xml:space="preserve"> </w:t>
      </w:r>
      <w:r w:rsidRPr="002029AF">
        <w:rPr>
          <w:lang w:val="en-AU"/>
        </w:rPr>
        <w:t>fair</w:t>
      </w:r>
      <w:r w:rsidR="000A5329" w:rsidRPr="002029AF">
        <w:rPr>
          <w:lang w:val="en-AU"/>
        </w:rPr>
        <w:t xml:space="preserve"> </w:t>
      </w:r>
      <w:r w:rsidRPr="002029AF">
        <w:rPr>
          <w:lang w:val="en-AU"/>
        </w:rPr>
        <w:t>value</w:t>
      </w:r>
      <w:r w:rsidR="000A5329" w:rsidRPr="002029AF">
        <w:rPr>
          <w:lang w:val="en-AU"/>
        </w:rPr>
        <w:t xml:space="preserve"> </w:t>
      </w:r>
      <w:r w:rsidRPr="002029AF">
        <w:rPr>
          <w:lang w:val="en-AU"/>
        </w:rPr>
        <w:t>movements</w:t>
      </w:r>
    </w:p>
    <w:tbl>
      <w:tblPr>
        <w:tblStyle w:val="TableGrid"/>
        <w:tblW w:w="14459" w:type="dxa"/>
        <w:tblLayout w:type="fixed"/>
        <w:tblLook w:val="06A0" w:firstRow="1" w:lastRow="0" w:firstColumn="1" w:lastColumn="0" w:noHBand="1" w:noVBand="1"/>
      </w:tblPr>
      <w:tblGrid>
        <w:gridCol w:w="6409"/>
        <w:gridCol w:w="1610"/>
        <w:gridCol w:w="1610"/>
        <w:gridCol w:w="1610"/>
        <w:gridCol w:w="1610"/>
        <w:gridCol w:w="1610"/>
      </w:tblGrid>
      <w:tr w:rsidR="00087B91" w:rsidRPr="002029AF" w14:paraId="1DC0F149"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6407" w:type="dxa"/>
            <w:tcBorders>
              <w:bottom w:val="single" w:sz="4" w:space="0" w:color="auto"/>
            </w:tcBorders>
            <w:hideMark/>
          </w:tcPr>
          <w:p w14:paraId="1E282D0B" w14:textId="77777777" w:rsidR="00087B91" w:rsidRPr="002029AF" w:rsidRDefault="00087B91" w:rsidP="00860E95">
            <w:pPr>
              <w:pStyle w:val="ARfintablecolhead"/>
              <w:spacing w:before="20" w:after="10" w:line="240" w:lineRule="auto"/>
            </w:pPr>
            <w:r w:rsidRPr="002029AF">
              <w:t>2020</w:t>
            </w:r>
          </w:p>
        </w:tc>
        <w:tc>
          <w:tcPr>
            <w:tcW w:w="1610" w:type="dxa"/>
            <w:tcBorders>
              <w:bottom w:val="single" w:sz="4" w:space="0" w:color="auto"/>
            </w:tcBorders>
            <w:hideMark/>
          </w:tcPr>
          <w:p w14:paraId="0654BF97" w14:textId="2B54BE25" w:rsidR="00087B91" w:rsidRPr="002029AF" w:rsidRDefault="00087B91" w:rsidP="00860E95">
            <w:pPr>
              <w:pStyle w:val="ARfintablecolheadright"/>
              <w:spacing w:before="20" w:after="10" w:line="240" w:lineRule="auto"/>
            </w:pPr>
            <w:r w:rsidRPr="002029AF">
              <w:t>Specialised</w:t>
            </w:r>
            <w:r w:rsidR="000A5329" w:rsidRPr="002029AF">
              <w:t xml:space="preserve"> </w:t>
            </w:r>
            <w:r w:rsidRPr="002029AF">
              <w:t>land</w:t>
            </w:r>
          </w:p>
          <w:p w14:paraId="7C46A6FE" w14:textId="77777777" w:rsidR="00087B91" w:rsidRPr="002029AF" w:rsidRDefault="00087B91" w:rsidP="00860E95">
            <w:pPr>
              <w:pStyle w:val="ARfintablecolheadright"/>
              <w:spacing w:before="20" w:after="10" w:line="240" w:lineRule="auto"/>
            </w:pPr>
            <w:r w:rsidRPr="002029AF">
              <w:t>$M</w:t>
            </w:r>
          </w:p>
        </w:tc>
        <w:tc>
          <w:tcPr>
            <w:tcW w:w="1610" w:type="dxa"/>
            <w:tcBorders>
              <w:bottom w:val="single" w:sz="4" w:space="0" w:color="auto"/>
            </w:tcBorders>
            <w:hideMark/>
          </w:tcPr>
          <w:p w14:paraId="3D8165BF" w14:textId="0099BD1B" w:rsidR="00087B91" w:rsidRPr="002029AF" w:rsidRDefault="00087B91" w:rsidP="00860E95">
            <w:pPr>
              <w:pStyle w:val="ARfintablecolheadright"/>
              <w:spacing w:before="20" w:after="10" w:line="240" w:lineRule="auto"/>
            </w:pPr>
            <w:r w:rsidRPr="002029AF">
              <w:t>Specialised</w:t>
            </w:r>
            <w:r w:rsidR="000A5329" w:rsidRPr="002029AF">
              <w:t xml:space="preserve"> </w:t>
            </w:r>
            <w:r w:rsidRPr="002029AF">
              <w:br/>
              <w:t>buildings</w:t>
            </w:r>
          </w:p>
          <w:p w14:paraId="28291373" w14:textId="77777777" w:rsidR="00087B91" w:rsidRPr="002029AF" w:rsidRDefault="00087B91" w:rsidP="00860E95">
            <w:pPr>
              <w:pStyle w:val="ARfintablecolheadright"/>
              <w:spacing w:before="20" w:after="10" w:line="240" w:lineRule="auto"/>
            </w:pPr>
            <w:r w:rsidRPr="002029AF">
              <w:t>$M</w:t>
            </w:r>
          </w:p>
        </w:tc>
        <w:tc>
          <w:tcPr>
            <w:tcW w:w="1610" w:type="dxa"/>
            <w:tcBorders>
              <w:bottom w:val="single" w:sz="4" w:space="0" w:color="auto"/>
            </w:tcBorders>
            <w:hideMark/>
          </w:tcPr>
          <w:p w14:paraId="4ADBEC0F" w14:textId="6D8570D7" w:rsidR="00087B91" w:rsidRPr="002029AF" w:rsidRDefault="00087B91" w:rsidP="00860E95">
            <w:pPr>
              <w:pStyle w:val="ARfintablecolheadright"/>
              <w:spacing w:before="20" w:after="10" w:line="240" w:lineRule="auto"/>
            </w:pPr>
            <w:r w:rsidRPr="002029AF">
              <w:t>Plant</w:t>
            </w:r>
            <w:r w:rsidR="000A5329" w:rsidRPr="002029AF">
              <w:t xml:space="preserve"> </w:t>
            </w:r>
            <w:r w:rsidRPr="002029AF">
              <w:t>and</w:t>
            </w:r>
            <w:r w:rsidR="000A5329" w:rsidRPr="002029AF">
              <w:t xml:space="preserve"> </w:t>
            </w:r>
            <w:r w:rsidRPr="002029AF">
              <w:t>equipment</w:t>
            </w:r>
          </w:p>
          <w:p w14:paraId="71FBC7A6" w14:textId="77777777" w:rsidR="00087B91" w:rsidRPr="002029AF" w:rsidRDefault="00087B91" w:rsidP="00860E95">
            <w:pPr>
              <w:pStyle w:val="ARfintablecolheadright"/>
              <w:spacing w:before="20" w:after="10" w:line="240" w:lineRule="auto"/>
            </w:pPr>
            <w:r w:rsidRPr="002029AF">
              <w:t>$M</w:t>
            </w:r>
          </w:p>
        </w:tc>
        <w:tc>
          <w:tcPr>
            <w:tcW w:w="1610" w:type="dxa"/>
            <w:tcBorders>
              <w:bottom w:val="single" w:sz="4" w:space="0" w:color="auto"/>
            </w:tcBorders>
            <w:hideMark/>
          </w:tcPr>
          <w:p w14:paraId="63272117" w14:textId="40E0C0BE" w:rsidR="00087B91" w:rsidRPr="002029AF" w:rsidRDefault="00087B91" w:rsidP="00860E95">
            <w:pPr>
              <w:pStyle w:val="ARfintablecolheadright"/>
              <w:spacing w:before="20" w:after="10" w:line="240" w:lineRule="auto"/>
            </w:pPr>
            <w:r w:rsidRPr="002029AF">
              <w:t>Motor</w:t>
            </w:r>
            <w:r w:rsidR="000A5329" w:rsidRPr="002029AF">
              <w:t xml:space="preserve"> </w:t>
            </w:r>
            <w:r w:rsidRPr="002029AF">
              <w:t>vehicles</w:t>
            </w:r>
          </w:p>
          <w:p w14:paraId="6F2D5DDF" w14:textId="77777777" w:rsidR="00087B91" w:rsidRPr="002029AF" w:rsidRDefault="00087B91" w:rsidP="00860E95">
            <w:pPr>
              <w:pStyle w:val="ARfintablecolheadright"/>
              <w:spacing w:before="20" w:after="10" w:line="240" w:lineRule="auto"/>
            </w:pPr>
            <w:r w:rsidRPr="002029AF">
              <w:t>$M</w:t>
            </w:r>
          </w:p>
        </w:tc>
        <w:tc>
          <w:tcPr>
            <w:tcW w:w="1610" w:type="dxa"/>
            <w:tcBorders>
              <w:bottom w:val="single" w:sz="4" w:space="0" w:color="auto"/>
            </w:tcBorders>
            <w:hideMark/>
          </w:tcPr>
          <w:p w14:paraId="3A773125" w14:textId="77777777" w:rsidR="00087B91" w:rsidRPr="002029AF" w:rsidRDefault="00087B91" w:rsidP="00860E95">
            <w:pPr>
              <w:pStyle w:val="ARfintablecolheadright"/>
              <w:spacing w:before="20" w:after="10" w:line="240" w:lineRule="auto"/>
            </w:pPr>
            <w:r w:rsidRPr="002029AF">
              <w:t>Total</w:t>
            </w:r>
          </w:p>
          <w:p w14:paraId="09A5191C" w14:textId="77777777" w:rsidR="00087B91" w:rsidRPr="002029AF" w:rsidRDefault="00087B91" w:rsidP="00860E95">
            <w:pPr>
              <w:pStyle w:val="ARfintablecolheadright"/>
              <w:spacing w:before="20" w:after="10" w:line="240" w:lineRule="auto"/>
            </w:pPr>
            <w:r w:rsidRPr="002029AF">
              <w:t>$M</w:t>
            </w:r>
          </w:p>
        </w:tc>
      </w:tr>
      <w:tr w:rsidR="00087B91" w:rsidRPr="002029AF" w14:paraId="77035B6A" w14:textId="77777777" w:rsidTr="00860E95">
        <w:tc>
          <w:tcPr>
            <w:tcW w:w="6407" w:type="dxa"/>
            <w:tcBorders>
              <w:top w:val="single" w:sz="4" w:space="0" w:color="auto"/>
              <w:bottom w:val="single" w:sz="4" w:space="0" w:color="A6A6A6"/>
            </w:tcBorders>
            <w:hideMark/>
          </w:tcPr>
          <w:p w14:paraId="0DF53425" w14:textId="37E16D7C" w:rsidR="00087B91" w:rsidRPr="002029AF" w:rsidRDefault="00087B91" w:rsidP="00860E95">
            <w:pPr>
              <w:pStyle w:val="ARfintablebodybold"/>
              <w:spacing w:before="20" w:after="10"/>
            </w:pPr>
            <w:r w:rsidRPr="002029AF">
              <w:t>Opening</w:t>
            </w:r>
            <w:r w:rsidR="000A5329" w:rsidRPr="002029AF">
              <w:t xml:space="preserve"> </w:t>
            </w:r>
            <w:r w:rsidRPr="002029AF">
              <w:t>balance</w:t>
            </w:r>
          </w:p>
        </w:tc>
        <w:tc>
          <w:tcPr>
            <w:tcW w:w="1610" w:type="dxa"/>
            <w:tcBorders>
              <w:top w:val="single" w:sz="4" w:space="0" w:color="auto"/>
              <w:bottom w:val="single" w:sz="4" w:space="0" w:color="A6A6A6"/>
            </w:tcBorders>
            <w:noWrap/>
            <w:hideMark/>
          </w:tcPr>
          <w:p w14:paraId="12DE32E1" w14:textId="77777777" w:rsidR="00087B91" w:rsidRPr="002029AF" w:rsidRDefault="00087B91" w:rsidP="00860E95">
            <w:pPr>
              <w:pStyle w:val="ARfintablebodyrightbold"/>
              <w:spacing w:before="20" w:after="10"/>
            </w:pPr>
            <w:r w:rsidRPr="002029AF">
              <w:t>502.3</w:t>
            </w:r>
          </w:p>
        </w:tc>
        <w:tc>
          <w:tcPr>
            <w:tcW w:w="1610" w:type="dxa"/>
            <w:tcBorders>
              <w:top w:val="single" w:sz="4" w:space="0" w:color="auto"/>
              <w:bottom w:val="single" w:sz="4" w:space="0" w:color="A6A6A6"/>
            </w:tcBorders>
            <w:noWrap/>
            <w:hideMark/>
          </w:tcPr>
          <w:p w14:paraId="7152A77E" w14:textId="77777777" w:rsidR="00087B91" w:rsidRPr="002029AF" w:rsidRDefault="00087B91" w:rsidP="00860E95">
            <w:pPr>
              <w:pStyle w:val="ARfintablebodyrightbold"/>
              <w:spacing w:before="20" w:after="10"/>
            </w:pPr>
            <w:r w:rsidRPr="002029AF">
              <w:t>741.6</w:t>
            </w:r>
          </w:p>
        </w:tc>
        <w:tc>
          <w:tcPr>
            <w:tcW w:w="1610" w:type="dxa"/>
            <w:tcBorders>
              <w:top w:val="single" w:sz="4" w:space="0" w:color="auto"/>
              <w:bottom w:val="single" w:sz="4" w:space="0" w:color="A6A6A6"/>
            </w:tcBorders>
            <w:noWrap/>
            <w:hideMark/>
          </w:tcPr>
          <w:p w14:paraId="0AF0911A" w14:textId="77777777" w:rsidR="00087B91" w:rsidRPr="002029AF" w:rsidRDefault="00087B91" w:rsidP="00860E95">
            <w:pPr>
              <w:pStyle w:val="ARfintablebodyrightbold"/>
              <w:spacing w:before="20" w:after="10"/>
            </w:pPr>
            <w:r w:rsidRPr="002029AF">
              <w:t>10.8</w:t>
            </w:r>
          </w:p>
        </w:tc>
        <w:tc>
          <w:tcPr>
            <w:tcW w:w="1610" w:type="dxa"/>
            <w:tcBorders>
              <w:top w:val="single" w:sz="4" w:space="0" w:color="auto"/>
              <w:bottom w:val="single" w:sz="4" w:space="0" w:color="A6A6A6"/>
            </w:tcBorders>
            <w:noWrap/>
            <w:hideMark/>
          </w:tcPr>
          <w:p w14:paraId="49FB3D87" w14:textId="77777777" w:rsidR="00087B91" w:rsidRPr="002029AF" w:rsidRDefault="00087B91" w:rsidP="00860E95">
            <w:pPr>
              <w:pStyle w:val="ARfintablebodyrightbold"/>
              <w:spacing w:before="20" w:after="10"/>
            </w:pPr>
            <w:r w:rsidRPr="002029AF">
              <w:t>0.8</w:t>
            </w:r>
          </w:p>
        </w:tc>
        <w:tc>
          <w:tcPr>
            <w:tcW w:w="1610" w:type="dxa"/>
            <w:tcBorders>
              <w:top w:val="single" w:sz="4" w:space="0" w:color="auto"/>
              <w:bottom w:val="single" w:sz="4" w:space="0" w:color="A6A6A6"/>
            </w:tcBorders>
            <w:noWrap/>
            <w:hideMark/>
          </w:tcPr>
          <w:p w14:paraId="46744EE4" w14:textId="77777777" w:rsidR="00087B91" w:rsidRPr="002029AF" w:rsidRDefault="00087B91" w:rsidP="00860E95">
            <w:pPr>
              <w:pStyle w:val="ARfintablebodyrightbold"/>
              <w:spacing w:before="20" w:after="10"/>
            </w:pPr>
            <w:r w:rsidRPr="002029AF">
              <w:t>1,255.6</w:t>
            </w:r>
          </w:p>
        </w:tc>
      </w:tr>
      <w:tr w:rsidR="00087B91" w:rsidRPr="002029AF" w14:paraId="4D4E23AA" w14:textId="77777777" w:rsidTr="00860E95">
        <w:tc>
          <w:tcPr>
            <w:tcW w:w="6407" w:type="dxa"/>
            <w:tcBorders>
              <w:top w:val="single" w:sz="4" w:space="0" w:color="A6A6A6"/>
              <w:bottom w:val="single" w:sz="4" w:space="0" w:color="A6A6A6"/>
            </w:tcBorders>
            <w:hideMark/>
          </w:tcPr>
          <w:p w14:paraId="56D6E280" w14:textId="308726CD" w:rsidR="00087B91" w:rsidRPr="002029AF" w:rsidRDefault="00087B91" w:rsidP="00860E95">
            <w:pPr>
              <w:pStyle w:val="ARfintablebody"/>
              <w:spacing w:before="20" w:after="10"/>
            </w:pPr>
            <w:r w:rsidRPr="002029AF">
              <w:t>Machinery</w:t>
            </w:r>
            <w:r w:rsidR="000A5329" w:rsidRPr="002029AF">
              <w:t xml:space="preserve"> </w:t>
            </w:r>
            <w:r w:rsidRPr="002029AF">
              <w:t>of</w:t>
            </w:r>
            <w:r w:rsidR="000A5329" w:rsidRPr="002029AF">
              <w:t xml:space="preserve"> </w:t>
            </w:r>
            <w:r w:rsidRPr="002029AF">
              <w:t>government</w:t>
            </w:r>
            <w:r w:rsidR="000A5329" w:rsidRPr="002029AF">
              <w:t xml:space="preserve"> </w:t>
            </w:r>
            <w:r w:rsidRPr="002029AF">
              <w:t>transfer</w:t>
            </w:r>
            <w:r w:rsidR="000A5329" w:rsidRPr="002029AF">
              <w:t xml:space="preserve"> </w:t>
            </w:r>
            <w:r w:rsidRPr="002029AF">
              <w:t>in/(out)</w:t>
            </w:r>
          </w:p>
        </w:tc>
        <w:tc>
          <w:tcPr>
            <w:tcW w:w="1610" w:type="dxa"/>
            <w:tcBorders>
              <w:top w:val="single" w:sz="4" w:space="0" w:color="A6A6A6"/>
              <w:bottom w:val="single" w:sz="4" w:space="0" w:color="A6A6A6"/>
            </w:tcBorders>
            <w:noWrap/>
            <w:hideMark/>
          </w:tcPr>
          <w:p w14:paraId="0CBC1F0C" w14:textId="77777777" w:rsidR="00087B91" w:rsidRPr="002029AF" w:rsidRDefault="00087B91" w:rsidP="00860E95">
            <w:pPr>
              <w:pStyle w:val="ARfintablebodyright"/>
              <w:spacing w:before="20" w:after="10"/>
            </w:pPr>
            <w:r w:rsidRPr="002029AF">
              <w:t>–</w:t>
            </w:r>
          </w:p>
        </w:tc>
        <w:tc>
          <w:tcPr>
            <w:tcW w:w="1610" w:type="dxa"/>
            <w:tcBorders>
              <w:top w:val="single" w:sz="4" w:space="0" w:color="A6A6A6"/>
              <w:bottom w:val="single" w:sz="4" w:space="0" w:color="A6A6A6"/>
            </w:tcBorders>
            <w:noWrap/>
            <w:hideMark/>
          </w:tcPr>
          <w:p w14:paraId="27FFBAF8" w14:textId="77777777" w:rsidR="00087B91" w:rsidRPr="002029AF" w:rsidRDefault="00087B91" w:rsidP="00860E95">
            <w:pPr>
              <w:pStyle w:val="ARfintablebodyright"/>
              <w:spacing w:before="20" w:after="10"/>
            </w:pPr>
            <w:r w:rsidRPr="002029AF">
              <w:t>–</w:t>
            </w:r>
          </w:p>
        </w:tc>
        <w:tc>
          <w:tcPr>
            <w:tcW w:w="1610" w:type="dxa"/>
            <w:tcBorders>
              <w:top w:val="single" w:sz="4" w:space="0" w:color="A6A6A6"/>
              <w:bottom w:val="single" w:sz="4" w:space="0" w:color="A6A6A6"/>
            </w:tcBorders>
            <w:noWrap/>
            <w:hideMark/>
          </w:tcPr>
          <w:p w14:paraId="18B48AFF" w14:textId="77777777" w:rsidR="00087B91" w:rsidRPr="002029AF" w:rsidRDefault="00087B91" w:rsidP="00860E95">
            <w:pPr>
              <w:pStyle w:val="ARfintablebodyright"/>
              <w:spacing w:before="20" w:after="10"/>
            </w:pPr>
            <w:r w:rsidRPr="002029AF">
              <w:t>–</w:t>
            </w:r>
          </w:p>
        </w:tc>
        <w:tc>
          <w:tcPr>
            <w:tcW w:w="1610" w:type="dxa"/>
            <w:tcBorders>
              <w:top w:val="single" w:sz="4" w:space="0" w:color="A6A6A6"/>
              <w:bottom w:val="single" w:sz="4" w:space="0" w:color="A6A6A6"/>
            </w:tcBorders>
            <w:noWrap/>
            <w:hideMark/>
          </w:tcPr>
          <w:p w14:paraId="61451660" w14:textId="77777777" w:rsidR="00087B91" w:rsidRPr="002029AF" w:rsidRDefault="00087B91" w:rsidP="00860E95">
            <w:pPr>
              <w:pStyle w:val="ARfintablebodyright"/>
              <w:spacing w:before="20" w:after="10"/>
            </w:pPr>
            <w:r w:rsidRPr="002029AF">
              <w:t>–</w:t>
            </w:r>
          </w:p>
        </w:tc>
        <w:tc>
          <w:tcPr>
            <w:tcW w:w="1610" w:type="dxa"/>
            <w:tcBorders>
              <w:top w:val="single" w:sz="4" w:space="0" w:color="A6A6A6"/>
              <w:bottom w:val="single" w:sz="4" w:space="0" w:color="A6A6A6"/>
            </w:tcBorders>
            <w:noWrap/>
            <w:hideMark/>
          </w:tcPr>
          <w:p w14:paraId="3278547E" w14:textId="77777777" w:rsidR="00087B91" w:rsidRPr="002029AF" w:rsidRDefault="00087B91" w:rsidP="00860E95">
            <w:pPr>
              <w:pStyle w:val="ARfintablebodyright"/>
              <w:spacing w:before="20" w:after="10"/>
            </w:pPr>
            <w:r w:rsidRPr="002029AF">
              <w:t>–</w:t>
            </w:r>
          </w:p>
        </w:tc>
      </w:tr>
      <w:tr w:rsidR="00087B91" w:rsidRPr="002029AF" w14:paraId="4932B7C0" w14:textId="77777777" w:rsidTr="00860E95">
        <w:tc>
          <w:tcPr>
            <w:tcW w:w="6407" w:type="dxa"/>
            <w:tcBorders>
              <w:top w:val="single" w:sz="4" w:space="0" w:color="A6A6A6"/>
              <w:bottom w:val="single" w:sz="4" w:space="0" w:color="A6A6A6"/>
            </w:tcBorders>
            <w:hideMark/>
          </w:tcPr>
          <w:p w14:paraId="49BB0BF2" w14:textId="77777777" w:rsidR="00087B91" w:rsidRPr="002029AF" w:rsidRDefault="00087B91" w:rsidP="00860E95">
            <w:pPr>
              <w:pStyle w:val="ARfintablebody"/>
              <w:spacing w:before="20" w:after="10"/>
            </w:pPr>
            <w:r w:rsidRPr="002029AF">
              <w:t>Additions</w:t>
            </w:r>
          </w:p>
        </w:tc>
        <w:tc>
          <w:tcPr>
            <w:tcW w:w="1610" w:type="dxa"/>
            <w:tcBorders>
              <w:top w:val="single" w:sz="4" w:space="0" w:color="A6A6A6"/>
              <w:bottom w:val="single" w:sz="4" w:space="0" w:color="A6A6A6"/>
            </w:tcBorders>
            <w:noWrap/>
            <w:hideMark/>
          </w:tcPr>
          <w:p w14:paraId="27C61EEE" w14:textId="77777777" w:rsidR="00087B91" w:rsidRPr="002029AF" w:rsidRDefault="00087B91" w:rsidP="00860E95">
            <w:pPr>
              <w:pStyle w:val="ARfintablebodyright"/>
              <w:spacing w:before="20" w:after="10"/>
            </w:pPr>
            <w:r w:rsidRPr="002029AF">
              <w:t>7.3</w:t>
            </w:r>
          </w:p>
        </w:tc>
        <w:tc>
          <w:tcPr>
            <w:tcW w:w="1610" w:type="dxa"/>
            <w:tcBorders>
              <w:top w:val="single" w:sz="4" w:space="0" w:color="A6A6A6"/>
              <w:bottom w:val="single" w:sz="4" w:space="0" w:color="A6A6A6"/>
            </w:tcBorders>
            <w:noWrap/>
            <w:hideMark/>
          </w:tcPr>
          <w:p w14:paraId="769D4608" w14:textId="77777777" w:rsidR="00087B91" w:rsidRPr="002029AF" w:rsidRDefault="00087B91" w:rsidP="00860E95">
            <w:pPr>
              <w:pStyle w:val="ARfintablebodyright"/>
              <w:spacing w:before="20" w:after="10"/>
            </w:pPr>
            <w:r w:rsidRPr="002029AF">
              <w:t>0.8</w:t>
            </w:r>
          </w:p>
        </w:tc>
        <w:tc>
          <w:tcPr>
            <w:tcW w:w="1610" w:type="dxa"/>
            <w:tcBorders>
              <w:top w:val="single" w:sz="4" w:space="0" w:color="A6A6A6"/>
              <w:bottom w:val="single" w:sz="4" w:space="0" w:color="A6A6A6"/>
            </w:tcBorders>
            <w:noWrap/>
            <w:hideMark/>
          </w:tcPr>
          <w:p w14:paraId="0A949C3E" w14:textId="77777777" w:rsidR="00087B91" w:rsidRPr="002029AF" w:rsidRDefault="00087B91" w:rsidP="00860E95">
            <w:pPr>
              <w:pStyle w:val="ARfintablebodyright"/>
              <w:spacing w:before="20" w:after="10"/>
            </w:pPr>
            <w:r w:rsidRPr="002029AF">
              <w:t>1.1</w:t>
            </w:r>
          </w:p>
        </w:tc>
        <w:tc>
          <w:tcPr>
            <w:tcW w:w="1610" w:type="dxa"/>
            <w:tcBorders>
              <w:top w:val="single" w:sz="4" w:space="0" w:color="A6A6A6"/>
              <w:bottom w:val="single" w:sz="4" w:space="0" w:color="A6A6A6"/>
            </w:tcBorders>
            <w:noWrap/>
            <w:hideMark/>
          </w:tcPr>
          <w:p w14:paraId="023AA967" w14:textId="77777777" w:rsidR="00087B91" w:rsidRPr="002029AF" w:rsidRDefault="00087B91" w:rsidP="00860E95">
            <w:pPr>
              <w:pStyle w:val="ARfintablebodyright"/>
              <w:spacing w:before="20" w:after="10"/>
            </w:pPr>
            <w:r w:rsidRPr="002029AF">
              <w:t>–</w:t>
            </w:r>
          </w:p>
        </w:tc>
        <w:tc>
          <w:tcPr>
            <w:tcW w:w="1610" w:type="dxa"/>
            <w:tcBorders>
              <w:top w:val="single" w:sz="4" w:space="0" w:color="A6A6A6"/>
              <w:bottom w:val="single" w:sz="4" w:space="0" w:color="A6A6A6"/>
            </w:tcBorders>
            <w:noWrap/>
            <w:hideMark/>
          </w:tcPr>
          <w:p w14:paraId="1F8194B5" w14:textId="77777777" w:rsidR="00087B91" w:rsidRPr="002029AF" w:rsidRDefault="00087B91" w:rsidP="00860E95">
            <w:pPr>
              <w:pStyle w:val="ARfintablebodyright"/>
              <w:spacing w:before="20" w:after="10"/>
            </w:pPr>
            <w:r w:rsidRPr="002029AF">
              <w:t>9.2</w:t>
            </w:r>
          </w:p>
        </w:tc>
      </w:tr>
      <w:tr w:rsidR="00087B91" w:rsidRPr="002029AF" w14:paraId="62BA4229" w14:textId="77777777" w:rsidTr="00860E95">
        <w:tc>
          <w:tcPr>
            <w:tcW w:w="6407" w:type="dxa"/>
            <w:tcBorders>
              <w:top w:val="single" w:sz="4" w:space="0" w:color="A6A6A6"/>
              <w:bottom w:val="single" w:sz="4" w:space="0" w:color="A6A6A6"/>
            </w:tcBorders>
            <w:hideMark/>
          </w:tcPr>
          <w:p w14:paraId="39C022FB" w14:textId="7D8BC401" w:rsidR="00087B91" w:rsidRPr="002029AF" w:rsidRDefault="00087B91" w:rsidP="00860E95">
            <w:pPr>
              <w:pStyle w:val="ARfintablebody"/>
              <w:spacing w:before="20" w:after="10"/>
            </w:pPr>
            <w:r w:rsidRPr="002029AF">
              <w:t>Capitalisation</w:t>
            </w:r>
            <w:r w:rsidR="000A5329" w:rsidRPr="002029AF">
              <w:t xml:space="preserve"> </w:t>
            </w:r>
            <w:r w:rsidRPr="002029AF">
              <w:t>of</w:t>
            </w:r>
            <w:r w:rsidR="000A5329" w:rsidRPr="002029AF">
              <w:t xml:space="preserve"> </w:t>
            </w:r>
            <w:r w:rsidRPr="002029AF">
              <w:t>work</w:t>
            </w:r>
            <w:r w:rsidR="000A5329" w:rsidRPr="002029AF">
              <w:t xml:space="preserve"> </w:t>
            </w:r>
            <w:r w:rsidRPr="002029AF">
              <w:t>in</w:t>
            </w:r>
            <w:r w:rsidR="000A5329" w:rsidRPr="002029AF">
              <w:t xml:space="preserve"> </w:t>
            </w:r>
            <w:r w:rsidRPr="002029AF">
              <w:t>progress</w:t>
            </w:r>
          </w:p>
        </w:tc>
        <w:tc>
          <w:tcPr>
            <w:tcW w:w="1610" w:type="dxa"/>
            <w:tcBorders>
              <w:top w:val="single" w:sz="4" w:space="0" w:color="A6A6A6"/>
              <w:bottom w:val="single" w:sz="4" w:space="0" w:color="A6A6A6"/>
            </w:tcBorders>
            <w:noWrap/>
            <w:hideMark/>
          </w:tcPr>
          <w:p w14:paraId="1B0AD60C" w14:textId="77777777" w:rsidR="00087B91" w:rsidRPr="002029AF" w:rsidRDefault="00087B91" w:rsidP="00860E95">
            <w:pPr>
              <w:pStyle w:val="ARfintablebodyright"/>
              <w:spacing w:before="20" w:after="10"/>
            </w:pPr>
            <w:r w:rsidRPr="002029AF">
              <w:t>–</w:t>
            </w:r>
          </w:p>
        </w:tc>
        <w:tc>
          <w:tcPr>
            <w:tcW w:w="1610" w:type="dxa"/>
            <w:tcBorders>
              <w:top w:val="single" w:sz="4" w:space="0" w:color="A6A6A6"/>
              <w:bottom w:val="single" w:sz="4" w:space="0" w:color="A6A6A6"/>
            </w:tcBorders>
            <w:noWrap/>
            <w:hideMark/>
          </w:tcPr>
          <w:p w14:paraId="09C23C31" w14:textId="77777777" w:rsidR="00087B91" w:rsidRPr="002029AF" w:rsidRDefault="00087B91" w:rsidP="00860E95">
            <w:pPr>
              <w:pStyle w:val="ARfintablebodyright"/>
              <w:spacing w:before="20" w:after="10"/>
            </w:pPr>
            <w:r w:rsidRPr="002029AF">
              <w:t>0.6</w:t>
            </w:r>
          </w:p>
        </w:tc>
        <w:tc>
          <w:tcPr>
            <w:tcW w:w="1610" w:type="dxa"/>
            <w:tcBorders>
              <w:top w:val="single" w:sz="4" w:space="0" w:color="A6A6A6"/>
              <w:bottom w:val="single" w:sz="4" w:space="0" w:color="A6A6A6"/>
            </w:tcBorders>
            <w:noWrap/>
            <w:hideMark/>
          </w:tcPr>
          <w:p w14:paraId="7B8BCF42" w14:textId="77777777" w:rsidR="00087B91" w:rsidRPr="002029AF" w:rsidRDefault="00087B91" w:rsidP="00860E95">
            <w:pPr>
              <w:pStyle w:val="ARfintablebodyright"/>
              <w:spacing w:before="20" w:after="10"/>
            </w:pPr>
            <w:r w:rsidRPr="002029AF">
              <w:t>–</w:t>
            </w:r>
          </w:p>
        </w:tc>
        <w:tc>
          <w:tcPr>
            <w:tcW w:w="1610" w:type="dxa"/>
            <w:tcBorders>
              <w:top w:val="single" w:sz="4" w:space="0" w:color="A6A6A6"/>
              <w:bottom w:val="single" w:sz="4" w:space="0" w:color="A6A6A6"/>
            </w:tcBorders>
            <w:noWrap/>
            <w:hideMark/>
          </w:tcPr>
          <w:p w14:paraId="3D9AFE4E" w14:textId="77777777" w:rsidR="00087B91" w:rsidRPr="002029AF" w:rsidRDefault="00087B91" w:rsidP="00860E95">
            <w:pPr>
              <w:pStyle w:val="ARfintablebodyright"/>
              <w:spacing w:before="20" w:after="10"/>
            </w:pPr>
            <w:r w:rsidRPr="002029AF">
              <w:t>–</w:t>
            </w:r>
          </w:p>
        </w:tc>
        <w:tc>
          <w:tcPr>
            <w:tcW w:w="1610" w:type="dxa"/>
            <w:tcBorders>
              <w:top w:val="single" w:sz="4" w:space="0" w:color="A6A6A6"/>
              <w:bottom w:val="single" w:sz="4" w:space="0" w:color="A6A6A6"/>
            </w:tcBorders>
            <w:noWrap/>
            <w:hideMark/>
          </w:tcPr>
          <w:p w14:paraId="7E1ABC64" w14:textId="77777777" w:rsidR="00087B91" w:rsidRPr="002029AF" w:rsidRDefault="00087B91" w:rsidP="00860E95">
            <w:pPr>
              <w:pStyle w:val="ARfintablebodyright"/>
              <w:spacing w:before="20" w:after="10"/>
            </w:pPr>
            <w:r w:rsidRPr="002029AF">
              <w:t>0.6</w:t>
            </w:r>
          </w:p>
        </w:tc>
      </w:tr>
      <w:tr w:rsidR="00087B91" w:rsidRPr="002029AF" w14:paraId="058F2E69" w14:textId="77777777" w:rsidTr="00860E95">
        <w:tc>
          <w:tcPr>
            <w:tcW w:w="6407" w:type="dxa"/>
            <w:tcBorders>
              <w:top w:val="single" w:sz="4" w:space="0" w:color="A6A6A6"/>
              <w:bottom w:val="single" w:sz="4" w:space="0" w:color="A6A6A6"/>
            </w:tcBorders>
            <w:hideMark/>
          </w:tcPr>
          <w:p w14:paraId="1E890639" w14:textId="77777777" w:rsidR="00087B91" w:rsidRPr="002029AF" w:rsidRDefault="00087B91" w:rsidP="00860E95">
            <w:pPr>
              <w:pStyle w:val="ARfintablebody"/>
              <w:spacing w:before="20" w:after="10"/>
            </w:pPr>
            <w:r w:rsidRPr="002029AF">
              <w:t>Disposals</w:t>
            </w:r>
          </w:p>
        </w:tc>
        <w:tc>
          <w:tcPr>
            <w:tcW w:w="1610" w:type="dxa"/>
            <w:tcBorders>
              <w:top w:val="single" w:sz="4" w:space="0" w:color="A6A6A6"/>
              <w:bottom w:val="single" w:sz="4" w:space="0" w:color="A6A6A6"/>
            </w:tcBorders>
            <w:noWrap/>
            <w:hideMark/>
          </w:tcPr>
          <w:p w14:paraId="09C07EB2" w14:textId="77777777" w:rsidR="00087B91" w:rsidRPr="002029AF" w:rsidRDefault="00087B91" w:rsidP="00860E95">
            <w:pPr>
              <w:pStyle w:val="ARfintablebodyright"/>
              <w:spacing w:before="20" w:after="10"/>
            </w:pPr>
            <w:r w:rsidRPr="002029AF">
              <w:t>–</w:t>
            </w:r>
          </w:p>
        </w:tc>
        <w:tc>
          <w:tcPr>
            <w:tcW w:w="1610" w:type="dxa"/>
            <w:tcBorders>
              <w:top w:val="single" w:sz="4" w:space="0" w:color="A6A6A6"/>
              <w:bottom w:val="single" w:sz="4" w:space="0" w:color="A6A6A6"/>
            </w:tcBorders>
            <w:noWrap/>
            <w:hideMark/>
          </w:tcPr>
          <w:p w14:paraId="38C918CE" w14:textId="77777777" w:rsidR="00087B91" w:rsidRPr="002029AF" w:rsidRDefault="00087B91" w:rsidP="00860E95">
            <w:pPr>
              <w:pStyle w:val="ARfintablebodyright"/>
              <w:spacing w:before="20" w:after="10"/>
            </w:pPr>
            <w:r w:rsidRPr="002029AF">
              <w:t>–</w:t>
            </w:r>
          </w:p>
        </w:tc>
        <w:tc>
          <w:tcPr>
            <w:tcW w:w="1610" w:type="dxa"/>
            <w:tcBorders>
              <w:top w:val="single" w:sz="4" w:space="0" w:color="A6A6A6"/>
              <w:bottom w:val="single" w:sz="4" w:space="0" w:color="A6A6A6"/>
            </w:tcBorders>
            <w:noWrap/>
            <w:hideMark/>
          </w:tcPr>
          <w:p w14:paraId="15C95BC6" w14:textId="77777777" w:rsidR="00087B91" w:rsidRPr="002029AF" w:rsidRDefault="00087B91" w:rsidP="00860E95">
            <w:pPr>
              <w:pStyle w:val="ARfintablebodyright"/>
              <w:spacing w:before="20" w:after="10"/>
            </w:pPr>
            <w:r w:rsidRPr="002029AF">
              <w:t>(0.1)</w:t>
            </w:r>
          </w:p>
        </w:tc>
        <w:tc>
          <w:tcPr>
            <w:tcW w:w="1610" w:type="dxa"/>
            <w:tcBorders>
              <w:top w:val="single" w:sz="4" w:space="0" w:color="A6A6A6"/>
              <w:bottom w:val="single" w:sz="4" w:space="0" w:color="A6A6A6"/>
            </w:tcBorders>
            <w:noWrap/>
            <w:hideMark/>
          </w:tcPr>
          <w:p w14:paraId="68D27299" w14:textId="77777777" w:rsidR="00087B91" w:rsidRPr="002029AF" w:rsidRDefault="00087B91" w:rsidP="00860E95">
            <w:pPr>
              <w:pStyle w:val="ARfintablebodyright"/>
              <w:spacing w:before="20" w:after="10"/>
            </w:pPr>
            <w:r w:rsidRPr="002029AF">
              <w:t>(0.2)</w:t>
            </w:r>
          </w:p>
        </w:tc>
        <w:tc>
          <w:tcPr>
            <w:tcW w:w="1610" w:type="dxa"/>
            <w:tcBorders>
              <w:top w:val="single" w:sz="4" w:space="0" w:color="A6A6A6"/>
              <w:bottom w:val="single" w:sz="4" w:space="0" w:color="A6A6A6"/>
            </w:tcBorders>
            <w:noWrap/>
            <w:hideMark/>
          </w:tcPr>
          <w:p w14:paraId="6C835635" w14:textId="77777777" w:rsidR="00087B91" w:rsidRPr="002029AF" w:rsidRDefault="00087B91" w:rsidP="00860E95">
            <w:pPr>
              <w:pStyle w:val="ARfintablebodyright"/>
              <w:spacing w:before="20" w:after="10"/>
            </w:pPr>
            <w:r w:rsidRPr="002029AF">
              <w:t>(0.3)</w:t>
            </w:r>
          </w:p>
        </w:tc>
      </w:tr>
      <w:tr w:rsidR="00087B91" w:rsidRPr="002029AF" w14:paraId="560D783C" w14:textId="77777777" w:rsidTr="00860E95">
        <w:tc>
          <w:tcPr>
            <w:tcW w:w="6407" w:type="dxa"/>
            <w:tcBorders>
              <w:top w:val="single" w:sz="4" w:space="0" w:color="A6A6A6"/>
              <w:bottom w:val="single" w:sz="4" w:space="0" w:color="A6A6A6"/>
            </w:tcBorders>
          </w:tcPr>
          <w:p w14:paraId="60F42F0F" w14:textId="67A75810" w:rsidR="00087B91" w:rsidRPr="002029AF" w:rsidRDefault="00087B91" w:rsidP="00860E95">
            <w:pPr>
              <w:pStyle w:val="ARfintablebody"/>
              <w:spacing w:before="20" w:after="10"/>
            </w:pPr>
            <w:r w:rsidRPr="002029AF">
              <w:t>Administrative</w:t>
            </w:r>
            <w:r w:rsidR="000A5329" w:rsidRPr="002029AF">
              <w:t xml:space="preserve"> </w:t>
            </w:r>
            <w:r w:rsidRPr="002029AF">
              <w:t>instrument</w:t>
            </w:r>
            <w:r w:rsidR="000A5329" w:rsidRPr="002029AF">
              <w:t xml:space="preserve"> </w:t>
            </w:r>
            <w:r w:rsidRPr="002029AF">
              <w:t>transfers</w:t>
            </w:r>
          </w:p>
        </w:tc>
        <w:tc>
          <w:tcPr>
            <w:tcW w:w="1610" w:type="dxa"/>
            <w:tcBorders>
              <w:top w:val="single" w:sz="4" w:space="0" w:color="A6A6A6"/>
              <w:bottom w:val="single" w:sz="4" w:space="0" w:color="A6A6A6"/>
            </w:tcBorders>
            <w:noWrap/>
          </w:tcPr>
          <w:p w14:paraId="12BE4624" w14:textId="77777777" w:rsidR="00087B91" w:rsidRPr="002029AF" w:rsidRDefault="00087B91" w:rsidP="00860E95">
            <w:pPr>
              <w:pStyle w:val="ARfintablebodyright"/>
              <w:spacing w:before="20" w:after="10"/>
            </w:pPr>
            <w:r w:rsidRPr="002029AF">
              <w:t>6.1</w:t>
            </w:r>
          </w:p>
        </w:tc>
        <w:tc>
          <w:tcPr>
            <w:tcW w:w="1610" w:type="dxa"/>
            <w:tcBorders>
              <w:top w:val="single" w:sz="4" w:space="0" w:color="A6A6A6"/>
              <w:bottom w:val="single" w:sz="4" w:space="0" w:color="A6A6A6"/>
            </w:tcBorders>
            <w:noWrap/>
          </w:tcPr>
          <w:p w14:paraId="289597F0" w14:textId="77777777" w:rsidR="00087B91" w:rsidRPr="002029AF" w:rsidRDefault="00087B91" w:rsidP="00860E95">
            <w:pPr>
              <w:pStyle w:val="ARfintablebodyright"/>
              <w:spacing w:before="20" w:after="10"/>
            </w:pPr>
            <w:r w:rsidRPr="002029AF">
              <w:t>4.7</w:t>
            </w:r>
          </w:p>
        </w:tc>
        <w:tc>
          <w:tcPr>
            <w:tcW w:w="1610" w:type="dxa"/>
            <w:tcBorders>
              <w:top w:val="single" w:sz="4" w:space="0" w:color="A6A6A6"/>
              <w:bottom w:val="single" w:sz="4" w:space="0" w:color="A6A6A6"/>
            </w:tcBorders>
            <w:noWrap/>
          </w:tcPr>
          <w:p w14:paraId="0DF2A942" w14:textId="77777777" w:rsidR="00087B91" w:rsidRPr="002029AF" w:rsidRDefault="00087B91" w:rsidP="00860E95">
            <w:pPr>
              <w:pStyle w:val="ARfintablebodyright"/>
              <w:spacing w:before="20" w:after="10"/>
            </w:pPr>
            <w:r w:rsidRPr="002029AF">
              <w:t>–</w:t>
            </w:r>
          </w:p>
        </w:tc>
        <w:tc>
          <w:tcPr>
            <w:tcW w:w="1610" w:type="dxa"/>
            <w:tcBorders>
              <w:top w:val="single" w:sz="4" w:space="0" w:color="A6A6A6"/>
              <w:bottom w:val="single" w:sz="4" w:space="0" w:color="A6A6A6"/>
            </w:tcBorders>
            <w:noWrap/>
          </w:tcPr>
          <w:p w14:paraId="3153FF00" w14:textId="77777777" w:rsidR="00087B91" w:rsidRPr="002029AF" w:rsidRDefault="00087B91" w:rsidP="00860E95">
            <w:pPr>
              <w:pStyle w:val="ARfintablebodyright"/>
              <w:spacing w:before="20" w:after="10"/>
            </w:pPr>
            <w:r w:rsidRPr="002029AF">
              <w:t>–</w:t>
            </w:r>
          </w:p>
        </w:tc>
        <w:tc>
          <w:tcPr>
            <w:tcW w:w="1610" w:type="dxa"/>
            <w:tcBorders>
              <w:top w:val="single" w:sz="4" w:space="0" w:color="A6A6A6"/>
              <w:bottom w:val="single" w:sz="4" w:space="0" w:color="A6A6A6"/>
            </w:tcBorders>
            <w:noWrap/>
          </w:tcPr>
          <w:p w14:paraId="7E6A7B69" w14:textId="77777777" w:rsidR="00087B91" w:rsidRPr="002029AF" w:rsidRDefault="00087B91" w:rsidP="00860E95">
            <w:pPr>
              <w:pStyle w:val="ARfintablebodyright"/>
              <w:spacing w:before="20" w:after="10"/>
            </w:pPr>
            <w:r w:rsidRPr="002029AF">
              <w:t>10.8</w:t>
            </w:r>
          </w:p>
        </w:tc>
      </w:tr>
      <w:tr w:rsidR="00087B91" w:rsidRPr="002029AF" w14:paraId="3A578FD1" w14:textId="77777777" w:rsidTr="00860E95">
        <w:tc>
          <w:tcPr>
            <w:tcW w:w="6407" w:type="dxa"/>
            <w:gridSpan w:val="6"/>
            <w:tcBorders>
              <w:top w:val="single" w:sz="4" w:space="0" w:color="A6A6A6"/>
              <w:bottom w:val="single" w:sz="4" w:space="0" w:color="A6A6A6"/>
            </w:tcBorders>
            <w:hideMark/>
          </w:tcPr>
          <w:p w14:paraId="5DCA70D5" w14:textId="387AD15F" w:rsidR="00087B91" w:rsidRPr="002029AF" w:rsidRDefault="00087B91" w:rsidP="00860E95">
            <w:pPr>
              <w:pStyle w:val="ARfintablebodybold"/>
              <w:spacing w:before="20" w:after="10"/>
            </w:pPr>
            <w:r w:rsidRPr="002029AF">
              <w:t>Gains</w:t>
            </w:r>
            <w:r w:rsidR="000A5329" w:rsidRPr="002029AF">
              <w:t xml:space="preserve"> </w:t>
            </w:r>
            <w:r w:rsidRPr="002029AF">
              <w:t>or</w:t>
            </w:r>
            <w:r w:rsidR="000A5329" w:rsidRPr="002029AF">
              <w:t xml:space="preserve"> </w:t>
            </w:r>
            <w:r w:rsidRPr="002029AF">
              <w:t>losses</w:t>
            </w:r>
            <w:r w:rsidR="000A5329" w:rsidRPr="002029AF">
              <w:t xml:space="preserve"> </w:t>
            </w:r>
            <w:r w:rsidRPr="002029AF">
              <w:t>recognised</w:t>
            </w:r>
            <w:r w:rsidR="000A5329" w:rsidRPr="002029AF">
              <w:t xml:space="preserve"> </w:t>
            </w:r>
            <w:r w:rsidRPr="002029AF">
              <w:t>in</w:t>
            </w:r>
            <w:r w:rsidR="000A5329" w:rsidRPr="002029AF">
              <w:t xml:space="preserve"> </w:t>
            </w:r>
            <w:r w:rsidRPr="002029AF">
              <w:t>net</w:t>
            </w:r>
            <w:r w:rsidR="000A5329" w:rsidRPr="002029AF">
              <w:t xml:space="preserve"> </w:t>
            </w:r>
            <w:r w:rsidRPr="002029AF">
              <w:t>result</w:t>
            </w:r>
          </w:p>
        </w:tc>
      </w:tr>
      <w:tr w:rsidR="00087B91" w:rsidRPr="002029AF" w14:paraId="4B05DEB3" w14:textId="77777777" w:rsidTr="00860E95">
        <w:tc>
          <w:tcPr>
            <w:tcW w:w="6407" w:type="dxa"/>
            <w:tcBorders>
              <w:top w:val="single" w:sz="4" w:space="0" w:color="A6A6A6"/>
              <w:bottom w:val="single" w:sz="4" w:space="0" w:color="A6A6A6"/>
            </w:tcBorders>
            <w:hideMark/>
          </w:tcPr>
          <w:p w14:paraId="4C35291B" w14:textId="77777777" w:rsidR="00087B91" w:rsidRPr="002029AF" w:rsidRDefault="00087B91" w:rsidP="00860E95">
            <w:pPr>
              <w:pStyle w:val="ARfintablebody"/>
              <w:spacing w:before="20" w:after="10"/>
            </w:pPr>
            <w:r w:rsidRPr="002029AF">
              <w:t>Depreciation</w:t>
            </w:r>
          </w:p>
        </w:tc>
        <w:tc>
          <w:tcPr>
            <w:tcW w:w="1610" w:type="dxa"/>
            <w:tcBorders>
              <w:top w:val="single" w:sz="4" w:space="0" w:color="A6A6A6"/>
              <w:bottom w:val="single" w:sz="4" w:space="0" w:color="A6A6A6"/>
            </w:tcBorders>
            <w:noWrap/>
            <w:hideMark/>
          </w:tcPr>
          <w:p w14:paraId="2E76C508" w14:textId="77777777" w:rsidR="00087B91" w:rsidRPr="002029AF" w:rsidRDefault="00087B91" w:rsidP="00860E95">
            <w:pPr>
              <w:pStyle w:val="ARfintablebodyright"/>
              <w:spacing w:before="20" w:after="10"/>
            </w:pPr>
            <w:r w:rsidRPr="002029AF">
              <w:t>–</w:t>
            </w:r>
          </w:p>
        </w:tc>
        <w:tc>
          <w:tcPr>
            <w:tcW w:w="1610" w:type="dxa"/>
            <w:tcBorders>
              <w:top w:val="single" w:sz="4" w:space="0" w:color="A6A6A6"/>
              <w:bottom w:val="single" w:sz="4" w:space="0" w:color="A6A6A6"/>
            </w:tcBorders>
            <w:noWrap/>
            <w:hideMark/>
          </w:tcPr>
          <w:p w14:paraId="1D717DAE" w14:textId="77777777" w:rsidR="00087B91" w:rsidRPr="002029AF" w:rsidRDefault="00087B91" w:rsidP="00860E95">
            <w:pPr>
              <w:pStyle w:val="ARfintablebodyright"/>
              <w:spacing w:before="20" w:after="10"/>
            </w:pPr>
            <w:r w:rsidRPr="002029AF">
              <w:t>(39.2)</w:t>
            </w:r>
          </w:p>
        </w:tc>
        <w:tc>
          <w:tcPr>
            <w:tcW w:w="1610" w:type="dxa"/>
            <w:tcBorders>
              <w:top w:val="single" w:sz="4" w:space="0" w:color="A6A6A6"/>
              <w:bottom w:val="single" w:sz="4" w:space="0" w:color="A6A6A6"/>
            </w:tcBorders>
            <w:noWrap/>
            <w:hideMark/>
          </w:tcPr>
          <w:p w14:paraId="25EF3169" w14:textId="77777777" w:rsidR="00087B91" w:rsidRPr="002029AF" w:rsidRDefault="00087B91" w:rsidP="00860E95">
            <w:pPr>
              <w:pStyle w:val="ARfintablebodyright"/>
              <w:spacing w:before="20" w:after="10"/>
            </w:pPr>
            <w:r w:rsidRPr="002029AF">
              <w:t>(4.1)</w:t>
            </w:r>
          </w:p>
        </w:tc>
        <w:tc>
          <w:tcPr>
            <w:tcW w:w="1610" w:type="dxa"/>
            <w:tcBorders>
              <w:top w:val="single" w:sz="4" w:space="0" w:color="A6A6A6"/>
              <w:bottom w:val="single" w:sz="4" w:space="0" w:color="A6A6A6"/>
            </w:tcBorders>
            <w:noWrap/>
            <w:hideMark/>
          </w:tcPr>
          <w:p w14:paraId="644761A2" w14:textId="77777777" w:rsidR="00087B91" w:rsidRPr="002029AF" w:rsidRDefault="00087B91" w:rsidP="00860E95">
            <w:pPr>
              <w:pStyle w:val="ARfintablebodyright"/>
              <w:spacing w:before="20" w:after="10"/>
            </w:pPr>
            <w:r w:rsidRPr="002029AF">
              <w:t>(0.1)</w:t>
            </w:r>
          </w:p>
        </w:tc>
        <w:tc>
          <w:tcPr>
            <w:tcW w:w="1610" w:type="dxa"/>
            <w:tcBorders>
              <w:top w:val="single" w:sz="4" w:space="0" w:color="A6A6A6"/>
              <w:bottom w:val="single" w:sz="4" w:space="0" w:color="A6A6A6"/>
            </w:tcBorders>
            <w:noWrap/>
            <w:hideMark/>
          </w:tcPr>
          <w:p w14:paraId="2179718C" w14:textId="77777777" w:rsidR="00087B91" w:rsidRPr="002029AF" w:rsidRDefault="00087B91" w:rsidP="00860E95">
            <w:pPr>
              <w:pStyle w:val="ARfintablebodyright"/>
              <w:spacing w:before="20" w:after="10"/>
            </w:pPr>
            <w:r w:rsidRPr="002029AF">
              <w:t>(43.4)</w:t>
            </w:r>
          </w:p>
        </w:tc>
      </w:tr>
      <w:tr w:rsidR="00087B91" w:rsidRPr="002029AF" w14:paraId="1C1EE92B" w14:textId="77777777" w:rsidTr="00860E95">
        <w:tc>
          <w:tcPr>
            <w:tcW w:w="6407" w:type="dxa"/>
            <w:tcBorders>
              <w:top w:val="single" w:sz="4" w:space="0" w:color="A6A6A6"/>
            </w:tcBorders>
            <w:hideMark/>
          </w:tcPr>
          <w:p w14:paraId="3B3D66DF" w14:textId="6ADD7BB9" w:rsidR="00087B91" w:rsidRPr="002029AF" w:rsidRDefault="00087B91" w:rsidP="00860E95">
            <w:pPr>
              <w:pStyle w:val="ARfintablebody"/>
              <w:spacing w:before="20" w:after="10"/>
            </w:pPr>
            <w:r w:rsidRPr="002029AF">
              <w:t>Assets</w:t>
            </w:r>
            <w:r w:rsidR="000A5329" w:rsidRPr="002029AF">
              <w:t xml:space="preserve"> </w:t>
            </w:r>
            <w:r w:rsidRPr="002029AF">
              <w:t>provided</w:t>
            </w:r>
            <w:r w:rsidR="000A5329" w:rsidRPr="002029AF">
              <w:t xml:space="preserve"> </w:t>
            </w:r>
            <w:r w:rsidRPr="002029AF">
              <w:t>free</w:t>
            </w:r>
            <w:r w:rsidR="000A5329" w:rsidRPr="002029AF">
              <w:t xml:space="preserve"> </w:t>
            </w:r>
            <w:r w:rsidRPr="002029AF">
              <w:t>of</w:t>
            </w:r>
            <w:r w:rsidR="000A5329" w:rsidRPr="002029AF">
              <w:t xml:space="preserve"> </w:t>
            </w:r>
            <w:r w:rsidRPr="002029AF">
              <w:t>charge</w:t>
            </w:r>
          </w:p>
        </w:tc>
        <w:tc>
          <w:tcPr>
            <w:tcW w:w="1610" w:type="dxa"/>
            <w:tcBorders>
              <w:top w:val="single" w:sz="4" w:space="0" w:color="A6A6A6"/>
            </w:tcBorders>
            <w:noWrap/>
            <w:hideMark/>
          </w:tcPr>
          <w:p w14:paraId="3DA05DCA" w14:textId="77777777" w:rsidR="00087B91" w:rsidRPr="002029AF" w:rsidRDefault="00087B91" w:rsidP="00860E95">
            <w:pPr>
              <w:pStyle w:val="ARfintablebodyright"/>
              <w:spacing w:before="20" w:after="10"/>
            </w:pPr>
            <w:r w:rsidRPr="002029AF">
              <w:t>–</w:t>
            </w:r>
          </w:p>
        </w:tc>
        <w:tc>
          <w:tcPr>
            <w:tcW w:w="1610" w:type="dxa"/>
            <w:tcBorders>
              <w:top w:val="single" w:sz="4" w:space="0" w:color="A6A6A6"/>
            </w:tcBorders>
            <w:noWrap/>
            <w:hideMark/>
          </w:tcPr>
          <w:p w14:paraId="4C3AF3FC" w14:textId="77777777" w:rsidR="00087B91" w:rsidRPr="002029AF" w:rsidRDefault="00087B91" w:rsidP="00860E95">
            <w:pPr>
              <w:pStyle w:val="ARfintablebodyright"/>
              <w:spacing w:before="20" w:after="10"/>
            </w:pPr>
            <w:r w:rsidRPr="002029AF">
              <w:t>–</w:t>
            </w:r>
          </w:p>
        </w:tc>
        <w:tc>
          <w:tcPr>
            <w:tcW w:w="1610" w:type="dxa"/>
            <w:tcBorders>
              <w:top w:val="single" w:sz="4" w:space="0" w:color="A6A6A6"/>
            </w:tcBorders>
            <w:noWrap/>
            <w:hideMark/>
          </w:tcPr>
          <w:p w14:paraId="0CAEF014" w14:textId="77777777" w:rsidR="00087B91" w:rsidRPr="002029AF" w:rsidRDefault="00087B91" w:rsidP="00860E95">
            <w:pPr>
              <w:pStyle w:val="ARfintablebodyright"/>
              <w:spacing w:before="20" w:after="10"/>
            </w:pPr>
            <w:r w:rsidRPr="002029AF">
              <w:t>–</w:t>
            </w:r>
          </w:p>
        </w:tc>
        <w:tc>
          <w:tcPr>
            <w:tcW w:w="1610" w:type="dxa"/>
            <w:tcBorders>
              <w:top w:val="single" w:sz="4" w:space="0" w:color="A6A6A6"/>
            </w:tcBorders>
            <w:noWrap/>
            <w:hideMark/>
          </w:tcPr>
          <w:p w14:paraId="2E3CE777" w14:textId="77777777" w:rsidR="00087B91" w:rsidRPr="002029AF" w:rsidRDefault="00087B91" w:rsidP="00860E95">
            <w:pPr>
              <w:pStyle w:val="ARfintablebodyright"/>
              <w:spacing w:before="20" w:after="10"/>
            </w:pPr>
            <w:r w:rsidRPr="002029AF">
              <w:t>–</w:t>
            </w:r>
          </w:p>
        </w:tc>
        <w:tc>
          <w:tcPr>
            <w:tcW w:w="1610" w:type="dxa"/>
            <w:tcBorders>
              <w:top w:val="single" w:sz="4" w:space="0" w:color="A6A6A6"/>
            </w:tcBorders>
            <w:noWrap/>
            <w:hideMark/>
          </w:tcPr>
          <w:p w14:paraId="71887C8C" w14:textId="77777777" w:rsidR="00087B91" w:rsidRPr="002029AF" w:rsidRDefault="00087B91" w:rsidP="00860E95">
            <w:pPr>
              <w:pStyle w:val="ARfintablebodyright"/>
              <w:spacing w:before="20" w:after="10"/>
            </w:pPr>
            <w:r w:rsidRPr="002029AF">
              <w:t>–</w:t>
            </w:r>
          </w:p>
        </w:tc>
      </w:tr>
      <w:tr w:rsidR="00087B91" w:rsidRPr="002029AF" w14:paraId="563B2D66" w14:textId="77777777" w:rsidTr="00860E95">
        <w:tc>
          <w:tcPr>
            <w:tcW w:w="6407" w:type="dxa"/>
            <w:tcBorders>
              <w:bottom w:val="single" w:sz="4" w:space="0" w:color="auto"/>
            </w:tcBorders>
            <w:hideMark/>
          </w:tcPr>
          <w:p w14:paraId="68E3D615" w14:textId="1C10C05A" w:rsidR="00087B91" w:rsidRPr="002029AF" w:rsidRDefault="00087B91" w:rsidP="00860E95">
            <w:pPr>
              <w:pStyle w:val="ARfintablebodybold"/>
              <w:spacing w:before="20" w:after="10"/>
            </w:pPr>
            <w:r w:rsidRPr="002029AF">
              <w:t>Subtotal</w:t>
            </w:r>
            <w:r w:rsidR="000A5329" w:rsidRPr="002029AF">
              <w:t xml:space="preserve"> </w:t>
            </w:r>
            <w:r w:rsidRPr="002029AF">
              <w:t>of</w:t>
            </w:r>
            <w:r w:rsidR="000A5329" w:rsidRPr="002029AF">
              <w:t xml:space="preserve"> </w:t>
            </w:r>
            <w:r w:rsidRPr="002029AF">
              <w:t>gains</w:t>
            </w:r>
            <w:r w:rsidR="000A5329" w:rsidRPr="002029AF">
              <w:t xml:space="preserve"> </w:t>
            </w:r>
            <w:r w:rsidRPr="002029AF">
              <w:t>or</w:t>
            </w:r>
            <w:r w:rsidR="000A5329" w:rsidRPr="002029AF">
              <w:t xml:space="preserve"> </w:t>
            </w:r>
            <w:r w:rsidRPr="002029AF">
              <w:t>losses</w:t>
            </w:r>
            <w:r w:rsidR="000A5329" w:rsidRPr="002029AF">
              <w:t xml:space="preserve"> </w:t>
            </w:r>
            <w:r w:rsidRPr="002029AF">
              <w:t>recognises</w:t>
            </w:r>
            <w:r w:rsidR="000A5329" w:rsidRPr="002029AF">
              <w:t xml:space="preserve"> </w:t>
            </w:r>
            <w:r w:rsidRPr="002029AF">
              <w:t>in</w:t>
            </w:r>
            <w:r w:rsidR="000A5329" w:rsidRPr="002029AF">
              <w:t xml:space="preserve"> </w:t>
            </w:r>
            <w:r w:rsidRPr="002029AF">
              <w:t>net</w:t>
            </w:r>
            <w:r w:rsidR="000A5329" w:rsidRPr="002029AF">
              <w:t xml:space="preserve"> </w:t>
            </w:r>
            <w:r w:rsidRPr="002029AF">
              <w:t>result</w:t>
            </w:r>
          </w:p>
        </w:tc>
        <w:tc>
          <w:tcPr>
            <w:tcW w:w="1610" w:type="dxa"/>
            <w:tcBorders>
              <w:bottom w:val="single" w:sz="4" w:space="0" w:color="auto"/>
            </w:tcBorders>
            <w:noWrap/>
            <w:hideMark/>
          </w:tcPr>
          <w:p w14:paraId="0798DE11" w14:textId="77777777" w:rsidR="00087B91" w:rsidRPr="002029AF" w:rsidRDefault="00087B91" w:rsidP="00860E95">
            <w:pPr>
              <w:pStyle w:val="ARfintablebodyrightbold"/>
              <w:spacing w:before="20" w:after="10"/>
            </w:pPr>
            <w:r w:rsidRPr="002029AF">
              <w:t>–</w:t>
            </w:r>
          </w:p>
        </w:tc>
        <w:tc>
          <w:tcPr>
            <w:tcW w:w="1610" w:type="dxa"/>
            <w:tcBorders>
              <w:bottom w:val="single" w:sz="4" w:space="0" w:color="auto"/>
            </w:tcBorders>
            <w:noWrap/>
            <w:hideMark/>
          </w:tcPr>
          <w:p w14:paraId="0E8BDE03" w14:textId="77777777" w:rsidR="00087B91" w:rsidRPr="002029AF" w:rsidRDefault="00087B91" w:rsidP="00860E95">
            <w:pPr>
              <w:pStyle w:val="ARfintablebodyrightbold"/>
              <w:spacing w:before="20" w:after="10"/>
            </w:pPr>
            <w:r w:rsidRPr="002029AF">
              <w:t>(39.2)</w:t>
            </w:r>
          </w:p>
        </w:tc>
        <w:tc>
          <w:tcPr>
            <w:tcW w:w="1610" w:type="dxa"/>
            <w:tcBorders>
              <w:bottom w:val="single" w:sz="4" w:space="0" w:color="auto"/>
            </w:tcBorders>
            <w:noWrap/>
            <w:hideMark/>
          </w:tcPr>
          <w:p w14:paraId="26D0D688" w14:textId="77777777" w:rsidR="00087B91" w:rsidRPr="002029AF" w:rsidRDefault="00087B91" w:rsidP="00860E95">
            <w:pPr>
              <w:pStyle w:val="ARfintablebodyrightbold"/>
              <w:spacing w:before="20" w:after="10"/>
            </w:pPr>
            <w:r w:rsidRPr="002029AF">
              <w:t>(4.1)</w:t>
            </w:r>
          </w:p>
        </w:tc>
        <w:tc>
          <w:tcPr>
            <w:tcW w:w="1610" w:type="dxa"/>
            <w:tcBorders>
              <w:bottom w:val="single" w:sz="4" w:space="0" w:color="auto"/>
            </w:tcBorders>
            <w:noWrap/>
            <w:hideMark/>
          </w:tcPr>
          <w:p w14:paraId="34C2F726" w14:textId="77777777" w:rsidR="00087B91" w:rsidRPr="002029AF" w:rsidRDefault="00087B91" w:rsidP="00860E95">
            <w:pPr>
              <w:pStyle w:val="ARfintablebodyrightbold"/>
              <w:spacing w:before="20" w:after="10"/>
            </w:pPr>
            <w:r w:rsidRPr="002029AF">
              <w:t>(0.1)</w:t>
            </w:r>
          </w:p>
        </w:tc>
        <w:tc>
          <w:tcPr>
            <w:tcW w:w="1610" w:type="dxa"/>
            <w:tcBorders>
              <w:bottom w:val="single" w:sz="4" w:space="0" w:color="auto"/>
            </w:tcBorders>
            <w:noWrap/>
            <w:hideMark/>
          </w:tcPr>
          <w:p w14:paraId="36903B2E" w14:textId="77777777" w:rsidR="00087B91" w:rsidRPr="002029AF" w:rsidRDefault="00087B91" w:rsidP="00860E95">
            <w:pPr>
              <w:pStyle w:val="ARfintablebodyrightbold"/>
              <w:spacing w:before="20" w:after="10"/>
            </w:pPr>
            <w:r w:rsidRPr="002029AF">
              <w:t>(43.4)</w:t>
            </w:r>
          </w:p>
        </w:tc>
      </w:tr>
      <w:tr w:rsidR="00087B91" w:rsidRPr="002029AF" w14:paraId="1B9295CD" w14:textId="77777777" w:rsidTr="00860E95">
        <w:tc>
          <w:tcPr>
            <w:tcW w:w="6407" w:type="dxa"/>
            <w:gridSpan w:val="6"/>
            <w:tcBorders>
              <w:top w:val="single" w:sz="4" w:space="0" w:color="auto"/>
              <w:bottom w:val="single" w:sz="4" w:space="0" w:color="A6A6A6"/>
            </w:tcBorders>
            <w:hideMark/>
          </w:tcPr>
          <w:p w14:paraId="37498C27" w14:textId="58385EAD" w:rsidR="00087B91" w:rsidRPr="002029AF" w:rsidRDefault="00087B91" w:rsidP="00860E95">
            <w:pPr>
              <w:pStyle w:val="ARfintablebodybold"/>
              <w:spacing w:before="20" w:after="10"/>
            </w:pPr>
            <w:r w:rsidRPr="002029AF">
              <w:t>Gains</w:t>
            </w:r>
            <w:r w:rsidR="000A5329" w:rsidRPr="002029AF">
              <w:t xml:space="preserve"> </w:t>
            </w:r>
            <w:r w:rsidRPr="002029AF">
              <w:t>or</w:t>
            </w:r>
            <w:r w:rsidR="000A5329" w:rsidRPr="002029AF">
              <w:t xml:space="preserve"> </w:t>
            </w:r>
            <w:r w:rsidRPr="002029AF">
              <w:t>losses</w:t>
            </w:r>
            <w:r w:rsidR="000A5329" w:rsidRPr="002029AF">
              <w:t xml:space="preserve"> </w:t>
            </w:r>
            <w:r w:rsidRPr="002029AF">
              <w:t>recognised</w:t>
            </w:r>
            <w:r w:rsidR="000A5329" w:rsidRPr="002029AF">
              <w:t xml:space="preserve"> </w:t>
            </w:r>
            <w:r w:rsidRPr="002029AF">
              <w:t>in</w:t>
            </w:r>
            <w:r w:rsidR="000A5329" w:rsidRPr="002029AF">
              <w:t xml:space="preserve"> </w:t>
            </w:r>
            <w:r w:rsidRPr="002029AF">
              <w:t>other</w:t>
            </w:r>
            <w:r w:rsidR="000A5329" w:rsidRPr="002029AF">
              <w:t xml:space="preserve"> </w:t>
            </w:r>
            <w:r w:rsidRPr="002029AF">
              <w:t>economic</w:t>
            </w:r>
            <w:r w:rsidR="000A5329" w:rsidRPr="002029AF">
              <w:t xml:space="preserve"> </w:t>
            </w:r>
            <w:r w:rsidRPr="002029AF">
              <w:t>flows</w:t>
            </w:r>
            <w:r w:rsidR="000A5329" w:rsidRPr="002029AF">
              <w:t xml:space="preserve"> </w:t>
            </w:r>
            <w:r w:rsidRPr="002029AF">
              <w:t>–</w:t>
            </w:r>
            <w:r w:rsidR="000A5329" w:rsidRPr="002029AF">
              <w:t xml:space="preserve"> </w:t>
            </w:r>
            <w:r w:rsidRPr="002029AF">
              <w:t>other</w:t>
            </w:r>
            <w:r w:rsidR="000A5329" w:rsidRPr="002029AF">
              <w:t xml:space="preserve"> </w:t>
            </w:r>
            <w:r w:rsidRPr="002029AF">
              <w:t>comprehensive</w:t>
            </w:r>
            <w:r w:rsidR="000A5329" w:rsidRPr="002029AF">
              <w:t xml:space="preserve"> </w:t>
            </w:r>
            <w:r w:rsidRPr="002029AF">
              <w:t>income</w:t>
            </w:r>
          </w:p>
        </w:tc>
      </w:tr>
      <w:tr w:rsidR="00087B91" w:rsidRPr="002029AF" w14:paraId="2826B1A6" w14:textId="77777777" w:rsidTr="00860E95">
        <w:tc>
          <w:tcPr>
            <w:tcW w:w="6407" w:type="dxa"/>
            <w:tcBorders>
              <w:top w:val="single" w:sz="4" w:space="0" w:color="A6A6A6"/>
            </w:tcBorders>
            <w:hideMark/>
          </w:tcPr>
          <w:p w14:paraId="6189A6F2" w14:textId="15D3F91B" w:rsidR="00087B91" w:rsidRPr="002029AF" w:rsidRDefault="00087B91" w:rsidP="00860E95">
            <w:pPr>
              <w:pStyle w:val="ARfintablebody"/>
              <w:spacing w:before="20" w:after="10"/>
            </w:pPr>
            <w:r w:rsidRPr="002029AF">
              <w:t>Net</w:t>
            </w:r>
            <w:r w:rsidR="000A5329" w:rsidRPr="002029AF">
              <w:t xml:space="preserve"> </w:t>
            </w:r>
            <w:r w:rsidRPr="002029AF">
              <w:t>revaluation</w:t>
            </w:r>
            <w:r w:rsidR="000A5329" w:rsidRPr="002029AF">
              <w:t xml:space="preserve"> </w:t>
            </w:r>
            <w:r w:rsidRPr="002029AF">
              <w:t>increments/(decrements)</w:t>
            </w:r>
          </w:p>
        </w:tc>
        <w:tc>
          <w:tcPr>
            <w:tcW w:w="1610" w:type="dxa"/>
            <w:tcBorders>
              <w:top w:val="single" w:sz="4" w:space="0" w:color="A6A6A6"/>
            </w:tcBorders>
            <w:noWrap/>
            <w:hideMark/>
          </w:tcPr>
          <w:p w14:paraId="78D68B12" w14:textId="77777777" w:rsidR="00087B91" w:rsidRPr="002029AF" w:rsidRDefault="00087B91" w:rsidP="00860E95">
            <w:pPr>
              <w:pStyle w:val="ARfintablebodyright"/>
              <w:spacing w:before="20" w:after="10"/>
            </w:pPr>
            <w:r w:rsidRPr="002029AF">
              <w:t>(0.2)</w:t>
            </w:r>
          </w:p>
        </w:tc>
        <w:tc>
          <w:tcPr>
            <w:tcW w:w="1610" w:type="dxa"/>
            <w:tcBorders>
              <w:top w:val="single" w:sz="4" w:space="0" w:color="A6A6A6"/>
            </w:tcBorders>
            <w:noWrap/>
            <w:hideMark/>
          </w:tcPr>
          <w:p w14:paraId="59A226BA" w14:textId="77777777" w:rsidR="00087B91" w:rsidRPr="002029AF" w:rsidRDefault="00087B91" w:rsidP="00860E95">
            <w:pPr>
              <w:pStyle w:val="ARfintablebodyright"/>
              <w:spacing w:before="20" w:after="10"/>
            </w:pPr>
            <w:r w:rsidRPr="002029AF">
              <w:t>(5.0)</w:t>
            </w:r>
          </w:p>
        </w:tc>
        <w:tc>
          <w:tcPr>
            <w:tcW w:w="1610" w:type="dxa"/>
            <w:tcBorders>
              <w:top w:val="single" w:sz="4" w:space="0" w:color="A6A6A6"/>
            </w:tcBorders>
            <w:noWrap/>
            <w:hideMark/>
          </w:tcPr>
          <w:p w14:paraId="3CB48AB5" w14:textId="77777777" w:rsidR="00087B91" w:rsidRPr="002029AF" w:rsidRDefault="00087B91" w:rsidP="00860E95">
            <w:pPr>
              <w:pStyle w:val="ARfintablebodyright"/>
              <w:spacing w:before="20" w:after="10"/>
            </w:pPr>
            <w:r w:rsidRPr="002029AF">
              <w:t>–</w:t>
            </w:r>
          </w:p>
        </w:tc>
        <w:tc>
          <w:tcPr>
            <w:tcW w:w="1610" w:type="dxa"/>
            <w:tcBorders>
              <w:top w:val="single" w:sz="4" w:space="0" w:color="A6A6A6"/>
            </w:tcBorders>
            <w:noWrap/>
            <w:hideMark/>
          </w:tcPr>
          <w:p w14:paraId="753A1320" w14:textId="77777777" w:rsidR="00087B91" w:rsidRPr="002029AF" w:rsidRDefault="00087B91" w:rsidP="00860E95">
            <w:pPr>
              <w:pStyle w:val="ARfintablebodyright"/>
              <w:spacing w:before="20" w:after="10"/>
            </w:pPr>
            <w:r w:rsidRPr="002029AF">
              <w:t>–</w:t>
            </w:r>
          </w:p>
        </w:tc>
        <w:tc>
          <w:tcPr>
            <w:tcW w:w="1610" w:type="dxa"/>
            <w:tcBorders>
              <w:top w:val="single" w:sz="4" w:space="0" w:color="A6A6A6"/>
            </w:tcBorders>
            <w:noWrap/>
            <w:hideMark/>
          </w:tcPr>
          <w:p w14:paraId="4FFC9681" w14:textId="77777777" w:rsidR="00087B91" w:rsidRPr="002029AF" w:rsidRDefault="00087B91" w:rsidP="00860E95">
            <w:pPr>
              <w:pStyle w:val="ARfintablebodyright"/>
              <w:spacing w:before="20" w:after="10"/>
            </w:pPr>
            <w:r w:rsidRPr="002029AF">
              <w:t>(5.2)</w:t>
            </w:r>
          </w:p>
        </w:tc>
      </w:tr>
      <w:tr w:rsidR="00087B91" w:rsidRPr="002029AF" w14:paraId="7FA3041D" w14:textId="77777777" w:rsidTr="00860E95">
        <w:tc>
          <w:tcPr>
            <w:tcW w:w="6407" w:type="dxa"/>
            <w:hideMark/>
          </w:tcPr>
          <w:p w14:paraId="6F79FE86" w14:textId="41D936FE" w:rsidR="00087B91" w:rsidRPr="002029AF" w:rsidRDefault="00087B91" w:rsidP="00860E95">
            <w:pPr>
              <w:pStyle w:val="ARfintablebodybold"/>
              <w:spacing w:before="20" w:after="10"/>
            </w:pPr>
            <w:r w:rsidRPr="002029AF">
              <w:t>Subtotal</w:t>
            </w:r>
            <w:r w:rsidR="000A5329" w:rsidRPr="002029AF">
              <w:t xml:space="preserve"> </w:t>
            </w:r>
            <w:r w:rsidRPr="002029AF">
              <w:t>of</w:t>
            </w:r>
            <w:r w:rsidR="000A5329" w:rsidRPr="002029AF">
              <w:t xml:space="preserve"> </w:t>
            </w:r>
            <w:r w:rsidRPr="002029AF">
              <w:t>gains</w:t>
            </w:r>
            <w:r w:rsidR="000A5329" w:rsidRPr="002029AF">
              <w:t xml:space="preserve"> </w:t>
            </w:r>
            <w:r w:rsidRPr="002029AF">
              <w:t>or</w:t>
            </w:r>
            <w:r w:rsidR="000A5329" w:rsidRPr="002029AF">
              <w:t xml:space="preserve"> </w:t>
            </w:r>
            <w:r w:rsidRPr="002029AF">
              <w:t>losses</w:t>
            </w:r>
            <w:r w:rsidR="000A5329" w:rsidRPr="002029AF">
              <w:t xml:space="preserve"> </w:t>
            </w:r>
            <w:r w:rsidRPr="002029AF">
              <w:t>recognised</w:t>
            </w:r>
            <w:r w:rsidR="000A5329" w:rsidRPr="002029AF">
              <w:t xml:space="preserve"> </w:t>
            </w:r>
            <w:r w:rsidRPr="002029AF">
              <w:t>in</w:t>
            </w:r>
            <w:r w:rsidR="000A5329" w:rsidRPr="002029AF">
              <w:t xml:space="preserve"> </w:t>
            </w:r>
            <w:r w:rsidRPr="002029AF">
              <w:t>other</w:t>
            </w:r>
            <w:r w:rsidR="000A5329" w:rsidRPr="002029AF">
              <w:t xml:space="preserve"> </w:t>
            </w:r>
            <w:r w:rsidRPr="002029AF">
              <w:t>economic</w:t>
            </w:r>
            <w:r w:rsidR="000A5329" w:rsidRPr="002029AF">
              <w:t xml:space="preserve"> </w:t>
            </w:r>
            <w:r w:rsidRPr="002029AF">
              <w:t>flows</w:t>
            </w:r>
          </w:p>
        </w:tc>
        <w:tc>
          <w:tcPr>
            <w:tcW w:w="1610" w:type="dxa"/>
            <w:noWrap/>
            <w:hideMark/>
          </w:tcPr>
          <w:p w14:paraId="362656FD" w14:textId="77777777" w:rsidR="00087B91" w:rsidRPr="002029AF" w:rsidRDefault="00087B91" w:rsidP="00860E95">
            <w:pPr>
              <w:pStyle w:val="ARfintablebodyrightbold"/>
              <w:spacing w:before="20" w:after="10"/>
            </w:pPr>
            <w:r w:rsidRPr="002029AF">
              <w:t>(0.2)</w:t>
            </w:r>
          </w:p>
        </w:tc>
        <w:tc>
          <w:tcPr>
            <w:tcW w:w="1610" w:type="dxa"/>
            <w:noWrap/>
            <w:hideMark/>
          </w:tcPr>
          <w:p w14:paraId="77E3E892" w14:textId="77777777" w:rsidR="00087B91" w:rsidRPr="002029AF" w:rsidRDefault="00087B91" w:rsidP="00860E95">
            <w:pPr>
              <w:pStyle w:val="ARfintablebodyrightbold"/>
              <w:spacing w:before="20" w:after="10"/>
            </w:pPr>
            <w:r w:rsidRPr="002029AF">
              <w:t>(5.0)</w:t>
            </w:r>
          </w:p>
        </w:tc>
        <w:tc>
          <w:tcPr>
            <w:tcW w:w="1610" w:type="dxa"/>
            <w:noWrap/>
            <w:hideMark/>
          </w:tcPr>
          <w:p w14:paraId="7D5E1FDF" w14:textId="77777777" w:rsidR="00087B91" w:rsidRPr="002029AF" w:rsidRDefault="00087B91" w:rsidP="00860E95">
            <w:pPr>
              <w:pStyle w:val="ARfintablebodyrightbold"/>
              <w:spacing w:before="20" w:after="10"/>
            </w:pPr>
            <w:r w:rsidRPr="002029AF">
              <w:t>–</w:t>
            </w:r>
          </w:p>
        </w:tc>
        <w:tc>
          <w:tcPr>
            <w:tcW w:w="1610" w:type="dxa"/>
            <w:noWrap/>
            <w:hideMark/>
          </w:tcPr>
          <w:p w14:paraId="1EF9B183" w14:textId="77777777" w:rsidR="00087B91" w:rsidRPr="002029AF" w:rsidRDefault="00087B91" w:rsidP="00860E95">
            <w:pPr>
              <w:pStyle w:val="ARfintablebodyrightbold"/>
              <w:spacing w:before="20" w:after="10"/>
            </w:pPr>
            <w:r w:rsidRPr="002029AF">
              <w:t>–</w:t>
            </w:r>
          </w:p>
        </w:tc>
        <w:tc>
          <w:tcPr>
            <w:tcW w:w="1610" w:type="dxa"/>
            <w:noWrap/>
            <w:hideMark/>
          </w:tcPr>
          <w:p w14:paraId="6C1BC009" w14:textId="77777777" w:rsidR="00087B91" w:rsidRPr="002029AF" w:rsidRDefault="00087B91" w:rsidP="00860E95">
            <w:pPr>
              <w:pStyle w:val="ARfintablebodyrightbold"/>
              <w:spacing w:before="20" w:after="10"/>
            </w:pPr>
            <w:r w:rsidRPr="002029AF">
              <w:t>(5.2)</w:t>
            </w:r>
          </w:p>
        </w:tc>
      </w:tr>
      <w:tr w:rsidR="00087B91" w:rsidRPr="002029AF" w14:paraId="72C9DB76" w14:textId="77777777" w:rsidTr="00860E95">
        <w:tc>
          <w:tcPr>
            <w:tcW w:w="6407" w:type="dxa"/>
            <w:hideMark/>
          </w:tcPr>
          <w:p w14:paraId="2BE1CDA3" w14:textId="67D7B9A2" w:rsidR="00087B91" w:rsidRPr="002029AF" w:rsidRDefault="00087B91" w:rsidP="00860E95">
            <w:pPr>
              <w:pStyle w:val="ARfintablebodybold"/>
              <w:spacing w:before="20" w:after="10"/>
            </w:pPr>
            <w:r w:rsidRPr="002029AF">
              <w:t>Closing</w:t>
            </w:r>
            <w:r w:rsidR="000A5329" w:rsidRPr="002029AF">
              <w:t xml:space="preserve"> </w:t>
            </w:r>
            <w:r w:rsidRPr="002029AF">
              <w:t>balance</w:t>
            </w:r>
          </w:p>
        </w:tc>
        <w:tc>
          <w:tcPr>
            <w:tcW w:w="1610" w:type="dxa"/>
            <w:noWrap/>
            <w:hideMark/>
          </w:tcPr>
          <w:p w14:paraId="109ABEDC" w14:textId="77777777" w:rsidR="00087B91" w:rsidRPr="002029AF" w:rsidRDefault="00087B91" w:rsidP="00860E95">
            <w:pPr>
              <w:pStyle w:val="ARfintablebodyrightbold"/>
              <w:spacing w:before="20" w:after="10"/>
            </w:pPr>
            <w:r w:rsidRPr="002029AF">
              <w:t>515.5</w:t>
            </w:r>
          </w:p>
        </w:tc>
        <w:tc>
          <w:tcPr>
            <w:tcW w:w="1610" w:type="dxa"/>
            <w:noWrap/>
            <w:hideMark/>
          </w:tcPr>
          <w:p w14:paraId="1B98ACD4" w14:textId="77777777" w:rsidR="00087B91" w:rsidRPr="002029AF" w:rsidRDefault="00087B91" w:rsidP="00860E95">
            <w:pPr>
              <w:pStyle w:val="ARfintablebodyrightbold"/>
              <w:spacing w:before="20" w:after="10"/>
            </w:pPr>
            <w:r w:rsidRPr="002029AF">
              <w:t>703.6</w:t>
            </w:r>
          </w:p>
        </w:tc>
        <w:tc>
          <w:tcPr>
            <w:tcW w:w="1610" w:type="dxa"/>
            <w:noWrap/>
            <w:hideMark/>
          </w:tcPr>
          <w:p w14:paraId="4B2B0F9D" w14:textId="77777777" w:rsidR="00087B91" w:rsidRPr="002029AF" w:rsidRDefault="00087B91" w:rsidP="00860E95">
            <w:pPr>
              <w:pStyle w:val="ARfintablebodyrightbold"/>
              <w:spacing w:before="20" w:after="10"/>
            </w:pPr>
            <w:r w:rsidRPr="002029AF">
              <w:t>7.6</w:t>
            </w:r>
          </w:p>
        </w:tc>
        <w:tc>
          <w:tcPr>
            <w:tcW w:w="1610" w:type="dxa"/>
            <w:noWrap/>
            <w:hideMark/>
          </w:tcPr>
          <w:p w14:paraId="4E02E8A1" w14:textId="77777777" w:rsidR="00087B91" w:rsidRPr="002029AF" w:rsidRDefault="00087B91" w:rsidP="00860E95">
            <w:pPr>
              <w:pStyle w:val="ARfintablebodyrightbold"/>
              <w:spacing w:before="20" w:after="10"/>
            </w:pPr>
            <w:r w:rsidRPr="002029AF">
              <w:t>0.4</w:t>
            </w:r>
          </w:p>
        </w:tc>
        <w:tc>
          <w:tcPr>
            <w:tcW w:w="1610" w:type="dxa"/>
            <w:noWrap/>
            <w:hideMark/>
          </w:tcPr>
          <w:p w14:paraId="60A34639" w14:textId="77777777" w:rsidR="00087B91" w:rsidRPr="002029AF" w:rsidRDefault="00087B91" w:rsidP="00860E95">
            <w:pPr>
              <w:pStyle w:val="ARfintablebodyrightbold"/>
              <w:spacing w:before="20" w:after="10"/>
            </w:pPr>
            <w:r w:rsidRPr="002029AF">
              <w:t>1,227.2</w:t>
            </w:r>
          </w:p>
        </w:tc>
      </w:tr>
    </w:tbl>
    <w:p w14:paraId="44F52724" w14:textId="77777777" w:rsidR="00087B91" w:rsidRPr="002029AF" w:rsidRDefault="00087B91" w:rsidP="00087B91">
      <w:pPr>
        <w:pStyle w:val="ARfinbody"/>
      </w:pPr>
    </w:p>
    <w:tbl>
      <w:tblPr>
        <w:tblStyle w:val="TableGrid"/>
        <w:tblW w:w="14459" w:type="dxa"/>
        <w:tblLayout w:type="fixed"/>
        <w:tblLook w:val="06A0" w:firstRow="1" w:lastRow="0" w:firstColumn="1" w:lastColumn="0" w:noHBand="1" w:noVBand="1"/>
      </w:tblPr>
      <w:tblGrid>
        <w:gridCol w:w="6409"/>
        <w:gridCol w:w="1610"/>
        <w:gridCol w:w="1610"/>
        <w:gridCol w:w="1610"/>
        <w:gridCol w:w="1610"/>
        <w:gridCol w:w="1610"/>
      </w:tblGrid>
      <w:tr w:rsidR="00087B91" w:rsidRPr="002029AF" w14:paraId="3C86C630"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6407" w:type="dxa"/>
            <w:tcBorders>
              <w:bottom w:val="single" w:sz="4" w:space="0" w:color="auto"/>
            </w:tcBorders>
            <w:hideMark/>
          </w:tcPr>
          <w:p w14:paraId="0BEB71DD" w14:textId="77777777" w:rsidR="00087B91" w:rsidRPr="002029AF" w:rsidRDefault="00087B91" w:rsidP="00860E95">
            <w:pPr>
              <w:pStyle w:val="ARfintablecolhead"/>
              <w:spacing w:before="20" w:after="10" w:line="240" w:lineRule="auto"/>
            </w:pPr>
            <w:r w:rsidRPr="002029AF">
              <w:t>2019</w:t>
            </w:r>
          </w:p>
        </w:tc>
        <w:tc>
          <w:tcPr>
            <w:tcW w:w="1610" w:type="dxa"/>
            <w:tcBorders>
              <w:bottom w:val="single" w:sz="4" w:space="0" w:color="auto"/>
            </w:tcBorders>
            <w:hideMark/>
          </w:tcPr>
          <w:p w14:paraId="627BE055" w14:textId="50AC12B1" w:rsidR="00087B91" w:rsidRPr="002029AF" w:rsidRDefault="00087B91" w:rsidP="00860E95">
            <w:pPr>
              <w:pStyle w:val="ARfintablecolheadright"/>
              <w:spacing w:before="20" w:after="10" w:line="240" w:lineRule="auto"/>
            </w:pPr>
            <w:r w:rsidRPr="002029AF">
              <w:t>Specialised</w:t>
            </w:r>
            <w:r w:rsidR="000A5329" w:rsidRPr="002029AF">
              <w:t xml:space="preserve"> </w:t>
            </w:r>
            <w:r w:rsidRPr="002029AF">
              <w:t>land</w:t>
            </w:r>
          </w:p>
          <w:p w14:paraId="455A0DCC" w14:textId="77777777" w:rsidR="00087B91" w:rsidRPr="002029AF" w:rsidRDefault="00087B91" w:rsidP="00860E95">
            <w:pPr>
              <w:pStyle w:val="ARfintablecolheadright"/>
              <w:spacing w:before="20" w:after="10" w:line="240" w:lineRule="auto"/>
            </w:pPr>
            <w:r w:rsidRPr="002029AF">
              <w:t>$M</w:t>
            </w:r>
          </w:p>
        </w:tc>
        <w:tc>
          <w:tcPr>
            <w:tcW w:w="1610" w:type="dxa"/>
            <w:tcBorders>
              <w:bottom w:val="single" w:sz="4" w:space="0" w:color="auto"/>
            </w:tcBorders>
            <w:hideMark/>
          </w:tcPr>
          <w:p w14:paraId="2AD01AAF" w14:textId="201DEC14" w:rsidR="00087B91" w:rsidRPr="002029AF" w:rsidRDefault="00087B91" w:rsidP="00860E95">
            <w:pPr>
              <w:pStyle w:val="ARfintablecolheadright"/>
              <w:spacing w:before="20" w:after="10" w:line="240" w:lineRule="auto"/>
            </w:pPr>
            <w:r w:rsidRPr="002029AF">
              <w:t>Specialised</w:t>
            </w:r>
            <w:r w:rsidR="000A5329" w:rsidRPr="002029AF">
              <w:t xml:space="preserve"> </w:t>
            </w:r>
            <w:r w:rsidRPr="002029AF">
              <w:br/>
              <w:t>buildings</w:t>
            </w:r>
          </w:p>
          <w:p w14:paraId="0C9C81AC" w14:textId="77777777" w:rsidR="00087B91" w:rsidRPr="002029AF" w:rsidRDefault="00087B91" w:rsidP="00860E95">
            <w:pPr>
              <w:pStyle w:val="ARfintablecolheadright"/>
              <w:spacing w:before="20" w:after="10" w:line="240" w:lineRule="auto"/>
            </w:pPr>
            <w:r w:rsidRPr="002029AF">
              <w:t>$M</w:t>
            </w:r>
          </w:p>
        </w:tc>
        <w:tc>
          <w:tcPr>
            <w:tcW w:w="1610" w:type="dxa"/>
            <w:tcBorders>
              <w:bottom w:val="single" w:sz="4" w:space="0" w:color="auto"/>
            </w:tcBorders>
            <w:hideMark/>
          </w:tcPr>
          <w:p w14:paraId="6B274BA5" w14:textId="2875C52A" w:rsidR="00087B91" w:rsidRPr="002029AF" w:rsidRDefault="00087B91" w:rsidP="00860E95">
            <w:pPr>
              <w:pStyle w:val="ARfintablecolheadright"/>
              <w:spacing w:before="20" w:after="10" w:line="240" w:lineRule="auto"/>
            </w:pPr>
            <w:r w:rsidRPr="002029AF">
              <w:t>Plant</w:t>
            </w:r>
            <w:r w:rsidR="000A5329" w:rsidRPr="002029AF">
              <w:t xml:space="preserve"> </w:t>
            </w:r>
            <w:r w:rsidRPr="002029AF">
              <w:t>and</w:t>
            </w:r>
            <w:r w:rsidR="000A5329" w:rsidRPr="002029AF">
              <w:t xml:space="preserve"> </w:t>
            </w:r>
            <w:r w:rsidRPr="002029AF">
              <w:t>equipment</w:t>
            </w:r>
          </w:p>
          <w:p w14:paraId="5D8DE091" w14:textId="77777777" w:rsidR="00087B91" w:rsidRPr="002029AF" w:rsidRDefault="00087B91" w:rsidP="00860E95">
            <w:pPr>
              <w:pStyle w:val="ARfintablecolheadright"/>
              <w:spacing w:before="20" w:after="10" w:line="240" w:lineRule="auto"/>
            </w:pPr>
            <w:r w:rsidRPr="002029AF">
              <w:t>$M</w:t>
            </w:r>
          </w:p>
        </w:tc>
        <w:tc>
          <w:tcPr>
            <w:tcW w:w="1610" w:type="dxa"/>
            <w:tcBorders>
              <w:bottom w:val="single" w:sz="4" w:space="0" w:color="auto"/>
            </w:tcBorders>
            <w:hideMark/>
          </w:tcPr>
          <w:p w14:paraId="26ECFC9C" w14:textId="7A3DB0D2" w:rsidR="00087B91" w:rsidRPr="002029AF" w:rsidRDefault="00087B91" w:rsidP="00860E95">
            <w:pPr>
              <w:pStyle w:val="ARfintablecolheadright"/>
              <w:spacing w:before="20" w:after="10" w:line="240" w:lineRule="auto"/>
            </w:pPr>
            <w:r w:rsidRPr="002029AF">
              <w:t>Motor</w:t>
            </w:r>
            <w:r w:rsidR="000A5329" w:rsidRPr="002029AF">
              <w:t xml:space="preserve"> </w:t>
            </w:r>
            <w:r w:rsidRPr="002029AF">
              <w:t>vehicles</w:t>
            </w:r>
          </w:p>
          <w:p w14:paraId="6CA3AFA8" w14:textId="77777777" w:rsidR="00087B91" w:rsidRPr="002029AF" w:rsidRDefault="00087B91" w:rsidP="00860E95">
            <w:pPr>
              <w:pStyle w:val="ARfintablecolheadright"/>
              <w:spacing w:before="20" w:after="10" w:line="240" w:lineRule="auto"/>
            </w:pPr>
            <w:r w:rsidRPr="002029AF">
              <w:t>$M</w:t>
            </w:r>
          </w:p>
        </w:tc>
        <w:tc>
          <w:tcPr>
            <w:tcW w:w="1610" w:type="dxa"/>
            <w:tcBorders>
              <w:bottom w:val="single" w:sz="4" w:space="0" w:color="auto"/>
            </w:tcBorders>
            <w:hideMark/>
          </w:tcPr>
          <w:p w14:paraId="5E96A8B4" w14:textId="77777777" w:rsidR="00087B91" w:rsidRPr="002029AF" w:rsidRDefault="00087B91" w:rsidP="00860E95">
            <w:pPr>
              <w:pStyle w:val="ARfintablecolheadright"/>
              <w:spacing w:before="20" w:after="10" w:line="240" w:lineRule="auto"/>
            </w:pPr>
            <w:r w:rsidRPr="002029AF">
              <w:t>Total</w:t>
            </w:r>
          </w:p>
          <w:p w14:paraId="54D2F827" w14:textId="77777777" w:rsidR="00087B91" w:rsidRPr="002029AF" w:rsidRDefault="00087B91" w:rsidP="00860E95">
            <w:pPr>
              <w:pStyle w:val="ARfintablecolheadright"/>
              <w:spacing w:before="20" w:after="10" w:line="240" w:lineRule="auto"/>
            </w:pPr>
            <w:r w:rsidRPr="002029AF">
              <w:t>$M</w:t>
            </w:r>
          </w:p>
        </w:tc>
      </w:tr>
      <w:tr w:rsidR="00087B91" w:rsidRPr="002029AF" w14:paraId="4835EA7E" w14:textId="77777777" w:rsidTr="00860E95">
        <w:trPr>
          <w:trHeight w:val="198"/>
        </w:trPr>
        <w:tc>
          <w:tcPr>
            <w:tcW w:w="6407" w:type="dxa"/>
            <w:tcBorders>
              <w:top w:val="single" w:sz="4" w:space="0" w:color="auto"/>
              <w:bottom w:val="single" w:sz="4" w:space="0" w:color="A6A6A6"/>
            </w:tcBorders>
            <w:hideMark/>
          </w:tcPr>
          <w:p w14:paraId="196DE6FF" w14:textId="67C74EEB" w:rsidR="00087B91" w:rsidRPr="002029AF" w:rsidRDefault="00087B91" w:rsidP="00860E95">
            <w:pPr>
              <w:pStyle w:val="ARfintablebodybold"/>
              <w:spacing w:before="20" w:after="10"/>
            </w:pPr>
            <w:r w:rsidRPr="002029AF">
              <w:t>Opening</w:t>
            </w:r>
            <w:r w:rsidR="000A5329" w:rsidRPr="002029AF">
              <w:t xml:space="preserve"> </w:t>
            </w:r>
            <w:r w:rsidRPr="002029AF">
              <w:t>balance</w:t>
            </w:r>
          </w:p>
        </w:tc>
        <w:tc>
          <w:tcPr>
            <w:tcW w:w="1610" w:type="dxa"/>
            <w:tcBorders>
              <w:top w:val="single" w:sz="4" w:space="0" w:color="auto"/>
              <w:bottom w:val="single" w:sz="4" w:space="0" w:color="A6A6A6"/>
            </w:tcBorders>
            <w:noWrap/>
            <w:hideMark/>
          </w:tcPr>
          <w:p w14:paraId="28438A06" w14:textId="77777777" w:rsidR="00087B91" w:rsidRPr="002029AF" w:rsidRDefault="00087B91" w:rsidP="00860E95">
            <w:pPr>
              <w:pStyle w:val="ARfintablebodyrightbold"/>
              <w:spacing w:before="20" w:after="10"/>
            </w:pPr>
            <w:r w:rsidRPr="002029AF">
              <w:t>568.7</w:t>
            </w:r>
          </w:p>
        </w:tc>
        <w:tc>
          <w:tcPr>
            <w:tcW w:w="1610" w:type="dxa"/>
            <w:tcBorders>
              <w:top w:val="single" w:sz="4" w:space="0" w:color="auto"/>
              <w:bottom w:val="single" w:sz="4" w:space="0" w:color="A6A6A6"/>
            </w:tcBorders>
            <w:noWrap/>
            <w:hideMark/>
          </w:tcPr>
          <w:p w14:paraId="4212C34C" w14:textId="77777777" w:rsidR="00087B91" w:rsidRPr="002029AF" w:rsidRDefault="00087B91" w:rsidP="00860E95">
            <w:pPr>
              <w:pStyle w:val="ARfintablebodyrightbold"/>
              <w:spacing w:before="20" w:after="10"/>
            </w:pPr>
            <w:r w:rsidRPr="002029AF">
              <w:t>506.7</w:t>
            </w:r>
          </w:p>
        </w:tc>
        <w:tc>
          <w:tcPr>
            <w:tcW w:w="1610" w:type="dxa"/>
            <w:tcBorders>
              <w:top w:val="single" w:sz="4" w:space="0" w:color="auto"/>
              <w:bottom w:val="single" w:sz="4" w:space="0" w:color="A6A6A6"/>
            </w:tcBorders>
            <w:noWrap/>
            <w:hideMark/>
          </w:tcPr>
          <w:p w14:paraId="64DB2083" w14:textId="77777777" w:rsidR="00087B91" w:rsidRPr="002029AF" w:rsidRDefault="00087B91" w:rsidP="00860E95">
            <w:pPr>
              <w:pStyle w:val="ARfintablebodyrightbold"/>
              <w:spacing w:before="20" w:after="10"/>
            </w:pPr>
            <w:r w:rsidRPr="002029AF">
              <w:t>14.3</w:t>
            </w:r>
          </w:p>
        </w:tc>
        <w:tc>
          <w:tcPr>
            <w:tcW w:w="1610" w:type="dxa"/>
            <w:tcBorders>
              <w:top w:val="single" w:sz="4" w:space="0" w:color="auto"/>
              <w:bottom w:val="single" w:sz="4" w:space="0" w:color="A6A6A6"/>
            </w:tcBorders>
            <w:noWrap/>
            <w:hideMark/>
          </w:tcPr>
          <w:p w14:paraId="457B1CA1" w14:textId="77777777" w:rsidR="00087B91" w:rsidRPr="002029AF" w:rsidRDefault="00087B91" w:rsidP="00860E95">
            <w:pPr>
              <w:pStyle w:val="ARfintablebodyrightbold"/>
              <w:spacing w:before="20" w:after="10"/>
            </w:pPr>
            <w:r w:rsidRPr="002029AF">
              <w:t>1.4</w:t>
            </w:r>
          </w:p>
        </w:tc>
        <w:tc>
          <w:tcPr>
            <w:tcW w:w="1610" w:type="dxa"/>
            <w:tcBorders>
              <w:top w:val="single" w:sz="4" w:space="0" w:color="auto"/>
              <w:bottom w:val="single" w:sz="4" w:space="0" w:color="A6A6A6"/>
            </w:tcBorders>
            <w:noWrap/>
            <w:hideMark/>
          </w:tcPr>
          <w:p w14:paraId="1F061A91" w14:textId="77777777" w:rsidR="00087B91" w:rsidRPr="002029AF" w:rsidRDefault="00087B91" w:rsidP="00860E95">
            <w:pPr>
              <w:pStyle w:val="ARfintablebodyrightbold"/>
              <w:spacing w:before="20" w:after="10"/>
            </w:pPr>
            <w:r w:rsidRPr="002029AF">
              <w:t>1,091.1</w:t>
            </w:r>
          </w:p>
        </w:tc>
      </w:tr>
      <w:tr w:rsidR="00087B91" w:rsidRPr="002029AF" w14:paraId="2F7AD0FF" w14:textId="77777777" w:rsidTr="00860E95">
        <w:trPr>
          <w:trHeight w:val="198"/>
        </w:trPr>
        <w:tc>
          <w:tcPr>
            <w:tcW w:w="6407" w:type="dxa"/>
            <w:tcBorders>
              <w:top w:val="single" w:sz="4" w:space="0" w:color="A6A6A6"/>
              <w:bottom w:val="single" w:sz="4" w:space="0" w:color="A6A6A6"/>
            </w:tcBorders>
            <w:hideMark/>
          </w:tcPr>
          <w:p w14:paraId="5771B7FE" w14:textId="487BEF6C" w:rsidR="00087B91" w:rsidRPr="002029AF" w:rsidRDefault="00087B91" w:rsidP="00860E95">
            <w:pPr>
              <w:pStyle w:val="ARfintablebody"/>
              <w:spacing w:before="20" w:after="10"/>
            </w:pPr>
            <w:r w:rsidRPr="002029AF">
              <w:t>Machinery</w:t>
            </w:r>
            <w:r w:rsidR="000A5329" w:rsidRPr="002029AF">
              <w:t xml:space="preserve"> </w:t>
            </w:r>
            <w:r w:rsidRPr="002029AF">
              <w:t>of</w:t>
            </w:r>
            <w:r w:rsidR="000A5329" w:rsidRPr="002029AF">
              <w:t xml:space="preserve"> </w:t>
            </w:r>
            <w:r w:rsidRPr="002029AF">
              <w:t>government</w:t>
            </w:r>
            <w:r w:rsidR="000A5329" w:rsidRPr="002029AF">
              <w:t xml:space="preserve"> </w:t>
            </w:r>
            <w:r w:rsidRPr="002029AF">
              <w:t>transfer</w:t>
            </w:r>
            <w:r w:rsidR="000A5329" w:rsidRPr="002029AF">
              <w:t xml:space="preserve"> </w:t>
            </w:r>
            <w:r w:rsidRPr="002029AF">
              <w:t>in/(out)</w:t>
            </w:r>
          </w:p>
        </w:tc>
        <w:tc>
          <w:tcPr>
            <w:tcW w:w="1610" w:type="dxa"/>
            <w:tcBorders>
              <w:top w:val="single" w:sz="4" w:space="0" w:color="A6A6A6"/>
              <w:bottom w:val="single" w:sz="4" w:space="0" w:color="A6A6A6"/>
            </w:tcBorders>
            <w:noWrap/>
            <w:hideMark/>
          </w:tcPr>
          <w:p w14:paraId="40AC6B68" w14:textId="77777777" w:rsidR="00087B91" w:rsidRPr="002029AF" w:rsidRDefault="00087B91" w:rsidP="00860E95">
            <w:pPr>
              <w:pStyle w:val="ARfintablebodyright"/>
              <w:spacing w:before="20" w:after="10"/>
            </w:pPr>
            <w:r w:rsidRPr="002029AF">
              <w:t>(9.5)</w:t>
            </w:r>
          </w:p>
        </w:tc>
        <w:tc>
          <w:tcPr>
            <w:tcW w:w="1610" w:type="dxa"/>
            <w:tcBorders>
              <w:top w:val="single" w:sz="4" w:space="0" w:color="A6A6A6"/>
              <w:bottom w:val="single" w:sz="4" w:space="0" w:color="A6A6A6"/>
            </w:tcBorders>
            <w:noWrap/>
            <w:hideMark/>
          </w:tcPr>
          <w:p w14:paraId="31A15058" w14:textId="77777777" w:rsidR="00087B91" w:rsidRPr="002029AF" w:rsidRDefault="00087B91" w:rsidP="00860E95">
            <w:pPr>
              <w:pStyle w:val="ARfintablebodyright"/>
              <w:spacing w:before="20" w:after="10"/>
            </w:pPr>
            <w:r w:rsidRPr="002029AF">
              <w:t>(23.2)</w:t>
            </w:r>
          </w:p>
        </w:tc>
        <w:tc>
          <w:tcPr>
            <w:tcW w:w="1610" w:type="dxa"/>
            <w:tcBorders>
              <w:top w:val="single" w:sz="4" w:space="0" w:color="A6A6A6"/>
              <w:bottom w:val="single" w:sz="4" w:space="0" w:color="A6A6A6"/>
            </w:tcBorders>
            <w:noWrap/>
            <w:hideMark/>
          </w:tcPr>
          <w:p w14:paraId="14941876" w14:textId="77777777" w:rsidR="00087B91" w:rsidRPr="002029AF" w:rsidRDefault="00087B91" w:rsidP="00860E95">
            <w:pPr>
              <w:pStyle w:val="ARfintablebodyright"/>
              <w:spacing w:before="20" w:after="10"/>
            </w:pPr>
            <w:r w:rsidRPr="002029AF">
              <w:t>–</w:t>
            </w:r>
          </w:p>
        </w:tc>
        <w:tc>
          <w:tcPr>
            <w:tcW w:w="1610" w:type="dxa"/>
            <w:tcBorders>
              <w:top w:val="single" w:sz="4" w:space="0" w:color="A6A6A6"/>
              <w:bottom w:val="single" w:sz="4" w:space="0" w:color="A6A6A6"/>
            </w:tcBorders>
            <w:noWrap/>
            <w:hideMark/>
          </w:tcPr>
          <w:p w14:paraId="107B2E34" w14:textId="77777777" w:rsidR="00087B91" w:rsidRPr="002029AF" w:rsidRDefault="00087B91" w:rsidP="00860E95">
            <w:pPr>
              <w:pStyle w:val="ARfintablebodyright"/>
              <w:spacing w:before="20" w:after="10"/>
            </w:pPr>
            <w:r w:rsidRPr="002029AF">
              <w:t>–</w:t>
            </w:r>
          </w:p>
        </w:tc>
        <w:tc>
          <w:tcPr>
            <w:tcW w:w="1610" w:type="dxa"/>
            <w:tcBorders>
              <w:top w:val="single" w:sz="4" w:space="0" w:color="A6A6A6"/>
              <w:bottom w:val="single" w:sz="4" w:space="0" w:color="A6A6A6"/>
            </w:tcBorders>
            <w:noWrap/>
            <w:hideMark/>
          </w:tcPr>
          <w:p w14:paraId="60A8315E" w14:textId="77777777" w:rsidR="00087B91" w:rsidRPr="002029AF" w:rsidRDefault="00087B91" w:rsidP="00860E95">
            <w:pPr>
              <w:pStyle w:val="ARfintablebodyright"/>
              <w:spacing w:before="20" w:after="10"/>
            </w:pPr>
            <w:r w:rsidRPr="002029AF">
              <w:t>(32.7)</w:t>
            </w:r>
          </w:p>
        </w:tc>
      </w:tr>
      <w:tr w:rsidR="00087B91" w:rsidRPr="002029AF" w14:paraId="6C2D1BA0" w14:textId="77777777" w:rsidTr="00860E95">
        <w:trPr>
          <w:trHeight w:val="198"/>
        </w:trPr>
        <w:tc>
          <w:tcPr>
            <w:tcW w:w="6407" w:type="dxa"/>
            <w:tcBorders>
              <w:top w:val="single" w:sz="4" w:space="0" w:color="A6A6A6"/>
              <w:bottom w:val="single" w:sz="4" w:space="0" w:color="A6A6A6"/>
            </w:tcBorders>
            <w:hideMark/>
          </w:tcPr>
          <w:p w14:paraId="15B0850E" w14:textId="77777777" w:rsidR="00087B91" w:rsidRPr="002029AF" w:rsidRDefault="00087B91" w:rsidP="00860E95">
            <w:pPr>
              <w:pStyle w:val="ARfintablebody"/>
              <w:spacing w:before="20" w:after="10"/>
            </w:pPr>
            <w:r w:rsidRPr="002029AF">
              <w:t>Additions</w:t>
            </w:r>
          </w:p>
        </w:tc>
        <w:tc>
          <w:tcPr>
            <w:tcW w:w="1610" w:type="dxa"/>
            <w:tcBorders>
              <w:top w:val="single" w:sz="4" w:space="0" w:color="A6A6A6"/>
              <w:bottom w:val="single" w:sz="4" w:space="0" w:color="A6A6A6"/>
            </w:tcBorders>
            <w:noWrap/>
            <w:hideMark/>
          </w:tcPr>
          <w:p w14:paraId="2FED2954" w14:textId="77777777" w:rsidR="00087B91" w:rsidRPr="002029AF" w:rsidRDefault="00087B91" w:rsidP="00860E95">
            <w:pPr>
              <w:pStyle w:val="ARfintablebodyright"/>
              <w:spacing w:before="20" w:after="10"/>
            </w:pPr>
            <w:r w:rsidRPr="002029AF">
              <w:t>1.2</w:t>
            </w:r>
          </w:p>
        </w:tc>
        <w:tc>
          <w:tcPr>
            <w:tcW w:w="1610" w:type="dxa"/>
            <w:tcBorders>
              <w:top w:val="single" w:sz="4" w:space="0" w:color="A6A6A6"/>
              <w:bottom w:val="single" w:sz="4" w:space="0" w:color="A6A6A6"/>
            </w:tcBorders>
            <w:noWrap/>
            <w:hideMark/>
          </w:tcPr>
          <w:p w14:paraId="38573AAE" w14:textId="77777777" w:rsidR="00087B91" w:rsidRPr="002029AF" w:rsidRDefault="00087B91" w:rsidP="00860E95">
            <w:pPr>
              <w:pStyle w:val="ARfintablebodyright"/>
              <w:spacing w:before="20" w:after="10"/>
            </w:pPr>
            <w:r w:rsidRPr="002029AF">
              <w:t>5.3</w:t>
            </w:r>
          </w:p>
        </w:tc>
        <w:tc>
          <w:tcPr>
            <w:tcW w:w="1610" w:type="dxa"/>
            <w:tcBorders>
              <w:top w:val="single" w:sz="4" w:space="0" w:color="A6A6A6"/>
              <w:bottom w:val="single" w:sz="4" w:space="0" w:color="A6A6A6"/>
            </w:tcBorders>
            <w:noWrap/>
            <w:hideMark/>
          </w:tcPr>
          <w:p w14:paraId="057303C6" w14:textId="77777777" w:rsidR="00087B91" w:rsidRPr="002029AF" w:rsidRDefault="00087B91" w:rsidP="00860E95">
            <w:pPr>
              <w:pStyle w:val="ARfintablebodyright"/>
              <w:spacing w:before="20" w:after="10"/>
            </w:pPr>
            <w:r w:rsidRPr="002029AF">
              <w:t>1.6</w:t>
            </w:r>
          </w:p>
        </w:tc>
        <w:tc>
          <w:tcPr>
            <w:tcW w:w="1610" w:type="dxa"/>
            <w:tcBorders>
              <w:top w:val="single" w:sz="4" w:space="0" w:color="A6A6A6"/>
              <w:bottom w:val="single" w:sz="4" w:space="0" w:color="A6A6A6"/>
            </w:tcBorders>
            <w:noWrap/>
            <w:hideMark/>
          </w:tcPr>
          <w:p w14:paraId="28647F40" w14:textId="77777777" w:rsidR="00087B91" w:rsidRPr="002029AF" w:rsidRDefault="00087B91" w:rsidP="00860E95">
            <w:pPr>
              <w:pStyle w:val="ARfintablebodyright"/>
              <w:spacing w:before="20" w:after="10"/>
            </w:pPr>
            <w:r w:rsidRPr="002029AF">
              <w:t>0.5</w:t>
            </w:r>
          </w:p>
        </w:tc>
        <w:tc>
          <w:tcPr>
            <w:tcW w:w="1610" w:type="dxa"/>
            <w:tcBorders>
              <w:top w:val="single" w:sz="4" w:space="0" w:color="A6A6A6"/>
              <w:bottom w:val="single" w:sz="4" w:space="0" w:color="A6A6A6"/>
            </w:tcBorders>
            <w:noWrap/>
            <w:hideMark/>
          </w:tcPr>
          <w:p w14:paraId="32727632" w14:textId="77777777" w:rsidR="00087B91" w:rsidRPr="002029AF" w:rsidRDefault="00087B91" w:rsidP="00860E95">
            <w:pPr>
              <w:pStyle w:val="ARfintablebodyright"/>
              <w:spacing w:before="20" w:after="10"/>
            </w:pPr>
            <w:r w:rsidRPr="002029AF">
              <w:t>8.6</w:t>
            </w:r>
          </w:p>
        </w:tc>
      </w:tr>
      <w:tr w:rsidR="00087B91" w:rsidRPr="002029AF" w14:paraId="320EAB5F" w14:textId="77777777" w:rsidTr="00860E95">
        <w:trPr>
          <w:trHeight w:val="198"/>
        </w:trPr>
        <w:tc>
          <w:tcPr>
            <w:tcW w:w="6407" w:type="dxa"/>
            <w:tcBorders>
              <w:top w:val="single" w:sz="4" w:space="0" w:color="A6A6A6"/>
              <w:bottom w:val="single" w:sz="4" w:space="0" w:color="A6A6A6"/>
            </w:tcBorders>
            <w:hideMark/>
          </w:tcPr>
          <w:p w14:paraId="1989C38F" w14:textId="12678384" w:rsidR="00087B91" w:rsidRPr="002029AF" w:rsidRDefault="00087B91" w:rsidP="00860E95">
            <w:pPr>
              <w:pStyle w:val="ARfintablebody"/>
              <w:spacing w:before="20" w:after="10"/>
            </w:pPr>
            <w:r w:rsidRPr="002029AF">
              <w:t>Capitalisation</w:t>
            </w:r>
            <w:r w:rsidR="000A5329" w:rsidRPr="002029AF">
              <w:t xml:space="preserve"> </w:t>
            </w:r>
            <w:r w:rsidRPr="002029AF">
              <w:t>of</w:t>
            </w:r>
            <w:r w:rsidR="000A5329" w:rsidRPr="002029AF">
              <w:t xml:space="preserve"> </w:t>
            </w:r>
            <w:r w:rsidRPr="002029AF">
              <w:t>work</w:t>
            </w:r>
            <w:r w:rsidR="000A5329" w:rsidRPr="002029AF">
              <w:t xml:space="preserve"> </w:t>
            </w:r>
            <w:r w:rsidRPr="002029AF">
              <w:t>in</w:t>
            </w:r>
            <w:r w:rsidR="000A5329" w:rsidRPr="002029AF">
              <w:t xml:space="preserve"> </w:t>
            </w:r>
            <w:r w:rsidRPr="002029AF">
              <w:t>progress</w:t>
            </w:r>
          </w:p>
        </w:tc>
        <w:tc>
          <w:tcPr>
            <w:tcW w:w="1610" w:type="dxa"/>
            <w:tcBorders>
              <w:top w:val="single" w:sz="4" w:space="0" w:color="A6A6A6"/>
              <w:bottom w:val="single" w:sz="4" w:space="0" w:color="A6A6A6"/>
            </w:tcBorders>
            <w:noWrap/>
            <w:hideMark/>
          </w:tcPr>
          <w:p w14:paraId="5520174B" w14:textId="77777777" w:rsidR="00087B91" w:rsidRPr="002029AF" w:rsidRDefault="00087B91" w:rsidP="00860E95">
            <w:pPr>
              <w:pStyle w:val="ARfintablebodyright"/>
              <w:spacing w:before="20" w:after="10"/>
            </w:pPr>
            <w:r w:rsidRPr="002029AF">
              <w:t>–</w:t>
            </w:r>
          </w:p>
        </w:tc>
        <w:tc>
          <w:tcPr>
            <w:tcW w:w="1610" w:type="dxa"/>
            <w:tcBorders>
              <w:top w:val="single" w:sz="4" w:space="0" w:color="A6A6A6"/>
              <w:bottom w:val="single" w:sz="4" w:space="0" w:color="A6A6A6"/>
            </w:tcBorders>
            <w:noWrap/>
            <w:hideMark/>
          </w:tcPr>
          <w:p w14:paraId="4B2A89FD" w14:textId="77777777" w:rsidR="00087B91" w:rsidRPr="002029AF" w:rsidRDefault="00087B91" w:rsidP="00860E95">
            <w:pPr>
              <w:pStyle w:val="ARfintablebodyright"/>
              <w:spacing w:before="20" w:after="10"/>
            </w:pPr>
            <w:r w:rsidRPr="002029AF">
              <w:t>12.0</w:t>
            </w:r>
          </w:p>
        </w:tc>
        <w:tc>
          <w:tcPr>
            <w:tcW w:w="1610" w:type="dxa"/>
            <w:tcBorders>
              <w:top w:val="single" w:sz="4" w:space="0" w:color="A6A6A6"/>
              <w:bottom w:val="single" w:sz="4" w:space="0" w:color="A6A6A6"/>
            </w:tcBorders>
            <w:noWrap/>
            <w:hideMark/>
          </w:tcPr>
          <w:p w14:paraId="39FC7E69" w14:textId="77777777" w:rsidR="00087B91" w:rsidRPr="002029AF" w:rsidRDefault="00087B91" w:rsidP="00860E95">
            <w:pPr>
              <w:pStyle w:val="ARfintablebodyright"/>
              <w:spacing w:before="20" w:after="10"/>
            </w:pPr>
            <w:r w:rsidRPr="002029AF">
              <w:t>–</w:t>
            </w:r>
          </w:p>
        </w:tc>
        <w:tc>
          <w:tcPr>
            <w:tcW w:w="1610" w:type="dxa"/>
            <w:tcBorders>
              <w:top w:val="single" w:sz="4" w:space="0" w:color="A6A6A6"/>
              <w:bottom w:val="single" w:sz="4" w:space="0" w:color="A6A6A6"/>
            </w:tcBorders>
            <w:noWrap/>
            <w:hideMark/>
          </w:tcPr>
          <w:p w14:paraId="268A5145" w14:textId="77777777" w:rsidR="00087B91" w:rsidRPr="002029AF" w:rsidRDefault="00087B91" w:rsidP="00860E95">
            <w:pPr>
              <w:pStyle w:val="ARfintablebodyright"/>
              <w:spacing w:before="20" w:after="10"/>
            </w:pPr>
            <w:r w:rsidRPr="002029AF">
              <w:t>–</w:t>
            </w:r>
          </w:p>
        </w:tc>
        <w:tc>
          <w:tcPr>
            <w:tcW w:w="1610" w:type="dxa"/>
            <w:tcBorders>
              <w:top w:val="single" w:sz="4" w:space="0" w:color="A6A6A6"/>
              <w:bottom w:val="single" w:sz="4" w:space="0" w:color="A6A6A6"/>
            </w:tcBorders>
            <w:noWrap/>
            <w:hideMark/>
          </w:tcPr>
          <w:p w14:paraId="235C96B7" w14:textId="77777777" w:rsidR="00087B91" w:rsidRPr="002029AF" w:rsidRDefault="00087B91" w:rsidP="00860E95">
            <w:pPr>
              <w:pStyle w:val="ARfintablebodyright"/>
              <w:spacing w:before="20" w:after="10"/>
            </w:pPr>
            <w:r w:rsidRPr="002029AF">
              <w:t>12.0</w:t>
            </w:r>
          </w:p>
        </w:tc>
      </w:tr>
      <w:tr w:rsidR="00087B91" w:rsidRPr="002029AF" w14:paraId="2B57A6BE" w14:textId="77777777" w:rsidTr="00860E95">
        <w:trPr>
          <w:trHeight w:val="198"/>
        </w:trPr>
        <w:tc>
          <w:tcPr>
            <w:tcW w:w="6407" w:type="dxa"/>
            <w:tcBorders>
              <w:top w:val="single" w:sz="4" w:space="0" w:color="A6A6A6"/>
              <w:bottom w:val="single" w:sz="4" w:space="0" w:color="A6A6A6"/>
            </w:tcBorders>
            <w:hideMark/>
          </w:tcPr>
          <w:p w14:paraId="77D11A86" w14:textId="77777777" w:rsidR="00087B91" w:rsidRPr="002029AF" w:rsidRDefault="00087B91" w:rsidP="00860E95">
            <w:pPr>
              <w:pStyle w:val="ARfintablebody"/>
              <w:spacing w:before="20" w:after="10"/>
            </w:pPr>
            <w:r w:rsidRPr="002029AF">
              <w:t>Disposals</w:t>
            </w:r>
          </w:p>
        </w:tc>
        <w:tc>
          <w:tcPr>
            <w:tcW w:w="1610" w:type="dxa"/>
            <w:tcBorders>
              <w:top w:val="single" w:sz="4" w:space="0" w:color="A6A6A6"/>
              <w:bottom w:val="single" w:sz="4" w:space="0" w:color="A6A6A6"/>
            </w:tcBorders>
            <w:noWrap/>
            <w:hideMark/>
          </w:tcPr>
          <w:p w14:paraId="2BF37DAB" w14:textId="77777777" w:rsidR="00087B91" w:rsidRPr="002029AF" w:rsidRDefault="00087B91" w:rsidP="00860E95">
            <w:pPr>
              <w:pStyle w:val="ARfintablebodyright"/>
              <w:spacing w:before="20" w:after="10"/>
            </w:pPr>
            <w:r w:rsidRPr="002029AF">
              <w:t>–</w:t>
            </w:r>
          </w:p>
        </w:tc>
        <w:tc>
          <w:tcPr>
            <w:tcW w:w="1610" w:type="dxa"/>
            <w:tcBorders>
              <w:top w:val="single" w:sz="4" w:space="0" w:color="A6A6A6"/>
              <w:bottom w:val="single" w:sz="4" w:space="0" w:color="A6A6A6"/>
            </w:tcBorders>
            <w:noWrap/>
            <w:hideMark/>
          </w:tcPr>
          <w:p w14:paraId="3728CDAE" w14:textId="77777777" w:rsidR="00087B91" w:rsidRPr="002029AF" w:rsidRDefault="00087B91" w:rsidP="00860E95">
            <w:pPr>
              <w:pStyle w:val="ARfintablebodyright"/>
              <w:spacing w:before="20" w:after="10"/>
            </w:pPr>
            <w:r w:rsidRPr="002029AF">
              <w:t>(0.2)</w:t>
            </w:r>
          </w:p>
        </w:tc>
        <w:tc>
          <w:tcPr>
            <w:tcW w:w="1610" w:type="dxa"/>
            <w:tcBorders>
              <w:top w:val="single" w:sz="4" w:space="0" w:color="A6A6A6"/>
              <w:bottom w:val="single" w:sz="4" w:space="0" w:color="A6A6A6"/>
            </w:tcBorders>
            <w:noWrap/>
            <w:hideMark/>
          </w:tcPr>
          <w:p w14:paraId="33676DC5" w14:textId="77777777" w:rsidR="00087B91" w:rsidRPr="002029AF" w:rsidRDefault="00087B91" w:rsidP="00860E95">
            <w:pPr>
              <w:pStyle w:val="ARfintablebodyright"/>
              <w:spacing w:before="20" w:after="10"/>
            </w:pPr>
            <w:r w:rsidRPr="002029AF">
              <w:t>–</w:t>
            </w:r>
          </w:p>
        </w:tc>
        <w:tc>
          <w:tcPr>
            <w:tcW w:w="1610" w:type="dxa"/>
            <w:tcBorders>
              <w:top w:val="single" w:sz="4" w:space="0" w:color="A6A6A6"/>
              <w:bottom w:val="single" w:sz="4" w:space="0" w:color="A6A6A6"/>
            </w:tcBorders>
            <w:noWrap/>
            <w:hideMark/>
          </w:tcPr>
          <w:p w14:paraId="21EAE513" w14:textId="77777777" w:rsidR="00087B91" w:rsidRPr="002029AF" w:rsidRDefault="00087B91" w:rsidP="00860E95">
            <w:pPr>
              <w:pStyle w:val="ARfintablebodyright"/>
              <w:spacing w:before="20" w:after="10"/>
            </w:pPr>
            <w:r w:rsidRPr="002029AF">
              <w:t>(0.1)</w:t>
            </w:r>
          </w:p>
        </w:tc>
        <w:tc>
          <w:tcPr>
            <w:tcW w:w="1610" w:type="dxa"/>
            <w:tcBorders>
              <w:top w:val="single" w:sz="4" w:space="0" w:color="A6A6A6"/>
              <w:bottom w:val="single" w:sz="4" w:space="0" w:color="A6A6A6"/>
            </w:tcBorders>
            <w:noWrap/>
            <w:hideMark/>
          </w:tcPr>
          <w:p w14:paraId="4B62E0D2" w14:textId="77777777" w:rsidR="00087B91" w:rsidRPr="002029AF" w:rsidRDefault="00087B91" w:rsidP="00860E95">
            <w:pPr>
              <w:pStyle w:val="ARfintablebodyright"/>
              <w:spacing w:before="20" w:after="10"/>
            </w:pPr>
            <w:r w:rsidRPr="002029AF">
              <w:t>(0.3)</w:t>
            </w:r>
          </w:p>
        </w:tc>
      </w:tr>
      <w:tr w:rsidR="00087B91" w:rsidRPr="002029AF" w14:paraId="404B4CCD" w14:textId="77777777" w:rsidTr="00860E95">
        <w:trPr>
          <w:trHeight w:val="198"/>
        </w:trPr>
        <w:tc>
          <w:tcPr>
            <w:tcW w:w="6407" w:type="dxa"/>
            <w:tcBorders>
              <w:top w:val="single" w:sz="4" w:space="0" w:color="A6A6A6"/>
              <w:bottom w:val="single" w:sz="4" w:space="0" w:color="A6A6A6"/>
            </w:tcBorders>
            <w:hideMark/>
          </w:tcPr>
          <w:p w14:paraId="5CA48151" w14:textId="438AEDF6" w:rsidR="00087B91" w:rsidRPr="002029AF" w:rsidRDefault="00087B91" w:rsidP="00860E95">
            <w:pPr>
              <w:pStyle w:val="ARfintablebody"/>
              <w:spacing w:before="20" w:after="10"/>
            </w:pPr>
            <w:r w:rsidRPr="002029AF">
              <w:t>Transfers</w:t>
            </w:r>
            <w:r w:rsidR="000A5329" w:rsidRPr="002029AF">
              <w:t xml:space="preserve"> </w:t>
            </w:r>
            <w:r w:rsidRPr="002029AF">
              <w:t>in/(out)</w:t>
            </w:r>
            <w:r w:rsidR="000A5329" w:rsidRPr="002029AF">
              <w:t xml:space="preserve"> </w:t>
            </w:r>
            <w:r w:rsidRPr="002029AF">
              <w:t>of</w:t>
            </w:r>
            <w:r w:rsidR="000A5329" w:rsidRPr="002029AF">
              <w:t xml:space="preserve"> </w:t>
            </w:r>
            <w:r w:rsidRPr="002029AF">
              <w:t>Level</w:t>
            </w:r>
            <w:r w:rsidR="000A5329" w:rsidRPr="002029AF">
              <w:t xml:space="preserve"> </w:t>
            </w:r>
            <w:r w:rsidRPr="002029AF">
              <w:t>3</w:t>
            </w:r>
          </w:p>
        </w:tc>
        <w:tc>
          <w:tcPr>
            <w:tcW w:w="1610" w:type="dxa"/>
            <w:tcBorders>
              <w:top w:val="single" w:sz="4" w:space="0" w:color="A6A6A6"/>
              <w:bottom w:val="single" w:sz="4" w:space="0" w:color="A6A6A6"/>
            </w:tcBorders>
            <w:noWrap/>
            <w:hideMark/>
          </w:tcPr>
          <w:p w14:paraId="2E01E668" w14:textId="77777777" w:rsidR="00087B91" w:rsidRPr="002029AF" w:rsidRDefault="00087B91" w:rsidP="00860E95">
            <w:pPr>
              <w:pStyle w:val="ARfintablebodyright"/>
              <w:spacing w:before="20" w:after="10"/>
            </w:pPr>
            <w:r w:rsidRPr="002029AF">
              <w:t>–</w:t>
            </w:r>
          </w:p>
        </w:tc>
        <w:tc>
          <w:tcPr>
            <w:tcW w:w="1610" w:type="dxa"/>
            <w:tcBorders>
              <w:top w:val="single" w:sz="4" w:space="0" w:color="A6A6A6"/>
              <w:bottom w:val="single" w:sz="4" w:space="0" w:color="A6A6A6"/>
            </w:tcBorders>
            <w:noWrap/>
            <w:hideMark/>
          </w:tcPr>
          <w:p w14:paraId="19F0DF6D" w14:textId="77777777" w:rsidR="00087B91" w:rsidRPr="002029AF" w:rsidRDefault="00087B91" w:rsidP="00860E95">
            <w:pPr>
              <w:pStyle w:val="ARfintablebodyright"/>
              <w:spacing w:before="20" w:after="10"/>
            </w:pPr>
            <w:r w:rsidRPr="002029AF">
              <w:t>3.4</w:t>
            </w:r>
          </w:p>
        </w:tc>
        <w:tc>
          <w:tcPr>
            <w:tcW w:w="1610" w:type="dxa"/>
            <w:tcBorders>
              <w:top w:val="single" w:sz="4" w:space="0" w:color="A6A6A6"/>
              <w:bottom w:val="single" w:sz="4" w:space="0" w:color="A6A6A6"/>
            </w:tcBorders>
            <w:noWrap/>
            <w:hideMark/>
          </w:tcPr>
          <w:p w14:paraId="48B8228D" w14:textId="77777777" w:rsidR="00087B91" w:rsidRPr="002029AF" w:rsidRDefault="00087B91" w:rsidP="00860E95">
            <w:pPr>
              <w:pStyle w:val="ARfintablebodyright"/>
              <w:spacing w:before="20" w:after="10"/>
            </w:pPr>
            <w:r w:rsidRPr="002029AF">
              <w:t>–</w:t>
            </w:r>
          </w:p>
        </w:tc>
        <w:tc>
          <w:tcPr>
            <w:tcW w:w="1610" w:type="dxa"/>
            <w:tcBorders>
              <w:top w:val="single" w:sz="4" w:space="0" w:color="A6A6A6"/>
              <w:bottom w:val="single" w:sz="4" w:space="0" w:color="A6A6A6"/>
            </w:tcBorders>
            <w:noWrap/>
            <w:hideMark/>
          </w:tcPr>
          <w:p w14:paraId="5B125FC6" w14:textId="77777777" w:rsidR="00087B91" w:rsidRPr="002029AF" w:rsidRDefault="00087B91" w:rsidP="00860E95">
            <w:pPr>
              <w:pStyle w:val="ARfintablebodyright"/>
              <w:spacing w:before="20" w:after="10"/>
            </w:pPr>
            <w:r w:rsidRPr="002029AF">
              <w:t>–</w:t>
            </w:r>
          </w:p>
        </w:tc>
        <w:tc>
          <w:tcPr>
            <w:tcW w:w="1610" w:type="dxa"/>
            <w:tcBorders>
              <w:top w:val="single" w:sz="4" w:space="0" w:color="A6A6A6"/>
              <w:bottom w:val="single" w:sz="4" w:space="0" w:color="A6A6A6"/>
            </w:tcBorders>
            <w:noWrap/>
            <w:hideMark/>
          </w:tcPr>
          <w:p w14:paraId="6AF125FD" w14:textId="77777777" w:rsidR="00087B91" w:rsidRPr="002029AF" w:rsidRDefault="00087B91" w:rsidP="00860E95">
            <w:pPr>
              <w:pStyle w:val="ARfintablebodyright"/>
              <w:spacing w:before="20" w:after="10"/>
            </w:pPr>
            <w:r w:rsidRPr="002029AF">
              <w:t>3.4</w:t>
            </w:r>
          </w:p>
        </w:tc>
      </w:tr>
      <w:tr w:rsidR="00087B91" w:rsidRPr="002029AF" w14:paraId="385D7E87" w14:textId="77777777" w:rsidTr="00860E95">
        <w:trPr>
          <w:trHeight w:val="198"/>
        </w:trPr>
        <w:tc>
          <w:tcPr>
            <w:tcW w:w="6407" w:type="dxa"/>
            <w:gridSpan w:val="6"/>
            <w:tcBorders>
              <w:top w:val="single" w:sz="4" w:space="0" w:color="A6A6A6"/>
              <w:bottom w:val="single" w:sz="4" w:space="0" w:color="A6A6A6"/>
            </w:tcBorders>
            <w:hideMark/>
          </w:tcPr>
          <w:p w14:paraId="23CE31E9" w14:textId="32EF9162" w:rsidR="00087B91" w:rsidRPr="002029AF" w:rsidRDefault="00087B91" w:rsidP="00860E95">
            <w:pPr>
              <w:pStyle w:val="ARfintablebodybold"/>
              <w:spacing w:before="20"/>
            </w:pPr>
            <w:r w:rsidRPr="002029AF">
              <w:t>Gains</w:t>
            </w:r>
            <w:r w:rsidR="000A5329" w:rsidRPr="002029AF">
              <w:t xml:space="preserve"> </w:t>
            </w:r>
            <w:r w:rsidRPr="002029AF">
              <w:t>or</w:t>
            </w:r>
            <w:r w:rsidR="000A5329" w:rsidRPr="002029AF">
              <w:t xml:space="preserve"> </w:t>
            </w:r>
            <w:r w:rsidRPr="002029AF">
              <w:t>losses</w:t>
            </w:r>
            <w:r w:rsidR="000A5329" w:rsidRPr="002029AF">
              <w:t xml:space="preserve"> </w:t>
            </w:r>
            <w:r w:rsidRPr="002029AF">
              <w:t>recognised</w:t>
            </w:r>
            <w:r w:rsidR="000A5329" w:rsidRPr="002029AF">
              <w:t xml:space="preserve"> </w:t>
            </w:r>
            <w:r w:rsidRPr="002029AF">
              <w:t>in</w:t>
            </w:r>
            <w:r w:rsidR="000A5329" w:rsidRPr="002029AF">
              <w:t xml:space="preserve"> </w:t>
            </w:r>
            <w:r w:rsidRPr="002029AF">
              <w:t>net</w:t>
            </w:r>
            <w:r w:rsidR="000A5329" w:rsidRPr="002029AF">
              <w:t xml:space="preserve"> </w:t>
            </w:r>
            <w:r w:rsidRPr="002029AF">
              <w:t>result</w:t>
            </w:r>
          </w:p>
        </w:tc>
      </w:tr>
      <w:tr w:rsidR="00087B91" w:rsidRPr="002029AF" w14:paraId="46BC473F" w14:textId="77777777" w:rsidTr="00860E95">
        <w:trPr>
          <w:trHeight w:val="198"/>
        </w:trPr>
        <w:tc>
          <w:tcPr>
            <w:tcW w:w="6407" w:type="dxa"/>
            <w:tcBorders>
              <w:top w:val="single" w:sz="4" w:space="0" w:color="A6A6A6"/>
              <w:bottom w:val="single" w:sz="4" w:space="0" w:color="A6A6A6"/>
            </w:tcBorders>
            <w:hideMark/>
          </w:tcPr>
          <w:p w14:paraId="75CBD46F" w14:textId="77777777" w:rsidR="00087B91" w:rsidRPr="002029AF" w:rsidRDefault="00087B91" w:rsidP="00860E95">
            <w:pPr>
              <w:pStyle w:val="ARfintablebody"/>
              <w:spacing w:before="20" w:after="10"/>
            </w:pPr>
            <w:r w:rsidRPr="002029AF">
              <w:t>Depreciation</w:t>
            </w:r>
          </w:p>
        </w:tc>
        <w:tc>
          <w:tcPr>
            <w:tcW w:w="1610" w:type="dxa"/>
            <w:tcBorders>
              <w:top w:val="single" w:sz="4" w:space="0" w:color="A6A6A6"/>
              <w:bottom w:val="single" w:sz="4" w:space="0" w:color="A6A6A6"/>
            </w:tcBorders>
            <w:noWrap/>
            <w:hideMark/>
          </w:tcPr>
          <w:p w14:paraId="27A1ACE6" w14:textId="77777777" w:rsidR="00087B91" w:rsidRPr="002029AF" w:rsidRDefault="00087B91" w:rsidP="00860E95">
            <w:pPr>
              <w:pStyle w:val="ARfintablebodyright"/>
              <w:spacing w:before="20" w:after="10"/>
            </w:pPr>
            <w:r w:rsidRPr="002029AF">
              <w:t>–</w:t>
            </w:r>
          </w:p>
        </w:tc>
        <w:tc>
          <w:tcPr>
            <w:tcW w:w="1610" w:type="dxa"/>
            <w:tcBorders>
              <w:top w:val="single" w:sz="4" w:space="0" w:color="A6A6A6"/>
              <w:bottom w:val="single" w:sz="4" w:space="0" w:color="A6A6A6"/>
            </w:tcBorders>
            <w:noWrap/>
            <w:hideMark/>
          </w:tcPr>
          <w:p w14:paraId="0072AFBA" w14:textId="77777777" w:rsidR="00087B91" w:rsidRPr="002029AF" w:rsidRDefault="00087B91" w:rsidP="00860E95">
            <w:pPr>
              <w:pStyle w:val="ARfintablebodyright"/>
              <w:spacing w:before="20" w:after="10"/>
            </w:pPr>
            <w:r w:rsidRPr="002029AF">
              <w:t>(24.1)</w:t>
            </w:r>
          </w:p>
        </w:tc>
        <w:tc>
          <w:tcPr>
            <w:tcW w:w="1610" w:type="dxa"/>
            <w:tcBorders>
              <w:top w:val="single" w:sz="4" w:space="0" w:color="A6A6A6"/>
              <w:bottom w:val="single" w:sz="4" w:space="0" w:color="A6A6A6"/>
            </w:tcBorders>
            <w:noWrap/>
            <w:hideMark/>
          </w:tcPr>
          <w:p w14:paraId="4ACC2093" w14:textId="77777777" w:rsidR="00087B91" w:rsidRPr="002029AF" w:rsidRDefault="00087B91" w:rsidP="00860E95">
            <w:pPr>
              <w:pStyle w:val="ARfintablebodyright"/>
              <w:spacing w:before="20" w:after="10"/>
            </w:pPr>
            <w:r w:rsidRPr="002029AF">
              <w:t>(4.9)</w:t>
            </w:r>
          </w:p>
        </w:tc>
        <w:tc>
          <w:tcPr>
            <w:tcW w:w="1610" w:type="dxa"/>
            <w:tcBorders>
              <w:top w:val="single" w:sz="4" w:space="0" w:color="A6A6A6"/>
              <w:bottom w:val="single" w:sz="4" w:space="0" w:color="A6A6A6"/>
            </w:tcBorders>
            <w:noWrap/>
            <w:hideMark/>
          </w:tcPr>
          <w:p w14:paraId="140A957A" w14:textId="77777777" w:rsidR="00087B91" w:rsidRPr="002029AF" w:rsidRDefault="00087B91" w:rsidP="00860E95">
            <w:pPr>
              <w:pStyle w:val="ARfintablebodyright"/>
              <w:spacing w:before="20" w:after="10"/>
            </w:pPr>
            <w:r w:rsidRPr="002029AF">
              <w:t>(0.3)</w:t>
            </w:r>
          </w:p>
        </w:tc>
        <w:tc>
          <w:tcPr>
            <w:tcW w:w="1610" w:type="dxa"/>
            <w:tcBorders>
              <w:top w:val="single" w:sz="4" w:space="0" w:color="A6A6A6"/>
              <w:bottom w:val="single" w:sz="4" w:space="0" w:color="A6A6A6"/>
            </w:tcBorders>
            <w:noWrap/>
            <w:hideMark/>
          </w:tcPr>
          <w:p w14:paraId="751521BD" w14:textId="77777777" w:rsidR="00087B91" w:rsidRPr="002029AF" w:rsidRDefault="00087B91" w:rsidP="00860E95">
            <w:pPr>
              <w:pStyle w:val="ARfintablebodyright"/>
              <w:spacing w:before="20" w:after="10"/>
            </w:pPr>
            <w:r w:rsidRPr="002029AF">
              <w:t>(29.3)</w:t>
            </w:r>
          </w:p>
        </w:tc>
      </w:tr>
      <w:tr w:rsidR="00087B91" w:rsidRPr="002029AF" w14:paraId="5F7D3F60" w14:textId="77777777" w:rsidTr="00860E95">
        <w:trPr>
          <w:trHeight w:val="198"/>
        </w:trPr>
        <w:tc>
          <w:tcPr>
            <w:tcW w:w="6407" w:type="dxa"/>
            <w:tcBorders>
              <w:top w:val="single" w:sz="4" w:space="0" w:color="A6A6A6"/>
            </w:tcBorders>
            <w:hideMark/>
          </w:tcPr>
          <w:p w14:paraId="400611D4" w14:textId="323B3143" w:rsidR="00087B91" w:rsidRPr="002029AF" w:rsidRDefault="00087B91" w:rsidP="00860E95">
            <w:pPr>
              <w:pStyle w:val="ARfintablebody"/>
              <w:spacing w:before="20" w:after="10"/>
            </w:pPr>
            <w:r w:rsidRPr="002029AF">
              <w:t>Assets</w:t>
            </w:r>
            <w:r w:rsidR="000A5329" w:rsidRPr="002029AF">
              <w:t xml:space="preserve"> </w:t>
            </w:r>
            <w:r w:rsidRPr="002029AF">
              <w:t>provided</w:t>
            </w:r>
            <w:r w:rsidR="000A5329" w:rsidRPr="002029AF">
              <w:t xml:space="preserve"> </w:t>
            </w:r>
            <w:r w:rsidRPr="002029AF">
              <w:t>free</w:t>
            </w:r>
            <w:r w:rsidR="000A5329" w:rsidRPr="002029AF">
              <w:t xml:space="preserve"> </w:t>
            </w:r>
            <w:r w:rsidRPr="002029AF">
              <w:t>of</w:t>
            </w:r>
            <w:r w:rsidR="000A5329" w:rsidRPr="002029AF">
              <w:t xml:space="preserve"> </w:t>
            </w:r>
            <w:r w:rsidRPr="002029AF">
              <w:t>charge</w:t>
            </w:r>
          </w:p>
        </w:tc>
        <w:tc>
          <w:tcPr>
            <w:tcW w:w="1610" w:type="dxa"/>
            <w:tcBorders>
              <w:top w:val="single" w:sz="4" w:space="0" w:color="A6A6A6"/>
            </w:tcBorders>
            <w:noWrap/>
            <w:hideMark/>
          </w:tcPr>
          <w:p w14:paraId="43E6D8F8" w14:textId="77777777" w:rsidR="00087B91" w:rsidRPr="002029AF" w:rsidRDefault="00087B91" w:rsidP="00860E95">
            <w:pPr>
              <w:pStyle w:val="ARfintablebodyright"/>
              <w:spacing w:before="20" w:after="10"/>
            </w:pPr>
            <w:r w:rsidRPr="002029AF">
              <w:t>–</w:t>
            </w:r>
          </w:p>
        </w:tc>
        <w:tc>
          <w:tcPr>
            <w:tcW w:w="1610" w:type="dxa"/>
            <w:tcBorders>
              <w:top w:val="single" w:sz="4" w:space="0" w:color="A6A6A6"/>
            </w:tcBorders>
            <w:noWrap/>
            <w:hideMark/>
          </w:tcPr>
          <w:p w14:paraId="0A1E6B9A" w14:textId="77777777" w:rsidR="00087B91" w:rsidRPr="002029AF" w:rsidRDefault="00087B91" w:rsidP="00860E95">
            <w:pPr>
              <w:pStyle w:val="ARfintablebodyright"/>
              <w:spacing w:before="20" w:after="10"/>
            </w:pPr>
            <w:r w:rsidRPr="002029AF">
              <w:t>–</w:t>
            </w:r>
          </w:p>
        </w:tc>
        <w:tc>
          <w:tcPr>
            <w:tcW w:w="1610" w:type="dxa"/>
            <w:tcBorders>
              <w:top w:val="single" w:sz="4" w:space="0" w:color="A6A6A6"/>
            </w:tcBorders>
            <w:noWrap/>
            <w:hideMark/>
          </w:tcPr>
          <w:p w14:paraId="4C12ADB0" w14:textId="77777777" w:rsidR="00087B91" w:rsidRPr="002029AF" w:rsidRDefault="00087B91" w:rsidP="00860E95">
            <w:pPr>
              <w:pStyle w:val="ARfintablebodyright"/>
              <w:spacing w:before="20" w:after="10"/>
            </w:pPr>
            <w:r w:rsidRPr="002029AF">
              <w:t>(0.2)</w:t>
            </w:r>
          </w:p>
        </w:tc>
        <w:tc>
          <w:tcPr>
            <w:tcW w:w="1610" w:type="dxa"/>
            <w:tcBorders>
              <w:top w:val="single" w:sz="4" w:space="0" w:color="A6A6A6"/>
            </w:tcBorders>
            <w:noWrap/>
            <w:hideMark/>
          </w:tcPr>
          <w:p w14:paraId="039E225E" w14:textId="77777777" w:rsidR="00087B91" w:rsidRPr="002029AF" w:rsidRDefault="00087B91" w:rsidP="00860E95">
            <w:pPr>
              <w:pStyle w:val="ARfintablebodyright"/>
              <w:spacing w:before="20" w:after="10"/>
            </w:pPr>
            <w:r w:rsidRPr="002029AF">
              <w:t>(0.7)</w:t>
            </w:r>
          </w:p>
        </w:tc>
        <w:tc>
          <w:tcPr>
            <w:tcW w:w="1610" w:type="dxa"/>
            <w:tcBorders>
              <w:top w:val="single" w:sz="4" w:space="0" w:color="A6A6A6"/>
            </w:tcBorders>
            <w:noWrap/>
            <w:hideMark/>
          </w:tcPr>
          <w:p w14:paraId="64991310" w14:textId="77777777" w:rsidR="00087B91" w:rsidRPr="002029AF" w:rsidRDefault="00087B91" w:rsidP="00860E95">
            <w:pPr>
              <w:pStyle w:val="ARfintablebodyright"/>
              <w:spacing w:before="20" w:after="10"/>
            </w:pPr>
            <w:r w:rsidRPr="002029AF">
              <w:t>(0.9)</w:t>
            </w:r>
          </w:p>
        </w:tc>
      </w:tr>
      <w:tr w:rsidR="00087B91" w:rsidRPr="002029AF" w14:paraId="296F6B23" w14:textId="77777777" w:rsidTr="00860E95">
        <w:trPr>
          <w:trHeight w:val="198"/>
        </w:trPr>
        <w:tc>
          <w:tcPr>
            <w:tcW w:w="6407" w:type="dxa"/>
            <w:tcBorders>
              <w:bottom w:val="single" w:sz="4" w:space="0" w:color="auto"/>
            </w:tcBorders>
            <w:hideMark/>
          </w:tcPr>
          <w:p w14:paraId="62F53BA9" w14:textId="53C3E31F" w:rsidR="00087B91" w:rsidRPr="002029AF" w:rsidRDefault="00087B91" w:rsidP="00860E95">
            <w:pPr>
              <w:pStyle w:val="ARfintablebodybold"/>
              <w:spacing w:before="20" w:after="10"/>
            </w:pPr>
            <w:r w:rsidRPr="002029AF">
              <w:t>Subtotal</w:t>
            </w:r>
            <w:r w:rsidR="000A5329" w:rsidRPr="002029AF">
              <w:t xml:space="preserve"> </w:t>
            </w:r>
            <w:r w:rsidRPr="002029AF">
              <w:t>of</w:t>
            </w:r>
            <w:r w:rsidR="000A5329" w:rsidRPr="002029AF">
              <w:t xml:space="preserve"> </w:t>
            </w:r>
            <w:r w:rsidRPr="002029AF">
              <w:t>gains</w:t>
            </w:r>
            <w:r w:rsidR="000A5329" w:rsidRPr="002029AF">
              <w:t xml:space="preserve"> </w:t>
            </w:r>
            <w:r w:rsidRPr="002029AF">
              <w:t>or</w:t>
            </w:r>
            <w:r w:rsidR="000A5329" w:rsidRPr="002029AF">
              <w:t xml:space="preserve"> </w:t>
            </w:r>
            <w:r w:rsidRPr="002029AF">
              <w:t>losses</w:t>
            </w:r>
            <w:r w:rsidR="000A5329" w:rsidRPr="002029AF">
              <w:t xml:space="preserve"> </w:t>
            </w:r>
            <w:r w:rsidRPr="002029AF">
              <w:t>recognised</w:t>
            </w:r>
            <w:r w:rsidR="000A5329" w:rsidRPr="002029AF">
              <w:t xml:space="preserve"> </w:t>
            </w:r>
            <w:r w:rsidRPr="002029AF">
              <w:t>in</w:t>
            </w:r>
            <w:r w:rsidR="000A5329" w:rsidRPr="002029AF">
              <w:t xml:space="preserve"> </w:t>
            </w:r>
            <w:r w:rsidRPr="002029AF">
              <w:t>net</w:t>
            </w:r>
            <w:r w:rsidR="000A5329" w:rsidRPr="002029AF">
              <w:t xml:space="preserve"> </w:t>
            </w:r>
            <w:r w:rsidRPr="002029AF">
              <w:t>result</w:t>
            </w:r>
          </w:p>
        </w:tc>
        <w:tc>
          <w:tcPr>
            <w:tcW w:w="1610" w:type="dxa"/>
            <w:tcBorders>
              <w:bottom w:val="single" w:sz="4" w:space="0" w:color="auto"/>
            </w:tcBorders>
            <w:noWrap/>
            <w:hideMark/>
          </w:tcPr>
          <w:p w14:paraId="74FEB0E9" w14:textId="77777777" w:rsidR="00087B91" w:rsidRPr="002029AF" w:rsidRDefault="00087B91" w:rsidP="00860E95">
            <w:pPr>
              <w:pStyle w:val="ARfintablebodyrightbold"/>
              <w:spacing w:before="20" w:after="10"/>
            </w:pPr>
            <w:r w:rsidRPr="002029AF">
              <w:t>–</w:t>
            </w:r>
          </w:p>
        </w:tc>
        <w:tc>
          <w:tcPr>
            <w:tcW w:w="1610" w:type="dxa"/>
            <w:tcBorders>
              <w:bottom w:val="single" w:sz="4" w:space="0" w:color="auto"/>
            </w:tcBorders>
            <w:noWrap/>
            <w:hideMark/>
          </w:tcPr>
          <w:p w14:paraId="69D5D7C6" w14:textId="77777777" w:rsidR="00087B91" w:rsidRPr="002029AF" w:rsidRDefault="00087B91" w:rsidP="00860E95">
            <w:pPr>
              <w:pStyle w:val="ARfintablebodyrightbold"/>
              <w:spacing w:before="20" w:after="10"/>
            </w:pPr>
            <w:r w:rsidRPr="002029AF">
              <w:t>(24.1)</w:t>
            </w:r>
          </w:p>
        </w:tc>
        <w:tc>
          <w:tcPr>
            <w:tcW w:w="1610" w:type="dxa"/>
            <w:tcBorders>
              <w:bottom w:val="single" w:sz="4" w:space="0" w:color="auto"/>
            </w:tcBorders>
            <w:noWrap/>
            <w:hideMark/>
          </w:tcPr>
          <w:p w14:paraId="4BC3ADF5" w14:textId="77777777" w:rsidR="00087B91" w:rsidRPr="002029AF" w:rsidRDefault="00087B91" w:rsidP="00860E95">
            <w:pPr>
              <w:pStyle w:val="ARfintablebodyrightbold"/>
              <w:spacing w:before="20" w:after="10"/>
            </w:pPr>
            <w:r w:rsidRPr="002029AF">
              <w:t>(5.1)</w:t>
            </w:r>
          </w:p>
        </w:tc>
        <w:tc>
          <w:tcPr>
            <w:tcW w:w="1610" w:type="dxa"/>
            <w:tcBorders>
              <w:bottom w:val="single" w:sz="4" w:space="0" w:color="auto"/>
            </w:tcBorders>
            <w:noWrap/>
            <w:hideMark/>
          </w:tcPr>
          <w:p w14:paraId="2CF5607A" w14:textId="77777777" w:rsidR="00087B91" w:rsidRPr="002029AF" w:rsidRDefault="00087B91" w:rsidP="00860E95">
            <w:pPr>
              <w:pStyle w:val="ARfintablebodyrightbold"/>
              <w:spacing w:before="20" w:after="10"/>
            </w:pPr>
            <w:r w:rsidRPr="002029AF">
              <w:t>(1.1)</w:t>
            </w:r>
          </w:p>
        </w:tc>
        <w:tc>
          <w:tcPr>
            <w:tcW w:w="1610" w:type="dxa"/>
            <w:tcBorders>
              <w:bottom w:val="single" w:sz="4" w:space="0" w:color="auto"/>
            </w:tcBorders>
            <w:noWrap/>
            <w:hideMark/>
          </w:tcPr>
          <w:p w14:paraId="5C83054E" w14:textId="77777777" w:rsidR="00087B91" w:rsidRPr="002029AF" w:rsidRDefault="00087B91" w:rsidP="00860E95">
            <w:pPr>
              <w:pStyle w:val="ARfintablebodyrightbold"/>
              <w:spacing w:before="20" w:after="10"/>
            </w:pPr>
            <w:r w:rsidRPr="002029AF">
              <w:t>(30.3)</w:t>
            </w:r>
          </w:p>
        </w:tc>
      </w:tr>
      <w:tr w:rsidR="00087B91" w:rsidRPr="002029AF" w14:paraId="3CBC76EB" w14:textId="77777777" w:rsidTr="00860E95">
        <w:trPr>
          <w:trHeight w:val="198"/>
        </w:trPr>
        <w:tc>
          <w:tcPr>
            <w:tcW w:w="6407" w:type="dxa"/>
            <w:gridSpan w:val="6"/>
            <w:tcBorders>
              <w:top w:val="single" w:sz="4" w:space="0" w:color="auto"/>
              <w:bottom w:val="single" w:sz="4" w:space="0" w:color="A6A6A6"/>
            </w:tcBorders>
            <w:hideMark/>
          </w:tcPr>
          <w:p w14:paraId="326DE379" w14:textId="384244D6" w:rsidR="00087B91" w:rsidRPr="002029AF" w:rsidRDefault="00087B91" w:rsidP="00860E95">
            <w:pPr>
              <w:pStyle w:val="ARfintablebodybold"/>
              <w:spacing w:before="20" w:after="10"/>
            </w:pPr>
            <w:r w:rsidRPr="002029AF">
              <w:t>Gains</w:t>
            </w:r>
            <w:r w:rsidR="000A5329" w:rsidRPr="002029AF">
              <w:t xml:space="preserve"> </w:t>
            </w:r>
            <w:r w:rsidRPr="002029AF">
              <w:t>or</w:t>
            </w:r>
            <w:r w:rsidR="000A5329" w:rsidRPr="002029AF">
              <w:t xml:space="preserve"> </w:t>
            </w:r>
            <w:r w:rsidRPr="002029AF">
              <w:t>losses</w:t>
            </w:r>
            <w:r w:rsidR="000A5329" w:rsidRPr="002029AF">
              <w:t xml:space="preserve"> </w:t>
            </w:r>
            <w:r w:rsidRPr="002029AF">
              <w:t>recognised</w:t>
            </w:r>
            <w:r w:rsidR="000A5329" w:rsidRPr="002029AF">
              <w:t xml:space="preserve"> </w:t>
            </w:r>
            <w:r w:rsidRPr="002029AF">
              <w:t>in</w:t>
            </w:r>
            <w:r w:rsidR="000A5329" w:rsidRPr="002029AF">
              <w:t xml:space="preserve"> </w:t>
            </w:r>
            <w:r w:rsidRPr="002029AF">
              <w:t>other</w:t>
            </w:r>
            <w:r w:rsidR="000A5329" w:rsidRPr="002029AF">
              <w:t xml:space="preserve"> </w:t>
            </w:r>
            <w:r w:rsidRPr="002029AF">
              <w:t>economic</w:t>
            </w:r>
            <w:r w:rsidR="000A5329" w:rsidRPr="002029AF">
              <w:t xml:space="preserve"> </w:t>
            </w:r>
            <w:r w:rsidRPr="002029AF">
              <w:t>flows</w:t>
            </w:r>
            <w:r w:rsidR="000A5329" w:rsidRPr="002029AF">
              <w:t xml:space="preserve"> </w:t>
            </w:r>
            <w:r w:rsidRPr="002029AF">
              <w:t>–</w:t>
            </w:r>
            <w:r w:rsidR="000A5329" w:rsidRPr="002029AF">
              <w:t xml:space="preserve"> </w:t>
            </w:r>
            <w:r w:rsidRPr="002029AF">
              <w:t>other</w:t>
            </w:r>
            <w:r w:rsidR="000A5329" w:rsidRPr="002029AF">
              <w:t xml:space="preserve"> </w:t>
            </w:r>
            <w:r w:rsidRPr="002029AF">
              <w:t>comprehensive</w:t>
            </w:r>
            <w:r w:rsidR="000A5329" w:rsidRPr="002029AF">
              <w:t xml:space="preserve"> </w:t>
            </w:r>
            <w:r w:rsidRPr="002029AF">
              <w:t>income</w:t>
            </w:r>
          </w:p>
        </w:tc>
      </w:tr>
      <w:tr w:rsidR="00087B91" w:rsidRPr="002029AF" w14:paraId="327D031D" w14:textId="77777777" w:rsidTr="00860E95">
        <w:trPr>
          <w:trHeight w:val="198"/>
        </w:trPr>
        <w:tc>
          <w:tcPr>
            <w:tcW w:w="6407" w:type="dxa"/>
            <w:tcBorders>
              <w:top w:val="single" w:sz="4" w:space="0" w:color="A6A6A6"/>
            </w:tcBorders>
            <w:hideMark/>
          </w:tcPr>
          <w:p w14:paraId="252AE6AC" w14:textId="2858B970" w:rsidR="00087B91" w:rsidRPr="002029AF" w:rsidRDefault="00087B91" w:rsidP="00860E95">
            <w:pPr>
              <w:pStyle w:val="ARfintablebody"/>
              <w:spacing w:before="20" w:after="10"/>
            </w:pPr>
            <w:r w:rsidRPr="002029AF">
              <w:t>Net</w:t>
            </w:r>
            <w:r w:rsidR="000A5329" w:rsidRPr="002029AF">
              <w:t xml:space="preserve"> </w:t>
            </w:r>
            <w:r w:rsidRPr="002029AF">
              <w:t>revaluation</w:t>
            </w:r>
            <w:r w:rsidR="000A5329" w:rsidRPr="002029AF">
              <w:t xml:space="preserve"> </w:t>
            </w:r>
            <w:r w:rsidRPr="002029AF">
              <w:t>increments/(decrements)</w:t>
            </w:r>
          </w:p>
        </w:tc>
        <w:tc>
          <w:tcPr>
            <w:tcW w:w="1610" w:type="dxa"/>
            <w:tcBorders>
              <w:top w:val="single" w:sz="4" w:space="0" w:color="A6A6A6"/>
            </w:tcBorders>
            <w:noWrap/>
            <w:hideMark/>
          </w:tcPr>
          <w:p w14:paraId="79E00B07" w14:textId="77777777" w:rsidR="00087B91" w:rsidRPr="002029AF" w:rsidRDefault="00087B91" w:rsidP="00860E95">
            <w:pPr>
              <w:pStyle w:val="ARfintablebodyright"/>
              <w:spacing w:before="20" w:after="10"/>
            </w:pPr>
            <w:r w:rsidRPr="002029AF">
              <w:t>(58.0)</w:t>
            </w:r>
          </w:p>
        </w:tc>
        <w:tc>
          <w:tcPr>
            <w:tcW w:w="1610" w:type="dxa"/>
            <w:tcBorders>
              <w:top w:val="single" w:sz="4" w:space="0" w:color="A6A6A6"/>
            </w:tcBorders>
            <w:noWrap/>
            <w:hideMark/>
          </w:tcPr>
          <w:p w14:paraId="231414BD" w14:textId="77777777" w:rsidR="00087B91" w:rsidRPr="002029AF" w:rsidRDefault="00087B91" w:rsidP="00860E95">
            <w:pPr>
              <w:pStyle w:val="ARfintablebodyright"/>
              <w:spacing w:before="20" w:after="10"/>
            </w:pPr>
            <w:r w:rsidRPr="002029AF">
              <w:t>261.7</w:t>
            </w:r>
          </w:p>
        </w:tc>
        <w:tc>
          <w:tcPr>
            <w:tcW w:w="1610" w:type="dxa"/>
            <w:tcBorders>
              <w:top w:val="single" w:sz="4" w:space="0" w:color="A6A6A6"/>
            </w:tcBorders>
            <w:noWrap/>
            <w:hideMark/>
          </w:tcPr>
          <w:p w14:paraId="546C609D" w14:textId="77777777" w:rsidR="00087B91" w:rsidRPr="002029AF" w:rsidRDefault="00087B91" w:rsidP="00860E95">
            <w:pPr>
              <w:pStyle w:val="ARfintablebodyright"/>
              <w:spacing w:before="20" w:after="10"/>
            </w:pPr>
            <w:r w:rsidRPr="002029AF">
              <w:t>–</w:t>
            </w:r>
          </w:p>
        </w:tc>
        <w:tc>
          <w:tcPr>
            <w:tcW w:w="1610" w:type="dxa"/>
            <w:tcBorders>
              <w:top w:val="single" w:sz="4" w:space="0" w:color="A6A6A6"/>
            </w:tcBorders>
            <w:noWrap/>
            <w:hideMark/>
          </w:tcPr>
          <w:p w14:paraId="5CC34B96" w14:textId="77777777" w:rsidR="00087B91" w:rsidRPr="002029AF" w:rsidRDefault="00087B91" w:rsidP="00860E95">
            <w:pPr>
              <w:pStyle w:val="ARfintablebodyright"/>
              <w:spacing w:before="20" w:after="10"/>
            </w:pPr>
            <w:r w:rsidRPr="002029AF">
              <w:t>–</w:t>
            </w:r>
          </w:p>
        </w:tc>
        <w:tc>
          <w:tcPr>
            <w:tcW w:w="1610" w:type="dxa"/>
            <w:tcBorders>
              <w:top w:val="single" w:sz="4" w:space="0" w:color="A6A6A6"/>
            </w:tcBorders>
            <w:noWrap/>
            <w:hideMark/>
          </w:tcPr>
          <w:p w14:paraId="4B37B08E" w14:textId="77777777" w:rsidR="00087B91" w:rsidRPr="002029AF" w:rsidRDefault="00087B91" w:rsidP="00860E95">
            <w:pPr>
              <w:pStyle w:val="ARfintablebodyright"/>
              <w:spacing w:before="20" w:after="10"/>
            </w:pPr>
            <w:r w:rsidRPr="002029AF">
              <w:t>203.7</w:t>
            </w:r>
          </w:p>
        </w:tc>
      </w:tr>
      <w:tr w:rsidR="00087B91" w:rsidRPr="002029AF" w14:paraId="7BA4C117" w14:textId="77777777" w:rsidTr="00860E95">
        <w:trPr>
          <w:trHeight w:val="198"/>
        </w:trPr>
        <w:tc>
          <w:tcPr>
            <w:tcW w:w="6407" w:type="dxa"/>
            <w:hideMark/>
          </w:tcPr>
          <w:p w14:paraId="00ED4CFA" w14:textId="3F14CF74" w:rsidR="00087B91" w:rsidRPr="002029AF" w:rsidRDefault="00087B91" w:rsidP="00860E95">
            <w:pPr>
              <w:pStyle w:val="ARfintablebodybold"/>
              <w:spacing w:before="20" w:after="10"/>
            </w:pPr>
            <w:r w:rsidRPr="002029AF">
              <w:t>Subtotal</w:t>
            </w:r>
            <w:r w:rsidR="000A5329" w:rsidRPr="002029AF">
              <w:t xml:space="preserve"> </w:t>
            </w:r>
            <w:r w:rsidRPr="002029AF">
              <w:t>of</w:t>
            </w:r>
            <w:r w:rsidR="000A5329" w:rsidRPr="002029AF">
              <w:t xml:space="preserve"> </w:t>
            </w:r>
            <w:r w:rsidRPr="002029AF">
              <w:t>gains</w:t>
            </w:r>
            <w:r w:rsidR="000A5329" w:rsidRPr="002029AF">
              <w:t xml:space="preserve"> </w:t>
            </w:r>
            <w:r w:rsidRPr="002029AF">
              <w:t>or</w:t>
            </w:r>
            <w:r w:rsidR="000A5329" w:rsidRPr="002029AF">
              <w:t xml:space="preserve"> </w:t>
            </w:r>
            <w:r w:rsidRPr="002029AF">
              <w:t>losses</w:t>
            </w:r>
            <w:r w:rsidR="000A5329" w:rsidRPr="002029AF">
              <w:t xml:space="preserve"> </w:t>
            </w:r>
            <w:r w:rsidRPr="002029AF">
              <w:t>recognised</w:t>
            </w:r>
            <w:r w:rsidR="000A5329" w:rsidRPr="002029AF">
              <w:t xml:space="preserve"> </w:t>
            </w:r>
            <w:r w:rsidRPr="002029AF">
              <w:t>in</w:t>
            </w:r>
            <w:r w:rsidR="000A5329" w:rsidRPr="002029AF">
              <w:t xml:space="preserve"> </w:t>
            </w:r>
            <w:r w:rsidRPr="002029AF">
              <w:t>other</w:t>
            </w:r>
            <w:r w:rsidR="000A5329" w:rsidRPr="002029AF">
              <w:t xml:space="preserve"> </w:t>
            </w:r>
            <w:r w:rsidRPr="002029AF">
              <w:t>economic</w:t>
            </w:r>
            <w:r w:rsidR="000A5329" w:rsidRPr="002029AF">
              <w:t xml:space="preserve"> </w:t>
            </w:r>
            <w:r w:rsidRPr="002029AF">
              <w:t>flows</w:t>
            </w:r>
          </w:p>
        </w:tc>
        <w:tc>
          <w:tcPr>
            <w:tcW w:w="1610" w:type="dxa"/>
            <w:noWrap/>
            <w:hideMark/>
          </w:tcPr>
          <w:p w14:paraId="2AAEB357" w14:textId="77777777" w:rsidR="00087B91" w:rsidRPr="002029AF" w:rsidRDefault="00087B91" w:rsidP="00860E95">
            <w:pPr>
              <w:pStyle w:val="ARfintablebodyrightbold"/>
              <w:spacing w:before="20" w:after="10"/>
            </w:pPr>
            <w:r w:rsidRPr="002029AF">
              <w:t>(58.0)</w:t>
            </w:r>
          </w:p>
        </w:tc>
        <w:tc>
          <w:tcPr>
            <w:tcW w:w="1610" w:type="dxa"/>
            <w:noWrap/>
            <w:hideMark/>
          </w:tcPr>
          <w:p w14:paraId="0B22E401" w14:textId="77777777" w:rsidR="00087B91" w:rsidRPr="002029AF" w:rsidRDefault="00087B91" w:rsidP="00860E95">
            <w:pPr>
              <w:pStyle w:val="ARfintablebodyrightbold"/>
              <w:spacing w:before="20" w:after="10"/>
            </w:pPr>
            <w:r w:rsidRPr="002029AF">
              <w:t>261.7</w:t>
            </w:r>
          </w:p>
        </w:tc>
        <w:tc>
          <w:tcPr>
            <w:tcW w:w="1610" w:type="dxa"/>
            <w:noWrap/>
            <w:hideMark/>
          </w:tcPr>
          <w:p w14:paraId="5491BFB5" w14:textId="77777777" w:rsidR="00087B91" w:rsidRPr="002029AF" w:rsidRDefault="00087B91" w:rsidP="00860E95">
            <w:pPr>
              <w:pStyle w:val="ARfintablebodyrightbold"/>
              <w:spacing w:before="20" w:after="10"/>
            </w:pPr>
            <w:r w:rsidRPr="002029AF">
              <w:t>–</w:t>
            </w:r>
          </w:p>
        </w:tc>
        <w:tc>
          <w:tcPr>
            <w:tcW w:w="1610" w:type="dxa"/>
            <w:noWrap/>
            <w:hideMark/>
          </w:tcPr>
          <w:p w14:paraId="767473EE" w14:textId="77777777" w:rsidR="00087B91" w:rsidRPr="002029AF" w:rsidRDefault="00087B91" w:rsidP="00860E95">
            <w:pPr>
              <w:pStyle w:val="ARfintablebodyrightbold"/>
              <w:spacing w:before="20" w:after="10"/>
            </w:pPr>
            <w:r w:rsidRPr="002029AF">
              <w:t>–</w:t>
            </w:r>
          </w:p>
        </w:tc>
        <w:tc>
          <w:tcPr>
            <w:tcW w:w="1610" w:type="dxa"/>
            <w:noWrap/>
            <w:hideMark/>
          </w:tcPr>
          <w:p w14:paraId="6C906CA4" w14:textId="77777777" w:rsidR="00087B91" w:rsidRPr="002029AF" w:rsidRDefault="00087B91" w:rsidP="00860E95">
            <w:pPr>
              <w:pStyle w:val="ARfintablebodyrightbold"/>
              <w:spacing w:before="20" w:after="10"/>
            </w:pPr>
            <w:r w:rsidRPr="002029AF">
              <w:t>203.7</w:t>
            </w:r>
          </w:p>
        </w:tc>
      </w:tr>
      <w:tr w:rsidR="00087B91" w:rsidRPr="002029AF" w14:paraId="18AF6651" w14:textId="77777777" w:rsidTr="00860E95">
        <w:trPr>
          <w:trHeight w:val="198"/>
        </w:trPr>
        <w:tc>
          <w:tcPr>
            <w:tcW w:w="6407" w:type="dxa"/>
            <w:hideMark/>
          </w:tcPr>
          <w:p w14:paraId="7A9096BF" w14:textId="4866D5DA" w:rsidR="00087B91" w:rsidRPr="002029AF" w:rsidRDefault="00087B91" w:rsidP="00860E95">
            <w:pPr>
              <w:pStyle w:val="ARfintablebodybold"/>
              <w:spacing w:before="20" w:after="10"/>
            </w:pPr>
            <w:r w:rsidRPr="002029AF">
              <w:t>Closing</w:t>
            </w:r>
            <w:r w:rsidR="000A5329" w:rsidRPr="002029AF">
              <w:t xml:space="preserve"> </w:t>
            </w:r>
            <w:r w:rsidRPr="002029AF">
              <w:t>balance</w:t>
            </w:r>
          </w:p>
        </w:tc>
        <w:tc>
          <w:tcPr>
            <w:tcW w:w="1610" w:type="dxa"/>
            <w:noWrap/>
            <w:hideMark/>
          </w:tcPr>
          <w:p w14:paraId="17F42649" w14:textId="77777777" w:rsidR="00087B91" w:rsidRPr="002029AF" w:rsidRDefault="00087B91" w:rsidP="00860E95">
            <w:pPr>
              <w:pStyle w:val="ARfintablebodyrightbold"/>
              <w:spacing w:before="20" w:after="10"/>
            </w:pPr>
            <w:r w:rsidRPr="002029AF">
              <w:t>502.3</w:t>
            </w:r>
          </w:p>
        </w:tc>
        <w:tc>
          <w:tcPr>
            <w:tcW w:w="1610" w:type="dxa"/>
            <w:noWrap/>
            <w:hideMark/>
          </w:tcPr>
          <w:p w14:paraId="0C6D6C9B" w14:textId="77777777" w:rsidR="00087B91" w:rsidRPr="002029AF" w:rsidRDefault="00087B91" w:rsidP="00860E95">
            <w:pPr>
              <w:pStyle w:val="ARfintablebodyrightbold"/>
              <w:spacing w:before="20" w:after="10"/>
            </w:pPr>
            <w:r w:rsidRPr="002029AF">
              <w:t>741.6</w:t>
            </w:r>
          </w:p>
        </w:tc>
        <w:tc>
          <w:tcPr>
            <w:tcW w:w="1610" w:type="dxa"/>
            <w:noWrap/>
            <w:hideMark/>
          </w:tcPr>
          <w:p w14:paraId="5CEC1E9E" w14:textId="77777777" w:rsidR="00087B91" w:rsidRPr="002029AF" w:rsidRDefault="00087B91" w:rsidP="00860E95">
            <w:pPr>
              <w:pStyle w:val="ARfintablebodyrightbold"/>
              <w:spacing w:before="20" w:after="10"/>
            </w:pPr>
            <w:r w:rsidRPr="002029AF">
              <w:t>10.8</w:t>
            </w:r>
          </w:p>
        </w:tc>
        <w:tc>
          <w:tcPr>
            <w:tcW w:w="1610" w:type="dxa"/>
            <w:noWrap/>
            <w:hideMark/>
          </w:tcPr>
          <w:p w14:paraId="695F88F5" w14:textId="77777777" w:rsidR="00087B91" w:rsidRPr="002029AF" w:rsidRDefault="00087B91" w:rsidP="00860E95">
            <w:pPr>
              <w:pStyle w:val="ARfintablebodyrightbold"/>
              <w:spacing w:before="20" w:after="10"/>
            </w:pPr>
            <w:r w:rsidRPr="002029AF">
              <w:t>0.8</w:t>
            </w:r>
          </w:p>
        </w:tc>
        <w:tc>
          <w:tcPr>
            <w:tcW w:w="1610" w:type="dxa"/>
            <w:noWrap/>
            <w:hideMark/>
          </w:tcPr>
          <w:p w14:paraId="11161EFC" w14:textId="77777777" w:rsidR="00087B91" w:rsidRPr="002029AF" w:rsidRDefault="00087B91" w:rsidP="00860E95">
            <w:pPr>
              <w:pStyle w:val="ARfintablebodyrightbold"/>
              <w:spacing w:before="20" w:after="10"/>
            </w:pPr>
            <w:r w:rsidRPr="002029AF">
              <w:t>1,255.6</w:t>
            </w:r>
          </w:p>
        </w:tc>
      </w:tr>
    </w:tbl>
    <w:p w14:paraId="1BF4F0D1" w14:textId="77777777" w:rsidR="00087B91" w:rsidRPr="002029AF" w:rsidRDefault="00087B91" w:rsidP="00087B91">
      <w:pPr>
        <w:pStyle w:val="ARfinbody"/>
      </w:pPr>
    </w:p>
    <w:p w14:paraId="1EC74F08" w14:textId="77777777" w:rsidR="00087B91" w:rsidRPr="002029AF" w:rsidRDefault="00087B91" w:rsidP="00087B91">
      <w:pPr>
        <w:pStyle w:val="ARfinbody"/>
        <w:sectPr w:rsidR="00087B91" w:rsidRPr="002029AF" w:rsidSect="00860E95">
          <w:footerReference w:type="even" r:id="rId214"/>
          <w:pgSz w:w="16838" w:h="11906" w:orient="landscape" w:code="9"/>
          <w:pgMar w:top="1418" w:right="1531" w:bottom="1418" w:left="851" w:header="851" w:footer="851" w:gutter="0"/>
          <w:cols w:space="708"/>
          <w:docGrid w:linePitch="360"/>
          <w15:footnoteColumns w:val="1"/>
        </w:sectPr>
      </w:pPr>
    </w:p>
    <w:p w14:paraId="5F2F95DC" w14:textId="663D9801" w:rsidR="00087B91" w:rsidRPr="002029AF" w:rsidRDefault="00087B91" w:rsidP="00087B91">
      <w:pPr>
        <w:pStyle w:val="Heading6"/>
        <w:spacing w:before="0"/>
        <w:rPr>
          <w:lang w:val="en-AU"/>
        </w:rPr>
      </w:pPr>
      <w:r w:rsidRPr="002029AF">
        <w:rPr>
          <w:lang w:val="en-AU"/>
        </w:rPr>
        <w:lastRenderedPageBreak/>
        <w:t>Description</w:t>
      </w:r>
      <w:r w:rsidR="000A5329" w:rsidRPr="002029AF">
        <w:rPr>
          <w:lang w:val="en-AU"/>
        </w:rPr>
        <w:t xml:space="preserve"> </w:t>
      </w:r>
      <w:r w:rsidRPr="002029AF">
        <w:rPr>
          <w:lang w:val="en-AU"/>
        </w:rPr>
        <w:t>of</w:t>
      </w:r>
      <w:r w:rsidR="000A5329" w:rsidRPr="002029AF">
        <w:rPr>
          <w:lang w:val="en-AU"/>
        </w:rPr>
        <w:t xml:space="preserve"> </w:t>
      </w:r>
      <w:r w:rsidRPr="002029AF">
        <w:rPr>
          <w:lang w:val="en-AU"/>
        </w:rPr>
        <w:t>significant</w:t>
      </w:r>
      <w:r w:rsidR="000A5329" w:rsidRPr="002029AF">
        <w:rPr>
          <w:lang w:val="en-AU"/>
        </w:rPr>
        <w:t xml:space="preserve"> </w:t>
      </w:r>
      <w:r w:rsidRPr="002029AF">
        <w:rPr>
          <w:lang w:val="en-AU"/>
        </w:rPr>
        <w:t>unobservable</w:t>
      </w:r>
      <w:r w:rsidR="000A5329" w:rsidRPr="002029AF">
        <w:rPr>
          <w:lang w:val="en-AU"/>
        </w:rPr>
        <w:t xml:space="preserve"> </w:t>
      </w:r>
      <w:r w:rsidRPr="002029AF">
        <w:rPr>
          <w:lang w:val="en-AU"/>
        </w:rPr>
        <w:t>inputs</w:t>
      </w:r>
      <w:r w:rsidR="000A5329" w:rsidRPr="002029AF">
        <w:rPr>
          <w:lang w:val="en-AU"/>
        </w:rPr>
        <w:t xml:space="preserve"> </w:t>
      </w:r>
      <w:r w:rsidRPr="002029AF">
        <w:rPr>
          <w:lang w:val="en-AU"/>
        </w:rPr>
        <w:t>to</w:t>
      </w:r>
      <w:r w:rsidR="000A5329" w:rsidRPr="002029AF">
        <w:rPr>
          <w:lang w:val="en-AU"/>
        </w:rPr>
        <w:t xml:space="preserve"> </w:t>
      </w:r>
      <w:r w:rsidRPr="002029AF">
        <w:rPr>
          <w:lang w:val="en-AU"/>
        </w:rPr>
        <w:t>Level</w:t>
      </w:r>
      <w:r w:rsidR="000A5329" w:rsidRPr="002029AF">
        <w:rPr>
          <w:lang w:val="en-AU"/>
        </w:rPr>
        <w:t xml:space="preserve"> </w:t>
      </w:r>
      <w:r w:rsidRPr="002029AF">
        <w:rPr>
          <w:lang w:val="en-AU"/>
        </w:rPr>
        <w:t>3</w:t>
      </w:r>
      <w:r w:rsidR="000A5329" w:rsidRPr="002029AF">
        <w:rPr>
          <w:lang w:val="en-AU"/>
        </w:rPr>
        <w:t xml:space="preserve"> </w:t>
      </w:r>
      <w:r w:rsidRPr="002029AF">
        <w:rPr>
          <w:lang w:val="en-AU"/>
        </w:rPr>
        <w:t>valuations</w:t>
      </w:r>
    </w:p>
    <w:tbl>
      <w:tblPr>
        <w:tblStyle w:val="TableGrid"/>
        <w:tblW w:w="9639" w:type="dxa"/>
        <w:tblLayout w:type="fixed"/>
        <w:tblLook w:val="06A0" w:firstRow="1" w:lastRow="0" w:firstColumn="1" w:lastColumn="0" w:noHBand="1" w:noVBand="1"/>
      </w:tblPr>
      <w:tblGrid>
        <w:gridCol w:w="2495"/>
        <w:gridCol w:w="2948"/>
        <w:gridCol w:w="4196"/>
      </w:tblGrid>
      <w:tr w:rsidR="00087B91" w:rsidRPr="002029AF" w14:paraId="529F6B5D"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2495" w:type="dxa"/>
            <w:tcBorders>
              <w:bottom w:val="single" w:sz="4" w:space="0" w:color="auto"/>
            </w:tcBorders>
          </w:tcPr>
          <w:p w14:paraId="3F94FC5A" w14:textId="77777777" w:rsidR="00087B91" w:rsidRPr="002029AF" w:rsidRDefault="00087B91" w:rsidP="00860E95">
            <w:pPr>
              <w:pStyle w:val="ARfintablecolhead"/>
            </w:pPr>
          </w:p>
        </w:tc>
        <w:tc>
          <w:tcPr>
            <w:tcW w:w="2948" w:type="dxa"/>
            <w:tcBorders>
              <w:bottom w:val="single" w:sz="4" w:space="0" w:color="auto"/>
            </w:tcBorders>
          </w:tcPr>
          <w:p w14:paraId="51A1E3F5" w14:textId="097AF9DA" w:rsidR="00087B91" w:rsidRPr="002029AF" w:rsidRDefault="00087B91" w:rsidP="00860E95">
            <w:pPr>
              <w:pStyle w:val="ARfintablecolhead"/>
            </w:pPr>
            <w:r w:rsidRPr="002029AF">
              <w:t>Valuation</w:t>
            </w:r>
            <w:r w:rsidR="000A5329" w:rsidRPr="002029AF">
              <w:t xml:space="preserve"> </w:t>
            </w:r>
            <w:r w:rsidRPr="002029AF">
              <w:t>technique</w:t>
            </w:r>
          </w:p>
        </w:tc>
        <w:tc>
          <w:tcPr>
            <w:tcW w:w="4196" w:type="dxa"/>
            <w:tcBorders>
              <w:bottom w:val="single" w:sz="4" w:space="0" w:color="auto"/>
            </w:tcBorders>
          </w:tcPr>
          <w:p w14:paraId="4AB310FC" w14:textId="30C1D4AC" w:rsidR="00087B91" w:rsidRPr="002029AF" w:rsidRDefault="00087B91" w:rsidP="00860E95">
            <w:pPr>
              <w:pStyle w:val="ARfintablecolhead"/>
            </w:pPr>
            <w:r w:rsidRPr="002029AF">
              <w:t>Significant</w:t>
            </w:r>
            <w:r w:rsidR="000A5329" w:rsidRPr="002029AF">
              <w:t xml:space="preserve"> </w:t>
            </w:r>
            <w:r w:rsidRPr="002029AF">
              <w:t>unobservable</w:t>
            </w:r>
            <w:r w:rsidR="000A5329" w:rsidRPr="002029AF">
              <w:t xml:space="preserve"> </w:t>
            </w:r>
            <w:r w:rsidRPr="002029AF">
              <w:t>inputs</w:t>
            </w:r>
          </w:p>
        </w:tc>
      </w:tr>
      <w:tr w:rsidR="00087B91" w:rsidRPr="002029AF" w14:paraId="2C68BA90" w14:textId="77777777" w:rsidTr="00860E95">
        <w:tc>
          <w:tcPr>
            <w:tcW w:w="2495" w:type="dxa"/>
            <w:tcBorders>
              <w:top w:val="single" w:sz="4" w:space="0" w:color="auto"/>
              <w:bottom w:val="single" w:sz="4" w:space="0" w:color="A6A6A6"/>
            </w:tcBorders>
          </w:tcPr>
          <w:p w14:paraId="48E6A421" w14:textId="3DDA80C3" w:rsidR="00087B91" w:rsidRPr="002029AF" w:rsidRDefault="00087B91" w:rsidP="00860E95">
            <w:pPr>
              <w:pStyle w:val="ARfintablebodybold"/>
              <w:rPr>
                <w:rStyle w:val="Strong"/>
                <w:bCs/>
              </w:rPr>
            </w:pPr>
            <w:r w:rsidRPr="002029AF">
              <w:t>Non-specialised</w:t>
            </w:r>
            <w:r w:rsidR="000A5329" w:rsidRPr="002029AF">
              <w:t xml:space="preserve"> </w:t>
            </w:r>
            <w:r w:rsidRPr="002029AF">
              <w:t>land</w:t>
            </w:r>
          </w:p>
        </w:tc>
        <w:tc>
          <w:tcPr>
            <w:tcW w:w="2948" w:type="dxa"/>
            <w:tcBorders>
              <w:top w:val="single" w:sz="4" w:space="0" w:color="auto"/>
              <w:bottom w:val="single" w:sz="4" w:space="0" w:color="A6A6A6"/>
            </w:tcBorders>
          </w:tcPr>
          <w:p w14:paraId="53335B8E" w14:textId="172A45E8" w:rsidR="00087B91" w:rsidRPr="002029AF" w:rsidRDefault="00087B91" w:rsidP="00860E95">
            <w:pPr>
              <w:pStyle w:val="ARfintablebody"/>
            </w:pPr>
            <w:r w:rsidRPr="002029AF">
              <w:t>Market</w:t>
            </w:r>
            <w:r w:rsidR="000A5329" w:rsidRPr="002029AF">
              <w:t xml:space="preserve"> </w:t>
            </w:r>
            <w:r w:rsidRPr="002029AF">
              <w:t>approach</w:t>
            </w:r>
          </w:p>
        </w:tc>
        <w:tc>
          <w:tcPr>
            <w:tcW w:w="4196" w:type="dxa"/>
            <w:tcBorders>
              <w:top w:val="single" w:sz="4" w:space="0" w:color="auto"/>
              <w:bottom w:val="single" w:sz="4" w:space="0" w:color="A6A6A6"/>
            </w:tcBorders>
          </w:tcPr>
          <w:p w14:paraId="744C410E" w14:textId="67D45BE8" w:rsidR="00087B91" w:rsidRPr="002029AF" w:rsidRDefault="00087B91" w:rsidP="00860E95">
            <w:pPr>
              <w:pStyle w:val="ARfintablebody"/>
            </w:pPr>
            <w:r w:rsidRPr="002029AF">
              <w:t>Not</w:t>
            </w:r>
            <w:r w:rsidR="000A5329" w:rsidRPr="002029AF">
              <w:t xml:space="preserve"> </w:t>
            </w:r>
            <w:r w:rsidRPr="002029AF">
              <w:t>applicable</w:t>
            </w:r>
          </w:p>
        </w:tc>
      </w:tr>
      <w:tr w:rsidR="00087B91" w:rsidRPr="002029AF" w14:paraId="5B38DB25" w14:textId="77777777" w:rsidTr="00860E95">
        <w:tc>
          <w:tcPr>
            <w:tcW w:w="2495" w:type="dxa"/>
            <w:tcBorders>
              <w:top w:val="single" w:sz="4" w:space="0" w:color="A6A6A6"/>
              <w:bottom w:val="single" w:sz="4" w:space="0" w:color="A6A6A6"/>
            </w:tcBorders>
          </w:tcPr>
          <w:p w14:paraId="48C9DF2F" w14:textId="42F7FF2E" w:rsidR="00087B91" w:rsidRPr="002029AF" w:rsidRDefault="00087B91" w:rsidP="00860E95">
            <w:pPr>
              <w:pStyle w:val="ARfintablebodybold"/>
              <w:rPr>
                <w:rStyle w:val="Strong"/>
                <w:bCs/>
              </w:rPr>
            </w:pPr>
            <w:r w:rsidRPr="002029AF">
              <w:t>Specialised</w:t>
            </w:r>
            <w:r w:rsidR="000A5329" w:rsidRPr="002029AF">
              <w:t xml:space="preserve"> </w:t>
            </w:r>
            <w:r w:rsidRPr="002029AF">
              <w:t>land</w:t>
            </w:r>
          </w:p>
        </w:tc>
        <w:tc>
          <w:tcPr>
            <w:tcW w:w="2948" w:type="dxa"/>
            <w:tcBorders>
              <w:top w:val="single" w:sz="4" w:space="0" w:color="A6A6A6"/>
              <w:bottom w:val="single" w:sz="4" w:space="0" w:color="A6A6A6"/>
            </w:tcBorders>
          </w:tcPr>
          <w:p w14:paraId="0383E2BF" w14:textId="498DF1A6" w:rsidR="00087B91" w:rsidRPr="002029AF" w:rsidRDefault="00087B91" w:rsidP="00860E95">
            <w:pPr>
              <w:pStyle w:val="ARfintablebody"/>
            </w:pPr>
            <w:r w:rsidRPr="002029AF">
              <w:t>Market</w:t>
            </w:r>
            <w:r w:rsidR="000A5329" w:rsidRPr="002029AF">
              <w:t xml:space="preserve"> </w:t>
            </w:r>
            <w:r w:rsidRPr="002029AF">
              <w:t>approach</w:t>
            </w:r>
          </w:p>
        </w:tc>
        <w:tc>
          <w:tcPr>
            <w:tcW w:w="4196" w:type="dxa"/>
            <w:tcBorders>
              <w:top w:val="single" w:sz="4" w:space="0" w:color="A6A6A6"/>
              <w:bottom w:val="single" w:sz="4" w:space="0" w:color="A6A6A6"/>
            </w:tcBorders>
          </w:tcPr>
          <w:p w14:paraId="759E769A" w14:textId="332437BB" w:rsidR="00087B91" w:rsidRPr="002029AF" w:rsidRDefault="00087B91" w:rsidP="00860E95">
            <w:pPr>
              <w:pStyle w:val="ARfintablebody"/>
            </w:pPr>
            <w:r w:rsidRPr="002029AF">
              <w:t>Community</w:t>
            </w:r>
            <w:r w:rsidR="000A5329" w:rsidRPr="002029AF">
              <w:t xml:space="preserve"> </w:t>
            </w:r>
            <w:r w:rsidRPr="002029AF">
              <w:t>service</w:t>
            </w:r>
            <w:r w:rsidR="000A5329" w:rsidRPr="002029AF">
              <w:t xml:space="preserve"> </w:t>
            </w:r>
            <w:r w:rsidRPr="002029AF">
              <w:t>obligation</w:t>
            </w:r>
            <w:r w:rsidR="000A5329" w:rsidRPr="002029AF">
              <w:t xml:space="preserve"> </w:t>
            </w:r>
            <w:r w:rsidRPr="002029AF">
              <w:t>(CSO)</w:t>
            </w:r>
            <w:r w:rsidR="000A5329" w:rsidRPr="002029AF">
              <w:t xml:space="preserve"> </w:t>
            </w:r>
            <w:r w:rsidRPr="002029AF">
              <w:t>adjustment</w:t>
            </w:r>
            <w:r w:rsidR="000A5329" w:rsidRPr="002029AF">
              <w:t xml:space="preserve"> </w:t>
            </w:r>
            <w:r w:rsidRPr="002029AF">
              <w:br/>
              <w:t>(rate</w:t>
            </w:r>
            <w:r w:rsidR="000A5329" w:rsidRPr="002029AF">
              <w:t xml:space="preserve"> </w:t>
            </w:r>
            <w:r w:rsidRPr="002029AF">
              <w:t>10–40%)</w:t>
            </w:r>
          </w:p>
        </w:tc>
      </w:tr>
      <w:tr w:rsidR="00087B91" w:rsidRPr="002029AF" w14:paraId="781D0370" w14:textId="77777777" w:rsidTr="00860E95">
        <w:tc>
          <w:tcPr>
            <w:tcW w:w="2495" w:type="dxa"/>
            <w:tcBorders>
              <w:top w:val="single" w:sz="4" w:space="0" w:color="A6A6A6"/>
              <w:bottom w:val="single" w:sz="4" w:space="0" w:color="A6A6A6"/>
            </w:tcBorders>
          </w:tcPr>
          <w:p w14:paraId="2F3BF52E" w14:textId="7613BC04" w:rsidR="00087B91" w:rsidRPr="002029AF" w:rsidRDefault="00087B91" w:rsidP="00860E95">
            <w:pPr>
              <w:pStyle w:val="ARfintablebodybold"/>
              <w:rPr>
                <w:rStyle w:val="Strong"/>
                <w:bCs/>
              </w:rPr>
            </w:pPr>
            <w:r w:rsidRPr="002029AF">
              <w:t>Non-specialised</w:t>
            </w:r>
            <w:r w:rsidR="000A5329" w:rsidRPr="002029AF">
              <w:t xml:space="preserve"> </w:t>
            </w:r>
            <w:r w:rsidRPr="002029AF">
              <w:t>buildings</w:t>
            </w:r>
          </w:p>
        </w:tc>
        <w:tc>
          <w:tcPr>
            <w:tcW w:w="2948" w:type="dxa"/>
            <w:tcBorders>
              <w:top w:val="single" w:sz="4" w:space="0" w:color="A6A6A6"/>
              <w:bottom w:val="single" w:sz="4" w:space="0" w:color="A6A6A6"/>
            </w:tcBorders>
          </w:tcPr>
          <w:p w14:paraId="2A39BE47" w14:textId="7B121E13" w:rsidR="00087B91" w:rsidRPr="002029AF" w:rsidRDefault="00087B91" w:rsidP="00860E95">
            <w:pPr>
              <w:pStyle w:val="ARfintablebody"/>
            </w:pPr>
            <w:r w:rsidRPr="002029AF">
              <w:t>Market</w:t>
            </w:r>
            <w:r w:rsidR="000A5329" w:rsidRPr="002029AF">
              <w:t xml:space="preserve"> </w:t>
            </w:r>
            <w:r w:rsidRPr="002029AF">
              <w:t>approach</w:t>
            </w:r>
          </w:p>
        </w:tc>
        <w:tc>
          <w:tcPr>
            <w:tcW w:w="4196" w:type="dxa"/>
            <w:tcBorders>
              <w:top w:val="single" w:sz="4" w:space="0" w:color="A6A6A6"/>
              <w:bottom w:val="single" w:sz="4" w:space="0" w:color="A6A6A6"/>
            </w:tcBorders>
          </w:tcPr>
          <w:p w14:paraId="04457819" w14:textId="2B461921" w:rsidR="00087B91" w:rsidRPr="002029AF" w:rsidRDefault="00087B91" w:rsidP="00860E95">
            <w:pPr>
              <w:pStyle w:val="ARfintablebody"/>
            </w:pPr>
            <w:r w:rsidRPr="002029AF">
              <w:t>Not</w:t>
            </w:r>
            <w:r w:rsidR="000A5329" w:rsidRPr="002029AF">
              <w:t xml:space="preserve"> </w:t>
            </w:r>
            <w:r w:rsidRPr="002029AF">
              <w:t>applicable</w:t>
            </w:r>
          </w:p>
        </w:tc>
      </w:tr>
      <w:tr w:rsidR="00087B91" w:rsidRPr="002029AF" w14:paraId="058B3B7C" w14:textId="77777777" w:rsidTr="00860E95">
        <w:tc>
          <w:tcPr>
            <w:tcW w:w="2495" w:type="dxa"/>
            <w:tcBorders>
              <w:top w:val="single" w:sz="4" w:space="0" w:color="A6A6A6"/>
              <w:bottom w:val="single" w:sz="4" w:space="0" w:color="A6A6A6"/>
            </w:tcBorders>
          </w:tcPr>
          <w:p w14:paraId="0C19CDE9" w14:textId="73D9FDFE" w:rsidR="00087B91" w:rsidRPr="002029AF" w:rsidRDefault="00087B91" w:rsidP="00860E95">
            <w:pPr>
              <w:pStyle w:val="ARfintablebodybold"/>
              <w:rPr>
                <w:rStyle w:val="Strong"/>
                <w:bCs/>
              </w:rPr>
            </w:pPr>
            <w:r w:rsidRPr="002029AF">
              <w:t>Specialised</w:t>
            </w:r>
            <w:r w:rsidR="000A5329" w:rsidRPr="002029AF">
              <w:t xml:space="preserve"> </w:t>
            </w:r>
            <w:r w:rsidRPr="002029AF">
              <w:t>buildings</w:t>
            </w:r>
          </w:p>
        </w:tc>
        <w:tc>
          <w:tcPr>
            <w:tcW w:w="2948" w:type="dxa"/>
            <w:tcBorders>
              <w:top w:val="single" w:sz="4" w:space="0" w:color="A6A6A6"/>
              <w:bottom w:val="single" w:sz="4" w:space="0" w:color="A6A6A6"/>
            </w:tcBorders>
          </w:tcPr>
          <w:p w14:paraId="54FD1E9D" w14:textId="5187B769" w:rsidR="00087B91" w:rsidRPr="002029AF" w:rsidRDefault="00087B91" w:rsidP="00860E95">
            <w:pPr>
              <w:pStyle w:val="ARfintablebody"/>
            </w:pPr>
            <w:r w:rsidRPr="002029AF">
              <w:t>Current</w:t>
            </w:r>
            <w:r w:rsidR="000A5329" w:rsidRPr="002029AF">
              <w:t xml:space="preserve"> </w:t>
            </w:r>
            <w:r w:rsidRPr="002029AF">
              <w:t>replacement</w:t>
            </w:r>
            <w:r w:rsidR="000A5329" w:rsidRPr="002029AF">
              <w:t xml:space="preserve"> </w:t>
            </w:r>
            <w:r w:rsidRPr="002029AF">
              <w:t>cost</w:t>
            </w:r>
          </w:p>
        </w:tc>
        <w:tc>
          <w:tcPr>
            <w:tcW w:w="4196" w:type="dxa"/>
            <w:tcBorders>
              <w:top w:val="single" w:sz="4" w:space="0" w:color="A6A6A6"/>
              <w:bottom w:val="single" w:sz="4" w:space="0" w:color="A6A6A6"/>
            </w:tcBorders>
          </w:tcPr>
          <w:p w14:paraId="0D8C4501" w14:textId="1A94B91F" w:rsidR="00087B91" w:rsidRPr="002029AF" w:rsidRDefault="00087B91" w:rsidP="00860E95">
            <w:pPr>
              <w:pStyle w:val="ARfintablebody"/>
            </w:pPr>
            <w:r w:rsidRPr="002029AF">
              <w:t>Direct</w:t>
            </w:r>
            <w:r w:rsidR="000A5329" w:rsidRPr="002029AF">
              <w:t xml:space="preserve"> </w:t>
            </w:r>
            <w:r w:rsidRPr="002029AF">
              <w:t>cost</w:t>
            </w:r>
            <w:r w:rsidR="000A5329" w:rsidRPr="002029AF">
              <w:t xml:space="preserve"> </w:t>
            </w:r>
            <w:r w:rsidRPr="002029AF">
              <w:t>per</w:t>
            </w:r>
            <w:r w:rsidR="000A5329" w:rsidRPr="002029AF">
              <w:t xml:space="preserve"> </w:t>
            </w:r>
            <w:r w:rsidRPr="002029AF">
              <w:t>square</w:t>
            </w:r>
            <w:r w:rsidR="000A5329" w:rsidRPr="002029AF">
              <w:t xml:space="preserve"> </w:t>
            </w:r>
            <w:r w:rsidRPr="002029AF">
              <w:t>metre</w:t>
            </w:r>
          </w:p>
          <w:p w14:paraId="593FF447" w14:textId="42C87FC6" w:rsidR="00087B91" w:rsidRPr="002029AF" w:rsidRDefault="00087B91" w:rsidP="00860E95">
            <w:pPr>
              <w:pStyle w:val="ARfintablebody"/>
            </w:pPr>
            <w:r w:rsidRPr="002029AF">
              <w:t>Useful</w:t>
            </w:r>
            <w:r w:rsidR="000A5329" w:rsidRPr="002029AF">
              <w:t xml:space="preserve"> </w:t>
            </w:r>
            <w:r w:rsidRPr="002029AF">
              <w:t>life</w:t>
            </w:r>
            <w:r w:rsidR="000A5329" w:rsidRPr="002029AF">
              <w:t xml:space="preserve"> </w:t>
            </w:r>
            <w:r w:rsidRPr="002029AF">
              <w:t>of</w:t>
            </w:r>
            <w:r w:rsidR="000A5329" w:rsidRPr="002029AF">
              <w:t xml:space="preserve"> </w:t>
            </w:r>
            <w:r w:rsidRPr="002029AF">
              <w:t>specialised</w:t>
            </w:r>
            <w:r w:rsidR="000A5329" w:rsidRPr="002029AF">
              <w:t xml:space="preserve"> </w:t>
            </w:r>
            <w:r w:rsidRPr="002029AF">
              <w:t>buildings</w:t>
            </w:r>
          </w:p>
        </w:tc>
      </w:tr>
      <w:tr w:rsidR="00087B91" w:rsidRPr="002029AF" w14:paraId="45753042" w14:textId="77777777" w:rsidTr="00860E95">
        <w:tc>
          <w:tcPr>
            <w:tcW w:w="2495" w:type="dxa"/>
            <w:tcBorders>
              <w:top w:val="single" w:sz="4" w:space="0" w:color="A6A6A6"/>
              <w:bottom w:val="single" w:sz="4" w:space="0" w:color="A6A6A6"/>
            </w:tcBorders>
          </w:tcPr>
          <w:p w14:paraId="4975C8E8" w14:textId="7DE31DBB" w:rsidR="00087B91" w:rsidRPr="002029AF" w:rsidRDefault="00087B91" w:rsidP="00860E95">
            <w:pPr>
              <w:pStyle w:val="ARfintablebodybold"/>
              <w:rPr>
                <w:rStyle w:val="Strong"/>
                <w:bCs/>
              </w:rPr>
            </w:pPr>
            <w:r w:rsidRPr="002029AF">
              <w:t>Plant</w:t>
            </w:r>
            <w:r w:rsidR="000A5329" w:rsidRPr="002029AF">
              <w:t xml:space="preserve"> </w:t>
            </w:r>
            <w:r w:rsidRPr="002029AF">
              <w:t>and</w:t>
            </w:r>
            <w:r w:rsidR="000A5329" w:rsidRPr="002029AF">
              <w:t xml:space="preserve"> </w:t>
            </w:r>
            <w:r w:rsidRPr="002029AF">
              <w:t>equipment</w:t>
            </w:r>
          </w:p>
        </w:tc>
        <w:tc>
          <w:tcPr>
            <w:tcW w:w="2948" w:type="dxa"/>
            <w:tcBorders>
              <w:top w:val="single" w:sz="4" w:space="0" w:color="A6A6A6"/>
              <w:bottom w:val="single" w:sz="4" w:space="0" w:color="A6A6A6"/>
            </w:tcBorders>
          </w:tcPr>
          <w:p w14:paraId="46A94359" w14:textId="680984ED" w:rsidR="00087B91" w:rsidRPr="002029AF" w:rsidRDefault="00087B91" w:rsidP="00860E95">
            <w:pPr>
              <w:pStyle w:val="ARfintablebody"/>
            </w:pPr>
            <w:r w:rsidRPr="002029AF">
              <w:t>Current</w:t>
            </w:r>
            <w:r w:rsidR="000A5329" w:rsidRPr="002029AF">
              <w:t xml:space="preserve"> </w:t>
            </w:r>
            <w:r w:rsidRPr="002029AF">
              <w:t>replacement</w:t>
            </w:r>
            <w:r w:rsidR="000A5329" w:rsidRPr="002029AF">
              <w:t xml:space="preserve"> </w:t>
            </w:r>
            <w:r w:rsidRPr="002029AF">
              <w:t>cost</w:t>
            </w:r>
          </w:p>
        </w:tc>
        <w:tc>
          <w:tcPr>
            <w:tcW w:w="4196" w:type="dxa"/>
            <w:tcBorders>
              <w:top w:val="single" w:sz="4" w:space="0" w:color="A6A6A6"/>
              <w:bottom w:val="single" w:sz="4" w:space="0" w:color="A6A6A6"/>
            </w:tcBorders>
          </w:tcPr>
          <w:p w14:paraId="668989B7" w14:textId="41C23267" w:rsidR="00087B91" w:rsidRPr="002029AF" w:rsidRDefault="00087B91" w:rsidP="00860E95">
            <w:pPr>
              <w:pStyle w:val="ARfintablebody"/>
            </w:pPr>
            <w:r w:rsidRPr="002029AF">
              <w:t>Useful</w:t>
            </w:r>
            <w:r w:rsidR="000A5329" w:rsidRPr="002029AF">
              <w:t xml:space="preserve"> </w:t>
            </w:r>
            <w:r w:rsidRPr="002029AF">
              <w:t>life</w:t>
            </w:r>
            <w:r w:rsidR="000A5329" w:rsidRPr="002029AF">
              <w:t xml:space="preserve"> </w:t>
            </w:r>
            <w:r w:rsidRPr="002029AF">
              <w:t>of</w:t>
            </w:r>
            <w:r w:rsidR="000A5329" w:rsidRPr="002029AF">
              <w:t xml:space="preserve"> </w:t>
            </w:r>
            <w:r w:rsidRPr="002029AF">
              <w:t>equipment</w:t>
            </w:r>
          </w:p>
        </w:tc>
      </w:tr>
      <w:tr w:rsidR="00087B91" w:rsidRPr="002029AF" w14:paraId="736F4B8E" w14:textId="77777777" w:rsidTr="00860E95">
        <w:tc>
          <w:tcPr>
            <w:tcW w:w="2495" w:type="dxa"/>
            <w:tcBorders>
              <w:top w:val="single" w:sz="4" w:space="0" w:color="A6A6A6"/>
            </w:tcBorders>
          </w:tcPr>
          <w:p w14:paraId="3BC93AB4" w14:textId="77777777" w:rsidR="00087B91" w:rsidRPr="002029AF" w:rsidRDefault="00087B91" w:rsidP="00860E95">
            <w:pPr>
              <w:pStyle w:val="ARfintablebodybold"/>
              <w:rPr>
                <w:rStyle w:val="Strong"/>
                <w:bCs/>
              </w:rPr>
            </w:pPr>
            <w:r w:rsidRPr="002029AF">
              <w:t>Vehicles</w:t>
            </w:r>
          </w:p>
        </w:tc>
        <w:tc>
          <w:tcPr>
            <w:tcW w:w="2948" w:type="dxa"/>
            <w:tcBorders>
              <w:top w:val="single" w:sz="4" w:space="0" w:color="A6A6A6"/>
            </w:tcBorders>
          </w:tcPr>
          <w:p w14:paraId="31DDE65B" w14:textId="7F58F3AA" w:rsidR="00087B91" w:rsidRPr="002029AF" w:rsidRDefault="00087B91" w:rsidP="00860E95">
            <w:pPr>
              <w:pStyle w:val="ARfintablebody"/>
            </w:pPr>
            <w:r w:rsidRPr="002029AF">
              <w:t>Current</w:t>
            </w:r>
            <w:r w:rsidR="000A5329" w:rsidRPr="002029AF">
              <w:t xml:space="preserve"> </w:t>
            </w:r>
            <w:r w:rsidRPr="002029AF">
              <w:t>replacement</w:t>
            </w:r>
            <w:r w:rsidR="000A5329" w:rsidRPr="002029AF">
              <w:t xml:space="preserve"> </w:t>
            </w:r>
            <w:r w:rsidRPr="002029AF">
              <w:t>cost</w:t>
            </w:r>
          </w:p>
        </w:tc>
        <w:tc>
          <w:tcPr>
            <w:tcW w:w="4196" w:type="dxa"/>
            <w:tcBorders>
              <w:top w:val="single" w:sz="4" w:space="0" w:color="A6A6A6"/>
            </w:tcBorders>
          </w:tcPr>
          <w:p w14:paraId="28DAF82B" w14:textId="58D694DC" w:rsidR="00087B91" w:rsidRPr="002029AF" w:rsidRDefault="00087B91" w:rsidP="00860E95">
            <w:pPr>
              <w:pStyle w:val="ARfintablebody"/>
            </w:pPr>
            <w:r w:rsidRPr="002029AF">
              <w:t>Useful</w:t>
            </w:r>
            <w:r w:rsidR="000A5329" w:rsidRPr="002029AF">
              <w:t xml:space="preserve"> </w:t>
            </w:r>
            <w:r w:rsidRPr="002029AF">
              <w:t>life</w:t>
            </w:r>
            <w:r w:rsidR="000A5329" w:rsidRPr="002029AF">
              <w:t xml:space="preserve"> </w:t>
            </w:r>
            <w:r w:rsidRPr="002029AF">
              <w:t>of</w:t>
            </w:r>
            <w:r w:rsidR="000A5329" w:rsidRPr="002029AF">
              <w:t xml:space="preserve"> </w:t>
            </w:r>
            <w:r w:rsidRPr="002029AF">
              <w:t>vehicles</w:t>
            </w:r>
          </w:p>
        </w:tc>
      </w:tr>
    </w:tbl>
    <w:p w14:paraId="0FB280CC" w14:textId="241929BB" w:rsidR="00087B91" w:rsidRPr="002029AF" w:rsidRDefault="00087B91" w:rsidP="00087B91">
      <w:pPr>
        <w:pStyle w:val="ARfinbodyaftertable"/>
      </w:pPr>
      <w:r w:rsidRPr="002029AF">
        <w:t>Significant</w:t>
      </w:r>
      <w:r w:rsidR="000A5329" w:rsidRPr="002029AF">
        <w:t xml:space="preserve"> </w:t>
      </w:r>
      <w:r w:rsidRPr="002029AF">
        <w:t>unobservable</w:t>
      </w:r>
      <w:r w:rsidR="000A5329" w:rsidRPr="002029AF">
        <w:t xml:space="preserve"> </w:t>
      </w:r>
      <w:r w:rsidRPr="002029AF">
        <w:t>inputs</w:t>
      </w:r>
      <w:r w:rsidR="000A5329" w:rsidRPr="002029AF">
        <w:t xml:space="preserve"> </w:t>
      </w:r>
      <w:r w:rsidRPr="002029AF">
        <w:t>have</w:t>
      </w:r>
      <w:r w:rsidR="000A5329" w:rsidRPr="002029AF">
        <w:t xml:space="preserve"> </w:t>
      </w:r>
      <w:r w:rsidRPr="002029AF">
        <w:t>remained</w:t>
      </w:r>
      <w:r w:rsidR="000A5329" w:rsidRPr="002029AF">
        <w:t xml:space="preserve"> </w:t>
      </w:r>
      <w:r w:rsidRPr="002029AF">
        <w:t>unchanged</w:t>
      </w:r>
      <w:r w:rsidR="000A5329" w:rsidRPr="002029AF">
        <w:t xml:space="preserve"> </w:t>
      </w:r>
      <w:r w:rsidRPr="002029AF">
        <w:t>since</w:t>
      </w:r>
      <w:r w:rsidR="000A5329" w:rsidRPr="002029AF">
        <w:t xml:space="preserve"> </w:t>
      </w:r>
      <w:r w:rsidRPr="002029AF">
        <w:t>June</w:t>
      </w:r>
      <w:r w:rsidR="000A5329" w:rsidRPr="002029AF">
        <w:t xml:space="preserve"> </w:t>
      </w:r>
      <w:r w:rsidRPr="002029AF">
        <w:t>2019.</w:t>
      </w:r>
    </w:p>
    <w:p w14:paraId="4E03CF7A" w14:textId="6F3728F5" w:rsidR="00087B91" w:rsidRPr="002029AF" w:rsidRDefault="00087B91" w:rsidP="00087B91">
      <w:pPr>
        <w:pStyle w:val="Heading6"/>
        <w:rPr>
          <w:lang w:val="en-AU"/>
        </w:rPr>
      </w:pPr>
      <w:r w:rsidRPr="002029AF">
        <w:rPr>
          <w:lang w:val="en-AU"/>
        </w:rPr>
        <w:t>Non-financial</w:t>
      </w:r>
      <w:r w:rsidR="000A5329" w:rsidRPr="002029AF">
        <w:rPr>
          <w:lang w:val="en-AU"/>
        </w:rPr>
        <w:t xml:space="preserve"> </w:t>
      </w:r>
      <w:r w:rsidRPr="002029AF">
        <w:rPr>
          <w:lang w:val="en-AU"/>
        </w:rPr>
        <w:t>physical</w:t>
      </w:r>
      <w:r w:rsidR="000A5329" w:rsidRPr="002029AF">
        <w:rPr>
          <w:lang w:val="en-AU"/>
        </w:rPr>
        <w:t xml:space="preserve"> </w:t>
      </w:r>
      <w:r w:rsidRPr="002029AF">
        <w:rPr>
          <w:lang w:val="en-AU"/>
        </w:rPr>
        <w:t>assets</w:t>
      </w:r>
      <w:r w:rsidR="000A5329" w:rsidRPr="002029AF">
        <w:rPr>
          <w:lang w:val="en-AU"/>
        </w:rPr>
        <w:t xml:space="preserve"> </w:t>
      </w:r>
      <w:r w:rsidRPr="002029AF">
        <w:rPr>
          <w:lang w:val="en-AU"/>
        </w:rPr>
        <w:t>classified</w:t>
      </w:r>
      <w:r w:rsidR="000A5329" w:rsidRPr="002029AF">
        <w:rPr>
          <w:lang w:val="en-AU"/>
        </w:rPr>
        <w:t xml:space="preserve"> </w:t>
      </w:r>
      <w:r w:rsidRPr="002029AF">
        <w:rPr>
          <w:lang w:val="en-AU"/>
        </w:rPr>
        <w:t>as</w:t>
      </w:r>
      <w:r w:rsidR="000A5329" w:rsidRPr="002029AF">
        <w:rPr>
          <w:lang w:val="en-AU"/>
        </w:rPr>
        <w:t xml:space="preserve"> </w:t>
      </w:r>
      <w:r w:rsidRPr="002029AF">
        <w:rPr>
          <w:lang w:val="en-AU"/>
        </w:rPr>
        <w:t>held</w:t>
      </w:r>
      <w:r w:rsidR="000A5329" w:rsidRPr="002029AF">
        <w:rPr>
          <w:lang w:val="en-AU"/>
        </w:rPr>
        <w:t xml:space="preserve"> </w:t>
      </w:r>
      <w:r w:rsidRPr="002029AF">
        <w:rPr>
          <w:lang w:val="en-AU"/>
        </w:rPr>
        <w:t>for</w:t>
      </w:r>
      <w:r w:rsidR="000A5329" w:rsidRPr="002029AF">
        <w:rPr>
          <w:lang w:val="en-AU"/>
        </w:rPr>
        <w:t xml:space="preserve"> </w:t>
      </w:r>
      <w:r w:rsidRPr="002029AF">
        <w:rPr>
          <w:lang w:val="en-AU"/>
        </w:rPr>
        <w:t>sale</w:t>
      </w:r>
    </w:p>
    <w:p w14:paraId="033B4C19" w14:textId="35268AC7" w:rsidR="00087B91" w:rsidRPr="002029AF" w:rsidRDefault="00087B91" w:rsidP="00087B91">
      <w:pPr>
        <w:pStyle w:val="ARfinbodylargespace"/>
      </w:pPr>
      <w:r w:rsidRPr="002029AF">
        <w:t>The</w:t>
      </w:r>
      <w:r w:rsidR="000A5329" w:rsidRPr="002029AF">
        <w:t xml:space="preserve"> </w:t>
      </w:r>
      <w:r w:rsidRPr="002029AF">
        <w:t>following</w:t>
      </w:r>
      <w:r w:rsidR="000A5329" w:rsidRPr="002029AF">
        <w:t xml:space="preserve"> </w:t>
      </w:r>
      <w:r w:rsidRPr="002029AF">
        <w:t>table</w:t>
      </w:r>
      <w:r w:rsidR="000A5329" w:rsidRPr="002029AF">
        <w:t xml:space="preserve"> </w:t>
      </w:r>
      <w:r w:rsidRPr="002029AF">
        <w:t>provides</w:t>
      </w:r>
      <w:r w:rsidR="000A5329" w:rsidRPr="002029AF">
        <w:t xml:space="preserve"> </w:t>
      </w:r>
      <w:r w:rsidRPr="002029AF">
        <w:t>the</w:t>
      </w:r>
      <w:r w:rsidR="000A5329" w:rsidRPr="002029AF">
        <w:t xml:space="preserve"> </w:t>
      </w:r>
      <w:r w:rsidRPr="002029AF">
        <w:t>fair</w:t>
      </w:r>
      <w:r w:rsidR="000A5329" w:rsidRPr="002029AF">
        <w:t xml:space="preserve"> </w:t>
      </w:r>
      <w:r w:rsidRPr="002029AF">
        <w:t>value</w:t>
      </w:r>
      <w:r w:rsidR="000A5329" w:rsidRPr="002029AF">
        <w:t xml:space="preserve"> </w:t>
      </w:r>
      <w:r w:rsidRPr="002029AF">
        <w:t>measurement</w:t>
      </w:r>
      <w:r w:rsidR="000A5329" w:rsidRPr="002029AF">
        <w:t xml:space="preserve"> </w:t>
      </w:r>
      <w:r w:rsidRPr="002029AF">
        <w:t>hierarchy</w:t>
      </w:r>
      <w:r w:rsidR="000A5329" w:rsidRPr="002029AF">
        <w:t xml:space="preserve"> </w:t>
      </w:r>
      <w:r w:rsidRPr="002029AF">
        <w:t>of</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non-financial</w:t>
      </w:r>
      <w:r w:rsidR="000A5329" w:rsidRPr="002029AF">
        <w:t xml:space="preserve"> </w:t>
      </w:r>
      <w:r w:rsidRPr="002029AF">
        <w:t>physical</w:t>
      </w:r>
      <w:r w:rsidR="000A5329" w:rsidRPr="002029AF">
        <w:t xml:space="preserve"> </w:t>
      </w:r>
      <w:r w:rsidRPr="002029AF">
        <w:t>assets</w:t>
      </w:r>
      <w:r w:rsidR="000A5329" w:rsidRPr="002029AF">
        <w:t xml:space="preserve"> </w:t>
      </w:r>
      <w:r w:rsidRPr="002029AF">
        <w:t>held</w:t>
      </w:r>
      <w:r w:rsidR="000A5329" w:rsidRPr="002029AF">
        <w:t xml:space="preserve"> </w:t>
      </w:r>
      <w:r w:rsidRPr="002029AF">
        <w:t>for</w:t>
      </w:r>
      <w:r w:rsidR="000A5329" w:rsidRPr="002029AF">
        <w:t xml:space="preserve"> </w:t>
      </w:r>
      <w:r w:rsidRPr="002029AF">
        <w:t>sale.</w:t>
      </w:r>
    </w:p>
    <w:tbl>
      <w:tblPr>
        <w:tblStyle w:val="TableGrid"/>
        <w:tblW w:w="9637" w:type="dxa"/>
        <w:tblLayout w:type="fixed"/>
        <w:tblLook w:val="06A0" w:firstRow="1" w:lastRow="0" w:firstColumn="1" w:lastColumn="0" w:noHBand="1" w:noVBand="1"/>
      </w:tblPr>
      <w:tblGrid>
        <w:gridCol w:w="3968"/>
        <w:gridCol w:w="1418"/>
        <w:gridCol w:w="1417"/>
        <w:gridCol w:w="1417"/>
        <w:gridCol w:w="1417"/>
      </w:tblGrid>
      <w:tr w:rsidR="00087B91" w:rsidRPr="002029AF" w14:paraId="3ECD44B7"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3968" w:type="dxa"/>
            <w:vMerge w:val="restart"/>
            <w:hideMark/>
          </w:tcPr>
          <w:p w14:paraId="14E30738" w14:textId="77777777" w:rsidR="00087B91" w:rsidRPr="002029AF" w:rsidRDefault="00087B91" w:rsidP="00860E95">
            <w:pPr>
              <w:pStyle w:val="ARfintablecolhead"/>
            </w:pPr>
            <w:r w:rsidRPr="002029AF">
              <w:t>2020</w:t>
            </w:r>
          </w:p>
        </w:tc>
        <w:tc>
          <w:tcPr>
            <w:tcW w:w="1418" w:type="dxa"/>
            <w:vMerge w:val="restart"/>
            <w:hideMark/>
          </w:tcPr>
          <w:p w14:paraId="6498A24C" w14:textId="73B4C63A" w:rsidR="00087B91" w:rsidRPr="002029AF" w:rsidRDefault="00087B91" w:rsidP="00860E95">
            <w:pPr>
              <w:pStyle w:val="ARfintablecolheadright"/>
            </w:pPr>
            <w:r w:rsidRPr="002029AF">
              <w:t>Carrying</w:t>
            </w:r>
            <w:r w:rsidR="000A5329" w:rsidRPr="002029AF">
              <w:t xml:space="preserve"> </w:t>
            </w:r>
            <w:r w:rsidRPr="002029AF">
              <w:t>amount</w:t>
            </w:r>
          </w:p>
          <w:p w14:paraId="4E971BDE" w14:textId="77777777" w:rsidR="00087B91" w:rsidRPr="002029AF" w:rsidRDefault="00087B91" w:rsidP="00860E95">
            <w:pPr>
              <w:pStyle w:val="ARfintablecolheadright"/>
            </w:pPr>
            <w:r w:rsidRPr="002029AF">
              <w:t>$M</w:t>
            </w:r>
          </w:p>
        </w:tc>
        <w:tc>
          <w:tcPr>
            <w:tcW w:w="4251" w:type="dxa"/>
            <w:gridSpan w:val="3"/>
            <w:hideMark/>
          </w:tcPr>
          <w:p w14:paraId="161500D2" w14:textId="2C4D2D5D" w:rsidR="00087B91" w:rsidRPr="002029AF" w:rsidRDefault="00087B91" w:rsidP="00860E95">
            <w:pPr>
              <w:pStyle w:val="ARfintablecolheadcentre"/>
            </w:pPr>
            <w:r w:rsidRPr="002029AF">
              <w:t>Fair</w:t>
            </w:r>
            <w:r w:rsidR="000A5329" w:rsidRPr="002029AF">
              <w:t xml:space="preserve"> </w:t>
            </w:r>
            <w:r w:rsidRPr="002029AF">
              <w:t>value</w:t>
            </w:r>
            <w:r w:rsidR="000A5329" w:rsidRPr="002029AF">
              <w:t xml:space="preserve"> </w:t>
            </w:r>
            <w:r w:rsidRPr="002029AF">
              <w:t>measurement</w:t>
            </w:r>
            <w:r w:rsidR="000A5329" w:rsidRPr="002029AF">
              <w:t xml:space="preserve"> </w:t>
            </w:r>
            <w:r w:rsidRPr="002029AF">
              <w:t>at</w:t>
            </w:r>
            <w:r w:rsidR="000A5329" w:rsidRPr="002029AF">
              <w:t xml:space="preserve"> </w:t>
            </w:r>
            <w:r w:rsidRPr="002029AF">
              <w:t>the</w:t>
            </w:r>
            <w:r w:rsidR="000A5329" w:rsidRPr="002029AF">
              <w:t xml:space="preserve"> </w:t>
            </w:r>
            <w:r w:rsidRPr="002029AF">
              <w:t>end</w:t>
            </w:r>
            <w:r w:rsidR="000A5329" w:rsidRPr="002029AF">
              <w:t xml:space="preserve"> </w:t>
            </w:r>
            <w:r w:rsidRPr="002029AF">
              <w:br/>
              <w:t>of</w:t>
            </w:r>
            <w:r w:rsidR="000A5329" w:rsidRPr="002029AF">
              <w:t xml:space="preserve"> </w:t>
            </w:r>
            <w:r w:rsidRPr="002029AF">
              <w:t>reporting</w:t>
            </w:r>
            <w:r w:rsidR="000A5329" w:rsidRPr="002029AF">
              <w:t xml:space="preserve"> </w:t>
            </w:r>
            <w:r w:rsidRPr="002029AF">
              <w:t>period</w:t>
            </w:r>
            <w:r w:rsidR="000A5329" w:rsidRPr="002029AF">
              <w:t xml:space="preserve"> </w:t>
            </w:r>
            <w:r w:rsidRPr="002029AF">
              <w:t>using:</w:t>
            </w:r>
          </w:p>
        </w:tc>
      </w:tr>
      <w:tr w:rsidR="00087B91" w:rsidRPr="002029AF" w14:paraId="279E0DB1" w14:textId="77777777" w:rsidTr="00FC2F9E">
        <w:trPr>
          <w:cnfStyle w:val="100000000000" w:firstRow="1" w:lastRow="0" w:firstColumn="0" w:lastColumn="0" w:oddVBand="0" w:evenVBand="0" w:oddHBand="0" w:evenHBand="0" w:firstRowFirstColumn="0" w:firstRowLastColumn="0" w:lastRowFirstColumn="0" w:lastRowLastColumn="0"/>
          <w:trHeight w:val="255"/>
          <w:tblHeader/>
        </w:trPr>
        <w:tc>
          <w:tcPr>
            <w:tcW w:w="3968" w:type="dxa"/>
            <w:vMerge/>
            <w:tcBorders>
              <w:bottom w:val="single" w:sz="4" w:space="0" w:color="auto"/>
            </w:tcBorders>
            <w:hideMark/>
          </w:tcPr>
          <w:p w14:paraId="63D204CF" w14:textId="77777777" w:rsidR="00087B91" w:rsidRPr="002029AF" w:rsidRDefault="00087B91" w:rsidP="00860E95">
            <w:pPr>
              <w:pStyle w:val="ARfintablecolhead"/>
            </w:pPr>
          </w:p>
        </w:tc>
        <w:tc>
          <w:tcPr>
            <w:tcW w:w="1418" w:type="dxa"/>
            <w:vMerge/>
            <w:tcBorders>
              <w:bottom w:val="single" w:sz="4" w:space="0" w:color="auto"/>
            </w:tcBorders>
            <w:hideMark/>
          </w:tcPr>
          <w:p w14:paraId="0B0F5B5C" w14:textId="77777777" w:rsidR="00087B91" w:rsidRPr="002029AF" w:rsidRDefault="00087B91" w:rsidP="00860E95">
            <w:pPr>
              <w:pStyle w:val="ARfintablecolheadright"/>
            </w:pPr>
          </w:p>
        </w:tc>
        <w:tc>
          <w:tcPr>
            <w:tcW w:w="1417" w:type="dxa"/>
            <w:tcBorders>
              <w:bottom w:val="single" w:sz="4" w:space="0" w:color="auto"/>
            </w:tcBorders>
            <w:hideMark/>
          </w:tcPr>
          <w:p w14:paraId="673089F3" w14:textId="5F916233" w:rsidR="00087B91" w:rsidRPr="002029AF" w:rsidRDefault="00087B91" w:rsidP="00860E95">
            <w:pPr>
              <w:pStyle w:val="ARfintablecolheadright"/>
            </w:pPr>
            <w:r w:rsidRPr="002029AF">
              <w:t>Level</w:t>
            </w:r>
            <w:r w:rsidR="000A5329" w:rsidRPr="002029AF">
              <w:t xml:space="preserve"> </w:t>
            </w:r>
            <w:r w:rsidRPr="002029AF">
              <w:t>1</w:t>
            </w:r>
            <w:r w:rsidR="000A5329" w:rsidRPr="002029AF">
              <w:t xml:space="preserve"> </w:t>
            </w:r>
            <w:r w:rsidRPr="002029AF">
              <w:rPr>
                <w:rStyle w:val="Superscript"/>
              </w:rPr>
              <w:t>(i)</w:t>
            </w:r>
          </w:p>
          <w:p w14:paraId="4C290B97" w14:textId="77777777" w:rsidR="00087B91" w:rsidRPr="002029AF" w:rsidRDefault="00087B91" w:rsidP="00860E95">
            <w:pPr>
              <w:pStyle w:val="ARfintablecolheadright"/>
            </w:pPr>
            <w:r w:rsidRPr="002029AF">
              <w:t>$M</w:t>
            </w:r>
          </w:p>
        </w:tc>
        <w:tc>
          <w:tcPr>
            <w:tcW w:w="1417" w:type="dxa"/>
            <w:tcBorders>
              <w:bottom w:val="single" w:sz="4" w:space="0" w:color="auto"/>
            </w:tcBorders>
            <w:hideMark/>
          </w:tcPr>
          <w:p w14:paraId="5DAE714D" w14:textId="313A0D38" w:rsidR="00087B91" w:rsidRPr="002029AF" w:rsidRDefault="00087B91" w:rsidP="00860E95">
            <w:pPr>
              <w:pStyle w:val="ARfintablecolheadright"/>
            </w:pPr>
            <w:r w:rsidRPr="002029AF">
              <w:t>Level</w:t>
            </w:r>
            <w:r w:rsidR="000A5329" w:rsidRPr="002029AF">
              <w:t xml:space="preserve"> </w:t>
            </w:r>
            <w:r w:rsidRPr="002029AF">
              <w:t>2</w:t>
            </w:r>
            <w:r w:rsidR="000A5329" w:rsidRPr="002029AF">
              <w:t xml:space="preserve"> </w:t>
            </w:r>
            <w:r w:rsidRPr="002029AF">
              <w:rPr>
                <w:rStyle w:val="Superscript"/>
              </w:rPr>
              <w:t>(i)</w:t>
            </w:r>
          </w:p>
          <w:p w14:paraId="083D81D3" w14:textId="77777777" w:rsidR="00087B91" w:rsidRPr="002029AF" w:rsidRDefault="00087B91" w:rsidP="00860E95">
            <w:pPr>
              <w:pStyle w:val="ARfintablecolheadright"/>
            </w:pPr>
            <w:r w:rsidRPr="002029AF">
              <w:t>$M</w:t>
            </w:r>
          </w:p>
        </w:tc>
        <w:tc>
          <w:tcPr>
            <w:tcW w:w="1417" w:type="dxa"/>
            <w:tcBorders>
              <w:bottom w:val="single" w:sz="4" w:space="0" w:color="auto"/>
            </w:tcBorders>
            <w:hideMark/>
          </w:tcPr>
          <w:p w14:paraId="3AAA2FE1" w14:textId="27FD01C5" w:rsidR="00087B91" w:rsidRPr="002029AF" w:rsidRDefault="00087B91" w:rsidP="00860E95">
            <w:pPr>
              <w:pStyle w:val="ARfintablecolheadright"/>
            </w:pPr>
            <w:r w:rsidRPr="002029AF">
              <w:t>Level</w:t>
            </w:r>
            <w:r w:rsidR="000A5329" w:rsidRPr="002029AF">
              <w:t xml:space="preserve"> </w:t>
            </w:r>
            <w:r w:rsidRPr="002029AF">
              <w:t>3</w:t>
            </w:r>
            <w:r w:rsidR="000A5329" w:rsidRPr="002029AF">
              <w:t xml:space="preserve"> </w:t>
            </w:r>
            <w:r w:rsidRPr="002029AF">
              <w:rPr>
                <w:rStyle w:val="Superscript"/>
              </w:rPr>
              <w:t>(i)</w:t>
            </w:r>
          </w:p>
          <w:p w14:paraId="2DFB955E" w14:textId="77777777" w:rsidR="00087B91" w:rsidRPr="002029AF" w:rsidRDefault="00087B91" w:rsidP="00860E95">
            <w:pPr>
              <w:pStyle w:val="ARfintablecolheadright"/>
            </w:pPr>
            <w:r w:rsidRPr="002029AF">
              <w:t>$M</w:t>
            </w:r>
          </w:p>
        </w:tc>
      </w:tr>
      <w:tr w:rsidR="00087B91" w:rsidRPr="002029AF" w14:paraId="4D237954" w14:textId="77777777" w:rsidTr="00860E95">
        <w:trPr>
          <w:trHeight w:val="255"/>
        </w:trPr>
        <w:tc>
          <w:tcPr>
            <w:tcW w:w="9637" w:type="dxa"/>
            <w:gridSpan w:val="5"/>
            <w:tcBorders>
              <w:top w:val="single" w:sz="4" w:space="0" w:color="auto"/>
              <w:bottom w:val="single" w:sz="4" w:space="0" w:color="A6A6A6"/>
            </w:tcBorders>
            <w:hideMark/>
          </w:tcPr>
          <w:p w14:paraId="75801145" w14:textId="1E7A2B16" w:rsidR="00087B91" w:rsidRPr="002029AF" w:rsidRDefault="00087B91" w:rsidP="00860E95">
            <w:pPr>
              <w:pStyle w:val="ARfintablebodybold"/>
            </w:pPr>
            <w:r w:rsidRPr="002029AF">
              <w:t>Land</w:t>
            </w:r>
            <w:r w:rsidR="000A5329" w:rsidRPr="002029AF">
              <w:t xml:space="preserve"> </w:t>
            </w:r>
            <w:r w:rsidRPr="002029AF">
              <w:t>held</w:t>
            </w:r>
            <w:r w:rsidR="000A5329" w:rsidRPr="002029AF">
              <w:t xml:space="preserve"> </w:t>
            </w:r>
            <w:r w:rsidRPr="002029AF">
              <w:t>for</w:t>
            </w:r>
            <w:r w:rsidR="000A5329" w:rsidRPr="002029AF">
              <w:t xml:space="preserve"> </w:t>
            </w:r>
            <w:r w:rsidRPr="002029AF">
              <w:t>sale</w:t>
            </w:r>
          </w:p>
        </w:tc>
      </w:tr>
      <w:tr w:rsidR="00087B91" w:rsidRPr="002029AF" w14:paraId="5A2CAF57" w14:textId="77777777" w:rsidTr="00860E95">
        <w:trPr>
          <w:trHeight w:val="255"/>
        </w:trPr>
        <w:tc>
          <w:tcPr>
            <w:tcW w:w="3968" w:type="dxa"/>
            <w:tcBorders>
              <w:top w:val="single" w:sz="4" w:space="0" w:color="A6A6A6"/>
            </w:tcBorders>
            <w:hideMark/>
          </w:tcPr>
          <w:p w14:paraId="64F26FB1" w14:textId="0713D502" w:rsidR="00087B91" w:rsidRPr="002029AF" w:rsidRDefault="00087B91" w:rsidP="00860E95">
            <w:pPr>
              <w:pStyle w:val="ARfintablebody"/>
            </w:pPr>
            <w:r w:rsidRPr="002029AF">
              <w:t>Specialised</w:t>
            </w:r>
            <w:r w:rsidR="000A5329" w:rsidRPr="002029AF">
              <w:t xml:space="preserve"> </w:t>
            </w:r>
            <w:r w:rsidRPr="002029AF">
              <w:t>land</w:t>
            </w:r>
          </w:p>
        </w:tc>
        <w:tc>
          <w:tcPr>
            <w:tcW w:w="1418" w:type="dxa"/>
            <w:tcBorders>
              <w:top w:val="single" w:sz="4" w:space="0" w:color="A6A6A6"/>
            </w:tcBorders>
            <w:noWrap/>
            <w:hideMark/>
          </w:tcPr>
          <w:p w14:paraId="43B3D3E2" w14:textId="77777777" w:rsidR="00087B91" w:rsidRPr="002029AF" w:rsidRDefault="00087B91" w:rsidP="00860E95">
            <w:pPr>
              <w:pStyle w:val="ARfintablebodyright"/>
            </w:pPr>
            <w:r w:rsidRPr="002029AF">
              <w:t>6.0</w:t>
            </w:r>
          </w:p>
        </w:tc>
        <w:tc>
          <w:tcPr>
            <w:tcW w:w="1417" w:type="dxa"/>
            <w:tcBorders>
              <w:top w:val="single" w:sz="4" w:space="0" w:color="A6A6A6"/>
            </w:tcBorders>
            <w:noWrap/>
            <w:hideMark/>
          </w:tcPr>
          <w:p w14:paraId="64D4653C" w14:textId="77777777" w:rsidR="00087B91" w:rsidRPr="002029AF" w:rsidRDefault="00087B91" w:rsidP="00860E95">
            <w:pPr>
              <w:pStyle w:val="ARfintablebodyright"/>
            </w:pPr>
            <w:r w:rsidRPr="002029AF">
              <w:t>–</w:t>
            </w:r>
          </w:p>
        </w:tc>
        <w:tc>
          <w:tcPr>
            <w:tcW w:w="1417" w:type="dxa"/>
            <w:tcBorders>
              <w:top w:val="single" w:sz="4" w:space="0" w:color="A6A6A6"/>
            </w:tcBorders>
            <w:noWrap/>
            <w:hideMark/>
          </w:tcPr>
          <w:p w14:paraId="433C8A5C" w14:textId="77777777" w:rsidR="00087B91" w:rsidRPr="002029AF" w:rsidRDefault="00087B91" w:rsidP="00860E95">
            <w:pPr>
              <w:pStyle w:val="ARfintablebodyright"/>
            </w:pPr>
            <w:r w:rsidRPr="002029AF">
              <w:t>6.0</w:t>
            </w:r>
          </w:p>
        </w:tc>
        <w:tc>
          <w:tcPr>
            <w:tcW w:w="1417" w:type="dxa"/>
            <w:tcBorders>
              <w:top w:val="single" w:sz="4" w:space="0" w:color="A6A6A6"/>
            </w:tcBorders>
            <w:noWrap/>
            <w:hideMark/>
          </w:tcPr>
          <w:p w14:paraId="0494C3EB" w14:textId="77777777" w:rsidR="00087B91" w:rsidRPr="002029AF" w:rsidRDefault="00087B91" w:rsidP="00860E95">
            <w:pPr>
              <w:pStyle w:val="ARfintablebodyright"/>
            </w:pPr>
            <w:r w:rsidRPr="002029AF">
              <w:t>–</w:t>
            </w:r>
          </w:p>
        </w:tc>
      </w:tr>
      <w:tr w:rsidR="00087B91" w:rsidRPr="002029AF" w14:paraId="3F0280B1" w14:textId="77777777" w:rsidTr="00860E95">
        <w:trPr>
          <w:trHeight w:val="255"/>
        </w:trPr>
        <w:tc>
          <w:tcPr>
            <w:tcW w:w="3968" w:type="dxa"/>
            <w:tcBorders>
              <w:bottom w:val="single" w:sz="4" w:space="0" w:color="auto"/>
            </w:tcBorders>
            <w:hideMark/>
          </w:tcPr>
          <w:p w14:paraId="7F4F7372" w14:textId="7D3BB3E2" w:rsidR="00087B91" w:rsidRPr="002029AF" w:rsidRDefault="00087B91" w:rsidP="00860E95">
            <w:pPr>
              <w:pStyle w:val="ARfintablebodybold"/>
            </w:pPr>
            <w:r w:rsidRPr="002029AF">
              <w:t>Total</w:t>
            </w:r>
            <w:r w:rsidR="000A5329" w:rsidRPr="002029AF">
              <w:t xml:space="preserve"> </w:t>
            </w:r>
            <w:r w:rsidRPr="002029AF">
              <w:t>land</w:t>
            </w:r>
            <w:r w:rsidR="000A5329" w:rsidRPr="002029AF">
              <w:t xml:space="preserve"> </w:t>
            </w:r>
            <w:r w:rsidRPr="002029AF">
              <w:t>held</w:t>
            </w:r>
            <w:r w:rsidR="000A5329" w:rsidRPr="002029AF">
              <w:t xml:space="preserve"> </w:t>
            </w:r>
            <w:r w:rsidRPr="002029AF">
              <w:t>for</w:t>
            </w:r>
            <w:r w:rsidR="000A5329" w:rsidRPr="002029AF">
              <w:t xml:space="preserve"> </w:t>
            </w:r>
            <w:r w:rsidRPr="002029AF">
              <w:t>sale</w:t>
            </w:r>
          </w:p>
        </w:tc>
        <w:tc>
          <w:tcPr>
            <w:tcW w:w="1418" w:type="dxa"/>
            <w:tcBorders>
              <w:bottom w:val="single" w:sz="4" w:space="0" w:color="auto"/>
            </w:tcBorders>
            <w:noWrap/>
            <w:hideMark/>
          </w:tcPr>
          <w:p w14:paraId="260CCA43" w14:textId="77777777" w:rsidR="00087B91" w:rsidRPr="002029AF" w:rsidRDefault="00087B91" w:rsidP="00860E95">
            <w:pPr>
              <w:pStyle w:val="ARfintablebodyrightbold"/>
            </w:pPr>
            <w:r w:rsidRPr="002029AF">
              <w:t>6.0</w:t>
            </w:r>
          </w:p>
        </w:tc>
        <w:tc>
          <w:tcPr>
            <w:tcW w:w="1417" w:type="dxa"/>
            <w:tcBorders>
              <w:bottom w:val="single" w:sz="4" w:space="0" w:color="auto"/>
            </w:tcBorders>
            <w:noWrap/>
            <w:hideMark/>
          </w:tcPr>
          <w:p w14:paraId="53B82AE7" w14:textId="77777777" w:rsidR="00087B91" w:rsidRPr="002029AF" w:rsidRDefault="00087B91" w:rsidP="00860E95">
            <w:pPr>
              <w:pStyle w:val="ARfintablebodyrightbold"/>
            </w:pPr>
            <w:r w:rsidRPr="002029AF">
              <w:t>–</w:t>
            </w:r>
          </w:p>
        </w:tc>
        <w:tc>
          <w:tcPr>
            <w:tcW w:w="1417" w:type="dxa"/>
            <w:tcBorders>
              <w:bottom w:val="single" w:sz="4" w:space="0" w:color="auto"/>
            </w:tcBorders>
            <w:noWrap/>
            <w:hideMark/>
          </w:tcPr>
          <w:p w14:paraId="5B52D375" w14:textId="77777777" w:rsidR="00087B91" w:rsidRPr="002029AF" w:rsidRDefault="00087B91" w:rsidP="00860E95">
            <w:pPr>
              <w:pStyle w:val="ARfintablebodyrightbold"/>
            </w:pPr>
            <w:r w:rsidRPr="002029AF">
              <w:t>6.0</w:t>
            </w:r>
          </w:p>
        </w:tc>
        <w:tc>
          <w:tcPr>
            <w:tcW w:w="1417" w:type="dxa"/>
            <w:tcBorders>
              <w:bottom w:val="single" w:sz="4" w:space="0" w:color="auto"/>
            </w:tcBorders>
            <w:noWrap/>
            <w:hideMark/>
          </w:tcPr>
          <w:p w14:paraId="13870CCB" w14:textId="77777777" w:rsidR="00087B91" w:rsidRPr="002029AF" w:rsidRDefault="00087B91" w:rsidP="00860E95">
            <w:pPr>
              <w:pStyle w:val="ARfintablebodyrightbold"/>
            </w:pPr>
            <w:r w:rsidRPr="002029AF">
              <w:t>–</w:t>
            </w:r>
          </w:p>
        </w:tc>
      </w:tr>
      <w:tr w:rsidR="00087B91" w:rsidRPr="002029AF" w14:paraId="225B93A6" w14:textId="77777777" w:rsidTr="00860E95">
        <w:trPr>
          <w:trHeight w:val="255"/>
        </w:trPr>
        <w:tc>
          <w:tcPr>
            <w:tcW w:w="9637" w:type="dxa"/>
            <w:gridSpan w:val="5"/>
            <w:tcBorders>
              <w:top w:val="single" w:sz="4" w:space="0" w:color="auto"/>
              <w:bottom w:val="single" w:sz="4" w:space="0" w:color="A6A6A6"/>
            </w:tcBorders>
            <w:hideMark/>
          </w:tcPr>
          <w:p w14:paraId="5E0FE1F0" w14:textId="3122EB86" w:rsidR="00087B91" w:rsidRPr="002029AF" w:rsidRDefault="00087B91" w:rsidP="00860E95">
            <w:pPr>
              <w:pStyle w:val="ARfintablebodybold"/>
            </w:pPr>
            <w:r w:rsidRPr="002029AF">
              <w:t>Buildings</w:t>
            </w:r>
            <w:r w:rsidR="000A5329" w:rsidRPr="002029AF">
              <w:t xml:space="preserve"> </w:t>
            </w:r>
            <w:r w:rsidRPr="002029AF">
              <w:t>held</w:t>
            </w:r>
            <w:r w:rsidR="000A5329" w:rsidRPr="002029AF">
              <w:t xml:space="preserve"> </w:t>
            </w:r>
            <w:r w:rsidRPr="002029AF">
              <w:t>for</w:t>
            </w:r>
            <w:r w:rsidR="000A5329" w:rsidRPr="002029AF">
              <w:t xml:space="preserve"> </w:t>
            </w:r>
            <w:r w:rsidRPr="002029AF">
              <w:t>sale</w:t>
            </w:r>
          </w:p>
        </w:tc>
      </w:tr>
      <w:tr w:rsidR="00087B91" w:rsidRPr="002029AF" w14:paraId="56E0E283" w14:textId="77777777" w:rsidTr="00860E95">
        <w:trPr>
          <w:trHeight w:val="255"/>
        </w:trPr>
        <w:tc>
          <w:tcPr>
            <w:tcW w:w="3968" w:type="dxa"/>
            <w:tcBorders>
              <w:top w:val="single" w:sz="4" w:space="0" w:color="A6A6A6"/>
            </w:tcBorders>
            <w:hideMark/>
          </w:tcPr>
          <w:p w14:paraId="2E3C0A84" w14:textId="0746DC2B" w:rsidR="00087B91" w:rsidRPr="002029AF" w:rsidRDefault="00087B91" w:rsidP="00860E95">
            <w:pPr>
              <w:pStyle w:val="ARfintablebody"/>
            </w:pPr>
            <w:r w:rsidRPr="002029AF">
              <w:t>Specialised</w:t>
            </w:r>
            <w:r w:rsidR="000A5329" w:rsidRPr="002029AF">
              <w:t xml:space="preserve"> </w:t>
            </w:r>
            <w:r w:rsidRPr="002029AF">
              <w:t>buildings</w:t>
            </w:r>
          </w:p>
        </w:tc>
        <w:tc>
          <w:tcPr>
            <w:tcW w:w="1418" w:type="dxa"/>
            <w:tcBorders>
              <w:top w:val="single" w:sz="4" w:space="0" w:color="A6A6A6"/>
            </w:tcBorders>
            <w:noWrap/>
            <w:hideMark/>
          </w:tcPr>
          <w:p w14:paraId="506C412B" w14:textId="77777777" w:rsidR="00087B91" w:rsidRPr="002029AF" w:rsidRDefault="00087B91" w:rsidP="00860E95">
            <w:pPr>
              <w:pStyle w:val="ARfintablebodyright"/>
            </w:pPr>
            <w:r w:rsidRPr="002029AF">
              <w:t>2.5</w:t>
            </w:r>
          </w:p>
        </w:tc>
        <w:tc>
          <w:tcPr>
            <w:tcW w:w="1417" w:type="dxa"/>
            <w:tcBorders>
              <w:top w:val="single" w:sz="4" w:space="0" w:color="A6A6A6"/>
            </w:tcBorders>
            <w:noWrap/>
            <w:hideMark/>
          </w:tcPr>
          <w:p w14:paraId="640CF8F1" w14:textId="77777777" w:rsidR="00087B91" w:rsidRPr="002029AF" w:rsidRDefault="00087B91" w:rsidP="00860E95">
            <w:pPr>
              <w:pStyle w:val="ARfintablebodyright"/>
            </w:pPr>
            <w:r w:rsidRPr="002029AF">
              <w:t>–</w:t>
            </w:r>
          </w:p>
        </w:tc>
        <w:tc>
          <w:tcPr>
            <w:tcW w:w="1417" w:type="dxa"/>
            <w:tcBorders>
              <w:top w:val="single" w:sz="4" w:space="0" w:color="A6A6A6"/>
            </w:tcBorders>
            <w:noWrap/>
            <w:hideMark/>
          </w:tcPr>
          <w:p w14:paraId="60B72C16" w14:textId="77777777" w:rsidR="00087B91" w:rsidRPr="002029AF" w:rsidRDefault="00087B91" w:rsidP="00860E95">
            <w:pPr>
              <w:pStyle w:val="ARfintablebodyright"/>
            </w:pPr>
            <w:r w:rsidRPr="002029AF">
              <w:t>2.5</w:t>
            </w:r>
          </w:p>
        </w:tc>
        <w:tc>
          <w:tcPr>
            <w:tcW w:w="1417" w:type="dxa"/>
            <w:tcBorders>
              <w:top w:val="single" w:sz="4" w:space="0" w:color="A6A6A6"/>
            </w:tcBorders>
            <w:noWrap/>
            <w:hideMark/>
          </w:tcPr>
          <w:p w14:paraId="6E232F77" w14:textId="77777777" w:rsidR="00087B91" w:rsidRPr="002029AF" w:rsidRDefault="00087B91" w:rsidP="00860E95">
            <w:pPr>
              <w:pStyle w:val="ARfintablebodyright"/>
            </w:pPr>
            <w:r w:rsidRPr="002029AF">
              <w:t>–</w:t>
            </w:r>
          </w:p>
        </w:tc>
      </w:tr>
      <w:tr w:rsidR="00087B91" w:rsidRPr="002029AF" w14:paraId="1EE7AA63" w14:textId="77777777" w:rsidTr="00860E95">
        <w:trPr>
          <w:trHeight w:val="255"/>
        </w:trPr>
        <w:tc>
          <w:tcPr>
            <w:tcW w:w="3968" w:type="dxa"/>
            <w:hideMark/>
          </w:tcPr>
          <w:p w14:paraId="0C5EA637" w14:textId="7CC3D3AA" w:rsidR="00087B91" w:rsidRPr="002029AF" w:rsidRDefault="00087B91" w:rsidP="00860E95">
            <w:pPr>
              <w:pStyle w:val="ARfintablebodybold"/>
            </w:pPr>
            <w:r w:rsidRPr="002029AF">
              <w:t>Total</w:t>
            </w:r>
            <w:r w:rsidR="000A5329" w:rsidRPr="002029AF">
              <w:t xml:space="preserve"> </w:t>
            </w:r>
            <w:r w:rsidRPr="002029AF">
              <w:t>buildings</w:t>
            </w:r>
            <w:r w:rsidR="000A5329" w:rsidRPr="002029AF">
              <w:t xml:space="preserve"> </w:t>
            </w:r>
            <w:r w:rsidRPr="002029AF">
              <w:t>held</w:t>
            </w:r>
            <w:r w:rsidR="000A5329" w:rsidRPr="002029AF">
              <w:t xml:space="preserve"> </w:t>
            </w:r>
            <w:r w:rsidRPr="002029AF">
              <w:t>for</w:t>
            </w:r>
            <w:r w:rsidR="000A5329" w:rsidRPr="002029AF">
              <w:t xml:space="preserve"> </w:t>
            </w:r>
            <w:r w:rsidRPr="002029AF">
              <w:t>sale</w:t>
            </w:r>
          </w:p>
        </w:tc>
        <w:tc>
          <w:tcPr>
            <w:tcW w:w="1418" w:type="dxa"/>
            <w:noWrap/>
            <w:hideMark/>
          </w:tcPr>
          <w:p w14:paraId="261B51AA" w14:textId="77777777" w:rsidR="00087B91" w:rsidRPr="002029AF" w:rsidRDefault="00087B91" w:rsidP="00860E95">
            <w:pPr>
              <w:pStyle w:val="ARfintablebodyrightbold"/>
            </w:pPr>
            <w:r w:rsidRPr="002029AF">
              <w:t>2.5</w:t>
            </w:r>
          </w:p>
        </w:tc>
        <w:tc>
          <w:tcPr>
            <w:tcW w:w="1417" w:type="dxa"/>
            <w:noWrap/>
            <w:hideMark/>
          </w:tcPr>
          <w:p w14:paraId="0118BDC1" w14:textId="77777777" w:rsidR="00087B91" w:rsidRPr="002029AF" w:rsidRDefault="00087B91" w:rsidP="00860E95">
            <w:pPr>
              <w:pStyle w:val="ARfintablebodyrightbold"/>
            </w:pPr>
            <w:r w:rsidRPr="002029AF">
              <w:t>–</w:t>
            </w:r>
          </w:p>
        </w:tc>
        <w:tc>
          <w:tcPr>
            <w:tcW w:w="1417" w:type="dxa"/>
            <w:noWrap/>
            <w:hideMark/>
          </w:tcPr>
          <w:p w14:paraId="2D34442B" w14:textId="77777777" w:rsidR="00087B91" w:rsidRPr="002029AF" w:rsidRDefault="00087B91" w:rsidP="00860E95">
            <w:pPr>
              <w:pStyle w:val="ARfintablebodyrightbold"/>
            </w:pPr>
            <w:r w:rsidRPr="002029AF">
              <w:t>2.5</w:t>
            </w:r>
          </w:p>
        </w:tc>
        <w:tc>
          <w:tcPr>
            <w:tcW w:w="1417" w:type="dxa"/>
            <w:noWrap/>
            <w:hideMark/>
          </w:tcPr>
          <w:p w14:paraId="49280229" w14:textId="77777777" w:rsidR="00087B91" w:rsidRPr="002029AF" w:rsidRDefault="00087B91" w:rsidP="00860E95">
            <w:pPr>
              <w:pStyle w:val="ARfintablebodyrightbold"/>
            </w:pPr>
            <w:r w:rsidRPr="002029AF">
              <w:t>–</w:t>
            </w:r>
          </w:p>
        </w:tc>
      </w:tr>
    </w:tbl>
    <w:p w14:paraId="38805EB3" w14:textId="77777777" w:rsidR="00087B91" w:rsidRPr="002029AF" w:rsidRDefault="00087B91" w:rsidP="00087B91">
      <w:pPr>
        <w:pStyle w:val="ARfinbody"/>
      </w:pPr>
    </w:p>
    <w:tbl>
      <w:tblPr>
        <w:tblStyle w:val="TableGrid"/>
        <w:tblW w:w="9637" w:type="dxa"/>
        <w:tblLayout w:type="fixed"/>
        <w:tblLook w:val="06A0" w:firstRow="1" w:lastRow="0" w:firstColumn="1" w:lastColumn="0" w:noHBand="1" w:noVBand="1"/>
      </w:tblPr>
      <w:tblGrid>
        <w:gridCol w:w="3968"/>
        <w:gridCol w:w="1418"/>
        <w:gridCol w:w="1417"/>
        <w:gridCol w:w="1417"/>
        <w:gridCol w:w="1417"/>
      </w:tblGrid>
      <w:tr w:rsidR="00087B91" w:rsidRPr="002029AF" w14:paraId="09FFF394" w14:textId="77777777" w:rsidTr="00FC2F9E">
        <w:trPr>
          <w:cnfStyle w:val="100000000000" w:firstRow="1" w:lastRow="0" w:firstColumn="0" w:lastColumn="0" w:oddVBand="0" w:evenVBand="0" w:oddHBand="0" w:evenHBand="0" w:firstRowFirstColumn="0" w:firstRowLastColumn="0" w:lastRowFirstColumn="0" w:lastRowLastColumn="0"/>
          <w:trHeight w:val="255"/>
          <w:tblHeader/>
        </w:trPr>
        <w:tc>
          <w:tcPr>
            <w:tcW w:w="3968" w:type="dxa"/>
            <w:vMerge w:val="restart"/>
            <w:hideMark/>
          </w:tcPr>
          <w:p w14:paraId="2FBDBE7D" w14:textId="77777777" w:rsidR="00087B91" w:rsidRPr="002029AF" w:rsidRDefault="00087B91" w:rsidP="00860E95">
            <w:pPr>
              <w:pStyle w:val="ARfintablecolhead"/>
            </w:pPr>
            <w:r w:rsidRPr="002029AF">
              <w:t>2019</w:t>
            </w:r>
          </w:p>
        </w:tc>
        <w:tc>
          <w:tcPr>
            <w:tcW w:w="1418" w:type="dxa"/>
            <w:vMerge w:val="restart"/>
            <w:hideMark/>
          </w:tcPr>
          <w:p w14:paraId="1D418380" w14:textId="23F52B2E" w:rsidR="00087B91" w:rsidRPr="002029AF" w:rsidRDefault="00087B91" w:rsidP="00860E95">
            <w:pPr>
              <w:pStyle w:val="ARfintablecolheadright"/>
            </w:pPr>
            <w:r w:rsidRPr="002029AF">
              <w:t>Carrying</w:t>
            </w:r>
            <w:r w:rsidR="000A5329" w:rsidRPr="002029AF">
              <w:t xml:space="preserve"> </w:t>
            </w:r>
            <w:r w:rsidRPr="002029AF">
              <w:t>amount</w:t>
            </w:r>
          </w:p>
          <w:p w14:paraId="755E80EA" w14:textId="77777777" w:rsidR="00087B91" w:rsidRPr="002029AF" w:rsidRDefault="00087B91" w:rsidP="00860E95">
            <w:pPr>
              <w:pStyle w:val="ARfintablecolheadright"/>
            </w:pPr>
            <w:r w:rsidRPr="002029AF">
              <w:t>$M</w:t>
            </w:r>
          </w:p>
        </w:tc>
        <w:tc>
          <w:tcPr>
            <w:tcW w:w="4251" w:type="dxa"/>
            <w:gridSpan w:val="3"/>
            <w:hideMark/>
          </w:tcPr>
          <w:p w14:paraId="458492C9" w14:textId="6424487C" w:rsidR="00087B91" w:rsidRPr="002029AF" w:rsidRDefault="00087B91" w:rsidP="00860E95">
            <w:pPr>
              <w:pStyle w:val="ARfintablecolheadcentre"/>
            </w:pPr>
            <w:r w:rsidRPr="002029AF">
              <w:t>Fair</w:t>
            </w:r>
            <w:r w:rsidR="000A5329" w:rsidRPr="002029AF">
              <w:t xml:space="preserve"> </w:t>
            </w:r>
            <w:r w:rsidRPr="002029AF">
              <w:t>value</w:t>
            </w:r>
            <w:r w:rsidR="000A5329" w:rsidRPr="002029AF">
              <w:t xml:space="preserve"> </w:t>
            </w:r>
            <w:r w:rsidRPr="002029AF">
              <w:t>measurement</w:t>
            </w:r>
            <w:r w:rsidR="000A5329" w:rsidRPr="002029AF">
              <w:t xml:space="preserve"> </w:t>
            </w:r>
            <w:r w:rsidRPr="002029AF">
              <w:t>at</w:t>
            </w:r>
            <w:r w:rsidR="000A5329" w:rsidRPr="002029AF">
              <w:t xml:space="preserve"> </w:t>
            </w:r>
            <w:r w:rsidRPr="002029AF">
              <w:t>the</w:t>
            </w:r>
            <w:r w:rsidR="000A5329" w:rsidRPr="002029AF">
              <w:t xml:space="preserve"> </w:t>
            </w:r>
            <w:r w:rsidRPr="002029AF">
              <w:t>end</w:t>
            </w:r>
            <w:r w:rsidR="000A5329" w:rsidRPr="002029AF">
              <w:t xml:space="preserve"> </w:t>
            </w:r>
            <w:r w:rsidRPr="002029AF">
              <w:br/>
              <w:t>of</w:t>
            </w:r>
            <w:r w:rsidR="000A5329" w:rsidRPr="002029AF">
              <w:t xml:space="preserve"> </w:t>
            </w:r>
            <w:r w:rsidRPr="002029AF">
              <w:t>reporting</w:t>
            </w:r>
            <w:r w:rsidR="000A5329" w:rsidRPr="002029AF">
              <w:t xml:space="preserve"> </w:t>
            </w:r>
            <w:r w:rsidRPr="002029AF">
              <w:t>period</w:t>
            </w:r>
            <w:r w:rsidR="000A5329" w:rsidRPr="002029AF">
              <w:t xml:space="preserve"> </w:t>
            </w:r>
            <w:r w:rsidRPr="002029AF">
              <w:t>using:</w:t>
            </w:r>
          </w:p>
        </w:tc>
      </w:tr>
      <w:tr w:rsidR="00087B91" w:rsidRPr="002029AF" w14:paraId="45B80985"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3968" w:type="dxa"/>
            <w:vMerge/>
            <w:tcBorders>
              <w:bottom w:val="single" w:sz="4" w:space="0" w:color="auto"/>
            </w:tcBorders>
            <w:hideMark/>
          </w:tcPr>
          <w:p w14:paraId="3B301DFA" w14:textId="77777777" w:rsidR="00087B91" w:rsidRPr="002029AF" w:rsidRDefault="00087B91" w:rsidP="00860E95">
            <w:pPr>
              <w:pStyle w:val="ARfintablecolhead"/>
            </w:pPr>
          </w:p>
        </w:tc>
        <w:tc>
          <w:tcPr>
            <w:tcW w:w="1418" w:type="dxa"/>
            <w:vMerge/>
            <w:tcBorders>
              <w:bottom w:val="single" w:sz="4" w:space="0" w:color="auto"/>
            </w:tcBorders>
            <w:hideMark/>
          </w:tcPr>
          <w:p w14:paraId="3FFAD5EA" w14:textId="77777777" w:rsidR="00087B91" w:rsidRPr="002029AF" w:rsidRDefault="00087B91" w:rsidP="00860E95">
            <w:pPr>
              <w:pStyle w:val="ARfintablecolheadright"/>
            </w:pPr>
          </w:p>
        </w:tc>
        <w:tc>
          <w:tcPr>
            <w:tcW w:w="1417" w:type="dxa"/>
            <w:tcBorders>
              <w:bottom w:val="single" w:sz="4" w:space="0" w:color="auto"/>
            </w:tcBorders>
            <w:hideMark/>
          </w:tcPr>
          <w:p w14:paraId="14ED4089" w14:textId="300A627F" w:rsidR="00087B91" w:rsidRPr="002029AF" w:rsidRDefault="00087B91" w:rsidP="00860E95">
            <w:pPr>
              <w:pStyle w:val="ARfintablecolheadright"/>
            </w:pPr>
            <w:r w:rsidRPr="002029AF">
              <w:t>Level</w:t>
            </w:r>
            <w:r w:rsidR="000A5329" w:rsidRPr="002029AF">
              <w:t xml:space="preserve"> </w:t>
            </w:r>
            <w:r w:rsidRPr="002029AF">
              <w:t>1</w:t>
            </w:r>
            <w:r w:rsidR="000A5329" w:rsidRPr="002029AF">
              <w:t xml:space="preserve"> </w:t>
            </w:r>
            <w:r w:rsidRPr="002029AF">
              <w:rPr>
                <w:rStyle w:val="Superscript"/>
              </w:rPr>
              <w:t>(i)</w:t>
            </w:r>
          </w:p>
          <w:p w14:paraId="6CD18908" w14:textId="77777777" w:rsidR="00087B91" w:rsidRPr="002029AF" w:rsidRDefault="00087B91" w:rsidP="00860E95">
            <w:pPr>
              <w:pStyle w:val="ARfintablecolheadright"/>
            </w:pPr>
            <w:r w:rsidRPr="002029AF">
              <w:t>$M</w:t>
            </w:r>
          </w:p>
        </w:tc>
        <w:tc>
          <w:tcPr>
            <w:tcW w:w="1417" w:type="dxa"/>
            <w:tcBorders>
              <w:bottom w:val="single" w:sz="4" w:space="0" w:color="auto"/>
            </w:tcBorders>
            <w:hideMark/>
          </w:tcPr>
          <w:p w14:paraId="3D82D9C3" w14:textId="66B99FF6" w:rsidR="00087B91" w:rsidRPr="002029AF" w:rsidRDefault="00087B91" w:rsidP="00860E95">
            <w:pPr>
              <w:pStyle w:val="ARfintablecolheadright"/>
            </w:pPr>
            <w:r w:rsidRPr="002029AF">
              <w:t>Level</w:t>
            </w:r>
            <w:r w:rsidR="000A5329" w:rsidRPr="002029AF">
              <w:t xml:space="preserve"> </w:t>
            </w:r>
            <w:r w:rsidRPr="002029AF">
              <w:t>2</w:t>
            </w:r>
            <w:r w:rsidR="000A5329" w:rsidRPr="002029AF">
              <w:t xml:space="preserve"> </w:t>
            </w:r>
            <w:r w:rsidRPr="002029AF">
              <w:rPr>
                <w:rStyle w:val="Superscript"/>
              </w:rPr>
              <w:t>(i)</w:t>
            </w:r>
          </w:p>
          <w:p w14:paraId="5FE8F05E" w14:textId="77777777" w:rsidR="00087B91" w:rsidRPr="002029AF" w:rsidRDefault="00087B91" w:rsidP="00860E95">
            <w:pPr>
              <w:pStyle w:val="ARfintablecolheadright"/>
            </w:pPr>
            <w:r w:rsidRPr="002029AF">
              <w:t>$M</w:t>
            </w:r>
          </w:p>
        </w:tc>
        <w:tc>
          <w:tcPr>
            <w:tcW w:w="1417" w:type="dxa"/>
            <w:tcBorders>
              <w:bottom w:val="single" w:sz="4" w:space="0" w:color="auto"/>
            </w:tcBorders>
            <w:hideMark/>
          </w:tcPr>
          <w:p w14:paraId="065A40E3" w14:textId="37DB0024" w:rsidR="00087B91" w:rsidRPr="002029AF" w:rsidRDefault="00087B91" w:rsidP="00860E95">
            <w:pPr>
              <w:pStyle w:val="ARfintablecolheadright"/>
            </w:pPr>
            <w:r w:rsidRPr="002029AF">
              <w:t>Level</w:t>
            </w:r>
            <w:r w:rsidR="000A5329" w:rsidRPr="002029AF">
              <w:t xml:space="preserve"> </w:t>
            </w:r>
            <w:r w:rsidRPr="002029AF">
              <w:t>3</w:t>
            </w:r>
            <w:r w:rsidR="000A5329" w:rsidRPr="002029AF">
              <w:t xml:space="preserve"> </w:t>
            </w:r>
            <w:r w:rsidRPr="002029AF">
              <w:rPr>
                <w:rStyle w:val="Superscript"/>
              </w:rPr>
              <w:t>(i)</w:t>
            </w:r>
          </w:p>
          <w:p w14:paraId="4F77E5CF" w14:textId="77777777" w:rsidR="00087B91" w:rsidRPr="002029AF" w:rsidRDefault="00087B91" w:rsidP="00860E95">
            <w:pPr>
              <w:pStyle w:val="ARfintablecolheadright"/>
            </w:pPr>
            <w:r w:rsidRPr="002029AF">
              <w:t>$M</w:t>
            </w:r>
          </w:p>
        </w:tc>
      </w:tr>
      <w:tr w:rsidR="00087B91" w:rsidRPr="002029AF" w14:paraId="26B88A3D" w14:textId="77777777" w:rsidTr="00860E95">
        <w:trPr>
          <w:trHeight w:val="255"/>
        </w:trPr>
        <w:tc>
          <w:tcPr>
            <w:tcW w:w="9637" w:type="dxa"/>
            <w:gridSpan w:val="5"/>
            <w:tcBorders>
              <w:top w:val="single" w:sz="4" w:space="0" w:color="auto"/>
              <w:bottom w:val="single" w:sz="4" w:space="0" w:color="A6A6A6"/>
            </w:tcBorders>
            <w:hideMark/>
          </w:tcPr>
          <w:p w14:paraId="40520C8E" w14:textId="785CBDDE" w:rsidR="00087B91" w:rsidRPr="002029AF" w:rsidRDefault="00087B91" w:rsidP="00860E95">
            <w:pPr>
              <w:pStyle w:val="ARfintablebodybold"/>
            </w:pPr>
            <w:r w:rsidRPr="002029AF">
              <w:t>Land</w:t>
            </w:r>
            <w:r w:rsidR="000A5329" w:rsidRPr="002029AF">
              <w:t xml:space="preserve"> </w:t>
            </w:r>
            <w:r w:rsidRPr="002029AF">
              <w:t>held</w:t>
            </w:r>
            <w:r w:rsidR="000A5329" w:rsidRPr="002029AF">
              <w:t xml:space="preserve"> </w:t>
            </w:r>
            <w:r w:rsidRPr="002029AF">
              <w:t>for</w:t>
            </w:r>
            <w:r w:rsidR="000A5329" w:rsidRPr="002029AF">
              <w:t xml:space="preserve"> </w:t>
            </w:r>
            <w:r w:rsidRPr="002029AF">
              <w:t>sale</w:t>
            </w:r>
          </w:p>
        </w:tc>
      </w:tr>
      <w:tr w:rsidR="00087B91" w:rsidRPr="002029AF" w14:paraId="163D324E" w14:textId="77777777" w:rsidTr="00860E95">
        <w:trPr>
          <w:trHeight w:val="255"/>
        </w:trPr>
        <w:tc>
          <w:tcPr>
            <w:tcW w:w="3968" w:type="dxa"/>
            <w:tcBorders>
              <w:top w:val="single" w:sz="4" w:space="0" w:color="A6A6A6"/>
            </w:tcBorders>
            <w:hideMark/>
          </w:tcPr>
          <w:p w14:paraId="109C1A28" w14:textId="53486322" w:rsidR="00087B91" w:rsidRPr="002029AF" w:rsidRDefault="00087B91" w:rsidP="00860E95">
            <w:pPr>
              <w:pStyle w:val="ARfintablebody"/>
            </w:pPr>
            <w:r w:rsidRPr="002029AF">
              <w:t>Specialised</w:t>
            </w:r>
            <w:r w:rsidR="000A5329" w:rsidRPr="002029AF">
              <w:t xml:space="preserve"> </w:t>
            </w:r>
            <w:r w:rsidRPr="002029AF">
              <w:t>land</w:t>
            </w:r>
          </w:p>
        </w:tc>
        <w:tc>
          <w:tcPr>
            <w:tcW w:w="1418" w:type="dxa"/>
            <w:tcBorders>
              <w:top w:val="single" w:sz="4" w:space="0" w:color="A6A6A6"/>
            </w:tcBorders>
            <w:noWrap/>
            <w:hideMark/>
          </w:tcPr>
          <w:p w14:paraId="4FA43BC2" w14:textId="77777777" w:rsidR="00087B91" w:rsidRPr="002029AF" w:rsidRDefault="00087B91" w:rsidP="00860E95">
            <w:pPr>
              <w:pStyle w:val="ARfintablebodyright"/>
            </w:pPr>
            <w:r w:rsidRPr="002029AF">
              <w:t>23.9</w:t>
            </w:r>
          </w:p>
        </w:tc>
        <w:tc>
          <w:tcPr>
            <w:tcW w:w="1417" w:type="dxa"/>
            <w:tcBorders>
              <w:top w:val="single" w:sz="4" w:space="0" w:color="A6A6A6"/>
            </w:tcBorders>
            <w:noWrap/>
            <w:hideMark/>
          </w:tcPr>
          <w:p w14:paraId="6A956966" w14:textId="77777777" w:rsidR="00087B91" w:rsidRPr="002029AF" w:rsidRDefault="00087B91" w:rsidP="00860E95">
            <w:pPr>
              <w:pStyle w:val="ARfintablebodyright"/>
            </w:pPr>
            <w:r w:rsidRPr="002029AF">
              <w:t>–</w:t>
            </w:r>
          </w:p>
        </w:tc>
        <w:tc>
          <w:tcPr>
            <w:tcW w:w="1417" w:type="dxa"/>
            <w:tcBorders>
              <w:top w:val="single" w:sz="4" w:space="0" w:color="A6A6A6"/>
            </w:tcBorders>
            <w:noWrap/>
            <w:hideMark/>
          </w:tcPr>
          <w:p w14:paraId="00F96BCA" w14:textId="77777777" w:rsidR="00087B91" w:rsidRPr="002029AF" w:rsidRDefault="00087B91" w:rsidP="00860E95">
            <w:pPr>
              <w:pStyle w:val="ARfintablebodyright"/>
            </w:pPr>
            <w:r w:rsidRPr="002029AF">
              <w:t>23.9</w:t>
            </w:r>
          </w:p>
        </w:tc>
        <w:tc>
          <w:tcPr>
            <w:tcW w:w="1417" w:type="dxa"/>
            <w:tcBorders>
              <w:top w:val="single" w:sz="4" w:space="0" w:color="A6A6A6"/>
            </w:tcBorders>
            <w:noWrap/>
            <w:hideMark/>
          </w:tcPr>
          <w:p w14:paraId="7BA8CFEA" w14:textId="77777777" w:rsidR="00087B91" w:rsidRPr="002029AF" w:rsidRDefault="00087B91" w:rsidP="00860E95">
            <w:pPr>
              <w:pStyle w:val="ARfintablebodyright"/>
            </w:pPr>
            <w:r w:rsidRPr="002029AF">
              <w:t>–</w:t>
            </w:r>
          </w:p>
        </w:tc>
      </w:tr>
      <w:tr w:rsidR="00087B91" w:rsidRPr="002029AF" w14:paraId="3C6D6C45" w14:textId="77777777" w:rsidTr="00860E95">
        <w:trPr>
          <w:trHeight w:val="255"/>
        </w:trPr>
        <w:tc>
          <w:tcPr>
            <w:tcW w:w="3968" w:type="dxa"/>
            <w:tcBorders>
              <w:bottom w:val="single" w:sz="4" w:space="0" w:color="auto"/>
            </w:tcBorders>
            <w:hideMark/>
          </w:tcPr>
          <w:p w14:paraId="44BFA7BD" w14:textId="7BAF5593" w:rsidR="00087B91" w:rsidRPr="002029AF" w:rsidRDefault="00087B91" w:rsidP="00860E95">
            <w:pPr>
              <w:pStyle w:val="ARfintablebodybold"/>
            </w:pPr>
            <w:r w:rsidRPr="002029AF">
              <w:t>Total</w:t>
            </w:r>
            <w:r w:rsidR="000A5329" w:rsidRPr="002029AF">
              <w:t xml:space="preserve"> </w:t>
            </w:r>
            <w:r w:rsidRPr="002029AF">
              <w:t>land</w:t>
            </w:r>
            <w:r w:rsidR="000A5329" w:rsidRPr="002029AF">
              <w:t xml:space="preserve"> </w:t>
            </w:r>
            <w:r w:rsidRPr="002029AF">
              <w:t>held</w:t>
            </w:r>
            <w:r w:rsidR="000A5329" w:rsidRPr="002029AF">
              <w:t xml:space="preserve"> </w:t>
            </w:r>
            <w:r w:rsidRPr="002029AF">
              <w:t>for</w:t>
            </w:r>
            <w:r w:rsidR="000A5329" w:rsidRPr="002029AF">
              <w:t xml:space="preserve"> </w:t>
            </w:r>
            <w:r w:rsidRPr="002029AF">
              <w:t>sale</w:t>
            </w:r>
          </w:p>
        </w:tc>
        <w:tc>
          <w:tcPr>
            <w:tcW w:w="1418" w:type="dxa"/>
            <w:tcBorders>
              <w:bottom w:val="single" w:sz="4" w:space="0" w:color="auto"/>
            </w:tcBorders>
            <w:noWrap/>
            <w:hideMark/>
          </w:tcPr>
          <w:p w14:paraId="0792C97E" w14:textId="77777777" w:rsidR="00087B91" w:rsidRPr="002029AF" w:rsidRDefault="00087B91" w:rsidP="00860E95">
            <w:pPr>
              <w:pStyle w:val="ARfintablebodyrightbold"/>
            </w:pPr>
            <w:r w:rsidRPr="002029AF">
              <w:t>23.9</w:t>
            </w:r>
          </w:p>
        </w:tc>
        <w:tc>
          <w:tcPr>
            <w:tcW w:w="1417" w:type="dxa"/>
            <w:tcBorders>
              <w:bottom w:val="single" w:sz="4" w:space="0" w:color="auto"/>
            </w:tcBorders>
            <w:noWrap/>
            <w:hideMark/>
          </w:tcPr>
          <w:p w14:paraId="2548935C" w14:textId="77777777" w:rsidR="00087B91" w:rsidRPr="002029AF" w:rsidRDefault="00087B91" w:rsidP="00860E95">
            <w:pPr>
              <w:pStyle w:val="ARfintablebodyrightbold"/>
            </w:pPr>
            <w:r w:rsidRPr="002029AF">
              <w:t>–</w:t>
            </w:r>
          </w:p>
        </w:tc>
        <w:tc>
          <w:tcPr>
            <w:tcW w:w="1417" w:type="dxa"/>
            <w:tcBorders>
              <w:bottom w:val="single" w:sz="4" w:space="0" w:color="auto"/>
            </w:tcBorders>
            <w:noWrap/>
            <w:hideMark/>
          </w:tcPr>
          <w:p w14:paraId="6C49E6D1" w14:textId="77777777" w:rsidR="00087B91" w:rsidRPr="002029AF" w:rsidRDefault="00087B91" w:rsidP="00860E95">
            <w:pPr>
              <w:pStyle w:val="ARfintablebodyrightbold"/>
            </w:pPr>
            <w:r w:rsidRPr="002029AF">
              <w:t>23.9</w:t>
            </w:r>
          </w:p>
        </w:tc>
        <w:tc>
          <w:tcPr>
            <w:tcW w:w="1417" w:type="dxa"/>
            <w:tcBorders>
              <w:bottom w:val="single" w:sz="4" w:space="0" w:color="auto"/>
            </w:tcBorders>
            <w:noWrap/>
            <w:hideMark/>
          </w:tcPr>
          <w:p w14:paraId="6A28DB2E" w14:textId="77777777" w:rsidR="00087B91" w:rsidRPr="002029AF" w:rsidRDefault="00087B91" w:rsidP="00860E95">
            <w:pPr>
              <w:pStyle w:val="ARfintablebodyrightbold"/>
            </w:pPr>
            <w:r w:rsidRPr="002029AF">
              <w:t>–</w:t>
            </w:r>
          </w:p>
        </w:tc>
      </w:tr>
      <w:tr w:rsidR="00087B91" w:rsidRPr="002029AF" w14:paraId="33E020C1" w14:textId="77777777" w:rsidTr="00860E95">
        <w:trPr>
          <w:trHeight w:val="255"/>
        </w:trPr>
        <w:tc>
          <w:tcPr>
            <w:tcW w:w="9637" w:type="dxa"/>
            <w:gridSpan w:val="5"/>
            <w:tcBorders>
              <w:top w:val="single" w:sz="4" w:space="0" w:color="auto"/>
              <w:bottom w:val="single" w:sz="4" w:space="0" w:color="A6A6A6"/>
            </w:tcBorders>
            <w:hideMark/>
          </w:tcPr>
          <w:p w14:paraId="4CDF76DF" w14:textId="1573C6EE" w:rsidR="00087B91" w:rsidRPr="002029AF" w:rsidRDefault="00087B91" w:rsidP="00860E95">
            <w:pPr>
              <w:pStyle w:val="ARfintablebodybold"/>
            </w:pPr>
            <w:r w:rsidRPr="002029AF">
              <w:t>Buildings</w:t>
            </w:r>
            <w:r w:rsidR="000A5329" w:rsidRPr="002029AF">
              <w:t xml:space="preserve"> </w:t>
            </w:r>
            <w:r w:rsidRPr="002029AF">
              <w:t>held</w:t>
            </w:r>
            <w:r w:rsidR="000A5329" w:rsidRPr="002029AF">
              <w:t xml:space="preserve"> </w:t>
            </w:r>
            <w:r w:rsidRPr="002029AF">
              <w:t>for</w:t>
            </w:r>
            <w:r w:rsidR="000A5329" w:rsidRPr="002029AF">
              <w:t xml:space="preserve"> </w:t>
            </w:r>
            <w:r w:rsidRPr="002029AF">
              <w:t>sale</w:t>
            </w:r>
          </w:p>
        </w:tc>
      </w:tr>
      <w:tr w:rsidR="00087B91" w:rsidRPr="002029AF" w14:paraId="36048B36" w14:textId="77777777" w:rsidTr="00860E95">
        <w:trPr>
          <w:trHeight w:val="255"/>
        </w:trPr>
        <w:tc>
          <w:tcPr>
            <w:tcW w:w="3968" w:type="dxa"/>
            <w:tcBorders>
              <w:top w:val="single" w:sz="4" w:space="0" w:color="A6A6A6"/>
            </w:tcBorders>
            <w:hideMark/>
          </w:tcPr>
          <w:p w14:paraId="38555A7D" w14:textId="37318A81" w:rsidR="00087B91" w:rsidRPr="002029AF" w:rsidRDefault="00087B91" w:rsidP="00860E95">
            <w:pPr>
              <w:pStyle w:val="ARfintablebody"/>
            </w:pPr>
            <w:r w:rsidRPr="002029AF">
              <w:t>Specialised</w:t>
            </w:r>
            <w:r w:rsidR="000A5329" w:rsidRPr="002029AF">
              <w:t xml:space="preserve"> </w:t>
            </w:r>
            <w:r w:rsidRPr="002029AF">
              <w:t>buildings</w:t>
            </w:r>
          </w:p>
        </w:tc>
        <w:tc>
          <w:tcPr>
            <w:tcW w:w="1418" w:type="dxa"/>
            <w:tcBorders>
              <w:top w:val="single" w:sz="4" w:space="0" w:color="A6A6A6"/>
            </w:tcBorders>
            <w:noWrap/>
            <w:hideMark/>
          </w:tcPr>
          <w:p w14:paraId="3D7D471A" w14:textId="77777777" w:rsidR="00087B91" w:rsidRPr="002029AF" w:rsidRDefault="00087B91" w:rsidP="00860E95">
            <w:pPr>
              <w:pStyle w:val="ARfintablebodyright"/>
            </w:pPr>
            <w:r w:rsidRPr="002029AF">
              <w:t>4.5</w:t>
            </w:r>
          </w:p>
        </w:tc>
        <w:tc>
          <w:tcPr>
            <w:tcW w:w="1417" w:type="dxa"/>
            <w:tcBorders>
              <w:top w:val="single" w:sz="4" w:space="0" w:color="A6A6A6"/>
            </w:tcBorders>
            <w:noWrap/>
            <w:hideMark/>
          </w:tcPr>
          <w:p w14:paraId="0A1D742F" w14:textId="77777777" w:rsidR="00087B91" w:rsidRPr="002029AF" w:rsidRDefault="00087B91" w:rsidP="00860E95">
            <w:pPr>
              <w:pStyle w:val="ARfintablebodyright"/>
            </w:pPr>
            <w:r w:rsidRPr="002029AF">
              <w:t>–</w:t>
            </w:r>
          </w:p>
        </w:tc>
        <w:tc>
          <w:tcPr>
            <w:tcW w:w="1417" w:type="dxa"/>
            <w:tcBorders>
              <w:top w:val="single" w:sz="4" w:space="0" w:color="A6A6A6"/>
            </w:tcBorders>
            <w:noWrap/>
            <w:hideMark/>
          </w:tcPr>
          <w:p w14:paraId="26FEEA58" w14:textId="77777777" w:rsidR="00087B91" w:rsidRPr="002029AF" w:rsidRDefault="00087B91" w:rsidP="00860E95">
            <w:pPr>
              <w:pStyle w:val="ARfintablebodyright"/>
            </w:pPr>
            <w:r w:rsidRPr="002029AF">
              <w:t>4.5</w:t>
            </w:r>
          </w:p>
        </w:tc>
        <w:tc>
          <w:tcPr>
            <w:tcW w:w="1417" w:type="dxa"/>
            <w:tcBorders>
              <w:top w:val="single" w:sz="4" w:space="0" w:color="A6A6A6"/>
            </w:tcBorders>
            <w:noWrap/>
            <w:hideMark/>
          </w:tcPr>
          <w:p w14:paraId="1C70FF72" w14:textId="77777777" w:rsidR="00087B91" w:rsidRPr="002029AF" w:rsidRDefault="00087B91" w:rsidP="00860E95">
            <w:pPr>
              <w:pStyle w:val="ARfintablebodyright"/>
            </w:pPr>
            <w:r w:rsidRPr="002029AF">
              <w:t>–</w:t>
            </w:r>
          </w:p>
        </w:tc>
      </w:tr>
      <w:tr w:rsidR="00087B91" w:rsidRPr="002029AF" w14:paraId="3F409213" w14:textId="77777777" w:rsidTr="00860E95">
        <w:trPr>
          <w:trHeight w:val="255"/>
        </w:trPr>
        <w:tc>
          <w:tcPr>
            <w:tcW w:w="3968" w:type="dxa"/>
            <w:hideMark/>
          </w:tcPr>
          <w:p w14:paraId="675D6571" w14:textId="1A097F11" w:rsidR="00087B91" w:rsidRPr="002029AF" w:rsidRDefault="00087B91" w:rsidP="00860E95">
            <w:pPr>
              <w:pStyle w:val="ARfintablebodybold"/>
            </w:pPr>
            <w:r w:rsidRPr="002029AF">
              <w:t>Total</w:t>
            </w:r>
            <w:r w:rsidR="000A5329" w:rsidRPr="002029AF">
              <w:t xml:space="preserve"> </w:t>
            </w:r>
            <w:r w:rsidRPr="002029AF">
              <w:t>buildings</w:t>
            </w:r>
            <w:r w:rsidR="000A5329" w:rsidRPr="002029AF">
              <w:t xml:space="preserve"> </w:t>
            </w:r>
            <w:r w:rsidRPr="002029AF">
              <w:t>held</w:t>
            </w:r>
            <w:r w:rsidR="000A5329" w:rsidRPr="002029AF">
              <w:t xml:space="preserve"> </w:t>
            </w:r>
            <w:r w:rsidRPr="002029AF">
              <w:t>for</w:t>
            </w:r>
            <w:r w:rsidR="000A5329" w:rsidRPr="002029AF">
              <w:t xml:space="preserve"> </w:t>
            </w:r>
            <w:r w:rsidRPr="002029AF">
              <w:t>sale</w:t>
            </w:r>
          </w:p>
        </w:tc>
        <w:tc>
          <w:tcPr>
            <w:tcW w:w="1418" w:type="dxa"/>
            <w:noWrap/>
            <w:hideMark/>
          </w:tcPr>
          <w:p w14:paraId="05097D31" w14:textId="77777777" w:rsidR="00087B91" w:rsidRPr="002029AF" w:rsidRDefault="00087B91" w:rsidP="00860E95">
            <w:pPr>
              <w:pStyle w:val="ARfintablebodyrightbold"/>
            </w:pPr>
            <w:r w:rsidRPr="002029AF">
              <w:t>4.5</w:t>
            </w:r>
          </w:p>
        </w:tc>
        <w:tc>
          <w:tcPr>
            <w:tcW w:w="1417" w:type="dxa"/>
            <w:noWrap/>
            <w:hideMark/>
          </w:tcPr>
          <w:p w14:paraId="58146BCF" w14:textId="77777777" w:rsidR="00087B91" w:rsidRPr="002029AF" w:rsidRDefault="00087B91" w:rsidP="00860E95">
            <w:pPr>
              <w:pStyle w:val="ARfintablebodyrightbold"/>
            </w:pPr>
            <w:r w:rsidRPr="002029AF">
              <w:t>–</w:t>
            </w:r>
          </w:p>
        </w:tc>
        <w:tc>
          <w:tcPr>
            <w:tcW w:w="1417" w:type="dxa"/>
            <w:noWrap/>
            <w:hideMark/>
          </w:tcPr>
          <w:p w14:paraId="2278C815" w14:textId="77777777" w:rsidR="00087B91" w:rsidRPr="002029AF" w:rsidRDefault="00087B91" w:rsidP="00860E95">
            <w:pPr>
              <w:pStyle w:val="ARfintablebodyrightbold"/>
            </w:pPr>
            <w:r w:rsidRPr="002029AF">
              <w:t>4.5</w:t>
            </w:r>
          </w:p>
        </w:tc>
        <w:tc>
          <w:tcPr>
            <w:tcW w:w="1417" w:type="dxa"/>
            <w:noWrap/>
            <w:hideMark/>
          </w:tcPr>
          <w:p w14:paraId="0EA085FA" w14:textId="77777777" w:rsidR="00087B91" w:rsidRPr="002029AF" w:rsidRDefault="00087B91" w:rsidP="00860E95">
            <w:pPr>
              <w:pStyle w:val="ARfintablebodyrightbold"/>
            </w:pPr>
            <w:r w:rsidRPr="002029AF">
              <w:t>–</w:t>
            </w:r>
          </w:p>
        </w:tc>
      </w:tr>
    </w:tbl>
    <w:p w14:paraId="2B30BCF8" w14:textId="77777777" w:rsidR="00087B91" w:rsidRPr="002029AF" w:rsidRDefault="00087B91" w:rsidP="00087B91">
      <w:pPr>
        <w:pStyle w:val="ARfintablefootnote"/>
        <w:rPr>
          <w:lang w:eastAsia="en-AU"/>
        </w:rPr>
      </w:pPr>
      <w:r w:rsidRPr="002029AF">
        <w:rPr>
          <w:lang w:eastAsia="en-AU"/>
        </w:rPr>
        <w:t>Note:</w:t>
      </w:r>
    </w:p>
    <w:p w14:paraId="07CE3650" w14:textId="64B02033" w:rsidR="00087B91" w:rsidRPr="002029AF" w:rsidRDefault="00087B91" w:rsidP="00087B91">
      <w:pPr>
        <w:pStyle w:val="ARfintablefootnoteindent"/>
      </w:pPr>
      <w:r w:rsidRPr="002029AF">
        <w:t>(i)</w:t>
      </w:r>
      <w:r w:rsidRPr="002029AF">
        <w:tab/>
        <w:t>Classified</w:t>
      </w:r>
      <w:r w:rsidR="000A5329" w:rsidRPr="002029AF">
        <w:t xml:space="preserve"> </w:t>
      </w:r>
      <w:r w:rsidRPr="002029AF">
        <w:t>in</w:t>
      </w:r>
      <w:r w:rsidR="000A5329" w:rsidRPr="002029AF">
        <w:t xml:space="preserve"> </w:t>
      </w:r>
      <w:r w:rsidRPr="002029AF">
        <w:t>accordance</w:t>
      </w:r>
      <w:r w:rsidR="000A5329" w:rsidRPr="002029AF">
        <w:t xml:space="preserve"> </w:t>
      </w:r>
      <w:r w:rsidRPr="002029AF">
        <w:t>with</w:t>
      </w:r>
      <w:r w:rsidR="000A5329" w:rsidRPr="002029AF">
        <w:t xml:space="preserve"> </w:t>
      </w:r>
      <w:r w:rsidRPr="002029AF">
        <w:t>the</w:t>
      </w:r>
      <w:r w:rsidR="000A5329" w:rsidRPr="002029AF">
        <w:t xml:space="preserve"> </w:t>
      </w:r>
      <w:r w:rsidRPr="002029AF">
        <w:t>fair</w:t>
      </w:r>
      <w:r w:rsidR="000A5329" w:rsidRPr="002029AF">
        <w:t xml:space="preserve"> </w:t>
      </w:r>
      <w:r w:rsidRPr="002029AF">
        <w:t>value</w:t>
      </w:r>
      <w:r w:rsidR="000A5329" w:rsidRPr="002029AF">
        <w:t xml:space="preserve"> </w:t>
      </w:r>
      <w:r w:rsidRPr="002029AF">
        <w:t>hierarchy.</w:t>
      </w:r>
    </w:p>
    <w:p w14:paraId="0D0641BB" w14:textId="3215993E" w:rsidR="00087B91" w:rsidRPr="002029AF" w:rsidRDefault="00087B91" w:rsidP="00087B91">
      <w:pPr>
        <w:pStyle w:val="ARfinbodyaftertable"/>
      </w:pPr>
      <w:r w:rsidRPr="002029AF">
        <w:t>There</w:t>
      </w:r>
      <w:r w:rsidR="000A5329" w:rsidRPr="002029AF">
        <w:t xml:space="preserve"> </w:t>
      </w:r>
      <w:r w:rsidRPr="002029AF">
        <w:t>have</w:t>
      </w:r>
      <w:r w:rsidR="000A5329" w:rsidRPr="002029AF">
        <w:t xml:space="preserve"> </w:t>
      </w:r>
      <w:r w:rsidRPr="002029AF">
        <w:t>been</w:t>
      </w:r>
      <w:r w:rsidR="000A5329" w:rsidRPr="002029AF">
        <w:t xml:space="preserve"> </w:t>
      </w:r>
      <w:r w:rsidRPr="002029AF">
        <w:t>no</w:t>
      </w:r>
      <w:r w:rsidR="000A5329" w:rsidRPr="002029AF">
        <w:t xml:space="preserve"> </w:t>
      </w:r>
      <w:r w:rsidRPr="002029AF">
        <w:t>transfers</w:t>
      </w:r>
      <w:r w:rsidR="000A5329" w:rsidRPr="002029AF">
        <w:t xml:space="preserve"> </w:t>
      </w:r>
      <w:r w:rsidRPr="002029AF">
        <w:t>between</w:t>
      </w:r>
      <w:r w:rsidR="000A5329" w:rsidRPr="002029AF">
        <w:t xml:space="preserve"> </w:t>
      </w:r>
      <w:r w:rsidRPr="002029AF">
        <w:t>levels</w:t>
      </w:r>
      <w:r w:rsidR="000A5329" w:rsidRPr="002029AF">
        <w:t xml:space="preserve"> </w:t>
      </w:r>
      <w:r w:rsidRPr="002029AF">
        <w:t>during</w:t>
      </w:r>
      <w:r w:rsidR="000A5329" w:rsidRPr="002029AF">
        <w:t xml:space="preserve"> </w:t>
      </w:r>
      <w:r w:rsidRPr="002029AF">
        <w:t>2019–20.</w:t>
      </w:r>
    </w:p>
    <w:p w14:paraId="44144BEB" w14:textId="77777777" w:rsidR="00087B91" w:rsidRPr="002029AF" w:rsidRDefault="00087B91" w:rsidP="00087B91">
      <w:pPr>
        <w:pStyle w:val="ARfinbody"/>
      </w:pPr>
      <w:r w:rsidRPr="002029AF">
        <w:br w:type="page"/>
      </w:r>
    </w:p>
    <w:p w14:paraId="59B15DEC" w14:textId="211E8D17" w:rsidR="00087B91" w:rsidRPr="002029AF" w:rsidRDefault="00087B91" w:rsidP="00087B91">
      <w:pPr>
        <w:pStyle w:val="Heading3"/>
      </w:pPr>
      <w:bookmarkStart w:id="384" w:name="_Toc51235520"/>
      <w:bookmarkStart w:id="385" w:name="_Ref52273161"/>
      <w:bookmarkStart w:id="386" w:name="_Ref52275184"/>
      <w:bookmarkStart w:id="387" w:name="_Ref52283367"/>
      <w:bookmarkStart w:id="388" w:name="_Ref52283859"/>
      <w:bookmarkStart w:id="389" w:name="_Ref52284292"/>
      <w:bookmarkStart w:id="390" w:name="_Toc54690819"/>
      <w:r w:rsidRPr="002029AF">
        <w:lastRenderedPageBreak/>
        <w:t>9.</w:t>
      </w:r>
      <w:r w:rsidR="000A5329" w:rsidRPr="002029AF">
        <w:t xml:space="preserve"> </w:t>
      </w:r>
      <w:r w:rsidRPr="002029AF">
        <w:t>Other</w:t>
      </w:r>
      <w:r w:rsidR="000A5329" w:rsidRPr="002029AF">
        <w:t xml:space="preserve"> </w:t>
      </w:r>
      <w:r w:rsidRPr="002029AF">
        <w:t>disclosures</w:t>
      </w:r>
      <w:bookmarkEnd w:id="384"/>
      <w:bookmarkEnd w:id="385"/>
      <w:bookmarkEnd w:id="386"/>
      <w:bookmarkEnd w:id="387"/>
      <w:bookmarkEnd w:id="388"/>
      <w:bookmarkEnd w:id="389"/>
      <w:bookmarkEnd w:id="390"/>
    </w:p>
    <w:p w14:paraId="046D01A0" w14:textId="77777777" w:rsidR="00087B91" w:rsidRPr="002029AF" w:rsidRDefault="00087B91" w:rsidP="00087B91">
      <w:pPr>
        <w:pStyle w:val="Heading4"/>
      </w:pPr>
      <w:r w:rsidRPr="002029AF">
        <w:t>Introduction</w:t>
      </w:r>
    </w:p>
    <w:p w14:paraId="64E41743" w14:textId="04B1692B" w:rsidR="00087B91" w:rsidRPr="002029AF" w:rsidRDefault="00087B91" w:rsidP="00087B91">
      <w:pPr>
        <w:pStyle w:val="ARfinbody"/>
      </w:pPr>
      <w:r w:rsidRPr="002029AF">
        <w:t>This</w:t>
      </w:r>
      <w:r w:rsidR="000A5329" w:rsidRPr="002029AF">
        <w:t xml:space="preserve"> </w:t>
      </w:r>
      <w:r w:rsidRPr="002029AF">
        <w:t>section</w:t>
      </w:r>
      <w:r w:rsidR="000A5329" w:rsidRPr="002029AF">
        <w:t xml:space="preserve"> </w:t>
      </w:r>
      <w:r w:rsidRPr="002029AF">
        <w:t>includes</w:t>
      </w:r>
      <w:r w:rsidR="000A5329" w:rsidRPr="002029AF">
        <w:t xml:space="preserve"> </w:t>
      </w:r>
      <w:r w:rsidRPr="002029AF">
        <w:t>additional</w:t>
      </w:r>
      <w:r w:rsidR="000A5329" w:rsidRPr="002029AF">
        <w:t xml:space="preserve"> </w:t>
      </w:r>
      <w:r w:rsidRPr="002029AF">
        <w:t>material</w:t>
      </w:r>
      <w:r w:rsidR="000A5329" w:rsidRPr="002029AF">
        <w:t xml:space="preserve"> </w:t>
      </w:r>
      <w:r w:rsidRPr="002029AF">
        <w:t>disclosures</w:t>
      </w:r>
      <w:r w:rsidR="000A5329" w:rsidRPr="002029AF">
        <w:t xml:space="preserve"> </w:t>
      </w:r>
      <w:r w:rsidRPr="002029AF">
        <w:t>required</w:t>
      </w:r>
      <w:r w:rsidR="000A5329" w:rsidRPr="002029AF">
        <w:t xml:space="preserve"> </w:t>
      </w:r>
      <w:r w:rsidRPr="002029AF">
        <w:t>by</w:t>
      </w:r>
      <w:r w:rsidR="000A5329" w:rsidRPr="002029AF">
        <w:t xml:space="preserve"> </w:t>
      </w:r>
      <w:r w:rsidRPr="002029AF">
        <w:t>accounting</w:t>
      </w:r>
      <w:r w:rsidR="000A5329" w:rsidRPr="002029AF">
        <w:t xml:space="preserve"> </w:t>
      </w:r>
      <w:r w:rsidRPr="002029AF">
        <w:t>standards</w:t>
      </w:r>
      <w:r w:rsidR="000A5329" w:rsidRPr="002029AF">
        <w:t xml:space="preserve"> </w:t>
      </w:r>
      <w:r w:rsidRPr="002029AF">
        <w:t>or</w:t>
      </w:r>
      <w:r w:rsidR="000A5329" w:rsidRPr="002029AF">
        <w:t xml:space="preserve"> </w:t>
      </w:r>
      <w:r w:rsidRPr="002029AF">
        <w:t>otherwise,</w:t>
      </w:r>
      <w:r w:rsidR="000A5329" w:rsidRPr="002029AF">
        <w:t xml:space="preserve"> </w:t>
      </w:r>
      <w:r w:rsidRPr="002029AF">
        <w:t>for</w:t>
      </w:r>
      <w:r w:rsidR="000A5329" w:rsidRPr="002029AF">
        <w:t xml:space="preserve"> </w:t>
      </w:r>
      <w:r w:rsidRPr="002029AF">
        <w:t>the</w:t>
      </w:r>
      <w:r w:rsidR="000A5329" w:rsidRPr="002029AF">
        <w:t xml:space="preserve"> </w:t>
      </w:r>
      <w:r w:rsidRPr="002029AF">
        <w:t>understanding</w:t>
      </w:r>
      <w:r w:rsidR="000A5329" w:rsidRPr="002029AF">
        <w:t xml:space="preserve"> </w:t>
      </w:r>
      <w:r w:rsidRPr="002029AF">
        <w:t>of</w:t>
      </w:r>
      <w:r w:rsidR="000A5329" w:rsidRPr="002029AF">
        <w:t xml:space="preserve"> </w:t>
      </w:r>
      <w:r w:rsidRPr="002029AF">
        <w:t>this</w:t>
      </w:r>
      <w:r w:rsidR="000A5329" w:rsidRPr="002029AF">
        <w:t xml:space="preserve"> </w:t>
      </w:r>
      <w:r w:rsidRPr="002029AF">
        <w:t>financial</w:t>
      </w:r>
      <w:r w:rsidR="000A5329" w:rsidRPr="002029AF">
        <w:t xml:space="preserve"> </w:t>
      </w:r>
      <w:r w:rsidRPr="002029AF">
        <w:t>report.</w:t>
      </w:r>
    </w:p>
    <w:p w14:paraId="1D5D51C3" w14:textId="77777777" w:rsidR="00087B91" w:rsidRPr="002029AF" w:rsidRDefault="00087B91" w:rsidP="00087B91">
      <w:pPr>
        <w:pStyle w:val="Heading4"/>
      </w:pPr>
      <w:r w:rsidRPr="002029AF">
        <w:t>Structure</w:t>
      </w:r>
    </w:p>
    <w:p w14:paraId="20167950" w14:textId="4A33A8AB" w:rsidR="00087B91" w:rsidRPr="002029AF" w:rsidRDefault="00087B91" w:rsidP="00087B91">
      <w:pPr>
        <w:pStyle w:val="ARfinstructure1"/>
      </w:pPr>
      <w:r w:rsidRPr="002029AF">
        <w:t>9.1</w:t>
      </w:r>
      <w:r w:rsidRPr="002029AF">
        <w:tab/>
        <w:t>Ex-gratia</w:t>
      </w:r>
      <w:r w:rsidR="000A5329" w:rsidRPr="002029AF">
        <w:t xml:space="preserve"> </w:t>
      </w:r>
      <w:r w:rsidRPr="002029AF">
        <w:t>expenses</w:t>
      </w:r>
    </w:p>
    <w:p w14:paraId="1938B2E1" w14:textId="6487F686" w:rsidR="00087B91" w:rsidRPr="002029AF" w:rsidRDefault="00087B91" w:rsidP="00087B91">
      <w:pPr>
        <w:pStyle w:val="ARfinstructure1"/>
      </w:pPr>
      <w:r w:rsidRPr="002029AF">
        <w:t>9.2</w:t>
      </w:r>
      <w:r w:rsidRPr="002029AF">
        <w:tab/>
        <w:t>Other</w:t>
      </w:r>
      <w:r w:rsidR="000A5329" w:rsidRPr="002029AF">
        <w:t xml:space="preserve"> </w:t>
      </w:r>
      <w:r w:rsidRPr="002029AF">
        <w:t>economic</w:t>
      </w:r>
      <w:r w:rsidR="000A5329" w:rsidRPr="002029AF">
        <w:t xml:space="preserve"> </w:t>
      </w:r>
      <w:r w:rsidRPr="002029AF">
        <w:t>flows</w:t>
      </w:r>
      <w:r w:rsidR="000A5329" w:rsidRPr="002029AF">
        <w:t xml:space="preserve"> </w:t>
      </w:r>
      <w:r w:rsidRPr="002029AF">
        <w:t>included</w:t>
      </w:r>
      <w:r w:rsidR="000A5329" w:rsidRPr="002029AF">
        <w:t xml:space="preserve"> </w:t>
      </w:r>
      <w:r w:rsidRPr="002029AF">
        <w:t>in</w:t>
      </w:r>
      <w:r w:rsidR="000A5329" w:rsidRPr="002029AF">
        <w:t xml:space="preserve"> </w:t>
      </w:r>
      <w:r w:rsidRPr="002029AF">
        <w:t>net</w:t>
      </w:r>
      <w:r w:rsidR="000A5329" w:rsidRPr="002029AF">
        <w:t xml:space="preserve"> </w:t>
      </w:r>
      <w:r w:rsidRPr="002029AF">
        <w:t>result</w:t>
      </w:r>
    </w:p>
    <w:p w14:paraId="2F3319C9" w14:textId="085C0C20" w:rsidR="00087B91" w:rsidRPr="002029AF" w:rsidRDefault="00087B91" w:rsidP="00087B91">
      <w:pPr>
        <w:pStyle w:val="ARfinstructure1"/>
      </w:pPr>
      <w:r w:rsidRPr="002029AF">
        <w:t>9.3</w:t>
      </w:r>
      <w:r w:rsidRPr="002029AF">
        <w:tab/>
        <w:t>Non-financial</w:t>
      </w:r>
      <w:r w:rsidR="000A5329" w:rsidRPr="002029AF">
        <w:t xml:space="preserve"> </w:t>
      </w:r>
      <w:r w:rsidRPr="002029AF">
        <w:t>assets</w:t>
      </w:r>
      <w:r w:rsidR="000A5329" w:rsidRPr="002029AF">
        <w:t xml:space="preserve"> </w:t>
      </w:r>
      <w:r w:rsidRPr="002029AF">
        <w:t>held</w:t>
      </w:r>
      <w:r w:rsidR="000A5329" w:rsidRPr="002029AF">
        <w:t xml:space="preserve"> </w:t>
      </w:r>
      <w:r w:rsidRPr="002029AF">
        <w:t>for</w:t>
      </w:r>
      <w:r w:rsidR="000A5329" w:rsidRPr="002029AF">
        <w:t xml:space="preserve"> </w:t>
      </w:r>
      <w:r w:rsidRPr="002029AF">
        <w:t>sale</w:t>
      </w:r>
    </w:p>
    <w:p w14:paraId="567108C3" w14:textId="77777777" w:rsidR="00087B91" w:rsidRPr="002029AF" w:rsidRDefault="00087B91" w:rsidP="00087B91">
      <w:pPr>
        <w:pStyle w:val="ARfinstructure1"/>
      </w:pPr>
      <w:r w:rsidRPr="002029AF">
        <w:t>9.4</w:t>
      </w:r>
      <w:r w:rsidRPr="002029AF">
        <w:tab/>
        <w:t>Reserves</w:t>
      </w:r>
    </w:p>
    <w:p w14:paraId="496A0B63" w14:textId="6BBA1B29" w:rsidR="00087B91" w:rsidRPr="002029AF" w:rsidRDefault="00087B91" w:rsidP="00087B91">
      <w:pPr>
        <w:pStyle w:val="ARfinstructure1"/>
      </w:pPr>
      <w:r w:rsidRPr="002029AF">
        <w:t>9.5</w:t>
      </w:r>
      <w:r w:rsidRPr="002029AF">
        <w:tab/>
        <w:t>Entities</w:t>
      </w:r>
      <w:r w:rsidR="000A5329" w:rsidRPr="002029AF">
        <w:t xml:space="preserve"> </w:t>
      </w:r>
      <w:r w:rsidRPr="002029AF">
        <w:t>consolidated</w:t>
      </w:r>
      <w:r w:rsidR="000A5329" w:rsidRPr="002029AF">
        <w:t xml:space="preserve"> </w:t>
      </w:r>
      <w:r w:rsidRPr="002029AF">
        <w:t>pursuant</w:t>
      </w:r>
      <w:r w:rsidR="000A5329" w:rsidRPr="002029AF">
        <w:t xml:space="preserve"> </w:t>
      </w:r>
      <w:r w:rsidRPr="002029AF">
        <w:t>to</w:t>
      </w:r>
      <w:r w:rsidR="000A5329" w:rsidRPr="002029AF">
        <w:t xml:space="preserve"> </w:t>
      </w:r>
      <w:r w:rsidRPr="002029AF">
        <w:t>s.</w:t>
      </w:r>
      <w:r w:rsidR="000A5329" w:rsidRPr="002029AF">
        <w:t xml:space="preserve"> </w:t>
      </w:r>
      <w:r w:rsidRPr="002029AF">
        <w:t>53(1)(b)</w:t>
      </w:r>
      <w:r w:rsidR="000A5329" w:rsidRPr="002029AF">
        <w:t xml:space="preserve"> </w:t>
      </w:r>
      <w:r w:rsidRPr="002029AF">
        <w:t>of</w:t>
      </w:r>
      <w:r w:rsidR="000A5329" w:rsidRPr="002029AF">
        <w:t xml:space="preserve"> </w:t>
      </w:r>
      <w:r w:rsidRPr="002029AF">
        <w:t>the</w:t>
      </w:r>
      <w:r w:rsidR="000A5329" w:rsidRPr="002029AF">
        <w:t xml:space="preserve"> </w:t>
      </w:r>
      <w:r w:rsidRPr="002029AF">
        <w:t>FMA</w:t>
      </w:r>
    </w:p>
    <w:p w14:paraId="0443BA0C" w14:textId="65BFB536" w:rsidR="00087B91" w:rsidRPr="002029AF" w:rsidRDefault="00087B91" w:rsidP="00087B91">
      <w:pPr>
        <w:pStyle w:val="ARfinstructure1"/>
      </w:pPr>
      <w:r w:rsidRPr="002029AF">
        <w:t>9.6</w:t>
      </w:r>
      <w:r w:rsidRPr="002029AF">
        <w:tab/>
        <w:t>Responsible</w:t>
      </w:r>
      <w:r w:rsidR="000A5329" w:rsidRPr="002029AF">
        <w:t xml:space="preserve"> </w:t>
      </w:r>
      <w:r w:rsidRPr="002029AF">
        <w:t>persons</w:t>
      </w:r>
    </w:p>
    <w:p w14:paraId="3545131C" w14:textId="532AB2A2" w:rsidR="00087B91" w:rsidRPr="002029AF" w:rsidRDefault="00087B91" w:rsidP="00087B91">
      <w:pPr>
        <w:pStyle w:val="ARfinstructure1"/>
      </w:pPr>
      <w:r w:rsidRPr="002029AF">
        <w:t>9.7</w:t>
      </w:r>
      <w:r w:rsidRPr="002029AF">
        <w:tab/>
        <w:t>Remuneration</w:t>
      </w:r>
      <w:r w:rsidR="000A5329" w:rsidRPr="002029AF">
        <w:t xml:space="preserve"> </w:t>
      </w:r>
      <w:r w:rsidRPr="002029AF">
        <w:t>of</w:t>
      </w:r>
      <w:r w:rsidR="000A5329" w:rsidRPr="002029AF">
        <w:t xml:space="preserve"> </w:t>
      </w:r>
      <w:r w:rsidRPr="002029AF">
        <w:t>executives</w:t>
      </w:r>
    </w:p>
    <w:p w14:paraId="35FAEE37" w14:textId="19E95EC3" w:rsidR="00087B91" w:rsidRPr="002029AF" w:rsidRDefault="00087B91" w:rsidP="00087B91">
      <w:pPr>
        <w:pStyle w:val="ARfinstructure1"/>
      </w:pPr>
      <w:r w:rsidRPr="002029AF">
        <w:t>9.8</w:t>
      </w:r>
      <w:r w:rsidRPr="002029AF">
        <w:tab/>
        <w:t>Related</w:t>
      </w:r>
      <w:r w:rsidR="000A5329" w:rsidRPr="002029AF">
        <w:t xml:space="preserve"> </w:t>
      </w:r>
      <w:r w:rsidRPr="002029AF">
        <w:t>parties</w:t>
      </w:r>
    </w:p>
    <w:p w14:paraId="76919409" w14:textId="3F0EEB7B" w:rsidR="00087B91" w:rsidRPr="002029AF" w:rsidRDefault="00087B91" w:rsidP="00087B91">
      <w:pPr>
        <w:pStyle w:val="ARfinstructure1"/>
      </w:pPr>
      <w:r w:rsidRPr="002029AF">
        <w:t>9.9</w:t>
      </w:r>
      <w:r w:rsidRPr="002029AF">
        <w:tab/>
        <w:t>Remuneration</w:t>
      </w:r>
      <w:r w:rsidR="000A5329" w:rsidRPr="002029AF">
        <w:t xml:space="preserve"> </w:t>
      </w:r>
      <w:r w:rsidRPr="002029AF">
        <w:t>of</w:t>
      </w:r>
      <w:r w:rsidR="000A5329" w:rsidRPr="002029AF">
        <w:t xml:space="preserve"> </w:t>
      </w:r>
      <w:r w:rsidRPr="002029AF">
        <w:t>auditors</w:t>
      </w:r>
    </w:p>
    <w:p w14:paraId="49E9183A" w14:textId="73E5428D" w:rsidR="00087B91" w:rsidRPr="002029AF" w:rsidRDefault="00087B91" w:rsidP="00087B91">
      <w:pPr>
        <w:pStyle w:val="ARfinstructure1"/>
      </w:pPr>
      <w:r w:rsidRPr="002029AF">
        <w:t>9.10</w:t>
      </w:r>
      <w:r w:rsidRPr="002029AF">
        <w:tab/>
        <w:t>Subsequent</w:t>
      </w:r>
      <w:r w:rsidR="000A5329" w:rsidRPr="002029AF">
        <w:t xml:space="preserve"> </w:t>
      </w:r>
      <w:r w:rsidRPr="002029AF">
        <w:t>events</w:t>
      </w:r>
    </w:p>
    <w:p w14:paraId="0E5345C3" w14:textId="04ECB182" w:rsidR="00087B91" w:rsidRPr="002029AF" w:rsidRDefault="00087B91" w:rsidP="00087B91">
      <w:pPr>
        <w:pStyle w:val="ARfinstructure1"/>
      </w:pPr>
      <w:r w:rsidRPr="002029AF">
        <w:t>9.11</w:t>
      </w:r>
      <w:r w:rsidRPr="002029AF">
        <w:tab/>
        <w:t>Other</w:t>
      </w:r>
      <w:r w:rsidR="000A5329" w:rsidRPr="002029AF">
        <w:t xml:space="preserve"> </w:t>
      </w:r>
      <w:r w:rsidRPr="002029AF">
        <w:t>accounting</w:t>
      </w:r>
      <w:r w:rsidR="000A5329" w:rsidRPr="002029AF">
        <w:t xml:space="preserve"> </w:t>
      </w:r>
      <w:r w:rsidRPr="002029AF">
        <w:t>policies</w:t>
      </w:r>
    </w:p>
    <w:p w14:paraId="2BA7F167" w14:textId="29D758CD" w:rsidR="00087B91" w:rsidRPr="002029AF" w:rsidRDefault="00087B91" w:rsidP="00087B91">
      <w:pPr>
        <w:pStyle w:val="ARfinstructure1"/>
      </w:pPr>
      <w:r w:rsidRPr="002029AF">
        <w:t>9.12</w:t>
      </w:r>
      <w:r w:rsidRPr="002029AF">
        <w:tab/>
        <w:t>Change</w:t>
      </w:r>
      <w:r w:rsidR="000A5329" w:rsidRPr="002029AF">
        <w:t xml:space="preserve"> </w:t>
      </w:r>
      <w:r w:rsidRPr="002029AF">
        <w:t>in</w:t>
      </w:r>
      <w:r w:rsidR="000A5329" w:rsidRPr="002029AF">
        <w:t xml:space="preserve"> </w:t>
      </w:r>
      <w:r w:rsidRPr="002029AF">
        <w:t>accounting</w:t>
      </w:r>
      <w:r w:rsidR="000A5329" w:rsidRPr="002029AF">
        <w:t xml:space="preserve"> </w:t>
      </w:r>
      <w:r w:rsidRPr="002029AF">
        <w:t>policies</w:t>
      </w:r>
    </w:p>
    <w:p w14:paraId="64E4D2A9" w14:textId="5060EB08" w:rsidR="00087B91" w:rsidRPr="002029AF" w:rsidRDefault="00087B91" w:rsidP="00961519">
      <w:pPr>
        <w:pStyle w:val="ARfinstructure2"/>
        <w:ind w:left="720"/>
      </w:pPr>
      <w:r w:rsidRPr="002029AF">
        <w:t>9.12.1</w:t>
      </w:r>
      <w:r w:rsidR="00E40AFC">
        <w:tab/>
      </w:r>
      <w:r w:rsidRPr="002029AF">
        <w:t>Leases</w:t>
      </w:r>
    </w:p>
    <w:p w14:paraId="397279DB" w14:textId="03755222" w:rsidR="00087B91" w:rsidRPr="002029AF" w:rsidRDefault="00087B91" w:rsidP="00961519">
      <w:pPr>
        <w:pStyle w:val="ARfinstructure2"/>
        <w:ind w:left="720"/>
      </w:pPr>
      <w:r w:rsidRPr="002029AF">
        <w:t>9.12.2</w:t>
      </w:r>
      <w:r w:rsidR="00E40AFC">
        <w:tab/>
      </w:r>
      <w:r w:rsidRPr="002029AF">
        <w:t>Service</w:t>
      </w:r>
      <w:r w:rsidR="000A5329" w:rsidRPr="002029AF">
        <w:t xml:space="preserve"> </w:t>
      </w:r>
      <w:r w:rsidRPr="002029AF">
        <w:t>Concession</w:t>
      </w:r>
      <w:r w:rsidR="000A5329" w:rsidRPr="002029AF">
        <w:t xml:space="preserve"> </w:t>
      </w:r>
      <w:r w:rsidRPr="002029AF">
        <w:t>Arrangements:</w:t>
      </w:r>
      <w:r w:rsidR="000A5329" w:rsidRPr="002029AF">
        <w:t xml:space="preserve"> </w:t>
      </w:r>
      <w:r w:rsidRPr="002029AF">
        <w:t>Grantors</w:t>
      </w:r>
    </w:p>
    <w:p w14:paraId="77B9A5F0" w14:textId="15BD8B17" w:rsidR="00087B91" w:rsidRPr="002029AF" w:rsidRDefault="00087B91" w:rsidP="00961519">
      <w:pPr>
        <w:pStyle w:val="ARfinstructure2"/>
        <w:ind w:left="720"/>
      </w:pPr>
      <w:r w:rsidRPr="002029AF">
        <w:t>9.12.3</w:t>
      </w:r>
      <w:r w:rsidR="00E40AFC">
        <w:tab/>
      </w:r>
      <w:r w:rsidRPr="002029AF">
        <w:t>Revenue</w:t>
      </w:r>
      <w:r w:rsidR="000A5329" w:rsidRPr="002029AF">
        <w:t xml:space="preserve"> </w:t>
      </w:r>
      <w:r w:rsidRPr="002029AF">
        <w:t>from</w:t>
      </w:r>
      <w:r w:rsidR="000A5329" w:rsidRPr="002029AF">
        <w:t xml:space="preserve"> </w:t>
      </w:r>
      <w:r w:rsidRPr="002029AF">
        <w:t>Contracts</w:t>
      </w:r>
      <w:r w:rsidR="000A5329" w:rsidRPr="002029AF">
        <w:t xml:space="preserve"> </w:t>
      </w:r>
      <w:r w:rsidRPr="002029AF">
        <w:t>with</w:t>
      </w:r>
      <w:r w:rsidR="000A5329" w:rsidRPr="002029AF">
        <w:t xml:space="preserve"> </w:t>
      </w:r>
      <w:r w:rsidRPr="002029AF">
        <w:t>Customers</w:t>
      </w:r>
    </w:p>
    <w:p w14:paraId="281FF128" w14:textId="0C8ECA54" w:rsidR="00087B91" w:rsidRPr="002029AF" w:rsidRDefault="00087B91" w:rsidP="00961519">
      <w:pPr>
        <w:pStyle w:val="ARfinstructure2"/>
        <w:ind w:left="720"/>
      </w:pPr>
      <w:r w:rsidRPr="002029AF">
        <w:t>9.12.4</w:t>
      </w:r>
      <w:r w:rsidR="00E40AFC">
        <w:tab/>
      </w:r>
      <w:r w:rsidRPr="002029AF">
        <w:t>Income</w:t>
      </w:r>
      <w:r w:rsidR="000A5329" w:rsidRPr="002029AF">
        <w:t xml:space="preserve"> </w:t>
      </w:r>
      <w:r w:rsidRPr="002029AF">
        <w:t>of</w:t>
      </w:r>
      <w:r w:rsidR="000A5329" w:rsidRPr="002029AF">
        <w:t xml:space="preserve"> </w:t>
      </w:r>
      <w:r w:rsidRPr="002029AF">
        <w:t>Not-for-Profit</w:t>
      </w:r>
      <w:r w:rsidR="000A5329" w:rsidRPr="002029AF">
        <w:t xml:space="preserve"> </w:t>
      </w:r>
      <w:r w:rsidRPr="002029AF">
        <w:t>Entities</w:t>
      </w:r>
    </w:p>
    <w:p w14:paraId="6C7366DE" w14:textId="33C7264E" w:rsidR="00087B91" w:rsidRPr="002029AF" w:rsidRDefault="00087B91" w:rsidP="00961519">
      <w:pPr>
        <w:pStyle w:val="ARfinstructure2"/>
        <w:ind w:left="720"/>
      </w:pPr>
      <w:r w:rsidRPr="002029AF">
        <w:t>9.12.5</w:t>
      </w:r>
      <w:r w:rsidR="00E40AFC">
        <w:tab/>
      </w:r>
      <w:r w:rsidRPr="002029AF">
        <w:t>Transition</w:t>
      </w:r>
      <w:r w:rsidR="000A5329" w:rsidRPr="002029AF">
        <w:t xml:space="preserve"> </w:t>
      </w:r>
      <w:r w:rsidRPr="002029AF">
        <w:t>impact</w:t>
      </w:r>
      <w:r w:rsidR="000A5329" w:rsidRPr="002029AF">
        <w:t xml:space="preserve"> </w:t>
      </w:r>
      <w:r w:rsidRPr="002029AF">
        <w:t>on</w:t>
      </w:r>
      <w:r w:rsidR="000A5329" w:rsidRPr="002029AF">
        <w:t xml:space="preserve"> </w:t>
      </w:r>
      <w:r w:rsidRPr="002029AF">
        <w:t>financial</w:t>
      </w:r>
      <w:r w:rsidR="000A5329" w:rsidRPr="002029AF">
        <w:t xml:space="preserve"> </w:t>
      </w:r>
      <w:r w:rsidRPr="002029AF">
        <w:t>statements</w:t>
      </w:r>
    </w:p>
    <w:p w14:paraId="223E3C99" w14:textId="77C8028D" w:rsidR="00087B91" w:rsidRPr="002029AF" w:rsidRDefault="00087B91" w:rsidP="00087B91">
      <w:pPr>
        <w:pStyle w:val="ARfinstructure1"/>
      </w:pPr>
      <w:r w:rsidRPr="002029AF">
        <w:t>9.13</w:t>
      </w:r>
      <w:r w:rsidRPr="002029AF">
        <w:tab/>
        <w:t>Australian</w:t>
      </w:r>
      <w:r w:rsidR="000A5329" w:rsidRPr="002029AF">
        <w:t xml:space="preserve"> </w:t>
      </w:r>
      <w:r w:rsidRPr="002029AF">
        <w:t>Accounting</w:t>
      </w:r>
      <w:r w:rsidR="000A5329" w:rsidRPr="002029AF">
        <w:t xml:space="preserve"> </w:t>
      </w:r>
      <w:r w:rsidRPr="002029AF">
        <w:t>Standards</w:t>
      </w:r>
      <w:r w:rsidR="000A5329" w:rsidRPr="002029AF">
        <w:t xml:space="preserve"> </w:t>
      </w:r>
      <w:r w:rsidRPr="002029AF">
        <w:t>issued</w:t>
      </w:r>
      <w:r w:rsidR="000A5329" w:rsidRPr="002029AF">
        <w:t xml:space="preserve"> </w:t>
      </w:r>
      <w:r w:rsidRPr="002029AF">
        <w:t>that</w:t>
      </w:r>
      <w:r w:rsidR="000A5329" w:rsidRPr="002029AF">
        <w:t xml:space="preserve"> </w:t>
      </w:r>
      <w:r w:rsidRPr="002029AF">
        <w:t>are</w:t>
      </w:r>
      <w:r w:rsidR="000A5329" w:rsidRPr="002029AF">
        <w:t xml:space="preserve"> </w:t>
      </w:r>
      <w:r w:rsidRPr="002029AF">
        <w:t>not</w:t>
      </w:r>
      <w:r w:rsidR="000A5329" w:rsidRPr="002029AF">
        <w:t xml:space="preserve"> </w:t>
      </w:r>
      <w:r w:rsidRPr="002029AF">
        <w:t>yet</w:t>
      </w:r>
      <w:r w:rsidR="000A5329" w:rsidRPr="002029AF">
        <w:t xml:space="preserve"> </w:t>
      </w:r>
      <w:r w:rsidRPr="002029AF">
        <w:t>effective</w:t>
      </w:r>
    </w:p>
    <w:p w14:paraId="48A78D6D" w14:textId="0285858C" w:rsidR="00087B91" w:rsidRPr="002029AF" w:rsidRDefault="00087B91" w:rsidP="00087B91">
      <w:pPr>
        <w:pStyle w:val="ARfinstructure1"/>
      </w:pPr>
      <w:r w:rsidRPr="002029AF">
        <w:t>9.14</w:t>
      </w:r>
      <w:r w:rsidRPr="002029AF">
        <w:tab/>
        <w:t>Glossary</w:t>
      </w:r>
      <w:r w:rsidR="000A5329" w:rsidRPr="002029AF">
        <w:t xml:space="preserve"> </w:t>
      </w:r>
      <w:r w:rsidRPr="002029AF">
        <w:t>of</w:t>
      </w:r>
      <w:r w:rsidR="000A5329" w:rsidRPr="002029AF">
        <w:t xml:space="preserve"> </w:t>
      </w:r>
      <w:r w:rsidRPr="002029AF">
        <w:t>technical</w:t>
      </w:r>
      <w:r w:rsidR="000A5329" w:rsidRPr="002029AF">
        <w:t xml:space="preserve"> </w:t>
      </w:r>
      <w:r w:rsidRPr="002029AF">
        <w:t>terms</w:t>
      </w:r>
    </w:p>
    <w:p w14:paraId="5EE97240" w14:textId="08DFC87E" w:rsidR="00087B91" w:rsidRPr="002029AF" w:rsidRDefault="00087B91" w:rsidP="00087B91">
      <w:pPr>
        <w:pStyle w:val="ARfinstructure1"/>
      </w:pPr>
      <w:r w:rsidRPr="002029AF">
        <w:t>9.15</w:t>
      </w:r>
      <w:r w:rsidRPr="002029AF">
        <w:tab/>
        <w:t>Style</w:t>
      </w:r>
      <w:r w:rsidR="000A5329" w:rsidRPr="002029AF">
        <w:t xml:space="preserve"> </w:t>
      </w:r>
      <w:r w:rsidRPr="002029AF">
        <w:t>conventions</w:t>
      </w:r>
    </w:p>
    <w:p w14:paraId="3CD0F16B" w14:textId="688EFBD6" w:rsidR="00087B91" w:rsidRPr="002029AF" w:rsidRDefault="00087B91" w:rsidP="00087B91">
      <w:pPr>
        <w:pStyle w:val="Heading4"/>
      </w:pPr>
      <w:bookmarkStart w:id="391" w:name="_Toc39242166"/>
      <w:bookmarkStart w:id="392" w:name="_Ref51926677"/>
      <w:bookmarkStart w:id="393" w:name="_Ref52454616"/>
      <w:r w:rsidRPr="002029AF">
        <w:t>9.1</w:t>
      </w:r>
      <w:r w:rsidR="000A5329" w:rsidRPr="002029AF">
        <w:t xml:space="preserve"> </w:t>
      </w:r>
      <w:r w:rsidRPr="002029AF">
        <w:t>Ex-gratia</w:t>
      </w:r>
      <w:r w:rsidR="000A5329" w:rsidRPr="002029AF">
        <w:t xml:space="preserve"> </w:t>
      </w:r>
      <w:r w:rsidRPr="002029AF">
        <w:t>expenses</w:t>
      </w:r>
      <w:bookmarkEnd w:id="391"/>
      <w:bookmarkEnd w:id="392"/>
      <w:bookmarkEnd w:id="393"/>
    </w:p>
    <w:p w14:paraId="36CA6C7D" w14:textId="219CFB9C" w:rsidR="00087B91" w:rsidRPr="002029AF" w:rsidRDefault="00087B91" w:rsidP="00087B91">
      <w:pPr>
        <w:pStyle w:val="ARfinbodylargespace"/>
      </w:pPr>
      <w:r w:rsidRPr="002029AF">
        <w:t>Ex-gratia</w:t>
      </w:r>
      <w:r w:rsidR="000A5329" w:rsidRPr="002029AF">
        <w:t xml:space="preserve"> </w:t>
      </w:r>
      <w:r w:rsidRPr="002029AF">
        <w:t>expenses</w:t>
      </w:r>
      <w:r w:rsidR="000A5329" w:rsidRPr="002029AF">
        <w:t xml:space="preserve"> </w:t>
      </w:r>
      <w:r w:rsidRPr="002029AF">
        <w:t>are</w:t>
      </w:r>
      <w:r w:rsidR="000A5329" w:rsidRPr="002029AF">
        <w:t xml:space="preserve"> </w:t>
      </w:r>
      <w:r w:rsidRPr="002029AF">
        <w:t>the</w:t>
      </w:r>
      <w:r w:rsidR="000A5329" w:rsidRPr="002029AF">
        <w:t xml:space="preserve"> </w:t>
      </w:r>
      <w:r w:rsidRPr="002029AF">
        <w:t>voluntary</w:t>
      </w:r>
      <w:r w:rsidR="000A5329" w:rsidRPr="002029AF">
        <w:t xml:space="preserve"> </w:t>
      </w:r>
      <w:r w:rsidRPr="002029AF">
        <w:t>payments</w:t>
      </w:r>
      <w:r w:rsidR="000A5329" w:rsidRPr="002029AF">
        <w:t xml:space="preserve"> </w:t>
      </w:r>
      <w:r w:rsidRPr="002029AF">
        <w:t>of</w:t>
      </w:r>
      <w:r w:rsidR="000A5329" w:rsidRPr="002029AF">
        <w:t xml:space="preserve"> </w:t>
      </w:r>
      <w:r w:rsidRPr="002029AF">
        <w:t>money</w:t>
      </w:r>
      <w:r w:rsidR="000A5329" w:rsidRPr="002029AF">
        <w:t xml:space="preserve"> </w:t>
      </w:r>
      <w:r w:rsidRPr="002029AF">
        <w:t>or</w:t>
      </w:r>
      <w:r w:rsidR="000A5329" w:rsidRPr="002029AF">
        <w:t xml:space="preserve"> </w:t>
      </w:r>
      <w:r w:rsidRPr="002029AF">
        <w:t>other</w:t>
      </w:r>
      <w:r w:rsidR="000A5329" w:rsidRPr="002029AF">
        <w:t xml:space="preserve"> </w:t>
      </w:r>
      <w:r w:rsidRPr="002029AF">
        <w:t>non-monetary</w:t>
      </w:r>
      <w:r w:rsidR="000A5329" w:rsidRPr="002029AF">
        <w:t xml:space="preserve"> </w:t>
      </w:r>
      <w:r w:rsidRPr="002029AF">
        <w:t>benefit</w:t>
      </w:r>
      <w:r w:rsidR="000A5329" w:rsidRPr="002029AF">
        <w:t xml:space="preserve"> </w:t>
      </w:r>
      <w:r w:rsidRPr="002029AF">
        <w:t>(for</w:t>
      </w:r>
      <w:r w:rsidR="000A5329" w:rsidRPr="002029AF">
        <w:t xml:space="preserve"> </w:t>
      </w:r>
      <w:r w:rsidRPr="002029AF">
        <w:t>example</w:t>
      </w:r>
      <w:r w:rsidR="000A5329" w:rsidRPr="002029AF">
        <w:t xml:space="preserve"> </w:t>
      </w:r>
      <w:r w:rsidRPr="002029AF">
        <w:t>a</w:t>
      </w:r>
      <w:r w:rsidR="000A5329" w:rsidRPr="002029AF">
        <w:t xml:space="preserve"> </w:t>
      </w:r>
      <w:r w:rsidRPr="002029AF">
        <w:t>write</w:t>
      </w:r>
      <w:r w:rsidR="000A5329" w:rsidRPr="002029AF">
        <w:t xml:space="preserve"> </w:t>
      </w:r>
      <w:r w:rsidRPr="002029AF">
        <w:t>off)</w:t>
      </w:r>
      <w:r w:rsidR="000A5329" w:rsidRPr="002029AF">
        <w:t xml:space="preserve"> </w:t>
      </w:r>
      <w:r w:rsidRPr="002029AF">
        <w:t>that</w:t>
      </w:r>
      <w:r w:rsidR="000A5329" w:rsidRPr="002029AF">
        <w:t xml:space="preserve"> </w:t>
      </w:r>
      <w:r w:rsidRPr="002029AF">
        <w:t>is</w:t>
      </w:r>
      <w:r w:rsidR="000A5329" w:rsidRPr="002029AF">
        <w:t xml:space="preserve"> </w:t>
      </w:r>
      <w:r w:rsidRPr="002029AF">
        <w:t>not</w:t>
      </w:r>
      <w:r w:rsidR="000A5329" w:rsidRPr="002029AF">
        <w:t xml:space="preserve"> </w:t>
      </w:r>
      <w:r w:rsidRPr="002029AF">
        <w:t>made</w:t>
      </w:r>
      <w:r w:rsidR="000A5329" w:rsidRPr="002029AF">
        <w:t xml:space="preserve"> </w:t>
      </w:r>
      <w:r w:rsidRPr="002029AF">
        <w:t>either</w:t>
      </w:r>
      <w:r w:rsidR="000A5329" w:rsidRPr="002029AF">
        <w:t xml:space="preserve"> </w:t>
      </w:r>
      <w:r w:rsidRPr="002029AF">
        <w:t>to</w:t>
      </w:r>
      <w:r w:rsidR="000A5329" w:rsidRPr="002029AF">
        <w:t xml:space="preserve"> </w:t>
      </w:r>
      <w:r w:rsidRPr="002029AF">
        <w:t>acquire</w:t>
      </w:r>
      <w:r w:rsidR="000A5329" w:rsidRPr="002029AF">
        <w:t xml:space="preserve"> </w:t>
      </w:r>
      <w:r w:rsidRPr="002029AF">
        <w:t>goods,</w:t>
      </w:r>
      <w:r w:rsidR="000A5329" w:rsidRPr="002029AF">
        <w:t xml:space="preserve"> </w:t>
      </w:r>
      <w:r w:rsidRPr="002029AF">
        <w:t>services</w:t>
      </w:r>
      <w:r w:rsidR="000A5329" w:rsidRPr="002029AF">
        <w:t xml:space="preserve"> </w:t>
      </w:r>
      <w:r w:rsidRPr="002029AF">
        <w:t>or</w:t>
      </w:r>
      <w:r w:rsidR="000A5329" w:rsidRPr="002029AF">
        <w:t xml:space="preserve"> </w:t>
      </w:r>
      <w:r w:rsidRPr="002029AF">
        <w:t>other</w:t>
      </w:r>
      <w:r w:rsidR="000A5329" w:rsidRPr="002029AF">
        <w:t xml:space="preserve"> </w:t>
      </w:r>
      <w:r w:rsidRPr="002029AF">
        <w:t>benefits</w:t>
      </w:r>
      <w:r w:rsidR="000A5329" w:rsidRPr="002029AF">
        <w:t xml:space="preserve"> </w:t>
      </w:r>
      <w:r w:rsidRPr="002029AF">
        <w:t>for</w:t>
      </w:r>
      <w:r w:rsidR="000A5329" w:rsidRPr="002029AF">
        <w:t xml:space="preserve"> </w:t>
      </w:r>
      <w:r w:rsidRPr="002029AF">
        <w:t>the</w:t>
      </w:r>
      <w:r w:rsidR="000A5329" w:rsidRPr="002029AF">
        <w:t xml:space="preserve"> </w:t>
      </w:r>
      <w:r w:rsidRPr="002029AF">
        <w:t>entity</w:t>
      </w:r>
      <w:r w:rsidR="000A5329" w:rsidRPr="002029AF">
        <w:t xml:space="preserve"> </w:t>
      </w:r>
      <w:r w:rsidRPr="002029AF">
        <w:t>or</w:t>
      </w:r>
      <w:r w:rsidR="000A5329" w:rsidRPr="002029AF">
        <w:t xml:space="preserve"> </w:t>
      </w:r>
      <w:r w:rsidRPr="002029AF">
        <w:t>to</w:t>
      </w:r>
      <w:r w:rsidR="000A5329" w:rsidRPr="002029AF">
        <w:t xml:space="preserve"> </w:t>
      </w:r>
      <w:r w:rsidRPr="002029AF">
        <w:t>meet</w:t>
      </w:r>
      <w:r w:rsidR="000A5329" w:rsidRPr="002029AF">
        <w:t xml:space="preserve"> </w:t>
      </w:r>
      <w:r w:rsidRPr="002029AF">
        <w:t>a</w:t>
      </w:r>
      <w:r w:rsidR="000A5329" w:rsidRPr="002029AF">
        <w:t xml:space="preserve"> </w:t>
      </w:r>
      <w:r w:rsidRPr="002029AF">
        <w:t>legal</w:t>
      </w:r>
      <w:r w:rsidR="000A5329" w:rsidRPr="002029AF">
        <w:t xml:space="preserve"> </w:t>
      </w:r>
      <w:r w:rsidRPr="002029AF">
        <w:t>liability,</w:t>
      </w:r>
      <w:r w:rsidR="000A5329" w:rsidRPr="002029AF">
        <w:t xml:space="preserve"> </w:t>
      </w:r>
      <w:r w:rsidRPr="002029AF">
        <w:t>or</w:t>
      </w:r>
      <w:r w:rsidR="000A5329" w:rsidRPr="002029AF">
        <w:t xml:space="preserve"> </w:t>
      </w:r>
      <w:r w:rsidRPr="002029AF">
        <w:t>to</w:t>
      </w:r>
      <w:r w:rsidR="000A5329" w:rsidRPr="002029AF">
        <w:t xml:space="preserve"> </w:t>
      </w:r>
      <w:r w:rsidRPr="002029AF">
        <w:t>settle</w:t>
      </w:r>
      <w:r w:rsidR="000A5329" w:rsidRPr="002029AF">
        <w:t xml:space="preserve"> </w:t>
      </w:r>
      <w:r w:rsidRPr="002029AF">
        <w:t>or</w:t>
      </w:r>
      <w:r w:rsidR="000A5329" w:rsidRPr="002029AF">
        <w:t xml:space="preserve"> </w:t>
      </w:r>
      <w:r w:rsidRPr="002029AF">
        <w:t>resolve</w:t>
      </w:r>
      <w:r w:rsidR="000A5329" w:rsidRPr="002029AF">
        <w:t xml:space="preserve"> </w:t>
      </w:r>
      <w:r w:rsidRPr="002029AF">
        <w:t>a</w:t>
      </w:r>
      <w:r w:rsidR="000A5329" w:rsidRPr="002029AF">
        <w:t xml:space="preserve"> </w:t>
      </w:r>
      <w:r w:rsidRPr="002029AF">
        <w:t>possible</w:t>
      </w:r>
      <w:r w:rsidR="000A5329" w:rsidRPr="002029AF">
        <w:t xml:space="preserve"> </w:t>
      </w:r>
      <w:r w:rsidRPr="002029AF">
        <w:t>legal</w:t>
      </w:r>
      <w:r w:rsidR="000A5329" w:rsidRPr="002029AF">
        <w:t xml:space="preserve"> </w:t>
      </w:r>
      <w:r w:rsidRPr="002029AF">
        <w:t>liability</w:t>
      </w:r>
      <w:r w:rsidR="000A5329" w:rsidRPr="002029AF">
        <w:t xml:space="preserve"> </w:t>
      </w:r>
      <w:r w:rsidRPr="002029AF">
        <w:t>of</w:t>
      </w:r>
      <w:r w:rsidR="000A5329" w:rsidRPr="002029AF">
        <w:t xml:space="preserve"> </w:t>
      </w:r>
      <w:r w:rsidRPr="002029AF">
        <w:t>or</w:t>
      </w:r>
      <w:r w:rsidR="000A5329" w:rsidRPr="002029AF">
        <w:t xml:space="preserve"> </w:t>
      </w:r>
      <w:r w:rsidRPr="002029AF">
        <w:t>claim</w:t>
      </w:r>
      <w:r w:rsidR="000A5329" w:rsidRPr="002029AF">
        <w:t xml:space="preserve"> </w:t>
      </w:r>
      <w:r w:rsidRPr="002029AF">
        <w:t>against</w:t>
      </w:r>
      <w:r w:rsidR="000A5329" w:rsidRPr="002029AF">
        <w:t xml:space="preserve"> </w:t>
      </w:r>
      <w:r w:rsidRPr="002029AF">
        <w:t>the</w:t>
      </w:r>
      <w:r w:rsidR="000A5329" w:rsidRPr="002029AF">
        <w:t xml:space="preserve"> </w:t>
      </w:r>
      <w:r w:rsidRPr="002029AF">
        <w:t>entity.</w:t>
      </w:r>
    </w:p>
    <w:tbl>
      <w:tblPr>
        <w:tblStyle w:val="TableGrid"/>
        <w:tblW w:w="9637" w:type="dxa"/>
        <w:tblLayout w:type="fixed"/>
        <w:tblLook w:val="06A0" w:firstRow="1" w:lastRow="0" w:firstColumn="1" w:lastColumn="0" w:noHBand="1" w:noVBand="1"/>
      </w:tblPr>
      <w:tblGrid>
        <w:gridCol w:w="7369"/>
        <w:gridCol w:w="1134"/>
        <w:gridCol w:w="1134"/>
      </w:tblGrid>
      <w:tr w:rsidR="00087B91" w:rsidRPr="002029AF" w14:paraId="656D8A60"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7371" w:type="dxa"/>
            <w:hideMark/>
          </w:tcPr>
          <w:p w14:paraId="0EB0D05A" w14:textId="77777777" w:rsidR="00087B91" w:rsidRPr="002029AF" w:rsidRDefault="00087B91" w:rsidP="005A1160">
            <w:pPr>
              <w:pStyle w:val="ARfintablecolhead"/>
            </w:pPr>
          </w:p>
        </w:tc>
        <w:tc>
          <w:tcPr>
            <w:tcW w:w="1134" w:type="dxa"/>
            <w:shd w:val="clear" w:color="auto" w:fill="E7E6E6"/>
            <w:hideMark/>
          </w:tcPr>
          <w:p w14:paraId="3035D77A" w14:textId="77777777" w:rsidR="00087B91" w:rsidRPr="002029AF" w:rsidRDefault="00087B91" w:rsidP="00860E95">
            <w:pPr>
              <w:pStyle w:val="ARfintablecolheadright"/>
            </w:pPr>
            <w:r w:rsidRPr="002029AF">
              <w:t>2020</w:t>
            </w:r>
          </w:p>
          <w:p w14:paraId="1C982170" w14:textId="77777777" w:rsidR="00087B91" w:rsidRPr="002029AF" w:rsidRDefault="00087B91" w:rsidP="00860E95">
            <w:pPr>
              <w:pStyle w:val="ARfintablecolheadright"/>
            </w:pPr>
            <w:r w:rsidRPr="002029AF">
              <w:t>$M</w:t>
            </w:r>
          </w:p>
        </w:tc>
        <w:tc>
          <w:tcPr>
            <w:tcW w:w="1134" w:type="dxa"/>
            <w:hideMark/>
          </w:tcPr>
          <w:p w14:paraId="13478F6C" w14:textId="77777777" w:rsidR="00087B91" w:rsidRPr="002029AF" w:rsidRDefault="00087B91" w:rsidP="00860E95">
            <w:pPr>
              <w:pStyle w:val="ARfintablecolheadright"/>
            </w:pPr>
            <w:r w:rsidRPr="002029AF">
              <w:t>2019</w:t>
            </w:r>
          </w:p>
          <w:p w14:paraId="3B55CB85" w14:textId="77777777" w:rsidR="00087B91" w:rsidRPr="002029AF" w:rsidRDefault="00087B91" w:rsidP="00860E95">
            <w:pPr>
              <w:pStyle w:val="ARfintablecolheadright"/>
            </w:pPr>
            <w:r w:rsidRPr="002029AF">
              <w:t>$M</w:t>
            </w:r>
          </w:p>
        </w:tc>
      </w:tr>
      <w:tr w:rsidR="00087B91" w:rsidRPr="002029AF" w14:paraId="5624EB4B" w14:textId="77777777" w:rsidTr="00860E95">
        <w:tc>
          <w:tcPr>
            <w:tcW w:w="7371" w:type="dxa"/>
            <w:hideMark/>
          </w:tcPr>
          <w:p w14:paraId="366275A5" w14:textId="03AAC84F" w:rsidR="00087B91" w:rsidRPr="002029AF" w:rsidRDefault="00087B91" w:rsidP="00860E95">
            <w:pPr>
              <w:pStyle w:val="ARfintablebody"/>
            </w:pPr>
            <w:r w:rsidRPr="002029AF">
              <w:t>Compensation</w:t>
            </w:r>
            <w:r w:rsidR="000A5329" w:rsidRPr="002029AF">
              <w:t xml:space="preserve"> </w:t>
            </w:r>
            <w:r w:rsidRPr="002029AF">
              <w:t>for</w:t>
            </w:r>
            <w:r w:rsidR="000A5329" w:rsidRPr="002029AF">
              <w:t xml:space="preserve"> </w:t>
            </w:r>
            <w:r w:rsidRPr="002029AF">
              <w:t>economic</w:t>
            </w:r>
            <w:r w:rsidR="000A5329" w:rsidRPr="002029AF">
              <w:t xml:space="preserve"> </w:t>
            </w:r>
            <w:r w:rsidRPr="002029AF">
              <w:t>loss</w:t>
            </w:r>
            <w:r w:rsidR="000A5329" w:rsidRPr="002029AF">
              <w:t xml:space="preserve"> </w:t>
            </w:r>
            <w:r w:rsidRPr="002029AF">
              <w:rPr>
                <w:rStyle w:val="Superscript"/>
              </w:rPr>
              <w:t>(i)</w:t>
            </w:r>
          </w:p>
        </w:tc>
        <w:tc>
          <w:tcPr>
            <w:tcW w:w="1134" w:type="dxa"/>
            <w:shd w:val="clear" w:color="auto" w:fill="E7E6E6"/>
            <w:noWrap/>
            <w:hideMark/>
          </w:tcPr>
          <w:p w14:paraId="7A47FC93" w14:textId="77777777" w:rsidR="00087B91" w:rsidRPr="002029AF" w:rsidRDefault="00087B91" w:rsidP="00860E95">
            <w:pPr>
              <w:pStyle w:val="ARfintablebodyright"/>
            </w:pPr>
            <w:r w:rsidRPr="002029AF">
              <w:t>–</w:t>
            </w:r>
          </w:p>
        </w:tc>
        <w:tc>
          <w:tcPr>
            <w:tcW w:w="1134" w:type="dxa"/>
            <w:noWrap/>
            <w:hideMark/>
          </w:tcPr>
          <w:p w14:paraId="36B1981A" w14:textId="77777777" w:rsidR="00087B91" w:rsidRPr="002029AF" w:rsidRDefault="00087B91" w:rsidP="00860E95">
            <w:pPr>
              <w:pStyle w:val="ARfintablebodyright"/>
            </w:pPr>
            <w:r w:rsidRPr="002029AF">
              <w:t>–</w:t>
            </w:r>
          </w:p>
        </w:tc>
      </w:tr>
      <w:tr w:rsidR="00087B91" w:rsidRPr="002029AF" w14:paraId="1519F542" w14:textId="77777777" w:rsidTr="00860E95">
        <w:tc>
          <w:tcPr>
            <w:tcW w:w="7371" w:type="dxa"/>
            <w:hideMark/>
          </w:tcPr>
          <w:p w14:paraId="616391E2" w14:textId="25E0F527" w:rsidR="00087B91" w:rsidRPr="002029AF" w:rsidRDefault="00087B91" w:rsidP="00860E95">
            <w:pPr>
              <w:pStyle w:val="ARfintablebodybold"/>
            </w:pPr>
            <w:r w:rsidRPr="002029AF">
              <w:t>Total</w:t>
            </w:r>
            <w:r w:rsidR="000A5329" w:rsidRPr="002029AF">
              <w:t xml:space="preserve"> </w:t>
            </w:r>
            <w:r w:rsidRPr="002029AF">
              <w:t>ex-gratia</w:t>
            </w:r>
            <w:r w:rsidR="000A5329" w:rsidRPr="002029AF">
              <w:t xml:space="preserve"> </w:t>
            </w:r>
            <w:r w:rsidRPr="002029AF">
              <w:t>expenses</w:t>
            </w:r>
          </w:p>
        </w:tc>
        <w:tc>
          <w:tcPr>
            <w:tcW w:w="1134" w:type="dxa"/>
            <w:shd w:val="clear" w:color="auto" w:fill="E7E6E6"/>
            <w:noWrap/>
            <w:hideMark/>
          </w:tcPr>
          <w:p w14:paraId="43E06BAF" w14:textId="77777777" w:rsidR="00087B91" w:rsidRPr="002029AF" w:rsidRDefault="00087B91" w:rsidP="00860E95">
            <w:pPr>
              <w:pStyle w:val="ARfintablebodyrightbold"/>
            </w:pPr>
            <w:r w:rsidRPr="002029AF">
              <w:t>–</w:t>
            </w:r>
          </w:p>
        </w:tc>
        <w:tc>
          <w:tcPr>
            <w:tcW w:w="1134" w:type="dxa"/>
            <w:noWrap/>
            <w:hideMark/>
          </w:tcPr>
          <w:p w14:paraId="138FF796" w14:textId="77777777" w:rsidR="00087B91" w:rsidRPr="002029AF" w:rsidRDefault="00087B91" w:rsidP="00860E95">
            <w:pPr>
              <w:pStyle w:val="ARfintablebodyrightbold"/>
            </w:pPr>
            <w:r w:rsidRPr="002029AF">
              <w:t>–</w:t>
            </w:r>
          </w:p>
        </w:tc>
      </w:tr>
    </w:tbl>
    <w:p w14:paraId="1FE2AE8F" w14:textId="77777777" w:rsidR="00087B91" w:rsidRPr="002029AF" w:rsidRDefault="00087B91" w:rsidP="00087B91">
      <w:pPr>
        <w:pStyle w:val="ARfintablefootnote"/>
        <w:rPr>
          <w:lang w:eastAsia="en-AU"/>
        </w:rPr>
      </w:pPr>
      <w:r w:rsidRPr="002029AF">
        <w:rPr>
          <w:lang w:eastAsia="en-AU"/>
        </w:rPr>
        <w:t>Note:</w:t>
      </w:r>
    </w:p>
    <w:p w14:paraId="564F65A9" w14:textId="1F05E415" w:rsidR="00087B91" w:rsidRPr="002029AF" w:rsidRDefault="00087B91" w:rsidP="00087B91">
      <w:pPr>
        <w:pStyle w:val="ARfintablefootnoteindent"/>
      </w:pPr>
      <w:r w:rsidRPr="002029AF">
        <w:t>(i)</w:t>
      </w:r>
      <w:r w:rsidRPr="002029AF">
        <w:tab/>
        <w:t>There</w:t>
      </w:r>
      <w:r w:rsidR="000A5329" w:rsidRPr="002029AF">
        <w:t xml:space="preserve"> </w:t>
      </w:r>
      <w:r w:rsidRPr="002029AF">
        <w:t>were</w:t>
      </w:r>
      <w:r w:rsidR="000A5329" w:rsidRPr="002029AF">
        <w:t xml:space="preserve"> </w:t>
      </w:r>
      <w:r w:rsidRPr="002029AF">
        <w:t>no</w:t>
      </w:r>
      <w:r w:rsidR="000A5329" w:rsidRPr="002029AF">
        <w:t xml:space="preserve"> </w:t>
      </w:r>
      <w:r w:rsidRPr="002029AF">
        <w:t>ex-gratia</w:t>
      </w:r>
      <w:r w:rsidR="000A5329" w:rsidRPr="002029AF">
        <w:t xml:space="preserve"> </w:t>
      </w:r>
      <w:r w:rsidRPr="002029AF">
        <w:t>expense</w:t>
      </w:r>
      <w:r w:rsidR="000A5329" w:rsidRPr="002029AF">
        <w:t xml:space="preserve"> </w:t>
      </w:r>
      <w:r w:rsidRPr="002029AF">
        <w:t>items</w:t>
      </w:r>
      <w:r w:rsidR="000A5329" w:rsidRPr="002029AF">
        <w:t xml:space="preserve"> </w:t>
      </w:r>
      <w:r w:rsidRPr="002029AF">
        <w:t>greater</w:t>
      </w:r>
      <w:r w:rsidR="000A5329" w:rsidRPr="002029AF">
        <w:t xml:space="preserve"> </w:t>
      </w:r>
      <w:r w:rsidRPr="002029AF">
        <w:t>than</w:t>
      </w:r>
      <w:r w:rsidR="000A5329" w:rsidRPr="002029AF">
        <w:t xml:space="preserve"> </w:t>
      </w:r>
      <w:r w:rsidRPr="002029AF">
        <w:t>or</w:t>
      </w:r>
      <w:r w:rsidR="000A5329" w:rsidRPr="002029AF">
        <w:t xml:space="preserve"> </w:t>
      </w:r>
      <w:r w:rsidRPr="002029AF">
        <w:t>equal</w:t>
      </w:r>
      <w:r w:rsidR="000A5329" w:rsidRPr="002029AF">
        <w:t xml:space="preserve"> </w:t>
      </w:r>
      <w:r w:rsidRPr="002029AF">
        <w:t>to</w:t>
      </w:r>
      <w:r w:rsidR="000A5329" w:rsidRPr="002029AF">
        <w:t xml:space="preserve"> </w:t>
      </w:r>
      <w:r w:rsidRPr="002029AF">
        <w:t>$5,000</w:t>
      </w:r>
    </w:p>
    <w:p w14:paraId="3EFBE9B3" w14:textId="77777777" w:rsidR="00087B91" w:rsidRPr="002029AF" w:rsidRDefault="00087B91" w:rsidP="00087B91">
      <w:pPr>
        <w:pStyle w:val="ARfintablefootnoteindent"/>
      </w:pPr>
      <w:r w:rsidRPr="002029AF">
        <w:br w:type="page"/>
      </w:r>
    </w:p>
    <w:p w14:paraId="614141AE" w14:textId="58D87C86" w:rsidR="00087B91" w:rsidRPr="002029AF" w:rsidRDefault="00087B91" w:rsidP="00087B91">
      <w:pPr>
        <w:pStyle w:val="Heading4"/>
      </w:pPr>
      <w:bookmarkStart w:id="394" w:name="_Toc39242167"/>
      <w:r w:rsidRPr="002029AF">
        <w:lastRenderedPageBreak/>
        <w:t>9.2</w:t>
      </w:r>
      <w:r w:rsidR="000A5329" w:rsidRPr="002029AF">
        <w:t xml:space="preserve"> </w:t>
      </w:r>
      <w:r w:rsidRPr="002029AF">
        <w:t>Other</w:t>
      </w:r>
      <w:r w:rsidR="000A5329" w:rsidRPr="002029AF">
        <w:t xml:space="preserve"> </w:t>
      </w:r>
      <w:r w:rsidRPr="002029AF">
        <w:t>economic</w:t>
      </w:r>
      <w:r w:rsidR="000A5329" w:rsidRPr="002029AF">
        <w:t xml:space="preserve"> </w:t>
      </w:r>
      <w:r w:rsidRPr="002029AF">
        <w:t>flows</w:t>
      </w:r>
      <w:r w:rsidR="000A5329" w:rsidRPr="002029AF">
        <w:t xml:space="preserve"> </w:t>
      </w:r>
      <w:r w:rsidRPr="002029AF">
        <w:t>included</w:t>
      </w:r>
      <w:r w:rsidR="000A5329" w:rsidRPr="002029AF">
        <w:t xml:space="preserve"> </w:t>
      </w:r>
      <w:r w:rsidRPr="002029AF">
        <w:t>in</w:t>
      </w:r>
      <w:r w:rsidR="000A5329" w:rsidRPr="002029AF">
        <w:t xml:space="preserve"> </w:t>
      </w:r>
      <w:r w:rsidRPr="002029AF">
        <w:t>net</w:t>
      </w:r>
      <w:r w:rsidR="000A5329" w:rsidRPr="002029AF">
        <w:t xml:space="preserve"> </w:t>
      </w:r>
      <w:r w:rsidRPr="002029AF">
        <w:t>result</w:t>
      </w:r>
      <w:bookmarkEnd w:id="394"/>
    </w:p>
    <w:p w14:paraId="1F819F42" w14:textId="0D2D42FB" w:rsidR="00087B91" w:rsidRPr="002029AF" w:rsidRDefault="00087B91" w:rsidP="00087B91">
      <w:pPr>
        <w:pStyle w:val="ARfinbody"/>
      </w:pPr>
      <w:r w:rsidRPr="002029AF">
        <w:t>Other</w:t>
      </w:r>
      <w:r w:rsidR="000A5329" w:rsidRPr="002029AF">
        <w:t xml:space="preserve"> </w:t>
      </w:r>
      <w:r w:rsidRPr="002029AF">
        <w:t>economic</w:t>
      </w:r>
      <w:r w:rsidR="000A5329" w:rsidRPr="002029AF">
        <w:t xml:space="preserve"> </w:t>
      </w:r>
      <w:r w:rsidRPr="002029AF">
        <w:t>flows</w:t>
      </w:r>
      <w:r w:rsidR="000A5329" w:rsidRPr="002029AF">
        <w:t xml:space="preserve"> </w:t>
      </w:r>
      <w:r w:rsidRPr="002029AF">
        <w:t>are</w:t>
      </w:r>
      <w:r w:rsidR="000A5329" w:rsidRPr="002029AF">
        <w:t xml:space="preserve"> </w:t>
      </w:r>
      <w:r w:rsidRPr="002029AF">
        <w:t>changes</w:t>
      </w:r>
      <w:r w:rsidR="000A5329" w:rsidRPr="002029AF">
        <w:t xml:space="preserve"> </w:t>
      </w:r>
      <w:r w:rsidRPr="002029AF">
        <w:t>in</w:t>
      </w:r>
      <w:r w:rsidR="000A5329" w:rsidRPr="002029AF">
        <w:t xml:space="preserve"> </w:t>
      </w:r>
      <w:r w:rsidRPr="002029AF">
        <w:t>the</w:t>
      </w:r>
      <w:r w:rsidR="000A5329" w:rsidRPr="002029AF">
        <w:t xml:space="preserve"> </w:t>
      </w:r>
      <w:r w:rsidRPr="002029AF">
        <w:t>volume</w:t>
      </w:r>
      <w:r w:rsidR="000A5329" w:rsidRPr="002029AF">
        <w:t xml:space="preserve"> </w:t>
      </w:r>
      <w:r w:rsidRPr="002029AF">
        <w:t>or</w:t>
      </w:r>
      <w:r w:rsidR="000A5329" w:rsidRPr="002029AF">
        <w:t xml:space="preserve"> </w:t>
      </w:r>
      <w:r w:rsidRPr="002029AF">
        <w:t>value</w:t>
      </w:r>
      <w:r w:rsidR="000A5329" w:rsidRPr="002029AF">
        <w:t xml:space="preserve"> </w:t>
      </w:r>
      <w:r w:rsidRPr="002029AF">
        <w:t>of</w:t>
      </w:r>
      <w:r w:rsidR="000A5329" w:rsidRPr="002029AF">
        <w:t xml:space="preserve"> </w:t>
      </w:r>
      <w:r w:rsidRPr="002029AF">
        <w:t>an</w:t>
      </w:r>
      <w:r w:rsidR="000A5329" w:rsidRPr="002029AF">
        <w:t xml:space="preserve"> </w:t>
      </w:r>
      <w:r w:rsidRPr="002029AF">
        <w:t>asset</w:t>
      </w:r>
      <w:r w:rsidR="000A5329" w:rsidRPr="002029AF">
        <w:t xml:space="preserve"> </w:t>
      </w:r>
      <w:r w:rsidRPr="002029AF">
        <w:t>or</w:t>
      </w:r>
      <w:r w:rsidR="000A5329" w:rsidRPr="002029AF">
        <w:t xml:space="preserve"> </w:t>
      </w:r>
      <w:r w:rsidRPr="002029AF">
        <w:t>liability</w:t>
      </w:r>
      <w:r w:rsidR="000A5329" w:rsidRPr="002029AF">
        <w:t xml:space="preserve"> </w:t>
      </w:r>
      <w:r w:rsidRPr="002029AF">
        <w:t>that</w:t>
      </w:r>
      <w:r w:rsidR="000A5329" w:rsidRPr="002029AF">
        <w:t xml:space="preserve"> </w:t>
      </w:r>
      <w:r w:rsidRPr="002029AF">
        <w:t>do</w:t>
      </w:r>
      <w:r w:rsidR="000A5329" w:rsidRPr="002029AF">
        <w:t xml:space="preserve"> </w:t>
      </w:r>
      <w:r w:rsidRPr="002029AF">
        <w:t>not</w:t>
      </w:r>
      <w:r w:rsidR="000A5329" w:rsidRPr="002029AF">
        <w:t xml:space="preserve"> </w:t>
      </w:r>
      <w:r w:rsidRPr="002029AF">
        <w:t>result</w:t>
      </w:r>
      <w:r w:rsidR="000A5329" w:rsidRPr="002029AF">
        <w:t xml:space="preserve"> </w:t>
      </w:r>
      <w:r w:rsidRPr="002029AF">
        <w:t>from</w:t>
      </w:r>
      <w:r w:rsidR="000A5329" w:rsidRPr="002029AF">
        <w:t xml:space="preserve"> </w:t>
      </w:r>
      <w:r w:rsidRPr="002029AF">
        <w:t>transactions.</w:t>
      </w:r>
      <w:r w:rsidR="000A5329" w:rsidRPr="002029AF">
        <w:t xml:space="preserve"> </w:t>
      </w:r>
      <w:r w:rsidRPr="002029AF">
        <w:t>Other</w:t>
      </w:r>
      <w:r w:rsidR="000A5329" w:rsidRPr="002029AF">
        <w:t xml:space="preserve"> </w:t>
      </w:r>
      <w:r w:rsidRPr="002029AF">
        <w:t>gains/(losses)</w:t>
      </w:r>
      <w:r w:rsidR="000A5329" w:rsidRPr="002029AF">
        <w:t xml:space="preserve"> </w:t>
      </w:r>
      <w:r w:rsidRPr="002029AF">
        <w:t>from</w:t>
      </w:r>
      <w:r w:rsidR="000A5329" w:rsidRPr="002029AF">
        <w:t xml:space="preserve"> </w:t>
      </w:r>
      <w:r w:rsidRPr="002029AF">
        <w:t>other</w:t>
      </w:r>
      <w:r w:rsidR="000A5329" w:rsidRPr="002029AF">
        <w:t xml:space="preserve"> </w:t>
      </w:r>
      <w:r w:rsidRPr="002029AF">
        <w:t>economic</w:t>
      </w:r>
      <w:r w:rsidR="000A5329" w:rsidRPr="002029AF">
        <w:t xml:space="preserve"> </w:t>
      </w:r>
      <w:r w:rsidRPr="002029AF">
        <w:t>flows</w:t>
      </w:r>
      <w:r w:rsidR="000A5329" w:rsidRPr="002029AF">
        <w:t xml:space="preserve"> </w:t>
      </w:r>
      <w:r w:rsidRPr="002029AF">
        <w:t>include</w:t>
      </w:r>
      <w:r w:rsidR="000A5329" w:rsidRPr="002029AF">
        <w:t xml:space="preserve"> </w:t>
      </w:r>
      <w:r w:rsidRPr="002029AF">
        <w:t>the</w:t>
      </w:r>
      <w:r w:rsidR="000A5329" w:rsidRPr="002029AF">
        <w:t xml:space="preserve"> </w:t>
      </w:r>
      <w:r w:rsidRPr="002029AF">
        <w:t>gains</w:t>
      </w:r>
      <w:r w:rsidR="000A5329" w:rsidRPr="002029AF">
        <w:t xml:space="preserve"> </w:t>
      </w:r>
      <w:r w:rsidRPr="002029AF">
        <w:t>or</w:t>
      </w:r>
      <w:r w:rsidR="000A5329" w:rsidRPr="002029AF">
        <w:t xml:space="preserve"> </w:t>
      </w:r>
      <w:r w:rsidRPr="002029AF">
        <w:t>losses</w:t>
      </w:r>
      <w:r w:rsidR="000A5329" w:rsidRPr="002029AF">
        <w:t xml:space="preserve"> </w:t>
      </w:r>
      <w:r w:rsidRPr="002029AF">
        <w:t>from:</w:t>
      </w:r>
    </w:p>
    <w:p w14:paraId="4AC761CC" w14:textId="33F01B14" w:rsidR="00087B91" w:rsidRPr="002029AF" w:rsidRDefault="00087B91" w:rsidP="00087B91">
      <w:pPr>
        <w:pStyle w:val="ARfinbullet1"/>
      </w:pPr>
      <w:r w:rsidRPr="002029AF">
        <w:t>the</w:t>
      </w:r>
      <w:r w:rsidR="000A5329" w:rsidRPr="002029AF">
        <w:t xml:space="preserve"> </w:t>
      </w:r>
      <w:r w:rsidRPr="002029AF">
        <w:t>revaluation</w:t>
      </w:r>
      <w:r w:rsidR="000A5329" w:rsidRPr="002029AF">
        <w:t xml:space="preserve"> </w:t>
      </w:r>
      <w:r w:rsidRPr="002029AF">
        <w:t>of</w:t>
      </w:r>
      <w:r w:rsidR="000A5329" w:rsidRPr="002029AF">
        <w:t xml:space="preserve"> </w:t>
      </w:r>
      <w:r w:rsidRPr="002029AF">
        <w:t>the</w:t>
      </w:r>
      <w:r w:rsidR="000A5329" w:rsidRPr="002029AF">
        <w:t xml:space="preserve"> </w:t>
      </w:r>
      <w:r w:rsidRPr="002029AF">
        <w:t>present</w:t>
      </w:r>
      <w:r w:rsidR="000A5329" w:rsidRPr="002029AF">
        <w:t xml:space="preserve"> </w:t>
      </w:r>
      <w:r w:rsidRPr="002029AF">
        <w:t>value</w:t>
      </w:r>
      <w:r w:rsidR="000A5329" w:rsidRPr="002029AF">
        <w:t xml:space="preserve"> </w:t>
      </w:r>
      <w:r w:rsidRPr="002029AF">
        <w:t>of</w:t>
      </w:r>
      <w:r w:rsidR="000A5329" w:rsidRPr="002029AF">
        <w:t xml:space="preserve"> </w:t>
      </w:r>
      <w:r w:rsidRPr="002029AF">
        <w:t>the</w:t>
      </w:r>
      <w:r w:rsidR="000A5329" w:rsidRPr="002029AF">
        <w:t xml:space="preserve"> </w:t>
      </w:r>
      <w:r w:rsidRPr="002029AF">
        <w:t>long</w:t>
      </w:r>
      <w:r w:rsidR="000A5329" w:rsidRPr="002029AF">
        <w:t xml:space="preserve"> </w:t>
      </w:r>
      <w:r w:rsidRPr="002029AF">
        <w:t>service</w:t>
      </w:r>
      <w:r w:rsidR="000A5329" w:rsidRPr="002029AF">
        <w:t xml:space="preserve"> </w:t>
      </w:r>
      <w:r w:rsidRPr="002029AF">
        <w:t>leave</w:t>
      </w:r>
      <w:r w:rsidR="000A5329" w:rsidRPr="002029AF">
        <w:t xml:space="preserve"> </w:t>
      </w:r>
      <w:r w:rsidRPr="002029AF">
        <w:t>liability</w:t>
      </w:r>
      <w:r w:rsidR="000A5329" w:rsidRPr="002029AF">
        <w:t xml:space="preserve"> </w:t>
      </w:r>
      <w:r w:rsidRPr="002029AF">
        <w:t>due</w:t>
      </w:r>
      <w:r w:rsidR="000A5329" w:rsidRPr="002029AF">
        <w:t xml:space="preserve"> </w:t>
      </w:r>
      <w:r w:rsidRPr="002029AF">
        <w:t>to</w:t>
      </w:r>
      <w:r w:rsidR="000A5329" w:rsidRPr="002029AF">
        <w:t xml:space="preserve"> </w:t>
      </w:r>
      <w:r w:rsidRPr="002029AF">
        <w:t>changes</w:t>
      </w:r>
      <w:r w:rsidR="000A5329" w:rsidRPr="002029AF">
        <w:t xml:space="preserve"> </w:t>
      </w:r>
      <w:r w:rsidRPr="002029AF">
        <w:t>in</w:t>
      </w:r>
      <w:r w:rsidR="000A5329" w:rsidRPr="002029AF">
        <w:t xml:space="preserve"> </w:t>
      </w:r>
      <w:r w:rsidRPr="002029AF">
        <w:t>the</w:t>
      </w:r>
      <w:r w:rsidR="000A5329" w:rsidRPr="002029AF">
        <w:t xml:space="preserve"> </w:t>
      </w:r>
      <w:r w:rsidRPr="002029AF">
        <w:t>bond</w:t>
      </w:r>
      <w:r w:rsidR="000A5329" w:rsidRPr="002029AF">
        <w:t xml:space="preserve"> </w:t>
      </w:r>
      <w:r w:rsidRPr="002029AF">
        <w:t>interest</w:t>
      </w:r>
      <w:r w:rsidR="000A5329" w:rsidRPr="002029AF">
        <w:t xml:space="preserve"> </w:t>
      </w:r>
      <w:r w:rsidRPr="002029AF">
        <w:t>rates</w:t>
      </w:r>
      <w:r w:rsidR="000A5329" w:rsidRPr="002029AF">
        <w:t xml:space="preserve"> </w:t>
      </w:r>
      <w:r w:rsidRPr="002029AF">
        <w:t>and</w:t>
      </w:r>
      <w:r w:rsidR="000A5329" w:rsidRPr="002029AF">
        <w:t xml:space="preserve"> </w:t>
      </w:r>
      <w:r w:rsidRPr="002029AF">
        <w:t>the</w:t>
      </w:r>
      <w:r w:rsidR="000A5329" w:rsidRPr="002029AF">
        <w:t xml:space="preserve"> </w:t>
      </w:r>
      <w:r w:rsidRPr="002029AF">
        <w:t>effects</w:t>
      </w:r>
      <w:r w:rsidR="000A5329" w:rsidRPr="002029AF">
        <w:t xml:space="preserve"> </w:t>
      </w:r>
      <w:r w:rsidRPr="002029AF">
        <w:t>of</w:t>
      </w:r>
      <w:r w:rsidR="000A5329" w:rsidRPr="002029AF">
        <w:t xml:space="preserve"> </w:t>
      </w:r>
      <w:r w:rsidRPr="002029AF">
        <w:t>changes</w:t>
      </w:r>
      <w:r w:rsidR="000A5329" w:rsidRPr="002029AF">
        <w:t xml:space="preserve"> </w:t>
      </w:r>
      <w:r w:rsidRPr="002029AF">
        <w:t>in</w:t>
      </w:r>
      <w:r w:rsidR="000A5329" w:rsidRPr="002029AF">
        <w:t xml:space="preserve"> </w:t>
      </w:r>
      <w:r w:rsidRPr="002029AF">
        <w:t>actuarial</w:t>
      </w:r>
      <w:r w:rsidR="000A5329" w:rsidRPr="002029AF">
        <w:t xml:space="preserve"> </w:t>
      </w:r>
      <w:r w:rsidRPr="002029AF">
        <w:t>assumptions</w:t>
      </w:r>
    </w:p>
    <w:p w14:paraId="5DFF9923" w14:textId="025B3C95" w:rsidR="00087B91" w:rsidRPr="002029AF" w:rsidRDefault="00087B91" w:rsidP="00087B91">
      <w:pPr>
        <w:pStyle w:val="ARfinbullet1"/>
      </w:pPr>
      <w:r w:rsidRPr="002029AF">
        <w:t>other</w:t>
      </w:r>
      <w:r w:rsidR="000A5329" w:rsidRPr="002029AF">
        <w:t xml:space="preserve"> </w:t>
      </w:r>
      <w:r w:rsidRPr="002029AF">
        <w:t>revaluations</w:t>
      </w:r>
      <w:r w:rsidR="000A5329" w:rsidRPr="002029AF">
        <w:t xml:space="preserve"> </w:t>
      </w:r>
      <w:r w:rsidRPr="002029AF">
        <w:t>on</w:t>
      </w:r>
      <w:r w:rsidR="000A5329" w:rsidRPr="002029AF">
        <w:t xml:space="preserve"> </w:t>
      </w:r>
      <w:r w:rsidRPr="002029AF">
        <w:t>the</w:t>
      </w:r>
      <w:r w:rsidR="000A5329" w:rsidRPr="002029AF">
        <w:t xml:space="preserve"> </w:t>
      </w:r>
      <w:r w:rsidRPr="002029AF">
        <w:t>value</w:t>
      </w:r>
      <w:r w:rsidR="000A5329" w:rsidRPr="002029AF">
        <w:t xml:space="preserve"> </w:t>
      </w:r>
      <w:r w:rsidRPr="002029AF">
        <w:t>of</w:t>
      </w:r>
      <w:r w:rsidR="000A5329" w:rsidRPr="002029AF">
        <w:t xml:space="preserve"> </w:t>
      </w:r>
      <w:r w:rsidRPr="002029AF">
        <w:t>outstanding</w:t>
      </w:r>
      <w:r w:rsidR="000A5329" w:rsidRPr="002029AF">
        <w:t xml:space="preserve"> </w:t>
      </w:r>
      <w:r w:rsidRPr="002029AF">
        <w:t>insurance</w:t>
      </w:r>
      <w:r w:rsidR="000A5329" w:rsidRPr="002029AF">
        <w:t xml:space="preserve"> </w:t>
      </w:r>
      <w:r w:rsidRPr="002029AF">
        <w:t>claims</w:t>
      </w:r>
      <w:r w:rsidR="000A5329" w:rsidRPr="002029AF">
        <w:t xml:space="preserve"> </w:t>
      </w:r>
      <w:r w:rsidRPr="002029AF">
        <w:t>and</w:t>
      </w:r>
      <w:r w:rsidR="000A5329" w:rsidRPr="002029AF">
        <w:t xml:space="preserve"> </w:t>
      </w:r>
      <w:r w:rsidRPr="002029AF">
        <w:t>liabilities</w:t>
      </w:r>
    </w:p>
    <w:p w14:paraId="31A2BF3D" w14:textId="6FC45593" w:rsidR="00087B91" w:rsidRPr="002029AF" w:rsidRDefault="00087B91" w:rsidP="00087B91">
      <w:pPr>
        <w:pStyle w:val="ARfinbullet1"/>
      </w:pPr>
      <w:r w:rsidRPr="002029AF">
        <w:t>bad</w:t>
      </w:r>
      <w:r w:rsidR="000A5329" w:rsidRPr="002029AF">
        <w:t xml:space="preserve"> </w:t>
      </w:r>
      <w:r w:rsidRPr="002029AF">
        <w:t>debt</w:t>
      </w:r>
      <w:r w:rsidR="000A5329" w:rsidRPr="002029AF">
        <w:t xml:space="preserve"> </w:t>
      </w:r>
      <w:r w:rsidRPr="002029AF">
        <w:t>expenses.</w:t>
      </w:r>
    </w:p>
    <w:tbl>
      <w:tblPr>
        <w:tblStyle w:val="TableGrid"/>
        <w:tblW w:w="9637" w:type="dxa"/>
        <w:tblLayout w:type="fixed"/>
        <w:tblLook w:val="06A0" w:firstRow="1" w:lastRow="0" w:firstColumn="1" w:lastColumn="0" w:noHBand="1" w:noVBand="1"/>
      </w:tblPr>
      <w:tblGrid>
        <w:gridCol w:w="7369"/>
        <w:gridCol w:w="1134"/>
        <w:gridCol w:w="1134"/>
      </w:tblGrid>
      <w:tr w:rsidR="00087B91" w:rsidRPr="002029AF" w14:paraId="7BA07FB6"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7369" w:type="dxa"/>
            <w:tcBorders>
              <w:bottom w:val="single" w:sz="4" w:space="0" w:color="auto"/>
            </w:tcBorders>
            <w:noWrap/>
            <w:hideMark/>
          </w:tcPr>
          <w:p w14:paraId="4B8F53BD" w14:textId="77777777" w:rsidR="00087B91" w:rsidRPr="002029AF" w:rsidRDefault="00087B91" w:rsidP="00860E95">
            <w:pPr>
              <w:pStyle w:val="ARfintablecolhead"/>
            </w:pPr>
          </w:p>
        </w:tc>
        <w:tc>
          <w:tcPr>
            <w:tcW w:w="1134" w:type="dxa"/>
            <w:tcBorders>
              <w:bottom w:val="single" w:sz="4" w:space="0" w:color="auto"/>
            </w:tcBorders>
            <w:shd w:val="clear" w:color="auto" w:fill="E7E6E6"/>
            <w:hideMark/>
          </w:tcPr>
          <w:p w14:paraId="548C4590" w14:textId="77777777" w:rsidR="00087B91" w:rsidRPr="002029AF" w:rsidRDefault="00087B91" w:rsidP="00860E95">
            <w:pPr>
              <w:pStyle w:val="ARfintablecolheadright"/>
            </w:pPr>
            <w:r w:rsidRPr="002029AF">
              <w:t>2020</w:t>
            </w:r>
          </w:p>
          <w:p w14:paraId="24557F3A" w14:textId="77777777" w:rsidR="00087B91" w:rsidRPr="002029AF" w:rsidRDefault="00087B91" w:rsidP="00860E95">
            <w:pPr>
              <w:pStyle w:val="ARfintablecolheadright"/>
            </w:pPr>
            <w:r w:rsidRPr="002029AF">
              <w:t>$M</w:t>
            </w:r>
          </w:p>
        </w:tc>
        <w:tc>
          <w:tcPr>
            <w:tcW w:w="1134" w:type="dxa"/>
            <w:tcBorders>
              <w:bottom w:val="single" w:sz="4" w:space="0" w:color="auto"/>
            </w:tcBorders>
            <w:hideMark/>
          </w:tcPr>
          <w:p w14:paraId="7EFEACB5" w14:textId="77777777" w:rsidR="00087B91" w:rsidRPr="002029AF" w:rsidRDefault="00087B91" w:rsidP="00860E95">
            <w:pPr>
              <w:pStyle w:val="ARfintablecolheadright"/>
            </w:pPr>
            <w:r w:rsidRPr="002029AF">
              <w:t>2019</w:t>
            </w:r>
          </w:p>
          <w:p w14:paraId="0B349764" w14:textId="77777777" w:rsidR="00087B91" w:rsidRPr="002029AF" w:rsidRDefault="00087B91" w:rsidP="00860E95">
            <w:pPr>
              <w:pStyle w:val="ARfintablecolheadright"/>
            </w:pPr>
            <w:r w:rsidRPr="002029AF">
              <w:t>$M</w:t>
            </w:r>
          </w:p>
        </w:tc>
      </w:tr>
      <w:tr w:rsidR="00087B91" w:rsidRPr="002029AF" w14:paraId="425866F3" w14:textId="77777777" w:rsidTr="00860E95">
        <w:tc>
          <w:tcPr>
            <w:tcW w:w="9637" w:type="dxa"/>
            <w:gridSpan w:val="3"/>
            <w:tcBorders>
              <w:top w:val="single" w:sz="4" w:space="0" w:color="auto"/>
              <w:bottom w:val="single" w:sz="4" w:space="0" w:color="A6A6A6"/>
            </w:tcBorders>
            <w:hideMark/>
          </w:tcPr>
          <w:p w14:paraId="575065A6" w14:textId="7603EDBA" w:rsidR="00087B91" w:rsidRPr="002029AF" w:rsidRDefault="00087B91" w:rsidP="00860E95">
            <w:pPr>
              <w:pStyle w:val="ARfintablebodybold"/>
            </w:pPr>
            <w:r w:rsidRPr="002029AF">
              <w:t>(a)</w:t>
            </w:r>
            <w:r w:rsidR="000A5329" w:rsidRPr="002029AF">
              <w:t xml:space="preserve"> </w:t>
            </w:r>
            <w:r w:rsidRPr="002029AF">
              <w:t>Net</w:t>
            </w:r>
            <w:r w:rsidR="000A5329" w:rsidRPr="002029AF">
              <w:t xml:space="preserve"> </w:t>
            </w:r>
            <w:r w:rsidRPr="002029AF">
              <w:t>gain/(loss)</w:t>
            </w:r>
            <w:r w:rsidR="000A5329" w:rsidRPr="002029AF">
              <w:t xml:space="preserve"> </w:t>
            </w:r>
            <w:r w:rsidRPr="002029AF">
              <w:t>on</w:t>
            </w:r>
            <w:r w:rsidR="000A5329" w:rsidRPr="002029AF">
              <w:t xml:space="preserve"> </w:t>
            </w:r>
            <w:r w:rsidRPr="002029AF">
              <w:t>non-financial</w:t>
            </w:r>
            <w:r w:rsidR="000A5329" w:rsidRPr="002029AF">
              <w:t xml:space="preserve"> </w:t>
            </w:r>
            <w:r w:rsidRPr="002029AF">
              <w:t>assets</w:t>
            </w:r>
          </w:p>
        </w:tc>
      </w:tr>
      <w:tr w:rsidR="00087B91" w:rsidRPr="002029AF" w14:paraId="3E8ED40C" w14:textId="77777777" w:rsidTr="00860E95">
        <w:tc>
          <w:tcPr>
            <w:tcW w:w="9637" w:type="dxa"/>
            <w:gridSpan w:val="3"/>
            <w:tcBorders>
              <w:top w:val="single" w:sz="4" w:space="0" w:color="A6A6A6"/>
              <w:bottom w:val="single" w:sz="4" w:space="0" w:color="A6A6A6"/>
            </w:tcBorders>
            <w:hideMark/>
          </w:tcPr>
          <w:p w14:paraId="5472435B" w14:textId="17EC3EF3" w:rsidR="00087B91" w:rsidRPr="002029AF" w:rsidRDefault="00087B91" w:rsidP="00860E95">
            <w:pPr>
              <w:pStyle w:val="ARfintablebodybold"/>
            </w:pPr>
            <w:r w:rsidRPr="002029AF">
              <w:t>Revenue</w:t>
            </w:r>
            <w:r w:rsidR="000A5329" w:rsidRPr="002029AF">
              <w:t xml:space="preserve"> </w:t>
            </w:r>
            <w:r w:rsidRPr="002029AF">
              <w:t>from</w:t>
            </w:r>
            <w:r w:rsidR="000A5329" w:rsidRPr="002029AF">
              <w:t xml:space="preserve"> </w:t>
            </w:r>
            <w:r w:rsidRPr="002029AF">
              <w:t>disposal</w:t>
            </w:r>
            <w:r w:rsidR="000A5329" w:rsidRPr="002029AF">
              <w:t xml:space="preserve"> </w:t>
            </w:r>
            <w:r w:rsidRPr="002029AF">
              <w:t>of</w:t>
            </w:r>
            <w:r w:rsidR="000A5329" w:rsidRPr="002029AF">
              <w:t xml:space="preserve"> </w:t>
            </w:r>
            <w:r w:rsidRPr="002029AF">
              <w:t>non-financial</w:t>
            </w:r>
            <w:r w:rsidR="000A5329" w:rsidRPr="002029AF">
              <w:t xml:space="preserve"> </w:t>
            </w:r>
            <w:r w:rsidRPr="002029AF">
              <w:t>physical</w:t>
            </w:r>
            <w:r w:rsidR="000A5329" w:rsidRPr="002029AF">
              <w:t xml:space="preserve"> </w:t>
            </w:r>
            <w:r w:rsidRPr="002029AF">
              <w:t>assets</w:t>
            </w:r>
          </w:p>
        </w:tc>
      </w:tr>
      <w:tr w:rsidR="00087B91" w:rsidRPr="002029AF" w14:paraId="37328636" w14:textId="77777777" w:rsidTr="00860E95">
        <w:tc>
          <w:tcPr>
            <w:tcW w:w="7369" w:type="dxa"/>
            <w:tcBorders>
              <w:top w:val="single" w:sz="4" w:space="0" w:color="A6A6A6"/>
              <w:bottom w:val="single" w:sz="4" w:space="0" w:color="A6A6A6"/>
            </w:tcBorders>
            <w:hideMark/>
          </w:tcPr>
          <w:p w14:paraId="0869AFF9" w14:textId="77777777" w:rsidR="00087B91" w:rsidRPr="002029AF" w:rsidRDefault="00087B91" w:rsidP="00860E95">
            <w:pPr>
              <w:pStyle w:val="ARfintablebody"/>
            </w:pPr>
            <w:r w:rsidRPr="002029AF">
              <w:t>Land</w:t>
            </w:r>
          </w:p>
        </w:tc>
        <w:tc>
          <w:tcPr>
            <w:tcW w:w="1134" w:type="dxa"/>
            <w:tcBorders>
              <w:top w:val="single" w:sz="4" w:space="0" w:color="A6A6A6"/>
              <w:bottom w:val="single" w:sz="4" w:space="0" w:color="A6A6A6"/>
            </w:tcBorders>
            <w:shd w:val="clear" w:color="auto" w:fill="E7E6E6"/>
            <w:noWrap/>
            <w:hideMark/>
          </w:tcPr>
          <w:p w14:paraId="59908E3D" w14:textId="77777777" w:rsidR="00087B91" w:rsidRPr="002029AF" w:rsidRDefault="00087B91" w:rsidP="00860E95">
            <w:pPr>
              <w:pStyle w:val="ARfintablebodyright"/>
            </w:pPr>
            <w:r w:rsidRPr="002029AF">
              <w:t>33.5</w:t>
            </w:r>
          </w:p>
        </w:tc>
        <w:tc>
          <w:tcPr>
            <w:tcW w:w="1134" w:type="dxa"/>
            <w:tcBorders>
              <w:top w:val="single" w:sz="4" w:space="0" w:color="A6A6A6"/>
              <w:bottom w:val="single" w:sz="4" w:space="0" w:color="A6A6A6"/>
            </w:tcBorders>
            <w:noWrap/>
            <w:hideMark/>
          </w:tcPr>
          <w:p w14:paraId="19ADAF80" w14:textId="77777777" w:rsidR="00087B91" w:rsidRPr="002029AF" w:rsidRDefault="00087B91" w:rsidP="00860E95">
            <w:pPr>
              <w:pStyle w:val="ARfintablebodyright"/>
            </w:pPr>
            <w:r w:rsidRPr="002029AF">
              <w:t>43.8</w:t>
            </w:r>
          </w:p>
        </w:tc>
      </w:tr>
      <w:tr w:rsidR="00087B91" w:rsidRPr="002029AF" w14:paraId="7E57E3AA" w14:textId="77777777" w:rsidTr="00860E95">
        <w:tc>
          <w:tcPr>
            <w:tcW w:w="7369" w:type="dxa"/>
            <w:tcBorders>
              <w:top w:val="single" w:sz="4" w:space="0" w:color="A6A6A6"/>
              <w:bottom w:val="single" w:sz="4" w:space="0" w:color="A6A6A6"/>
            </w:tcBorders>
            <w:hideMark/>
          </w:tcPr>
          <w:p w14:paraId="28538EC0" w14:textId="77777777" w:rsidR="00087B91" w:rsidRPr="002029AF" w:rsidRDefault="00087B91" w:rsidP="00860E95">
            <w:pPr>
              <w:pStyle w:val="ARfintablebody"/>
            </w:pPr>
            <w:r w:rsidRPr="002029AF">
              <w:t>Buildings</w:t>
            </w:r>
          </w:p>
        </w:tc>
        <w:tc>
          <w:tcPr>
            <w:tcW w:w="1134" w:type="dxa"/>
            <w:tcBorders>
              <w:top w:val="single" w:sz="4" w:space="0" w:color="A6A6A6"/>
              <w:bottom w:val="single" w:sz="4" w:space="0" w:color="A6A6A6"/>
            </w:tcBorders>
            <w:shd w:val="clear" w:color="auto" w:fill="E7E6E6"/>
            <w:noWrap/>
            <w:hideMark/>
          </w:tcPr>
          <w:p w14:paraId="28981A04" w14:textId="77777777" w:rsidR="00087B91" w:rsidRPr="002029AF" w:rsidRDefault="00087B91" w:rsidP="00860E95">
            <w:pPr>
              <w:pStyle w:val="ARfintablebodyright"/>
            </w:pPr>
            <w:r w:rsidRPr="002029AF">
              <w:t>54.1</w:t>
            </w:r>
          </w:p>
        </w:tc>
        <w:tc>
          <w:tcPr>
            <w:tcW w:w="1134" w:type="dxa"/>
            <w:tcBorders>
              <w:top w:val="single" w:sz="4" w:space="0" w:color="A6A6A6"/>
              <w:bottom w:val="single" w:sz="4" w:space="0" w:color="A6A6A6"/>
            </w:tcBorders>
            <w:noWrap/>
            <w:hideMark/>
          </w:tcPr>
          <w:p w14:paraId="6E2AE31E" w14:textId="77777777" w:rsidR="00087B91" w:rsidRPr="002029AF" w:rsidRDefault="00087B91" w:rsidP="00860E95">
            <w:pPr>
              <w:pStyle w:val="ARfintablebodyright"/>
            </w:pPr>
            <w:r w:rsidRPr="002029AF">
              <w:t>10.5</w:t>
            </w:r>
          </w:p>
        </w:tc>
      </w:tr>
      <w:tr w:rsidR="00087B91" w:rsidRPr="002029AF" w14:paraId="7D6C753E" w14:textId="77777777" w:rsidTr="00860E95">
        <w:tc>
          <w:tcPr>
            <w:tcW w:w="7369" w:type="dxa"/>
            <w:tcBorders>
              <w:top w:val="single" w:sz="4" w:space="0" w:color="A6A6A6"/>
              <w:bottom w:val="single" w:sz="4" w:space="0" w:color="A6A6A6"/>
            </w:tcBorders>
            <w:hideMark/>
          </w:tcPr>
          <w:p w14:paraId="0CC5F502" w14:textId="661E7567" w:rsidR="00087B91" w:rsidRPr="002029AF" w:rsidRDefault="00087B91" w:rsidP="00860E95">
            <w:pPr>
              <w:pStyle w:val="ARfintablebody"/>
            </w:pPr>
            <w:r w:rsidRPr="002029AF">
              <w:t>Shared</w:t>
            </w:r>
            <w:r w:rsidR="000A5329" w:rsidRPr="002029AF">
              <w:t xml:space="preserve"> </w:t>
            </w:r>
            <w:r w:rsidRPr="002029AF">
              <w:t>home</w:t>
            </w:r>
            <w:r w:rsidR="000A5329" w:rsidRPr="002029AF">
              <w:t xml:space="preserve"> </w:t>
            </w:r>
            <w:r w:rsidRPr="002029AF">
              <w:t>ownership</w:t>
            </w:r>
            <w:r w:rsidR="000A5329" w:rsidRPr="002029AF">
              <w:t xml:space="preserve"> </w:t>
            </w:r>
            <w:r w:rsidRPr="002029AF">
              <w:t>scheme</w:t>
            </w:r>
          </w:p>
        </w:tc>
        <w:tc>
          <w:tcPr>
            <w:tcW w:w="1134" w:type="dxa"/>
            <w:tcBorders>
              <w:top w:val="single" w:sz="4" w:space="0" w:color="A6A6A6"/>
              <w:bottom w:val="single" w:sz="4" w:space="0" w:color="A6A6A6"/>
            </w:tcBorders>
            <w:shd w:val="clear" w:color="auto" w:fill="E7E6E6"/>
            <w:noWrap/>
            <w:hideMark/>
          </w:tcPr>
          <w:p w14:paraId="21551822" w14:textId="77777777" w:rsidR="00087B91" w:rsidRPr="002029AF" w:rsidRDefault="00087B91" w:rsidP="00860E95">
            <w:pPr>
              <w:pStyle w:val="ARfintablebodyright"/>
            </w:pPr>
            <w:r w:rsidRPr="002029AF">
              <w:t>2.1</w:t>
            </w:r>
          </w:p>
        </w:tc>
        <w:tc>
          <w:tcPr>
            <w:tcW w:w="1134" w:type="dxa"/>
            <w:tcBorders>
              <w:top w:val="single" w:sz="4" w:space="0" w:color="A6A6A6"/>
              <w:bottom w:val="single" w:sz="4" w:space="0" w:color="A6A6A6"/>
            </w:tcBorders>
            <w:noWrap/>
            <w:hideMark/>
          </w:tcPr>
          <w:p w14:paraId="588B91FD" w14:textId="77777777" w:rsidR="00087B91" w:rsidRPr="002029AF" w:rsidRDefault="00087B91" w:rsidP="00860E95">
            <w:pPr>
              <w:pStyle w:val="ARfintablebodyright"/>
            </w:pPr>
            <w:r w:rsidRPr="002029AF">
              <w:t>1.1</w:t>
            </w:r>
          </w:p>
        </w:tc>
      </w:tr>
      <w:tr w:rsidR="00087B91" w:rsidRPr="002029AF" w14:paraId="0978E95F" w14:textId="77777777" w:rsidTr="00860E95">
        <w:tc>
          <w:tcPr>
            <w:tcW w:w="7369" w:type="dxa"/>
            <w:tcBorders>
              <w:top w:val="single" w:sz="4" w:space="0" w:color="A6A6A6"/>
            </w:tcBorders>
            <w:hideMark/>
          </w:tcPr>
          <w:p w14:paraId="44DABFAA" w14:textId="1CAC1595" w:rsidR="00087B91" w:rsidRPr="002029AF" w:rsidRDefault="00087B91" w:rsidP="00860E95">
            <w:pPr>
              <w:pStyle w:val="ARfintablebody"/>
            </w:pPr>
            <w:r w:rsidRPr="002029AF">
              <w:t>Miscellaneous</w:t>
            </w:r>
            <w:r w:rsidR="000A5329" w:rsidRPr="002029AF">
              <w:t xml:space="preserve"> </w:t>
            </w:r>
            <w:r w:rsidRPr="002029AF">
              <w:t>assets</w:t>
            </w:r>
          </w:p>
        </w:tc>
        <w:tc>
          <w:tcPr>
            <w:tcW w:w="1134" w:type="dxa"/>
            <w:tcBorders>
              <w:top w:val="single" w:sz="4" w:space="0" w:color="A6A6A6"/>
            </w:tcBorders>
            <w:shd w:val="clear" w:color="auto" w:fill="E7E6E6"/>
            <w:noWrap/>
            <w:hideMark/>
          </w:tcPr>
          <w:p w14:paraId="16F7A537" w14:textId="77777777" w:rsidR="00087B91" w:rsidRPr="002029AF" w:rsidRDefault="00087B91" w:rsidP="00860E95">
            <w:pPr>
              <w:pStyle w:val="ARfintablebodyright"/>
            </w:pPr>
            <w:r w:rsidRPr="002029AF">
              <w:t>9.5</w:t>
            </w:r>
          </w:p>
        </w:tc>
        <w:tc>
          <w:tcPr>
            <w:tcW w:w="1134" w:type="dxa"/>
            <w:tcBorders>
              <w:top w:val="single" w:sz="4" w:space="0" w:color="A6A6A6"/>
            </w:tcBorders>
            <w:noWrap/>
            <w:hideMark/>
          </w:tcPr>
          <w:p w14:paraId="3589FB42" w14:textId="77777777" w:rsidR="00087B91" w:rsidRPr="002029AF" w:rsidRDefault="00087B91" w:rsidP="00860E95">
            <w:pPr>
              <w:pStyle w:val="ARfintablebodyright"/>
            </w:pPr>
            <w:r w:rsidRPr="002029AF">
              <w:t>14.1</w:t>
            </w:r>
          </w:p>
        </w:tc>
      </w:tr>
      <w:tr w:rsidR="00087B91" w:rsidRPr="002029AF" w14:paraId="6D11E939" w14:textId="77777777" w:rsidTr="00860E95">
        <w:tc>
          <w:tcPr>
            <w:tcW w:w="7369" w:type="dxa"/>
            <w:tcBorders>
              <w:bottom w:val="single" w:sz="4" w:space="0" w:color="auto"/>
            </w:tcBorders>
            <w:hideMark/>
          </w:tcPr>
          <w:p w14:paraId="7E9DA58B" w14:textId="7F266AB1" w:rsidR="00087B91" w:rsidRPr="002029AF" w:rsidRDefault="00087B91" w:rsidP="00860E95">
            <w:pPr>
              <w:pStyle w:val="ARfintablebodybold"/>
            </w:pPr>
            <w:r w:rsidRPr="002029AF">
              <w:t>Total</w:t>
            </w:r>
            <w:r w:rsidR="000A5329" w:rsidRPr="002029AF">
              <w:t xml:space="preserve"> </w:t>
            </w:r>
            <w:r w:rsidRPr="002029AF">
              <w:t>revenue</w:t>
            </w:r>
            <w:r w:rsidR="000A5329" w:rsidRPr="002029AF">
              <w:t xml:space="preserve"> </w:t>
            </w:r>
            <w:r w:rsidRPr="002029AF">
              <w:t>from</w:t>
            </w:r>
            <w:r w:rsidR="000A5329" w:rsidRPr="002029AF">
              <w:t xml:space="preserve"> </w:t>
            </w:r>
            <w:r w:rsidRPr="002029AF">
              <w:t>disposal</w:t>
            </w:r>
            <w:r w:rsidR="000A5329" w:rsidRPr="002029AF">
              <w:t xml:space="preserve"> </w:t>
            </w:r>
            <w:r w:rsidRPr="002029AF">
              <w:t>of</w:t>
            </w:r>
            <w:r w:rsidR="000A5329" w:rsidRPr="002029AF">
              <w:t xml:space="preserve"> </w:t>
            </w:r>
            <w:r w:rsidRPr="002029AF">
              <w:t>non-financial</w:t>
            </w:r>
            <w:r w:rsidR="000A5329" w:rsidRPr="002029AF">
              <w:t xml:space="preserve"> </w:t>
            </w:r>
            <w:r w:rsidRPr="002029AF">
              <w:t>physical</w:t>
            </w:r>
            <w:r w:rsidR="000A5329" w:rsidRPr="002029AF">
              <w:t xml:space="preserve"> </w:t>
            </w:r>
            <w:r w:rsidRPr="002029AF">
              <w:t>assets</w:t>
            </w:r>
          </w:p>
        </w:tc>
        <w:tc>
          <w:tcPr>
            <w:tcW w:w="1134" w:type="dxa"/>
            <w:tcBorders>
              <w:bottom w:val="single" w:sz="4" w:space="0" w:color="auto"/>
            </w:tcBorders>
            <w:shd w:val="clear" w:color="auto" w:fill="E7E6E6"/>
            <w:noWrap/>
            <w:hideMark/>
          </w:tcPr>
          <w:p w14:paraId="00E4C301" w14:textId="77777777" w:rsidR="00087B91" w:rsidRPr="002029AF" w:rsidRDefault="00087B91" w:rsidP="00860E95">
            <w:pPr>
              <w:pStyle w:val="ARfintablebodyrightbold"/>
            </w:pPr>
            <w:r w:rsidRPr="002029AF">
              <w:t>99.3</w:t>
            </w:r>
          </w:p>
        </w:tc>
        <w:tc>
          <w:tcPr>
            <w:tcW w:w="1134" w:type="dxa"/>
            <w:tcBorders>
              <w:bottom w:val="single" w:sz="4" w:space="0" w:color="auto"/>
            </w:tcBorders>
            <w:noWrap/>
            <w:hideMark/>
          </w:tcPr>
          <w:p w14:paraId="6319BA6E" w14:textId="77777777" w:rsidR="00087B91" w:rsidRPr="002029AF" w:rsidRDefault="00087B91" w:rsidP="00860E95">
            <w:pPr>
              <w:pStyle w:val="ARfintablebodyrightbold"/>
            </w:pPr>
            <w:r w:rsidRPr="002029AF">
              <w:t>69.5</w:t>
            </w:r>
          </w:p>
        </w:tc>
      </w:tr>
      <w:tr w:rsidR="00087B91" w:rsidRPr="002029AF" w14:paraId="54EA8E1E" w14:textId="77777777" w:rsidTr="00860E95">
        <w:tc>
          <w:tcPr>
            <w:tcW w:w="9637" w:type="dxa"/>
            <w:gridSpan w:val="3"/>
            <w:tcBorders>
              <w:top w:val="single" w:sz="4" w:space="0" w:color="auto"/>
              <w:bottom w:val="single" w:sz="4" w:space="0" w:color="A6A6A6"/>
            </w:tcBorders>
            <w:hideMark/>
          </w:tcPr>
          <w:p w14:paraId="632D1E26" w14:textId="1CA0913D" w:rsidR="00087B91" w:rsidRPr="002029AF" w:rsidRDefault="00087B91" w:rsidP="00860E95">
            <w:pPr>
              <w:pStyle w:val="ARfintablebodybold"/>
            </w:pPr>
            <w:r w:rsidRPr="002029AF">
              <w:t>Costs</w:t>
            </w:r>
            <w:r w:rsidR="000A5329" w:rsidRPr="002029AF">
              <w:t xml:space="preserve"> </w:t>
            </w:r>
            <w:r w:rsidRPr="002029AF">
              <w:t>on</w:t>
            </w:r>
            <w:r w:rsidR="000A5329" w:rsidRPr="002029AF">
              <w:t xml:space="preserve"> </w:t>
            </w:r>
            <w:r w:rsidRPr="002029AF">
              <w:t>disposal</w:t>
            </w:r>
            <w:r w:rsidR="000A5329" w:rsidRPr="002029AF">
              <w:t xml:space="preserve"> </w:t>
            </w:r>
            <w:r w:rsidRPr="002029AF">
              <w:t>of</w:t>
            </w:r>
            <w:r w:rsidR="000A5329" w:rsidRPr="002029AF">
              <w:t xml:space="preserve"> </w:t>
            </w:r>
            <w:r w:rsidRPr="002029AF">
              <w:t>non-financial</w:t>
            </w:r>
            <w:r w:rsidR="000A5329" w:rsidRPr="002029AF">
              <w:t xml:space="preserve"> </w:t>
            </w:r>
            <w:r w:rsidRPr="002029AF">
              <w:t>physical</w:t>
            </w:r>
            <w:r w:rsidR="000A5329" w:rsidRPr="002029AF">
              <w:t xml:space="preserve"> </w:t>
            </w:r>
            <w:r w:rsidRPr="002029AF">
              <w:t>assets</w:t>
            </w:r>
          </w:p>
        </w:tc>
      </w:tr>
      <w:tr w:rsidR="00087B91" w:rsidRPr="002029AF" w14:paraId="1D5429A0" w14:textId="77777777" w:rsidTr="00860E95">
        <w:tc>
          <w:tcPr>
            <w:tcW w:w="7369" w:type="dxa"/>
            <w:tcBorders>
              <w:top w:val="single" w:sz="4" w:space="0" w:color="A6A6A6"/>
              <w:bottom w:val="single" w:sz="4" w:space="0" w:color="A6A6A6"/>
            </w:tcBorders>
            <w:hideMark/>
          </w:tcPr>
          <w:p w14:paraId="455AE778" w14:textId="77777777" w:rsidR="00087B91" w:rsidRPr="002029AF" w:rsidRDefault="00087B91" w:rsidP="00860E95">
            <w:pPr>
              <w:pStyle w:val="ARfintablebody"/>
            </w:pPr>
            <w:r w:rsidRPr="002029AF">
              <w:t>Land</w:t>
            </w:r>
          </w:p>
        </w:tc>
        <w:tc>
          <w:tcPr>
            <w:tcW w:w="1134" w:type="dxa"/>
            <w:tcBorders>
              <w:top w:val="single" w:sz="4" w:space="0" w:color="A6A6A6"/>
              <w:bottom w:val="single" w:sz="4" w:space="0" w:color="A6A6A6"/>
            </w:tcBorders>
            <w:shd w:val="clear" w:color="auto" w:fill="E7E6E6"/>
            <w:noWrap/>
            <w:hideMark/>
          </w:tcPr>
          <w:p w14:paraId="4B6EC6E0" w14:textId="77777777" w:rsidR="00087B91" w:rsidRPr="002029AF" w:rsidRDefault="00087B91" w:rsidP="00860E95">
            <w:pPr>
              <w:pStyle w:val="ARfintablebodyright"/>
            </w:pPr>
            <w:r w:rsidRPr="002029AF">
              <w:t>45.0</w:t>
            </w:r>
          </w:p>
        </w:tc>
        <w:tc>
          <w:tcPr>
            <w:tcW w:w="1134" w:type="dxa"/>
            <w:tcBorders>
              <w:top w:val="single" w:sz="4" w:space="0" w:color="A6A6A6"/>
              <w:bottom w:val="single" w:sz="4" w:space="0" w:color="A6A6A6"/>
            </w:tcBorders>
            <w:noWrap/>
            <w:hideMark/>
          </w:tcPr>
          <w:p w14:paraId="73D068DF" w14:textId="77777777" w:rsidR="00087B91" w:rsidRPr="002029AF" w:rsidRDefault="00087B91" w:rsidP="00860E95">
            <w:pPr>
              <w:pStyle w:val="ARfintablebodyright"/>
            </w:pPr>
            <w:r w:rsidRPr="002029AF">
              <w:t>53.1</w:t>
            </w:r>
          </w:p>
        </w:tc>
      </w:tr>
      <w:tr w:rsidR="00087B91" w:rsidRPr="002029AF" w14:paraId="4FEDE092" w14:textId="77777777" w:rsidTr="00860E95">
        <w:tc>
          <w:tcPr>
            <w:tcW w:w="7369" w:type="dxa"/>
            <w:tcBorders>
              <w:top w:val="single" w:sz="4" w:space="0" w:color="A6A6A6"/>
              <w:bottom w:val="single" w:sz="4" w:space="0" w:color="A6A6A6"/>
            </w:tcBorders>
            <w:hideMark/>
          </w:tcPr>
          <w:p w14:paraId="40CDA748" w14:textId="77777777" w:rsidR="00087B91" w:rsidRPr="002029AF" w:rsidRDefault="00087B91" w:rsidP="00860E95">
            <w:pPr>
              <w:pStyle w:val="ARfintablebody"/>
            </w:pPr>
            <w:r w:rsidRPr="002029AF">
              <w:t>Buildings</w:t>
            </w:r>
          </w:p>
        </w:tc>
        <w:tc>
          <w:tcPr>
            <w:tcW w:w="1134" w:type="dxa"/>
            <w:tcBorders>
              <w:top w:val="single" w:sz="4" w:space="0" w:color="A6A6A6"/>
              <w:bottom w:val="single" w:sz="4" w:space="0" w:color="A6A6A6"/>
            </w:tcBorders>
            <w:shd w:val="clear" w:color="auto" w:fill="E7E6E6"/>
            <w:noWrap/>
            <w:hideMark/>
          </w:tcPr>
          <w:p w14:paraId="2C974BED" w14:textId="77777777" w:rsidR="00087B91" w:rsidRPr="002029AF" w:rsidRDefault="00087B91" w:rsidP="00860E95">
            <w:pPr>
              <w:pStyle w:val="ARfintablebodyright"/>
            </w:pPr>
            <w:r w:rsidRPr="002029AF">
              <w:t>48.3</w:t>
            </w:r>
          </w:p>
        </w:tc>
        <w:tc>
          <w:tcPr>
            <w:tcW w:w="1134" w:type="dxa"/>
            <w:tcBorders>
              <w:top w:val="single" w:sz="4" w:space="0" w:color="A6A6A6"/>
              <w:bottom w:val="single" w:sz="4" w:space="0" w:color="A6A6A6"/>
            </w:tcBorders>
            <w:noWrap/>
            <w:hideMark/>
          </w:tcPr>
          <w:p w14:paraId="4348839C" w14:textId="77777777" w:rsidR="00087B91" w:rsidRPr="002029AF" w:rsidRDefault="00087B91" w:rsidP="00860E95">
            <w:pPr>
              <w:pStyle w:val="ARfintablebodyright"/>
            </w:pPr>
            <w:r w:rsidRPr="002029AF">
              <w:t>9.8</w:t>
            </w:r>
          </w:p>
        </w:tc>
      </w:tr>
      <w:tr w:rsidR="00087B91" w:rsidRPr="002029AF" w14:paraId="7EF6E88E" w14:textId="77777777" w:rsidTr="00860E95">
        <w:tc>
          <w:tcPr>
            <w:tcW w:w="7369" w:type="dxa"/>
            <w:tcBorders>
              <w:top w:val="single" w:sz="4" w:space="0" w:color="A6A6A6"/>
              <w:bottom w:val="single" w:sz="4" w:space="0" w:color="A6A6A6"/>
            </w:tcBorders>
            <w:hideMark/>
          </w:tcPr>
          <w:p w14:paraId="73CD2644" w14:textId="443A046A" w:rsidR="00087B91" w:rsidRPr="002029AF" w:rsidRDefault="00087B91" w:rsidP="00860E95">
            <w:pPr>
              <w:pStyle w:val="ARfintablebody"/>
            </w:pPr>
            <w:r w:rsidRPr="002029AF">
              <w:t>Shared</w:t>
            </w:r>
            <w:r w:rsidR="000A5329" w:rsidRPr="002029AF">
              <w:t xml:space="preserve"> </w:t>
            </w:r>
            <w:r w:rsidRPr="002029AF">
              <w:t>home</w:t>
            </w:r>
            <w:r w:rsidR="000A5329" w:rsidRPr="002029AF">
              <w:t xml:space="preserve"> </w:t>
            </w:r>
            <w:r w:rsidRPr="002029AF">
              <w:t>ownership</w:t>
            </w:r>
            <w:r w:rsidR="000A5329" w:rsidRPr="002029AF">
              <w:t xml:space="preserve"> </w:t>
            </w:r>
            <w:r w:rsidRPr="002029AF">
              <w:t>scheme</w:t>
            </w:r>
          </w:p>
        </w:tc>
        <w:tc>
          <w:tcPr>
            <w:tcW w:w="1134" w:type="dxa"/>
            <w:tcBorders>
              <w:top w:val="single" w:sz="4" w:space="0" w:color="A6A6A6"/>
              <w:bottom w:val="single" w:sz="4" w:space="0" w:color="A6A6A6"/>
            </w:tcBorders>
            <w:shd w:val="clear" w:color="auto" w:fill="E7E6E6"/>
            <w:noWrap/>
            <w:hideMark/>
          </w:tcPr>
          <w:p w14:paraId="2041E7C1" w14:textId="77777777" w:rsidR="00087B91" w:rsidRPr="002029AF" w:rsidRDefault="00087B91" w:rsidP="00860E95">
            <w:pPr>
              <w:pStyle w:val="ARfintablebodyright"/>
            </w:pPr>
            <w:r w:rsidRPr="002029AF">
              <w:t>2.1</w:t>
            </w:r>
          </w:p>
        </w:tc>
        <w:tc>
          <w:tcPr>
            <w:tcW w:w="1134" w:type="dxa"/>
            <w:tcBorders>
              <w:top w:val="single" w:sz="4" w:space="0" w:color="A6A6A6"/>
              <w:bottom w:val="single" w:sz="4" w:space="0" w:color="A6A6A6"/>
            </w:tcBorders>
            <w:noWrap/>
            <w:hideMark/>
          </w:tcPr>
          <w:p w14:paraId="1B64A411" w14:textId="77777777" w:rsidR="00087B91" w:rsidRPr="002029AF" w:rsidRDefault="00087B91" w:rsidP="00860E95">
            <w:pPr>
              <w:pStyle w:val="ARfintablebodyright"/>
            </w:pPr>
            <w:r w:rsidRPr="002029AF">
              <w:t>1.0</w:t>
            </w:r>
          </w:p>
        </w:tc>
      </w:tr>
      <w:tr w:rsidR="00087B91" w:rsidRPr="002029AF" w14:paraId="2EF06CE1" w14:textId="77777777" w:rsidTr="00860E95">
        <w:tc>
          <w:tcPr>
            <w:tcW w:w="7369" w:type="dxa"/>
            <w:tcBorders>
              <w:top w:val="single" w:sz="4" w:space="0" w:color="A6A6A6"/>
              <w:bottom w:val="single" w:sz="4" w:space="0" w:color="A6A6A6"/>
            </w:tcBorders>
            <w:hideMark/>
          </w:tcPr>
          <w:p w14:paraId="61447B42" w14:textId="0DF0DDF8" w:rsidR="00087B91" w:rsidRPr="002029AF" w:rsidRDefault="00087B91" w:rsidP="00860E95">
            <w:pPr>
              <w:pStyle w:val="ARfintablebody"/>
            </w:pPr>
            <w:r w:rsidRPr="002029AF">
              <w:t>Community</w:t>
            </w:r>
            <w:r w:rsidR="000A5329" w:rsidRPr="002029AF">
              <w:t xml:space="preserve"> </w:t>
            </w:r>
            <w:r w:rsidRPr="002029AF">
              <w:t>services</w:t>
            </w:r>
            <w:r w:rsidR="000A5329" w:rsidRPr="002029AF">
              <w:t xml:space="preserve"> </w:t>
            </w:r>
            <w:r w:rsidRPr="002029AF">
              <w:t>properties</w:t>
            </w:r>
          </w:p>
        </w:tc>
        <w:tc>
          <w:tcPr>
            <w:tcW w:w="1134" w:type="dxa"/>
            <w:tcBorders>
              <w:top w:val="single" w:sz="4" w:space="0" w:color="A6A6A6"/>
              <w:bottom w:val="single" w:sz="4" w:space="0" w:color="A6A6A6"/>
            </w:tcBorders>
            <w:shd w:val="clear" w:color="auto" w:fill="E7E6E6"/>
            <w:noWrap/>
            <w:hideMark/>
          </w:tcPr>
          <w:p w14:paraId="1B396D91" w14:textId="77777777" w:rsidR="00087B91" w:rsidRPr="002029AF" w:rsidRDefault="00087B91" w:rsidP="00860E95">
            <w:pPr>
              <w:pStyle w:val="ARfintablebodyright"/>
            </w:pPr>
            <w:r w:rsidRPr="002029AF">
              <w:t>1.0</w:t>
            </w:r>
          </w:p>
        </w:tc>
        <w:tc>
          <w:tcPr>
            <w:tcW w:w="1134" w:type="dxa"/>
            <w:tcBorders>
              <w:top w:val="single" w:sz="4" w:space="0" w:color="A6A6A6"/>
              <w:bottom w:val="single" w:sz="4" w:space="0" w:color="A6A6A6"/>
            </w:tcBorders>
            <w:noWrap/>
            <w:hideMark/>
          </w:tcPr>
          <w:p w14:paraId="052D1E4F" w14:textId="77777777" w:rsidR="00087B91" w:rsidRPr="002029AF" w:rsidRDefault="00087B91" w:rsidP="00860E95">
            <w:pPr>
              <w:pStyle w:val="ARfintablebodyright"/>
            </w:pPr>
            <w:r w:rsidRPr="002029AF">
              <w:t>0.3</w:t>
            </w:r>
          </w:p>
        </w:tc>
      </w:tr>
      <w:tr w:rsidR="00087B91" w:rsidRPr="002029AF" w14:paraId="603CFA33" w14:textId="77777777" w:rsidTr="00860E95">
        <w:tc>
          <w:tcPr>
            <w:tcW w:w="7369" w:type="dxa"/>
            <w:tcBorders>
              <w:top w:val="single" w:sz="4" w:space="0" w:color="A6A6A6"/>
            </w:tcBorders>
            <w:hideMark/>
          </w:tcPr>
          <w:p w14:paraId="588DC5B5" w14:textId="0A350DA6" w:rsidR="00087B91" w:rsidRPr="002029AF" w:rsidRDefault="00087B91" w:rsidP="00860E95">
            <w:pPr>
              <w:pStyle w:val="ARfintablebody"/>
            </w:pPr>
            <w:r w:rsidRPr="002029AF">
              <w:t>Miscellaneous</w:t>
            </w:r>
            <w:r w:rsidR="000A5329" w:rsidRPr="002029AF">
              <w:t xml:space="preserve"> </w:t>
            </w:r>
            <w:r w:rsidRPr="002029AF">
              <w:t>assets</w:t>
            </w:r>
          </w:p>
        </w:tc>
        <w:tc>
          <w:tcPr>
            <w:tcW w:w="1134" w:type="dxa"/>
            <w:tcBorders>
              <w:top w:val="single" w:sz="4" w:space="0" w:color="A6A6A6"/>
            </w:tcBorders>
            <w:shd w:val="clear" w:color="auto" w:fill="E7E6E6"/>
            <w:noWrap/>
            <w:hideMark/>
          </w:tcPr>
          <w:p w14:paraId="51E6A604" w14:textId="77777777" w:rsidR="00087B91" w:rsidRPr="002029AF" w:rsidRDefault="00087B91" w:rsidP="00860E95">
            <w:pPr>
              <w:pStyle w:val="ARfintablebodyright"/>
            </w:pPr>
            <w:r w:rsidRPr="002029AF">
              <w:t>7.4</w:t>
            </w:r>
          </w:p>
        </w:tc>
        <w:tc>
          <w:tcPr>
            <w:tcW w:w="1134" w:type="dxa"/>
            <w:tcBorders>
              <w:top w:val="single" w:sz="4" w:space="0" w:color="A6A6A6"/>
            </w:tcBorders>
            <w:noWrap/>
            <w:hideMark/>
          </w:tcPr>
          <w:p w14:paraId="187BCB8F" w14:textId="77777777" w:rsidR="00087B91" w:rsidRPr="002029AF" w:rsidRDefault="00087B91" w:rsidP="00860E95">
            <w:pPr>
              <w:pStyle w:val="ARfintablebodyright"/>
            </w:pPr>
            <w:r w:rsidRPr="002029AF">
              <w:t>11.7</w:t>
            </w:r>
          </w:p>
        </w:tc>
      </w:tr>
      <w:tr w:rsidR="00087B91" w:rsidRPr="002029AF" w14:paraId="1494C9A0" w14:textId="77777777" w:rsidTr="00860E95">
        <w:tc>
          <w:tcPr>
            <w:tcW w:w="7369" w:type="dxa"/>
            <w:hideMark/>
          </w:tcPr>
          <w:p w14:paraId="1E575AC9" w14:textId="1E85F2C0" w:rsidR="00087B91" w:rsidRPr="002029AF" w:rsidRDefault="00087B91" w:rsidP="00860E95">
            <w:pPr>
              <w:pStyle w:val="ARfintablebodybold"/>
            </w:pPr>
            <w:r w:rsidRPr="002029AF">
              <w:t>Total</w:t>
            </w:r>
            <w:r w:rsidR="000A5329" w:rsidRPr="002029AF">
              <w:t xml:space="preserve"> </w:t>
            </w:r>
            <w:r w:rsidRPr="002029AF">
              <w:t>costs</w:t>
            </w:r>
            <w:r w:rsidR="000A5329" w:rsidRPr="002029AF">
              <w:t xml:space="preserve"> </w:t>
            </w:r>
            <w:r w:rsidRPr="002029AF">
              <w:t>on</w:t>
            </w:r>
            <w:r w:rsidR="000A5329" w:rsidRPr="002029AF">
              <w:t xml:space="preserve"> </w:t>
            </w:r>
            <w:r w:rsidRPr="002029AF">
              <w:t>disposal</w:t>
            </w:r>
            <w:r w:rsidR="000A5329" w:rsidRPr="002029AF">
              <w:t xml:space="preserve"> </w:t>
            </w:r>
            <w:r w:rsidRPr="002029AF">
              <w:t>of</w:t>
            </w:r>
            <w:r w:rsidR="000A5329" w:rsidRPr="002029AF">
              <w:t xml:space="preserve"> </w:t>
            </w:r>
            <w:r w:rsidRPr="002029AF">
              <w:t>non-financial</w:t>
            </w:r>
            <w:r w:rsidR="000A5329" w:rsidRPr="002029AF">
              <w:t xml:space="preserve"> </w:t>
            </w:r>
            <w:r w:rsidRPr="002029AF">
              <w:t>physical</w:t>
            </w:r>
            <w:r w:rsidR="000A5329" w:rsidRPr="002029AF">
              <w:t xml:space="preserve"> </w:t>
            </w:r>
            <w:r w:rsidRPr="002029AF">
              <w:t>assets</w:t>
            </w:r>
          </w:p>
        </w:tc>
        <w:tc>
          <w:tcPr>
            <w:tcW w:w="1134" w:type="dxa"/>
            <w:shd w:val="clear" w:color="auto" w:fill="E7E6E6"/>
            <w:noWrap/>
            <w:hideMark/>
          </w:tcPr>
          <w:p w14:paraId="184285D9" w14:textId="77777777" w:rsidR="00087B91" w:rsidRPr="002029AF" w:rsidRDefault="00087B91" w:rsidP="00860E95">
            <w:pPr>
              <w:pStyle w:val="ARfintablebodyrightbold"/>
            </w:pPr>
            <w:r w:rsidRPr="002029AF">
              <w:t>103.8</w:t>
            </w:r>
          </w:p>
        </w:tc>
        <w:tc>
          <w:tcPr>
            <w:tcW w:w="1134" w:type="dxa"/>
            <w:noWrap/>
            <w:hideMark/>
          </w:tcPr>
          <w:p w14:paraId="4B158B7B" w14:textId="77777777" w:rsidR="00087B91" w:rsidRPr="002029AF" w:rsidRDefault="00087B91" w:rsidP="00860E95">
            <w:pPr>
              <w:pStyle w:val="ARfintablebodyrightbold"/>
            </w:pPr>
            <w:r w:rsidRPr="002029AF">
              <w:t>76.0</w:t>
            </w:r>
          </w:p>
        </w:tc>
      </w:tr>
      <w:tr w:rsidR="00087B91" w:rsidRPr="002029AF" w14:paraId="4769AB6E" w14:textId="77777777" w:rsidTr="00860E95">
        <w:tc>
          <w:tcPr>
            <w:tcW w:w="7369" w:type="dxa"/>
            <w:tcBorders>
              <w:bottom w:val="single" w:sz="4" w:space="0" w:color="auto"/>
            </w:tcBorders>
            <w:hideMark/>
          </w:tcPr>
          <w:p w14:paraId="2B07ADBB" w14:textId="542DCE8E" w:rsidR="00087B91" w:rsidRPr="002029AF" w:rsidRDefault="00087B91" w:rsidP="00860E95">
            <w:pPr>
              <w:pStyle w:val="ARfintablebodybold"/>
            </w:pPr>
            <w:r w:rsidRPr="002029AF">
              <w:t>Net</w:t>
            </w:r>
            <w:r w:rsidR="000A5329" w:rsidRPr="002029AF">
              <w:t xml:space="preserve"> </w:t>
            </w:r>
            <w:r w:rsidRPr="002029AF">
              <w:t>gain/(loss)</w:t>
            </w:r>
            <w:r w:rsidR="000A5329" w:rsidRPr="002029AF">
              <w:t xml:space="preserve"> </w:t>
            </w:r>
            <w:r w:rsidRPr="002029AF">
              <w:t>on</w:t>
            </w:r>
            <w:r w:rsidR="000A5329" w:rsidRPr="002029AF">
              <w:t xml:space="preserve"> </w:t>
            </w:r>
            <w:r w:rsidRPr="002029AF">
              <w:t>non-financial</w:t>
            </w:r>
            <w:r w:rsidR="000A5329" w:rsidRPr="002029AF">
              <w:t xml:space="preserve"> </w:t>
            </w:r>
            <w:r w:rsidRPr="002029AF">
              <w:t>assets</w:t>
            </w:r>
          </w:p>
        </w:tc>
        <w:tc>
          <w:tcPr>
            <w:tcW w:w="1134" w:type="dxa"/>
            <w:tcBorders>
              <w:bottom w:val="single" w:sz="4" w:space="0" w:color="auto"/>
            </w:tcBorders>
            <w:shd w:val="clear" w:color="auto" w:fill="E7E6E6"/>
            <w:noWrap/>
            <w:hideMark/>
          </w:tcPr>
          <w:p w14:paraId="60A0B806" w14:textId="77777777" w:rsidR="00087B91" w:rsidRPr="002029AF" w:rsidRDefault="00087B91" w:rsidP="00860E95">
            <w:pPr>
              <w:pStyle w:val="ARfintablebodyrightbold"/>
            </w:pPr>
            <w:r w:rsidRPr="002029AF">
              <w:t>(4.5)</w:t>
            </w:r>
          </w:p>
        </w:tc>
        <w:tc>
          <w:tcPr>
            <w:tcW w:w="1134" w:type="dxa"/>
            <w:tcBorders>
              <w:bottom w:val="single" w:sz="4" w:space="0" w:color="auto"/>
            </w:tcBorders>
            <w:noWrap/>
            <w:hideMark/>
          </w:tcPr>
          <w:p w14:paraId="10C096E6" w14:textId="77777777" w:rsidR="00087B91" w:rsidRPr="002029AF" w:rsidRDefault="00087B91" w:rsidP="00860E95">
            <w:pPr>
              <w:pStyle w:val="ARfintablebodyrightbold"/>
            </w:pPr>
            <w:r w:rsidRPr="002029AF">
              <w:t>(6.5)</w:t>
            </w:r>
          </w:p>
        </w:tc>
      </w:tr>
      <w:tr w:rsidR="00087B91" w:rsidRPr="002029AF" w14:paraId="775A68A7" w14:textId="77777777" w:rsidTr="00860E95">
        <w:tc>
          <w:tcPr>
            <w:tcW w:w="9637" w:type="dxa"/>
            <w:gridSpan w:val="3"/>
            <w:tcBorders>
              <w:top w:val="single" w:sz="4" w:space="0" w:color="auto"/>
              <w:bottom w:val="single" w:sz="4" w:space="0" w:color="A6A6A6"/>
            </w:tcBorders>
            <w:hideMark/>
          </w:tcPr>
          <w:p w14:paraId="3BE26571" w14:textId="28CE975D" w:rsidR="00087B91" w:rsidRPr="002029AF" w:rsidRDefault="00087B91" w:rsidP="00860E95">
            <w:pPr>
              <w:pStyle w:val="ARfintablebodybold"/>
            </w:pPr>
            <w:r w:rsidRPr="002029AF">
              <w:t>(b)</w:t>
            </w:r>
            <w:r w:rsidR="000A5329" w:rsidRPr="002029AF">
              <w:t xml:space="preserve"> </w:t>
            </w:r>
            <w:r w:rsidRPr="002029AF">
              <w:t>Net</w:t>
            </w:r>
            <w:r w:rsidR="000A5329" w:rsidRPr="002029AF">
              <w:t xml:space="preserve"> </w:t>
            </w:r>
            <w:r w:rsidRPr="002029AF">
              <w:t>gain/(loss)</w:t>
            </w:r>
            <w:r w:rsidR="000A5329" w:rsidRPr="002029AF">
              <w:t xml:space="preserve"> </w:t>
            </w:r>
            <w:r w:rsidRPr="002029AF">
              <w:t>on</w:t>
            </w:r>
            <w:r w:rsidR="000A5329" w:rsidRPr="002029AF">
              <w:t xml:space="preserve"> </w:t>
            </w:r>
            <w:r w:rsidRPr="002029AF">
              <w:t>financial</w:t>
            </w:r>
            <w:r w:rsidR="000A5329" w:rsidRPr="002029AF">
              <w:t xml:space="preserve"> </w:t>
            </w:r>
            <w:r w:rsidRPr="002029AF">
              <w:t>instruments</w:t>
            </w:r>
          </w:p>
        </w:tc>
      </w:tr>
      <w:tr w:rsidR="00087B91" w:rsidRPr="002029AF" w14:paraId="123B0EF9" w14:textId="77777777" w:rsidTr="00860E95">
        <w:tc>
          <w:tcPr>
            <w:tcW w:w="7369" w:type="dxa"/>
            <w:tcBorders>
              <w:top w:val="single" w:sz="4" w:space="0" w:color="A6A6A6"/>
            </w:tcBorders>
            <w:hideMark/>
          </w:tcPr>
          <w:p w14:paraId="626DCF3E" w14:textId="4912AEFB" w:rsidR="00087B91" w:rsidRPr="002029AF" w:rsidRDefault="00087B91" w:rsidP="00860E95">
            <w:pPr>
              <w:pStyle w:val="ARfintablebody"/>
            </w:pPr>
            <w:r w:rsidRPr="002029AF">
              <w:t>Net</w:t>
            </w:r>
            <w:r w:rsidR="000A5329" w:rsidRPr="002029AF">
              <w:t xml:space="preserve"> </w:t>
            </w:r>
            <w:r w:rsidRPr="002029AF">
              <w:t>gain/(loss)</w:t>
            </w:r>
            <w:r w:rsidR="000A5329" w:rsidRPr="002029AF">
              <w:t xml:space="preserve"> </w:t>
            </w:r>
            <w:r w:rsidRPr="002029AF">
              <w:t>on</w:t>
            </w:r>
            <w:r w:rsidR="000A5329" w:rsidRPr="002029AF">
              <w:t xml:space="preserve"> </w:t>
            </w:r>
            <w:r w:rsidRPr="002029AF">
              <w:t>financial</w:t>
            </w:r>
            <w:r w:rsidR="000A5329" w:rsidRPr="002029AF">
              <w:t xml:space="preserve"> </w:t>
            </w:r>
            <w:r w:rsidRPr="002029AF">
              <w:t>instruments</w:t>
            </w:r>
            <w:r w:rsidR="000A5329" w:rsidRPr="002029AF">
              <w:t xml:space="preserve"> </w:t>
            </w:r>
            <w:r w:rsidRPr="002029AF">
              <w:t>and</w:t>
            </w:r>
            <w:r w:rsidR="000A5329" w:rsidRPr="002029AF">
              <w:t xml:space="preserve"> </w:t>
            </w:r>
            <w:r w:rsidRPr="002029AF">
              <w:t>statutory</w:t>
            </w:r>
            <w:r w:rsidR="000A5329" w:rsidRPr="002029AF">
              <w:t xml:space="preserve"> </w:t>
            </w:r>
            <w:r w:rsidRPr="002029AF">
              <w:t>receivables/payables</w:t>
            </w:r>
          </w:p>
        </w:tc>
        <w:tc>
          <w:tcPr>
            <w:tcW w:w="1134" w:type="dxa"/>
            <w:tcBorders>
              <w:top w:val="single" w:sz="4" w:space="0" w:color="A6A6A6"/>
            </w:tcBorders>
            <w:shd w:val="clear" w:color="auto" w:fill="E7E6E6"/>
            <w:noWrap/>
            <w:hideMark/>
          </w:tcPr>
          <w:p w14:paraId="29B4720A" w14:textId="77777777" w:rsidR="00087B91" w:rsidRPr="002029AF" w:rsidRDefault="00087B91" w:rsidP="00860E95">
            <w:pPr>
              <w:pStyle w:val="ARfintablebodyright"/>
            </w:pPr>
            <w:r w:rsidRPr="002029AF">
              <w:t>0.4</w:t>
            </w:r>
          </w:p>
        </w:tc>
        <w:tc>
          <w:tcPr>
            <w:tcW w:w="1134" w:type="dxa"/>
            <w:tcBorders>
              <w:top w:val="single" w:sz="4" w:space="0" w:color="A6A6A6"/>
            </w:tcBorders>
            <w:noWrap/>
            <w:hideMark/>
          </w:tcPr>
          <w:p w14:paraId="0A87AE6C" w14:textId="77777777" w:rsidR="00087B91" w:rsidRPr="002029AF" w:rsidRDefault="00087B91" w:rsidP="00860E95">
            <w:pPr>
              <w:pStyle w:val="ARfintablebodyright"/>
            </w:pPr>
            <w:r w:rsidRPr="002029AF">
              <w:t>0.2</w:t>
            </w:r>
          </w:p>
        </w:tc>
      </w:tr>
      <w:tr w:rsidR="00087B91" w:rsidRPr="002029AF" w14:paraId="6D9A372F" w14:textId="77777777" w:rsidTr="00860E95">
        <w:tc>
          <w:tcPr>
            <w:tcW w:w="7369" w:type="dxa"/>
            <w:tcBorders>
              <w:bottom w:val="single" w:sz="4" w:space="0" w:color="auto"/>
            </w:tcBorders>
            <w:hideMark/>
          </w:tcPr>
          <w:p w14:paraId="7EBA2099" w14:textId="1DBDECED" w:rsidR="00087B91" w:rsidRPr="002029AF" w:rsidRDefault="00087B91" w:rsidP="00860E95">
            <w:pPr>
              <w:pStyle w:val="ARfintablebodybold"/>
            </w:pPr>
            <w:r w:rsidRPr="002029AF">
              <w:t>Total</w:t>
            </w:r>
            <w:r w:rsidR="000A5329" w:rsidRPr="002029AF">
              <w:t xml:space="preserve"> </w:t>
            </w:r>
            <w:r w:rsidRPr="002029AF">
              <w:t>net</w:t>
            </w:r>
            <w:r w:rsidR="000A5329" w:rsidRPr="002029AF">
              <w:t xml:space="preserve"> </w:t>
            </w:r>
            <w:r w:rsidRPr="002029AF">
              <w:t>gain/(loss)</w:t>
            </w:r>
            <w:r w:rsidR="000A5329" w:rsidRPr="002029AF">
              <w:t xml:space="preserve"> </w:t>
            </w:r>
            <w:r w:rsidRPr="002029AF">
              <w:t>on</w:t>
            </w:r>
            <w:r w:rsidR="000A5329" w:rsidRPr="002029AF">
              <w:t xml:space="preserve"> </w:t>
            </w:r>
            <w:r w:rsidRPr="002029AF">
              <w:t>financial</w:t>
            </w:r>
            <w:r w:rsidR="000A5329" w:rsidRPr="002029AF">
              <w:t xml:space="preserve"> </w:t>
            </w:r>
            <w:r w:rsidRPr="002029AF">
              <w:t>instruments</w:t>
            </w:r>
          </w:p>
        </w:tc>
        <w:tc>
          <w:tcPr>
            <w:tcW w:w="1134" w:type="dxa"/>
            <w:tcBorders>
              <w:bottom w:val="single" w:sz="4" w:space="0" w:color="auto"/>
            </w:tcBorders>
            <w:shd w:val="clear" w:color="auto" w:fill="E7E6E6"/>
            <w:noWrap/>
            <w:hideMark/>
          </w:tcPr>
          <w:p w14:paraId="45818BFC" w14:textId="77777777" w:rsidR="00087B91" w:rsidRPr="002029AF" w:rsidRDefault="00087B91" w:rsidP="00860E95">
            <w:pPr>
              <w:pStyle w:val="ARfintablebodyrightbold"/>
            </w:pPr>
            <w:r w:rsidRPr="002029AF">
              <w:t>0.4</w:t>
            </w:r>
          </w:p>
        </w:tc>
        <w:tc>
          <w:tcPr>
            <w:tcW w:w="1134" w:type="dxa"/>
            <w:tcBorders>
              <w:bottom w:val="single" w:sz="4" w:space="0" w:color="auto"/>
            </w:tcBorders>
            <w:noWrap/>
            <w:hideMark/>
          </w:tcPr>
          <w:p w14:paraId="15E42CDF" w14:textId="77777777" w:rsidR="00087B91" w:rsidRPr="002029AF" w:rsidRDefault="00087B91" w:rsidP="00860E95">
            <w:pPr>
              <w:pStyle w:val="ARfintablebodyrightbold"/>
            </w:pPr>
            <w:r w:rsidRPr="002029AF">
              <w:t>0.2</w:t>
            </w:r>
          </w:p>
        </w:tc>
      </w:tr>
      <w:tr w:rsidR="00087B91" w:rsidRPr="002029AF" w14:paraId="58FD0E37" w14:textId="77777777" w:rsidTr="00860E95">
        <w:tc>
          <w:tcPr>
            <w:tcW w:w="9637" w:type="dxa"/>
            <w:gridSpan w:val="3"/>
            <w:tcBorders>
              <w:top w:val="single" w:sz="4" w:space="0" w:color="auto"/>
              <w:bottom w:val="single" w:sz="4" w:space="0" w:color="A6A6A6"/>
            </w:tcBorders>
            <w:hideMark/>
          </w:tcPr>
          <w:p w14:paraId="5043ED8D" w14:textId="5902DB02" w:rsidR="00087B91" w:rsidRPr="002029AF" w:rsidRDefault="00087B91" w:rsidP="00860E95">
            <w:pPr>
              <w:pStyle w:val="ARfintablebodybold"/>
            </w:pPr>
            <w:r w:rsidRPr="002029AF">
              <w:t>(c)</w:t>
            </w:r>
            <w:r w:rsidR="000A5329" w:rsidRPr="002029AF">
              <w:t xml:space="preserve"> </w:t>
            </w:r>
            <w:r w:rsidRPr="002029AF">
              <w:t>Impairment</w:t>
            </w:r>
            <w:r w:rsidR="000A5329" w:rsidRPr="002029AF">
              <w:t xml:space="preserve"> </w:t>
            </w:r>
            <w:r w:rsidRPr="002029AF">
              <w:t>of</w:t>
            </w:r>
            <w:r w:rsidR="000A5329" w:rsidRPr="002029AF">
              <w:t xml:space="preserve"> </w:t>
            </w:r>
            <w:r w:rsidRPr="002029AF">
              <w:t>joint</w:t>
            </w:r>
            <w:r w:rsidR="000A5329" w:rsidRPr="002029AF">
              <w:t xml:space="preserve"> </w:t>
            </w:r>
            <w:r w:rsidRPr="002029AF">
              <w:t>venture</w:t>
            </w:r>
          </w:p>
        </w:tc>
      </w:tr>
      <w:tr w:rsidR="00087B91" w:rsidRPr="002029AF" w14:paraId="1F0560DA" w14:textId="77777777" w:rsidTr="00860E95">
        <w:tc>
          <w:tcPr>
            <w:tcW w:w="7369" w:type="dxa"/>
            <w:tcBorders>
              <w:top w:val="single" w:sz="4" w:space="0" w:color="A6A6A6"/>
            </w:tcBorders>
            <w:hideMark/>
          </w:tcPr>
          <w:p w14:paraId="7F174591" w14:textId="3226DC3D" w:rsidR="00087B91" w:rsidRPr="002029AF" w:rsidRDefault="00087B91" w:rsidP="00860E95">
            <w:pPr>
              <w:pStyle w:val="ARfintablebody"/>
            </w:pPr>
            <w:r w:rsidRPr="002029AF">
              <w:t>Impairment</w:t>
            </w:r>
            <w:r w:rsidR="000A5329" w:rsidRPr="002029AF">
              <w:t xml:space="preserve"> </w:t>
            </w:r>
            <w:r w:rsidRPr="002029AF">
              <w:t>of</w:t>
            </w:r>
            <w:r w:rsidR="000A5329" w:rsidRPr="002029AF">
              <w:t xml:space="preserve"> </w:t>
            </w:r>
            <w:r w:rsidRPr="002029AF">
              <w:t>joint</w:t>
            </w:r>
            <w:r w:rsidR="000A5329" w:rsidRPr="002029AF">
              <w:t xml:space="preserve"> </w:t>
            </w:r>
            <w:r w:rsidRPr="002029AF">
              <w:t>venture</w:t>
            </w:r>
          </w:p>
        </w:tc>
        <w:tc>
          <w:tcPr>
            <w:tcW w:w="1134" w:type="dxa"/>
            <w:tcBorders>
              <w:top w:val="single" w:sz="4" w:space="0" w:color="A6A6A6"/>
            </w:tcBorders>
            <w:shd w:val="clear" w:color="auto" w:fill="E7E6E6"/>
            <w:noWrap/>
            <w:hideMark/>
          </w:tcPr>
          <w:p w14:paraId="3AD4D9F7" w14:textId="77777777" w:rsidR="00087B91" w:rsidRPr="002029AF" w:rsidRDefault="00087B91" w:rsidP="00860E95">
            <w:pPr>
              <w:pStyle w:val="ARfintablebodyright"/>
            </w:pPr>
            <w:r w:rsidRPr="002029AF">
              <w:t>(35.0)</w:t>
            </w:r>
          </w:p>
        </w:tc>
        <w:tc>
          <w:tcPr>
            <w:tcW w:w="1134" w:type="dxa"/>
            <w:tcBorders>
              <w:top w:val="single" w:sz="4" w:space="0" w:color="A6A6A6"/>
            </w:tcBorders>
            <w:noWrap/>
            <w:hideMark/>
          </w:tcPr>
          <w:p w14:paraId="12BAB02D" w14:textId="77777777" w:rsidR="00087B91" w:rsidRPr="002029AF" w:rsidRDefault="00087B91" w:rsidP="00860E95">
            <w:pPr>
              <w:pStyle w:val="ARfintablebodyright"/>
            </w:pPr>
            <w:r w:rsidRPr="002029AF">
              <w:t>–</w:t>
            </w:r>
          </w:p>
        </w:tc>
      </w:tr>
      <w:tr w:rsidR="00087B91" w:rsidRPr="002029AF" w14:paraId="33CA212A" w14:textId="77777777" w:rsidTr="00860E95">
        <w:tc>
          <w:tcPr>
            <w:tcW w:w="7369" w:type="dxa"/>
            <w:tcBorders>
              <w:bottom w:val="single" w:sz="4" w:space="0" w:color="auto"/>
            </w:tcBorders>
            <w:hideMark/>
          </w:tcPr>
          <w:p w14:paraId="2C614F02" w14:textId="46481D6E" w:rsidR="00087B91" w:rsidRPr="002029AF" w:rsidRDefault="00087B91" w:rsidP="00860E95">
            <w:pPr>
              <w:pStyle w:val="ARfintablebodybold"/>
            </w:pPr>
            <w:r w:rsidRPr="002029AF">
              <w:t>Total</w:t>
            </w:r>
            <w:r w:rsidR="000A5329" w:rsidRPr="002029AF">
              <w:t xml:space="preserve"> </w:t>
            </w:r>
            <w:r w:rsidRPr="002029AF">
              <w:t>impairment</w:t>
            </w:r>
            <w:r w:rsidR="000A5329" w:rsidRPr="002029AF">
              <w:t xml:space="preserve"> </w:t>
            </w:r>
            <w:r w:rsidRPr="002029AF">
              <w:t>of</w:t>
            </w:r>
            <w:r w:rsidR="000A5329" w:rsidRPr="002029AF">
              <w:t xml:space="preserve"> </w:t>
            </w:r>
            <w:r w:rsidRPr="002029AF">
              <w:t>joint</w:t>
            </w:r>
            <w:r w:rsidR="000A5329" w:rsidRPr="002029AF">
              <w:t xml:space="preserve"> </w:t>
            </w:r>
            <w:r w:rsidRPr="002029AF">
              <w:t>venture</w:t>
            </w:r>
          </w:p>
        </w:tc>
        <w:tc>
          <w:tcPr>
            <w:tcW w:w="1134" w:type="dxa"/>
            <w:tcBorders>
              <w:bottom w:val="single" w:sz="4" w:space="0" w:color="auto"/>
            </w:tcBorders>
            <w:shd w:val="clear" w:color="auto" w:fill="E7E6E6"/>
            <w:noWrap/>
            <w:hideMark/>
          </w:tcPr>
          <w:p w14:paraId="2C20C1F7" w14:textId="77777777" w:rsidR="00087B91" w:rsidRPr="002029AF" w:rsidRDefault="00087B91" w:rsidP="00860E95">
            <w:pPr>
              <w:pStyle w:val="ARfintablebodyrightbold"/>
            </w:pPr>
            <w:r w:rsidRPr="002029AF">
              <w:t>(35.0)</w:t>
            </w:r>
          </w:p>
        </w:tc>
        <w:tc>
          <w:tcPr>
            <w:tcW w:w="1134" w:type="dxa"/>
            <w:tcBorders>
              <w:bottom w:val="single" w:sz="4" w:space="0" w:color="auto"/>
            </w:tcBorders>
            <w:noWrap/>
            <w:hideMark/>
          </w:tcPr>
          <w:p w14:paraId="7FBDEA15" w14:textId="77777777" w:rsidR="00087B91" w:rsidRPr="002029AF" w:rsidRDefault="00087B91" w:rsidP="00860E95">
            <w:pPr>
              <w:pStyle w:val="ARfintablebodyrightbold"/>
            </w:pPr>
            <w:r w:rsidRPr="002029AF">
              <w:t>–</w:t>
            </w:r>
          </w:p>
        </w:tc>
      </w:tr>
      <w:tr w:rsidR="00087B91" w:rsidRPr="002029AF" w14:paraId="496C0396" w14:textId="77777777" w:rsidTr="00860E95">
        <w:tc>
          <w:tcPr>
            <w:tcW w:w="9637" w:type="dxa"/>
            <w:gridSpan w:val="3"/>
            <w:tcBorders>
              <w:top w:val="single" w:sz="4" w:space="0" w:color="auto"/>
              <w:bottom w:val="single" w:sz="4" w:space="0" w:color="A6A6A6"/>
            </w:tcBorders>
            <w:hideMark/>
          </w:tcPr>
          <w:p w14:paraId="6C6713B5" w14:textId="65BEC510" w:rsidR="00087B91" w:rsidRPr="002029AF" w:rsidRDefault="00087B91" w:rsidP="00860E95">
            <w:pPr>
              <w:pStyle w:val="ARfintablebodybold"/>
            </w:pPr>
            <w:r w:rsidRPr="002029AF">
              <w:t>(d)</w:t>
            </w:r>
            <w:r w:rsidR="000A5329" w:rsidRPr="002029AF">
              <w:t xml:space="preserve"> </w:t>
            </w:r>
            <w:r w:rsidRPr="002029AF">
              <w:t>Other</w:t>
            </w:r>
            <w:r w:rsidR="000A5329" w:rsidRPr="002029AF">
              <w:t xml:space="preserve"> </w:t>
            </w:r>
            <w:r w:rsidRPr="002029AF">
              <w:t>gains/(losses)</w:t>
            </w:r>
            <w:r w:rsidR="000A5329" w:rsidRPr="002029AF">
              <w:t xml:space="preserve"> </w:t>
            </w:r>
            <w:r w:rsidRPr="002029AF">
              <w:t>from</w:t>
            </w:r>
            <w:r w:rsidR="000A5329" w:rsidRPr="002029AF">
              <w:t xml:space="preserve"> </w:t>
            </w:r>
            <w:r w:rsidRPr="002029AF">
              <w:t>other</w:t>
            </w:r>
            <w:r w:rsidR="000A5329" w:rsidRPr="002029AF">
              <w:t xml:space="preserve"> </w:t>
            </w:r>
            <w:r w:rsidRPr="002029AF">
              <w:t>economic</w:t>
            </w:r>
            <w:r w:rsidR="000A5329" w:rsidRPr="002029AF">
              <w:t xml:space="preserve"> </w:t>
            </w:r>
            <w:r w:rsidRPr="002029AF">
              <w:t>flows</w:t>
            </w:r>
          </w:p>
        </w:tc>
      </w:tr>
      <w:tr w:rsidR="00087B91" w:rsidRPr="002029AF" w14:paraId="35C55485" w14:textId="77777777" w:rsidTr="00860E95">
        <w:tc>
          <w:tcPr>
            <w:tcW w:w="7369" w:type="dxa"/>
            <w:tcBorders>
              <w:top w:val="single" w:sz="4" w:space="0" w:color="A6A6A6"/>
              <w:bottom w:val="single" w:sz="4" w:space="0" w:color="A6A6A6"/>
            </w:tcBorders>
            <w:hideMark/>
          </w:tcPr>
          <w:p w14:paraId="4FD25CA5" w14:textId="2148FF39" w:rsidR="00087B91" w:rsidRPr="002029AF" w:rsidRDefault="00087B91" w:rsidP="00860E95">
            <w:pPr>
              <w:pStyle w:val="ARfintablebody"/>
            </w:pPr>
            <w:r w:rsidRPr="002029AF">
              <w:t>Net</w:t>
            </w:r>
            <w:r w:rsidR="000A5329" w:rsidRPr="002029AF">
              <w:t xml:space="preserve"> </w:t>
            </w:r>
            <w:r w:rsidRPr="002029AF">
              <w:t>gain/(loss)</w:t>
            </w:r>
            <w:r w:rsidR="000A5329" w:rsidRPr="002029AF">
              <w:t xml:space="preserve"> </w:t>
            </w:r>
            <w:r w:rsidRPr="002029AF">
              <w:t>arising</w:t>
            </w:r>
            <w:r w:rsidR="000A5329" w:rsidRPr="002029AF">
              <w:t xml:space="preserve"> </w:t>
            </w:r>
            <w:r w:rsidRPr="002029AF">
              <w:t>from</w:t>
            </w:r>
            <w:r w:rsidR="000A5329" w:rsidRPr="002029AF">
              <w:t xml:space="preserve"> </w:t>
            </w:r>
            <w:r w:rsidRPr="002029AF">
              <w:t>revaluation</w:t>
            </w:r>
            <w:r w:rsidR="000A5329" w:rsidRPr="002029AF">
              <w:t xml:space="preserve"> </w:t>
            </w:r>
            <w:r w:rsidRPr="002029AF">
              <w:t>of</w:t>
            </w:r>
            <w:r w:rsidR="000A5329" w:rsidRPr="002029AF">
              <w:t xml:space="preserve"> </w:t>
            </w:r>
            <w:r w:rsidRPr="002029AF">
              <w:t>long</w:t>
            </w:r>
            <w:r w:rsidR="000A5329" w:rsidRPr="002029AF">
              <w:t xml:space="preserve"> </w:t>
            </w:r>
            <w:r w:rsidRPr="002029AF">
              <w:t>service</w:t>
            </w:r>
            <w:r w:rsidR="000A5329" w:rsidRPr="002029AF">
              <w:t xml:space="preserve"> </w:t>
            </w:r>
            <w:r w:rsidRPr="002029AF">
              <w:t>leave</w:t>
            </w:r>
            <w:r w:rsidR="000A5329" w:rsidRPr="002029AF">
              <w:t xml:space="preserve"> </w:t>
            </w:r>
            <w:r w:rsidRPr="002029AF">
              <w:t>liability</w:t>
            </w:r>
          </w:p>
        </w:tc>
        <w:tc>
          <w:tcPr>
            <w:tcW w:w="1134" w:type="dxa"/>
            <w:tcBorders>
              <w:top w:val="single" w:sz="4" w:space="0" w:color="A6A6A6"/>
              <w:bottom w:val="single" w:sz="4" w:space="0" w:color="A6A6A6"/>
            </w:tcBorders>
            <w:shd w:val="clear" w:color="auto" w:fill="E7E6E6"/>
            <w:noWrap/>
            <w:hideMark/>
          </w:tcPr>
          <w:p w14:paraId="543906E6" w14:textId="77777777" w:rsidR="00087B91" w:rsidRPr="002029AF" w:rsidRDefault="00087B91" w:rsidP="00860E95">
            <w:pPr>
              <w:pStyle w:val="ARfintablebodyright"/>
            </w:pPr>
            <w:r w:rsidRPr="002029AF">
              <w:t>(6.9)</w:t>
            </w:r>
          </w:p>
        </w:tc>
        <w:tc>
          <w:tcPr>
            <w:tcW w:w="1134" w:type="dxa"/>
            <w:tcBorders>
              <w:top w:val="single" w:sz="4" w:space="0" w:color="A6A6A6"/>
              <w:bottom w:val="single" w:sz="4" w:space="0" w:color="A6A6A6"/>
            </w:tcBorders>
            <w:noWrap/>
            <w:hideMark/>
          </w:tcPr>
          <w:p w14:paraId="2ACA810B" w14:textId="77777777" w:rsidR="00087B91" w:rsidRPr="002029AF" w:rsidRDefault="00087B91" w:rsidP="00860E95">
            <w:pPr>
              <w:pStyle w:val="ARfintablebodyright"/>
            </w:pPr>
            <w:r w:rsidRPr="002029AF">
              <w:t>(19.7)</w:t>
            </w:r>
          </w:p>
        </w:tc>
      </w:tr>
      <w:tr w:rsidR="00087B91" w:rsidRPr="002029AF" w14:paraId="24D79132" w14:textId="77777777" w:rsidTr="00860E95">
        <w:tc>
          <w:tcPr>
            <w:tcW w:w="7369" w:type="dxa"/>
            <w:tcBorders>
              <w:top w:val="single" w:sz="4" w:space="0" w:color="A6A6A6"/>
              <w:bottom w:val="single" w:sz="4" w:space="0" w:color="A6A6A6"/>
            </w:tcBorders>
            <w:hideMark/>
          </w:tcPr>
          <w:p w14:paraId="6E483DC4" w14:textId="36D8EDF4" w:rsidR="00087B91" w:rsidRPr="002029AF" w:rsidRDefault="00087B91" w:rsidP="00860E95">
            <w:pPr>
              <w:pStyle w:val="ARfintablebody"/>
            </w:pPr>
            <w:r w:rsidRPr="002029AF">
              <w:t>Revaluation</w:t>
            </w:r>
            <w:r w:rsidR="000A5329" w:rsidRPr="002029AF">
              <w:t xml:space="preserve"> </w:t>
            </w:r>
            <w:r w:rsidRPr="002029AF">
              <w:t>and</w:t>
            </w:r>
            <w:r w:rsidR="000A5329" w:rsidRPr="002029AF">
              <w:t xml:space="preserve"> </w:t>
            </w:r>
            <w:r w:rsidRPr="002029AF">
              <w:t>adjustments</w:t>
            </w:r>
            <w:r w:rsidR="000A5329" w:rsidRPr="002029AF">
              <w:t xml:space="preserve"> </w:t>
            </w:r>
            <w:r w:rsidRPr="002029AF">
              <w:t>of</w:t>
            </w:r>
            <w:r w:rsidR="000A5329" w:rsidRPr="002029AF">
              <w:t xml:space="preserve"> </w:t>
            </w:r>
            <w:r w:rsidRPr="002029AF">
              <w:t>insurance</w:t>
            </w:r>
            <w:r w:rsidR="000A5329" w:rsidRPr="002029AF">
              <w:t xml:space="preserve"> </w:t>
            </w:r>
            <w:r w:rsidRPr="002029AF">
              <w:t>claims</w:t>
            </w:r>
          </w:p>
        </w:tc>
        <w:tc>
          <w:tcPr>
            <w:tcW w:w="1134" w:type="dxa"/>
            <w:tcBorders>
              <w:top w:val="single" w:sz="4" w:space="0" w:color="A6A6A6"/>
              <w:bottom w:val="single" w:sz="4" w:space="0" w:color="A6A6A6"/>
            </w:tcBorders>
            <w:shd w:val="clear" w:color="auto" w:fill="E7E6E6"/>
            <w:noWrap/>
            <w:hideMark/>
          </w:tcPr>
          <w:p w14:paraId="64768508" w14:textId="77777777" w:rsidR="00087B91" w:rsidRPr="002029AF" w:rsidRDefault="00087B91" w:rsidP="00860E95">
            <w:pPr>
              <w:pStyle w:val="ARfintablebodyright"/>
            </w:pPr>
            <w:r w:rsidRPr="002029AF">
              <w:t>(12.6)</w:t>
            </w:r>
          </w:p>
        </w:tc>
        <w:tc>
          <w:tcPr>
            <w:tcW w:w="1134" w:type="dxa"/>
            <w:tcBorders>
              <w:top w:val="single" w:sz="4" w:space="0" w:color="A6A6A6"/>
              <w:bottom w:val="single" w:sz="4" w:space="0" w:color="A6A6A6"/>
            </w:tcBorders>
            <w:noWrap/>
            <w:hideMark/>
          </w:tcPr>
          <w:p w14:paraId="31DA756C" w14:textId="77777777" w:rsidR="00087B91" w:rsidRPr="002029AF" w:rsidRDefault="00087B91" w:rsidP="00860E95">
            <w:pPr>
              <w:pStyle w:val="ARfintablebodyright"/>
            </w:pPr>
            <w:r w:rsidRPr="002029AF">
              <w:t>(0.2)</w:t>
            </w:r>
          </w:p>
        </w:tc>
      </w:tr>
      <w:tr w:rsidR="00087B91" w:rsidRPr="002029AF" w14:paraId="76699943" w14:textId="77777777" w:rsidTr="00860E95">
        <w:tc>
          <w:tcPr>
            <w:tcW w:w="7369" w:type="dxa"/>
            <w:tcBorders>
              <w:top w:val="single" w:sz="4" w:space="0" w:color="A6A6A6"/>
            </w:tcBorders>
            <w:hideMark/>
          </w:tcPr>
          <w:p w14:paraId="7CE9E049" w14:textId="4DCF6010" w:rsidR="00087B91" w:rsidRPr="002029AF" w:rsidRDefault="00087B91" w:rsidP="00860E95">
            <w:pPr>
              <w:pStyle w:val="ARfintablebody"/>
            </w:pPr>
            <w:r w:rsidRPr="002029AF">
              <w:t>Bad</w:t>
            </w:r>
            <w:r w:rsidR="000A5329" w:rsidRPr="002029AF">
              <w:t xml:space="preserve"> </w:t>
            </w:r>
            <w:r w:rsidRPr="002029AF">
              <w:t>debt</w:t>
            </w:r>
            <w:r w:rsidR="000A5329" w:rsidRPr="002029AF">
              <w:t xml:space="preserve"> </w:t>
            </w:r>
            <w:r w:rsidRPr="002029AF">
              <w:t>expenses</w:t>
            </w:r>
          </w:p>
        </w:tc>
        <w:tc>
          <w:tcPr>
            <w:tcW w:w="1134" w:type="dxa"/>
            <w:tcBorders>
              <w:top w:val="single" w:sz="4" w:space="0" w:color="A6A6A6"/>
            </w:tcBorders>
            <w:shd w:val="clear" w:color="auto" w:fill="E7E6E6"/>
            <w:noWrap/>
            <w:hideMark/>
          </w:tcPr>
          <w:p w14:paraId="334E4868" w14:textId="77777777" w:rsidR="00087B91" w:rsidRPr="002029AF" w:rsidRDefault="00087B91" w:rsidP="00860E95">
            <w:pPr>
              <w:pStyle w:val="ARfintablebodyright"/>
            </w:pPr>
            <w:r w:rsidRPr="002029AF">
              <w:t>(4.1)</w:t>
            </w:r>
          </w:p>
        </w:tc>
        <w:tc>
          <w:tcPr>
            <w:tcW w:w="1134" w:type="dxa"/>
            <w:tcBorders>
              <w:top w:val="single" w:sz="4" w:space="0" w:color="A6A6A6"/>
            </w:tcBorders>
            <w:noWrap/>
            <w:hideMark/>
          </w:tcPr>
          <w:p w14:paraId="5D3C893C" w14:textId="77777777" w:rsidR="00087B91" w:rsidRPr="002029AF" w:rsidRDefault="00087B91" w:rsidP="00860E95">
            <w:pPr>
              <w:pStyle w:val="ARfintablebodyright"/>
            </w:pPr>
            <w:r w:rsidRPr="002029AF">
              <w:t>(8.2)</w:t>
            </w:r>
          </w:p>
        </w:tc>
      </w:tr>
      <w:tr w:rsidR="00087B91" w:rsidRPr="002029AF" w14:paraId="3C73530F" w14:textId="77777777" w:rsidTr="00860E95">
        <w:tc>
          <w:tcPr>
            <w:tcW w:w="7369" w:type="dxa"/>
            <w:hideMark/>
          </w:tcPr>
          <w:p w14:paraId="4C2990B5" w14:textId="2BACB243" w:rsidR="00087B91" w:rsidRPr="002029AF" w:rsidRDefault="00087B91" w:rsidP="00860E95">
            <w:pPr>
              <w:pStyle w:val="ARfintablebodybold"/>
            </w:pPr>
            <w:r w:rsidRPr="002029AF">
              <w:t>Total</w:t>
            </w:r>
            <w:r w:rsidR="000A5329" w:rsidRPr="002029AF">
              <w:t xml:space="preserve"> </w:t>
            </w:r>
            <w:r w:rsidRPr="002029AF">
              <w:t>other</w:t>
            </w:r>
            <w:r w:rsidR="000A5329" w:rsidRPr="002029AF">
              <w:t xml:space="preserve"> </w:t>
            </w:r>
            <w:r w:rsidRPr="002029AF">
              <w:t>gains/(losses)</w:t>
            </w:r>
            <w:r w:rsidR="000A5329" w:rsidRPr="002029AF">
              <w:t xml:space="preserve"> </w:t>
            </w:r>
            <w:r w:rsidRPr="002029AF">
              <w:t>from</w:t>
            </w:r>
            <w:r w:rsidR="000A5329" w:rsidRPr="002029AF">
              <w:t xml:space="preserve"> </w:t>
            </w:r>
            <w:r w:rsidRPr="002029AF">
              <w:t>other</w:t>
            </w:r>
            <w:r w:rsidR="000A5329" w:rsidRPr="002029AF">
              <w:t xml:space="preserve"> </w:t>
            </w:r>
            <w:r w:rsidRPr="002029AF">
              <w:t>economic</w:t>
            </w:r>
            <w:r w:rsidR="000A5329" w:rsidRPr="002029AF">
              <w:t xml:space="preserve"> </w:t>
            </w:r>
            <w:r w:rsidRPr="002029AF">
              <w:t>flows</w:t>
            </w:r>
          </w:p>
        </w:tc>
        <w:tc>
          <w:tcPr>
            <w:tcW w:w="1134" w:type="dxa"/>
            <w:shd w:val="clear" w:color="auto" w:fill="E7E6E6"/>
            <w:noWrap/>
            <w:hideMark/>
          </w:tcPr>
          <w:p w14:paraId="71A142D9" w14:textId="77777777" w:rsidR="00087B91" w:rsidRPr="002029AF" w:rsidRDefault="00087B91" w:rsidP="00860E95">
            <w:pPr>
              <w:pStyle w:val="ARfintablebodyrightbold"/>
            </w:pPr>
            <w:r w:rsidRPr="002029AF">
              <w:t>(23.6)</w:t>
            </w:r>
          </w:p>
        </w:tc>
        <w:tc>
          <w:tcPr>
            <w:tcW w:w="1134" w:type="dxa"/>
            <w:noWrap/>
            <w:hideMark/>
          </w:tcPr>
          <w:p w14:paraId="528E6987" w14:textId="77777777" w:rsidR="00087B91" w:rsidRPr="002029AF" w:rsidRDefault="00087B91" w:rsidP="00860E95">
            <w:pPr>
              <w:pStyle w:val="ARfintablebodyrightbold"/>
            </w:pPr>
            <w:r w:rsidRPr="002029AF">
              <w:t>(28.1)</w:t>
            </w:r>
          </w:p>
        </w:tc>
      </w:tr>
    </w:tbl>
    <w:p w14:paraId="2F463952" w14:textId="27F4CA40" w:rsidR="00087B91" w:rsidRPr="002029AF" w:rsidRDefault="00087B91" w:rsidP="00087B91">
      <w:pPr>
        <w:pStyle w:val="Heading4"/>
      </w:pPr>
      <w:bookmarkStart w:id="395" w:name="_Toc39242168"/>
      <w:bookmarkStart w:id="396" w:name="_Ref52454810"/>
      <w:r w:rsidRPr="002029AF">
        <w:t>9.3</w:t>
      </w:r>
      <w:r w:rsidR="000A5329" w:rsidRPr="002029AF">
        <w:t xml:space="preserve"> </w:t>
      </w:r>
      <w:r w:rsidRPr="002029AF">
        <w:t>Non-financial</w:t>
      </w:r>
      <w:r w:rsidR="000A5329" w:rsidRPr="002029AF">
        <w:t xml:space="preserve"> </w:t>
      </w:r>
      <w:r w:rsidRPr="002029AF">
        <w:t>assets</w:t>
      </w:r>
      <w:r w:rsidR="000A5329" w:rsidRPr="002029AF">
        <w:t xml:space="preserve"> </w:t>
      </w:r>
      <w:r w:rsidRPr="002029AF">
        <w:t>held</w:t>
      </w:r>
      <w:r w:rsidR="000A5329" w:rsidRPr="002029AF">
        <w:t xml:space="preserve"> </w:t>
      </w:r>
      <w:r w:rsidRPr="002029AF">
        <w:t>for</w:t>
      </w:r>
      <w:r w:rsidR="000A5329" w:rsidRPr="002029AF">
        <w:t xml:space="preserve"> </w:t>
      </w:r>
      <w:r w:rsidRPr="002029AF">
        <w:t>sale</w:t>
      </w:r>
      <w:bookmarkEnd w:id="395"/>
      <w:bookmarkEnd w:id="396"/>
    </w:p>
    <w:p w14:paraId="3411D495" w14:textId="71000C4E" w:rsidR="00087B91" w:rsidRPr="002029AF" w:rsidRDefault="00087B91" w:rsidP="00087B91">
      <w:pPr>
        <w:pStyle w:val="ARfinbodylargespace"/>
      </w:pPr>
      <w:r w:rsidRPr="002029AF">
        <w:t>In</w:t>
      </w:r>
      <w:r w:rsidR="000A5329" w:rsidRPr="002029AF">
        <w:t xml:space="preserve"> </w:t>
      </w:r>
      <w:r w:rsidRPr="002029AF">
        <w:t>addition</w:t>
      </w:r>
      <w:r w:rsidR="000A5329" w:rsidRPr="002029AF">
        <w:t xml:space="preserve"> </w:t>
      </w:r>
      <w:r w:rsidRPr="002029AF">
        <w:t>to</w:t>
      </w:r>
      <w:r w:rsidR="000A5329" w:rsidRPr="002029AF">
        <w:t xml:space="preserve"> </w:t>
      </w:r>
      <w:r w:rsidRPr="002029AF">
        <w:t>the</w:t>
      </w:r>
      <w:r w:rsidR="000A5329" w:rsidRPr="002029AF">
        <w:t xml:space="preserve"> </w:t>
      </w:r>
      <w:r w:rsidRPr="002029AF">
        <w:t>assets</w:t>
      </w:r>
      <w:r w:rsidR="000A5329" w:rsidRPr="002029AF">
        <w:t xml:space="preserve"> </w:t>
      </w:r>
      <w:r w:rsidRPr="002029AF">
        <w:t>and</w:t>
      </w:r>
      <w:r w:rsidR="000A5329" w:rsidRPr="002029AF">
        <w:t xml:space="preserve"> </w:t>
      </w:r>
      <w:r w:rsidRPr="002029AF">
        <w:t>liabilities</w:t>
      </w:r>
      <w:r w:rsidR="000A5329" w:rsidRPr="002029AF">
        <w:t xml:space="preserve"> </w:t>
      </w:r>
      <w:r w:rsidRPr="002029AF">
        <w:t>disclosed</w:t>
      </w:r>
      <w:r w:rsidR="000A5329" w:rsidRPr="002029AF">
        <w:t xml:space="preserve"> </w:t>
      </w:r>
      <w:r w:rsidRPr="002029AF">
        <w:t>above,</w:t>
      </w:r>
      <w:r w:rsidR="000A5329" w:rsidRPr="002029AF">
        <w:t xml:space="preserve"> </w:t>
      </w:r>
      <w:r w:rsidRPr="002029AF">
        <w:t>the</w:t>
      </w:r>
      <w:r w:rsidR="000A5329" w:rsidRPr="002029AF">
        <w:t xml:space="preserve"> </w:t>
      </w:r>
      <w:r w:rsidRPr="002029AF">
        <w:t>following</w:t>
      </w:r>
      <w:r w:rsidR="000A5329" w:rsidRPr="002029AF">
        <w:t xml:space="preserve"> </w:t>
      </w:r>
      <w:r w:rsidRPr="002029AF">
        <w:t>non-financial</w:t>
      </w:r>
      <w:r w:rsidR="000A5329" w:rsidRPr="002029AF">
        <w:t xml:space="preserve"> </w:t>
      </w:r>
      <w:r w:rsidRPr="002029AF">
        <w:t>assets</w:t>
      </w:r>
      <w:r w:rsidR="000A5329" w:rsidRPr="002029AF">
        <w:t xml:space="preserve"> </w:t>
      </w:r>
      <w:r w:rsidRPr="002029AF">
        <w:t>held</w:t>
      </w:r>
      <w:r w:rsidR="000A5329" w:rsidRPr="002029AF">
        <w:t xml:space="preserve"> </w:t>
      </w:r>
      <w:r w:rsidRPr="002029AF">
        <w:t>for</w:t>
      </w:r>
      <w:r w:rsidR="000A5329" w:rsidRPr="002029AF">
        <w:t xml:space="preserve"> </w:t>
      </w:r>
      <w:r w:rsidRPr="002029AF">
        <w:t>sale</w:t>
      </w:r>
      <w:r w:rsidR="000A5329" w:rsidRPr="002029AF">
        <w:t xml:space="preserve"> </w:t>
      </w:r>
      <w:r w:rsidRPr="002029AF">
        <w:t>exist</w:t>
      </w:r>
      <w:r w:rsidR="000A5329" w:rsidRPr="002029AF">
        <w:t xml:space="preserve"> </w:t>
      </w:r>
      <w:r w:rsidRPr="002029AF">
        <w:t>at</w:t>
      </w:r>
      <w:r w:rsidR="000A5329" w:rsidRPr="002029AF">
        <w:t xml:space="preserve"> </w:t>
      </w:r>
      <w:r w:rsidRPr="002029AF">
        <w:t>the</w:t>
      </w:r>
      <w:r w:rsidR="000A5329" w:rsidRPr="002029AF">
        <w:t xml:space="preserve"> </w:t>
      </w:r>
      <w:r w:rsidRPr="002029AF">
        <w:t>reporting</w:t>
      </w:r>
      <w:r w:rsidR="000A5329" w:rsidRPr="002029AF">
        <w:t xml:space="preserve"> </w:t>
      </w:r>
      <w:r w:rsidRPr="002029AF">
        <w:t>date:</w:t>
      </w:r>
    </w:p>
    <w:tbl>
      <w:tblPr>
        <w:tblStyle w:val="TableGrid"/>
        <w:tblW w:w="9637" w:type="dxa"/>
        <w:tblLayout w:type="fixed"/>
        <w:tblLook w:val="06A0" w:firstRow="1" w:lastRow="0" w:firstColumn="1" w:lastColumn="0" w:noHBand="1" w:noVBand="1"/>
      </w:tblPr>
      <w:tblGrid>
        <w:gridCol w:w="7369"/>
        <w:gridCol w:w="1134"/>
        <w:gridCol w:w="1134"/>
      </w:tblGrid>
      <w:tr w:rsidR="00087B91" w:rsidRPr="002029AF" w14:paraId="22D877A1"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7369" w:type="dxa"/>
            <w:tcBorders>
              <w:bottom w:val="single" w:sz="4" w:space="0" w:color="auto"/>
            </w:tcBorders>
            <w:noWrap/>
            <w:hideMark/>
          </w:tcPr>
          <w:p w14:paraId="2B153125" w14:textId="77777777" w:rsidR="00087B91" w:rsidRPr="002029AF" w:rsidRDefault="00087B91" w:rsidP="00860E95">
            <w:pPr>
              <w:pStyle w:val="ARfintablecolhead"/>
            </w:pPr>
          </w:p>
        </w:tc>
        <w:tc>
          <w:tcPr>
            <w:tcW w:w="1134" w:type="dxa"/>
            <w:tcBorders>
              <w:bottom w:val="single" w:sz="4" w:space="0" w:color="auto"/>
            </w:tcBorders>
            <w:shd w:val="clear" w:color="auto" w:fill="E7E6E6"/>
            <w:hideMark/>
          </w:tcPr>
          <w:p w14:paraId="670B2A30" w14:textId="77777777" w:rsidR="00087B91" w:rsidRPr="002029AF" w:rsidRDefault="00087B91" w:rsidP="00860E95">
            <w:pPr>
              <w:pStyle w:val="ARfintablecolheadright"/>
            </w:pPr>
            <w:r w:rsidRPr="002029AF">
              <w:t>2020</w:t>
            </w:r>
          </w:p>
          <w:p w14:paraId="325E53CC" w14:textId="77777777" w:rsidR="00087B91" w:rsidRPr="002029AF" w:rsidRDefault="00087B91" w:rsidP="00860E95">
            <w:pPr>
              <w:pStyle w:val="ARfintablecolheadright"/>
            </w:pPr>
            <w:r w:rsidRPr="002029AF">
              <w:t>$M</w:t>
            </w:r>
          </w:p>
        </w:tc>
        <w:tc>
          <w:tcPr>
            <w:tcW w:w="1134" w:type="dxa"/>
            <w:tcBorders>
              <w:bottom w:val="single" w:sz="4" w:space="0" w:color="auto"/>
            </w:tcBorders>
            <w:hideMark/>
          </w:tcPr>
          <w:p w14:paraId="67C18336" w14:textId="77777777" w:rsidR="00087B91" w:rsidRPr="002029AF" w:rsidRDefault="00087B91" w:rsidP="00860E95">
            <w:pPr>
              <w:pStyle w:val="ARfintablecolheadright"/>
            </w:pPr>
            <w:r w:rsidRPr="002029AF">
              <w:t>2019</w:t>
            </w:r>
          </w:p>
          <w:p w14:paraId="05D3A11D" w14:textId="77777777" w:rsidR="00087B91" w:rsidRPr="002029AF" w:rsidRDefault="00087B91" w:rsidP="00860E95">
            <w:pPr>
              <w:pStyle w:val="ARfintablecolheadright"/>
            </w:pPr>
            <w:r w:rsidRPr="002029AF">
              <w:t>$M</w:t>
            </w:r>
          </w:p>
        </w:tc>
      </w:tr>
      <w:tr w:rsidR="00087B91" w:rsidRPr="002029AF" w14:paraId="676C6098" w14:textId="77777777" w:rsidTr="00860E95">
        <w:tc>
          <w:tcPr>
            <w:tcW w:w="9637" w:type="dxa"/>
            <w:gridSpan w:val="3"/>
            <w:tcBorders>
              <w:top w:val="single" w:sz="4" w:space="0" w:color="auto"/>
              <w:bottom w:val="single" w:sz="4" w:space="0" w:color="A6A6A6"/>
            </w:tcBorders>
            <w:hideMark/>
          </w:tcPr>
          <w:p w14:paraId="657227C3" w14:textId="19A99BE9" w:rsidR="00087B91" w:rsidRPr="002029AF" w:rsidRDefault="00087B91" w:rsidP="00860E95">
            <w:pPr>
              <w:pStyle w:val="ARfintablebodybold"/>
            </w:pPr>
            <w:r w:rsidRPr="002029AF">
              <w:t>Non-financial</w:t>
            </w:r>
            <w:r w:rsidR="000A5329" w:rsidRPr="002029AF">
              <w:t xml:space="preserve"> </w:t>
            </w:r>
            <w:r w:rsidRPr="002029AF">
              <w:t>assets</w:t>
            </w:r>
            <w:r w:rsidR="000A5329" w:rsidRPr="002029AF">
              <w:t xml:space="preserve"> </w:t>
            </w:r>
            <w:r w:rsidRPr="002029AF">
              <w:t>classified</w:t>
            </w:r>
            <w:r w:rsidR="000A5329" w:rsidRPr="002029AF">
              <w:t xml:space="preserve"> </w:t>
            </w:r>
            <w:r w:rsidRPr="002029AF">
              <w:t>as</w:t>
            </w:r>
            <w:r w:rsidR="000A5329" w:rsidRPr="002029AF">
              <w:t xml:space="preserve"> </w:t>
            </w:r>
            <w:r w:rsidRPr="002029AF">
              <w:t>held</w:t>
            </w:r>
            <w:r w:rsidR="000A5329" w:rsidRPr="002029AF">
              <w:t xml:space="preserve"> </w:t>
            </w:r>
            <w:r w:rsidRPr="002029AF">
              <w:t>for</w:t>
            </w:r>
            <w:r w:rsidR="000A5329" w:rsidRPr="002029AF">
              <w:t xml:space="preserve"> </w:t>
            </w:r>
            <w:r w:rsidRPr="002029AF">
              <w:t>sale</w:t>
            </w:r>
          </w:p>
        </w:tc>
      </w:tr>
      <w:tr w:rsidR="00087B91" w:rsidRPr="002029AF" w14:paraId="0A0BB5B5" w14:textId="77777777" w:rsidTr="00860E95">
        <w:tc>
          <w:tcPr>
            <w:tcW w:w="7369" w:type="dxa"/>
            <w:tcBorders>
              <w:top w:val="single" w:sz="4" w:space="0" w:color="A6A6A6"/>
              <w:bottom w:val="single" w:sz="4" w:space="0" w:color="A6A6A6"/>
            </w:tcBorders>
            <w:hideMark/>
          </w:tcPr>
          <w:p w14:paraId="43C2919E" w14:textId="7227F804" w:rsidR="00087B91" w:rsidRPr="002029AF" w:rsidRDefault="00087B91" w:rsidP="00860E95">
            <w:pPr>
              <w:pStyle w:val="ARfintablebody"/>
            </w:pPr>
            <w:r w:rsidRPr="002029AF">
              <w:t>Buildings</w:t>
            </w:r>
            <w:r w:rsidR="000A5329" w:rsidRPr="002029AF">
              <w:t xml:space="preserve"> </w:t>
            </w:r>
            <w:r w:rsidRPr="002029AF">
              <w:t>held</w:t>
            </w:r>
            <w:r w:rsidR="000A5329" w:rsidRPr="002029AF">
              <w:t xml:space="preserve"> </w:t>
            </w:r>
            <w:r w:rsidRPr="002029AF">
              <w:t>for</w:t>
            </w:r>
            <w:r w:rsidR="000A5329" w:rsidRPr="002029AF">
              <w:t xml:space="preserve"> </w:t>
            </w:r>
            <w:r w:rsidRPr="002029AF">
              <w:t>sale</w:t>
            </w:r>
          </w:p>
        </w:tc>
        <w:tc>
          <w:tcPr>
            <w:tcW w:w="1134" w:type="dxa"/>
            <w:tcBorders>
              <w:top w:val="single" w:sz="4" w:space="0" w:color="A6A6A6"/>
              <w:bottom w:val="single" w:sz="4" w:space="0" w:color="A6A6A6"/>
            </w:tcBorders>
            <w:shd w:val="clear" w:color="auto" w:fill="E7E6E6"/>
            <w:noWrap/>
            <w:hideMark/>
          </w:tcPr>
          <w:p w14:paraId="1A59318B" w14:textId="77777777" w:rsidR="00087B91" w:rsidRPr="002029AF" w:rsidRDefault="00087B91" w:rsidP="00860E95">
            <w:pPr>
              <w:pStyle w:val="ARfintablebodyright"/>
            </w:pPr>
            <w:r w:rsidRPr="002029AF">
              <w:t>2.5</w:t>
            </w:r>
          </w:p>
        </w:tc>
        <w:tc>
          <w:tcPr>
            <w:tcW w:w="1134" w:type="dxa"/>
            <w:tcBorders>
              <w:top w:val="single" w:sz="4" w:space="0" w:color="A6A6A6"/>
              <w:bottom w:val="single" w:sz="4" w:space="0" w:color="A6A6A6"/>
            </w:tcBorders>
            <w:noWrap/>
            <w:hideMark/>
          </w:tcPr>
          <w:p w14:paraId="6ACE5E7C" w14:textId="77777777" w:rsidR="00087B91" w:rsidRPr="002029AF" w:rsidRDefault="00087B91" w:rsidP="00860E95">
            <w:pPr>
              <w:pStyle w:val="ARfintablebodyright"/>
            </w:pPr>
            <w:r w:rsidRPr="002029AF">
              <w:t>4.5</w:t>
            </w:r>
          </w:p>
        </w:tc>
      </w:tr>
      <w:tr w:rsidR="00087B91" w:rsidRPr="002029AF" w14:paraId="2D0CFCEC" w14:textId="77777777" w:rsidTr="00860E95">
        <w:tc>
          <w:tcPr>
            <w:tcW w:w="7369" w:type="dxa"/>
            <w:tcBorders>
              <w:top w:val="single" w:sz="4" w:space="0" w:color="A6A6A6"/>
              <w:bottom w:val="single" w:sz="4" w:space="0" w:color="A6A6A6"/>
            </w:tcBorders>
            <w:hideMark/>
          </w:tcPr>
          <w:p w14:paraId="7E46A190" w14:textId="46AC79C6" w:rsidR="00087B91" w:rsidRPr="002029AF" w:rsidRDefault="00087B91" w:rsidP="00860E95">
            <w:pPr>
              <w:pStyle w:val="ARfintablebody"/>
            </w:pPr>
            <w:r w:rsidRPr="002029AF">
              <w:t>Land</w:t>
            </w:r>
            <w:r w:rsidR="000A5329" w:rsidRPr="002029AF">
              <w:t xml:space="preserve"> </w:t>
            </w:r>
            <w:r w:rsidRPr="002029AF">
              <w:t>held</w:t>
            </w:r>
            <w:r w:rsidR="000A5329" w:rsidRPr="002029AF">
              <w:t xml:space="preserve"> </w:t>
            </w:r>
            <w:r w:rsidRPr="002029AF">
              <w:t>for</w:t>
            </w:r>
            <w:r w:rsidR="000A5329" w:rsidRPr="002029AF">
              <w:t xml:space="preserve"> </w:t>
            </w:r>
            <w:r w:rsidRPr="002029AF">
              <w:t>sale</w:t>
            </w:r>
          </w:p>
        </w:tc>
        <w:tc>
          <w:tcPr>
            <w:tcW w:w="1134" w:type="dxa"/>
            <w:tcBorders>
              <w:top w:val="single" w:sz="4" w:space="0" w:color="A6A6A6"/>
              <w:bottom w:val="single" w:sz="4" w:space="0" w:color="A6A6A6"/>
            </w:tcBorders>
            <w:shd w:val="clear" w:color="auto" w:fill="E7E6E6"/>
            <w:noWrap/>
            <w:hideMark/>
          </w:tcPr>
          <w:p w14:paraId="76B11615" w14:textId="77777777" w:rsidR="00087B91" w:rsidRPr="002029AF" w:rsidRDefault="00087B91" w:rsidP="00860E95">
            <w:pPr>
              <w:pStyle w:val="ARfintablebodyright"/>
            </w:pPr>
            <w:r w:rsidRPr="002029AF">
              <w:t>6.0</w:t>
            </w:r>
          </w:p>
        </w:tc>
        <w:tc>
          <w:tcPr>
            <w:tcW w:w="1134" w:type="dxa"/>
            <w:tcBorders>
              <w:top w:val="single" w:sz="4" w:space="0" w:color="A6A6A6"/>
              <w:bottom w:val="single" w:sz="4" w:space="0" w:color="A6A6A6"/>
            </w:tcBorders>
            <w:noWrap/>
            <w:hideMark/>
          </w:tcPr>
          <w:p w14:paraId="02A91EBD" w14:textId="77777777" w:rsidR="00087B91" w:rsidRPr="002029AF" w:rsidRDefault="00087B91" w:rsidP="00860E95">
            <w:pPr>
              <w:pStyle w:val="ARfintablebodyright"/>
            </w:pPr>
            <w:r w:rsidRPr="002029AF">
              <w:t>23.9</w:t>
            </w:r>
          </w:p>
        </w:tc>
      </w:tr>
      <w:tr w:rsidR="00087B91" w:rsidRPr="002029AF" w14:paraId="03F09B5D" w14:textId="77777777" w:rsidTr="00860E95">
        <w:tc>
          <w:tcPr>
            <w:tcW w:w="7369" w:type="dxa"/>
            <w:tcBorders>
              <w:top w:val="single" w:sz="4" w:space="0" w:color="A6A6A6"/>
            </w:tcBorders>
            <w:hideMark/>
          </w:tcPr>
          <w:p w14:paraId="664FAF6B" w14:textId="5DDEAC8D" w:rsidR="00087B91" w:rsidRPr="002029AF" w:rsidRDefault="00087B91" w:rsidP="00860E95">
            <w:pPr>
              <w:pStyle w:val="ARfintablebody"/>
            </w:pPr>
            <w:r w:rsidRPr="002029AF">
              <w:t>Plant,</w:t>
            </w:r>
            <w:r w:rsidR="000A5329" w:rsidRPr="002029AF">
              <w:t xml:space="preserve"> </w:t>
            </w:r>
            <w:r w:rsidRPr="002029AF">
              <w:t>equipment</w:t>
            </w:r>
            <w:r w:rsidR="000A5329" w:rsidRPr="002029AF">
              <w:t xml:space="preserve"> </w:t>
            </w:r>
            <w:r w:rsidRPr="002029AF">
              <w:t>and</w:t>
            </w:r>
            <w:r w:rsidR="000A5329" w:rsidRPr="002029AF">
              <w:t xml:space="preserve"> </w:t>
            </w:r>
            <w:r w:rsidRPr="002029AF">
              <w:t>vehicles</w:t>
            </w:r>
          </w:p>
        </w:tc>
        <w:tc>
          <w:tcPr>
            <w:tcW w:w="1134" w:type="dxa"/>
            <w:tcBorders>
              <w:top w:val="single" w:sz="4" w:space="0" w:color="A6A6A6"/>
            </w:tcBorders>
            <w:shd w:val="clear" w:color="auto" w:fill="E7E6E6"/>
            <w:noWrap/>
            <w:hideMark/>
          </w:tcPr>
          <w:p w14:paraId="1A0989DE" w14:textId="77777777" w:rsidR="00087B91" w:rsidRPr="002029AF" w:rsidRDefault="00087B91" w:rsidP="00860E95">
            <w:pPr>
              <w:pStyle w:val="ARfintablebodyright"/>
            </w:pPr>
            <w:r w:rsidRPr="002029AF">
              <w:t>0.5</w:t>
            </w:r>
          </w:p>
        </w:tc>
        <w:tc>
          <w:tcPr>
            <w:tcW w:w="1134" w:type="dxa"/>
            <w:tcBorders>
              <w:top w:val="single" w:sz="4" w:space="0" w:color="A6A6A6"/>
            </w:tcBorders>
            <w:noWrap/>
            <w:hideMark/>
          </w:tcPr>
          <w:p w14:paraId="7AFAD5FF" w14:textId="77777777" w:rsidR="00087B91" w:rsidRPr="002029AF" w:rsidRDefault="00087B91" w:rsidP="00860E95">
            <w:pPr>
              <w:pStyle w:val="ARfintablebodyright"/>
            </w:pPr>
            <w:r w:rsidRPr="002029AF">
              <w:t>2.8</w:t>
            </w:r>
          </w:p>
        </w:tc>
      </w:tr>
      <w:tr w:rsidR="00087B91" w:rsidRPr="002029AF" w14:paraId="7157F0F9" w14:textId="77777777" w:rsidTr="00860E95">
        <w:tc>
          <w:tcPr>
            <w:tcW w:w="7369" w:type="dxa"/>
            <w:hideMark/>
          </w:tcPr>
          <w:p w14:paraId="4084FED9" w14:textId="74A043E2" w:rsidR="00087B91" w:rsidRPr="002029AF" w:rsidRDefault="00087B91" w:rsidP="00860E95">
            <w:pPr>
              <w:pStyle w:val="ARfintablebodybold"/>
            </w:pPr>
            <w:r w:rsidRPr="002029AF">
              <w:t>Total</w:t>
            </w:r>
            <w:r w:rsidR="000A5329" w:rsidRPr="002029AF">
              <w:t xml:space="preserve"> </w:t>
            </w:r>
            <w:r w:rsidRPr="002029AF">
              <w:t>non-financial</w:t>
            </w:r>
            <w:r w:rsidR="000A5329" w:rsidRPr="002029AF">
              <w:t xml:space="preserve"> </w:t>
            </w:r>
            <w:r w:rsidRPr="002029AF">
              <w:t>assets</w:t>
            </w:r>
            <w:r w:rsidR="000A5329" w:rsidRPr="002029AF">
              <w:t xml:space="preserve"> </w:t>
            </w:r>
            <w:r w:rsidRPr="002029AF">
              <w:t>classified</w:t>
            </w:r>
            <w:r w:rsidR="000A5329" w:rsidRPr="002029AF">
              <w:t xml:space="preserve"> </w:t>
            </w:r>
            <w:r w:rsidRPr="002029AF">
              <w:t>as</w:t>
            </w:r>
            <w:r w:rsidR="000A5329" w:rsidRPr="002029AF">
              <w:t xml:space="preserve"> </w:t>
            </w:r>
            <w:r w:rsidRPr="002029AF">
              <w:t>held</w:t>
            </w:r>
            <w:r w:rsidR="000A5329" w:rsidRPr="002029AF">
              <w:t xml:space="preserve"> </w:t>
            </w:r>
            <w:r w:rsidRPr="002029AF">
              <w:t>for</w:t>
            </w:r>
            <w:r w:rsidR="000A5329" w:rsidRPr="002029AF">
              <w:t xml:space="preserve"> </w:t>
            </w:r>
            <w:r w:rsidRPr="002029AF">
              <w:t>sale</w:t>
            </w:r>
          </w:p>
        </w:tc>
        <w:tc>
          <w:tcPr>
            <w:tcW w:w="1134" w:type="dxa"/>
            <w:shd w:val="clear" w:color="auto" w:fill="E7E6E6"/>
            <w:noWrap/>
            <w:hideMark/>
          </w:tcPr>
          <w:p w14:paraId="4931B049" w14:textId="77777777" w:rsidR="00087B91" w:rsidRPr="002029AF" w:rsidRDefault="00087B91" w:rsidP="00860E95">
            <w:pPr>
              <w:pStyle w:val="ARfintablebodyrightbold"/>
            </w:pPr>
            <w:r w:rsidRPr="002029AF">
              <w:t>9.1</w:t>
            </w:r>
          </w:p>
        </w:tc>
        <w:tc>
          <w:tcPr>
            <w:tcW w:w="1134" w:type="dxa"/>
            <w:noWrap/>
            <w:hideMark/>
          </w:tcPr>
          <w:p w14:paraId="1244B81D" w14:textId="77777777" w:rsidR="00087B91" w:rsidRPr="002029AF" w:rsidRDefault="00087B91" w:rsidP="00860E95">
            <w:pPr>
              <w:pStyle w:val="ARfintablebodyrightbold"/>
            </w:pPr>
            <w:r w:rsidRPr="002029AF">
              <w:t>31.2</w:t>
            </w:r>
          </w:p>
        </w:tc>
      </w:tr>
    </w:tbl>
    <w:p w14:paraId="55C46263" w14:textId="1141951E" w:rsidR="00087B91" w:rsidRPr="002029AF" w:rsidRDefault="00087B91" w:rsidP="00087B91">
      <w:pPr>
        <w:pStyle w:val="Heading5"/>
      </w:pPr>
      <w:r w:rsidRPr="002029AF">
        <w:t>Measurement</w:t>
      </w:r>
      <w:r w:rsidR="000A5329" w:rsidRPr="002029AF">
        <w:t xml:space="preserve"> </w:t>
      </w:r>
      <w:r w:rsidRPr="002029AF">
        <w:t>of</w:t>
      </w:r>
      <w:r w:rsidR="000A5329" w:rsidRPr="002029AF">
        <w:t xml:space="preserve"> </w:t>
      </w:r>
      <w:r w:rsidRPr="002029AF">
        <w:t>non-financial</w:t>
      </w:r>
      <w:r w:rsidR="000A5329" w:rsidRPr="002029AF">
        <w:t xml:space="preserve"> </w:t>
      </w:r>
      <w:r w:rsidRPr="002029AF">
        <w:t>physical</w:t>
      </w:r>
      <w:r w:rsidR="000A5329" w:rsidRPr="002029AF">
        <w:t xml:space="preserve"> </w:t>
      </w:r>
      <w:r w:rsidRPr="002029AF">
        <w:t>assets</w:t>
      </w:r>
    </w:p>
    <w:p w14:paraId="69FF5963" w14:textId="10AE301A" w:rsidR="00087B91" w:rsidRPr="002029AF" w:rsidRDefault="00087B91" w:rsidP="00087B91">
      <w:pPr>
        <w:pStyle w:val="ARfinbody"/>
      </w:pPr>
      <w:r w:rsidRPr="002029AF">
        <w:t>Non-financial</w:t>
      </w:r>
      <w:r w:rsidR="000A5329" w:rsidRPr="002029AF">
        <w:t xml:space="preserve"> </w:t>
      </w:r>
      <w:r w:rsidRPr="002029AF">
        <w:t>physical</w:t>
      </w:r>
      <w:r w:rsidR="000A5329" w:rsidRPr="002029AF">
        <w:t xml:space="preserve"> </w:t>
      </w:r>
      <w:r w:rsidRPr="002029AF">
        <w:t>assets</w:t>
      </w:r>
      <w:r w:rsidR="000A5329" w:rsidRPr="002029AF">
        <w:t xml:space="preserve"> </w:t>
      </w:r>
      <w:r w:rsidRPr="002029AF">
        <w:t>are</w:t>
      </w:r>
      <w:r w:rsidR="000A5329" w:rsidRPr="002029AF">
        <w:t xml:space="preserve"> </w:t>
      </w:r>
      <w:r w:rsidRPr="002029AF">
        <w:t>treated</w:t>
      </w:r>
      <w:r w:rsidR="000A5329" w:rsidRPr="002029AF">
        <w:t xml:space="preserve"> </w:t>
      </w:r>
      <w:r w:rsidRPr="002029AF">
        <w:t>as</w:t>
      </w:r>
      <w:r w:rsidR="000A5329" w:rsidRPr="002029AF">
        <w:t xml:space="preserve"> </w:t>
      </w:r>
      <w:r w:rsidRPr="002029AF">
        <w:t>current</w:t>
      </w:r>
      <w:r w:rsidR="000A5329" w:rsidRPr="002029AF">
        <w:t xml:space="preserve"> </w:t>
      </w:r>
      <w:r w:rsidRPr="002029AF">
        <w:t>and</w:t>
      </w:r>
      <w:r w:rsidR="000A5329" w:rsidRPr="002029AF">
        <w:t xml:space="preserve"> </w:t>
      </w:r>
      <w:r w:rsidRPr="002029AF">
        <w:t>classified</w:t>
      </w:r>
      <w:r w:rsidR="000A5329" w:rsidRPr="002029AF">
        <w:t xml:space="preserve"> </w:t>
      </w:r>
      <w:r w:rsidRPr="002029AF">
        <w:t>as</w:t>
      </w:r>
      <w:r w:rsidR="000A5329" w:rsidRPr="002029AF">
        <w:t xml:space="preserve"> </w:t>
      </w:r>
      <w:r w:rsidRPr="002029AF">
        <w:t>held</w:t>
      </w:r>
      <w:r w:rsidR="000A5329" w:rsidRPr="002029AF">
        <w:t xml:space="preserve"> </w:t>
      </w:r>
      <w:r w:rsidRPr="002029AF">
        <w:t>for</w:t>
      </w:r>
      <w:r w:rsidR="000A5329" w:rsidRPr="002029AF">
        <w:t xml:space="preserve"> </w:t>
      </w:r>
      <w:r w:rsidRPr="002029AF">
        <w:t>sale</w:t>
      </w:r>
      <w:r w:rsidR="000A5329" w:rsidRPr="002029AF">
        <w:t xml:space="preserve"> </w:t>
      </w:r>
      <w:r w:rsidRPr="002029AF">
        <w:t>if</w:t>
      </w:r>
      <w:r w:rsidR="000A5329" w:rsidRPr="002029AF">
        <w:t xml:space="preserve"> </w:t>
      </w:r>
      <w:r w:rsidRPr="002029AF">
        <w:t>their</w:t>
      </w:r>
      <w:r w:rsidR="000A5329" w:rsidRPr="002029AF">
        <w:t xml:space="preserve"> </w:t>
      </w:r>
      <w:r w:rsidRPr="002029AF">
        <w:t>carrying</w:t>
      </w:r>
      <w:r w:rsidR="000A5329" w:rsidRPr="002029AF">
        <w:t xml:space="preserve"> </w:t>
      </w:r>
      <w:r w:rsidRPr="002029AF">
        <w:t>amount</w:t>
      </w:r>
      <w:r w:rsidR="000A5329" w:rsidRPr="002029AF">
        <w:t xml:space="preserve"> </w:t>
      </w:r>
      <w:r w:rsidRPr="002029AF">
        <w:t>will</w:t>
      </w:r>
      <w:r w:rsidR="000A5329" w:rsidRPr="002029AF">
        <w:t xml:space="preserve"> </w:t>
      </w:r>
      <w:r w:rsidRPr="002029AF">
        <w:t>be</w:t>
      </w:r>
      <w:r w:rsidR="000A5329" w:rsidRPr="002029AF">
        <w:t xml:space="preserve"> </w:t>
      </w:r>
      <w:r w:rsidRPr="002029AF">
        <w:t>recovered</w:t>
      </w:r>
      <w:r w:rsidR="000A5329" w:rsidRPr="002029AF">
        <w:t xml:space="preserve"> </w:t>
      </w:r>
      <w:r w:rsidRPr="002029AF">
        <w:t>through</w:t>
      </w:r>
      <w:r w:rsidR="000A5329" w:rsidRPr="002029AF">
        <w:t xml:space="preserve"> </w:t>
      </w:r>
      <w:r w:rsidRPr="002029AF">
        <w:t>a</w:t>
      </w:r>
      <w:r w:rsidR="000A5329" w:rsidRPr="002029AF">
        <w:t xml:space="preserve"> </w:t>
      </w:r>
      <w:r w:rsidRPr="002029AF">
        <w:t>sale</w:t>
      </w:r>
      <w:r w:rsidR="000A5329" w:rsidRPr="002029AF">
        <w:t xml:space="preserve"> </w:t>
      </w:r>
      <w:r w:rsidRPr="002029AF">
        <w:t>transaction</w:t>
      </w:r>
      <w:r w:rsidR="000A5329" w:rsidRPr="002029AF">
        <w:t xml:space="preserve"> </w:t>
      </w:r>
      <w:r w:rsidRPr="002029AF">
        <w:t>rather</w:t>
      </w:r>
      <w:r w:rsidR="000A5329" w:rsidRPr="002029AF">
        <w:t xml:space="preserve"> </w:t>
      </w:r>
      <w:r w:rsidRPr="002029AF">
        <w:t>than</w:t>
      </w:r>
      <w:r w:rsidR="000A5329" w:rsidRPr="002029AF">
        <w:t xml:space="preserve"> </w:t>
      </w:r>
      <w:r w:rsidRPr="002029AF">
        <w:t>through</w:t>
      </w:r>
      <w:r w:rsidR="000A5329" w:rsidRPr="002029AF">
        <w:t xml:space="preserve"> </w:t>
      </w:r>
      <w:r w:rsidRPr="002029AF">
        <w:t>continuing</w:t>
      </w:r>
      <w:r w:rsidR="000A5329" w:rsidRPr="002029AF">
        <w:t xml:space="preserve"> </w:t>
      </w:r>
      <w:r w:rsidRPr="002029AF">
        <w:t>use.</w:t>
      </w:r>
    </w:p>
    <w:p w14:paraId="04151A9D" w14:textId="5D1EADD9" w:rsidR="00087B91" w:rsidRPr="002029AF" w:rsidRDefault="00087B91" w:rsidP="00087B91">
      <w:pPr>
        <w:pStyle w:val="ARfinbody"/>
      </w:pPr>
      <w:r w:rsidRPr="002029AF">
        <w:t>This</w:t>
      </w:r>
      <w:r w:rsidR="000A5329" w:rsidRPr="002029AF">
        <w:t xml:space="preserve"> </w:t>
      </w:r>
      <w:r w:rsidRPr="002029AF">
        <w:t>condition</w:t>
      </w:r>
      <w:r w:rsidR="000A5329" w:rsidRPr="002029AF">
        <w:t xml:space="preserve"> </w:t>
      </w:r>
      <w:r w:rsidRPr="002029AF">
        <w:t>is</w:t>
      </w:r>
      <w:r w:rsidR="000A5329" w:rsidRPr="002029AF">
        <w:t xml:space="preserve"> </w:t>
      </w:r>
      <w:r w:rsidRPr="002029AF">
        <w:t>regarded</w:t>
      </w:r>
      <w:r w:rsidR="000A5329" w:rsidRPr="002029AF">
        <w:t xml:space="preserve"> </w:t>
      </w:r>
      <w:r w:rsidRPr="002029AF">
        <w:t>as</w:t>
      </w:r>
      <w:r w:rsidR="000A5329" w:rsidRPr="002029AF">
        <w:t xml:space="preserve"> </w:t>
      </w:r>
      <w:r w:rsidRPr="002029AF">
        <w:t>met</w:t>
      </w:r>
      <w:r w:rsidR="000A5329" w:rsidRPr="002029AF">
        <w:t xml:space="preserve"> </w:t>
      </w:r>
      <w:r w:rsidRPr="002029AF">
        <w:t>only</w:t>
      </w:r>
      <w:r w:rsidR="000A5329" w:rsidRPr="002029AF">
        <w:t xml:space="preserve"> </w:t>
      </w:r>
      <w:r w:rsidRPr="002029AF">
        <w:t>when:</w:t>
      </w:r>
    </w:p>
    <w:p w14:paraId="38AA9EE0" w14:textId="4770439D" w:rsidR="00087B91" w:rsidRPr="002029AF" w:rsidRDefault="00087B91" w:rsidP="00087B91">
      <w:pPr>
        <w:pStyle w:val="ARfinbullet1"/>
      </w:pPr>
      <w:r w:rsidRPr="002029AF">
        <w:t>the</w:t>
      </w:r>
      <w:r w:rsidR="000A5329" w:rsidRPr="002029AF">
        <w:t xml:space="preserve"> </w:t>
      </w:r>
      <w:r w:rsidRPr="002029AF">
        <w:t>asset</w:t>
      </w:r>
      <w:r w:rsidR="000A5329" w:rsidRPr="002029AF">
        <w:t xml:space="preserve"> </w:t>
      </w:r>
      <w:r w:rsidRPr="002029AF">
        <w:t>is</w:t>
      </w:r>
      <w:r w:rsidR="000A5329" w:rsidRPr="002029AF">
        <w:t xml:space="preserve"> </w:t>
      </w:r>
      <w:r w:rsidRPr="002029AF">
        <w:t>available</w:t>
      </w:r>
      <w:r w:rsidR="000A5329" w:rsidRPr="002029AF">
        <w:t xml:space="preserve"> </w:t>
      </w:r>
      <w:r w:rsidRPr="002029AF">
        <w:t>for</w:t>
      </w:r>
      <w:r w:rsidR="000A5329" w:rsidRPr="002029AF">
        <w:t xml:space="preserve"> </w:t>
      </w:r>
      <w:r w:rsidRPr="002029AF">
        <w:t>immediate</w:t>
      </w:r>
      <w:r w:rsidR="000A5329" w:rsidRPr="002029AF">
        <w:t xml:space="preserve"> </w:t>
      </w:r>
      <w:r w:rsidRPr="002029AF">
        <w:t>sale</w:t>
      </w:r>
      <w:r w:rsidR="000A5329" w:rsidRPr="002029AF">
        <w:t xml:space="preserve"> </w:t>
      </w:r>
      <w:r w:rsidRPr="002029AF">
        <w:t>in</w:t>
      </w:r>
      <w:r w:rsidR="000A5329" w:rsidRPr="002029AF">
        <w:t xml:space="preserve"> </w:t>
      </w:r>
      <w:r w:rsidRPr="002029AF">
        <w:t>the</w:t>
      </w:r>
      <w:r w:rsidR="000A5329" w:rsidRPr="002029AF">
        <w:t xml:space="preserve"> </w:t>
      </w:r>
      <w:r w:rsidRPr="002029AF">
        <w:t>current</w:t>
      </w:r>
      <w:r w:rsidR="000A5329" w:rsidRPr="002029AF">
        <w:t xml:space="preserve"> </w:t>
      </w:r>
      <w:r w:rsidRPr="002029AF">
        <w:t>condition</w:t>
      </w:r>
    </w:p>
    <w:p w14:paraId="049DC6CE" w14:textId="05B3CF22" w:rsidR="00087B91" w:rsidRPr="002029AF" w:rsidRDefault="00087B91" w:rsidP="00087B91">
      <w:pPr>
        <w:pStyle w:val="ARfinbullet1"/>
      </w:pPr>
      <w:r w:rsidRPr="002029AF">
        <w:t>the</w:t>
      </w:r>
      <w:r w:rsidR="000A5329" w:rsidRPr="002029AF">
        <w:t xml:space="preserve"> </w:t>
      </w:r>
      <w:r w:rsidRPr="002029AF">
        <w:t>sale</w:t>
      </w:r>
      <w:r w:rsidR="000A5329" w:rsidRPr="002029AF">
        <w:t xml:space="preserve"> </w:t>
      </w:r>
      <w:r w:rsidRPr="002029AF">
        <w:t>is</w:t>
      </w:r>
      <w:r w:rsidR="000A5329" w:rsidRPr="002029AF">
        <w:t xml:space="preserve"> </w:t>
      </w:r>
      <w:r w:rsidRPr="002029AF">
        <w:t>highly</w:t>
      </w:r>
      <w:r w:rsidR="000A5329" w:rsidRPr="002029AF">
        <w:t xml:space="preserve"> </w:t>
      </w:r>
      <w:r w:rsidR="00D877D3" w:rsidRPr="002029AF">
        <w:t>probable,</w:t>
      </w:r>
      <w:r w:rsidR="000A5329" w:rsidRPr="002029AF">
        <w:t xml:space="preserve"> </w:t>
      </w:r>
      <w:r w:rsidRPr="002029AF">
        <w:t>and</w:t>
      </w:r>
      <w:r w:rsidR="000A5329" w:rsidRPr="002029AF">
        <w:t xml:space="preserve"> </w:t>
      </w:r>
      <w:r w:rsidRPr="002029AF">
        <w:t>the</w:t>
      </w:r>
      <w:r w:rsidR="000A5329" w:rsidRPr="002029AF">
        <w:t xml:space="preserve"> </w:t>
      </w:r>
      <w:r w:rsidRPr="002029AF">
        <w:t>asset</w:t>
      </w:r>
      <w:r w:rsidR="000A5329" w:rsidRPr="002029AF">
        <w:t xml:space="preserve"> </w:t>
      </w:r>
      <w:r w:rsidRPr="002029AF">
        <w:t>sale</w:t>
      </w:r>
      <w:r w:rsidR="000A5329" w:rsidRPr="002029AF">
        <w:t xml:space="preserve"> </w:t>
      </w:r>
      <w:r w:rsidRPr="002029AF">
        <w:t>is</w:t>
      </w:r>
      <w:r w:rsidR="000A5329" w:rsidRPr="002029AF">
        <w:t xml:space="preserve"> </w:t>
      </w:r>
      <w:r w:rsidRPr="002029AF">
        <w:t>expected</w:t>
      </w:r>
      <w:r w:rsidR="000A5329" w:rsidRPr="002029AF">
        <w:t xml:space="preserve"> </w:t>
      </w:r>
      <w:r w:rsidRPr="002029AF">
        <w:t>to</w:t>
      </w:r>
      <w:r w:rsidR="000A5329" w:rsidRPr="002029AF">
        <w:t xml:space="preserve"> </w:t>
      </w:r>
      <w:r w:rsidRPr="002029AF">
        <w:t>be</w:t>
      </w:r>
      <w:r w:rsidR="000A5329" w:rsidRPr="002029AF">
        <w:t xml:space="preserve"> </w:t>
      </w:r>
      <w:r w:rsidRPr="002029AF">
        <w:t>completed</w:t>
      </w:r>
      <w:r w:rsidR="000A5329" w:rsidRPr="002029AF">
        <w:t xml:space="preserve"> </w:t>
      </w:r>
      <w:r w:rsidRPr="002029AF">
        <w:t>within</w:t>
      </w:r>
      <w:r w:rsidR="000A5329" w:rsidRPr="002029AF">
        <w:t xml:space="preserve"> </w:t>
      </w:r>
      <w:r w:rsidRPr="002029AF">
        <w:t>12</w:t>
      </w:r>
      <w:r w:rsidR="000A5329" w:rsidRPr="002029AF">
        <w:t xml:space="preserve"> </w:t>
      </w:r>
      <w:r w:rsidRPr="002029AF">
        <w:t>months</w:t>
      </w:r>
      <w:r w:rsidR="000A5329" w:rsidRPr="002029AF">
        <w:t xml:space="preserve"> </w:t>
      </w:r>
      <w:r w:rsidRPr="002029AF">
        <w:t>from</w:t>
      </w:r>
      <w:r w:rsidR="000A5329" w:rsidRPr="002029AF">
        <w:t xml:space="preserve"> </w:t>
      </w:r>
      <w:r w:rsidRPr="002029AF">
        <w:t>the</w:t>
      </w:r>
      <w:r w:rsidR="000A5329" w:rsidRPr="002029AF">
        <w:t xml:space="preserve"> </w:t>
      </w:r>
      <w:r w:rsidRPr="002029AF">
        <w:t>date</w:t>
      </w:r>
      <w:r w:rsidR="000A5329" w:rsidRPr="002029AF">
        <w:t xml:space="preserve"> </w:t>
      </w:r>
      <w:r w:rsidRPr="002029AF">
        <w:t>of</w:t>
      </w:r>
      <w:r w:rsidR="000A5329" w:rsidRPr="002029AF">
        <w:t xml:space="preserve"> </w:t>
      </w:r>
      <w:r w:rsidRPr="002029AF">
        <w:t>classification.</w:t>
      </w:r>
    </w:p>
    <w:p w14:paraId="33E06EA1" w14:textId="1C991EA1" w:rsidR="00087B91" w:rsidRPr="002029AF" w:rsidRDefault="00087B91" w:rsidP="00087B91">
      <w:pPr>
        <w:pStyle w:val="ARfinbody"/>
      </w:pPr>
      <w:r w:rsidRPr="002029AF">
        <w:t>These</w:t>
      </w:r>
      <w:r w:rsidR="000A5329" w:rsidRPr="002029AF">
        <w:t xml:space="preserve"> </w:t>
      </w:r>
      <w:r w:rsidRPr="002029AF">
        <w:t>non-financial</w:t>
      </w:r>
      <w:r w:rsidR="000A5329" w:rsidRPr="002029AF">
        <w:t xml:space="preserve"> </w:t>
      </w:r>
      <w:r w:rsidRPr="002029AF">
        <w:t>physical</w:t>
      </w:r>
      <w:r w:rsidR="000A5329" w:rsidRPr="002029AF">
        <w:t xml:space="preserve"> </w:t>
      </w:r>
      <w:r w:rsidRPr="002029AF">
        <w:t>assets,</w:t>
      </w:r>
      <w:r w:rsidR="000A5329" w:rsidRPr="002029AF">
        <w:t xml:space="preserve"> </w:t>
      </w:r>
      <w:r w:rsidRPr="002029AF">
        <w:t>related</w:t>
      </w:r>
      <w:r w:rsidR="000A5329" w:rsidRPr="002029AF">
        <w:t xml:space="preserve"> </w:t>
      </w:r>
      <w:r w:rsidRPr="002029AF">
        <w:t>liabilities</w:t>
      </w:r>
      <w:r w:rsidR="000A5329" w:rsidRPr="002029AF">
        <w:t xml:space="preserve"> </w:t>
      </w:r>
      <w:r w:rsidRPr="002029AF">
        <w:t>and</w:t>
      </w:r>
      <w:r w:rsidR="000A5329" w:rsidRPr="002029AF">
        <w:t xml:space="preserve"> </w:t>
      </w:r>
      <w:r w:rsidRPr="002029AF">
        <w:t>financial</w:t>
      </w:r>
      <w:r w:rsidR="000A5329" w:rsidRPr="002029AF">
        <w:t xml:space="preserve"> </w:t>
      </w:r>
      <w:r w:rsidRPr="002029AF">
        <w:t>assets</w:t>
      </w:r>
      <w:r w:rsidR="000A5329" w:rsidRPr="002029AF">
        <w:t xml:space="preserve"> </w:t>
      </w:r>
      <w:r w:rsidRPr="002029AF">
        <w:t>are</w:t>
      </w:r>
      <w:r w:rsidR="000A5329" w:rsidRPr="002029AF">
        <w:t xml:space="preserve"> </w:t>
      </w:r>
      <w:r w:rsidRPr="002029AF">
        <w:t>measured</w:t>
      </w:r>
      <w:r w:rsidR="000A5329" w:rsidRPr="002029AF">
        <w:t xml:space="preserve"> </w:t>
      </w:r>
      <w:r w:rsidRPr="002029AF">
        <w:t>at</w:t>
      </w:r>
      <w:r w:rsidR="000A5329" w:rsidRPr="002029AF">
        <w:t xml:space="preserve"> </w:t>
      </w:r>
      <w:r w:rsidRPr="002029AF">
        <w:t>the</w:t>
      </w:r>
      <w:r w:rsidR="000A5329" w:rsidRPr="002029AF">
        <w:t xml:space="preserve"> </w:t>
      </w:r>
      <w:r w:rsidRPr="002029AF">
        <w:t>lower</w:t>
      </w:r>
      <w:r w:rsidR="000A5329" w:rsidRPr="002029AF">
        <w:t xml:space="preserve"> </w:t>
      </w:r>
      <w:r w:rsidRPr="002029AF">
        <w:t>of</w:t>
      </w:r>
      <w:r w:rsidR="000A5329" w:rsidRPr="002029AF">
        <w:t xml:space="preserve"> </w:t>
      </w:r>
      <w:r w:rsidRPr="002029AF">
        <w:t>carrying</w:t>
      </w:r>
      <w:r w:rsidR="000A5329" w:rsidRPr="002029AF">
        <w:t xml:space="preserve"> </w:t>
      </w:r>
      <w:r w:rsidRPr="002029AF">
        <w:t>amount</w:t>
      </w:r>
      <w:r w:rsidR="000A5329" w:rsidRPr="002029AF">
        <w:t xml:space="preserve"> </w:t>
      </w:r>
      <w:r w:rsidRPr="002029AF">
        <w:t>and</w:t>
      </w:r>
      <w:r w:rsidR="000A5329" w:rsidRPr="002029AF">
        <w:t xml:space="preserve"> </w:t>
      </w:r>
      <w:r w:rsidRPr="002029AF">
        <w:t>fair</w:t>
      </w:r>
      <w:r w:rsidR="000A5329" w:rsidRPr="002029AF">
        <w:t xml:space="preserve"> </w:t>
      </w:r>
      <w:r w:rsidRPr="002029AF">
        <w:t>value</w:t>
      </w:r>
      <w:r w:rsidR="000A5329" w:rsidRPr="002029AF">
        <w:t xml:space="preserve"> </w:t>
      </w:r>
      <w:r w:rsidRPr="002029AF">
        <w:t>less</w:t>
      </w:r>
      <w:r w:rsidR="000A5329" w:rsidRPr="002029AF">
        <w:t xml:space="preserve"> </w:t>
      </w:r>
      <w:r w:rsidRPr="002029AF">
        <w:t>costs</w:t>
      </w:r>
      <w:r w:rsidR="000A5329" w:rsidRPr="002029AF">
        <w:t xml:space="preserve"> </w:t>
      </w:r>
      <w:r w:rsidRPr="002029AF">
        <w:t>to</w:t>
      </w:r>
      <w:r w:rsidR="000A5329" w:rsidRPr="002029AF">
        <w:t xml:space="preserve"> </w:t>
      </w:r>
      <w:r w:rsidR="00D877D3" w:rsidRPr="002029AF">
        <w:t>sell and</w:t>
      </w:r>
      <w:r w:rsidR="000A5329" w:rsidRPr="002029AF">
        <w:t xml:space="preserve"> </w:t>
      </w:r>
      <w:r w:rsidRPr="002029AF">
        <w:t>are</w:t>
      </w:r>
      <w:r w:rsidR="000A5329" w:rsidRPr="002029AF">
        <w:t xml:space="preserve"> </w:t>
      </w:r>
      <w:r w:rsidRPr="002029AF">
        <w:t>not</w:t>
      </w:r>
      <w:r w:rsidR="000A5329" w:rsidRPr="002029AF">
        <w:t xml:space="preserve"> </w:t>
      </w:r>
      <w:r w:rsidRPr="002029AF">
        <w:t>subject</w:t>
      </w:r>
      <w:r w:rsidR="000A5329" w:rsidRPr="002029AF">
        <w:t xml:space="preserve"> </w:t>
      </w:r>
      <w:r w:rsidRPr="002029AF">
        <w:t>to</w:t>
      </w:r>
      <w:r w:rsidR="000A5329" w:rsidRPr="002029AF">
        <w:t xml:space="preserve"> </w:t>
      </w:r>
      <w:r w:rsidRPr="002029AF">
        <w:t>depreciation</w:t>
      </w:r>
      <w:r w:rsidR="000A5329" w:rsidRPr="002029AF">
        <w:t xml:space="preserve"> </w:t>
      </w:r>
      <w:r w:rsidRPr="002029AF">
        <w:t>or</w:t>
      </w:r>
      <w:r w:rsidR="000A5329" w:rsidRPr="002029AF">
        <w:t xml:space="preserve"> </w:t>
      </w:r>
      <w:r w:rsidRPr="002029AF">
        <w:t>amortisation.</w:t>
      </w:r>
    </w:p>
    <w:p w14:paraId="4400ED41" w14:textId="09956B0B" w:rsidR="00087B91" w:rsidRPr="002029AF" w:rsidRDefault="00087B91" w:rsidP="00087B91">
      <w:pPr>
        <w:pStyle w:val="Heading4"/>
      </w:pPr>
      <w:bookmarkStart w:id="397" w:name="_Toc39242169"/>
      <w:r w:rsidRPr="002029AF">
        <w:lastRenderedPageBreak/>
        <w:t>9.4</w:t>
      </w:r>
      <w:r w:rsidR="000A5329" w:rsidRPr="002029AF">
        <w:t xml:space="preserve"> </w:t>
      </w:r>
      <w:r w:rsidRPr="002029AF">
        <w:t>Reserves</w:t>
      </w:r>
      <w:bookmarkEnd w:id="397"/>
    </w:p>
    <w:tbl>
      <w:tblPr>
        <w:tblStyle w:val="TableGrid"/>
        <w:tblW w:w="9637" w:type="dxa"/>
        <w:tblLayout w:type="fixed"/>
        <w:tblLook w:val="06A0" w:firstRow="1" w:lastRow="0" w:firstColumn="1" w:lastColumn="0" w:noHBand="1" w:noVBand="1"/>
      </w:tblPr>
      <w:tblGrid>
        <w:gridCol w:w="7369"/>
        <w:gridCol w:w="1134"/>
        <w:gridCol w:w="1134"/>
      </w:tblGrid>
      <w:tr w:rsidR="00087B91" w:rsidRPr="002029AF" w14:paraId="287FFA1E"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7369" w:type="dxa"/>
            <w:tcBorders>
              <w:bottom w:val="single" w:sz="4" w:space="0" w:color="auto"/>
            </w:tcBorders>
            <w:noWrap/>
            <w:hideMark/>
          </w:tcPr>
          <w:p w14:paraId="729ABD7D" w14:textId="77777777" w:rsidR="00087B91" w:rsidRPr="002029AF" w:rsidRDefault="00087B91" w:rsidP="00860E95">
            <w:pPr>
              <w:pStyle w:val="ARfintablecolhead"/>
            </w:pPr>
          </w:p>
        </w:tc>
        <w:tc>
          <w:tcPr>
            <w:tcW w:w="1134" w:type="dxa"/>
            <w:tcBorders>
              <w:bottom w:val="single" w:sz="4" w:space="0" w:color="auto"/>
            </w:tcBorders>
            <w:shd w:val="clear" w:color="auto" w:fill="E7E6E6"/>
            <w:hideMark/>
          </w:tcPr>
          <w:p w14:paraId="35644D50" w14:textId="77777777" w:rsidR="00087B91" w:rsidRPr="002029AF" w:rsidRDefault="00087B91" w:rsidP="00860E95">
            <w:pPr>
              <w:pStyle w:val="ARfintablecolheadright"/>
            </w:pPr>
            <w:r w:rsidRPr="002029AF">
              <w:t>2020</w:t>
            </w:r>
          </w:p>
          <w:p w14:paraId="63F6B4ED" w14:textId="77777777" w:rsidR="00087B91" w:rsidRPr="002029AF" w:rsidRDefault="00087B91" w:rsidP="00860E95">
            <w:pPr>
              <w:pStyle w:val="ARfintablecolheadright"/>
            </w:pPr>
            <w:r w:rsidRPr="002029AF">
              <w:t>$M</w:t>
            </w:r>
          </w:p>
        </w:tc>
        <w:tc>
          <w:tcPr>
            <w:tcW w:w="1134" w:type="dxa"/>
            <w:tcBorders>
              <w:bottom w:val="single" w:sz="4" w:space="0" w:color="auto"/>
            </w:tcBorders>
            <w:hideMark/>
          </w:tcPr>
          <w:p w14:paraId="0A87D127" w14:textId="77777777" w:rsidR="00087B91" w:rsidRPr="002029AF" w:rsidRDefault="00087B91" w:rsidP="00860E95">
            <w:pPr>
              <w:pStyle w:val="ARfintablecolheadright"/>
            </w:pPr>
            <w:r w:rsidRPr="002029AF">
              <w:t>2019</w:t>
            </w:r>
          </w:p>
          <w:p w14:paraId="176F6B9C" w14:textId="77777777" w:rsidR="00087B91" w:rsidRPr="002029AF" w:rsidRDefault="00087B91" w:rsidP="00860E95">
            <w:pPr>
              <w:pStyle w:val="ARfintablecolheadright"/>
            </w:pPr>
            <w:r w:rsidRPr="002029AF">
              <w:t>$M</w:t>
            </w:r>
          </w:p>
        </w:tc>
      </w:tr>
      <w:tr w:rsidR="00087B91" w:rsidRPr="002029AF" w14:paraId="4FBBFB8A" w14:textId="77777777" w:rsidTr="00860E95">
        <w:tc>
          <w:tcPr>
            <w:tcW w:w="9637" w:type="dxa"/>
            <w:gridSpan w:val="3"/>
            <w:tcBorders>
              <w:top w:val="single" w:sz="4" w:space="0" w:color="auto"/>
              <w:bottom w:val="single" w:sz="4" w:space="0" w:color="A6A6A6"/>
            </w:tcBorders>
            <w:hideMark/>
          </w:tcPr>
          <w:p w14:paraId="50AB1E73" w14:textId="5E60302E" w:rsidR="00087B91" w:rsidRPr="002029AF" w:rsidRDefault="00087B91" w:rsidP="00860E95">
            <w:pPr>
              <w:pStyle w:val="ARfintablebodybold"/>
            </w:pPr>
            <w:r w:rsidRPr="002029AF">
              <w:t>Physical</w:t>
            </w:r>
            <w:r w:rsidR="000A5329" w:rsidRPr="002029AF">
              <w:t xml:space="preserve"> </w:t>
            </w:r>
            <w:r w:rsidRPr="002029AF">
              <w:t>asset</w:t>
            </w:r>
            <w:r w:rsidR="000A5329" w:rsidRPr="002029AF">
              <w:t xml:space="preserve"> </w:t>
            </w:r>
            <w:r w:rsidRPr="002029AF">
              <w:t>revaluation</w:t>
            </w:r>
            <w:r w:rsidR="000A5329" w:rsidRPr="002029AF">
              <w:t xml:space="preserve"> </w:t>
            </w:r>
            <w:r w:rsidRPr="002029AF">
              <w:t>surplus</w:t>
            </w:r>
            <w:r w:rsidR="000A5329" w:rsidRPr="002029AF">
              <w:t xml:space="preserve"> </w:t>
            </w:r>
            <w:r w:rsidRPr="002029AF">
              <w:rPr>
                <w:rStyle w:val="Superscript"/>
              </w:rPr>
              <w:t>(i)</w:t>
            </w:r>
          </w:p>
        </w:tc>
      </w:tr>
      <w:tr w:rsidR="00087B91" w:rsidRPr="002029AF" w14:paraId="67287552" w14:textId="77777777" w:rsidTr="00860E95">
        <w:tc>
          <w:tcPr>
            <w:tcW w:w="7369" w:type="dxa"/>
            <w:tcBorders>
              <w:top w:val="single" w:sz="4" w:space="0" w:color="A6A6A6"/>
              <w:bottom w:val="single" w:sz="4" w:space="0" w:color="A6A6A6"/>
            </w:tcBorders>
            <w:hideMark/>
          </w:tcPr>
          <w:p w14:paraId="79ADCE32" w14:textId="7E53F2EE" w:rsidR="00087B91" w:rsidRPr="002029AF" w:rsidRDefault="00087B91" w:rsidP="00860E95">
            <w:pPr>
              <w:pStyle w:val="ARfintablebody"/>
            </w:pPr>
            <w:r w:rsidRPr="002029AF">
              <w:t>Balance</w:t>
            </w:r>
            <w:r w:rsidR="000A5329" w:rsidRPr="002029AF">
              <w:t xml:space="preserve"> </w:t>
            </w:r>
            <w:r w:rsidRPr="002029AF">
              <w:t>at</w:t>
            </w:r>
            <w:r w:rsidR="000A5329" w:rsidRPr="002029AF">
              <w:t xml:space="preserve"> </w:t>
            </w:r>
            <w:r w:rsidRPr="002029AF">
              <w:t>beginning</w:t>
            </w:r>
            <w:r w:rsidR="000A5329" w:rsidRPr="002029AF">
              <w:t xml:space="preserve"> </w:t>
            </w:r>
            <w:r w:rsidRPr="002029AF">
              <w:t>of</w:t>
            </w:r>
            <w:r w:rsidR="000A5329" w:rsidRPr="002029AF">
              <w:t xml:space="preserve"> </w:t>
            </w:r>
            <w:r w:rsidRPr="002029AF">
              <w:t>financial</w:t>
            </w:r>
            <w:r w:rsidR="000A5329" w:rsidRPr="002029AF">
              <w:t xml:space="preserve"> </w:t>
            </w:r>
            <w:r w:rsidRPr="002029AF">
              <w:t>year</w:t>
            </w:r>
          </w:p>
        </w:tc>
        <w:tc>
          <w:tcPr>
            <w:tcW w:w="1134" w:type="dxa"/>
            <w:tcBorders>
              <w:top w:val="single" w:sz="4" w:space="0" w:color="A6A6A6"/>
              <w:bottom w:val="single" w:sz="4" w:space="0" w:color="A6A6A6"/>
            </w:tcBorders>
            <w:shd w:val="clear" w:color="auto" w:fill="E7E6E6"/>
            <w:noWrap/>
            <w:hideMark/>
          </w:tcPr>
          <w:p w14:paraId="1BCC580A" w14:textId="77777777" w:rsidR="00087B91" w:rsidRPr="002029AF" w:rsidRDefault="00087B91" w:rsidP="00860E95">
            <w:pPr>
              <w:pStyle w:val="ARfintablebodyright"/>
            </w:pPr>
            <w:r w:rsidRPr="002029AF">
              <w:t>7,396.4</w:t>
            </w:r>
          </w:p>
        </w:tc>
        <w:tc>
          <w:tcPr>
            <w:tcW w:w="1134" w:type="dxa"/>
            <w:tcBorders>
              <w:top w:val="single" w:sz="4" w:space="0" w:color="A6A6A6"/>
              <w:bottom w:val="single" w:sz="4" w:space="0" w:color="A6A6A6"/>
            </w:tcBorders>
            <w:noWrap/>
            <w:hideMark/>
          </w:tcPr>
          <w:p w14:paraId="095A457D" w14:textId="77777777" w:rsidR="00087B91" w:rsidRPr="002029AF" w:rsidRDefault="00087B91" w:rsidP="00860E95">
            <w:pPr>
              <w:pStyle w:val="ARfintablebodyright"/>
            </w:pPr>
            <w:r w:rsidRPr="002029AF">
              <w:t>8,601.7</w:t>
            </w:r>
          </w:p>
        </w:tc>
      </w:tr>
      <w:tr w:rsidR="00087B91" w:rsidRPr="002029AF" w14:paraId="33226CFF" w14:textId="77777777" w:rsidTr="00860E95">
        <w:tc>
          <w:tcPr>
            <w:tcW w:w="7369" w:type="dxa"/>
            <w:tcBorders>
              <w:top w:val="single" w:sz="4" w:space="0" w:color="A6A6A6"/>
            </w:tcBorders>
            <w:hideMark/>
          </w:tcPr>
          <w:p w14:paraId="1629AB60" w14:textId="402CE9C7" w:rsidR="00087B91" w:rsidRPr="002029AF" w:rsidRDefault="00087B91" w:rsidP="00860E95">
            <w:pPr>
              <w:pStyle w:val="ARfintablebody"/>
            </w:pPr>
            <w:r w:rsidRPr="002029AF">
              <w:t>Revaluation</w:t>
            </w:r>
            <w:r w:rsidR="000A5329" w:rsidRPr="002029AF">
              <w:t xml:space="preserve"> </w:t>
            </w:r>
            <w:r w:rsidRPr="002029AF">
              <w:t>increments/(decrements)</w:t>
            </w:r>
            <w:r w:rsidR="000A5329" w:rsidRPr="002029AF">
              <w:t xml:space="preserve"> </w:t>
            </w:r>
            <w:r w:rsidRPr="002029AF">
              <w:t>of</w:t>
            </w:r>
            <w:r w:rsidR="000A5329" w:rsidRPr="002029AF">
              <w:t xml:space="preserve"> </w:t>
            </w:r>
            <w:r w:rsidRPr="002029AF">
              <w:t>land</w:t>
            </w:r>
            <w:r w:rsidR="000A5329" w:rsidRPr="002029AF">
              <w:t xml:space="preserve"> </w:t>
            </w:r>
            <w:r w:rsidRPr="002029AF">
              <w:t>and</w:t>
            </w:r>
            <w:r w:rsidR="000A5329" w:rsidRPr="002029AF">
              <w:t xml:space="preserve"> </w:t>
            </w:r>
            <w:r w:rsidRPr="002029AF">
              <w:t>buildings</w:t>
            </w:r>
            <w:r w:rsidR="000A5329" w:rsidRPr="002029AF">
              <w:t xml:space="preserve"> </w:t>
            </w:r>
            <w:r w:rsidRPr="002029AF">
              <w:rPr>
                <w:rStyle w:val="Superscript"/>
              </w:rPr>
              <w:t>(ii)</w:t>
            </w:r>
          </w:p>
        </w:tc>
        <w:tc>
          <w:tcPr>
            <w:tcW w:w="1134" w:type="dxa"/>
            <w:tcBorders>
              <w:top w:val="single" w:sz="4" w:space="0" w:color="A6A6A6"/>
            </w:tcBorders>
            <w:shd w:val="clear" w:color="auto" w:fill="E7E6E6"/>
            <w:noWrap/>
            <w:hideMark/>
          </w:tcPr>
          <w:p w14:paraId="57A03A85" w14:textId="77777777" w:rsidR="00087B91" w:rsidRPr="002029AF" w:rsidRDefault="00087B91" w:rsidP="00860E95">
            <w:pPr>
              <w:pStyle w:val="ARfintablebodyright"/>
            </w:pPr>
            <w:r w:rsidRPr="002029AF">
              <w:t>(19.2)</w:t>
            </w:r>
          </w:p>
        </w:tc>
        <w:tc>
          <w:tcPr>
            <w:tcW w:w="1134" w:type="dxa"/>
            <w:tcBorders>
              <w:top w:val="single" w:sz="4" w:space="0" w:color="A6A6A6"/>
            </w:tcBorders>
            <w:noWrap/>
            <w:hideMark/>
          </w:tcPr>
          <w:p w14:paraId="38F1E672" w14:textId="77777777" w:rsidR="00087B91" w:rsidRPr="002029AF" w:rsidRDefault="00087B91" w:rsidP="00860E95">
            <w:pPr>
              <w:pStyle w:val="ARfintablebodyright"/>
            </w:pPr>
            <w:r w:rsidRPr="002029AF">
              <w:t>(1,205.3)</w:t>
            </w:r>
          </w:p>
        </w:tc>
      </w:tr>
      <w:tr w:rsidR="00087B91" w:rsidRPr="002029AF" w14:paraId="022B28B2" w14:textId="77777777" w:rsidTr="00860E95">
        <w:tc>
          <w:tcPr>
            <w:tcW w:w="7369" w:type="dxa"/>
            <w:tcBorders>
              <w:bottom w:val="single" w:sz="4" w:space="0" w:color="auto"/>
            </w:tcBorders>
            <w:hideMark/>
          </w:tcPr>
          <w:p w14:paraId="4ABC3459" w14:textId="4AA7763A" w:rsidR="00087B91" w:rsidRPr="002029AF" w:rsidRDefault="00087B91" w:rsidP="00860E95">
            <w:pPr>
              <w:pStyle w:val="ARfintablebodybold"/>
            </w:pPr>
            <w:r w:rsidRPr="002029AF">
              <w:t>Balance</w:t>
            </w:r>
            <w:r w:rsidR="000A5329" w:rsidRPr="002029AF">
              <w:t xml:space="preserve"> </w:t>
            </w:r>
            <w:r w:rsidRPr="002029AF">
              <w:t>at</w:t>
            </w:r>
            <w:r w:rsidR="000A5329" w:rsidRPr="002029AF">
              <w:t xml:space="preserve"> </w:t>
            </w:r>
            <w:r w:rsidRPr="002029AF">
              <w:t>the</w:t>
            </w:r>
            <w:r w:rsidR="000A5329" w:rsidRPr="002029AF">
              <w:t xml:space="preserve"> </w:t>
            </w:r>
            <w:r w:rsidRPr="002029AF">
              <w:t>end</w:t>
            </w:r>
            <w:r w:rsidR="000A5329" w:rsidRPr="002029AF">
              <w:t xml:space="preserve"> </w:t>
            </w:r>
            <w:r w:rsidRPr="002029AF">
              <w:t>of</w:t>
            </w:r>
            <w:r w:rsidR="000A5329" w:rsidRPr="002029AF">
              <w:t xml:space="preserve"> </w:t>
            </w:r>
            <w:r w:rsidRPr="002029AF">
              <w:t>financial</w:t>
            </w:r>
            <w:r w:rsidR="000A5329" w:rsidRPr="002029AF">
              <w:t xml:space="preserve"> </w:t>
            </w:r>
            <w:r w:rsidRPr="002029AF">
              <w:t>year</w:t>
            </w:r>
          </w:p>
        </w:tc>
        <w:tc>
          <w:tcPr>
            <w:tcW w:w="1134" w:type="dxa"/>
            <w:tcBorders>
              <w:bottom w:val="single" w:sz="4" w:space="0" w:color="auto"/>
            </w:tcBorders>
            <w:shd w:val="clear" w:color="auto" w:fill="E7E6E6"/>
            <w:noWrap/>
            <w:hideMark/>
          </w:tcPr>
          <w:p w14:paraId="31311FA3" w14:textId="77777777" w:rsidR="00087B91" w:rsidRPr="002029AF" w:rsidRDefault="00087B91" w:rsidP="00860E95">
            <w:pPr>
              <w:pStyle w:val="ARfintablebodyrightbold"/>
            </w:pPr>
            <w:r w:rsidRPr="002029AF">
              <w:t>7,377.2</w:t>
            </w:r>
          </w:p>
        </w:tc>
        <w:tc>
          <w:tcPr>
            <w:tcW w:w="1134" w:type="dxa"/>
            <w:tcBorders>
              <w:bottom w:val="single" w:sz="4" w:space="0" w:color="auto"/>
            </w:tcBorders>
            <w:noWrap/>
            <w:hideMark/>
          </w:tcPr>
          <w:p w14:paraId="449779DF" w14:textId="77777777" w:rsidR="00087B91" w:rsidRPr="002029AF" w:rsidRDefault="00087B91" w:rsidP="00860E95">
            <w:pPr>
              <w:pStyle w:val="ARfintablebodyrightbold"/>
            </w:pPr>
            <w:r w:rsidRPr="002029AF">
              <w:t>7,396.4</w:t>
            </w:r>
          </w:p>
        </w:tc>
      </w:tr>
      <w:tr w:rsidR="00087B91" w:rsidRPr="002029AF" w14:paraId="3A243214" w14:textId="77777777" w:rsidTr="00860E95">
        <w:tc>
          <w:tcPr>
            <w:tcW w:w="9637" w:type="dxa"/>
            <w:gridSpan w:val="3"/>
            <w:tcBorders>
              <w:top w:val="single" w:sz="4" w:space="0" w:color="auto"/>
              <w:bottom w:val="single" w:sz="4" w:space="0" w:color="A6A6A6"/>
            </w:tcBorders>
            <w:hideMark/>
          </w:tcPr>
          <w:p w14:paraId="4CC4EF7B" w14:textId="6C1BBB34" w:rsidR="00087B91" w:rsidRPr="002029AF" w:rsidRDefault="00087B91" w:rsidP="00860E95">
            <w:pPr>
              <w:pStyle w:val="ARfintablebodybold"/>
            </w:pPr>
            <w:r w:rsidRPr="002029AF">
              <w:t>Represented</w:t>
            </w:r>
            <w:r w:rsidR="000A5329" w:rsidRPr="002029AF">
              <w:t xml:space="preserve"> </w:t>
            </w:r>
            <w:r w:rsidRPr="002029AF">
              <w:t>by:</w:t>
            </w:r>
          </w:p>
        </w:tc>
      </w:tr>
      <w:tr w:rsidR="00087B91" w:rsidRPr="002029AF" w14:paraId="2243196A" w14:textId="77777777" w:rsidTr="00860E95">
        <w:tc>
          <w:tcPr>
            <w:tcW w:w="7369" w:type="dxa"/>
            <w:tcBorders>
              <w:top w:val="single" w:sz="4" w:space="0" w:color="A6A6A6"/>
              <w:bottom w:val="single" w:sz="4" w:space="0" w:color="A6A6A6"/>
            </w:tcBorders>
            <w:hideMark/>
          </w:tcPr>
          <w:p w14:paraId="19A2056E" w14:textId="6797DC42" w:rsidR="00087B91" w:rsidRPr="002029AF" w:rsidRDefault="00087B91" w:rsidP="00860E95">
            <w:pPr>
              <w:pStyle w:val="ARfintablebody"/>
            </w:pPr>
            <w:r w:rsidRPr="002029AF">
              <w:t>–</w:t>
            </w:r>
            <w:r w:rsidR="000A5329" w:rsidRPr="002029AF">
              <w:t xml:space="preserve"> </w:t>
            </w:r>
            <w:r w:rsidRPr="002029AF">
              <w:t>Land</w:t>
            </w:r>
          </w:p>
        </w:tc>
        <w:tc>
          <w:tcPr>
            <w:tcW w:w="1134" w:type="dxa"/>
            <w:tcBorders>
              <w:top w:val="single" w:sz="4" w:space="0" w:color="A6A6A6"/>
              <w:bottom w:val="single" w:sz="4" w:space="0" w:color="A6A6A6"/>
            </w:tcBorders>
            <w:shd w:val="clear" w:color="auto" w:fill="E7E6E6"/>
            <w:noWrap/>
            <w:hideMark/>
          </w:tcPr>
          <w:p w14:paraId="77B71078" w14:textId="77777777" w:rsidR="00087B91" w:rsidRPr="002029AF" w:rsidRDefault="00087B91" w:rsidP="00860E95">
            <w:pPr>
              <w:pStyle w:val="ARfintablebodyright"/>
            </w:pPr>
            <w:r w:rsidRPr="002029AF">
              <w:t>6,353.0</w:t>
            </w:r>
          </w:p>
        </w:tc>
        <w:tc>
          <w:tcPr>
            <w:tcW w:w="1134" w:type="dxa"/>
            <w:tcBorders>
              <w:top w:val="single" w:sz="4" w:space="0" w:color="A6A6A6"/>
              <w:bottom w:val="single" w:sz="4" w:space="0" w:color="A6A6A6"/>
            </w:tcBorders>
            <w:noWrap/>
            <w:hideMark/>
          </w:tcPr>
          <w:p w14:paraId="44FFBEAF" w14:textId="77777777" w:rsidR="00087B91" w:rsidRPr="002029AF" w:rsidRDefault="00087B91" w:rsidP="00860E95">
            <w:pPr>
              <w:pStyle w:val="ARfintablebodyright"/>
            </w:pPr>
            <w:r w:rsidRPr="002029AF">
              <w:t>6,357.4</w:t>
            </w:r>
          </w:p>
        </w:tc>
      </w:tr>
      <w:tr w:rsidR="00087B91" w:rsidRPr="002029AF" w14:paraId="6A95CB3D" w14:textId="77777777" w:rsidTr="00860E95">
        <w:tc>
          <w:tcPr>
            <w:tcW w:w="7369" w:type="dxa"/>
            <w:tcBorders>
              <w:top w:val="single" w:sz="4" w:space="0" w:color="A6A6A6"/>
            </w:tcBorders>
            <w:hideMark/>
          </w:tcPr>
          <w:p w14:paraId="0332C92F" w14:textId="6F37CE24" w:rsidR="00087B91" w:rsidRPr="002029AF" w:rsidRDefault="00087B91" w:rsidP="00860E95">
            <w:pPr>
              <w:pStyle w:val="ARfintablebody"/>
            </w:pPr>
            <w:r w:rsidRPr="002029AF">
              <w:t>–</w:t>
            </w:r>
            <w:r w:rsidR="000A5329" w:rsidRPr="002029AF">
              <w:t xml:space="preserve"> </w:t>
            </w:r>
            <w:r w:rsidRPr="002029AF">
              <w:t>Buildings</w:t>
            </w:r>
          </w:p>
        </w:tc>
        <w:tc>
          <w:tcPr>
            <w:tcW w:w="1134" w:type="dxa"/>
            <w:tcBorders>
              <w:top w:val="single" w:sz="4" w:space="0" w:color="A6A6A6"/>
            </w:tcBorders>
            <w:shd w:val="clear" w:color="auto" w:fill="E7E6E6"/>
            <w:noWrap/>
            <w:hideMark/>
          </w:tcPr>
          <w:p w14:paraId="4E5CC31A" w14:textId="77777777" w:rsidR="00087B91" w:rsidRPr="002029AF" w:rsidRDefault="00087B91" w:rsidP="00860E95">
            <w:pPr>
              <w:pStyle w:val="ARfintablebodyright"/>
            </w:pPr>
            <w:r w:rsidRPr="002029AF">
              <w:t>1,024.2</w:t>
            </w:r>
          </w:p>
        </w:tc>
        <w:tc>
          <w:tcPr>
            <w:tcW w:w="1134" w:type="dxa"/>
            <w:tcBorders>
              <w:top w:val="single" w:sz="4" w:space="0" w:color="A6A6A6"/>
            </w:tcBorders>
            <w:noWrap/>
            <w:hideMark/>
          </w:tcPr>
          <w:p w14:paraId="57B58AAC" w14:textId="77777777" w:rsidR="00087B91" w:rsidRPr="002029AF" w:rsidRDefault="00087B91" w:rsidP="00860E95">
            <w:pPr>
              <w:pStyle w:val="ARfintablebodyright"/>
            </w:pPr>
            <w:r w:rsidRPr="002029AF">
              <w:t>1,039.0</w:t>
            </w:r>
          </w:p>
        </w:tc>
      </w:tr>
      <w:tr w:rsidR="00087B91" w:rsidRPr="002029AF" w14:paraId="366B7672" w14:textId="77777777" w:rsidTr="00860E95">
        <w:tc>
          <w:tcPr>
            <w:tcW w:w="7369" w:type="dxa"/>
            <w:hideMark/>
          </w:tcPr>
          <w:p w14:paraId="0FA2CC70" w14:textId="04EF1EC5" w:rsidR="00087B91" w:rsidRPr="002029AF" w:rsidRDefault="00087B91" w:rsidP="00860E95">
            <w:pPr>
              <w:pStyle w:val="ARfintablebodybold"/>
            </w:pPr>
            <w:r w:rsidRPr="002029AF">
              <w:t>Total</w:t>
            </w:r>
            <w:r w:rsidR="000A5329" w:rsidRPr="002029AF">
              <w:t xml:space="preserve"> </w:t>
            </w:r>
            <w:r w:rsidRPr="002029AF">
              <w:t>physical</w:t>
            </w:r>
            <w:r w:rsidR="000A5329" w:rsidRPr="002029AF">
              <w:t xml:space="preserve"> </w:t>
            </w:r>
            <w:r w:rsidRPr="002029AF">
              <w:t>assets</w:t>
            </w:r>
            <w:r w:rsidR="000A5329" w:rsidRPr="002029AF">
              <w:t xml:space="preserve"> </w:t>
            </w:r>
            <w:r w:rsidRPr="002029AF">
              <w:t>revaluation</w:t>
            </w:r>
            <w:r w:rsidR="000A5329" w:rsidRPr="002029AF">
              <w:t xml:space="preserve"> </w:t>
            </w:r>
            <w:r w:rsidRPr="002029AF">
              <w:t>surplus</w:t>
            </w:r>
          </w:p>
        </w:tc>
        <w:tc>
          <w:tcPr>
            <w:tcW w:w="1134" w:type="dxa"/>
            <w:shd w:val="clear" w:color="auto" w:fill="E7E6E6"/>
            <w:noWrap/>
            <w:hideMark/>
          </w:tcPr>
          <w:p w14:paraId="7389A007" w14:textId="77777777" w:rsidR="00087B91" w:rsidRPr="002029AF" w:rsidRDefault="00087B91" w:rsidP="00860E95">
            <w:pPr>
              <w:pStyle w:val="ARfintablebodyrightbold"/>
            </w:pPr>
            <w:r w:rsidRPr="002029AF">
              <w:t>7,377.2</w:t>
            </w:r>
          </w:p>
        </w:tc>
        <w:tc>
          <w:tcPr>
            <w:tcW w:w="1134" w:type="dxa"/>
            <w:noWrap/>
            <w:hideMark/>
          </w:tcPr>
          <w:p w14:paraId="01CD275B" w14:textId="77777777" w:rsidR="00087B91" w:rsidRPr="002029AF" w:rsidRDefault="00087B91" w:rsidP="00860E95">
            <w:pPr>
              <w:pStyle w:val="ARfintablebodyrightbold"/>
            </w:pPr>
            <w:r w:rsidRPr="002029AF">
              <w:t>7,396.4</w:t>
            </w:r>
          </w:p>
        </w:tc>
      </w:tr>
    </w:tbl>
    <w:p w14:paraId="53ABC995" w14:textId="77777777" w:rsidR="00087B91" w:rsidRPr="002029AF" w:rsidRDefault="00087B91" w:rsidP="00087B91">
      <w:pPr>
        <w:pStyle w:val="ARfintablefootnote"/>
        <w:rPr>
          <w:lang w:eastAsia="en-AU"/>
        </w:rPr>
      </w:pPr>
      <w:r w:rsidRPr="002029AF">
        <w:rPr>
          <w:lang w:eastAsia="en-AU"/>
        </w:rPr>
        <w:t>Notes:</w:t>
      </w:r>
    </w:p>
    <w:p w14:paraId="006145A1" w14:textId="3D0A022C" w:rsidR="00087B91" w:rsidRPr="002029AF" w:rsidRDefault="00087B91" w:rsidP="00087B91">
      <w:pPr>
        <w:pStyle w:val="ARfintablefootnoteindent"/>
      </w:pPr>
      <w:r w:rsidRPr="002029AF">
        <w:t>(i)</w:t>
      </w:r>
      <w:r w:rsidRPr="002029AF">
        <w:tab/>
        <w:t>The</w:t>
      </w:r>
      <w:r w:rsidR="000A5329" w:rsidRPr="002029AF">
        <w:t xml:space="preserve"> </w:t>
      </w:r>
      <w:r w:rsidRPr="002029AF">
        <w:t>physical</w:t>
      </w:r>
      <w:r w:rsidR="000A5329" w:rsidRPr="002029AF">
        <w:t xml:space="preserve"> </w:t>
      </w:r>
      <w:r w:rsidRPr="002029AF">
        <w:t>assets</w:t>
      </w:r>
      <w:r w:rsidR="000A5329" w:rsidRPr="002029AF">
        <w:t xml:space="preserve"> </w:t>
      </w:r>
      <w:r w:rsidRPr="002029AF">
        <w:t>revaluation</w:t>
      </w:r>
      <w:r w:rsidR="000A5329" w:rsidRPr="002029AF">
        <w:t xml:space="preserve"> </w:t>
      </w:r>
      <w:r w:rsidRPr="002029AF">
        <w:t>surplus</w:t>
      </w:r>
      <w:r w:rsidR="000A5329" w:rsidRPr="002029AF">
        <w:t xml:space="preserve"> </w:t>
      </w:r>
      <w:r w:rsidRPr="002029AF">
        <w:t>arises</w:t>
      </w:r>
      <w:r w:rsidR="000A5329" w:rsidRPr="002029AF">
        <w:t xml:space="preserve"> </w:t>
      </w:r>
      <w:r w:rsidRPr="002029AF">
        <w:t>on</w:t>
      </w:r>
      <w:r w:rsidR="000A5329" w:rsidRPr="002029AF">
        <w:t xml:space="preserve"> </w:t>
      </w:r>
      <w:r w:rsidRPr="002029AF">
        <w:t>the</w:t>
      </w:r>
      <w:r w:rsidR="000A5329" w:rsidRPr="002029AF">
        <w:t xml:space="preserve"> </w:t>
      </w:r>
      <w:r w:rsidRPr="002029AF">
        <w:t>revaluation</w:t>
      </w:r>
      <w:r w:rsidR="000A5329" w:rsidRPr="002029AF">
        <w:t xml:space="preserve"> </w:t>
      </w:r>
      <w:r w:rsidRPr="002029AF">
        <w:t>of</w:t>
      </w:r>
      <w:r w:rsidR="000A5329" w:rsidRPr="002029AF">
        <w:t xml:space="preserve"> </w:t>
      </w:r>
      <w:r w:rsidRPr="002029AF">
        <w:t>land</w:t>
      </w:r>
      <w:r w:rsidR="000A5329" w:rsidRPr="002029AF">
        <w:t xml:space="preserve"> </w:t>
      </w:r>
      <w:r w:rsidRPr="002029AF">
        <w:t>and</w:t>
      </w:r>
      <w:r w:rsidR="000A5329" w:rsidRPr="002029AF">
        <w:t xml:space="preserve"> </w:t>
      </w:r>
      <w:r w:rsidRPr="002029AF">
        <w:t>buildings.</w:t>
      </w:r>
    </w:p>
    <w:p w14:paraId="2EB8E591" w14:textId="728E0E82" w:rsidR="00087B91" w:rsidRPr="002029AF" w:rsidRDefault="00087B91" w:rsidP="00087B91">
      <w:pPr>
        <w:pStyle w:val="ARfintablefootnoteindent"/>
      </w:pPr>
      <w:r w:rsidRPr="002029AF">
        <w:t>(ii)</w:t>
      </w:r>
      <w:r w:rsidRPr="002029AF">
        <w:tab/>
        <w:t>Movements</w:t>
      </w:r>
      <w:r w:rsidR="000A5329" w:rsidRPr="002029AF">
        <w:t xml:space="preserve"> </w:t>
      </w:r>
      <w:r w:rsidRPr="002029AF">
        <w:t>in</w:t>
      </w:r>
      <w:r w:rsidR="000A5329" w:rsidRPr="002029AF">
        <w:t xml:space="preserve"> </w:t>
      </w:r>
      <w:r w:rsidRPr="002029AF">
        <w:t>the</w:t>
      </w:r>
      <w:r w:rsidR="000A5329" w:rsidRPr="002029AF">
        <w:t xml:space="preserve"> </w:t>
      </w:r>
      <w:r w:rsidRPr="002029AF">
        <w:t>physical</w:t>
      </w:r>
      <w:r w:rsidR="000A5329" w:rsidRPr="002029AF">
        <w:t xml:space="preserve"> </w:t>
      </w:r>
      <w:r w:rsidRPr="002029AF">
        <w:t>asset</w:t>
      </w:r>
      <w:r w:rsidR="000A5329" w:rsidRPr="002029AF">
        <w:t xml:space="preserve"> </w:t>
      </w:r>
      <w:r w:rsidRPr="002029AF">
        <w:t>revaluation</w:t>
      </w:r>
      <w:r w:rsidR="000A5329" w:rsidRPr="002029AF">
        <w:t xml:space="preserve"> </w:t>
      </w:r>
      <w:r w:rsidRPr="002029AF">
        <w:t>reserve</w:t>
      </w:r>
      <w:r w:rsidR="000A5329" w:rsidRPr="002029AF">
        <w:t xml:space="preserve"> </w:t>
      </w:r>
      <w:r w:rsidRPr="002029AF">
        <w:t>arise</w:t>
      </w:r>
      <w:r w:rsidR="000A5329" w:rsidRPr="002029AF">
        <w:t xml:space="preserve"> </w:t>
      </w:r>
      <w:r w:rsidRPr="002029AF">
        <w:t>from</w:t>
      </w:r>
      <w:r w:rsidR="000A5329" w:rsidRPr="002029AF">
        <w:t xml:space="preserve"> </w:t>
      </w:r>
      <w:r w:rsidRPr="002029AF">
        <w:t>the</w:t>
      </w:r>
      <w:r w:rsidR="000A5329" w:rsidRPr="002029AF">
        <w:t xml:space="preserve"> </w:t>
      </w:r>
      <w:r w:rsidRPr="002029AF">
        <w:t>revaluation</w:t>
      </w:r>
      <w:r w:rsidR="000A5329" w:rsidRPr="002029AF">
        <w:t xml:space="preserve"> </w:t>
      </w:r>
      <w:r w:rsidRPr="002029AF">
        <w:t>of</w:t>
      </w:r>
      <w:r w:rsidR="000A5329" w:rsidRPr="002029AF">
        <w:t xml:space="preserve"> </w:t>
      </w:r>
      <w:r w:rsidRPr="002029AF">
        <w:t>land</w:t>
      </w:r>
      <w:r w:rsidR="000A5329" w:rsidRPr="002029AF">
        <w:t xml:space="preserve"> </w:t>
      </w:r>
      <w:r w:rsidRPr="002029AF">
        <w:t>and</w:t>
      </w:r>
      <w:r w:rsidR="000A5329" w:rsidRPr="002029AF">
        <w:t xml:space="preserve"> </w:t>
      </w:r>
      <w:r w:rsidRPr="002029AF">
        <w:t>buildings</w:t>
      </w:r>
      <w:r w:rsidR="000A5329" w:rsidRPr="002029AF">
        <w:t xml:space="preserve"> </w:t>
      </w:r>
      <w:r w:rsidRPr="002029AF">
        <w:t>and</w:t>
      </w:r>
      <w:r w:rsidR="000A5329" w:rsidRPr="002029AF">
        <w:t xml:space="preserve"> </w:t>
      </w:r>
      <w:r w:rsidRPr="002029AF">
        <w:t>the</w:t>
      </w:r>
      <w:r w:rsidR="000A5329" w:rsidRPr="002029AF">
        <w:t xml:space="preserve"> </w:t>
      </w:r>
      <w:r w:rsidRPr="002029AF">
        <w:t>impairment</w:t>
      </w:r>
      <w:r w:rsidR="000A5329" w:rsidRPr="002029AF">
        <w:t xml:space="preserve"> </w:t>
      </w:r>
      <w:r w:rsidRPr="002029AF">
        <w:t>of</w:t>
      </w:r>
      <w:r w:rsidR="000A5329" w:rsidRPr="002029AF">
        <w:t xml:space="preserve"> </w:t>
      </w:r>
      <w:r w:rsidRPr="002029AF">
        <w:t>land</w:t>
      </w:r>
      <w:r w:rsidR="000A5329" w:rsidRPr="002029AF">
        <w:t xml:space="preserve"> </w:t>
      </w:r>
      <w:r w:rsidRPr="002029AF">
        <w:t>and</w:t>
      </w:r>
      <w:r w:rsidR="000A5329" w:rsidRPr="002029AF">
        <w:t xml:space="preserve"> </w:t>
      </w:r>
      <w:r w:rsidRPr="002029AF">
        <w:t>buildings</w:t>
      </w:r>
      <w:r w:rsidR="000A5329" w:rsidRPr="002029AF">
        <w:t xml:space="preserve"> </w:t>
      </w:r>
      <w:r w:rsidRPr="002029AF">
        <w:t>that</w:t>
      </w:r>
      <w:r w:rsidR="000A5329" w:rsidRPr="002029AF">
        <w:t xml:space="preserve"> </w:t>
      </w:r>
      <w:r w:rsidRPr="002029AF">
        <w:t>were</w:t>
      </w:r>
      <w:r w:rsidR="000A5329" w:rsidRPr="002029AF">
        <w:t xml:space="preserve"> </w:t>
      </w:r>
      <w:r w:rsidRPr="002029AF">
        <w:t>previously</w:t>
      </w:r>
      <w:r w:rsidR="000A5329" w:rsidRPr="002029AF">
        <w:t xml:space="preserve"> </w:t>
      </w:r>
      <w:r w:rsidRPr="002029AF">
        <w:t>revalued.</w:t>
      </w:r>
    </w:p>
    <w:p w14:paraId="064BA85F" w14:textId="00929C39" w:rsidR="00087B91" w:rsidRPr="002029AF" w:rsidRDefault="00087B91" w:rsidP="00087B91">
      <w:pPr>
        <w:pStyle w:val="Heading4"/>
      </w:pPr>
      <w:bookmarkStart w:id="398" w:name="_Toc39242170"/>
      <w:r w:rsidRPr="002029AF">
        <w:t>9.5</w:t>
      </w:r>
      <w:r w:rsidR="000A5329" w:rsidRPr="002029AF">
        <w:t xml:space="preserve"> </w:t>
      </w:r>
      <w:r w:rsidRPr="002029AF">
        <w:t>Entities</w:t>
      </w:r>
      <w:r w:rsidR="000A5329" w:rsidRPr="002029AF">
        <w:t xml:space="preserve"> </w:t>
      </w:r>
      <w:r w:rsidRPr="002029AF">
        <w:t>consolidated</w:t>
      </w:r>
      <w:r w:rsidR="000A5329" w:rsidRPr="002029AF">
        <w:t xml:space="preserve"> </w:t>
      </w:r>
      <w:r w:rsidRPr="002029AF">
        <w:t>pursuant</w:t>
      </w:r>
      <w:r w:rsidR="000A5329" w:rsidRPr="002029AF">
        <w:t xml:space="preserve"> </w:t>
      </w:r>
      <w:r w:rsidRPr="002029AF">
        <w:t>to</w:t>
      </w:r>
      <w:r w:rsidR="000A5329" w:rsidRPr="002029AF">
        <w:t xml:space="preserve"> </w:t>
      </w:r>
      <w:r w:rsidRPr="002029AF">
        <w:t>section</w:t>
      </w:r>
      <w:r w:rsidR="000A5329" w:rsidRPr="002029AF">
        <w:t xml:space="preserve"> </w:t>
      </w:r>
      <w:r w:rsidRPr="002029AF">
        <w:t>53(1)(b)</w:t>
      </w:r>
      <w:r w:rsidR="000A5329" w:rsidRPr="002029AF">
        <w:t xml:space="preserve"> </w:t>
      </w:r>
      <w:r w:rsidRPr="002029AF">
        <w:t>of</w:t>
      </w:r>
      <w:r w:rsidR="000A5329" w:rsidRPr="002029AF">
        <w:t xml:space="preserve"> </w:t>
      </w:r>
      <w:r w:rsidRPr="002029AF">
        <w:t>the</w:t>
      </w:r>
      <w:r w:rsidR="000A5329" w:rsidRPr="002029AF">
        <w:t xml:space="preserve"> </w:t>
      </w:r>
      <w:r w:rsidRPr="002029AF">
        <w:t>FMA</w:t>
      </w:r>
      <w:bookmarkEnd w:id="398"/>
    </w:p>
    <w:p w14:paraId="1F870B52" w14:textId="49022A10" w:rsidR="00087B91" w:rsidRPr="002029AF" w:rsidRDefault="00087B91" w:rsidP="00087B91">
      <w:pPr>
        <w:pStyle w:val="ARfinbody"/>
      </w:pPr>
      <w:r w:rsidRPr="002029AF">
        <w:t>The</w:t>
      </w:r>
      <w:r w:rsidR="000A5329" w:rsidRPr="002029AF">
        <w:t xml:space="preserve"> </w:t>
      </w:r>
      <w:r w:rsidRPr="002029AF">
        <w:t>following</w:t>
      </w:r>
      <w:r w:rsidR="000A5329" w:rsidRPr="002029AF">
        <w:t xml:space="preserve"> </w:t>
      </w:r>
      <w:r w:rsidRPr="002029AF">
        <w:t>entities</w:t>
      </w:r>
      <w:r w:rsidR="000A5329" w:rsidRPr="002029AF">
        <w:t xml:space="preserve"> </w:t>
      </w:r>
      <w:r w:rsidRPr="002029AF">
        <w:t>have</w:t>
      </w:r>
      <w:r w:rsidR="000A5329" w:rsidRPr="002029AF">
        <w:t xml:space="preserve"> </w:t>
      </w:r>
      <w:r w:rsidRPr="002029AF">
        <w:t>been</w:t>
      </w:r>
      <w:r w:rsidR="000A5329" w:rsidRPr="002029AF">
        <w:t xml:space="preserve"> </w:t>
      </w:r>
      <w:r w:rsidRPr="002029AF">
        <w:t>consolidated</w:t>
      </w:r>
      <w:r w:rsidR="000A5329" w:rsidRPr="002029AF">
        <w:t xml:space="preserve"> </w:t>
      </w:r>
      <w:r w:rsidRPr="002029AF">
        <w:t>into</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financial</w:t>
      </w:r>
      <w:r w:rsidR="000A5329" w:rsidRPr="002029AF">
        <w:t xml:space="preserve"> </w:t>
      </w:r>
      <w:r w:rsidRPr="002029AF">
        <w:t>statements</w:t>
      </w:r>
      <w:r w:rsidR="000A5329" w:rsidRPr="002029AF">
        <w:t xml:space="preserve"> </w:t>
      </w:r>
      <w:r w:rsidRPr="002029AF">
        <w:t>pursuant</w:t>
      </w:r>
      <w:r w:rsidR="000A5329" w:rsidRPr="002029AF">
        <w:t xml:space="preserve"> </w:t>
      </w:r>
      <w:r w:rsidRPr="002029AF">
        <w:t>to</w:t>
      </w:r>
      <w:r w:rsidR="000A5329" w:rsidRPr="002029AF">
        <w:t xml:space="preserve"> </w:t>
      </w:r>
      <w:r w:rsidRPr="002029AF">
        <w:t>a</w:t>
      </w:r>
      <w:r w:rsidR="000A5329" w:rsidRPr="002029AF">
        <w:t xml:space="preserve"> </w:t>
      </w:r>
      <w:r w:rsidRPr="002029AF">
        <w:t>determination</w:t>
      </w:r>
      <w:r w:rsidR="000A5329" w:rsidRPr="002029AF">
        <w:t xml:space="preserve"> </w:t>
      </w:r>
      <w:r w:rsidRPr="002029AF">
        <w:t>made</w:t>
      </w:r>
      <w:r w:rsidR="000A5329" w:rsidRPr="002029AF">
        <w:t xml:space="preserve"> </w:t>
      </w:r>
      <w:r w:rsidRPr="002029AF">
        <w:t>by</w:t>
      </w:r>
      <w:r w:rsidR="000A5329" w:rsidRPr="002029AF">
        <w:t xml:space="preserve"> </w:t>
      </w:r>
      <w:r w:rsidRPr="002029AF">
        <w:t>the</w:t>
      </w:r>
      <w:r w:rsidR="000A5329" w:rsidRPr="002029AF">
        <w:t xml:space="preserve"> </w:t>
      </w:r>
      <w:r w:rsidRPr="002029AF">
        <w:t>Assistant</w:t>
      </w:r>
      <w:r w:rsidR="000A5329" w:rsidRPr="002029AF">
        <w:t xml:space="preserve"> </w:t>
      </w:r>
      <w:r w:rsidRPr="002029AF">
        <w:t>Treasurer</w:t>
      </w:r>
      <w:r w:rsidR="000A5329" w:rsidRPr="002029AF">
        <w:t xml:space="preserve"> </w:t>
      </w:r>
      <w:r w:rsidRPr="002029AF">
        <w:t>under</w:t>
      </w:r>
      <w:r w:rsidR="000A5329" w:rsidRPr="002029AF">
        <w:t xml:space="preserve"> </w:t>
      </w:r>
      <w:r w:rsidRPr="002029AF">
        <w:t>s.</w:t>
      </w:r>
      <w:r w:rsidR="000A5329" w:rsidRPr="002029AF">
        <w:t xml:space="preserve"> </w:t>
      </w:r>
      <w:r w:rsidRPr="002029AF">
        <w:t>53(1)(b)</w:t>
      </w:r>
      <w:r w:rsidR="000A5329" w:rsidRPr="002029AF">
        <w:t xml:space="preserve"> </w:t>
      </w:r>
      <w:r w:rsidRPr="002029AF">
        <w:t>of</w:t>
      </w:r>
      <w:r w:rsidR="000A5329" w:rsidRPr="002029AF">
        <w:t xml:space="preserve"> </w:t>
      </w:r>
      <w:r w:rsidRPr="002029AF">
        <w:t>the</w:t>
      </w:r>
      <w:r w:rsidR="000A5329" w:rsidRPr="002029AF">
        <w:t xml:space="preserve"> </w:t>
      </w:r>
      <w:r w:rsidRPr="002029AF">
        <w:rPr>
          <w:i/>
          <w:iCs/>
        </w:rPr>
        <w:t>Financial</w:t>
      </w:r>
      <w:r w:rsidR="000A5329" w:rsidRPr="002029AF">
        <w:rPr>
          <w:i/>
          <w:iCs/>
        </w:rPr>
        <w:t xml:space="preserve"> </w:t>
      </w:r>
      <w:r w:rsidRPr="002029AF">
        <w:rPr>
          <w:i/>
          <w:iCs/>
        </w:rPr>
        <w:t>Management</w:t>
      </w:r>
      <w:r w:rsidR="000A5329" w:rsidRPr="002029AF">
        <w:rPr>
          <w:i/>
          <w:iCs/>
        </w:rPr>
        <w:t xml:space="preserve"> </w:t>
      </w:r>
      <w:r w:rsidRPr="002029AF">
        <w:rPr>
          <w:i/>
          <w:iCs/>
        </w:rPr>
        <w:t>Act</w:t>
      </w:r>
      <w:r w:rsidR="000A5329" w:rsidRPr="002029AF">
        <w:rPr>
          <w:i/>
          <w:iCs/>
        </w:rPr>
        <w:t xml:space="preserve"> </w:t>
      </w:r>
      <w:r w:rsidRPr="002029AF">
        <w:rPr>
          <w:i/>
          <w:iCs/>
        </w:rPr>
        <w:t>1994</w:t>
      </w:r>
      <w:r w:rsidRPr="002029AF">
        <w:t>:</w:t>
      </w:r>
    </w:p>
    <w:p w14:paraId="1ACA1538" w14:textId="21BB4053" w:rsidR="00087B91" w:rsidRPr="002029AF" w:rsidRDefault="00087B91" w:rsidP="00087B91">
      <w:pPr>
        <w:pStyle w:val="ARfinbullet1"/>
      </w:pPr>
      <w:r w:rsidRPr="002029AF">
        <w:t>Mental</w:t>
      </w:r>
      <w:r w:rsidR="000A5329" w:rsidRPr="002029AF">
        <w:t xml:space="preserve"> </w:t>
      </w:r>
      <w:r w:rsidRPr="002029AF">
        <w:t>Health</w:t>
      </w:r>
      <w:r w:rsidR="000A5329" w:rsidRPr="002029AF">
        <w:t xml:space="preserve"> </w:t>
      </w:r>
      <w:r w:rsidRPr="002029AF">
        <w:t>Tribunal</w:t>
      </w:r>
    </w:p>
    <w:p w14:paraId="559CC34F" w14:textId="545370EE" w:rsidR="00087B91" w:rsidRPr="002029AF" w:rsidRDefault="00087B91" w:rsidP="00087B91">
      <w:pPr>
        <w:pStyle w:val="ARfinbullet1"/>
      </w:pPr>
      <w:r w:rsidRPr="002029AF">
        <w:t>Commission</w:t>
      </w:r>
      <w:r w:rsidR="000A5329" w:rsidRPr="002029AF">
        <w:t xml:space="preserve"> </w:t>
      </w:r>
      <w:r w:rsidRPr="002029AF">
        <w:t>for</w:t>
      </w:r>
      <w:r w:rsidR="000A5329" w:rsidRPr="002029AF">
        <w:t xml:space="preserve"> </w:t>
      </w:r>
      <w:r w:rsidRPr="002029AF">
        <w:t>Children</w:t>
      </w:r>
      <w:r w:rsidR="000A5329" w:rsidRPr="002029AF">
        <w:t xml:space="preserve"> </w:t>
      </w:r>
      <w:r w:rsidRPr="002029AF">
        <w:t>and</w:t>
      </w:r>
      <w:r w:rsidR="000A5329" w:rsidRPr="002029AF">
        <w:t xml:space="preserve"> </w:t>
      </w:r>
      <w:r w:rsidRPr="002029AF">
        <w:t>Young</w:t>
      </w:r>
      <w:r w:rsidR="000A5329" w:rsidRPr="002029AF">
        <w:t xml:space="preserve"> </w:t>
      </w:r>
      <w:r w:rsidRPr="002029AF">
        <w:t>People</w:t>
      </w:r>
    </w:p>
    <w:p w14:paraId="79FD8FDA" w14:textId="48847FD0" w:rsidR="00087B91" w:rsidRPr="002029AF" w:rsidRDefault="00087B91" w:rsidP="00087B91">
      <w:pPr>
        <w:pStyle w:val="ARfinbullet1"/>
      </w:pPr>
      <w:r w:rsidRPr="002029AF">
        <w:t>Director</w:t>
      </w:r>
      <w:r w:rsidR="000A5329" w:rsidRPr="002029AF">
        <w:t xml:space="preserve"> </w:t>
      </w:r>
      <w:r w:rsidRPr="002029AF">
        <w:t>of</w:t>
      </w:r>
      <w:r w:rsidR="000A5329" w:rsidRPr="002029AF">
        <w:t xml:space="preserve"> </w:t>
      </w:r>
      <w:r w:rsidRPr="002029AF">
        <w:t>Housing.</w:t>
      </w:r>
    </w:p>
    <w:p w14:paraId="0F849C74" w14:textId="3BDE0D58" w:rsidR="00087B91" w:rsidRPr="002029AF" w:rsidRDefault="00087B91" w:rsidP="00087B91">
      <w:pPr>
        <w:pStyle w:val="ARfinbodylargespace"/>
      </w:pPr>
      <w:r w:rsidRPr="002029AF">
        <w:t>The</w:t>
      </w:r>
      <w:r w:rsidR="000A5329" w:rsidRPr="002029AF">
        <w:t xml:space="preserve"> </w:t>
      </w:r>
      <w:r w:rsidRPr="002029AF">
        <w:t>financial</w:t>
      </w:r>
      <w:r w:rsidR="000A5329" w:rsidRPr="002029AF">
        <w:t xml:space="preserve"> </w:t>
      </w:r>
      <w:r w:rsidRPr="002029AF">
        <w:t>effects</w:t>
      </w:r>
      <w:r w:rsidR="000A5329" w:rsidRPr="002029AF">
        <w:t xml:space="preserve"> </w:t>
      </w:r>
      <w:r w:rsidRPr="002029AF">
        <w:t>of</w:t>
      </w:r>
      <w:r w:rsidR="000A5329" w:rsidRPr="002029AF">
        <w:t xml:space="preserve"> </w:t>
      </w:r>
      <w:r w:rsidRPr="002029AF">
        <w:t>each</w:t>
      </w:r>
      <w:r w:rsidR="000A5329" w:rsidRPr="002029AF">
        <w:t xml:space="preserve"> </w:t>
      </w:r>
      <w:r w:rsidRPr="002029AF">
        <w:t>of</w:t>
      </w:r>
      <w:r w:rsidR="000A5329" w:rsidRPr="002029AF">
        <w:t xml:space="preserve"> </w:t>
      </w:r>
      <w:r w:rsidRPr="002029AF">
        <w:t>those</w:t>
      </w:r>
      <w:r w:rsidR="000A5329" w:rsidRPr="002029AF">
        <w:t xml:space="preserve"> </w:t>
      </w:r>
      <w:r w:rsidRPr="002029AF">
        <w:t>entities,</w:t>
      </w:r>
      <w:r w:rsidR="000A5329" w:rsidRPr="002029AF">
        <w:t xml:space="preserve"> </w:t>
      </w:r>
      <w:r w:rsidRPr="002029AF">
        <w:t>except</w:t>
      </w:r>
      <w:r w:rsidR="000A5329" w:rsidRPr="002029AF">
        <w:t xml:space="preserve"> </w:t>
      </w:r>
      <w:r w:rsidRPr="002029AF">
        <w:t>Director</w:t>
      </w:r>
      <w:r w:rsidR="000A5329" w:rsidRPr="002029AF">
        <w:t xml:space="preserve"> </w:t>
      </w:r>
      <w:r w:rsidRPr="002029AF">
        <w:t>of</w:t>
      </w:r>
      <w:r w:rsidR="000A5329" w:rsidRPr="002029AF">
        <w:t xml:space="preserve"> </w:t>
      </w:r>
      <w:r w:rsidRPr="002029AF">
        <w:t>Housing,</w:t>
      </w:r>
      <w:r w:rsidR="000A5329" w:rsidRPr="002029AF">
        <w:t xml:space="preserve"> </w:t>
      </w:r>
      <w:r w:rsidRPr="002029AF">
        <w:t>were</w:t>
      </w:r>
      <w:r w:rsidR="000A5329" w:rsidRPr="002029AF">
        <w:t xml:space="preserve"> </w:t>
      </w:r>
      <w:r w:rsidRPr="002029AF">
        <w:t>trivial</w:t>
      </w:r>
      <w:r w:rsidR="000A5329" w:rsidRPr="002029AF">
        <w:t xml:space="preserve"> </w:t>
      </w:r>
      <w:r w:rsidRPr="002029AF">
        <w:t>to</w:t>
      </w:r>
      <w:r w:rsidR="000A5329" w:rsidRPr="002029AF">
        <w:t xml:space="preserve"> </w:t>
      </w:r>
      <w:r w:rsidRPr="002029AF">
        <w:t>the</w:t>
      </w:r>
      <w:r w:rsidR="000A5329" w:rsidRPr="002029AF">
        <w:t xml:space="preserve"> </w:t>
      </w:r>
      <w:r w:rsidRPr="002029AF">
        <w:t>departmental</w:t>
      </w:r>
      <w:r w:rsidR="000A5329" w:rsidRPr="002029AF">
        <w:t xml:space="preserve"> </w:t>
      </w:r>
      <w:r w:rsidRPr="002029AF">
        <w:t>consolidated</w:t>
      </w:r>
      <w:r w:rsidR="000A5329" w:rsidRPr="002029AF">
        <w:t xml:space="preserve"> </w:t>
      </w:r>
      <w:r w:rsidRPr="002029AF">
        <w:t>group,</w:t>
      </w:r>
      <w:r w:rsidR="000A5329" w:rsidRPr="002029AF">
        <w:t xml:space="preserve"> </w:t>
      </w:r>
      <w:r w:rsidRPr="002029AF">
        <w:t>both</w:t>
      </w:r>
      <w:r w:rsidR="000A5329" w:rsidRPr="002029AF">
        <w:t xml:space="preserve"> </w:t>
      </w:r>
      <w:r w:rsidRPr="002029AF">
        <w:t>individually</w:t>
      </w:r>
      <w:r w:rsidR="000A5329" w:rsidRPr="002029AF">
        <w:t xml:space="preserve"> </w:t>
      </w:r>
      <w:r w:rsidRPr="002029AF">
        <w:t>and</w:t>
      </w:r>
      <w:r w:rsidR="000A5329" w:rsidRPr="002029AF">
        <w:t xml:space="preserve"> </w:t>
      </w:r>
      <w:r w:rsidRPr="002029AF">
        <w:t>in</w:t>
      </w:r>
      <w:r w:rsidR="000A5329" w:rsidRPr="002029AF">
        <w:t xml:space="preserve"> </w:t>
      </w:r>
      <w:r w:rsidRPr="002029AF">
        <w:t>aggregate.</w:t>
      </w:r>
      <w:r w:rsidR="000A5329" w:rsidRPr="002029AF">
        <w:t xml:space="preserve"> </w:t>
      </w:r>
      <w:r w:rsidRPr="002029AF">
        <w:t>Therefore,</w:t>
      </w:r>
      <w:r w:rsidR="000A5329" w:rsidRPr="002029AF">
        <w:t xml:space="preserve"> </w:t>
      </w:r>
      <w:r w:rsidRPr="002029AF">
        <w:t>those</w:t>
      </w:r>
      <w:r w:rsidR="000A5329" w:rsidRPr="002029AF">
        <w:t xml:space="preserve"> </w:t>
      </w:r>
      <w:r w:rsidRPr="002029AF">
        <w:t>entities</w:t>
      </w:r>
      <w:r w:rsidR="000A5329" w:rsidRPr="002029AF">
        <w:t xml:space="preserve"> </w:t>
      </w:r>
      <w:r w:rsidRPr="002029AF">
        <w:t>are</w:t>
      </w:r>
      <w:r w:rsidR="000A5329" w:rsidRPr="002029AF">
        <w:t xml:space="preserve"> </w:t>
      </w:r>
      <w:r w:rsidRPr="002029AF">
        <w:t>reported</w:t>
      </w:r>
      <w:r w:rsidR="000A5329" w:rsidRPr="002029AF">
        <w:t xml:space="preserve"> </w:t>
      </w:r>
      <w:r w:rsidRPr="002029AF">
        <w:t>in</w:t>
      </w:r>
      <w:r w:rsidR="000A5329" w:rsidRPr="002029AF">
        <w:t xml:space="preserve"> </w:t>
      </w:r>
      <w:r w:rsidRPr="002029AF">
        <w:t>aggregate,</w:t>
      </w:r>
      <w:r w:rsidR="000A5329" w:rsidRPr="002029AF">
        <w:t xml:space="preserve"> </w:t>
      </w:r>
      <w:r w:rsidRPr="002029AF">
        <w:t>together</w:t>
      </w:r>
      <w:r w:rsidR="000A5329" w:rsidRPr="002029AF">
        <w:t xml:space="preserve"> </w:t>
      </w:r>
      <w:r w:rsidRPr="002029AF">
        <w:t>with</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in</w:t>
      </w:r>
      <w:r w:rsidR="000A5329" w:rsidRPr="002029AF">
        <w:t xml:space="preserve"> </w:t>
      </w:r>
      <w:r w:rsidRPr="002029AF">
        <w:t>the</w:t>
      </w:r>
      <w:r w:rsidR="000A5329" w:rsidRPr="002029AF">
        <w:t xml:space="preserve"> </w:t>
      </w:r>
      <w:r w:rsidRPr="002029AF">
        <w:t>table</w:t>
      </w:r>
      <w:r w:rsidR="000A5329" w:rsidRPr="002029AF">
        <w:t xml:space="preserve"> </w:t>
      </w:r>
      <w:r w:rsidRPr="002029AF">
        <w:t>below.</w:t>
      </w:r>
    </w:p>
    <w:tbl>
      <w:tblPr>
        <w:tblStyle w:val="TableGrid"/>
        <w:tblW w:w="9637" w:type="dxa"/>
        <w:tblLayout w:type="fixed"/>
        <w:tblLook w:val="06A0" w:firstRow="1" w:lastRow="0" w:firstColumn="1" w:lastColumn="0" w:noHBand="1" w:noVBand="1"/>
      </w:tblPr>
      <w:tblGrid>
        <w:gridCol w:w="2381"/>
        <w:gridCol w:w="907"/>
        <w:gridCol w:w="907"/>
        <w:gridCol w:w="907"/>
        <w:gridCol w:w="907"/>
        <w:gridCol w:w="907"/>
        <w:gridCol w:w="907"/>
        <w:gridCol w:w="907"/>
        <w:gridCol w:w="907"/>
      </w:tblGrid>
      <w:tr w:rsidR="00087B91" w:rsidRPr="002029AF" w14:paraId="4BC21F19" w14:textId="77777777" w:rsidTr="00FC2F9E">
        <w:trPr>
          <w:cnfStyle w:val="100000000000" w:firstRow="1" w:lastRow="0" w:firstColumn="0" w:lastColumn="0" w:oddVBand="0" w:evenVBand="0" w:oddHBand="0" w:evenHBand="0" w:firstRowFirstColumn="0" w:firstRowLastColumn="0" w:lastRowFirstColumn="0" w:lastRowLastColumn="0"/>
          <w:trHeight w:val="255"/>
          <w:tblHeader/>
        </w:trPr>
        <w:tc>
          <w:tcPr>
            <w:tcW w:w="2381" w:type="dxa"/>
            <w:vMerge w:val="restart"/>
            <w:noWrap/>
            <w:hideMark/>
          </w:tcPr>
          <w:p w14:paraId="6D72C429" w14:textId="77777777" w:rsidR="00087B91" w:rsidRPr="002029AF" w:rsidRDefault="00087B91" w:rsidP="00860E95">
            <w:pPr>
              <w:pStyle w:val="ARfintablecolhead"/>
            </w:pPr>
          </w:p>
        </w:tc>
        <w:tc>
          <w:tcPr>
            <w:tcW w:w="1814" w:type="dxa"/>
            <w:gridSpan w:val="2"/>
            <w:hideMark/>
          </w:tcPr>
          <w:p w14:paraId="66DC57AC" w14:textId="023EE96E" w:rsidR="00087B91" w:rsidRPr="002029AF" w:rsidRDefault="00087B91" w:rsidP="00860E95">
            <w:pPr>
              <w:pStyle w:val="ARfintablecolheadcentre"/>
            </w:pPr>
            <w:r w:rsidRPr="002029AF">
              <w:t>Department</w:t>
            </w:r>
            <w:r w:rsidR="000A5329" w:rsidRPr="002029AF">
              <w:t xml:space="preserve"> </w:t>
            </w:r>
            <w:r w:rsidRPr="002029AF">
              <w:t>of</w:t>
            </w:r>
            <w:r w:rsidR="000A5329" w:rsidRPr="002029AF">
              <w:t xml:space="preserve"> </w:t>
            </w:r>
            <w:r w:rsidRPr="002029AF">
              <w:t>Health</w:t>
            </w:r>
            <w:r w:rsidR="000A5329" w:rsidRPr="002029AF">
              <w:t xml:space="preserve"> </w:t>
            </w:r>
            <w:r w:rsidRPr="002029AF">
              <w:t>and</w:t>
            </w:r>
            <w:r w:rsidR="000A5329" w:rsidRPr="002029AF">
              <w:t xml:space="preserve"> </w:t>
            </w:r>
            <w:r w:rsidRPr="002029AF">
              <w:t>Human</w:t>
            </w:r>
            <w:r w:rsidR="000A5329" w:rsidRPr="002029AF">
              <w:t xml:space="preserve"> </w:t>
            </w:r>
            <w:r w:rsidRPr="002029AF">
              <w:t>Services</w:t>
            </w:r>
            <w:r w:rsidR="000A5329" w:rsidRPr="002029AF">
              <w:t xml:space="preserve"> </w:t>
            </w:r>
            <w:r w:rsidRPr="002029AF">
              <w:t>(DHHS)</w:t>
            </w:r>
            <w:r w:rsidR="000A5329" w:rsidRPr="002029AF">
              <w:t xml:space="preserve"> </w:t>
            </w:r>
            <w:r w:rsidRPr="002029AF">
              <w:t>and</w:t>
            </w:r>
            <w:r w:rsidR="000A5329" w:rsidRPr="002029AF">
              <w:t xml:space="preserve"> </w:t>
            </w:r>
            <w:r w:rsidRPr="002029AF">
              <w:t>other</w:t>
            </w:r>
            <w:r w:rsidR="000A5329" w:rsidRPr="002029AF">
              <w:t xml:space="preserve"> </w:t>
            </w:r>
            <w:r w:rsidRPr="002029AF">
              <w:t>section</w:t>
            </w:r>
            <w:r w:rsidR="000A5329" w:rsidRPr="002029AF">
              <w:t xml:space="preserve"> </w:t>
            </w:r>
            <w:r w:rsidRPr="002029AF">
              <w:t>53(1)(b)</w:t>
            </w:r>
            <w:r w:rsidR="000A5329" w:rsidRPr="002029AF">
              <w:t xml:space="preserve"> </w:t>
            </w:r>
            <w:r w:rsidRPr="002029AF">
              <w:t>entities</w:t>
            </w:r>
          </w:p>
        </w:tc>
        <w:tc>
          <w:tcPr>
            <w:tcW w:w="1814" w:type="dxa"/>
            <w:gridSpan w:val="2"/>
            <w:hideMark/>
          </w:tcPr>
          <w:p w14:paraId="2E1C4836" w14:textId="60A173F6" w:rsidR="00087B91" w:rsidRPr="002029AF" w:rsidRDefault="00087B91" w:rsidP="00860E95">
            <w:pPr>
              <w:pStyle w:val="ARfintablecolheadcentre"/>
            </w:pPr>
            <w:r w:rsidRPr="002029AF">
              <w:t>Director</w:t>
            </w:r>
            <w:r w:rsidR="000A5329" w:rsidRPr="002029AF">
              <w:t xml:space="preserve"> </w:t>
            </w:r>
            <w:r w:rsidRPr="002029AF">
              <w:t>of</w:t>
            </w:r>
            <w:r w:rsidR="000A5329" w:rsidRPr="002029AF">
              <w:t xml:space="preserve"> </w:t>
            </w:r>
            <w:r w:rsidRPr="002029AF">
              <w:t>Housing</w:t>
            </w:r>
          </w:p>
        </w:tc>
        <w:tc>
          <w:tcPr>
            <w:tcW w:w="1814" w:type="dxa"/>
            <w:gridSpan w:val="2"/>
            <w:hideMark/>
          </w:tcPr>
          <w:p w14:paraId="0E0B1A95" w14:textId="5755B299" w:rsidR="00087B91" w:rsidRPr="002029AF" w:rsidRDefault="00087B91" w:rsidP="00860E95">
            <w:pPr>
              <w:pStyle w:val="ARfintablecolheadcentre"/>
            </w:pPr>
            <w:r w:rsidRPr="002029AF">
              <w:t>Eliminations</w:t>
            </w:r>
            <w:r w:rsidR="000A5329" w:rsidRPr="002029AF">
              <w:t xml:space="preserve"> </w:t>
            </w:r>
            <w:r w:rsidRPr="002029AF">
              <w:t>and</w:t>
            </w:r>
            <w:r w:rsidR="000A5329" w:rsidRPr="002029AF">
              <w:t xml:space="preserve"> </w:t>
            </w:r>
            <w:r w:rsidRPr="002029AF">
              <w:t>adjustments</w:t>
            </w:r>
          </w:p>
        </w:tc>
        <w:tc>
          <w:tcPr>
            <w:tcW w:w="1814" w:type="dxa"/>
            <w:gridSpan w:val="2"/>
            <w:hideMark/>
          </w:tcPr>
          <w:p w14:paraId="5B078D3C" w14:textId="7A9E2D8C" w:rsidR="00087B91" w:rsidRPr="002029AF" w:rsidRDefault="00087B91" w:rsidP="00860E95">
            <w:pPr>
              <w:pStyle w:val="ARfintablecolheadcentre"/>
            </w:pPr>
            <w:r w:rsidRPr="002029AF">
              <w:t>DHHS</w:t>
            </w:r>
            <w:r w:rsidR="000A5329" w:rsidRPr="002029AF">
              <w:t xml:space="preserve"> </w:t>
            </w:r>
            <w:r w:rsidRPr="002029AF">
              <w:t>consolidated</w:t>
            </w:r>
            <w:r w:rsidR="000A5329" w:rsidRPr="002029AF">
              <w:t xml:space="preserve"> </w:t>
            </w:r>
            <w:r w:rsidRPr="002029AF">
              <w:t>group</w:t>
            </w:r>
          </w:p>
        </w:tc>
      </w:tr>
      <w:tr w:rsidR="00087B91" w:rsidRPr="002029AF" w14:paraId="4D4E5C48" w14:textId="77777777" w:rsidTr="00FC2F9E">
        <w:trPr>
          <w:cnfStyle w:val="100000000000" w:firstRow="1" w:lastRow="0" w:firstColumn="0" w:lastColumn="0" w:oddVBand="0" w:evenVBand="0" w:oddHBand="0" w:evenHBand="0" w:firstRowFirstColumn="0" w:firstRowLastColumn="0" w:lastRowFirstColumn="0" w:lastRowLastColumn="0"/>
          <w:trHeight w:val="255"/>
          <w:tblHeader/>
        </w:trPr>
        <w:tc>
          <w:tcPr>
            <w:tcW w:w="2381" w:type="dxa"/>
            <w:vMerge/>
            <w:tcBorders>
              <w:bottom w:val="single" w:sz="4" w:space="0" w:color="auto"/>
            </w:tcBorders>
            <w:hideMark/>
          </w:tcPr>
          <w:p w14:paraId="712FD5ED" w14:textId="77777777" w:rsidR="00087B91" w:rsidRPr="002029AF" w:rsidRDefault="00087B91" w:rsidP="00860E95">
            <w:pPr>
              <w:pStyle w:val="ARfintablecolhead"/>
            </w:pPr>
          </w:p>
        </w:tc>
        <w:tc>
          <w:tcPr>
            <w:tcW w:w="907" w:type="dxa"/>
            <w:tcBorders>
              <w:bottom w:val="single" w:sz="4" w:space="0" w:color="auto"/>
            </w:tcBorders>
            <w:shd w:val="clear" w:color="auto" w:fill="E7E6E6"/>
            <w:hideMark/>
          </w:tcPr>
          <w:p w14:paraId="532EC8C0" w14:textId="77777777" w:rsidR="00087B91" w:rsidRPr="002029AF" w:rsidRDefault="00087B91" w:rsidP="00860E95">
            <w:pPr>
              <w:pStyle w:val="ARfintablecolheadright"/>
              <w:ind w:right="57"/>
            </w:pPr>
            <w:r w:rsidRPr="002029AF">
              <w:t>2020</w:t>
            </w:r>
          </w:p>
          <w:p w14:paraId="44D85E11" w14:textId="77777777" w:rsidR="00087B91" w:rsidRPr="002029AF" w:rsidRDefault="00087B91" w:rsidP="00860E95">
            <w:pPr>
              <w:pStyle w:val="ARfintablecolheadright"/>
              <w:ind w:right="57"/>
            </w:pPr>
            <w:r w:rsidRPr="002029AF">
              <w:t>$M</w:t>
            </w:r>
          </w:p>
        </w:tc>
        <w:tc>
          <w:tcPr>
            <w:tcW w:w="907" w:type="dxa"/>
            <w:tcBorders>
              <w:bottom w:val="single" w:sz="4" w:space="0" w:color="auto"/>
            </w:tcBorders>
            <w:hideMark/>
          </w:tcPr>
          <w:p w14:paraId="3B9D96BB" w14:textId="77777777" w:rsidR="00087B91" w:rsidRPr="002029AF" w:rsidRDefault="00087B91" w:rsidP="00860E95">
            <w:pPr>
              <w:pStyle w:val="ARfintablecolheadright"/>
              <w:ind w:right="57"/>
            </w:pPr>
            <w:r w:rsidRPr="002029AF">
              <w:t>2019</w:t>
            </w:r>
          </w:p>
          <w:p w14:paraId="27AC54A2" w14:textId="77777777" w:rsidR="00087B91" w:rsidRPr="002029AF" w:rsidRDefault="00087B91" w:rsidP="00860E95">
            <w:pPr>
              <w:pStyle w:val="ARfintablecolheadright"/>
              <w:ind w:right="57"/>
            </w:pPr>
            <w:r w:rsidRPr="002029AF">
              <w:t>$M</w:t>
            </w:r>
          </w:p>
        </w:tc>
        <w:tc>
          <w:tcPr>
            <w:tcW w:w="907" w:type="dxa"/>
            <w:tcBorders>
              <w:bottom w:val="single" w:sz="4" w:space="0" w:color="auto"/>
            </w:tcBorders>
            <w:shd w:val="clear" w:color="auto" w:fill="E7E6E6"/>
            <w:hideMark/>
          </w:tcPr>
          <w:p w14:paraId="19379662" w14:textId="77777777" w:rsidR="00087B91" w:rsidRPr="002029AF" w:rsidRDefault="00087B91" w:rsidP="00860E95">
            <w:pPr>
              <w:pStyle w:val="ARfintablecolheadright"/>
              <w:ind w:right="57"/>
            </w:pPr>
            <w:r w:rsidRPr="002029AF">
              <w:t>2020</w:t>
            </w:r>
          </w:p>
          <w:p w14:paraId="0490E4AE" w14:textId="77777777" w:rsidR="00087B91" w:rsidRPr="002029AF" w:rsidRDefault="00087B91" w:rsidP="00860E95">
            <w:pPr>
              <w:pStyle w:val="ARfintablecolheadright"/>
              <w:ind w:right="57"/>
            </w:pPr>
            <w:r w:rsidRPr="002029AF">
              <w:t>$M</w:t>
            </w:r>
          </w:p>
        </w:tc>
        <w:tc>
          <w:tcPr>
            <w:tcW w:w="907" w:type="dxa"/>
            <w:tcBorders>
              <w:bottom w:val="single" w:sz="4" w:space="0" w:color="auto"/>
            </w:tcBorders>
            <w:hideMark/>
          </w:tcPr>
          <w:p w14:paraId="45A187BB" w14:textId="77777777" w:rsidR="00087B91" w:rsidRPr="002029AF" w:rsidRDefault="00087B91" w:rsidP="00860E95">
            <w:pPr>
              <w:pStyle w:val="ARfintablecolheadright"/>
              <w:ind w:right="57"/>
            </w:pPr>
            <w:r w:rsidRPr="002029AF">
              <w:t>2019</w:t>
            </w:r>
          </w:p>
          <w:p w14:paraId="60E0E454" w14:textId="77777777" w:rsidR="00087B91" w:rsidRPr="002029AF" w:rsidRDefault="00087B91" w:rsidP="00860E95">
            <w:pPr>
              <w:pStyle w:val="ARfintablecolheadright"/>
              <w:ind w:right="57"/>
            </w:pPr>
            <w:r w:rsidRPr="002029AF">
              <w:t>$M</w:t>
            </w:r>
          </w:p>
        </w:tc>
        <w:tc>
          <w:tcPr>
            <w:tcW w:w="907" w:type="dxa"/>
            <w:tcBorders>
              <w:bottom w:val="single" w:sz="4" w:space="0" w:color="auto"/>
            </w:tcBorders>
            <w:shd w:val="clear" w:color="auto" w:fill="E7E6E6"/>
            <w:hideMark/>
          </w:tcPr>
          <w:p w14:paraId="2EA44ABA" w14:textId="77777777" w:rsidR="00087B91" w:rsidRPr="002029AF" w:rsidRDefault="00087B91" w:rsidP="00860E95">
            <w:pPr>
              <w:pStyle w:val="ARfintablecolheadright"/>
              <w:ind w:right="57"/>
            </w:pPr>
            <w:r w:rsidRPr="002029AF">
              <w:t>2020</w:t>
            </w:r>
          </w:p>
          <w:p w14:paraId="6FD37DBC" w14:textId="77777777" w:rsidR="00087B91" w:rsidRPr="002029AF" w:rsidRDefault="00087B91" w:rsidP="00860E95">
            <w:pPr>
              <w:pStyle w:val="ARfintablecolheadright"/>
              <w:ind w:right="57"/>
            </w:pPr>
            <w:r w:rsidRPr="002029AF">
              <w:t>$M</w:t>
            </w:r>
          </w:p>
        </w:tc>
        <w:tc>
          <w:tcPr>
            <w:tcW w:w="907" w:type="dxa"/>
            <w:tcBorders>
              <w:bottom w:val="single" w:sz="4" w:space="0" w:color="auto"/>
            </w:tcBorders>
            <w:hideMark/>
          </w:tcPr>
          <w:p w14:paraId="1F8B9008" w14:textId="77777777" w:rsidR="00087B91" w:rsidRPr="002029AF" w:rsidRDefault="00087B91" w:rsidP="00860E95">
            <w:pPr>
              <w:pStyle w:val="ARfintablecolheadright"/>
              <w:ind w:right="57"/>
            </w:pPr>
            <w:r w:rsidRPr="002029AF">
              <w:t>2019</w:t>
            </w:r>
          </w:p>
          <w:p w14:paraId="48214AC3" w14:textId="77777777" w:rsidR="00087B91" w:rsidRPr="002029AF" w:rsidRDefault="00087B91" w:rsidP="00860E95">
            <w:pPr>
              <w:pStyle w:val="ARfintablecolheadright"/>
              <w:ind w:right="57"/>
            </w:pPr>
            <w:r w:rsidRPr="002029AF">
              <w:t>$M</w:t>
            </w:r>
          </w:p>
        </w:tc>
        <w:tc>
          <w:tcPr>
            <w:tcW w:w="907" w:type="dxa"/>
            <w:tcBorders>
              <w:bottom w:val="single" w:sz="4" w:space="0" w:color="auto"/>
            </w:tcBorders>
            <w:shd w:val="clear" w:color="auto" w:fill="E7E6E6"/>
            <w:hideMark/>
          </w:tcPr>
          <w:p w14:paraId="403DFC19" w14:textId="77777777" w:rsidR="00087B91" w:rsidRPr="002029AF" w:rsidRDefault="00087B91" w:rsidP="00860E95">
            <w:pPr>
              <w:pStyle w:val="ARfintablecolheadright"/>
              <w:ind w:right="57"/>
            </w:pPr>
            <w:r w:rsidRPr="002029AF">
              <w:t>2020</w:t>
            </w:r>
          </w:p>
          <w:p w14:paraId="24FD1C15" w14:textId="77777777" w:rsidR="00087B91" w:rsidRPr="002029AF" w:rsidRDefault="00087B91" w:rsidP="00860E95">
            <w:pPr>
              <w:pStyle w:val="ARfintablecolheadright"/>
              <w:ind w:right="57"/>
            </w:pPr>
            <w:r w:rsidRPr="002029AF">
              <w:t>$M</w:t>
            </w:r>
          </w:p>
        </w:tc>
        <w:tc>
          <w:tcPr>
            <w:tcW w:w="907" w:type="dxa"/>
            <w:tcBorders>
              <w:bottom w:val="single" w:sz="4" w:space="0" w:color="auto"/>
            </w:tcBorders>
            <w:hideMark/>
          </w:tcPr>
          <w:p w14:paraId="1D2B12AB" w14:textId="77777777" w:rsidR="00087B91" w:rsidRPr="002029AF" w:rsidRDefault="00087B91" w:rsidP="00860E95">
            <w:pPr>
              <w:pStyle w:val="ARfintablecolheadright"/>
              <w:ind w:right="57"/>
            </w:pPr>
            <w:r w:rsidRPr="002029AF">
              <w:t>2019</w:t>
            </w:r>
          </w:p>
          <w:p w14:paraId="1877F713" w14:textId="77777777" w:rsidR="00087B91" w:rsidRPr="002029AF" w:rsidRDefault="00087B91" w:rsidP="00860E95">
            <w:pPr>
              <w:pStyle w:val="ARfintablecolheadright"/>
              <w:ind w:right="57"/>
            </w:pPr>
            <w:r w:rsidRPr="002029AF">
              <w:t>$M</w:t>
            </w:r>
          </w:p>
        </w:tc>
      </w:tr>
      <w:tr w:rsidR="00087B91" w:rsidRPr="002029AF" w14:paraId="6872CB8D" w14:textId="77777777" w:rsidTr="00860E95">
        <w:trPr>
          <w:trHeight w:val="255"/>
        </w:trPr>
        <w:tc>
          <w:tcPr>
            <w:tcW w:w="2381" w:type="dxa"/>
            <w:tcBorders>
              <w:top w:val="single" w:sz="4" w:space="0" w:color="auto"/>
              <w:bottom w:val="single" w:sz="4" w:space="0" w:color="A6A6A6"/>
            </w:tcBorders>
            <w:hideMark/>
          </w:tcPr>
          <w:p w14:paraId="523721D4" w14:textId="2E290552" w:rsidR="00087B91" w:rsidRPr="002029AF" w:rsidRDefault="00087B91" w:rsidP="00860E95">
            <w:pPr>
              <w:pStyle w:val="ARfintablebody"/>
            </w:pPr>
            <w:r w:rsidRPr="002029AF">
              <w:t>Total</w:t>
            </w:r>
            <w:r w:rsidR="000A5329" w:rsidRPr="002029AF">
              <w:t xml:space="preserve"> </w:t>
            </w:r>
            <w:r w:rsidRPr="002029AF">
              <w:t>income</w:t>
            </w:r>
            <w:r w:rsidR="000A5329" w:rsidRPr="002029AF">
              <w:t xml:space="preserve"> </w:t>
            </w:r>
            <w:r w:rsidRPr="002029AF">
              <w:t>from</w:t>
            </w:r>
            <w:r w:rsidR="000A5329" w:rsidRPr="002029AF">
              <w:t xml:space="preserve"> </w:t>
            </w:r>
            <w:r w:rsidRPr="002029AF">
              <w:t>transactions</w:t>
            </w:r>
          </w:p>
        </w:tc>
        <w:tc>
          <w:tcPr>
            <w:tcW w:w="907" w:type="dxa"/>
            <w:tcBorders>
              <w:top w:val="single" w:sz="4" w:space="0" w:color="auto"/>
              <w:bottom w:val="single" w:sz="4" w:space="0" w:color="A6A6A6"/>
            </w:tcBorders>
            <w:shd w:val="clear" w:color="auto" w:fill="E7E6E6"/>
            <w:noWrap/>
            <w:hideMark/>
          </w:tcPr>
          <w:p w14:paraId="28199C88" w14:textId="77777777" w:rsidR="00087B91" w:rsidRPr="002029AF" w:rsidRDefault="00087B91" w:rsidP="00860E95">
            <w:pPr>
              <w:pStyle w:val="ARfintablebodyright"/>
              <w:ind w:right="57"/>
            </w:pPr>
            <w:r w:rsidRPr="002029AF">
              <w:t>20,832.0</w:t>
            </w:r>
          </w:p>
        </w:tc>
        <w:tc>
          <w:tcPr>
            <w:tcW w:w="907" w:type="dxa"/>
            <w:tcBorders>
              <w:top w:val="single" w:sz="4" w:space="0" w:color="auto"/>
              <w:bottom w:val="single" w:sz="4" w:space="0" w:color="A6A6A6"/>
            </w:tcBorders>
            <w:noWrap/>
            <w:hideMark/>
          </w:tcPr>
          <w:p w14:paraId="7996D110" w14:textId="77777777" w:rsidR="00087B91" w:rsidRPr="002029AF" w:rsidRDefault="00087B91" w:rsidP="00860E95">
            <w:pPr>
              <w:pStyle w:val="ARfintablebodyright"/>
              <w:ind w:right="57"/>
            </w:pPr>
            <w:r w:rsidRPr="002029AF">
              <w:t>18,280.9</w:t>
            </w:r>
          </w:p>
        </w:tc>
        <w:tc>
          <w:tcPr>
            <w:tcW w:w="907" w:type="dxa"/>
            <w:tcBorders>
              <w:top w:val="single" w:sz="4" w:space="0" w:color="auto"/>
              <w:bottom w:val="single" w:sz="4" w:space="0" w:color="A6A6A6"/>
            </w:tcBorders>
            <w:shd w:val="clear" w:color="auto" w:fill="E7E6E6"/>
            <w:noWrap/>
            <w:hideMark/>
          </w:tcPr>
          <w:p w14:paraId="29DF53D7" w14:textId="77777777" w:rsidR="00087B91" w:rsidRPr="002029AF" w:rsidRDefault="00087B91" w:rsidP="00860E95">
            <w:pPr>
              <w:pStyle w:val="ARfintablebodyright"/>
              <w:ind w:right="57"/>
            </w:pPr>
            <w:r w:rsidRPr="002029AF">
              <w:t>1,207.5</w:t>
            </w:r>
          </w:p>
        </w:tc>
        <w:tc>
          <w:tcPr>
            <w:tcW w:w="907" w:type="dxa"/>
            <w:tcBorders>
              <w:top w:val="single" w:sz="4" w:space="0" w:color="auto"/>
              <w:bottom w:val="single" w:sz="4" w:space="0" w:color="A6A6A6"/>
            </w:tcBorders>
            <w:noWrap/>
            <w:hideMark/>
          </w:tcPr>
          <w:p w14:paraId="77A030D9" w14:textId="77777777" w:rsidR="00087B91" w:rsidRPr="002029AF" w:rsidRDefault="00087B91" w:rsidP="00860E95">
            <w:pPr>
              <w:pStyle w:val="ARfintablebodyright"/>
              <w:ind w:right="57"/>
            </w:pPr>
            <w:r w:rsidRPr="002029AF">
              <w:t>1,145.5</w:t>
            </w:r>
          </w:p>
        </w:tc>
        <w:tc>
          <w:tcPr>
            <w:tcW w:w="907" w:type="dxa"/>
            <w:tcBorders>
              <w:top w:val="single" w:sz="4" w:space="0" w:color="auto"/>
              <w:bottom w:val="single" w:sz="4" w:space="0" w:color="A6A6A6"/>
            </w:tcBorders>
            <w:shd w:val="clear" w:color="auto" w:fill="E7E6E6"/>
            <w:noWrap/>
            <w:hideMark/>
          </w:tcPr>
          <w:p w14:paraId="577EFB8D" w14:textId="77777777" w:rsidR="00087B91" w:rsidRPr="002029AF" w:rsidRDefault="00087B91" w:rsidP="00860E95">
            <w:pPr>
              <w:pStyle w:val="ARfintablebodyright"/>
              <w:ind w:right="57"/>
            </w:pPr>
            <w:r w:rsidRPr="002029AF">
              <w:t>(11.1)</w:t>
            </w:r>
          </w:p>
        </w:tc>
        <w:tc>
          <w:tcPr>
            <w:tcW w:w="907" w:type="dxa"/>
            <w:tcBorders>
              <w:top w:val="single" w:sz="4" w:space="0" w:color="auto"/>
              <w:bottom w:val="single" w:sz="4" w:space="0" w:color="A6A6A6"/>
            </w:tcBorders>
            <w:noWrap/>
            <w:hideMark/>
          </w:tcPr>
          <w:p w14:paraId="3D8540D7" w14:textId="77777777" w:rsidR="00087B91" w:rsidRPr="002029AF" w:rsidRDefault="00087B91" w:rsidP="00860E95">
            <w:pPr>
              <w:pStyle w:val="ARfintablebodyright"/>
              <w:ind w:right="57"/>
            </w:pPr>
            <w:r w:rsidRPr="002029AF">
              <w:t>(9.4)</w:t>
            </w:r>
          </w:p>
        </w:tc>
        <w:tc>
          <w:tcPr>
            <w:tcW w:w="907" w:type="dxa"/>
            <w:tcBorders>
              <w:top w:val="single" w:sz="4" w:space="0" w:color="auto"/>
              <w:bottom w:val="single" w:sz="4" w:space="0" w:color="A6A6A6"/>
            </w:tcBorders>
            <w:shd w:val="clear" w:color="auto" w:fill="E7E6E6"/>
            <w:noWrap/>
            <w:hideMark/>
          </w:tcPr>
          <w:p w14:paraId="3C15522B" w14:textId="77777777" w:rsidR="00087B91" w:rsidRPr="002029AF" w:rsidRDefault="00087B91" w:rsidP="00860E95">
            <w:pPr>
              <w:pStyle w:val="ARfintablebodyright"/>
              <w:ind w:right="57"/>
            </w:pPr>
            <w:r w:rsidRPr="002029AF">
              <w:t>22,028.4</w:t>
            </w:r>
          </w:p>
        </w:tc>
        <w:tc>
          <w:tcPr>
            <w:tcW w:w="907" w:type="dxa"/>
            <w:tcBorders>
              <w:top w:val="single" w:sz="4" w:space="0" w:color="auto"/>
              <w:bottom w:val="single" w:sz="4" w:space="0" w:color="A6A6A6"/>
            </w:tcBorders>
            <w:noWrap/>
            <w:hideMark/>
          </w:tcPr>
          <w:p w14:paraId="18FE2233" w14:textId="77777777" w:rsidR="00087B91" w:rsidRPr="002029AF" w:rsidRDefault="00087B91" w:rsidP="00860E95">
            <w:pPr>
              <w:pStyle w:val="ARfintablebodyright"/>
              <w:ind w:right="57"/>
            </w:pPr>
            <w:r w:rsidRPr="002029AF">
              <w:t>19,417.0</w:t>
            </w:r>
          </w:p>
        </w:tc>
      </w:tr>
      <w:tr w:rsidR="00087B91" w:rsidRPr="002029AF" w14:paraId="38412F7D" w14:textId="77777777" w:rsidTr="00860E95">
        <w:trPr>
          <w:trHeight w:val="255"/>
        </w:trPr>
        <w:tc>
          <w:tcPr>
            <w:tcW w:w="2381" w:type="dxa"/>
            <w:tcBorders>
              <w:top w:val="single" w:sz="4" w:space="0" w:color="A6A6A6"/>
              <w:bottom w:val="single" w:sz="4" w:space="0" w:color="A6A6A6"/>
            </w:tcBorders>
            <w:hideMark/>
          </w:tcPr>
          <w:p w14:paraId="16F7D5F0" w14:textId="2C2CE795" w:rsidR="00087B91" w:rsidRPr="002029AF" w:rsidRDefault="00087B91" w:rsidP="00860E95">
            <w:pPr>
              <w:pStyle w:val="ARfintablebody"/>
            </w:pPr>
            <w:r w:rsidRPr="002029AF">
              <w:t>Total</w:t>
            </w:r>
            <w:r w:rsidR="000A5329" w:rsidRPr="002029AF">
              <w:t xml:space="preserve"> </w:t>
            </w:r>
            <w:r w:rsidRPr="002029AF">
              <w:t>expenses</w:t>
            </w:r>
            <w:r w:rsidR="000A5329" w:rsidRPr="002029AF">
              <w:t xml:space="preserve"> </w:t>
            </w:r>
            <w:r w:rsidRPr="002029AF">
              <w:t>from</w:t>
            </w:r>
            <w:r w:rsidR="000A5329" w:rsidRPr="002029AF">
              <w:t xml:space="preserve"> </w:t>
            </w:r>
            <w:r w:rsidRPr="002029AF">
              <w:t>transactions</w:t>
            </w:r>
          </w:p>
        </w:tc>
        <w:tc>
          <w:tcPr>
            <w:tcW w:w="907" w:type="dxa"/>
            <w:tcBorders>
              <w:top w:val="single" w:sz="4" w:space="0" w:color="A6A6A6"/>
              <w:bottom w:val="single" w:sz="4" w:space="0" w:color="A6A6A6"/>
            </w:tcBorders>
            <w:shd w:val="clear" w:color="auto" w:fill="E7E6E6"/>
            <w:noWrap/>
            <w:hideMark/>
          </w:tcPr>
          <w:p w14:paraId="3CD71960" w14:textId="77777777" w:rsidR="00087B91" w:rsidRPr="002029AF" w:rsidRDefault="00087B91" w:rsidP="00860E95">
            <w:pPr>
              <w:pStyle w:val="ARfintablebodyright"/>
              <w:ind w:right="57"/>
            </w:pPr>
            <w:r w:rsidRPr="002029AF">
              <w:t>20,034.7</w:t>
            </w:r>
          </w:p>
        </w:tc>
        <w:tc>
          <w:tcPr>
            <w:tcW w:w="907" w:type="dxa"/>
            <w:tcBorders>
              <w:top w:val="single" w:sz="4" w:space="0" w:color="A6A6A6"/>
              <w:bottom w:val="single" w:sz="4" w:space="0" w:color="A6A6A6"/>
            </w:tcBorders>
            <w:noWrap/>
            <w:hideMark/>
          </w:tcPr>
          <w:p w14:paraId="22F552C4" w14:textId="77777777" w:rsidR="00087B91" w:rsidRPr="002029AF" w:rsidRDefault="00087B91" w:rsidP="00860E95">
            <w:pPr>
              <w:pStyle w:val="ARfintablebodyright"/>
              <w:ind w:right="57"/>
            </w:pPr>
            <w:r w:rsidRPr="002029AF">
              <w:t>17,995.9</w:t>
            </w:r>
          </w:p>
        </w:tc>
        <w:tc>
          <w:tcPr>
            <w:tcW w:w="907" w:type="dxa"/>
            <w:tcBorders>
              <w:top w:val="single" w:sz="4" w:space="0" w:color="A6A6A6"/>
              <w:bottom w:val="single" w:sz="4" w:space="0" w:color="A6A6A6"/>
            </w:tcBorders>
            <w:shd w:val="clear" w:color="auto" w:fill="E7E6E6"/>
            <w:noWrap/>
            <w:hideMark/>
          </w:tcPr>
          <w:p w14:paraId="3874E958" w14:textId="77777777" w:rsidR="00087B91" w:rsidRPr="002029AF" w:rsidRDefault="00087B91" w:rsidP="00860E95">
            <w:pPr>
              <w:pStyle w:val="ARfintablebodyright"/>
              <w:ind w:right="57"/>
            </w:pPr>
            <w:r w:rsidRPr="002029AF">
              <w:t>1,396.7</w:t>
            </w:r>
          </w:p>
        </w:tc>
        <w:tc>
          <w:tcPr>
            <w:tcW w:w="907" w:type="dxa"/>
            <w:tcBorders>
              <w:top w:val="single" w:sz="4" w:space="0" w:color="A6A6A6"/>
              <w:bottom w:val="single" w:sz="4" w:space="0" w:color="A6A6A6"/>
            </w:tcBorders>
            <w:noWrap/>
            <w:hideMark/>
          </w:tcPr>
          <w:p w14:paraId="78289B06" w14:textId="77777777" w:rsidR="00087B91" w:rsidRPr="002029AF" w:rsidRDefault="00087B91" w:rsidP="00860E95">
            <w:pPr>
              <w:pStyle w:val="ARfintablebodyright"/>
              <w:ind w:right="57"/>
            </w:pPr>
            <w:r w:rsidRPr="002029AF">
              <w:t>1,405.0</w:t>
            </w:r>
          </w:p>
        </w:tc>
        <w:tc>
          <w:tcPr>
            <w:tcW w:w="907" w:type="dxa"/>
            <w:tcBorders>
              <w:top w:val="single" w:sz="4" w:space="0" w:color="A6A6A6"/>
              <w:bottom w:val="single" w:sz="4" w:space="0" w:color="A6A6A6"/>
            </w:tcBorders>
            <w:shd w:val="clear" w:color="auto" w:fill="E7E6E6"/>
            <w:noWrap/>
            <w:hideMark/>
          </w:tcPr>
          <w:p w14:paraId="48D02F03" w14:textId="77777777" w:rsidR="00087B91" w:rsidRPr="002029AF" w:rsidRDefault="00087B91" w:rsidP="00860E95">
            <w:pPr>
              <w:pStyle w:val="ARfintablebodyright"/>
              <w:ind w:right="57"/>
            </w:pPr>
            <w:r w:rsidRPr="002029AF">
              <w:t>(11.1)</w:t>
            </w:r>
          </w:p>
        </w:tc>
        <w:tc>
          <w:tcPr>
            <w:tcW w:w="907" w:type="dxa"/>
            <w:tcBorders>
              <w:top w:val="single" w:sz="4" w:space="0" w:color="A6A6A6"/>
              <w:bottom w:val="single" w:sz="4" w:space="0" w:color="A6A6A6"/>
            </w:tcBorders>
            <w:noWrap/>
            <w:hideMark/>
          </w:tcPr>
          <w:p w14:paraId="75A86D6A" w14:textId="77777777" w:rsidR="00087B91" w:rsidRPr="002029AF" w:rsidRDefault="00087B91" w:rsidP="00860E95">
            <w:pPr>
              <w:pStyle w:val="ARfintablebodyright"/>
              <w:ind w:right="57"/>
            </w:pPr>
            <w:r w:rsidRPr="002029AF">
              <w:t>(9.4)</w:t>
            </w:r>
          </w:p>
        </w:tc>
        <w:tc>
          <w:tcPr>
            <w:tcW w:w="907" w:type="dxa"/>
            <w:tcBorders>
              <w:top w:val="single" w:sz="4" w:space="0" w:color="A6A6A6"/>
              <w:bottom w:val="single" w:sz="4" w:space="0" w:color="A6A6A6"/>
            </w:tcBorders>
            <w:shd w:val="clear" w:color="auto" w:fill="E7E6E6"/>
            <w:noWrap/>
            <w:hideMark/>
          </w:tcPr>
          <w:p w14:paraId="597A67DA" w14:textId="77777777" w:rsidR="00087B91" w:rsidRPr="002029AF" w:rsidRDefault="00087B91" w:rsidP="00860E95">
            <w:pPr>
              <w:pStyle w:val="ARfintablebodyright"/>
              <w:ind w:right="57"/>
            </w:pPr>
            <w:r w:rsidRPr="002029AF">
              <w:t>21,420.3</w:t>
            </w:r>
          </w:p>
        </w:tc>
        <w:tc>
          <w:tcPr>
            <w:tcW w:w="907" w:type="dxa"/>
            <w:tcBorders>
              <w:top w:val="single" w:sz="4" w:space="0" w:color="A6A6A6"/>
              <w:bottom w:val="single" w:sz="4" w:space="0" w:color="A6A6A6"/>
            </w:tcBorders>
            <w:noWrap/>
            <w:hideMark/>
          </w:tcPr>
          <w:p w14:paraId="47EF0936" w14:textId="77777777" w:rsidR="00087B91" w:rsidRPr="002029AF" w:rsidRDefault="00087B91" w:rsidP="00860E95">
            <w:pPr>
              <w:pStyle w:val="ARfintablebodyright"/>
              <w:ind w:right="57"/>
            </w:pPr>
            <w:r w:rsidRPr="002029AF">
              <w:t>19,391.5</w:t>
            </w:r>
          </w:p>
        </w:tc>
      </w:tr>
      <w:tr w:rsidR="00087B91" w:rsidRPr="002029AF" w14:paraId="6BCC4DF7" w14:textId="77777777" w:rsidTr="00860E95">
        <w:trPr>
          <w:trHeight w:val="255"/>
        </w:trPr>
        <w:tc>
          <w:tcPr>
            <w:tcW w:w="2381" w:type="dxa"/>
            <w:tcBorders>
              <w:top w:val="single" w:sz="4" w:space="0" w:color="A6A6A6"/>
              <w:bottom w:val="single" w:sz="4" w:space="0" w:color="A6A6A6"/>
            </w:tcBorders>
            <w:hideMark/>
          </w:tcPr>
          <w:p w14:paraId="37C7A434" w14:textId="6679D056" w:rsidR="00087B91" w:rsidRPr="002029AF" w:rsidRDefault="00087B91" w:rsidP="00860E95">
            <w:pPr>
              <w:pStyle w:val="ARfintablebody"/>
            </w:pPr>
            <w:r w:rsidRPr="002029AF">
              <w:t>Net</w:t>
            </w:r>
            <w:r w:rsidR="000A5329" w:rsidRPr="002029AF">
              <w:t xml:space="preserve"> </w:t>
            </w:r>
            <w:r w:rsidRPr="002029AF">
              <w:t>result</w:t>
            </w:r>
            <w:r w:rsidR="000A5329" w:rsidRPr="002029AF">
              <w:t xml:space="preserve"> </w:t>
            </w:r>
            <w:r w:rsidRPr="002029AF">
              <w:t>from</w:t>
            </w:r>
            <w:r w:rsidR="000A5329" w:rsidRPr="002029AF">
              <w:t xml:space="preserve"> </w:t>
            </w:r>
            <w:r w:rsidRPr="002029AF">
              <w:t>transactions</w:t>
            </w:r>
          </w:p>
        </w:tc>
        <w:tc>
          <w:tcPr>
            <w:tcW w:w="907" w:type="dxa"/>
            <w:tcBorders>
              <w:top w:val="single" w:sz="4" w:space="0" w:color="A6A6A6"/>
              <w:bottom w:val="single" w:sz="4" w:space="0" w:color="A6A6A6"/>
            </w:tcBorders>
            <w:shd w:val="clear" w:color="auto" w:fill="E7E6E6"/>
            <w:noWrap/>
            <w:hideMark/>
          </w:tcPr>
          <w:p w14:paraId="00F337E9" w14:textId="77777777" w:rsidR="00087B91" w:rsidRPr="002029AF" w:rsidRDefault="00087B91" w:rsidP="00860E95">
            <w:pPr>
              <w:pStyle w:val="ARfintablebodyright"/>
              <w:ind w:right="57"/>
            </w:pPr>
            <w:r w:rsidRPr="002029AF">
              <w:t>797.3</w:t>
            </w:r>
          </w:p>
        </w:tc>
        <w:tc>
          <w:tcPr>
            <w:tcW w:w="907" w:type="dxa"/>
            <w:tcBorders>
              <w:top w:val="single" w:sz="4" w:space="0" w:color="A6A6A6"/>
              <w:bottom w:val="single" w:sz="4" w:space="0" w:color="A6A6A6"/>
            </w:tcBorders>
            <w:noWrap/>
            <w:hideMark/>
          </w:tcPr>
          <w:p w14:paraId="0DB49108" w14:textId="77777777" w:rsidR="00087B91" w:rsidRPr="002029AF" w:rsidRDefault="00087B91" w:rsidP="00860E95">
            <w:pPr>
              <w:pStyle w:val="ARfintablebodyright"/>
              <w:ind w:right="57"/>
            </w:pPr>
            <w:r w:rsidRPr="002029AF">
              <w:t>285.0</w:t>
            </w:r>
          </w:p>
        </w:tc>
        <w:tc>
          <w:tcPr>
            <w:tcW w:w="907" w:type="dxa"/>
            <w:tcBorders>
              <w:top w:val="single" w:sz="4" w:space="0" w:color="A6A6A6"/>
              <w:bottom w:val="single" w:sz="4" w:space="0" w:color="A6A6A6"/>
            </w:tcBorders>
            <w:shd w:val="clear" w:color="auto" w:fill="E7E6E6"/>
            <w:noWrap/>
            <w:hideMark/>
          </w:tcPr>
          <w:p w14:paraId="632C99E6" w14:textId="77777777" w:rsidR="00087B91" w:rsidRPr="002029AF" w:rsidRDefault="00087B91" w:rsidP="00860E95">
            <w:pPr>
              <w:pStyle w:val="ARfintablebodyright"/>
              <w:ind w:right="57"/>
            </w:pPr>
            <w:r w:rsidRPr="002029AF">
              <w:t>(189.2)</w:t>
            </w:r>
          </w:p>
        </w:tc>
        <w:tc>
          <w:tcPr>
            <w:tcW w:w="907" w:type="dxa"/>
            <w:tcBorders>
              <w:top w:val="single" w:sz="4" w:space="0" w:color="A6A6A6"/>
              <w:bottom w:val="single" w:sz="4" w:space="0" w:color="A6A6A6"/>
            </w:tcBorders>
            <w:noWrap/>
            <w:hideMark/>
          </w:tcPr>
          <w:p w14:paraId="41190886" w14:textId="77777777" w:rsidR="00087B91" w:rsidRPr="002029AF" w:rsidRDefault="00087B91" w:rsidP="00860E95">
            <w:pPr>
              <w:pStyle w:val="ARfintablebodyright"/>
              <w:ind w:right="57"/>
            </w:pPr>
            <w:r w:rsidRPr="002029AF">
              <w:t>(259.5)</w:t>
            </w:r>
          </w:p>
        </w:tc>
        <w:tc>
          <w:tcPr>
            <w:tcW w:w="907" w:type="dxa"/>
            <w:tcBorders>
              <w:top w:val="single" w:sz="4" w:space="0" w:color="A6A6A6"/>
              <w:bottom w:val="single" w:sz="4" w:space="0" w:color="A6A6A6"/>
            </w:tcBorders>
            <w:shd w:val="clear" w:color="auto" w:fill="E7E6E6"/>
            <w:noWrap/>
            <w:hideMark/>
          </w:tcPr>
          <w:p w14:paraId="7868D77D" w14:textId="77777777" w:rsidR="00087B91" w:rsidRPr="002029AF" w:rsidRDefault="00087B91" w:rsidP="00860E95">
            <w:pPr>
              <w:pStyle w:val="ARfintablebodyright"/>
              <w:ind w:right="57"/>
            </w:pPr>
            <w:r w:rsidRPr="002029AF">
              <w:t>–</w:t>
            </w:r>
          </w:p>
        </w:tc>
        <w:tc>
          <w:tcPr>
            <w:tcW w:w="907" w:type="dxa"/>
            <w:tcBorders>
              <w:top w:val="single" w:sz="4" w:space="0" w:color="A6A6A6"/>
              <w:bottom w:val="single" w:sz="4" w:space="0" w:color="A6A6A6"/>
            </w:tcBorders>
            <w:noWrap/>
            <w:hideMark/>
          </w:tcPr>
          <w:p w14:paraId="691FDC4E" w14:textId="77777777" w:rsidR="00087B91" w:rsidRPr="002029AF" w:rsidRDefault="00087B91" w:rsidP="00860E95">
            <w:pPr>
              <w:pStyle w:val="ARfintablebodyright"/>
              <w:ind w:right="57"/>
            </w:pPr>
            <w:r w:rsidRPr="002029AF">
              <w:t>–</w:t>
            </w:r>
          </w:p>
        </w:tc>
        <w:tc>
          <w:tcPr>
            <w:tcW w:w="907" w:type="dxa"/>
            <w:tcBorders>
              <w:top w:val="single" w:sz="4" w:space="0" w:color="A6A6A6"/>
              <w:bottom w:val="single" w:sz="4" w:space="0" w:color="A6A6A6"/>
            </w:tcBorders>
            <w:shd w:val="clear" w:color="auto" w:fill="E7E6E6"/>
            <w:noWrap/>
            <w:hideMark/>
          </w:tcPr>
          <w:p w14:paraId="06538CF5" w14:textId="77777777" w:rsidR="00087B91" w:rsidRPr="002029AF" w:rsidRDefault="00087B91" w:rsidP="00860E95">
            <w:pPr>
              <w:pStyle w:val="ARfintablebodyright"/>
              <w:ind w:right="57"/>
            </w:pPr>
            <w:r w:rsidRPr="002029AF">
              <w:t>608.1</w:t>
            </w:r>
          </w:p>
        </w:tc>
        <w:tc>
          <w:tcPr>
            <w:tcW w:w="907" w:type="dxa"/>
            <w:tcBorders>
              <w:top w:val="single" w:sz="4" w:space="0" w:color="A6A6A6"/>
              <w:bottom w:val="single" w:sz="4" w:space="0" w:color="A6A6A6"/>
            </w:tcBorders>
            <w:noWrap/>
            <w:hideMark/>
          </w:tcPr>
          <w:p w14:paraId="4E5346B4" w14:textId="77777777" w:rsidR="00087B91" w:rsidRPr="002029AF" w:rsidRDefault="00087B91" w:rsidP="00860E95">
            <w:pPr>
              <w:pStyle w:val="ARfintablebodyright"/>
              <w:ind w:right="57"/>
            </w:pPr>
            <w:r w:rsidRPr="002029AF">
              <w:t>25.5</w:t>
            </w:r>
          </w:p>
        </w:tc>
      </w:tr>
      <w:tr w:rsidR="00087B91" w:rsidRPr="002029AF" w14:paraId="65762814" w14:textId="77777777" w:rsidTr="00860E95">
        <w:trPr>
          <w:trHeight w:val="255"/>
        </w:trPr>
        <w:tc>
          <w:tcPr>
            <w:tcW w:w="2381" w:type="dxa"/>
            <w:tcBorders>
              <w:top w:val="single" w:sz="4" w:space="0" w:color="A6A6A6"/>
              <w:bottom w:val="single" w:sz="4" w:space="0" w:color="A6A6A6"/>
            </w:tcBorders>
            <w:hideMark/>
          </w:tcPr>
          <w:p w14:paraId="17D7F01F" w14:textId="5B835B17" w:rsidR="00087B91" w:rsidRPr="002029AF" w:rsidRDefault="00087B91" w:rsidP="00860E95">
            <w:pPr>
              <w:pStyle w:val="ARfintablebody"/>
            </w:pPr>
            <w:r w:rsidRPr="002029AF">
              <w:t>Total</w:t>
            </w:r>
            <w:r w:rsidR="000A5329" w:rsidRPr="002029AF">
              <w:t xml:space="preserve"> </w:t>
            </w:r>
            <w:r w:rsidRPr="002029AF">
              <w:t>assets</w:t>
            </w:r>
          </w:p>
        </w:tc>
        <w:tc>
          <w:tcPr>
            <w:tcW w:w="907" w:type="dxa"/>
            <w:tcBorders>
              <w:top w:val="single" w:sz="4" w:space="0" w:color="A6A6A6"/>
              <w:bottom w:val="single" w:sz="4" w:space="0" w:color="A6A6A6"/>
            </w:tcBorders>
            <w:shd w:val="clear" w:color="auto" w:fill="E7E6E6"/>
            <w:noWrap/>
            <w:hideMark/>
          </w:tcPr>
          <w:p w14:paraId="5223A49C" w14:textId="77777777" w:rsidR="00087B91" w:rsidRPr="002029AF" w:rsidRDefault="00087B91" w:rsidP="00860E95">
            <w:pPr>
              <w:pStyle w:val="ARfintablebodyright"/>
              <w:ind w:right="57"/>
            </w:pPr>
            <w:r w:rsidRPr="002029AF">
              <w:t>7,839.1</w:t>
            </w:r>
          </w:p>
        </w:tc>
        <w:tc>
          <w:tcPr>
            <w:tcW w:w="907" w:type="dxa"/>
            <w:tcBorders>
              <w:top w:val="single" w:sz="4" w:space="0" w:color="A6A6A6"/>
              <w:bottom w:val="single" w:sz="4" w:space="0" w:color="A6A6A6"/>
            </w:tcBorders>
            <w:noWrap/>
            <w:hideMark/>
          </w:tcPr>
          <w:p w14:paraId="3C6EDC39" w14:textId="77777777" w:rsidR="00087B91" w:rsidRPr="002029AF" w:rsidRDefault="00087B91" w:rsidP="00860E95">
            <w:pPr>
              <w:pStyle w:val="ARfintablebodyright"/>
              <w:ind w:right="57"/>
            </w:pPr>
            <w:r w:rsidRPr="002029AF">
              <w:t>6,224.5</w:t>
            </w:r>
          </w:p>
        </w:tc>
        <w:tc>
          <w:tcPr>
            <w:tcW w:w="907" w:type="dxa"/>
            <w:tcBorders>
              <w:top w:val="single" w:sz="4" w:space="0" w:color="A6A6A6"/>
              <w:bottom w:val="single" w:sz="4" w:space="0" w:color="A6A6A6"/>
            </w:tcBorders>
            <w:shd w:val="clear" w:color="auto" w:fill="E7E6E6"/>
            <w:noWrap/>
            <w:hideMark/>
          </w:tcPr>
          <w:p w14:paraId="04035199" w14:textId="77777777" w:rsidR="00087B91" w:rsidRPr="002029AF" w:rsidRDefault="00087B91" w:rsidP="00860E95">
            <w:pPr>
              <w:pStyle w:val="ARfintablebodyright"/>
              <w:ind w:right="57"/>
            </w:pPr>
            <w:r w:rsidRPr="002029AF">
              <w:t>27,031.1</w:t>
            </w:r>
          </w:p>
        </w:tc>
        <w:tc>
          <w:tcPr>
            <w:tcW w:w="907" w:type="dxa"/>
            <w:tcBorders>
              <w:top w:val="single" w:sz="4" w:space="0" w:color="A6A6A6"/>
              <w:bottom w:val="single" w:sz="4" w:space="0" w:color="A6A6A6"/>
            </w:tcBorders>
            <w:noWrap/>
            <w:hideMark/>
          </w:tcPr>
          <w:p w14:paraId="0E5E1AB9" w14:textId="77777777" w:rsidR="00087B91" w:rsidRPr="002029AF" w:rsidRDefault="00087B91" w:rsidP="00860E95">
            <w:pPr>
              <w:pStyle w:val="ARfintablebodyright"/>
              <w:ind w:right="57"/>
            </w:pPr>
            <w:r w:rsidRPr="002029AF">
              <w:t>27,151.7</w:t>
            </w:r>
          </w:p>
        </w:tc>
        <w:tc>
          <w:tcPr>
            <w:tcW w:w="907" w:type="dxa"/>
            <w:tcBorders>
              <w:top w:val="single" w:sz="4" w:space="0" w:color="A6A6A6"/>
              <w:bottom w:val="single" w:sz="4" w:space="0" w:color="A6A6A6"/>
            </w:tcBorders>
            <w:shd w:val="clear" w:color="auto" w:fill="E7E6E6"/>
            <w:noWrap/>
            <w:hideMark/>
          </w:tcPr>
          <w:p w14:paraId="4B33F144" w14:textId="77777777" w:rsidR="00087B91" w:rsidRPr="002029AF" w:rsidRDefault="00087B91" w:rsidP="00860E95">
            <w:pPr>
              <w:pStyle w:val="ARfintablebodyright"/>
              <w:ind w:right="57"/>
            </w:pPr>
            <w:r w:rsidRPr="002029AF">
              <w:t>(4.3)</w:t>
            </w:r>
          </w:p>
        </w:tc>
        <w:tc>
          <w:tcPr>
            <w:tcW w:w="907" w:type="dxa"/>
            <w:tcBorders>
              <w:top w:val="single" w:sz="4" w:space="0" w:color="A6A6A6"/>
              <w:bottom w:val="single" w:sz="4" w:space="0" w:color="A6A6A6"/>
            </w:tcBorders>
            <w:noWrap/>
            <w:hideMark/>
          </w:tcPr>
          <w:p w14:paraId="22BB912D" w14:textId="77777777" w:rsidR="00087B91" w:rsidRPr="002029AF" w:rsidRDefault="00087B91" w:rsidP="00860E95">
            <w:pPr>
              <w:pStyle w:val="ARfintablebodyright"/>
              <w:ind w:right="57"/>
            </w:pPr>
            <w:r w:rsidRPr="002029AF">
              <w:t>(3.7)</w:t>
            </w:r>
          </w:p>
        </w:tc>
        <w:tc>
          <w:tcPr>
            <w:tcW w:w="907" w:type="dxa"/>
            <w:tcBorders>
              <w:top w:val="single" w:sz="4" w:space="0" w:color="A6A6A6"/>
              <w:bottom w:val="single" w:sz="4" w:space="0" w:color="A6A6A6"/>
            </w:tcBorders>
            <w:shd w:val="clear" w:color="auto" w:fill="E7E6E6"/>
            <w:noWrap/>
            <w:hideMark/>
          </w:tcPr>
          <w:p w14:paraId="10BD2C2A" w14:textId="77777777" w:rsidR="00087B91" w:rsidRPr="002029AF" w:rsidRDefault="00087B91" w:rsidP="00860E95">
            <w:pPr>
              <w:pStyle w:val="ARfintablebodyright"/>
              <w:ind w:right="57"/>
            </w:pPr>
            <w:r w:rsidRPr="002029AF">
              <w:t>34,865.9</w:t>
            </w:r>
          </w:p>
        </w:tc>
        <w:tc>
          <w:tcPr>
            <w:tcW w:w="907" w:type="dxa"/>
            <w:tcBorders>
              <w:top w:val="single" w:sz="4" w:space="0" w:color="A6A6A6"/>
              <w:bottom w:val="single" w:sz="4" w:space="0" w:color="A6A6A6"/>
            </w:tcBorders>
            <w:noWrap/>
            <w:hideMark/>
          </w:tcPr>
          <w:p w14:paraId="4453FF4E" w14:textId="77777777" w:rsidR="00087B91" w:rsidRPr="002029AF" w:rsidRDefault="00087B91" w:rsidP="00860E95">
            <w:pPr>
              <w:pStyle w:val="ARfintablebodyright"/>
              <w:ind w:right="57"/>
            </w:pPr>
            <w:r w:rsidRPr="002029AF">
              <w:t>33,372.5</w:t>
            </w:r>
          </w:p>
        </w:tc>
      </w:tr>
      <w:tr w:rsidR="00087B91" w:rsidRPr="002029AF" w14:paraId="4CF594E4" w14:textId="77777777" w:rsidTr="00860E95">
        <w:trPr>
          <w:trHeight w:val="255"/>
        </w:trPr>
        <w:tc>
          <w:tcPr>
            <w:tcW w:w="2381" w:type="dxa"/>
            <w:tcBorders>
              <w:top w:val="single" w:sz="4" w:space="0" w:color="A6A6A6"/>
            </w:tcBorders>
            <w:hideMark/>
          </w:tcPr>
          <w:p w14:paraId="00EC71D1" w14:textId="16BB8644" w:rsidR="00087B91" w:rsidRPr="002029AF" w:rsidRDefault="00087B91" w:rsidP="00860E95">
            <w:pPr>
              <w:pStyle w:val="ARfintablebody"/>
            </w:pPr>
            <w:r w:rsidRPr="002029AF">
              <w:t>Total</w:t>
            </w:r>
            <w:r w:rsidR="000A5329" w:rsidRPr="002029AF">
              <w:t xml:space="preserve"> </w:t>
            </w:r>
            <w:r w:rsidRPr="002029AF">
              <w:t>liabilities</w:t>
            </w:r>
          </w:p>
        </w:tc>
        <w:tc>
          <w:tcPr>
            <w:tcW w:w="907" w:type="dxa"/>
            <w:tcBorders>
              <w:top w:val="single" w:sz="4" w:space="0" w:color="A6A6A6"/>
            </w:tcBorders>
            <w:shd w:val="clear" w:color="auto" w:fill="E7E6E6"/>
            <w:noWrap/>
            <w:hideMark/>
          </w:tcPr>
          <w:p w14:paraId="09D71DA5" w14:textId="77777777" w:rsidR="00087B91" w:rsidRPr="002029AF" w:rsidRDefault="00087B91" w:rsidP="00860E95">
            <w:pPr>
              <w:pStyle w:val="ARfintablebodyright"/>
              <w:ind w:right="57"/>
            </w:pPr>
            <w:r w:rsidRPr="002029AF">
              <w:t>2,759.0</w:t>
            </w:r>
          </w:p>
        </w:tc>
        <w:tc>
          <w:tcPr>
            <w:tcW w:w="907" w:type="dxa"/>
            <w:tcBorders>
              <w:top w:val="single" w:sz="4" w:space="0" w:color="A6A6A6"/>
            </w:tcBorders>
            <w:noWrap/>
            <w:hideMark/>
          </w:tcPr>
          <w:p w14:paraId="1C98F7B2" w14:textId="77777777" w:rsidR="00087B91" w:rsidRPr="002029AF" w:rsidRDefault="00087B91" w:rsidP="00860E95">
            <w:pPr>
              <w:pStyle w:val="ARfintablebodyright"/>
              <w:ind w:right="57"/>
            </w:pPr>
            <w:r w:rsidRPr="002029AF">
              <w:t>2,014.7</w:t>
            </w:r>
          </w:p>
        </w:tc>
        <w:tc>
          <w:tcPr>
            <w:tcW w:w="907" w:type="dxa"/>
            <w:tcBorders>
              <w:top w:val="single" w:sz="4" w:space="0" w:color="A6A6A6"/>
            </w:tcBorders>
            <w:shd w:val="clear" w:color="auto" w:fill="E7E6E6"/>
            <w:noWrap/>
            <w:hideMark/>
          </w:tcPr>
          <w:p w14:paraId="336321D9" w14:textId="77777777" w:rsidR="00087B91" w:rsidRPr="002029AF" w:rsidRDefault="00087B91" w:rsidP="00860E95">
            <w:pPr>
              <w:pStyle w:val="ARfintablebodyright"/>
              <w:ind w:right="57"/>
            </w:pPr>
            <w:r w:rsidRPr="002029AF">
              <w:t>173.4</w:t>
            </w:r>
          </w:p>
        </w:tc>
        <w:tc>
          <w:tcPr>
            <w:tcW w:w="907" w:type="dxa"/>
            <w:tcBorders>
              <w:top w:val="single" w:sz="4" w:space="0" w:color="A6A6A6"/>
            </w:tcBorders>
            <w:noWrap/>
            <w:hideMark/>
          </w:tcPr>
          <w:p w14:paraId="7D164A2C" w14:textId="77777777" w:rsidR="00087B91" w:rsidRPr="002029AF" w:rsidRDefault="00087B91" w:rsidP="00860E95">
            <w:pPr>
              <w:pStyle w:val="ARfintablebodyright"/>
              <w:ind w:right="57"/>
            </w:pPr>
            <w:r w:rsidRPr="002029AF">
              <w:t>166.5</w:t>
            </w:r>
          </w:p>
        </w:tc>
        <w:tc>
          <w:tcPr>
            <w:tcW w:w="907" w:type="dxa"/>
            <w:tcBorders>
              <w:top w:val="single" w:sz="4" w:space="0" w:color="A6A6A6"/>
            </w:tcBorders>
            <w:shd w:val="clear" w:color="auto" w:fill="E7E6E6"/>
            <w:noWrap/>
            <w:hideMark/>
          </w:tcPr>
          <w:p w14:paraId="5B28755A" w14:textId="77777777" w:rsidR="00087B91" w:rsidRPr="002029AF" w:rsidRDefault="00087B91" w:rsidP="00860E95">
            <w:pPr>
              <w:pStyle w:val="ARfintablebodyright"/>
              <w:ind w:right="57"/>
            </w:pPr>
            <w:r w:rsidRPr="002029AF">
              <w:t>(3.7)</w:t>
            </w:r>
          </w:p>
        </w:tc>
        <w:tc>
          <w:tcPr>
            <w:tcW w:w="907" w:type="dxa"/>
            <w:tcBorders>
              <w:top w:val="single" w:sz="4" w:space="0" w:color="A6A6A6"/>
            </w:tcBorders>
            <w:noWrap/>
            <w:hideMark/>
          </w:tcPr>
          <w:p w14:paraId="3A2AED90" w14:textId="77777777" w:rsidR="00087B91" w:rsidRPr="002029AF" w:rsidRDefault="00087B91" w:rsidP="00860E95">
            <w:pPr>
              <w:pStyle w:val="ARfintablebodyright"/>
              <w:ind w:right="57"/>
            </w:pPr>
            <w:r w:rsidRPr="002029AF">
              <w:t>(3.8)</w:t>
            </w:r>
          </w:p>
        </w:tc>
        <w:tc>
          <w:tcPr>
            <w:tcW w:w="907" w:type="dxa"/>
            <w:tcBorders>
              <w:top w:val="single" w:sz="4" w:space="0" w:color="A6A6A6"/>
            </w:tcBorders>
            <w:shd w:val="clear" w:color="auto" w:fill="E7E6E6"/>
            <w:noWrap/>
            <w:hideMark/>
          </w:tcPr>
          <w:p w14:paraId="1BE88E6C" w14:textId="77777777" w:rsidR="00087B91" w:rsidRPr="002029AF" w:rsidRDefault="00087B91" w:rsidP="00860E95">
            <w:pPr>
              <w:pStyle w:val="ARfintablebodyright"/>
              <w:ind w:right="57"/>
            </w:pPr>
            <w:r w:rsidRPr="002029AF">
              <w:t>2,928.7</w:t>
            </w:r>
          </w:p>
        </w:tc>
        <w:tc>
          <w:tcPr>
            <w:tcW w:w="907" w:type="dxa"/>
            <w:tcBorders>
              <w:top w:val="single" w:sz="4" w:space="0" w:color="A6A6A6"/>
            </w:tcBorders>
            <w:noWrap/>
            <w:hideMark/>
          </w:tcPr>
          <w:p w14:paraId="43AC884C" w14:textId="77777777" w:rsidR="00087B91" w:rsidRPr="002029AF" w:rsidRDefault="00087B91" w:rsidP="00860E95">
            <w:pPr>
              <w:pStyle w:val="ARfintablebodyright"/>
              <w:ind w:right="57"/>
            </w:pPr>
            <w:r w:rsidRPr="002029AF">
              <w:t>2,177.4</w:t>
            </w:r>
          </w:p>
        </w:tc>
      </w:tr>
    </w:tbl>
    <w:p w14:paraId="045DBB09" w14:textId="77777777" w:rsidR="00087B91" w:rsidRPr="002029AF" w:rsidRDefault="00087B91" w:rsidP="00087B91">
      <w:pPr>
        <w:pStyle w:val="ARfinbody"/>
      </w:pPr>
      <w:r w:rsidRPr="002029AF">
        <w:br w:type="page"/>
      </w:r>
    </w:p>
    <w:p w14:paraId="1ADCF155" w14:textId="0C0CC285" w:rsidR="00087B91" w:rsidRPr="002029AF" w:rsidRDefault="00087B91" w:rsidP="00087B91">
      <w:pPr>
        <w:pStyle w:val="Heading4"/>
      </w:pPr>
      <w:bookmarkStart w:id="399" w:name="_Toc39242171"/>
      <w:bookmarkStart w:id="400" w:name="_Ref52454774"/>
      <w:r w:rsidRPr="002029AF">
        <w:lastRenderedPageBreak/>
        <w:t>9.6</w:t>
      </w:r>
      <w:r w:rsidR="000A5329" w:rsidRPr="002029AF">
        <w:t xml:space="preserve"> </w:t>
      </w:r>
      <w:r w:rsidRPr="002029AF">
        <w:t>Responsible</w:t>
      </w:r>
      <w:r w:rsidR="000A5329" w:rsidRPr="002029AF">
        <w:t xml:space="preserve"> </w:t>
      </w:r>
      <w:r w:rsidRPr="002029AF">
        <w:t>persons</w:t>
      </w:r>
      <w:bookmarkEnd w:id="399"/>
      <w:bookmarkEnd w:id="400"/>
    </w:p>
    <w:p w14:paraId="29231209" w14:textId="0A11DF8D" w:rsidR="00087B91" w:rsidRPr="002029AF" w:rsidRDefault="00087B91" w:rsidP="00087B91">
      <w:pPr>
        <w:pStyle w:val="ARfinbody"/>
      </w:pPr>
      <w:r w:rsidRPr="002029AF">
        <w:t>In</w:t>
      </w:r>
      <w:r w:rsidR="000A5329" w:rsidRPr="002029AF">
        <w:t xml:space="preserve"> </w:t>
      </w:r>
      <w:r w:rsidRPr="002029AF">
        <w:t>accordance</w:t>
      </w:r>
      <w:r w:rsidR="000A5329" w:rsidRPr="002029AF">
        <w:t xml:space="preserve"> </w:t>
      </w:r>
      <w:r w:rsidRPr="002029AF">
        <w:t>with</w:t>
      </w:r>
      <w:r w:rsidR="000A5329" w:rsidRPr="002029AF">
        <w:t xml:space="preserve"> </w:t>
      </w:r>
      <w:r w:rsidRPr="002029AF">
        <w:t>the</w:t>
      </w:r>
      <w:r w:rsidR="000A5329" w:rsidRPr="002029AF">
        <w:t xml:space="preserve"> </w:t>
      </w:r>
      <w:r w:rsidRPr="002029AF">
        <w:t>Directions</w:t>
      </w:r>
      <w:r w:rsidR="000A5329" w:rsidRPr="002029AF">
        <w:t xml:space="preserve"> </w:t>
      </w:r>
      <w:r w:rsidRPr="002029AF">
        <w:t>of</w:t>
      </w:r>
      <w:r w:rsidR="000A5329" w:rsidRPr="002029AF">
        <w:t xml:space="preserve"> </w:t>
      </w:r>
      <w:r w:rsidRPr="002029AF">
        <w:t>the</w:t>
      </w:r>
      <w:r w:rsidR="000A5329" w:rsidRPr="002029AF">
        <w:t xml:space="preserve"> </w:t>
      </w:r>
      <w:r w:rsidRPr="002029AF">
        <w:t>Assistant</w:t>
      </w:r>
      <w:r w:rsidR="000A5329" w:rsidRPr="002029AF">
        <w:t xml:space="preserve"> </w:t>
      </w:r>
      <w:r w:rsidRPr="002029AF">
        <w:t>Treasurer</w:t>
      </w:r>
      <w:r w:rsidR="000A5329" w:rsidRPr="002029AF">
        <w:t xml:space="preserve"> </w:t>
      </w:r>
      <w:r w:rsidRPr="002029AF">
        <w:t>under</w:t>
      </w:r>
      <w:r w:rsidR="000A5329" w:rsidRPr="002029AF">
        <w:t xml:space="preserve"> </w:t>
      </w:r>
      <w:r w:rsidRPr="002029AF">
        <w:t>the</w:t>
      </w:r>
      <w:r w:rsidR="000A5329" w:rsidRPr="002029AF">
        <w:t xml:space="preserve"> </w:t>
      </w:r>
      <w:r w:rsidRPr="002029AF">
        <w:rPr>
          <w:rStyle w:val="Emphasis"/>
        </w:rPr>
        <w:t>Financial</w:t>
      </w:r>
      <w:r w:rsidR="000A5329" w:rsidRPr="002029AF">
        <w:rPr>
          <w:rStyle w:val="Emphasis"/>
        </w:rPr>
        <w:t xml:space="preserve"> </w:t>
      </w:r>
      <w:r w:rsidRPr="002029AF">
        <w:rPr>
          <w:rStyle w:val="Emphasis"/>
        </w:rPr>
        <w:t>Management</w:t>
      </w:r>
      <w:r w:rsidR="000A5329" w:rsidRPr="002029AF">
        <w:rPr>
          <w:rStyle w:val="Emphasis"/>
        </w:rPr>
        <w:t xml:space="preserve"> </w:t>
      </w:r>
      <w:r w:rsidRPr="002029AF">
        <w:rPr>
          <w:rStyle w:val="Emphasis"/>
        </w:rPr>
        <w:t>Act</w:t>
      </w:r>
      <w:r w:rsidR="000A5329" w:rsidRPr="002029AF">
        <w:rPr>
          <w:rStyle w:val="Emphasis"/>
        </w:rPr>
        <w:t xml:space="preserve"> </w:t>
      </w:r>
      <w:r w:rsidRPr="002029AF">
        <w:rPr>
          <w:rStyle w:val="Emphasis"/>
        </w:rPr>
        <w:t>1994</w:t>
      </w:r>
      <w:r w:rsidR="000A5329" w:rsidRPr="002029AF">
        <w:t xml:space="preserve"> </w:t>
      </w:r>
      <w:r w:rsidRPr="002029AF">
        <w:t>the</w:t>
      </w:r>
      <w:r w:rsidR="000A5329" w:rsidRPr="002029AF">
        <w:t xml:space="preserve"> </w:t>
      </w:r>
      <w:r w:rsidRPr="002029AF">
        <w:t>following</w:t>
      </w:r>
      <w:r w:rsidR="000A5329" w:rsidRPr="002029AF">
        <w:t xml:space="preserve"> </w:t>
      </w:r>
      <w:r w:rsidRPr="002029AF">
        <w:t>disclosures</w:t>
      </w:r>
      <w:r w:rsidR="000A5329" w:rsidRPr="002029AF">
        <w:t xml:space="preserve"> </w:t>
      </w:r>
      <w:r w:rsidRPr="002029AF">
        <w:t>are</w:t>
      </w:r>
      <w:r w:rsidR="000A5329" w:rsidRPr="002029AF">
        <w:t xml:space="preserve"> </w:t>
      </w:r>
      <w:r w:rsidRPr="002029AF">
        <w:t>made</w:t>
      </w:r>
      <w:r w:rsidR="000A5329" w:rsidRPr="002029AF">
        <w:t xml:space="preserve"> </w:t>
      </w:r>
      <w:r w:rsidRPr="002029AF">
        <w:t>for</w:t>
      </w:r>
      <w:r w:rsidR="000A5329" w:rsidRPr="002029AF">
        <w:t xml:space="preserve"> </w:t>
      </w:r>
      <w:r w:rsidRPr="002029AF">
        <w:t>the</w:t>
      </w:r>
      <w:r w:rsidR="000A5329" w:rsidRPr="002029AF">
        <w:t xml:space="preserve"> </w:t>
      </w:r>
      <w:r w:rsidRPr="002029AF">
        <w:t>responsible</w:t>
      </w:r>
      <w:r w:rsidR="000A5329" w:rsidRPr="002029AF">
        <w:t xml:space="preserve"> </w:t>
      </w:r>
      <w:r w:rsidRPr="002029AF">
        <w:t>persons</w:t>
      </w:r>
      <w:r w:rsidR="000A5329" w:rsidRPr="002029AF">
        <w:t xml:space="preserve"> </w:t>
      </w:r>
      <w:r w:rsidRPr="002029AF">
        <w:t>for</w:t>
      </w:r>
      <w:r w:rsidR="000A5329" w:rsidRPr="002029AF">
        <w:t xml:space="preserve"> </w:t>
      </w:r>
      <w:r w:rsidRPr="002029AF">
        <w:t>the</w:t>
      </w:r>
      <w:r w:rsidR="000A5329" w:rsidRPr="002029AF">
        <w:t xml:space="preserve"> </w:t>
      </w:r>
      <w:r w:rsidRPr="002029AF">
        <w:t>reporting</w:t>
      </w:r>
      <w:r w:rsidR="000A5329" w:rsidRPr="002029AF">
        <w:t xml:space="preserve"> </w:t>
      </w:r>
      <w:r w:rsidRPr="002029AF">
        <w:t>period.</w:t>
      </w:r>
    </w:p>
    <w:p w14:paraId="4177BA09" w14:textId="77777777" w:rsidR="00087B91" w:rsidRPr="002029AF" w:rsidRDefault="00087B91" w:rsidP="00087B91">
      <w:pPr>
        <w:pStyle w:val="Heading5"/>
      </w:pPr>
      <w:r w:rsidRPr="002029AF">
        <w:t>Names</w:t>
      </w:r>
    </w:p>
    <w:p w14:paraId="2928D226" w14:textId="1774D579" w:rsidR="00087B91" w:rsidRPr="002029AF" w:rsidRDefault="00087B91" w:rsidP="00087B91">
      <w:pPr>
        <w:pStyle w:val="ARfinbodylargespace"/>
        <w:rPr>
          <w:b/>
          <w:bCs/>
        </w:rPr>
      </w:pPr>
      <w:r w:rsidRPr="002029AF">
        <w:t>The</w:t>
      </w:r>
      <w:r w:rsidR="000A5329" w:rsidRPr="002029AF">
        <w:t xml:space="preserve"> </w:t>
      </w:r>
      <w:r w:rsidRPr="002029AF">
        <w:t>persons</w:t>
      </w:r>
      <w:r w:rsidR="000A5329" w:rsidRPr="002029AF">
        <w:t xml:space="preserve"> </w:t>
      </w:r>
      <w:r w:rsidRPr="002029AF">
        <w:t>who</w:t>
      </w:r>
      <w:r w:rsidR="000A5329" w:rsidRPr="002029AF">
        <w:t xml:space="preserve"> </w:t>
      </w:r>
      <w:r w:rsidRPr="002029AF">
        <w:t>held</w:t>
      </w:r>
      <w:r w:rsidR="000A5329" w:rsidRPr="002029AF">
        <w:t xml:space="preserve"> </w:t>
      </w:r>
      <w:r w:rsidRPr="002029AF">
        <w:t>the</w:t>
      </w:r>
      <w:r w:rsidR="000A5329" w:rsidRPr="002029AF">
        <w:t xml:space="preserve"> </w:t>
      </w:r>
      <w:r w:rsidRPr="002029AF">
        <w:t>positions</w:t>
      </w:r>
      <w:r w:rsidR="000A5329" w:rsidRPr="002029AF">
        <w:t xml:space="preserve"> </w:t>
      </w:r>
      <w:r w:rsidRPr="002029AF">
        <w:t>of</w:t>
      </w:r>
      <w:r w:rsidR="000A5329" w:rsidRPr="002029AF">
        <w:t xml:space="preserve"> </w:t>
      </w:r>
      <w:r w:rsidRPr="002029AF">
        <w:t>ministers</w:t>
      </w:r>
      <w:r w:rsidR="000A5329" w:rsidRPr="002029AF">
        <w:t xml:space="preserve"> </w:t>
      </w:r>
      <w:r w:rsidRPr="002029AF">
        <w:t>and</w:t>
      </w:r>
      <w:r w:rsidR="000A5329" w:rsidRPr="002029AF">
        <w:t xml:space="preserve"> </w:t>
      </w:r>
      <w:r w:rsidRPr="002029AF">
        <w:t>accountable</w:t>
      </w:r>
      <w:r w:rsidR="000A5329" w:rsidRPr="002029AF">
        <w:t xml:space="preserve"> </w:t>
      </w:r>
      <w:r w:rsidRPr="002029AF">
        <w:t>officers</w:t>
      </w:r>
      <w:r w:rsidR="000A5329" w:rsidRPr="002029AF">
        <w:t xml:space="preserve"> </w:t>
      </w:r>
      <w:r w:rsidRPr="002029AF">
        <w:t>in</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are</w:t>
      </w:r>
      <w:r w:rsidR="000A5329" w:rsidRPr="002029AF">
        <w:t xml:space="preserve"> </w:t>
      </w:r>
      <w:r w:rsidRPr="002029AF">
        <w:t>as</w:t>
      </w:r>
      <w:r w:rsidR="000A5329" w:rsidRPr="002029AF">
        <w:t xml:space="preserve"> </w:t>
      </w:r>
      <w:r w:rsidRPr="002029AF">
        <w:t>follows:</w:t>
      </w:r>
    </w:p>
    <w:tbl>
      <w:tblPr>
        <w:tblStyle w:val="TableGrid"/>
        <w:tblW w:w="9639" w:type="dxa"/>
        <w:tblBorders>
          <w:insideH w:val="single" w:sz="4" w:space="0" w:color="A6A6A6"/>
        </w:tblBorders>
        <w:tblLayout w:type="fixed"/>
        <w:tblLook w:val="0680" w:firstRow="0" w:lastRow="0" w:firstColumn="1" w:lastColumn="0" w:noHBand="1" w:noVBand="1"/>
      </w:tblPr>
      <w:tblGrid>
        <w:gridCol w:w="3968"/>
        <w:gridCol w:w="2552"/>
        <w:gridCol w:w="3119"/>
      </w:tblGrid>
      <w:tr w:rsidR="00087B91" w:rsidRPr="002029AF" w14:paraId="74BDE0C2" w14:textId="77777777" w:rsidTr="00860E95">
        <w:tc>
          <w:tcPr>
            <w:tcW w:w="3968" w:type="dxa"/>
            <w:tcBorders>
              <w:top w:val="single" w:sz="4" w:space="0" w:color="auto"/>
              <w:bottom w:val="single" w:sz="4" w:space="0" w:color="A6A6A6"/>
            </w:tcBorders>
          </w:tcPr>
          <w:p w14:paraId="1E12BE58" w14:textId="116281F8" w:rsidR="00087B91" w:rsidRPr="002029AF" w:rsidRDefault="00087B91" w:rsidP="00860E95">
            <w:pPr>
              <w:pStyle w:val="ARfintablebody"/>
            </w:pPr>
            <w:r w:rsidRPr="002029AF">
              <w:t>Minister</w:t>
            </w:r>
            <w:r w:rsidR="000A5329" w:rsidRPr="002029AF">
              <w:t xml:space="preserve"> </w:t>
            </w:r>
            <w:r w:rsidRPr="002029AF">
              <w:t>for</w:t>
            </w:r>
            <w:r w:rsidR="000A5329" w:rsidRPr="002029AF">
              <w:t xml:space="preserve"> </w:t>
            </w:r>
            <w:r w:rsidRPr="002029AF">
              <w:t>Ambulance</w:t>
            </w:r>
            <w:r w:rsidR="000A5329" w:rsidRPr="002029AF">
              <w:t xml:space="preserve"> </w:t>
            </w:r>
            <w:r w:rsidRPr="002029AF">
              <w:t>Services</w:t>
            </w:r>
          </w:p>
        </w:tc>
        <w:tc>
          <w:tcPr>
            <w:tcW w:w="2552" w:type="dxa"/>
            <w:tcBorders>
              <w:top w:val="single" w:sz="4" w:space="0" w:color="auto"/>
              <w:bottom w:val="single" w:sz="4" w:space="0" w:color="A6A6A6"/>
            </w:tcBorders>
          </w:tcPr>
          <w:p w14:paraId="501CF4D5" w14:textId="3A125E1C" w:rsidR="00087B91" w:rsidRPr="002029AF" w:rsidRDefault="00087B91" w:rsidP="00860E95">
            <w:pPr>
              <w:pStyle w:val="ARfintablebody"/>
            </w:pPr>
            <w:r w:rsidRPr="002029AF">
              <w:t>The</w:t>
            </w:r>
            <w:r w:rsidR="000A5329" w:rsidRPr="002029AF">
              <w:t xml:space="preserve"> </w:t>
            </w:r>
            <w:r w:rsidRPr="002029AF">
              <w:t>Hon.</w:t>
            </w:r>
            <w:r w:rsidR="000A5329" w:rsidRPr="002029AF">
              <w:t xml:space="preserve"> </w:t>
            </w:r>
            <w:r w:rsidRPr="002029AF">
              <w:t>Jenny</w:t>
            </w:r>
            <w:r w:rsidR="000A5329" w:rsidRPr="002029AF">
              <w:t xml:space="preserve"> </w:t>
            </w:r>
            <w:r w:rsidRPr="002029AF">
              <w:t>Mikakos</w:t>
            </w:r>
            <w:r w:rsidR="000A5329" w:rsidRPr="002029AF">
              <w:t xml:space="preserve"> </w:t>
            </w:r>
            <w:r w:rsidRPr="002029AF">
              <w:t>MP</w:t>
            </w:r>
          </w:p>
        </w:tc>
        <w:tc>
          <w:tcPr>
            <w:tcW w:w="3119" w:type="dxa"/>
            <w:tcBorders>
              <w:top w:val="single" w:sz="4" w:space="0" w:color="auto"/>
              <w:bottom w:val="single" w:sz="4" w:space="0" w:color="A6A6A6"/>
            </w:tcBorders>
          </w:tcPr>
          <w:p w14:paraId="01E9786F" w14:textId="2B6BC7C5" w:rsidR="00087B91" w:rsidRPr="002029AF" w:rsidRDefault="00087B91" w:rsidP="00860E95">
            <w:pPr>
              <w:pStyle w:val="ARfintablebody"/>
            </w:pPr>
            <w:r w:rsidRPr="002029AF">
              <w:t>1</w:t>
            </w:r>
            <w:r w:rsidR="000A5329" w:rsidRPr="002029AF">
              <w:t xml:space="preserve"> </w:t>
            </w:r>
            <w:r w:rsidRPr="002029AF">
              <w:t>July</w:t>
            </w:r>
            <w:r w:rsidR="000A5329" w:rsidRPr="002029AF">
              <w:t xml:space="preserve"> </w:t>
            </w:r>
            <w:r w:rsidRPr="002029AF">
              <w:t>2019</w:t>
            </w:r>
            <w:r w:rsidR="000A5329" w:rsidRPr="002029AF">
              <w:t xml:space="preserve"> </w:t>
            </w:r>
            <w:r w:rsidRPr="002029AF">
              <w:t>to</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p>
        </w:tc>
      </w:tr>
      <w:tr w:rsidR="00087B91" w:rsidRPr="002029AF" w14:paraId="5D95F22E" w14:textId="77777777" w:rsidTr="00860E95">
        <w:tc>
          <w:tcPr>
            <w:tcW w:w="3968" w:type="dxa"/>
            <w:tcBorders>
              <w:top w:val="single" w:sz="4" w:space="0" w:color="A6A6A6"/>
            </w:tcBorders>
          </w:tcPr>
          <w:p w14:paraId="336479A7" w14:textId="12852F28" w:rsidR="00087B91" w:rsidRPr="002029AF" w:rsidRDefault="00087B91" w:rsidP="00860E95">
            <w:pPr>
              <w:pStyle w:val="ARfintablebody"/>
            </w:pPr>
            <w:r w:rsidRPr="002029AF">
              <w:t>Minister</w:t>
            </w:r>
            <w:r w:rsidR="000A5329" w:rsidRPr="002029AF">
              <w:t xml:space="preserve"> </w:t>
            </w:r>
            <w:r w:rsidRPr="002029AF">
              <w:t>for</w:t>
            </w:r>
            <w:r w:rsidR="000A5329" w:rsidRPr="002029AF">
              <w:t xml:space="preserve"> </w:t>
            </w:r>
            <w:r w:rsidRPr="002029AF">
              <w:t>Health</w:t>
            </w:r>
          </w:p>
        </w:tc>
        <w:tc>
          <w:tcPr>
            <w:tcW w:w="2552" w:type="dxa"/>
            <w:tcBorders>
              <w:top w:val="single" w:sz="4" w:space="0" w:color="A6A6A6"/>
            </w:tcBorders>
          </w:tcPr>
          <w:p w14:paraId="309BB9EF" w14:textId="234F297E" w:rsidR="00087B91" w:rsidRPr="002029AF" w:rsidRDefault="00087B91" w:rsidP="00860E95">
            <w:pPr>
              <w:pStyle w:val="ARfintablebody"/>
            </w:pPr>
            <w:r w:rsidRPr="002029AF">
              <w:t>The</w:t>
            </w:r>
            <w:r w:rsidR="000A5329" w:rsidRPr="002029AF">
              <w:t xml:space="preserve"> </w:t>
            </w:r>
            <w:r w:rsidRPr="002029AF">
              <w:t>Hon.</w:t>
            </w:r>
            <w:r w:rsidR="000A5329" w:rsidRPr="002029AF">
              <w:t xml:space="preserve"> </w:t>
            </w:r>
            <w:r w:rsidRPr="002029AF">
              <w:t>Jenny</w:t>
            </w:r>
            <w:r w:rsidR="000A5329" w:rsidRPr="002029AF">
              <w:t xml:space="preserve"> </w:t>
            </w:r>
            <w:r w:rsidRPr="002029AF">
              <w:t>Mikakos</w:t>
            </w:r>
            <w:r w:rsidR="000A5329" w:rsidRPr="002029AF">
              <w:t xml:space="preserve"> </w:t>
            </w:r>
            <w:r w:rsidRPr="002029AF">
              <w:t>MP</w:t>
            </w:r>
          </w:p>
        </w:tc>
        <w:tc>
          <w:tcPr>
            <w:tcW w:w="3119" w:type="dxa"/>
            <w:tcBorders>
              <w:top w:val="single" w:sz="4" w:space="0" w:color="A6A6A6"/>
            </w:tcBorders>
          </w:tcPr>
          <w:p w14:paraId="6138DD7D" w14:textId="1684BD35" w:rsidR="00087B91" w:rsidRPr="002029AF" w:rsidRDefault="00087B91" w:rsidP="00860E95">
            <w:pPr>
              <w:pStyle w:val="ARfintablebody"/>
            </w:pPr>
            <w:r w:rsidRPr="002029AF">
              <w:t>1</w:t>
            </w:r>
            <w:r w:rsidR="000A5329" w:rsidRPr="002029AF">
              <w:t xml:space="preserve"> </w:t>
            </w:r>
            <w:r w:rsidRPr="002029AF">
              <w:t>July</w:t>
            </w:r>
            <w:r w:rsidR="000A5329" w:rsidRPr="002029AF">
              <w:t xml:space="preserve"> </w:t>
            </w:r>
            <w:r w:rsidRPr="002029AF">
              <w:t>2019</w:t>
            </w:r>
            <w:r w:rsidR="000A5329" w:rsidRPr="002029AF">
              <w:t xml:space="preserve"> </w:t>
            </w:r>
            <w:r w:rsidRPr="002029AF">
              <w:t>to</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p>
        </w:tc>
      </w:tr>
      <w:tr w:rsidR="002E6A29" w:rsidRPr="002029AF" w14:paraId="655DCF7F" w14:textId="77777777" w:rsidTr="00860E95">
        <w:tc>
          <w:tcPr>
            <w:tcW w:w="3968" w:type="dxa"/>
          </w:tcPr>
          <w:p w14:paraId="4854C3A5" w14:textId="4AC241B8" w:rsidR="002E6A29" w:rsidRPr="002029AF" w:rsidRDefault="002E6A29" w:rsidP="002E6A29">
            <w:pPr>
              <w:pStyle w:val="ARfintablebody"/>
            </w:pPr>
            <w:r w:rsidRPr="002029AF">
              <w:t>Minister for the Prevention of Family Violence</w:t>
            </w:r>
          </w:p>
        </w:tc>
        <w:tc>
          <w:tcPr>
            <w:tcW w:w="2552" w:type="dxa"/>
          </w:tcPr>
          <w:p w14:paraId="76E278DD" w14:textId="196001F8" w:rsidR="002E6A29" w:rsidRPr="002029AF" w:rsidRDefault="002E6A29" w:rsidP="002E6A29">
            <w:pPr>
              <w:pStyle w:val="ARfintablebody"/>
            </w:pPr>
            <w:r w:rsidRPr="002029AF">
              <w:t>The Hon. Gabrielle Williams MP</w:t>
            </w:r>
          </w:p>
        </w:tc>
        <w:tc>
          <w:tcPr>
            <w:tcW w:w="3119" w:type="dxa"/>
          </w:tcPr>
          <w:p w14:paraId="6943B403" w14:textId="13383D92" w:rsidR="002E6A29" w:rsidRPr="002029AF" w:rsidRDefault="002E6A29" w:rsidP="002E6A29">
            <w:pPr>
              <w:pStyle w:val="ARfintablebody"/>
            </w:pPr>
            <w:r w:rsidRPr="002029AF">
              <w:t>1 July 2019 to 30 June 2020</w:t>
            </w:r>
          </w:p>
        </w:tc>
      </w:tr>
      <w:tr w:rsidR="002E6A29" w:rsidRPr="002029AF" w14:paraId="1198510D" w14:textId="77777777" w:rsidTr="00860E95">
        <w:tc>
          <w:tcPr>
            <w:tcW w:w="3968" w:type="dxa"/>
          </w:tcPr>
          <w:p w14:paraId="1A133B5F" w14:textId="5A0054CE" w:rsidR="002E6A29" w:rsidRPr="002029AF" w:rsidRDefault="002E6A29" w:rsidP="002E6A29">
            <w:pPr>
              <w:pStyle w:val="ARfintablebody"/>
            </w:pPr>
            <w:r w:rsidRPr="002029AF">
              <w:t>Minister for Mental Health</w:t>
            </w:r>
          </w:p>
        </w:tc>
        <w:tc>
          <w:tcPr>
            <w:tcW w:w="2552" w:type="dxa"/>
          </w:tcPr>
          <w:p w14:paraId="6ED96594" w14:textId="356F2EC7" w:rsidR="002E6A29" w:rsidRPr="002029AF" w:rsidRDefault="002E6A29" w:rsidP="002E6A29">
            <w:pPr>
              <w:pStyle w:val="ARfintablebody"/>
            </w:pPr>
            <w:r w:rsidRPr="002029AF">
              <w:t>The Hon. Martin Foley MP</w:t>
            </w:r>
          </w:p>
        </w:tc>
        <w:tc>
          <w:tcPr>
            <w:tcW w:w="3119" w:type="dxa"/>
          </w:tcPr>
          <w:p w14:paraId="251AD634" w14:textId="649ACCEB" w:rsidR="002E6A29" w:rsidRPr="002029AF" w:rsidRDefault="002E6A29" w:rsidP="002E6A29">
            <w:pPr>
              <w:pStyle w:val="ARfintablebody"/>
            </w:pPr>
            <w:r w:rsidRPr="002029AF">
              <w:t>1 July 2019 to 30 June 2020</w:t>
            </w:r>
          </w:p>
        </w:tc>
      </w:tr>
      <w:tr w:rsidR="002E6A29" w:rsidRPr="002029AF" w14:paraId="6E0F9B48" w14:textId="77777777" w:rsidTr="00860E95">
        <w:tc>
          <w:tcPr>
            <w:tcW w:w="3968" w:type="dxa"/>
          </w:tcPr>
          <w:p w14:paraId="1B6A1021" w14:textId="5BFE3126" w:rsidR="002E6A29" w:rsidRPr="002029AF" w:rsidRDefault="002E6A29" w:rsidP="002E6A29">
            <w:pPr>
              <w:pStyle w:val="ARfintablebody"/>
            </w:pPr>
            <w:r w:rsidRPr="002029AF">
              <w:t>Minister for Housing</w:t>
            </w:r>
          </w:p>
        </w:tc>
        <w:tc>
          <w:tcPr>
            <w:tcW w:w="2552" w:type="dxa"/>
          </w:tcPr>
          <w:p w14:paraId="4EF98280" w14:textId="41B0532D" w:rsidR="002E6A29" w:rsidRPr="002029AF" w:rsidRDefault="002E6A29" w:rsidP="002E6A29">
            <w:pPr>
              <w:pStyle w:val="ARfintablebody"/>
            </w:pPr>
            <w:r w:rsidRPr="002029AF">
              <w:t>The Hon. Richard Wynne MP</w:t>
            </w:r>
          </w:p>
        </w:tc>
        <w:tc>
          <w:tcPr>
            <w:tcW w:w="3119" w:type="dxa"/>
          </w:tcPr>
          <w:p w14:paraId="55105166" w14:textId="2473AD0E" w:rsidR="002E6A29" w:rsidRPr="002029AF" w:rsidRDefault="002E6A29" w:rsidP="002E6A29">
            <w:pPr>
              <w:pStyle w:val="ARfintablebody"/>
            </w:pPr>
            <w:r w:rsidRPr="002029AF">
              <w:t>1 July 2019 to 30 June 2020</w:t>
            </w:r>
          </w:p>
        </w:tc>
      </w:tr>
      <w:tr w:rsidR="002E6A29" w:rsidRPr="002029AF" w14:paraId="711A9F85" w14:textId="77777777" w:rsidTr="00860E95">
        <w:tc>
          <w:tcPr>
            <w:tcW w:w="3968" w:type="dxa"/>
          </w:tcPr>
          <w:p w14:paraId="67C50234" w14:textId="4746DE6C" w:rsidR="002E6A29" w:rsidRPr="002029AF" w:rsidRDefault="002E6A29" w:rsidP="002E6A29">
            <w:pPr>
              <w:pStyle w:val="ARfintablebody"/>
            </w:pPr>
            <w:r w:rsidRPr="002029AF">
              <w:t>Minister for Child Protection</w:t>
            </w:r>
          </w:p>
        </w:tc>
        <w:tc>
          <w:tcPr>
            <w:tcW w:w="2552" w:type="dxa"/>
          </w:tcPr>
          <w:p w14:paraId="0BF27835" w14:textId="3327BD1F" w:rsidR="002E6A29" w:rsidRPr="00AB6C0B" w:rsidRDefault="002E6A29" w:rsidP="002E6A29">
            <w:pPr>
              <w:pStyle w:val="ARfintablebody"/>
              <w:rPr>
                <w:lang w:val="fr-FR"/>
              </w:rPr>
            </w:pPr>
            <w:r w:rsidRPr="00AB6C0B">
              <w:rPr>
                <w:lang w:val="fr-FR"/>
              </w:rPr>
              <w:t>The Hon. Luke Donnellan MP</w:t>
            </w:r>
          </w:p>
        </w:tc>
        <w:tc>
          <w:tcPr>
            <w:tcW w:w="3119" w:type="dxa"/>
          </w:tcPr>
          <w:p w14:paraId="6FFA51A2" w14:textId="7B535EFF" w:rsidR="002E6A29" w:rsidRPr="002029AF" w:rsidRDefault="002E6A29" w:rsidP="002E6A29">
            <w:pPr>
              <w:pStyle w:val="ARfintablebody"/>
            </w:pPr>
            <w:r w:rsidRPr="002029AF">
              <w:t>1 July 2019 to 30 June 2020</w:t>
            </w:r>
          </w:p>
        </w:tc>
      </w:tr>
      <w:tr w:rsidR="002E6A29" w:rsidRPr="002029AF" w14:paraId="67BF271D" w14:textId="77777777" w:rsidTr="00860E95">
        <w:tc>
          <w:tcPr>
            <w:tcW w:w="3968" w:type="dxa"/>
          </w:tcPr>
          <w:p w14:paraId="2566B245" w14:textId="5B5A0EB8" w:rsidR="002E6A29" w:rsidRPr="002029AF" w:rsidRDefault="002E6A29" w:rsidP="002E6A29">
            <w:pPr>
              <w:pStyle w:val="ARfintablebody"/>
            </w:pPr>
            <w:r w:rsidRPr="002029AF">
              <w:t>Minister for Disability, Ageing and Carers</w:t>
            </w:r>
          </w:p>
        </w:tc>
        <w:tc>
          <w:tcPr>
            <w:tcW w:w="2552" w:type="dxa"/>
          </w:tcPr>
          <w:p w14:paraId="6FD1CBC4" w14:textId="06319C50" w:rsidR="002E6A29" w:rsidRPr="00AB6C0B" w:rsidRDefault="002E6A29" w:rsidP="002E6A29">
            <w:pPr>
              <w:pStyle w:val="ARfintablebody"/>
              <w:rPr>
                <w:lang w:val="fr-FR"/>
              </w:rPr>
            </w:pPr>
            <w:r w:rsidRPr="00AB6C0B">
              <w:rPr>
                <w:lang w:val="fr-FR"/>
              </w:rPr>
              <w:t>The Hon. Luke Donnellan MP</w:t>
            </w:r>
          </w:p>
        </w:tc>
        <w:tc>
          <w:tcPr>
            <w:tcW w:w="3119" w:type="dxa"/>
          </w:tcPr>
          <w:p w14:paraId="5E832213" w14:textId="7354EDE5" w:rsidR="002E6A29" w:rsidRPr="002029AF" w:rsidRDefault="002E6A29" w:rsidP="002E6A29">
            <w:pPr>
              <w:pStyle w:val="ARfintablebody"/>
            </w:pPr>
            <w:r w:rsidRPr="002029AF">
              <w:t>1 July 2019 to 30 June 2020</w:t>
            </w:r>
          </w:p>
        </w:tc>
      </w:tr>
      <w:tr w:rsidR="002E6A29" w:rsidRPr="002029AF" w14:paraId="155649B4" w14:textId="77777777" w:rsidTr="00860E95">
        <w:tc>
          <w:tcPr>
            <w:tcW w:w="3968" w:type="dxa"/>
          </w:tcPr>
          <w:p w14:paraId="2B4C792D" w14:textId="1C2E25CC" w:rsidR="002E6A29" w:rsidRPr="002029AF" w:rsidRDefault="002E6A29" w:rsidP="002E6A29">
            <w:pPr>
              <w:pStyle w:val="ARfintablebody"/>
            </w:pPr>
            <w:r w:rsidRPr="002029AF">
              <w:t>Secretary, Department of Health and Human Services</w:t>
            </w:r>
          </w:p>
        </w:tc>
        <w:tc>
          <w:tcPr>
            <w:tcW w:w="2552" w:type="dxa"/>
          </w:tcPr>
          <w:p w14:paraId="2FD16D91" w14:textId="36E9B905" w:rsidR="002E6A29" w:rsidRPr="002029AF" w:rsidRDefault="002E6A29" w:rsidP="002E6A29">
            <w:pPr>
              <w:pStyle w:val="ARfintablebody"/>
            </w:pPr>
            <w:r w:rsidRPr="002029AF">
              <w:t>Kym Peake</w:t>
            </w:r>
          </w:p>
        </w:tc>
        <w:tc>
          <w:tcPr>
            <w:tcW w:w="3119" w:type="dxa"/>
          </w:tcPr>
          <w:p w14:paraId="106532B0" w14:textId="40BA7AFE" w:rsidR="002E6A29" w:rsidRPr="002029AF" w:rsidRDefault="002E6A29" w:rsidP="002E6A29">
            <w:pPr>
              <w:pStyle w:val="ARfintablebody"/>
            </w:pPr>
            <w:r w:rsidRPr="002029AF">
              <w:t>1 July 2019 to 30 June 2020</w:t>
            </w:r>
          </w:p>
        </w:tc>
      </w:tr>
      <w:tr w:rsidR="002E6A29" w:rsidRPr="002029AF" w14:paraId="4FBC10C0" w14:textId="77777777" w:rsidTr="00860E95">
        <w:tc>
          <w:tcPr>
            <w:tcW w:w="3968" w:type="dxa"/>
          </w:tcPr>
          <w:p w14:paraId="2A5647F9" w14:textId="3847505B" w:rsidR="002E6A29" w:rsidRPr="002029AF" w:rsidRDefault="002E6A29" w:rsidP="002E6A29">
            <w:pPr>
              <w:pStyle w:val="ARfintablebody"/>
            </w:pPr>
            <w:r w:rsidRPr="002029AF">
              <w:t xml:space="preserve">Acting Secretary, Department of Health </w:t>
            </w:r>
            <w:r w:rsidRPr="002029AF">
              <w:br/>
              <w:t>and Human Services</w:t>
            </w:r>
          </w:p>
        </w:tc>
        <w:tc>
          <w:tcPr>
            <w:tcW w:w="2552" w:type="dxa"/>
          </w:tcPr>
          <w:p w14:paraId="4B13DD2B" w14:textId="68B1604F" w:rsidR="002E6A29" w:rsidRPr="002029AF" w:rsidRDefault="002E6A29" w:rsidP="002E6A29">
            <w:pPr>
              <w:pStyle w:val="ARfintablebody"/>
            </w:pPr>
            <w:r w:rsidRPr="002029AF">
              <w:t>Melissa Skilbeck</w:t>
            </w:r>
          </w:p>
        </w:tc>
        <w:tc>
          <w:tcPr>
            <w:tcW w:w="3119" w:type="dxa"/>
          </w:tcPr>
          <w:p w14:paraId="54189FEC" w14:textId="160DE566" w:rsidR="002E6A29" w:rsidRPr="002029AF" w:rsidRDefault="002E6A29" w:rsidP="002E6A29">
            <w:pPr>
              <w:pStyle w:val="ARfintablebody"/>
            </w:pPr>
            <w:r w:rsidRPr="002029AF">
              <w:t>25 October 2019 to 27 October 2019</w:t>
            </w:r>
          </w:p>
        </w:tc>
      </w:tr>
      <w:tr w:rsidR="002E6A29" w:rsidRPr="002029AF" w14:paraId="01D4A94C" w14:textId="77777777" w:rsidTr="00860E95">
        <w:tc>
          <w:tcPr>
            <w:tcW w:w="3968" w:type="dxa"/>
          </w:tcPr>
          <w:p w14:paraId="7CDB84CA" w14:textId="4E65F31B" w:rsidR="002E6A29" w:rsidRPr="002029AF" w:rsidRDefault="002E6A29" w:rsidP="002E6A29">
            <w:pPr>
              <w:pStyle w:val="ARfintablebody"/>
            </w:pPr>
            <w:r w:rsidRPr="002029AF">
              <w:t xml:space="preserve">Acting Secretary, Department of Health </w:t>
            </w:r>
            <w:r w:rsidRPr="002029AF">
              <w:br/>
              <w:t>and Human Services</w:t>
            </w:r>
          </w:p>
        </w:tc>
        <w:tc>
          <w:tcPr>
            <w:tcW w:w="2552" w:type="dxa"/>
          </w:tcPr>
          <w:p w14:paraId="0C8240EE" w14:textId="10695D1C" w:rsidR="002E6A29" w:rsidRPr="002029AF" w:rsidRDefault="002E6A29" w:rsidP="002E6A29">
            <w:pPr>
              <w:pStyle w:val="ARfintablebody"/>
            </w:pPr>
            <w:r w:rsidRPr="002029AF">
              <w:t>Terry Symonds</w:t>
            </w:r>
          </w:p>
        </w:tc>
        <w:tc>
          <w:tcPr>
            <w:tcW w:w="3119" w:type="dxa"/>
          </w:tcPr>
          <w:p w14:paraId="6878EACD" w14:textId="5B18D823" w:rsidR="002E6A29" w:rsidRPr="002029AF" w:rsidRDefault="002E6A29" w:rsidP="002E6A29">
            <w:pPr>
              <w:pStyle w:val="ARfintablebody"/>
            </w:pPr>
            <w:r w:rsidRPr="002029AF">
              <w:t>28 October 2019 to 5 November 2019,</w:t>
            </w:r>
            <w:r>
              <w:br/>
            </w:r>
            <w:r w:rsidRPr="002029AF">
              <w:t>29 December 2019 to 2 January 2020</w:t>
            </w:r>
          </w:p>
        </w:tc>
      </w:tr>
      <w:tr w:rsidR="002E6A29" w:rsidRPr="002029AF" w14:paraId="1BEB9BA1" w14:textId="77777777" w:rsidTr="00860E95">
        <w:tc>
          <w:tcPr>
            <w:tcW w:w="3968" w:type="dxa"/>
          </w:tcPr>
          <w:p w14:paraId="566F6E86" w14:textId="3583ABD5" w:rsidR="002E6A29" w:rsidRPr="002029AF" w:rsidRDefault="002E6A29" w:rsidP="002E6A29">
            <w:pPr>
              <w:pStyle w:val="ARfintablebody"/>
            </w:pPr>
            <w:r w:rsidRPr="002029AF">
              <w:t xml:space="preserve">Director of Housing under the </w:t>
            </w:r>
            <w:r w:rsidRPr="002029AF">
              <w:rPr>
                <w:rStyle w:val="Emphasis"/>
              </w:rPr>
              <w:t>Housing Act 1983</w:t>
            </w:r>
          </w:p>
        </w:tc>
        <w:tc>
          <w:tcPr>
            <w:tcW w:w="2552" w:type="dxa"/>
          </w:tcPr>
          <w:p w14:paraId="0BEFE114" w14:textId="6DC6EF0F" w:rsidR="002E6A29" w:rsidRPr="002029AF" w:rsidRDefault="002E6A29" w:rsidP="002E6A29">
            <w:pPr>
              <w:pStyle w:val="ARfintablebody"/>
            </w:pPr>
            <w:r w:rsidRPr="002029AF">
              <w:t>Nick Foa</w:t>
            </w:r>
          </w:p>
        </w:tc>
        <w:tc>
          <w:tcPr>
            <w:tcW w:w="3119" w:type="dxa"/>
          </w:tcPr>
          <w:p w14:paraId="0C9A70F2" w14:textId="0EA311CE" w:rsidR="002E6A29" w:rsidRPr="002029AF" w:rsidRDefault="002E6A29" w:rsidP="002E6A29">
            <w:pPr>
              <w:pStyle w:val="ARfintablebody"/>
            </w:pPr>
            <w:r w:rsidRPr="002029AF">
              <w:t>1 July 2019 to 11 August 2019</w:t>
            </w:r>
          </w:p>
        </w:tc>
      </w:tr>
      <w:tr w:rsidR="002E6A29" w:rsidRPr="002029AF" w14:paraId="29ED1E7C" w14:textId="77777777" w:rsidTr="00860E95">
        <w:tc>
          <w:tcPr>
            <w:tcW w:w="3968" w:type="dxa"/>
          </w:tcPr>
          <w:p w14:paraId="38BE2D4E" w14:textId="38D5C098" w:rsidR="002E6A29" w:rsidRPr="002029AF" w:rsidRDefault="002E6A29" w:rsidP="002E6A29">
            <w:pPr>
              <w:pStyle w:val="ARfintablebody"/>
            </w:pPr>
            <w:r w:rsidRPr="002029AF">
              <w:t xml:space="preserve">Director of Housing under the </w:t>
            </w:r>
            <w:r w:rsidRPr="002029AF">
              <w:rPr>
                <w:rStyle w:val="Emphasis"/>
              </w:rPr>
              <w:t>Housing Act 1983</w:t>
            </w:r>
          </w:p>
        </w:tc>
        <w:tc>
          <w:tcPr>
            <w:tcW w:w="2552" w:type="dxa"/>
          </w:tcPr>
          <w:p w14:paraId="72DCDD8D" w14:textId="6CB73966" w:rsidR="002E6A29" w:rsidRPr="002029AF" w:rsidRDefault="002E6A29" w:rsidP="002E6A29">
            <w:pPr>
              <w:pStyle w:val="ARfintablebody"/>
            </w:pPr>
            <w:r w:rsidRPr="002029AF">
              <w:t>Ben Rimmer</w:t>
            </w:r>
          </w:p>
        </w:tc>
        <w:tc>
          <w:tcPr>
            <w:tcW w:w="3119" w:type="dxa"/>
          </w:tcPr>
          <w:p w14:paraId="1E2C70B9" w14:textId="5F5E8B49" w:rsidR="002E6A29" w:rsidRPr="002029AF" w:rsidRDefault="002E6A29" w:rsidP="002E6A29">
            <w:pPr>
              <w:pStyle w:val="ARfintablebody"/>
            </w:pPr>
            <w:r w:rsidRPr="002029AF">
              <w:t>9 December 2019 to 30 June 2020</w:t>
            </w:r>
          </w:p>
        </w:tc>
      </w:tr>
      <w:tr w:rsidR="002E6A29" w:rsidRPr="002029AF" w14:paraId="35E7536D" w14:textId="77777777" w:rsidTr="00860E95">
        <w:tc>
          <w:tcPr>
            <w:tcW w:w="3968" w:type="dxa"/>
          </w:tcPr>
          <w:p w14:paraId="08B73425" w14:textId="193DA80C" w:rsidR="002E6A29" w:rsidRPr="002029AF" w:rsidRDefault="002E6A29" w:rsidP="002E6A29">
            <w:pPr>
              <w:pStyle w:val="ARfintablebody"/>
            </w:pPr>
            <w:r w:rsidRPr="002029AF">
              <w:t xml:space="preserve">Acting Director of Housing under the </w:t>
            </w:r>
            <w:r w:rsidRPr="002029AF">
              <w:br/>
            </w:r>
            <w:r w:rsidRPr="002029AF">
              <w:rPr>
                <w:rStyle w:val="Emphasis"/>
              </w:rPr>
              <w:t>Housing Act 1983</w:t>
            </w:r>
          </w:p>
        </w:tc>
        <w:tc>
          <w:tcPr>
            <w:tcW w:w="2552" w:type="dxa"/>
          </w:tcPr>
          <w:p w14:paraId="775832A6" w14:textId="4787AE36" w:rsidR="002E6A29" w:rsidRPr="002029AF" w:rsidRDefault="002E6A29" w:rsidP="002E6A29">
            <w:pPr>
              <w:pStyle w:val="ARfintablebody"/>
            </w:pPr>
            <w:r w:rsidRPr="002029AF">
              <w:t>Chris Hotham</w:t>
            </w:r>
          </w:p>
        </w:tc>
        <w:tc>
          <w:tcPr>
            <w:tcW w:w="3119" w:type="dxa"/>
          </w:tcPr>
          <w:p w14:paraId="0D9C07E3" w14:textId="3002609B" w:rsidR="002E6A29" w:rsidRPr="002029AF" w:rsidRDefault="002E6A29" w:rsidP="002E6A29">
            <w:pPr>
              <w:pStyle w:val="ARfintablebody"/>
            </w:pPr>
            <w:r w:rsidRPr="002029AF">
              <w:t>12 August 2019 to 8 December 2019</w:t>
            </w:r>
          </w:p>
        </w:tc>
      </w:tr>
    </w:tbl>
    <w:p w14:paraId="06784CC6" w14:textId="77777777" w:rsidR="00087B91" w:rsidRPr="002029AF" w:rsidRDefault="00087B91" w:rsidP="00087B91">
      <w:pPr>
        <w:pStyle w:val="Heading5"/>
      </w:pPr>
      <w:r w:rsidRPr="002029AF">
        <w:t>Remuneration</w:t>
      </w:r>
    </w:p>
    <w:p w14:paraId="5026090B" w14:textId="411967A0" w:rsidR="00087B91" w:rsidRPr="002029AF" w:rsidRDefault="00087B91" w:rsidP="00087B91">
      <w:pPr>
        <w:pStyle w:val="ARfinbodylargespace"/>
      </w:pPr>
      <w:r w:rsidRPr="002029AF">
        <w:t>Remuneration</w:t>
      </w:r>
      <w:r w:rsidR="000A5329" w:rsidRPr="002029AF">
        <w:t xml:space="preserve"> </w:t>
      </w:r>
      <w:r w:rsidRPr="002029AF">
        <w:t>received</w:t>
      </w:r>
      <w:r w:rsidR="000A5329" w:rsidRPr="002029AF">
        <w:t xml:space="preserve"> </w:t>
      </w:r>
      <w:r w:rsidRPr="002029AF">
        <w:t>or</w:t>
      </w:r>
      <w:r w:rsidR="000A5329" w:rsidRPr="002029AF">
        <w:t xml:space="preserve"> </w:t>
      </w:r>
      <w:r w:rsidRPr="002029AF">
        <w:t>receivable</w:t>
      </w:r>
      <w:r w:rsidR="000A5329" w:rsidRPr="002029AF">
        <w:t xml:space="preserve"> </w:t>
      </w:r>
      <w:r w:rsidRPr="002029AF">
        <w:t>by</w:t>
      </w:r>
      <w:r w:rsidR="000A5329" w:rsidRPr="002029AF">
        <w:t xml:space="preserve"> </w:t>
      </w:r>
      <w:r w:rsidRPr="002029AF">
        <w:t>the</w:t>
      </w:r>
      <w:r w:rsidR="000A5329" w:rsidRPr="002029AF">
        <w:t xml:space="preserve"> </w:t>
      </w:r>
      <w:r w:rsidRPr="002029AF">
        <w:t>accountable</w:t>
      </w:r>
      <w:r w:rsidR="000A5329" w:rsidRPr="002029AF">
        <w:t xml:space="preserve"> </w:t>
      </w:r>
      <w:r w:rsidRPr="002029AF">
        <w:t>officers</w:t>
      </w:r>
      <w:r w:rsidR="000A5329" w:rsidRPr="002029AF">
        <w:t xml:space="preserve"> </w:t>
      </w:r>
      <w:r w:rsidRPr="002029AF">
        <w:t>in</w:t>
      </w:r>
      <w:r w:rsidR="000A5329" w:rsidRPr="002029AF">
        <w:t xml:space="preserve"> </w:t>
      </w:r>
      <w:r w:rsidRPr="002029AF">
        <w:t>connection</w:t>
      </w:r>
      <w:r w:rsidR="000A5329" w:rsidRPr="002029AF">
        <w:t xml:space="preserve"> </w:t>
      </w:r>
      <w:r w:rsidRPr="002029AF">
        <w:t>with</w:t>
      </w:r>
      <w:r w:rsidR="000A5329" w:rsidRPr="002029AF">
        <w:t xml:space="preserve"> </w:t>
      </w:r>
      <w:r w:rsidRPr="002029AF">
        <w:t>the</w:t>
      </w:r>
      <w:r w:rsidR="000A5329" w:rsidRPr="002029AF">
        <w:t xml:space="preserve"> </w:t>
      </w:r>
      <w:r w:rsidRPr="002029AF">
        <w:t>management</w:t>
      </w:r>
      <w:r w:rsidR="000A5329" w:rsidRPr="002029AF">
        <w:t xml:space="preserve"> </w:t>
      </w:r>
      <w:r w:rsidRPr="002029AF">
        <w:t>of</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during</w:t>
      </w:r>
      <w:r w:rsidR="000A5329" w:rsidRPr="002029AF">
        <w:t xml:space="preserve"> </w:t>
      </w:r>
      <w:r w:rsidRPr="002029AF">
        <w:t>the</w:t>
      </w:r>
      <w:r w:rsidR="000A5329" w:rsidRPr="002029AF">
        <w:t xml:space="preserve"> </w:t>
      </w:r>
      <w:r w:rsidRPr="002029AF">
        <w:t>reporting</w:t>
      </w:r>
      <w:r w:rsidR="000A5329" w:rsidRPr="002029AF">
        <w:t xml:space="preserve"> </w:t>
      </w:r>
      <w:r w:rsidRPr="002029AF">
        <w:t>period</w:t>
      </w:r>
      <w:r w:rsidR="000A5329" w:rsidRPr="002029AF">
        <w:t xml:space="preserve"> </w:t>
      </w:r>
      <w:r w:rsidRPr="002029AF">
        <w:t>was</w:t>
      </w:r>
      <w:r w:rsidR="000A5329" w:rsidRPr="002029AF">
        <w:t xml:space="preserve"> </w:t>
      </w:r>
      <w:r w:rsidRPr="002029AF">
        <w:t>in</w:t>
      </w:r>
      <w:r w:rsidR="000A5329" w:rsidRPr="002029AF">
        <w:t xml:space="preserve"> </w:t>
      </w:r>
      <w:r w:rsidRPr="002029AF">
        <w:t>the</w:t>
      </w:r>
      <w:r w:rsidR="000A5329" w:rsidRPr="002029AF">
        <w:t xml:space="preserve"> </w:t>
      </w:r>
      <w:r w:rsidRPr="002029AF">
        <w:t>range:</w:t>
      </w:r>
    </w:p>
    <w:tbl>
      <w:tblPr>
        <w:tblStyle w:val="TableGrid"/>
        <w:tblW w:w="9637" w:type="dxa"/>
        <w:tblLayout w:type="fixed"/>
        <w:tblLook w:val="06A0" w:firstRow="1" w:lastRow="0" w:firstColumn="1" w:lastColumn="0" w:noHBand="1" w:noVBand="1"/>
      </w:tblPr>
      <w:tblGrid>
        <w:gridCol w:w="6801"/>
        <w:gridCol w:w="1418"/>
        <w:gridCol w:w="1418"/>
      </w:tblGrid>
      <w:tr w:rsidR="00087B91" w:rsidRPr="002029AF" w14:paraId="6ED683C2"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6804" w:type="dxa"/>
            <w:tcBorders>
              <w:bottom w:val="single" w:sz="4" w:space="0" w:color="auto"/>
            </w:tcBorders>
            <w:hideMark/>
          </w:tcPr>
          <w:p w14:paraId="5E35BEEA" w14:textId="78C8BB61" w:rsidR="00087B91" w:rsidRPr="002029AF" w:rsidRDefault="00087B91" w:rsidP="00860E95">
            <w:pPr>
              <w:pStyle w:val="ARfintablecolhead"/>
            </w:pPr>
            <w:r w:rsidRPr="002029AF">
              <w:t>Income</w:t>
            </w:r>
            <w:r w:rsidR="000A5329" w:rsidRPr="002029AF">
              <w:t xml:space="preserve"> </w:t>
            </w:r>
            <w:r w:rsidRPr="002029AF">
              <w:t>band</w:t>
            </w:r>
            <w:r w:rsidR="000A5329" w:rsidRPr="002029AF">
              <w:t xml:space="preserve"> </w:t>
            </w:r>
            <w:r w:rsidRPr="002029AF">
              <w:rPr>
                <w:rStyle w:val="Superscript"/>
              </w:rPr>
              <w:t>(i)</w:t>
            </w:r>
          </w:p>
        </w:tc>
        <w:tc>
          <w:tcPr>
            <w:tcW w:w="1418" w:type="dxa"/>
            <w:tcBorders>
              <w:bottom w:val="single" w:sz="4" w:space="0" w:color="auto"/>
            </w:tcBorders>
            <w:shd w:val="clear" w:color="auto" w:fill="E7E6E6"/>
            <w:hideMark/>
          </w:tcPr>
          <w:p w14:paraId="4EEA01A1" w14:textId="44D56ED2" w:rsidR="00087B91" w:rsidRPr="002029AF" w:rsidRDefault="00087B91" w:rsidP="00860E95">
            <w:pPr>
              <w:pStyle w:val="ARfintablecolheadright"/>
            </w:pPr>
            <w:r w:rsidRPr="002029AF">
              <w:t>30</w:t>
            </w:r>
            <w:r w:rsidR="000A5329" w:rsidRPr="002029AF">
              <w:t xml:space="preserve"> </w:t>
            </w:r>
            <w:r w:rsidRPr="002029AF">
              <w:t>June</w:t>
            </w:r>
            <w:r w:rsidR="000A5329" w:rsidRPr="002029AF">
              <w:t xml:space="preserve"> </w:t>
            </w:r>
            <w:r w:rsidRPr="002029AF">
              <w:t>2020</w:t>
            </w:r>
          </w:p>
        </w:tc>
        <w:tc>
          <w:tcPr>
            <w:tcW w:w="1418" w:type="dxa"/>
            <w:tcBorders>
              <w:bottom w:val="single" w:sz="4" w:space="0" w:color="auto"/>
            </w:tcBorders>
            <w:hideMark/>
          </w:tcPr>
          <w:p w14:paraId="024D698A" w14:textId="32704E4B" w:rsidR="00087B91" w:rsidRPr="002029AF" w:rsidRDefault="00087B91" w:rsidP="00860E95">
            <w:pPr>
              <w:pStyle w:val="ARfintablecolheadright"/>
            </w:pPr>
            <w:r w:rsidRPr="002029AF">
              <w:t>30</w:t>
            </w:r>
            <w:r w:rsidR="000A5329" w:rsidRPr="002029AF">
              <w:t xml:space="preserve"> </w:t>
            </w:r>
            <w:r w:rsidRPr="002029AF">
              <w:t>June</w:t>
            </w:r>
            <w:r w:rsidR="000A5329" w:rsidRPr="002029AF">
              <w:t xml:space="preserve"> </w:t>
            </w:r>
            <w:r w:rsidRPr="002029AF">
              <w:t>2019</w:t>
            </w:r>
          </w:p>
        </w:tc>
      </w:tr>
      <w:tr w:rsidR="00087B91" w:rsidRPr="002029AF" w14:paraId="5FF8665C" w14:textId="77777777" w:rsidTr="00860E95">
        <w:trPr>
          <w:trHeight w:val="255"/>
        </w:trPr>
        <w:tc>
          <w:tcPr>
            <w:tcW w:w="6804" w:type="dxa"/>
            <w:tcBorders>
              <w:top w:val="single" w:sz="4" w:space="0" w:color="auto"/>
              <w:bottom w:val="single" w:sz="4" w:space="0" w:color="A6A6A6"/>
            </w:tcBorders>
          </w:tcPr>
          <w:p w14:paraId="3689A543" w14:textId="50E86545" w:rsidR="00087B91" w:rsidRPr="002029AF" w:rsidRDefault="00087B91" w:rsidP="00860E95">
            <w:pPr>
              <w:pStyle w:val="ARfintablebody"/>
            </w:pPr>
            <w:r w:rsidRPr="002029AF">
              <w:t>$40,000</w:t>
            </w:r>
            <w:r w:rsidR="000A5329" w:rsidRPr="002029AF">
              <w:t xml:space="preserve"> </w:t>
            </w:r>
            <w:r w:rsidRPr="002029AF">
              <w:t>–</w:t>
            </w:r>
            <w:r w:rsidR="000A5329" w:rsidRPr="002029AF">
              <w:t xml:space="preserve"> </w:t>
            </w:r>
            <w:r w:rsidRPr="002029AF">
              <w:t>$49,999</w:t>
            </w:r>
          </w:p>
        </w:tc>
        <w:tc>
          <w:tcPr>
            <w:tcW w:w="1418" w:type="dxa"/>
            <w:tcBorders>
              <w:top w:val="single" w:sz="4" w:space="0" w:color="auto"/>
              <w:bottom w:val="single" w:sz="4" w:space="0" w:color="A6A6A6"/>
            </w:tcBorders>
            <w:shd w:val="clear" w:color="auto" w:fill="E7E6E6"/>
            <w:noWrap/>
          </w:tcPr>
          <w:p w14:paraId="5995C897" w14:textId="77777777" w:rsidR="00087B91" w:rsidRPr="002029AF" w:rsidRDefault="00087B91" w:rsidP="00860E95">
            <w:pPr>
              <w:pStyle w:val="ARfintablebodyright"/>
            </w:pPr>
            <w:r w:rsidRPr="002029AF">
              <w:t>1</w:t>
            </w:r>
          </w:p>
        </w:tc>
        <w:tc>
          <w:tcPr>
            <w:tcW w:w="1418" w:type="dxa"/>
            <w:tcBorders>
              <w:top w:val="single" w:sz="4" w:space="0" w:color="auto"/>
              <w:bottom w:val="single" w:sz="4" w:space="0" w:color="A6A6A6"/>
            </w:tcBorders>
            <w:noWrap/>
          </w:tcPr>
          <w:p w14:paraId="623D2D1C" w14:textId="77777777" w:rsidR="00087B91" w:rsidRPr="002029AF" w:rsidRDefault="00087B91" w:rsidP="00860E95">
            <w:pPr>
              <w:pStyle w:val="ARfintablebodyright"/>
            </w:pPr>
            <w:r w:rsidRPr="002029AF">
              <w:t>–</w:t>
            </w:r>
          </w:p>
        </w:tc>
      </w:tr>
      <w:tr w:rsidR="00087B91" w:rsidRPr="002029AF" w14:paraId="4BF21FCA" w14:textId="77777777" w:rsidTr="00860E95">
        <w:trPr>
          <w:trHeight w:val="255"/>
        </w:trPr>
        <w:tc>
          <w:tcPr>
            <w:tcW w:w="6804" w:type="dxa"/>
            <w:tcBorders>
              <w:top w:val="single" w:sz="4" w:space="0" w:color="A6A6A6"/>
              <w:bottom w:val="single" w:sz="4" w:space="0" w:color="A6A6A6"/>
            </w:tcBorders>
          </w:tcPr>
          <w:p w14:paraId="577BB36F" w14:textId="09A7083B" w:rsidR="00087B91" w:rsidRPr="002029AF" w:rsidRDefault="00087B91" w:rsidP="00860E95">
            <w:pPr>
              <w:pStyle w:val="ARfintablebody"/>
            </w:pPr>
            <w:r w:rsidRPr="002029AF">
              <w:t>$90,000</w:t>
            </w:r>
            <w:r w:rsidR="000A5329" w:rsidRPr="002029AF">
              <w:t xml:space="preserve"> </w:t>
            </w:r>
            <w:r w:rsidRPr="002029AF">
              <w:t>–</w:t>
            </w:r>
            <w:r w:rsidR="000A5329" w:rsidRPr="002029AF">
              <w:t xml:space="preserve"> </w:t>
            </w:r>
            <w:r w:rsidRPr="002029AF">
              <w:t>$99,999</w:t>
            </w:r>
          </w:p>
        </w:tc>
        <w:tc>
          <w:tcPr>
            <w:tcW w:w="1418" w:type="dxa"/>
            <w:tcBorders>
              <w:top w:val="single" w:sz="4" w:space="0" w:color="A6A6A6"/>
              <w:bottom w:val="single" w:sz="4" w:space="0" w:color="A6A6A6"/>
            </w:tcBorders>
            <w:shd w:val="clear" w:color="auto" w:fill="E7E6E6"/>
            <w:noWrap/>
          </w:tcPr>
          <w:p w14:paraId="3F9F8543" w14:textId="77777777" w:rsidR="00087B91" w:rsidRPr="002029AF" w:rsidRDefault="00087B91" w:rsidP="00860E95">
            <w:pPr>
              <w:pStyle w:val="ARfintablebodyright"/>
            </w:pPr>
            <w:r w:rsidRPr="002029AF">
              <w:t>1</w:t>
            </w:r>
          </w:p>
        </w:tc>
        <w:tc>
          <w:tcPr>
            <w:tcW w:w="1418" w:type="dxa"/>
            <w:tcBorders>
              <w:top w:val="single" w:sz="4" w:space="0" w:color="A6A6A6"/>
              <w:bottom w:val="single" w:sz="4" w:space="0" w:color="A6A6A6"/>
            </w:tcBorders>
            <w:noWrap/>
          </w:tcPr>
          <w:p w14:paraId="65C8304E" w14:textId="77777777" w:rsidR="00087B91" w:rsidRPr="002029AF" w:rsidRDefault="00087B91" w:rsidP="00860E95">
            <w:pPr>
              <w:pStyle w:val="ARfintablebodyright"/>
            </w:pPr>
            <w:r w:rsidRPr="002029AF">
              <w:t>–</w:t>
            </w:r>
          </w:p>
        </w:tc>
      </w:tr>
      <w:tr w:rsidR="00087B91" w:rsidRPr="002029AF" w14:paraId="100FFBAD" w14:textId="77777777" w:rsidTr="00860E95">
        <w:trPr>
          <w:trHeight w:val="255"/>
        </w:trPr>
        <w:tc>
          <w:tcPr>
            <w:tcW w:w="6804" w:type="dxa"/>
            <w:tcBorders>
              <w:top w:val="single" w:sz="4" w:space="0" w:color="A6A6A6"/>
              <w:bottom w:val="single" w:sz="4" w:space="0" w:color="A6A6A6"/>
            </w:tcBorders>
            <w:hideMark/>
          </w:tcPr>
          <w:p w14:paraId="22BA611A" w14:textId="4171A298" w:rsidR="00087B91" w:rsidRPr="002029AF" w:rsidRDefault="00087B91" w:rsidP="00860E95">
            <w:pPr>
              <w:pStyle w:val="ARfintablebody"/>
            </w:pPr>
            <w:r w:rsidRPr="002029AF">
              <w:t>$250,000</w:t>
            </w:r>
            <w:r w:rsidR="000A5329" w:rsidRPr="002029AF">
              <w:t xml:space="preserve"> </w:t>
            </w:r>
            <w:r w:rsidRPr="002029AF">
              <w:t>–</w:t>
            </w:r>
            <w:r w:rsidR="000A5329" w:rsidRPr="002029AF">
              <w:t xml:space="preserve"> </w:t>
            </w:r>
            <w:r w:rsidRPr="002029AF">
              <w:t>$259,999</w:t>
            </w:r>
          </w:p>
        </w:tc>
        <w:tc>
          <w:tcPr>
            <w:tcW w:w="1418" w:type="dxa"/>
            <w:tcBorders>
              <w:top w:val="single" w:sz="4" w:space="0" w:color="A6A6A6"/>
              <w:bottom w:val="single" w:sz="4" w:space="0" w:color="A6A6A6"/>
            </w:tcBorders>
            <w:shd w:val="clear" w:color="auto" w:fill="E7E6E6"/>
            <w:noWrap/>
            <w:hideMark/>
          </w:tcPr>
          <w:p w14:paraId="632BD851" w14:textId="77777777" w:rsidR="00087B91" w:rsidRPr="002029AF" w:rsidRDefault="00087B91" w:rsidP="00860E95">
            <w:pPr>
              <w:pStyle w:val="ARfintablebodyright"/>
            </w:pPr>
            <w:r w:rsidRPr="002029AF">
              <w:t>1</w:t>
            </w:r>
          </w:p>
        </w:tc>
        <w:tc>
          <w:tcPr>
            <w:tcW w:w="1418" w:type="dxa"/>
            <w:tcBorders>
              <w:top w:val="single" w:sz="4" w:space="0" w:color="A6A6A6"/>
              <w:bottom w:val="single" w:sz="4" w:space="0" w:color="A6A6A6"/>
            </w:tcBorders>
            <w:noWrap/>
            <w:hideMark/>
          </w:tcPr>
          <w:p w14:paraId="24168C45" w14:textId="77777777" w:rsidR="00087B91" w:rsidRPr="002029AF" w:rsidRDefault="00087B91" w:rsidP="00860E95">
            <w:pPr>
              <w:pStyle w:val="ARfintablebodyright"/>
            </w:pPr>
            <w:r w:rsidRPr="002029AF">
              <w:t>–</w:t>
            </w:r>
          </w:p>
        </w:tc>
      </w:tr>
      <w:tr w:rsidR="00087B91" w:rsidRPr="002029AF" w14:paraId="0F1EB13D" w14:textId="77777777" w:rsidTr="00860E95">
        <w:trPr>
          <w:trHeight w:val="255"/>
        </w:trPr>
        <w:tc>
          <w:tcPr>
            <w:tcW w:w="6804" w:type="dxa"/>
            <w:tcBorders>
              <w:top w:val="single" w:sz="4" w:space="0" w:color="A6A6A6"/>
              <w:bottom w:val="single" w:sz="4" w:space="0" w:color="A6A6A6"/>
            </w:tcBorders>
            <w:hideMark/>
          </w:tcPr>
          <w:p w14:paraId="5036CFB3" w14:textId="30AA9538" w:rsidR="00087B91" w:rsidRPr="002029AF" w:rsidRDefault="00087B91" w:rsidP="00860E95">
            <w:pPr>
              <w:pStyle w:val="ARfintablebody"/>
            </w:pPr>
            <w:r w:rsidRPr="002029AF">
              <w:t>$400,000</w:t>
            </w:r>
            <w:r w:rsidR="000A5329" w:rsidRPr="002029AF">
              <w:t xml:space="preserve"> </w:t>
            </w:r>
            <w:r w:rsidRPr="002029AF">
              <w:t>–</w:t>
            </w:r>
            <w:r w:rsidR="000A5329" w:rsidRPr="002029AF">
              <w:t xml:space="preserve"> </w:t>
            </w:r>
            <w:r w:rsidRPr="002029AF">
              <w:t>$409,999</w:t>
            </w:r>
          </w:p>
        </w:tc>
        <w:tc>
          <w:tcPr>
            <w:tcW w:w="1418" w:type="dxa"/>
            <w:tcBorders>
              <w:top w:val="single" w:sz="4" w:space="0" w:color="A6A6A6"/>
              <w:bottom w:val="single" w:sz="4" w:space="0" w:color="A6A6A6"/>
            </w:tcBorders>
            <w:shd w:val="clear" w:color="auto" w:fill="E7E6E6"/>
            <w:noWrap/>
            <w:hideMark/>
          </w:tcPr>
          <w:p w14:paraId="61CAD42D" w14:textId="77777777" w:rsidR="00087B91" w:rsidRPr="002029AF" w:rsidRDefault="00087B91" w:rsidP="00860E95">
            <w:pPr>
              <w:pStyle w:val="ARfintablebodyright"/>
            </w:pPr>
            <w:r w:rsidRPr="002029AF">
              <w:t>–</w:t>
            </w:r>
          </w:p>
        </w:tc>
        <w:tc>
          <w:tcPr>
            <w:tcW w:w="1418" w:type="dxa"/>
            <w:tcBorders>
              <w:top w:val="single" w:sz="4" w:space="0" w:color="A6A6A6"/>
              <w:bottom w:val="single" w:sz="4" w:space="0" w:color="A6A6A6"/>
            </w:tcBorders>
            <w:noWrap/>
            <w:hideMark/>
          </w:tcPr>
          <w:p w14:paraId="3D3AAD7F" w14:textId="77777777" w:rsidR="00087B91" w:rsidRPr="002029AF" w:rsidRDefault="00087B91" w:rsidP="00860E95">
            <w:pPr>
              <w:pStyle w:val="ARfintablebodyright"/>
            </w:pPr>
            <w:r w:rsidRPr="002029AF">
              <w:t>1</w:t>
            </w:r>
          </w:p>
        </w:tc>
      </w:tr>
      <w:tr w:rsidR="00087B91" w:rsidRPr="002029AF" w14:paraId="44382CD4" w14:textId="77777777" w:rsidTr="00860E95">
        <w:trPr>
          <w:trHeight w:val="255"/>
        </w:trPr>
        <w:tc>
          <w:tcPr>
            <w:tcW w:w="6804" w:type="dxa"/>
            <w:tcBorders>
              <w:top w:val="single" w:sz="4" w:space="0" w:color="A6A6A6"/>
              <w:bottom w:val="single" w:sz="4" w:space="0" w:color="A6A6A6"/>
            </w:tcBorders>
            <w:hideMark/>
          </w:tcPr>
          <w:p w14:paraId="27822B4E" w14:textId="267FFCCB" w:rsidR="00087B91" w:rsidRPr="002029AF" w:rsidRDefault="00087B91" w:rsidP="00860E95">
            <w:pPr>
              <w:pStyle w:val="ARfintablebody"/>
            </w:pPr>
            <w:r w:rsidRPr="002029AF">
              <w:t>$560,000</w:t>
            </w:r>
            <w:r w:rsidR="000A5329" w:rsidRPr="002029AF">
              <w:t xml:space="preserve"> </w:t>
            </w:r>
            <w:r w:rsidRPr="002029AF">
              <w:t>–</w:t>
            </w:r>
            <w:r w:rsidR="000A5329" w:rsidRPr="002029AF">
              <w:t xml:space="preserve"> </w:t>
            </w:r>
            <w:r w:rsidRPr="002029AF">
              <w:t>$569,999</w:t>
            </w:r>
          </w:p>
        </w:tc>
        <w:tc>
          <w:tcPr>
            <w:tcW w:w="1418" w:type="dxa"/>
            <w:tcBorders>
              <w:top w:val="single" w:sz="4" w:space="0" w:color="A6A6A6"/>
              <w:bottom w:val="single" w:sz="4" w:space="0" w:color="A6A6A6"/>
            </w:tcBorders>
            <w:shd w:val="clear" w:color="auto" w:fill="E7E6E6"/>
            <w:noWrap/>
            <w:hideMark/>
          </w:tcPr>
          <w:p w14:paraId="47C42760" w14:textId="77777777" w:rsidR="00087B91" w:rsidRPr="002029AF" w:rsidRDefault="00087B91" w:rsidP="00860E95">
            <w:pPr>
              <w:pStyle w:val="ARfintablebodyright"/>
            </w:pPr>
            <w:r w:rsidRPr="002029AF">
              <w:t>–</w:t>
            </w:r>
          </w:p>
        </w:tc>
        <w:tc>
          <w:tcPr>
            <w:tcW w:w="1418" w:type="dxa"/>
            <w:tcBorders>
              <w:top w:val="single" w:sz="4" w:space="0" w:color="A6A6A6"/>
              <w:bottom w:val="single" w:sz="4" w:space="0" w:color="A6A6A6"/>
            </w:tcBorders>
            <w:noWrap/>
            <w:hideMark/>
          </w:tcPr>
          <w:p w14:paraId="4B27781F" w14:textId="77777777" w:rsidR="00087B91" w:rsidRPr="002029AF" w:rsidRDefault="00087B91" w:rsidP="00860E95">
            <w:pPr>
              <w:pStyle w:val="ARfintablebodyright"/>
            </w:pPr>
            <w:r w:rsidRPr="002029AF">
              <w:t>1</w:t>
            </w:r>
          </w:p>
        </w:tc>
      </w:tr>
      <w:tr w:rsidR="00087B91" w:rsidRPr="002029AF" w14:paraId="45DE9A15" w14:textId="77777777" w:rsidTr="00860E95">
        <w:trPr>
          <w:trHeight w:val="255"/>
        </w:trPr>
        <w:tc>
          <w:tcPr>
            <w:tcW w:w="6804" w:type="dxa"/>
            <w:tcBorders>
              <w:top w:val="single" w:sz="4" w:space="0" w:color="A6A6A6"/>
            </w:tcBorders>
            <w:hideMark/>
          </w:tcPr>
          <w:p w14:paraId="3A1CAC9D" w14:textId="7462E4A2" w:rsidR="00087B91" w:rsidRPr="002029AF" w:rsidRDefault="00087B91" w:rsidP="00860E95">
            <w:pPr>
              <w:pStyle w:val="ARfintablebody"/>
            </w:pPr>
            <w:r w:rsidRPr="002029AF">
              <w:t>$570,000</w:t>
            </w:r>
            <w:r w:rsidR="000A5329" w:rsidRPr="002029AF">
              <w:t xml:space="preserve"> </w:t>
            </w:r>
            <w:r w:rsidRPr="002029AF">
              <w:t>–</w:t>
            </w:r>
            <w:r w:rsidR="000A5329" w:rsidRPr="002029AF">
              <w:t xml:space="preserve"> </w:t>
            </w:r>
            <w:r w:rsidRPr="002029AF">
              <w:t>$579,999</w:t>
            </w:r>
          </w:p>
        </w:tc>
        <w:tc>
          <w:tcPr>
            <w:tcW w:w="1418" w:type="dxa"/>
            <w:tcBorders>
              <w:top w:val="single" w:sz="4" w:space="0" w:color="A6A6A6"/>
            </w:tcBorders>
            <w:shd w:val="clear" w:color="auto" w:fill="E7E6E6"/>
            <w:noWrap/>
            <w:hideMark/>
          </w:tcPr>
          <w:p w14:paraId="7916D694" w14:textId="77777777" w:rsidR="00087B91" w:rsidRPr="002029AF" w:rsidRDefault="00087B91" w:rsidP="00860E95">
            <w:pPr>
              <w:pStyle w:val="ARfintablebodyright"/>
            </w:pPr>
            <w:r w:rsidRPr="002029AF">
              <w:t>1</w:t>
            </w:r>
          </w:p>
        </w:tc>
        <w:tc>
          <w:tcPr>
            <w:tcW w:w="1418" w:type="dxa"/>
            <w:tcBorders>
              <w:top w:val="single" w:sz="4" w:space="0" w:color="A6A6A6"/>
            </w:tcBorders>
            <w:noWrap/>
            <w:hideMark/>
          </w:tcPr>
          <w:p w14:paraId="7C32D9E8" w14:textId="77777777" w:rsidR="00087B91" w:rsidRPr="002029AF" w:rsidRDefault="00087B91" w:rsidP="00860E95">
            <w:pPr>
              <w:pStyle w:val="ARfintablebodyright"/>
            </w:pPr>
            <w:r w:rsidRPr="002029AF">
              <w:t>–</w:t>
            </w:r>
          </w:p>
        </w:tc>
      </w:tr>
      <w:tr w:rsidR="00087B91" w:rsidRPr="002029AF" w14:paraId="00A38C17" w14:textId="77777777" w:rsidTr="00860E95">
        <w:trPr>
          <w:trHeight w:val="255"/>
        </w:trPr>
        <w:tc>
          <w:tcPr>
            <w:tcW w:w="6804" w:type="dxa"/>
            <w:hideMark/>
          </w:tcPr>
          <w:p w14:paraId="07C9FAC3" w14:textId="77777777" w:rsidR="00087B91" w:rsidRPr="002029AF" w:rsidRDefault="00087B91" w:rsidP="00860E95">
            <w:pPr>
              <w:pStyle w:val="ARfintablebodybold"/>
            </w:pPr>
            <w:r w:rsidRPr="002029AF">
              <w:t>Total</w:t>
            </w:r>
          </w:p>
        </w:tc>
        <w:tc>
          <w:tcPr>
            <w:tcW w:w="1418" w:type="dxa"/>
            <w:shd w:val="clear" w:color="auto" w:fill="E7E6E6"/>
            <w:noWrap/>
            <w:hideMark/>
          </w:tcPr>
          <w:p w14:paraId="6AA5CA3A" w14:textId="77777777" w:rsidR="00087B91" w:rsidRPr="002029AF" w:rsidRDefault="00087B91" w:rsidP="00860E95">
            <w:pPr>
              <w:pStyle w:val="ARfintablebodyrightbold"/>
            </w:pPr>
            <w:r w:rsidRPr="002029AF">
              <w:t>4</w:t>
            </w:r>
          </w:p>
        </w:tc>
        <w:tc>
          <w:tcPr>
            <w:tcW w:w="1418" w:type="dxa"/>
            <w:noWrap/>
            <w:hideMark/>
          </w:tcPr>
          <w:p w14:paraId="754C0688" w14:textId="77777777" w:rsidR="00087B91" w:rsidRPr="002029AF" w:rsidRDefault="00087B91" w:rsidP="00860E95">
            <w:pPr>
              <w:pStyle w:val="ARfintablebodyrightbold"/>
            </w:pPr>
            <w:r w:rsidRPr="002029AF">
              <w:t>2</w:t>
            </w:r>
          </w:p>
        </w:tc>
      </w:tr>
    </w:tbl>
    <w:p w14:paraId="1D420B6D" w14:textId="77777777" w:rsidR="00087B91" w:rsidRPr="002029AF" w:rsidRDefault="00087B91" w:rsidP="00087B91">
      <w:pPr>
        <w:pStyle w:val="ARfintablefootnote"/>
      </w:pPr>
      <w:bookmarkStart w:id="401" w:name="_Hlk47980003"/>
      <w:r w:rsidRPr="002029AF">
        <w:t>Note:</w:t>
      </w:r>
    </w:p>
    <w:p w14:paraId="09BD0980" w14:textId="0887A54A" w:rsidR="00087B91" w:rsidRPr="002029AF" w:rsidRDefault="00087B91" w:rsidP="00087B91">
      <w:pPr>
        <w:pStyle w:val="ARfintablefootnoteindent"/>
      </w:pPr>
      <w:r w:rsidRPr="002029AF">
        <w:t>(i)</w:t>
      </w:r>
      <w:r w:rsidRPr="002029AF">
        <w:tab/>
        <w:t>There</w:t>
      </w:r>
      <w:r w:rsidR="000A5329" w:rsidRPr="002029AF">
        <w:t xml:space="preserve"> </w:t>
      </w:r>
      <w:r w:rsidRPr="002029AF">
        <w:t>were</w:t>
      </w:r>
      <w:r w:rsidR="000A5329" w:rsidRPr="002029AF">
        <w:t xml:space="preserve"> </w:t>
      </w:r>
      <w:r w:rsidRPr="002029AF">
        <w:t>3</w:t>
      </w:r>
      <w:r w:rsidR="000A5329" w:rsidRPr="002029AF">
        <w:t xml:space="preserve"> </w:t>
      </w:r>
      <w:r w:rsidRPr="002029AF">
        <w:t>people</w:t>
      </w:r>
      <w:r w:rsidR="000A5329" w:rsidRPr="002029AF">
        <w:t xml:space="preserve"> </w:t>
      </w:r>
      <w:r w:rsidRPr="002029AF">
        <w:t>occupying</w:t>
      </w:r>
      <w:r w:rsidR="000A5329" w:rsidRPr="002029AF">
        <w:t xml:space="preserve"> </w:t>
      </w:r>
      <w:r w:rsidRPr="002029AF">
        <w:t>Director</w:t>
      </w:r>
      <w:r w:rsidR="000A5329" w:rsidRPr="002029AF">
        <w:t xml:space="preserve"> </w:t>
      </w:r>
      <w:r w:rsidRPr="002029AF">
        <w:t>of</w:t>
      </w:r>
      <w:r w:rsidR="000A5329" w:rsidRPr="002029AF">
        <w:t xml:space="preserve"> </w:t>
      </w:r>
      <w:r w:rsidRPr="002029AF">
        <w:t>Housing</w:t>
      </w:r>
      <w:r w:rsidR="000A5329" w:rsidRPr="002029AF">
        <w:t xml:space="preserve"> </w:t>
      </w:r>
      <w:r w:rsidRPr="002029AF">
        <w:t>position</w:t>
      </w:r>
      <w:r w:rsidR="000A5329" w:rsidRPr="002029AF">
        <w:t xml:space="preserve"> </w:t>
      </w:r>
      <w:r w:rsidRPr="002029AF">
        <w:t>in</w:t>
      </w:r>
      <w:r w:rsidR="000A5329" w:rsidRPr="002029AF">
        <w:t xml:space="preserve"> </w:t>
      </w:r>
      <w:r w:rsidRPr="002029AF">
        <w:t>2019–20.</w:t>
      </w:r>
    </w:p>
    <w:bookmarkEnd w:id="401"/>
    <w:p w14:paraId="34223B9F" w14:textId="77777777" w:rsidR="00087B91" w:rsidRPr="002029AF" w:rsidRDefault="00087B91" w:rsidP="00087B91">
      <w:pPr>
        <w:pStyle w:val="ARfinbody"/>
      </w:pPr>
      <w:r w:rsidRPr="002029AF">
        <w:br w:type="page"/>
      </w:r>
    </w:p>
    <w:p w14:paraId="205602DD" w14:textId="2695E363" w:rsidR="00087B91" w:rsidRPr="002029AF" w:rsidRDefault="00087B91" w:rsidP="00087B91">
      <w:pPr>
        <w:pStyle w:val="Heading4"/>
      </w:pPr>
      <w:bookmarkStart w:id="402" w:name="_Toc39242172"/>
      <w:r w:rsidRPr="002029AF">
        <w:lastRenderedPageBreak/>
        <w:t>9.7</w:t>
      </w:r>
      <w:r w:rsidR="000A5329" w:rsidRPr="002029AF">
        <w:t xml:space="preserve"> </w:t>
      </w:r>
      <w:r w:rsidRPr="002029AF">
        <w:t>Remuneration</w:t>
      </w:r>
      <w:r w:rsidR="000A5329" w:rsidRPr="002029AF">
        <w:t xml:space="preserve"> </w:t>
      </w:r>
      <w:r w:rsidRPr="002029AF">
        <w:t>of</w:t>
      </w:r>
      <w:r w:rsidR="000A5329" w:rsidRPr="002029AF">
        <w:t xml:space="preserve"> </w:t>
      </w:r>
      <w:r w:rsidRPr="002029AF">
        <w:t>executives</w:t>
      </w:r>
      <w:bookmarkEnd w:id="402"/>
    </w:p>
    <w:p w14:paraId="1EB8AE0B" w14:textId="06469260" w:rsidR="00087B91" w:rsidRPr="002029AF" w:rsidRDefault="00087B91" w:rsidP="00087B91">
      <w:pPr>
        <w:pStyle w:val="ARfinbody"/>
      </w:pPr>
      <w:r w:rsidRPr="002029AF">
        <w:t>The</w:t>
      </w:r>
      <w:r w:rsidR="000A5329" w:rsidRPr="002029AF">
        <w:t xml:space="preserve"> </w:t>
      </w:r>
      <w:r w:rsidRPr="002029AF">
        <w:t>numbers</w:t>
      </w:r>
      <w:r w:rsidR="000A5329" w:rsidRPr="002029AF">
        <w:t xml:space="preserve"> </w:t>
      </w:r>
      <w:r w:rsidRPr="002029AF">
        <w:t>of</w:t>
      </w:r>
      <w:r w:rsidR="000A5329" w:rsidRPr="002029AF">
        <w:t xml:space="preserve"> </w:t>
      </w:r>
      <w:r w:rsidRPr="002029AF">
        <w:t>executive</w:t>
      </w:r>
      <w:r w:rsidR="000A5329" w:rsidRPr="002029AF">
        <w:t xml:space="preserve"> </w:t>
      </w:r>
      <w:r w:rsidRPr="002029AF">
        <w:t>officers,</w:t>
      </w:r>
      <w:r w:rsidR="000A5329" w:rsidRPr="002029AF">
        <w:t xml:space="preserve"> </w:t>
      </w:r>
      <w:r w:rsidRPr="002029AF">
        <w:t>other</w:t>
      </w:r>
      <w:r w:rsidR="000A5329" w:rsidRPr="002029AF">
        <w:t xml:space="preserve"> </w:t>
      </w:r>
      <w:r w:rsidRPr="002029AF">
        <w:t>than</w:t>
      </w:r>
      <w:r w:rsidR="000A5329" w:rsidRPr="002029AF">
        <w:t xml:space="preserve"> </w:t>
      </w:r>
      <w:r w:rsidRPr="002029AF">
        <w:t>ministers</w:t>
      </w:r>
      <w:r w:rsidR="000A5329" w:rsidRPr="002029AF">
        <w:t xml:space="preserve"> </w:t>
      </w:r>
      <w:r w:rsidRPr="002029AF">
        <w:t>and</w:t>
      </w:r>
      <w:r w:rsidR="000A5329" w:rsidRPr="002029AF">
        <w:t xml:space="preserve"> </w:t>
      </w:r>
      <w:r w:rsidRPr="002029AF">
        <w:t>accountable</w:t>
      </w:r>
      <w:r w:rsidR="000A5329" w:rsidRPr="002029AF">
        <w:t xml:space="preserve"> </w:t>
      </w:r>
      <w:r w:rsidRPr="002029AF">
        <w:t>officers,</w:t>
      </w:r>
      <w:r w:rsidR="000A5329" w:rsidRPr="002029AF">
        <w:t xml:space="preserve"> </w:t>
      </w:r>
      <w:r w:rsidRPr="002029AF">
        <w:t>and</w:t>
      </w:r>
      <w:r w:rsidR="000A5329" w:rsidRPr="002029AF">
        <w:t xml:space="preserve"> </w:t>
      </w:r>
      <w:r w:rsidRPr="002029AF">
        <w:t>their</w:t>
      </w:r>
      <w:r w:rsidR="000A5329" w:rsidRPr="002029AF">
        <w:t xml:space="preserve"> </w:t>
      </w:r>
      <w:r w:rsidRPr="002029AF">
        <w:t>total</w:t>
      </w:r>
      <w:r w:rsidR="000A5329" w:rsidRPr="002029AF">
        <w:t xml:space="preserve"> </w:t>
      </w:r>
      <w:r w:rsidRPr="002029AF">
        <w:t>remuneration</w:t>
      </w:r>
      <w:r w:rsidR="000A5329" w:rsidRPr="002029AF">
        <w:t xml:space="preserve"> </w:t>
      </w:r>
      <w:r w:rsidRPr="002029AF">
        <w:t>during</w:t>
      </w:r>
      <w:r w:rsidR="000A5329" w:rsidRPr="002029AF">
        <w:t xml:space="preserve"> </w:t>
      </w:r>
      <w:r w:rsidRPr="002029AF">
        <w:t>the</w:t>
      </w:r>
      <w:r w:rsidR="000A5329" w:rsidRPr="002029AF">
        <w:t xml:space="preserve"> </w:t>
      </w:r>
      <w:r w:rsidRPr="002029AF">
        <w:t>reporting</w:t>
      </w:r>
      <w:r w:rsidR="000A5329" w:rsidRPr="002029AF">
        <w:t xml:space="preserve"> </w:t>
      </w:r>
      <w:r w:rsidRPr="002029AF">
        <w:t>period</w:t>
      </w:r>
      <w:r w:rsidR="000A5329" w:rsidRPr="002029AF">
        <w:t xml:space="preserve"> </w:t>
      </w:r>
      <w:r w:rsidRPr="002029AF">
        <w:t>are</w:t>
      </w:r>
      <w:r w:rsidR="000A5329" w:rsidRPr="002029AF">
        <w:t xml:space="preserve"> </w:t>
      </w:r>
      <w:r w:rsidRPr="002029AF">
        <w:t>shown</w:t>
      </w:r>
      <w:r w:rsidR="000A5329" w:rsidRPr="002029AF">
        <w:t xml:space="preserve"> </w:t>
      </w:r>
      <w:r w:rsidRPr="002029AF">
        <w:t>in</w:t>
      </w:r>
      <w:r w:rsidR="000A5329" w:rsidRPr="002029AF">
        <w:t xml:space="preserve"> </w:t>
      </w:r>
      <w:r w:rsidRPr="002029AF">
        <w:t>the</w:t>
      </w:r>
      <w:r w:rsidR="000A5329" w:rsidRPr="002029AF">
        <w:t xml:space="preserve"> </w:t>
      </w:r>
      <w:r w:rsidRPr="002029AF">
        <w:t>table</w:t>
      </w:r>
      <w:r w:rsidR="000A5329" w:rsidRPr="002029AF">
        <w:t xml:space="preserve"> </w:t>
      </w:r>
      <w:r w:rsidRPr="002029AF">
        <w:t>below.</w:t>
      </w:r>
      <w:r w:rsidR="000A5329" w:rsidRPr="002029AF">
        <w:t xml:space="preserve"> </w:t>
      </w:r>
      <w:r w:rsidRPr="002029AF">
        <w:t>Total</w:t>
      </w:r>
      <w:r w:rsidR="000A5329" w:rsidRPr="002029AF">
        <w:t xml:space="preserve"> </w:t>
      </w:r>
      <w:r w:rsidRPr="002029AF">
        <w:t>annualised</w:t>
      </w:r>
      <w:r w:rsidR="000A5329" w:rsidRPr="002029AF">
        <w:t xml:space="preserve"> </w:t>
      </w:r>
      <w:r w:rsidRPr="002029AF">
        <w:t>employee</w:t>
      </w:r>
      <w:r w:rsidR="000A5329" w:rsidRPr="002029AF">
        <w:t xml:space="preserve"> </w:t>
      </w:r>
      <w:r w:rsidRPr="002029AF">
        <w:t>equivalent</w:t>
      </w:r>
      <w:r w:rsidR="000A5329" w:rsidRPr="002029AF">
        <w:t xml:space="preserve"> </w:t>
      </w:r>
      <w:r w:rsidRPr="002029AF">
        <w:t>provides</w:t>
      </w:r>
      <w:r w:rsidR="000A5329" w:rsidRPr="002029AF">
        <w:t xml:space="preserve"> </w:t>
      </w:r>
      <w:r w:rsidRPr="002029AF">
        <w:t>a</w:t>
      </w:r>
      <w:r w:rsidR="000A5329" w:rsidRPr="002029AF">
        <w:t xml:space="preserve"> </w:t>
      </w:r>
      <w:r w:rsidRPr="002029AF">
        <w:t>measure</w:t>
      </w:r>
      <w:r w:rsidR="000A5329" w:rsidRPr="002029AF">
        <w:t xml:space="preserve"> </w:t>
      </w:r>
      <w:r w:rsidRPr="002029AF">
        <w:t>of</w:t>
      </w:r>
      <w:r w:rsidR="000A5329" w:rsidRPr="002029AF">
        <w:t xml:space="preserve"> </w:t>
      </w:r>
      <w:r w:rsidRPr="002029AF">
        <w:t>full-time</w:t>
      </w:r>
      <w:r w:rsidR="000A5329" w:rsidRPr="002029AF">
        <w:t xml:space="preserve"> </w:t>
      </w:r>
      <w:r w:rsidRPr="002029AF">
        <w:t>equivalent</w:t>
      </w:r>
      <w:r w:rsidR="000A5329" w:rsidRPr="002029AF">
        <w:t xml:space="preserve"> </w:t>
      </w:r>
      <w:r w:rsidRPr="002029AF">
        <w:t>executive</w:t>
      </w:r>
      <w:r w:rsidR="000A5329" w:rsidRPr="002029AF">
        <w:t xml:space="preserve"> </w:t>
      </w:r>
      <w:r w:rsidRPr="002029AF">
        <w:t>officers</w:t>
      </w:r>
      <w:r w:rsidR="000A5329" w:rsidRPr="002029AF">
        <w:t xml:space="preserve"> </w:t>
      </w:r>
      <w:r w:rsidRPr="002029AF">
        <w:t>over</w:t>
      </w:r>
      <w:r w:rsidR="000A5329" w:rsidRPr="002029AF">
        <w:t xml:space="preserve"> </w:t>
      </w:r>
      <w:r w:rsidRPr="002029AF">
        <w:t>the</w:t>
      </w:r>
      <w:r w:rsidR="000A5329" w:rsidRPr="002029AF">
        <w:t xml:space="preserve"> </w:t>
      </w:r>
      <w:r w:rsidRPr="002029AF">
        <w:t>reporting</w:t>
      </w:r>
      <w:r w:rsidR="000A5329" w:rsidRPr="002029AF">
        <w:t xml:space="preserve"> </w:t>
      </w:r>
      <w:r w:rsidRPr="002029AF">
        <w:t>period.</w:t>
      </w:r>
    </w:p>
    <w:p w14:paraId="2DF99E59" w14:textId="784C69DF" w:rsidR="00087B91" w:rsidRPr="002029AF" w:rsidRDefault="00087B91" w:rsidP="00087B91">
      <w:pPr>
        <w:pStyle w:val="ARfinbody"/>
      </w:pPr>
      <w:r w:rsidRPr="002029AF">
        <w:t>Remuneration</w:t>
      </w:r>
      <w:r w:rsidR="000A5329" w:rsidRPr="002029AF">
        <w:t xml:space="preserve"> </w:t>
      </w:r>
      <w:r w:rsidRPr="002029AF">
        <w:t>comprises</w:t>
      </w:r>
      <w:r w:rsidR="000A5329" w:rsidRPr="002029AF">
        <w:t xml:space="preserve"> </w:t>
      </w:r>
      <w:r w:rsidRPr="002029AF">
        <w:t>employee</w:t>
      </w:r>
      <w:r w:rsidR="000A5329" w:rsidRPr="002029AF">
        <w:t xml:space="preserve"> </w:t>
      </w:r>
      <w:r w:rsidRPr="002029AF">
        <w:t>benefits</w:t>
      </w:r>
      <w:r w:rsidR="000A5329" w:rsidRPr="002029AF">
        <w:t xml:space="preserve"> </w:t>
      </w:r>
      <w:r w:rsidRPr="002029AF">
        <w:t>in</w:t>
      </w:r>
      <w:r w:rsidR="000A5329" w:rsidRPr="002029AF">
        <w:t xml:space="preserve"> </w:t>
      </w:r>
      <w:r w:rsidRPr="002029AF">
        <w:t>all</w:t>
      </w:r>
      <w:r w:rsidR="000A5329" w:rsidRPr="002029AF">
        <w:t xml:space="preserve"> </w:t>
      </w:r>
      <w:r w:rsidRPr="002029AF">
        <w:t>forms</w:t>
      </w:r>
      <w:r w:rsidR="000A5329" w:rsidRPr="002029AF">
        <w:t xml:space="preserve"> </w:t>
      </w:r>
      <w:r w:rsidRPr="002029AF">
        <w:t>of</w:t>
      </w:r>
      <w:r w:rsidR="000A5329" w:rsidRPr="002029AF">
        <w:t xml:space="preserve"> </w:t>
      </w:r>
      <w:r w:rsidRPr="002029AF">
        <w:t>consideration</w:t>
      </w:r>
      <w:r w:rsidR="000A5329" w:rsidRPr="002029AF">
        <w:t xml:space="preserve"> </w:t>
      </w:r>
      <w:r w:rsidRPr="002029AF">
        <w:t>paid,</w:t>
      </w:r>
      <w:r w:rsidR="000A5329" w:rsidRPr="002029AF">
        <w:t xml:space="preserve"> </w:t>
      </w:r>
      <w:r w:rsidRPr="002029AF">
        <w:t>payable</w:t>
      </w:r>
      <w:r w:rsidR="000A5329" w:rsidRPr="002029AF">
        <w:t xml:space="preserve"> </w:t>
      </w:r>
      <w:r w:rsidRPr="002029AF">
        <w:t>or</w:t>
      </w:r>
      <w:r w:rsidR="000A5329" w:rsidRPr="002029AF">
        <w:t xml:space="preserve"> </w:t>
      </w:r>
      <w:r w:rsidRPr="002029AF">
        <w:t>provided</w:t>
      </w:r>
      <w:r w:rsidR="000A5329" w:rsidRPr="002029AF">
        <w:t xml:space="preserve"> </w:t>
      </w:r>
      <w:r w:rsidRPr="002029AF">
        <w:t>by</w:t>
      </w:r>
      <w:r w:rsidR="000A5329" w:rsidRPr="002029AF">
        <w:t xml:space="preserve"> </w:t>
      </w:r>
      <w:r w:rsidRPr="002029AF">
        <w:t>the</w:t>
      </w:r>
      <w:r w:rsidR="000A5329" w:rsidRPr="002029AF">
        <w:t xml:space="preserve"> </w:t>
      </w:r>
      <w:r w:rsidRPr="002029AF">
        <w:t>entity,</w:t>
      </w:r>
      <w:r w:rsidR="000A5329" w:rsidRPr="002029AF">
        <w:t xml:space="preserve"> </w:t>
      </w:r>
      <w:r w:rsidRPr="002029AF">
        <w:t>or</w:t>
      </w:r>
      <w:r w:rsidR="000A5329" w:rsidRPr="002029AF">
        <w:t xml:space="preserve"> </w:t>
      </w:r>
      <w:r w:rsidRPr="002029AF">
        <w:t>on</w:t>
      </w:r>
      <w:r w:rsidR="000A5329" w:rsidRPr="002029AF">
        <w:t xml:space="preserve"> </w:t>
      </w:r>
      <w:r w:rsidRPr="002029AF">
        <w:t>behalf</w:t>
      </w:r>
      <w:r w:rsidR="000A5329" w:rsidRPr="002029AF">
        <w:t xml:space="preserve"> </w:t>
      </w:r>
      <w:r w:rsidRPr="002029AF">
        <w:t>of</w:t>
      </w:r>
      <w:r w:rsidR="000A5329" w:rsidRPr="002029AF">
        <w:t xml:space="preserve"> </w:t>
      </w:r>
      <w:r w:rsidRPr="002029AF">
        <w:t>the</w:t>
      </w:r>
      <w:r w:rsidR="000A5329" w:rsidRPr="002029AF">
        <w:t xml:space="preserve"> </w:t>
      </w:r>
      <w:r w:rsidRPr="002029AF">
        <w:t>entity,</w:t>
      </w:r>
      <w:r w:rsidR="000A5329" w:rsidRPr="002029AF">
        <w:t xml:space="preserve"> </w:t>
      </w:r>
      <w:r w:rsidRPr="002029AF">
        <w:t>in</w:t>
      </w:r>
      <w:r w:rsidR="000A5329" w:rsidRPr="002029AF">
        <w:t xml:space="preserve"> </w:t>
      </w:r>
      <w:r w:rsidRPr="002029AF">
        <w:t>exchange</w:t>
      </w:r>
      <w:r w:rsidR="000A5329" w:rsidRPr="002029AF">
        <w:t xml:space="preserve"> </w:t>
      </w:r>
      <w:r w:rsidRPr="002029AF">
        <w:t>for</w:t>
      </w:r>
      <w:r w:rsidR="000A5329" w:rsidRPr="002029AF">
        <w:t xml:space="preserve"> </w:t>
      </w:r>
      <w:r w:rsidRPr="002029AF">
        <w:t>services</w:t>
      </w:r>
      <w:r w:rsidR="000A5329" w:rsidRPr="002029AF">
        <w:t xml:space="preserve"> </w:t>
      </w:r>
      <w:r w:rsidRPr="002029AF">
        <w:t>rendered,</w:t>
      </w:r>
      <w:r w:rsidR="000A5329" w:rsidRPr="002029AF">
        <w:t xml:space="preserve"> </w:t>
      </w:r>
      <w:r w:rsidRPr="002029AF">
        <w:t>and</w:t>
      </w:r>
      <w:r w:rsidR="000A5329" w:rsidRPr="002029AF">
        <w:t xml:space="preserve"> </w:t>
      </w:r>
      <w:r w:rsidRPr="002029AF">
        <w:t>is</w:t>
      </w:r>
      <w:r w:rsidR="000A5329" w:rsidRPr="002029AF">
        <w:t xml:space="preserve"> </w:t>
      </w:r>
      <w:r w:rsidRPr="002029AF">
        <w:t>disclosed</w:t>
      </w:r>
      <w:r w:rsidR="000A5329" w:rsidRPr="002029AF">
        <w:t xml:space="preserve"> </w:t>
      </w:r>
      <w:r w:rsidRPr="002029AF">
        <w:t>in</w:t>
      </w:r>
      <w:r w:rsidR="000A5329" w:rsidRPr="002029AF">
        <w:t xml:space="preserve"> </w:t>
      </w:r>
      <w:r w:rsidRPr="002029AF">
        <w:t>the</w:t>
      </w:r>
      <w:r w:rsidR="000A5329" w:rsidRPr="002029AF">
        <w:t xml:space="preserve"> </w:t>
      </w:r>
      <w:r w:rsidRPr="002029AF">
        <w:t>following</w:t>
      </w:r>
      <w:r w:rsidR="000A5329" w:rsidRPr="002029AF">
        <w:t xml:space="preserve"> </w:t>
      </w:r>
      <w:r w:rsidRPr="002029AF">
        <w:t>categories.</w:t>
      </w:r>
    </w:p>
    <w:p w14:paraId="5C3C7CF5" w14:textId="3CCC9D34" w:rsidR="00087B91" w:rsidRPr="002029AF" w:rsidRDefault="00087B91" w:rsidP="00087B91">
      <w:pPr>
        <w:pStyle w:val="ARfinbody"/>
      </w:pPr>
      <w:r w:rsidRPr="002029AF">
        <w:rPr>
          <w:rStyle w:val="Strong"/>
        </w:rPr>
        <w:t>Short-term</w:t>
      </w:r>
      <w:r w:rsidR="000A5329" w:rsidRPr="002029AF">
        <w:rPr>
          <w:rStyle w:val="Strong"/>
        </w:rPr>
        <w:t xml:space="preserve"> </w:t>
      </w:r>
      <w:r w:rsidRPr="002029AF">
        <w:rPr>
          <w:rStyle w:val="Strong"/>
        </w:rPr>
        <w:t>employee</w:t>
      </w:r>
      <w:r w:rsidR="000A5329" w:rsidRPr="002029AF">
        <w:rPr>
          <w:rStyle w:val="Strong"/>
        </w:rPr>
        <w:t xml:space="preserve"> </w:t>
      </w:r>
      <w:r w:rsidRPr="002029AF">
        <w:rPr>
          <w:rStyle w:val="Strong"/>
        </w:rPr>
        <w:t>benefits</w:t>
      </w:r>
      <w:r w:rsidR="000A5329" w:rsidRPr="002029AF">
        <w:t xml:space="preserve"> </w:t>
      </w:r>
      <w:r w:rsidRPr="002029AF">
        <w:t>include</w:t>
      </w:r>
      <w:r w:rsidR="000A5329" w:rsidRPr="002029AF">
        <w:t xml:space="preserve"> </w:t>
      </w:r>
      <w:r w:rsidRPr="002029AF">
        <w:t>amounts</w:t>
      </w:r>
      <w:r w:rsidR="000A5329" w:rsidRPr="002029AF">
        <w:t xml:space="preserve"> </w:t>
      </w:r>
      <w:r w:rsidRPr="002029AF">
        <w:t>such</w:t>
      </w:r>
      <w:r w:rsidR="000A5329" w:rsidRPr="002029AF">
        <w:t xml:space="preserve"> </w:t>
      </w:r>
      <w:r w:rsidRPr="002029AF">
        <w:t>as</w:t>
      </w:r>
      <w:r w:rsidR="000A5329" w:rsidRPr="002029AF">
        <w:t xml:space="preserve"> </w:t>
      </w:r>
      <w:r w:rsidRPr="002029AF">
        <w:t>wages,</w:t>
      </w:r>
      <w:r w:rsidR="000A5329" w:rsidRPr="002029AF">
        <w:t xml:space="preserve"> </w:t>
      </w:r>
      <w:r w:rsidRPr="002029AF">
        <w:t>salaries,</w:t>
      </w:r>
      <w:r w:rsidR="000A5329" w:rsidRPr="002029AF">
        <w:t xml:space="preserve"> </w:t>
      </w:r>
      <w:r w:rsidRPr="002029AF">
        <w:t>annual</w:t>
      </w:r>
      <w:r w:rsidR="000A5329" w:rsidRPr="002029AF">
        <w:t xml:space="preserve"> </w:t>
      </w:r>
      <w:r w:rsidRPr="002029AF">
        <w:t>leave</w:t>
      </w:r>
      <w:r w:rsidR="000A5329" w:rsidRPr="002029AF">
        <w:t xml:space="preserve"> </w:t>
      </w:r>
      <w:r w:rsidRPr="002029AF">
        <w:t>or</w:t>
      </w:r>
      <w:r w:rsidR="000A5329" w:rsidRPr="002029AF">
        <w:t xml:space="preserve"> </w:t>
      </w:r>
      <w:r w:rsidRPr="002029AF">
        <w:t>sick</w:t>
      </w:r>
      <w:r w:rsidR="000A5329" w:rsidRPr="002029AF">
        <w:t xml:space="preserve"> </w:t>
      </w:r>
      <w:r w:rsidRPr="002029AF">
        <w:t>leave</w:t>
      </w:r>
      <w:r w:rsidR="000A5329" w:rsidRPr="002029AF">
        <w:t xml:space="preserve"> </w:t>
      </w:r>
      <w:r w:rsidRPr="002029AF">
        <w:t>that</w:t>
      </w:r>
      <w:r w:rsidR="000A5329" w:rsidRPr="002029AF">
        <w:t xml:space="preserve"> </w:t>
      </w:r>
      <w:r w:rsidRPr="002029AF">
        <w:t>are</w:t>
      </w:r>
      <w:r w:rsidR="000A5329" w:rsidRPr="002029AF">
        <w:t xml:space="preserve"> </w:t>
      </w:r>
      <w:r w:rsidRPr="002029AF">
        <w:t>usually</w:t>
      </w:r>
      <w:r w:rsidR="000A5329" w:rsidRPr="002029AF">
        <w:t xml:space="preserve"> </w:t>
      </w:r>
      <w:r w:rsidRPr="002029AF">
        <w:t>paid</w:t>
      </w:r>
      <w:r w:rsidR="000A5329" w:rsidRPr="002029AF">
        <w:t xml:space="preserve"> </w:t>
      </w:r>
      <w:r w:rsidRPr="002029AF">
        <w:t>or</w:t>
      </w:r>
      <w:r w:rsidR="000A5329" w:rsidRPr="002029AF">
        <w:t xml:space="preserve"> </w:t>
      </w:r>
      <w:r w:rsidRPr="002029AF">
        <w:t>payable</w:t>
      </w:r>
      <w:r w:rsidR="000A5329" w:rsidRPr="002029AF">
        <w:t xml:space="preserve"> </w:t>
      </w:r>
      <w:r w:rsidRPr="002029AF">
        <w:t>on</w:t>
      </w:r>
      <w:r w:rsidR="000A5329" w:rsidRPr="002029AF">
        <w:t xml:space="preserve"> </w:t>
      </w:r>
      <w:r w:rsidRPr="002029AF">
        <w:t>a</w:t>
      </w:r>
      <w:r w:rsidR="000A5329" w:rsidRPr="002029AF">
        <w:t xml:space="preserve"> </w:t>
      </w:r>
      <w:r w:rsidRPr="002029AF">
        <w:t>regular</w:t>
      </w:r>
      <w:r w:rsidR="000A5329" w:rsidRPr="002029AF">
        <w:t xml:space="preserve"> </w:t>
      </w:r>
      <w:r w:rsidRPr="002029AF">
        <w:t>basis,</w:t>
      </w:r>
      <w:r w:rsidR="000A5329" w:rsidRPr="002029AF">
        <w:t xml:space="preserve"> </w:t>
      </w:r>
      <w:r w:rsidRPr="002029AF">
        <w:t>as</w:t>
      </w:r>
      <w:r w:rsidR="000A5329" w:rsidRPr="002029AF">
        <w:t xml:space="preserve"> </w:t>
      </w:r>
      <w:r w:rsidRPr="002029AF">
        <w:t>well</w:t>
      </w:r>
      <w:r w:rsidR="000A5329" w:rsidRPr="002029AF">
        <w:t xml:space="preserve"> </w:t>
      </w:r>
      <w:r w:rsidRPr="002029AF">
        <w:t>as</w:t>
      </w:r>
      <w:r w:rsidR="000A5329" w:rsidRPr="002029AF">
        <w:t xml:space="preserve"> </w:t>
      </w:r>
      <w:r w:rsidRPr="002029AF">
        <w:t>non-monetary</w:t>
      </w:r>
      <w:r w:rsidR="000A5329" w:rsidRPr="002029AF">
        <w:t xml:space="preserve"> </w:t>
      </w:r>
      <w:r w:rsidRPr="002029AF">
        <w:t>benefits</w:t>
      </w:r>
      <w:r w:rsidR="000A5329" w:rsidRPr="002029AF">
        <w:t xml:space="preserve"> </w:t>
      </w:r>
      <w:r w:rsidRPr="002029AF">
        <w:t>such</w:t>
      </w:r>
      <w:r w:rsidR="000A5329" w:rsidRPr="002029AF">
        <w:t xml:space="preserve"> </w:t>
      </w:r>
      <w:r w:rsidRPr="002029AF">
        <w:t>as</w:t>
      </w:r>
      <w:r w:rsidR="000A5329" w:rsidRPr="002029AF">
        <w:t xml:space="preserve"> </w:t>
      </w:r>
      <w:r w:rsidRPr="002029AF">
        <w:t>allowances</w:t>
      </w:r>
      <w:r w:rsidR="000A5329" w:rsidRPr="002029AF">
        <w:t xml:space="preserve"> </w:t>
      </w:r>
      <w:r w:rsidRPr="002029AF">
        <w:t>and</w:t>
      </w:r>
      <w:r w:rsidR="000A5329" w:rsidRPr="002029AF">
        <w:t xml:space="preserve"> </w:t>
      </w:r>
      <w:r w:rsidRPr="002029AF">
        <w:t>free</w:t>
      </w:r>
      <w:r w:rsidR="000A5329" w:rsidRPr="002029AF">
        <w:t xml:space="preserve"> </w:t>
      </w:r>
      <w:r w:rsidRPr="002029AF">
        <w:t>or</w:t>
      </w:r>
      <w:r w:rsidR="000A5329" w:rsidRPr="002029AF">
        <w:t xml:space="preserve"> </w:t>
      </w:r>
      <w:r w:rsidRPr="002029AF">
        <w:t>subsidised</w:t>
      </w:r>
      <w:r w:rsidR="000A5329" w:rsidRPr="002029AF">
        <w:t xml:space="preserve"> </w:t>
      </w:r>
      <w:r w:rsidRPr="002029AF">
        <w:t>goods</w:t>
      </w:r>
      <w:r w:rsidR="000A5329" w:rsidRPr="002029AF">
        <w:t xml:space="preserve"> </w:t>
      </w:r>
      <w:r w:rsidRPr="002029AF">
        <w:t>or</w:t>
      </w:r>
      <w:r w:rsidR="000A5329" w:rsidRPr="002029AF">
        <w:t xml:space="preserve"> </w:t>
      </w:r>
      <w:r w:rsidRPr="002029AF">
        <w:t>services.</w:t>
      </w:r>
    </w:p>
    <w:p w14:paraId="1792A32D" w14:textId="4ECC40F4" w:rsidR="00087B91" w:rsidRPr="002029AF" w:rsidRDefault="00087B91" w:rsidP="00087B91">
      <w:pPr>
        <w:pStyle w:val="ARfinbody"/>
      </w:pPr>
      <w:r w:rsidRPr="002029AF">
        <w:rPr>
          <w:rStyle w:val="Strong"/>
        </w:rPr>
        <w:t>Post-employment</w:t>
      </w:r>
      <w:r w:rsidR="000A5329" w:rsidRPr="002029AF">
        <w:rPr>
          <w:rStyle w:val="Strong"/>
        </w:rPr>
        <w:t xml:space="preserve"> </w:t>
      </w:r>
      <w:r w:rsidRPr="002029AF">
        <w:rPr>
          <w:rStyle w:val="Strong"/>
        </w:rPr>
        <w:t>benefits</w:t>
      </w:r>
      <w:r w:rsidR="000A5329" w:rsidRPr="002029AF">
        <w:t xml:space="preserve"> </w:t>
      </w:r>
      <w:r w:rsidRPr="002029AF">
        <w:t>include</w:t>
      </w:r>
      <w:r w:rsidR="000A5329" w:rsidRPr="002029AF">
        <w:t xml:space="preserve"> </w:t>
      </w:r>
      <w:r w:rsidRPr="002029AF">
        <w:t>pensions</w:t>
      </w:r>
      <w:r w:rsidR="000A5329" w:rsidRPr="002029AF">
        <w:t xml:space="preserve"> </w:t>
      </w:r>
      <w:r w:rsidRPr="002029AF">
        <w:t>and</w:t>
      </w:r>
      <w:r w:rsidR="000A5329" w:rsidRPr="002029AF">
        <w:t xml:space="preserve"> </w:t>
      </w:r>
      <w:r w:rsidRPr="002029AF">
        <w:t>other</w:t>
      </w:r>
      <w:r w:rsidR="000A5329" w:rsidRPr="002029AF">
        <w:t xml:space="preserve"> </w:t>
      </w:r>
      <w:r w:rsidRPr="002029AF">
        <w:t>retirement</w:t>
      </w:r>
      <w:r w:rsidR="000A5329" w:rsidRPr="002029AF">
        <w:t xml:space="preserve"> </w:t>
      </w:r>
      <w:r w:rsidRPr="002029AF">
        <w:t>benefits</w:t>
      </w:r>
      <w:r w:rsidR="000A5329" w:rsidRPr="002029AF">
        <w:t xml:space="preserve"> </w:t>
      </w:r>
      <w:r w:rsidRPr="002029AF">
        <w:t>paid</w:t>
      </w:r>
      <w:r w:rsidR="000A5329" w:rsidRPr="002029AF">
        <w:t xml:space="preserve"> </w:t>
      </w:r>
      <w:r w:rsidRPr="002029AF">
        <w:t>or</w:t>
      </w:r>
      <w:r w:rsidR="000A5329" w:rsidRPr="002029AF">
        <w:t xml:space="preserve"> </w:t>
      </w:r>
      <w:r w:rsidRPr="002029AF">
        <w:t>payable</w:t>
      </w:r>
      <w:r w:rsidR="000A5329" w:rsidRPr="002029AF">
        <w:t xml:space="preserve"> </w:t>
      </w:r>
      <w:r w:rsidRPr="002029AF">
        <w:t>on</w:t>
      </w:r>
      <w:r w:rsidR="000A5329" w:rsidRPr="002029AF">
        <w:t xml:space="preserve"> </w:t>
      </w:r>
      <w:r w:rsidRPr="002029AF">
        <w:t>a</w:t>
      </w:r>
      <w:r w:rsidR="000A5329" w:rsidRPr="002029AF">
        <w:t xml:space="preserve"> </w:t>
      </w:r>
      <w:r w:rsidRPr="002029AF">
        <w:t>discrete</w:t>
      </w:r>
      <w:r w:rsidR="000A5329" w:rsidRPr="002029AF">
        <w:t xml:space="preserve"> </w:t>
      </w:r>
      <w:r w:rsidRPr="002029AF">
        <w:t>basis</w:t>
      </w:r>
      <w:r w:rsidR="000A5329" w:rsidRPr="002029AF">
        <w:t xml:space="preserve"> </w:t>
      </w:r>
      <w:r w:rsidRPr="002029AF">
        <w:t>when</w:t>
      </w:r>
      <w:r w:rsidR="000A5329" w:rsidRPr="002029AF">
        <w:t xml:space="preserve"> </w:t>
      </w:r>
      <w:r w:rsidRPr="002029AF">
        <w:t>employment</w:t>
      </w:r>
      <w:r w:rsidR="000A5329" w:rsidRPr="002029AF">
        <w:t xml:space="preserve"> </w:t>
      </w:r>
      <w:r w:rsidRPr="002029AF">
        <w:t>has</w:t>
      </w:r>
      <w:r w:rsidR="000A5329" w:rsidRPr="002029AF">
        <w:t xml:space="preserve"> </w:t>
      </w:r>
      <w:r w:rsidRPr="002029AF">
        <w:t>ceased.</w:t>
      </w:r>
    </w:p>
    <w:p w14:paraId="6F8AC12C" w14:textId="1638C5EB" w:rsidR="00087B91" w:rsidRPr="002029AF" w:rsidRDefault="00087B91" w:rsidP="00087B91">
      <w:pPr>
        <w:pStyle w:val="ARfinbody"/>
      </w:pPr>
      <w:r w:rsidRPr="002029AF">
        <w:rPr>
          <w:rStyle w:val="Strong"/>
        </w:rPr>
        <w:t>Other</w:t>
      </w:r>
      <w:r w:rsidR="000A5329" w:rsidRPr="002029AF">
        <w:rPr>
          <w:rStyle w:val="Strong"/>
        </w:rPr>
        <w:t xml:space="preserve"> </w:t>
      </w:r>
      <w:r w:rsidRPr="002029AF">
        <w:rPr>
          <w:rStyle w:val="Strong"/>
        </w:rPr>
        <w:t>long-term</w:t>
      </w:r>
      <w:r w:rsidR="000A5329" w:rsidRPr="002029AF">
        <w:rPr>
          <w:rStyle w:val="Strong"/>
        </w:rPr>
        <w:t xml:space="preserve"> </w:t>
      </w:r>
      <w:r w:rsidRPr="002029AF">
        <w:rPr>
          <w:rStyle w:val="Strong"/>
        </w:rPr>
        <w:t>benefits</w:t>
      </w:r>
      <w:r w:rsidR="000A5329" w:rsidRPr="002029AF">
        <w:t xml:space="preserve"> </w:t>
      </w:r>
      <w:r w:rsidRPr="002029AF">
        <w:t>include</w:t>
      </w:r>
      <w:r w:rsidR="000A5329" w:rsidRPr="002029AF">
        <w:t xml:space="preserve"> </w:t>
      </w:r>
      <w:r w:rsidRPr="002029AF">
        <w:t>long</w:t>
      </w:r>
      <w:r w:rsidR="000A5329" w:rsidRPr="002029AF">
        <w:t xml:space="preserve"> </w:t>
      </w:r>
      <w:r w:rsidRPr="002029AF">
        <w:t>service</w:t>
      </w:r>
      <w:r w:rsidR="000A5329" w:rsidRPr="002029AF">
        <w:t xml:space="preserve"> </w:t>
      </w:r>
      <w:r w:rsidRPr="002029AF">
        <w:t>leave,</w:t>
      </w:r>
      <w:r w:rsidR="000A5329" w:rsidRPr="002029AF">
        <w:t xml:space="preserve"> </w:t>
      </w:r>
      <w:r w:rsidRPr="002029AF">
        <w:t>other</w:t>
      </w:r>
      <w:r w:rsidR="000A5329" w:rsidRPr="002029AF">
        <w:t xml:space="preserve"> </w:t>
      </w:r>
      <w:r w:rsidRPr="002029AF">
        <w:t>long</w:t>
      </w:r>
      <w:r w:rsidR="000A5329" w:rsidRPr="002029AF">
        <w:t xml:space="preserve"> </w:t>
      </w:r>
      <w:r w:rsidRPr="002029AF">
        <w:t>service</w:t>
      </w:r>
      <w:r w:rsidR="000A5329" w:rsidRPr="002029AF">
        <w:t xml:space="preserve"> </w:t>
      </w:r>
      <w:r w:rsidRPr="002029AF">
        <w:t>benefit</w:t>
      </w:r>
      <w:r w:rsidR="000A5329" w:rsidRPr="002029AF">
        <w:t xml:space="preserve"> </w:t>
      </w:r>
      <w:r w:rsidRPr="002029AF">
        <w:t>or</w:t>
      </w:r>
      <w:r w:rsidR="000A5329" w:rsidRPr="002029AF">
        <w:t xml:space="preserve"> </w:t>
      </w:r>
      <w:r w:rsidRPr="002029AF">
        <w:t>deferred</w:t>
      </w:r>
      <w:r w:rsidR="000A5329" w:rsidRPr="002029AF">
        <w:t xml:space="preserve"> </w:t>
      </w:r>
      <w:r w:rsidRPr="002029AF">
        <w:t>compensation.</w:t>
      </w:r>
    </w:p>
    <w:p w14:paraId="3921AE4B" w14:textId="74EE617B" w:rsidR="00087B91" w:rsidRPr="002029AF" w:rsidRDefault="00087B91" w:rsidP="00087B91">
      <w:pPr>
        <w:pStyle w:val="ARfinbody"/>
      </w:pPr>
      <w:r w:rsidRPr="002029AF">
        <w:rPr>
          <w:rStyle w:val="Strong"/>
        </w:rPr>
        <w:t>Termination</w:t>
      </w:r>
      <w:r w:rsidR="000A5329" w:rsidRPr="002029AF">
        <w:rPr>
          <w:rStyle w:val="Strong"/>
        </w:rPr>
        <w:t xml:space="preserve"> </w:t>
      </w:r>
      <w:r w:rsidRPr="002029AF">
        <w:rPr>
          <w:rStyle w:val="Strong"/>
        </w:rPr>
        <w:t>benefits</w:t>
      </w:r>
      <w:r w:rsidR="000A5329" w:rsidRPr="002029AF">
        <w:t xml:space="preserve"> </w:t>
      </w:r>
      <w:r w:rsidRPr="002029AF">
        <w:t>include</w:t>
      </w:r>
      <w:r w:rsidR="000A5329" w:rsidRPr="002029AF">
        <w:t xml:space="preserve"> </w:t>
      </w:r>
      <w:r w:rsidRPr="002029AF">
        <w:t>termination</w:t>
      </w:r>
      <w:r w:rsidR="000A5329" w:rsidRPr="002029AF">
        <w:t xml:space="preserve"> </w:t>
      </w:r>
      <w:r w:rsidRPr="002029AF">
        <w:t>of</w:t>
      </w:r>
      <w:r w:rsidR="000A5329" w:rsidRPr="002029AF">
        <w:t xml:space="preserve"> </w:t>
      </w:r>
      <w:r w:rsidRPr="002029AF">
        <w:t>employment</w:t>
      </w:r>
      <w:r w:rsidR="000A5329" w:rsidRPr="002029AF">
        <w:t xml:space="preserve"> </w:t>
      </w:r>
      <w:r w:rsidRPr="002029AF">
        <w:t>payments,</w:t>
      </w:r>
      <w:r w:rsidR="000A5329" w:rsidRPr="002029AF">
        <w:t xml:space="preserve"> </w:t>
      </w:r>
      <w:r w:rsidRPr="002029AF">
        <w:t>such</w:t>
      </w:r>
      <w:r w:rsidR="000A5329" w:rsidRPr="002029AF">
        <w:t xml:space="preserve"> </w:t>
      </w:r>
      <w:r w:rsidRPr="002029AF">
        <w:t>as</w:t>
      </w:r>
      <w:r w:rsidR="000A5329" w:rsidRPr="002029AF">
        <w:t xml:space="preserve"> </w:t>
      </w:r>
      <w:r w:rsidRPr="002029AF">
        <w:t>severance</w:t>
      </w:r>
      <w:r w:rsidR="000A5329" w:rsidRPr="002029AF">
        <w:t xml:space="preserve"> </w:t>
      </w:r>
      <w:r w:rsidRPr="002029AF">
        <w:t>packages.</w:t>
      </w:r>
    </w:p>
    <w:p w14:paraId="5C285015" w14:textId="7383C384" w:rsidR="00087B91" w:rsidRPr="002029AF" w:rsidRDefault="00087B91" w:rsidP="00087B91">
      <w:pPr>
        <w:pStyle w:val="ARfinbodylargespace"/>
      </w:pPr>
      <w:r w:rsidRPr="002029AF">
        <w:rPr>
          <w:rStyle w:val="Strong"/>
        </w:rPr>
        <w:t>Share-based</w:t>
      </w:r>
      <w:r w:rsidR="000A5329" w:rsidRPr="002029AF">
        <w:rPr>
          <w:rStyle w:val="Strong"/>
        </w:rPr>
        <w:t xml:space="preserve"> </w:t>
      </w:r>
      <w:r w:rsidRPr="002029AF">
        <w:rPr>
          <w:rStyle w:val="Strong"/>
        </w:rPr>
        <w:t>payments</w:t>
      </w:r>
      <w:r w:rsidR="000A5329" w:rsidRPr="002029AF">
        <w:t xml:space="preserve"> </w:t>
      </w:r>
      <w:r w:rsidRPr="002029AF">
        <w:t>are</w:t>
      </w:r>
      <w:r w:rsidR="000A5329" w:rsidRPr="002029AF">
        <w:t xml:space="preserve"> </w:t>
      </w:r>
      <w:r w:rsidRPr="002029AF">
        <w:t>cash</w:t>
      </w:r>
      <w:r w:rsidR="000A5329" w:rsidRPr="002029AF">
        <w:t xml:space="preserve"> </w:t>
      </w:r>
      <w:r w:rsidRPr="002029AF">
        <w:t>or</w:t>
      </w:r>
      <w:r w:rsidR="000A5329" w:rsidRPr="002029AF">
        <w:t xml:space="preserve"> </w:t>
      </w:r>
      <w:r w:rsidRPr="002029AF">
        <w:t>other</w:t>
      </w:r>
      <w:r w:rsidR="000A5329" w:rsidRPr="002029AF">
        <w:t xml:space="preserve"> </w:t>
      </w:r>
      <w:r w:rsidRPr="002029AF">
        <w:t>assets</w:t>
      </w:r>
      <w:r w:rsidR="000A5329" w:rsidRPr="002029AF">
        <w:t xml:space="preserve"> </w:t>
      </w:r>
      <w:r w:rsidRPr="002029AF">
        <w:t>paid</w:t>
      </w:r>
      <w:r w:rsidR="000A5329" w:rsidRPr="002029AF">
        <w:t xml:space="preserve"> </w:t>
      </w:r>
      <w:r w:rsidRPr="002029AF">
        <w:t>or</w:t>
      </w:r>
      <w:r w:rsidR="000A5329" w:rsidRPr="002029AF">
        <w:t xml:space="preserve"> </w:t>
      </w:r>
      <w:r w:rsidRPr="002029AF">
        <w:t>payable</w:t>
      </w:r>
      <w:r w:rsidR="000A5329" w:rsidRPr="002029AF">
        <w:t xml:space="preserve"> </w:t>
      </w:r>
      <w:r w:rsidRPr="002029AF">
        <w:t>as</w:t>
      </w:r>
      <w:r w:rsidR="000A5329" w:rsidRPr="002029AF">
        <w:t xml:space="preserve"> </w:t>
      </w:r>
      <w:r w:rsidRPr="002029AF">
        <w:t>agreed</w:t>
      </w:r>
      <w:r w:rsidR="000A5329" w:rsidRPr="002029AF">
        <w:t xml:space="preserve"> </w:t>
      </w:r>
      <w:r w:rsidRPr="002029AF">
        <w:t>between</w:t>
      </w:r>
      <w:r w:rsidR="000A5329" w:rsidRPr="002029AF">
        <w:t xml:space="preserve"> </w:t>
      </w:r>
      <w:r w:rsidRPr="002029AF">
        <w:t>the</w:t>
      </w:r>
      <w:r w:rsidR="000A5329" w:rsidRPr="002029AF">
        <w:t xml:space="preserve"> </w:t>
      </w:r>
      <w:r w:rsidRPr="002029AF">
        <w:t>entity</w:t>
      </w:r>
      <w:r w:rsidR="000A5329" w:rsidRPr="002029AF">
        <w:t xml:space="preserve"> </w:t>
      </w:r>
      <w:r w:rsidRPr="002029AF">
        <w:t>and</w:t>
      </w:r>
      <w:r w:rsidR="000A5329" w:rsidRPr="002029AF">
        <w:t xml:space="preserve"> </w:t>
      </w:r>
      <w:r w:rsidRPr="002029AF">
        <w:t>the</w:t>
      </w:r>
      <w:r w:rsidR="000A5329" w:rsidRPr="002029AF">
        <w:t xml:space="preserve"> </w:t>
      </w:r>
      <w:r w:rsidRPr="002029AF">
        <w:t>employee,</w:t>
      </w:r>
      <w:r w:rsidR="000A5329" w:rsidRPr="002029AF">
        <w:t xml:space="preserve"> </w:t>
      </w:r>
      <w:r w:rsidRPr="002029AF">
        <w:t>provided</w:t>
      </w:r>
      <w:r w:rsidR="000A5329" w:rsidRPr="002029AF">
        <w:t xml:space="preserve"> </w:t>
      </w:r>
      <w:r w:rsidRPr="002029AF">
        <w:t>specific</w:t>
      </w:r>
      <w:r w:rsidR="000A5329" w:rsidRPr="002029AF">
        <w:t xml:space="preserve"> </w:t>
      </w:r>
      <w:r w:rsidRPr="002029AF">
        <w:t>vesting</w:t>
      </w:r>
      <w:r w:rsidR="000A5329" w:rsidRPr="002029AF">
        <w:t xml:space="preserve"> </w:t>
      </w:r>
      <w:r w:rsidRPr="002029AF">
        <w:t>conditions,</w:t>
      </w:r>
      <w:r w:rsidR="000A5329" w:rsidRPr="002029AF">
        <w:t xml:space="preserve"> </w:t>
      </w:r>
      <w:r w:rsidRPr="002029AF">
        <w:t>if</w:t>
      </w:r>
      <w:r w:rsidR="000A5329" w:rsidRPr="002029AF">
        <w:t xml:space="preserve"> </w:t>
      </w:r>
      <w:r w:rsidRPr="002029AF">
        <w:t>any,</w:t>
      </w:r>
      <w:r w:rsidR="000A5329" w:rsidRPr="002029AF">
        <w:t xml:space="preserve"> </w:t>
      </w:r>
      <w:r w:rsidRPr="002029AF">
        <w:t>are</w:t>
      </w:r>
      <w:r w:rsidR="000A5329" w:rsidRPr="002029AF">
        <w:t xml:space="preserve"> </w:t>
      </w:r>
      <w:r w:rsidRPr="002029AF">
        <w:t>met.</w:t>
      </w:r>
    </w:p>
    <w:tbl>
      <w:tblPr>
        <w:tblStyle w:val="TableGrid"/>
        <w:tblW w:w="9637" w:type="dxa"/>
        <w:tblLayout w:type="fixed"/>
        <w:tblLook w:val="06A0" w:firstRow="1" w:lastRow="0" w:firstColumn="1" w:lastColumn="0" w:noHBand="1" w:noVBand="1"/>
      </w:tblPr>
      <w:tblGrid>
        <w:gridCol w:w="7369"/>
        <w:gridCol w:w="1134"/>
        <w:gridCol w:w="1134"/>
      </w:tblGrid>
      <w:tr w:rsidR="00087B91" w:rsidRPr="002029AF" w14:paraId="343E7524" w14:textId="77777777" w:rsidTr="00FC2F9E">
        <w:trPr>
          <w:cnfStyle w:val="100000000000" w:firstRow="1" w:lastRow="0" w:firstColumn="0" w:lastColumn="0" w:oddVBand="0" w:evenVBand="0" w:oddHBand="0" w:evenHBand="0" w:firstRowFirstColumn="0" w:firstRowLastColumn="0" w:lastRowFirstColumn="0" w:lastRowLastColumn="0"/>
          <w:trHeight w:val="255"/>
          <w:tblHeader/>
        </w:trPr>
        <w:tc>
          <w:tcPr>
            <w:tcW w:w="7371" w:type="dxa"/>
            <w:vMerge w:val="restart"/>
            <w:hideMark/>
          </w:tcPr>
          <w:p w14:paraId="1195117F" w14:textId="02A9BCC7" w:rsidR="00087B91" w:rsidRPr="002029AF" w:rsidRDefault="00087B91" w:rsidP="00860E95">
            <w:pPr>
              <w:pStyle w:val="ARfintablecolhead"/>
            </w:pPr>
            <w:r w:rsidRPr="002029AF">
              <w:t>Remuneration</w:t>
            </w:r>
            <w:r w:rsidR="000A5329" w:rsidRPr="002029AF">
              <w:t xml:space="preserve"> </w:t>
            </w:r>
            <w:r w:rsidRPr="002029AF">
              <w:t>of</w:t>
            </w:r>
            <w:r w:rsidR="000A5329" w:rsidRPr="002029AF">
              <w:t xml:space="preserve"> </w:t>
            </w:r>
            <w:r w:rsidRPr="002029AF">
              <w:t>executive</w:t>
            </w:r>
            <w:r w:rsidR="000A5329" w:rsidRPr="002029AF">
              <w:t xml:space="preserve"> </w:t>
            </w:r>
            <w:r w:rsidRPr="002029AF">
              <w:t>officers</w:t>
            </w:r>
            <w:r w:rsidRPr="002029AF">
              <w:br/>
              <w:t>(including</w:t>
            </w:r>
            <w:r w:rsidR="000A5329" w:rsidRPr="002029AF">
              <w:t xml:space="preserve"> </w:t>
            </w:r>
            <w:r w:rsidRPr="002029AF">
              <w:t>Key</w:t>
            </w:r>
            <w:r w:rsidR="000A5329" w:rsidRPr="002029AF">
              <w:t xml:space="preserve"> </w:t>
            </w:r>
            <w:r w:rsidRPr="002029AF">
              <w:t>Management</w:t>
            </w:r>
            <w:r w:rsidR="000A5329" w:rsidRPr="002029AF">
              <w:t xml:space="preserve"> </w:t>
            </w:r>
            <w:r w:rsidRPr="002029AF">
              <w:t>Personnel</w:t>
            </w:r>
            <w:r w:rsidR="000A5329" w:rsidRPr="002029AF">
              <w:t xml:space="preserve"> </w:t>
            </w:r>
            <w:r w:rsidRPr="002029AF">
              <w:t>disclosed</w:t>
            </w:r>
            <w:r w:rsidR="000A5329" w:rsidRPr="002029AF">
              <w:t xml:space="preserve"> </w:t>
            </w:r>
            <w:r w:rsidRPr="002029AF">
              <w:t>in</w:t>
            </w:r>
            <w:r w:rsidR="000A5329" w:rsidRPr="002029AF">
              <w:t xml:space="preserve"> </w:t>
            </w:r>
            <w:r w:rsidRPr="002029AF">
              <w:t>Note</w:t>
            </w:r>
            <w:r w:rsidR="000A5329" w:rsidRPr="002029AF">
              <w:t xml:space="preserve"> </w:t>
            </w:r>
            <w:r w:rsidRPr="002029AF">
              <w:t>9.8)</w:t>
            </w:r>
          </w:p>
        </w:tc>
        <w:tc>
          <w:tcPr>
            <w:tcW w:w="1134" w:type="dxa"/>
            <w:gridSpan w:val="2"/>
            <w:hideMark/>
          </w:tcPr>
          <w:p w14:paraId="1ECCDCC7" w14:textId="76316FCE" w:rsidR="00087B91" w:rsidRPr="002029AF" w:rsidRDefault="00087B91" w:rsidP="00860E95">
            <w:pPr>
              <w:pStyle w:val="ARfintablecolheadcentre"/>
            </w:pPr>
            <w:r w:rsidRPr="002029AF">
              <w:t>Total</w:t>
            </w:r>
            <w:r w:rsidR="000A5329" w:rsidRPr="002029AF">
              <w:t xml:space="preserve"> </w:t>
            </w:r>
            <w:r w:rsidRPr="002029AF">
              <w:t>remuneration</w:t>
            </w:r>
          </w:p>
        </w:tc>
      </w:tr>
      <w:tr w:rsidR="00087B91" w:rsidRPr="002029AF" w14:paraId="3C5AFB6F" w14:textId="77777777" w:rsidTr="00FC2F9E">
        <w:trPr>
          <w:cnfStyle w:val="100000000000" w:firstRow="1" w:lastRow="0" w:firstColumn="0" w:lastColumn="0" w:oddVBand="0" w:evenVBand="0" w:oddHBand="0" w:evenHBand="0" w:firstRowFirstColumn="0" w:firstRowLastColumn="0" w:lastRowFirstColumn="0" w:lastRowLastColumn="0"/>
          <w:trHeight w:val="255"/>
          <w:tblHeader/>
        </w:trPr>
        <w:tc>
          <w:tcPr>
            <w:tcW w:w="7371" w:type="dxa"/>
            <w:vMerge/>
            <w:tcBorders>
              <w:bottom w:val="single" w:sz="4" w:space="0" w:color="auto"/>
            </w:tcBorders>
            <w:hideMark/>
          </w:tcPr>
          <w:p w14:paraId="5B20BE6B" w14:textId="77777777" w:rsidR="00087B91" w:rsidRPr="002029AF" w:rsidRDefault="00087B91" w:rsidP="00860E95">
            <w:pPr>
              <w:pStyle w:val="ARfintablecolhead"/>
            </w:pPr>
          </w:p>
        </w:tc>
        <w:tc>
          <w:tcPr>
            <w:tcW w:w="1134" w:type="dxa"/>
            <w:tcBorders>
              <w:bottom w:val="single" w:sz="4" w:space="0" w:color="auto"/>
            </w:tcBorders>
            <w:shd w:val="clear" w:color="auto" w:fill="E7E6E6"/>
            <w:hideMark/>
          </w:tcPr>
          <w:p w14:paraId="1235EEA2" w14:textId="77777777" w:rsidR="00087B91" w:rsidRPr="002029AF" w:rsidRDefault="00087B91" w:rsidP="00860E95">
            <w:pPr>
              <w:pStyle w:val="ARfintablecolheadright"/>
            </w:pPr>
            <w:r w:rsidRPr="002029AF">
              <w:t>2020</w:t>
            </w:r>
          </w:p>
          <w:p w14:paraId="3A107593" w14:textId="77777777" w:rsidR="00087B91" w:rsidRPr="002029AF" w:rsidRDefault="00087B91" w:rsidP="00860E95">
            <w:pPr>
              <w:pStyle w:val="ARfintablecolheadright"/>
            </w:pPr>
            <w:r w:rsidRPr="002029AF">
              <w:t>$M</w:t>
            </w:r>
          </w:p>
        </w:tc>
        <w:tc>
          <w:tcPr>
            <w:tcW w:w="1134" w:type="dxa"/>
            <w:tcBorders>
              <w:bottom w:val="single" w:sz="4" w:space="0" w:color="auto"/>
            </w:tcBorders>
            <w:hideMark/>
          </w:tcPr>
          <w:p w14:paraId="247B4F23" w14:textId="77777777" w:rsidR="00087B91" w:rsidRPr="002029AF" w:rsidRDefault="00087B91" w:rsidP="00860E95">
            <w:pPr>
              <w:pStyle w:val="ARfintablecolheadright"/>
            </w:pPr>
            <w:r w:rsidRPr="002029AF">
              <w:t>2019</w:t>
            </w:r>
          </w:p>
          <w:p w14:paraId="2997B72D" w14:textId="77777777" w:rsidR="00087B91" w:rsidRPr="002029AF" w:rsidRDefault="00087B91" w:rsidP="00860E95">
            <w:pPr>
              <w:pStyle w:val="ARfintablecolheadright"/>
            </w:pPr>
            <w:r w:rsidRPr="002029AF">
              <w:t>$M</w:t>
            </w:r>
          </w:p>
        </w:tc>
      </w:tr>
      <w:tr w:rsidR="00087B91" w:rsidRPr="002029AF" w14:paraId="543C98EA" w14:textId="77777777" w:rsidTr="00860E95">
        <w:trPr>
          <w:trHeight w:val="255"/>
        </w:trPr>
        <w:tc>
          <w:tcPr>
            <w:tcW w:w="7371" w:type="dxa"/>
            <w:tcBorders>
              <w:top w:val="single" w:sz="4" w:space="0" w:color="auto"/>
              <w:bottom w:val="single" w:sz="4" w:space="0" w:color="A6A6A6"/>
            </w:tcBorders>
            <w:hideMark/>
          </w:tcPr>
          <w:p w14:paraId="096CB31C" w14:textId="065E21A3" w:rsidR="00087B91" w:rsidRPr="002029AF" w:rsidRDefault="00087B91" w:rsidP="00860E95">
            <w:pPr>
              <w:pStyle w:val="ARfintablebody"/>
            </w:pPr>
            <w:r w:rsidRPr="002029AF">
              <w:t>Short-term</w:t>
            </w:r>
            <w:r w:rsidR="000A5329" w:rsidRPr="002029AF">
              <w:t xml:space="preserve"> </w:t>
            </w:r>
            <w:r w:rsidRPr="002029AF">
              <w:t>employee</w:t>
            </w:r>
            <w:r w:rsidR="000A5329" w:rsidRPr="002029AF">
              <w:t xml:space="preserve"> </w:t>
            </w:r>
            <w:r w:rsidRPr="002029AF">
              <w:t>benefits</w:t>
            </w:r>
          </w:p>
        </w:tc>
        <w:tc>
          <w:tcPr>
            <w:tcW w:w="1134" w:type="dxa"/>
            <w:tcBorders>
              <w:top w:val="single" w:sz="4" w:space="0" w:color="auto"/>
              <w:bottom w:val="single" w:sz="4" w:space="0" w:color="A6A6A6"/>
            </w:tcBorders>
            <w:shd w:val="clear" w:color="auto" w:fill="E7E6E6"/>
            <w:noWrap/>
            <w:hideMark/>
          </w:tcPr>
          <w:p w14:paraId="2A1FEE39" w14:textId="77777777" w:rsidR="00087B91" w:rsidRPr="002029AF" w:rsidRDefault="00087B91" w:rsidP="00860E95">
            <w:pPr>
              <w:pStyle w:val="ARfintablebodyright"/>
            </w:pPr>
            <w:r w:rsidRPr="002029AF">
              <w:t>47.6</w:t>
            </w:r>
          </w:p>
        </w:tc>
        <w:tc>
          <w:tcPr>
            <w:tcW w:w="1134" w:type="dxa"/>
            <w:tcBorders>
              <w:top w:val="single" w:sz="4" w:space="0" w:color="auto"/>
              <w:bottom w:val="single" w:sz="4" w:space="0" w:color="A6A6A6"/>
            </w:tcBorders>
            <w:noWrap/>
            <w:hideMark/>
          </w:tcPr>
          <w:p w14:paraId="2602CB43" w14:textId="77777777" w:rsidR="00087B91" w:rsidRPr="002029AF" w:rsidRDefault="00087B91" w:rsidP="00860E95">
            <w:pPr>
              <w:pStyle w:val="ARfintablebodyright"/>
            </w:pPr>
            <w:r w:rsidRPr="002029AF">
              <w:t>42.3</w:t>
            </w:r>
          </w:p>
        </w:tc>
      </w:tr>
      <w:tr w:rsidR="00087B91" w:rsidRPr="002029AF" w14:paraId="0C29C7B4" w14:textId="77777777" w:rsidTr="00860E95">
        <w:trPr>
          <w:trHeight w:val="255"/>
        </w:trPr>
        <w:tc>
          <w:tcPr>
            <w:tcW w:w="7371" w:type="dxa"/>
            <w:tcBorders>
              <w:top w:val="single" w:sz="4" w:space="0" w:color="A6A6A6"/>
              <w:bottom w:val="single" w:sz="4" w:space="0" w:color="A6A6A6"/>
            </w:tcBorders>
            <w:hideMark/>
          </w:tcPr>
          <w:p w14:paraId="33C31F1A" w14:textId="1624D26F" w:rsidR="00087B91" w:rsidRPr="002029AF" w:rsidRDefault="00087B91" w:rsidP="00860E95">
            <w:pPr>
              <w:pStyle w:val="ARfintablebody"/>
            </w:pPr>
            <w:r w:rsidRPr="002029AF">
              <w:t>Post-employment</w:t>
            </w:r>
            <w:r w:rsidR="000A5329" w:rsidRPr="002029AF">
              <w:t xml:space="preserve"> </w:t>
            </w:r>
            <w:r w:rsidRPr="002029AF">
              <w:t>benefits</w:t>
            </w:r>
          </w:p>
        </w:tc>
        <w:tc>
          <w:tcPr>
            <w:tcW w:w="1134" w:type="dxa"/>
            <w:tcBorders>
              <w:top w:val="single" w:sz="4" w:space="0" w:color="A6A6A6"/>
              <w:bottom w:val="single" w:sz="4" w:space="0" w:color="A6A6A6"/>
            </w:tcBorders>
            <w:shd w:val="clear" w:color="auto" w:fill="E7E6E6"/>
            <w:noWrap/>
            <w:hideMark/>
          </w:tcPr>
          <w:p w14:paraId="5F8CF6F8" w14:textId="77777777" w:rsidR="00087B91" w:rsidRPr="002029AF" w:rsidRDefault="00087B91" w:rsidP="00860E95">
            <w:pPr>
              <w:pStyle w:val="ARfintablebodyright"/>
            </w:pPr>
            <w:r w:rsidRPr="002029AF">
              <w:t>4.1</w:t>
            </w:r>
          </w:p>
        </w:tc>
        <w:tc>
          <w:tcPr>
            <w:tcW w:w="1134" w:type="dxa"/>
            <w:tcBorders>
              <w:top w:val="single" w:sz="4" w:space="0" w:color="A6A6A6"/>
              <w:bottom w:val="single" w:sz="4" w:space="0" w:color="A6A6A6"/>
            </w:tcBorders>
            <w:noWrap/>
            <w:hideMark/>
          </w:tcPr>
          <w:p w14:paraId="3DEB6FB8" w14:textId="77777777" w:rsidR="00087B91" w:rsidRPr="002029AF" w:rsidRDefault="00087B91" w:rsidP="00860E95">
            <w:pPr>
              <w:pStyle w:val="ARfintablebodyright"/>
            </w:pPr>
            <w:r w:rsidRPr="002029AF">
              <w:t>3.7</w:t>
            </w:r>
          </w:p>
        </w:tc>
      </w:tr>
      <w:tr w:rsidR="00087B91" w:rsidRPr="002029AF" w14:paraId="55233A0D" w14:textId="77777777" w:rsidTr="00860E95">
        <w:trPr>
          <w:trHeight w:val="255"/>
        </w:trPr>
        <w:tc>
          <w:tcPr>
            <w:tcW w:w="7371" w:type="dxa"/>
            <w:tcBorders>
              <w:top w:val="single" w:sz="4" w:space="0" w:color="A6A6A6"/>
              <w:bottom w:val="single" w:sz="4" w:space="0" w:color="A6A6A6"/>
            </w:tcBorders>
            <w:hideMark/>
          </w:tcPr>
          <w:p w14:paraId="39DF0069" w14:textId="7D1F257F" w:rsidR="00087B91" w:rsidRPr="002029AF" w:rsidRDefault="00087B91" w:rsidP="00860E95">
            <w:pPr>
              <w:pStyle w:val="ARfintablebody"/>
            </w:pPr>
            <w:r w:rsidRPr="002029AF">
              <w:t>Other</w:t>
            </w:r>
            <w:r w:rsidR="000A5329" w:rsidRPr="002029AF">
              <w:t xml:space="preserve"> </w:t>
            </w:r>
            <w:r w:rsidRPr="002029AF">
              <w:t>long-term</w:t>
            </w:r>
            <w:r w:rsidR="000A5329" w:rsidRPr="002029AF">
              <w:t xml:space="preserve"> </w:t>
            </w:r>
            <w:r w:rsidRPr="002029AF">
              <w:t>benefits</w:t>
            </w:r>
          </w:p>
        </w:tc>
        <w:tc>
          <w:tcPr>
            <w:tcW w:w="1134" w:type="dxa"/>
            <w:tcBorders>
              <w:top w:val="single" w:sz="4" w:space="0" w:color="A6A6A6"/>
              <w:bottom w:val="single" w:sz="4" w:space="0" w:color="A6A6A6"/>
            </w:tcBorders>
            <w:shd w:val="clear" w:color="auto" w:fill="E7E6E6"/>
            <w:noWrap/>
            <w:hideMark/>
          </w:tcPr>
          <w:p w14:paraId="3B1F8294" w14:textId="77777777" w:rsidR="00087B91" w:rsidRPr="002029AF" w:rsidRDefault="00087B91" w:rsidP="00860E95">
            <w:pPr>
              <w:pStyle w:val="ARfintablebodyright"/>
            </w:pPr>
            <w:r w:rsidRPr="002029AF">
              <w:t>1.2</w:t>
            </w:r>
          </w:p>
        </w:tc>
        <w:tc>
          <w:tcPr>
            <w:tcW w:w="1134" w:type="dxa"/>
            <w:tcBorders>
              <w:top w:val="single" w:sz="4" w:space="0" w:color="A6A6A6"/>
              <w:bottom w:val="single" w:sz="4" w:space="0" w:color="A6A6A6"/>
            </w:tcBorders>
            <w:noWrap/>
            <w:hideMark/>
          </w:tcPr>
          <w:p w14:paraId="42E137B7" w14:textId="77777777" w:rsidR="00087B91" w:rsidRPr="002029AF" w:rsidRDefault="00087B91" w:rsidP="00860E95">
            <w:pPr>
              <w:pStyle w:val="ARfintablebodyright"/>
            </w:pPr>
            <w:r w:rsidRPr="002029AF">
              <w:t>1.0</w:t>
            </w:r>
          </w:p>
        </w:tc>
      </w:tr>
      <w:tr w:rsidR="00087B91" w:rsidRPr="002029AF" w14:paraId="51B305DA" w14:textId="77777777" w:rsidTr="00860E95">
        <w:trPr>
          <w:trHeight w:val="255"/>
        </w:trPr>
        <w:tc>
          <w:tcPr>
            <w:tcW w:w="7371" w:type="dxa"/>
            <w:tcBorders>
              <w:top w:val="single" w:sz="4" w:space="0" w:color="A6A6A6"/>
              <w:bottom w:val="single" w:sz="4" w:space="0" w:color="A6A6A6"/>
            </w:tcBorders>
            <w:hideMark/>
          </w:tcPr>
          <w:p w14:paraId="4376E501" w14:textId="0B590B76" w:rsidR="00087B91" w:rsidRPr="002029AF" w:rsidRDefault="00087B91" w:rsidP="00860E95">
            <w:pPr>
              <w:pStyle w:val="ARfintablebody"/>
            </w:pPr>
            <w:r w:rsidRPr="002029AF">
              <w:t>Termination</w:t>
            </w:r>
            <w:r w:rsidR="000A5329" w:rsidRPr="002029AF">
              <w:t xml:space="preserve"> </w:t>
            </w:r>
            <w:r w:rsidRPr="002029AF">
              <w:t>benefits</w:t>
            </w:r>
          </w:p>
        </w:tc>
        <w:tc>
          <w:tcPr>
            <w:tcW w:w="1134" w:type="dxa"/>
            <w:tcBorders>
              <w:top w:val="single" w:sz="4" w:space="0" w:color="A6A6A6"/>
              <w:bottom w:val="single" w:sz="4" w:space="0" w:color="A6A6A6"/>
            </w:tcBorders>
            <w:shd w:val="clear" w:color="auto" w:fill="E7E6E6"/>
            <w:noWrap/>
            <w:hideMark/>
          </w:tcPr>
          <w:p w14:paraId="433C40DD" w14:textId="77777777" w:rsidR="00087B91" w:rsidRPr="002029AF" w:rsidRDefault="00087B91" w:rsidP="00860E95">
            <w:pPr>
              <w:pStyle w:val="ARfintablebodyright"/>
            </w:pPr>
            <w:r w:rsidRPr="002029AF">
              <w:t>0.3</w:t>
            </w:r>
          </w:p>
        </w:tc>
        <w:tc>
          <w:tcPr>
            <w:tcW w:w="1134" w:type="dxa"/>
            <w:tcBorders>
              <w:top w:val="single" w:sz="4" w:space="0" w:color="A6A6A6"/>
              <w:bottom w:val="single" w:sz="4" w:space="0" w:color="A6A6A6"/>
            </w:tcBorders>
            <w:noWrap/>
            <w:hideMark/>
          </w:tcPr>
          <w:p w14:paraId="79912E88" w14:textId="77777777" w:rsidR="00087B91" w:rsidRPr="002029AF" w:rsidRDefault="00087B91" w:rsidP="00860E95">
            <w:pPr>
              <w:pStyle w:val="ARfintablebodyright"/>
            </w:pPr>
            <w:r w:rsidRPr="002029AF">
              <w:t>0.2</w:t>
            </w:r>
          </w:p>
        </w:tc>
      </w:tr>
      <w:tr w:rsidR="00087B91" w:rsidRPr="002029AF" w14:paraId="273B9703" w14:textId="77777777" w:rsidTr="00860E95">
        <w:trPr>
          <w:trHeight w:val="255"/>
        </w:trPr>
        <w:tc>
          <w:tcPr>
            <w:tcW w:w="7371" w:type="dxa"/>
            <w:tcBorders>
              <w:top w:val="single" w:sz="4" w:space="0" w:color="A6A6A6"/>
            </w:tcBorders>
            <w:hideMark/>
          </w:tcPr>
          <w:p w14:paraId="5BF44C24" w14:textId="5195EBB4" w:rsidR="00087B91" w:rsidRPr="002029AF" w:rsidRDefault="00087B91" w:rsidP="00860E95">
            <w:pPr>
              <w:pStyle w:val="ARfintablebody"/>
            </w:pPr>
            <w:r w:rsidRPr="002029AF">
              <w:t>Share-based</w:t>
            </w:r>
            <w:r w:rsidR="000A5329" w:rsidRPr="002029AF">
              <w:t xml:space="preserve"> </w:t>
            </w:r>
            <w:r w:rsidRPr="002029AF">
              <w:t>payments</w:t>
            </w:r>
          </w:p>
        </w:tc>
        <w:tc>
          <w:tcPr>
            <w:tcW w:w="1134" w:type="dxa"/>
            <w:tcBorders>
              <w:top w:val="single" w:sz="4" w:space="0" w:color="A6A6A6"/>
            </w:tcBorders>
            <w:shd w:val="clear" w:color="auto" w:fill="E7E6E6"/>
            <w:noWrap/>
            <w:hideMark/>
          </w:tcPr>
          <w:p w14:paraId="4619FA03" w14:textId="77777777" w:rsidR="00087B91" w:rsidRPr="002029AF" w:rsidRDefault="00087B91" w:rsidP="00860E95">
            <w:pPr>
              <w:pStyle w:val="ARfintablebodyright"/>
            </w:pPr>
            <w:r w:rsidRPr="002029AF">
              <w:t>–</w:t>
            </w:r>
          </w:p>
        </w:tc>
        <w:tc>
          <w:tcPr>
            <w:tcW w:w="1134" w:type="dxa"/>
            <w:tcBorders>
              <w:top w:val="single" w:sz="4" w:space="0" w:color="A6A6A6"/>
            </w:tcBorders>
            <w:noWrap/>
            <w:hideMark/>
          </w:tcPr>
          <w:p w14:paraId="6D99255F" w14:textId="77777777" w:rsidR="00087B91" w:rsidRPr="002029AF" w:rsidRDefault="00087B91" w:rsidP="00860E95">
            <w:pPr>
              <w:pStyle w:val="ARfintablebodyright"/>
            </w:pPr>
            <w:r w:rsidRPr="002029AF">
              <w:t>–</w:t>
            </w:r>
          </w:p>
        </w:tc>
      </w:tr>
      <w:tr w:rsidR="00087B91" w:rsidRPr="002029AF" w14:paraId="0CF2D94C" w14:textId="77777777" w:rsidTr="00860E95">
        <w:trPr>
          <w:trHeight w:val="255"/>
        </w:trPr>
        <w:tc>
          <w:tcPr>
            <w:tcW w:w="7371" w:type="dxa"/>
            <w:hideMark/>
          </w:tcPr>
          <w:p w14:paraId="341D1E57" w14:textId="73281DB5" w:rsidR="00087B91" w:rsidRPr="002029AF" w:rsidRDefault="00087B91" w:rsidP="00860E95">
            <w:pPr>
              <w:pStyle w:val="ARfintablebodybold"/>
            </w:pPr>
            <w:r w:rsidRPr="002029AF">
              <w:t>Total</w:t>
            </w:r>
            <w:r w:rsidR="000A5329" w:rsidRPr="002029AF">
              <w:t xml:space="preserve"> </w:t>
            </w:r>
            <w:r w:rsidRPr="002029AF">
              <w:t>remuneration</w:t>
            </w:r>
          </w:p>
        </w:tc>
        <w:tc>
          <w:tcPr>
            <w:tcW w:w="1134" w:type="dxa"/>
            <w:shd w:val="clear" w:color="auto" w:fill="E7E6E6"/>
            <w:noWrap/>
            <w:hideMark/>
          </w:tcPr>
          <w:p w14:paraId="5C21B7AF" w14:textId="77777777" w:rsidR="00087B91" w:rsidRPr="002029AF" w:rsidRDefault="00087B91" w:rsidP="00860E95">
            <w:pPr>
              <w:pStyle w:val="ARfintablebodyrightbold"/>
            </w:pPr>
            <w:r w:rsidRPr="002029AF">
              <w:t>53.2</w:t>
            </w:r>
          </w:p>
        </w:tc>
        <w:tc>
          <w:tcPr>
            <w:tcW w:w="1134" w:type="dxa"/>
            <w:noWrap/>
            <w:hideMark/>
          </w:tcPr>
          <w:p w14:paraId="1490AABD" w14:textId="77777777" w:rsidR="00087B91" w:rsidRPr="002029AF" w:rsidRDefault="00087B91" w:rsidP="00860E95">
            <w:pPr>
              <w:pStyle w:val="ARfintablebodyrightbold"/>
            </w:pPr>
            <w:r w:rsidRPr="002029AF">
              <w:t>47.2</w:t>
            </w:r>
          </w:p>
        </w:tc>
      </w:tr>
      <w:tr w:rsidR="00087B91" w:rsidRPr="002029AF" w14:paraId="2CD06FC6" w14:textId="77777777" w:rsidTr="00860E95">
        <w:trPr>
          <w:trHeight w:val="255"/>
        </w:trPr>
        <w:tc>
          <w:tcPr>
            <w:tcW w:w="7371" w:type="dxa"/>
            <w:hideMark/>
          </w:tcPr>
          <w:p w14:paraId="5B86FAC5" w14:textId="0403049B" w:rsidR="00087B91" w:rsidRPr="002029AF" w:rsidRDefault="00087B91" w:rsidP="00860E95">
            <w:pPr>
              <w:pStyle w:val="ARfintablebodybold"/>
            </w:pPr>
            <w:r w:rsidRPr="002029AF">
              <w:t>Total</w:t>
            </w:r>
            <w:r w:rsidR="000A5329" w:rsidRPr="002029AF">
              <w:t xml:space="preserve"> </w:t>
            </w:r>
            <w:r w:rsidRPr="002029AF">
              <w:t>number</w:t>
            </w:r>
            <w:r w:rsidR="000A5329" w:rsidRPr="002029AF">
              <w:t xml:space="preserve"> </w:t>
            </w:r>
            <w:r w:rsidRPr="002029AF">
              <w:t>of</w:t>
            </w:r>
            <w:r w:rsidR="000A5329" w:rsidRPr="002029AF">
              <w:t xml:space="preserve"> </w:t>
            </w:r>
            <w:r w:rsidRPr="002029AF">
              <w:t>executives</w:t>
            </w:r>
            <w:r w:rsidR="000A5329" w:rsidRPr="002029AF">
              <w:t xml:space="preserve"> </w:t>
            </w:r>
            <w:r w:rsidRPr="002029AF">
              <w:rPr>
                <w:rStyle w:val="Superscript"/>
              </w:rPr>
              <w:t>(i)</w:t>
            </w:r>
          </w:p>
        </w:tc>
        <w:tc>
          <w:tcPr>
            <w:tcW w:w="1134" w:type="dxa"/>
            <w:shd w:val="clear" w:color="auto" w:fill="E7E6E6"/>
            <w:noWrap/>
            <w:hideMark/>
          </w:tcPr>
          <w:p w14:paraId="644F4050" w14:textId="77777777" w:rsidR="00087B91" w:rsidRPr="002029AF" w:rsidRDefault="00087B91" w:rsidP="00860E95">
            <w:pPr>
              <w:pStyle w:val="ARfintablebodyrightbold"/>
            </w:pPr>
            <w:r w:rsidRPr="002029AF">
              <w:t>288</w:t>
            </w:r>
          </w:p>
        </w:tc>
        <w:tc>
          <w:tcPr>
            <w:tcW w:w="1134" w:type="dxa"/>
            <w:noWrap/>
            <w:hideMark/>
          </w:tcPr>
          <w:p w14:paraId="4F633AB7" w14:textId="77777777" w:rsidR="00087B91" w:rsidRPr="002029AF" w:rsidRDefault="00087B91" w:rsidP="00860E95">
            <w:pPr>
              <w:pStyle w:val="ARfintablebodyrightbold"/>
            </w:pPr>
            <w:r w:rsidRPr="002029AF">
              <w:t>252</w:t>
            </w:r>
          </w:p>
        </w:tc>
      </w:tr>
      <w:tr w:rsidR="00087B91" w:rsidRPr="002029AF" w14:paraId="07DCBA24" w14:textId="77777777" w:rsidTr="00860E95">
        <w:trPr>
          <w:trHeight w:val="255"/>
        </w:trPr>
        <w:tc>
          <w:tcPr>
            <w:tcW w:w="7371" w:type="dxa"/>
            <w:hideMark/>
          </w:tcPr>
          <w:p w14:paraId="535CCAFB" w14:textId="696F2F38" w:rsidR="00087B91" w:rsidRPr="002029AF" w:rsidRDefault="00087B91" w:rsidP="00860E95">
            <w:pPr>
              <w:pStyle w:val="ARfintablebodybold"/>
            </w:pPr>
            <w:r w:rsidRPr="002029AF">
              <w:t>Total</w:t>
            </w:r>
            <w:r w:rsidR="000A5329" w:rsidRPr="002029AF">
              <w:t xml:space="preserve"> </w:t>
            </w:r>
            <w:r w:rsidRPr="002029AF">
              <w:t>annualised</w:t>
            </w:r>
            <w:r w:rsidR="000A5329" w:rsidRPr="002029AF">
              <w:t xml:space="preserve"> </w:t>
            </w:r>
            <w:r w:rsidRPr="002029AF">
              <w:t>employee</w:t>
            </w:r>
            <w:r w:rsidR="000A5329" w:rsidRPr="002029AF">
              <w:t xml:space="preserve"> </w:t>
            </w:r>
            <w:r w:rsidRPr="002029AF">
              <w:t>equivalent</w:t>
            </w:r>
            <w:r w:rsidR="000A5329" w:rsidRPr="002029AF">
              <w:t xml:space="preserve"> </w:t>
            </w:r>
            <w:r w:rsidRPr="002029AF">
              <w:t>(AEE)</w:t>
            </w:r>
            <w:r w:rsidR="000A5329" w:rsidRPr="002029AF">
              <w:t xml:space="preserve"> </w:t>
            </w:r>
            <w:r w:rsidRPr="002029AF">
              <w:rPr>
                <w:rStyle w:val="Superscript"/>
              </w:rPr>
              <w:t>(ii)</w:t>
            </w:r>
          </w:p>
        </w:tc>
        <w:tc>
          <w:tcPr>
            <w:tcW w:w="1134" w:type="dxa"/>
            <w:shd w:val="clear" w:color="auto" w:fill="E7E6E6"/>
            <w:noWrap/>
            <w:hideMark/>
          </w:tcPr>
          <w:p w14:paraId="29E3E709" w14:textId="77777777" w:rsidR="00087B91" w:rsidRPr="002029AF" w:rsidRDefault="00087B91" w:rsidP="00860E95">
            <w:pPr>
              <w:pStyle w:val="ARfintablebodyrightbold"/>
            </w:pPr>
            <w:r w:rsidRPr="002029AF">
              <w:t>228.6</w:t>
            </w:r>
          </w:p>
        </w:tc>
        <w:tc>
          <w:tcPr>
            <w:tcW w:w="1134" w:type="dxa"/>
            <w:noWrap/>
            <w:hideMark/>
          </w:tcPr>
          <w:p w14:paraId="272314AB" w14:textId="77777777" w:rsidR="00087B91" w:rsidRPr="002029AF" w:rsidRDefault="00087B91" w:rsidP="00860E95">
            <w:pPr>
              <w:pStyle w:val="ARfintablebodyrightbold"/>
            </w:pPr>
            <w:r w:rsidRPr="002029AF">
              <w:t>207.6</w:t>
            </w:r>
          </w:p>
        </w:tc>
      </w:tr>
    </w:tbl>
    <w:p w14:paraId="39DDBEA3" w14:textId="77777777" w:rsidR="00087B91" w:rsidRPr="002029AF" w:rsidRDefault="00087B91" w:rsidP="00087B91">
      <w:pPr>
        <w:pStyle w:val="ARfintablefootnote"/>
        <w:rPr>
          <w:lang w:eastAsia="en-AU"/>
        </w:rPr>
      </w:pPr>
      <w:r w:rsidRPr="002029AF">
        <w:rPr>
          <w:lang w:eastAsia="en-AU"/>
        </w:rPr>
        <w:t>Notes:</w:t>
      </w:r>
    </w:p>
    <w:p w14:paraId="0AE7389A" w14:textId="567F8B76" w:rsidR="00087B91" w:rsidRPr="002029AF" w:rsidRDefault="00087B91" w:rsidP="00087B91">
      <w:pPr>
        <w:pStyle w:val="ARfintablefootnoteindent"/>
      </w:pPr>
      <w:r w:rsidRPr="002029AF">
        <w:t>(i)</w:t>
      </w:r>
      <w:r w:rsidRPr="002029AF">
        <w:tab/>
        <w:t>The</w:t>
      </w:r>
      <w:r w:rsidR="000A5329" w:rsidRPr="002029AF">
        <w:t xml:space="preserve"> </w:t>
      </w:r>
      <w:r w:rsidRPr="002029AF">
        <w:t>total</w:t>
      </w:r>
      <w:r w:rsidR="000A5329" w:rsidRPr="002029AF">
        <w:t xml:space="preserve"> </w:t>
      </w:r>
      <w:r w:rsidRPr="002029AF">
        <w:t>number</w:t>
      </w:r>
      <w:r w:rsidR="000A5329" w:rsidRPr="002029AF">
        <w:t xml:space="preserve"> </w:t>
      </w:r>
      <w:r w:rsidRPr="002029AF">
        <w:t>of</w:t>
      </w:r>
      <w:r w:rsidR="000A5329" w:rsidRPr="002029AF">
        <w:t xml:space="preserve"> </w:t>
      </w:r>
      <w:r w:rsidRPr="002029AF">
        <w:t>executive</w:t>
      </w:r>
      <w:r w:rsidR="000A5329" w:rsidRPr="002029AF">
        <w:t xml:space="preserve"> </w:t>
      </w:r>
      <w:r w:rsidRPr="002029AF">
        <w:t>officers</w:t>
      </w:r>
      <w:r w:rsidR="000A5329" w:rsidRPr="002029AF">
        <w:t xml:space="preserve"> </w:t>
      </w:r>
      <w:r w:rsidRPr="002029AF">
        <w:t>includes</w:t>
      </w:r>
      <w:r w:rsidR="000A5329" w:rsidRPr="002029AF">
        <w:t xml:space="preserve"> </w:t>
      </w:r>
      <w:r w:rsidRPr="002029AF">
        <w:t>persons</w:t>
      </w:r>
      <w:r w:rsidR="000A5329" w:rsidRPr="002029AF">
        <w:t xml:space="preserve"> </w:t>
      </w:r>
      <w:r w:rsidRPr="002029AF">
        <w:t>who</w:t>
      </w:r>
      <w:r w:rsidR="000A5329" w:rsidRPr="002029AF">
        <w:t xml:space="preserve"> </w:t>
      </w:r>
      <w:r w:rsidRPr="002029AF">
        <w:t>meet</w:t>
      </w:r>
      <w:r w:rsidR="000A5329" w:rsidRPr="002029AF">
        <w:t xml:space="preserve"> </w:t>
      </w:r>
      <w:r w:rsidRPr="002029AF">
        <w:t>the</w:t>
      </w:r>
      <w:r w:rsidR="000A5329" w:rsidRPr="002029AF">
        <w:t xml:space="preserve"> </w:t>
      </w:r>
      <w:r w:rsidRPr="002029AF">
        <w:t>definition</w:t>
      </w:r>
      <w:r w:rsidR="000A5329" w:rsidRPr="002029AF">
        <w:t xml:space="preserve"> </w:t>
      </w:r>
      <w:r w:rsidRPr="002029AF">
        <w:t>of</w:t>
      </w:r>
      <w:r w:rsidR="000A5329" w:rsidRPr="002029AF">
        <w:t xml:space="preserve"> </w:t>
      </w:r>
      <w:r w:rsidRPr="002029AF">
        <w:t>Key</w:t>
      </w:r>
      <w:r w:rsidR="000A5329" w:rsidRPr="002029AF">
        <w:t xml:space="preserve"> </w:t>
      </w:r>
      <w:r w:rsidRPr="002029AF">
        <w:t>Management</w:t>
      </w:r>
      <w:r w:rsidR="000A5329" w:rsidRPr="002029AF">
        <w:t xml:space="preserve"> </w:t>
      </w:r>
      <w:r w:rsidRPr="002029AF">
        <w:t>Personnel</w:t>
      </w:r>
      <w:r w:rsidR="000A5329" w:rsidRPr="002029AF">
        <w:t xml:space="preserve"> </w:t>
      </w:r>
      <w:r w:rsidRPr="002029AF">
        <w:t>(KMP)</w:t>
      </w:r>
      <w:r w:rsidR="000A5329" w:rsidRPr="002029AF">
        <w:t xml:space="preserve"> </w:t>
      </w:r>
      <w:r w:rsidRPr="002029AF">
        <w:t>of</w:t>
      </w:r>
      <w:r w:rsidR="000A5329" w:rsidRPr="002029AF">
        <w:t xml:space="preserve"> </w:t>
      </w:r>
      <w:r w:rsidRPr="002029AF">
        <w:t>the</w:t>
      </w:r>
      <w:r w:rsidR="000A5329" w:rsidRPr="002029AF">
        <w:t xml:space="preserve"> </w:t>
      </w:r>
      <w:r w:rsidRPr="002029AF">
        <w:t>entity</w:t>
      </w:r>
      <w:r w:rsidR="000A5329" w:rsidRPr="002029AF">
        <w:t xml:space="preserve"> </w:t>
      </w:r>
      <w:r w:rsidRPr="002029AF">
        <w:t>under</w:t>
      </w:r>
      <w:r w:rsidR="000A5329" w:rsidRPr="002029AF">
        <w:t xml:space="preserve"> </w:t>
      </w:r>
      <w:r w:rsidRPr="002029AF">
        <w:rPr>
          <w:rStyle w:val="Emphasis"/>
        </w:rPr>
        <w:t>AASB</w:t>
      </w:r>
      <w:r w:rsidR="000A5329" w:rsidRPr="002029AF">
        <w:rPr>
          <w:rStyle w:val="Emphasis"/>
        </w:rPr>
        <w:t xml:space="preserve"> </w:t>
      </w:r>
      <w:r w:rsidRPr="002029AF">
        <w:rPr>
          <w:rStyle w:val="Emphasis"/>
        </w:rPr>
        <w:t>124</w:t>
      </w:r>
      <w:r w:rsidR="000A5329" w:rsidRPr="002029AF">
        <w:rPr>
          <w:rStyle w:val="Emphasis"/>
        </w:rPr>
        <w:t xml:space="preserve"> </w:t>
      </w:r>
      <w:r w:rsidRPr="002029AF">
        <w:rPr>
          <w:rStyle w:val="Emphasis"/>
        </w:rPr>
        <w:t>Related</w:t>
      </w:r>
      <w:r w:rsidR="000A5329" w:rsidRPr="002029AF">
        <w:rPr>
          <w:rStyle w:val="Emphasis"/>
        </w:rPr>
        <w:t xml:space="preserve"> </w:t>
      </w:r>
      <w:r w:rsidRPr="002029AF">
        <w:rPr>
          <w:rStyle w:val="Emphasis"/>
        </w:rPr>
        <w:t>Party</w:t>
      </w:r>
      <w:r w:rsidR="000A5329" w:rsidRPr="002029AF">
        <w:rPr>
          <w:rStyle w:val="Emphasis"/>
        </w:rPr>
        <w:t xml:space="preserve"> </w:t>
      </w:r>
      <w:r w:rsidRPr="002029AF">
        <w:rPr>
          <w:rStyle w:val="Emphasis"/>
        </w:rPr>
        <w:t>Disclosures</w:t>
      </w:r>
      <w:r w:rsidR="000A5329" w:rsidRPr="002029AF">
        <w:t xml:space="preserve"> </w:t>
      </w:r>
      <w:r w:rsidRPr="002029AF">
        <w:t>and</w:t>
      </w:r>
      <w:r w:rsidR="000A5329" w:rsidRPr="002029AF">
        <w:t xml:space="preserve"> </w:t>
      </w:r>
      <w:r w:rsidRPr="002029AF">
        <w:t>are</w:t>
      </w:r>
      <w:r w:rsidR="000A5329" w:rsidRPr="002029AF">
        <w:t xml:space="preserve"> </w:t>
      </w:r>
      <w:r w:rsidRPr="002029AF">
        <w:t>also</w:t>
      </w:r>
      <w:r w:rsidR="000A5329" w:rsidRPr="002029AF">
        <w:t xml:space="preserve"> </w:t>
      </w:r>
      <w:r w:rsidRPr="002029AF">
        <w:t>reported</w:t>
      </w:r>
      <w:r w:rsidR="000A5329" w:rsidRPr="002029AF">
        <w:t xml:space="preserve"> </w:t>
      </w:r>
      <w:r w:rsidRPr="002029AF">
        <w:t>within</w:t>
      </w:r>
      <w:r w:rsidR="000A5329" w:rsidRPr="002029AF">
        <w:t xml:space="preserve"> </w:t>
      </w:r>
      <w:r w:rsidRPr="002029AF">
        <w:t>the</w:t>
      </w:r>
      <w:r w:rsidR="000A5329" w:rsidRPr="002029AF">
        <w:t xml:space="preserve"> </w:t>
      </w:r>
      <w:r w:rsidRPr="002029AF">
        <w:t>related</w:t>
      </w:r>
      <w:r w:rsidR="000A5329" w:rsidRPr="002029AF">
        <w:t xml:space="preserve"> </w:t>
      </w:r>
      <w:r w:rsidRPr="002029AF">
        <w:t>parties</w:t>
      </w:r>
      <w:r w:rsidR="000A5329" w:rsidRPr="002029AF">
        <w:t xml:space="preserve"> </w:t>
      </w:r>
      <w:r w:rsidRPr="002029AF">
        <w:t>note</w:t>
      </w:r>
      <w:r w:rsidR="000A5329" w:rsidRPr="002029AF">
        <w:t xml:space="preserve"> </w:t>
      </w:r>
      <w:r w:rsidRPr="002029AF">
        <w:t>disclosure</w:t>
      </w:r>
      <w:r w:rsidR="000A5329" w:rsidRPr="002029AF">
        <w:t xml:space="preserve"> </w:t>
      </w:r>
      <w:r w:rsidRPr="002029AF">
        <w:t>(Note</w:t>
      </w:r>
      <w:r w:rsidR="000A5329" w:rsidRPr="002029AF">
        <w:t xml:space="preserve"> </w:t>
      </w:r>
      <w:r w:rsidRPr="002029AF">
        <w:t>9.8).</w:t>
      </w:r>
    </w:p>
    <w:p w14:paraId="63732710" w14:textId="2CF7B3DB" w:rsidR="00087B91" w:rsidRPr="002029AF" w:rsidRDefault="00087B91" w:rsidP="00087B91">
      <w:pPr>
        <w:pStyle w:val="ARfintablefootnoteindent"/>
      </w:pPr>
      <w:r w:rsidRPr="002029AF">
        <w:t>(ii)</w:t>
      </w:r>
      <w:r w:rsidRPr="002029AF">
        <w:tab/>
        <w:t>Annualised</w:t>
      </w:r>
      <w:r w:rsidR="000A5329" w:rsidRPr="002029AF">
        <w:t xml:space="preserve"> </w:t>
      </w:r>
      <w:r w:rsidRPr="002029AF">
        <w:t>employee</w:t>
      </w:r>
      <w:r w:rsidR="000A5329" w:rsidRPr="002029AF">
        <w:t xml:space="preserve"> </w:t>
      </w:r>
      <w:r w:rsidRPr="002029AF">
        <w:t>equivalent</w:t>
      </w:r>
      <w:r w:rsidR="000A5329" w:rsidRPr="002029AF">
        <w:t xml:space="preserve"> </w:t>
      </w:r>
      <w:r w:rsidRPr="002029AF">
        <w:t>is</w:t>
      </w:r>
      <w:r w:rsidR="000A5329" w:rsidRPr="002029AF">
        <w:t xml:space="preserve"> </w:t>
      </w:r>
      <w:r w:rsidRPr="002029AF">
        <w:t>based</w:t>
      </w:r>
      <w:r w:rsidR="000A5329" w:rsidRPr="002029AF">
        <w:t xml:space="preserve"> </w:t>
      </w:r>
      <w:r w:rsidRPr="002029AF">
        <w:t>on</w:t>
      </w:r>
      <w:r w:rsidR="000A5329" w:rsidRPr="002029AF">
        <w:t xml:space="preserve"> </w:t>
      </w:r>
      <w:r w:rsidRPr="002029AF">
        <w:t>the</w:t>
      </w:r>
      <w:r w:rsidR="000A5329" w:rsidRPr="002029AF">
        <w:t xml:space="preserve"> </w:t>
      </w:r>
      <w:r w:rsidRPr="002029AF">
        <w:t>time</w:t>
      </w:r>
      <w:r w:rsidR="000A5329" w:rsidRPr="002029AF">
        <w:t xml:space="preserve"> </w:t>
      </w:r>
      <w:r w:rsidRPr="002029AF">
        <w:t>fraction</w:t>
      </w:r>
      <w:r w:rsidR="000A5329" w:rsidRPr="002029AF">
        <w:t xml:space="preserve"> </w:t>
      </w:r>
      <w:r w:rsidRPr="002029AF">
        <w:t>worked</w:t>
      </w:r>
      <w:r w:rsidR="000A5329" w:rsidRPr="002029AF">
        <w:t xml:space="preserve"> </w:t>
      </w:r>
      <w:r w:rsidRPr="002029AF">
        <w:t>over</w:t>
      </w:r>
      <w:r w:rsidR="000A5329" w:rsidRPr="002029AF">
        <w:t xml:space="preserve"> </w:t>
      </w:r>
      <w:r w:rsidRPr="002029AF">
        <w:t>the</w:t>
      </w:r>
      <w:r w:rsidR="000A5329" w:rsidRPr="002029AF">
        <w:t xml:space="preserve"> </w:t>
      </w:r>
      <w:r w:rsidRPr="002029AF">
        <w:t>reporting</w:t>
      </w:r>
      <w:r w:rsidR="000A5329" w:rsidRPr="002029AF">
        <w:t xml:space="preserve"> </w:t>
      </w:r>
      <w:r w:rsidRPr="002029AF">
        <w:t>period.</w:t>
      </w:r>
    </w:p>
    <w:p w14:paraId="53AE76B7" w14:textId="415E6ED6" w:rsidR="00087B91" w:rsidRPr="002029AF" w:rsidRDefault="00087B91" w:rsidP="00087B91">
      <w:pPr>
        <w:pStyle w:val="Heading4"/>
      </w:pPr>
      <w:bookmarkStart w:id="403" w:name="_Toc39242173"/>
      <w:r w:rsidRPr="002029AF">
        <w:t>9.8</w:t>
      </w:r>
      <w:r w:rsidR="000A5329" w:rsidRPr="002029AF">
        <w:t xml:space="preserve"> </w:t>
      </w:r>
      <w:r w:rsidRPr="002029AF">
        <w:t>Related</w:t>
      </w:r>
      <w:r w:rsidR="000A5329" w:rsidRPr="002029AF">
        <w:t xml:space="preserve"> </w:t>
      </w:r>
      <w:r w:rsidRPr="002029AF">
        <w:t>parties</w:t>
      </w:r>
      <w:bookmarkEnd w:id="403"/>
    </w:p>
    <w:p w14:paraId="670D2584" w14:textId="4975044E" w:rsidR="00087B91" w:rsidRPr="002029AF" w:rsidRDefault="00087B91" w:rsidP="00087B91">
      <w:pPr>
        <w:pStyle w:val="ARfinbody"/>
      </w:pPr>
      <w:r w:rsidRPr="002029AF">
        <w:t>The</w:t>
      </w:r>
      <w:r w:rsidR="000A5329" w:rsidRPr="002029AF">
        <w:t xml:space="preserve"> </w:t>
      </w:r>
      <w:r w:rsidRPr="002029AF">
        <w:t>department</w:t>
      </w:r>
      <w:r w:rsidR="000A5329" w:rsidRPr="002029AF">
        <w:t xml:space="preserve"> </w:t>
      </w:r>
      <w:r w:rsidRPr="002029AF">
        <w:t>is</w:t>
      </w:r>
      <w:r w:rsidR="000A5329" w:rsidRPr="002029AF">
        <w:t xml:space="preserve"> </w:t>
      </w:r>
      <w:r w:rsidRPr="002029AF">
        <w:t>a</w:t>
      </w:r>
      <w:r w:rsidR="000A5329" w:rsidRPr="002029AF">
        <w:t xml:space="preserve"> </w:t>
      </w:r>
      <w:r w:rsidRPr="002029AF">
        <w:t>wholly</w:t>
      </w:r>
      <w:r w:rsidR="000A5329" w:rsidRPr="002029AF">
        <w:t xml:space="preserve"> </w:t>
      </w:r>
      <w:r w:rsidRPr="002029AF">
        <w:t>owned</w:t>
      </w:r>
      <w:r w:rsidR="000A5329" w:rsidRPr="002029AF">
        <w:t xml:space="preserve"> </w:t>
      </w:r>
      <w:r w:rsidRPr="002029AF">
        <w:t>and</w:t>
      </w:r>
      <w:r w:rsidR="000A5329" w:rsidRPr="002029AF">
        <w:t xml:space="preserve"> </w:t>
      </w:r>
      <w:r w:rsidRPr="002029AF">
        <w:t>controlled</w:t>
      </w:r>
      <w:r w:rsidR="000A5329" w:rsidRPr="002029AF">
        <w:t xml:space="preserve"> </w:t>
      </w:r>
      <w:r w:rsidRPr="002029AF">
        <w:t>entity</w:t>
      </w:r>
      <w:r w:rsidR="000A5329" w:rsidRPr="002029AF">
        <w:t xml:space="preserve"> </w:t>
      </w:r>
      <w:r w:rsidRPr="002029AF">
        <w:t>of</w:t>
      </w:r>
      <w:r w:rsidR="000A5329" w:rsidRPr="002029AF">
        <w:t xml:space="preserve"> </w:t>
      </w:r>
      <w:r w:rsidRPr="002029AF">
        <w:t>the</w:t>
      </w:r>
      <w:r w:rsidR="000A5329" w:rsidRPr="002029AF">
        <w:t xml:space="preserve"> </w:t>
      </w:r>
      <w:r w:rsidRPr="002029AF">
        <w:t>State</w:t>
      </w:r>
      <w:r w:rsidR="000A5329" w:rsidRPr="002029AF">
        <w:t xml:space="preserve"> </w:t>
      </w:r>
      <w:r w:rsidRPr="002029AF">
        <w:t>of</w:t>
      </w:r>
      <w:r w:rsidR="000A5329" w:rsidRPr="002029AF">
        <w:t xml:space="preserve"> </w:t>
      </w:r>
      <w:r w:rsidRPr="002029AF">
        <w:t>Victoria.</w:t>
      </w:r>
    </w:p>
    <w:p w14:paraId="7E652D63" w14:textId="2787C3D1" w:rsidR="00087B91" w:rsidRPr="002029AF" w:rsidRDefault="00087B91" w:rsidP="00087B91">
      <w:pPr>
        <w:pStyle w:val="ARfinbody"/>
      </w:pPr>
      <w:r w:rsidRPr="002029AF">
        <w:t>The</w:t>
      </w:r>
      <w:r w:rsidR="000A5329" w:rsidRPr="002029AF">
        <w:t xml:space="preserve"> </w:t>
      </w:r>
      <w:r w:rsidRPr="002029AF">
        <w:t>following</w:t>
      </w:r>
      <w:r w:rsidR="000A5329" w:rsidRPr="002029AF">
        <w:t xml:space="preserve"> </w:t>
      </w:r>
      <w:r w:rsidRPr="002029AF">
        <w:t>Administrative</w:t>
      </w:r>
      <w:r w:rsidR="000A5329" w:rsidRPr="002029AF">
        <w:t xml:space="preserve"> </w:t>
      </w:r>
      <w:r w:rsidRPr="002029AF">
        <w:t>Offices</w:t>
      </w:r>
      <w:r w:rsidR="000A5329" w:rsidRPr="002029AF">
        <w:t xml:space="preserve"> </w:t>
      </w:r>
      <w:r w:rsidRPr="002029AF">
        <w:t>have</w:t>
      </w:r>
      <w:r w:rsidR="000A5329" w:rsidRPr="002029AF">
        <w:t xml:space="preserve"> </w:t>
      </w:r>
      <w:r w:rsidRPr="002029AF">
        <w:t>been</w:t>
      </w:r>
      <w:r w:rsidR="000A5329" w:rsidRPr="002029AF">
        <w:t xml:space="preserve"> </w:t>
      </w:r>
      <w:r w:rsidRPr="002029AF">
        <w:t>consolidated</w:t>
      </w:r>
      <w:r w:rsidR="000A5329" w:rsidRPr="002029AF">
        <w:t xml:space="preserve"> </w:t>
      </w:r>
      <w:r w:rsidRPr="002029AF">
        <w:t>into</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financial</w:t>
      </w:r>
      <w:r w:rsidR="000A5329" w:rsidRPr="002029AF">
        <w:t xml:space="preserve"> </w:t>
      </w:r>
      <w:r w:rsidRPr="002029AF">
        <w:t>statements</w:t>
      </w:r>
      <w:r w:rsidR="000A5329" w:rsidRPr="002029AF">
        <w:t xml:space="preserve"> </w:t>
      </w:r>
      <w:r w:rsidRPr="002029AF">
        <w:t>under</w:t>
      </w:r>
      <w:r w:rsidR="000A5329" w:rsidRPr="002029AF">
        <w:t xml:space="preserve"> </w:t>
      </w:r>
      <w:r w:rsidRPr="002029AF">
        <w:t>s.</w:t>
      </w:r>
      <w:r w:rsidR="000A5329" w:rsidRPr="002029AF">
        <w:t xml:space="preserve"> </w:t>
      </w:r>
      <w:r w:rsidRPr="002029AF">
        <w:t>45(4)</w:t>
      </w:r>
      <w:r w:rsidR="000A5329" w:rsidRPr="002029AF">
        <w:t xml:space="preserve"> </w:t>
      </w:r>
      <w:r w:rsidRPr="002029AF">
        <w:t>of</w:t>
      </w:r>
      <w:r w:rsidR="000A5329" w:rsidRPr="002029AF">
        <w:t xml:space="preserve"> </w:t>
      </w:r>
      <w:r w:rsidRPr="002029AF">
        <w:t>the</w:t>
      </w:r>
      <w:r w:rsidR="000A5329" w:rsidRPr="002029AF">
        <w:t xml:space="preserve"> </w:t>
      </w:r>
      <w:r w:rsidRPr="002029AF">
        <w:rPr>
          <w:rStyle w:val="Emphasis"/>
        </w:rPr>
        <w:t>Financial</w:t>
      </w:r>
      <w:r w:rsidR="000A5329" w:rsidRPr="002029AF">
        <w:rPr>
          <w:rStyle w:val="Emphasis"/>
        </w:rPr>
        <w:t xml:space="preserve"> </w:t>
      </w:r>
      <w:r w:rsidRPr="002029AF">
        <w:rPr>
          <w:rStyle w:val="Emphasis"/>
        </w:rPr>
        <w:t>Management</w:t>
      </w:r>
      <w:r w:rsidR="000A5329" w:rsidRPr="002029AF">
        <w:rPr>
          <w:rStyle w:val="Emphasis"/>
        </w:rPr>
        <w:t xml:space="preserve"> </w:t>
      </w:r>
      <w:r w:rsidRPr="002029AF">
        <w:rPr>
          <w:rStyle w:val="Emphasis"/>
        </w:rPr>
        <w:t>Act</w:t>
      </w:r>
      <w:r w:rsidR="000A5329" w:rsidRPr="002029AF">
        <w:rPr>
          <w:rStyle w:val="Emphasis"/>
        </w:rPr>
        <w:t xml:space="preserve"> </w:t>
      </w:r>
      <w:r w:rsidRPr="002029AF">
        <w:rPr>
          <w:rStyle w:val="Emphasis"/>
        </w:rPr>
        <w:t>1994</w:t>
      </w:r>
      <w:r w:rsidRPr="002029AF">
        <w:t>:</w:t>
      </w:r>
    </w:p>
    <w:p w14:paraId="0A8B3983" w14:textId="0C8261A3" w:rsidR="00087B91" w:rsidRPr="002029AF" w:rsidRDefault="00087B91" w:rsidP="00087B91">
      <w:pPr>
        <w:pStyle w:val="ARfinbullet1"/>
      </w:pPr>
      <w:r w:rsidRPr="002029AF">
        <w:t>Victorian</w:t>
      </w:r>
      <w:r w:rsidR="000A5329" w:rsidRPr="002029AF">
        <w:t xml:space="preserve"> </w:t>
      </w:r>
      <w:r w:rsidRPr="002029AF">
        <w:t>Agency</w:t>
      </w:r>
      <w:r w:rsidR="000A5329" w:rsidRPr="002029AF">
        <w:t xml:space="preserve"> </w:t>
      </w:r>
      <w:r w:rsidRPr="002029AF">
        <w:t>for</w:t>
      </w:r>
      <w:r w:rsidR="000A5329" w:rsidRPr="002029AF">
        <w:t xml:space="preserve"> </w:t>
      </w:r>
      <w:r w:rsidRPr="002029AF">
        <w:t>Health</w:t>
      </w:r>
      <w:r w:rsidR="000A5329" w:rsidRPr="002029AF">
        <w:t xml:space="preserve"> </w:t>
      </w:r>
      <w:r w:rsidRPr="002029AF">
        <w:t>Information</w:t>
      </w:r>
    </w:p>
    <w:p w14:paraId="1A2A0486" w14:textId="31FB7FF7" w:rsidR="00087B91" w:rsidRPr="002029AF" w:rsidRDefault="00087B91" w:rsidP="00087B91">
      <w:pPr>
        <w:pStyle w:val="ARfinbullet1"/>
      </w:pPr>
      <w:r w:rsidRPr="002029AF">
        <w:t>Safer</w:t>
      </w:r>
      <w:r w:rsidR="000A5329" w:rsidRPr="002029AF">
        <w:t xml:space="preserve"> </w:t>
      </w:r>
      <w:r w:rsidRPr="002029AF">
        <w:t>Care</w:t>
      </w:r>
      <w:r w:rsidR="000A5329" w:rsidRPr="002029AF">
        <w:t xml:space="preserve"> </w:t>
      </w:r>
      <w:r w:rsidRPr="002029AF">
        <w:t>Victoria</w:t>
      </w:r>
    </w:p>
    <w:p w14:paraId="58FC496B" w14:textId="32E73F10" w:rsidR="00087B91" w:rsidRPr="002029AF" w:rsidRDefault="00087B91" w:rsidP="00087B91">
      <w:pPr>
        <w:pStyle w:val="ARfinbullet1"/>
      </w:pPr>
      <w:r w:rsidRPr="002029AF">
        <w:t>Family</w:t>
      </w:r>
      <w:r w:rsidR="000A5329" w:rsidRPr="002029AF">
        <w:t xml:space="preserve"> </w:t>
      </w:r>
      <w:r w:rsidRPr="002029AF">
        <w:t>Safety</w:t>
      </w:r>
      <w:r w:rsidR="000A5329" w:rsidRPr="002029AF">
        <w:t xml:space="preserve"> </w:t>
      </w:r>
      <w:r w:rsidRPr="002029AF">
        <w:t>Victoria</w:t>
      </w:r>
    </w:p>
    <w:p w14:paraId="61996550" w14:textId="56600198" w:rsidR="00087B91" w:rsidRPr="002029AF" w:rsidRDefault="00087B91" w:rsidP="00087B91">
      <w:pPr>
        <w:pStyle w:val="ARfinbullet1"/>
      </w:pPr>
      <w:r w:rsidRPr="002029AF">
        <w:t>Mental</w:t>
      </w:r>
      <w:r w:rsidR="000A5329" w:rsidRPr="002029AF">
        <w:t xml:space="preserve"> </w:t>
      </w:r>
      <w:r w:rsidRPr="002029AF">
        <w:t>Health</w:t>
      </w:r>
      <w:r w:rsidR="000A5329" w:rsidRPr="002029AF">
        <w:t xml:space="preserve"> </w:t>
      </w:r>
      <w:r w:rsidRPr="002029AF">
        <w:t>Reform</w:t>
      </w:r>
      <w:r w:rsidR="000A5329" w:rsidRPr="002029AF">
        <w:t xml:space="preserve"> </w:t>
      </w:r>
      <w:r w:rsidRPr="002029AF">
        <w:t>Victoria.</w:t>
      </w:r>
    </w:p>
    <w:p w14:paraId="54D086ED" w14:textId="3F9DD811" w:rsidR="00087B91" w:rsidRPr="002029AF" w:rsidRDefault="00087B91" w:rsidP="00087B91">
      <w:pPr>
        <w:pStyle w:val="ARfinbody"/>
      </w:pPr>
      <w:r w:rsidRPr="002029AF">
        <w:t>The</w:t>
      </w:r>
      <w:r w:rsidR="000A5329" w:rsidRPr="002029AF">
        <w:t xml:space="preserve"> </w:t>
      </w:r>
      <w:r w:rsidRPr="002029AF">
        <w:t>following</w:t>
      </w:r>
      <w:r w:rsidR="000A5329" w:rsidRPr="002029AF">
        <w:t xml:space="preserve"> </w:t>
      </w:r>
      <w:r w:rsidRPr="002029AF">
        <w:t>entities</w:t>
      </w:r>
      <w:r w:rsidR="000A5329" w:rsidRPr="002029AF">
        <w:t xml:space="preserve"> </w:t>
      </w:r>
      <w:r w:rsidRPr="002029AF">
        <w:t>have</w:t>
      </w:r>
      <w:r w:rsidR="000A5329" w:rsidRPr="002029AF">
        <w:t xml:space="preserve"> </w:t>
      </w:r>
      <w:r w:rsidRPr="002029AF">
        <w:t>been</w:t>
      </w:r>
      <w:r w:rsidR="000A5329" w:rsidRPr="002029AF">
        <w:t xml:space="preserve"> </w:t>
      </w:r>
      <w:r w:rsidRPr="002029AF">
        <w:t>consolidated</w:t>
      </w:r>
      <w:r w:rsidR="000A5329" w:rsidRPr="002029AF">
        <w:t xml:space="preserve"> </w:t>
      </w:r>
      <w:r w:rsidRPr="002029AF">
        <w:t>into</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financial</w:t>
      </w:r>
      <w:r w:rsidR="000A5329" w:rsidRPr="002029AF">
        <w:t xml:space="preserve"> </w:t>
      </w:r>
      <w:r w:rsidRPr="002029AF">
        <w:t>statements</w:t>
      </w:r>
      <w:r w:rsidR="000A5329" w:rsidRPr="002029AF">
        <w:t xml:space="preserve"> </w:t>
      </w:r>
      <w:r w:rsidRPr="002029AF">
        <w:t>pursuant</w:t>
      </w:r>
      <w:r w:rsidR="000A5329" w:rsidRPr="002029AF">
        <w:t xml:space="preserve"> </w:t>
      </w:r>
      <w:r w:rsidRPr="002029AF">
        <w:t>to</w:t>
      </w:r>
      <w:r w:rsidR="000A5329" w:rsidRPr="002029AF">
        <w:t xml:space="preserve"> </w:t>
      </w:r>
      <w:r w:rsidRPr="002029AF">
        <w:t>the</w:t>
      </w:r>
      <w:r w:rsidR="000A5329" w:rsidRPr="002029AF">
        <w:t xml:space="preserve"> </w:t>
      </w:r>
      <w:r w:rsidRPr="002029AF">
        <w:t>determination</w:t>
      </w:r>
      <w:r w:rsidR="000A5329" w:rsidRPr="002029AF">
        <w:t xml:space="preserve"> </w:t>
      </w:r>
      <w:r w:rsidRPr="002029AF">
        <w:t>made</w:t>
      </w:r>
      <w:r w:rsidR="000A5329" w:rsidRPr="002029AF">
        <w:t xml:space="preserve"> </w:t>
      </w:r>
      <w:r w:rsidRPr="002029AF">
        <w:t>by</w:t>
      </w:r>
      <w:r w:rsidR="000A5329" w:rsidRPr="002029AF">
        <w:t xml:space="preserve"> </w:t>
      </w:r>
      <w:r w:rsidRPr="002029AF">
        <w:t>the</w:t>
      </w:r>
      <w:r w:rsidR="000A5329" w:rsidRPr="002029AF">
        <w:t xml:space="preserve"> </w:t>
      </w:r>
      <w:r w:rsidRPr="002029AF">
        <w:t>Assistant</w:t>
      </w:r>
      <w:r w:rsidR="000A5329" w:rsidRPr="002029AF">
        <w:t xml:space="preserve"> </w:t>
      </w:r>
      <w:r w:rsidRPr="002029AF">
        <w:t>Treasurer</w:t>
      </w:r>
      <w:r w:rsidR="000A5329" w:rsidRPr="002029AF">
        <w:t xml:space="preserve"> </w:t>
      </w:r>
      <w:r w:rsidRPr="002029AF">
        <w:t>under</w:t>
      </w:r>
      <w:r w:rsidR="000A5329" w:rsidRPr="002029AF">
        <w:t xml:space="preserve"> </w:t>
      </w:r>
      <w:r w:rsidRPr="002029AF">
        <w:t>section</w:t>
      </w:r>
      <w:r w:rsidR="000A5329" w:rsidRPr="002029AF">
        <w:t xml:space="preserve"> </w:t>
      </w:r>
      <w:r w:rsidRPr="002029AF">
        <w:t>53(1)(b)</w:t>
      </w:r>
      <w:r w:rsidR="000A5329" w:rsidRPr="002029AF">
        <w:t xml:space="preserve"> </w:t>
      </w:r>
      <w:r w:rsidRPr="002029AF">
        <w:t>of</w:t>
      </w:r>
      <w:r w:rsidR="000A5329" w:rsidRPr="002029AF">
        <w:t xml:space="preserve"> </w:t>
      </w:r>
      <w:r w:rsidRPr="002029AF">
        <w:t>the</w:t>
      </w:r>
      <w:r w:rsidR="000A5329" w:rsidRPr="002029AF">
        <w:t xml:space="preserve"> </w:t>
      </w:r>
      <w:r w:rsidRPr="002029AF">
        <w:rPr>
          <w:i/>
          <w:iCs/>
        </w:rPr>
        <w:t>Financial</w:t>
      </w:r>
      <w:r w:rsidR="000A5329" w:rsidRPr="002029AF">
        <w:rPr>
          <w:i/>
          <w:iCs/>
        </w:rPr>
        <w:t xml:space="preserve"> </w:t>
      </w:r>
      <w:r w:rsidRPr="002029AF">
        <w:rPr>
          <w:i/>
          <w:iCs/>
        </w:rPr>
        <w:t>Management</w:t>
      </w:r>
      <w:r w:rsidR="000A5329" w:rsidRPr="002029AF">
        <w:rPr>
          <w:i/>
          <w:iCs/>
        </w:rPr>
        <w:t xml:space="preserve"> </w:t>
      </w:r>
      <w:r w:rsidRPr="002029AF">
        <w:rPr>
          <w:i/>
          <w:iCs/>
        </w:rPr>
        <w:t>Act</w:t>
      </w:r>
      <w:r w:rsidR="000A5329" w:rsidRPr="002029AF">
        <w:rPr>
          <w:i/>
          <w:iCs/>
        </w:rPr>
        <w:t xml:space="preserve"> </w:t>
      </w:r>
      <w:r w:rsidRPr="002029AF">
        <w:rPr>
          <w:i/>
          <w:iCs/>
        </w:rPr>
        <w:t>1994</w:t>
      </w:r>
      <w:r w:rsidRPr="002029AF">
        <w:t>:</w:t>
      </w:r>
    </w:p>
    <w:p w14:paraId="5ED51C45" w14:textId="1AFE41DD" w:rsidR="00087B91" w:rsidRPr="002029AF" w:rsidRDefault="00087B91" w:rsidP="00087B91">
      <w:pPr>
        <w:pStyle w:val="ARfinbullet1"/>
      </w:pPr>
      <w:r w:rsidRPr="002029AF">
        <w:t>Mental</w:t>
      </w:r>
      <w:r w:rsidR="000A5329" w:rsidRPr="002029AF">
        <w:t xml:space="preserve"> </w:t>
      </w:r>
      <w:r w:rsidRPr="002029AF">
        <w:t>Health</w:t>
      </w:r>
      <w:r w:rsidR="000A5329" w:rsidRPr="002029AF">
        <w:t xml:space="preserve"> </w:t>
      </w:r>
      <w:r w:rsidRPr="002029AF">
        <w:t>Tribunal</w:t>
      </w:r>
    </w:p>
    <w:p w14:paraId="30AA6BAB" w14:textId="5A0900B8" w:rsidR="00087B91" w:rsidRPr="002029AF" w:rsidRDefault="00087B91" w:rsidP="00087B91">
      <w:pPr>
        <w:pStyle w:val="ARfinbullet1"/>
      </w:pPr>
      <w:r w:rsidRPr="002029AF">
        <w:t>Commission</w:t>
      </w:r>
      <w:r w:rsidR="000A5329" w:rsidRPr="002029AF">
        <w:t xml:space="preserve"> </w:t>
      </w:r>
      <w:r w:rsidRPr="002029AF">
        <w:t>for</w:t>
      </w:r>
      <w:r w:rsidR="000A5329" w:rsidRPr="002029AF">
        <w:t xml:space="preserve"> </w:t>
      </w:r>
      <w:r w:rsidRPr="002029AF">
        <w:t>Children</w:t>
      </w:r>
      <w:r w:rsidR="000A5329" w:rsidRPr="002029AF">
        <w:t xml:space="preserve"> </w:t>
      </w:r>
      <w:r w:rsidRPr="002029AF">
        <w:t>and</w:t>
      </w:r>
      <w:r w:rsidR="000A5329" w:rsidRPr="002029AF">
        <w:t xml:space="preserve"> </w:t>
      </w:r>
      <w:r w:rsidRPr="002029AF">
        <w:t>Young</w:t>
      </w:r>
      <w:r w:rsidR="000A5329" w:rsidRPr="002029AF">
        <w:t xml:space="preserve"> </w:t>
      </w:r>
      <w:r w:rsidRPr="002029AF">
        <w:t>People</w:t>
      </w:r>
    </w:p>
    <w:p w14:paraId="14F1487B" w14:textId="34E30616" w:rsidR="00087B91" w:rsidRPr="002029AF" w:rsidRDefault="00087B91" w:rsidP="00087B91">
      <w:pPr>
        <w:pStyle w:val="ARfinbullet1"/>
      </w:pPr>
      <w:r w:rsidRPr="002029AF">
        <w:t>Director</w:t>
      </w:r>
      <w:r w:rsidR="000A5329" w:rsidRPr="002029AF">
        <w:t xml:space="preserve"> </w:t>
      </w:r>
      <w:r w:rsidRPr="002029AF">
        <w:t>of</w:t>
      </w:r>
      <w:r w:rsidR="000A5329" w:rsidRPr="002029AF">
        <w:t xml:space="preserve"> </w:t>
      </w:r>
      <w:r w:rsidRPr="002029AF">
        <w:t>Housing.</w:t>
      </w:r>
    </w:p>
    <w:p w14:paraId="0776437F" w14:textId="749C8C4B" w:rsidR="00087B91" w:rsidRPr="002029AF" w:rsidRDefault="00087B91" w:rsidP="00087B91">
      <w:pPr>
        <w:pStyle w:val="ARfinbody"/>
      </w:pPr>
      <w:r w:rsidRPr="002029AF">
        <w:t>Related</w:t>
      </w:r>
      <w:r w:rsidR="000A5329" w:rsidRPr="002029AF">
        <w:t xml:space="preserve"> </w:t>
      </w:r>
      <w:r w:rsidRPr="002029AF">
        <w:t>parties</w:t>
      </w:r>
      <w:r w:rsidR="000A5329" w:rsidRPr="002029AF">
        <w:t xml:space="preserve"> </w:t>
      </w:r>
      <w:r w:rsidRPr="002029AF">
        <w:t>of</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and</w:t>
      </w:r>
      <w:r w:rsidR="000A5329" w:rsidRPr="002029AF">
        <w:t xml:space="preserve"> </w:t>
      </w:r>
      <w:r w:rsidRPr="002029AF">
        <w:t>the</w:t>
      </w:r>
      <w:r w:rsidR="000A5329" w:rsidRPr="002029AF">
        <w:t xml:space="preserve"> </w:t>
      </w:r>
      <w:r w:rsidRPr="002029AF">
        <w:t>abovementioned</w:t>
      </w:r>
      <w:r w:rsidR="000A5329" w:rsidRPr="002029AF">
        <w:t xml:space="preserve"> </w:t>
      </w:r>
      <w:r w:rsidRPr="002029AF">
        <w:t>Administrative</w:t>
      </w:r>
      <w:r w:rsidR="000A5329" w:rsidRPr="002029AF">
        <w:t xml:space="preserve"> </w:t>
      </w:r>
      <w:r w:rsidRPr="002029AF">
        <w:t>Offices</w:t>
      </w:r>
      <w:r w:rsidR="000A5329" w:rsidRPr="002029AF">
        <w:t xml:space="preserve"> </w:t>
      </w:r>
      <w:r w:rsidRPr="002029AF">
        <w:t>and</w:t>
      </w:r>
      <w:r w:rsidR="000A5329" w:rsidRPr="002029AF">
        <w:t xml:space="preserve"> </w:t>
      </w:r>
      <w:r w:rsidRPr="002029AF">
        <w:t>entities</w:t>
      </w:r>
      <w:r w:rsidR="000A5329" w:rsidRPr="002029AF">
        <w:t xml:space="preserve"> </w:t>
      </w:r>
      <w:r w:rsidRPr="002029AF">
        <w:t>include:</w:t>
      </w:r>
    </w:p>
    <w:p w14:paraId="5F080413" w14:textId="395CACE7" w:rsidR="00087B91" w:rsidRPr="002029AF" w:rsidRDefault="00087B91" w:rsidP="00087B91">
      <w:pPr>
        <w:pStyle w:val="ARfinbullet1"/>
      </w:pPr>
      <w:r w:rsidRPr="002029AF">
        <w:t>all</w:t>
      </w:r>
      <w:r w:rsidR="000A5329" w:rsidRPr="002029AF">
        <w:t xml:space="preserve"> </w:t>
      </w:r>
      <w:r w:rsidRPr="002029AF">
        <w:t>key</w:t>
      </w:r>
      <w:r w:rsidR="000A5329" w:rsidRPr="002029AF">
        <w:t xml:space="preserve"> </w:t>
      </w:r>
      <w:r w:rsidRPr="002029AF">
        <w:t>management</w:t>
      </w:r>
      <w:r w:rsidR="000A5329" w:rsidRPr="002029AF">
        <w:t xml:space="preserve"> </w:t>
      </w:r>
      <w:r w:rsidRPr="002029AF">
        <w:t>personnel</w:t>
      </w:r>
      <w:r w:rsidR="000A5329" w:rsidRPr="002029AF">
        <w:t xml:space="preserve"> </w:t>
      </w:r>
      <w:r w:rsidRPr="002029AF">
        <w:t>and</w:t>
      </w:r>
      <w:r w:rsidR="000A5329" w:rsidRPr="002029AF">
        <w:t xml:space="preserve"> </w:t>
      </w:r>
      <w:r w:rsidRPr="002029AF">
        <w:t>their</w:t>
      </w:r>
      <w:r w:rsidR="000A5329" w:rsidRPr="002029AF">
        <w:t xml:space="preserve"> </w:t>
      </w:r>
      <w:r w:rsidRPr="002029AF">
        <w:t>close</w:t>
      </w:r>
      <w:r w:rsidR="000A5329" w:rsidRPr="002029AF">
        <w:t xml:space="preserve"> </w:t>
      </w:r>
      <w:r w:rsidRPr="002029AF">
        <w:t>family</w:t>
      </w:r>
      <w:r w:rsidR="000A5329" w:rsidRPr="002029AF">
        <w:t xml:space="preserve"> </w:t>
      </w:r>
      <w:r w:rsidRPr="002029AF">
        <w:t>members</w:t>
      </w:r>
      <w:r w:rsidR="000A5329" w:rsidRPr="002029AF">
        <w:t xml:space="preserve"> </w:t>
      </w:r>
      <w:r w:rsidRPr="002029AF">
        <w:t>and</w:t>
      </w:r>
      <w:r w:rsidR="000A5329" w:rsidRPr="002029AF">
        <w:t xml:space="preserve"> </w:t>
      </w:r>
      <w:r w:rsidRPr="002029AF">
        <w:t>personal</w:t>
      </w:r>
      <w:r w:rsidR="000A5329" w:rsidRPr="002029AF">
        <w:t xml:space="preserve"> </w:t>
      </w:r>
      <w:r w:rsidRPr="002029AF">
        <w:t>business</w:t>
      </w:r>
      <w:r w:rsidR="000A5329" w:rsidRPr="002029AF">
        <w:t xml:space="preserve"> </w:t>
      </w:r>
      <w:r w:rsidRPr="002029AF">
        <w:t>interests</w:t>
      </w:r>
      <w:r w:rsidR="000A5329" w:rsidRPr="002029AF">
        <w:t xml:space="preserve"> </w:t>
      </w:r>
      <w:r w:rsidRPr="002029AF">
        <w:t>(controlled</w:t>
      </w:r>
      <w:r w:rsidR="000A5329" w:rsidRPr="002029AF">
        <w:t xml:space="preserve"> </w:t>
      </w:r>
      <w:r w:rsidRPr="002029AF">
        <w:t>entities,</w:t>
      </w:r>
      <w:r w:rsidR="000A5329" w:rsidRPr="002029AF">
        <w:t xml:space="preserve"> </w:t>
      </w:r>
      <w:r w:rsidRPr="002029AF">
        <w:t>joint</w:t>
      </w:r>
      <w:r w:rsidR="000A5329" w:rsidRPr="002029AF">
        <w:t xml:space="preserve"> </w:t>
      </w:r>
      <w:r w:rsidRPr="002029AF">
        <w:t>ventures</w:t>
      </w:r>
      <w:r w:rsidR="000A5329" w:rsidRPr="002029AF">
        <w:t xml:space="preserve"> </w:t>
      </w:r>
      <w:r w:rsidRPr="002029AF">
        <w:t>and</w:t>
      </w:r>
      <w:r w:rsidR="000A5329" w:rsidRPr="002029AF">
        <w:t xml:space="preserve"> </w:t>
      </w:r>
      <w:r w:rsidRPr="002029AF">
        <w:t>entities</w:t>
      </w:r>
      <w:r w:rsidR="000A5329" w:rsidRPr="002029AF">
        <w:t xml:space="preserve"> </w:t>
      </w:r>
      <w:r w:rsidRPr="002029AF">
        <w:t>they</w:t>
      </w:r>
      <w:r w:rsidR="000A5329" w:rsidRPr="002029AF">
        <w:t xml:space="preserve"> </w:t>
      </w:r>
      <w:r w:rsidRPr="002029AF">
        <w:t>have</w:t>
      </w:r>
      <w:r w:rsidR="000A5329" w:rsidRPr="002029AF">
        <w:t xml:space="preserve"> </w:t>
      </w:r>
      <w:r w:rsidRPr="002029AF">
        <w:t>significant</w:t>
      </w:r>
      <w:r w:rsidR="000A5329" w:rsidRPr="002029AF">
        <w:t xml:space="preserve"> </w:t>
      </w:r>
      <w:r w:rsidRPr="002029AF">
        <w:t>influence</w:t>
      </w:r>
      <w:r w:rsidR="000A5329" w:rsidRPr="002029AF">
        <w:t xml:space="preserve"> </w:t>
      </w:r>
      <w:r w:rsidRPr="002029AF">
        <w:t>over)</w:t>
      </w:r>
    </w:p>
    <w:p w14:paraId="51913BCC" w14:textId="0A507183" w:rsidR="00087B91" w:rsidRPr="002029AF" w:rsidRDefault="00087B91" w:rsidP="00087B91">
      <w:pPr>
        <w:pStyle w:val="ARfinbullet1"/>
      </w:pPr>
      <w:r w:rsidRPr="002029AF">
        <w:t>all</w:t>
      </w:r>
      <w:r w:rsidR="000A5329" w:rsidRPr="002029AF">
        <w:t xml:space="preserve"> </w:t>
      </w:r>
      <w:r w:rsidRPr="002029AF">
        <w:t>cabinet</w:t>
      </w:r>
      <w:r w:rsidR="000A5329" w:rsidRPr="002029AF">
        <w:t xml:space="preserve"> </w:t>
      </w:r>
      <w:r w:rsidRPr="002029AF">
        <w:t>ministers</w:t>
      </w:r>
      <w:r w:rsidR="000A5329" w:rsidRPr="002029AF">
        <w:t xml:space="preserve"> </w:t>
      </w:r>
      <w:r w:rsidRPr="002029AF">
        <w:t>and</w:t>
      </w:r>
      <w:r w:rsidR="000A5329" w:rsidRPr="002029AF">
        <w:t xml:space="preserve"> </w:t>
      </w:r>
      <w:r w:rsidRPr="002029AF">
        <w:t>their</w:t>
      </w:r>
      <w:r w:rsidR="000A5329" w:rsidRPr="002029AF">
        <w:t xml:space="preserve"> </w:t>
      </w:r>
      <w:r w:rsidRPr="002029AF">
        <w:t>close</w:t>
      </w:r>
      <w:r w:rsidR="000A5329" w:rsidRPr="002029AF">
        <w:t xml:space="preserve"> </w:t>
      </w:r>
      <w:r w:rsidRPr="002029AF">
        <w:t>family</w:t>
      </w:r>
      <w:r w:rsidR="000A5329" w:rsidRPr="002029AF">
        <w:t xml:space="preserve"> </w:t>
      </w:r>
      <w:r w:rsidRPr="002029AF">
        <w:t>members</w:t>
      </w:r>
    </w:p>
    <w:p w14:paraId="4BAFD45B" w14:textId="71E132A7" w:rsidR="00087B91" w:rsidRPr="002029AF" w:rsidRDefault="00087B91" w:rsidP="00087B91">
      <w:pPr>
        <w:pStyle w:val="ARfinbullet1"/>
      </w:pPr>
      <w:r w:rsidRPr="002029AF">
        <w:t>all</w:t>
      </w:r>
      <w:r w:rsidR="000A5329" w:rsidRPr="002029AF">
        <w:t xml:space="preserve"> </w:t>
      </w:r>
      <w:r w:rsidRPr="002029AF">
        <w:t>departments</w:t>
      </w:r>
      <w:r w:rsidR="000A5329" w:rsidRPr="002029AF">
        <w:t xml:space="preserve"> </w:t>
      </w:r>
      <w:r w:rsidRPr="002029AF">
        <w:t>and</w:t>
      </w:r>
      <w:r w:rsidR="000A5329" w:rsidRPr="002029AF">
        <w:t xml:space="preserve"> </w:t>
      </w:r>
      <w:r w:rsidRPr="002029AF">
        <w:t>public</w:t>
      </w:r>
      <w:r w:rsidR="000A5329" w:rsidRPr="002029AF">
        <w:t xml:space="preserve"> </w:t>
      </w:r>
      <w:r w:rsidRPr="002029AF">
        <w:t>sector</w:t>
      </w:r>
      <w:r w:rsidR="000A5329" w:rsidRPr="002029AF">
        <w:t xml:space="preserve"> </w:t>
      </w:r>
      <w:r w:rsidRPr="002029AF">
        <w:t>entities</w:t>
      </w:r>
      <w:r w:rsidR="000A5329" w:rsidRPr="002029AF">
        <w:t xml:space="preserve"> </w:t>
      </w:r>
      <w:r w:rsidRPr="002029AF">
        <w:t>that</w:t>
      </w:r>
      <w:r w:rsidR="000A5329" w:rsidRPr="002029AF">
        <w:t xml:space="preserve"> </w:t>
      </w:r>
      <w:r w:rsidRPr="002029AF">
        <w:t>are</w:t>
      </w:r>
      <w:r w:rsidR="000A5329" w:rsidRPr="002029AF">
        <w:t xml:space="preserve"> </w:t>
      </w:r>
      <w:r w:rsidRPr="002029AF">
        <w:t>controlled</w:t>
      </w:r>
      <w:r w:rsidR="000A5329" w:rsidRPr="002029AF">
        <w:t xml:space="preserve"> </w:t>
      </w:r>
      <w:r w:rsidRPr="002029AF">
        <w:t>and</w:t>
      </w:r>
      <w:r w:rsidR="000A5329" w:rsidRPr="002029AF">
        <w:t xml:space="preserve"> </w:t>
      </w:r>
      <w:r w:rsidRPr="002029AF">
        <w:t>consolidated</w:t>
      </w:r>
      <w:r w:rsidR="000A5329" w:rsidRPr="002029AF">
        <w:t xml:space="preserve"> </w:t>
      </w:r>
      <w:r w:rsidRPr="002029AF">
        <w:t>into</w:t>
      </w:r>
      <w:r w:rsidR="000A5329" w:rsidRPr="002029AF">
        <w:t xml:space="preserve"> </w:t>
      </w:r>
      <w:r w:rsidRPr="002029AF">
        <w:t>the</w:t>
      </w:r>
      <w:r w:rsidR="000A5329" w:rsidRPr="002029AF">
        <w:t xml:space="preserve"> </w:t>
      </w:r>
      <w:r w:rsidRPr="002029AF">
        <w:t>whole</w:t>
      </w:r>
      <w:r w:rsidR="000A5329" w:rsidRPr="002029AF">
        <w:t xml:space="preserve"> </w:t>
      </w:r>
      <w:r w:rsidRPr="002029AF">
        <w:t>of</w:t>
      </w:r>
      <w:r w:rsidR="000A5329" w:rsidRPr="002029AF">
        <w:t xml:space="preserve"> </w:t>
      </w:r>
      <w:r w:rsidRPr="002029AF">
        <w:t>state</w:t>
      </w:r>
      <w:r w:rsidR="000A5329" w:rsidRPr="002029AF">
        <w:t xml:space="preserve"> </w:t>
      </w:r>
      <w:r w:rsidRPr="002029AF">
        <w:t>consolidated</w:t>
      </w:r>
      <w:r w:rsidR="000A5329" w:rsidRPr="002029AF">
        <w:t xml:space="preserve"> </w:t>
      </w:r>
      <w:r w:rsidRPr="002029AF">
        <w:t>financial</w:t>
      </w:r>
      <w:r w:rsidR="000A5329" w:rsidRPr="002029AF">
        <w:t xml:space="preserve"> </w:t>
      </w:r>
      <w:r w:rsidRPr="002029AF">
        <w:t>statements.</w:t>
      </w:r>
    </w:p>
    <w:p w14:paraId="33727955" w14:textId="383B1E42" w:rsidR="00087B91" w:rsidRPr="002029AF" w:rsidRDefault="00087B91" w:rsidP="00087B91">
      <w:pPr>
        <w:pStyle w:val="ARfinbody"/>
      </w:pPr>
      <w:r w:rsidRPr="002029AF">
        <w:t>All</w:t>
      </w:r>
      <w:r w:rsidR="000A5329" w:rsidRPr="002029AF">
        <w:t xml:space="preserve"> </w:t>
      </w:r>
      <w:r w:rsidRPr="002029AF">
        <w:t>related</w:t>
      </w:r>
      <w:r w:rsidR="000A5329" w:rsidRPr="002029AF">
        <w:t xml:space="preserve"> </w:t>
      </w:r>
      <w:r w:rsidRPr="002029AF">
        <w:t>party</w:t>
      </w:r>
      <w:r w:rsidR="000A5329" w:rsidRPr="002029AF">
        <w:t xml:space="preserve"> </w:t>
      </w:r>
      <w:r w:rsidRPr="002029AF">
        <w:t>transactions</w:t>
      </w:r>
      <w:r w:rsidR="000A5329" w:rsidRPr="002029AF">
        <w:t xml:space="preserve"> </w:t>
      </w:r>
      <w:r w:rsidRPr="002029AF">
        <w:t>have</w:t>
      </w:r>
      <w:r w:rsidR="000A5329" w:rsidRPr="002029AF">
        <w:t xml:space="preserve"> </w:t>
      </w:r>
      <w:r w:rsidRPr="002029AF">
        <w:t>been</w:t>
      </w:r>
      <w:r w:rsidR="000A5329" w:rsidRPr="002029AF">
        <w:t xml:space="preserve"> </w:t>
      </w:r>
      <w:r w:rsidRPr="002029AF">
        <w:t>entered</w:t>
      </w:r>
      <w:r w:rsidR="000A5329" w:rsidRPr="002029AF">
        <w:t xml:space="preserve"> </w:t>
      </w:r>
      <w:r w:rsidRPr="002029AF">
        <w:t>into</w:t>
      </w:r>
      <w:r w:rsidR="000A5329" w:rsidRPr="002029AF">
        <w:t xml:space="preserve"> </w:t>
      </w:r>
      <w:r w:rsidRPr="002029AF">
        <w:t>on</w:t>
      </w:r>
      <w:r w:rsidR="000A5329" w:rsidRPr="002029AF">
        <w:t xml:space="preserve"> </w:t>
      </w:r>
      <w:r w:rsidRPr="002029AF">
        <w:t>an</w:t>
      </w:r>
      <w:r w:rsidR="000A5329" w:rsidRPr="002029AF">
        <w:t xml:space="preserve"> </w:t>
      </w:r>
      <w:r w:rsidRPr="002029AF">
        <w:t>arm’s</w:t>
      </w:r>
      <w:r w:rsidR="000A5329" w:rsidRPr="002029AF">
        <w:t xml:space="preserve"> </w:t>
      </w:r>
      <w:r w:rsidRPr="002029AF">
        <w:t>length</w:t>
      </w:r>
      <w:r w:rsidR="000A5329" w:rsidRPr="002029AF">
        <w:t xml:space="preserve"> </w:t>
      </w:r>
      <w:r w:rsidRPr="002029AF">
        <w:t>basis.</w:t>
      </w:r>
    </w:p>
    <w:p w14:paraId="49A5764A" w14:textId="77777777" w:rsidR="00087B91" w:rsidRPr="002029AF" w:rsidRDefault="00087B91" w:rsidP="00087B91">
      <w:pPr>
        <w:pStyle w:val="ARfinbody"/>
      </w:pPr>
      <w:r w:rsidRPr="002029AF">
        <w:br w:type="page"/>
      </w:r>
    </w:p>
    <w:p w14:paraId="6BB7C880" w14:textId="5C8BBAAB" w:rsidR="00087B91" w:rsidRPr="002029AF" w:rsidRDefault="00087B91" w:rsidP="00087B91">
      <w:pPr>
        <w:pStyle w:val="Heading5"/>
      </w:pPr>
      <w:r w:rsidRPr="002029AF">
        <w:lastRenderedPageBreak/>
        <w:t>Significant</w:t>
      </w:r>
      <w:r w:rsidR="000A5329" w:rsidRPr="002029AF">
        <w:t xml:space="preserve"> </w:t>
      </w:r>
      <w:r w:rsidRPr="002029AF">
        <w:t>transactions</w:t>
      </w:r>
      <w:r w:rsidR="000A5329" w:rsidRPr="002029AF">
        <w:t xml:space="preserve"> </w:t>
      </w:r>
      <w:r w:rsidRPr="002029AF">
        <w:t>with</w:t>
      </w:r>
      <w:r w:rsidR="000A5329" w:rsidRPr="002029AF">
        <w:t xml:space="preserve"> </w:t>
      </w:r>
      <w:r w:rsidRPr="002029AF">
        <w:t>government-related</w:t>
      </w:r>
      <w:r w:rsidR="000A5329" w:rsidRPr="002029AF">
        <w:t xml:space="preserve"> </w:t>
      </w:r>
      <w:r w:rsidRPr="002029AF">
        <w:t>entities</w:t>
      </w:r>
    </w:p>
    <w:p w14:paraId="0493CB9E" w14:textId="4D3C3984" w:rsidR="00087B91" w:rsidRPr="002029AF" w:rsidRDefault="00087B91" w:rsidP="00087B91">
      <w:pPr>
        <w:pStyle w:val="ARfinbody"/>
      </w:pPr>
      <w:r w:rsidRPr="002029AF">
        <w:t>The</w:t>
      </w:r>
      <w:r w:rsidR="000A5329" w:rsidRPr="002029AF">
        <w:t xml:space="preserve"> </w:t>
      </w:r>
      <w:r w:rsidRPr="002029AF">
        <w:t>department</w:t>
      </w:r>
      <w:r w:rsidR="000A5329" w:rsidRPr="002029AF">
        <w:t xml:space="preserve"> </w:t>
      </w:r>
      <w:r w:rsidRPr="002029AF">
        <w:t>received</w:t>
      </w:r>
      <w:r w:rsidR="000A5329" w:rsidRPr="002029AF">
        <w:t xml:space="preserve"> </w:t>
      </w:r>
      <w:r w:rsidRPr="002029AF">
        <w:t>funding</w:t>
      </w:r>
      <w:r w:rsidR="000A5329" w:rsidRPr="002029AF">
        <w:t xml:space="preserve"> </w:t>
      </w:r>
      <w:r w:rsidRPr="002029AF">
        <w:t>and</w:t>
      </w:r>
      <w:r w:rsidR="000A5329" w:rsidRPr="002029AF">
        <w:t xml:space="preserve"> </w:t>
      </w:r>
      <w:r w:rsidRPr="002029AF">
        <w:t>made</w:t>
      </w:r>
      <w:r w:rsidR="000A5329" w:rsidRPr="002029AF">
        <w:t xml:space="preserve"> </w:t>
      </w:r>
      <w:r w:rsidRPr="002029AF">
        <w:t>payments</w:t>
      </w:r>
      <w:r w:rsidR="000A5329" w:rsidRPr="002029AF">
        <w:t xml:space="preserve"> </w:t>
      </w:r>
      <w:r w:rsidRPr="002029AF">
        <w:t>to</w:t>
      </w:r>
      <w:r w:rsidR="000A5329" w:rsidRPr="002029AF">
        <w:t xml:space="preserve"> </w:t>
      </w:r>
      <w:r w:rsidRPr="002029AF">
        <w:t>the</w:t>
      </w:r>
      <w:r w:rsidR="000A5329" w:rsidRPr="002029AF">
        <w:t xml:space="preserve"> </w:t>
      </w:r>
      <w:r w:rsidRPr="002029AF">
        <w:t>Consolidated</w:t>
      </w:r>
      <w:r w:rsidR="000A5329" w:rsidRPr="002029AF">
        <w:t xml:space="preserve"> </w:t>
      </w:r>
      <w:r w:rsidRPr="002029AF">
        <w:t>Fund</w:t>
      </w:r>
      <w:r w:rsidR="000A5329" w:rsidRPr="002029AF">
        <w:t xml:space="preserve"> </w:t>
      </w:r>
      <w:r w:rsidRPr="002029AF">
        <w:t>of</w:t>
      </w:r>
      <w:r w:rsidR="000A5329" w:rsidRPr="002029AF">
        <w:t xml:space="preserve"> </w:t>
      </w:r>
      <w:r w:rsidRPr="002029AF">
        <w:t>$18,971.9</w:t>
      </w:r>
      <w:r w:rsidR="000A5329" w:rsidRPr="002029AF">
        <w:t xml:space="preserve"> </w:t>
      </w:r>
      <w:r w:rsidRPr="002029AF">
        <w:t>million</w:t>
      </w:r>
      <w:r w:rsidR="000A5329" w:rsidRPr="002029AF">
        <w:t xml:space="preserve"> </w:t>
      </w:r>
      <w:r w:rsidRPr="002029AF">
        <w:t>(2019:</w:t>
      </w:r>
      <w:r w:rsidR="000A5329" w:rsidRPr="002029AF">
        <w:t xml:space="preserve"> </w:t>
      </w:r>
      <w:r w:rsidRPr="002029AF">
        <w:t>$17,696.3</w:t>
      </w:r>
      <w:r w:rsidR="000A5329" w:rsidRPr="002029AF">
        <w:t xml:space="preserve"> </w:t>
      </w:r>
      <w:r w:rsidRPr="002029AF">
        <w:t>million)</w:t>
      </w:r>
      <w:r w:rsidR="000A5329" w:rsidRPr="002029AF">
        <w:t xml:space="preserve"> </w:t>
      </w:r>
      <w:r w:rsidRPr="002029AF">
        <w:t>and</w:t>
      </w:r>
      <w:r w:rsidR="000A5329" w:rsidRPr="002029AF">
        <w:t xml:space="preserve"> </w:t>
      </w:r>
      <w:r w:rsidRPr="002029AF">
        <w:t>$405.0</w:t>
      </w:r>
      <w:r w:rsidR="000A5329" w:rsidRPr="002029AF">
        <w:t xml:space="preserve"> </w:t>
      </w:r>
      <w:r w:rsidRPr="002029AF">
        <w:t>million</w:t>
      </w:r>
      <w:r w:rsidR="000A5329" w:rsidRPr="002029AF">
        <w:t xml:space="preserve"> </w:t>
      </w:r>
      <w:r w:rsidRPr="002029AF">
        <w:t>(2019:</w:t>
      </w:r>
      <w:r w:rsidR="000A5329" w:rsidRPr="002029AF">
        <w:t xml:space="preserve"> </w:t>
      </w:r>
      <w:r w:rsidRPr="002029AF">
        <w:t>$466.2</w:t>
      </w:r>
      <w:r w:rsidR="000A5329" w:rsidRPr="002029AF">
        <w:t xml:space="preserve"> </w:t>
      </w:r>
      <w:r w:rsidRPr="002029AF">
        <w:t>million)</w:t>
      </w:r>
      <w:r w:rsidR="000A5329" w:rsidRPr="002029AF">
        <w:t xml:space="preserve"> </w:t>
      </w:r>
      <w:r w:rsidRPr="002029AF">
        <w:t>respectively.</w:t>
      </w:r>
    </w:p>
    <w:p w14:paraId="34F71C47" w14:textId="73B4565C" w:rsidR="00087B91" w:rsidRPr="002029AF" w:rsidRDefault="00087B91" w:rsidP="00087B91">
      <w:pPr>
        <w:pStyle w:val="ARfinbody"/>
      </w:pPr>
      <w:r w:rsidRPr="002029AF">
        <w:t>Refer</w:t>
      </w:r>
      <w:r w:rsidR="000A5329" w:rsidRPr="002029AF">
        <w:t xml:space="preserve"> </w:t>
      </w:r>
      <w:r w:rsidRPr="002029AF">
        <w:t>to</w:t>
      </w:r>
      <w:r w:rsidR="000A5329" w:rsidRPr="002029AF">
        <w:t xml:space="preserve"> </w:t>
      </w:r>
      <w:r w:rsidRPr="002029AF">
        <w:t>Note</w:t>
      </w:r>
      <w:r w:rsidR="000A5329" w:rsidRPr="002029AF">
        <w:t xml:space="preserve"> </w:t>
      </w:r>
      <w:r w:rsidRPr="002029AF">
        <w:t>3.1.2</w:t>
      </w:r>
      <w:r w:rsidR="000A5329" w:rsidRPr="002029AF">
        <w:t xml:space="preserve"> </w:t>
      </w:r>
      <w:r w:rsidRPr="002029AF">
        <w:t>for</w:t>
      </w:r>
      <w:r w:rsidR="000A5329" w:rsidRPr="002029AF">
        <w:t xml:space="preserve"> </w:t>
      </w:r>
      <w:r w:rsidRPr="002029AF">
        <w:t>other</w:t>
      </w:r>
      <w:r w:rsidR="000A5329" w:rsidRPr="002029AF">
        <w:t xml:space="preserve"> </w:t>
      </w:r>
      <w:r w:rsidRPr="002029AF">
        <w:t>government-related</w:t>
      </w:r>
      <w:r w:rsidR="000A5329" w:rsidRPr="002029AF">
        <w:t xml:space="preserve"> </w:t>
      </w:r>
      <w:r w:rsidRPr="002029AF">
        <w:t>entity</w:t>
      </w:r>
      <w:r w:rsidR="000A5329" w:rsidRPr="002029AF">
        <w:t xml:space="preserve"> </w:t>
      </w:r>
      <w:r w:rsidRPr="002029AF">
        <w:t>transactions.</w:t>
      </w:r>
    </w:p>
    <w:p w14:paraId="0704AC42" w14:textId="75EAE2C0" w:rsidR="00087B91" w:rsidRPr="002029AF" w:rsidRDefault="00087B91" w:rsidP="00087B91">
      <w:pPr>
        <w:pStyle w:val="ARfinbody"/>
      </w:pPr>
      <w:r w:rsidRPr="002029AF">
        <w:rPr>
          <w:rStyle w:val="Strong"/>
        </w:rPr>
        <w:t>Key</w:t>
      </w:r>
      <w:r w:rsidR="000A5329" w:rsidRPr="002029AF">
        <w:rPr>
          <w:rStyle w:val="Strong"/>
        </w:rPr>
        <w:t xml:space="preserve"> </w:t>
      </w:r>
      <w:r w:rsidRPr="002029AF">
        <w:rPr>
          <w:rStyle w:val="Strong"/>
        </w:rPr>
        <w:t>management</w:t>
      </w:r>
      <w:r w:rsidR="000A5329" w:rsidRPr="002029AF">
        <w:rPr>
          <w:rStyle w:val="Strong"/>
        </w:rPr>
        <w:t xml:space="preserve"> </w:t>
      </w:r>
      <w:r w:rsidRPr="002029AF">
        <w:rPr>
          <w:rStyle w:val="Strong"/>
        </w:rPr>
        <w:t>personnel</w:t>
      </w:r>
      <w:r w:rsidR="000A5329" w:rsidRPr="002029AF">
        <w:t xml:space="preserve"> </w:t>
      </w:r>
      <w:r w:rsidRPr="002029AF">
        <w:t>of</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include</w:t>
      </w:r>
      <w:r w:rsidR="000A5329" w:rsidRPr="002029AF">
        <w:t xml:space="preserve"> </w:t>
      </w:r>
      <w:r w:rsidRPr="002029AF">
        <w:t>the</w:t>
      </w:r>
      <w:r w:rsidR="000A5329" w:rsidRPr="002029AF">
        <w:t xml:space="preserve"> </w:t>
      </w:r>
      <w:r w:rsidRPr="002029AF">
        <w:t>Portfolio</w:t>
      </w:r>
      <w:r w:rsidR="000A5329" w:rsidRPr="002029AF">
        <w:t xml:space="preserve"> </w:t>
      </w:r>
      <w:r w:rsidRPr="002029AF">
        <w:t>Ministers,</w:t>
      </w:r>
      <w:r w:rsidR="000A5329" w:rsidRPr="002029AF">
        <w:t xml:space="preserve"> </w:t>
      </w:r>
      <w:r w:rsidRPr="002029AF">
        <w:t>The</w:t>
      </w:r>
      <w:r w:rsidR="000A5329" w:rsidRPr="002029AF">
        <w:t xml:space="preserve"> </w:t>
      </w:r>
      <w:r w:rsidRPr="002029AF">
        <w:t>Hon.</w:t>
      </w:r>
      <w:r w:rsidR="000A5329" w:rsidRPr="002029AF">
        <w:t xml:space="preserve"> </w:t>
      </w:r>
      <w:r w:rsidRPr="002029AF">
        <w:t>Jenny</w:t>
      </w:r>
      <w:r w:rsidR="000A5329" w:rsidRPr="002029AF">
        <w:t xml:space="preserve"> </w:t>
      </w:r>
      <w:r w:rsidRPr="002029AF">
        <w:t>Mikakos</w:t>
      </w:r>
      <w:r w:rsidR="000A5329" w:rsidRPr="002029AF">
        <w:t xml:space="preserve"> </w:t>
      </w:r>
      <w:r w:rsidRPr="002029AF">
        <w:t>MP,</w:t>
      </w:r>
      <w:r w:rsidR="000A5329" w:rsidRPr="002029AF">
        <w:t xml:space="preserve"> </w:t>
      </w:r>
      <w:r w:rsidRPr="002029AF">
        <w:t>The</w:t>
      </w:r>
      <w:r w:rsidR="000A5329" w:rsidRPr="002029AF">
        <w:t xml:space="preserve"> </w:t>
      </w:r>
      <w:r w:rsidRPr="002029AF">
        <w:t>Hon.</w:t>
      </w:r>
      <w:r w:rsidR="000A5329" w:rsidRPr="002029AF">
        <w:t xml:space="preserve"> </w:t>
      </w:r>
      <w:r w:rsidRPr="002029AF">
        <w:t>Martin</w:t>
      </w:r>
      <w:r w:rsidR="000A5329" w:rsidRPr="002029AF">
        <w:t xml:space="preserve"> </w:t>
      </w:r>
      <w:r w:rsidRPr="002029AF">
        <w:t>Foley</w:t>
      </w:r>
      <w:r w:rsidR="000A5329" w:rsidRPr="002029AF">
        <w:t xml:space="preserve"> </w:t>
      </w:r>
      <w:r w:rsidRPr="002029AF">
        <w:t>MP,</w:t>
      </w:r>
      <w:r w:rsidR="000A5329" w:rsidRPr="002029AF">
        <w:t xml:space="preserve"> </w:t>
      </w:r>
      <w:r w:rsidR="002E6A29" w:rsidRPr="002029AF">
        <w:t>The Hon. Gabrielle Williams MP</w:t>
      </w:r>
      <w:r w:rsidR="002E6A29">
        <w:t>,</w:t>
      </w:r>
      <w:r w:rsidR="002E6A29" w:rsidRPr="002029AF">
        <w:t xml:space="preserve"> </w:t>
      </w:r>
      <w:r w:rsidRPr="002029AF">
        <w:t>The</w:t>
      </w:r>
      <w:r w:rsidR="000A5329" w:rsidRPr="002029AF">
        <w:t xml:space="preserve"> </w:t>
      </w:r>
      <w:r w:rsidRPr="002029AF">
        <w:t>Hon.</w:t>
      </w:r>
      <w:r w:rsidR="000A5329" w:rsidRPr="002029AF">
        <w:t xml:space="preserve"> </w:t>
      </w:r>
      <w:r w:rsidRPr="002029AF">
        <w:t>Richard</w:t>
      </w:r>
      <w:r w:rsidR="000A5329" w:rsidRPr="002029AF">
        <w:t xml:space="preserve"> </w:t>
      </w:r>
      <w:r w:rsidRPr="002029AF">
        <w:t>Wynne</w:t>
      </w:r>
      <w:r w:rsidR="000A5329" w:rsidRPr="002029AF">
        <w:t xml:space="preserve"> </w:t>
      </w:r>
      <w:r w:rsidRPr="002029AF">
        <w:t>MP,</w:t>
      </w:r>
      <w:r w:rsidR="000A5329" w:rsidRPr="002029AF">
        <w:t xml:space="preserve"> </w:t>
      </w:r>
      <w:r w:rsidRPr="002029AF">
        <w:t>and</w:t>
      </w:r>
      <w:r w:rsidR="000A5329" w:rsidRPr="002029AF">
        <w:t xml:space="preserve"> </w:t>
      </w:r>
      <w:r w:rsidRPr="002029AF">
        <w:t>The</w:t>
      </w:r>
      <w:r w:rsidR="000A5329" w:rsidRPr="002029AF">
        <w:t xml:space="preserve"> </w:t>
      </w:r>
      <w:r w:rsidRPr="002029AF">
        <w:t>Hon.</w:t>
      </w:r>
      <w:r w:rsidR="000A5329" w:rsidRPr="002029AF">
        <w:t xml:space="preserve"> </w:t>
      </w:r>
      <w:r w:rsidRPr="002029AF">
        <w:t>Luke</w:t>
      </w:r>
      <w:r w:rsidR="000A5329" w:rsidRPr="002029AF">
        <w:t xml:space="preserve"> </w:t>
      </w:r>
      <w:r w:rsidRPr="002029AF">
        <w:t>Donnellan</w:t>
      </w:r>
      <w:r w:rsidR="000A5329" w:rsidRPr="002029AF">
        <w:t xml:space="preserve"> </w:t>
      </w:r>
      <w:r w:rsidRPr="002029AF">
        <w:t>MP;</w:t>
      </w:r>
      <w:r w:rsidR="000A5329" w:rsidRPr="002029AF">
        <w:t xml:space="preserve"> </w:t>
      </w:r>
      <w:r w:rsidRPr="002029AF">
        <w:t>the</w:t>
      </w:r>
      <w:r w:rsidR="000A5329" w:rsidRPr="002029AF">
        <w:t xml:space="preserve"> </w:t>
      </w:r>
      <w:r w:rsidRPr="002029AF">
        <w:t>Secretary,</w:t>
      </w:r>
      <w:r w:rsidR="000A5329" w:rsidRPr="002029AF">
        <w:t xml:space="preserve"> </w:t>
      </w:r>
      <w:r w:rsidRPr="002029AF">
        <w:t>Kym</w:t>
      </w:r>
      <w:r w:rsidR="000A5329" w:rsidRPr="002029AF">
        <w:t xml:space="preserve"> </w:t>
      </w:r>
      <w:r w:rsidRPr="002029AF">
        <w:t>Peake</w:t>
      </w:r>
      <w:r w:rsidR="000A5329" w:rsidRPr="002029AF">
        <w:t xml:space="preserve"> </w:t>
      </w:r>
      <w:r w:rsidRPr="002029AF">
        <w:t>and</w:t>
      </w:r>
      <w:r w:rsidR="000A5329" w:rsidRPr="002029AF">
        <w:t xml:space="preserve"> </w:t>
      </w:r>
      <w:r w:rsidRPr="002029AF">
        <w:t>members</w:t>
      </w:r>
      <w:r w:rsidR="000A5329" w:rsidRPr="002029AF">
        <w:t xml:space="preserve"> </w:t>
      </w:r>
      <w:r w:rsidRPr="002029AF">
        <w:t>of</w:t>
      </w:r>
      <w:r w:rsidR="000A5329" w:rsidRPr="002029AF">
        <w:t xml:space="preserve"> </w:t>
      </w:r>
      <w:r w:rsidRPr="002029AF">
        <w:t>the</w:t>
      </w:r>
      <w:r w:rsidR="000A5329" w:rsidRPr="002029AF">
        <w:t xml:space="preserve"> </w:t>
      </w:r>
      <w:r w:rsidRPr="002029AF">
        <w:t>Senior</w:t>
      </w:r>
      <w:r w:rsidR="000A5329" w:rsidRPr="002029AF">
        <w:t xml:space="preserve"> </w:t>
      </w:r>
      <w:r w:rsidRPr="002029AF">
        <w:t>Executive</w:t>
      </w:r>
      <w:r w:rsidR="000A5329" w:rsidRPr="002029AF">
        <w:t xml:space="preserve"> </w:t>
      </w:r>
      <w:r w:rsidRPr="002029AF">
        <w:t>Team,</w:t>
      </w:r>
      <w:r w:rsidR="000A5329" w:rsidRPr="002029AF">
        <w:t xml:space="preserve"> </w:t>
      </w:r>
      <w:r w:rsidRPr="002029AF">
        <w:t>which</w:t>
      </w:r>
      <w:r w:rsidR="000A5329" w:rsidRPr="002029AF">
        <w:t xml:space="preserve"> </w:t>
      </w:r>
      <w:r w:rsidRPr="002029AF">
        <w:t>includes:</w:t>
      </w:r>
    </w:p>
    <w:p w14:paraId="595118FF" w14:textId="3083C47A" w:rsidR="00087B91" w:rsidRPr="002029AF" w:rsidRDefault="00087B91" w:rsidP="00087B91">
      <w:pPr>
        <w:pStyle w:val="ARfinbullet1"/>
      </w:pPr>
      <w:r w:rsidRPr="002029AF">
        <w:t>Deputy</w:t>
      </w:r>
      <w:r w:rsidR="000A5329" w:rsidRPr="002029AF">
        <w:t xml:space="preserve"> </w:t>
      </w:r>
      <w:r w:rsidRPr="002029AF">
        <w:t>Secretary,</w:t>
      </w:r>
      <w:r w:rsidR="000A5329" w:rsidRPr="002029AF">
        <w:t xml:space="preserve"> </w:t>
      </w:r>
      <w:r w:rsidRPr="002029AF">
        <w:t>Corporate</w:t>
      </w:r>
      <w:r w:rsidR="000A5329" w:rsidRPr="002029AF">
        <w:t xml:space="preserve"> </w:t>
      </w:r>
      <w:r w:rsidRPr="002029AF">
        <w:t>Services,</w:t>
      </w:r>
      <w:r w:rsidR="000A5329" w:rsidRPr="002029AF">
        <w:t xml:space="preserve"> </w:t>
      </w:r>
      <w:r w:rsidRPr="002029AF">
        <w:t>Greg</w:t>
      </w:r>
      <w:r w:rsidR="000A5329" w:rsidRPr="002029AF">
        <w:t xml:space="preserve"> </w:t>
      </w:r>
      <w:r w:rsidRPr="002029AF">
        <w:t>Stenton</w:t>
      </w:r>
    </w:p>
    <w:p w14:paraId="1738D13F" w14:textId="1BAA15F3" w:rsidR="00087B91" w:rsidRPr="002029AF" w:rsidRDefault="00087B91" w:rsidP="00087B91">
      <w:pPr>
        <w:pStyle w:val="ARfinbullet1"/>
      </w:pPr>
      <w:r w:rsidRPr="002029AF">
        <w:t>Former</w:t>
      </w:r>
      <w:r w:rsidR="000A5329" w:rsidRPr="002029AF">
        <w:t xml:space="preserve"> </w:t>
      </w:r>
      <w:r w:rsidRPr="002029AF">
        <w:t>Deputy</w:t>
      </w:r>
      <w:r w:rsidR="000A5329" w:rsidRPr="002029AF">
        <w:t xml:space="preserve"> </w:t>
      </w:r>
      <w:r w:rsidRPr="002029AF">
        <w:t>Secretary,</w:t>
      </w:r>
      <w:r w:rsidR="000A5329" w:rsidRPr="002029AF">
        <w:t xml:space="preserve"> </w:t>
      </w:r>
      <w:r w:rsidRPr="002029AF">
        <w:t>Housing</w:t>
      </w:r>
      <w:r w:rsidR="000A5329" w:rsidRPr="002029AF">
        <w:t xml:space="preserve"> </w:t>
      </w:r>
      <w:r w:rsidRPr="002029AF">
        <w:t>and</w:t>
      </w:r>
      <w:r w:rsidR="000A5329" w:rsidRPr="002029AF">
        <w:t xml:space="preserve"> </w:t>
      </w:r>
      <w:r w:rsidRPr="002029AF">
        <w:t>Infrastructure,</w:t>
      </w:r>
      <w:r w:rsidR="000A5329" w:rsidRPr="002029AF">
        <w:t xml:space="preserve"> </w:t>
      </w:r>
      <w:r w:rsidRPr="002029AF">
        <w:t>Nick</w:t>
      </w:r>
      <w:r w:rsidR="000A5329" w:rsidRPr="002029AF">
        <w:t xml:space="preserve"> </w:t>
      </w:r>
      <w:r w:rsidRPr="002029AF">
        <w:t>Foa</w:t>
      </w:r>
    </w:p>
    <w:p w14:paraId="79C012DC" w14:textId="48E07F5D" w:rsidR="00087B91" w:rsidRPr="002029AF" w:rsidRDefault="00087B91" w:rsidP="00087B91">
      <w:pPr>
        <w:pStyle w:val="ARfinbullet1"/>
      </w:pPr>
      <w:r w:rsidRPr="002029AF">
        <w:t>Deputy</w:t>
      </w:r>
      <w:r w:rsidR="000A5329" w:rsidRPr="002029AF">
        <w:t xml:space="preserve"> </w:t>
      </w:r>
      <w:r w:rsidRPr="002029AF">
        <w:t>Secretary,</w:t>
      </w:r>
      <w:r w:rsidR="000A5329" w:rsidRPr="002029AF">
        <w:t xml:space="preserve"> </w:t>
      </w:r>
      <w:r w:rsidRPr="002029AF">
        <w:t>Housing,</w:t>
      </w:r>
      <w:r w:rsidR="000A5329" w:rsidRPr="002029AF">
        <w:t xml:space="preserve"> </w:t>
      </w:r>
      <w:r w:rsidRPr="002029AF">
        <w:t>Ben</w:t>
      </w:r>
      <w:r w:rsidR="000A5329" w:rsidRPr="002029AF">
        <w:t xml:space="preserve"> </w:t>
      </w:r>
      <w:r w:rsidRPr="002029AF">
        <w:t>Rimmer</w:t>
      </w:r>
    </w:p>
    <w:p w14:paraId="58A06BDF" w14:textId="7DDE5AA2" w:rsidR="00087B91" w:rsidRPr="002029AF" w:rsidRDefault="00087B91" w:rsidP="00087B91">
      <w:pPr>
        <w:pStyle w:val="ARfinbullet1"/>
      </w:pPr>
      <w:r w:rsidRPr="002029AF">
        <w:t>Deputy</w:t>
      </w:r>
      <w:r w:rsidR="000A5329" w:rsidRPr="002029AF">
        <w:t xml:space="preserve"> </w:t>
      </w:r>
      <w:r w:rsidRPr="002029AF">
        <w:t>Secretary,</w:t>
      </w:r>
      <w:r w:rsidR="000A5329" w:rsidRPr="002029AF">
        <w:t xml:space="preserve"> </w:t>
      </w:r>
      <w:r w:rsidRPr="002029AF">
        <w:t>Infrastructure,</w:t>
      </w:r>
      <w:r w:rsidR="000A5329" w:rsidRPr="002029AF">
        <w:t xml:space="preserve"> </w:t>
      </w:r>
      <w:r w:rsidRPr="002029AF">
        <w:t>Chris</w:t>
      </w:r>
      <w:r w:rsidR="000A5329" w:rsidRPr="002029AF">
        <w:t xml:space="preserve"> </w:t>
      </w:r>
      <w:r w:rsidRPr="002029AF">
        <w:t>Hotham</w:t>
      </w:r>
    </w:p>
    <w:p w14:paraId="1D571DDC" w14:textId="51A5A97E" w:rsidR="00087B91" w:rsidRPr="002029AF" w:rsidRDefault="00087B91" w:rsidP="00087B91">
      <w:pPr>
        <w:pStyle w:val="ARfinbullet1"/>
      </w:pPr>
      <w:r w:rsidRPr="002029AF">
        <w:t>Deputy</w:t>
      </w:r>
      <w:r w:rsidR="000A5329" w:rsidRPr="002029AF">
        <w:t xml:space="preserve"> </w:t>
      </w:r>
      <w:r w:rsidRPr="002029AF">
        <w:t>Secretary,</w:t>
      </w:r>
      <w:r w:rsidR="000A5329" w:rsidRPr="002029AF">
        <w:t xml:space="preserve"> </w:t>
      </w:r>
      <w:r w:rsidRPr="002029AF">
        <w:t>Regulation,</w:t>
      </w:r>
      <w:r w:rsidR="000A5329" w:rsidRPr="002029AF">
        <w:t xml:space="preserve"> </w:t>
      </w:r>
      <w:r w:rsidRPr="002029AF">
        <w:t>Health</w:t>
      </w:r>
      <w:r w:rsidR="000A5329" w:rsidRPr="002029AF">
        <w:t xml:space="preserve"> </w:t>
      </w:r>
      <w:r w:rsidRPr="002029AF">
        <w:t>Protection</w:t>
      </w:r>
      <w:r w:rsidR="000A5329" w:rsidRPr="002029AF">
        <w:t xml:space="preserve"> </w:t>
      </w:r>
      <w:r w:rsidRPr="002029AF">
        <w:t>and</w:t>
      </w:r>
      <w:r w:rsidR="000A5329" w:rsidRPr="002029AF">
        <w:t xml:space="preserve"> </w:t>
      </w:r>
      <w:r w:rsidRPr="002029AF">
        <w:t>Emergency</w:t>
      </w:r>
      <w:r w:rsidR="000A5329" w:rsidRPr="002029AF">
        <w:t xml:space="preserve"> </w:t>
      </w:r>
      <w:r w:rsidRPr="002029AF">
        <w:t>Management,</w:t>
      </w:r>
      <w:r w:rsidR="000A5329" w:rsidRPr="002029AF">
        <w:t xml:space="preserve"> </w:t>
      </w:r>
      <w:r w:rsidRPr="002029AF">
        <w:t>Melissa</w:t>
      </w:r>
      <w:r w:rsidR="000A5329" w:rsidRPr="002029AF">
        <w:t xml:space="preserve"> </w:t>
      </w:r>
      <w:r w:rsidRPr="002029AF">
        <w:t>Skilbeck</w:t>
      </w:r>
    </w:p>
    <w:p w14:paraId="32213E37" w14:textId="78260B96" w:rsidR="00087B91" w:rsidRPr="002029AF" w:rsidRDefault="00087B91" w:rsidP="00087B91">
      <w:pPr>
        <w:pStyle w:val="ARfinbullet1"/>
      </w:pPr>
      <w:r w:rsidRPr="002029AF">
        <w:t>Deputy</w:t>
      </w:r>
      <w:r w:rsidR="000A5329" w:rsidRPr="002029AF">
        <w:t xml:space="preserve"> </w:t>
      </w:r>
      <w:r w:rsidRPr="002029AF">
        <w:t>Secretary,</w:t>
      </w:r>
      <w:r w:rsidR="000A5329" w:rsidRPr="002029AF">
        <w:t xml:space="preserve"> </w:t>
      </w:r>
      <w:r w:rsidRPr="002029AF">
        <w:t>Health</w:t>
      </w:r>
      <w:r w:rsidR="000A5329" w:rsidRPr="002029AF">
        <w:t xml:space="preserve"> </w:t>
      </w:r>
      <w:r w:rsidRPr="002029AF">
        <w:t>and</w:t>
      </w:r>
      <w:r w:rsidR="000A5329" w:rsidRPr="002029AF">
        <w:t xml:space="preserve"> </w:t>
      </w:r>
      <w:r w:rsidRPr="002029AF">
        <w:t>Wellbeing,</w:t>
      </w:r>
      <w:r w:rsidR="000A5329" w:rsidRPr="002029AF">
        <w:t xml:space="preserve"> </w:t>
      </w:r>
      <w:r w:rsidRPr="002029AF">
        <w:t>Terry</w:t>
      </w:r>
      <w:r w:rsidR="000A5329" w:rsidRPr="002029AF">
        <w:t xml:space="preserve"> </w:t>
      </w:r>
      <w:r w:rsidRPr="002029AF">
        <w:t>Symonds</w:t>
      </w:r>
    </w:p>
    <w:p w14:paraId="405C8DC9" w14:textId="5877E316" w:rsidR="00087B91" w:rsidRPr="002029AF" w:rsidRDefault="00087B91" w:rsidP="00087B91">
      <w:pPr>
        <w:pStyle w:val="ARfinbullet1"/>
      </w:pPr>
      <w:r w:rsidRPr="002029AF">
        <w:t>Deputy</w:t>
      </w:r>
      <w:r w:rsidR="000A5329" w:rsidRPr="002029AF">
        <w:t xml:space="preserve"> </w:t>
      </w:r>
      <w:r w:rsidRPr="002029AF">
        <w:t>Secretary,</w:t>
      </w:r>
      <w:r w:rsidR="000A5329" w:rsidRPr="002029AF">
        <w:t xml:space="preserve"> </w:t>
      </w:r>
      <w:r w:rsidRPr="002029AF">
        <w:t>Community</w:t>
      </w:r>
      <w:r w:rsidR="000A5329" w:rsidRPr="002029AF">
        <w:t xml:space="preserve"> </w:t>
      </w:r>
      <w:r w:rsidRPr="002029AF">
        <w:t>Services</w:t>
      </w:r>
      <w:r w:rsidR="000A5329" w:rsidRPr="002029AF">
        <w:t xml:space="preserve"> </w:t>
      </w:r>
      <w:r w:rsidRPr="002029AF">
        <w:t>Operations,</w:t>
      </w:r>
      <w:r w:rsidR="000A5329" w:rsidRPr="002029AF">
        <w:t xml:space="preserve"> </w:t>
      </w:r>
      <w:r w:rsidRPr="002029AF">
        <w:t>Chris</w:t>
      </w:r>
      <w:r w:rsidR="000A5329" w:rsidRPr="002029AF">
        <w:t xml:space="preserve"> </w:t>
      </w:r>
      <w:r w:rsidRPr="002029AF">
        <w:t>Asquini</w:t>
      </w:r>
    </w:p>
    <w:p w14:paraId="39B82EA3" w14:textId="051BD767" w:rsidR="00087B91" w:rsidRPr="002029AF" w:rsidRDefault="00087B91" w:rsidP="00087B91">
      <w:pPr>
        <w:pStyle w:val="ARfinbullet1"/>
      </w:pPr>
      <w:r w:rsidRPr="002029AF">
        <w:t>Deputy</w:t>
      </w:r>
      <w:r w:rsidR="000A5329" w:rsidRPr="002029AF">
        <w:t xml:space="preserve"> </w:t>
      </w:r>
      <w:r w:rsidRPr="002029AF">
        <w:t>Secretary,</w:t>
      </w:r>
      <w:r w:rsidR="000A5329" w:rsidRPr="002029AF">
        <w:t xml:space="preserve"> </w:t>
      </w:r>
      <w:r w:rsidRPr="002029AF">
        <w:t>Strategy</w:t>
      </w:r>
      <w:r w:rsidR="000A5329" w:rsidRPr="002029AF">
        <w:t xml:space="preserve"> </w:t>
      </w:r>
      <w:r w:rsidRPr="002029AF">
        <w:t>and</w:t>
      </w:r>
      <w:r w:rsidR="000A5329" w:rsidRPr="002029AF">
        <w:t xml:space="preserve"> </w:t>
      </w:r>
      <w:r w:rsidRPr="002029AF">
        <w:t>Planning,</w:t>
      </w:r>
      <w:r w:rsidR="000A5329" w:rsidRPr="002029AF">
        <w:t xml:space="preserve"> </w:t>
      </w:r>
      <w:r w:rsidRPr="002029AF">
        <w:t>Amity</w:t>
      </w:r>
      <w:r w:rsidR="000A5329" w:rsidRPr="002029AF">
        <w:t xml:space="preserve"> </w:t>
      </w:r>
      <w:r w:rsidRPr="002029AF">
        <w:t>Durham</w:t>
      </w:r>
    </w:p>
    <w:p w14:paraId="69E1FC27" w14:textId="1C513EAB" w:rsidR="00087B91" w:rsidRPr="002029AF" w:rsidRDefault="00087B91" w:rsidP="00087B91">
      <w:pPr>
        <w:pStyle w:val="ARfinbullet1"/>
      </w:pPr>
      <w:r w:rsidRPr="002029AF">
        <w:t>Deputy</w:t>
      </w:r>
      <w:r w:rsidR="000A5329" w:rsidRPr="002029AF">
        <w:t xml:space="preserve"> </w:t>
      </w:r>
      <w:r w:rsidRPr="002029AF">
        <w:t>Secretary,</w:t>
      </w:r>
      <w:r w:rsidR="000A5329" w:rsidRPr="002029AF">
        <w:t xml:space="preserve"> </w:t>
      </w:r>
      <w:r w:rsidRPr="002029AF">
        <w:t>Children</w:t>
      </w:r>
      <w:r w:rsidR="000A5329" w:rsidRPr="002029AF">
        <w:t xml:space="preserve"> </w:t>
      </w:r>
      <w:r w:rsidRPr="002029AF">
        <w:t>and</w:t>
      </w:r>
      <w:r w:rsidR="000A5329" w:rsidRPr="002029AF">
        <w:t xml:space="preserve"> </w:t>
      </w:r>
      <w:r w:rsidRPr="002029AF">
        <w:t>Families,</w:t>
      </w:r>
      <w:r w:rsidR="000A5329" w:rsidRPr="002029AF">
        <w:t xml:space="preserve"> </w:t>
      </w:r>
      <w:r w:rsidRPr="002029AF">
        <w:t>Argiri</w:t>
      </w:r>
      <w:r w:rsidR="000A5329" w:rsidRPr="002029AF">
        <w:t xml:space="preserve"> </w:t>
      </w:r>
      <w:r w:rsidRPr="002029AF">
        <w:t>Alisandratos</w:t>
      </w:r>
    </w:p>
    <w:p w14:paraId="1D935550" w14:textId="692EBC54" w:rsidR="00087B91" w:rsidRPr="002029AF" w:rsidRDefault="00087B91" w:rsidP="00087B91">
      <w:pPr>
        <w:pStyle w:val="ARfinbullet1"/>
      </w:pPr>
      <w:r w:rsidRPr="002029AF">
        <w:t>Deputy</w:t>
      </w:r>
      <w:r w:rsidR="000A5329" w:rsidRPr="002029AF">
        <w:t xml:space="preserve"> </w:t>
      </w:r>
      <w:r w:rsidRPr="002029AF">
        <w:t>Secretary,</w:t>
      </w:r>
      <w:r w:rsidR="000A5329" w:rsidRPr="002029AF">
        <w:t xml:space="preserve"> </w:t>
      </w:r>
      <w:r w:rsidRPr="002029AF">
        <w:t>Organisational</w:t>
      </w:r>
      <w:r w:rsidR="000A5329" w:rsidRPr="002029AF">
        <w:t xml:space="preserve"> </w:t>
      </w:r>
      <w:r w:rsidRPr="002029AF">
        <w:t>Transformation,</w:t>
      </w:r>
      <w:r w:rsidR="000A5329" w:rsidRPr="002029AF">
        <w:t xml:space="preserve"> </w:t>
      </w:r>
      <w:r w:rsidRPr="002029AF">
        <w:t>Nick</w:t>
      </w:r>
      <w:r w:rsidR="000A5329" w:rsidRPr="002029AF">
        <w:t xml:space="preserve"> </w:t>
      </w:r>
      <w:r w:rsidRPr="002029AF">
        <w:t>Chiam</w:t>
      </w:r>
    </w:p>
    <w:p w14:paraId="383C9C2E" w14:textId="4EA5DABF" w:rsidR="00087B91" w:rsidRPr="002029AF" w:rsidRDefault="00087B91" w:rsidP="00087B91">
      <w:pPr>
        <w:pStyle w:val="ARfinbullet1"/>
      </w:pPr>
      <w:r w:rsidRPr="002029AF">
        <w:t>Deputy</w:t>
      </w:r>
      <w:r w:rsidR="000A5329" w:rsidRPr="002029AF">
        <w:t xml:space="preserve"> </w:t>
      </w:r>
      <w:r w:rsidRPr="002029AF">
        <w:t>Secretary,</w:t>
      </w:r>
      <w:r w:rsidR="000A5329" w:rsidRPr="002029AF">
        <w:t xml:space="preserve"> </w:t>
      </w:r>
      <w:r w:rsidRPr="002029AF">
        <w:t>Legal</w:t>
      </w:r>
      <w:r w:rsidR="000A5329" w:rsidRPr="002029AF">
        <w:t xml:space="preserve"> </w:t>
      </w:r>
      <w:r w:rsidRPr="002029AF">
        <w:t>and</w:t>
      </w:r>
      <w:r w:rsidR="000A5329" w:rsidRPr="002029AF">
        <w:t xml:space="preserve"> </w:t>
      </w:r>
      <w:r w:rsidRPr="002029AF">
        <w:t>Executive</w:t>
      </w:r>
      <w:r w:rsidR="000A5329" w:rsidRPr="002029AF">
        <w:t xml:space="preserve"> </w:t>
      </w:r>
      <w:r w:rsidRPr="002029AF">
        <w:t>Services,</w:t>
      </w:r>
      <w:r w:rsidR="000A5329" w:rsidRPr="002029AF">
        <w:t xml:space="preserve"> </w:t>
      </w:r>
      <w:r w:rsidRPr="002029AF">
        <w:t>Jacinda</w:t>
      </w:r>
      <w:r w:rsidR="000A5329" w:rsidRPr="002029AF">
        <w:t xml:space="preserve"> </w:t>
      </w:r>
      <w:r w:rsidRPr="002029AF">
        <w:t>de</w:t>
      </w:r>
      <w:r w:rsidR="000A5329" w:rsidRPr="002029AF">
        <w:t xml:space="preserve"> </w:t>
      </w:r>
      <w:r w:rsidRPr="002029AF">
        <w:t>Witts</w:t>
      </w:r>
    </w:p>
    <w:p w14:paraId="08405A72" w14:textId="461394B6" w:rsidR="00087B91" w:rsidRPr="002029AF" w:rsidRDefault="00087B91" w:rsidP="00087B91">
      <w:pPr>
        <w:pStyle w:val="ARfinbullet1"/>
      </w:pPr>
      <w:r w:rsidRPr="002029AF">
        <w:t>Chief</w:t>
      </w:r>
      <w:r w:rsidR="000A5329" w:rsidRPr="002029AF">
        <w:t xml:space="preserve"> </w:t>
      </w:r>
      <w:r w:rsidRPr="002029AF">
        <w:t>Finance</w:t>
      </w:r>
      <w:r w:rsidR="000A5329" w:rsidRPr="002029AF">
        <w:t xml:space="preserve"> </w:t>
      </w:r>
      <w:r w:rsidRPr="002029AF">
        <w:t>Officer,</w:t>
      </w:r>
      <w:r w:rsidR="000A5329" w:rsidRPr="002029AF">
        <w:t xml:space="preserve"> </w:t>
      </w:r>
      <w:r w:rsidRPr="002029AF">
        <w:t>Jenny</w:t>
      </w:r>
      <w:r w:rsidR="000A5329" w:rsidRPr="002029AF">
        <w:t xml:space="preserve"> </w:t>
      </w:r>
      <w:r w:rsidRPr="002029AF">
        <w:t>Zahara</w:t>
      </w:r>
    </w:p>
    <w:p w14:paraId="27DA70B4" w14:textId="30B596DA" w:rsidR="00087B91" w:rsidRPr="002029AF" w:rsidRDefault="00087B91" w:rsidP="00087B91">
      <w:pPr>
        <w:pStyle w:val="ARfinbullet1"/>
      </w:pPr>
      <w:r w:rsidRPr="002029AF">
        <w:t>Acting</w:t>
      </w:r>
      <w:r w:rsidR="000A5329" w:rsidRPr="002029AF">
        <w:t xml:space="preserve"> </w:t>
      </w:r>
      <w:r w:rsidRPr="002029AF">
        <w:t>Chief</w:t>
      </w:r>
      <w:r w:rsidR="000A5329" w:rsidRPr="002029AF">
        <w:t xml:space="preserve"> </w:t>
      </w:r>
      <w:r w:rsidRPr="002029AF">
        <w:t>Finance</w:t>
      </w:r>
      <w:r w:rsidR="000A5329" w:rsidRPr="002029AF">
        <w:t xml:space="preserve"> </w:t>
      </w:r>
      <w:r w:rsidRPr="002029AF">
        <w:t>Officer,</w:t>
      </w:r>
      <w:r w:rsidR="000A5329" w:rsidRPr="002029AF">
        <w:t xml:space="preserve"> </w:t>
      </w:r>
      <w:r w:rsidRPr="002029AF">
        <w:t>Beth</w:t>
      </w:r>
      <w:r w:rsidR="000A5329" w:rsidRPr="002029AF">
        <w:t xml:space="preserve"> </w:t>
      </w:r>
      <w:r w:rsidRPr="002029AF">
        <w:t>Gubbins</w:t>
      </w:r>
      <w:r w:rsidR="000F29DD">
        <w:t>.</w:t>
      </w:r>
    </w:p>
    <w:p w14:paraId="02226018" w14:textId="72095993" w:rsidR="00087B91" w:rsidRPr="002029AF" w:rsidRDefault="00087B91" w:rsidP="00087B91">
      <w:pPr>
        <w:pStyle w:val="ARfinbodylargespace"/>
      </w:pPr>
      <w:r w:rsidRPr="002029AF">
        <w:rPr>
          <w:rStyle w:val="Strong"/>
        </w:rPr>
        <w:t>Key</w:t>
      </w:r>
      <w:r w:rsidR="000A5329" w:rsidRPr="002029AF">
        <w:rPr>
          <w:rStyle w:val="Strong"/>
        </w:rPr>
        <w:t xml:space="preserve"> </w:t>
      </w:r>
      <w:r w:rsidRPr="002029AF">
        <w:rPr>
          <w:rStyle w:val="Strong"/>
        </w:rPr>
        <w:t>management</w:t>
      </w:r>
      <w:r w:rsidR="000A5329" w:rsidRPr="002029AF">
        <w:rPr>
          <w:rStyle w:val="Strong"/>
        </w:rPr>
        <w:t xml:space="preserve"> </w:t>
      </w:r>
      <w:r w:rsidRPr="002029AF">
        <w:rPr>
          <w:rStyle w:val="Strong"/>
        </w:rPr>
        <w:t>personnel</w:t>
      </w:r>
      <w:r w:rsidR="000A5329" w:rsidRPr="002029AF">
        <w:t xml:space="preserve"> </w:t>
      </w:r>
      <w:r w:rsidRPr="002029AF">
        <w:t>of</w:t>
      </w:r>
      <w:r w:rsidR="000A5329" w:rsidRPr="002029AF">
        <w:t xml:space="preserve"> </w:t>
      </w:r>
      <w:r w:rsidRPr="002029AF">
        <w:t>the</w:t>
      </w:r>
      <w:r w:rsidR="000A5329" w:rsidRPr="002029AF">
        <w:t xml:space="preserve"> </w:t>
      </w:r>
      <w:r w:rsidRPr="002029AF">
        <w:t>Administrative</w:t>
      </w:r>
      <w:r w:rsidR="000A5329" w:rsidRPr="002029AF">
        <w:t xml:space="preserve"> </w:t>
      </w:r>
      <w:r w:rsidRPr="002029AF">
        <w:t>Offices</w:t>
      </w:r>
      <w:r w:rsidR="000A5329" w:rsidRPr="002029AF">
        <w:t xml:space="preserve"> </w:t>
      </w:r>
      <w:r w:rsidRPr="002029AF">
        <w:t>consolidated</w:t>
      </w:r>
      <w:r w:rsidR="000A5329" w:rsidRPr="002029AF">
        <w:t xml:space="preserve"> </w:t>
      </w:r>
      <w:r w:rsidRPr="002029AF">
        <w:t>pursuant</w:t>
      </w:r>
      <w:r w:rsidR="000A5329" w:rsidRPr="002029AF">
        <w:t xml:space="preserve"> </w:t>
      </w:r>
      <w:r w:rsidRPr="002029AF">
        <w:t>to</w:t>
      </w:r>
      <w:r w:rsidR="000A5329" w:rsidRPr="002029AF">
        <w:t xml:space="preserve"> </w:t>
      </w:r>
      <w:r w:rsidRPr="002029AF">
        <w:t>s.</w:t>
      </w:r>
      <w:r w:rsidR="000A5329" w:rsidRPr="002029AF">
        <w:t xml:space="preserve"> </w:t>
      </w:r>
      <w:r w:rsidRPr="002029AF">
        <w:t>45(4)</w:t>
      </w:r>
      <w:r w:rsidR="000A5329" w:rsidRPr="002029AF">
        <w:t xml:space="preserve"> </w:t>
      </w:r>
      <w:r w:rsidRPr="002029AF">
        <w:t>of</w:t>
      </w:r>
      <w:r w:rsidR="000A5329" w:rsidRPr="002029AF">
        <w:t xml:space="preserve"> </w:t>
      </w:r>
      <w:r w:rsidRPr="002029AF">
        <w:t>the</w:t>
      </w:r>
      <w:r w:rsidR="000A5329" w:rsidRPr="002029AF">
        <w:t xml:space="preserve"> </w:t>
      </w:r>
      <w:r w:rsidRPr="002029AF">
        <w:rPr>
          <w:i/>
          <w:iCs/>
        </w:rPr>
        <w:t>Financial</w:t>
      </w:r>
      <w:r w:rsidR="000A5329" w:rsidRPr="002029AF">
        <w:rPr>
          <w:i/>
          <w:iCs/>
        </w:rPr>
        <w:t xml:space="preserve"> </w:t>
      </w:r>
      <w:r w:rsidRPr="002029AF">
        <w:rPr>
          <w:i/>
          <w:iCs/>
        </w:rPr>
        <w:t>Management</w:t>
      </w:r>
      <w:r w:rsidR="000A5329" w:rsidRPr="002029AF">
        <w:rPr>
          <w:i/>
          <w:iCs/>
        </w:rPr>
        <w:t xml:space="preserve"> </w:t>
      </w:r>
      <w:r w:rsidRPr="002029AF">
        <w:rPr>
          <w:i/>
          <w:iCs/>
        </w:rPr>
        <w:t>Act</w:t>
      </w:r>
      <w:r w:rsidR="000A5329" w:rsidRPr="002029AF">
        <w:rPr>
          <w:i/>
          <w:iCs/>
        </w:rPr>
        <w:t xml:space="preserve"> </w:t>
      </w:r>
      <w:r w:rsidRPr="002029AF">
        <w:rPr>
          <w:i/>
          <w:iCs/>
        </w:rPr>
        <w:t>1994</w:t>
      </w:r>
      <w:r w:rsidR="000A5329" w:rsidRPr="002029AF">
        <w:t xml:space="preserve"> </w:t>
      </w:r>
      <w:r w:rsidRPr="002029AF">
        <w:t>into</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financial</w:t>
      </w:r>
      <w:r w:rsidR="000A5329" w:rsidRPr="002029AF">
        <w:t xml:space="preserve"> </w:t>
      </w:r>
      <w:r w:rsidRPr="002029AF">
        <w:t>statements</w:t>
      </w:r>
      <w:r w:rsidR="000A5329" w:rsidRPr="002029AF">
        <w:t xml:space="preserve"> </w:t>
      </w:r>
      <w:r w:rsidRPr="002029AF">
        <w:t>include:</w:t>
      </w:r>
    </w:p>
    <w:tbl>
      <w:tblPr>
        <w:tblStyle w:val="TableGrid"/>
        <w:tblW w:w="9639" w:type="dxa"/>
        <w:tblLayout w:type="fixed"/>
        <w:tblLook w:val="06A0" w:firstRow="1" w:lastRow="0" w:firstColumn="1" w:lastColumn="0" w:noHBand="1" w:noVBand="1"/>
      </w:tblPr>
      <w:tblGrid>
        <w:gridCol w:w="2513"/>
        <w:gridCol w:w="2100"/>
        <w:gridCol w:w="2513"/>
        <w:gridCol w:w="2513"/>
      </w:tblGrid>
      <w:tr w:rsidR="00087B91" w:rsidRPr="002029AF" w14:paraId="662799D4"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3402" w:type="dxa"/>
            <w:tcBorders>
              <w:bottom w:val="single" w:sz="4" w:space="0" w:color="auto"/>
            </w:tcBorders>
          </w:tcPr>
          <w:p w14:paraId="7BCD1CC2" w14:textId="77777777" w:rsidR="00087B91" w:rsidRPr="002029AF" w:rsidRDefault="00087B91" w:rsidP="00860E95">
            <w:pPr>
              <w:pStyle w:val="ARfintablecolhead"/>
            </w:pPr>
            <w:r w:rsidRPr="002029AF">
              <w:t>Entity</w:t>
            </w:r>
          </w:p>
        </w:tc>
        <w:tc>
          <w:tcPr>
            <w:tcW w:w="2835" w:type="dxa"/>
            <w:tcBorders>
              <w:bottom w:val="single" w:sz="4" w:space="0" w:color="auto"/>
            </w:tcBorders>
          </w:tcPr>
          <w:p w14:paraId="06D5267C" w14:textId="31F484B0" w:rsidR="00087B91" w:rsidRPr="002029AF" w:rsidRDefault="00087B91" w:rsidP="00860E95">
            <w:pPr>
              <w:pStyle w:val="ARfintablecolhead"/>
            </w:pPr>
            <w:r w:rsidRPr="002029AF">
              <w:t>Key</w:t>
            </w:r>
            <w:r w:rsidR="000A5329" w:rsidRPr="002029AF">
              <w:t xml:space="preserve"> </w:t>
            </w:r>
            <w:r w:rsidRPr="002029AF">
              <w:t>Management</w:t>
            </w:r>
            <w:r w:rsidR="000A5329" w:rsidRPr="002029AF">
              <w:t xml:space="preserve"> </w:t>
            </w:r>
            <w:r w:rsidRPr="002029AF">
              <w:t>Personnel</w:t>
            </w:r>
          </w:p>
        </w:tc>
        <w:tc>
          <w:tcPr>
            <w:tcW w:w="3402" w:type="dxa"/>
            <w:tcBorders>
              <w:bottom w:val="single" w:sz="4" w:space="0" w:color="auto"/>
            </w:tcBorders>
          </w:tcPr>
          <w:p w14:paraId="3A320BBC" w14:textId="016A89D8" w:rsidR="00087B91" w:rsidRPr="002029AF" w:rsidRDefault="00087B91" w:rsidP="00860E95">
            <w:pPr>
              <w:pStyle w:val="ARfintablecolhead"/>
            </w:pPr>
            <w:r w:rsidRPr="002029AF">
              <w:t>Position</w:t>
            </w:r>
            <w:r w:rsidR="000A5329" w:rsidRPr="002029AF">
              <w:t xml:space="preserve"> </w:t>
            </w:r>
            <w:r w:rsidRPr="002029AF">
              <w:t>title</w:t>
            </w:r>
          </w:p>
        </w:tc>
        <w:tc>
          <w:tcPr>
            <w:tcW w:w="3402" w:type="dxa"/>
            <w:tcBorders>
              <w:bottom w:val="single" w:sz="4" w:space="0" w:color="auto"/>
            </w:tcBorders>
          </w:tcPr>
          <w:p w14:paraId="2CF8F6FA" w14:textId="77777777" w:rsidR="00087B91" w:rsidRPr="002029AF" w:rsidRDefault="00087B91" w:rsidP="00860E95">
            <w:pPr>
              <w:pStyle w:val="ARfintablecolhead"/>
            </w:pPr>
            <w:r w:rsidRPr="002029AF">
              <w:t>Period</w:t>
            </w:r>
          </w:p>
        </w:tc>
      </w:tr>
      <w:tr w:rsidR="00087B91" w:rsidRPr="002029AF" w14:paraId="152E1B79" w14:textId="77777777" w:rsidTr="00860E95">
        <w:tc>
          <w:tcPr>
            <w:tcW w:w="3402" w:type="dxa"/>
            <w:tcBorders>
              <w:top w:val="single" w:sz="4" w:space="0" w:color="auto"/>
              <w:bottom w:val="single" w:sz="4" w:space="0" w:color="A6A6A6"/>
            </w:tcBorders>
          </w:tcPr>
          <w:p w14:paraId="18453F06" w14:textId="0BF33061" w:rsidR="00087B91" w:rsidRPr="002029AF" w:rsidRDefault="00087B91" w:rsidP="00860E95">
            <w:pPr>
              <w:pStyle w:val="ARfintablebody"/>
            </w:pPr>
            <w:r w:rsidRPr="002029AF">
              <w:t>Victorian</w:t>
            </w:r>
            <w:r w:rsidR="000A5329" w:rsidRPr="002029AF">
              <w:t xml:space="preserve"> </w:t>
            </w:r>
            <w:r w:rsidRPr="002029AF">
              <w:t>Agency</w:t>
            </w:r>
            <w:r w:rsidR="000A5329" w:rsidRPr="002029AF">
              <w:t xml:space="preserve"> </w:t>
            </w:r>
            <w:r w:rsidRPr="002029AF">
              <w:t>for</w:t>
            </w:r>
            <w:r w:rsidR="000A5329" w:rsidRPr="002029AF">
              <w:t xml:space="preserve"> </w:t>
            </w:r>
            <w:r w:rsidRPr="002029AF">
              <w:t>Health</w:t>
            </w:r>
            <w:r w:rsidR="000A5329" w:rsidRPr="002029AF">
              <w:t xml:space="preserve"> </w:t>
            </w:r>
            <w:r w:rsidRPr="002029AF">
              <w:t>Information</w:t>
            </w:r>
          </w:p>
        </w:tc>
        <w:tc>
          <w:tcPr>
            <w:tcW w:w="2835" w:type="dxa"/>
            <w:tcBorders>
              <w:top w:val="single" w:sz="4" w:space="0" w:color="auto"/>
              <w:bottom w:val="single" w:sz="4" w:space="0" w:color="A6A6A6"/>
            </w:tcBorders>
          </w:tcPr>
          <w:p w14:paraId="338F76F6" w14:textId="3AD1801A" w:rsidR="00087B91" w:rsidRPr="002029AF" w:rsidRDefault="00087B91" w:rsidP="00860E95">
            <w:pPr>
              <w:pStyle w:val="ARfintablebody"/>
            </w:pPr>
            <w:r w:rsidRPr="002029AF">
              <w:t>Lance</w:t>
            </w:r>
            <w:r w:rsidR="000A5329" w:rsidRPr="002029AF">
              <w:t xml:space="preserve"> </w:t>
            </w:r>
            <w:r w:rsidRPr="002029AF">
              <w:t>Emerson</w:t>
            </w:r>
          </w:p>
        </w:tc>
        <w:tc>
          <w:tcPr>
            <w:tcW w:w="3402" w:type="dxa"/>
            <w:tcBorders>
              <w:top w:val="single" w:sz="4" w:space="0" w:color="auto"/>
              <w:bottom w:val="single" w:sz="4" w:space="0" w:color="A6A6A6"/>
            </w:tcBorders>
          </w:tcPr>
          <w:p w14:paraId="21D39489" w14:textId="60EB38BA" w:rsidR="00087B91" w:rsidRPr="002029AF" w:rsidRDefault="00087B91" w:rsidP="00860E95">
            <w:pPr>
              <w:pStyle w:val="ARfintablebody"/>
            </w:pPr>
            <w:r w:rsidRPr="002029AF">
              <w:t>Chief</w:t>
            </w:r>
            <w:r w:rsidR="000A5329" w:rsidRPr="002029AF">
              <w:t xml:space="preserve"> </w:t>
            </w:r>
            <w:r w:rsidRPr="002029AF">
              <w:t>Executive</w:t>
            </w:r>
            <w:r w:rsidR="000A5329" w:rsidRPr="002029AF">
              <w:t xml:space="preserve"> </w:t>
            </w:r>
            <w:r w:rsidRPr="002029AF">
              <w:t>Officer</w:t>
            </w:r>
          </w:p>
        </w:tc>
        <w:tc>
          <w:tcPr>
            <w:tcW w:w="3402" w:type="dxa"/>
            <w:tcBorders>
              <w:top w:val="single" w:sz="4" w:space="0" w:color="auto"/>
              <w:bottom w:val="single" w:sz="4" w:space="0" w:color="A6A6A6"/>
            </w:tcBorders>
          </w:tcPr>
          <w:p w14:paraId="4CF60517" w14:textId="1D1D6860" w:rsidR="00087B91" w:rsidRPr="002029AF" w:rsidRDefault="00087B91" w:rsidP="00860E95">
            <w:pPr>
              <w:pStyle w:val="ARfintablebody"/>
            </w:pPr>
            <w:r w:rsidRPr="002029AF">
              <w:t>1</w:t>
            </w:r>
            <w:r w:rsidR="000A5329" w:rsidRPr="002029AF">
              <w:t xml:space="preserve"> </w:t>
            </w:r>
            <w:r w:rsidRPr="002029AF">
              <w:t>July</w:t>
            </w:r>
            <w:r w:rsidR="000A5329" w:rsidRPr="002029AF">
              <w:t xml:space="preserve"> </w:t>
            </w:r>
            <w:r w:rsidRPr="002029AF">
              <w:t>2019</w:t>
            </w:r>
            <w:r w:rsidR="000A5329" w:rsidRPr="002029AF">
              <w:t xml:space="preserve"> </w:t>
            </w:r>
            <w:r w:rsidRPr="002029AF">
              <w:t>to</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p>
        </w:tc>
      </w:tr>
      <w:tr w:rsidR="00087B91" w:rsidRPr="002029AF" w14:paraId="5F49B172" w14:textId="77777777" w:rsidTr="00860E95">
        <w:tc>
          <w:tcPr>
            <w:tcW w:w="3402" w:type="dxa"/>
            <w:tcBorders>
              <w:top w:val="single" w:sz="4" w:space="0" w:color="A6A6A6"/>
              <w:bottom w:val="single" w:sz="4" w:space="0" w:color="A6A6A6"/>
            </w:tcBorders>
          </w:tcPr>
          <w:p w14:paraId="24E0BBD0" w14:textId="75B4ED29" w:rsidR="00087B91" w:rsidRPr="002029AF" w:rsidRDefault="00087B91" w:rsidP="00860E95">
            <w:pPr>
              <w:pStyle w:val="ARfintablebody"/>
            </w:pPr>
            <w:r w:rsidRPr="002029AF">
              <w:t>Safer</w:t>
            </w:r>
            <w:r w:rsidR="000A5329" w:rsidRPr="002029AF">
              <w:t xml:space="preserve"> </w:t>
            </w:r>
            <w:r w:rsidRPr="002029AF">
              <w:t>Care</w:t>
            </w:r>
            <w:r w:rsidR="000A5329" w:rsidRPr="002029AF">
              <w:t xml:space="preserve"> </w:t>
            </w:r>
            <w:r w:rsidRPr="002029AF">
              <w:t>Victoria</w:t>
            </w:r>
          </w:p>
        </w:tc>
        <w:tc>
          <w:tcPr>
            <w:tcW w:w="2835" w:type="dxa"/>
            <w:tcBorders>
              <w:top w:val="single" w:sz="4" w:space="0" w:color="A6A6A6"/>
              <w:bottom w:val="single" w:sz="4" w:space="0" w:color="A6A6A6"/>
            </w:tcBorders>
          </w:tcPr>
          <w:p w14:paraId="5C91DFA5" w14:textId="1ACC0859" w:rsidR="00087B91" w:rsidRPr="002029AF" w:rsidRDefault="00087B91" w:rsidP="00860E95">
            <w:pPr>
              <w:pStyle w:val="ARfintablebody"/>
            </w:pPr>
            <w:r w:rsidRPr="002029AF">
              <w:t>Euan</w:t>
            </w:r>
            <w:r w:rsidR="000A5329" w:rsidRPr="002029AF">
              <w:t xml:space="preserve"> </w:t>
            </w:r>
            <w:r w:rsidRPr="002029AF">
              <w:t>Wallace</w:t>
            </w:r>
          </w:p>
        </w:tc>
        <w:tc>
          <w:tcPr>
            <w:tcW w:w="3402" w:type="dxa"/>
            <w:tcBorders>
              <w:top w:val="single" w:sz="4" w:space="0" w:color="A6A6A6"/>
              <w:bottom w:val="single" w:sz="4" w:space="0" w:color="A6A6A6"/>
            </w:tcBorders>
          </w:tcPr>
          <w:p w14:paraId="633DA8E9" w14:textId="60EAEB0A" w:rsidR="00087B91" w:rsidRPr="002029AF" w:rsidRDefault="00087B91" w:rsidP="00860E95">
            <w:pPr>
              <w:pStyle w:val="ARfintablebody"/>
            </w:pPr>
            <w:r w:rsidRPr="002029AF">
              <w:t>Chief</w:t>
            </w:r>
            <w:r w:rsidR="000A5329" w:rsidRPr="002029AF">
              <w:t xml:space="preserve"> </w:t>
            </w:r>
            <w:r w:rsidRPr="002029AF">
              <w:t>Executive</w:t>
            </w:r>
            <w:r w:rsidR="000A5329" w:rsidRPr="002029AF">
              <w:t xml:space="preserve"> </w:t>
            </w:r>
            <w:r w:rsidRPr="002029AF">
              <w:t>Officer</w:t>
            </w:r>
          </w:p>
        </w:tc>
        <w:tc>
          <w:tcPr>
            <w:tcW w:w="3402" w:type="dxa"/>
            <w:tcBorders>
              <w:top w:val="single" w:sz="4" w:space="0" w:color="A6A6A6"/>
              <w:bottom w:val="single" w:sz="4" w:space="0" w:color="A6A6A6"/>
            </w:tcBorders>
          </w:tcPr>
          <w:p w14:paraId="4F85E908" w14:textId="0D346590" w:rsidR="00087B91" w:rsidRPr="002029AF" w:rsidRDefault="00087B91" w:rsidP="00860E95">
            <w:pPr>
              <w:pStyle w:val="ARfintablebody"/>
            </w:pPr>
            <w:r w:rsidRPr="002029AF">
              <w:t>1</w:t>
            </w:r>
            <w:r w:rsidR="000A5329" w:rsidRPr="002029AF">
              <w:t xml:space="preserve"> </w:t>
            </w:r>
            <w:r w:rsidRPr="002029AF">
              <w:t>July</w:t>
            </w:r>
            <w:r w:rsidR="000A5329" w:rsidRPr="002029AF">
              <w:t xml:space="preserve"> </w:t>
            </w:r>
            <w:r w:rsidRPr="002029AF">
              <w:t>2019</w:t>
            </w:r>
            <w:r w:rsidR="000A5329" w:rsidRPr="002029AF">
              <w:t xml:space="preserve"> </w:t>
            </w:r>
            <w:r w:rsidRPr="002029AF">
              <w:t>to</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p>
        </w:tc>
      </w:tr>
      <w:tr w:rsidR="00087B91" w:rsidRPr="002029AF" w14:paraId="6056BB34" w14:textId="77777777" w:rsidTr="00860E95">
        <w:tc>
          <w:tcPr>
            <w:tcW w:w="3402" w:type="dxa"/>
            <w:tcBorders>
              <w:top w:val="single" w:sz="4" w:space="0" w:color="A6A6A6"/>
              <w:bottom w:val="single" w:sz="4" w:space="0" w:color="A6A6A6"/>
            </w:tcBorders>
          </w:tcPr>
          <w:p w14:paraId="29293E94" w14:textId="6B890241" w:rsidR="00087B91" w:rsidRPr="002029AF" w:rsidRDefault="00087B91" w:rsidP="00860E95">
            <w:pPr>
              <w:pStyle w:val="ARfintablebody"/>
            </w:pPr>
            <w:r w:rsidRPr="002029AF">
              <w:t>Family</w:t>
            </w:r>
            <w:r w:rsidR="000A5329" w:rsidRPr="002029AF">
              <w:t xml:space="preserve"> </w:t>
            </w:r>
            <w:r w:rsidRPr="002029AF">
              <w:t>Safety</w:t>
            </w:r>
            <w:r w:rsidR="000A5329" w:rsidRPr="002029AF">
              <w:t xml:space="preserve"> </w:t>
            </w:r>
            <w:r w:rsidRPr="002029AF">
              <w:t>Victoria</w:t>
            </w:r>
          </w:p>
        </w:tc>
        <w:tc>
          <w:tcPr>
            <w:tcW w:w="2835" w:type="dxa"/>
            <w:tcBorders>
              <w:top w:val="single" w:sz="4" w:space="0" w:color="A6A6A6"/>
              <w:bottom w:val="single" w:sz="4" w:space="0" w:color="A6A6A6"/>
            </w:tcBorders>
          </w:tcPr>
          <w:p w14:paraId="2E527747" w14:textId="61592EFC" w:rsidR="00087B91" w:rsidRPr="002029AF" w:rsidRDefault="00087B91" w:rsidP="00860E95">
            <w:pPr>
              <w:pStyle w:val="ARfintablebody"/>
            </w:pPr>
            <w:r w:rsidRPr="002029AF">
              <w:t>Sue</w:t>
            </w:r>
            <w:r w:rsidR="000A5329" w:rsidRPr="002029AF">
              <w:t xml:space="preserve"> </w:t>
            </w:r>
            <w:r w:rsidRPr="002029AF">
              <w:t>Clifford</w:t>
            </w:r>
          </w:p>
        </w:tc>
        <w:tc>
          <w:tcPr>
            <w:tcW w:w="3402" w:type="dxa"/>
            <w:tcBorders>
              <w:top w:val="single" w:sz="4" w:space="0" w:color="A6A6A6"/>
              <w:bottom w:val="single" w:sz="4" w:space="0" w:color="A6A6A6"/>
            </w:tcBorders>
          </w:tcPr>
          <w:p w14:paraId="2CB6AB85" w14:textId="64918C8F" w:rsidR="00087B91" w:rsidRPr="002029AF" w:rsidRDefault="00087B91" w:rsidP="00860E95">
            <w:pPr>
              <w:pStyle w:val="ARfintablebody"/>
            </w:pPr>
            <w:r w:rsidRPr="002029AF">
              <w:t>Chief</w:t>
            </w:r>
            <w:r w:rsidR="000A5329" w:rsidRPr="002029AF">
              <w:t xml:space="preserve"> </w:t>
            </w:r>
            <w:r w:rsidRPr="002029AF">
              <w:t>Executive</w:t>
            </w:r>
            <w:r w:rsidR="000A5329" w:rsidRPr="002029AF">
              <w:t xml:space="preserve"> </w:t>
            </w:r>
            <w:r w:rsidRPr="002029AF">
              <w:t>Officer</w:t>
            </w:r>
          </w:p>
        </w:tc>
        <w:tc>
          <w:tcPr>
            <w:tcW w:w="3402" w:type="dxa"/>
            <w:tcBorders>
              <w:top w:val="single" w:sz="4" w:space="0" w:color="A6A6A6"/>
              <w:bottom w:val="single" w:sz="4" w:space="0" w:color="A6A6A6"/>
            </w:tcBorders>
          </w:tcPr>
          <w:p w14:paraId="76DEE727" w14:textId="6F1ED6CA" w:rsidR="00087B91" w:rsidRPr="002029AF" w:rsidRDefault="00087B91" w:rsidP="00860E95">
            <w:pPr>
              <w:pStyle w:val="ARfintablebody"/>
            </w:pPr>
            <w:r w:rsidRPr="002029AF">
              <w:t>1</w:t>
            </w:r>
            <w:r w:rsidR="000A5329" w:rsidRPr="002029AF">
              <w:t xml:space="preserve"> </w:t>
            </w:r>
            <w:r w:rsidRPr="002029AF">
              <w:t>July</w:t>
            </w:r>
            <w:r w:rsidR="000A5329" w:rsidRPr="002029AF">
              <w:t xml:space="preserve"> </w:t>
            </w:r>
            <w:r w:rsidRPr="002029AF">
              <w:t>2019</w:t>
            </w:r>
            <w:r w:rsidR="000A5329" w:rsidRPr="002029AF">
              <w:t xml:space="preserve"> </w:t>
            </w:r>
            <w:r w:rsidRPr="002029AF">
              <w:t>to</w:t>
            </w:r>
            <w:r w:rsidR="000A5329" w:rsidRPr="002029AF">
              <w:t xml:space="preserve"> </w:t>
            </w:r>
            <w:r w:rsidRPr="002029AF">
              <w:t>2</w:t>
            </w:r>
            <w:r w:rsidR="000A5329" w:rsidRPr="002029AF">
              <w:t xml:space="preserve"> </w:t>
            </w:r>
            <w:r w:rsidRPr="002029AF">
              <w:t>August</w:t>
            </w:r>
            <w:r w:rsidR="000A5329" w:rsidRPr="002029AF">
              <w:t xml:space="preserve"> </w:t>
            </w:r>
            <w:r w:rsidRPr="002029AF">
              <w:t>2019</w:t>
            </w:r>
          </w:p>
        </w:tc>
      </w:tr>
      <w:tr w:rsidR="00087B91" w:rsidRPr="002029AF" w14:paraId="44FE9DD2" w14:textId="77777777" w:rsidTr="00860E95">
        <w:tc>
          <w:tcPr>
            <w:tcW w:w="3402" w:type="dxa"/>
            <w:tcBorders>
              <w:top w:val="single" w:sz="4" w:space="0" w:color="A6A6A6"/>
              <w:bottom w:val="single" w:sz="4" w:space="0" w:color="A6A6A6"/>
            </w:tcBorders>
          </w:tcPr>
          <w:p w14:paraId="7A58936D" w14:textId="51D0B9CF" w:rsidR="00087B91" w:rsidRPr="002029AF" w:rsidRDefault="00087B91" w:rsidP="00860E95">
            <w:pPr>
              <w:pStyle w:val="ARfintablebody"/>
            </w:pPr>
            <w:r w:rsidRPr="002029AF">
              <w:t>Family</w:t>
            </w:r>
            <w:r w:rsidR="000A5329" w:rsidRPr="002029AF">
              <w:t xml:space="preserve"> </w:t>
            </w:r>
            <w:r w:rsidRPr="002029AF">
              <w:t>Safety</w:t>
            </w:r>
            <w:r w:rsidR="000A5329" w:rsidRPr="002029AF">
              <w:t xml:space="preserve"> </w:t>
            </w:r>
            <w:r w:rsidRPr="002029AF">
              <w:t>Victoria</w:t>
            </w:r>
          </w:p>
        </w:tc>
        <w:tc>
          <w:tcPr>
            <w:tcW w:w="2835" w:type="dxa"/>
            <w:tcBorders>
              <w:top w:val="single" w:sz="4" w:space="0" w:color="A6A6A6"/>
              <w:bottom w:val="single" w:sz="4" w:space="0" w:color="A6A6A6"/>
            </w:tcBorders>
          </w:tcPr>
          <w:p w14:paraId="331CBF20" w14:textId="59D67212" w:rsidR="00087B91" w:rsidRPr="002029AF" w:rsidRDefault="00087B91" w:rsidP="00860E95">
            <w:pPr>
              <w:pStyle w:val="ARfintablebody"/>
            </w:pPr>
            <w:r w:rsidRPr="002029AF">
              <w:t>Annette</w:t>
            </w:r>
            <w:r w:rsidR="000A5329" w:rsidRPr="002029AF">
              <w:t xml:space="preserve"> </w:t>
            </w:r>
            <w:r w:rsidRPr="002029AF">
              <w:t>Lancy</w:t>
            </w:r>
          </w:p>
        </w:tc>
        <w:tc>
          <w:tcPr>
            <w:tcW w:w="3402" w:type="dxa"/>
            <w:tcBorders>
              <w:top w:val="single" w:sz="4" w:space="0" w:color="A6A6A6"/>
              <w:bottom w:val="single" w:sz="4" w:space="0" w:color="A6A6A6"/>
            </w:tcBorders>
          </w:tcPr>
          <w:p w14:paraId="70DCF248" w14:textId="7341CB4D" w:rsidR="00087B91" w:rsidRPr="002029AF" w:rsidRDefault="00087B91" w:rsidP="00860E95">
            <w:pPr>
              <w:pStyle w:val="ARfintablebody"/>
            </w:pPr>
            <w:r w:rsidRPr="002029AF">
              <w:t>Acting</w:t>
            </w:r>
            <w:r w:rsidR="000A5329" w:rsidRPr="002029AF">
              <w:t xml:space="preserve"> </w:t>
            </w:r>
            <w:r w:rsidRPr="002029AF">
              <w:t>Chief</w:t>
            </w:r>
            <w:r w:rsidR="000A5329" w:rsidRPr="002029AF">
              <w:t xml:space="preserve"> </w:t>
            </w:r>
            <w:r w:rsidRPr="002029AF">
              <w:t>Executive</w:t>
            </w:r>
            <w:r w:rsidR="000A5329" w:rsidRPr="002029AF">
              <w:t xml:space="preserve"> </w:t>
            </w:r>
            <w:r w:rsidRPr="002029AF">
              <w:t>Officer</w:t>
            </w:r>
          </w:p>
        </w:tc>
        <w:tc>
          <w:tcPr>
            <w:tcW w:w="3402" w:type="dxa"/>
            <w:tcBorders>
              <w:top w:val="single" w:sz="4" w:space="0" w:color="A6A6A6"/>
              <w:bottom w:val="single" w:sz="4" w:space="0" w:color="A6A6A6"/>
            </w:tcBorders>
          </w:tcPr>
          <w:p w14:paraId="6747B52E" w14:textId="67FC03CA" w:rsidR="00087B91" w:rsidRPr="002029AF" w:rsidRDefault="00087B91" w:rsidP="00860E95">
            <w:pPr>
              <w:pStyle w:val="ARfintablebody"/>
            </w:pPr>
            <w:r w:rsidRPr="002029AF">
              <w:t>3</w:t>
            </w:r>
            <w:r w:rsidR="000A5329" w:rsidRPr="002029AF">
              <w:t xml:space="preserve"> </w:t>
            </w:r>
            <w:r w:rsidRPr="002029AF">
              <w:t>August</w:t>
            </w:r>
            <w:r w:rsidR="000A5329" w:rsidRPr="002029AF">
              <w:t xml:space="preserve"> </w:t>
            </w:r>
            <w:r w:rsidRPr="002029AF">
              <w:t>2019</w:t>
            </w:r>
            <w:r w:rsidR="000A5329" w:rsidRPr="002029AF">
              <w:t xml:space="preserve"> </w:t>
            </w:r>
            <w:r w:rsidRPr="002029AF">
              <w:t>to</w:t>
            </w:r>
            <w:r w:rsidR="000A5329" w:rsidRPr="002029AF">
              <w:t xml:space="preserve"> </w:t>
            </w:r>
            <w:r w:rsidRPr="002029AF">
              <w:t>22</w:t>
            </w:r>
            <w:r w:rsidR="000A5329" w:rsidRPr="002029AF">
              <w:t xml:space="preserve"> </w:t>
            </w:r>
            <w:r w:rsidRPr="002029AF">
              <w:t>March</w:t>
            </w:r>
            <w:r w:rsidR="000A5329" w:rsidRPr="002029AF">
              <w:t xml:space="preserve"> </w:t>
            </w:r>
            <w:r w:rsidRPr="002029AF">
              <w:t>2020</w:t>
            </w:r>
          </w:p>
        </w:tc>
      </w:tr>
      <w:tr w:rsidR="00087B91" w:rsidRPr="002029AF" w14:paraId="512196A2" w14:textId="77777777" w:rsidTr="00860E95">
        <w:tc>
          <w:tcPr>
            <w:tcW w:w="3402" w:type="dxa"/>
            <w:tcBorders>
              <w:top w:val="single" w:sz="4" w:space="0" w:color="A6A6A6"/>
              <w:bottom w:val="single" w:sz="4" w:space="0" w:color="A6A6A6"/>
            </w:tcBorders>
          </w:tcPr>
          <w:p w14:paraId="76F961A5" w14:textId="7DC5CF8A" w:rsidR="00087B91" w:rsidRPr="002029AF" w:rsidRDefault="00087B91" w:rsidP="00860E95">
            <w:pPr>
              <w:pStyle w:val="ARfintablebody"/>
            </w:pPr>
            <w:r w:rsidRPr="002029AF">
              <w:t>Family</w:t>
            </w:r>
            <w:r w:rsidR="000A5329" w:rsidRPr="002029AF">
              <w:t xml:space="preserve"> </w:t>
            </w:r>
            <w:r w:rsidRPr="002029AF">
              <w:t>Safety</w:t>
            </w:r>
            <w:r w:rsidR="000A5329" w:rsidRPr="002029AF">
              <w:t xml:space="preserve"> </w:t>
            </w:r>
            <w:r w:rsidRPr="002029AF">
              <w:t>Victoria</w:t>
            </w:r>
          </w:p>
        </w:tc>
        <w:tc>
          <w:tcPr>
            <w:tcW w:w="2835" w:type="dxa"/>
            <w:tcBorders>
              <w:top w:val="single" w:sz="4" w:space="0" w:color="A6A6A6"/>
              <w:bottom w:val="single" w:sz="4" w:space="0" w:color="A6A6A6"/>
            </w:tcBorders>
          </w:tcPr>
          <w:p w14:paraId="5823E768" w14:textId="31D66BC8" w:rsidR="00087B91" w:rsidRPr="002029AF" w:rsidRDefault="00087B91" w:rsidP="00860E95">
            <w:pPr>
              <w:pStyle w:val="ARfintablebody"/>
            </w:pPr>
            <w:r w:rsidRPr="002029AF">
              <w:t>Eleri</w:t>
            </w:r>
            <w:r w:rsidR="000A5329" w:rsidRPr="002029AF">
              <w:t xml:space="preserve"> </w:t>
            </w:r>
            <w:r w:rsidRPr="002029AF">
              <w:t>Butler</w:t>
            </w:r>
          </w:p>
        </w:tc>
        <w:tc>
          <w:tcPr>
            <w:tcW w:w="3402" w:type="dxa"/>
            <w:tcBorders>
              <w:top w:val="single" w:sz="4" w:space="0" w:color="A6A6A6"/>
              <w:bottom w:val="single" w:sz="4" w:space="0" w:color="A6A6A6"/>
            </w:tcBorders>
          </w:tcPr>
          <w:p w14:paraId="74717358" w14:textId="31541C80" w:rsidR="00087B91" w:rsidRPr="002029AF" w:rsidRDefault="00087B91" w:rsidP="00860E95">
            <w:pPr>
              <w:pStyle w:val="ARfintablebody"/>
            </w:pPr>
            <w:r w:rsidRPr="002029AF">
              <w:t>Chief</w:t>
            </w:r>
            <w:r w:rsidR="000A5329" w:rsidRPr="002029AF">
              <w:t xml:space="preserve"> </w:t>
            </w:r>
            <w:r w:rsidRPr="002029AF">
              <w:t>Executive</w:t>
            </w:r>
            <w:r w:rsidR="000A5329" w:rsidRPr="002029AF">
              <w:t xml:space="preserve"> </w:t>
            </w:r>
            <w:r w:rsidRPr="002029AF">
              <w:t>Officer</w:t>
            </w:r>
          </w:p>
        </w:tc>
        <w:tc>
          <w:tcPr>
            <w:tcW w:w="3402" w:type="dxa"/>
            <w:tcBorders>
              <w:top w:val="single" w:sz="4" w:space="0" w:color="A6A6A6"/>
              <w:bottom w:val="single" w:sz="4" w:space="0" w:color="A6A6A6"/>
            </w:tcBorders>
          </w:tcPr>
          <w:p w14:paraId="3F62ECC2" w14:textId="06745D6A" w:rsidR="00087B91" w:rsidRPr="002029AF" w:rsidRDefault="00087B91" w:rsidP="00860E95">
            <w:pPr>
              <w:pStyle w:val="ARfintablebody"/>
            </w:pPr>
            <w:r w:rsidRPr="002029AF">
              <w:t>23</w:t>
            </w:r>
            <w:r w:rsidR="000A5329" w:rsidRPr="002029AF">
              <w:t xml:space="preserve"> </w:t>
            </w:r>
            <w:r w:rsidRPr="002029AF">
              <w:t>March</w:t>
            </w:r>
            <w:r w:rsidR="000A5329" w:rsidRPr="002029AF">
              <w:t xml:space="preserve"> </w:t>
            </w:r>
            <w:r w:rsidRPr="002029AF">
              <w:t>2020</w:t>
            </w:r>
            <w:r w:rsidR="000A5329" w:rsidRPr="002029AF">
              <w:t xml:space="preserve"> </w:t>
            </w:r>
            <w:r w:rsidRPr="002029AF">
              <w:t>to</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p>
        </w:tc>
      </w:tr>
      <w:tr w:rsidR="00087B91" w:rsidRPr="002029AF" w14:paraId="6AE89612" w14:textId="77777777" w:rsidTr="00860E95">
        <w:tc>
          <w:tcPr>
            <w:tcW w:w="3402" w:type="dxa"/>
            <w:tcBorders>
              <w:top w:val="single" w:sz="4" w:space="0" w:color="A6A6A6"/>
            </w:tcBorders>
          </w:tcPr>
          <w:p w14:paraId="109C9B9F" w14:textId="2BAF1F7E" w:rsidR="00087B91" w:rsidRPr="002029AF" w:rsidRDefault="00087B91" w:rsidP="00860E95">
            <w:pPr>
              <w:pStyle w:val="ARfintablebody"/>
            </w:pPr>
            <w:r w:rsidRPr="002029AF">
              <w:t>Mental</w:t>
            </w:r>
            <w:r w:rsidR="000A5329" w:rsidRPr="002029AF">
              <w:t xml:space="preserve"> </w:t>
            </w:r>
            <w:r w:rsidRPr="002029AF">
              <w:t>Health</w:t>
            </w:r>
            <w:r w:rsidR="000A5329" w:rsidRPr="002029AF">
              <w:t xml:space="preserve"> </w:t>
            </w:r>
            <w:r w:rsidRPr="002029AF">
              <w:t>Reform</w:t>
            </w:r>
            <w:r w:rsidR="000A5329" w:rsidRPr="002029AF">
              <w:t xml:space="preserve"> </w:t>
            </w:r>
            <w:r w:rsidRPr="002029AF">
              <w:t>Victoria</w:t>
            </w:r>
          </w:p>
        </w:tc>
        <w:tc>
          <w:tcPr>
            <w:tcW w:w="2835" w:type="dxa"/>
            <w:tcBorders>
              <w:top w:val="single" w:sz="4" w:space="0" w:color="A6A6A6"/>
            </w:tcBorders>
          </w:tcPr>
          <w:p w14:paraId="630AE346" w14:textId="5F90E415" w:rsidR="00087B91" w:rsidRPr="002029AF" w:rsidRDefault="00087B91" w:rsidP="00860E95">
            <w:pPr>
              <w:pStyle w:val="ARfintablebody"/>
            </w:pPr>
            <w:r w:rsidRPr="002029AF">
              <w:t>Pam</w:t>
            </w:r>
            <w:r w:rsidR="000A5329" w:rsidRPr="002029AF">
              <w:t xml:space="preserve"> </w:t>
            </w:r>
            <w:r w:rsidRPr="002029AF">
              <w:t>Anders</w:t>
            </w:r>
          </w:p>
        </w:tc>
        <w:tc>
          <w:tcPr>
            <w:tcW w:w="3402" w:type="dxa"/>
            <w:tcBorders>
              <w:top w:val="single" w:sz="4" w:space="0" w:color="A6A6A6"/>
            </w:tcBorders>
          </w:tcPr>
          <w:p w14:paraId="33BDDD55" w14:textId="195EC0AC" w:rsidR="00087B91" w:rsidRPr="002029AF" w:rsidRDefault="00087B91" w:rsidP="00860E95">
            <w:pPr>
              <w:pStyle w:val="ARfintablebody"/>
            </w:pPr>
            <w:r w:rsidRPr="002029AF">
              <w:t>Chief</w:t>
            </w:r>
            <w:r w:rsidR="000A5329" w:rsidRPr="002029AF">
              <w:t xml:space="preserve"> </w:t>
            </w:r>
            <w:r w:rsidRPr="002029AF">
              <w:t>Executive</w:t>
            </w:r>
            <w:r w:rsidR="000A5329" w:rsidRPr="002029AF">
              <w:t xml:space="preserve"> </w:t>
            </w:r>
            <w:r w:rsidRPr="002029AF">
              <w:t>Officer</w:t>
            </w:r>
          </w:p>
        </w:tc>
        <w:tc>
          <w:tcPr>
            <w:tcW w:w="3402" w:type="dxa"/>
            <w:tcBorders>
              <w:top w:val="single" w:sz="4" w:space="0" w:color="A6A6A6"/>
            </w:tcBorders>
          </w:tcPr>
          <w:p w14:paraId="15E0C4BF" w14:textId="74B0131B" w:rsidR="00087B91" w:rsidRPr="002029AF" w:rsidRDefault="00087B91" w:rsidP="00860E95">
            <w:pPr>
              <w:pStyle w:val="ARfintablebody"/>
            </w:pPr>
            <w:r w:rsidRPr="002029AF">
              <w:t>3</w:t>
            </w:r>
            <w:r w:rsidR="000A5329" w:rsidRPr="002029AF">
              <w:t xml:space="preserve"> </w:t>
            </w:r>
            <w:r w:rsidRPr="002029AF">
              <w:t>February</w:t>
            </w:r>
            <w:r w:rsidR="000A5329" w:rsidRPr="002029AF">
              <w:t xml:space="preserve"> </w:t>
            </w:r>
            <w:r w:rsidRPr="002029AF">
              <w:t>2020</w:t>
            </w:r>
            <w:r w:rsidR="000A5329" w:rsidRPr="002029AF">
              <w:t xml:space="preserve"> </w:t>
            </w:r>
            <w:r w:rsidRPr="002029AF">
              <w:t>to</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p>
        </w:tc>
      </w:tr>
    </w:tbl>
    <w:p w14:paraId="77D223B3" w14:textId="6556CF34" w:rsidR="00087B91" w:rsidRPr="002029AF" w:rsidRDefault="00087B91" w:rsidP="00087B91">
      <w:pPr>
        <w:pStyle w:val="ARfinbodyaftertable"/>
        <w:spacing w:after="160"/>
      </w:pPr>
      <w:r w:rsidRPr="002029AF">
        <w:rPr>
          <w:b/>
          <w:bCs/>
        </w:rPr>
        <w:t>Key</w:t>
      </w:r>
      <w:r w:rsidR="000A5329" w:rsidRPr="002029AF">
        <w:rPr>
          <w:b/>
          <w:bCs/>
        </w:rPr>
        <w:t xml:space="preserve"> </w:t>
      </w:r>
      <w:r w:rsidRPr="002029AF">
        <w:rPr>
          <w:b/>
          <w:bCs/>
        </w:rPr>
        <w:t>management</w:t>
      </w:r>
      <w:r w:rsidR="000A5329" w:rsidRPr="002029AF">
        <w:rPr>
          <w:b/>
          <w:bCs/>
        </w:rPr>
        <w:t xml:space="preserve"> </w:t>
      </w:r>
      <w:r w:rsidRPr="002029AF">
        <w:rPr>
          <w:b/>
          <w:bCs/>
        </w:rPr>
        <w:t>personnel</w:t>
      </w:r>
      <w:r w:rsidR="000A5329" w:rsidRPr="002029AF">
        <w:rPr>
          <w:b/>
          <w:bCs/>
        </w:rPr>
        <w:t xml:space="preserve"> </w:t>
      </w:r>
      <w:r w:rsidRPr="002029AF">
        <w:t>of</w:t>
      </w:r>
      <w:r w:rsidR="000A5329" w:rsidRPr="002029AF">
        <w:t xml:space="preserve"> </w:t>
      </w:r>
      <w:r w:rsidRPr="002029AF">
        <w:t>the</w:t>
      </w:r>
      <w:r w:rsidR="000A5329" w:rsidRPr="002029AF">
        <w:t xml:space="preserve"> </w:t>
      </w:r>
      <w:r w:rsidRPr="002029AF">
        <w:t>agencies</w:t>
      </w:r>
      <w:r w:rsidR="000A5329" w:rsidRPr="002029AF">
        <w:t xml:space="preserve"> </w:t>
      </w:r>
      <w:r w:rsidRPr="002029AF">
        <w:t>consolidated</w:t>
      </w:r>
      <w:r w:rsidR="000A5329" w:rsidRPr="002029AF">
        <w:t xml:space="preserve"> </w:t>
      </w:r>
      <w:r w:rsidRPr="002029AF">
        <w:t>pursuant</w:t>
      </w:r>
      <w:r w:rsidR="000A5329" w:rsidRPr="002029AF">
        <w:t xml:space="preserve"> </w:t>
      </w:r>
      <w:r w:rsidRPr="002029AF">
        <w:t>to</w:t>
      </w:r>
      <w:r w:rsidR="000A5329" w:rsidRPr="002029AF">
        <w:t xml:space="preserve"> </w:t>
      </w:r>
      <w:r w:rsidRPr="002029AF">
        <w:t>s.</w:t>
      </w:r>
      <w:r w:rsidR="000A5329" w:rsidRPr="002029AF">
        <w:t xml:space="preserve"> </w:t>
      </w:r>
      <w:r w:rsidRPr="002029AF">
        <w:t>53(1)(b)</w:t>
      </w:r>
      <w:r w:rsidR="000A5329" w:rsidRPr="002029AF">
        <w:t xml:space="preserve"> </w:t>
      </w:r>
      <w:r w:rsidRPr="002029AF">
        <w:t>of</w:t>
      </w:r>
      <w:r w:rsidR="000A5329" w:rsidRPr="002029AF">
        <w:t xml:space="preserve"> </w:t>
      </w:r>
      <w:r w:rsidRPr="002029AF">
        <w:t>the</w:t>
      </w:r>
      <w:r w:rsidR="000A5329" w:rsidRPr="002029AF">
        <w:t xml:space="preserve"> </w:t>
      </w:r>
      <w:r w:rsidRPr="002029AF">
        <w:rPr>
          <w:i/>
          <w:iCs/>
        </w:rPr>
        <w:t>Financial</w:t>
      </w:r>
      <w:r w:rsidR="000A5329" w:rsidRPr="002029AF">
        <w:rPr>
          <w:i/>
          <w:iCs/>
        </w:rPr>
        <w:t xml:space="preserve"> </w:t>
      </w:r>
      <w:r w:rsidRPr="002029AF">
        <w:rPr>
          <w:i/>
          <w:iCs/>
        </w:rPr>
        <w:t>Management</w:t>
      </w:r>
      <w:r w:rsidR="000A5329" w:rsidRPr="002029AF">
        <w:rPr>
          <w:i/>
          <w:iCs/>
        </w:rPr>
        <w:t xml:space="preserve"> </w:t>
      </w:r>
      <w:r w:rsidRPr="002029AF">
        <w:rPr>
          <w:i/>
          <w:iCs/>
        </w:rPr>
        <w:t>Act</w:t>
      </w:r>
      <w:r w:rsidR="000A5329" w:rsidRPr="002029AF">
        <w:rPr>
          <w:i/>
          <w:iCs/>
        </w:rPr>
        <w:t xml:space="preserve"> </w:t>
      </w:r>
      <w:r w:rsidRPr="002029AF">
        <w:rPr>
          <w:i/>
          <w:iCs/>
        </w:rPr>
        <w:t>1994</w:t>
      </w:r>
      <w:r w:rsidR="000A5329" w:rsidRPr="002029AF">
        <w:t xml:space="preserve"> </w:t>
      </w:r>
      <w:r w:rsidRPr="002029AF">
        <w:t>into</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financial</w:t>
      </w:r>
      <w:r w:rsidR="000A5329" w:rsidRPr="002029AF">
        <w:t xml:space="preserve"> </w:t>
      </w:r>
      <w:r w:rsidRPr="002029AF">
        <w:t>statements</w:t>
      </w:r>
      <w:r w:rsidR="000A5329" w:rsidRPr="002029AF">
        <w:t xml:space="preserve"> </w:t>
      </w:r>
      <w:r w:rsidRPr="002029AF">
        <w:t>include:</w:t>
      </w:r>
    </w:p>
    <w:tbl>
      <w:tblPr>
        <w:tblStyle w:val="TableGrid"/>
        <w:tblW w:w="9634" w:type="dxa"/>
        <w:tblLayout w:type="fixed"/>
        <w:tblLook w:val="06A0" w:firstRow="1" w:lastRow="0" w:firstColumn="1" w:lastColumn="0" w:noHBand="1" w:noVBand="1"/>
      </w:tblPr>
      <w:tblGrid>
        <w:gridCol w:w="2547"/>
        <w:gridCol w:w="2126"/>
        <w:gridCol w:w="2552"/>
        <w:gridCol w:w="2409"/>
      </w:tblGrid>
      <w:tr w:rsidR="00087B91" w:rsidRPr="002029AF" w14:paraId="5A4E4AC1"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2547" w:type="dxa"/>
            <w:tcBorders>
              <w:bottom w:val="single" w:sz="4" w:space="0" w:color="auto"/>
            </w:tcBorders>
          </w:tcPr>
          <w:p w14:paraId="53B09146" w14:textId="77777777" w:rsidR="00087B91" w:rsidRPr="002029AF" w:rsidRDefault="00087B91" w:rsidP="00860E95">
            <w:pPr>
              <w:pStyle w:val="ARfintablecolhead"/>
            </w:pPr>
            <w:r w:rsidRPr="002029AF">
              <w:t>Entity</w:t>
            </w:r>
          </w:p>
        </w:tc>
        <w:tc>
          <w:tcPr>
            <w:tcW w:w="2126" w:type="dxa"/>
            <w:tcBorders>
              <w:bottom w:val="single" w:sz="4" w:space="0" w:color="auto"/>
            </w:tcBorders>
          </w:tcPr>
          <w:p w14:paraId="37C1FF06" w14:textId="5ABEA69F" w:rsidR="00087B91" w:rsidRPr="002029AF" w:rsidRDefault="00087B91" w:rsidP="00860E95">
            <w:pPr>
              <w:pStyle w:val="ARfintablecolhead"/>
            </w:pPr>
            <w:r w:rsidRPr="002029AF">
              <w:t>Key</w:t>
            </w:r>
            <w:r w:rsidR="000A5329" w:rsidRPr="002029AF">
              <w:t xml:space="preserve"> </w:t>
            </w:r>
            <w:r w:rsidRPr="002029AF">
              <w:t>management</w:t>
            </w:r>
            <w:r w:rsidR="000A5329" w:rsidRPr="002029AF">
              <w:t xml:space="preserve"> </w:t>
            </w:r>
            <w:r w:rsidRPr="002029AF">
              <w:t>personnel</w:t>
            </w:r>
          </w:p>
        </w:tc>
        <w:tc>
          <w:tcPr>
            <w:tcW w:w="2552" w:type="dxa"/>
            <w:tcBorders>
              <w:bottom w:val="single" w:sz="4" w:space="0" w:color="auto"/>
            </w:tcBorders>
          </w:tcPr>
          <w:p w14:paraId="286165CB" w14:textId="4393F26B" w:rsidR="00087B91" w:rsidRPr="002029AF" w:rsidRDefault="00087B91" w:rsidP="00860E95">
            <w:pPr>
              <w:pStyle w:val="ARfintablecolhead"/>
            </w:pPr>
            <w:r w:rsidRPr="002029AF">
              <w:t>Position</w:t>
            </w:r>
            <w:r w:rsidR="000A5329" w:rsidRPr="002029AF">
              <w:t xml:space="preserve"> </w:t>
            </w:r>
            <w:r w:rsidRPr="002029AF">
              <w:t>title</w:t>
            </w:r>
          </w:p>
        </w:tc>
        <w:tc>
          <w:tcPr>
            <w:tcW w:w="2409" w:type="dxa"/>
            <w:tcBorders>
              <w:bottom w:val="single" w:sz="4" w:space="0" w:color="auto"/>
            </w:tcBorders>
          </w:tcPr>
          <w:p w14:paraId="3B8AE3B4" w14:textId="77777777" w:rsidR="00087B91" w:rsidRPr="002029AF" w:rsidRDefault="00087B91" w:rsidP="00860E95">
            <w:pPr>
              <w:pStyle w:val="ARfintablecolhead"/>
            </w:pPr>
            <w:r w:rsidRPr="002029AF">
              <w:t>Period</w:t>
            </w:r>
          </w:p>
        </w:tc>
      </w:tr>
      <w:tr w:rsidR="00087B91" w:rsidRPr="002029AF" w14:paraId="603FD5F8" w14:textId="77777777" w:rsidTr="00860E95">
        <w:tc>
          <w:tcPr>
            <w:tcW w:w="2547" w:type="dxa"/>
            <w:tcBorders>
              <w:top w:val="single" w:sz="4" w:space="0" w:color="auto"/>
              <w:bottom w:val="single" w:sz="4" w:space="0" w:color="A6A6A6"/>
            </w:tcBorders>
          </w:tcPr>
          <w:p w14:paraId="0896AA34" w14:textId="56C26BFC" w:rsidR="00087B91" w:rsidRPr="002029AF" w:rsidRDefault="00087B91" w:rsidP="00860E95">
            <w:pPr>
              <w:pStyle w:val="ARfintablebody"/>
            </w:pPr>
            <w:r w:rsidRPr="002029AF">
              <w:t>Director</w:t>
            </w:r>
            <w:r w:rsidR="000A5329" w:rsidRPr="002029AF">
              <w:t xml:space="preserve"> </w:t>
            </w:r>
            <w:r w:rsidRPr="002029AF">
              <w:t>of</w:t>
            </w:r>
            <w:r w:rsidR="000A5329" w:rsidRPr="002029AF">
              <w:t xml:space="preserve"> </w:t>
            </w:r>
            <w:r w:rsidRPr="002029AF">
              <w:t>Housing</w:t>
            </w:r>
          </w:p>
        </w:tc>
        <w:tc>
          <w:tcPr>
            <w:tcW w:w="2126" w:type="dxa"/>
            <w:tcBorders>
              <w:top w:val="single" w:sz="4" w:space="0" w:color="auto"/>
              <w:bottom w:val="single" w:sz="4" w:space="0" w:color="A6A6A6"/>
            </w:tcBorders>
          </w:tcPr>
          <w:p w14:paraId="170C496F" w14:textId="7C85D2BA" w:rsidR="00087B91" w:rsidRPr="002029AF" w:rsidRDefault="00087B91" w:rsidP="00860E95">
            <w:pPr>
              <w:pStyle w:val="ARfintablebody"/>
            </w:pPr>
            <w:r w:rsidRPr="002029AF">
              <w:t>Nick</w:t>
            </w:r>
            <w:r w:rsidR="000A5329" w:rsidRPr="002029AF">
              <w:t xml:space="preserve"> </w:t>
            </w:r>
            <w:r w:rsidRPr="002029AF">
              <w:t>Foa</w:t>
            </w:r>
          </w:p>
        </w:tc>
        <w:tc>
          <w:tcPr>
            <w:tcW w:w="2552" w:type="dxa"/>
            <w:tcBorders>
              <w:top w:val="single" w:sz="4" w:space="0" w:color="auto"/>
              <w:bottom w:val="single" w:sz="4" w:space="0" w:color="A6A6A6"/>
            </w:tcBorders>
          </w:tcPr>
          <w:p w14:paraId="4D69F82C" w14:textId="46615F18" w:rsidR="00087B91" w:rsidRPr="002029AF" w:rsidRDefault="00087B91" w:rsidP="00860E95">
            <w:pPr>
              <w:pStyle w:val="ARfintablebody"/>
            </w:pPr>
            <w:r w:rsidRPr="002029AF">
              <w:t>Director</w:t>
            </w:r>
            <w:r w:rsidR="000A5329" w:rsidRPr="002029AF">
              <w:t xml:space="preserve"> </w:t>
            </w:r>
            <w:r w:rsidRPr="002029AF">
              <w:t>of</w:t>
            </w:r>
            <w:r w:rsidR="000A5329" w:rsidRPr="002029AF">
              <w:t xml:space="preserve"> </w:t>
            </w:r>
            <w:r w:rsidRPr="002029AF">
              <w:t>Housing</w:t>
            </w:r>
          </w:p>
        </w:tc>
        <w:tc>
          <w:tcPr>
            <w:tcW w:w="2409" w:type="dxa"/>
            <w:tcBorders>
              <w:top w:val="single" w:sz="4" w:space="0" w:color="auto"/>
              <w:bottom w:val="single" w:sz="4" w:space="0" w:color="A6A6A6"/>
            </w:tcBorders>
          </w:tcPr>
          <w:p w14:paraId="75628972" w14:textId="29981BF2" w:rsidR="00087B91" w:rsidRPr="002029AF" w:rsidRDefault="00087B91" w:rsidP="00860E95">
            <w:pPr>
              <w:pStyle w:val="ARfintablebody"/>
            </w:pPr>
            <w:r w:rsidRPr="002029AF">
              <w:t>1</w:t>
            </w:r>
            <w:r w:rsidR="000A5329" w:rsidRPr="002029AF">
              <w:t xml:space="preserve"> </w:t>
            </w:r>
            <w:r w:rsidRPr="002029AF">
              <w:t>July</w:t>
            </w:r>
            <w:r w:rsidR="000A5329" w:rsidRPr="002029AF">
              <w:t xml:space="preserve"> </w:t>
            </w:r>
            <w:r w:rsidRPr="002029AF">
              <w:t>2019</w:t>
            </w:r>
            <w:r w:rsidR="000A5329" w:rsidRPr="002029AF">
              <w:t xml:space="preserve"> </w:t>
            </w:r>
            <w:r w:rsidRPr="002029AF">
              <w:t>to</w:t>
            </w:r>
            <w:r w:rsidR="000A5329" w:rsidRPr="002029AF">
              <w:t xml:space="preserve"> </w:t>
            </w:r>
            <w:r w:rsidRPr="002029AF">
              <w:t>11</w:t>
            </w:r>
            <w:r w:rsidR="000A5329" w:rsidRPr="002029AF">
              <w:t xml:space="preserve"> </w:t>
            </w:r>
            <w:r w:rsidRPr="002029AF">
              <w:t>August</w:t>
            </w:r>
            <w:r w:rsidR="000A5329" w:rsidRPr="002029AF">
              <w:t xml:space="preserve"> </w:t>
            </w:r>
            <w:r w:rsidRPr="002029AF">
              <w:t>2019</w:t>
            </w:r>
          </w:p>
        </w:tc>
      </w:tr>
      <w:tr w:rsidR="00087B91" w:rsidRPr="002029AF" w14:paraId="10460473" w14:textId="77777777" w:rsidTr="00860E95">
        <w:tc>
          <w:tcPr>
            <w:tcW w:w="2547" w:type="dxa"/>
            <w:tcBorders>
              <w:top w:val="single" w:sz="4" w:space="0" w:color="A6A6A6"/>
              <w:bottom w:val="single" w:sz="4" w:space="0" w:color="A6A6A6"/>
            </w:tcBorders>
          </w:tcPr>
          <w:p w14:paraId="0C00792B" w14:textId="53931B42" w:rsidR="00087B91" w:rsidRPr="002029AF" w:rsidRDefault="00087B91" w:rsidP="00860E95">
            <w:pPr>
              <w:pStyle w:val="ARfintablebody"/>
            </w:pPr>
            <w:r w:rsidRPr="002029AF">
              <w:t>Director</w:t>
            </w:r>
            <w:r w:rsidR="000A5329" w:rsidRPr="002029AF">
              <w:t xml:space="preserve"> </w:t>
            </w:r>
            <w:r w:rsidRPr="002029AF">
              <w:t>of</w:t>
            </w:r>
            <w:r w:rsidR="000A5329" w:rsidRPr="002029AF">
              <w:t xml:space="preserve"> </w:t>
            </w:r>
            <w:r w:rsidRPr="002029AF">
              <w:t>Housing</w:t>
            </w:r>
          </w:p>
        </w:tc>
        <w:tc>
          <w:tcPr>
            <w:tcW w:w="2126" w:type="dxa"/>
            <w:tcBorders>
              <w:top w:val="single" w:sz="4" w:space="0" w:color="A6A6A6"/>
              <w:bottom w:val="single" w:sz="4" w:space="0" w:color="A6A6A6"/>
            </w:tcBorders>
          </w:tcPr>
          <w:p w14:paraId="09351395" w14:textId="32AC6B6D" w:rsidR="00087B91" w:rsidRPr="002029AF" w:rsidRDefault="00087B91" w:rsidP="00860E95">
            <w:pPr>
              <w:pStyle w:val="ARfintablebody"/>
            </w:pPr>
            <w:r w:rsidRPr="002029AF">
              <w:t>Chris</w:t>
            </w:r>
            <w:r w:rsidR="000A5329" w:rsidRPr="002029AF">
              <w:t xml:space="preserve"> </w:t>
            </w:r>
            <w:r w:rsidRPr="002029AF">
              <w:t>Hotham</w:t>
            </w:r>
          </w:p>
        </w:tc>
        <w:tc>
          <w:tcPr>
            <w:tcW w:w="2552" w:type="dxa"/>
            <w:tcBorders>
              <w:top w:val="single" w:sz="4" w:space="0" w:color="A6A6A6"/>
              <w:bottom w:val="single" w:sz="4" w:space="0" w:color="A6A6A6"/>
            </w:tcBorders>
          </w:tcPr>
          <w:p w14:paraId="543CEE01" w14:textId="47BA998E" w:rsidR="00087B91" w:rsidRPr="002029AF" w:rsidRDefault="00087B91" w:rsidP="00860E95">
            <w:pPr>
              <w:pStyle w:val="ARfintablebody"/>
            </w:pPr>
            <w:r w:rsidRPr="002029AF">
              <w:t>Acting</w:t>
            </w:r>
            <w:r w:rsidR="000A5329" w:rsidRPr="002029AF">
              <w:t xml:space="preserve"> </w:t>
            </w:r>
            <w:r w:rsidRPr="002029AF">
              <w:t>Director</w:t>
            </w:r>
            <w:r w:rsidR="000A5329" w:rsidRPr="002029AF">
              <w:t xml:space="preserve"> </w:t>
            </w:r>
            <w:r w:rsidRPr="002029AF">
              <w:t>of</w:t>
            </w:r>
            <w:r w:rsidR="000A5329" w:rsidRPr="002029AF">
              <w:t xml:space="preserve"> </w:t>
            </w:r>
            <w:r w:rsidRPr="002029AF">
              <w:t>Housing</w:t>
            </w:r>
          </w:p>
        </w:tc>
        <w:tc>
          <w:tcPr>
            <w:tcW w:w="2409" w:type="dxa"/>
            <w:tcBorders>
              <w:top w:val="single" w:sz="4" w:space="0" w:color="A6A6A6"/>
              <w:bottom w:val="single" w:sz="4" w:space="0" w:color="A6A6A6"/>
            </w:tcBorders>
          </w:tcPr>
          <w:p w14:paraId="40838304" w14:textId="658B934B" w:rsidR="00087B91" w:rsidRPr="002029AF" w:rsidRDefault="00087B91" w:rsidP="00860E95">
            <w:pPr>
              <w:pStyle w:val="ARfintablebody"/>
            </w:pPr>
            <w:r w:rsidRPr="002029AF">
              <w:t>12</w:t>
            </w:r>
            <w:r w:rsidR="000A5329" w:rsidRPr="002029AF">
              <w:t xml:space="preserve"> </w:t>
            </w:r>
            <w:r w:rsidRPr="002029AF">
              <w:t>August</w:t>
            </w:r>
            <w:r w:rsidR="000A5329" w:rsidRPr="002029AF">
              <w:t xml:space="preserve"> </w:t>
            </w:r>
            <w:r w:rsidRPr="002029AF">
              <w:t>2019</w:t>
            </w:r>
            <w:r w:rsidR="000A5329" w:rsidRPr="002029AF">
              <w:t xml:space="preserve"> </w:t>
            </w:r>
            <w:r w:rsidRPr="002029AF">
              <w:t>to</w:t>
            </w:r>
            <w:r w:rsidR="000A5329" w:rsidRPr="002029AF">
              <w:t xml:space="preserve"> </w:t>
            </w:r>
            <w:r w:rsidRPr="002029AF">
              <w:t>8</w:t>
            </w:r>
            <w:r w:rsidR="000A5329" w:rsidRPr="002029AF">
              <w:t xml:space="preserve"> </w:t>
            </w:r>
            <w:r w:rsidRPr="002029AF">
              <w:t>December</w:t>
            </w:r>
            <w:r w:rsidR="000A5329" w:rsidRPr="002029AF">
              <w:t xml:space="preserve"> </w:t>
            </w:r>
            <w:r w:rsidRPr="002029AF">
              <w:t>2019</w:t>
            </w:r>
          </w:p>
        </w:tc>
      </w:tr>
      <w:tr w:rsidR="00087B91" w:rsidRPr="002029AF" w14:paraId="58942DBC" w14:textId="77777777" w:rsidTr="00860E95">
        <w:tc>
          <w:tcPr>
            <w:tcW w:w="2547" w:type="dxa"/>
            <w:tcBorders>
              <w:top w:val="single" w:sz="4" w:space="0" w:color="A6A6A6"/>
              <w:bottom w:val="single" w:sz="4" w:space="0" w:color="A6A6A6"/>
            </w:tcBorders>
          </w:tcPr>
          <w:p w14:paraId="69257B01" w14:textId="4B4142AD" w:rsidR="00087B91" w:rsidRPr="002029AF" w:rsidRDefault="00087B91" w:rsidP="00860E95">
            <w:pPr>
              <w:pStyle w:val="ARfintablebody"/>
            </w:pPr>
            <w:r w:rsidRPr="002029AF">
              <w:t>Director</w:t>
            </w:r>
            <w:r w:rsidR="000A5329" w:rsidRPr="002029AF">
              <w:t xml:space="preserve"> </w:t>
            </w:r>
            <w:r w:rsidRPr="002029AF">
              <w:t>of</w:t>
            </w:r>
            <w:r w:rsidR="000A5329" w:rsidRPr="002029AF">
              <w:t xml:space="preserve"> </w:t>
            </w:r>
            <w:r w:rsidRPr="002029AF">
              <w:t>Housing</w:t>
            </w:r>
          </w:p>
        </w:tc>
        <w:tc>
          <w:tcPr>
            <w:tcW w:w="2126" w:type="dxa"/>
            <w:tcBorders>
              <w:top w:val="single" w:sz="4" w:space="0" w:color="A6A6A6"/>
              <w:bottom w:val="single" w:sz="4" w:space="0" w:color="A6A6A6"/>
            </w:tcBorders>
          </w:tcPr>
          <w:p w14:paraId="5DECBD4A" w14:textId="3EC56D03" w:rsidR="00087B91" w:rsidRPr="002029AF" w:rsidRDefault="00087B91" w:rsidP="00860E95">
            <w:pPr>
              <w:pStyle w:val="ARfintablebody"/>
            </w:pPr>
            <w:r w:rsidRPr="002029AF">
              <w:t>Ben</w:t>
            </w:r>
            <w:r w:rsidR="000A5329" w:rsidRPr="002029AF">
              <w:t xml:space="preserve"> </w:t>
            </w:r>
            <w:r w:rsidRPr="002029AF">
              <w:t>Rimmer</w:t>
            </w:r>
          </w:p>
        </w:tc>
        <w:tc>
          <w:tcPr>
            <w:tcW w:w="2552" w:type="dxa"/>
            <w:tcBorders>
              <w:top w:val="single" w:sz="4" w:space="0" w:color="A6A6A6"/>
              <w:bottom w:val="single" w:sz="4" w:space="0" w:color="A6A6A6"/>
            </w:tcBorders>
          </w:tcPr>
          <w:p w14:paraId="5E26973F" w14:textId="67D68E76" w:rsidR="00087B91" w:rsidRPr="002029AF" w:rsidRDefault="00087B91" w:rsidP="00860E95">
            <w:pPr>
              <w:pStyle w:val="ARfintablebody"/>
            </w:pPr>
            <w:r w:rsidRPr="002029AF">
              <w:t>Director</w:t>
            </w:r>
            <w:r w:rsidR="000A5329" w:rsidRPr="002029AF">
              <w:t xml:space="preserve"> </w:t>
            </w:r>
            <w:r w:rsidRPr="002029AF">
              <w:t>of</w:t>
            </w:r>
            <w:r w:rsidR="000A5329" w:rsidRPr="002029AF">
              <w:t xml:space="preserve"> </w:t>
            </w:r>
            <w:r w:rsidRPr="002029AF">
              <w:t>Housing</w:t>
            </w:r>
          </w:p>
        </w:tc>
        <w:tc>
          <w:tcPr>
            <w:tcW w:w="2409" w:type="dxa"/>
            <w:tcBorders>
              <w:top w:val="single" w:sz="4" w:space="0" w:color="A6A6A6"/>
              <w:bottom w:val="single" w:sz="4" w:space="0" w:color="A6A6A6"/>
            </w:tcBorders>
          </w:tcPr>
          <w:p w14:paraId="09854426" w14:textId="38964311" w:rsidR="00087B91" w:rsidRPr="002029AF" w:rsidRDefault="00087B91" w:rsidP="00860E95">
            <w:pPr>
              <w:pStyle w:val="ARfintablebody"/>
            </w:pPr>
            <w:r w:rsidRPr="002029AF">
              <w:t>9</w:t>
            </w:r>
            <w:r w:rsidR="000A5329" w:rsidRPr="002029AF">
              <w:t xml:space="preserve"> </w:t>
            </w:r>
            <w:r w:rsidRPr="002029AF">
              <w:t>December</w:t>
            </w:r>
            <w:r w:rsidR="000A5329" w:rsidRPr="002029AF">
              <w:t xml:space="preserve"> </w:t>
            </w:r>
            <w:r w:rsidRPr="002029AF">
              <w:t>2019</w:t>
            </w:r>
            <w:r w:rsidR="000A5329" w:rsidRPr="002029AF">
              <w:t xml:space="preserve"> </w:t>
            </w:r>
            <w:r w:rsidRPr="002029AF">
              <w:t>to</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p>
        </w:tc>
      </w:tr>
      <w:tr w:rsidR="00087B91" w:rsidRPr="002029AF" w14:paraId="4D05961E" w14:textId="77777777" w:rsidTr="00860E95">
        <w:tc>
          <w:tcPr>
            <w:tcW w:w="2547" w:type="dxa"/>
            <w:tcBorders>
              <w:top w:val="single" w:sz="4" w:space="0" w:color="A6A6A6"/>
              <w:bottom w:val="single" w:sz="4" w:space="0" w:color="A6A6A6"/>
            </w:tcBorders>
          </w:tcPr>
          <w:p w14:paraId="47AB6D86" w14:textId="0B2A6207" w:rsidR="00087B91" w:rsidRPr="002029AF" w:rsidRDefault="00087B91" w:rsidP="00860E95">
            <w:pPr>
              <w:pStyle w:val="ARfintablebody"/>
            </w:pPr>
            <w:r w:rsidRPr="002029AF">
              <w:t>Mental</w:t>
            </w:r>
            <w:r w:rsidR="000A5329" w:rsidRPr="002029AF">
              <w:t xml:space="preserve"> </w:t>
            </w:r>
            <w:r w:rsidRPr="002029AF">
              <w:t>Health</w:t>
            </w:r>
            <w:r w:rsidR="000A5329" w:rsidRPr="002029AF">
              <w:t xml:space="preserve"> </w:t>
            </w:r>
            <w:r w:rsidRPr="002029AF">
              <w:t>Tribunal</w:t>
            </w:r>
          </w:p>
        </w:tc>
        <w:tc>
          <w:tcPr>
            <w:tcW w:w="2126" w:type="dxa"/>
            <w:tcBorders>
              <w:top w:val="single" w:sz="4" w:space="0" w:color="A6A6A6"/>
              <w:bottom w:val="single" w:sz="4" w:space="0" w:color="A6A6A6"/>
            </w:tcBorders>
          </w:tcPr>
          <w:p w14:paraId="16957A8F" w14:textId="26724063" w:rsidR="00087B91" w:rsidRPr="002029AF" w:rsidRDefault="00087B91" w:rsidP="00860E95">
            <w:pPr>
              <w:pStyle w:val="ARfintablebody"/>
            </w:pPr>
            <w:r w:rsidRPr="002029AF">
              <w:t>Matthew</w:t>
            </w:r>
            <w:r w:rsidR="000A5329" w:rsidRPr="002029AF">
              <w:t xml:space="preserve"> </w:t>
            </w:r>
            <w:r w:rsidRPr="002029AF">
              <w:t>Carroll</w:t>
            </w:r>
          </w:p>
        </w:tc>
        <w:tc>
          <w:tcPr>
            <w:tcW w:w="2552" w:type="dxa"/>
            <w:tcBorders>
              <w:top w:val="single" w:sz="4" w:space="0" w:color="A6A6A6"/>
              <w:bottom w:val="single" w:sz="4" w:space="0" w:color="A6A6A6"/>
            </w:tcBorders>
          </w:tcPr>
          <w:p w14:paraId="7F8B815C" w14:textId="77777777" w:rsidR="00087B91" w:rsidRPr="002029AF" w:rsidRDefault="00087B91" w:rsidP="00860E95">
            <w:pPr>
              <w:pStyle w:val="ARfintablebody"/>
            </w:pPr>
            <w:r w:rsidRPr="002029AF">
              <w:t>President</w:t>
            </w:r>
          </w:p>
        </w:tc>
        <w:tc>
          <w:tcPr>
            <w:tcW w:w="2409" w:type="dxa"/>
            <w:tcBorders>
              <w:top w:val="single" w:sz="4" w:space="0" w:color="A6A6A6"/>
              <w:bottom w:val="single" w:sz="4" w:space="0" w:color="A6A6A6"/>
            </w:tcBorders>
          </w:tcPr>
          <w:p w14:paraId="25EE9638" w14:textId="000E9AF3" w:rsidR="00087B91" w:rsidRPr="002029AF" w:rsidRDefault="00087B91" w:rsidP="00860E95">
            <w:pPr>
              <w:pStyle w:val="ARfintablebody"/>
            </w:pPr>
            <w:r w:rsidRPr="002029AF">
              <w:t>1</w:t>
            </w:r>
            <w:r w:rsidR="000A5329" w:rsidRPr="002029AF">
              <w:t xml:space="preserve"> </w:t>
            </w:r>
            <w:r w:rsidRPr="002029AF">
              <w:t>July</w:t>
            </w:r>
            <w:r w:rsidR="000A5329" w:rsidRPr="002029AF">
              <w:t xml:space="preserve"> </w:t>
            </w:r>
            <w:r w:rsidRPr="002029AF">
              <w:t>2019</w:t>
            </w:r>
            <w:r w:rsidR="000A5329" w:rsidRPr="002029AF">
              <w:t xml:space="preserve"> </w:t>
            </w:r>
            <w:r w:rsidRPr="002029AF">
              <w:t>to</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p>
        </w:tc>
      </w:tr>
      <w:tr w:rsidR="00087B91" w:rsidRPr="002029AF" w14:paraId="0DE2EC0C" w14:textId="77777777" w:rsidTr="00860E95">
        <w:tc>
          <w:tcPr>
            <w:tcW w:w="2547" w:type="dxa"/>
            <w:tcBorders>
              <w:top w:val="single" w:sz="4" w:space="0" w:color="A6A6A6"/>
              <w:bottom w:val="single" w:sz="4" w:space="0" w:color="A6A6A6"/>
            </w:tcBorders>
          </w:tcPr>
          <w:p w14:paraId="6A5CEA71" w14:textId="79E16394" w:rsidR="00087B91" w:rsidRPr="002029AF" w:rsidRDefault="00087B91" w:rsidP="00860E95">
            <w:pPr>
              <w:pStyle w:val="ARfintablebody"/>
            </w:pPr>
            <w:r w:rsidRPr="002029AF">
              <w:t>Commission</w:t>
            </w:r>
            <w:r w:rsidR="000A5329" w:rsidRPr="002029AF">
              <w:t xml:space="preserve"> </w:t>
            </w:r>
            <w:r w:rsidRPr="002029AF">
              <w:t>for</w:t>
            </w:r>
            <w:r w:rsidR="000A5329" w:rsidRPr="002029AF">
              <w:t xml:space="preserve"> </w:t>
            </w:r>
            <w:r w:rsidRPr="002029AF">
              <w:t>Children</w:t>
            </w:r>
            <w:r w:rsidR="000A5329" w:rsidRPr="002029AF">
              <w:t xml:space="preserve"> </w:t>
            </w:r>
            <w:r w:rsidRPr="002029AF">
              <w:t>and</w:t>
            </w:r>
            <w:r w:rsidR="000A5329" w:rsidRPr="002029AF">
              <w:t xml:space="preserve"> </w:t>
            </w:r>
            <w:r w:rsidRPr="002029AF">
              <w:t>Young</w:t>
            </w:r>
            <w:r w:rsidR="000A5329" w:rsidRPr="002029AF">
              <w:t xml:space="preserve"> </w:t>
            </w:r>
            <w:r w:rsidRPr="002029AF">
              <w:t>People</w:t>
            </w:r>
          </w:p>
        </w:tc>
        <w:tc>
          <w:tcPr>
            <w:tcW w:w="2126" w:type="dxa"/>
            <w:tcBorders>
              <w:top w:val="single" w:sz="4" w:space="0" w:color="A6A6A6"/>
              <w:bottom w:val="single" w:sz="4" w:space="0" w:color="A6A6A6"/>
            </w:tcBorders>
          </w:tcPr>
          <w:p w14:paraId="099AE053" w14:textId="23C95A73" w:rsidR="00087B91" w:rsidRPr="002029AF" w:rsidRDefault="00087B91" w:rsidP="00860E95">
            <w:pPr>
              <w:pStyle w:val="ARfintablebody"/>
            </w:pPr>
            <w:r w:rsidRPr="002029AF">
              <w:t>Liana</w:t>
            </w:r>
            <w:r w:rsidR="000A5329" w:rsidRPr="002029AF">
              <w:t xml:space="preserve"> </w:t>
            </w:r>
            <w:r w:rsidRPr="002029AF">
              <w:t>Buchanan</w:t>
            </w:r>
          </w:p>
        </w:tc>
        <w:tc>
          <w:tcPr>
            <w:tcW w:w="2552" w:type="dxa"/>
            <w:tcBorders>
              <w:top w:val="single" w:sz="4" w:space="0" w:color="A6A6A6"/>
              <w:bottom w:val="single" w:sz="4" w:space="0" w:color="A6A6A6"/>
            </w:tcBorders>
          </w:tcPr>
          <w:p w14:paraId="159C7984" w14:textId="4CDA6DB5" w:rsidR="00087B91" w:rsidRPr="002029AF" w:rsidRDefault="00087B91" w:rsidP="00860E95">
            <w:pPr>
              <w:pStyle w:val="ARfintablebody"/>
            </w:pPr>
            <w:r w:rsidRPr="002029AF">
              <w:t>Principal</w:t>
            </w:r>
            <w:r w:rsidR="000A5329" w:rsidRPr="002029AF">
              <w:t xml:space="preserve"> </w:t>
            </w:r>
            <w:r w:rsidRPr="002029AF">
              <w:t>Commissioner</w:t>
            </w:r>
          </w:p>
        </w:tc>
        <w:tc>
          <w:tcPr>
            <w:tcW w:w="2409" w:type="dxa"/>
            <w:tcBorders>
              <w:top w:val="single" w:sz="4" w:space="0" w:color="A6A6A6"/>
              <w:bottom w:val="single" w:sz="4" w:space="0" w:color="A6A6A6"/>
            </w:tcBorders>
          </w:tcPr>
          <w:p w14:paraId="2EEE7A9F" w14:textId="416AC215" w:rsidR="00087B91" w:rsidRPr="002029AF" w:rsidRDefault="00087B91" w:rsidP="00860E95">
            <w:pPr>
              <w:pStyle w:val="ARfintablebody"/>
            </w:pPr>
            <w:r w:rsidRPr="002029AF">
              <w:t>1</w:t>
            </w:r>
            <w:r w:rsidR="000A5329" w:rsidRPr="002029AF">
              <w:t xml:space="preserve"> </w:t>
            </w:r>
            <w:r w:rsidRPr="002029AF">
              <w:t>July</w:t>
            </w:r>
            <w:r w:rsidR="000A5329" w:rsidRPr="002029AF">
              <w:t xml:space="preserve"> </w:t>
            </w:r>
            <w:r w:rsidRPr="002029AF">
              <w:t>2019</w:t>
            </w:r>
            <w:r w:rsidR="000A5329" w:rsidRPr="002029AF">
              <w:t xml:space="preserve"> </w:t>
            </w:r>
            <w:r w:rsidRPr="002029AF">
              <w:t>to</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p>
        </w:tc>
      </w:tr>
      <w:tr w:rsidR="00087B91" w:rsidRPr="002029AF" w14:paraId="70A17824" w14:textId="77777777" w:rsidTr="00860E95">
        <w:tc>
          <w:tcPr>
            <w:tcW w:w="2547" w:type="dxa"/>
            <w:tcBorders>
              <w:top w:val="single" w:sz="4" w:space="0" w:color="A6A6A6"/>
            </w:tcBorders>
          </w:tcPr>
          <w:p w14:paraId="55864A5F" w14:textId="176C5718" w:rsidR="00087B91" w:rsidRPr="002029AF" w:rsidRDefault="00087B91" w:rsidP="00860E95">
            <w:pPr>
              <w:pStyle w:val="ARfintablebody"/>
            </w:pPr>
            <w:r w:rsidRPr="002029AF">
              <w:t>Commission</w:t>
            </w:r>
            <w:r w:rsidR="000A5329" w:rsidRPr="002029AF">
              <w:t xml:space="preserve"> </w:t>
            </w:r>
            <w:r w:rsidRPr="002029AF">
              <w:t>for</w:t>
            </w:r>
            <w:r w:rsidR="000A5329" w:rsidRPr="002029AF">
              <w:t xml:space="preserve"> </w:t>
            </w:r>
            <w:r w:rsidRPr="002029AF">
              <w:t>Children</w:t>
            </w:r>
            <w:r w:rsidR="000A5329" w:rsidRPr="002029AF">
              <w:t xml:space="preserve"> </w:t>
            </w:r>
            <w:r w:rsidRPr="002029AF">
              <w:t>and</w:t>
            </w:r>
            <w:r w:rsidR="000A5329" w:rsidRPr="002029AF">
              <w:t xml:space="preserve"> </w:t>
            </w:r>
            <w:r w:rsidRPr="002029AF">
              <w:t>Young</w:t>
            </w:r>
            <w:r w:rsidR="000A5329" w:rsidRPr="002029AF">
              <w:t xml:space="preserve"> </w:t>
            </w:r>
            <w:r w:rsidRPr="002029AF">
              <w:t>People</w:t>
            </w:r>
          </w:p>
        </w:tc>
        <w:tc>
          <w:tcPr>
            <w:tcW w:w="2126" w:type="dxa"/>
            <w:tcBorders>
              <w:top w:val="single" w:sz="4" w:space="0" w:color="A6A6A6"/>
            </w:tcBorders>
          </w:tcPr>
          <w:p w14:paraId="1BDFF954" w14:textId="23798783" w:rsidR="00087B91" w:rsidRPr="002029AF" w:rsidRDefault="00087B91" w:rsidP="00860E95">
            <w:pPr>
              <w:pStyle w:val="ARfintablebody"/>
            </w:pPr>
            <w:r w:rsidRPr="002029AF">
              <w:t>Justin</w:t>
            </w:r>
            <w:r w:rsidR="000A5329" w:rsidRPr="002029AF">
              <w:t xml:space="preserve"> </w:t>
            </w:r>
            <w:r w:rsidRPr="002029AF">
              <w:t>Mohamed</w:t>
            </w:r>
          </w:p>
        </w:tc>
        <w:tc>
          <w:tcPr>
            <w:tcW w:w="2552" w:type="dxa"/>
            <w:tcBorders>
              <w:top w:val="single" w:sz="4" w:space="0" w:color="A6A6A6"/>
            </w:tcBorders>
          </w:tcPr>
          <w:p w14:paraId="7A6CC4AF" w14:textId="68CF2E74" w:rsidR="00087B91" w:rsidRPr="002029AF" w:rsidRDefault="00087B91" w:rsidP="00860E95">
            <w:pPr>
              <w:pStyle w:val="ARfintablebody"/>
            </w:pPr>
            <w:r w:rsidRPr="002029AF">
              <w:t>Commissioner</w:t>
            </w:r>
            <w:r w:rsidR="000A5329" w:rsidRPr="002029AF">
              <w:t xml:space="preserve"> </w:t>
            </w:r>
            <w:r w:rsidRPr="002029AF">
              <w:t>for</w:t>
            </w:r>
            <w:r w:rsidR="000A5329" w:rsidRPr="002029AF">
              <w:t xml:space="preserve"> </w:t>
            </w:r>
            <w:r w:rsidRPr="002029AF">
              <w:t>Aboriginal</w:t>
            </w:r>
            <w:r w:rsidR="000A5329" w:rsidRPr="002029AF">
              <w:t xml:space="preserve"> </w:t>
            </w:r>
            <w:r w:rsidRPr="002029AF">
              <w:t>Children</w:t>
            </w:r>
            <w:r w:rsidR="000A5329" w:rsidRPr="002029AF">
              <w:t xml:space="preserve"> </w:t>
            </w:r>
            <w:r w:rsidRPr="002029AF">
              <w:t>and</w:t>
            </w:r>
            <w:r w:rsidR="000A5329" w:rsidRPr="002029AF">
              <w:t xml:space="preserve"> </w:t>
            </w:r>
            <w:r w:rsidRPr="002029AF">
              <w:t>Young</w:t>
            </w:r>
            <w:r w:rsidR="000A5329" w:rsidRPr="002029AF">
              <w:t xml:space="preserve"> </w:t>
            </w:r>
            <w:r w:rsidRPr="002029AF">
              <w:t>People</w:t>
            </w:r>
          </w:p>
        </w:tc>
        <w:tc>
          <w:tcPr>
            <w:tcW w:w="2409" w:type="dxa"/>
            <w:tcBorders>
              <w:top w:val="single" w:sz="4" w:space="0" w:color="A6A6A6"/>
            </w:tcBorders>
          </w:tcPr>
          <w:p w14:paraId="39C25E1E" w14:textId="67445D79" w:rsidR="00087B91" w:rsidRPr="002029AF" w:rsidRDefault="00087B91" w:rsidP="00860E95">
            <w:pPr>
              <w:pStyle w:val="ARfintablebody"/>
            </w:pPr>
            <w:r w:rsidRPr="002029AF">
              <w:t>1</w:t>
            </w:r>
            <w:r w:rsidR="000A5329" w:rsidRPr="002029AF">
              <w:t xml:space="preserve"> </w:t>
            </w:r>
            <w:r w:rsidRPr="002029AF">
              <w:t>July</w:t>
            </w:r>
            <w:r w:rsidR="000A5329" w:rsidRPr="002029AF">
              <w:t xml:space="preserve"> </w:t>
            </w:r>
            <w:r w:rsidRPr="002029AF">
              <w:t>2019</w:t>
            </w:r>
            <w:r w:rsidR="000A5329" w:rsidRPr="002029AF">
              <w:t xml:space="preserve"> </w:t>
            </w:r>
            <w:r w:rsidRPr="002029AF">
              <w:t>to</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p>
        </w:tc>
      </w:tr>
    </w:tbl>
    <w:p w14:paraId="7D8AF5B6" w14:textId="77777777" w:rsidR="00087B91" w:rsidRPr="002029AF" w:rsidRDefault="00087B91" w:rsidP="00087B91">
      <w:pPr>
        <w:pStyle w:val="ARfinbody"/>
      </w:pPr>
      <w:r w:rsidRPr="002029AF">
        <w:br w:type="page"/>
      </w:r>
    </w:p>
    <w:p w14:paraId="5701320A" w14:textId="33DFC4ED" w:rsidR="00087B91" w:rsidRPr="002029AF" w:rsidRDefault="00087B91" w:rsidP="00087B91">
      <w:pPr>
        <w:pStyle w:val="Heading5"/>
      </w:pPr>
      <w:r w:rsidRPr="002029AF">
        <w:lastRenderedPageBreak/>
        <w:t>Remuneration</w:t>
      </w:r>
      <w:r w:rsidR="000A5329" w:rsidRPr="002029AF">
        <w:t xml:space="preserve"> </w:t>
      </w:r>
      <w:r w:rsidRPr="002029AF">
        <w:t>of</w:t>
      </w:r>
      <w:r w:rsidR="000A5329" w:rsidRPr="002029AF">
        <w:t xml:space="preserve"> </w:t>
      </w:r>
      <w:r w:rsidRPr="002029AF">
        <w:t>key</w:t>
      </w:r>
      <w:r w:rsidR="000A5329" w:rsidRPr="002029AF">
        <w:t xml:space="preserve"> </w:t>
      </w:r>
      <w:r w:rsidRPr="002029AF">
        <w:t>management</w:t>
      </w:r>
      <w:r w:rsidR="000A5329" w:rsidRPr="002029AF">
        <w:t xml:space="preserve"> </w:t>
      </w:r>
      <w:r w:rsidRPr="002029AF">
        <w:t>personnel</w:t>
      </w:r>
    </w:p>
    <w:p w14:paraId="63E98B43" w14:textId="18A4AFEA" w:rsidR="00087B91" w:rsidRPr="002029AF" w:rsidRDefault="00087B91" w:rsidP="00087B91">
      <w:pPr>
        <w:pStyle w:val="ARfinbodylargespace"/>
      </w:pPr>
      <w:r w:rsidRPr="002029AF">
        <w:t>The</w:t>
      </w:r>
      <w:r w:rsidR="000A5329" w:rsidRPr="002029AF">
        <w:t xml:space="preserve"> </w:t>
      </w:r>
      <w:r w:rsidRPr="002029AF">
        <w:t>compensation</w:t>
      </w:r>
      <w:r w:rsidR="000A5329" w:rsidRPr="002029AF">
        <w:t xml:space="preserve"> </w:t>
      </w:r>
      <w:r w:rsidRPr="002029AF">
        <w:t>detailed</w:t>
      </w:r>
      <w:r w:rsidR="000A5329" w:rsidRPr="002029AF">
        <w:t xml:space="preserve"> </w:t>
      </w:r>
      <w:r w:rsidRPr="002029AF">
        <w:t>below</w:t>
      </w:r>
      <w:r w:rsidR="000A5329" w:rsidRPr="002029AF">
        <w:t xml:space="preserve"> </w:t>
      </w:r>
      <w:r w:rsidRPr="002029AF">
        <w:t>excludes</w:t>
      </w:r>
      <w:r w:rsidR="000A5329" w:rsidRPr="002029AF">
        <w:t xml:space="preserve"> </w:t>
      </w:r>
      <w:r w:rsidRPr="002029AF">
        <w:t>the</w:t>
      </w:r>
      <w:r w:rsidR="000A5329" w:rsidRPr="002029AF">
        <w:t xml:space="preserve"> </w:t>
      </w:r>
      <w:r w:rsidRPr="002029AF">
        <w:t>salaries</w:t>
      </w:r>
      <w:r w:rsidR="000A5329" w:rsidRPr="002029AF">
        <w:t xml:space="preserve"> </w:t>
      </w:r>
      <w:r w:rsidRPr="002029AF">
        <w:t>and</w:t>
      </w:r>
      <w:r w:rsidR="000A5329" w:rsidRPr="002029AF">
        <w:t xml:space="preserve"> </w:t>
      </w:r>
      <w:r w:rsidRPr="002029AF">
        <w:t>benefits</w:t>
      </w:r>
      <w:r w:rsidR="000A5329" w:rsidRPr="002029AF">
        <w:t xml:space="preserve"> </w:t>
      </w:r>
      <w:r w:rsidRPr="002029AF">
        <w:t>the</w:t>
      </w:r>
      <w:r w:rsidR="000A5329" w:rsidRPr="002029AF">
        <w:t xml:space="preserve"> </w:t>
      </w:r>
      <w:r w:rsidRPr="002029AF">
        <w:t>Portfolio</w:t>
      </w:r>
      <w:r w:rsidR="000A5329" w:rsidRPr="002029AF">
        <w:t xml:space="preserve"> </w:t>
      </w:r>
      <w:r w:rsidRPr="002029AF">
        <w:t>Ministers</w:t>
      </w:r>
      <w:r w:rsidR="000A5329" w:rsidRPr="002029AF">
        <w:t xml:space="preserve"> </w:t>
      </w:r>
      <w:r w:rsidRPr="002029AF">
        <w:t>received.</w:t>
      </w:r>
      <w:r w:rsidR="000A5329" w:rsidRPr="002029AF">
        <w:t xml:space="preserve"> </w:t>
      </w:r>
      <w:r w:rsidRPr="002029AF">
        <w:t>The</w:t>
      </w:r>
      <w:r w:rsidR="000A5329" w:rsidRPr="002029AF">
        <w:t xml:space="preserve"> </w:t>
      </w:r>
      <w:r w:rsidRPr="002029AF">
        <w:t>Ministers’</w:t>
      </w:r>
      <w:r w:rsidR="000A5329" w:rsidRPr="002029AF">
        <w:t xml:space="preserve"> </w:t>
      </w:r>
      <w:r w:rsidRPr="002029AF">
        <w:t>remunerations</w:t>
      </w:r>
      <w:r w:rsidR="000A5329" w:rsidRPr="002029AF">
        <w:t xml:space="preserve"> </w:t>
      </w:r>
      <w:r w:rsidRPr="002029AF">
        <w:t>and</w:t>
      </w:r>
      <w:r w:rsidR="000A5329" w:rsidRPr="002029AF">
        <w:t xml:space="preserve"> </w:t>
      </w:r>
      <w:r w:rsidRPr="002029AF">
        <w:t>allowances</w:t>
      </w:r>
      <w:r w:rsidR="000A5329" w:rsidRPr="002029AF">
        <w:t xml:space="preserve"> </w:t>
      </w:r>
      <w:r w:rsidRPr="002029AF">
        <w:t>are</w:t>
      </w:r>
      <w:r w:rsidR="000A5329" w:rsidRPr="002029AF">
        <w:t xml:space="preserve"> </w:t>
      </w:r>
      <w:r w:rsidRPr="002029AF">
        <w:t>set</w:t>
      </w:r>
      <w:r w:rsidR="000A5329" w:rsidRPr="002029AF">
        <w:t xml:space="preserve"> </w:t>
      </w:r>
      <w:r w:rsidRPr="002029AF">
        <w:t>by</w:t>
      </w:r>
      <w:r w:rsidR="000A5329" w:rsidRPr="002029AF">
        <w:t xml:space="preserve"> </w:t>
      </w:r>
      <w:r w:rsidRPr="002029AF">
        <w:t>the</w:t>
      </w:r>
      <w:r w:rsidR="000A5329" w:rsidRPr="002029AF">
        <w:t xml:space="preserve"> </w:t>
      </w:r>
      <w:r w:rsidRPr="002029AF">
        <w:rPr>
          <w:rStyle w:val="Emphasis"/>
        </w:rPr>
        <w:t>Parliamentary</w:t>
      </w:r>
      <w:r w:rsidR="000A5329" w:rsidRPr="002029AF">
        <w:rPr>
          <w:rStyle w:val="Emphasis"/>
        </w:rPr>
        <w:t xml:space="preserve"> </w:t>
      </w:r>
      <w:r w:rsidRPr="002029AF">
        <w:rPr>
          <w:rStyle w:val="Emphasis"/>
        </w:rPr>
        <w:t>Salaries</w:t>
      </w:r>
      <w:r w:rsidR="000A5329" w:rsidRPr="002029AF">
        <w:rPr>
          <w:rStyle w:val="Emphasis"/>
        </w:rPr>
        <w:t xml:space="preserve"> </w:t>
      </w:r>
      <w:r w:rsidRPr="002029AF">
        <w:rPr>
          <w:rStyle w:val="Emphasis"/>
        </w:rPr>
        <w:t>and</w:t>
      </w:r>
      <w:r w:rsidR="000A5329" w:rsidRPr="002029AF">
        <w:rPr>
          <w:rStyle w:val="Emphasis"/>
        </w:rPr>
        <w:t xml:space="preserve"> </w:t>
      </w:r>
      <w:r w:rsidRPr="002029AF">
        <w:rPr>
          <w:rStyle w:val="Emphasis"/>
        </w:rPr>
        <w:t>Superannuation</w:t>
      </w:r>
      <w:r w:rsidR="000A5329" w:rsidRPr="002029AF">
        <w:rPr>
          <w:rStyle w:val="Emphasis"/>
        </w:rPr>
        <w:t xml:space="preserve"> </w:t>
      </w:r>
      <w:r w:rsidRPr="002029AF">
        <w:rPr>
          <w:rStyle w:val="Emphasis"/>
        </w:rPr>
        <w:t>Act</w:t>
      </w:r>
      <w:r w:rsidR="000A5329" w:rsidRPr="002029AF">
        <w:rPr>
          <w:rStyle w:val="Emphasis"/>
        </w:rPr>
        <w:t xml:space="preserve"> </w:t>
      </w:r>
      <w:r w:rsidRPr="002029AF">
        <w:rPr>
          <w:rStyle w:val="Emphasis"/>
        </w:rPr>
        <w:t>1968</w:t>
      </w:r>
      <w:r w:rsidR="000A5329" w:rsidRPr="002029AF">
        <w:t xml:space="preserve"> </w:t>
      </w:r>
      <w:r w:rsidRPr="002029AF">
        <w:t>and</w:t>
      </w:r>
      <w:r w:rsidR="000A5329" w:rsidRPr="002029AF">
        <w:t xml:space="preserve"> </w:t>
      </w:r>
      <w:r w:rsidRPr="002029AF">
        <w:t>are</w:t>
      </w:r>
      <w:r w:rsidR="000A5329" w:rsidRPr="002029AF">
        <w:t xml:space="preserve"> </w:t>
      </w:r>
      <w:r w:rsidRPr="002029AF">
        <w:t>reported</w:t>
      </w:r>
      <w:r w:rsidR="000A5329" w:rsidRPr="002029AF">
        <w:t xml:space="preserve"> </w:t>
      </w:r>
      <w:r w:rsidRPr="002029AF">
        <w:t>within</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of</w:t>
      </w:r>
      <w:r w:rsidR="000A5329" w:rsidRPr="002029AF">
        <w:t xml:space="preserve"> </w:t>
      </w:r>
      <w:r w:rsidRPr="002029AF">
        <w:t>Parliamentary</w:t>
      </w:r>
      <w:r w:rsidR="000A5329" w:rsidRPr="002029AF">
        <w:t xml:space="preserve"> </w:t>
      </w:r>
      <w:r w:rsidRPr="002029AF">
        <w:t>Services’</w:t>
      </w:r>
      <w:r w:rsidR="000A5329" w:rsidRPr="002029AF">
        <w:t xml:space="preserve"> </w:t>
      </w:r>
      <w:r w:rsidRPr="002029AF">
        <w:t>Financial</w:t>
      </w:r>
      <w:r w:rsidR="000A5329" w:rsidRPr="002029AF">
        <w:t xml:space="preserve"> </w:t>
      </w:r>
      <w:r w:rsidRPr="002029AF">
        <w:t>Report.</w:t>
      </w:r>
    </w:p>
    <w:tbl>
      <w:tblPr>
        <w:tblStyle w:val="TableGrid"/>
        <w:tblW w:w="9637" w:type="dxa"/>
        <w:tblLayout w:type="fixed"/>
        <w:tblLook w:val="06A0" w:firstRow="1" w:lastRow="0" w:firstColumn="1" w:lastColumn="0" w:noHBand="1" w:noVBand="1"/>
      </w:tblPr>
      <w:tblGrid>
        <w:gridCol w:w="2833"/>
        <w:gridCol w:w="1134"/>
        <w:gridCol w:w="1134"/>
        <w:gridCol w:w="1134"/>
        <w:gridCol w:w="1134"/>
        <w:gridCol w:w="1134"/>
        <w:gridCol w:w="1134"/>
      </w:tblGrid>
      <w:tr w:rsidR="00087B91" w:rsidRPr="002029AF" w14:paraId="57E0B64B" w14:textId="77777777" w:rsidTr="00FC2F9E">
        <w:trPr>
          <w:cnfStyle w:val="100000000000" w:firstRow="1" w:lastRow="0" w:firstColumn="0" w:lastColumn="0" w:oddVBand="0" w:evenVBand="0" w:oddHBand="0" w:evenHBand="0" w:firstRowFirstColumn="0" w:firstRowLastColumn="0" w:lastRowFirstColumn="0" w:lastRowLastColumn="0"/>
          <w:trHeight w:val="255"/>
          <w:tblHeader/>
        </w:trPr>
        <w:tc>
          <w:tcPr>
            <w:tcW w:w="2835" w:type="dxa"/>
            <w:vMerge w:val="restart"/>
            <w:noWrap/>
            <w:hideMark/>
          </w:tcPr>
          <w:p w14:paraId="11907D2F" w14:textId="3D06CC60" w:rsidR="00087B91" w:rsidRPr="002029AF" w:rsidRDefault="00087B91" w:rsidP="00860E95">
            <w:pPr>
              <w:pStyle w:val="ARfintablecolhead"/>
            </w:pPr>
            <w:r w:rsidRPr="002029AF">
              <w:t>Compensation</w:t>
            </w:r>
            <w:r w:rsidR="000A5329" w:rsidRPr="002029AF">
              <w:t xml:space="preserve"> </w:t>
            </w:r>
            <w:r w:rsidRPr="002029AF">
              <w:t>of</w:t>
            </w:r>
            <w:r w:rsidR="000A5329" w:rsidRPr="002029AF">
              <w:t xml:space="preserve"> </w:t>
            </w:r>
            <w:r w:rsidRPr="002029AF">
              <w:t>KMPs</w:t>
            </w:r>
          </w:p>
        </w:tc>
        <w:tc>
          <w:tcPr>
            <w:tcW w:w="1134" w:type="dxa"/>
            <w:gridSpan w:val="2"/>
            <w:hideMark/>
          </w:tcPr>
          <w:p w14:paraId="6F1F2081" w14:textId="63BE49F8" w:rsidR="00087B91" w:rsidRPr="002029AF" w:rsidRDefault="00087B91" w:rsidP="00860E95">
            <w:pPr>
              <w:pStyle w:val="ARfintablecolheadcentre"/>
            </w:pPr>
            <w:r w:rsidRPr="002029AF">
              <w:t>Department</w:t>
            </w:r>
            <w:r w:rsidR="000A5329" w:rsidRPr="002029AF">
              <w:t xml:space="preserve"> </w:t>
            </w:r>
            <w:r w:rsidRPr="002029AF">
              <w:t>of</w:t>
            </w:r>
            <w:r w:rsidR="000A5329" w:rsidRPr="002029AF">
              <w:t xml:space="preserve"> </w:t>
            </w:r>
            <w:r w:rsidRPr="002029AF">
              <w:t>Health</w:t>
            </w:r>
            <w:r w:rsidR="000A5329" w:rsidRPr="002029AF">
              <w:t xml:space="preserve"> </w:t>
            </w:r>
            <w:r w:rsidRPr="002029AF">
              <w:t>and</w:t>
            </w:r>
            <w:r w:rsidR="000A5329" w:rsidRPr="002029AF">
              <w:t xml:space="preserve"> </w:t>
            </w:r>
            <w:r w:rsidRPr="002029AF">
              <w:t>Human</w:t>
            </w:r>
            <w:r w:rsidR="000A5329" w:rsidRPr="002029AF">
              <w:t xml:space="preserve"> </w:t>
            </w:r>
            <w:r w:rsidRPr="002029AF">
              <w:t>Services</w:t>
            </w:r>
            <w:r w:rsidR="000A5329" w:rsidRPr="002029AF">
              <w:t xml:space="preserve"> </w:t>
            </w:r>
            <w:r w:rsidRPr="002029AF">
              <w:rPr>
                <w:rStyle w:val="Superscript"/>
              </w:rPr>
              <w:t>(i)</w:t>
            </w:r>
          </w:p>
        </w:tc>
        <w:tc>
          <w:tcPr>
            <w:tcW w:w="1134" w:type="dxa"/>
            <w:gridSpan w:val="2"/>
            <w:hideMark/>
          </w:tcPr>
          <w:p w14:paraId="182EEA0E" w14:textId="78EB5761" w:rsidR="00087B91" w:rsidRPr="002029AF" w:rsidRDefault="00087B91" w:rsidP="00860E95">
            <w:pPr>
              <w:pStyle w:val="ARfintablecolheadcentre"/>
            </w:pPr>
            <w:r w:rsidRPr="002029AF">
              <w:t>Administrative</w:t>
            </w:r>
            <w:r w:rsidR="000A5329" w:rsidRPr="002029AF">
              <w:t xml:space="preserve"> </w:t>
            </w:r>
            <w:r w:rsidRPr="002029AF">
              <w:t>Offices</w:t>
            </w:r>
            <w:r w:rsidR="000A5329" w:rsidRPr="002029AF">
              <w:t xml:space="preserve"> </w:t>
            </w:r>
            <w:r w:rsidRPr="002029AF">
              <w:rPr>
                <w:rStyle w:val="Superscript"/>
              </w:rPr>
              <w:t>(ii)</w:t>
            </w:r>
          </w:p>
        </w:tc>
        <w:tc>
          <w:tcPr>
            <w:tcW w:w="1134" w:type="dxa"/>
            <w:gridSpan w:val="2"/>
            <w:hideMark/>
          </w:tcPr>
          <w:p w14:paraId="5AD5D1DB" w14:textId="47497502" w:rsidR="00087B91" w:rsidRPr="002029AF" w:rsidRDefault="00087B91" w:rsidP="00860E95">
            <w:pPr>
              <w:pStyle w:val="ARfintablecolheadcentre"/>
            </w:pPr>
            <w:r w:rsidRPr="002029AF">
              <w:t>Section</w:t>
            </w:r>
            <w:r w:rsidR="000A5329" w:rsidRPr="002029AF">
              <w:t xml:space="preserve"> </w:t>
            </w:r>
            <w:r w:rsidRPr="002029AF">
              <w:t>53</w:t>
            </w:r>
            <w:r w:rsidR="000A5329" w:rsidRPr="002029AF">
              <w:t xml:space="preserve"> </w:t>
            </w:r>
            <w:r w:rsidRPr="002029AF">
              <w:rPr>
                <w:rStyle w:val="Superscript"/>
              </w:rPr>
              <w:t>(iii)</w:t>
            </w:r>
          </w:p>
        </w:tc>
      </w:tr>
      <w:tr w:rsidR="00087B91" w:rsidRPr="002029AF" w14:paraId="391A806B" w14:textId="77777777" w:rsidTr="00FC2F9E">
        <w:trPr>
          <w:cnfStyle w:val="100000000000" w:firstRow="1" w:lastRow="0" w:firstColumn="0" w:lastColumn="0" w:oddVBand="0" w:evenVBand="0" w:oddHBand="0" w:evenHBand="0" w:firstRowFirstColumn="0" w:firstRowLastColumn="0" w:lastRowFirstColumn="0" w:lastRowLastColumn="0"/>
          <w:trHeight w:val="255"/>
          <w:tblHeader/>
        </w:trPr>
        <w:tc>
          <w:tcPr>
            <w:tcW w:w="2835" w:type="dxa"/>
            <w:vMerge/>
            <w:tcBorders>
              <w:bottom w:val="single" w:sz="4" w:space="0" w:color="auto"/>
            </w:tcBorders>
            <w:hideMark/>
          </w:tcPr>
          <w:p w14:paraId="62BE3F20" w14:textId="77777777" w:rsidR="00087B91" w:rsidRPr="002029AF" w:rsidRDefault="00087B91" w:rsidP="00860E95">
            <w:pPr>
              <w:pStyle w:val="ARfintablecolhead"/>
            </w:pPr>
          </w:p>
        </w:tc>
        <w:tc>
          <w:tcPr>
            <w:tcW w:w="1134" w:type="dxa"/>
            <w:tcBorders>
              <w:bottom w:val="single" w:sz="4" w:space="0" w:color="auto"/>
            </w:tcBorders>
            <w:shd w:val="clear" w:color="auto" w:fill="E7E6E6"/>
            <w:hideMark/>
          </w:tcPr>
          <w:p w14:paraId="37888D56" w14:textId="77777777" w:rsidR="00087B91" w:rsidRPr="002029AF" w:rsidRDefault="00087B91" w:rsidP="00860E95">
            <w:pPr>
              <w:pStyle w:val="ARfintablecolheadright"/>
            </w:pPr>
            <w:r w:rsidRPr="002029AF">
              <w:t>2020</w:t>
            </w:r>
          </w:p>
          <w:p w14:paraId="0CA2E680" w14:textId="77777777" w:rsidR="00087B91" w:rsidRPr="002029AF" w:rsidRDefault="00087B91" w:rsidP="00860E95">
            <w:pPr>
              <w:pStyle w:val="ARfintablecolheadright"/>
            </w:pPr>
            <w:r w:rsidRPr="002029AF">
              <w:t>$M</w:t>
            </w:r>
          </w:p>
        </w:tc>
        <w:tc>
          <w:tcPr>
            <w:tcW w:w="1134" w:type="dxa"/>
            <w:tcBorders>
              <w:bottom w:val="single" w:sz="4" w:space="0" w:color="auto"/>
            </w:tcBorders>
            <w:hideMark/>
          </w:tcPr>
          <w:p w14:paraId="60717033" w14:textId="77777777" w:rsidR="00087B91" w:rsidRPr="002029AF" w:rsidRDefault="00087B91" w:rsidP="00860E95">
            <w:pPr>
              <w:pStyle w:val="ARfintablecolheadright"/>
            </w:pPr>
            <w:r w:rsidRPr="002029AF">
              <w:t>2019</w:t>
            </w:r>
          </w:p>
          <w:p w14:paraId="7AEA3B1A" w14:textId="77777777" w:rsidR="00087B91" w:rsidRPr="002029AF" w:rsidRDefault="00087B91" w:rsidP="00860E95">
            <w:pPr>
              <w:pStyle w:val="ARfintablecolheadright"/>
            </w:pPr>
            <w:r w:rsidRPr="002029AF">
              <w:t>$M</w:t>
            </w:r>
          </w:p>
        </w:tc>
        <w:tc>
          <w:tcPr>
            <w:tcW w:w="1134" w:type="dxa"/>
            <w:tcBorders>
              <w:bottom w:val="single" w:sz="4" w:space="0" w:color="auto"/>
            </w:tcBorders>
            <w:shd w:val="clear" w:color="auto" w:fill="E7E6E6"/>
            <w:hideMark/>
          </w:tcPr>
          <w:p w14:paraId="06EA47D7" w14:textId="77777777" w:rsidR="00087B91" w:rsidRPr="002029AF" w:rsidRDefault="00087B91" w:rsidP="00860E95">
            <w:pPr>
              <w:pStyle w:val="ARfintablecolheadright"/>
            </w:pPr>
            <w:r w:rsidRPr="002029AF">
              <w:t>2020</w:t>
            </w:r>
          </w:p>
          <w:p w14:paraId="64D2AC17" w14:textId="77777777" w:rsidR="00087B91" w:rsidRPr="002029AF" w:rsidRDefault="00087B91" w:rsidP="00860E95">
            <w:pPr>
              <w:pStyle w:val="ARfintablecolheadright"/>
            </w:pPr>
            <w:r w:rsidRPr="002029AF">
              <w:t>$M</w:t>
            </w:r>
          </w:p>
        </w:tc>
        <w:tc>
          <w:tcPr>
            <w:tcW w:w="1134" w:type="dxa"/>
            <w:tcBorders>
              <w:bottom w:val="single" w:sz="4" w:space="0" w:color="auto"/>
            </w:tcBorders>
            <w:hideMark/>
          </w:tcPr>
          <w:p w14:paraId="0120D5E9" w14:textId="77777777" w:rsidR="00087B91" w:rsidRPr="002029AF" w:rsidRDefault="00087B91" w:rsidP="00860E95">
            <w:pPr>
              <w:pStyle w:val="ARfintablecolheadright"/>
            </w:pPr>
            <w:r w:rsidRPr="002029AF">
              <w:t>2019</w:t>
            </w:r>
          </w:p>
          <w:p w14:paraId="63BB002B" w14:textId="77777777" w:rsidR="00087B91" w:rsidRPr="002029AF" w:rsidRDefault="00087B91" w:rsidP="00860E95">
            <w:pPr>
              <w:pStyle w:val="ARfintablecolheadright"/>
            </w:pPr>
            <w:r w:rsidRPr="002029AF">
              <w:t>$M</w:t>
            </w:r>
          </w:p>
        </w:tc>
        <w:tc>
          <w:tcPr>
            <w:tcW w:w="1134" w:type="dxa"/>
            <w:tcBorders>
              <w:bottom w:val="single" w:sz="4" w:space="0" w:color="auto"/>
            </w:tcBorders>
            <w:shd w:val="clear" w:color="auto" w:fill="E7E6E6"/>
            <w:hideMark/>
          </w:tcPr>
          <w:p w14:paraId="18025820" w14:textId="77777777" w:rsidR="00087B91" w:rsidRPr="002029AF" w:rsidRDefault="00087B91" w:rsidP="00860E95">
            <w:pPr>
              <w:pStyle w:val="ARfintablecolheadright"/>
            </w:pPr>
            <w:r w:rsidRPr="002029AF">
              <w:t>2020</w:t>
            </w:r>
          </w:p>
          <w:p w14:paraId="2CFB9526" w14:textId="77777777" w:rsidR="00087B91" w:rsidRPr="002029AF" w:rsidRDefault="00087B91" w:rsidP="00860E95">
            <w:pPr>
              <w:pStyle w:val="ARfintablecolheadright"/>
            </w:pPr>
            <w:r w:rsidRPr="002029AF">
              <w:t>$M</w:t>
            </w:r>
          </w:p>
        </w:tc>
        <w:tc>
          <w:tcPr>
            <w:tcW w:w="1134" w:type="dxa"/>
            <w:tcBorders>
              <w:bottom w:val="single" w:sz="4" w:space="0" w:color="auto"/>
            </w:tcBorders>
            <w:hideMark/>
          </w:tcPr>
          <w:p w14:paraId="4A959E42" w14:textId="77777777" w:rsidR="00087B91" w:rsidRPr="002029AF" w:rsidRDefault="00087B91" w:rsidP="00860E95">
            <w:pPr>
              <w:pStyle w:val="ARfintablecolheadright"/>
            </w:pPr>
            <w:r w:rsidRPr="002029AF">
              <w:t>2019</w:t>
            </w:r>
          </w:p>
          <w:p w14:paraId="68E52071" w14:textId="77777777" w:rsidR="00087B91" w:rsidRPr="002029AF" w:rsidRDefault="00087B91" w:rsidP="00860E95">
            <w:pPr>
              <w:pStyle w:val="ARfintablecolheadright"/>
            </w:pPr>
            <w:r w:rsidRPr="002029AF">
              <w:t>$M</w:t>
            </w:r>
          </w:p>
        </w:tc>
      </w:tr>
      <w:tr w:rsidR="00087B91" w:rsidRPr="002029AF" w14:paraId="155CF856" w14:textId="77777777" w:rsidTr="00860E95">
        <w:trPr>
          <w:trHeight w:val="255"/>
        </w:trPr>
        <w:tc>
          <w:tcPr>
            <w:tcW w:w="2835" w:type="dxa"/>
            <w:tcBorders>
              <w:top w:val="single" w:sz="4" w:space="0" w:color="auto"/>
              <w:bottom w:val="single" w:sz="4" w:space="0" w:color="A6A6A6"/>
            </w:tcBorders>
            <w:hideMark/>
          </w:tcPr>
          <w:p w14:paraId="48BD5BE4" w14:textId="3B452420" w:rsidR="00087B91" w:rsidRPr="002029AF" w:rsidRDefault="00087B91" w:rsidP="00860E95">
            <w:pPr>
              <w:pStyle w:val="ARfintablebody"/>
            </w:pPr>
            <w:r w:rsidRPr="002029AF">
              <w:t>Short-term</w:t>
            </w:r>
            <w:r w:rsidR="000A5329" w:rsidRPr="002029AF">
              <w:t xml:space="preserve"> </w:t>
            </w:r>
            <w:r w:rsidRPr="002029AF">
              <w:t>employee</w:t>
            </w:r>
            <w:r w:rsidR="000A5329" w:rsidRPr="002029AF">
              <w:t xml:space="preserve"> </w:t>
            </w:r>
            <w:r w:rsidRPr="002029AF">
              <w:t>benefits</w:t>
            </w:r>
          </w:p>
        </w:tc>
        <w:tc>
          <w:tcPr>
            <w:tcW w:w="1134" w:type="dxa"/>
            <w:tcBorders>
              <w:top w:val="single" w:sz="4" w:space="0" w:color="auto"/>
              <w:bottom w:val="single" w:sz="4" w:space="0" w:color="A6A6A6"/>
            </w:tcBorders>
            <w:shd w:val="clear" w:color="auto" w:fill="E7E6E6"/>
            <w:noWrap/>
            <w:hideMark/>
          </w:tcPr>
          <w:p w14:paraId="237B1D8F" w14:textId="77777777" w:rsidR="00087B91" w:rsidRPr="002029AF" w:rsidRDefault="00087B91" w:rsidP="00860E95">
            <w:pPr>
              <w:pStyle w:val="ARfintablebodyright"/>
            </w:pPr>
            <w:r w:rsidRPr="002029AF">
              <w:t>3.8</w:t>
            </w:r>
          </w:p>
        </w:tc>
        <w:tc>
          <w:tcPr>
            <w:tcW w:w="1134" w:type="dxa"/>
            <w:tcBorders>
              <w:top w:val="single" w:sz="4" w:space="0" w:color="auto"/>
              <w:bottom w:val="single" w:sz="4" w:space="0" w:color="A6A6A6"/>
            </w:tcBorders>
            <w:noWrap/>
            <w:hideMark/>
          </w:tcPr>
          <w:p w14:paraId="4529C7B9" w14:textId="77777777" w:rsidR="00087B91" w:rsidRPr="002029AF" w:rsidRDefault="00087B91" w:rsidP="00860E95">
            <w:pPr>
              <w:pStyle w:val="ARfintablebodyright"/>
            </w:pPr>
            <w:r w:rsidRPr="002029AF">
              <w:t>3.4</w:t>
            </w:r>
          </w:p>
        </w:tc>
        <w:tc>
          <w:tcPr>
            <w:tcW w:w="1134" w:type="dxa"/>
            <w:tcBorders>
              <w:top w:val="single" w:sz="4" w:space="0" w:color="auto"/>
              <w:bottom w:val="single" w:sz="4" w:space="0" w:color="A6A6A6"/>
            </w:tcBorders>
            <w:shd w:val="clear" w:color="auto" w:fill="E7E6E6"/>
            <w:noWrap/>
            <w:hideMark/>
          </w:tcPr>
          <w:p w14:paraId="6EDFD6B3" w14:textId="77777777" w:rsidR="00087B91" w:rsidRPr="002029AF" w:rsidRDefault="00087B91" w:rsidP="00860E95">
            <w:pPr>
              <w:pStyle w:val="ARfintablebodyright"/>
            </w:pPr>
            <w:r w:rsidRPr="002029AF">
              <w:t>1.3</w:t>
            </w:r>
          </w:p>
        </w:tc>
        <w:tc>
          <w:tcPr>
            <w:tcW w:w="1134" w:type="dxa"/>
            <w:tcBorders>
              <w:top w:val="single" w:sz="4" w:space="0" w:color="auto"/>
              <w:bottom w:val="single" w:sz="4" w:space="0" w:color="A6A6A6"/>
            </w:tcBorders>
            <w:noWrap/>
            <w:hideMark/>
          </w:tcPr>
          <w:p w14:paraId="1C3C90B5" w14:textId="77777777" w:rsidR="00087B91" w:rsidRPr="002029AF" w:rsidRDefault="00087B91" w:rsidP="00860E95">
            <w:pPr>
              <w:pStyle w:val="ARfintablebodyright"/>
            </w:pPr>
            <w:r w:rsidRPr="002029AF">
              <w:t>1.3</w:t>
            </w:r>
          </w:p>
        </w:tc>
        <w:tc>
          <w:tcPr>
            <w:tcW w:w="1134" w:type="dxa"/>
            <w:tcBorders>
              <w:top w:val="single" w:sz="4" w:space="0" w:color="auto"/>
              <w:bottom w:val="single" w:sz="4" w:space="0" w:color="A6A6A6"/>
            </w:tcBorders>
            <w:shd w:val="clear" w:color="auto" w:fill="E7E6E6"/>
            <w:noWrap/>
            <w:hideMark/>
          </w:tcPr>
          <w:p w14:paraId="5A883702" w14:textId="77777777" w:rsidR="00087B91" w:rsidRPr="002029AF" w:rsidRDefault="00087B91" w:rsidP="00860E95">
            <w:pPr>
              <w:pStyle w:val="ARfintablebodyright"/>
            </w:pPr>
            <w:r w:rsidRPr="002029AF">
              <w:t>0.7</w:t>
            </w:r>
          </w:p>
        </w:tc>
        <w:tc>
          <w:tcPr>
            <w:tcW w:w="1134" w:type="dxa"/>
            <w:tcBorders>
              <w:top w:val="single" w:sz="4" w:space="0" w:color="auto"/>
              <w:bottom w:val="single" w:sz="4" w:space="0" w:color="A6A6A6"/>
            </w:tcBorders>
            <w:noWrap/>
            <w:hideMark/>
          </w:tcPr>
          <w:p w14:paraId="36B33DF7" w14:textId="77777777" w:rsidR="00087B91" w:rsidRPr="002029AF" w:rsidRDefault="00087B91" w:rsidP="00860E95">
            <w:pPr>
              <w:pStyle w:val="ARfintablebodyright"/>
            </w:pPr>
            <w:r w:rsidRPr="002029AF">
              <w:t>0.8</w:t>
            </w:r>
          </w:p>
        </w:tc>
      </w:tr>
      <w:tr w:rsidR="00087B91" w:rsidRPr="002029AF" w14:paraId="3CE688A8" w14:textId="77777777" w:rsidTr="00860E95">
        <w:trPr>
          <w:trHeight w:val="255"/>
        </w:trPr>
        <w:tc>
          <w:tcPr>
            <w:tcW w:w="2835" w:type="dxa"/>
            <w:tcBorders>
              <w:top w:val="single" w:sz="4" w:space="0" w:color="A6A6A6"/>
              <w:bottom w:val="single" w:sz="4" w:space="0" w:color="A6A6A6"/>
            </w:tcBorders>
            <w:hideMark/>
          </w:tcPr>
          <w:p w14:paraId="2AAFB949" w14:textId="7D257B74" w:rsidR="00087B91" w:rsidRPr="002029AF" w:rsidRDefault="00087B91" w:rsidP="00860E95">
            <w:pPr>
              <w:pStyle w:val="ARfintablebody"/>
            </w:pPr>
            <w:r w:rsidRPr="002029AF">
              <w:t>Post-employment</w:t>
            </w:r>
            <w:r w:rsidR="000A5329" w:rsidRPr="002029AF">
              <w:t xml:space="preserve"> </w:t>
            </w:r>
            <w:r w:rsidRPr="002029AF">
              <w:t>benefits</w:t>
            </w:r>
          </w:p>
        </w:tc>
        <w:tc>
          <w:tcPr>
            <w:tcW w:w="1134" w:type="dxa"/>
            <w:tcBorders>
              <w:top w:val="single" w:sz="4" w:space="0" w:color="A6A6A6"/>
              <w:bottom w:val="single" w:sz="4" w:space="0" w:color="A6A6A6"/>
            </w:tcBorders>
            <w:shd w:val="clear" w:color="auto" w:fill="E7E6E6"/>
            <w:noWrap/>
            <w:hideMark/>
          </w:tcPr>
          <w:p w14:paraId="3263E848" w14:textId="77777777" w:rsidR="00087B91" w:rsidRPr="002029AF" w:rsidRDefault="00087B91" w:rsidP="00860E95">
            <w:pPr>
              <w:pStyle w:val="ARfintablebodyright"/>
            </w:pPr>
            <w:r w:rsidRPr="002029AF">
              <w:t>0.2</w:t>
            </w:r>
          </w:p>
        </w:tc>
        <w:tc>
          <w:tcPr>
            <w:tcW w:w="1134" w:type="dxa"/>
            <w:tcBorders>
              <w:top w:val="single" w:sz="4" w:space="0" w:color="A6A6A6"/>
              <w:bottom w:val="single" w:sz="4" w:space="0" w:color="A6A6A6"/>
            </w:tcBorders>
            <w:noWrap/>
            <w:hideMark/>
          </w:tcPr>
          <w:p w14:paraId="3DD2E5ED" w14:textId="77777777" w:rsidR="00087B91" w:rsidRPr="002029AF" w:rsidRDefault="00087B91" w:rsidP="00860E95">
            <w:pPr>
              <w:pStyle w:val="ARfintablebodyright"/>
            </w:pPr>
            <w:r w:rsidRPr="002029AF">
              <w:t>0.2</w:t>
            </w:r>
          </w:p>
        </w:tc>
        <w:tc>
          <w:tcPr>
            <w:tcW w:w="1134" w:type="dxa"/>
            <w:tcBorders>
              <w:top w:val="single" w:sz="4" w:space="0" w:color="A6A6A6"/>
              <w:bottom w:val="single" w:sz="4" w:space="0" w:color="A6A6A6"/>
            </w:tcBorders>
            <w:shd w:val="clear" w:color="auto" w:fill="E7E6E6"/>
            <w:noWrap/>
            <w:hideMark/>
          </w:tcPr>
          <w:p w14:paraId="5ECB91C8" w14:textId="77777777" w:rsidR="00087B91" w:rsidRPr="002029AF" w:rsidRDefault="00087B91" w:rsidP="00860E95">
            <w:pPr>
              <w:pStyle w:val="ARfintablebodyright"/>
            </w:pPr>
            <w:r w:rsidRPr="002029AF">
              <w:t>0.1</w:t>
            </w:r>
          </w:p>
        </w:tc>
        <w:tc>
          <w:tcPr>
            <w:tcW w:w="1134" w:type="dxa"/>
            <w:tcBorders>
              <w:top w:val="single" w:sz="4" w:space="0" w:color="A6A6A6"/>
              <w:bottom w:val="single" w:sz="4" w:space="0" w:color="A6A6A6"/>
            </w:tcBorders>
            <w:noWrap/>
            <w:hideMark/>
          </w:tcPr>
          <w:p w14:paraId="42A499F2" w14:textId="77777777" w:rsidR="00087B91" w:rsidRPr="002029AF" w:rsidRDefault="00087B91" w:rsidP="00860E95">
            <w:pPr>
              <w:pStyle w:val="ARfintablebodyright"/>
            </w:pPr>
            <w:r w:rsidRPr="002029AF">
              <w:t>0.1</w:t>
            </w:r>
          </w:p>
        </w:tc>
        <w:tc>
          <w:tcPr>
            <w:tcW w:w="1134" w:type="dxa"/>
            <w:tcBorders>
              <w:top w:val="single" w:sz="4" w:space="0" w:color="A6A6A6"/>
              <w:bottom w:val="single" w:sz="4" w:space="0" w:color="A6A6A6"/>
            </w:tcBorders>
            <w:shd w:val="clear" w:color="auto" w:fill="E7E6E6"/>
            <w:noWrap/>
            <w:hideMark/>
          </w:tcPr>
          <w:p w14:paraId="3FB2AF28" w14:textId="77777777" w:rsidR="00087B91" w:rsidRPr="002029AF" w:rsidRDefault="00087B91" w:rsidP="00860E95">
            <w:pPr>
              <w:pStyle w:val="ARfintablebodyright"/>
            </w:pPr>
            <w:r w:rsidRPr="002029AF">
              <w:t>0.1</w:t>
            </w:r>
          </w:p>
        </w:tc>
        <w:tc>
          <w:tcPr>
            <w:tcW w:w="1134" w:type="dxa"/>
            <w:tcBorders>
              <w:top w:val="single" w:sz="4" w:space="0" w:color="A6A6A6"/>
              <w:bottom w:val="single" w:sz="4" w:space="0" w:color="A6A6A6"/>
            </w:tcBorders>
            <w:noWrap/>
            <w:hideMark/>
          </w:tcPr>
          <w:p w14:paraId="44F66DFE" w14:textId="77777777" w:rsidR="00087B91" w:rsidRPr="002029AF" w:rsidRDefault="00087B91" w:rsidP="00860E95">
            <w:pPr>
              <w:pStyle w:val="ARfintablebodyright"/>
            </w:pPr>
            <w:r w:rsidRPr="002029AF">
              <w:t>0.1</w:t>
            </w:r>
          </w:p>
        </w:tc>
      </w:tr>
      <w:tr w:rsidR="00087B91" w:rsidRPr="002029AF" w14:paraId="2B920204" w14:textId="77777777" w:rsidTr="00860E95">
        <w:trPr>
          <w:trHeight w:val="255"/>
        </w:trPr>
        <w:tc>
          <w:tcPr>
            <w:tcW w:w="2835" w:type="dxa"/>
            <w:tcBorders>
              <w:top w:val="single" w:sz="4" w:space="0" w:color="A6A6A6"/>
              <w:bottom w:val="single" w:sz="4" w:space="0" w:color="A6A6A6"/>
            </w:tcBorders>
            <w:hideMark/>
          </w:tcPr>
          <w:p w14:paraId="731577A2" w14:textId="27E6B0E5" w:rsidR="00087B91" w:rsidRPr="002029AF" w:rsidRDefault="00087B91" w:rsidP="00860E95">
            <w:pPr>
              <w:pStyle w:val="ARfintablebody"/>
            </w:pPr>
            <w:r w:rsidRPr="002029AF">
              <w:t>Other</w:t>
            </w:r>
            <w:r w:rsidR="000A5329" w:rsidRPr="002029AF">
              <w:t xml:space="preserve"> </w:t>
            </w:r>
            <w:r w:rsidRPr="002029AF">
              <w:t>long-term</w:t>
            </w:r>
            <w:r w:rsidR="000A5329" w:rsidRPr="002029AF">
              <w:t xml:space="preserve"> </w:t>
            </w:r>
            <w:r w:rsidRPr="002029AF">
              <w:t>benefits</w:t>
            </w:r>
          </w:p>
        </w:tc>
        <w:tc>
          <w:tcPr>
            <w:tcW w:w="1134" w:type="dxa"/>
            <w:tcBorders>
              <w:top w:val="single" w:sz="4" w:space="0" w:color="A6A6A6"/>
              <w:bottom w:val="single" w:sz="4" w:space="0" w:color="A6A6A6"/>
            </w:tcBorders>
            <w:shd w:val="clear" w:color="auto" w:fill="E7E6E6"/>
            <w:noWrap/>
            <w:hideMark/>
          </w:tcPr>
          <w:p w14:paraId="199B838E" w14:textId="77777777" w:rsidR="00087B91" w:rsidRPr="002029AF" w:rsidRDefault="00087B91" w:rsidP="00860E95">
            <w:pPr>
              <w:pStyle w:val="ARfintablebodyright"/>
            </w:pPr>
            <w:r w:rsidRPr="002029AF">
              <w:t>0.1</w:t>
            </w:r>
          </w:p>
        </w:tc>
        <w:tc>
          <w:tcPr>
            <w:tcW w:w="1134" w:type="dxa"/>
            <w:tcBorders>
              <w:top w:val="single" w:sz="4" w:space="0" w:color="A6A6A6"/>
              <w:bottom w:val="single" w:sz="4" w:space="0" w:color="A6A6A6"/>
            </w:tcBorders>
            <w:noWrap/>
            <w:hideMark/>
          </w:tcPr>
          <w:p w14:paraId="7E12A23E" w14:textId="77777777" w:rsidR="00087B91" w:rsidRPr="002029AF" w:rsidRDefault="00087B91" w:rsidP="00860E95">
            <w:pPr>
              <w:pStyle w:val="ARfintablebodyright"/>
            </w:pPr>
            <w:r w:rsidRPr="002029AF">
              <w:t>0.1</w:t>
            </w:r>
          </w:p>
        </w:tc>
        <w:tc>
          <w:tcPr>
            <w:tcW w:w="1134" w:type="dxa"/>
            <w:tcBorders>
              <w:top w:val="single" w:sz="4" w:space="0" w:color="A6A6A6"/>
              <w:bottom w:val="single" w:sz="4" w:space="0" w:color="A6A6A6"/>
            </w:tcBorders>
            <w:shd w:val="clear" w:color="auto" w:fill="E7E6E6"/>
            <w:noWrap/>
            <w:hideMark/>
          </w:tcPr>
          <w:p w14:paraId="2BE7258D"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5D9863F8"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shd w:val="clear" w:color="auto" w:fill="E7E6E6"/>
            <w:noWrap/>
            <w:hideMark/>
          </w:tcPr>
          <w:p w14:paraId="3A400174"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4484893F" w14:textId="77777777" w:rsidR="00087B91" w:rsidRPr="002029AF" w:rsidRDefault="00087B91" w:rsidP="00860E95">
            <w:pPr>
              <w:pStyle w:val="ARfintablebodyright"/>
            </w:pPr>
            <w:r w:rsidRPr="002029AF">
              <w:t>–</w:t>
            </w:r>
          </w:p>
        </w:tc>
      </w:tr>
      <w:tr w:rsidR="00087B91" w:rsidRPr="002029AF" w14:paraId="13B3BD4B" w14:textId="77777777" w:rsidTr="00860E95">
        <w:trPr>
          <w:trHeight w:val="255"/>
        </w:trPr>
        <w:tc>
          <w:tcPr>
            <w:tcW w:w="2835" w:type="dxa"/>
            <w:tcBorders>
              <w:top w:val="single" w:sz="4" w:space="0" w:color="A6A6A6"/>
              <w:bottom w:val="single" w:sz="4" w:space="0" w:color="A6A6A6"/>
            </w:tcBorders>
            <w:hideMark/>
          </w:tcPr>
          <w:p w14:paraId="1B641BE9" w14:textId="6B7E234C" w:rsidR="00087B91" w:rsidRPr="002029AF" w:rsidRDefault="00087B91" w:rsidP="00860E95">
            <w:pPr>
              <w:pStyle w:val="ARfintablebody"/>
            </w:pPr>
            <w:r w:rsidRPr="002029AF">
              <w:t>Termination</w:t>
            </w:r>
            <w:r w:rsidR="000A5329" w:rsidRPr="002029AF">
              <w:t xml:space="preserve"> </w:t>
            </w:r>
            <w:r w:rsidRPr="002029AF">
              <w:t>benefits</w:t>
            </w:r>
          </w:p>
        </w:tc>
        <w:tc>
          <w:tcPr>
            <w:tcW w:w="1134" w:type="dxa"/>
            <w:tcBorders>
              <w:top w:val="single" w:sz="4" w:space="0" w:color="A6A6A6"/>
              <w:bottom w:val="single" w:sz="4" w:space="0" w:color="A6A6A6"/>
            </w:tcBorders>
            <w:shd w:val="clear" w:color="auto" w:fill="E7E6E6"/>
            <w:noWrap/>
            <w:hideMark/>
          </w:tcPr>
          <w:p w14:paraId="6A8F85EB"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1F118521"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shd w:val="clear" w:color="auto" w:fill="E7E6E6"/>
            <w:noWrap/>
            <w:hideMark/>
          </w:tcPr>
          <w:p w14:paraId="7E2D0705"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20734853"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shd w:val="clear" w:color="auto" w:fill="E7E6E6"/>
            <w:noWrap/>
            <w:hideMark/>
          </w:tcPr>
          <w:p w14:paraId="01AA5539" w14:textId="77777777" w:rsidR="00087B91" w:rsidRPr="002029AF" w:rsidRDefault="00087B91" w:rsidP="00860E95">
            <w:pPr>
              <w:pStyle w:val="ARfintablebodyright"/>
            </w:pPr>
            <w:r w:rsidRPr="002029AF">
              <w:t>–</w:t>
            </w:r>
          </w:p>
        </w:tc>
        <w:tc>
          <w:tcPr>
            <w:tcW w:w="1134" w:type="dxa"/>
            <w:tcBorders>
              <w:top w:val="single" w:sz="4" w:space="0" w:color="A6A6A6"/>
              <w:bottom w:val="single" w:sz="4" w:space="0" w:color="A6A6A6"/>
            </w:tcBorders>
            <w:noWrap/>
            <w:hideMark/>
          </w:tcPr>
          <w:p w14:paraId="7E94209A" w14:textId="77777777" w:rsidR="00087B91" w:rsidRPr="002029AF" w:rsidRDefault="00087B91" w:rsidP="00860E95">
            <w:pPr>
              <w:pStyle w:val="ARfintablebodyright"/>
            </w:pPr>
            <w:r w:rsidRPr="002029AF">
              <w:t>–</w:t>
            </w:r>
          </w:p>
        </w:tc>
      </w:tr>
      <w:tr w:rsidR="00087B91" w:rsidRPr="002029AF" w14:paraId="4CD4DCA0" w14:textId="77777777" w:rsidTr="00860E95">
        <w:trPr>
          <w:trHeight w:val="255"/>
        </w:trPr>
        <w:tc>
          <w:tcPr>
            <w:tcW w:w="2835" w:type="dxa"/>
            <w:tcBorders>
              <w:top w:val="single" w:sz="4" w:space="0" w:color="A6A6A6"/>
            </w:tcBorders>
            <w:hideMark/>
          </w:tcPr>
          <w:p w14:paraId="7171A34F" w14:textId="327567F0" w:rsidR="00087B91" w:rsidRPr="002029AF" w:rsidRDefault="00087B91" w:rsidP="00860E95">
            <w:pPr>
              <w:pStyle w:val="ARfintablebody"/>
            </w:pPr>
            <w:r w:rsidRPr="002029AF">
              <w:t>Share-based</w:t>
            </w:r>
            <w:r w:rsidR="000A5329" w:rsidRPr="002029AF">
              <w:t xml:space="preserve"> </w:t>
            </w:r>
            <w:r w:rsidRPr="002029AF">
              <w:t>payments</w:t>
            </w:r>
          </w:p>
        </w:tc>
        <w:tc>
          <w:tcPr>
            <w:tcW w:w="1134" w:type="dxa"/>
            <w:tcBorders>
              <w:top w:val="single" w:sz="4" w:space="0" w:color="A6A6A6"/>
            </w:tcBorders>
            <w:shd w:val="clear" w:color="auto" w:fill="E7E6E6"/>
            <w:noWrap/>
            <w:hideMark/>
          </w:tcPr>
          <w:p w14:paraId="2F930F54" w14:textId="77777777" w:rsidR="00087B91" w:rsidRPr="002029AF" w:rsidRDefault="00087B91" w:rsidP="00860E95">
            <w:pPr>
              <w:pStyle w:val="ARfintablebodyright"/>
            </w:pPr>
            <w:r w:rsidRPr="002029AF">
              <w:t>–</w:t>
            </w:r>
          </w:p>
        </w:tc>
        <w:tc>
          <w:tcPr>
            <w:tcW w:w="1134" w:type="dxa"/>
            <w:tcBorders>
              <w:top w:val="single" w:sz="4" w:space="0" w:color="A6A6A6"/>
            </w:tcBorders>
            <w:noWrap/>
            <w:hideMark/>
          </w:tcPr>
          <w:p w14:paraId="37BFC649" w14:textId="77777777" w:rsidR="00087B91" w:rsidRPr="002029AF" w:rsidRDefault="00087B91" w:rsidP="00860E95">
            <w:pPr>
              <w:pStyle w:val="ARfintablebodyright"/>
            </w:pPr>
            <w:r w:rsidRPr="002029AF">
              <w:t>–</w:t>
            </w:r>
          </w:p>
        </w:tc>
        <w:tc>
          <w:tcPr>
            <w:tcW w:w="1134" w:type="dxa"/>
            <w:tcBorders>
              <w:top w:val="single" w:sz="4" w:space="0" w:color="A6A6A6"/>
            </w:tcBorders>
            <w:shd w:val="clear" w:color="auto" w:fill="E7E6E6"/>
            <w:noWrap/>
            <w:hideMark/>
          </w:tcPr>
          <w:p w14:paraId="53269DE8" w14:textId="77777777" w:rsidR="00087B91" w:rsidRPr="002029AF" w:rsidRDefault="00087B91" w:rsidP="00860E95">
            <w:pPr>
              <w:pStyle w:val="ARfintablebodyright"/>
            </w:pPr>
            <w:r w:rsidRPr="002029AF">
              <w:t>–</w:t>
            </w:r>
          </w:p>
        </w:tc>
        <w:tc>
          <w:tcPr>
            <w:tcW w:w="1134" w:type="dxa"/>
            <w:tcBorders>
              <w:top w:val="single" w:sz="4" w:space="0" w:color="A6A6A6"/>
            </w:tcBorders>
            <w:noWrap/>
            <w:hideMark/>
          </w:tcPr>
          <w:p w14:paraId="0B84C0C0" w14:textId="77777777" w:rsidR="00087B91" w:rsidRPr="002029AF" w:rsidRDefault="00087B91" w:rsidP="00860E95">
            <w:pPr>
              <w:pStyle w:val="ARfintablebodyright"/>
            </w:pPr>
            <w:r w:rsidRPr="002029AF">
              <w:t>–</w:t>
            </w:r>
          </w:p>
        </w:tc>
        <w:tc>
          <w:tcPr>
            <w:tcW w:w="1134" w:type="dxa"/>
            <w:tcBorders>
              <w:top w:val="single" w:sz="4" w:space="0" w:color="A6A6A6"/>
            </w:tcBorders>
            <w:shd w:val="clear" w:color="auto" w:fill="E7E6E6"/>
            <w:noWrap/>
            <w:hideMark/>
          </w:tcPr>
          <w:p w14:paraId="7EE335B3" w14:textId="77777777" w:rsidR="00087B91" w:rsidRPr="002029AF" w:rsidRDefault="00087B91" w:rsidP="00860E95">
            <w:pPr>
              <w:pStyle w:val="ARfintablebodyright"/>
            </w:pPr>
            <w:r w:rsidRPr="002029AF">
              <w:t>–</w:t>
            </w:r>
          </w:p>
        </w:tc>
        <w:tc>
          <w:tcPr>
            <w:tcW w:w="1134" w:type="dxa"/>
            <w:tcBorders>
              <w:top w:val="single" w:sz="4" w:space="0" w:color="A6A6A6"/>
            </w:tcBorders>
            <w:noWrap/>
            <w:hideMark/>
          </w:tcPr>
          <w:p w14:paraId="6D901DD1" w14:textId="77777777" w:rsidR="00087B91" w:rsidRPr="002029AF" w:rsidRDefault="00087B91" w:rsidP="00860E95">
            <w:pPr>
              <w:pStyle w:val="ARfintablebodyright"/>
            </w:pPr>
            <w:r w:rsidRPr="002029AF">
              <w:t>–</w:t>
            </w:r>
          </w:p>
        </w:tc>
      </w:tr>
      <w:tr w:rsidR="00087B91" w:rsidRPr="002029AF" w14:paraId="38970D0F" w14:textId="77777777" w:rsidTr="00860E95">
        <w:trPr>
          <w:trHeight w:val="255"/>
        </w:trPr>
        <w:tc>
          <w:tcPr>
            <w:tcW w:w="2835" w:type="dxa"/>
            <w:hideMark/>
          </w:tcPr>
          <w:p w14:paraId="1D20D027" w14:textId="5C316AEF" w:rsidR="00087B91" w:rsidRPr="002029AF" w:rsidRDefault="00087B91" w:rsidP="00860E95">
            <w:pPr>
              <w:pStyle w:val="ARfintablebodybold"/>
            </w:pPr>
            <w:r w:rsidRPr="002029AF">
              <w:t>Total</w:t>
            </w:r>
            <w:r w:rsidR="000A5329" w:rsidRPr="002029AF">
              <w:t xml:space="preserve"> </w:t>
            </w:r>
            <w:r w:rsidRPr="002029AF">
              <w:rPr>
                <w:rStyle w:val="Superscript"/>
              </w:rPr>
              <w:t>(iv)</w:t>
            </w:r>
          </w:p>
        </w:tc>
        <w:tc>
          <w:tcPr>
            <w:tcW w:w="1134" w:type="dxa"/>
            <w:shd w:val="clear" w:color="auto" w:fill="E7E6E6"/>
            <w:noWrap/>
            <w:hideMark/>
          </w:tcPr>
          <w:p w14:paraId="0EDE1C79" w14:textId="77777777" w:rsidR="00087B91" w:rsidRPr="002029AF" w:rsidRDefault="00087B91" w:rsidP="00860E95">
            <w:pPr>
              <w:pStyle w:val="ARfintablebodyrightbold"/>
            </w:pPr>
            <w:r w:rsidRPr="002029AF">
              <w:t>4.1</w:t>
            </w:r>
          </w:p>
        </w:tc>
        <w:tc>
          <w:tcPr>
            <w:tcW w:w="1134" w:type="dxa"/>
            <w:noWrap/>
            <w:hideMark/>
          </w:tcPr>
          <w:p w14:paraId="79F6F930" w14:textId="77777777" w:rsidR="00087B91" w:rsidRPr="002029AF" w:rsidRDefault="00087B91" w:rsidP="00860E95">
            <w:pPr>
              <w:pStyle w:val="ARfintablebodyrightbold"/>
            </w:pPr>
            <w:r w:rsidRPr="002029AF">
              <w:t>3.7</w:t>
            </w:r>
          </w:p>
        </w:tc>
        <w:tc>
          <w:tcPr>
            <w:tcW w:w="1134" w:type="dxa"/>
            <w:shd w:val="clear" w:color="auto" w:fill="E7E6E6"/>
            <w:noWrap/>
            <w:hideMark/>
          </w:tcPr>
          <w:p w14:paraId="12C29F3A" w14:textId="77777777" w:rsidR="00087B91" w:rsidRPr="002029AF" w:rsidRDefault="00087B91" w:rsidP="00860E95">
            <w:pPr>
              <w:pStyle w:val="ARfintablebodyrightbold"/>
            </w:pPr>
            <w:r w:rsidRPr="002029AF">
              <w:t>1.4</w:t>
            </w:r>
          </w:p>
        </w:tc>
        <w:tc>
          <w:tcPr>
            <w:tcW w:w="1134" w:type="dxa"/>
            <w:noWrap/>
            <w:hideMark/>
          </w:tcPr>
          <w:p w14:paraId="4F63200D" w14:textId="77777777" w:rsidR="00087B91" w:rsidRPr="002029AF" w:rsidRDefault="00087B91" w:rsidP="00860E95">
            <w:pPr>
              <w:pStyle w:val="ARfintablebodyrightbold"/>
            </w:pPr>
            <w:r w:rsidRPr="002029AF">
              <w:t>1.4</w:t>
            </w:r>
          </w:p>
        </w:tc>
        <w:tc>
          <w:tcPr>
            <w:tcW w:w="1134" w:type="dxa"/>
            <w:shd w:val="clear" w:color="auto" w:fill="E7E6E6"/>
            <w:noWrap/>
            <w:hideMark/>
          </w:tcPr>
          <w:p w14:paraId="28D18477" w14:textId="77777777" w:rsidR="00087B91" w:rsidRPr="002029AF" w:rsidRDefault="00087B91" w:rsidP="00860E95">
            <w:pPr>
              <w:pStyle w:val="ARfintablebodyrightbold"/>
            </w:pPr>
            <w:r w:rsidRPr="002029AF">
              <w:t>0.8</w:t>
            </w:r>
          </w:p>
        </w:tc>
        <w:tc>
          <w:tcPr>
            <w:tcW w:w="1134" w:type="dxa"/>
            <w:noWrap/>
            <w:hideMark/>
          </w:tcPr>
          <w:p w14:paraId="08D398BC" w14:textId="77777777" w:rsidR="00087B91" w:rsidRPr="002029AF" w:rsidRDefault="00087B91" w:rsidP="00860E95">
            <w:pPr>
              <w:pStyle w:val="ARfintablebodyrightbold"/>
            </w:pPr>
            <w:r w:rsidRPr="002029AF">
              <w:t>0.9</w:t>
            </w:r>
          </w:p>
        </w:tc>
      </w:tr>
    </w:tbl>
    <w:p w14:paraId="15DCCB19" w14:textId="77777777" w:rsidR="00087B91" w:rsidRPr="002029AF" w:rsidRDefault="00087B91" w:rsidP="00087B91">
      <w:pPr>
        <w:pStyle w:val="ARfintablefootnote"/>
        <w:rPr>
          <w:lang w:eastAsia="en-AU"/>
        </w:rPr>
      </w:pPr>
      <w:r w:rsidRPr="002029AF">
        <w:rPr>
          <w:lang w:eastAsia="en-AU"/>
        </w:rPr>
        <w:t>Notes:</w:t>
      </w:r>
    </w:p>
    <w:p w14:paraId="52683EF8" w14:textId="4F9FF08F" w:rsidR="00087B91" w:rsidRPr="002029AF" w:rsidRDefault="00087B91" w:rsidP="00087B91">
      <w:pPr>
        <w:pStyle w:val="ARfintablefootnoteindent"/>
      </w:pPr>
      <w:r w:rsidRPr="002029AF">
        <w:t>(i)</w:t>
      </w:r>
      <w:r w:rsidRPr="002029AF">
        <w:tab/>
        <w:t>This</w:t>
      </w:r>
      <w:r w:rsidR="000A5329" w:rsidRPr="002029AF">
        <w:t xml:space="preserve"> </w:t>
      </w:r>
      <w:r w:rsidRPr="002029AF">
        <w:t>excludes</w:t>
      </w:r>
      <w:r w:rsidR="000A5329" w:rsidRPr="002029AF">
        <w:t xml:space="preserve"> </w:t>
      </w:r>
      <w:r w:rsidRPr="002029AF">
        <w:t>remuneration</w:t>
      </w:r>
      <w:r w:rsidR="000A5329" w:rsidRPr="002029AF">
        <w:t xml:space="preserve"> </w:t>
      </w:r>
      <w:r w:rsidRPr="002029AF">
        <w:t>of</w:t>
      </w:r>
      <w:r w:rsidR="000A5329" w:rsidRPr="002029AF">
        <w:t xml:space="preserve"> </w:t>
      </w:r>
      <w:r w:rsidRPr="002029AF">
        <w:t>CFO</w:t>
      </w:r>
      <w:r w:rsidR="000A5329" w:rsidRPr="002029AF">
        <w:t xml:space="preserve"> </w:t>
      </w:r>
      <w:r w:rsidRPr="002029AF">
        <w:t>as</w:t>
      </w:r>
      <w:r w:rsidR="000A5329" w:rsidRPr="002029AF">
        <w:t xml:space="preserve"> </w:t>
      </w:r>
      <w:r w:rsidRPr="002029AF">
        <w:t>CFO</w:t>
      </w:r>
      <w:r w:rsidR="000A5329" w:rsidRPr="002029AF">
        <w:t xml:space="preserve"> </w:t>
      </w:r>
      <w:r w:rsidRPr="002029AF">
        <w:t>is</w:t>
      </w:r>
      <w:r w:rsidR="000A5329" w:rsidRPr="002029AF">
        <w:t xml:space="preserve"> </w:t>
      </w:r>
      <w:r w:rsidRPr="002029AF">
        <w:t>employed</w:t>
      </w:r>
      <w:r w:rsidR="000A5329" w:rsidRPr="002029AF">
        <w:t xml:space="preserve"> </w:t>
      </w:r>
      <w:r w:rsidRPr="002029AF">
        <w:t>by</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of</w:t>
      </w:r>
      <w:r w:rsidR="000A5329" w:rsidRPr="002029AF">
        <w:t xml:space="preserve"> </w:t>
      </w:r>
      <w:r w:rsidRPr="002029AF">
        <w:t>Treasury</w:t>
      </w:r>
      <w:r w:rsidR="000A5329" w:rsidRPr="002029AF">
        <w:t xml:space="preserve"> </w:t>
      </w:r>
      <w:r w:rsidRPr="002029AF">
        <w:t>and</w:t>
      </w:r>
      <w:r w:rsidR="000A5329" w:rsidRPr="002029AF">
        <w:t xml:space="preserve"> </w:t>
      </w:r>
      <w:r w:rsidRPr="002029AF">
        <w:t>Finance.</w:t>
      </w:r>
    </w:p>
    <w:p w14:paraId="0444957A" w14:textId="3EFA8E21" w:rsidR="00087B91" w:rsidRPr="002029AF" w:rsidRDefault="00087B91" w:rsidP="00087B91">
      <w:pPr>
        <w:pStyle w:val="ARfintablefootnoteindent"/>
      </w:pPr>
      <w:r w:rsidRPr="002029AF">
        <w:t>(ii)</w:t>
      </w:r>
      <w:r w:rsidRPr="002029AF">
        <w:tab/>
        <w:t>This</w:t>
      </w:r>
      <w:r w:rsidR="000A5329" w:rsidRPr="002029AF">
        <w:t xml:space="preserve"> </w:t>
      </w:r>
      <w:r w:rsidRPr="002029AF">
        <w:t>includes</w:t>
      </w:r>
      <w:r w:rsidR="000A5329" w:rsidRPr="002029AF">
        <w:t xml:space="preserve"> </w:t>
      </w:r>
      <w:r w:rsidRPr="002029AF">
        <w:t>remuneration</w:t>
      </w:r>
      <w:r w:rsidR="000A5329" w:rsidRPr="002029AF">
        <w:t xml:space="preserve"> </w:t>
      </w:r>
      <w:r w:rsidRPr="002029AF">
        <w:t>of</w:t>
      </w:r>
      <w:r w:rsidR="000A5329" w:rsidRPr="002029AF">
        <w:t xml:space="preserve"> </w:t>
      </w:r>
      <w:r w:rsidRPr="002029AF">
        <w:t>KMPs</w:t>
      </w:r>
      <w:r w:rsidR="000A5329" w:rsidRPr="002029AF">
        <w:t xml:space="preserve"> </w:t>
      </w:r>
      <w:r w:rsidRPr="002029AF">
        <w:t>for</w:t>
      </w:r>
      <w:r w:rsidR="000A5329" w:rsidRPr="002029AF">
        <w:t xml:space="preserve"> </w:t>
      </w:r>
      <w:r w:rsidRPr="002029AF">
        <w:t>Victorian</w:t>
      </w:r>
      <w:r w:rsidR="000A5329" w:rsidRPr="002029AF">
        <w:t xml:space="preserve"> </w:t>
      </w:r>
      <w:r w:rsidRPr="002029AF">
        <w:t>Agency</w:t>
      </w:r>
      <w:r w:rsidR="000A5329" w:rsidRPr="002029AF">
        <w:t xml:space="preserve"> </w:t>
      </w:r>
      <w:r w:rsidRPr="002029AF">
        <w:t>for</w:t>
      </w:r>
      <w:r w:rsidR="000A5329" w:rsidRPr="002029AF">
        <w:t xml:space="preserve"> </w:t>
      </w:r>
      <w:r w:rsidRPr="002029AF">
        <w:t>Health</w:t>
      </w:r>
      <w:r w:rsidR="000A5329" w:rsidRPr="002029AF">
        <w:t xml:space="preserve"> </w:t>
      </w:r>
      <w:r w:rsidRPr="002029AF">
        <w:t>Information,</w:t>
      </w:r>
      <w:r w:rsidR="000A5329" w:rsidRPr="002029AF">
        <w:t xml:space="preserve"> </w:t>
      </w:r>
      <w:r w:rsidRPr="002029AF">
        <w:t>Safer</w:t>
      </w:r>
      <w:r w:rsidR="000A5329" w:rsidRPr="002029AF">
        <w:t xml:space="preserve"> </w:t>
      </w:r>
      <w:r w:rsidRPr="002029AF">
        <w:t>Care</w:t>
      </w:r>
      <w:r w:rsidR="000A5329" w:rsidRPr="002029AF">
        <w:t xml:space="preserve"> </w:t>
      </w:r>
      <w:r w:rsidRPr="002029AF">
        <w:t>Victoria,</w:t>
      </w:r>
      <w:r w:rsidR="000A5329" w:rsidRPr="002029AF">
        <w:t xml:space="preserve"> </w:t>
      </w:r>
      <w:r w:rsidRPr="002029AF">
        <w:t>Family</w:t>
      </w:r>
      <w:r w:rsidR="000A5329" w:rsidRPr="002029AF">
        <w:t xml:space="preserve"> </w:t>
      </w:r>
      <w:r w:rsidRPr="002029AF">
        <w:t>Safety</w:t>
      </w:r>
      <w:r w:rsidR="000A5329" w:rsidRPr="002029AF">
        <w:t xml:space="preserve"> </w:t>
      </w:r>
      <w:r w:rsidRPr="002029AF">
        <w:t>Victoria</w:t>
      </w:r>
      <w:r w:rsidR="000A5329" w:rsidRPr="002029AF">
        <w:t xml:space="preserve"> </w:t>
      </w:r>
      <w:r w:rsidRPr="002029AF">
        <w:t>and</w:t>
      </w:r>
      <w:r w:rsidR="000A5329" w:rsidRPr="002029AF">
        <w:t xml:space="preserve"> </w:t>
      </w:r>
      <w:r w:rsidRPr="002029AF">
        <w:t>Mental</w:t>
      </w:r>
      <w:r w:rsidR="000A5329" w:rsidRPr="002029AF">
        <w:t xml:space="preserve"> </w:t>
      </w:r>
      <w:r w:rsidRPr="002029AF">
        <w:t>Health</w:t>
      </w:r>
      <w:r w:rsidR="000A5329" w:rsidRPr="002029AF">
        <w:t xml:space="preserve"> </w:t>
      </w:r>
      <w:r w:rsidRPr="002029AF">
        <w:t>Reform</w:t>
      </w:r>
      <w:r w:rsidR="000A5329" w:rsidRPr="002029AF">
        <w:t xml:space="preserve"> </w:t>
      </w:r>
      <w:r w:rsidRPr="002029AF">
        <w:t>Victoria.</w:t>
      </w:r>
    </w:p>
    <w:p w14:paraId="56271394" w14:textId="2AC47FE4" w:rsidR="00087B91" w:rsidRPr="002029AF" w:rsidRDefault="00087B91" w:rsidP="00087B91">
      <w:pPr>
        <w:pStyle w:val="ARfintablefootnoteindent"/>
      </w:pPr>
      <w:r w:rsidRPr="002029AF">
        <w:t>(iii)</w:t>
      </w:r>
      <w:r w:rsidRPr="002029AF">
        <w:tab/>
        <w:t>This</w:t>
      </w:r>
      <w:r w:rsidR="000A5329" w:rsidRPr="002029AF">
        <w:t xml:space="preserve"> </w:t>
      </w:r>
      <w:r w:rsidRPr="002029AF">
        <w:t>includes</w:t>
      </w:r>
      <w:r w:rsidR="000A5329" w:rsidRPr="002029AF">
        <w:t xml:space="preserve"> </w:t>
      </w:r>
      <w:r w:rsidRPr="002029AF">
        <w:t>remuneration</w:t>
      </w:r>
      <w:r w:rsidR="000A5329" w:rsidRPr="002029AF">
        <w:t xml:space="preserve"> </w:t>
      </w:r>
      <w:r w:rsidRPr="002029AF">
        <w:t>of</w:t>
      </w:r>
      <w:r w:rsidR="000A5329" w:rsidRPr="002029AF">
        <w:t xml:space="preserve"> </w:t>
      </w:r>
      <w:r w:rsidRPr="002029AF">
        <w:t>KMPs</w:t>
      </w:r>
      <w:r w:rsidR="000A5329" w:rsidRPr="002029AF">
        <w:t xml:space="preserve"> </w:t>
      </w:r>
      <w:r w:rsidRPr="002029AF">
        <w:t>for</w:t>
      </w:r>
      <w:r w:rsidR="000A5329" w:rsidRPr="002029AF">
        <w:t xml:space="preserve"> </w:t>
      </w:r>
      <w:r w:rsidRPr="002029AF">
        <w:t>Mental</w:t>
      </w:r>
      <w:r w:rsidR="000A5329" w:rsidRPr="002029AF">
        <w:t xml:space="preserve"> </w:t>
      </w:r>
      <w:r w:rsidRPr="002029AF">
        <w:t>Health</w:t>
      </w:r>
      <w:r w:rsidR="000A5329" w:rsidRPr="002029AF">
        <w:t xml:space="preserve"> </w:t>
      </w:r>
      <w:r w:rsidRPr="002029AF">
        <w:t>Tribunal</w:t>
      </w:r>
      <w:r w:rsidR="000A5329" w:rsidRPr="002029AF">
        <w:t xml:space="preserve"> </w:t>
      </w:r>
      <w:r w:rsidRPr="002029AF">
        <w:t>and</w:t>
      </w:r>
      <w:r w:rsidR="000A5329" w:rsidRPr="002029AF">
        <w:t xml:space="preserve"> </w:t>
      </w:r>
      <w:r w:rsidRPr="002029AF">
        <w:t>Commission</w:t>
      </w:r>
      <w:r w:rsidR="000A5329" w:rsidRPr="002029AF">
        <w:t xml:space="preserve"> </w:t>
      </w:r>
      <w:r w:rsidRPr="002029AF">
        <w:t>for</w:t>
      </w:r>
      <w:r w:rsidR="000A5329" w:rsidRPr="002029AF">
        <w:t xml:space="preserve"> </w:t>
      </w:r>
      <w:r w:rsidRPr="002029AF">
        <w:t>Children</w:t>
      </w:r>
      <w:r w:rsidR="000A5329" w:rsidRPr="002029AF">
        <w:t xml:space="preserve"> </w:t>
      </w:r>
      <w:r w:rsidRPr="002029AF">
        <w:t>and</w:t>
      </w:r>
      <w:r w:rsidR="000A5329" w:rsidRPr="002029AF">
        <w:t xml:space="preserve"> </w:t>
      </w:r>
      <w:r w:rsidRPr="002029AF">
        <w:t>Young</w:t>
      </w:r>
      <w:r w:rsidR="000A5329" w:rsidRPr="002029AF">
        <w:t xml:space="preserve"> </w:t>
      </w:r>
      <w:r w:rsidRPr="002029AF">
        <w:t>People.</w:t>
      </w:r>
      <w:r w:rsidR="000A5329" w:rsidRPr="002029AF">
        <w:t xml:space="preserve"> </w:t>
      </w:r>
      <w:r w:rsidRPr="002029AF">
        <w:t>Remuneration</w:t>
      </w:r>
      <w:r w:rsidR="000A5329" w:rsidRPr="002029AF">
        <w:t xml:space="preserve"> </w:t>
      </w:r>
      <w:r w:rsidRPr="002029AF">
        <w:t>for</w:t>
      </w:r>
      <w:r w:rsidR="000A5329" w:rsidRPr="002029AF">
        <w:t xml:space="preserve"> </w:t>
      </w:r>
      <w:r w:rsidRPr="002029AF">
        <w:t>Director</w:t>
      </w:r>
      <w:r w:rsidR="000A5329" w:rsidRPr="002029AF">
        <w:t xml:space="preserve"> </w:t>
      </w:r>
      <w:r w:rsidRPr="002029AF">
        <w:t>of</w:t>
      </w:r>
      <w:r w:rsidR="000A5329" w:rsidRPr="002029AF">
        <w:t xml:space="preserve"> </w:t>
      </w:r>
      <w:r w:rsidRPr="002029AF">
        <w:t>Housing</w:t>
      </w:r>
      <w:r w:rsidR="000A5329" w:rsidRPr="002029AF">
        <w:t xml:space="preserve"> </w:t>
      </w:r>
      <w:r w:rsidRPr="002029AF">
        <w:t>is</w:t>
      </w:r>
      <w:r w:rsidR="000A5329" w:rsidRPr="002029AF">
        <w:t xml:space="preserve"> </w:t>
      </w:r>
      <w:r w:rsidRPr="002029AF">
        <w:t>included</w:t>
      </w:r>
      <w:r w:rsidR="000A5329" w:rsidRPr="002029AF">
        <w:t xml:space="preserve"> </w:t>
      </w:r>
      <w:r w:rsidRPr="002029AF">
        <w:t>in</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of</w:t>
      </w:r>
      <w:r w:rsidR="000A5329" w:rsidRPr="002029AF">
        <w:t xml:space="preserve"> </w:t>
      </w:r>
      <w:r w:rsidRPr="002029AF">
        <w:t>Health</w:t>
      </w:r>
      <w:r w:rsidR="000A5329" w:rsidRPr="002029AF">
        <w:t xml:space="preserve"> </w:t>
      </w:r>
      <w:r w:rsidRPr="002029AF">
        <w:t>and</w:t>
      </w:r>
      <w:r w:rsidR="000A5329" w:rsidRPr="002029AF">
        <w:t xml:space="preserve"> </w:t>
      </w:r>
      <w:r w:rsidRPr="002029AF">
        <w:t>Human</w:t>
      </w:r>
      <w:r w:rsidR="000A5329" w:rsidRPr="002029AF">
        <w:t xml:space="preserve"> </w:t>
      </w:r>
      <w:r w:rsidRPr="002029AF">
        <w:t>Services</w:t>
      </w:r>
      <w:r w:rsidR="000A5329" w:rsidRPr="002029AF">
        <w:t xml:space="preserve"> </w:t>
      </w:r>
      <w:r w:rsidRPr="002029AF">
        <w:t>numbers</w:t>
      </w:r>
      <w:r w:rsidR="000A5329" w:rsidRPr="002029AF">
        <w:t xml:space="preserve"> </w:t>
      </w:r>
      <w:r w:rsidRPr="002029AF">
        <w:t>as</w:t>
      </w:r>
      <w:r w:rsidR="000A5329" w:rsidRPr="002029AF">
        <w:t xml:space="preserve"> </w:t>
      </w:r>
      <w:r w:rsidRPr="002029AF">
        <w:t>the</w:t>
      </w:r>
      <w:r w:rsidR="000A5329" w:rsidRPr="002029AF">
        <w:t xml:space="preserve"> </w:t>
      </w:r>
      <w:r w:rsidRPr="002029AF">
        <w:t>Director</w:t>
      </w:r>
      <w:r w:rsidR="000A5329" w:rsidRPr="002029AF">
        <w:t xml:space="preserve"> </w:t>
      </w:r>
      <w:r w:rsidRPr="002029AF">
        <w:t>of</w:t>
      </w:r>
      <w:r w:rsidR="000A5329" w:rsidRPr="002029AF">
        <w:t xml:space="preserve"> </w:t>
      </w:r>
      <w:r w:rsidRPr="002029AF">
        <w:t>Housing</w:t>
      </w:r>
      <w:r w:rsidR="000A5329" w:rsidRPr="002029AF">
        <w:t xml:space="preserve"> </w:t>
      </w:r>
      <w:r w:rsidRPr="002029AF">
        <w:t>is</w:t>
      </w:r>
      <w:r w:rsidR="000A5329" w:rsidRPr="002029AF">
        <w:t xml:space="preserve"> </w:t>
      </w:r>
      <w:r w:rsidRPr="002029AF">
        <w:t>also</w:t>
      </w:r>
      <w:r w:rsidR="000A5329" w:rsidRPr="002029AF">
        <w:t xml:space="preserve"> </w:t>
      </w:r>
      <w:r w:rsidRPr="002029AF">
        <w:t>a</w:t>
      </w:r>
      <w:r w:rsidR="000A5329" w:rsidRPr="002029AF">
        <w:t xml:space="preserve"> </w:t>
      </w:r>
      <w:r w:rsidRPr="002029AF">
        <w:t>Deputy</w:t>
      </w:r>
      <w:r w:rsidR="000A5329" w:rsidRPr="002029AF">
        <w:t xml:space="preserve"> </w:t>
      </w:r>
      <w:r w:rsidRPr="002029AF">
        <w:t>Secretary</w:t>
      </w:r>
      <w:r w:rsidR="000A5329" w:rsidRPr="002029AF">
        <w:t xml:space="preserve"> </w:t>
      </w:r>
      <w:r w:rsidRPr="002029AF">
        <w:t>of</w:t>
      </w:r>
      <w:r w:rsidR="000A5329" w:rsidRPr="002029AF">
        <w:t xml:space="preserve"> </w:t>
      </w:r>
      <w:r w:rsidRPr="002029AF">
        <w:t>the</w:t>
      </w:r>
      <w:r w:rsidR="000A5329" w:rsidRPr="002029AF">
        <w:t xml:space="preserve"> </w:t>
      </w:r>
      <w:r w:rsidRPr="002029AF">
        <w:t>department.</w:t>
      </w:r>
    </w:p>
    <w:p w14:paraId="3426FFB0" w14:textId="03895284" w:rsidR="00087B91" w:rsidRPr="002029AF" w:rsidRDefault="00087B91" w:rsidP="00087B91">
      <w:pPr>
        <w:pStyle w:val="ARfintablefootnoteindent"/>
      </w:pPr>
      <w:r w:rsidRPr="002029AF">
        <w:t>(iv)</w:t>
      </w:r>
      <w:r w:rsidRPr="002029AF">
        <w:tab/>
        <w:t>Note</w:t>
      </w:r>
      <w:r w:rsidR="000A5329" w:rsidRPr="002029AF">
        <w:t xml:space="preserve"> </w:t>
      </w:r>
      <w:r w:rsidRPr="002029AF">
        <w:t>that</w:t>
      </w:r>
      <w:r w:rsidR="000A5329" w:rsidRPr="002029AF">
        <w:t xml:space="preserve"> </w:t>
      </w:r>
      <w:r w:rsidRPr="002029AF">
        <w:t>KMPs</w:t>
      </w:r>
      <w:r w:rsidR="000A5329" w:rsidRPr="002029AF">
        <w:t xml:space="preserve"> </w:t>
      </w:r>
      <w:r w:rsidRPr="002029AF">
        <w:t>are</w:t>
      </w:r>
      <w:r w:rsidR="000A5329" w:rsidRPr="002029AF">
        <w:t xml:space="preserve"> </w:t>
      </w:r>
      <w:r w:rsidRPr="002029AF">
        <w:t>also</w:t>
      </w:r>
      <w:r w:rsidR="000A5329" w:rsidRPr="002029AF">
        <w:t xml:space="preserve"> </w:t>
      </w:r>
      <w:r w:rsidRPr="002029AF">
        <w:t>reported</w:t>
      </w:r>
      <w:r w:rsidR="000A5329" w:rsidRPr="002029AF">
        <w:t xml:space="preserve"> </w:t>
      </w:r>
      <w:r w:rsidRPr="002029AF">
        <w:t>in</w:t>
      </w:r>
      <w:r w:rsidR="000A5329" w:rsidRPr="002029AF">
        <w:t xml:space="preserve"> </w:t>
      </w:r>
      <w:r w:rsidRPr="002029AF">
        <w:t>the</w:t>
      </w:r>
      <w:r w:rsidR="000A5329" w:rsidRPr="002029AF">
        <w:t xml:space="preserve"> </w:t>
      </w:r>
      <w:r w:rsidRPr="002029AF">
        <w:t>disclosure</w:t>
      </w:r>
      <w:r w:rsidR="000A5329" w:rsidRPr="002029AF">
        <w:t xml:space="preserve"> </w:t>
      </w:r>
      <w:r w:rsidRPr="002029AF">
        <w:t>of</w:t>
      </w:r>
      <w:r w:rsidR="000A5329" w:rsidRPr="002029AF">
        <w:t xml:space="preserve"> </w:t>
      </w:r>
      <w:r w:rsidRPr="002029AF">
        <w:t>remuneration</w:t>
      </w:r>
      <w:r w:rsidR="000A5329" w:rsidRPr="002029AF">
        <w:t xml:space="preserve"> </w:t>
      </w:r>
      <w:r w:rsidRPr="002029AF">
        <w:t>of</w:t>
      </w:r>
      <w:r w:rsidR="000A5329" w:rsidRPr="002029AF">
        <w:t xml:space="preserve"> </w:t>
      </w:r>
      <w:r w:rsidRPr="002029AF">
        <w:t>executive</w:t>
      </w:r>
      <w:r w:rsidR="000A5329" w:rsidRPr="002029AF">
        <w:t xml:space="preserve"> </w:t>
      </w:r>
      <w:r w:rsidRPr="002029AF">
        <w:t>officers</w:t>
      </w:r>
      <w:r w:rsidR="000A5329" w:rsidRPr="002029AF">
        <w:t xml:space="preserve"> </w:t>
      </w:r>
      <w:r w:rsidRPr="002029AF">
        <w:t>(refer</w:t>
      </w:r>
      <w:r w:rsidR="000A5329" w:rsidRPr="002029AF">
        <w:t xml:space="preserve"> </w:t>
      </w:r>
      <w:r w:rsidRPr="002029AF">
        <w:t>to</w:t>
      </w:r>
      <w:r w:rsidR="000A5329" w:rsidRPr="002029AF">
        <w:t xml:space="preserve"> </w:t>
      </w:r>
      <w:r w:rsidRPr="002029AF">
        <w:t>Note</w:t>
      </w:r>
      <w:r w:rsidR="000A5329" w:rsidRPr="002029AF">
        <w:t xml:space="preserve"> </w:t>
      </w:r>
      <w:r w:rsidRPr="002029AF">
        <w:t>9.7).</w:t>
      </w:r>
    </w:p>
    <w:p w14:paraId="572BE47E" w14:textId="11A53D22" w:rsidR="00087B91" w:rsidRPr="002029AF" w:rsidRDefault="00087B91" w:rsidP="00087B91">
      <w:pPr>
        <w:pStyle w:val="Heading6"/>
        <w:rPr>
          <w:lang w:val="en-AU"/>
        </w:rPr>
      </w:pPr>
      <w:r w:rsidRPr="002029AF">
        <w:rPr>
          <w:lang w:val="en-AU"/>
        </w:rPr>
        <w:t>Transactions</w:t>
      </w:r>
      <w:r w:rsidR="000A5329" w:rsidRPr="002029AF">
        <w:rPr>
          <w:lang w:val="en-AU"/>
        </w:rPr>
        <w:t xml:space="preserve"> </w:t>
      </w:r>
      <w:r w:rsidRPr="002029AF">
        <w:rPr>
          <w:lang w:val="en-AU"/>
        </w:rPr>
        <w:t>and</w:t>
      </w:r>
      <w:r w:rsidR="000A5329" w:rsidRPr="002029AF">
        <w:rPr>
          <w:lang w:val="en-AU"/>
        </w:rPr>
        <w:t xml:space="preserve"> </w:t>
      </w:r>
      <w:r w:rsidRPr="002029AF">
        <w:rPr>
          <w:lang w:val="en-AU"/>
        </w:rPr>
        <w:t>balances</w:t>
      </w:r>
      <w:r w:rsidR="000A5329" w:rsidRPr="002029AF">
        <w:rPr>
          <w:lang w:val="en-AU"/>
        </w:rPr>
        <w:t xml:space="preserve"> </w:t>
      </w:r>
      <w:r w:rsidRPr="002029AF">
        <w:rPr>
          <w:lang w:val="en-AU"/>
        </w:rPr>
        <w:t>with</w:t>
      </w:r>
      <w:r w:rsidR="000A5329" w:rsidRPr="002029AF">
        <w:rPr>
          <w:lang w:val="en-AU"/>
        </w:rPr>
        <w:t xml:space="preserve"> </w:t>
      </w:r>
      <w:r w:rsidRPr="002029AF">
        <w:rPr>
          <w:lang w:val="en-AU"/>
        </w:rPr>
        <w:t>key</w:t>
      </w:r>
      <w:r w:rsidR="000A5329" w:rsidRPr="002029AF">
        <w:rPr>
          <w:lang w:val="en-AU"/>
        </w:rPr>
        <w:t xml:space="preserve"> </w:t>
      </w:r>
      <w:r w:rsidRPr="002029AF">
        <w:rPr>
          <w:lang w:val="en-AU"/>
        </w:rPr>
        <w:t>management</w:t>
      </w:r>
      <w:r w:rsidR="000A5329" w:rsidRPr="002029AF">
        <w:rPr>
          <w:lang w:val="en-AU"/>
        </w:rPr>
        <w:t xml:space="preserve"> </w:t>
      </w:r>
      <w:r w:rsidRPr="002029AF">
        <w:rPr>
          <w:lang w:val="en-AU"/>
        </w:rPr>
        <w:t>personnel</w:t>
      </w:r>
      <w:r w:rsidR="000A5329" w:rsidRPr="002029AF">
        <w:rPr>
          <w:lang w:val="en-AU"/>
        </w:rPr>
        <w:t xml:space="preserve"> </w:t>
      </w:r>
      <w:r w:rsidRPr="002029AF">
        <w:rPr>
          <w:lang w:val="en-AU"/>
        </w:rPr>
        <w:t>and</w:t>
      </w:r>
      <w:r w:rsidR="000A5329" w:rsidRPr="002029AF">
        <w:rPr>
          <w:lang w:val="en-AU"/>
        </w:rPr>
        <w:t xml:space="preserve"> </w:t>
      </w:r>
      <w:r w:rsidRPr="002029AF">
        <w:rPr>
          <w:lang w:val="en-AU"/>
        </w:rPr>
        <w:t>other</w:t>
      </w:r>
      <w:r w:rsidR="000A5329" w:rsidRPr="002029AF">
        <w:rPr>
          <w:lang w:val="en-AU"/>
        </w:rPr>
        <w:t xml:space="preserve"> </w:t>
      </w:r>
      <w:r w:rsidRPr="002029AF">
        <w:rPr>
          <w:lang w:val="en-AU"/>
        </w:rPr>
        <w:t>related</w:t>
      </w:r>
      <w:r w:rsidR="000A5329" w:rsidRPr="002029AF">
        <w:rPr>
          <w:lang w:val="en-AU"/>
        </w:rPr>
        <w:t xml:space="preserve"> </w:t>
      </w:r>
      <w:r w:rsidRPr="002029AF">
        <w:rPr>
          <w:lang w:val="en-AU"/>
        </w:rPr>
        <w:t>parties</w:t>
      </w:r>
    </w:p>
    <w:p w14:paraId="49E9A2A5" w14:textId="5F36A8E3" w:rsidR="00087B91" w:rsidRPr="002029AF" w:rsidRDefault="00087B91" w:rsidP="00087B91">
      <w:pPr>
        <w:pStyle w:val="ARfinbody"/>
      </w:pPr>
      <w:r w:rsidRPr="002029AF">
        <w:t>Given</w:t>
      </w:r>
      <w:r w:rsidR="000A5329" w:rsidRPr="002029AF">
        <w:t xml:space="preserve"> </w:t>
      </w:r>
      <w:r w:rsidRPr="002029AF">
        <w:t>the</w:t>
      </w:r>
      <w:r w:rsidR="000A5329" w:rsidRPr="002029AF">
        <w:t xml:space="preserve"> </w:t>
      </w:r>
      <w:r w:rsidRPr="002029AF">
        <w:t>breadth</w:t>
      </w:r>
      <w:r w:rsidR="000A5329" w:rsidRPr="002029AF">
        <w:t xml:space="preserve"> </w:t>
      </w:r>
      <w:r w:rsidRPr="002029AF">
        <w:t>and</w:t>
      </w:r>
      <w:r w:rsidR="000A5329" w:rsidRPr="002029AF">
        <w:t xml:space="preserve"> </w:t>
      </w:r>
      <w:r w:rsidRPr="002029AF">
        <w:t>depth</w:t>
      </w:r>
      <w:r w:rsidR="000A5329" w:rsidRPr="002029AF">
        <w:t xml:space="preserve"> </w:t>
      </w:r>
      <w:r w:rsidRPr="002029AF">
        <w:t>of</w:t>
      </w:r>
      <w:r w:rsidR="000A5329" w:rsidRPr="002029AF">
        <w:t xml:space="preserve"> </w:t>
      </w:r>
      <w:r w:rsidRPr="002029AF">
        <w:t>state</w:t>
      </w:r>
      <w:r w:rsidR="000A5329" w:rsidRPr="002029AF">
        <w:t xml:space="preserve"> </w:t>
      </w:r>
      <w:r w:rsidRPr="002029AF">
        <w:t>government</w:t>
      </w:r>
      <w:r w:rsidR="000A5329" w:rsidRPr="002029AF">
        <w:t xml:space="preserve"> </w:t>
      </w:r>
      <w:r w:rsidRPr="002029AF">
        <w:t>activities,</w:t>
      </w:r>
      <w:r w:rsidR="000A5329" w:rsidRPr="002029AF">
        <w:t xml:space="preserve"> </w:t>
      </w:r>
      <w:r w:rsidRPr="002029AF">
        <w:t>related</w:t>
      </w:r>
      <w:r w:rsidR="000A5329" w:rsidRPr="002029AF">
        <w:t xml:space="preserve"> </w:t>
      </w:r>
      <w:r w:rsidRPr="002029AF">
        <w:t>parties</w:t>
      </w:r>
      <w:r w:rsidR="000A5329" w:rsidRPr="002029AF">
        <w:t xml:space="preserve"> </w:t>
      </w:r>
      <w:r w:rsidRPr="002029AF">
        <w:t>transact</w:t>
      </w:r>
      <w:r w:rsidR="000A5329" w:rsidRPr="002029AF">
        <w:t xml:space="preserve"> </w:t>
      </w:r>
      <w:r w:rsidRPr="002029AF">
        <w:t>with</w:t>
      </w:r>
      <w:r w:rsidR="000A5329" w:rsidRPr="002029AF">
        <w:t xml:space="preserve"> </w:t>
      </w:r>
      <w:r w:rsidRPr="002029AF">
        <w:t>the</w:t>
      </w:r>
      <w:r w:rsidR="000A5329" w:rsidRPr="002029AF">
        <w:t xml:space="preserve"> </w:t>
      </w:r>
      <w:r w:rsidRPr="002029AF">
        <w:t>Victorian</w:t>
      </w:r>
      <w:r w:rsidR="000A5329" w:rsidRPr="002029AF">
        <w:t xml:space="preserve"> </w:t>
      </w:r>
      <w:r w:rsidRPr="002029AF">
        <w:t>public</w:t>
      </w:r>
      <w:r w:rsidR="000A5329" w:rsidRPr="002029AF">
        <w:t xml:space="preserve"> </w:t>
      </w:r>
      <w:r w:rsidRPr="002029AF">
        <w:t>sector</w:t>
      </w:r>
      <w:r w:rsidR="000A5329" w:rsidRPr="002029AF">
        <w:t xml:space="preserve"> </w:t>
      </w:r>
      <w:r w:rsidRPr="002029AF">
        <w:t>in</w:t>
      </w:r>
      <w:r w:rsidR="000A5329" w:rsidRPr="002029AF">
        <w:t xml:space="preserve"> </w:t>
      </w:r>
      <w:r w:rsidRPr="002029AF">
        <w:t>a</w:t>
      </w:r>
      <w:r w:rsidR="000A5329" w:rsidRPr="002029AF">
        <w:t xml:space="preserve"> </w:t>
      </w:r>
      <w:r w:rsidRPr="002029AF">
        <w:t>manner</w:t>
      </w:r>
      <w:r w:rsidR="000A5329" w:rsidRPr="002029AF">
        <w:t xml:space="preserve"> </w:t>
      </w:r>
      <w:r w:rsidRPr="002029AF">
        <w:t>consistent</w:t>
      </w:r>
      <w:r w:rsidR="000A5329" w:rsidRPr="002029AF">
        <w:t xml:space="preserve"> </w:t>
      </w:r>
      <w:r w:rsidRPr="002029AF">
        <w:t>with</w:t>
      </w:r>
      <w:r w:rsidR="000A5329" w:rsidRPr="002029AF">
        <w:t xml:space="preserve"> </w:t>
      </w:r>
      <w:r w:rsidRPr="002029AF">
        <w:t>other</w:t>
      </w:r>
      <w:r w:rsidR="000A5329" w:rsidRPr="002029AF">
        <w:t xml:space="preserve"> </w:t>
      </w:r>
      <w:r w:rsidRPr="002029AF">
        <w:t>members</w:t>
      </w:r>
      <w:r w:rsidR="000A5329" w:rsidRPr="002029AF">
        <w:t xml:space="preserve"> </w:t>
      </w:r>
      <w:r w:rsidRPr="002029AF">
        <w:t>of</w:t>
      </w:r>
      <w:r w:rsidR="000A5329" w:rsidRPr="002029AF">
        <w:t xml:space="preserve"> </w:t>
      </w:r>
      <w:r w:rsidRPr="002029AF">
        <w:t>the</w:t>
      </w:r>
      <w:r w:rsidR="000A5329" w:rsidRPr="002029AF">
        <w:t xml:space="preserve"> </w:t>
      </w:r>
      <w:r w:rsidRPr="002029AF">
        <w:t>public</w:t>
      </w:r>
      <w:r w:rsidR="000A5329" w:rsidRPr="002029AF">
        <w:t xml:space="preserve"> </w:t>
      </w:r>
      <w:r w:rsidRPr="002029AF">
        <w:t>e.g.</w:t>
      </w:r>
      <w:r w:rsidR="000A5329" w:rsidRPr="002029AF">
        <w:t xml:space="preserve"> </w:t>
      </w:r>
      <w:r w:rsidRPr="002029AF">
        <w:t>stamp</w:t>
      </w:r>
      <w:r w:rsidR="000A5329" w:rsidRPr="002029AF">
        <w:t xml:space="preserve"> </w:t>
      </w:r>
      <w:r w:rsidRPr="002029AF">
        <w:t>duty</w:t>
      </w:r>
      <w:r w:rsidR="000A5329" w:rsidRPr="002029AF">
        <w:t xml:space="preserve"> </w:t>
      </w:r>
      <w:r w:rsidRPr="002029AF">
        <w:t>and</w:t>
      </w:r>
      <w:r w:rsidR="000A5329" w:rsidRPr="002029AF">
        <w:t xml:space="preserve"> </w:t>
      </w:r>
      <w:r w:rsidRPr="002029AF">
        <w:t>other</w:t>
      </w:r>
      <w:r w:rsidR="000A5329" w:rsidRPr="002029AF">
        <w:t xml:space="preserve"> </w:t>
      </w:r>
      <w:r w:rsidRPr="002029AF">
        <w:t>government</w:t>
      </w:r>
      <w:r w:rsidR="000A5329" w:rsidRPr="002029AF">
        <w:t xml:space="preserve"> </w:t>
      </w:r>
      <w:r w:rsidRPr="002029AF">
        <w:t>fees</w:t>
      </w:r>
      <w:r w:rsidR="000A5329" w:rsidRPr="002029AF">
        <w:t xml:space="preserve"> </w:t>
      </w:r>
      <w:r w:rsidRPr="002029AF">
        <w:t>and</w:t>
      </w:r>
      <w:r w:rsidR="000A5329" w:rsidRPr="002029AF">
        <w:t xml:space="preserve"> </w:t>
      </w:r>
      <w:r w:rsidRPr="002029AF">
        <w:t>charges.</w:t>
      </w:r>
      <w:r w:rsidR="000A5329" w:rsidRPr="002029AF">
        <w:t xml:space="preserve"> </w:t>
      </w:r>
      <w:r w:rsidRPr="002029AF">
        <w:t>Further</w:t>
      </w:r>
      <w:r w:rsidR="000A5329" w:rsidRPr="002029AF">
        <w:t xml:space="preserve"> </w:t>
      </w:r>
      <w:r w:rsidRPr="002029AF">
        <w:t>employment</w:t>
      </w:r>
      <w:r w:rsidR="000A5329" w:rsidRPr="002029AF">
        <w:t xml:space="preserve"> </w:t>
      </w:r>
      <w:r w:rsidRPr="002029AF">
        <w:t>of</w:t>
      </w:r>
      <w:r w:rsidR="000A5329" w:rsidRPr="002029AF">
        <w:t xml:space="preserve"> </w:t>
      </w:r>
      <w:r w:rsidRPr="002029AF">
        <w:t>processes</w:t>
      </w:r>
      <w:r w:rsidR="000A5329" w:rsidRPr="002029AF">
        <w:t xml:space="preserve"> </w:t>
      </w:r>
      <w:r w:rsidRPr="002029AF">
        <w:t>within</w:t>
      </w:r>
      <w:r w:rsidR="000A5329" w:rsidRPr="002029AF">
        <w:t xml:space="preserve"> </w:t>
      </w:r>
      <w:r w:rsidRPr="002029AF">
        <w:t>the</w:t>
      </w:r>
      <w:r w:rsidR="000A5329" w:rsidRPr="002029AF">
        <w:t xml:space="preserve"> </w:t>
      </w:r>
      <w:r w:rsidRPr="002029AF">
        <w:t>Victorian</w:t>
      </w:r>
      <w:r w:rsidR="000A5329" w:rsidRPr="002029AF">
        <w:t xml:space="preserve"> </w:t>
      </w:r>
      <w:r w:rsidRPr="002029AF">
        <w:t>public</w:t>
      </w:r>
      <w:r w:rsidR="000A5329" w:rsidRPr="002029AF">
        <w:t xml:space="preserve"> </w:t>
      </w:r>
      <w:r w:rsidRPr="002029AF">
        <w:t>sector</w:t>
      </w:r>
      <w:r w:rsidR="000A5329" w:rsidRPr="002029AF">
        <w:t xml:space="preserve"> </w:t>
      </w:r>
      <w:r w:rsidRPr="002029AF">
        <w:t>occur</w:t>
      </w:r>
      <w:r w:rsidR="000A5329" w:rsidRPr="002029AF">
        <w:t xml:space="preserve"> </w:t>
      </w:r>
      <w:r w:rsidRPr="002029AF">
        <w:t>on</w:t>
      </w:r>
      <w:r w:rsidR="000A5329" w:rsidRPr="002029AF">
        <w:t xml:space="preserve"> </w:t>
      </w:r>
      <w:r w:rsidRPr="002029AF">
        <w:t>terms</w:t>
      </w:r>
      <w:r w:rsidR="000A5329" w:rsidRPr="002029AF">
        <w:t xml:space="preserve"> </w:t>
      </w:r>
      <w:r w:rsidRPr="002029AF">
        <w:t>and</w:t>
      </w:r>
      <w:r w:rsidR="000A5329" w:rsidRPr="002029AF">
        <w:t xml:space="preserve"> </w:t>
      </w:r>
      <w:r w:rsidRPr="002029AF">
        <w:t>conditions</w:t>
      </w:r>
      <w:r w:rsidR="000A5329" w:rsidRPr="002029AF">
        <w:t xml:space="preserve"> </w:t>
      </w:r>
      <w:r w:rsidRPr="002029AF">
        <w:t>consistent</w:t>
      </w:r>
      <w:r w:rsidR="000A5329" w:rsidRPr="002029AF">
        <w:t xml:space="preserve"> </w:t>
      </w:r>
      <w:r w:rsidRPr="002029AF">
        <w:t>with</w:t>
      </w:r>
      <w:r w:rsidR="000A5329" w:rsidRPr="002029AF">
        <w:t xml:space="preserve"> </w:t>
      </w:r>
      <w:r w:rsidRPr="002029AF">
        <w:t>the</w:t>
      </w:r>
      <w:r w:rsidR="000A5329" w:rsidRPr="002029AF">
        <w:t xml:space="preserve"> </w:t>
      </w:r>
      <w:r w:rsidRPr="002029AF">
        <w:rPr>
          <w:rStyle w:val="Emphasis"/>
        </w:rPr>
        <w:t>Public</w:t>
      </w:r>
      <w:r w:rsidR="000A5329" w:rsidRPr="002029AF">
        <w:rPr>
          <w:rStyle w:val="Emphasis"/>
        </w:rPr>
        <w:t xml:space="preserve"> </w:t>
      </w:r>
      <w:r w:rsidRPr="002029AF">
        <w:rPr>
          <w:rStyle w:val="Emphasis"/>
        </w:rPr>
        <w:t>Administration</w:t>
      </w:r>
      <w:r w:rsidR="000A5329" w:rsidRPr="002029AF">
        <w:rPr>
          <w:rStyle w:val="Emphasis"/>
        </w:rPr>
        <w:t xml:space="preserve"> </w:t>
      </w:r>
      <w:r w:rsidRPr="002029AF">
        <w:rPr>
          <w:rStyle w:val="Emphasis"/>
        </w:rPr>
        <w:t>Act</w:t>
      </w:r>
      <w:r w:rsidR="000A5329" w:rsidRPr="002029AF">
        <w:rPr>
          <w:rStyle w:val="Emphasis"/>
        </w:rPr>
        <w:t xml:space="preserve"> </w:t>
      </w:r>
      <w:r w:rsidRPr="002029AF">
        <w:rPr>
          <w:rStyle w:val="Emphasis"/>
        </w:rPr>
        <w:t>2004</w:t>
      </w:r>
      <w:r w:rsidR="000A5329" w:rsidRPr="002029AF">
        <w:t xml:space="preserve"> </w:t>
      </w:r>
      <w:r w:rsidRPr="002029AF">
        <w:t>and</w:t>
      </w:r>
      <w:r w:rsidR="000A5329" w:rsidRPr="002029AF">
        <w:t xml:space="preserve"> </w:t>
      </w:r>
      <w:r w:rsidRPr="002029AF">
        <w:t>Codes</w:t>
      </w:r>
      <w:r w:rsidR="000A5329" w:rsidRPr="002029AF">
        <w:t xml:space="preserve"> </w:t>
      </w:r>
      <w:r w:rsidRPr="002029AF">
        <w:t>of</w:t>
      </w:r>
      <w:r w:rsidR="000A5329" w:rsidRPr="002029AF">
        <w:t xml:space="preserve"> </w:t>
      </w:r>
      <w:r w:rsidRPr="002029AF">
        <w:t>Conduct</w:t>
      </w:r>
      <w:r w:rsidR="000A5329" w:rsidRPr="002029AF">
        <w:t xml:space="preserve"> </w:t>
      </w:r>
      <w:r w:rsidRPr="002029AF">
        <w:t>and</w:t>
      </w:r>
      <w:r w:rsidR="000A5329" w:rsidRPr="002029AF">
        <w:t xml:space="preserve"> </w:t>
      </w:r>
      <w:r w:rsidRPr="002029AF">
        <w:t>Standards</w:t>
      </w:r>
      <w:r w:rsidR="000A5329" w:rsidRPr="002029AF">
        <w:t xml:space="preserve"> </w:t>
      </w:r>
      <w:r w:rsidRPr="002029AF">
        <w:t>issued</w:t>
      </w:r>
      <w:r w:rsidR="000A5329" w:rsidRPr="002029AF">
        <w:t xml:space="preserve"> </w:t>
      </w:r>
      <w:r w:rsidRPr="002029AF">
        <w:t>by</w:t>
      </w:r>
      <w:r w:rsidR="000A5329" w:rsidRPr="002029AF">
        <w:t xml:space="preserve"> </w:t>
      </w:r>
      <w:r w:rsidRPr="002029AF">
        <w:t>the</w:t>
      </w:r>
      <w:r w:rsidR="000A5329" w:rsidRPr="002029AF">
        <w:t xml:space="preserve"> </w:t>
      </w:r>
      <w:r w:rsidRPr="002029AF">
        <w:t>Victorian</w:t>
      </w:r>
      <w:r w:rsidR="000A5329" w:rsidRPr="002029AF">
        <w:t xml:space="preserve"> </w:t>
      </w:r>
      <w:r w:rsidRPr="002029AF">
        <w:t>Public</w:t>
      </w:r>
      <w:r w:rsidR="000A5329" w:rsidRPr="002029AF">
        <w:t xml:space="preserve"> </w:t>
      </w:r>
      <w:r w:rsidRPr="002029AF">
        <w:t>Sector</w:t>
      </w:r>
      <w:r w:rsidR="000A5329" w:rsidRPr="002029AF">
        <w:t xml:space="preserve"> </w:t>
      </w:r>
      <w:r w:rsidRPr="002029AF">
        <w:t>Commission.</w:t>
      </w:r>
      <w:r w:rsidR="000A5329" w:rsidRPr="002029AF">
        <w:t xml:space="preserve"> </w:t>
      </w:r>
      <w:r w:rsidRPr="002029AF">
        <w:t>Procurement</w:t>
      </w:r>
      <w:r w:rsidR="000A5329" w:rsidRPr="002029AF">
        <w:t xml:space="preserve"> </w:t>
      </w:r>
      <w:r w:rsidRPr="002029AF">
        <w:t>processes</w:t>
      </w:r>
      <w:r w:rsidR="000A5329" w:rsidRPr="002029AF">
        <w:t xml:space="preserve"> </w:t>
      </w:r>
      <w:r w:rsidRPr="002029AF">
        <w:t>occur</w:t>
      </w:r>
      <w:r w:rsidR="000A5329" w:rsidRPr="002029AF">
        <w:t xml:space="preserve"> </w:t>
      </w:r>
      <w:r w:rsidRPr="002029AF">
        <w:t>on</w:t>
      </w:r>
      <w:r w:rsidR="000A5329" w:rsidRPr="002029AF">
        <w:t xml:space="preserve"> </w:t>
      </w:r>
      <w:r w:rsidRPr="002029AF">
        <w:t>terms</w:t>
      </w:r>
      <w:r w:rsidR="000A5329" w:rsidRPr="002029AF">
        <w:t xml:space="preserve"> </w:t>
      </w:r>
      <w:r w:rsidRPr="002029AF">
        <w:t>and</w:t>
      </w:r>
      <w:r w:rsidR="000A5329" w:rsidRPr="002029AF">
        <w:t xml:space="preserve"> </w:t>
      </w:r>
      <w:r w:rsidRPr="002029AF">
        <w:t>conditions</w:t>
      </w:r>
      <w:r w:rsidR="000A5329" w:rsidRPr="002029AF">
        <w:t xml:space="preserve"> </w:t>
      </w:r>
      <w:r w:rsidRPr="002029AF">
        <w:t>consistent</w:t>
      </w:r>
      <w:r w:rsidR="000A5329" w:rsidRPr="002029AF">
        <w:t xml:space="preserve"> </w:t>
      </w:r>
      <w:r w:rsidRPr="002029AF">
        <w:t>with</w:t>
      </w:r>
      <w:r w:rsidR="000A5329" w:rsidRPr="002029AF">
        <w:t xml:space="preserve"> </w:t>
      </w:r>
      <w:r w:rsidRPr="002029AF">
        <w:t>the</w:t>
      </w:r>
      <w:r w:rsidR="000A5329" w:rsidRPr="002029AF">
        <w:t xml:space="preserve"> </w:t>
      </w:r>
      <w:r w:rsidRPr="002029AF">
        <w:t>Victorian</w:t>
      </w:r>
      <w:r w:rsidR="000A5329" w:rsidRPr="002029AF">
        <w:t xml:space="preserve"> </w:t>
      </w:r>
      <w:r w:rsidRPr="002029AF">
        <w:t>Government</w:t>
      </w:r>
      <w:r w:rsidR="000A5329" w:rsidRPr="002029AF">
        <w:t xml:space="preserve"> </w:t>
      </w:r>
      <w:r w:rsidRPr="002029AF">
        <w:t>Procurement</w:t>
      </w:r>
      <w:r w:rsidR="000A5329" w:rsidRPr="002029AF">
        <w:t xml:space="preserve"> </w:t>
      </w:r>
      <w:r w:rsidRPr="002029AF">
        <w:t>Board</w:t>
      </w:r>
      <w:r w:rsidR="000A5329" w:rsidRPr="002029AF">
        <w:t xml:space="preserve"> </w:t>
      </w:r>
      <w:r w:rsidRPr="002029AF">
        <w:t>requirements.</w:t>
      </w:r>
    </w:p>
    <w:p w14:paraId="23116ADC" w14:textId="750E1DAE" w:rsidR="00087B91" w:rsidRPr="002029AF" w:rsidRDefault="00087B91" w:rsidP="00087B91">
      <w:pPr>
        <w:pStyle w:val="ARfinbody"/>
      </w:pPr>
      <w:r w:rsidRPr="002029AF">
        <w:t>Outside</w:t>
      </w:r>
      <w:r w:rsidR="000A5329" w:rsidRPr="002029AF">
        <w:t xml:space="preserve"> </w:t>
      </w:r>
      <w:r w:rsidRPr="002029AF">
        <w:t>of</w:t>
      </w:r>
      <w:r w:rsidR="000A5329" w:rsidRPr="002029AF">
        <w:t xml:space="preserve"> </w:t>
      </w:r>
      <w:r w:rsidRPr="002029AF">
        <w:t>normal</w:t>
      </w:r>
      <w:r w:rsidR="000A5329" w:rsidRPr="002029AF">
        <w:t xml:space="preserve"> </w:t>
      </w:r>
      <w:r w:rsidRPr="002029AF">
        <w:t>citizen-type</w:t>
      </w:r>
      <w:r w:rsidR="000A5329" w:rsidRPr="002029AF">
        <w:t xml:space="preserve"> </w:t>
      </w:r>
      <w:r w:rsidRPr="002029AF">
        <w:t>transactions,</w:t>
      </w:r>
      <w:r w:rsidR="000A5329" w:rsidRPr="002029AF">
        <w:t xml:space="preserve"> </w:t>
      </w:r>
      <w:r w:rsidRPr="002029AF">
        <w:t>there</w:t>
      </w:r>
      <w:r w:rsidR="000A5329" w:rsidRPr="002029AF">
        <w:t xml:space="preserve"> </w:t>
      </w:r>
      <w:r w:rsidRPr="002029AF">
        <w:t>were</w:t>
      </w:r>
      <w:r w:rsidR="000A5329" w:rsidRPr="002029AF">
        <w:t xml:space="preserve"> </w:t>
      </w:r>
      <w:r w:rsidRPr="002029AF">
        <w:t>no</w:t>
      </w:r>
      <w:r w:rsidR="000A5329" w:rsidRPr="002029AF">
        <w:t xml:space="preserve"> </w:t>
      </w:r>
      <w:r w:rsidRPr="002029AF">
        <w:t>material</w:t>
      </w:r>
      <w:r w:rsidR="000A5329" w:rsidRPr="002029AF">
        <w:t xml:space="preserve"> </w:t>
      </w:r>
      <w:r w:rsidRPr="002029AF">
        <w:t>related</w:t>
      </w:r>
      <w:r w:rsidR="000A5329" w:rsidRPr="002029AF">
        <w:t xml:space="preserve"> </w:t>
      </w:r>
      <w:r w:rsidRPr="002029AF">
        <w:t>party</w:t>
      </w:r>
      <w:r w:rsidR="000A5329" w:rsidRPr="002029AF">
        <w:t xml:space="preserve"> </w:t>
      </w:r>
      <w:r w:rsidRPr="002029AF">
        <w:t>transactions</w:t>
      </w:r>
      <w:r w:rsidR="000A5329" w:rsidRPr="002029AF">
        <w:t xml:space="preserve"> </w:t>
      </w:r>
      <w:r w:rsidRPr="002029AF">
        <w:t>that</w:t>
      </w:r>
      <w:r w:rsidR="000A5329" w:rsidRPr="002029AF">
        <w:t xml:space="preserve"> </w:t>
      </w:r>
      <w:r w:rsidRPr="002029AF">
        <w:t>involved</w:t>
      </w:r>
      <w:r w:rsidR="000A5329" w:rsidRPr="002029AF">
        <w:t xml:space="preserve"> </w:t>
      </w:r>
      <w:r w:rsidRPr="002029AF">
        <w:t>key</w:t>
      </w:r>
      <w:r w:rsidR="000A5329" w:rsidRPr="002029AF">
        <w:t xml:space="preserve"> </w:t>
      </w:r>
      <w:r w:rsidRPr="002029AF">
        <w:t>management</w:t>
      </w:r>
      <w:r w:rsidR="000A5329" w:rsidRPr="002029AF">
        <w:t xml:space="preserve"> </w:t>
      </w:r>
      <w:r w:rsidRPr="002029AF">
        <w:t>personnel,</w:t>
      </w:r>
      <w:r w:rsidR="000A5329" w:rsidRPr="002029AF">
        <w:t xml:space="preserve"> </w:t>
      </w:r>
      <w:r w:rsidRPr="002029AF">
        <w:t>their</w:t>
      </w:r>
      <w:r w:rsidR="000A5329" w:rsidRPr="002029AF">
        <w:t xml:space="preserve"> </w:t>
      </w:r>
      <w:r w:rsidRPr="002029AF">
        <w:t>close</w:t>
      </w:r>
      <w:r w:rsidR="000A5329" w:rsidRPr="002029AF">
        <w:t xml:space="preserve"> </w:t>
      </w:r>
      <w:r w:rsidRPr="002029AF">
        <w:t>family</w:t>
      </w:r>
      <w:r w:rsidR="000A5329" w:rsidRPr="002029AF">
        <w:t xml:space="preserve"> </w:t>
      </w:r>
      <w:r w:rsidRPr="002029AF">
        <w:t>members</w:t>
      </w:r>
      <w:r w:rsidR="000A5329" w:rsidRPr="002029AF">
        <w:t xml:space="preserve"> </w:t>
      </w:r>
      <w:r w:rsidRPr="002029AF">
        <w:t>and</w:t>
      </w:r>
      <w:r w:rsidR="000A5329" w:rsidRPr="002029AF">
        <w:t xml:space="preserve"> </w:t>
      </w:r>
      <w:r w:rsidRPr="002029AF">
        <w:t>their</w:t>
      </w:r>
      <w:r w:rsidR="000A5329" w:rsidRPr="002029AF">
        <w:t xml:space="preserve"> </w:t>
      </w:r>
      <w:r w:rsidRPr="002029AF">
        <w:t>personal</w:t>
      </w:r>
      <w:r w:rsidR="000A5329" w:rsidRPr="002029AF">
        <w:t xml:space="preserve"> </w:t>
      </w:r>
      <w:r w:rsidRPr="002029AF">
        <w:t>business</w:t>
      </w:r>
      <w:r w:rsidR="000A5329" w:rsidRPr="002029AF">
        <w:t xml:space="preserve"> </w:t>
      </w:r>
      <w:r w:rsidRPr="002029AF">
        <w:t>interests</w:t>
      </w:r>
      <w:r w:rsidR="000A5329" w:rsidRPr="002029AF">
        <w:t xml:space="preserve"> </w:t>
      </w:r>
      <w:r w:rsidRPr="002029AF">
        <w:t>with</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the</w:t>
      </w:r>
      <w:r w:rsidR="000A5329" w:rsidRPr="002029AF">
        <w:t xml:space="preserve"> </w:t>
      </w:r>
      <w:r w:rsidRPr="002029AF">
        <w:t>Administrative</w:t>
      </w:r>
      <w:r w:rsidR="000A5329" w:rsidRPr="002029AF">
        <w:t xml:space="preserve"> </w:t>
      </w:r>
      <w:r w:rsidRPr="002029AF">
        <w:t>Offices</w:t>
      </w:r>
      <w:r w:rsidR="000A5329" w:rsidRPr="002029AF">
        <w:t xml:space="preserve"> </w:t>
      </w:r>
      <w:r w:rsidRPr="002029AF">
        <w:t>or</w:t>
      </w:r>
      <w:r w:rsidR="000A5329" w:rsidRPr="002029AF">
        <w:t xml:space="preserve"> </w:t>
      </w:r>
      <w:r w:rsidRPr="002029AF">
        <w:t>its</w:t>
      </w:r>
      <w:r w:rsidR="000A5329" w:rsidRPr="002029AF">
        <w:t xml:space="preserve"> </w:t>
      </w:r>
      <w:r w:rsidRPr="002029AF">
        <w:t>s.</w:t>
      </w:r>
      <w:r w:rsidR="000A5329" w:rsidRPr="002029AF">
        <w:t xml:space="preserve"> </w:t>
      </w:r>
      <w:r w:rsidRPr="002029AF">
        <w:t>53(1)(b)</w:t>
      </w:r>
      <w:r w:rsidR="000A5329" w:rsidRPr="002029AF">
        <w:t xml:space="preserve"> </w:t>
      </w:r>
      <w:r w:rsidRPr="002029AF">
        <w:t>entities.</w:t>
      </w:r>
    </w:p>
    <w:p w14:paraId="6E3D485F" w14:textId="1F5B479C" w:rsidR="00087B91" w:rsidRPr="002029AF" w:rsidRDefault="00087B91" w:rsidP="00087B91">
      <w:pPr>
        <w:pStyle w:val="ARfinbody"/>
      </w:pPr>
      <w:r w:rsidRPr="002029AF">
        <w:t>No</w:t>
      </w:r>
      <w:r w:rsidR="000A5329" w:rsidRPr="002029AF">
        <w:t xml:space="preserve"> </w:t>
      </w:r>
      <w:r w:rsidRPr="002029AF">
        <w:t>provision</w:t>
      </w:r>
      <w:r w:rsidR="000A5329" w:rsidRPr="002029AF">
        <w:t xml:space="preserve"> </w:t>
      </w:r>
      <w:r w:rsidRPr="002029AF">
        <w:t>has</w:t>
      </w:r>
      <w:r w:rsidR="000A5329" w:rsidRPr="002029AF">
        <w:t xml:space="preserve"> </w:t>
      </w:r>
      <w:r w:rsidRPr="002029AF">
        <w:t>been</w:t>
      </w:r>
      <w:r w:rsidR="000A5329" w:rsidRPr="002029AF">
        <w:t xml:space="preserve"> </w:t>
      </w:r>
      <w:r w:rsidRPr="002029AF">
        <w:t>required,</w:t>
      </w:r>
      <w:r w:rsidR="000A5329" w:rsidRPr="002029AF">
        <w:t xml:space="preserve"> </w:t>
      </w:r>
      <w:r w:rsidRPr="002029AF">
        <w:t>nor</w:t>
      </w:r>
      <w:r w:rsidR="000A5329" w:rsidRPr="002029AF">
        <w:t xml:space="preserve"> </w:t>
      </w:r>
      <w:r w:rsidRPr="002029AF">
        <w:t>any</w:t>
      </w:r>
      <w:r w:rsidR="000A5329" w:rsidRPr="002029AF">
        <w:t xml:space="preserve"> </w:t>
      </w:r>
      <w:r w:rsidRPr="002029AF">
        <w:t>expense</w:t>
      </w:r>
      <w:r w:rsidR="000A5329" w:rsidRPr="002029AF">
        <w:t xml:space="preserve"> </w:t>
      </w:r>
      <w:r w:rsidRPr="002029AF">
        <w:t>recognised,</w:t>
      </w:r>
      <w:r w:rsidR="000A5329" w:rsidRPr="002029AF">
        <w:t xml:space="preserve"> </w:t>
      </w:r>
      <w:r w:rsidRPr="002029AF">
        <w:t>for</w:t>
      </w:r>
      <w:r w:rsidR="000A5329" w:rsidRPr="002029AF">
        <w:t xml:space="preserve"> </w:t>
      </w:r>
      <w:r w:rsidRPr="002029AF">
        <w:t>impairment</w:t>
      </w:r>
      <w:r w:rsidR="000A5329" w:rsidRPr="002029AF">
        <w:t xml:space="preserve"> </w:t>
      </w:r>
      <w:r w:rsidRPr="002029AF">
        <w:t>of</w:t>
      </w:r>
      <w:r w:rsidR="000A5329" w:rsidRPr="002029AF">
        <w:t xml:space="preserve"> </w:t>
      </w:r>
      <w:r w:rsidRPr="002029AF">
        <w:t>receivables</w:t>
      </w:r>
      <w:r w:rsidR="000A5329" w:rsidRPr="002029AF">
        <w:t xml:space="preserve"> </w:t>
      </w:r>
      <w:r w:rsidRPr="002029AF">
        <w:t>from</w:t>
      </w:r>
      <w:r w:rsidR="000A5329" w:rsidRPr="002029AF">
        <w:t xml:space="preserve"> </w:t>
      </w:r>
      <w:r w:rsidRPr="002029AF">
        <w:t>related</w:t>
      </w:r>
      <w:r w:rsidR="000A5329" w:rsidRPr="002029AF">
        <w:t xml:space="preserve"> </w:t>
      </w:r>
      <w:r w:rsidRPr="002029AF">
        <w:t>parties.</w:t>
      </w:r>
    </w:p>
    <w:p w14:paraId="400E452B" w14:textId="56571AC8" w:rsidR="00087B91" w:rsidRPr="002029AF" w:rsidRDefault="00087B91" w:rsidP="00087B91">
      <w:pPr>
        <w:pStyle w:val="Heading4"/>
      </w:pPr>
      <w:bookmarkStart w:id="404" w:name="_Toc39242174"/>
      <w:r w:rsidRPr="002029AF">
        <w:t>9.9</w:t>
      </w:r>
      <w:r w:rsidR="000A5329" w:rsidRPr="002029AF">
        <w:t xml:space="preserve"> </w:t>
      </w:r>
      <w:r w:rsidRPr="002029AF">
        <w:t>Remuneration</w:t>
      </w:r>
      <w:r w:rsidR="000A5329" w:rsidRPr="002029AF">
        <w:t xml:space="preserve"> </w:t>
      </w:r>
      <w:r w:rsidRPr="002029AF">
        <w:t>of</w:t>
      </w:r>
      <w:r w:rsidR="000A5329" w:rsidRPr="002029AF">
        <w:t xml:space="preserve"> </w:t>
      </w:r>
      <w:r w:rsidRPr="002029AF">
        <w:t>auditors</w:t>
      </w:r>
      <w:bookmarkEnd w:id="404"/>
    </w:p>
    <w:tbl>
      <w:tblPr>
        <w:tblStyle w:val="TableGrid"/>
        <w:tblW w:w="9637" w:type="dxa"/>
        <w:tblLayout w:type="fixed"/>
        <w:tblLook w:val="06A0" w:firstRow="1" w:lastRow="0" w:firstColumn="1" w:lastColumn="0" w:noHBand="1" w:noVBand="1"/>
      </w:tblPr>
      <w:tblGrid>
        <w:gridCol w:w="7369"/>
        <w:gridCol w:w="1134"/>
        <w:gridCol w:w="1134"/>
      </w:tblGrid>
      <w:tr w:rsidR="00087B91" w:rsidRPr="002029AF" w14:paraId="7467B361" w14:textId="77777777" w:rsidTr="00FC2F9E">
        <w:trPr>
          <w:cnfStyle w:val="100000000000" w:firstRow="1" w:lastRow="0" w:firstColumn="0" w:lastColumn="0" w:oddVBand="0" w:evenVBand="0" w:oddHBand="0" w:evenHBand="0" w:firstRowFirstColumn="0" w:firstRowLastColumn="0" w:lastRowFirstColumn="0" w:lastRowLastColumn="0"/>
          <w:trHeight w:val="255"/>
          <w:tblHeader/>
        </w:trPr>
        <w:tc>
          <w:tcPr>
            <w:tcW w:w="7371" w:type="dxa"/>
            <w:noWrap/>
            <w:hideMark/>
          </w:tcPr>
          <w:p w14:paraId="7E8068BF" w14:textId="77777777" w:rsidR="00087B91" w:rsidRPr="002029AF" w:rsidRDefault="00087B91" w:rsidP="00860E95">
            <w:pPr>
              <w:pStyle w:val="ARfintablecolhead"/>
            </w:pPr>
          </w:p>
        </w:tc>
        <w:tc>
          <w:tcPr>
            <w:tcW w:w="1134" w:type="dxa"/>
            <w:shd w:val="clear" w:color="auto" w:fill="E7E6E6"/>
            <w:hideMark/>
          </w:tcPr>
          <w:p w14:paraId="1F3F5755" w14:textId="77777777" w:rsidR="00087B91" w:rsidRPr="002029AF" w:rsidRDefault="00087B91" w:rsidP="00860E95">
            <w:pPr>
              <w:pStyle w:val="ARfintablecolheadright"/>
            </w:pPr>
            <w:r w:rsidRPr="002029AF">
              <w:t>2020</w:t>
            </w:r>
          </w:p>
          <w:p w14:paraId="5C0619BD" w14:textId="77777777" w:rsidR="00087B91" w:rsidRPr="002029AF" w:rsidRDefault="00087B91" w:rsidP="00860E95">
            <w:pPr>
              <w:pStyle w:val="ARfintablecolheadright"/>
            </w:pPr>
            <w:r w:rsidRPr="002029AF">
              <w:t>$</w:t>
            </w:r>
          </w:p>
        </w:tc>
        <w:tc>
          <w:tcPr>
            <w:tcW w:w="1134" w:type="dxa"/>
            <w:hideMark/>
          </w:tcPr>
          <w:p w14:paraId="71165AE6" w14:textId="77777777" w:rsidR="00087B91" w:rsidRPr="002029AF" w:rsidRDefault="00087B91" w:rsidP="00860E95">
            <w:pPr>
              <w:pStyle w:val="ARfintablecolheadright"/>
            </w:pPr>
            <w:r w:rsidRPr="002029AF">
              <w:t>2019</w:t>
            </w:r>
          </w:p>
          <w:p w14:paraId="01AA1156" w14:textId="77777777" w:rsidR="00087B91" w:rsidRPr="002029AF" w:rsidRDefault="00087B91" w:rsidP="00860E95">
            <w:pPr>
              <w:pStyle w:val="ARfintablecolheadright"/>
            </w:pPr>
            <w:r w:rsidRPr="002029AF">
              <w:t>$</w:t>
            </w:r>
          </w:p>
        </w:tc>
      </w:tr>
      <w:tr w:rsidR="00087B91" w:rsidRPr="002029AF" w14:paraId="2D2E6CA4" w14:textId="77777777" w:rsidTr="00860E95">
        <w:trPr>
          <w:trHeight w:val="255"/>
        </w:trPr>
        <w:tc>
          <w:tcPr>
            <w:tcW w:w="7371" w:type="dxa"/>
            <w:hideMark/>
          </w:tcPr>
          <w:p w14:paraId="495997B6" w14:textId="1D8A5688" w:rsidR="00087B91" w:rsidRPr="002029AF" w:rsidRDefault="00087B91" w:rsidP="00860E95">
            <w:pPr>
              <w:pStyle w:val="ARfintablebody"/>
            </w:pPr>
            <w:r w:rsidRPr="002029AF">
              <w:t>Victorian</w:t>
            </w:r>
            <w:r w:rsidR="000A5329" w:rsidRPr="002029AF">
              <w:t xml:space="preserve"> </w:t>
            </w:r>
            <w:r w:rsidRPr="002029AF">
              <w:t>Auditor-General’s</w:t>
            </w:r>
            <w:r w:rsidR="000A5329" w:rsidRPr="002029AF">
              <w:t xml:space="preserve"> </w:t>
            </w:r>
            <w:r w:rsidRPr="002029AF">
              <w:t>Office</w:t>
            </w:r>
            <w:r w:rsidR="000A5329" w:rsidRPr="002029AF">
              <w:t xml:space="preserve"> </w:t>
            </w:r>
            <w:r w:rsidRPr="002029AF">
              <w:t>–</w:t>
            </w:r>
            <w:r w:rsidR="000A5329" w:rsidRPr="002029AF">
              <w:t xml:space="preserve"> </w:t>
            </w:r>
            <w:r w:rsidRPr="002029AF">
              <w:t>audit</w:t>
            </w:r>
            <w:r w:rsidR="000A5329" w:rsidRPr="002029AF">
              <w:t xml:space="preserve"> </w:t>
            </w:r>
            <w:r w:rsidRPr="002029AF">
              <w:t>of</w:t>
            </w:r>
            <w:r w:rsidR="000A5329" w:rsidRPr="002029AF">
              <w:t xml:space="preserve"> </w:t>
            </w:r>
            <w:r w:rsidRPr="002029AF">
              <w:t>the</w:t>
            </w:r>
            <w:r w:rsidR="000A5329" w:rsidRPr="002029AF">
              <w:t xml:space="preserve"> </w:t>
            </w:r>
            <w:r w:rsidRPr="002029AF">
              <w:t>financial</w:t>
            </w:r>
            <w:r w:rsidR="000A5329" w:rsidRPr="002029AF">
              <w:t xml:space="preserve"> </w:t>
            </w:r>
            <w:r w:rsidRPr="002029AF">
              <w:t>report</w:t>
            </w:r>
          </w:p>
        </w:tc>
        <w:tc>
          <w:tcPr>
            <w:tcW w:w="1134" w:type="dxa"/>
            <w:shd w:val="clear" w:color="auto" w:fill="E7E6E6"/>
            <w:noWrap/>
            <w:hideMark/>
          </w:tcPr>
          <w:p w14:paraId="0D1DEFB8" w14:textId="77777777" w:rsidR="00087B91" w:rsidRPr="002029AF" w:rsidRDefault="00087B91" w:rsidP="00860E95">
            <w:pPr>
              <w:pStyle w:val="ARfintablebodyright"/>
            </w:pPr>
            <w:r w:rsidRPr="002029AF">
              <w:t>546,500</w:t>
            </w:r>
          </w:p>
        </w:tc>
        <w:tc>
          <w:tcPr>
            <w:tcW w:w="1134" w:type="dxa"/>
            <w:noWrap/>
            <w:hideMark/>
          </w:tcPr>
          <w:p w14:paraId="50822E13" w14:textId="77777777" w:rsidR="00087B91" w:rsidRPr="002029AF" w:rsidRDefault="00087B91" w:rsidP="00860E95">
            <w:pPr>
              <w:pStyle w:val="ARfintablebodyright"/>
            </w:pPr>
            <w:r w:rsidRPr="002029AF">
              <w:t>546,500</w:t>
            </w:r>
          </w:p>
        </w:tc>
      </w:tr>
    </w:tbl>
    <w:p w14:paraId="690A8BF8" w14:textId="56782D5A" w:rsidR="00087B91" w:rsidRPr="002029AF" w:rsidRDefault="00087B91" w:rsidP="00087B91">
      <w:pPr>
        <w:pStyle w:val="Heading4"/>
      </w:pPr>
      <w:bookmarkStart w:id="405" w:name="_Toc39242175"/>
      <w:bookmarkStart w:id="406" w:name="_Ref52455593"/>
      <w:r w:rsidRPr="002029AF">
        <w:t>9.10</w:t>
      </w:r>
      <w:r w:rsidR="000A5329" w:rsidRPr="002029AF">
        <w:t xml:space="preserve"> </w:t>
      </w:r>
      <w:r w:rsidRPr="002029AF">
        <w:t>Subsequent</w:t>
      </w:r>
      <w:r w:rsidR="000A5329" w:rsidRPr="002029AF">
        <w:t xml:space="preserve"> </w:t>
      </w:r>
      <w:r w:rsidRPr="002029AF">
        <w:t>events</w:t>
      </w:r>
      <w:bookmarkEnd w:id="405"/>
      <w:bookmarkEnd w:id="406"/>
    </w:p>
    <w:p w14:paraId="54A8925E" w14:textId="7DA83F99" w:rsidR="00087B91" w:rsidRPr="002029AF" w:rsidRDefault="00087B91" w:rsidP="00087B91">
      <w:pPr>
        <w:pStyle w:val="ARfinbody"/>
        <w:rPr>
          <w:color w:val="auto"/>
        </w:rPr>
      </w:pPr>
      <w:r w:rsidRPr="002029AF">
        <w:rPr>
          <w:color w:val="auto"/>
        </w:rPr>
        <w:t>A</w:t>
      </w:r>
      <w:r w:rsidR="000A5329" w:rsidRPr="002029AF">
        <w:rPr>
          <w:color w:val="auto"/>
        </w:rPr>
        <w:t xml:space="preserve"> </w:t>
      </w:r>
      <w:r w:rsidRPr="002029AF">
        <w:rPr>
          <w:color w:val="auto"/>
        </w:rPr>
        <w:t>state</w:t>
      </w:r>
      <w:r w:rsidR="000A5329" w:rsidRPr="002029AF">
        <w:rPr>
          <w:color w:val="auto"/>
        </w:rPr>
        <w:t xml:space="preserve"> </w:t>
      </w:r>
      <w:r w:rsidRPr="002029AF">
        <w:rPr>
          <w:color w:val="auto"/>
        </w:rPr>
        <w:t>of</w:t>
      </w:r>
      <w:r w:rsidR="000A5329" w:rsidRPr="002029AF">
        <w:rPr>
          <w:color w:val="auto"/>
        </w:rPr>
        <w:t xml:space="preserve"> </w:t>
      </w:r>
      <w:r w:rsidRPr="002029AF">
        <w:rPr>
          <w:color w:val="auto"/>
        </w:rPr>
        <w:t>emergency</w:t>
      </w:r>
      <w:r w:rsidR="000A5329" w:rsidRPr="002029AF">
        <w:rPr>
          <w:color w:val="auto"/>
        </w:rPr>
        <w:t xml:space="preserve"> </w:t>
      </w:r>
      <w:r w:rsidRPr="002029AF">
        <w:rPr>
          <w:color w:val="auto"/>
        </w:rPr>
        <w:t>was</w:t>
      </w:r>
      <w:r w:rsidR="000A5329" w:rsidRPr="002029AF">
        <w:rPr>
          <w:color w:val="auto"/>
        </w:rPr>
        <w:t xml:space="preserve"> </w:t>
      </w:r>
      <w:r w:rsidRPr="002029AF">
        <w:rPr>
          <w:color w:val="auto"/>
        </w:rPr>
        <w:t>declared</w:t>
      </w:r>
      <w:r w:rsidR="000A5329" w:rsidRPr="002029AF">
        <w:rPr>
          <w:color w:val="auto"/>
        </w:rPr>
        <w:t xml:space="preserve"> </w:t>
      </w:r>
      <w:r w:rsidRPr="002029AF">
        <w:rPr>
          <w:color w:val="auto"/>
        </w:rPr>
        <w:t>in</w:t>
      </w:r>
      <w:r w:rsidR="000A5329" w:rsidRPr="002029AF">
        <w:rPr>
          <w:color w:val="auto"/>
        </w:rPr>
        <w:t xml:space="preserve"> </w:t>
      </w:r>
      <w:r w:rsidRPr="002029AF">
        <w:rPr>
          <w:color w:val="auto"/>
        </w:rPr>
        <w:t>Victoria</w:t>
      </w:r>
      <w:r w:rsidR="000A5329" w:rsidRPr="002029AF">
        <w:rPr>
          <w:color w:val="auto"/>
        </w:rPr>
        <w:t xml:space="preserve"> </w:t>
      </w:r>
      <w:r w:rsidRPr="002029AF">
        <w:rPr>
          <w:color w:val="auto"/>
        </w:rPr>
        <w:t>on</w:t>
      </w:r>
      <w:r w:rsidR="000A5329" w:rsidRPr="002029AF">
        <w:rPr>
          <w:color w:val="auto"/>
        </w:rPr>
        <w:t xml:space="preserve"> </w:t>
      </w:r>
      <w:r w:rsidRPr="002029AF">
        <w:rPr>
          <w:color w:val="auto"/>
        </w:rPr>
        <w:t>16</w:t>
      </w:r>
      <w:r w:rsidR="000A5329" w:rsidRPr="002029AF">
        <w:rPr>
          <w:color w:val="auto"/>
        </w:rPr>
        <w:t xml:space="preserve"> </w:t>
      </w:r>
      <w:r w:rsidRPr="002029AF">
        <w:rPr>
          <w:color w:val="auto"/>
        </w:rPr>
        <w:t>March</w:t>
      </w:r>
      <w:r w:rsidR="000A5329" w:rsidRPr="002029AF">
        <w:rPr>
          <w:color w:val="auto"/>
        </w:rPr>
        <w:t xml:space="preserve"> </w:t>
      </w:r>
      <w:r w:rsidRPr="002029AF">
        <w:rPr>
          <w:color w:val="auto"/>
        </w:rPr>
        <w:t>2020</w:t>
      </w:r>
      <w:r w:rsidR="000A5329" w:rsidRPr="002029AF">
        <w:rPr>
          <w:color w:val="auto"/>
        </w:rPr>
        <w:t xml:space="preserve"> </w:t>
      </w:r>
      <w:r w:rsidRPr="002029AF">
        <w:rPr>
          <w:color w:val="auto"/>
        </w:rPr>
        <w:t>due</w:t>
      </w:r>
      <w:r w:rsidR="000A5329" w:rsidRPr="002029AF">
        <w:rPr>
          <w:color w:val="auto"/>
        </w:rPr>
        <w:t xml:space="preserve"> </w:t>
      </w:r>
      <w:r w:rsidRPr="002029AF">
        <w:rPr>
          <w:color w:val="auto"/>
        </w:rPr>
        <w:t>to</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coronavirus</w:t>
      </w:r>
      <w:r w:rsidR="000A5329" w:rsidRPr="002029AF">
        <w:rPr>
          <w:color w:val="auto"/>
        </w:rPr>
        <w:t xml:space="preserve"> </w:t>
      </w:r>
      <w:r w:rsidRPr="002029AF">
        <w:rPr>
          <w:color w:val="auto"/>
        </w:rPr>
        <w:t>(COVID-19)</w:t>
      </w:r>
      <w:r w:rsidR="000A5329" w:rsidRPr="002029AF">
        <w:rPr>
          <w:color w:val="auto"/>
        </w:rPr>
        <w:t xml:space="preserve"> </w:t>
      </w:r>
      <w:r w:rsidRPr="002029AF">
        <w:rPr>
          <w:color w:val="auto"/>
        </w:rPr>
        <w:t>pandemic.</w:t>
      </w:r>
      <w:r w:rsidR="000A5329" w:rsidRPr="002029AF">
        <w:rPr>
          <w:color w:val="auto"/>
        </w:rPr>
        <w:t xml:space="preserve"> </w:t>
      </w:r>
      <w:r w:rsidRPr="002029AF">
        <w:rPr>
          <w:color w:val="auto"/>
        </w:rPr>
        <w:t>A</w:t>
      </w:r>
      <w:r w:rsidR="000A5329" w:rsidRPr="002029AF">
        <w:rPr>
          <w:color w:val="auto"/>
        </w:rPr>
        <w:t xml:space="preserve"> </w:t>
      </w:r>
      <w:r w:rsidRPr="002029AF">
        <w:rPr>
          <w:color w:val="auto"/>
        </w:rPr>
        <w:t>state</w:t>
      </w:r>
      <w:r w:rsidR="000A5329" w:rsidRPr="002029AF">
        <w:rPr>
          <w:color w:val="auto"/>
        </w:rPr>
        <w:t xml:space="preserve"> </w:t>
      </w:r>
      <w:r w:rsidRPr="002029AF">
        <w:rPr>
          <w:color w:val="auto"/>
        </w:rPr>
        <w:t>of</w:t>
      </w:r>
      <w:r w:rsidR="000A5329" w:rsidRPr="002029AF">
        <w:rPr>
          <w:color w:val="auto"/>
        </w:rPr>
        <w:t xml:space="preserve"> </w:t>
      </w:r>
      <w:r w:rsidRPr="002029AF">
        <w:rPr>
          <w:color w:val="auto"/>
        </w:rPr>
        <w:t>disaster</w:t>
      </w:r>
      <w:r w:rsidR="000A5329" w:rsidRPr="002029AF">
        <w:rPr>
          <w:color w:val="auto"/>
        </w:rPr>
        <w:t xml:space="preserve"> </w:t>
      </w:r>
      <w:r w:rsidRPr="002029AF">
        <w:rPr>
          <w:color w:val="auto"/>
        </w:rPr>
        <w:t>was</w:t>
      </w:r>
      <w:r w:rsidR="000A5329" w:rsidRPr="002029AF">
        <w:rPr>
          <w:color w:val="auto"/>
        </w:rPr>
        <w:t xml:space="preserve"> </w:t>
      </w:r>
      <w:r w:rsidRPr="002029AF">
        <w:rPr>
          <w:color w:val="auto"/>
        </w:rPr>
        <w:t>subsequently</w:t>
      </w:r>
      <w:r w:rsidR="000A5329" w:rsidRPr="002029AF">
        <w:rPr>
          <w:color w:val="auto"/>
        </w:rPr>
        <w:t xml:space="preserve"> </w:t>
      </w:r>
      <w:r w:rsidRPr="002029AF">
        <w:rPr>
          <w:color w:val="auto"/>
        </w:rPr>
        <w:t>declared</w:t>
      </w:r>
      <w:r w:rsidR="000A5329" w:rsidRPr="002029AF">
        <w:rPr>
          <w:color w:val="auto"/>
        </w:rPr>
        <w:t xml:space="preserve"> </w:t>
      </w:r>
      <w:r w:rsidRPr="002029AF">
        <w:rPr>
          <w:color w:val="auto"/>
        </w:rPr>
        <w:t>on</w:t>
      </w:r>
      <w:r w:rsidR="000A5329" w:rsidRPr="002029AF">
        <w:rPr>
          <w:color w:val="auto"/>
        </w:rPr>
        <w:t xml:space="preserve"> </w:t>
      </w:r>
      <w:r w:rsidRPr="002029AF">
        <w:rPr>
          <w:color w:val="auto"/>
        </w:rPr>
        <w:t>2</w:t>
      </w:r>
      <w:r w:rsidR="000A5329" w:rsidRPr="002029AF">
        <w:rPr>
          <w:color w:val="auto"/>
        </w:rPr>
        <w:t xml:space="preserve"> </w:t>
      </w:r>
      <w:r w:rsidRPr="002029AF">
        <w:rPr>
          <w:color w:val="auto"/>
        </w:rPr>
        <w:t>August</w:t>
      </w:r>
      <w:r w:rsidR="000A5329" w:rsidRPr="002029AF">
        <w:rPr>
          <w:color w:val="auto"/>
        </w:rPr>
        <w:t xml:space="preserve"> </w:t>
      </w:r>
      <w:r w:rsidRPr="002029AF">
        <w:rPr>
          <w:color w:val="auto"/>
        </w:rPr>
        <w:t>2020.</w:t>
      </w:r>
    </w:p>
    <w:p w14:paraId="620401DA" w14:textId="1CD618B5" w:rsidR="00087B91" w:rsidRPr="002029AF" w:rsidRDefault="00087B91" w:rsidP="00087B91">
      <w:pPr>
        <w:pStyle w:val="ARfinbody"/>
        <w:rPr>
          <w:color w:val="auto"/>
        </w:rPr>
      </w:pPr>
      <w:r w:rsidRPr="002029AF">
        <w:rPr>
          <w:color w:val="auto"/>
        </w:rPr>
        <w:t>To</w:t>
      </w:r>
      <w:r w:rsidR="000A5329" w:rsidRPr="002029AF">
        <w:rPr>
          <w:color w:val="auto"/>
        </w:rPr>
        <w:t xml:space="preserve"> </w:t>
      </w:r>
      <w:r w:rsidRPr="002029AF">
        <w:rPr>
          <w:color w:val="auto"/>
        </w:rPr>
        <w:t>contain</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spread</w:t>
      </w:r>
      <w:r w:rsidR="000A5329" w:rsidRPr="002029AF">
        <w:rPr>
          <w:color w:val="auto"/>
        </w:rPr>
        <w:t xml:space="preserve"> </w:t>
      </w:r>
      <w:r w:rsidRPr="002029AF">
        <w:rPr>
          <w:color w:val="auto"/>
        </w:rPr>
        <w:t>of</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virus</w:t>
      </w:r>
      <w:r w:rsidR="000A5329" w:rsidRPr="002029AF">
        <w:rPr>
          <w:color w:val="auto"/>
        </w:rPr>
        <w:t xml:space="preserve"> </w:t>
      </w:r>
      <w:r w:rsidRPr="002029AF">
        <w:rPr>
          <w:color w:val="auto"/>
        </w:rPr>
        <w:t>and</w:t>
      </w:r>
      <w:r w:rsidR="000A5329" w:rsidRPr="002029AF">
        <w:rPr>
          <w:color w:val="auto"/>
        </w:rPr>
        <w:t xml:space="preserve"> </w:t>
      </w:r>
      <w:r w:rsidRPr="002029AF">
        <w:rPr>
          <w:color w:val="auto"/>
        </w:rPr>
        <w:t>to</w:t>
      </w:r>
      <w:r w:rsidR="000A5329" w:rsidRPr="002029AF">
        <w:rPr>
          <w:color w:val="auto"/>
        </w:rPr>
        <w:t xml:space="preserve"> </w:t>
      </w:r>
      <w:r w:rsidRPr="002029AF">
        <w:rPr>
          <w:color w:val="auto"/>
        </w:rPr>
        <w:t>prioritise</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health</w:t>
      </w:r>
      <w:r w:rsidR="000A5329" w:rsidRPr="002029AF">
        <w:rPr>
          <w:color w:val="auto"/>
        </w:rPr>
        <w:t xml:space="preserve"> </w:t>
      </w:r>
      <w:r w:rsidRPr="002029AF">
        <w:rPr>
          <w:color w:val="auto"/>
        </w:rPr>
        <w:t>and</w:t>
      </w:r>
      <w:r w:rsidR="000A5329" w:rsidRPr="002029AF">
        <w:rPr>
          <w:color w:val="auto"/>
        </w:rPr>
        <w:t xml:space="preserve"> </w:t>
      </w:r>
      <w:r w:rsidRPr="002029AF">
        <w:rPr>
          <w:color w:val="auto"/>
        </w:rPr>
        <w:t>safety</w:t>
      </w:r>
      <w:r w:rsidR="000A5329" w:rsidRPr="002029AF">
        <w:rPr>
          <w:color w:val="auto"/>
        </w:rPr>
        <w:t xml:space="preserve"> </w:t>
      </w:r>
      <w:r w:rsidRPr="002029AF">
        <w:rPr>
          <w:color w:val="auto"/>
        </w:rPr>
        <w:t>of</w:t>
      </w:r>
      <w:r w:rsidR="000A5329" w:rsidRPr="002029AF">
        <w:rPr>
          <w:color w:val="auto"/>
        </w:rPr>
        <w:t xml:space="preserve"> </w:t>
      </w:r>
      <w:r w:rsidRPr="002029AF">
        <w:rPr>
          <w:color w:val="auto"/>
        </w:rPr>
        <w:t>our</w:t>
      </w:r>
      <w:r w:rsidR="000A5329" w:rsidRPr="002029AF">
        <w:rPr>
          <w:color w:val="auto"/>
        </w:rPr>
        <w:t xml:space="preserve"> </w:t>
      </w:r>
      <w:r w:rsidRPr="002029AF">
        <w:rPr>
          <w:color w:val="auto"/>
        </w:rPr>
        <w:t>communities,</w:t>
      </w:r>
      <w:r w:rsidR="000A5329" w:rsidRPr="002029AF">
        <w:rPr>
          <w:color w:val="auto"/>
        </w:rPr>
        <w:t xml:space="preserve"> </w:t>
      </w:r>
      <w:r w:rsidRPr="002029AF">
        <w:rPr>
          <w:color w:val="auto"/>
        </w:rPr>
        <w:t>various</w:t>
      </w:r>
      <w:r w:rsidR="000A5329" w:rsidRPr="002029AF">
        <w:rPr>
          <w:color w:val="auto"/>
        </w:rPr>
        <w:t xml:space="preserve"> </w:t>
      </w:r>
      <w:r w:rsidRPr="002029AF">
        <w:rPr>
          <w:color w:val="auto"/>
        </w:rPr>
        <w:t>restrictions</w:t>
      </w:r>
      <w:r w:rsidR="000A5329" w:rsidRPr="002029AF">
        <w:rPr>
          <w:color w:val="auto"/>
        </w:rPr>
        <w:t xml:space="preserve"> </w:t>
      </w:r>
      <w:r w:rsidRPr="002029AF">
        <w:rPr>
          <w:color w:val="auto"/>
        </w:rPr>
        <w:t>were</w:t>
      </w:r>
      <w:r w:rsidR="000A5329" w:rsidRPr="002029AF">
        <w:rPr>
          <w:color w:val="auto"/>
        </w:rPr>
        <w:t xml:space="preserve"> </w:t>
      </w:r>
      <w:r w:rsidRPr="002029AF">
        <w:rPr>
          <w:color w:val="auto"/>
        </w:rPr>
        <w:t>announced</w:t>
      </w:r>
      <w:r w:rsidR="000A5329" w:rsidRPr="002029AF">
        <w:rPr>
          <w:color w:val="auto"/>
        </w:rPr>
        <w:t xml:space="preserve"> </w:t>
      </w:r>
      <w:r w:rsidRPr="002029AF">
        <w:rPr>
          <w:color w:val="auto"/>
        </w:rPr>
        <w:t>and</w:t>
      </w:r>
      <w:r w:rsidR="000A5329" w:rsidRPr="002029AF">
        <w:rPr>
          <w:color w:val="auto"/>
        </w:rPr>
        <w:t xml:space="preserve"> </w:t>
      </w:r>
      <w:r w:rsidRPr="002029AF">
        <w:rPr>
          <w:color w:val="auto"/>
        </w:rPr>
        <w:t>implemented</w:t>
      </w:r>
      <w:r w:rsidR="000A5329" w:rsidRPr="002029AF">
        <w:rPr>
          <w:color w:val="auto"/>
        </w:rPr>
        <w:t xml:space="preserve"> </w:t>
      </w:r>
      <w:r w:rsidRPr="002029AF">
        <w:rPr>
          <w:color w:val="auto"/>
        </w:rPr>
        <w:t>by</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state</w:t>
      </w:r>
      <w:r w:rsidR="000A5329" w:rsidRPr="002029AF">
        <w:rPr>
          <w:color w:val="auto"/>
        </w:rPr>
        <w:t xml:space="preserve"> </w:t>
      </w:r>
      <w:r w:rsidRPr="002029AF">
        <w:rPr>
          <w:color w:val="auto"/>
        </w:rPr>
        <w:t>government,</w:t>
      </w:r>
      <w:r w:rsidR="000A5329" w:rsidRPr="002029AF">
        <w:rPr>
          <w:color w:val="auto"/>
        </w:rPr>
        <w:t xml:space="preserve"> </w:t>
      </w:r>
      <w:r w:rsidRPr="002029AF">
        <w:rPr>
          <w:color w:val="auto"/>
        </w:rPr>
        <w:t>which</w:t>
      </w:r>
      <w:r w:rsidR="000A5329" w:rsidRPr="002029AF">
        <w:rPr>
          <w:color w:val="auto"/>
        </w:rPr>
        <w:t xml:space="preserve"> </w:t>
      </w:r>
      <w:r w:rsidRPr="002029AF">
        <w:rPr>
          <w:color w:val="auto"/>
        </w:rPr>
        <w:t>in</w:t>
      </w:r>
      <w:r w:rsidR="000A5329" w:rsidRPr="002029AF">
        <w:rPr>
          <w:color w:val="auto"/>
        </w:rPr>
        <w:t xml:space="preserve"> </w:t>
      </w:r>
      <w:r w:rsidRPr="002029AF">
        <w:rPr>
          <w:color w:val="auto"/>
        </w:rPr>
        <w:t>turn</w:t>
      </w:r>
      <w:r w:rsidR="000A5329" w:rsidRPr="002029AF">
        <w:rPr>
          <w:color w:val="auto"/>
        </w:rPr>
        <w:t xml:space="preserve"> </w:t>
      </w:r>
      <w:r w:rsidRPr="002029AF">
        <w:rPr>
          <w:color w:val="auto"/>
        </w:rPr>
        <w:t>has</w:t>
      </w:r>
      <w:r w:rsidR="000A5329" w:rsidRPr="002029AF">
        <w:rPr>
          <w:color w:val="auto"/>
        </w:rPr>
        <w:t xml:space="preserve"> </w:t>
      </w:r>
      <w:r w:rsidRPr="002029AF">
        <w:rPr>
          <w:color w:val="auto"/>
        </w:rPr>
        <w:t>impacted</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manner</w:t>
      </w:r>
      <w:r w:rsidR="000A5329" w:rsidRPr="002029AF">
        <w:rPr>
          <w:color w:val="auto"/>
        </w:rPr>
        <w:t xml:space="preserve"> </w:t>
      </w:r>
      <w:r w:rsidRPr="002029AF">
        <w:rPr>
          <w:color w:val="auto"/>
        </w:rPr>
        <w:t>in</w:t>
      </w:r>
      <w:r w:rsidR="000A5329" w:rsidRPr="002029AF">
        <w:rPr>
          <w:color w:val="auto"/>
        </w:rPr>
        <w:t xml:space="preserve"> </w:t>
      </w:r>
      <w:r w:rsidRPr="002029AF">
        <w:rPr>
          <w:color w:val="auto"/>
        </w:rPr>
        <w:t>which</w:t>
      </w:r>
      <w:r w:rsidR="000A5329" w:rsidRPr="002029AF">
        <w:rPr>
          <w:color w:val="auto"/>
        </w:rPr>
        <w:t xml:space="preserve"> </w:t>
      </w:r>
      <w:r w:rsidRPr="002029AF">
        <w:rPr>
          <w:color w:val="auto"/>
        </w:rPr>
        <w:t>businesses</w:t>
      </w:r>
      <w:r w:rsidR="000A5329" w:rsidRPr="002029AF">
        <w:rPr>
          <w:color w:val="auto"/>
        </w:rPr>
        <w:t xml:space="preserve"> </w:t>
      </w:r>
      <w:r w:rsidRPr="002029AF">
        <w:rPr>
          <w:color w:val="auto"/>
        </w:rPr>
        <w:t>operate,</w:t>
      </w:r>
      <w:r w:rsidR="000A5329" w:rsidRPr="002029AF">
        <w:rPr>
          <w:color w:val="auto"/>
        </w:rPr>
        <w:t xml:space="preserve"> </w:t>
      </w:r>
      <w:r w:rsidRPr="002029AF">
        <w:rPr>
          <w:color w:val="auto"/>
        </w:rPr>
        <w:t>including</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department.</w:t>
      </w:r>
    </w:p>
    <w:p w14:paraId="4EC80301" w14:textId="0875B170" w:rsidR="00087B91" w:rsidRPr="002029AF" w:rsidRDefault="00087B91" w:rsidP="00087B91">
      <w:pPr>
        <w:pStyle w:val="ARfinbody"/>
        <w:rPr>
          <w:color w:val="auto"/>
        </w:rPr>
      </w:pPr>
      <w:r w:rsidRPr="002029AF">
        <w:rPr>
          <w:color w:val="auto"/>
        </w:rPr>
        <w:t>The</w:t>
      </w:r>
      <w:r w:rsidR="000A5329" w:rsidRPr="002029AF">
        <w:rPr>
          <w:color w:val="auto"/>
        </w:rPr>
        <w:t xml:space="preserve"> </w:t>
      </w:r>
      <w:r w:rsidRPr="002029AF">
        <w:rPr>
          <w:color w:val="auto"/>
        </w:rPr>
        <w:t>coronavirus</w:t>
      </w:r>
      <w:r w:rsidR="000A5329" w:rsidRPr="002029AF">
        <w:rPr>
          <w:color w:val="auto"/>
        </w:rPr>
        <w:t xml:space="preserve"> </w:t>
      </w:r>
      <w:r w:rsidRPr="002029AF">
        <w:rPr>
          <w:color w:val="auto"/>
        </w:rPr>
        <w:t>(COVID-19)</w:t>
      </w:r>
      <w:r w:rsidR="000A5329" w:rsidRPr="002029AF">
        <w:rPr>
          <w:color w:val="auto"/>
        </w:rPr>
        <w:t xml:space="preserve"> </w:t>
      </w:r>
      <w:r w:rsidRPr="002029AF">
        <w:rPr>
          <w:color w:val="auto"/>
        </w:rPr>
        <w:t>pandemic</w:t>
      </w:r>
      <w:r w:rsidR="000A5329" w:rsidRPr="002029AF">
        <w:rPr>
          <w:color w:val="auto"/>
        </w:rPr>
        <w:t xml:space="preserve"> </w:t>
      </w:r>
      <w:r w:rsidRPr="002029AF">
        <w:rPr>
          <w:color w:val="auto"/>
        </w:rPr>
        <w:t>has</w:t>
      </w:r>
      <w:r w:rsidR="000A5329" w:rsidRPr="002029AF">
        <w:rPr>
          <w:color w:val="auto"/>
        </w:rPr>
        <w:t xml:space="preserve"> </w:t>
      </w:r>
      <w:r w:rsidRPr="002029AF">
        <w:rPr>
          <w:color w:val="auto"/>
        </w:rPr>
        <w:t>created</w:t>
      </w:r>
      <w:r w:rsidR="000A5329" w:rsidRPr="002029AF">
        <w:rPr>
          <w:color w:val="auto"/>
        </w:rPr>
        <w:t xml:space="preserve"> </w:t>
      </w:r>
      <w:r w:rsidRPr="002029AF">
        <w:rPr>
          <w:color w:val="auto"/>
        </w:rPr>
        <w:t>unprecedented</w:t>
      </w:r>
      <w:r w:rsidR="000A5329" w:rsidRPr="002029AF">
        <w:rPr>
          <w:color w:val="auto"/>
        </w:rPr>
        <w:t xml:space="preserve"> </w:t>
      </w:r>
      <w:r w:rsidRPr="002029AF">
        <w:rPr>
          <w:color w:val="auto"/>
        </w:rPr>
        <w:t>economic</w:t>
      </w:r>
      <w:r w:rsidR="000A5329" w:rsidRPr="002029AF">
        <w:rPr>
          <w:color w:val="auto"/>
        </w:rPr>
        <w:t xml:space="preserve"> </w:t>
      </w:r>
      <w:r w:rsidRPr="002029AF">
        <w:rPr>
          <w:color w:val="auto"/>
        </w:rPr>
        <w:t>uncertainty.</w:t>
      </w:r>
      <w:r w:rsidR="000A5329" w:rsidRPr="002029AF">
        <w:rPr>
          <w:color w:val="auto"/>
        </w:rPr>
        <w:t xml:space="preserve"> </w:t>
      </w:r>
      <w:r w:rsidRPr="002029AF">
        <w:rPr>
          <w:color w:val="auto"/>
        </w:rPr>
        <w:t>Actual</w:t>
      </w:r>
      <w:r w:rsidR="000A5329" w:rsidRPr="002029AF">
        <w:rPr>
          <w:color w:val="auto"/>
        </w:rPr>
        <w:t xml:space="preserve"> </w:t>
      </w:r>
      <w:r w:rsidRPr="002029AF">
        <w:rPr>
          <w:color w:val="auto"/>
        </w:rPr>
        <w:t>economic</w:t>
      </w:r>
      <w:r w:rsidR="000A5329" w:rsidRPr="002029AF">
        <w:rPr>
          <w:color w:val="auto"/>
        </w:rPr>
        <w:t xml:space="preserve"> </w:t>
      </w:r>
      <w:r w:rsidRPr="002029AF">
        <w:rPr>
          <w:color w:val="auto"/>
        </w:rPr>
        <w:t>events</w:t>
      </w:r>
      <w:r w:rsidR="000A5329" w:rsidRPr="002029AF">
        <w:rPr>
          <w:color w:val="auto"/>
        </w:rPr>
        <w:t xml:space="preserve"> </w:t>
      </w:r>
      <w:r w:rsidRPr="002029AF">
        <w:rPr>
          <w:color w:val="auto"/>
        </w:rPr>
        <w:t>and</w:t>
      </w:r>
      <w:r w:rsidR="000A5329" w:rsidRPr="002029AF">
        <w:rPr>
          <w:color w:val="auto"/>
        </w:rPr>
        <w:t xml:space="preserve"> </w:t>
      </w:r>
      <w:r w:rsidRPr="002029AF">
        <w:rPr>
          <w:color w:val="auto"/>
        </w:rPr>
        <w:t>conditions</w:t>
      </w:r>
      <w:r w:rsidR="000A5329" w:rsidRPr="002029AF">
        <w:rPr>
          <w:color w:val="auto"/>
        </w:rPr>
        <w:t xml:space="preserve"> </w:t>
      </w:r>
      <w:r w:rsidRPr="002029AF">
        <w:rPr>
          <w:color w:val="auto"/>
        </w:rPr>
        <w:t>in</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future</w:t>
      </w:r>
      <w:r w:rsidR="000A5329" w:rsidRPr="002029AF">
        <w:rPr>
          <w:color w:val="auto"/>
        </w:rPr>
        <w:t xml:space="preserve"> </w:t>
      </w:r>
      <w:r w:rsidRPr="002029AF">
        <w:rPr>
          <w:color w:val="auto"/>
        </w:rPr>
        <w:t>may</w:t>
      </w:r>
      <w:r w:rsidR="000A5329" w:rsidRPr="002029AF">
        <w:rPr>
          <w:color w:val="auto"/>
        </w:rPr>
        <w:t xml:space="preserve"> </w:t>
      </w:r>
      <w:r w:rsidRPr="002029AF">
        <w:rPr>
          <w:color w:val="auto"/>
        </w:rPr>
        <w:t>be</w:t>
      </w:r>
      <w:r w:rsidR="000A5329" w:rsidRPr="002029AF">
        <w:rPr>
          <w:color w:val="auto"/>
        </w:rPr>
        <w:t xml:space="preserve"> </w:t>
      </w:r>
      <w:r w:rsidRPr="002029AF">
        <w:rPr>
          <w:color w:val="auto"/>
        </w:rPr>
        <w:t>materially</w:t>
      </w:r>
      <w:r w:rsidR="000A5329" w:rsidRPr="002029AF">
        <w:rPr>
          <w:color w:val="auto"/>
        </w:rPr>
        <w:t xml:space="preserve"> </w:t>
      </w:r>
      <w:r w:rsidRPr="002029AF">
        <w:rPr>
          <w:color w:val="auto"/>
        </w:rPr>
        <w:t>different</w:t>
      </w:r>
      <w:r w:rsidR="000A5329" w:rsidRPr="002029AF">
        <w:rPr>
          <w:color w:val="auto"/>
        </w:rPr>
        <w:t xml:space="preserve"> </w:t>
      </w:r>
      <w:r w:rsidRPr="002029AF">
        <w:rPr>
          <w:color w:val="auto"/>
        </w:rPr>
        <w:t>from</w:t>
      </w:r>
      <w:r w:rsidR="000A5329" w:rsidRPr="002029AF">
        <w:rPr>
          <w:color w:val="auto"/>
        </w:rPr>
        <w:t xml:space="preserve"> </w:t>
      </w:r>
      <w:r w:rsidRPr="002029AF">
        <w:rPr>
          <w:color w:val="auto"/>
        </w:rPr>
        <w:t>those</w:t>
      </w:r>
      <w:r w:rsidR="000A5329" w:rsidRPr="002029AF">
        <w:rPr>
          <w:color w:val="auto"/>
        </w:rPr>
        <w:t xml:space="preserve"> </w:t>
      </w:r>
      <w:r w:rsidRPr="002029AF">
        <w:rPr>
          <w:color w:val="auto"/>
        </w:rPr>
        <w:t>estimated</w:t>
      </w:r>
      <w:r w:rsidR="000A5329" w:rsidRPr="002029AF">
        <w:rPr>
          <w:color w:val="auto"/>
        </w:rPr>
        <w:t xml:space="preserve"> </w:t>
      </w:r>
      <w:r w:rsidRPr="002029AF">
        <w:rPr>
          <w:color w:val="auto"/>
        </w:rPr>
        <w:t>by</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department</w:t>
      </w:r>
      <w:r w:rsidR="000A5329" w:rsidRPr="002029AF">
        <w:rPr>
          <w:color w:val="auto"/>
        </w:rPr>
        <w:t xml:space="preserve"> </w:t>
      </w:r>
      <w:r w:rsidRPr="002029AF">
        <w:rPr>
          <w:color w:val="auto"/>
        </w:rPr>
        <w:t>at</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reporting</w:t>
      </w:r>
      <w:r w:rsidR="000A5329" w:rsidRPr="002029AF">
        <w:rPr>
          <w:color w:val="auto"/>
        </w:rPr>
        <w:t xml:space="preserve"> </w:t>
      </w:r>
      <w:r w:rsidRPr="002029AF">
        <w:rPr>
          <w:color w:val="auto"/>
        </w:rPr>
        <w:t>date.</w:t>
      </w:r>
      <w:r w:rsidR="000A5329" w:rsidRPr="002029AF">
        <w:rPr>
          <w:color w:val="auto"/>
        </w:rPr>
        <w:t xml:space="preserve"> </w:t>
      </w:r>
      <w:r w:rsidRPr="002029AF">
        <w:rPr>
          <w:color w:val="auto"/>
        </w:rPr>
        <w:t>As</w:t>
      </w:r>
      <w:r w:rsidR="000A5329" w:rsidRPr="002029AF">
        <w:rPr>
          <w:color w:val="auto"/>
        </w:rPr>
        <w:t xml:space="preserve"> </w:t>
      </w:r>
      <w:r w:rsidRPr="002029AF">
        <w:rPr>
          <w:color w:val="auto"/>
        </w:rPr>
        <w:t>responses</w:t>
      </w:r>
      <w:r w:rsidR="000A5329" w:rsidRPr="002029AF">
        <w:rPr>
          <w:color w:val="auto"/>
        </w:rPr>
        <w:t xml:space="preserve"> </w:t>
      </w:r>
      <w:r w:rsidRPr="002029AF">
        <w:rPr>
          <w:color w:val="auto"/>
        </w:rPr>
        <w:t>by</w:t>
      </w:r>
      <w:r w:rsidR="000A5329" w:rsidRPr="002029AF">
        <w:rPr>
          <w:color w:val="auto"/>
        </w:rPr>
        <w:t xml:space="preserve"> </w:t>
      </w:r>
      <w:r w:rsidRPr="002029AF">
        <w:rPr>
          <w:color w:val="auto"/>
        </w:rPr>
        <w:t>government</w:t>
      </w:r>
      <w:r w:rsidR="000A5329" w:rsidRPr="002029AF">
        <w:rPr>
          <w:color w:val="auto"/>
        </w:rPr>
        <w:t xml:space="preserve"> </w:t>
      </w:r>
      <w:r w:rsidRPr="002029AF">
        <w:rPr>
          <w:color w:val="auto"/>
        </w:rPr>
        <w:t>continue</w:t>
      </w:r>
      <w:r w:rsidR="000A5329" w:rsidRPr="002029AF">
        <w:rPr>
          <w:color w:val="auto"/>
        </w:rPr>
        <w:t xml:space="preserve"> </w:t>
      </w:r>
      <w:r w:rsidRPr="002029AF">
        <w:rPr>
          <w:color w:val="auto"/>
        </w:rPr>
        <w:t>to</w:t>
      </w:r>
      <w:r w:rsidR="000A5329" w:rsidRPr="002029AF">
        <w:rPr>
          <w:color w:val="auto"/>
        </w:rPr>
        <w:t xml:space="preserve"> </w:t>
      </w:r>
      <w:r w:rsidRPr="002029AF">
        <w:rPr>
          <w:color w:val="auto"/>
        </w:rPr>
        <w:t>evolve,</w:t>
      </w:r>
      <w:r w:rsidR="000A5329" w:rsidRPr="002029AF">
        <w:rPr>
          <w:color w:val="auto"/>
        </w:rPr>
        <w:t xml:space="preserve"> </w:t>
      </w:r>
      <w:r w:rsidRPr="002029AF">
        <w:rPr>
          <w:color w:val="auto"/>
        </w:rPr>
        <w:t>management</w:t>
      </w:r>
      <w:r w:rsidR="000A5329" w:rsidRPr="002029AF">
        <w:rPr>
          <w:color w:val="auto"/>
        </w:rPr>
        <w:t xml:space="preserve"> </w:t>
      </w:r>
      <w:r w:rsidRPr="002029AF">
        <w:rPr>
          <w:color w:val="auto"/>
        </w:rPr>
        <w:t>recognises</w:t>
      </w:r>
      <w:r w:rsidR="000A5329" w:rsidRPr="002029AF">
        <w:rPr>
          <w:color w:val="auto"/>
        </w:rPr>
        <w:t xml:space="preserve"> </w:t>
      </w:r>
      <w:r w:rsidRPr="002029AF">
        <w:rPr>
          <w:color w:val="auto"/>
        </w:rPr>
        <w:t>that</w:t>
      </w:r>
      <w:r w:rsidR="000A5329" w:rsidRPr="002029AF">
        <w:rPr>
          <w:color w:val="auto"/>
        </w:rPr>
        <w:t xml:space="preserve"> </w:t>
      </w:r>
      <w:r w:rsidRPr="002029AF">
        <w:rPr>
          <w:color w:val="auto"/>
        </w:rPr>
        <w:t>it</w:t>
      </w:r>
      <w:r w:rsidR="000A5329" w:rsidRPr="002029AF">
        <w:rPr>
          <w:color w:val="auto"/>
        </w:rPr>
        <w:t xml:space="preserve"> </w:t>
      </w:r>
      <w:r w:rsidRPr="002029AF">
        <w:rPr>
          <w:color w:val="auto"/>
        </w:rPr>
        <w:t>is</w:t>
      </w:r>
      <w:r w:rsidR="000A5329" w:rsidRPr="002029AF">
        <w:rPr>
          <w:color w:val="auto"/>
        </w:rPr>
        <w:t xml:space="preserve"> </w:t>
      </w:r>
      <w:r w:rsidRPr="002029AF">
        <w:rPr>
          <w:color w:val="auto"/>
        </w:rPr>
        <w:t>difficult</w:t>
      </w:r>
      <w:r w:rsidR="000A5329" w:rsidRPr="002029AF">
        <w:rPr>
          <w:color w:val="auto"/>
        </w:rPr>
        <w:t xml:space="preserve"> </w:t>
      </w:r>
      <w:r w:rsidRPr="002029AF">
        <w:rPr>
          <w:color w:val="auto"/>
        </w:rPr>
        <w:t>to</w:t>
      </w:r>
      <w:r w:rsidR="000A5329" w:rsidRPr="002029AF">
        <w:rPr>
          <w:color w:val="auto"/>
        </w:rPr>
        <w:t xml:space="preserve"> </w:t>
      </w:r>
      <w:r w:rsidRPr="002029AF">
        <w:rPr>
          <w:color w:val="auto"/>
        </w:rPr>
        <w:t>reliably</w:t>
      </w:r>
      <w:r w:rsidR="000A5329" w:rsidRPr="002029AF">
        <w:rPr>
          <w:color w:val="auto"/>
        </w:rPr>
        <w:t xml:space="preserve"> </w:t>
      </w:r>
      <w:r w:rsidRPr="002029AF">
        <w:rPr>
          <w:color w:val="auto"/>
        </w:rPr>
        <w:t>estimate</w:t>
      </w:r>
      <w:r w:rsidR="000A5329" w:rsidRPr="002029AF">
        <w:rPr>
          <w:color w:val="auto"/>
        </w:rPr>
        <w:t xml:space="preserve"> </w:t>
      </w:r>
      <w:r w:rsidRPr="002029AF">
        <w:rPr>
          <w:color w:val="auto"/>
        </w:rPr>
        <w:t>with</w:t>
      </w:r>
      <w:r w:rsidR="000A5329" w:rsidRPr="002029AF">
        <w:rPr>
          <w:color w:val="auto"/>
        </w:rPr>
        <w:t xml:space="preserve"> </w:t>
      </w:r>
      <w:r w:rsidRPr="002029AF">
        <w:rPr>
          <w:color w:val="auto"/>
        </w:rPr>
        <w:t>any</w:t>
      </w:r>
      <w:r w:rsidR="000A5329" w:rsidRPr="002029AF">
        <w:rPr>
          <w:color w:val="auto"/>
        </w:rPr>
        <w:t xml:space="preserve"> </w:t>
      </w:r>
      <w:r w:rsidRPr="002029AF">
        <w:rPr>
          <w:color w:val="auto"/>
        </w:rPr>
        <w:t>degree</w:t>
      </w:r>
      <w:r w:rsidR="000A5329" w:rsidRPr="002029AF">
        <w:rPr>
          <w:color w:val="auto"/>
        </w:rPr>
        <w:t xml:space="preserve"> </w:t>
      </w:r>
      <w:r w:rsidRPr="002029AF">
        <w:rPr>
          <w:color w:val="auto"/>
        </w:rPr>
        <w:t>of</w:t>
      </w:r>
      <w:r w:rsidR="000A5329" w:rsidRPr="002029AF">
        <w:rPr>
          <w:color w:val="auto"/>
        </w:rPr>
        <w:t xml:space="preserve"> </w:t>
      </w:r>
      <w:r w:rsidRPr="002029AF">
        <w:rPr>
          <w:color w:val="auto"/>
        </w:rPr>
        <w:t>certainty</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potential</w:t>
      </w:r>
      <w:r w:rsidR="000A5329" w:rsidRPr="002029AF">
        <w:rPr>
          <w:color w:val="auto"/>
        </w:rPr>
        <w:t xml:space="preserve"> </w:t>
      </w:r>
      <w:r w:rsidRPr="002029AF">
        <w:rPr>
          <w:color w:val="auto"/>
        </w:rPr>
        <w:t>impact</w:t>
      </w:r>
      <w:r w:rsidR="000A5329" w:rsidRPr="002029AF">
        <w:rPr>
          <w:color w:val="auto"/>
        </w:rPr>
        <w:t xml:space="preserve"> </w:t>
      </w:r>
      <w:r w:rsidRPr="002029AF">
        <w:rPr>
          <w:color w:val="auto"/>
        </w:rPr>
        <w:t>of</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pandemic</w:t>
      </w:r>
      <w:r w:rsidR="000A5329" w:rsidRPr="002029AF">
        <w:rPr>
          <w:color w:val="auto"/>
        </w:rPr>
        <w:t xml:space="preserve"> </w:t>
      </w:r>
      <w:r w:rsidRPr="002029AF">
        <w:rPr>
          <w:color w:val="auto"/>
        </w:rPr>
        <w:t>after</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reporting</w:t>
      </w:r>
      <w:r w:rsidR="000A5329" w:rsidRPr="002029AF">
        <w:rPr>
          <w:color w:val="auto"/>
        </w:rPr>
        <w:t xml:space="preserve"> </w:t>
      </w:r>
      <w:r w:rsidRPr="002029AF">
        <w:rPr>
          <w:color w:val="auto"/>
        </w:rPr>
        <w:t>date</w:t>
      </w:r>
      <w:r w:rsidR="000A5329" w:rsidRPr="002029AF">
        <w:rPr>
          <w:color w:val="auto"/>
        </w:rPr>
        <w:t xml:space="preserve"> </w:t>
      </w:r>
      <w:r w:rsidRPr="002029AF">
        <w:rPr>
          <w:color w:val="auto"/>
        </w:rPr>
        <w:t>on</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department,</w:t>
      </w:r>
      <w:r w:rsidR="000A5329" w:rsidRPr="002029AF">
        <w:rPr>
          <w:color w:val="auto"/>
        </w:rPr>
        <w:t xml:space="preserve"> </w:t>
      </w:r>
      <w:r w:rsidRPr="002029AF">
        <w:rPr>
          <w:color w:val="auto"/>
        </w:rPr>
        <w:t>its</w:t>
      </w:r>
      <w:r w:rsidR="000A5329" w:rsidRPr="002029AF">
        <w:rPr>
          <w:color w:val="auto"/>
        </w:rPr>
        <w:t xml:space="preserve"> </w:t>
      </w:r>
      <w:r w:rsidRPr="002029AF">
        <w:rPr>
          <w:color w:val="auto"/>
        </w:rPr>
        <w:t>operations,</w:t>
      </w:r>
      <w:r w:rsidR="000A5329" w:rsidRPr="002029AF">
        <w:rPr>
          <w:color w:val="auto"/>
        </w:rPr>
        <w:t xml:space="preserve"> </w:t>
      </w:r>
      <w:r w:rsidRPr="002029AF">
        <w:rPr>
          <w:color w:val="auto"/>
        </w:rPr>
        <w:t>its</w:t>
      </w:r>
      <w:r w:rsidR="000A5329" w:rsidRPr="002029AF">
        <w:rPr>
          <w:color w:val="auto"/>
        </w:rPr>
        <w:t xml:space="preserve"> </w:t>
      </w:r>
      <w:r w:rsidRPr="002029AF">
        <w:rPr>
          <w:color w:val="auto"/>
        </w:rPr>
        <w:t>future</w:t>
      </w:r>
      <w:r w:rsidR="000A5329" w:rsidRPr="002029AF">
        <w:rPr>
          <w:color w:val="auto"/>
        </w:rPr>
        <w:t xml:space="preserve"> </w:t>
      </w:r>
      <w:r w:rsidRPr="002029AF">
        <w:rPr>
          <w:color w:val="auto"/>
        </w:rPr>
        <w:t>results</w:t>
      </w:r>
      <w:r w:rsidR="000A5329" w:rsidRPr="002029AF">
        <w:rPr>
          <w:color w:val="auto"/>
        </w:rPr>
        <w:t xml:space="preserve"> </w:t>
      </w:r>
      <w:r w:rsidRPr="002029AF">
        <w:rPr>
          <w:color w:val="auto"/>
        </w:rPr>
        <w:t>and</w:t>
      </w:r>
      <w:r w:rsidR="000A5329" w:rsidRPr="002029AF">
        <w:rPr>
          <w:color w:val="auto"/>
        </w:rPr>
        <w:t xml:space="preserve"> </w:t>
      </w:r>
      <w:r w:rsidRPr="002029AF">
        <w:rPr>
          <w:color w:val="auto"/>
        </w:rPr>
        <w:t>financial</w:t>
      </w:r>
      <w:r w:rsidR="000A5329" w:rsidRPr="002029AF">
        <w:rPr>
          <w:color w:val="auto"/>
        </w:rPr>
        <w:t xml:space="preserve"> </w:t>
      </w:r>
      <w:r w:rsidRPr="002029AF">
        <w:rPr>
          <w:color w:val="auto"/>
        </w:rPr>
        <w:t>position.</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state</w:t>
      </w:r>
      <w:r w:rsidR="000A5329" w:rsidRPr="002029AF">
        <w:rPr>
          <w:color w:val="auto"/>
        </w:rPr>
        <w:t xml:space="preserve"> </w:t>
      </w:r>
      <w:r w:rsidRPr="002029AF">
        <w:rPr>
          <w:color w:val="auto"/>
        </w:rPr>
        <w:t>of</w:t>
      </w:r>
      <w:r w:rsidR="000A5329" w:rsidRPr="002029AF">
        <w:rPr>
          <w:color w:val="auto"/>
        </w:rPr>
        <w:t xml:space="preserve"> </w:t>
      </w:r>
      <w:r w:rsidRPr="002029AF">
        <w:rPr>
          <w:color w:val="auto"/>
        </w:rPr>
        <w:t>emergency</w:t>
      </w:r>
      <w:r w:rsidR="000A5329" w:rsidRPr="002029AF">
        <w:rPr>
          <w:color w:val="auto"/>
        </w:rPr>
        <w:t xml:space="preserve"> </w:t>
      </w:r>
      <w:r w:rsidRPr="002029AF">
        <w:rPr>
          <w:color w:val="auto"/>
        </w:rPr>
        <w:t>in</w:t>
      </w:r>
      <w:r w:rsidR="000A5329" w:rsidRPr="002029AF">
        <w:rPr>
          <w:color w:val="auto"/>
        </w:rPr>
        <w:t xml:space="preserve"> </w:t>
      </w:r>
      <w:r w:rsidRPr="002029AF">
        <w:rPr>
          <w:color w:val="auto"/>
        </w:rPr>
        <w:t>Victoria</w:t>
      </w:r>
      <w:r w:rsidR="000A5329" w:rsidRPr="002029AF">
        <w:rPr>
          <w:color w:val="auto"/>
        </w:rPr>
        <w:t xml:space="preserve"> </w:t>
      </w:r>
      <w:r w:rsidRPr="002029AF">
        <w:rPr>
          <w:color w:val="auto"/>
        </w:rPr>
        <w:t>was</w:t>
      </w:r>
      <w:r w:rsidR="000A5329" w:rsidRPr="002029AF">
        <w:rPr>
          <w:color w:val="auto"/>
        </w:rPr>
        <w:t xml:space="preserve"> </w:t>
      </w:r>
      <w:r w:rsidRPr="002029AF">
        <w:rPr>
          <w:color w:val="auto"/>
        </w:rPr>
        <w:t>extended</w:t>
      </w:r>
      <w:r w:rsidR="000A5329" w:rsidRPr="002029AF">
        <w:rPr>
          <w:color w:val="auto"/>
        </w:rPr>
        <w:t xml:space="preserve"> </w:t>
      </w:r>
      <w:r w:rsidRPr="002029AF">
        <w:rPr>
          <w:color w:val="auto"/>
        </w:rPr>
        <w:t>on</w:t>
      </w:r>
      <w:r w:rsidR="000A5329" w:rsidRPr="002029AF">
        <w:rPr>
          <w:color w:val="auto"/>
        </w:rPr>
        <w:t xml:space="preserve"> </w:t>
      </w:r>
      <w:r w:rsidRPr="002029AF">
        <w:rPr>
          <w:color w:val="auto"/>
        </w:rPr>
        <w:t>16</w:t>
      </w:r>
      <w:r w:rsidR="000A5329" w:rsidRPr="002029AF">
        <w:rPr>
          <w:color w:val="auto"/>
        </w:rPr>
        <w:t xml:space="preserve"> </w:t>
      </w:r>
      <w:r w:rsidRPr="002029AF">
        <w:rPr>
          <w:color w:val="auto"/>
        </w:rPr>
        <w:t>August</w:t>
      </w:r>
      <w:r w:rsidR="000A5329" w:rsidRPr="002029AF">
        <w:rPr>
          <w:color w:val="auto"/>
        </w:rPr>
        <w:t xml:space="preserve"> </w:t>
      </w:r>
      <w:r w:rsidRPr="002029AF">
        <w:rPr>
          <w:color w:val="auto"/>
        </w:rPr>
        <w:t>2020</w:t>
      </w:r>
      <w:r w:rsidR="000A5329" w:rsidRPr="002029AF">
        <w:rPr>
          <w:color w:val="auto"/>
        </w:rPr>
        <w:t xml:space="preserve"> </w:t>
      </w:r>
      <w:r w:rsidRPr="002029AF">
        <w:rPr>
          <w:color w:val="auto"/>
        </w:rPr>
        <w:t>until</w:t>
      </w:r>
      <w:r w:rsidR="000A5329" w:rsidRPr="002029AF">
        <w:rPr>
          <w:color w:val="auto"/>
        </w:rPr>
        <w:t xml:space="preserve"> </w:t>
      </w:r>
      <w:r w:rsidRPr="002029AF">
        <w:rPr>
          <w:color w:val="auto"/>
        </w:rPr>
        <w:t>13</w:t>
      </w:r>
      <w:r w:rsidR="000A5329" w:rsidRPr="002029AF">
        <w:rPr>
          <w:color w:val="auto"/>
        </w:rPr>
        <w:t xml:space="preserve"> </w:t>
      </w:r>
      <w:r w:rsidRPr="002029AF">
        <w:rPr>
          <w:color w:val="auto"/>
        </w:rPr>
        <w:t>September</w:t>
      </w:r>
      <w:r w:rsidR="000A5329" w:rsidRPr="002029AF">
        <w:rPr>
          <w:color w:val="auto"/>
        </w:rPr>
        <w:t xml:space="preserve"> </w:t>
      </w:r>
      <w:r w:rsidRPr="002029AF">
        <w:rPr>
          <w:color w:val="auto"/>
        </w:rPr>
        <w:t>2020</w:t>
      </w:r>
      <w:r w:rsidR="000A5329" w:rsidRPr="002029AF">
        <w:rPr>
          <w:color w:val="auto"/>
        </w:rPr>
        <w:t xml:space="preserve"> </w:t>
      </w:r>
      <w:r w:rsidRPr="002029AF">
        <w:rPr>
          <w:color w:val="auto"/>
        </w:rPr>
        <w:t>and</w:t>
      </w:r>
      <w:r w:rsidR="000A5329" w:rsidRPr="002029AF">
        <w:rPr>
          <w:color w:val="auto"/>
        </w:rPr>
        <w:t xml:space="preserve"> </w:t>
      </w:r>
      <w:r w:rsidRPr="002029AF">
        <w:rPr>
          <w:color w:val="auto"/>
        </w:rPr>
        <w:t>was</w:t>
      </w:r>
      <w:r w:rsidR="000A5329" w:rsidRPr="002029AF">
        <w:rPr>
          <w:color w:val="auto"/>
        </w:rPr>
        <w:t xml:space="preserve"> </w:t>
      </w:r>
      <w:r w:rsidRPr="002029AF">
        <w:rPr>
          <w:color w:val="auto"/>
        </w:rPr>
        <w:t>then</w:t>
      </w:r>
      <w:r w:rsidR="000A5329" w:rsidRPr="002029AF">
        <w:rPr>
          <w:color w:val="auto"/>
        </w:rPr>
        <w:t xml:space="preserve"> </w:t>
      </w:r>
      <w:r w:rsidRPr="002029AF">
        <w:rPr>
          <w:color w:val="auto"/>
        </w:rPr>
        <w:t>further</w:t>
      </w:r>
      <w:r w:rsidR="000A5329" w:rsidRPr="002029AF">
        <w:rPr>
          <w:color w:val="auto"/>
        </w:rPr>
        <w:t xml:space="preserve"> </w:t>
      </w:r>
      <w:r w:rsidRPr="002029AF">
        <w:rPr>
          <w:color w:val="auto"/>
        </w:rPr>
        <w:t>extended</w:t>
      </w:r>
      <w:r w:rsidR="000A5329" w:rsidRPr="002029AF">
        <w:rPr>
          <w:color w:val="auto"/>
        </w:rPr>
        <w:t xml:space="preserve"> </w:t>
      </w:r>
      <w:r w:rsidRPr="002029AF">
        <w:rPr>
          <w:color w:val="auto"/>
        </w:rPr>
        <w:t>on</w:t>
      </w:r>
      <w:r w:rsidR="000A5329" w:rsidRPr="002029AF">
        <w:rPr>
          <w:color w:val="auto"/>
        </w:rPr>
        <w:t xml:space="preserve"> </w:t>
      </w:r>
      <w:r w:rsidRPr="002029AF">
        <w:rPr>
          <w:color w:val="auto"/>
        </w:rPr>
        <w:t>13</w:t>
      </w:r>
      <w:r w:rsidR="000A5329" w:rsidRPr="002029AF">
        <w:rPr>
          <w:color w:val="auto"/>
        </w:rPr>
        <w:t xml:space="preserve"> </w:t>
      </w:r>
      <w:r w:rsidRPr="002029AF">
        <w:rPr>
          <w:color w:val="auto"/>
        </w:rPr>
        <w:t>September</w:t>
      </w:r>
      <w:r w:rsidR="000A5329" w:rsidRPr="002029AF">
        <w:rPr>
          <w:color w:val="auto"/>
        </w:rPr>
        <w:t xml:space="preserve"> </w:t>
      </w:r>
      <w:r w:rsidRPr="002029AF">
        <w:rPr>
          <w:color w:val="auto"/>
        </w:rPr>
        <w:t>2020</w:t>
      </w:r>
      <w:r w:rsidR="000A5329" w:rsidRPr="002029AF">
        <w:rPr>
          <w:color w:val="auto"/>
        </w:rPr>
        <w:t xml:space="preserve"> </w:t>
      </w:r>
      <w:r w:rsidRPr="002029AF">
        <w:rPr>
          <w:color w:val="auto"/>
        </w:rPr>
        <w:t>until</w:t>
      </w:r>
      <w:r w:rsidR="000A5329" w:rsidRPr="002029AF">
        <w:rPr>
          <w:color w:val="auto"/>
        </w:rPr>
        <w:t xml:space="preserve"> </w:t>
      </w:r>
      <w:r w:rsidRPr="002029AF">
        <w:rPr>
          <w:color w:val="auto"/>
        </w:rPr>
        <w:t>11</w:t>
      </w:r>
      <w:r w:rsidR="000A5329" w:rsidRPr="002029AF">
        <w:rPr>
          <w:color w:val="auto"/>
        </w:rPr>
        <w:t xml:space="preserve"> </w:t>
      </w:r>
      <w:r w:rsidRPr="002029AF">
        <w:rPr>
          <w:color w:val="auto"/>
        </w:rPr>
        <w:t>October</w:t>
      </w:r>
      <w:r w:rsidR="000A5329" w:rsidRPr="002029AF">
        <w:rPr>
          <w:color w:val="auto"/>
        </w:rPr>
        <w:t xml:space="preserve"> </w:t>
      </w:r>
      <w:r w:rsidRPr="002029AF">
        <w:rPr>
          <w:color w:val="auto"/>
        </w:rPr>
        <w:t>2020.</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state</w:t>
      </w:r>
      <w:r w:rsidR="000A5329" w:rsidRPr="002029AF">
        <w:rPr>
          <w:color w:val="auto"/>
        </w:rPr>
        <w:t xml:space="preserve"> </w:t>
      </w:r>
      <w:r w:rsidRPr="002029AF">
        <w:rPr>
          <w:color w:val="auto"/>
        </w:rPr>
        <w:t>of</w:t>
      </w:r>
      <w:r w:rsidR="000A5329" w:rsidRPr="002029AF">
        <w:rPr>
          <w:color w:val="auto"/>
        </w:rPr>
        <w:t xml:space="preserve"> </w:t>
      </w:r>
      <w:r w:rsidRPr="002029AF">
        <w:rPr>
          <w:color w:val="auto"/>
        </w:rPr>
        <w:t>disaster</w:t>
      </w:r>
      <w:r w:rsidR="000A5329" w:rsidRPr="002029AF">
        <w:rPr>
          <w:color w:val="auto"/>
        </w:rPr>
        <w:t xml:space="preserve"> </w:t>
      </w:r>
      <w:r w:rsidRPr="002029AF">
        <w:rPr>
          <w:color w:val="auto"/>
        </w:rPr>
        <w:t>is</w:t>
      </w:r>
      <w:r w:rsidR="000A5329" w:rsidRPr="002029AF">
        <w:rPr>
          <w:color w:val="auto"/>
        </w:rPr>
        <w:t xml:space="preserve"> </w:t>
      </w:r>
      <w:r w:rsidRPr="002029AF">
        <w:rPr>
          <w:color w:val="auto"/>
        </w:rPr>
        <w:t>still</w:t>
      </w:r>
      <w:r w:rsidR="000A5329" w:rsidRPr="002029AF">
        <w:rPr>
          <w:color w:val="auto"/>
        </w:rPr>
        <w:t xml:space="preserve"> </w:t>
      </w:r>
      <w:r w:rsidRPr="002029AF">
        <w:rPr>
          <w:color w:val="auto"/>
        </w:rPr>
        <w:t>in</w:t>
      </w:r>
      <w:r w:rsidR="000A5329" w:rsidRPr="002029AF">
        <w:rPr>
          <w:color w:val="auto"/>
        </w:rPr>
        <w:t xml:space="preserve"> </w:t>
      </w:r>
      <w:r w:rsidRPr="002029AF">
        <w:rPr>
          <w:color w:val="auto"/>
        </w:rPr>
        <w:t>place.</w:t>
      </w:r>
    </w:p>
    <w:p w14:paraId="6A280C09" w14:textId="73EE251C" w:rsidR="00087B91" w:rsidRPr="002029AF" w:rsidRDefault="00087B91" w:rsidP="00087B91">
      <w:pPr>
        <w:pStyle w:val="ARfinbody"/>
        <w:rPr>
          <w:color w:val="auto"/>
        </w:rPr>
      </w:pPr>
      <w:r w:rsidRPr="002029AF">
        <w:rPr>
          <w:color w:val="auto"/>
        </w:rPr>
        <w:t>No</w:t>
      </w:r>
      <w:r w:rsidR="000A5329" w:rsidRPr="002029AF">
        <w:rPr>
          <w:color w:val="auto"/>
        </w:rPr>
        <w:t xml:space="preserve"> </w:t>
      </w:r>
      <w:r w:rsidRPr="002029AF">
        <w:rPr>
          <w:color w:val="auto"/>
        </w:rPr>
        <w:t>other</w:t>
      </w:r>
      <w:r w:rsidR="000A5329" w:rsidRPr="002029AF">
        <w:rPr>
          <w:color w:val="auto"/>
        </w:rPr>
        <w:t xml:space="preserve"> </w:t>
      </w:r>
      <w:r w:rsidRPr="002029AF">
        <w:rPr>
          <w:color w:val="auto"/>
        </w:rPr>
        <w:t>matters</w:t>
      </w:r>
      <w:r w:rsidR="000A5329" w:rsidRPr="002029AF">
        <w:rPr>
          <w:color w:val="auto"/>
        </w:rPr>
        <w:t xml:space="preserve"> </w:t>
      </w:r>
      <w:r w:rsidRPr="002029AF">
        <w:rPr>
          <w:color w:val="auto"/>
        </w:rPr>
        <w:t>or</w:t>
      </w:r>
      <w:r w:rsidR="000A5329" w:rsidRPr="002029AF">
        <w:rPr>
          <w:color w:val="auto"/>
        </w:rPr>
        <w:t xml:space="preserve"> </w:t>
      </w:r>
      <w:r w:rsidRPr="002029AF">
        <w:rPr>
          <w:color w:val="auto"/>
        </w:rPr>
        <w:t>circumstances</w:t>
      </w:r>
      <w:r w:rsidR="000A5329" w:rsidRPr="002029AF">
        <w:rPr>
          <w:color w:val="auto"/>
        </w:rPr>
        <w:t xml:space="preserve"> </w:t>
      </w:r>
      <w:r w:rsidRPr="002029AF">
        <w:rPr>
          <w:color w:val="auto"/>
        </w:rPr>
        <w:t>have</w:t>
      </w:r>
      <w:r w:rsidR="000A5329" w:rsidRPr="002029AF">
        <w:rPr>
          <w:color w:val="auto"/>
        </w:rPr>
        <w:t xml:space="preserve"> </w:t>
      </w:r>
      <w:r w:rsidRPr="002029AF">
        <w:rPr>
          <w:color w:val="auto"/>
        </w:rPr>
        <w:t>arisen</w:t>
      </w:r>
      <w:r w:rsidR="000A5329" w:rsidRPr="002029AF">
        <w:rPr>
          <w:color w:val="auto"/>
        </w:rPr>
        <w:t xml:space="preserve"> </w:t>
      </w:r>
      <w:r w:rsidRPr="002029AF">
        <w:rPr>
          <w:color w:val="auto"/>
        </w:rPr>
        <w:t>since</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end</w:t>
      </w:r>
      <w:r w:rsidR="000A5329" w:rsidRPr="002029AF">
        <w:rPr>
          <w:color w:val="auto"/>
        </w:rPr>
        <w:t xml:space="preserve"> </w:t>
      </w:r>
      <w:r w:rsidRPr="002029AF">
        <w:rPr>
          <w:color w:val="auto"/>
        </w:rPr>
        <w:t>of</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financial</w:t>
      </w:r>
      <w:r w:rsidR="000A5329" w:rsidRPr="002029AF">
        <w:rPr>
          <w:color w:val="auto"/>
        </w:rPr>
        <w:t xml:space="preserve"> </w:t>
      </w:r>
      <w:r w:rsidRPr="002029AF">
        <w:rPr>
          <w:color w:val="auto"/>
        </w:rPr>
        <w:t>year</w:t>
      </w:r>
      <w:r w:rsidR="000A5329" w:rsidRPr="002029AF">
        <w:rPr>
          <w:color w:val="auto"/>
        </w:rPr>
        <w:t xml:space="preserve"> </w:t>
      </w:r>
      <w:r w:rsidRPr="002029AF">
        <w:rPr>
          <w:color w:val="auto"/>
        </w:rPr>
        <w:t>which</w:t>
      </w:r>
      <w:r w:rsidR="000A5329" w:rsidRPr="002029AF">
        <w:rPr>
          <w:color w:val="auto"/>
        </w:rPr>
        <w:t xml:space="preserve"> </w:t>
      </w:r>
      <w:r w:rsidRPr="002029AF">
        <w:rPr>
          <w:color w:val="auto"/>
        </w:rPr>
        <w:t>significantly</w:t>
      </w:r>
      <w:r w:rsidR="000A5329" w:rsidRPr="002029AF">
        <w:rPr>
          <w:color w:val="auto"/>
        </w:rPr>
        <w:t xml:space="preserve"> </w:t>
      </w:r>
      <w:r w:rsidRPr="002029AF">
        <w:rPr>
          <w:color w:val="auto"/>
        </w:rPr>
        <w:t>affected</w:t>
      </w:r>
      <w:r w:rsidR="000A5329" w:rsidRPr="002029AF">
        <w:rPr>
          <w:color w:val="auto"/>
        </w:rPr>
        <w:t xml:space="preserve"> </w:t>
      </w:r>
      <w:r w:rsidRPr="002029AF">
        <w:rPr>
          <w:color w:val="auto"/>
        </w:rPr>
        <w:t>or</w:t>
      </w:r>
      <w:r w:rsidR="000A5329" w:rsidRPr="002029AF">
        <w:rPr>
          <w:color w:val="auto"/>
        </w:rPr>
        <w:t xml:space="preserve"> </w:t>
      </w:r>
      <w:r w:rsidRPr="002029AF">
        <w:rPr>
          <w:color w:val="auto"/>
        </w:rPr>
        <w:t>may</w:t>
      </w:r>
      <w:r w:rsidR="000A5329" w:rsidRPr="002029AF">
        <w:rPr>
          <w:color w:val="auto"/>
        </w:rPr>
        <w:t xml:space="preserve"> </w:t>
      </w:r>
      <w:r w:rsidRPr="002029AF">
        <w:rPr>
          <w:color w:val="auto"/>
        </w:rPr>
        <w:t>affect</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operations</w:t>
      </w:r>
      <w:r w:rsidR="000A5329" w:rsidRPr="002029AF">
        <w:rPr>
          <w:color w:val="auto"/>
        </w:rPr>
        <w:t xml:space="preserve"> </w:t>
      </w:r>
      <w:r w:rsidRPr="002029AF">
        <w:rPr>
          <w:color w:val="auto"/>
        </w:rPr>
        <w:t>of</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department,</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results</w:t>
      </w:r>
      <w:r w:rsidR="000A5329" w:rsidRPr="002029AF">
        <w:rPr>
          <w:color w:val="auto"/>
        </w:rPr>
        <w:t xml:space="preserve"> </w:t>
      </w:r>
      <w:r w:rsidRPr="002029AF">
        <w:rPr>
          <w:color w:val="auto"/>
        </w:rPr>
        <w:t>of</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operations</w:t>
      </w:r>
      <w:r w:rsidR="000A5329" w:rsidRPr="002029AF">
        <w:rPr>
          <w:color w:val="auto"/>
        </w:rPr>
        <w:t xml:space="preserve"> </w:t>
      </w:r>
      <w:r w:rsidRPr="002029AF">
        <w:rPr>
          <w:color w:val="auto"/>
        </w:rPr>
        <w:t>or</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state</w:t>
      </w:r>
      <w:r w:rsidR="000A5329" w:rsidRPr="002029AF">
        <w:rPr>
          <w:color w:val="auto"/>
        </w:rPr>
        <w:t xml:space="preserve"> </w:t>
      </w:r>
      <w:r w:rsidRPr="002029AF">
        <w:rPr>
          <w:color w:val="auto"/>
        </w:rPr>
        <w:t>of</w:t>
      </w:r>
      <w:r w:rsidR="000A5329" w:rsidRPr="002029AF">
        <w:rPr>
          <w:color w:val="auto"/>
        </w:rPr>
        <w:t xml:space="preserve"> </w:t>
      </w:r>
      <w:r w:rsidRPr="002029AF">
        <w:rPr>
          <w:color w:val="auto"/>
        </w:rPr>
        <w:t>affairs</w:t>
      </w:r>
      <w:r w:rsidR="000A5329" w:rsidRPr="002029AF">
        <w:rPr>
          <w:color w:val="auto"/>
        </w:rPr>
        <w:t xml:space="preserve"> </w:t>
      </w:r>
      <w:r w:rsidRPr="002029AF">
        <w:rPr>
          <w:color w:val="auto"/>
        </w:rPr>
        <w:t>of</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department</w:t>
      </w:r>
      <w:r w:rsidR="000A5329" w:rsidRPr="002029AF">
        <w:rPr>
          <w:color w:val="auto"/>
        </w:rPr>
        <w:t xml:space="preserve"> </w:t>
      </w:r>
      <w:r w:rsidRPr="002029AF">
        <w:rPr>
          <w:color w:val="auto"/>
        </w:rPr>
        <w:t>in</w:t>
      </w:r>
      <w:r w:rsidR="000A5329" w:rsidRPr="002029AF">
        <w:rPr>
          <w:color w:val="auto"/>
        </w:rPr>
        <w:t xml:space="preserve"> </w:t>
      </w:r>
      <w:r w:rsidRPr="002029AF">
        <w:rPr>
          <w:color w:val="auto"/>
        </w:rPr>
        <w:t>the</w:t>
      </w:r>
      <w:r w:rsidR="000A5329" w:rsidRPr="002029AF">
        <w:rPr>
          <w:color w:val="auto"/>
        </w:rPr>
        <w:t xml:space="preserve"> </w:t>
      </w:r>
      <w:r w:rsidRPr="002029AF">
        <w:rPr>
          <w:color w:val="auto"/>
        </w:rPr>
        <w:t>future</w:t>
      </w:r>
      <w:r w:rsidR="000A5329" w:rsidRPr="002029AF">
        <w:rPr>
          <w:color w:val="auto"/>
        </w:rPr>
        <w:t xml:space="preserve"> </w:t>
      </w:r>
      <w:r w:rsidRPr="002029AF">
        <w:rPr>
          <w:color w:val="auto"/>
        </w:rPr>
        <w:t>financial</w:t>
      </w:r>
      <w:r w:rsidR="000A5329" w:rsidRPr="002029AF">
        <w:rPr>
          <w:color w:val="auto"/>
        </w:rPr>
        <w:t xml:space="preserve"> </w:t>
      </w:r>
      <w:r w:rsidRPr="002029AF">
        <w:rPr>
          <w:color w:val="auto"/>
        </w:rPr>
        <w:t>years.</w:t>
      </w:r>
    </w:p>
    <w:p w14:paraId="1D62AAD6" w14:textId="77777777" w:rsidR="00087B91" w:rsidRPr="002029AF" w:rsidRDefault="00087B91" w:rsidP="00087B91">
      <w:pPr>
        <w:pStyle w:val="ARfinbody"/>
      </w:pPr>
      <w:r w:rsidRPr="002029AF">
        <w:br w:type="page"/>
      </w:r>
    </w:p>
    <w:p w14:paraId="6D4086FE" w14:textId="31B4580D" w:rsidR="00087B91" w:rsidRPr="002029AF" w:rsidRDefault="00087B91" w:rsidP="00087B91">
      <w:pPr>
        <w:pStyle w:val="Heading4"/>
      </w:pPr>
      <w:bookmarkStart w:id="407" w:name="_Toc39242176"/>
      <w:r w:rsidRPr="002029AF">
        <w:lastRenderedPageBreak/>
        <w:t>9.11</w:t>
      </w:r>
      <w:r w:rsidR="000A5329" w:rsidRPr="002029AF">
        <w:t xml:space="preserve"> </w:t>
      </w:r>
      <w:r w:rsidRPr="002029AF">
        <w:t>Other</w:t>
      </w:r>
      <w:r w:rsidR="000A5329" w:rsidRPr="002029AF">
        <w:t xml:space="preserve"> </w:t>
      </w:r>
      <w:r w:rsidRPr="002029AF">
        <w:t>accounting</w:t>
      </w:r>
      <w:r w:rsidR="000A5329" w:rsidRPr="002029AF">
        <w:t xml:space="preserve"> </w:t>
      </w:r>
      <w:r w:rsidRPr="002029AF">
        <w:t>policies</w:t>
      </w:r>
      <w:bookmarkEnd w:id="407"/>
    </w:p>
    <w:p w14:paraId="5F87A167" w14:textId="687D5AD1" w:rsidR="00087B91" w:rsidRPr="002029AF" w:rsidRDefault="00087B91" w:rsidP="00087B91">
      <w:pPr>
        <w:pStyle w:val="Heading5"/>
      </w:pPr>
      <w:r w:rsidRPr="002029AF">
        <w:t>Contributions</w:t>
      </w:r>
      <w:r w:rsidR="000A5329" w:rsidRPr="002029AF">
        <w:t xml:space="preserve"> </w:t>
      </w:r>
      <w:r w:rsidRPr="002029AF">
        <w:t>by</w:t>
      </w:r>
      <w:r w:rsidR="000A5329" w:rsidRPr="002029AF">
        <w:t xml:space="preserve"> </w:t>
      </w:r>
      <w:r w:rsidRPr="002029AF">
        <w:t>owners</w:t>
      </w:r>
    </w:p>
    <w:p w14:paraId="7147D23E" w14:textId="44CE8475" w:rsidR="00087B91" w:rsidRPr="002029AF" w:rsidRDefault="00087B91" w:rsidP="00087B91">
      <w:pPr>
        <w:pStyle w:val="ARfinbody"/>
      </w:pPr>
      <w:r w:rsidRPr="002029AF">
        <w:t>Consistent</w:t>
      </w:r>
      <w:r w:rsidR="000A5329" w:rsidRPr="002029AF">
        <w:t xml:space="preserve"> </w:t>
      </w:r>
      <w:r w:rsidRPr="002029AF">
        <w:t>with</w:t>
      </w:r>
      <w:r w:rsidR="000A5329" w:rsidRPr="002029AF">
        <w:t xml:space="preserve"> </w:t>
      </w:r>
      <w:r w:rsidRPr="002029AF">
        <w:t>the</w:t>
      </w:r>
      <w:r w:rsidR="000A5329" w:rsidRPr="002029AF">
        <w:t xml:space="preserve"> </w:t>
      </w:r>
      <w:r w:rsidRPr="002029AF">
        <w:t>requirements</w:t>
      </w:r>
      <w:r w:rsidR="000A5329" w:rsidRPr="002029AF">
        <w:t xml:space="preserve"> </w:t>
      </w:r>
      <w:r w:rsidRPr="002029AF">
        <w:t>of</w:t>
      </w:r>
      <w:r w:rsidR="000A5329" w:rsidRPr="002029AF">
        <w:t xml:space="preserve"> </w:t>
      </w:r>
      <w:r w:rsidRPr="002029AF">
        <w:t>AASB</w:t>
      </w:r>
      <w:r w:rsidR="000A5329" w:rsidRPr="002029AF">
        <w:t xml:space="preserve"> </w:t>
      </w:r>
      <w:r w:rsidRPr="002029AF">
        <w:t>1004</w:t>
      </w:r>
      <w:r w:rsidR="000A5329" w:rsidRPr="002029AF">
        <w:rPr>
          <w:rStyle w:val="Emphasis"/>
        </w:rPr>
        <w:t xml:space="preserve"> </w:t>
      </w:r>
      <w:r w:rsidRPr="002029AF">
        <w:rPr>
          <w:rStyle w:val="Emphasis"/>
        </w:rPr>
        <w:t>Contributions</w:t>
      </w:r>
      <w:r w:rsidRPr="002029AF">
        <w:t>,</w:t>
      </w:r>
      <w:r w:rsidR="000A5329" w:rsidRPr="002029AF">
        <w:t xml:space="preserve"> </w:t>
      </w:r>
      <w:r w:rsidRPr="002029AF">
        <w:t>contributions</w:t>
      </w:r>
      <w:r w:rsidR="000A5329" w:rsidRPr="002029AF">
        <w:t xml:space="preserve"> </w:t>
      </w:r>
      <w:r w:rsidRPr="002029AF">
        <w:t>by</w:t>
      </w:r>
      <w:r w:rsidR="000A5329" w:rsidRPr="002029AF">
        <w:t xml:space="preserve"> </w:t>
      </w:r>
      <w:r w:rsidRPr="002029AF">
        <w:t>owners</w:t>
      </w:r>
      <w:r w:rsidR="000A5329" w:rsidRPr="002029AF">
        <w:t xml:space="preserve"> </w:t>
      </w:r>
      <w:r w:rsidRPr="002029AF">
        <w:t>(that</w:t>
      </w:r>
      <w:r w:rsidR="000A5329" w:rsidRPr="002029AF">
        <w:t xml:space="preserve"> </w:t>
      </w:r>
      <w:r w:rsidRPr="002029AF">
        <w:t>is,</w:t>
      </w:r>
      <w:r w:rsidR="000A5329" w:rsidRPr="002029AF">
        <w:t xml:space="preserve"> </w:t>
      </w:r>
      <w:r w:rsidRPr="002029AF">
        <w:t>contributed</w:t>
      </w:r>
      <w:r w:rsidR="000A5329" w:rsidRPr="002029AF">
        <w:t xml:space="preserve"> </w:t>
      </w:r>
      <w:r w:rsidRPr="002029AF">
        <w:t>capital</w:t>
      </w:r>
      <w:r w:rsidR="000A5329" w:rsidRPr="002029AF">
        <w:t xml:space="preserve"> </w:t>
      </w:r>
      <w:r w:rsidRPr="002029AF">
        <w:t>and</w:t>
      </w:r>
      <w:r w:rsidR="000A5329" w:rsidRPr="002029AF">
        <w:t xml:space="preserve"> </w:t>
      </w:r>
      <w:r w:rsidRPr="002029AF">
        <w:t>its</w:t>
      </w:r>
      <w:r w:rsidR="000A5329" w:rsidRPr="002029AF">
        <w:t xml:space="preserve"> </w:t>
      </w:r>
      <w:r w:rsidRPr="002029AF">
        <w:t>repayment)</w:t>
      </w:r>
      <w:r w:rsidR="000A5329" w:rsidRPr="002029AF">
        <w:t xml:space="preserve"> </w:t>
      </w:r>
      <w:r w:rsidRPr="002029AF">
        <w:t>are</w:t>
      </w:r>
      <w:r w:rsidR="000A5329" w:rsidRPr="002029AF">
        <w:t xml:space="preserve"> </w:t>
      </w:r>
      <w:r w:rsidRPr="002029AF">
        <w:t>treated</w:t>
      </w:r>
      <w:r w:rsidR="000A5329" w:rsidRPr="002029AF">
        <w:t xml:space="preserve"> </w:t>
      </w:r>
      <w:r w:rsidRPr="002029AF">
        <w:t>as</w:t>
      </w:r>
      <w:r w:rsidR="000A5329" w:rsidRPr="002029AF">
        <w:t xml:space="preserve"> </w:t>
      </w:r>
      <w:r w:rsidRPr="002029AF">
        <w:t>equity</w:t>
      </w:r>
      <w:r w:rsidR="000A5329" w:rsidRPr="002029AF">
        <w:t xml:space="preserve"> </w:t>
      </w:r>
      <w:r w:rsidRPr="002029AF">
        <w:t>transactions</w:t>
      </w:r>
      <w:r w:rsidR="000A5329" w:rsidRPr="002029AF">
        <w:t xml:space="preserve"> </w:t>
      </w:r>
      <w:r w:rsidRPr="002029AF">
        <w:t>and,</w:t>
      </w:r>
      <w:r w:rsidR="000A5329" w:rsidRPr="002029AF">
        <w:t xml:space="preserve"> </w:t>
      </w:r>
      <w:r w:rsidRPr="002029AF">
        <w:t>therefore</w:t>
      </w:r>
      <w:r w:rsidR="000A5329" w:rsidRPr="002029AF">
        <w:t xml:space="preserve"> </w:t>
      </w:r>
      <w:r w:rsidRPr="002029AF">
        <w:t>do</w:t>
      </w:r>
      <w:r w:rsidR="000A5329" w:rsidRPr="002029AF">
        <w:t xml:space="preserve"> </w:t>
      </w:r>
      <w:r w:rsidRPr="002029AF">
        <w:t>not</w:t>
      </w:r>
      <w:r w:rsidR="000A5329" w:rsidRPr="002029AF">
        <w:t xml:space="preserve"> </w:t>
      </w:r>
      <w:r w:rsidRPr="002029AF">
        <w:t>form</w:t>
      </w:r>
      <w:r w:rsidR="000A5329" w:rsidRPr="002029AF">
        <w:t xml:space="preserve"> </w:t>
      </w:r>
      <w:r w:rsidRPr="002029AF">
        <w:t>part</w:t>
      </w:r>
      <w:r w:rsidR="000A5329" w:rsidRPr="002029AF">
        <w:t xml:space="preserve"> </w:t>
      </w:r>
      <w:r w:rsidRPr="002029AF">
        <w:t>of</w:t>
      </w:r>
      <w:r w:rsidR="000A5329" w:rsidRPr="002029AF">
        <w:t xml:space="preserve"> </w:t>
      </w:r>
      <w:r w:rsidRPr="002029AF">
        <w:t>the</w:t>
      </w:r>
      <w:r w:rsidR="000A5329" w:rsidRPr="002029AF">
        <w:t xml:space="preserve"> </w:t>
      </w:r>
      <w:r w:rsidRPr="002029AF">
        <w:t>income</w:t>
      </w:r>
      <w:r w:rsidR="000A5329" w:rsidRPr="002029AF">
        <w:t xml:space="preserve"> </w:t>
      </w:r>
      <w:r w:rsidRPr="002029AF">
        <w:t>and</w:t>
      </w:r>
      <w:r w:rsidR="000A5329" w:rsidRPr="002029AF">
        <w:t xml:space="preserve"> </w:t>
      </w:r>
      <w:r w:rsidRPr="002029AF">
        <w:t>expenses</w:t>
      </w:r>
      <w:r w:rsidR="000A5329" w:rsidRPr="002029AF">
        <w:t xml:space="preserve"> </w:t>
      </w:r>
      <w:r w:rsidRPr="002029AF">
        <w:t>of</w:t>
      </w:r>
      <w:r w:rsidR="000A5329" w:rsidRPr="002029AF">
        <w:t xml:space="preserve"> </w:t>
      </w:r>
      <w:r w:rsidRPr="002029AF">
        <w:t>the</w:t>
      </w:r>
      <w:r w:rsidR="000A5329" w:rsidRPr="002029AF">
        <w:t xml:space="preserve"> </w:t>
      </w:r>
      <w:r w:rsidRPr="002029AF">
        <w:t>department.</w:t>
      </w:r>
    </w:p>
    <w:p w14:paraId="6B598EF4" w14:textId="7134ABD1" w:rsidR="00087B91" w:rsidRPr="002029AF" w:rsidRDefault="00087B91" w:rsidP="00087B91">
      <w:pPr>
        <w:pStyle w:val="ARfinbody"/>
      </w:pPr>
      <w:r w:rsidRPr="002029AF">
        <w:t>Additions</w:t>
      </w:r>
      <w:r w:rsidR="000A5329" w:rsidRPr="002029AF">
        <w:t xml:space="preserve"> </w:t>
      </w:r>
      <w:r w:rsidRPr="002029AF">
        <w:t>to</w:t>
      </w:r>
      <w:r w:rsidR="000A5329" w:rsidRPr="002029AF">
        <w:t xml:space="preserve"> </w:t>
      </w:r>
      <w:r w:rsidRPr="002029AF">
        <w:t>net</w:t>
      </w:r>
      <w:r w:rsidR="000A5329" w:rsidRPr="002029AF">
        <w:t xml:space="preserve"> </w:t>
      </w:r>
      <w:r w:rsidRPr="002029AF">
        <w:t>assets</w:t>
      </w:r>
      <w:r w:rsidR="000A5329" w:rsidRPr="002029AF">
        <w:t xml:space="preserve"> </w:t>
      </w:r>
      <w:r w:rsidRPr="002029AF">
        <w:t>that</w:t>
      </w:r>
      <w:r w:rsidR="000A5329" w:rsidRPr="002029AF">
        <w:t xml:space="preserve"> </w:t>
      </w:r>
      <w:r w:rsidRPr="002029AF">
        <w:t>have</w:t>
      </w:r>
      <w:r w:rsidR="000A5329" w:rsidRPr="002029AF">
        <w:t xml:space="preserve"> </w:t>
      </w:r>
      <w:r w:rsidRPr="002029AF">
        <w:t>been</w:t>
      </w:r>
      <w:r w:rsidR="000A5329" w:rsidRPr="002029AF">
        <w:t xml:space="preserve"> </w:t>
      </w:r>
      <w:r w:rsidRPr="002029AF">
        <w:t>designated</w:t>
      </w:r>
      <w:r w:rsidR="000A5329" w:rsidRPr="002029AF">
        <w:t xml:space="preserve"> </w:t>
      </w:r>
      <w:r w:rsidRPr="002029AF">
        <w:t>as</w:t>
      </w:r>
      <w:r w:rsidR="000A5329" w:rsidRPr="002029AF">
        <w:t xml:space="preserve"> </w:t>
      </w:r>
      <w:r w:rsidRPr="002029AF">
        <w:t>contributions</w:t>
      </w:r>
      <w:r w:rsidR="000A5329" w:rsidRPr="002029AF">
        <w:t xml:space="preserve"> </w:t>
      </w:r>
      <w:r w:rsidRPr="002029AF">
        <w:t>by</w:t>
      </w:r>
      <w:r w:rsidR="000A5329" w:rsidRPr="002029AF">
        <w:t xml:space="preserve"> </w:t>
      </w:r>
      <w:r w:rsidRPr="002029AF">
        <w:t>owners</w:t>
      </w:r>
      <w:r w:rsidR="000A5329" w:rsidRPr="002029AF">
        <w:t xml:space="preserve"> </w:t>
      </w:r>
      <w:r w:rsidRPr="002029AF">
        <w:t>are</w:t>
      </w:r>
      <w:r w:rsidR="000A5329" w:rsidRPr="002029AF">
        <w:t xml:space="preserve"> </w:t>
      </w:r>
      <w:r w:rsidRPr="002029AF">
        <w:t>recognised</w:t>
      </w:r>
      <w:r w:rsidR="000A5329" w:rsidRPr="002029AF">
        <w:t xml:space="preserve"> </w:t>
      </w:r>
      <w:r w:rsidRPr="002029AF">
        <w:t>as</w:t>
      </w:r>
      <w:r w:rsidR="000A5329" w:rsidRPr="002029AF">
        <w:t xml:space="preserve"> </w:t>
      </w:r>
      <w:r w:rsidRPr="002029AF">
        <w:t>contributed</w:t>
      </w:r>
      <w:r w:rsidR="000A5329" w:rsidRPr="002029AF">
        <w:t xml:space="preserve"> </w:t>
      </w:r>
      <w:r w:rsidRPr="002029AF">
        <w:t>capital.</w:t>
      </w:r>
      <w:r w:rsidR="000A5329" w:rsidRPr="002029AF">
        <w:t xml:space="preserve"> </w:t>
      </w:r>
      <w:r w:rsidRPr="002029AF">
        <w:t>Other</w:t>
      </w:r>
      <w:r w:rsidR="000A5329" w:rsidRPr="002029AF">
        <w:t xml:space="preserve"> </w:t>
      </w:r>
      <w:r w:rsidRPr="002029AF">
        <w:t>transfers</w:t>
      </w:r>
      <w:r w:rsidR="000A5329" w:rsidRPr="002029AF">
        <w:t xml:space="preserve"> </w:t>
      </w:r>
      <w:r w:rsidRPr="002029AF">
        <w:t>that</w:t>
      </w:r>
      <w:r w:rsidR="000A5329" w:rsidRPr="002029AF">
        <w:t xml:space="preserve"> </w:t>
      </w:r>
      <w:r w:rsidRPr="002029AF">
        <w:t>are</w:t>
      </w:r>
      <w:r w:rsidR="000A5329" w:rsidRPr="002029AF">
        <w:t xml:space="preserve"> </w:t>
      </w:r>
      <w:r w:rsidRPr="002029AF">
        <w:t>in</w:t>
      </w:r>
      <w:r w:rsidR="000A5329" w:rsidRPr="002029AF">
        <w:t xml:space="preserve"> </w:t>
      </w:r>
      <w:r w:rsidRPr="002029AF">
        <w:t>the</w:t>
      </w:r>
      <w:r w:rsidR="000A5329" w:rsidRPr="002029AF">
        <w:t xml:space="preserve"> </w:t>
      </w:r>
      <w:r w:rsidRPr="002029AF">
        <w:t>nature</w:t>
      </w:r>
      <w:r w:rsidR="000A5329" w:rsidRPr="002029AF">
        <w:t xml:space="preserve"> </w:t>
      </w:r>
      <w:r w:rsidRPr="002029AF">
        <w:t>of</w:t>
      </w:r>
      <w:r w:rsidR="000A5329" w:rsidRPr="002029AF">
        <w:t xml:space="preserve"> </w:t>
      </w:r>
      <w:r w:rsidRPr="002029AF">
        <w:t>contributions</w:t>
      </w:r>
      <w:r w:rsidR="000A5329" w:rsidRPr="002029AF">
        <w:t xml:space="preserve"> </w:t>
      </w:r>
      <w:r w:rsidRPr="002029AF">
        <w:t>to</w:t>
      </w:r>
      <w:r w:rsidR="000A5329" w:rsidRPr="002029AF">
        <w:t xml:space="preserve"> </w:t>
      </w:r>
      <w:r w:rsidRPr="002029AF">
        <w:t>or</w:t>
      </w:r>
      <w:r w:rsidR="000A5329" w:rsidRPr="002029AF">
        <w:t xml:space="preserve"> </w:t>
      </w:r>
      <w:r w:rsidRPr="002029AF">
        <w:t>distributions</w:t>
      </w:r>
      <w:r w:rsidR="000A5329" w:rsidRPr="002029AF">
        <w:t xml:space="preserve"> </w:t>
      </w:r>
      <w:r w:rsidRPr="002029AF">
        <w:t>by</w:t>
      </w:r>
      <w:r w:rsidR="000A5329" w:rsidRPr="002029AF">
        <w:t xml:space="preserve"> </w:t>
      </w:r>
      <w:r w:rsidRPr="002029AF">
        <w:t>owners</w:t>
      </w:r>
      <w:r w:rsidR="000A5329" w:rsidRPr="002029AF">
        <w:t xml:space="preserve"> </w:t>
      </w:r>
      <w:r w:rsidRPr="002029AF">
        <w:t>have</w:t>
      </w:r>
      <w:r w:rsidR="000A5329" w:rsidRPr="002029AF">
        <w:t xml:space="preserve"> </w:t>
      </w:r>
      <w:r w:rsidRPr="002029AF">
        <w:t>also</w:t>
      </w:r>
      <w:r w:rsidR="000A5329" w:rsidRPr="002029AF">
        <w:t xml:space="preserve"> </w:t>
      </w:r>
      <w:r w:rsidRPr="002029AF">
        <w:t>been</w:t>
      </w:r>
      <w:r w:rsidR="000A5329" w:rsidRPr="002029AF">
        <w:t xml:space="preserve"> </w:t>
      </w:r>
      <w:r w:rsidRPr="002029AF">
        <w:t>designated</w:t>
      </w:r>
      <w:r w:rsidR="000A5329" w:rsidRPr="002029AF">
        <w:t xml:space="preserve"> </w:t>
      </w:r>
      <w:r w:rsidRPr="002029AF">
        <w:t>as</w:t>
      </w:r>
      <w:r w:rsidR="000A5329" w:rsidRPr="002029AF">
        <w:t xml:space="preserve"> </w:t>
      </w:r>
      <w:r w:rsidRPr="002029AF">
        <w:t>contributions</w:t>
      </w:r>
      <w:r w:rsidR="000A5329" w:rsidRPr="002029AF">
        <w:t xml:space="preserve"> </w:t>
      </w:r>
      <w:r w:rsidRPr="002029AF">
        <w:t>by</w:t>
      </w:r>
      <w:r w:rsidR="000A5329" w:rsidRPr="002029AF">
        <w:t xml:space="preserve"> </w:t>
      </w:r>
      <w:r w:rsidRPr="002029AF">
        <w:t>owners.</w:t>
      </w:r>
    </w:p>
    <w:p w14:paraId="65CE1F59" w14:textId="668D986A" w:rsidR="00087B91" w:rsidRPr="002029AF" w:rsidRDefault="00087B91" w:rsidP="00087B91">
      <w:pPr>
        <w:pStyle w:val="ARfinbody"/>
      </w:pPr>
      <w:r w:rsidRPr="002029AF">
        <w:t>Transfers</w:t>
      </w:r>
      <w:r w:rsidR="000A5329" w:rsidRPr="002029AF">
        <w:t xml:space="preserve"> </w:t>
      </w:r>
      <w:r w:rsidRPr="002029AF">
        <w:t>of</w:t>
      </w:r>
      <w:r w:rsidR="000A5329" w:rsidRPr="002029AF">
        <w:t xml:space="preserve"> </w:t>
      </w:r>
      <w:r w:rsidRPr="002029AF">
        <w:t>net</w:t>
      </w:r>
      <w:r w:rsidR="000A5329" w:rsidRPr="002029AF">
        <w:t xml:space="preserve"> </w:t>
      </w:r>
      <w:r w:rsidRPr="002029AF">
        <w:t>assets</w:t>
      </w:r>
      <w:r w:rsidR="000A5329" w:rsidRPr="002029AF">
        <w:t xml:space="preserve"> </w:t>
      </w:r>
      <w:r w:rsidRPr="002029AF">
        <w:t>arising</w:t>
      </w:r>
      <w:r w:rsidR="000A5329" w:rsidRPr="002029AF">
        <w:t xml:space="preserve"> </w:t>
      </w:r>
      <w:r w:rsidRPr="002029AF">
        <w:t>from</w:t>
      </w:r>
      <w:r w:rsidR="000A5329" w:rsidRPr="002029AF">
        <w:t xml:space="preserve"> </w:t>
      </w:r>
      <w:r w:rsidRPr="002029AF">
        <w:t>administrative</w:t>
      </w:r>
      <w:r w:rsidR="000A5329" w:rsidRPr="002029AF">
        <w:t xml:space="preserve"> </w:t>
      </w:r>
      <w:r w:rsidRPr="002029AF">
        <w:t>restructurings</w:t>
      </w:r>
      <w:r w:rsidR="000A5329" w:rsidRPr="002029AF">
        <w:t xml:space="preserve"> </w:t>
      </w:r>
      <w:r w:rsidRPr="002029AF">
        <w:t>are</w:t>
      </w:r>
      <w:r w:rsidR="000A5329" w:rsidRPr="002029AF">
        <w:t xml:space="preserve"> </w:t>
      </w:r>
      <w:r w:rsidRPr="002029AF">
        <w:t>treated</w:t>
      </w:r>
      <w:r w:rsidR="000A5329" w:rsidRPr="002029AF">
        <w:t xml:space="preserve"> </w:t>
      </w:r>
      <w:r w:rsidRPr="002029AF">
        <w:t>as</w:t>
      </w:r>
      <w:r w:rsidR="000A5329" w:rsidRPr="002029AF">
        <w:t xml:space="preserve"> </w:t>
      </w:r>
      <w:r w:rsidRPr="002029AF">
        <w:t>distributions</w:t>
      </w:r>
      <w:r w:rsidR="000A5329" w:rsidRPr="002029AF">
        <w:t xml:space="preserve"> </w:t>
      </w:r>
      <w:r w:rsidRPr="002029AF">
        <w:t>to</w:t>
      </w:r>
      <w:r w:rsidR="000A5329" w:rsidRPr="002029AF">
        <w:t xml:space="preserve"> </w:t>
      </w:r>
      <w:r w:rsidRPr="002029AF">
        <w:t>or</w:t>
      </w:r>
      <w:r w:rsidR="000A5329" w:rsidRPr="002029AF">
        <w:t xml:space="preserve"> </w:t>
      </w:r>
      <w:r w:rsidRPr="002029AF">
        <w:t>contributions</w:t>
      </w:r>
      <w:r w:rsidR="000A5329" w:rsidRPr="002029AF">
        <w:t xml:space="preserve"> </w:t>
      </w:r>
      <w:r w:rsidRPr="002029AF">
        <w:t>by</w:t>
      </w:r>
      <w:r w:rsidR="000A5329" w:rsidRPr="002029AF">
        <w:t xml:space="preserve"> </w:t>
      </w:r>
      <w:r w:rsidRPr="002029AF">
        <w:t>owners.</w:t>
      </w:r>
      <w:r w:rsidR="000A5329" w:rsidRPr="002029AF">
        <w:t xml:space="preserve"> </w:t>
      </w:r>
      <w:r w:rsidRPr="002029AF">
        <w:t>Transfers</w:t>
      </w:r>
      <w:r w:rsidR="000A5329" w:rsidRPr="002029AF">
        <w:t xml:space="preserve"> </w:t>
      </w:r>
      <w:r w:rsidRPr="002029AF">
        <w:t>of</w:t>
      </w:r>
      <w:r w:rsidR="000A5329" w:rsidRPr="002029AF">
        <w:t xml:space="preserve"> </w:t>
      </w:r>
      <w:r w:rsidRPr="002029AF">
        <w:t>net</w:t>
      </w:r>
      <w:r w:rsidR="000A5329" w:rsidRPr="002029AF">
        <w:t xml:space="preserve"> </w:t>
      </w:r>
      <w:r w:rsidRPr="002029AF">
        <w:t>liabilities</w:t>
      </w:r>
      <w:r w:rsidR="000A5329" w:rsidRPr="002029AF">
        <w:t xml:space="preserve"> </w:t>
      </w:r>
      <w:r w:rsidRPr="002029AF">
        <w:t>arising</w:t>
      </w:r>
      <w:r w:rsidR="000A5329" w:rsidRPr="002029AF">
        <w:t xml:space="preserve"> </w:t>
      </w:r>
      <w:r w:rsidRPr="002029AF">
        <w:t>from</w:t>
      </w:r>
      <w:r w:rsidR="000A5329" w:rsidRPr="002029AF">
        <w:t xml:space="preserve"> </w:t>
      </w:r>
      <w:r w:rsidRPr="002029AF">
        <w:t>administrative</w:t>
      </w:r>
      <w:r w:rsidR="000A5329" w:rsidRPr="002029AF">
        <w:t xml:space="preserve"> </w:t>
      </w:r>
      <w:r w:rsidRPr="002029AF">
        <w:t>restructurings</w:t>
      </w:r>
      <w:r w:rsidR="000A5329" w:rsidRPr="002029AF">
        <w:t xml:space="preserve"> </w:t>
      </w:r>
      <w:r w:rsidRPr="002029AF">
        <w:t>are</w:t>
      </w:r>
      <w:r w:rsidR="000A5329" w:rsidRPr="002029AF">
        <w:t xml:space="preserve"> </w:t>
      </w:r>
      <w:r w:rsidRPr="002029AF">
        <w:t>treated</w:t>
      </w:r>
      <w:r w:rsidR="000A5329" w:rsidRPr="002029AF">
        <w:t xml:space="preserve"> </w:t>
      </w:r>
      <w:r w:rsidRPr="002029AF">
        <w:t>as</w:t>
      </w:r>
      <w:r w:rsidR="000A5329" w:rsidRPr="002029AF">
        <w:t xml:space="preserve"> </w:t>
      </w:r>
      <w:r w:rsidRPr="002029AF">
        <w:t>distributions</w:t>
      </w:r>
      <w:r w:rsidR="000A5329" w:rsidRPr="002029AF">
        <w:t xml:space="preserve"> </w:t>
      </w:r>
      <w:r w:rsidRPr="002029AF">
        <w:t>to</w:t>
      </w:r>
      <w:r w:rsidR="000A5329" w:rsidRPr="002029AF">
        <w:t xml:space="preserve"> </w:t>
      </w:r>
      <w:r w:rsidRPr="002029AF">
        <w:t>owners.</w:t>
      </w:r>
    </w:p>
    <w:p w14:paraId="2F958B26" w14:textId="5114399C" w:rsidR="00087B91" w:rsidRPr="002029AF" w:rsidRDefault="00087B91" w:rsidP="00087B91">
      <w:pPr>
        <w:pStyle w:val="Heading4"/>
      </w:pPr>
      <w:bookmarkStart w:id="408" w:name="_Toc39242177"/>
      <w:r w:rsidRPr="002029AF">
        <w:t>9.12</w:t>
      </w:r>
      <w:r w:rsidR="000A5329" w:rsidRPr="002029AF">
        <w:t xml:space="preserve"> </w:t>
      </w:r>
      <w:r w:rsidRPr="002029AF">
        <w:t>Changes</w:t>
      </w:r>
      <w:r w:rsidR="000A5329" w:rsidRPr="002029AF">
        <w:t xml:space="preserve"> </w:t>
      </w:r>
      <w:r w:rsidRPr="002029AF">
        <w:t>in</w:t>
      </w:r>
      <w:r w:rsidR="000A5329" w:rsidRPr="002029AF">
        <w:t xml:space="preserve"> </w:t>
      </w:r>
      <w:r w:rsidRPr="002029AF">
        <w:t>accounting</w:t>
      </w:r>
      <w:r w:rsidR="000A5329" w:rsidRPr="002029AF">
        <w:t xml:space="preserve"> </w:t>
      </w:r>
      <w:r w:rsidRPr="002029AF">
        <w:t>policies</w:t>
      </w:r>
      <w:bookmarkEnd w:id="408"/>
    </w:p>
    <w:p w14:paraId="17080746" w14:textId="77777777" w:rsidR="00087B91" w:rsidRPr="002029AF" w:rsidRDefault="00087B91" w:rsidP="00087B91">
      <w:pPr>
        <w:pStyle w:val="Heading5"/>
        <w:rPr>
          <w:strike/>
        </w:rPr>
      </w:pPr>
      <w:r w:rsidRPr="002029AF">
        <w:t>9.12.1</w:t>
      </w:r>
      <w:r w:rsidRPr="002029AF">
        <w:tab/>
        <w:t>Leases</w:t>
      </w:r>
    </w:p>
    <w:p w14:paraId="2A0BD36F" w14:textId="4B386688" w:rsidR="00087B91" w:rsidRPr="002029AF" w:rsidRDefault="00087B91" w:rsidP="00087B91">
      <w:pPr>
        <w:pStyle w:val="ARfinbody"/>
      </w:pPr>
      <w:r w:rsidRPr="002029AF">
        <w:t>This</w:t>
      </w:r>
      <w:r w:rsidR="000A5329" w:rsidRPr="002029AF">
        <w:t xml:space="preserve"> </w:t>
      </w:r>
      <w:r w:rsidRPr="002029AF">
        <w:t>note</w:t>
      </w:r>
      <w:r w:rsidR="000A5329" w:rsidRPr="002029AF">
        <w:t xml:space="preserve"> </w:t>
      </w:r>
      <w:r w:rsidRPr="002029AF">
        <w:t>explains</w:t>
      </w:r>
      <w:r w:rsidR="000A5329" w:rsidRPr="002029AF">
        <w:t xml:space="preserve"> </w:t>
      </w:r>
      <w:r w:rsidRPr="002029AF">
        <w:t>the</w:t>
      </w:r>
      <w:r w:rsidR="000A5329" w:rsidRPr="002029AF">
        <w:t xml:space="preserve"> </w:t>
      </w:r>
      <w:r w:rsidRPr="002029AF">
        <w:t>impact</w:t>
      </w:r>
      <w:r w:rsidR="000A5329" w:rsidRPr="002029AF">
        <w:t xml:space="preserve"> </w:t>
      </w:r>
      <w:r w:rsidRPr="002029AF">
        <w:t>of</w:t>
      </w:r>
      <w:r w:rsidR="000A5329" w:rsidRPr="002029AF">
        <w:t xml:space="preserve"> </w:t>
      </w:r>
      <w:r w:rsidRPr="002029AF">
        <w:t>the</w:t>
      </w:r>
      <w:r w:rsidR="000A5329" w:rsidRPr="002029AF">
        <w:t xml:space="preserve"> </w:t>
      </w:r>
      <w:r w:rsidRPr="002029AF">
        <w:t>adoption</w:t>
      </w:r>
      <w:r w:rsidR="000A5329" w:rsidRPr="002029AF">
        <w:t xml:space="preserve"> </w:t>
      </w:r>
      <w:r w:rsidRPr="002029AF">
        <w:t>of</w:t>
      </w:r>
      <w:r w:rsidR="000A5329" w:rsidRPr="002029AF">
        <w:t xml:space="preserve"> </w:t>
      </w:r>
      <w:r w:rsidRPr="002029AF">
        <w:t>AASB</w:t>
      </w:r>
      <w:r w:rsidR="000A5329" w:rsidRPr="002029AF">
        <w:t xml:space="preserve"> </w:t>
      </w:r>
      <w:r w:rsidRPr="002029AF">
        <w:t>16</w:t>
      </w:r>
      <w:r w:rsidR="000A5329" w:rsidRPr="002029AF">
        <w:t xml:space="preserve"> </w:t>
      </w:r>
      <w:r w:rsidRPr="002029AF">
        <w:rPr>
          <w:rStyle w:val="Emphasis"/>
        </w:rPr>
        <w:t>Leases</w:t>
      </w:r>
      <w:r w:rsidR="000A5329" w:rsidRPr="002029AF">
        <w:t xml:space="preserve"> </w:t>
      </w:r>
      <w:r w:rsidRPr="002029AF">
        <w:t>on</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financial</w:t>
      </w:r>
      <w:r w:rsidR="000A5329" w:rsidRPr="002029AF">
        <w:t xml:space="preserve"> </w:t>
      </w:r>
      <w:r w:rsidRPr="002029AF">
        <w:t>statements.</w:t>
      </w:r>
    </w:p>
    <w:p w14:paraId="22BB1C59" w14:textId="021AD953" w:rsidR="00087B91" w:rsidRPr="002029AF" w:rsidRDefault="00087B91" w:rsidP="00087B91">
      <w:pPr>
        <w:pStyle w:val="ARfinbody"/>
      </w:pP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applied</w:t>
      </w:r>
      <w:r w:rsidR="000A5329" w:rsidRPr="002029AF">
        <w:t xml:space="preserve"> </w:t>
      </w:r>
      <w:r w:rsidRPr="002029AF">
        <w:t>AASB</w:t>
      </w:r>
      <w:r w:rsidR="000A5329" w:rsidRPr="002029AF">
        <w:t xml:space="preserve"> </w:t>
      </w:r>
      <w:r w:rsidRPr="002029AF">
        <w:t>16</w:t>
      </w:r>
      <w:r w:rsidR="000A5329" w:rsidRPr="002029AF">
        <w:t xml:space="preserve"> </w:t>
      </w:r>
      <w:r w:rsidRPr="002029AF">
        <w:t>with</w:t>
      </w:r>
      <w:r w:rsidR="000A5329" w:rsidRPr="002029AF">
        <w:t xml:space="preserve"> </w:t>
      </w:r>
      <w:r w:rsidRPr="002029AF">
        <w:t>a</w:t>
      </w:r>
      <w:r w:rsidR="000A5329" w:rsidRPr="002029AF">
        <w:t xml:space="preserve"> </w:t>
      </w:r>
      <w:r w:rsidRPr="002029AF">
        <w:t>date</w:t>
      </w:r>
      <w:r w:rsidR="000A5329" w:rsidRPr="002029AF">
        <w:t xml:space="preserve"> </w:t>
      </w:r>
      <w:r w:rsidRPr="002029AF">
        <w:t>of</w:t>
      </w:r>
      <w:r w:rsidR="000A5329" w:rsidRPr="002029AF">
        <w:t xml:space="preserve"> </w:t>
      </w:r>
      <w:r w:rsidRPr="002029AF">
        <w:t>initial</w:t>
      </w:r>
      <w:r w:rsidR="000A5329" w:rsidRPr="002029AF">
        <w:t xml:space="preserve"> </w:t>
      </w:r>
      <w:r w:rsidRPr="002029AF">
        <w:t>application</w:t>
      </w:r>
      <w:r w:rsidR="000A5329" w:rsidRPr="002029AF">
        <w:t xml:space="preserve"> </w:t>
      </w:r>
      <w:r w:rsidRPr="002029AF">
        <w:t>of</w:t>
      </w:r>
      <w:r w:rsidR="000A5329" w:rsidRPr="002029AF">
        <w:t xml:space="preserve"> </w:t>
      </w:r>
      <w:r w:rsidRPr="002029AF">
        <w:t>1</w:t>
      </w:r>
      <w:r w:rsidR="000A5329" w:rsidRPr="002029AF">
        <w:t xml:space="preserve"> </w:t>
      </w:r>
      <w:r w:rsidRPr="002029AF">
        <w:t>July</w:t>
      </w:r>
      <w:r w:rsidR="000A5329" w:rsidRPr="002029AF">
        <w:t xml:space="preserve"> </w:t>
      </w:r>
      <w:r w:rsidRPr="002029AF">
        <w:t>2019.</w:t>
      </w:r>
    </w:p>
    <w:p w14:paraId="7F3B3FB2" w14:textId="0228EE57" w:rsidR="00087B91" w:rsidRPr="002029AF" w:rsidRDefault="00087B91" w:rsidP="00087B91">
      <w:pPr>
        <w:pStyle w:val="ARfinbody"/>
      </w:pP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elected</w:t>
      </w:r>
      <w:r w:rsidR="000A5329" w:rsidRPr="002029AF">
        <w:t xml:space="preserve"> </w:t>
      </w:r>
      <w:r w:rsidRPr="002029AF">
        <w:t>to</w:t>
      </w:r>
      <w:r w:rsidR="000A5329" w:rsidRPr="002029AF">
        <w:t xml:space="preserve"> </w:t>
      </w:r>
      <w:r w:rsidRPr="002029AF">
        <w:t>apply</w:t>
      </w:r>
      <w:r w:rsidR="000A5329" w:rsidRPr="002029AF">
        <w:t xml:space="preserve"> </w:t>
      </w:r>
      <w:r w:rsidRPr="002029AF">
        <w:t>AASB</w:t>
      </w:r>
      <w:r w:rsidR="000A5329" w:rsidRPr="002029AF">
        <w:t xml:space="preserve"> </w:t>
      </w:r>
      <w:r w:rsidRPr="002029AF">
        <w:t>16</w:t>
      </w:r>
      <w:r w:rsidR="000A5329" w:rsidRPr="002029AF">
        <w:t xml:space="preserve"> </w:t>
      </w:r>
      <w:r w:rsidRPr="002029AF">
        <w:t>using</w:t>
      </w:r>
      <w:r w:rsidR="000A5329" w:rsidRPr="002029AF">
        <w:t xml:space="preserve"> </w:t>
      </w:r>
      <w:r w:rsidRPr="002029AF">
        <w:t>the</w:t>
      </w:r>
      <w:r w:rsidR="000A5329" w:rsidRPr="002029AF">
        <w:t xml:space="preserve"> </w:t>
      </w:r>
      <w:r w:rsidRPr="002029AF">
        <w:t>modified</w:t>
      </w:r>
      <w:r w:rsidR="000A5329" w:rsidRPr="002029AF">
        <w:t xml:space="preserve"> </w:t>
      </w:r>
      <w:r w:rsidRPr="002029AF">
        <w:t>retrospective</w:t>
      </w:r>
      <w:r w:rsidR="000A5329" w:rsidRPr="002029AF">
        <w:t xml:space="preserve"> </w:t>
      </w:r>
      <w:r w:rsidRPr="002029AF">
        <w:t>approach,</w:t>
      </w:r>
      <w:r w:rsidR="000A5329" w:rsidRPr="002029AF">
        <w:t xml:space="preserve"> </w:t>
      </w:r>
      <w:r w:rsidRPr="002029AF">
        <w:t>as</w:t>
      </w:r>
      <w:r w:rsidR="000A5329" w:rsidRPr="002029AF">
        <w:t xml:space="preserve"> </w:t>
      </w:r>
      <w:r w:rsidRPr="002029AF">
        <w:t>per</w:t>
      </w:r>
      <w:r w:rsidR="000A5329" w:rsidRPr="002029AF">
        <w:t xml:space="preserve"> </w:t>
      </w:r>
      <w:r w:rsidRPr="002029AF">
        <w:t>the</w:t>
      </w:r>
      <w:r w:rsidR="000A5329" w:rsidRPr="002029AF">
        <w:t xml:space="preserve"> </w:t>
      </w:r>
      <w:r w:rsidRPr="002029AF">
        <w:t>transitional</w:t>
      </w:r>
      <w:r w:rsidR="000A5329" w:rsidRPr="002029AF">
        <w:t xml:space="preserve"> </w:t>
      </w:r>
      <w:r w:rsidRPr="002029AF">
        <w:t>provisions</w:t>
      </w:r>
      <w:r w:rsidR="000A5329" w:rsidRPr="002029AF">
        <w:t xml:space="preserve"> </w:t>
      </w:r>
      <w:r w:rsidRPr="002029AF">
        <w:t>of</w:t>
      </w:r>
      <w:r w:rsidR="000A5329" w:rsidRPr="002029AF">
        <w:t xml:space="preserve"> </w:t>
      </w:r>
      <w:r w:rsidRPr="002029AF">
        <w:t>AASB</w:t>
      </w:r>
      <w:r w:rsidR="000A5329" w:rsidRPr="002029AF">
        <w:t xml:space="preserve"> </w:t>
      </w:r>
      <w:r w:rsidRPr="002029AF">
        <w:t>16</w:t>
      </w:r>
      <w:r w:rsidR="000A5329" w:rsidRPr="002029AF">
        <w:t xml:space="preserve"> </w:t>
      </w:r>
      <w:r w:rsidRPr="002029AF">
        <w:t>for</w:t>
      </w:r>
      <w:r w:rsidR="000A5329" w:rsidRPr="002029AF">
        <w:t xml:space="preserve"> </w:t>
      </w:r>
      <w:r w:rsidRPr="002029AF">
        <w:t>all</w:t>
      </w:r>
      <w:r w:rsidR="000A5329" w:rsidRPr="002029AF">
        <w:t xml:space="preserve"> </w:t>
      </w:r>
      <w:r w:rsidRPr="002029AF">
        <w:t>leases</w:t>
      </w:r>
      <w:r w:rsidR="000A5329" w:rsidRPr="002029AF">
        <w:t xml:space="preserve"> </w:t>
      </w:r>
      <w:r w:rsidRPr="002029AF">
        <w:t>for</w:t>
      </w:r>
      <w:r w:rsidR="000A5329" w:rsidRPr="002029AF">
        <w:t xml:space="preserve"> </w:t>
      </w:r>
      <w:r w:rsidRPr="002029AF">
        <w:t>which</w:t>
      </w:r>
      <w:r w:rsidR="000A5329" w:rsidRPr="002029AF">
        <w:t xml:space="preserve"> </w:t>
      </w:r>
      <w:r w:rsidRPr="002029AF">
        <w:t>it</w:t>
      </w:r>
      <w:r w:rsidR="000A5329" w:rsidRPr="002029AF">
        <w:t xml:space="preserve"> </w:t>
      </w:r>
      <w:r w:rsidRPr="002029AF">
        <w:t>is</w:t>
      </w:r>
      <w:r w:rsidR="000A5329" w:rsidRPr="002029AF">
        <w:t xml:space="preserve"> </w:t>
      </w:r>
      <w:r w:rsidRPr="002029AF">
        <w:t>a</w:t>
      </w:r>
      <w:r w:rsidR="000A5329" w:rsidRPr="002029AF">
        <w:t xml:space="preserve"> </w:t>
      </w:r>
      <w:r w:rsidRPr="002029AF">
        <w:t>lessee.</w:t>
      </w:r>
      <w:r w:rsidR="000A5329" w:rsidRPr="002029AF">
        <w:t xml:space="preserve"> </w:t>
      </w:r>
      <w:r w:rsidRPr="002029AF">
        <w:t>The</w:t>
      </w:r>
      <w:r w:rsidR="000A5329" w:rsidRPr="002029AF">
        <w:t xml:space="preserve"> </w:t>
      </w:r>
      <w:r w:rsidRPr="002029AF">
        <w:t>cumulative</w:t>
      </w:r>
      <w:r w:rsidR="000A5329" w:rsidRPr="002029AF">
        <w:t xml:space="preserve"> </w:t>
      </w:r>
      <w:r w:rsidRPr="002029AF">
        <w:t>effect</w:t>
      </w:r>
      <w:r w:rsidR="000A5329" w:rsidRPr="002029AF">
        <w:t xml:space="preserve"> </w:t>
      </w:r>
      <w:r w:rsidRPr="002029AF">
        <w:t>of</w:t>
      </w:r>
      <w:r w:rsidR="000A5329" w:rsidRPr="002029AF">
        <w:t xml:space="preserve"> </w:t>
      </w:r>
      <w:r w:rsidRPr="002029AF">
        <w:t>initial</w:t>
      </w:r>
      <w:r w:rsidR="000A5329" w:rsidRPr="002029AF">
        <w:t xml:space="preserve"> </w:t>
      </w:r>
      <w:r w:rsidRPr="002029AF">
        <w:t>application</w:t>
      </w:r>
      <w:r w:rsidR="000A5329" w:rsidRPr="002029AF">
        <w:t xml:space="preserve"> </w:t>
      </w:r>
      <w:r w:rsidRPr="002029AF">
        <w:t>is</w:t>
      </w:r>
      <w:r w:rsidR="000A5329" w:rsidRPr="002029AF">
        <w:t xml:space="preserve"> </w:t>
      </w:r>
      <w:r w:rsidRPr="002029AF">
        <w:t>recognised</w:t>
      </w:r>
      <w:r w:rsidR="000A5329" w:rsidRPr="002029AF">
        <w:t xml:space="preserve"> </w:t>
      </w:r>
      <w:r w:rsidRPr="002029AF">
        <w:t>in</w:t>
      </w:r>
      <w:r w:rsidR="000A5329" w:rsidRPr="002029AF">
        <w:t xml:space="preserve"> </w:t>
      </w:r>
      <w:r w:rsidRPr="002029AF">
        <w:t>retained</w:t>
      </w:r>
      <w:r w:rsidR="000A5329" w:rsidRPr="002029AF">
        <w:t xml:space="preserve"> </w:t>
      </w:r>
      <w:r w:rsidRPr="002029AF">
        <w:t>earnings</w:t>
      </w:r>
      <w:r w:rsidR="000A5329" w:rsidRPr="002029AF">
        <w:t xml:space="preserve"> </w:t>
      </w:r>
      <w:r w:rsidRPr="002029AF">
        <w:t>as</w:t>
      </w:r>
      <w:r w:rsidR="000A5329" w:rsidRPr="002029AF">
        <w:t xml:space="preserve"> </w:t>
      </w:r>
      <w:r w:rsidRPr="002029AF">
        <w:t>at</w:t>
      </w:r>
      <w:r w:rsidR="000A5329" w:rsidRPr="002029AF">
        <w:t xml:space="preserve"> </w:t>
      </w:r>
      <w:r w:rsidRPr="002029AF">
        <w:t>1</w:t>
      </w:r>
      <w:r w:rsidR="000A5329" w:rsidRPr="002029AF">
        <w:t xml:space="preserve"> </w:t>
      </w:r>
      <w:r w:rsidRPr="002029AF">
        <w:t>July</w:t>
      </w:r>
      <w:r w:rsidR="000A5329" w:rsidRPr="002029AF">
        <w:t xml:space="preserve"> </w:t>
      </w:r>
      <w:r w:rsidRPr="002029AF">
        <w:t>2019.</w:t>
      </w:r>
      <w:r w:rsidR="000A5329" w:rsidRPr="002029AF">
        <w:t xml:space="preserve"> </w:t>
      </w:r>
      <w:r w:rsidRPr="002029AF">
        <w:t>Accordingly,</w:t>
      </w:r>
      <w:r w:rsidR="000A5329" w:rsidRPr="002029AF">
        <w:t xml:space="preserve"> </w:t>
      </w:r>
      <w:r w:rsidRPr="002029AF">
        <w:t>the</w:t>
      </w:r>
      <w:r w:rsidR="000A5329" w:rsidRPr="002029AF">
        <w:t xml:space="preserve"> </w:t>
      </w:r>
      <w:r w:rsidRPr="002029AF">
        <w:t>comparative</w:t>
      </w:r>
      <w:r w:rsidR="000A5329" w:rsidRPr="002029AF">
        <w:t xml:space="preserve"> </w:t>
      </w:r>
      <w:r w:rsidRPr="002029AF">
        <w:t>information</w:t>
      </w:r>
      <w:r w:rsidR="000A5329" w:rsidRPr="002029AF">
        <w:t xml:space="preserve"> </w:t>
      </w:r>
      <w:r w:rsidRPr="002029AF">
        <w:t>presented</w:t>
      </w:r>
      <w:r w:rsidR="000A5329" w:rsidRPr="002029AF">
        <w:t xml:space="preserve"> </w:t>
      </w:r>
      <w:r w:rsidRPr="002029AF">
        <w:t>is</w:t>
      </w:r>
      <w:r w:rsidR="000A5329" w:rsidRPr="002029AF">
        <w:t xml:space="preserve"> </w:t>
      </w:r>
      <w:r w:rsidRPr="002029AF">
        <w:t>not</w:t>
      </w:r>
      <w:r w:rsidR="000A5329" w:rsidRPr="002029AF">
        <w:t xml:space="preserve"> </w:t>
      </w:r>
      <w:r w:rsidRPr="002029AF">
        <w:t>restated</w:t>
      </w:r>
      <w:r w:rsidR="000A5329" w:rsidRPr="002029AF">
        <w:t xml:space="preserve"> </w:t>
      </w:r>
      <w:r w:rsidRPr="002029AF">
        <w:t>and</w:t>
      </w:r>
      <w:r w:rsidR="000A5329" w:rsidRPr="002029AF">
        <w:t xml:space="preserve"> </w:t>
      </w:r>
      <w:r w:rsidRPr="002029AF">
        <w:t>is</w:t>
      </w:r>
      <w:r w:rsidR="000A5329" w:rsidRPr="002029AF">
        <w:t xml:space="preserve"> </w:t>
      </w:r>
      <w:r w:rsidRPr="002029AF">
        <w:t>reported</w:t>
      </w:r>
      <w:r w:rsidR="000A5329" w:rsidRPr="002029AF">
        <w:t xml:space="preserve"> </w:t>
      </w:r>
      <w:r w:rsidRPr="002029AF">
        <w:t>under</w:t>
      </w:r>
      <w:r w:rsidR="000A5329" w:rsidRPr="002029AF">
        <w:t xml:space="preserve"> </w:t>
      </w:r>
      <w:r w:rsidRPr="002029AF">
        <w:t>AASB</w:t>
      </w:r>
      <w:r w:rsidR="000A5329" w:rsidRPr="002029AF">
        <w:t xml:space="preserve"> </w:t>
      </w:r>
      <w:r w:rsidRPr="002029AF">
        <w:t>117</w:t>
      </w:r>
      <w:r w:rsidR="000A5329" w:rsidRPr="002029AF">
        <w:t xml:space="preserve"> </w:t>
      </w:r>
      <w:r w:rsidRPr="002029AF">
        <w:t>and</w:t>
      </w:r>
      <w:r w:rsidR="000A5329" w:rsidRPr="002029AF">
        <w:t xml:space="preserve"> </w:t>
      </w:r>
      <w:r w:rsidRPr="002029AF">
        <w:t>related</w:t>
      </w:r>
      <w:r w:rsidR="000A5329" w:rsidRPr="002029AF">
        <w:t xml:space="preserve"> </w:t>
      </w:r>
      <w:r w:rsidRPr="002029AF">
        <w:t>interpretations.</w:t>
      </w:r>
    </w:p>
    <w:p w14:paraId="1F0786CD" w14:textId="6118ECD9" w:rsidR="00087B91" w:rsidRPr="002029AF" w:rsidRDefault="00087B91" w:rsidP="00087B91">
      <w:pPr>
        <w:pStyle w:val="ARfinbody"/>
      </w:pPr>
      <w:r w:rsidRPr="002029AF">
        <w:t>Previously,</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determined</w:t>
      </w:r>
      <w:r w:rsidR="000A5329" w:rsidRPr="002029AF">
        <w:t xml:space="preserve"> </w:t>
      </w:r>
      <w:r w:rsidRPr="002029AF">
        <w:t>at</w:t>
      </w:r>
      <w:r w:rsidR="000A5329" w:rsidRPr="002029AF">
        <w:t xml:space="preserve"> </w:t>
      </w:r>
      <w:r w:rsidRPr="002029AF">
        <w:t>contract</w:t>
      </w:r>
      <w:r w:rsidR="000A5329" w:rsidRPr="002029AF">
        <w:t xml:space="preserve"> </w:t>
      </w:r>
      <w:r w:rsidRPr="002029AF">
        <w:t>inception</w:t>
      </w:r>
      <w:r w:rsidR="000A5329" w:rsidRPr="002029AF">
        <w:t xml:space="preserve"> </w:t>
      </w:r>
      <w:r w:rsidRPr="002029AF">
        <w:t>whether</w:t>
      </w:r>
      <w:r w:rsidR="000A5329" w:rsidRPr="002029AF">
        <w:t xml:space="preserve"> </w:t>
      </w:r>
      <w:r w:rsidRPr="002029AF">
        <w:t>an</w:t>
      </w:r>
      <w:r w:rsidR="000A5329" w:rsidRPr="002029AF">
        <w:t xml:space="preserve"> </w:t>
      </w:r>
      <w:r w:rsidRPr="002029AF">
        <w:t>arrangement</w:t>
      </w:r>
      <w:r w:rsidR="000A5329" w:rsidRPr="002029AF">
        <w:t xml:space="preserve"> </w:t>
      </w:r>
      <w:r w:rsidRPr="002029AF">
        <w:t>is</w:t>
      </w:r>
      <w:r w:rsidR="000A5329" w:rsidRPr="002029AF">
        <w:t xml:space="preserve"> </w:t>
      </w:r>
      <w:r w:rsidRPr="002029AF">
        <w:t>or</w:t>
      </w:r>
      <w:r w:rsidR="000A5329" w:rsidRPr="002029AF">
        <w:t xml:space="preserve"> </w:t>
      </w:r>
      <w:r w:rsidRPr="002029AF">
        <w:t>contains</w:t>
      </w:r>
      <w:r w:rsidR="000A5329" w:rsidRPr="002029AF">
        <w:t xml:space="preserve"> </w:t>
      </w:r>
      <w:r w:rsidRPr="002029AF">
        <w:t>a</w:t>
      </w:r>
      <w:r w:rsidR="000A5329" w:rsidRPr="002029AF">
        <w:t xml:space="preserve"> </w:t>
      </w:r>
      <w:r w:rsidRPr="002029AF">
        <w:t>lease</w:t>
      </w:r>
      <w:r w:rsidR="000A5329" w:rsidRPr="002029AF">
        <w:t xml:space="preserve"> </w:t>
      </w:r>
      <w:r w:rsidRPr="002029AF">
        <w:t>under</w:t>
      </w:r>
      <w:r w:rsidR="000A5329" w:rsidRPr="002029AF">
        <w:t xml:space="preserve"> </w:t>
      </w:r>
      <w:r w:rsidRPr="002029AF">
        <w:t>AASB</w:t>
      </w:r>
      <w:r w:rsidR="000A5329" w:rsidRPr="002029AF">
        <w:t xml:space="preserve"> </w:t>
      </w:r>
      <w:r w:rsidRPr="002029AF">
        <w:t>117</w:t>
      </w:r>
      <w:r w:rsidR="000A5329" w:rsidRPr="002029AF">
        <w:t xml:space="preserve"> </w:t>
      </w:r>
      <w:r w:rsidRPr="002029AF">
        <w:t>and</w:t>
      </w:r>
      <w:r w:rsidR="000A5329" w:rsidRPr="002029AF">
        <w:t xml:space="preserve"> </w:t>
      </w:r>
      <w:r w:rsidRPr="002029AF">
        <w:t>Interpretation</w:t>
      </w:r>
      <w:r w:rsidR="000A5329" w:rsidRPr="002029AF">
        <w:t xml:space="preserve"> </w:t>
      </w:r>
      <w:r w:rsidRPr="002029AF">
        <w:t>4</w:t>
      </w:r>
      <w:r w:rsidR="000A5329" w:rsidRPr="002029AF">
        <w:t xml:space="preserve"> </w:t>
      </w:r>
      <w:r w:rsidRPr="002029AF">
        <w:t>–</w:t>
      </w:r>
      <w:r w:rsidR="000A5329" w:rsidRPr="002029AF">
        <w:t xml:space="preserve"> </w:t>
      </w:r>
      <w:r w:rsidRPr="002029AF">
        <w:t>‘Determining</w:t>
      </w:r>
      <w:r w:rsidR="000A5329" w:rsidRPr="002029AF">
        <w:t xml:space="preserve"> </w:t>
      </w:r>
      <w:r w:rsidRPr="002029AF">
        <w:t>whether</w:t>
      </w:r>
      <w:r w:rsidR="000A5329" w:rsidRPr="002029AF">
        <w:t xml:space="preserve"> </w:t>
      </w:r>
      <w:r w:rsidRPr="002029AF">
        <w:t>an</w:t>
      </w:r>
      <w:r w:rsidR="000A5329" w:rsidRPr="002029AF">
        <w:t xml:space="preserve"> </w:t>
      </w:r>
      <w:r w:rsidRPr="002029AF">
        <w:t>arrangement</w:t>
      </w:r>
      <w:r w:rsidR="000A5329" w:rsidRPr="002029AF">
        <w:t xml:space="preserve"> </w:t>
      </w:r>
      <w:r w:rsidRPr="002029AF">
        <w:t>contains</w:t>
      </w:r>
      <w:r w:rsidR="000A5329" w:rsidRPr="002029AF">
        <w:t xml:space="preserve"> </w:t>
      </w:r>
      <w:r w:rsidRPr="002029AF">
        <w:t>a</w:t>
      </w:r>
      <w:r w:rsidR="000A5329" w:rsidRPr="002029AF">
        <w:t xml:space="preserve"> </w:t>
      </w:r>
      <w:r w:rsidRPr="002029AF">
        <w:t>lease’.</w:t>
      </w:r>
      <w:r w:rsidR="000A5329" w:rsidRPr="002029AF">
        <w:t xml:space="preserve"> </w:t>
      </w:r>
      <w:r w:rsidRPr="002029AF">
        <w:t>Under</w:t>
      </w:r>
      <w:r w:rsidR="000A5329" w:rsidRPr="002029AF">
        <w:t xml:space="preserve"> </w:t>
      </w:r>
      <w:r w:rsidRPr="002029AF">
        <w:t>AASB</w:t>
      </w:r>
      <w:r w:rsidR="000A5329" w:rsidRPr="002029AF">
        <w:t xml:space="preserve"> </w:t>
      </w:r>
      <w:r w:rsidRPr="002029AF">
        <w:t>16,</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assesses</w:t>
      </w:r>
      <w:r w:rsidR="000A5329" w:rsidRPr="002029AF">
        <w:t xml:space="preserve"> </w:t>
      </w:r>
      <w:r w:rsidRPr="002029AF">
        <w:t>whether</w:t>
      </w:r>
      <w:r w:rsidR="000A5329" w:rsidRPr="002029AF">
        <w:t xml:space="preserve"> </w:t>
      </w:r>
      <w:r w:rsidRPr="002029AF">
        <w:t>a</w:t>
      </w:r>
      <w:r w:rsidR="000A5329" w:rsidRPr="002029AF">
        <w:t xml:space="preserve"> </w:t>
      </w:r>
      <w:r w:rsidRPr="002029AF">
        <w:t>contract</w:t>
      </w:r>
      <w:r w:rsidR="000A5329" w:rsidRPr="002029AF">
        <w:t xml:space="preserve"> </w:t>
      </w:r>
      <w:r w:rsidRPr="002029AF">
        <w:t>is</w:t>
      </w:r>
      <w:r w:rsidR="000A5329" w:rsidRPr="002029AF">
        <w:t xml:space="preserve"> </w:t>
      </w:r>
      <w:r w:rsidRPr="002029AF">
        <w:t>or</w:t>
      </w:r>
      <w:r w:rsidR="000A5329" w:rsidRPr="002029AF">
        <w:t xml:space="preserve"> </w:t>
      </w:r>
      <w:r w:rsidRPr="002029AF">
        <w:t>contains</w:t>
      </w:r>
      <w:r w:rsidR="000A5329" w:rsidRPr="002029AF">
        <w:t xml:space="preserve"> </w:t>
      </w:r>
      <w:r w:rsidRPr="002029AF">
        <w:t>a</w:t>
      </w:r>
      <w:r w:rsidR="000A5329" w:rsidRPr="002029AF">
        <w:t xml:space="preserve"> </w:t>
      </w:r>
      <w:r w:rsidRPr="002029AF">
        <w:t>lease</w:t>
      </w:r>
      <w:r w:rsidR="000A5329" w:rsidRPr="002029AF">
        <w:t xml:space="preserve"> </w:t>
      </w:r>
      <w:r w:rsidRPr="002029AF">
        <w:t>based</w:t>
      </w:r>
      <w:r w:rsidR="000A5329" w:rsidRPr="002029AF">
        <w:t xml:space="preserve"> </w:t>
      </w:r>
      <w:r w:rsidRPr="002029AF">
        <w:t>on</w:t>
      </w:r>
      <w:r w:rsidR="000A5329" w:rsidRPr="002029AF">
        <w:t xml:space="preserve"> </w:t>
      </w:r>
      <w:r w:rsidRPr="002029AF">
        <w:t>the</w:t>
      </w:r>
      <w:r w:rsidR="000A5329" w:rsidRPr="002029AF">
        <w:t xml:space="preserve"> </w:t>
      </w:r>
      <w:r w:rsidRPr="002029AF">
        <w:t>definition</w:t>
      </w:r>
      <w:r w:rsidR="000A5329" w:rsidRPr="002029AF">
        <w:t xml:space="preserve"> </w:t>
      </w:r>
      <w:r w:rsidRPr="002029AF">
        <w:t>of</w:t>
      </w:r>
      <w:r w:rsidR="000A5329" w:rsidRPr="002029AF">
        <w:t xml:space="preserve"> </w:t>
      </w:r>
      <w:r w:rsidRPr="002029AF">
        <w:t>a</w:t>
      </w:r>
      <w:r w:rsidR="000A5329" w:rsidRPr="002029AF">
        <w:t xml:space="preserve"> </w:t>
      </w:r>
      <w:r w:rsidRPr="002029AF">
        <w:t>lease</w:t>
      </w:r>
      <w:r w:rsidR="000A5329" w:rsidRPr="002029AF">
        <w:t xml:space="preserve"> </w:t>
      </w:r>
      <w:r w:rsidRPr="002029AF">
        <w:t>as</w:t>
      </w:r>
      <w:r w:rsidR="000A5329" w:rsidRPr="002029AF">
        <w:t xml:space="preserve"> </w:t>
      </w:r>
      <w:r w:rsidRPr="002029AF">
        <w:t>explained</w:t>
      </w:r>
      <w:r w:rsidR="000A5329" w:rsidRPr="002029AF">
        <w:t xml:space="preserve"> </w:t>
      </w:r>
      <w:r w:rsidRPr="002029AF">
        <w:t>in</w:t>
      </w:r>
      <w:r w:rsidR="000A5329" w:rsidRPr="002029AF">
        <w:t xml:space="preserve"> </w:t>
      </w:r>
      <w:r w:rsidRPr="002029AF">
        <w:t>note</w:t>
      </w:r>
      <w:r w:rsidR="000A5329" w:rsidRPr="002029AF">
        <w:t xml:space="preserve"> </w:t>
      </w:r>
      <w:r w:rsidRPr="002029AF">
        <w:t>7.2.</w:t>
      </w:r>
    </w:p>
    <w:p w14:paraId="7ECB391D" w14:textId="487E44A7" w:rsidR="00087B91" w:rsidRPr="002029AF" w:rsidRDefault="00087B91" w:rsidP="00087B91">
      <w:pPr>
        <w:pStyle w:val="ARfinbody"/>
      </w:pPr>
      <w:r w:rsidRPr="002029AF">
        <w:t>On</w:t>
      </w:r>
      <w:r w:rsidR="000A5329" w:rsidRPr="002029AF">
        <w:t xml:space="preserve"> </w:t>
      </w:r>
      <w:r w:rsidRPr="002029AF">
        <w:t>transition</w:t>
      </w:r>
      <w:r w:rsidR="000A5329" w:rsidRPr="002029AF">
        <w:t xml:space="preserve"> </w:t>
      </w:r>
      <w:r w:rsidRPr="002029AF">
        <w:t>to</w:t>
      </w:r>
      <w:r w:rsidR="000A5329" w:rsidRPr="002029AF">
        <w:t xml:space="preserve"> </w:t>
      </w:r>
      <w:r w:rsidRPr="002029AF">
        <w:t>AASB</w:t>
      </w:r>
      <w:r w:rsidR="000A5329" w:rsidRPr="002029AF">
        <w:t xml:space="preserve"> </w:t>
      </w:r>
      <w:r w:rsidRPr="002029AF">
        <w:t>16,</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elected</w:t>
      </w:r>
      <w:r w:rsidR="000A5329" w:rsidRPr="002029AF">
        <w:t xml:space="preserve"> </w:t>
      </w:r>
      <w:r w:rsidRPr="002029AF">
        <w:t>to</w:t>
      </w:r>
      <w:r w:rsidR="000A5329" w:rsidRPr="002029AF">
        <w:t xml:space="preserve"> </w:t>
      </w:r>
      <w:r w:rsidRPr="002029AF">
        <w:t>apply</w:t>
      </w:r>
      <w:r w:rsidR="000A5329" w:rsidRPr="002029AF">
        <w:t xml:space="preserve"> </w:t>
      </w:r>
      <w:r w:rsidRPr="002029AF">
        <w:t>the</w:t>
      </w:r>
      <w:r w:rsidR="000A5329" w:rsidRPr="002029AF">
        <w:t xml:space="preserve"> </w:t>
      </w:r>
      <w:r w:rsidRPr="002029AF">
        <w:t>practical</w:t>
      </w:r>
      <w:r w:rsidR="000A5329" w:rsidRPr="002029AF">
        <w:t xml:space="preserve"> </w:t>
      </w:r>
      <w:r w:rsidRPr="002029AF">
        <w:t>expedient</w:t>
      </w:r>
      <w:r w:rsidR="000A5329" w:rsidRPr="002029AF">
        <w:t xml:space="preserve"> </w:t>
      </w:r>
      <w:r w:rsidRPr="002029AF">
        <w:t>to</w:t>
      </w:r>
      <w:r w:rsidR="000A5329" w:rsidRPr="002029AF">
        <w:t xml:space="preserve"> </w:t>
      </w:r>
      <w:r w:rsidRPr="002029AF">
        <w:t>grandfather</w:t>
      </w:r>
      <w:r w:rsidR="000A5329" w:rsidRPr="002029AF">
        <w:t xml:space="preserve"> </w:t>
      </w:r>
      <w:r w:rsidRPr="002029AF">
        <w:t>the</w:t>
      </w:r>
      <w:r w:rsidR="000A5329" w:rsidRPr="002029AF">
        <w:t xml:space="preserve"> </w:t>
      </w:r>
      <w:r w:rsidRPr="002029AF">
        <w:t>assessment</w:t>
      </w:r>
      <w:r w:rsidR="000A5329" w:rsidRPr="002029AF">
        <w:t xml:space="preserve"> </w:t>
      </w:r>
      <w:r w:rsidRPr="002029AF">
        <w:t>of</w:t>
      </w:r>
      <w:r w:rsidR="000A5329" w:rsidRPr="002029AF">
        <w:t xml:space="preserve"> </w:t>
      </w:r>
      <w:r w:rsidRPr="002029AF">
        <w:t>which</w:t>
      </w:r>
      <w:r w:rsidR="000A5329" w:rsidRPr="002029AF">
        <w:t xml:space="preserve"> </w:t>
      </w:r>
      <w:r w:rsidRPr="002029AF">
        <w:t>transactions</w:t>
      </w:r>
      <w:r w:rsidR="000A5329" w:rsidRPr="002029AF">
        <w:t xml:space="preserve"> </w:t>
      </w:r>
      <w:r w:rsidRPr="002029AF">
        <w:t>are</w:t>
      </w:r>
      <w:r w:rsidR="000A5329" w:rsidRPr="002029AF">
        <w:t xml:space="preserve"> </w:t>
      </w:r>
      <w:r w:rsidRPr="002029AF">
        <w:t>leases.</w:t>
      </w:r>
      <w:r w:rsidR="000A5329" w:rsidRPr="002029AF">
        <w:t xml:space="preserve"> </w:t>
      </w:r>
      <w:r w:rsidRPr="002029AF">
        <w:t>It</w:t>
      </w:r>
      <w:r w:rsidR="000A5329" w:rsidRPr="002029AF">
        <w:t xml:space="preserve"> </w:t>
      </w:r>
      <w:r w:rsidRPr="002029AF">
        <w:t>applied</w:t>
      </w:r>
      <w:r w:rsidR="000A5329" w:rsidRPr="002029AF">
        <w:t xml:space="preserve"> </w:t>
      </w:r>
      <w:r w:rsidRPr="002029AF">
        <w:t>AASB</w:t>
      </w:r>
      <w:r w:rsidR="000A5329" w:rsidRPr="002029AF">
        <w:t xml:space="preserve"> </w:t>
      </w:r>
      <w:r w:rsidRPr="002029AF">
        <w:t>16</w:t>
      </w:r>
      <w:r w:rsidR="000A5329" w:rsidRPr="002029AF">
        <w:t xml:space="preserve"> </w:t>
      </w:r>
      <w:r w:rsidRPr="002029AF">
        <w:t>only</w:t>
      </w:r>
      <w:r w:rsidR="000A5329" w:rsidRPr="002029AF">
        <w:t xml:space="preserve"> </w:t>
      </w:r>
      <w:r w:rsidRPr="002029AF">
        <w:t>to</w:t>
      </w:r>
      <w:r w:rsidR="000A5329" w:rsidRPr="002029AF">
        <w:t xml:space="preserve"> </w:t>
      </w:r>
      <w:r w:rsidRPr="002029AF">
        <w:t>contracts</w:t>
      </w:r>
      <w:r w:rsidR="000A5329" w:rsidRPr="002029AF">
        <w:t xml:space="preserve"> </w:t>
      </w:r>
      <w:r w:rsidRPr="002029AF">
        <w:t>that</w:t>
      </w:r>
      <w:r w:rsidR="000A5329" w:rsidRPr="002029AF">
        <w:t xml:space="preserve"> </w:t>
      </w:r>
      <w:r w:rsidRPr="002029AF">
        <w:t>were</w:t>
      </w:r>
      <w:r w:rsidR="000A5329" w:rsidRPr="002029AF">
        <w:t xml:space="preserve"> </w:t>
      </w:r>
      <w:r w:rsidRPr="002029AF">
        <w:t>previously</w:t>
      </w:r>
      <w:r w:rsidR="000A5329" w:rsidRPr="002029AF">
        <w:t xml:space="preserve"> </w:t>
      </w:r>
      <w:r w:rsidRPr="002029AF">
        <w:t>identified</w:t>
      </w:r>
      <w:r w:rsidR="000A5329" w:rsidRPr="002029AF">
        <w:t xml:space="preserve"> </w:t>
      </w:r>
      <w:r w:rsidRPr="002029AF">
        <w:t>as</w:t>
      </w:r>
      <w:r w:rsidR="000A5329" w:rsidRPr="002029AF">
        <w:t xml:space="preserve"> </w:t>
      </w:r>
      <w:r w:rsidRPr="002029AF">
        <w:t>leases.</w:t>
      </w:r>
      <w:r w:rsidR="000A5329" w:rsidRPr="002029AF">
        <w:t xml:space="preserve"> </w:t>
      </w:r>
      <w:r w:rsidRPr="002029AF">
        <w:t>Contracts</w:t>
      </w:r>
      <w:r w:rsidR="000A5329" w:rsidRPr="002029AF">
        <w:t xml:space="preserve"> </w:t>
      </w:r>
      <w:r w:rsidRPr="002029AF">
        <w:t>that</w:t>
      </w:r>
      <w:r w:rsidR="000A5329" w:rsidRPr="002029AF">
        <w:t xml:space="preserve"> </w:t>
      </w:r>
      <w:r w:rsidRPr="002029AF">
        <w:t>were</w:t>
      </w:r>
      <w:r w:rsidR="000A5329" w:rsidRPr="002029AF">
        <w:t xml:space="preserve"> </w:t>
      </w:r>
      <w:r w:rsidRPr="002029AF">
        <w:t>not</w:t>
      </w:r>
      <w:r w:rsidR="000A5329" w:rsidRPr="002029AF">
        <w:t xml:space="preserve"> </w:t>
      </w:r>
      <w:r w:rsidRPr="002029AF">
        <w:t>identified</w:t>
      </w:r>
      <w:r w:rsidR="000A5329" w:rsidRPr="002029AF">
        <w:t xml:space="preserve"> </w:t>
      </w:r>
      <w:r w:rsidRPr="002029AF">
        <w:t>as</w:t>
      </w:r>
      <w:r w:rsidR="000A5329" w:rsidRPr="002029AF">
        <w:t xml:space="preserve"> </w:t>
      </w:r>
      <w:r w:rsidRPr="002029AF">
        <w:t>leases</w:t>
      </w:r>
      <w:r w:rsidR="000A5329" w:rsidRPr="002029AF">
        <w:t xml:space="preserve"> </w:t>
      </w:r>
      <w:r w:rsidRPr="002029AF">
        <w:t>under</w:t>
      </w:r>
      <w:r w:rsidR="000A5329" w:rsidRPr="002029AF">
        <w:t xml:space="preserve"> </w:t>
      </w:r>
      <w:r w:rsidRPr="002029AF">
        <w:t>AASB</w:t>
      </w:r>
      <w:r w:rsidR="000A5329" w:rsidRPr="002029AF">
        <w:t xml:space="preserve"> </w:t>
      </w:r>
      <w:r w:rsidRPr="002029AF">
        <w:t>117</w:t>
      </w:r>
      <w:r w:rsidR="000A5329" w:rsidRPr="002029AF">
        <w:t xml:space="preserve"> </w:t>
      </w:r>
      <w:r w:rsidRPr="002029AF">
        <w:t>and</w:t>
      </w:r>
      <w:r w:rsidR="000A5329" w:rsidRPr="002029AF">
        <w:t xml:space="preserve"> </w:t>
      </w:r>
      <w:r w:rsidRPr="002029AF">
        <w:t>Interpretation</w:t>
      </w:r>
      <w:r w:rsidR="000A5329" w:rsidRPr="002029AF">
        <w:t xml:space="preserve"> </w:t>
      </w:r>
      <w:r w:rsidRPr="002029AF">
        <w:t>4</w:t>
      </w:r>
      <w:r w:rsidR="000A5329" w:rsidRPr="002029AF">
        <w:t xml:space="preserve"> </w:t>
      </w:r>
      <w:r w:rsidRPr="002029AF">
        <w:t>were</w:t>
      </w:r>
      <w:r w:rsidR="000A5329" w:rsidRPr="002029AF">
        <w:t xml:space="preserve"> </w:t>
      </w:r>
      <w:r w:rsidRPr="002029AF">
        <w:t>not</w:t>
      </w:r>
      <w:r w:rsidR="000A5329" w:rsidRPr="002029AF">
        <w:t xml:space="preserve"> </w:t>
      </w:r>
      <w:r w:rsidRPr="002029AF">
        <w:t>reassessed</w:t>
      </w:r>
      <w:r w:rsidR="000A5329" w:rsidRPr="002029AF">
        <w:t xml:space="preserve"> </w:t>
      </w:r>
      <w:r w:rsidRPr="002029AF">
        <w:t>for</w:t>
      </w:r>
      <w:r w:rsidR="000A5329" w:rsidRPr="002029AF">
        <w:t xml:space="preserve"> </w:t>
      </w:r>
      <w:r w:rsidRPr="002029AF">
        <w:t>whether</w:t>
      </w:r>
      <w:r w:rsidR="000A5329" w:rsidRPr="002029AF">
        <w:t xml:space="preserve"> </w:t>
      </w:r>
      <w:r w:rsidRPr="002029AF">
        <w:t>there</w:t>
      </w:r>
      <w:r w:rsidR="000A5329" w:rsidRPr="002029AF">
        <w:t xml:space="preserve"> </w:t>
      </w:r>
      <w:r w:rsidRPr="002029AF">
        <w:t>is</w:t>
      </w:r>
      <w:r w:rsidR="000A5329" w:rsidRPr="002029AF">
        <w:t xml:space="preserve"> </w:t>
      </w:r>
      <w:r w:rsidRPr="002029AF">
        <w:t>a</w:t>
      </w:r>
      <w:r w:rsidR="000A5329" w:rsidRPr="002029AF">
        <w:t xml:space="preserve"> </w:t>
      </w:r>
      <w:r w:rsidRPr="002029AF">
        <w:t>lease.</w:t>
      </w:r>
      <w:r w:rsidR="000A5329" w:rsidRPr="002029AF">
        <w:t xml:space="preserve"> </w:t>
      </w:r>
      <w:r w:rsidRPr="002029AF">
        <w:t>Therefore,</w:t>
      </w:r>
      <w:r w:rsidR="000A5329" w:rsidRPr="002029AF">
        <w:t xml:space="preserve"> </w:t>
      </w:r>
      <w:r w:rsidRPr="002029AF">
        <w:t>the</w:t>
      </w:r>
      <w:r w:rsidR="000A5329" w:rsidRPr="002029AF">
        <w:t xml:space="preserve"> </w:t>
      </w:r>
      <w:r w:rsidRPr="002029AF">
        <w:t>definition</w:t>
      </w:r>
      <w:r w:rsidR="000A5329" w:rsidRPr="002029AF">
        <w:t xml:space="preserve"> </w:t>
      </w:r>
      <w:r w:rsidRPr="002029AF">
        <w:t>of</w:t>
      </w:r>
      <w:r w:rsidR="000A5329" w:rsidRPr="002029AF">
        <w:t xml:space="preserve"> </w:t>
      </w:r>
      <w:r w:rsidRPr="002029AF">
        <w:t>a</w:t>
      </w:r>
      <w:r w:rsidR="000A5329" w:rsidRPr="002029AF">
        <w:t xml:space="preserve"> </w:t>
      </w:r>
      <w:r w:rsidRPr="002029AF">
        <w:t>lease</w:t>
      </w:r>
      <w:r w:rsidR="000A5329" w:rsidRPr="002029AF">
        <w:t xml:space="preserve"> </w:t>
      </w:r>
      <w:r w:rsidRPr="002029AF">
        <w:t>under</w:t>
      </w:r>
      <w:r w:rsidR="000A5329" w:rsidRPr="002029AF">
        <w:t xml:space="preserve"> </w:t>
      </w:r>
      <w:r w:rsidRPr="002029AF">
        <w:t>AASB</w:t>
      </w:r>
      <w:r w:rsidR="000A5329" w:rsidRPr="002029AF">
        <w:t xml:space="preserve"> </w:t>
      </w:r>
      <w:r w:rsidRPr="002029AF">
        <w:t>16</w:t>
      </w:r>
      <w:r w:rsidR="000A5329" w:rsidRPr="002029AF">
        <w:t xml:space="preserve"> </w:t>
      </w:r>
      <w:r w:rsidRPr="002029AF">
        <w:t>was</w:t>
      </w:r>
      <w:r w:rsidR="000A5329" w:rsidRPr="002029AF">
        <w:t xml:space="preserve"> </w:t>
      </w:r>
      <w:r w:rsidRPr="002029AF">
        <w:t>applied</w:t>
      </w:r>
      <w:r w:rsidR="000A5329" w:rsidRPr="002029AF">
        <w:t xml:space="preserve"> </w:t>
      </w:r>
      <w:r w:rsidRPr="002029AF">
        <w:t>to</w:t>
      </w:r>
      <w:r w:rsidR="000A5329" w:rsidRPr="002029AF">
        <w:t xml:space="preserve"> </w:t>
      </w:r>
      <w:r w:rsidRPr="002029AF">
        <w:t>contracts</w:t>
      </w:r>
      <w:r w:rsidR="000A5329" w:rsidRPr="002029AF">
        <w:t xml:space="preserve"> </w:t>
      </w:r>
      <w:r w:rsidRPr="002029AF">
        <w:t>entered</w:t>
      </w:r>
      <w:r w:rsidR="000A5329" w:rsidRPr="002029AF">
        <w:t xml:space="preserve"> </w:t>
      </w:r>
      <w:r w:rsidRPr="002029AF">
        <w:t>into</w:t>
      </w:r>
      <w:r w:rsidR="000A5329" w:rsidRPr="002029AF">
        <w:t xml:space="preserve"> </w:t>
      </w:r>
      <w:r w:rsidRPr="002029AF">
        <w:t>or</w:t>
      </w:r>
      <w:r w:rsidR="000A5329" w:rsidRPr="002029AF">
        <w:t xml:space="preserve"> </w:t>
      </w:r>
      <w:r w:rsidRPr="002029AF">
        <w:t>changed</w:t>
      </w:r>
      <w:r w:rsidR="000A5329" w:rsidRPr="002029AF">
        <w:t xml:space="preserve"> </w:t>
      </w:r>
      <w:r w:rsidRPr="002029AF">
        <w:t>on</w:t>
      </w:r>
      <w:r w:rsidR="000A5329" w:rsidRPr="002029AF">
        <w:t xml:space="preserve"> </w:t>
      </w:r>
      <w:r w:rsidRPr="002029AF">
        <w:t>or</w:t>
      </w:r>
      <w:r w:rsidR="000A5329" w:rsidRPr="002029AF">
        <w:t xml:space="preserve"> </w:t>
      </w:r>
      <w:r w:rsidRPr="002029AF">
        <w:t>after</w:t>
      </w:r>
      <w:r w:rsidR="000A5329" w:rsidRPr="002029AF">
        <w:t xml:space="preserve"> </w:t>
      </w:r>
      <w:r w:rsidRPr="002029AF">
        <w:t>1</w:t>
      </w:r>
      <w:r w:rsidR="000A5329" w:rsidRPr="002029AF">
        <w:t xml:space="preserve"> </w:t>
      </w:r>
      <w:r w:rsidRPr="002029AF">
        <w:t>July</w:t>
      </w:r>
      <w:r w:rsidR="000A5329" w:rsidRPr="002029AF">
        <w:t xml:space="preserve"> </w:t>
      </w:r>
      <w:r w:rsidRPr="002029AF">
        <w:t>2019.</w:t>
      </w:r>
    </w:p>
    <w:p w14:paraId="555B1B26" w14:textId="4CDB81A6" w:rsidR="00087B91" w:rsidRPr="002029AF" w:rsidRDefault="00087B91" w:rsidP="00087B91">
      <w:pPr>
        <w:pStyle w:val="Heading6"/>
        <w:rPr>
          <w:rFonts w:eastAsia="Arial"/>
          <w:lang w:val="en-AU"/>
        </w:rPr>
      </w:pPr>
      <w:r w:rsidRPr="002029AF">
        <w:rPr>
          <w:rFonts w:eastAsia="Arial"/>
          <w:lang w:val="en-AU"/>
        </w:rPr>
        <w:t>Leases</w:t>
      </w:r>
      <w:r w:rsidR="000A5329" w:rsidRPr="002029AF">
        <w:rPr>
          <w:rFonts w:eastAsia="Arial"/>
          <w:lang w:val="en-AU"/>
        </w:rPr>
        <w:t xml:space="preserve"> </w:t>
      </w:r>
      <w:r w:rsidRPr="002029AF">
        <w:rPr>
          <w:rFonts w:eastAsia="Arial"/>
          <w:lang w:val="en-AU"/>
        </w:rPr>
        <w:t>classified</w:t>
      </w:r>
      <w:r w:rsidR="000A5329" w:rsidRPr="002029AF">
        <w:rPr>
          <w:rFonts w:eastAsia="Arial"/>
          <w:lang w:val="en-AU"/>
        </w:rPr>
        <w:t xml:space="preserve"> </w:t>
      </w:r>
      <w:r w:rsidRPr="002029AF">
        <w:rPr>
          <w:rFonts w:eastAsia="Arial"/>
          <w:lang w:val="en-AU"/>
        </w:rPr>
        <w:t>as</w:t>
      </w:r>
      <w:r w:rsidR="000A5329" w:rsidRPr="002029AF">
        <w:rPr>
          <w:rFonts w:eastAsia="Arial"/>
          <w:lang w:val="en-AU"/>
        </w:rPr>
        <w:t xml:space="preserve"> </w:t>
      </w:r>
      <w:r w:rsidRPr="002029AF">
        <w:rPr>
          <w:rFonts w:eastAsia="Arial"/>
          <w:lang w:val="en-AU"/>
        </w:rPr>
        <w:t>operating</w:t>
      </w:r>
      <w:r w:rsidR="000A5329" w:rsidRPr="002029AF">
        <w:rPr>
          <w:rFonts w:eastAsia="Arial"/>
          <w:lang w:val="en-AU"/>
        </w:rPr>
        <w:t xml:space="preserve"> </w:t>
      </w:r>
      <w:r w:rsidRPr="002029AF">
        <w:rPr>
          <w:rFonts w:eastAsia="Arial"/>
          <w:lang w:val="en-AU"/>
        </w:rPr>
        <w:t>leases</w:t>
      </w:r>
      <w:r w:rsidR="000A5329" w:rsidRPr="002029AF">
        <w:rPr>
          <w:rFonts w:eastAsia="Arial"/>
          <w:lang w:val="en-AU"/>
        </w:rPr>
        <w:t xml:space="preserve"> </w:t>
      </w:r>
      <w:r w:rsidRPr="002029AF">
        <w:rPr>
          <w:rFonts w:eastAsia="Arial"/>
          <w:lang w:val="en-AU"/>
        </w:rPr>
        <w:t>under</w:t>
      </w:r>
      <w:r w:rsidR="000A5329" w:rsidRPr="002029AF">
        <w:rPr>
          <w:rFonts w:eastAsia="Arial"/>
          <w:lang w:val="en-AU"/>
        </w:rPr>
        <w:t xml:space="preserve"> </w:t>
      </w:r>
      <w:r w:rsidRPr="002029AF">
        <w:rPr>
          <w:rFonts w:eastAsia="Arial"/>
          <w:lang w:val="en-AU"/>
        </w:rPr>
        <w:t>AASB</w:t>
      </w:r>
      <w:r w:rsidR="000A5329" w:rsidRPr="002029AF">
        <w:rPr>
          <w:rFonts w:eastAsia="Arial"/>
          <w:lang w:val="en-AU"/>
        </w:rPr>
        <w:t xml:space="preserve"> </w:t>
      </w:r>
      <w:r w:rsidRPr="002029AF">
        <w:rPr>
          <w:rFonts w:eastAsia="Arial"/>
          <w:lang w:val="en-AU"/>
        </w:rPr>
        <w:t>117</w:t>
      </w:r>
    </w:p>
    <w:p w14:paraId="232D6656" w14:textId="114981A0" w:rsidR="00087B91" w:rsidRPr="002029AF" w:rsidRDefault="00087B91" w:rsidP="00087B91">
      <w:pPr>
        <w:pStyle w:val="ARfinbody"/>
      </w:pPr>
      <w:r w:rsidRPr="002029AF">
        <w:t>As</w:t>
      </w:r>
      <w:r w:rsidR="000A5329" w:rsidRPr="002029AF">
        <w:t xml:space="preserve"> </w:t>
      </w:r>
      <w:r w:rsidRPr="002029AF">
        <w:t>a</w:t>
      </w:r>
      <w:r w:rsidR="000A5329" w:rsidRPr="002029AF">
        <w:t xml:space="preserve"> </w:t>
      </w:r>
      <w:r w:rsidRPr="002029AF">
        <w:t>lessee,</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previously</w:t>
      </w:r>
      <w:r w:rsidR="000A5329" w:rsidRPr="002029AF">
        <w:t xml:space="preserve"> </w:t>
      </w:r>
      <w:r w:rsidRPr="002029AF">
        <w:t>classified</w:t>
      </w:r>
      <w:r w:rsidR="000A5329" w:rsidRPr="002029AF">
        <w:t xml:space="preserve"> </w:t>
      </w:r>
      <w:r w:rsidRPr="002029AF">
        <w:t>leases</w:t>
      </w:r>
      <w:r w:rsidR="000A5329" w:rsidRPr="002029AF">
        <w:t xml:space="preserve"> </w:t>
      </w:r>
      <w:r w:rsidRPr="002029AF">
        <w:t>as</w:t>
      </w:r>
      <w:r w:rsidR="000A5329" w:rsidRPr="002029AF">
        <w:t xml:space="preserve"> </w:t>
      </w:r>
      <w:r w:rsidR="00471BB1" w:rsidRPr="002029AF">
        <w:t>operating,</w:t>
      </w:r>
      <w:r w:rsidR="000A5329" w:rsidRPr="002029AF">
        <w:t xml:space="preserve"> </w:t>
      </w:r>
      <w:r w:rsidRPr="002029AF">
        <w:t>or</w:t>
      </w:r>
      <w:r w:rsidR="000A5329" w:rsidRPr="002029AF">
        <w:t xml:space="preserve"> </w:t>
      </w:r>
      <w:r w:rsidRPr="002029AF">
        <w:t>finance</w:t>
      </w:r>
      <w:r w:rsidR="000A5329" w:rsidRPr="002029AF">
        <w:t xml:space="preserve"> </w:t>
      </w:r>
      <w:r w:rsidRPr="002029AF">
        <w:t>leases</w:t>
      </w:r>
      <w:r w:rsidR="000A5329" w:rsidRPr="002029AF">
        <w:t xml:space="preserve"> </w:t>
      </w:r>
      <w:r w:rsidRPr="002029AF">
        <w:t>based</w:t>
      </w:r>
      <w:r w:rsidR="000A5329" w:rsidRPr="002029AF">
        <w:t xml:space="preserve"> </w:t>
      </w:r>
      <w:r w:rsidRPr="002029AF">
        <w:t>on</w:t>
      </w:r>
      <w:r w:rsidR="000A5329" w:rsidRPr="002029AF">
        <w:t xml:space="preserve"> </w:t>
      </w:r>
      <w:r w:rsidRPr="002029AF">
        <w:t>its</w:t>
      </w:r>
      <w:r w:rsidR="000A5329" w:rsidRPr="002029AF">
        <w:t xml:space="preserve"> </w:t>
      </w:r>
      <w:r w:rsidRPr="002029AF">
        <w:t>assessment</w:t>
      </w:r>
      <w:r w:rsidR="000A5329" w:rsidRPr="002029AF">
        <w:t xml:space="preserve"> </w:t>
      </w:r>
      <w:r w:rsidRPr="002029AF">
        <w:t>of</w:t>
      </w:r>
      <w:r w:rsidR="000A5329" w:rsidRPr="002029AF">
        <w:t xml:space="preserve"> </w:t>
      </w:r>
      <w:r w:rsidRPr="002029AF">
        <w:t>whether</w:t>
      </w:r>
      <w:r w:rsidR="000A5329" w:rsidRPr="002029AF">
        <w:t xml:space="preserve"> </w:t>
      </w:r>
      <w:r w:rsidRPr="002029AF">
        <w:t>the</w:t>
      </w:r>
      <w:r w:rsidR="000A5329" w:rsidRPr="002029AF">
        <w:t xml:space="preserve"> </w:t>
      </w:r>
      <w:r w:rsidRPr="002029AF">
        <w:t>lease</w:t>
      </w:r>
      <w:r w:rsidR="000A5329" w:rsidRPr="002029AF">
        <w:t xml:space="preserve"> </w:t>
      </w:r>
      <w:r w:rsidRPr="002029AF">
        <w:t>transferred</w:t>
      </w:r>
      <w:r w:rsidR="000A5329" w:rsidRPr="002029AF">
        <w:t xml:space="preserve"> </w:t>
      </w:r>
      <w:r w:rsidRPr="002029AF">
        <w:t>significantly</w:t>
      </w:r>
      <w:r w:rsidR="000A5329" w:rsidRPr="002029AF">
        <w:t xml:space="preserve"> </w:t>
      </w:r>
      <w:r w:rsidRPr="002029AF">
        <w:t>all</w:t>
      </w:r>
      <w:r w:rsidR="000A5329" w:rsidRPr="002029AF">
        <w:t xml:space="preserve"> </w:t>
      </w:r>
      <w:r w:rsidRPr="002029AF">
        <w:t>of</w:t>
      </w:r>
      <w:r w:rsidR="000A5329" w:rsidRPr="002029AF">
        <w:t xml:space="preserve"> </w:t>
      </w:r>
      <w:r w:rsidRPr="002029AF">
        <w:t>the</w:t>
      </w:r>
      <w:r w:rsidR="000A5329" w:rsidRPr="002029AF">
        <w:t xml:space="preserve"> </w:t>
      </w:r>
      <w:r w:rsidRPr="002029AF">
        <w:t>risks</w:t>
      </w:r>
      <w:r w:rsidR="000A5329" w:rsidRPr="002029AF">
        <w:t xml:space="preserve"> </w:t>
      </w:r>
      <w:r w:rsidRPr="002029AF">
        <w:t>and</w:t>
      </w:r>
      <w:r w:rsidR="000A5329" w:rsidRPr="002029AF">
        <w:t xml:space="preserve"> </w:t>
      </w:r>
      <w:r w:rsidRPr="002029AF">
        <w:t>rewards</w:t>
      </w:r>
      <w:r w:rsidR="000A5329" w:rsidRPr="002029AF">
        <w:t xml:space="preserve"> </w:t>
      </w:r>
      <w:r w:rsidRPr="002029AF">
        <w:t>incidental</w:t>
      </w:r>
      <w:r w:rsidR="000A5329" w:rsidRPr="002029AF">
        <w:t xml:space="preserve"> </w:t>
      </w:r>
      <w:r w:rsidRPr="002029AF">
        <w:t>to</w:t>
      </w:r>
      <w:r w:rsidR="000A5329" w:rsidRPr="002029AF">
        <w:t xml:space="preserve"> </w:t>
      </w:r>
      <w:r w:rsidRPr="002029AF">
        <w:t>ownership</w:t>
      </w:r>
      <w:r w:rsidR="000A5329" w:rsidRPr="002029AF">
        <w:t xml:space="preserve"> </w:t>
      </w:r>
      <w:r w:rsidRPr="002029AF">
        <w:t>of</w:t>
      </w:r>
      <w:r w:rsidR="000A5329" w:rsidRPr="002029AF">
        <w:t xml:space="preserve"> </w:t>
      </w:r>
      <w:r w:rsidRPr="002029AF">
        <w:t>the</w:t>
      </w:r>
      <w:r w:rsidR="000A5329" w:rsidRPr="002029AF">
        <w:t xml:space="preserve"> </w:t>
      </w:r>
      <w:r w:rsidRPr="002029AF">
        <w:t>underlying</w:t>
      </w:r>
      <w:r w:rsidR="000A5329" w:rsidRPr="002029AF">
        <w:t xml:space="preserve"> </w:t>
      </w:r>
      <w:r w:rsidRPr="002029AF">
        <w:t>asset</w:t>
      </w:r>
      <w:r w:rsidR="000A5329" w:rsidRPr="002029AF">
        <w:t xml:space="preserve"> </w:t>
      </w:r>
      <w:r w:rsidRPr="002029AF">
        <w:t>to</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Under</w:t>
      </w:r>
      <w:r w:rsidR="000A5329" w:rsidRPr="002029AF">
        <w:t xml:space="preserve"> </w:t>
      </w:r>
      <w:r w:rsidRPr="002029AF">
        <w:t>AASB</w:t>
      </w:r>
      <w:r w:rsidR="000A5329" w:rsidRPr="002029AF">
        <w:t xml:space="preserve"> </w:t>
      </w:r>
      <w:r w:rsidRPr="002029AF">
        <w:t>16,</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recognises</w:t>
      </w:r>
      <w:r w:rsidR="000A5329" w:rsidRPr="002029AF">
        <w:t xml:space="preserve"> </w:t>
      </w:r>
      <w:r w:rsidRPr="002029AF">
        <w:t>right-of-use</w:t>
      </w:r>
      <w:r w:rsidR="000A5329" w:rsidRPr="002029AF">
        <w:t xml:space="preserve"> </w:t>
      </w:r>
      <w:r w:rsidRPr="002029AF">
        <w:t>assets</w:t>
      </w:r>
      <w:r w:rsidR="000A5329" w:rsidRPr="002029AF">
        <w:t xml:space="preserve"> </w:t>
      </w:r>
      <w:r w:rsidRPr="002029AF">
        <w:t>and</w:t>
      </w:r>
      <w:r w:rsidR="000A5329" w:rsidRPr="002029AF">
        <w:t xml:space="preserve"> </w:t>
      </w:r>
      <w:r w:rsidRPr="002029AF">
        <w:t>lease</w:t>
      </w:r>
      <w:r w:rsidR="000A5329" w:rsidRPr="002029AF">
        <w:t xml:space="preserve"> </w:t>
      </w:r>
      <w:r w:rsidRPr="002029AF">
        <w:t>liabilities</w:t>
      </w:r>
      <w:r w:rsidR="000A5329" w:rsidRPr="002029AF">
        <w:t xml:space="preserve"> </w:t>
      </w:r>
      <w:r w:rsidRPr="002029AF">
        <w:t>for</w:t>
      </w:r>
      <w:r w:rsidR="000A5329" w:rsidRPr="002029AF">
        <w:t xml:space="preserve"> </w:t>
      </w:r>
      <w:r w:rsidRPr="002029AF">
        <w:t>all</w:t>
      </w:r>
      <w:r w:rsidR="000A5329" w:rsidRPr="002029AF">
        <w:t xml:space="preserve"> </w:t>
      </w:r>
      <w:r w:rsidRPr="002029AF">
        <w:t>leases</w:t>
      </w:r>
      <w:r w:rsidR="000A5329" w:rsidRPr="002029AF">
        <w:t xml:space="preserve"> </w:t>
      </w:r>
      <w:r w:rsidRPr="002029AF">
        <w:t>except</w:t>
      </w:r>
      <w:r w:rsidR="000A5329" w:rsidRPr="002029AF">
        <w:t xml:space="preserve"> </w:t>
      </w:r>
      <w:r w:rsidRPr="002029AF">
        <w:t>where</w:t>
      </w:r>
      <w:r w:rsidR="000A5329" w:rsidRPr="002029AF">
        <w:t xml:space="preserve"> </w:t>
      </w:r>
      <w:r w:rsidRPr="002029AF">
        <w:t>exemption</w:t>
      </w:r>
      <w:r w:rsidR="000A5329" w:rsidRPr="002029AF">
        <w:t xml:space="preserve"> </w:t>
      </w:r>
      <w:r w:rsidRPr="002029AF">
        <w:t>is</w:t>
      </w:r>
      <w:r w:rsidR="000A5329" w:rsidRPr="002029AF">
        <w:t xml:space="preserve"> </w:t>
      </w:r>
      <w:r w:rsidRPr="002029AF">
        <w:t>availed</w:t>
      </w:r>
      <w:r w:rsidR="000A5329" w:rsidRPr="002029AF">
        <w:t xml:space="preserve"> </w:t>
      </w:r>
      <w:r w:rsidRPr="002029AF">
        <w:t>in</w:t>
      </w:r>
      <w:r w:rsidR="000A5329" w:rsidRPr="002029AF">
        <w:t xml:space="preserve"> </w:t>
      </w:r>
      <w:r w:rsidRPr="002029AF">
        <w:t>respect</w:t>
      </w:r>
      <w:r w:rsidR="000A5329" w:rsidRPr="002029AF">
        <w:t xml:space="preserve"> </w:t>
      </w:r>
      <w:r w:rsidRPr="002029AF">
        <w:t>of</w:t>
      </w:r>
      <w:r w:rsidR="000A5329" w:rsidRPr="002029AF">
        <w:t xml:space="preserve"> </w:t>
      </w:r>
      <w:r w:rsidRPr="002029AF">
        <w:t>short-term</w:t>
      </w:r>
      <w:r w:rsidR="000A5329" w:rsidRPr="002029AF">
        <w:t xml:space="preserve"> </w:t>
      </w:r>
      <w:r w:rsidRPr="002029AF">
        <w:t>and</w:t>
      </w:r>
      <w:r w:rsidR="000A5329" w:rsidRPr="002029AF">
        <w:t xml:space="preserve"> </w:t>
      </w:r>
      <w:r w:rsidRPr="002029AF">
        <w:t>low</w:t>
      </w:r>
      <w:r w:rsidR="000A5329" w:rsidRPr="002029AF">
        <w:t xml:space="preserve"> </w:t>
      </w:r>
      <w:r w:rsidRPr="002029AF">
        <w:t>value</w:t>
      </w:r>
      <w:r w:rsidR="000A5329" w:rsidRPr="002029AF">
        <w:t xml:space="preserve"> </w:t>
      </w:r>
      <w:r w:rsidRPr="002029AF">
        <w:t>leases.</w:t>
      </w:r>
    </w:p>
    <w:p w14:paraId="1FBBA971" w14:textId="18076468" w:rsidR="00087B91" w:rsidRPr="002029AF" w:rsidRDefault="00087B91" w:rsidP="00087B91">
      <w:pPr>
        <w:pStyle w:val="ARfinbody"/>
      </w:pPr>
      <w:r w:rsidRPr="002029AF">
        <w:t>On</w:t>
      </w:r>
      <w:r w:rsidR="000A5329" w:rsidRPr="002029AF">
        <w:t xml:space="preserve"> </w:t>
      </w:r>
      <w:r w:rsidRPr="002029AF">
        <w:t>adoption</w:t>
      </w:r>
      <w:r w:rsidR="000A5329" w:rsidRPr="002029AF">
        <w:t xml:space="preserve"> </w:t>
      </w:r>
      <w:r w:rsidRPr="002029AF">
        <w:t>of</w:t>
      </w:r>
      <w:r w:rsidR="000A5329" w:rsidRPr="002029AF">
        <w:t xml:space="preserve"> </w:t>
      </w:r>
      <w:r w:rsidRPr="002029AF">
        <w:t>AASB</w:t>
      </w:r>
      <w:r w:rsidR="000A5329" w:rsidRPr="002029AF">
        <w:t xml:space="preserve"> </w:t>
      </w:r>
      <w:r w:rsidRPr="002029AF">
        <w:t>16,</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recognised</w:t>
      </w:r>
      <w:r w:rsidR="000A5329" w:rsidRPr="002029AF">
        <w:t xml:space="preserve"> </w:t>
      </w:r>
      <w:r w:rsidRPr="002029AF">
        <w:t>lease</w:t>
      </w:r>
      <w:r w:rsidR="000A5329" w:rsidRPr="002029AF">
        <w:t xml:space="preserve"> </w:t>
      </w:r>
      <w:r w:rsidRPr="002029AF">
        <w:t>liabilities</w:t>
      </w:r>
      <w:r w:rsidR="000A5329" w:rsidRPr="002029AF">
        <w:t xml:space="preserve"> </w:t>
      </w:r>
      <w:r w:rsidRPr="002029AF">
        <w:t>in</w:t>
      </w:r>
      <w:r w:rsidR="000A5329" w:rsidRPr="002029AF">
        <w:t xml:space="preserve"> </w:t>
      </w:r>
      <w:r w:rsidRPr="002029AF">
        <w:t>relation</w:t>
      </w:r>
      <w:r w:rsidR="000A5329" w:rsidRPr="002029AF">
        <w:t xml:space="preserve"> </w:t>
      </w:r>
      <w:r w:rsidRPr="002029AF">
        <w:t>to</w:t>
      </w:r>
      <w:r w:rsidR="000A5329" w:rsidRPr="002029AF">
        <w:t xml:space="preserve"> </w:t>
      </w:r>
      <w:r w:rsidRPr="002029AF">
        <w:t>leases</w:t>
      </w:r>
      <w:r w:rsidR="000A5329" w:rsidRPr="002029AF">
        <w:t xml:space="preserve"> </w:t>
      </w:r>
      <w:r w:rsidRPr="002029AF">
        <w:t>which</w:t>
      </w:r>
      <w:r w:rsidR="000A5329" w:rsidRPr="002029AF">
        <w:t xml:space="preserve"> </w:t>
      </w:r>
      <w:r w:rsidRPr="002029AF">
        <w:t>had</w:t>
      </w:r>
      <w:r w:rsidR="000A5329" w:rsidRPr="002029AF">
        <w:t xml:space="preserve"> </w:t>
      </w:r>
      <w:r w:rsidRPr="002029AF">
        <w:t>previously</w:t>
      </w:r>
      <w:r w:rsidR="000A5329" w:rsidRPr="002029AF">
        <w:t xml:space="preserve"> </w:t>
      </w:r>
      <w:r w:rsidRPr="002029AF">
        <w:t>been</w:t>
      </w:r>
      <w:r w:rsidR="000A5329" w:rsidRPr="002029AF">
        <w:t xml:space="preserve"> </w:t>
      </w:r>
      <w:r w:rsidRPr="002029AF">
        <w:t>classified</w:t>
      </w:r>
      <w:r w:rsidR="000A5329" w:rsidRPr="002029AF">
        <w:t xml:space="preserve"> </w:t>
      </w:r>
      <w:r w:rsidRPr="002029AF">
        <w:t>as</w:t>
      </w:r>
      <w:r w:rsidR="000A5329" w:rsidRPr="002029AF">
        <w:t xml:space="preserve"> </w:t>
      </w:r>
      <w:r w:rsidRPr="002029AF">
        <w:t>operating</w:t>
      </w:r>
      <w:r w:rsidR="000A5329" w:rsidRPr="002029AF">
        <w:t xml:space="preserve"> </w:t>
      </w:r>
      <w:r w:rsidRPr="002029AF">
        <w:t>leases</w:t>
      </w:r>
      <w:r w:rsidR="000A5329" w:rsidRPr="002029AF">
        <w:t xml:space="preserve"> </w:t>
      </w:r>
      <w:r w:rsidRPr="002029AF">
        <w:t>under</w:t>
      </w:r>
      <w:r w:rsidR="000A5329" w:rsidRPr="002029AF">
        <w:t xml:space="preserve"> </w:t>
      </w:r>
      <w:r w:rsidRPr="002029AF">
        <w:t>the</w:t>
      </w:r>
      <w:r w:rsidR="000A5329" w:rsidRPr="002029AF">
        <w:t xml:space="preserve"> </w:t>
      </w:r>
      <w:r w:rsidRPr="002029AF">
        <w:t>principles</w:t>
      </w:r>
      <w:r w:rsidR="000A5329" w:rsidRPr="002029AF">
        <w:t xml:space="preserve"> </w:t>
      </w:r>
      <w:r w:rsidRPr="002029AF">
        <w:t>of</w:t>
      </w:r>
      <w:r w:rsidR="000A5329" w:rsidRPr="002029AF">
        <w:t xml:space="preserve"> </w:t>
      </w:r>
      <w:r w:rsidRPr="002029AF">
        <w:t>AASB</w:t>
      </w:r>
      <w:r w:rsidR="000A5329" w:rsidRPr="002029AF">
        <w:t xml:space="preserve"> </w:t>
      </w:r>
      <w:r w:rsidRPr="002029AF">
        <w:t>117</w:t>
      </w:r>
      <w:r w:rsidR="000A5329" w:rsidRPr="002029AF">
        <w:t xml:space="preserve"> </w:t>
      </w:r>
      <w:r w:rsidRPr="002029AF">
        <w:rPr>
          <w:rStyle w:val="Emphasis"/>
        </w:rPr>
        <w:t>Leases.</w:t>
      </w:r>
      <w:r w:rsidR="000A5329" w:rsidRPr="002029AF">
        <w:t xml:space="preserve"> </w:t>
      </w:r>
      <w:r w:rsidRPr="002029AF">
        <w:t>These</w:t>
      </w:r>
      <w:r w:rsidR="000A5329" w:rsidRPr="002029AF">
        <w:t xml:space="preserve"> </w:t>
      </w:r>
      <w:r w:rsidRPr="002029AF">
        <w:t>liabilities</w:t>
      </w:r>
      <w:r w:rsidR="000A5329" w:rsidRPr="002029AF">
        <w:t xml:space="preserve"> </w:t>
      </w:r>
      <w:r w:rsidRPr="002029AF">
        <w:t>were</w:t>
      </w:r>
      <w:r w:rsidR="000A5329" w:rsidRPr="002029AF">
        <w:t xml:space="preserve"> </w:t>
      </w:r>
      <w:r w:rsidRPr="002029AF">
        <w:t>measured</w:t>
      </w:r>
      <w:r w:rsidR="000A5329" w:rsidRPr="002029AF">
        <w:t xml:space="preserve"> </w:t>
      </w:r>
      <w:r w:rsidRPr="002029AF">
        <w:t>at</w:t>
      </w:r>
      <w:r w:rsidR="000A5329" w:rsidRPr="002029AF">
        <w:t xml:space="preserve"> </w:t>
      </w:r>
      <w:r w:rsidRPr="002029AF">
        <w:t>the</w:t>
      </w:r>
      <w:r w:rsidR="000A5329" w:rsidRPr="002029AF">
        <w:t xml:space="preserve"> </w:t>
      </w:r>
      <w:r w:rsidRPr="002029AF">
        <w:t>present</w:t>
      </w:r>
      <w:r w:rsidR="000A5329" w:rsidRPr="002029AF">
        <w:t xml:space="preserve"> </w:t>
      </w:r>
      <w:r w:rsidRPr="002029AF">
        <w:t>value</w:t>
      </w:r>
      <w:r w:rsidR="000A5329" w:rsidRPr="002029AF">
        <w:t xml:space="preserve"> </w:t>
      </w:r>
      <w:r w:rsidRPr="002029AF">
        <w:t>of</w:t>
      </w:r>
      <w:r w:rsidR="000A5329" w:rsidRPr="002029AF">
        <w:t xml:space="preserve"> </w:t>
      </w:r>
      <w:r w:rsidRPr="002029AF">
        <w:t>the</w:t>
      </w:r>
      <w:r w:rsidR="000A5329" w:rsidRPr="002029AF">
        <w:t xml:space="preserve"> </w:t>
      </w:r>
      <w:r w:rsidRPr="002029AF">
        <w:t>remaining</w:t>
      </w:r>
      <w:r w:rsidR="000A5329" w:rsidRPr="002029AF">
        <w:t xml:space="preserve"> </w:t>
      </w:r>
      <w:r w:rsidRPr="002029AF">
        <w:t>lease</w:t>
      </w:r>
      <w:r w:rsidR="000A5329" w:rsidRPr="002029AF">
        <w:t xml:space="preserve"> </w:t>
      </w:r>
      <w:r w:rsidRPr="002029AF">
        <w:t>payments,</w:t>
      </w:r>
      <w:r w:rsidR="000A5329" w:rsidRPr="002029AF">
        <w:t xml:space="preserve"> </w:t>
      </w:r>
      <w:r w:rsidRPr="002029AF">
        <w:t>discounted</w:t>
      </w:r>
      <w:r w:rsidR="000A5329" w:rsidRPr="002029AF">
        <w:t xml:space="preserve"> </w:t>
      </w:r>
      <w:r w:rsidRPr="002029AF">
        <w:t>using</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incremental</w:t>
      </w:r>
      <w:r w:rsidR="000A5329" w:rsidRPr="002029AF">
        <w:t xml:space="preserve"> </w:t>
      </w:r>
      <w:r w:rsidRPr="002029AF">
        <w:t>borrowing</w:t>
      </w:r>
      <w:r w:rsidR="000A5329" w:rsidRPr="002029AF">
        <w:t xml:space="preserve"> </w:t>
      </w:r>
      <w:r w:rsidRPr="002029AF">
        <w:t>rate</w:t>
      </w:r>
      <w:r w:rsidR="000A5329" w:rsidRPr="002029AF">
        <w:t xml:space="preserve"> </w:t>
      </w:r>
      <w:r w:rsidRPr="002029AF">
        <w:t>as</w:t>
      </w:r>
      <w:r w:rsidR="000A5329" w:rsidRPr="002029AF">
        <w:t xml:space="preserve"> </w:t>
      </w:r>
      <w:r w:rsidRPr="002029AF">
        <w:t>of</w:t>
      </w:r>
      <w:r w:rsidR="000A5329" w:rsidRPr="002029AF">
        <w:t xml:space="preserve"> </w:t>
      </w:r>
      <w:r w:rsidRPr="002029AF">
        <w:t>1</w:t>
      </w:r>
      <w:r w:rsidR="000A5329" w:rsidRPr="002029AF">
        <w:t xml:space="preserve"> </w:t>
      </w:r>
      <w:r w:rsidRPr="002029AF">
        <w:t>July</w:t>
      </w:r>
      <w:r w:rsidR="000A5329" w:rsidRPr="002029AF">
        <w:t xml:space="preserve"> </w:t>
      </w:r>
      <w:r w:rsidRPr="002029AF">
        <w:t>2019.</w:t>
      </w:r>
      <w:r w:rsidR="000A5329" w:rsidRPr="002029AF">
        <w:t xml:space="preserve"> </w:t>
      </w:r>
      <w:r w:rsidRPr="002029AF">
        <w:t>On</w:t>
      </w:r>
      <w:r w:rsidR="000A5329" w:rsidRPr="002029AF">
        <w:t xml:space="preserve"> </w:t>
      </w:r>
      <w:r w:rsidRPr="002029AF">
        <w:t>transition,</w:t>
      </w:r>
      <w:r w:rsidR="000A5329" w:rsidRPr="002029AF">
        <w:t xml:space="preserve"> </w:t>
      </w:r>
      <w:r w:rsidRPr="002029AF">
        <w:t>right-of-use</w:t>
      </w:r>
      <w:r w:rsidR="000A5329" w:rsidRPr="002029AF">
        <w:t xml:space="preserve"> </w:t>
      </w:r>
      <w:r w:rsidRPr="002029AF">
        <w:t>assets</w:t>
      </w:r>
      <w:r w:rsidR="000A5329" w:rsidRPr="002029AF">
        <w:t xml:space="preserve"> </w:t>
      </w:r>
      <w:r w:rsidRPr="002029AF">
        <w:t>are</w:t>
      </w:r>
      <w:r w:rsidR="000A5329" w:rsidRPr="002029AF">
        <w:t xml:space="preserve"> </w:t>
      </w:r>
      <w:r w:rsidRPr="002029AF">
        <w:t>measured</w:t>
      </w:r>
      <w:r w:rsidR="000A5329" w:rsidRPr="002029AF">
        <w:t xml:space="preserve"> </w:t>
      </w:r>
      <w:r w:rsidRPr="002029AF">
        <w:t>at</w:t>
      </w:r>
      <w:r w:rsidR="000A5329" w:rsidRPr="002029AF">
        <w:t xml:space="preserve"> </w:t>
      </w:r>
      <w:r w:rsidRPr="002029AF">
        <w:t>the</w:t>
      </w:r>
      <w:r w:rsidR="000A5329" w:rsidRPr="002029AF">
        <w:t xml:space="preserve"> </w:t>
      </w:r>
      <w:r w:rsidRPr="002029AF">
        <w:t>amount</w:t>
      </w:r>
      <w:r w:rsidR="000A5329" w:rsidRPr="002029AF">
        <w:t xml:space="preserve"> </w:t>
      </w:r>
      <w:r w:rsidRPr="002029AF">
        <w:t>equal</w:t>
      </w:r>
      <w:r w:rsidR="000A5329" w:rsidRPr="002029AF">
        <w:t xml:space="preserve"> </w:t>
      </w:r>
      <w:r w:rsidRPr="002029AF">
        <w:t>to</w:t>
      </w:r>
      <w:r w:rsidR="000A5329" w:rsidRPr="002029AF">
        <w:t xml:space="preserve"> </w:t>
      </w:r>
      <w:r w:rsidRPr="002029AF">
        <w:t>the</w:t>
      </w:r>
      <w:r w:rsidR="000A5329" w:rsidRPr="002029AF">
        <w:t xml:space="preserve"> </w:t>
      </w:r>
      <w:r w:rsidRPr="002029AF">
        <w:t>lease</w:t>
      </w:r>
      <w:r w:rsidR="000A5329" w:rsidRPr="002029AF">
        <w:t xml:space="preserve"> </w:t>
      </w:r>
      <w:r w:rsidRPr="002029AF">
        <w:t>liability,</w:t>
      </w:r>
      <w:r w:rsidR="000A5329" w:rsidRPr="002029AF">
        <w:t xml:space="preserve"> </w:t>
      </w:r>
      <w:r w:rsidRPr="002029AF">
        <w:t>adjusted</w:t>
      </w:r>
      <w:r w:rsidR="000A5329" w:rsidRPr="002029AF">
        <w:t xml:space="preserve"> </w:t>
      </w:r>
      <w:r w:rsidRPr="002029AF">
        <w:t>by</w:t>
      </w:r>
      <w:r w:rsidR="000A5329" w:rsidRPr="002029AF">
        <w:t xml:space="preserve"> </w:t>
      </w:r>
      <w:r w:rsidRPr="002029AF">
        <w:t>the</w:t>
      </w:r>
      <w:r w:rsidR="000A5329" w:rsidRPr="002029AF">
        <w:t xml:space="preserve"> </w:t>
      </w:r>
      <w:r w:rsidRPr="002029AF">
        <w:t>amount</w:t>
      </w:r>
      <w:r w:rsidR="000A5329" w:rsidRPr="002029AF">
        <w:t xml:space="preserve"> </w:t>
      </w:r>
      <w:r w:rsidRPr="002029AF">
        <w:t>of</w:t>
      </w:r>
      <w:r w:rsidR="000A5329" w:rsidRPr="002029AF">
        <w:t xml:space="preserve"> </w:t>
      </w:r>
      <w:r w:rsidRPr="002029AF">
        <w:t>any</w:t>
      </w:r>
      <w:r w:rsidR="000A5329" w:rsidRPr="002029AF">
        <w:t xml:space="preserve"> </w:t>
      </w:r>
      <w:r w:rsidRPr="002029AF">
        <w:t>prepaid</w:t>
      </w:r>
      <w:r w:rsidR="000A5329" w:rsidRPr="002029AF">
        <w:t xml:space="preserve"> </w:t>
      </w:r>
      <w:r w:rsidRPr="002029AF">
        <w:t>or</w:t>
      </w:r>
      <w:r w:rsidR="000A5329" w:rsidRPr="002029AF">
        <w:t xml:space="preserve"> </w:t>
      </w:r>
      <w:r w:rsidRPr="002029AF">
        <w:t>accrued</w:t>
      </w:r>
      <w:r w:rsidR="000A5329" w:rsidRPr="002029AF">
        <w:t xml:space="preserve"> </w:t>
      </w:r>
      <w:r w:rsidRPr="002029AF">
        <w:t>lease</w:t>
      </w:r>
      <w:r w:rsidR="000A5329" w:rsidRPr="002029AF">
        <w:t xml:space="preserve"> </w:t>
      </w:r>
      <w:r w:rsidRPr="002029AF">
        <w:t>payments</w:t>
      </w:r>
      <w:r w:rsidR="000A5329" w:rsidRPr="002029AF">
        <w:t xml:space="preserve"> </w:t>
      </w:r>
      <w:r w:rsidRPr="002029AF">
        <w:t>relating</w:t>
      </w:r>
      <w:r w:rsidR="000A5329" w:rsidRPr="002029AF">
        <w:t xml:space="preserve"> </w:t>
      </w:r>
      <w:r w:rsidRPr="002029AF">
        <w:t>to</w:t>
      </w:r>
      <w:r w:rsidR="000A5329" w:rsidRPr="002029AF">
        <w:t xml:space="preserve"> </w:t>
      </w:r>
      <w:r w:rsidRPr="002029AF">
        <w:t>that</w:t>
      </w:r>
      <w:r w:rsidR="000A5329" w:rsidRPr="002029AF">
        <w:t xml:space="preserve"> </w:t>
      </w:r>
      <w:r w:rsidRPr="002029AF">
        <w:t>lease</w:t>
      </w:r>
      <w:r w:rsidR="000A5329" w:rsidRPr="002029AF">
        <w:t xml:space="preserve"> </w:t>
      </w:r>
      <w:r w:rsidRPr="002029AF">
        <w:t>recognised</w:t>
      </w:r>
      <w:r w:rsidR="000A5329" w:rsidRPr="002029AF">
        <w:t xml:space="preserve"> </w:t>
      </w:r>
      <w:r w:rsidRPr="002029AF">
        <w:t>in</w:t>
      </w:r>
      <w:r w:rsidR="000A5329" w:rsidRPr="002029AF">
        <w:t xml:space="preserve"> </w:t>
      </w:r>
      <w:r w:rsidRPr="002029AF">
        <w:t>the</w:t>
      </w:r>
      <w:r w:rsidR="000A5329" w:rsidRPr="002029AF">
        <w:t xml:space="preserve"> </w:t>
      </w:r>
      <w:r w:rsidRPr="002029AF">
        <w:t>balance</w:t>
      </w:r>
      <w:r w:rsidR="000A5329" w:rsidRPr="002029AF">
        <w:t xml:space="preserve"> </w:t>
      </w:r>
      <w:r w:rsidRPr="002029AF">
        <w:t>sheet</w:t>
      </w:r>
      <w:r w:rsidR="000A5329" w:rsidRPr="002029AF">
        <w:t xml:space="preserve"> </w:t>
      </w:r>
      <w:r w:rsidRPr="002029AF">
        <w:t>as</w:t>
      </w:r>
      <w:r w:rsidR="000A5329" w:rsidRPr="002029AF">
        <w:t xml:space="preserve"> </w:t>
      </w:r>
      <w:r w:rsidRPr="002029AF">
        <w:t>at</w:t>
      </w:r>
      <w:r w:rsidR="000A5329" w:rsidRPr="002029AF">
        <w:t xml:space="preserve"> </w:t>
      </w:r>
      <w:r w:rsidRPr="002029AF">
        <w:t>30</w:t>
      </w:r>
      <w:r w:rsidR="000A5329" w:rsidRPr="002029AF">
        <w:t xml:space="preserve"> </w:t>
      </w:r>
      <w:r w:rsidRPr="002029AF">
        <w:t>June</w:t>
      </w:r>
      <w:r w:rsidR="000A5329" w:rsidRPr="002029AF">
        <w:t xml:space="preserve"> </w:t>
      </w:r>
      <w:r w:rsidRPr="002029AF">
        <w:t>2019.</w:t>
      </w:r>
    </w:p>
    <w:p w14:paraId="7D60105D" w14:textId="23D00166" w:rsidR="00087B91" w:rsidRPr="002029AF" w:rsidRDefault="00087B91" w:rsidP="00087B91">
      <w:pPr>
        <w:pStyle w:val="ARfinbody"/>
      </w:pP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elected</w:t>
      </w:r>
      <w:r w:rsidR="000A5329" w:rsidRPr="002029AF">
        <w:t xml:space="preserve"> </w:t>
      </w:r>
      <w:r w:rsidRPr="002029AF">
        <w:t>to</w:t>
      </w:r>
      <w:r w:rsidR="000A5329" w:rsidRPr="002029AF">
        <w:t xml:space="preserve"> </w:t>
      </w:r>
      <w:r w:rsidRPr="002029AF">
        <w:t>apply</w:t>
      </w:r>
      <w:r w:rsidR="000A5329" w:rsidRPr="002029AF">
        <w:t xml:space="preserve"> </w:t>
      </w:r>
      <w:r w:rsidRPr="002029AF">
        <w:t>the</w:t>
      </w:r>
      <w:r w:rsidR="000A5329" w:rsidRPr="002029AF">
        <w:t xml:space="preserve"> </w:t>
      </w:r>
      <w:r w:rsidRPr="002029AF">
        <w:t>following</w:t>
      </w:r>
      <w:r w:rsidR="000A5329" w:rsidRPr="002029AF">
        <w:t xml:space="preserve"> </w:t>
      </w:r>
      <w:r w:rsidRPr="002029AF">
        <w:t>practical</w:t>
      </w:r>
      <w:r w:rsidR="000A5329" w:rsidRPr="002029AF">
        <w:t xml:space="preserve"> </w:t>
      </w:r>
      <w:r w:rsidRPr="002029AF">
        <w:t>expedients</w:t>
      </w:r>
      <w:r w:rsidR="000A5329" w:rsidRPr="002029AF">
        <w:t xml:space="preserve"> </w:t>
      </w:r>
      <w:r w:rsidRPr="002029AF">
        <w:t>when</w:t>
      </w:r>
      <w:r w:rsidR="000A5329" w:rsidRPr="002029AF">
        <w:t xml:space="preserve"> </w:t>
      </w:r>
      <w:r w:rsidRPr="002029AF">
        <w:t>applying</w:t>
      </w:r>
      <w:r w:rsidR="000A5329" w:rsidRPr="002029AF">
        <w:t xml:space="preserve"> </w:t>
      </w:r>
      <w:r w:rsidRPr="002029AF">
        <w:t>AASB</w:t>
      </w:r>
      <w:r w:rsidR="000A5329" w:rsidRPr="002029AF">
        <w:t xml:space="preserve"> </w:t>
      </w:r>
      <w:r w:rsidRPr="002029AF">
        <w:t>16</w:t>
      </w:r>
      <w:r w:rsidR="000A5329" w:rsidRPr="002029AF">
        <w:t xml:space="preserve"> </w:t>
      </w:r>
      <w:r w:rsidRPr="002029AF">
        <w:t>to</w:t>
      </w:r>
      <w:r w:rsidR="000A5329" w:rsidRPr="002029AF">
        <w:t xml:space="preserve"> </w:t>
      </w:r>
      <w:r w:rsidRPr="002029AF">
        <w:t>leases</w:t>
      </w:r>
      <w:r w:rsidR="000A5329" w:rsidRPr="002029AF">
        <w:t xml:space="preserve"> </w:t>
      </w:r>
      <w:r w:rsidRPr="002029AF">
        <w:t>previously</w:t>
      </w:r>
      <w:r w:rsidR="000A5329" w:rsidRPr="002029AF">
        <w:t xml:space="preserve"> </w:t>
      </w:r>
      <w:r w:rsidRPr="002029AF">
        <w:t>classified</w:t>
      </w:r>
      <w:r w:rsidR="000A5329" w:rsidRPr="002029AF">
        <w:t xml:space="preserve"> </w:t>
      </w:r>
      <w:r w:rsidRPr="002029AF">
        <w:t>as</w:t>
      </w:r>
      <w:r w:rsidR="000A5329" w:rsidRPr="002029AF">
        <w:t xml:space="preserve"> </w:t>
      </w:r>
      <w:r w:rsidRPr="002029AF">
        <w:t>operating</w:t>
      </w:r>
      <w:r w:rsidR="000A5329" w:rsidRPr="002029AF">
        <w:t xml:space="preserve"> </w:t>
      </w:r>
      <w:r w:rsidRPr="002029AF">
        <w:t>leases</w:t>
      </w:r>
      <w:r w:rsidR="000A5329" w:rsidRPr="002029AF">
        <w:t xml:space="preserve"> </w:t>
      </w:r>
      <w:r w:rsidRPr="002029AF">
        <w:t>under</w:t>
      </w:r>
      <w:r w:rsidR="000A5329" w:rsidRPr="002029AF">
        <w:t xml:space="preserve"> </w:t>
      </w:r>
      <w:r w:rsidRPr="002029AF">
        <w:t>AASB</w:t>
      </w:r>
      <w:r w:rsidR="000A5329" w:rsidRPr="002029AF">
        <w:t xml:space="preserve"> </w:t>
      </w:r>
      <w:r w:rsidRPr="002029AF">
        <w:t>117:</w:t>
      </w:r>
    </w:p>
    <w:p w14:paraId="6960C874" w14:textId="2ED493DF" w:rsidR="00087B91" w:rsidRPr="002029AF" w:rsidRDefault="00087B91" w:rsidP="00087B91">
      <w:pPr>
        <w:pStyle w:val="ARfinbullet1"/>
      </w:pPr>
      <w:r w:rsidRPr="002029AF">
        <w:t>Applied</w:t>
      </w:r>
      <w:r w:rsidR="000A5329" w:rsidRPr="002029AF">
        <w:t xml:space="preserve"> </w:t>
      </w:r>
      <w:r w:rsidRPr="002029AF">
        <w:t>a</w:t>
      </w:r>
      <w:r w:rsidR="000A5329" w:rsidRPr="002029AF">
        <w:t xml:space="preserve"> </w:t>
      </w:r>
      <w:r w:rsidRPr="002029AF">
        <w:t>single</w:t>
      </w:r>
      <w:r w:rsidR="000A5329" w:rsidRPr="002029AF">
        <w:t xml:space="preserve"> </w:t>
      </w:r>
      <w:r w:rsidRPr="002029AF">
        <w:t>discount</w:t>
      </w:r>
      <w:r w:rsidR="000A5329" w:rsidRPr="002029AF">
        <w:t xml:space="preserve"> </w:t>
      </w:r>
      <w:r w:rsidRPr="002029AF">
        <w:t>rate</w:t>
      </w:r>
      <w:r w:rsidR="000A5329" w:rsidRPr="002029AF">
        <w:t xml:space="preserve"> </w:t>
      </w:r>
      <w:r w:rsidRPr="002029AF">
        <w:t>to</w:t>
      </w:r>
      <w:r w:rsidR="000A5329" w:rsidRPr="002029AF">
        <w:t xml:space="preserve"> </w:t>
      </w:r>
      <w:r w:rsidRPr="002029AF">
        <w:t>a</w:t>
      </w:r>
      <w:r w:rsidR="000A5329" w:rsidRPr="002029AF">
        <w:t xml:space="preserve"> </w:t>
      </w:r>
      <w:r w:rsidRPr="002029AF">
        <w:t>portfolio</w:t>
      </w:r>
      <w:r w:rsidR="000A5329" w:rsidRPr="002029AF">
        <w:t xml:space="preserve"> </w:t>
      </w:r>
      <w:r w:rsidRPr="002029AF">
        <w:t>of</w:t>
      </w:r>
      <w:r w:rsidR="000A5329" w:rsidRPr="002029AF">
        <w:t xml:space="preserve"> </w:t>
      </w:r>
      <w:r w:rsidRPr="002029AF">
        <w:t>leases</w:t>
      </w:r>
      <w:r w:rsidR="000A5329" w:rsidRPr="002029AF">
        <w:t xml:space="preserve"> </w:t>
      </w:r>
      <w:r w:rsidRPr="002029AF">
        <w:t>with</w:t>
      </w:r>
      <w:r w:rsidR="000A5329" w:rsidRPr="002029AF">
        <w:t xml:space="preserve"> </w:t>
      </w:r>
      <w:r w:rsidRPr="002029AF">
        <w:t>similar</w:t>
      </w:r>
      <w:r w:rsidR="000A5329" w:rsidRPr="002029AF">
        <w:t xml:space="preserve"> </w:t>
      </w:r>
      <w:r w:rsidRPr="002029AF">
        <w:t>characteristics</w:t>
      </w:r>
    </w:p>
    <w:p w14:paraId="40F6EFF8" w14:textId="72A25529" w:rsidR="00087B91" w:rsidRPr="002029AF" w:rsidRDefault="00087B91" w:rsidP="00087B91">
      <w:pPr>
        <w:pStyle w:val="ARfinbullet1"/>
      </w:pPr>
      <w:r w:rsidRPr="002029AF">
        <w:t>Adjusted</w:t>
      </w:r>
      <w:r w:rsidR="000A5329" w:rsidRPr="002029AF">
        <w:t xml:space="preserve"> </w:t>
      </w:r>
      <w:r w:rsidRPr="002029AF">
        <w:t>the</w:t>
      </w:r>
      <w:r w:rsidR="000A5329" w:rsidRPr="002029AF">
        <w:t xml:space="preserve"> </w:t>
      </w:r>
      <w:r w:rsidRPr="002029AF">
        <w:t>right-of-use</w:t>
      </w:r>
      <w:r w:rsidR="000A5329" w:rsidRPr="002029AF">
        <w:t xml:space="preserve"> </w:t>
      </w:r>
      <w:r w:rsidRPr="002029AF">
        <w:t>assets</w:t>
      </w:r>
      <w:r w:rsidR="000A5329" w:rsidRPr="002029AF">
        <w:t xml:space="preserve"> </w:t>
      </w:r>
      <w:r w:rsidRPr="002029AF">
        <w:t>by</w:t>
      </w:r>
      <w:r w:rsidR="000A5329" w:rsidRPr="002029AF">
        <w:t xml:space="preserve"> </w:t>
      </w:r>
      <w:r w:rsidRPr="002029AF">
        <w:t>the</w:t>
      </w:r>
      <w:r w:rsidR="000A5329" w:rsidRPr="002029AF">
        <w:t xml:space="preserve"> </w:t>
      </w:r>
      <w:r w:rsidRPr="002029AF">
        <w:t>amount</w:t>
      </w:r>
      <w:r w:rsidR="000A5329" w:rsidRPr="002029AF">
        <w:t xml:space="preserve"> </w:t>
      </w:r>
      <w:r w:rsidRPr="002029AF">
        <w:t>of</w:t>
      </w:r>
      <w:r w:rsidR="000A5329" w:rsidRPr="002029AF">
        <w:t xml:space="preserve"> </w:t>
      </w:r>
      <w:r w:rsidRPr="002029AF">
        <w:t>AASB</w:t>
      </w:r>
      <w:r w:rsidR="000A5329" w:rsidRPr="002029AF">
        <w:t xml:space="preserve"> </w:t>
      </w:r>
      <w:r w:rsidRPr="002029AF">
        <w:t>137</w:t>
      </w:r>
      <w:r w:rsidR="000A5329" w:rsidRPr="002029AF">
        <w:t xml:space="preserve"> </w:t>
      </w:r>
      <w:r w:rsidRPr="002029AF">
        <w:t>onerous</w:t>
      </w:r>
      <w:r w:rsidR="000A5329" w:rsidRPr="002029AF">
        <w:t xml:space="preserve"> </w:t>
      </w:r>
      <w:r w:rsidRPr="002029AF">
        <w:t>contracts</w:t>
      </w:r>
      <w:r w:rsidR="000A5329" w:rsidRPr="002029AF">
        <w:t xml:space="preserve"> </w:t>
      </w:r>
      <w:r w:rsidRPr="002029AF">
        <w:t>provision</w:t>
      </w:r>
      <w:r w:rsidR="000A5329" w:rsidRPr="002029AF">
        <w:t xml:space="preserve"> </w:t>
      </w:r>
      <w:r w:rsidRPr="002029AF">
        <w:t>immediately</w:t>
      </w:r>
      <w:r w:rsidR="000A5329" w:rsidRPr="002029AF">
        <w:t xml:space="preserve"> </w:t>
      </w:r>
      <w:r w:rsidRPr="002029AF">
        <w:t>before</w:t>
      </w:r>
      <w:r w:rsidR="000A5329" w:rsidRPr="002029AF">
        <w:t xml:space="preserve"> </w:t>
      </w:r>
      <w:r w:rsidRPr="002029AF">
        <w:t>the</w:t>
      </w:r>
      <w:r w:rsidR="000A5329" w:rsidRPr="002029AF">
        <w:t xml:space="preserve"> </w:t>
      </w:r>
      <w:r w:rsidRPr="002029AF">
        <w:t>date</w:t>
      </w:r>
      <w:r w:rsidR="000A5329" w:rsidRPr="002029AF">
        <w:t xml:space="preserve"> </w:t>
      </w:r>
      <w:r w:rsidRPr="002029AF">
        <w:t>of</w:t>
      </w:r>
      <w:r w:rsidR="000A5329" w:rsidRPr="002029AF">
        <w:t xml:space="preserve"> </w:t>
      </w:r>
      <w:r w:rsidRPr="002029AF">
        <w:t>initial</w:t>
      </w:r>
      <w:r w:rsidR="000A5329" w:rsidRPr="002029AF">
        <w:t xml:space="preserve"> </w:t>
      </w:r>
      <w:r w:rsidRPr="002029AF">
        <w:t>application,</w:t>
      </w:r>
      <w:r w:rsidR="000A5329" w:rsidRPr="002029AF">
        <w:t xml:space="preserve"> </w:t>
      </w:r>
      <w:r w:rsidRPr="002029AF">
        <w:t>as</w:t>
      </w:r>
      <w:r w:rsidR="000A5329" w:rsidRPr="002029AF">
        <w:t xml:space="preserve"> </w:t>
      </w:r>
      <w:r w:rsidRPr="002029AF">
        <w:t>an</w:t>
      </w:r>
      <w:r w:rsidR="000A5329" w:rsidRPr="002029AF">
        <w:t xml:space="preserve"> </w:t>
      </w:r>
      <w:r w:rsidRPr="002029AF">
        <w:t>alternative</w:t>
      </w:r>
      <w:r w:rsidR="000A5329" w:rsidRPr="002029AF">
        <w:t xml:space="preserve"> </w:t>
      </w:r>
      <w:r w:rsidRPr="002029AF">
        <w:t>to</w:t>
      </w:r>
      <w:r w:rsidR="000A5329" w:rsidRPr="002029AF">
        <w:t xml:space="preserve"> </w:t>
      </w:r>
      <w:r w:rsidRPr="002029AF">
        <w:t>an</w:t>
      </w:r>
      <w:r w:rsidR="000A5329" w:rsidRPr="002029AF">
        <w:t xml:space="preserve"> </w:t>
      </w:r>
      <w:r w:rsidRPr="002029AF">
        <w:t>impairment</w:t>
      </w:r>
      <w:r w:rsidR="000A5329" w:rsidRPr="002029AF">
        <w:t xml:space="preserve"> </w:t>
      </w:r>
      <w:r w:rsidRPr="002029AF">
        <w:t>review</w:t>
      </w:r>
    </w:p>
    <w:p w14:paraId="5C60D129" w14:textId="5DC068FA" w:rsidR="00087B91" w:rsidRPr="002029AF" w:rsidRDefault="00087B91" w:rsidP="00087B91">
      <w:pPr>
        <w:pStyle w:val="ARfinbullet1"/>
      </w:pPr>
      <w:r w:rsidRPr="002029AF">
        <w:t>Applied</w:t>
      </w:r>
      <w:r w:rsidR="000A5329" w:rsidRPr="002029AF">
        <w:t xml:space="preserve"> </w:t>
      </w:r>
      <w:r w:rsidRPr="002029AF">
        <w:t>the</w:t>
      </w:r>
      <w:r w:rsidR="000A5329" w:rsidRPr="002029AF">
        <w:t xml:space="preserve"> </w:t>
      </w:r>
      <w:r w:rsidRPr="002029AF">
        <w:t>exemption</w:t>
      </w:r>
      <w:r w:rsidR="000A5329" w:rsidRPr="002029AF">
        <w:t xml:space="preserve"> </w:t>
      </w:r>
      <w:r w:rsidRPr="002029AF">
        <w:t>not</w:t>
      </w:r>
      <w:r w:rsidR="000A5329" w:rsidRPr="002029AF">
        <w:t xml:space="preserve"> </w:t>
      </w:r>
      <w:r w:rsidRPr="002029AF">
        <w:t>to</w:t>
      </w:r>
      <w:r w:rsidR="000A5329" w:rsidRPr="002029AF">
        <w:t xml:space="preserve"> </w:t>
      </w:r>
      <w:r w:rsidRPr="002029AF">
        <w:t>recognise</w:t>
      </w:r>
      <w:r w:rsidR="000A5329" w:rsidRPr="002029AF">
        <w:t xml:space="preserve"> </w:t>
      </w:r>
      <w:r w:rsidRPr="002029AF">
        <w:t>right-of-use</w:t>
      </w:r>
      <w:r w:rsidR="000A5329" w:rsidRPr="002029AF">
        <w:t xml:space="preserve"> </w:t>
      </w:r>
      <w:r w:rsidRPr="002029AF">
        <w:t>assets</w:t>
      </w:r>
      <w:r w:rsidR="000A5329" w:rsidRPr="002029AF">
        <w:t xml:space="preserve"> </w:t>
      </w:r>
      <w:r w:rsidRPr="002029AF">
        <w:t>and</w:t>
      </w:r>
      <w:r w:rsidR="000A5329" w:rsidRPr="002029AF">
        <w:t xml:space="preserve"> </w:t>
      </w:r>
      <w:r w:rsidRPr="002029AF">
        <w:t>liabilities</w:t>
      </w:r>
      <w:r w:rsidR="000A5329" w:rsidRPr="002029AF">
        <w:t xml:space="preserve"> </w:t>
      </w:r>
      <w:r w:rsidRPr="002029AF">
        <w:t>for</w:t>
      </w:r>
      <w:r w:rsidR="000A5329" w:rsidRPr="002029AF">
        <w:t xml:space="preserve"> </w:t>
      </w:r>
      <w:r w:rsidRPr="002029AF">
        <w:t>leases</w:t>
      </w:r>
      <w:r w:rsidR="000A5329" w:rsidRPr="002029AF">
        <w:t xml:space="preserve"> </w:t>
      </w:r>
      <w:r w:rsidRPr="002029AF">
        <w:t>with</w:t>
      </w:r>
      <w:r w:rsidR="000A5329" w:rsidRPr="002029AF">
        <w:t xml:space="preserve"> </w:t>
      </w:r>
      <w:r w:rsidRPr="002029AF">
        <w:t>less</w:t>
      </w:r>
      <w:r w:rsidR="000A5329" w:rsidRPr="002029AF">
        <w:t xml:space="preserve"> </w:t>
      </w:r>
      <w:r w:rsidRPr="002029AF">
        <w:t>than</w:t>
      </w:r>
      <w:r w:rsidR="000A5329" w:rsidRPr="002029AF">
        <w:t xml:space="preserve"> </w:t>
      </w:r>
      <w:r w:rsidRPr="002029AF">
        <w:t>12</w:t>
      </w:r>
      <w:r w:rsidR="000A5329" w:rsidRPr="002029AF">
        <w:t xml:space="preserve"> </w:t>
      </w:r>
      <w:r w:rsidRPr="002029AF">
        <w:t>months</w:t>
      </w:r>
      <w:r w:rsidR="000A5329" w:rsidRPr="002029AF">
        <w:t xml:space="preserve"> </w:t>
      </w:r>
      <w:r w:rsidRPr="002029AF">
        <w:t>of</w:t>
      </w:r>
      <w:r w:rsidR="000A5329" w:rsidRPr="002029AF">
        <w:t xml:space="preserve"> </w:t>
      </w:r>
      <w:r w:rsidRPr="002029AF">
        <w:t>lease</w:t>
      </w:r>
      <w:r w:rsidR="000A5329" w:rsidRPr="002029AF">
        <w:t xml:space="preserve"> </w:t>
      </w:r>
      <w:r w:rsidRPr="002029AF">
        <w:t>term</w:t>
      </w:r>
    </w:p>
    <w:p w14:paraId="09450A75" w14:textId="1A9D67B3" w:rsidR="00087B91" w:rsidRPr="002029AF" w:rsidRDefault="00087B91" w:rsidP="00087B91">
      <w:pPr>
        <w:pStyle w:val="ARfinbullet1"/>
      </w:pPr>
      <w:r w:rsidRPr="002029AF">
        <w:t>Excluded</w:t>
      </w:r>
      <w:r w:rsidR="000A5329" w:rsidRPr="002029AF">
        <w:t xml:space="preserve"> </w:t>
      </w:r>
      <w:r w:rsidRPr="002029AF">
        <w:t>initial</w:t>
      </w:r>
      <w:r w:rsidR="000A5329" w:rsidRPr="002029AF">
        <w:t xml:space="preserve"> </w:t>
      </w:r>
      <w:r w:rsidRPr="002029AF">
        <w:t>direct</w:t>
      </w:r>
      <w:r w:rsidR="000A5329" w:rsidRPr="002029AF">
        <w:t xml:space="preserve"> </w:t>
      </w:r>
      <w:r w:rsidRPr="002029AF">
        <w:t>costs</w:t>
      </w:r>
      <w:r w:rsidR="000A5329" w:rsidRPr="002029AF">
        <w:t xml:space="preserve"> </w:t>
      </w:r>
      <w:r w:rsidRPr="002029AF">
        <w:t>from</w:t>
      </w:r>
      <w:r w:rsidR="000A5329" w:rsidRPr="002029AF">
        <w:t xml:space="preserve"> </w:t>
      </w:r>
      <w:r w:rsidRPr="002029AF">
        <w:t>measuring</w:t>
      </w:r>
      <w:r w:rsidR="000A5329" w:rsidRPr="002029AF">
        <w:t xml:space="preserve"> </w:t>
      </w:r>
      <w:r w:rsidRPr="002029AF">
        <w:t>the</w:t>
      </w:r>
      <w:r w:rsidR="000A5329" w:rsidRPr="002029AF">
        <w:t xml:space="preserve"> </w:t>
      </w:r>
      <w:r w:rsidRPr="002029AF">
        <w:t>right-of-use</w:t>
      </w:r>
      <w:r w:rsidR="000A5329" w:rsidRPr="002029AF">
        <w:t xml:space="preserve"> </w:t>
      </w:r>
      <w:r w:rsidRPr="002029AF">
        <w:t>asset</w:t>
      </w:r>
      <w:r w:rsidR="000A5329" w:rsidRPr="002029AF">
        <w:t xml:space="preserve"> </w:t>
      </w:r>
      <w:r w:rsidRPr="002029AF">
        <w:t>at</w:t>
      </w:r>
      <w:r w:rsidR="000A5329" w:rsidRPr="002029AF">
        <w:t xml:space="preserve"> </w:t>
      </w:r>
      <w:r w:rsidRPr="002029AF">
        <w:t>the</w:t>
      </w:r>
      <w:r w:rsidR="000A5329" w:rsidRPr="002029AF">
        <w:t xml:space="preserve"> </w:t>
      </w:r>
      <w:r w:rsidRPr="002029AF">
        <w:t>date</w:t>
      </w:r>
      <w:r w:rsidR="000A5329" w:rsidRPr="002029AF">
        <w:t xml:space="preserve"> </w:t>
      </w:r>
      <w:r w:rsidRPr="002029AF">
        <w:t>of</w:t>
      </w:r>
      <w:r w:rsidR="000A5329" w:rsidRPr="002029AF">
        <w:t xml:space="preserve"> </w:t>
      </w:r>
      <w:r w:rsidRPr="002029AF">
        <w:t>initial</w:t>
      </w:r>
      <w:r w:rsidR="000A5329" w:rsidRPr="002029AF">
        <w:t xml:space="preserve"> </w:t>
      </w:r>
      <w:r w:rsidRPr="002029AF">
        <w:t>application</w:t>
      </w:r>
    </w:p>
    <w:p w14:paraId="38AEE7F2" w14:textId="3CABD693" w:rsidR="00087B91" w:rsidRPr="002029AF" w:rsidRDefault="00087B91" w:rsidP="00087B91">
      <w:pPr>
        <w:pStyle w:val="ARfinbullet1"/>
      </w:pPr>
      <w:r w:rsidRPr="002029AF">
        <w:t>Used</w:t>
      </w:r>
      <w:r w:rsidR="000A5329" w:rsidRPr="002029AF">
        <w:t xml:space="preserve"> </w:t>
      </w:r>
      <w:r w:rsidRPr="002029AF">
        <w:t>hindsight</w:t>
      </w:r>
      <w:r w:rsidR="000A5329" w:rsidRPr="002029AF">
        <w:t xml:space="preserve"> </w:t>
      </w:r>
      <w:r w:rsidRPr="002029AF">
        <w:t>when</w:t>
      </w:r>
      <w:r w:rsidR="000A5329" w:rsidRPr="002029AF">
        <w:t xml:space="preserve"> </w:t>
      </w:r>
      <w:r w:rsidRPr="002029AF">
        <w:t>determining</w:t>
      </w:r>
      <w:r w:rsidR="000A5329" w:rsidRPr="002029AF">
        <w:t xml:space="preserve"> </w:t>
      </w:r>
      <w:r w:rsidRPr="002029AF">
        <w:t>the</w:t>
      </w:r>
      <w:r w:rsidR="000A5329" w:rsidRPr="002029AF">
        <w:t xml:space="preserve"> </w:t>
      </w:r>
      <w:r w:rsidRPr="002029AF">
        <w:t>lease</w:t>
      </w:r>
      <w:r w:rsidR="000A5329" w:rsidRPr="002029AF">
        <w:t xml:space="preserve"> </w:t>
      </w:r>
      <w:r w:rsidRPr="002029AF">
        <w:t>term</w:t>
      </w:r>
      <w:r w:rsidR="000A5329" w:rsidRPr="002029AF">
        <w:t xml:space="preserve"> </w:t>
      </w:r>
      <w:r w:rsidRPr="002029AF">
        <w:t>if</w:t>
      </w:r>
      <w:r w:rsidR="000A5329" w:rsidRPr="002029AF">
        <w:t xml:space="preserve"> </w:t>
      </w:r>
      <w:r w:rsidRPr="002029AF">
        <w:t>the</w:t>
      </w:r>
      <w:r w:rsidR="000A5329" w:rsidRPr="002029AF">
        <w:t xml:space="preserve"> </w:t>
      </w:r>
      <w:r w:rsidRPr="002029AF">
        <w:t>contract</w:t>
      </w:r>
      <w:r w:rsidR="000A5329" w:rsidRPr="002029AF">
        <w:t xml:space="preserve"> </w:t>
      </w:r>
      <w:r w:rsidRPr="002029AF">
        <w:t>contains</w:t>
      </w:r>
      <w:r w:rsidR="000A5329" w:rsidRPr="002029AF">
        <w:t xml:space="preserve"> </w:t>
      </w:r>
      <w:r w:rsidRPr="002029AF">
        <w:t>options</w:t>
      </w:r>
      <w:r w:rsidR="000A5329" w:rsidRPr="002029AF">
        <w:t xml:space="preserve"> </w:t>
      </w:r>
      <w:r w:rsidRPr="002029AF">
        <w:t>to</w:t>
      </w:r>
      <w:r w:rsidR="000A5329" w:rsidRPr="002029AF">
        <w:t xml:space="preserve"> </w:t>
      </w:r>
      <w:r w:rsidRPr="002029AF">
        <w:t>extend</w:t>
      </w:r>
      <w:r w:rsidR="000A5329" w:rsidRPr="002029AF">
        <w:t xml:space="preserve"> </w:t>
      </w:r>
      <w:r w:rsidRPr="002029AF">
        <w:t>or</w:t>
      </w:r>
      <w:r w:rsidR="000A5329" w:rsidRPr="002029AF">
        <w:t xml:space="preserve"> </w:t>
      </w:r>
      <w:r w:rsidRPr="002029AF">
        <w:t>terminate</w:t>
      </w:r>
      <w:r w:rsidR="000A5329" w:rsidRPr="002029AF">
        <w:t xml:space="preserve"> </w:t>
      </w:r>
      <w:r w:rsidRPr="002029AF">
        <w:t>the</w:t>
      </w:r>
      <w:r w:rsidR="000A5329" w:rsidRPr="002029AF">
        <w:t xml:space="preserve"> </w:t>
      </w:r>
      <w:r w:rsidRPr="002029AF">
        <w:t>lease.</w:t>
      </w:r>
    </w:p>
    <w:p w14:paraId="290506A8" w14:textId="62CC5D62" w:rsidR="00087B91" w:rsidRPr="002029AF" w:rsidRDefault="00087B91" w:rsidP="00087B91">
      <w:pPr>
        <w:pStyle w:val="ARfinbody"/>
      </w:pPr>
      <w:r w:rsidRPr="002029AF">
        <w:t>For</w:t>
      </w:r>
      <w:r w:rsidR="000A5329" w:rsidRPr="002029AF">
        <w:t xml:space="preserve"> </w:t>
      </w:r>
      <w:r w:rsidRPr="002029AF">
        <w:t>leases</w:t>
      </w:r>
      <w:r w:rsidR="000A5329" w:rsidRPr="002029AF">
        <w:t xml:space="preserve"> </w:t>
      </w:r>
      <w:r w:rsidRPr="002029AF">
        <w:t>that</w:t>
      </w:r>
      <w:r w:rsidR="000A5329" w:rsidRPr="002029AF">
        <w:t xml:space="preserve"> </w:t>
      </w:r>
      <w:r w:rsidRPr="002029AF">
        <w:t>were</w:t>
      </w:r>
      <w:r w:rsidR="000A5329" w:rsidRPr="002029AF">
        <w:t xml:space="preserve"> </w:t>
      </w:r>
      <w:r w:rsidRPr="002029AF">
        <w:t>classified</w:t>
      </w:r>
      <w:r w:rsidR="000A5329" w:rsidRPr="002029AF">
        <w:t xml:space="preserve"> </w:t>
      </w:r>
      <w:r w:rsidRPr="002029AF">
        <w:t>as</w:t>
      </w:r>
      <w:r w:rsidR="000A5329" w:rsidRPr="002029AF">
        <w:t xml:space="preserve"> </w:t>
      </w:r>
      <w:r w:rsidRPr="002029AF">
        <w:t>finance</w:t>
      </w:r>
      <w:r w:rsidR="000A5329" w:rsidRPr="002029AF">
        <w:t xml:space="preserve"> </w:t>
      </w:r>
      <w:r w:rsidRPr="002029AF">
        <w:t>leases</w:t>
      </w:r>
      <w:r w:rsidR="000A5329" w:rsidRPr="002029AF">
        <w:t xml:space="preserve"> </w:t>
      </w:r>
      <w:r w:rsidRPr="002029AF">
        <w:t>under</w:t>
      </w:r>
      <w:r w:rsidR="000A5329" w:rsidRPr="002029AF">
        <w:t xml:space="preserve"> </w:t>
      </w:r>
      <w:r w:rsidRPr="002029AF">
        <w:t>AASB</w:t>
      </w:r>
      <w:r w:rsidR="000A5329" w:rsidRPr="002029AF">
        <w:t xml:space="preserve"> </w:t>
      </w:r>
      <w:r w:rsidRPr="002029AF">
        <w:t>117,</w:t>
      </w:r>
      <w:r w:rsidR="000A5329" w:rsidRPr="002029AF">
        <w:t xml:space="preserve"> </w:t>
      </w:r>
      <w:r w:rsidRPr="002029AF">
        <w:t>the</w:t>
      </w:r>
      <w:r w:rsidR="000A5329" w:rsidRPr="002029AF">
        <w:t xml:space="preserve"> </w:t>
      </w:r>
      <w:r w:rsidRPr="002029AF">
        <w:t>carrying</w:t>
      </w:r>
      <w:r w:rsidR="000A5329" w:rsidRPr="002029AF">
        <w:t xml:space="preserve"> </w:t>
      </w:r>
      <w:r w:rsidRPr="002029AF">
        <w:t>amount</w:t>
      </w:r>
      <w:r w:rsidR="000A5329" w:rsidRPr="002029AF">
        <w:t xml:space="preserve"> </w:t>
      </w:r>
      <w:r w:rsidRPr="002029AF">
        <w:t>of</w:t>
      </w:r>
      <w:r w:rsidR="000A5329" w:rsidRPr="002029AF">
        <w:t xml:space="preserve"> </w:t>
      </w:r>
      <w:r w:rsidRPr="002029AF">
        <w:t>the</w:t>
      </w:r>
      <w:r w:rsidR="000A5329" w:rsidRPr="002029AF">
        <w:t xml:space="preserve"> </w:t>
      </w:r>
      <w:r w:rsidRPr="002029AF">
        <w:t>right-of-use</w:t>
      </w:r>
      <w:r w:rsidR="000A5329" w:rsidRPr="002029AF">
        <w:t xml:space="preserve"> </w:t>
      </w:r>
      <w:r w:rsidRPr="002029AF">
        <w:t>asset</w:t>
      </w:r>
      <w:r w:rsidR="000A5329" w:rsidRPr="002029AF">
        <w:t xml:space="preserve"> </w:t>
      </w:r>
      <w:r w:rsidRPr="002029AF">
        <w:t>and</w:t>
      </w:r>
      <w:r w:rsidR="000A5329" w:rsidRPr="002029AF">
        <w:t xml:space="preserve"> </w:t>
      </w:r>
      <w:r w:rsidRPr="002029AF">
        <w:t>lease</w:t>
      </w:r>
      <w:r w:rsidR="000A5329" w:rsidRPr="002029AF">
        <w:t xml:space="preserve"> </w:t>
      </w:r>
      <w:r w:rsidRPr="002029AF">
        <w:t>liability</w:t>
      </w:r>
      <w:r w:rsidR="000A5329" w:rsidRPr="002029AF">
        <w:t xml:space="preserve"> </w:t>
      </w:r>
      <w:r w:rsidRPr="002029AF">
        <w:t>at</w:t>
      </w:r>
      <w:r w:rsidR="000A5329" w:rsidRPr="002029AF">
        <w:t xml:space="preserve"> </w:t>
      </w:r>
      <w:r w:rsidRPr="002029AF">
        <w:t>1</w:t>
      </w:r>
      <w:r w:rsidR="00995257" w:rsidRPr="002029AF">
        <w:t> </w:t>
      </w:r>
      <w:r w:rsidRPr="002029AF">
        <w:t>July</w:t>
      </w:r>
      <w:r w:rsidR="000A5329" w:rsidRPr="002029AF">
        <w:t xml:space="preserve"> </w:t>
      </w:r>
      <w:r w:rsidRPr="002029AF">
        <w:t>2019</w:t>
      </w:r>
      <w:r w:rsidR="000A5329" w:rsidRPr="002029AF">
        <w:t xml:space="preserve"> </w:t>
      </w:r>
      <w:r w:rsidRPr="002029AF">
        <w:t>are</w:t>
      </w:r>
      <w:r w:rsidR="000A5329" w:rsidRPr="002029AF">
        <w:t xml:space="preserve"> </w:t>
      </w:r>
      <w:r w:rsidRPr="002029AF">
        <w:t>determined</w:t>
      </w:r>
      <w:r w:rsidR="000A5329" w:rsidRPr="002029AF">
        <w:t xml:space="preserve"> </w:t>
      </w:r>
      <w:r w:rsidRPr="002029AF">
        <w:t>as</w:t>
      </w:r>
      <w:r w:rsidR="000A5329" w:rsidRPr="002029AF">
        <w:t xml:space="preserve"> </w:t>
      </w:r>
      <w:r w:rsidRPr="002029AF">
        <w:t>the</w:t>
      </w:r>
      <w:r w:rsidR="000A5329" w:rsidRPr="002029AF">
        <w:t xml:space="preserve"> </w:t>
      </w:r>
      <w:r w:rsidRPr="002029AF">
        <w:t>carrying</w:t>
      </w:r>
      <w:r w:rsidR="000A5329" w:rsidRPr="002029AF">
        <w:t xml:space="preserve"> </w:t>
      </w:r>
      <w:r w:rsidRPr="002029AF">
        <w:t>amount</w:t>
      </w:r>
      <w:r w:rsidR="000A5329" w:rsidRPr="002029AF">
        <w:t xml:space="preserve"> </w:t>
      </w:r>
      <w:r w:rsidRPr="002029AF">
        <w:t>of</w:t>
      </w:r>
      <w:r w:rsidR="000A5329" w:rsidRPr="002029AF">
        <w:t xml:space="preserve"> </w:t>
      </w:r>
      <w:r w:rsidRPr="002029AF">
        <w:t>the</w:t>
      </w:r>
      <w:r w:rsidR="000A5329" w:rsidRPr="002029AF">
        <w:t xml:space="preserve"> </w:t>
      </w:r>
      <w:r w:rsidRPr="002029AF">
        <w:t>lease</w:t>
      </w:r>
      <w:r w:rsidR="000A5329" w:rsidRPr="002029AF">
        <w:t xml:space="preserve"> </w:t>
      </w:r>
      <w:r w:rsidRPr="002029AF">
        <w:t>asset</w:t>
      </w:r>
      <w:r w:rsidR="000A5329" w:rsidRPr="002029AF">
        <w:t xml:space="preserve"> </w:t>
      </w:r>
      <w:r w:rsidRPr="002029AF">
        <w:t>and</w:t>
      </w:r>
      <w:r w:rsidR="000A5329" w:rsidRPr="002029AF">
        <w:t xml:space="preserve"> </w:t>
      </w:r>
      <w:r w:rsidRPr="002029AF">
        <w:t>lease</w:t>
      </w:r>
      <w:r w:rsidR="000A5329" w:rsidRPr="002029AF">
        <w:t xml:space="preserve"> </w:t>
      </w:r>
      <w:r w:rsidRPr="002029AF">
        <w:t>liability</w:t>
      </w:r>
      <w:r w:rsidR="000A5329" w:rsidRPr="002029AF">
        <w:t xml:space="preserve"> </w:t>
      </w:r>
      <w:r w:rsidRPr="002029AF">
        <w:t>under</w:t>
      </w:r>
      <w:r w:rsidR="000A5329" w:rsidRPr="002029AF">
        <w:t xml:space="preserve"> </w:t>
      </w:r>
      <w:r w:rsidRPr="002029AF">
        <w:t>AASB</w:t>
      </w:r>
      <w:r w:rsidR="000A5329" w:rsidRPr="002029AF">
        <w:t xml:space="preserve"> </w:t>
      </w:r>
      <w:r w:rsidRPr="002029AF">
        <w:t>117</w:t>
      </w:r>
      <w:r w:rsidR="000A5329" w:rsidRPr="002029AF">
        <w:t xml:space="preserve"> </w:t>
      </w:r>
      <w:r w:rsidRPr="002029AF">
        <w:t>immediately</w:t>
      </w:r>
      <w:r w:rsidR="000A5329" w:rsidRPr="002029AF">
        <w:t xml:space="preserve"> </w:t>
      </w:r>
      <w:r w:rsidRPr="002029AF">
        <w:t>before</w:t>
      </w:r>
      <w:r w:rsidR="000A5329" w:rsidRPr="002029AF">
        <w:t xml:space="preserve"> </w:t>
      </w:r>
      <w:r w:rsidRPr="002029AF">
        <w:t>that</w:t>
      </w:r>
      <w:r w:rsidR="000A5329" w:rsidRPr="002029AF">
        <w:t xml:space="preserve"> </w:t>
      </w:r>
      <w:r w:rsidRPr="002029AF">
        <w:t>date.</w:t>
      </w:r>
    </w:p>
    <w:p w14:paraId="40DD2968" w14:textId="6019B18E" w:rsidR="00087B91" w:rsidRPr="002029AF" w:rsidRDefault="00087B91" w:rsidP="00087B91">
      <w:pPr>
        <w:pStyle w:val="Heading6"/>
        <w:rPr>
          <w:rFonts w:eastAsia="Arial"/>
          <w:lang w:val="en-AU"/>
        </w:rPr>
      </w:pPr>
      <w:r w:rsidRPr="002029AF">
        <w:rPr>
          <w:rFonts w:eastAsia="Arial"/>
          <w:lang w:val="en-AU"/>
        </w:rPr>
        <w:t>Leases</w:t>
      </w:r>
      <w:r w:rsidR="000A5329" w:rsidRPr="002029AF">
        <w:rPr>
          <w:rFonts w:eastAsia="Arial"/>
          <w:lang w:val="en-AU"/>
        </w:rPr>
        <w:t xml:space="preserve"> </w:t>
      </w:r>
      <w:r w:rsidRPr="002029AF">
        <w:rPr>
          <w:rFonts w:eastAsia="Arial"/>
          <w:lang w:val="en-AU"/>
        </w:rPr>
        <w:t>as</w:t>
      </w:r>
      <w:r w:rsidR="000A5329" w:rsidRPr="002029AF">
        <w:rPr>
          <w:rFonts w:eastAsia="Arial"/>
          <w:lang w:val="en-AU"/>
        </w:rPr>
        <w:t xml:space="preserve"> </w:t>
      </w:r>
      <w:r w:rsidRPr="002029AF">
        <w:rPr>
          <w:rFonts w:eastAsia="Arial"/>
          <w:lang w:val="en-AU"/>
        </w:rPr>
        <w:t>a</w:t>
      </w:r>
      <w:r w:rsidR="000A5329" w:rsidRPr="002029AF">
        <w:rPr>
          <w:rFonts w:eastAsia="Arial"/>
          <w:lang w:val="en-AU"/>
        </w:rPr>
        <w:t xml:space="preserve"> </w:t>
      </w:r>
      <w:r w:rsidRPr="002029AF">
        <w:rPr>
          <w:rFonts w:eastAsia="Arial"/>
          <w:lang w:val="en-AU"/>
        </w:rPr>
        <w:t>Lessor</w:t>
      </w:r>
    </w:p>
    <w:p w14:paraId="7F8A5478" w14:textId="292CDE13" w:rsidR="00087B91" w:rsidRPr="002029AF" w:rsidRDefault="00087B91" w:rsidP="00087B91">
      <w:pPr>
        <w:pStyle w:val="ARfinbody"/>
      </w:pPr>
      <w:r w:rsidRPr="002029AF">
        <w:t>The</w:t>
      </w:r>
      <w:r w:rsidR="000A5329" w:rsidRPr="002029AF">
        <w:t xml:space="preserve"> </w:t>
      </w:r>
      <w:r w:rsidRPr="002029AF">
        <w:t>department</w:t>
      </w:r>
      <w:r w:rsidR="000A5329" w:rsidRPr="002029AF">
        <w:t xml:space="preserve"> </w:t>
      </w:r>
      <w:r w:rsidRPr="002029AF">
        <w:t>is</w:t>
      </w:r>
      <w:r w:rsidR="000A5329" w:rsidRPr="002029AF">
        <w:t xml:space="preserve"> </w:t>
      </w:r>
      <w:r w:rsidRPr="002029AF">
        <w:t>not</w:t>
      </w:r>
      <w:r w:rsidR="000A5329" w:rsidRPr="002029AF">
        <w:t xml:space="preserve"> </w:t>
      </w:r>
      <w:r w:rsidRPr="002029AF">
        <w:t>required</w:t>
      </w:r>
      <w:r w:rsidR="000A5329" w:rsidRPr="002029AF">
        <w:t xml:space="preserve"> </w:t>
      </w:r>
      <w:r w:rsidRPr="002029AF">
        <w:t>to</w:t>
      </w:r>
      <w:r w:rsidR="000A5329" w:rsidRPr="002029AF">
        <w:t xml:space="preserve"> </w:t>
      </w:r>
      <w:r w:rsidRPr="002029AF">
        <w:t>make</w:t>
      </w:r>
      <w:r w:rsidR="000A5329" w:rsidRPr="002029AF">
        <w:t xml:space="preserve"> </w:t>
      </w:r>
      <w:r w:rsidRPr="002029AF">
        <w:t>any</w:t>
      </w:r>
      <w:r w:rsidR="000A5329" w:rsidRPr="002029AF">
        <w:t xml:space="preserve"> </w:t>
      </w:r>
      <w:r w:rsidRPr="002029AF">
        <w:t>adjustments</w:t>
      </w:r>
      <w:r w:rsidR="000A5329" w:rsidRPr="002029AF">
        <w:t xml:space="preserve"> </w:t>
      </w:r>
      <w:r w:rsidRPr="002029AF">
        <w:t>on</w:t>
      </w:r>
      <w:r w:rsidR="000A5329" w:rsidRPr="002029AF">
        <w:t xml:space="preserve"> </w:t>
      </w:r>
      <w:r w:rsidRPr="002029AF">
        <w:t>transition</w:t>
      </w:r>
      <w:r w:rsidR="000A5329" w:rsidRPr="002029AF">
        <w:t xml:space="preserve"> </w:t>
      </w:r>
      <w:r w:rsidRPr="002029AF">
        <w:t>to</w:t>
      </w:r>
      <w:r w:rsidR="000A5329" w:rsidRPr="002029AF">
        <w:t xml:space="preserve"> </w:t>
      </w:r>
      <w:r w:rsidRPr="002029AF">
        <w:t>AASB</w:t>
      </w:r>
      <w:r w:rsidR="000A5329" w:rsidRPr="002029AF">
        <w:t xml:space="preserve"> </w:t>
      </w:r>
      <w:r w:rsidRPr="002029AF">
        <w:t>16</w:t>
      </w:r>
      <w:r w:rsidR="000A5329" w:rsidRPr="002029AF">
        <w:t xml:space="preserve"> </w:t>
      </w:r>
      <w:r w:rsidRPr="002029AF">
        <w:t>for</w:t>
      </w:r>
      <w:r w:rsidR="000A5329" w:rsidRPr="002029AF">
        <w:t xml:space="preserve"> </w:t>
      </w:r>
      <w:r w:rsidRPr="002029AF">
        <w:t>leases</w:t>
      </w:r>
      <w:r w:rsidR="000A5329" w:rsidRPr="002029AF">
        <w:t xml:space="preserve"> </w:t>
      </w:r>
      <w:r w:rsidRPr="002029AF">
        <w:t>in</w:t>
      </w:r>
      <w:r w:rsidR="000A5329" w:rsidRPr="002029AF">
        <w:t xml:space="preserve"> </w:t>
      </w:r>
      <w:r w:rsidRPr="002029AF">
        <w:t>which</w:t>
      </w:r>
      <w:r w:rsidR="000A5329" w:rsidRPr="002029AF">
        <w:t xml:space="preserve"> </w:t>
      </w:r>
      <w:r w:rsidRPr="002029AF">
        <w:t>it</w:t>
      </w:r>
      <w:r w:rsidR="000A5329" w:rsidRPr="002029AF">
        <w:t xml:space="preserve"> </w:t>
      </w:r>
      <w:r w:rsidRPr="002029AF">
        <w:t>acts</w:t>
      </w:r>
      <w:r w:rsidR="000A5329" w:rsidRPr="002029AF">
        <w:t xml:space="preserve"> </w:t>
      </w:r>
      <w:r w:rsidRPr="002029AF">
        <w:t>as</w:t>
      </w:r>
      <w:r w:rsidR="000A5329" w:rsidRPr="002029AF">
        <w:t xml:space="preserve"> </w:t>
      </w:r>
      <w:r w:rsidRPr="002029AF">
        <w:t>a</w:t>
      </w:r>
      <w:r w:rsidR="000A5329" w:rsidRPr="002029AF">
        <w:t xml:space="preserve"> </w:t>
      </w:r>
      <w:r w:rsidRPr="002029AF">
        <w:t>lessor.</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accounted</w:t>
      </w:r>
      <w:r w:rsidR="000A5329" w:rsidRPr="002029AF">
        <w:t xml:space="preserve"> </w:t>
      </w:r>
      <w:r w:rsidRPr="002029AF">
        <w:t>for</w:t>
      </w:r>
      <w:r w:rsidR="000A5329" w:rsidRPr="002029AF">
        <w:t xml:space="preserve"> </w:t>
      </w:r>
      <w:r w:rsidRPr="002029AF">
        <w:t>its</w:t>
      </w:r>
      <w:r w:rsidR="000A5329" w:rsidRPr="002029AF">
        <w:t xml:space="preserve"> </w:t>
      </w:r>
      <w:r w:rsidRPr="002029AF">
        <w:t>leases</w:t>
      </w:r>
      <w:r w:rsidR="000A5329" w:rsidRPr="002029AF">
        <w:t xml:space="preserve"> </w:t>
      </w:r>
      <w:r w:rsidRPr="002029AF">
        <w:t>in</w:t>
      </w:r>
      <w:r w:rsidR="000A5329" w:rsidRPr="002029AF">
        <w:t xml:space="preserve"> </w:t>
      </w:r>
      <w:r w:rsidRPr="002029AF">
        <w:t>accordance</w:t>
      </w:r>
      <w:r w:rsidR="000A5329" w:rsidRPr="002029AF">
        <w:t xml:space="preserve"> </w:t>
      </w:r>
      <w:r w:rsidRPr="002029AF">
        <w:t>with</w:t>
      </w:r>
      <w:r w:rsidR="000A5329" w:rsidRPr="002029AF">
        <w:t xml:space="preserve"> </w:t>
      </w:r>
      <w:r w:rsidRPr="002029AF">
        <w:t>AASB</w:t>
      </w:r>
      <w:r w:rsidR="000A5329" w:rsidRPr="002029AF">
        <w:t xml:space="preserve"> </w:t>
      </w:r>
      <w:r w:rsidRPr="002029AF">
        <w:t>16</w:t>
      </w:r>
      <w:r w:rsidR="000A5329" w:rsidRPr="002029AF">
        <w:t xml:space="preserve"> </w:t>
      </w:r>
      <w:r w:rsidRPr="002029AF">
        <w:t>from</w:t>
      </w:r>
      <w:r w:rsidR="000A5329" w:rsidRPr="002029AF">
        <w:t xml:space="preserve"> </w:t>
      </w:r>
      <w:r w:rsidRPr="002029AF">
        <w:t>the</w:t>
      </w:r>
      <w:r w:rsidR="000A5329" w:rsidRPr="002029AF">
        <w:t xml:space="preserve"> </w:t>
      </w:r>
      <w:r w:rsidRPr="002029AF">
        <w:t>date</w:t>
      </w:r>
      <w:r w:rsidR="000A5329" w:rsidRPr="002029AF">
        <w:t xml:space="preserve"> </w:t>
      </w:r>
      <w:r w:rsidRPr="002029AF">
        <w:t>of</w:t>
      </w:r>
      <w:r w:rsidR="000A5329" w:rsidRPr="002029AF">
        <w:t xml:space="preserve"> </w:t>
      </w:r>
      <w:r w:rsidRPr="002029AF">
        <w:t>initial</w:t>
      </w:r>
      <w:r w:rsidR="000A5329" w:rsidRPr="002029AF">
        <w:t xml:space="preserve"> </w:t>
      </w:r>
      <w:r w:rsidRPr="002029AF">
        <w:t>application.</w:t>
      </w:r>
    </w:p>
    <w:p w14:paraId="78D769B0" w14:textId="4C047440" w:rsidR="00087B91" w:rsidRPr="002029AF" w:rsidRDefault="00087B91" w:rsidP="00087B91">
      <w:pPr>
        <w:pStyle w:val="Heading6"/>
        <w:rPr>
          <w:rFonts w:eastAsia="Arial"/>
          <w:lang w:val="en-AU"/>
        </w:rPr>
      </w:pPr>
      <w:r w:rsidRPr="002029AF">
        <w:rPr>
          <w:rFonts w:eastAsia="Arial"/>
          <w:lang w:val="en-AU"/>
        </w:rPr>
        <w:t>Impacts</w:t>
      </w:r>
      <w:r w:rsidR="000A5329" w:rsidRPr="002029AF">
        <w:rPr>
          <w:rFonts w:eastAsia="Arial"/>
          <w:lang w:val="en-AU"/>
        </w:rPr>
        <w:t xml:space="preserve"> </w:t>
      </w:r>
      <w:r w:rsidRPr="002029AF">
        <w:rPr>
          <w:rFonts w:eastAsia="Arial"/>
          <w:lang w:val="en-AU"/>
        </w:rPr>
        <w:t>on</w:t>
      </w:r>
      <w:r w:rsidR="000A5329" w:rsidRPr="002029AF">
        <w:rPr>
          <w:rFonts w:eastAsia="Arial"/>
          <w:lang w:val="en-AU"/>
        </w:rPr>
        <w:t xml:space="preserve"> </w:t>
      </w:r>
      <w:r w:rsidRPr="002029AF">
        <w:rPr>
          <w:rFonts w:eastAsia="Arial"/>
          <w:lang w:val="en-AU"/>
        </w:rPr>
        <w:t>financial</w:t>
      </w:r>
      <w:r w:rsidR="000A5329" w:rsidRPr="002029AF">
        <w:rPr>
          <w:rFonts w:eastAsia="Arial"/>
          <w:lang w:val="en-AU"/>
        </w:rPr>
        <w:t xml:space="preserve"> </w:t>
      </w:r>
      <w:r w:rsidRPr="002029AF">
        <w:rPr>
          <w:rFonts w:eastAsia="Arial"/>
          <w:lang w:val="en-AU"/>
        </w:rPr>
        <w:t>statements</w:t>
      </w:r>
    </w:p>
    <w:p w14:paraId="7AFE8CEE" w14:textId="4084ABBA" w:rsidR="00087B91" w:rsidRPr="002029AF" w:rsidRDefault="00087B91" w:rsidP="00087B91">
      <w:pPr>
        <w:pStyle w:val="ARfinbody"/>
      </w:pPr>
      <w:r w:rsidRPr="002029AF">
        <w:t>On</w:t>
      </w:r>
      <w:r w:rsidR="000A5329" w:rsidRPr="002029AF">
        <w:t xml:space="preserve"> </w:t>
      </w:r>
      <w:r w:rsidRPr="002029AF">
        <w:t>transition</w:t>
      </w:r>
      <w:r w:rsidR="000A5329" w:rsidRPr="002029AF">
        <w:t xml:space="preserve"> </w:t>
      </w:r>
      <w:r w:rsidRPr="002029AF">
        <w:t>to</w:t>
      </w:r>
      <w:r w:rsidR="000A5329" w:rsidRPr="002029AF">
        <w:t xml:space="preserve"> </w:t>
      </w:r>
      <w:r w:rsidRPr="002029AF">
        <w:t>AASB</w:t>
      </w:r>
      <w:r w:rsidR="000A5329" w:rsidRPr="002029AF">
        <w:t xml:space="preserve"> </w:t>
      </w:r>
      <w:r w:rsidRPr="002029AF">
        <w:t>16,</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recognised</w:t>
      </w:r>
      <w:r w:rsidR="000A5329" w:rsidRPr="002029AF">
        <w:t xml:space="preserve"> </w:t>
      </w:r>
      <w:r w:rsidRPr="002029AF">
        <w:t>$585.9</w:t>
      </w:r>
      <w:r w:rsidR="000A5329" w:rsidRPr="002029AF">
        <w:t xml:space="preserve"> </w:t>
      </w:r>
      <w:r w:rsidRPr="002029AF">
        <w:t>million</w:t>
      </w:r>
      <w:r w:rsidR="000A5329" w:rsidRPr="002029AF">
        <w:t xml:space="preserve"> </w:t>
      </w:r>
      <w:r w:rsidRPr="002029AF">
        <w:t>of</w:t>
      </w:r>
      <w:r w:rsidR="000A5329" w:rsidRPr="002029AF">
        <w:t xml:space="preserve"> </w:t>
      </w:r>
      <w:r w:rsidRPr="002029AF">
        <w:t>right-of-use</w:t>
      </w:r>
      <w:r w:rsidR="000A5329" w:rsidRPr="002029AF">
        <w:t xml:space="preserve"> </w:t>
      </w:r>
      <w:r w:rsidRPr="002029AF">
        <w:t>assets</w:t>
      </w:r>
      <w:r w:rsidR="000A5329" w:rsidRPr="002029AF">
        <w:t xml:space="preserve"> </w:t>
      </w:r>
      <w:r w:rsidRPr="002029AF">
        <w:t>and</w:t>
      </w:r>
      <w:r w:rsidR="000A5329" w:rsidRPr="002029AF">
        <w:t xml:space="preserve"> </w:t>
      </w:r>
      <w:r w:rsidRPr="002029AF">
        <w:t>$579.8</w:t>
      </w:r>
      <w:r w:rsidR="000A5329" w:rsidRPr="002029AF">
        <w:t xml:space="preserve"> </w:t>
      </w:r>
      <w:r w:rsidRPr="002029AF">
        <w:t>million</w:t>
      </w:r>
      <w:r w:rsidR="000A5329" w:rsidRPr="002029AF">
        <w:t xml:space="preserve"> </w:t>
      </w:r>
      <w:r w:rsidRPr="002029AF">
        <w:t>of</w:t>
      </w:r>
      <w:r w:rsidR="000A5329" w:rsidRPr="002029AF">
        <w:t xml:space="preserve"> </w:t>
      </w:r>
      <w:r w:rsidRPr="002029AF">
        <w:t>lease</w:t>
      </w:r>
      <w:r w:rsidR="000A5329" w:rsidRPr="002029AF">
        <w:t xml:space="preserve"> </w:t>
      </w:r>
      <w:r w:rsidRPr="002029AF">
        <w:t>liabilities.</w:t>
      </w:r>
    </w:p>
    <w:p w14:paraId="12717A61" w14:textId="77777777" w:rsidR="00087B91" w:rsidRPr="002029AF" w:rsidRDefault="00087B91" w:rsidP="00087B91">
      <w:pPr>
        <w:pStyle w:val="ARfinbody"/>
        <w:rPr>
          <w:highlight w:val="yellow"/>
        </w:rPr>
      </w:pPr>
      <w:r w:rsidRPr="002029AF">
        <w:rPr>
          <w:highlight w:val="yellow"/>
        </w:rPr>
        <w:br w:type="page"/>
      </w:r>
    </w:p>
    <w:p w14:paraId="26708EB7" w14:textId="624A56EF" w:rsidR="00087B91" w:rsidRPr="002029AF" w:rsidRDefault="00087B91" w:rsidP="00087B91">
      <w:pPr>
        <w:pStyle w:val="ARfinbodylargespace"/>
      </w:pPr>
      <w:r w:rsidRPr="002029AF">
        <w:lastRenderedPageBreak/>
        <w:t>When</w:t>
      </w:r>
      <w:r w:rsidR="000A5329" w:rsidRPr="002029AF">
        <w:t xml:space="preserve"> </w:t>
      </w:r>
      <w:r w:rsidRPr="002029AF">
        <w:t>measuring</w:t>
      </w:r>
      <w:r w:rsidR="000A5329" w:rsidRPr="002029AF">
        <w:t xml:space="preserve"> </w:t>
      </w:r>
      <w:r w:rsidRPr="002029AF">
        <w:t>lease</w:t>
      </w:r>
      <w:r w:rsidR="000A5329" w:rsidRPr="002029AF">
        <w:t xml:space="preserve"> </w:t>
      </w:r>
      <w:r w:rsidRPr="002029AF">
        <w:t>liabilities,</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discounted</w:t>
      </w:r>
      <w:r w:rsidR="000A5329" w:rsidRPr="002029AF">
        <w:t xml:space="preserve"> </w:t>
      </w:r>
      <w:r w:rsidRPr="002029AF">
        <w:t>lease</w:t>
      </w:r>
      <w:r w:rsidR="000A5329" w:rsidRPr="002029AF">
        <w:t xml:space="preserve"> </w:t>
      </w:r>
      <w:r w:rsidRPr="002029AF">
        <w:t>payments</w:t>
      </w:r>
      <w:r w:rsidR="000A5329" w:rsidRPr="002029AF">
        <w:t xml:space="preserve"> </w:t>
      </w:r>
      <w:r w:rsidRPr="002029AF">
        <w:t>using</w:t>
      </w:r>
      <w:r w:rsidR="000A5329" w:rsidRPr="002029AF">
        <w:t xml:space="preserve"> </w:t>
      </w:r>
      <w:r w:rsidRPr="002029AF">
        <w:t>its</w:t>
      </w:r>
      <w:r w:rsidR="000A5329" w:rsidRPr="002029AF">
        <w:t xml:space="preserve"> </w:t>
      </w:r>
      <w:r w:rsidRPr="002029AF">
        <w:t>incremental</w:t>
      </w:r>
      <w:r w:rsidR="000A5329" w:rsidRPr="002029AF">
        <w:t xml:space="preserve"> </w:t>
      </w:r>
      <w:r w:rsidRPr="002029AF">
        <w:t>borrowing</w:t>
      </w:r>
      <w:r w:rsidR="000A5329" w:rsidRPr="002029AF">
        <w:t xml:space="preserve"> </w:t>
      </w:r>
      <w:r w:rsidRPr="002029AF">
        <w:t>rate</w:t>
      </w:r>
      <w:r w:rsidR="000A5329" w:rsidRPr="002029AF">
        <w:t xml:space="preserve"> </w:t>
      </w:r>
      <w:r w:rsidRPr="002029AF">
        <w:t>at</w:t>
      </w:r>
      <w:r w:rsidR="000A5329" w:rsidRPr="002029AF">
        <w:t xml:space="preserve"> </w:t>
      </w:r>
      <w:r w:rsidRPr="002029AF">
        <w:t>1</w:t>
      </w:r>
      <w:r w:rsidR="000A5329" w:rsidRPr="002029AF">
        <w:t xml:space="preserve"> </w:t>
      </w:r>
      <w:r w:rsidRPr="002029AF">
        <w:t>July</w:t>
      </w:r>
      <w:r w:rsidR="000A5329" w:rsidRPr="002029AF">
        <w:t xml:space="preserve"> </w:t>
      </w:r>
      <w:r w:rsidRPr="002029AF">
        <w:t>2019.</w:t>
      </w:r>
      <w:r w:rsidR="000A5329" w:rsidRPr="002029AF">
        <w:t xml:space="preserve"> </w:t>
      </w:r>
      <w:r w:rsidRPr="002029AF">
        <w:t>The</w:t>
      </w:r>
      <w:r w:rsidR="00995257" w:rsidRPr="002029AF">
        <w:t> </w:t>
      </w:r>
      <w:r w:rsidRPr="002029AF">
        <w:t>weighted</w:t>
      </w:r>
      <w:r w:rsidR="000A5329" w:rsidRPr="002029AF">
        <w:t xml:space="preserve"> </w:t>
      </w:r>
      <w:r w:rsidRPr="002029AF">
        <w:t>average</w:t>
      </w:r>
      <w:r w:rsidR="000A5329" w:rsidRPr="002029AF">
        <w:t xml:space="preserve"> </w:t>
      </w:r>
      <w:r w:rsidRPr="002029AF">
        <w:t>rate</w:t>
      </w:r>
      <w:r w:rsidR="000A5329" w:rsidRPr="002029AF">
        <w:t xml:space="preserve"> </w:t>
      </w:r>
      <w:r w:rsidRPr="002029AF">
        <w:t>applied</w:t>
      </w:r>
      <w:r w:rsidR="000A5329" w:rsidRPr="002029AF">
        <w:t xml:space="preserve"> </w:t>
      </w:r>
      <w:r w:rsidRPr="002029AF">
        <w:t>is</w:t>
      </w:r>
      <w:r w:rsidR="000A5329" w:rsidRPr="002029AF">
        <w:t xml:space="preserve"> </w:t>
      </w:r>
      <w:r w:rsidRPr="002029AF">
        <w:t>2.39%.</w:t>
      </w:r>
    </w:p>
    <w:tbl>
      <w:tblPr>
        <w:tblStyle w:val="TableGrid"/>
        <w:tblW w:w="9637" w:type="dxa"/>
        <w:tblLayout w:type="fixed"/>
        <w:tblLook w:val="06A0" w:firstRow="1" w:lastRow="0" w:firstColumn="1" w:lastColumn="0" w:noHBand="1" w:noVBand="1"/>
      </w:tblPr>
      <w:tblGrid>
        <w:gridCol w:w="8503"/>
        <w:gridCol w:w="1134"/>
      </w:tblGrid>
      <w:tr w:rsidR="00087B91" w:rsidRPr="002029AF" w14:paraId="3AB3FD2D"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8505" w:type="dxa"/>
            <w:tcBorders>
              <w:bottom w:val="single" w:sz="4" w:space="0" w:color="auto"/>
            </w:tcBorders>
            <w:noWrap/>
            <w:hideMark/>
          </w:tcPr>
          <w:p w14:paraId="471FD427" w14:textId="77777777" w:rsidR="00087B91" w:rsidRPr="002029AF" w:rsidRDefault="00087B91" w:rsidP="00860E95">
            <w:pPr>
              <w:pStyle w:val="ARfintablecolhead"/>
            </w:pPr>
          </w:p>
        </w:tc>
        <w:tc>
          <w:tcPr>
            <w:tcW w:w="1134" w:type="dxa"/>
            <w:tcBorders>
              <w:bottom w:val="single" w:sz="4" w:space="0" w:color="auto"/>
            </w:tcBorders>
            <w:noWrap/>
            <w:hideMark/>
          </w:tcPr>
          <w:p w14:paraId="2B1AB58F" w14:textId="5D810548" w:rsidR="00087B91" w:rsidRPr="002029AF" w:rsidRDefault="00087B91" w:rsidP="00860E95">
            <w:pPr>
              <w:pStyle w:val="ARfintablecolheadright"/>
            </w:pPr>
            <w:r w:rsidRPr="002029AF">
              <w:t>1</w:t>
            </w:r>
            <w:r w:rsidR="000A5329" w:rsidRPr="002029AF">
              <w:t xml:space="preserve"> </w:t>
            </w:r>
            <w:r w:rsidRPr="002029AF">
              <w:t>July</w:t>
            </w:r>
            <w:r w:rsidR="000A5329" w:rsidRPr="002029AF">
              <w:t xml:space="preserve"> </w:t>
            </w:r>
            <w:r w:rsidRPr="002029AF">
              <w:t>2019</w:t>
            </w:r>
          </w:p>
        </w:tc>
      </w:tr>
      <w:tr w:rsidR="00087B91" w:rsidRPr="002029AF" w14:paraId="59D8A81E" w14:textId="77777777" w:rsidTr="00860E95">
        <w:tc>
          <w:tcPr>
            <w:tcW w:w="8505" w:type="dxa"/>
            <w:tcBorders>
              <w:top w:val="single" w:sz="4" w:space="0" w:color="auto"/>
              <w:bottom w:val="single" w:sz="4" w:space="0" w:color="A6A6A6"/>
            </w:tcBorders>
            <w:hideMark/>
          </w:tcPr>
          <w:p w14:paraId="2604731A" w14:textId="0D37299D" w:rsidR="00087B91" w:rsidRPr="002029AF" w:rsidRDefault="00087B91" w:rsidP="00860E95">
            <w:pPr>
              <w:pStyle w:val="ARfintablebody"/>
            </w:pPr>
            <w:r w:rsidRPr="002029AF">
              <w:t>Operating</w:t>
            </w:r>
            <w:r w:rsidR="000A5329" w:rsidRPr="002029AF">
              <w:t xml:space="preserve"> </w:t>
            </w:r>
            <w:r w:rsidRPr="002029AF">
              <w:t>lease</w:t>
            </w:r>
            <w:r w:rsidR="000A5329" w:rsidRPr="002029AF">
              <w:t xml:space="preserve"> </w:t>
            </w:r>
            <w:r w:rsidRPr="002029AF">
              <w:t>commitments</w:t>
            </w:r>
            <w:r w:rsidR="000A5329" w:rsidRPr="002029AF">
              <w:t xml:space="preserve"> </w:t>
            </w:r>
            <w:r w:rsidRPr="002029AF">
              <w:t>disclosed</w:t>
            </w:r>
            <w:r w:rsidR="000A5329" w:rsidRPr="002029AF">
              <w:t xml:space="preserve"> </w:t>
            </w:r>
            <w:r w:rsidRPr="002029AF">
              <w:t>as</w:t>
            </w:r>
            <w:r w:rsidR="000A5329" w:rsidRPr="002029AF">
              <w:t xml:space="preserve"> </w:t>
            </w:r>
            <w:r w:rsidRPr="002029AF">
              <w:t>at</w:t>
            </w:r>
            <w:r w:rsidR="000A5329" w:rsidRPr="002029AF">
              <w:t xml:space="preserve"> </w:t>
            </w:r>
            <w:r w:rsidRPr="002029AF">
              <w:t>30</w:t>
            </w:r>
            <w:r w:rsidR="000A5329" w:rsidRPr="002029AF">
              <w:t xml:space="preserve"> </w:t>
            </w:r>
            <w:r w:rsidRPr="002029AF">
              <w:t>June</w:t>
            </w:r>
            <w:r w:rsidR="000A5329" w:rsidRPr="002029AF">
              <w:t xml:space="preserve"> </w:t>
            </w:r>
            <w:r w:rsidRPr="002029AF">
              <w:t>2019</w:t>
            </w:r>
          </w:p>
        </w:tc>
        <w:tc>
          <w:tcPr>
            <w:tcW w:w="1134" w:type="dxa"/>
            <w:tcBorders>
              <w:top w:val="single" w:sz="4" w:space="0" w:color="auto"/>
              <w:bottom w:val="single" w:sz="4" w:space="0" w:color="A6A6A6"/>
            </w:tcBorders>
            <w:noWrap/>
            <w:hideMark/>
          </w:tcPr>
          <w:p w14:paraId="13C0786D" w14:textId="77777777" w:rsidR="00087B91" w:rsidRPr="002029AF" w:rsidRDefault="00087B91" w:rsidP="00860E95">
            <w:pPr>
              <w:pStyle w:val="ARfintablebodyright"/>
            </w:pPr>
            <w:r w:rsidRPr="002029AF">
              <w:t>439.9</w:t>
            </w:r>
          </w:p>
        </w:tc>
      </w:tr>
      <w:tr w:rsidR="00087B91" w:rsidRPr="002029AF" w14:paraId="31EDAC08" w14:textId="77777777" w:rsidTr="00860E95">
        <w:tc>
          <w:tcPr>
            <w:tcW w:w="8505" w:type="dxa"/>
            <w:tcBorders>
              <w:top w:val="single" w:sz="4" w:space="0" w:color="A6A6A6"/>
              <w:bottom w:val="single" w:sz="4" w:space="0" w:color="A6A6A6"/>
            </w:tcBorders>
            <w:hideMark/>
          </w:tcPr>
          <w:p w14:paraId="67B65B6A" w14:textId="0672C3BB" w:rsidR="00087B91" w:rsidRPr="002029AF" w:rsidRDefault="00087B91" w:rsidP="00860E95">
            <w:pPr>
              <w:pStyle w:val="ARfintablebody"/>
            </w:pPr>
            <w:r w:rsidRPr="002029AF">
              <w:t>Discounted</w:t>
            </w:r>
            <w:r w:rsidR="000A5329" w:rsidRPr="002029AF">
              <w:t xml:space="preserve"> </w:t>
            </w:r>
            <w:r w:rsidRPr="002029AF">
              <w:t>using</w:t>
            </w:r>
            <w:r w:rsidR="000A5329" w:rsidRPr="002029AF">
              <w:t xml:space="preserve"> </w:t>
            </w:r>
            <w:r w:rsidRPr="002029AF">
              <w:t>the</w:t>
            </w:r>
            <w:r w:rsidR="000A5329" w:rsidRPr="002029AF">
              <w:t xml:space="preserve"> </w:t>
            </w:r>
            <w:r w:rsidRPr="002029AF">
              <w:t>incremental</w:t>
            </w:r>
            <w:r w:rsidR="000A5329" w:rsidRPr="002029AF">
              <w:t xml:space="preserve"> </w:t>
            </w:r>
            <w:r w:rsidRPr="002029AF">
              <w:t>borrowing</w:t>
            </w:r>
            <w:r w:rsidR="000A5329" w:rsidRPr="002029AF">
              <w:t xml:space="preserve"> </w:t>
            </w:r>
            <w:r w:rsidRPr="002029AF">
              <w:t>rate</w:t>
            </w:r>
            <w:r w:rsidR="000A5329" w:rsidRPr="002029AF">
              <w:t xml:space="preserve"> </w:t>
            </w:r>
            <w:r w:rsidRPr="002029AF">
              <w:t>at</w:t>
            </w:r>
            <w:r w:rsidR="000A5329" w:rsidRPr="002029AF">
              <w:t xml:space="preserve"> </w:t>
            </w:r>
            <w:r w:rsidRPr="002029AF">
              <w:t>1</w:t>
            </w:r>
            <w:r w:rsidR="000A5329" w:rsidRPr="002029AF">
              <w:t xml:space="preserve"> </w:t>
            </w:r>
            <w:r w:rsidRPr="002029AF">
              <w:t>July</w:t>
            </w:r>
            <w:r w:rsidR="000A5329" w:rsidRPr="002029AF">
              <w:t xml:space="preserve"> </w:t>
            </w:r>
            <w:r w:rsidRPr="002029AF">
              <w:t>2019</w:t>
            </w:r>
          </w:p>
        </w:tc>
        <w:tc>
          <w:tcPr>
            <w:tcW w:w="1134" w:type="dxa"/>
            <w:tcBorders>
              <w:top w:val="single" w:sz="4" w:space="0" w:color="A6A6A6"/>
              <w:bottom w:val="single" w:sz="4" w:space="0" w:color="A6A6A6"/>
            </w:tcBorders>
            <w:noWrap/>
            <w:hideMark/>
          </w:tcPr>
          <w:p w14:paraId="59DDED83" w14:textId="77777777" w:rsidR="00087B91" w:rsidRPr="002029AF" w:rsidRDefault="00087B91" w:rsidP="00860E95">
            <w:pPr>
              <w:pStyle w:val="ARfintablebodyright"/>
            </w:pPr>
            <w:r w:rsidRPr="002029AF">
              <w:t>371.0</w:t>
            </w:r>
          </w:p>
        </w:tc>
      </w:tr>
      <w:tr w:rsidR="00087B91" w:rsidRPr="002029AF" w14:paraId="7957C19E" w14:textId="77777777" w:rsidTr="00860E95">
        <w:tc>
          <w:tcPr>
            <w:tcW w:w="8505" w:type="dxa"/>
            <w:tcBorders>
              <w:top w:val="single" w:sz="4" w:space="0" w:color="A6A6A6"/>
              <w:bottom w:val="single" w:sz="4" w:space="0" w:color="A6A6A6"/>
            </w:tcBorders>
            <w:hideMark/>
          </w:tcPr>
          <w:p w14:paraId="05ED88E6" w14:textId="10B25FC9" w:rsidR="00087B91" w:rsidRPr="002029AF" w:rsidRDefault="00087B91" w:rsidP="00860E95">
            <w:pPr>
              <w:pStyle w:val="ARfintablebody"/>
            </w:pPr>
            <w:r w:rsidRPr="002029AF">
              <w:t>Finance</w:t>
            </w:r>
            <w:r w:rsidR="000A5329" w:rsidRPr="002029AF">
              <w:t xml:space="preserve"> </w:t>
            </w:r>
            <w:r w:rsidRPr="002029AF">
              <w:t>lease</w:t>
            </w:r>
            <w:r w:rsidR="000A5329" w:rsidRPr="002029AF">
              <w:t xml:space="preserve"> </w:t>
            </w:r>
            <w:r w:rsidRPr="002029AF">
              <w:t>liabilities</w:t>
            </w:r>
            <w:r w:rsidR="000A5329" w:rsidRPr="002029AF">
              <w:t xml:space="preserve"> </w:t>
            </w:r>
            <w:r w:rsidRPr="002029AF">
              <w:t>as</w:t>
            </w:r>
            <w:r w:rsidR="000A5329" w:rsidRPr="002029AF">
              <w:t xml:space="preserve"> </w:t>
            </w:r>
            <w:r w:rsidRPr="002029AF">
              <w:t>at</w:t>
            </w:r>
            <w:r w:rsidR="000A5329" w:rsidRPr="002029AF">
              <w:t xml:space="preserve"> </w:t>
            </w:r>
            <w:r w:rsidRPr="002029AF">
              <w:t>30</w:t>
            </w:r>
            <w:r w:rsidR="000A5329" w:rsidRPr="002029AF">
              <w:t xml:space="preserve"> </w:t>
            </w:r>
            <w:r w:rsidRPr="002029AF">
              <w:t>June</w:t>
            </w:r>
            <w:r w:rsidR="000A5329" w:rsidRPr="002029AF">
              <w:t xml:space="preserve"> </w:t>
            </w:r>
            <w:r w:rsidRPr="002029AF">
              <w:t>2019</w:t>
            </w:r>
          </w:p>
        </w:tc>
        <w:tc>
          <w:tcPr>
            <w:tcW w:w="1134" w:type="dxa"/>
            <w:tcBorders>
              <w:top w:val="single" w:sz="4" w:space="0" w:color="A6A6A6"/>
              <w:bottom w:val="single" w:sz="4" w:space="0" w:color="A6A6A6"/>
            </w:tcBorders>
            <w:noWrap/>
            <w:hideMark/>
          </w:tcPr>
          <w:p w14:paraId="04A998CE" w14:textId="77777777" w:rsidR="00087B91" w:rsidRPr="002029AF" w:rsidRDefault="00087B91" w:rsidP="00860E95">
            <w:pPr>
              <w:pStyle w:val="ARfintablebodyright"/>
            </w:pPr>
            <w:r w:rsidRPr="002029AF">
              <w:t>33.0</w:t>
            </w:r>
          </w:p>
        </w:tc>
      </w:tr>
      <w:tr w:rsidR="00087B91" w:rsidRPr="002029AF" w14:paraId="4C541762" w14:textId="77777777" w:rsidTr="00860E95">
        <w:tc>
          <w:tcPr>
            <w:tcW w:w="8505" w:type="dxa"/>
            <w:tcBorders>
              <w:top w:val="single" w:sz="4" w:space="0" w:color="A6A6A6"/>
              <w:bottom w:val="single" w:sz="4" w:space="0" w:color="A6A6A6"/>
            </w:tcBorders>
            <w:hideMark/>
          </w:tcPr>
          <w:p w14:paraId="36ABBFBD" w14:textId="7C8A6E74" w:rsidR="00087B91" w:rsidRPr="002029AF" w:rsidRDefault="00087B91" w:rsidP="00860E95">
            <w:pPr>
              <w:pStyle w:val="ARfintablebody"/>
            </w:pPr>
            <w:r w:rsidRPr="002029AF">
              <w:t>Recognition</w:t>
            </w:r>
            <w:r w:rsidR="000A5329" w:rsidRPr="002029AF">
              <w:t xml:space="preserve"> </w:t>
            </w:r>
            <w:r w:rsidRPr="002029AF">
              <w:t>exemption</w:t>
            </w:r>
            <w:r w:rsidR="000A5329" w:rsidRPr="002029AF">
              <w:t xml:space="preserve"> </w:t>
            </w:r>
            <w:r w:rsidRPr="002029AF">
              <w:t>for:</w:t>
            </w:r>
          </w:p>
        </w:tc>
        <w:tc>
          <w:tcPr>
            <w:tcW w:w="1134" w:type="dxa"/>
            <w:tcBorders>
              <w:top w:val="single" w:sz="4" w:space="0" w:color="A6A6A6"/>
              <w:bottom w:val="single" w:sz="4" w:space="0" w:color="A6A6A6"/>
            </w:tcBorders>
            <w:hideMark/>
          </w:tcPr>
          <w:p w14:paraId="75E77A84" w14:textId="77777777" w:rsidR="00087B91" w:rsidRPr="002029AF" w:rsidRDefault="00087B91" w:rsidP="00860E95">
            <w:pPr>
              <w:pStyle w:val="ARfintablebodyright"/>
            </w:pPr>
          </w:p>
        </w:tc>
      </w:tr>
      <w:tr w:rsidR="00087B91" w:rsidRPr="002029AF" w14:paraId="59BE3AA9" w14:textId="77777777" w:rsidTr="00860E95">
        <w:tc>
          <w:tcPr>
            <w:tcW w:w="8505" w:type="dxa"/>
            <w:tcBorders>
              <w:top w:val="single" w:sz="4" w:space="0" w:color="A6A6A6"/>
              <w:bottom w:val="single" w:sz="4" w:space="0" w:color="A6A6A6"/>
            </w:tcBorders>
            <w:hideMark/>
          </w:tcPr>
          <w:p w14:paraId="5111E723" w14:textId="027C9D6A" w:rsidR="00087B91" w:rsidRPr="002029AF" w:rsidRDefault="00087B91" w:rsidP="00860E95">
            <w:pPr>
              <w:pStyle w:val="ARfintablebody"/>
            </w:pPr>
            <w:r w:rsidRPr="002029AF">
              <w:t>Short-term</w:t>
            </w:r>
            <w:r w:rsidR="000A5329" w:rsidRPr="002029AF">
              <w:t xml:space="preserve"> </w:t>
            </w:r>
            <w:r w:rsidRPr="002029AF">
              <w:t>leases</w:t>
            </w:r>
          </w:p>
        </w:tc>
        <w:tc>
          <w:tcPr>
            <w:tcW w:w="1134" w:type="dxa"/>
            <w:tcBorders>
              <w:top w:val="single" w:sz="4" w:space="0" w:color="A6A6A6"/>
              <w:bottom w:val="single" w:sz="4" w:space="0" w:color="A6A6A6"/>
            </w:tcBorders>
            <w:noWrap/>
            <w:hideMark/>
          </w:tcPr>
          <w:p w14:paraId="36DD1011" w14:textId="77777777" w:rsidR="00087B91" w:rsidRPr="002029AF" w:rsidRDefault="00087B91" w:rsidP="00860E95">
            <w:pPr>
              <w:pStyle w:val="ARfintablebodyright"/>
            </w:pPr>
            <w:r w:rsidRPr="002029AF">
              <w:t>(2.1)</w:t>
            </w:r>
          </w:p>
        </w:tc>
      </w:tr>
      <w:tr w:rsidR="00087B91" w:rsidRPr="002029AF" w14:paraId="32DED653" w14:textId="77777777" w:rsidTr="00860E95">
        <w:tc>
          <w:tcPr>
            <w:tcW w:w="8505" w:type="dxa"/>
            <w:tcBorders>
              <w:top w:val="single" w:sz="4" w:space="0" w:color="A6A6A6"/>
              <w:bottom w:val="single" w:sz="4" w:space="0" w:color="A6A6A6"/>
            </w:tcBorders>
            <w:hideMark/>
          </w:tcPr>
          <w:p w14:paraId="71DD411B" w14:textId="1B771B63" w:rsidR="00087B91" w:rsidRPr="002029AF" w:rsidRDefault="00087B91" w:rsidP="00860E95">
            <w:pPr>
              <w:pStyle w:val="ARfintablebody"/>
            </w:pPr>
            <w:r w:rsidRPr="002029AF">
              <w:t>Leases</w:t>
            </w:r>
            <w:r w:rsidR="000A5329" w:rsidRPr="002029AF">
              <w:t xml:space="preserve"> </w:t>
            </w:r>
            <w:r w:rsidRPr="002029AF">
              <w:t>of</w:t>
            </w:r>
            <w:r w:rsidR="000A5329" w:rsidRPr="002029AF">
              <w:t xml:space="preserve"> </w:t>
            </w:r>
            <w:r w:rsidRPr="002029AF">
              <w:t>low-value</w:t>
            </w:r>
            <w:r w:rsidR="000A5329" w:rsidRPr="002029AF">
              <w:t xml:space="preserve"> </w:t>
            </w:r>
            <w:r w:rsidRPr="002029AF">
              <w:t>assets</w:t>
            </w:r>
          </w:p>
        </w:tc>
        <w:tc>
          <w:tcPr>
            <w:tcW w:w="1134" w:type="dxa"/>
            <w:tcBorders>
              <w:top w:val="single" w:sz="4" w:space="0" w:color="A6A6A6"/>
              <w:bottom w:val="single" w:sz="4" w:space="0" w:color="A6A6A6"/>
            </w:tcBorders>
            <w:noWrap/>
            <w:hideMark/>
          </w:tcPr>
          <w:p w14:paraId="50178F3C" w14:textId="77777777" w:rsidR="00087B91" w:rsidRPr="002029AF" w:rsidRDefault="00087B91" w:rsidP="00860E95">
            <w:pPr>
              <w:pStyle w:val="ARfintablebodyright"/>
            </w:pPr>
            <w:r w:rsidRPr="002029AF">
              <w:t>–</w:t>
            </w:r>
          </w:p>
        </w:tc>
      </w:tr>
      <w:tr w:rsidR="00087B91" w:rsidRPr="002029AF" w14:paraId="0DB0686B" w14:textId="77777777" w:rsidTr="00860E95">
        <w:tc>
          <w:tcPr>
            <w:tcW w:w="8505" w:type="dxa"/>
            <w:tcBorders>
              <w:top w:val="single" w:sz="4" w:space="0" w:color="A6A6A6"/>
            </w:tcBorders>
            <w:hideMark/>
          </w:tcPr>
          <w:p w14:paraId="29D10CB7" w14:textId="78052AD3" w:rsidR="00087B91" w:rsidRPr="002029AF" w:rsidRDefault="00087B91" w:rsidP="00860E95">
            <w:pPr>
              <w:pStyle w:val="ARfintablebody"/>
            </w:pPr>
            <w:r w:rsidRPr="002029AF">
              <w:t>Extension</w:t>
            </w:r>
            <w:r w:rsidR="000A5329" w:rsidRPr="002029AF">
              <w:t xml:space="preserve"> </w:t>
            </w:r>
            <w:r w:rsidRPr="002029AF">
              <w:t>options</w:t>
            </w:r>
            <w:r w:rsidR="000A5329" w:rsidRPr="002029AF">
              <w:t xml:space="preserve"> </w:t>
            </w:r>
            <w:r w:rsidRPr="002029AF">
              <w:t>reasonably</w:t>
            </w:r>
            <w:r w:rsidR="000A5329" w:rsidRPr="002029AF">
              <w:t xml:space="preserve"> </w:t>
            </w:r>
            <w:r w:rsidRPr="002029AF">
              <w:t>certain</w:t>
            </w:r>
            <w:r w:rsidR="000A5329" w:rsidRPr="002029AF">
              <w:t xml:space="preserve"> </w:t>
            </w:r>
            <w:r w:rsidRPr="002029AF">
              <w:t>to</w:t>
            </w:r>
            <w:r w:rsidR="000A5329" w:rsidRPr="002029AF">
              <w:t xml:space="preserve"> </w:t>
            </w:r>
            <w:r w:rsidRPr="002029AF">
              <w:t>be</w:t>
            </w:r>
            <w:r w:rsidR="000A5329" w:rsidRPr="002029AF">
              <w:t xml:space="preserve"> </w:t>
            </w:r>
            <w:r w:rsidRPr="002029AF">
              <w:t>recognised</w:t>
            </w:r>
          </w:p>
        </w:tc>
        <w:tc>
          <w:tcPr>
            <w:tcW w:w="1134" w:type="dxa"/>
            <w:tcBorders>
              <w:top w:val="single" w:sz="4" w:space="0" w:color="A6A6A6"/>
            </w:tcBorders>
            <w:noWrap/>
            <w:hideMark/>
          </w:tcPr>
          <w:p w14:paraId="53E184CC" w14:textId="77777777" w:rsidR="00087B91" w:rsidRPr="002029AF" w:rsidRDefault="00087B91" w:rsidP="00860E95">
            <w:pPr>
              <w:pStyle w:val="ARfintablebodyright"/>
            </w:pPr>
            <w:r w:rsidRPr="002029AF">
              <w:t>210.9</w:t>
            </w:r>
          </w:p>
        </w:tc>
      </w:tr>
      <w:tr w:rsidR="00087B91" w:rsidRPr="002029AF" w14:paraId="538D5A42" w14:textId="77777777" w:rsidTr="00860E95">
        <w:tc>
          <w:tcPr>
            <w:tcW w:w="8505" w:type="dxa"/>
            <w:hideMark/>
          </w:tcPr>
          <w:p w14:paraId="43A29056" w14:textId="768ED1E9" w:rsidR="00087B91" w:rsidRPr="002029AF" w:rsidRDefault="00087B91" w:rsidP="00860E95">
            <w:pPr>
              <w:pStyle w:val="ARfintablebodybold"/>
            </w:pPr>
            <w:r w:rsidRPr="002029AF">
              <w:t>Lease</w:t>
            </w:r>
            <w:r w:rsidR="000A5329" w:rsidRPr="002029AF">
              <w:t xml:space="preserve"> </w:t>
            </w:r>
            <w:r w:rsidRPr="002029AF">
              <w:t>liabilities</w:t>
            </w:r>
            <w:r w:rsidR="000A5329" w:rsidRPr="002029AF">
              <w:t xml:space="preserve"> </w:t>
            </w:r>
            <w:r w:rsidRPr="002029AF">
              <w:t>recognised</w:t>
            </w:r>
            <w:r w:rsidR="000A5329" w:rsidRPr="002029AF">
              <w:t xml:space="preserve"> </w:t>
            </w:r>
            <w:r w:rsidRPr="002029AF">
              <w:t>at</w:t>
            </w:r>
            <w:r w:rsidR="000A5329" w:rsidRPr="002029AF">
              <w:t xml:space="preserve"> </w:t>
            </w:r>
            <w:r w:rsidRPr="002029AF">
              <w:t>1</w:t>
            </w:r>
            <w:r w:rsidR="000A5329" w:rsidRPr="002029AF">
              <w:t xml:space="preserve"> </w:t>
            </w:r>
            <w:r w:rsidRPr="002029AF">
              <w:t>July</w:t>
            </w:r>
            <w:r w:rsidR="000A5329" w:rsidRPr="002029AF">
              <w:t xml:space="preserve"> </w:t>
            </w:r>
            <w:r w:rsidRPr="002029AF">
              <w:t>2019</w:t>
            </w:r>
          </w:p>
        </w:tc>
        <w:tc>
          <w:tcPr>
            <w:tcW w:w="1134" w:type="dxa"/>
            <w:noWrap/>
            <w:hideMark/>
          </w:tcPr>
          <w:p w14:paraId="4E880750" w14:textId="77777777" w:rsidR="00087B91" w:rsidRPr="002029AF" w:rsidRDefault="00087B91" w:rsidP="00860E95">
            <w:pPr>
              <w:pStyle w:val="ARfintablebodyrightbold"/>
            </w:pPr>
            <w:r w:rsidRPr="002029AF">
              <w:t>612.8</w:t>
            </w:r>
          </w:p>
        </w:tc>
      </w:tr>
    </w:tbl>
    <w:p w14:paraId="70CC79C7" w14:textId="1EDF293C" w:rsidR="00087B91" w:rsidRPr="002029AF" w:rsidRDefault="00087B91" w:rsidP="00087B91">
      <w:pPr>
        <w:pStyle w:val="Heading5"/>
      </w:pPr>
      <w:r w:rsidRPr="002029AF">
        <w:t>9.12.2</w:t>
      </w:r>
      <w:r w:rsidR="000A5329" w:rsidRPr="002029AF">
        <w:t xml:space="preserve"> </w:t>
      </w:r>
      <w:r w:rsidRPr="002029AF">
        <w:t>Service</w:t>
      </w:r>
      <w:r w:rsidR="000A5329" w:rsidRPr="002029AF">
        <w:t xml:space="preserve"> </w:t>
      </w:r>
      <w:r w:rsidRPr="002029AF">
        <w:t>Concession</w:t>
      </w:r>
      <w:r w:rsidR="000A5329" w:rsidRPr="002029AF">
        <w:t xml:space="preserve"> </w:t>
      </w:r>
      <w:r w:rsidRPr="002029AF">
        <w:t>Arrangements:</w:t>
      </w:r>
      <w:r w:rsidR="000A5329" w:rsidRPr="002029AF">
        <w:t xml:space="preserve"> </w:t>
      </w:r>
      <w:r w:rsidRPr="002029AF">
        <w:t>Grantors</w:t>
      </w:r>
    </w:p>
    <w:p w14:paraId="6F68C565" w14:textId="23B58E34" w:rsidR="00087B91" w:rsidRPr="002029AF" w:rsidRDefault="00087B91" w:rsidP="00087B91">
      <w:pPr>
        <w:pStyle w:val="ARfinbody"/>
        <w:rPr>
          <w:rFonts w:cs="Arial"/>
        </w:rPr>
      </w:pPr>
      <w:r w:rsidRPr="002029AF">
        <w:t>AASB</w:t>
      </w:r>
      <w:r w:rsidR="000A5329" w:rsidRPr="002029AF">
        <w:t xml:space="preserve"> </w:t>
      </w:r>
      <w:r w:rsidRPr="002029AF">
        <w:t>1059</w:t>
      </w:r>
      <w:r w:rsidR="000A5329" w:rsidRPr="002029AF">
        <w:t xml:space="preserve"> </w:t>
      </w:r>
      <w:r w:rsidRPr="002029AF">
        <w:rPr>
          <w:rStyle w:val="Emphasis"/>
        </w:rPr>
        <w:t>Service</w:t>
      </w:r>
      <w:r w:rsidR="000A5329" w:rsidRPr="002029AF">
        <w:rPr>
          <w:rStyle w:val="Emphasis"/>
        </w:rPr>
        <w:t xml:space="preserve"> </w:t>
      </w:r>
      <w:r w:rsidRPr="002029AF">
        <w:rPr>
          <w:rStyle w:val="Emphasis"/>
        </w:rPr>
        <w:t>Concession</w:t>
      </w:r>
      <w:r w:rsidR="000A5329" w:rsidRPr="002029AF">
        <w:rPr>
          <w:rStyle w:val="Emphasis"/>
        </w:rPr>
        <w:t xml:space="preserve"> </w:t>
      </w:r>
      <w:r w:rsidRPr="002029AF">
        <w:rPr>
          <w:rStyle w:val="Emphasis"/>
        </w:rPr>
        <w:t>Arrangements:</w:t>
      </w:r>
      <w:r w:rsidR="000A5329" w:rsidRPr="002029AF">
        <w:rPr>
          <w:rStyle w:val="Emphasis"/>
        </w:rPr>
        <w:t xml:space="preserve"> </w:t>
      </w:r>
      <w:r w:rsidRPr="002029AF">
        <w:rPr>
          <w:rStyle w:val="Emphasis"/>
        </w:rPr>
        <w:t>Grantors</w:t>
      </w:r>
      <w:r w:rsidR="000A5329" w:rsidRPr="002029AF">
        <w:t xml:space="preserve"> </w:t>
      </w:r>
      <w:r w:rsidRPr="002029AF">
        <w:t>applies</w:t>
      </w:r>
      <w:r w:rsidR="000A5329" w:rsidRPr="002029AF">
        <w:t xml:space="preserve"> </w:t>
      </w:r>
      <w:r w:rsidRPr="002029AF">
        <w:t>to</w:t>
      </w:r>
      <w:r w:rsidR="000A5329" w:rsidRPr="002029AF">
        <w:t xml:space="preserve"> </w:t>
      </w:r>
      <w:r w:rsidRPr="002029AF">
        <w:t>annual</w:t>
      </w:r>
      <w:r w:rsidR="000A5329" w:rsidRPr="002029AF">
        <w:t xml:space="preserve"> </w:t>
      </w:r>
      <w:r w:rsidRPr="002029AF">
        <w:t>reporting</w:t>
      </w:r>
      <w:r w:rsidR="000A5329" w:rsidRPr="002029AF">
        <w:t xml:space="preserve"> </w:t>
      </w:r>
      <w:r w:rsidRPr="002029AF">
        <w:t>periods</w:t>
      </w:r>
      <w:r w:rsidR="000A5329" w:rsidRPr="002029AF">
        <w:t xml:space="preserve"> </w:t>
      </w:r>
      <w:r w:rsidRPr="002029AF">
        <w:t>beginning</w:t>
      </w:r>
      <w:r w:rsidR="000A5329" w:rsidRPr="002029AF">
        <w:t xml:space="preserve"> </w:t>
      </w:r>
      <w:r w:rsidRPr="002029AF">
        <w:t>on</w:t>
      </w:r>
      <w:r w:rsidR="000A5329" w:rsidRPr="002029AF">
        <w:t xml:space="preserve"> </w:t>
      </w:r>
      <w:r w:rsidRPr="002029AF">
        <w:t>or</w:t>
      </w:r>
      <w:r w:rsidR="000A5329" w:rsidRPr="002029AF">
        <w:t xml:space="preserve"> </w:t>
      </w:r>
      <w:r w:rsidRPr="002029AF">
        <w:t>after</w:t>
      </w:r>
      <w:r w:rsidR="000A5329" w:rsidRPr="002029AF">
        <w:t xml:space="preserve"> </w:t>
      </w:r>
      <w:r w:rsidRPr="002029AF">
        <w:t>1</w:t>
      </w:r>
      <w:r w:rsidR="000A5329" w:rsidRPr="002029AF">
        <w:t xml:space="preserve"> </w:t>
      </w:r>
      <w:r w:rsidRPr="002029AF">
        <w:t>January</w:t>
      </w:r>
      <w:r w:rsidR="000A5329" w:rsidRPr="002029AF">
        <w:t xml:space="preserve"> </w:t>
      </w:r>
      <w:r w:rsidRPr="002029AF">
        <w:rPr>
          <w:rFonts w:cs="Arial"/>
        </w:rPr>
        <w:t>2020</w:t>
      </w:r>
      <w:r w:rsidR="000A5329" w:rsidRPr="002029AF">
        <w:rPr>
          <w:rFonts w:cs="Arial"/>
        </w:rPr>
        <w:t xml:space="preserve"> </w:t>
      </w:r>
      <w:r w:rsidRPr="002029AF">
        <w:rPr>
          <w:rFonts w:cs="Arial"/>
        </w:rPr>
        <w:t>however</w:t>
      </w:r>
      <w:r w:rsidR="000A5329" w:rsidRPr="002029AF">
        <w:rPr>
          <w:rFonts w:cs="Arial"/>
        </w:rPr>
        <w:t xml:space="preserve"> </w:t>
      </w:r>
      <w:r w:rsidRPr="002029AF">
        <w:rPr>
          <w:rFonts w:cs="Arial"/>
        </w:rPr>
        <w:t>in</w:t>
      </w:r>
      <w:r w:rsidR="000A5329" w:rsidRPr="002029AF">
        <w:rPr>
          <w:rFonts w:cs="Arial"/>
        </w:rPr>
        <w:t xml:space="preserve"> </w:t>
      </w:r>
      <w:r w:rsidRPr="002029AF">
        <w:rPr>
          <w:rFonts w:cs="Arial"/>
        </w:rPr>
        <w:t>line</w:t>
      </w:r>
      <w:r w:rsidR="000A5329" w:rsidRPr="002029AF">
        <w:rPr>
          <w:rFonts w:cs="Arial"/>
        </w:rPr>
        <w:t xml:space="preserve"> </w:t>
      </w:r>
      <w:r w:rsidRPr="002029AF">
        <w:rPr>
          <w:rFonts w:cs="Arial"/>
        </w:rPr>
        <w:t>with</w:t>
      </w:r>
      <w:r w:rsidR="000A5329" w:rsidRPr="002029AF">
        <w:rPr>
          <w:rFonts w:cs="Arial"/>
        </w:rPr>
        <w:t xml:space="preserve"> </w:t>
      </w:r>
      <w:r w:rsidRPr="002029AF">
        <w:rPr>
          <w:rFonts w:cs="Arial"/>
        </w:rPr>
        <w:t>FRD</w:t>
      </w:r>
      <w:r w:rsidR="000A5329" w:rsidRPr="002029AF">
        <w:rPr>
          <w:rFonts w:cs="Arial"/>
        </w:rPr>
        <w:t xml:space="preserve"> </w:t>
      </w:r>
      <w:r w:rsidRPr="002029AF">
        <w:rPr>
          <w:rFonts w:cs="Arial"/>
        </w:rPr>
        <w:t>124</w:t>
      </w:r>
      <w:r w:rsidR="000A5329" w:rsidRPr="002029AF">
        <w:rPr>
          <w:rFonts w:cs="Arial"/>
        </w:rPr>
        <w:t xml:space="preserve"> </w:t>
      </w:r>
      <w:r w:rsidRPr="002029AF">
        <w:rPr>
          <w:rStyle w:val="Emphasis"/>
        </w:rPr>
        <w:t>Transitional</w:t>
      </w:r>
      <w:r w:rsidR="000A5329" w:rsidRPr="002029AF">
        <w:t xml:space="preserve"> </w:t>
      </w:r>
      <w:r w:rsidRPr="002029AF">
        <w:t>r</w:t>
      </w:r>
      <w:r w:rsidRPr="002029AF">
        <w:rPr>
          <w:rFonts w:cs="Arial"/>
        </w:rPr>
        <w:t>equirements</w:t>
      </w:r>
      <w:r w:rsidR="000A5329" w:rsidRPr="002029AF">
        <w:rPr>
          <w:rFonts w:cs="Arial"/>
        </w:rPr>
        <w:t xml:space="preserve"> </w:t>
      </w:r>
      <w:r w:rsidRPr="002029AF">
        <w:rPr>
          <w:rFonts w:cs="Arial"/>
        </w:rPr>
        <w:t>on</w:t>
      </w:r>
      <w:r w:rsidR="000A5329" w:rsidRPr="002029AF">
        <w:rPr>
          <w:rFonts w:cs="Arial"/>
        </w:rPr>
        <w:t xml:space="preserve"> </w:t>
      </w:r>
      <w:r w:rsidRPr="002029AF">
        <w:rPr>
          <w:rFonts w:cs="Arial"/>
        </w:rPr>
        <w:t>the</w:t>
      </w:r>
      <w:r w:rsidR="000A5329" w:rsidRPr="002029AF">
        <w:rPr>
          <w:rFonts w:cs="Arial"/>
        </w:rPr>
        <w:t xml:space="preserve"> </w:t>
      </w:r>
      <w:r w:rsidRPr="002029AF">
        <w:rPr>
          <w:rFonts w:cs="Arial"/>
        </w:rPr>
        <w:t>application</w:t>
      </w:r>
      <w:r w:rsidR="000A5329" w:rsidRPr="002029AF">
        <w:rPr>
          <w:rFonts w:cs="Arial"/>
        </w:rPr>
        <w:t xml:space="preserve"> </w:t>
      </w:r>
      <w:r w:rsidRPr="002029AF">
        <w:rPr>
          <w:rFonts w:cs="Arial"/>
        </w:rPr>
        <w:t>of</w:t>
      </w:r>
      <w:r w:rsidR="000A5329" w:rsidRPr="002029AF">
        <w:rPr>
          <w:rFonts w:cs="Arial"/>
        </w:rPr>
        <w:t xml:space="preserve"> </w:t>
      </w:r>
      <w:r w:rsidRPr="002029AF">
        <w:rPr>
          <w:rFonts w:cs="Arial"/>
        </w:rPr>
        <w:t>AASB</w:t>
      </w:r>
      <w:r w:rsidR="000A5329" w:rsidRPr="002029AF">
        <w:rPr>
          <w:rFonts w:cs="Arial"/>
        </w:rPr>
        <w:t xml:space="preserve"> </w:t>
      </w:r>
      <w:r w:rsidRPr="002029AF">
        <w:rPr>
          <w:rFonts w:cs="Arial"/>
        </w:rPr>
        <w:t>1059</w:t>
      </w:r>
      <w:r w:rsidR="000A5329" w:rsidRPr="002029AF">
        <w:rPr>
          <w:rFonts w:cs="Arial"/>
        </w:rPr>
        <w:t xml:space="preserve"> </w:t>
      </w:r>
      <w:r w:rsidRPr="002029AF">
        <w:rPr>
          <w:rStyle w:val="Emphasis"/>
        </w:rPr>
        <w:t>Service</w:t>
      </w:r>
      <w:r w:rsidR="000A5329" w:rsidRPr="002029AF">
        <w:rPr>
          <w:rStyle w:val="Emphasis"/>
        </w:rPr>
        <w:t xml:space="preserve"> </w:t>
      </w:r>
      <w:r w:rsidRPr="002029AF">
        <w:rPr>
          <w:rStyle w:val="Emphasis"/>
        </w:rPr>
        <w:t>Concession</w:t>
      </w:r>
      <w:r w:rsidR="000A5329" w:rsidRPr="002029AF">
        <w:rPr>
          <w:rStyle w:val="Emphasis"/>
        </w:rPr>
        <w:t xml:space="preserve"> </w:t>
      </w:r>
      <w:r w:rsidRPr="002029AF">
        <w:rPr>
          <w:rStyle w:val="Emphasis"/>
        </w:rPr>
        <w:t>Arrangements:</w:t>
      </w:r>
      <w:r w:rsidR="000A5329" w:rsidRPr="002029AF">
        <w:rPr>
          <w:rStyle w:val="Emphasis"/>
        </w:rPr>
        <w:t xml:space="preserve"> </w:t>
      </w:r>
      <w:r w:rsidRPr="002029AF">
        <w:rPr>
          <w:rStyle w:val="Emphasis"/>
        </w:rPr>
        <w:t>Grantors</w:t>
      </w:r>
      <w:r w:rsidRPr="002029AF">
        <w:t>,</w:t>
      </w:r>
      <w:r w:rsidR="000A5329" w:rsidRPr="002029AF">
        <w:t xml:space="preserve"> </w:t>
      </w:r>
      <w:r w:rsidRPr="002029AF">
        <w:rPr>
          <w:rFonts w:cs="Arial"/>
        </w:rPr>
        <w:t>the</w:t>
      </w:r>
      <w:r w:rsidR="000A5329" w:rsidRPr="002029AF">
        <w:rPr>
          <w:rFonts w:cs="Arial"/>
        </w:rPr>
        <w:t xml:space="preserve"> </w:t>
      </w:r>
      <w:r w:rsidRPr="002029AF">
        <w:rPr>
          <w:rFonts w:cs="Arial"/>
        </w:rPr>
        <w:t>department</w:t>
      </w:r>
      <w:r w:rsidR="000A5329" w:rsidRPr="002029AF">
        <w:rPr>
          <w:rFonts w:cs="Arial"/>
        </w:rPr>
        <w:t xml:space="preserve"> </w:t>
      </w:r>
      <w:r w:rsidRPr="002029AF">
        <w:rPr>
          <w:rFonts w:cs="Arial"/>
        </w:rPr>
        <w:t>has</w:t>
      </w:r>
      <w:r w:rsidR="000A5329" w:rsidRPr="002029AF">
        <w:rPr>
          <w:rFonts w:cs="Arial"/>
        </w:rPr>
        <w:t xml:space="preserve"> </w:t>
      </w:r>
      <w:r w:rsidRPr="002029AF">
        <w:rPr>
          <w:rFonts w:cs="Arial"/>
        </w:rPr>
        <w:t>early</w:t>
      </w:r>
      <w:r w:rsidR="000A5329" w:rsidRPr="002029AF">
        <w:rPr>
          <w:rFonts w:cs="Arial"/>
        </w:rPr>
        <w:t xml:space="preserve"> </w:t>
      </w:r>
      <w:r w:rsidRPr="002029AF">
        <w:rPr>
          <w:rFonts w:cs="Arial"/>
        </w:rPr>
        <w:t>adopted</w:t>
      </w:r>
      <w:r w:rsidR="000A5329" w:rsidRPr="002029AF">
        <w:rPr>
          <w:rFonts w:cs="Arial"/>
        </w:rPr>
        <w:t xml:space="preserve"> </w:t>
      </w:r>
      <w:r w:rsidRPr="002029AF">
        <w:rPr>
          <w:rFonts w:cs="Arial"/>
        </w:rPr>
        <w:t>it</w:t>
      </w:r>
      <w:r w:rsidR="000A5329" w:rsidRPr="002029AF">
        <w:rPr>
          <w:rFonts w:cs="Arial"/>
        </w:rPr>
        <w:t xml:space="preserve"> </w:t>
      </w:r>
      <w:r w:rsidRPr="002029AF">
        <w:rPr>
          <w:rFonts w:cs="Arial"/>
        </w:rPr>
        <w:t>from</w:t>
      </w:r>
      <w:r w:rsidR="000A5329" w:rsidRPr="002029AF">
        <w:rPr>
          <w:rFonts w:cs="Arial"/>
        </w:rPr>
        <w:t xml:space="preserve"> </w:t>
      </w:r>
      <w:r w:rsidRPr="002029AF">
        <w:rPr>
          <w:rFonts w:cs="Arial"/>
        </w:rPr>
        <w:t>1</w:t>
      </w:r>
      <w:r w:rsidR="000A5329" w:rsidRPr="002029AF">
        <w:rPr>
          <w:rFonts w:cs="Arial"/>
        </w:rPr>
        <w:t xml:space="preserve"> </w:t>
      </w:r>
      <w:r w:rsidRPr="002029AF">
        <w:rPr>
          <w:rFonts w:cs="Arial"/>
        </w:rPr>
        <w:t>July</w:t>
      </w:r>
      <w:r w:rsidR="000A5329" w:rsidRPr="002029AF">
        <w:rPr>
          <w:rFonts w:cs="Arial"/>
        </w:rPr>
        <w:t xml:space="preserve"> </w:t>
      </w:r>
      <w:r w:rsidRPr="002029AF">
        <w:rPr>
          <w:rFonts w:cs="Arial"/>
        </w:rPr>
        <w:t>2019.</w:t>
      </w:r>
    </w:p>
    <w:p w14:paraId="2169A882" w14:textId="536A07CF" w:rsidR="00087B91" w:rsidRPr="002029AF" w:rsidRDefault="00087B91" w:rsidP="00087B91">
      <w:pPr>
        <w:pStyle w:val="ARfinbody"/>
      </w:pPr>
      <w:r w:rsidRPr="002029AF">
        <w:t>In</w:t>
      </w:r>
      <w:r w:rsidR="000A5329" w:rsidRPr="002029AF">
        <w:t xml:space="preserve"> </w:t>
      </w:r>
      <w:r w:rsidRPr="002029AF">
        <w:t>line</w:t>
      </w:r>
      <w:r w:rsidR="000A5329" w:rsidRPr="002029AF">
        <w:t xml:space="preserve"> </w:t>
      </w:r>
      <w:r w:rsidRPr="002029AF">
        <w:t>with</w:t>
      </w:r>
      <w:r w:rsidR="000A5329" w:rsidRPr="002029AF">
        <w:t xml:space="preserve"> </w:t>
      </w:r>
      <w:r w:rsidRPr="002029AF">
        <w:t>FRD</w:t>
      </w:r>
      <w:r w:rsidR="000A5329" w:rsidRPr="002029AF">
        <w:t xml:space="preserve"> </w:t>
      </w:r>
      <w:r w:rsidRPr="002029AF">
        <w:t>124</w:t>
      </w:r>
      <w:r w:rsidR="000A5329" w:rsidRPr="002029AF">
        <w:t xml:space="preserve"> </w:t>
      </w:r>
      <w:r w:rsidRPr="002029AF">
        <w:t>requirements,</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applied</w:t>
      </w:r>
      <w:r w:rsidR="000A5329" w:rsidRPr="002029AF">
        <w:t xml:space="preserve"> </w:t>
      </w:r>
      <w:r w:rsidRPr="002029AF">
        <w:t>the</w:t>
      </w:r>
      <w:r w:rsidR="000A5329" w:rsidRPr="002029AF">
        <w:t xml:space="preserve"> </w:t>
      </w:r>
      <w:r w:rsidRPr="002029AF">
        <w:t>transitional</w:t>
      </w:r>
      <w:r w:rsidR="000A5329" w:rsidRPr="002029AF">
        <w:t xml:space="preserve"> </w:t>
      </w:r>
      <w:r w:rsidRPr="002029AF">
        <w:t>provisions</w:t>
      </w:r>
      <w:r w:rsidR="000A5329" w:rsidRPr="002029AF">
        <w:t xml:space="preserve"> </w:t>
      </w:r>
      <w:r w:rsidRPr="002029AF">
        <w:t>of</w:t>
      </w:r>
      <w:r w:rsidR="000A5329" w:rsidRPr="002029AF">
        <w:t xml:space="preserve"> </w:t>
      </w:r>
      <w:r w:rsidRPr="002029AF">
        <w:t>AASB</w:t>
      </w:r>
      <w:r w:rsidR="000A5329" w:rsidRPr="002029AF">
        <w:t xml:space="preserve"> </w:t>
      </w:r>
      <w:r w:rsidRPr="002029AF">
        <w:t>1059</w:t>
      </w:r>
      <w:r w:rsidR="000A5329" w:rsidRPr="002029AF">
        <w:t xml:space="preserve"> </w:t>
      </w:r>
      <w:r w:rsidRPr="002029AF">
        <w:t>and</w:t>
      </w:r>
      <w:r w:rsidR="000A5329" w:rsidRPr="002029AF">
        <w:t xml:space="preserve"> </w:t>
      </w:r>
      <w:r w:rsidRPr="002029AF">
        <w:t>applied</w:t>
      </w:r>
      <w:r w:rsidR="000A5329" w:rsidRPr="002029AF">
        <w:t xml:space="preserve"> </w:t>
      </w:r>
      <w:r w:rsidRPr="002029AF">
        <w:t>a</w:t>
      </w:r>
      <w:r w:rsidR="000A5329" w:rsidRPr="002029AF">
        <w:t xml:space="preserve"> </w:t>
      </w:r>
      <w:r w:rsidRPr="002029AF">
        <w:t>full</w:t>
      </w:r>
      <w:r w:rsidR="000A5329" w:rsidRPr="002029AF">
        <w:t xml:space="preserve"> </w:t>
      </w:r>
      <w:r w:rsidRPr="002029AF">
        <w:t>retrospective</w:t>
      </w:r>
      <w:r w:rsidR="000A5329" w:rsidRPr="002029AF">
        <w:t xml:space="preserve"> </w:t>
      </w:r>
      <w:r w:rsidRPr="002029AF">
        <w:t>approach</w:t>
      </w:r>
      <w:r w:rsidR="000A5329" w:rsidRPr="002029AF">
        <w:t xml:space="preserve"> </w:t>
      </w:r>
      <w:r w:rsidRPr="002029AF">
        <w:t>to</w:t>
      </w:r>
      <w:r w:rsidR="000A5329" w:rsidRPr="002029AF">
        <w:t xml:space="preserve"> </w:t>
      </w:r>
      <w:r w:rsidRPr="002029AF">
        <w:t>prior</w:t>
      </w:r>
      <w:r w:rsidR="000A5329" w:rsidRPr="002029AF">
        <w:t xml:space="preserve"> </w:t>
      </w:r>
      <w:r w:rsidRPr="002029AF">
        <w:t>reporting</w:t>
      </w:r>
      <w:r w:rsidR="000A5329" w:rsidRPr="002029AF">
        <w:t xml:space="preserve"> </w:t>
      </w:r>
      <w:r w:rsidRPr="002029AF">
        <w:t>periods.</w:t>
      </w:r>
      <w:r w:rsidR="000A5329" w:rsidRPr="002029AF">
        <w:t xml:space="preserve"> </w:t>
      </w:r>
      <w:r w:rsidRPr="002029AF">
        <w:t>The</w:t>
      </w:r>
      <w:r w:rsidR="000A5329" w:rsidRPr="002029AF">
        <w:t xml:space="preserve"> </w:t>
      </w:r>
      <w:r w:rsidRPr="002029AF">
        <w:t>effect</w:t>
      </w:r>
      <w:r w:rsidR="000A5329" w:rsidRPr="002029AF">
        <w:t xml:space="preserve"> </w:t>
      </w:r>
      <w:r w:rsidRPr="002029AF">
        <w:t>of</w:t>
      </w:r>
      <w:r w:rsidR="000A5329" w:rsidRPr="002029AF">
        <w:t xml:space="preserve"> </w:t>
      </w:r>
      <w:r w:rsidRPr="002029AF">
        <w:t>this</w:t>
      </w:r>
      <w:r w:rsidR="000A5329" w:rsidRPr="002029AF">
        <w:t xml:space="preserve"> </w:t>
      </w:r>
      <w:r w:rsidRPr="002029AF">
        <w:t>is</w:t>
      </w:r>
      <w:r w:rsidR="000A5329" w:rsidRPr="002029AF">
        <w:t xml:space="preserve"> </w:t>
      </w:r>
      <w:r w:rsidRPr="002029AF">
        <w:t>that</w:t>
      </w:r>
      <w:r w:rsidR="000A5329" w:rsidRPr="002029AF">
        <w:t xml:space="preserve"> </w:t>
      </w:r>
      <w:r w:rsidRPr="002029AF">
        <w:t>it</w:t>
      </w:r>
      <w:r w:rsidR="000A5329" w:rsidRPr="002029AF">
        <w:t xml:space="preserve"> </w:t>
      </w:r>
      <w:r w:rsidRPr="002029AF">
        <w:t>has</w:t>
      </w:r>
      <w:r w:rsidR="000A5329" w:rsidRPr="002029AF">
        <w:t xml:space="preserve"> </w:t>
      </w:r>
      <w:r w:rsidRPr="002029AF">
        <w:t>been</w:t>
      </w:r>
      <w:r w:rsidR="000A5329" w:rsidRPr="002029AF">
        <w:t xml:space="preserve"> </w:t>
      </w:r>
      <w:r w:rsidRPr="002029AF">
        <w:t>applied</w:t>
      </w:r>
      <w:r w:rsidR="000A5329" w:rsidRPr="002029AF">
        <w:t xml:space="preserve"> </w:t>
      </w:r>
      <w:r w:rsidRPr="002029AF">
        <w:t>as</w:t>
      </w:r>
      <w:r w:rsidR="000A5329" w:rsidRPr="002029AF">
        <w:t xml:space="preserve"> </w:t>
      </w:r>
      <w:r w:rsidRPr="002029AF">
        <w:t>if</w:t>
      </w:r>
      <w:r w:rsidR="000A5329" w:rsidRPr="002029AF">
        <w:t xml:space="preserve"> </w:t>
      </w:r>
      <w:r w:rsidRPr="002029AF">
        <w:t>it</w:t>
      </w:r>
      <w:r w:rsidR="000A5329" w:rsidRPr="002029AF">
        <w:t xml:space="preserve"> </w:t>
      </w:r>
      <w:r w:rsidRPr="002029AF">
        <w:t>has</w:t>
      </w:r>
      <w:r w:rsidR="000A5329" w:rsidRPr="002029AF">
        <w:t xml:space="preserve"> </w:t>
      </w:r>
      <w:r w:rsidRPr="002029AF">
        <w:t>always</w:t>
      </w:r>
      <w:r w:rsidR="000A5329" w:rsidRPr="002029AF">
        <w:t xml:space="preserve"> </w:t>
      </w:r>
      <w:r w:rsidRPr="002029AF">
        <w:t>been</w:t>
      </w:r>
      <w:r w:rsidR="000A5329" w:rsidRPr="002029AF">
        <w:t xml:space="preserve"> </w:t>
      </w:r>
      <w:r w:rsidRPr="002029AF">
        <w:t>in</w:t>
      </w:r>
      <w:r w:rsidR="000A5329" w:rsidRPr="002029AF">
        <w:t xml:space="preserve"> </w:t>
      </w:r>
      <w:r w:rsidRPr="002029AF">
        <w:t>effect.</w:t>
      </w:r>
      <w:r w:rsidR="000A5329" w:rsidRPr="002029AF">
        <w:t xml:space="preserve"> </w:t>
      </w:r>
      <w:r w:rsidRPr="002029AF">
        <w:t>Where</w:t>
      </w:r>
      <w:r w:rsidR="000A5329" w:rsidRPr="002029AF">
        <w:t xml:space="preserve"> </w:t>
      </w:r>
      <w:r w:rsidRPr="002029AF">
        <w:t>applicable,</w:t>
      </w:r>
      <w:r w:rsidR="000A5329" w:rsidRPr="002029AF">
        <w:t xml:space="preserve"> </w:t>
      </w:r>
      <w:r w:rsidRPr="002029AF">
        <w:t>comparatives</w:t>
      </w:r>
      <w:r w:rsidR="000A5329" w:rsidRPr="002029AF">
        <w:t xml:space="preserve"> </w:t>
      </w:r>
      <w:r w:rsidRPr="002029AF">
        <w:t>have</w:t>
      </w:r>
      <w:r w:rsidR="000A5329" w:rsidRPr="002029AF">
        <w:t xml:space="preserve"> </w:t>
      </w:r>
      <w:r w:rsidRPr="002029AF">
        <w:t>been</w:t>
      </w:r>
      <w:r w:rsidR="000A5329" w:rsidRPr="002029AF">
        <w:t xml:space="preserve"> </w:t>
      </w:r>
      <w:r w:rsidRPr="002029AF">
        <w:t>restated</w:t>
      </w:r>
      <w:r w:rsidR="000A5329" w:rsidRPr="002029AF">
        <w:t xml:space="preserve"> </w:t>
      </w:r>
      <w:r w:rsidRPr="002029AF">
        <w:t>and</w:t>
      </w:r>
      <w:r w:rsidR="000A5329" w:rsidRPr="002029AF">
        <w:t xml:space="preserve"> </w:t>
      </w:r>
      <w:r w:rsidRPr="002029AF">
        <w:t>retained</w:t>
      </w:r>
      <w:r w:rsidR="000A5329" w:rsidRPr="002029AF">
        <w:t xml:space="preserve"> </w:t>
      </w:r>
      <w:r w:rsidRPr="002029AF">
        <w:t>earnings</w:t>
      </w:r>
      <w:r w:rsidR="000A5329" w:rsidRPr="002029AF">
        <w:t xml:space="preserve"> </w:t>
      </w:r>
      <w:r w:rsidRPr="002029AF">
        <w:t>adjusted</w:t>
      </w:r>
      <w:r w:rsidR="000A5329" w:rsidRPr="002029AF">
        <w:t xml:space="preserve"> </w:t>
      </w:r>
      <w:r w:rsidRPr="002029AF">
        <w:t>at</w:t>
      </w:r>
      <w:r w:rsidR="000A5329" w:rsidRPr="002029AF">
        <w:t xml:space="preserve"> </w:t>
      </w:r>
      <w:r w:rsidRPr="002029AF">
        <w:t>1</w:t>
      </w:r>
      <w:r w:rsidR="000A5329" w:rsidRPr="002029AF">
        <w:t xml:space="preserve"> </w:t>
      </w:r>
      <w:r w:rsidRPr="002029AF">
        <w:t>July</w:t>
      </w:r>
      <w:r w:rsidR="000A5329" w:rsidRPr="002029AF">
        <w:t xml:space="preserve"> </w:t>
      </w:r>
      <w:r w:rsidRPr="002029AF">
        <w:t>2018</w:t>
      </w:r>
      <w:r w:rsidR="000A5329" w:rsidRPr="002029AF">
        <w:t xml:space="preserve"> </w:t>
      </w:r>
      <w:r w:rsidRPr="002029AF">
        <w:t>to</w:t>
      </w:r>
      <w:r w:rsidR="000A5329" w:rsidRPr="002029AF">
        <w:t xml:space="preserve"> </w:t>
      </w:r>
      <w:r w:rsidRPr="002029AF">
        <w:t>reflect</w:t>
      </w:r>
      <w:r w:rsidR="000A5329" w:rsidRPr="002029AF">
        <w:t xml:space="preserve"> </w:t>
      </w:r>
      <w:r w:rsidRPr="002029AF">
        <w:t>the</w:t>
      </w:r>
      <w:r w:rsidR="000A5329" w:rsidRPr="002029AF">
        <w:t xml:space="preserve"> </w:t>
      </w:r>
      <w:r w:rsidRPr="002029AF">
        <w:t>impact</w:t>
      </w:r>
      <w:r w:rsidR="000A5329" w:rsidRPr="002029AF">
        <w:t xml:space="preserve"> </w:t>
      </w:r>
      <w:r w:rsidRPr="002029AF">
        <w:t>of</w:t>
      </w:r>
      <w:r w:rsidR="000A5329" w:rsidRPr="002029AF">
        <w:t xml:space="preserve"> </w:t>
      </w:r>
      <w:r w:rsidRPr="002029AF">
        <w:t>the</w:t>
      </w:r>
      <w:r w:rsidR="000A5329" w:rsidRPr="002029AF">
        <w:t xml:space="preserve"> </w:t>
      </w:r>
      <w:r w:rsidRPr="002029AF">
        <w:t>standard.</w:t>
      </w:r>
    </w:p>
    <w:p w14:paraId="6D723D98" w14:textId="00FA3677" w:rsidR="00087B91" w:rsidRPr="002029AF" w:rsidRDefault="00087B91" w:rsidP="00087B91">
      <w:pPr>
        <w:pStyle w:val="ARfinbody"/>
        <w:rPr>
          <w:highlight w:val="yellow"/>
        </w:rPr>
      </w:pPr>
      <w:r w:rsidRPr="002029AF">
        <w:t>The</w:t>
      </w:r>
      <w:r w:rsidR="000A5329" w:rsidRPr="002029AF">
        <w:t xml:space="preserve"> </w:t>
      </w:r>
      <w:r w:rsidRPr="002029AF">
        <w:t>department</w:t>
      </w:r>
      <w:r w:rsidR="000A5329" w:rsidRPr="002029AF">
        <w:t xml:space="preserve"> </w:t>
      </w:r>
      <w:r w:rsidRPr="002029AF">
        <w:t>has</w:t>
      </w:r>
      <w:r w:rsidR="000A5329" w:rsidRPr="002029AF">
        <w:t xml:space="preserve"> </w:t>
      </w:r>
      <w:r w:rsidRPr="002029AF">
        <w:t>reviewed</w:t>
      </w:r>
      <w:r w:rsidR="000A5329" w:rsidRPr="002029AF">
        <w:t xml:space="preserve"> </w:t>
      </w:r>
      <w:r w:rsidRPr="002029AF">
        <w:t>all</w:t>
      </w:r>
      <w:r w:rsidR="000A5329" w:rsidRPr="002029AF">
        <w:t xml:space="preserve"> </w:t>
      </w:r>
      <w:r w:rsidRPr="002029AF">
        <w:t>of</w:t>
      </w:r>
      <w:r w:rsidR="000A5329" w:rsidRPr="002029AF">
        <w:t xml:space="preserve"> </w:t>
      </w:r>
      <w:r w:rsidRPr="002029AF">
        <w:t>its</w:t>
      </w:r>
      <w:r w:rsidR="000A5329" w:rsidRPr="002029AF">
        <w:t xml:space="preserve"> </w:t>
      </w:r>
      <w:r w:rsidRPr="002029AF">
        <w:t>arrangements</w:t>
      </w:r>
      <w:r w:rsidR="000A5329" w:rsidRPr="002029AF">
        <w:t xml:space="preserve"> </w:t>
      </w:r>
      <w:r w:rsidRPr="002029AF">
        <w:t>to</w:t>
      </w:r>
      <w:r w:rsidR="000A5329" w:rsidRPr="002029AF">
        <w:t xml:space="preserve"> </w:t>
      </w:r>
      <w:r w:rsidRPr="002029AF">
        <w:t>assess</w:t>
      </w:r>
      <w:r w:rsidR="000A5329" w:rsidRPr="002029AF">
        <w:t xml:space="preserve"> </w:t>
      </w:r>
      <w:r w:rsidRPr="002029AF">
        <w:t>whether</w:t>
      </w:r>
      <w:r w:rsidR="000A5329" w:rsidRPr="002029AF">
        <w:t xml:space="preserve"> </w:t>
      </w:r>
      <w:r w:rsidRPr="002029AF">
        <w:t>AASB</w:t>
      </w:r>
      <w:r w:rsidR="000A5329" w:rsidRPr="002029AF">
        <w:t xml:space="preserve"> </w:t>
      </w:r>
      <w:r w:rsidRPr="002029AF">
        <w:t>1059</w:t>
      </w:r>
      <w:r w:rsidR="000A5329" w:rsidRPr="002029AF">
        <w:t xml:space="preserve"> </w:t>
      </w:r>
      <w:r w:rsidRPr="002029AF">
        <w:t>applies.</w:t>
      </w:r>
      <w:r w:rsidR="000A5329" w:rsidRPr="002029AF">
        <w:t xml:space="preserve"> </w:t>
      </w:r>
      <w:r w:rsidRPr="002029AF">
        <w:t>The</w:t>
      </w:r>
      <w:r w:rsidR="000A5329" w:rsidRPr="002029AF">
        <w:t xml:space="preserve"> </w:t>
      </w:r>
      <w:r w:rsidRPr="002029AF">
        <w:t>impacts</w:t>
      </w:r>
      <w:r w:rsidR="000A5329" w:rsidRPr="002029AF">
        <w:t xml:space="preserve"> </w:t>
      </w:r>
      <w:r w:rsidRPr="002029AF">
        <w:t>in</w:t>
      </w:r>
      <w:r w:rsidR="000A5329" w:rsidRPr="002029AF">
        <w:t xml:space="preserve"> </w:t>
      </w:r>
      <w:r w:rsidRPr="002029AF">
        <w:t>the</w:t>
      </w:r>
      <w:r w:rsidR="000A5329" w:rsidRPr="002029AF">
        <w:t xml:space="preserve"> </w:t>
      </w:r>
      <w:r w:rsidRPr="002029AF">
        <w:t>initial</w:t>
      </w:r>
      <w:r w:rsidR="000A5329" w:rsidRPr="002029AF">
        <w:t xml:space="preserve"> </w:t>
      </w:r>
      <w:r w:rsidRPr="002029AF">
        <w:t>year</w:t>
      </w:r>
      <w:r w:rsidR="000A5329" w:rsidRPr="002029AF">
        <w:t xml:space="preserve"> </w:t>
      </w:r>
      <w:r w:rsidRPr="002029AF">
        <w:t>of</w:t>
      </w:r>
      <w:r w:rsidR="000A5329" w:rsidRPr="002029AF">
        <w:t xml:space="preserve"> </w:t>
      </w:r>
      <w:r w:rsidRPr="002029AF">
        <w:t>application</w:t>
      </w:r>
      <w:r w:rsidR="000A5329" w:rsidRPr="002029AF">
        <w:t xml:space="preserve"> </w:t>
      </w:r>
      <w:r w:rsidRPr="002029AF">
        <w:t>are</w:t>
      </w:r>
      <w:r w:rsidR="000A5329" w:rsidRPr="002029AF">
        <w:t xml:space="preserve"> </w:t>
      </w:r>
      <w:r w:rsidRPr="002029AF">
        <w:t>the</w:t>
      </w:r>
      <w:r w:rsidR="000A5329" w:rsidRPr="002029AF">
        <w:t xml:space="preserve"> </w:t>
      </w:r>
      <w:r w:rsidRPr="002029AF">
        <w:t>reclassification</w:t>
      </w:r>
      <w:r w:rsidR="000A5329" w:rsidRPr="002029AF">
        <w:t xml:space="preserve"> </w:t>
      </w:r>
      <w:r w:rsidRPr="002029AF">
        <w:t>within</w:t>
      </w:r>
      <w:r w:rsidR="000A5329" w:rsidRPr="002029AF">
        <w:t xml:space="preserve"> </w:t>
      </w:r>
      <w:r w:rsidRPr="002029AF">
        <w:t>property,</w:t>
      </w:r>
      <w:r w:rsidR="000A5329" w:rsidRPr="002029AF">
        <w:t xml:space="preserve"> </w:t>
      </w:r>
      <w:r w:rsidRPr="002029AF">
        <w:t>plant</w:t>
      </w:r>
      <w:r w:rsidR="000A5329" w:rsidRPr="002029AF">
        <w:t xml:space="preserve"> </w:t>
      </w:r>
      <w:r w:rsidRPr="002029AF">
        <w:t>and</w:t>
      </w:r>
      <w:r w:rsidR="000A5329" w:rsidRPr="002029AF">
        <w:t xml:space="preserve"> </w:t>
      </w:r>
      <w:r w:rsidRPr="002029AF">
        <w:t>equipment</w:t>
      </w:r>
      <w:r w:rsidR="000A5329" w:rsidRPr="002029AF">
        <w:t xml:space="preserve"> </w:t>
      </w:r>
      <w:r w:rsidRPr="002029AF">
        <w:t>asset</w:t>
      </w:r>
      <w:r w:rsidR="000A5329" w:rsidRPr="002029AF">
        <w:t xml:space="preserve"> </w:t>
      </w:r>
      <w:r w:rsidRPr="002029AF">
        <w:t>class</w:t>
      </w:r>
      <w:r w:rsidR="000A5329" w:rsidRPr="002029AF">
        <w:t xml:space="preserve"> </w:t>
      </w:r>
      <w:r w:rsidRPr="002029AF">
        <w:t>between</w:t>
      </w:r>
      <w:r w:rsidR="000A5329" w:rsidRPr="002029AF">
        <w:t xml:space="preserve"> </w:t>
      </w:r>
      <w:r w:rsidRPr="002029AF">
        <w:t>service</w:t>
      </w:r>
      <w:r w:rsidR="000A5329" w:rsidRPr="002029AF">
        <w:t xml:space="preserve"> </w:t>
      </w:r>
      <w:r w:rsidRPr="002029AF">
        <w:t>concession</w:t>
      </w:r>
      <w:r w:rsidR="000A5329" w:rsidRPr="002029AF">
        <w:t xml:space="preserve"> </w:t>
      </w:r>
      <w:r w:rsidRPr="002029AF">
        <w:t>assets</w:t>
      </w:r>
      <w:r w:rsidR="000A5329" w:rsidRPr="002029AF">
        <w:t xml:space="preserve"> </w:t>
      </w:r>
      <w:r w:rsidRPr="002029AF">
        <w:t>and</w:t>
      </w:r>
      <w:r w:rsidR="000A5329" w:rsidRPr="002029AF">
        <w:t xml:space="preserve"> </w:t>
      </w:r>
      <w:r w:rsidRPr="002029AF">
        <w:t>property,</w:t>
      </w:r>
      <w:r w:rsidR="000A5329" w:rsidRPr="002029AF">
        <w:t xml:space="preserve"> </w:t>
      </w:r>
      <w:r w:rsidRPr="002029AF">
        <w:t>plant</w:t>
      </w:r>
      <w:r w:rsidR="000A5329" w:rsidRPr="002029AF">
        <w:t xml:space="preserve"> </w:t>
      </w:r>
      <w:r w:rsidRPr="002029AF">
        <w:t>and</w:t>
      </w:r>
      <w:r w:rsidR="000A5329" w:rsidRPr="002029AF">
        <w:t xml:space="preserve"> </w:t>
      </w:r>
      <w:r w:rsidRPr="002029AF">
        <w:t>equipment,</w:t>
      </w:r>
      <w:r w:rsidR="000A5329" w:rsidRPr="002029AF">
        <w:t xml:space="preserve"> </w:t>
      </w:r>
      <w:r w:rsidRPr="002029AF">
        <w:t>and</w:t>
      </w:r>
      <w:r w:rsidR="000A5329" w:rsidRPr="002029AF">
        <w:t xml:space="preserve"> </w:t>
      </w:r>
      <w:r w:rsidRPr="002029AF">
        <w:t>the</w:t>
      </w:r>
      <w:r w:rsidR="000A5329" w:rsidRPr="002029AF">
        <w:t xml:space="preserve"> </w:t>
      </w:r>
      <w:r w:rsidRPr="002029AF">
        <w:t>reclassification</w:t>
      </w:r>
      <w:r w:rsidR="000A5329" w:rsidRPr="002029AF">
        <w:t xml:space="preserve"> </w:t>
      </w:r>
      <w:r w:rsidRPr="002029AF">
        <w:t>within</w:t>
      </w:r>
      <w:r w:rsidR="000A5329" w:rsidRPr="002029AF">
        <w:t xml:space="preserve"> </w:t>
      </w:r>
      <w:r w:rsidRPr="002029AF">
        <w:t>intangible</w:t>
      </w:r>
      <w:r w:rsidR="000A5329" w:rsidRPr="002029AF">
        <w:t xml:space="preserve"> </w:t>
      </w:r>
      <w:r w:rsidRPr="002029AF">
        <w:t>asset</w:t>
      </w:r>
      <w:r w:rsidR="000A5329" w:rsidRPr="002029AF">
        <w:t xml:space="preserve"> </w:t>
      </w:r>
      <w:r w:rsidRPr="002029AF">
        <w:t>class</w:t>
      </w:r>
      <w:r w:rsidR="000A5329" w:rsidRPr="002029AF">
        <w:t xml:space="preserve"> </w:t>
      </w:r>
      <w:r w:rsidRPr="002029AF">
        <w:t>between</w:t>
      </w:r>
      <w:r w:rsidR="000A5329" w:rsidRPr="002029AF">
        <w:t xml:space="preserve"> </w:t>
      </w:r>
      <w:r w:rsidRPr="002029AF">
        <w:t>service</w:t>
      </w:r>
      <w:r w:rsidR="000A5329" w:rsidRPr="002029AF">
        <w:t xml:space="preserve"> </w:t>
      </w:r>
      <w:r w:rsidRPr="002029AF">
        <w:t>concession</w:t>
      </w:r>
      <w:r w:rsidR="000A5329" w:rsidRPr="002029AF">
        <w:t xml:space="preserve"> </w:t>
      </w:r>
      <w:r w:rsidRPr="002029AF">
        <w:t>assets</w:t>
      </w:r>
      <w:r w:rsidR="000A5329" w:rsidRPr="002029AF">
        <w:t xml:space="preserve"> </w:t>
      </w:r>
      <w:r w:rsidRPr="002029AF">
        <w:t>and</w:t>
      </w:r>
      <w:r w:rsidR="000A5329" w:rsidRPr="002029AF">
        <w:t xml:space="preserve"> </w:t>
      </w:r>
      <w:r w:rsidRPr="002029AF">
        <w:t>intangible</w:t>
      </w:r>
      <w:r w:rsidR="000A5329" w:rsidRPr="002029AF">
        <w:t xml:space="preserve"> </w:t>
      </w:r>
      <w:r w:rsidRPr="002029AF">
        <w:t>assets.</w:t>
      </w:r>
    </w:p>
    <w:p w14:paraId="52B1DD2A" w14:textId="3E351E2E" w:rsidR="00087B91" w:rsidRPr="002029AF" w:rsidRDefault="00087B91" w:rsidP="00087B91">
      <w:pPr>
        <w:pStyle w:val="ARfinbody"/>
      </w:pPr>
      <w:r w:rsidRPr="002029AF">
        <w:t>Note</w:t>
      </w:r>
      <w:r w:rsidR="000A5329" w:rsidRPr="002029AF">
        <w:t xml:space="preserve"> </w:t>
      </w:r>
      <w:r w:rsidRPr="002029AF">
        <w:t>7.5.2</w:t>
      </w:r>
      <w:r w:rsidR="000A5329" w:rsidRPr="002029AF">
        <w:t xml:space="preserve"> </w:t>
      </w:r>
      <w:r w:rsidRPr="002029AF">
        <w:t>includes</w:t>
      </w:r>
      <w:r w:rsidR="000A5329" w:rsidRPr="002029AF">
        <w:t xml:space="preserve"> </w:t>
      </w:r>
      <w:r w:rsidRPr="002029AF">
        <w:t>details</w:t>
      </w:r>
      <w:r w:rsidR="000A5329" w:rsidRPr="002029AF">
        <w:t xml:space="preserve"> </w:t>
      </w:r>
      <w:r w:rsidRPr="002029AF">
        <w:t>about</w:t>
      </w:r>
      <w:r w:rsidR="000A5329" w:rsidRPr="002029AF">
        <w:t xml:space="preserve"> </w:t>
      </w:r>
      <w:r w:rsidRPr="002029AF">
        <w:t>the</w:t>
      </w:r>
      <w:r w:rsidR="000A5329" w:rsidRPr="002029AF">
        <w:t xml:space="preserve"> </w:t>
      </w:r>
      <w:r w:rsidRPr="002029AF">
        <w:t>transitional</w:t>
      </w:r>
      <w:r w:rsidR="000A5329" w:rsidRPr="002029AF">
        <w:t xml:space="preserve"> </w:t>
      </w:r>
      <w:r w:rsidRPr="002029AF">
        <w:t>application</w:t>
      </w:r>
      <w:r w:rsidR="000A5329" w:rsidRPr="002029AF">
        <w:t xml:space="preserve"> </w:t>
      </w:r>
      <w:r w:rsidRPr="002029AF">
        <w:t>of</w:t>
      </w:r>
      <w:r w:rsidR="000A5329" w:rsidRPr="002029AF">
        <w:t xml:space="preserve"> </w:t>
      </w:r>
      <w:r w:rsidRPr="002029AF">
        <w:t>AASB</w:t>
      </w:r>
      <w:r w:rsidR="000A5329" w:rsidRPr="002029AF">
        <w:t xml:space="preserve"> </w:t>
      </w:r>
      <w:r w:rsidRPr="002029AF">
        <w:t>1059</w:t>
      </w:r>
      <w:r w:rsidR="000A5329" w:rsidRPr="002029AF">
        <w:t xml:space="preserve"> </w:t>
      </w:r>
      <w:r w:rsidRPr="002029AF">
        <w:t>and</w:t>
      </w:r>
      <w:r w:rsidR="000A5329" w:rsidRPr="002029AF">
        <w:t xml:space="preserve"> </w:t>
      </w:r>
      <w:r w:rsidRPr="002029AF">
        <w:t>how</w:t>
      </w:r>
      <w:r w:rsidR="000A5329" w:rsidRPr="002029AF">
        <w:t xml:space="preserve"> </w:t>
      </w:r>
      <w:r w:rsidRPr="002029AF">
        <w:t>the</w:t>
      </w:r>
      <w:r w:rsidR="000A5329" w:rsidRPr="002029AF">
        <w:t xml:space="preserve"> </w:t>
      </w:r>
      <w:r w:rsidRPr="002029AF">
        <w:t>standard</w:t>
      </w:r>
      <w:r w:rsidR="000A5329" w:rsidRPr="002029AF">
        <w:t xml:space="preserve"> </w:t>
      </w:r>
      <w:r w:rsidRPr="002029AF">
        <w:t>has</w:t>
      </w:r>
      <w:r w:rsidR="000A5329" w:rsidRPr="002029AF">
        <w:t xml:space="preserve"> </w:t>
      </w:r>
      <w:r w:rsidRPr="002029AF">
        <w:t>been</w:t>
      </w:r>
      <w:r w:rsidR="000A5329" w:rsidRPr="002029AF">
        <w:t xml:space="preserve"> </w:t>
      </w:r>
      <w:r w:rsidRPr="002029AF">
        <w:t>applied</w:t>
      </w:r>
      <w:r w:rsidR="000A5329" w:rsidRPr="002029AF">
        <w:t xml:space="preserve"> </w:t>
      </w:r>
      <w:r w:rsidRPr="002029AF">
        <w:t>to</w:t>
      </w:r>
      <w:r w:rsidR="000A5329" w:rsidRPr="002029AF">
        <w:t xml:space="preserve"> </w:t>
      </w:r>
      <w:r w:rsidRPr="002029AF">
        <w:t>these</w:t>
      </w:r>
      <w:r w:rsidR="000A5329" w:rsidRPr="002029AF">
        <w:t xml:space="preserve"> </w:t>
      </w:r>
      <w:r w:rsidRPr="002029AF">
        <w:t>arrangements,</w:t>
      </w:r>
      <w:r w:rsidR="000A5329" w:rsidRPr="002029AF">
        <w:t xml:space="preserve"> </w:t>
      </w:r>
      <w:r w:rsidRPr="002029AF">
        <w:t>including</w:t>
      </w:r>
      <w:r w:rsidR="000A5329" w:rsidRPr="002029AF">
        <w:t xml:space="preserve"> </w:t>
      </w:r>
      <w:r w:rsidRPr="002029AF">
        <w:t>tables</w:t>
      </w:r>
      <w:r w:rsidR="000A5329" w:rsidRPr="002029AF">
        <w:t xml:space="preserve"> </w:t>
      </w:r>
      <w:r w:rsidRPr="002029AF">
        <w:t>that</w:t>
      </w:r>
      <w:r w:rsidR="000A5329" w:rsidRPr="002029AF">
        <w:t xml:space="preserve"> </w:t>
      </w:r>
      <w:r w:rsidRPr="002029AF">
        <w:t>summarise</w:t>
      </w:r>
      <w:r w:rsidR="000A5329" w:rsidRPr="002029AF">
        <w:t xml:space="preserve"> </w:t>
      </w:r>
      <w:r w:rsidRPr="002029AF">
        <w:t>the</w:t>
      </w:r>
      <w:r w:rsidR="000A5329" w:rsidRPr="002029AF">
        <w:t xml:space="preserve"> </w:t>
      </w:r>
      <w:r w:rsidRPr="002029AF">
        <w:t>impact</w:t>
      </w:r>
      <w:r w:rsidR="000A5329" w:rsidRPr="002029AF">
        <w:t xml:space="preserve"> </w:t>
      </w:r>
      <w:r w:rsidRPr="002029AF">
        <w:t>of</w:t>
      </w:r>
      <w:r w:rsidR="000A5329" w:rsidRPr="002029AF">
        <w:t xml:space="preserve"> </w:t>
      </w:r>
      <w:r w:rsidRPr="002029AF">
        <w:t>applying</w:t>
      </w:r>
      <w:r w:rsidR="000A5329" w:rsidRPr="002029AF">
        <w:t xml:space="preserve"> </w:t>
      </w:r>
      <w:r w:rsidRPr="002029AF">
        <w:t>the</w:t>
      </w:r>
      <w:r w:rsidR="000A5329" w:rsidRPr="002029AF">
        <w:t xml:space="preserve"> </w:t>
      </w:r>
      <w:r w:rsidRPr="002029AF">
        <w:t>standard</w:t>
      </w:r>
      <w:r w:rsidR="000A5329" w:rsidRPr="002029AF">
        <w:t xml:space="preserve"> </w:t>
      </w:r>
      <w:r w:rsidRPr="002029AF">
        <w:t>compared</w:t>
      </w:r>
      <w:r w:rsidR="000A5329" w:rsidRPr="002029AF">
        <w:t xml:space="preserve"> </w:t>
      </w:r>
      <w:r w:rsidRPr="002029AF">
        <w:t>to</w:t>
      </w:r>
      <w:r w:rsidR="000A5329" w:rsidRPr="002029AF">
        <w:t xml:space="preserve"> </w:t>
      </w:r>
      <w:r w:rsidRPr="002029AF">
        <w:t>prior</w:t>
      </w:r>
      <w:r w:rsidR="000A5329" w:rsidRPr="002029AF">
        <w:t xml:space="preserve"> </w:t>
      </w:r>
      <w:r w:rsidRPr="002029AF">
        <w:t>accounting</w:t>
      </w:r>
      <w:r w:rsidR="000A5329" w:rsidRPr="002029AF">
        <w:t xml:space="preserve"> </w:t>
      </w:r>
      <w:r w:rsidRPr="002029AF">
        <w:t>treatment.</w:t>
      </w:r>
    </w:p>
    <w:p w14:paraId="0C7E724C" w14:textId="069C82E2" w:rsidR="00087B91" w:rsidRPr="002029AF" w:rsidRDefault="00087B91" w:rsidP="00087B91">
      <w:pPr>
        <w:pStyle w:val="ARfinbody"/>
        <w:rPr>
          <w:rFonts w:eastAsia="Arial"/>
          <w:spacing w:val="2"/>
        </w:rPr>
      </w:pPr>
      <w:r w:rsidRPr="002029AF">
        <w:rPr>
          <w:rFonts w:eastAsia="Arial"/>
          <w:spacing w:val="2"/>
        </w:rPr>
        <w:t>The</w:t>
      </w:r>
      <w:r w:rsidR="000A5329" w:rsidRPr="002029AF">
        <w:rPr>
          <w:rFonts w:eastAsia="Arial"/>
          <w:spacing w:val="2"/>
        </w:rPr>
        <w:t xml:space="preserve"> </w:t>
      </w:r>
      <w:r w:rsidRPr="002029AF">
        <w:rPr>
          <w:rFonts w:eastAsia="Arial"/>
          <w:spacing w:val="2"/>
        </w:rPr>
        <w:t>department</w:t>
      </w:r>
      <w:r w:rsidR="000A5329" w:rsidRPr="002029AF">
        <w:rPr>
          <w:rFonts w:eastAsia="Arial"/>
          <w:spacing w:val="2"/>
        </w:rPr>
        <w:t xml:space="preserve"> </w:t>
      </w:r>
      <w:r w:rsidRPr="002029AF">
        <w:rPr>
          <w:rFonts w:eastAsia="Arial"/>
          <w:spacing w:val="2"/>
        </w:rPr>
        <w:t>has</w:t>
      </w:r>
      <w:r w:rsidR="000A5329" w:rsidRPr="002029AF">
        <w:rPr>
          <w:rFonts w:eastAsia="Arial"/>
          <w:spacing w:val="2"/>
        </w:rPr>
        <w:t xml:space="preserve"> </w:t>
      </w:r>
      <w:r w:rsidRPr="002029AF">
        <w:rPr>
          <w:rFonts w:eastAsia="Arial"/>
          <w:spacing w:val="2"/>
        </w:rPr>
        <w:t>also</w:t>
      </w:r>
      <w:r w:rsidR="000A5329" w:rsidRPr="002029AF">
        <w:rPr>
          <w:rFonts w:eastAsia="Arial"/>
          <w:spacing w:val="2"/>
        </w:rPr>
        <w:t xml:space="preserve"> </w:t>
      </w:r>
      <w:r w:rsidRPr="002029AF">
        <w:rPr>
          <w:rFonts w:eastAsia="Arial"/>
          <w:spacing w:val="2"/>
        </w:rPr>
        <w:t>reviewed</w:t>
      </w:r>
      <w:r w:rsidR="000A5329" w:rsidRPr="002029AF">
        <w:rPr>
          <w:rFonts w:eastAsia="Arial"/>
          <w:spacing w:val="2"/>
        </w:rPr>
        <w:t xml:space="preserve"> </w:t>
      </w:r>
      <w:r w:rsidRPr="002029AF">
        <w:rPr>
          <w:rFonts w:eastAsia="Arial"/>
          <w:spacing w:val="2"/>
        </w:rPr>
        <w:t>its</w:t>
      </w:r>
      <w:r w:rsidR="000A5329" w:rsidRPr="002029AF">
        <w:rPr>
          <w:rFonts w:eastAsia="Arial"/>
          <w:spacing w:val="2"/>
        </w:rPr>
        <w:t xml:space="preserve"> </w:t>
      </w:r>
      <w:r w:rsidRPr="002029AF">
        <w:rPr>
          <w:rFonts w:eastAsia="Arial"/>
          <w:spacing w:val="2"/>
        </w:rPr>
        <w:t>leasing</w:t>
      </w:r>
      <w:r w:rsidR="000A5329" w:rsidRPr="002029AF">
        <w:rPr>
          <w:rFonts w:eastAsia="Arial"/>
          <w:spacing w:val="2"/>
        </w:rPr>
        <w:t xml:space="preserve"> </w:t>
      </w:r>
      <w:r w:rsidRPr="002029AF">
        <w:rPr>
          <w:rFonts w:eastAsia="Arial"/>
          <w:spacing w:val="2"/>
        </w:rPr>
        <w:t>arrangements</w:t>
      </w:r>
      <w:r w:rsidR="000A5329" w:rsidRPr="002029AF">
        <w:rPr>
          <w:rFonts w:eastAsia="Arial"/>
          <w:spacing w:val="2"/>
        </w:rPr>
        <w:t xml:space="preserve"> </w:t>
      </w:r>
      <w:r w:rsidRPr="002029AF">
        <w:rPr>
          <w:rFonts w:eastAsia="Arial"/>
          <w:spacing w:val="2"/>
        </w:rPr>
        <w:t>and</w:t>
      </w:r>
      <w:r w:rsidR="000A5329" w:rsidRPr="002029AF">
        <w:rPr>
          <w:rFonts w:eastAsia="Arial"/>
          <w:spacing w:val="2"/>
        </w:rPr>
        <w:t xml:space="preserve"> </w:t>
      </w:r>
      <w:r w:rsidRPr="002029AF">
        <w:rPr>
          <w:rFonts w:eastAsia="Arial"/>
          <w:spacing w:val="2"/>
        </w:rPr>
        <w:t>determined</w:t>
      </w:r>
      <w:r w:rsidR="000A5329" w:rsidRPr="002029AF">
        <w:rPr>
          <w:rFonts w:eastAsia="Arial"/>
          <w:spacing w:val="2"/>
        </w:rPr>
        <w:t xml:space="preserve"> </w:t>
      </w:r>
      <w:r w:rsidRPr="002029AF">
        <w:rPr>
          <w:rFonts w:eastAsia="Arial"/>
          <w:spacing w:val="2"/>
        </w:rPr>
        <w:t>that</w:t>
      </w:r>
      <w:r w:rsidR="000A5329" w:rsidRPr="002029AF">
        <w:rPr>
          <w:rFonts w:eastAsia="Arial"/>
          <w:spacing w:val="2"/>
        </w:rPr>
        <w:t xml:space="preserve"> </w:t>
      </w:r>
      <w:r w:rsidRPr="002029AF">
        <w:rPr>
          <w:rFonts w:eastAsia="Arial"/>
          <w:spacing w:val="2"/>
        </w:rPr>
        <w:t>none</w:t>
      </w:r>
      <w:r w:rsidR="000A5329" w:rsidRPr="002029AF">
        <w:rPr>
          <w:rFonts w:eastAsia="Arial"/>
          <w:spacing w:val="2"/>
        </w:rPr>
        <w:t xml:space="preserve"> </w:t>
      </w:r>
      <w:r w:rsidRPr="002029AF">
        <w:rPr>
          <w:rFonts w:eastAsia="Arial"/>
          <w:spacing w:val="2"/>
        </w:rPr>
        <w:t>of</w:t>
      </w:r>
      <w:r w:rsidR="000A5329" w:rsidRPr="002029AF">
        <w:rPr>
          <w:rFonts w:eastAsia="Arial"/>
          <w:spacing w:val="2"/>
        </w:rPr>
        <w:t xml:space="preserve"> </w:t>
      </w:r>
      <w:r w:rsidRPr="002029AF">
        <w:rPr>
          <w:rFonts w:eastAsia="Arial"/>
          <w:spacing w:val="2"/>
        </w:rPr>
        <w:t>these</w:t>
      </w:r>
      <w:r w:rsidR="000A5329" w:rsidRPr="002029AF">
        <w:rPr>
          <w:rFonts w:eastAsia="Arial"/>
          <w:spacing w:val="2"/>
        </w:rPr>
        <w:t xml:space="preserve"> </w:t>
      </w:r>
      <w:r w:rsidRPr="002029AF">
        <w:rPr>
          <w:rFonts w:eastAsia="Arial"/>
          <w:spacing w:val="2"/>
        </w:rPr>
        <w:t>are</w:t>
      </w:r>
      <w:r w:rsidR="000A5329" w:rsidRPr="002029AF">
        <w:rPr>
          <w:rFonts w:eastAsia="Arial"/>
          <w:spacing w:val="2"/>
        </w:rPr>
        <w:t xml:space="preserve"> </w:t>
      </w:r>
      <w:r w:rsidRPr="002029AF">
        <w:rPr>
          <w:rFonts w:eastAsia="Arial"/>
          <w:spacing w:val="2"/>
        </w:rPr>
        <w:t>within</w:t>
      </w:r>
      <w:r w:rsidR="000A5329" w:rsidRPr="002029AF">
        <w:rPr>
          <w:rFonts w:eastAsia="Arial"/>
          <w:spacing w:val="2"/>
        </w:rPr>
        <w:t xml:space="preserve"> </w:t>
      </w:r>
      <w:r w:rsidRPr="002029AF">
        <w:rPr>
          <w:rFonts w:eastAsia="Arial"/>
          <w:spacing w:val="2"/>
        </w:rPr>
        <w:t>the</w:t>
      </w:r>
      <w:r w:rsidR="000A5329" w:rsidRPr="002029AF">
        <w:rPr>
          <w:rFonts w:eastAsia="Arial"/>
          <w:spacing w:val="2"/>
        </w:rPr>
        <w:t xml:space="preserve"> </w:t>
      </w:r>
      <w:r w:rsidRPr="002029AF">
        <w:rPr>
          <w:rFonts w:eastAsia="Arial"/>
          <w:spacing w:val="2"/>
        </w:rPr>
        <w:t>scope</w:t>
      </w:r>
      <w:r w:rsidR="000A5329" w:rsidRPr="002029AF">
        <w:rPr>
          <w:rFonts w:eastAsia="Arial"/>
          <w:spacing w:val="2"/>
        </w:rPr>
        <w:t xml:space="preserve"> </w:t>
      </w:r>
      <w:r w:rsidRPr="002029AF">
        <w:rPr>
          <w:rFonts w:eastAsia="Arial"/>
          <w:spacing w:val="2"/>
        </w:rPr>
        <w:t>of</w:t>
      </w:r>
      <w:r w:rsidR="000A5329" w:rsidRPr="002029AF">
        <w:rPr>
          <w:rFonts w:eastAsia="Arial"/>
          <w:spacing w:val="2"/>
        </w:rPr>
        <w:t xml:space="preserve"> </w:t>
      </w:r>
      <w:r w:rsidRPr="002029AF">
        <w:rPr>
          <w:rFonts w:eastAsia="Arial"/>
          <w:spacing w:val="2"/>
        </w:rPr>
        <w:t>AASB</w:t>
      </w:r>
      <w:r w:rsidR="000A5329" w:rsidRPr="002029AF">
        <w:rPr>
          <w:rFonts w:eastAsia="Arial"/>
          <w:spacing w:val="2"/>
        </w:rPr>
        <w:t xml:space="preserve"> </w:t>
      </w:r>
      <w:r w:rsidRPr="002029AF">
        <w:rPr>
          <w:rFonts w:eastAsia="Arial"/>
          <w:spacing w:val="2"/>
        </w:rPr>
        <w:t>1059.</w:t>
      </w:r>
    </w:p>
    <w:p w14:paraId="69F37F82" w14:textId="55107178" w:rsidR="00087B91" w:rsidRPr="002029AF" w:rsidRDefault="00087B91" w:rsidP="00087B91">
      <w:pPr>
        <w:pStyle w:val="Heading5"/>
      </w:pPr>
      <w:r w:rsidRPr="002029AF">
        <w:t>9.12.3</w:t>
      </w:r>
      <w:r w:rsidRPr="002029AF">
        <w:tab/>
        <w:t>Revenue</w:t>
      </w:r>
      <w:r w:rsidR="000A5329" w:rsidRPr="002029AF">
        <w:t xml:space="preserve"> </w:t>
      </w:r>
      <w:r w:rsidRPr="002029AF">
        <w:t>from</w:t>
      </w:r>
      <w:r w:rsidR="000A5329" w:rsidRPr="002029AF">
        <w:t xml:space="preserve"> </w:t>
      </w:r>
      <w:r w:rsidRPr="002029AF">
        <w:t>Contracts</w:t>
      </w:r>
      <w:r w:rsidR="000A5329" w:rsidRPr="002029AF">
        <w:t xml:space="preserve"> </w:t>
      </w:r>
      <w:r w:rsidRPr="002029AF">
        <w:t>with</w:t>
      </w:r>
      <w:r w:rsidR="000A5329" w:rsidRPr="002029AF">
        <w:t xml:space="preserve"> </w:t>
      </w:r>
      <w:r w:rsidRPr="002029AF">
        <w:t>Customers</w:t>
      </w:r>
    </w:p>
    <w:p w14:paraId="3D6F9D61" w14:textId="6CBE3195" w:rsidR="00087B91" w:rsidRPr="002029AF" w:rsidRDefault="00087B91" w:rsidP="00087B91">
      <w:pPr>
        <w:pStyle w:val="ARfinbody"/>
      </w:pPr>
      <w:r w:rsidRPr="002029AF">
        <w:rPr>
          <w:rFonts w:eastAsia="Arial"/>
        </w:rPr>
        <w:t>In</w:t>
      </w:r>
      <w:r w:rsidR="000A5329" w:rsidRPr="002029AF">
        <w:rPr>
          <w:rFonts w:eastAsia="Arial"/>
        </w:rPr>
        <w:t xml:space="preserve"> </w:t>
      </w:r>
      <w:r w:rsidRPr="002029AF">
        <w:rPr>
          <w:rFonts w:eastAsia="Arial"/>
        </w:rPr>
        <w:t>accordance</w:t>
      </w:r>
      <w:r w:rsidR="000A5329" w:rsidRPr="002029AF">
        <w:rPr>
          <w:rFonts w:eastAsia="Arial"/>
        </w:rPr>
        <w:t xml:space="preserve"> </w:t>
      </w:r>
      <w:r w:rsidRPr="002029AF">
        <w:rPr>
          <w:rFonts w:eastAsia="Arial"/>
        </w:rPr>
        <w:t>with</w:t>
      </w:r>
      <w:r w:rsidR="000A5329" w:rsidRPr="002029AF">
        <w:rPr>
          <w:rFonts w:eastAsia="Arial"/>
        </w:rPr>
        <w:t xml:space="preserve"> </w:t>
      </w:r>
      <w:r w:rsidRPr="002029AF">
        <w:rPr>
          <w:rFonts w:eastAsia="Arial"/>
        </w:rPr>
        <w:t>FRD</w:t>
      </w:r>
      <w:r w:rsidR="000A5329" w:rsidRPr="002029AF">
        <w:rPr>
          <w:rFonts w:eastAsia="Arial"/>
        </w:rPr>
        <w:t xml:space="preserve"> </w:t>
      </w:r>
      <w:r w:rsidRPr="002029AF">
        <w:rPr>
          <w:rFonts w:eastAsia="Arial"/>
        </w:rPr>
        <w:t>121</w:t>
      </w:r>
      <w:r w:rsidR="000A5329" w:rsidRPr="002029AF">
        <w:rPr>
          <w:rFonts w:eastAsia="Arial"/>
        </w:rPr>
        <w:t xml:space="preserve"> </w:t>
      </w:r>
      <w:r w:rsidRPr="002029AF">
        <w:rPr>
          <w:rFonts w:eastAsia="Arial"/>
        </w:rPr>
        <w:t>requirements,</w:t>
      </w:r>
      <w:r w:rsidR="000A5329" w:rsidRPr="002029AF">
        <w:rPr>
          <w:rFonts w:eastAsia="Arial"/>
        </w:rPr>
        <w:t xml:space="preserve"> </w:t>
      </w:r>
      <w:r w:rsidRPr="002029AF">
        <w:rPr>
          <w:rFonts w:eastAsia="Arial"/>
        </w:rPr>
        <w:t>the</w:t>
      </w:r>
      <w:r w:rsidR="000A5329" w:rsidRPr="002029AF">
        <w:rPr>
          <w:rFonts w:eastAsia="Arial"/>
        </w:rPr>
        <w:t xml:space="preserve"> </w:t>
      </w:r>
      <w:r w:rsidRPr="002029AF">
        <w:rPr>
          <w:rFonts w:eastAsia="Arial"/>
        </w:rPr>
        <w:t>department</w:t>
      </w:r>
      <w:r w:rsidR="000A5329" w:rsidRPr="002029AF">
        <w:rPr>
          <w:rFonts w:eastAsia="Arial"/>
        </w:rPr>
        <w:t xml:space="preserve"> </w:t>
      </w:r>
      <w:r w:rsidRPr="002029AF">
        <w:rPr>
          <w:rFonts w:eastAsia="Arial"/>
        </w:rPr>
        <w:t>has</w:t>
      </w:r>
      <w:r w:rsidR="000A5329" w:rsidRPr="002029AF">
        <w:rPr>
          <w:rFonts w:eastAsia="Arial"/>
        </w:rPr>
        <w:t xml:space="preserve"> </w:t>
      </w:r>
      <w:r w:rsidRPr="002029AF">
        <w:rPr>
          <w:rFonts w:eastAsia="Arial"/>
        </w:rPr>
        <w:t>applied</w:t>
      </w:r>
      <w:r w:rsidR="000A5329" w:rsidRPr="002029AF">
        <w:rPr>
          <w:rFonts w:eastAsia="Arial"/>
        </w:rPr>
        <w:t xml:space="preserve"> </w:t>
      </w:r>
      <w:r w:rsidRPr="002029AF">
        <w:rPr>
          <w:rFonts w:eastAsia="Arial"/>
        </w:rPr>
        <w:t>the</w:t>
      </w:r>
      <w:r w:rsidR="000A5329" w:rsidRPr="002029AF">
        <w:rPr>
          <w:rFonts w:eastAsia="Arial"/>
        </w:rPr>
        <w:t xml:space="preserve"> </w:t>
      </w:r>
      <w:r w:rsidRPr="002029AF">
        <w:rPr>
          <w:rFonts w:eastAsia="Arial"/>
        </w:rPr>
        <w:t>transitional</w:t>
      </w:r>
      <w:r w:rsidR="000A5329" w:rsidRPr="002029AF">
        <w:rPr>
          <w:rFonts w:eastAsia="Arial"/>
        </w:rPr>
        <w:t xml:space="preserve"> </w:t>
      </w:r>
      <w:r w:rsidRPr="002029AF">
        <w:rPr>
          <w:rFonts w:eastAsia="Arial"/>
        </w:rPr>
        <w:t>provision</w:t>
      </w:r>
      <w:r w:rsidR="000A5329" w:rsidRPr="002029AF">
        <w:rPr>
          <w:rFonts w:eastAsia="Arial"/>
        </w:rPr>
        <w:t xml:space="preserve"> </w:t>
      </w:r>
      <w:r w:rsidRPr="002029AF">
        <w:rPr>
          <w:rFonts w:eastAsia="Arial"/>
        </w:rPr>
        <w:t>of</w:t>
      </w:r>
      <w:r w:rsidR="000A5329" w:rsidRPr="002029AF">
        <w:rPr>
          <w:rFonts w:eastAsia="Arial"/>
        </w:rPr>
        <w:t xml:space="preserve"> </w:t>
      </w:r>
      <w:r w:rsidRPr="002029AF">
        <w:rPr>
          <w:rFonts w:eastAsia="Arial"/>
        </w:rPr>
        <w:t>AASB</w:t>
      </w:r>
      <w:r w:rsidR="000A5329" w:rsidRPr="002029AF">
        <w:rPr>
          <w:rFonts w:eastAsia="Arial"/>
        </w:rPr>
        <w:t xml:space="preserve"> </w:t>
      </w:r>
      <w:r w:rsidRPr="002029AF">
        <w:rPr>
          <w:rFonts w:eastAsia="Arial"/>
        </w:rPr>
        <w:t>15,</w:t>
      </w:r>
      <w:r w:rsidR="000A5329" w:rsidRPr="002029AF">
        <w:rPr>
          <w:rFonts w:eastAsia="Arial"/>
        </w:rPr>
        <w:t xml:space="preserve"> </w:t>
      </w:r>
      <w:r w:rsidRPr="002029AF">
        <w:rPr>
          <w:rFonts w:eastAsia="Arial"/>
        </w:rPr>
        <w:t>retrospectively</w:t>
      </w:r>
      <w:r w:rsidR="000A5329" w:rsidRPr="002029AF">
        <w:rPr>
          <w:rFonts w:eastAsia="Arial"/>
        </w:rPr>
        <w:t xml:space="preserve"> </w:t>
      </w:r>
      <w:r w:rsidRPr="002029AF">
        <w:rPr>
          <w:rFonts w:eastAsia="Arial"/>
        </w:rPr>
        <w:t>with</w:t>
      </w:r>
      <w:r w:rsidR="000A5329" w:rsidRPr="002029AF">
        <w:rPr>
          <w:rFonts w:eastAsia="Arial"/>
        </w:rPr>
        <w:t xml:space="preserve"> </w:t>
      </w:r>
      <w:r w:rsidRPr="002029AF">
        <w:rPr>
          <w:rFonts w:eastAsia="Arial"/>
        </w:rPr>
        <w:t>the</w:t>
      </w:r>
      <w:r w:rsidR="000A5329" w:rsidRPr="002029AF">
        <w:rPr>
          <w:rFonts w:eastAsia="Arial"/>
        </w:rPr>
        <w:t xml:space="preserve"> </w:t>
      </w:r>
      <w:r w:rsidRPr="002029AF">
        <w:rPr>
          <w:rFonts w:eastAsia="Arial"/>
        </w:rPr>
        <w:t>cumulative</w:t>
      </w:r>
      <w:r w:rsidR="000A5329" w:rsidRPr="002029AF">
        <w:rPr>
          <w:rFonts w:eastAsia="Arial"/>
        </w:rPr>
        <w:t xml:space="preserve"> </w:t>
      </w:r>
      <w:r w:rsidRPr="002029AF">
        <w:rPr>
          <w:rFonts w:eastAsia="Arial"/>
        </w:rPr>
        <w:t>effect</w:t>
      </w:r>
      <w:r w:rsidR="000A5329" w:rsidRPr="002029AF">
        <w:rPr>
          <w:rFonts w:eastAsia="Arial"/>
        </w:rPr>
        <w:t xml:space="preserve"> </w:t>
      </w:r>
      <w:r w:rsidRPr="002029AF">
        <w:rPr>
          <w:rFonts w:eastAsia="Arial"/>
        </w:rPr>
        <w:t>of</w:t>
      </w:r>
      <w:r w:rsidR="000A5329" w:rsidRPr="002029AF">
        <w:rPr>
          <w:rFonts w:eastAsia="Arial"/>
        </w:rPr>
        <w:t xml:space="preserve"> </w:t>
      </w:r>
      <w:r w:rsidRPr="002029AF">
        <w:rPr>
          <w:rFonts w:eastAsia="Arial"/>
        </w:rPr>
        <w:t>initially</w:t>
      </w:r>
      <w:r w:rsidR="000A5329" w:rsidRPr="002029AF">
        <w:rPr>
          <w:rFonts w:eastAsia="Arial"/>
        </w:rPr>
        <w:t xml:space="preserve"> </w:t>
      </w:r>
      <w:r w:rsidRPr="002029AF">
        <w:rPr>
          <w:rFonts w:eastAsia="Arial"/>
        </w:rPr>
        <w:t>applying</w:t>
      </w:r>
      <w:r w:rsidR="000A5329" w:rsidRPr="002029AF">
        <w:rPr>
          <w:rFonts w:eastAsia="Arial"/>
        </w:rPr>
        <w:t xml:space="preserve"> </w:t>
      </w:r>
      <w:r w:rsidRPr="002029AF">
        <w:rPr>
          <w:rFonts w:eastAsia="Arial"/>
        </w:rPr>
        <w:t>this</w:t>
      </w:r>
      <w:r w:rsidR="000A5329" w:rsidRPr="002029AF">
        <w:rPr>
          <w:rFonts w:eastAsia="Arial"/>
        </w:rPr>
        <w:t xml:space="preserve"> </w:t>
      </w:r>
      <w:r w:rsidRPr="002029AF">
        <w:rPr>
          <w:rFonts w:eastAsia="Arial"/>
        </w:rPr>
        <w:t>standard</w:t>
      </w:r>
      <w:r w:rsidR="000A5329" w:rsidRPr="002029AF">
        <w:rPr>
          <w:rFonts w:eastAsia="Arial"/>
        </w:rPr>
        <w:t xml:space="preserve"> </w:t>
      </w:r>
      <w:r w:rsidRPr="002029AF">
        <w:rPr>
          <w:rFonts w:eastAsia="Arial"/>
        </w:rPr>
        <w:t>against</w:t>
      </w:r>
      <w:r w:rsidR="000A5329" w:rsidRPr="002029AF">
        <w:rPr>
          <w:rFonts w:eastAsia="Arial"/>
        </w:rPr>
        <w:t xml:space="preserve"> </w:t>
      </w:r>
      <w:r w:rsidRPr="002029AF">
        <w:rPr>
          <w:rFonts w:eastAsia="Arial"/>
        </w:rPr>
        <w:t>the</w:t>
      </w:r>
      <w:r w:rsidR="000A5329" w:rsidRPr="002029AF">
        <w:rPr>
          <w:rFonts w:eastAsia="Arial"/>
        </w:rPr>
        <w:t xml:space="preserve"> </w:t>
      </w:r>
      <w:r w:rsidRPr="002029AF">
        <w:rPr>
          <w:rFonts w:eastAsia="Arial"/>
        </w:rPr>
        <w:t>opening</w:t>
      </w:r>
      <w:r w:rsidR="000A5329" w:rsidRPr="002029AF">
        <w:rPr>
          <w:rFonts w:eastAsia="Arial"/>
        </w:rPr>
        <w:t xml:space="preserve"> </w:t>
      </w:r>
      <w:r w:rsidRPr="002029AF">
        <w:rPr>
          <w:rFonts w:eastAsia="Arial"/>
        </w:rPr>
        <w:t>retained</w:t>
      </w:r>
      <w:r w:rsidR="000A5329" w:rsidRPr="002029AF">
        <w:rPr>
          <w:rFonts w:eastAsia="Arial"/>
        </w:rPr>
        <w:t xml:space="preserve"> </w:t>
      </w:r>
      <w:r w:rsidRPr="002029AF">
        <w:rPr>
          <w:rFonts w:eastAsia="Arial"/>
        </w:rPr>
        <w:t>earnings</w:t>
      </w:r>
      <w:r w:rsidR="000A5329" w:rsidRPr="002029AF">
        <w:rPr>
          <w:rFonts w:eastAsia="Arial"/>
        </w:rPr>
        <w:t xml:space="preserve"> </w:t>
      </w:r>
      <w:r w:rsidRPr="002029AF">
        <w:rPr>
          <w:rFonts w:eastAsia="Arial"/>
        </w:rPr>
        <w:t>at</w:t>
      </w:r>
      <w:r w:rsidR="000A5329" w:rsidRPr="002029AF">
        <w:rPr>
          <w:rFonts w:eastAsia="Arial"/>
        </w:rPr>
        <w:t xml:space="preserve"> </w:t>
      </w:r>
      <w:r w:rsidRPr="002029AF">
        <w:rPr>
          <w:rFonts w:eastAsia="Arial"/>
        </w:rPr>
        <w:t>1</w:t>
      </w:r>
      <w:r w:rsidR="000A5329" w:rsidRPr="002029AF">
        <w:rPr>
          <w:rFonts w:eastAsia="Arial"/>
        </w:rPr>
        <w:t xml:space="preserve"> </w:t>
      </w:r>
      <w:r w:rsidRPr="002029AF">
        <w:rPr>
          <w:rFonts w:eastAsia="Arial"/>
        </w:rPr>
        <w:t>July</w:t>
      </w:r>
      <w:r w:rsidR="000A5329" w:rsidRPr="002029AF">
        <w:rPr>
          <w:rFonts w:eastAsia="Arial"/>
        </w:rPr>
        <w:t xml:space="preserve"> </w:t>
      </w:r>
      <w:r w:rsidRPr="002029AF">
        <w:rPr>
          <w:rFonts w:eastAsia="Arial"/>
        </w:rPr>
        <w:t>2019.</w:t>
      </w:r>
      <w:r w:rsidR="000A5329" w:rsidRPr="002029AF">
        <w:rPr>
          <w:rFonts w:eastAsia="Arial"/>
        </w:rPr>
        <w:t xml:space="preserve"> </w:t>
      </w:r>
      <w:r w:rsidRPr="002029AF">
        <w:rPr>
          <w:rFonts w:eastAsia="Arial"/>
        </w:rPr>
        <w:t>The</w:t>
      </w:r>
      <w:r w:rsidR="000A5329" w:rsidRPr="002029AF">
        <w:rPr>
          <w:rFonts w:eastAsia="Arial"/>
        </w:rPr>
        <w:t xml:space="preserve"> </w:t>
      </w:r>
      <w:r w:rsidRPr="002029AF">
        <w:rPr>
          <w:rFonts w:eastAsia="Arial"/>
        </w:rPr>
        <w:t>department</w:t>
      </w:r>
      <w:r w:rsidR="000A5329" w:rsidRPr="002029AF">
        <w:rPr>
          <w:rFonts w:eastAsia="Arial"/>
        </w:rPr>
        <w:t xml:space="preserve"> </w:t>
      </w:r>
      <w:r w:rsidRPr="002029AF">
        <w:rPr>
          <w:rFonts w:eastAsia="Arial"/>
        </w:rPr>
        <w:t>has</w:t>
      </w:r>
      <w:r w:rsidR="000A5329" w:rsidRPr="002029AF">
        <w:rPr>
          <w:rFonts w:eastAsia="Arial"/>
        </w:rPr>
        <w:t xml:space="preserve"> </w:t>
      </w:r>
      <w:r w:rsidRPr="002029AF">
        <w:rPr>
          <w:rFonts w:eastAsia="Arial"/>
        </w:rPr>
        <w:t>performed</w:t>
      </w:r>
      <w:r w:rsidR="000A5329" w:rsidRPr="002029AF">
        <w:rPr>
          <w:rFonts w:eastAsia="Arial"/>
        </w:rPr>
        <w:t xml:space="preserve"> </w:t>
      </w:r>
      <w:r w:rsidRPr="002029AF">
        <w:rPr>
          <w:rFonts w:eastAsia="Arial"/>
        </w:rPr>
        <w:t>a</w:t>
      </w:r>
      <w:r w:rsidR="000A5329" w:rsidRPr="002029AF">
        <w:rPr>
          <w:rFonts w:eastAsia="Arial"/>
        </w:rPr>
        <w:t xml:space="preserve"> </w:t>
      </w:r>
      <w:r w:rsidRPr="002029AF">
        <w:rPr>
          <w:rFonts w:eastAsia="Arial"/>
        </w:rPr>
        <w:t>detailed</w:t>
      </w:r>
      <w:r w:rsidR="000A5329" w:rsidRPr="002029AF">
        <w:rPr>
          <w:rFonts w:eastAsia="Arial"/>
        </w:rPr>
        <w:t xml:space="preserve"> </w:t>
      </w:r>
      <w:r w:rsidRPr="002029AF">
        <w:rPr>
          <w:rFonts w:eastAsia="Arial"/>
        </w:rPr>
        <w:t>impact</w:t>
      </w:r>
      <w:r w:rsidR="000A5329" w:rsidRPr="002029AF">
        <w:rPr>
          <w:rFonts w:eastAsia="Arial"/>
        </w:rPr>
        <w:t xml:space="preserve"> </w:t>
      </w:r>
      <w:r w:rsidRPr="002029AF">
        <w:rPr>
          <w:rFonts w:eastAsia="Arial"/>
        </w:rPr>
        <w:t>assessment</w:t>
      </w:r>
      <w:r w:rsidR="000A5329" w:rsidRPr="002029AF">
        <w:rPr>
          <w:rFonts w:eastAsia="Arial"/>
        </w:rPr>
        <w:t xml:space="preserve"> </w:t>
      </w:r>
      <w:r w:rsidRPr="002029AF">
        <w:rPr>
          <w:rFonts w:eastAsia="Arial"/>
        </w:rPr>
        <w:t>of</w:t>
      </w:r>
      <w:r w:rsidR="000A5329" w:rsidRPr="002029AF">
        <w:rPr>
          <w:rFonts w:eastAsia="Arial"/>
        </w:rPr>
        <w:t xml:space="preserve"> </w:t>
      </w:r>
      <w:r w:rsidRPr="002029AF">
        <w:rPr>
          <w:rFonts w:eastAsia="Arial"/>
        </w:rPr>
        <w:t>AASB</w:t>
      </w:r>
      <w:r w:rsidR="000A5329" w:rsidRPr="002029AF">
        <w:rPr>
          <w:rFonts w:eastAsia="Arial"/>
        </w:rPr>
        <w:t xml:space="preserve"> </w:t>
      </w:r>
      <w:r w:rsidRPr="002029AF">
        <w:rPr>
          <w:rFonts w:eastAsia="Arial"/>
        </w:rPr>
        <w:t>15</w:t>
      </w:r>
      <w:r w:rsidR="000A5329" w:rsidRPr="002029AF">
        <w:rPr>
          <w:rFonts w:eastAsia="Arial"/>
        </w:rPr>
        <w:t xml:space="preserve"> </w:t>
      </w:r>
      <w:r w:rsidRPr="002029AF">
        <w:rPr>
          <w:rFonts w:eastAsia="Arial"/>
        </w:rPr>
        <w:t>and</w:t>
      </w:r>
      <w:r w:rsidR="000A5329" w:rsidRPr="002029AF">
        <w:rPr>
          <w:rFonts w:eastAsia="Arial"/>
        </w:rPr>
        <w:t xml:space="preserve"> </w:t>
      </w:r>
      <w:r w:rsidRPr="002029AF">
        <w:rPr>
          <w:rFonts w:eastAsia="Arial"/>
        </w:rPr>
        <w:t>found</w:t>
      </w:r>
      <w:r w:rsidR="000A5329" w:rsidRPr="002029AF">
        <w:rPr>
          <w:rFonts w:eastAsia="Arial"/>
        </w:rPr>
        <w:t xml:space="preserve"> </w:t>
      </w:r>
      <w:r w:rsidRPr="002029AF">
        <w:rPr>
          <w:rFonts w:eastAsia="Arial"/>
        </w:rPr>
        <w:t>no</w:t>
      </w:r>
      <w:r w:rsidR="000A5329" w:rsidRPr="002029AF">
        <w:rPr>
          <w:rFonts w:eastAsia="Arial"/>
        </w:rPr>
        <w:t xml:space="preserve"> </w:t>
      </w:r>
      <w:r w:rsidRPr="002029AF">
        <w:rPr>
          <w:rFonts w:eastAsia="Arial"/>
        </w:rPr>
        <w:t>impact</w:t>
      </w:r>
      <w:r w:rsidR="000A5329" w:rsidRPr="002029AF">
        <w:rPr>
          <w:rFonts w:eastAsia="Arial"/>
        </w:rPr>
        <w:t xml:space="preserve"> </w:t>
      </w:r>
      <w:r w:rsidRPr="002029AF">
        <w:rPr>
          <w:rFonts w:eastAsia="Arial"/>
        </w:rPr>
        <w:t>for</w:t>
      </w:r>
      <w:r w:rsidR="000A5329" w:rsidRPr="002029AF">
        <w:rPr>
          <w:rFonts w:eastAsia="Arial"/>
        </w:rPr>
        <w:t xml:space="preserve"> </w:t>
      </w:r>
      <w:r w:rsidRPr="002029AF">
        <w:rPr>
          <w:rFonts w:eastAsia="Arial"/>
        </w:rPr>
        <w:t>each</w:t>
      </w:r>
      <w:r w:rsidR="000A5329" w:rsidRPr="002029AF">
        <w:rPr>
          <w:rFonts w:eastAsia="Arial"/>
        </w:rPr>
        <w:t xml:space="preserve"> </w:t>
      </w:r>
      <w:r w:rsidRPr="002029AF">
        <w:rPr>
          <w:rFonts w:eastAsia="Arial"/>
        </w:rPr>
        <w:t>major</w:t>
      </w:r>
      <w:r w:rsidR="000A5329" w:rsidRPr="002029AF">
        <w:rPr>
          <w:rFonts w:eastAsia="Arial"/>
        </w:rPr>
        <w:t xml:space="preserve"> </w:t>
      </w:r>
      <w:r w:rsidRPr="002029AF">
        <w:rPr>
          <w:rFonts w:eastAsia="Arial"/>
        </w:rPr>
        <w:t>class</w:t>
      </w:r>
      <w:r w:rsidR="000A5329" w:rsidRPr="002029AF">
        <w:rPr>
          <w:rFonts w:eastAsia="Arial"/>
        </w:rPr>
        <w:t xml:space="preserve"> </w:t>
      </w:r>
      <w:r w:rsidRPr="002029AF">
        <w:rPr>
          <w:rFonts w:eastAsia="Arial"/>
        </w:rPr>
        <w:t>of</w:t>
      </w:r>
      <w:r w:rsidR="000A5329" w:rsidRPr="002029AF">
        <w:rPr>
          <w:rFonts w:eastAsia="Arial"/>
        </w:rPr>
        <w:t xml:space="preserve"> </w:t>
      </w:r>
      <w:r w:rsidRPr="002029AF">
        <w:rPr>
          <w:rFonts w:eastAsia="Arial"/>
        </w:rPr>
        <w:t>revenue</w:t>
      </w:r>
      <w:r w:rsidR="000A5329" w:rsidRPr="002029AF">
        <w:rPr>
          <w:rFonts w:eastAsia="Arial"/>
        </w:rPr>
        <w:t xml:space="preserve"> </w:t>
      </w:r>
      <w:r w:rsidRPr="002029AF">
        <w:rPr>
          <w:rFonts w:eastAsia="Arial"/>
        </w:rPr>
        <w:t>and</w:t>
      </w:r>
      <w:r w:rsidR="000A5329" w:rsidRPr="002029AF">
        <w:rPr>
          <w:rFonts w:eastAsia="Arial"/>
        </w:rPr>
        <w:t xml:space="preserve"> </w:t>
      </w:r>
      <w:r w:rsidRPr="002029AF">
        <w:rPr>
          <w:rFonts w:eastAsia="Arial"/>
        </w:rPr>
        <w:t>income</w:t>
      </w:r>
      <w:r w:rsidR="000A5329" w:rsidRPr="002029AF">
        <w:rPr>
          <w:rFonts w:eastAsia="Arial"/>
        </w:rPr>
        <w:t xml:space="preserve"> </w:t>
      </w:r>
      <w:r w:rsidRPr="002029AF">
        <w:rPr>
          <w:rFonts w:eastAsia="Arial"/>
        </w:rPr>
        <w:t>in</w:t>
      </w:r>
      <w:r w:rsidR="000A5329" w:rsidRPr="002029AF">
        <w:rPr>
          <w:rFonts w:eastAsia="Arial"/>
        </w:rPr>
        <w:t xml:space="preserve"> </w:t>
      </w:r>
      <w:r w:rsidRPr="002029AF">
        <w:rPr>
          <w:rFonts w:eastAsia="Arial"/>
        </w:rPr>
        <w:t>the</w:t>
      </w:r>
      <w:r w:rsidR="000A5329" w:rsidRPr="002029AF">
        <w:rPr>
          <w:rFonts w:eastAsia="Arial"/>
        </w:rPr>
        <w:t xml:space="preserve"> </w:t>
      </w:r>
      <w:r w:rsidRPr="002029AF">
        <w:rPr>
          <w:rFonts w:eastAsia="Arial"/>
        </w:rPr>
        <w:t>initial</w:t>
      </w:r>
      <w:r w:rsidR="000A5329" w:rsidRPr="002029AF">
        <w:rPr>
          <w:rFonts w:eastAsia="Arial"/>
        </w:rPr>
        <w:t xml:space="preserve"> </w:t>
      </w:r>
      <w:r w:rsidRPr="002029AF">
        <w:rPr>
          <w:rFonts w:eastAsia="Arial"/>
        </w:rPr>
        <w:t>year</w:t>
      </w:r>
      <w:r w:rsidR="000A5329" w:rsidRPr="002029AF">
        <w:rPr>
          <w:rFonts w:eastAsia="Arial"/>
        </w:rPr>
        <w:t xml:space="preserve"> </w:t>
      </w:r>
      <w:r w:rsidRPr="002029AF">
        <w:rPr>
          <w:rFonts w:eastAsia="Arial"/>
        </w:rPr>
        <w:t>of</w:t>
      </w:r>
      <w:r w:rsidR="000A5329" w:rsidRPr="002029AF">
        <w:rPr>
          <w:rFonts w:eastAsia="Arial"/>
        </w:rPr>
        <w:t xml:space="preserve"> </w:t>
      </w:r>
      <w:r w:rsidRPr="002029AF">
        <w:rPr>
          <w:rFonts w:eastAsia="Arial"/>
        </w:rPr>
        <w:t>application.</w:t>
      </w:r>
    </w:p>
    <w:p w14:paraId="7DF57571" w14:textId="0A661AEE" w:rsidR="00087B91" w:rsidRPr="002029AF" w:rsidRDefault="00087B91" w:rsidP="00087B91">
      <w:pPr>
        <w:pStyle w:val="Heading5"/>
        <w:rPr>
          <w:strike/>
        </w:rPr>
      </w:pPr>
      <w:r w:rsidRPr="002029AF">
        <w:t>9.12.4</w:t>
      </w:r>
      <w:r w:rsidRPr="002029AF">
        <w:tab/>
        <w:t>Income</w:t>
      </w:r>
      <w:r w:rsidR="000A5329" w:rsidRPr="002029AF">
        <w:t xml:space="preserve"> </w:t>
      </w:r>
      <w:r w:rsidRPr="002029AF">
        <w:t>of</w:t>
      </w:r>
      <w:r w:rsidR="000A5329" w:rsidRPr="002029AF">
        <w:t xml:space="preserve"> </w:t>
      </w:r>
      <w:r w:rsidRPr="002029AF">
        <w:t>Not-for-Profit</w:t>
      </w:r>
      <w:r w:rsidR="000A5329" w:rsidRPr="002029AF">
        <w:t xml:space="preserve"> </w:t>
      </w:r>
      <w:r w:rsidRPr="002029AF">
        <w:t>Entities</w:t>
      </w:r>
    </w:p>
    <w:p w14:paraId="4CA75CC5" w14:textId="47AA4756" w:rsidR="00087B91" w:rsidRPr="002029AF" w:rsidRDefault="00087B91" w:rsidP="00087B91">
      <w:pPr>
        <w:pStyle w:val="ARfinbody"/>
        <w:rPr>
          <w:rFonts w:eastAsia="Arial"/>
          <w:highlight w:val="yellow"/>
        </w:rPr>
      </w:pPr>
      <w:r w:rsidRPr="002029AF">
        <w:rPr>
          <w:rFonts w:eastAsia="Arial"/>
        </w:rPr>
        <w:t>In</w:t>
      </w:r>
      <w:r w:rsidR="000A5329" w:rsidRPr="002029AF">
        <w:rPr>
          <w:rFonts w:eastAsia="Arial"/>
        </w:rPr>
        <w:t xml:space="preserve"> </w:t>
      </w:r>
      <w:r w:rsidRPr="002029AF">
        <w:rPr>
          <w:rFonts w:eastAsia="Arial"/>
        </w:rPr>
        <w:t>accordance</w:t>
      </w:r>
      <w:r w:rsidR="000A5329" w:rsidRPr="002029AF">
        <w:rPr>
          <w:rFonts w:eastAsia="Arial"/>
        </w:rPr>
        <w:t xml:space="preserve"> </w:t>
      </w:r>
      <w:r w:rsidRPr="002029AF">
        <w:rPr>
          <w:rFonts w:eastAsia="Arial"/>
        </w:rPr>
        <w:t>with</w:t>
      </w:r>
      <w:r w:rsidR="000A5329" w:rsidRPr="002029AF">
        <w:rPr>
          <w:rFonts w:eastAsia="Arial"/>
        </w:rPr>
        <w:t xml:space="preserve"> </w:t>
      </w:r>
      <w:r w:rsidRPr="002029AF">
        <w:rPr>
          <w:rFonts w:eastAsia="Arial"/>
        </w:rPr>
        <w:t>FRD</w:t>
      </w:r>
      <w:r w:rsidR="000A5329" w:rsidRPr="002029AF">
        <w:rPr>
          <w:rFonts w:eastAsia="Arial"/>
        </w:rPr>
        <w:t xml:space="preserve"> </w:t>
      </w:r>
      <w:r w:rsidRPr="002029AF">
        <w:rPr>
          <w:rFonts w:eastAsia="Arial"/>
        </w:rPr>
        <w:t>122</w:t>
      </w:r>
      <w:r w:rsidR="000A5329" w:rsidRPr="002029AF">
        <w:rPr>
          <w:rFonts w:eastAsia="Arial"/>
        </w:rPr>
        <w:t xml:space="preserve"> </w:t>
      </w:r>
      <w:r w:rsidRPr="002029AF">
        <w:rPr>
          <w:rFonts w:eastAsia="Arial"/>
        </w:rPr>
        <w:t>requirements,</w:t>
      </w:r>
      <w:r w:rsidR="000A5329" w:rsidRPr="002029AF">
        <w:rPr>
          <w:rFonts w:eastAsia="Arial"/>
        </w:rPr>
        <w:t xml:space="preserve"> </w:t>
      </w:r>
      <w:r w:rsidRPr="002029AF">
        <w:rPr>
          <w:rFonts w:eastAsia="Arial"/>
        </w:rPr>
        <w:t>the</w:t>
      </w:r>
      <w:r w:rsidR="000A5329" w:rsidRPr="002029AF">
        <w:rPr>
          <w:rFonts w:eastAsia="Arial"/>
        </w:rPr>
        <w:t xml:space="preserve"> </w:t>
      </w:r>
      <w:r w:rsidRPr="002029AF">
        <w:rPr>
          <w:rFonts w:eastAsia="Arial"/>
        </w:rPr>
        <w:t>department</w:t>
      </w:r>
      <w:r w:rsidR="000A5329" w:rsidRPr="002029AF">
        <w:rPr>
          <w:rFonts w:eastAsia="Arial"/>
        </w:rPr>
        <w:t xml:space="preserve"> </w:t>
      </w:r>
      <w:r w:rsidRPr="002029AF">
        <w:rPr>
          <w:rFonts w:eastAsia="Arial"/>
        </w:rPr>
        <w:t>has</w:t>
      </w:r>
      <w:r w:rsidR="000A5329" w:rsidRPr="002029AF">
        <w:rPr>
          <w:rFonts w:eastAsia="Arial"/>
        </w:rPr>
        <w:t xml:space="preserve"> </w:t>
      </w:r>
      <w:r w:rsidRPr="002029AF">
        <w:rPr>
          <w:rFonts w:eastAsia="Arial"/>
        </w:rPr>
        <w:t>applied</w:t>
      </w:r>
      <w:r w:rsidR="000A5329" w:rsidRPr="002029AF">
        <w:rPr>
          <w:rFonts w:eastAsia="Arial"/>
        </w:rPr>
        <w:t xml:space="preserve"> </w:t>
      </w:r>
      <w:r w:rsidRPr="002029AF">
        <w:rPr>
          <w:rFonts w:eastAsia="Arial"/>
        </w:rPr>
        <w:t>the</w:t>
      </w:r>
      <w:r w:rsidR="000A5329" w:rsidRPr="002029AF">
        <w:rPr>
          <w:rFonts w:eastAsia="Arial"/>
        </w:rPr>
        <w:t xml:space="preserve"> </w:t>
      </w:r>
      <w:r w:rsidRPr="002029AF">
        <w:rPr>
          <w:rFonts w:eastAsia="Arial"/>
        </w:rPr>
        <w:t>transitional</w:t>
      </w:r>
      <w:r w:rsidR="000A5329" w:rsidRPr="002029AF">
        <w:rPr>
          <w:rFonts w:eastAsia="Arial"/>
        </w:rPr>
        <w:t xml:space="preserve"> </w:t>
      </w:r>
      <w:r w:rsidRPr="002029AF">
        <w:rPr>
          <w:rFonts w:eastAsia="Arial"/>
        </w:rPr>
        <w:t>provision</w:t>
      </w:r>
      <w:r w:rsidR="000A5329" w:rsidRPr="002029AF">
        <w:rPr>
          <w:rFonts w:eastAsia="Arial"/>
        </w:rPr>
        <w:t xml:space="preserve"> </w:t>
      </w:r>
      <w:r w:rsidRPr="002029AF">
        <w:rPr>
          <w:rFonts w:eastAsia="Arial"/>
        </w:rPr>
        <w:t>of</w:t>
      </w:r>
      <w:r w:rsidR="000A5329" w:rsidRPr="002029AF">
        <w:rPr>
          <w:rFonts w:eastAsia="Arial"/>
        </w:rPr>
        <w:t xml:space="preserve"> </w:t>
      </w:r>
      <w:r w:rsidRPr="002029AF">
        <w:rPr>
          <w:rFonts w:eastAsia="Arial"/>
        </w:rPr>
        <w:t>AASB</w:t>
      </w:r>
      <w:r w:rsidR="000A5329" w:rsidRPr="002029AF">
        <w:rPr>
          <w:rFonts w:eastAsia="Arial"/>
        </w:rPr>
        <w:t xml:space="preserve"> </w:t>
      </w:r>
      <w:r w:rsidRPr="002029AF">
        <w:rPr>
          <w:rFonts w:eastAsia="Arial"/>
        </w:rPr>
        <w:t>1058,</w:t>
      </w:r>
      <w:r w:rsidR="000A5329" w:rsidRPr="002029AF">
        <w:rPr>
          <w:rFonts w:eastAsia="Arial"/>
        </w:rPr>
        <w:t xml:space="preserve"> </w:t>
      </w:r>
      <w:r w:rsidRPr="002029AF">
        <w:rPr>
          <w:rFonts w:eastAsia="Arial"/>
        </w:rPr>
        <w:t>under</w:t>
      </w:r>
      <w:r w:rsidR="000A5329" w:rsidRPr="002029AF">
        <w:rPr>
          <w:rFonts w:eastAsia="Arial"/>
        </w:rPr>
        <w:t xml:space="preserve"> </w:t>
      </w:r>
      <w:r w:rsidRPr="002029AF">
        <w:rPr>
          <w:rFonts w:eastAsia="Arial"/>
        </w:rPr>
        <w:t>the</w:t>
      </w:r>
      <w:r w:rsidR="000A5329" w:rsidRPr="002029AF">
        <w:rPr>
          <w:rFonts w:eastAsia="Arial"/>
        </w:rPr>
        <w:t xml:space="preserve"> </w:t>
      </w:r>
      <w:r w:rsidRPr="002029AF">
        <w:rPr>
          <w:rFonts w:eastAsia="Arial"/>
        </w:rPr>
        <w:t>modified</w:t>
      </w:r>
      <w:r w:rsidR="000A5329" w:rsidRPr="002029AF">
        <w:rPr>
          <w:rFonts w:eastAsia="Arial"/>
        </w:rPr>
        <w:t xml:space="preserve"> </w:t>
      </w:r>
      <w:r w:rsidRPr="002029AF">
        <w:rPr>
          <w:rFonts w:eastAsia="Arial"/>
        </w:rPr>
        <w:t>retrospective</w:t>
      </w:r>
      <w:r w:rsidR="000A5329" w:rsidRPr="002029AF">
        <w:rPr>
          <w:rFonts w:eastAsia="Arial"/>
        </w:rPr>
        <w:t xml:space="preserve"> </w:t>
      </w:r>
      <w:r w:rsidRPr="002029AF">
        <w:rPr>
          <w:rFonts w:eastAsia="Arial"/>
        </w:rPr>
        <w:t>method</w:t>
      </w:r>
      <w:r w:rsidR="000A5329" w:rsidRPr="002029AF">
        <w:rPr>
          <w:rFonts w:eastAsia="Arial"/>
        </w:rPr>
        <w:t xml:space="preserve"> </w:t>
      </w:r>
      <w:r w:rsidRPr="002029AF">
        <w:rPr>
          <w:rFonts w:eastAsia="Arial"/>
        </w:rPr>
        <w:t>with</w:t>
      </w:r>
      <w:r w:rsidR="000A5329" w:rsidRPr="002029AF">
        <w:rPr>
          <w:rFonts w:eastAsia="Arial"/>
        </w:rPr>
        <w:t xml:space="preserve"> </w:t>
      </w:r>
      <w:r w:rsidRPr="002029AF">
        <w:rPr>
          <w:rFonts w:eastAsia="Arial"/>
        </w:rPr>
        <w:t>the</w:t>
      </w:r>
      <w:r w:rsidR="000A5329" w:rsidRPr="002029AF">
        <w:rPr>
          <w:rFonts w:eastAsia="Arial"/>
        </w:rPr>
        <w:t xml:space="preserve"> </w:t>
      </w:r>
      <w:r w:rsidRPr="002029AF">
        <w:rPr>
          <w:rFonts w:eastAsia="Arial"/>
        </w:rPr>
        <w:t>cumulative</w:t>
      </w:r>
      <w:r w:rsidR="000A5329" w:rsidRPr="002029AF">
        <w:rPr>
          <w:rFonts w:eastAsia="Arial"/>
        </w:rPr>
        <w:t xml:space="preserve"> </w:t>
      </w:r>
      <w:r w:rsidRPr="002029AF">
        <w:rPr>
          <w:rFonts w:eastAsia="Arial"/>
        </w:rPr>
        <w:t>effect</w:t>
      </w:r>
      <w:r w:rsidR="000A5329" w:rsidRPr="002029AF">
        <w:rPr>
          <w:rFonts w:eastAsia="Arial"/>
        </w:rPr>
        <w:t xml:space="preserve"> </w:t>
      </w:r>
      <w:r w:rsidRPr="002029AF">
        <w:rPr>
          <w:rFonts w:eastAsia="Arial"/>
        </w:rPr>
        <w:t>of</w:t>
      </w:r>
      <w:r w:rsidR="000A5329" w:rsidRPr="002029AF">
        <w:rPr>
          <w:rFonts w:eastAsia="Arial"/>
        </w:rPr>
        <w:t xml:space="preserve"> </w:t>
      </w:r>
      <w:r w:rsidRPr="002029AF">
        <w:rPr>
          <w:rFonts w:eastAsia="Arial"/>
        </w:rPr>
        <w:t>initially</w:t>
      </w:r>
      <w:r w:rsidR="000A5329" w:rsidRPr="002029AF">
        <w:rPr>
          <w:rFonts w:eastAsia="Arial"/>
        </w:rPr>
        <w:t xml:space="preserve"> </w:t>
      </w:r>
      <w:r w:rsidRPr="002029AF">
        <w:rPr>
          <w:rFonts w:eastAsia="Arial"/>
        </w:rPr>
        <w:t>applying</w:t>
      </w:r>
      <w:r w:rsidR="000A5329" w:rsidRPr="002029AF">
        <w:rPr>
          <w:rFonts w:eastAsia="Arial"/>
        </w:rPr>
        <w:t xml:space="preserve"> </w:t>
      </w:r>
      <w:r w:rsidRPr="002029AF">
        <w:rPr>
          <w:rFonts w:eastAsia="Arial"/>
        </w:rPr>
        <w:t>this</w:t>
      </w:r>
      <w:r w:rsidR="000A5329" w:rsidRPr="002029AF">
        <w:rPr>
          <w:rFonts w:eastAsia="Arial"/>
        </w:rPr>
        <w:t xml:space="preserve"> </w:t>
      </w:r>
      <w:r w:rsidRPr="002029AF">
        <w:rPr>
          <w:rFonts w:eastAsia="Arial"/>
        </w:rPr>
        <w:t>standard</w:t>
      </w:r>
      <w:r w:rsidR="000A5329" w:rsidRPr="002029AF">
        <w:rPr>
          <w:rFonts w:eastAsia="Arial"/>
        </w:rPr>
        <w:t xml:space="preserve"> </w:t>
      </w:r>
      <w:r w:rsidRPr="002029AF">
        <w:rPr>
          <w:rFonts w:eastAsia="Arial"/>
        </w:rPr>
        <w:t>against</w:t>
      </w:r>
      <w:r w:rsidR="000A5329" w:rsidRPr="002029AF">
        <w:rPr>
          <w:rFonts w:eastAsia="Arial"/>
        </w:rPr>
        <w:t xml:space="preserve"> </w:t>
      </w:r>
      <w:r w:rsidRPr="002029AF">
        <w:rPr>
          <w:rFonts w:eastAsia="Arial"/>
        </w:rPr>
        <w:t>the</w:t>
      </w:r>
      <w:r w:rsidR="000A5329" w:rsidRPr="002029AF">
        <w:rPr>
          <w:rFonts w:eastAsia="Arial"/>
        </w:rPr>
        <w:t xml:space="preserve"> </w:t>
      </w:r>
      <w:r w:rsidRPr="002029AF">
        <w:rPr>
          <w:rFonts w:eastAsia="Arial"/>
        </w:rPr>
        <w:t>opening</w:t>
      </w:r>
      <w:r w:rsidR="000A5329" w:rsidRPr="002029AF">
        <w:rPr>
          <w:rFonts w:eastAsia="Arial"/>
        </w:rPr>
        <w:t xml:space="preserve"> </w:t>
      </w:r>
      <w:r w:rsidRPr="002029AF">
        <w:rPr>
          <w:rFonts w:eastAsia="Arial"/>
        </w:rPr>
        <w:t>retained</w:t>
      </w:r>
      <w:r w:rsidR="000A5329" w:rsidRPr="002029AF">
        <w:rPr>
          <w:rFonts w:eastAsia="Arial"/>
        </w:rPr>
        <w:t xml:space="preserve"> </w:t>
      </w:r>
      <w:r w:rsidRPr="002029AF">
        <w:rPr>
          <w:rFonts w:eastAsia="Arial"/>
        </w:rPr>
        <w:t>earnings</w:t>
      </w:r>
      <w:r w:rsidR="000A5329" w:rsidRPr="002029AF">
        <w:rPr>
          <w:rFonts w:eastAsia="Arial"/>
        </w:rPr>
        <w:t xml:space="preserve"> </w:t>
      </w:r>
      <w:r w:rsidRPr="002029AF">
        <w:rPr>
          <w:rFonts w:eastAsia="Arial"/>
        </w:rPr>
        <w:t>at</w:t>
      </w:r>
      <w:r w:rsidR="000A5329" w:rsidRPr="002029AF">
        <w:rPr>
          <w:rFonts w:eastAsia="Arial"/>
        </w:rPr>
        <w:t xml:space="preserve"> </w:t>
      </w:r>
      <w:r w:rsidRPr="002029AF">
        <w:rPr>
          <w:rFonts w:eastAsia="Arial"/>
        </w:rPr>
        <w:t>1</w:t>
      </w:r>
      <w:r w:rsidR="000A5329" w:rsidRPr="002029AF">
        <w:rPr>
          <w:rFonts w:eastAsia="Arial"/>
        </w:rPr>
        <w:t xml:space="preserve"> </w:t>
      </w:r>
      <w:r w:rsidRPr="002029AF">
        <w:rPr>
          <w:rFonts w:eastAsia="Arial"/>
        </w:rPr>
        <w:t>July</w:t>
      </w:r>
      <w:r w:rsidR="000A5329" w:rsidRPr="002029AF">
        <w:rPr>
          <w:rFonts w:eastAsia="Arial"/>
        </w:rPr>
        <w:t xml:space="preserve"> </w:t>
      </w:r>
      <w:r w:rsidRPr="002029AF">
        <w:rPr>
          <w:rFonts w:eastAsia="Arial"/>
        </w:rPr>
        <w:t>2019.</w:t>
      </w:r>
      <w:r w:rsidR="000A5329" w:rsidRPr="002029AF">
        <w:rPr>
          <w:rFonts w:eastAsia="Arial"/>
        </w:rPr>
        <w:t xml:space="preserve"> </w:t>
      </w:r>
      <w:r w:rsidRPr="002029AF">
        <w:rPr>
          <w:rFonts w:eastAsia="Arial"/>
        </w:rPr>
        <w:t>The</w:t>
      </w:r>
      <w:r w:rsidR="000A5329" w:rsidRPr="002029AF">
        <w:rPr>
          <w:rFonts w:eastAsia="Arial"/>
        </w:rPr>
        <w:t xml:space="preserve"> </w:t>
      </w:r>
      <w:r w:rsidRPr="002029AF">
        <w:rPr>
          <w:rFonts w:eastAsia="Arial"/>
        </w:rPr>
        <w:t>department</w:t>
      </w:r>
      <w:r w:rsidR="000A5329" w:rsidRPr="002029AF">
        <w:rPr>
          <w:rFonts w:eastAsia="Arial"/>
        </w:rPr>
        <w:t xml:space="preserve"> </w:t>
      </w:r>
      <w:r w:rsidRPr="002029AF">
        <w:rPr>
          <w:rFonts w:eastAsia="Arial"/>
        </w:rPr>
        <w:t>has</w:t>
      </w:r>
      <w:r w:rsidR="000A5329" w:rsidRPr="002029AF">
        <w:rPr>
          <w:rFonts w:eastAsia="Arial"/>
        </w:rPr>
        <w:t xml:space="preserve"> </w:t>
      </w:r>
      <w:r w:rsidRPr="002029AF">
        <w:rPr>
          <w:rFonts w:eastAsia="Arial"/>
        </w:rPr>
        <w:t>performed</w:t>
      </w:r>
      <w:r w:rsidR="000A5329" w:rsidRPr="002029AF">
        <w:rPr>
          <w:rFonts w:eastAsia="Arial"/>
        </w:rPr>
        <w:t xml:space="preserve"> </w:t>
      </w:r>
      <w:r w:rsidRPr="002029AF">
        <w:rPr>
          <w:rFonts w:eastAsia="Arial"/>
        </w:rPr>
        <w:t>a</w:t>
      </w:r>
      <w:r w:rsidR="000A5329" w:rsidRPr="002029AF">
        <w:rPr>
          <w:rFonts w:eastAsia="Arial"/>
        </w:rPr>
        <w:t xml:space="preserve"> </w:t>
      </w:r>
      <w:r w:rsidRPr="002029AF">
        <w:rPr>
          <w:rFonts w:eastAsia="Arial"/>
        </w:rPr>
        <w:t>detailed</w:t>
      </w:r>
      <w:r w:rsidR="000A5329" w:rsidRPr="002029AF">
        <w:rPr>
          <w:rFonts w:eastAsia="Arial"/>
        </w:rPr>
        <w:t xml:space="preserve"> </w:t>
      </w:r>
      <w:r w:rsidRPr="002029AF">
        <w:rPr>
          <w:rFonts w:eastAsia="Arial"/>
        </w:rPr>
        <w:t>impact</w:t>
      </w:r>
      <w:r w:rsidR="000A5329" w:rsidRPr="002029AF">
        <w:rPr>
          <w:rFonts w:eastAsia="Arial"/>
        </w:rPr>
        <w:t xml:space="preserve"> </w:t>
      </w:r>
      <w:r w:rsidRPr="002029AF">
        <w:rPr>
          <w:rFonts w:eastAsia="Arial"/>
        </w:rPr>
        <w:t>assessment</w:t>
      </w:r>
      <w:r w:rsidR="000A5329" w:rsidRPr="002029AF">
        <w:rPr>
          <w:rFonts w:eastAsia="Arial"/>
        </w:rPr>
        <w:t xml:space="preserve"> </w:t>
      </w:r>
      <w:r w:rsidRPr="002029AF">
        <w:rPr>
          <w:rFonts w:eastAsia="Arial"/>
        </w:rPr>
        <w:t>of</w:t>
      </w:r>
      <w:r w:rsidR="000A5329" w:rsidRPr="002029AF">
        <w:rPr>
          <w:rFonts w:eastAsia="Arial"/>
        </w:rPr>
        <w:t xml:space="preserve"> </w:t>
      </w:r>
      <w:r w:rsidRPr="002029AF">
        <w:rPr>
          <w:rFonts w:eastAsia="Arial"/>
        </w:rPr>
        <w:t>AASB</w:t>
      </w:r>
      <w:r w:rsidR="000A5329" w:rsidRPr="002029AF">
        <w:rPr>
          <w:rFonts w:eastAsia="Arial"/>
        </w:rPr>
        <w:t xml:space="preserve"> </w:t>
      </w:r>
      <w:r w:rsidRPr="002029AF">
        <w:rPr>
          <w:rFonts w:eastAsia="Arial"/>
        </w:rPr>
        <w:t>1058</w:t>
      </w:r>
      <w:r w:rsidR="000A5329" w:rsidRPr="002029AF">
        <w:rPr>
          <w:rFonts w:eastAsia="Arial"/>
        </w:rPr>
        <w:t xml:space="preserve"> </w:t>
      </w:r>
      <w:r w:rsidRPr="002029AF">
        <w:rPr>
          <w:rFonts w:eastAsia="Arial"/>
        </w:rPr>
        <w:t>and</w:t>
      </w:r>
      <w:r w:rsidR="000A5329" w:rsidRPr="002029AF">
        <w:rPr>
          <w:rFonts w:eastAsia="Arial"/>
        </w:rPr>
        <w:t xml:space="preserve"> </w:t>
      </w:r>
      <w:r w:rsidRPr="002029AF">
        <w:rPr>
          <w:rFonts w:eastAsia="Arial"/>
        </w:rPr>
        <w:t>found</w:t>
      </w:r>
      <w:r w:rsidR="000A5329" w:rsidRPr="002029AF">
        <w:rPr>
          <w:rFonts w:eastAsia="Arial"/>
        </w:rPr>
        <w:t xml:space="preserve"> </w:t>
      </w:r>
      <w:r w:rsidRPr="002029AF">
        <w:rPr>
          <w:rFonts w:eastAsia="Arial"/>
        </w:rPr>
        <w:t>no</w:t>
      </w:r>
      <w:r w:rsidR="000A5329" w:rsidRPr="002029AF">
        <w:rPr>
          <w:rFonts w:eastAsia="Arial"/>
        </w:rPr>
        <w:t xml:space="preserve"> </w:t>
      </w:r>
      <w:r w:rsidRPr="002029AF">
        <w:rPr>
          <w:rFonts w:eastAsia="Arial"/>
        </w:rPr>
        <w:t>impact</w:t>
      </w:r>
      <w:r w:rsidR="000A5329" w:rsidRPr="002029AF">
        <w:rPr>
          <w:rFonts w:eastAsia="Arial"/>
        </w:rPr>
        <w:t xml:space="preserve"> </w:t>
      </w:r>
      <w:r w:rsidRPr="002029AF">
        <w:rPr>
          <w:rFonts w:eastAsia="Arial"/>
        </w:rPr>
        <w:t>for</w:t>
      </w:r>
      <w:r w:rsidR="000A5329" w:rsidRPr="002029AF">
        <w:rPr>
          <w:rFonts w:eastAsia="Arial"/>
        </w:rPr>
        <w:t xml:space="preserve"> </w:t>
      </w:r>
      <w:r w:rsidRPr="002029AF">
        <w:rPr>
          <w:rFonts w:eastAsia="Arial"/>
        </w:rPr>
        <w:t>each</w:t>
      </w:r>
      <w:r w:rsidR="000A5329" w:rsidRPr="002029AF">
        <w:rPr>
          <w:rFonts w:eastAsia="Arial"/>
        </w:rPr>
        <w:t xml:space="preserve"> </w:t>
      </w:r>
      <w:r w:rsidRPr="002029AF">
        <w:rPr>
          <w:rFonts w:eastAsia="Arial"/>
        </w:rPr>
        <w:t>major</w:t>
      </w:r>
      <w:r w:rsidR="000A5329" w:rsidRPr="002029AF">
        <w:rPr>
          <w:rFonts w:eastAsia="Arial"/>
        </w:rPr>
        <w:t xml:space="preserve"> </w:t>
      </w:r>
      <w:r w:rsidRPr="002029AF">
        <w:rPr>
          <w:rFonts w:eastAsia="Arial"/>
        </w:rPr>
        <w:t>class</w:t>
      </w:r>
      <w:r w:rsidR="000A5329" w:rsidRPr="002029AF">
        <w:rPr>
          <w:rFonts w:eastAsia="Arial"/>
        </w:rPr>
        <w:t xml:space="preserve"> </w:t>
      </w:r>
      <w:r w:rsidRPr="002029AF">
        <w:rPr>
          <w:rFonts w:eastAsia="Arial"/>
        </w:rPr>
        <w:t>of</w:t>
      </w:r>
      <w:r w:rsidR="000A5329" w:rsidRPr="002029AF">
        <w:rPr>
          <w:rFonts w:eastAsia="Arial"/>
        </w:rPr>
        <w:t xml:space="preserve"> </w:t>
      </w:r>
      <w:r w:rsidRPr="002029AF">
        <w:rPr>
          <w:rFonts w:eastAsia="Arial"/>
        </w:rPr>
        <w:t>revenue</w:t>
      </w:r>
      <w:r w:rsidR="000A5329" w:rsidRPr="002029AF">
        <w:rPr>
          <w:rFonts w:eastAsia="Arial"/>
        </w:rPr>
        <w:t xml:space="preserve"> </w:t>
      </w:r>
      <w:r w:rsidRPr="002029AF">
        <w:rPr>
          <w:rFonts w:eastAsia="Arial"/>
        </w:rPr>
        <w:t>and</w:t>
      </w:r>
      <w:r w:rsidR="000A5329" w:rsidRPr="002029AF">
        <w:rPr>
          <w:rFonts w:eastAsia="Arial"/>
        </w:rPr>
        <w:t xml:space="preserve"> </w:t>
      </w:r>
      <w:r w:rsidRPr="002029AF">
        <w:rPr>
          <w:rFonts w:eastAsia="Arial"/>
        </w:rPr>
        <w:t>income</w:t>
      </w:r>
      <w:r w:rsidR="000A5329" w:rsidRPr="002029AF">
        <w:rPr>
          <w:rFonts w:eastAsia="Arial"/>
        </w:rPr>
        <w:t xml:space="preserve"> </w:t>
      </w:r>
      <w:r w:rsidRPr="002029AF">
        <w:rPr>
          <w:rFonts w:eastAsia="Arial"/>
        </w:rPr>
        <w:t>in</w:t>
      </w:r>
      <w:r w:rsidR="000A5329" w:rsidRPr="002029AF">
        <w:rPr>
          <w:rFonts w:eastAsia="Arial"/>
        </w:rPr>
        <w:t xml:space="preserve"> </w:t>
      </w:r>
      <w:r w:rsidRPr="002029AF">
        <w:rPr>
          <w:rFonts w:eastAsia="Arial"/>
        </w:rPr>
        <w:t>the</w:t>
      </w:r>
      <w:r w:rsidR="000A5329" w:rsidRPr="002029AF">
        <w:rPr>
          <w:rFonts w:eastAsia="Arial"/>
        </w:rPr>
        <w:t xml:space="preserve"> </w:t>
      </w:r>
      <w:r w:rsidRPr="002029AF">
        <w:rPr>
          <w:rFonts w:eastAsia="Arial"/>
        </w:rPr>
        <w:t>initial</w:t>
      </w:r>
      <w:r w:rsidR="000A5329" w:rsidRPr="002029AF">
        <w:rPr>
          <w:rFonts w:eastAsia="Arial"/>
        </w:rPr>
        <w:t xml:space="preserve"> </w:t>
      </w:r>
      <w:r w:rsidRPr="002029AF">
        <w:rPr>
          <w:rFonts w:eastAsia="Arial"/>
        </w:rPr>
        <w:t>year</w:t>
      </w:r>
      <w:r w:rsidR="000A5329" w:rsidRPr="002029AF">
        <w:rPr>
          <w:rFonts w:eastAsia="Arial"/>
        </w:rPr>
        <w:t xml:space="preserve"> </w:t>
      </w:r>
      <w:r w:rsidRPr="002029AF">
        <w:rPr>
          <w:rFonts w:eastAsia="Arial"/>
        </w:rPr>
        <w:t>of</w:t>
      </w:r>
      <w:r w:rsidR="000A5329" w:rsidRPr="002029AF">
        <w:rPr>
          <w:rFonts w:eastAsia="Arial"/>
        </w:rPr>
        <w:t xml:space="preserve"> </w:t>
      </w:r>
      <w:r w:rsidRPr="002029AF">
        <w:rPr>
          <w:rFonts w:eastAsia="Arial"/>
        </w:rPr>
        <w:t>application.</w:t>
      </w:r>
    </w:p>
    <w:p w14:paraId="4B9EE0FC" w14:textId="2E334BFA" w:rsidR="00087B91" w:rsidRPr="002029AF" w:rsidRDefault="00087B91" w:rsidP="00087B91">
      <w:pPr>
        <w:pStyle w:val="Heading5"/>
      </w:pPr>
      <w:r w:rsidRPr="002029AF">
        <w:t>9.12.5</w:t>
      </w:r>
      <w:r w:rsidRPr="002029AF">
        <w:tab/>
        <w:t>Transition</w:t>
      </w:r>
      <w:r w:rsidR="000A5329" w:rsidRPr="002029AF">
        <w:t xml:space="preserve"> </w:t>
      </w:r>
      <w:r w:rsidRPr="002029AF">
        <w:t>impact</w:t>
      </w:r>
      <w:r w:rsidR="000A5329" w:rsidRPr="002029AF">
        <w:t xml:space="preserve"> </w:t>
      </w:r>
      <w:r w:rsidRPr="002029AF">
        <w:t>on</w:t>
      </w:r>
      <w:r w:rsidR="000A5329" w:rsidRPr="002029AF">
        <w:t xml:space="preserve"> </w:t>
      </w:r>
      <w:r w:rsidRPr="002029AF">
        <w:t>financial</w:t>
      </w:r>
      <w:r w:rsidR="000A5329" w:rsidRPr="002029AF">
        <w:t xml:space="preserve"> </w:t>
      </w:r>
      <w:r w:rsidRPr="002029AF">
        <w:t>statements</w:t>
      </w:r>
    </w:p>
    <w:p w14:paraId="292A0135" w14:textId="42DFE662" w:rsidR="00087B91" w:rsidRPr="002029AF" w:rsidRDefault="00087B91" w:rsidP="00087B91">
      <w:pPr>
        <w:pStyle w:val="ARfinbody"/>
        <w:rPr>
          <w:rFonts w:eastAsia="Arial"/>
        </w:rPr>
      </w:pPr>
      <w:r w:rsidRPr="002029AF">
        <w:rPr>
          <w:rFonts w:eastAsia="Arial"/>
        </w:rPr>
        <w:t>This</w:t>
      </w:r>
      <w:r w:rsidR="000A5329" w:rsidRPr="002029AF">
        <w:rPr>
          <w:rFonts w:eastAsia="Arial"/>
        </w:rPr>
        <w:t xml:space="preserve"> </w:t>
      </w:r>
      <w:r w:rsidRPr="002029AF">
        <w:rPr>
          <w:rFonts w:eastAsia="Arial"/>
        </w:rPr>
        <w:t>note</w:t>
      </w:r>
      <w:r w:rsidR="000A5329" w:rsidRPr="002029AF">
        <w:rPr>
          <w:rFonts w:eastAsia="Arial"/>
        </w:rPr>
        <w:t xml:space="preserve"> </w:t>
      </w:r>
      <w:r w:rsidRPr="002029AF">
        <w:rPr>
          <w:rFonts w:eastAsia="Arial"/>
        </w:rPr>
        <w:t>explains</w:t>
      </w:r>
      <w:r w:rsidR="000A5329" w:rsidRPr="002029AF">
        <w:rPr>
          <w:rFonts w:eastAsia="Arial"/>
        </w:rPr>
        <w:t xml:space="preserve"> </w:t>
      </w:r>
      <w:r w:rsidRPr="002029AF">
        <w:rPr>
          <w:rFonts w:eastAsia="Arial"/>
        </w:rPr>
        <w:t>the</w:t>
      </w:r>
      <w:r w:rsidR="000A5329" w:rsidRPr="002029AF">
        <w:rPr>
          <w:rFonts w:eastAsia="Arial"/>
        </w:rPr>
        <w:t xml:space="preserve"> </w:t>
      </w:r>
      <w:r w:rsidRPr="002029AF">
        <w:rPr>
          <w:rFonts w:eastAsia="Arial"/>
        </w:rPr>
        <w:t>impact</w:t>
      </w:r>
      <w:r w:rsidR="000A5329" w:rsidRPr="002029AF">
        <w:rPr>
          <w:rFonts w:eastAsia="Arial"/>
        </w:rPr>
        <w:t xml:space="preserve"> </w:t>
      </w:r>
      <w:r w:rsidRPr="002029AF">
        <w:rPr>
          <w:rFonts w:eastAsia="Arial"/>
        </w:rPr>
        <w:t>of</w:t>
      </w:r>
      <w:r w:rsidR="000A5329" w:rsidRPr="002029AF">
        <w:rPr>
          <w:rFonts w:eastAsia="Arial"/>
        </w:rPr>
        <w:t xml:space="preserve"> </w:t>
      </w:r>
      <w:r w:rsidRPr="002029AF">
        <w:rPr>
          <w:rFonts w:eastAsia="Arial"/>
        </w:rPr>
        <w:t>the</w:t>
      </w:r>
      <w:r w:rsidR="000A5329" w:rsidRPr="002029AF">
        <w:rPr>
          <w:rFonts w:eastAsia="Arial"/>
        </w:rPr>
        <w:t xml:space="preserve"> </w:t>
      </w:r>
      <w:r w:rsidRPr="002029AF">
        <w:rPr>
          <w:rFonts w:eastAsia="Arial"/>
        </w:rPr>
        <w:t>adoption</w:t>
      </w:r>
      <w:r w:rsidR="000A5329" w:rsidRPr="002029AF">
        <w:rPr>
          <w:rFonts w:eastAsia="Arial"/>
        </w:rPr>
        <w:t xml:space="preserve"> </w:t>
      </w:r>
      <w:r w:rsidRPr="002029AF">
        <w:rPr>
          <w:rFonts w:eastAsia="Arial"/>
        </w:rPr>
        <w:t>of</w:t>
      </w:r>
      <w:r w:rsidR="000A5329" w:rsidRPr="002029AF">
        <w:rPr>
          <w:rFonts w:eastAsia="Arial"/>
        </w:rPr>
        <w:t xml:space="preserve"> </w:t>
      </w:r>
      <w:r w:rsidRPr="002029AF">
        <w:rPr>
          <w:rFonts w:eastAsia="Arial"/>
        </w:rPr>
        <w:t>the</w:t>
      </w:r>
      <w:r w:rsidR="000A5329" w:rsidRPr="002029AF">
        <w:rPr>
          <w:rFonts w:eastAsia="Arial"/>
        </w:rPr>
        <w:t xml:space="preserve"> </w:t>
      </w:r>
      <w:r w:rsidRPr="002029AF">
        <w:rPr>
          <w:rFonts w:eastAsia="Arial"/>
        </w:rPr>
        <w:t>following</w:t>
      </w:r>
      <w:r w:rsidR="000A5329" w:rsidRPr="002029AF">
        <w:rPr>
          <w:rFonts w:eastAsia="Arial"/>
        </w:rPr>
        <w:t xml:space="preserve"> </w:t>
      </w:r>
      <w:r w:rsidRPr="002029AF">
        <w:rPr>
          <w:rFonts w:eastAsia="Arial"/>
        </w:rPr>
        <w:t>new</w:t>
      </w:r>
      <w:r w:rsidR="000A5329" w:rsidRPr="002029AF">
        <w:rPr>
          <w:rFonts w:eastAsia="Arial"/>
        </w:rPr>
        <w:t xml:space="preserve"> </w:t>
      </w:r>
      <w:r w:rsidRPr="002029AF">
        <w:rPr>
          <w:rFonts w:eastAsia="Arial"/>
        </w:rPr>
        <w:t>accounting</w:t>
      </w:r>
      <w:r w:rsidR="000A5329" w:rsidRPr="002029AF">
        <w:rPr>
          <w:rFonts w:eastAsia="Arial"/>
        </w:rPr>
        <w:t xml:space="preserve"> </w:t>
      </w:r>
      <w:r w:rsidRPr="002029AF">
        <w:rPr>
          <w:rFonts w:eastAsia="Arial"/>
        </w:rPr>
        <w:t>standards</w:t>
      </w:r>
      <w:r w:rsidR="000A5329" w:rsidRPr="002029AF">
        <w:rPr>
          <w:rFonts w:eastAsia="Arial"/>
        </w:rPr>
        <w:t xml:space="preserve"> </w:t>
      </w:r>
      <w:r w:rsidRPr="002029AF">
        <w:rPr>
          <w:rFonts w:eastAsia="Arial"/>
        </w:rPr>
        <w:t>for</w:t>
      </w:r>
      <w:r w:rsidR="000A5329" w:rsidRPr="002029AF">
        <w:rPr>
          <w:rFonts w:eastAsia="Arial"/>
        </w:rPr>
        <w:t xml:space="preserve"> </w:t>
      </w:r>
      <w:r w:rsidRPr="002029AF">
        <w:rPr>
          <w:rFonts w:eastAsia="Arial"/>
        </w:rPr>
        <w:t>the</w:t>
      </w:r>
      <w:r w:rsidR="000A5329" w:rsidRPr="002029AF">
        <w:rPr>
          <w:rFonts w:eastAsia="Arial"/>
        </w:rPr>
        <w:t xml:space="preserve"> </w:t>
      </w:r>
      <w:r w:rsidRPr="002029AF">
        <w:rPr>
          <w:rFonts w:eastAsia="Arial"/>
        </w:rPr>
        <w:t>first</w:t>
      </w:r>
      <w:r w:rsidR="000A5329" w:rsidRPr="002029AF">
        <w:rPr>
          <w:rFonts w:eastAsia="Arial"/>
        </w:rPr>
        <w:t xml:space="preserve"> </w:t>
      </w:r>
      <w:r w:rsidRPr="002029AF">
        <w:rPr>
          <w:rFonts w:eastAsia="Arial"/>
        </w:rPr>
        <w:t>time,</w:t>
      </w:r>
      <w:r w:rsidR="000A5329" w:rsidRPr="002029AF">
        <w:rPr>
          <w:rFonts w:eastAsia="Arial"/>
        </w:rPr>
        <w:t xml:space="preserve"> </w:t>
      </w:r>
      <w:r w:rsidRPr="002029AF">
        <w:rPr>
          <w:rFonts w:eastAsia="Arial"/>
        </w:rPr>
        <w:t>from</w:t>
      </w:r>
      <w:r w:rsidR="000A5329" w:rsidRPr="002029AF">
        <w:rPr>
          <w:rFonts w:eastAsia="Arial"/>
        </w:rPr>
        <w:t xml:space="preserve"> </w:t>
      </w:r>
      <w:r w:rsidRPr="002029AF">
        <w:rPr>
          <w:rFonts w:eastAsia="Arial"/>
        </w:rPr>
        <w:t>1</w:t>
      </w:r>
      <w:r w:rsidR="000A5329" w:rsidRPr="002029AF">
        <w:rPr>
          <w:rFonts w:eastAsia="Arial"/>
        </w:rPr>
        <w:t xml:space="preserve"> </w:t>
      </w:r>
      <w:r w:rsidRPr="002029AF">
        <w:rPr>
          <w:rFonts w:eastAsia="Arial"/>
        </w:rPr>
        <w:t>July</w:t>
      </w:r>
      <w:r w:rsidR="000A5329" w:rsidRPr="002029AF">
        <w:rPr>
          <w:rFonts w:eastAsia="Arial"/>
        </w:rPr>
        <w:t xml:space="preserve"> </w:t>
      </w:r>
      <w:r w:rsidRPr="002029AF">
        <w:rPr>
          <w:rFonts w:eastAsia="Arial"/>
        </w:rPr>
        <w:t>2019:</w:t>
      </w:r>
    </w:p>
    <w:p w14:paraId="4B7D2A0A" w14:textId="4BC9ECC2" w:rsidR="00087B91" w:rsidRPr="002029AF" w:rsidRDefault="00087B91" w:rsidP="00087B91">
      <w:pPr>
        <w:pStyle w:val="ARfinbullet1"/>
        <w:rPr>
          <w:rFonts w:eastAsia="Arial" w:cs="Arial"/>
          <w:spacing w:val="2"/>
        </w:rPr>
      </w:pPr>
      <w:r w:rsidRPr="002029AF">
        <w:rPr>
          <w:rFonts w:eastAsia="Arial" w:cs="Arial"/>
          <w:spacing w:val="2"/>
        </w:rPr>
        <w:t>AASB</w:t>
      </w:r>
      <w:r w:rsidR="000A5329" w:rsidRPr="002029AF">
        <w:rPr>
          <w:rFonts w:eastAsia="Arial" w:cs="Arial"/>
          <w:spacing w:val="2"/>
        </w:rPr>
        <w:t xml:space="preserve"> </w:t>
      </w:r>
      <w:r w:rsidRPr="002029AF">
        <w:rPr>
          <w:rFonts w:eastAsia="Arial" w:cs="Arial"/>
          <w:spacing w:val="2"/>
        </w:rPr>
        <w:t>15</w:t>
      </w:r>
      <w:r w:rsidR="000A5329" w:rsidRPr="002029AF">
        <w:rPr>
          <w:rFonts w:eastAsia="Arial" w:cs="Arial"/>
          <w:spacing w:val="2"/>
        </w:rPr>
        <w:t xml:space="preserve"> </w:t>
      </w:r>
      <w:r w:rsidRPr="002029AF">
        <w:rPr>
          <w:rStyle w:val="Emphasis"/>
        </w:rPr>
        <w:t>Revenue</w:t>
      </w:r>
      <w:r w:rsidR="000A5329" w:rsidRPr="002029AF">
        <w:rPr>
          <w:rStyle w:val="Emphasis"/>
        </w:rPr>
        <w:t xml:space="preserve"> </w:t>
      </w:r>
      <w:r w:rsidRPr="002029AF">
        <w:rPr>
          <w:rStyle w:val="Emphasis"/>
        </w:rPr>
        <w:t>from</w:t>
      </w:r>
      <w:r w:rsidR="000A5329" w:rsidRPr="002029AF">
        <w:rPr>
          <w:rStyle w:val="Emphasis"/>
        </w:rPr>
        <w:t xml:space="preserve"> </w:t>
      </w:r>
      <w:r w:rsidRPr="002029AF">
        <w:rPr>
          <w:rStyle w:val="Emphasis"/>
        </w:rPr>
        <w:t>Contracts</w:t>
      </w:r>
      <w:r w:rsidR="000A5329" w:rsidRPr="002029AF">
        <w:rPr>
          <w:rStyle w:val="Emphasis"/>
        </w:rPr>
        <w:t xml:space="preserve"> </w:t>
      </w:r>
      <w:r w:rsidRPr="002029AF">
        <w:rPr>
          <w:rStyle w:val="Emphasis"/>
        </w:rPr>
        <w:t>with</w:t>
      </w:r>
      <w:r w:rsidR="000A5329" w:rsidRPr="002029AF">
        <w:rPr>
          <w:rStyle w:val="Emphasis"/>
        </w:rPr>
        <w:t xml:space="preserve"> </w:t>
      </w:r>
      <w:r w:rsidRPr="002029AF">
        <w:rPr>
          <w:rStyle w:val="Emphasis"/>
        </w:rPr>
        <w:t>Customers</w:t>
      </w:r>
    </w:p>
    <w:p w14:paraId="1BC2AF08" w14:textId="46CEAE16" w:rsidR="00087B91" w:rsidRPr="002029AF" w:rsidRDefault="00087B91" w:rsidP="00087B91">
      <w:pPr>
        <w:pStyle w:val="ARfinbullet1"/>
        <w:rPr>
          <w:rFonts w:eastAsia="Arial" w:cs="Arial"/>
          <w:spacing w:val="2"/>
        </w:rPr>
      </w:pPr>
      <w:r w:rsidRPr="002029AF">
        <w:rPr>
          <w:rFonts w:eastAsia="Arial" w:cs="Arial"/>
          <w:spacing w:val="2"/>
        </w:rPr>
        <w:t>AASB</w:t>
      </w:r>
      <w:r w:rsidR="000A5329" w:rsidRPr="002029AF">
        <w:rPr>
          <w:rFonts w:eastAsia="Arial" w:cs="Arial"/>
          <w:spacing w:val="2"/>
        </w:rPr>
        <w:t xml:space="preserve"> </w:t>
      </w:r>
      <w:r w:rsidRPr="002029AF">
        <w:rPr>
          <w:rFonts w:eastAsia="Arial" w:cs="Arial"/>
          <w:spacing w:val="2"/>
        </w:rPr>
        <w:t>1058</w:t>
      </w:r>
      <w:r w:rsidR="000A5329" w:rsidRPr="002029AF">
        <w:rPr>
          <w:rFonts w:eastAsia="Arial" w:cs="Arial"/>
          <w:spacing w:val="2"/>
        </w:rPr>
        <w:t xml:space="preserve"> </w:t>
      </w:r>
      <w:r w:rsidRPr="002029AF">
        <w:rPr>
          <w:rStyle w:val="Emphasis"/>
        </w:rPr>
        <w:t>Income</w:t>
      </w:r>
      <w:r w:rsidR="000A5329" w:rsidRPr="002029AF">
        <w:rPr>
          <w:rStyle w:val="Emphasis"/>
        </w:rPr>
        <w:t xml:space="preserve"> </w:t>
      </w:r>
      <w:r w:rsidRPr="002029AF">
        <w:rPr>
          <w:rStyle w:val="Emphasis"/>
        </w:rPr>
        <w:t>of</w:t>
      </w:r>
      <w:r w:rsidR="000A5329" w:rsidRPr="002029AF">
        <w:rPr>
          <w:rStyle w:val="Emphasis"/>
        </w:rPr>
        <w:t xml:space="preserve"> </w:t>
      </w:r>
      <w:r w:rsidRPr="002029AF">
        <w:rPr>
          <w:rStyle w:val="Emphasis"/>
        </w:rPr>
        <w:t>Not-for-Profit</w:t>
      </w:r>
      <w:r w:rsidR="000A5329" w:rsidRPr="002029AF">
        <w:rPr>
          <w:rStyle w:val="Emphasis"/>
        </w:rPr>
        <w:t xml:space="preserve"> </w:t>
      </w:r>
      <w:r w:rsidRPr="002029AF">
        <w:rPr>
          <w:rStyle w:val="Emphasis"/>
        </w:rPr>
        <w:t>Entities</w:t>
      </w:r>
    </w:p>
    <w:p w14:paraId="16C180E1" w14:textId="4894EED3" w:rsidR="00087B91" w:rsidRPr="002029AF" w:rsidRDefault="00087B91" w:rsidP="00087B91">
      <w:pPr>
        <w:pStyle w:val="ARfinbullet1"/>
        <w:rPr>
          <w:rFonts w:eastAsia="Arial" w:cs="Arial"/>
          <w:spacing w:val="2"/>
        </w:rPr>
      </w:pPr>
      <w:r w:rsidRPr="002029AF">
        <w:rPr>
          <w:rFonts w:eastAsia="Arial" w:cs="Arial"/>
          <w:spacing w:val="2"/>
        </w:rPr>
        <w:t>AASB</w:t>
      </w:r>
      <w:r w:rsidR="000A5329" w:rsidRPr="002029AF">
        <w:rPr>
          <w:rFonts w:eastAsia="Arial" w:cs="Arial"/>
          <w:spacing w:val="2"/>
        </w:rPr>
        <w:t xml:space="preserve"> </w:t>
      </w:r>
      <w:r w:rsidRPr="002029AF">
        <w:rPr>
          <w:rFonts w:eastAsia="Arial" w:cs="Arial"/>
          <w:spacing w:val="2"/>
        </w:rPr>
        <w:t>16</w:t>
      </w:r>
      <w:r w:rsidR="000A5329" w:rsidRPr="002029AF">
        <w:rPr>
          <w:rFonts w:eastAsia="Arial" w:cs="Arial"/>
          <w:spacing w:val="2"/>
        </w:rPr>
        <w:t xml:space="preserve"> </w:t>
      </w:r>
      <w:r w:rsidRPr="002029AF">
        <w:rPr>
          <w:rStyle w:val="Emphasis"/>
        </w:rPr>
        <w:t>Leases</w:t>
      </w:r>
      <w:r w:rsidRPr="002029AF">
        <w:rPr>
          <w:rFonts w:eastAsia="Arial" w:cs="Arial"/>
          <w:spacing w:val="2"/>
        </w:rPr>
        <w:t>,</w:t>
      </w:r>
      <w:r w:rsidR="000A5329" w:rsidRPr="002029AF">
        <w:rPr>
          <w:rFonts w:eastAsia="Arial" w:cs="Arial"/>
          <w:spacing w:val="2"/>
        </w:rPr>
        <w:t xml:space="preserve"> </w:t>
      </w:r>
      <w:r w:rsidRPr="002029AF">
        <w:rPr>
          <w:rFonts w:eastAsia="Arial" w:cs="Arial"/>
          <w:spacing w:val="2"/>
        </w:rPr>
        <w:t>and</w:t>
      </w:r>
    </w:p>
    <w:p w14:paraId="1879E958" w14:textId="7D869A8E" w:rsidR="00087B91" w:rsidRPr="00AB6C0B" w:rsidRDefault="00087B91" w:rsidP="00087B91">
      <w:pPr>
        <w:pStyle w:val="ARfinbullet1"/>
        <w:rPr>
          <w:rFonts w:eastAsia="Arial" w:cs="Arial"/>
          <w:spacing w:val="2"/>
          <w:lang w:val="fr-FR"/>
        </w:rPr>
      </w:pPr>
      <w:r w:rsidRPr="00AB6C0B">
        <w:rPr>
          <w:rFonts w:eastAsia="Arial" w:cs="Arial"/>
          <w:spacing w:val="2"/>
          <w:lang w:val="fr-FR"/>
        </w:rPr>
        <w:t>AASB</w:t>
      </w:r>
      <w:r w:rsidR="000A5329" w:rsidRPr="00AB6C0B">
        <w:rPr>
          <w:rFonts w:eastAsia="Arial" w:cs="Arial"/>
          <w:spacing w:val="2"/>
          <w:lang w:val="fr-FR"/>
        </w:rPr>
        <w:t xml:space="preserve"> </w:t>
      </w:r>
      <w:r w:rsidRPr="00AB6C0B">
        <w:rPr>
          <w:rFonts w:eastAsia="Arial" w:cs="Arial"/>
          <w:spacing w:val="2"/>
          <w:lang w:val="fr-FR"/>
        </w:rPr>
        <w:t>1059</w:t>
      </w:r>
      <w:r w:rsidR="000A5329" w:rsidRPr="00AB6C0B">
        <w:rPr>
          <w:rFonts w:eastAsia="Arial" w:cs="Arial"/>
          <w:spacing w:val="2"/>
          <w:lang w:val="fr-FR"/>
        </w:rPr>
        <w:t xml:space="preserve"> </w:t>
      </w:r>
      <w:r w:rsidRPr="00AB6C0B">
        <w:rPr>
          <w:rStyle w:val="Emphasis"/>
          <w:lang w:val="fr-FR"/>
        </w:rPr>
        <w:t>Service</w:t>
      </w:r>
      <w:r w:rsidR="000A5329" w:rsidRPr="00AB6C0B">
        <w:rPr>
          <w:rStyle w:val="Emphasis"/>
          <w:lang w:val="fr-FR"/>
        </w:rPr>
        <w:t xml:space="preserve"> </w:t>
      </w:r>
      <w:r w:rsidRPr="00AB6C0B">
        <w:rPr>
          <w:rStyle w:val="Emphasis"/>
          <w:lang w:val="fr-FR"/>
        </w:rPr>
        <w:t>Concession</w:t>
      </w:r>
      <w:r w:rsidR="000A5329" w:rsidRPr="00AB6C0B">
        <w:rPr>
          <w:rStyle w:val="Emphasis"/>
          <w:lang w:val="fr-FR"/>
        </w:rPr>
        <w:t xml:space="preserve"> </w:t>
      </w:r>
      <w:r w:rsidRPr="00AB6C0B">
        <w:rPr>
          <w:rStyle w:val="Emphasis"/>
          <w:lang w:val="fr-FR"/>
        </w:rPr>
        <w:t>Arrangements:</w:t>
      </w:r>
      <w:r w:rsidR="000A5329" w:rsidRPr="00AB6C0B">
        <w:rPr>
          <w:rStyle w:val="Emphasis"/>
          <w:lang w:val="fr-FR"/>
        </w:rPr>
        <w:t xml:space="preserve"> </w:t>
      </w:r>
      <w:r w:rsidRPr="00AB6C0B">
        <w:rPr>
          <w:rStyle w:val="Emphasis"/>
          <w:lang w:val="fr-FR"/>
        </w:rPr>
        <w:t>Grantors</w:t>
      </w:r>
      <w:r w:rsidRPr="00AB6C0B">
        <w:rPr>
          <w:lang w:val="fr-FR"/>
        </w:rPr>
        <w:t>.</w:t>
      </w:r>
    </w:p>
    <w:p w14:paraId="17F991E3" w14:textId="0CCAA953" w:rsidR="00087B91" w:rsidRPr="002029AF" w:rsidRDefault="00087B91" w:rsidP="00087B91">
      <w:pPr>
        <w:pStyle w:val="ARfinbody"/>
        <w:rPr>
          <w:rFonts w:eastAsia="Arial"/>
        </w:rPr>
      </w:pPr>
      <w:r w:rsidRPr="002029AF">
        <w:rPr>
          <w:rFonts w:eastAsia="Arial"/>
        </w:rPr>
        <w:t>The</w:t>
      </w:r>
      <w:r w:rsidR="000A5329" w:rsidRPr="002029AF">
        <w:rPr>
          <w:rFonts w:eastAsia="Arial"/>
        </w:rPr>
        <w:t xml:space="preserve"> </w:t>
      </w:r>
      <w:r w:rsidRPr="002029AF">
        <w:rPr>
          <w:rFonts w:eastAsia="Arial"/>
        </w:rPr>
        <w:t>impact</w:t>
      </w:r>
      <w:r w:rsidR="000A5329" w:rsidRPr="002029AF">
        <w:rPr>
          <w:rFonts w:eastAsia="Arial"/>
        </w:rPr>
        <w:t xml:space="preserve"> </w:t>
      </w:r>
      <w:r w:rsidRPr="002029AF">
        <w:rPr>
          <w:rFonts w:eastAsia="Arial"/>
        </w:rPr>
        <w:t>on</w:t>
      </w:r>
      <w:r w:rsidR="000A5329" w:rsidRPr="002029AF">
        <w:rPr>
          <w:rFonts w:eastAsia="Arial"/>
        </w:rPr>
        <w:t xml:space="preserve"> </w:t>
      </w:r>
      <w:r w:rsidRPr="002029AF">
        <w:rPr>
          <w:rFonts w:eastAsia="Arial"/>
        </w:rPr>
        <w:t>the</w:t>
      </w:r>
      <w:r w:rsidR="000A5329" w:rsidRPr="002029AF">
        <w:rPr>
          <w:rFonts w:eastAsia="Arial"/>
        </w:rPr>
        <w:t xml:space="preserve"> </w:t>
      </w:r>
      <w:r w:rsidRPr="002029AF">
        <w:rPr>
          <w:rFonts w:eastAsia="Arial"/>
        </w:rPr>
        <w:t>comprehensive</w:t>
      </w:r>
      <w:r w:rsidR="000A5329" w:rsidRPr="002029AF">
        <w:rPr>
          <w:rFonts w:eastAsia="Arial"/>
        </w:rPr>
        <w:t xml:space="preserve"> </w:t>
      </w:r>
      <w:r w:rsidRPr="002029AF">
        <w:rPr>
          <w:rFonts w:eastAsia="Arial"/>
        </w:rPr>
        <w:t>operating</w:t>
      </w:r>
      <w:r w:rsidR="000A5329" w:rsidRPr="002029AF">
        <w:rPr>
          <w:rFonts w:eastAsia="Arial"/>
        </w:rPr>
        <w:t xml:space="preserve"> </w:t>
      </w:r>
      <w:r w:rsidRPr="002029AF">
        <w:rPr>
          <w:rFonts w:eastAsia="Arial"/>
        </w:rPr>
        <w:t>statement</w:t>
      </w:r>
      <w:r w:rsidR="000A5329" w:rsidRPr="002029AF">
        <w:rPr>
          <w:rFonts w:eastAsia="Arial"/>
        </w:rPr>
        <w:t xml:space="preserve"> </w:t>
      </w:r>
      <w:r w:rsidRPr="002029AF">
        <w:rPr>
          <w:rFonts w:eastAsia="Arial"/>
        </w:rPr>
        <w:t>and</w:t>
      </w:r>
      <w:r w:rsidR="000A5329" w:rsidRPr="002029AF">
        <w:rPr>
          <w:rFonts w:eastAsia="Arial"/>
        </w:rPr>
        <w:t xml:space="preserve"> </w:t>
      </w:r>
      <w:r w:rsidRPr="002029AF">
        <w:rPr>
          <w:rFonts w:eastAsia="Arial"/>
        </w:rPr>
        <w:t>balance</w:t>
      </w:r>
      <w:r w:rsidR="000A5329" w:rsidRPr="002029AF">
        <w:rPr>
          <w:rFonts w:eastAsia="Arial"/>
        </w:rPr>
        <w:t xml:space="preserve"> </w:t>
      </w:r>
      <w:r w:rsidRPr="002029AF">
        <w:rPr>
          <w:rFonts w:eastAsia="Arial"/>
        </w:rPr>
        <w:t>sheet</w:t>
      </w:r>
      <w:r w:rsidR="000A5329" w:rsidRPr="002029AF">
        <w:rPr>
          <w:rFonts w:eastAsia="Arial"/>
        </w:rPr>
        <w:t xml:space="preserve"> </w:t>
      </w:r>
      <w:r w:rsidRPr="002029AF">
        <w:rPr>
          <w:rFonts w:eastAsia="Arial"/>
        </w:rPr>
        <w:t>has</w:t>
      </w:r>
      <w:r w:rsidR="000A5329" w:rsidRPr="002029AF">
        <w:rPr>
          <w:rFonts w:eastAsia="Arial"/>
        </w:rPr>
        <w:t xml:space="preserve"> </w:t>
      </w:r>
      <w:r w:rsidRPr="002029AF">
        <w:rPr>
          <w:rFonts w:eastAsia="Arial"/>
        </w:rPr>
        <w:t>been</w:t>
      </w:r>
      <w:r w:rsidR="000A5329" w:rsidRPr="002029AF">
        <w:rPr>
          <w:rFonts w:eastAsia="Arial"/>
        </w:rPr>
        <w:t xml:space="preserve"> </w:t>
      </w:r>
      <w:r w:rsidRPr="002029AF">
        <w:rPr>
          <w:rFonts w:eastAsia="Arial"/>
        </w:rPr>
        <w:t>summarised</w:t>
      </w:r>
      <w:r w:rsidR="000A5329" w:rsidRPr="002029AF">
        <w:rPr>
          <w:rFonts w:eastAsia="Arial"/>
        </w:rPr>
        <w:t xml:space="preserve"> </w:t>
      </w:r>
      <w:r w:rsidRPr="002029AF">
        <w:rPr>
          <w:rFonts w:eastAsia="Arial"/>
        </w:rPr>
        <w:t>in</w:t>
      </w:r>
      <w:r w:rsidR="000A5329" w:rsidRPr="002029AF">
        <w:rPr>
          <w:rFonts w:eastAsia="Arial"/>
        </w:rPr>
        <w:t xml:space="preserve"> </w:t>
      </w:r>
      <w:r w:rsidRPr="002029AF">
        <w:rPr>
          <w:rFonts w:eastAsia="Arial"/>
        </w:rPr>
        <w:t>the</w:t>
      </w:r>
      <w:r w:rsidR="000A5329" w:rsidRPr="002029AF">
        <w:rPr>
          <w:rFonts w:eastAsia="Arial"/>
        </w:rPr>
        <w:t xml:space="preserve"> </w:t>
      </w:r>
      <w:r w:rsidRPr="002029AF">
        <w:rPr>
          <w:rFonts w:eastAsia="Arial"/>
        </w:rPr>
        <w:t>following</w:t>
      </w:r>
      <w:r w:rsidR="000A5329" w:rsidRPr="002029AF">
        <w:rPr>
          <w:rFonts w:eastAsia="Arial"/>
        </w:rPr>
        <w:t xml:space="preserve"> </w:t>
      </w:r>
      <w:r w:rsidRPr="002029AF">
        <w:rPr>
          <w:rFonts w:eastAsia="Arial"/>
        </w:rPr>
        <w:t>tables.</w:t>
      </w:r>
    </w:p>
    <w:p w14:paraId="5C5E7ECA" w14:textId="77777777" w:rsidR="00087B91" w:rsidRPr="002029AF" w:rsidRDefault="00087B91" w:rsidP="00087B91">
      <w:pPr>
        <w:pStyle w:val="ARfinbody"/>
        <w:rPr>
          <w:highlight w:val="yellow"/>
        </w:rPr>
      </w:pPr>
      <w:r w:rsidRPr="002029AF">
        <w:rPr>
          <w:highlight w:val="yellow"/>
        </w:rPr>
        <w:br w:type="page"/>
      </w:r>
    </w:p>
    <w:p w14:paraId="3032F69B" w14:textId="46147493" w:rsidR="00087B91" w:rsidRPr="002029AF" w:rsidRDefault="00087B91" w:rsidP="00087B91">
      <w:pPr>
        <w:pStyle w:val="ARfinbodylargespace"/>
        <w:rPr>
          <w:rFonts w:eastAsia="Arial"/>
        </w:rPr>
      </w:pPr>
      <w:r w:rsidRPr="002029AF">
        <w:rPr>
          <w:rFonts w:eastAsia="Arial"/>
        </w:rPr>
        <w:lastRenderedPageBreak/>
        <w:t>Impact</w:t>
      </w:r>
      <w:r w:rsidR="000A5329" w:rsidRPr="002029AF">
        <w:rPr>
          <w:rFonts w:eastAsia="Arial"/>
        </w:rPr>
        <w:t xml:space="preserve"> </w:t>
      </w:r>
      <w:r w:rsidRPr="002029AF">
        <w:rPr>
          <w:rFonts w:eastAsia="Arial"/>
        </w:rPr>
        <w:t>of</w:t>
      </w:r>
      <w:r w:rsidR="000A5329" w:rsidRPr="002029AF">
        <w:rPr>
          <w:rFonts w:eastAsia="Arial"/>
        </w:rPr>
        <w:t xml:space="preserve"> </w:t>
      </w:r>
      <w:r w:rsidRPr="002029AF">
        <w:rPr>
          <w:rFonts w:eastAsia="Arial"/>
        </w:rPr>
        <w:t>AASB</w:t>
      </w:r>
      <w:r w:rsidR="000A5329" w:rsidRPr="002029AF">
        <w:rPr>
          <w:rFonts w:eastAsia="Arial"/>
        </w:rPr>
        <w:t xml:space="preserve"> </w:t>
      </w:r>
      <w:r w:rsidRPr="002029AF">
        <w:rPr>
          <w:rFonts w:eastAsia="Arial"/>
        </w:rPr>
        <w:t>1059</w:t>
      </w:r>
      <w:r w:rsidR="000A5329" w:rsidRPr="002029AF">
        <w:rPr>
          <w:rFonts w:eastAsia="Arial"/>
        </w:rPr>
        <w:t xml:space="preserve"> </w:t>
      </w:r>
      <w:r w:rsidRPr="002029AF">
        <w:rPr>
          <w:rFonts w:eastAsia="Arial"/>
        </w:rPr>
        <w:t>on</w:t>
      </w:r>
      <w:r w:rsidR="000A5329" w:rsidRPr="002029AF">
        <w:rPr>
          <w:rFonts w:eastAsia="Arial"/>
        </w:rPr>
        <w:t xml:space="preserve"> </w:t>
      </w:r>
      <w:r w:rsidRPr="002029AF">
        <w:rPr>
          <w:rFonts w:eastAsia="Arial"/>
        </w:rPr>
        <w:t>the</w:t>
      </w:r>
      <w:r w:rsidR="000A5329" w:rsidRPr="002029AF">
        <w:rPr>
          <w:rFonts w:eastAsia="Arial"/>
        </w:rPr>
        <w:t xml:space="preserve"> </w:t>
      </w:r>
      <w:r w:rsidRPr="002029AF">
        <w:rPr>
          <w:rFonts w:eastAsia="Arial"/>
        </w:rPr>
        <w:t>comprehensive</w:t>
      </w:r>
      <w:r w:rsidR="000A5329" w:rsidRPr="002029AF">
        <w:rPr>
          <w:rFonts w:eastAsia="Arial"/>
        </w:rPr>
        <w:t xml:space="preserve"> </w:t>
      </w:r>
      <w:r w:rsidRPr="002029AF">
        <w:rPr>
          <w:rFonts w:eastAsia="Arial"/>
        </w:rPr>
        <w:t>operating</w:t>
      </w:r>
      <w:r w:rsidR="000A5329" w:rsidRPr="002029AF">
        <w:rPr>
          <w:rFonts w:eastAsia="Arial"/>
        </w:rPr>
        <w:t xml:space="preserve"> </w:t>
      </w:r>
      <w:r w:rsidRPr="002029AF">
        <w:rPr>
          <w:rFonts w:eastAsia="Arial"/>
        </w:rPr>
        <w:t>statement</w:t>
      </w:r>
      <w:r w:rsidR="000A5329" w:rsidRPr="002029AF">
        <w:rPr>
          <w:rFonts w:eastAsia="Arial"/>
        </w:rPr>
        <w:t xml:space="preserve"> </w:t>
      </w:r>
      <w:r w:rsidRPr="002029AF">
        <w:rPr>
          <w:rFonts w:eastAsia="Arial"/>
        </w:rPr>
        <w:t>as</w:t>
      </w:r>
      <w:r w:rsidR="000A5329" w:rsidRPr="002029AF">
        <w:rPr>
          <w:rFonts w:eastAsia="Arial"/>
        </w:rPr>
        <w:t xml:space="preserve"> </w:t>
      </w:r>
      <w:r w:rsidRPr="002029AF">
        <w:rPr>
          <w:rFonts w:eastAsia="Arial"/>
        </w:rPr>
        <w:t>30</w:t>
      </w:r>
      <w:r w:rsidR="000A5329" w:rsidRPr="002029AF">
        <w:rPr>
          <w:rFonts w:eastAsia="Arial"/>
        </w:rPr>
        <w:t xml:space="preserve"> </w:t>
      </w:r>
      <w:r w:rsidRPr="002029AF">
        <w:rPr>
          <w:rFonts w:eastAsia="Arial"/>
        </w:rPr>
        <w:t>June</w:t>
      </w:r>
      <w:r w:rsidR="000A5329" w:rsidRPr="002029AF">
        <w:rPr>
          <w:rFonts w:eastAsia="Arial"/>
        </w:rPr>
        <w:t xml:space="preserve"> </w:t>
      </w:r>
      <w:r w:rsidRPr="002029AF">
        <w:rPr>
          <w:rFonts w:eastAsia="Arial"/>
        </w:rPr>
        <w:t>2019</w:t>
      </w:r>
      <w:r w:rsidR="000A5329" w:rsidRPr="002029AF">
        <w:rPr>
          <w:rFonts w:eastAsia="Arial"/>
        </w:rPr>
        <w:t xml:space="preserve"> </w:t>
      </w:r>
      <w:r w:rsidRPr="002029AF">
        <w:rPr>
          <w:rFonts w:eastAsia="Arial"/>
        </w:rPr>
        <w:t>is:</w:t>
      </w:r>
    </w:p>
    <w:tbl>
      <w:tblPr>
        <w:tblStyle w:val="TableGrid"/>
        <w:tblW w:w="9637" w:type="dxa"/>
        <w:tblLayout w:type="fixed"/>
        <w:tblLook w:val="06A0" w:firstRow="1" w:lastRow="0" w:firstColumn="1" w:lastColumn="0" w:noHBand="1" w:noVBand="1"/>
      </w:tblPr>
      <w:tblGrid>
        <w:gridCol w:w="2833"/>
        <w:gridCol w:w="1701"/>
        <w:gridCol w:w="1701"/>
        <w:gridCol w:w="1701"/>
        <w:gridCol w:w="1701"/>
      </w:tblGrid>
      <w:tr w:rsidR="00087B91" w:rsidRPr="002029AF" w14:paraId="637667CD" w14:textId="77777777" w:rsidTr="00FC2F9E">
        <w:trPr>
          <w:cnfStyle w:val="100000000000" w:firstRow="1" w:lastRow="0" w:firstColumn="0" w:lastColumn="0" w:oddVBand="0" w:evenVBand="0" w:oddHBand="0" w:evenHBand="0" w:firstRowFirstColumn="0" w:firstRowLastColumn="0" w:lastRowFirstColumn="0" w:lastRowLastColumn="0"/>
          <w:trHeight w:val="255"/>
          <w:tblHeader/>
        </w:trPr>
        <w:tc>
          <w:tcPr>
            <w:tcW w:w="2835" w:type="dxa"/>
            <w:tcBorders>
              <w:bottom w:val="single" w:sz="4" w:space="0" w:color="auto"/>
            </w:tcBorders>
            <w:hideMark/>
          </w:tcPr>
          <w:p w14:paraId="2E2B6F60" w14:textId="7E5D842B" w:rsidR="00087B91" w:rsidRPr="002029AF" w:rsidRDefault="00087B91" w:rsidP="00860E95">
            <w:pPr>
              <w:pStyle w:val="ARfintablecolhead"/>
            </w:pPr>
            <w:r w:rsidRPr="002029AF">
              <w:t>Comprehensive</w:t>
            </w:r>
            <w:r w:rsidR="000A5329" w:rsidRPr="002029AF">
              <w:t xml:space="preserve"> </w:t>
            </w:r>
            <w:r w:rsidRPr="002029AF">
              <w:t>operating</w:t>
            </w:r>
            <w:r w:rsidR="000A5329" w:rsidRPr="002029AF">
              <w:t xml:space="preserve"> </w:t>
            </w:r>
            <w:r w:rsidRPr="002029AF">
              <w:t>statement</w:t>
            </w:r>
          </w:p>
        </w:tc>
        <w:tc>
          <w:tcPr>
            <w:tcW w:w="1701" w:type="dxa"/>
            <w:tcBorders>
              <w:bottom w:val="single" w:sz="4" w:space="0" w:color="auto"/>
            </w:tcBorders>
            <w:hideMark/>
          </w:tcPr>
          <w:p w14:paraId="535C9243" w14:textId="77777777" w:rsidR="00087B91" w:rsidRPr="002029AF" w:rsidRDefault="00087B91" w:rsidP="00860E95">
            <w:pPr>
              <w:pStyle w:val="ARfintablecolheadright"/>
            </w:pPr>
            <w:r w:rsidRPr="002029AF">
              <w:t>Note</w:t>
            </w:r>
          </w:p>
        </w:tc>
        <w:tc>
          <w:tcPr>
            <w:tcW w:w="1701" w:type="dxa"/>
            <w:tcBorders>
              <w:bottom w:val="single" w:sz="4" w:space="0" w:color="auto"/>
            </w:tcBorders>
            <w:hideMark/>
          </w:tcPr>
          <w:p w14:paraId="2163ECC2" w14:textId="1A5F52FB" w:rsidR="00087B91" w:rsidRPr="002029AF" w:rsidRDefault="00087B91" w:rsidP="00860E95">
            <w:pPr>
              <w:pStyle w:val="ARfintablecolheadright"/>
            </w:pPr>
            <w:r w:rsidRPr="002029AF">
              <w:t>Before</w:t>
            </w:r>
            <w:r w:rsidR="000A5329" w:rsidRPr="002029AF">
              <w:t xml:space="preserve"> </w:t>
            </w:r>
            <w:r w:rsidRPr="002029AF">
              <w:t>new</w:t>
            </w:r>
            <w:r w:rsidR="000A5329" w:rsidRPr="002029AF">
              <w:t xml:space="preserve"> </w:t>
            </w:r>
            <w:r w:rsidRPr="002029AF">
              <w:t>accounting</w:t>
            </w:r>
            <w:r w:rsidR="000A5329" w:rsidRPr="002029AF">
              <w:t xml:space="preserve"> </w:t>
            </w:r>
            <w:r w:rsidRPr="002029AF">
              <w:t>standards</w:t>
            </w:r>
            <w:r w:rsidR="000A5329" w:rsidRPr="002029AF">
              <w:t xml:space="preserve"> </w:t>
            </w:r>
            <w:r w:rsidRPr="002029AF">
              <w:br/>
              <w:t>30</w:t>
            </w:r>
            <w:r w:rsidR="000A5329" w:rsidRPr="002029AF">
              <w:t xml:space="preserve"> </w:t>
            </w:r>
            <w:r w:rsidRPr="002029AF">
              <w:t>June</w:t>
            </w:r>
            <w:r w:rsidR="000A5329" w:rsidRPr="002029AF">
              <w:t xml:space="preserve"> </w:t>
            </w:r>
            <w:r w:rsidRPr="002029AF">
              <w:t>2019</w:t>
            </w:r>
          </w:p>
          <w:p w14:paraId="117E8ED8" w14:textId="77777777" w:rsidR="00087B91" w:rsidRPr="002029AF" w:rsidRDefault="00087B91" w:rsidP="00860E95">
            <w:pPr>
              <w:pStyle w:val="ARfintablecolheadright"/>
            </w:pPr>
            <w:r w:rsidRPr="002029AF">
              <w:t>$M</w:t>
            </w:r>
          </w:p>
        </w:tc>
        <w:tc>
          <w:tcPr>
            <w:tcW w:w="1701" w:type="dxa"/>
            <w:tcBorders>
              <w:bottom w:val="single" w:sz="4" w:space="0" w:color="auto"/>
            </w:tcBorders>
            <w:hideMark/>
          </w:tcPr>
          <w:p w14:paraId="3F3AA912" w14:textId="13C2A436" w:rsidR="00087B91" w:rsidRPr="002029AF" w:rsidRDefault="00087B91" w:rsidP="00860E95">
            <w:pPr>
              <w:pStyle w:val="ARfintablecolheadright"/>
            </w:pPr>
            <w:r w:rsidRPr="002029AF">
              <w:t>Net</w:t>
            </w:r>
            <w:r w:rsidR="000A5329" w:rsidRPr="002029AF">
              <w:t xml:space="preserve"> </w:t>
            </w:r>
            <w:r w:rsidRPr="002029AF">
              <w:t>impact</w:t>
            </w:r>
            <w:r w:rsidR="000A5329" w:rsidRPr="002029AF">
              <w:t xml:space="preserve"> </w:t>
            </w:r>
            <w:r w:rsidRPr="002029AF">
              <w:t>of</w:t>
            </w:r>
            <w:r w:rsidR="000A5329" w:rsidRPr="002029AF">
              <w:t xml:space="preserve"> </w:t>
            </w:r>
            <w:r w:rsidRPr="002029AF">
              <w:t>AASB</w:t>
            </w:r>
            <w:r w:rsidR="000A5329" w:rsidRPr="002029AF">
              <w:t xml:space="preserve"> </w:t>
            </w:r>
            <w:r w:rsidRPr="002029AF">
              <w:t>1059</w:t>
            </w:r>
            <w:r w:rsidR="000A5329" w:rsidRPr="002029AF">
              <w:t xml:space="preserve"> </w:t>
            </w:r>
            <w:r w:rsidRPr="002029AF">
              <w:rPr>
                <w:rStyle w:val="Superscript"/>
              </w:rPr>
              <w:t>(i)</w:t>
            </w:r>
          </w:p>
          <w:p w14:paraId="4874DEA5" w14:textId="77777777" w:rsidR="00087B91" w:rsidRPr="002029AF" w:rsidRDefault="00087B91" w:rsidP="00860E95">
            <w:pPr>
              <w:pStyle w:val="ARfintablecolheadright"/>
            </w:pPr>
            <w:r w:rsidRPr="002029AF">
              <w:t>$M</w:t>
            </w:r>
          </w:p>
        </w:tc>
        <w:tc>
          <w:tcPr>
            <w:tcW w:w="1701" w:type="dxa"/>
            <w:tcBorders>
              <w:bottom w:val="single" w:sz="4" w:space="0" w:color="auto"/>
            </w:tcBorders>
            <w:hideMark/>
          </w:tcPr>
          <w:p w14:paraId="468E483E" w14:textId="4487B92C" w:rsidR="00087B91" w:rsidRPr="002029AF" w:rsidRDefault="00087B91" w:rsidP="00860E95">
            <w:pPr>
              <w:pStyle w:val="ARfintablecolheadright"/>
            </w:pPr>
            <w:r w:rsidRPr="002029AF">
              <w:t>After</w:t>
            </w:r>
            <w:r w:rsidR="000A5329" w:rsidRPr="002029AF">
              <w:t xml:space="preserve"> </w:t>
            </w:r>
            <w:r w:rsidRPr="002029AF">
              <w:t>new</w:t>
            </w:r>
            <w:r w:rsidR="000A5329" w:rsidRPr="002029AF">
              <w:t xml:space="preserve"> </w:t>
            </w:r>
            <w:r w:rsidRPr="002029AF">
              <w:t>accounting</w:t>
            </w:r>
            <w:r w:rsidR="000A5329" w:rsidRPr="002029AF">
              <w:t xml:space="preserve"> </w:t>
            </w:r>
            <w:r w:rsidRPr="002029AF">
              <w:t>standards</w:t>
            </w:r>
            <w:r w:rsidR="000A5329" w:rsidRPr="002029AF">
              <w:t xml:space="preserve"> </w:t>
            </w:r>
            <w:r w:rsidRPr="002029AF">
              <w:br/>
              <w:t>30</w:t>
            </w:r>
            <w:r w:rsidR="000A5329" w:rsidRPr="002029AF">
              <w:t xml:space="preserve"> </w:t>
            </w:r>
            <w:r w:rsidRPr="002029AF">
              <w:t>June</w:t>
            </w:r>
            <w:r w:rsidR="000A5329" w:rsidRPr="002029AF">
              <w:t xml:space="preserve"> </w:t>
            </w:r>
            <w:r w:rsidRPr="002029AF">
              <w:t>2019</w:t>
            </w:r>
          </w:p>
          <w:p w14:paraId="5B76465E" w14:textId="77777777" w:rsidR="00087B91" w:rsidRPr="002029AF" w:rsidRDefault="00087B91" w:rsidP="00860E95">
            <w:pPr>
              <w:pStyle w:val="ARfintablecolheadright"/>
            </w:pPr>
            <w:r w:rsidRPr="002029AF">
              <w:t>$M</w:t>
            </w:r>
          </w:p>
        </w:tc>
      </w:tr>
      <w:tr w:rsidR="00087B91" w:rsidRPr="002029AF" w14:paraId="7ACF1A2F" w14:textId="77777777" w:rsidTr="00860E95">
        <w:trPr>
          <w:trHeight w:val="255"/>
        </w:trPr>
        <w:tc>
          <w:tcPr>
            <w:tcW w:w="2835" w:type="dxa"/>
            <w:tcBorders>
              <w:top w:val="single" w:sz="4" w:space="0" w:color="auto"/>
              <w:bottom w:val="single" w:sz="4" w:space="0" w:color="A6A6A6"/>
            </w:tcBorders>
            <w:hideMark/>
          </w:tcPr>
          <w:p w14:paraId="507913A4" w14:textId="744D6E03" w:rsidR="00087B91" w:rsidRPr="002029AF" w:rsidRDefault="00087B91" w:rsidP="00860E95">
            <w:pPr>
              <w:pStyle w:val="ARfintablebody"/>
            </w:pPr>
            <w:r w:rsidRPr="002029AF">
              <w:t>Income</w:t>
            </w:r>
            <w:r w:rsidR="000A5329" w:rsidRPr="002029AF">
              <w:t xml:space="preserve"> </w:t>
            </w:r>
            <w:r w:rsidRPr="002029AF">
              <w:t>from</w:t>
            </w:r>
            <w:r w:rsidR="000A5329" w:rsidRPr="002029AF">
              <w:t xml:space="preserve"> </w:t>
            </w:r>
            <w:r w:rsidRPr="002029AF">
              <w:t>transactions</w:t>
            </w:r>
          </w:p>
        </w:tc>
        <w:tc>
          <w:tcPr>
            <w:tcW w:w="1701" w:type="dxa"/>
            <w:tcBorders>
              <w:top w:val="single" w:sz="4" w:space="0" w:color="auto"/>
              <w:bottom w:val="single" w:sz="4" w:space="0" w:color="A6A6A6"/>
            </w:tcBorders>
            <w:noWrap/>
            <w:hideMark/>
          </w:tcPr>
          <w:p w14:paraId="4FF35132" w14:textId="77777777" w:rsidR="00087B91" w:rsidRPr="002029AF" w:rsidRDefault="00087B91" w:rsidP="00860E95">
            <w:pPr>
              <w:pStyle w:val="ARfintablebodyright"/>
            </w:pPr>
            <w:r w:rsidRPr="002029AF">
              <w:t>7.5.3</w:t>
            </w:r>
          </w:p>
        </w:tc>
        <w:tc>
          <w:tcPr>
            <w:tcW w:w="1701" w:type="dxa"/>
            <w:tcBorders>
              <w:top w:val="single" w:sz="4" w:space="0" w:color="auto"/>
              <w:bottom w:val="single" w:sz="4" w:space="0" w:color="A6A6A6"/>
            </w:tcBorders>
            <w:noWrap/>
            <w:hideMark/>
          </w:tcPr>
          <w:p w14:paraId="447EC41B" w14:textId="77777777" w:rsidR="00087B91" w:rsidRPr="002029AF" w:rsidRDefault="00087B91" w:rsidP="00860E95">
            <w:pPr>
              <w:pStyle w:val="ARfintablebodyright"/>
            </w:pPr>
            <w:r w:rsidRPr="002029AF">
              <w:t>19,417.0</w:t>
            </w:r>
          </w:p>
        </w:tc>
        <w:tc>
          <w:tcPr>
            <w:tcW w:w="1701" w:type="dxa"/>
            <w:tcBorders>
              <w:top w:val="single" w:sz="4" w:space="0" w:color="auto"/>
              <w:bottom w:val="single" w:sz="4" w:space="0" w:color="A6A6A6"/>
            </w:tcBorders>
            <w:noWrap/>
            <w:hideMark/>
          </w:tcPr>
          <w:p w14:paraId="4E360A96" w14:textId="77777777" w:rsidR="00087B91" w:rsidRPr="002029AF" w:rsidRDefault="00087B91" w:rsidP="00860E95">
            <w:pPr>
              <w:pStyle w:val="ARfintablebodyright"/>
            </w:pPr>
            <w:r w:rsidRPr="002029AF">
              <w:t>–</w:t>
            </w:r>
          </w:p>
        </w:tc>
        <w:tc>
          <w:tcPr>
            <w:tcW w:w="1701" w:type="dxa"/>
            <w:tcBorders>
              <w:top w:val="single" w:sz="4" w:space="0" w:color="auto"/>
              <w:bottom w:val="single" w:sz="4" w:space="0" w:color="A6A6A6"/>
            </w:tcBorders>
            <w:noWrap/>
            <w:hideMark/>
          </w:tcPr>
          <w:p w14:paraId="0A4100FA" w14:textId="77777777" w:rsidR="00087B91" w:rsidRPr="002029AF" w:rsidRDefault="00087B91" w:rsidP="00860E95">
            <w:pPr>
              <w:pStyle w:val="ARfintablebodyright"/>
            </w:pPr>
            <w:r w:rsidRPr="002029AF">
              <w:t>19,417.0</w:t>
            </w:r>
          </w:p>
        </w:tc>
      </w:tr>
      <w:tr w:rsidR="00087B91" w:rsidRPr="002029AF" w14:paraId="3167B008" w14:textId="77777777" w:rsidTr="00860E95">
        <w:trPr>
          <w:trHeight w:val="255"/>
        </w:trPr>
        <w:tc>
          <w:tcPr>
            <w:tcW w:w="2835" w:type="dxa"/>
            <w:tcBorders>
              <w:top w:val="single" w:sz="4" w:space="0" w:color="A6A6A6"/>
              <w:bottom w:val="single" w:sz="4" w:space="0" w:color="A6A6A6"/>
            </w:tcBorders>
            <w:hideMark/>
          </w:tcPr>
          <w:p w14:paraId="762C7315" w14:textId="06275916" w:rsidR="00087B91" w:rsidRPr="002029AF" w:rsidRDefault="00087B91" w:rsidP="00860E95">
            <w:pPr>
              <w:pStyle w:val="ARfintablebody"/>
            </w:pPr>
            <w:r w:rsidRPr="002029AF">
              <w:t>Expense</w:t>
            </w:r>
            <w:r w:rsidR="000A5329" w:rsidRPr="002029AF">
              <w:t xml:space="preserve"> </w:t>
            </w:r>
            <w:r w:rsidRPr="002029AF">
              <w:t>from</w:t>
            </w:r>
            <w:r w:rsidR="000A5329" w:rsidRPr="002029AF">
              <w:t xml:space="preserve"> </w:t>
            </w:r>
            <w:r w:rsidRPr="002029AF">
              <w:t>transactions</w:t>
            </w:r>
          </w:p>
        </w:tc>
        <w:tc>
          <w:tcPr>
            <w:tcW w:w="1701" w:type="dxa"/>
            <w:tcBorders>
              <w:top w:val="single" w:sz="4" w:space="0" w:color="A6A6A6"/>
              <w:bottom w:val="single" w:sz="4" w:space="0" w:color="A6A6A6"/>
            </w:tcBorders>
            <w:noWrap/>
            <w:hideMark/>
          </w:tcPr>
          <w:p w14:paraId="2247F021" w14:textId="77777777" w:rsidR="00087B91" w:rsidRPr="002029AF" w:rsidRDefault="00087B91" w:rsidP="00860E95">
            <w:pPr>
              <w:pStyle w:val="ARfintablebodyright"/>
            </w:pPr>
            <w:r w:rsidRPr="002029AF">
              <w:t>7.5.3</w:t>
            </w:r>
          </w:p>
        </w:tc>
        <w:tc>
          <w:tcPr>
            <w:tcW w:w="1701" w:type="dxa"/>
            <w:tcBorders>
              <w:top w:val="single" w:sz="4" w:space="0" w:color="A6A6A6"/>
              <w:bottom w:val="single" w:sz="4" w:space="0" w:color="A6A6A6"/>
            </w:tcBorders>
            <w:noWrap/>
            <w:hideMark/>
          </w:tcPr>
          <w:p w14:paraId="3CD3F370" w14:textId="77777777" w:rsidR="00087B91" w:rsidRPr="002029AF" w:rsidRDefault="00087B91" w:rsidP="00860E95">
            <w:pPr>
              <w:pStyle w:val="ARfintablebodyright"/>
            </w:pPr>
            <w:r w:rsidRPr="002029AF">
              <w:t>(19,391.5)</w:t>
            </w:r>
          </w:p>
        </w:tc>
        <w:tc>
          <w:tcPr>
            <w:tcW w:w="1701" w:type="dxa"/>
            <w:tcBorders>
              <w:top w:val="single" w:sz="4" w:space="0" w:color="A6A6A6"/>
              <w:bottom w:val="single" w:sz="4" w:space="0" w:color="A6A6A6"/>
            </w:tcBorders>
            <w:noWrap/>
            <w:hideMark/>
          </w:tcPr>
          <w:p w14:paraId="2A2ED42C" w14:textId="77777777" w:rsidR="00087B91" w:rsidRPr="002029AF" w:rsidRDefault="00087B91" w:rsidP="00860E95">
            <w:pPr>
              <w:pStyle w:val="ARfintablebodyright"/>
            </w:pPr>
            <w:r w:rsidRPr="002029AF">
              <w:t>–</w:t>
            </w:r>
          </w:p>
        </w:tc>
        <w:tc>
          <w:tcPr>
            <w:tcW w:w="1701" w:type="dxa"/>
            <w:tcBorders>
              <w:top w:val="single" w:sz="4" w:space="0" w:color="A6A6A6"/>
              <w:bottom w:val="single" w:sz="4" w:space="0" w:color="A6A6A6"/>
            </w:tcBorders>
            <w:noWrap/>
            <w:hideMark/>
          </w:tcPr>
          <w:p w14:paraId="618E7692" w14:textId="77777777" w:rsidR="00087B91" w:rsidRPr="002029AF" w:rsidRDefault="00087B91" w:rsidP="00860E95">
            <w:pPr>
              <w:pStyle w:val="ARfintablebodyright"/>
            </w:pPr>
            <w:r w:rsidRPr="002029AF">
              <w:t>(19,391.5)</w:t>
            </w:r>
          </w:p>
        </w:tc>
      </w:tr>
      <w:tr w:rsidR="00087B91" w:rsidRPr="002029AF" w14:paraId="7AB15659" w14:textId="77777777" w:rsidTr="00860E95">
        <w:trPr>
          <w:trHeight w:val="255"/>
        </w:trPr>
        <w:tc>
          <w:tcPr>
            <w:tcW w:w="2835" w:type="dxa"/>
            <w:tcBorders>
              <w:top w:val="single" w:sz="4" w:space="0" w:color="A6A6A6"/>
              <w:bottom w:val="single" w:sz="4" w:space="0" w:color="A6A6A6"/>
            </w:tcBorders>
            <w:hideMark/>
          </w:tcPr>
          <w:p w14:paraId="71D8F972" w14:textId="1DA5D95B" w:rsidR="00087B91" w:rsidRPr="002029AF" w:rsidRDefault="00087B91" w:rsidP="00860E95">
            <w:pPr>
              <w:pStyle w:val="ARfintablebodybold"/>
            </w:pPr>
            <w:r w:rsidRPr="002029AF">
              <w:t>Net</w:t>
            </w:r>
            <w:r w:rsidR="000A5329" w:rsidRPr="002029AF">
              <w:t xml:space="preserve"> </w:t>
            </w:r>
            <w:r w:rsidRPr="002029AF">
              <w:t>result</w:t>
            </w:r>
            <w:r w:rsidR="000A5329" w:rsidRPr="002029AF">
              <w:t xml:space="preserve"> </w:t>
            </w:r>
            <w:r w:rsidRPr="002029AF">
              <w:t>from</w:t>
            </w:r>
            <w:r w:rsidR="000A5329" w:rsidRPr="002029AF">
              <w:t xml:space="preserve"> </w:t>
            </w:r>
            <w:r w:rsidRPr="002029AF">
              <w:t>transactions</w:t>
            </w:r>
            <w:r w:rsidR="000A5329" w:rsidRPr="002029AF">
              <w:t xml:space="preserve"> </w:t>
            </w:r>
            <w:r w:rsidRPr="002029AF">
              <w:t>(net</w:t>
            </w:r>
            <w:r w:rsidR="000A5329" w:rsidRPr="002029AF">
              <w:t xml:space="preserve"> </w:t>
            </w:r>
            <w:r w:rsidRPr="002029AF">
              <w:t>operating</w:t>
            </w:r>
            <w:r w:rsidR="000A5329" w:rsidRPr="002029AF">
              <w:t xml:space="preserve"> </w:t>
            </w:r>
            <w:r w:rsidRPr="002029AF">
              <w:t>balance)</w:t>
            </w:r>
          </w:p>
        </w:tc>
        <w:tc>
          <w:tcPr>
            <w:tcW w:w="1701" w:type="dxa"/>
            <w:tcBorders>
              <w:top w:val="single" w:sz="4" w:space="0" w:color="A6A6A6"/>
              <w:bottom w:val="single" w:sz="4" w:space="0" w:color="A6A6A6"/>
            </w:tcBorders>
            <w:noWrap/>
            <w:hideMark/>
          </w:tcPr>
          <w:p w14:paraId="2BE682C0" w14:textId="77777777" w:rsidR="00087B91" w:rsidRPr="002029AF" w:rsidRDefault="00087B91" w:rsidP="00860E95">
            <w:pPr>
              <w:pStyle w:val="ARfintablebodyrightbold"/>
            </w:pPr>
          </w:p>
        </w:tc>
        <w:tc>
          <w:tcPr>
            <w:tcW w:w="1701" w:type="dxa"/>
            <w:tcBorders>
              <w:top w:val="single" w:sz="4" w:space="0" w:color="A6A6A6"/>
              <w:bottom w:val="single" w:sz="4" w:space="0" w:color="A6A6A6"/>
            </w:tcBorders>
            <w:noWrap/>
            <w:hideMark/>
          </w:tcPr>
          <w:p w14:paraId="4532CECD" w14:textId="77777777" w:rsidR="00087B91" w:rsidRPr="002029AF" w:rsidRDefault="00087B91" w:rsidP="00860E95">
            <w:pPr>
              <w:pStyle w:val="ARfintablebodyrightbold"/>
            </w:pPr>
            <w:r w:rsidRPr="002029AF">
              <w:t>25.5</w:t>
            </w:r>
          </w:p>
        </w:tc>
        <w:tc>
          <w:tcPr>
            <w:tcW w:w="1701" w:type="dxa"/>
            <w:tcBorders>
              <w:top w:val="single" w:sz="4" w:space="0" w:color="A6A6A6"/>
              <w:bottom w:val="single" w:sz="4" w:space="0" w:color="A6A6A6"/>
            </w:tcBorders>
            <w:noWrap/>
            <w:hideMark/>
          </w:tcPr>
          <w:p w14:paraId="49345A26" w14:textId="77777777" w:rsidR="00087B91" w:rsidRPr="002029AF" w:rsidRDefault="00087B91" w:rsidP="00860E95">
            <w:pPr>
              <w:pStyle w:val="ARfintablebodyrightbold"/>
            </w:pPr>
            <w:r w:rsidRPr="002029AF">
              <w:t>–</w:t>
            </w:r>
          </w:p>
        </w:tc>
        <w:tc>
          <w:tcPr>
            <w:tcW w:w="1701" w:type="dxa"/>
            <w:tcBorders>
              <w:top w:val="single" w:sz="4" w:space="0" w:color="A6A6A6"/>
              <w:bottom w:val="single" w:sz="4" w:space="0" w:color="A6A6A6"/>
            </w:tcBorders>
            <w:noWrap/>
            <w:hideMark/>
          </w:tcPr>
          <w:p w14:paraId="78734F2C" w14:textId="77777777" w:rsidR="00087B91" w:rsidRPr="002029AF" w:rsidRDefault="00087B91" w:rsidP="00860E95">
            <w:pPr>
              <w:pStyle w:val="ARfintablebodyrightbold"/>
            </w:pPr>
            <w:r w:rsidRPr="002029AF">
              <w:t>25.5</w:t>
            </w:r>
          </w:p>
        </w:tc>
      </w:tr>
      <w:tr w:rsidR="00087B91" w:rsidRPr="002029AF" w14:paraId="62AE7952" w14:textId="77777777" w:rsidTr="00860E95">
        <w:trPr>
          <w:trHeight w:val="255"/>
        </w:trPr>
        <w:tc>
          <w:tcPr>
            <w:tcW w:w="2835" w:type="dxa"/>
            <w:tcBorders>
              <w:top w:val="single" w:sz="4" w:space="0" w:color="A6A6A6"/>
            </w:tcBorders>
            <w:hideMark/>
          </w:tcPr>
          <w:p w14:paraId="004A8ED8" w14:textId="588008A2" w:rsidR="00087B91" w:rsidRPr="002029AF" w:rsidRDefault="00087B91" w:rsidP="00860E95">
            <w:pPr>
              <w:pStyle w:val="ARfintablebody"/>
            </w:pPr>
            <w:r w:rsidRPr="002029AF">
              <w:t>Total</w:t>
            </w:r>
            <w:r w:rsidR="000A5329" w:rsidRPr="002029AF">
              <w:t xml:space="preserve"> </w:t>
            </w:r>
            <w:r w:rsidRPr="002029AF">
              <w:t>other</w:t>
            </w:r>
            <w:r w:rsidR="000A5329" w:rsidRPr="002029AF">
              <w:t xml:space="preserve"> </w:t>
            </w:r>
            <w:r w:rsidRPr="002029AF">
              <w:t>economic</w:t>
            </w:r>
            <w:r w:rsidR="000A5329" w:rsidRPr="002029AF">
              <w:t xml:space="preserve"> </w:t>
            </w:r>
            <w:r w:rsidRPr="002029AF">
              <w:t>flow</w:t>
            </w:r>
            <w:r w:rsidR="000A5329" w:rsidRPr="002029AF">
              <w:t xml:space="preserve"> </w:t>
            </w:r>
            <w:r w:rsidRPr="002029AF">
              <w:t>included</w:t>
            </w:r>
            <w:r w:rsidR="000A5329" w:rsidRPr="002029AF">
              <w:t xml:space="preserve"> </w:t>
            </w:r>
            <w:r w:rsidRPr="002029AF">
              <w:t>in</w:t>
            </w:r>
            <w:r w:rsidR="000A5329" w:rsidRPr="002029AF">
              <w:t xml:space="preserve"> </w:t>
            </w:r>
            <w:r w:rsidRPr="002029AF">
              <w:t>net</w:t>
            </w:r>
            <w:r w:rsidR="000A5329" w:rsidRPr="002029AF">
              <w:t xml:space="preserve"> </w:t>
            </w:r>
            <w:r w:rsidRPr="002029AF">
              <w:t>result</w:t>
            </w:r>
          </w:p>
        </w:tc>
        <w:tc>
          <w:tcPr>
            <w:tcW w:w="1701" w:type="dxa"/>
            <w:tcBorders>
              <w:top w:val="single" w:sz="4" w:space="0" w:color="A6A6A6"/>
            </w:tcBorders>
            <w:noWrap/>
            <w:hideMark/>
          </w:tcPr>
          <w:p w14:paraId="4756A758" w14:textId="77777777" w:rsidR="00087B91" w:rsidRPr="002029AF" w:rsidRDefault="00087B91" w:rsidP="00860E95">
            <w:pPr>
              <w:pStyle w:val="ARfintablebodyright"/>
              <w:rPr>
                <w:b/>
                <w:bCs/>
              </w:rPr>
            </w:pPr>
          </w:p>
        </w:tc>
        <w:tc>
          <w:tcPr>
            <w:tcW w:w="1701" w:type="dxa"/>
            <w:tcBorders>
              <w:top w:val="single" w:sz="4" w:space="0" w:color="A6A6A6"/>
            </w:tcBorders>
            <w:noWrap/>
            <w:hideMark/>
          </w:tcPr>
          <w:p w14:paraId="625EC19F" w14:textId="77777777" w:rsidR="00087B91" w:rsidRPr="002029AF" w:rsidRDefault="00087B91" w:rsidP="00860E95">
            <w:pPr>
              <w:pStyle w:val="ARfintablebodyright"/>
            </w:pPr>
            <w:r w:rsidRPr="002029AF">
              <w:t>(34.5)</w:t>
            </w:r>
          </w:p>
        </w:tc>
        <w:tc>
          <w:tcPr>
            <w:tcW w:w="1701" w:type="dxa"/>
            <w:tcBorders>
              <w:top w:val="single" w:sz="4" w:space="0" w:color="A6A6A6"/>
            </w:tcBorders>
            <w:noWrap/>
            <w:hideMark/>
          </w:tcPr>
          <w:p w14:paraId="6836D324" w14:textId="77777777" w:rsidR="00087B91" w:rsidRPr="002029AF" w:rsidRDefault="00087B91" w:rsidP="00860E95">
            <w:pPr>
              <w:pStyle w:val="ARfintablebodyright"/>
            </w:pPr>
            <w:r w:rsidRPr="002029AF">
              <w:t>–</w:t>
            </w:r>
          </w:p>
        </w:tc>
        <w:tc>
          <w:tcPr>
            <w:tcW w:w="1701" w:type="dxa"/>
            <w:tcBorders>
              <w:top w:val="single" w:sz="4" w:space="0" w:color="A6A6A6"/>
            </w:tcBorders>
            <w:noWrap/>
            <w:hideMark/>
          </w:tcPr>
          <w:p w14:paraId="1A4EF8E0" w14:textId="77777777" w:rsidR="00087B91" w:rsidRPr="002029AF" w:rsidRDefault="00087B91" w:rsidP="00860E95">
            <w:pPr>
              <w:pStyle w:val="ARfintablebodyright"/>
            </w:pPr>
            <w:r w:rsidRPr="002029AF">
              <w:t>(34.5)</w:t>
            </w:r>
          </w:p>
        </w:tc>
      </w:tr>
      <w:tr w:rsidR="00087B91" w:rsidRPr="002029AF" w14:paraId="225A743B" w14:textId="77777777" w:rsidTr="00860E95">
        <w:trPr>
          <w:trHeight w:val="255"/>
        </w:trPr>
        <w:tc>
          <w:tcPr>
            <w:tcW w:w="2835" w:type="dxa"/>
            <w:hideMark/>
          </w:tcPr>
          <w:p w14:paraId="5A7137B9" w14:textId="792AADEC" w:rsidR="00087B91" w:rsidRPr="002029AF" w:rsidRDefault="00087B91" w:rsidP="00860E95">
            <w:pPr>
              <w:pStyle w:val="ARfintablebodybold"/>
            </w:pPr>
            <w:r w:rsidRPr="002029AF">
              <w:t>Net</w:t>
            </w:r>
            <w:r w:rsidR="000A5329" w:rsidRPr="002029AF">
              <w:t xml:space="preserve"> </w:t>
            </w:r>
            <w:r w:rsidRPr="002029AF">
              <w:t>result</w:t>
            </w:r>
          </w:p>
        </w:tc>
        <w:tc>
          <w:tcPr>
            <w:tcW w:w="1701" w:type="dxa"/>
            <w:hideMark/>
          </w:tcPr>
          <w:p w14:paraId="4473947D" w14:textId="77777777" w:rsidR="00087B91" w:rsidRPr="002029AF" w:rsidRDefault="00087B91" w:rsidP="00860E95">
            <w:pPr>
              <w:pStyle w:val="ARfintablebodyrightbold"/>
            </w:pPr>
          </w:p>
        </w:tc>
        <w:tc>
          <w:tcPr>
            <w:tcW w:w="1701" w:type="dxa"/>
            <w:noWrap/>
            <w:hideMark/>
          </w:tcPr>
          <w:p w14:paraId="211468E9" w14:textId="77777777" w:rsidR="00087B91" w:rsidRPr="002029AF" w:rsidRDefault="00087B91" w:rsidP="00860E95">
            <w:pPr>
              <w:pStyle w:val="ARfintablebodyrightbold"/>
            </w:pPr>
            <w:r w:rsidRPr="002029AF">
              <w:t>(9.0)</w:t>
            </w:r>
          </w:p>
        </w:tc>
        <w:tc>
          <w:tcPr>
            <w:tcW w:w="1701" w:type="dxa"/>
            <w:noWrap/>
            <w:hideMark/>
          </w:tcPr>
          <w:p w14:paraId="270982E5" w14:textId="77777777" w:rsidR="00087B91" w:rsidRPr="002029AF" w:rsidRDefault="00087B91" w:rsidP="00860E95">
            <w:pPr>
              <w:pStyle w:val="ARfintablebodyrightbold"/>
            </w:pPr>
            <w:r w:rsidRPr="002029AF">
              <w:t>–</w:t>
            </w:r>
          </w:p>
        </w:tc>
        <w:tc>
          <w:tcPr>
            <w:tcW w:w="1701" w:type="dxa"/>
            <w:noWrap/>
            <w:hideMark/>
          </w:tcPr>
          <w:p w14:paraId="32EF5346" w14:textId="77777777" w:rsidR="00087B91" w:rsidRPr="002029AF" w:rsidRDefault="00087B91" w:rsidP="00860E95">
            <w:pPr>
              <w:pStyle w:val="ARfintablebodyrightbold"/>
            </w:pPr>
            <w:r w:rsidRPr="002029AF">
              <w:t>(9.0)</w:t>
            </w:r>
          </w:p>
        </w:tc>
      </w:tr>
    </w:tbl>
    <w:p w14:paraId="0329C012" w14:textId="77777777" w:rsidR="00087B91" w:rsidRPr="002029AF" w:rsidRDefault="00087B91" w:rsidP="00087B91">
      <w:pPr>
        <w:pStyle w:val="ARfintablefootnote"/>
        <w:rPr>
          <w:lang w:eastAsia="en-AU"/>
        </w:rPr>
      </w:pPr>
      <w:r w:rsidRPr="002029AF">
        <w:rPr>
          <w:lang w:eastAsia="en-AU"/>
        </w:rPr>
        <w:t>Note:</w:t>
      </w:r>
    </w:p>
    <w:p w14:paraId="73BA34B3" w14:textId="2F1587CC" w:rsidR="00087B91" w:rsidRPr="002029AF" w:rsidRDefault="00087B91" w:rsidP="00087B91">
      <w:pPr>
        <w:pStyle w:val="ARfintablefootnoteindent"/>
      </w:pPr>
      <w:r w:rsidRPr="002029AF">
        <w:t>(i)</w:t>
      </w:r>
      <w:r w:rsidRPr="002029AF">
        <w:tab/>
        <w:t>Where</w:t>
      </w:r>
      <w:r w:rsidR="000A5329" w:rsidRPr="002029AF">
        <w:t xml:space="preserve"> </w:t>
      </w:r>
      <w:r w:rsidRPr="002029AF">
        <w:t>only</w:t>
      </w:r>
      <w:r w:rsidR="000A5329" w:rsidRPr="002029AF">
        <w:t xml:space="preserve"> </w:t>
      </w:r>
      <w:r w:rsidRPr="002029AF">
        <w:t>line</w:t>
      </w:r>
      <w:r w:rsidR="000A5329" w:rsidRPr="002029AF">
        <w:t xml:space="preserve"> </w:t>
      </w:r>
      <w:r w:rsidRPr="002029AF">
        <w:t>items</w:t>
      </w:r>
      <w:r w:rsidR="000A5329" w:rsidRPr="002029AF">
        <w:t xml:space="preserve"> </w:t>
      </w:r>
      <w:r w:rsidRPr="002029AF">
        <w:t>have</w:t>
      </w:r>
      <w:r w:rsidR="000A5329" w:rsidRPr="002029AF">
        <w:t xml:space="preserve"> </w:t>
      </w:r>
      <w:r w:rsidRPr="002029AF">
        <w:t>been</w:t>
      </w:r>
      <w:r w:rsidR="000A5329" w:rsidRPr="002029AF">
        <w:t xml:space="preserve"> </w:t>
      </w:r>
      <w:r w:rsidRPr="002029AF">
        <w:t>reclassified</w:t>
      </w:r>
      <w:r w:rsidR="000A5329" w:rsidRPr="002029AF">
        <w:t xml:space="preserve"> </w:t>
      </w:r>
      <w:r w:rsidRPr="002029AF">
        <w:t>with</w:t>
      </w:r>
      <w:r w:rsidR="000A5329" w:rsidRPr="002029AF">
        <w:t xml:space="preserve"> </w:t>
      </w:r>
      <w:r w:rsidRPr="002029AF">
        <w:t>no</w:t>
      </w:r>
      <w:r w:rsidR="000A5329" w:rsidRPr="002029AF">
        <w:t xml:space="preserve"> </w:t>
      </w:r>
      <w:r w:rsidRPr="002029AF">
        <w:t>adjustment</w:t>
      </w:r>
      <w:r w:rsidR="000A5329" w:rsidRPr="002029AF">
        <w:t xml:space="preserve"> </w:t>
      </w:r>
      <w:r w:rsidRPr="002029AF">
        <w:t>to</w:t>
      </w:r>
      <w:r w:rsidR="000A5329" w:rsidRPr="002029AF">
        <w:t xml:space="preserve"> </w:t>
      </w:r>
      <w:r w:rsidRPr="002029AF">
        <w:t>figures</w:t>
      </w:r>
      <w:r w:rsidR="000A5329" w:rsidRPr="002029AF">
        <w:t xml:space="preserve"> </w:t>
      </w:r>
      <w:r w:rsidRPr="002029AF">
        <w:t>previously</w:t>
      </w:r>
      <w:r w:rsidR="000A5329" w:rsidRPr="002029AF">
        <w:t xml:space="preserve"> </w:t>
      </w:r>
      <w:r w:rsidRPr="002029AF">
        <w:t>recognized,</w:t>
      </w:r>
      <w:r w:rsidR="000A5329" w:rsidRPr="002029AF">
        <w:t xml:space="preserve"> </w:t>
      </w:r>
      <w:r w:rsidRPr="002029AF">
        <w:t>there</w:t>
      </w:r>
      <w:r w:rsidR="000A5329" w:rsidRPr="002029AF">
        <w:t xml:space="preserve"> </w:t>
      </w:r>
      <w:r w:rsidRPr="002029AF">
        <w:t>is</w:t>
      </w:r>
      <w:r w:rsidR="000A5329" w:rsidRPr="002029AF">
        <w:t xml:space="preserve"> </w:t>
      </w:r>
      <w:r w:rsidRPr="002029AF">
        <w:t>no</w:t>
      </w:r>
      <w:r w:rsidR="000A5329" w:rsidRPr="002029AF">
        <w:t xml:space="preserve"> </w:t>
      </w:r>
      <w:r w:rsidRPr="002029AF">
        <w:t>impact</w:t>
      </w:r>
      <w:r w:rsidR="000A5329" w:rsidRPr="002029AF">
        <w:t xml:space="preserve"> </w:t>
      </w:r>
      <w:r w:rsidRPr="002029AF">
        <w:t>on</w:t>
      </w:r>
      <w:r w:rsidR="000A5329" w:rsidRPr="002029AF">
        <w:t xml:space="preserve"> </w:t>
      </w:r>
      <w:r w:rsidRPr="002029AF">
        <w:t>net</w:t>
      </w:r>
      <w:r w:rsidR="000A5329" w:rsidRPr="002029AF">
        <w:t xml:space="preserve"> </w:t>
      </w:r>
      <w:r w:rsidRPr="002029AF">
        <w:t>result.</w:t>
      </w:r>
    </w:p>
    <w:p w14:paraId="49849FC7" w14:textId="25A2CB6A" w:rsidR="00087B91" w:rsidRPr="002029AF" w:rsidRDefault="00087B91" w:rsidP="00087B91">
      <w:pPr>
        <w:pStyle w:val="ARfinbodyaftertable"/>
        <w:spacing w:after="160"/>
      </w:pPr>
      <w:r w:rsidRPr="002029AF">
        <w:t>Impact</w:t>
      </w:r>
      <w:r w:rsidR="000A5329" w:rsidRPr="002029AF">
        <w:t xml:space="preserve"> </w:t>
      </w:r>
      <w:r w:rsidRPr="002029AF">
        <w:t>on</w:t>
      </w:r>
      <w:r w:rsidR="000A5329" w:rsidRPr="002029AF">
        <w:t xml:space="preserve"> </w:t>
      </w:r>
      <w:r w:rsidRPr="002029AF">
        <w:t>the</w:t>
      </w:r>
      <w:r w:rsidR="000A5329" w:rsidRPr="002029AF">
        <w:t xml:space="preserve"> </w:t>
      </w:r>
      <w:r w:rsidRPr="002029AF">
        <w:t>balance</w:t>
      </w:r>
      <w:r w:rsidR="000A5329" w:rsidRPr="002029AF">
        <w:t xml:space="preserve"> </w:t>
      </w:r>
      <w:r w:rsidRPr="002029AF">
        <w:t>sheet</w:t>
      </w:r>
      <w:r w:rsidR="000A5329" w:rsidRPr="002029AF">
        <w:t xml:space="preserve"> </w:t>
      </w:r>
      <w:r w:rsidRPr="002029AF">
        <w:t>due</w:t>
      </w:r>
      <w:r w:rsidR="000A5329" w:rsidRPr="002029AF">
        <w:t xml:space="preserve"> </w:t>
      </w:r>
      <w:r w:rsidRPr="002029AF">
        <w:t>to</w:t>
      </w:r>
      <w:r w:rsidR="000A5329" w:rsidRPr="002029AF">
        <w:t xml:space="preserve"> </w:t>
      </w:r>
      <w:r w:rsidRPr="002029AF">
        <w:t>the</w:t>
      </w:r>
      <w:r w:rsidR="000A5329" w:rsidRPr="002029AF">
        <w:t xml:space="preserve"> </w:t>
      </w:r>
      <w:r w:rsidRPr="002029AF">
        <w:t>adoption</w:t>
      </w:r>
      <w:r w:rsidR="000A5329" w:rsidRPr="002029AF">
        <w:t xml:space="preserve"> </w:t>
      </w:r>
      <w:r w:rsidRPr="002029AF">
        <w:t>of</w:t>
      </w:r>
      <w:r w:rsidR="000A5329" w:rsidRPr="002029AF">
        <w:t xml:space="preserve"> </w:t>
      </w:r>
      <w:r w:rsidRPr="002029AF">
        <w:t>AASB</w:t>
      </w:r>
      <w:r w:rsidR="000A5329" w:rsidRPr="002029AF">
        <w:t xml:space="preserve"> </w:t>
      </w:r>
      <w:r w:rsidRPr="002029AF">
        <w:t>1059</w:t>
      </w:r>
      <w:r w:rsidR="000A5329" w:rsidRPr="002029AF">
        <w:t xml:space="preserve"> </w:t>
      </w:r>
      <w:r w:rsidRPr="002029AF">
        <w:t>in</w:t>
      </w:r>
      <w:r w:rsidR="000A5329" w:rsidRPr="002029AF">
        <w:t xml:space="preserve"> </w:t>
      </w:r>
      <w:r w:rsidRPr="002029AF">
        <w:t>the</w:t>
      </w:r>
      <w:r w:rsidR="000A5329" w:rsidRPr="002029AF">
        <w:t xml:space="preserve"> </w:t>
      </w:r>
      <w:r w:rsidRPr="002029AF">
        <w:t>2018–19</w:t>
      </w:r>
      <w:r w:rsidR="000A5329" w:rsidRPr="002029AF">
        <w:t xml:space="preserve"> </w:t>
      </w:r>
      <w:r w:rsidRPr="002029AF">
        <w:t>year</w:t>
      </w:r>
      <w:r w:rsidR="000A5329" w:rsidRPr="002029AF">
        <w:t xml:space="preserve"> </w:t>
      </w:r>
      <w:r w:rsidRPr="002029AF">
        <w:t>is</w:t>
      </w:r>
      <w:r w:rsidR="000A5329" w:rsidRPr="002029AF">
        <w:t xml:space="preserve"> </w:t>
      </w:r>
      <w:r w:rsidRPr="002029AF">
        <w:t>illustrated</w:t>
      </w:r>
      <w:r w:rsidR="000A5329" w:rsidRPr="002029AF">
        <w:t xml:space="preserve"> </w:t>
      </w:r>
      <w:r w:rsidRPr="002029AF">
        <w:t>below</w:t>
      </w:r>
      <w:r w:rsidR="000A5329" w:rsidRPr="002029AF">
        <w:t xml:space="preserve"> </w:t>
      </w:r>
      <w:r w:rsidRPr="002029AF">
        <w:t>with</w:t>
      </w:r>
      <w:r w:rsidR="000A5329" w:rsidRPr="002029AF">
        <w:t xml:space="preserve"> </w:t>
      </w:r>
      <w:r w:rsidRPr="002029AF">
        <w:t>the</w:t>
      </w:r>
      <w:r w:rsidR="000A5329" w:rsidRPr="002029AF">
        <w:t xml:space="preserve"> </w:t>
      </w:r>
      <w:r w:rsidRPr="002029AF">
        <w:t>following</w:t>
      </w:r>
      <w:r w:rsidR="000A5329" w:rsidRPr="002029AF">
        <w:t xml:space="preserve"> </w:t>
      </w:r>
      <w:r w:rsidRPr="002029AF">
        <w:t>reconciliation</w:t>
      </w:r>
      <w:r w:rsidR="000A5329" w:rsidRPr="002029AF">
        <w:t xml:space="preserve"> </w:t>
      </w:r>
      <w:r w:rsidRPr="002029AF">
        <w:t>between</w:t>
      </w:r>
      <w:r w:rsidR="000A5329" w:rsidRPr="002029AF">
        <w:t xml:space="preserve"> </w:t>
      </w:r>
      <w:r w:rsidRPr="002029AF">
        <w:t>the</w:t>
      </w:r>
      <w:r w:rsidR="000A5329" w:rsidRPr="002029AF">
        <w:t xml:space="preserve"> </w:t>
      </w:r>
      <w:r w:rsidRPr="002029AF">
        <w:t>30</w:t>
      </w:r>
      <w:r w:rsidR="000A5329" w:rsidRPr="002029AF">
        <w:t xml:space="preserve"> </w:t>
      </w:r>
      <w:r w:rsidRPr="002029AF">
        <w:t>June</w:t>
      </w:r>
      <w:r w:rsidR="000A5329" w:rsidRPr="002029AF">
        <w:t xml:space="preserve"> </w:t>
      </w:r>
      <w:r w:rsidRPr="002029AF">
        <w:t>2019</w:t>
      </w:r>
      <w:r w:rsidR="000A5329" w:rsidRPr="002029AF">
        <w:t xml:space="preserve"> </w:t>
      </w:r>
      <w:r w:rsidRPr="002029AF">
        <w:t>carrying</w:t>
      </w:r>
      <w:r w:rsidR="000A5329" w:rsidRPr="002029AF">
        <w:t xml:space="preserve"> </w:t>
      </w:r>
      <w:r w:rsidRPr="002029AF">
        <w:t>amounts</w:t>
      </w:r>
      <w:r w:rsidR="000A5329" w:rsidRPr="002029AF">
        <w:t xml:space="preserve"> </w:t>
      </w:r>
      <w:r w:rsidRPr="002029AF">
        <w:t>and</w:t>
      </w:r>
      <w:r w:rsidR="000A5329" w:rsidRPr="002029AF">
        <w:t xml:space="preserve"> </w:t>
      </w:r>
      <w:r w:rsidRPr="002029AF">
        <w:t>the</w:t>
      </w:r>
      <w:r w:rsidR="000A5329" w:rsidRPr="002029AF">
        <w:t xml:space="preserve"> </w:t>
      </w:r>
      <w:r w:rsidRPr="002029AF">
        <w:t>balances</w:t>
      </w:r>
      <w:r w:rsidR="000A5329" w:rsidRPr="002029AF">
        <w:t xml:space="preserve"> </w:t>
      </w:r>
      <w:r w:rsidRPr="002029AF">
        <w:t>reported</w:t>
      </w:r>
      <w:r w:rsidR="000A5329" w:rsidRPr="002029AF">
        <w:t xml:space="preserve"> </w:t>
      </w:r>
      <w:r w:rsidRPr="002029AF">
        <w:t>under</w:t>
      </w:r>
      <w:r w:rsidR="000A5329" w:rsidRPr="002029AF">
        <w:t xml:space="preserve"> </w:t>
      </w:r>
      <w:r w:rsidRPr="002029AF">
        <w:t>the</w:t>
      </w:r>
      <w:r w:rsidR="000A5329" w:rsidRPr="002029AF">
        <w:t xml:space="preserve"> </w:t>
      </w:r>
      <w:r w:rsidRPr="002029AF">
        <w:t>new</w:t>
      </w:r>
      <w:r w:rsidR="000A5329" w:rsidRPr="002029AF">
        <w:t xml:space="preserve"> </w:t>
      </w:r>
      <w:r w:rsidRPr="002029AF">
        <w:t>accounting</w:t>
      </w:r>
      <w:r w:rsidR="000A5329" w:rsidRPr="002029AF">
        <w:t xml:space="preserve"> </w:t>
      </w:r>
      <w:r w:rsidRPr="002029AF">
        <w:t>standard:</w:t>
      </w:r>
    </w:p>
    <w:tbl>
      <w:tblPr>
        <w:tblStyle w:val="TableGrid"/>
        <w:tblW w:w="9637" w:type="dxa"/>
        <w:tblLayout w:type="fixed"/>
        <w:tblLook w:val="06A0" w:firstRow="1" w:lastRow="0" w:firstColumn="1" w:lastColumn="0" w:noHBand="1" w:noVBand="1"/>
      </w:tblPr>
      <w:tblGrid>
        <w:gridCol w:w="2833"/>
        <w:gridCol w:w="1701"/>
        <w:gridCol w:w="1701"/>
        <w:gridCol w:w="1701"/>
        <w:gridCol w:w="1701"/>
      </w:tblGrid>
      <w:tr w:rsidR="00087B91" w:rsidRPr="002029AF" w14:paraId="4AD3B49E"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2835" w:type="dxa"/>
            <w:tcBorders>
              <w:bottom w:val="single" w:sz="4" w:space="0" w:color="auto"/>
            </w:tcBorders>
            <w:hideMark/>
          </w:tcPr>
          <w:p w14:paraId="7FF283A9" w14:textId="665742B7" w:rsidR="00087B91" w:rsidRPr="002029AF" w:rsidRDefault="00087B91" w:rsidP="00860E95">
            <w:pPr>
              <w:pStyle w:val="ARfintablecolhead"/>
            </w:pPr>
            <w:r w:rsidRPr="002029AF">
              <w:t>Balance</w:t>
            </w:r>
            <w:r w:rsidR="000A5329" w:rsidRPr="002029AF">
              <w:t xml:space="preserve"> </w:t>
            </w:r>
            <w:r w:rsidRPr="002029AF">
              <w:t>sheet</w:t>
            </w:r>
          </w:p>
        </w:tc>
        <w:tc>
          <w:tcPr>
            <w:tcW w:w="1701" w:type="dxa"/>
            <w:tcBorders>
              <w:bottom w:val="single" w:sz="4" w:space="0" w:color="auto"/>
            </w:tcBorders>
            <w:hideMark/>
          </w:tcPr>
          <w:p w14:paraId="15B1D997" w14:textId="77777777" w:rsidR="00087B91" w:rsidRPr="002029AF" w:rsidRDefault="00087B91" w:rsidP="00860E95">
            <w:pPr>
              <w:pStyle w:val="ARfintablecolheadright"/>
            </w:pPr>
            <w:r w:rsidRPr="002029AF">
              <w:t>Note</w:t>
            </w:r>
          </w:p>
        </w:tc>
        <w:tc>
          <w:tcPr>
            <w:tcW w:w="1701" w:type="dxa"/>
            <w:tcBorders>
              <w:bottom w:val="single" w:sz="4" w:space="0" w:color="auto"/>
            </w:tcBorders>
            <w:hideMark/>
          </w:tcPr>
          <w:p w14:paraId="62F53E9C" w14:textId="6722A9DF" w:rsidR="00087B91" w:rsidRPr="002029AF" w:rsidRDefault="00087B91" w:rsidP="00860E95">
            <w:pPr>
              <w:pStyle w:val="ARfintablecolheadright"/>
            </w:pPr>
            <w:r w:rsidRPr="002029AF">
              <w:t>Before</w:t>
            </w:r>
            <w:r w:rsidR="000A5329" w:rsidRPr="002029AF">
              <w:t xml:space="preserve"> </w:t>
            </w:r>
            <w:r w:rsidRPr="002029AF">
              <w:t>new</w:t>
            </w:r>
            <w:r w:rsidR="000A5329" w:rsidRPr="002029AF">
              <w:t xml:space="preserve"> </w:t>
            </w:r>
            <w:r w:rsidRPr="002029AF">
              <w:t>accounting</w:t>
            </w:r>
            <w:r w:rsidR="000A5329" w:rsidRPr="002029AF">
              <w:t xml:space="preserve"> </w:t>
            </w:r>
            <w:r w:rsidRPr="002029AF">
              <w:t>standards</w:t>
            </w:r>
            <w:r w:rsidR="000A5329" w:rsidRPr="002029AF">
              <w:t xml:space="preserve"> </w:t>
            </w:r>
            <w:r w:rsidRPr="002029AF">
              <w:br/>
              <w:t>30</w:t>
            </w:r>
            <w:r w:rsidR="000A5329" w:rsidRPr="002029AF">
              <w:t xml:space="preserve"> </w:t>
            </w:r>
            <w:r w:rsidRPr="002029AF">
              <w:t>June</w:t>
            </w:r>
            <w:r w:rsidR="000A5329" w:rsidRPr="002029AF">
              <w:t xml:space="preserve"> </w:t>
            </w:r>
            <w:r w:rsidRPr="002029AF">
              <w:t>2019</w:t>
            </w:r>
          </w:p>
          <w:p w14:paraId="756FCED2" w14:textId="77777777" w:rsidR="00087B91" w:rsidRPr="002029AF" w:rsidRDefault="00087B91" w:rsidP="00860E95">
            <w:pPr>
              <w:pStyle w:val="ARfintablecolheadright"/>
            </w:pPr>
            <w:r w:rsidRPr="002029AF">
              <w:t>$M</w:t>
            </w:r>
          </w:p>
        </w:tc>
        <w:tc>
          <w:tcPr>
            <w:tcW w:w="1701" w:type="dxa"/>
            <w:tcBorders>
              <w:bottom w:val="single" w:sz="4" w:space="0" w:color="auto"/>
            </w:tcBorders>
            <w:hideMark/>
          </w:tcPr>
          <w:p w14:paraId="5D5E3A8F" w14:textId="7BEAA959" w:rsidR="00087B91" w:rsidRPr="002029AF" w:rsidRDefault="00087B91" w:rsidP="00860E95">
            <w:pPr>
              <w:pStyle w:val="ARfintablecolheadright"/>
            </w:pPr>
            <w:r w:rsidRPr="002029AF">
              <w:t>Net</w:t>
            </w:r>
            <w:r w:rsidR="000A5329" w:rsidRPr="002029AF">
              <w:t xml:space="preserve"> </w:t>
            </w:r>
            <w:r w:rsidRPr="002029AF">
              <w:t>impact</w:t>
            </w:r>
            <w:r w:rsidR="000A5329" w:rsidRPr="002029AF">
              <w:t xml:space="preserve"> </w:t>
            </w:r>
            <w:r w:rsidRPr="002029AF">
              <w:t>of</w:t>
            </w:r>
            <w:r w:rsidR="000A5329" w:rsidRPr="002029AF">
              <w:t xml:space="preserve"> </w:t>
            </w:r>
            <w:r w:rsidRPr="002029AF">
              <w:t>AASB</w:t>
            </w:r>
            <w:r w:rsidR="000A5329" w:rsidRPr="002029AF">
              <w:t xml:space="preserve"> </w:t>
            </w:r>
            <w:r w:rsidRPr="002029AF">
              <w:t>1059</w:t>
            </w:r>
            <w:r w:rsidR="000A5329" w:rsidRPr="002029AF">
              <w:t xml:space="preserve"> </w:t>
            </w:r>
            <w:r w:rsidRPr="002029AF">
              <w:rPr>
                <w:rStyle w:val="Superscript"/>
              </w:rPr>
              <w:t>(i)</w:t>
            </w:r>
          </w:p>
          <w:p w14:paraId="02F96BED" w14:textId="77777777" w:rsidR="00087B91" w:rsidRPr="002029AF" w:rsidRDefault="00087B91" w:rsidP="00860E95">
            <w:pPr>
              <w:pStyle w:val="ARfintablecolheadright"/>
            </w:pPr>
            <w:r w:rsidRPr="002029AF">
              <w:t>$M</w:t>
            </w:r>
          </w:p>
        </w:tc>
        <w:tc>
          <w:tcPr>
            <w:tcW w:w="1701" w:type="dxa"/>
            <w:tcBorders>
              <w:bottom w:val="single" w:sz="4" w:space="0" w:color="auto"/>
            </w:tcBorders>
            <w:hideMark/>
          </w:tcPr>
          <w:p w14:paraId="35AE0CC2" w14:textId="37CBEDBF" w:rsidR="00087B91" w:rsidRPr="002029AF" w:rsidRDefault="00087B91" w:rsidP="00860E95">
            <w:pPr>
              <w:pStyle w:val="ARfintablecolheadright"/>
            </w:pPr>
            <w:r w:rsidRPr="002029AF">
              <w:t>After</w:t>
            </w:r>
            <w:r w:rsidR="000A5329" w:rsidRPr="002029AF">
              <w:t xml:space="preserve"> </w:t>
            </w:r>
            <w:r w:rsidRPr="002029AF">
              <w:t>new</w:t>
            </w:r>
            <w:r w:rsidR="000A5329" w:rsidRPr="002029AF">
              <w:t xml:space="preserve"> </w:t>
            </w:r>
            <w:r w:rsidRPr="002029AF">
              <w:t>accounting</w:t>
            </w:r>
            <w:r w:rsidR="000A5329" w:rsidRPr="002029AF">
              <w:t xml:space="preserve"> </w:t>
            </w:r>
            <w:r w:rsidRPr="002029AF">
              <w:t>standards</w:t>
            </w:r>
            <w:r w:rsidR="000A5329" w:rsidRPr="002029AF">
              <w:t xml:space="preserve"> </w:t>
            </w:r>
            <w:r w:rsidRPr="002029AF">
              <w:br/>
              <w:t>30</w:t>
            </w:r>
            <w:r w:rsidR="000A5329" w:rsidRPr="002029AF">
              <w:t xml:space="preserve"> </w:t>
            </w:r>
            <w:r w:rsidRPr="002029AF">
              <w:t>June</w:t>
            </w:r>
            <w:r w:rsidR="000A5329" w:rsidRPr="002029AF">
              <w:t xml:space="preserve"> </w:t>
            </w:r>
            <w:r w:rsidRPr="002029AF">
              <w:t>2019</w:t>
            </w:r>
          </w:p>
          <w:p w14:paraId="712C4804" w14:textId="77777777" w:rsidR="00087B91" w:rsidRPr="002029AF" w:rsidRDefault="00087B91" w:rsidP="00860E95">
            <w:pPr>
              <w:pStyle w:val="ARfintablecolheadright"/>
            </w:pPr>
            <w:r w:rsidRPr="002029AF">
              <w:t>$M</w:t>
            </w:r>
          </w:p>
        </w:tc>
      </w:tr>
      <w:tr w:rsidR="00087B91" w:rsidRPr="002029AF" w14:paraId="246D19AF" w14:textId="77777777" w:rsidTr="00860E95">
        <w:tc>
          <w:tcPr>
            <w:tcW w:w="2835" w:type="dxa"/>
            <w:tcBorders>
              <w:top w:val="single" w:sz="4" w:space="0" w:color="auto"/>
              <w:bottom w:val="single" w:sz="4" w:space="0" w:color="A6A6A6"/>
            </w:tcBorders>
            <w:hideMark/>
          </w:tcPr>
          <w:p w14:paraId="36C4F248" w14:textId="3617F12F" w:rsidR="00087B91" w:rsidRPr="002029AF" w:rsidRDefault="00087B91" w:rsidP="00860E95">
            <w:pPr>
              <w:pStyle w:val="ARfintablebody"/>
            </w:pPr>
            <w:r w:rsidRPr="002029AF">
              <w:t>Total</w:t>
            </w:r>
            <w:r w:rsidR="000A5329" w:rsidRPr="002029AF">
              <w:t xml:space="preserve"> </w:t>
            </w:r>
            <w:r w:rsidRPr="002029AF">
              <w:t>financial</w:t>
            </w:r>
            <w:r w:rsidR="000A5329" w:rsidRPr="002029AF">
              <w:t xml:space="preserve"> </w:t>
            </w:r>
            <w:r w:rsidRPr="002029AF">
              <w:t>assets</w:t>
            </w:r>
          </w:p>
        </w:tc>
        <w:tc>
          <w:tcPr>
            <w:tcW w:w="1701" w:type="dxa"/>
            <w:tcBorders>
              <w:top w:val="single" w:sz="4" w:space="0" w:color="auto"/>
              <w:bottom w:val="single" w:sz="4" w:space="0" w:color="A6A6A6"/>
            </w:tcBorders>
            <w:noWrap/>
            <w:hideMark/>
          </w:tcPr>
          <w:p w14:paraId="3C8F88AD" w14:textId="77777777" w:rsidR="00087B91" w:rsidRPr="002029AF" w:rsidRDefault="00087B91" w:rsidP="00860E95">
            <w:pPr>
              <w:pStyle w:val="ARfintablebodyright"/>
            </w:pPr>
            <w:r w:rsidRPr="002029AF">
              <w:t>7.5.3</w:t>
            </w:r>
          </w:p>
        </w:tc>
        <w:tc>
          <w:tcPr>
            <w:tcW w:w="1701" w:type="dxa"/>
            <w:tcBorders>
              <w:top w:val="single" w:sz="4" w:space="0" w:color="auto"/>
              <w:bottom w:val="single" w:sz="4" w:space="0" w:color="A6A6A6"/>
            </w:tcBorders>
            <w:noWrap/>
            <w:hideMark/>
          </w:tcPr>
          <w:p w14:paraId="697B2A7D" w14:textId="77777777" w:rsidR="00087B91" w:rsidRPr="002029AF" w:rsidRDefault="00087B91" w:rsidP="00860E95">
            <w:pPr>
              <w:pStyle w:val="ARfintablebodyright"/>
            </w:pPr>
            <w:r w:rsidRPr="002029AF">
              <w:t>4,364.6</w:t>
            </w:r>
          </w:p>
        </w:tc>
        <w:tc>
          <w:tcPr>
            <w:tcW w:w="1701" w:type="dxa"/>
            <w:tcBorders>
              <w:top w:val="single" w:sz="4" w:space="0" w:color="auto"/>
              <w:bottom w:val="single" w:sz="4" w:space="0" w:color="A6A6A6"/>
            </w:tcBorders>
            <w:noWrap/>
            <w:hideMark/>
          </w:tcPr>
          <w:p w14:paraId="3519EEDA" w14:textId="77777777" w:rsidR="00087B91" w:rsidRPr="002029AF" w:rsidRDefault="00087B91" w:rsidP="00860E95">
            <w:pPr>
              <w:pStyle w:val="ARfintablebodyright"/>
            </w:pPr>
            <w:r w:rsidRPr="002029AF">
              <w:t>–</w:t>
            </w:r>
          </w:p>
        </w:tc>
        <w:tc>
          <w:tcPr>
            <w:tcW w:w="1701" w:type="dxa"/>
            <w:tcBorders>
              <w:top w:val="single" w:sz="4" w:space="0" w:color="auto"/>
              <w:bottom w:val="single" w:sz="4" w:space="0" w:color="A6A6A6"/>
            </w:tcBorders>
            <w:noWrap/>
            <w:hideMark/>
          </w:tcPr>
          <w:p w14:paraId="3EECFB2F" w14:textId="77777777" w:rsidR="00087B91" w:rsidRPr="002029AF" w:rsidRDefault="00087B91" w:rsidP="00860E95">
            <w:pPr>
              <w:pStyle w:val="ARfintablebodyright"/>
            </w:pPr>
            <w:r w:rsidRPr="002029AF">
              <w:t>4,364.6</w:t>
            </w:r>
          </w:p>
        </w:tc>
      </w:tr>
      <w:tr w:rsidR="00087B91" w:rsidRPr="002029AF" w14:paraId="3077E5FE" w14:textId="77777777" w:rsidTr="00860E95">
        <w:tc>
          <w:tcPr>
            <w:tcW w:w="2835" w:type="dxa"/>
            <w:tcBorders>
              <w:top w:val="single" w:sz="4" w:space="0" w:color="A6A6A6"/>
              <w:bottom w:val="single" w:sz="4" w:space="0" w:color="A6A6A6"/>
            </w:tcBorders>
            <w:hideMark/>
          </w:tcPr>
          <w:p w14:paraId="087F1FBA" w14:textId="41F7618A" w:rsidR="00087B91" w:rsidRPr="002029AF" w:rsidRDefault="00087B91" w:rsidP="00860E95">
            <w:pPr>
              <w:pStyle w:val="ARfintablebody"/>
            </w:pPr>
            <w:r w:rsidRPr="002029AF">
              <w:t>Total</w:t>
            </w:r>
            <w:r w:rsidR="000A5329" w:rsidRPr="002029AF">
              <w:t xml:space="preserve"> </w:t>
            </w:r>
            <w:r w:rsidRPr="002029AF">
              <w:t>non-financial</w:t>
            </w:r>
            <w:r w:rsidR="000A5329" w:rsidRPr="002029AF">
              <w:t xml:space="preserve"> </w:t>
            </w:r>
            <w:r w:rsidRPr="002029AF">
              <w:t>assets</w:t>
            </w:r>
          </w:p>
        </w:tc>
        <w:tc>
          <w:tcPr>
            <w:tcW w:w="1701" w:type="dxa"/>
            <w:tcBorders>
              <w:top w:val="single" w:sz="4" w:space="0" w:color="A6A6A6"/>
              <w:bottom w:val="single" w:sz="4" w:space="0" w:color="A6A6A6"/>
            </w:tcBorders>
            <w:noWrap/>
            <w:hideMark/>
          </w:tcPr>
          <w:p w14:paraId="0FF0CB2F" w14:textId="77777777" w:rsidR="00087B91" w:rsidRPr="002029AF" w:rsidRDefault="00087B91" w:rsidP="00860E95">
            <w:pPr>
              <w:pStyle w:val="ARfintablebodyright"/>
            </w:pPr>
            <w:r w:rsidRPr="002029AF">
              <w:t>7.5.3</w:t>
            </w:r>
          </w:p>
        </w:tc>
        <w:tc>
          <w:tcPr>
            <w:tcW w:w="1701" w:type="dxa"/>
            <w:tcBorders>
              <w:top w:val="single" w:sz="4" w:space="0" w:color="A6A6A6"/>
              <w:bottom w:val="single" w:sz="4" w:space="0" w:color="A6A6A6"/>
            </w:tcBorders>
            <w:noWrap/>
            <w:hideMark/>
          </w:tcPr>
          <w:p w14:paraId="23AF8EC9" w14:textId="77777777" w:rsidR="00087B91" w:rsidRPr="002029AF" w:rsidRDefault="00087B91" w:rsidP="00860E95">
            <w:pPr>
              <w:pStyle w:val="ARfintablebodyright"/>
            </w:pPr>
            <w:r w:rsidRPr="002029AF">
              <w:t>29,007.8</w:t>
            </w:r>
          </w:p>
        </w:tc>
        <w:tc>
          <w:tcPr>
            <w:tcW w:w="1701" w:type="dxa"/>
            <w:tcBorders>
              <w:top w:val="single" w:sz="4" w:space="0" w:color="A6A6A6"/>
              <w:bottom w:val="single" w:sz="4" w:space="0" w:color="A6A6A6"/>
            </w:tcBorders>
            <w:noWrap/>
            <w:hideMark/>
          </w:tcPr>
          <w:p w14:paraId="21057E27" w14:textId="77777777" w:rsidR="00087B91" w:rsidRPr="002029AF" w:rsidRDefault="00087B91" w:rsidP="00860E95">
            <w:pPr>
              <w:pStyle w:val="ARfintablebodyright"/>
            </w:pPr>
            <w:r w:rsidRPr="002029AF">
              <w:t>–</w:t>
            </w:r>
          </w:p>
        </w:tc>
        <w:tc>
          <w:tcPr>
            <w:tcW w:w="1701" w:type="dxa"/>
            <w:tcBorders>
              <w:top w:val="single" w:sz="4" w:space="0" w:color="A6A6A6"/>
              <w:bottom w:val="single" w:sz="4" w:space="0" w:color="A6A6A6"/>
            </w:tcBorders>
            <w:noWrap/>
            <w:hideMark/>
          </w:tcPr>
          <w:p w14:paraId="6AC55C6E" w14:textId="77777777" w:rsidR="00087B91" w:rsidRPr="002029AF" w:rsidRDefault="00087B91" w:rsidP="00860E95">
            <w:pPr>
              <w:pStyle w:val="ARfintablebodyright"/>
            </w:pPr>
            <w:r w:rsidRPr="002029AF">
              <w:t>29,007.8</w:t>
            </w:r>
          </w:p>
        </w:tc>
      </w:tr>
      <w:tr w:rsidR="00087B91" w:rsidRPr="002029AF" w14:paraId="47E0921D" w14:textId="77777777" w:rsidTr="00860E95">
        <w:tc>
          <w:tcPr>
            <w:tcW w:w="2835" w:type="dxa"/>
            <w:tcBorders>
              <w:top w:val="single" w:sz="4" w:space="0" w:color="A6A6A6"/>
              <w:bottom w:val="single" w:sz="4" w:space="0" w:color="A6A6A6"/>
            </w:tcBorders>
            <w:hideMark/>
          </w:tcPr>
          <w:p w14:paraId="02BF08D6" w14:textId="3D7333EE" w:rsidR="00087B91" w:rsidRPr="002029AF" w:rsidRDefault="00087B91" w:rsidP="00860E95">
            <w:pPr>
              <w:pStyle w:val="ARfintablebodybold"/>
            </w:pPr>
            <w:r w:rsidRPr="002029AF">
              <w:t>Total</w:t>
            </w:r>
            <w:r w:rsidR="000A5329" w:rsidRPr="002029AF">
              <w:t xml:space="preserve"> </w:t>
            </w:r>
            <w:r w:rsidRPr="002029AF">
              <w:t>assets</w:t>
            </w:r>
          </w:p>
        </w:tc>
        <w:tc>
          <w:tcPr>
            <w:tcW w:w="1701" w:type="dxa"/>
            <w:tcBorders>
              <w:top w:val="single" w:sz="4" w:space="0" w:color="A6A6A6"/>
              <w:bottom w:val="single" w:sz="4" w:space="0" w:color="A6A6A6"/>
            </w:tcBorders>
            <w:noWrap/>
            <w:hideMark/>
          </w:tcPr>
          <w:p w14:paraId="75C298C2" w14:textId="77777777" w:rsidR="00087B91" w:rsidRPr="002029AF" w:rsidRDefault="00087B91" w:rsidP="00860E95">
            <w:pPr>
              <w:pStyle w:val="ARfintablebodyrightbold"/>
            </w:pPr>
          </w:p>
        </w:tc>
        <w:tc>
          <w:tcPr>
            <w:tcW w:w="1701" w:type="dxa"/>
            <w:tcBorders>
              <w:top w:val="single" w:sz="4" w:space="0" w:color="A6A6A6"/>
              <w:bottom w:val="single" w:sz="4" w:space="0" w:color="A6A6A6"/>
            </w:tcBorders>
            <w:noWrap/>
            <w:hideMark/>
          </w:tcPr>
          <w:p w14:paraId="456B5253" w14:textId="77777777" w:rsidR="00087B91" w:rsidRPr="002029AF" w:rsidRDefault="00087B91" w:rsidP="00860E95">
            <w:pPr>
              <w:pStyle w:val="ARfintablebodyrightbold"/>
            </w:pPr>
            <w:r w:rsidRPr="002029AF">
              <w:t>33,372.4</w:t>
            </w:r>
          </w:p>
        </w:tc>
        <w:tc>
          <w:tcPr>
            <w:tcW w:w="1701" w:type="dxa"/>
            <w:tcBorders>
              <w:top w:val="single" w:sz="4" w:space="0" w:color="A6A6A6"/>
              <w:bottom w:val="single" w:sz="4" w:space="0" w:color="A6A6A6"/>
            </w:tcBorders>
            <w:noWrap/>
            <w:hideMark/>
          </w:tcPr>
          <w:p w14:paraId="414210B2" w14:textId="77777777" w:rsidR="00087B91" w:rsidRPr="002029AF" w:rsidRDefault="00087B91" w:rsidP="00860E95">
            <w:pPr>
              <w:pStyle w:val="ARfintablebodyrightbold"/>
            </w:pPr>
            <w:r w:rsidRPr="002029AF">
              <w:t>–</w:t>
            </w:r>
          </w:p>
        </w:tc>
        <w:tc>
          <w:tcPr>
            <w:tcW w:w="1701" w:type="dxa"/>
            <w:tcBorders>
              <w:top w:val="single" w:sz="4" w:space="0" w:color="A6A6A6"/>
              <w:bottom w:val="single" w:sz="4" w:space="0" w:color="A6A6A6"/>
            </w:tcBorders>
            <w:noWrap/>
            <w:hideMark/>
          </w:tcPr>
          <w:p w14:paraId="1E874EA3" w14:textId="77777777" w:rsidR="00087B91" w:rsidRPr="002029AF" w:rsidRDefault="00087B91" w:rsidP="00860E95">
            <w:pPr>
              <w:pStyle w:val="ARfintablebodyrightbold"/>
            </w:pPr>
            <w:r w:rsidRPr="002029AF">
              <w:t>33,372.4</w:t>
            </w:r>
          </w:p>
        </w:tc>
      </w:tr>
      <w:tr w:rsidR="00087B91" w:rsidRPr="002029AF" w14:paraId="3ED107EF" w14:textId="77777777" w:rsidTr="00860E95">
        <w:tc>
          <w:tcPr>
            <w:tcW w:w="2835" w:type="dxa"/>
            <w:tcBorders>
              <w:top w:val="single" w:sz="4" w:space="0" w:color="A6A6A6"/>
              <w:bottom w:val="single" w:sz="4" w:space="0" w:color="A6A6A6"/>
            </w:tcBorders>
            <w:hideMark/>
          </w:tcPr>
          <w:p w14:paraId="0D5246A5" w14:textId="359CA886" w:rsidR="00087B91" w:rsidRPr="002029AF" w:rsidRDefault="00087B91" w:rsidP="00860E95">
            <w:pPr>
              <w:pStyle w:val="ARfintablebody"/>
            </w:pPr>
            <w:r w:rsidRPr="002029AF">
              <w:t>Payables</w:t>
            </w:r>
            <w:r w:rsidR="000A5329" w:rsidRPr="002029AF">
              <w:t xml:space="preserve"> </w:t>
            </w:r>
            <w:r w:rsidRPr="002029AF">
              <w:t>and</w:t>
            </w:r>
            <w:r w:rsidR="000A5329" w:rsidRPr="002029AF">
              <w:t xml:space="preserve"> </w:t>
            </w:r>
            <w:r w:rsidRPr="002029AF">
              <w:t>contract</w:t>
            </w:r>
            <w:r w:rsidR="000A5329" w:rsidRPr="002029AF">
              <w:t xml:space="preserve"> </w:t>
            </w:r>
            <w:r w:rsidRPr="002029AF">
              <w:t>liabilities</w:t>
            </w:r>
          </w:p>
        </w:tc>
        <w:tc>
          <w:tcPr>
            <w:tcW w:w="1701" w:type="dxa"/>
            <w:tcBorders>
              <w:top w:val="single" w:sz="4" w:space="0" w:color="A6A6A6"/>
              <w:bottom w:val="single" w:sz="4" w:space="0" w:color="A6A6A6"/>
            </w:tcBorders>
            <w:noWrap/>
            <w:hideMark/>
          </w:tcPr>
          <w:p w14:paraId="286CCED5" w14:textId="77777777" w:rsidR="00087B91" w:rsidRPr="002029AF" w:rsidRDefault="00087B91" w:rsidP="00860E95">
            <w:pPr>
              <w:pStyle w:val="ARfintablebodyright"/>
            </w:pPr>
            <w:r w:rsidRPr="002029AF">
              <w:t>7.5.3</w:t>
            </w:r>
          </w:p>
        </w:tc>
        <w:tc>
          <w:tcPr>
            <w:tcW w:w="1701" w:type="dxa"/>
            <w:tcBorders>
              <w:top w:val="single" w:sz="4" w:space="0" w:color="A6A6A6"/>
              <w:bottom w:val="single" w:sz="4" w:space="0" w:color="A6A6A6"/>
            </w:tcBorders>
            <w:noWrap/>
            <w:hideMark/>
          </w:tcPr>
          <w:p w14:paraId="71477F44" w14:textId="77777777" w:rsidR="00087B91" w:rsidRPr="002029AF" w:rsidRDefault="00087B91" w:rsidP="00860E95">
            <w:pPr>
              <w:pStyle w:val="ARfintablebodyright"/>
            </w:pPr>
            <w:r w:rsidRPr="002029AF">
              <w:t>1,513.7</w:t>
            </w:r>
          </w:p>
        </w:tc>
        <w:tc>
          <w:tcPr>
            <w:tcW w:w="1701" w:type="dxa"/>
            <w:tcBorders>
              <w:top w:val="single" w:sz="4" w:space="0" w:color="A6A6A6"/>
              <w:bottom w:val="single" w:sz="4" w:space="0" w:color="A6A6A6"/>
            </w:tcBorders>
            <w:noWrap/>
            <w:hideMark/>
          </w:tcPr>
          <w:p w14:paraId="5EEA5541" w14:textId="77777777" w:rsidR="00087B91" w:rsidRPr="002029AF" w:rsidRDefault="00087B91" w:rsidP="00860E95">
            <w:pPr>
              <w:pStyle w:val="ARfintablebodyright"/>
            </w:pPr>
            <w:r w:rsidRPr="002029AF">
              <w:t>–</w:t>
            </w:r>
          </w:p>
        </w:tc>
        <w:tc>
          <w:tcPr>
            <w:tcW w:w="1701" w:type="dxa"/>
            <w:tcBorders>
              <w:top w:val="single" w:sz="4" w:space="0" w:color="A6A6A6"/>
              <w:bottom w:val="single" w:sz="4" w:space="0" w:color="A6A6A6"/>
            </w:tcBorders>
            <w:noWrap/>
            <w:hideMark/>
          </w:tcPr>
          <w:p w14:paraId="5ED57AB3" w14:textId="77777777" w:rsidR="00087B91" w:rsidRPr="002029AF" w:rsidRDefault="00087B91" w:rsidP="00860E95">
            <w:pPr>
              <w:pStyle w:val="ARfintablebodyright"/>
            </w:pPr>
            <w:r w:rsidRPr="002029AF">
              <w:t>1,513.7</w:t>
            </w:r>
          </w:p>
        </w:tc>
      </w:tr>
      <w:tr w:rsidR="00087B91" w:rsidRPr="002029AF" w14:paraId="220DBF06" w14:textId="77777777" w:rsidTr="00860E95">
        <w:tc>
          <w:tcPr>
            <w:tcW w:w="2835" w:type="dxa"/>
            <w:tcBorders>
              <w:top w:val="single" w:sz="4" w:space="0" w:color="A6A6A6"/>
              <w:bottom w:val="single" w:sz="4" w:space="0" w:color="A6A6A6"/>
            </w:tcBorders>
            <w:hideMark/>
          </w:tcPr>
          <w:p w14:paraId="742A2CAB" w14:textId="77777777" w:rsidR="00087B91" w:rsidRPr="002029AF" w:rsidRDefault="00087B91" w:rsidP="00860E95">
            <w:pPr>
              <w:pStyle w:val="ARfintablebody"/>
            </w:pPr>
            <w:r w:rsidRPr="002029AF">
              <w:t>Borrowings</w:t>
            </w:r>
          </w:p>
        </w:tc>
        <w:tc>
          <w:tcPr>
            <w:tcW w:w="1701" w:type="dxa"/>
            <w:tcBorders>
              <w:top w:val="single" w:sz="4" w:space="0" w:color="A6A6A6"/>
              <w:bottom w:val="single" w:sz="4" w:space="0" w:color="A6A6A6"/>
            </w:tcBorders>
            <w:noWrap/>
            <w:hideMark/>
          </w:tcPr>
          <w:p w14:paraId="11009BF4" w14:textId="77777777" w:rsidR="00087B91" w:rsidRPr="002029AF" w:rsidRDefault="00087B91" w:rsidP="00860E95">
            <w:pPr>
              <w:pStyle w:val="ARfintablebodyright"/>
            </w:pPr>
            <w:r w:rsidRPr="002029AF">
              <w:t>7.5.3</w:t>
            </w:r>
          </w:p>
        </w:tc>
        <w:tc>
          <w:tcPr>
            <w:tcW w:w="1701" w:type="dxa"/>
            <w:tcBorders>
              <w:top w:val="single" w:sz="4" w:space="0" w:color="A6A6A6"/>
              <w:bottom w:val="single" w:sz="4" w:space="0" w:color="A6A6A6"/>
            </w:tcBorders>
            <w:noWrap/>
            <w:hideMark/>
          </w:tcPr>
          <w:p w14:paraId="5F6B8E9E" w14:textId="77777777" w:rsidR="00087B91" w:rsidRPr="002029AF" w:rsidRDefault="00087B91" w:rsidP="00860E95">
            <w:pPr>
              <w:pStyle w:val="ARfintablebodyright"/>
            </w:pPr>
            <w:r w:rsidRPr="002029AF">
              <w:t>112.8</w:t>
            </w:r>
          </w:p>
        </w:tc>
        <w:tc>
          <w:tcPr>
            <w:tcW w:w="1701" w:type="dxa"/>
            <w:tcBorders>
              <w:top w:val="single" w:sz="4" w:space="0" w:color="A6A6A6"/>
              <w:bottom w:val="single" w:sz="4" w:space="0" w:color="A6A6A6"/>
            </w:tcBorders>
            <w:noWrap/>
            <w:hideMark/>
          </w:tcPr>
          <w:p w14:paraId="3C4B3F55" w14:textId="77777777" w:rsidR="00087B91" w:rsidRPr="002029AF" w:rsidRDefault="00087B91" w:rsidP="00860E95">
            <w:pPr>
              <w:pStyle w:val="ARfintablebodyright"/>
            </w:pPr>
            <w:r w:rsidRPr="002029AF">
              <w:t>–</w:t>
            </w:r>
          </w:p>
        </w:tc>
        <w:tc>
          <w:tcPr>
            <w:tcW w:w="1701" w:type="dxa"/>
            <w:tcBorders>
              <w:top w:val="single" w:sz="4" w:space="0" w:color="A6A6A6"/>
              <w:bottom w:val="single" w:sz="4" w:space="0" w:color="A6A6A6"/>
            </w:tcBorders>
            <w:noWrap/>
            <w:hideMark/>
          </w:tcPr>
          <w:p w14:paraId="2DC963FD" w14:textId="77777777" w:rsidR="00087B91" w:rsidRPr="002029AF" w:rsidRDefault="00087B91" w:rsidP="00860E95">
            <w:pPr>
              <w:pStyle w:val="ARfintablebodyright"/>
            </w:pPr>
            <w:r w:rsidRPr="002029AF">
              <w:t>112.8</w:t>
            </w:r>
          </w:p>
        </w:tc>
      </w:tr>
      <w:tr w:rsidR="00087B91" w:rsidRPr="002029AF" w14:paraId="14450DCD" w14:textId="77777777" w:rsidTr="00860E95">
        <w:tc>
          <w:tcPr>
            <w:tcW w:w="2835" w:type="dxa"/>
            <w:tcBorders>
              <w:top w:val="single" w:sz="4" w:space="0" w:color="A6A6A6"/>
              <w:bottom w:val="single" w:sz="4" w:space="0" w:color="A6A6A6"/>
            </w:tcBorders>
            <w:hideMark/>
          </w:tcPr>
          <w:p w14:paraId="0466020E" w14:textId="72CEEE56" w:rsidR="00087B91" w:rsidRPr="002029AF" w:rsidRDefault="00087B91" w:rsidP="00860E95">
            <w:pPr>
              <w:pStyle w:val="ARfintablebody"/>
            </w:pPr>
            <w:r w:rsidRPr="002029AF">
              <w:t>Other</w:t>
            </w:r>
            <w:r w:rsidR="000A5329" w:rsidRPr="002029AF">
              <w:t xml:space="preserve"> </w:t>
            </w:r>
            <w:r w:rsidRPr="002029AF">
              <w:t>liabilities</w:t>
            </w:r>
          </w:p>
        </w:tc>
        <w:tc>
          <w:tcPr>
            <w:tcW w:w="1701" w:type="dxa"/>
            <w:tcBorders>
              <w:top w:val="single" w:sz="4" w:space="0" w:color="A6A6A6"/>
              <w:bottom w:val="single" w:sz="4" w:space="0" w:color="A6A6A6"/>
            </w:tcBorders>
            <w:noWrap/>
            <w:hideMark/>
          </w:tcPr>
          <w:p w14:paraId="58698164" w14:textId="77777777" w:rsidR="00087B91" w:rsidRPr="002029AF" w:rsidRDefault="00087B91" w:rsidP="00860E95">
            <w:pPr>
              <w:pStyle w:val="ARfintablebodyright"/>
            </w:pPr>
            <w:r w:rsidRPr="002029AF">
              <w:t>7.5.3</w:t>
            </w:r>
          </w:p>
        </w:tc>
        <w:tc>
          <w:tcPr>
            <w:tcW w:w="1701" w:type="dxa"/>
            <w:tcBorders>
              <w:top w:val="single" w:sz="4" w:space="0" w:color="A6A6A6"/>
              <w:bottom w:val="single" w:sz="4" w:space="0" w:color="A6A6A6"/>
            </w:tcBorders>
            <w:noWrap/>
            <w:hideMark/>
          </w:tcPr>
          <w:p w14:paraId="6295BCE8" w14:textId="77777777" w:rsidR="00087B91" w:rsidRPr="002029AF" w:rsidRDefault="00087B91" w:rsidP="00860E95">
            <w:pPr>
              <w:pStyle w:val="ARfintablebodyright"/>
            </w:pPr>
            <w:r w:rsidRPr="002029AF">
              <w:t>550.9</w:t>
            </w:r>
          </w:p>
        </w:tc>
        <w:tc>
          <w:tcPr>
            <w:tcW w:w="1701" w:type="dxa"/>
            <w:tcBorders>
              <w:top w:val="single" w:sz="4" w:space="0" w:color="A6A6A6"/>
              <w:bottom w:val="single" w:sz="4" w:space="0" w:color="A6A6A6"/>
            </w:tcBorders>
            <w:noWrap/>
            <w:hideMark/>
          </w:tcPr>
          <w:p w14:paraId="257CF97C" w14:textId="77777777" w:rsidR="00087B91" w:rsidRPr="002029AF" w:rsidRDefault="00087B91" w:rsidP="00860E95">
            <w:pPr>
              <w:pStyle w:val="ARfintablebodyright"/>
            </w:pPr>
            <w:r w:rsidRPr="002029AF">
              <w:t>–</w:t>
            </w:r>
          </w:p>
        </w:tc>
        <w:tc>
          <w:tcPr>
            <w:tcW w:w="1701" w:type="dxa"/>
            <w:tcBorders>
              <w:top w:val="single" w:sz="4" w:space="0" w:color="A6A6A6"/>
              <w:bottom w:val="single" w:sz="4" w:space="0" w:color="A6A6A6"/>
            </w:tcBorders>
            <w:noWrap/>
            <w:hideMark/>
          </w:tcPr>
          <w:p w14:paraId="467BBE6C" w14:textId="77777777" w:rsidR="00087B91" w:rsidRPr="002029AF" w:rsidRDefault="00087B91" w:rsidP="00860E95">
            <w:pPr>
              <w:pStyle w:val="ARfintablebodyright"/>
            </w:pPr>
            <w:r w:rsidRPr="002029AF">
              <w:t>550.9</w:t>
            </w:r>
          </w:p>
        </w:tc>
      </w:tr>
      <w:tr w:rsidR="00087B91" w:rsidRPr="002029AF" w14:paraId="0F4F2E7B" w14:textId="77777777" w:rsidTr="00860E95">
        <w:tc>
          <w:tcPr>
            <w:tcW w:w="2835" w:type="dxa"/>
            <w:tcBorders>
              <w:top w:val="single" w:sz="4" w:space="0" w:color="A6A6A6"/>
              <w:bottom w:val="single" w:sz="4" w:space="0" w:color="A6A6A6"/>
            </w:tcBorders>
            <w:hideMark/>
          </w:tcPr>
          <w:p w14:paraId="382F3FC6" w14:textId="4757DCE2" w:rsidR="00087B91" w:rsidRPr="002029AF" w:rsidRDefault="00087B91" w:rsidP="00860E95">
            <w:pPr>
              <w:pStyle w:val="ARfintablebodybold"/>
            </w:pPr>
            <w:r w:rsidRPr="002029AF">
              <w:t>Total</w:t>
            </w:r>
            <w:r w:rsidR="000A5329" w:rsidRPr="002029AF">
              <w:t xml:space="preserve"> </w:t>
            </w:r>
            <w:r w:rsidRPr="002029AF">
              <w:t>liabilities</w:t>
            </w:r>
          </w:p>
        </w:tc>
        <w:tc>
          <w:tcPr>
            <w:tcW w:w="1701" w:type="dxa"/>
            <w:tcBorders>
              <w:top w:val="single" w:sz="4" w:space="0" w:color="A6A6A6"/>
              <w:bottom w:val="single" w:sz="4" w:space="0" w:color="A6A6A6"/>
            </w:tcBorders>
            <w:noWrap/>
            <w:hideMark/>
          </w:tcPr>
          <w:p w14:paraId="07AE61A7" w14:textId="77777777" w:rsidR="00087B91" w:rsidRPr="002029AF" w:rsidRDefault="00087B91" w:rsidP="00860E95">
            <w:pPr>
              <w:pStyle w:val="ARfintablebodyrightbold"/>
            </w:pPr>
          </w:p>
        </w:tc>
        <w:tc>
          <w:tcPr>
            <w:tcW w:w="1701" w:type="dxa"/>
            <w:tcBorders>
              <w:top w:val="single" w:sz="4" w:space="0" w:color="A6A6A6"/>
              <w:bottom w:val="single" w:sz="4" w:space="0" w:color="A6A6A6"/>
            </w:tcBorders>
            <w:noWrap/>
            <w:hideMark/>
          </w:tcPr>
          <w:p w14:paraId="47E50B86" w14:textId="77777777" w:rsidR="00087B91" w:rsidRPr="002029AF" w:rsidRDefault="00087B91" w:rsidP="00860E95">
            <w:pPr>
              <w:pStyle w:val="ARfintablebodyrightbold"/>
            </w:pPr>
            <w:r w:rsidRPr="002029AF">
              <w:t>2,177.4</w:t>
            </w:r>
          </w:p>
        </w:tc>
        <w:tc>
          <w:tcPr>
            <w:tcW w:w="1701" w:type="dxa"/>
            <w:tcBorders>
              <w:top w:val="single" w:sz="4" w:space="0" w:color="A6A6A6"/>
              <w:bottom w:val="single" w:sz="4" w:space="0" w:color="A6A6A6"/>
            </w:tcBorders>
            <w:noWrap/>
            <w:hideMark/>
          </w:tcPr>
          <w:p w14:paraId="38F7F4F0" w14:textId="77777777" w:rsidR="00087B91" w:rsidRPr="002029AF" w:rsidRDefault="00087B91" w:rsidP="00860E95">
            <w:pPr>
              <w:pStyle w:val="ARfintablebodyrightbold"/>
            </w:pPr>
            <w:r w:rsidRPr="002029AF">
              <w:t>–</w:t>
            </w:r>
          </w:p>
        </w:tc>
        <w:tc>
          <w:tcPr>
            <w:tcW w:w="1701" w:type="dxa"/>
            <w:tcBorders>
              <w:top w:val="single" w:sz="4" w:space="0" w:color="A6A6A6"/>
              <w:bottom w:val="single" w:sz="4" w:space="0" w:color="A6A6A6"/>
            </w:tcBorders>
            <w:noWrap/>
            <w:hideMark/>
          </w:tcPr>
          <w:p w14:paraId="1B7C6C30" w14:textId="77777777" w:rsidR="00087B91" w:rsidRPr="002029AF" w:rsidRDefault="00087B91" w:rsidP="00860E95">
            <w:pPr>
              <w:pStyle w:val="ARfintablebodyrightbold"/>
            </w:pPr>
            <w:r w:rsidRPr="002029AF">
              <w:t>2,177.4</w:t>
            </w:r>
          </w:p>
        </w:tc>
      </w:tr>
      <w:tr w:rsidR="00087B91" w:rsidRPr="002029AF" w14:paraId="1321DB76" w14:textId="77777777" w:rsidTr="00860E95">
        <w:tc>
          <w:tcPr>
            <w:tcW w:w="2835" w:type="dxa"/>
            <w:tcBorders>
              <w:top w:val="single" w:sz="4" w:space="0" w:color="A6A6A6"/>
              <w:bottom w:val="single" w:sz="4" w:space="0" w:color="A6A6A6"/>
            </w:tcBorders>
            <w:hideMark/>
          </w:tcPr>
          <w:p w14:paraId="6BB6CB45" w14:textId="6F174D97" w:rsidR="00087B91" w:rsidRPr="002029AF" w:rsidRDefault="00087B91" w:rsidP="00860E95">
            <w:pPr>
              <w:pStyle w:val="ARfintablebody"/>
            </w:pPr>
            <w:r w:rsidRPr="002029AF">
              <w:t>Accumulated</w:t>
            </w:r>
            <w:r w:rsidR="000A5329" w:rsidRPr="002029AF">
              <w:t xml:space="preserve"> </w:t>
            </w:r>
            <w:r w:rsidRPr="002029AF">
              <w:t>surplus/(deficit)</w:t>
            </w:r>
          </w:p>
        </w:tc>
        <w:tc>
          <w:tcPr>
            <w:tcW w:w="1701" w:type="dxa"/>
            <w:tcBorders>
              <w:top w:val="single" w:sz="4" w:space="0" w:color="A6A6A6"/>
              <w:bottom w:val="single" w:sz="4" w:space="0" w:color="A6A6A6"/>
            </w:tcBorders>
            <w:noWrap/>
            <w:hideMark/>
          </w:tcPr>
          <w:p w14:paraId="5EA104CF" w14:textId="77777777" w:rsidR="00087B91" w:rsidRPr="002029AF" w:rsidRDefault="00087B91" w:rsidP="00860E95">
            <w:pPr>
              <w:pStyle w:val="ARfintablebodyright"/>
            </w:pPr>
            <w:r w:rsidRPr="002029AF">
              <w:t>7.5.3</w:t>
            </w:r>
          </w:p>
        </w:tc>
        <w:tc>
          <w:tcPr>
            <w:tcW w:w="1701" w:type="dxa"/>
            <w:tcBorders>
              <w:top w:val="single" w:sz="4" w:space="0" w:color="A6A6A6"/>
              <w:bottom w:val="single" w:sz="4" w:space="0" w:color="A6A6A6"/>
            </w:tcBorders>
            <w:noWrap/>
            <w:hideMark/>
          </w:tcPr>
          <w:p w14:paraId="62426505" w14:textId="77777777" w:rsidR="00087B91" w:rsidRPr="002029AF" w:rsidRDefault="00087B91" w:rsidP="00860E95">
            <w:pPr>
              <w:pStyle w:val="ARfintablebodyright"/>
            </w:pPr>
            <w:r w:rsidRPr="002029AF">
              <w:t>1,599.3</w:t>
            </w:r>
          </w:p>
        </w:tc>
        <w:tc>
          <w:tcPr>
            <w:tcW w:w="1701" w:type="dxa"/>
            <w:tcBorders>
              <w:top w:val="single" w:sz="4" w:space="0" w:color="A6A6A6"/>
              <w:bottom w:val="single" w:sz="4" w:space="0" w:color="A6A6A6"/>
            </w:tcBorders>
            <w:noWrap/>
            <w:hideMark/>
          </w:tcPr>
          <w:p w14:paraId="282A5945" w14:textId="77777777" w:rsidR="00087B91" w:rsidRPr="002029AF" w:rsidRDefault="00087B91" w:rsidP="00860E95">
            <w:pPr>
              <w:pStyle w:val="ARfintablebodyright"/>
            </w:pPr>
            <w:r w:rsidRPr="002029AF">
              <w:t>–</w:t>
            </w:r>
          </w:p>
        </w:tc>
        <w:tc>
          <w:tcPr>
            <w:tcW w:w="1701" w:type="dxa"/>
            <w:tcBorders>
              <w:top w:val="single" w:sz="4" w:space="0" w:color="A6A6A6"/>
              <w:bottom w:val="single" w:sz="4" w:space="0" w:color="A6A6A6"/>
            </w:tcBorders>
            <w:noWrap/>
            <w:hideMark/>
          </w:tcPr>
          <w:p w14:paraId="7BAF677B" w14:textId="77777777" w:rsidR="00087B91" w:rsidRPr="002029AF" w:rsidRDefault="00087B91" w:rsidP="00860E95">
            <w:pPr>
              <w:pStyle w:val="ARfintablebodyright"/>
            </w:pPr>
            <w:r w:rsidRPr="002029AF">
              <w:t>1,599.3</w:t>
            </w:r>
          </w:p>
        </w:tc>
      </w:tr>
      <w:tr w:rsidR="00087B91" w:rsidRPr="002029AF" w14:paraId="3ACC82A8" w14:textId="77777777" w:rsidTr="00860E95">
        <w:tc>
          <w:tcPr>
            <w:tcW w:w="2835" w:type="dxa"/>
            <w:tcBorders>
              <w:top w:val="single" w:sz="4" w:space="0" w:color="A6A6A6"/>
              <w:bottom w:val="single" w:sz="4" w:space="0" w:color="A6A6A6"/>
            </w:tcBorders>
            <w:hideMark/>
          </w:tcPr>
          <w:p w14:paraId="14ED086C" w14:textId="59B8CEC3" w:rsidR="00087B91" w:rsidRPr="002029AF" w:rsidRDefault="00087B91" w:rsidP="00860E95">
            <w:pPr>
              <w:pStyle w:val="ARfintablebody"/>
            </w:pPr>
            <w:r w:rsidRPr="002029AF">
              <w:t>Physical</w:t>
            </w:r>
            <w:r w:rsidR="000A5329" w:rsidRPr="002029AF">
              <w:t xml:space="preserve"> </w:t>
            </w:r>
            <w:r w:rsidRPr="002029AF">
              <w:t>asset</w:t>
            </w:r>
            <w:r w:rsidR="000A5329" w:rsidRPr="002029AF">
              <w:t xml:space="preserve"> </w:t>
            </w:r>
            <w:r w:rsidRPr="002029AF">
              <w:t>revaluation</w:t>
            </w:r>
            <w:r w:rsidR="000A5329" w:rsidRPr="002029AF">
              <w:t xml:space="preserve"> </w:t>
            </w:r>
            <w:r w:rsidRPr="002029AF">
              <w:t>surplus</w:t>
            </w:r>
          </w:p>
        </w:tc>
        <w:tc>
          <w:tcPr>
            <w:tcW w:w="1701" w:type="dxa"/>
            <w:tcBorders>
              <w:top w:val="single" w:sz="4" w:space="0" w:color="A6A6A6"/>
              <w:bottom w:val="single" w:sz="4" w:space="0" w:color="A6A6A6"/>
            </w:tcBorders>
            <w:noWrap/>
            <w:hideMark/>
          </w:tcPr>
          <w:p w14:paraId="6468E6CE" w14:textId="77777777" w:rsidR="00087B91" w:rsidRPr="002029AF" w:rsidRDefault="00087B91" w:rsidP="00860E95">
            <w:pPr>
              <w:pStyle w:val="ARfintablebodyright"/>
            </w:pPr>
            <w:r w:rsidRPr="002029AF">
              <w:t>7.5.3</w:t>
            </w:r>
          </w:p>
        </w:tc>
        <w:tc>
          <w:tcPr>
            <w:tcW w:w="1701" w:type="dxa"/>
            <w:tcBorders>
              <w:top w:val="single" w:sz="4" w:space="0" w:color="A6A6A6"/>
              <w:bottom w:val="single" w:sz="4" w:space="0" w:color="A6A6A6"/>
            </w:tcBorders>
            <w:noWrap/>
            <w:hideMark/>
          </w:tcPr>
          <w:p w14:paraId="276B694B" w14:textId="77777777" w:rsidR="00087B91" w:rsidRPr="002029AF" w:rsidRDefault="00087B91" w:rsidP="00860E95">
            <w:pPr>
              <w:pStyle w:val="ARfintablebodyright"/>
            </w:pPr>
            <w:r w:rsidRPr="002029AF">
              <w:t>7,396.4</w:t>
            </w:r>
          </w:p>
        </w:tc>
        <w:tc>
          <w:tcPr>
            <w:tcW w:w="1701" w:type="dxa"/>
            <w:tcBorders>
              <w:top w:val="single" w:sz="4" w:space="0" w:color="A6A6A6"/>
              <w:bottom w:val="single" w:sz="4" w:space="0" w:color="A6A6A6"/>
            </w:tcBorders>
            <w:noWrap/>
            <w:hideMark/>
          </w:tcPr>
          <w:p w14:paraId="5EB330C5" w14:textId="77777777" w:rsidR="00087B91" w:rsidRPr="002029AF" w:rsidRDefault="00087B91" w:rsidP="00860E95">
            <w:pPr>
              <w:pStyle w:val="ARfintablebodyright"/>
            </w:pPr>
            <w:r w:rsidRPr="002029AF">
              <w:t>–</w:t>
            </w:r>
          </w:p>
        </w:tc>
        <w:tc>
          <w:tcPr>
            <w:tcW w:w="1701" w:type="dxa"/>
            <w:tcBorders>
              <w:top w:val="single" w:sz="4" w:space="0" w:color="A6A6A6"/>
              <w:bottom w:val="single" w:sz="4" w:space="0" w:color="A6A6A6"/>
            </w:tcBorders>
            <w:noWrap/>
            <w:hideMark/>
          </w:tcPr>
          <w:p w14:paraId="1B62DD32" w14:textId="77777777" w:rsidR="00087B91" w:rsidRPr="002029AF" w:rsidRDefault="00087B91" w:rsidP="00860E95">
            <w:pPr>
              <w:pStyle w:val="ARfintablebodyright"/>
            </w:pPr>
            <w:r w:rsidRPr="002029AF">
              <w:t>7,396.4</w:t>
            </w:r>
          </w:p>
        </w:tc>
      </w:tr>
      <w:tr w:rsidR="00087B91" w:rsidRPr="002029AF" w14:paraId="665092C9" w14:textId="77777777" w:rsidTr="00860E95">
        <w:tc>
          <w:tcPr>
            <w:tcW w:w="2835" w:type="dxa"/>
            <w:tcBorders>
              <w:top w:val="single" w:sz="4" w:space="0" w:color="A6A6A6"/>
            </w:tcBorders>
            <w:hideMark/>
          </w:tcPr>
          <w:p w14:paraId="52BD4969" w14:textId="20266C15" w:rsidR="00087B91" w:rsidRPr="002029AF" w:rsidRDefault="00087B91" w:rsidP="00860E95">
            <w:pPr>
              <w:pStyle w:val="ARfintablebody"/>
            </w:pPr>
            <w:r w:rsidRPr="002029AF">
              <w:t>Other</w:t>
            </w:r>
            <w:r w:rsidR="000A5329" w:rsidRPr="002029AF">
              <w:t xml:space="preserve"> </w:t>
            </w:r>
            <w:r w:rsidRPr="002029AF">
              <w:t>items</w:t>
            </w:r>
            <w:r w:rsidR="000A5329" w:rsidRPr="002029AF">
              <w:t xml:space="preserve"> </w:t>
            </w:r>
            <w:r w:rsidRPr="002029AF">
              <w:t>in</w:t>
            </w:r>
            <w:r w:rsidR="000A5329" w:rsidRPr="002029AF">
              <w:t xml:space="preserve"> </w:t>
            </w:r>
            <w:r w:rsidRPr="002029AF">
              <w:t>equity</w:t>
            </w:r>
          </w:p>
        </w:tc>
        <w:tc>
          <w:tcPr>
            <w:tcW w:w="1701" w:type="dxa"/>
            <w:tcBorders>
              <w:top w:val="single" w:sz="4" w:space="0" w:color="A6A6A6"/>
            </w:tcBorders>
            <w:noWrap/>
            <w:hideMark/>
          </w:tcPr>
          <w:p w14:paraId="42B62DF1" w14:textId="77777777" w:rsidR="00087B91" w:rsidRPr="002029AF" w:rsidRDefault="00087B91" w:rsidP="00860E95">
            <w:pPr>
              <w:pStyle w:val="ARfintablebodyright"/>
            </w:pPr>
            <w:r w:rsidRPr="002029AF">
              <w:t>7.5.3</w:t>
            </w:r>
          </w:p>
        </w:tc>
        <w:tc>
          <w:tcPr>
            <w:tcW w:w="1701" w:type="dxa"/>
            <w:tcBorders>
              <w:top w:val="single" w:sz="4" w:space="0" w:color="A6A6A6"/>
            </w:tcBorders>
            <w:noWrap/>
            <w:hideMark/>
          </w:tcPr>
          <w:p w14:paraId="620D467F" w14:textId="77777777" w:rsidR="00087B91" w:rsidRPr="002029AF" w:rsidRDefault="00087B91" w:rsidP="00860E95">
            <w:pPr>
              <w:pStyle w:val="ARfintablebodyright"/>
            </w:pPr>
            <w:r w:rsidRPr="002029AF">
              <w:t>22,199.3</w:t>
            </w:r>
          </w:p>
        </w:tc>
        <w:tc>
          <w:tcPr>
            <w:tcW w:w="1701" w:type="dxa"/>
            <w:tcBorders>
              <w:top w:val="single" w:sz="4" w:space="0" w:color="A6A6A6"/>
            </w:tcBorders>
            <w:noWrap/>
            <w:hideMark/>
          </w:tcPr>
          <w:p w14:paraId="32566F12" w14:textId="77777777" w:rsidR="00087B91" w:rsidRPr="002029AF" w:rsidRDefault="00087B91" w:rsidP="00860E95">
            <w:pPr>
              <w:pStyle w:val="ARfintablebodyright"/>
            </w:pPr>
            <w:r w:rsidRPr="002029AF">
              <w:t>–</w:t>
            </w:r>
          </w:p>
        </w:tc>
        <w:tc>
          <w:tcPr>
            <w:tcW w:w="1701" w:type="dxa"/>
            <w:tcBorders>
              <w:top w:val="single" w:sz="4" w:space="0" w:color="A6A6A6"/>
            </w:tcBorders>
            <w:noWrap/>
            <w:hideMark/>
          </w:tcPr>
          <w:p w14:paraId="38EFE5D3" w14:textId="77777777" w:rsidR="00087B91" w:rsidRPr="002029AF" w:rsidRDefault="00087B91" w:rsidP="00860E95">
            <w:pPr>
              <w:pStyle w:val="ARfintablebodyright"/>
            </w:pPr>
            <w:r w:rsidRPr="002029AF">
              <w:t>22,199.3</w:t>
            </w:r>
          </w:p>
        </w:tc>
      </w:tr>
      <w:tr w:rsidR="00087B91" w:rsidRPr="002029AF" w14:paraId="7C5086C0" w14:textId="77777777" w:rsidTr="00860E95">
        <w:tc>
          <w:tcPr>
            <w:tcW w:w="2835" w:type="dxa"/>
            <w:hideMark/>
          </w:tcPr>
          <w:p w14:paraId="3C1C1FA2" w14:textId="7A45BA99" w:rsidR="00087B91" w:rsidRPr="002029AF" w:rsidRDefault="00087B91" w:rsidP="00860E95">
            <w:pPr>
              <w:pStyle w:val="ARfintablebodybold"/>
            </w:pPr>
            <w:r w:rsidRPr="002029AF">
              <w:t>Total</w:t>
            </w:r>
            <w:r w:rsidR="000A5329" w:rsidRPr="002029AF">
              <w:t xml:space="preserve"> </w:t>
            </w:r>
            <w:r w:rsidRPr="002029AF">
              <w:t>equity</w:t>
            </w:r>
          </w:p>
        </w:tc>
        <w:tc>
          <w:tcPr>
            <w:tcW w:w="1701" w:type="dxa"/>
            <w:noWrap/>
            <w:hideMark/>
          </w:tcPr>
          <w:p w14:paraId="1DF651EF" w14:textId="77777777" w:rsidR="00087B91" w:rsidRPr="002029AF" w:rsidRDefault="00087B91" w:rsidP="00860E95">
            <w:pPr>
              <w:pStyle w:val="ARfintablebodyrightbold"/>
            </w:pPr>
          </w:p>
        </w:tc>
        <w:tc>
          <w:tcPr>
            <w:tcW w:w="1701" w:type="dxa"/>
            <w:noWrap/>
            <w:hideMark/>
          </w:tcPr>
          <w:p w14:paraId="0DB20DA0" w14:textId="77777777" w:rsidR="00087B91" w:rsidRPr="002029AF" w:rsidRDefault="00087B91" w:rsidP="00860E95">
            <w:pPr>
              <w:pStyle w:val="ARfintablebodyrightbold"/>
            </w:pPr>
            <w:r w:rsidRPr="002029AF">
              <w:t>31,195.0</w:t>
            </w:r>
          </w:p>
        </w:tc>
        <w:tc>
          <w:tcPr>
            <w:tcW w:w="1701" w:type="dxa"/>
            <w:noWrap/>
            <w:hideMark/>
          </w:tcPr>
          <w:p w14:paraId="02C177C3" w14:textId="77777777" w:rsidR="00087B91" w:rsidRPr="002029AF" w:rsidRDefault="00087B91" w:rsidP="00860E95">
            <w:pPr>
              <w:pStyle w:val="ARfintablebodyrightbold"/>
            </w:pPr>
            <w:r w:rsidRPr="002029AF">
              <w:t>–</w:t>
            </w:r>
          </w:p>
        </w:tc>
        <w:tc>
          <w:tcPr>
            <w:tcW w:w="1701" w:type="dxa"/>
            <w:noWrap/>
            <w:hideMark/>
          </w:tcPr>
          <w:p w14:paraId="531C3600" w14:textId="77777777" w:rsidR="00087B91" w:rsidRPr="002029AF" w:rsidRDefault="00087B91" w:rsidP="00860E95">
            <w:pPr>
              <w:pStyle w:val="ARfintablebodyrightbold"/>
            </w:pPr>
            <w:r w:rsidRPr="002029AF">
              <w:t>31,195.0</w:t>
            </w:r>
          </w:p>
        </w:tc>
      </w:tr>
    </w:tbl>
    <w:p w14:paraId="384E620C" w14:textId="77777777" w:rsidR="00087B91" w:rsidRPr="002029AF" w:rsidRDefault="00087B91" w:rsidP="00087B91">
      <w:pPr>
        <w:pStyle w:val="ARfintablefootnote"/>
        <w:rPr>
          <w:lang w:eastAsia="en-AU"/>
        </w:rPr>
      </w:pPr>
      <w:r w:rsidRPr="002029AF">
        <w:rPr>
          <w:lang w:eastAsia="en-AU"/>
        </w:rPr>
        <w:t>Note:</w:t>
      </w:r>
    </w:p>
    <w:p w14:paraId="32142839" w14:textId="618CAF63" w:rsidR="00087B91" w:rsidRPr="002029AF" w:rsidRDefault="00087B91" w:rsidP="00087B91">
      <w:pPr>
        <w:pStyle w:val="ARfintablefootnoteindent"/>
      </w:pPr>
      <w:r w:rsidRPr="002029AF">
        <w:t>(i)</w:t>
      </w:r>
      <w:r w:rsidRPr="002029AF">
        <w:tab/>
        <w:t>Where</w:t>
      </w:r>
      <w:r w:rsidR="000A5329" w:rsidRPr="002029AF">
        <w:t xml:space="preserve"> </w:t>
      </w:r>
      <w:r w:rsidRPr="002029AF">
        <w:t>only</w:t>
      </w:r>
      <w:r w:rsidR="000A5329" w:rsidRPr="002029AF">
        <w:t xml:space="preserve"> </w:t>
      </w:r>
      <w:r w:rsidRPr="002029AF">
        <w:t>line</w:t>
      </w:r>
      <w:r w:rsidR="000A5329" w:rsidRPr="002029AF">
        <w:t xml:space="preserve"> </w:t>
      </w:r>
      <w:r w:rsidRPr="002029AF">
        <w:t>items</w:t>
      </w:r>
      <w:r w:rsidR="000A5329" w:rsidRPr="002029AF">
        <w:t xml:space="preserve"> </w:t>
      </w:r>
      <w:r w:rsidRPr="002029AF">
        <w:t>have</w:t>
      </w:r>
      <w:r w:rsidR="000A5329" w:rsidRPr="002029AF">
        <w:t xml:space="preserve"> </w:t>
      </w:r>
      <w:r w:rsidRPr="002029AF">
        <w:t>been</w:t>
      </w:r>
      <w:r w:rsidR="000A5329" w:rsidRPr="002029AF">
        <w:t xml:space="preserve"> </w:t>
      </w:r>
      <w:r w:rsidRPr="002029AF">
        <w:t>reclassified</w:t>
      </w:r>
      <w:r w:rsidR="000A5329" w:rsidRPr="002029AF">
        <w:t xml:space="preserve"> </w:t>
      </w:r>
      <w:r w:rsidRPr="002029AF">
        <w:t>with</w:t>
      </w:r>
      <w:r w:rsidR="000A5329" w:rsidRPr="002029AF">
        <w:t xml:space="preserve"> </w:t>
      </w:r>
      <w:r w:rsidRPr="002029AF">
        <w:t>no</w:t>
      </w:r>
      <w:r w:rsidR="000A5329" w:rsidRPr="002029AF">
        <w:t xml:space="preserve"> </w:t>
      </w:r>
      <w:r w:rsidRPr="002029AF">
        <w:t>adjustment</w:t>
      </w:r>
      <w:r w:rsidR="000A5329" w:rsidRPr="002029AF">
        <w:t xml:space="preserve"> </w:t>
      </w:r>
      <w:r w:rsidRPr="002029AF">
        <w:t>to</w:t>
      </w:r>
      <w:r w:rsidR="000A5329" w:rsidRPr="002029AF">
        <w:t xml:space="preserve"> </w:t>
      </w:r>
      <w:r w:rsidRPr="002029AF">
        <w:t>figures</w:t>
      </w:r>
      <w:r w:rsidR="000A5329" w:rsidRPr="002029AF">
        <w:t xml:space="preserve"> </w:t>
      </w:r>
      <w:r w:rsidRPr="002029AF">
        <w:t>previously</w:t>
      </w:r>
      <w:r w:rsidR="000A5329" w:rsidRPr="002029AF">
        <w:t xml:space="preserve"> </w:t>
      </w:r>
      <w:r w:rsidRPr="002029AF">
        <w:t>recognised,</w:t>
      </w:r>
      <w:r w:rsidR="000A5329" w:rsidRPr="002029AF">
        <w:t xml:space="preserve"> </w:t>
      </w:r>
      <w:r w:rsidRPr="002029AF">
        <w:t>these</w:t>
      </w:r>
      <w:r w:rsidR="000A5329" w:rsidRPr="002029AF">
        <w:t xml:space="preserve"> </w:t>
      </w:r>
      <w:r w:rsidRPr="002029AF">
        <w:t>amounts</w:t>
      </w:r>
      <w:r w:rsidR="000A5329" w:rsidRPr="002029AF">
        <w:t xml:space="preserve"> </w:t>
      </w:r>
      <w:r w:rsidRPr="002029AF">
        <w:t>have</w:t>
      </w:r>
      <w:r w:rsidR="000A5329" w:rsidRPr="002029AF">
        <w:t xml:space="preserve"> </w:t>
      </w:r>
      <w:r w:rsidRPr="002029AF">
        <w:t>not</w:t>
      </w:r>
      <w:r w:rsidR="000A5329" w:rsidRPr="002029AF">
        <w:t xml:space="preserve"> </w:t>
      </w:r>
      <w:r w:rsidRPr="002029AF">
        <w:t>been</w:t>
      </w:r>
      <w:r w:rsidR="000A5329" w:rsidRPr="002029AF">
        <w:t xml:space="preserve"> </w:t>
      </w:r>
      <w:r w:rsidRPr="002029AF">
        <w:t>included</w:t>
      </w:r>
      <w:r w:rsidR="000A5329" w:rsidRPr="002029AF">
        <w:t xml:space="preserve"> </w:t>
      </w:r>
      <w:r w:rsidRPr="002029AF">
        <w:t>in</w:t>
      </w:r>
      <w:r w:rsidR="000A5329" w:rsidRPr="002029AF">
        <w:t xml:space="preserve"> </w:t>
      </w:r>
      <w:r w:rsidRPr="002029AF">
        <w:t>net</w:t>
      </w:r>
      <w:r w:rsidR="000A5329" w:rsidRPr="002029AF">
        <w:t xml:space="preserve"> </w:t>
      </w:r>
      <w:r w:rsidRPr="002029AF">
        <w:t>impact.</w:t>
      </w:r>
    </w:p>
    <w:p w14:paraId="4A57DF95" w14:textId="3EDA178C" w:rsidR="00087B91" w:rsidRPr="002029AF" w:rsidRDefault="00087B91" w:rsidP="00087B91">
      <w:pPr>
        <w:pStyle w:val="ARfinbodyaftertable"/>
      </w:pPr>
      <w:r w:rsidRPr="002029AF">
        <w:t>Impact</w:t>
      </w:r>
      <w:r w:rsidR="000A5329" w:rsidRPr="002029AF">
        <w:t xml:space="preserve"> </w:t>
      </w:r>
      <w:r w:rsidRPr="002029AF">
        <w:t>on</w:t>
      </w:r>
      <w:r w:rsidR="000A5329" w:rsidRPr="002029AF">
        <w:t xml:space="preserve"> </w:t>
      </w:r>
      <w:r w:rsidRPr="002029AF">
        <w:t>balance</w:t>
      </w:r>
      <w:r w:rsidR="000A5329" w:rsidRPr="002029AF">
        <w:t xml:space="preserve"> </w:t>
      </w:r>
      <w:r w:rsidRPr="002029AF">
        <w:t>sheet</w:t>
      </w:r>
      <w:r w:rsidR="000A5329" w:rsidRPr="002029AF">
        <w:t xml:space="preserve"> </w:t>
      </w:r>
      <w:r w:rsidRPr="002029AF">
        <w:t>due</w:t>
      </w:r>
      <w:r w:rsidR="000A5329" w:rsidRPr="002029AF">
        <w:t xml:space="preserve"> </w:t>
      </w:r>
      <w:r w:rsidRPr="002029AF">
        <w:t>to</w:t>
      </w:r>
      <w:r w:rsidR="000A5329" w:rsidRPr="002029AF">
        <w:t xml:space="preserve"> </w:t>
      </w:r>
      <w:r w:rsidRPr="002029AF">
        <w:t>the</w:t>
      </w:r>
      <w:r w:rsidR="000A5329" w:rsidRPr="002029AF">
        <w:t xml:space="preserve"> </w:t>
      </w:r>
      <w:r w:rsidRPr="002029AF">
        <w:t>adoption</w:t>
      </w:r>
      <w:r w:rsidR="000A5329" w:rsidRPr="002029AF">
        <w:t xml:space="preserve"> </w:t>
      </w:r>
      <w:r w:rsidRPr="002029AF">
        <w:t>of</w:t>
      </w:r>
      <w:r w:rsidR="000A5329" w:rsidRPr="002029AF">
        <w:t xml:space="preserve"> </w:t>
      </w:r>
      <w:r w:rsidRPr="002029AF">
        <w:t>AASB</w:t>
      </w:r>
      <w:r w:rsidR="000A5329" w:rsidRPr="002029AF">
        <w:t xml:space="preserve"> </w:t>
      </w:r>
      <w:r w:rsidRPr="002029AF">
        <w:t>15,</w:t>
      </w:r>
      <w:r w:rsidR="000A5329" w:rsidRPr="002029AF">
        <w:t xml:space="preserve"> </w:t>
      </w:r>
      <w:r w:rsidRPr="002029AF">
        <w:t>AASB</w:t>
      </w:r>
      <w:r w:rsidR="000A5329" w:rsidRPr="002029AF">
        <w:t xml:space="preserve"> </w:t>
      </w:r>
      <w:r w:rsidRPr="002029AF">
        <w:t>1058</w:t>
      </w:r>
      <w:r w:rsidR="000A5329" w:rsidRPr="002029AF">
        <w:t xml:space="preserve"> </w:t>
      </w:r>
      <w:r w:rsidRPr="002029AF">
        <w:t>and</w:t>
      </w:r>
      <w:r w:rsidR="000A5329" w:rsidRPr="002029AF">
        <w:t xml:space="preserve"> </w:t>
      </w:r>
      <w:r w:rsidRPr="002029AF">
        <w:t>AASB</w:t>
      </w:r>
      <w:r w:rsidR="000A5329" w:rsidRPr="002029AF">
        <w:t xml:space="preserve"> </w:t>
      </w:r>
      <w:r w:rsidRPr="002029AF">
        <w:t>16</w:t>
      </w:r>
      <w:r w:rsidR="000A5329" w:rsidRPr="002029AF">
        <w:t xml:space="preserve"> </w:t>
      </w:r>
      <w:r w:rsidRPr="002029AF">
        <w:t>is</w:t>
      </w:r>
      <w:r w:rsidR="000A5329" w:rsidRPr="002029AF">
        <w:t xml:space="preserve"> </w:t>
      </w:r>
      <w:r w:rsidRPr="002029AF">
        <w:t>illustrated</w:t>
      </w:r>
      <w:r w:rsidR="000A5329" w:rsidRPr="002029AF">
        <w:t xml:space="preserve"> </w:t>
      </w:r>
      <w:r w:rsidRPr="002029AF">
        <w:t>with</w:t>
      </w:r>
      <w:r w:rsidR="000A5329" w:rsidRPr="002029AF">
        <w:t xml:space="preserve"> </w:t>
      </w:r>
      <w:r w:rsidRPr="002029AF">
        <w:t>the</w:t>
      </w:r>
      <w:r w:rsidR="000A5329" w:rsidRPr="002029AF">
        <w:t xml:space="preserve"> </w:t>
      </w:r>
      <w:r w:rsidRPr="002029AF">
        <w:t>following</w:t>
      </w:r>
      <w:r w:rsidR="000A5329" w:rsidRPr="002029AF">
        <w:t xml:space="preserve"> </w:t>
      </w:r>
      <w:r w:rsidRPr="002029AF">
        <w:t>reconciliation</w:t>
      </w:r>
      <w:r w:rsidR="000A5329" w:rsidRPr="002029AF">
        <w:t xml:space="preserve"> </w:t>
      </w:r>
      <w:r w:rsidRPr="002029AF">
        <w:t>between</w:t>
      </w:r>
      <w:r w:rsidR="000A5329" w:rsidRPr="002029AF">
        <w:t xml:space="preserve"> </w:t>
      </w:r>
      <w:r w:rsidRPr="002029AF">
        <w:t>the</w:t>
      </w:r>
      <w:r w:rsidR="000A5329" w:rsidRPr="002029AF">
        <w:t xml:space="preserve"> </w:t>
      </w:r>
      <w:r w:rsidRPr="002029AF">
        <w:t>restated</w:t>
      </w:r>
      <w:r w:rsidR="000A5329" w:rsidRPr="002029AF">
        <w:t xml:space="preserve"> </w:t>
      </w:r>
      <w:r w:rsidRPr="002029AF">
        <w:t>carrying</w:t>
      </w:r>
      <w:r w:rsidR="000A5329" w:rsidRPr="002029AF">
        <w:t xml:space="preserve"> </w:t>
      </w:r>
      <w:r w:rsidRPr="002029AF">
        <w:t>amounts</w:t>
      </w:r>
      <w:r w:rsidR="000A5329" w:rsidRPr="002029AF">
        <w:t xml:space="preserve"> </w:t>
      </w:r>
      <w:r w:rsidRPr="002029AF">
        <w:t>at</w:t>
      </w:r>
      <w:r w:rsidR="000A5329" w:rsidRPr="002029AF">
        <w:t xml:space="preserve"> </w:t>
      </w:r>
      <w:r w:rsidRPr="002029AF">
        <w:t>30</w:t>
      </w:r>
      <w:r w:rsidR="000A5329" w:rsidRPr="002029AF">
        <w:t xml:space="preserve"> </w:t>
      </w:r>
      <w:r w:rsidRPr="002029AF">
        <w:t>June</w:t>
      </w:r>
      <w:r w:rsidR="000A5329" w:rsidRPr="002029AF">
        <w:t xml:space="preserve"> </w:t>
      </w:r>
      <w:r w:rsidRPr="002029AF">
        <w:t>2019</w:t>
      </w:r>
      <w:r w:rsidR="000A5329" w:rsidRPr="002029AF">
        <w:t xml:space="preserve"> </w:t>
      </w:r>
      <w:r w:rsidRPr="002029AF">
        <w:t>and</w:t>
      </w:r>
      <w:r w:rsidR="000A5329" w:rsidRPr="002029AF">
        <w:t xml:space="preserve"> </w:t>
      </w:r>
      <w:r w:rsidRPr="002029AF">
        <w:t>the</w:t>
      </w:r>
      <w:r w:rsidR="000A5329" w:rsidRPr="002029AF">
        <w:t xml:space="preserve"> </w:t>
      </w:r>
      <w:r w:rsidRPr="002029AF">
        <w:t>balances</w:t>
      </w:r>
      <w:r w:rsidR="000A5329" w:rsidRPr="002029AF">
        <w:t xml:space="preserve"> </w:t>
      </w:r>
      <w:r w:rsidRPr="002029AF">
        <w:t>reported</w:t>
      </w:r>
      <w:r w:rsidR="000A5329" w:rsidRPr="002029AF">
        <w:t xml:space="preserve"> </w:t>
      </w:r>
      <w:r w:rsidRPr="002029AF">
        <w:t>under</w:t>
      </w:r>
      <w:r w:rsidR="000A5329" w:rsidRPr="002029AF">
        <w:t xml:space="preserve"> </w:t>
      </w:r>
      <w:r w:rsidRPr="002029AF">
        <w:t>the</w:t>
      </w:r>
      <w:r w:rsidR="000A5329" w:rsidRPr="002029AF">
        <w:t xml:space="preserve"> </w:t>
      </w:r>
      <w:r w:rsidRPr="002029AF">
        <w:t>new</w:t>
      </w:r>
      <w:r w:rsidR="000A5329" w:rsidRPr="002029AF">
        <w:t xml:space="preserve"> </w:t>
      </w:r>
      <w:r w:rsidRPr="002029AF">
        <w:t>accounting</w:t>
      </w:r>
      <w:r w:rsidR="000A5329" w:rsidRPr="002029AF">
        <w:t xml:space="preserve"> </w:t>
      </w:r>
      <w:r w:rsidRPr="002029AF">
        <w:t>standards</w:t>
      </w:r>
      <w:r w:rsidR="000A5329" w:rsidRPr="002029AF">
        <w:t xml:space="preserve"> </w:t>
      </w:r>
      <w:r w:rsidRPr="002029AF">
        <w:t>(AASB</w:t>
      </w:r>
      <w:r w:rsidR="000A5329" w:rsidRPr="002029AF">
        <w:t xml:space="preserve"> </w:t>
      </w:r>
      <w:r w:rsidRPr="002029AF">
        <w:t>15</w:t>
      </w:r>
      <w:r w:rsidR="000A5329" w:rsidRPr="002029AF">
        <w:t xml:space="preserve"> </w:t>
      </w:r>
      <w:r w:rsidRPr="002029AF">
        <w:t>and</w:t>
      </w:r>
      <w:r w:rsidR="000A5329" w:rsidRPr="002029AF">
        <w:t xml:space="preserve"> </w:t>
      </w:r>
      <w:r w:rsidRPr="002029AF">
        <w:t>AASB</w:t>
      </w:r>
      <w:r w:rsidR="000A5329" w:rsidRPr="002029AF">
        <w:t xml:space="preserve"> </w:t>
      </w:r>
      <w:r w:rsidRPr="002029AF">
        <w:t>16)</w:t>
      </w:r>
      <w:r w:rsidR="000A5329" w:rsidRPr="002029AF">
        <w:t xml:space="preserve"> </w:t>
      </w:r>
      <w:r w:rsidRPr="002029AF">
        <w:t>at</w:t>
      </w:r>
      <w:r w:rsidR="000A5329" w:rsidRPr="002029AF">
        <w:t xml:space="preserve"> </w:t>
      </w:r>
      <w:r w:rsidRPr="002029AF">
        <w:t>1</w:t>
      </w:r>
      <w:r w:rsidR="000A5329" w:rsidRPr="002029AF">
        <w:t xml:space="preserve"> </w:t>
      </w:r>
      <w:r w:rsidRPr="002029AF">
        <w:t>July</w:t>
      </w:r>
      <w:r w:rsidR="000A5329" w:rsidRPr="002029AF">
        <w:t xml:space="preserve"> </w:t>
      </w:r>
      <w:r w:rsidRPr="002029AF">
        <w:t>2019:</w:t>
      </w:r>
    </w:p>
    <w:tbl>
      <w:tblPr>
        <w:tblStyle w:val="TableGrid"/>
        <w:tblW w:w="9637" w:type="dxa"/>
        <w:tblLayout w:type="fixed"/>
        <w:tblLook w:val="06A0" w:firstRow="1" w:lastRow="0" w:firstColumn="1" w:lastColumn="0" w:noHBand="1" w:noVBand="1"/>
      </w:tblPr>
      <w:tblGrid>
        <w:gridCol w:w="2833"/>
        <w:gridCol w:w="1701"/>
        <w:gridCol w:w="1701"/>
        <w:gridCol w:w="1701"/>
        <w:gridCol w:w="1701"/>
      </w:tblGrid>
      <w:tr w:rsidR="00087B91" w:rsidRPr="002029AF" w14:paraId="32FAC6CA"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2835" w:type="dxa"/>
            <w:tcBorders>
              <w:bottom w:val="single" w:sz="4" w:space="0" w:color="auto"/>
            </w:tcBorders>
            <w:hideMark/>
          </w:tcPr>
          <w:p w14:paraId="28293EE8" w14:textId="020C6D19" w:rsidR="00087B91" w:rsidRPr="002029AF" w:rsidRDefault="00087B91" w:rsidP="00860E95">
            <w:pPr>
              <w:pStyle w:val="ARfintablecolhead"/>
            </w:pPr>
            <w:r w:rsidRPr="002029AF">
              <w:t>Balance</w:t>
            </w:r>
            <w:r w:rsidR="000A5329" w:rsidRPr="002029AF">
              <w:t xml:space="preserve"> </w:t>
            </w:r>
            <w:r w:rsidRPr="002029AF">
              <w:t>sheet</w:t>
            </w:r>
          </w:p>
        </w:tc>
        <w:tc>
          <w:tcPr>
            <w:tcW w:w="1701" w:type="dxa"/>
            <w:tcBorders>
              <w:bottom w:val="single" w:sz="4" w:space="0" w:color="auto"/>
            </w:tcBorders>
            <w:hideMark/>
          </w:tcPr>
          <w:p w14:paraId="515F13B6" w14:textId="77777777" w:rsidR="00087B91" w:rsidRPr="002029AF" w:rsidRDefault="00087B91" w:rsidP="00860E95">
            <w:pPr>
              <w:pStyle w:val="ARfintablecolheadright"/>
            </w:pPr>
            <w:r w:rsidRPr="002029AF">
              <w:t>Note</w:t>
            </w:r>
          </w:p>
        </w:tc>
        <w:tc>
          <w:tcPr>
            <w:tcW w:w="1701" w:type="dxa"/>
            <w:tcBorders>
              <w:bottom w:val="single" w:sz="4" w:space="0" w:color="auto"/>
            </w:tcBorders>
            <w:hideMark/>
          </w:tcPr>
          <w:p w14:paraId="47840741" w14:textId="1777B59F" w:rsidR="00087B91" w:rsidRPr="002029AF" w:rsidRDefault="00087B91" w:rsidP="00860E95">
            <w:pPr>
              <w:pStyle w:val="ARfintablecolheadright"/>
            </w:pPr>
            <w:r w:rsidRPr="002029AF">
              <w:t>Before</w:t>
            </w:r>
            <w:r w:rsidR="000A5329" w:rsidRPr="002029AF">
              <w:t xml:space="preserve"> </w:t>
            </w:r>
            <w:r w:rsidRPr="002029AF">
              <w:t>new</w:t>
            </w:r>
            <w:r w:rsidR="000A5329" w:rsidRPr="002029AF">
              <w:t xml:space="preserve"> </w:t>
            </w:r>
            <w:r w:rsidRPr="002029AF">
              <w:t>accounting</w:t>
            </w:r>
            <w:r w:rsidR="000A5329" w:rsidRPr="002029AF">
              <w:t xml:space="preserve"> </w:t>
            </w:r>
            <w:r w:rsidRPr="002029AF">
              <w:t>standards</w:t>
            </w:r>
            <w:r w:rsidR="000A5329" w:rsidRPr="002029AF">
              <w:t xml:space="preserve"> </w:t>
            </w:r>
            <w:r w:rsidRPr="002029AF">
              <w:br/>
              <w:t>Opening</w:t>
            </w:r>
            <w:r w:rsidR="000A5329" w:rsidRPr="002029AF">
              <w:t xml:space="preserve"> </w:t>
            </w:r>
            <w:r w:rsidRPr="002029AF">
              <w:t>1</w:t>
            </w:r>
            <w:r w:rsidR="000A5329" w:rsidRPr="002029AF">
              <w:t xml:space="preserve"> </w:t>
            </w:r>
            <w:r w:rsidRPr="002029AF">
              <w:t>July</w:t>
            </w:r>
            <w:r w:rsidR="000A5329" w:rsidRPr="002029AF">
              <w:t xml:space="preserve"> </w:t>
            </w:r>
            <w:r w:rsidRPr="002029AF">
              <w:t>2019</w:t>
            </w:r>
          </w:p>
          <w:p w14:paraId="2F173629" w14:textId="77777777" w:rsidR="00087B91" w:rsidRPr="002029AF" w:rsidRDefault="00087B91" w:rsidP="00860E95">
            <w:pPr>
              <w:pStyle w:val="ARfintablecolheadright"/>
            </w:pPr>
            <w:r w:rsidRPr="002029AF">
              <w:t>$M</w:t>
            </w:r>
          </w:p>
        </w:tc>
        <w:tc>
          <w:tcPr>
            <w:tcW w:w="1701" w:type="dxa"/>
            <w:tcBorders>
              <w:bottom w:val="single" w:sz="4" w:space="0" w:color="auto"/>
            </w:tcBorders>
            <w:hideMark/>
          </w:tcPr>
          <w:p w14:paraId="28858BCD" w14:textId="296421F0" w:rsidR="00087B91" w:rsidRPr="002029AF" w:rsidRDefault="00087B91" w:rsidP="00860E95">
            <w:pPr>
              <w:pStyle w:val="ARfintablecolheadright"/>
            </w:pPr>
            <w:r w:rsidRPr="002029AF">
              <w:t>Impact</w:t>
            </w:r>
            <w:r w:rsidR="000A5329" w:rsidRPr="002029AF">
              <w:t xml:space="preserve"> </w:t>
            </w:r>
            <w:r w:rsidRPr="002029AF">
              <w:t>of</w:t>
            </w:r>
            <w:r w:rsidR="000A5329" w:rsidRPr="002029AF">
              <w:t xml:space="preserve"> </w:t>
            </w:r>
            <w:r w:rsidRPr="002029AF">
              <w:t>new</w:t>
            </w:r>
            <w:r w:rsidR="000A5329" w:rsidRPr="002029AF">
              <w:t xml:space="preserve"> </w:t>
            </w:r>
            <w:r w:rsidRPr="002029AF">
              <w:t>accounting</w:t>
            </w:r>
            <w:r w:rsidR="000A5329" w:rsidRPr="002029AF">
              <w:t xml:space="preserve"> </w:t>
            </w:r>
            <w:r w:rsidRPr="002029AF">
              <w:t>standards</w:t>
            </w:r>
            <w:r w:rsidRPr="002029AF">
              <w:br/>
              <w:t>AASB</w:t>
            </w:r>
            <w:r w:rsidR="000A5329" w:rsidRPr="002029AF">
              <w:t xml:space="preserve"> </w:t>
            </w:r>
            <w:r w:rsidRPr="002029AF">
              <w:t>16,</w:t>
            </w:r>
            <w:r w:rsidR="000A5329" w:rsidRPr="002029AF">
              <w:t xml:space="preserve"> </w:t>
            </w:r>
            <w:r w:rsidRPr="002029AF">
              <w:t>15</w:t>
            </w:r>
            <w:r w:rsidR="000A5329" w:rsidRPr="002029AF">
              <w:t xml:space="preserve"> </w:t>
            </w:r>
            <w:r w:rsidRPr="002029AF">
              <w:br/>
              <w:t>and</w:t>
            </w:r>
            <w:r w:rsidR="000A5329" w:rsidRPr="002029AF">
              <w:t xml:space="preserve"> </w:t>
            </w:r>
            <w:r w:rsidRPr="002029AF">
              <w:t>1058</w:t>
            </w:r>
          </w:p>
          <w:p w14:paraId="26510733" w14:textId="77777777" w:rsidR="00087B91" w:rsidRPr="002029AF" w:rsidRDefault="00087B91" w:rsidP="00860E95">
            <w:pPr>
              <w:pStyle w:val="ARfintablecolheadright"/>
            </w:pPr>
            <w:r w:rsidRPr="002029AF">
              <w:t>$M</w:t>
            </w:r>
          </w:p>
        </w:tc>
        <w:tc>
          <w:tcPr>
            <w:tcW w:w="1701" w:type="dxa"/>
            <w:tcBorders>
              <w:bottom w:val="single" w:sz="4" w:space="0" w:color="auto"/>
            </w:tcBorders>
            <w:hideMark/>
          </w:tcPr>
          <w:p w14:paraId="0D8DED32" w14:textId="419D56B8" w:rsidR="00087B91" w:rsidRPr="002029AF" w:rsidRDefault="00087B91" w:rsidP="00860E95">
            <w:pPr>
              <w:pStyle w:val="ARfintablecolheadright"/>
            </w:pPr>
            <w:r w:rsidRPr="002029AF">
              <w:t>After</w:t>
            </w:r>
            <w:r w:rsidR="000A5329" w:rsidRPr="002029AF">
              <w:t xml:space="preserve"> </w:t>
            </w:r>
            <w:r w:rsidRPr="002029AF">
              <w:t>new</w:t>
            </w:r>
            <w:r w:rsidR="000A5329" w:rsidRPr="002029AF">
              <w:t xml:space="preserve"> </w:t>
            </w:r>
            <w:r w:rsidRPr="002029AF">
              <w:t>accounting</w:t>
            </w:r>
            <w:r w:rsidR="000A5329" w:rsidRPr="002029AF">
              <w:t xml:space="preserve"> </w:t>
            </w:r>
            <w:r w:rsidRPr="002029AF">
              <w:t>standards</w:t>
            </w:r>
            <w:r w:rsidR="000A5329" w:rsidRPr="002029AF">
              <w:t xml:space="preserve"> </w:t>
            </w:r>
            <w:r w:rsidRPr="002029AF">
              <w:br/>
              <w:t>Opening</w:t>
            </w:r>
            <w:r w:rsidR="000A5329" w:rsidRPr="002029AF">
              <w:t xml:space="preserve"> </w:t>
            </w:r>
            <w:r w:rsidRPr="002029AF">
              <w:t>1</w:t>
            </w:r>
            <w:r w:rsidR="000A5329" w:rsidRPr="002029AF">
              <w:t xml:space="preserve"> </w:t>
            </w:r>
            <w:r w:rsidRPr="002029AF">
              <w:t>July</w:t>
            </w:r>
            <w:r w:rsidR="000A5329" w:rsidRPr="002029AF">
              <w:t xml:space="preserve"> </w:t>
            </w:r>
            <w:r w:rsidRPr="002029AF">
              <w:t>2019</w:t>
            </w:r>
          </w:p>
          <w:p w14:paraId="18D15D73" w14:textId="77777777" w:rsidR="00087B91" w:rsidRPr="002029AF" w:rsidRDefault="00087B91" w:rsidP="00860E95">
            <w:pPr>
              <w:pStyle w:val="ARfintablecolheadright"/>
            </w:pPr>
            <w:r w:rsidRPr="002029AF">
              <w:t>$M</w:t>
            </w:r>
          </w:p>
        </w:tc>
      </w:tr>
      <w:tr w:rsidR="00087B91" w:rsidRPr="002029AF" w14:paraId="2782748F" w14:textId="77777777" w:rsidTr="00860E95">
        <w:tc>
          <w:tcPr>
            <w:tcW w:w="2835" w:type="dxa"/>
            <w:tcBorders>
              <w:top w:val="single" w:sz="4" w:space="0" w:color="auto"/>
              <w:bottom w:val="single" w:sz="4" w:space="0" w:color="A6A6A6"/>
            </w:tcBorders>
            <w:hideMark/>
          </w:tcPr>
          <w:p w14:paraId="59A90E32" w14:textId="256545C7" w:rsidR="00087B91" w:rsidRPr="002029AF" w:rsidRDefault="00087B91" w:rsidP="00860E95">
            <w:pPr>
              <w:pStyle w:val="ARfintablebody"/>
            </w:pPr>
            <w:r w:rsidRPr="002029AF">
              <w:t>Total</w:t>
            </w:r>
            <w:r w:rsidR="000A5329" w:rsidRPr="002029AF">
              <w:t xml:space="preserve"> </w:t>
            </w:r>
            <w:r w:rsidRPr="002029AF">
              <w:t>financial</w:t>
            </w:r>
            <w:r w:rsidR="000A5329" w:rsidRPr="002029AF">
              <w:t xml:space="preserve"> </w:t>
            </w:r>
            <w:r w:rsidRPr="002029AF">
              <w:t>assets</w:t>
            </w:r>
          </w:p>
        </w:tc>
        <w:tc>
          <w:tcPr>
            <w:tcW w:w="1701" w:type="dxa"/>
            <w:tcBorders>
              <w:top w:val="single" w:sz="4" w:space="0" w:color="auto"/>
              <w:bottom w:val="single" w:sz="4" w:space="0" w:color="A6A6A6"/>
            </w:tcBorders>
            <w:noWrap/>
            <w:hideMark/>
          </w:tcPr>
          <w:p w14:paraId="459273B3" w14:textId="77777777" w:rsidR="00087B91" w:rsidRPr="002029AF" w:rsidRDefault="00087B91" w:rsidP="00860E95">
            <w:pPr>
              <w:pStyle w:val="ARfintablebodyright"/>
            </w:pPr>
          </w:p>
        </w:tc>
        <w:tc>
          <w:tcPr>
            <w:tcW w:w="1701" w:type="dxa"/>
            <w:tcBorders>
              <w:top w:val="single" w:sz="4" w:space="0" w:color="auto"/>
              <w:bottom w:val="single" w:sz="4" w:space="0" w:color="A6A6A6"/>
            </w:tcBorders>
            <w:noWrap/>
            <w:hideMark/>
          </w:tcPr>
          <w:p w14:paraId="1E6D6435" w14:textId="77777777" w:rsidR="00087B91" w:rsidRPr="002029AF" w:rsidRDefault="00087B91" w:rsidP="00860E95">
            <w:pPr>
              <w:pStyle w:val="ARfintablebodyright"/>
            </w:pPr>
            <w:r w:rsidRPr="002029AF">
              <w:t>4,364.6</w:t>
            </w:r>
          </w:p>
        </w:tc>
        <w:tc>
          <w:tcPr>
            <w:tcW w:w="1701" w:type="dxa"/>
            <w:tcBorders>
              <w:top w:val="single" w:sz="4" w:space="0" w:color="auto"/>
              <w:bottom w:val="single" w:sz="4" w:space="0" w:color="A6A6A6"/>
            </w:tcBorders>
            <w:noWrap/>
            <w:hideMark/>
          </w:tcPr>
          <w:p w14:paraId="65AA1859" w14:textId="77777777" w:rsidR="00087B91" w:rsidRPr="002029AF" w:rsidRDefault="00087B91" w:rsidP="00860E95">
            <w:pPr>
              <w:pStyle w:val="ARfintablebodyright"/>
            </w:pPr>
            <w:r w:rsidRPr="002029AF">
              <w:t>(6.1)</w:t>
            </w:r>
          </w:p>
        </w:tc>
        <w:tc>
          <w:tcPr>
            <w:tcW w:w="1701" w:type="dxa"/>
            <w:tcBorders>
              <w:top w:val="single" w:sz="4" w:space="0" w:color="auto"/>
              <w:bottom w:val="single" w:sz="4" w:space="0" w:color="A6A6A6"/>
            </w:tcBorders>
            <w:noWrap/>
            <w:hideMark/>
          </w:tcPr>
          <w:p w14:paraId="4974F908" w14:textId="77777777" w:rsidR="00087B91" w:rsidRPr="002029AF" w:rsidRDefault="00087B91" w:rsidP="00860E95">
            <w:pPr>
              <w:pStyle w:val="ARfintablebodyright"/>
            </w:pPr>
            <w:r w:rsidRPr="002029AF">
              <w:t>4,358.5</w:t>
            </w:r>
          </w:p>
        </w:tc>
      </w:tr>
      <w:tr w:rsidR="00087B91" w:rsidRPr="002029AF" w14:paraId="0EF3C8B7" w14:textId="77777777" w:rsidTr="00860E95">
        <w:tc>
          <w:tcPr>
            <w:tcW w:w="2835" w:type="dxa"/>
            <w:tcBorders>
              <w:top w:val="single" w:sz="4" w:space="0" w:color="A6A6A6"/>
              <w:bottom w:val="single" w:sz="4" w:space="0" w:color="A6A6A6"/>
            </w:tcBorders>
            <w:hideMark/>
          </w:tcPr>
          <w:p w14:paraId="52BE64D2" w14:textId="25D35FFE" w:rsidR="00087B91" w:rsidRPr="002029AF" w:rsidRDefault="00087B91" w:rsidP="00860E95">
            <w:pPr>
              <w:pStyle w:val="ARfintablebody"/>
            </w:pPr>
            <w:r w:rsidRPr="002029AF">
              <w:t>Total</w:t>
            </w:r>
            <w:r w:rsidR="000A5329" w:rsidRPr="002029AF">
              <w:t xml:space="preserve"> </w:t>
            </w:r>
            <w:r w:rsidRPr="002029AF">
              <w:t>non-financial</w:t>
            </w:r>
            <w:r w:rsidR="000A5329" w:rsidRPr="002029AF">
              <w:t xml:space="preserve"> </w:t>
            </w:r>
            <w:r w:rsidRPr="002029AF">
              <w:t>assets</w:t>
            </w:r>
          </w:p>
        </w:tc>
        <w:tc>
          <w:tcPr>
            <w:tcW w:w="1701" w:type="dxa"/>
            <w:tcBorders>
              <w:top w:val="single" w:sz="4" w:space="0" w:color="A6A6A6"/>
              <w:bottom w:val="single" w:sz="4" w:space="0" w:color="A6A6A6"/>
            </w:tcBorders>
            <w:noWrap/>
            <w:hideMark/>
          </w:tcPr>
          <w:p w14:paraId="6D2EA214" w14:textId="77777777" w:rsidR="00087B91" w:rsidRPr="002029AF" w:rsidRDefault="00087B91" w:rsidP="00860E95">
            <w:pPr>
              <w:pStyle w:val="ARfintablebodyright"/>
            </w:pPr>
          </w:p>
        </w:tc>
        <w:tc>
          <w:tcPr>
            <w:tcW w:w="1701" w:type="dxa"/>
            <w:tcBorders>
              <w:top w:val="single" w:sz="4" w:space="0" w:color="A6A6A6"/>
              <w:bottom w:val="single" w:sz="4" w:space="0" w:color="A6A6A6"/>
            </w:tcBorders>
            <w:noWrap/>
            <w:hideMark/>
          </w:tcPr>
          <w:p w14:paraId="310CD8A5" w14:textId="77777777" w:rsidR="00087B91" w:rsidRPr="002029AF" w:rsidRDefault="00087B91" w:rsidP="00860E95">
            <w:pPr>
              <w:pStyle w:val="ARfintablebodyright"/>
            </w:pPr>
            <w:r w:rsidRPr="002029AF">
              <w:t>29,007.8</w:t>
            </w:r>
          </w:p>
        </w:tc>
        <w:tc>
          <w:tcPr>
            <w:tcW w:w="1701" w:type="dxa"/>
            <w:tcBorders>
              <w:top w:val="single" w:sz="4" w:space="0" w:color="A6A6A6"/>
              <w:bottom w:val="single" w:sz="4" w:space="0" w:color="A6A6A6"/>
            </w:tcBorders>
            <w:noWrap/>
            <w:hideMark/>
          </w:tcPr>
          <w:p w14:paraId="54E003B0" w14:textId="77777777" w:rsidR="00087B91" w:rsidRPr="002029AF" w:rsidRDefault="00087B91" w:rsidP="00860E95">
            <w:pPr>
              <w:pStyle w:val="ARfintablebodyright"/>
            </w:pPr>
            <w:r w:rsidRPr="002029AF">
              <w:t>585.9</w:t>
            </w:r>
          </w:p>
        </w:tc>
        <w:tc>
          <w:tcPr>
            <w:tcW w:w="1701" w:type="dxa"/>
            <w:tcBorders>
              <w:top w:val="single" w:sz="4" w:space="0" w:color="A6A6A6"/>
              <w:bottom w:val="single" w:sz="4" w:space="0" w:color="A6A6A6"/>
            </w:tcBorders>
            <w:noWrap/>
            <w:hideMark/>
          </w:tcPr>
          <w:p w14:paraId="30FA574C" w14:textId="77777777" w:rsidR="00087B91" w:rsidRPr="002029AF" w:rsidRDefault="00087B91" w:rsidP="00860E95">
            <w:pPr>
              <w:pStyle w:val="ARfintablebodyright"/>
            </w:pPr>
            <w:r w:rsidRPr="002029AF">
              <w:t>29,593.7</w:t>
            </w:r>
          </w:p>
        </w:tc>
      </w:tr>
      <w:tr w:rsidR="00087B91" w:rsidRPr="002029AF" w14:paraId="6239FB0A" w14:textId="77777777" w:rsidTr="00860E95">
        <w:tc>
          <w:tcPr>
            <w:tcW w:w="2835" w:type="dxa"/>
            <w:tcBorders>
              <w:top w:val="single" w:sz="4" w:space="0" w:color="A6A6A6"/>
              <w:bottom w:val="single" w:sz="4" w:space="0" w:color="A6A6A6"/>
            </w:tcBorders>
            <w:hideMark/>
          </w:tcPr>
          <w:p w14:paraId="3967E09C" w14:textId="2B95CC85" w:rsidR="00087B91" w:rsidRPr="002029AF" w:rsidRDefault="00087B91" w:rsidP="00860E95">
            <w:pPr>
              <w:pStyle w:val="ARfintablebodybold"/>
            </w:pPr>
            <w:r w:rsidRPr="002029AF">
              <w:t>Total</w:t>
            </w:r>
            <w:r w:rsidR="000A5329" w:rsidRPr="002029AF">
              <w:t xml:space="preserve"> </w:t>
            </w:r>
            <w:r w:rsidRPr="002029AF">
              <w:t>assets</w:t>
            </w:r>
          </w:p>
        </w:tc>
        <w:tc>
          <w:tcPr>
            <w:tcW w:w="1701" w:type="dxa"/>
            <w:tcBorders>
              <w:top w:val="single" w:sz="4" w:space="0" w:color="A6A6A6"/>
              <w:bottom w:val="single" w:sz="4" w:space="0" w:color="A6A6A6"/>
            </w:tcBorders>
            <w:noWrap/>
            <w:hideMark/>
          </w:tcPr>
          <w:p w14:paraId="61208920" w14:textId="77777777" w:rsidR="00087B91" w:rsidRPr="002029AF" w:rsidRDefault="00087B91" w:rsidP="00860E95">
            <w:pPr>
              <w:pStyle w:val="ARfintablebodyrightbold"/>
            </w:pPr>
          </w:p>
        </w:tc>
        <w:tc>
          <w:tcPr>
            <w:tcW w:w="1701" w:type="dxa"/>
            <w:tcBorders>
              <w:top w:val="single" w:sz="4" w:space="0" w:color="A6A6A6"/>
              <w:bottom w:val="single" w:sz="4" w:space="0" w:color="A6A6A6"/>
            </w:tcBorders>
            <w:noWrap/>
            <w:hideMark/>
          </w:tcPr>
          <w:p w14:paraId="38398344" w14:textId="77777777" w:rsidR="00087B91" w:rsidRPr="002029AF" w:rsidRDefault="00087B91" w:rsidP="00860E95">
            <w:pPr>
              <w:pStyle w:val="ARfintablebodyrightbold"/>
            </w:pPr>
            <w:r w:rsidRPr="002029AF">
              <w:t>33,372.4</w:t>
            </w:r>
          </w:p>
        </w:tc>
        <w:tc>
          <w:tcPr>
            <w:tcW w:w="1701" w:type="dxa"/>
            <w:tcBorders>
              <w:top w:val="single" w:sz="4" w:space="0" w:color="A6A6A6"/>
              <w:bottom w:val="single" w:sz="4" w:space="0" w:color="A6A6A6"/>
            </w:tcBorders>
            <w:noWrap/>
            <w:hideMark/>
          </w:tcPr>
          <w:p w14:paraId="116D9E19" w14:textId="77777777" w:rsidR="00087B91" w:rsidRPr="002029AF" w:rsidRDefault="00087B91" w:rsidP="00860E95">
            <w:pPr>
              <w:pStyle w:val="ARfintablebodyrightbold"/>
            </w:pPr>
            <w:r w:rsidRPr="002029AF">
              <w:t>579.8</w:t>
            </w:r>
          </w:p>
        </w:tc>
        <w:tc>
          <w:tcPr>
            <w:tcW w:w="1701" w:type="dxa"/>
            <w:tcBorders>
              <w:top w:val="single" w:sz="4" w:space="0" w:color="A6A6A6"/>
              <w:bottom w:val="single" w:sz="4" w:space="0" w:color="A6A6A6"/>
            </w:tcBorders>
            <w:noWrap/>
            <w:hideMark/>
          </w:tcPr>
          <w:p w14:paraId="3556E91E" w14:textId="77777777" w:rsidR="00087B91" w:rsidRPr="002029AF" w:rsidRDefault="00087B91" w:rsidP="00860E95">
            <w:pPr>
              <w:pStyle w:val="ARfintablebodyrightbold"/>
            </w:pPr>
            <w:r w:rsidRPr="002029AF">
              <w:t>33,952.2</w:t>
            </w:r>
          </w:p>
        </w:tc>
      </w:tr>
      <w:tr w:rsidR="00087B91" w:rsidRPr="002029AF" w14:paraId="01EC5A25" w14:textId="77777777" w:rsidTr="00860E95">
        <w:tc>
          <w:tcPr>
            <w:tcW w:w="2835" w:type="dxa"/>
            <w:tcBorders>
              <w:top w:val="single" w:sz="4" w:space="0" w:color="A6A6A6"/>
              <w:bottom w:val="single" w:sz="4" w:space="0" w:color="A6A6A6"/>
            </w:tcBorders>
            <w:hideMark/>
          </w:tcPr>
          <w:p w14:paraId="656091FC" w14:textId="0B8A7153" w:rsidR="00087B91" w:rsidRPr="002029AF" w:rsidRDefault="00087B91" w:rsidP="00860E95">
            <w:pPr>
              <w:pStyle w:val="ARfintablebody"/>
            </w:pPr>
            <w:r w:rsidRPr="002029AF">
              <w:t>Payables</w:t>
            </w:r>
            <w:r w:rsidR="000A5329" w:rsidRPr="002029AF">
              <w:t xml:space="preserve"> </w:t>
            </w:r>
            <w:r w:rsidRPr="002029AF">
              <w:t>and</w:t>
            </w:r>
            <w:r w:rsidR="000A5329" w:rsidRPr="002029AF">
              <w:t xml:space="preserve"> </w:t>
            </w:r>
            <w:r w:rsidRPr="002029AF">
              <w:t>contract</w:t>
            </w:r>
            <w:r w:rsidR="000A5329" w:rsidRPr="002029AF">
              <w:t xml:space="preserve"> </w:t>
            </w:r>
            <w:r w:rsidRPr="002029AF">
              <w:t>liabilities</w:t>
            </w:r>
          </w:p>
        </w:tc>
        <w:tc>
          <w:tcPr>
            <w:tcW w:w="1701" w:type="dxa"/>
            <w:tcBorders>
              <w:top w:val="single" w:sz="4" w:space="0" w:color="A6A6A6"/>
              <w:bottom w:val="single" w:sz="4" w:space="0" w:color="A6A6A6"/>
            </w:tcBorders>
            <w:noWrap/>
            <w:hideMark/>
          </w:tcPr>
          <w:p w14:paraId="44CD6B34" w14:textId="77777777" w:rsidR="00087B91" w:rsidRPr="002029AF" w:rsidRDefault="00087B91" w:rsidP="00860E95">
            <w:pPr>
              <w:pStyle w:val="ARfintablebodyright"/>
            </w:pPr>
            <w:r w:rsidRPr="002029AF">
              <w:t>6.4</w:t>
            </w:r>
          </w:p>
        </w:tc>
        <w:tc>
          <w:tcPr>
            <w:tcW w:w="1701" w:type="dxa"/>
            <w:tcBorders>
              <w:top w:val="single" w:sz="4" w:space="0" w:color="A6A6A6"/>
              <w:bottom w:val="single" w:sz="4" w:space="0" w:color="A6A6A6"/>
            </w:tcBorders>
            <w:noWrap/>
            <w:hideMark/>
          </w:tcPr>
          <w:p w14:paraId="179690FF" w14:textId="77777777" w:rsidR="00087B91" w:rsidRPr="002029AF" w:rsidRDefault="00087B91" w:rsidP="00860E95">
            <w:pPr>
              <w:pStyle w:val="ARfintablebodyright"/>
            </w:pPr>
            <w:r w:rsidRPr="002029AF">
              <w:t>1,513.7</w:t>
            </w:r>
          </w:p>
        </w:tc>
        <w:tc>
          <w:tcPr>
            <w:tcW w:w="1701" w:type="dxa"/>
            <w:tcBorders>
              <w:top w:val="single" w:sz="4" w:space="0" w:color="A6A6A6"/>
              <w:bottom w:val="single" w:sz="4" w:space="0" w:color="A6A6A6"/>
            </w:tcBorders>
            <w:noWrap/>
            <w:hideMark/>
          </w:tcPr>
          <w:p w14:paraId="064537B8" w14:textId="77777777" w:rsidR="00087B91" w:rsidRPr="002029AF" w:rsidRDefault="00087B91" w:rsidP="00860E95">
            <w:pPr>
              <w:pStyle w:val="ARfintablebodyright"/>
            </w:pPr>
            <w:r w:rsidRPr="002029AF">
              <w:t>–</w:t>
            </w:r>
          </w:p>
        </w:tc>
        <w:tc>
          <w:tcPr>
            <w:tcW w:w="1701" w:type="dxa"/>
            <w:tcBorders>
              <w:top w:val="single" w:sz="4" w:space="0" w:color="A6A6A6"/>
              <w:bottom w:val="single" w:sz="4" w:space="0" w:color="A6A6A6"/>
            </w:tcBorders>
            <w:noWrap/>
            <w:hideMark/>
          </w:tcPr>
          <w:p w14:paraId="28774059" w14:textId="77777777" w:rsidR="00087B91" w:rsidRPr="002029AF" w:rsidRDefault="00087B91" w:rsidP="00860E95">
            <w:pPr>
              <w:pStyle w:val="ARfintablebodyright"/>
            </w:pPr>
            <w:r w:rsidRPr="002029AF">
              <w:t>1,513.7</w:t>
            </w:r>
          </w:p>
        </w:tc>
      </w:tr>
      <w:tr w:rsidR="00087B91" w:rsidRPr="002029AF" w14:paraId="68993D74" w14:textId="77777777" w:rsidTr="00860E95">
        <w:tc>
          <w:tcPr>
            <w:tcW w:w="2835" w:type="dxa"/>
            <w:tcBorders>
              <w:top w:val="single" w:sz="4" w:space="0" w:color="A6A6A6"/>
              <w:bottom w:val="single" w:sz="4" w:space="0" w:color="A6A6A6"/>
            </w:tcBorders>
            <w:hideMark/>
          </w:tcPr>
          <w:p w14:paraId="634AFFAD" w14:textId="77777777" w:rsidR="00087B91" w:rsidRPr="002029AF" w:rsidRDefault="00087B91" w:rsidP="00860E95">
            <w:pPr>
              <w:pStyle w:val="ARfintablebody"/>
            </w:pPr>
            <w:r w:rsidRPr="002029AF">
              <w:t>Borrowings</w:t>
            </w:r>
          </w:p>
        </w:tc>
        <w:tc>
          <w:tcPr>
            <w:tcW w:w="1701" w:type="dxa"/>
            <w:tcBorders>
              <w:top w:val="single" w:sz="4" w:space="0" w:color="A6A6A6"/>
              <w:bottom w:val="single" w:sz="4" w:space="0" w:color="A6A6A6"/>
            </w:tcBorders>
            <w:noWrap/>
            <w:hideMark/>
          </w:tcPr>
          <w:p w14:paraId="4F3F7F91" w14:textId="77777777" w:rsidR="00087B91" w:rsidRPr="002029AF" w:rsidRDefault="00087B91" w:rsidP="00860E95">
            <w:pPr>
              <w:pStyle w:val="ARfintablebodyright"/>
            </w:pPr>
            <w:r w:rsidRPr="002029AF">
              <w:t>7.1</w:t>
            </w:r>
          </w:p>
        </w:tc>
        <w:tc>
          <w:tcPr>
            <w:tcW w:w="1701" w:type="dxa"/>
            <w:tcBorders>
              <w:top w:val="single" w:sz="4" w:space="0" w:color="A6A6A6"/>
              <w:bottom w:val="single" w:sz="4" w:space="0" w:color="A6A6A6"/>
            </w:tcBorders>
            <w:noWrap/>
            <w:hideMark/>
          </w:tcPr>
          <w:p w14:paraId="520DC7D9" w14:textId="77777777" w:rsidR="00087B91" w:rsidRPr="002029AF" w:rsidRDefault="00087B91" w:rsidP="00860E95">
            <w:pPr>
              <w:pStyle w:val="ARfintablebodyright"/>
            </w:pPr>
            <w:r w:rsidRPr="002029AF">
              <w:t>112.8</w:t>
            </w:r>
          </w:p>
        </w:tc>
        <w:tc>
          <w:tcPr>
            <w:tcW w:w="1701" w:type="dxa"/>
            <w:tcBorders>
              <w:top w:val="single" w:sz="4" w:space="0" w:color="A6A6A6"/>
              <w:bottom w:val="single" w:sz="4" w:space="0" w:color="A6A6A6"/>
            </w:tcBorders>
            <w:noWrap/>
            <w:hideMark/>
          </w:tcPr>
          <w:p w14:paraId="75B8B86E" w14:textId="77777777" w:rsidR="00087B91" w:rsidRPr="002029AF" w:rsidRDefault="00087B91" w:rsidP="00860E95">
            <w:pPr>
              <w:pStyle w:val="ARfintablebodyright"/>
            </w:pPr>
            <w:r w:rsidRPr="002029AF">
              <w:t>579.8</w:t>
            </w:r>
          </w:p>
        </w:tc>
        <w:tc>
          <w:tcPr>
            <w:tcW w:w="1701" w:type="dxa"/>
            <w:tcBorders>
              <w:top w:val="single" w:sz="4" w:space="0" w:color="A6A6A6"/>
              <w:bottom w:val="single" w:sz="4" w:space="0" w:color="A6A6A6"/>
            </w:tcBorders>
            <w:noWrap/>
            <w:hideMark/>
          </w:tcPr>
          <w:p w14:paraId="4A8843AE" w14:textId="77777777" w:rsidR="00087B91" w:rsidRPr="002029AF" w:rsidRDefault="00087B91" w:rsidP="00860E95">
            <w:pPr>
              <w:pStyle w:val="ARfintablebodyright"/>
            </w:pPr>
            <w:r w:rsidRPr="002029AF">
              <w:t>692.6</w:t>
            </w:r>
          </w:p>
        </w:tc>
      </w:tr>
      <w:tr w:rsidR="00087B91" w:rsidRPr="002029AF" w14:paraId="51B42FEC" w14:textId="77777777" w:rsidTr="00860E95">
        <w:tc>
          <w:tcPr>
            <w:tcW w:w="2835" w:type="dxa"/>
            <w:tcBorders>
              <w:top w:val="single" w:sz="4" w:space="0" w:color="A6A6A6"/>
              <w:bottom w:val="single" w:sz="4" w:space="0" w:color="A6A6A6"/>
            </w:tcBorders>
            <w:hideMark/>
          </w:tcPr>
          <w:p w14:paraId="59D783C6" w14:textId="4408519B" w:rsidR="00087B91" w:rsidRPr="002029AF" w:rsidRDefault="00087B91" w:rsidP="00860E95">
            <w:pPr>
              <w:pStyle w:val="ARfintablebody"/>
            </w:pPr>
            <w:r w:rsidRPr="002029AF">
              <w:t>Other</w:t>
            </w:r>
            <w:r w:rsidR="000A5329" w:rsidRPr="002029AF">
              <w:t xml:space="preserve"> </w:t>
            </w:r>
            <w:r w:rsidRPr="002029AF">
              <w:t>liabilities</w:t>
            </w:r>
          </w:p>
        </w:tc>
        <w:tc>
          <w:tcPr>
            <w:tcW w:w="1701" w:type="dxa"/>
            <w:tcBorders>
              <w:top w:val="single" w:sz="4" w:space="0" w:color="A6A6A6"/>
              <w:bottom w:val="single" w:sz="4" w:space="0" w:color="A6A6A6"/>
            </w:tcBorders>
            <w:noWrap/>
            <w:hideMark/>
          </w:tcPr>
          <w:p w14:paraId="3BE72DB4" w14:textId="50D910B3" w:rsidR="00087B91" w:rsidRPr="002029AF" w:rsidRDefault="00087B91" w:rsidP="00860E95">
            <w:pPr>
              <w:pStyle w:val="ARfintablebodyright"/>
            </w:pPr>
            <w:r w:rsidRPr="002029AF">
              <w:t>3.1.1(b),</w:t>
            </w:r>
            <w:r w:rsidR="000A5329" w:rsidRPr="002029AF">
              <w:t xml:space="preserve"> </w:t>
            </w:r>
            <w:r w:rsidRPr="002029AF">
              <w:t>6.5</w:t>
            </w:r>
          </w:p>
        </w:tc>
        <w:tc>
          <w:tcPr>
            <w:tcW w:w="1701" w:type="dxa"/>
            <w:tcBorders>
              <w:top w:val="single" w:sz="4" w:space="0" w:color="A6A6A6"/>
              <w:bottom w:val="single" w:sz="4" w:space="0" w:color="A6A6A6"/>
            </w:tcBorders>
            <w:noWrap/>
            <w:hideMark/>
          </w:tcPr>
          <w:p w14:paraId="2ED12603" w14:textId="77777777" w:rsidR="00087B91" w:rsidRPr="002029AF" w:rsidRDefault="00087B91" w:rsidP="00860E95">
            <w:pPr>
              <w:pStyle w:val="ARfintablebodyright"/>
            </w:pPr>
            <w:r w:rsidRPr="002029AF">
              <w:t>550.9</w:t>
            </w:r>
          </w:p>
        </w:tc>
        <w:tc>
          <w:tcPr>
            <w:tcW w:w="1701" w:type="dxa"/>
            <w:tcBorders>
              <w:top w:val="single" w:sz="4" w:space="0" w:color="A6A6A6"/>
              <w:bottom w:val="single" w:sz="4" w:space="0" w:color="A6A6A6"/>
            </w:tcBorders>
            <w:noWrap/>
            <w:hideMark/>
          </w:tcPr>
          <w:p w14:paraId="28AC0FD7" w14:textId="77777777" w:rsidR="00087B91" w:rsidRPr="002029AF" w:rsidRDefault="00087B91" w:rsidP="00860E95">
            <w:pPr>
              <w:pStyle w:val="ARfintablebodyright"/>
            </w:pPr>
            <w:r w:rsidRPr="002029AF">
              <w:t>–</w:t>
            </w:r>
          </w:p>
        </w:tc>
        <w:tc>
          <w:tcPr>
            <w:tcW w:w="1701" w:type="dxa"/>
            <w:tcBorders>
              <w:top w:val="single" w:sz="4" w:space="0" w:color="A6A6A6"/>
              <w:bottom w:val="single" w:sz="4" w:space="0" w:color="A6A6A6"/>
            </w:tcBorders>
            <w:noWrap/>
            <w:hideMark/>
          </w:tcPr>
          <w:p w14:paraId="6BE88145" w14:textId="77777777" w:rsidR="00087B91" w:rsidRPr="002029AF" w:rsidRDefault="00087B91" w:rsidP="00860E95">
            <w:pPr>
              <w:pStyle w:val="ARfintablebodyright"/>
            </w:pPr>
            <w:r w:rsidRPr="002029AF">
              <w:t>550.9</w:t>
            </w:r>
          </w:p>
        </w:tc>
      </w:tr>
      <w:tr w:rsidR="00087B91" w:rsidRPr="002029AF" w14:paraId="1A6FED02" w14:textId="77777777" w:rsidTr="00860E95">
        <w:tc>
          <w:tcPr>
            <w:tcW w:w="2835" w:type="dxa"/>
            <w:tcBorders>
              <w:top w:val="single" w:sz="4" w:space="0" w:color="A6A6A6"/>
              <w:bottom w:val="single" w:sz="4" w:space="0" w:color="A6A6A6"/>
            </w:tcBorders>
            <w:hideMark/>
          </w:tcPr>
          <w:p w14:paraId="089F5451" w14:textId="06B0AA15" w:rsidR="00087B91" w:rsidRPr="002029AF" w:rsidRDefault="00087B91" w:rsidP="00860E95">
            <w:pPr>
              <w:pStyle w:val="ARfintablebodybold"/>
            </w:pPr>
            <w:r w:rsidRPr="002029AF">
              <w:t>Total</w:t>
            </w:r>
            <w:r w:rsidR="000A5329" w:rsidRPr="002029AF">
              <w:t xml:space="preserve"> </w:t>
            </w:r>
            <w:r w:rsidRPr="002029AF">
              <w:t>liabilities</w:t>
            </w:r>
          </w:p>
        </w:tc>
        <w:tc>
          <w:tcPr>
            <w:tcW w:w="1701" w:type="dxa"/>
            <w:tcBorders>
              <w:top w:val="single" w:sz="4" w:space="0" w:color="A6A6A6"/>
              <w:bottom w:val="single" w:sz="4" w:space="0" w:color="A6A6A6"/>
            </w:tcBorders>
            <w:noWrap/>
            <w:hideMark/>
          </w:tcPr>
          <w:p w14:paraId="63726A43" w14:textId="77777777" w:rsidR="00087B91" w:rsidRPr="002029AF" w:rsidRDefault="00087B91" w:rsidP="00860E95">
            <w:pPr>
              <w:pStyle w:val="ARfintablebodyrightbold"/>
            </w:pPr>
          </w:p>
        </w:tc>
        <w:tc>
          <w:tcPr>
            <w:tcW w:w="1701" w:type="dxa"/>
            <w:tcBorders>
              <w:top w:val="single" w:sz="4" w:space="0" w:color="A6A6A6"/>
              <w:bottom w:val="single" w:sz="4" w:space="0" w:color="A6A6A6"/>
            </w:tcBorders>
            <w:noWrap/>
            <w:hideMark/>
          </w:tcPr>
          <w:p w14:paraId="37636714" w14:textId="77777777" w:rsidR="00087B91" w:rsidRPr="002029AF" w:rsidRDefault="00087B91" w:rsidP="00860E95">
            <w:pPr>
              <w:pStyle w:val="ARfintablebodyrightbold"/>
            </w:pPr>
            <w:r w:rsidRPr="002029AF">
              <w:t>2,177.4</w:t>
            </w:r>
          </w:p>
        </w:tc>
        <w:tc>
          <w:tcPr>
            <w:tcW w:w="1701" w:type="dxa"/>
            <w:tcBorders>
              <w:top w:val="single" w:sz="4" w:space="0" w:color="A6A6A6"/>
              <w:bottom w:val="single" w:sz="4" w:space="0" w:color="A6A6A6"/>
            </w:tcBorders>
            <w:noWrap/>
            <w:hideMark/>
          </w:tcPr>
          <w:p w14:paraId="7B7642D4" w14:textId="77777777" w:rsidR="00087B91" w:rsidRPr="002029AF" w:rsidRDefault="00087B91" w:rsidP="00860E95">
            <w:pPr>
              <w:pStyle w:val="ARfintablebodyrightbold"/>
            </w:pPr>
            <w:r w:rsidRPr="002029AF">
              <w:t>579.8</w:t>
            </w:r>
          </w:p>
        </w:tc>
        <w:tc>
          <w:tcPr>
            <w:tcW w:w="1701" w:type="dxa"/>
            <w:tcBorders>
              <w:top w:val="single" w:sz="4" w:space="0" w:color="A6A6A6"/>
              <w:bottom w:val="single" w:sz="4" w:space="0" w:color="A6A6A6"/>
            </w:tcBorders>
            <w:noWrap/>
            <w:hideMark/>
          </w:tcPr>
          <w:p w14:paraId="02EEB3AF" w14:textId="77777777" w:rsidR="00087B91" w:rsidRPr="002029AF" w:rsidRDefault="00087B91" w:rsidP="00860E95">
            <w:pPr>
              <w:pStyle w:val="ARfintablebodyrightbold"/>
            </w:pPr>
            <w:r w:rsidRPr="002029AF">
              <w:t>2,757.2</w:t>
            </w:r>
          </w:p>
        </w:tc>
      </w:tr>
      <w:tr w:rsidR="00087B91" w:rsidRPr="002029AF" w14:paraId="1F112548" w14:textId="77777777" w:rsidTr="00860E95">
        <w:tc>
          <w:tcPr>
            <w:tcW w:w="2835" w:type="dxa"/>
            <w:tcBorders>
              <w:top w:val="single" w:sz="4" w:space="0" w:color="A6A6A6"/>
              <w:bottom w:val="single" w:sz="4" w:space="0" w:color="A6A6A6"/>
            </w:tcBorders>
            <w:hideMark/>
          </w:tcPr>
          <w:p w14:paraId="52E4348D" w14:textId="50BE4FC5" w:rsidR="00087B91" w:rsidRPr="002029AF" w:rsidRDefault="00087B91" w:rsidP="00860E95">
            <w:pPr>
              <w:pStyle w:val="ARfintablebody"/>
            </w:pPr>
            <w:r w:rsidRPr="002029AF">
              <w:t>Accumulated</w:t>
            </w:r>
            <w:r w:rsidR="000A5329" w:rsidRPr="002029AF">
              <w:t xml:space="preserve"> </w:t>
            </w:r>
            <w:r w:rsidRPr="002029AF">
              <w:t>surplus/(deficit)</w:t>
            </w:r>
          </w:p>
        </w:tc>
        <w:tc>
          <w:tcPr>
            <w:tcW w:w="1701" w:type="dxa"/>
            <w:tcBorders>
              <w:top w:val="single" w:sz="4" w:space="0" w:color="A6A6A6"/>
              <w:bottom w:val="single" w:sz="4" w:space="0" w:color="A6A6A6"/>
            </w:tcBorders>
            <w:noWrap/>
            <w:hideMark/>
          </w:tcPr>
          <w:p w14:paraId="17C0F95D" w14:textId="77777777" w:rsidR="00087B91" w:rsidRPr="002029AF" w:rsidRDefault="00087B91" w:rsidP="00860E95">
            <w:pPr>
              <w:pStyle w:val="ARfintablebodyright"/>
            </w:pPr>
          </w:p>
        </w:tc>
        <w:tc>
          <w:tcPr>
            <w:tcW w:w="1701" w:type="dxa"/>
            <w:tcBorders>
              <w:top w:val="single" w:sz="4" w:space="0" w:color="A6A6A6"/>
              <w:bottom w:val="single" w:sz="4" w:space="0" w:color="A6A6A6"/>
            </w:tcBorders>
            <w:noWrap/>
            <w:hideMark/>
          </w:tcPr>
          <w:p w14:paraId="612B2D17" w14:textId="77777777" w:rsidR="00087B91" w:rsidRPr="002029AF" w:rsidRDefault="00087B91" w:rsidP="00860E95">
            <w:pPr>
              <w:pStyle w:val="ARfintablebodyright"/>
            </w:pPr>
            <w:r w:rsidRPr="002029AF">
              <w:t>1,599.3</w:t>
            </w:r>
          </w:p>
        </w:tc>
        <w:tc>
          <w:tcPr>
            <w:tcW w:w="1701" w:type="dxa"/>
            <w:tcBorders>
              <w:top w:val="single" w:sz="4" w:space="0" w:color="A6A6A6"/>
              <w:bottom w:val="single" w:sz="4" w:space="0" w:color="A6A6A6"/>
            </w:tcBorders>
            <w:noWrap/>
            <w:hideMark/>
          </w:tcPr>
          <w:p w14:paraId="506DB00F" w14:textId="77777777" w:rsidR="00087B91" w:rsidRPr="002029AF" w:rsidRDefault="00087B91" w:rsidP="00860E95">
            <w:pPr>
              <w:pStyle w:val="ARfintablebodyright"/>
            </w:pPr>
            <w:r w:rsidRPr="002029AF">
              <w:t>–</w:t>
            </w:r>
          </w:p>
        </w:tc>
        <w:tc>
          <w:tcPr>
            <w:tcW w:w="1701" w:type="dxa"/>
            <w:tcBorders>
              <w:top w:val="single" w:sz="4" w:space="0" w:color="A6A6A6"/>
              <w:bottom w:val="single" w:sz="4" w:space="0" w:color="A6A6A6"/>
            </w:tcBorders>
            <w:noWrap/>
            <w:hideMark/>
          </w:tcPr>
          <w:p w14:paraId="1B080E16" w14:textId="77777777" w:rsidR="00087B91" w:rsidRPr="002029AF" w:rsidRDefault="00087B91" w:rsidP="00860E95">
            <w:pPr>
              <w:pStyle w:val="ARfintablebodyright"/>
            </w:pPr>
            <w:r w:rsidRPr="002029AF">
              <w:t>1,599.3</w:t>
            </w:r>
          </w:p>
        </w:tc>
      </w:tr>
      <w:tr w:rsidR="00087B91" w:rsidRPr="002029AF" w14:paraId="4F6201A1" w14:textId="77777777" w:rsidTr="00860E95">
        <w:tc>
          <w:tcPr>
            <w:tcW w:w="2835" w:type="dxa"/>
            <w:tcBorders>
              <w:top w:val="single" w:sz="4" w:space="0" w:color="A6A6A6"/>
              <w:bottom w:val="single" w:sz="4" w:space="0" w:color="A6A6A6"/>
            </w:tcBorders>
            <w:hideMark/>
          </w:tcPr>
          <w:p w14:paraId="6FCFF2FA" w14:textId="4CDF308D" w:rsidR="00087B91" w:rsidRPr="002029AF" w:rsidRDefault="00087B91" w:rsidP="00860E95">
            <w:pPr>
              <w:pStyle w:val="ARfintablebody"/>
            </w:pPr>
            <w:r w:rsidRPr="002029AF">
              <w:t>Physical</w:t>
            </w:r>
            <w:r w:rsidR="000A5329" w:rsidRPr="002029AF">
              <w:t xml:space="preserve"> </w:t>
            </w:r>
            <w:r w:rsidRPr="002029AF">
              <w:t>asset</w:t>
            </w:r>
            <w:r w:rsidR="000A5329" w:rsidRPr="002029AF">
              <w:t xml:space="preserve"> </w:t>
            </w:r>
            <w:r w:rsidRPr="002029AF">
              <w:t>revaluation</w:t>
            </w:r>
            <w:r w:rsidR="000A5329" w:rsidRPr="002029AF">
              <w:t xml:space="preserve"> </w:t>
            </w:r>
            <w:r w:rsidRPr="002029AF">
              <w:t>surplus</w:t>
            </w:r>
          </w:p>
        </w:tc>
        <w:tc>
          <w:tcPr>
            <w:tcW w:w="1701" w:type="dxa"/>
            <w:tcBorders>
              <w:top w:val="single" w:sz="4" w:space="0" w:color="A6A6A6"/>
              <w:bottom w:val="single" w:sz="4" w:space="0" w:color="A6A6A6"/>
            </w:tcBorders>
            <w:noWrap/>
            <w:hideMark/>
          </w:tcPr>
          <w:p w14:paraId="17A94706" w14:textId="77777777" w:rsidR="00087B91" w:rsidRPr="002029AF" w:rsidRDefault="00087B91" w:rsidP="00860E95">
            <w:pPr>
              <w:pStyle w:val="ARfintablebodyright"/>
            </w:pPr>
            <w:r w:rsidRPr="002029AF">
              <w:t>9.4</w:t>
            </w:r>
          </w:p>
        </w:tc>
        <w:tc>
          <w:tcPr>
            <w:tcW w:w="1701" w:type="dxa"/>
            <w:tcBorders>
              <w:top w:val="single" w:sz="4" w:space="0" w:color="A6A6A6"/>
              <w:bottom w:val="single" w:sz="4" w:space="0" w:color="A6A6A6"/>
            </w:tcBorders>
            <w:noWrap/>
            <w:hideMark/>
          </w:tcPr>
          <w:p w14:paraId="541681BA" w14:textId="77777777" w:rsidR="00087B91" w:rsidRPr="002029AF" w:rsidRDefault="00087B91" w:rsidP="00860E95">
            <w:pPr>
              <w:pStyle w:val="ARfintablebodyright"/>
            </w:pPr>
            <w:r w:rsidRPr="002029AF">
              <w:t>7,396.4</w:t>
            </w:r>
          </w:p>
        </w:tc>
        <w:tc>
          <w:tcPr>
            <w:tcW w:w="1701" w:type="dxa"/>
            <w:tcBorders>
              <w:top w:val="single" w:sz="4" w:space="0" w:color="A6A6A6"/>
              <w:bottom w:val="single" w:sz="4" w:space="0" w:color="A6A6A6"/>
            </w:tcBorders>
            <w:noWrap/>
            <w:hideMark/>
          </w:tcPr>
          <w:p w14:paraId="7E7BA085" w14:textId="77777777" w:rsidR="00087B91" w:rsidRPr="002029AF" w:rsidRDefault="00087B91" w:rsidP="00860E95">
            <w:pPr>
              <w:pStyle w:val="ARfintablebodyright"/>
            </w:pPr>
            <w:r w:rsidRPr="002029AF">
              <w:t>–</w:t>
            </w:r>
          </w:p>
        </w:tc>
        <w:tc>
          <w:tcPr>
            <w:tcW w:w="1701" w:type="dxa"/>
            <w:tcBorders>
              <w:top w:val="single" w:sz="4" w:space="0" w:color="A6A6A6"/>
              <w:bottom w:val="single" w:sz="4" w:space="0" w:color="A6A6A6"/>
            </w:tcBorders>
            <w:noWrap/>
            <w:hideMark/>
          </w:tcPr>
          <w:p w14:paraId="67CA1A5B" w14:textId="77777777" w:rsidR="00087B91" w:rsidRPr="002029AF" w:rsidRDefault="00087B91" w:rsidP="00860E95">
            <w:pPr>
              <w:pStyle w:val="ARfintablebodyright"/>
            </w:pPr>
            <w:r w:rsidRPr="002029AF">
              <w:t>7,396.4</w:t>
            </w:r>
          </w:p>
        </w:tc>
      </w:tr>
      <w:tr w:rsidR="00087B91" w:rsidRPr="002029AF" w14:paraId="198C3387" w14:textId="77777777" w:rsidTr="00860E95">
        <w:tc>
          <w:tcPr>
            <w:tcW w:w="2835" w:type="dxa"/>
            <w:tcBorders>
              <w:top w:val="single" w:sz="4" w:space="0" w:color="A6A6A6"/>
            </w:tcBorders>
            <w:hideMark/>
          </w:tcPr>
          <w:p w14:paraId="7DE55EE4" w14:textId="4EA1DCFC" w:rsidR="00087B91" w:rsidRPr="002029AF" w:rsidRDefault="00087B91" w:rsidP="00860E95">
            <w:pPr>
              <w:pStyle w:val="ARfintablebody"/>
            </w:pPr>
            <w:r w:rsidRPr="002029AF">
              <w:t>Other</w:t>
            </w:r>
            <w:r w:rsidR="000A5329" w:rsidRPr="002029AF">
              <w:t xml:space="preserve"> </w:t>
            </w:r>
            <w:r w:rsidRPr="002029AF">
              <w:t>items</w:t>
            </w:r>
            <w:r w:rsidR="000A5329" w:rsidRPr="002029AF">
              <w:t xml:space="preserve"> </w:t>
            </w:r>
            <w:r w:rsidRPr="002029AF">
              <w:t>in</w:t>
            </w:r>
            <w:r w:rsidR="000A5329" w:rsidRPr="002029AF">
              <w:t xml:space="preserve"> </w:t>
            </w:r>
            <w:r w:rsidRPr="002029AF">
              <w:t>equity</w:t>
            </w:r>
          </w:p>
        </w:tc>
        <w:tc>
          <w:tcPr>
            <w:tcW w:w="1701" w:type="dxa"/>
            <w:tcBorders>
              <w:top w:val="single" w:sz="4" w:space="0" w:color="A6A6A6"/>
            </w:tcBorders>
            <w:noWrap/>
            <w:hideMark/>
          </w:tcPr>
          <w:p w14:paraId="63765620" w14:textId="77777777" w:rsidR="00087B91" w:rsidRPr="002029AF" w:rsidRDefault="00087B91" w:rsidP="00860E95">
            <w:pPr>
              <w:pStyle w:val="ARfintablebodyright"/>
            </w:pPr>
          </w:p>
        </w:tc>
        <w:tc>
          <w:tcPr>
            <w:tcW w:w="1701" w:type="dxa"/>
            <w:tcBorders>
              <w:top w:val="single" w:sz="4" w:space="0" w:color="A6A6A6"/>
            </w:tcBorders>
            <w:noWrap/>
            <w:hideMark/>
          </w:tcPr>
          <w:p w14:paraId="4DD2E8DC" w14:textId="77777777" w:rsidR="00087B91" w:rsidRPr="002029AF" w:rsidRDefault="00087B91" w:rsidP="00860E95">
            <w:pPr>
              <w:pStyle w:val="ARfintablebodyright"/>
            </w:pPr>
            <w:r w:rsidRPr="002029AF">
              <w:t>22,199.3</w:t>
            </w:r>
          </w:p>
        </w:tc>
        <w:tc>
          <w:tcPr>
            <w:tcW w:w="1701" w:type="dxa"/>
            <w:tcBorders>
              <w:top w:val="single" w:sz="4" w:space="0" w:color="A6A6A6"/>
            </w:tcBorders>
            <w:noWrap/>
            <w:hideMark/>
          </w:tcPr>
          <w:p w14:paraId="2F3C1498" w14:textId="77777777" w:rsidR="00087B91" w:rsidRPr="002029AF" w:rsidRDefault="00087B91" w:rsidP="00860E95">
            <w:pPr>
              <w:pStyle w:val="ARfintablebodyright"/>
            </w:pPr>
            <w:r w:rsidRPr="002029AF">
              <w:t>–</w:t>
            </w:r>
          </w:p>
        </w:tc>
        <w:tc>
          <w:tcPr>
            <w:tcW w:w="1701" w:type="dxa"/>
            <w:tcBorders>
              <w:top w:val="single" w:sz="4" w:space="0" w:color="A6A6A6"/>
            </w:tcBorders>
            <w:noWrap/>
            <w:hideMark/>
          </w:tcPr>
          <w:p w14:paraId="2EEEC870" w14:textId="77777777" w:rsidR="00087B91" w:rsidRPr="002029AF" w:rsidRDefault="00087B91" w:rsidP="00860E95">
            <w:pPr>
              <w:pStyle w:val="ARfintablebodyright"/>
            </w:pPr>
            <w:r w:rsidRPr="002029AF">
              <w:t>22,199.3</w:t>
            </w:r>
          </w:p>
        </w:tc>
      </w:tr>
      <w:tr w:rsidR="00087B91" w:rsidRPr="002029AF" w14:paraId="479AF9E7" w14:textId="77777777" w:rsidTr="00860E95">
        <w:tc>
          <w:tcPr>
            <w:tcW w:w="2835" w:type="dxa"/>
          </w:tcPr>
          <w:p w14:paraId="32A1766B" w14:textId="63900721" w:rsidR="00087B91" w:rsidRPr="002029AF" w:rsidRDefault="00087B91" w:rsidP="00860E95">
            <w:pPr>
              <w:pStyle w:val="ARfintablebodybold"/>
            </w:pPr>
            <w:r w:rsidRPr="002029AF">
              <w:t>Total</w:t>
            </w:r>
            <w:r w:rsidR="000A5329" w:rsidRPr="002029AF">
              <w:t xml:space="preserve"> </w:t>
            </w:r>
            <w:r w:rsidRPr="002029AF">
              <w:t>equity</w:t>
            </w:r>
          </w:p>
        </w:tc>
        <w:tc>
          <w:tcPr>
            <w:tcW w:w="1701" w:type="dxa"/>
            <w:noWrap/>
          </w:tcPr>
          <w:p w14:paraId="7748BF6F" w14:textId="77777777" w:rsidR="00087B91" w:rsidRPr="002029AF" w:rsidRDefault="00087B91" w:rsidP="00860E95">
            <w:pPr>
              <w:pStyle w:val="ARfintablebodyrightbold"/>
            </w:pPr>
          </w:p>
        </w:tc>
        <w:tc>
          <w:tcPr>
            <w:tcW w:w="1701" w:type="dxa"/>
            <w:noWrap/>
          </w:tcPr>
          <w:p w14:paraId="3CE4F9FD" w14:textId="77777777" w:rsidR="00087B91" w:rsidRPr="002029AF" w:rsidRDefault="00087B91" w:rsidP="00860E95">
            <w:pPr>
              <w:pStyle w:val="ARfintablebodyrightbold"/>
            </w:pPr>
            <w:r w:rsidRPr="002029AF">
              <w:t>31,195.0</w:t>
            </w:r>
          </w:p>
        </w:tc>
        <w:tc>
          <w:tcPr>
            <w:tcW w:w="1701" w:type="dxa"/>
            <w:noWrap/>
          </w:tcPr>
          <w:p w14:paraId="375731B5" w14:textId="77777777" w:rsidR="00087B91" w:rsidRPr="002029AF" w:rsidRDefault="00087B91" w:rsidP="00860E95">
            <w:pPr>
              <w:pStyle w:val="ARfintablebodyrightbold"/>
            </w:pPr>
            <w:r w:rsidRPr="002029AF">
              <w:t>–</w:t>
            </w:r>
          </w:p>
        </w:tc>
        <w:tc>
          <w:tcPr>
            <w:tcW w:w="1701" w:type="dxa"/>
            <w:noWrap/>
          </w:tcPr>
          <w:p w14:paraId="271ABB95" w14:textId="77777777" w:rsidR="00087B91" w:rsidRPr="002029AF" w:rsidRDefault="00087B91" w:rsidP="00860E95">
            <w:pPr>
              <w:pStyle w:val="ARfintablebodyrightbold"/>
            </w:pPr>
            <w:r w:rsidRPr="002029AF">
              <w:t>31,195.0</w:t>
            </w:r>
          </w:p>
        </w:tc>
      </w:tr>
    </w:tbl>
    <w:p w14:paraId="1F71E44B" w14:textId="411CCE0B" w:rsidR="00087B91" w:rsidRPr="002029AF" w:rsidRDefault="00087B91" w:rsidP="00087B91">
      <w:pPr>
        <w:pStyle w:val="Heading4"/>
      </w:pPr>
      <w:bookmarkStart w:id="409" w:name="_Toc39242178"/>
      <w:r w:rsidRPr="002029AF">
        <w:lastRenderedPageBreak/>
        <w:t>9.13</w:t>
      </w:r>
      <w:r w:rsidR="000A5329" w:rsidRPr="002029AF">
        <w:t xml:space="preserve"> </w:t>
      </w:r>
      <w:r w:rsidRPr="002029AF">
        <w:t>Australian</w:t>
      </w:r>
      <w:r w:rsidR="000A5329" w:rsidRPr="002029AF">
        <w:t xml:space="preserve"> </w:t>
      </w:r>
      <w:r w:rsidRPr="002029AF">
        <w:t>Accounting</w:t>
      </w:r>
      <w:r w:rsidR="000A5329" w:rsidRPr="002029AF">
        <w:t xml:space="preserve"> </w:t>
      </w:r>
      <w:r w:rsidRPr="002029AF">
        <w:t>Standards</w:t>
      </w:r>
      <w:r w:rsidR="000A5329" w:rsidRPr="002029AF">
        <w:t xml:space="preserve"> </w:t>
      </w:r>
      <w:r w:rsidRPr="002029AF">
        <w:t>issued</w:t>
      </w:r>
      <w:r w:rsidR="000A5329" w:rsidRPr="002029AF">
        <w:t xml:space="preserve"> </w:t>
      </w:r>
      <w:r w:rsidRPr="002029AF">
        <w:t>that</w:t>
      </w:r>
      <w:r w:rsidR="000A5329" w:rsidRPr="002029AF">
        <w:t xml:space="preserve"> </w:t>
      </w:r>
      <w:r w:rsidRPr="002029AF">
        <w:t>are</w:t>
      </w:r>
      <w:r w:rsidR="000A5329" w:rsidRPr="002029AF">
        <w:t xml:space="preserve"> </w:t>
      </w:r>
      <w:r w:rsidRPr="002029AF">
        <w:t>not</w:t>
      </w:r>
      <w:r w:rsidR="000A5329" w:rsidRPr="002029AF">
        <w:t xml:space="preserve"> </w:t>
      </w:r>
      <w:r w:rsidRPr="002029AF">
        <w:t>yet</w:t>
      </w:r>
      <w:r w:rsidR="000A5329" w:rsidRPr="002029AF">
        <w:t xml:space="preserve"> </w:t>
      </w:r>
      <w:r w:rsidRPr="002029AF">
        <w:t>effective</w:t>
      </w:r>
      <w:bookmarkEnd w:id="409"/>
    </w:p>
    <w:p w14:paraId="6F4FCEC2" w14:textId="35AFC755" w:rsidR="00087B91" w:rsidRPr="002029AF" w:rsidRDefault="00087B91" w:rsidP="00087B91">
      <w:pPr>
        <w:pStyle w:val="ARfinbody"/>
        <w:rPr>
          <w:rFonts w:eastAsia="Arial"/>
        </w:rPr>
      </w:pPr>
      <w:r w:rsidRPr="002029AF">
        <w:rPr>
          <w:rFonts w:eastAsia="Arial"/>
        </w:rPr>
        <w:t>Certain</w:t>
      </w:r>
      <w:r w:rsidR="000A5329" w:rsidRPr="002029AF">
        <w:rPr>
          <w:rFonts w:eastAsia="Arial"/>
        </w:rPr>
        <w:t xml:space="preserve"> </w:t>
      </w:r>
      <w:r w:rsidRPr="002029AF">
        <w:rPr>
          <w:rFonts w:eastAsia="Arial"/>
        </w:rPr>
        <w:t>new</w:t>
      </w:r>
      <w:r w:rsidR="000A5329" w:rsidRPr="002029AF">
        <w:rPr>
          <w:rFonts w:eastAsia="Arial"/>
        </w:rPr>
        <w:t xml:space="preserve"> </w:t>
      </w:r>
      <w:r w:rsidRPr="002029AF">
        <w:rPr>
          <w:rFonts w:eastAsia="Arial"/>
        </w:rPr>
        <w:t>and</w:t>
      </w:r>
      <w:r w:rsidR="000A5329" w:rsidRPr="002029AF">
        <w:rPr>
          <w:rFonts w:eastAsia="Arial"/>
        </w:rPr>
        <w:t xml:space="preserve"> </w:t>
      </w:r>
      <w:r w:rsidRPr="002029AF">
        <w:rPr>
          <w:rFonts w:eastAsia="Arial"/>
        </w:rPr>
        <w:t>revised</w:t>
      </w:r>
      <w:r w:rsidR="000A5329" w:rsidRPr="002029AF">
        <w:rPr>
          <w:rFonts w:eastAsia="Arial"/>
        </w:rPr>
        <w:t xml:space="preserve"> </w:t>
      </w:r>
      <w:r w:rsidRPr="002029AF">
        <w:rPr>
          <w:rFonts w:eastAsia="Arial"/>
        </w:rPr>
        <w:t>accounting</w:t>
      </w:r>
      <w:r w:rsidR="000A5329" w:rsidRPr="002029AF">
        <w:rPr>
          <w:rFonts w:eastAsia="Arial"/>
        </w:rPr>
        <w:t xml:space="preserve"> </w:t>
      </w:r>
      <w:r w:rsidRPr="002029AF">
        <w:rPr>
          <w:rFonts w:eastAsia="Arial"/>
        </w:rPr>
        <w:t>standards</w:t>
      </w:r>
      <w:r w:rsidR="000A5329" w:rsidRPr="002029AF">
        <w:rPr>
          <w:rFonts w:eastAsia="Arial"/>
        </w:rPr>
        <w:t xml:space="preserve"> </w:t>
      </w:r>
      <w:r w:rsidRPr="002029AF">
        <w:rPr>
          <w:rFonts w:eastAsia="Arial"/>
        </w:rPr>
        <w:t>have</w:t>
      </w:r>
      <w:r w:rsidR="000A5329" w:rsidRPr="002029AF">
        <w:rPr>
          <w:rFonts w:eastAsia="Arial"/>
        </w:rPr>
        <w:t xml:space="preserve"> </w:t>
      </w:r>
      <w:r w:rsidRPr="002029AF">
        <w:rPr>
          <w:rFonts w:eastAsia="Arial"/>
        </w:rPr>
        <w:t>been</w:t>
      </w:r>
      <w:r w:rsidR="000A5329" w:rsidRPr="002029AF">
        <w:rPr>
          <w:rFonts w:eastAsia="Arial"/>
        </w:rPr>
        <w:t xml:space="preserve"> </w:t>
      </w:r>
      <w:r w:rsidRPr="002029AF">
        <w:rPr>
          <w:rFonts w:eastAsia="Arial"/>
        </w:rPr>
        <w:t>issued</w:t>
      </w:r>
      <w:r w:rsidR="000A5329" w:rsidRPr="002029AF">
        <w:rPr>
          <w:rFonts w:eastAsia="Arial"/>
        </w:rPr>
        <w:t xml:space="preserve"> </w:t>
      </w:r>
      <w:r w:rsidRPr="002029AF">
        <w:rPr>
          <w:rFonts w:eastAsia="Arial"/>
        </w:rPr>
        <w:t>but</w:t>
      </w:r>
      <w:r w:rsidR="000A5329" w:rsidRPr="002029AF">
        <w:rPr>
          <w:rFonts w:eastAsia="Arial"/>
        </w:rPr>
        <w:t xml:space="preserve"> </w:t>
      </w:r>
      <w:r w:rsidRPr="002029AF">
        <w:rPr>
          <w:rFonts w:eastAsia="Arial"/>
        </w:rPr>
        <w:t>are</w:t>
      </w:r>
      <w:r w:rsidR="000A5329" w:rsidRPr="002029AF">
        <w:rPr>
          <w:rFonts w:eastAsia="Arial"/>
        </w:rPr>
        <w:t xml:space="preserve"> </w:t>
      </w:r>
      <w:r w:rsidRPr="002029AF">
        <w:rPr>
          <w:rFonts w:eastAsia="Arial"/>
        </w:rPr>
        <w:t>not</w:t>
      </w:r>
      <w:r w:rsidR="000A5329" w:rsidRPr="002029AF">
        <w:rPr>
          <w:rFonts w:eastAsia="Arial"/>
        </w:rPr>
        <w:t xml:space="preserve"> </w:t>
      </w:r>
      <w:r w:rsidRPr="002029AF">
        <w:rPr>
          <w:rFonts w:eastAsia="Arial"/>
        </w:rPr>
        <w:t>effective</w:t>
      </w:r>
      <w:r w:rsidR="000A5329" w:rsidRPr="002029AF">
        <w:rPr>
          <w:rFonts w:eastAsia="Arial"/>
        </w:rPr>
        <w:t xml:space="preserve"> </w:t>
      </w:r>
      <w:r w:rsidRPr="002029AF">
        <w:rPr>
          <w:rFonts w:eastAsia="Arial"/>
        </w:rPr>
        <w:t>for</w:t>
      </w:r>
      <w:r w:rsidR="000A5329" w:rsidRPr="002029AF">
        <w:rPr>
          <w:rFonts w:eastAsia="Arial"/>
        </w:rPr>
        <w:t xml:space="preserve"> </w:t>
      </w:r>
      <w:r w:rsidRPr="002029AF">
        <w:rPr>
          <w:rFonts w:eastAsia="Arial"/>
        </w:rPr>
        <w:t>the</w:t>
      </w:r>
      <w:r w:rsidR="000A5329" w:rsidRPr="002029AF">
        <w:rPr>
          <w:rFonts w:eastAsia="Arial"/>
        </w:rPr>
        <w:t xml:space="preserve"> </w:t>
      </w:r>
      <w:r w:rsidRPr="002029AF">
        <w:rPr>
          <w:rFonts w:eastAsia="Arial"/>
        </w:rPr>
        <w:t>2019–20</w:t>
      </w:r>
      <w:r w:rsidR="000A5329" w:rsidRPr="002029AF">
        <w:rPr>
          <w:rFonts w:eastAsia="Arial"/>
        </w:rPr>
        <w:t xml:space="preserve"> </w:t>
      </w:r>
      <w:r w:rsidRPr="002029AF">
        <w:rPr>
          <w:rFonts w:eastAsia="Arial"/>
        </w:rPr>
        <w:t>reporting</w:t>
      </w:r>
      <w:r w:rsidR="000A5329" w:rsidRPr="002029AF">
        <w:rPr>
          <w:rFonts w:eastAsia="Arial"/>
        </w:rPr>
        <w:t xml:space="preserve"> </w:t>
      </w:r>
      <w:r w:rsidRPr="002029AF">
        <w:rPr>
          <w:rFonts w:eastAsia="Arial"/>
        </w:rPr>
        <w:t>period.</w:t>
      </w:r>
      <w:r w:rsidR="000A5329" w:rsidRPr="002029AF">
        <w:rPr>
          <w:rFonts w:eastAsia="Arial"/>
        </w:rPr>
        <w:t xml:space="preserve"> </w:t>
      </w:r>
      <w:r w:rsidRPr="002029AF">
        <w:rPr>
          <w:rFonts w:eastAsia="Arial"/>
        </w:rPr>
        <w:t>These</w:t>
      </w:r>
      <w:r w:rsidR="000A5329" w:rsidRPr="002029AF">
        <w:rPr>
          <w:rFonts w:eastAsia="Arial"/>
        </w:rPr>
        <w:t xml:space="preserve"> </w:t>
      </w:r>
      <w:r w:rsidRPr="002029AF">
        <w:rPr>
          <w:rFonts w:eastAsia="Arial"/>
        </w:rPr>
        <w:t>accounting</w:t>
      </w:r>
      <w:r w:rsidR="000A5329" w:rsidRPr="002029AF">
        <w:rPr>
          <w:rFonts w:eastAsia="Arial"/>
        </w:rPr>
        <w:t xml:space="preserve"> </w:t>
      </w:r>
      <w:r w:rsidRPr="002029AF">
        <w:rPr>
          <w:rFonts w:eastAsia="Arial"/>
        </w:rPr>
        <w:t>standards</w:t>
      </w:r>
      <w:r w:rsidR="000A5329" w:rsidRPr="002029AF">
        <w:rPr>
          <w:rFonts w:eastAsia="Arial"/>
        </w:rPr>
        <w:t xml:space="preserve"> </w:t>
      </w:r>
      <w:r w:rsidRPr="002029AF">
        <w:rPr>
          <w:rFonts w:eastAsia="Arial"/>
        </w:rPr>
        <w:t>have</w:t>
      </w:r>
      <w:r w:rsidR="000A5329" w:rsidRPr="002029AF">
        <w:rPr>
          <w:rFonts w:eastAsia="Arial"/>
        </w:rPr>
        <w:t xml:space="preserve"> </w:t>
      </w:r>
      <w:r w:rsidRPr="002029AF">
        <w:rPr>
          <w:rFonts w:eastAsia="Arial"/>
        </w:rPr>
        <w:t>not</w:t>
      </w:r>
      <w:r w:rsidR="000A5329" w:rsidRPr="002029AF">
        <w:rPr>
          <w:rFonts w:eastAsia="Arial"/>
        </w:rPr>
        <w:t xml:space="preserve"> </w:t>
      </w:r>
      <w:r w:rsidRPr="002029AF">
        <w:rPr>
          <w:rFonts w:eastAsia="Arial"/>
        </w:rPr>
        <w:t>been</w:t>
      </w:r>
      <w:r w:rsidR="000A5329" w:rsidRPr="002029AF">
        <w:rPr>
          <w:rFonts w:eastAsia="Arial"/>
        </w:rPr>
        <w:t xml:space="preserve"> </w:t>
      </w:r>
      <w:r w:rsidRPr="002029AF">
        <w:rPr>
          <w:rFonts w:eastAsia="Arial"/>
        </w:rPr>
        <w:t>applied</w:t>
      </w:r>
      <w:r w:rsidR="000A5329" w:rsidRPr="002029AF">
        <w:rPr>
          <w:rFonts w:eastAsia="Arial"/>
        </w:rPr>
        <w:t xml:space="preserve"> </w:t>
      </w:r>
      <w:r w:rsidRPr="002029AF">
        <w:rPr>
          <w:rFonts w:eastAsia="Arial"/>
        </w:rPr>
        <w:t>to</w:t>
      </w:r>
      <w:r w:rsidR="000A5329" w:rsidRPr="002029AF">
        <w:rPr>
          <w:rFonts w:eastAsia="Arial"/>
        </w:rPr>
        <w:t xml:space="preserve"> </w:t>
      </w:r>
      <w:r w:rsidRPr="002029AF">
        <w:rPr>
          <w:rFonts w:eastAsia="Arial"/>
        </w:rPr>
        <w:t>the</w:t>
      </w:r>
      <w:r w:rsidR="000A5329" w:rsidRPr="002029AF">
        <w:rPr>
          <w:rFonts w:eastAsia="Arial"/>
        </w:rPr>
        <w:t xml:space="preserve"> </w:t>
      </w:r>
      <w:r w:rsidRPr="002029AF">
        <w:rPr>
          <w:rFonts w:eastAsia="Arial"/>
        </w:rPr>
        <w:t>model</w:t>
      </w:r>
      <w:r w:rsidR="000A5329" w:rsidRPr="002029AF">
        <w:rPr>
          <w:rFonts w:eastAsia="Arial"/>
        </w:rPr>
        <w:t xml:space="preserve"> </w:t>
      </w:r>
      <w:r w:rsidRPr="002029AF">
        <w:rPr>
          <w:rFonts w:eastAsia="Arial"/>
        </w:rPr>
        <w:t>financial</w:t>
      </w:r>
      <w:r w:rsidR="000A5329" w:rsidRPr="002029AF">
        <w:rPr>
          <w:rFonts w:eastAsia="Arial"/>
        </w:rPr>
        <w:t xml:space="preserve"> </w:t>
      </w:r>
      <w:r w:rsidRPr="002029AF">
        <w:rPr>
          <w:rFonts w:eastAsia="Arial"/>
        </w:rPr>
        <w:t>statements.</w:t>
      </w:r>
      <w:r w:rsidR="000A5329" w:rsidRPr="002029AF">
        <w:rPr>
          <w:rFonts w:eastAsia="Arial"/>
        </w:rPr>
        <w:t xml:space="preserve"> </w:t>
      </w:r>
      <w:r w:rsidRPr="002029AF">
        <w:rPr>
          <w:rFonts w:eastAsia="Arial"/>
        </w:rPr>
        <w:t>The</w:t>
      </w:r>
      <w:r w:rsidR="000A5329" w:rsidRPr="002029AF">
        <w:rPr>
          <w:rFonts w:eastAsia="Arial"/>
        </w:rPr>
        <w:t xml:space="preserve"> </w:t>
      </w:r>
      <w:r w:rsidRPr="002029AF">
        <w:rPr>
          <w:rFonts w:eastAsia="Arial"/>
        </w:rPr>
        <w:t>state</w:t>
      </w:r>
      <w:r w:rsidR="000A5329" w:rsidRPr="002029AF">
        <w:rPr>
          <w:rFonts w:eastAsia="Arial"/>
        </w:rPr>
        <w:t xml:space="preserve"> </w:t>
      </w:r>
      <w:r w:rsidRPr="002029AF">
        <w:rPr>
          <w:rFonts w:eastAsia="Arial"/>
        </w:rPr>
        <w:t>is</w:t>
      </w:r>
      <w:r w:rsidR="000A5329" w:rsidRPr="002029AF">
        <w:rPr>
          <w:rFonts w:eastAsia="Arial"/>
        </w:rPr>
        <w:t xml:space="preserve"> </w:t>
      </w:r>
      <w:r w:rsidRPr="002029AF">
        <w:rPr>
          <w:rFonts w:eastAsia="Arial"/>
        </w:rPr>
        <w:t>reviewing</w:t>
      </w:r>
      <w:r w:rsidR="000A5329" w:rsidRPr="002029AF">
        <w:rPr>
          <w:rFonts w:eastAsia="Arial"/>
        </w:rPr>
        <w:t xml:space="preserve"> </w:t>
      </w:r>
      <w:r w:rsidRPr="002029AF">
        <w:rPr>
          <w:rFonts w:eastAsia="Arial"/>
        </w:rPr>
        <w:t>its</w:t>
      </w:r>
      <w:r w:rsidR="000A5329" w:rsidRPr="002029AF">
        <w:rPr>
          <w:rFonts w:eastAsia="Arial"/>
        </w:rPr>
        <w:t xml:space="preserve"> </w:t>
      </w:r>
      <w:r w:rsidRPr="002029AF">
        <w:rPr>
          <w:rFonts w:eastAsia="Arial"/>
        </w:rPr>
        <w:t>existing</w:t>
      </w:r>
      <w:r w:rsidR="000A5329" w:rsidRPr="002029AF">
        <w:rPr>
          <w:rFonts w:eastAsia="Arial"/>
        </w:rPr>
        <w:t xml:space="preserve"> </w:t>
      </w:r>
      <w:r w:rsidRPr="002029AF">
        <w:rPr>
          <w:rFonts w:eastAsia="Arial"/>
        </w:rPr>
        <w:t>policies</w:t>
      </w:r>
      <w:r w:rsidR="000A5329" w:rsidRPr="002029AF">
        <w:rPr>
          <w:rFonts w:eastAsia="Arial"/>
        </w:rPr>
        <w:t xml:space="preserve"> </w:t>
      </w:r>
      <w:r w:rsidRPr="002029AF">
        <w:rPr>
          <w:rFonts w:eastAsia="Arial"/>
        </w:rPr>
        <w:t>and</w:t>
      </w:r>
      <w:r w:rsidR="000A5329" w:rsidRPr="002029AF">
        <w:rPr>
          <w:rFonts w:eastAsia="Arial"/>
        </w:rPr>
        <w:t xml:space="preserve"> </w:t>
      </w:r>
      <w:r w:rsidRPr="002029AF">
        <w:rPr>
          <w:rFonts w:eastAsia="Arial"/>
        </w:rPr>
        <w:t>assessing</w:t>
      </w:r>
      <w:r w:rsidR="000A5329" w:rsidRPr="002029AF">
        <w:rPr>
          <w:rFonts w:eastAsia="Arial"/>
        </w:rPr>
        <w:t xml:space="preserve"> </w:t>
      </w:r>
      <w:r w:rsidRPr="002029AF">
        <w:rPr>
          <w:rFonts w:eastAsia="Arial"/>
        </w:rPr>
        <w:t>the</w:t>
      </w:r>
      <w:r w:rsidR="000A5329" w:rsidRPr="002029AF">
        <w:rPr>
          <w:rFonts w:eastAsia="Arial"/>
        </w:rPr>
        <w:t xml:space="preserve"> </w:t>
      </w:r>
      <w:r w:rsidRPr="002029AF">
        <w:rPr>
          <w:rFonts w:eastAsia="Arial"/>
        </w:rPr>
        <w:t>potential</w:t>
      </w:r>
      <w:r w:rsidR="000A5329" w:rsidRPr="002029AF">
        <w:rPr>
          <w:rFonts w:eastAsia="Arial"/>
        </w:rPr>
        <w:t xml:space="preserve"> </w:t>
      </w:r>
      <w:r w:rsidRPr="002029AF">
        <w:rPr>
          <w:rFonts w:eastAsia="Arial"/>
        </w:rPr>
        <w:t>implications</w:t>
      </w:r>
      <w:r w:rsidR="000A5329" w:rsidRPr="002029AF">
        <w:rPr>
          <w:rFonts w:eastAsia="Arial"/>
        </w:rPr>
        <w:t xml:space="preserve"> </w:t>
      </w:r>
      <w:r w:rsidRPr="002029AF">
        <w:rPr>
          <w:rFonts w:eastAsia="Arial"/>
        </w:rPr>
        <w:t>of</w:t>
      </w:r>
      <w:r w:rsidR="000A5329" w:rsidRPr="002029AF">
        <w:rPr>
          <w:rFonts w:eastAsia="Arial"/>
        </w:rPr>
        <w:t xml:space="preserve"> </w:t>
      </w:r>
      <w:r w:rsidRPr="002029AF">
        <w:rPr>
          <w:rFonts w:eastAsia="Arial"/>
        </w:rPr>
        <w:t>these</w:t>
      </w:r>
      <w:r w:rsidR="000A5329" w:rsidRPr="002029AF">
        <w:rPr>
          <w:rFonts w:eastAsia="Arial"/>
        </w:rPr>
        <w:t xml:space="preserve"> </w:t>
      </w:r>
      <w:r w:rsidRPr="002029AF">
        <w:rPr>
          <w:rFonts w:eastAsia="Arial"/>
        </w:rPr>
        <w:t>accounting</w:t>
      </w:r>
      <w:r w:rsidR="000A5329" w:rsidRPr="002029AF">
        <w:rPr>
          <w:rFonts w:eastAsia="Arial"/>
        </w:rPr>
        <w:t xml:space="preserve"> </w:t>
      </w:r>
      <w:r w:rsidRPr="002029AF">
        <w:rPr>
          <w:rFonts w:eastAsia="Arial"/>
        </w:rPr>
        <w:t>standards</w:t>
      </w:r>
      <w:r w:rsidR="000A5329" w:rsidRPr="002029AF">
        <w:rPr>
          <w:rFonts w:eastAsia="Arial"/>
        </w:rPr>
        <w:t xml:space="preserve"> </w:t>
      </w:r>
      <w:r w:rsidRPr="002029AF">
        <w:rPr>
          <w:rFonts w:eastAsia="Arial"/>
        </w:rPr>
        <w:t>which</w:t>
      </w:r>
      <w:r w:rsidR="000A5329" w:rsidRPr="002029AF">
        <w:rPr>
          <w:rFonts w:eastAsia="Arial"/>
        </w:rPr>
        <w:t xml:space="preserve"> </w:t>
      </w:r>
      <w:r w:rsidRPr="002029AF">
        <w:rPr>
          <w:rFonts w:eastAsia="Arial"/>
        </w:rPr>
        <w:t>include:</w:t>
      </w:r>
    </w:p>
    <w:p w14:paraId="63BBED8C" w14:textId="74E7A3C0" w:rsidR="00087B91" w:rsidRPr="002029AF" w:rsidRDefault="00087B91" w:rsidP="00087B91">
      <w:pPr>
        <w:pStyle w:val="ARfinbullet1"/>
        <w:rPr>
          <w:rFonts w:eastAsia="Arial" w:cs="Arial"/>
          <w:spacing w:val="2"/>
        </w:rPr>
      </w:pPr>
      <w:r w:rsidRPr="002029AF">
        <w:rPr>
          <w:rFonts w:eastAsia="Arial" w:cs="Arial"/>
          <w:spacing w:val="2"/>
        </w:rPr>
        <w:t>AASB</w:t>
      </w:r>
      <w:r w:rsidR="000A5329" w:rsidRPr="002029AF">
        <w:rPr>
          <w:rFonts w:eastAsia="Arial" w:cs="Arial"/>
          <w:spacing w:val="2"/>
        </w:rPr>
        <w:t xml:space="preserve"> </w:t>
      </w:r>
      <w:r w:rsidRPr="002029AF">
        <w:rPr>
          <w:rFonts w:eastAsia="Arial" w:cs="Arial"/>
          <w:spacing w:val="2"/>
        </w:rPr>
        <w:t>2018-7</w:t>
      </w:r>
      <w:r w:rsidR="000A5329" w:rsidRPr="002029AF">
        <w:rPr>
          <w:rFonts w:eastAsia="Arial" w:cs="Arial"/>
          <w:spacing w:val="2"/>
        </w:rPr>
        <w:t xml:space="preserve"> </w:t>
      </w:r>
      <w:r w:rsidRPr="002029AF">
        <w:rPr>
          <w:rStyle w:val="Emphasis"/>
        </w:rPr>
        <w:t>Amendments</w:t>
      </w:r>
      <w:r w:rsidR="000A5329" w:rsidRPr="002029AF">
        <w:rPr>
          <w:rStyle w:val="Emphasis"/>
        </w:rPr>
        <w:t xml:space="preserve"> </w:t>
      </w:r>
      <w:r w:rsidRPr="002029AF">
        <w:rPr>
          <w:rStyle w:val="Emphasis"/>
        </w:rPr>
        <w:t>to</w:t>
      </w:r>
      <w:r w:rsidR="000A5329" w:rsidRPr="002029AF">
        <w:rPr>
          <w:rStyle w:val="Emphasis"/>
        </w:rPr>
        <w:t xml:space="preserve"> </w:t>
      </w:r>
      <w:r w:rsidRPr="002029AF">
        <w:rPr>
          <w:rStyle w:val="Emphasis"/>
        </w:rPr>
        <w:t>Australian</w:t>
      </w:r>
      <w:r w:rsidR="000A5329" w:rsidRPr="002029AF">
        <w:rPr>
          <w:rStyle w:val="Emphasis"/>
        </w:rPr>
        <w:t xml:space="preserve"> </w:t>
      </w:r>
      <w:r w:rsidRPr="002029AF">
        <w:rPr>
          <w:rStyle w:val="Emphasis"/>
        </w:rPr>
        <w:t>Accounting</w:t>
      </w:r>
      <w:r w:rsidR="000A5329" w:rsidRPr="002029AF">
        <w:rPr>
          <w:rStyle w:val="Emphasis"/>
        </w:rPr>
        <w:t xml:space="preserve"> </w:t>
      </w:r>
      <w:r w:rsidRPr="002029AF">
        <w:rPr>
          <w:rStyle w:val="Emphasis"/>
        </w:rPr>
        <w:t>Standards</w:t>
      </w:r>
      <w:r w:rsidR="000A5329" w:rsidRPr="002029AF">
        <w:rPr>
          <w:rStyle w:val="Emphasis"/>
        </w:rPr>
        <w:t xml:space="preserve"> </w:t>
      </w:r>
      <w:r w:rsidRPr="002029AF">
        <w:rPr>
          <w:rStyle w:val="Emphasis"/>
        </w:rPr>
        <w:t>–</w:t>
      </w:r>
      <w:r w:rsidR="000A5329" w:rsidRPr="002029AF">
        <w:rPr>
          <w:rStyle w:val="Emphasis"/>
        </w:rPr>
        <w:t xml:space="preserve"> </w:t>
      </w:r>
      <w:r w:rsidRPr="002029AF">
        <w:rPr>
          <w:rStyle w:val="Emphasis"/>
        </w:rPr>
        <w:t>Definition</w:t>
      </w:r>
      <w:r w:rsidR="000A5329" w:rsidRPr="002029AF">
        <w:rPr>
          <w:rStyle w:val="Emphasis"/>
        </w:rPr>
        <w:t xml:space="preserve"> </w:t>
      </w:r>
      <w:r w:rsidRPr="002029AF">
        <w:rPr>
          <w:rStyle w:val="Emphasis"/>
        </w:rPr>
        <w:t>of</w:t>
      </w:r>
      <w:r w:rsidR="000A5329" w:rsidRPr="002029AF">
        <w:rPr>
          <w:rStyle w:val="Emphasis"/>
        </w:rPr>
        <w:t xml:space="preserve"> </w:t>
      </w:r>
      <w:r w:rsidRPr="002029AF">
        <w:rPr>
          <w:rStyle w:val="Emphasis"/>
        </w:rPr>
        <w:t>Material</w:t>
      </w:r>
    </w:p>
    <w:p w14:paraId="3B95047A" w14:textId="07461086" w:rsidR="00087B91" w:rsidRPr="002029AF" w:rsidRDefault="00087B91" w:rsidP="00087B91">
      <w:pPr>
        <w:pStyle w:val="ARfinbody"/>
        <w:rPr>
          <w:rFonts w:eastAsia="Arial"/>
        </w:rPr>
      </w:pPr>
      <w:r w:rsidRPr="002029AF">
        <w:rPr>
          <w:rFonts w:eastAsia="Arial"/>
        </w:rPr>
        <w:t>This</w:t>
      </w:r>
      <w:r w:rsidR="000A5329" w:rsidRPr="002029AF">
        <w:rPr>
          <w:rFonts w:eastAsia="Arial"/>
        </w:rPr>
        <w:t xml:space="preserve"> </w:t>
      </w:r>
      <w:r w:rsidRPr="002029AF">
        <w:rPr>
          <w:rFonts w:eastAsia="Arial"/>
        </w:rPr>
        <w:t>standard</w:t>
      </w:r>
      <w:r w:rsidR="000A5329" w:rsidRPr="002029AF">
        <w:rPr>
          <w:rFonts w:eastAsia="Arial"/>
        </w:rPr>
        <w:t xml:space="preserve"> </w:t>
      </w:r>
      <w:r w:rsidRPr="002029AF">
        <w:rPr>
          <w:rFonts w:eastAsia="Arial"/>
        </w:rPr>
        <w:t>principally</w:t>
      </w:r>
      <w:r w:rsidR="000A5329" w:rsidRPr="002029AF">
        <w:rPr>
          <w:rFonts w:eastAsia="Arial"/>
        </w:rPr>
        <w:t xml:space="preserve"> </w:t>
      </w:r>
      <w:r w:rsidRPr="002029AF">
        <w:rPr>
          <w:rFonts w:eastAsia="Arial"/>
        </w:rPr>
        <w:t>amends</w:t>
      </w:r>
      <w:r w:rsidR="000A5329" w:rsidRPr="002029AF">
        <w:rPr>
          <w:rFonts w:eastAsia="Arial"/>
        </w:rPr>
        <w:t xml:space="preserve"> </w:t>
      </w:r>
      <w:r w:rsidRPr="002029AF">
        <w:rPr>
          <w:rFonts w:eastAsia="Arial"/>
        </w:rPr>
        <w:t>AASB</w:t>
      </w:r>
      <w:r w:rsidR="000A5329" w:rsidRPr="002029AF">
        <w:rPr>
          <w:rFonts w:eastAsia="Arial"/>
        </w:rPr>
        <w:t xml:space="preserve"> </w:t>
      </w:r>
      <w:r w:rsidRPr="002029AF">
        <w:rPr>
          <w:rFonts w:eastAsia="Arial"/>
        </w:rPr>
        <w:t>101</w:t>
      </w:r>
      <w:r w:rsidR="000A5329" w:rsidRPr="002029AF">
        <w:rPr>
          <w:rFonts w:eastAsia="Arial"/>
        </w:rPr>
        <w:t xml:space="preserve"> </w:t>
      </w:r>
      <w:r w:rsidRPr="002029AF">
        <w:rPr>
          <w:rStyle w:val="Emphasis"/>
        </w:rPr>
        <w:t>Presentation</w:t>
      </w:r>
      <w:r w:rsidR="000A5329" w:rsidRPr="002029AF">
        <w:rPr>
          <w:rStyle w:val="Emphasis"/>
        </w:rPr>
        <w:t xml:space="preserve"> </w:t>
      </w:r>
      <w:r w:rsidRPr="002029AF">
        <w:rPr>
          <w:rStyle w:val="Emphasis"/>
        </w:rPr>
        <w:t>of</w:t>
      </w:r>
      <w:r w:rsidR="000A5329" w:rsidRPr="002029AF">
        <w:rPr>
          <w:rStyle w:val="Emphasis"/>
        </w:rPr>
        <w:t xml:space="preserve"> </w:t>
      </w:r>
      <w:r w:rsidRPr="002029AF">
        <w:rPr>
          <w:rStyle w:val="Emphasis"/>
        </w:rPr>
        <w:t>Financial</w:t>
      </w:r>
      <w:r w:rsidR="000A5329" w:rsidRPr="002029AF">
        <w:rPr>
          <w:rStyle w:val="Emphasis"/>
        </w:rPr>
        <w:t xml:space="preserve"> </w:t>
      </w:r>
      <w:r w:rsidRPr="002029AF">
        <w:rPr>
          <w:rStyle w:val="Emphasis"/>
        </w:rPr>
        <w:t>Statements</w:t>
      </w:r>
      <w:r w:rsidR="000A5329" w:rsidRPr="002029AF">
        <w:rPr>
          <w:rFonts w:eastAsia="Arial"/>
        </w:rPr>
        <w:t xml:space="preserve"> </w:t>
      </w:r>
      <w:r w:rsidRPr="002029AF">
        <w:rPr>
          <w:rFonts w:eastAsia="Arial"/>
        </w:rPr>
        <w:t>and</w:t>
      </w:r>
      <w:r w:rsidR="000A5329" w:rsidRPr="002029AF">
        <w:rPr>
          <w:rFonts w:eastAsia="Arial"/>
        </w:rPr>
        <w:t xml:space="preserve"> </w:t>
      </w:r>
      <w:r w:rsidRPr="002029AF">
        <w:rPr>
          <w:rFonts w:eastAsia="Arial"/>
        </w:rPr>
        <w:t>AASB</w:t>
      </w:r>
      <w:r w:rsidR="000A5329" w:rsidRPr="002029AF">
        <w:rPr>
          <w:rFonts w:eastAsia="Arial"/>
        </w:rPr>
        <w:t xml:space="preserve"> </w:t>
      </w:r>
      <w:r w:rsidRPr="002029AF">
        <w:rPr>
          <w:rFonts w:eastAsia="Arial"/>
        </w:rPr>
        <w:t>108</w:t>
      </w:r>
      <w:r w:rsidR="000A5329" w:rsidRPr="002029AF">
        <w:rPr>
          <w:rFonts w:eastAsia="Arial"/>
        </w:rPr>
        <w:t xml:space="preserve"> </w:t>
      </w:r>
      <w:r w:rsidRPr="002029AF">
        <w:rPr>
          <w:rStyle w:val="Emphasis"/>
        </w:rPr>
        <w:t>Accounting</w:t>
      </w:r>
      <w:r w:rsidR="000A5329" w:rsidRPr="002029AF">
        <w:rPr>
          <w:rStyle w:val="Emphasis"/>
        </w:rPr>
        <w:t xml:space="preserve"> </w:t>
      </w:r>
      <w:r w:rsidRPr="002029AF">
        <w:rPr>
          <w:rStyle w:val="Emphasis"/>
        </w:rPr>
        <w:t>Policies,</w:t>
      </w:r>
      <w:r w:rsidR="000A5329" w:rsidRPr="002029AF">
        <w:rPr>
          <w:rStyle w:val="Emphasis"/>
        </w:rPr>
        <w:t xml:space="preserve"> </w:t>
      </w:r>
      <w:r w:rsidRPr="002029AF">
        <w:rPr>
          <w:rStyle w:val="Emphasis"/>
        </w:rPr>
        <w:t>Changes</w:t>
      </w:r>
      <w:r w:rsidR="000A5329" w:rsidRPr="002029AF">
        <w:rPr>
          <w:rStyle w:val="Emphasis"/>
        </w:rPr>
        <w:t xml:space="preserve"> </w:t>
      </w:r>
      <w:r w:rsidRPr="002029AF">
        <w:rPr>
          <w:rStyle w:val="Emphasis"/>
        </w:rPr>
        <w:t>in</w:t>
      </w:r>
      <w:r w:rsidR="000A5329" w:rsidRPr="002029AF">
        <w:rPr>
          <w:rStyle w:val="Emphasis"/>
        </w:rPr>
        <w:t xml:space="preserve"> </w:t>
      </w:r>
      <w:r w:rsidRPr="002029AF">
        <w:rPr>
          <w:rStyle w:val="Emphasis"/>
        </w:rPr>
        <w:t>Accounting</w:t>
      </w:r>
      <w:r w:rsidR="000A5329" w:rsidRPr="002029AF">
        <w:rPr>
          <w:rStyle w:val="Emphasis"/>
        </w:rPr>
        <w:t xml:space="preserve"> </w:t>
      </w:r>
      <w:r w:rsidRPr="002029AF">
        <w:rPr>
          <w:rStyle w:val="Emphasis"/>
        </w:rPr>
        <w:t>Estimates</w:t>
      </w:r>
      <w:r w:rsidR="000A5329" w:rsidRPr="002029AF">
        <w:rPr>
          <w:rStyle w:val="Emphasis"/>
        </w:rPr>
        <w:t xml:space="preserve"> </w:t>
      </w:r>
      <w:r w:rsidRPr="002029AF">
        <w:rPr>
          <w:rStyle w:val="Emphasis"/>
        </w:rPr>
        <w:t>and</w:t>
      </w:r>
      <w:r w:rsidR="000A5329" w:rsidRPr="002029AF">
        <w:rPr>
          <w:rStyle w:val="Emphasis"/>
        </w:rPr>
        <w:t xml:space="preserve"> </w:t>
      </w:r>
      <w:r w:rsidRPr="002029AF">
        <w:rPr>
          <w:rStyle w:val="Emphasis"/>
        </w:rPr>
        <w:t>Errors</w:t>
      </w:r>
      <w:r w:rsidRPr="002029AF">
        <w:t>.</w:t>
      </w:r>
      <w:r w:rsidR="000A5329" w:rsidRPr="002029AF">
        <w:rPr>
          <w:rFonts w:eastAsia="Arial"/>
        </w:rPr>
        <w:t xml:space="preserve"> </w:t>
      </w:r>
      <w:r w:rsidRPr="002029AF">
        <w:rPr>
          <w:rFonts w:eastAsia="Arial"/>
        </w:rPr>
        <w:t>It</w:t>
      </w:r>
      <w:r w:rsidR="000A5329" w:rsidRPr="002029AF">
        <w:rPr>
          <w:rFonts w:eastAsia="Arial"/>
        </w:rPr>
        <w:t xml:space="preserve"> </w:t>
      </w:r>
      <w:r w:rsidRPr="002029AF">
        <w:rPr>
          <w:rFonts w:eastAsia="Arial"/>
        </w:rPr>
        <w:t>applies</w:t>
      </w:r>
      <w:r w:rsidR="000A5329" w:rsidRPr="002029AF">
        <w:rPr>
          <w:rFonts w:eastAsia="Arial"/>
        </w:rPr>
        <w:t xml:space="preserve"> </w:t>
      </w:r>
      <w:r w:rsidRPr="002029AF">
        <w:rPr>
          <w:rFonts w:eastAsia="Arial"/>
        </w:rPr>
        <w:t>to</w:t>
      </w:r>
      <w:r w:rsidR="000A5329" w:rsidRPr="002029AF">
        <w:rPr>
          <w:rFonts w:eastAsia="Arial"/>
        </w:rPr>
        <w:t xml:space="preserve"> </w:t>
      </w:r>
      <w:r w:rsidRPr="002029AF">
        <w:rPr>
          <w:rFonts w:eastAsia="Arial"/>
        </w:rPr>
        <w:t>reporting</w:t>
      </w:r>
      <w:r w:rsidR="000A5329" w:rsidRPr="002029AF">
        <w:rPr>
          <w:rFonts w:eastAsia="Arial"/>
        </w:rPr>
        <w:t xml:space="preserve"> </w:t>
      </w:r>
      <w:r w:rsidRPr="002029AF">
        <w:rPr>
          <w:rFonts w:eastAsia="Arial"/>
        </w:rPr>
        <w:t>periods</w:t>
      </w:r>
      <w:r w:rsidR="000A5329" w:rsidRPr="002029AF">
        <w:rPr>
          <w:rFonts w:eastAsia="Arial"/>
        </w:rPr>
        <w:t xml:space="preserve"> </w:t>
      </w:r>
      <w:r w:rsidRPr="002029AF">
        <w:rPr>
          <w:rFonts w:eastAsia="Arial"/>
        </w:rPr>
        <w:t>beginning</w:t>
      </w:r>
      <w:r w:rsidR="000A5329" w:rsidRPr="002029AF">
        <w:rPr>
          <w:rFonts w:eastAsia="Arial"/>
        </w:rPr>
        <w:t xml:space="preserve"> </w:t>
      </w:r>
      <w:r w:rsidRPr="002029AF">
        <w:rPr>
          <w:rFonts w:eastAsia="Arial"/>
        </w:rPr>
        <w:t>on</w:t>
      </w:r>
      <w:r w:rsidR="000A5329" w:rsidRPr="002029AF">
        <w:rPr>
          <w:rFonts w:eastAsia="Arial"/>
        </w:rPr>
        <w:t xml:space="preserve"> </w:t>
      </w:r>
      <w:r w:rsidRPr="002029AF">
        <w:rPr>
          <w:rFonts w:eastAsia="Arial"/>
        </w:rPr>
        <w:t>or</w:t>
      </w:r>
      <w:r w:rsidR="000A5329" w:rsidRPr="002029AF">
        <w:rPr>
          <w:rFonts w:eastAsia="Arial"/>
        </w:rPr>
        <w:t xml:space="preserve"> </w:t>
      </w:r>
      <w:r w:rsidRPr="002029AF">
        <w:rPr>
          <w:rFonts w:eastAsia="Arial"/>
        </w:rPr>
        <w:t>after</w:t>
      </w:r>
      <w:r w:rsidR="000A5329" w:rsidRPr="002029AF">
        <w:rPr>
          <w:rFonts w:eastAsia="Arial"/>
        </w:rPr>
        <w:t xml:space="preserve"> </w:t>
      </w:r>
      <w:r w:rsidRPr="002029AF">
        <w:rPr>
          <w:rFonts w:eastAsia="Arial"/>
        </w:rPr>
        <w:t>1</w:t>
      </w:r>
      <w:r w:rsidR="000A5329" w:rsidRPr="002029AF">
        <w:rPr>
          <w:rFonts w:eastAsia="Arial"/>
        </w:rPr>
        <w:t xml:space="preserve"> </w:t>
      </w:r>
      <w:r w:rsidRPr="002029AF">
        <w:rPr>
          <w:rFonts w:eastAsia="Arial"/>
        </w:rPr>
        <w:t>January</w:t>
      </w:r>
      <w:r w:rsidR="000A5329" w:rsidRPr="002029AF">
        <w:rPr>
          <w:rFonts w:eastAsia="Arial"/>
        </w:rPr>
        <w:t xml:space="preserve"> </w:t>
      </w:r>
      <w:r w:rsidRPr="002029AF">
        <w:rPr>
          <w:rFonts w:eastAsia="Arial"/>
        </w:rPr>
        <w:t>2020</w:t>
      </w:r>
      <w:r w:rsidR="000A5329" w:rsidRPr="002029AF">
        <w:rPr>
          <w:rFonts w:eastAsia="Arial"/>
        </w:rPr>
        <w:t xml:space="preserve"> </w:t>
      </w:r>
      <w:r w:rsidRPr="002029AF">
        <w:rPr>
          <w:rFonts w:eastAsia="Arial"/>
        </w:rPr>
        <w:t>with</w:t>
      </w:r>
      <w:r w:rsidR="000A5329" w:rsidRPr="002029AF">
        <w:rPr>
          <w:rFonts w:eastAsia="Arial"/>
        </w:rPr>
        <w:t xml:space="preserve"> </w:t>
      </w:r>
      <w:r w:rsidRPr="002029AF">
        <w:rPr>
          <w:rFonts w:eastAsia="Arial"/>
        </w:rPr>
        <w:t>earlier</w:t>
      </w:r>
      <w:r w:rsidR="000A5329" w:rsidRPr="002029AF">
        <w:rPr>
          <w:rFonts w:eastAsia="Arial"/>
        </w:rPr>
        <w:t xml:space="preserve"> </w:t>
      </w:r>
      <w:r w:rsidRPr="002029AF">
        <w:rPr>
          <w:rFonts w:eastAsia="Arial"/>
        </w:rPr>
        <w:t>application</w:t>
      </w:r>
      <w:r w:rsidR="000A5329" w:rsidRPr="002029AF">
        <w:rPr>
          <w:rFonts w:eastAsia="Arial"/>
        </w:rPr>
        <w:t xml:space="preserve"> </w:t>
      </w:r>
      <w:r w:rsidRPr="002029AF">
        <w:rPr>
          <w:rFonts w:eastAsia="Arial"/>
        </w:rPr>
        <w:t>permitted.</w:t>
      </w:r>
      <w:r w:rsidR="000A5329" w:rsidRPr="002029AF">
        <w:rPr>
          <w:rFonts w:eastAsia="Arial"/>
        </w:rPr>
        <w:t xml:space="preserve"> </w:t>
      </w:r>
      <w:r w:rsidRPr="002029AF">
        <w:rPr>
          <w:rFonts w:eastAsia="Arial"/>
        </w:rPr>
        <w:t>The</w:t>
      </w:r>
      <w:r w:rsidR="000A5329" w:rsidRPr="002029AF">
        <w:rPr>
          <w:rFonts w:eastAsia="Arial"/>
        </w:rPr>
        <w:t xml:space="preserve"> </w:t>
      </w:r>
      <w:r w:rsidRPr="002029AF">
        <w:rPr>
          <w:rFonts w:eastAsia="Arial"/>
        </w:rPr>
        <w:t>department</w:t>
      </w:r>
      <w:r w:rsidR="000A5329" w:rsidRPr="002029AF">
        <w:rPr>
          <w:rFonts w:eastAsia="Arial"/>
        </w:rPr>
        <w:t xml:space="preserve"> </w:t>
      </w:r>
      <w:r w:rsidRPr="002029AF">
        <w:rPr>
          <w:rFonts w:eastAsia="Arial"/>
        </w:rPr>
        <w:t>has</w:t>
      </w:r>
      <w:r w:rsidR="000A5329" w:rsidRPr="002029AF">
        <w:rPr>
          <w:rFonts w:eastAsia="Arial"/>
        </w:rPr>
        <w:t xml:space="preserve"> </w:t>
      </w:r>
      <w:r w:rsidRPr="002029AF">
        <w:rPr>
          <w:rFonts w:eastAsia="Arial"/>
        </w:rPr>
        <w:t>not</w:t>
      </w:r>
      <w:r w:rsidR="000A5329" w:rsidRPr="002029AF">
        <w:rPr>
          <w:rFonts w:eastAsia="Arial"/>
        </w:rPr>
        <w:t xml:space="preserve"> </w:t>
      </w:r>
      <w:r w:rsidRPr="002029AF">
        <w:rPr>
          <w:rFonts w:eastAsia="Arial"/>
        </w:rPr>
        <w:t>earlier</w:t>
      </w:r>
      <w:r w:rsidR="000A5329" w:rsidRPr="002029AF">
        <w:rPr>
          <w:rFonts w:eastAsia="Arial"/>
        </w:rPr>
        <w:t xml:space="preserve"> </w:t>
      </w:r>
      <w:r w:rsidRPr="002029AF">
        <w:rPr>
          <w:rFonts w:eastAsia="Arial"/>
        </w:rPr>
        <w:t>adopted</w:t>
      </w:r>
      <w:r w:rsidR="000A5329" w:rsidRPr="002029AF">
        <w:rPr>
          <w:rFonts w:eastAsia="Arial"/>
        </w:rPr>
        <w:t xml:space="preserve"> </w:t>
      </w:r>
      <w:r w:rsidRPr="002029AF">
        <w:rPr>
          <w:rFonts w:eastAsia="Arial"/>
        </w:rPr>
        <w:t>the</w:t>
      </w:r>
      <w:r w:rsidR="000A5329" w:rsidRPr="002029AF">
        <w:rPr>
          <w:rFonts w:eastAsia="Arial"/>
        </w:rPr>
        <w:t xml:space="preserve"> </w:t>
      </w:r>
      <w:r w:rsidRPr="002029AF">
        <w:rPr>
          <w:rFonts w:eastAsia="Arial"/>
        </w:rPr>
        <w:t>standard.</w:t>
      </w:r>
    </w:p>
    <w:p w14:paraId="5ED99662" w14:textId="69629EC8" w:rsidR="00087B91" w:rsidRPr="002029AF" w:rsidRDefault="00087B91" w:rsidP="00087B91">
      <w:pPr>
        <w:pStyle w:val="ARfinbody"/>
        <w:rPr>
          <w:rFonts w:eastAsia="Arial"/>
        </w:rPr>
      </w:pPr>
      <w:r w:rsidRPr="002029AF">
        <w:rPr>
          <w:rFonts w:eastAsia="Arial"/>
        </w:rPr>
        <w:t>The</w:t>
      </w:r>
      <w:r w:rsidR="000A5329" w:rsidRPr="002029AF">
        <w:rPr>
          <w:rFonts w:eastAsia="Arial"/>
        </w:rPr>
        <w:t xml:space="preserve"> </w:t>
      </w:r>
      <w:r w:rsidRPr="002029AF">
        <w:rPr>
          <w:rFonts w:eastAsia="Arial"/>
        </w:rPr>
        <w:t>amendments</w:t>
      </w:r>
      <w:r w:rsidR="000A5329" w:rsidRPr="002029AF">
        <w:rPr>
          <w:rFonts w:eastAsia="Arial"/>
        </w:rPr>
        <w:t xml:space="preserve"> </w:t>
      </w:r>
      <w:r w:rsidRPr="002029AF">
        <w:rPr>
          <w:rFonts w:eastAsia="Arial"/>
        </w:rPr>
        <w:t>refine</w:t>
      </w:r>
      <w:r w:rsidR="000A5329" w:rsidRPr="002029AF">
        <w:rPr>
          <w:rFonts w:eastAsia="Arial"/>
        </w:rPr>
        <w:t xml:space="preserve"> </w:t>
      </w:r>
      <w:r w:rsidRPr="002029AF">
        <w:rPr>
          <w:rFonts w:eastAsia="Arial"/>
        </w:rPr>
        <w:t>and</w:t>
      </w:r>
      <w:r w:rsidR="000A5329" w:rsidRPr="002029AF">
        <w:rPr>
          <w:rFonts w:eastAsia="Arial"/>
        </w:rPr>
        <w:t xml:space="preserve"> </w:t>
      </w:r>
      <w:r w:rsidRPr="002029AF">
        <w:rPr>
          <w:rFonts w:eastAsia="Arial"/>
        </w:rPr>
        <w:t>clarify</w:t>
      </w:r>
      <w:r w:rsidR="000A5329" w:rsidRPr="002029AF">
        <w:rPr>
          <w:rFonts w:eastAsia="Arial"/>
        </w:rPr>
        <w:t xml:space="preserve"> </w:t>
      </w:r>
      <w:r w:rsidRPr="002029AF">
        <w:rPr>
          <w:rFonts w:eastAsia="Arial"/>
        </w:rPr>
        <w:t>the</w:t>
      </w:r>
      <w:r w:rsidR="000A5329" w:rsidRPr="002029AF">
        <w:rPr>
          <w:rFonts w:eastAsia="Arial"/>
        </w:rPr>
        <w:t xml:space="preserve"> </w:t>
      </w:r>
      <w:r w:rsidRPr="002029AF">
        <w:rPr>
          <w:rFonts w:eastAsia="Arial"/>
        </w:rPr>
        <w:t>definition</w:t>
      </w:r>
      <w:r w:rsidR="000A5329" w:rsidRPr="002029AF">
        <w:rPr>
          <w:rFonts w:eastAsia="Arial"/>
        </w:rPr>
        <w:t xml:space="preserve"> </w:t>
      </w:r>
      <w:r w:rsidRPr="002029AF">
        <w:rPr>
          <w:rFonts w:eastAsia="Arial"/>
        </w:rPr>
        <w:t>of</w:t>
      </w:r>
      <w:r w:rsidR="000A5329" w:rsidRPr="002029AF">
        <w:rPr>
          <w:rFonts w:eastAsia="Arial"/>
        </w:rPr>
        <w:t xml:space="preserve"> </w:t>
      </w:r>
      <w:r w:rsidRPr="002029AF">
        <w:rPr>
          <w:rFonts w:eastAsia="Arial"/>
        </w:rPr>
        <w:t>material</w:t>
      </w:r>
      <w:r w:rsidR="000A5329" w:rsidRPr="002029AF">
        <w:rPr>
          <w:rFonts w:eastAsia="Arial"/>
        </w:rPr>
        <w:t xml:space="preserve"> </w:t>
      </w:r>
      <w:r w:rsidRPr="002029AF">
        <w:rPr>
          <w:rFonts w:eastAsia="Arial"/>
        </w:rPr>
        <w:t>in</w:t>
      </w:r>
      <w:r w:rsidR="000A5329" w:rsidRPr="002029AF">
        <w:rPr>
          <w:rFonts w:eastAsia="Arial"/>
        </w:rPr>
        <w:t xml:space="preserve"> </w:t>
      </w:r>
      <w:r w:rsidRPr="002029AF">
        <w:rPr>
          <w:rFonts w:eastAsia="Arial"/>
        </w:rPr>
        <w:t>AASB</w:t>
      </w:r>
      <w:r w:rsidR="000A5329" w:rsidRPr="002029AF">
        <w:rPr>
          <w:rFonts w:eastAsia="Arial"/>
        </w:rPr>
        <w:t xml:space="preserve"> </w:t>
      </w:r>
      <w:r w:rsidRPr="002029AF">
        <w:rPr>
          <w:rFonts w:eastAsia="Arial"/>
        </w:rPr>
        <w:t>101</w:t>
      </w:r>
      <w:r w:rsidR="000A5329" w:rsidRPr="002029AF">
        <w:rPr>
          <w:rFonts w:eastAsia="Arial"/>
        </w:rPr>
        <w:t xml:space="preserve"> </w:t>
      </w:r>
      <w:r w:rsidRPr="002029AF">
        <w:rPr>
          <w:rFonts w:eastAsia="Arial"/>
        </w:rPr>
        <w:t>and</w:t>
      </w:r>
      <w:r w:rsidR="000A5329" w:rsidRPr="002029AF">
        <w:rPr>
          <w:rFonts w:eastAsia="Arial"/>
        </w:rPr>
        <w:t xml:space="preserve"> </w:t>
      </w:r>
      <w:r w:rsidRPr="002029AF">
        <w:rPr>
          <w:rFonts w:eastAsia="Arial"/>
        </w:rPr>
        <w:t>its</w:t>
      </w:r>
      <w:r w:rsidR="000A5329" w:rsidRPr="002029AF">
        <w:rPr>
          <w:rFonts w:eastAsia="Arial"/>
        </w:rPr>
        <w:t xml:space="preserve"> </w:t>
      </w:r>
      <w:r w:rsidRPr="002029AF">
        <w:rPr>
          <w:rFonts w:eastAsia="Arial"/>
        </w:rPr>
        <w:t>application</w:t>
      </w:r>
      <w:r w:rsidR="000A5329" w:rsidRPr="002029AF">
        <w:rPr>
          <w:rFonts w:eastAsia="Arial"/>
        </w:rPr>
        <w:t xml:space="preserve"> </w:t>
      </w:r>
      <w:r w:rsidRPr="002029AF">
        <w:rPr>
          <w:rFonts w:eastAsia="Arial"/>
        </w:rPr>
        <w:t>by</w:t>
      </w:r>
      <w:r w:rsidR="000A5329" w:rsidRPr="002029AF">
        <w:rPr>
          <w:rFonts w:eastAsia="Arial"/>
        </w:rPr>
        <w:t xml:space="preserve"> </w:t>
      </w:r>
      <w:r w:rsidRPr="002029AF">
        <w:rPr>
          <w:rFonts w:eastAsia="Arial"/>
        </w:rPr>
        <w:t>improving</w:t>
      </w:r>
      <w:r w:rsidR="000A5329" w:rsidRPr="002029AF">
        <w:rPr>
          <w:rFonts w:eastAsia="Arial"/>
        </w:rPr>
        <w:t xml:space="preserve"> </w:t>
      </w:r>
      <w:r w:rsidRPr="002029AF">
        <w:rPr>
          <w:rFonts w:eastAsia="Arial"/>
        </w:rPr>
        <w:t>the</w:t>
      </w:r>
      <w:r w:rsidR="000A5329" w:rsidRPr="002029AF">
        <w:rPr>
          <w:rFonts w:eastAsia="Arial"/>
        </w:rPr>
        <w:t xml:space="preserve"> </w:t>
      </w:r>
      <w:r w:rsidRPr="002029AF">
        <w:rPr>
          <w:rFonts w:eastAsia="Arial"/>
        </w:rPr>
        <w:t>wording</w:t>
      </w:r>
      <w:r w:rsidR="000A5329" w:rsidRPr="002029AF">
        <w:rPr>
          <w:rFonts w:eastAsia="Arial"/>
        </w:rPr>
        <w:t xml:space="preserve"> </w:t>
      </w:r>
      <w:r w:rsidRPr="002029AF">
        <w:rPr>
          <w:rFonts w:eastAsia="Arial"/>
        </w:rPr>
        <w:t>and</w:t>
      </w:r>
      <w:r w:rsidR="000A5329" w:rsidRPr="002029AF">
        <w:rPr>
          <w:rFonts w:eastAsia="Arial"/>
        </w:rPr>
        <w:t xml:space="preserve"> </w:t>
      </w:r>
      <w:r w:rsidRPr="002029AF">
        <w:rPr>
          <w:rFonts w:eastAsia="Arial"/>
        </w:rPr>
        <w:t>aligning</w:t>
      </w:r>
      <w:r w:rsidR="000A5329" w:rsidRPr="002029AF">
        <w:rPr>
          <w:rFonts w:eastAsia="Arial"/>
        </w:rPr>
        <w:t xml:space="preserve"> </w:t>
      </w:r>
      <w:r w:rsidRPr="002029AF">
        <w:rPr>
          <w:rFonts w:eastAsia="Arial"/>
        </w:rPr>
        <w:t>the</w:t>
      </w:r>
      <w:r w:rsidR="000A5329" w:rsidRPr="002029AF">
        <w:rPr>
          <w:rFonts w:eastAsia="Arial"/>
        </w:rPr>
        <w:t xml:space="preserve"> </w:t>
      </w:r>
      <w:r w:rsidRPr="002029AF">
        <w:rPr>
          <w:rFonts w:eastAsia="Arial"/>
        </w:rPr>
        <w:t>definition</w:t>
      </w:r>
      <w:r w:rsidR="000A5329" w:rsidRPr="002029AF">
        <w:rPr>
          <w:rFonts w:eastAsia="Arial"/>
        </w:rPr>
        <w:t xml:space="preserve"> </w:t>
      </w:r>
      <w:r w:rsidRPr="002029AF">
        <w:rPr>
          <w:rFonts w:eastAsia="Arial"/>
        </w:rPr>
        <w:t>across</w:t>
      </w:r>
      <w:r w:rsidR="000A5329" w:rsidRPr="002029AF">
        <w:rPr>
          <w:rFonts w:eastAsia="Arial"/>
        </w:rPr>
        <w:t xml:space="preserve"> </w:t>
      </w:r>
      <w:r w:rsidRPr="002029AF">
        <w:rPr>
          <w:rFonts w:eastAsia="Arial"/>
        </w:rPr>
        <w:t>AASB</w:t>
      </w:r>
      <w:r w:rsidR="000A5329" w:rsidRPr="002029AF">
        <w:rPr>
          <w:rFonts w:eastAsia="Arial"/>
        </w:rPr>
        <w:t xml:space="preserve"> </w:t>
      </w:r>
      <w:r w:rsidRPr="002029AF">
        <w:rPr>
          <w:rFonts w:eastAsia="Arial"/>
        </w:rPr>
        <w:t>standards</w:t>
      </w:r>
      <w:r w:rsidR="000A5329" w:rsidRPr="002029AF">
        <w:rPr>
          <w:rFonts w:eastAsia="Arial"/>
        </w:rPr>
        <w:t xml:space="preserve"> </w:t>
      </w:r>
      <w:r w:rsidRPr="002029AF">
        <w:rPr>
          <w:rFonts w:eastAsia="Arial"/>
        </w:rPr>
        <w:t>and</w:t>
      </w:r>
      <w:r w:rsidR="000A5329" w:rsidRPr="002029AF">
        <w:rPr>
          <w:rFonts w:eastAsia="Arial"/>
        </w:rPr>
        <w:t xml:space="preserve"> </w:t>
      </w:r>
      <w:r w:rsidRPr="002029AF">
        <w:rPr>
          <w:rFonts w:eastAsia="Arial"/>
        </w:rPr>
        <w:t>other</w:t>
      </w:r>
      <w:r w:rsidR="000A5329" w:rsidRPr="002029AF">
        <w:rPr>
          <w:rFonts w:eastAsia="Arial"/>
        </w:rPr>
        <w:t xml:space="preserve"> </w:t>
      </w:r>
      <w:r w:rsidRPr="002029AF">
        <w:rPr>
          <w:rFonts w:eastAsia="Arial"/>
        </w:rPr>
        <w:t>publications.</w:t>
      </w:r>
      <w:r w:rsidR="000A5329" w:rsidRPr="002029AF">
        <w:rPr>
          <w:rFonts w:eastAsia="Arial"/>
        </w:rPr>
        <w:t xml:space="preserve"> </w:t>
      </w:r>
      <w:r w:rsidRPr="002029AF">
        <w:rPr>
          <w:rFonts w:eastAsia="Arial"/>
        </w:rPr>
        <w:t>The</w:t>
      </w:r>
      <w:r w:rsidR="000A5329" w:rsidRPr="002029AF">
        <w:rPr>
          <w:rFonts w:eastAsia="Arial"/>
        </w:rPr>
        <w:t xml:space="preserve"> </w:t>
      </w:r>
      <w:r w:rsidRPr="002029AF">
        <w:rPr>
          <w:rFonts w:eastAsia="Arial"/>
        </w:rPr>
        <w:t>amendments</w:t>
      </w:r>
      <w:r w:rsidR="000A5329" w:rsidRPr="002029AF">
        <w:rPr>
          <w:rFonts w:eastAsia="Arial"/>
        </w:rPr>
        <w:t xml:space="preserve"> </w:t>
      </w:r>
      <w:r w:rsidRPr="002029AF">
        <w:rPr>
          <w:rFonts w:eastAsia="Arial"/>
        </w:rPr>
        <w:t>also</w:t>
      </w:r>
      <w:r w:rsidR="000A5329" w:rsidRPr="002029AF">
        <w:rPr>
          <w:rFonts w:eastAsia="Arial"/>
        </w:rPr>
        <w:t xml:space="preserve"> </w:t>
      </w:r>
      <w:r w:rsidRPr="002029AF">
        <w:rPr>
          <w:rFonts w:eastAsia="Arial"/>
        </w:rPr>
        <w:t>include</w:t>
      </w:r>
      <w:r w:rsidR="000A5329" w:rsidRPr="002029AF">
        <w:rPr>
          <w:rFonts w:eastAsia="Arial"/>
        </w:rPr>
        <w:t xml:space="preserve"> </w:t>
      </w:r>
      <w:r w:rsidRPr="002029AF">
        <w:rPr>
          <w:rFonts w:eastAsia="Arial"/>
        </w:rPr>
        <w:t>some</w:t>
      </w:r>
      <w:r w:rsidR="000A5329" w:rsidRPr="002029AF">
        <w:rPr>
          <w:rFonts w:eastAsia="Arial"/>
        </w:rPr>
        <w:t xml:space="preserve"> </w:t>
      </w:r>
      <w:r w:rsidRPr="002029AF">
        <w:rPr>
          <w:rFonts w:eastAsia="Arial"/>
        </w:rPr>
        <w:t>supporting</w:t>
      </w:r>
      <w:r w:rsidR="000A5329" w:rsidRPr="002029AF">
        <w:rPr>
          <w:rFonts w:eastAsia="Arial"/>
        </w:rPr>
        <w:t xml:space="preserve"> </w:t>
      </w:r>
      <w:r w:rsidRPr="002029AF">
        <w:rPr>
          <w:rFonts w:eastAsia="Arial"/>
        </w:rPr>
        <w:t>requirements</w:t>
      </w:r>
      <w:r w:rsidR="000A5329" w:rsidRPr="002029AF">
        <w:rPr>
          <w:rFonts w:eastAsia="Arial"/>
        </w:rPr>
        <w:t xml:space="preserve"> </w:t>
      </w:r>
      <w:r w:rsidRPr="002029AF">
        <w:rPr>
          <w:rFonts w:eastAsia="Arial"/>
        </w:rPr>
        <w:t>in</w:t>
      </w:r>
      <w:r w:rsidR="000A5329" w:rsidRPr="002029AF">
        <w:rPr>
          <w:rFonts w:eastAsia="Arial"/>
        </w:rPr>
        <w:t xml:space="preserve"> </w:t>
      </w:r>
      <w:r w:rsidRPr="002029AF">
        <w:rPr>
          <w:rFonts w:eastAsia="Arial"/>
        </w:rPr>
        <w:t>AASB</w:t>
      </w:r>
      <w:r w:rsidR="000A5329" w:rsidRPr="002029AF">
        <w:rPr>
          <w:rFonts w:eastAsia="Arial"/>
        </w:rPr>
        <w:t xml:space="preserve"> </w:t>
      </w:r>
      <w:r w:rsidRPr="002029AF">
        <w:rPr>
          <w:rFonts w:eastAsia="Arial"/>
        </w:rPr>
        <w:t>101</w:t>
      </w:r>
      <w:r w:rsidR="000A5329" w:rsidRPr="002029AF">
        <w:rPr>
          <w:rFonts w:eastAsia="Arial"/>
        </w:rPr>
        <w:t xml:space="preserve"> </w:t>
      </w:r>
      <w:r w:rsidRPr="002029AF">
        <w:rPr>
          <w:rFonts w:eastAsia="Arial"/>
        </w:rPr>
        <w:t>in</w:t>
      </w:r>
      <w:r w:rsidR="000A5329" w:rsidRPr="002029AF">
        <w:rPr>
          <w:rFonts w:eastAsia="Arial"/>
        </w:rPr>
        <w:t xml:space="preserve"> </w:t>
      </w:r>
      <w:r w:rsidRPr="002029AF">
        <w:rPr>
          <w:rFonts w:eastAsia="Arial"/>
        </w:rPr>
        <w:t>the</w:t>
      </w:r>
      <w:r w:rsidR="000A5329" w:rsidRPr="002029AF">
        <w:rPr>
          <w:rFonts w:eastAsia="Arial"/>
        </w:rPr>
        <w:t xml:space="preserve"> </w:t>
      </w:r>
      <w:r w:rsidRPr="002029AF">
        <w:rPr>
          <w:rFonts w:eastAsia="Arial"/>
        </w:rPr>
        <w:t>definition</w:t>
      </w:r>
      <w:r w:rsidR="000A5329" w:rsidRPr="002029AF">
        <w:rPr>
          <w:rFonts w:eastAsia="Arial"/>
        </w:rPr>
        <w:t xml:space="preserve"> </w:t>
      </w:r>
      <w:r w:rsidRPr="002029AF">
        <w:rPr>
          <w:rFonts w:eastAsia="Arial"/>
        </w:rPr>
        <w:t>to</w:t>
      </w:r>
      <w:r w:rsidR="000A5329" w:rsidRPr="002029AF">
        <w:rPr>
          <w:rFonts w:eastAsia="Arial"/>
        </w:rPr>
        <w:t xml:space="preserve"> </w:t>
      </w:r>
      <w:r w:rsidRPr="002029AF">
        <w:rPr>
          <w:rFonts w:eastAsia="Arial"/>
        </w:rPr>
        <w:t>give</w:t>
      </w:r>
      <w:r w:rsidR="000A5329" w:rsidRPr="002029AF">
        <w:rPr>
          <w:rFonts w:eastAsia="Arial"/>
        </w:rPr>
        <w:t xml:space="preserve"> </w:t>
      </w:r>
      <w:r w:rsidRPr="002029AF">
        <w:rPr>
          <w:rFonts w:eastAsia="Arial"/>
        </w:rPr>
        <w:t>it</w:t>
      </w:r>
      <w:r w:rsidR="000A5329" w:rsidRPr="002029AF">
        <w:rPr>
          <w:rFonts w:eastAsia="Arial"/>
        </w:rPr>
        <w:t xml:space="preserve"> </w:t>
      </w:r>
      <w:r w:rsidRPr="002029AF">
        <w:rPr>
          <w:rFonts w:eastAsia="Arial"/>
        </w:rPr>
        <w:t>more</w:t>
      </w:r>
      <w:r w:rsidR="000A5329" w:rsidRPr="002029AF">
        <w:rPr>
          <w:rFonts w:eastAsia="Arial"/>
        </w:rPr>
        <w:t xml:space="preserve"> </w:t>
      </w:r>
      <w:r w:rsidRPr="002029AF">
        <w:rPr>
          <w:rFonts w:eastAsia="Arial"/>
        </w:rPr>
        <w:t>prominence</w:t>
      </w:r>
      <w:r w:rsidR="000A5329" w:rsidRPr="002029AF">
        <w:rPr>
          <w:rFonts w:eastAsia="Arial"/>
        </w:rPr>
        <w:t xml:space="preserve"> </w:t>
      </w:r>
      <w:r w:rsidRPr="002029AF">
        <w:rPr>
          <w:rFonts w:eastAsia="Arial"/>
        </w:rPr>
        <w:t>and</w:t>
      </w:r>
      <w:r w:rsidR="000A5329" w:rsidRPr="002029AF">
        <w:rPr>
          <w:rFonts w:eastAsia="Arial"/>
        </w:rPr>
        <w:t xml:space="preserve"> </w:t>
      </w:r>
      <w:r w:rsidRPr="002029AF">
        <w:rPr>
          <w:rFonts w:eastAsia="Arial"/>
        </w:rPr>
        <w:t>clarify</w:t>
      </w:r>
      <w:r w:rsidR="000A5329" w:rsidRPr="002029AF">
        <w:rPr>
          <w:rFonts w:eastAsia="Arial"/>
        </w:rPr>
        <w:t xml:space="preserve"> </w:t>
      </w:r>
      <w:r w:rsidRPr="002029AF">
        <w:rPr>
          <w:rFonts w:eastAsia="Arial"/>
        </w:rPr>
        <w:t>the</w:t>
      </w:r>
      <w:r w:rsidR="000A5329" w:rsidRPr="002029AF">
        <w:rPr>
          <w:rFonts w:eastAsia="Arial"/>
        </w:rPr>
        <w:t xml:space="preserve"> </w:t>
      </w:r>
      <w:r w:rsidRPr="002029AF">
        <w:rPr>
          <w:rFonts w:eastAsia="Arial"/>
        </w:rPr>
        <w:t>explanation</w:t>
      </w:r>
      <w:r w:rsidR="000A5329" w:rsidRPr="002029AF">
        <w:rPr>
          <w:rFonts w:eastAsia="Arial"/>
        </w:rPr>
        <w:t xml:space="preserve"> </w:t>
      </w:r>
      <w:r w:rsidRPr="002029AF">
        <w:rPr>
          <w:rFonts w:eastAsia="Arial"/>
        </w:rPr>
        <w:t>accompanying</w:t>
      </w:r>
      <w:r w:rsidR="000A5329" w:rsidRPr="002029AF">
        <w:rPr>
          <w:rFonts w:eastAsia="Arial"/>
        </w:rPr>
        <w:t xml:space="preserve"> </w:t>
      </w:r>
      <w:r w:rsidRPr="002029AF">
        <w:rPr>
          <w:rFonts w:eastAsia="Arial"/>
        </w:rPr>
        <w:t>the</w:t>
      </w:r>
      <w:r w:rsidR="000A5329" w:rsidRPr="002029AF">
        <w:rPr>
          <w:rFonts w:eastAsia="Arial"/>
        </w:rPr>
        <w:t xml:space="preserve"> </w:t>
      </w:r>
      <w:r w:rsidRPr="002029AF">
        <w:rPr>
          <w:rFonts w:eastAsia="Arial"/>
        </w:rPr>
        <w:t>definition</w:t>
      </w:r>
      <w:r w:rsidR="000A5329" w:rsidRPr="002029AF">
        <w:rPr>
          <w:rFonts w:eastAsia="Arial"/>
        </w:rPr>
        <w:t xml:space="preserve"> </w:t>
      </w:r>
      <w:r w:rsidRPr="002029AF">
        <w:rPr>
          <w:rFonts w:eastAsia="Arial"/>
        </w:rPr>
        <w:t>of</w:t>
      </w:r>
      <w:r w:rsidR="000A5329" w:rsidRPr="002029AF">
        <w:rPr>
          <w:rFonts w:eastAsia="Arial"/>
        </w:rPr>
        <w:t xml:space="preserve"> </w:t>
      </w:r>
      <w:r w:rsidRPr="002029AF">
        <w:rPr>
          <w:rFonts w:eastAsia="Arial"/>
        </w:rPr>
        <w:t>material.</w:t>
      </w:r>
    </w:p>
    <w:p w14:paraId="5C6B142D" w14:textId="278B2AEF" w:rsidR="00087B91" w:rsidRPr="002029AF" w:rsidRDefault="00087B91" w:rsidP="00087B91">
      <w:pPr>
        <w:pStyle w:val="ARfinbody"/>
        <w:rPr>
          <w:rFonts w:eastAsia="Arial"/>
        </w:rPr>
      </w:pPr>
      <w:r w:rsidRPr="002029AF">
        <w:rPr>
          <w:rFonts w:eastAsia="Arial"/>
        </w:rPr>
        <w:t>The</w:t>
      </w:r>
      <w:r w:rsidR="000A5329" w:rsidRPr="002029AF">
        <w:rPr>
          <w:rFonts w:eastAsia="Arial"/>
        </w:rPr>
        <w:t xml:space="preserve"> </w:t>
      </w:r>
      <w:r w:rsidRPr="002029AF">
        <w:rPr>
          <w:rFonts w:eastAsia="Arial"/>
        </w:rPr>
        <w:t>department</w:t>
      </w:r>
      <w:r w:rsidR="000A5329" w:rsidRPr="002029AF">
        <w:rPr>
          <w:rFonts w:eastAsia="Arial"/>
        </w:rPr>
        <w:t xml:space="preserve"> </w:t>
      </w:r>
      <w:r w:rsidRPr="002029AF">
        <w:rPr>
          <w:rFonts w:eastAsia="Arial"/>
        </w:rPr>
        <w:t>is</w:t>
      </w:r>
      <w:r w:rsidR="000A5329" w:rsidRPr="002029AF">
        <w:rPr>
          <w:rFonts w:eastAsia="Arial"/>
        </w:rPr>
        <w:t xml:space="preserve"> </w:t>
      </w:r>
      <w:r w:rsidRPr="002029AF">
        <w:rPr>
          <w:rFonts w:eastAsia="Arial"/>
        </w:rPr>
        <w:t>in</w:t>
      </w:r>
      <w:r w:rsidR="000A5329" w:rsidRPr="002029AF">
        <w:rPr>
          <w:rFonts w:eastAsia="Arial"/>
        </w:rPr>
        <w:t xml:space="preserve"> </w:t>
      </w:r>
      <w:r w:rsidRPr="002029AF">
        <w:rPr>
          <w:rFonts w:eastAsia="Arial"/>
        </w:rPr>
        <w:t>the</w:t>
      </w:r>
      <w:r w:rsidR="000A5329" w:rsidRPr="002029AF">
        <w:rPr>
          <w:rFonts w:eastAsia="Arial"/>
        </w:rPr>
        <w:t xml:space="preserve"> </w:t>
      </w:r>
      <w:r w:rsidRPr="002029AF">
        <w:rPr>
          <w:rFonts w:eastAsia="Arial"/>
        </w:rPr>
        <w:t>process</w:t>
      </w:r>
      <w:r w:rsidR="000A5329" w:rsidRPr="002029AF">
        <w:rPr>
          <w:rFonts w:eastAsia="Arial"/>
        </w:rPr>
        <w:t xml:space="preserve"> </w:t>
      </w:r>
      <w:r w:rsidRPr="002029AF">
        <w:rPr>
          <w:rFonts w:eastAsia="Arial"/>
        </w:rPr>
        <w:t>of</w:t>
      </w:r>
      <w:r w:rsidR="000A5329" w:rsidRPr="002029AF">
        <w:rPr>
          <w:rFonts w:eastAsia="Arial"/>
        </w:rPr>
        <w:t xml:space="preserve"> </w:t>
      </w:r>
      <w:r w:rsidRPr="002029AF">
        <w:rPr>
          <w:rFonts w:eastAsia="Arial"/>
        </w:rPr>
        <w:t>analysing</w:t>
      </w:r>
      <w:r w:rsidR="000A5329" w:rsidRPr="002029AF">
        <w:rPr>
          <w:rFonts w:eastAsia="Arial"/>
        </w:rPr>
        <w:t xml:space="preserve"> </w:t>
      </w:r>
      <w:r w:rsidRPr="002029AF">
        <w:rPr>
          <w:rFonts w:eastAsia="Arial"/>
        </w:rPr>
        <w:t>the</w:t>
      </w:r>
      <w:r w:rsidR="000A5329" w:rsidRPr="002029AF">
        <w:rPr>
          <w:rFonts w:eastAsia="Arial"/>
        </w:rPr>
        <w:t xml:space="preserve"> </w:t>
      </w:r>
      <w:r w:rsidRPr="002029AF">
        <w:rPr>
          <w:rFonts w:eastAsia="Arial"/>
        </w:rPr>
        <w:t>impacts</w:t>
      </w:r>
      <w:r w:rsidR="000A5329" w:rsidRPr="002029AF">
        <w:rPr>
          <w:rFonts w:eastAsia="Arial"/>
        </w:rPr>
        <w:t xml:space="preserve"> </w:t>
      </w:r>
      <w:r w:rsidRPr="002029AF">
        <w:rPr>
          <w:rFonts w:eastAsia="Arial"/>
        </w:rPr>
        <w:t>of</w:t>
      </w:r>
      <w:r w:rsidR="000A5329" w:rsidRPr="002029AF">
        <w:rPr>
          <w:rFonts w:eastAsia="Arial"/>
        </w:rPr>
        <w:t xml:space="preserve"> </w:t>
      </w:r>
      <w:r w:rsidRPr="002029AF">
        <w:rPr>
          <w:rFonts w:eastAsia="Arial"/>
        </w:rPr>
        <w:t>this</w:t>
      </w:r>
      <w:r w:rsidR="000A5329" w:rsidRPr="002029AF">
        <w:rPr>
          <w:rFonts w:eastAsia="Arial"/>
        </w:rPr>
        <w:t xml:space="preserve"> </w:t>
      </w:r>
      <w:r w:rsidRPr="002029AF">
        <w:rPr>
          <w:rFonts w:eastAsia="Arial"/>
        </w:rPr>
        <w:t>standard.</w:t>
      </w:r>
      <w:r w:rsidR="000A5329" w:rsidRPr="002029AF">
        <w:rPr>
          <w:rFonts w:eastAsia="Arial"/>
        </w:rPr>
        <w:t xml:space="preserve"> </w:t>
      </w:r>
      <w:r w:rsidRPr="002029AF">
        <w:rPr>
          <w:rFonts w:eastAsia="Arial"/>
        </w:rPr>
        <w:t>However,</w:t>
      </w:r>
      <w:r w:rsidR="000A5329" w:rsidRPr="002029AF">
        <w:rPr>
          <w:rFonts w:eastAsia="Arial"/>
        </w:rPr>
        <w:t xml:space="preserve"> </w:t>
      </w:r>
      <w:r w:rsidRPr="002029AF">
        <w:rPr>
          <w:rFonts w:eastAsia="Arial"/>
        </w:rPr>
        <w:t>it</w:t>
      </w:r>
      <w:r w:rsidR="000A5329" w:rsidRPr="002029AF">
        <w:rPr>
          <w:rFonts w:eastAsia="Arial"/>
        </w:rPr>
        <w:t xml:space="preserve"> </w:t>
      </w:r>
      <w:r w:rsidRPr="002029AF">
        <w:rPr>
          <w:rFonts w:eastAsia="Arial"/>
        </w:rPr>
        <w:t>is</w:t>
      </w:r>
      <w:r w:rsidR="000A5329" w:rsidRPr="002029AF">
        <w:rPr>
          <w:rFonts w:eastAsia="Arial"/>
        </w:rPr>
        <w:t xml:space="preserve"> </w:t>
      </w:r>
      <w:r w:rsidRPr="002029AF">
        <w:rPr>
          <w:rFonts w:eastAsia="Arial"/>
        </w:rPr>
        <w:t>not</w:t>
      </w:r>
      <w:r w:rsidR="000A5329" w:rsidRPr="002029AF">
        <w:rPr>
          <w:rFonts w:eastAsia="Arial"/>
        </w:rPr>
        <w:t xml:space="preserve"> </w:t>
      </w:r>
      <w:r w:rsidRPr="002029AF">
        <w:rPr>
          <w:rFonts w:eastAsia="Arial"/>
        </w:rPr>
        <w:t>anticipated</w:t>
      </w:r>
      <w:r w:rsidR="000A5329" w:rsidRPr="002029AF">
        <w:rPr>
          <w:rFonts w:eastAsia="Arial"/>
        </w:rPr>
        <w:t xml:space="preserve"> </w:t>
      </w:r>
      <w:r w:rsidRPr="002029AF">
        <w:rPr>
          <w:rFonts w:eastAsia="Arial"/>
        </w:rPr>
        <w:t>to</w:t>
      </w:r>
      <w:r w:rsidR="000A5329" w:rsidRPr="002029AF">
        <w:rPr>
          <w:rFonts w:eastAsia="Arial"/>
        </w:rPr>
        <w:t xml:space="preserve"> </w:t>
      </w:r>
      <w:r w:rsidRPr="002029AF">
        <w:rPr>
          <w:rFonts w:eastAsia="Arial"/>
        </w:rPr>
        <w:t>have</w:t>
      </w:r>
      <w:r w:rsidR="000A5329" w:rsidRPr="002029AF">
        <w:rPr>
          <w:rFonts w:eastAsia="Arial"/>
        </w:rPr>
        <w:t xml:space="preserve"> </w:t>
      </w:r>
      <w:r w:rsidRPr="002029AF">
        <w:rPr>
          <w:rFonts w:eastAsia="Arial"/>
        </w:rPr>
        <w:t>a</w:t>
      </w:r>
      <w:r w:rsidR="000A5329" w:rsidRPr="002029AF">
        <w:rPr>
          <w:rFonts w:eastAsia="Arial"/>
        </w:rPr>
        <w:t xml:space="preserve"> </w:t>
      </w:r>
      <w:r w:rsidRPr="002029AF">
        <w:rPr>
          <w:rFonts w:eastAsia="Arial"/>
        </w:rPr>
        <w:t>material</w:t>
      </w:r>
      <w:r w:rsidR="000A5329" w:rsidRPr="002029AF">
        <w:rPr>
          <w:rFonts w:eastAsia="Arial"/>
        </w:rPr>
        <w:t xml:space="preserve"> </w:t>
      </w:r>
      <w:r w:rsidRPr="002029AF">
        <w:rPr>
          <w:rFonts w:eastAsia="Arial"/>
        </w:rPr>
        <w:t>impact.</w:t>
      </w:r>
    </w:p>
    <w:p w14:paraId="12F1F5BE" w14:textId="749FD2F2" w:rsidR="00087B91" w:rsidRPr="002029AF" w:rsidRDefault="00087B91" w:rsidP="00087B91">
      <w:pPr>
        <w:pStyle w:val="ARfinbullet1"/>
      </w:pPr>
      <w:r w:rsidRPr="002029AF">
        <w:t>AASB</w:t>
      </w:r>
      <w:r w:rsidR="000A5329" w:rsidRPr="002029AF">
        <w:t xml:space="preserve"> </w:t>
      </w:r>
      <w:r w:rsidRPr="002029AF">
        <w:t>2020-1</w:t>
      </w:r>
      <w:r w:rsidR="000A5329" w:rsidRPr="002029AF">
        <w:t xml:space="preserve"> </w:t>
      </w:r>
      <w:r w:rsidRPr="002029AF">
        <w:rPr>
          <w:rStyle w:val="Emphasis"/>
        </w:rPr>
        <w:t>Amendments</w:t>
      </w:r>
      <w:r w:rsidR="000A5329" w:rsidRPr="002029AF">
        <w:rPr>
          <w:rStyle w:val="Emphasis"/>
        </w:rPr>
        <w:t xml:space="preserve"> </w:t>
      </w:r>
      <w:r w:rsidRPr="002029AF">
        <w:rPr>
          <w:rStyle w:val="Emphasis"/>
        </w:rPr>
        <w:t>to</w:t>
      </w:r>
      <w:r w:rsidR="000A5329" w:rsidRPr="002029AF">
        <w:rPr>
          <w:rStyle w:val="Emphasis"/>
        </w:rPr>
        <w:t xml:space="preserve"> </w:t>
      </w:r>
      <w:r w:rsidRPr="002029AF">
        <w:rPr>
          <w:rStyle w:val="Emphasis"/>
        </w:rPr>
        <w:t>Australian</w:t>
      </w:r>
      <w:r w:rsidR="000A5329" w:rsidRPr="002029AF">
        <w:rPr>
          <w:rStyle w:val="Emphasis"/>
        </w:rPr>
        <w:t xml:space="preserve"> </w:t>
      </w:r>
      <w:r w:rsidRPr="002029AF">
        <w:rPr>
          <w:rStyle w:val="Emphasis"/>
        </w:rPr>
        <w:t>Accounting</w:t>
      </w:r>
      <w:r w:rsidR="000A5329" w:rsidRPr="002029AF">
        <w:rPr>
          <w:rStyle w:val="Emphasis"/>
        </w:rPr>
        <w:t xml:space="preserve"> </w:t>
      </w:r>
      <w:r w:rsidRPr="002029AF">
        <w:rPr>
          <w:rStyle w:val="Emphasis"/>
        </w:rPr>
        <w:t>Standards</w:t>
      </w:r>
      <w:r w:rsidR="000A5329" w:rsidRPr="002029AF">
        <w:rPr>
          <w:rStyle w:val="Emphasis"/>
        </w:rPr>
        <w:t xml:space="preserve"> </w:t>
      </w:r>
      <w:r w:rsidRPr="002029AF">
        <w:rPr>
          <w:rStyle w:val="Emphasis"/>
        </w:rPr>
        <w:t>–</w:t>
      </w:r>
      <w:r w:rsidR="000A5329" w:rsidRPr="002029AF">
        <w:rPr>
          <w:rStyle w:val="Emphasis"/>
        </w:rPr>
        <w:t xml:space="preserve"> </w:t>
      </w:r>
      <w:r w:rsidRPr="002029AF">
        <w:rPr>
          <w:rStyle w:val="Emphasis"/>
        </w:rPr>
        <w:t>Classification</w:t>
      </w:r>
      <w:r w:rsidR="000A5329" w:rsidRPr="002029AF">
        <w:rPr>
          <w:rStyle w:val="Emphasis"/>
        </w:rPr>
        <w:t xml:space="preserve"> </w:t>
      </w:r>
      <w:r w:rsidRPr="002029AF">
        <w:rPr>
          <w:rStyle w:val="Emphasis"/>
        </w:rPr>
        <w:t>of</w:t>
      </w:r>
      <w:r w:rsidR="000A5329" w:rsidRPr="002029AF">
        <w:rPr>
          <w:rStyle w:val="Emphasis"/>
        </w:rPr>
        <w:t xml:space="preserve"> </w:t>
      </w:r>
      <w:r w:rsidRPr="002029AF">
        <w:rPr>
          <w:rStyle w:val="Emphasis"/>
        </w:rPr>
        <w:t>Liabilities</w:t>
      </w:r>
      <w:r w:rsidR="000A5329" w:rsidRPr="002029AF">
        <w:rPr>
          <w:rStyle w:val="Emphasis"/>
        </w:rPr>
        <w:t xml:space="preserve"> </w:t>
      </w:r>
      <w:r w:rsidRPr="002029AF">
        <w:rPr>
          <w:rStyle w:val="Emphasis"/>
        </w:rPr>
        <w:t>as</w:t>
      </w:r>
      <w:r w:rsidR="000A5329" w:rsidRPr="002029AF">
        <w:rPr>
          <w:rStyle w:val="Emphasis"/>
        </w:rPr>
        <w:t xml:space="preserve"> </w:t>
      </w:r>
      <w:r w:rsidRPr="002029AF">
        <w:rPr>
          <w:rStyle w:val="Emphasis"/>
        </w:rPr>
        <w:t>Current</w:t>
      </w:r>
      <w:r w:rsidR="000A5329" w:rsidRPr="002029AF">
        <w:rPr>
          <w:rStyle w:val="Emphasis"/>
        </w:rPr>
        <w:t xml:space="preserve"> </w:t>
      </w:r>
      <w:r w:rsidRPr="002029AF">
        <w:rPr>
          <w:rStyle w:val="Emphasis"/>
        </w:rPr>
        <w:t>or</w:t>
      </w:r>
      <w:r w:rsidR="000A5329" w:rsidRPr="002029AF">
        <w:rPr>
          <w:rStyle w:val="Emphasis"/>
        </w:rPr>
        <w:t xml:space="preserve"> </w:t>
      </w:r>
      <w:r w:rsidRPr="002029AF">
        <w:rPr>
          <w:rStyle w:val="Emphasis"/>
        </w:rPr>
        <w:t>Non-Current</w:t>
      </w:r>
    </w:p>
    <w:p w14:paraId="676D2302" w14:textId="27927604" w:rsidR="00087B91" w:rsidRPr="002029AF" w:rsidRDefault="00087B91" w:rsidP="00087B91">
      <w:pPr>
        <w:pStyle w:val="ARfinbody"/>
        <w:rPr>
          <w:rFonts w:eastAsia="Arial"/>
        </w:rPr>
      </w:pPr>
      <w:r w:rsidRPr="002029AF">
        <w:rPr>
          <w:rFonts w:eastAsia="Arial"/>
        </w:rPr>
        <w:t>This</w:t>
      </w:r>
      <w:r w:rsidR="000A5329" w:rsidRPr="002029AF">
        <w:rPr>
          <w:rFonts w:eastAsia="Arial"/>
        </w:rPr>
        <w:t xml:space="preserve"> </w:t>
      </w:r>
      <w:r w:rsidRPr="002029AF">
        <w:rPr>
          <w:rFonts w:eastAsia="Arial"/>
        </w:rPr>
        <w:t>standard</w:t>
      </w:r>
      <w:r w:rsidR="000A5329" w:rsidRPr="002029AF">
        <w:rPr>
          <w:rFonts w:eastAsia="Arial"/>
        </w:rPr>
        <w:t xml:space="preserve"> </w:t>
      </w:r>
      <w:r w:rsidRPr="002029AF">
        <w:rPr>
          <w:rFonts w:eastAsia="Arial"/>
        </w:rPr>
        <w:t>amends</w:t>
      </w:r>
      <w:r w:rsidR="000A5329" w:rsidRPr="002029AF">
        <w:rPr>
          <w:rFonts w:eastAsia="Arial"/>
        </w:rPr>
        <w:t xml:space="preserve"> </w:t>
      </w:r>
      <w:r w:rsidRPr="002029AF">
        <w:rPr>
          <w:rFonts w:eastAsia="Arial"/>
        </w:rPr>
        <w:t>AASB</w:t>
      </w:r>
      <w:r w:rsidR="000A5329" w:rsidRPr="002029AF">
        <w:rPr>
          <w:rFonts w:eastAsia="Arial"/>
        </w:rPr>
        <w:t xml:space="preserve"> </w:t>
      </w:r>
      <w:r w:rsidRPr="002029AF">
        <w:rPr>
          <w:rFonts w:eastAsia="Arial"/>
        </w:rPr>
        <w:t>101</w:t>
      </w:r>
      <w:r w:rsidR="000A5329" w:rsidRPr="002029AF">
        <w:rPr>
          <w:rFonts w:eastAsia="Arial"/>
        </w:rPr>
        <w:t xml:space="preserve"> </w:t>
      </w:r>
      <w:r w:rsidRPr="002029AF">
        <w:rPr>
          <w:rFonts w:eastAsia="Arial"/>
        </w:rPr>
        <w:t>to</w:t>
      </w:r>
      <w:r w:rsidR="000A5329" w:rsidRPr="002029AF">
        <w:rPr>
          <w:rFonts w:eastAsia="Arial"/>
        </w:rPr>
        <w:t xml:space="preserve"> </w:t>
      </w:r>
      <w:r w:rsidRPr="002029AF">
        <w:rPr>
          <w:rFonts w:eastAsia="Arial"/>
        </w:rPr>
        <w:t>clarify</w:t>
      </w:r>
      <w:r w:rsidR="000A5329" w:rsidRPr="002029AF">
        <w:rPr>
          <w:rFonts w:eastAsia="Arial"/>
        </w:rPr>
        <w:t xml:space="preserve"> </w:t>
      </w:r>
      <w:r w:rsidRPr="002029AF">
        <w:rPr>
          <w:rFonts w:eastAsia="Arial"/>
        </w:rPr>
        <w:t>requirements</w:t>
      </w:r>
      <w:r w:rsidR="000A5329" w:rsidRPr="002029AF">
        <w:rPr>
          <w:rFonts w:eastAsia="Arial"/>
        </w:rPr>
        <w:t xml:space="preserve"> </w:t>
      </w:r>
      <w:r w:rsidRPr="002029AF">
        <w:rPr>
          <w:rFonts w:eastAsia="Arial"/>
        </w:rPr>
        <w:t>for</w:t>
      </w:r>
      <w:r w:rsidR="000A5329" w:rsidRPr="002029AF">
        <w:rPr>
          <w:rFonts w:eastAsia="Arial"/>
        </w:rPr>
        <w:t xml:space="preserve"> </w:t>
      </w:r>
      <w:r w:rsidRPr="002029AF">
        <w:rPr>
          <w:rFonts w:eastAsia="Arial"/>
        </w:rPr>
        <w:t>the</w:t>
      </w:r>
      <w:r w:rsidR="000A5329" w:rsidRPr="002029AF">
        <w:rPr>
          <w:rFonts w:eastAsia="Arial"/>
        </w:rPr>
        <w:t xml:space="preserve"> </w:t>
      </w:r>
      <w:r w:rsidRPr="002029AF">
        <w:rPr>
          <w:rFonts w:eastAsia="Arial"/>
        </w:rPr>
        <w:t>presentation</w:t>
      </w:r>
      <w:r w:rsidR="000A5329" w:rsidRPr="002029AF">
        <w:rPr>
          <w:rFonts w:eastAsia="Arial"/>
        </w:rPr>
        <w:t xml:space="preserve"> </w:t>
      </w:r>
      <w:r w:rsidRPr="002029AF">
        <w:rPr>
          <w:rFonts w:eastAsia="Arial"/>
        </w:rPr>
        <w:t>of</w:t>
      </w:r>
      <w:r w:rsidR="000A5329" w:rsidRPr="002029AF">
        <w:rPr>
          <w:rFonts w:eastAsia="Arial"/>
        </w:rPr>
        <w:t xml:space="preserve"> </w:t>
      </w:r>
      <w:r w:rsidRPr="002029AF">
        <w:rPr>
          <w:rFonts w:eastAsia="Arial"/>
        </w:rPr>
        <w:t>liabilities</w:t>
      </w:r>
      <w:r w:rsidR="000A5329" w:rsidRPr="002029AF">
        <w:rPr>
          <w:rFonts w:eastAsia="Arial"/>
        </w:rPr>
        <w:t xml:space="preserve"> </w:t>
      </w:r>
      <w:r w:rsidRPr="002029AF">
        <w:rPr>
          <w:rFonts w:eastAsia="Arial"/>
        </w:rPr>
        <w:t>in</w:t>
      </w:r>
      <w:r w:rsidR="000A5329" w:rsidRPr="002029AF">
        <w:rPr>
          <w:rFonts w:eastAsia="Arial"/>
        </w:rPr>
        <w:t xml:space="preserve"> </w:t>
      </w:r>
      <w:r w:rsidRPr="002029AF">
        <w:rPr>
          <w:rFonts w:eastAsia="Arial"/>
        </w:rPr>
        <w:t>the</w:t>
      </w:r>
      <w:r w:rsidR="000A5329" w:rsidRPr="002029AF">
        <w:rPr>
          <w:rFonts w:eastAsia="Arial"/>
        </w:rPr>
        <w:t xml:space="preserve"> </w:t>
      </w:r>
      <w:r w:rsidRPr="002029AF">
        <w:rPr>
          <w:rFonts w:eastAsia="Arial"/>
        </w:rPr>
        <w:t>statement</w:t>
      </w:r>
      <w:r w:rsidR="000A5329" w:rsidRPr="002029AF">
        <w:rPr>
          <w:rFonts w:eastAsia="Arial"/>
        </w:rPr>
        <w:t xml:space="preserve"> </w:t>
      </w:r>
      <w:r w:rsidRPr="002029AF">
        <w:rPr>
          <w:rFonts w:eastAsia="Arial"/>
        </w:rPr>
        <w:t>of</w:t>
      </w:r>
      <w:r w:rsidR="000A5329" w:rsidRPr="002029AF">
        <w:rPr>
          <w:rFonts w:eastAsia="Arial"/>
        </w:rPr>
        <w:t xml:space="preserve"> </w:t>
      </w:r>
      <w:r w:rsidRPr="002029AF">
        <w:rPr>
          <w:rFonts w:eastAsia="Arial"/>
        </w:rPr>
        <w:t>financial</w:t>
      </w:r>
      <w:r w:rsidR="000A5329" w:rsidRPr="002029AF">
        <w:rPr>
          <w:rFonts w:eastAsia="Arial"/>
        </w:rPr>
        <w:t xml:space="preserve"> </w:t>
      </w:r>
      <w:r w:rsidRPr="002029AF">
        <w:rPr>
          <w:rFonts w:eastAsia="Arial"/>
        </w:rPr>
        <w:t>position</w:t>
      </w:r>
      <w:r w:rsidR="000A5329" w:rsidRPr="002029AF">
        <w:rPr>
          <w:rFonts w:eastAsia="Arial"/>
        </w:rPr>
        <w:t xml:space="preserve"> </w:t>
      </w:r>
      <w:r w:rsidRPr="002029AF">
        <w:rPr>
          <w:rFonts w:eastAsia="Arial"/>
        </w:rPr>
        <w:t>as</w:t>
      </w:r>
      <w:r w:rsidR="000A5329" w:rsidRPr="002029AF">
        <w:rPr>
          <w:rFonts w:eastAsia="Arial"/>
        </w:rPr>
        <w:t xml:space="preserve"> </w:t>
      </w:r>
      <w:r w:rsidRPr="002029AF">
        <w:rPr>
          <w:rFonts w:eastAsia="Arial"/>
        </w:rPr>
        <w:t>current</w:t>
      </w:r>
      <w:r w:rsidR="000A5329" w:rsidRPr="002029AF">
        <w:rPr>
          <w:rFonts w:eastAsia="Arial"/>
        </w:rPr>
        <w:t xml:space="preserve"> </w:t>
      </w:r>
      <w:r w:rsidRPr="002029AF">
        <w:rPr>
          <w:rFonts w:eastAsia="Arial"/>
        </w:rPr>
        <w:t>or</w:t>
      </w:r>
      <w:r w:rsidR="000A5329" w:rsidRPr="002029AF">
        <w:rPr>
          <w:rFonts w:eastAsia="Arial"/>
        </w:rPr>
        <w:t xml:space="preserve"> </w:t>
      </w:r>
      <w:r w:rsidRPr="002029AF">
        <w:rPr>
          <w:rFonts w:eastAsia="Arial"/>
        </w:rPr>
        <w:t>non-current.</w:t>
      </w:r>
      <w:r w:rsidR="000A5329" w:rsidRPr="002029AF">
        <w:rPr>
          <w:rFonts w:eastAsia="Arial"/>
        </w:rPr>
        <w:t xml:space="preserve"> </w:t>
      </w:r>
      <w:r w:rsidRPr="002029AF">
        <w:rPr>
          <w:rFonts w:eastAsia="Arial"/>
        </w:rPr>
        <w:t>It</w:t>
      </w:r>
      <w:r w:rsidR="000A5329" w:rsidRPr="002029AF">
        <w:rPr>
          <w:rFonts w:eastAsia="Arial"/>
        </w:rPr>
        <w:t xml:space="preserve"> </w:t>
      </w:r>
      <w:r w:rsidRPr="002029AF">
        <w:rPr>
          <w:rFonts w:eastAsia="Arial"/>
        </w:rPr>
        <w:t>initially</w:t>
      </w:r>
      <w:r w:rsidR="000A5329" w:rsidRPr="002029AF">
        <w:rPr>
          <w:rFonts w:eastAsia="Arial"/>
        </w:rPr>
        <w:t xml:space="preserve"> </w:t>
      </w:r>
      <w:r w:rsidRPr="002029AF">
        <w:rPr>
          <w:rFonts w:eastAsia="Arial"/>
        </w:rPr>
        <w:t>applied</w:t>
      </w:r>
      <w:r w:rsidR="000A5329" w:rsidRPr="002029AF">
        <w:rPr>
          <w:rFonts w:eastAsia="Arial"/>
        </w:rPr>
        <w:t xml:space="preserve"> </w:t>
      </w:r>
      <w:r w:rsidRPr="002029AF">
        <w:rPr>
          <w:rFonts w:eastAsia="Arial"/>
        </w:rPr>
        <w:t>to</w:t>
      </w:r>
      <w:r w:rsidR="000A5329" w:rsidRPr="002029AF">
        <w:rPr>
          <w:rFonts w:eastAsia="Arial"/>
        </w:rPr>
        <w:t xml:space="preserve"> </w:t>
      </w:r>
      <w:r w:rsidRPr="002029AF">
        <w:rPr>
          <w:rFonts w:eastAsia="Arial"/>
        </w:rPr>
        <w:t>annual</w:t>
      </w:r>
      <w:r w:rsidR="000A5329" w:rsidRPr="002029AF">
        <w:rPr>
          <w:rFonts w:eastAsia="Arial"/>
        </w:rPr>
        <w:t xml:space="preserve"> </w:t>
      </w:r>
      <w:r w:rsidRPr="002029AF">
        <w:rPr>
          <w:rFonts w:eastAsia="Arial"/>
        </w:rPr>
        <w:t>reporting</w:t>
      </w:r>
      <w:r w:rsidR="000A5329" w:rsidRPr="002029AF">
        <w:rPr>
          <w:rFonts w:eastAsia="Arial"/>
        </w:rPr>
        <w:t xml:space="preserve"> </w:t>
      </w:r>
      <w:r w:rsidRPr="002029AF">
        <w:rPr>
          <w:rFonts w:eastAsia="Arial"/>
        </w:rPr>
        <w:t>periods</w:t>
      </w:r>
      <w:r w:rsidR="000A5329" w:rsidRPr="002029AF">
        <w:rPr>
          <w:rFonts w:eastAsia="Arial"/>
        </w:rPr>
        <w:t xml:space="preserve"> </w:t>
      </w:r>
      <w:r w:rsidRPr="002029AF">
        <w:rPr>
          <w:rFonts w:eastAsia="Arial"/>
        </w:rPr>
        <w:t>beginning</w:t>
      </w:r>
      <w:r w:rsidR="000A5329" w:rsidRPr="002029AF">
        <w:rPr>
          <w:rFonts w:eastAsia="Arial"/>
        </w:rPr>
        <w:t xml:space="preserve"> </w:t>
      </w:r>
      <w:r w:rsidRPr="002029AF">
        <w:rPr>
          <w:rFonts w:eastAsia="Arial"/>
        </w:rPr>
        <w:t>on</w:t>
      </w:r>
      <w:r w:rsidR="000A5329" w:rsidRPr="002029AF">
        <w:rPr>
          <w:rFonts w:eastAsia="Arial"/>
        </w:rPr>
        <w:t xml:space="preserve"> </w:t>
      </w:r>
      <w:r w:rsidRPr="002029AF">
        <w:rPr>
          <w:rFonts w:eastAsia="Arial"/>
        </w:rPr>
        <w:t>or</w:t>
      </w:r>
      <w:r w:rsidR="000A5329" w:rsidRPr="002029AF">
        <w:rPr>
          <w:rFonts w:eastAsia="Arial"/>
        </w:rPr>
        <w:t xml:space="preserve"> </w:t>
      </w:r>
      <w:r w:rsidRPr="002029AF">
        <w:rPr>
          <w:rFonts w:eastAsia="Arial"/>
        </w:rPr>
        <w:t>after</w:t>
      </w:r>
      <w:r w:rsidR="000A5329" w:rsidRPr="002029AF">
        <w:rPr>
          <w:rFonts w:eastAsia="Arial"/>
        </w:rPr>
        <w:t xml:space="preserve"> </w:t>
      </w:r>
      <w:r w:rsidRPr="002029AF">
        <w:rPr>
          <w:rFonts w:eastAsia="Arial"/>
        </w:rPr>
        <w:t>1</w:t>
      </w:r>
      <w:r w:rsidR="000A5329" w:rsidRPr="002029AF">
        <w:rPr>
          <w:rFonts w:eastAsia="Arial"/>
        </w:rPr>
        <w:t xml:space="preserve"> </w:t>
      </w:r>
      <w:r w:rsidRPr="002029AF">
        <w:rPr>
          <w:rFonts w:eastAsia="Arial"/>
        </w:rPr>
        <w:t>January</w:t>
      </w:r>
      <w:r w:rsidR="000A5329" w:rsidRPr="002029AF">
        <w:rPr>
          <w:rFonts w:eastAsia="Arial"/>
        </w:rPr>
        <w:t xml:space="preserve"> </w:t>
      </w:r>
      <w:r w:rsidRPr="002029AF">
        <w:rPr>
          <w:rFonts w:eastAsia="Arial"/>
        </w:rPr>
        <w:t>2022</w:t>
      </w:r>
      <w:r w:rsidR="000A5329" w:rsidRPr="002029AF">
        <w:rPr>
          <w:rFonts w:eastAsia="Arial"/>
        </w:rPr>
        <w:t xml:space="preserve"> </w:t>
      </w:r>
      <w:r w:rsidRPr="002029AF">
        <w:rPr>
          <w:rFonts w:eastAsia="Arial"/>
        </w:rPr>
        <w:t>with</w:t>
      </w:r>
      <w:r w:rsidR="000A5329" w:rsidRPr="002029AF">
        <w:rPr>
          <w:rFonts w:eastAsia="Arial"/>
        </w:rPr>
        <w:t xml:space="preserve"> </w:t>
      </w:r>
      <w:r w:rsidRPr="002029AF">
        <w:rPr>
          <w:rFonts w:eastAsia="Arial"/>
        </w:rPr>
        <w:t>earlier</w:t>
      </w:r>
      <w:r w:rsidR="000A5329" w:rsidRPr="002029AF">
        <w:rPr>
          <w:rFonts w:eastAsia="Arial"/>
        </w:rPr>
        <w:t xml:space="preserve"> </w:t>
      </w:r>
      <w:r w:rsidRPr="002029AF">
        <w:rPr>
          <w:rFonts w:eastAsia="Arial"/>
        </w:rPr>
        <w:t>application</w:t>
      </w:r>
      <w:r w:rsidR="000A5329" w:rsidRPr="002029AF">
        <w:rPr>
          <w:rFonts w:eastAsia="Arial"/>
        </w:rPr>
        <w:t xml:space="preserve"> </w:t>
      </w:r>
      <w:r w:rsidRPr="002029AF">
        <w:rPr>
          <w:rFonts w:eastAsia="Arial"/>
        </w:rPr>
        <w:t>permitted</w:t>
      </w:r>
      <w:r w:rsidR="000A5329" w:rsidRPr="002029AF">
        <w:rPr>
          <w:rFonts w:eastAsia="Arial"/>
        </w:rPr>
        <w:t xml:space="preserve"> </w:t>
      </w:r>
      <w:r w:rsidRPr="002029AF">
        <w:rPr>
          <w:rFonts w:eastAsia="Arial"/>
        </w:rPr>
        <w:t>however</w:t>
      </w:r>
      <w:r w:rsidR="000A5329" w:rsidRPr="002029AF">
        <w:rPr>
          <w:rFonts w:eastAsia="Arial"/>
        </w:rPr>
        <w:t xml:space="preserve"> </w:t>
      </w:r>
      <w:r w:rsidRPr="002029AF">
        <w:rPr>
          <w:rFonts w:eastAsia="Arial"/>
        </w:rPr>
        <w:t>the</w:t>
      </w:r>
      <w:r w:rsidR="000A5329" w:rsidRPr="002029AF">
        <w:rPr>
          <w:rFonts w:eastAsia="Arial"/>
        </w:rPr>
        <w:t xml:space="preserve"> </w:t>
      </w:r>
      <w:r w:rsidRPr="002029AF">
        <w:rPr>
          <w:rFonts w:eastAsia="Arial"/>
        </w:rPr>
        <w:t>AASB</w:t>
      </w:r>
      <w:r w:rsidR="000A5329" w:rsidRPr="002029AF">
        <w:rPr>
          <w:rFonts w:eastAsia="Arial"/>
        </w:rPr>
        <w:t xml:space="preserve"> </w:t>
      </w:r>
      <w:r w:rsidRPr="002029AF">
        <w:rPr>
          <w:rFonts w:eastAsia="Arial"/>
        </w:rPr>
        <w:t>has</w:t>
      </w:r>
      <w:r w:rsidR="000A5329" w:rsidRPr="002029AF">
        <w:rPr>
          <w:rFonts w:eastAsia="Arial"/>
        </w:rPr>
        <w:t xml:space="preserve"> </w:t>
      </w:r>
      <w:r w:rsidRPr="002029AF">
        <w:rPr>
          <w:rFonts w:eastAsia="Arial"/>
        </w:rPr>
        <w:t>recently</w:t>
      </w:r>
      <w:r w:rsidR="000A5329" w:rsidRPr="002029AF">
        <w:rPr>
          <w:rFonts w:eastAsia="Arial"/>
        </w:rPr>
        <w:t xml:space="preserve"> </w:t>
      </w:r>
      <w:r w:rsidRPr="002029AF">
        <w:rPr>
          <w:rFonts w:eastAsia="Arial"/>
        </w:rPr>
        <w:t>issued</w:t>
      </w:r>
      <w:r w:rsidR="000A5329" w:rsidRPr="002029AF">
        <w:rPr>
          <w:rFonts w:eastAsia="Arial"/>
        </w:rPr>
        <w:t xml:space="preserve"> </w:t>
      </w:r>
      <w:r w:rsidRPr="002029AF">
        <w:rPr>
          <w:rFonts w:eastAsia="Arial"/>
        </w:rPr>
        <w:t>ED</w:t>
      </w:r>
      <w:r w:rsidR="000A5329" w:rsidRPr="002029AF">
        <w:rPr>
          <w:rFonts w:eastAsia="Arial"/>
        </w:rPr>
        <w:t xml:space="preserve"> </w:t>
      </w:r>
      <w:r w:rsidRPr="002029AF">
        <w:rPr>
          <w:rFonts w:eastAsia="Arial"/>
        </w:rPr>
        <w:t>301</w:t>
      </w:r>
      <w:r w:rsidR="000A5329" w:rsidRPr="002029AF">
        <w:rPr>
          <w:rFonts w:eastAsia="Arial"/>
        </w:rPr>
        <w:t xml:space="preserve"> </w:t>
      </w:r>
      <w:r w:rsidRPr="002029AF">
        <w:rPr>
          <w:rStyle w:val="Emphasis"/>
        </w:rPr>
        <w:t>Classification</w:t>
      </w:r>
      <w:r w:rsidR="000A5329" w:rsidRPr="002029AF">
        <w:rPr>
          <w:rStyle w:val="Emphasis"/>
        </w:rPr>
        <w:t xml:space="preserve"> </w:t>
      </w:r>
      <w:r w:rsidRPr="002029AF">
        <w:rPr>
          <w:rStyle w:val="Emphasis"/>
        </w:rPr>
        <w:t>of</w:t>
      </w:r>
      <w:r w:rsidR="000A5329" w:rsidRPr="002029AF">
        <w:rPr>
          <w:rStyle w:val="Emphasis"/>
        </w:rPr>
        <w:t xml:space="preserve"> </w:t>
      </w:r>
      <w:r w:rsidRPr="002029AF">
        <w:rPr>
          <w:rStyle w:val="Emphasis"/>
        </w:rPr>
        <w:t>Liabilities</w:t>
      </w:r>
      <w:r w:rsidR="000A5329" w:rsidRPr="002029AF">
        <w:rPr>
          <w:rStyle w:val="Emphasis"/>
        </w:rPr>
        <w:t xml:space="preserve"> </w:t>
      </w:r>
      <w:r w:rsidRPr="002029AF">
        <w:rPr>
          <w:rStyle w:val="Emphasis"/>
        </w:rPr>
        <w:t>as</w:t>
      </w:r>
      <w:r w:rsidR="000A5329" w:rsidRPr="002029AF">
        <w:rPr>
          <w:rStyle w:val="Emphasis"/>
        </w:rPr>
        <w:t xml:space="preserve"> </w:t>
      </w:r>
      <w:r w:rsidRPr="002029AF">
        <w:rPr>
          <w:rStyle w:val="Emphasis"/>
        </w:rPr>
        <w:t>Current</w:t>
      </w:r>
      <w:r w:rsidR="000A5329" w:rsidRPr="002029AF">
        <w:rPr>
          <w:rStyle w:val="Emphasis"/>
        </w:rPr>
        <w:t xml:space="preserve"> </w:t>
      </w:r>
      <w:r w:rsidRPr="002029AF">
        <w:rPr>
          <w:rStyle w:val="Emphasis"/>
        </w:rPr>
        <w:t>or</w:t>
      </w:r>
      <w:r w:rsidR="000A5329" w:rsidRPr="002029AF">
        <w:rPr>
          <w:rStyle w:val="Emphasis"/>
        </w:rPr>
        <w:t xml:space="preserve"> </w:t>
      </w:r>
      <w:r w:rsidRPr="002029AF">
        <w:rPr>
          <w:rStyle w:val="Emphasis"/>
        </w:rPr>
        <w:t>Non-Current</w:t>
      </w:r>
      <w:r w:rsidR="000A5329" w:rsidRPr="002029AF">
        <w:rPr>
          <w:rStyle w:val="Emphasis"/>
        </w:rPr>
        <w:t xml:space="preserve"> </w:t>
      </w:r>
      <w:r w:rsidRPr="002029AF">
        <w:rPr>
          <w:rStyle w:val="Emphasis"/>
        </w:rPr>
        <w:t>–</w:t>
      </w:r>
      <w:r w:rsidR="000A5329" w:rsidRPr="002029AF">
        <w:rPr>
          <w:rStyle w:val="Emphasis"/>
        </w:rPr>
        <w:t xml:space="preserve"> </w:t>
      </w:r>
      <w:r w:rsidRPr="002029AF">
        <w:rPr>
          <w:rStyle w:val="Emphasis"/>
        </w:rPr>
        <w:t>Deferral</w:t>
      </w:r>
      <w:r w:rsidR="000A5329" w:rsidRPr="002029AF">
        <w:rPr>
          <w:rStyle w:val="Emphasis"/>
        </w:rPr>
        <w:t xml:space="preserve"> </w:t>
      </w:r>
      <w:r w:rsidRPr="002029AF">
        <w:rPr>
          <w:rStyle w:val="Emphasis"/>
        </w:rPr>
        <w:t>of</w:t>
      </w:r>
      <w:r w:rsidR="000A5329" w:rsidRPr="002029AF">
        <w:rPr>
          <w:rStyle w:val="Emphasis"/>
        </w:rPr>
        <w:t xml:space="preserve"> </w:t>
      </w:r>
      <w:r w:rsidRPr="002029AF">
        <w:rPr>
          <w:rStyle w:val="Emphasis"/>
        </w:rPr>
        <w:t>Effective</w:t>
      </w:r>
      <w:r w:rsidR="000A5329" w:rsidRPr="002029AF">
        <w:rPr>
          <w:rStyle w:val="Emphasis"/>
        </w:rPr>
        <w:t xml:space="preserve"> </w:t>
      </w:r>
      <w:r w:rsidRPr="002029AF">
        <w:rPr>
          <w:rStyle w:val="Emphasis"/>
        </w:rPr>
        <w:t>Date</w:t>
      </w:r>
      <w:r w:rsidR="000A5329" w:rsidRPr="002029AF">
        <w:t xml:space="preserve"> </w:t>
      </w:r>
      <w:r w:rsidRPr="002029AF">
        <w:rPr>
          <w:rFonts w:eastAsia="Arial"/>
        </w:rPr>
        <w:t>with</w:t>
      </w:r>
      <w:r w:rsidR="000A5329" w:rsidRPr="002029AF">
        <w:rPr>
          <w:rFonts w:eastAsia="Arial"/>
        </w:rPr>
        <w:t xml:space="preserve"> </w:t>
      </w:r>
      <w:r w:rsidRPr="002029AF">
        <w:rPr>
          <w:rFonts w:eastAsia="Arial"/>
        </w:rPr>
        <w:t>the</w:t>
      </w:r>
      <w:r w:rsidR="000A5329" w:rsidRPr="002029AF">
        <w:rPr>
          <w:rFonts w:eastAsia="Arial"/>
        </w:rPr>
        <w:t xml:space="preserve"> </w:t>
      </w:r>
      <w:r w:rsidRPr="002029AF">
        <w:rPr>
          <w:rFonts w:eastAsia="Arial"/>
        </w:rPr>
        <w:t>intention</w:t>
      </w:r>
      <w:r w:rsidR="000A5329" w:rsidRPr="002029AF">
        <w:rPr>
          <w:rFonts w:eastAsia="Arial"/>
        </w:rPr>
        <w:t xml:space="preserve"> </w:t>
      </w:r>
      <w:r w:rsidRPr="002029AF">
        <w:rPr>
          <w:rFonts w:eastAsia="Arial"/>
        </w:rPr>
        <w:t>to</w:t>
      </w:r>
      <w:r w:rsidR="000A5329" w:rsidRPr="002029AF">
        <w:rPr>
          <w:rFonts w:eastAsia="Arial"/>
        </w:rPr>
        <w:t xml:space="preserve"> </w:t>
      </w:r>
      <w:r w:rsidRPr="002029AF">
        <w:rPr>
          <w:rFonts w:eastAsia="Arial"/>
        </w:rPr>
        <w:t>defer</w:t>
      </w:r>
      <w:r w:rsidR="000A5329" w:rsidRPr="002029AF">
        <w:rPr>
          <w:rFonts w:eastAsia="Arial"/>
        </w:rPr>
        <w:t xml:space="preserve"> </w:t>
      </w:r>
      <w:r w:rsidRPr="002029AF">
        <w:rPr>
          <w:rFonts w:eastAsia="Arial"/>
        </w:rPr>
        <w:t>the</w:t>
      </w:r>
      <w:r w:rsidR="000A5329" w:rsidRPr="002029AF">
        <w:rPr>
          <w:rFonts w:eastAsia="Arial"/>
        </w:rPr>
        <w:t xml:space="preserve"> </w:t>
      </w:r>
      <w:r w:rsidRPr="002029AF">
        <w:rPr>
          <w:rFonts w:eastAsia="Arial"/>
        </w:rPr>
        <w:t>application</w:t>
      </w:r>
      <w:r w:rsidR="000A5329" w:rsidRPr="002029AF">
        <w:rPr>
          <w:rFonts w:eastAsia="Arial"/>
        </w:rPr>
        <w:t xml:space="preserve"> </w:t>
      </w:r>
      <w:r w:rsidRPr="002029AF">
        <w:rPr>
          <w:rFonts w:eastAsia="Arial"/>
        </w:rPr>
        <w:t>by</w:t>
      </w:r>
      <w:r w:rsidR="000A5329" w:rsidRPr="002029AF">
        <w:rPr>
          <w:rFonts w:eastAsia="Arial"/>
        </w:rPr>
        <w:t xml:space="preserve"> </w:t>
      </w:r>
      <w:r w:rsidRPr="002029AF">
        <w:rPr>
          <w:rFonts w:eastAsia="Arial"/>
        </w:rPr>
        <w:t>one</w:t>
      </w:r>
      <w:r w:rsidR="000A5329" w:rsidRPr="002029AF">
        <w:rPr>
          <w:rFonts w:eastAsia="Arial"/>
        </w:rPr>
        <w:t xml:space="preserve"> </w:t>
      </w:r>
      <w:r w:rsidRPr="002029AF">
        <w:rPr>
          <w:rFonts w:eastAsia="Arial"/>
        </w:rPr>
        <w:t>year</w:t>
      </w:r>
      <w:r w:rsidR="000A5329" w:rsidRPr="002029AF">
        <w:rPr>
          <w:rFonts w:eastAsia="Arial"/>
        </w:rPr>
        <w:t xml:space="preserve"> </w:t>
      </w:r>
      <w:r w:rsidRPr="002029AF">
        <w:rPr>
          <w:rFonts w:eastAsia="Arial"/>
        </w:rPr>
        <w:t>to</w:t>
      </w:r>
      <w:r w:rsidR="000A5329" w:rsidRPr="002029AF">
        <w:rPr>
          <w:rFonts w:eastAsia="Arial"/>
        </w:rPr>
        <w:t xml:space="preserve"> </w:t>
      </w:r>
      <w:r w:rsidRPr="002029AF">
        <w:rPr>
          <w:rFonts w:eastAsia="Arial"/>
        </w:rPr>
        <w:t>periods</w:t>
      </w:r>
      <w:r w:rsidR="000A5329" w:rsidRPr="002029AF">
        <w:rPr>
          <w:rFonts w:eastAsia="Arial"/>
        </w:rPr>
        <w:t xml:space="preserve"> </w:t>
      </w:r>
      <w:r w:rsidRPr="002029AF">
        <w:rPr>
          <w:rFonts w:eastAsia="Arial"/>
        </w:rPr>
        <w:t>beginning</w:t>
      </w:r>
      <w:r w:rsidR="000A5329" w:rsidRPr="002029AF">
        <w:rPr>
          <w:rFonts w:eastAsia="Arial"/>
        </w:rPr>
        <w:t xml:space="preserve"> </w:t>
      </w:r>
      <w:r w:rsidRPr="002029AF">
        <w:rPr>
          <w:rFonts w:eastAsia="Arial"/>
        </w:rPr>
        <w:t>on</w:t>
      </w:r>
      <w:r w:rsidR="000A5329" w:rsidRPr="002029AF">
        <w:rPr>
          <w:rFonts w:eastAsia="Arial"/>
        </w:rPr>
        <w:t xml:space="preserve"> </w:t>
      </w:r>
      <w:r w:rsidRPr="002029AF">
        <w:rPr>
          <w:rFonts w:eastAsia="Arial"/>
        </w:rPr>
        <w:t>or</w:t>
      </w:r>
      <w:r w:rsidR="000A5329" w:rsidRPr="002029AF">
        <w:rPr>
          <w:rFonts w:eastAsia="Arial"/>
        </w:rPr>
        <w:t xml:space="preserve"> </w:t>
      </w:r>
      <w:r w:rsidRPr="002029AF">
        <w:rPr>
          <w:rFonts w:eastAsia="Arial"/>
        </w:rPr>
        <w:t>after</w:t>
      </w:r>
      <w:r w:rsidR="000A5329" w:rsidRPr="002029AF">
        <w:rPr>
          <w:rFonts w:eastAsia="Arial"/>
        </w:rPr>
        <w:t xml:space="preserve"> </w:t>
      </w:r>
      <w:r w:rsidRPr="002029AF">
        <w:rPr>
          <w:rFonts w:eastAsia="Arial"/>
        </w:rPr>
        <w:t>1</w:t>
      </w:r>
      <w:r w:rsidR="000A5329" w:rsidRPr="002029AF">
        <w:rPr>
          <w:rFonts w:eastAsia="Arial"/>
        </w:rPr>
        <w:t xml:space="preserve"> </w:t>
      </w:r>
      <w:r w:rsidRPr="002029AF">
        <w:rPr>
          <w:rFonts w:eastAsia="Arial"/>
        </w:rPr>
        <w:t>January</w:t>
      </w:r>
      <w:r w:rsidR="000A5329" w:rsidRPr="002029AF">
        <w:rPr>
          <w:rFonts w:eastAsia="Arial"/>
        </w:rPr>
        <w:t xml:space="preserve"> </w:t>
      </w:r>
      <w:r w:rsidRPr="002029AF">
        <w:rPr>
          <w:rFonts w:eastAsia="Arial"/>
        </w:rPr>
        <w:t>2023.</w:t>
      </w:r>
      <w:r w:rsidR="000A5329" w:rsidRPr="002029AF">
        <w:rPr>
          <w:rFonts w:eastAsia="Arial"/>
        </w:rPr>
        <w:t xml:space="preserve"> </w:t>
      </w:r>
      <w:r w:rsidRPr="002029AF">
        <w:rPr>
          <w:rFonts w:eastAsia="Arial"/>
        </w:rPr>
        <w:t>The</w:t>
      </w:r>
      <w:r w:rsidR="000A5329" w:rsidRPr="002029AF">
        <w:rPr>
          <w:rFonts w:eastAsia="Arial"/>
        </w:rPr>
        <w:t xml:space="preserve"> </w:t>
      </w:r>
      <w:r w:rsidRPr="002029AF">
        <w:rPr>
          <w:rFonts w:eastAsia="Arial"/>
        </w:rPr>
        <w:t>department</w:t>
      </w:r>
      <w:r w:rsidR="000A5329" w:rsidRPr="002029AF">
        <w:rPr>
          <w:rFonts w:eastAsia="Arial"/>
        </w:rPr>
        <w:t xml:space="preserve"> </w:t>
      </w:r>
      <w:r w:rsidRPr="002029AF">
        <w:rPr>
          <w:rFonts w:eastAsia="Arial"/>
        </w:rPr>
        <w:t>will</w:t>
      </w:r>
      <w:r w:rsidR="000A5329" w:rsidRPr="002029AF">
        <w:rPr>
          <w:rFonts w:eastAsia="Arial"/>
        </w:rPr>
        <w:t xml:space="preserve"> </w:t>
      </w:r>
      <w:r w:rsidRPr="002029AF">
        <w:rPr>
          <w:rFonts w:eastAsia="Arial"/>
        </w:rPr>
        <w:t>not</w:t>
      </w:r>
      <w:r w:rsidR="000A5329" w:rsidRPr="002029AF">
        <w:rPr>
          <w:rFonts w:eastAsia="Arial"/>
        </w:rPr>
        <w:t xml:space="preserve"> </w:t>
      </w:r>
      <w:r w:rsidRPr="002029AF">
        <w:rPr>
          <w:rFonts w:eastAsia="Arial"/>
        </w:rPr>
        <w:t>early</w:t>
      </w:r>
      <w:r w:rsidR="000A5329" w:rsidRPr="002029AF">
        <w:rPr>
          <w:rFonts w:eastAsia="Arial"/>
        </w:rPr>
        <w:t xml:space="preserve"> </w:t>
      </w:r>
      <w:r w:rsidRPr="002029AF">
        <w:rPr>
          <w:rFonts w:eastAsia="Arial"/>
        </w:rPr>
        <w:t>adopt</w:t>
      </w:r>
      <w:r w:rsidR="000A5329" w:rsidRPr="002029AF">
        <w:rPr>
          <w:rFonts w:eastAsia="Arial"/>
        </w:rPr>
        <w:t xml:space="preserve"> </w:t>
      </w:r>
      <w:r w:rsidRPr="002029AF">
        <w:rPr>
          <w:rFonts w:eastAsia="Arial"/>
        </w:rPr>
        <w:t>the</w:t>
      </w:r>
      <w:r w:rsidR="000A5329" w:rsidRPr="002029AF">
        <w:rPr>
          <w:rFonts w:eastAsia="Arial"/>
        </w:rPr>
        <w:t xml:space="preserve"> </w:t>
      </w:r>
      <w:r w:rsidRPr="002029AF">
        <w:rPr>
          <w:rFonts w:eastAsia="Arial"/>
        </w:rPr>
        <w:t>standard.</w:t>
      </w:r>
    </w:p>
    <w:p w14:paraId="60E4EB47" w14:textId="0854360E" w:rsidR="00087B91" w:rsidRPr="002029AF" w:rsidRDefault="00087B91" w:rsidP="00087B91">
      <w:pPr>
        <w:pStyle w:val="ARfinbody"/>
        <w:rPr>
          <w:rFonts w:eastAsia="Arial"/>
        </w:rPr>
      </w:pPr>
      <w:r w:rsidRPr="002029AF">
        <w:rPr>
          <w:rFonts w:eastAsia="Arial"/>
        </w:rPr>
        <w:t>The</w:t>
      </w:r>
      <w:r w:rsidR="000A5329" w:rsidRPr="002029AF">
        <w:rPr>
          <w:rFonts w:eastAsia="Arial"/>
        </w:rPr>
        <w:t xml:space="preserve"> </w:t>
      </w:r>
      <w:r w:rsidRPr="002029AF">
        <w:rPr>
          <w:rFonts w:eastAsia="Arial"/>
        </w:rPr>
        <w:t>department</w:t>
      </w:r>
      <w:r w:rsidR="000A5329" w:rsidRPr="002029AF">
        <w:rPr>
          <w:rFonts w:eastAsia="Arial"/>
        </w:rPr>
        <w:t xml:space="preserve"> </w:t>
      </w:r>
      <w:r w:rsidRPr="002029AF">
        <w:rPr>
          <w:rFonts w:eastAsia="Arial"/>
        </w:rPr>
        <w:t>is</w:t>
      </w:r>
      <w:r w:rsidR="000A5329" w:rsidRPr="002029AF">
        <w:rPr>
          <w:rFonts w:eastAsia="Arial"/>
        </w:rPr>
        <w:t xml:space="preserve"> </w:t>
      </w:r>
      <w:r w:rsidRPr="002029AF">
        <w:rPr>
          <w:rFonts w:eastAsia="Arial"/>
        </w:rPr>
        <w:t>in</w:t>
      </w:r>
      <w:r w:rsidR="000A5329" w:rsidRPr="002029AF">
        <w:rPr>
          <w:rFonts w:eastAsia="Arial"/>
        </w:rPr>
        <w:t xml:space="preserve"> </w:t>
      </w:r>
      <w:r w:rsidRPr="002029AF">
        <w:rPr>
          <w:rFonts w:eastAsia="Arial"/>
        </w:rPr>
        <w:t>the</w:t>
      </w:r>
      <w:r w:rsidR="000A5329" w:rsidRPr="002029AF">
        <w:rPr>
          <w:rFonts w:eastAsia="Arial"/>
        </w:rPr>
        <w:t xml:space="preserve"> </w:t>
      </w:r>
      <w:r w:rsidRPr="002029AF">
        <w:rPr>
          <w:rFonts w:eastAsia="Arial"/>
        </w:rPr>
        <w:t>process</w:t>
      </w:r>
      <w:r w:rsidR="000A5329" w:rsidRPr="002029AF">
        <w:rPr>
          <w:rFonts w:eastAsia="Arial"/>
        </w:rPr>
        <w:t xml:space="preserve"> </w:t>
      </w:r>
      <w:r w:rsidRPr="002029AF">
        <w:rPr>
          <w:rFonts w:eastAsia="Arial"/>
        </w:rPr>
        <w:t>of</w:t>
      </w:r>
      <w:r w:rsidR="000A5329" w:rsidRPr="002029AF">
        <w:rPr>
          <w:rFonts w:eastAsia="Arial"/>
        </w:rPr>
        <w:t xml:space="preserve"> </w:t>
      </w:r>
      <w:r w:rsidRPr="002029AF">
        <w:rPr>
          <w:rFonts w:eastAsia="Arial"/>
        </w:rPr>
        <w:t>analysing</w:t>
      </w:r>
      <w:r w:rsidR="000A5329" w:rsidRPr="002029AF">
        <w:rPr>
          <w:rFonts w:eastAsia="Arial"/>
        </w:rPr>
        <w:t xml:space="preserve"> </w:t>
      </w:r>
      <w:r w:rsidRPr="002029AF">
        <w:rPr>
          <w:rFonts w:eastAsia="Arial"/>
        </w:rPr>
        <w:t>the</w:t>
      </w:r>
      <w:r w:rsidR="000A5329" w:rsidRPr="002029AF">
        <w:rPr>
          <w:rFonts w:eastAsia="Arial"/>
        </w:rPr>
        <w:t xml:space="preserve"> </w:t>
      </w:r>
      <w:r w:rsidRPr="002029AF">
        <w:rPr>
          <w:rFonts w:eastAsia="Arial"/>
        </w:rPr>
        <w:t>impacts</w:t>
      </w:r>
      <w:r w:rsidR="000A5329" w:rsidRPr="002029AF">
        <w:rPr>
          <w:rFonts w:eastAsia="Arial"/>
        </w:rPr>
        <w:t xml:space="preserve"> </w:t>
      </w:r>
      <w:r w:rsidRPr="002029AF">
        <w:rPr>
          <w:rFonts w:eastAsia="Arial"/>
        </w:rPr>
        <w:t>of</w:t>
      </w:r>
      <w:r w:rsidR="000A5329" w:rsidRPr="002029AF">
        <w:rPr>
          <w:rFonts w:eastAsia="Arial"/>
        </w:rPr>
        <w:t xml:space="preserve"> </w:t>
      </w:r>
      <w:r w:rsidRPr="002029AF">
        <w:rPr>
          <w:rFonts w:eastAsia="Arial"/>
        </w:rPr>
        <w:t>this</w:t>
      </w:r>
      <w:r w:rsidR="000A5329" w:rsidRPr="002029AF">
        <w:rPr>
          <w:rFonts w:eastAsia="Arial"/>
        </w:rPr>
        <w:t xml:space="preserve"> </w:t>
      </w:r>
      <w:r w:rsidRPr="002029AF">
        <w:rPr>
          <w:rFonts w:eastAsia="Arial"/>
        </w:rPr>
        <w:t>standard.</w:t>
      </w:r>
      <w:r w:rsidR="000A5329" w:rsidRPr="002029AF">
        <w:rPr>
          <w:rFonts w:eastAsia="Arial"/>
        </w:rPr>
        <w:t xml:space="preserve"> </w:t>
      </w:r>
      <w:r w:rsidRPr="002029AF">
        <w:rPr>
          <w:rFonts w:eastAsia="Arial"/>
        </w:rPr>
        <w:t>However,</w:t>
      </w:r>
      <w:r w:rsidR="000A5329" w:rsidRPr="002029AF">
        <w:rPr>
          <w:rFonts w:eastAsia="Arial"/>
        </w:rPr>
        <w:t xml:space="preserve"> </w:t>
      </w:r>
      <w:r w:rsidRPr="002029AF">
        <w:rPr>
          <w:rFonts w:eastAsia="Arial"/>
        </w:rPr>
        <w:t>it</w:t>
      </w:r>
      <w:r w:rsidR="000A5329" w:rsidRPr="002029AF">
        <w:rPr>
          <w:rFonts w:eastAsia="Arial"/>
        </w:rPr>
        <w:t xml:space="preserve"> </w:t>
      </w:r>
      <w:r w:rsidRPr="002029AF">
        <w:rPr>
          <w:rFonts w:eastAsia="Arial"/>
        </w:rPr>
        <w:t>is</w:t>
      </w:r>
      <w:r w:rsidR="000A5329" w:rsidRPr="002029AF">
        <w:rPr>
          <w:rFonts w:eastAsia="Arial"/>
        </w:rPr>
        <w:t xml:space="preserve"> </w:t>
      </w:r>
      <w:r w:rsidRPr="002029AF">
        <w:rPr>
          <w:rFonts w:eastAsia="Arial"/>
        </w:rPr>
        <w:t>not</w:t>
      </w:r>
      <w:r w:rsidR="000A5329" w:rsidRPr="002029AF">
        <w:rPr>
          <w:rFonts w:eastAsia="Arial"/>
        </w:rPr>
        <w:t xml:space="preserve"> </w:t>
      </w:r>
      <w:r w:rsidRPr="002029AF">
        <w:rPr>
          <w:rFonts w:eastAsia="Arial"/>
        </w:rPr>
        <w:t>anticipated</w:t>
      </w:r>
      <w:r w:rsidR="000A5329" w:rsidRPr="002029AF">
        <w:rPr>
          <w:rFonts w:eastAsia="Arial"/>
        </w:rPr>
        <w:t xml:space="preserve"> </w:t>
      </w:r>
      <w:r w:rsidRPr="002029AF">
        <w:rPr>
          <w:rFonts w:eastAsia="Arial"/>
        </w:rPr>
        <w:t>to</w:t>
      </w:r>
      <w:r w:rsidR="000A5329" w:rsidRPr="002029AF">
        <w:rPr>
          <w:rFonts w:eastAsia="Arial"/>
        </w:rPr>
        <w:t xml:space="preserve"> </w:t>
      </w:r>
      <w:r w:rsidRPr="002029AF">
        <w:rPr>
          <w:rFonts w:eastAsia="Arial"/>
        </w:rPr>
        <w:t>have</w:t>
      </w:r>
      <w:r w:rsidR="000A5329" w:rsidRPr="002029AF">
        <w:rPr>
          <w:rFonts w:eastAsia="Arial"/>
        </w:rPr>
        <w:t xml:space="preserve"> </w:t>
      </w:r>
      <w:r w:rsidRPr="002029AF">
        <w:rPr>
          <w:rFonts w:eastAsia="Arial"/>
        </w:rPr>
        <w:t>a</w:t>
      </w:r>
      <w:r w:rsidR="000A5329" w:rsidRPr="002029AF">
        <w:rPr>
          <w:rFonts w:eastAsia="Arial"/>
        </w:rPr>
        <w:t xml:space="preserve"> </w:t>
      </w:r>
      <w:r w:rsidRPr="002029AF">
        <w:rPr>
          <w:rFonts w:eastAsia="Arial"/>
        </w:rPr>
        <w:t>material</w:t>
      </w:r>
      <w:r w:rsidR="000A5329" w:rsidRPr="002029AF">
        <w:rPr>
          <w:rFonts w:eastAsia="Arial"/>
        </w:rPr>
        <w:t xml:space="preserve"> </w:t>
      </w:r>
      <w:r w:rsidRPr="002029AF">
        <w:rPr>
          <w:rFonts w:eastAsia="Arial"/>
        </w:rPr>
        <w:t>impact.</w:t>
      </w:r>
    </w:p>
    <w:p w14:paraId="4922DDAE" w14:textId="5228DB81" w:rsidR="00087B91" w:rsidRPr="002029AF" w:rsidRDefault="00087B91" w:rsidP="00087B91">
      <w:pPr>
        <w:pStyle w:val="ARfinbody"/>
        <w:rPr>
          <w:rFonts w:eastAsia="Arial"/>
        </w:rPr>
      </w:pPr>
      <w:r w:rsidRPr="002029AF">
        <w:rPr>
          <w:rFonts w:eastAsia="Arial"/>
        </w:rPr>
        <w:t>Several</w:t>
      </w:r>
      <w:r w:rsidR="000A5329" w:rsidRPr="002029AF">
        <w:rPr>
          <w:rFonts w:eastAsia="Arial"/>
        </w:rPr>
        <w:t xml:space="preserve"> </w:t>
      </w:r>
      <w:r w:rsidRPr="002029AF">
        <w:rPr>
          <w:rFonts w:eastAsia="Arial"/>
        </w:rPr>
        <w:t>other</w:t>
      </w:r>
      <w:r w:rsidR="000A5329" w:rsidRPr="002029AF">
        <w:rPr>
          <w:rFonts w:eastAsia="Arial"/>
        </w:rPr>
        <w:t xml:space="preserve"> </w:t>
      </w:r>
      <w:r w:rsidRPr="002029AF">
        <w:rPr>
          <w:rFonts w:eastAsia="Arial"/>
        </w:rPr>
        <w:t>amending</w:t>
      </w:r>
      <w:r w:rsidR="000A5329" w:rsidRPr="002029AF">
        <w:rPr>
          <w:rFonts w:eastAsia="Arial"/>
        </w:rPr>
        <w:t xml:space="preserve"> </w:t>
      </w:r>
      <w:r w:rsidRPr="002029AF">
        <w:rPr>
          <w:rFonts w:eastAsia="Arial"/>
        </w:rPr>
        <w:t>standards</w:t>
      </w:r>
      <w:r w:rsidR="000A5329" w:rsidRPr="002029AF">
        <w:rPr>
          <w:rFonts w:eastAsia="Arial"/>
        </w:rPr>
        <w:t xml:space="preserve"> </w:t>
      </w:r>
      <w:r w:rsidRPr="002029AF">
        <w:rPr>
          <w:rFonts w:eastAsia="Arial"/>
        </w:rPr>
        <w:t>and</w:t>
      </w:r>
      <w:r w:rsidR="000A5329" w:rsidRPr="002029AF">
        <w:rPr>
          <w:rFonts w:eastAsia="Arial"/>
        </w:rPr>
        <w:t xml:space="preserve"> </w:t>
      </w:r>
      <w:r w:rsidRPr="002029AF">
        <w:rPr>
          <w:rFonts w:eastAsia="Arial"/>
        </w:rPr>
        <w:t>AASB</w:t>
      </w:r>
      <w:r w:rsidR="000A5329" w:rsidRPr="002029AF">
        <w:rPr>
          <w:rFonts w:eastAsia="Arial"/>
        </w:rPr>
        <w:t xml:space="preserve"> </w:t>
      </w:r>
      <w:r w:rsidRPr="002029AF">
        <w:rPr>
          <w:rFonts w:eastAsia="Arial"/>
        </w:rPr>
        <w:t>interpretations</w:t>
      </w:r>
      <w:r w:rsidR="000A5329" w:rsidRPr="002029AF">
        <w:rPr>
          <w:rFonts w:eastAsia="Arial"/>
        </w:rPr>
        <w:t xml:space="preserve"> </w:t>
      </w:r>
      <w:r w:rsidRPr="002029AF">
        <w:rPr>
          <w:rFonts w:eastAsia="Arial"/>
        </w:rPr>
        <w:t>have</w:t>
      </w:r>
      <w:r w:rsidR="000A5329" w:rsidRPr="002029AF">
        <w:rPr>
          <w:rFonts w:eastAsia="Arial"/>
        </w:rPr>
        <w:t xml:space="preserve"> </w:t>
      </w:r>
      <w:r w:rsidRPr="002029AF">
        <w:rPr>
          <w:rFonts w:eastAsia="Arial"/>
        </w:rPr>
        <w:t>been</w:t>
      </w:r>
      <w:r w:rsidR="000A5329" w:rsidRPr="002029AF">
        <w:rPr>
          <w:rFonts w:eastAsia="Arial"/>
        </w:rPr>
        <w:t xml:space="preserve"> </w:t>
      </w:r>
      <w:r w:rsidRPr="002029AF">
        <w:rPr>
          <w:rFonts w:eastAsia="Arial"/>
        </w:rPr>
        <w:t>issued</w:t>
      </w:r>
      <w:r w:rsidR="000A5329" w:rsidRPr="002029AF">
        <w:rPr>
          <w:rFonts w:eastAsia="Arial"/>
        </w:rPr>
        <w:t xml:space="preserve"> </w:t>
      </w:r>
      <w:r w:rsidRPr="002029AF">
        <w:rPr>
          <w:rFonts w:eastAsia="Arial"/>
        </w:rPr>
        <w:t>that</w:t>
      </w:r>
      <w:r w:rsidR="000A5329" w:rsidRPr="002029AF">
        <w:rPr>
          <w:rFonts w:eastAsia="Arial"/>
        </w:rPr>
        <w:t xml:space="preserve"> </w:t>
      </w:r>
      <w:r w:rsidRPr="002029AF">
        <w:rPr>
          <w:rFonts w:eastAsia="Arial"/>
        </w:rPr>
        <w:t>apply</w:t>
      </w:r>
      <w:r w:rsidR="000A5329" w:rsidRPr="002029AF">
        <w:rPr>
          <w:rFonts w:eastAsia="Arial"/>
        </w:rPr>
        <w:t xml:space="preserve"> </w:t>
      </w:r>
      <w:r w:rsidRPr="002029AF">
        <w:rPr>
          <w:rFonts w:eastAsia="Arial"/>
        </w:rPr>
        <w:t>to</w:t>
      </w:r>
      <w:r w:rsidR="000A5329" w:rsidRPr="002029AF">
        <w:rPr>
          <w:rFonts w:eastAsia="Arial"/>
        </w:rPr>
        <w:t xml:space="preserve"> </w:t>
      </w:r>
      <w:r w:rsidRPr="002029AF">
        <w:rPr>
          <w:rFonts w:eastAsia="Arial"/>
        </w:rPr>
        <w:t>future</w:t>
      </w:r>
      <w:r w:rsidR="000A5329" w:rsidRPr="002029AF">
        <w:rPr>
          <w:rFonts w:eastAsia="Arial"/>
        </w:rPr>
        <w:t xml:space="preserve"> </w:t>
      </w:r>
      <w:r w:rsidRPr="002029AF">
        <w:rPr>
          <w:rFonts w:eastAsia="Arial"/>
        </w:rPr>
        <w:t>reporting</w:t>
      </w:r>
      <w:r w:rsidR="000A5329" w:rsidRPr="002029AF">
        <w:rPr>
          <w:rFonts w:eastAsia="Arial"/>
        </w:rPr>
        <w:t xml:space="preserve"> </w:t>
      </w:r>
      <w:r w:rsidR="00471BB1" w:rsidRPr="002029AF">
        <w:rPr>
          <w:rFonts w:eastAsia="Arial"/>
        </w:rPr>
        <w:t>periods but</w:t>
      </w:r>
      <w:r w:rsidR="000A5329" w:rsidRPr="002029AF">
        <w:rPr>
          <w:rFonts w:eastAsia="Arial"/>
        </w:rPr>
        <w:t xml:space="preserve"> </w:t>
      </w:r>
      <w:r w:rsidRPr="002029AF">
        <w:rPr>
          <w:rFonts w:eastAsia="Arial"/>
        </w:rPr>
        <w:t>are</w:t>
      </w:r>
      <w:r w:rsidR="000A5329" w:rsidRPr="002029AF">
        <w:rPr>
          <w:rFonts w:eastAsia="Arial"/>
        </w:rPr>
        <w:t xml:space="preserve"> </w:t>
      </w:r>
      <w:r w:rsidRPr="002029AF">
        <w:rPr>
          <w:rFonts w:eastAsia="Arial"/>
        </w:rPr>
        <w:t>considered</w:t>
      </w:r>
      <w:r w:rsidR="000A5329" w:rsidRPr="002029AF">
        <w:rPr>
          <w:rFonts w:eastAsia="Arial"/>
        </w:rPr>
        <w:t xml:space="preserve"> </w:t>
      </w:r>
      <w:r w:rsidRPr="002029AF">
        <w:rPr>
          <w:rFonts w:eastAsia="Arial"/>
        </w:rPr>
        <w:t>to</w:t>
      </w:r>
      <w:r w:rsidR="000A5329" w:rsidRPr="002029AF">
        <w:rPr>
          <w:rFonts w:eastAsia="Arial"/>
        </w:rPr>
        <w:t xml:space="preserve"> </w:t>
      </w:r>
      <w:r w:rsidRPr="002029AF">
        <w:rPr>
          <w:rFonts w:eastAsia="Arial"/>
        </w:rPr>
        <w:t>have</w:t>
      </w:r>
      <w:r w:rsidR="000A5329" w:rsidRPr="002029AF">
        <w:rPr>
          <w:rFonts w:eastAsia="Arial"/>
        </w:rPr>
        <w:t xml:space="preserve"> </w:t>
      </w:r>
      <w:r w:rsidRPr="002029AF">
        <w:rPr>
          <w:rFonts w:eastAsia="Arial"/>
        </w:rPr>
        <w:t>limited</w:t>
      </w:r>
      <w:r w:rsidR="000A5329" w:rsidRPr="002029AF">
        <w:rPr>
          <w:rFonts w:eastAsia="Arial"/>
        </w:rPr>
        <w:t xml:space="preserve"> </w:t>
      </w:r>
      <w:r w:rsidRPr="002029AF">
        <w:rPr>
          <w:rFonts w:eastAsia="Arial"/>
        </w:rPr>
        <w:t>impact</w:t>
      </w:r>
      <w:r w:rsidR="000A5329" w:rsidRPr="002029AF">
        <w:rPr>
          <w:rFonts w:eastAsia="Arial"/>
        </w:rPr>
        <w:t xml:space="preserve"> </w:t>
      </w:r>
      <w:r w:rsidRPr="002029AF">
        <w:rPr>
          <w:rFonts w:eastAsia="Arial"/>
        </w:rPr>
        <w:t>on</w:t>
      </w:r>
      <w:r w:rsidR="000A5329" w:rsidRPr="002029AF">
        <w:rPr>
          <w:rFonts w:eastAsia="Arial"/>
        </w:rPr>
        <w:t xml:space="preserve"> </w:t>
      </w:r>
      <w:r w:rsidRPr="002029AF">
        <w:rPr>
          <w:rFonts w:eastAsia="Arial"/>
        </w:rPr>
        <w:t>the</w:t>
      </w:r>
      <w:r w:rsidR="000A5329" w:rsidRPr="002029AF">
        <w:rPr>
          <w:rFonts w:eastAsia="Arial"/>
        </w:rPr>
        <w:t xml:space="preserve"> </w:t>
      </w:r>
      <w:r w:rsidRPr="002029AF">
        <w:rPr>
          <w:rFonts w:eastAsia="Arial"/>
        </w:rPr>
        <w:t>department’s</w:t>
      </w:r>
      <w:r w:rsidR="000A5329" w:rsidRPr="002029AF">
        <w:rPr>
          <w:rFonts w:eastAsia="Arial"/>
        </w:rPr>
        <w:t xml:space="preserve"> </w:t>
      </w:r>
      <w:r w:rsidRPr="002029AF">
        <w:rPr>
          <w:rFonts w:eastAsia="Arial"/>
        </w:rPr>
        <w:t>reporting.</w:t>
      </w:r>
    </w:p>
    <w:p w14:paraId="599F42B6" w14:textId="13F18D53" w:rsidR="00087B91" w:rsidRPr="002029AF" w:rsidRDefault="00087B91" w:rsidP="00087B91">
      <w:pPr>
        <w:pStyle w:val="ARfinbullet1"/>
        <w:rPr>
          <w:rFonts w:eastAsia="Arial" w:cs="Arial"/>
          <w:spacing w:val="2"/>
        </w:rPr>
      </w:pPr>
      <w:r w:rsidRPr="002029AF">
        <w:rPr>
          <w:rFonts w:eastAsia="Arial" w:cs="Arial"/>
          <w:spacing w:val="2"/>
        </w:rPr>
        <w:t>AASB</w:t>
      </w:r>
      <w:r w:rsidR="000A5329" w:rsidRPr="002029AF">
        <w:rPr>
          <w:rFonts w:eastAsia="Arial" w:cs="Arial"/>
          <w:spacing w:val="2"/>
        </w:rPr>
        <w:t xml:space="preserve"> </w:t>
      </w:r>
      <w:r w:rsidRPr="002029AF">
        <w:rPr>
          <w:rFonts w:eastAsia="Arial" w:cs="Arial"/>
          <w:spacing w:val="2"/>
        </w:rPr>
        <w:t>17</w:t>
      </w:r>
      <w:r w:rsidR="000A5329" w:rsidRPr="002029AF">
        <w:rPr>
          <w:rFonts w:eastAsia="Arial" w:cs="Arial"/>
          <w:spacing w:val="2"/>
        </w:rPr>
        <w:t xml:space="preserve"> </w:t>
      </w:r>
      <w:r w:rsidRPr="002029AF">
        <w:rPr>
          <w:rStyle w:val="Emphasis"/>
        </w:rPr>
        <w:t>Insurance</w:t>
      </w:r>
      <w:r w:rsidR="000A5329" w:rsidRPr="002029AF">
        <w:rPr>
          <w:rStyle w:val="Emphasis"/>
        </w:rPr>
        <w:t xml:space="preserve"> </w:t>
      </w:r>
      <w:r w:rsidRPr="002029AF">
        <w:rPr>
          <w:rStyle w:val="Emphasis"/>
        </w:rPr>
        <w:t>Contracts</w:t>
      </w:r>
    </w:p>
    <w:p w14:paraId="4DCF2C8A" w14:textId="14E0C93F" w:rsidR="00087B91" w:rsidRPr="002029AF" w:rsidRDefault="00087B91" w:rsidP="00087B91">
      <w:pPr>
        <w:pStyle w:val="ARfinbullet1"/>
        <w:rPr>
          <w:rFonts w:eastAsia="Arial" w:cs="Arial"/>
          <w:spacing w:val="2"/>
        </w:rPr>
      </w:pPr>
      <w:r w:rsidRPr="002029AF">
        <w:rPr>
          <w:rFonts w:eastAsia="Arial" w:cs="Arial"/>
          <w:spacing w:val="2"/>
        </w:rPr>
        <w:t>AASB</w:t>
      </w:r>
      <w:r w:rsidR="000A5329" w:rsidRPr="002029AF">
        <w:rPr>
          <w:rFonts w:eastAsia="Arial" w:cs="Arial"/>
          <w:spacing w:val="2"/>
        </w:rPr>
        <w:t xml:space="preserve"> </w:t>
      </w:r>
      <w:r w:rsidRPr="002029AF">
        <w:rPr>
          <w:rFonts w:eastAsia="Arial" w:cs="Arial"/>
          <w:spacing w:val="2"/>
        </w:rPr>
        <w:t>1060</w:t>
      </w:r>
      <w:r w:rsidR="000A5329" w:rsidRPr="002029AF">
        <w:rPr>
          <w:rFonts w:eastAsia="Arial" w:cs="Arial"/>
          <w:spacing w:val="2"/>
        </w:rPr>
        <w:t xml:space="preserve"> </w:t>
      </w:r>
      <w:r w:rsidRPr="002029AF">
        <w:rPr>
          <w:rStyle w:val="Emphasis"/>
        </w:rPr>
        <w:t>General</w:t>
      </w:r>
      <w:r w:rsidR="000A5329" w:rsidRPr="002029AF">
        <w:rPr>
          <w:rStyle w:val="Emphasis"/>
        </w:rPr>
        <w:t xml:space="preserve"> </w:t>
      </w:r>
      <w:r w:rsidRPr="002029AF">
        <w:rPr>
          <w:rStyle w:val="Emphasis"/>
        </w:rPr>
        <w:t>Purpose</w:t>
      </w:r>
      <w:r w:rsidR="000A5329" w:rsidRPr="002029AF">
        <w:rPr>
          <w:rStyle w:val="Emphasis"/>
        </w:rPr>
        <w:t xml:space="preserve"> </w:t>
      </w:r>
      <w:r w:rsidRPr="002029AF">
        <w:rPr>
          <w:rStyle w:val="Emphasis"/>
        </w:rPr>
        <w:t>Financial</w:t>
      </w:r>
      <w:r w:rsidR="000A5329" w:rsidRPr="002029AF">
        <w:rPr>
          <w:rStyle w:val="Emphasis"/>
        </w:rPr>
        <w:t xml:space="preserve"> </w:t>
      </w:r>
      <w:r w:rsidRPr="002029AF">
        <w:rPr>
          <w:rStyle w:val="Emphasis"/>
        </w:rPr>
        <w:t>Statements</w:t>
      </w:r>
      <w:r w:rsidR="000A5329" w:rsidRPr="002029AF">
        <w:rPr>
          <w:rStyle w:val="Emphasis"/>
        </w:rPr>
        <w:t xml:space="preserve"> </w:t>
      </w:r>
      <w:r w:rsidRPr="002029AF">
        <w:rPr>
          <w:rStyle w:val="Emphasis"/>
        </w:rPr>
        <w:t>–</w:t>
      </w:r>
      <w:r w:rsidR="000A5329" w:rsidRPr="002029AF">
        <w:rPr>
          <w:rStyle w:val="Emphasis"/>
        </w:rPr>
        <w:t xml:space="preserve"> </w:t>
      </w:r>
      <w:r w:rsidRPr="002029AF">
        <w:rPr>
          <w:rStyle w:val="Emphasis"/>
        </w:rPr>
        <w:t>Simplified</w:t>
      </w:r>
      <w:r w:rsidR="000A5329" w:rsidRPr="002029AF">
        <w:rPr>
          <w:rStyle w:val="Emphasis"/>
        </w:rPr>
        <w:t xml:space="preserve"> </w:t>
      </w:r>
      <w:r w:rsidRPr="002029AF">
        <w:rPr>
          <w:rStyle w:val="Emphasis"/>
        </w:rPr>
        <w:t>Disclosures</w:t>
      </w:r>
      <w:r w:rsidR="000A5329" w:rsidRPr="002029AF">
        <w:rPr>
          <w:rStyle w:val="Emphasis"/>
        </w:rPr>
        <w:t xml:space="preserve"> </w:t>
      </w:r>
      <w:r w:rsidRPr="002029AF">
        <w:rPr>
          <w:rStyle w:val="Emphasis"/>
        </w:rPr>
        <w:t>for</w:t>
      </w:r>
      <w:r w:rsidR="000A5329" w:rsidRPr="002029AF">
        <w:rPr>
          <w:rStyle w:val="Emphasis"/>
        </w:rPr>
        <w:t xml:space="preserve"> </w:t>
      </w:r>
      <w:r w:rsidRPr="002029AF">
        <w:rPr>
          <w:rStyle w:val="Emphasis"/>
        </w:rPr>
        <w:t>For-Profit</w:t>
      </w:r>
      <w:r w:rsidR="000A5329" w:rsidRPr="002029AF">
        <w:rPr>
          <w:rStyle w:val="Emphasis"/>
        </w:rPr>
        <w:t xml:space="preserve"> </w:t>
      </w:r>
      <w:r w:rsidRPr="002029AF">
        <w:rPr>
          <w:rStyle w:val="Emphasis"/>
        </w:rPr>
        <w:t>and</w:t>
      </w:r>
      <w:r w:rsidR="000A5329" w:rsidRPr="002029AF">
        <w:rPr>
          <w:rStyle w:val="Emphasis"/>
        </w:rPr>
        <w:t xml:space="preserve"> </w:t>
      </w:r>
      <w:r w:rsidRPr="002029AF">
        <w:rPr>
          <w:rStyle w:val="Emphasis"/>
        </w:rPr>
        <w:t>Not-for-Profit</w:t>
      </w:r>
      <w:r w:rsidR="000A5329" w:rsidRPr="002029AF">
        <w:rPr>
          <w:rStyle w:val="Emphasis"/>
        </w:rPr>
        <w:t xml:space="preserve"> </w:t>
      </w:r>
      <w:r w:rsidRPr="002029AF">
        <w:rPr>
          <w:rStyle w:val="Emphasis"/>
        </w:rPr>
        <w:t>Tier</w:t>
      </w:r>
      <w:r w:rsidR="000A5329" w:rsidRPr="002029AF">
        <w:rPr>
          <w:rStyle w:val="Emphasis"/>
        </w:rPr>
        <w:t xml:space="preserve"> </w:t>
      </w:r>
      <w:r w:rsidRPr="002029AF">
        <w:rPr>
          <w:rStyle w:val="Emphasis"/>
        </w:rPr>
        <w:t>2</w:t>
      </w:r>
      <w:r w:rsidR="000A5329" w:rsidRPr="002029AF">
        <w:rPr>
          <w:rStyle w:val="Emphasis"/>
        </w:rPr>
        <w:t xml:space="preserve"> </w:t>
      </w:r>
      <w:r w:rsidRPr="002029AF">
        <w:rPr>
          <w:rStyle w:val="Emphasis"/>
        </w:rPr>
        <w:t>Entities</w:t>
      </w:r>
      <w:r w:rsidR="000A5329" w:rsidRPr="002029AF">
        <w:rPr>
          <w:rStyle w:val="Emphasis"/>
        </w:rPr>
        <w:t xml:space="preserve"> </w:t>
      </w:r>
      <w:r w:rsidRPr="002029AF">
        <w:rPr>
          <w:rStyle w:val="Emphasis"/>
        </w:rPr>
        <w:t>(Appendix</w:t>
      </w:r>
      <w:r w:rsidR="000A5329" w:rsidRPr="002029AF">
        <w:rPr>
          <w:rStyle w:val="Emphasis"/>
        </w:rPr>
        <w:t xml:space="preserve"> </w:t>
      </w:r>
      <w:r w:rsidRPr="002029AF">
        <w:rPr>
          <w:rStyle w:val="Emphasis"/>
        </w:rPr>
        <w:t>C)</w:t>
      </w:r>
    </w:p>
    <w:p w14:paraId="1FEC7D9B" w14:textId="5C340909" w:rsidR="00087B91" w:rsidRPr="002029AF" w:rsidRDefault="00087B91" w:rsidP="00087B91">
      <w:pPr>
        <w:pStyle w:val="ARfinbullet1"/>
        <w:rPr>
          <w:rFonts w:eastAsia="Arial" w:cs="Arial"/>
          <w:spacing w:val="2"/>
        </w:rPr>
      </w:pPr>
      <w:r w:rsidRPr="002029AF">
        <w:rPr>
          <w:rFonts w:eastAsia="Arial" w:cs="Arial"/>
          <w:spacing w:val="2"/>
        </w:rPr>
        <w:t>AASB</w:t>
      </w:r>
      <w:r w:rsidR="000A5329" w:rsidRPr="002029AF">
        <w:rPr>
          <w:rFonts w:eastAsia="Arial" w:cs="Arial"/>
          <w:spacing w:val="2"/>
        </w:rPr>
        <w:t xml:space="preserve"> </w:t>
      </w:r>
      <w:r w:rsidRPr="002029AF">
        <w:rPr>
          <w:rFonts w:eastAsia="Arial" w:cs="Arial"/>
          <w:spacing w:val="2"/>
        </w:rPr>
        <w:t>2018-6</w:t>
      </w:r>
      <w:r w:rsidR="000A5329" w:rsidRPr="002029AF">
        <w:rPr>
          <w:rStyle w:val="Emphasis"/>
        </w:rPr>
        <w:t xml:space="preserve"> </w:t>
      </w:r>
      <w:r w:rsidRPr="002029AF">
        <w:rPr>
          <w:rStyle w:val="Emphasis"/>
        </w:rPr>
        <w:t>Amendments</w:t>
      </w:r>
      <w:r w:rsidR="000A5329" w:rsidRPr="002029AF">
        <w:rPr>
          <w:rStyle w:val="Emphasis"/>
        </w:rPr>
        <w:t xml:space="preserve"> </w:t>
      </w:r>
      <w:r w:rsidRPr="002029AF">
        <w:rPr>
          <w:rStyle w:val="Emphasis"/>
        </w:rPr>
        <w:t>to</w:t>
      </w:r>
      <w:r w:rsidR="000A5329" w:rsidRPr="002029AF">
        <w:rPr>
          <w:rStyle w:val="Emphasis"/>
        </w:rPr>
        <w:t xml:space="preserve"> </w:t>
      </w:r>
      <w:r w:rsidRPr="002029AF">
        <w:rPr>
          <w:rStyle w:val="Emphasis"/>
        </w:rPr>
        <w:t>Australian</w:t>
      </w:r>
      <w:r w:rsidR="000A5329" w:rsidRPr="002029AF">
        <w:rPr>
          <w:rStyle w:val="Emphasis"/>
        </w:rPr>
        <w:t xml:space="preserve"> </w:t>
      </w:r>
      <w:r w:rsidRPr="002029AF">
        <w:rPr>
          <w:rStyle w:val="Emphasis"/>
        </w:rPr>
        <w:t>Accounting</w:t>
      </w:r>
      <w:r w:rsidR="000A5329" w:rsidRPr="002029AF">
        <w:rPr>
          <w:rStyle w:val="Emphasis"/>
        </w:rPr>
        <w:t xml:space="preserve"> </w:t>
      </w:r>
      <w:r w:rsidRPr="002029AF">
        <w:rPr>
          <w:rStyle w:val="Emphasis"/>
        </w:rPr>
        <w:t>Standards</w:t>
      </w:r>
      <w:r w:rsidR="000A5329" w:rsidRPr="002029AF">
        <w:rPr>
          <w:rStyle w:val="Emphasis"/>
        </w:rPr>
        <w:t xml:space="preserve"> </w:t>
      </w:r>
      <w:r w:rsidRPr="002029AF">
        <w:rPr>
          <w:rStyle w:val="Emphasis"/>
        </w:rPr>
        <w:t>–</w:t>
      </w:r>
      <w:r w:rsidR="000A5329" w:rsidRPr="002029AF">
        <w:rPr>
          <w:rStyle w:val="Emphasis"/>
        </w:rPr>
        <w:t xml:space="preserve"> </w:t>
      </w:r>
      <w:r w:rsidRPr="002029AF">
        <w:rPr>
          <w:rStyle w:val="Emphasis"/>
        </w:rPr>
        <w:t>Definition</w:t>
      </w:r>
      <w:r w:rsidR="000A5329" w:rsidRPr="002029AF">
        <w:rPr>
          <w:rStyle w:val="Emphasis"/>
        </w:rPr>
        <w:t xml:space="preserve"> </w:t>
      </w:r>
      <w:r w:rsidRPr="002029AF">
        <w:rPr>
          <w:rStyle w:val="Emphasis"/>
        </w:rPr>
        <w:t>of</w:t>
      </w:r>
      <w:r w:rsidR="000A5329" w:rsidRPr="002029AF">
        <w:rPr>
          <w:rStyle w:val="Emphasis"/>
        </w:rPr>
        <w:t xml:space="preserve"> </w:t>
      </w:r>
      <w:r w:rsidRPr="002029AF">
        <w:rPr>
          <w:rStyle w:val="Emphasis"/>
        </w:rPr>
        <w:t>a</w:t>
      </w:r>
      <w:r w:rsidR="000A5329" w:rsidRPr="002029AF">
        <w:rPr>
          <w:rStyle w:val="Emphasis"/>
        </w:rPr>
        <w:t xml:space="preserve"> </w:t>
      </w:r>
      <w:r w:rsidRPr="002029AF">
        <w:rPr>
          <w:rStyle w:val="Emphasis"/>
        </w:rPr>
        <w:t>Business</w:t>
      </w:r>
    </w:p>
    <w:p w14:paraId="4E9B641F" w14:textId="7C57B6A9" w:rsidR="00087B91" w:rsidRPr="002029AF" w:rsidRDefault="00087B91" w:rsidP="00087B91">
      <w:pPr>
        <w:pStyle w:val="ARfinbullet1"/>
        <w:rPr>
          <w:rFonts w:eastAsia="Arial" w:cs="Arial"/>
          <w:spacing w:val="2"/>
        </w:rPr>
      </w:pPr>
      <w:r w:rsidRPr="002029AF">
        <w:rPr>
          <w:rFonts w:eastAsia="Arial" w:cs="Arial"/>
          <w:spacing w:val="2"/>
        </w:rPr>
        <w:t>AASB</w:t>
      </w:r>
      <w:r w:rsidR="000A5329" w:rsidRPr="002029AF">
        <w:rPr>
          <w:rFonts w:eastAsia="Arial" w:cs="Arial"/>
          <w:spacing w:val="2"/>
        </w:rPr>
        <w:t xml:space="preserve"> </w:t>
      </w:r>
      <w:r w:rsidRPr="002029AF">
        <w:rPr>
          <w:rFonts w:eastAsia="Arial" w:cs="Arial"/>
          <w:spacing w:val="2"/>
        </w:rPr>
        <w:t>2019-1</w:t>
      </w:r>
      <w:r w:rsidR="000A5329" w:rsidRPr="002029AF">
        <w:rPr>
          <w:rStyle w:val="Emphasis"/>
        </w:rPr>
        <w:t xml:space="preserve"> </w:t>
      </w:r>
      <w:r w:rsidRPr="002029AF">
        <w:rPr>
          <w:rStyle w:val="Emphasis"/>
        </w:rPr>
        <w:t>Amendments</w:t>
      </w:r>
      <w:r w:rsidR="000A5329" w:rsidRPr="002029AF">
        <w:rPr>
          <w:rStyle w:val="Emphasis"/>
        </w:rPr>
        <w:t xml:space="preserve"> </w:t>
      </w:r>
      <w:r w:rsidRPr="002029AF">
        <w:rPr>
          <w:rStyle w:val="Emphasis"/>
        </w:rPr>
        <w:t>to</w:t>
      </w:r>
      <w:r w:rsidR="000A5329" w:rsidRPr="002029AF">
        <w:rPr>
          <w:rStyle w:val="Emphasis"/>
        </w:rPr>
        <w:t xml:space="preserve"> </w:t>
      </w:r>
      <w:r w:rsidRPr="002029AF">
        <w:rPr>
          <w:rStyle w:val="Emphasis"/>
        </w:rPr>
        <w:t>Australian</w:t>
      </w:r>
      <w:r w:rsidR="000A5329" w:rsidRPr="002029AF">
        <w:rPr>
          <w:rStyle w:val="Emphasis"/>
        </w:rPr>
        <w:t xml:space="preserve"> </w:t>
      </w:r>
      <w:r w:rsidRPr="002029AF">
        <w:rPr>
          <w:rStyle w:val="Emphasis"/>
        </w:rPr>
        <w:t>Accounting</w:t>
      </w:r>
      <w:r w:rsidR="000A5329" w:rsidRPr="002029AF">
        <w:rPr>
          <w:rStyle w:val="Emphasis"/>
        </w:rPr>
        <w:t xml:space="preserve"> </w:t>
      </w:r>
      <w:r w:rsidRPr="002029AF">
        <w:rPr>
          <w:rStyle w:val="Emphasis"/>
        </w:rPr>
        <w:t>Standards</w:t>
      </w:r>
      <w:r w:rsidR="000A5329" w:rsidRPr="002029AF">
        <w:rPr>
          <w:rStyle w:val="Emphasis"/>
        </w:rPr>
        <w:t xml:space="preserve"> </w:t>
      </w:r>
      <w:r w:rsidRPr="002029AF">
        <w:rPr>
          <w:rStyle w:val="Emphasis"/>
        </w:rPr>
        <w:t>–</w:t>
      </w:r>
      <w:r w:rsidR="000A5329" w:rsidRPr="002029AF">
        <w:rPr>
          <w:rStyle w:val="Emphasis"/>
        </w:rPr>
        <w:t xml:space="preserve"> </w:t>
      </w:r>
      <w:r w:rsidRPr="002029AF">
        <w:rPr>
          <w:rStyle w:val="Emphasis"/>
        </w:rPr>
        <w:t>References</w:t>
      </w:r>
      <w:r w:rsidR="000A5329" w:rsidRPr="002029AF">
        <w:rPr>
          <w:rStyle w:val="Emphasis"/>
        </w:rPr>
        <w:t xml:space="preserve"> </w:t>
      </w:r>
      <w:r w:rsidRPr="002029AF">
        <w:rPr>
          <w:rStyle w:val="Emphasis"/>
        </w:rPr>
        <w:t>to</w:t>
      </w:r>
      <w:r w:rsidR="000A5329" w:rsidRPr="002029AF">
        <w:rPr>
          <w:rStyle w:val="Emphasis"/>
        </w:rPr>
        <w:t xml:space="preserve"> </w:t>
      </w:r>
      <w:r w:rsidRPr="002029AF">
        <w:rPr>
          <w:rStyle w:val="Emphasis"/>
        </w:rPr>
        <w:t>the</w:t>
      </w:r>
      <w:r w:rsidR="000A5329" w:rsidRPr="002029AF">
        <w:rPr>
          <w:rStyle w:val="Emphasis"/>
        </w:rPr>
        <w:t xml:space="preserve"> </w:t>
      </w:r>
      <w:r w:rsidRPr="002029AF">
        <w:rPr>
          <w:rStyle w:val="Emphasis"/>
        </w:rPr>
        <w:t>Conceptual</w:t>
      </w:r>
      <w:r w:rsidR="000A5329" w:rsidRPr="002029AF">
        <w:rPr>
          <w:rStyle w:val="Emphasis"/>
        </w:rPr>
        <w:t xml:space="preserve"> </w:t>
      </w:r>
      <w:r w:rsidRPr="002029AF">
        <w:rPr>
          <w:rStyle w:val="Emphasis"/>
        </w:rPr>
        <w:t>Framework</w:t>
      </w:r>
    </w:p>
    <w:p w14:paraId="3A5CD7AC" w14:textId="2A8A0FEC" w:rsidR="00087B91" w:rsidRPr="002029AF" w:rsidRDefault="00087B91" w:rsidP="00087B91">
      <w:pPr>
        <w:pStyle w:val="ARfinbullet1"/>
        <w:rPr>
          <w:rFonts w:eastAsia="Arial" w:cs="Arial"/>
          <w:spacing w:val="2"/>
        </w:rPr>
      </w:pPr>
      <w:r w:rsidRPr="002029AF">
        <w:rPr>
          <w:rFonts w:eastAsia="Arial" w:cs="Arial"/>
          <w:spacing w:val="2"/>
        </w:rPr>
        <w:t>AASB</w:t>
      </w:r>
      <w:r w:rsidR="000A5329" w:rsidRPr="002029AF">
        <w:rPr>
          <w:rFonts w:eastAsia="Arial" w:cs="Arial"/>
          <w:spacing w:val="2"/>
        </w:rPr>
        <w:t xml:space="preserve"> </w:t>
      </w:r>
      <w:r w:rsidRPr="002029AF">
        <w:rPr>
          <w:rFonts w:eastAsia="Arial" w:cs="Arial"/>
          <w:spacing w:val="2"/>
        </w:rPr>
        <w:t>2019-3</w:t>
      </w:r>
      <w:r w:rsidR="000A5329" w:rsidRPr="002029AF">
        <w:rPr>
          <w:rStyle w:val="Emphasis"/>
        </w:rPr>
        <w:t xml:space="preserve"> </w:t>
      </w:r>
      <w:r w:rsidRPr="002029AF">
        <w:rPr>
          <w:rStyle w:val="Emphasis"/>
        </w:rPr>
        <w:t>Amendments</w:t>
      </w:r>
      <w:r w:rsidR="000A5329" w:rsidRPr="002029AF">
        <w:rPr>
          <w:rStyle w:val="Emphasis"/>
        </w:rPr>
        <w:t xml:space="preserve"> </w:t>
      </w:r>
      <w:r w:rsidRPr="002029AF">
        <w:rPr>
          <w:rStyle w:val="Emphasis"/>
        </w:rPr>
        <w:t>to</w:t>
      </w:r>
      <w:r w:rsidR="000A5329" w:rsidRPr="002029AF">
        <w:rPr>
          <w:rStyle w:val="Emphasis"/>
        </w:rPr>
        <w:t xml:space="preserve"> </w:t>
      </w:r>
      <w:r w:rsidRPr="002029AF">
        <w:rPr>
          <w:rStyle w:val="Emphasis"/>
        </w:rPr>
        <w:t>Australian</w:t>
      </w:r>
      <w:r w:rsidR="000A5329" w:rsidRPr="002029AF">
        <w:rPr>
          <w:rStyle w:val="Emphasis"/>
        </w:rPr>
        <w:t xml:space="preserve"> </w:t>
      </w:r>
      <w:r w:rsidRPr="002029AF">
        <w:rPr>
          <w:rStyle w:val="Emphasis"/>
        </w:rPr>
        <w:t>Accounting</w:t>
      </w:r>
      <w:r w:rsidR="000A5329" w:rsidRPr="002029AF">
        <w:rPr>
          <w:rStyle w:val="Emphasis"/>
        </w:rPr>
        <w:t xml:space="preserve"> </w:t>
      </w:r>
      <w:r w:rsidRPr="002029AF">
        <w:rPr>
          <w:rStyle w:val="Emphasis"/>
        </w:rPr>
        <w:t>Standards</w:t>
      </w:r>
      <w:r w:rsidR="000A5329" w:rsidRPr="002029AF">
        <w:rPr>
          <w:rStyle w:val="Emphasis"/>
        </w:rPr>
        <w:t xml:space="preserve"> </w:t>
      </w:r>
      <w:r w:rsidRPr="002029AF">
        <w:rPr>
          <w:rStyle w:val="Emphasis"/>
        </w:rPr>
        <w:t>–</w:t>
      </w:r>
      <w:r w:rsidR="000A5329" w:rsidRPr="002029AF">
        <w:rPr>
          <w:rStyle w:val="Emphasis"/>
        </w:rPr>
        <w:t xml:space="preserve"> </w:t>
      </w:r>
      <w:r w:rsidRPr="002029AF">
        <w:rPr>
          <w:rStyle w:val="Emphasis"/>
        </w:rPr>
        <w:t>Interest</w:t>
      </w:r>
      <w:r w:rsidR="000A5329" w:rsidRPr="002029AF">
        <w:rPr>
          <w:rStyle w:val="Emphasis"/>
        </w:rPr>
        <w:t xml:space="preserve"> </w:t>
      </w:r>
      <w:r w:rsidRPr="002029AF">
        <w:rPr>
          <w:rStyle w:val="Emphasis"/>
        </w:rPr>
        <w:t>Rate</w:t>
      </w:r>
      <w:r w:rsidR="000A5329" w:rsidRPr="002029AF">
        <w:rPr>
          <w:rStyle w:val="Emphasis"/>
        </w:rPr>
        <w:t xml:space="preserve"> </w:t>
      </w:r>
      <w:r w:rsidRPr="002029AF">
        <w:rPr>
          <w:rStyle w:val="Emphasis"/>
        </w:rPr>
        <w:t>Benchmark</w:t>
      </w:r>
      <w:r w:rsidR="000A5329" w:rsidRPr="002029AF">
        <w:rPr>
          <w:rStyle w:val="Emphasis"/>
        </w:rPr>
        <w:t xml:space="preserve"> </w:t>
      </w:r>
      <w:r w:rsidRPr="002029AF">
        <w:rPr>
          <w:rStyle w:val="Emphasis"/>
        </w:rPr>
        <w:t>Reform</w:t>
      </w:r>
    </w:p>
    <w:p w14:paraId="16CAB63B" w14:textId="4D16F2CC" w:rsidR="00087B91" w:rsidRPr="002029AF" w:rsidRDefault="00087B91" w:rsidP="00087B91">
      <w:pPr>
        <w:pStyle w:val="ARfinbullet1"/>
        <w:rPr>
          <w:rFonts w:eastAsia="Arial" w:cs="Arial"/>
          <w:spacing w:val="2"/>
        </w:rPr>
      </w:pPr>
      <w:r w:rsidRPr="002029AF">
        <w:rPr>
          <w:rFonts w:eastAsia="Arial" w:cs="Arial"/>
          <w:spacing w:val="2"/>
        </w:rPr>
        <w:t>AASB</w:t>
      </w:r>
      <w:r w:rsidR="000A5329" w:rsidRPr="002029AF">
        <w:rPr>
          <w:rFonts w:eastAsia="Arial" w:cs="Arial"/>
          <w:spacing w:val="2"/>
        </w:rPr>
        <w:t xml:space="preserve"> </w:t>
      </w:r>
      <w:r w:rsidRPr="002029AF">
        <w:rPr>
          <w:rFonts w:eastAsia="Arial" w:cs="Arial"/>
          <w:spacing w:val="2"/>
        </w:rPr>
        <w:t>2019-5</w:t>
      </w:r>
      <w:r w:rsidR="000A5329" w:rsidRPr="002029AF">
        <w:rPr>
          <w:rStyle w:val="Emphasis"/>
        </w:rPr>
        <w:t xml:space="preserve"> </w:t>
      </w:r>
      <w:r w:rsidRPr="002029AF">
        <w:rPr>
          <w:rStyle w:val="Emphasis"/>
        </w:rPr>
        <w:t>Amendments</w:t>
      </w:r>
      <w:r w:rsidR="000A5329" w:rsidRPr="002029AF">
        <w:rPr>
          <w:rStyle w:val="Emphasis"/>
        </w:rPr>
        <w:t xml:space="preserve"> </w:t>
      </w:r>
      <w:r w:rsidRPr="002029AF">
        <w:rPr>
          <w:rStyle w:val="Emphasis"/>
        </w:rPr>
        <w:t>to</w:t>
      </w:r>
      <w:r w:rsidR="000A5329" w:rsidRPr="002029AF">
        <w:rPr>
          <w:rStyle w:val="Emphasis"/>
        </w:rPr>
        <w:t xml:space="preserve"> </w:t>
      </w:r>
      <w:r w:rsidRPr="002029AF">
        <w:rPr>
          <w:rStyle w:val="Emphasis"/>
        </w:rPr>
        <w:t>Australian</w:t>
      </w:r>
      <w:r w:rsidR="000A5329" w:rsidRPr="002029AF">
        <w:rPr>
          <w:rStyle w:val="Emphasis"/>
        </w:rPr>
        <w:t xml:space="preserve"> </w:t>
      </w:r>
      <w:r w:rsidRPr="002029AF">
        <w:rPr>
          <w:rStyle w:val="Emphasis"/>
        </w:rPr>
        <w:t>Accounting</w:t>
      </w:r>
      <w:r w:rsidR="000A5329" w:rsidRPr="002029AF">
        <w:rPr>
          <w:rStyle w:val="Emphasis"/>
        </w:rPr>
        <w:t xml:space="preserve"> </w:t>
      </w:r>
      <w:r w:rsidRPr="002029AF">
        <w:rPr>
          <w:rStyle w:val="Emphasis"/>
        </w:rPr>
        <w:t>Standards</w:t>
      </w:r>
      <w:r w:rsidR="000A5329" w:rsidRPr="002029AF">
        <w:rPr>
          <w:rStyle w:val="Emphasis"/>
        </w:rPr>
        <w:t xml:space="preserve"> </w:t>
      </w:r>
      <w:r w:rsidRPr="002029AF">
        <w:rPr>
          <w:rStyle w:val="Emphasis"/>
        </w:rPr>
        <w:t>–</w:t>
      </w:r>
      <w:r w:rsidR="000A5329" w:rsidRPr="002029AF">
        <w:rPr>
          <w:rStyle w:val="Emphasis"/>
        </w:rPr>
        <w:t xml:space="preserve"> </w:t>
      </w:r>
      <w:r w:rsidRPr="002029AF">
        <w:rPr>
          <w:rStyle w:val="Emphasis"/>
        </w:rPr>
        <w:t>Disclosure</w:t>
      </w:r>
      <w:r w:rsidR="000A5329" w:rsidRPr="002029AF">
        <w:rPr>
          <w:rStyle w:val="Emphasis"/>
        </w:rPr>
        <w:t xml:space="preserve"> </w:t>
      </w:r>
      <w:r w:rsidRPr="002029AF">
        <w:rPr>
          <w:rStyle w:val="Emphasis"/>
        </w:rPr>
        <w:t>of</w:t>
      </w:r>
      <w:r w:rsidR="000A5329" w:rsidRPr="002029AF">
        <w:rPr>
          <w:rStyle w:val="Emphasis"/>
        </w:rPr>
        <w:t xml:space="preserve"> </w:t>
      </w:r>
      <w:r w:rsidRPr="002029AF">
        <w:rPr>
          <w:rStyle w:val="Emphasis"/>
        </w:rPr>
        <w:t>the</w:t>
      </w:r>
      <w:r w:rsidR="000A5329" w:rsidRPr="002029AF">
        <w:rPr>
          <w:rStyle w:val="Emphasis"/>
        </w:rPr>
        <w:t xml:space="preserve"> </w:t>
      </w:r>
      <w:r w:rsidRPr="002029AF">
        <w:rPr>
          <w:rStyle w:val="Emphasis"/>
        </w:rPr>
        <w:t>Effect</w:t>
      </w:r>
      <w:r w:rsidR="000A5329" w:rsidRPr="002029AF">
        <w:rPr>
          <w:rStyle w:val="Emphasis"/>
        </w:rPr>
        <w:t xml:space="preserve"> </w:t>
      </w:r>
      <w:r w:rsidRPr="002029AF">
        <w:rPr>
          <w:rStyle w:val="Emphasis"/>
        </w:rPr>
        <w:t>of</w:t>
      </w:r>
      <w:r w:rsidR="000A5329" w:rsidRPr="002029AF">
        <w:rPr>
          <w:rStyle w:val="Emphasis"/>
        </w:rPr>
        <w:t xml:space="preserve"> </w:t>
      </w:r>
      <w:r w:rsidRPr="002029AF">
        <w:rPr>
          <w:rStyle w:val="Emphasis"/>
        </w:rPr>
        <w:t>New</w:t>
      </w:r>
      <w:r w:rsidR="000A5329" w:rsidRPr="002029AF">
        <w:rPr>
          <w:rStyle w:val="Emphasis"/>
        </w:rPr>
        <w:t xml:space="preserve"> </w:t>
      </w:r>
      <w:r w:rsidRPr="002029AF">
        <w:rPr>
          <w:rStyle w:val="Emphasis"/>
        </w:rPr>
        <w:t>IFRS</w:t>
      </w:r>
      <w:r w:rsidR="000A5329" w:rsidRPr="002029AF">
        <w:rPr>
          <w:rStyle w:val="Emphasis"/>
        </w:rPr>
        <w:t xml:space="preserve"> </w:t>
      </w:r>
      <w:r w:rsidRPr="002029AF">
        <w:rPr>
          <w:rStyle w:val="Emphasis"/>
        </w:rPr>
        <w:t>Standards</w:t>
      </w:r>
      <w:r w:rsidR="000A5329" w:rsidRPr="002029AF">
        <w:rPr>
          <w:rStyle w:val="Emphasis"/>
        </w:rPr>
        <w:t xml:space="preserve"> </w:t>
      </w:r>
      <w:r w:rsidRPr="002029AF">
        <w:rPr>
          <w:rStyle w:val="Emphasis"/>
        </w:rPr>
        <w:t>Not</w:t>
      </w:r>
      <w:r w:rsidR="000A5329" w:rsidRPr="002029AF">
        <w:rPr>
          <w:rStyle w:val="Emphasis"/>
        </w:rPr>
        <w:t xml:space="preserve"> </w:t>
      </w:r>
      <w:r w:rsidRPr="002029AF">
        <w:rPr>
          <w:rStyle w:val="Emphasis"/>
        </w:rPr>
        <w:t>Yet</w:t>
      </w:r>
      <w:r w:rsidR="000A5329" w:rsidRPr="002029AF">
        <w:rPr>
          <w:rStyle w:val="Emphasis"/>
        </w:rPr>
        <w:t xml:space="preserve"> </w:t>
      </w:r>
      <w:r w:rsidRPr="002029AF">
        <w:rPr>
          <w:rStyle w:val="Emphasis"/>
        </w:rPr>
        <w:t>Issued</w:t>
      </w:r>
      <w:r w:rsidR="000A5329" w:rsidRPr="002029AF">
        <w:rPr>
          <w:rStyle w:val="Emphasis"/>
        </w:rPr>
        <w:t xml:space="preserve"> </w:t>
      </w:r>
      <w:r w:rsidRPr="002029AF">
        <w:rPr>
          <w:rStyle w:val="Emphasis"/>
        </w:rPr>
        <w:t>in</w:t>
      </w:r>
      <w:r w:rsidR="000A5329" w:rsidRPr="002029AF">
        <w:rPr>
          <w:rStyle w:val="Emphasis"/>
        </w:rPr>
        <w:t xml:space="preserve"> </w:t>
      </w:r>
      <w:r w:rsidRPr="002029AF">
        <w:rPr>
          <w:rStyle w:val="Emphasis"/>
        </w:rPr>
        <w:t>Australia</w:t>
      </w:r>
    </w:p>
    <w:p w14:paraId="79BDB99D" w14:textId="458AAC77" w:rsidR="00087B91" w:rsidRPr="002029AF" w:rsidRDefault="00087B91" w:rsidP="00087B91">
      <w:pPr>
        <w:pStyle w:val="ARfinbullet1"/>
        <w:rPr>
          <w:rFonts w:eastAsia="Arial" w:cs="Arial"/>
          <w:spacing w:val="2"/>
        </w:rPr>
      </w:pPr>
      <w:r w:rsidRPr="002029AF">
        <w:rPr>
          <w:rFonts w:eastAsia="Arial" w:cs="Arial"/>
          <w:spacing w:val="2"/>
        </w:rPr>
        <w:t>AASB</w:t>
      </w:r>
      <w:r w:rsidR="000A5329" w:rsidRPr="002029AF">
        <w:rPr>
          <w:rFonts w:eastAsia="Arial" w:cs="Arial"/>
          <w:spacing w:val="2"/>
        </w:rPr>
        <w:t xml:space="preserve"> </w:t>
      </w:r>
      <w:r w:rsidRPr="002029AF">
        <w:rPr>
          <w:rFonts w:eastAsia="Arial" w:cs="Arial"/>
          <w:spacing w:val="2"/>
        </w:rPr>
        <w:t>2020-2</w:t>
      </w:r>
      <w:r w:rsidR="000A5329" w:rsidRPr="002029AF">
        <w:rPr>
          <w:rStyle w:val="Emphasis"/>
        </w:rPr>
        <w:t xml:space="preserve"> </w:t>
      </w:r>
      <w:r w:rsidRPr="002029AF">
        <w:rPr>
          <w:rStyle w:val="Emphasis"/>
        </w:rPr>
        <w:t>Amendments</w:t>
      </w:r>
      <w:r w:rsidR="000A5329" w:rsidRPr="002029AF">
        <w:rPr>
          <w:rStyle w:val="Emphasis"/>
        </w:rPr>
        <w:t xml:space="preserve"> </w:t>
      </w:r>
      <w:r w:rsidRPr="002029AF">
        <w:rPr>
          <w:rStyle w:val="Emphasis"/>
        </w:rPr>
        <w:t>to</w:t>
      </w:r>
      <w:r w:rsidR="000A5329" w:rsidRPr="002029AF">
        <w:rPr>
          <w:rStyle w:val="Emphasis"/>
        </w:rPr>
        <w:t xml:space="preserve"> </w:t>
      </w:r>
      <w:r w:rsidRPr="002029AF">
        <w:rPr>
          <w:rStyle w:val="Emphasis"/>
        </w:rPr>
        <w:t>Australian</w:t>
      </w:r>
      <w:r w:rsidR="000A5329" w:rsidRPr="002029AF">
        <w:rPr>
          <w:rStyle w:val="Emphasis"/>
        </w:rPr>
        <w:t xml:space="preserve"> </w:t>
      </w:r>
      <w:r w:rsidRPr="002029AF">
        <w:rPr>
          <w:rStyle w:val="Emphasis"/>
        </w:rPr>
        <w:t>Accounting</w:t>
      </w:r>
      <w:r w:rsidR="000A5329" w:rsidRPr="002029AF">
        <w:rPr>
          <w:rStyle w:val="Emphasis"/>
        </w:rPr>
        <w:t xml:space="preserve"> </w:t>
      </w:r>
      <w:r w:rsidRPr="002029AF">
        <w:rPr>
          <w:rStyle w:val="Emphasis"/>
        </w:rPr>
        <w:t>Standards</w:t>
      </w:r>
      <w:r w:rsidR="000A5329" w:rsidRPr="002029AF">
        <w:rPr>
          <w:rStyle w:val="Emphasis"/>
        </w:rPr>
        <w:t xml:space="preserve"> </w:t>
      </w:r>
      <w:r w:rsidRPr="002029AF">
        <w:rPr>
          <w:rStyle w:val="Emphasis"/>
        </w:rPr>
        <w:t>–</w:t>
      </w:r>
      <w:r w:rsidR="000A5329" w:rsidRPr="002029AF">
        <w:rPr>
          <w:rStyle w:val="Emphasis"/>
        </w:rPr>
        <w:t xml:space="preserve"> </w:t>
      </w:r>
      <w:r w:rsidRPr="002029AF">
        <w:rPr>
          <w:rStyle w:val="Emphasis"/>
        </w:rPr>
        <w:t>Removal</w:t>
      </w:r>
      <w:r w:rsidR="000A5329" w:rsidRPr="002029AF">
        <w:rPr>
          <w:rStyle w:val="Emphasis"/>
        </w:rPr>
        <w:t xml:space="preserve"> </w:t>
      </w:r>
      <w:r w:rsidRPr="002029AF">
        <w:rPr>
          <w:rStyle w:val="Emphasis"/>
        </w:rPr>
        <w:t>of</w:t>
      </w:r>
      <w:r w:rsidR="000A5329" w:rsidRPr="002029AF">
        <w:rPr>
          <w:rStyle w:val="Emphasis"/>
        </w:rPr>
        <w:t xml:space="preserve"> </w:t>
      </w:r>
      <w:r w:rsidRPr="002029AF">
        <w:rPr>
          <w:rStyle w:val="Emphasis"/>
        </w:rPr>
        <w:t>Special</w:t>
      </w:r>
      <w:r w:rsidR="000A5329" w:rsidRPr="002029AF">
        <w:rPr>
          <w:rStyle w:val="Emphasis"/>
        </w:rPr>
        <w:t xml:space="preserve"> </w:t>
      </w:r>
      <w:r w:rsidRPr="002029AF">
        <w:rPr>
          <w:rStyle w:val="Emphasis"/>
        </w:rPr>
        <w:t>Purpose</w:t>
      </w:r>
      <w:r w:rsidR="000A5329" w:rsidRPr="002029AF">
        <w:rPr>
          <w:rStyle w:val="Emphasis"/>
        </w:rPr>
        <w:t xml:space="preserve"> </w:t>
      </w:r>
      <w:r w:rsidRPr="002029AF">
        <w:rPr>
          <w:rStyle w:val="Emphasis"/>
        </w:rPr>
        <w:t>Financial</w:t>
      </w:r>
      <w:r w:rsidR="000A5329" w:rsidRPr="002029AF">
        <w:rPr>
          <w:rStyle w:val="Emphasis"/>
        </w:rPr>
        <w:t xml:space="preserve"> </w:t>
      </w:r>
      <w:r w:rsidRPr="002029AF">
        <w:rPr>
          <w:rStyle w:val="Emphasis"/>
        </w:rPr>
        <w:t>Statements</w:t>
      </w:r>
      <w:r w:rsidR="000A5329" w:rsidRPr="002029AF">
        <w:rPr>
          <w:rStyle w:val="Emphasis"/>
        </w:rPr>
        <w:t xml:space="preserve"> </w:t>
      </w:r>
      <w:r w:rsidRPr="002029AF">
        <w:rPr>
          <w:rStyle w:val="Emphasis"/>
        </w:rPr>
        <w:t>for</w:t>
      </w:r>
      <w:r w:rsidR="000A5329" w:rsidRPr="002029AF">
        <w:rPr>
          <w:rStyle w:val="Emphasis"/>
        </w:rPr>
        <w:t xml:space="preserve"> </w:t>
      </w:r>
      <w:r w:rsidRPr="002029AF">
        <w:rPr>
          <w:rStyle w:val="Emphasis"/>
        </w:rPr>
        <w:t>Certain</w:t>
      </w:r>
      <w:r w:rsidR="000A5329" w:rsidRPr="002029AF">
        <w:rPr>
          <w:rStyle w:val="Emphasis"/>
        </w:rPr>
        <w:t xml:space="preserve"> </w:t>
      </w:r>
      <w:r w:rsidRPr="002029AF">
        <w:rPr>
          <w:rStyle w:val="Emphasis"/>
        </w:rPr>
        <w:t>For-Profit</w:t>
      </w:r>
      <w:r w:rsidR="000A5329" w:rsidRPr="002029AF">
        <w:rPr>
          <w:rStyle w:val="Emphasis"/>
        </w:rPr>
        <w:t xml:space="preserve"> </w:t>
      </w:r>
      <w:r w:rsidRPr="002029AF">
        <w:rPr>
          <w:rStyle w:val="Emphasis"/>
        </w:rPr>
        <w:t>Private</w:t>
      </w:r>
      <w:r w:rsidR="000A5329" w:rsidRPr="002029AF">
        <w:rPr>
          <w:rStyle w:val="Emphasis"/>
        </w:rPr>
        <w:t xml:space="preserve"> </w:t>
      </w:r>
      <w:r w:rsidRPr="002029AF">
        <w:rPr>
          <w:rStyle w:val="Emphasis"/>
        </w:rPr>
        <w:t>Sector</w:t>
      </w:r>
      <w:r w:rsidR="000A5329" w:rsidRPr="002029AF">
        <w:rPr>
          <w:rStyle w:val="Emphasis"/>
        </w:rPr>
        <w:t xml:space="preserve"> </w:t>
      </w:r>
      <w:r w:rsidRPr="002029AF">
        <w:rPr>
          <w:rStyle w:val="Emphasis"/>
        </w:rPr>
        <w:t>Entities</w:t>
      </w:r>
      <w:r w:rsidRPr="002029AF">
        <w:t>.</w:t>
      </w:r>
    </w:p>
    <w:p w14:paraId="7E86C779" w14:textId="45BA9DA4" w:rsidR="00087B91" w:rsidRPr="002029AF" w:rsidRDefault="00087B91" w:rsidP="00087B91">
      <w:pPr>
        <w:pStyle w:val="Heading4"/>
      </w:pPr>
      <w:bookmarkStart w:id="410" w:name="_Toc39242179"/>
      <w:r w:rsidRPr="002029AF">
        <w:t>9.14</w:t>
      </w:r>
      <w:r w:rsidR="000A5329" w:rsidRPr="002029AF">
        <w:t xml:space="preserve"> </w:t>
      </w:r>
      <w:r w:rsidRPr="002029AF">
        <w:t>Glossary</w:t>
      </w:r>
      <w:r w:rsidR="000A5329" w:rsidRPr="002029AF">
        <w:t xml:space="preserve"> </w:t>
      </w:r>
      <w:r w:rsidRPr="002029AF">
        <w:t>of</w:t>
      </w:r>
      <w:r w:rsidR="000A5329" w:rsidRPr="002029AF">
        <w:t xml:space="preserve"> </w:t>
      </w:r>
      <w:r w:rsidRPr="002029AF">
        <w:t>technical</w:t>
      </w:r>
      <w:r w:rsidR="000A5329" w:rsidRPr="002029AF">
        <w:t xml:space="preserve"> </w:t>
      </w:r>
      <w:r w:rsidRPr="002029AF">
        <w:t>terms</w:t>
      </w:r>
      <w:bookmarkEnd w:id="410"/>
    </w:p>
    <w:p w14:paraId="139F6E83" w14:textId="0D468376" w:rsidR="00087B91" w:rsidRPr="002029AF" w:rsidRDefault="00087B91" w:rsidP="00087B91">
      <w:pPr>
        <w:pStyle w:val="ARfinbody"/>
      </w:pPr>
      <w:r w:rsidRPr="002029AF">
        <w:t>The</w:t>
      </w:r>
      <w:r w:rsidR="000A5329" w:rsidRPr="002029AF">
        <w:t xml:space="preserve"> </w:t>
      </w:r>
      <w:r w:rsidRPr="002029AF">
        <w:t>following</w:t>
      </w:r>
      <w:r w:rsidR="000A5329" w:rsidRPr="002029AF">
        <w:t xml:space="preserve"> </w:t>
      </w:r>
      <w:r w:rsidRPr="002029AF">
        <w:t>is</w:t>
      </w:r>
      <w:r w:rsidR="000A5329" w:rsidRPr="002029AF">
        <w:t xml:space="preserve"> </w:t>
      </w:r>
      <w:r w:rsidRPr="002029AF">
        <w:t>a</w:t>
      </w:r>
      <w:r w:rsidR="000A5329" w:rsidRPr="002029AF">
        <w:t xml:space="preserve"> </w:t>
      </w:r>
      <w:r w:rsidRPr="002029AF">
        <w:t>summary</w:t>
      </w:r>
      <w:r w:rsidR="000A5329" w:rsidRPr="002029AF">
        <w:t xml:space="preserve"> </w:t>
      </w:r>
      <w:r w:rsidRPr="002029AF">
        <w:t>of</w:t>
      </w:r>
      <w:r w:rsidR="000A5329" w:rsidRPr="002029AF">
        <w:t xml:space="preserve"> </w:t>
      </w:r>
      <w:r w:rsidRPr="002029AF">
        <w:t>the</w:t>
      </w:r>
      <w:r w:rsidR="000A5329" w:rsidRPr="002029AF">
        <w:t xml:space="preserve"> </w:t>
      </w:r>
      <w:r w:rsidRPr="002029AF">
        <w:t>major</w:t>
      </w:r>
      <w:r w:rsidR="000A5329" w:rsidRPr="002029AF">
        <w:t xml:space="preserve"> </w:t>
      </w:r>
      <w:r w:rsidRPr="002029AF">
        <w:t>technical</w:t>
      </w:r>
      <w:r w:rsidR="000A5329" w:rsidRPr="002029AF">
        <w:t xml:space="preserve"> </w:t>
      </w:r>
      <w:r w:rsidRPr="002029AF">
        <w:t>terms</w:t>
      </w:r>
      <w:r w:rsidR="000A5329" w:rsidRPr="002029AF">
        <w:t xml:space="preserve"> </w:t>
      </w:r>
      <w:r w:rsidRPr="002029AF">
        <w:t>used</w:t>
      </w:r>
      <w:r w:rsidR="000A5329" w:rsidRPr="002029AF">
        <w:t xml:space="preserve"> </w:t>
      </w:r>
      <w:r w:rsidRPr="002029AF">
        <w:t>in</w:t>
      </w:r>
      <w:r w:rsidR="000A5329" w:rsidRPr="002029AF">
        <w:t xml:space="preserve"> </w:t>
      </w:r>
      <w:r w:rsidRPr="002029AF">
        <w:t>this</w:t>
      </w:r>
      <w:r w:rsidR="000A5329" w:rsidRPr="002029AF">
        <w:t xml:space="preserve"> </w:t>
      </w:r>
      <w:r w:rsidRPr="002029AF">
        <w:t>report.</w:t>
      </w:r>
    </w:p>
    <w:p w14:paraId="665F4D50" w14:textId="4AD8309D" w:rsidR="00087B91" w:rsidRPr="002029AF" w:rsidRDefault="00087B91" w:rsidP="00087B91">
      <w:pPr>
        <w:pStyle w:val="ARfinbody"/>
      </w:pPr>
      <w:r w:rsidRPr="002029AF">
        <w:rPr>
          <w:rStyle w:val="Strong"/>
        </w:rPr>
        <w:t>Actuarial</w:t>
      </w:r>
      <w:r w:rsidR="000A5329" w:rsidRPr="002029AF">
        <w:rPr>
          <w:rStyle w:val="Strong"/>
        </w:rPr>
        <w:t xml:space="preserve"> </w:t>
      </w:r>
      <w:r w:rsidRPr="002029AF">
        <w:rPr>
          <w:rStyle w:val="Strong"/>
        </w:rPr>
        <w:t>gains</w:t>
      </w:r>
      <w:r w:rsidR="000A5329" w:rsidRPr="002029AF">
        <w:rPr>
          <w:rStyle w:val="Strong"/>
        </w:rPr>
        <w:t xml:space="preserve"> </w:t>
      </w:r>
      <w:r w:rsidRPr="002029AF">
        <w:rPr>
          <w:rStyle w:val="Strong"/>
        </w:rPr>
        <w:t>or</w:t>
      </w:r>
      <w:r w:rsidR="000A5329" w:rsidRPr="002029AF">
        <w:rPr>
          <w:rStyle w:val="Strong"/>
        </w:rPr>
        <w:t xml:space="preserve"> </w:t>
      </w:r>
      <w:r w:rsidRPr="002029AF">
        <w:rPr>
          <w:rStyle w:val="Strong"/>
        </w:rPr>
        <w:t>losses</w:t>
      </w:r>
      <w:r w:rsidR="000A5329" w:rsidRPr="002029AF">
        <w:rPr>
          <w:rStyle w:val="Strong"/>
        </w:rPr>
        <w:t xml:space="preserve"> </w:t>
      </w:r>
      <w:r w:rsidRPr="002029AF">
        <w:rPr>
          <w:rStyle w:val="Strong"/>
        </w:rPr>
        <w:t>on</w:t>
      </w:r>
      <w:r w:rsidR="000A5329" w:rsidRPr="002029AF">
        <w:rPr>
          <w:rStyle w:val="Strong"/>
        </w:rPr>
        <w:t xml:space="preserve"> </w:t>
      </w:r>
      <w:r w:rsidRPr="002029AF">
        <w:rPr>
          <w:rStyle w:val="Strong"/>
        </w:rPr>
        <w:t>superannuation</w:t>
      </w:r>
      <w:r w:rsidR="000A5329" w:rsidRPr="002029AF">
        <w:rPr>
          <w:rStyle w:val="Strong"/>
        </w:rPr>
        <w:t xml:space="preserve"> </w:t>
      </w:r>
      <w:r w:rsidRPr="002029AF">
        <w:rPr>
          <w:rStyle w:val="Strong"/>
        </w:rPr>
        <w:t>defined</w:t>
      </w:r>
      <w:r w:rsidR="000A5329" w:rsidRPr="002029AF">
        <w:rPr>
          <w:rStyle w:val="Strong"/>
        </w:rPr>
        <w:t xml:space="preserve"> </w:t>
      </w:r>
      <w:r w:rsidRPr="002029AF">
        <w:rPr>
          <w:rStyle w:val="Strong"/>
        </w:rPr>
        <w:t>benefit</w:t>
      </w:r>
      <w:r w:rsidR="000A5329" w:rsidRPr="002029AF">
        <w:rPr>
          <w:rStyle w:val="Strong"/>
        </w:rPr>
        <w:t xml:space="preserve"> </w:t>
      </w:r>
      <w:r w:rsidRPr="002029AF">
        <w:rPr>
          <w:rStyle w:val="Strong"/>
        </w:rPr>
        <w:t>plans</w:t>
      </w:r>
      <w:r w:rsidR="000A5329" w:rsidRPr="002029AF">
        <w:t xml:space="preserve"> </w:t>
      </w:r>
      <w:r w:rsidRPr="002029AF">
        <w:t>are</w:t>
      </w:r>
      <w:r w:rsidR="000A5329" w:rsidRPr="002029AF">
        <w:t xml:space="preserve"> </w:t>
      </w:r>
      <w:r w:rsidRPr="002029AF">
        <w:t>changes</w:t>
      </w:r>
      <w:r w:rsidR="000A5329" w:rsidRPr="002029AF">
        <w:t xml:space="preserve"> </w:t>
      </w:r>
      <w:r w:rsidRPr="002029AF">
        <w:t>in</w:t>
      </w:r>
      <w:r w:rsidR="000A5329" w:rsidRPr="002029AF">
        <w:t xml:space="preserve"> </w:t>
      </w:r>
      <w:r w:rsidRPr="002029AF">
        <w:t>the</w:t>
      </w:r>
      <w:r w:rsidR="000A5329" w:rsidRPr="002029AF">
        <w:t xml:space="preserve"> </w:t>
      </w:r>
      <w:r w:rsidRPr="002029AF">
        <w:t>present</w:t>
      </w:r>
      <w:r w:rsidR="000A5329" w:rsidRPr="002029AF">
        <w:t xml:space="preserve"> </w:t>
      </w:r>
      <w:r w:rsidRPr="002029AF">
        <w:t>value</w:t>
      </w:r>
      <w:r w:rsidR="000A5329" w:rsidRPr="002029AF">
        <w:t xml:space="preserve"> </w:t>
      </w:r>
      <w:r w:rsidRPr="002029AF">
        <w:t>of</w:t>
      </w:r>
      <w:r w:rsidR="000A5329" w:rsidRPr="002029AF">
        <w:t xml:space="preserve"> </w:t>
      </w:r>
      <w:r w:rsidRPr="002029AF">
        <w:t>the</w:t>
      </w:r>
      <w:r w:rsidR="000A5329" w:rsidRPr="002029AF">
        <w:t xml:space="preserve"> </w:t>
      </w:r>
      <w:r w:rsidRPr="002029AF">
        <w:t>superannuation</w:t>
      </w:r>
      <w:r w:rsidR="000A5329" w:rsidRPr="002029AF">
        <w:t xml:space="preserve"> </w:t>
      </w:r>
      <w:r w:rsidRPr="002029AF">
        <w:t>defined</w:t>
      </w:r>
      <w:r w:rsidR="000A5329" w:rsidRPr="002029AF">
        <w:t xml:space="preserve"> </w:t>
      </w:r>
      <w:r w:rsidRPr="002029AF">
        <w:t>benefit</w:t>
      </w:r>
      <w:r w:rsidR="000A5329" w:rsidRPr="002029AF">
        <w:t xml:space="preserve"> </w:t>
      </w:r>
      <w:r w:rsidRPr="002029AF">
        <w:t>liability</w:t>
      </w:r>
      <w:r w:rsidR="000A5329" w:rsidRPr="002029AF">
        <w:t xml:space="preserve"> </w:t>
      </w:r>
      <w:r w:rsidRPr="002029AF">
        <w:t>resulting</w:t>
      </w:r>
      <w:r w:rsidR="000A5329" w:rsidRPr="002029AF">
        <w:t xml:space="preserve"> </w:t>
      </w:r>
      <w:r w:rsidRPr="002029AF">
        <w:t>from:</w:t>
      </w:r>
    </w:p>
    <w:p w14:paraId="7125D8F7" w14:textId="1B25B2FB" w:rsidR="00087B91" w:rsidRPr="002029AF" w:rsidRDefault="00087B91" w:rsidP="00FF3CAB">
      <w:pPr>
        <w:pStyle w:val="ARfinnumberalpha1"/>
        <w:numPr>
          <w:ilvl w:val="0"/>
          <w:numId w:val="14"/>
        </w:numPr>
      </w:pPr>
      <w:r w:rsidRPr="002029AF">
        <w:t>experience</w:t>
      </w:r>
      <w:r w:rsidR="000A5329" w:rsidRPr="002029AF">
        <w:t xml:space="preserve"> </w:t>
      </w:r>
      <w:r w:rsidRPr="002029AF">
        <w:t>adjustments</w:t>
      </w:r>
      <w:r w:rsidR="000A5329" w:rsidRPr="002029AF">
        <w:t xml:space="preserve"> </w:t>
      </w:r>
      <w:r w:rsidRPr="002029AF">
        <w:t>(the</w:t>
      </w:r>
      <w:r w:rsidR="000A5329" w:rsidRPr="002029AF">
        <w:t xml:space="preserve"> </w:t>
      </w:r>
      <w:r w:rsidRPr="002029AF">
        <w:t>effects</w:t>
      </w:r>
      <w:r w:rsidR="000A5329" w:rsidRPr="002029AF">
        <w:t xml:space="preserve"> </w:t>
      </w:r>
      <w:r w:rsidRPr="002029AF">
        <w:t>of</w:t>
      </w:r>
      <w:r w:rsidR="000A5329" w:rsidRPr="002029AF">
        <w:t xml:space="preserve"> </w:t>
      </w:r>
      <w:r w:rsidRPr="002029AF">
        <w:t>differences</w:t>
      </w:r>
      <w:r w:rsidR="000A5329" w:rsidRPr="002029AF">
        <w:t xml:space="preserve"> </w:t>
      </w:r>
      <w:r w:rsidRPr="002029AF">
        <w:t>between</w:t>
      </w:r>
      <w:r w:rsidR="000A5329" w:rsidRPr="002029AF">
        <w:t xml:space="preserve"> </w:t>
      </w:r>
      <w:r w:rsidRPr="002029AF">
        <w:t>the</w:t>
      </w:r>
      <w:r w:rsidR="000A5329" w:rsidRPr="002029AF">
        <w:t xml:space="preserve"> </w:t>
      </w:r>
      <w:r w:rsidRPr="002029AF">
        <w:t>previous</w:t>
      </w:r>
      <w:r w:rsidR="000A5329" w:rsidRPr="002029AF">
        <w:t xml:space="preserve"> </w:t>
      </w:r>
      <w:r w:rsidRPr="002029AF">
        <w:t>actuarial</w:t>
      </w:r>
      <w:r w:rsidR="000A5329" w:rsidRPr="002029AF">
        <w:t xml:space="preserve"> </w:t>
      </w:r>
      <w:r w:rsidRPr="002029AF">
        <w:t>assumptions</w:t>
      </w:r>
      <w:r w:rsidR="000A5329" w:rsidRPr="002029AF">
        <w:t xml:space="preserve"> </w:t>
      </w:r>
      <w:r w:rsidRPr="002029AF">
        <w:t>and</w:t>
      </w:r>
      <w:r w:rsidR="000A5329" w:rsidRPr="002029AF">
        <w:t xml:space="preserve"> </w:t>
      </w:r>
      <w:r w:rsidRPr="002029AF">
        <w:t>what</w:t>
      </w:r>
      <w:r w:rsidR="000A5329" w:rsidRPr="002029AF">
        <w:t xml:space="preserve"> </w:t>
      </w:r>
      <w:r w:rsidRPr="002029AF">
        <w:t>has</w:t>
      </w:r>
      <w:r w:rsidR="000A5329" w:rsidRPr="002029AF">
        <w:t xml:space="preserve"> </w:t>
      </w:r>
      <w:r w:rsidRPr="002029AF">
        <w:t>actually</w:t>
      </w:r>
      <w:r w:rsidR="000A5329" w:rsidRPr="002029AF">
        <w:t xml:space="preserve"> </w:t>
      </w:r>
      <w:r w:rsidRPr="002029AF">
        <w:t>occurred)</w:t>
      </w:r>
    </w:p>
    <w:p w14:paraId="540172F1" w14:textId="2E1E49D9" w:rsidR="00087B91" w:rsidRPr="002029AF" w:rsidRDefault="00087B91" w:rsidP="00C204CF">
      <w:pPr>
        <w:pStyle w:val="ARfinnumberalpha1"/>
      </w:pPr>
      <w:r w:rsidRPr="002029AF">
        <w:t>the</w:t>
      </w:r>
      <w:r w:rsidR="000A5329" w:rsidRPr="002029AF">
        <w:t xml:space="preserve"> </w:t>
      </w:r>
      <w:r w:rsidRPr="002029AF">
        <w:t>effects</w:t>
      </w:r>
      <w:r w:rsidR="000A5329" w:rsidRPr="002029AF">
        <w:t xml:space="preserve"> </w:t>
      </w:r>
      <w:r w:rsidRPr="002029AF">
        <w:t>of</w:t>
      </w:r>
      <w:r w:rsidR="000A5329" w:rsidRPr="002029AF">
        <w:t xml:space="preserve"> </w:t>
      </w:r>
      <w:r w:rsidRPr="002029AF">
        <w:t>changes</w:t>
      </w:r>
      <w:r w:rsidR="000A5329" w:rsidRPr="002029AF">
        <w:t xml:space="preserve"> </w:t>
      </w:r>
      <w:r w:rsidRPr="002029AF">
        <w:t>in</w:t>
      </w:r>
      <w:r w:rsidR="000A5329" w:rsidRPr="002029AF">
        <w:t xml:space="preserve"> </w:t>
      </w:r>
      <w:r w:rsidRPr="002029AF">
        <w:t>actuarial</w:t>
      </w:r>
      <w:r w:rsidR="000A5329" w:rsidRPr="002029AF">
        <w:t xml:space="preserve"> </w:t>
      </w:r>
      <w:r w:rsidRPr="002029AF">
        <w:t>assumptions.</w:t>
      </w:r>
    </w:p>
    <w:p w14:paraId="56A36117" w14:textId="4FFAA0F8" w:rsidR="00087B91" w:rsidRPr="002029AF" w:rsidRDefault="00087B91" w:rsidP="00087B91">
      <w:pPr>
        <w:pStyle w:val="ARfinbody"/>
      </w:pPr>
      <w:r w:rsidRPr="002029AF">
        <w:rPr>
          <w:rStyle w:val="Strong"/>
        </w:rPr>
        <w:t>Administered</w:t>
      </w:r>
      <w:r w:rsidR="000A5329" w:rsidRPr="002029AF">
        <w:rPr>
          <w:rStyle w:val="Strong"/>
        </w:rPr>
        <w:t xml:space="preserve"> </w:t>
      </w:r>
      <w:r w:rsidRPr="002029AF">
        <w:rPr>
          <w:rStyle w:val="Strong"/>
        </w:rPr>
        <w:t>item</w:t>
      </w:r>
      <w:r w:rsidR="000A5329" w:rsidRPr="002029AF">
        <w:t xml:space="preserve"> </w:t>
      </w:r>
      <w:r w:rsidRPr="002029AF">
        <w:t>generally</w:t>
      </w:r>
      <w:r w:rsidR="000A5329" w:rsidRPr="002029AF">
        <w:t xml:space="preserve"> </w:t>
      </w:r>
      <w:r w:rsidRPr="002029AF">
        <w:t>refers</w:t>
      </w:r>
      <w:r w:rsidR="000A5329" w:rsidRPr="002029AF">
        <w:t xml:space="preserve"> </w:t>
      </w:r>
      <w:r w:rsidRPr="002029AF">
        <w:t>to</w:t>
      </w:r>
      <w:r w:rsidR="000A5329" w:rsidRPr="002029AF">
        <w:t xml:space="preserve"> </w:t>
      </w:r>
      <w:r w:rsidRPr="002029AF">
        <w:t>a</w:t>
      </w:r>
      <w:r w:rsidR="000A5329" w:rsidRPr="002029AF">
        <w:t xml:space="preserve"> </w:t>
      </w:r>
      <w:r w:rsidRPr="002029AF">
        <w:t>department</w:t>
      </w:r>
      <w:r w:rsidR="000A5329" w:rsidRPr="002029AF">
        <w:t xml:space="preserve"> </w:t>
      </w:r>
      <w:r w:rsidRPr="002029AF">
        <w:t>lacking</w:t>
      </w:r>
      <w:r w:rsidR="000A5329" w:rsidRPr="002029AF">
        <w:t xml:space="preserve"> </w:t>
      </w:r>
      <w:r w:rsidRPr="002029AF">
        <w:t>the</w:t>
      </w:r>
      <w:r w:rsidR="000A5329" w:rsidRPr="002029AF">
        <w:t xml:space="preserve"> </w:t>
      </w:r>
      <w:r w:rsidRPr="002029AF">
        <w:t>capacity</w:t>
      </w:r>
      <w:r w:rsidR="000A5329" w:rsidRPr="002029AF">
        <w:t xml:space="preserve"> </w:t>
      </w:r>
      <w:r w:rsidRPr="002029AF">
        <w:t>to</w:t>
      </w:r>
      <w:r w:rsidR="000A5329" w:rsidRPr="002029AF">
        <w:t xml:space="preserve"> </w:t>
      </w:r>
      <w:r w:rsidRPr="002029AF">
        <w:t>benefit</w:t>
      </w:r>
      <w:r w:rsidR="000A5329" w:rsidRPr="002029AF">
        <w:t xml:space="preserve"> </w:t>
      </w:r>
      <w:r w:rsidRPr="002029AF">
        <w:t>from</w:t>
      </w:r>
      <w:r w:rsidR="000A5329" w:rsidRPr="002029AF">
        <w:t xml:space="preserve"> </w:t>
      </w:r>
      <w:r w:rsidRPr="002029AF">
        <w:t>that</w:t>
      </w:r>
      <w:r w:rsidR="000A5329" w:rsidRPr="002029AF">
        <w:t xml:space="preserve"> </w:t>
      </w:r>
      <w:r w:rsidRPr="002029AF">
        <w:t>item</w:t>
      </w:r>
      <w:r w:rsidR="000A5329" w:rsidRPr="002029AF">
        <w:t xml:space="preserve"> </w:t>
      </w:r>
      <w:r w:rsidRPr="002029AF">
        <w:t>in</w:t>
      </w:r>
      <w:r w:rsidR="000A5329" w:rsidRPr="002029AF">
        <w:t xml:space="preserve"> </w:t>
      </w:r>
      <w:r w:rsidRPr="002029AF">
        <w:t>the</w:t>
      </w:r>
      <w:r w:rsidR="000A5329" w:rsidRPr="002029AF">
        <w:t xml:space="preserve"> </w:t>
      </w:r>
      <w:r w:rsidRPr="002029AF">
        <w:t>pursuit</w:t>
      </w:r>
      <w:r w:rsidR="000A5329" w:rsidRPr="002029AF">
        <w:t xml:space="preserve"> </w:t>
      </w:r>
      <w:r w:rsidRPr="002029AF">
        <w:t>of</w:t>
      </w:r>
      <w:r w:rsidR="000A5329" w:rsidRPr="002029AF">
        <w:t xml:space="preserve"> </w:t>
      </w:r>
      <w:r w:rsidRPr="002029AF">
        <w:t>the</w:t>
      </w:r>
      <w:r w:rsidR="000A5329" w:rsidRPr="002029AF">
        <w:t xml:space="preserve"> </w:t>
      </w:r>
      <w:r w:rsidRPr="002029AF">
        <w:t>entity’s</w:t>
      </w:r>
      <w:r w:rsidR="000A5329" w:rsidRPr="002029AF">
        <w:t xml:space="preserve"> </w:t>
      </w:r>
      <w:r w:rsidRPr="002029AF">
        <w:t>objectives</w:t>
      </w:r>
      <w:r w:rsidR="000A5329" w:rsidRPr="002029AF">
        <w:t xml:space="preserve"> </w:t>
      </w:r>
      <w:r w:rsidRPr="002029AF">
        <w:t>and</w:t>
      </w:r>
      <w:r w:rsidR="000A5329" w:rsidRPr="002029AF">
        <w:t xml:space="preserve"> </w:t>
      </w:r>
      <w:r w:rsidRPr="002029AF">
        <w:t>to</w:t>
      </w:r>
      <w:r w:rsidR="000A5329" w:rsidRPr="002029AF">
        <w:t xml:space="preserve"> </w:t>
      </w:r>
      <w:r w:rsidRPr="002029AF">
        <w:t>deny</w:t>
      </w:r>
      <w:r w:rsidR="000A5329" w:rsidRPr="002029AF">
        <w:t xml:space="preserve"> </w:t>
      </w:r>
      <w:r w:rsidRPr="002029AF">
        <w:t>or</w:t>
      </w:r>
      <w:r w:rsidR="000A5329" w:rsidRPr="002029AF">
        <w:t xml:space="preserve"> </w:t>
      </w:r>
      <w:r w:rsidRPr="002029AF">
        <w:t>regulate</w:t>
      </w:r>
      <w:r w:rsidR="000A5329" w:rsidRPr="002029AF">
        <w:t xml:space="preserve"> </w:t>
      </w:r>
      <w:r w:rsidRPr="002029AF">
        <w:t>the</w:t>
      </w:r>
      <w:r w:rsidR="000A5329" w:rsidRPr="002029AF">
        <w:t xml:space="preserve"> </w:t>
      </w:r>
      <w:r w:rsidRPr="002029AF">
        <w:t>access</w:t>
      </w:r>
      <w:r w:rsidR="000A5329" w:rsidRPr="002029AF">
        <w:t xml:space="preserve"> </w:t>
      </w:r>
      <w:r w:rsidRPr="002029AF">
        <w:t>of</w:t>
      </w:r>
      <w:r w:rsidR="000A5329" w:rsidRPr="002029AF">
        <w:t xml:space="preserve"> </w:t>
      </w:r>
      <w:r w:rsidRPr="002029AF">
        <w:t>others</w:t>
      </w:r>
      <w:r w:rsidR="000A5329" w:rsidRPr="002029AF">
        <w:t xml:space="preserve"> </w:t>
      </w:r>
      <w:r w:rsidRPr="002029AF">
        <w:t>to</w:t>
      </w:r>
      <w:r w:rsidR="000A5329" w:rsidRPr="002029AF">
        <w:t xml:space="preserve"> </w:t>
      </w:r>
      <w:r w:rsidRPr="002029AF">
        <w:t>that</w:t>
      </w:r>
      <w:r w:rsidR="000A5329" w:rsidRPr="002029AF">
        <w:t xml:space="preserve"> </w:t>
      </w:r>
      <w:r w:rsidRPr="002029AF">
        <w:t>benefit.</w:t>
      </w:r>
    </w:p>
    <w:p w14:paraId="54D08B84" w14:textId="31D61049" w:rsidR="00087B91" w:rsidRPr="002029AF" w:rsidRDefault="00087B91" w:rsidP="00087B91">
      <w:pPr>
        <w:pStyle w:val="ARfinbody"/>
      </w:pPr>
      <w:r w:rsidRPr="002029AF">
        <w:rPr>
          <w:rStyle w:val="Strong"/>
        </w:rPr>
        <w:t>Amortisation</w:t>
      </w:r>
      <w:r w:rsidR="000A5329" w:rsidRPr="002029AF">
        <w:t xml:space="preserve"> </w:t>
      </w:r>
      <w:r w:rsidRPr="002029AF">
        <w:t>is</w:t>
      </w:r>
      <w:r w:rsidR="000A5329" w:rsidRPr="002029AF">
        <w:t xml:space="preserve"> </w:t>
      </w:r>
      <w:r w:rsidRPr="002029AF">
        <w:t>the</w:t>
      </w:r>
      <w:r w:rsidR="000A5329" w:rsidRPr="002029AF">
        <w:t xml:space="preserve"> </w:t>
      </w:r>
      <w:r w:rsidRPr="002029AF">
        <w:t>expense</w:t>
      </w:r>
      <w:r w:rsidR="000A5329" w:rsidRPr="002029AF">
        <w:t xml:space="preserve"> </w:t>
      </w:r>
      <w:r w:rsidRPr="002029AF">
        <w:t>that</w:t>
      </w:r>
      <w:r w:rsidR="000A5329" w:rsidRPr="002029AF">
        <w:t xml:space="preserve"> </w:t>
      </w:r>
      <w:r w:rsidRPr="002029AF">
        <w:t>results</w:t>
      </w:r>
      <w:r w:rsidR="000A5329" w:rsidRPr="002029AF">
        <w:t xml:space="preserve"> </w:t>
      </w:r>
      <w:r w:rsidRPr="002029AF">
        <w:t>from</w:t>
      </w:r>
      <w:r w:rsidR="000A5329" w:rsidRPr="002029AF">
        <w:t xml:space="preserve"> </w:t>
      </w:r>
      <w:r w:rsidRPr="002029AF">
        <w:t>the</w:t>
      </w:r>
      <w:r w:rsidR="000A5329" w:rsidRPr="002029AF">
        <w:t xml:space="preserve"> </w:t>
      </w:r>
      <w:r w:rsidRPr="002029AF">
        <w:t>consumption,</w:t>
      </w:r>
      <w:r w:rsidR="000A5329" w:rsidRPr="002029AF">
        <w:t xml:space="preserve"> </w:t>
      </w:r>
      <w:r w:rsidRPr="002029AF">
        <w:t>extraction</w:t>
      </w:r>
      <w:r w:rsidR="000A5329" w:rsidRPr="002029AF">
        <w:t xml:space="preserve"> </w:t>
      </w:r>
      <w:r w:rsidRPr="002029AF">
        <w:t>or</w:t>
      </w:r>
      <w:r w:rsidR="000A5329" w:rsidRPr="002029AF">
        <w:t xml:space="preserve"> </w:t>
      </w:r>
      <w:r w:rsidRPr="002029AF">
        <w:t>use</w:t>
      </w:r>
      <w:r w:rsidR="000A5329" w:rsidRPr="002029AF">
        <w:t xml:space="preserve"> </w:t>
      </w:r>
      <w:r w:rsidRPr="002029AF">
        <w:t>over</w:t>
      </w:r>
      <w:r w:rsidR="000A5329" w:rsidRPr="002029AF">
        <w:t xml:space="preserve"> </w:t>
      </w:r>
      <w:r w:rsidRPr="002029AF">
        <w:t>time</w:t>
      </w:r>
      <w:r w:rsidR="000A5329" w:rsidRPr="002029AF">
        <w:t xml:space="preserve"> </w:t>
      </w:r>
      <w:r w:rsidRPr="002029AF">
        <w:t>of</w:t>
      </w:r>
      <w:r w:rsidR="000A5329" w:rsidRPr="002029AF">
        <w:t xml:space="preserve"> </w:t>
      </w:r>
      <w:r w:rsidRPr="002029AF">
        <w:t>a</w:t>
      </w:r>
      <w:r w:rsidR="000A5329" w:rsidRPr="002029AF">
        <w:t xml:space="preserve"> </w:t>
      </w:r>
      <w:r w:rsidRPr="002029AF">
        <w:t>non-produced</w:t>
      </w:r>
      <w:r w:rsidR="000A5329" w:rsidRPr="002029AF">
        <w:t xml:space="preserve"> </w:t>
      </w:r>
      <w:r w:rsidRPr="002029AF">
        <w:t>physical</w:t>
      </w:r>
      <w:r w:rsidR="000A5329" w:rsidRPr="002029AF">
        <w:t xml:space="preserve"> </w:t>
      </w:r>
      <w:r w:rsidRPr="002029AF">
        <w:t>or</w:t>
      </w:r>
      <w:r w:rsidR="000A5329" w:rsidRPr="002029AF">
        <w:t xml:space="preserve"> </w:t>
      </w:r>
      <w:r w:rsidRPr="002029AF">
        <w:t>intangible</w:t>
      </w:r>
      <w:r w:rsidR="000A5329" w:rsidRPr="002029AF">
        <w:t xml:space="preserve"> </w:t>
      </w:r>
      <w:r w:rsidRPr="002029AF">
        <w:t>asset.</w:t>
      </w:r>
      <w:r w:rsidR="000A5329" w:rsidRPr="002029AF">
        <w:t xml:space="preserve"> </w:t>
      </w:r>
      <w:r w:rsidRPr="002029AF">
        <w:t>This</w:t>
      </w:r>
      <w:r w:rsidR="000A5329" w:rsidRPr="002029AF">
        <w:t xml:space="preserve"> </w:t>
      </w:r>
      <w:r w:rsidRPr="002029AF">
        <w:t>expense</w:t>
      </w:r>
      <w:r w:rsidR="000A5329" w:rsidRPr="002029AF">
        <w:t xml:space="preserve"> </w:t>
      </w:r>
      <w:r w:rsidRPr="002029AF">
        <w:t>is</w:t>
      </w:r>
      <w:r w:rsidR="000A5329" w:rsidRPr="002029AF">
        <w:t xml:space="preserve"> </w:t>
      </w:r>
      <w:r w:rsidRPr="002029AF">
        <w:t>classified</w:t>
      </w:r>
      <w:r w:rsidR="000A5329" w:rsidRPr="002029AF">
        <w:t xml:space="preserve"> </w:t>
      </w:r>
      <w:r w:rsidRPr="002029AF">
        <w:t>as</w:t>
      </w:r>
      <w:r w:rsidR="000A5329" w:rsidRPr="002029AF">
        <w:t xml:space="preserve"> </w:t>
      </w:r>
      <w:r w:rsidRPr="002029AF">
        <w:t>an</w:t>
      </w:r>
      <w:r w:rsidR="000A5329" w:rsidRPr="002029AF">
        <w:t xml:space="preserve"> </w:t>
      </w:r>
      <w:r w:rsidRPr="002029AF">
        <w:t>‘other</w:t>
      </w:r>
      <w:r w:rsidR="000A5329" w:rsidRPr="002029AF">
        <w:t xml:space="preserve"> </w:t>
      </w:r>
      <w:r w:rsidRPr="002029AF">
        <w:t>economic</w:t>
      </w:r>
      <w:r w:rsidR="000A5329" w:rsidRPr="002029AF">
        <w:t xml:space="preserve"> </w:t>
      </w:r>
      <w:r w:rsidRPr="002029AF">
        <w:t>flow’.</w:t>
      </w:r>
    </w:p>
    <w:p w14:paraId="5F8530D3" w14:textId="22497AFF" w:rsidR="00087B91" w:rsidRPr="002029AF" w:rsidRDefault="00087B91" w:rsidP="00087B91">
      <w:pPr>
        <w:pStyle w:val="ARfinbody"/>
      </w:pPr>
      <w:r w:rsidRPr="002029AF">
        <w:rPr>
          <w:rStyle w:val="Strong"/>
        </w:rPr>
        <w:t>Borrowings</w:t>
      </w:r>
      <w:r w:rsidR="000A5329" w:rsidRPr="002029AF">
        <w:t xml:space="preserve"> </w:t>
      </w:r>
      <w:r w:rsidRPr="002029AF">
        <w:t>refers</w:t>
      </w:r>
      <w:r w:rsidR="000A5329" w:rsidRPr="002029AF">
        <w:t xml:space="preserve"> </w:t>
      </w:r>
      <w:r w:rsidRPr="002029AF">
        <w:t>to</w:t>
      </w:r>
      <w:r w:rsidR="000A5329" w:rsidRPr="002029AF">
        <w:t xml:space="preserve"> </w:t>
      </w:r>
      <w:r w:rsidRPr="002029AF">
        <w:t>interest</w:t>
      </w:r>
      <w:r w:rsidR="000A5329" w:rsidRPr="002029AF">
        <w:t xml:space="preserve"> </w:t>
      </w:r>
      <w:r w:rsidRPr="002029AF">
        <w:t>bearing</w:t>
      </w:r>
      <w:r w:rsidR="000A5329" w:rsidRPr="002029AF">
        <w:t xml:space="preserve"> </w:t>
      </w:r>
      <w:r w:rsidRPr="002029AF">
        <w:t>liabilities</w:t>
      </w:r>
      <w:r w:rsidR="000A5329" w:rsidRPr="002029AF">
        <w:t xml:space="preserve"> </w:t>
      </w:r>
      <w:r w:rsidRPr="002029AF">
        <w:t>mainly</w:t>
      </w:r>
      <w:r w:rsidR="000A5329" w:rsidRPr="002029AF">
        <w:t xml:space="preserve"> </w:t>
      </w:r>
      <w:r w:rsidRPr="002029AF">
        <w:t>raised</w:t>
      </w:r>
      <w:r w:rsidR="000A5329" w:rsidRPr="002029AF">
        <w:t xml:space="preserve"> </w:t>
      </w:r>
      <w:r w:rsidRPr="002029AF">
        <w:t>from</w:t>
      </w:r>
      <w:r w:rsidR="000A5329" w:rsidRPr="002029AF">
        <w:t xml:space="preserve"> </w:t>
      </w:r>
      <w:r w:rsidRPr="002029AF">
        <w:t>public</w:t>
      </w:r>
      <w:r w:rsidR="000A5329" w:rsidRPr="002029AF">
        <w:t xml:space="preserve"> </w:t>
      </w:r>
      <w:r w:rsidRPr="002029AF">
        <w:t>borrowings</w:t>
      </w:r>
      <w:r w:rsidR="000A5329" w:rsidRPr="002029AF">
        <w:t xml:space="preserve"> </w:t>
      </w:r>
      <w:r w:rsidRPr="002029AF">
        <w:t>raised</w:t>
      </w:r>
      <w:r w:rsidR="000A5329" w:rsidRPr="002029AF">
        <w:t xml:space="preserve"> </w:t>
      </w:r>
      <w:r w:rsidRPr="002029AF">
        <w:t>through</w:t>
      </w:r>
      <w:r w:rsidR="000A5329" w:rsidRPr="002029AF">
        <w:t xml:space="preserve"> </w:t>
      </w:r>
      <w:r w:rsidRPr="002029AF">
        <w:t>the</w:t>
      </w:r>
      <w:r w:rsidR="000A5329" w:rsidRPr="002029AF">
        <w:t xml:space="preserve"> </w:t>
      </w:r>
      <w:r w:rsidRPr="002029AF">
        <w:t>Treasury</w:t>
      </w:r>
      <w:r w:rsidR="000A5329" w:rsidRPr="002029AF">
        <w:t xml:space="preserve"> </w:t>
      </w:r>
      <w:r w:rsidRPr="002029AF">
        <w:t>Corporation</w:t>
      </w:r>
      <w:r w:rsidR="000A5329" w:rsidRPr="002029AF">
        <w:t xml:space="preserve"> </w:t>
      </w:r>
      <w:r w:rsidRPr="002029AF">
        <w:t>of</w:t>
      </w:r>
      <w:r w:rsidR="000A5329" w:rsidRPr="002029AF">
        <w:t xml:space="preserve"> </w:t>
      </w:r>
      <w:r w:rsidRPr="002029AF">
        <w:t>Victoria,</w:t>
      </w:r>
      <w:r w:rsidR="000A5329" w:rsidRPr="002029AF">
        <w:t xml:space="preserve"> </w:t>
      </w:r>
      <w:r w:rsidRPr="002029AF">
        <w:t>finance</w:t>
      </w:r>
      <w:r w:rsidR="000A5329" w:rsidRPr="002029AF">
        <w:t xml:space="preserve"> </w:t>
      </w:r>
      <w:r w:rsidRPr="002029AF">
        <w:t>leases</w:t>
      </w:r>
      <w:r w:rsidR="000A5329" w:rsidRPr="002029AF">
        <w:t xml:space="preserve"> </w:t>
      </w:r>
      <w:r w:rsidRPr="002029AF">
        <w:t>and</w:t>
      </w:r>
      <w:r w:rsidR="000A5329" w:rsidRPr="002029AF">
        <w:t xml:space="preserve"> </w:t>
      </w:r>
      <w:r w:rsidRPr="002029AF">
        <w:t>other</w:t>
      </w:r>
      <w:r w:rsidR="000A5329" w:rsidRPr="002029AF">
        <w:t xml:space="preserve"> </w:t>
      </w:r>
      <w:r w:rsidRPr="002029AF">
        <w:t>interes</w:t>
      </w:r>
      <w:r w:rsidR="00AB7728" w:rsidRPr="002029AF">
        <w:t>t</w:t>
      </w:r>
      <w:r w:rsidR="00946E3D" w:rsidRPr="002029AF">
        <w:t>-</w:t>
      </w:r>
      <w:r w:rsidRPr="002029AF">
        <w:t>bearing</w:t>
      </w:r>
      <w:r w:rsidR="000A5329" w:rsidRPr="002029AF">
        <w:t xml:space="preserve"> </w:t>
      </w:r>
      <w:r w:rsidRPr="002029AF">
        <w:t>arrangements.</w:t>
      </w:r>
      <w:r w:rsidR="000A5329" w:rsidRPr="002029AF">
        <w:t xml:space="preserve"> </w:t>
      </w:r>
      <w:r w:rsidRPr="002029AF">
        <w:t>Borrowings</w:t>
      </w:r>
      <w:r w:rsidR="000A5329" w:rsidRPr="002029AF">
        <w:t xml:space="preserve"> </w:t>
      </w:r>
      <w:r w:rsidRPr="002029AF">
        <w:t>also</w:t>
      </w:r>
      <w:r w:rsidR="000A5329" w:rsidRPr="002029AF">
        <w:t xml:space="preserve"> </w:t>
      </w:r>
      <w:r w:rsidRPr="002029AF">
        <w:t>include</w:t>
      </w:r>
      <w:r w:rsidR="000A5329" w:rsidRPr="002029AF">
        <w:t xml:space="preserve"> </w:t>
      </w:r>
      <w:r w:rsidRPr="002029AF">
        <w:t>non-interest</w:t>
      </w:r>
      <w:r w:rsidR="00946E3D" w:rsidRPr="002029AF">
        <w:t>-</w:t>
      </w:r>
      <w:r w:rsidRPr="002029AF">
        <w:t>bearing</w:t>
      </w:r>
      <w:r w:rsidR="000A5329" w:rsidRPr="002029AF">
        <w:t xml:space="preserve"> </w:t>
      </w:r>
      <w:r w:rsidRPr="002029AF">
        <w:t>advances</w:t>
      </w:r>
      <w:r w:rsidR="000A5329" w:rsidRPr="002029AF">
        <w:t xml:space="preserve"> </w:t>
      </w:r>
      <w:r w:rsidRPr="002029AF">
        <w:t>from</w:t>
      </w:r>
      <w:r w:rsidR="000A5329" w:rsidRPr="002029AF">
        <w:t xml:space="preserve"> </w:t>
      </w:r>
      <w:r w:rsidRPr="002029AF">
        <w:t>government</w:t>
      </w:r>
      <w:r w:rsidR="000A5329" w:rsidRPr="002029AF">
        <w:t xml:space="preserve"> </w:t>
      </w:r>
      <w:r w:rsidRPr="002029AF">
        <w:t>that</w:t>
      </w:r>
      <w:r w:rsidR="000A5329" w:rsidRPr="002029AF">
        <w:t xml:space="preserve"> </w:t>
      </w:r>
      <w:r w:rsidRPr="002029AF">
        <w:t>are</w:t>
      </w:r>
      <w:r w:rsidR="000A5329" w:rsidRPr="002029AF">
        <w:t xml:space="preserve"> </w:t>
      </w:r>
      <w:r w:rsidRPr="002029AF">
        <w:t>acquired</w:t>
      </w:r>
      <w:r w:rsidR="000A5329" w:rsidRPr="002029AF">
        <w:t xml:space="preserve"> </w:t>
      </w:r>
      <w:r w:rsidRPr="002029AF">
        <w:t>for</w:t>
      </w:r>
      <w:r w:rsidR="000A5329" w:rsidRPr="002029AF">
        <w:t xml:space="preserve"> </w:t>
      </w:r>
      <w:r w:rsidRPr="002029AF">
        <w:t>policy</w:t>
      </w:r>
      <w:r w:rsidR="000A5329" w:rsidRPr="002029AF">
        <w:t xml:space="preserve"> </w:t>
      </w:r>
      <w:r w:rsidRPr="002029AF">
        <w:t>purposes.</w:t>
      </w:r>
    </w:p>
    <w:p w14:paraId="13AF01BF" w14:textId="34C5C158" w:rsidR="00087B91" w:rsidRPr="002029AF" w:rsidRDefault="00087B91" w:rsidP="00087B91">
      <w:pPr>
        <w:pStyle w:val="ARfinbody"/>
      </w:pPr>
      <w:r w:rsidRPr="002029AF">
        <w:rPr>
          <w:rStyle w:val="Strong"/>
        </w:rPr>
        <w:t>Capital</w:t>
      </w:r>
      <w:r w:rsidR="000A5329" w:rsidRPr="002029AF">
        <w:rPr>
          <w:rStyle w:val="Strong"/>
        </w:rPr>
        <w:t xml:space="preserve"> </w:t>
      </w:r>
      <w:r w:rsidRPr="002029AF">
        <w:rPr>
          <w:rStyle w:val="Strong"/>
        </w:rPr>
        <w:t>asset</w:t>
      </w:r>
      <w:r w:rsidR="000A5329" w:rsidRPr="002029AF">
        <w:rPr>
          <w:rStyle w:val="Strong"/>
        </w:rPr>
        <w:t xml:space="preserve"> </w:t>
      </w:r>
      <w:r w:rsidRPr="002029AF">
        <w:rPr>
          <w:rStyle w:val="Strong"/>
        </w:rPr>
        <w:t>charge</w:t>
      </w:r>
      <w:r w:rsidR="000A5329" w:rsidRPr="002029AF">
        <w:t xml:space="preserve"> </w:t>
      </w:r>
      <w:r w:rsidRPr="002029AF">
        <w:t>is</w:t>
      </w:r>
      <w:r w:rsidR="000A5329" w:rsidRPr="002029AF">
        <w:t xml:space="preserve"> </w:t>
      </w:r>
      <w:r w:rsidRPr="002029AF">
        <w:t>a</w:t>
      </w:r>
      <w:r w:rsidR="000A5329" w:rsidRPr="002029AF">
        <w:t xml:space="preserve"> </w:t>
      </w:r>
      <w:r w:rsidRPr="002029AF">
        <w:t>charge</w:t>
      </w:r>
      <w:r w:rsidR="000A5329" w:rsidRPr="002029AF">
        <w:t xml:space="preserve"> </w:t>
      </w:r>
      <w:r w:rsidRPr="002029AF">
        <w:t>levied</w:t>
      </w:r>
      <w:r w:rsidR="000A5329" w:rsidRPr="002029AF">
        <w:t xml:space="preserve"> </w:t>
      </w:r>
      <w:r w:rsidRPr="002029AF">
        <w:t>on</w:t>
      </w:r>
      <w:r w:rsidR="000A5329" w:rsidRPr="002029AF">
        <w:t xml:space="preserve"> </w:t>
      </w:r>
      <w:r w:rsidRPr="002029AF">
        <w:t>the</w:t>
      </w:r>
      <w:r w:rsidR="000A5329" w:rsidRPr="002029AF">
        <w:t xml:space="preserve"> </w:t>
      </w:r>
      <w:r w:rsidRPr="002029AF">
        <w:t>written-down</w:t>
      </w:r>
      <w:r w:rsidR="000A5329" w:rsidRPr="002029AF">
        <w:t xml:space="preserve"> </w:t>
      </w:r>
      <w:r w:rsidRPr="002029AF">
        <w:t>value</w:t>
      </w:r>
      <w:r w:rsidR="000A5329" w:rsidRPr="002029AF">
        <w:t xml:space="preserve"> </w:t>
      </w:r>
      <w:r w:rsidRPr="002029AF">
        <w:t>of</w:t>
      </w:r>
      <w:r w:rsidR="000A5329" w:rsidRPr="002029AF">
        <w:t xml:space="preserve"> </w:t>
      </w:r>
      <w:r w:rsidRPr="002029AF">
        <w:t>controlled</w:t>
      </w:r>
      <w:r w:rsidR="000A5329" w:rsidRPr="002029AF">
        <w:t xml:space="preserve"> </w:t>
      </w:r>
      <w:r w:rsidRPr="002029AF">
        <w:t>non-current</w:t>
      </w:r>
      <w:r w:rsidR="000A5329" w:rsidRPr="002029AF">
        <w:t xml:space="preserve"> </w:t>
      </w:r>
      <w:r w:rsidRPr="002029AF">
        <w:t>physical</w:t>
      </w:r>
      <w:r w:rsidR="000A5329" w:rsidRPr="002029AF">
        <w:t xml:space="preserve"> </w:t>
      </w:r>
      <w:r w:rsidRPr="002029AF">
        <w:t>assets</w:t>
      </w:r>
      <w:r w:rsidR="000A5329" w:rsidRPr="002029AF">
        <w:t xml:space="preserve"> </w:t>
      </w:r>
      <w:r w:rsidRPr="002029AF">
        <w:t>in</w:t>
      </w:r>
      <w:r w:rsidR="000A5329" w:rsidRPr="002029AF">
        <w:t xml:space="preserve"> </w:t>
      </w:r>
      <w:r w:rsidRPr="002029AF">
        <w:t>a</w:t>
      </w:r>
      <w:r w:rsidR="000A5329" w:rsidRPr="002029AF">
        <w:t xml:space="preserve"> </w:t>
      </w:r>
      <w:r w:rsidRPr="002029AF">
        <w:t>department’s</w:t>
      </w:r>
      <w:r w:rsidR="000A5329" w:rsidRPr="002029AF">
        <w:t xml:space="preserve"> </w:t>
      </w:r>
      <w:r w:rsidRPr="002029AF">
        <w:t>balance</w:t>
      </w:r>
      <w:r w:rsidR="000A5329" w:rsidRPr="002029AF">
        <w:t xml:space="preserve"> </w:t>
      </w:r>
      <w:r w:rsidRPr="002029AF">
        <w:t>sheet</w:t>
      </w:r>
      <w:r w:rsidR="000A5329" w:rsidRPr="002029AF">
        <w:t xml:space="preserve"> </w:t>
      </w:r>
      <w:r w:rsidRPr="002029AF">
        <w:t>which</w:t>
      </w:r>
      <w:r w:rsidR="000A5329" w:rsidRPr="002029AF">
        <w:t xml:space="preserve"> </w:t>
      </w:r>
      <w:r w:rsidRPr="002029AF">
        <w:t>aims</w:t>
      </w:r>
      <w:r w:rsidR="000A5329" w:rsidRPr="002029AF">
        <w:t xml:space="preserve"> </w:t>
      </w:r>
      <w:r w:rsidRPr="002029AF">
        <w:t>to:</w:t>
      </w:r>
      <w:r w:rsidR="000A5329" w:rsidRPr="002029AF">
        <w:t xml:space="preserve"> </w:t>
      </w:r>
      <w:r w:rsidRPr="002029AF">
        <w:t>attribute</w:t>
      </w:r>
      <w:r w:rsidR="000A5329" w:rsidRPr="002029AF">
        <w:t xml:space="preserve"> </w:t>
      </w:r>
      <w:r w:rsidRPr="002029AF">
        <w:t>to</w:t>
      </w:r>
      <w:r w:rsidR="000A5329" w:rsidRPr="002029AF">
        <w:t xml:space="preserve"> </w:t>
      </w:r>
      <w:r w:rsidRPr="002029AF">
        <w:t>agency</w:t>
      </w:r>
      <w:r w:rsidR="000A5329" w:rsidRPr="002029AF">
        <w:t xml:space="preserve"> </w:t>
      </w:r>
      <w:r w:rsidRPr="002029AF">
        <w:t>outputs</w:t>
      </w:r>
      <w:r w:rsidR="000A5329" w:rsidRPr="002029AF">
        <w:t xml:space="preserve"> </w:t>
      </w:r>
      <w:r w:rsidRPr="002029AF">
        <w:t>the</w:t>
      </w:r>
      <w:r w:rsidR="000A5329" w:rsidRPr="002029AF">
        <w:t xml:space="preserve"> </w:t>
      </w:r>
      <w:r w:rsidRPr="002029AF">
        <w:t>opportunity</w:t>
      </w:r>
      <w:r w:rsidR="000A5329" w:rsidRPr="002029AF">
        <w:t xml:space="preserve"> </w:t>
      </w:r>
      <w:r w:rsidRPr="002029AF">
        <w:t>cost</w:t>
      </w:r>
      <w:r w:rsidR="000A5329" w:rsidRPr="002029AF">
        <w:t xml:space="preserve"> </w:t>
      </w:r>
      <w:r w:rsidRPr="002029AF">
        <w:t>of</w:t>
      </w:r>
      <w:r w:rsidR="000A5329" w:rsidRPr="002029AF">
        <w:t xml:space="preserve"> </w:t>
      </w:r>
      <w:r w:rsidRPr="002029AF">
        <w:t>capital</w:t>
      </w:r>
      <w:r w:rsidR="000A5329" w:rsidRPr="002029AF">
        <w:t xml:space="preserve"> </w:t>
      </w:r>
      <w:r w:rsidRPr="002029AF">
        <w:t>used</w:t>
      </w:r>
      <w:r w:rsidR="000A5329" w:rsidRPr="002029AF">
        <w:t xml:space="preserve"> </w:t>
      </w:r>
      <w:r w:rsidRPr="002029AF">
        <w:t>in</w:t>
      </w:r>
      <w:r w:rsidR="000A5329" w:rsidRPr="002029AF">
        <w:t xml:space="preserve"> </w:t>
      </w:r>
      <w:r w:rsidRPr="002029AF">
        <w:t>service</w:t>
      </w:r>
      <w:r w:rsidR="000A5329" w:rsidRPr="002029AF">
        <w:t xml:space="preserve"> </w:t>
      </w:r>
      <w:r w:rsidRPr="002029AF">
        <w:t>delivery;</w:t>
      </w:r>
      <w:r w:rsidR="000A5329" w:rsidRPr="002029AF">
        <w:t xml:space="preserve"> </w:t>
      </w:r>
      <w:r w:rsidRPr="002029AF">
        <w:t>and</w:t>
      </w:r>
      <w:r w:rsidR="000A5329" w:rsidRPr="002029AF">
        <w:t xml:space="preserve"> </w:t>
      </w:r>
      <w:r w:rsidRPr="002029AF">
        <w:t>provide</w:t>
      </w:r>
      <w:r w:rsidR="000A5329" w:rsidRPr="002029AF">
        <w:t xml:space="preserve"> </w:t>
      </w:r>
      <w:r w:rsidRPr="002029AF">
        <w:t>incentives</w:t>
      </w:r>
      <w:r w:rsidR="000A5329" w:rsidRPr="002029AF">
        <w:t xml:space="preserve"> </w:t>
      </w:r>
      <w:r w:rsidRPr="002029AF">
        <w:t>to</w:t>
      </w:r>
      <w:r w:rsidR="000A5329" w:rsidRPr="002029AF">
        <w:t xml:space="preserve"> </w:t>
      </w:r>
      <w:r w:rsidRPr="002029AF">
        <w:t>departments</w:t>
      </w:r>
      <w:r w:rsidR="000A5329" w:rsidRPr="002029AF">
        <w:t xml:space="preserve"> </w:t>
      </w:r>
      <w:r w:rsidRPr="002029AF">
        <w:t>to</w:t>
      </w:r>
      <w:r w:rsidR="000A5329" w:rsidRPr="002029AF">
        <w:t xml:space="preserve"> </w:t>
      </w:r>
      <w:r w:rsidRPr="002029AF">
        <w:t>identify</w:t>
      </w:r>
      <w:r w:rsidR="000A5329" w:rsidRPr="002029AF">
        <w:t xml:space="preserve"> </w:t>
      </w:r>
      <w:r w:rsidRPr="002029AF">
        <w:t>and</w:t>
      </w:r>
      <w:r w:rsidR="000A5329" w:rsidRPr="002029AF">
        <w:t xml:space="preserve"> </w:t>
      </w:r>
      <w:r w:rsidRPr="002029AF">
        <w:t>dispose</w:t>
      </w:r>
      <w:r w:rsidR="000A5329" w:rsidRPr="002029AF">
        <w:t xml:space="preserve"> </w:t>
      </w:r>
      <w:r w:rsidRPr="002029AF">
        <w:t>of</w:t>
      </w:r>
      <w:r w:rsidR="000A5329" w:rsidRPr="002029AF">
        <w:t xml:space="preserve"> </w:t>
      </w:r>
      <w:r w:rsidRPr="002029AF">
        <w:t>underutilised</w:t>
      </w:r>
      <w:r w:rsidR="000A5329" w:rsidRPr="002029AF">
        <w:t xml:space="preserve"> </w:t>
      </w:r>
      <w:r w:rsidRPr="002029AF">
        <w:t>or</w:t>
      </w:r>
      <w:r w:rsidR="000A5329" w:rsidRPr="002029AF">
        <w:t xml:space="preserve"> </w:t>
      </w:r>
      <w:r w:rsidRPr="002029AF">
        <w:t>surplus</w:t>
      </w:r>
      <w:r w:rsidR="000A5329" w:rsidRPr="002029AF">
        <w:t xml:space="preserve"> </w:t>
      </w:r>
      <w:r w:rsidRPr="002029AF">
        <w:t>assets</w:t>
      </w:r>
      <w:r w:rsidR="000A5329" w:rsidRPr="002029AF">
        <w:t xml:space="preserve"> </w:t>
      </w:r>
      <w:r w:rsidRPr="002029AF">
        <w:t>in</w:t>
      </w:r>
      <w:r w:rsidR="000A5329" w:rsidRPr="002029AF">
        <w:t xml:space="preserve"> </w:t>
      </w:r>
      <w:r w:rsidRPr="002029AF">
        <w:t>a</w:t>
      </w:r>
      <w:r w:rsidR="000A5329" w:rsidRPr="002029AF">
        <w:t xml:space="preserve"> </w:t>
      </w:r>
      <w:r w:rsidRPr="002029AF">
        <w:t>timely</w:t>
      </w:r>
      <w:r w:rsidR="000A5329" w:rsidRPr="002029AF">
        <w:t xml:space="preserve"> </w:t>
      </w:r>
      <w:r w:rsidRPr="002029AF">
        <w:t>manner.</w:t>
      </w:r>
    </w:p>
    <w:p w14:paraId="3BE2AFDD" w14:textId="72E927D4" w:rsidR="00087B91" w:rsidRPr="002029AF" w:rsidRDefault="00087B91" w:rsidP="00087B91">
      <w:pPr>
        <w:pStyle w:val="ARfinbody"/>
      </w:pPr>
      <w:r w:rsidRPr="002029AF">
        <w:rPr>
          <w:rStyle w:val="Strong"/>
        </w:rPr>
        <w:t>Commitments</w:t>
      </w:r>
      <w:r w:rsidR="000A5329" w:rsidRPr="002029AF">
        <w:t xml:space="preserve"> </w:t>
      </w:r>
      <w:r w:rsidRPr="002029AF">
        <w:t>include</w:t>
      </w:r>
      <w:r w:rsidR="000A5329" w:rsidRPr="002029AF">
        <w:t xml:space="preserve"> </w:t>
      </w:r>
      <w:r w:rsidRPr="002029AF">
        <w:t>those</w:t>
      </w:r>
      <w:r w:rsidR="000A5329" w:rsidRPr="002029AF">
        <w:t xml:space="preserve"> </w:t>
      </w:r>
      <w:r w:rsidRPr="002029AF">
        <w:t>operating,</w:t>
      </w:r>
      <w:r w:rsidR="000A5329" w:rsidRPr="002029AF">
        <w:t xml:space="preserve"> </w:t>
      </w:r>
      <w:r w:rsidRPr="002029AF">
        <w:t>capital</w:t>
      </w:r>
      <w:r w:rsidR="000A5329" w:rsidRPr="002029AF">
        <w:t xml:space="preserve"> </w:t>
      </w:r>
      <w:r w:rsidRPr="002029AF">
        <w:t>and</w:t>
      </w:r>
      <w:r w:rsidR="000A5329" w:rsidRPr="002029AF">
        <w:t xml:space="preserve"> </w:t>
      </w:r>
      <w:r w:rsidRPr="002029AF">
        <w:t>other</w:t>
      </w:r>
      <w:r w:rsidR="000A5329" w:rsidRPr="002029AF">
        <w:t xml:space="preserve"> </w:t>
      </w:r>
      <w:r w:rsidRPr="002029AF">
        <w:t>outsourcing</w:t>
      </w:r>
      <w:r w:rsidR="000A5329" w:rsidRPr="002029AF">
        <w:t xml:space="preserve"> </w:t>
      </w:r>
      <w:r w:rsidRPr="002029AF">
        <w:t>commitments</w:t>
      </w:r>
      <w:r w:rsidR="000A5329" w:rsidRPr="002029AF">
        <w:t xml:space="preserve"> </w:t>
      </w:r>
      <w:r w:rsidRPr="002029AF">
        <w:t>arising</w:t>
      </w:r>
      <w:r w:rsidR="000A5329" w:rsidRPr="002029AF">
        <w:t xml:space="preserve"> </w:t>
      </w:r>
      <w:r w:rsidRPr="002029AF">
        <w:t>from</w:t>
      </w:r>
      <w:r w:rsidR="000A5329" w:rsidRPr="002029AF">
        <w:t xml:space="preserve"> </w:t>
      </w:r>
      <w:r w:rsidRPr="002029AF">
        <w:t>non-cancellable</w:t>
      </w:r>
      <w:r w:rsidR="000A5329" w:rsidRPr="002029AF">
        <w:t xml:space="preserve"> </w:t>
      </w:r>
      <w:r w:rsidRPr="002029AF">
        <w:t>contractual</w:t>
      </w:r>
      <w:r w:rsidR="000A5329" w:rsidRPr="002029AF">
        <w:t xml:space="preserve"> </w:t>
      </w:r>
      <w:r w:rsidRPr="002029AF">
        <w:t>or</w:t>
      </w:r>
      <w:r w:rsidR="000A5329" w:rsidRPr="002029AF">
        <w:t xml:space="preserve"> </w:t>
      </w:r>
      <w:r w:rsidRPr="002029AF">
        <w:t>statutory</w:t>
      </w:r>
      <w:r w:rsidR="000A5329" w:rsidRPr="002029AF">
        <w:t xml:space="preserve"> </w:t>
      </w:r>
      <w:r w:rsidRPr="002029AF">
        <w:t>sources.</w:t>
      </w:r>
    </w:p>
    <w:p w14:paraId="028182F6" w14:textId="4FD87CB9" w:rsidR="00087B91" w:rsidRPr="002029AF" w:rsidRDefault="00087B91" w:rsidP="00087B91">
      <w:pPr>
        <w:pStyle w:val="ARfinbody"/>
      </w:pPr>
      <w:r w:rsidRPr="002029AF">
        <w:rPr>
          <w:rStyle w:val="Strong"/>
        </w:rPr>
        <w:t>Comprehensive</w:t>
      </w:r>
      <w:r w:rsidR="000A5329" w:rsidRPr="002029AF">
        <w:rPr>
          <w:rStyle w:val="Strong"/>
        </w:rPr>
        <w:t xml:space="preserve"> </w:t>
      </w:r>
      <w:r w:rsidRPr="002029AF">
        <w:rPr>
          <w:rStyle w:val="Strong"/>
        </w:rPr>
        <w:t>result</w:t>
      </w:r>
      <w:r w:rsidR="000A5329" w:rsidRPr="002029AF">
        <w:t xml:space="preserve"> </w:t>
      </w:r>
      <w:r w:rsidRPr="002029AF">
        <w:t>is</w:t>
      </w:r>
      <w:r w:rsidR="000A5329" w:rsidRPr="002029AF">
        <w:t xml:space="preserve"> </w:t>
      </w:r>
      <w:r w:rsidRPr="002029AF">
        <w:t>the</w:t>
      </w:r>
      <w:r w:rsidR="000A5329" w:rsidRPr="002029AF">
        <w:t xml:space="preserve"> </w:t>
      </w:r>
      <w:r w:rsidRPr="002029AF">
        <w:t>amount</w:t>
      </w:r>
      <w:r w:rsidR="000A5329" w:rsidRPr="002029AF">
        <w:t xml:space="preserve"> </w:t>
      </w:r>
      <w:r w:rsidRPr="002029AF">
        <w:t>included</w:t>
      </w:r>
      <w:r w:rsidR="000A5329" w:rsidRPr="002029AF">
        <w:t xml:space="preserve"> </w:t>
      </w:r>
      <w:r w:rsidRPr="002029AF">
        <w:t>in</w:t>
      </w:r>
      <w:r w:rsidR="000A5329" w:rsidRPr="002029AF">
        <w:t xml:space="preserve"> </w:t>
      </w:r>
      <w:r w:rsidRPr="002029AF">
        <w:t>the</w:t>
      </w:r>
      <w:r w:rsidR="000A5329" w:rsidRPr="002029AF">
        <w:t xml:space="preserve"> </w:t>
      </w:r>
      <w:r w:rsidRPr="002029AF">
        <w:t>operating</w:t>
      </w:r>
      <w:r w:rsidR="000A5329" w:rsidRPr="002029AF">
        <w:t xml:space="preserve"> </w:t>
      </w:r>
      <w:r w:rsidRPr="002029AF">
        <w:t>statement</w:t>
      </w:r>
      <w:r w:rsidR="000A5329" w:rsidRPr="002029AF">
        <w:t xml:space="preserve"> </w:t>
      </w:r>
      <w:r w:rsidRPr="002029AF">
        <w:t>representing</w:t>
      </w:r>
      <w:r w:rsidR="000A5329" w:rsidRPr="002029AF">
        <w:t xml:space="preserve"> </w:t>
      </w:r>
      <w:r w:rsidRPr="002029AF">
        <w:t>total</w:t>
      </w:r>
      <w:r w:rsidR="000A5329" w:rsidRPr="002029AF">
        <w:t xml:space="preserve"> </w:t>
      </w:r>
      <w:r w:rsidRPr="002029AF">
        <w:t>change</w:t>
      </w:r>
      <w:r w:rsidR="000A5329" w:rsidRPr="002029AF">
        <w:t xml:space="preserve"> </w:t>
      </w:r>
      <w:r w:rsidRPr="002029AF">
        <w:t>in</w:t>
      </w:r>
      <w:r w:rsidR="000A5329" w:rsidRPr="002029AF">
        <w:t xml:space="preserve"> </w:t>
      </w:r>
      <w:r w:rsidRPr="002029AF">
        <w:t>net</w:t>
      </w:r>
      <w:r w:rsidR="000A5329" w:rsidRPr="002029AF">
        <w:t xml:space="preserve"> </w:t>
      </w:r>
      <w:r w:rsidRPr="002029AF">
        <w:t>worth</w:t>
      </w:r>
      <w:r w:rsidR="000A5329" w:rsidRPr="002029AF">
        <w:t xml:space="preserve"> </w:t>
      </w:r>
      <w:r w:rsidRPr="002029AF">
        <w:t>other</w:t>
      </w:r>
      <w:r w:rsidR="000A5329" w:rsidRPr="002029AF">
        <w:t xml:space="preserve"> </w:t>
      </w:r>
      <w:r w:rsidRPr="002029AF">
        <w:t>than</w:t>
      </w:r>
      <w:r w:rsidR="000A5329" w:rsidRPr="002029AF">
        <w:t xml:space="preserve"> </w:t>
      </w:r>
      <w:r w:rsidRPr="002029AF">
        <w:t>transactions</w:t>
      </w:r>
      <w:r w:rsidR="000A5329" w:rsidRPr="002029AF">
        <w:t xml:space="preserve"> </w:t>
      </w:r>
      <w:r w:rsidRPr="002029AF">
        <w:t>with</w:t>
      </w:r>
      <w:r w:rsidR="000A5329" w:rsidRPr="002029AF">
        <w:t xml:space="preserve"> </w:t>
      </w:r>
      <w:r w:rsidRPr="002029AF">
        <w:t>owners</w:t>
      </w:r>
      <w:r w:rsidR="000A5329" w:rsidRPr="002029AF">
        <w:t xml:space="preserve"> </w:t>
      </w:r>
      <w:r w:rsidRPr="002029AF">
        <w:t>as</w:t>
      </w:r>
      <w:r w:rsidR="000A5329" w:rsidRPr="002029AF">
        <w:t xml:space="preserve"> </w:t>
      </w:r>
      <w:r w:rsidRPr="002029AF">
        <w:t>owners.</w:t>
      </w:r>
    </w:p>
    <w:p w14:paraId="3D89CA65" w14:textId="4903BE92" w:rsidR="00087B91" w:rsidRPr="002029AF" w:rsidRDefault="00087B91" w:rsidP="00087B91">
      <w:pPr>
        <w:pStyle w:val="ARfinbody"/>
      </w:pPr>
      <w:r w:rsidRPr="002029AF">
        <w:rPr>
          <w:rStyle w:val="Strong"/>
        </w:rPr>
        <w:t>Controlled</w:t>
      </w:r>
      <w:r w:rsidR="000A5329" w:rsidRPr="002029AF">
        <w:rPr>
          <w:rStyle w:val="Strong"/>
        </w:rPr>
        <w:t xml:space="preserve"> </w:t>
      </w:r>
      <w:r w:rsidRPr="002029AF">
        <w:rPr>
          <w:rStyle w:val="Strong"/>
        </w:rPr>
        <w:t>item</w:t>
      </w:r>
      <w:r w:rsidR="000A5329" w:rsidRPr="002029AF">
        <w:t xml:space="preserve"> </w:t>
      </w:r>
      <w:r w:rsidRPr="002029AF">
        <w:t>generally</w:t>
      </w:r>
      <w:r w:rsidR="000A5329" w:rsidRPr="002029AF">
        <w:t xml:space="preserve"> </w:t>
      </w:r>
      <w:r w:rsidRPr="002029AF">
        <w:t>refers</w:t>
      </w:r>
      <w:r w:rsidR="000A5329" w:rsidRPr="002029AF">
        <w:t xml:space="preserve"> </w:t>
      </w:r>
      <w:r w:rsidRPr="002029AF">
        <w:t>to</w:t>
      </w:r>
      <w:r w:rsidR="000A5329" w:rsidRPr="002029AF">
        <w:t xml:space="preserve"> </w:t>
      </w:r>
      <w:r w:rsidRPr="002029AF">
        <w:t>the</w:t>
      </w:r>
      <w:r w:rsidR="000A5329" w:rsidRPr="002029AF">
        <w:t xml:space="preserve"> </w:t>
      </w:r>
      <w:r w:rsidRPr="002029AF">
        <w:t>capacity</w:t>
      </w:r>
      <w:r w:rsidR="000A5329" w:rsidRPr="002029AF">
        <w:t xml:space="preserve"> </w:t>
      </w:r>
      <w:r w:rsidRPr="002029AF">
        <w:t>of</w:t>
      </w:r>
      <w:r w:rsidR="000A5329" w:rsidRPr="002029AF">
        <w:t xml:space="preserve"> </w:t>
      </w:r>
      <w:r w:rsidRPr="002029AF">
        <w:t>a</w:t>
      </w:r>
      <w:r w:rsidR="000A5329" w:rsidRPr="002029AF">
        <w:t xml:space="preserve"> </w:t>
      </w:r>
      <w:r w:rsidRPr="002029AF">
        <w:t>department</w:t>
      </w:r>
      <w:r w:rsidR="000A5329" w:rsidRPr="002029AF">
        <w:t xml:space="preserve"> </w:t>
      </w:r>
      <w:r w:rsidRPr="002029AF">
        <w:t>to</w:t>
      </w:r>
      <w:r w:rsidR="000A5329" w:rsidRPr="002029AF">
        <w:t xml:space="preserve"> </w:t>
      </w:r>
      <w:r w:rsidRPr="002029AF">
        <w:t>benefit</w:t>
      </w:r>
      <w:r w:rsidR="000A5329" w:rsidRPr="002029AF">
        <w:t xml:space="preserve"> </w:t>
      </w:r>
      <w:r w:rsidRPr="002029AF">
        <w:t>from</w:t>
      </w:r>
      <w:r w:rsidR="000A5329" w:rsidRPr="002029AF">
        <w:t xml:space="preserve"> </w:t>
      </w:r>
      <w:r w:rsidRPr="002029AF">
        <w:t>that</w:t>
      </w:r>
      <w:r w:rsidR="000A5329" w:rsidRPr="002029AF">
        <w:t xml:space="preserve"> </w:t>
      </w:r>
      <w:r w:rsidRPr="002029AF">
        <w:t>item</w:t>
      </w:r>
      <w:r w:rsidR="000A5329" w:rsidRPr="002029AF">
        <w:t xml:space="preserve"> </w:t>
      </w:r>
      <w:r w:rsidRPr="002029AF">
        <w:t>in</w:t>
      </w:r>
      <w:r w:rsidR="000A5329" w:rsidRPr="002029AF">
        <w:t xml:space="preserve"> </w:t>
      </w:r>
      <w:r w:rsidRPr="002029AF">
        <w:t>the</w:t>
      </w:r>
      <w:r w:rsidR="000A5329" w:rsidRPr="002029AF">
        <w:t xml:space="preserve"> </w:t>
      </w:r>
      <w:r w:rsidRPr="002029AF">
        <w:t>pursuit</w:t>
      </w:r>
      <w:r w:rsidR="000A5329" w:rsidRPr="002029AF">
        <w:t xml:space="preserve"> </w:t>
      </w:r>
      <w:r w:rsidRPr="002029AF">
        <w:t>of</w:t>
      </w:r>
      <w:r w:rsidR="000A5329" w:rsidRPr="002029AF">
        <w:t xml:space="preserve"> </w:t>
      </w:r>
      <w:r w:rsidRPr="002029AF">
        <w:t>the</w:t>
      </w:r>
      <w:r w:rsidR="000A5329" w:rsidRPr="002029AF">
        <w:t xml:space="preserve"> </w:t>
      </w:r>
      <w:r w:rsidRPr="002029AF">
        <w:t>entity’s</w:t>
      </w:r>
      <w:r w:rsidR="000A5329" w:rsidRPr="002029AF">
        <w:t xml:space="preserve"> </w:t>
      </w:r>
      <w:r w:rsidRPr="002029AF">
        <w:t>objectives</w:t>
      </w:r>
      <w:r w:rsidR="000A5329" w:rsidRPr="002029AF">
        <w:t xml:space="preserve"> </w:t>
      </w:r>
      <w:r w:rsidRPr="002029AF">
        <w:t>and</w:t>
      </w:r>
      <w:r w:rsidR="000A5329" w:rsidRPr="002029AF">
        <w:t xml:space="preserve"> </w:t>
      </w:r>
      <w:r w:rsidRPr="002029AF">
        <w:t>to</w:t>
      </w:r>
      <w:r w:rsidR="000A5329" w:rsidRPr="002029AF">
        <w:t xml:space="preserve"> </w:t>
      </w:r>
      <w:r w:rsidRPr="002029AF">
        <w:t>deny</w:t>
      </w:r>
      <w:r w:rsidR="000A5329" w:rsidRPr="002029AF">
        <w:t xml:space="preserve"> </w:t>
      </w:r>
      <w:r w:rsidRPr="002029AF">
        <w:t>or</w:t>
      </w:r>
      <w:r w:rsidR="000A5329" w:rsidRPr="002029AF">
        <w:t xml:space="preserve"> </w:t>
      </w:r>
      <w:r w:rsidRPr="002029AF">
        <w:t>regulate</w:t>
      </w:r>
      <w:r w:rsidR="000A5329" w:rsidRPr="002029AF">
        <w:t xml:space="preserve"> </w:t>
      </w:r>
      <w:r w:rsidRPr="002029AF">
        <w:t>the</w:t>
      </w:r>
      <w:r w:rsidR="000A5329" w:rsidRPr="002029AF">
        <w:t xml:space="preserve"> </w:t>
      </w:r>
      <w:r w:rsidRPr="002029AF">
        <w:t>access</w:t>
      </w:r>
      <w:r w:rsidR="000A5329" w:rsidRPr="002029AF">
        <w:t xml:space="preserve"> </w:t>
      </w:r>
      <w:r w:rsidRPr="002029AF">
        <w:t>of</w:t>
      </w:r>
      <w:r w:rsidR="000A5329" w:rsidRPr="002029AF">
        <w:t xml:space="preserve"> </w:t>
      </w:r>
      <w:r w:rsidRPr="002029AF">
        <w:t>others</w:t>
      </w:r>
      <w:r w:rsidR="000A5329" w:rsidRPr="002029AF">
        <w:t xml:space="preserve"> </w:t>
      </w:r>
      <w:r w:rsidRPr="002029AF">
        <w:t>to</w:t>
      </w:r>
      <w:r w:rsidR="000A5329" w:rsidRPr="002029AF">
        <w:t xml:space="preserve"> </w:t>
      </w:r>
      <w:r w:rsidRPr="002029AF">
        <w:t>that</w:t>
      </w:r>
      <w:r w:rsidR="000A5329" w:rsidRPr="002029AF">
        <w:t xml:space="preserve"> </w:t>
      </w:r>
      <w:r w:rsidRPr="002029AF">
        <w:t>benefit.</w:t>
      </w:r>
    </w:p>
    <w:p w14:paraId="6A2652EB" w14:textId="2470482C" w:rsidR="00087B91" w:rsidRPr="002029AF" w:rsidRDefault="00087B91" w:rsidP="00087B91">
      <w:pPr>
        <w:pStyle w:val="ARfinbody"/>
      </w:pPr>
      <w:r w:rsidRPr="002029AF">
        <w:rPr>
          <w:rStyle w:val="Strong"/>
        </w:rPr>
        <w:t>Current</w:t>
      </w:r>
      <w:r w:rsidR="000A5329" w:rsidRPr="002029AF">
        <w:rPr>
          <w:rStyle w:val="Strong"/>
        </w:rPr>
        <w:t xml:space="preserve"> </w:t>
      </w:r>
      <w:r w:rsidRPr="002029AF">
        <w:rPr>
          <w:rStyle w:val="Strong"/>
        </w:rPr>
        <w:t>grants</w:t>
      </w:r>
      <w:r w:rsidR="000A5329" w:rsidRPr="002029AF">
        <w:t xml:space="preserve"> </w:t>
      </w:r>
      <w:r w:rsidRPr="002029AF">
        <w:t>are</w:t>
      </w:r>
      <w:r w:rsidR="000A5329" w:rsidRPr="002029AF">
        <w:t xml:space="preserve"> </w:t>
      </w:r>
      <w:r w:rsidRPr="002029AF">
        <w:t>amounts</w:t>
      </w:r>
      <w:r w:rsidR="000A5329" w:rsidRPr="002029AF">
        <w:t xml:space="preserve"> </w:t>
      </w:r>
      <w:r w:rsidRPr="002029AF">
        <w:t>payable</w:t>
      </w:r>
      <w:r w:rsidR="000A5329" w:rsidRPr="002029AF">
        <w:t xml:space="preserve"> </w:t>
      </w:r>
      <w:r w:rsidRPr="002029AF">
        <w:t>or</w:t>
      </w:r>
      <w:r w:rsidR="000A5329" w:rsidRPr="002029AF">
        <w:t xml:space="preserve"> </w:t>
      </w:r>
      <w:r w:rsidRPr="002029AF">
        <w:t>receivable</w:t>
      </w:r>
      <w:r w:rsidR="000A5329" w:rsidRPr="002029AF">
        <w:t xml:space="preserve"> </w:t>
      </w:r>
      <w:r w:rsidRPr="002029AF">
        <w:t>for</w:t>
      </w:r>
      <w:r w:rsidR="000A5329" w:rsidRPr="002029AF">
        <w:t xml:space="preserve"> </w:t>
      </w:r>
      <w:r w:rsidRPr="002029AF">
        <w:t>current</w:t>
      </w:r>
      <w:r w:rsidR="000A5329" w:rsidRPr="002029AF">
        <w:t xml:space="preserve"> </w:t>
      </w:r>
      <w:r w:rsidRPr="002029AF">
        <w:t>purposes</w:t>
      </w:r>
      <w:r w:rsidR="000A5329" w:rsidRPr="002029AF">
        <w:t xml:space="preserve"> </w:t>
      </w:r>
      <w:r w:rsidRPr="002029AF">
        <w:t>for</w:t>
      </w:r>
      <w:r w:rsidR="000A5329" w:rsidRPr="002029AF">
        <w:t xml:space="preserve"> </w:t>
      </w:r>
      <w:r w:rsidRPr="002029AF">
        <w:t>which</w:t>
      </w:r>
      <w:r w:rsidR="000A5329" w:rsidRPr="002029AF">
        <w:t xml:space="preserve"> </w:t>
      </w:r>
      <w:r w:rsidRPr="002029AF">
        <w:t>no</w:t>
      </w:r>
      <w:r w:rsidR="000A5329" w:rsidRPr="002029AF">
        <w:t xml:space="preserve"> </w:t>
      </w:r>
      <w:r w:rsidRPr="002029AF">
        <w:t>economic</w:t>
      </w:r>
      <w:r w:rsidR="000A5329" w:rsidRPr="002029AF">
        <w:t xml:space="preserve"> </w:t>
      </w:r>
      <w:r w:rsidRPr="002029AF">
        <w:t>benefits</w:t>
      </w:r>
      <w:r w:rsidR="000A5329" w:rsidRPr="002029AF">
        <w:t xml:space="preserve"> </w:t>
      </w:r>
      <w:r w:rsidRPr="002029AF">
        <w:t>of</w:t>
      </w:r>
      <w:r w:rsidR="000A5329" w:rsidRPr="002029AF">
        <w:t xml:space="preserve"> </w:t>
      </w:r>
      <w:r w:rsidRPr="002029AF">
        <w:t>equal</w:t>
      </w:r>
      <w:r w:rsidR="000A5329" w:rsidRPr="002029AF">
        <w:t xml:space="preserve"> </w:t>
      </w:r>
      <w:r w:rsidRPr="002029AF">
        <w:t>value</w:t>
      </w:r>
      <w:r w:rsidR="000A5329" w:rsidRPr="002029AF">
        <w:t xml:space="preserve"> </w:t>
      </w:r>
      <w:r w:rsidRPr="002029AF">
        <w:t>are</w:t>
      </w:r>
      <w:r w:rsidR="000A5329" w:rsidRPr="002029AF">
        <w:t xml:space="preserve"> </w:t>
      </w:r>
      <w:r w:rsidRPr="002029AF">
        <w:t>receivable</w:t>
      </w:r>
      <w:r w:rsidR="000A5329" w:rsidRPr="002029AF">
        <w:t xml:space="preserve"> </w:t>
      </w:r>
      <w:r w:rsidRPr="002029AF">
        <w:t>or</w:t>
      </w:r>
      <w:r w:rsidR="000A5329" w:rsidRPr="002029AF">
        <w:t xml:space="preserve"> </w:t>
      </w:r>
      <w:r w:rsidRPr="002029AF">
        <w:t>payable</w:t>
      </w:r>
      <w:r w:rsidR="000A5329" w:rsidRPr="002029AF">
        <w:t xml:space="preserve"> </w:t>
      </w:r>
      <w:r w:rsidRPr="002029AF">
        <w:t>in</w:t>
      </w:r>
      <w:r w:rsidR="000A5329" w:rsidRPr="002029AF">
        <w:t xml:space="preserve"> </w:t>
      </w:r>
      <w:r w:rsidRPr="002029AF">
        <w:t>return.</w:t>
      </w:r>
    </w:p>
    <w:p w14:paraId="5B47E420" w14:textId="2BDAC913" w:rsidR="00087B91" w:rsidRPr="002029AF" w:rsidRDefault="00087B91" w:rsidP="00087B91">
      <w:pPr>
        <w:pStyle w:val="ARfinbody"/>
      </w:pPr>
      <w:r w:rsidRPr="002029AF">
        <w:rPr>
          <w:rStyle w:val="Strong"/>
        </w:rPr>
        <w:t>Depreciation</w:t>
      </w:r>
      <w:r w:rsidR="000A5329" w:rsidRPr="002029AF">
        <w:t xml:space="preserve"> </w:t>
      </w:r>
      <w:r w:rsidRPr="002029AF">
        <w:t>is</w:t>
      </w:r>
      <w:r w:rsidR="000A5329" w:rsidRPr="002029AF">
        <w:t xml:space="preserve"> </w:t>
      </w:r>
      <w:r w:rsidRPr="002029AF">
        <w:t>an</w:t>
      </w:r>
      <w:r w:rsidR="000A5329" w:rsidRPr="002029AF">
        <w:t xml:space="preserve"> </w:t>
      </w:r>
      <w:r w:rsidRPr="002029AF">
        <w:t>expense</w:t>
      </w:r>
      <w:r w:rsidR="000A5329" w:rsidRPr="002029AF">
        <w:t xml:space="preserve"> </w:t>
      </w:r>
      <w:r w:rsidRPr="002029AF">
        <w:t>that</w:t>
      </w:r>
      <w:r w:rsidR="000A5329" w:rsidRPr="002029AF">
        <w:t xml:space="preserve"> </w:t>
      </w:r>
      <w:r w:rsidRPr="002029AF">
        <w:t>arises</w:t>
      </w:r>
      <w:r w:rsidR="000A5329" w:rsidRPr="002029AF">
        <w:t xml:space="preserve"> </w:t>
      </w:r>
      <w:r w:rsidRPr="002029AF">
        <w:t>from</w:t>
      </w:r>
      <w:r w:rsidR="000A5329" w:rsidRPr="002029AF">
        <w:t xml:space="preserve"> </w:t>
      </w:r>
      <w:r w:rsidRPr="002029AF">
        <w:t>the</w:t>
      </w:r>
      <w:r w:rsidR="000A5329" w:rsidRPr="002029AF">
        <w:t xml:space="preserve"> </w:t>
      </w:r>
      <w:r w:rsidRPr="002029AF">
        <w:t>consumption</w:t>
      </w:r>
      <w:r w:rsidR="000A5329" w:rsidRPr="002029AF">
        <w:t xml:space="preserve"> </w:t>
      </w:r>
      <w:r w:rsidRPr="002029AF">
        <w:t>through</w:t>
      </w:r>
      <w:r w:rsidR="000A5329" w:rsidRPr="002029AF">
        <w:t xml:space="preserve"> </w:t>
      </w:r>
      <w:r w:rsidRPr="002029AF">
        <w:t>wear</w:t>
      </w:r>
      <w:r w:rsidR="000A5329" w:rsidRPr="002029AF">
        <w:t xml:space="preserve"> </w:t>
      </w:r>
      <w:r w:rsidRPr="002029AF">
        <w:t>or</w:t>
      </w:r>
      <w:r w:rsidR="000A5329" w:rsidRPr="002029AF">
        <w:t xml:space="preserve"> </w:t>
      </w:r>
      <w:r w:rsidRPr="002029AF">
        <w:t>time</w:t>
      </w:r>
      <w:r w:rsidR="000A5329" w:rsidRPr="002029AF">
        <w:t xml:space="preserve"> </w:t>
      </w:r>
      <w:r w:rsidRPr="002029AF">
        <w:t>of</w:t>
      </w:r>
      <w:r w:rsidR="000A5329" w:rsidRPr="002029AF">
        <w:t xml:space="preserve"> </w:t>
      </w:r>
      <w:r w:rsidRPr="002029AF">
        <w:t>a</w:t>
      </w:r>
      <w:r w:rsidR="000A5329" w:rsidRPr="002029AF">
        <w:t xml:space="preserve"> </w:t>
      </w:r>
      <w:r w:rsidRPr="002029AF">
        <w:t>produced</w:t>
      </w:r>
      <w:r w:rsidR="000A5329" w:rsidRPr="002029AF">
        <w:t xml:space="preserve"> </w:t>
      </w:r>
      <w:r w:rsidRPr="002029AF">
        <w:t>physical</w:t>
      </w:r>
      <w:r w:rsidR="000A5329" w:rsidRPr="002029AF">
        <w:t xml:space="preserve"> </w:t>
      </w:r>
      <w:r w:rsidRPr="002029AF">
        <w:t>or</w:t>
      </w:r>
      <w:r w:rsidR="000A5329" w:rsidRPr="002029AF">
        <w:t xml:space="preserve"> </w:t>
      </w:r>
      <w:r w:rsidRPr="002029AF">
        <w:t>intangible</w:t>
      </w:r>
      <w:r w:rsidR="000A5329" w:rsidRPr="002029AF">
        <w:t xml:space="preserve"> </w:t>
      </w:r>
      <w:r w:rsidRPr="002029AF">
        <w:t>asset.</w:t>
      </w:r>
      <w:r w:rsidR="000A5329" w:rsidRPr="002029AF">
        <w:t xml:space="preserve"> </w:t>
      </w:r>
      <w:r w:rsidRPr="002029AF">
        <w:t>This</w:t>
      </w:r>
      <w:r w:rsidR="000A5329" w:rsidRPr="002029AF">
        <w:t xml:space="preserve"> </w:t>
      </w:r>
      <w:r w:rsidRPr="002029AF">
        <w:t>expense</w:t>
      </w:r>
      <w:r w:rsidR="000A5329" w:rsidRPr="002029AF">
        <w:t xml:space="preserve"> </w:t>
      </w:r>
      <w:r w:rsidRPr="002029AF">
        <w:t>is</w:t>
      </w:r>
      <w:r w:rsidR="000A5329" w:rsidRPr="002029AF">
        <w:t xml:space="preserve"> </w:t>
      </w:r>
      <w:r w:rsidRPr="002029AF">
        <w:t>classified</w:t>
      </w:r>
      <w:r w:rsidR="000A5329" w:rsidRPr="002029AF">
        <w:t xml:space="preserve"> </w:t>
      </w:r>
      <w:r w:rsidRPr="002029AF">
        <w:t>as</w:t>
      </w:r>
      <w:r w:rsidR="000A5329" w:rsidRPr="002029AF">
        <w:t xml:space="preserve"> </w:t>
      </w:r>
      <w:r w:rsidRPr="002029AF">
        <w:t>a</w:t>
      </w:r>
      <w:r w:rsidR="000A5329" w:rsidRPr="002029AF">
        <w:t xml:space="preserve"> </w:t>
      </w:r>
      <w:r w:rsidRPr="002029AF">
        <w:t>‘transaction’</w:t>
      </w:r>
      <w:r w:rsidR="000A5329" w:rsidRPr="002029AF">
        <w:t xml:space="preserve"> </w:t>
      </w:r>
      <w:r w:rsidRPr="002029AF">
        <w:t>and</w:t>
      </w:r>
      <w:r w:rsidR="000A5329" w:rsidRPr="002029AF">
        <w:t xml:space="preserve"> </w:t>
      </w:r>
      <w:r w:rsidRPr="002029AF">
        <w:t>so</w:t>
      </w:r>
      <w:r w:rsidR="000A5329" w:rsidRPr="002029AF">
        <w:t xml:space="preserve"> </w:t>
      </w:r>
      <w:r w:rsidRPr="002029AF">
        <w:t>reduces</w:t>
      </w:r>
      <w:r w:rsidR="000A5329" w:rsidRPr="002029AF">
        <w:t xml:space="preserve"> </w:t>
      </w:r>
      <w:r w:rsidRPr="002029AF">
        <w:t>the</w:t>
      </w:r>
      <w:r w:rsidR="000A5329" w:rsidRPr="002029AF">
        <w:t xml:space="preserve"> </w:t>
      </w:r>
      <w:r w:rsidRPr="002029AF">
        <w:t>‘net</w:t>
      </w:r>
      <w:r w:rsidR="000A5329" w:rsidRPr="002029AF">
        <w:t xml:space="preserve"> </w:t>
      </w:r>
      <w:r w:rsidRPr="002029AF">
        <w:t>result</w:t>
      </w:r>
      <w:r w:rsidR="000A5329" w:rsidRPr="002029AF">
        <w:t xml:space="preserve"> </w:t>
      </w:r>
      <w:r w:rsidRPr="002029AF">
        <w:t>from</w:t>
      </w:r>
      <w:r w:rsidR="000A5329" w:rsidRPr="002029AF">
        <w:t xml:space="preserve"> </w:t>
      </w:r>
      <w:r w:rsidRPr="002029AF">
        <w:t>transaction’.</w:t>
      </w:r>
    </w:p>
    <w:p w14:paraId="700788E6" w14:textId="576F0412" w:rsidR="00087B91" w:rsidRPr="002029AF" w:rsidRDefault="00087B91" w:rsidP="00087B91">
      <w:pPr>
        <w:pStyle w:val="ARfinbody"/>
      </w:pPr>
      <w:r w:rsidRPr="002029AF">
        <w:rPr>
          <w:rStyle w:val="Strong"/>
        </w:rPr>
        <w:t>Effective</w:t>
      </w:r>
      <w:r w:rsidR="000A5329" w:rsidRPr="002029AF">
        <w:rPr>
          <w:rStyle w:val="Strong"/>
        </w:rPr>
        <w:t xml:space="preserve"> </w:t>
      </w:r>
      <w:r w:rsidRPr="002029AF">
        <w:rPr>
          <w:rStyle w:val="Strong"/>
        </w:rPr>
        <w:t>interest</w:t>
      </w:r>
      <w:r w:rsidR="000A5329" w:rsidRPr="002029AF">
        <w:rPr>
          <w:rStyle w:val="Strong"/>
        </w:rPr>
        <w:t xml:space="preserve"> </w:t>
      </w:r>
      <w:r w:rsidRPr="002029AF">
        <w:rPr>
          <w:rStyle w:val="Strong"/>
        </w:rPr>
        <w:t>method</w:t>
      </w:r>
      <w:r w:rsidR="000A5329" w:rsidRPr="002029AF">
        <w:t xml:space="preserve"> </w:t>
      </w:r>
      <w:r w:rsidRPr="002029AF">
        <w:t>is</w:t>
      </w:r>
      <w:r w:rsidR="000A5329" w:rsidRPr="002029AF">
        <w:t xml:space="preserve"> </w:t>
      </w:r>
      <w:r w:rsidRPr="002029AF">
        <w:t>the</w:t>
      </w:r>
      <w:r w:rsidR="000A5329" w:rsidRPr="002029AF">
        <w:t xml:space="preserve"> </w:t>
      </w:r>
      <w:r w:rsidRPr="002029AF">
        <w:t>method</w:t>
      </w:r>
      <w:r w:rsidR="000A5329" w:rsidRPr="002029AF">
        <w:t xml:space="preserve"> </w:t>
      </w:r>
      <w:r w:rsidRPr="002029AF">
        <w:t>used</w:t>
      </w:r>
      <w:r w:rsidR="000A5329" w:rsidRPr="002029AF">
        <w:t xml:space="preserve"> </w:t>
      </w:r>
      <w:r w:rsidRPr="002029AF">
        <w:t>to</w:t>
      </w:r>
      <w:r w:rsidR="000A5329" w:rsidRPr="002029AF">
        <w:t xml:space="preserve"> </w:t>
      </w:r>
      <w:r w:rsidRPr="002029AF">
        <w:t>calculate</w:t>
      </w:r>
      <w:r w:rsidR="000A5329" w:rsidRPr="002029AF">
        <w:t xml:space="preserve"> </w:t>
      </w:r>
      <w:r w:rsidRPr="002029AF">
        <w:t>the</w:t>
      </w:r>
      <w:r w:rsidR="000A5329" w:rsidRPr="002029AF">
        <w:t xml:space="preserve"> </w:t>
      </w:r>
      <w:r w:rsidRPr="002029AF">
        <w:t>amortised</w:t>
      </w:r>
      <w:r w:rsidR="000A5329" w:rsidRPr="002029AF">
        <w:t xml:space="preserve"> </w:t>
      </w:r>
      <w:r w:rsidRPr="002029AF">
        <w:t>cost</w:t>
      </w:r>
      <w:r w:rsidR="000A5329" w:rsidRPr="002029AF">
        <w:t xml:space="preserve"> </w:t>
      </w:r>
      <w:r w:rsidRPr="002029AF">
        <w:t>of</w:t>
      </w:r>
      <w:r w:rsidR="000A5329" w:rsidRPr="002029AF">
        <w:t xml:space="preserve"> </w:t>
      </w:r>
      <w:r w:rsidRPr="002029AF">
        <w:t>a</w:t>
      </w:r>
      <w:r w:rsidR="000A5329" w:rsidRPr="002029AF">
        <w:t xml:space="preserve"> </w:t>
      </w:r>
      <w:r w:rsidRPr="002029AF">
        <w:t>financial</w:t>
      </w:r>
      <w:r w:rsidR="000A5329" w:rsidRPr="002029AF">
        <w:t xml:space="preserve"> </w:t>
      </w:r>
      <w:r w:rsidRPr="002029AF">
        <w:t>asset</w:t>
      </w:r>
      <w:r w:rsidR="000A5329" w:rsidRPr="002029AF">
        <w:t xml:space="preserve"> </w:t>
      </w:r>
      <w:r w:rsidRPr="002029AF">
        <w:t>or</w:t>
      </w:r>
      <w:r w:rsidR="000A5329" w:rsidRPr="002029AF">
        <w:t xml:space="preserve"> </w:t>
      </w:r>
      <w:r w:rsidRPr="002029AF">
        <w:t>liability</w:t>
      </w:r>
      <w:r w:rsidR="000A5329" w:rsidRPr="002029AF">
        <w:t xml:space="preserve"> </w:t>
      </w:r>
      <w:r w:rsidRPr="002029AF">
        <w:t>and</w:t>
      </w:r>
      <w:r w:rsidR="000A5329" w:rsidRPr="002029AF">
        <w:t xml:space="preserve"> </w:t>
      </w:r>
      <w:r w:rsidRPr="002029AF">
        <w:t>of</w:t>
      </w:r>
      <w:r w:rsidR="000A5329" w:rsidRPr="002029AF">
        <w:t xml:space="preserve"> </w:t>
      </w:r>
      <w:r w:rsidRPr="002029AF">
        <w:t>allocating</w:t>
      </w:r>
      <w:r w:rsidR="000A5329" w:rsidRPr="002029AF">
        <w:t xml:space="preserve"> </w:t>
      </w:r>
      <w:r w:rsidRPr="002029AF">
        <w:t>interest</w:t>
      </w:r>
      <w:r w:rsidR="000A5329" w:rsidRPr="002029AF">
        <w:t xml:space="preserve"> </w:t>
      </w:r>
      <w:r w:rsidRPr="002029AF">
        <w:t>over</w:t>
      </w:r>
      <w:r w:rsidR="000A5329" w:rsidRPr="002029AF">
        <w:t xml:space="preserve"> </w:t>
      </w:r>
      <w:r w:rsidRPr="002029AF">
        <w:t>the</w:t>
      </w:r>
      <w:r w:rsidR="000A5329" w:rsidRPr="002029AF">
        <w:t xml:space="preserve"> </w:t>
      </w:r>
      <w:r w:rsidRPr="002029AF">
        <w:t>relevant</w:t>
      </w:r>
      <w:r w:rsidR="000A5329" w:rsidRPr="002029AF">
        <w:t xml:space="preserve"> </w:t>
      </w:r>
      <w:r w:rsidRPr="002029AF">
        <w:t>period.</w:t>
      </w:r>
      <w:r w:rsidR="000A5329" w:rsidRPr="002029AF">
        <w:t xml:space="preserve"> </w:t>
      </w:r>
      <w:r w:rsidRPr="002029AF">
        <w:t>The</w:t>
      </w:r>
      <w:r w:rsidR="000A5329" w:rsidRPr="002029AF">
        <w:t xml:space="preserve"> </w:t>
      </w:r>
      <w:r w:rsidRPr="002029AF">
        <w:t>effective</w:t>
      </w:r>
      <w:r w:rsidR="000A5329" w:rsidRPr="002029AF">
        <w:t xml:space="preserve"> </w:t>
      </w:r>
      <w:r w:rsidRPr="002029AF">
        <w:t>interest</w:t>
      </w:r>
      <w:r w:rsidR="000A5329" w:rsidRPr="002029AF">
        <w:t xml:space="preserve"> </w:t>
      </w:r>
      <w:r w:rsidRPr="002029AF">
        <w:t>rate</w:t>
      </w:r>
      <w:r w:rsidR="000A5329" w:rsidRPr="002029AF">
        <w:t xml:space="preserve"> </w:t>
      </w:r>
      <w:r w:rsidRPr="002029AF">
        <w:t>is</w:t>
      </w:r>
      <w:r w:rsidR="000A5329" w:rsidRPr="002029AF">
        <w:t xml:space="preserve"> </w:t>
      </w:r>
      <w:r w:rsidRPr="002029AF">
        <w:t>the</w:t>
      </w:r>
      <w:r w:rsidR="000A5329" w:rsidRPr="002029AF">
        <w:t xml:space="preserve"> </w:t>
      </w:r>
      <w:r w:rsidRPr="002029AF">
        <w:t>rate</w:t>
      </w:r>
      <w:r w:rsidR="000A5329" w:rsidRPr="002029AF">
        <w:t xml:space="preserve"> </w:t>
      </w:r>
      <w:r w:rsidRPr="002029AF">
        <w:t>that</w:t>
      </w:r>
      <w:r w:rsidR="000A5329" w:rsidRPr="002029AF">
        <w:t xml:space="preserve"> </w:t>
      </w:r>
      <w:r w:rsidRPr="002029AF">
        <w:t>exactly</w:t>
      </w:r>
      <w:r w:rsidR="000A5329" w:rsidRPr="002029AF">
        <w:t xml:space="preserve"> </w:t>
      </w:r>
      <w:r w:rsidRPr="002029AF">
        <w:t>discounts</w:t>
      </w:r>
      <w:r w:rsidR="000A5329" w:rsidRPr="002029AF">
        <w:t xml:space="preserve"> </w:t>
      </w:r>
      <w:r w:rsidRPr="002029AF">
        <w:t>estimated</w:t>
      </w:r>
      <w:r w:rsidR="000A5329" w:rsidRPr="002029AF">
        <w:t xml:space="preserve"> </w:t>
      </w:r>
      <w:r w:rsidRPr="002029AF">
        <w:t>future</w:t>
      </w:r>
      <w:r w:rsidR="000A5329" w:rsidRPr="002029AF">
        <w:t xml:space="preserve"> </w:t>
      </w:r>
      <w:r w:rsidRPr="002029AF">
        <w:t>cash</w:t>
      </w:r>
      <w:r w:rsidR="000A5329" w:rsidRPr="002029AF">
        <w:t xml:space="preserve"> </w:t>
      </w:r>
      <w:r w:rsidRPr="002029AF">
        <w:t>flows</w:t>
      </w:r>
      <w:r w:rsidR="000A5329" w:rsidRPr="002029AF">
        <w:t xml:space="preserve"> </w:t>
      </w:r>
      <w:r w:rsidRPr="002029AF">
        <w:t>through</w:t>
      </w:r>
      <w:r w:rsidR="000A5329" w:rsidRPr="002029AF">
        <w:t xml:space="preserve"> </w:t>
      </w:r>
      <w:r w:rsidRPr="002029AF">
        <w:t>the</w:t>
      </w:r>
      <w:r w:rsidR="000A5329" w:rsidRPr="002029AF">
        <w:t xml:space="preserve"> </w:t>
      </w:r>
      <w:r w:rsidRPr="002029AF">
        <w:t>expected</w:t>
      </w:r>
      <w:r w:rsidR="000A5329" w:rsidRPr="002029AF">
        <w:t xml:space="preserve"> </w:t>
      </w:r>
      <w:r w:rsidRPr="002029AF">
        <w:t>life</w:t>
      </w:r>
      <w:r w:rsidR="000A5329" w:rsidRPr="002029AF">
        <w:t xml:space="preserve"> </w:t>
      </w:r>
      <w:r w:rsidRPr="002029AF">
        <w:t>of</w:t>
      </w:r>
      <w:r w:rsidR="000A5329" w:rsidRPr="002029AF">
        <w:t xml:space="preserve"> </w:t>
      </w:r>
      <w:r w:rsidRPr="002029AF">
        <w:t>the</w:t>
      </w:r>
      <w:r w:rsidR="000A5329" w:rsidRPr="002029AF">
        <w:t xml:space="preserve"> </w:t>
      </w:r>
      <w:r w:rsidRPr="002029AF">
        <w:t>financial</w:t>
      </w:r>
      <w:r w:rsidR="000A5329" w:rsidRPr="002029AF">
        <w:t xml:space="preserve"> </w:t>
      </w:r>
      <w:r w:rsidRPr="002029AF">
        <w:t>instrument,</w:t>
      </w:r>
      <w:r w:rsidR="000A5329" w:rsidRPr="002029AF">
        <w:t xml:space="preserve"> </w:t>
      </w:r>
      <w:r w:rsidRPr="002029AF">
        <w:t>or,</w:t>
      </w:r>
      <w:r w:rsidR="000A5329" w:rsidRPr="002029AF">
        <w:t xml:space="preserve"> </w:t>
      </w:r>
      <w:r w:rsidRPr="002029AF">
        <w:t>where</w:t>
      </w:r>
      <w:r w:rsidR="000A5329" w:rsidRPr="002029AF">
        <w:t xml:space="preserve"> </w:t>
      </w:r>
      <w:r w:rsidRPr="002029AF">
        <w:t>appropriate,</w:t>
      </w:r>
      <w:r w:rsidR="000A5329" w:rsidRPr="002029AF">
        <w:t xml:space="preserve"> </w:t>
      </w:r>
      <w:r w:rsidRPr="002029AF">
        <w:t>a</w:t>
      </w:r>
      <w:r w:rsidR="000A5329" w:rsidRPr="002029AF">
        <w:t xml:space="preserve"> </w:t>
      </w:r>
      <w:r w:rsidRPr="002029AF">
        <w:t>shorter</w:t>
      </w:r>
      <w:r w:rsidR="000A5329" w:rsidRPr="002029AF">
        <w:t xml:space="preserve"> </w:t>
      </w:r>
      <w:r w:rsidRPr="002029AF">
        <w:t>period.</w:t>
      </w:r>
    </w:p>
    <w:p w14:paraId="6C1BC142" w14:textId="26958AE7" w:rsidR="00087B91" w:rsidRPr="002029AF" w:rsidRDefault="00087B91" w:rsidP="00087B91">
      <w:pPr>
        <w:pStyle w:val="ARfinbody"/>
      </w:pPr>
      <w:r w:rsidRPr="002029AF">
        <w:rPr>
          <w:rStyle w:val="Strong"/>
        </w:rPr>
        <w:t>Employee</w:t>
      </w:r>
      <w:r w:rsidR="000A5329" w:rsidRPr="002029AF">
        <w:rPr>
          <w:rStyle w:val="Strong"/>
        </w:rPr>
        <w:t xml:space="preserve"> </w:t>
      </w:r>
      <w:r w:rsidRPr="002029AF">
        <w:rPr>
          <w:rStyle w:val="Strong"/>
        </w:rPr>
        <w:t>benefits</w:t>
      </w:r>
      <w:r w:rsidR="000A5329" w:rsidRPr="002029AF">
        <w:rPr>
          <w:rStyle w:val="Strong"/>
        </w:rPr>
        <w:t xml:space="preserve"> </w:t>
      </w:r>
      <w:r w:rsidRPr="002029AF">
        <w:rPr>
          <w:rStyle w:val="Strong"/>
        </w:rPr>
        <w:t>expenses</w:t>
      </w:r>
      <w:r w:rsidR="000A5329" w:rsidRPr="002029AF">
        <w:t xml:space="preserve"> </w:t>
      </w:r>
      <w:r w:rsidRPr="002029AF">
        <w:t>includes</w:t>
      </w:r>
      <w:r w:rsidR="000A5329" w:rsidRPr="002029AF">
        <w:t xml:space="preserve"> </w:t>
      </w:r>
      <w:r w:rsidRPr="002029AF">
        <w:t>all</w:t>
      </w:r>
      <w:r w:rsidR="000A5329" w:rsidRPr="002029AF">
        <w:t xml:space="preserve"> </w:t>
      </w:r>
      <w:r w:rsidRPr="002029AF">
        <w:t>costs</w:t>
      </w:r>
      <w:r w:rsidR="000A5329" w:rsidRPr="002029AF">
        <w:t xml:space="preserve"> </w:t>
      </w:r>
      <w:r w:rsidRPr="002029AF">
        <w:t>related</w:t>
      </w:r>
      <w:r w:rsidR="000A5329" w:rsidRPr="002029AF">
        <w:t xml:space="preserve"> </w:t>
      </w:r>
      <w:r w:rsidRPr="002029AF">
        <w:t>to</w:t>
      </w:r>
      <w:r w:rsidR="000A5329" w:rsidRPr="002029AF">
        <w:t xml:space="preserve"> </w:t>
      </w:r>
      <w:r w:rsidRPr="002029AF">
        <w:t>employment</w:t>
      </w:r>
      <w:r w:rsidR="000A5329" w:rsidRPr="002029AF">
        <w:t xml:space="preserve"> </w:t>
      </w:r>
      <w:r w:rsidRPr="002029AF">
        <w:t>including</w:t>
      </w:r>
      <w:r w:rsidR="000A5329" w:rsidRPr="002029AF">
        <w:t xml:space="preserve"> </w:t>
      </w:r>
      <w:r w:rsidRPr="002029AF">
        <w:t>salaries</w:t>
      </w:r>
      <w:r w:rsidR="000A5329" w:rsidRPr="002029AF">
        <w:t xml:space="preserve"> </w:t>
      </w:r>
      <w:r w:rsidRPr="002029AF">
        <w:t>and</w:t>
      </w:r>
      <w:r w:rsidR="000A5329" w:rsidRPr="002029AF">
        <w:t xml:space="preserve"> </w:t>
      </w:r>
      <w:r w:rsidRPr="002029AF">
        <w:t>wages,</w:t>
      </w:r>
      <w:r w:rsidR="000A5329" w:rsidRPr="002029AF">
        <w:t xml:space="preserve"> </w:t>
      </w:r>
      <w:r w:rsidRPr="002029AF">
        <w:t>leave</w:t>
      </w:r>
      <w:r w:rsidR="000A5329" w:rsidRPr="002029AF">
        <w:t xml:space="preserve"> </w:t>
      </w:r>
      <w:r w:rsidRPr="002029AF">
        <w:t>entitlements,</w:t>
      </w:r>
      <w:r w:rsidR="000A5329" w:rsidRPr="002029AF">
        <w:t xml:space="preserve"> </w:t>
      </w:r>
      <w:r w:rsidRPr="002029AF">
        <w:t>redundancy</w:t>
      </w:r>
      <w:r w:rsidR="000A5329" w:rsidRPr="002029AF">
        <w:t xml:space="preserve"> </w:t>
      </w:r>
      <w:r w:rsidRPr="002029AF">
        <w:t>payments,</w:t>
      </w:r>
      <w:r w:rsidR="000A5329" w:rsidRPr="002029AF">
        <w:t xml:space="preserve"> </w:t>
      </w:r>
      <w:r w:rsidRPr="002029AF">
        <w:t>defined</w:t>
      </w:r>
      <w:r w:rsidR="000A5329" w:rsidRPr="002029AF">
        <w:t xml:space="preserve"> </w:t>
      </w:r>
      <w:r w:rsidRPr="002029AF">
        <w:t>benefits</w:t>
      </w:r>
      <w:r w:rsidR="000A5329" w:rsidRPr="002029AF">
        <w:t xml:space="preserve"> </w:t>
      </w:r>
      <w:r w:rsidRPr="002029AF">
        <w:t>superannuation</w:t>
      </w:r>
      <w:r w:rsidR="000A5329" w:rsidRPr="002029AF">
        <w:t xml:space="preserve"> </w:t>
      </w:r>
      <w:r w:rsidRPr="002029AF">
        <w:t>plans,</w:t>
      </w:r>
      <w:r w:rsidR="000A5329" w:rsidRPr="002029AF">
        <w:t xml:space="preserve"> </w:t>
      </w:r>
      <w:r w:rsidRPr="002029AF">
        <w:t>and</w:t>
      </w:r>
      <w:r w:rsidR="000A5329" w:rsidRPr="002029AF">
        <w:t xml:space="preserve"> </w:t>
      </w:r>
      <w:r w:rsidRPr="002029AF">
        <w:t>defined</w:t>
      </w:r>
      <w:r w:rsidR="000A5329" w:rsidRPr="002029AF">
        <w:t xml:space="preserve"> </w:t>
      </w:r>
      <w:r w:rsidRPr="002029AF">
        <w:t>contribution</w:t>
      </w:r>
      <w:r w:rsidR="000A5329" w:rsidRPr="002029AF">
        <w:t xml:space="preserve"> </w:t>
      </w:r>
      <w:r w:rsidRPr="002029AF">
        <w:t>superannuation</w:t>
      </w:r>
      <w:r w:rsidR="000A5329" w:rsidRPr="002029AF">
        <w:t xml:space="preserve"> </w:t>
      </w:r>
      <w:r w:rsidRPr="002029AF">
        <w:t>plans.</w:t>
      </w:r>
    </w:p>
    <w:p w14:paraId="7FD1FBC8" w14:textId="6EC5035A" w:rsidR="00087B91" w:rsidRPr="002029AF" w:rsidRDefault="00087B91" w:rsidP="00087B91">
      <w:pPr>
        <w:pStyle w:val="ARfinbody"/>
      </w:pPr>
      <w:r w:rsidRPr="002029AF">
        <w:rPr>
          <w:rStyle w:val="Strong"/>
        </w:rPr>
        <w:lastRenderedPageBreak/>
        <w:t>Eliminations</w:t>
      </w:r>
      <w:r w:rsidR="000A5329" w:rsidRPr="002029AF">
        <w:rPr>
          <w:rStyle w:val="Strong"/>
        </w:rPr>
        <w:t xml:space="preserve"> </w:t>
      </w:r>
      <w:r w:rsidRPr="002029AF">
        <w:t>are</w:t>
      </w:r>
      <w:r w:rsidR="000A5329" w:rsidRPr="002029AF">
        <w:t xml:space="preserve"> </w:t>
      </w:r>
      <w:r w:rsidRPr="002029AF">
        <w:t>the</w:t>
      </w:r>
      <w:r w:rsidR="000A5329" w:rsidRPr="002029AF">
        <w:t xml:space="preserve"> </w:t>
      </w:r>
      <w:r w:rsidRPr="002029AF">
        <w:t>removal</w:t>
      </w:r>
      <w:r w:rsidR="000A5329" w:rsidRPr="002029AF">
        <w:t xml:space="preserve"> </w:t>
      </w:r>
      <w:r w:rsidRPr="002029AF">
        <w:t>of</w:t>
      </w:r>
      <w:r w:rsidR="000A5329" w:rsidRPr="002029AF">
        <w:t xml:space="preserve"> </w:t>
      </w:r>
      <w:r w:rsidRPr="002029AF">
        <w:t>transactions</w:t>
      </w:r>
      <w:r w:rsidR="000A5329" w:rsidRPr="002029AF">
        <w:t xml:space="preserve"> </w:t>
      </w:r>
      <w:r w:rsidRPr="002029AF">
        <w:t>that</w:t>
      </w:r>
      <w:r w:rsidR="000A5329" w:rsidRPr="002029AF">
        <w:t xml:space="preserve"> </w:t>
      </w:r>
      <w:r w:rsidRPr="002029AF">
        <w:t>occur</w:t>
      </w:r>
      <w:r w:rsidR="000A5329" w:rsidRPr="002029AF">
        <w:t xml:space="preserve"> </w:t>
      </w:r>
      <w:r w:rsidRPr="002029AF">
        <w:t>between</w:t>
      </w:r>
      <w:r w:rsidR="000A5329" w:rsidRPr="002029AF">
        <w:t xml:space="preserve"> </w:t>
      </w:r>
      <w:r w:rsidRPr="002029AF">
        <w:t>entities</w:t>
      </w:r>
      <w:r w:rsidR="000A5329" w:rsidRPr="002029AF">
        <w:t xml:space="preserve"> </w:t>
      </w:r>
      <w:r w:rsidRPr="002029AF">
        <w:t>within</w:t>
      </w:r>
      <w:r w:rsidR="000A5329" w:rsidRPr="002029AF">
        <w:t xml:space="preserve"> </w:t>
      </w:r>
      <w:r w:rsidRPr="002029AF">
        <w:t>a</w:t>
      </w:r>
      <w:r w:rsidR="000A5329" w:rsidRPr="002029AF">
        <w:t xml:space="preserve"> </w:t>
      </w:r>
      <w:r w:rsidRPr="002029AF">
        <w:t>consolidated</w:t>
      </w:r>
      <w:r w:rsidR="000A5329" w:rsidRPr="002029AF">
        <w:t xml:space="preserve"> </w:t>
      </w:r>
      <w:r w:rsidRPr="002029AF">
        <w:t>group</w:t>
      </w:r>
      <w:r w:rsidR="000A5329" w:rsidRPr="002029AF">
        <w:t xml:space="preserve"> </w:t>
      </w:r>
      <w:r w:rsidRPr="002029AF">
        <w:t>to</w:t>
      </w:r>
      <w:r w:rsidR="000A5329" w:rsidRPr="002029AF">
        <w:t xml:space="preserve"> </w:t>
      </w:r>
      <w:r w:rsidRPr="002029AF">
        <w:t>ensure</w:t>
      </w:r>
      <w:r w:rsidR="000A5329" w:rsidRPr="002029AF">
        <w:t xml:space="preserve"> </w:t>
      </w:r>
      <w:r w:rsidRPr="002029AF">
        <w:t>figures</w:t>
      </w:r>
      <w:r w:rsidR="000A5329" w:rsidRPr="002029AF">
        <w:t xml:space="preserve"> </w:t>
      </w:r>
      <w:r w:rsidRPr="002029AF">
        <w:t>are</w:t>
      </w:r>
      <w:r w:rsidR="000A5329" w:rsidRPr="002029AF">
        <w:t xml:space="preserve"> </w:t>
      </w:r>
      <w:r w:rsidRPr="002029AF">
        <w:t>not</w:t>
      </w:r>
      <w:r w:rsidR="000A5329" w:rsidRPr="002029AF">
        <w:t xml:space="preserve"> </w:t>
      </w:r>
      <w:r w:rsidRPr="002029AF">
        <w:t>overstated.</w:t>
      </w:r>
    </w:p>
    <w:p w14:paraId="35B51CC5" w14:textId="621F5FF9" w:rsidR="00087B91" w:rsidRPr="002029AF" w:rsidRDefault="00087B91" w:rsidP="00087B91">
      <w:pPr>
        <w:pStyle w:val="ARfinbody"/>
      </w:pPr>
      <w:r w:rsidRPr="002029AF">
        <w:rPr>
          <w:rStyle w:val="Strong"/>
        </w:rPr>
        <w:t>Ex-gratia</w:t>
      </w:r>
      <w:r w:rsidR="000A5329" w:rsidRPr="002029AF">
        <w:rPr>
          <w:rStyle w:val="Strong"/>
        </w:rPr>
        <w:t xml:space="preserve"> </w:t>
      </w:r>
      <w:r w:rsidRPr="002029AF">
        <w:rPr>
          <w:rStyle w:val="Strong"/>
        </w:rPr>
        <w:t>expenses</w:t>
      </w:r>
      <w:r w:rsidR="000A5329" w:rsidRPr="002029AF">
        <w:t xml:space="preserve"> </w:t>
      </w:r>
      <w:r w:rsidRPr="002029AF">
        <w:t>mean</w:t>
      </w:r>
      <w:r w:rsidR="000A5329" w:rsidRPr="002029AF">
        <w:t xml:space="preserve"> </w:t>
      </w:r>
      <w:r w:rsidRPr="002029AF">
        <w:t>the</w:t>
      </w:r>
      <w:r w:rsidR="000A5329" w:rsidRPr="002029AF">
        <w:t xml:space="preserve"> </w:t>
      </w:r>
      <w:r w:rsidRPr="002029AF">
        <w:t>voluntary</w:t>
      </w:r>
      <w:r w:rsidR="000A5329" w:rsidRPr="002029AF">
        <w:t xml:space="preserve"> </w:t>
      </w:r>
      <w:r w:rsidRPr="002029AF">
        <w:t>payment</w:t>
      </w:r>
      <w:r w:rsidR="000A5329" w:rsidRPr="002029AF">
        <w:t xml:space="preserve"> </w:t>
      </w:r>
      <w:r w:rsidRPr="002029AF">
        <w:t>of</w:t>
      </w:r>
      <w:r w:rsidR="000A5329" w:rsidRPr="002029AF">
        <w:t xml:space="preserve"> </w:t>
      </w:r>
      <w:r w:rsidRPr="002029AF">
        <w:t>money</w:t>
      </w:r>
      <w:r w:rsidR="000A5329" w:rsidRPr="002029AF">
        <w:t xml:space="preserve"> </w:t>
      </w:r>
      <w:r w:rsidRPr="002029AF">
        <w:t>or</w:t>
      </w:r>
      <w:r w:rsidR="000A5329" w:rsidRPr="002029AF">
        <w:t xml:space="preserve"> </w:t>
      </w:r>
      <w:r w:rsidRPr="002029AF">
        <w:t>other</w:t>
      </w:r>
      <w:r w:rsidR="000A5329" w:rsidRPr="002029AF">
        <w:t xml:space="preserve"> </w:t>
      </w:r>
      <w:r w:rsidRPr="002029AF">
        <w:t>non-monetary</w:t>
      </w:r>
      <w:r w:rsidR="000A5329" w:rsidRPr="002029AF">
        <w:t xml:space="preserve"> </w:t>
      </w:r>
      <w:r w:rsidRPr="002029AF">
        <w:t>benefit</w:t>
      </w:r>
      <w:r w:rsidR="000A5329" w:rsidRPr="002029AF">
        <w:t xml:space="preserve"> </w:t>
      </w:r>
      <w:r w:rsidRPr="002029AF">
        <w:t>(for</w:t>
      </w:r>
      <w:r w:rsidR="000A5329" w:rsidRPr="002029AF">
        <w:t xml:space="preserve"> </w:t>
      </w:r>
      <w:r w:rsidRPr="002029AF">
        <w:t>example</w:t>
      </w:r>
      <w:r w:rsidR="000A5329" w:rsidRPr="002029AF">
        <w:t xml:space="preserve"> </w:t>
      </w:r>
      <w:r w:rsidRPr="002029AF">
        <w:t>a</w:t>
      </w:r>
      <w:r w:rsidR="000A5329" w:rsidRPr="002029AF">
        <w:t xml:space="preserve"> </w:t>
      </w:r>
      <w:r w:rsidRPr="002029AF">
        <w:t>write</w:t>
      </w:r>
      <w:r w:rsidR="000A5329" w:rsidRPr="002029AF">
        <w:t xml:space="preserve"> </w:t>
      </w:r>
      <w:r w:rsidRPr="002029AF">
        <w:t>off)</w:t>
      </w:r>
      <w:r w:rsidR="000A5329" w:rsidRPr="002029AF">
        <w:t xml:space="preserve"> </w:t>
      </w:r>
      <w:r w:rsidRPr="002029AF">
        <w:t>that</w:t>
      </w:r>
      <w:r w:rsidR="000A5329" w:rsidRPr="002029AF">
        <w:t xml:space="preserve"> </w:t>
      </w:r>
      <w:r w:rsidRPr="002029AF">
        <w:t>is</w:t>
      </w:r>
      <w:r w:rsidR="000A5329" w:rsidRPr="002029AF">
        <w:t xml:space="preserve"> </w:t>
      </w:r>
      <w:r w:rsidRPr="002029AF">
        <w:t>not</w:t>
      </w:r>
      <w:r w:rsidR="000A5329" w:rsidRPr="002029AF">
        <w:t xml:space="preserve"> </w:t>
      </w:r>
      <w:r w:rsidRPr="002029AF">
        <w:t>made</w:t>
      </w:r>
      <w:r w:rsidR="000A5329" w:rsidRPr="002029AF">
        <w:t xml:space="preserve"> </w:t>
      </w:r>
      <w:r w:rsidRPr="002029AF">
        <w:t>either</w:t>
      </w:r>
      <w:r w:rsidR="000A5329" w:rsidRPr="002029AF">
        <w:t xml:space="preserve"> </w:t>
      </w:r>
      <w:r w:rsidRPr="002029AF">
        <w:t>to</w:t>
      </w:r>
      <w:r w:rsidR="000A5329" w:rsidRPr="002029AF">
        <w:t xml:space="preserve"> </w:t>
      </w:r>
      <w:r w:rsidRPr="002029AF">
        <w:t>acquire</w:t>
      </w:r>
      <w:r w:rsidR="000A5329" w:rsidRPr="002029AF">
        <w:t xml:space="preserve"> </w:t>
      </w:r>
      <w:r w:rsidRPr="002029AF">
        <w:t>goods,</w:t>
      </w:r>
      <w:r w:rsidR="000A5329" w:rsidRPr="002029AF">
        <w:t xml:space="preserve"> </w:t>
      </w:r>
      <w:r w:rsidRPr="002029AF">
        <w:t>services</w:t>
      </w:r>
      <w:r w:rsidR="000A5329" w:rsidRPr="002029AF">
        <w:t xml:space="preserve"> </w:t>
      </w:r>
      <w:r w:rsidRPr="002029AF">
        <w:t>or</w:t>
      </w:r>
      <w:r w:rsidR="000A5329" w:rsidRPr="002029AF">
        <w:t xml:space="preserve"> </w:t>
      </w:r>
      <w:r w:rsidRPr="002029AF">
        <w:t>other</w:t>
      </w:r>
      <w:r w:rsidR="000A5329" w:rsidRPr="002029AF">
        <w:t xml:space="preserve"> </w:t>
      </w:r>
      <w:r w:rsidRPr="002029AF">
        <w:t>benefits</w:t>
      </w:r>
      <w:r w:rsidR="000A5329" w:rsidRPr="002029AF">
        <w:t xml:space="preserve"> </w:t>
      </w:r>
      <w:r w:rsidRPr="002029AF">
        <w:t>for</w:t>
      </w:r>
      <w:r w:rsidR="000A5329" w:rsidRPr="002029AF">
        <w:t xml:space="preserve"> </w:t>
      </w:r>
      <w:r w:rsidRPr="002029AF">
        <w:t>the</w:t>
      </w:r>
      <w:r w:rsidR="000A5329" w:rsidRPr="002029AF">
        <w:t xml:space="preserve"> </w:t>
      </w:r>
      <w:r w:rsidRPr="002029AF">
        <w:t>entity</w:t>
      </w:r>
      <w:r w:rsidR="000A5329" w:rsidRPr="002029AF">
        <w:t xml:space="preserve"> </w:t>
      </w:r>
      <w:r w:rsidRPr="002029AF">
        <w:t>or</w:t>
      </w:r>
      <w:r w:rsidR="000A5329" w:rsidRPr="002029AF">
        <w:t xml:space="preserve"> </w:t>
      </w:r>
      <w:r w:rsidRPr="002029AF">
        <w:t>to</w:t>
      </w:r>
      <w:r w:rsidR="000A5329" w:rsidRPr="002029AF">
        <w:t xml:space="preserve"> </w:t>
      </w:r>
      <w:r w:rsidRPr="002029AF">
        <w:t>meet</w:t>
      </w:r>
      <w:r w:rsidR="000A5329" w:rsidRPr="002029AF">
        <w:t xml:space="preserve"> </w:t>
      </w:r>
      <w:r w:rsidRPr="002029AF">
        <w:t>a</w:t>
      </w:r>
      <w:r w:rsidR="000A5329" w:rsidRPr="002029AF">
        <w:t xml:space="preserve"> </w:t>
      </w:r>
      <w:r w:rsidRPr="002029AF">
        <w:t>legal</w:t>
      </w:r>
      <w:r w:rsidR="000A5329" w:rsidRPr="002029AF">
        <w:t xml:space="preserve"> </w:t>
      </w:r>
      <w:r w:rsidRPr="002029AF">
        <w:t>liability,</w:t>
      </w:r>
      <w:r w:rsidR="000A5329" w:rsidRPr="002029AF">
        <w:t xml:space="preserve"> </w:t>
      </w:r>
      <w:r w:rsidRPr="002029AF">
        <w:t>or</w:t>
      </w:r>
      <w:r w:rsidR="000A5329" w:rsidRPr="002029AF">
        <w:t xml:space="preserve"> </w:t>
      </w:r>
      <w:r w:rsidRPr="002029AF">
        <w:t>to</w:t>
      </w:r>
      <w:r w:rsidR="000A5329" w:rsidRPr="002029AF">
        <w:t xml:space="preserve"> </w:t>
      </w:r>
      <w:r w:rsidRPr="002029AF">
        <w:t>settle</w:t>
      </w:r>
      <w:r w:rsidR="000A5329" w:rsidRPr="002029AF">
        <w:t xml:space="preserve"> </w:t>
      </w:r>
      <w:r w:rsidRPr="002029AF">
        <w:t>or</w:t>
      </w:r>
      <w:r w:rsidR="000A5329" w:rsidRPr="002029AF">
        <w:t xml:space="preserve"> </w:t>
      </w:r>
      <w:r w:rsidRPr="002029AF">
        <w:t>resolve</w:t>
      </w:r>
      <w:r w:rsidR="000A5329" w:rsidRPr="002029AF">
        <w:t xml:space="preserve"> </w:t>
      </w:r>
      <w:r w:rsidRPr="002029AF">
        <w:t>a</w:t>
      </w:r>
      <w:r w:rsidR="000A5329" w:rsidRPr="002029AF">
        <w:t xml:space="preserve"> </w:t>
      </w:r>
      <w:r w:rsidRPr="002029AF">
        <w:t>possible</w:t>
      </w:r>
      <w:r w:rsidR="000A5329" w:rsidRPr="002029AF">
        <w:t xml:space="preserve"> </w:t>
      </w:r>
      <w:r w:rsidRPr="002029AF">
        <w:t>legal</w:t>
      </w:r>
      <w:r w:rsidR="000A5329" w:rsidRPr="002029AF">
        <w:t xml:space="preserve"> </w:t>
      </w:r>
      <w:r w:rsidRPr="002029AF">
        <w:t>liability</w:t>
      </w:r>
      <w:r w:rsidR="000A5329" w:rsidRPr="002029AF">
        <w:t xml:space="preserve"> </w:t>
      </w:r>
      <w:r w:rsidRPr="002029AF">
        <w:t>or</w:t>
      </w:r>
      <w:r w:rsidR="000A5329" w:rsidRPr="002029AF">
        <w:t xml:space="preserve"> </w:t>
      </w:r>
      <w:r w:rsidRPr="002029AF">
        <w:t>claim</w:t>
      </w:r>
      <w:r w:rsidR="000A5329" w:rsidRPr="002029AF">
        <w:t xml:space="preserve"> </w:t>
      </w:r>
      <w:r w:rsidRPr="002029AF">
        <w:t>against</w:t>
      </w:r>
      <w:r w:rsidR="000A5329" w:rsidRPr="002029AF">
        <w:t xml:space="preserve"> </w:t>
      </w:r>
      <w:r w:rsidRPr="002029AF">
        <w:t>the</w:t>
      </w:r>
      <w:r w:rsidR="000A5329" w:rsidRPr="002029AF">
        <w:t xml:space="preserve"> </w:t>
      </w:r>
      <w:r w:rsidRPr="002029AF">
        <w:t>entity.</w:t>
      </w:r>
    </w:p>
    <w:p w14:paraId="001D87D0" w14:textId="0E8B1174" w:rsidR="00087B91" w:rsidRPr="002029AF" w:rsidRDefault="00087B91" w:rsidP="00087B91">
      <w:pPr>
        <w:pStyle w:val="ARfinbody"/>
      </w:pPr>
      <w:r w:rsidRPr="002029AF">
        <w:rPr>
          <w:rStyle w:val="Strong"/>
        </w:rPr>
        <w:t>Finance</w:t>
      </w:r>
      <w:r w:rsidR="000A5329" w:rsidRPr="002029AF">
        <w:rPr>
          <w:rStyle w:val="Strong"/>
        </w:rPr>
        <w:t xml:space="preserve"> </w:t>
      </w:r>
      <w:r w:rsidRPr="002029AF">
        <w:rPr>
          <w:rStyle w:val="Strong"/>
        </w:rPr>
        <w:t>lease</w:t>
      </w:r>
      <w:r w:rsidR="000A5329" w:rsidRPr="002029AF">
        <w:t xml:space="preserve"> </w:t>
      </w:r>
      <w:r w:rsidRPr="002029AF">
        <w:t>is</w:t>
      </w:r>
      <w:r w:rsidR="000A5329" w:rsidRPr="002029AF">
        <w:t xml:space="preserve"> </w:t>
      </w:r>
      <w:r w:rsidRPr="002029AF">
        <w:t>a</w:t>
      </w:r>
      <w:r w:rsidR="000A5329" w:rsidRPr="002029AF">
        <w:t xml:space="preserve"> </w:t>
      </w:r>
      <w:r w:rsidRPr="002029AF">
        <w:t>lease</w:t>
      </w:r>
      <w:r w:rsidR="000A5329" w:rsidRPr="002029AF">
        <w:t xml:space="preserve"> </w:t>
      </w:r>
      <w:r w:rsidRPr="002029AF">
        <w:t>that</w:t>
      </w:r>
      <w:r w:rsidR="000A5329" w:rsidRPr="002029AF">
        <w:t xml:space="preserve"> </w:t>
      </w:r>
      <w:r w:rsidRPr="002029AF">
        <w:t>transfers</w:t>
      </w:r>
      <w:r w:rsidR="000A5329" w:rsidRPr="002029AF">
        <w:t xml:space="preserve"> </w:t>
      </w:r>
      <w:r w:rsidRPr="002029AF">
        <w:t>substantially</w:t>
      </w:r>
      <w:r w:rsidR="000A5329" w:rsidRPr="002029AF">
        <w:t xml:space="preserve"> </w:t>
      </w:r>
      <w:r w:rsidRPr="002029AF">
        <w:t>all</w:t>
      </w:r>
      <w:r w:rsidR="000A5329" w:rsidRPr="002029AF">
        <w:t xml:space="preserve"> </w:t>
      </w:r>
      <w:r w:rsidRPr="002029AF">
        <w:t>the</w:t>
      </w:r>
      <w:r w:rsidR="000A5329" w:rsidRPr="002029AF">
        <w:t xml:space="preserve"> </w:t>
      </w:r>
      <w:r w:rsidRPr="002029AF">
        <w:t>risks</w:t>
      </w:r>
      <w:r w:rsidR="000A5329" w:rsidRPr="002029AF">
        <w:t xml:space="preserve"> </w:t>
      </w:r>
      <w:r w:rsidRPr="002029AF">
        <w:t>and</w:t>
      </w:r>
      <w:r w:rsidR="000A5329" w:rsidRPr="002029AF">
        <w:t xml:space="preserve"> </w:t>
      </w:r>
      <w:r w:rsidRPr="002029AF">
        <w:t>rewards</w:t>
      </w:r>
      <w:r w:rsidR="000A5329" w:rsidRPr="002029AF">
        <w:t xml:space="preserve"> </w:t>
      </w:r>
      <w:r w:rsidRPr="002029AF">
        <w:t>incidental</w:t>
      </w:r>
      <w:r w:rsidR="000A5329" w:rsidRPr="002029AF">
        <w:t xml:space="preserve"> </w:t>
      </w:r>
      <w:r w:rsidRPr="002029AF">
        <w:t>to</w:t>
      </w:r>
      <w:r w:rsidR="000A5329" w:rsidRPr="002029AF">
        <w:t xml:space="preserve"> </w:t>
      </w:r>
      <w:r w:rsidRPr="002029AF">
        <w:t>ownership</w:t>
      </w:r>
      <w:r w:rsidR="000A5329" w:rsidRPr="002029AF">
        <w:t xml:space="preserve"> </w:t>
      </w:r>
      <w:r w:rsidRPr="002029AF">
        <w:t>of</w:t>
      </w:r>
      <w:r w:rsidR="000A5329" w:rsidRPr="002029AF">
        <w:t xml:space="preserve"> </w:t>
      </w:r>
      <w:r w:rsidRPr="002029AF">
        <w:t>an</w:t>
      </w:r>
      <w:r w:rsidR="000A5329" w:rsidRPr="002029AF">
        <w:t xml:space="preserve"> </w:t>
      </w:r>
      <w:r w:rsidRPr="002029AF">
        <w:t>underlying</w:t>
      </w:r>
      <w:r w:rsidR="000A5329" w:rsidRPr="002029AF">
        <w:t xml:space="preserve"> </w:t>
      </w:r>
      <w:r w:rsidRPr="002029AF">
        <w:t>asset.</w:t>
      </w:r>
    </w:p>
    <w:p w14:paraId="07EFECAA" w14:textId="72CF8A80" w:rsidR="00087B91" w:rsidRPr="002029AF" w:rsidRDefault="00087B91" w:rsidP="00087B91">
      <w:pPr>
        <w:pStyle w:val="ARfinbody"/>
      </w:pPr>
      <w:r w:rsidRPr="002029AF">
        <w:rPr>
          <w:rStyle w:val="Strong"/>
        </w:rPr>
        <w:t>Financial</w:t>
      </w:r>
      <w:r w:rsidR="000A5329" w:rsidRPr="002029AF">
        <w:rPr>
          <w:rStyle w:val="Strong"/>
        </w:rPr>
        <w:t xml:space="preserve"> </w:t>
      </w:r>
      <w:r w:rsidRPr="002029AF">
        <w:rPr>
          <w:rStyle w:val="Strong"/>
        </w:rPr>
        <w:t>asset</w:t>
      </w:r>
      <w:r w:rsidR="000A5329" w:rsidRPr="002029AF">
        <w:t xml:space="preserve"> </w:t>
      </w:r>
      <w:r w:rsidRPr="002029AF">
        <w:t>is</w:t>
      </w:r>
      <w:r w:rsidR="000A5329" w:rsidRPr="002029AF">
        <w:t xml:space="preserve"> </w:t>
      </w:r>
      <w:r w:rsidRPr="002029AF">
        <w:t>any</w:t>
      </w:r>
      <w:r w:rsidR="000A5329" w:rsidRPr="002029AF">
        <w:t xml:space="preserve"> </w:t>
      </w:r>
      <w:r w:rsidRPr="002029AF">
        <w:t>asset</w:t>
      </w:r>
      <w:r w:rsidR="000A5329" w:rsidRPr="002029AF">
        <w:t xml:space="preserve"> </w:t>
      </w:r>
      <w:r w:rsidRPr="002029AF">
        <w:t>that</w:t>
      </w:r>
      <w:r w:rsidR="000A5329" w:rsidRPr="002029AF">
        <w:t xml:space="preserve"> </w:t>
      </w:r>
      <w:r w:rsidRPr="002029AF">
        <w:t>is:</w:t>
      </w:r>
    </w:p>
    <w:p w14:paraId="1A56EEC8" w14:textId="6253F83F" w:rsidR="00087B91" w:rsidRPr="002029AF" w:rsidRDefault="00087B91" w:rsidP="00FF3CAB">
      <w:pPr>
        <w:pStyle w:val="ARfinnumberalpha1"/>
        <w:numPr>
          <w:ilvl w:val="0"/>
          <w:numId w:val="45"/>
        </w:numPr>
      </w:pPr>
      <w:r w:rsidRPr="002029AF">
        <w:t>cash</w:t>
      </w:r>
    </w:p>
    <w:p w14:paraId="14133947" w14:textId="73EE632A" w:rsidR="00087B91" w:rsidRPr="002029AF" w:rsidRDefault="00087B91" w:rsidP="00C204CF">
      <w:pPr>
        <w:pStyle w:val="ARfinnumberalpha1"/>
      </w:pPr>
      <w:r w:rsidRPr="002029AF">
        <w:t>an</w:t>
      </w:r>
      <w:r w:rsidR="000A5329" w:rsidRPr="002029AF">
        <w:t xml:space="preserve"> </w:t>
      </w:r>
      <w:r w:rsidRPr="002029AF">
        <w:t>equity</w:t>
      </w:r>
      <w:r w:rsidR="000A5329" w:rsidRPr="002029AF">
        <w:t xml:space="preserve"> </w:t>
      </w:r>
      <w:r w:rsidRPr="002029AF">
        <w:t>instrument</w:t>
      </w:r>
      <w:r w:rsidR="000A5329" w:rsidRPr="002029AF">
        <w:t xml:space="preserve"> </w:t>
      </w:r>
      <w:r w:rsidRPr="002029AF">
        <w:t>of</w:t>
      </w:r>
      <w:r w:rsidR="000A5329" w:rsidRPr="002029AF">
        <w:t xml:space="preserve"> </w:t>
      </w:r>
      <w:r w:rsidRPr="002029AF">
        <w:t>another</w:t>
      </w:r>
      <w:r w:rsidR="000A5329" w:rsidRPr="002029AF">
        <w:t xml:space="preserve"> </w:t>
      </w:r>
      <w:r w:rsidRPr="002029AF">
        <w:t>entity</w:t>
      </w:r>
    </w:p>
    <w:p w14:paraId="40892016" w14:textId="4E9EEA36" w:rsidR="00087B91" w:rsidRPr="002029AF" w:rsidRDefault="00087B91" w:rsidP="00C204CF">
      <w:pPr>
        <w:pStyle w:val="ARfinnumberalpha1"/>
      </w:pPr>
      <w:r w:rsidRPr="002029AF">
        <w:t>a</w:t>
      </w:r>
      <w:r w:rsidR="000A5329" w:rsidRPr="002029AF">
        <w:t xml:space="preserve"> </w:t>
      </w:r>
      <w:r w:rsidRPr="002029AF">
        <w:t>contractual</w:t>
      </w:r>
      <w:r w:rsidR="000A5329" w:rsidRPr="002029AF">
        <w:t xml:space="preserve"> </w:t>
      </w:r>
      <w:r w:rsidRPr="002029AF">
        <w:t>or</w:t>
      </w:r>
      <w:r w:rsidR="000A5329" w:rsidRPr="002029AF">
        <w:t xml:space="preserve"> </w:t>
      </w:r>
      <w:r w:rsidRPr="002029AF">
        <w:t>statutory</w:t>
      </w:r>
      <w:r w:rsidR="000A5329" w:rsidRPr="002029AF">
        <w:t xml:space="preserve"> </w:t>
      </w:r>
      <w:r w:rsidRPr="002029AF">
        <w:t>right:</w:t>
      </w:r>
    </w:p>
    <w:p w14:paraId="67A0D288" w14:textId="3AD7D41A" w:rsidR="00087B91" w:rsidRPr="002029AF" w:rsidRDefault="00087B91" w:rsidP="00FF3CAB">
      <w:pPr>
        <w:pStyle w:val="ARfinbullet2"/>
        <w:numPr>
          <w:ilvl w:val="1"/>
          <w:numId w:val="47"/>
        </w:numPr>
      </w:pPr>
      <w:r w:rsidRPr="002029AF">
        <w:t>to</w:t>
      </w:r>
      <w:r w:rsidR="000A5329" w:rsidRPr="002029AF">
        <w:t xml:space="preserve"> </w:t>
      </w:r>
      <w:r w:rsidRPr="002029AF">
        <w:t>receive</w:t>
      </w:r>
      <w:r w:rsidR="000A5329" w:rsidRPr="002029AF">
        <w:t xml:space="preserve"> </w:t>
      </w:r>
      <w:r w:rsidRPr="002029AF">
        <w:t>cash</w:t>
      </w:r>
      <w:r w:rsidR="000A5329" w:rsidRPr="002029AF">
        <w:t xml:space="preserve"> </w:t>
      </w:r>
      <w:r w:rsidRPr="002029AF">
        <w:t>or</w:t>
      </w:r>
      <w:r w:rsidR="000A5329" w:rsidRPr="002029AF">
        <w:t xml:space="preserve"> </w:t>
      </w:r>
      <w:r w:rsidRPr="002029AF">
        <w:t>another</w:t>
      </w:r>
      <w:r w:rsidR="000A5329" w:rsidRPr="002029AF">
        <w:t xml:space="preserve"> </w:t>
      </w:r>
      <w:r w:rsidRPr="002029AF">
        <w:t>financial</w:t>
      </w:r>
      <w:r w:rsidR="000A5329" w:rsidRPr="002029AF">
        <w:t xml:space="preserve"> </w:t>
      </w:r>
      <w:r w:rsidRPr="002029AF">
        <w:t>asset</w:t>
      </w:r>
      <w:r w:rsidR="000A5329" w:rsidRPr="002029AF">
        <w:t xml:space="preserve"> </w:t>
      </w:r>
      <w:r w:rsidRPr="002029AF">
        <w:t>from</w:t>
      </w:r>
      <w:r w:rsidR="000A5329" w:rsidRPr="002029AF">
        <w:t xml:space="preserve"> </w:t>
      </w:r>
      <w:r w:rsidRPr="002029AF">
        <w:t>another</w:t>
      </w:r>
      <w:r w:rsidR="000A5329" w:rsidRPr="002029AF">
        <w:t xml:space="preserve"> </w:t>
      </w:r>
      <w:r w:rsidRPr="002029AF">
        <w:t>entity,</w:t>
      </w:r>
      <w:r w:rsidR="000A5329" w:rsidRPr="002029AF">
        <w:t xml:space="preserve"> </w:t>
      </w:r>
      <w:r w:rsidRPr="002029AF">
        <w:t>or</w:t>
      </w:r>
    </w:p>
    <w:p w14:paraId="1FB9882B" w14:textId="7987A374" w:rsidR="00087B91" w:rsidRPr="002029AF" w:rsidRDefault="00087B91" w:rsidP="00FF3CAB">
      <w:pPr>
        <w:pStyle w:val="ARfinbullet2"/>
        <w:numPr>
          <w:ilvl w:val="1"/>
          <w:numId w:val="47"/>
        </w:numPr>
      </w:pPr>
      <w:r w:rsidRPr="002029AF">
        <w:t>to</w:t>
      </w:r>
      <w:r w:rsidR="000A5329" w:rsidRPr="002029AF">
        <w:t xml:space="preserve"> </w:t>
      </w:r>
      <w:r w:rsidRPr="002029AF">
        <w:t>exchange</w:t>
      </w:r>
      <w:r w:rsidR="000A5329" w:rsidRPr="002029AF">
        <w:t xml:space="preserve"> </w:t>
      </w:r>
      <w:r w:rsidRPr="002029AF">
        <w:t>financial</w:t>
      </w:r>
      <w:r w:rsidR="000A5329" w:rsidRPr="002029AF">
        <w:t xml:space="preserve"> </w:t>
      </w:r>
      <w:r w:rsidRPr="002029AF">
        <w:t>assets</w:t>
      </w:r>
      <w:r w:rsidR="000A5329" w:rsidRPr="002029AF">
        <w:t xml:space="preserve"> </w:t>
      </w:r>
      <w:r w:rsidRPr="002029AF">
        <w:t>or</w:t>
      </w:r>
      <w:r w:rsidR="000A5329" w:rsidRPr="002029AF">
        <w:t xml:space="preserve"> </w:t>
      </w:r>
      <w:r w:rsidRPr="002029AF">
        <w:t>financial</w:t>
      </w:r>
      <w:r w:rsidR="000A5329" w:rsidRPr="002029AF">
        <w:t xml:space="preserve"> </w:t>
      </w:r>
      <w:r w:rsidRPr="002029AF">
        <w:t>liabilities</w:t>
      </w:r>
      <w:r w:rsidR="000A5329" w:rsidRPr="002029AF">
        <w:t xml:space="preserve"> </w:t>
      </w:r>
      <w:r w:rsidRPr="002029AF">
        <w:t>with</w:t>
      </w:r>
      <w:r w:rsidR="000A5329" w:rsidRPr="002029AF">
        <w:t xml:space="preserve"> </w:t>
      </w:r>
      <w:r w:rsidRPr="002029AF">
        <w:t>another</w:t>
      </w:r>
      <w:r w:rsidR="000A5329" w:rsidRPr="002029AF">
        <w:t xml:space="preserve"> </w:t>
      </w:r>
      <w:r w:rsidRPr="002029AF">
        <w:t>entity</w:t>
      </w:r>
      <w:r w:rsidR="000A5329" w:rsidRPr="002029AF">
        <w:t xml:space="preserve"> </w:t>
      </w:r>
      <w:r w:rsidRPr="002029AF">
        <w:t>under</w:t>
      </w:r>
      <w:r w:rsidR="000A5329" w:rsidRPr="002029AF">
        <w:t xml:space="preserve"> </w:t>
      </w:r>
      <w:r w:rsidRPr="002029AF">
        <w:t>conditions</w:t>
      </w:r>
      <w:r w:rsidR="000A5329" w:rsidRPr="002029AF">
        <w:t xml:space="preserve"> </w:t>
      </w:r>
      <w:r w:rsidRPr="002029AF">
        <w:t>that</w:t>
      </w:r>
      <w:r w:rsidR="000A5329" w:rsidRPr="002029AF">
        <w:t xml:space="preserve"> </w:t>
      </w:r>
      <w:r w:rsidRPr="002029AF">
        <w:t>are</w:t>
      </w:r>
      <w:r w:rsidR="000A5329" w:rsidRPr="002029AF">
        <w:t xml:space="preserve"> </w:t>
      </w:r>
      <w:r w:rsidRPr="002029AF">
        <w:t>potentially</w:t>
      </w:r>
      <w:r w:rsidR="000A5329" w:rsidRPr="002029AF">
        <w:t xml:space="preserve"> </w:t>
      </w:r>
      <w:r w:rsidRPr="002029AF">
        <w:t>favourable</w:t>
      </w:r>
      <w:r w:rsidR="000A5329" w:rsidRPr="002029AF">
        <w:t xml:space="preserve"> </w:t>
      </w:r>
      <w:r w:rsidRPr="002029AF">
        <w:t>to</w:t>
      </w:r>
      <w:r w:rsidR="000A5329" w:rsidRPr="002029AF">
        <w:t xml:space="preserve"> </w:t>
      </w:r>
      <w:r w:rsidRPr="002029AF">
        <w:t>the</w:t>
      </w:r>
      <w:r w:rsidR="000A5329" w:rsidRPr="002029AF">
        <w:t xml:space="preserve"> </w:t>
      </w:r>
      <w:r w:rsidRPr="002029AF">
        <w:t>entity,</w:t>
      </w:r>
      <w:r w:rsidR="000A5329" w:rsidRPr="002029AF">
        <w:t xml:space="preserve"> </w:t>
      </w:r>
      <w:r w:rsidRPr="002029AF">
        <w:t>or</w:t>
      </w:r>
    </w:p>
    <w:p w14:paraId="2BA9AE84" w14:textId="0720DA9F" w:rsidR="00087B91" w:rsidRPr="002029AF" w:rsidRDefault="00087B91" w:rsidP="00C204CF">
      <w:pPr>
        <w:pStyle w:val="ARfinnumberalpha1"/>
      </w:pPr>
      <w:r w:rsidRPr="002029AF">
        <w:t>a</w:t>
      </w:r>
      <w:r w:rsidR="000A5329" w:rsidRPr="002029AF">
        <w:t xml:space="preserve"> </w:t>
      </w:r>
      <w:r w:rsidRPr="002029AF">
        <w:t>contract</w:t>
      </w:r>
      <w:r w:rsidR="000A5329" w:rsidRPr="002029AF">
        <w:t xml:space="preserve"> </w:t>
      </w:r>
      <w:r w:rsidRPr="002029AF">
        <w:t>that</w:t>
      </w:r>
      <w:r w:rsidR="000A5329" w:rsidRPr="002029AF">
        <w:t xml:space="preserve"> </w:t>
      </w:r>
      <w:r w:rsidRPr="002029AF">
        <w:t>will</w:t>
      </w:r>
      <w:r w:rsidR="000A5329" w:rsidRPr="002029AF">
        <w:t xml:space="preserve"> </w:t>
      </w:r>
      <w:r w:rsidRPr="002029AF">
        <w:t>or</w:t>
      </w:r>
      <w:r w:rsidR="000A5329" w:rsidRPr="002029AF">
        <w:t xml:space="preserve"> </w:t>
      </w:r>
      <w:r w:rsidRPr="002029AF">
        <w:t>may</w:t>
      </w:r>
      <w:r w:rsidR="000A5329" w:rsidRPr="002029AF">
        <w:t xml:space="preserve"> </w:t>
      </w:r>
      <w:r w:rsidRPr="002029AF">
        <w:t>be</w:t>
      </w:r>
      <w:r w:rsidR="000A5329" w:rsidRPr="002029AF">
        <w:t xml:space="preserve"> </w:t>
      </w:r>
      <w:r w:rsidRPr="002029AF">
        <w:t>settled</w:t>
      </w:r>
      <w:r w:rsidR="000A5329" w:rsidRPr="002029AF">
        <w:t xml:space="preserve"> </w:t>
      </w:r>
      <w:r w:rsidRPr="002029AF">
        <w:t>in</w:t>
      </w:r>
      <w:r w:rsidR="000A5329" w:rsidRPr="002029AF">
        <w:t xml:space="preserve"> </w:t>
      </w:r>
      <w:r w:rsidRPr="002029AF">
        <w:t>the</w:t>
      </w:r>
      <w:r w:rsidR="000A5329" w:rsidRPr="002029AF">
        <w:t xml:space="preserve"> </w:t>
      </w:r>
      <w:r w:rsidRPr="002029AF">
        <w:t>entity’s</w:t>
      </w:r>
      <w:r w:rsidR="000A5329" w:rsidRPr="002029AF">
        <w:t xml:space="preserve"> </w:t>
      </w:r>
      <w:r w:rsidRPr="002029AF">
        <w:t>own</w:t>
      </w:r>
      <w:r w:rsidR="000A5329" w:rsidRPr="002029AF">
        <w:t xml:space="preserve"> </w:t>
      </w:r>
      <w:r w:rsidRPr="002029AF">
        <w:t>equity</w:t>
      </w:r>
      <w:r w:rsidR="000A5329" w:rsidRPr="002029AF">
        <w:t xml:space="preserve"> </w:t>
      </w:r>
      <w:r w:rsidRPr="002029AF">
        <w:t>instruments</w:t>
      </w:r>
      <w:r w:rsidR="000A5329" w:rsidRPr="002029AF">
        <w:t xml:space="preserve"> </w:t>
      </w:r>
      <w:r w:rsidRPr="002029AF">
        <w:t>and</w:t>
      </w:r>
      <w:r w:rsidR="000A5329" w:rsidRPr="002029AF">
        <w:t xml:space="preserve"> </w:t>
      </w:r>
      <w:r w:rsidRPr="002029AF">
        <w:t>is:</w:t>
      </w:r>
    </w:p>
    <w:p w14:paraId="2798D014" w14:textId="15986FF4" w:rsidR="00087B91" w:rsidRPr="002029AF" w:rsidRDefault="00087B91" w:rsidP="00FF3CAB">
      <w:pPr>
        <w:pStyle w:val="ARfinbullet2"/>
        <w:numPr>
          <w:ilvl w:val="1"/>
          <w:numId w:val="48"/>
        </w:numPr>
      </w:pPr>
      <w:r w:rsidRPr="002029AF">
        <w:t>a</w:t>
      </w:r>
      <w:r w:rsidR="000A5329" w:rsidRPr="002029AF">
        <w:t xml:space="preserve"> </w:t>
      </w:r>
      <w:r w:rsidRPr="002029AF">
        <w:t>non-derivative</w:t>
      </w:r>
      <w:r w:rsidR="000A5329" w:rsidRPr="002029AF">
        <w:t xml:space="preserve"> </w:t>
      </w:r>
      <w:r w:rsidRPr="002029AF">
        <w:t>for</w:t>
      </w:r>
      <w:r w:rsidR="000A5329" w:rsidRPr="002029AF">
        <w:t xml:space="preserve"> </w:t>
      </w:r>
      <w:r w:rsidRPr="002029AF">
        <w:t>which</w:t>
      </w:r>
      <w:r w:rsidR="000A5329" w:rsidRPr="002029AF">
        <w:t xml:space="preserve"> </w:t>
      </w:r>
      <w:r w:rsidRPr="002029AF">
        <w:t>the</w:t>
      </w:r>
      <w:r w:rsidR="000A5329" w:rsidRPr="002029AF">
        <w:t xml:space="preserve"> </w:t>
      </w:r>
      <w:r w:rsidRPr="002029AF">
        <w:t>entity</w:t>
      </w:r>
      <w:r w:rsidR="000A5329" w:rsidRPr="002029AF">
        <w:t xml:space="preserve"> </w:t>
      </w:r>
      <w:r w:rsidRPr="002029AF">
        <w:t>is</w:t>
      </w:r>
      <w:r w:rsidR="000A5329" w:rsidRPr="002029AF">
        <w:t xml:space="preserve"> </w:t>
      </w:r>
      <w:r w:rsidRPr="002029AF">
        <w:t>or</w:t>
      </w:r>
      <w:r w:rsidR="000A5329" w:rsidRPr="002029AF">
        <w:t xml:space="preserve"> </w:t>
      </w:r>
      <w:r w:rsidRPr="002029AF">
        <w:t>may</w:t>
      </w:r>
      <w:r w:rsidR="000A5329" w:rsidRPr="002029AF">
        <w:t xml:space="preserve"> </w:t>
      </w:r>
      <w:r w:rsidRPr="002029AF">
        <w:t>be</w:t>
      </w:r>
      <w:r w:rsidR="000A5329" w:rsidRPr="002029AF">
        <w:t xml:space="preserve"> </w:t>
      </w:r>
      <w:r w:rsidRPr="002029AF">
        <w:t>obliged</w:t>
      </w:r>
      <w:r w:rsidR="000A5329" w:rsidRPr="002029AF">
        <w:t xml:space="preserve"> </w:t>
      </w:r>
      <w:r w:rsidRPr="002029AF">
        <w:t>to</w:t>
      </w:r>
      <w:r w:rsidR="000A5329" w:rsidRPr="002029AF">
        <w:t xml:space="preserve"> </w:t>
      </w:r>
      <w:r w:rsidRPr="002029AF">
        <w:t>receive</w:t>
      </w:r>
      <w:r w:rsidR="000A5329" w:rsidRPr="002029AF">
        <w:t xml:space="preserve"> </w:t>
      </w:r>
      <w:r w:rsidRPr="002029AF">
        <w:t>a</w:t>
      </w:r>
      <w:r w:rsidR="000A5329" w:rsidRPr="002029AF">
        <w:t xml:space="preserve"> </w:t>
      </w:r>
      <w:r w:rsidRPr="002029AF">
        <w:t>variable</w:t>
      </w:r>
      <w:r w:rsidR="000A5329" w:rsidRPr="002029AF">
        <w:t xml:space="preserve"> </w:t>
      </w:r>
      <w:r w:rsidRPr="002029AF">
        <w:t>number</w:t>
      </w:r>
      <w:r w:rsidR="000A5329" w:rsidRPr="002029AF">
        <w:t xml:space="preserve"> </w:t>
      </w:r>
      <w:r w:rsidRPr="002029AF">
        <w:t>of</w:t>
      </w:r>
      <w:r w:rsidR="000A5329" w:rsidRPr="002029AF">
        <w:t xml:space="preserve"> </w:t>
      </w:r>
      <w:r w:rsidRPr="002029AF">
        <w:t>the</w:t>
      </w:r>
      <w:r w:rsidR="000A5329" w:rsidRPr="002029AF">
        <w:t xml:space="preserve"> </w:t>
      </w:r>
      <w:r w:rsidRPr="002029AF">
        <w:t>entity’s</w:t>
      </w:r>
      <w:r w:rsidR="000A5329" w:rsidRPr="002029AF">
        <w:t xml:space="preserve"> </w:t>
      </w:r>
      <w:r w:rsidRPr="002029AF">
        <w:t>own</w:t>
      </w:r>
      <w:r w:rsidR="000A5329" w:rsidRPr="002029AF">
        <w:t xml:space="preserve"> </w:t>
      </w:r>
      <w:r w:rsidRPr="002029AF">
        <w:t>equity</w:t>
      </w:r>
      <w:r w:rsidR="000A5329" w:rsidRPr="002029AF">
        <w:t xml:space="preserve"> </w:t>
      </w:r>
      <w:r w:rsidRPr="002029AF">
        <w:t>instruments,</w:t>
      </w:r>
      <w:r w:rsidR="000A5329" w:rsidRPr="002029AF">
        <w:t xml:space="preserve"> </w:t>
      </w:r>
      <w:r w:rsidRPr="002029AF">
        <w:t>or</w:t>
      </w:r>
    </w:p>
    <w:p w14:paraId="2C7345BD" w14:textId="6C488701" w:rsidR="00087B91" w:rsidRPr="002029AF" w:rsidRDefault="00087B91" w:rsidP="00FF3CAB">
      <w:pPr>
        <w:pStyle w:val="ARfinbullet2"/>
        <w:numPr>
          <w:ilvl w:val="1"/>
          <w:numId w:val="48"/>
        </w:numPr>
      </w:pPr>
      <w:r w:rsidRPr="002029AF">
        <w:t>a</w:t>
      </w:r>
      <w:r w:rsidR="000A5329" w:rsidRPr="002029AF">
        <w:t xml:space="preserve"> </w:t>
      </w:r>
      <w:r w:rsidRPr="002029AF">
        <w:t>derivative</w:t>
      </w:r>
      <w:r w:rsidR="000A5329" w:rsidRPr="002029AF">
        <w:t xml:space="preserve"> </w:t>
      </w:r>
      <w:r w:rsidRPr="002029AF">
        <w:t>that</w:t>
      </w:r>
      <w:r w:rsidR="000A5329" w:rsidRPr="002029AF">
        <w:t xml:space="preserve"> </w:t>
      </w:r>
      <w:r w:rsidRPr="002029AF">
        <w:t>will</w:t>
      </w:r>
      <w:r w:rsidR="000A5329" w:rsidRPr="002029AF">
        <w:t xml:space="preserve"> </w:t>
      </w:r>
      <w:r w:rsidRPr="002029AF">
        <w:t>or</w:t>
      </w:r>
      <w:r w:rsidR="000A5329" w:rsidRPr="002029AF">
        <w:t xml:space="preserve"> </w:t>
      </w:r>
      <w:r w:rsidRPr="002029AF">
        <w:t>may</w:t>
      </w:r>
      <w:r w:rsidR="000A5329" w:rsidRPr="002029AF">
        <w:t xml:space="preserve"> </w:t>
      </w:r>
      <w:r w:rsidRPr="002029AF">
        <w:t>be</w:t>
      </w:r>
      <w:r w:rsidR="000A5329" w:rsidRPr="002029AF">
        <w:t xml:space="preserve"> </w:t>
      </w:r>
      <w:r w:rsidRPr="002029AF">
        <w:t>settled</w:t>
      </w:r>
      <w:r w:rsidR="000A5329" w:rsidRPr="002029AF">
        <w:t xml:space="preserve"> </w:t>
      </w:r>
      <w:r w:rsidRPr="002029AF">
        <w:t>other</w:t>
      </w:r>
      <w:r w:rsidR="000A5329" w:rsidRPr="002029AF">
        <w:t xml:space="preserve"> </w:t>
      </w:r>
      <w:r w:rsidRPr="002029AF">
        <w:t>than</w:t>
      </w:r>
      <w:r w:rsidR="000A5329" w:rsidRPr="002029AF">
        <w:t xml:space="preserve"> </w:t>
      </w:r>
      <w:r w:rsidRPr="002029AF">
        <w:t>by</w:t>
      </w:r>
      <w:r w:rsidR="000A5329" w:rsidRPr="002029AF">
        <w:t xml:space="preserve"> </w:t>
      </w:r>
      <w:r w:rsidRPr="002029AF">
        <w:t>the</w:t>
      </w:r>
      <w:r w:rsidR="000A5329" w:rsidRPr="002029AF">
        <w:t xml:space="preserve"> </w:t>
      </w:r>
      <w:r w:rsidRPr="002029AF">
        <w:t>exchange</w:t>
      </w:r>
      <w:r w:rsidR="000A5329" w:rsidRPr="002029AF">
        <w:t xml:space="preserve"> </w:t>
      </w:r>
      <w:r w:rsidRPr="002029AF">
        <w:t>of</w:t>
      </w:r>
      <w:r w:rsidR="000A5329" w:rsidRPr="002029AF">
        <w:t xml:space="preserve"> </w:t>
      </w:r>
      <w:r w:rsidRPr="002029AF">
        <w:t>a</w:t>
      </w:r>
      <w:r w:rsidR="000A5329" w:rsidRPr="002029AF">
        <w:t xml:space="preserve"> </w:t>
      </w:r>
      <w:r w:rsidRPr="002029AF">
        <w:t>fixed</w:t>
      </w:r>
      <w:r w:rsidR="000A5329" w:rsidRPr="002029AF">
        <w:t xml:space="preserve"> </w:t>
      </w:r>
      <w:r w:rsidRPr="002029AF">
        <w:t>amount</w:t>
      </w:r>
      <w:r w:rsidR="000A5329" w:rsidRPr="002029AF">
        <w:t xml:space="preserve"> </w:t>
      </w:r>
      <w:r w:rsidRPr="002029AF">
        <w:t>of</w:t>
      </w:r>
      <w:r w:rsidR="000A5329" w:rsidRPr="002029AF">
        <w:t xml:space="preserve"> </w:t>
      </w:r>
      <w:r w:rsidRPr="002029AF">
        <w:t>cash</w:t>
      </w:r>
      <w:r w:rsidR="000A5329" w:rsidRPr="002029AF">
        <w:t xml:space="preserve"> </w:t>
      </w:r>
      <w:r w:rsidRPr="002029AF">
        <w:t>or</w:t>
      </w:r>
      <w:r w:rsidR="000A5329" w:rsidRPr="002029AF">
        <w:t xml:space="preserve"> </w:t>
      </w:r>
      <w:r w:rsidRPr="002029AF">
        <w:t>another</w:t>
      </w:r>
      <w:r w:rsidR="000A5329" w:rsidRPr="002029AF">
        <w:t xml:space="preserve"> </w:t>
      </w:r>
      <w:r w:rsidRPr="002029AF">
        <w:t>financial</w:t>
      </w:r>
      <w:r w:rsidR="000A5329" w:rsidRPr="002029AF">
        <w:t xml:space="preserve"> </w:t>
      </w:r>
      <w:r w:rsidRPr="002029AF">
        <w:t>asset</w:t>
      </w:r>
      <w:r w:rsidR="000A5329" w:rsidRPr="002029AF">
        <w:t xml:space="preserve"> </w:t>
      </w:r>
      <w:r w:rsidRPr="002029AF">
        <w:t>for</w:t>
      </w:r>
      <w:r w:rsidR="000A5329" w:rsidRPr="002029AF">
        <w:t xml:space="preserve"> </w:t>
      </w:r>
      <w:r w:rsidRPr="002029AF">
        <w:t>a</w:t>
      </w:r>
      <w:r w:rsidR="000A5329" w:rsidRPr="002029AF">
        <w:t xml:space="preserve"> </w:t>
      </w:r>
      <w:r w:rsidRPr="002029AF">
        <w:t>fixed</w:t>
      </w:r>
      <w:r w:rsidR="000A5329" w:rsidRPr="002029AF">
        <w:t xml:space="preserve"> </w:t>
      </w:r>
      <w:r w:rsidRPr="002029AF">
        <w:t>number</w:t>
      </w:r>
      <w:r w:rsidR="000A5329" w:rsidRPr="002029AF">
        <w:t xml:space="preserve"> </w:t>
      </w:r>
      <w:r w:rsidRPr="002029AF">
        <w:t>of</w:t>
      </w:r>
      <w:r w:rsidR="000A5329" w:rsidRPr="002029AF">
        <w:t xml:space="preserve"> </w:t>
      </w:r>
      <w:r w:rsidRPr="002029AF">
        <w:t>the</w:t>
      </w:r>
      <w:r w:rsidR="000A5329" w:rsidRPr="002029AF">
        <w:t xml:space="preserve"> </w:t>
      </w:r>
      <w:r w:rsidRPr="002029AF">
        <w:t>entity’s</w:t>
      </w:r>
      <w:r w:rsidR="000A5329" w:rsidRPr="002029AF">
        <w:t xml:space="preserve"> </w:t>
      </w:r>
      <w:r w:rsidRPr="002029AF">
        <w:t>own</w:t>
      </w:r>
      <w:r w:rsidR="000A5329" w:rsidRPr="002029AF">
        <w:t xml:space="preserve"> </w:t>
      </w:r>
      <w:r w:rsidRPr="002029AF">
        <w:t>equity</w:t>
      </w:r>
      <w:r w:rsidR="000A5329" w:rsidRPr="002029AF">
        <w:t xml:space="preserve"> </w:t>
      </w:r>
      <w:r w:rsidRPr="002029AF">
        <w:t>instruments.</w:t>
      </w:r>
    </w:p>
    <w:p w14:paraId="5D473F85" w14:textId="4DBB4E3C" w:rsidR="00087B91" w:rsidRPr="002029AF" w:rsidRDefault="00087B91" w:rsidP="00087B91">
      <w:pPr>
        <w:pStyle w:val="ARfinbody"/>
        <w:rPr>
          <w:rStyle w:val="Strong"/>
          <w:b w:val="0"/>
          <w:bCs w:val="0"/>
        </w:rPr>
      </w:pPr>
      <w:r w:rsidRPr="002029AF">
        <w:rPr>
          <w:rStyle w:val="Strong"/>
        </w:rPr>
        <w:t>Financial</w:t>
      </w:r>
      <w:r w:rsidR="000A5329" w:rsidRPr="002029AF">
        <w:rPr>
          <w:rStyle w:val="Strong"/>
        </w:rPr>
        <w:t xml:space="preserve"> </w:t>
      </w:r>
      <w:r w:rsidRPr="002029AF">
        <w:rPr>
          <w:rStyle w:val="Strong"/>
        </w:rPr>
        <w:t>instrument</w:t>
      </w:r>
      <w:r w:rsidR="000A5329" w:rsidRPr="002029AF">
        <w:t xml:space="preserve"> </w:t>
      </w:r>
      <w:r w:rsidRPr="002029AF">
        <w:t>is</w:t>
      </w:r>
      <w:r w:rsidR="000A5329" w:rsidRPr="002029AF">
        <w:t xml:space="preserve"> </w:t>
      </w:r>
      <w:r w:rsidRPr="002029AF">
        <w:t>any</w:t>
      </w:r>
      <w:r w:rsidR="000A5329" w:rsidRPr="002029AF">
        <w:t xml:space="preserve"> </w:t>
      </w:r>
      <w:r w:rsidRPr="002029AF">
        <w:t>contract</w:t>
      </w:r>
      <w:r w:rsidR="000A5329" w:rsidRPr="002029AF">
        <w:t xml:space="preserve"> </w:t>
      </w:r>
      <w:r w:rsidRPr="002029AF">
        <w:t>that</w:t>
      </w:r>
      <w:r w:rsidR="000A5329" w:rsidRPr="002029AF">
        <w:t xml:space="preserve"> </w:t>
      </w:r>
      <w:r w:rsidRPr="002029AF">
        <w:t>gives</w:t>
      </w:r>
      <w:r w:rsidR="000A5329" w:rsidRPr="002029AF">
        <w:t xml:space="preserve"> </w:t>
      </w:r>
      <w:r w:rsidRPr="002029AF">
        <w:t>rise</w:t>
      </w:r>
      <w:r w:rsidR="000A5329" w:rsidRPr="002029AF">
        <w:t xml:space="preserve"> </w:t>
      </w:r>
      <w:r w:rsidRPr="002029AF">
        <w:t>to</w:t>
      </w:r>
      <w:r w:rsidR="000A5329" w:rsidRPr="002029AF">
        <w:t xml:space="preserve"> </w:t>
      </w:r>
      <w:r w:rsidRPr="002029AF">
        <w:t>a</w:t>
      </w:r>
      <w:r w:rsidR="000A5329" w:rsidRPr="002029AF">
        <w:t xml:space="preserve"> </w:t>
      </w:r>
      <w:r w:rsidRPr="002029AF">
        <w:t>financial</w:t>
      </w:r>
      <w:r w:rsidR="000A5329" w:rsidRPr="002029AF">
        <w:t xml:space="preserve"> </w:t>
      </w:r>
      <w:r w:rsidRPr="002029AF">
        <w:t>asset</w:t>
      </w:r>
      <w:r w:rsidR="000A5329" w:rsidRPr="002029AF">
        <w:t xml:space="preserve"> </w:t>
      </w:r>
      <w:r w:rsidRPr="002029AF">
        <w:t>of</w:t>
      </w:r>
      <w:r w:rsidR="000A5329" w:rsidRPr="002029AF">
        <w:t xml:space="preserve"> </w:t>
      </w:r>
      <w:r w:rsidRPr="002029AF">
        <w:t>one</w:t>
      </w:r>
      <w:r w:rsidR="000A5329" w:rsidRPr="002029AF">
        <w:t xml:space="preserve"> </w:t>
      </w:r>
      <w:r w:rsidRPr="002029AF">
        <w:t>entity</w:t>
      </w:r>
      <w:r w:rsidR="000A5329" w:rsidRPr="002029AF">
        <w:t xml:space="preserve"> </w:t>
      </w:r>
      <w:r w:rsidRPr="002029AF">
        <w:t>and</w:t>
      </w:r>
      <w:r w:rsidR="000A5329" w:rsidRPr="002029AF">
        <w:t xml:space="preserve"> </w:t>
      </w:r>
      <w:r w:rsidRPr="002029AF">
        <w:t>a</w:t>
      </w:r>
      <w:r w:rsidR="000A5329" w:rsidRPr="002029AF">
        <w:t xml:space="preserve"> </w:t>
      </w:r>
      <w:r w:rsidRPr="002029AF">
        <w:t>financial</w:t>
      </w:r>
      <w:r w:rsidR="000A5329" w:rsidRPr="002029AF">
        <w:t xml:space="preserve"> </w:t>
      </w:r>
      <w:r w:rsidRPr="002029AF">
        <w:t>liability</w:t>
      </w:r>
      <w:r w:rsidR="000A5329" w:rsidRPr="002029AF">
        <w:t xml:space="preserve"> </w:t>
      </w:r>
      <w:r w:rsidRPr="002029AF">
        <w:t>or</w:t>
      </w:r>
      <w:r w:rsidR="000A5329" w:rsidRPr="002029AF">
        <w:t xml:space="preserve"> </w:t>
      </w:r>
      <w:r w:rsidRPr="002029AF">
        <w:t>equity</w:t>
      </w:r>
      <w:r w:rsidR="000A5329" w:rsidRPr="002029AF">
        <w:t xml:space="preserve"> </w:t>
      </w:r>
      <w:r w:rsidRPr="002029AF">
        <w:t>instrument</w:t>
      </w:r>
      <w:r w:rsidR="000A5329" w:rsidRPr="002029AF">
        <w:t xml:space="preserve"> </w:t>
      </w:r>
      <w:r w:rsidRPr="002029AF">
        <w:t>of</w:t>
      </w:r>
      <w:r w:rsidR="000A5329" w:rsidRPr="002029AF">
        <w:t xml:space="preserve"> </w:t>
      </w:r>
      <w:r w:rsidRPr="002029AF">
        <w:t>another</w:t>
      </w:r>
      <w:r w:rsidR="000A5329" w:rsidRPr="002029AF">
        <w:t xml:space="preserve"> </w:t>
      </w:r>
      <w:r w:rsidRPr="002029AF">
        <w:t>entity.</w:t>
      </w:r>
    </w:p>
    <w:p w14:paraId="115CC5AF" w14:textId="4BEF1C9C" w:rsidR="00087B91" w:rsidRPr="002029AF" w:rsidRDefault="00087B91" w:rsidP="00087B91">
      <w:pPr>
        <w:pStyle w:val="ARfinbody"/>
      </w:pPr>
      <w:r w:rsidRPr="002029AF">
        <w:rPr>
          <w:rStyle w:val="Strong"/>
        </w:rPr>
        <w:t>Financial</w:t>
      </w:r>
      <w:r w:rsidR="000A5329" w:rsidRPr="002029AF">
        <w:rPr>
          <w:rStyle w:val="Strong"/>
        </w:rPr>
        <w:t xml:space="preserve"> </w:t>
      </w:r>
      <w:r w:rsidRPr="002029AF">
        <w:rPr>
          <w:rStyle w:val="Strong"/>
        </w:rPr>
        <w:t>liability</w:t>
      </w:r>
      <w:r w:rsidR="000A5329" w:rsidRPr="002029AF">
        <w:t xml:space="preserve"> </w:t>
      </w:r>
      <w:r w:rsidRPr="002029AF">
        <w:t>is</w:t>
      </w:r>
      <w:r w:rsidR="000A5329" w:rsidRPr="002029AF">
        <w:t xml:space="preserve"> </w:t>
      </w:r>
      <w:r w:rsidRPr="002029AF">
        <w:t>any</w:t>
      </w:r>
      <w:r w:rsidR="000A5329" w:rsidRPr="002029AF">
        <w:t xml:space="preserve"> </w:t>
      </w:r>
      <w:r w:rsidRPr="002029AF">
        <w:t>liability</w:t>
      </w:r>
      <w:r w:rsidR="000A5329" w:rsidRPr="002029AF">
        <w:t xml:space="preserve"> </w:t>
      </w:r>
      <w:r w:rsidRPr="002029AF">
        <w:t>that</w:t>
      </w:r>
      <w:r w:rsidR="000A5329" w:rsidRPr="002029AF">
        <w:t xml:space="preserve"> </w:t>
      </w:r>
      <w:r w:rsidRPr="002029AF">
        <w:t>is:</w:t>
      </w:r>
    </w:p>
    <w:p w14:paraId="2F18816C" w14:textId="626CF28B" w:rsidR="00087B91" w:rsidRPr="002029AF" w:rsidRDefault="00087B91" w:rsidP="00FF3CAB">
      <w:pPr>
        <w:pStyle w:val="ARfinnumberalpha1"/>
        <w:numPr>
          <w:ilvl w:val="0"/>
          <w:numId w:val="15"/>
        </w:numPr>
        <w:ind w:left="284" w:hanging="284"/>
      </w:pPr>
      <w:r w:rsidRPr="002029AF">
        <w:t>a</w:t>
      </w:r>
      <w:r w:rsidR="000A5329" w:rsidRPr="002029AF">
        <w:t xml:space="preserve"> </w:t>
      </w:r>
      <w:r w:rsidRPr="002029AF">
        <w:t>contractual</w:t>
      </w:r>
      <w:r w:rsidR="000A5329" w:rsidRPr="002029AF">
        <w:t xml:space="preserve"> </w:t>
      </w:r>
      <w:r w:rsidRPr="002029AF">
        <w:t>or</w:t>
      </w:r>
      <w:r w:rsidR="000A5329" w:rsidRPr="002029AF">
        <w:t xml:space="preserve"> </w:t>
      </w:r>
      <w:r w:rsidRPr="002029AF">
        <w:t>statutory</w:t>
      </w:r>
      <w:r w:rsidR="000A5329" w:rsidRPr="002029AF">
        <w:t xml:space="preserve"> </w:t>
      </w:r>
      <w:r w:rsidRPr="002029AF">
        <w:t>obligation:</w:t>
      </w:r>
    </w:p>
    <w:p w14:paraId="5A29E493" w14:textId="03366A2F" w:rsidR="00087B91" w:rsidRPr="002029AF" w:rsidRDefault="00087B91" w:rsidP="00FF3CAB">
      <w:pPr>
        <w:pStyle w:val="ARfinnumberroman2"/>
        <w:numPr>
          <w:ilvl w:val="1"/>
          <w:numId w:val="14"/>
        </w:numPr>
      </w:pPr>
      <w:r w:rsidRPr="002029AF">
        <w:t>to</w:t>
      </w:r>
      <w:r w:rsidR="000A5329" w:rsidRPr="002029AF">
        <w:t xml:space="preserve"> </w:t>
      </w:r>
      <w:r w:rsidRPr="002029AF">
        <w:t>deliver</w:t>
      </w:r>
      <w:r w:rsidR="000A5329" w:rsidRPr="002029AF">
        <w:t xml:space="preserve"> </w:t>
      </w:r>
      <w:r w:rsidRPr="002029AF">
        <w:t>cash</w:t>
      </w:r>
      <w:r w:rsidR="000A5329" w:rsidRPr="002029AF">
        <w:t xml:space="preserve"> </w:t>
      </w:r>
      <w:r w:rsidRPr="002029AF">
        <w:t>or</w:t>
      </w:r>
      <w:r w:rsidR="000A5329" w:rsidRPr="002029AF">
        <w:t xml:space="preserve"> </w:t>
      </w:r>
      <w:r w:rsidRPr="002029AF">
        <w:t>another</w:t>
      </w:r>
      <w:r w:rsidR="000A5329" w:rsidRPr="002029AF">
        <w:t xml:space="preserve"> </w:t>
      </w:r>
      <w:r w:rsidRPr="002029AF">
        <w:t>financial</w:t>
      </w:r>
      <w:r w:rsidR="000A5329" w:rsidRPr="002029AF">
        <w:t xml:space="preserve"> </w:t>
      </w:r>
      <w:r w:rsidRPr="002029AF">
        <w:t>asset</w:t>
      </w:r>
      <w:r w:rsidR="000A5329" w:rsidRPr="002029AF">
        <w:t xml:space="preserve"> </w:t>
      </w:r>
      <w:r w:rsidRPr="002029AF">
        <w:t>to</w:t>
      </w:r>
      <w:r w:rsidR="000A5329" w:rsidRPr="002029AF">
        <w:t xml:space="preserve"> </w:t>
      </w:r>
      <w:r w:rsidRPr="002029AF">
        <w:t>another</w:t>
      </w:r>
      <w:r w:rsidR="000A5329" w:rsidRPr="002029AF">
        <w:t xml:space="preserve"> </w:t>
      </w:r>
      <w:r w:rsidRPr="002029AF">
        <w:t>entity,</w:t>
      </w:r>
      <w:r w:rsidR="000A5329" w:rsidRPr="002029AF">
        <w:t xml:space="preserve"> </w:t>
      </w:r>
      <w:r w:rsidRPr="002029AF">
        <w:t>or</w:t>
      </w:r>
    </w:p>
    <w:p w14:paraId="1432BB2A" w14:textId="03DAA7F1" w:rsidR="00087B91" w:rsidRPr="002029AF" w:rsidRDefault="00087B91" w:rsidP="00FF3CAB">
      <w:pPr>
        <w:pStyle w:val="ARfinnumberroman2"/>
        <w:numPr>
          <w:ilvl w:val="1"/>
          <w:numId w:val="14"/>
        </w:numPr>
      </w:pPr>
      <w:r w:rsidRPr="002029AF">
        <w:t>to</w:t>
      </w:r>
      <w:r w:rsidR="000A5329" w:rsidRPr="002029AF">
        <w:t xml:space="preserve"> </w:t>
      </w:r>
      <w:r w:rsidRPr="002029AF">
        <w:t>exchange</w:t>
      </w:r>
      <w:r w:rsidR="000A5329" w:rsidRPr="002029AF">
        <w:t xml:space="preserve"> </w:t>
      </w:r>
      <w:r w:rsidRPr="002029AF">
        <w:t>financial</w:t>
      </w:r>
      <w:r w:rsidR="000A5329" w:rsidRPr="002029AF">
        <w:t xml:space="preserve"> </w:t>
      </w:r>
      <w:r w:rsidRPr="002029AF">
        <w:t>assets</w:t>
      </w:r>
      <w:r w:rsidR="000A5329" w:rsidRPr="002029AF">
        <w:t xml:space="preserve"> </w:t>
      </w:r>
      <w:r w:rsidRPr="002029AF">
        <w:t>or</w:t>
      </w:r>
      <w:r w:rsidR="000A5329" w:rsidRPr="002029AF">
        <w:t xml:space="preserve"> </w:t>
      </w:r>
      <w:r w:rsidRPr="002029AF">
        <w:t>financial</w:t>
      </w:r>
      <w:r w:rsidR="000A5329" w:rsidRPr="002029AF">
        <w:t xml:space="preserve"> </w:t>
      </w:r>
      <w:r w:rsidRPr="002029AF">
        <w:t>liabilities</w:t>
      </w:r>
      <w:r w:rsidR="000A5329" w:rsidRPr="002029AF">
        <w:t xml:space="preserve"> </w:t>
      </w:r>
      <w:r w:rsidRPr="002029AF">
        <w:t>with</w:t>
      </w:r>
      <w:r w:rsidR="000A5329" w:rsidRPr="002029AF">
        <w:t xml:space="preserve"> </w:t>
      </w:r>
      <w:r w:rsidRPr="002029AF">
        <w:t>another</w:t>
      </w:r>
      <w:r w:rsidR="000A5329" w:rsidRPr="002029AF">
        <w:t xml:space="preserve"> </w:t>
      </w:r>
      <w:r w:rsidRPr="002029AF">
        <w:t>entity</w:t>
      </w:r>
      <w:r w:rsidR="000A5329" w:rsidRPr="002029AF">
        <w:t xml:space="preserve"> </w:t>
      </w:r>
      <w:r w:rsidRPr="002029AF">
        <w:t>under</w:t>
      </w:r>
      <w:r w:rsidR="000A5329" w:rsidRPr="002029AF">
        <w:t xml:space="preserve"> </w:t>
      </w:r>
      <w:r w:rsidRPr="002029AF">
        <w:t>conditions</w:t>
      </w:r>
      <w:r w:rsidR="000A5329" w:rsidRPr="002029AF">
        <w:t xml:space="preserve"> </w:t>
      </w:r>
      <w:r w:rsidRPr="002029AF">
        <w:t>that</w:t>
      </w:r>
      <w:r w:rsidR="000A5329" w:rsidRPr="002029AF">
        <w:t xml:space="preserve"> </w:t>
      </w:r>
      <w:r w:rsidRPr="002029AF">
        <w:t>are</w:t>
      </w:r>
      <w:r w:rsidR="000A5329" w:rsidRPr="002029AF">
        <w:t xml:space="preserve"> </w:t>
      </w:r>
      <w:r w:rsidRPr="002029AF">
        <w:t>potentially</w:t>
      </w:r>
      <w:r w:rsidR="000A5329" w:rsidRPr="002029AF">
        <w:t xml:space="preserve"> </w:t>
      </w:r>
      <w:r w:rsidRPr="002029AF">
        <w:t>unfavourable</w:t>
      </w:r>
      <w:r w:rsidR="000A5329" w:rsidRPr="002029AF">
        <w:t xml:space="preserve"> </w:t>
      </w:r>
      <w:r w:rsidRPr="002029AF">
        <w:t>to</w:t>
      </w:r>
      <w:r w:rsidR="000A5329" w:rsidRPr="002029AF">
        <w:t xml:space="preserve"> </w:t>
      </w:r>
      <w:r w:rsidRPr="002029AF">
        <w:t>the</w:t>
      </w:r>
      <w:r w:rsidR="000A5329" w:rsidRPr="002029AF">
        <w:t xml:space="preserve"> </w:t>
      </w:r>
      <w:r w:rsidRPr="002029AF">
        <w:t>entity,</w:t>
      </w:r>
      <w:r w:rsidR="000A5329" w:rsidRPr="002029AF">
        <w:t xml:space="preserve"> </w:t>
      </w:r>
      <w:r w:rsidRPr="002029AF">
        <w:t>or</w:t>
      </w:r>
    </w:p>
    <w:p w14:paraId="7942F2FA" w14:textId="06E433AA" w:rsidR="00087B91" w:rsidRPr="002029AF" w:rsidRDefault="00087B91" w:rsidP="00FF3CAB">
      <w:pPr>
        <w:pStyle w:val="ARfinnumberalpha1"/>
        <w:numPr>
          <w:ilvl w:val="0"/>
          <w:numId w:val="15"/>
        </w:numPr>
        <w:ind w:left="284" w:hanging="284"/>
      </w:pPr>
      <w:r w:rsidRPr="002029AF">
        <w:t>a</w:t>
      </w:r>
      <w:r w:rsidR="000A5329" w:rsidRPr="002029AF">
        <w:t xml:space="preserve"> </w:t>
      </w:r>
      <w:r w:rsidRPr="002029AF">
        <w:t>contract</w:t>
      </w:r>
      <w:r w:rsidR="000A5329" w:rsidRPr="002029AF">
        <w:t xml:space="preserve"> </w:t>
      </w:r>
      <w:r w:rsidRPr="002029AF">
        <w:t>that</w:t>
      </w:r>
      <w:r w:rsidR="000A5329" w:rsidRPr="002029AF">
        <w:t xml:space="preserve"> </w:t>
      </w:r>
      <w:r w:rsidRPr="002029AF">
        <w:t>will</w:t>
      </w:r>
      <w:r w:rsidR="000A5329" w:rsidRPr="002029AF">
        <w:t xml:space="preserve"> </w:t>
      </w:r>
      <w:r w:rsidRPr="002029AF">
        <w:t>or</w:t>
      </w:r>
      <w:r w:rsidR="000A5329" w:rsidRPr="002029AF">
        <w:t xml:space="preserve"> </w:t>
      </w:r>
      <w:r w:rsidRPr="002029AF">
        <w:t>may</w:t>
      </w:r>
      <w:r w:rsidR="000A5329" w:rsidRPr="002029AF">
        <w:t xml:space="preserve"> </w:t>
      </w:r>
      <w:r w:rsidRPr="002029AF">
        <w:t>be</w:t>
      </w:r>
      <w:r w:rsidR="000A5329" w:rsidRPr="002029AF">
        <w:t xml:space="preserve"> </w:t>
      </w:r>
      <w:r w:rsidRPr="002029AF">
        <w:t>settled</w:t>
      </w:r>
      <w:r w:rsidR="000A5329" w:rsidRPr="002029AF">
        <w:t xml:space="preserve"> </w:t>
      </w:r>
      <w:r w:rsidRPr="002029AF">
        <w:t>in</w:t>
      </w:r>
      <w:r w:rsidR="000A5329" w:rsidRPr="002029AF">
        <w:t xml:space="preserve"> </w:t>
      </w:r>
      <w:r w:rsidRPr="002029AF">
        <w:t>the</w:t>
      </w:r>
      <w:r w:rsidR="000A5329" w:rsidRPr="002029AF">
        <w:t xml:space="preserve"> </w:t>
      </w:r>
      <w:r w:rsidRPr="002029AF">
        <w:t>entity’s</w:t>
      </w:r>
      <w:r w:rsidR="000A5329" w:rsidRPr="002029AF">
        <w:t xml:space="preserve"> </w:t>
      </w:r>
      <w:r w:rsidRPr="002029AF">
        <w:t>own</w:t>
      </w:r>
      <w:r w:rsidR="000A5329" w:rsidRPr="002029AF">
        <w:t xml:space="preserve"> </w:t>
      </w:r>
      <w:r w:rsidRPr="002029AF">
        <w:t>equity</w:t>
      </w:r>
      <w:r w:rsidR="000A5329" w:rsidRPr="002029AF">
        <w:t xml:space="preserve"> </w:t>
      </w:r>
      <w:r w:rsidRPr="002029AF">
        <w:t>instruments</w:t>
      </w:r>
      <w:r w:rsidR="000A5329" w:rsidRPr="002029AF">
        <w:t xml:space="preserve"> </w:t>
      </w:r>
      <w:r w:rsidRPr="002029AF">
        <w:t>and</w:t>
      </w:r>
      <w:r w:rsidR="000A5329" w:rsidRPr="002029AF">
        <w:t xml:space="preserve"> </w:t>
      </w:r>
      <w:r w:rsidRPr="002029AF">
        <w:t>is:</w:t>
      </w:r>
    </w:p>
    <w:p w14:paraId="18704DEB" w14:textId="741AC3B7" w:rsidR="00087B91" w:rsidRPr="002029AF" w:rsidRDefault="00087B91" w:rsidP="00087B91">
      <w:pPr>
        <w:pStyle w:val="ARfinnumberroman2"/>
      </w:pPr>
      <w:r w:rsidRPr="002029AF">
        <w:t>a</w:t>
      </w:r>
      <w:r w:rsidR="000A5329" w:rsidRPr="002029AF">
        <w:t xml:space="preserve"> </w:t>
      </w:r>
      <w:r w:rsidRPr="002029AF">
        <w:t>non-derivative</w:t>
      </w:r>
      <w:r w:rsidR="000A5329" w:rsidRPr="002029AF">
        <w:t xml:space="preserve"> </w:t>
      </w:r>
      <w:r w:rsidRPr="002029AF">
        <w:t>for</w:t>
      </w:r>
      <w:r w:rsidR="000A5329" w:rsidRPr="002029AF">
        <w:t xml:space="preserve"> </w:t>
      </w:r>
      <w:r w:rsidRPr="002029AF">
        <w:t>which</w:t>
      </w:r>
      <w:r w:rsidR="000A5329" w:rsidRPr="002029AF">
        <w:t xml:space="preserve"> </w:t>
      </w:r>
      <w:r w:rsidRPr="002029AF">
        <w:t>the</w:t>
      </w:r>
      <w:r w:rsidR="000A5329" w:rsidRPr="002029AF">
        <w:t xml:space="preserve"> </w:t>
      </w:r>
      <w:r w:rsidRPr="002029AF">
        <w:t>entity</w:t>
      </w:r>
      <w:r w:rsidR="000A5329" w:rsidRPr="002029AF">
        <w:t xml:space="preserve"> </w:t>
      </w:r>
      <w:r w:rsidRPr="002029AF">
        <w:t>is</w:t>
      </w:r>
      <w:r w:rsidR="000A5329" w:rsidRPr="002029AF">
        <w:t xml:space="preserve"> </w:t>
      </w:r>
      <w:r w:rsidRPr="002029AF">
        <w:t>or</w:t>
      </w:r>
      <w:r w:rsidR="000A5329" w:rsidRPr="002029AF">
        <w:t xml:space="preserve"> </w:t>
      </w:r>
      <w:r w:rsidRPr="002029AF">
        <w:t>may</w:t>
      </w:r>
      <w:r w:rsidR="000A5329" w:rsidRPr="002029AF">
        <w:t xml:space="preserve"> </w:t>
      </w:r>
      <w:r w:rsidRPr="002029AF">
        <w:t>be</w:t>
      </w:r>
      <w:r w:rsidR="000A5329" w:rsidRPr="002029AF">
        <w:t xml:space="preserve"> </w:t>
      </w:r>
      <w:r w:rsidRPr="002029AF">
        <w:t>obliged</w:t>
      </w:r>
      <w:r w:rsidR="000A5329" w:rsidRPr="002029AF">
        <w:t xml:space="preserve"> </w:t>
      </w:r>
      <w:r w:rsidRPr="002029AF">
        <w:t>to</w:t>
      </w:r>
      <w:r w:rsidR="000A5329" w:rsidRPr="002029AF">
        <w:t xml:space="preserve"> </w:t>
      </w:r>
      <w:r w:rsidRPr="002029AF">
        <w:t>deliver</w:t>
      </w:r>
      <w:r w:rsidR="000A5329" w:rsidRPr="002029AF">
        <w:t xml:space="preserve"> </w:t>
      </w:r>
      <w:r w:rsidRPr="002029AF">
        <w:t>a</w:t>
      </w:r>
      <w:r w:rsidR="000A5329" w:rsidRPr="002029AF">
        <w:t xml:space="preserve"> </w:t>
      </w:r>
      <w:r w:rsidRPr="002029AF">
        <w:t>variable</w:t>
      </w:r>
      <w:r w:rsidR="000A5329" w:rsidRPr="002029AF">
        <w:t xml:space="preserve"> </w:t>
      </w:r>
      <w:r w:rsidRPr="002029AF">
        <w:t>number</w:t>
      </w:r>
      <w:r w:rsidR="000A5329" w:rsidRPr="002029AF">
        <w:t xml:space="preserve"> </w:t>
      </w:r>
      <w:r w:rsidRPr="002029AF">
        <w:t>of</w:t>
      </w:r>
      <w:r w:rsidR="000A5329" w:rsidRPr="002029AF">
        <w:t xml:space="preserve"> </w:t>
      </w:r>
      <w:r w:rsidRPr="002029AF">
        <w:t>the</w:t>
      </w:r>
      <w:r w:rsidR="000A5329" w:rsidRPr="002029AF">
        <w:t xml:space="preserve"> </w:t>
      </w:r>
      <w:r w:rsidRPr="002029AF">
        <w:t>entity’s</w:t>
      </w:r>
      <w:r w:rsidR="000A5329" w:rsidRPr="002029AF">
        <w:t xml:space="preserve"> </w:t>
      </w:r>
      <w:r w:rsidRPr="002029AF">
        <w:t>own</w:t>
      </w:r>
      <w:r w:rsidR="000A5329" w:rsidRPr="002029AF">
        <w:t xml:space="preserve"> </w:t>
      </w:r>
      <w:r w:rsidRPr="002029AF">
        <w:t>equity</w:t>
      </w:r>
      <w:r w:rsidR="000A5329" w:rsidRPr="002029AF">
        <w:t xml:space="preserve"> </w:t>
      </w:r>
      <w:r w:rsidRPr="002029AF">
        <w:t>instruments,</w:t>
      </w:r>
      <w:r w:rsidR="000A5329" w:rsidRPr="002029AF">
        <w:t xml:space="preserve"> </w:t>
      </w:r>
      <w:r w:rsidRPr="002029AF">
        <w:t>or</w:t>
      </w:r>
    </w:p>
    <w:p w14:paraId="2769F5D5" w14:textId="777C47F2" w:rsidR="00087B91" w:rsidRPr="002029AF" w:rsidRDefault="00087B91" w:rsidP="00FF3CAB">
      <w:pPr>
        <w:pStyle w:val="ARfinnumberroman2"/>
        <w:numPr>
          <w:ilvl w:val="1"/>
          <w:numId w:val="14"/>
        </w:numPr>
      </w:pPr>
      <w:r w:rsidRPr="002029AF">
        <w:t>a</w:t>
      </w:r>
      <w:r w:rsidR="000A5329" w:rsidRPr="002029AF">
        <w:t xml:space="preserve"> </w:t>
      </w:r>
      <w:r w:rsidRPr="002029AF">
        <w:t>derivative</w:t>
      </w:r>
      <w:r w:rsidR="000A5329" w:rsidRPr="002029AF">
        <w:t xml:space="preserve"> </w:t>
      </w:r>
      <w:r w:rsidRPr="002029AF">
        <w:t>that</w:t>
      </w:r>
      <w:r w:rsidR="000A5329" w:rsidRPr="002029AF">
        <w:t xml:space="preserve"> </w:t>
      </w:r>
      <w:r w:rsidRPr="002029AF">
        <w:t>will</w:t>
      </w:r>
      <w:r w:rsidR="000A5329" w:rsidRPr="002029AF">
        <w:t xml:space="preserve"> </w:t>
      </w:r>
      <w:r w:rsidRPr="002029AF">
        <w:t>or</w:t>
      </w:r>
      <w:r w:rsidR="000A5329" w:rsidRPr="002029AF">
        <w:t xml:space="preserve"> </w:t>
      </w:r>
      <w:r w:rsidRPr="002029AF">
        <w:t>may</w:t>
      </w:r>
      <w:r w:rsidR="000A5329" w:rsidRPr="002029AF">
        <w:t xml:space="preserve"> </w:t>
      </w:r>
      <w:r w:rsidRPr="002029AF">
        <w:t>be</w:t>
      </w:r>
      <w:r w:rsidR="000A5329" w:rsidRPr="002029AF">
        <w:t xml:space="preserve"> </w:t>
      </w:r>
      <w:r w:rsidRPr="002029AF">
        <w:t>settled</w:t>
      </w:r>
      <w:r w:rsidR="000A5329" w:rsidRPr="002029AF">
        <w:t xml:space="preserve"> </w:t>
      </w:r>
      <w:r w:rsidRPr="002029AF">
        <w:t>other</w:t>
      </w:r>
      <w:r w:rsidR="000A5329" w:rsidRPr="002029AF">
        <w:t xml:space="preserve"> </w:t>
      </w:r>
      <w:r w:rsidRPr="002029AF">
        <w:t>than</w:t>
      </w:r>
      <w:r w:rsidR="000A5329" w:rsidRPr="002029AF">
        <w:t xml:space="preserve"> </w:t>
      </w:r>
      <w:r w:rsidRPr="002029AF">
        <w:t>by</w:t>
      </w:r>
      <w:r w:rsidR="000A5329" w:rsidRPr="002029AF">
        <w:t xml:space="preserve"> </w:t>
      </w:r>
      <w:r w:rsidRPr="002029AF">
        <w:t>the</w:t>
      </w:r>
      <w:r w:rsidR="000A5329" w:rsidRPr="002029AF">
        <w:t xml:space="preserve"> </w:t>
      </w:r>
      <w:r w:rsidRPr="002029AF">
        <w:t>exchange</w:t>
      </w:r>
      <w:r w:rsidR="000A5329" w:rsidRPr="002029AF">
        <w:t xml:space="preserve"> </w:t>
      </w:r>
      <w:r w:rsidRPr="002029AF">
        <w:t>of</w:t>
      </w:r>
      <w:r w:rsidR="000A5329" w:rsidRPr="002029AF">
        <w:t xml:space="preserve"> </w:t>
      </w:r>
      <w:r w:rsidRPr="002029AF">
        <w:t>a</w:t>
      </w:r>
      <w:r w:rsidR="000A5329" w:rsidRPr="002029AF">
        <w:t xml:space="preserve"> </w:t>
      </w:r>
      <w:r w:rsidRPr="002029AF">
        <w:t>fixed</w:t>
      </w:r>
      <w:r w:rsidR="000A5329" w:rsidRPr="002029AF">
        <w:t xml:space="preserve"> </w:t>
      </w:r>
      <w:r w:rsidRPr="002029AF">
        <w:t>amount</w:t>
      </w:r>
      <w:r w:rsidR="000A5329" w:rsidRPr="002029AF">
        <w:t xml:space="preserve"> </w:t>
      </w:r>
      <w:r w:rsidRPr="002029AF">
        <w:t>of</w:t>
      </w:r>
      <w:r w:rsidR="000A5329" w:rsidRPr="002029AF">
        <w:t xml:space="preserve"> </w:t>
      </w:r>
      <w:r w:rsidRPr="002029AF">
        <w:t>cash</w:t>
      </w:r>
      <w:r w:rsidR="000A5329" w:rsidRPr="002029AF">
        <w:t xml:space="preserve"> </w:t>
      </w:r>
      <w:r w:rsidRPr="002029AF">
        <w:t>or</w:t>
      </w:r>
      <w:r w:rsidR="000A5329" w:rsidRPr="002029AF">
        <w:t xml:space="preserve"> </w:t>
      </w:r>
      <w:r w:rsidRPr="002029AF">
        <w:t>another</w:t>
      </w:r>
      <w:r w:rsidR="000A5329" w:rsidRPr="002029AF">
        <w:t xml:space="preserve"> </w:t>
      </w:r>
      <w:r w:rsidRPr="002029AF">
        <w:t>financial</w:t>
      </w:r>
      <w:r w:rsidR="000A5329" w:rsidRPr="002029AF">
        <w:t xml:space="preserve"> </w:t>
      </w:r>
      <w:r w:rsidRPr="002029AF">
        <w:t>asset</w:t>
      </w:r>
      <w:r w:rsidR="000A5329" w:rsidRPr="002029AF">
        <w:t xml:space="preserve"> </w:t>
      </w:r>
      <w:r w:rsidRPr="002029AF">
        <w:t>for</w:t>
      </w:r>
      <w:r w:rsidR="000A5329" w:rsidRPr="002029AF">
        <w:t xml:space="preserve"> </w:t>
      </w:r>
      <w:r w:rsidRPr="002029AF">
        <w:t>a</w:t>
      </w:r>
      <w:r w:rsidR="000A5329" w:rsidRPr="002029AF">
        <w:t xml:space="preserve"> </w:t>
      </w:r>
      <w:r w:rsidRPr="002029AF">
        <w:t>fixed</w:t>
      </w:r>
      <w:r w:rsidR="000A5329" w:rsidRPr="002029AF">
        <w:t xml:space="preserve"> </w:t>
      </w:r>
      <w:r w:rsidRPr="002029AF">
        <w:t>number</w:t>
      </w:r>
      <w:r w:rsidR="000A5329" w:rsidRPr="002029AF">
        <w:t xml:space="preserve"> </w:t>
      </w:r>
      <w:r w:rsidRPr="002029AF">
        <w:t>of</w:t>
      </w:r>
      <w:r w:rsidR="000A5329" w:rsidRPr="002029AF">
        <w:t xml:space="preserve"> </w:t>
      </w:r>
      <w:r w:rsidRPr="002029AF">
        <w:t>the</w:t>
      </w:r>
      <w:r w:rsidR="000A5329" w:rsidRPr="002029AF">
        <w:t xml:space="preserve"> </w:t>
      </w:r>
      <w:r w:rsidRPr="002029AF">
        <w:t>entity’s</w:t>
      </w:r>
      <w:r w:rsidR="000A5329" w:rsidRPr="002029AF">
        <w:t xml:space="preserve"> </w:t>
      </w:r>
      <w:r w:rsidRPr="002029AF">
        <w:t>own</w:t>
      </w:r>
      <w:r w:rsidR="000A5329" w:rsidRPr="002029AF">
        <w:t xml:space="preserve"> </w:t>
      </w:r>
      <w:r w:rsidRPr="002029AF">
        <w:t>equity</w:t>
      </w:r>
      <w:r w:rsidR="000A5329" w:rsidRPr="002029AF">
        <w:t xml:space="preserve"> </w:t>
      </w:r>
      <w:r w:rsidRPr="002029AF">
        <w:t>instruments.</w:t>
      </w:r>
      <w:r w:rsidR="000A5329" w:rsidRPr="002029AF">
        <w:t xml:space="preserve"> </w:t>
      </w:r>
      <w:r w:rsidRPr="002029AF">
        <w:t>For</w:t>
      </w:r>
      <w:r w:rsidR="000A5329" w:rsidRPr="002029AF">
        <w:t xml:space="preserve"> </w:t>
      </w:r>
      <w:r w:rsidRPr="002029AF">
        <w:t>this</w:t>
      </w:r>
      <w:r w:rsidR="000A5329" w:rsidRPr="002029AF">
        <w:t xml:space="preserve"> </w:t>
      </w:r>
      <w:r w:rsidR="0046320F" w:rsidRPr="002029AF">
        <w:t>purpose,</w:t>
      </w:r>
      <w:r w:rsidR="000A5329" w:rsidRPr="002029AF">
        <w:t xml:space="preserve"> </w:t>
      </w:r>
      <w:r w:rsidRPr="002029AF">
        <w:t>the</w:t>
      </w:r>
      <w:r w:rsidR="000A5329" w:rsidRPr="002029AF">
        <w:t xml:space="preserve"> </w:t>
      </w:r>
      <w:r w:rsidRPr="002029AF">
        <w:t>entity’s</w:t>
      </w:r>
      <w:r w:rsidR="000A5329" w:rsidRPr="002029AF">
        <w:t xml:space="preserve"> </w:t>
      </w:r>
      <w:r w:rsidRPr="002029AF">
        <w:t>own</w:t>
      </w:r>
      <w:r w:rsidR="000A5329" w:rsidRPr="002029AF">
        <w:t xml:space="preserve"> </w:t>
      </w:r>
      <w:r w:rsidRPr="002029AF">
        <w:t>equity</w:t>
      </w:r>
      <w:r w:rsidR="000A5329" w:rsidRPr="002029AF">
        <w:t xml:space="preserve"> </w:t>
      </w:r>
      <w:r w:rsidRPr="002029AF">
        <w:t>instruments</w:t>
      </w:r>
      <w:r w:rsidR="000A5329" w:rsidRPr="002029AF">
        <w:t xml:space="preserve"> </w:t>
      </w:r>
      <w:r w:rsidRPr="002029AF">
        <w:t>do</w:t>
      </w:r>
      <w:r w:rsidR="000A5329" w:rsidRPr="002029AF">
        <w:t xml:space="preserve"> </w:t>
      </w:r>
      <w:r w:rsidRPr="002029AF">
        <w:t>not</w:t>
      </w:r>
      <w:r w:rsidR="000A5329" w:rsidRPr="002029AF">
        <w:t xml:space="preserve"> </w:t>
      </w:r>
      <w:r w:rsidRPr="002029AF">
        <w:t>include</w:t>
      </w:r>
      <w:r w:rsidR="000A5329" w:rsidRPr="002029AF">
        <w:t xml:space="preserve"> </w:t>
      </w:r>
      <w:r w:rsidRPr="002029AF">
        <w:t>instruments</w:t>
      </w:r>
      <w:r w:rsidR="000A5329" w:rsidRPr="002029AF">
        <w:t xml:space="preserve"> </w:t>
      </w:r>
      <w:r w:rsidRPr="002029AF">
        <w:t>that</w:t>
      </w:r>
      <w:r w:rsidR="000A5329" w:rsidRPr="002029AF">
        <w:t xml:space="preserve"> </w:t>
      </w:r>
      <w:r w:rsidRPr="002029AF">
        <w:t>are</w:t>
      </w:r>
      <w:r w:rsidR="000A5329" w:rsidRPr="002029AF">
        <w:t xml:space="preserve"> </w:t>
      </w:r>
      <w:r w:rsidRPr="002029AF">
        <w:t>themselves</w:t>
      </w:r>
      <w:r w:rsidR="000A5329" w:rsidRPr="002029AF">
        <w:t xml:space="preserve"> </w:t>
      </w:r>
      <w:r w:rsidRPr="002029AF">
        <w:t>contracts</w:t>
      </w:r>
      <w:r w:rsidR="000A5329" w:rsidRPr="002029AF">
        <w:t xml:space="preserve"> </w:t>
      </w:r>
      <w:r w:rsidRPr="002029AF">
        <w:t>for</w:t>
      </w:r>
      <w:r w:rsidR="000A5329" w:rsidRPr="002029AF">
        <w:t xml:space="preserve"> </w:t>
      </w:r>
      <w:r w:rsidRPr="002029AF">
        <w:t>the</w:t>
      </w:r>
      <w:r w:rsidR="000A5329" w:rsidRPr="002029AF">
        <w:t xml:space="preserve"> </w:t>
      </w:r>
      <w:r w:rsidRPr="002029AF">
        <w:t>future</w:t>
      </w:r>
      <w:r w:rsidR="000A5329" w:rsidRPr="002029AF">
        <w:t xml:space="preserve"> </w:t>
      </w:r>
      <w:r w:rsidRPr="002029AF">
        <w:t>receipt</w:t>
      </w:r>
      <w:r w:rsidR="000A5329" w:rsidRPr="002029AF">
        <w:t xml:space="preserve"> </w:t>
      </w:r>
      <w:r w:rsidRPr="002029AF">
        <w:t>or</w:t>
      </w:r>
      <w:r w:rsidR="000A5329" w:rsidRPr="002029AF">
        <w:t xml:space="preserve"> </w:t>
      </w:r>
      <w:r w:rsidRPr="002029AF">
        <w:t>delivery</w:t>
      </w:r>
      <w:r w:rsidR="000A5329" w:rsidRPr="002029AF">
        <w:t xml:space="preserve"> </w:t>
      </w:r>
      <w:r w:rsidRPr="002029AF">
        <w:t>of</w:t>
      </w:r>
      <w:r w:rsidR="000A5329" w:rsidRPr="002029AF">
        <w:t xml:space="preserve"> </w:t>
      </w:r>
      <w:r w:rsidRPr="002029AF">
        <w:t>the</w:t>
      </w:r>
      <w:r w:rsidR="000A5329" w:rsidRPr="002029AF">
        <w:t xml:space="preserve"> </w:t>
      </w:r>
      <w:r w:rsidRPr="002029AF">
        <w:t>entity’s</w:t>
      </w:r>
      <w:r w:rsidR="000A5329" w:rsidRPr="002029AF">
        <w:t xml:space="preserve"> </w:t>
      </w:r>
      <w:r w:rsidRPr="002029AF">
        <w:t>own</w:t>
      </w:r>
      <w:r w:rsidR="000A5329" w:rsidRPr="002029AF">
        <w:t xml:space="preserve"> </w:t>
      </w:r>
      <w:r w:rsidRPr="002029AF">
        <w:t>equity</w:t>
      </w:r>
      <w:r w:rsidR="000A5329" w:rsidRPr="002029AF">
        <w:t xml:space="preserve"> </w:t>
      </w:r>
      <w:r w:rsidRPr="002029AF">
        <w:t>instruments.</w:t>
      </w:r>
    </w:p>
    <w:p w14:paraId="2708AE78" w14:textId="74032BF1" w:rsidR="00087B91" w:rsidRPr="002029AF" w:rsidRDefault="00087B91" w:rsidP="00087B91">
      <w:pPr>
        <w:pStyle w:val="ARfinbody"/>
      </w:pPr>
      <w:r w:rsidRPr="002029AF">
        <w:rPr>
          <w:rStyle w:val="Strong"/>
        </w:rPr>
        <w:t>Financial</w:t>
      </w:r>
      <w:r w:rsidR="000A5329" w:rsidRPr="002029AF">
        <w:rPr>
          <w:rStyle w:val="Strong"/>
        </w:rPr>
        <w:t xml:space="preserve"> </w:t>
      </w:r>
      <w:r w:rsidRPr="002029AF">
        <w:rPr>
          <w:rStyle w:val="Strong"/>
        </w:rPr>
        <w:t>statements</w:t>
      </w:r>
      <w:r w:rsidR="000A5329" w:rsidRPr="002029AF">
        <w:t xml:space="preserve"> </w:t>
      </w:r>
      <w:r w:rsidRPr="002029AF">
        <w:t>comprise:</w:t>
      </w:r>
    </w:p>
    <w:p w14:paraId="1319ED04" w14:textId="280CA579" w:rsidR="00087B91" w:rsidRPr="002029AF" w:rsidRDefault="00087B91" w:rsidP="00FF3CAB">
      <w:pPr>
        <w:pStyle w:val="ARfinnumberalpha1"/>
        <w:numPr>
          <w:ilvl w:val="0"/>
          <w:numId w:val="16"/>
        </w:numPr>
        <w:ind w:left="284" w:hanging="284"/>
      </w:pPr>
      <w:r w:rsidRPr="002029AF">
        <w:t>a</w:t>
      </w:r>
      <w:r w:rsidR="000A5329" w:rsidRPr="002029AF">
        <w:t xml:space="preserve"> </w:t>
      </w:r>
      <w:r w:rsidRPr="002029AF">
        <w:t>balance</w:t>
      </w:r>
      <w:r w:rsidR="000A5329" w:rsidRPr="002029AF">
        <w:t xml:space="preserve"> </w:t>
      </w:r>
      <w:r w:rsidRPr="002029AF">
        <w:t>sheet</w:t>
      </w:r>
      <w:r w:rsidR="000A5329" w:rsidRPr="002029AF">
        <w:t xml:space="preserve"> </w:t>
      </w:r>
      <w:r w:rsidRPr="002029AF">
        <w:t>as</w:t>
      </w:r>
      <w:r w:rsidR="000A5329" w:rsidRPr="002029AF">
        <w:t xml:space="preserve"> </w:t>
      </w:r>
      <w:r w:rsidRPr="002029AF">
        <w:t>at</w:t>
      </w:r>
      <w:r w:rsidR="000A5329" w:rsidRPr="002029AF">
        <w:t xml:space="preserve"> </w:t>
      </w:r>
      <w:r w:rsidRPr="002029AF">
        <w:t>the</w:t>
      </w:r>
      <w:r w:rsidR="000A5329" w:rsidRPr="002029AF">
        <w:t xml:space="preserve"> </w:t>
      </w:r>
      <w:r w:rsidRPr="002029AF">
        <w:t>end</w:t>
      </w:r>
      <w:r w:rsidR="000A5329" w:rsidRPr="002029AF">
        <w:t xml:space="preserve"> </w:t>
      </w:r>
      <w:r w:rsidRPr="002029AF">
        <w:t>of</w:t>
      </w:r>
      <w:r w:rsidR="000A5329" w:rsidRPr="002029AF">
        <w:t xml:space="preserve"> </w:t>
      </w:r>
      <w:r w:rsidRPr="002029AF">
        <w:t>the</w:t>
      </w:r>
      <w:r w:rsidR="000A5329" w:rsidRPr="002029AF">
        <w:t xml:space="preserve"> </w:t>
      </w:r>
      <w:r w:rsidRPr="002029AF">
        <w:t>year</w:t>
      </w:r>
    </w:p>
    <w:p w14:paraId="64A66780" w14:textId="4C4038B6" w:rsidR="00087B91" w:rsidRPr="002029AF" w:rsidRDefault="00087B91" w:rsidP="00FF3CAB">
      <w:pPr>
        <w:pStyle w:val="ARfinnumberalpha1"/>
        <w:numPr>
          <w:ilvl w:val="0"/>
          <w:numId w:val="16"/>
        </w:numPr>
        <w:ind w:left="284" w:hanging="284"/>
      </w:pPr>
      <w:r w:rsidRPr="002029AF">
        <w:t>a</w:t>
      </w:r>
      <w:r w:rsidR="000A5329" w:rsidRPr="002029AF">
        <w:t xml:space="preserve"> </w:t>
      </w:r>
      <w:r w:rsidRPr="002029AF">
        <w:t>comprehensive</w:t>
      </w:r>
      <w:r w:rsidR="000A5329" w:rsidRPr="002029AF">
        <w:t xml:space="preserve"> </w:t>
      </w:r>
      <w:r w:rsidRPr="002029AF">
        <w:t>operating</w:t>
      </w:r>
      <w:r w:rsidR="000A5329" w:rsidRPr="002029AF">
        <w:t xml:space="preserve"> </w:t>
      </w:r>
      <w:r w:rsidRPr="002029AF">
        <w:t>statement</w:t>
      </w:r>
      <w:r w:rsidR="000A5329" w:rsidRPr="002029AF">
        <w:t xml:space="preserve"> </w:t>
      </w:r>
      <w:r w:rsidRPr="002029AF">
        <w:t>for</w:t>
      </w:r>
      <w:r w:rsidR="000A5329" w:rsidRPr="002029AF">
        <w:t xml:space="preserve"> </w:t>
      </w:r>
      <w:r w:rsidRPr="002029AF">
        <w:t>the</w:t>
      </w:r>
      <w:r w:rsidR="000A5329" w:rsidRPr="002029AF">
        <w:t xml:space="preserve"> </w:t>
      </w:r>
      <w:r w:rsidRPr="002029AF">
        <w:t>year</w:t>
      </w:r>
    </w:p>
    <w:p w14:paraId="5EDD8A6A" w14:textId="21A9144B" w:rsidR="00087B91" w:rsidRPr="002029AF" w:rsidRDefault="00087B91" w:rsidP="00FF3CAB">
      <w:pPr>
        <w:pStyle w:val="ARfinnumberalpha1"/>
        <w:numPr>
          <w:ilvl w:val="0"/>
          <w:numId w:val="16"/>
        </w:numPr>
        <w:ind w:left="284" w:hanging="284"/>
      </w:pPr>
      <w:r w:rsidRPr="002029AF">
        <w:t>a</w:t>
      </w:r>
      <w:r w:rsidR="000A5329" w:rsidRPr="002029AF">
        <w:t xml:space="preserve"> </w:t>
      </w:r>
      <w:r w:rsidRPr="002029AF">
        <w:t>statement</w:t>
      </w:r>
      <w:r w:rsidR="000A5329" w:rsidRPr="002029AF">
        <w:t xml:space="preserve"> </w:t>
      </w:r>
      <w:r w:rsidRPr="002029AF">
        <w:t>of</w:t>
      </w:r>
      <w:r w:rsidR="000A5329" w:rsidRPr="002029AF">
        <w:t xml:space="preserve"> </w:t>
      </w:r>
      <w:r w:rsidRPr="002029AF">
        <w:t>changes</w:t>
      </w:r>
      <w:r w:rsidR="000A5329" w:rsidRPr="002029AF">
        <w:t xml:space="preserve"> </w:t>
      </w:r>
      <w:r w:rsidRPr="002029AF">
        <w:t>in</w:t>
      </w:r>
      <w:r w:rsidR="000A5329" w:rsidRPr="002029AF">
        <w:t xml:space="preserve"> </w:t>
      </w:r>
      <w:r w:rsidRPr="002029AF">
        <w:t>equity</w:t>
      </w:r>
      <w:r w:rsidR="000A5329" w:rsidRPr="002029AF">
        <w:t xml:space="preserve"> </w:t>
      </w:r>
      <w:r w:rsidRPr="002029AF">
        <w:t>for</w:t>
      </w:r>
      <w:r w:rsidR="000A5329" w:rsidRPr="002029AF">
        <w:t xml:space="preserve"> </w:t>
      </w:r>
      <w:r w:rsidRPr="002029AF">
        <w:t>the</w:t>
      </w:r>
      <w:r w:rsidR="000A5329" w:rsidRPr="002029AF">
        <w:t xml:space="preserve"> </w:t>
      </w:r>
      <w:r w:rsidRPr="002029AF">
        <w:t>year</w:t>
      </w:r>
    </w:p>
    <w:p w14:paraId="7413FA71" w14:textId="7A614830" w:rsidR="00087B91" w:rsidRPr="002029AF" w:rsidRDefault="00087B91" w:rsidP="00FF3CAB">
      <w:pPr>
        <w:pStyle w:val="ARfinnumberalpha1"/>
        <w:numPr>
          <w:ilvl w:val="0"/>
          <w:numId w:val="16"/>
        </w:numPr>
        <w:ind w:left="284" w:hanging="284"/>
      </w:pPr>
      <w:r w:rsidRPr="002029AF">
        <w:t>a</w:t>
      </w:r>
      <w:r w:rsidR="000A5329" w:rsidRPr="002029AF">
        <w:t xml:space="preserve"> </w:t>
      </w:r>
      <w:r w:rsidRPr="002029AF">
        <w:t>statement</w:t>
      </w:r>
      <w:r w:rsidR="000A5329" w:rsidRPr="002029AF">
        <w:t xml:space="preserve"> </w:t>
      </w:r>
      <w:r w:rsidRPr="002029AF">
        <w:t>of</w:t>
      </w:r>
      <w:r w:rsidR="000A5329" w:rsidRPr="002029AF">
        <w:t xml:space="preserve"> </w:t>
      </w:r>
      <w:r w:rsidRPr="002029AF">
        <w:t>cash</w:t>
      </w:r>
      <w:r w:rsidR="000A5329" w:rsidRPr="002029AF">
        <w:t xml:space="preserve"> </w:t>
      </w:r>
      <w:r w:rsidRPr="002029AF">
        <w:t>flows</w:t>
      </w:r>
      <w:r w:rsidR="000A5329" w:rsidRPr="002029AF">
        <w:t xml:space="preserve"> </w:t>
      </w:r>
      <w:r w:rsidRPr="002029AF">
        <w:t>for</w:t>
      </w:r>
      <w:r w:rsidR="000A5329" w:rsidRPr="002029AF">
        <w:t xml:space="preserve"> </w:t>
      </w:r>
      <w:r w:rsidRPr="002029AF">
        <w:t>the</w:t>
      </w:r>
      <w:r w:rsidR="000A5329" w:rsidRPr="002029AF">
        <w:t xml:space="preserve"> </w:t>
      </w:r>
      <w:r w:rsidRPr="002029AF">
        <w:t>year</w:t>
      </w:r>
    </w:p>
    <w:p w14:paraId="3D7BBD82" w14:textId="5C55D1EC" w:rsidR="00087B91" w:rsidRPr="002029AF" w:rsidRDefault="00087B91" w:rsidP="00FF3CAB">
      <w:pPr>
        <w:pStyle w:val="ARfinnumberalpha1"/>
        <w:numPr>
          <w:ilvl w:val="0"/>
          <w:numId w:val="16"/>
        </w:numPr>
        <w:ind w:left="284" w:hanging="284"/>
      </w:pPr>
      <w:r w:rsidRPr="002029AF">
        <w:t>notes,</w:t>
      </w:r>
      <w:r w:rsidR="000A5329" w:rsidRPr="002029AF">
        <w:t xml:space="preserve"> </w:t>
      </w:r>
      <w:r w:rsidRPr="002029AF">
        <w:t>comprising</w:t>
      </w:r>
      <w:r w:rsidR="000A5329" w:rsidRPr="002029AF">
        <w:t xml:space="preserve"> </w:t>
      </w:r>
      <w:r w:rsidRPr="002029AF">
        <w:t>a</w:t>
      </w:r>
      <w:r w:rsidR="000A5329" w:rsidRPr="002029AF">
        <w:t xml:space="preserve"> </w:t>
      </w:r>
      <w:r w:rsidRPr="002029AF">
        <w:t>summary</w:t>
      </w:r>
      <w:r w:rsidR="000A5329" w:rsidRPr="002029AF">
        <w:t xml:space="preserve"> </w:t>
      </w:r>
      <w:r w:rsidRPr="002029AF">
        <w:t>of</w:t>
      </w:r>
      <w:r w:rsidR="000A5329" w:rsidRPr="002029AF">
        <w:t xml:space="preserve"> </w:t>
      </w:r>
      <w:r w:rsidRPr="002029AF">
        <w:t>significant</w:t>
      </w:r>
      <w:r w:rsidR="000A5329" w:rsidRPr="002029AF">
        <w:t xml:space="preserve"> </w:t>
      </w:r>
      <w:r w:rsidRPr="002029AF">
        <w:t>accounting</w:t>
      </w:r>
      <w:r w:rsidR="000A5329" w:rsidRPr="002029AF">
        <w:t xml:space="preserve"> </w:t>
      </w:r>
      <w:r w:rsidRPr="002029AF">
        <w:t>policies</w:t>
      </w:r>
      <w:r w:rsidR="000A5329" w:rsidRPr="002029AF">
        <w:t xml:space="preserve"> </w:t>
      </w:r>
      <w:r w:rsidRPr="002029AF">
        <w:t>and</w:t>
      </w:r>
      <w:r w:rsidR="000A5329" w:rsidRPr="002029AF">
        <w:t xml:space="preserve"> </w:t>
      </w:r>
      <w:r w:rsidRPr="002029AF">
        <w:t>other</w:t>
      </w:r>
      <w:r w:rsidR="000A5329" w:rsidRPr="002029AF">
        <w:t xml:space="preserve"> </w:t>
      </w:r>
      <w:r w:rsidRPr="002029AF">
        <w:t>explanatory</w:t>
      </w:r>
      <w:r w:rsidR="000A5329" w:rsidRPr="002029AF">
        <w:t xml:space="preserve"> </w:t>
      </w:r>
      <w:r w:rsidRPr="002029AF">
        <w:t>information</w:t>
      </w:r>
    </w:p>
    <w:p w14:paraId="4F21F2D3" w14:textId="5B23EEFA" w:rsidR="00087B91" w:rsidRPr="002029AF" w:rsidRDefault="00087B91" w:rsidP="00FF3CAB">
      <w:pPr>
        <w:pStyle w:val="ARfinnumberalpha1"/>
        <w:numPr>
          <w:ilvl w:val="0"/>
          <w:numId w:val="16"/>
        </w:numPr>
        <w:ind w:left="284" w:hanging="284"/>
      </w:pPr>
      <w:r w:rsidRPr="002029AF">
        <w:t>comparative</w:t>
      </w:r>
      <w:r w:rsidR="000A5329" w:rsidRPr="002029AF">
        <w:t xml:space="preserve"> </w:t>
      </w:r>
      <w:r w:rsidRPr="002029AF">
        <w:t>information</w:t>
      </w:r>
      <w:r w:rsidR="000A5329" w:rsidRPr="002029AF">
        <w:t xml:space="preserve"> </w:t>
      </w:r>
      <w:r w:rsidRPr="002029AF">
        <w:t>in</w:t>
      </w:r>
      <w:r w:rsidR="000A5329" w:rsidRPr="002029AF">
        <w:t xml:space="preserve"> </w:t>
      </w:r>
      <w:r w:rsidRPr="002029AF">
        <w:t>respect</w:t>
      </w:r>
      <w:r w:rsidR="000A5329" w:rsidRPr="002029AF">
        <w:t xml:space="preserve"> </w:t>
      </w:r>
      <w:r w:rsidRPr="002029AF">
        <w:t>of</w:t>
      </w:r>
      <w:r w:rsidR="000A5329" w:rsidRPr="002029AF">
        <w:t xml:space="preserve"> </w:t>
      </w:r>
      <w:r w:rsidRPr="002029AF">
        <w:t>the</w:t>
      </w:r>
      <w:r w:rsidR="000A5329" w:rsidRPr="002029AF">
        <w:t xml:space="preserve"> </w:t>
      </w:r>
      <w:r w:rsidRPr="002029AF">
        <w:t>preceding</w:t>
      </w:r>
      <w:r w:rsidR="000A5329" w:rsidRPr="002029AF">
        <w:t xml:space="preserve"> </w:t>
      </w:r>
      <w:r w:rsidRPr="002029AF">
        <w:t>year</w:t>
      </w:r>
      <w:r w:rsidR="000A5329" w:rsidRPr="002029AF">
        <w:t xml:space="preserve"> </w:t>
      </w:r>
      <w:r w:rsidRPr="002029AF">
        <w:t>as</w:t>
      </w:r>
      <w:r w:rsidR="000A5329" w:rsidRPr="002029AF">
        <w:t xml:space="preserve"> </w:t>
      </w:r>
      <w:r w:rsidRPr="002029AF">
        <w:t>specified</w:t>
      </w:r>
      <w:r w:rsidR="000A5329" w:rsidRPr="002029AF">
        <w:t xml:space="preserve"> </w:t>
      </w:r>
      <w:r w:rsidRPr="002029AF">
        <w:t>in</w:t>
      </w:r>
      <w:r w:rsidR="000A5329" w:rsidRPr="002029AF">
        <w:t xml:space="preserve"> </w:t>
      </w:r>
      <w:r w:rsidRPr="002029AF">
        <w:t>paragraphs</w:t>
      </w:r>
      <w:r w:rsidR="000A5329" w:rsidRPr="002029AF">
        <w:t xml:space="preserve"> </w:t>
      </w:r>
      <w:r w:rsidRPr="002029AF">
        <w:t>38</w:t>
      </w:r>
      <w:r w:rsidR="000A5329" w:rsidRPr="002029AF">
        <w:t xml:space="preserve"> </w:t>
      </w:r>
      <w:r w:rsidRPr="002029AF">
        <w:t>of</w:t>
      </w:r>
      <w:r w:rsidR="000A5329" w:rsidRPr="002029AF">
        <w:t xml:space="preserve"> </w:t>
      </w:r>
      <w:r w:rsidRPr="002029AF">
        <w:t>AASB</w:t>
      </w:r>
      <w:r w:rsidR="000A5329" w:rsidRPr="002029AF">
        <w:t xml:space="preserve"> </w:t>
      </w:r>
      <w:r w:rsidRPr="002029AF">
        <w:t>101</w:t>
      </w:r>
      <w:r w:rsidR="000A5329" w:rsidRPr="002029AF">
        <w:t xml:space="preserve"> </w:t>
      </w:r>
      <w:r w:rsidRPr="002029AF">
        <w:rPr>
          <w:rStyle w:val="Emphasis"/>
        </w:rPr>
        <w:t>Presentation</w:t>
      </w:r>
      <w:r w:rsidR="000A5329" w:rsidRPr="002029AF">
        <w:rPr>
          <w:rStyle w:val="Emphasis"/>
        </w:rPr>
        <w:t xml:space="preserve"> </w:t>
      </w:r>
      <w:r w:rsidRPr="002029AF">
        <w:rPr>
          <w:rStyle w:val="Emphasis"/>
        </w:rPr>
        <w:t>of</w:t>
      </w:r>
      <w:r w:rsidR="000A5329" w:rsidRPr="002029AF">
        <w:rPr>
          <w:rStyle w:val="Emphasis"/>
        </w:rPr>
        <w:t xml:space="preserve"> </w:t>
      </w:r>
      <w:r w:rsidRPr="002029AF">
        <w:rPr>
          <w:rStyle w:val="Emphasis"/>
        </w:rPr>
        <w:t>Financial</w:t>
      </w:r>
      <w:r w:rsidR="000A5329" w:rsidRPr="002029AF">
        <w:rPr>
          <w:rStyle w:val="Emphasis"/>
        </w:rPr>
        <w:t xml:space="preserve"> </w:t>
      </w:r>
      <w:r w:rsidRPr="002029AF">
        <w:rPr>
          <w:rStyle w:val="Emphasis"/>
        </w:rPr>
        <w:t>Statements</w:t>
      </w:r>
    </w:p>
    <w:p w14:paraId="646D773F" w14:textId="09B2165D" w:rsidR="00087B91" w:rsidRPr="002029AF" w:rsidRDefault="00087B91" w:rsidP="00FF3CAB">
      <w:pPr>
        <w:pStyle w:val="ARfinnumberalpha1"/>
        <w:numPr>
          <w:ilvl w:val="0"/>
          <w:numId w:val="16"/>
        </w:numPr>
        <w:ind w:left="284" w:hanging="284"/>
      </w:pPr>
      <w:r w:rsidRPr="002029AF">
        <w:t>a</w:t>
      </w:r>
      <w:r w:rsidR="000A5329" w:rsidRPr="002029AF">
        <w:t xml:space="preserve"> </w:t>
      </w:r>
      <w:r w:rsidRPr="002029AF">
        <w:t>balance</w:t>
      </w:r>
      <w:r w:rsidR="000A5329" w:rsidRPr="002029AF">
        <w:t xml:space="preserve"> </w:t>
      </w:r>
      <w:r w:rsidRPr="002029AF">
        <w:t>sheet</w:t>
      </w:r>
      <w:r w:rsidR="000A5329" w:rsidRPr="002029AF">
        <w:t xml:space="preserve"> </w:t>
      </w:r>
      <w:r w:rsidRPr="002029AF">
        <w:t>as</w:t>
      </w:r>
      <w:r w:rsidR="000A5329" w:rsidRPr="002029AF">
        <w:t xml:space="preserve"> </w:t>
      </w:r>
      <w:r w:rsidRPr="002029AF">
        <w:t>at</w:t>
      </w:r>
      <w:r w:rsidR="000A5329" w:rsidRPr="002029AF">
        <w:t xml:space="preserve"> </w:t>
      </w:r>
      <w:r w:rsidRPr="002029AF">
        <w:t>the</w:t>
      </w:r>
      <w:r w:rsidR="000A5329" w:rsidRPr="002029AF">
        <w:t xml:space="preserve"> </w:t>
      </w:r>
      <w:r w:rsidRPr="002029AF">
        <w:t>beginning</w:t>
      </w:r>
      <w:r w:rsidR="000A5329" w:rsidRPr="002029AF">
        <w:t xml:space="preserve"> </w:t>
      </w:r>
      <w:r w:rsidRPr="002029AF">
        <w:t>of</w:t>
      </w:r>
      <w:r w:rsidR="000A5329" w:rsidRPr="002029AF">
        <w:t xml:space="preserve"> </w:t>
      </w:r>
      <w:r w:rsidRPr="002029AF">
        <w:t>the</w:t>
      </w:r>
      <w:r w:rsidR="000A5329" w:rsidRPr="002029AF">
        <w:t xml:space="preserve"> </w:t>
      </w:r>
      <w:r w:rsidRPr="002029AF">
        <w:t>preceding</w:t>
      </w:r>
      <w:r w:rsidR="000A5329" w:rsidRPr="002029AF">
        <w:t xml:space="preserve"> </w:t>
      </w:r>
      <w:r w:rsidRPr="002029AF">
        <w:t>year</w:t>
      </w:r>
      <w:r w:rsidR="000A5329" w:rsidRPr="002029AF">
        <w:t xml:space="preserve"> </w:t>
      </w:r>
      <w:r w:rsidRPr="002029AF">
        <w:t>when</w:t>
      </w:r>
      <w:r w:rsidR="000A5329" w:rsidRPr="002029AF">
        <w:t xml:space="preserve"> </w:t>
      </w:r>
      <w:r w:rsidRPr="002029AF">
        <w:t>an</w:t>
      </w:r>
      <w:r w:rsidR="000A5329" w:rsidRPr="002029AF">
        <w:t xml:space="preserve"> </w:t>
      </w:r>
      <w:r w:rsidRPr="002029AF">
        <w:t>entity</w:t>
      </w:r>
      <w:r w:rsidR="000A5329" w:rsidRPr="002029AF">
        <w:t xml:space="preserve"> </w:t>
      </w:r>
      <w:r w:rsidRPr="002029AF">
        <w:t>applies</w:t>
      </w:r>
      <w:r w:rsidR="000A5329" w:rsidRPr="002029AF">
        <w:t xml:space="preserve"> </w:t>
      </w:r>
      <w:r w:rsidRPr="002029AF">
        <w:t>an</w:t>
      </w:r>
      <w:r w:rsidR="000A5329" w:rsidRPr="002029AF">
        <w:t xml:space="preserve"> </w:t>
      </w:r>
      <w:r w:rsidRPr="002029AF">
        <w:t>accounting</w:t>
      </w:r>
      <w:r w:rsidR="000A5329" w:rsidRPr="002029AF">
        <w:t xml:space="preserve"> </w:t>
      </w:r>
      <w:r w:rsidRPr="002029AF">
        <w:t>policy</w:t>
      </w:r>
      <w:r w:rsidR="000A5329" w:rsidRPr="002029AF">
        <w:t xml:space="preserve"> </w:t>
      </w:r>
      <w:r w:rsidRPr="002029AF">
        <w:t>retrospectively</w:t>
      </w:r>
      <w:r w:rsidR="000A5329" w:rsidRPr="002029AF">
        <w:t xml:space="preserve"> </w:t>
      </w:r>
      <w:r w:rsidRPr="002029AF">
        <w:t>or</w:t>
      </w:r>
      <w:r w:rsidR="000A5329" w:rsidRPr="002029AF">
        <w:t xml:space="preserve"> </w:t>
      </w:r>
      <w:r w:rsidRPr="002029AF">
        <w:t>makes</w:t>
      </w:r>
      <w:r w:rsidR="000A5329" w:rsidRPr="002029AF">
        <w:t xml:space="preserve"> </w:t>
      </w:r>
      <w:r w:rsidRPr="002029AF">
        <w:t>a</w:t>
      </w:r>
      <w:r w:rsidR="000A5329" w:rsidRPr="002029AF">
        <w:t xml:space="preserve"> </w:t>
      </w:r>
      <w:r w:rsidRPr="002029AF">
        <w:t>retrospective</w:t>
      </w:r>
      <w:r w:rsidR="000A5329" w:rsidRPr="002029AF">
        <w:t xml:space="preserve"> </w:t>
      </w:r>
      <w:r w:rsidRPr="002029AF">
        <w:t>restatement</w:t>
      </w:r>
      <w:r w:rsidR="000A5329" w:rsidRPr="002029AF">
        <w:t xml:space="preserve"> </w:t>
      </w:r>
      <w:r w:rsidRPr="002029AF">
        <w:t>of</w:t>
      </w:r>
      <w:r w:rsidR="000A5329" w:rsidRPr="002029AF">
        <w:t xml:space="preserve"> </w:t>
      </w:r>
      <w:r w:rsidRPr="002029AF">
        <w:t>items</w:t>
      </w:r>
      <w:r w:rsidR="000A5329" w:rsidRPr="002029AF">
        <w:t xml:space="preserve"> </w:t>
      </w:r>
      <w:r w:rsidRPr="002029AF">
        <w:t>in</w:t>
      </w:r>
      <w:r w:rsidR="000A5329" w:rsidRPr="002029AF">
        <w:t xml:space="preserve"> </w:t>
      </w:r>
      <w:r w:rsidRPr="002029AF">
        <w:t>its</w:t>
      </w:r>
      <w:r w:rsidR="000A5329" w:rsidRPr="002029AF">
        <w:t xml:space="preserve"> </w:t>
      </w:r>
      <w:r w:rsidRPr="002029AF">
        <w:t>financial</w:t>
      </w:r>
      <w:r w:rsidR="000A5329" w:rsidRPr="002029AF">
        <w:t xml:space="preserve"> </w:t>
      </w:r>
      <w:r w:rsidRPr="002029AF">
        <w:t>statements,</w:t>
      </w:r>
      <w:r w:rsidR="000A5329" w:rsidRPr="002029AF">
        <w:t xml:space="preserve"> </w:t>
      </w:r>
      <w:r w:rsidRPr="002029AF">
        <w:t>or</w:t>
      </w:r>
      <w:r w:rsidR="000A5329" w:rsidRPr="002029AF">
        <w:t xml:space="preserve"> </w:t>
      </w:r>
      <w:r w:rsidRPr="002029AF">
        <w:t>when</w:t>
      </w:r>
      <w:r w:rsidR="000A5329" w:rsidRPr="002029AF">
        <w:t xml:space="preserve"> </w:t>
      </w:r>
      <w:r w:rsidRPr="002029AF">
        <w:t>it</w:t>
      </w:r>
      <w:r w:rsidR="000A5329" w:rsidRPr="002029AF">
        <w:t xml:space="preserve"> </w:t>
      </w:r>
      <w:r w:rsidRPr="002029AF">
        <w:t>reclassifies</w:t>
      </w:r>
      <w:r w:rsidR="000A5329" w:rsidRPr="002029AF">
        <w:t xml:space="preserve"> </w:t>
      </w:r>
      <w:r w:rsidRPr="002029AF">
        <w:t>items</w:t>
      </w:r>
      <w:r w:rsidR="000A5329" w:rsidRPr="002029AF">
        <w:t xml:space="preserve"> </w:t>
      </w:r>
      <w:r w:rsidRPr="002029AF">
        <w:t>in</w:t>
      </w:r>
      <w:r w:rsidR="000A5329" w:rsidRPr="002029AF">
        <w:t xml:space="preserve"> </w:t>
      </w:r>
      <w:r w:rsidRPr="002029AF">
        <w:t>its</w:t>
      </w:r>
      <w:r w:rsidR="000A5329" w:rsidRPr="002029AF">
        <w:t xml:space="preserve"> </w:t>
      </w:r>
      <w:r w:rsidRPr="002029AF">
        <w:t>financial</w:t>
      </w:r>
      <w:r w:rsidR="000A5329" w:rsidRPr="002029AF">
        <w:t xml:space="preserve"> </w:t>
      </w:r>
      <w:r w:rsidRPr="002029AF">
        <w:t>statements</w:t>
      </w:r>
      <w:r w:rsidR="000A5329" w:rsidRPr="002029AF">
        <w:t xml:space="preserve"> </w:t>
      </w:r>
      <w:r w:rsidRPr="002029AF">
        <w:t>in</w:t>
      </w:r>
      <w:r w:rsidR="000A5329" w:rsidRPr="002029AF">
        <w:t xml:space="preserve"> </w:t>
      </w:r>
      <w:r w:rsidRPr="002029AF">
        <w:t>accordance</w:t>
      </w:r>
      <w:r w:rsidR="000A5329" w:rsidRPr="002029AF">
        <w:t xml:space="preserve"> </w:t>
      </w:r>
      <w:r w:rsidRPr="002029AF">
        <w:t>with</w:t>
      </w:r>
      <w:r w:rsidR="000A5329" w:rsidRPr="002029AF">
        <w:t xml:space="preserve"> </w:t>
      </w:r>
      <w:r w:rsidRPr="002029AF">
        <w:t>paragraph</w:t>
      </w:r>
      <w:r w:rsidR="000A5329" w:rsidRPr="002029AF">
        <w:t xml:space="preserve"> </w:t>
      </w:r>
      <w:r w:rsidRPr="002029AF">
        <w:t>41</w:t>
      </w:r>
      <w:r w:rsidR="000A5329" w:rsidRPr="002029AF">
        <w:t xml:space="preserve"> </w:t>
      </w:r>
      <w:r w:rsidRPr="002029AF">
        <w:t>of</w:t>
      </w:r>
      <w:r w:rsidR="000A5329" w:rsidRPr="002029AF">
        <w:t xml:space="preserve"> </w:t>
      </w:r>
      <w:r w:rsidRPr="002029AF">
        <w:t>AASB</w:t>
      </w:r>
      <w:r w:rsidR="000A5329" w:rsidRPr="002029AF">
        <w:t xml:space="preserve"> </w:t>
      </w:r>
      <w:r w:rsidRPr="002029AF">
        <w:t>101.</w:t>
      </w:r>
    </w:p>
    <w:p w14:paraId="5684899F" w14:textId="70190ED4" w:rsidR="00087B91" w:rsidRPr="002029AF" w:rsidRDefault="00087B91" w:rsidP="00087B91">
      <w:pPr>
        <w:pStyle w:val="ARfinbody"/>
      </w:pPr>
      <w:r w:rsidRPr="002029AF">
        <w:rPr>
          <w:rStyle w:val="Strong"/>
        </w:rPr>
        <w:t>Grants</w:t>
      </w:r>
      <w:r w:rsidR="000A5329" w:rsidRPr="002029AF">
        <w:rPr>
          <w:rStyle w:val="Strong"/>
        </w:rPr>
        <w:t xml:space="preserve"> </w:t>
      </w:r>
      <w:r w:rsidRPr="002029AF">
        <w:rPr>
          <w:rStyle w:val="Strong"/>
        </w:rPr>
        <w:t>and</w:t>
      </w:r>
      <w:r w:rsidR="000A5329" w:rsidRPr="002029AF">
        <w:rPr>
          <w:rStyle w:val="Strong"/>
        </w:rPr>
        <w:t xml:space="preserve"> </w:t>
      </w:r>
      <w:r w:rsidRPr="002029AF">
        <w:rPr>
          <w:rStyle w:val="Strong"/>
        </w:rPr>
        <w:t>other</w:t>
      </w:r>
      <w:r w:rsidR="000A5329" w:rsidRPr="002029AF">
        <w:rPr>
          <w:rStyle w:val="Strong"/>
        </w:rPr>
        <w:t xml:space="preserve"> </w:t>
      </w:r>
      <w:r w:rsidRPr="002029AF">
        <w:rPr>
          <w:rStyle w:val="Strong"/>
        </w:rPr>
        <w:t>expense</w:t>
      </w:r>
      <w:r w:rsidR="000A5329" w:rsidRPr="002029AF">
        <w:rPr>
          <w:rStyle w:val="Strong"/>
        </w:rPr>
        <w:t xml:space="preserve"> </w:t>
      </w:r>
      <w:r w:rsidRPr="002029AF">
        <w:rPr>
          <w:rStyle w:val="Strong"/>
        </w:rPr>
        <w:t>transfers</w:t>
      </w:r>
      <w:r w:rsidR="000A5329" w:rsidRPr="002029AF">
        <w:t xml:space="preserve"> </w:t>
      </w:r>
      <w:r w:rsidRPr="002029AF">
        <w:t>are</w:t>
      </w:r>
      <w:r w:rsidR="000A5329" w:rsidRPr="002029AF">
        <w:t xml:space="preserve"> </w:t>
      </w:r>
      <w:r w:rsidRPr="002029AF">
        <w:t>transactions</w:t>
      </w:r>
      <w:r w:rsidR="000A5329" w:rsidRPr="002029AF">
        <w:t xml:space="preserve"> </w:t>
      </w:r>
      <w:r w:rsidRPr="002029AF">
        <w:t>in</w:t>
      </w:r>
      <w:r w:rsidR="000A5329" w:rsidRPr="002029AF">
        <w:t xml:space="preserve"> </w:t>
      </w:r>
      <w:r w:rsidRPr="002029AF">
        <w:t>which</w:t>
      </w:r>
      <w:r w:rsidR="000A5329" w:rsidRPr="002029AF">
        <w:t xml:space="preserve"> </w:t>
      </w:r>
      <w:r w:rsidRPr="002029AF">
        <w:t>one</w:t>
      </w:r>
      <w:r w:rsidR="000A5329" w:rsidRPr="002029AF">
        <w:t xml:space="preserve"> </w:t>
      </w:r>
      <w:r w:rsidRPr="002029AF">
        <w:t>unit</w:t>
      </w:r>
      <w:r w:rsidR="000A5329" w:rsidRPr="002029AF">
        <w:t xml:space="preserve"> </w:t>
      </w:r>
      <w:r w:rsidRPr="002029AF">
        <w:t>provides</w:t>
      </w:r>
      <w:r w:rsidR="000A5329" w:rsidRPr="002029AF">
        <w:t xml:space="preserve"> </w:t>
      </w:r>
      <w:r w:rsidRPr="002029AF">
        <w:t>goods,</w:t>
      </w:r>
      <w:r w:rsidR="000A5329" w:rsidRPr="002029AF">
        <w:t xml:space="preserve"> </w:t>
      </w:r>
      <w:r w:rsidRPr="002029AF">
        <w:t>services,</w:t>
      </w:r>
      <w:r w:rsidR="000A5329" w:rsidRPr="002029AF">
        <w:t xml:space="preserve"> </w:t>
      </w:r>
      <w:r w:rsidRPr="002029AF">
        <w:t>assets</w:t>
      </w:r>
      <w:r w:rsidR="000A5329" w:rsidRPr="002029AF">
        <w:t xml:space="preserve"> </w:t>
      </w:r>
      <w:r w:rsidRPr="002029AF">
        <w:t>(or</w:t>
      </w:r>
      <w:r w:rsidR="000A5329" w:rsidRPr="002029AF">
        <w:t xml:space="preserve"> </w:t>
      </w:r>
      <w:r w:rsidRPr="002029AF">
        <w:t>extinguishes</w:t>
      </w:r>
      <w:r w:rsidR="000A5329" w:rsidRPr="002029AF">
        <w:t xml:space="preserve"> </w:t>
      </w:r>
      <w:r w:rsidRPr="002029AF">
        <w:t>a</w:t>
      </w:r>
      <w:r w:rsidR="000A5329" w:rsidRPr="002029AF">
        <w:t xml:space="preserve"> </w:t>
      </w:r>
      <w:r w:rsidRPr="002029AF">
        <w:t>liability)</w:t>
      </w:r>
      <w:r w:rsidR="000A5329" w:rsidRPr="002029AF">
        <w:t xml:space="preserve"> </w:t>
      </w:r>
      <w:r w:rsidRPr="002029AF">
        <w:t>or</w:t>
      </w:r>
      <w:r w:rsidR="00995257" w:rsidRPr="002029AF">
        <w:t> </w:t>
      </w:r>
      <w:r w:rsidRPr="002029AF">
        <w:t>labour</w:t>
      </w:r>
      <w:r w:rsidR="000A5329" w:rsidRPr="002029AF">
        <w:t xml:space="preserve"> </w:t>
      </w:r>
      <w:r w:rsidRPr="002029AF">
        <w:t>to</w:t>
      </w:r>
      <w:r w:rsidR="000A5329" w:rsidRPr="002029AF">
        <w:t xml:space="preserve"> </w:t>
      </w:r>
      <w:r w:rsidRPr="002029AF">
        <w:t>another</w:t>
      </w:r>
      <w:r w:rsidR="000A5329" w:rsidRPr="002029AF">
        <w:t xml:space="preserve"> </w:t>
      </w:r>
      <w:r w:rsidRPr="002029AF">
        <w:t>unit</w:t>
      </w:r>
      <w:r w:rsidR="000A5329" w:rsidRPr="002029AF">
        <w:t xml:space="preserve"> </w:t>
      </w:r>
      <w:r w:rsidRPr="002029AF">
        <w:t>without</w:t>
      </w:r>
      <w:r w:rsidR="000A5329" w:rsidRPr="002029AF">
        <w:t xml:space="preserve"> </w:t>
      </w:r>
      <w:r w:rsidRPr="002029AF">
        <w:t>receiving</w:t>
      </w:r>
      <w:r w:rsidR="000A5329" w:rsidRPr="002029AF">
        <w:t xml:space="preserve"> </w:t>
      </w:r>
      <w:r w:rsidRPr="002029AF">
        <w:t>approximately</w:t>
      </w:r>
      <w:r w:rsidR="000A5329" w:rsidRPr="002029AF">
        <w:t xml:space="preserve"> </w:t>
      </w:r>
      <w:r w:rsidRPr="002029AF">
        <w:t>equal</w:t>
      </w:r>
      <w:r w:rsidR="000A5329" w:rsidRPr="002029AF">
        <w:t xml:space="preserve"> </w:t>
      </w:r>
      <w:r w:rsidRPr="002029AF">
        <w:t>value</w:t>
      </w:r>
      <w:r w:rsidR="000A5329" w:rsidRPr="002029AF">
        <w:t xml:space="preserve"> </w:t>
      </w:r>
      <w:r w:rsidRPr="002029AF">
        <w:t>in</w:t>
      </w:r>
      <w:r w:rsidR="000A5329" w:rsidRPr="002029AF">
        <w:t xml:space="preserve"> </w:t>
      </w:r>
      <w:r w:rsidRPr="002029AF">
        <w:t>return.</w:t>
      </w:r>
      <w:r w:rsidR="000A5329" w:rsidRPr="002029AF">
        <w:t xml:space="preserve"> </w:t>
      </w:r>
      <w:r w:rsidRPr="002029AF">
        <w:t>Grants</w:t>
      </w:r>
      <w:r w:rsidR="000A5329" w:rsidRPr="002029AF">
        <w:t xml:space="preserve"> </w:t>
      </w:r>
      <w:r w:rsidRPr="002029AF">
        <w:t>can</w:t>
      </w:r>
      <w:r w:rsidR="000A5329" w:rsidRPr="002029AF">
        <w:t xml:space="preserve"> </w:t>
      </w:r>
      <w:r w:rsidRPr="002029AF">
        <w:t>either</w:t>
      </w:r>
      <w:r w:rsidR="000A5329" w:rsidRPr="002029AF">
        <w:t xml:space="preserve"> </w:t>
      </w:r>
      <w:r w:rsidRPr="002029AF">
        <w:t>be</w:t>
      </w:r>
      <w:r w:rsidR="000A5329" w:rsidRPr="002029AF">
        <w:t xml:space="preserve"> </w:t>
      </w:r>
      <w:r w:rsidRPr="002029AF">
        <w:t>operating</w:t>
      </w:r>
      <w:r w:rsidR="000A5329" w:rsidRPr="002029AF">
        <w:t xml:space="preserve"> </w:t>
      </w:r>
      <w:r w:rsidRPr="002029AF">
        <w:t>or</w:t>
      </w:r>
      <w:r w:rsidR="000A5329" w:rsidRPr="002029AF">
        <w:t xml:space="preserve"> </w:t>
      </w:r>
      <w:r w:rsidRPr="002029AF">
        <w:t>capital</w:t>
      </w:r>
      <w:r w:rsidR="000A5329" w:rsidRPr="002029AF">
        <w:t xml:space="preserve"> </w:t>
      </w:r>
      <w:r w:rsidRPr="002029AF">
        <w:t>in</w:t>
      </w:r>
      <w:r w:rsidR="000A5329" w:rsidRPr="002029AF">
        <w:t xml:space="preserve"> </w:t>
      </w:r>
      <w:r w:rsidRPr="002029AF">
        <w:t>nature.</w:t>
      </w:r>
    </w:p>
    <w:p w14:paraId="35A07B85" w14:textId="123A404E" w:rsidR="00087B91" w:rsidRPr="002029AF" w:rsidRDefault="00087B91" w:rsidP="00087B91">
      <w:pPr>
        <w:pStyle w:val="ARfinbody"/>
      </w:pPr>
      <w:r w:rsidRPr="002029AF">
        <w:t>While</w:t>
      </w:r>
      <w:r w:rsidR="000A5329" w:rsidRPr="002029AF">
        <w:t xml:space="preserve"> </w:t>
      </w:r>
      <w:r w:rsidRPr="002029AF">
        <w:t>grants</w:t>
      </w:r>
      <w:r w:rsidR="000A5329" w:rsidRPr="002029AF">
        <w:t xml:space="preserve"> </w:t>
      </w:r>
      <w:r w:rsidRPr="002029AF">
        <w:t>to</w:t>
      </w:r>
      <w:r w:rsidR="000A5329" w:rsidRPr="002029AF">
        <w:t xml:space="preserve"> </w:t>
      </w:r>
      <w:r w:rsidRPr="002029AF">
        <w:t>governments</w:t>
      </w:r>
      <w:r w:rsidR="000A5329" w:rsidRPr="002029AF">
        <w:t xml:space="preserve"> </w:t>
      </w:r>
      <w:r w:rsidRPr="002029AF">
        <w:t>may</w:t>
      </w:r>
      <w:r w:rsidR="000A5329" w:rsidRPr="002029AF">
        <w:t xml:space="preserve"> </w:t>
      </w:r>
      <w:r w:rsidRPr="002029AF">
        <w:t>result</w:t>
      </w:r>
      <w:r w:rsidR="000A5329" w:rsidRPr="002029AF">
        <w:t xml:space="preserve"> </w:t>
      </w:r>
      <w:r w:rsidRPr="002029AF">
        <w:t>in</w:t>
      </w:r>
      <w:r w:rsidR="000A5329" w:rsidRPr="002029AF">
        <w:t xml:space="preserve"> </w:t>
      </w:r>
      <w:r w:rsidRPr="002029AF">
        <w:t>the</w:t>
      </w:r>
      <w:r w:rsidR="000A5329" w:rsidRPr="002029AF">
        <w:t xml:space="preserve"> </w:t>
      </w:r>
      <w:r w:rsidRPr="002029AF">
        <w:t>provision</w:t>
      </w:r>
      <w:r w:rsidR="000A5329" w:rsidRPr="002029AF">
        <w:t xml:space="preserve"> </w:t>
      </w:r>
      <w:r w:rsidRPr="002029AF">
        <w:t>of</w:t>
      </w:r>
      <w:r w:rsidR="000A5329" w:rsidRPr="002029AF">
        <w:t xml:space="preserve"> </w:t>
      </w:r>
      <w:r w:rsidRPr="002029AF">
        <w:t>some</w:t>
      </w:r>
      <w:r w:rsidR="000A5329" w:rsidRPr="002029AF">
        <w:t xml:space="preserve"> </w:t>
      </w:r>
      <w:r w:rsidRPr="002029AF">
        <w:t>goods</w:t>
      </w:r>
      <w:r w:rsidR="000A5329" w:rsidRPr="002029AF">
        <w:t xml:space="preserve"> </w:t>
      </w:r>
      <w:r w:rsidRPr="002029AF">
        <w:t>or</w:t>
      </w:r>
      <w:r w:rsidR="000A5329" w:rsidRPr="002029AF">
        <w:t xml:space="preserve"> </w:t>
      </w:r>
      <w:r w:rsidRPr="002029AF">
        <w:t>services</w:t>
      </w:r>
      <w:r w:rsidR="000A5329" w:rsidRPr="002029AF">
        <w:t xml:space="preserve"> </w:t>
      </w:r>
      <w:r w:rsidRPr="002029AF">
        <w:t>to</w:t>
      </w:r>
      <w:r w:rsidR="000A5329" w:rsidRPr="002029AF">
        <w:t xml:space="preserve"> </w:t>
      </w:r>
      <w:r w:rsidRPr="002029AF">
        <w:t>the</w:t>
      </w:r>
      <w:r w:rsidR="000A5329" w:rsidRPr="002029AF">
        <w:t xml:space="preserve"> </w:t>
      </w:r>
      <w:r w:rsidRPr="002029AF">
        <w:t>transferor,</w:t>
      </w:r>
      <w:r w:rsidR="000A5329" w:rsidRPr="002029AF">
        <w:t xml:space="preserve"> </w:t>
      </w:r>
      <w:r w:rsidRPr="002029AF">
        <w:t>they</w:t>
      </w:r>
      <w:r w:rsidR="000A5329" w:rsidRPr="002029AF">
        <w:t xml:space="preserve"> </w:t>
      </w:r>
      <w:r w:rsidRPr="002029AF">
        <w:t>do</w:t>
      </w:r>
      <w:r w:rsidR="000A5329" w:rsidRPr="002029AF">
        <w:t xml:space="preserve"> </w:t>
      </w:r>
      <w:r w:rsidRPr="002029AF">
        <w:t>not</w:t>
      </w:r>
      <w:r w:rsidR="000A5329" w:rsidRPr="002029AF">
        <w:t xml:space="preserve"> </w:t>
      </w:r>
      <w:r w:rsidRPr="002029AF">
        <w:t>give</w:t>
      </w:r>
      <w:r w:rsidR="000A5329" w:rsidRPr="002029AF">
        <w:t xml:space="preserve"> </w:t>
      </w:r>
      <w:r w:rsidRPr="002029AF">
        <w:t>the</w:t>
      </w:r>
      <w:r w:rsidR="000A5329" w:rsidRPr="002029AF">
        <w:t xml:space="preserve"> </w:t>
      </w:r>
      <w:r w:rsidRPr="002029AF">
        <w:t>transferor</w:t>
      </w:r>
      <w:r w:rsidR="000A5329" w:rsidRPr="002029AF">
        <w:t xml:space="preserve"> </w:t>
      </w:r>
      <w:r w:rsidRPr="002029AF">
        <w:t>a</w:t>
      </w:r>
      <w:r w:rsidR="00995257" w:rsidRPr="002029AF">
        <w:t> </w:t>
      </w:r>
      <w:r w:rsidRPr="002029AF">
        <w:t>claim</w:t>
      </w:r>
      <w:r w:rsidR="000A5329" w:rsidRPr="002029AF">
        <w:t xml:space="preserve"> </w:t>
      </w:r>
      <w:r w:rsidRPr="002029AF">
        <w:t>to</w:t>
      </w:r>
      <w:r w:rsidR="000A5329" w:rsidRPr="002029AF">
        <w:t xml:space="preserve"> </w:t>
      </w:r>
      <w:r w:rsidRPr="002029AF">
        <w:t>receive</w:t>
      </w:r>
      <w:r w:rsidR="000A5329" w:rsidRPr="002029AF">
        <w:t xml:space="preserve"> </w:t>
      </w:r>
      <w:r w:rsidRPr="002029AF">
        <w:t>directly</w:t>
      </w:r>
      <w:r w:rsidR="000A5329" w:rsidRPr="002029AF">
        <w:t xml:space="preserve"> </w:t>
      </w:r>
      <w:r w:rsidRPr="002029AF">
        <w:t>benefits</w:t>
      </w:r>
      <w:r w:rsidR="000A5329" w:rsidRPr="002029AF">
        <w:t xml:space="preserve"> </w:t>
      </w:r>
      <w:r w:rsidRPr="002029AF">
        <w:t>of</w:t>
      </w:r>
      <w:r w:rsidR="000A5329" w:rsidRPr="002029AF">
        <w:t xml:space="preserve"> </w:t>
      </w:r>
      <w:r w:rsidRPr="002029AF">
        <w:t>approximately</w:t>
      </w:r>
      <w:r w:rsidR="000A5329" w:rsidRPr="002029AF">
        <w:t xml:space="preserve"> </w:t>
      </w:r>
      <w:r w:rsidRPr="002029AF">
        <w:t>equal</w:t>
      </w:r>
      <w:r w:rsidR="000A5329" w:rsidRPr="002029AF">
        <w:t xml:space="preserve"> </w:t>
      </w:r>
      <w:r w:rsidRPr="002029AF">
        <w:t>value.</w:t>
      </w:r>
      <w:r w:rsidR="000A5329" w:rsidRPr="002029AF">
        <w:t xml:space="preserve"> </w:t>
      </w:r>
      <w:r w:rsidRPr="002029AF">
        <w:t>For</w:t>
      </w:r>
      <w:r w:rsidR="000A5329" w:rsidRPr="002029AF">
        <w:t xml:space="preserve"> </w:t>
      </w:r>
      <w:r w:rsidRPr="002029AF">
        <w:t>this</w:t>
      </w:r>
      <w:r w:rsidR="000A5329" w:rsidRPr="002029AF">
        <w:t xml:space="preserve"> </w:t>
      </w:r>
      <w:r w:rsidRPr="002029AF">
        <w:t>reason,</w:t>
      </w:r>
      <w:r w:rsidR="000A5329" w:rsidRPr="002029AF">
        <w:t xml:space="preserve"> </w:t>
      </w:r>
      <w:r w:rsidRPr="002029AF">
        <w:t>grants</w:t>
      </w:r>
      <w:r w:rsidR="000A5329" w:rsidRPr="002029AF">
        <w:t xml:space="preserve"> </w:t>
      </w:r>
      <w:r w:rsidRPr="002029AF">
        <w:t>are</w:t>
      </w:r>
      <w:r w:rsidR="000A5329" w:rsidRPr="002029AF">
        <w:t xml:space="preserve"> </w:t>
      </w:r>
      <w:r w:rsidRPr="002029AF">
        <w:t>referred</w:t>
      </w:r>
      <w:r w:rsidR="000A5329" w:rsidRPr="002029AF">
        <w:t xml:space="preserve"> </w:t>
      </w:r>
      <w:r w:rsidRPr="002029AF">
        <w:t>to</w:t>
      </w:r>
      <w:r w:rsidR="000A5329" w:rsidRPr="002029AF">
        <w:t xml:space="preserve"> </w:t>
      </w:r>
      <w:r w:rsidRPr="002029AF">
        <w:t>by</w:t>
      </w:r>
      <w:r w:rsidR="000A5329" w:rsidRPr="002029AF">
        <w:t xml:space="preserve"> </w:t>
      </w:r>
      <w:r w:rsidRPr="002029AF">
        <w:t>the</w:t>
      </w:r>
      <w:r w:rsidR="000A5329" w:rsidRPr="002029AF">
        <w:t xml:space="preserve"> </w:t>
      </w:r>
      <w:r w:rsidRPr="002029AF">
        <w:t>AASB</w:t>
      </w:r>
      <w:r w:rsidR="000A5329" w:rsidRPr="002029AF">
        <w:t xml:space="preserve"> </w:t>
      </w:r>
      <w:r w:rsidRPr="002029AF">
        <w:t>as</w:t>
      </w:r>
      <w:r w:rsidR="000A5329" w:rsidRPr="002029AF">
        <w:t xml:space="preserve"> </w:t>
      </w:r>
      <w:r w:rsidRPr="002029AF">
        <w:t>involuntary</w:t>
      </w:r>
      <w:r w:rsidR="000A5329" w:rsidRPr="002029AF">
        <w:t xml:space="preserve"> </w:t>
      </w:r>
      <w:r w:rsidRPr="002029AF">
        <w:t>transfers</w:t>
      </w:r>
      <w:r w:rsidR="000A5329" w:rsidRPr="002029AF">
        <w:t xml:space="preserve"> </w:t>
      </w:r>
      <w:r w:rsidRPr="002029AF">
        <w:t>and</w:t>
      </w:r>
      <w:r w:rsidR="000A5329" w:rsidRPr="002029AF">
        <w:t xml:space="preserve"> </w:t>
      </w:r>
      <w:r w:rsidRPr="002029AF">
        <w:t>are</w:t>
      </w:r>
      <w:r w:rsidR="000A5329" w:rsidRPr="002029AF">
        <w:t xml:space="preserve"> </w:t>
      </w:r>
      <w:r w:rsidRPr="002029AF">
        <w:t>termed</w:t>
      </w:r>
      <w:r w:rsidR="000A5329" w:rsidRPr="002029AF">
        <w:t xml:space="preserve"> </w:t>
      </w:r>
      <w:r w:rsidRPr="002029AF">
        <w:t>non-reciprocal</w:t>
      </w:r>
      <w:r w:rsidR="000A5329" w:rsidRPr="002029AF">
        <w:t xml:space="preserve"> </w:t>
      </w:r>
      <w:r w:rsidRPr="002029AF">
        <w:t>transfers.</w:t>
      </w:r>
      <w:r w:rsidR="000A5329" w:rsidRPr="002029AF">
        <w:t xml:space="preserve"> </w:t>
      </w:r>
      <w:r w:rsidRPr="002029AF">
        <w:t>Receipt</w:t>
      </w:r>
      <w:r w:rsidR="000A5329" w:rsidRPr="002029AF">
        <w:t xml:space="preserve"> </w:t>
      </w:r>
      <w:r w:rsidRPr="002029AF">
        <w:t>and</w:t>
      </w:r>
      <w:r w:rsidR="000A5329" w:rsidRPr="002029AF">
        <w:t xml:space="preserve"> </w:t>
      </w:r>
      <w:r w:rsidRPr="002029AF">
        <w:t>sacrifice</w:t>
      </w:r>
      <w:r w:rsidR="000A5329" w:rsidRPr="002029AF">
        <w:t xml:space="preserve"> </w:t>
      </w:r>
      <w:r w:rsidRPr="002029AF">
        <w:t>of</w:t>
      </w:r>
      <w:r w:rsidR="000A5329" w:rsidRPr="002029AF">
        <w:t xml:space="preserve"> </w:t>
      </w:r>
      <w:r w:rsidRPr="002029AF">
        <w:t>approximately</w:t>
      </w:r>
      <w:r w:rsidR="000A5329" w:rsidRPr="002029AF">
        <w:t xml:space="preserve"> </w:t>
      </w:r>
      <w:r w:rsidRPr="002029AF">
        <w:t>equal</w:t>
      </w:r>
      <w:r w:rsidR="000A5329" w:rsidRPr="002029AF">
        <w:t xml:space="preserve"> </w:t>
      </w:r>
      <w:r w:rsidRPr="002029AF">
        <w:t>value</w:t>
      </w:r>
      <w:r w:rsidR="000A5329" w:rsidRPr="002029AF">
        <w:t xml:space="preserve"> </w:t>
      </w:r>
      <w:r w:rsidRPr="002029AF">
        <w:t>may</w:t>
      </w:r>
      <w:r w:rsidR="000A5329" w:rsidRPr="002029AF">
        <w:t xml:space="preserve"> </w:t>
      </w:r>
      <w:r w:rsidRPr="002029AF">
        <w:t>occur,</w:t>
      </w:r>
      <w:r w:rsidR="000A5329" w:rsidRPr="002029AF">
        <w:t xml:space="preserve"> </w:t>
      </w:r>
      <w:r w:rsidRPr="002029AF">
        <w:t>but</w:t>
      </w:r>
      <w:r w:rsidR="000A5329" w:rsidRPr="002029AF">
        <w:t xml:space="preserve"> </w:t>
      </w:r>
      <w:r w:rsidRPr="002029AF">
        <w:t>only</w:t>
      </w:r>
      <w:r w:rsidR="000A5329" w:rsidRPr="002029AF">
        <w:t xml:space="preserve"> </w:t>
      </w:r>
      <w:r w:rsidRPr="002029AF">
        <w:t>by</w:t>
      </w:r>
      <w:r w:rsidR="000A5329" w:rsidRPr="002029AF">
        <w:t xml:space="preserve"> </w:t>
      </w:r>
      <w:r w:rsidRPr="002029AF">
        <w:t>coincidence.</w:t>
      </w:r>
      <w:r w:rsidR="000A5329" w:rsidRPr="002029AF">
        <w:t xml:space="preserve"> </w:t>
      </w:r>
      <w:r w:rsidRPr="002029AF">
        <w:t>For</w:t>
      </w:r>
      <w:r w:rsidR="000A5329" w:rsidRPr="002029AF">
        <w:t xml:space="preserve"> </w:t>
      </w:r>
      <w:r w:rsidRPr="002029AF">
        <w:t>example,</w:t>
      </w:r>
      <w:r w:rsidR="000A5329" w:rsidRPr="002029AF">
        <w:t xml:space="preserve"> </w:t>
      </w:r>
      <w:r w:rsidRPr="002029AF">
        <w:t>governments</w:t>
      </w:r>
      <w:r w:rsidR="000A5329" w:rsidRPr="002029AF">
        <w:t xml:space="preserve"> </w:t>
      </w:r>
      <w:r w:rsidRPr="002029AF">
        <w:t>are</w:t>
      </w:r>
      <w:r w:rsidR="000A5329" w:rsidRPr="002029AF">
        <w:t xml:space="preserve"> </w:t>
      </w:r>
      <w:r w:rsidRPr="002029AF">
        <w:t>not</w:t>
      </w:r>
      <w:r w:rsidR="000A5329" w:rsidRPr="002029AF">
        <w:t xml:space="preserve"> </w:t>
      </w:r>
      <w:r w:rsidRPr="002029AF">
        <w:t>obliged</w:t>
      </w:r>
      <w:r w:rsidR="000A5329" w:rsidRPr="002029AF">
        <w:t xml:space="preserve"> </w:t>
      </w:r>
      <w:r w:rsidRPr="002029AF">
        <w:t>to</w:t>
      </w:r>
      <w:r w:rsidR="000A5329" w:rsidRPr="002029AF">
        <w:t xml:space="preserve"> </w:t>
      </w:r>
      <w:r w:rsidRPr="002029AF">
        <w:t>provide</w:t>
      </w:r>
      <w:r w:rsidR="000A5329" w:rsidRPr="002029AF">
        <w:t xml:space="preserve"> </w:t>
      </w:r>
      <w:r w:rsidRPr="002029AF">
        <w:t>commensurate</w:t>
      </w:r>
      <w:r w:rsidR="000A5329" w:rsidRPr="002029AF">
        <w:t xml:space="preserve"> </w:t>
      </w:r>
      <w:r w:rsidRPr="002029AF">
        <w:t>benefits,</w:t>
      </w:r>
      <w:r w:rsidR="000A5329" w:rsidRPr="002029AF">
        <w:t xml:space="preserve"> </w:t>
      </w:r>
      <w:r w:rsidRPr="002029AF">
        <w:t>in</w:t>
      </w:r>
      <w:r w:rsidR="000A5329" w:rsidRPr="002029AF">
        <w:t xml:space="preserve"> </w:t>
      </w:r>
      <w:r w:rsidRPr="002029AF">
        <w:t>the</w:t>
      </w:r>
      <w:r w:rsidR="000A5329" w:rsidRPr="002029AF">
        <w:t xml:space="preserve"> </w:t>
      </w:r>
      <w:r w:rsidRPr="002029AF">
        <w:t>form</w:t>
      </w:r>
      <w:r w:rsidR="000A5329" w:rsidRPr="002029AF">
        <w:t xml:space="preserve"> </w:t>
      </w:r>
      <w:r w:rsidRPr="002029AF">
        <w:t>of</w:t>
      </w:r>
      <w:r w:rsidR="000A5329" w:rsidRPr="002029AF">
        <w:t xml:space="preserve"> </w:t>
      </w:r>
      <w:r w:rsidRPr="002029AF">
        <w:t>goods</w:t>
      </w:r>
      <w:r w:rsidR="000A5329" w:rsidRPr="002029AF">
        <w:t xml:space="preserve"> </w:t>
      </w:r>
      <w:r w:rsidRPr="002029AF">
        <w:t>or</w:t>
      </w:r>
      <w:r w:rsidR="000A5329" w:rsidRPr="002029AF">
        <w:t xml:space="preserve"> </w:t>
      </w:r>
      <w:r w:rsidRPr="002029AF">
        <w:t>services,</w:t>
      </w:r>
      <w:r w:rsidR="000A5329" w:rsidRPr="002029AF">
        <w:t xml:space="preserve"> </w:t>
      </w:r>
      <w:r w:rsidRPr="002029AF">
        <w:t>to</w:t>
      </w:r>
      <w:r w:rsidR="000A5329" w:rsidRPr="002029AF">
        <w:t xml:space="preserve"> </w:t>
      </w:r>
      <w:r w:rsidRPr="002029AF">
        <w:t>particular</w:t>
      </w:r>
      <w:r w:rsidR="000A5329" w:rsidRPr="002029AF">
        <w:t xml:space="preserve"> </w:t>
      </w:r>
      <w:r w:rsidRPr="002029AF">
        <w:t>taxpayers</w:t>
      </w:r>
      <w:r w:rsidR="000A5329" w:rsidRPr="002029AF">
        <w:t xml:space="preserve"> </w:t>
      </w:r>
      <w:r w:rsidRPr="002029AF">
        <w:t>in</w:t>
      </w:r>
      <w:r w:rsidR="000A5329" w:rsidRPr="002029AF">
        <w:t xml:space="preserve"> </w:t>
      </w:r>
      <w:r w:rsidRPr="002029AF">
        <w:t>return</w:t>
      </w:r>
      <w:r w:rsidR="000A5329" w:rsidRPr="002029AF">
        <w:t xml:space="preserve"> </w:t>
      </w:r>
      <w:r w:rsidRPr="002029AF">
        <w:t>for</w:t>
      </w:r>
      <w:r w:rsidR="000A5329" w:rsidRPr="002029AF">
        <w:t xml:space="preserve"> </w:t>
      </w:r>
      <w:r w:rsidRPr="002029AF">
        <w:t>their</w:t>
      </w:r>
      <w:r w:rsidR="000A5329" w:rsidRPr="002029AF">
        <w:t xml:space="preserve"> </w:t>
      </w:r>
      <w:r w:rsidRPr="002029AF">
        <w:t>taxes.</w:t>
      </w:r>
    </w:p>
    <w:p w14:paraId="68AF603A" w14:textId="6A029EDB" w:rsidR="00087B91" w:rsidRPr="002029AF" w:rsidRDefault="00087B91" w:rsidP="00087B91">
      <w:pPr>
        <w:pStyle w:val="ARfinbody"/>
      </w:pPr>
      <w:r w:rsidRPr="002029AF">
        <w:t>Grants</w:t>
      </w:r>
      <w:r w:rsidR="000A5329" w:rsidRPr="002029AF">
        <w:t xml:space="preserve"> </w:t>
      </w:r>
      <w:r w:rsidRPr="002029AF">
        <w:t>can</w:t>
      </w:r>
      <w:r w:rsidR="000A5329" w:rsidRPr="002029AF">
        <w:t xml:space="preserve"> </w:t>
      </w:r>
      <w:r w:rsidRPr="002029AF">
        <w:t>be</w:t>
      </w:r>
      <w:r w:rsidR="000A5329" w:rsidRPr="002029AF">
        <w:t xml:space="preserve"> </w:t>
      </w:r>
      <w:r w:rsidRPr="002029AF">
        <w:t>paid</w:t>
      </w:r>
      <w:r w:rsidR="000A5329" w:rsidRPr="002029AF">
        <w:t xml:space="preserve"> </w:t>
      </w:r>
      <w:r w:rsidRPr="002029AF">
        <w:t>as</w:t>
      </w:r>
      <w:r w:rsidR="000A5329" w:rsidRPr="002029AF">
        <w:t xml:space="preserve"> </w:t>
      </w:r>
      <w:r w:rsidRPr="002029AF">
        <w:t>general</w:t>
      </w:r>
      <w:r w:rsidR="009F3319" w:rsidRPr="002029AF">
        <w:t>-</w:t>
      </w:r>
      <w:r w:rsidRPr="002029AF">
        <w:t>purpose</w:t>
      </w:r>
      <w:r w:rsidR="000A5329" w:rsidRPr="002029AF">
        <w:t xml:space="preserve"> </w:t>
      </w:r>
      <w:r w:rsidRPr="002029AF">
        <w:t>grants</w:t>
      </w:r>
      <w:r w:rsidR="000A5329" w:rsidRPr="002029AF">
        <w:t xml:space="preserve"> </w:t>
      </w:r>
      <w:r w:rsidRPr="002029AF">
        <w:t>which</w:t>
      </w:r>
      <w:r w:rsidR="000A5329" w:rsidRPr="002029AF">
        <w:t xml:space="preserve"> </w:t>
      </w:r>
      <w:r w:rsidRPr="002029AF">
        <w:t>refer</w:t>
      </w:r>
      <w:r w:rsidR="000A5329" w:rsidRPr="002029AF">
        <w:t xml:space="preserve"> </w:t>
      </w:r>
      <w:r w:rsidRPr="002029AF">
        <w:t>to</w:t>
      </w:r>
      <w:r w:rsidR="000A5329" w:rsidRPr="002029AF">
        <w:t xml:space="preserve"> </w:t>
      </w:r>
      <w:r w:rsidRPr="002029AF">
        <w:t>grants</w:t>
      </w:r>
      <w:r w:rsidR="000A5329" w:rsidRPr="002029AF">
        <w:t xml:space="preserve"> </w:t>
      </w:r>
      <w:r w:rsidRPr="002029AF">
        <w:t>that</w:t>
      </w:r>
      <w:r w:rsidR="000A5329" w:rsidRPr="002029AF">
        <w:t xml:space="preserve"> </w:t>
      </w:r>
      <w:r w:rsidRPr="002029AF">
        <w:t>are</w:t>
      </w:r>
      <w:r w:rsidR="000A5329" w:rsidRPr="002029AF">
        <w:t xml:space="preserve"> </w:t>
      </w:r>
      <w:r w:rsidRPr="002029AF">
        <w:t>not</w:t>
      </w:r>
      <w:r w:rsidR="000A5329" w:rsidRPr="002029AF">
        <w:t xml:space="preserve"> </w:t>
      </w:r>
      <w:r w:rsidRPr="002029AF">
        <w:t>subject</w:t>
      </w:r>
      <w:r w:rsidR="000A5329" w:rsidRPr="002029AF">
        <w:t xml:space="preserve"> </w:t>
      </w:r>
      <w:r w:rsidRPr="002029AF">
        <w:t>to</w:t>
      </w:r>
      <w:r w:rsidR="000A5329" w:rsidRPr="002029AF">
        <w:t xml:space="preserve"> </w:t>
      </w:r>
      <w:r w:rsidRPr="002029AF">
        <w:t>conditions</w:t>
      </w:r>
      <w:r w:rsidR="000A5329" w:rsidRPr="002029AF">
        <w:t xml:space="preserve"> </w:t>
      </w:r>
      <w:r w:rsidRPr="002029AF">
        <w:t>regarding</w:t>
      </w:r>
      <w:r w:rsidR="000A5329" w:rsidRPr="002029AF">
        <w:t xml:space="preserve"> </w:t>
      </w:r>
      <w:r w:rsidRPr="002029AF">
        <w:t>their</w:t>
      </w:r>
      <w:r w:rsidR="000A5329" w:rsidRPr="002029AF">
        <w:t xml:space="preserve"> </w:t>
      </w:r>
      <w:r w:rsidRPr="002029AF">
        <w:t>use.</w:t>
      </w:r>
      <w:r w:rsidR="000A5329" w:rsidRPr="002029AF">
        <w:t xml:space="preserve"> </w:t>
      </w:r>
      <w:r w:rsidRPr="002029AF">
        <w:t>Alternatively,</w:t>
      </w:r>
      <w:r w:rsidR="000A5329" w:rsidRPr="002029AF">
        <w:t xml:space="preserve"> </w:t>
      </w:r>
      <w:r w:rsidRPr="002029AF">
        <w:t>they</w:t>
      </w:r>
      <w:r w:rsidR="000A5329" w:rsidRPr="002029AF">
        <w:t xml:space="preserve"> </w:t>
      </w:r>
      <w:r w:rsidRPr="002029AF">
        <w:t>may</w:t>
      </w:r>
      <w:r w:rsidR="000A5329" w:rsidRPr="002029AF">
        <w:t xml:space="preserve"> </w:t>
      </w:r>
      <w:r w:rsidRPr="002029AF">
        <w:t>be</w:t>
      </w:r>
      <w:r w:rsidR="000A5329" w:rsidRPr="002029AF">
        <w:t xml:space="preserve"> </w:t>
      </w:r>
      <w:r w:rsidRPr="002029AF">
        <w:t>paid</w:t>
      </w:r>
      <w:r w:rsidR="000A5329" w:rsidRPr="002029AF">
        <w:t xml:space="preserve"> </w:t>
      </w:r>
      <w:r w:rsidRPr="002029AF">
        <w:t>as</w:t>
      </w:r>
      <w:r w:rsidR="000A5329" w:rsidRPr="002029AF">
        <w:t xml:space="preserve"> </w:t>
      </w:r>
      <w:r w:rsidRPr="002029AF">
        <w:t>specific</w:t>
      </w:r>
      <w:r w:rsidR="000A5329" w:rsidRPr="002029AF">
        <w:t xml:space="preserve"> </w:t>
      </w:r>
      <w:r w:rsidRPr="002029AF">
        <w:t>purpose</w:t>
      </w:r>
      <w:r w:rsidR="000A5329" w:rsidRPr="002029AF">
        <w:t xml:space="preserve"> </w:t>
      </w:r>
      <w:r w:rsidRPr="002029AF">
        <w:t>grants</w:t>
      </w:r>
      <w:r w:rsidR="000A5329" w:rsidRPr="002029AF">
        <w:t xml:space="preserve"> </w:t>
      </w:r>
      <w:r w:rsidRPr="002029AF">
        <w:t>which</w:t>
      </w:r>
      <w:r w:rsidR="000A5329" w:rsidRPr="002029AF">
        <w:t xml:space="preserve"> </w:t>
      </w:r>
      <w:r w:rsidRPr="002029AF">
        <w:t>are</w:t>
      </w:r>
      <w:r w:rsidR="000A5329" w:rsidRPr="002029AF">
        <w:t xml:space="preserve"> </w:t>
      </w:r>
      <w:r w:rsidRPr="002029AF">
        <w:t>paid</w:t>
      </w:r>
      <w:r w:rsidR="000A5329" w:rsidRPr="002029AF">
        <w:t xml:space="preserve"> </w:t>
      </w:r>
      <w:r w:rsidRPr="002029AF">
        <w:t>for</w:t>
      </w:r>
      <w:r w:rsidR="000A5329" w:rsidRPr="002029AF">
        <w:t xml:space="preserve"> </w:t>
      </w:r>
      <w:r w:rsidRPr="002029AF">
        <w:t>a</w:t>
      </w:r>
      <w:r w:rsidR="000A5329" w:rsidRPr="002029AF">
        <w:t xml:space="preserve"> </w:t>
      </w:r>
      <w:r w:rsidRPr="002029AF">
        <w:t>particular</w:t>
      </w:r>
      <w:r w:rsidR="000A5329" w:rsidRPr="002029AF">
        <w:t xml:space="preserve"> </w:t>
      </w:r>
      <w:r w:rsidRPr="002029AF">
        <w:t>purpose</w:t>
      </w:r>
      <w:r w:rsidR="000A5329" w:rsidRPr="002029AF">
        <w:t xml:space="preserve"> </w:t>
      </w:r>
      <w:r w:rsidRPr="002029AF">
        <w:t>and/or</w:t>
      </w:r>
      <w:r w:rsidR="000A5329" w:rsidRPr="002029AF">
        <w:t xml:space="preserve"> </w:t>
      </w:r>
      <w:r w:rsidRPr="002029AF">
        <w:t>have</w:t>
      </w:r>
      <w:r w:rsidR="000A5329" w:rsidRPr="002029AF">
        <w:t xml:space="preserve"> </w:t>
      </w:r>
      <w:r w:rsidRPr="002029AF">
        <w:t>conditions</w:t>
      </w:r>
      <w:r w:rsidR="000A5329" w:rsidRPr="002029AF">
        <w:t xml:space="preserve"> </w:t>
      </w:r>
      <w:r w:rsidRPr="002029AF">
        <w:t>attached</w:t>
      </w:r>
      <w:r w:rsidR="000A5329" w:rsidRPr="002029AF">
        <w:t xml:space="preserve"> </w:t>
      </w:r>
      <w:r w:rsidRPr="002029AF">
        <w:t>regarding</w:t>
      </w:r>
      <w:r w:rsidR="000A5329" w:rsidRPr="002029AF">
        <w:t xml:space="preserve"> </w:t>
      </w:r>
      <w:r w:rsidRPr="002029AF">
        <w:t>their</w:t>
      </w:r>
      <w:r w:rsidR="000A5329" w:rsidRPr="002029AF">
        <w:t xml:space="preserve"> </w:t>
      </w:r>
      <w:r w:rsidRPr="002029AF">
        <w:t>use.</w:t>
      </w:r>
    </w:p>
    <w:p w14:paraId="2B0B72C7" w14:textId="1DD8596D" w:rsidR="00087B91" w:rsidRPr="002029AF" w:rsidRDefault="00087B91" w:rsidP="00087B91">
      <w:pPr>
        <w:pStyle w:val="ARfinbody"/>
      </w:pPr>
      <w:r w:rsidRPr="002029AF">
        <w:rPr>
          <w:rStyle w:val="Strong"/>
        </w:rPr>
        <w:t>General</w:t>
      </w:r>
      <w:r w:rsidR="000A5329" w:rsidRPr="002029AF">
        <w:rPr>
          <w:rStyle w:val="Strong"/>
        </w:rPr>
        <w:t xml:space="preserve"> </w:t>
      </w:r>
      <w:r w:rsidRPr="002029AF">
        <w:rPr>
          <w:rStyle w:val="Strong"/>
        </w:rPr>
        <w:t>government</w:t>
      </w:r>
      <w:r w:rsidR="000A5329" w:rsidRPr="002029AF">
        <w:rPr>
          <w:rStyle w:val="Strong"/>
        </w:rPr>
        <w:t xml:space="preserve"> </w:t>
      </w:r>
      <w:r w:rsidRPr="002029AF">
        <w:rPr>
          <w:rStyle w:val="Strong"/>
        </w:rPr>
        <w:t>sector</w:t>
      </w:r>
      <w:r w:rsidR="000A5329" w:rsidRPr="002029AF">
        <w:t xml:space="preserve"> </w:t>
      </w:r>
      <w:r w:rsidRPr="002029AF">
        <w:t>comprises</w:t>
      </w:r>
      <w:r w:rsidR="000A5329" w:rsidRPr="002029AF">
        <w:t xml:space="preserve"> </w:t>
      </w:r>
      <w:r w:rsidRPr="002029AF">
        <w:t>all</w:t>
      </w:r>
      <w:r w:rsidR="000A5329" w:rsidRPr="002029AF">
        <w:t xml:space="preserve"> </w:t>
      </w:r>
      <w:r w:rsidRPr="002029AF">
        <w:t>government</w:t>
      </w:r>
      <w:r w:rsidR="000A5329" w:rsidRPr="002029AF">
        <w:t xml:space="preserve"> </w:t>
      </w:r>
      <w:r w:rsidRPr="002029AF">
        <w:t>departments,</w:t>
      </w:r>
      <w:r w:rsidR="000A5329" w:rsidRPr="002029AF">
        <w:t xml:space="preserve"> </w:t>
      </w:r>
      <w:r w:rsidRPr="002029AF">
        <w:t>offices</w:t>
      </w:r>
      <w:r w:rsidR="000A5329" w:rsidRPr="002029AF">
        <w:t xml:space="preserve"> </w:t>
      </w:r>
      <w:r w:rsidRPr="002029AF">
        <w:t>and</w:t>
      </w:r>
      <w:r w:rsidR="000A5329" w:rsidRPr="002029AF">
        <w:t xml:space="preserve"> </w:t>
      </w:r>
      <w:r w:rsidRPr="002029AF">
        <w:t>other</w:t>
      </w:r>
      <w:r w:rsidR="000A5329" w:rsidRPr="002029AF">
        <w:t xml:space="preserve"> </w:t>
      </w:r>
      <w:r w:rsidRPr="002029AF">
        <w:t>bodies</w:t>
      </w:r>
      <w:r w:rsidR="000A5329" w:rsidRPr="002029AF">
        <w:t xml:space="preserve"> </w:t>
      </w:r>
      <w:r w:rsidRPr="002029AF">
        <w:t>engaged</w:t>
      </w:r>
      <w:r w:rsidR="000A5329" w:rsidRPr="002029AF">
        <w:t xml:space="preserve"> </w:t>
      </w:r>
      <w:r w:rsidRPr="002029AF">
        <w:t>in</w:t>
      </w:r>
      <w:r w:rsidR="000A5329" w:rsidRPr="002029AF">
        <w:t xml:space="preserve"> </w:t>
      </w:r>
      <w:r w:rsidRPr="002029AF">
        <w:t>providing</w:t>
      </w:r>
      <w:r w:rsidR="000A5329" w:rsidRPr="002029AF">
        <w:t xml:space="preserve"> </w:t>
      </w:r>
      <w:r w:rsidRPr="002029AF">
        <w:t>services</w:t>
      </w:r>
      <w:r w:rsidR="000A5329" w:rsidRPr="002029AF">
        <w:t xml:space="preserve"> </w:t>
      </w:r>
      <w:r w:rsidRPr="002029AF">
        <w:t>free</w:t>
      </w:r>
      <w:r w:rsidR="000A5329" w:rsidRPr="002029AF">
        <w:t xml:space="preserve"> </w:t>
      </w:r>
      <w:r w:rsidRPr="002029AF">
        <w:t>of</w:t>
      </w:r>
      <w:r w:rsidR="000A5329" w:rsidRPr="002029AF">
        <w:t xml:space="preserve"> </w:t>
      </w:r>
      <w:r w:rsidRPr="002029AF">
        <w:t>charge</w:t>
      </w:r>
      <w:r w:rsidR="000A5329" w:rsidRPr="002029AF">
        <w:t xml:space="preserve"> </w:t>
      </w:r>
      <w:r w:rsidRPr="002029AF">
        <w:t>or</w:t>
      </w:r>
      <w:r w:rsidR="000A5329" w:rsidRPr="002029AF">
        <w:t xml:space="preserve"> </w:t>
      </w:r>
      <w:r w:rsidRPr="002029AF">
        <w:t>at</w:t>
      </w:r>
      <w:r w:rsidR="000A5329" w:rsidRPr="002029AF">
        <w:t xml:space="preserve"> </w:t>
      </w:r>
      <w:r w:rsidRPr="002029AF">
        <w:t>prices</w:t>
      </w:r>
      <w:r w:rsidR="000A5329" w:rsidRPr="002029AF">
        <w:t xml:space="preserve"> </w:t>
      </w:r>
      <w:r w:rsidRPr="002029AF">
        <w:t>significantly</w:t>
      </w:r>
      <w:r w:rsidR="000A5329" w:rsidRPr="002029AF">
        <w:t xml:space="preserve"> </w:t>
      </w:r>
      <w:r w:rsidRPr="002029AF">
        <w:t>below</w:t>
      </w:r>
      <w:r w:rsidR="000A5329" w:rsidRPr="002029AF">
        <w:t xml:space="preserve"> </w:t>
      </w:r>
      <w:r w:rsidRPr="002029AF">
        <w:t>their</w:t>
      </w:r>
      <w:r w:rsidR="000A5329" w:rsidRPr="002029AF">
        <w:t xml:space="preserve"> </w:t>
      </w:r>
      <w:r w:rsidRPr="002029AF">
        <w:t>cost</w:t>
      </w:r>
      <w:r w:rsidR="000A5329" w:rsidRPr="002029AF">
        <w:t xml:space="preserve"> </w:t>
      </w:r>
      <w:r w:rsidRPr="002029AF">
        <w:t>of</w:t>
      </w:r>
      <w:r w:rsidR="000A5329" w:rsidRPr="002029AF">
        <w:t xml:space="preserve"> </w:t>
      </w:r>
      <w:r w:rsidRPr="002029AF">
        <w:t>production.</w:t>
      </w:r>
      <w:r w:rsidR="000A5329" w:rsidRPr="002029AF">
        <w:t xml:space="preserve"> </w:t>
      </w:r>
      <w:r w:rsidRPr="002029AF">
        <w:t>General</w:t>
      </w:r>
      <w:r w:rsidR="000A5329" w:rsidRPr="002029AF">
        <w:t xml:space="preserve"> </w:t>
      </w:r>
      <w:r w:rsidRPr="002029AF">
        <w:t>government</w:t>
      </w:r>
      <w:r w:rsidR="000A5329" w:rsidRPr="002029AF">
        <w:t xml:space="preserve"> </w:t>
      </w:r>
      <w:r w:rsidRPr="002029AF">
        <w:t>services</w:t>
      </w:r>
      <w:r w:rsidR="000A5329" w:rsidRPr="002029AF">
        <w:t xml:space="preserve"> </w:t>
      </w:r>
      <w:r w:rsidRPr="002029AF">
        <w:t>include</w:t>
      </w:r>
      <w:r w:rsidR="000A5329" w:rsidRPr="002029AF">
        <w:t xml:space="preserve"> </w:t>
      </w:r>
      <w:r w:rsidRPr="002029AF">
        <w:t>those</w:t>
      </w:r>
      <w:r w:rsidR="000A5329" w:rsidRPr="002029AF">
        <w:t xml:space="preserve"> </w:t>
      </w:r>
      <w:r w:rsidRPr="002029AF">
        <w:t>that</w:t>
      </w:r>
      <w:r w:rsidR="000A5329" w:rsidRPr="002029AF">
        <w:t xml:space="preserve"> </w:t>
      </w:r>
      <w:r w:rsidRPr="002029AF">
        <w:t>are</w:t>
      </w:r>
      <w:r w:rsidR="000A5329" w:rsidRPr="002029AF">
        <w:t xml:space="preserve"> </w:t>
      </w:r>
      <w:r w:rsidRPr="002029AF">
        <w:t>mainly</w:t>
      </w:r>
      <w:r w:rsidR="000A5329" w:rsidRPr="002029AF">
        <w:t xml:space="preserve"> </w:t>
      </w:r>
      <w:r w:rsidRPr="002029AF">
        <w:t>non-market</w:t>
      </w:r>
      <w:r w:rsidR="000A5329" w:rsidRPr="002029AF">
        <w:t xml:space="preserve"> </w:t>
      </w:r>
      <w:r w:rsidRPr="002029AF">
        <w:t>in</w:t>
      </w:r>
      <w:r w:rsidR="000A5329" w:rsidRPr="002029AF">
        <w:t xml:space="preserve"> </w:t>
      </w:r>
      <w:r w:rsidRPr="002029AF">
        <w:t>nature,</w:t>
      </w:r>
      <w:r w:rsidR="000A5329" w:rsidRPr="002029AF">
        <w:t xml:space="preserve"> </w:t>
      </w:r>
      <w:r w:rsidRPr="002029AF">
        <w:t>those</w:t>
      </w:r>
      <w:r w:rsidR="000A5329" w:rsidRPr="002029AF">
        <w:t xml:space="preserve"> </w:t>
      </w:r>
      <w:r w:rsidRPr="002029AF">
        <w:t>that</w:t>
      </w:r>
      <w:r w:rsidR="000A5329" w:rsidRPr="002029AF">
        <w:t xml:space="preserve"> </w:t>
      </w:r>
      <w:r w:rsidRPr="002029AF">
        <w:t>are</w:t>
      </w:r>
      <w:r w:rsidR="000A5329" w:rsidRPr="002029AF">
        <w:t xml:space="preserve"> </w:t>
      </w:r>
      <w:r w:rsidRPr="002029AF">
        <w:t>largely</w:t>
      </w:r>
      <w:r w:rsidR="000A5329" w:rsidRPr="002029AF">
        <w:t xml:space="preserve"> </w:t>
      </w:r>
      <w:r w:rsidRPr="002029AF">
        <w:t>for</w:t>
      </w:r>
      <w:r w:rsidR="000A5329" w:rsidRPr="002029AF">
        <w:t xml:space="preserve"> </w:t>
      </w:r>
      <w:r w:rsidRPr="002029AF">
        <w:t>collective</w:t>
      </w:r>
      <w:r w:rsidR="000A5329" w:rsidRPr="002029AF">
        <w:t xml:space="preserve"> </w:t>
      </w:r>
      <w:r w:rsidRPr="002029AF">
        <w:t>consumption</w:t>
      </w:r>
      <w:r w:rsidR="000A5329" w:rsidRPr="002029AF">
        <w:t xml:space="preserve"> </w:t>
      </w:r>
      <w:r w:rsidRPr="002029AF">
        <w:t>by</w:t>
      </w:r>
      <w:r w:rsidR="000A5329" w:rsidRPr="002029AF">
        <w:t xml:space="preserve"> </w:t>
      </w:r>
      <w:r w:rsidRPr="002029AF">
        <w:t>the</w:t>
      </w:r>
      <w:r w:rsidR="000A5329" w:rsidRPr="002029AF">
        <w:t xml:space="preserve"> </w:t>
      </w:r>
      <w:r w:rsidRPr="002029AF">
        <w:t>community</w:t>
      </w:r>
      <w:r w:rsidR="000A5329" w:rsidRPr="002029AF">
        <w:t xml:space="preserve"> </w:t>
      </w:r>
      <w:r w:rsidRPr="002029AF">
        <w:t>and</w:t>
      </w:r>
      <w:r w:rsidR="000A5329" w:rsidRPr="002029AF">
        <w:t xml:space="preserve"> </w:t>
      </w:r>
      <w:r w:rsidRPr="002029AF">
        <w:t>those</w:t>
      </w:r>
      <w:r w:rsidR="000A5329" w:rsidRPr="002029AF">
        <w:t xml:space="preserve"> </w:t>
      </w:r>
      <w:r w:rsidRPr="002029AF">
        <w:t>that</w:t>
      </w:r>
      <w:r w:rsidR="000A5329" w:rsidRPr="002029AF">
        <w:t xml:space="preserve"> </w:t>
      </w:r>
      <w:r w:rsidRPr="002029AF">
        <w:t>involve</w:t>
      </w:r>
      <w:r w:rsidR="000A5329" w:rsidRPr="002029AF">
        <w:t xml:space="preserve"> </w:t>
      </w:r>
      <w:r w:rsidRPr="002029AF">
        <w:t>the</w:t>
      </w:r>
      <w:r w:rsidR="000A5329" w:rsidRPr="002029AF">
        <w:t xml:space="preserve"> </w:t>
      </w:r>
      <w:r w:rsidRPr="002029AF">
        <w:t>transfer</w:t>
      </w:r>
      <w:r w:rsidR="000A5329" w:rsidRPr="002029AF">
        <w:t xml:space="preserve"> </w:t>
      </w:r>
      <w:r w:rsidRPr="002029AF">
        <w:t>or</w:t>
      </w:r>
      <w:r w:rsidR="000A5329" w:rsidRPr="002029AF">
        <w:t xml:space="preserve"> </w:t>
      </w:r>
      <w:r w:rsidRPr="002029AF">
        <w:t>redistribution</w:t>
      </w:r>
      <w:r w:rsidR="000A5329" w:rsidRPr="002029AF">
        <w:t xml:space="preserve"> </w:t>
      </w:r>
      <w:r w:rsidRPr="002029AF">
        <w:t>of</w:t>
      </w:r>
      <w:r w:rsidR="000A5329" w:rsidRPr="002029AF">
        <w:t xml:space="preserve"> </w:t>
      </w:r>
      <w:r w:rsidRPr="002029AF">
        <w:t>income.</w:t>
      </w:r>
      <w:r w:rsidR="000A5329" w:rsidRPr="002029AF">
        <w:t xml:space="preserve"> </w:t>
      </w:r>
      <w:r w:rsidRPr="002029AF">
        <w:t>These</w:t>
      </w:r>
      <w:r w:rsidR="000A5329" w:rsidRPr="002029AF">
        <w:t xml:space="preserve"> </w:t>
      </w:r>
      <w:r w:rsidRPr="002029AF">
        <w:t>services</w:t>
      </w:r>
      <w:r w:rsidR="000A5329" w:rsidRPr="002029AF">
        <w:t xml:space="preserve"> </w:t>
      </w:r>
      <w:r w:rsidRPr="002029AF">
        <w:t>are</w:t>
      </w:r>
      <w:r w:rsidR="000A5329" w:rsidRPr="002029AF">
        <w:t xml:space="preserve"> </w:t>
      </w:r>
      <w:r w:rsidRPr="002029AF">
        <w:t>financed</w:t>
      </w:r>
      <w:r w:rsidR="000A5329" w:rsidRPr="002029AF">
        <w:t xml:space="preserve"> </w:t>
      </w:r>
      <w:r w:rsidRPr="002029AF">
        <w:t>mainly</w:t>
      </w:r>
      <w:r w:rsidR="000A5329" w:rsidRPr="002029AF">
        <w:t xml:space="preserve"> </w:t>
      </w:r>
      <w:r w:rsidRPr="002029AF">
        <w:t>through</w:t>
      </w:r>
      <w:r w:rsidR="000A5329" w:rsidRPr="002029AF">
        <w:t xml:space="preserve"> </w:t>
      </w:r>
      <w:r w:rsidRPr="002029AF">
        <w:t>taxes,</w:t>
      </w:r>
      <w:r w:rsidR="000A5329" w:rsidRPr="002029AF">
        <w:t xml:space="preserve"> </w:t>
      </w:r>
      <w:r w:rsidRPr="002029AF">
        <w:t>or</w:t>
      </w:r>
      <w:r w:rsidR="000A5329" w:rsidRPr="002029AF">
        <w:t xml:space="preserve"> </w:t>
      </w:r>
      <w:r w:rsidRPr="002029AF">
        <w:t>other</w:t>
      </w:r>
      <w:r w:rsidR="000A5329" w:rsidRPr="002029AF">
        <w:t xml:space="preserve"> </w:t>
      </w:r>
      <w:r w:rsidRPr="002029AF">
        <w:t>compulsory</w:t>
      </w:r>
      <w:r w:rsidR="000A5329" w:rsidRPr="002029AF">
        <w:t xml:space="preserve"> </w:t>
      </w:r>
      <w:r w:rsidRPr="002029AF">
        <w:t>levies</w:t>
      </w:r>
      <w:r w:rsidR="000A5329" w:rsidRPr="002029AF">
        <w:t xml:space="preserve"> </w:t>
      </w:r>
      <w:r w:rsidRPr="002029AF">
        <w:t>and</w:t>
      </w:r>
      <w:r w:rsidR="000A5329" w:rsidRPr="002029AF">
        <w:t xml:space="preserve"> </w:t>
      </w:r>
      <w:r w:rsidRPr="002029AF">
        <w:t>user</w:t>
      </w:r>
      <w:r w:rsidR="000A5329" w:rsidRPr="002029AF">
        <w:t xml:space="preserve"> </w:t>
      </w:r>
      <w:r w:rsidRPr="002029AF">
        <w:t>charges.</w:t>
      </w:r>
    </w:p>
    <w:p w14:paraId="713F10BC" w14:textId="37A262D5" w:rsidR="00087B91" w:rsidRPr="002029AF" w:rsidRDefault="00087B91" w:rsidP="00087B91">
      <w:pPr>
        <w:pStyle w:val="ARfinbody"/>
      </w:pPr>
      <w:r w:rsidRPr="002029AF">
        <w:rPr>
          <w:rStyle w:val="Strong"/>
        </w:rPr>
        <w:t>Grants</w:t>
      </w:r>
      <w:r w:rsidR="000A5329" w:rsidRPr="002029AF">
        <w:rPr>
          <w:rStyle w:val="Strong"/>
        </w:rPr>
        <w:t xml:space="preserve"> </w:t>
      </w:r>
      <w:r w:rsidRPr="002029AF">
        <w:rPr>
          <w:rStyle w:val="Strong"/>
        </w:rPr>
        <w:t>for</w:t>
      </w:r>
      <w:r w:rsidR="000A5329" w:rsidRPr="002029AF">
        <w:rPr>
          <w:rStyle w:val="Strong"/>
        </w:rPr>
        <w:t xml:space="preserve"> </w:t>
      </w:r>
      <w:r w:rsidRPr="002029AF">
        <w:rPr>
          <w:rStyle w:val="Strong"/>
        </w:rPr>
        <w:t>on-passing</w:t>
      </w:r>
      <w:r w:rsidR="000A5329" w:rsidRPr="002029AF">
        <w:t xml:space="preserve"> </w:t>
      </w:r>
      <w:r w:rsidRPr="002029AF">
        <w:t>are</w:t>
      </w:r>
      <w:r w:rsidR="000A5329" w:rsidRPr="002029AF">
        <w:t xml:space="preserve"> </w:t>
      </w:r>
      <w:r w:rsidRPr="002029AF">
        <w:t>grants</w:t>
      </w:r>
      <w:r w:rsidR="000A5329" w:rsidRPr="002029AF">
        <w:t xml:space="preserve"> </w:t>
      </w:r>
      <w:r w:rsidRPr="002029AF">
        <w:t>paid</w:t>
      </w:r>
      <w:r w:rsidR="000A5329" w:rsidRPr="002029AF">
        <w:t xml:space="preserve"> </w:t>
      </w:r>
      <w:r w:rsidRPr="002029AF">
        <w:t>to</w:t>
      </w:r>
      <w:r w:rsidR="000A5329" w:rsidRPr="002029AF">
        <w:t xml:space="preserve"> </w:t>
      </w:r>
      <w:r w:rsidRPr="002029AF">
        <w:t>one</w:t>
      </w:r>
      <w:r w:rsidR="000A5329" w:rsidRPr="002029AF">
        <w:t xml:space="preserve"> </w:t>
      </w:r>
      <w:r w:rsidRPr="002029AF">
        <w:t>institutional</w:t>
      </w:r>
      <w:r w:rsidR="000A5329" w:rsidRPr="002029AF">
        <w:t xml:space="preserve"> </w:t>
      </w:r>
      <w:r w:rsidRPr="002029AF">
        <w:t>sector</w:t>
      </w:r>
      <w:r w:rsidR="000A5329" w:rsidRPr="002029AF">
        <w:t xml:space="preserve"> </w:t>
      </w:r>
      <w:r w:rsidRPr="002029AF">
        <w:t>(for</w:t>
      </w:r>
      <w:r w:rsidR="000A5329" w:rsidRPr="002029AF">
        <w:t xml:space="preserve"> </w:t>
      </w:r>
      <w:r w:rsidRPr="002029AF">
        <w:t>example</w:t>
      </w:r>
      <w:r w:rsidR="000A5329" w:rsidRPr="002029AF">
        <w:t xml:space="preserve"> </w:t>
      </w:r>
      <w:r w:rsidRPr="002029AF">
        <w:t>a</w:t>
      </w:r>
      <w:r w:rsidR="000A5329" w:rsidRPr="002029AF">
        <w:t xml:space="preserve"> </w:t>
      </w:r>
      <w:r w:rsidRPr="002029AF">
        <w:t>state</w:t>
      </w:r>
      <w:r w:rsidR="000A5329" w:rsidRPr="002029AF">
        <w:t xml:space="preserve"> </w:t>
      </w:r>
      <w:r w:rsidRPr="002029AF">
        <w:t>general</w:t>
      </w:r>
      <w:r w:rsidR="000A5329" w:rsidRPr="002029AF">
        <w:t xml:space="preserve"> </w:t>
      </w:r>
      <w:r w:rsidRPr="002029AF">
        <w:t>government</w:t>
      </w:r>
      <w:r w:rsidR="000A5329" w:rsidRPr="002029AF">
        <w:t xml:space="preserve"> </w:t>
      </w:r>
      <w:r w:rsidRPr="002029AF">
        <w:t>entity)</w:t>
      </w:r>
      <w:r w:rsidR="000A5329" w:rsidRPr="002029AF">
        <w:t xml:space="preserve"> </w:t>
      </w:r>
      <w:r w:rsidRPr="002029AF">
        <w:t>to</w:t>
      </w:r>
      <w:r w:rsidR="000A5329" w:rsidRPr="002029AF">
        <w:t xml:space="preserve"> </w:t>
      </w:r>
      <w:r w:rsidRPr="002029AF">
        <w:t>be</w:t>
      </w:r>
      <w:r w:rsidR="000A5329" w:rsidRPr="002029AF">
        <w:t xml:space="preserve"> </w:t>
      </w:r>
      <w:r w:rsidRPr="002029AF">
        <w:t>passed</w:t>
      </w:r>
      <w:r w:rsidR="000A5329" w:rsidRPr="002029AF">
        <w:t xml:space="preserve"> </w:t>
      </w:r>
      <w:r w:rsidRPr="002029AF">
        <w:t>on</w:t>
      </w:r>
      <w:r w:rsidR="000A5329" w:rsidRPr="002029AF">
        <w:t xml:space="preserve"> </w:t>
      </w:r>
      <w:r w:rsidRPr="002029AF">
        <w:t>to</w:t>
      </w:r>
      <w:r w:rsidR="000A5329" w:rsidRPr="002029AF">
        <w:t xml:space="preserve"> </w:t>
      </w:r>
      <w:r w:rsidRPr="002029AF">
        <w:t>another</w:t>
      </w:r>
      <w:r w:rsidR="000A5329" w:rsidRPr="002029AF">
        <w:t xml:space="preserve"> </w:t>
      </w:r>
      <w:r w:rsidRPr="002029AF">
        <w:t>institutional</w:t>
      </w:r>
      <w:r w:rsidR="000A5329" w:rsidRPr="002029AF">
        <w:t xml:space="preserve"> </w:t>
      </w:r>
      <w:r w:rsidRPr="002029AF">
        <w:t>sector</w:t>
      </w:r>
      <w:r w:rsidR="000A5329" w:rsidRPr="002029AF">
        <w:t xml:space="preserve"> </w:t>
      </w:r>
      <w:r w:rsidRPr="002029AF">
        <w:t>(for</w:t>
      </w:r>
      <w:r w:rsidR="000A5329" w:rsidRPr="002029AF">
        <w:t xml:space="preserve"> </w:t>
      </w:r>
      <w:r w:rsidRPr="002029AF">
        <w:t>example</w:t>
      </w:r>
      <w:r w:rsidR="000A5329" w:rsidRPr="002029AF">
        <w:t xml:space="preserve"> </w:t>
      </w:r>
      <w:r w:rsidRPr="002029AF">
        <w:t>local</w:t>
      </w:r>
      <w:r w:rsidR="000A5329" w:rsidRPr="002029AF">
        <w:t xml:space="preserve"> </w:t>
      </w:r>
      <w:r w:rsidRPr="002029AF">
        <w:t>government</w:t>
      </w:r>
      <w:r w:rsidR="000A5329" w:rsidRPr="002029AF">
        <w:t xml:space="preserve"> </w:t>
      </w:r>
      <w:r w:rsidRPr="002029AF">
        <w:t>or</w:t>
      </w:r>
      <w:r w:rsidR="000A5329" w:rsidRPr="002029AF">
        <w:t xml:space="preserve"> </w:t>
      </w:r>
      <w:r w:rsidRPr="002029AF">
        <w:t>a</w:t>
      </w:r>
      <w:r w:rsidR="000A5329" w:rsidRPr="002029AF">
        <w:t xml:space="preserve"> </w:t>
      </w:r>
      <w:r w:rsidRPr="002029AF">
        <w:t>private</w:t>
      </w:r>
      <w:r w:rsidR="000A5329" w:rsidRPr="002029AF">
        <w:t xml:space="preserve"> </w:t>
      </w:r>
      <w:r w:rsidRPr="002029AF">
        <w:t>non-profit</w:t>
      </w:r>
      <w:r w:rsidR="000A5329" w:rsidRPr="002029AF">
        <w:t xml:space="preserve"> </w:t>
      </w:r>
      <w:r w:rsidRPr="002029AF">
        <w:t>institution).</w:t>
      </w:r>
    </w:p>
    <w:p w14:paraId="1B71F156" w14:textId="6752CAF7" w:rsidR="00087B91" w:rsidRPr="002029AF" w:rsidRDefault="00087B91" w:rsidP="00087B91">
      <w:pPr>
        <w:pStyle w:val="ARfinbody"/>
      </w:pPr>
      <w:r w:rsidRPr="002029AF">
        <w:rPr>
          <w:rStyle w:val="Strong"/>
        </w:rPr>
        <w:t>Intangible</w:t>
      </w:r>
      <w:r w:rsidR="000A5329" w:rsidRPr="002029AF">
        <w:rPr>
          <w:rStyle w:val="Strong"/>
        </w:rPr>
        <w:t xml:space="preserve"> </w:t>
      </w:r>
      <w:r w:rsidRPr="002029AF">
        <w:rPr>
          <w:rStyle w:val="Strong"/>
        </w:rPr>
        <w:t>assets</w:t>
      </w:r>
      <w:r w:rsidR="000A5329" w:rsidRPr="002029AF">
        <w:t xml:space="preserve"> </w:t>
      </w:r>
      <w:r w:rsidRPr="002029AF">
        <w:t>represent</w:t>
      </w:r>
      <w:r w:rsidR="000A5329" w:rsidRPr="002029AF">
        <w:t xml:space="preserve"> </w:t>
      </w:r>
      <w:r w:rsidRPr="002029AF">
        <w:t>identifiable</w:t>
      </w:r>
      <w:r w:rsidR="000A5329" w:rsidRPr="002029AF">
        <w:t xml:space="preserve"> </w:t>
      </w:r>
      <w:r w:rsidRPr="002029AF">
        <w:t>non-monetary</w:t>
      </w:r>
      <w:r w:rsidR="000A5329" w:rsidRPr="002029AF">
        <w:t xml:space="preserve"> </w:t>
      </w:r>
      <w:r w:rsidRPr="002029AF">
        <w:t>assets</w:t>
      </w:r>
      <w:r w:rsidR="000A5329" w:rsidRPr="002029AF">
        <w:t xml:space="preserve"> </w:t>
      </w:r>
      <w:r w:rsidRPr="002029AF">
        <w:t>without</w:t>
      </w:r>
      <w:r w:rsidR="000A5329" w:rsidRPr="002029AF">
        <w:t xml:space="preserve"> </w:t>
      </w:r>
      <w:r w:rsidRPr="002029AF">
        <w:t>physical</w:t>
      </w:r>
      <w:r w:rsidR="000A5329" w:rsidRPr="002029AF">
        <w:t xml:space="preserve"> </w:t>
      </w:r>
      <w:r w:rsidRPr="002029AF">
        <w:t>substance.</w:t>
      </w:r>
    </w:p>
    <w:p w14:paraId="7D443F96" w14:textId="267928E9" w:rsidR="00087B91" w:rsidRPr="002029AF" w:rsidRDefault="00087B91" w:rsidP="00087B91">
      <w:pPr>
        <w:pStyle w:val="ARfinbody"/>
      </w:pPr>
      <w:r w:rsidRPr="002029AF">
        <w:rPr>
          <w:rStyle w:val="Strong"/>
        </w:rPr>
        <w:t>Interest</w:t>
      </w:r>
      <w:r w:rsidR="000A5329" w:rsidRPr="002029AF">
        <w:rPr>
          <w:rStyle w:val="Strong"/>
        </w:rPr>
        <w:t xml:space="preserve"> </w:t>
      </w:r>
      <w:r w:rsidRPr="002029AF">
        <w:rPr>
          <w:rStyle w:val="Strong"/>
        </w:rPr>
        <w:t>expense</w:t>
      </w:r>
      <w:r w:rsidR="000A5329" w:rsidRPr="002029AF">
        <w:t xml:space="preserve"> </w:t>
      </w:r>
      <w:r w:rsidRPr="002029AF">
        <w:t>represents</w:t>
      </w:r>
      <w:r w:rsidR="000A5329" w:rsidRPr="002029AF">
        <w:t xml:space="preserve"> </w:t>
      </w:r>
      <w:r w:rsidRPr="002029AF">
        <w:t>costs</w:t>
      </w:r>
      <w:r w:rsidR="000A5329" w:rsidRPr="002029AF">
        <w:t xml:space="preserve"> </w:t>
      </w:r>
      <w:r w:rsidRPr="002029AF">
        <w:t>incurred</w:t>
      </w:r>
      <w:r w:rsidR="000A5329" w:rsidRPr="002029AF">
        <w:t xml:space="preserve"> </w:t>
      </w:r>
      <w:r w:rsidRPr="002029AF">
        <w:t>in</w:t>
      </w:r>
      <w:r w:rsidR="000A5329" w:rsidRPr="002029AF">
        <w:t xml:space="preserve"> </w:t>
      </w:r>
      <w:r w:rsidRPr="002029AF">
        <w:t>connection</w:t>
      </w:r>
      <w:r w:rsidR="000A5329" w:rsidRPr="002029AF">
        <w:t xml:space="preserve"> </w:t>
      </w:r>
      <w:r w:rsidRPr="002029AF">
        <w:t>with</w:t>
      </w:r>
      <w:r w:rsidR="000A5329" w:rsidRPr="002029AF">
        <w:t xml:space="preserve"> </w:t>
      </w:r>
      <w:r w:rsidRPr="002029AF">
        <w:t>the</w:t>
      </w:r>
      <w:r w:rsidR="000A5329" w:rsidRPr="002029AF">
        <w:t xml:space="preserve"> </w:t>
      </w:r>
      <w:r w:rsidRPr="002029AF">
        <w:t>borrowings.</w:t>
      </w:r>
      <w:r w:rsidR="000A5329" w:rsidRPr="002029AF">
        <w:t xml:space="preserve"> </w:t>
      </w:r>
      <w:r w:rsidRPr="002029AF">
        <w:t>It</w:t>
      </w:r>
      <w:r w:rsidR="000A5329" w:rsidRPr="002029AF">
        <w:t xml:space="preserve"> </w:t>
      </w:r>
      <w:r w:rsidRPr="002029AF">
        <w:t>includes</w:t>
      </w:r>
      <w:r w:rsidR="000A5329" w:rsidRPr="002029AF">
        <w:t xml:space="preserve"> </w:t>
      </w:r>
      <w:r w:rsidRPr="002029AF">
        <w:t>interest</w:t>
      </w:r>
      <w:r w:rsidR="000A5329" w:rsidRPr="002029AF">
        <w:t xml:space="preserve"> </w:t>
      </w:r>
      <w:r w:rsidRPr="002029AF">
        <w:t>on</w:t>
      </w:r>
      <w:r w:rsidR="000A5329" w:rsidRPr="002029AF">
        <w:t xml:space="preserve"> </w:t>
      </w:r>
      <w:r w:rsidRPr="002029AF">
        <w:t>advances,</w:t>
      </w:r>
      <w:r w:rsidR="000A5329" w:rsidRPr="002029AF">
        <w:t xml:space="preserve"> </w:t>
      </w:r>
      <w:r w:rsidRPr="002029AF">
        <w:t>loans,</w:t>
      </w:r>
      <w:r w:rsidR="000A5329" w:rsidRPr="002029AF">
        <w:t xml:space="preserve"> </w:t>
      </w:r>
      <w:r w:rsidRPr="002029AF">
        <w:t>overdrafts,</w:t>
      </w:r>
      <w:r w:rsidR="000A5329" w:rsidRPr="002029AF">
        <w:t xml:space="preserve"> </w:t>
      </w:r>
      <w:r w:rsidRPr="002029AF">
        <w:t>bonds</w:t>
      </w:r>
      <w:r w:rsidR="000A5329" w:rsidRPr="002029AF">
        <w:t xml:space="preserve"> </w:t>
      </w:r>
      <w:r w:rsidRPr="002029AF">
        <w:t>and</w:t>
      </w:r>
      <w:r w:rsidR="000A5329" w:rsidRPr="002029AF">
        <w:t xml:space="preserve"> </w:t>
      </w:r>
      <w:r w:rsidRPr="002029AF">
        <w:t>bills,</w:t>
      </w:r>
      <w:r w:rsidR="000A5329" w:rsidRPr="002029AF">
        <w:t xml:space="preserve"> </w:t>
      </w:r>
      <w:r w:rsidRPr="002029AF">
        <w:t>deposits,</w:t>
      </w:r>
      <w:r w:rsidR="000A5329" w:rsidRPr="002029AF">
        <w:t xml:space="preserve"> </w:t>
      </w:r>
      <w:r w:rsidRPr="002029AF">
        <w:t>interest</w:t>
      </w:r>
      <w:r w:rsidR="000A5329" w:rsidRPr="002029AF">
        <w:t xml:space="preserve"> </w:t>
      </w:r>
      <w:r w:rsidRPr="002029AF">
        <w:t>components</w:t>
      </w:r>
      <w:r w:rsidR="000A5329" w:rsidRPr="002029AF">
        <w:t xml:space="preserve"> </w:t>
      </w:r>
      <w:r w:rsidRPr="002029AF">
        <w:t>of</w:t>
      </w:r>
      <w:r w:rsidR="000A5329" w:rsidRPr="002029AF">
        <w:t xml:space="preserve"> </w:t>
      </w:r>
      <w:r w:rsidRPr="002029AF">
        <w:t>finance</w:t>
      </w:r>
      <w:r w:rsidR="000A5329" w:rsidRPr="002029AF">
        <w:t xml:space="preserve"> </w:t>
      </w:r>
      <w:r w:rsidRPr="002029AF">
        <w:t>leases</w:t>
      </w:r>
      <w:r w:rsidR="000A5329" w:rsidRPr="002029AF">
        <w:t xml:space="preserve"> </w:t>
      </w:r>
      <w:r w:rsidRPr="002029AF">
        <w:t>repayments</w:t>
      </w:r>
      <w:r w:rsidR="000A5329" w:rsidRPr="002029AF">
        <w:t xml:space="preserve"> </w:t>
      </w:r>
      <w:r w:rsidRPr="002029AF">
        <w:t>and</w:t>
      </w:r>
      <w:r w:rsidR="000A5329" w:rsidRPr="002029AF">
        <w:t xml:space="preserve"> </w:t>
      </w:r>
      <w:r w:rsidRPr="002029AF">
        <w:t>amortisation</w:t>
      </w:r>
      <w:r w:rsidR="000A5329" w:rsidRPr="002029AF">
        <w:t xml:space="preserve"> </w:t>
      </w:r>
      <w:r w:rsidRPr="002029AF">
        <w:t>of</w:t>
      </w:r>
      <w:r w:rsidR="000A5329" w:rsidRPr="002029AF">
        <w:t xml:space="preserve"> </w:t>
      </w:r>
      <w:r w:rsidRPr="002029AF">
        <w:t>discounts</w:t>
      </w:r>
      <w:r w:rsidR="000A5329" w:rsidRPr="002029AF">
        <w:t xml:space="preserve"> </w:t>
      </w:r>
      <w:r w:rsidRPr="002029AF">
        <w:t>or</w:t>
      </w:r>
      <w:r w:rsidR="000A5329" w:rsidRPr="002029AF">
        <w:t xml:space="preserve"> </w:t>
      </w:r>
      <w:r w:rsidRPr="002029AF">
        <w:t>premiums</w:t>
      </w:r>
      <w:r w:rsidR="000A5329" w:rsidRPr="002029AF">
        <w:t xml:space="preserve"> </w:t>
      </w:r>
      <w:r w:rsidRPr="002029AF">
        <w:t>in</w:t>
      </w:r>
      <w:r w:rsidR="000A5329" w:rsidRPr="002029AF">
        <w:t xml:space="preserve"> </w:t>
      </w:r>
      <w:r w:rsidRPr="002029AF">
        <w:t>relation</w:t>
      </w:r>
      <w:r w:rsidR="000A5329" w:rsidRPr="002029AF">
        <w:t xml:space="preserve"> </w:t>
      </w:r>
      <w:r w:rsidRPr="002029AF">
        <w:t>to</w:t>
      </w:r>
      <w:r w:rsidR="00995257" w:rsidRPr="002029AF">
        <w:t> </w:t>
      </w:r>
      <w:r w:rsidRPr="002029AF">
        <w:t>borrowings.</w:t>
      </w:r>
    </w:p>
    <w:p w14:paraId="3E486B68" w14:textId="222E40D1" w:rsidR="00087B91" w:rsidRPr="002029AF" w:rsidRDefault="00087B91" w:rsidP="00087B91">
      <w:pPr>
        <w:pStyle w:val="ARfinbody"/>
      </w:pPr>
      <w:r w:rsidRPr="002029AF">
        <w:rPr>
          <w:rStyle w:val="Strong"/>
        </w:rPr>
        <w:t>Interest</w:t>
      </w:r>
      <w:r w:rsidR="000A5329" w:rsidRPr="002029AF">
        <w:rPr>
          <w:rStyle w:val="Strong"/>
        </w:rPr>
        <w:t xml:space="preserve"> </w:t>
      </w:r>
      <w:r w:rsidRPr="002029AF">
        <w:rPr>
          <w:rStyle w:val="Strong"/>
        </w:rPr>
        <w:t>income</w:t>
      </w:r>
      <w:r w:rsidR="000A5329" w:rsidRPr="002029AF">
        <w:t xml:space="preserve"> </w:t>
      </w:r>
      <w:r w:rsidRPr="002029AF">
        <w:t>includes</w:t>
      </w:r>
      <w:r w:rsidR="000A5329" w:rsidRPr="002029AF">
        <w:t xml:space="preserve"> </w:t>
      </w:r>
      <w:r w:rsidRPr="002029AF">
        <w:t>unwinding</w:t>
      </w:r>
      <w:r w:rsidR="000A5329" w:rsidRPr="002029AF">
        <w:t xml:space="preserve"> </w:t>
      </w:r>
      <w:r w:rsidRPr="002029AF">
        <w:t>over</w:t>
      </w:r>
      <w:r w:rsidR="000A5329" w:rsidRPr="002029AF">
        <w:t xml:space="preserve"> </w:t>
      </w:r>
      <w:r w:rsidRPr="002029AF">
        <w:t>time</w:t>
      </w:r>
      <w:r w:rsidR="000A5329" w:rsidRPr="002029AF">
        <w:t xml:space="preserve"> </w:t>
      </w:r>
      <w:r w:rsidRPr="002029AF">
        <w:t>of</w:t>
      </w:r>
      <w:r w:rsidR="000A5329" w:rsidRPr="002029AF">
        <w:t xml:space="preserve"> </w:t>
      </w:r>
      <w:r w:rsidRPr="002029AF">
        <w:t>discounts</w:t>
      </w:r>
      <w:r w:rsidR="000A5329" w:rsidRPr="002029AF">
        <w:t xml:space="preserve"> </w:t>
      </w:r>
      <w:r w:rsidRPr="002029AF">
        <w:t>on</w:t>
      </w:r>
      <w:r w:rsidR="000A5329" w:rsidRPr="002029AF">
        <w:t xml:space="preserve"> </w:t>
      </w:r>
      <w:r w:rsidRPr="002029AF">
        <w:t>financial</w:t>
      </w:r>
      <w:r w:rsidR="000A5329" w:rsidRPr="002029AF">
        <w:t xml:space="preserve"> </w:t>
      </w:r>
      <w:r w:rsidRPr="002029AF">
        <w:t>assets</w:t>
      </w:r>
      <w:r w:rsidR="000A5329" w:rsidRPr="002029AF">
        <w:t xml:space="preserve"> </w:t>
      </w:r>
      <w:r w:rsidRPr="002029AF">
        <w:t>and</w:t>
      </w:r>
      <w:r w:rsidR="000A5329" w:rsidRPr="002029AF">
        <w:t xml:space="preserve"> </w:t>
      </w:r>
      <w:r w:rsidRPr="002029AF">
        <w:t>interest</w:t>
      </w:r>
      <w:r w:rsidR="000A5329" w:rsidRPr="002029AF">
        <w:t xml:space="preserve"> </w:t>
      </w:r>
      <w:r w:rsidRPr="002029AF">
        <w:t>received</w:t>
      </w:r>
      <w:r w:rsidR="000A5329" w:rsidRPr="002029AF">
        <w:t xml:space="preserve"> </w:t>
      </w:r>
      <w:r w:rsidRPr="002029AF">
        <w:t>on</w:t>
      </w:r>
      <w:r w:rsidR="000A5329" w:rsidRPr="002029AF">
        <w:t xml:space="preserve"> </w:t>
      </w:r>
      <w:r w:rsidRPr="002029AF">
        <w:t>bank</w:t>
      </w:r>
      <w:r w:rsidR="000A5329" w:rsidRPr="002029AF">
        <w:t xml:space="preserve"> </w:t>
      </w:r>
      <w:r w:rsidRPr="002029AF">
        <w:t>term</w:t>
      </w:r>
      <w:r w:rsidR="000A5329" w:rsidRPr="002029AF">
        <w:t xml:space="preserve"> </w:t>
      </w:r>
      <w:r w:rsidRPr="002029AF">
        <w:t>deposits</w:t>
      </w:r>
      <w:r w:rsidR="000A5329" w:rsidRPr="002029AF">
        <w:t xml:space="preserve"> </w:t>
      </w:r>
      <w:r w:rsidRPr="002029AF">
        <w:t>and</w:t>
      </w:r>
      <w:r w:rsidR="000A5329" w:rsidRPr="002029AF">
        <w:t xml:space="preserve"> </w:t>
      </w:r>
      <w:r w:rsidRPr="002029AF">
        <w:t>other</w:t>
      </w:r>
      <w:r w:rsidR="000A5329" w:rsidRPr="002029AF">
        <w:t xml:space="preserve"> </w:t>
      </w:r>
      <w:r w:rsidRPr="002029AF">
        <w:t>investments.</w:t>
      </w:r>
    </w:p>
    <w:p w14:paraId="7B4D4FD1" w14:textId="12FF0179" w:rsidR="00087B91" w:rsidRPr="002029AF" w:rsidRDefault="00087B91" w:rsidP="00087B91">
      <w:pPr>
        <w:pStyle w:val="ARfinbody"/>
      </w:pPr>
      <w:r w:rsidRPr="002029AF">
        <w:rPr>
          <w:rStyle w:val="Strong"/>
        </w:rPr>
        <w:t>Investment</w:t>
      </w:r>
      <w:r w:rsidR="000A5329" w:rsidRPr="002029AF">
        <w:rPr>
          <w:rStyle w:val="Strong"/>
        </w:rPr>
        <w:t xml:space="preserve"> </w:t>
      </w:r>
      <w:r w:rsidRPr="002029AF">
        <w:rPr>
          <w:rStyle w:val="Strong"/>
        </w:rPr>
        <w:t>properties</w:t>
      </w:r>
      <w:r w:rsidR="000A5329" w:rsidRPr="002029AF">
        <w:t xml:space="preserve"> </w:t>
      </w:r>
      <w:r w:rsidRPr="002029AF">
        <w:t>are</w:t>
      </w:r>
      <w:r w:rsidR="000A5329" w:rsidRPr="002029AF">
        <w:t xml:space="preserve"> </w:t>
      </w:r>
      <w:r w:rsidRPr="002029AF">
        <w:t>properties</w:t>
      </w:r>
      <w:r w:rsidR="000A5329" w:rsidRPr="002029AF">
        <w:t xml:space="preserve"> </w:t>
      </w:r>
      <w:r w:rsidRPr="002029AF">
        <w:t>held</w:t>
      </w:r>
      <w:r w:rsidR="000A5329" w:rsidRPr="002029AF">
        <w:t xml:space="preserve"> </w:t>
      </w:r>
      <w:r w:rsidRPr="002029AF">
        <w:t>to</w:t>
      </w:r>
      <w:r w:rsidR="000A5329" w:rsidRPr="002029AF">
        <w:t xml:space="preserve"> </w:t>
      </w:r>
      <w:r w:rsidRPr="002029AF">
        <w:t>earn</w:t>
      </w:r>
      <w:r w:rsidR="000A5329" w:rsidRPr="002029AF">
        <w:t xml:space="preserve"> </w:t>
      </w:r>
      <w:r w:rsidRPr="002029AF">
        <w:t>rentals</w:t>
      </w:r>
      <w:r w:rsidR="000A5329" w:rsidRPr="002029AF">
        <w:t xml:space="preserve"> </w:t>
      </w:r>
      <w:r w:rsidRPr="002029AF">
        <w:t>or</w:t>
      </w:r>
      <w:r w:rsidR="000A5329" w:rsidRPr="002029AF">
        <w:t xml:space="preserve"> </w:t>
      </w:r>
      <w:r w:rsidRPr="002029AF">
        <w:t>for</w:t>
      </w:r>
      <w:r w:rsidR="000A5329" w:rsidRPr="002029AF">
        <w:t xml:space="preserve"> </w:t>
      </w:r>
      <w:r w:rsidRPr="002029AF">
        <w:t>capital</w:t>
      </w:r>
      <w:r w:rsidR="000A5329" w:rsidRPr="002029AF">
        <w:t xml:space="preserve"> </w:t>
      </w:r>
      <w:r w:rsidRPr="002029AF">
        <w:t>appreciation</w:t>
      </w:r>
      <w:r w:rsidR="000A5329" w:rsidRPr="002029AF">
        <w:t xml:space="preserve"> </w:t>
      </w:r>
      <w:r w:rsidRPr="002029AF">
        <w:t>or</w:t>
      </w:r>
      <w:r w:rsidR="000A5329" w:rsidRPr="002029AF">
        <w:t xml:space="preserve"> </w:t>
      </w:r>
      <w:r w:rsidRPr="002029AF">
        <w:t>both.</w:t>
      </w:r>
      <w:r w:rsidR="000A5329" w:rsidRPr="002029AF">
        <w:t xml:space="preserve"> </w:t>
      </w:r>
      <w:r w:rsidRPr="002029AF">
        <w:t>Investment</w:t>
      </w:r>
      <w:r w:rsidR="000A5329" w:rsidRPr="002029AF">
        <w:t xml:space="preserve"> </w:t>
      </w:r>
      <w:r w:rsidRPr="002029AF">
        <w:t>properties</w:t>
      </w:r>
      <w:r w:rsidR="000A5329" w:rsidRPr="002029AF">
        <w:t xml:space="preserve"> </w:t>
      </w:r>
      <w:r w:rsidRPr="002029AF">
        <w:t>exclude</w:t>
      </w:r>
      <w:r w:rsidR="000A5329" w:rsidRPr="002029AF">
        <w:t xml:space="preserve"> </w:t>
      </w:r>
      <w:r w:rsidRPr="002029AF">
        <w:t>properties</w:t>
      </w:r>
      <w:r w:rsidR="000A5329" w:rsidRPr="002029AF">
        <w:t xml:space="preserve"> </w:t>
      </w:r>
      <w:r w:rsidRPr="002029AF">
        <w:t>held</w:t>
      </w:r>
      <w:r w:rsidR="000A5329" w:rsidRPr="002029AF">
        <w:t xml:space="preserve"> </w:t>
      </w:r>
      <w:r w:rsidRPr="002029AF">
        <w:t>to</w:t>
      </w:r>
      <w:r w:rsidR="000A5329" w:rsidRPr="002029AF">
        <w:t xml:space="preserve"> </w:t>
      </w:r>
      <w:r w:rsidRPr="002029AF">
        <w:t>meet</w:t>
      </w:r>
      <w:r w:rsidR="000A5329" w:rsidRPr="002029AF">
        <w:t xml:space="preserve"> </w:t>
      </w:r>
      <w:r w:rsidRPr="002029AF">
        <w:t>service</w:t>
      </w:r>
      <w:r w:rsidR="000A5329" w:rsidRPr="002029AF">
        <w:t xml:space="preserve"> </w:t>
      </w:r>
      <w:r w:rsidRPr="002029AF">
        <w:t>delivery</w:t>
      </w:r>
      <w:r w:rsidR="000A5329" w:rsidRPr="002029AF">
        <w:t xml:space="preserve"> </w:t>
      </w:r>
      <w:r w:rsidRPr="002029AF">
        <w:t>objectives</w:t>
      </w:r>
      <w:r w:rsidR="000A5329" w:rsidRPr="002029AF">
        <w:t xml:space="preserve"> </w:t>
      </w:r>
      <w:r w:rsidRPr="002029AF">
        <w:t>of</w:t>
      </w:r>
      <w:r w:rsidR="000A5329" w:rsidRPr="002029AF">
        <w:t xml:space="preserve"> </w:t>
      </w:r>
      <w:r w:rsidRPr="002029AF">
        <w:t>the</w:t>
      </w:r>
      <w:r w:rsidR="000A5329" w:rsidRPr="002029AF">
        <w:t xml:space="preserve"> </w:t>
      </w:r>
      <w:r w:rsidRPr="002029AF">
        <w:t>State</w:t>
      </w:r>
      <w:r w:rsidR="000A5329" w:rsidRPr="002029AF">
        <w:t xml:space="preserve"> </w:t>
      </w:r>
      <w:r w:rsidRPr="002029AF">
        <w:t>of</w:t>
      </w:r>
      <w:r w:rsidR="000A5329" w:rsidRPr="002029AF">
        <w:t xml:space="preserve"> </w:t>
      </w:r>
      <w:r w:rsidRPr="002029AF">
        <w:t>Victoria.</w:t>
      </w:r>
    </w:p>
    <w:p w14:paraId="5FFBF95D" w14:textId="28BF9881" w:rsidR="00087B91" w:rsidRPr="002029AF" w:rsidRDefault="00087B91" w:rsidP="00B12841">
      <w:pPr>
        <w:pStyle w:val="ARfinbody"/>
        <w:spacing w:line="180" w:lineRule="atLeast"/>
      </w:pPr>
      <w:r w:rsidRPr="002029AF">
        <w:rPr>
          <w:rStyle w:val="Strong"/>
        </w:rPr>
        <w:lastRenderedPageBreak/>
        <w:t>Joint</w:t>
      </w:r>
      <w:r w:rsidR="000A5329" w:rsidRPr="002029AF">
        <w:rPr>
          <w:rStyle w:val="Strong"/>
        </w:rPr>
        <w:t xml:space="preserve"> </w:t>
      </w:r>
      <w:r w:rsidRPr="002029AF">
        <w:rPr>
          <w:rStyle w:val="Strong"/>
        </w:rPr>
        <w:t>ventures</w:t>
      </w:r>
      <w:r w:rsidR="000A5329" w:rsidRPr="002029AF">
        <w:t xml:space="preserve"> </w:t>
      </w:r>
      <w:r w:rsidRPr="002029AF">
        <w:t>are</w:t>
      </w:r>
      <w:r w:rsidR="000A5329" w:rsidRPr="002029AF">
        <w:t xml:space="preserve"> </w:t>
      </w:r>
      <w:r w:rsidRPr="002029AF">
        <w:t>contractual</w:t>
      </w:r>
      <w:r w:rsidR="000A5329" w:rsidRPr="002029AF">
        <w:t xml:space="preserve"> </w:t>
      </w:r>
      <w:r w:rsidRPr="002029AF">
        <w:t>arrangements</w:t>
      </w:r>
      <w:r w:rsidR="000A5329" w:rsidRPr="002029AF">
        <w:t xml:space="preserve"> </w:t>
      </w:r>
      <w:r w:rsidRPr="002029AF">
        <w:t>between</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and</w:t>
      </w:r>
      <w:r w:rsidR="000A5329" w:rsidRPr="002029AF">
        <w:t xml:space="preserve"> </w:t>
      </w:r>
      <w:r w:rsidRPr="002029AF">
        <w:t>one</w:t>
      </w:r>
      <w:r w:rsidR="000A5329" w:rsidRPr="002029AF">
        <w:t xml:space="preserve"> </w:t>
      </w:r>
      <w:r w:rsidRPr="002029AF">
        <w:t>or</w:t>
      </w:r>
      <w:r w:rsidR="000A5329" w:rsidRPr="002029AF">
        <w:t xml:space="preserve"> </w:t>
      </w:r>
      <w:r w:rsidRPr="002029AF">
        <w:t>more</w:t>
      </w:r>
      <w:r w:rsidR="000A5329" w:rsidRPr="002029AF">
        <w:t xml:space="preserve"> </w:t>
      </w:r>
      <w:r w:rsidRPr="002029AF">
        <w:t>other</w:t>
      </w:r>
      <w:r w:rsidR="000A5329" w:rsidRPr="002029AF">
        <w:t xml:space="preserve"> </w:t>
      </w:r>
      <w:r w:rsidRPr="002029AF">
        <w:t>parties</w:t>
      </w:r>
      <w:r w:rsidR="000A5329" w:rsidRPr="002029AF">
        <w:t xml:space="preserve"> </w:t>
      </w:r>
      <w:r w:rsidRPr="002029AF">
        <w:t>to</w:t>
      </w:r>
      <w:r w:rsidR="000A5329" w:rsidRPr="002029AF">
        <w:t xml:space="preserve"> </w:t>
      </w:r>
      <w:r w:rsidRPr="002029AF">
        <w:t>undertake</w:t>
      </w:r>
      <w:r w:rsidR="000A5329" w:rsidRPr="002029AF">
        <w:t xml:space="preserve"> </w:t>
      </w:r>
      <w:r w:rsidRPr="002029AF">
        <w:t>an</w:t>
      </w:r>
      <w:r w:rsidR="000A5329" w:rsidRPr="002029AF">
        <w:t xml:space="preserve"> </w:t>
      </w:r>
      <w:r w:rsidRPr="002029AF">
        <w:t>economic</w:t>
      </w:r>
      <w:r w:rsidR="000A5329" w:rsidRPr="002029AF">
        <w:t xml:space="preserve"> </w:t>
      </w:r>
      <w:r w:rsidRPr="002029AF">
        <w:t>activity</w:t>
      </w:r>
      <w:r w:rsidR="000A5329" w:rsidRPr="002029AF">
        <w:t xml:space="preserve"> </w:t>
      </w:r>
      <w:r w:rsidRPr="002029AF">
        <w:t>that</w:t>
      </w:r>
      <w:r w:rsidR="000A5329" w:rsidRPr="002029AF">
        <w:t xml:space="preserve"> </w:t>
      </w:r>
      <w:r w:rsidRPr="002029AF">
        <w:t>is</w:t>
      </w:r>
      <w:r w:rsidR="000A5329" w:rsidRPr="002029AF">
        <w:t xml:space="preserve"> </w:t>
      </w:r>
      <w:r w:rsidRPr="002029AF">
        <w:t>subject</w:t>
      </w:r>
      <w:r w:rsidR="000A5329" w:rsidRPr="002029AF">
        <w:t xml:space="preserve"> </w:t>
      </w:r>
      <w:r w:rsidRPr="002029AF">
        <w:t>to</w:t>
      </w:r>
      <w:r w:rsidR="000A5329" w:rsidRPr="002029AF">
        <w:t xml:space="preserve"> </w:t>
      </w:r>
      <w:r w:rsidRPr="002029AF">
        <w:t>joint</w:t>
      </w:r>
      <w:r w:rsidR="000A5329" w:rsidRPr="002029AF">
        <w:t xml:space="preserve"> </w:t>
      </w:r>
      <w:r w:rsidRPr="002029AF">
        <w:t>control</w:t>
      </w:r>
      <w:r w:rsidR="000A5329" w:rsidRPr="002029AF">
        <w:t xml:space="preserve"> </w:t>
      </w:r>
      <w:r w:rsidRPr="002029AF">
        <w:t>and</w:t>
      </w:r>
      <w:r w:rsidR="000A5329" w:rsidRPr="002029AF">
        <w:t xml:space="preserve"> </w:t>
      </w:r>
      <w:r w:rsidRPr="002029AF">
        <w:t>have</w:t>
      </w:r>
      <w:r w:rsidR="000A5329" w:rsidRPr="002029AF">
        <w:t xml:space="preserve"> </w:t>
      </w:r>
      <w:r w:rsidRPr="002029AF">
        <w:t>rights</w:t>
      </w:r>
      <w:r w:rsidR="000A5329" w:rsidRPr="002029AF">
        <w:t xml:space="preserve"> </w:t>
      </w:r>
      <w:r w:rsidRPr="002029AF">
        <w:t>to</w:t>
      </w:r>
      <w:r w:rsidR="000A5329" w:rsidRPr="002029AF">
        <w:t xml:space="preserve"> </w:t>
      </w:r>
      <w:r w:rsidRPr="002029AF">
        <w:t>the</w:t>
      </w:r>
      <w:r w:rsidR="000A5329" w:rsidRPr="002029AF">
        <w:t xml:space="preserve"> </w:t>
      </w:r>
      <w:r w:rsidRPr="002029AF">
        <w:t>net</w:t>
      </w:r>
      <w:r w:rsidR="000A5329" w:rsidRPr="002029AF">
        <w:t xml:space="preserve"> </w:t>
      </w:r>
      <w:r w:rsidRPr="002029AF">
        <w:t>assets</w:t>
      </w:r>
      <w:r w:rsidR="000A5329" w:rsidRPr="002029AF">
        <w:t xml:space="preserve"> </w:t>
      </w:r>
      <w:r w:rsidRPr="002029AF">
        <w:t>of</w:t>
      </w:r>
      <w:r w:rsidR="000A5329" w:rsidRPr="002029AF">
        <w:t xml:space="preserve"> </w:t>
      </w:r>
      <w:r w:rsidRPr="002029AF">
        <w:t>the</w:t>
      </w:r>
      <w:r w:rsidR="000A5329" w:rsidRPr="002029AF">
        <w:t xml:space="preserve"> </w:t>
      </w:r>
      <w:r w:rsidRPr="002029AF">
        <w:t>arrangement.</w:t>
      </w:r>
      <w:r w:rsidR="000A5329" w:rsidRPr="002029AF">
        <w:t xml:space="preserve"> </w:t>
      </w:r>
      <w:r w:rsidRPr="002029AF">
        <w:t>Joint</w:t>
      </w:r>
      <w:r w:rsidR="000A5329" w:rsidRPr="002029AF">
        <w:t xml:space="preserve"> </w:t>
      </w:r>
      <w:r w:rsidRPr="002029AF">
        <w:t>control</w:t>
      </w:r>
      <w:r w:rsidR="000A5329" w:rsidRPr="002029AF">
        <w:t xml:space="preserve"> </w:t>
      </w:r>
      <w:r w:rsidRPr="002029AF">
        <w:t>only</w:t>
      </w:r>
      <w:r w:rsidR="000A5329" w:rsidRPr="002029AF">
        <w:t xml:space="preserve"> </w:t>
      </w:r>
      <w:r w:rsidRPr="002029AF">
        <w:t>exists</w:t>
      </w:r>
      <w:r w:rsidR="000A5329" w:rsidRPr="002029AF">
        <w:t xml:space="preserve"> </w:t>
      </w:r>
      <w:r w:rsidRPr="002029AF">
        <w:t>when</w:t>
      </w:r>
      <w:r w:rsidR="000A5329" w:rsidRPr="002029AF">
        <w:t xml:space="preserve"> </w:t>
      </w:r>
      <w:r w:rsidRPr="002029AF">
        <w:t>the</w:t>
      </w:r>
      <w:r w:rsidR="000A5329" w:rsidRPr="002029AF">
        <w:t xml:space="preserve"> </w:t>
      </w:r>
      <w:r w:rsidRPr="002029AF">
        <w:t>strategic</w:t>
      </w:r>
      <w:r w:rsidR="000A5329" w:rsidRPr="002029AF">
        <w:t xml:space="preserve"> </w:t>
      </w:r>
      <w:r w:rsidRPr="002029AF">
        <w:t>financial</w:t>
      </w:r>
      <w:r w:rsidR="000A5329" w:rsidRPr="002029AF">
        <w:t xml:space="preserve"> </w:t>
      </w:r>
      <w:r w:rsidRPr="002029AF">
        <w:t>and</w:t>
      </w:r>
      <w:r w:rsidR="000A5329" w:rsidRPr="002029AF">
        <w:t xml:space="preserve"> </w:t>
      </w:r>
      <w:r w:rsidRPr="002029AF">
        <w:t>operating</w:t>
      </w:r>
      <w:r w:rsidR="000A5329" w:rsidRPr="002029AF">
        <w:t xml:space="preserve"> </w:t>
      </w:r>
      <w:r w:rsidRPr="002029AF">
        <w:t>decisions</w:t>
      </w:r>
      <w:r w:rsidR="000A5329" w:rsidRPr="002029AF">
        <w:t xml:space="preserve"> </w:t>
      </w:r>
      <w:r w:rsidRPr="002029AF">
        <w:t>relating</w:t>
      </w:r>
      <w:r w:rsidR="000A5329" w:rsidRPr="002029AF">
        <w:t xml:space="preserve"> </w:t>
      </w:r>
      <w:r w:rsidRPr="002029AF">
        <w:t>to</w:t>
      </w:r>
      <w:r w:rsidR="000A5329" w:rsidRPr="002029AF">
        <w:t xml:space="preserve"> </w:t>
      </w:r>
      <w:r w:rsidRPr="002029AF">
        <w:t>the</w:t>
      </w:r>
      <w:r w:rsidR="000A5329" w:rsidRPr="002029AF">
        <w:t xml:space="preserve"> </w:t>
      </w:r>
      <w:r w:rsidRPr="002029AF">
        <w:t>activity</w:t>
      </w:r>
      <w:r w:rsidR="000A5329" w:rsidRPr="002029AF">
        <w:t xml:space="preserve"> </w:t>
      </w:r>
      <w:r w:rsidRPr="002029AF">
        <w:t>require</w:t>
      </w:r>
      <w:r w:rsidR="000A5329" w:rsidRPr="002029AF">
        <w:t xml:space="preserve"> </w:t>
      </w:r>
      <w:r w:rsidRPr="002029AF">
        <w:t>the</w:t>
      </w:r>
      <w:r w:rsidR="000A5329" w:rsidRPr="002029AF">
        <w:t xml:space="preserve"> </w:t>
      </w:r>
      <w:r w:rsidRPr="002029AF">
        <w:t>unanimous</w:t>
      </w:r>
      <w:r w:rsidR="000A5329" w:rsidRPr="002029AF">
        <w:t xml:space="preserve"> </w:t>
      </w:r>
      <w:r w:rsidRPr="002029AF">
        <w:t>consent</w:t>
      </w:r>
      <w:r w:rsidR="000A5329" w:rsidRPr="002029AF">
        <w:t xml:space="preserve"> </w:t>
      </w:r>
      <w:r w:rsidRPr="002029AF">
        <w:t>of</w:t>
      </w:r>
      <w:r w:rsidR="000A5329" w:rsidRPr="002029AF">
        <w:t xml:space="preserve"> </w:t>
      </w:r>
      <w:r w:rsidRPr="002029AF">
        <w:t>the</w:t>
      </w:r>
      <w:r w:rsidR="000A5329" w:rsidRPr="002029AF">
        <w:t xml:space="preserve"> </w:t>
      </w:r>
      <w:r w:rsidRPr="002029AF">
        <w:t>parties</w:t>
      </w:r>
      <w:r w:rsidR="000A5329" w:rsidRPr="002029AF">
        <w:t xml:space="preserve"> </w:t>
      </w:r>
      <w:r w:rsidRPr="002029AF">
        <w:t>sharing</w:t>
      </w:r>
      <w:r w:rsidR="000A5329" w:rsidRPr="002029AF">
        <w:t xml:space="preserve"> </w:t>
      </w:r>
      <w:r w:rsidRPr="002029AF">
        <w:t>control</w:t>
      </w:r>
      <w:r w:rsidR="000A5329" w:rsidRPr="002029AF">
        <w:t xml:space="preserve"> </w:t>
      </w:r>
      <w:r w:rsidRPr="002029AF">
        <w:t>(the</w:t>
      </w:r>
      <w:r w:rsidR="000A5329" w:rsidRPr="002029AF">
        <w:t xml:space="preserve"> </w:t>
      </w:r>
      <w:r w:rsidRPr="002029AF">
        <w:t>venturers).</w:t>
      </w:r>
    </w:p>
    <w:p w14:paraId="609A491D" w14:textId="7DD1C31A" w:rsidR="00087B91" w:rsidRPr="002029AF" w:rsidRDefault="00087B91" w:rsidP="00B12841">
      <w:pPr>
        <w:pStyle w:val="ARfinbody"/>
        <w:spacing w:line="180" w:lineRule="atLeast"/>
      </w:pPr>
      <w:r w:rsidRPr="002029AF">
        <w:rPr>
          <w:rStyle w:val="Strong"/>
        </w:rPr>
        <w:t>Leases</w:t>
      </w:r>
      <w:r w:rsidR="000A5329" w:rsidRPr="002029AF">
        <w:t xml:space="preserve"> </w:t>
      </w:r>
      <w:r w:rsidRPr="002029AF">
        <w:t>are</w:t>
      </w:r>
      <w:r w:rsidR="000A5329" w:rsidRPr="002029AF">
        <w:t xml:space="preserve"> </w:t>
      </w:r>
      <w:r w:rsidRPr="002029AF">
        <w:t>rights</w:t>
      </w:r>
      <w:r w:rsidR="000A5329" w:rsidRPr="002029AF">
        <w:t xml:space="preserve"> </w:t>
      </w:r>
      <w:r w:rsidRPr="002029AF">
        <w:t>conveyed</w:t>
      </w:r>
      <w:r w:rsidR="000A5329" w:rsidRPr="002029AF">
        <w:t xml:space="preserve"> </w:t>
      </w:r>
      <w:r w:rsidRPr="002029AF">
        <w:t>in</w:t>
      </w:r>
      <w:r w:rsidR="000A5329" w:rsidRPr="002029AF">
        <w:t xml:space="preserve"> </w:t>
      </w:r>
      <w:r w:rsidRPr="002029AF">
        <w:t>a</w:t>
      </w:r>
      <w:r w:rsidR="000A5329" w:rsidRPr="002029AF">
        <w:t xml:space="preserve"> </w:t>
      </w:r>
      <w:r w:rsidRPr="002029AF">
        <w:t>contract,</w:t>
      </w:r>
      <w:r w:rsidR="000A5329" w:rsidRPr="002029AF">
        <w:t xml:space="preserve"> </w:t>
      </w:r>
      <w:r w:rsidRPr="002029AF">
        <w:t>or</w:t>
      </w:r>
      <w:r w:rsidR="000A5329" w:rsidRPr="002029AF">
        <w:t xml:space="preserve"> </w:t>
      </w:r>
      <w:r w:rsidRPr="002029AF">
        <w:t>part</w:t>
      </w:r>
      <w:r w:rsidR="000A5329" w:rsidRPr="002029AF">
        <w:t xml:space="preserve"> </w:t>
      </w:r>
      <w:r w:rsidRPr="002029AF">
        <w:t>of</w:t>
      </w:r>
      <w:r w:rsidR="000A5329" w:rsidRPr="002029AF">
        <w:t xml:space="preserve"> </w:t>
      </w:r>
      <w:r w:rsidRPr="002029AF">
        <w:t>a</w:t>
      </w:r>
      <w:r w:rsidR="000A5329" w:rsidRPr="002029AF">
        <w:t xml:space="preserve"> </w:t>
      </w:r>
      <w:r w:rsidRPr="002029AF">
        <w:t>contract,</w:t>
      </w:r>
      <w:r w:rsidR="000A5329" w:rsidRPr="002029AF">
        <w:t xml:space="preserve"> </w:t>
      </w:r>
      <w:r w:rsidRPr="002029AF">
        <w:t>the</w:t>
      </w:r>
      <w:r w:rsidR="000A5329" w:rsidRPr="002029AF">
        <w:t xml:space="preserve"> </w:t>
      </w:r>
      <w:r w:rsidRPr="002029AF">
        <w:t>right</w:t>
      </w:r>
      <w:r w:rsidR="000A5329" w:rsidRPr="002029AF">
        <w:t xml:space="preserve"> </w:t>
      </w:r>
      <w:r w:rsidRPr="002029AF">
        <w:t>to</w:t>
      </w:r>
      <w:r w:rsidR="000A5329" w:rsidRPr="002029AF">
        <w:t xml:space="preserve"> </w:t>
      </w:r>
      <w:r w:rsidRPr="002029AF">
        <w:t>use</w:t>
      </w:r>
      <w:r w:rsidR="000A5329" w:rsidRPr="002029AF">
        <w:t xml:space="preserve"> </w:t>
      </w:r>
      <w:r w:rsidRPr="002029AF">
        <w:t>an</w:t>
      </w:r>
      <w:r w:rsidR="000A5329" w:rsidRPr="002029AF">
        <w:t xml:space="preserve"> </w:t>
      </w:r>
      <w:r w:rsidRPr="002029AF">
        <w:t>asset</w:t>
      </w:r>
      <w:r w:rsidR="000A5329" w:rsidRPr="002029AF">
        <w:t xml:space="preserve"> </w:t>
      </w:r>
      <w:r w:rsidRPr="002029AF">
        <w:t>(the</w:t>
      </w:r>
      <w:r w:rsidR="000A5329" w:rsidRPr="002029AF">
        <w:t xml:space="preserve"> </w:t>
      </w:r>
      <w:r w:rsidRPr="002029AF">
        <w:t>underlying</w:t>
      </w:r>
      <w:r w:rsidR="000A5329" w:rsidRPr="002029AF">
        <w:t xml:space="preserve"> </w:t>
      </w:r>
      <w:r w:rsidRPr="002029AF">
        <w:t>asset)</w:t>
      </w:r>
      <w:r w:rsidR="000A5329" w:rsidRPr="002029AF">
        <w:t xml:space="preserve"> </w:t>
      </w:r>
      <w:r w:rsidRPr="002029AF">
        <w:t>for</w:t>
      </w:r>
      <w:r w:rsidR="000A5329" w:rsidRPr="002029AF">
        <w:t xml:space="preserve"> </w:t>
      </w:r>
      <w:r w:rsidRPr="002029AF">
        <w:t>a</w:t>
      </w:r>
      <w:r w:rsidR="000A5329" w:rsidRPr="002029AF">
        <w:t xml:space="preserve"> </w:t>
      </w:r>
      <w:r w:rsidRPr="002029AF">
        <w:t>period</w:t>
      </w:r>
      <w:r w:rsidR="000A5329" w:rsidRPr="002029AF">
        <w:t xml:space="preserve"> </w:t>
      </w:r>
      <w:r w:rsidRPr="002029AF">
        <w:t>of</w:t>
      </w:r>
      <w:r w:rsidR="000A5329" w:rsidRPr="002029AF">
        <w:t xml:space="preserve"> </w:t>
      </w:r>
      <w:r w:rsidRPr="002029AF">
        <w:t>time</w:t>
      </w:r>
      <w:r w:rsidR="000A5329" w:rsidRPr="002029AF">
        <w:t xml:space="preserve"> </w:t>
      </w:r>
      <w:r w:rsidRPr="002029AF">
        <w:t>in</w:t>
      </w:r>
      <w:r w:rsidR="000A5329" w:rsidRPr="002029AF">
        <w:t xml:space="preserve"> </w:t>
      </w:r>
      <w:r w:rsidRPr="002029AF">
        <w:t>exchange</w:t>
      </w:r>
      <w:r w:rsidR="000A5329" w:rsidRPr="002029AF">
        <w:t xml:space="preserve"> </w:t>
      </w:r>
      <w:r w:rsidRPr="002029AF">
        <w:t>for</w:t>
      </w:r>
      <w:r w:rsidR="000A5329" w:rsidRPr="002029AF">
        <w:t xml:space="preserve"> </w:t>
      </w:r>
      <w:r w:rsidRPr="002029AF">
        <w:t>consideration.</w:t>
      </w:r>
    </w:p>
    <w:p w14:paraId="19F3BFB2" w14:textId="241B9E27" w:rsidR="00087B91" w:rsidRPr="002029AF" w:rsidRDefault="00087B91" w:rsidP="00B12841">
      <w:pPr>
        <w:pStyle w:val="ARfinbody"/>
        <w:spacing w:line="180" w:lineRule="atLeast"/>
      </w:pPr>
      <w:r w:rsidRPr="002029AF">
        <w:rPr>
          <w:rStyle w:val="Strong"/>
        </w:rPr>
        <w:t>Net</w:t>
      </w:r>
      <w:r w:rsidR="000A5329" w:rsidRPr="002029AF">
        <w:rPr>
          <w:rStyle w:val="Strong"/>
        </w:rPr>
        <w:t xml:space="preserve"> </w:t>
      </w:r>
      <w:r w:rsidRPr="002029AF">
        <w:rPr>
          <w:rStyle w:val="Strong"/>
        </w:rPr>
        <w:t>acquisition</w:t>
      </w:r>
      <w:r w:rsidR="000A5329" w:rsidRPr="002029AF">
        <w:rPr>
          <w:rStyle w:val="Strong"/>
        </w:rPr>
        <w:t xml:space="preserve"> </w:t>
      </w:r>
      <w:r w:rsidRPr="002029AF">
        <w:rPr>
          <w:rStyle w:val="Strong"/>
        </w:rPr>
        <w:t>of</w:t>
      </w:r>
      <w:r w:rsidR="000A5329" w:rsidRPr="002029AF">
        <w:rPr>
          <w:rStyle w:val="Strong"/>
        </w:rPr>
        <w:t xml:space="preserve"> </w:t>
      </w:r>
      <w:r w:rsidRPr="002029AF">
        <w:rPr>
          <w:rStyle w:val="Strong"/>
        </w:rPr>
        <w:t>non-financial</w:t>
      </w:r>
      <w:r w:rsidR="000A5329" w:rsidRPr="002029AF">
        <w:rPr>
          <w:rStyle w:val="Strong"/>
        </w:rPr>
        <w:t xml:space="preserve"> </w:t>
      </w:r>
      <w:r w:rsidRPr="002029AF">
        <w:rPr>
          <w:rStyle w:val="Strong"/>
        </w:rPr>
        <w:t>assets</w:t>
      </w:r>
      <w:r w:rsidR="000A5329" w:rsidRPr="002029AF">
        <w:t xml:space="preserve"> </w:t>
      </w:r>
      <w:r w:rsidRPr="002029AF">
        <w:t>(from</w:t>
      </w:r>
      <w:r w:rsidR="000A5329" w:rsidRPr="002029AF">
        <w:t xml:space="preserve"> </w:t>
      </w:r>
      <w:r w:rsidRPr="002029AF">
        <w:t>transactions)</w:t>
      </w:r>
      <w:r w:rsidR="000A5329" w:rsidRPr="002029AF">
        <w:t xml:space="preserve"> </w:t>
      </w:r>
      <w:r w:rsidRPr="002029AF">
        <w:t>is</w:t>
      </w:r>
      <w:r w:rsidR="000A5329" w:rsidRPr="002029AF">
        <w:t xml:space="preserve"> </w:t>
      </w:r>
      <w:r w:rsidRPr="002029AF">
        <w:t>the</w:t>
      </w:r>
      <w:r w:rsidR="000A5329" w:rsidRPr="002029AF">
        <w:t xml:space="preserve"> </w:t>
      </w:r>
      <w:r w:rsidRPr="002029AF">
        <w:t>purchase</w:t>
      </w:r>
      <w:r w:rsidR="000A5329" w:rsidRPr="002029AF">
        <w:t xml:space="preserve"> </w:t>
      </w:r>
      <w:r w:rsidRPr="002029AF">
        <w:t>(and</w:t>
      </w:r>
      <w:r w:rsidR="000A5329" w:rsidRPr="002029AF">
        <w:t xml:space="preserve"> </w:t>
      </w:r>
      <w:r w:rsidRPr="002029AF">
        <w:t>other</w:t>
      </w:r>
      <w:r w:rsidR="000A5329" w:rsidRPr="002029AF">
        <w:t xml:space="preserve"> </w:t>
      </w:r>
      <w:r w:rsidRPr="002029AF">
        <w:t>acquisition)</w:t>
      </w:r>
      <w:r w:rsidR="000A5329" w:rsidRPr="002029AF">
        <w:t xml:space="preserve"> </w:t>
      </w:r>
      <w:r w:rsidRPr="002029AF">
        <w:t>of</w:t>
      </w:r>
      <w:r w:rsidR="000A5329" w:rsidRPr="002029AF">
        <w:t xml:space="preserve"> </w:t>
      </w:r>
      <w:r w:rsidRPr="002029AF">
        <w:t>non-financial</w:t>
      </w:r>
      <w:r w:rsidR="000A5329" w:rsidRPr="002029AF">
        <w:t xml:space="preserve"> </w:t>
      </w:r>
      <w:r w:rsidRPr="002029AF">
        <w:t>assets</w:t>
      </w:r>
      <w:r w:rsidR="000A5329" w:rsidRPr="002029AF">
        <w:t xml:space="preserve"> </w:t>
      </w:r>
      <w:r w:rsidRPr="002029AF">
        <w:t>less</w:t>
      </w:r>
      <w:r w:rsidR="000A5329" w:rsidRPr="002029AF">
        <w:t xml:space="preserve"> </w:t>
      </w:r>
      <w:r w:rsidRPr="002029AF">
        <w:t>sales</w:t>
      </w:r>
      <w:r w:rsidR="000A5329" w:rsidRPr="002029AF">
        <w:t xml:space="preserve"> </w:t>
      </w:r>
      <w:r w:rsidRPr="002029AF">
        <w:t>(or</w:t>
      </w:r>
      <w:r w:rsidR="000A5329" w:rsidRPr="002029AF">
        <w:t xml:space="preserve"> </w:t>
      </w:r>
      <w:r w:rsidRPr="002029AF">
        <w:t>disposals)</w:t>
      </w:r>
      <w:r w:rsidR="000A5329" w:rsidRPr="002029AF">
        <w:t xml:space="preserve"> </w:t>
      </w:r>
      <w:r w:rsidRPr="002029AF">
        <w:t>of</w:t>
      </w:r>
      <w:r w:rsidR="000A5329" w:rsidRPr="002029AF">
        <w:t xml:space="preserve"> </w:t>
      </w:r>
      <w:r w:rsidRPr="002029AF">
        <w:t>non-financial</w:t>
      </w:r>
      <w:r w:rsidR="000A5329" w:rsidRPr="002029AF">
        <w:t xml:space="preserve"> </w:t>
      </w:r>
      <w:r w:rsidRPr="002029AF">
        <w:t>assets</w:t>
      </w:r>
      <w:r w:rsidR="000A5329" w:rsidRPr="002029AF">
        <w:t xml:space="preserve"> </w:t>
      </w:r>
      <w:r w:rsidRPr="002029AF">
        <w:t>less</w:t>
      </w:r>
      <w:r w:rsidR="000A5329" w:rsidRPr="002029AF">
        <w:t xml:space="preserve"> </w:t>
      </w:r>
      <w:r w:rsidRPr="002029AF">
        <w:t>depreciation</w:t>
      </w:r>
      <w:r w:rsidR="000A5329" w:rsidRPr="002029AF">
        <w:t xml:space="preserve"> </w:t>
      </w:r>
      <w:r w:rsidRPr="002029AF">
        <w:t>plus</w:t>
      </w:r>
      <w:r w:rsidR="000A5329" w:rsidRPr="002029AF">
        <w:t xml:space="preserve"> </w:t>
      </w:r>
      <w:r w:rsidRPr="002029AF">
        <w:t>changes</w:t>
      </w:r>
      <w:r w:rsidR="000A5329" w:rsidRPr="002029AF">
        <w:t xml:space="preserve"> </w:t>
      </w:r>
      <w:r w:rsidRPr="002029AF">
        <w:t>in</w:t>
      </w:r>
      <w:r w:rsidR="000A5329" w:rsidRPr="002029AF">
        <w:t xml:space="preserve"> </w:t>
      </w:r>
      <w:r w:rsidRPr="002029AF">
        <w:t>inventories</w:t>
      </w:r>
      <w:r w:rsidR="000A5329" w:rsidRPr="002029AF">
        <w:t xml:space="preserve"> </w:t>
      </w:r>
      <w:r w:rsidRPr="002029AF">
        <w:t>and</w:t>
      </w:r>
      <w:r w:rsidR="000A5329" w:rsidRPr="002029AF">
        <w:t xml:space="preserve"> </w:t>
      </w:r>
      <w:r w:rsidRPr="002029AF">
        <w:t>other</w:t>
      </w:r>
      <w:r w:rsidR="000A5329" w:rsidRPr="002029AF">
        <w:t xml:space="preserve"> </w:t>
      </w:r>
      <w:r w:rsidRPr="002029AF">
        <w:t>movements</w:t>
      </w:r>
      <w:r w:rsidR="000A5329" w:rsidRPr="002029AF">
        <w:t xml:space="preserve"> </w:t>
      </w:r>
      <w:r w:rsidRPr="002029AF">
        <w:t>in</w:t>
      </w:r>
      <w:r w:rsidR="000A5329" w:rsidRPr="002029AF">
        <w:t xml:space="preserve"> </w:t>
      </w:r>
      <w:r w:rsidRPr="002029AF">
        <w:t>non-financial</w:t>
      </w:r>
      <w:r w:rsidR="000A5329" w:rsidRPr="002029AF">
        <w:t xml:space="preserve"> </w:t>
      </w:r>
      <w:r w:rsidRPr="002029AF">
        <w:t>assets.</w:t>
      </w:r>
      <w:r w:rsidR="000A5329" w:rsidRPr="002029AF">
        <w:t xml:space="preserve"> </w:t>
      </w:r>
      <w:r w:rsidRPr="002029AF">
        <w:t>Includes</w:t>
      </w:r>
      <w:r w:rsidR="000A5329" w:rsidRPr="002029AF">
        <w:t xml:space="preserve"> </w:t>
      </w:r>
      <w:r w:rsidRPr="002029AF">
        <w:t>only</w:t>
      </w:r>
      <w:r w:rsidR="000A5329" w:rsidRPr="002029AF">
        <w:t xml:space="preserve"> </w:t>
      </w:r>
      <w:r w:rsidRPr="002029AF">
        <w:t>those</w:t>
      </w:r>
      <w:r w:rsidR="000A5329" w:rsidRPr="002029AF">
        <w:t xml:space="preserve"> </w:t>
      </w:r>
      <w:r w:rsidRPr="002029AF">
        <w:t>increases</w:t>
      </w:r>
      <w:r w:rsidR="000A5329" w:rsidRPr="002029AF">
        <w:t xml:space="preserve"> </w:t>
      </w:r>
      <w:r w:rsidRPr="002029AF">
        <w:t>or</w:t>
      </w:r>
      <w:r w:rsidR="000A5329" w:rsidRPr="002029AF">
        <w:t xml:space="preserve"> </w:t>
      </w:r>
      <w:r w:rsidRPr="002029AF">
        <w:t>decreases</w:t>
      </w:r>
      <w:r w:rsidR="000A5329" w:rsidRPr="002029AF">
        <w:t xml:space="preserve"> </w:t>
      </w:r>
      <w:r w:rsidRPr="002029AF">
        <w:t>in</w:t>
      </w:r>
      <w:r w:rsidR="000A5329" w:rsidRPr="002029AF">
        <w:t xml:space="preserve"> </w:t>
      </w:r>
      <w:r w:rsidRPr="002029AF">
        <w:t>non-financial</w:t>
      </w:r>
      <w:r w:rsidR="000A5329" w:rsidRPr="002029AF">
        <w:t xml:space="preserve"> </w:t>
      </w:r>
      <w:r w:rsidRPr="002029AF">
        <w:t>assets</w:t>
      </w:r>
      <w:r w:rsidR="000A5329" w:rsidRPr="002029AF">
        <w:t xml:space="preserve"> </w:t>
      </w:r>
      <w:r w:rsidRPr="002029AF">
        <w:t>resulting</w:t>
      </w:r>
      <w:r w:rsidR="000A5329" w:rsidRPr="002029AF">
        <w:t xml:space="preserve"> </w:t>
      </w:r>
      <w:r w:rsidRPr="002029AF">
        <w:t>from</w:t>
      </w:r>
      <w:r w:rsidR="000A5329" w:rsidRPr="002029AF">
        <w:t xml:space="preserve"> </w:t>
      </w:r>
      <w:r w:rsidRPr="002029AF">
        <w:t>transactions</w:t>
      </w:r>
      <w:r w:rsidR="000A5329" w:rsidRPr="002029AF">
        <w:t xml:space="preserve"> </w:t>
      </w:r>
      <w:r w:rsidRPr="002029AF">
        <w:t>and</w:t>
      </w:r>
      <w:r w:rsidR="000A5329" w:rsidRPr="002029AF">
        <w:t xml:space="preserve"> </w:t>
      </w:r>
      <w:r w:rsidRPr="002029AF">
        <w:t>therefore</w:t>
      </w:r>
      <w:r w:rsidR="000A5329" w:rsidRPr="002029AF">
        <w:t xml:space="preserve"> </w:t>
      </w:r>
      <w:r w:rsidRPr="002029AF">
        <w:t>excludes</w:t>
      </w:r>
      <w:r w:rsidR="000A5329" w:rsidRPr="002029AF">
        <w:t xml:space="preserve"> </w:t>
      </w:r>
      <w:r w:rsidRPr="002029AF">
        <w:t>write-offs,</w:t>
      </w:r>
      <w:r w:rsidR="000A5329" w:rsidRPr="002029AF">
        <w:t xml:space="preserve"> </w:t>
      </w:r>
      <w:r w:rsidRPr="002029AF">
        <w:t>impairment</w:t>
      </w:r>
      <w:r w:rsidR="000A5329" w:rsidRPr="002029AF">
        <w:t xml:space="preserve"> </w:t>
      </w:r>
      <w:r w:rsidRPr="002029AF">
        <w:t>write-downs</w:t>
      </w:r>
      <w:r w:rsidR="000A5329" w:rsidRPr="002029AF">
        <w:t xml:space="preserve"> </w:t>
      </w:r>
      <w:r w:rsidRPr="002029AF">
        <w:t>and</w:t>
      </w:r>
      <w:r w:rsidR="000A5329" w:rsidRPr="002029AF">
        <w:t xml:space="preserve"> </w:t>
      </w:r>
      <w:r w:rsidRPr="002029AF">
        <w:t>revaluations.</w:t>
      </w:r>
    </w:p>
    <w:p w14:paraId="370DC131" w14:textId="51668F59" w:rsidR="00087B91" w:rsidRPr="002029AF" w:rsidRDefault="00087B91" w:rsidP="00B12841">
      <w:pPr>
        <w:pStyle w:val="ARfinbody"/>
        <w:spacing w:line="180" w:lineRule="atLeast"/>
      </w:pPr>
      <w:r w:rsidRPr="002029AF">
        <w:rPr>
          <w:rStyle w:val="Strong"/>
        </w:rPr>
        <w:t>Net</w:t>
      </w:r>
      <w:r w:rsidR="000A5329" w:rsidRPr="002029AF">
        <w:rPr>
          <w:rStyle w:val="Strong"/>
        </w:rPr>
        <w:t xml:space="preserve"> </w:t>
      </w:r>
      <w:r w:rsidRPr="002029AF">
        <w:rPr>
          <w:rStyle w:val="Strong"/>
        </w:rPr>
        <w:t>financial</w:t>
      </w:r>
      <w:r w:rsidR="000A5329" w:rsidRPr="002029AF">
        <w:rPr>
          <w:rStyle w:val="Strong"/>
        </w:rPr>
        <w:t xml:space="preserve"> </w:t>
      </w:r>
      <w:r w:rsidRPr="002029AF">
        <w:rPr>
          <w:rStyle w:val="Strong"/>
        </w:rPr>
        <w:t>liabilities</w:t>
      </w:r>
      <w:r w:rsidR="000A5329" w:rsidRPr="002029AF">
        <w:t xml:space="preserve"> </w:t>
      </w:r>
      <w:r w:rsidR="4FFE8A66" w:rsidRPr="002029AF">
        <w:t>are</w:t>
      </w:r>
      <w:r w:rsidR="000A5329" w:rsidRPr="002029AF">
        <w:t xml:space="preserve"> </w:t>
      </w:r>
      <w:r w:rsidRPr="002029AF">
        <w:t>calculated</w:t>
      </w:r>
      <w:r w:rsidR="000A5329" w:rsidRPr="002029AF">
        <w:t xml:space="preserve"> </w:t>
      </w:r>
      <w:r w:rsidRPr="002029AF">
        <w:t>as</w:t>
      </w:r>
      <w:r w:rsidR="000A5329" w:rsidRPr="002029AF">
        <w:t xml:space="preserve"> </w:t>
      </w:r>
      <w:r w:rsidRPr="002029AF">
        <w:t>liabilities</w:t>
      </w:r>
      <w:r w:rsidR="000A5329" w:rsidRPr="002029AF">
        <w:t xml:space="preserve"> </w:t>
      </w:r>
      <w:r w:rsidRPr="002029AF">
        <w:t>less</w:t>
      </w:r>
      <w:r w:rsidR="000A5329" w:rsidRPr="002029AF">
        <w:t xml:space="preserve"> </w:t>
      </w:r>
      <w:r w:rsidRPr="002029AF">
        <w:t>financial</w:t>
      </w:r>
      <w:r w:rsidR="000A5329" w:rsidRPr="002029AF">
        <w:t xml:space="preserve"> </w:t>
      </w:r>
      <w:r w:rsidRPr="002029AF">
        <w:t>assets,</w:t>
      </w:r>
      <w:r w:rsidR="000A5329" w:rsidRPr="002029AF">
        <w:t xml:space="preserve"> </w:t>
      </w:r>
      <w:r w:rsidRPr="002029AF">
        <w:t>other</w:t>
      </w:r>
      <w:r w:rsidR="000A5329" w:rsidRPr="002029AF">
        <w:t xml:space="preserve"> </w:t>
      </w:r>
      <w:r w:rsidRPr="002029AF">
        <w:t>than</w:t>
      </w:r>
      <w:r w:rsidR="000A5329" w:rsidRPr="002029AF">
        <w:t xml:space="preserve"> </w:t>
      </w:r>
      <w:r w:rsidRPr="002029AF">
        <w:t>equity</w:t>
      </w:r>
      <w:r w:rsidR="000A5329" w:rsidRPr="002029AF">
        <w:t xml:space="preserve"> </w:t>
      </w:r>
      <w:r w:rsidRPr="002029AF">
        <w:t>in</w:t>
      </w:r>
      <w:r w:rsidR="000A5329" w:rsidRPr="002029AF">
        <w:t xml:space="preserve"> </w:t>
      </w:r>
      <w:r w:rsidRPr="002029AF">
        <w:t>public</w:t>
      </w:r>
      <w:r w:rsidR="000A5329" w:rsidRPr="002029AF">
        <w:t xml:space="preserve"> </w:t>
      </w:r>
      <w:r w:rsidRPr="002029AF">
        <w:t>non-financial</w:t>
      </w:r>
      <w:r w:rsidR="000A5329" w:rsidRPr="002029AF">
        <w:t xml:space="preserve"> </w:t>
      </w:r>
      <w:r w:rsidRPr="002029AF">
        <w:t>corporations</w:t>
      </w:r>
      <w:r w:rsidR="000A5329" w:rsidRPr="002029AF">
        <w:t xml:space="preserve"> </w:t>
      </w:r>
      <w:r w:rsidRPr="002029AF">
        <w:t>(PNFC)</w:t>
      </w:r>
      <w:r w:rsidR="000A5329" w:rsidRPr="002029AF">
        <w:t xml:space="preserve"> </w:t>
      </w:r>
      <w:r w:rsidRPr="002029AF">
        <w:t>and</w:t>
      </w:r>
      <w:r w:rsidR="000A5329" w:rsidRPr="002029AF">
        <w:t xml:space="preserve"> </w:t>
      </w:r>
      <w:r w:rsidRPr="002029AF">
        <w:t>public</w:t>
      </w:r>
      <w:r w:rsidR="000A5329" w:rsidRPr="002029AF">
        <w:t xml:space="preserve"> </w:t>
      </w:r>
      <w:r w:rsidRPr="002029AF">
        <w:t>financial</w:t>
      </w:r>
      <w:r w:rsidR="000A5329" w:rsidRPr="002029AF">
        <w:t xml:space="preserve"> </w:t>
      </w:r>
      <w:r w:rsidRPr="002029AF">
        <w:t>corporations</w:t>
      </w:r>
      <w:r w:rsidR="000A5329" w:rsidRPr="002029AF">
        <w:t xml:space="preserve"> </w:t>
      </w:r>
      <w:r w:rsidRPr="002029AF">
        <w:t>(PFC).</w:t>
      </w:r>
      <w:r w:rsidR="000A5329" w:rsidRPr="002029AF">
        <w:t xml:space="preserve"> </w:t>
      </w:r>
      <w:r w:rsidRPr="002029AF">
        <w:t>This</w:t>
      </w:r>
      <w:r w:rsidR="000A5329" w:rsidRPr="002029AF">
        <w:t xml:space="preserve"> </w:t>
      </w:r>
      <w:r w:rsidRPr="002029AF">
        <w:t>measure</w:t>
      </w:r>
      <w:r w:rsidR="000A5329" w:rsidRPr="002029AF">
        <w:t xml:space="preserve"> </w:t>
      </w:r>
      <w:r w:rsidRPr="002029AF">
        <w:t>is</w:t>
      </w:r>
      <w:r w:rsidR="000A5329" w:rsidRPr="002029AF">
        <w:t xml:space="preserve"> </w:t>
      </w:r>
      <w:r w:rsidRPr="002029AF">
        <w:t>broader</w:t>
      </w:r>
      <w:r w:rsidR="000A5329" w:rsidRPr="002029AF">
        <w:t xml:space="preserve"> </w:t>
      </w:r>
      <w:r w:rsidRPr="002029AF">
        <w:t>than</w:t>
      </w:r>
      <w:r w:rsidR="000A5329" w:rsidRPr="002029AF">
        <w:t xml:space="preserve"> </w:t>
      </w:r>
      <w:r w:rsidRPr="002029AF">
        <w:t>net</w:t>
      </w:r>
      <w:r w:rsidR="000A5329" w:rsidRPr="002029AF">
        <w:t xml:space="preserve"> </w:t>
      </w:r>
      <w:r w:rsidRPr="002029AF">
        <w:t>debt</w:t>
      </w:r>
      <w:r w:rsidR="000A5329" w:rsidRPr="002029AF">
        <w:t xml:space="preserve"> </w:t>
      </w:r>
      <w:r w:rsidRPr="002029AF">
        <w:t>as</w:t>
      </w:r>
      <w:r w:rsidR="000A5329" w:rsidRPr="002029AF">
        <w:t xml:space="preserve"> </w:t>
      </w:r>
      <w:r w:rsidRPr="002029AF">
        <w:t>it</w:t>
      </w:r>
      <w:r w:rsidR="000A5329" w:rsidRPr="002029AF">
        <w:t xml:space="preserve"> </w:t>
      </w:r>
      <w:r w:rsidRPr="002029AF">
        <w:t>includes</w:t>
      </w:r>
      <w:r w:rsidR="000A5329" w:rsidRPr="002029AF">
        <w:t xml:space="preserve"> </w:t>
      </w:r>
      <w:r w:rsidRPr="002029AF">
        <w:t>significant</w:t>
      </w:r>
      <w:r w:rsidR="000A5329" w:rsidRPr="002029AF">
        <w:t xml:space="preserve"> </w:t>
      </w:r>
      <w:r w:rsidRPr="002029AF">
        <w:t>liabilities,</w:t>
      </w:r>
      <w:r w:rsidR="000A5329" w:rsidRPr="002029AF">
        <w:t xml:space="preserve"> </w:t>
      </w:r>
      <w:r w:rsidRPr="002029AF">
        <w:t>other</w:t>
      </w:r>
      <w:r w:rsidR="000A5329" w:rsidRPr="002029AF">
        <w:t xml:space="preserve"> </w:t>
      </w:r>
      <w:r w:rsidRPr="002029AF">
        <w:t>than</w:t>
      </w:r>
      <w:r w:rsidR="000A5329" w:rsidRPr="002029AF">
        <w:t xml:space="preserve"> </w:t>
      </w:r>
      <w:r w:rsidRPr="002029AF">
        <w:t>borrowings</w:t>
      </w:r>
      <w:r w:rsidR="000A5329" w:rsidRPr="002029AF">
        <w:t xml:space="preserve"> </w:t>
      </w:r>
      <w:r w:rsidRPr="002029AF">
        <w:t>(for</w:t>
      </w:r>
      <w:r w:rsidR="000A5329" w:rsidRPr="002029AF">
        <w:t xml:space="preserve"> </w:t>
      </w:r>
      <w:r w:rsidRPr="002029AF">
        <w:t>example</w:t>
      </w:r>
      <w:r w:rsidR="000A5329" w:rsidRPr="002029AF">
        <w:t xml:space="preserve"> </w:t>
      </w:r>
      <w:r w:rsidRPr="002029AF">
        <w:t>accrued</w:t>
      </w:r>
      <w:r w:rsidR="000A5329" w:rsidRPr="002029AF">
        <w:t xml:space="preserve"> </w:t>
      </w:r>
      <w:r w:rsidRPr="002029AF">
        <w:t>employee</w:t>
      </w:r>
      <w:r w:rsidR="000A5329" w:rsidRPr="002029AF">
        <w:t xml:space="preserve"> </w:t>
      </w:r>
      <w:r w:rsidRPr="002029AF">
        <w:t>liabilities</w:t>
      </w:r>
      <w:r w:rsidR="000A5329" w:rsidRPr="002029AF">
        <w:t xml:space="preserve"> </w:t>
      </w:r>
      <w:r w:rsidRPr="002029AF">
        <w:t>such</w:t>
      </w:r>
      <w:r w:rsidR="000A5329" w:rsidRPr="002029AF">
        <w:t xml:space="preserve"> </w:t>
      </w:r>
      <w:r w:rsidRPr="002029AF">
        <w:t>as</w:t>
      </w:r>
      <w:r w:rsidR="000A5329" w:rsidRPr="002029AF">
        <w:t xml:space="preserve"> </w:t>
      </w:r>
      <w:r w:rsidRPr="002029AF">
        <w:t>superannuation</w:t>
      </w:r>
      <w:r w:rsidR="000A5329" w:rsidRPr="002029AF">
        <w:t xml:space="preserve"> </w:t>
      </w:r>
      <w:r w:rsidRPr="002029AF">
        <w:t>and</w:t>
      </w:r>
      <w:r w:rsidR="000A5329" w:rsidRPr="002029AF">
        <w:t xml:space="preserve"> </w:t>
      </w:r>
      <w:r w:rsidRPr="002029AF">
        <w:t>long</w:t>
      </w:r>
      <w:r w:rsidR="000A5329" w:rsidRPr="002029AF">
        <w:t xml:space="preserve"> </w:t>
      </w:r>
      <w:r w:rsidRPr="002029AF">
        <w:t>service</w:t>
      </w:r>
      <w:r w:rsidR="000A5329" w:rsidRPr="002029AF">
        <w:t xml:space="preserve"> </w:t>
      </w:r>
      <w:r w:rsidRPr="002029AF">
        <w:t>leave</w:t>
      </w:r>
      <w:r w:rsidR="000A5329" w:rsidRPr="002029AF">
        <w:t xml:space="preserve"> </w:t>
      </w:r>
      <w:r w:rsidRPr="002029AF">
        <w:t>entitlements).</w:t>
      </w:r>
      <w:r w:rsidR="000A5329" w:rsidRPr="002029AF">
        <w:t xml:space="preserve"> </w:t>
      </w:r>
      <w:r w:rsidRPr="002029AF">
        <w:t>For</w:t>
      </w:r>
      <w:r w:rsidR="000A5329" w:rsidRPr="002029AF">
        <w:t xml:space="preserve"> </w:t>
      </w:r>
      <w:r w:rsidRPr="002029AF">
        <w:t>the</w:t>
      </w:r>
      <w:r w:rsidR="000A5329" w:rsidRPr="002029AF">
        <w:t xml:space="preserve"> </w:t>
      </w:r>
      <w:r w:rsidRPr="002029AF">
        <w:t>PNFC</w:t>
      </w:r>
      <w:r w:rsidR="000A5329" w:rsidRPr="002029AF">
        <w:t xml:space="preserve"> </w:t>
      </w:r>
      <w:r w:rsidRPr="002029AF">
        <w:t>and</w:t>
      </w:r>
      <w:r w:rsidR="000A5329" w:rsidRPr="002029AF">
        <w:t xml:space="preserve"> </w:t>
      </w:r>
      <w:r w:rsidRPr="002029AF">
        <w:t>PFC</w:t>
      </w:r>
      <w:r w:rsidR="000A5329" w:rsidRPr="002029AF">
        <w:t xml:space="preserve"> </w:t>
      </w:r>
      <w:r w:rsidRPr="002029AF">
        <w:t>sectors,</w:t>
      </w:r>
      <w:r w:rsidR="000A5329" w:rsidRPr="002029AF">
        <w:t xml:space="preserve"> </w:t>
      </w:r>
      <w:r w:rsidRPr="002029AF">
        <w:t>it</w:t>
      </w:r>
      <w:r w:rsidR="000A5329" w:rsidRPr="002029AF">
        <w:t xml:space="preserve"> </w:t>
      </w:r>
      <w:r w:rsidRPr="002029AF">
        <w:t>is</w:t>
      </w:r>
      <w:r w:rsidR="000A5329" w:rsidRPr="002029AF">
        <w:t xml:space="preserve"> </w:t>
      </w:r>
      <w:r w:rsidRPr="002029AF">
        <w:t>equal</w:t>
      </w:r>
      <w:r w:rsidR="000A5329" w:rsidRPr="002029AF">
        <w:t xml:space="preserve"> </w:t>
      </w:r>
      <w:r w:rsidRPr="002029AF">
        <w:t>to</w:t>
      </w:r>
      <w:r w:rsidR="000A5329" w:rsidRPr="002029AF">
        <w:t xml:space="preserve"> </w:t>
      </w:r>
      <w:r w:rsidRPr="002029AF">
        <w:t>negative</w:t>
      </w:r>
      <w:r w:rsidR="000A5329" w:rsidRPr="002029AF">
        <w:t xml:space="preserve"> </w:t>
      </w:r>
      <w:r w:rsidRPr="002029AF">
        <w:t>net</w:t>
      </w:r>
      <w:r w:rsidR="000A5329" w:rsidRPr="002029AF">
        <w:t xml:space="preserve"> </w:t>
      </w:r>
      <w:r w:rsidRPr="002029AF">
        <w:t>financial</w:t>
      </w:r>
      <w:r w:rsidR="000A5329" w:rsidRPr="002029AF">
        <w:t xml:space="preserve"> </w:t>
      </w:r>
      <w:r w:rsidRPr="002029AF">
        <w:t>worth.</w:t>
      </w:r>
    </w:p>
    <w:p w14:paraId="25B9511D" w14:textId="20B16BC9" w:rsidR="00087B91" w:rsidRPr="002029AF" w:rsidRDefault="00087B91" w:rsidP="00B12841">
      <w:pPr>
        <w:pStyle w:val="ARfinbody"/>
        <w:spacing w:line="180" w:lineRule="atLeast"/>
      </w:pPr>
      <w:r w:rsidRPr="002029AF">
        <w:rPr>
          <w:rStyle w:val="Strong"/>
        </w:rPr>
        <w:t>Net</w:t>
      </w:r>
      <w:r w:rsidR="000A5329" w:rsidRPr="002029AF">
        <w:rPr>
          <w:rStyle w:val="Strong"/>
        </w:rPr>
        <w:t xml:space="preserve"> </w:t>
      </w:r>
      <w:r w:rsidRPr="002029AF">
        <w:rPr>
          <w:rStyle w:val="Strong"/>
        </w:rPr>
        <w:t>financial</w:t>
      </w:r>
      <w:r w:rsidR="000A5329" w:rsidRPr="002029AF">
        <w:rPr>
          <w:rStyle w:val="Strong"/>
        </w:rPr>
        <w:t xml:space="preserve"> </w:t>
      </w:r>
      <w:r w:rsidRPr="002029AF">
        <w:rPr>
          <w:rStyle w:val="Strong"/>
        </w:rPr>
        <w:t>worth</w:t>
      </w:r>
      <w:r w:rsidR="000A5329" w:rsidRPr="002029AF">
        <w:t xml:space="preserve"> </w:t>
      </w:r>
      <w:r w:rsidRPr="002029AF">
        <w:t>is</w:t>
      </w:r>
      <w:r w:rsidR="000A5329" w:rsidRPr="002029AF">
        <w:t xml:space="preserve"> </w:t>
      </w:r>
      <w:r w:rsidRPr="002029AF">
        <w:t>equal</w:t>
      </w:r>
      <w:r w:rsidR="000A5329" w:rsidRPr="002029AF">
        <w:t xml:space="preserve"> </w:t>
      </w:r>
      <w:r w:rsidRPr="002029AF">
        <w:t>to</w:t>
      </w:r>
      <w:r w:rsidR="000A5329" w:rsidRPr="002029AF">
        <w:t xml:space="preserve"> </w:t>
      </w:r>
      <w:r w:rsidRPr="002029AF">
        <w:t>financial</w:t>
      </w:r>
      <w:r w:rsidR="000A5329" w:rsidRPr="002029AF">
        <w:t xml:space="preserve"> </w:t>
      </w:r>
      <w:r w:rsidRPr="002029AF">
        <w:t>assets</w:t>
      </w:r>
      <w:r w:rsidR="000A5329" w:rsidRPr="002029AF">
        <w:t xml:space="preserve"> </w:t>
      </w:r>
      <w:r w:rsidRPr="002029AF">
        <w:t>minus</w:t>
      </w:r>
      <w:r w:rsidR="000A5329" w:rsidRPr="002029AF">
        <w:t xml:space="preserve"> </w:t>
      </w:r>
      <w:r w:rsidRPr="002029AF">
        <w:t>liabilities.</w:t>
      </w:r>
      <w:r w:rsidR="000A5329" w:rsidRPr="002029AF">
        <w:t xml:space="preserve"> </w:t>
      </w:r>
      <w:r w:rsidRPr="002029AF">
        <w:t>It</w:t>
      </w:r>
      <w:r w:rsidR="000A5329" w:rsidRPr="002029AF">
        <w:t xml:space="preserve"> </w:t>
      </w:r>
      <w:r w:rsidRPr="002029AF">
        <w:t>is</w:t>
      </w:r>
      <w:r w:rsidR="000A5329" w:rsidRPr="002029AF">
        <w:t xml:space="preserve"> </w:t>
      </w:r>
      <w:r w:rsidRPr="002029AF">
        <w:t>a</w:t>
      </w:r>
      <w:r w:rsidR="000A5329" w:rsidRPr="002029AF">
        <w:t xml:space="preserve"> </w:t>
      </w:r>
      <w:r w:rsidRPr="002029AF">
        <w:t>broader</w:t>
      </w:r>
      <w:r w:rsidR="000A5329" w:rsidRPr="002029AF">
        <w:t xml:space="preserve"> </w:t>
      </w:r>
      <w:r w:rsidRPr="002029AF">
        <w:t>measure</w:t>
      </w:r>
      <w:r w:rsidR="000A5329" w:rsidRPr="002029AF">
        <w:t xml:space="preserve"> </w:t>
      </w:r>
      <w:r w:rsidRPr="002029AF">
        <w:t>than</w:t>
      </w:r>
      <w:r w:rsidR="000A5329" w:rsidRPr="002029AF">
        <w:t xml:space="preserve"> </w:t>
      </w:r>
      <w:r w:rsidRPr="002029AF">
        <w:t>net</w:t>
      </w:r>
      <w:r w:rsidR="000A5329" w:rsidRPr="002029AF">
        <w:t xml:space="preserve"> </w:t>
      </w:r>
      <w:r w:rsidRPr="002029AF">
        <w:t>debt</w:t>
      </w:r>
      <w:r w:rsidR="000A5329" w:rsidRPr="002029AF">
        <w:t xml:space="preserve"> </w:t>
      </w:r>
      <w:r w:rsidRPr="002029AF">
        <w:t>as</w:t>
      </w:r>
      <w:r w:rsidR="000A5329" w:rsidRPr="002029AF">
        <w:t xml:space="preserve"> </w:t>
      </w:r>
      <w:r w:rsidRPr="002029AF">
        <w:t>it</w:t>
      </w:r>
      <w:r w:rsidR="000A5329" w:rsidRPr="002029AF">
        <w:t xml:space="preserve"> </w:t>
      </w:r>
      <w:r w:rsidRPr="002029AF">
        <w:t>incorporates</w:t>
      </w:r>
      <w:r w:rsidR="000A5329" w:rsidRPr="002029AF">
        <w:t xml:space="preserve"> </w:t>
      </w:r>
      <w:r w:rsidRPr="002029AF">
        <w:t>provisions</w:t>
      </w:r>
      <w:r w:rsidR="000A5329" w:rsidRPr="002029AF">
        <w:t xml:space="preserve"> </w:t>
      </w:r>
      <w:r w:rsidRPr="002029AF">
        <w:t>made</w:t>
      </w:r>
      <w:r w:rsidR="000A5329" w:rsidRPr="002029AF">
        <w:t xml:space="preserve"> </w:t>
      </w:r>
      <w:r w:rsidRPr="002029AF">
        <w:t>(such</w:t>
      </w:r>
      <w:r w:rsidR="000A5329" w:rsidRPr="002029AF">
        <w:t xml:space="preserve"> </w:t>
      </w:r>
      <w:r w:rsidRPr="002029AF">
        <w:t>as</w:t>
      </w:r>
      <w:r w:rsidR="000A5329" w:rsidRPr="002029AF">
        <w:t xml:space="preserve"> </w:t>
      </w:r>
      <w:r w:rsidRPr="002029AF">
        <w:t>superannuation</w:t>
      </w:r>
      <w:r w:rsidR="008F467A" w:rsidRPr="002029AF">
        <w:t xml:space="preserve"> </w:t>
      </w:r>
      <w:r w:rsidRPr="002029AF">
        <w:t>but</w:t>
      </w:r>
      <w:r w:rsidR="000A5329" w:rsidRPr="002029AF">
        <w:t xml:space="preserve"> </w:t>
      </w:r>
      <w:r w:rsidRPr="002029AF">
        <w:t>excluding</w:t>
      </w:r>
      <w:r w:rsidR="000A5329" w:rsidRPr="002029AF">
        <w:t xml:space="preserve"> </w:t>
      </w:r>
      <w:r w:rsidRPr="002029AF">
        <w:t>depreciation</w:t>
      </w:r>
      <w:r w:rsidR="000A5329" w:rsidRPr="002029AF">
        <w:t xml:space="preserve"> </w:t>
      </w:r>
      <w:r w:rsidRPr="002029AF">
        <w:t>and</w:t>
      </w:r>
      <w:r w:rsidR="000A5329" w:rsidRPr="002029AF">
        <w:t xml:space="preserve"> </w:t>
      </w:r>
      <w:r w:rsidRPr="002029AF">
        <w:t>bad</w:t>
      </w:r>
      <w:r w:rsidR="000A5329" w:rsidRPr="002029AF">
        <w:t xml:space="preserve"> </w:t>
      </w:r>
      <w:r w:rsidRPr="002029AF">
        <w:t>debts)</w:t>
      </w:r>
      <w:r w:rsidR="000A5329" w:rsidRPr="002029AF">
        <w:t xml:space="preserve"> </w:t>
      </w:r>
      <w:r w:rsidRPr="002029AF">
        <w:t>as</w:t>
      </w:r>
      <w:r w:rsidR="000A5329" w:rsidRPr="002029AF">
        <w:t xml:space="preserve"> </w:t>
      </w:r>
      <w:r w:rsidRPr="002029AF">
        <w:t>well</w:t>
      </w:r>
      <w:r w:rsidR="000A5329" w:rsidRPr="002029AF">
        <w:t xml:space="preserve"> </w:t>
      </w:r>
      <w:r w:rsidRPr="002029AF">
        <w:t>as</w:t>
      </w:r>
      <w:r w:rsidR="000A5329" w:rsidRPr="002029AF">
        <w:t xml:space="preserve"> </w:t>
      </w:r>
      <w:r w:rsidRPr="002029AF">
        <w:t>holdings</w:t>
      </w:r>
      <w:r w:rsidR="000A5329" w:rsidRPr="002029AF">
        <w:t xml:space="preserve"> </w:t>
      </w:r>
      <w:r w:rsidRPr="002029AF">
        <w:t>of</w:t>
      </w:r>
      <w:r w:rsidR="000A5329" w:rsidRPr="002029AF">
        <w:t xml:space="preserve"> </w:t>
      </w:r>
      <w:r w:rsidRPr="002029AF">
        <w:t>equity.</w:t>
      </w:r>
      <w:r w:rsidR="000A5329" w:rsidRPr="002029AF">
        <w:t xml:space="preserve"> </w:t>
      </w:r>
      <w:r w:rsidRPr="002029AF">
        <w:t>Net</w:t>
      </w:r>
      <w:r w:rsidR="000A5329" w:rsidRPr="002029AF">
        <w:t xml:space="preserve"> </w:t>
      </w:r>
      <w:r w:rsidRPr="002029AF">
        <w:t>financial</w:t>
      </w:r>
      <w:r w:rsidR="000A5329" w:rsidRPr="002029AF">
        <w:t xml:space="preserve"> </w:t>
      </w:r>
      <w:r w:rsidRPr="002029AF">
        <w:t>worth</w:t>
      </w:r>
      <w:r w:rsidR="000A5329" w:rsidRPr="002029AF">
        <w:t xml:space="preserve"> </w:t>
      </w:r>
      <w:r w:rsidRPr="002029AF">
        <w:t>includes</w:t>
      </w:r>
      <w:r w:rsidR="000A5329" w:rsidRPr="002029AF">
        <w:t xml:space="preserve"> </w:t>
      </w:r>
      <w:r w:rsidRPr="002029AF">
        <w:t>all</w:t>
      </w:r>
      <w:r w:rsidR="000A5329" w:rsidRPr="002029AF">
        <w:t xml:space="preserve"> </w:t>
      </w:r>
      <w:r w:rsidRPr="002029AF">
        <w:t>classes</w:t>
      </w:r>
      <w:r w:rsidR="000A5329" w:rsidRPr="002029AF">
        <w:t xml:space="preserve"> </w:t>
      </w:r>
      <w:r w:rsidRPr="002029AF">
        <w:t>of</w:t>
      </w:r>
      <w:r w:rsidR="000A5329" w:rsidRPr="002029AF">
        <w:t xml:space="preserve"> </w:t>
      </w:r>
      <w:r w:rsidRPr="002029AF">
        <w:t>financial</w:t>
      </w:r>
      <w:r w:rsidR="000A5329" w:rsidRPr="002029AF">
        <w:t xml:space="preserve"> </w:t>
      </w:r>
      <w:r w:rsidRPr="002029AF">
        <w:t>assets</w:t>
      </w:r>
      <w:r w:rsidR="000A5329" w:rsidRPr="002029AF">
        <w:t xml:space="preserve"> </w:t>
      </w:r>
      <w:r w:rsidRPr="002029AF">
        <w:t>and</w:t>
      </w:r>
      <w:r w:rsidR="000A5329" w:rsidRPr="002029AF">
        <w:t xml:space="preserve"> </w:t>
      </w:r>
      <w:r w:rsidRPr="002029AF">
        <w:t>liabilities,</w:t>
      </w:r>
      <w:r w:rsidR="000A5329" w:rsidRPr="002029AF">
        <w:t xml:space="preserve"> </w:t>
      </w:r>
      <w:r w:rsidRPr="002029AF">
        <w:t>only</w:t>
      </w:r>
      <w:r w:rsidR="000A5329" w:rsidRPr="002029AF">
        <w:t xml:space="preserve"> </w:t>
      </w:r>
      <w:r w:rsidRPr="002029AF">
        <w:t>some</w:t>
      </w:r>
      <w:r w:rsidR="000A5329" w:rsidRPr="002029AF">
        <w:t xml:space="preserve"> </w:t>
      </w:r>
      <w:r w:rsidRPr="002029AF">
        <w:t>of</w:t>
      </w:r>
      <w:r w:rsidR="000A5329" w:rsidRPr="002029AF">
        <w:t xml:space="preserve"> </w:t>
      </w:r>
      <w:r w:rsidRPr="002029AF">
        <w:t>which</w:t>
      </w:r>
      <w:r w:rsidR="000A5329" w:rsidRPr="002029AF">
        <w:t xml:space="preserve"> </w:t>
      </w:r>
      <w:r w:rsidRPr="002029AF">
        <w:t>are</w:t>
      </w:r>
      <w:r w:rsidR="000A5329" w:rsidRPr="002029AF">
        <w:t xml:space="preserve"> </w:t>
      </w:r>
      <w:r w:rsidRPr="002029AF">
        <w:t>included</w:t>
      </w:r>
      <w:r w:rsidR="000A5329" w:rsidRPr="002029AF">
        <w:t xml:space="preserve"> </w:t>
      </w:r>
      <w:r w:rsidRPr="002029AF">
        <w:t>in</w:t>
      </w:r>
      <w:r w:rsidR="000A5329" w:rsidRPr="002029AF">
        <w:t xml:space="preserve"> </w:t>
      </w:r>
      <w:r w:rsidRPr="002029AF">
        <w:t>net</w:t>
      </w:r>
      <w:r w:rsidR="000A5329" w:rsidRPr="002029AF">
        <w:t xml:space="preserve"> </w:t>
      </w:r>
      <w:r w:rsidRPr="002029AF">
        <w:t>debt.</w:t>
      </w:r>
    </w:p>
    <w:p w14:paraId="516996FB" w14:textId="051A0AD1" w:rsidR="00087B91" w:rsidRPr="002029AF" w:rsidRDefault="00087B91" w:rsidP="00B12841">
      <w:pPr>
        <w:pStyle w:val="ARfinbody"/>
        <w:spacing w:line="180" w:lineRule="atLeast"/>
      </w:pPr>
      <w:r w:rsidRPr="002029AF">
        <w:rPr>
          <w:rStyle w:val="Strong"/>
        </w:rPr>
        <w:t>Net</w:t>
      </w:r>
      <w:r w:rsidR="000A5329" w:rsidRPr="002029AF">
        <w:rPr>
          <w:rStyle w:val="Strong"/>
        </w:rPr>
        <w:t xml:space="preserve"> </w:t>
      </w:r>
      <w:r w:rsidRPr="002029AF">
        <w:rPr>
          <w:rStyle w:val="Strong"/>
        </w:rPr>
        <w:t>operating</w:t>
      </w:r>
      <w:r w:rsidR="000A5329" w:rsidRPr="002029AF">
        <w:rPr>
          <w:rStyle w:val="Strong"/>
        </w:rPr>
        <w:t xml:space="preserve"> </w:t>
      </w:r>
      <w:r w:rsidRPr="002029AF">
        <w:rPr>
          <w:rStyle w:val="Strong"/>
        </w:rPr>
        <w:t>balance</w:t>
      </w:r>
      <w:r w:rsidR="000A5329" w:rsidRPr="002029AF">
        <w:t xml:space="preserve"> </w:t>
      </w:r>
      <w:r w:rsidRPr="002029AF">
        <w:t>or</w:t>
      </w:r>
      <w:r w:rsidR="000A5329" w:rsidRPr="002029AF">
        <w:t xml:space="preserve"> </w:t>
      </w:r>
      <w:r w:rsidRPr="002029AF">
        <w:rPr>
          <w:rStyle w:val="Strong"/>
        </w:rPr>
        <w:t>net</w:t>
      </w:r>
      <w:r w:rsidR="000A5329" w:rsidRPr="002029AF">
        <w:rPr>
          <w:rStyle w:val="Strong"/>
        </w:rPr>
        <w:t xml:space="preserve"> </w:t>
      </w:r>
      <w:r w:rsidRPr="002029AF">
        <w:rPr>
          <w:rStyle w:val="Strong"/>
        </w:rPr>
        <w:t>result</w:t>
      </w:r>
      <w:r w:rsidR="000A5329" w:rsidRPr="002029AF">
        <w:rPr>
          <w:rStyle w:val="Strong"/>
        </w:rPr>
        <w:t xml:space="preserve"> </w:t>
      </w:r>
      <w:r w:rsidRPr="002029AF">
        <w:rPr>
          <w:rStyle w:val="Strong"/>
        </w:rPr>
        <w:t>from</w:t>
      </w:r>
      <w:r w:rsidR="000A5329" w:rsidRPr="002029AF">
        <w:rPr>
          <w:rStyle w:val="Strong"/>
        </w:rPr>
        <w:t xml:space="preserve"> </w:t>
      </w:r>
      <w:r w:rsidRPr="002029AF">
        <w:rPr>
          <w:rStyle w:val="Strong"/>
        </w:rPr>
        <w:t>transactions</w:t>
      </w:r>
      <w:r w:rsidR="000A5329" w:rsidRPr="002029AF">
        <w:t xml:space="preserve"> </w:t>
      </w:r>
      <w:r w:rsidRPr="002029AF">
        <w:t>is</w:t>
      </w:r>
      <w:r w:rsidR="000A5329" w:rsidRPr="002029AF">
        <w:t xml:space="preserve"> </w:t>
      </w:r>
      <w:r w:rsidRPr="002029AF">
        <w:t>a</w:t>
      </w:r>
      <w:r w:rsidR="000A5329" w:rsidRPr="002029AF">
        <w:t xml:space="preserve"> </w:t>
      </w:r>
      <w:r w:rsidRPr="002029AF">
        <w:t>key</w:t>
      </w:r>
      <w:r w:rsidR="000A5329" w:rsidRPr="002029AF">
        <w:t xml:space="preserve"> </w:t>
      </w:r>
      <w:r w:rsidRPr="002029AF">
        <w:t>fiscal</w:t>
      </w:r>
      <w:r w:rsidR="000A5329" w:rsidRPr="002029AF">
        <w:t xml:space="preserve"> </w:t>
      </w:r>
      <w:r w:rsidRPr="002029AF">
        <w:t>aggregate</w:t>
      </w:r>
      <w:r w:rsidR="000A5329" w:rsidRPr="002029AF">
        <w:t xml:space="preserve"> </w:t>
      </w:r>
      <w:r w:rsidRPr="002029AF">
        <w:t>and</w:t>
      </w:r>
      <w:r w:rsidR="000A5329" w:rsidRPr="002029AF">
        <w:t xml:space="preserve"> </w:t>
      </w:r>
      <w:r w:rsidRPr="002029AF">
        <w:t>is</w:t>
      </w:r>
      <w:r w:rsidR="000A5329" w:rsidRPr="002029AF">
        <w:t xml:space="preserve"> </w:t>
      </w:r>
      <w:r w:rsidRPr="002029AF">
        <w:t>revenue</w:t>
      </w:r>
      <w:r w:rsidR="000A5329" w:rsidRPr="002029AF">
        <w:t xml:space="preserve"> </w:t>
      </w:r>
      <w:r w:rsidRPr="002029AF">
        <w:t>from</w:t>
      </w:r>
      <w:r w:rsidR="000A5329" w:rsidRPr="002029AF">
        <w:t xml:space="preserve"> </w:t>
      </w:r>
      <w:r w:rsidRPr="002029AF">
        <w:t>transactions</w:t>
      </w:r>
      <w:r w:rsidR="000A5329" w:rsidRPr="002029AF">
        <w:t xml:space="preserve"> </w:t>
      </w:r>
      <w:r w:rsidRPr="002029AF">
        <w:t>minus</w:t>
      </w:r>
      <w:r w:rsidR="000A5329" w:rsidRPr="002029AF">
        <w:t xml:space="preserve"> </w:t>
      </w:r>
      <w:r w:rsidRPr="002029AF">
        <w:t>expenses</w:t>
      </w:r>
      <w:r w:rsidR="000A5329" w:rsidRPr="002029AF">
        <w:t xml:space="preserve"> </w:t>
      </w:r>
      <w:r w:rsidRPr="002029AF">
        <w:t>from</w:t>
      </w:r>
      <w:r w:rsidR="000A5329" w:rsidRPr="002029AF">
        <w:t xml:space="preserve"> </w:t>
      </w:r>
      <w:r w:rsidRPr="002029AF">
        <w:t>transactions.</w:t>
      </w:r>
      <w:r w:rsidR="000A5329" w:rsidRPr="002029AF">
        <w:t xml:space="preserve"> </w:t>
      </w:r>
      <w:r w:rsidRPr="002029AF">
        <w:t>It</w:t>
      </w:r>
      <w:r w:rsidR="000A5329" w:rsidRPr="002029AF">
        <w:t xml:space="preserve"> </w:t>
      </w:r>
      <w:r w:rsidRPr="002029AF">
        <w:t>is</w:t>
      </w:r>
      <w:r w:rsidR="000A5329" w:rsidRPr="002029AF">
        <w:t xml:space="preserve"> </w:t>
      </w:r>
      <w:r w:rsidRPr="002029AF">
        <w:t>a</w:t>
      </w:r>
      <w:r w:rsidR="000A5329" w:rsidRPr="002029AF">
        <w:t xml:space="preserve"> </w:t>
      </w:r>
      <w:r w:rsidRPr="002029AF">
        <w:t>summary</w:t>
      </w:r>
      <w:r w:rsidR="000A5329" w:rsidRPr="002029AF">
        <w:t xml:space="preserve"> </w:t>
      </w:r>
      <w:r w:rsidRPr="002029AF">
        <w:t>measure</w:t>
      </w:r>
      <w:r w:rsidR="000A5329" w:rsidRPr="002029AF">
        <w:t xml:space="preserve"> </w:t>
      </w:r>
      <w:r w:rsidRPr="002029AF">
        <w:t>of</w:t>
      </w:r>
      <w:r w:rsidR="000A5329" w:rsidRPr="002029AF">
        <w:t xml:space="preserve"> </w:t>
      </w:r>
      <w:r w:rsidRPr="002029AF">
        <w:t>the</w:t>
      </w:r>
      <w:r w:rsidR="000A5329" w:rsidRPr="002029AF">
        <w:t xml:space="preserve"> </w:t>
      </w:r>
      <w:r w:rsidRPr="002029AF">
        <w:t>ongoing</w:t>
      </w:r>
      <w:r w:rsidR="000A5329" w:rsidRPr="002029AF">
        <w:t xml:space="preserve"> </w:t>
      </w:r>
      <w:r w:rsidRPr="002029AF">
        <w:t>sustainability</w:t>
      </w:r>
      <w:r w:rsidR="000A5329" w:rsidRPr="002029AF">
        <w:t xml:space="preserve"> </w:t>
      </w:r>
      <w:r w:rsidRPr="002029AF">
        <w:t>of</w:t>
      </w:r>
      <w:r w:rsidR="000A5329" w:rsidRPr="002029AF">
        <w:t xml:space="preserve"> </w:t>
      </w:r>
      <w:r w:rsidRPr="002029AF">
        <w:t>operations.</w:t>
      </w:r>
      <w:r w:rsidR="000A5329" w:rsidRPr="002029AF">
        <w:t xml:space="preserve"> </w:t>
      </w:r>
      <w:r w:rsidRPr="002029AF">
        <w:t>It</w:t>
      </w:r>
      <w:r w:rsidR="000A5329" w:rsidRPr="002029AF">
        <w:t xml:space="preserve"> </w:t>
      </w:r>
      <w:r w:rsidRPr="002029AF">
        <w:t>excludes</w:t>
      </w:r>
      <w:r w:rsidR="000A5329" w:rsidRPr="002029AF">
        <w:t xml:space="preserve"> </w:t>
      </w:r>
      <w:r w:rsidRPr="002029AF">
        <w:t>gains</w:t>
      </w:r>
      <w:r w:rsidR="000A5329" w:rsidRPr="002029AF">
        <w:t xml:space="preserve"> </w:t>
      </w:r>
      <w:r w:rsidRPr="002029AF">
        <w:t>and</w:t>
      </w:r>
      <w:r w:rsidR="000A5329" w:rsidRPr="002029AF">
        <w:t xml:space="preserve"> </w:t>
      </w:r>
      <w:r w:rsidRPr="002029AF">
        <w:t>losses</w:t>
      </w:r>
      <w:r w:rsidR="000A5329" w:rsidRPr="002029AF">
        <w:t xml:space="preserve"> </w:t>
      </w:r>
      <w:r w:rsidRPr="002029AF">
        <w:t>resulting</w:t>
      </w:r>
      <w:r w:rsidR="000A5329" w:rsidRPr="002029AF">
        <w:t xml:space="preserve"> </w:t>
      </w:r>
      <w:r w:rsidRPr="002029AF">
        <w:t>from</w:t>
      </w:r>
      <w:r w:rsidR="000A5329" w:rsidRPr="002029AF">
        <w:t xml:space="preserve"> </w:t>
      </w:r>
      <w:r w:rsidRPr="002029AF">
        <w:t>changes</w:t>
      </w:r>
      <w:r w:rsidR="000A5329" w:rsidRPr="002029AF">
        <w:t xml:space="preserve"> </w:t>
      </w:r>
      <w:r w:rsidRPr="002029AF">
        <w:t>in</w:t>
      </w:r>
      <w:r w:rsidR="000A5329" w:rsidRPr="002029AF">
        <w:t xml:space="preserve"> </w:t>
      </w:r>
      <w:r w:rsidRPr="002029AF">
        <w:t>price</w:t>
      </w:r>
      <w:r w:rsidR="000A5329" w:rsidRPr="002029AF">
        <w:t xml:space="preserve"> </w:t>
      </w:r>
      <w:r w:rsidRPr="002029AF">
        <w:t>levels</w:t>
      </w:r>
      <w:r w:rsidR="000A5329" w:rsidRPr="002029AF">
        <w:t xml:space="preserve"> </w:t>
      </w:r>
      <w:r w:rsidRPr="002029AF">
        <w:t>and</w:t>
      </w:r>
      <w:r w:rsidR="000A5329" w:rsidRPr="002029AF">
        <w:t xml:space="preserve"> </w:t>
      </w:r>
      <w:r w:rsidRPr="002029AF">
        <w:t>other</w:t>
      </w:r>
      <w:r w:rsidR="000A5329" w:rsidRPr="002029AF">
        <w:t xml:space="preserve"> </w:t>
      </w:r>
      <w:r w:rsidRPr="002029AF">
        <w:t>changes</w:t>
      </w:r>
      <w:r w:rsidR="000A5329" w:rsidRPr="002029AF">
        <w:t xml:space="preserve"> </w:t>
      </w:r>
      <w:r w:rsidRPr="002029AF">
        <w:t>in</w:t>
      </w:r>
      <w:r w:rsidR="000A5329" w:rsidRPr="002029AF">
        <w:t xml:space="preserve"> </w:t>
      </w:r>
      <w:r w:rsidRPr="002029AF">
        <w:t>the</w:t>
      </w:r>
      <w:r w:rsidR="000A5329" w:rsidRPr="002029AF">
        <w:t xml:space="preserve"> </w:t>
      </w:r>
      <w:r w:rsidRPr="002029AF">
        <w:t>volume</w:t>
      </w:r>
      <w:r w:rsidR="000A5329" w:rsidRPr="002029AF">
        <w:t xml:space="preserve"> </w:t>
      </w:r>
      <w:r w:rsidRPr="002029AF">
        <w:t>of</w:t>
      </w:r>
      <w:r w:rsidR="000A5329" w:rsidRPr="002029AF">
        <w:t xml:space="preserve"> </w:t>
      </w:r>
      <w:r w:rsidRPr="002029AF">
        <w:t>assets.</w:t>
      </w:r>
      <w:r w:rsidR="000A5329" w:rsidRPr="002029AF">
        <w:t xml:space="preserve"> </w:t>
      </w:r>
      <w:r w:rsidRPr="002029AF">
        <w:t>It</w:t>
      </w:r>
      <w:r w:rsidR="000A5329" w:rsidRPr="002029AF">
        <w:t xml:space="preserve"> </w:t>
      </w:r>
      <w:r w:rsidRPr="002029AF">
        <w:t>is</w:t>
      </w:r>
      <w:r w:rsidR="000A5329" w:rsidRPr="002029AF">
        <w:t xml:space="preserve"> </w:t>
      </w:r>
      <w:r w:rsidRPr="002029AF">
        <w:t>the</w:t>
      </w:r>
      <w:r w:rsidR="000A5329" w:rsidRPr="002029AF">
        <w:t xml:space="preserve"> </w:t>
      </w:r>
      <w:r w:rsidRPr="002029AF">
        <w:t>component</w:t>
      </w:r>
      <w:r w:rsidR="000A5329" w:rsidRPr="002029AF">
        <w:t xml:space="preserve"> </w:t>
      </w:r>
      <w:r w:rsidRPr="002029AF">
        <w:t>of</w:t>
      </w:r>
      <w:r w:rsidR="000A5329" w:rsidRPr="002029AF">
        <w:t xml:space="preserve"> </w:t>
      </w:r>
      <w:r w:rsidRPr="002029AF">
        <w:t>the</w:t>
      </w:r>
      <w:r w:rsidR="000A5329" w:rsidRPr="002029AF">
        <w:t xml:space="preserve"> </w:t>
      </w:r>
      <w:r w:rsidRPr="002029AF">
        <w:t>change</w:t>
      </w:r>
      <w:r w:rsidR="000A5329" w:rsidRPr="002029AF">
        <w:t xml:space="preserve"> </w:t>
      </w:r>
      <w:r w:rsidRPr="002029AF">
        <w:t>in</w:t>
      </w:r>
      <w:r w:rsidR="000A5329" w:rsidRPr="002029AF">
        <w:t xml:space="preserve"> </w:t>
      </w:r>
      <w:r w:rsidRPr="002029AF">
        <w:t>net</w:t>
      </w:r>
      <w:r w:rsidR="000A5329" w:rsidRPr="002029AF">
        <w:t xml:space="preserve"> </w:t>
      </w:r>
      <w:r w:rsidRPr="002029AF">
        <w:t>worth</w:t>
      </w:r>
      <w:r w:rsidR="000A5329" w:rsidRPr="002029AF">
        <w:t xml:space="preserve"> </w:t>
      </w:r>
      <w:r w:rsidRPr="002029AF">
        <w:t>that</w:t>
      </w:r>
      <w:r w:rsidR="000A5329" w:rsidRPr="002029AF">
        <w:t xml:space="preserve"> </w:t>
      </w:r>
      <w:r w:rsidRPr="002029AF">
        <w:t>is</w:t>
      </w:r>
      <w:r w:rsidR="000A5329" w:rsidRPr="002029AF">
        <w:t xml:space="preserve"> </w:t>
      </w:r>
      <w:r w:rsidRPr="002029AF">
        <w:t>due</w:t>
      </w:r>
      <w:r w:rsidR="000A5329" w:rsidRPr="002029AF">
        <w:t xml:space="preserve"> </w:t>
      </w:r>
      <w:r w:rsidRPr="002029AF">
        <w:t>to</w:t>
      </w:r>
      <w:r w:rsidR="000A5329" w:rsidRPr="002029AF">
        <w:t xml:space="preserve"> </w:t>
      </w:r>
      <w:r w:rsidRPr="002029AF">
        <w:t>transactions</w:t>
      </w:r>
      <w:r w:rsidR="000A5329" w:rsidRPr="002029AF">
        <w:t xml:space="preserve"> </w:t>
      </w:r>
      <w:r w:rsidRPr="002029AF">
        <w:t>and</w:t>
      </w:r>
      <w:r w:rsidR="000A5329" w:rsidRPr="002029AF">
        <w:t xml:space="preserve"> </w:t>
      </w:r>
      <w:r w:rsidRPr="002029AF">
        <w:t>can</w:t>
      </w:r>
      <w:r w:rsidR="000A5329" w:rsidRPr="002029AF">
        <w:t xml:space="preserve"> </w:t>
      </w:r>
      <w:r w:rsidRPr="002029AF">
        <w:t>be</w:t>
      </w:r>
      <w:r w:rsidR="000A5329" w:rsidRPr="002029AF">
        <w:t xml:space="preserve"> </w:t>
      </w:r>
      <w:r w:rsidRPr="002029AF">
        <w:t>attributed</w:t>
      </w:r>
      <w:r w:rsidR="000A5329" w:rsidRPr="002029AF">
        <w:t xml:space="preserve"> </w:t>
      </w:r>
      <w:r w:rsidRPr="002029AF">
        <w:t>directly</w:t>
      </w:r>
      <w:r w:rsidR="000A5329" w:rsidRPr="002029AF">
        <w:t xml:space="preserve"> </w:t>
      </w:r>
      <w:r w:rsidRPr="002029AF">
        <w:t>to</w:t>
      </w:r>
      <w:r w:rsidR="000A5329" w:rsidRPr="002029AF">
        <w:t xml:space="preserve"> </w:t>
      </w:r>
      <w:r w:rsidRPr="002029AF">
        <w:t>government</w:t>
      </w:r>
      <w:r w:rsidR="000A5329" w:rsidRPr="002029AF">
        <w:t xml:space="preserve"> </w:t>
      </w:r>
      <w:r w:rsidRPr="002029AF">
        <w:t>policies.</w:t>
      </w:r>
    </w:p>
    <w:p w14:paraId="5AD20608" w14:textId="1D2E95B6" w:rsidR="00087B91" w:rsidRPr="002029AF" w:rsidRDefault="00087B91" w:rsidP="00B12841">
      <w:pPr>
        <w:pStyle w:val="ARfinbody"/>
        <w:spacing w:line="180" w:lineRule="atLeast"/>
      </w:pPr>
      <w:r w:rsidRPr="002029AF">
        <w:rPr>
          <w:rStyle w:val="Strong"/>
        </w:rPr>
        <w:t>Net</w:t>
      </w:r>
      <w:r w:rsidR="000A5329" w:rsidRPr="002029AF">
        <w:rPr>
          <w:rStyle w:val="Strong"/>
        </w:rPr>
        <w:t xml:space="preserve"> </w:t>
      </w:r>
      <w:r w:rsidRPr="002029AF">
        <w:rPr>
          <w:rStyle w:val="Strong"/>
        </w:rPr>
        <w:t>result</w:t>
      </w:r>
      <w:r w:rsidR="000A5329" w:rsidRPr="002029AF">
        <w:t xml:space="preserve"> </w:t>
      </w:r>
      <w:r w:rsidRPr="002029AF">
        <w:t>is</w:t>
      </w:r>
      <w:r w:rsidR="000A5329" w:rsidRPr="002029AF">
        <w:t xml:space="preserve"> </w:t>
      </w:r>
      <w:r w:rsidRPr="002029AF">
        <w:t>a</w:t>
      </w:r>
      <w:r w:rsidR="000A5329" w:rsidRPr="002029AF">
        <w:t xml:space="preserve"> </w:t>
      </w:r>
      <w:r w:rsidRPr="002029AF">
        <w:t>measure</w:t>
      </w:r>
      <w:r w:rsidR="000A5329" w:rsidRPr="002029AF">
        <w:t xml:space="preserve"> </w:t>
      </w:r>
      <w:r w:rsidRPr="002029AF">
        <w:t>of</w:t>
      </w:r>
      <w:r w:rsidR="000A5329" w:rsidRPr="002029AF">
        <w:t xml:space="preserve"> </w:t>
      </w:r>
      <w:r w:rsidRPr="002029AF">
        <w:t>financial</w:t>
      </w:r>
      <w:r w:rsidR="000A5329" w:rsidRPr="002029AF">
        <w:t xml:space="preserve"> </w:t>
      </w:r>
      <w:r w:rsidRPr="002029AF">
        <w:t>performance</w:t>
      </w:r>
      <w:r w:rsidR="000A5329" w:rsidRPr="002029AF">
        <w:t xml:space="preserve"> </w:t>
      </w:r>
      <w:r w:rsidRPr="002029AF">
        <w:t>of</w:t>
      </w:r>
      <w:r w:rsidR="000A5329" w:rsidRPr="002029AF">
        <w:t xml:space="preserve"> </w:t>
      </w:r>
      <w:r w:rsidRPr="002029AF">
        <w:t>the</w:t>
      </w:r>
      <w:r w:rsidR="000A5329" w:rsidRPr="002029AF">
        <w:t xml:space="preserve"> </w:t>
      </w:r>
      <w:r w:rsidRPr="002029AF">
        <w:t>operations</w:t>
      </w:r>
      <w:r w:rsidR="000A5329" w:rsidRPr="002029AF">
        <w:t xml:space="preserve"> </w:t>
      </w:r>
      <w:r w:rsidRPr="002029AF">
        <w:t>for</w:t>
      </w:r>
      <w:r w:rsidR="000A5329" w:rsidRPr="002029AF">
        <w:t xml:space="preserve"> </w:t>
      </w:r>
      <w:r w:rsidRPr="002029AF">
        <w:t>the</w:t>
      </w:r>
      <w:r w:rsidR="000A5329" w:rsidRPr="002029AF">
        <w:t xml:space="preserve"> </w:t>
      </w:r>
      <w:r w:rsidRPr="002029AF">
        <w:t>period.</w:t>
      </w:r>
      <w:r w:rsidR="000A5329" w:rsidRPr="002029AF">
        <w:t xml:space="preserve"> </w:t>
      </w:r>
      <w:r w:rsidRPr="002029AF">
        <w:t>It</w:t>
      </w:r>
      <w:r w:rsidR="000A5329" w:rsidRPr="002029AF">
        <w:t xml:space="preserve"> </w:t>
      </w:r>
      <w:r w:rsidRPr="002029AF">
        <w:t>is</w:t>
      </w:r>
      <w:r w:rsidR="000A5329" w:rsidRPr="002029AF">
        <w:t xml:space="preserve"> </w:t>
      </w:r>
      <w:r w:rsidRPr="002029AF">
        <w:t>the</w:t>
      </w:r>
      <w:r w:rsidR="000A5329" w:rsidRPr="002029AF">
        <w:t xml:space="preserve"> </w:t>
      </w:r>
      <w:r w:rsidRPr="002029AF">
        <w:t>net</w:t>
      </w:r>
      <w:r w:rsidR="000A5329" w:rsidRPr="002029AF">
        <w:t xml:space="preserve"> </w:t>
      </w:r>
      <w:r w:rsidRPr="002029AF">
        <w:t>result</w:t>
      </w:r>
      <w:r w:rsidR="000A5329" w:rsidRPr="002029AF">
        <w:t xml:space="preserve"> </w:t>
      </w:r>
      <w:r w:rsidRPr="002029AF">
        <w:t>of</w:t>
      </w:r>
      <w:r w:rsidR="000A5329" w:rsidRPr="002029AF">
        <w:t xml:space="preserve"> </w:t>
      </w:r>
      <w:r w:rsidRPr="002029AF">
        <w:t>items</w:t>
      </w:r>
      <w:r w:rsidR="000A5329" w:rsidRPr="002029AF">
        <w:t xml:space="preserve"> </w:t>
      </w:r>
      <w:r w:rsidRPr="002029AF">
        <w:t>of</w:t>
      </w:r>
      <w:r w:rsidR="000A5329" w:rsidRPr="002029AF">
        <w:t xml:space="preserve"> </w:t>
      </w:r>
      <w:r w:rsidRPr="002029AF">
        <w:t>income,</w:t>
      </w:r>
      <w:r w:rsidR="000A5329" w:rsidRPr="002029AF">
        <w:t xml:space="preserve"> </w:t>
      </w:r>
      <w:r w:rsidRPr="002029AF">
        <w:t>gains</w:t>
      </w:r>
      <w:r w:rsidR="000A5329" w:rsidRPr="002029AF">
        <w:t xml:space="preserve"> </w:t>
      </w:r>
      <w:r w:rsidRPr="002029AF">
        <w:t>and</w:t>
      </w:r>
      <w:r w:rsidR="000A5329" w:rsidRPr="002029AF">
        <w:t xml:space="preserve"> </w:t>
      </w:r>
      <w:r w:rsidRPr="002029AF">
        <w:t>expenses</w:t>
      </w:r>
      <w:r w:rsidR="000A5329" w:rsidRPr="002029AF">
        <w:t xml:space="preserve"> </w:t>
      </w:r>
      <w:r w:rsidRPr="002029AF">
        <w:t>(including</w:t>
      </w:r>
      <w:r w:rsidR="000A5329" w:rsidRPr="002029AF">
        <w:t xml:space="preserve"> </w:t>
      </w:r>
      <w:r w:rsidRPr="002029AF">
        <w:t>losses)</w:t>
      </w:r>
      <w:r w:rsidR="000A5329" w:rsidRPr="002029AF">
        <w:t xml:space="preserve"> </w:t>
      </w:r>
      <w:r w:rsidRPr="002029AF">
        <w:t>recognised</w:t>
      </w:r>
      <w:r w:rsidR="000A5329" w:rsidRPr="002029AF">
        <w:t xml:space="preserve"> </w:t>
      </w:r>
      <w:r w:rsidRPr="002029AF">
        <w:t>for</w:t>
      </w:r>
      <w:r w:rsidR="000A5329" w:rsidRPr="002029AF">
        <w:t xml:space="preserve"> </w:t>
      </w:r>
      <w:r w:rsidRPr="002029AF">
        <w:t>the</w:t>
      </w:r>
      <w:r w:rsidR="000A5329" w:rsidRPr="002029AF">
        <w:t xml:space="preserve"> </w:t>
      </w:r>
      <w:r w:rsidRPr="002029AF">
        <w:t>period,</w:t>
      </w:r>
      <w:r w:rsidR="000A5329" w:rsidRPr="002029AF">
        <w:t xml:space="preserve"> </w:t>
      </w:r>
      <w:r w:rsidRPr="002029AF">
        <w:t>excluding</w:t>
      </w:r>
      <w:r w:rsidR="000A5329" w:rsidRPr="002029AF">
        <w:t xml:space="preserve"> </w:t>
      </w:r>
      <w:r w:rsidRPr="002029AF">
        <w:t>those</w:t>
      </w:r>
      <w:r w:rsidR="000A5329" w:rsidRPr="002029AF">
        <w:t xml:space="preserve"> </w:t>
      </w:r>
      <w:r w:rsidRPr="002029AF">
        <w:t>that</w:t>
      </w:r>
      <w:r w:rsidR="000A5329" w:rsidRPr="002029AF">
        <w:t xml:space="preserve"> </w:t>
      </w:r>
      <w:r w:rsidRPr="002029AF">
        <w:t>are</w:t>
      </w:r>
      <w:r w:rsidR="000A5329" w:rsidRPr="002029AF">
        <w:t xml:space="preserve"> </w:t>
      </w:r>
      <w:r w:rsidRPr="002029AF">
        <w:t>classified</w:t>
      </w:r>
      <w:r w:rsidR="000A5329" w:rsidRPr="002029AF">
        <w:t xml:space="preserve"> </w:t>
      </w:r>
      <w:r w:rsidRPr="002029AF">
        <w:t>as</w:t>
      </w:r>
      <w:r w:rsidR="000A5329" w:rsidRPr="002029AF">
        <w:t xml:space="preserve"> </w:t>
      </w:r>
      <w:r w:rsidRPr="002029AF">
        <w:t>other</w:t>
      </w:r>
      <w:r w:rsidR="000A5329" w:rsidRPr="002029AF">
        <w:t xml:space="preserve"> </w:t>
      </w:r>
      <w:r w:rsidRPr="002029AF">
        <w:t>economic</w:t>
      </w:r>
      <w:r w:rsidR="000A5329" w:rsidRPr="002029AF">
        <w:t xml:space="preserve"> </w:t>
      </w:r>
      <w:r w:rsidRPr="002029AF">
        <w:t>flows</w:t>
      </w:r>
      <w:r w:rsidR="000A5329" w:rsidRPr="002029AF">
        <w:t xml:space="preserve"> </w:t>
      </w:r>
      <w:r w:rsidRPr="002029AF">
        <w:t>–</w:t>
      </w:r>
      <w:r w:rsidR="000A5329" w:rsidRPr="002029AF">
        <w:t xml:space="preserve"> </w:t>
      </w:r>
      <w:r w:rsidRPr="002029AF">
        <w:t>other</w:t>
      </w:r>
      <w:r w:rsidR="000A5329" w:rsidRPr="002029AF">
        <w:t xml:space="preserve"> </w:t>
      </w:r>
      <w:r w:rsidRPr="002029AF">
        <w:t>comprehensive</w:t>
      </w:r>
      <w:r w:rsidR="000A5329" w:rsidRPr="002029AF">
        <w:t xml:space="preserve"> </w:t>
      </w:r>
      <w:r w:rsidRPr="002029AF">
        <w:t>income.</w:t>
      </w:r>
    </w:p>
    <w:p w14:paraId="463E3B7F" w14:textId="5B59285D" w:rsidR="00087B91" w:rsidRPr="002029AF" w:rsidRDefault="00087B91" w:rsidP="00B12841">
      <w:pPr>
        <w:pStyle w:val="ARfinbody"/>
        <w:spacing w:line="180" w:lineRule="atLeast"/>
      </w:pPr>
      <w:r w:rsidRPr="002029AF">
        <w:rPr>
          <w:rStyle w:val="Strong"/>
        </w:rPr>
        <w:t>Net</w:t>
      </w:r>
      <w:r w:rsidR="000A5329" w:rsidRPr="002029AF">
        <w:rPr>
          <w:rStyle w:val="Strong"/>
        </w:rPr>
        <w:t xml:space="preserve"> </w:t>
      </w:r>
      <w:r w:rsidRPr="002029AF">
        <w:rPr>
          <w:rStyle w:val="Strong"/>
        </w:rPr>
        <w:t>worth</w:t>
      </w:r>
      <w:r w:rsidR="000A5329" w:rsidRPr="002029AF">
        <w:t xml:space="preserve"> </w:t>
      </w:r>
      <w:r w:rsidRPr="002029AF">
        <w:t>is</w:t>
      </w:r>
      <w:r w:rsidR="000A5329" w:rsidRPr="002029AF">
        <w:t xml:space="preserve"> </w:t>
      </w:r>
      <w:r w:rsidRPr="002029AF">
        <w:t>calculated</w:t>
      </w:r>
      <w:r w:rsidR="000A5329" w:rsidRPr="002029AF">
        <w:t xml:space="preserve"> </w:t>
      </w:r>
      <w:r w:rsidRPr="002029AF">
        <w:t>as</w:t>
      </w:r>
      <w:r w:rsidR="000A5329" w:rsidRPr="002029AF">
        <w:t xml:space="preserve"> </w:t>
      </w:r>
      <w:r w:rsidRPr="002029AF">
        <w:t>assets</w:t>
      </w:r>
      <w:r w:rsidR="000A5329" w:rsidRPr="002029AF">
        <w:t xml:space="preserve"> </w:t>
      </w:r>
      <w:r w:rsidRPr="002029AF">
        <w:t>less</w:t>
      </w:r>
      <w:r w:rsidR="000A5329" w:rsidRPr="002029AF">
        <w:t xml:space="preserve"> </w:t>
      </w:r>
      <w:r w:rsidRPr="002029AF">
        <w:t>liabilities,</w:t>
      </w:r>
      <w:r w:rsidR="000A5329" w:rsidRPr="002029AF">
        <w:t xml:space="preserve"> </w:t>
      </w:r>
      <w:r w:rsidRPr="002029AF">
        <w:t>which</w:t>
      </w:r>
      <w:r w:rsidR="000A5329" w:rsidRPr="002029AF">
        <w:t xml:space="preserve"> </w:t>
      </w:r>
      <w:r w:rsidRPr="002029AF">
        <w:t>is</w:t>
      </w:r>
      <w:r w:rsidR="000A5329" w:rsidRPr="002029AF">
        <w:t xml:space="preserve"> </w:t>
      </w:r>
      <w:r w:rsidRPr="002029AF">
        <w:t>an</w:t>
      </w:r>
      <w:r w:rsidR="000A5329" w:rsidRPr="002029AF">
        <w:t xml:space="preserve"> </w:t>
      </w:r>
      <w:r w:rsidRPr="002029AF">
        <w:t>economic</w:t>
      </w:r>
      <w:r w:rsidR="000A5329" w:rsidRPr="002029AF">
        <w:t xml:space="preserve"> </w:t>
      </w:r>
      <w:r w:rsidRPr="002029AF">
        <w:t>measure</w:t>
      </w:r>
      <w:r w:rsidR="000A5329" w:rsidRPr="002029AF">
        <w:t xml:space="preserve"> </w:t>
      </w:r>
      <w:r w:rsidRPr="002029AF">
        <w:t>of</w:t>
      </w:r>
      <w:r w:rsidR="000A5329" w:rsidRPr="002029AF">
        <w:t xml:space="preserve"> </w:t>
      </w:r>
      <w:r w:rsidRPr="002029AF">
        <w:t>wealth.</w:t>
      </w:r>
    </w:p>
    <w:p w14:paraId="5C7D41C4" w14:textId="065D5617" w:rsidR="00087B91" w:rsidRPr="002029AF" w:rsidRDefault="00087B91" w:rsidP="00B12841">
      <w:pPr>
        <w:pStyle w:val="ARfinbody"/>
        <w:spacing w:line="180" w:lineRule="atLeast"/>
      </w:pPr>
      <w:r w:rsidRPr="002029AF">
        <w:rPr>
          <w:rStyle w:val="Strong"/>
        </w:rPr>
        <w:t>Non-financial</w:t>
      </w:r>
      <w:r w:rsidR="000A5329" w:rsidRPr="002029AF">
        <w:rPr>
          <w:rStyle w:val="Strong"/>
        </w:rPr>
        <w:t xml:space="preserve"> </w:t>
      </w:r>
      <w:r w:rsidRPr="002029AF">
        <w:rPr>
          <w:rStyle w:val="Strong"/>
        </w:rPr>
        <w:t>assets</w:t>
      </w:r>
      <w:r w:rsidR="000A5329" w:rsidRPr="002029AF">
        <w:t xml:space="preserve"> </w:t>
      </w:r>
      <w:r w:rsidRPr="002029AF">
        <w:t>are</w:t>
      </w:r>
      <w:r w:rsidR="000A5329" w:rsidRPr="002029AF">
        <w:t xml:space="preserve"> </w:t>
      </w:r>
      <w:r w:rsidRPr="002029AF">
        <w:t>all</w:t>
      </w:r>
      <w:r w:rsidR="000A5329" w:rsidRPr="002029AF">
        <w:t xml:space="preserve"> </w:t>
      </w:r>
      <w:r w:rsidRPr="002029AF">
        <w:t>assets</w:t>
      </w:r>
      <w:r w:rsidR="000A5329" w:rsidRPr="002029AF">
        <w:t xml:space="preserve"> </w:t>
      </w:r>
      <w:r w:rsidRPr="002029AF">
        <w:t>that</w:t>
      </w:r>
      <w:r w:rsidR="000A5329" w:rsidRPr="002029AF">
        <w:t xml:space="preserve"> </w:t>
      </w:r>
      <w:r w:rsidRPr="002029AF">
        <w:t>are</w:t>
      </w:r>
      <w:r w:rsidR="000A5329" w:rsidRPr="002029AF">
        <w:t xml:space="preserve"> </w:t>
      </w:r>
      <w:r w:rsidRPr="002029AF">
        <w:t>not</w:t>
      </w:r>
      <w:r w:rsidR="000A5329" w:rsidRPr="002029AF">
        <w:t xml:space="preserve"> </w:t>
      </w:r>
      <w:r w:rsidRPr="002029AF">
        <w:t>financial</w:t>
      </w:r>
      <w:r w:rsidR="000A5329" w:rsidRPr="002029AF">
        <w:t xml:space="preserve"> </w:t>
      </w:r>
      <w:r w:rsidRPr="002029AF">
        <w:t>assets.</w:t>
      </w:r>
      <w:r w:rsidR="000A5329" w:rsidRPr="002029AF">
        <w:t xml:space="preserve"> </w:t>
      </w:r>
      <w:r w:rsidRPr="002029AF">
        <w:t>It</w:t>
      </w:r>
      <w:r w:rsidR="000A5329" w:rsidRPr="002029AF">
        <w:t xml:space="preserve"> </w:t>
      </w:r>
      <w:r w:rsidRPr="002029AF">
        <w:t>includes</w:t>
      </w:r>
      <w:r w:rsidR="000A5329" w:rsidRPr="002029AF">
        <w:t xml:space="preserve"> </w:t>
      </w:r>
      <w:r w:rsidRPr="002029AF">
        <w:t>inventories,</w:t>
      </w:r>
      <w:r w:rsidR="000A5329" w:rsidRPr="002029AF">
        <w:t xml:space="preserve"> </w:t>
      </w:r>
      <w:r w:rsidRPr="002029AF">
        <w:t>land,</w:t>
      </w:r>
      <w:r w:rsidR="000A5329" w:rsidRPr="002029AF">
        <w:t xml:space="preserve"> </w:t>
      </w:r>
      <w:r w:rsidRPr="002029AF">
        <w:t>buildings,</w:t>
      </w:r>
      <w:r w:rsidR="000A5329" w:rsidRPr="002029AF">
        <w:t xml:space="preserve"> </w:t>
      </w:r>
      <w:r w:rsidRPr="002029AF">
        <w:t>plant</w:t>
      </w:r>
      <w:r w:rsidR="000A5329" w:rsidRPr="002029AF">
        <w:t xml:space="preserve"> </w:t>
      </w:r>
      <w:r w:rsidRPr="002029AF">
        <w:t>and</w:t>
      </w:r>
      <w:r w:rsidR="000A5329" w:rsidRPr="002029AF">
        <w:t xml:space="preserve"> </w:t>
      </w:r>
      <w:r w:rsidRPr="002029AF">
        <w:t>equipment,</w:t>
      </w:r>
      <w:r w:rsidR="000A5329" w:rsidRPr="002029AF">
        <w:t xml:space="preserve"> </w:t>
      </w:r>
      <w:r w:rsidRPr="002029AF">
        <w:t>and</w:t>
      </w:r>
      <w:r w:rsidR="000A5329" w:rsidRPr="002029AF">
        <w:t xml:space="preserve"> </w:t>
      </w:r>
      <w:r w:rsidRPr="002029AF">
        <w:t>intangible</w:t>
      </w:r>
      <w:r w:rsidR="000A5329" w:rsidRPr="002029AF">
        <w:t xml:space="preserve"> </w:t>
      </w:r>
      <w:r w:rsidRPr="002029AF">
        <w:t>assets.</w:t>
      </w:r>
    </w:p>
    <w:p w14:paraId="4C50D2BF" w14:textId="7EE4DBFE" w:rsidR="00087B91" w:rsidRPr="002029AF" w:rsidRDefault="00087B91" w:rsidP="00B12841">
      <w:pPr>
        <w:pStyle w:val="ARfinbody"/>
        <w:spacing w:line="180" w:lineRule="atLeast"/>
      </w:pPr>
      <w:r w:rsidRPr="002029AF">
        <w:rPr>
          <w:rStyle w:val="Strong"/>
        </w:rPr>
        <w:t>Non-financial</w:t>
      </w:r>
      <w:r w:rsidR="000A5329" w:rsidRPr="002029AF">
        <w:rPr>
          <w:rStyle w:val="Strong"/>
        </w:rPr>
        <w:t xml:space="preserve"> </w:t>
      </w:r>
      <w:r w:rsidRPr="002029AF">
        <w:rPr>
          <w:rStyle w:val="Strong"/>
        </w:rPr>
        <w:t>public</w:t>
      </w:r>
      <w:r w:rsidR="000A5329" w:rsidRPr="002029AF">
        <w:rPr>
          <w:rStyle w:val="Strong"/>
        </w:rPr>
        <w:t xml:space="preserve"> </w:t>
      </w:r>
      <w:r w:rsidRPr="002029AF">
        <w:rPr>
          <w:rStyle w:val="Strong"/>
        </w:rPr>
        <w:t>sector</w:t>
      </w:r>
      <w:r w:rsidR="000A5329" w:rsidRPr="002029AF">
        <w:t xml:space="preserve"> </w:t>
      </w:r>
      <w:r w:rsidRPr="002029AF">
        <w:t>represents</w:t>
      </w:r>
      <w:r w:rsidR="000A5329" w:rsidRPr="002029AF">
        <w:t xml:space="preserve"> </w:t>
      </w:r>
      <w:r w:rsidRPr="002029AF">
        <w:t>the</w:t>
      </w:r>
      <w:r w:rsidR="000A5329" w:rsidRPr="002029AF">
        <w:t xml:space="preserve"> </w:t>
      </w:r>
      <w:r w:rsidRPr="002029AF">
        <w:t>consolidated</w:t>
      </w:r>
      <w:r w:rsidR="000A5329" w:rsidRPr="002029AF">
        <w:t xml:space="preserve"> </w:t>
      </w:r>
      <w:r w:rsidRPr="002029AF">
        <w:t>transactions</w:t>
      </w:r>
      <w:r w:rsidR="000A5329" w:rsidRPr="002029AF">
        <w:t xml:space="preserve"> </w:t>
      </w:r>
      <w:r w:rsidRPr="002029AF">
        <w:t>and</w:t>
      </w:r>
      <w:r w:rsidR="000A5329" w:rsidRPr="002029AF">
        <w:t xml:space="preserve"> </w:t>
      </w:r>
      <w:r w:rsidRPr="002029AF">
        <w:t>assets</w:t>
      </w:r>
      <w:r w:rsidR="000A5329" w:rsidRPr="002029AF">
        <w:t xml:space="preserve"> </w:t>
      </w:r>
      <w:r w:rsidRPr="002029AF">
        <w:t>and</w:t>
      </w:r>
      <w:r w:rsidR="000A5329" w:rsidRPr="002029AF">
        <w:t xml:space="preserve"> </w:t>
      </w:r>
      <w:r w:rsidRPr="002029AF">
        <w:t>liabilities</w:t>
      </w:r>
      <w:r w:rsidR="000A5329" w:rsidRPr="002029AF">
        <w:t xml:space="preserve"> </w:t>
      </w:r>
      <w:r w:rsidRPr="002029AF">
        <w:t>of</w:t>
      </w:r>
      <w:r w:rsidR="000A5329" w:rsidRPr="002029AF">
        <w:t xml:space="preserve"> </w:t>
      </w:r>
      <w:r w:rsidRPr="002029AF">
        <w:t>the</w:t>
      </w:r>
      <w:r w:rsidR="000A5329" w:rsidRPr="002029AF">
        <w:t xml:space="preserve"> </w:t>
      </w:r>
      <w:r w:rsidRPr="002029AF">
        <w:t>general</w:t>
      </w:r>
      <w:r w:rsidR="000A5329" w:rsidRPr="002029AF">
        <w:t xml:space="preserve"> </w:t>
      </w:r>
      <w:r w:rsidRPr="002029AF">
        <w:t>government</w:t>
      </w:r>
      <w:r w:rsidR="000A5329" w:rsidRPr="002029AF">
        <w:t xml:space="preserve"> </w:t>
      </w:r>
      <w:r w:rsidRPr="002029AF">
        <w:t>and</w:t>
      </w:r>
      <w:r w:rsidR="000A5329" w:rsidRPr="002029AF">
        <w:t xml:space="preserve"> </w:t>
      </w:r>
      <w:r w:rsidRPr="002029AF">
        <w:t>PNFC</w:t>
      </w:r>
      <w:r w:rsidR="000A5329" w:rsidRPr="002029AF">
        <w:t xml:space="preserve"> </w:t>
      </w:r>
      <w:r w:rsidRPr="002029AF">
        <w:t>sectors.</w:t>
      </w:r>
      <w:r w:rsidR="000A5329" w:rsidRPr="002029AF">
        <w:t xml:space="preserve"> </w:t>
      </w:r>
      <w:r w:rsidRPr="002029AF">
        <w:t>In</w:t>
      </w:r>
      <w:r w:rsidR="000A5329" w:rsidRPr="002029AF">
        <w:t xml:space="preserve"> </w:t>
      </w:r>
      <w:r w:rsidRPr="002029AF">
        <w:t>compiling</w:t>
      </w:r>
      <w:r w:rsidR="000A5329" w:rsidRPr="002029AF">
        <w:t xml:space="preserve"> </w:t>
      </w:r>
      <w:r w:rsidRPr="002029AF">
        <w:t>statistics</w:t>
      </w:r>
      <w:r w:rsidR="000A5329" w:rsidRPr="002029AF">
        <w:t xml:space="preserve"> </w:t>
      </w:r>
      <w:r w:rsidRPr="002029AF">
        <w:t>for</w:t>
      </w:r>
      <w:r w:rsidR="000A5329" w:rsidRPr="002029AF">
        <w:t xml:space="preserve"> </w:t>
      </w:r>
      <w:r w:rsidRPr="002029AF">
        <w:t>the</w:t>
      </w:r>
      <w:r w:rsidR="000A5329" w:rsidRPr="002029AF">
        <w:t xml:space="preserve"> </w:t>
      </w:r>
      <w:r w:rsidRPr="002029AF">
        <w:t>non-financial</w:t>
      </w:r>
      <w:r w:rsidR="000A5329" w:rsidRPr="002029AF">
        <w:t xml:space="preserve"> </w:t>
      </w:r>
      <w:r w:rsidRPr="002029AF">
        <w:t>public</w:t>
      </w:r>
      <w:r w:rsidR="000A5329" w:rsidRPr="002029AF">
        <w:t xml:space="preserve"> </w:t>
      </w:r>
      <w:r w:rsidRPr="002029AF">
        <w:t>sector,</w:t>
      </w:r>
      <w:r w:rsidR="000A5329" w:rsidRPr="002029AF">
        <w:t xml:space="preserve"> </w:t>
      </w:r>
      <w:r w:rsidRPr="002029AF">
        <w:t>transactions</w:t>
      </w:r>
      <w:r w:rsidR="000A5329" w:rsidRPr="002029AF">
        <w:t xml:space="preserve"> </w:t>
      </w:r>
      <w:r w:rsidRPr="002029AF">
        <w:t>and</w:t>
      </w:r>
      <w:r w:rsidR="000A5329" w:rsidRPr="002029AF">
        <w:t xml:space="preserve"> </w:t>
      </w:r>
      <w:r w:rsidRPr="002029AF">
        <w:t>debtor/creditor</w:t>
      </w:r>
      <w:r w:rsidR="000A5329" w:rsidRPr="002029AF">
        <w:t xml:space="preserve"> </w:t>
      </w:r>
      <w:r w:rsidRPr="002029AF">
        <w:t>relationships</w:t>
      </w:r>
      <w:r w:rsidR="000A5329" w:rsidRPr="002029AF">
        <w:t xml:space="preserve"> </w:t>
      </w:r>
      <w:r w:rsidRPr="002029AF">
        <w:t>between</w:t>
      </w:r>
      <w:r w:rsidR="000A5329" w:rsidRPr="002029AF">
        <w:t xml:space="preserve"> </w:t>
      </w:r>
      <w:r w:rsidRPr="002029AF">
        <w:t>sub-sectors</w:t>
      </w:r>
      <w:r w:rsidR="000A5329" w:rsidRPr="002029AF">
        <w:t xml:space="preserve"> </w:t>
      </w:r>
      <w:r w:rsidRPr="002029AF">
        <w:t>are</w:t>
      </w:r>
      <w:r w:rsidR="000A5329" w:rsidRPr="002029AF">
        <w:t xml:space="preserve"> </w:t>
      </w:r>
      <w:r w:rsidRPr="002029AF">
        <w:t>eliminated</w:t>
      </w:r>
      <w:r w:rsidR="000A5329" w:rsidRPr="002029AF">
        <w:t xml:space="preserve"> </w:t>
      </w:r>
      <w:r w:rsidRPr="002029AF">
        <w:t>to</w:t>
      </w:r>
      <w:r w:rsidR="000A5329" w:rsidRPr="002029AF">
        <w:t xml:space="preserve"> </w:t>
      </w:r>
      <w:r w:rsidRPr="002029AF">
        <w:t>avoid</w:t>
      </w:r>
      <w:r w:rsidR="000A5329" w:rsidRPr="002029AF">
        <w:t xml:space="preserve"> </w:t>
      </w:r>
      <w:r w:rsidRPr="002029AF">
        <w:t>double</w:t>
      </w:r>
      <w:r w:rsidR="000A5329" w:rsidRPr="002029AF">
        <w:t xml:space="preserve"> </w:t>
      </w:r>
      <w:r w:rsidRPr="002029AF">
        <w:t>counting.</w:t>
      </w:r>
    </w:p>
    <w:p w14:paraId="53B1BB5B" w14:textId="374A29FC" w:rsidR="00087B91" w:rsidRPr="002029AF" w:rsidRDefault="00087B91" w:rsidP="00B12841">
      <w:pPr>
        <w:pStyle w:val="ARfinbody"/>
        <w:spacing w:line="180" w:lineRule="atLeast"/>
      </w:pPr>
      <w:r w:rsidRPr="002029AF">
        <w:rPr>
          <w:rStyle w:val="Strong"/>
        </w:rPr>
        <w:t>Non-produced</w:t>
      </w:r>
      <w:r w:rsidR="000A5329" w:rsidRPr="002029AF">
        <w:rPr>
          <w:rStyle w:val="Strong"/>
        </w:rPr>
        <w:t xml:space="preserve"> </w:t>
      </w:r>
      <w:r w:rsidRPr="002029AF">
        <w:rPr>
          <w:rStyle w:val="Strong"/>
        </w:rPr>
        <w:t>assets</w:t>
      </w:r>
      <w:r w:rsidR="000A5329" w:rsidRPr="002029AF">
        <w:t xml:space="preserve"> </w:t>
      </w:r>
      <w:r w:rsidRPr="002029AF">
        <w:t>are</w:t>
      </w:r>
      <w:r w:rsidR="000A5329" w:rsidRPr="002029AF">
        <w:t xml:space="preserve"> </w:t>
      </w:r>
      <w:r w:rsidRPr="002029AF">
        <w:t>assets</w:t>
      </w:r>
      <w:r w:rsidR="000A5329" w:rsidRPr="002029AF">
        <w:t xml:space="preserve"> </w:t>
      </w:r>
      <w:r w:rsidRPr="002029AF">
        <w:t>needed</w:t>
      </w:r>
      <w:r w:rsidR="000A5329" w:rsidRPr="002029AF">
        <w:t xml:space="preserve"> </w:t>
      </w:r>
      <w:r w:rsidRPr="002029AF">
        <w:t>for</w:t>
      </w:r>
      <w:r w:rsidR="000A5329" w:rsidRPr="002029AF">
        <w:t xml:space="preserve"> </w:t>
      </w:r>
      <w:r w:rsidRPr="002029AF">
        <w:t>production</w:t>
      </w:r>
      <w:r w:rsidR="000A5329" w:rsidRPr="002029AF">
        <w:t xml:space="preserve"> </w:t>
      </w:r>
      <w:r w:rsidRPr="002029AF">
        <w:t>that</w:t>
      </w:r>
      <w:r w:rsidR="000A5329" w:rsidRPr="002029AF">
        <w:t xml:space="preserve"> </w:t>
      </w:r>
      <w:r w:rsidRPr="002029AF">
        <w:t>have</w:t>
      </w:r>
      <w:r w:rsidR="000A5329" w:rsidRPr="002029AF">
        <w:t xml:space="preserve"> </w:t>
      </w:r>
      <w:r w:rsidRPr="002029AF">
        <w:t>not</w:t>
      </w:r>
      <w:r w:rsidR="000A5329" w:rsidRPr="002029AF">
        <w:t xml:space="preserve"> </w:t>
      </w:r>
      <w:r w:rsidRPr="002029AF">
        <w:t>themselves</w:t>
      </w:r>
      <w:r w:rsidR="000A5329" w:rsidRPr="002029AF">
        <w:t xml:space="preserve"> </w:t>
      </w:r>
      <w:r w:rsidRPr="002029AF">
        <w:t>been</w:t>
      </w:r>
      <w:r w:rsidR="000A5329" w:rsidRPr="002029AF">
        <w:t xml:space="preserve"> </w:t>
      </w:r>
      <w:r w:rsidRPr="002029AF">
        <w:t>produced.</w:t>
      </w:r>
      <w:r w:rsidR="000A5329" w:rsidRPr="002029AF">
        <w:t xml:space="preserve"> </w:t>
      </w:r>
      <w:r w:rsidRPr="002029AF">
        <w:t>They</w:t>
      </w:r>
      <w:r w:rsidR="000A5329" w:rsidRPr="002029AF">
        <w:t xml:space="preserve"> </w:t>
      </w:r>
      <w:r w:rsidRPr="002029AF">
        <w:t>include</w:t>
      </w:r>
      <w:r w:rsidR="000A5329" w:rsidRPr="002029AF">
        <w:t xml:space="preserve"> </w:t>
      </w:r>
      <w:r w:rsidRPr="002029AF">
        <w:t>land,</w:t>
      </w:r>
      <w:r w:rsidR="000A5329" w:rsidRPr="002029AF">
        <w:t xml:space="preserve"> </w:t>
      </w:r>
      <w:r w:rsidRPr="002029AF">
        <w:t>subsoil</w:t>
      </w:r>
      <w:r w:rsidR="000A5329" w:rsidRPr="002029AF">
        <w:t xml:space="preserve"> </w:t>
      </w:r>
      <w:r w:rsidRPr="002029AF">
        <w:t>assets,</w:t>
      </w:r>
      <w:r w:rsidR="000A5329" w:rsidRPr="002029AF">
        <w:t xml:space="preserve"> </w:t>
      </w:r>
      <w:r w:rsidRPr="002029AF">
        <w:t>and</w:t>
      </w:r>
      <w:r w:rsidR="000A5329" w:rsidRPr="002029AF">
        <w:t xml:space="preserve"> </w:t>
      </w:r>
      <w:r w:rsidRPr="002029AF">
        <w:t>certain</w:t>
      </w:r>
      <w:r w:rsidR="000A5329" w:rsidRPr="002029AF">
        <w:t xml:space="preserve"> </w:t>
      </w:r>
      <w:r w:rsidRPr="002029AF">
        <w:t>intangible</w:t>
      </w:r>
      <w:r w:rsidR="000A5329" w:rsidRPr="002029AF">
        <w:t xml:space="preserve"> </w:t>
      </w:r>
      <w:r w:rsidRPr="002029AF">
        <w:t>assets.</w:t>
      </w:r>
      <w:r w:rsidR="000A5329" w:rsidRPr="002029AF">
        <w:t xml:space="preserve"> </w:t>
      </w:r>
      <w:r w:rsidRPr="002029AF">
        <w:t>Non-produced</w:t>
      </w:r>
      <w:r w:rsidR="000A5329" w:rsidRPr="002029AF">
        <w:t xml:space="preserve"> </w:t>
      </w:r>
      <w:r w:rsidRPr="002029AF">
        <w:t>intangibles</w:t>
      </w:r>
      <w:r w:rsidR="000A5329" w:rsidRPr="002029AF">
        <w:t xml:space="preserve"> </w:t>
      </w:r>
      <w:r w:rsidRPr="002029AF">
        <w:t>are</w:t>
      </w:r>
      <w:r w:rsidR="000A5329" w:rsidRPr="002029AF">
        <w:t xml:space="preserve"> </w:t>
      </w:r>
      <w:r w:rsidRPr="002029AF">
        <w:t>intangible</w:t>
      </w:r>
      <w:r w:rsidR="000A5329" w:rsidRPr="002029AF">
        <w:t xml:space="preserve"> </w:t>
      </w:r>
      <w:r w:rsidRPr="002029AF">
        <w:t>assets</w:t>
      </w:r>
      <w:r w:rsidR="000A5329" w:rsidRPr="002029AF">
        <w:t xml:space="preserve"> </w:t>
      </w:r>
      <w:r w:rsidRPr="002029AF">
        <w:t>needed</w:t>
      </w:r>
      <w:r w:rsidR="000A5329" w:rsidRPr="002029AF">
        <w:t xml:space="preserve"> </w:t>
      </w:r>
      <w:r w:rsidRPr="002029AF">
        <w:t>for</w:t>
      </w:r>
      <w:r w:rsidR="000A5329" w:rsidRPr="002029AF">
        <w:t xml:space="preserve"> </w:t>
      </w:r>
      <w:r w:rsidRPr="002029AF">
        <w:t>production</w:t>
      </w:r>
      <w:r w:rsidR="000A5329" w:rsidRPr="002029AF">
        <w:t xml:space="preserve"> </w:t>
      </w:r>
      <w:r w:rsidRPr="002029AF">
        <w:t>that</w:t>
      </w:r>
      <w:r w:rsidR="000A5329" w:rsidRPr="002029AF">
        <w:t xml:space="preserve"> </w:t>
      </w:r>
      <w:r w:rsidRPr="002029AF">
        <w:t>have</w:t>
      </w:r>
      <w:r w:rsidR="000A5329" w:rsidRPr="002029AF">
        <w:t xml:space="preserve"> </w:t>
      </w:r>
      <w:r w:rsidRPr="002029AF">
        <w:t>not</w:t>
      </w:r>
      <w:r w:rsidR="000A5329" w:rsidRPr="002029AF">
        <w:t xml:space="preserve"> </w:t>
      </w:r>
      <w:r w:rsidRPr="002029AF">
        <w:t>themselves</w:t>
      </w:r>
      <w:r w:rsidR="000A5329" w:rsidRPr="002029AF">
        <w:t xml:space="preserve"> </w:t>
      </w:r>
      <w:r w:rsidRPr="002029AF">
        <w:t>been</w:t>
      </w:r>
      <w:r w:rsidR="000A5329" w:rsidRPr="002029AF">
        <w:t xml:space="preserve"> </w:t>
      </w:r>
      <w:r w:rsidRPr="002029AF">
        <w:t>produced.</w:t>
      </w:r>
      <w:r w:rsidR="000A5329" w:rsidRPr="002029AF">
        <w:t xml:space="preserve"> </w:t>
      </w:r>
      <w:r w:rsidRPr="002029AF">
        <w:t>They</w:t>
      </w:r>
      <w:r w:rsidR="000A5329" w:rsidRPr="002029AF">
        <w:t xml:space="preserve"> </w:t>
      </w:r>
      <w:r w:rsidRPr="002029AF">
        <w:t>include</w:t>
      </w:r>
      <w:r w:rsidR="000A5329" w:rsidRPr="002029AF">
        <w:t xml:space="preserve"> </w:t>
      </w:r>
      <w:r w:rsidRPr="002029AF">
        <w:t>constructs</w:t>
      </w:r>
      <w:r w:rsidR="000A5329" w:rsidRPr="002029AF">
        <w:t xml:space="preserve"> </w:t>
      </w:r>
      <w:r w:rsidRPr="002029AF">
        <w:t>of</w:t>
      </w:r>
      <w:r w:rsidR="000A5329" w:rsidRPr="002029AF">
        <w:t xml:space="preserve"> </w:t>
      </w:r>
      <w:r w:rsidRPr="002029AF">
        <w:t>society</w:t>
      </w:r>
      <w:r w:rsidR="000A5329" w:rsidRPr="002029AF">
        <w:t xml:space="preserve"> </w:t>
      </w:r>
      <w:r w:rsidRPr="002029AF">
        <w:t>such</w:t>
      </w:r>
      <w:r w:rsidR="000A5329" w:rsidRPr="002029AF">
        <w:t xml:space="preserve"> </w:t>
      </w:r>
      <w:r w:rsidRPr="002029AF">
        <w:t>as</w:t>
      </w:r>
      <w:r w:rsidR="000A5329" w:rsidRPr="002029AF">
        <w:t xml:space="preserve"> </w:t>
      </w:r>
      <w:r w:rsidRPr="002029AF">
        <w:t>patents.</w:t>
      </w:r>
    </w:p>
    <w:p w14:paraId="646D8752" w14:textId="17B0813C" w:rsidR="00087B91" w:rsidRPr="002029AF" w:rsidRDefault="00087B91" w:rsidP="00B12841">
      <w:pPr>
        <w:pStyle w:val="ARfinbody"/>
        <w:spacing w:line="180" w:lineRule="atLeast"/>
      </w:pPr>
      <w:r w:rsidRPr="002029AF">
        <w:rPr>
          <w:rStyle w:val="Strong"/>
        </w:rPr>
        <w:t>Operating</w:t>
      </w:r>
      <w:r w:rsidR="000A5329" w:rsidRPr="002029AF">
        <w:rPr>
          <w:rStyle w:val="Strong"/>
        </w:rPr>
        <w:t xml:space="preserve"> </w:t>
      </w:r>
      <w:r w:rsidRPr="002029AF">
        <w:rPr>
          <w:rStyle w:val="Strong"/>
        </w:rPr>
        <w:t>result</w:t>
      </w:r>
      <w:r w:rsidR="000A5329" w:rsidRPr="002029AF">
        <w:t xml:space="preserve"> </w:t>
      </w:r>
      <w:r w:rsidRPr="002029AF">
        <w:t>is</w:t>
      </w:r>
      <w:r w:rsidR="000A5329" w:rsidRPr="002029AF">
        <w:t xml:space="preserve"> </w:t>
      </w:r>
      <w:r w:rsidRPr="002029AF">
        <w:t>a</w:t>
      </w:r>
      <w:r w:rsidR="000A5329" w:rsidRPr="002029AF">
        <w:t xml:space="preserve"> </w:t>
      </w:r>
      <w:r w:rsidRPr="002029AF">
        <w:t>measure</w:t>
      </w:r>
      <w:r w:rsidR="000A5329" w:rsidRPr="002029AF">
        <w:t xml:space="preserve"> </w:t>
      </w:r>
      <w:r w:rsidRPr="002029AF">
        <w:t>of</w:t>
      </w:r>
      <w:r w:rsidR="000A5329" w:rsidRPr="002029AF">
        <w:t xml:space="preserve"> </w:t>
      </w:r>
      <w:r w:rsidRPr="002029AF">
        <w:t>financial</w:t>
      </w:r>
      <w:r w:rsidR="000A5329" w:rsidRPr="002029AF">
        <w:t xml:space="preserve"> </w:t>
      </w:r>
      <w:r w:rsidRPr="002029AF">
        <w:t>performance</w:t>
      </w:r>
      <w:r w:rsidR="000A5329" w:rsidRPr="002029AF">
        <w:t xml:space="preserve"> </w:t>
      </w:r>
      <w:r w:rsidRPr="002029AF">
        <w:t>of</w:t>
      </w:r>
      <w:r w:rsidR="000A5329" w:rsidRPr="002029AF">
        <w:t xml:space="preserve"> </w:t>
      </w:r>
      <w:r w:rsidRPr="002029AF">
        <w:t>the</w:t>
      </w:r>
      <w:r w:rsidR="000A5329" w:rsidRPr="002029AF">
        <w:t xml:space="preserve"> </w:t>
      </w:r>
      <w:r w:rsidRPr="002029AF">
        <w:t>operations</w:t>
      </w:r>
      <w:r w:rsidR="000A5329" w:rsidRPr="002029AF">
        <w:t xml:space="preserve"> </w:t>
      </w:r>
      <w:r w:rsidRPr="002029AF">
        <w:t>for</w:t>
      </w:r>
      <w:r w:rsidR="000A5329" w:rsidRPr="002029AF">
        <w:t xml:space="preserve"> </w:t>
      </w:r>
      <w:r w:rsidRPr="002029AF">
        <w:t>the</w:t>
      </w:r>
      <w:r w:rsidR="000A5329" w:rsidRPr="002029AF">
        <w:t xml:space="preserve"> </w:t>
      </w:r>
      <w:r w:rsidRPr="002029AF">
        <w:t>period.</w:t>
      </w:r>
      <w:r w:rsidR="000A5329" w:rsidRPr="002029AF">
        <w:t xml:space="preserve"> </w:t>
      </w:r>
      <w:r w:rsidRPr="002029AF">
        <w:t>It</w:t>
      </w:r>
      <w:r w:rsidR="000A5329" w:rsidRPr="002029AF">
        <w:t xml:space="preserve"> </w:t>
      </w:r>
      <w:r w:rsidRPr="002029AF">
        <w:t>is</w:t>
      </w:r>
      <w:r w:rsidR="000A5329" w:rsidRPr="002029AF">
        <w:t xml:space="preserve"> </w:t>
      </w:r>
      <w:r w:rsidRPr="002029AF">
        <w:t>the</w:t>
      </w:r>
      <w:r w:rsidR="000A5329" w:rsidRPr="002029AF">
        <w:t xml:space="preserve"> </w:t>
      </w:r>
      <w:r w:rsidRPr="002029AF">
        <w:t>net</w:t>
      </w:r>
      <w:r w:rsidR="000A5329" w:rsidRPr="002029AF">
        <w:t xml:space="preserve"> </w:t>
      </w:r>
      <w:r w:rsidRPr="002029AF">
        <w:t>result</w:t>
      </w:r>
      <w:r w:rsidR="000A5329" w:rsidRPr="002029AF">
        <w:t xml:space="preserve"> </w:t>
      </w:r>
      <w:r w:rsidRPr="002029AF">
        <w:t>of</w:t>
      </w:r>
      <w:r w:rsidR="000A5329" w:rsidRPr="002029AF">
        <w:t xml:space="preserve"> </w:t>
      </w:r>
      <w:r w:rsidRPr="002029AF">
        <w:t>items</w:t>
      </w:r>
      <w:r w:rsidR="000A5329" w:rsidRPr="002029AF">
        <w:t xml:space="preserve"> </w:t>
      </w:r>
      <w:r w:rsidRPr="002029AF">
        <w:t>of</w:t>
      </w:r>
      <w:r w:rsidR="000A5329" w:rsidRPr="002029AF">
        <w:t xml:space="preserve"> </w:t>
      </w:r>
      <w:r w:rsidRPr="002029AF">
        <w:t>revenue,</w:t>
      </w:r>
      <w:r w:rsidR="000A5329" w:rsidRPr="002029AF">
        <w:t xml:space="preserve"> </w:t>
      </w:r>
      <w:r w:rsidRPr="002029AF">
        <w:t>gains</w:t>
      </w:r>
      <w:r w:rsidR="000A5329" w:rsidRPr="002029AF">
        <w:t xml:space="preserve"> </w:t>
      </w:r>
      <w:r w:rsidRPr="002029AF">
        <w:t>and</w:t>
      </w:r>
      <w:r w:rsidR="000A5329" w:rsidRPr="002029AF">
        <w:t xml:space="preserve"> </w:t>
      </w:r>
      <w:r w:rsidRPr="002029AF">
        <w:t>expenses</w:t>
      </w:r>
      <w:r w:rsidR="000A5329" w:rsidRPr="002029AF">
        <w:t xml:space="preserve"> </w:t>
      </w:r>
      <w:r w:rsidRPr="002029AF">
        <w:t>(including</w:t>
      </w:r>
      <w:r w:rsidR="000A5329" w:rsidRPr="002029AF">
        <w:t xml:space="preserve"> </w:t>
      </w:r>
      <w:r w:rsidRPr="002029AF">
        <w:t>losses)</w:t>
      </w:r>
      <w:r w:rsidR="000A5329" w:rsidRPr="002029AF">
        <w:t xml:space="preserve"> </w:t>
      </w:r>
      <w:r w:rsidRPr="002029AF">
        <w:t>recognised</w:t>
      </w:r>
      <w:r w:rsidR="000A5329" w:rsidRPr="002029AF">
        <w:t xml:space="preserve"> </w:t>
      </w:r>
      <w:r w:rsidRPr="002029AF">
        <w:t>for</w:t>
      </w:r>
      <w:r w:rsidR="000A5329" w:rsidRPr="002029AF">
        <w:t xml:space="preserve"> </w:t>
      </w:r>
      <w:r w:rsidRPr="002029AF">
        <w:t>the</w:t>
      </w:r>
      <w:r w:rsidR="000A5329" w:rsidRPr="002029AF">
        <w:t xml:space="preserve"> </w:t>
      </w:r>
      <w:r w:rsidRPr="002029AF">
        <w:t>period,</w:t>
      </w:r>
      <w:r w:rsidR="000A5329" w:rsidRPr="002029AF">
        <w:t xml:space="preserve"> </w:t>
      </w:r>
      <w:r w:rsidRPr="002029AF">
        <w:t>excluding</w:t>
      </w:r>
      <w:r w:rsidR="000A5329" w:rsidRPr="002029AF">
        <w:t xml:space="preserve"> </w:t>
      </w:r>
      <w:r w:rsidRPr="002029AF">
        <w:t>those</w:t>
      </w:r>
      <w:r w:rsidR="000A5329" w:rsidRPr="002029AF">
        <w:t xml:space="preserve"> </w:t>
      </w:r>
      <w:r w:rsidRPr="002029AF">
        <w:t>that</w:t>
      </w:r>
      <w:r w:rsidR="000A5329" w:rsidRPr="002029AF">
        <w:t xml:space="preserve"> </w:t>
      </w:r>
      <w:r w:rsidRPr="002029AF">
        <w:t>are</w:t>
      </w:r>
      <w:r w:rsidR="000A5329" w:rsidRPr="002029AF">
        <w:t xml:space="preserve"> </w:t>
      </w:r>
      <w:r w:rsidRPr="002029AF">
        <w:t>classified</w:t>
      </w:r>
      <w:r w:rsidR="000A5329" w:rsidRPr="002029AF">
        <w:t xml:space="preserve"> </w:t>
      </w:r>
      <w:r w:rsidRPr="002029AF">
        <w:t>as</w:t>
      </w:r>
      <w:r w:rsidR="000A5329" w:rsidRPr="002029AF">
        <w:t xml:space="preserve"> </w:t>
      </w:r>
      <w:r w:rsidRPr="002029AF">
        <w:t>‘other</w:t>
      </w:r>
      <w:r w:rsidR="000A5329" w:rsidRPr="002029AF">
        <w:t xml:space="preserve"> </w:t>
      </w:r>
      <w:r w:rsidRPr="002029AF">
        <w:t>non-owner</w:t>
      </w:r>
      <w:r w:rsidR="000A5329" w:rsidRPr="002029AF">
        <w:t xml:space="preserve"> </w:t>
      </w:r>
      <w:r w:rsidRPr="002029AF">
        <w:t>movements</w:t>
      </w:r>
      <w:r w:rsidR="000A5329" w:rsidRPr="002029AF">
        <w:t xml:space="preserve"> </w:t>
      </w:r>
      <w:r w:rsidRPr="002029AF">
        <w:t>in</w:t>
      </w:r>
      <w:r w:rsidR="000A5329" w:rsidRPr="002029AF">
        <w:t xml:space="preserve"> </w:t>
      </w:r>
      <w:r w:rsidRPr="002029AF">
        <w:t>equity’.</w:t>
      </w:r>
      <w:r w:rsidR="000A5329" w:rsidRPr="002029AF">
        <w:t xml:space="preserve"> </w:t>
      </w:r>
      <w:r w:rsidRPr="002029AF">
        <w:t>Refer</w:t>
      </w:r>
      <w:r w:rsidR="000A5329" w:rsidRPr="002029AF">
        <w:t xml:space="preserve"> </w:t>
      </w:r>
      <w:r w:rsidRPr="002029AF">
        <w:t>also</w:t>
      </w:r>
      <w:r w:rsidR="000A5329" w:rsidRPr="002029AF">
        <w:t xml:space="preserve"> </w:t>
      </w:r>
      <w:r w:rsidRPr="002029AF">
        <w:t>‘net</w:t>
      </w:r>
      <w:r w:rsidR="000A5329" w:rsidRPr="002029AF">
        <w:t xml:space="preserve"> </w:t>
      </w:r>
      <w:r w:rsidRPr="002029AF">
        <w:t>result’.</w:t>
      </w:r>
    </w:p>
    <w:p w14:paraId="58ED38E4" w14:textId="36E741FB" w:rsidR="00087B91" w:rsidRPr="002029AF" w:rsidRDefault="00087B91" w:rsidP="00B12841">
      <w:pPr>
        <w:pStyle w:val="ARfinbody"/>
        <w:spacing w:line="180" w:lineRule="atLeast"/>
      </w:pPr>
      <w:r w:rsidRPr="002029AF">
        <w:rPr>
          <w:rStyle w:val="Strong"/>
        </w:rPr>
        <w:t>Other</w:t>
      </w:r>
      <w:r w:rsidR="000A5329" w:rsidRPr="002029AF">
        <w:rPr>
          <w:rStyle w:val="Strong"/>
        </w:rPr>
        <w:t xml:space="preserve"> </w:t>
      </w:r>
      <w:r w:rsidRPr="002029AF">
        <w:rPr>
          <w:rStyle w:val="Strong"/>
        </w:rPr>
        <w:t>economic</w:t>
      </w:r>
      <w:r w:rsidR="000A5329" w:rsidRPr="002029AF">
        <w:rPr>
          <w:rStyle w:val="Strong"/>
        </w:rPr>
        <w:t xml:space="preserve"> </w:t>
      </w:r>
      <w:r w:rsidRPr="002029AF">
        <w:rPr>
          <w:rStyle w:val="Strong"/>
        </w:rPr>
        <w:t>flows</w:t>
      </w:r>
      <w:r w:rsidR="000A5329" w:rsidRPr="002029AF">
        <w:rPr>
          <w:rStyle w:val="Strong"/>
        </w:rPr>
        <w:t xml:space="preserve"> </w:t>
      </w:r>
      <w:r w:rsidRPr="002029AF">
        <w:rPr>
          <w:rStyle w:val="Strong"/>
        </w:rPr>
        <w:t>included</w:t>
      </w:r>
      <w:r w:rsidR="000A5329" w:rsidRPr="002029AF">
        <w:rPr>
          <w:rStyle w:val="Strong"/>
        </w:rPr>
        <w:t xml:space="preserve"> </w:t>
      </w:r>
      <w:r w:rsidRPr="002029AF">
        <w:rPr>
          <w:rStyle w:val="Strong"/>
        </w:rPr>
        <w:t>in</w:t>
      </w:r>
      <w:r w:rsidR="000A5329" w:rsidRPr="002029AF">
        <w:rPr>
          <w:rStyle w:val="Strong"/>
        </w:rPr>
        <w:t xml:space="preserve"> </w:t>
      </w:r>
      <w:r w:rsidRPr="002029AF">
        <w:rPr>
          <w:rStyle w:val="Strong"/>
        </w:rPr>
        <w:t>net</w:t>
      </w:r>
      <w:r w:rsidR="000A5329" w:rsidRPr="002029AF">
        <w:rPr>
          <w:rStyle w:val="Strong"/>
        </w:rPr>
        <w:t xml:space="preserve"> </w:t>
      </w:r>
      <w:r w:rsidRPr="002029AF">
        <w:rPr>
          <w:rStyle w:val="Strong"/>
        </w:rPr>
        <w:t>result</w:t>
      </w:r>
      <w:r w:rsidR="000A5329" w:rsidRPr="002029AF">
        <w:t xml:space="preserve"> </w:t>
      </w:r>
      <w:r w:rsidRPr="002029AF">
        <w:t>are</w:t>
      </w:r>
      <w:r w:rsidR="000A5329" w:rsidRPr="002029AF">
        <w:t xml:space="preserve"> </w:t>
      </w:r>
      <w:r w:rsidRPr="002029AF">
        <w:t>changes</w:t>
      </w:r>
      <w:r w:rsidR="000A5329" w:rsidRPr="002029AF">
        <w:t xml:space="preserve"> </w:t>
      </w:r>
      <w:r w:rsidRPr="002029AF">
        <w:t>in</w:t>
      </w:r>
      <w:r w:rsidR="000A5329" w:rsidRPr="002029AF">
        <w:t xml:space="preserve"> </w:t>
      </w:r>
      <w:r w:rsidRPr="002029AF">
        <w:t>the</w:t>
      </w:r>
      <w:r w:rsidR="000A5329" w:rsidRPr="002029AF">
        <w:t xml:space="preserve"> </w:t>
      </w:r>
      <w:r w:rsidRPr="002029AF">
        <w:t>volume</w:t>
      </w:r>
      <w:r w:rsidR="000A5329" w:rsidRPr="002029AF">
        <w:t xml:space="preserve"> </w:t>
      </w:r>
      <w:r w:rsidRPr="002029AF">
        <w:t>or</w:t>
      </w:r>
      <w:r w:rsidR="000A5329" w:rsidRPr="002029AF">
        <w:t xml:space="preserve"> </w:t>
      </w:r>
      <w:r w:rsidRPr="002029AF">
        <w:t>value</w:t>
      </w:r>
      <w:r w:rsidR="000A5329" w:rsidRPr="002029AF">
        <w:t xml:space="preserve"> </w:t>
      </w:r>
      <w:r w:rsidRPr="002029AF">
        <w:t>of</w:t>
      </w:r>
      <w:r w:rsidR="000A5329" w:rsidRPr="002029AF">
        <w:t xml:space="preserve"> </w:t>
      </w:r>
      <w:r w:rsidRPr="002029AF">
        <w:t>an</w:t>
      </w:r>
      <w:r w:rsidR="000A5329" w:rsidRPr="002029AF">
        <w:t xml:space="preserve"> </w:t>
      </w:r>
      <w:r w:rsidRPr="002029AF">
        <w:t>asset</w:t>
      </w:r>
      <w:r w:rsidR="000A5329" w:rsidRPr="002029AF">
        <w:t xml:space="preserve"> </w:t>
      </w:r>
      <w:r w:rsidRPr="002029AF">
        <w:t>or</w:t>
      </w:r>
      <w:r w:rsidR="000A5329" w:rsidRPr="002029AF">
        <w:t xml:space="preserve"> </w:t>
      </w:r>
      <w:r w:rsidRPr="002029AF">
        <w:t>liability</w:t>
      </w:r>
      <w:r w:rsidR="000A5329" w:rsidRPr="002029AF">
        <w:t xml:space="preserve"> </w:t>
      </w:r>
      <w:r w:rsidRPr="002029AF">
        <w:t>that</w:t>
      </w:r>
      <w:r w:rsidR="000A5329" w:rsidRPr="002029AF">
        <w:t xml:space="preserve"> </w:t>
      </w:r>
      <w:r w:rsidRPr="002029AF">
        <w:t>do</w:t>
      </w:r>
      <w:r w:rsidR="000A5329" w:rsidRPr="002029AF">
        <w:t xml:space="preserve"> </w:t>
      </w:r>
      <w:r w:rsidRPr="002029AF">
        <w:t>not</w:t>
      </w:r>
      <w:r w:rsidR="000A5329" w:rsidRPr="002029AF">
        <w:t xml:space="preserve"> </w:t>
      </w:r>
      <w:r w:rsidRPr="002029AF">
        <w:t>result</w:t>
      </w:r>
      <w:r w:rsidR="000A5329" w:rsidRPr="002029AF">
        <w:t xml:space="preserve"> </w:t>
      </w:r>
      <w:r w:rsidRPr="002029AF">
        <w:t>from</w:t>
      </w:r>
      <w:r w:rsidR="000A5329" w:rsidRPr="002029AF">
        <w:t xml:space="preserve"> </w:t>
      </w:r>
      <w:r w:rsidRPr="002029AF">
        <w:t>transactions.</w:t>
      </w:r>
      <w:r w:rsidR="000A5329" w:rsidRPr="002029AF">
        <w:t xml:space="preserve"> </w:t>
      </w:r>
      <w:r w:rsidRPr="002029AF">
        <w:t>In</w:t>
      </w:r>
      <w:r w:rsidR="000A5329" w:rsidRPr="002029AF">
        <w:t xml:space="preserve"> </w:t>
      </w:r>
      <w:r w:rsidRPr="002029AF">
        <w:t>simple</w:t>
      </w:r>
      <w:r w:rsidR="000A5329" w:rsidRPr="002029AF">
        <w:t xml:space="preserve"> </w:t>
      </w:r>
      <w:r w:rsidRPr="002029AF">
        <w:t>terms,</w:t>
      </w:r>
      <w:r w:rsidR="000A5329" w:rsidRPr="002029AF">
        <w:t xml:space="preserve"> </w:t>
      </w:r>
      <w:r w:rsidRPr="002029AF">
        <w:t>other</w:t>
      </w:r>
      <w:r w:rsidR="000A5329" w:rsidRPr="002029AF">
        <w:t xml:space="preserve"> </w:t>
      </w:r>
      <w:r w:rsidRPr="002029AF">
        <w:t>economic</w:t>
      </w:r>
      <w:r w:rsidR="000A5329" w:rsidRPr="002029AF">
        <w:t xml:space="preserve"> </w:t>
      </w:r>
      <w:r w:rsidRPr="002029AF">
        <w:t>flows</w:t>
      </w:r>
      <w:r w:rsidR="000A5329" w:rsidRPr="002029AF">
        <w:t xml:space="preserve"> </w:t>
      </w:r>
      <w:r w:rsidRPr="002029AF">
        <w:t>are</w:t>
      </w:r>
      <w:r w:rsidR="000A5329" w:rsidRPr="002029AF">
        <w:t xml:space="preserve"> </w:t>
      </w:r>
      <w:r w:rsidRPr="002029AF">
        <w:t>changes</w:t>
      </w:r>
      <w:r w:rsidR="000A5329" w:rsidRPr="002029AF">
        <w:t xml:space="preserve"> </w:t>
      </w:r>
      <w:r w:rsidRPr="002029AF">
        <w:t>arising</w:t>
      </w:r>
      <w:r w:rsidR="000A5329" w:rsidRPr="002029AF">
        <w:t xml:space="preserve"> </w:t>
      </w:r>
      <w:r w:rsidRPr="002029AF">
        <w:t>from</w:t>
      </w:r>
      <w:r w:rsidR="000A5329" w:rsidRPr="002029AF">
        <w:t xml:space="preserve"> </w:t>
      </w:r>
      <w:r w:rsidRPr="002029AF">
        <w:t>market</w:t>
      </w:r>
      <w:r w:rsidR="000A5329" w:rsidRPr="002029AF">
        <w:t xml:space="preserve"> </w:t>
      </w:r>
      <w:r w:rsidRPr="002029AF">
        <w:t>remeasurements.</w:t>
      </w:r>
      <w:r w:rsidR="000A5329" w:rsidRPr="002029AF">
        <w:t xml:space="preserve"> </w:t>
      </w:r>
      <w:r w:rsidRPr="002029AF">
        <w:t>They</w:t>
      </w:r>
      <w:r w:rsidR="000A5329" w:rsidRPr="002029AF">
        <w:t xml:space="preserve"> </w:t>
      </w:r>
      <w:r w:rsidRPr="002029AF">
        <w:t>include</w:t>
      </w:r>
      <w:r w:rsidR="000A5329" w:rsidRPr="002029AF">
        <w:t xml:space="preserve"> </w:t>
      </w:r>
      <w:r w:rsidRPr="002029AF">
        <w:t>gains</w:t>
      </w:r>
      <w:r w:rsidR="000A5329" w:rsidRPr="002029AF">
        <w:t xml:space="preserve"> </w:t>
      </w:r>
      <w:r w:rsidRPr="002029AF">
        <w:t>and</w:t>
      </w:r>
      <w:r w:rsidR="000A5329" w:rsidRPr="002029AF">
        <w:t xml:space="preserve"> </w:t>
      </w:r>
      <w:r w:rsidRPr="002029AF">
        <w:t>losses</w:t>
      </w:r>
      <w:r w:rsidR="000A5329" w:rsidRPr="002029AF">
        <w:t xml:space="preserve"> </w:t>
      </w:r>
      <w:r w:rsidRPr="002029AF">
        <w:t>from</w:t>
      </w:r>
      <w:r w:rsidR="000A5329" w:rsidRPr="002029AF">
        <w:t xml:space="preserve"> </w:t>
      </w:r>
      <w:r w:rsidRPr="002029AF">
        <w:t>disposals,</w:t>
      </w:r>
      <w:r w:rsidR="000A5329" w:rsidRPr="002029AF">
        <w:t xml:space="preserve"> </w:t>
      </w:r>
      <w:r w:rsidRPr="002029AF">
        <w:t>revaluations</w:t>
      </w:r>
      <w:r w:rsidR="000A5329" w:rsidRPr="002029AF">
        <w:t xml:space="preserve"> </w:t>
      </w:r>
      <w:r w:rsidRPr="002029AF">
        <w:t>and</w:t>
      </w:r>
      <w:r w:rsidR="000A5329" w:rsidRPr="002029AF">
        <w:t xml:space="preserve"> </w:t>
      </w:r>
      <w:r w:rsidRPr="002029AF">
        <w:t>impairments</w:t>
      </w:r>
      <w:r w:rsidR="000A5329" w:rsidRPr="002029AF">
        <w:t xml:space="preserve"> </w:t>
      </w:r>
      <w:r w:rsidRPr="002029AF">
        <w:t>of</w:t>
      </w:r>
      <w:r w:rsidR="000A5329" w:rsidRPr="002029AF">
        <w:t xml:space="preserve"> </w:t>
      </w:r>
      <w:r w:rsidRPr="002029AF">
        <w:t>non-current</w:t>
      </w:r>
      <w:r w:rsidR="000A5329" w:rsidRPr="002029AF">
        <w:t xml:space="preserve"> </w:t>
      </w:r>
      <w:r w:rsidRPr="002029AF">
        <w:t>physical</w:t>
      </w:r>
      <w:r w:rsidR="000A5329" w:rsidRPr="002029AF">
        <w:t xml:space="preserve"> </w:t>
      </w:r>
      <w:r w:rsidRPr="002029AF">
        <w:t>and</w:t>
      </w:r>
      <w:r w:rsidR="000A5329" w:rsidRPr="002029AF">
        <w:t xml:space="preserve"> </w:t>
      </w:r>
      <w:r w:rsidRPr="002029AF">
        <w:t>intangible</w:t>
      </w:r>
      <w:r w:rsidR="000A5329" w:rsidRPr="002029AF">
        <w:t xml:space="preserve"> </w:t>
      </w:r>
      <w:r w:rsidRPr="002029AF">
        <w:t>assets;</w:t>
      </w:r>
      <w:r w:rsidR="000A5329" w:rsidRPr="002029AF">
        <w:t xml:space="preserve"> </w:t>
      </w:r>
      <w:r w:rsidRPr="002029AF">
        <w:t>actuarial</w:t>
      </w:r>
      <w:r w:rsidR="000A5329" w:rsidRPr="002029AF">
        <w:t xml:space="preserve"> </w:t>
      </w:r>
      <w:r w:rsidRPr="002029AF">
        <w:t>gains</w:t>
      </w:r>
      <w:r w:rsidR="000A5329" w:rsidRPr="002029AF">
        <w:t xml:space="preserve"> </w:t>
      </w:r>
      <w:r w:rsidRPr="002029AF">
        <w:t>and</w:t>
      </w:r>
      <w:r w:rsidR="000A5329" w:rsidRPr="002029AF">
        <w:t xml:space="preserve"> </w:t>
      </w:r>
      <w:r w:rsidRPr="002029AF">
        <w:t>losses</w:t>
      </w:r>
      <w:r w:rsidR="000A5329" w:rsidRPr="002029AF">
        <w:t xml:space="preserve"> </w:t>
      </w:r>
      <w:r w:rsidRPr="002029AF">
        <w:t>arising</w:t>
      </w:r>
      <w:r w:rsidR="000A5329" w:rsidRPr="002029AF">
        <w:t xml:space="preserve"> </w:t>
      </w:r>
      <w:r w:rsidRPr="002029AF">
        <w:t>from</w:t>
      </w:r>
      <w:r w:rsidR="000A5329" w:rsidRPr="002029AF">
        <w:t xml:space="preserve"> </w:t>
      </w:r>
      <w:r w:rsidRPr="002029AF">
        <w:t>defined</w:t>
      </w:r>
      <w:r w:rsidR="000A5329" w:rsidRPr="002029AF">
        <w:t xml:space="preserve"> </w:t>
      </w:r>
      <w:r w:rsidRPr="002029AF">
        <w:t>benefit</w:t>
      </w:r>
      <w:r w:rsidR="000A5329" w:rsidRPr="002029AF">
        <w:t xml:space="preserve"> </w:t>
      </w:r>
      <w:r w:rsidRPr="002029AF">
        <w:t>superannuation</w:t>
      </w:r>
      <w:r w:rsidR="000A5329" w:rsidRPr="002029AF">
        <w:t xml:space="preserve"> </w:t>
      </w:r>
      <w:r w:rsidRPr="002029AF">
        <w:t>plans;</w:t>
      </w:r>
      <w:r w:rsidR="000A5329" w:rsidRPr="002029AF">
        <w:t xml:space="preserve"> </w:t>
      </w:r>
      <w:r w:rsidRPr="002029AF">
        <w:t>fair</w:t>
      </w:r>
      <w:r w:rsidR="000A5329" w:rsidRPr="002029AF">
        <w:t xml:space="preserve"> </w:t>
      </w:r>
      <w:r w:rsidRPr="002029AF">
        <w:t>value</w:t>
      </w:r>
      <w:r w:rsidR="000A5329" w:rsidRPr="002029AF">
        <w:t xml:space="preserve"> </w:t>
      </w:r>
      <w:r w:rsidRPr="002029AF">
        <w:t>changes</w:t>
      </w:r>
      <w:r w:rsidR="000A5329" w:rsidRPr="002029AF">
        <w:t xml:space="preserve"> </w:t>
      </w:r>
      <w:r w:rsidRPr="002029AF">
        <w:t>of</w:t>
      </w:r>
      <w:r w:rsidR="000A5329" w:rsidRPr="002029AF">
        <w:t xml:space="preserve"> </w:t>
      </w:r>
      <w:r w:rsidRPr="002029AF">
        <w:t>financial</w:t>
      </w:r>
      <w:r w:rsidR="000A5329" w:rsidRPr="002029AF">
        <w:t xml:space="preserve"> </w:t>
      </w:r>
      <w:r w:rsidRPr="002029AF">
        <w:t>instruments.</w:t>
      </w:r>
    </w:p>
    <w:p w14:paraId="1FAC7672" w14:textId="3E6C7521" w:rsidR="00087B91" w:rsidRPr="002029AF" w:rsidRDefault="00087B91" w:rsidP="00B12841">
      <w:pPr>
        <w:pStyle w:val="ARfinbody"/>
        <w:spacing w:line="180" w:lineRule="atLeast"/>
      </w:pPr>
      <w:r w:rsidRPr="002029AF">
        <w:rPr>
          <w:rStyle w:val="Strong"/>
        </w:rPr>
        <w:t>Other</w:t>
      </w:r>
      <w:r w:rsidR="000A5329" w:rsidRPr="002029AF">
        <w:rPr>
          <w:rStyle w:val="Strong"/>
        </w:rPr>
        <w:t xml:space="preserve"> </w:t>
      </w:r>
      <w:r w:rsidRPr="002029AF">
        <w:rPr>
          <w:rStyle w:val="Strong"/>
        </w:rPr>
        <w:t>economic</w:t>
      </w:r>
      <w:r w:rsidR="000A5329" w:rsidRPr="002029AF">
        <w:rPr>
          <w:rStyle w:val="Strong"/>
        </w:rPr>
        <w:t xml:space="preserve"> </w:t>
      </w:r>
      <w:r w:rsidRPr="002029AF">
        <w:rPr>
          <w:rStyle w:val="Strong"/>
        </w:rPr>
        <w:t>flows</w:t>
      </w:r>
      <w:r w:rsidR="000A5329" w:rsidRPr="002029AF">
        <w:rPr>
          <w:rStyle w:val="Strong"/>
        </w:rPr>
        <w:t xml:space="preserve"> </w:t>
      </w:r>
      <w:r w:rsidRPr="002029AF">
        <w:rPr>
          <w:rStyle w:val="Strong"/>
        </w:rPr>
        <w:t>–</w:t>
      </w:r>
      <w:r w:rsidR="000A5329" w:rsidRPr="002029AF">
        <w:rPr>
          <w:rStyle w:val="Strong"/>
        </w:rPr>
        <w:t xml:space="preserve"> </w:t>
      </w:r>
      <w:r w:rsidRPr="002029AF">
        <w:rPr>
          <w:rStyle w:val="Strong"/>
        </w:rPr>
        <w:t>other</w:t>
      </w:r>
      <w:r w:rsidR="000A5329" w:rsidRPr="002029AF">
        <w:rPr>
          <w:rStyle w:val="Strong"/>
        </w:rPr>
        <w:t xml:space="preserve"> </w:t>
      </w:r>
      <w:r w:rsidRPr="002029AF">
        <w:rPr>
          <w:rStyle w:val="Strong"/>
        </w:rPr>
        <w:t>comprehensive</w:t>
      </w:r>
      <w:r w:rsidR="000A5329" w:rsidRPr="002029AF">
        <w:rPr>
          <w:rStyle w:val="Strong"/>
        </w:rPr>
        <w:t xml:space="preserve"> </w:t>
      </w:r>
      <w:r w:rsidRPr="002029AF">
        <w:rPr>
          <w:rStyle w:val="Strong"/>
        </w:rPr>
        <w:t>income</w:t>
      </w:r>
      <w:r w:rsidR="000A5329" w:rsidRPr="002029AF">
        <w:t xml:space="preserve"> </w:t>
      </w:r>
      <w:r w:rsidRPr="002029AF">
        <w:t>comprises</w:t>
      </w:r>
      <w:r w:rsidR="000A5329" w:rsidRPr="002029AF">
        <w:t xml:space="preserve"> </w:t>
      </w:r>
      <w:r w:rsidRPr="002029AF">
        <w:t>items</w:t>
      </w:r>
      <w:r w:rsidR="000A5329" w:rsidRPr="002029AF">
        <w:t xml:space="preserve"> </w:t>
      </w:r>
      <w:r w:rsidRPr="002029AF">
        <w:t>(including</w:t>
      </w:r>
      <w:r w:rsidR="000A5329" w:rsidRPr="002029AF">
        <w:t xml:space="preserve"> </w:t>
      </w:r>
      <w:r w:rsidRPr="002029AF">
        <w:t>reclassification</w:t>
      </w:r>
      <w:r w:rsidR="000A5329" w:rsidRPr="002029AF">
        <w:t xml:space="preserve"> </w:t>
      </w:r>
      <w:r w:rsidRPr="002029AF">
        <w:t>adjustments)</w:t>
      </w:r>
      <w:r w:rsidR="000A5329" w:rsidRPr="002029AF">
        <w:t xml:space="preserve"> </w:t>
      </w:r>
      <w:r w:rsidRPr="002029AF">
        <w:t>that</w:t>
      </w:r>
      <w:r w:rsidR="000A5329" w:rsidRPr="002029AF">
        <w:t xml:space="preserve"> </w:t>
      </w:r>
      <w:r w:rsidRPr="002029AF">
        <w:t>are</w:t>
      </w:r>
      <w:r w:rsidR="000A5329" w:rsidRPr="002029AF">
        <w:t xml:space="preserve"> </w:t>
      </w:r>
      <w:r w:rsidRPr="002029AF">
        <w:t>not</w:t>
      </w:r>
      <w:r w:rsidR="000A5329" w:rsidRPr="002029AF">
        <w:t xml:space="preserve"> </w:t>
      </w:r>
      <w:r w:rsidRPr="002029AF">
        <w:t>recognised</w:t>
      </w:r>
      <w:r w:rsidR="000A5329" w:rsidRPr="002029AF">
        <w:t xml:space="preserve"> </w:t>
      </w:r>
      <w:r w:rsidRPr="002029AF">
        <w:t>in</w:t>
      </w:r>
      <w:r w:rsidR="000A5329" w:rsidRPr="002029AF">
        <w:t xml:space="preserve"> </w:t>
      </w:r>
      <w:r w:rsidRPr="002029AF">
        <w:t>net</w:t>
      </w:r>
      <w:r w:rsidR="000A5329" w:rsidRPr="002029AF">
        <w:t xml:space="preserve"> </w:t>
      </w:r>
      <w:r w:rsidRPr="002029AF">
        <w:t>result</w:t>
      </w:r>
      <w:r w:rsidR="000A5329" w:rsidRPr="002029AF">
        <w:t xml:space="preserve"> </w:t>
      </w:r>
      <w:r w:rsidRPr="002029AF">
        <w:t>as</w:t>
      </w:r>
      <w:r w:rsidR="000A5329" w:rsidRPr="002029AF">
        <w:t xml:space="preserve"> </w:t>
      </w:r>
      <w:r w:rsidRPr="002029AF">
        <w:t>required</w:t>
      </w:r>
      <w:r w:rsidR="000A5329" w:rsidRPr="002029AF">
        <w:t xml:space="preserve"> </w:t>
      </w:r>
      <w:r w:rsidRPr="002029AF">
        <w:t>or</w:t>
      </w:r>
      <w:r w:rsidR="000A5329" w:rsidRPr="002029AF">
        <w:t xml:space="preserve"> </w:t>
      </w:r>
      <w:r w:rsidRPr="002029AF">
        <w:t>permitted</w:t>
      </w:r>
      <w:r w:rsidR="000A5329" w:rsidRPr="002029AF">
        <w:t xml:space="preserve"> </w:t>
      </w:r>
      <w:r w:rsidRPr="002029AF">
        <w:t>by</w:t>
      </w:r>
      <w:r w:rsidR="000A5329" w:rsidRPr="002029AF">
        <w:t xml:space="preserve"> </w:t>
      </w:r>
      <w:r w:rsidRPr="002029AF">
        <w:t>other</w:t>
      </w:r>
      <w:r w:rsidR="000A5329" w:rsidRPr="002029AF">
        <w:t xml:space="preserve"> </w:t>
      </w:r>
      <w:r w:rsidRPr="002029AF">
        <w:t>Australian</w:t>
      </w:r>
      <w:r w:rsidR="000A5329" w:rsidRPr="002029AF">
        <w:t xml:space="preserve"> </w:t>
      </w:r>
      <w:r w:rsidRPr="002029AF">
        <w:t>Accounting</w:t>
      </w:r>
      <w:r w:rsidR="000A5329" w:rsidRPr="002029AF">
        <w:t xml:space="preserve"> </w:t>
      </w:r>
      <w:r w:rsidRPr="002029AF">
        <w:t>Standards.</w:t>
      </w:r>
      <w:r w:rsidR="000A5329" w:rsidRPr="002029AF">
        <w:t xml:space="preserve"> </w:t>
      </w:r>
      <w:r w:rsidRPr="002029AF">
        <w:t>They</w:t>
      </w:r>
      <w:r w:rsidR="000A5329" w:rsidRPr="002029AF">
        <w:t xml:space="preserve"> </w:t>
      </w:r>
      <w:r w:rsidRPr="002029AF">
        <w:t>include</w:t>
      </w:r>
      <w:r w:rsidR="000A5329" w:rsidRPr="002029AF">
        <w:t xml:space="preserve"> </w:t>
      </w:r>
      <w:r w:rsidRPr="002029AF">
        <w:t>changes</w:t>
      </w:r>
      <w:r w:rsidR="000A5329" w:rsidRPr="002029AF">
        <w:t xml:space="preserve"> </w:t>
      </w:r>
      <w:r w:rsidRPr="002029AF">
        <w:t>in</w:t>
      </w:r>
      <w:r w:rsidR="000A5329" w:rsidRPr="002029AF">
        <w:t xml:space="preserve"> </w:t>
      </w:r>
      <w:r w:rsidRPr="002029AF">
        <w:t>physical</w:t>
      </w:r>
      <w:r w:rsidR="000A5329" w:rsidRPr="002029AF">
        <w:t xml:space="preserve"> </w:t>
      </w:r>
      <w:r w:rsidRPr="002029AF">
        <w:t>asset</w:t>
      </w:r>
      <w:r w:rsidR="000A5329" w:rsidRPr="002029AF">
        <w:t xml:space="preserve"> </w:t>
      </w:r>
      <w:r w:rsidRPr="002029AF">
        <w:t>revaluation</w:t>
      </w:r>
      <w:r w:rsidR="000A5329" w:rsidRPr="002029AF">
        <w:t xml:space="preserve"> </w:t>
      </w:r>
      <w:r w:rsidRPr="002029AF">
        <w:t>surplus;</w:t>
      </w:r>
      <w:r w:rsidR="000A5329" w:rsidRPr="002029AF">
        <w:t xml:space="preserve"> </w:t>
      </w:r>
      <w:r w:rsidRPr="002029AF">
        <w:t>share</w:t>
      </w:r>
      <w:r w:rsidR="000A5329" w:rsidRPr="002029AF">
        <w:t xml:space="preserve"> </w:t>
      </w:r>
      <w:r w:rsidRPr="002029AF">
        <w:t>of</w:t>
      </w:r>
      <w:r w:rsidR="000A5329" w:rsidRPr="002029AF">
        <w:t xml:space="preserve"> </w:t>
      </w:r>
      <w:r w:rsidRPr="002029AF">
        <w:t>net</w:t>
      </w:r>
      <w:r w:rsidR="000A5329" w:rsidRPr="002029AF">
        <w:t xml:space="preserve"> </w:t>
      </w:r>
      <w:r w:rsidRPr="002029AF">
        <w:t>movement</w:t>
      </w:r>
      <w:r w:rsidR="000A5329" w:rsidRPr="002029AF">
        <w:t xml:space="preserve"> </w:t>
      </w:r>
      <w:r w:rsidRPr="002029AF">
        <w:t>in</w:t>
      </w:r>
      <w:r w:rsidR="000A5329" w:rsidRPr="002029AF">
        <w:t xml:space="preserve"> </w:t>
      </w:r>
      <w:r w:rsidRPr="002029AF">
        <w:t>revaluation</w:t>
      </w:r>
      <w:r w:rsidR="000A5329" w:rsidRPr="002029AF">
        <w:t xml:space="preserve"> </w:t>
      </w:r>
      <w:r w:rsidRPr="002029AF">
        <w:t>surplus</w:t>
      </w:r>
      <w:r w:rsidR="000A5329" w:rsidRPr="002029AF">
        <w:t xml:space="preserve"> </w:t>
      </w:r>
      <w:r w:rsidRPr="002029AF">
        <w:t>of</w:t>
      </w:r>
      <w:r w:rsidR="000A5329" w:rsidRPr="002029AF">
        <w:t xml:space="preserve"> </w:t>
      </w:r>
      <w:r w:rsidRPr="002029AF">
        <w:t>associates</w:t>
      </w:r>
      <w:r w:rsidR="000A5329" w:rsidRPr="002029AF">
        <w:t xml:space="preserve"> </w:t>
      </w:r>
      <w:r w:rsidRPr="002029AF">
        <w:t>and</w:t>
      </w:r>
      <w:r w:rsidR="000A5329" w:rsidRPr="002029AF">
        <w:t xml:space="preserve"> </w:t>
      </w:r>
      <w:r w:rsidRPr="002029AF">
        <w:t>joint</w:t>
      </w:r>
      <w:r w:rsidR="000A5329" w:rsidRPr="002029AF">
        <w:t xml:space="preserve"> </w:t>
      </w:r>
      <w:r w:rsidRPr="002029AF">
        <w:t>ventures;</w:t>
      </w:r>
      <w:r w:rsidR="000A5329" w:rsidRPr="002029AF">
        <w:t xml:space="preserve"> </w:t>
      </w:r>
      <w:r w:rsidRPr="002029AF">
        <w:t>and</w:t>
      </w:r>
      <w:r w:rsidR="000A5329" w:rsidRPr="002029AF">
        <w:t xml:space="preserve"> </w:t>
      </w:r>
      <w:r w:rsidRPr="002029AF">
        <w:t>gains</w:t>
      </w:r>
      <w:r w:rsidR="000A5329" w:rsidRPr="002029AF">
        <w:t xml:space="preserve"> </w:t>
      </w:r>
      <w:r w:rsidRPr="002029AF">
        <w:t>and</w:t>
      </w:r>
      <w:r w:rsidR="000A5329" w:rsidRPr="002029AF">
        <w:t xml:space="preserve"> </w:t>
      </w:r>
      <w:r w:rsidRPr="002029AF">
        <w:t>losses</w:t>
      </w:r>
      <w:r w:rsidR="000A5329" w:rsidRPr="002029AF">
        <w:t xml:space="preserve"> </w:t>
      </w:r>
      <w:r w:rsidRPr="002029AF">
        <w:t>on</w:t>
      </w:r>
      <w:r w:rsidR="000A5329" w:rsidRPr="002029AF">
        <w:t xml:space="preserve"> </w:t>
      </w:r>
      <w:r w:rsidRPr="002029AF">
        <w:t>remeasuring</w:t>
      </w:r>
      <w:r w:rsidR="000A5329" w:rsidRPr="002029AF">
        <w:t xml:space="preserve"> </w:t>
      </w:r>
      <w:r w:rsidRPr="002029AF">
        <w:t>available-for-sale</w:t>
      </w:r>
      <w:r w:rsidR="000A5329" w:rsidRPr="002029AF">
        <w:t xml:space="preserve"> </w:t>
      </w:r>
      <w:r w:rsidRPr="002029AF">
        <w:t>financial</w:t>
      </w:r>
      <w:r w:rsidR="000A5329" w:rsidRPr="002029AF">
        <w:t xml:space="preserve"> </w:t>
      </w:r>
      <w:r w:rsidRPr="002029AF">
        <w:t>assets.</w:t>
      </w:r>
    </w:p>
    <w:p w14:paraId="3648B14E" w14:textId="65240E39" w:rsidR="00087B91" w:rsidRPr="002029AF" w:rsidRDefault="00087B91" w:rsidP="00B12841">
      <w:pPr>
        <w:pStyle w:val="ARfinbody"/>
        <w:spacing w:line="180" w:lineRule="atLeast"/>
      </w:pPr>
      <w:r w:rsidRPr="002029AF">
        <w:rPr>
          <w:rStyle w:val="Strong"/>
        </w:rPr>
        <w:t>Other</w:t>
      </w:r>
      <w:r w:rsidR="000A5329" w:rsidRPr="002029AF">
        <w:rPr>
          <w:rStyle w:val="Strong"/>
        </w:rPr>
        <w:t xml:space="preserve"> </w:t>
      </w:r>
      <w:r w:rsidRPr="002029AF">
        <w:rPr>
          <w:rStyle w:val="Strong"/>
        </w:rPr>
        <w:t>operating</w:t>
      </w:r>
      <w:r w:rsidR="000A5329" w:rsidRPr="002029AF">
        <w:rPr>
          <w:rStyle w:val="Strong"/>
        </w:rPr>
        <w:t xml:space="preserve"> </w:t>
      </w:r>
      <w:r w:rsidRPr="002029AF">
        <w:rPr>
          <w:rStyle w:val="Strong"/>
        </w:rPr>
        <w:t>expenses</w:t>
      </w:r>
      <w:r w:rsidR="000A5329" w:rsidRPr="002029AF">
        <w:t xml:space="preserve"> </w:t>
      </w:r>
      <w:r w:rsidRPr="002029AF">
        <w:t>generally</w:t>
      </w:r>
      <w:r w:rsidR="000A5329" w:rsidRPr="002029AF">
        <w:t xml:space="preserve"> </w:t>
      </w:r>
      <w:r w:rsidRPr="002029AF">
        <w:t>represent</w:t>
      </w:r>
      <w:r w:rsidR="000A5329" w:rsidRPr="002029AF">
        <w:t xml:space="preserve"> </w:t>
      </w:r>
      <w:r w:rsidRPr="002029AF">
        <w:t>cost</w:t>
      </w:r>
      <w:r w:rsidR="000A5329" w:rsidRPr="002029AF">
        <w:t xml:space="preserve"> </w:t>
      </w:r>
      <w:r w:rsidRPr="002029AF">
        <w:t>of</w:t>
      </w:r>
      <w:r w:rsidR="000A5329" w:rsidRPr="002029AF">
        <w:t xml:space="preserve"> </w:t>
      </w:r>
      <w:r w:rsidRPr="002029AF">
        <w:t>goods</w:t>
      </w:r>
      <w:r w:rsidR="000A5329" w:rsidRPr="002029AF">
        <w:t xml:space="preserve"> </w:t>
      </w:r>
      <w:r w:rsidRPr="002029AF">
        <w:t>sold</w:t>
      </w:r>
      <w:r w:rsidR="000A5329" w:rsidRPr="002029AF">
        <w:t xml:space="preserve"> </w:t>
      </w:r>
      <w:r w:rsidRPr="002029AF">
        <w:t>and</w:t>
      </w:r>
      <w:r w:rsidR="000A5329" w:rsidRPr="002029AF">
        <w:t xml:space="preserve"> </w:t>
      </w:r>
      <w:r w:rsidRPr="002029AF">
        <w:t>the</w:t>
      </w:r>
      <w:r w:rsidR="000A5329" w:rsidRPr="002029AF">
        <w:t xml:space="preserve"> </w:t>
      </w:r>
      <w:r w:rsidRPr="002029AF">
        <w:t>day</w:t>
      </w:r>
      <w:r w:rsidR="000A5329" w:rsidRPr="002029AF">
        <w:t xml:space="preserve"> </w:t>
      </w:r>
      <w:r w:rsidRPr="002029AF">
        <w:t>to</w:t>
      </w:r>
      <w:r w:rsidR="000A5329" w:rsidRPr="002029AF">
        <w:t xml:space="preserve"> </w:t>
      </w:r>
      <w:r w:rsidRPr="002029AF">
        <w:t>day</w:t>
      </w:r>
      <w:r w:rsidR="000A5329" w:rsidRPr="002029AF">
        <w:t xml:space="preserve"> </w:t>
      </w:r>
      <w:r w:rsidRPr="002029AF">
        <w:t>running</w:t>
      </w:r>
      <w:r w:rsidR="000A5329" w:rsidRPr="002029AF">
        <w:t xml:space="preserve"> </w:t>
      </w:r>
      <w:r w:rsidRPr="002029AF">
        <w:t>costs,</w:t>
      </w:r>
      <w:r w:rsidR="000A5329" w:rsidRPr="002029AF">
        <w:t xml:space="preserve"> </w:t>
      </w:r>
      <w:r w:rsidRPr="002029AF">
        <w:t>including</w:t>
      </w:r>
      <w:r w:rsidR="000A5329" w:rsidRPr="002029AF">
        <w:t xml:space="preserve"> </w:t>
      </w:r>
      <w:r w:rsidRPr="002029AF">
        <w:t>maintenance</w:t>
      </w:r>
      <w:r w:rsidR="000A5329" w:rsidRPr="002029AF">
        <w:t xml:space="preserve"> </w:t>
      </w:r>
      <w:r w:rsidRPr="002029AF">
        <w:t>costs,</w:t>
      </w:r>
      <w:r w:rsidR="000A5329" w:rsidRPr="002029AF">
        <w:t xml:space="preserve"> </w:t>
      </w:r>
      <w:r w:rsidRPr="002029AF">
        <w:t>incurred</w:t>
      </w:r>
      <w:r w:rsidR="000A5329" w:rsidRPr="002029AF">
        <w:t xml:space="preserve"> </w:t>
      </w:r>
      <w:r w:rsidRPr="002029AF">
        <w:t>in</w:t>
      </w:r>
      <w:r w:rsidR="000A5329" w:rsidRPr="002029AF">
        <w:t xml:space="preserve"> </w:t>
      </w:r>
      <w:r w:rsidRPr="002029AF">
        <w:t>the</w:t>
      </w:r>
      <w:r w:rsidR="000A5329" w:rsidRPr="002029AF">
        <w:t xml:space="preserve"> </w:t>
      </w:r>
      <w:r w:rsidRPr="002029AF">
        <w:t>normal</w:t>
      </w:r>
      <w:r w:rsidR="000A5329" w:rsidRPr="002029AF">
        <w:t xml:space="preserve"> </w:t>
      </w:r>
      <w:r w:rsidRPr="002029AF">
        <w:t>operations</w:t>
      </w:r>
      <w:r w:rsidR="000A5329" w:rsidRPr="002029AF">
        <w:t xml:space="preserve"> </w:t>
      </w:r>
      <w:r w:rsidRPr="002029AF">
        <w:t>of</w:t>
      </w:r>
      <w:r w:rsidR="000A5329" w:rsidRPr="002029AF">
        <w:t xml:space="preserve"> </w:t>
      </w:r>
      <w:r w:rsidRPr="002029AF">
        <w:t>the</w:t>
      </w:r>
      <w:r w:rsidR="000A5329" w:rsidRPr="002029AF">
        <w:t xml:space="preserve"> </w:t>
      </w:r>
      <w:r w:rsidRPr="002029AF">
        <w:t>department.</w:t>
      </w:r>
    </w:p>
    <w:p w14:paraId="1DC6D887" w14:textId="048CE98B" w:rsidR="00087B91" w:rsidRPr="002029AF" w:rsidRDefault="00087B91" w:rsidP="00B12841">
      <w:pPr>
        <w:pStyle w:val="ARfinbody"/>
        <w:spacing w:line="180" w:lineRule="atLeast"/>
      </w:pPr>
      <w:r w:rsidRPr="002029AF">
        <w:rPr>
          <w:rStyle w:val="Strong"/>
        </w:rPr>
        <w:t>Payables</w:t>
      </w:r>
      <w:r w:rsidR="000A5329" w:rsidRPr="002029AF">
        <w:t xml:space="preserve"> </w:t>
      </w:r>
      <w:r w:rsidRPr="002029AF">
        <w:t>includes</w:t>
      </w:r>
      <w:r w:rsidR="000A5329" w:rsidRPr="002029AF">
        <w:t xml:space="preserve"> </w:t>
      </w:r>
      <w:r w:rsidRPr="002029AF">
        <w:t>short</w:t>
      </w:r>
      <w:r w:rsidR="000A5329" w:rsidRPr="002029AF">
        <w:t xml:space="preserve"> </w:t>
      </w:r>
      <w:r w:rsidRPr="002029AF">
        <w:t>and</w:t>
      </w:r>
      <w:r w:rsidR="000A5329" w:rsidRPr="002029AF">
        <w:t xml:space="preserve"> </w:t>
      </w:r>
      <w:r w:rsidRPr="002029AF">
        <w:t>long-term</w:t>
      </w:r>
      <w:r w:rsidR="000A5329" w:rsidRPr="002029AF">
        <w:t xml:space="preserve"> </w:t>
      </w:r>
      <w:r w:rsidRPr="002029AF">
        <w:t>accounts</w:t>
      </w:r>
      <w:r w:rsidR="000A5329" w:rsidRPr="002029AF">
        <w:t xml:space="preserve"> </w:t>
      </w:r>
      <w:r w:rsidRPr="002029AF">
        <w:t>payable,</w:t>
      </w:r>
      <w:r w:rsidR="000A5329" w:rsidRPr="002029AF">
        <w:t xml:space="preserve"> </w:t>
      </w:r>
      <w:r w:rsidRPr="002029AF">
        <w:t>grants,</w:t>
      </w:r>
      <w:r w:rsidR="000A5329" w:rsidRPr="002029AF">
        <w:t xml:space="preserve"> </w:t>
      </w:r>
      <w:r w:rsidRPr="002029AF">
        <w:t>taxes</w:t>
      </w:r>
      <w:r w:rsidR="000A5329" w:rsidRPr="002029AF">
        <w:t xml:space="preserve"> </w:t>
      </w:r>
      <w:r w:rsidRPr="002029AF">
        <w:t>and</w:t>
      </w:r>
      <w:r w:rsidR="000A5329" w:rsidRPr="002029AF">
        <w:t xml:space="preserve"> </w:t>
      </w:r>
      <w:r w:rsidRPr="002029AF">
        <w:t>interest</w:t>
      </w:r>
      <w:r w:rsidR="000A5329" w:rsidRPr="002029AF">
        <w:t xml:space="preserve"> </w:t>
      </w:r>
      <w:r w:rsidRPr="002029AF">
        <w:t>payable.</w:t>
      </w:r>
    </w:p>
    <w:p w14:paraId="706D68B0" w14:textId="123CE298" w:rsidR="00087B91" w:rsidRPr="002029AF" w:rsidRDefault="00087B91" w:rsidP="00B12841">
      <w:pPr>
        <w:pStyle w:val="ARfinbody"/>
        <w:spacing w:line="180" w:lineRule="atLeast"/>
      </w:pPr>
      <w:r w:rsidRPr="002029AF">
        <w:rPr>
          <w:rStyle w:val="Strong"/>
        </w:rPr>
        <w:t>Produced</w:t>
      </w:r>
      <w:r w:rsidR="000A5329" w:rsidRPr="002029AF">
        <w:rPr>
          <w:rStyle w:val="Strong"/>
        </w:rPr>
        <w:t xml:space="preserve"> </w:t>
      </w:r>
      <w:r w:rsidRPr="002029AF">
        <w:rPr>
          <w:rStyle w:val="Strong"/>
        </w:rPr>
        <w:t>assets</w:t>
      </w:r>
      <w:r w:rsidR="000A5329" w:rsidRPr="002029AF">
        <w:t xml:space="preserve"> </w:t>
      </w:r>
      <w:r w:rsidRPr="002029AF">
        <w:t>include</w:t>
      </w:r>
      <w:r w:rsidR="000A5329" w:rsidRPr="002029AF">
        <w:t xml:space="preserve"> </w:t>
      </w:r>
      <w:r w:rsidRPr="002029AF">
        <w:t>buildings,</w:t>
      </w:r>
      <w:r w:rsidR="000A5329" w:rsidRPr="002029AF">
        <w:t xml:space="preserve"> </w:t>
      </w:r>
      <w:r w:rsidRPr="002029AF">
        <w:t>plant</w:t>
      </w:r>
      <w:r w:rsidR="000A5329" w:rsidRPr="002029AF">
        <w:t xml:space="preserve"> </w:t>
      </w:r>
      <w:r w:rsidRPr="002029AF">
        <w:t>and</w:t>
      </w:r>
      <w:r w:rsidR="000A5329" w:rsidRPr="002029AF">
        <w:t xml:space="preserve"> </w:t>
      </w:r>
      <w:r w:rsidRPr="002029AF">
        <w:t>equipment,</w:t>
      </w:r>
      <w:r w:rsidR="000A5329" w:rsidRPr="002029AF">
        <w:t xml:space="preserve"> </w:t>
      </w:r>
      <w:r w:rsidRPr="002029AF">
        <w:t>inventories,</w:t>
      </w:r>
      <w:r w:rsidR="000A5329" w:rsidRPr="002029AF">
        <w:t xml:space="preserve"> </w:t>
      </w:r>
      <w:r w:rsidRPr="002029AF">
        <w:t>cultivated</w:t>
      </w:r>
      <w:r w:rsidR="000A5329" w:rsidRPr="002029AF">
        <w:t xml:space="preserve"> </w:t>
      </w:r>
      <w:r w:rsidRPr="002029AF">
        <w:t>assets</w:t>
      </w:r>
      <w:r w:rsidR="000A5329" w:rsidRPr="002029AF">
        <w:t xml:space="preserve"> </w:t>
      </w:r>
      <w:r w:rsidRPr="002029AF">
        <w:t>and</w:t>
      </w:r>
      <w:r w:rsidR="000A5329" w:rsidRPr="002029AF">
        <w:t xml:space="preserve"> </w:t>
      </w:r>
      <w:r w:rsidRPr="002029AF">
        <w:t>certain</w:t>
      </w:r>
      <w:r w:rsidR="000A5329" w:rsidRPr="002029AF">
        <w:t xml:space="preserve"> </w:t>
      </w:r>
      <w:r w:rsidRPr="002029AF">
        <w:t>intangible</w:t>
      </w:r>
      <w:r w:rsidR="000A5329" w:rsidRPr="002029AF">
        <w:t xml:space="preserve"> </w:t>
      </w:r>
      <w:r w:rsidRPr="002029AF">
        <w:t>assets.</w:t>
      </w:r>
      <w:r w:rsidR="000A5329" w:rsidRPr="002029AF">
        <w:t xml:space="preserve"> </w:t>
      </w:r>
      <w:r w:rsidRPr="002029AF">
        <w:t>Intangible</w:t>
      </w:r>
      <w:r w:rsidR="000A5329" w:rsidRPr="002029AF">
        <w:t xml:space="preserve"> </w:t>
      </w:r>
      <w:r w:rsidRPr="002029AF">
        <w:t>produced</w:t>
      </w:r>
      <w:r w:rsidR="000A5329" w:rsidRPr="002029AF">
        <w:t xml:space="preserve"> </w:t>
      </w:r>
      <w:r w:rsidRPr="002029AF">
        <w:t>assets</w:t>
      </w:r>
      <w:r w:rsidR="000A5329" w:rsidRPr="002029AF">
        <w:t xml:space="preserve"> </w:t>
      </w:r>
      <w:r w:rsidRPr="002029AF">
        <w:t>may</w:t>
      </w:r>
      <w:r w:rsidR="000A5329" w:rsidRPr="002029AF">
        <w:t xml:space="preserve"> </w:t>
      </w:r>
      <w:r w:rsidRPr="002029AF">
        <w:t>include</w:t>
      </w:r>
      <w:r w:rsidR="000A5329" w:rsidRPr="002029AF">
        <w:t xml:space="preserve"> </w:t>
      </w:r>
      <w:r w:rsidRPr="002029AF">
        <w:t>computer</w:t>
      </w:r>
      <w:r w:rsidR="000A5329" w:rsidRPr="002029AF">
        <w:t xml:space="preserve"> </w:t>
      </w:r>
      <w:r w:rsidRPr="002029AF">
        <w:t>software,</w:t>
      </w:r>
      <w:r w:rsidR="000A5329" w:rsidRPr="002029AF">
        <w:t xml:space="preserve"> </w:t>
      </w:r>
      <w:r w:rsidRPr="002029AF">
        <w:t>motion</w:t>
      </w:r>
      <w:r w:rsidR="000A5329" w:rsidRPr="002029AF">
        <w:t xml:space="preserve"> </w:t>
      </w:r>
      <w:r w:rsidRPr="002029AF">
        <w:t>picture</w:t>
      </w:r>
      <w:r w:rsidR="000A5329" w:rsidRPr="002029AF">
        <w:t xml:space="preserve"> </w:t>
      </w:r>
      <w:r w:rsidRPr="002029AF">
        <w:t>films</w:t>
      </w:r>
      <w:r w:rsidR="000A5329" w:rsidRPr="002029AF">
        <w:t xml:space="preserve"> </w:t>
      </w:r>
      <w:r w:rsidRPr="002029AF">
        <w:t>and</w:t>
      </w:r>
      <w:r w:rsidR="000A5329" w:rsidRPr="002029AF">
        <w:t xml:space="preserve"> </w:t>
      </w:r>
      <w:r w:rsidRPr="002029AF">
        <w:t>research</w:t>
      </w:r>
      <w:r w:rsidR="000A5329" w:rsidRPr="002029AF">
        <w:t xml:space="preserve"> </w:t>
      </w:r>
      <w:r w:rsidRPr="002029AF">
        <w:t>and</w:t>
      </w:r>
      <w:r w:rsidR="000A5329" w:rsidRPr="002029AF">
        <w:t xml:space="preserve"> </w:t>
      </w:r>
      <w:r w:rsidRPr="002029AF">
        <w:t>development</w:t>
      </w:r>
      <w:r w:rsidR="000A5329" w:rsidRPr="002029AF">
        <w:t xml:space="preserve"> </w:t>
      </w:r>
      <w:r w:rsidRPr="002029AF">
        <w:t>costs</w:t>
      </w:r>
      <w:r w:rsidR="000A5329" w:rsidRPr="002029AF">
        <w:t xml:space="preserve"> </w:t>
      </w:r>
      <w:r w:rsidRPr="002029AF">
        <w:t>(which</w:t>
      </w:r>
      <w:r w:rsidR="000A5329" w:rsidRPr="002029AF">
        <w:t xml:space="preserve"> </w:t>
      </w:r>
      <w:r w:rsidRPr="002029AF">
        <w:t>does</w:t>
      </w:r>
      <w:r w:rsidR="000A5329" w:rsidRPr="002029AF">
        <w:t xml:space="preserve"> </w:t>
      </w:r>
      <w:r w:rsidRPr="002029AF">
        <w:t>not</w:t>
      </w:r>
      <w:r w:rsidR="000A5329" w:rsidRPr="002029AF">
        <w:t xml:space="preserve"> </w:t>
      </w:r>
      <w:r w:rsidRPr="002029AF">
        <w:t>include</w:t>
      </w:r>
      <w:r w:rsidR="000A5329" w:rsidRPr="002029AF">
        <w:t xml:space="preserve"> </w:t>
      </w:r>
      <w:r w:rsidRPr="002029AF">
        <w:t>the</w:t>
      </w:r>
      <w:r w:rsidR="00995257" w:rsidRPr="002029AF">
        <w:t> </w:t>
      </w:r>
      <w:r w:rsidRPr="002029AF">
        <w:t>start-up</w:t>
      </w:r>
      <w:r w:rsidR="000A5329" w:rsidRPr="002029AF">
        <w:t xml:space="preserve"> </w:t>
      </w:r>
      <w:r w:rsidRPr="002029AF">
        <w:t>costs</w:t>
      </w:r>
      <w:r w:rsidR="000A5329" w:rsidRPr="002029AF">
        <w:t xml:space="preserve"> </w:t>
      </w:r>
      <w:r w:rsidRPr="002029AF">
        <w:t>associated</w:t>
      </w:r>
      <w:r w:rsidR="000A5329" w:rsidRPr="002029AF">
        <w:t xml:space="preserve"> </w:t>
      </w:r>
      <w:r w:rsidRPr="002029AF">
        <w:t>with</w:t>
      </w:r>
      <w:r w:rsidR="000A5329" w:rsidRPr="002029AF">
        <w:t xml:space="preserve"> </w:t>
      </w:r>
      <w:r w:rsidRPr="002029AF">
        <w:t>capital</w:t>
      </w:r>
      <w:r w:rsidR="000A5329" w:rsidRPr="002029AF">
        <w:t xml:space="preserve"> </w:t>
      </w:r>
      <w:r w:rsidRPr="002029AF">
        <w:t>projects).</w:t>
      </w:r>
    </w:p>
    <w:p w14:paraId="30562A3D" w14:textId="37CF5B28" w:rsidR="00087B91" w:rsidRPr="002029AF" w:rsidRDefault="00087B91" w:rsidP="00B12841">
      <w:pPr>
        <w:pStyle w:val="ARfinbody"/>
        <w:spacing w:line="180" w:lineRule="atLeast"/>
      </w:pPr>
      <w:r w:rsidRPr="002029AF">
        <w:rPr>
          <w:rStyle w:val="Strong"/>
        </w:rPr>
        <w:t>Public</w:t>
      </w:r>
      <w:r w:rsidR="000A5329" w:rsidRPr="002029AF">
        <w:rPr>
          <w:rStyle w:val="Strong"/>
        </w:rPr>
        <w:t xml:space="preserve"> </w:t>
      </w:r>
      <w:r w:rsidRPr="002029AF">
        <w:rPr>
          <w:rStyle w:val="Strong"/>
        </w:rPr>
        <w:t>financial</w:t>
      </w:r>
      <w:r w:rsidR="000A5329" w:rsidRPr="002029AF">
        <w:rPr>
          <w:rStyle w:val="Strong"/>
        </w:rPr>
        <w:t xml:space="preserve"> </w:t>
      </w:r>
      <w:r w:rsidRPr="002029AF">
        <w:rPr>
          <w:rStyle w:val="Strong"/>
        </w:rPr>
        <w:t>corporations</w:t>
      </w:r>
      <w:r w:rsidR="000A5329" w:rsidRPr="002029AF">
        <w:t xml:space="preserve"> </w:t>
      </w:r>
      <w:r w:rsidRPr="002029AF">
        <w:t>(PFC)</w:t>
      </w:r>
      <w:r w:rsidR="000A5329" w:rsidRPr="002029AF">
        <w:t xml:space="preserve"> </w:t>
      </w:r>
      <w:r w:rsidRPr="002029AF">
        <w:t>are</w:t>
      </w:r>
      <w:r w:rsidR="000A5329" w:rsidRPr="002029AF">
        <w:t xml:space="preserve"> </w:t>
      </w:r>
      <w:r w:rsidRPr="002029AF">
        <w:t>bodies</w:t>
      </w:r>
      <w:r w:rsidR="000A5329" w:rsidRPr="002029AF">
        <w:t xml:space="preserve"> </w:t>
      </w:r>
      <w:r w:rsidRPr="002029AF">
        <w:t>primarily</w:t>
      </w:r>
      <w:r w:rsidR="000A5329" w:rsidRPr="002029AF">
        <w:t xml:space="preserve"> </w:t>
      </w:r>
      <w:r w:rsidRPr="002029AF">
        <w:t>engaged</w:t>
      </w:r>
      <w:r w:rsidR="000A5329" w:rsidRPr="002029AF">
        <w:t xml:space="preserve"> </w:t>
      </w:r>
      <w:r w:rsidRPr="002029AF">
        <w:t>in</w:t>
      </w:r>
      <w:r w:rsidR="000A5329" w:rsidRPr="002029AF">
        <w:t xml:space="preserve"> </w:t>
      </w:r>
      <w:r w:rsidRPr="002029AF">
        <w:t>the</w:t>
      </w:r>
      <w:r w:rsidR="000A5329" w:rsidRPr="002029AF">
        <w:t xml:space="preserve"> </w:t>
      </w:r>
      <w:r w:rsidRPr="002029AF">
        <w:t>provision</w:t>
      </w:r>
      <w:r w:rsidR="000A5329" w:rsidRPr="002029AF">
        <w:t xml:space="preserve"> </w:t>
      </w:r>
      <w:r w:rsidRPr="002029AF">
        <w:t>of</w:t>
      </w:r>
      <w:r w:rsidR="000A5329" w:rsidRPr="002029AF">
        <w:t xml:space="preserve"> </w:t>
      </w:r>
      <w:r w:rsidRPr="002029AF">
        <w:t>financial</w:t>
      </w:r>
      <w:r w:rsidR="000A5329" w:rsidRPr="002029AF">
        <w:t xml:space="preserve"> </w:t>
      </w:r>
      <w:r w:rsidRPr="002029AF">
        <w:t>intermediation</w:t>
      </w:r>
      <w:r w:rsidR="000A5329" w:rsidRPr="002029AF">
        <w:t xml:space="preserve"> </w:t>
      </w:r>
      <w:r w:rsidRPr="002029AF">
        <w:t>services</w:t>
      </w:r>
      <w:r w:rsidR="000A5329" w:rsidRPr="002029AF">
        <w:t xml:space="preserve"> </w:t>
      </w:r>
      <w:r w:rsidRPr="002029AF">
        <w:t>or</w:t>
      </w:r>
      <w:r w:rsidR="000A5329" w:rsidRPr="002029AF">
        <w:t xml:space="preserve"> </w:t>
      </w:r>
      <w:r w:rsidRPr="002029AF">
        <w:t>auxiliary</w:t>
      </w:r>
      <w:r w:rsidR="000A5329" w:rsidRPr="002029AF">
        <w:t xml:space="preserve"> </w:t>
      </w:r>
      <w:r w:rsidRPr="002029AF">
        <w:t>financial</w:t>
      </w:r>
      <w:r w:rsidR="000A5329" w:rsidRPr="002029AF">
        <w:t xml:space="preserve"> </w:t>
      </w:r>
      <w:r w:rsidRPr="002029AF">
        <w:t>services.</w:t>
      </w:r>
      <w:r w:rsidR="000A5329" w:rsidRPr="002029AF">
        <w:t xml:space="preserve"> </w:t>
      </w:r>
      <w:r w:rsidRPr="002029AF">
        <w:t>They</w:t>
      </w:r>
      <w:r w:rsidR="000A5329" w:rsidRPr="002029AF">
        <w:t xml:space="preserve"> </w:t>
      </w:r>
      <w:r w:rsidRPr="002029AF">
        <w:t>are</w:t>
      </w:r>
      <w:r w:rsidR="000A5329" w:rsidRPr="002029AF">
        <w:t xml:space="preserve"> </w:t>
      </w:r>
      <w:r w:rsidRPr="002029AF">
        <w:t>able</w:t>
      </w:r>
      <w:r w:rsidR="000A5329" w:rsidRPr="002029AF">
        <w:t xml:space="preserve"> </w:t>
      </w:r>
      <w:r w:rsidRPr="002029AF">
        <w:t>to</w:t>
      </w:r>
      <w:r w:rsidR="000A5329" w:rsidRPr="002029AF">
        <w:t xml:space="preserve"> </w:t>
      </w:r>
      <w:r w:rsidRPr="002029AF">
        <w:t>incur</w:t>
      </w:r>
      <w:r w:rsidR="000A5329" w:rsidRPr="002029AF">
        <w:t xml:space="preserve"> </w:t>
      </w:r>
      <w:r w:rsidRPr="002029AF">
        <w:t>financial</w:t>
      </w:r>
      <w:r w:rsidR="000A5329" w:rsidRPr="002029AF">
        <w:t xml:space="preserve"> </w:t>
      </w:r>
      <w:r w:rsidRPr="002029AF">
        <w:t>liabilities</w:t>
      </w:r>
      <w:r w:rsidR="000A5329" w:rsidRPr="002029AF">
        <w:t xml:space="preserve"> </w:t>
      </w:r>
      <w:r w:rsidRPr="002029AF">
        <w:t>on</w:t>
      </w:r>
      <w:r w:rsidR="000A5329" w:rsidRPr="002029AF">
        <w:t xml:space="preserve"> </w:t>
      </w:r>
      <w:r w:rsidRPr="002029AF">
        <w:t>their</w:t>
      </w:r>
      <w:r w:rsidR="000A5329" w:rsidRPr="002029AF">
        <w:t xml:space="preserve"> </w:t>
      </w:r>
      <w:r w:rsidRPr="002029AF">
        <w:t>own</w:t>
      </w:r>
      <w:r w:rsidR="000A5329" w:rsidRPr="002029AF">
        <w:t xml:space="preserve"> </w:t>
      </w:r>
      <w:r w:rsidRPr="002029AF">
        <w:t>account</w:t>
      </w:r>
      <w:r w:rsidR="000A5329" w:rsidRPr="002029AF">
        <w:t xml:space="preserve"> </w:t>
      </w:r>
      <w:r w:rsidRPr="002029AF">
        <w:t>(for</w:t>
      </w:r>
      <w:r w:rsidR="000A5329" w:rsidRPr="002029AF">
        <w:t xml:space="preserve"> </w:t>
      </w:r>
      <w:r w:rsidRPr="002029AF">
        <w:t>example</w:t>
      </w:r>
      <w:r w:rsidR="000A5329" w:rsidRPr="002029AF">
        <w:t xml:space="preserve"> </w:t>
      </w:r>
      <w:r w:rsidRPr="002029AF">
        <w:t>taking</w:t>
      </w:r>
      <w:r w:rsidR="000A5329" w:rsidRPr="002029AF">
        <w:t xml:space="preserve"> </w:t>
      </w:r>
      <w:r w:rsidRPr="002029AF">
        <w:t>deposits,</w:t>
      </w:r>
      <w:r w:rsidR="000A5329" w:rsidRPr="002029AF">
        <w:t xml:space="preserve"> </w:t>
      </w:r>
      <w:r w:rsidRPr="002029AF">
        <w:t>issuing</w:t>
      </w:r>
      <w:r w:rsidR="000A5329" w:rsidRPr="002029AF">
        <w:t xml:space="preserve"> </w:t>
      </w:r>
      <w:r w:rsidRPr="002029AF">
        <w:t>securities</w:t>
      </w:r>
      <w:r w:rsidR="000A5329" w:rsidRPr="002029AF">
        <w:t xml:space="preserve"> </w:t>
      </w:r>
      <w:r w:rsidRPr="002029AF">
        <w:t>or</w:t>
      </w:r>
      <w:r w:rsidR="000A5329" w:rsidRPr="002029AF">
        <w:t xml:space="preserve"> </w:t>
      </w:r>
      <w:r w:rsidRPr="002029AF">
        <w:t>providing</w:t>
      </w:r>
      <w:r w:rsidR="000A5329" w:rsidRPr="002029AF">
        <w:t xml:space="preserve"> </w:t>
      </w:r>
      <w:r w:rsidRPr="002029AF">
        <w:t>insurance</w:t>
      </w:r>
      <w:r w:rsidR="000A5329" w:rsidRPr="002029AF">
        <w:t xml:space="preserve"> </w:t>
      </w:r>
      <w:r w:rsidRPr="002029AF">
        <w:t>services).</w:t>
      </w:r>
      <w:r w:rsidR="000A5329" w:rsidRPr="002029AF">
        <w:t xml:space="preserve"> </w:t>
      </w:r>
      <w:r w:rsidRPr="002029AF">
        <w:t>Estimates</w:t>
      </w:r>
      <w:r w:rsidR="000A5329" w:rsidRPr="002029AF">
        <w:t xml:space="preserve"> </w:t>
      </w:r>
      <w:r w:rsidRPr="002029AF">
        <w:t>are</w:t>
      </w:r>
      <w:r w:rsidR="000A5329" w:rsidRPr="002029AF">
        <w:t xml:space="preserve"> </w:t>
      </w:r>
      <w:r w:rsidRPr="002029AF">
        <w:t>not</w:t>
      </w:r>
      <w:r w:rsidR="000A5329" w:rsidRPr="002029AF">
        <w:t xml:space="preserve"> </w:t>
      </w:r>
      <w:r w:rsidRPr="002029AF">
        <w:t>published</w:t>
      </w:r>
      <w:r w:rsidR="000A5329" w:rsidRPr="002029AF">
        <w:t xml:space="preserve"> </w:t>
      </w:r>
      <w:r w:rsidRPr="002029AF">
        <w:t>for</w:t>
      </w:r>
      <w:r w:rsidR="000A5329" w:rsidRPr="002029AF">
        <w:t xml:space="preserve"> </w:t>
      </w:r>
      <w:r w:rsidRPr="002029AF">
        <w:t>the</w:t>
      </w:r>
      <w:r w:rsidR="000A5329" w:rsidRPr="002029AF">
        <w:t xml:space="preserve"> </w:t>
      </w:r>
      <w:r w:rsidRPr="002029AF">
        <w:t>public</w:t>
      </w:r>
      <w:r w:rsidR="000A5329" w:rsidRPr="002029AF">
        <w:t xml:space="preserve"> </w:t>
      </w:r>
      <w:r w:rsidRPr="002029AF">
        <w:t>financial</w:t>
      </w:r>
      <w:r w:rsidR="000A5329" w:rsidRPr="002029AF">
        <w:t xml:space="preserve"> </w:t>
      </w:r>
      <w:r w:rsidRPr="002029AF">
        <w:t>corporation</w:t>
      </w:r>
      <w:r w:rsidR="000A5329" w:rsidRPr="002029AF">
        <w:t xml:space="preserve"> </w:t>
      </w:r>
      <w:r w:rsidRPr="002029AF">
        <w:t>sector.</w:t>
      </w:r>
    </w:p>
    <w:p w14:paraId="749F3B33" w14:textId="44CD9020" w:rsidR="00087B91" w:rsidRPr="002029AF" w:rsidRDefault="00087B91" w:rsidP="00B12841">
      <w:pPr>
        <w:pStyle w:val="ARfinbody"/>
        <w:spacing w:line="180" w:lineRule="atLeast"/>
      </w:pPr>
      <w:r w:rsidRPr="002029AF">
        <w:rPr>
          <w:rStyle w:val="Strong"/>
        </w:rPr>
        <w:t>Public</w:t>
      </w:r>
      <w:r w:rsidR="000A5329" w:rsidRPr="002029AF">
        <w:rPr>
          <w:rStyle w:val="Strong"/>
        </w:rPr>
        <w:t xml:space="preserve"> </w:t>
      </w:r>
      <w:r w:rsidRPr="002029AF">
        <w:rPr>
          <w:rStyle w:val="Strong"/>
        </w:rPr>
        <w:t>non-financial</w:t>
      </w:r>
      <w:r w:rsidR="000A5329" w:rsidRPr="002029AF">
        <w:rPr>
          <w:rStyle w:val="Strong"/>
        </w:rPr>
        <w:t xml:space="preserve"> </w:t>
      </w:r>
      <w:r w:rsidRPr="002029AF">
        <w:rPr>
          <w:rStyle w:val="Strong"/>
        </w:rPr>
        <w:t>corporation</w:t>
      </w:r>
      <w:r w:rsidR="000A5329" w:rsidRPr="002029AF">
        <w:t xml:space="preserve"> </w:t>
      </w:r>
      <w:r w:rsidRPr="002029AF">
        <w:t>(PNFC)</w:t>
      </w:r>
      <w:r w:rsidR="000A5329" w:rsidRPr="002029AF">
        <w:t xml:space="preserve"> </w:t>
      </w:r>
      <w:r w:rsidRPr="002029AF">
        <w:t>sector</w:t>
      </w:r>
      <w:r w:rsidR="000A5329" w:rsidRPr="002029AF">
        <w:t xml:space="preserve"> </w:t>
      </w:r>
      <w:r w:rsidRPr="002029AF">
        <w:t>comprises</w:t>
      </w:r>
      <w:r w:rsidR="000A5329" w:rsidRPr="002029AF">
        <w:t xml:space="preserve"> </w:t>
      </w:r>
      <w:r w:rsidRPr="002029AF">
        <w:t>bodies</w:t>
      </w:r>
      <w:r w:rsidR="000A5329" w:rsidRPr="002029AF">
        <w:t xml:space="preserve"> </w:t>
      </w:r>
      <w:r w:rsidRPr="002029AF">
        <w:t>mainly</w:t>
      </w:r>
      <w:r w:rsidR="000A5329" w:rsidRPr="002029AF">
        <w:t xml:space="preserve"> </w:t>
      </w:r>
      <w:r w:rsidRPr="002029AF">
        <w:t>engaged</w:t>
      </w:r>
      <w:r w:rsidR="000A5329" w:rsidRPr="002029AF">
        <w:t xml:space="preserve"> </w:t>
      </w:r>
      <w:r w:rsidRPr="002029AF">
        <w:t>in</w:t>
      </w:r>
      <w:r w:rsidR="000A5329" w:rsidRPr="002029AF">
        <w:t xml:space="preserve"> </w:t>
      </w:r>
      <w:r w:rsidRPr="002029AF">
        <w:t>the</w:t>
      </w:r>
      <w:r w:rsidR="000A5329" w:rsidRPr="002029AF">
        <w:t xml:space="preserve"> </w:t>
      </w:r>
      <w:r w:rsidRPr="002029AF">
        <w:t>production</w:t>
      </w:r>
      <w:r w:rsidR="000A5329" w:rsidRPr="002029AF">
        <w:t xml:space="preserve"> </w:t>
      </w:r>
      <w:r w:rsidRPr="002029AF">
        <w:t>of</w:t>
      </w:r>
      <w:r w:rsidR="000A5329" w:rsidRPr="002029AF">
        <w:t xml:space="preserve"> </w:t>
      </w:r>
      <w:r w:rsidRPr="002029AF">
        <w:t>goods</w:t>
      </w:r>
      <w:r w:rsidR="000A5329" w:rsidRPr="002029AF">
        <w:t xml:space="preserve"> </w:t>
      </w:r>
      <w:r w:rsidRPr="002029AF">
        <w:t>and</w:t>
      </w:r>
      <w:r w:rsidR="000A5329" w:rsidRPr="002029AF">
        <w:t xml:space="preserve"> </w:t>
      </w:r>
      <w:r w:rsidRPr="002029AF">
        <w:t>services</w:t>
      </w:r>
      <w:r w:rsidR="000A5329" w:rsidRPr="002029AF">
        <w:t xml:space="preserve"> </w:t>
      </w:r>
      <w:r w:rsidRPr="002029AF">
        <w:t>(of</w:t>
      </w:r>
      <w:r w:rsidR="000A5329" w:rsidRPr="002029AF">
        <w:t xml:space="preserve"> </w:t>
      </w:r>
      <w:r w:rsidRPr="002029AF">
        <w:t>a</w:t>
      </w:r>
      <w:r w:rsidR="000A5329" w:rsidRPr="002029AF">
        <w:t xml:space="preserve"> </w:t>
      </w:r>
      <w:r w:rsidR="00995257" w:rsidRPr="002029AF">
        <w:br/>
      </w:r>
      <w:r w:rsidRPr="002029AF">
        <w:t>non-financial</w:t>
      </w:r>
      <w:r w:rsidR="000A5329" w:rsidRPr="002029AF">
        <w:t xml:space="preserve"> </w:t>
      </w:r>
      <w:r w:rsidRPr="002029AF">
        <w:t>nature)</w:t>
      </w:r>
      <w:r w:rsidR="000A5329" w:rsidRPr="002029AF">
        <w:t xml:space="preserve"> </w:t>
      </w:r>
      <w:r w:rsidRPr="002029AF">
        <w:t>for</w:t>
      </w:r>
      <w:r w:rsidR="000A5329" w:rsidRPr="002029AF">
        <w:t xml:space="preserve"> </w:t>
      </w:r>
      <w:r w:rsidRPr="002029AF">
        <w:t>sale</w:t>
      </w:r>
      <w:r w:rsidR="000A5329" w:rsidRPr="002029AF">
        <w:t xml:space="preserve"> </w:t>
      </w:r>
      <w:r w:rsidRPr="002029AF">
        <w:t>in</w:t>
      </w:r>
      <w:r w:rsidR="000A5329" w:rsidRPr="002029AF">
        <w:t xml:space="preserve"> </w:t>
      </w:r>
      <w:r w:rsidRPr="002029AF">
        <w:t>the</w:t>
      </w:r>
      <w:r w:rsidR="000A5329" w:rsidRPr="002029AF">
        <w:t xml:space="preserve"> </w:t>
      </w:r>
      <w:r w:rsidRPr="002029AF">
        <w:t>market</w:t>
      </w:r>
      <w:r w:rsidR="000A5329" w:rsidRPr="002029AF">
        <w:t xml:space="preserve"> </w:t>
      </w:r>
      <w:r w:rsidRPr="002029AF">
        <w:t>place</w:t>
      </w:r>
      <w:r w:rsidR="000A5329" w:rsidRPr="002029AF">
        <w:t xml:space="preserve"> </w:t>
      </w:r>
      <w:r w:rsidRPr="002029AF">
        <w:t>at</w:t>
      </w:r>
      <w:r w:rsidR="000A5329" w:rsidRPr="002029AF">
        <w:t xml:space="preserve"> </w:t>
      </w:r>
      <w:r w:rsidRPr="002029AF">
        <w:t>prices</w:t>
      </w:r>
      <w:r w:rsidR="000A5329" w:rsidRPr="002029AF">
        <w:t xml:space="preserve"> </w:t>
      </w:r>
      <w:r w:rsidRPr="002029AF">
        <w:t>that</w:t>
      </w:r>
      <w:r w:rsidR="000A5329" w:rsidRPr="002029AF">
        <w:t xml:space="preserve"> </w:t>
      </w:r>
      <w:r w:rsidRPr="002029AF">
        <w:t>aim</w:t>
      </w:r>
      <w:r w:rsidR="000A5329" w:rsidRPr="002029AF">
        <w:t xml:space="preserve"> </w:t>
      </w:r>
      <w:r w:rsidRPr="002029AF">
        <w:t>to</w:t>
      </w:r>
      <w:r w:rsidR="000A5329" w:rsidRPr="002029AF">
        <w:t xml:space="preserve"> </w:t>
      </w:r>
      <w:r w:rsidRPr="002029AF">
        <w:t>recover</w:t>
      </w:r>
      <w:r w:rsidR="000A5329" w:rsidRPr="002029AF">
        <w:t xml:space="preserve"> </w:t>
      </w:r>
      <w:r w:rsidRPr="002029AF">
        <w:t>most</w:t>
      </w:r>
      <w:r w:rsidR="000A5329" w:rsidRPr="002029AF">
        <w:t xml:space="preserve"> </w:t>
      </w:r>
      <w:r w:rsidRPr="002029AF">
        <w:t>of</w:t>
      </w:r>
      <w:r w:rsidR="000A5329" w:rsidRPr="002029AF">
        <w:t xml:space="preserve"> </w:t>
      </w:r>
      <w:r w:rsidRPr="002029AF">
        <w:t>the</w:t>
      </w:r>
      <w:r w:rsidR="000A5329" w:rsidRPr="002029AF">
        <w:t xml:space="preserve"> </w:t>
      </w:r>
      <w:r w:rsidRPr="002029AF">
        <w:t>costs</w:t>
      </w:r>
      <w:r w:rsidR="000A5329" w:rsidRPr="002029AF">
        <w:t xml:space="preserve"> </w:t>
      </w:r>
      <w:r w:rsidRPr="002029AF">
        <w:t>involved</w:t>
      </w:r>
      <w:r w:rsidR="000A5329" w:rsidRPr="002029AF">
        <w:t xml:space="preserve"> </w:t>
      </w:r>
      <w:r w:rsidRPr="002029AF">
        <w:t>(for</w:t>
      </w:r>
      <w:r w:rsidR="000A5329" w:rsidRPr="002029AF">
        <w:t xml:space="preserve"> </w:t>
      </w:r>
      <w:r w:rsidRPr="002029AF">
        <w:t>example</w:t>
      </w:r>
      <w:r w:rsidR="000A5329" w:rsidRPr="002029AF">
        <w:t xml:space="preserve"> </w:t>
      </w:r>
      <w:r w:rsidRPr="002029AF">
        <w:t>water</w:t>
      </w:r>
      <w:r w:rsidR="000A5329" w:rsidRPr="002029AF">
        <w:t xml:space="preserve"> </w:t>
      </w:r>
      <w:r w:rsidRPr="002029AF">
        <w:t>and</w:t>
      </w:r>
      <w:r w:rsidR="000A5329" w:rsidRPr="002029AF">
        <w:t xml:space="preserve"> </w:t>
      </w:r>
      <w:r w:rsidRPr="002029AF">
        <w:t>port</w:t>
      </w:r>
      <w:r w:rsidR="000A5329" w:rsidRPr="002029AF">
        <w:t xml:space="preserve"> </w:t>
      </w:r>
      <w:r w:rsidRPr="002029AF">
        <w:t>authorities).</w:t>
      </w:r>
      <w:r w:rsidR="000A5329" w:rsidRPr="002029AF">
        <w:t xml:space="preserve"> </w:t>
      </w:r>
      <w:r w:rsidRPr="002029AF">
        <w:t>In</w:t>
      </w:r>
      <w:r w:rsidR="000A5329" w:rsidRPr="002029AF">
        <w:t xml:space="preserve"> </w:t>
      </w:r>
      <w:r w:rsidRPr="002029AF">
        <w:t>general,</w:t>
      </w:r>
      <w:r w:rsidR="000A5329" w:rsidRPr="002029AF">
        <w:t xml:space="preserve"> </w:t>
      </w:r>
      <w:r w:rsidRPr="002029AF">
        <w:t>PNFCs</w:t>
      </w:r>
      <w:r w:rsidR="000A5329" w:rsidRPr="002029AF">
        <w:t xml:space="preserve"> </w:t>
      </w:r>
      <w:r w:rsidRPr="002029AF">
        <w:t>are</w:t>
      </w:r>
      <w:r w:rsidR="000A5329" w:rsidRPr="002029AF">
        <w:t xml:space="preserve"> </w:t>
      </w:r>
      <w:r w:rsidRPr="002029AF">
        <w:t>legally</w:t>
      </w:r>
      <w:r w:rsidR="000A5329" w:rsidRPr="002029AF">
        <w:t xml:space="preserve"> </w:t>
      </w:r>
      <w:r w:rsidRPr="002029AF">
        <w:t>distinguishable</w:t>
      </w:r>
      <w:r w:rsidR="000A5329" w:rsidRPr="002029AF">
        <w:t xml:space="preserve"> </w:t>
      </w:r>
      <w:r w:rsidRPr="002029AF">
        <w:t>from</w:t>
      </w:r>
      <w:r w:rsidR="000A5329" w:rsidRPr="002029AF">
        <w:t xml:space="preserve"> </w:t>
      </w:r>
      <w:r w:rsidRPr="002029AF">
        <w:t>the</w:t>
      </w:r>
      <w:r w:rsidR="000A5329" w:rsidRPr="002029AF">
        <w:t xml:space="preserve"> </w:t>
      </w:r>
      <w:r w:rsidRPr="002029AF">
        <w:t>governments</w:t>
      </w:r>
      <w:r w:rsidR="000A5329" w:rsidRPr="002029AF">
        <w:t xml:space="preserve"> </w:t>
      </w:r>
      <w:r w:rsidRPr="002029AF">
        <w:t>which</w:t>
      </w:r>
      <w:r w:rsidR="000A5329" w:rsidRPr="002029AF">
        <w:t xml:space="preserve"> </w:t>
      </w:r>
      <w:r w:rsidRPr="002029AF">
        <w:t>own</w:t>
      </w:r>
      <w:r w:rsidR="000A5329" w:rsidRPr="002029AF">
        <w:t xml:space="preserve"> </w:t>
      </w:r>
      <w:r w:rsidRPr="002029AF">
        <w:t>them.</w:t>
      </w:r>
    </w:p>
    <w:p w14:paraId="1BAF19F4" w14:textId="5371363D" w:rsidR="00087B91" w:rsidRPr="002029AF" w:rsidRDefault="00087B91" w:rsidP="00B12841">
      <w:pPr>
        <w:pStyle w:val="ARfinbody"/>
        <w:spacing w:line="180" w:lineRule="atLeast"/>
      </w:pPr>
      <w:r w:rsidRPr="002029AF">
        <w:rPr>
          <w:rStyle w:val="Strong"/>
        </w:rPr>
        <w:t>Receivables</w:t>
      </w:r>
      <w:r w:rsidR="000A5329" w:rsidRPr="002029AF">
        <w:t xml:space="preserve"> </w:t>
      </w:r>
      <w:r w:rsidRPr="002029AF">
        <w:t>includes</w:t>
      </w:r>
      <w:r w:rsidR="000A5329" w:rsidRPr="002029AF">
        <w:t xml:space="preserve"> </w:t>
      </w:r>
      <w:r w:rsidRPr="002029AF">
        <w:t>amounts</w:t>
      </w:r>
      <w:r w:rsidR="000A5329" w:rsidRPr="002029AF">
        <w:t xml:space="preserve"> </w:t>
      </w:r>
      <w:r w:rsidRPr="002029AF">
        <w:t>owing</w:t>
      </w:r>
      <w:r w:rsidR="000A5329" w:rsidRPr="002029AF">
        <w:t xml:space="preserve"> </w:t>
      </w:r>
      <w:r w:rsidRPr="002029AF">
        <w:t>from</w:t>
      </w:r>
      <w:r w:rsidR="000A5329" w:rsidRPr="002029AF">
        <w:t xml:space="preserve"> </w:t>
      </w:r>
      <w:r w:rsidRPr="002029AF">
        <w:t>government</w:t>
      </w:r>
      <w:r w:rsidR="000A5329" w:rsidRPr="002029AF">
        <w:t xml:space="preserve"> </w:t>
      </w:r>
      <w:r w:rsidRPr="002029AF">
        <w:t>through</w:t>
      </w:r>
      <w:r w:rsidR="000A5329" w:rsidRPr="002029AF">
        <w:t xml:space="preserve"> </w:t>
      </w:r>
      <w:r w:rsidRPr="002029AF">
        <w:t>appropriation</w:t>
      </w:r>
      <w:r w:rsidR="000A5329" w:rsidRPr="002029AF">
        <w:t xml:space="preserve"> </w:t>
      </w:r>
      <w:r w:rsidRPr="002029AF">
        <w:t>receivable,</w:t>
      </w:r>
      <w:r w:rsidR="000A5329" w:rsidRPr="002029AF">
        <w:t xml:space="preserve"> </w:t>
      </w:r>
      <w:r w:rsidR="007314EB" w:rsidRPr="002029AF">
        <w:t>short- and long-term</w:t>
      </w:r>
      <w:r w:rsidR="000A5329" w:rsidRPr="002029AF">
        <w:t xml:space="preserve"> </w:t>
      </w:r>
      <w:r w:rsidRPr="002029AF">
        <w:t>accounts</w:t>
      </w:r>
      <w:r w:rsidR="000A5329" w:rsidRPr="002029AF">
        <w:t xml:space="preserve"> </w:t>
      </w:r>
      <w:r w:rsidRPr="002029AF">
        <w:t>receivable,</w:t>
      </w:r>
      <w:r w:rsidR="000A5329" w:rsidRPr="002029AF">
        <w:t xml:space="preserve"> </w:t>
      </w:r>
      <w:r w:rsidRPr="002029AF">
        <w:t>accrued</w:t>
      </w:r>
      <w:r w:rsidR="000A5329" w:rsidRPr="002029AF">
        <w:t xml:space="preserve"> </w:t>
      </w:r>
      <w:r w:rsidRPr="002029AF">
        <w:t>investment</w:t>
      </w:r>
      <w:r w:rsidR="000A5329" w:rsidRPr="002029AF">
        <w:t xml:space="preserve"> </w:t>
      </w:r>
      <w:r w:rsidRPr="002029AF">
        <w:t>income,</w:t>
      </w:r>
      <w:r w:rsidR="000A5329" w:rsidRPr="002029AF">
        <w:t xml:space="preserve"> </w:t>
      </w:r>
      <w:r w:rsidRPr="002029AF">
        <w:t>grants,</w:t>
      </w:r>
      <w:r w:rsidR="000A5329" w:rsidRPr="002029AF">
        <w:t xml:space="preserve"> </w:t>
      </w:r>
      <w:r w:rsidRPr="002029AF">
        <w:t>taxes</w:t>
      </w:r>
      <w:r w:rsidR="000A5329" w:rsidRPr="002029AF">
        <w:t xml:space="preserve"> </w:t>
      </w:r>
      <w:r w:rsidRPr="002029AF">
        <w:t>and</w:t>
      </w:r>
      <w:r w:rsidR="000A5329" w:rsidRPr="002029AF">
        <w:t xml:space="preserve"> </w:t>
      </w:r>
      <w:r w:rsidRPr="002029AF">
        <w:t>interest</w:t>
      </w:r>
      <w:r w:rsidR="000A5329" w:rsidRPr="002029AF">
        <w:t xml:space="preserve"> </w:t>
      </w:r>
      <w:r w:rsidRPr="002029AF">
        <w:t>receivable.</w:t>
      </w:r>
    </w:p>
    <w:p w14:paraId="27835406" w14:textId="70D1C940" w:rsidR="00087B91" w:rsidRPr="002029AF" w:rsidRDefault="00087B91" w:rsidP="00B12841">
      <w:pPr>
        <w:pStyle w:val="ARfinbody"/>
        <w:spacing w:line="180" w:lineRule="atLeast"/>
      </w:pPr>
      <w:r w:rsidRPr="002029AF">
        <w:rPr>
          <w:rStyle w:val="Strong"/>
        </w:rPr>
        <w:t>Rental</w:t>
      </w:r>
      <w:r w:rsidR="000A5329" w:rsidRPr="002029AF">
        <w:rPr>
          <w:rStyle w:val="Strong"/>
        </w:rPr>
        <w:t xml:space="preserve"> </w:t>
      </w:r>
      <w:r w:rsidRPr="002029AF">
        <w:rPr>
          <w:rStyle w:val="Strong"/>
        </w:rPr>
        <w:t>income</w:t>
      </w:r>
      <w:r w:rsidR="000A5329" w:rsidRPr="002029AF">
        <w:rPr>
          <w:rStyle w:val="Strong"/>
        </w:rPr>
        <w:t xml:space="preserve"> </w:t>
      </w:r>
      <w:r w:rsidRPr="002029AF">
        <w:rPr>
          <w:rStyle w:val="Strong"/>
        </w:rPr>
        <w:t>and</w:t>
      </w:r>
      <w:r w:rsidR="000A5329" w:rsidRPr="002029AF">
        <w:rPr>
          <w:rStyle w:val="Strong"/>
        </w:rPr>
        <w:t xml:space="preserve"> </w:t>
      </w:r>
      <w:r w:rsidRPr="002029AF">
        <w:rPr>
          <w:rStyle w:val="Strong"/>
        </w:rPr>
        <w:t>income</w:t>
      </w:r>
      <w:r w:rsidR="000A5329" w:rsidRPr="002029AF">
        <w:rPr>
          <w:rStyle w:val="Strong"/>
        </w:rPr>
        <w:t xml:space="preserve"> </w:t>
      </w:r>
      <w:r w:rsidRPr="002029AF">
        <w:rPr>
          <w:rStyle w:val="Strong"/>
        </w:rPr>
        <w:t>from</w:t>
      </w:r>
      <w:r w:rsidR="000A5329" w:rsidRPr="002029AF">
        <w:rPr>
          <w:rStyle w:val="Strong"/>
        </w:rPr>
        <w:t xml:space="preserve"> </w:t>
      </w:r>
      <w:r w:rsidRPr="002029AF">
        <w:rPr>
          <w:rStyle w:val="Strong"/>
        </w:rPr>
        <w:t>services</w:t>
      </w:r>
      <w:r w:rsidR="000A5329" w:rsidRPr="002029AF">
        <w:t xml:space="preserve"> </w:t>
      </w:r>
      <w:r w:rsidRPr="002029AF">
        <w:t>includes</w:t>
      </w:r>
      <w:r w:rsidR="000A5329" w:rsidRPr="002029AF">
        <w:t xml:space="preserve"> </w:t>
      </w:r>
      <w:r w:rsidRPr="002029AF">
        <w:t>rental</w:t>
      </w:r>
      <w:r w:rsidR="000A5329" w:rsidRPr="002029AF">
        <w:t xml:space="preserve"> </w:t>
      </w:r>
      <w:r w:rsidRPr="002029AF">
        <w:t>income</w:t>
      </w:r>
      <w:r w:rsidR="000A5329" w:rsidRPr="002029AF">
        <w:t xml:space="preserve"> </w:t>
      </w:r>
      <w:r w:rsidRPr="002029AF">
        <w:t>under</w:t>
      </w:r>
      <w:r w:rsidR="000A5329" w:rsidRPr="002029AF">
        <w:t xml:space="preserve"> </w:t>
      </w:r>
      <w:r w:rsidRPr="002029AF">
        <w:t>operating</w:t>
      </w:r>
      <w:r w:rsidR="000A5329" w:rsidRPr="002029AF">
        <w:t xml:space="preserve"> </w:t>
      </w:r>
      <w:r w:rsidRPr="002029AF">
        <w:t>leases</w:t>
      </w:r>
      <w:r w:rsidR="000A5329" w:rsidRPr="002029AF">
        <w:t xml:space="preserve"> </w:t>
      </w:r>
      <w:r w:rsidRPr="002029AF">
        <w:t>and</w:t>
      </w:r>
      <w:r w:rsidR="000A5329" w:rsidRPr="002029AF">
        <w:t xml:space="preserve"> </w:t>
      </w:r>
      <w:r w:rsidRPr="002029AF">
        <w:t>income</w:t>
      </w:r>
      <w:r w:rsidR="000A5329" w:rsidRPr="002029AF">
        <w:t xml:space="preserve"> </w:t>
      </w:r>
      <w:r w:rsidRPr="002029AF">
        <w:t>from</w:t>
      </w:r>
      <w:r w:rsidR="000A5329" w:rsidRPr="002029AF">
        <w:t xml:space="preserve"> </w:t>
      </w:r>
      <w:r w:rsidRPr="002029AF">
        <w:t>the</w:t>
      </w:r>
      <w:r w:rsidR="000A5329" w:rsidRPr="002029AF">
        <w:t xml:space="preserve"> </w:t>
      </w:r>
      <w:r w:rsidRPr="002029AF">
        <w:t>provision</w:t>
      </w:r>
      <w:r w:rsidR="000A5329" w:rsidRPr="002029AF">
        <w:t xml:space="preserve"> </w:t>
      </w:r>
      <w:r w:rsidRPr="002029AF">
        <w:t>of</w:t>
      </w:r>
      <w:r w:rsidR="000A5329" w:rsidRPr="002029AF">
        <w:t xml:space="preserve"> </w:t>
      </w:r>
      <w:r w:rsidRPr="002029AF">
        <w:t>services.</w:t>
      </w:r>
    </w:p>
    <w:p w14:paraId="743B2E5D" w14:textId="4DF819EC" w:rsidR="00087B91" w:rsidRPr="002029AF" w:rsidRDefault="00087B91" w:rsidP="00B12841">
      <w:pPr>
        <w:pStyle w:val="ARfinbody"/>
        <w:spacing w:line="180" w:lineRule="atLeast"/>
      </w:pPr>
      <w:r w:rsidRPr="002029AF">
        <w:rPr>
          <w:rStyle w:val="Strong"/>
        </w:rPr>
        <w:t>Service</w:t>
      </w:r>
      <w:r w:rsidR="000A5329" w:rsidRPr="002029AF">
        <w:rPr>
          <w:rStyle w:val="Strong"/>
        </w:rPr>
        <w:t xml:space="preserve"> </w:t>
      </w:r>
      <w:r w:rsidRPr="002029AF">
        <w:rPr>
          <w:rStyle w:val="Strong"/>
        </w:rPr>
        <w:t>Concession</w:t>
      </w:r>
      <w:r w:rsidR="000A5329" w:rsidRPr="002029AF">
        <w:rPr>
          <w:rStyle w:val="Strong"/>
        </w:rPr>
        <w:t xml:space="preserve"> </w:t>
      </w:r>
      <w:r w:rsidRPr="002029AF">
        <w:rPr>
          <w:rStyle w:val="Strong"/>
        </w:rPr>
        <w:t>Arrangement</w:t>
      </w:r>
      <w:r w:rsidR="000A5329" w:rsidRPr="002029AF">
        <w:t xml:space="preserve"> </w:t>
      </w:r>
      <w:r w:rsidRPr="002029AF">
        <w:t>is</w:t>
      </w:r>
      <w:r w:rsidR="000A5329" w:rsidRPr="002029AF">
        <w:t xml:space="preserve"> </w:t>
      </w:r>
      <w:r w:rsidRPr="002029AF">
        <w:t>a</w:t>
      </w:r>
      <w:r w:rsidR="000A5329" w:rsidRPr="002029AF">
        <w:t xml:space="preserve"> </w:t>
      </w:r>
      <w:r w:rsidRPr="002029AF">
        <w:t>contract</w:t>
      </w:r>
      <w:r w:rsidR="000A5329" w:rsidRPr="002029AF">
        <w:t xml:space="preserve"> </w:t>
      </w:r>
      <w:r w:rsidRPr="002029AF">
        <w:t>effective</w:t>
      </w:r>
      <w:r w:rsidR="000A5329" w:rsidRPr="002029AF">
        <w:t xml:space="preserve"> </w:t>
      </w:r>
      <w:r w:rsidRPr="002029AF">
        <w:t>during</w:t>
      </w:r>
      <w:r w:rsidR="000A5329" w:rsidRPr="002029AF">
        <w:t xml:space="preserve"> </w:t>
      </w:r>
      <w:r w:rsidRPr="002029AF">
        <w:t>the</w:t>
      </w:r>
      <w:r w:rsidR="000A5329" w:rsidRPr="002029AF">
        <w:t xml:space="preserve"> </w:t>
      </w:r>
      <w:r w:rsidRPr="002029AF">
        <w:t>reporting</w:t>
      </w:r>
      <w:r w:rsidR="000A5329" w:rsidRPr="002029AF">
        <w:t xml:space="preserve"> </w:t>
      </w:r>
      <w:r w:rsidRPr="002029AF">
        <w:t>period</w:t>
      </w:r>
      <w:r w:rsidR="000A5329" w:rsidRPr="002029AF">
        <w:t xml:space="preserve"> </w:t>
      </w:r>
      <w:r w:rsidRPr="002029AF">
        <w:t>between</w:t>
      </w:r>
      <w:r w:rsidR="000A5329" w:rsidRPr="002029AF">
        <w:t xml:space="preserve"> </w:t>
      </w:r>
      <w:r w:rsidRPr="002029AF">
        <w:t>a</w:t>
      </w:r>
      <w:r w:rsidR="000A5329" w:rsidRPr="002029AF">
        <w:t xml:space="preserve"> </w:t>
      </w:r>
      <w:r w:rsidRPr="002029AF">
        <w:t>grantor</w:t>
      </w:r>
      <w:r w:rsidR="000A5329" w:rsidRPr="002029AF">
        <w:t xml:space="preserve"> </w:t>
      </w:r>
      <w:r w:rsidRPr="002029AF">
        <w:t>and</w:t>
      </w:r>
      <w:r w:rsidR="000A5329" w:rsidRPr="002029AF">
        <w:t xml:space="preserve"> </w:t>
      </w:r>
      <w:r w:rsidRPr="002029AF">
        <w:t>an</w:t>
      </w:r>
      <w:r w:rsidR="000A5329" w:rsidRPr="002029AF">
        <w:t xml:space="preserve"> </w:t>
      </w:r>
      <w:r w:rsidRPr="002029AF">
        <w:t>operator</w:t>
      </w:r>
      <w:r w:rsidR="000A5329" w:rsidRPr="002029AF">
        <w:t xml:space="preserve"> </w:t>
      </w:r>
      <w:r w:rsidRPr="002029AF">
        <w:t>in</w:t>
      </w:r>
      <w:r w:rsidR="000A5329" w:rsidRPr="002029AF">
        <w:t xml:space="preserve"> </w:t>
      </w:r>
      <w:r w:rsidRPr="002029AF">
        <w:t>which:</w:t>
      </w:r>
    </w:p>
    <w:p w14:paraId="1D6E8ADE" w14:textId="5BB17E1C" w:rsidR="00087B91" w:rsidRPr="002029AF" w:rsidRDefault="00087B91" w:rsidP="00FF3CAB">
      <w:pPr>
        <w:pStyle w:val="ARfinnumberalpha1"/>
        <w:numPr>
          <w:ilvl w:val="0"/>
          <w:numId w:val="46"/>
        </w:numPr>
        <w:spacing w:line="180" w:lineRule="atLeast"/>
      </w:pPr>
      <w:r w:rsidRPr="002029AF">
        <w:t>the</w:t>
      </w:r>
      <w:r w:rsidR="000A5329" w:rsidRPr="002029AF">
        <w:t xml:space="preserve"> </w:t>
      </w:r>
      <w:r w:rsidRPr="002029AF">
        <w:t>operator</w:t>
      </w:r>
      <w:r w:rsidR="000A5329" w:rsidRPr="002029AF">
        <w:t xml:space="preserve"> </w:t>
      </w:r>
      <w:r w:rsidRPr="002029AF">
        <w:t>has</w:t>
      </w:r>
      <w:r w:rsidR="000A5329" w:rsidRPr="002029AF">
        <w:t xml:space="preserve"> </w:t>
      </w:r>
      <w:r w:rsidRPr="002029AF">
        <w:t>the</w:t>
      </w:r>
      <w:r w:rsidR="000A5329" w:rsidRPr="002029AF">
        <w:t xml:space="preserve"> </w:t>
      </w:r>
      <w:r w:rsidRPr="002029AF">
        <w:t>right</w:t>
      </w:r>
      <w:r w:rsidR="000A5329" w:rsidRPr="002029AF">
        <w:t xml:space="preserve"> </w:t>
      </w:r>
      <w:r w:rsidRPr="002029AF">
        <w:t>of</w:t>
      </w:r>
      <w:r w:rsidR="000A5329" w:rsidRPr="002029AF">
        <w:t xml:space="preserve"> </w:t>
      </w:r>
      <w:r w:rsidRPr="002029AF">
        <w:t>access</w:t>
      </w:r>
      <w:r w:rsidR="000A5329" w:rsidRPr="002029AF">
        <w:t xml:space="preserve"> </w:t>
      </w:r>
      <w:r w:rsidRPr="002029AF">
        <w:t>to</w:t>
      </w:r>
      <w:r w:rsidR="000A5329" w:rsidRPr="002029AF">
        <w:t xml:space="preserve"> </w:t>
      </w:r>
      <w:r w:rsidRPr="002029AF">
        <w:t>the</w:t>
      </w:r>
      <w:r w:rsidR="000A5329" w:rsidRPr="002029AF">
        <w:t xml:space="preserve"> </w:t>
      </w:r>
      <w:r w:rsidRPr="002029AF">
        <w:t>service</w:t>
      </w:r>
      <w:r w:rsidR="000A5329" w:rsidRPr="002029AF">
        <w:t xml:space="preserve"> </w:t>
      </w:r>
      <w:r w:rsidRPr="002029AF">
        <w:t>concession</w:t>
      </w:r>
      <w:r w:rsidR="000A5329" w:rsidRPr="002029AF">
        <w:t xml:space="preserve"> </w:t>
      </w:r>
      <w:r w:rsidRPr="002029AF">
        <w:t>asset</w:t>
      </w:r>
      <w:r w:rsidR="000A5329" w:rsidRPr="002029AF">
        <w:t xml:space="preserve"> </w:t>
      </w:r>
      <w:r w:rsidRPr="002029AF">
        <w:t>(or</w:t>
      </w:r>
      <w:r w:rsidR="000A5329" w:rsidRPr="002029AF">
        <w:t xml:space="preserve"> </w:t>
      </w:r>
      <w:r w:rsidRPr="002029AF">
        <w:t>assets)</w:t>
      </w:r>
      <w:r w:rsidR="000A5329" w:rsidRPr="002029AF">
        <w:t xml:space="preserve"> </w:t>
      </w:r>
      <w:r w:rsidRPr="002029AF">
        <w:t>to</w:t>
      </w:r>
      <w:r w:rsidR="000A5329" w:rsidRPr="002029AF">
        <w:t xml:space="preserve"> </w:t>
      </w:r>
      <w:r w:rsidRPr="002029AF">
        <w:t>provide</w:t>
      </w:r>
      <w:r w:rsidR="000A5329" w:rsidRPr="002029AF">
        <w:t xml:space="preserve"> </w:t>
      </w:r>
      <w:r w:rsidRPr="002029AF">
        <w:t>public</w:t>
      </w:r>
      <w:r w:rsidR="000A5329" w:rsidRPr="002029AF">
        <w:t xml:space="preserve"> </w:t>
      </w:r>
      <w:r w:rsidRPr="002029AF">
        <w:t>services</w:t>
      </w:r>
      <w:r w:rsidR="000A5329" w:rsidRPr="002029AF">
        <w:t xml:space="preserve"> </w:t>
      </w:r>
      <w:r w:rsidRPr="002029AF">
        <w:t>on</w:t>
      </w:r>
      <w:r w:rsidR="000A5329" w:rsidRPr="002029AF">
        <w:t xml:space="preserve"> </w:t>
      </w:r>
      <w:r w:rsidRPr="002029AF">
        <w:t>behalf</w:t>
      </w:r>
      <w:r w:rsidR="000A5329" w:rsidRPr="002029AF">
        <w:t xml:space="preserve"> </w:t>
      </w:r>
      <w:r w:rsidRPr="002029AF">
        <w:t>of</w:t>
      </w:r>
      <w:r w:rsidR="000A5329" w:rsidRPr="002029AF">
        <w:t xml:space="preserve"> </w:t>
      </w:r>
      <w:r w:rsidRPr="002029AF">
        <w:t>the</w:t>
      </w:r>
      <w:r w:rsidR="000A5329" w:rsidRPr="002029AF">
        <w:t xml:space="preserve"> </w:t>
      </w:r>
      <w:r w:rsidRPr="002029AF">
        <w:t>grantor</w:t>
      </w:r>
      <w:r w:rsidR="000A5329" w:rsidRPr="002029AF">
        <w:t xml:space="preserve"> </w:t>
      </w:r>
      <w:r w:rsidRPr="002029AF">
        <w:t>for</w:t>
      </w:r>
      <w:r w:rsidR="000A5329" w:rsidRPr="002029AF">
        <w:t xml:space="preserve"> </w:t>
      </w:r>
      <w:r w:rsidRPr="002029AF">
        <w:t>a</w:t>
      </w:r>
      <w:r w:rsidR="000A5329" w:rsidRPr="002029AF">
        <w:t xml:space="preserve"> </w:t>
      </w:r>
      <w:r w:rsidRPr="002029AF">
        <w:t>specified</w:t>
      </w:r>
      <w:r w:rsidR="000A5329" w:rsidRPr="002029AF">
        <w:t xml:space="preserve"> </w:t>
      </w:r>
      <w:r w:rsidRPr="002029AF">
        <w:t>period</w:t>
      </w:r>
      <w:r w:rsidR="000A5329" w:rsidRPr="002029AF">
        <w:t xml:space="preserve"> </w:t>
      </w:r>
      <w:r w:rsidRPr="002029AF">
        <w:t>of</w:t>
      </w:r>
      <w:r w:rsidR="000A5329" w:rsidRPr="002029AF">
        <w:t xml:space="preserve"> </w:t>
      </w:r>
      <w:r w:rsidRPr="002029AF">
        <w:t>time</w:t>
      </w:r>
    </w:p>
    <w:p w14:paraId="34D21B79" w14:textId="029F74D8" w:rsidR="00087B91" w:rsidRPr="002029AF" w:rsidRDefault="00087B91" w:rsidP="00FF3CAB">
      <w:pPr>
        <w:pStyle w:val="ARfinnumberalpha1"/>
        <w:numPr>
          <w:ilvl w:val="0"/>
          <w:numId w:val="46"/>
        </w:numPr>
        <w:spacing w:line="180" w:lineRule="atLeast"/>
      </w:pPr>
      <w:r w:rsidRPr="002029AF">
        <w:t>the</w:t>
      </w:r>
      <w:r w:rsidR="000A5329" w:rsidRPr="002029AF">
        <w:t xml:space="preserve"> </w:t>
      </w:r>
      <w:r w:rsidRPr="002029AF">
        <w:t>operator</w:t>
      </w:r>
      <w:r w:rsidR="000A5329" w:rsidRPr="002029AF">
        <w:t xml:space="preserve"> </w:t>
      </w:r>
      <w:r w:rsidRPr="002029AF">
        <w:t>is</w:t>
      </w:r>
      <w:r w:rsidR="000A5329" w:rsidRPr="002029AF">
        <w:t xml:space="preserve"> </w:t>
      </w:r>
      <w:r w:rsidRPr="002029AF">
        <w:t>responsible</w:t>
      </w:r>
      <w:r w:rsidR="000A5329" w:rsidRPr="002029AF">
        <w:t xml:space="preserve"> </w:t>
      </w:r>
      <w:r w:rsidRPr="002029AF">
        <w:t>for</w:t>
      </w:r>
      <w:r w:rsidR="000A5329" w:rsidRPr="002029AF">
        <w:t xml:space="preserve"> </w:t>
      </w:r>
      <w:r w:rsidRPr="002029AF">
        <w:t>at</w:t>
      </w:r>
      <w:r w:rsidR="000A5329" w:rsidRPr="002029AF">
        <w:t xml:space="preserve"> </w:t>
      </w:r>
      <w:r w:rsidRPr="002029AF">
        <w:t>least</w:t>
      </w:r>
      <w:r w:rsidR="000A5329" w:rsidRPr="002029AF">
        <w:t xml:space="preserve"> </w:t>
      </w:r>
      <w:r w:rsidRPr="002029AF">
        <w:t>some</w:t>
      </w:r>
      <w:r w:rsidR="000A5329" w:rsidRPr="002029AF">
        <w:t xml:space="preserve"> </w:t>
      </w:r>
      <w:r w:rsidRPr="002029AF">
        <w:t>of</w:t>
      </w:r>
      <w:r w:rsidR="000A5329" w:rsidRPr="002029AF">
        <w:t xml:space="preserve"> </w:t>
      </w:r>
      <w:r w:rsidRPr="002029AF">
        <w:t>the</w:t>
      </w:r>
      <w:r w:rsidR="000A5329" w:rsidRPr="002029AF">
        <w:t xml:space="preserve"> </w:t>
      </w:r>
      <w:r w:rsidRPr="002029AF">
        <w:t>management</w:t>
      </w:r>
      <w:r w:rsidR="000A5329" w:rsidRPr="002029AF">
        <w:t xml:space="preserve"> </w:t>
      </w:r>
      <w:r w:rsidRPr="002029AF">
        <w:t>of</w:t>
      </w:r>
      <w:r w:rsidR="000A5329" w:rsidRPr="002029AF">
        <w:t xml:space="preserve"> </w:t>
      </w:r>
      <w:r w:rsidRPr="002029AF">
        <w:t>the</w:t>
      </w:r>
      <w:r w:rsidR="000A5329" w:rsidRPr="002029AF">
        <w:t xml:space="preserve"> </w:t>
      </w:r>
      <w:r w:rsidRPr="002029AF">
        <w:t>public</w:t>
      </w:r>
      <w:r w:rsidR="000A5329" w:rsidRPr="002029AF">
        <w:t xml:space="preserve"> </w:t>
      </w:r>
      <w:r w:rsidRPr="002029AF">
        <w:t>services</w:t>
      </w:r>
      <w:r w:rsidR="000A5329" w:rsidRPr="002029AF">
        <w:t xml:space="preserve"> </w:t>
      </w:r>
      <w:r w:rsidRPr="002029AF">
        <w:t>provided</w:t>
      </w:r>
      <w:r w:rsidR="000A5329" w:rsidRPr="002029AF">
        <w:t xml:space="preserve"> </w:t>
      </w:r>
      <w:r w:rsidRPr="002029AF">
        <w:t>through</w:t>
      </w:r>
      <w:r w:rsidR="000A5329" w:rsidRPr="002029AF">
        <w:t xml:space="preserve"> </w:t>
      </w:r>
      <w:r w:rsidRPr="002029AF">
        <w:t>the</w:t>
      </w:r>
      <w:r w:rsidR="000A5329" w:rsidRPr="002029AF">
        <w:t xml:space="preserve"> </w:t>
      </w:r>
      <w:r w:rsidRPr="002029AF">
        <w:t>asset</w:t>
      </w:r>
      <w:r w:rsidR="000A5329" w:rsidRPr="002029AF">
        <w:t xml:space="preserve"> </w:t>
      </w:r>
      <w:r w:rsidRPr="002029AF">
        <w:t>and</w:t>
      </w:r>
      <w:r w:rsidR="000A5329" w:rsidRPr="002029AF">
        <w:t xml:space="preserve"> </w:t>
      </w:r>
      <w:r w:rsidRPr="002029AF">
        <w:t>does</w:t>
      </w:r>
      <w:r w:rsidR="000A5329" w:rsidRPr="002029AF">
        <w:t xml:space="preserve"> </w:t>
      </w:r>
      <w:r w:rsidRPr="002029AF">
        <w:t>not</w:t>
      </w:r>
      <w:r w:rsidR="000A5329" w:rsidRPr="002029AF">
        <w:t xml:space="preserve"> </w:t>
      </w:r>
      <w:r w:rsidRPr="002029AF">
        <w:t>act</w:t>
      </w:r>
      <w:r w:rsidR="000A5329" w:rsidRPr="002029AF">
        <w:t xml:space="preserve"> </w:t>
      </w:r>
      <w:r w:rsidRPr="002029AF">
        <w:t>merely</w:t>
      </w:r>
      <w:r w:rsidR="000A5329" w:rsidRPr="002029AF">
        <w:t xml:space="preserve"> </w:t>
      </w:r>
      <w:r w:rsidRPr="002029AF">
        <w:t>as</w:t>
      </w:r>
      <w:r w:rsidR="000A5329" w:rsidRPr="002029AF">
        <w:t xml:space="preserve"> </w:t>
      </w:r>
      <w:r w:rsidRPr="002029AF">
        <w:t>an</w:t>
      </w:r>
      <w:r w:rsidR="000A5329" w:rsidRPr="002029AF">
        <w:t xml:space="preserve"> </w:t>
      </w:r>
      <w:r w:rsidRPr="002029AF">
        <w:t>agent</w:t>
      </w:r>
      <w:r w:rsidR="000A5329" w:rsidRPr="002029AF">
        <w:t xml:space="preserve"> </w:t>
      </w:r>
      <w:r w:rsidRPr="002029AF">
        <w:t>on</w:t>
      </w:r>
      <w:r w:rsidR="000A5329" w:rsidRPr="002029AF">
        <w:t xml:space="preserve"> </w:t>
      </w:r>
      <w:r w:rsidRPr="002029AF">
        <w:t>behalf</w:t>
      </w:r>
      <w:r w:rsidR="000A5329" w:rsidRPr="002029AF">
        <w:t xml:space="preserve"> </w:t>
      </w:r>
      <w:r w:rsidRPr="002029AF">
        <w:t>of</w:t>
      </w:r>
      <w:r w:rsidR="000A5329" w:rsidRPr="002029AF">
        <w:t xml:space="preserve"> </w:t>
      </w:r>
      <w:r w:rsidRPr="002029AF">
        <w:t>the</w:t>
      </w:r>
      <w:r w:rsidR="000A5329" w:rsidRPr="002029AF">
        <w:t xml:space="preserve"> </w:t>
      </w:r>
      <w:r w:rsidRPr="002029AF">
        <w:t>grantor</w:t>
      </w:r>
    </w:p>
    <w:p w14:paraId="7B74CCF7" w14:textId="66817C52" w:rsidR="00087B91" w:rsidRPr="002029AF" w:rsidRDefault="00087B91" w:rsidP="00FF3CAB">
      <w:pPr>
        <w:pStyle w:val="ARfinnumberalpha1"/>
        <w:numPr>
          <w:ilvl w:val="0"/>
          <w:numId w:val="46"/>
        </w:numPr>
        <w:spacing w:line="180" w:lineRule="atLeast"/>
      </w:pPr>
      <w:r w:rsidRPr="002029AF">
        <w:t>the</w:t>
      </w:r>
      <w:r w:rsidR="000A5329" w:rsidRPr="002029AF">
        <w:t xml:space="preserve"> </w:t>
      </w:r>
      <w:r w:rsidRPr="002029AF">
        <w:t>operator</w:t>
      </w:r>
      <w:r w:rsidR="000A5329" w:rsidRPr="002029AF">
        <w:t xml:space="preserve"> </w:t>
      </w:r>
      <w:r w:rsidRPr="002029AF">
        <w:t>is</w:t>
      </w:r>
      <w:r w:rsidR="000A5329" w:rsidRPr="002029AF">
        <w:t xml:space="preserve"> </w:t>
      </w:r>
      <w:r w:rsidRPr="002029AF">
        <w:t>compensated</w:t>
      </w:r>
      <w:r w:rsidR="000A5329" w:rsidRPr="002029AF">
        <w:t xml:space="preserve"> </w:t>
      </w:r>
      <w:r w:rsidRPr="002029AF">
        <w:t>for</w:t>
      </w:r>
      <w:r w:rsidR="000A5329" w:rsidRPr="002029AF">
        <w:t xml:space="preserve"> </w:t>
      </w:r>
      <w:r w:rsidRPr="002029AF">
        <w:t>its</w:t>
      </w:r>
      <w:r w:rsidR="000A5329" w:rsidRPr="002029AF">
        <w:t xml:space="preserve"> </w:t>
      </w:r>
      <w:r w:rsidRPr="002029AF">
        <w:t>services</w:t>
      </w:r>
      <w:r w:rsidR="000A5329" w:rsidRPr="002029AF">
        <w:t xml:space="preserve"> </w:t>
      </w:r>
      <w:r w:rsidRPr="002029AF">
        <w:t>over</w:t>
      </w:r>
      <w:r w:rsidR="000A5329" w:rsidRPr="002029AF">
        <w:t xml:space="preserve"> </w:t>
      </w:r>
      <w:r w:rsidRPr="002029AF">
        <w:t>the</w:t>
      </w:r>
      <w:r w:rsidR="000A5329" w:rsidRPr="002029AF">
        <w:t xml:space="preserve"> </w:t>
      </w:r>
      <w:r w:rsidRPr="002029AF">
        <w:t>period</w:t>
      </w:r>
      <w:r w:rsidR="000A5329" w:rsidRPr="002029AF">
        <w:t xml:space="preserve"> </w:t>
      </w:r>
      <w:r w:rsidRPr="002029AF">
        <w:t>of</w:t>
      </w:r>
      <w:r w:rsidR="000A5329" w:rsidRPr="002029AF">
        <w:t xml:space="preserve"> </w:t>
      </w:r>
      <w:r w:rsidRPr="002029AF">
        <w:t>the</w:t>
      </w:r>
      <w:r w:rsidR="000A5329" w:rsidRPr="002029AF">
        <w:t xml:space="preserve"> </w:t>
      </w:r>
      <w:r w:rsidRPr="002029AF">
        <w:t>service</w:t>
      </w:r>
      <w:r w:rsidR="000A5329" w:rsidRPr="002029AF">
        <w:t xml:space="preserve"> </w:t>
      </w:r>
      <w:r w:rsidRPr="002029AF">
        <w:t>concession</w:t>
      </w:r>
      <w:r w:rsidR="000A5329" w:rsidRPr="002029AF">
        <w:t xml:space="preserve"> </w:t>
      </w:r>
      <w:r w:rsidRPr="002029AF">
        <w:t>arrangement.</w:t>
      </w:r>
    </w:p>
    <w:p w14:paraId="4AE82208" w14:textId="65A6C274" w:rsidR="00087B91" w:rsidRPr="002029AF" w:rsidRDefault="00087B91" w:rsidP="00B12841">
      <w:pPr>
        <w:pStyle w:val="ARfinbody"/>
        <w:spacing w:line="180" w:lineRule="atLeast"/>
      </w:pPr>
      <w:r w:rsidRPr="002029AF">
        <w:rPr>
          <w:rStyle w:val="Strong"/>
        </w:rPr>
        <w:t>Transactions</w:t>
      </w:r>
      <w:r w:rsidR="000A5329" w:rsidRPr="002029AF">
        <w:t xml:space="preserve"> </w:t>
      </w:r>
      <w:r w:rsidRPr="002029AF">
        <w:t>are</w:t>
      </w:r>
      <w:r w:rsidR="000A5329" w:rsidRPr="002029AF">
        <w:t xml:space="preserve"> </w:t>
      </w:r>
      <w:r w:rsidRPr="002029AF">
        <w:t>those</w:t>
      </w:r>
      <w:r w:rsidR="000A5329" w:rsidRPr="002029AF">
        <w:t xml:space="preserve"> </w:t>
      </w:r>
      <w:r w:rsidRPr="002029AF">
        <w:t>economic</w:t>
      </w:r>
      <w:r w:rsidR="000A5329" w:rsidRPr="002029AF">
        <w:t xml:space="preserve"> </w:t>
      </w:r>
      <w:r w:rsidRPr="002029AF">
        <w:t>flows</w:t>
      </w:r>
      <w:r w:rsidR="000A5329" w:rsidRPr="002029AF">
        <w:t xml:space="preserve"> </w:t>
      </w:r>
      <w:r w:rsidRPr="002029AF">
        <w:t>that</w:t>
      </w:r>
      <w:r w:rsidR="000A5329" w:rsidRPr="002029AF">
        <w:t xml:space="preserve"> </w:t>
      </w:r>
      <w:r w:rsidRPr="002029AF">
        <w:t>are</w:t>
      </w:r>
      <w:r w:rsidR="000A5329" w:rsidRPr="002029AF">
        <w:t xml:space="preserve"> </w:t>
      </w:r>
      <w:r w:rsidRPr="002029AF">
        <w:t>considered</w:t>
      </w:r>
      <w:r w:rsidR="000A5329" w:rsidRPr="002029AF">
        <w:t xml:space="preserve"> </w:t>
      </w:r>
      <w:r w:rsidRPr="002029AF">
        <w:t>to</w:t>
      </w:r>
      <w:r w:rsidR="000A5329" w:rsidRPr="002029AF">
        <w:t xml:space="preserve"> </w:t>
      </w:r>
      <w:r w:rsidRPr="002029AF">
        <w:t>arise</w:t>
      </w:r>
      <w:r w:rsidR="000A5329" w:rsidRPr="002029AF">
        <w:t xml:space="preserve"> </w:t>
      </w:r>
      <w:r w:rsidRPr="002029AF">
        <w:t>as</w:t>
      </w:r>
      <w:r w:rsidR="000A5329" w:rsidRPr="002029AF">
        <w:t xml:space="preserve"> </w:t>
      </w:r>
      <w:r w:rsidRPr="002029AF">
        <w:t>a</w:t>
      </w:r>
      <w:r w:rsidR="000A5329" w:rsidRPr="002029AF">
        <w:t xml:space="preserve"> </w:t>
      </w:r>
      <w:r w:rsidRPr="002029AF">
        <w:t>result</w:t>
      </w:r>
      <w:r w:rsidR="000A5329" w:rsidRPr="002029AF">
        <w:t xml:space="preserve"> </w:t>
      </w:r>
      <w:r w:rsidRPr="002029AF">
        <w:t>of</w:t>
      </w:r>
      <w:r w:rsidR="000A5329" w:rsidRPr="002029AF">
        <w:t xml:space="preserve"> </w:t>
      </w:r>
      <w:r w:rsidRPr="002029AF">
        <w:t>policy</w:t>
      </w:r>
      <w:r w:rsidR="000A5329" w:rsidRPr="002029AF">
        <w:t xml:space="preserve"> </w:t>
      </w:r>
      <w:r w:rsidRPr="002029AF">
        <w:t>decisions,</w:t>
      </w:r>
      <w:r w:rsidR="000A5329" w:rsidRPr="002029AF">
        <w:t xml:space="preserve"> </w:t>
      </w:r>
      <w:r w:rsidRPr="002029AF">
        <w:t>usually</w:t>
      </w:r>
      <w:r w:rsidR="000A5329" w:rsidRPr="002029AF">
        <w:t xml:space="preserve"> </w:t>
      </w:r>
      <w:r w:rsidRPr="002029AF">
        <w:t>an</w:t>
      </w:r>
      <w:r w:rsidR="000A5329" w:rsidRPr="002029AF">
        <w:t xml:space="preserve"> </w:t>
      </w:r>
      <w:r w:rsidRPr="002029AF">
        <w:t>interaction</w:t>
      </w:r>
      <w:r w:rsidR="000A5329" w:rsidRPr="002029AF">
        <w:t xml:space="preserve"> </w:t>
      </w:r>
      <w:r w:rsidRPr="002029AF">
        <w:t>between</w:t>
      </w:r>
      <w:r w:rsidR="000A5329" w:rsidRPr="002029AF">
        <w:t xml:space="preserve"> </w:t>
      </w:r>
      <w:r w:rsidRPr="002029AF">
        <w:t>two</w:t>
      </w:r>
      <w:r w:rsidR="000A5329" w:rsidRPr="002029AF">
        <w:t xml:space="preserve"> </w:t>
      </w:r>
      <w:r w:rsidRPr="002029AF">
        <w:t>entities</w:t>
      </w:r>
      <w:r w:rsidR="000A5329" w:rsidRPr="002029AF">
        <w:t xml:space="preserve"> </w:t>
      </w:r>
      <w:r w:rsidRPr="002029AF">
        <w:t>by</w:t>
      </w:r>
      <w:r w:rsidR="000A5329" w:rsidRPr="002029AF">
        <w:t xml:space="preserve"> </w:t>
      </w:r>
      <w:r w:rsidRPr="002029AF">
        <w:t>mutual</w:t>
      </w:r>
      <w:r w:rsidR="000A5329" w:rsidRPr="002029AF">
        <w:t xml:space="preserve"> </w:t>
      </w:r>
      <w:r w:rsidRPr="002029AF">
        <w:t>agreement.</w:t>
      </w:r>
      <w:r w:rsidR="000A5329" w:rsidRPr="002029AF">
        <w:t xml:space="preserve"> </w:t>
      </w:r>
      <w:r w:rsidRPr="002029AF">
        <w:t>They</w:t>
      </w:r>
      <w:r w:rsidR="000A5329" w:rsidRPr="002029AF">
        <w:t xml:space="preserve"> </w:t>
      </w:r>
      <w:r w:rsidRPr="002029AF">
        <w:t>also</w:t>
      </w:r>
      <w:r w:rsidR="000A5329" w:rsidRPr="002029AF">
        <w:t xml:space="preserve"> </w:t>
      </w:r>
      <w:r w:rsidRPr="002029AF">
        <w:t>include</w:t>
      </w:r>
      <w:r w:rsidR="000A5329" w:rsidRPr="002029AF">
        <w:t xml:space="preserve"> </w:t>
      </w:r>
      <w:r w:rsidRPr="002029AF">
        <w:t>flows</w:t>
      </w:r>
      <w:r w:rsidR="000A5329" w:rsidRPr="002029AF">
        <w:t xml:space="preserve"> </w:t>
      </w:r>
      <w:r w:rsidRPr="002029AF">
        <w:t>within</w:t>
      </w:r>
      <w:r w:rsidR="000A5329" w:rsidRPr="002029AF">
        <w:t xml:space="preserve"> </w:t>
      </w:r>
      <w:r w:rsidRPr="002029AF">
        <w:t>an</w:t>
      </w:r>
      <w:r w:rsidR="000A5329" w:rsidRPr="002029AF">
        <w:t xml:space="preserve"> </w:t>
      </w:r>
      <w:r w:rsidRPr="002029AF">
        <w:t>entity</w:t>
      </w:r>
      <w:r w:rsidR="000A5329" w:rsidRPr="002029AF">
        <w:t xml:space="preserve"> </w:t>
      </w:r>
      <w:r w:rsidRPr="002029AF">
        <w:t>such</w:t>
      </w:r>
      <w:r w:rsidR="000A5329" w:rsidRPr="002029AF">
        <w:t xml:space="preserve"> </w:t>
      </w:r>
      <w:r w:rsidRPr="002029AF">
        <w:t>as</w:t>
      </w:r>
      <w:r w:rsidR="000A5329" w:rsidRPr="002029AF">
        <w:t xml:space="preserve"> </w:t>
      </w:r>
      <w:r w:rsidRPr="002029AF">
        <w:t>depreciation</w:t>
      </w:r>
      <w:r w:rsidR="000A5329" w:rsidRPr="002029AF">
        <w:t xml:space="preserve"> </w:t>
      </w:r>
      <w:r w:rsidRPr="002029AF">
        <w:t>where</w:t>
      </w:r>
      <w:r w:rsidR="000A5329" w:rsidRPr="002029AF">
        <w:t xml:space="preserve"> </w:t>
      </w:r>
      <w:r w:rsidRPr="002029AF">
        <w:t>the</w:t>
      </w:r>
      <w:r w:rsidR="000A5329" w:rsidRPr="002029AF">
        <w:t xml:space="preserve"> </w:t>
      </w:r>
      <w:r w:rsidRPr="002029AF">
        <w:t>owner</w:t>
      </w:r>
      <w:r w:rsidR="000A5329" w:rsidRPr="002029AF">
        <w:t xml:space="preserve"> </w:t>
      </w:r>
      <w:r w:rsidRPr="002029AF">
        <w:t>is</w:t>
      </w:r>
      <w:r w:rsidR="000A5329" w:rsidRPr="002029AF">
        <w:t xml:space="preserve"> </w:t>
      </w:r>
      <w:r w:rsidRPr="002029AF">
        <w:t>simultaneously</w:t>
      </w:r>
      <w:r w:rsidR="000A5329" w:rsidRPr="002029AF">
        <w:t xml:space="preserve"> </w:t>
      </w:r>
      <w:r w:rsidRPr="002029AF">
        <w:t>acting</w:t>
      </w:r>
      <w:r w:rsidR="000A5329" w:rsidRPr="002029AF">
        <w:t xml:space="preserve"> </w:t>
      </w:r>
      <w:r w:rsidRPr="002029AF">
        <w:t>as</w:t>
      </w:r>
      <w:r w:rsidR="000A5329" w:rsidRPr="002029AF">
        <w:t xml:space="preserve"> </w:t>
      </w:r>
      <w:r w:rsidRPr="002029AF">
        <w:t>the</w:t>
      </w:r>
      <w:r w:rsidR="000A5329" w:rsidRPr="002029AF">
        <w:t xml:space="preserve"> </w:t>
      </w:r>
      <w:r w:rsidRPr="002029AF">
        <w:t>owner</w:t>
      </w:r>
      <w:r w:rsidR="000A5329" w:rsidRPr="002029AF">
        <w:t xml:space="preserve"> </w:t>
      </w:r>
      <w:r w:rsidRPr="002029AF">
        <w:t>of</w:t>
      </w:r>
      <w:r w:rsidR="000A5329" w:rsidRPr="002029AF">
        <w:t xml:space="preserve"> </w:t>
      </w:r>
      <w:r w:rsidRPr="002029AF">
        <w:t>the</w:t>
      </w:r>
      <w:r w:rsidR="000A5329" w:rsidRPr="002029AF">
        <w:t xml:space="preserve"> </w:t>
      </w:r>
      <w:r w:rsidRPr="002029AF">
        <w:t>depreciating</w:t>
      </w:r>
      <w:r w:rsidR="000A5329" w:rsidRPr="002029AF">
        <w:t xml:space="preserve"> </w:t>
      </w:r>
      <w:r w:rsidRPr="002029AF">
        <w:t>asset</w:t>
      </w:r>
      <w:r w:rsidR="000A5329" w:rsidRPr="002029AF">
        <w:t xml:space="preserve"> </w:t>
      </w:r>
      <w:r w:rsidRPr="002029AF">
        <w:t>and</w:t>
      </w:r>
      <w:r w:rsidR="000A5329" w:rsidRPr="002029AF">
        <w:t xml:space="preserve"> </w:t>
      </w:r>
      <w:r w:rsidRPr="002029AF">
        <w:t>as</w:t>
      </w:r>
      <w:r w:rsidR="000A5329" w:rsidRPr="002029AF">
        <w:t xml:space="preserve"> </w:t>
      </w:r>
      <w:r w:rsidRPr="002029AF">
        <w:t>the</w:t>
      </w:r>
      <w:r w:rsidR="000A5329" w:rsidRPr="002029AF">
        <w:t xml:space="preserve"> </w:t>
      </w:r>
      <w:r w:rsidRPr="002029AF">
        <w:t>consumer</w:t>
      </w:r>
      <w:r w:rsidR="000A5329" w:rsidRPr="002029AF">
        <w:t xml:space="preserve"> </w:t>
      </w:r>
      <w:r w:rsidRPr="002029AF">
        <w:t>of</w:t>
      </w:r>
      <w:r w:rsidR="000A5329" w:rsidRPr="002029AF">
        <w:t xml:space="preserve"> </w:t>
      </w:r>
      <w:r w:rsidRPr="002029AF">
        <w:t>the</w:t>
      </w:r>
      <w:r w:rsidR="000A5329" w:rsidRPr="002029AF">
        <w:t xml:space="preserve"> </w:t>
      </w:r>
      <w:r w:rsidRPr="002029AF">
        <w:t>service</w:t>
      </w:r>
      <w:r w:rsidR="000A5329" w:rsidRPr="002029AF">
        <w:t xml:space="preserve"> </w:t>
      </w:r>
      <w:r w:rsidRPr="002029AF">
        <w:t>provided</w:t>
      </w:r>
      <w:r w:rsidR="000A5329" w:rsidRPr="002029AF">
        <w:t xml:space="preserve"> </w:t>
      </w:r>
      <w:r w:rsidRPr="002029AF">
        <w:t>by</w:t>
      </w:r>
      <w:r w:rsidR="000A5329" w:rsidRPr="002029AF">
        <w:t xml:space="preserve"> </w:t>
      </w:r>
      <w:r w:rsidRPr="002029AF">
        <w:t>the</w:t>
      </w:r>
      <w:r w:rsidR="000A5329" w:rsidRPr="002029AF">
        <w:t xml:space="preserve"> </w:t>
      </w:r>
      <w:r w:rsidRPr="002029AF">
        <w:t>asset.</w:t>
      </w:r>
      <w:r w:rsidR="000A5329" w:rsidRPr="002029AF">
        <w:t xml:space="preserve"> </w:t>
      </w:r>
      <w:r w:rsidRPr="002029AF">
        <w:t>Taxation</w:t>
      </w:r>
      <w:r w:rsidR="000A5329" w:rsidRPr="002029AF">
        <w:t xml:space="preserve"> </w:t>
      </w:r>
      <w:r w:rsidRPr="002029AF">
        <w:t>is</w:t>
      </w:r>
      <w:r w:rsidR="000A5329" w:rsidRPr="002029AF">
        <w:t xml:space="preserve"> </w:t>
      </w:r>
      <w:r w:rsidRPr="002029AF">
        <w:t>regarded</w:t>
      </w:r>
      <w:r w:rsidR="000A5329" w:rsidRPr="002029AF">
        <w:t xml:space="preserve"> </w:t>
      </w:r>
      <w:r w:rsidRPr="002029AF">
        <w:t>as</w:t>
      </w:r>
      <w:r w:rsidR="000A5329" w:rsidRPr="002029AF">
        <w:t xml:space="preserve"> </w:t>
      </w:r>
      <w:r w:rsidRPr="002029AF">
        <w:t>mutually</w:t>
      </w:r>
      <w:r w:rsidR="000A5329" w:rsidRPr="002029AF">
        <w:t xml:space="preserve"> </w:t>
      </w:r>
      <w:r w:rsidRPr="002029AF">
        <w:t>agreed</w:t>
      </w:r>
      <w:r w:rsidR="000A5329" w:rsidRPr="002029AF">
        <w:t xml:space="preserve"> </w:t>
      </w:r>
      <w:r w:rsidRPr="002029AF">
        <w:t>interactions</w:t>
      </w:r>
      <w:r w:rsidR="000A5329" w:rsidRPr="002029AF">
        <w:t xml:space="preserve"> </w:t>
      </w:r>
      <w:r w:rsidRPr="002029AF">
        <w:t>between</w:t>
      </w:r>
      <w:r w:rsidR="000A5329" w:rsidRPr="002029AF">
        <w:t xml:space="preserve"> </w:t>
      </w:r>
      <w:r w:rsidRPr="002029AF">
        <w:t>the</w:t>
      </w:r>
      <w:r w:rsidR="000A5329" w:rsidRPr="002029AF">
        <w:t xml:space="preserve"> </w:t>
      </w:r>
      <w:r w:rsidRPr="002029AF">
        <w:t>government</w:t>
      </w:r>
      <w:r w:rsidR="000A5329" w:rsidRPr="002029AF">
        <w:t xml:space="preserve"> </w:t>
      </w:r>
      <w:r w:rsidRPr="002029AF">
        <w:t>and</w:t>
      </w:r>
      <w:r w:rsidR="000A5329" w:rsidRPr="002029AF">
        <w:t xml:space="preserve"> </w:t>
      </w:r>
      <w:r w:rsidRPr="002029AF">
        <w:t>taxpayers.</w:t>
      </w:r>
      <w:r w:rsidR="000A5329" w:rsidRPr="002029AF">
        <w:t xml:space="preserve"> </w:t>
      </w:r>
      <w:r w:rsidRPr="002029AF">
        <w:t>Transactions</w:t>
      </w:r>
      <w:r w:rsidR="000A5329" w:rsidRPr="002029AF">
        <w:t xml:space="preserve"> </w:t>
      </w:r>
      <w:r w:rsidRPr="002029AF">
        <w:t>can</w:t>
      </w:r>
      <w:r w:rsidR="000A5329" w:rsidRPr="002029AF">
        <w:t xml:space="preserve"> </w:t>
      </w:r>
      <w:r w:rsidRPr="002029AF">
        <w:t>be</w:t>
      </w:r>
      <w:r w:rsidR="000A5329" w:rsidRPr="002029AF">
        <w:t xml:space="preserve"> </w:t>
      </w:r>
      <w:r w:rsidRPr="002029AF">
        <w:t>in</w:t>
      </w:r>
      <w:r w:rsidR="000A5329" w:rsidRPr="002029AF">
        <w:t xml:space="preserve"> </w:t>
      </w:r>
      <w:r w:rsidRPr="002029AF">
        <w:t>kind</w:t>
      </w:r>
      <w:r w:rsidR="000A5329" w:rsidRPr="002029AF">
        <w:t xml:space="preserve"> </w:t>
      </w:r>
      <w:r w:rsidRPr="002029AF">
        <w:t>(for</w:t>
      </w:r>
      <w:r w:rsidR="000A5329" w:rsidRPr="002029AF">
        <w:t xml:space="preserve"> </w:t>
      </w:r>
      <w:r w:rsidRPr="002029AF">
        <w:t>example</w:t>
      </w:r>
      <w:r w:rsidR="000A5329" w:rsidRPr="002029AF">
        <w:t xml:space="preserve"> </w:t>
      </w:r>
      <w:r w:rsidRPr="002029AF">
        <w:t>assets</w:t>
      </w:r>
      <w:r w:rsidR="000A5329" w:rsidRPr="002029AF">
        <w:t xml:space="preserve"> </w:t>
      </w:r>
      <w:r w:rsidRPr="002029AF">
        <w:t>provided/given</w:t>
      </w:r>
      <w:r w:rsidR="000A5329" w:rsidRPr="002029AF">
        <w:t xml:space="preserve"> </w:t>
      </w:r>
      <w:r w:rsidRPr="002029AF">
        <w:t>free</w:t>
      </w:r>
      <w:r w:rsidR="000A5329" w:rsidRPr="002029AF">
        <w:t xml:space="preserve"> </w:t>
      </w:r>
      <w:r w:rsidRPr="002029AF">
        <w:t>of</w:t>
      </w:r>
      <w:r w:rsidR="000A5329" w:rsidRPr="002029AF">
        <w:t xml:space="preserve"> </w:t>
      </w:r>
      <w:r w:rsidRPr="002029AF">
        <w:t>charge</w:t>
      </w:r>
      <w:r w:rsidR="000A5329" w:rsidRPr="002029AF">
        <w:t xml:space="preserve"> </w:t>
      </w:r>
      <w:r w:rsidRPr="002029AF">
        <w:t>or</w:t>
      </w:r>
      <w:r w:rsidR="000A5329" w:rsidRPr="002029AF">
        <w:t xml:space="preserve"> </w:t>
      </w:r>
      <w:r w:rsidRPr="002029AF">
        <w:t>for</w:t>
      </w:r>
      <w:r w:rsidR="000A5329" w:rsidRPr="002029AF">
        <w:t xml:space="preserve"> </w:t>
      </w:r>
      <w:r w:rsidRPr="002029AF">
        <w:t>nominal</w:t>
      </w:r>
      <w:r w:rsidR="000A5329" w:rsidRPr="002029AF">
        <w:t xml:space="preserve"> </w:t>
      </w:r>
      <w:r w:rsidRPr="002029AF">
        <w:t>consideration)</w:t>
      </w:r>
      <w:r w:rsidR="000A5329" w:rsidRPr="002029AF">
        <w:t xml:space="preserve"> </w:t>
      </w:r>
      <w:r w:rsidRPr="002029AF">
        <w:t>or</w:t>
      </w:r>
      <w:r w:rsidR="000A5329" w:rsidRPr="002029AF">
        <w:t xml:space="preserve"> </w:t>
      </w:r>
      <w:r w:rsidRPr="002029AF">
        <w:t>where</w:t>
      </w:r>
      <w:r w:rsidR="000A5329" w:rsidRPr="002029AF">
        <w:t xml:space="preserve"> </w:t>
      </w:r>
      <w:r w:rsidRPr="002029AF">
        <w:t>the</w:t>
      </w:r>
      <w:r w:rsidR="000A5329" w:rsidRPr="002029AF">
        <w:t xml:space="preserve"> </w:t>
      </w:r>
      <w:r w:rsidRPr="002029AF">
        <w:t>final</w:t>
      </w:r>
      <w:r w:rsidR="000A5329" w:rsidRPr="002029AF">
        <w:t xml:space="preserve"> </w:t>
      </w:r>
      <w:r w:rsidRPr="002029AF">
        <w:t>consideration</w:t>
      </w:r>
      <w:r w:rsidR="000A5329" w:rsidRPr="002029AF">
        <w:t xml:space="preserve"> </w:t>
      </w:r>
      <w:r w:rsidRPr="002029AF">
        <w:t>is</w:t>
      </w:r>
      <w:r w:rsidR="000A5329" w:rsidRPr="002029AF">
        <w:t xml:space="preserve"> </w:t>
      </w:r>
      <w:r w:rsidRPr="002029AF">
        <w:t>cash.</w:t>
      </w:r>
      <w:r w:rsidR="000A5329" w:rsidRPr="002029AF">
        <w:t xml:space="preserve"> </w:t>
      </w:r>
      <w:r w:rsidRPr="002029AF">
        <w:t>In</w:t>
      </w:r>
      <w:r w:rsidR="000A5329" w:rsidRPr="002029AF">
        <w:t xml:space="preserve"> </w:t>
      </w:r>
      <w:r w:rsidRPr="002029AF">
        <w:t>simple</w:t>
      </w:r>
      <w:r w:rsidR="000A5329" w:rsidRPr="002029AF">
        <w:t xml:space="preserve"> </w:t>
      </w:r>
      <w:r w:rsidRPr="002029AF">
        <w:t>terms,</w:t>
      </w:r>
      <w:r w:rsidR="000A5329" w:rsidRPr="002029AF">
        <w:t xml:space="preserve"> </w:t>
      </w:r>
      <w:r w:rsidRPr="002029AF">
        <w:t>transactions</w:t>
      </w:r>
      <w:r w:rsidR="000A5329" w:rsidRPr="002029AF">
        <w:t xml:space="preserve"> </w:t>
      </w:r>
      <w:r w:rsidRPr="002029AF">
        <w:t>arise</w:t>
      </w:r>
      <w:r w:rsidR="000A5329" w:rsidRPr="002029AF">
        <w:t xml:space="preserve"> </w:t>
      </w:r>
      <w:r w:rsidRPr="002029AF">
        <w:t>from</w:t>
      </w:r>
      <w:r w:rsidR="000A5329" w:rsidRPr="002029AF">
        <w:t xml:space="preserve"> </w:t>
      </w:r>
      <w:r w:rsidRPr="002029AF">
        <w:t>the</w:t>
      </w:r>
      <w:r w:rsidR="000A5329" w:rsidRPr="002029AF">
        <w:t xml:space="preserve"> </w:t>
      </w:r>
      <w:r w:rsidRPr="002029AF">
        <w:t>policy</w:t>
      </w:r>
      <w:r w:rsidR="000A5329" w:rsidRPr="002029AF">
        <w:t xml:space="preserve"> </w:t>
      </w:r>
      <w:r w:rsidRPr="002029AF">
        <w:t>decisions</w:t>
      </w:r>
      <w:r w:rsidR="000A5329" w:rsidRPr="002029AF">
        <w:t xml:space="preserve"> </w:t>
      </w:r>
      <w:r w:rsidRPr="002029AF">
        <w:t>of</w:t>
      </w:r>
      <w:r w:rsidR="000A5329" w:rsidRPr="002029AF">
        <w:t xml:space="preserve"> </w:t>
      </w:r>
      <w:r w:rsidRPr="002029AF">
        <w:t>the</w:t>
      </w:r>
      <w:r w:rsidR="000A5329" w:rsidRPr="002029AF">
        <w:t xml:space="preserve"> </w:t>
      </w:r>
      <w:r w:rsidRPr="002029AF">
        <w:t>government.</w:t>
      </w:r>
    </w:p>
    <w:p w14:paraId="466E61F3" w14:textId="6F12AF53" w:rsidR="00087B91" w:rsidRPr="002029AF" w:rsidRDefault="00087B91" w:rsidP="00087B91">
      <w:pPr>
        <w:pStyle w:val="Heading4"/>
      </w:pPr>
      <w:bookmarkStart w:id="411" w:name="_Toc39242180"/>
      <w:r w:rsidRPr="002029AF">
        <w:lastRenderedPageBreak/>
        <w:t>9.15</w:t>
      </w:r>
      <w:r w:rsidR="000A5329" w:rsidRPr="002029AF">
        <w:t xml:space="preserve"> </w:t>
      </w:r>
      <w:r w:rsidRPr="002029AF">
        <w:t>Style</w:t>
      </w:r>
      <w:r w:rsidR="000A5329" w:rsidRPr="002029AF">
        <w:t xml:space="preserve"> </w:t>
      </w:r>
      <w:r w:rsidRPr="002029AF">
        <w:t>conventions</w:t>
      </w:r>
      <w:bookmarkEnd w:id="411"/>
    </w:p>
    <w:p w14:paraId="13B08757" w14:textId="4B2FD34E" w:rsidR="00087B91" w:rsidRPr="002029AF" w:rsidRDefault="00087B91" w:rsidP="00087B91">
      <w:pPr>
        <w:pStyle w:val="Heading5"/>
      </w:pPr>
      <w:bookmarkStart w:id="412" w:name="_Ref52454438"/>
      <w:r w:rsidRPr="002029AF">
        <w:t>Style</w:t>
      </w:r>
      <w:r w:rsidR="000A5329" w:rsidRPr="002029AF">
        <w:t xml:space="preserve"> </w:t>
      </w:r>
      <w:r w:rsidRPr="002029AF">
        <w:t>conventions</w:t>
      </w:r>
      <w:bookmarkEnd w:id="412"/>
    </w:p>
    <w:p w14:paraId="7644C2D5" w14:textId="5718E8F7" w:rsidR="00087B91" w:rsidRPr="002029AF" w:rsidRDefault="00087B91" w:rsidP="00087B91">
      <w:pPr>
        <w:pStyle w:val="ARfinbody"/>
      </w:pPr>
      <w:r w:rsidRPr="002029AF">
        <w:t>Figures</w:t>
      </w:r>
      <w:r w:rsidR="000A5329" w:rsidRPr="002029AF">
        <w:t xml:space="preserve"> </w:t>
      </w:r>
      <w:r w:rsidRPr="002029AF">
        <w:t>in</w:t>
      </w:r>
      <w:r w:rsidR="000A5329" w:rsidRPr="002029AF">
        <w:t xml:space="preserve"> </w:t>
      </w:r>
      <w:r w:rsidRPr="002029AF">
        <w:t>the</w:t>
      </w:r>
      <w:r w:rsidR="000A5329" w:rsidRPr="002029AF">
        <w:t xml:space="preserve"> </w:t>
      </w:r>
      <w:r w:rsidRPr="002029AF">
        <w:t>tables</w:t>
      </w:r>
      <w:r w:rsidR="000A5329" w:rsidRPr="002029AF">
        <w:t xml:space="preserve"> </w:t>
      </w:r>
      <w:r w:rsidRPr="002029AF">
        <w:t>and</w:t>
      </w:r>
      <w:r w:rsidR="000A5329" w:rsidRPr="002029AF">
        <w:t xml:space="preserve"> </w:t>
      </w:r>
      <w:r w:rsidRPr="002029AF">
        <w:t>in</w:t>
      </w:r>
      <w:r w:rsidR="000A5329" w:rsidRPr="002029AF">
        <w:t xml:space="preserve"> </w:t>
      </w:r>
      <w:r w:rsidRPr="002029AF">
        <w:t>the</w:t>
      </w:r>
      <w:r w:rsidR="000A5329" w:rsidRPr="002029AF">
        <w:t xml:space="preserve"> </w:t>
      </w:r>
      <w:r w:rsidRPr="002029AF">
        <w:t>text</w:t>
      </w:r>
      <w:r w:rsidR="000A5329" w:rsidRPr="002029AF">
        <w:t xml:space="preserve"> </w:t>
      </w:r>
      <w:r w:rsidRPr="002029AF">
        <w:t>have</w:t>
      </w:r>
      <w:r w:rsidR="000A5329" w:rsidRPr="002029AF">
        <w:t xml:space="preserve"> </w:t>
      </w:r>
      <w:r w:rsidRPr="002029AF">
        <w:t>been</w:t>
      </w:r>
      <w:r w:rsidR="000A5329" w:rsidRPr="002029AF">
        <w:t xml:space="preserve"> </w:t>
      </w:r>
      <w:r w:rsidRPr="002029AF">
        <w:t>rounded.</w:t>
      </w:r>
      <w:r w:rsidR="000A5329" w:rsidRPr="002029AF">
        <w:t xml:space="preserve"> </w:t>
      </w:r>
      <w:r w:rsidRPr="002029AF">
        <w:t>Discrepancies</w:t>
      </w:r>
      <w:r w:rsidR="000A5329" w:rsidRPr="002029AF">
        <w:t xml:space="preserve"> </w:t>
      </w:r>
      <w:r w:rsidRPr="002029AF">
        <w:t>in</w:t>
      </w:r>
      <w:r w:rsidR="000A5329" w:rsidRPr="002029AF">
        <w:t xml:space="preserve"> </w:t>
      </w:r>
      <w:r w:rsidRPr="002029AF">
        <w:t>tables</w:t>
      </w:r>
      <w:r w:rsidR="000A5329" w:rsidRPr="002029AF">
        <w:t xml:space="preserve"> </w:t>
      </w:r>
      <w:r w:rsidRPr="002029AF">
        <w:t>between</w:t>
      </w:r>
      <w:r w:rsidR="000A5329" w:rsidRPr="002029AF">
        <w:t xml:space="preserve"> </w:t>
      </w:r>
      <w:r w:rsidRPr="002029AF">
        <w:t>totals</w:t>
      </w:r>
      <w:r w:rsidR="000A5329" w:rsidRPr="002029AF">
        <w:t xml:space="preserve"> </w:t>
      </w:r>
      <w:r w:rsidRPr="002029AF">
        <w:t>and</w:t>
      </w:r>
      <w:r w:rsidR="000A5329" w:rsidRPr="002029AF">
        <w:t xml:space="preserve"> </w:t>
      </w:r>
      <w:r w:rsidRPr="002029AF">
        <w:t>sums</w:t>
      </w:r>
      <w:r w:rsidR="000A5329" w:rsidRPr="002029AF">
        <w:t xml:space="preserve"> </w:t>
      </w:r>
      <w:r w:rsidRPr="002029AF">
        <w:t>of</w:t>
      </w:r>
      <w:r w:rsidR="000A5329" w:rsidRPr="002029AF">
        <w:t xml:space="preserve"> </w:t>
      </w:r>
      <w:r w:rsidRPr="002029AF">
        <w:t>components</w:t>
      </w:r>
      <w:r w:rsidR="000A5329" w:rsidRPr="002029AF">
        <w:t xml:space="preserve"> </w:t>
      </w:r>
      <w:r w:rsidRPr="002029AF">
        <w:t>reflect</w:t>
      </w:r>
      <w:r w:rsidR="000A5329" w:rsidRPr="002029AF">
        <w:t xml:space="preserve"> </w:t>
      </w:r>
      <w:r w:rsidRPr="002029AF">
        <w:t>rounding.</w:t>
      </w:r>
      <w:r w:rsidR="000A5329" w:rsidRPr="002029AF">
        <w:t xml:space="preserve"> </w:t>
      </w:r>
      <w:r w:rsidRPr="002029AF">
        <w:t>Percentage</w:t>
      </w:r>
      <w:r w:rsidR="000A5329" w:rsidRPr="002029AF">
        <w:t xml:space="preserve"> </w:t>
      </w:r>
      <w:r w:rsidRPr="002029AF">
        <w:t>variations</w:t>
      </w:r>
      <w:r w:rsidR="000A5329" w:rsidRPr="002029AF">
        <w:t xml:space="preserve"> </w:t>
      </w:r>
      <w:r w:rsidRPr="002029AF">
        <w:t>in</w:t>
      </w:r>
      <w:r w:rsidR="000A5329" w:rsidRPr="002029AF">
        <w:t xml:space="preserve"> </w:t>
      </w:r>
      <w:r w:rsidRPr="002029AF">
        <w:t>all</w:t>
      </w:r>
      <w:r w:rsidR="000A5329" w:rsidRPr="002029AF">
        <w:t xml:space="preserve"> </w:t>
      </w:r>
      <w:r w:rsidRPr="002029AF">
        <w:t>tables</w:t>
      </w:r>
      <w:r w:rsidR="000A5329" w:rsidRPr="002029AF">
        <w:t xml:space="preserve"> </w:t>
      </w:r>
      <w:r w:rsidRPr="002029AF">
        <w:t>are</w:t>
      </w:r>
      <w:r w:rsidR="000A5329" w:rsidRPr="002029AF">
        <w:t xml:space="preserve"> </w:t>
      </w:r>
      <w:r w:rsidRPr="002029AF">
        <w:t>based</w:t>
      </w:r>
      <w:r w:rsidR="000A5329" w:rsidRPr="002029AF">
        <w:t xml:space="preserve"> </w:t>
      </w:r>
      <w:r w:rsidRPr="002029AF">
        <w:t>on</w:t>
      </w:r>
      <w:r w:rsidR="000A5329" w:rsidRPr="002029AF">
        <w:t xml:space="preserve"> </w:t>
      </w:r>
      <w:r w:rsidRPr="002029AF">
        <w:t>the</w:t>
      </w:r>
      <w:r w:rsidR="000A5329" w:rsidRPr="002029AF">
        <w:t xml:space="preserve"> </w:t>
      </w:r>
      <w:r w:rsidRPr="002029AF">
        <w:t>underlying</w:t>
      </w:r>
      <w:r w:rsidR="000A5329" w:rsidRPr="002029AF">
        <w:t xml:space="preserve"> </w:t>
      </w:r>
      <w:r w:rsidRPr="002029AF">
        <w:t>unrounded</w:t>
      </w:r>
      <w:r w:rsidR="000A5329" w:rsidRPr="002029AF">
        <w:t xml:space="preserve"> </w:t>
      </w:r>
      <w:r w:rsidRPr="002029AF">
        <w:t>amounts.</w:t>
      </w:r>
    </w:p>
    <w:p w14:paraId="46F3685A" w14:textId="6894A06C" w:rsidR="00087B91" w:rsidRPr="002029AF" w:rsidRDefault="00087B91" w:rsidP="00087B91">
      <w:pPr>
        <w:pStyle w:val="ARfinbody"/>
      </w:pPr>
      <w:r w:rsidRPr="002029AF">
        <w:t>The</w:t>
      </w:r>
      <w:r w:rsidR="000A5329" w:rsidRPr="002029AF">
        <w:t xml:space="preserve"> </w:t>
      </w:r>
      <w:r w:rsidRPr="002029AF">
        <w:t>notation</w:t>
      </w:r>
      <w:r w:rsidR="000A5329" w:rsidRPr="002029AF">
        <w:t xml:space="preserve"> </w:t>
      </w:r>
      <w:r w:rsidRPr="002029AF">
        <w:t>used</w:t>
      </w:r>
      <w:r w:rsidR="000A5329" w:rsidRPr="002029AF">
        <w:t xml:space="preserve"> </w:t>
      </w:r>
      <w:r w:rsidRPr="002029AF">
        <w:t>in</w:t>
      </w:r>
      <w:r w:rsidR="000A5329" w:rsidRPr="002029AF">
        <w:t xml:space="preserve"> </w:t>
      </w:r>
      <w:r w:rsidRPr="002029AF">
        <w:t>the</w:t>
      </w:r>
      <w:r w:rsidR="000A5329" w:rsidRPr="002029AF">
        <w:t xml:space="preserve"> </w:t>
      </w:r>
      <w:r w:rsidRPr="002029AF">
        <w:t>tables</w:t>
      </w:r>
      <w:r w:rsidR="000A5329" w:rsidRPr="002029AF">
        <w:t xml:space="preserve"> </w:t>
      </w:r>
      <w:r w:rsidRPr="002029AF">
        <w:t>is</w:t>
      </w:r>
      <w:r w:rsidR="000A5329" w:rsidRPr="002029AF">
        <w:t xml:space="preserve"> </w:t>
      </w:r>
      <w:r w:rsidRPr="002029AF">
        <w:t>as</w:t>
      </w:r>
      <w:r w:rsidR="000A5329" w:rsidRPr="002029AF">
        <w:t xml:space="preserve"> </w:t>
      </w:r>
      <w:r w:rsidRPr="002029AF">
        <w:t>follows:</w:t>
      </w:r>
    </w:p>
    <w:p w14:paraId="02F73205" w14:textId="20B7CAFD" w:rsidR="00087B91" w:rsidRPr="002029AF" w:rsidRDefault="00087B91" w:rsidP="00087B91">
      <w:pPr>
        <w:pStyle w:val="ARfinbullet1"/>
      </w:pPr>
      <w:r w:rsidRPr="002029AF">
        <w:t>zero,</w:t>
      </w:r>
      <w:r w:rsidR="000A5329" w:rsidRPr="002029AF">
        <w:t xml:space="preserve"> </w:t>
      </w:r>
      <w:r w:rsidRPr="002029AF">
        <w:t>or</w:t>
      </w:r>
      <w:r w:rsidR="000A5329" w:rsidRPr="002029AF">
        <w:t xml:space="preserve"> </w:t>
      </w:r>
      <w:r w:rsidRPr="002029AF">
        <w:t>rounded</w:t>
      </w:r>
      <w:r w:rsidR="000A5329" w:rsidRPr="002029AF">
        <w:t xml:space="preserve"> </w:t>
      </w:r>
      <w:r w:rsidRPr="002029AF">
        <w:t>to</w:t>
      </w:r>
      <w:r w:rsidR="000A5329" w:rsidRPr="002029AF">
        <w:t xml:space="preserve"> </w:t>
      </w:r>
      <w:r w:rsidRPr="002029AF">
        <w:t>zero</w:t>
      </w:r>
    </w:p>
    <w:p w14:paraId="60469DD1" w14:textId="050B25A0" w:rsidR="00087B91" w:rsidRPr="002029AF" w:rsidRDefault="00087B91" w:rsidP="00087B91">
      <w:pPr>
        <w:pStyle w:val="ARfinbullet1"/>
      </w:pPr>
      <w:r w:rsidRPr="002029AF">
        <w:t>(xxx.x)</w:t>
      </w:r>
      <w:r w:rsidR="000A5329" w:rsidRPr="002029AF">
        <w:t xml:space="preserve"> </w:t>
      </w:r>
      <w:r w:rsidRPr="002029AF">
        <w:t>negative</w:t>
      </w:r>
      <w:r w:rsidR="000A5329" w:rsidRPr="002029AF">
        <w:t xml:space="preserve"> </w:t>
      </w:r>
      <w:r w:rsidRPr="002029AF">
        <w:t>numbers</w:t>
      </w:r>
    </w:p>
    <w:p w14:paraId="10213705" w14:textId="1E8CED88" w:rsidR="00087B91" w:rsidRPr="002029AF" w:rsidRDefault="00087B91" w:rsidP="00087B91">
      <w:pPr>
        <w:pStyle w:val="ARfinbullet1"/>
      </w:pPr>
      <w:r w:rsidRPr="002029AF">
        <w:t>20xx</w:t>
      </w:r>
      <w:r w:rsidR="000A5329" w:rsidRPr="002029AF">
        <w:t xml:space="preserve"> </w:t>
      </w:r>
      <w:r w:rsidRPr="002029AF">
        <w:t>year</w:t>
      </w:r>
      <w:r w:rsidR="000A5329" w:rsidRPr="002029AF">
        <w:t xml:space="preserve"> </w:t>
      </w:r>
      <w:r w:rsidRPr="002029AF">
        <w:t>end</w:t>
      </w:r>
    </w:p>
    <w:p w14:paraId="654867FF" w14:textId="416CFEAC" w:rsidR="00087B91" w:rsidRPr="002029AF" w:rsidRDefault="00087B91" w:rsidP="00087B91">
      <w:pPr>
        <w:pStyle w:val="ARfinbullet1"/>
      </w:pPr>
      <w:r w:rsidRPr="002029AF">
        <w:t>20xx–xx</w:t>
      </w:r>
      <w:r w:rsidR="000A5329" w:rsidRPr="002029AF">
        <w:t xml:space="preserve"> </w:t>
      </w:r>
      <w:r w:rsidRPr="002029AF">
        <w:t>year</w:t>
      </w:r>
      <w:r w:rsidR="000A5329" w:rsidRPr="002029AF">
        <w:t xml:space="preserve"> </w:t>
      </w:r>
      <w:r w:rsidRPr="002029AF">
        <w:t>period</w:t>
      </w:r>
      <w:r w:rsidR="006676ED">
        <w:t>.</w:t>
      </w:r>
    </w:p>
    <w:p w14:paraId="25CA8FC9" w14:textId="460C7B4D" w:rsidR="00087B91" w:rsidRPr="002029AF" w:rsidRDefault="00087B91" w:rsidP="00087B91">
      <w:pPr>
        <w:pStyle w:val="ARfinbody"/>
      </w:pPr>
      <w:r w:rsidRPr="002029AF">
        <w:t>The</w:t>
      </w:r>
      <w:r w:rsidR="000A5329" w:rsidRPr="002029AF">
        <w:t xml:space="preserve"> </w:t>
      </w:r>
      <w:r w:rsidRPr="002029AF">
        <w:t>financial</w:t>
      </w:r>
      <w:r w:rsidR="000A5329" w:rsidRPr="002029AF">
        <w:t xml:space="preserve"> </w:t>
      </w:r>
      <w:r w:rsidRPr="002029AF">
        <w:t>statements</w:t>
      </w:r>
      <w:r w:rsidR="000A5329" w:rsidRPr="002029AF">
        <w:t xml:space="preserve"> </w:t>
      </w:r>
      <w:r w:rsidRPr="002029AF">
        <w:t>and</w:t>
      </w:r>
      <w:r w:rsidR="000A5329" w:rsidRPr="002029AF">
        <w:t xml:space="preserve"> </w:t>
      </w:r>
      <w:r w:rsidRPr="002029AF">
        <w:t>notes</w:t>
      </w:r>
      <w:r w:rsidR="000A5329" w:rsidRPr="002029AF">
        <w:t xml:space="preserve"> </w:t>
      </w:r>
      <w:r w:rsidRPr="002029AF">
        <w:t>are</w:t>
      </w:r>
      <w:r w:rsidR="000A5329" w:rsidRPr="002029AF">
        <w:t xml:space="preserve"> </w:t>
      </w:r>
      <w:r w:rsidRPr="002029AF">
        <w:t>presented</w:t>
      </w:r>
      <w:r w:rsidR="000A5329" w:rsidRPr="002029AF">
        <w:t xml:space="preserve"> </w:t>
      </w:r>
      <w:r w:rsidRPr="002029AF">
        <w:t>based</w:t>
      </w:r>
      <w:r w:rsidR="000A5329" w:rsidRPr="002029AF">
        <w:t xml:space="preserve"> </w:t>
      </w:r>
      <w:r w:rsidRPr="002029AF">
        <w:t>on</w:t>
      </w:r>
      <w:r w:rsidR="000A5329" w:rsidRPr="002029AF">
        <w:t xml:space="preserve"> </w:t>
      </w:r>
      <w:r w:rsidRPr="002029AF">
        <w:t>the</w:t>
      </w:r>
      <w:r w:rsidR="000A5329" w:rsidRPr="002029AF">
        <w:t xml:space="preserve"> </w:t>
      </w:r>
      <w:r w:rsidRPr="002029AF">
        <w:t>illustration</w:t>
      </w:r>
      <w:r w:rsidR="000A5329" w:rsidRPr="002029AF">
        <w:t xml:space="preserve"> </w:t>
      </w:r>
      <w:r w:rsidRPr="002029AF">
        <w:t>for</w:t>
      </w:r>
      <w:r w:rsidR="000A5329" w:rsidRPr="002029AF">
        <w:t xml:space="preserve"> </w:t>
      </w:r>
      <w:r w:rsidRPr="002029AF">
        <w:t>a</w:t>
      </w:r>
      <w:r w:rsidR="000A5329" w:rsidRPr="002029AF">
        <w:t xml:space="preserve"> </w:t>
      </w:r>
      <w:r w:rsidRPr="002029AF">
        <w:t>government</w:t>
      </w:r>
      <w:r w:rsidR="000A5329" w:rsidRPr="002029AF">
        <w:t xml:space="preserve"> </w:t>
      </w:r>
      <w:r w:rsidRPr="002029AF">
        <w:t>department</w:t>
      </w:r>
      <w:r w:rsidR="000A5329" w:rsidRPr="002029AF">
        <w:t xml:space="preserve"> </w:t>
      </w:r>
      <w:r w:rsidRPr="002029AF">
        <w:t>in</w:t>
      </w:r>
      <w:r w:rsidR="000A5329" w:rsidRPr="002029AF">
        <w:t xml:space="preserve"> </w:t>
      </w:r>
      <w:r w:rsidRPr="002029AF">
        <w:t>the</w:t>
      </w:r>
      <w:r w:rsidR="000A5329" w:rsidRPr="002029AF">
        <w:t xml:space="preserve"> </w:t>
      </w:r>
      <w:r w:rsidRPr="002029AF">
        <w:t>2019–20</w:t>
      </w:r>
      <w:r w:rsidR="000A5329" w:rsidRPr="002029AF">
        <w:t xml:space="preserve"> </w:t>
      </w:r>
      <w:r w:rsidRPr="002029AF">
        <w:t>model</w:t>
      </w:r>
      <w:r w:rsidR="000A5329" w:rsidRPr="002029AF">
        <w:t xml:space="preserve"> </w:t>
      </w:r>
      <w:r w:rsidRPr="002029AF">
        <w:t>report</w:t>
      </w:r>
      <w:r w:rsidR="000A5329" w:rsidRPr="002029AF">
        <w:t xml:space="preserve"> </w:t>
      </w:r>
      <w:r w:rsidRPr="002029AF">
        <w:t>for</w:t>
      </w:r>
      <w:r w:rsidR="00995257" w:rsidRPr="002029AF">
        <w:t> </w:t>
      </w:r>
      <w:r w:rsidRPr="002029AF">
        <w:t>Victorian</w:t>
      </w:r>
      <w:r w:rsidR="000A5329" w:rsidRPr="002029AF">
        <w:t xml:space="preserve"> </w:t>
      </w:r>
      <w:r w:rsidRPr="002029AF">
        <w:t>Government</w:t>
      </w:r>
      <w:r w:rsidR="000A5329" w:rsidRPr="002029AF">
        <w:t xml:space="preserve"> </w:t>
      </w:r>
      <w:r w:rsidRPr="002029AF">
        <w:t>departments.</w:t>
      </w:r>
      <w:r w:rsidR="000A5329" w:rsidRPr="002029AF">
        <w:t xml:space="preserve"> </w:t>
      </w:r>
      <w:r w:rsidRPr="002029AF">
        <w:t>The</w:t>
      </w:r>
      <w:r w:rsidR="000A5329" w:rsidRPr="002029AF">
        <w:t xml:space="preserve"> </w:t>
      </w:r>
      <w:r w:rsidRPr="002029AF">
        <w:t>presentation</w:t>
      </w:r>
      <w:r w:rsidR="000A5329" w:rsidRPr="002029AF">
        <w:t xml:space="preserve"> </w:t>
      </w:r>
      <w:r w:rsidRPr="002029AF">
        <w:t>of</w:t>
      </w:r>
      <w:r w:rsidR="000A5329" w:rsidRPr="002029AF">
        <w:t xml:space="preserve"> </w:t>
      </w:r>
      <w:r w:rsidRPr="002029AF">
        <w:t>other</w:t>
      </w:r>
      <w:r w:rsidR="000A5329" w:rsidRPr="002029AF">
        <w:t xml:space="preserve"> </w:t>
      </w:r>
      <w:r w:rsidRPr="002029AF">
        <w:t>disclosures</w:t>
      </w:r>
      <w:r w:rsidR="000A5329" w:rsidRPr="002029AF">
        <w:t xml:space="preserve"> </w:t>
      </w:r>
      <w:r w:rsidRPr="002029AF">
        <w:t>is</w:t>
      </w:r>
      <w:r w:rsidR="000A5329" w:rsidRPr="002029AF">
        <w:t xml:space="preserve"> </w:t>
      </w:r>
      <w:r w:rsidRPr="002029AF">
        <w:t>generally</w:t>
      </w:r>
      <w:r w:rsidR="000A5329" w:rsidRPr="002029AF">
        <w:t xml:space="preserve"> </w:t>
      </w:r>
      <w:r w:rsidRPr="002029AF">
        <w:t>consistent</w:t>
      </w:r>
      <w:r w:rsidR="000A5329" w:rsidRPr="002029AF">
        <w:t xml:space="preserve"> </w:t>
      </w:r>
      <w:r w:rsidRPr="002029AF">
        <w:t>with</w:t>
      </w:r>
      <w:r w:rsidR="000A5329" w:rsidRPr="002029AF">
        <w:t xml:space="preserve"> </w:t>
      </w:r>
      <w:r w:rsidRPr="002029AF">
        <w:t>the</w:t>
      </w:r>
      <w:r w:rsidR="000A5329" w:rsidRPr="002029AF">
        <w:t xml:space="preserve"> </w:t>
      </w:r>
      <w:r w:rsidRPr="002029AF">
        <w:t>other</w:t>
      </w:r>
      <w:r w:rsidR="000A5329" w:rsidRPr="002029AF">
        <w:t xml:space="preserve"> </w:t>
      </w:r>
      <w:r w:rsidRPr="002029AF">
        <w:t>disclosures</w:t>
      </w:r>
      <w:r w:rsidR="000A5329" w:rsidRPr="002029AF">
        <w:t xml:space="preserve"> </w:t>
      </w:r>
      <w:r w:rsidRPr="002029AF">
        <w:t>made</w:t>
      </w:r>
      <w:r w:rsidR="000A5329" w:rsidRPr="002029AF">
        <w:t xml:space="preserve"> </w:t>
      </w:r>
      <w:r w:rsidRPr="002029AF">
        <w:t>in</w:t>
      </w:r>
      <w:r w:rsidR="000A5329" w:rsidRPr="002029AF">
        <w:t xml:space="preserve"> </w:t>
      </w:r>
      <w:r w:rsidRPr="002029AF">
        <w:t>earlier</w:t>
      </w:r>
      <w:r w:rsidR="000A5329" w:rsidRPr="002029AF">
        <w:t xml:space="preserve"> </w:t>
      </w:r>
      <w:r w:rsidRPr="002029AF">
        <w:t>publications</w:t>
      </w:r>
      <w:r w:rsidR="000A5329" w:rsidRPr="002029AF">
        <w:t xml:space="preserve"> </w:t>
      </w:r>
      <w:r w:rsidRPr="002029AF">
        <w:t>of</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annual</w:t>
      </w:r>
      <w:r w:rsidR="000A5329" w:rsidRPr="002029AF">
        <w:t xml:space="preserve"> </w:t>
      </w:r>
      <w:r w:rsidRPr="002029AF">
        <w:t>reports.</w:t>
      </w:r>
    </w:p>
    <w:p w14:paraId="0F6067E0" w14:textId="4B46A046" w:rsidR="00CF3A4E" w:rsidRPr="002029AF" w:rsidRDefault="00CF3A4E" w:rsidP="009B0A5C">
      <w:pPr>
        <w:pStyle w:val="ARbody"/>
      </w:pPr>
    </w:p>
    <w:bookmarkEnd w:id="236"/>
    <w:p w14:paraId="21A89259" w14:textId="12101E20" w:rsidR="00F21504" w:rsidRPr="002029AF" w:rsidRDefault="00F21504" w:rsidP="009B0A5C">
      <w:pPr>
        <w:pStyle w:val="ARbody"/>
        <w:sectPr w:rsidR="00F21504" w:rsidRPr="002029AF" w:rsidSect="001E768A">
          <w:footerReference w:type="even" r:id="rId215"/>
          <w:pgSz w:w="11906" w:h="16838" w:code="9"/>
          <w:pgMar w:top="1531" w:right="851" w:bottom="851" w:left="1418" w:header="510" w:footer="340" w:gutter="0"/>
          <w:cols w:space="708"/>
          <w:docGrid w:linePitch="360"/>
          <w15:footnoteColumns w:val="1"/>
        </w:sectPr>
      </w:pPr>
    </w:p>
    <w:p w14:paraId="313ABCED" w14:textId="61A4DC0D" w:rsidR="008C084E" w:rsidRPr="002029AF" w:rsidRDefault="00D46F2A" w:rsidP="00D46F2A">
      <w:pPr>
        <w:pStyle w:val="Heading1"/>
      </w:pPr>
      <w:bookmarkStart w:id="413" w:name="_Toc54690772"/>
      <w:bookmarkStart w:id="414" w:name="_Toc49870282"/>
      <w:bookmarkStart w:id="415" w:name="_Toc45549433"/>
      <w:r w:rsidRPr="002029AF">
        <w:lastRenderedPageBreak/>
        <w:t>Appendices</w:t>
      </w:r>
      <w:bookmarkEnd w:id="413"/>
    </w:p>
    <w:p w14:paraId="4DF3F6A3" w14:textId="7E59E198" w:rsidR="00B3569E" w:rsidRDefault="006C1301">
      <w:pPr>
        <w:pStyle w:val="TOC1"/>
        <w:rPr>
          <w:rFonts w:asciiTheme="minorHAnsi" w:hAnsiTheme="minorHAnsi"/>
          <w:sz w:val="22"/>
          <w:szCs w:val="22"/>
          <w:lang w:eastAsia="en-AU"/>
        </w:rPr>
      </w:pPr>
      <w:r w:rsidRPr="002029AF">
        <w:rPr>
          <w:noProof w:val="0"/>
          <w:color w:val="53565A"/>
          <w:sz w:val="22"/>
        </w:rPr>
        <w:fldChar w:fldCharType="begin"/>
      </w:r>
      <w:r w:rsidRPr="002029AF">
        <w:rPr>
          <w:noProof w:val="0"/>
        </w:rPr>
        <w:instrText xml:space="preserve"> TOC \b Appendices \h \z \u \t "Heading 2,1" </w:instrText>
      </w:r>
      <w:r w:rsidRPr="002029AF">
        <w:rPr>
          <w:noProof w:val="0"/>
          <w:color w:val="53565A"/>
          <w:sz w:val="22"/>
        </w:rPr>
        <w:fldChar w:fldCharType="separate"/>
      </w:r>
      <w:hyperlink w:anchor="_Toc54690821" w:history="1">
        <w:r w:rsidR="00B3569E" w:rsidRPr="00AE076B">
          <w:rPr>
            <w:rStyle w:val="Hyperlink"/>
          </w:rPr>
          <w:t>Portfolio budget outcomes</w:t>
        </w:r>
        <w:r w:rsidR="00B3569E">
          <w:rPr>
            <w:webHidden/>
          </w:rPr>
          <w:tab/>
        </w:r>
        <w:r w:rsidR="00B3569E">
          <w:rPr>
            <w:webHidden/>
          </w:rPr>
          <w:fldChar w:fldCharType="begin"/>
        </w:r>
        <w:r w:rsidR="00B3569E">
          <w:rPr>
            <w:webHidden/>
          </w:rPr>
          <w:instrText xml:space="preserve"> PAGEREF _Toc54690821 \h </w:instrText>
        </w:r>
        <w:r w:rsidR="00B3569E">
          <w:rPr>
            <w:webHidden/>
          </w:rPr>
        </w:r>
        <w:r w:rsidR="00B3569E">
          <w:rPr>
            <w:webHidden/>
          </w:rPr>
          <w:fldChar w:fldCharType="separate"/>
        </w:r>
        <w:r w:rsidR="00F3275D">
          <w:rPr>
            <w:webHidden/>
          </w:rPr>
          <w:t>280</w:t>
        </w:r>
        <w:r w:rsidR="00B3569E">
          <w:rPr>
            <w:webHidden/>
          </w:rPr>
          <w:fldChar w:fldCharType="end"/>
        </w:r>
      </w:hyperlink>
    </w:p>
    <w:p w14:paraId="2349AD13" w14:textId="365A894A" w:rsidR="00B3569E" w:rsidRDefault="00F3275D">
      <w:pPr>
        <w:pStyle w:val="TOC1"/>
        <w:rPr>
          <w:rFonts w:asciiTheme="minorHAnsi" w:hAnsiTheme="minorHAnsi"/>
          <w:sz w:val="22"/>
          <w:szCs w:val="22"/>
          <w:lang w:eastAsia="en-AU"/>
        </w:rPr>
      </w:pPr>
      <w:hyperlink w:anchor="_Toc54690822" w:history="1">
        <w:r w:rsidR="00B3569E" w:rsidRPr="00AE076B">
          <w:rPr>
            <w:rStyle w:val="Hyperlink"/>
          </w:rPr>
          <w:t>Director of Housing</w:t>
        </w:r>
        <w:r w:rsidR="00B3569E">
          <w:rPr>
            <w:webHidden/>
          </w:rPr>
          <w:tab/>
        </w:r>
        <w:r w:rsidR="00B3569E">
          <w:rPr>
            <w:webHidden/>
          </w:rPr>
          <w:fldChar w:fldCharType="begin"/>
        </w:r>
        <w:r w:rsidR="00B3569E">
          <w:rPr>
            <w:webHidden/>
          </w:rPr>
          <w:instrText xml:space="preserve"> PAGEREF _Toc54690822 \h </w:instrText>
        </w:r>
        <w:r w:rsidR="00B3569E">
          <w:rPr>
            <w:webHidden/>
          </w:rPr>
        </w:r>
        <w:r w:rsidR="00B3569E">
          <w:rPr>
            <w:webHidden/>
          </w:rPr>
          <w:fldChar w:fldCharType="separate"/>
        </w:r>
        <w:r>
          <w:rPr>
            <w:webHidden/>
          </w:rPr>
          <w:t>287</w:t>
        </w:r>
        <w:r w:rsidR="00B3569E">
          <w:rPr>
            <w:webHidden/>
          </w:rPr>
          <w:fldChar w:fldCharType="end"/>
        </w:r>
      </w:hyperlink>
    </w:p>
    <w:p w14:paraId="5C816DEB" w14:textId="394587F1" w:rsidR="00B3569E" w:rsidRDefault="00F3275D">
      <w:pPr>
        <w:pStyle w:val="TOC1"/>
        <w:rPr>
          <w:rFonts w:asciiTheme="minorHAnsi" w:hAnsiTheme="minorHAnsi"/>
          <w:sz w:val="22"/>
          <w:szCs w:val="22"/>
          <w:lang w:eastAsia="en-AU"/>
        </w:rPr>
      </w:pPr>
      <w:hyperlink w:anchor="_Toc54690823" w:history="1">
        <w:r w:rsidR="00B3569E" w:rsidRPr="00AE076B">
          <w:rPr>
            <w:rStyle w:val="Hyperlink"/>
          </w:rPr>
          <w:t>Capital projects reaching practical completion during the financial year ended 30 June 2020</w:t>
        </w:r>
        <w:r w:rsidR="00B3569E">
          <w:rPr>
            <w:webHidden/>
          </w:rPr>
          <w:tab/>
        </w:r>
        <w:r w:rsidR="00B3569E">
          <w:rPr>
            <w:webHidden/>
          </w:rPr>
          <w:fldChar w:fldCharType="begin"/>
        </w:r>
        <w:r w:rsidR="00B3569E">
          <w:rPr>
            <w:webHidden/>
          </w:rPr>
          <w:instrText xml:space="preserve"> PAGEREF _Toc54690823 \h </w:instrText>
        </w:r>
        <w:r w:rsidR="00B3569E">
          <w:rPr>
            <w:webHidden/>
          </w:rPr>
        </w:r>
        <w:r w:rsidR="00B3569E">
          <w:rPr>
            <w:webHidden/>
          </w:rPr>
          <w:fldChar w:fldCharType="separate"/>
        </w:r>
        <w:r>
          <w:rPr>
            <w:webHidden/>
          </w:rPr>
          <w:t>291</w:t>
        </w:r>
        <w:r w:rsidR="00B3569E">
          <w:rPr>
            <w:webHidden/>
          </w:rPr>
          <w:fldChar w:fldCharType="end"/>
        </w:r>
      </w:hyperlink>
    </w:p>
    <w:p w14:paraId="6C62BD2A" w14:textId="47895437" w:rsidR="00B3569E" w:rsidRDefault="00F3275D">
      <w:pPr>
        <w:pStyle w:val="TOC1"/>
        <w:rPr>
          <w:rFonts w:asciiTheme="minorHAnsi" w:hAnsiTheme="minorHAnsi"/>
          <w:sz w:val="22"/>
          <w:szCs w:val="22"/>
          <w:lang w:eastAsia="en-AU"/>
        </w:rPr>
      </w:pPr>
      <w:hyperlink w:anchor="_Toc54690824" w:history="1">
        <w:r w:rsidR="00B3569E" w:rsidRPr="00AE076B">
          <w:rPr>
            <w:rStyle w:val="Hyperlink"/>
          </w:rPr>
          <w:t>Capital projects reaching financial completion during the financial year ended 30 June 2020</w:t>
        </w:r>
        <w:r w:rsidR="00B3569E">
          <w:rPr>
            <w:webHidden/>
          </w:rPr>
          <w:tab/>
        </w:r>
        <w:r w:rsidR="00B3569E">
          <w:rPr>
            <w:webHidden/>
          </w:rPr>
          <w:fldChar w:fldCharType="begin"/>
        </w:r>
        <w:r w:rsidR="00B3569E">
          <w:rPr>
            <w:webHidden/>
          </w:rPr>
          <w:instrText xml:space="preserve"> PAGEREF _Toc54690824 \h </w:instrText>
        </w:r>
        <w:r w:rsidR="00B3569E">
          <w:rPr>
            <w:webHidden/>
          </w:rPr>
        </w:r>
        <w:r w:rsidR="00B3569E">
          <w:rPr>
            <w:webHidden/>
          </w:rPr>
          <w:fldChar w:fldCharType="separate"/>
        </w:r>
        <w:r>
          <w:rPr>
            <w:webHidden/>
          </w:rPr>
          <w:t>293</w:t>
        </w:r>
        <w:r w:rsidR="00B3569E">
          <w:rPr>
            <w:webHidden/>
          </w:rPr>
          <w:fldChar w:fldCharType="end"/>
        </w:r>
      </w:hyperlink>
    </w:p>
    <w:p w14:paraId="22FFEA92" w14:textId="4A845694" w:rsidR="00B3569E" w:rsidRDefault="00F3275D">
      <w:pPr>
        <w:pStyle w:val="TOC1"/>
        <w:rPr>
          <w:rFonts w:asciiTheme="minorHAnsi" w:hAnsiTheme="minorHAnsi"/>
          <w:sz w:val="22"/>
          <w:szCs w:val="22"/>
          <w:lang w:eastAsia="en-AU"/>
        </w:rPr>
      </w:pPr>
      <w:hyperlink w:anchor="_Toc54690825" w:history="1">
        <w:r w:rsidR="00B3569E" w:rsidRPr="00AE076B">
          <w:rPr>
            <w:rStyle w:val="Hyperlink"/>
          </w:rPr>
          <w:t>Disclosure index</w:t>
        </w:r>
        <w:r w:rsidR="00B3569E">
          <w:rPr>
            <w:webHidden/>
          </w:rPr>
          <w:tab/>
        </w:r>
        <w:r w:rsidR="00B3569E">
          <w:rPr>
            <w:webHidden/>
          </w:rPr>
          <w:fldChar w:fldCharType="begin"/>
        </w:r>
        <w:r w:rsidR="00B3569E">
          <w:rPr>
            <w:webHidden/>
          </w:rPr>
          <w:instrText xml:space="preserve"> PAGEREF _Toc54690825 \h </w:instrText>
        </w:r>
        <w:r w:rsidR="00B3569E">
          <w:rPr>
            <w:webHidden/>
          </w:rPr>
        </w:r>
        <w:r w:rsidR="00B3569E">
          <w:rPr>
            <w:webHidden/>
          </w:rPr>
          <w:fldChar w:fldCharType="separate"/>
        </w:r>
        <w:r>
          <w:rPr>
            <w:webHidden/>
          </w:rPr>
          <w:t>294</w:t>
        </w:r>
        <w:r w:rsidR="00B3569E">
          <w:rPr>
            <w:webHidden/>
          </w:rPr>
          <w:fldChar w:fldCharType="end"/>
        </w:r>
      </w:hyperlink>
    </w:p>
    <w:p w14:paraId="4ED6B5AF" w14:textId="06F17825" w:rsidR="00B3569E" w:rsidRDefault="00F3275D">
      <w:pPr>
        <w:pStyle w:val="TOC1"/>
        <w:rPr>
          <w:rFonts w:asciiTheme="minorHAnsi" w:hAnsiTheme="minorHAnsi"/>
          <w:sz w:val="22"/>
          <w:szCs w:val="22"/>
          <w:lang w:eastAsia="en-AU"/>
        </w:rPr>
      </w:pPr>
      <w:hyperlink w:anchor="_Toc54690826" w:history="1">
        <w:r w:rsidR="00B3569E" w:rsidRPr="00AE076B">
          <w:rPr>
            <w:rStyle w:val="Hyperlink"/>
          </w:rPr>
          <w:t>Additional departmental information available on request</w:t>
        </w:r>
        <w:r w:rsidR="00B3569E">
          <w:rPr>
            <w:webHidden/>
          </w:rPr>
          <w:tab/>
        </w:r>
        <w:r w:rsidR="00B3569E">
          <w:rPr>
            <w:webHidden/>
          </w:rPr>
          <w:fldChar w:fldCharType="begin"/>
        </w:r>
        <w:r w:rsidR="00B3569E">
          <w:rPr>
            <w:webHidden/>
          </w:rPr>
          <w:instrText xml:space="preserve"> PAGEREF _Toc54690826 \h </w:instrText>
        </w:r>
        <w:r w:rsidR="00B3569E">
          <w:rPr>
            <w:webHidden/>
          </w:rPr>
        </w:r>
        <w:r w:rsidR="00B3569E">
          <w:rPr>
            <w:webHidden/>
          </w:rPr>
          <w:fldChar w:fldCharType="separate"/>
        </w:r>
        <w:r>
          <w:rPr>
            <w:webHidden/>
          </w:rPr>
          <w:t>297</w:t>
        </w:r>
        <w:r w:rsidR="00B3569E">
          <w:rPr>
            <w:webHidden/>
          </w:rPr>
          <w:fldChar w:fldCharType="end"/>
        </w:r>
      </w:hyperlink>
    </w:p>
    <w:p w14:paraId="10CA9EA3" w14:textId="1E04E1D4" w:rsidR="00883F92" w:rsidRPr="002029AF" w:rsidRDefault="006C1301" w:rsidP="00B35A79">
      <w:pPr>
        <w:pStyle w:val="ARbody"/>
      </w:pPr>
      <w:r w:rsidRPr="002029AF">
        <w:fldChar w:fldCharType="end"/>
      </w:r>
      <w:bookmarkStart w:id="416" w:name="_Toc462577195"/>
      <w:bookmarkStart w:id="417" w:name="_Toc463776638"/>
      <w:bookmarkEnd w:id="414"/>
      <w:bookmarkEnd w:id="415"/>
    </w:p>
    <w:p w14:paraId="18F09F7E" w14:textId="4CFC941B" w:rsidR="009B0A5C" w:rsidRPr="002029AF" w:rsidRDefault="009B0A5C" w:rsidP="00B35A79">
      <w:pPr>
        <w:pStyle w:val="ARbody"/>
        <w:sectPr w:rsidR="009B0A5C" w:rsidRPr="002029AF" w:rsidSect="001E768A">
          <w:headerReference w:type="even" r:id="rId216"/>
          <w:headerReference w:type="default" r:id="rId217"/>
          <w:headerReference w:type="first" r:id="rId218"/>
          <w:footerReference w:type="first" r:id="rId219"/>
          <w:endnotePr>
            <w:numFmt w:val="decimal"/>
          </w:endnotePr>
          <w:pgSz w:w="11900" w:h="16840" w:code="9"/>
          <w:pgMar w:top="1985" w:right="851" w:bottom="851" w:left="1418" w:header="510" w:footer="340" w:gutter="0"/>
          <w:cols w:space="708"/>
          <w15:footnoteColumns w:val="1"/>
        </w:sectPr>
      </w:pPr>
    </w:p>
    <w:p w14:paraId="68AF77C7" w14:textId="57CE9B22" w:rsidR="00F20C46" w:rsidRPr="002029AF" w:rsidRDefault="00883F92" w:rsidP="00D90D85">
      <w:pPr>
        <w:pStyle w:val="Heading2"/>
        <w:spacing w:before="0" w:after="240"/>
      </w:pPr>
      <w:bookmarkStart w:id="418" w:name="_Ref52200217"/>
      <w:bookmarkStart w:id="419" w:name="_Toc54690821"/>
      <w:bookmarkStart w:id="420" w:name="Appendices"/>
      <w:r w:rsidRPr="002029AF">
        <w:lastRenderedPageBreak/>
        <w:t>Portfolio</w:t>
      </w:r>
      <w:r w:rsidR="000A5329" w:rsidRPr="002029AF">
        <w:t xml:space="preserve"> </w:t>
      </w:r>
      <w:r w:rsidRPr="002029AF">
        <w:t>budget</w:t>
      </w:r>
      <w:r w:rsidR="000A5329" w:rsidRPr="002029AF">
        <w:t xml:space="preserve"> </w:t>
      </w:r>
      <w:r w:rsidRPr="002029AF">
        <w:t>outcomes</w:t>
      </w:r>
      <w:bookmarkEnd w:id="418"/>
      <w:bookmarkEnd w:id="419"/>
    </w:p>
    <w:p w14:paraId="4DB20D42" w14:textId="78AB8F90" w:rsidR="007D45A9" w:rsidRPr="002029AF" w:rsidRDefault="007D45A9" w:rsidP="00D90D85">
      <w:pPr>
        <w:pStyle w:val="ARbody"/>
        <w:spacing w:after="240"/>
        <w:rPr>
          <w:bCs/>
          <w:iCs/>
        </w:rPr>
        <w:sectPr w:rsidR="007D45A9" w:rsidRPr="002029AF" w:rsidSect="00346D95">
          <w:endnotePr>
            <w:numFmt w:val="decimal"/>
          </w:endnotePr>
          <w:pgSz w:w="11900" w:h="16840" w:code="9"/>
          <w:pgMar w:top="1985" w:right="851" w:bottom="851" w:left="1418" w:header="510" w:footer="340" w:gutter="0"/>
          <w:cols w:space="708"/>
          <w15:footnoteColumns w:val="1"/>
        </w:sectPr>
      </w:pPr>
    </w:p>
    <w:p w14:paraId="7C39940E" w14:textId="36D17FE6" w:rsidR="00883F92" w:rsidRPr="002029AF" w:rsidRDefault="00883F92" w:rsidP="00B35A79">
      <w:pPr>
        <w:pStyle w:val="ARbody"/>
      </w:pPr>
      <w:r w:rsidRPr="002029AF">
        <w:t>The</w:t>
      </w:r>
      <w:r w:rsidR="000A5329" w:rsidRPr="002029AF">
        <w:t xml:space="preserve"> </w:t>
      </w:r>
      <w:r w:rsidRPr="002029AF">
        <w:t>portfolio</w:t>
      </w:r>
      <w:r w:rsidR="000A5329" w:rsidRPr="002029AF">
        <w:t xml:space="preserve"> </w:t>
      </w:r>
      <w:r w:rsidRPr="002029AF">
        <w:t>budget</w:t>
      </w:r>
      <w:r w:rsidR="000A5329" w:rsidRPr="002029AF">
        <w:t xml:space="preserve"> </w:t>
      </w:r>
      <w:r w:rsidRPr="002029AF">
        <w:t>outcomes</w:t>
      </w:r>
      <w:r w:rsidR="000A5329" w:rsidRPr="002029AF">
        <w:t xml:space="preserve"> </w:t>
      </w:r>
      <w:r w:rsidRPr="002029AF">
        <w:t>provide</w:t>
      </w:r>
      <w:r w:rsidR="000A5329" w:rsidRPr="002029AF">
        <w:t xml:space="preserve"> </w:t>
      </w:r>
      <w:r w:rsidRPr="002029AF">
        <w:t>a</w:t>
      </w:r>
      <w:r w:rsidR="000A5329" w:rsidRPr="002029AF">
        <w:t xml:space="preserve"> </w:t>
      </w:r>
      <w:r w:rsidRPr="002029AF">
        <w:t>comparison</w:t>
      </w:r>
      <w:r w:rsidR="000A5329" w:rsidRPr="002029AF">
        <w:t xml:space="preserve"> </w:t>
      </w:r>
      <w:r w:rsidRPr="002029AF">
        <w:t>between</w:t>
      </w:r>
      <w:r w:rsidR="000A5329" w:rsidRPr="002029AF">
        <w:t xml:space="preserve"> </w:t>
      </w:r>
      <w:r w:rsidRPr="002029AF">
        <w:t>the</w:t>
      </w:r>
      <w:r w:rsidR="000A5329" w:rsidRPr="002029AF">
        <w:t xml:space="preserve"> </w:t>
      </w:r>
      <w:r w:rsidRPr="002029AF">
        <w:t>actual</w:t>
      </w:r>
      <w:r w:rsidR="000A5329" w:rsidRPr="002029AF">
        <w:t xml:space="preserve"> </w:t>
      </w:r>
      <w:r w:rsidRPr="002029AF">
        <w:t>financial</w:t>
      </w:r>
      <w:r w:rsidR="000A5329" w:rsidRPr="002029AF">
        <w:t xml:space="preserve"> </w:t>
      </w:r>
      <w:r w:rsidRPr="002029AF">
        <w:t>statements</w:t>
      </w:r>
      <w:r w:rsidR="000A5329" w:rsidRPr="002029AF">
        <w:t xml:space="preserve"> </w:t>
      </w:r>
      <w:r w:rsidRPr="002029AF">
        <w:t>of</w:t>
      </w:r>
      <w:r w:rsidR="000A5329" w:rsidRPr="002029AF">
        <w:t xml:space="preserve"> </w:t>
      </w:r>
      <w:r w:rsidRPr="002029AF">
        <w:t>all</w:t>
      </w:r>
      <w:r w:rsidR="000A5329" w:rsidRPr="002029AF">
        <w:t xml:space="preserve"> </w:t>
      </w:r>
      <w:r w:rsidRPr="002029AF">
        <w:t>general</w:t>
      </w:r>
      <w:r w:rsidR="000A5329" w:rsidRPr="002029AF">
        <w:t xml:space="preserve"> </w:t>
      </w:r>
      <w:r w:rsidRPr="002029AF">
        <w:t>government</w:t>
      </w:r>
      <w:r w:rsidR="00894590" w:rsidRPr="002029AF">
        <w:t>-</w:t>
      </w:r>
      <w:r w:rsidR="000A5329" w:rsidRPr="002029AF">
        <w:t xml:space="preserve"> </w:t>
      </w:r>
      <w:r w:rsidRPr="002029AF">
        <w:t>sector</w:t>
      </w:r>
      <w:r w:rsidR="000A5329" w:rsidRPr="002029AF">
        <w:t xml:space="preserve"> </w:t>
      </w:r>
      <w:r w:rsidRPr="002029AF">
        <w:t>entities</w:t>
      </w:r>
      <w:r w:rsidR="000A5329" w:rsidRPr="002029AF">
        <w:t xml:space="preserve"> </w:t>
      </w:r>
      <w:r w:rsidRPr="002029AF">
        <w:t>within</w:t>
      </w:r>
      <w:r w:rsidR="000A5329" w:rsidRPr="002029AF">
        <w:t xml:space="preserve"> </w:t>
      </w:r>
      <w:r w:rsidRPr="002029AF">
        <w:t>the</w:t>
      </w:r>
      <w:r w:rsidR="000A5329" w:rsidRPr="002029AF">
        <w:t xml:space="preserve"> </w:t>
      </w:r>
      <w:r w:rsidRPr="002029AF">
        <w:t>portfolio</w:t>
      </w:r>
      <w:r w:rsidR="000A5329" w:rsidRPr="002029AF">
        <w:t xml:space="preserve"> </w:t>
      </w:r>
      <w:r w:rsidRPr="002029AF">
        <w:t>and</w:t>
      </w:r>
      <w:r w:rsidR="000A5329" w:rsidRPr="002029AF">
        <w:t xml:space="preserve"> </w:t>
      </w:r>
      <w:r w:rsidRPr="002029AF">
        <w:t>the</w:t>
      </w:r>
      <w:r w:rsidR="000A5329" w:rsidRPr="002029AF">
        <w:t xml:space="preserve"> </w:t>
      </w:r>
      <w:r w:rsidRPr="002029AF">
        <w:t>forecast</w:t>
      </w:r>
      <w:r w:rsidR="000A5329" w:rsidRPr="002029AF">
        <w:t xml:space="preserve"> </w:t>
      </w:r>
      <w:r w:rsidRPr="002029AF">
        <w:t>financial</w:t>
      </w:r>
      <w:r w:rsidR="000A5329" w:rsidRPr="002029AF">
        <w:t xml:space="preserve"> </w:t>
      </w:r>
      <w:r w:rsidRPr="002029AF">
        <w:t>information</w:t>
      </w:r>
      <w:r w:rsidR="000A5329" w:rsidRPr="002029AF">
        <w:t xml:space="preserve"> </w:t>
      </w:r>
      <w:r w:rsidRPr="002029AF">
        <w:t>published</w:t>
      </w:r>
      <w:r w:rsidR="000A5329" w:rsidRPr="002029AF">
        <w:t xml:space="preserve"> </w:t>
      </w:r>
      <w:r w:rsidRPr="002029AF">
        <w:t>in</w:t>
      </w:r>
      <w:r w:rsidR="000A5329" w:rsidRPr="002029AF">
        <w:t xml:space="preserve"> </w:t>
      </w:r>
      <w:r w:rsidRPr="002029AF">
        <w:t>Budget</w:t>
      </w:r>
      <w:r w:rsidR="000A5329" w:rsidRPr="002029AF">
        <w:t xml:space="preserve"> </w:t>
      </w:r>
      <w:r w:rsidRPr="002029AF">
        <w:t>Paper</w:t>
      </w:r>
      <w:r w:rsidR="000A5329" w:rsidRPr="002029AF">
        <w:t xml:space="preserve"> </w:t>
      </w:r>
      <w:r w:rsidRPr="002029AF">
        <w:t>No.</w:t>
      </w:r>
      <w:r w:rsidR="000A5329" w:rsidRPr="002029AF">
        <w:t xml:space="preserve"> </w:t>
      </w:r>
      <w:r w:rsidRPr="002029AF">
        <w:t>5</w:t>
      </w:r>
      <w:r w:rsidR="000A5329" w:rsidRPr="002029AF">
        <w:t xml:space="preserve"> </w:t>
      </w:r>
      <w:r w:rsidRPr="002029AF">
        <w:rPr>
          <w:i/>
          <w:iCs/>
        </w:rPr>
        <w:t>Statement</w:t>
      </w:r>
      <w:r w:rsidR="000A5329" w:rsidRPr="002029AF">
        <w:rPr>
          <w:i/>
          <w:iCs/>
        </w:rPr>
        <w:t xml:space="preserve"> </w:t>
      </w:r>
      <w:r w:rsidRPr="002029AF">
        <w:rPr>
          <w:i/>
          <w:iCs/>
        </w:rPr>
        <w:t>of</w:t>
      </w:r>
      <w:r w:rsidR="000A5329" w:rsidRPr="002029AF">
        <w:rPr>
          <w:i/>
          <w:iCs/>
        </w:rPr>
        <w:t xml:space="preserve"> </w:t>
      </w:r>
      <w:r w:rsidRPr="002029AF">
        <w:rPr>
          <w:i/>
          <w:iCs/>
        </w:rPr>
        <w:t>Finances</w:t>
      </w:r>
      <w:r w:rsidR="000A5329" w:rsidRPr="002029AF">
        <w:rPr>
          <w:i/>
          <w:iCs/>
        </w:rPr>
        <w:t xml:space="preserve"> </w:t>
      </w:r>
      <w:r w:rsidRPr="002029AF">
        <w:rPr>
          <w:i/>
          <w:iCs/>
        </w:rPr>
        <w:t>2019</w:t>
      </w:r>
      <w:r w:rsidR="00B35A79" w:rsidRPr="002029AF">
        <w:rPr>
          <w:i/>
          <w:iCs/>
        </w:rPr>
        <w:t>–</w:t>
      </w:r>
      <w:r w:rsidRPr="002029AF">
        <w:rPr>
          <w:i/>
          <w:iCs/>
        </w:rPr>
        <w:t>2</w:t>
      </w:r>
      <w:r w:rsidR="00B35A79" w:rsidRPr="002029AF">
        <w:rPr>
          <w:i/>
          <w:iCs/>
        </w:rPr>
        <w:t>0</w:t>
      </w:r>
      <w:r w:rsidR="000A5329" w:rsidRPr="002029AF">
        <w:rPr>
          <w:i/>
          <w:iCs/>
        </w:rPr>
        <w:t xml:space="preserve"> </w:t>
      </w:r>
      <w:r w:rsidRPr="002029AF">
        <w:t>(BP5).</w:t>
      </w:r>
    </w:p>
    <w:p w14:paraId="47F1C995" w14:textId="3E7C76A2" w:rsidR="00883F92" w:rsidRPr="002029AF" w:rsidRDefault="00883F92" w:rsidP="00B35A79">
      <w:pPr>
        <w:pStyle w:val="ARbody"/>
      </w:pPr>
      <w:r w:rsidRPr="002029AF">
        <w:t>The</w:t>
      </w:r>
      <w:r w:rsidR="000A5329" w:rsidRPr="002029AF">
        <w:t xml:space="preserve"> </w:t>
      </w:r>
      <w:r w:rsidRPr="002029AF">
        <w:t>portfolio</w:t>
      </w:r>
      <w:r w:rsidR="000A5329" w:rsidRPr="002029AF">
        <w:t xml:space="preserve"> </w:t>
      </w:r>
      <w:r w:rsidRPr="002029AF">
        <w:t>budget</w:t>
      </w:r>
      <w:r w:rsidR="000A5329" w:rsidRPr="002029AF">
        <w:t xml:space="preserve"> </w:t>
      </w:r>
      <w:r w:rsidRPr="002029AF">
        <w:t>outcomes</w:t>
      </w:r>
      <w:r w:rsidR="000A5329" w:rsidRPr="002029AF">
        <w:t xml:space="preserve"> </w:t>
      </w:r>
      <w:r w:rsidRPr="002029AF">
        <w:t>comprise</w:t>
      </w:r>
      <w:r w:rsidR="000A5329" w:rsidRPr="002029AF">
        <w:t xml:space="preserve"> </w:t>
      </w:r>
      <w:r w:rsidRPr="002029AF">
        <w:t>the</w:t>
      </w:r>
      <w:r w:rsidR="000A5329" w:rsidRPr="002029AF">
        <w:t xml:space="preserve"> </w:t>
      </w:r>
      <w:r w:rsidRPr="002029AF">
        <w:t>comprehensive</w:t>
      </w:r>
      <w:r w:rsidR="000A5329" w:rsidRPr="002029AF">
        <w:t xml:space="preserve"> </w:t>
      </w:r>
      <w:r w:rsidRPr="002029AF">
        <w:t>operating</w:t>
      </w:r>
      <w:r w:rsidR="000A5329" w:rsidRPr="002029AF">
        <w:t xml:space="preserve"> </w:t>
      </w:r>
      <w:r w:rsidRPr="002029AF">
        <w:t>statement,</w:t>
      </w:r>
      <w:r w:rsidR="000A5329" w:rsidRPr="002029AF">
        <w:t xml:space="preserve"> </w:t>
      </w:r>
      <w:r w:rsidRPr="002029AF">
        <w:t>balance</w:t>
      </w:r>
      <w:r w:rsidR="000A5329" w:rsidRPr="002029AF">
        <w:t xml:space="preserve"> </w:t>
      </w:r>
      <w:r w:rsidRPr="002029AF">
        <w:t>sheet,</w:t>
      </w:r>
      <w:r w:rsidR="000A5329" w:rsidRPr="002029AF">
        <w:t xml:space="preserve"> </w:t>
      </w:r>
      <w:r w:rsidRPr="002029AF">
        <w:t>statement</w:t>
      </w:r>
      <w:r w:rsidR="000A5329" w:rsidRPr="002029AF">
        <w:t xml:space="preserve"> </w:t>
      </w:r>
      <w:r w:rsidRPr="002029AF">
        <w:t>of</w:t>
      </w:r>
      <w:r w:rsidR="000A5329" w:rsidRPr="002029AF">
        <w:t xml:space="preserve"> </w:t>
      </w:r>
      <w:r w:rsidRPr="002029AF">
        <w:t>cash</w:t>
      </w:r>
      <w:r w:rsidR="000A5329" w:rsidRPr="002029AF">
        <w:t xml:space="preserve"> </w:t>
      </w:r>
      <w:r w:rsidRPr="002029AF">
        <w:t>flows,</w:t>
      </w:r>
      <w:r w:rsidR="000A5329" w:rsidRPr="002029AF">
        <w:t xml:space="preserve"> </w:t>
      </w:r>
      <w:r w:rsidRPr="002029AF">
        <w:t>statement</w:t>
      </w:r>
      <w:r w:rsidR="000A5329" w:rsidRPr="002029AF">
        <w:t xml:space="preserve"> </w:t>
      </w:r>
      <w:r w:rsidRPr="002029AF">
        <w:t>of</w:t>
      </w:r>
      <w:r w:rsidR="000A5329" w:rsidRPr="002029AF">
        <w:t xml:space="preserve"> </w:t>
      </w:r>
      <w:r w:rsidRPr="002029AF">
        <w:t>changes</w:t>
      </w:r>
      <w:r w:rsidR="000A5329" w:rsidRPr="002029AF">
        <w:t xml:space="preserve"> </w:t>
      </w:r>
      <w:r w:rsidRPr="002029AF">
        <w:t>in</w:t>
      </w:r>
      <w:r w:rsidR="000A5329" w:rsidRPr="002029AF">
        <w:t xml:space="preserve"> </w:t>
      </w:r>
      <w:r w:rsidRPr="002029AF">
        <w:t>equity,</w:t>
      </w:r>
      <w:r w:rsidR="000A5329" w:rsidRPr="002029AF">
        <w:t xml:space="preserve"> </w:t>
      </w:r>
      <w:r w:rsidRPr="002029AF">
        <w:t>and</w:t>
      </w:r>
      <w:r w:rsidR="000A5329" w:rsidRPr="002029AF">
        <w:t xml:space="preserve"> </w:t>
      </w:r>
      <w:r w:rsidRPr="002029AF">
        <w:t>administered</w:t>
      </w:r>
      <w:r w:rsidR="000A5329" w:rsidRPr="002029AF">
        <w:t xml:space="preserve"> </w:t>
      </w:r>
      <w:r w:rsidRPr="002029AF">
        <w:t>items</w:t>
      </w:r>
      <w:r w:rsidR="000A5329" w:rsidRPr="002029AF">
        <w:t xml:space="preserve"> </w:t>
      </w:r>
      <w:r w:rsidRPr="002029AF">
        <w:t>statement</w:t>
      </w:r>
      <w:r w:rsidR="000A5329" w:rsidRPr="002029AF">
        <w:t xml:space="preserve"> </w:t>
      </w:r>
      <w:r w:rsidRPr="002029AF">
        <w:t>for</w:t>
      </w:r>
      <w:r w:rsidR="000A5329" w:rsidRPr="002029AF">
        <w:t xml:space="preserve"> </w:t>
      </w:r>
      <w:r w:rsidRPr="002029AF">
        <w:t>the</w:t>
      </w:r>
      <w:r w:rsidR="000A5329" w:rsidRPr="002029AF">
        <w:t xml:space="preserve"> </w:t>
      </w:r>
      <w:r w:rsidRPr="002029AF">
        <w:t>full</w:t>
      </w:r>
      <w:r w:rsidR="000A5329" w:rsidRPr="002029AF">
        <w:t xml:space="preserve"> </w:t>
      </w:r>
      <w:r w:rsidRPr="002029AF">
        <w:t>financial</w:t>
      </w:r>
      <w:r w:rsidR="000A5329" w:rsidRPr="002029AF">
        <w:t xml:space="preserve"> </w:t>
      </w:r>
      <w:r w:rsidRPr="002029AF">
        <w:t>year</w:t>
      </w:r>
      <w:r w:rsidR="000A5329" w:rsidRPr="002029AF">
        <w:t xml:space="preserve"> </w:t>
      </w:r>
      <w:r w:rsidRPr="002029AF">
        <w:t>201</w:t>
      </w:r>
      <w:r w:rsidR="00DB53E6" w:rsidRPr="002029AF">
        <w:t>9–</w:t>
      </w:r>
      <w:r w:rsidRPr="002029AF">
        <w:t>20.</w:t>
      </w:r>
    </w:p>
    <w:p w14:paraId="21CF3392" w14:textId="62971835" w:rsidR="00883F92" w:rsidRPr="002029AF" w:rsidRDefault="00883F92" w:rsidP="00B35A79">
      <w:pPr>
        <w:pStyle w:val="ARbody"/>
      </w:pPr>
      <w:r w:rsidRPr="002029AF">
        <w:t>The</w:t>
      </w:r>
      <w:r w:rsidR="000A5329" w:rsidRPr="002029AF">
        <w:t xml:space="preserve"> </w:t>
      </w:r>
      <w:r w:rsidRPr="002029AF">
        <w:t>portfolio</w:t>
      </w:r>
      <w:r w:rsidR="000A5329" w:rsidRPr="002029AF">
        <w:t xml:space="preserve"> </w:t>
      </w:r>
      <w:r w:rsidRPr="002029AF">
        <w:t>budget</w:t>
      </w:r>
      <w:r w:rsidR="000A5329" w:rsidRPr="002029AF">
        <w:t xml:space="preserve"> </w:t>
      </w:r>
      <w:r w:rsidRPr="002029AF">
        <w:t>outcomes</w:t>
      </w:r>
      <w:r w:rsidR="000A5329" w:rsidRPr="002029AF">
        <w:t xml:space="preserve"> </w:t>
      </w:r>
      <w:r w:rsidRPr="002029AF">
        <w:t>have</w:t>
      </w:r>
      <w:r w:rsidR="000A5329" w:rsidRPr="002029AF">
        <w:t xml:space="preserve"> </w:t>
      </w:r>
      <w:r w:rsidRPr="002029AF">
        <w:t>been</w:t>
      </w:r>
      <w:r w:rsidR="000A5329" w:rsidRPr="002029AF">
        <w:t xml:space="preserve"> </w:t>
      </w:r>
      <w:r w:rsidRPr="002029AF">
        <w:t>prepared</w:t>
      </w:r>
      <w:r w:rsidR="000A5329" w:rsidRPr="002029AF">
        <w:t xml:space="preserve"> </w:t>
      </w:r>
      <w:r w:rsidRPr="002029AF">
        <w:t>on</w:t>
      </w:r>
      <w:r w:rsidR="000A5329" w:rsidRPr="002029AF">
        <w:t xml:space="preserve"> </w:t>
      </w:r>
      <w:r w:rsidRPr="002029AF">
        <w:t>a</w:t>
      </w:r>
      <w:r w:rsidR="000A5329" w:rsidRPr="002029AF">
        <w:t xml:space="preserve"> </w:t>
      </w:r>
      <w:r w:rsidRPr="002029AF">
        <w:t>consolidated</w:t>
      </w:r>
      <w:r w:rsidR="000A5329" w:rsidRPr="002029AF">
        <w:t xml:space="preserve"> </w:t>
      </w:r>
      <w:r w:rsidRPr="002029AF">
        <w:t>basis</w:t>
      </w:r>
      <w:r w:rsidR="000A5329" w:rsidRPr="002029AF">
        <w:t xml:space="preserve"> </w:t>
      </w:r>
      <w:r w:rsidRPr="002029AF">
        <w:t>for</w:t>
      </w:r>
      <w:r w:rsidR="000A5329" w:rsidRPr="002029AF">
        <w:t xml:space="preserve"> </w:t>
      </w:r>
      <w:r w:rsidRPr="002029AF">
        <w:t>the</w:t>
      </w:r>
      <w:r w:rsidR="000A5329" w:rsidRPr="002029AF">
        <w:t xml:space="preserve"> </w:t>
      </w:r>
      <w:r w:rsidRPr="002029AF">
        <w:t>period</w:t>
      </w:r>
      <w:r w:rsidR="000A5329" w:rsidRPr="002029AF">
        <w:t xml:space="preserve"> </w:t>
      </w:r>
      <w:r w:rsidRPr="002029AF">
        <w:t>1</w:t>
      </w:r>
      <w:r w:rsidR="007920F7" w:rsidRPr="002029AF">
        <w:t> </w:t>
      </w:r>
      <w:r w:rsidRPr="002029AF">
        <w:t>July</w:t>
      </w:r>
      <w:r w:rsidR="000A5329" w:rsidRPr="002029AF">
        <w:t xml:space="preserve"> </w:t>
      </w:r>
      <w:r w:rsidRPr="002029AF">
        <w:t>2019</w:t>
      </w:r>
      <w:r w:rsidR="000A5329" w:rsidRPr="002029AF">
        <w:t xml:space="preserve"> </w:t>
      </w:r>
      <w:r w:rsidRPr="002029AF">
        <w:t>to</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r w:rsidR="000A5329" w:rsidRPr="002029AF">
        <w:t xml:space="preserve"> </w:t>
      </w:r>
      <w:r w:rsidRPr="002029AF">
        <w:t>and</w:t>
      </w:r>
      <w:r w:rsidR="000A5329" w:rsidRPr="002029AF">
        <w:t xml:space="preserve"> </w:t>
      </w:r>
      <w:r w:rsidRPr="002029AF">
        <w:t>include</w:t>
      </w:r>
      <w:r w:rsidR="000A5329" w:rsidRPr="002029AF">
        <w:t xml:space="preserve"> </w:t>
      </w:r>
      <w:r w:rsidRPr="002029AF">
        <w:t>all</w:t>
      </w:r>
      <w:r w:rsidR="000A5329" w:rsidRPr="002029AF">
        <w:t xml:space="preserve"> </w:t>
      </w:r>
      <w:r w:rsidRPr="002029AF">
        <w:t>general</w:t>
      </w:r>
      <w:r w:rsidR="000A5329" w:rsidRPr="002029AF">
        <w:t xml:space="preserve"> </w:t>
      </w:r>
      <w:r w:rsidRPr="002029AF">
        <w:t>government</w:t>
      </w:r>
      <w:r w:rsidR="000A5329" w:rsidRPr="002029AF">
        <w:t xml:space="preserve"> </w:t>
      </w:r>
      <w:r w:rsidRPr="002029AF">
        <w:t>sector</w:t>
      </w:r>
      <w:r w:rsidR="000A5329" w:rsidRPr="002029AF">
        <w:t xml:space="preserve"> </w:t>
      </w:r>
      <w:r w:rsidRPr="002029AF">
        <w:t>entities</w:t>
      </w:r>
      <w:r w:rsidR="000A5329" w:rsidRPr="002029AF">
        <w:t xml:space="preserve"> </w:t>
      </w:r>
      <w:r w:rsidRPr="002029AF">
        <w:t>within</w:t>
      </w:r>
      <w:r w:rsidR="000A5329" w:rsidRPr="002029AF">
        <w:t xml:space="preserve"> </w:t>
      </w:r>
      <w:r w:rsidRPr="002029AF">
        <w:t>the</w:t>
      </w:r>
      <w:r w:rsidR="000A5329" w:rsidRPr="002029AF">
        <w:t xml:space="preserve"> </w:t>
      </w:r>
      <w:r w:rsidRPr="002029AF">
        <w:t>portfolio.</w:t>
      </w:r>
      <w:r w:rsidR="000A5329" w:rsidRPr="002029AF">
        <w:t xml:space="preserve"> </w:t>
      </w:r>
      <w:r w:rsidRPr="002029AF">
        <w:t>Financial</w:t>
      </w:r>
      <w:r w:rsidR="000A5329" w:rsidRPr="002029AF">
        <w:t xml:space="preserve"> </w:t>
      </w:r>
      <w:r w:rsidRPr="002029AF">
        <w:t>transactions</w:t>
      </w:r>
      <w:r w:rsidR="000A5329" w:rsidRPr="002029AF">
        <w:t xml:space="preserve"> </w:t>
      </w:r>
      <w:r w:rsidRPr="002029AF">
        <w:t>and</w:t>
      </w:r>
      <w:r w:rsidR="000A5329" w:rsidRPr="002029AF">
        <w:t xml:space="preserve"> </w:t>
      </w:r>
      <w:r w:rsidRPr="002029AF">
        <w:t>balances</w:t>
      </w:r>
      <w:r w:rsidR="000A5329" w:rsidRPr="002029AF">
        <w:t xml:space="preserve"> </w:t>
      </w:r>
      <w:r w:rsidRPr="002029AF">
        <w:t>are</w:t>
      </w:r>
      <w:r w:rsidR="000A5329" w:rsidRPr="002029AF">
        <w:t xml:space="preserve"> </w:t>
      </w:r>
      <w:r w:rsidRPr="002029AF">
        <w:t>classified</w:t>
      </w:r>
      <w:r w:rsidR="000A5329" w:rsidRPr="002029AF">
        <w:t xml:space="preserve"> </w:t>
      </w:r>
      <w:r w:rsidRPr="002029AF">
        <w:t>into</w:t>
      </w:r>
      <w:r w:rsidR="000A5329" w:rsidRPr="002029AF">
        <w:t xml:space="preserve"> </w:t>
      </w:r>
      <w:r w:rsidRPr="002029AF">
        <w:t>either</w:t>
      </w:r>
      <w:r w:rsidR="000A5329" w:rsidRPr="002029AF">
        <w:t xml:space="preserve"> </w:t>
      </w:r>
      <w:r w:rsidRPr="002029AF">
        <w:t>controlled</w:t>
      </w:r>
      <w:r w:rsidR="000A5329" w:rsidRPr="002029AF">
        <w:t xml:space="preserve"> </w:t>
      </w:r>
      <w:r w:rsidRPr="002029AF">
        <w:t>or</w:t>
      </w:r>
      <w:r w:rsidR="000A5329" w:rsidRPr="002029AF">
        <w:t xml:space="preserve"> </w:t>
      </w:r>
      <w:r w:rsidRPr="002029AF">
        <w:t>administered</w:t>
      </w:r>
      <w:r w:rsidR="000A5329" w:rsidRPr="002029AF">
        <w:t xml:space="preserve"> </w:t>
      </w:r>
      <w:r w:rsidRPr="002029AF">
        <w:t>categories</w:t>
      </w:r>
      <w:r w:rsidR="000A5329" w:rsidRPr="002029AF">
        <w:t xml:space="preserve"> </w:t>
      </w:r>
      <w:r w:rsidRPr="002029AF">
        <w:t>as</w:t>
      </w:r>
      <w:r w:rsidR="000A5329" w:rsidRPr="002029AF">
        <w:t xml:space="preserve"> </w:t>
      </w:r>
      <w:r w:rsidRPr="002029AF">
        <w:t>agreed</w:t>
      </w:r>
      <w:r w:rsidR="000A5329" w:rsidRPr="002029AF">
        <w:t xml:space="preserve"> </w:t>
      </w:r>
      <w:r w:rsidRPr="002029AF">
        <w:t>with</w:t>
      </w:r>
      <w:r w:rsidR="000A5329" w:rsidRPr="002029AF">
        <w:t xml:space="preserve"> </w:t>
      </w:r>
      <w:r w:rsidRPr="002029AF">
        <w:t>the</w:t>
      </w:r>
      <w:r w:rsidR="000A5329" w:rsidRPr="002029AF">
        <w:t xml:space="preserve"> </w:t>
      </w:r>
      <w:r w:rsidRPr="002029AF">
        <w:t>Treasurer</w:t>
      </w:r>
      <w:r w:rsidR="000A5329" w:rsidRPr="002029AF">
        <w:t xml:space="preserve"> </w:t>
      </w:r>
      <w:r w:rsidRPr="002029AF">
        <w:t>in</w:t>
      </w:r>
      <w:r w:rsidR="000A5329" w:rsidRPr="002029AF">
        <w:t xml:space="preserve"> </w:t>
      </w:r>
      <w:r w:rsidRPr="002029AF">
        <w:t>the</w:t>
      </w:r>
      <w:r w:rsidR="000A5329" w:rsidRPr="002029AF">
        <w:t xml:space="preserve"> </w:t>
      </w:r>
      <w:r w:rsidRPr="002029AF">
        <w:t>context</w:t>
      </w:r>
      <w:r w:rsidR="000A5329" w:rsidRPr="002029AF">
        <w:t xml:space="preserve"> </w:t>
      </w:r>
      <w:r w:rsidRPr="002029AF">
        <w:t>of</w:t>
      </w:r>
      <w:r w:rsidR="000A5329" w:rsidRPr="002029AF">
        <w:t xml:space="preserve"> </w:t>
      </w:r>
      <w:r w:rsidRPr="002029AF">
        <w:t>the</w:t>
      </w:r>
      <w:r w:rsidR="000A5329" w:rsidRPr="002029AF">
        <w:t xml:space="preserve"> </w:t>
      </w:r>
      <w:r w:rsidRPr="002029AF">
        <w:t>published</w:t>
      </w:r>
      <w:r w:rsidR="000A5329" w:rsidRPr="002029AF">
        <w:t xml:space="preserve"> </w:t>
      </w:r>
      <w:r w:rsidRPr="002029AF">
        <w:t>statements</w:t>
      </w:r>
      <w:r w:rsidR="000A5329" w:rsidRPr="002029AF">
        <w:t xml:space="preserve"> </w:t>
      </w:r>
      <w:r w:rsidRPr="002029AF">
        <w:t>in</w:t>
      </w:r>
      <w:r w:rsidR="000A5329" w:rsidRPr="002029AF">
        <w:t xml:space="preserve"> </w:t>
      </w:r>
      <w:r w:rsidRPr="002029AF">
        <w:t>BP5.</w:t>
      </w:r>
    </w:p>
    <w:p w14:paraId="24FA24BC" w14:textId="42A004A7" w:rsidR="00883F92" w:rsidRPr="002029AF" w:rsidRDefault="00883F92" w:rsidP="00B35A79">
      <w:pPr>
        <w:pStyle w:val="ARbody"/>
      </w:pPr>
      <w:r w:rsidRPr="002029AF">
        <w:t>The</w:t>
      </w:r>
      <w:r w:rsidR="000A5329" w:rsidRPr="002029AF">
        <w:t xml:space="preserve"> </w:t>
      </w:r>
      <w:r w:rsidRPr="002029AF">
        <w:t>portfolio</w:t>
      </w:r>
      <w:r w:rsidR="000A5329" w:rsidRPr="002029AF">
        <w:t xml:space="preserve"> </w:t>
      </w:r>
      <w:r w:rsidRPr="002029AF">
        <w:t>budget</w:t>
      </w:r>
      <w:r w:rsidR="000A5329" w:rsidRPr="002029AF">
        <w:t xml:space="preserve"> </w:t>
      </w:r>
      <w:r w:rsidRPr="002029AF">
        <w:t>outcomes</w:t>
      </w:r>
      <w:r w:rsidR="000A5329" w:rsidRPr="002029AF">
        <w:t xml:space="preserve"> </w:t>
      </w:r>
      <w:r w:rsidRPr="002029AF">
        <w:t>statements</w:t>
      </w:r>
      <w:r w:rsidR="000A5329" w:rsidRPr="002029AF">
        <w:t xml:space="preserve"> </w:t>
      </w:r>
      <w:r w:rsidRPr="002029AF">
        <w:t>are</w:t>
      </w:r>
      <w:r w:rsidR="000A5329" w:rsidRPr="002029AF">
        <w:t xml:space="preserve"> </w:t>
      </w:r>
      <w:r w:rsidRPr="002029AF">
        <w:t>not</w:t>
      </w:r>
      <w:r w:rsidR="000A5329" w:rsidRPr="002029AF">
        <w:t xml:space="preserve"> </w:t>
      </w:r>
      <w:r w:rsidRPr="002029AF">
        <w:t>subject</w:t>
      </w:r>
      <w:r w:rsidR="000A5329" w:rsidRPr="002029AF">
        <w:t xml:space="preserve"> </w:t>
      </w:r>
      <w:r w:rsidRPr="002029AF">
        <w:t>to</w:t>
      </w:r>
      <w:r w:rsidR="000A5329" w:rsidRPr="002029AF">
        <w:t xml:space="preserve"> </w:t>
      </w:r>
      <w:r w:rsidRPr="002029AF">
        <w:t>audit</w:t>
      </w:r>
      <w:r w:rsidR="000A5329" w:rsidRPr="002029AF">
        <w:t xml:space="preserve"> </w:t>
      </w:r>
      <w:r w:rsidRPr="002029AF">
        <w:t>by</w:t>
      </w:r>
      <w:r w:rsidR="000A5329" w:rsidRPr="002029AF">
        <w:t xml:space="preserve"> </w:t>
      </w:r>
      <w:r w:rsidRPr="002029AF">
        <w:t>the</w:t>
      </w:r>
      <w:r w:rsidR="000A5329" w:rsidRPr="002029AF">
        <w:t xml:space="preserve"> </w:t>
      </w:r>
      <w:r w:rsidRPr="002029AF">
        <w:t>Victorian</w:t>
      </w:r>
      <w:r w:rsidR="000A5329" w:rsidRPr="002029AF">
        <w:t xml:space="preserve"> </w:t>
      </w:r>
      <w:r w:rsidRPr="002029AF">
        <w:t>Auditor-General’s</w:t>
      </w:r>
      <w:r w:rsidR="000A5329" w:rsidRPr="002029AF">
        <w:t xml:space="preserve"> </w:t>
      </w:r>
      <w:r w:rsidRPr="002029AF">
        <w:t>Office.</w:t>
      </w:r>
      <w:r w:rsidR="000A5329" w:rsidRPr="002029AF">
        <w:t xml:space="preserve"> </w:t>
      </w:r>
      <w:r w:rsidRPr="002029AF">
        <w:t>They</w:t>
      </w:r>
      <w:r w:rsidR="000A5329" w:rsidRPr="002029AF">
        <w:t xml:space="preserve"> </w:t>
      </w:r>
      <w:r w:rsidRPr="002029AF">
        <w:t>are</w:t>
      </w:r>
      <w:r w:rsidR="000A5329" w:rsidRPr="002029AF">
        <w:t xml:space="preserve"> </w:t>
      </w:r>
      <w:r w:rsidRPr="002029AF">
        <w:t>not</w:t>
      </w:r>
      <w:r w:rsidR="000A5329" w:rsidRPr="002029AF">
        <w:t xml:space="preserve"> </w:t>
      </w:r>
      <w:r w:rsidRPr="002029AF">
        <w:t>prepared</w:t>
      </w:r>
      <w:r w:rsidR="000A5329" w:rsidRPr="002029AF">
        <w:t xml:space="preserve"> </w:t>
      </w:r>
      <w:r w:rsidRPr="002029AF">
        <w:t>on</w:t>
      </w:r>
      <w:r w:rsidR="000A5329" w:rsidRPr="002029AF">
        <w:t xml:space="preserve"> </w:t>
      </w:r>
      <w:r w:rsidRPr="002029AF">
        <w:t>the</w:t>
      </w:r>
      <w:r w:rsidR="000A5329" w:rsidRPr="002029AF">
        <w:t xml:space="preserve"> </w:t>
      </w:r>
      <w:r w:rsidRPr="002029AF">
        <w:t>same</w:t>
      </w:r>
      <w:r w:rsidR="000A5329" w:rsidRPr="002029AF">
        <w:t xml:space="preserve"> </w:t>
      </w:r>
      <w:r w:rsidRPr="002029AF">
        <w:t>basis</w:t>
      </w:r>
      <w:r w:rsidR="000A5329" w:rsidRPr="002029AF">
        <w:t xml:space="preserve"> </w:t>
      </w:r>
      <w:r w:rsidRPr="002029AF">
        <w:t>as</w:t>
      </w:r>
      <w:r w:rsidR="00B12841">
        <w:t> </w:t>
      </w:r>
      <w:r w:rsidRPr="002029AF">
        <w:t>the</w:t>
      </w:r>
      <w:r w:rsidR="000A5329" w:rsidRPr="002029AF">
        <w:t xml:space="preserve"> </w:t>
      </w:r>
      <w:r w:rsidRPr="002029AF">
        <w:t>department’s</w:t>
      </w:r>
      <w:r w:rsidR="000A5329" w:rsidRPr="002029AF">
        <w:t xml:space="preserve"> </w:t>
      </w:r>
      <w:r w:rsidRPr="002029AF">
        <w:t>financial</w:t>
      </w:r>
      <w:r w:rsidR="000A5329" w:rsidRPr="002029AF">
        <w:t xml:space="preserve"> </w:t>
      </w:r>
      <w:r w:rsidRPr="002029AF">
        <w:t>statements</w:t>
      </w:r>
      <w:r w:rsidR="000A5329" w:rsidRPr="002029AF">
        <w:t xml:space="preserve"> </w:t>
      </w:r>
      <w:r w:rsidRPr="002029AF">
        <w:t>as</w:t>
      </w:r>
      <w:r w:rsidR="000A5329" w:rsidRPr="002029AF">
        <w:t xml:space="preserve"> </w:t>
      </w:r>
      <w:r w:rsidRPr="002029AF">
        <w:t>they</w:t>
      </w:r>
      <w:r w:rsidR="000A5329" w:rsidRPr="002029AF">
        <w:t xml:space="preserve"> </w:t>
      </w:r>
      <w:r w:rsidRPr="002029AF">
        <w:t>consolidate</w:t>
      </w:r>
      <w:r w:rsidR="000A5329" w:rsidRPr="002029AF">
        <w:t xml:space="preserve"> </w:t>
      </w:r>
      <w:r w:rsidRPr="002029AF">
        <w:t>financial</w:t>
      </w:r>
      <w:r w:rsidR="000A5329" w:rsidRPr="002029AF">
        <w:t xml:space="preserve"> </w:t>
      </w:r>
      <w:r w:rsidRPr="002029AF">
        <w:t>information</w:t>
      </w:r>
      <w:r w:rsidR="000A5329" w:rsidRPr="002029AF">
        <w:t xml:space="preserve"> </w:t>
      </w:r>
      <w:r w:rsidRPr="002029AF">
        <w:t>of</w:t>
      </w:r>
      <w:r w:rsidR="000A5329" w:rsidRPr="002029AF">
        <w:t xml:space="preserve"> </w:t>
      </w:r>
      <w:r w:rsidRPr="002029AF">
        <w:t>the</w:t>
      </w:r>
      <w:r w:rsidR="000A5329" w:rsidRPr="002029AF">
        <w:t xml:space="preserve"> </w:t>
      </w:r>
      <w:r w:rsidRPr="002029AF">
        <w:t>following</w:t>
      </w:r>
      <w:r w:rsidR="000A5329" w:rsidRPr="002029AF">
        <w:t xml:space="preserve"> </w:t>
      </w:r>
      <w:r w:rsidRPr="002029AF">
        <w:t>entities:</w:t>
      </w:r>
    </w:p>
    <w:p w14:paraId="2B5FF8B8" w14:textId="02FC7075" w:rsidR="00883F92" w:rsidRPr="002029AF" w:rsidRDefault="00883F92" w:rsidP="001E768A">
      <w:pPr>
        <w:pStyle w:val="ARbullet1"/>
      </w:pPr>
      <w:r w:rsidRPr="002029AF">
        <w:t>The</w:t>
      </w:r>
      <w:r w:rsidR="000A5329" w:rsidRPr="002029AF">
        <w:t xml:space="preserve"> </w:t>
      </w:r>
      <w:r w:rsidRPr="002029AF">
        <w:t>Department</w:t>
      </w:r>
      <w:r w:rsidR="000A5329" w:rsidRPr="002029AF">
        <w:t xml:space="preserve"> </w:t>
      </w:r>
      <w:r w:rsidRPr="002029AF">
        <w:t>of</w:t>
      </w:r>
      <w:r w:rsidR="000A5329" w:rsidRPr="002029AF">
        <w:t xml:space="preserve"> </w:t>
      </w:r>
      <w:r w:rsidRPr="002029AF">
        <w:t>Health</w:t>
      </w:r>
      <w:r w:rsidR="000A5329" w:rsidRPr="002029AF">
        <w:t xml:space="preserve"> </w:t>
      </w:r>
      <w:r w:rsidRPr="002029AF">
        <w:t>and</w:t>
      </w:r>
      <w:r w:rsidR="000A5329" w:rsidRPr="002029AF">
        <w:t xml:space="preserve"> </w:t>
      </w:r>
      <w:r w:rsidRPr="002029AF">
        <w:t>Human</w:t>
      </w:r>
      <w:r w:rsidR="000A5329" w:rsidRPr="002029AF">
        <w:t xml:space="preserve"> </w:t>
      </w:r>
      <w:r w:rsidRPr="002029AF">
        <w:t>Services</w:t>
      </w:r>
      <w:r w:rsidR="00B12841">
        <w:t> </w:t>
      </w:r>
      <w:r w:rsidRPr="002029AF">
        <w:t>(</w:t>
      </w:r>
      <w:r w:rsidRPr="002029AF">
        <w:rPr>
          <w:lang w:eastAsia="en-AU"/>
        </w:rPr>
        <w:t>not</w:t>
      </w:r>
      <w:r w:rsidR="000A5329" w:rsidRPr="002029AF">
        <w:rPr>
          <w:lang w:eastAsia="en-AU"/>
        </w:rPr>
        <w:t xml:space="preserve"> </w:t>
      </w:r>
      <w:r w:rsidRPr="002029AF">
        <w:rPr>
          <w:lang w:eastAsia="en-AU"/>
        </w:rPr>
        <w:t>including</w:t>
      </w:r>
      <w:r w:rsidR="000A5329" w:rsidRPr="002029AF">
        <w:rPr>
          <w:lang w:eastAsia="en-AU"/>
        </w:rPr>
        <w:t xml:space="preserve"> </w:t>
      </w:r>
      <w:r w:rsidRPr="002029AF">
        <w:rPr>
          <w:lang w:eastAsia="en-AU"/>
        </w:rPr>
        <w:t>Director</w:t>
      </w:r>
      <w:r w:rsidR="000A5329" w:rsidRPr="002029AF">
        <w:rPr>
          <w:lang w:eastAsia="en-AU"/>
        </w:rPr>
        <w:t xml:space="preserve"> </w:t>
      </w:r>
      <w:r w:rsidRPr="002029AF">
        <w:rPr>
          <w:lang w:eastAsia="en-AU"/>
        </w:rPr>
        <w:t>of</w:t>
      </w:r>
      <w:r w:rsidR="000A5329" w:rsidRPr="002029AF">
        <w:rPr>
          <w:lang w:eastAsia="en-AU"/>
        </w:rPr>
        <w:t xml:space="preserve"> </w:t>
      </w:r>
      <w:r w:rsidRPr="002029AF">
        <w:rPr>
          <w:lang w:eastAsia="en-AU"/>
        </w:rPr>
        <w:t>Housing</w:t>
      </w:r>
      <w:r w:rsidR="000A5329" w:rsidRPr="002029AF">
        <w:rPr>
          <w:lang w:eastAsia="en-AU"/>
        </w:rPr>
        <w:t xml:space="preserve"> </w:t>
      </w:r>
      <w:r w:rsidR="0072759D" w:rsidRPr="002029AF">
        <w:rPr>
          <w:lang w:eastAsia="en-AU"/>
        </w:rPr>
        <w:t>– public</w:t>
      </w:r>
      <w:r w:rsidR="000A5329" w:rsidRPr="002029AF">
        <w:rPr>
          <w:lang w:eastAsia="en-AU"/>
        </w:rPr>
        <w:t xml:space="preserve"> </w:t>
      </w:r>
      <w:r w:rsidR="007236B3" w:rsidRPr="002029AF">
        <w:rPr>
          <w:lang w:eastAsia="en-AU"/>
        </w:rPr>
        <w:t>n</w:t>
      </w:r>
      <w:r w:rsidRPr="002029AF">
        <w:rPr>
          <w:lang w:eastAsia="en-AU"/>
        </w:rPr>
        <w:t>on-</w:t>
      </w:r>
      <w:r w:rsidR="007236B3" w:rsidRPr="002029AF">
        <w:rPr>
          <w:lang w:eastAsia="en-AU"/>
        </w:rPr>
        <w:t>f</w:t>
      </w:r>
      <w:r w:rsidRPr="002029AF">
        <w:rPr>
          <w:lang w:eastAsia="en-AU"/>
        </w:rPr>
        <w:t>inancial</w:t>
      </w:r>
      <w:r w:rsidR="000A5329" w:rsidRPr="002029AF">
        <w:rPr>
          <w:lang w:eastAsia="en-AU"/>
        </w:rPr>
        <w:t xml:space="preserve"> </w:t>
      </w:r>
      <w:r w:rsidR="007236B3" w:rsidRPr="002029AF">
        <w:rPr>
          <w:lang w:eastAsia="en-AU"/>
        </w:rPr>
        <w:t>c</w:t>
      </w:r>
      <w:r w:rsidRPr="002029AF">
        <w:rPr>
          <w:lang w:eastAsia="en-AU"/>
        </w:rPr>
        <w:t>orporation)</w:t>
      </w:r>
    </w:p>
    <w:p w14:paraId="1BD57C12" w14:textId="05911C77" w:rsidR="00883F92" w:rsidRPr="002029AF" w:rsidRDefault="00883F92" w:rsidP="001E768A">
      <w:pPr>
        <w:pStyle w:val="ARbullet1"/>
      </w:pPr>
      <w:r w:rsidRPr="002029AF">
        <w:t>public</w:t>
      </w:r>
      <w:r w:rsidR="000A5329" w:rsidRPr="002029AF">
        <w:t xml:space="preserve"> </w:t>
      </w:r>
      <w:r w:rsidRPr="002029AF">
        <w:t>hospitals</w:t>
      </w:r>
      <w:r w:rsidR="000A5329" w:rsidRPr="002029AF">
        <w:t xml:space="preserve"> </w:t>
      </w:r>
      <w:r w:rsidRPr="002029AF">
        <w:t>and</w:t>
      </w:r>
      <w:r w:rsidR="000A5329" w:rsidRPr="002029AF">
        <w:t xml:space="preserve"> </w:t>
      </w:r>
      <w:r w:rsidRPr="002029AF">
        <w:t>public</w:t>
      </w:r>
      <w:r w:rsidR="000A5329" w:rsidRPr="002029AF">
        <w:t xml:space="preserve"> </w:t>
      </w:r>
      <w:r w:rsidRPr="002029AF">
        <w:t>health</w:t>
      </w:r>
      <w:r w:rsidR="000A5329" w:rsidRPr="002029AF">
        <w:t xml:space="preserve"> </w:t>
      </w:r>
      <w:r w:rsidRPr="002029AF">
        <w:t>services</w:t>
      </w:r>
    </w:p>
    <w:p w14:paraId="68056E1E" w14:textId="634C46F0" w:rsidR="00883F92" w:rsidRPr="002029AF" w:rsidRDefault="00883F92" w:rsidP="001E768A">
      <w:pPr>
        <w:pStyle w:val="ARbullet1"/>
      </w:pPr>
      <w:r w:rsidRPr="002029AF">
        <w:t>multipurpose</w:t>
      </w:r>
      <w:r w:rsidR="000A5329" w:rsidRPr="002029AF">
        <w:t xml:space="preserve"> </w:t>
      </w:r>
      <w:r w:rsidRPr="002029AF">
        <w:t>services</w:t>
      </w:r>
    </w:p>
    <w:p w14:paraId="335E5BDA" w14:textId="40E141D8" w:rsidR="00883F92" w:rsidRPr="002029AF" w:rsidRDefault="00883F92" w:rsidP="001E768A">
      <w:pPr>
        <w:pStyle w:val="ARbullet1"/>
      </w:pPr>
      <w:r w:rsidRPr="002029AF">
        <w:t>Ambulance</w:t>
      </w:r>
      <w:r w:rsidR="000A5329" w:rsidRPr="002029AF">
        <w:t xml:space="preserve"> </w:t>
      </w:r>
      <w:r w:rsidRPr="002029AF">
        <w:t>Victoria</w:t>
      </w:r>
    </w:p>
    <w:p w14:paraId="45F683B3" w14:textId="0EAEEDBA" w:rsidR="00883F92" w:rsidRPr="002029AF" w:rsidRDefault="00883F92" w:rsidP="001E768A">
      <w:pPr>
        <w:pStyle w:val="ARbullet1"/>
      </w:pPr>
      <w:r w:rsidRPr="002029AF">
        <w:t>Health</w:t>
      </w:r>
      <w:r w:rsidR="000A5329" w:rsidRPr="002029AF">
        <w:t xml:space="preserve"> </w:t>
      </w:r>
      <w:r w:rsidRPr="002029AF">
        <w:t>Purchasing</w:t>
      </w:r>
      <w:r w:rsidR="000A5329" w:rsidRPr="002029AF">
        <w:t xml:space="preserve"> </w:t>
      </w:r>
      <w:r w:rsidRPr="002029AF">
        <w:t>Victoria</w:t>
      </w:r>
    </w:p>
    <w:p w14:paraId="1D274B23" w14:textId="5F11C0ED" w:rsidR="00883F92" w:rsidRPr="002029AF" w:rsidRDefault="00883F92" w:rsidP="001E768A">
      <w:pPr>
        <w:pStyle w:val="ARbullet1"/>
      </w:pPr>
      <w:r w:rsidRPr="002029AF">
        <w:t>Victorian</w:t>
      </w:r>
      <w:r w:rsidR="000A5329" w:rsidRPr="002029AF">
        <w:t xml:space="preserve"> </w:t>
      </w:r>
      <w:r w:rsidRPr="002029AF">
        <w:t>Assisted</w:t>
      </w:r>
      <w:r w:rsidR="000A5329" w:rsidRPr="002029AF">
        <w:t xml:space="preserve"> </w:t>
      </w:r>
      <w:r w:rsidRPr="002029AF">
        <w:t>Reproductive</w:t>
      </w:r>
      <w:r w:rsidR="000A5329" w:rsidRPr="002029AF">
        <w:t xml:space="preserve"> </w:t>
      </w:r>
      <w:r w:rsidRPr="002029AF">
        <w:t>Treatment</w:t>
      </w:r>
      <w:r w:rsidR="000A5329" w:rsidRPr="002029AF">
        <w:t xml:space="preserve"> </w:t>
      </w:r>
      <w:r w:rsidRPr="002029AF">
        <w:t>Authority</w:t>
      </w:r>
    </w:p>
    <w:p w14:paraId="077A40C8" w14:textId="473B9420" w:rsidR="00883F92" w:rsidRPr="002029AF" w:rsidRDefault="00883F92" w:rsidP="001E768A">
      <w:pPr>
        <w:pStyle w:val="ARbullet1"/>
      </w:pPr>
      <w:r w:rsidRPr="002029AF">
        <w:t>Victorian</w:t>
      </w:r>
      <w:r w:rsidR="000A5329" w:rsidRPr="002029AF">
        <w:t xml:space="preserve"> </w:t>
      </w:r>
      <w:r w:rsidRPr="002029AF">
        <w:t>Institute</w:t>
      </w:r>
      <w:r w:rsidR="000A5329" w:rsidRPr="002029AF">
        <w:t xml:space="preserve"> </w:t>
      </w:r>
      <w:r w:rsidRPr="002029AF">
        <w:t>of</w:t>
      </w:r>
      <w:r w:rsidR="000A5329" w:rsidRPr="002029AF">
        <w:t xml:space="preserve"> </w:t>
      </w:r>
      <w:r w:rsidRPr="002029AF">
        <w:t>Forensic</w:t>
      </w:r>
      <w:r w:rsidR="000A5329" w:rsidRPr="002029AF">
        <w:t xml:space="preserve"> </w:t>
      </w:r>
      <w:r w:rsidRPr="002029AF">
        <w:t>Mental</w:t>
      </w:r>
      <w:r w:rsidR="000A5329" w:rsidRPr="002029AF">
        <w:t xml:space="preserve"> </w:t>
      </w:r>
      <w:r w:rsidRPr="002029AF">
        <w:t>Health</w:t>
      </w:r>
    </w:p>
    <w:p w14:paraId="7813DB92" w14:textId="7561062F" w:rsidR="00883F92" w:rsidRPr="002029AF" w:rsidRDefault="00883F92" w:rsidP="001E768A">
      <w:pPr>
        <w:pStyle w:val="ARbullet1"/>
      </w:pPr>
      <w:r w:rsidRPr="002029AF">
        <w:t>Disability</w:t>
      </w:r>
      <w:r w:rsidR="000A5329" w:rsidRPr="002029AF">
        <w:t xml:space="preserve"> </w:t>
      </w:r>
      <w:r w:rsidRPr="002029AF">
        <w:t>Services</w:t>
      </w:r>
      <w:r w:rsidR="000A5329" w:rsidRPr="002029AF">
        <w:t xml:space="preserve"> </w:t>
      </w:r>
      <w:r w:rsidRPr="002029AF">
        <w:t>Commissioner</w:t>
      </w:r>
    </w:p>
    <w:p w14:paraId="2CDB629B" w14:textId="0BA88CA6" w:rsidR="00883F92" w:rsidRPr="002029AF" w:rsidRDefault="00883F92" w:rsidP="001E768A">
      <w:pPr>
        <w:pStyle w:val="ARbullet1"/>
      </w:pPr>
      <w:r w:rsidRPr="002029AF">
        <w:t>Mental</w:t>
      </w:r>
      <w:r w:rsidR="000A5329" w:rsidRPr="002029AF">
        <w:t xml:space="preserve"> </w:t>
      </w:r>
      <w:r w:rsidRPr="002029AF">
        <w:t>Health</w:t>
      </w:r>
      <w:r w:rsidR="000A5329" w:rsidRPr="002029AF">
        <w:t xml:space="preserve"> </w:t>
      </w:r>
      <w:r w:rsidRPr="002029AF">
        <w:t>Tribunal</w:t>
      </w:r>
    </w:p>
    <w:p w14:paraId="7762A3CE" w14:textId="4F860090" w:rsidR="00883F92" w:rsidRPr="002029AF" w:rsidRDefault="00883F92" w:rsidP="001E768A">
      <w:pPr>
        <w:pStyle w:val="ARbullet1"/>
      </w:pPr>
      <w:r w:rsidRPr="002029AF">
        <w:t>Commission</w:t>
      </w:r>
      <w:r w:rsidR="000A5329" w:rsidRPr="002029AF">
        <w:t xml:space="preserve"> </w:t>
      </w:r>
      <w:r w:rsidRPr="002029AF">
        <w:t>for</w:t>
      </w:r>
      <w:r w:rsidR="000A5329" w:rsidRPr="002029AF">
        <w:t xml:space="preserve"> </w:t>
      </w:r>
      <w:r w:rsidRPr="002029AF">
        <w:t>Children</w:t>
      </w:r>
      <w:r w:rsidR="000A5329" w:rsidRPr="002029AF">
        <w:t xml:space="preserve"> </w:t>
      </w:r>
      <w:r w:rsidRPr="002029AF">
        <w:t>and</w:t>
      </w:r>
      <w:r w:rsidR="000A5329" w:rsidRPr="002029AF">
        <w:t xml:space="preserve"> </w:t>
      </w:r>
      <w:r w:rsidRPr="002029AF">
        <w:t>Young</w:t>
      </w:r>
      <w:r w:rsidR="000A5329" w:rsidRPr="002029AF">
        <w:t xml:space="preserve"> </w:t>
      </w:r>
      <w:r w:rsidRPr="002029AF">
        <w:t>People</w:t>
      </w:r>
    </w:p>
    <w:p w14:paraId="1E330B53" w14:textId="52F45B84" w:rsidR="00883F92" w:rsidRPr="002029AF" w:rsidRDefault="00883F92" w:rsidP="001E768A">
      <w:pPr>
        <w:pStyle w:val="ARbullet1"/>
      </w:pPr>
      <w:r w:rsidRPr="002029AF">
        <w:t>Tweddle</w:t>
      </w:r>
      <w:r w:rsidR="000A5329" w:rsidRPr="002029AF">
        <w:t xml:space="preserve"> </w:t>
      </w:r>
      <w:r w:rsidRPr="002029AF">
        <w:t>Child</w:t>
      </w:r>
      <w:r w:rsidR="000A5329" w:rsidRPr="002029AF">
        <w:t xml:space="preserve"> </w:t>
      </w:r>
      <w:r w:rsidRPr="002029AF">
        <w:t>and</w:t>
      </w:r>
      <w:r w:rsidR="000A5329" w:rsidRPr="002029AF">
        <w:t xml:space="preserve"> </w:t>
      </w:r>
      <w:r w:rsidRPr="002029AF">
        <w:t>Family</w:t>
      </w:r>
      <w:r w:rsidR="000A5329" w:rsidRPr="002029AF">
        <w:t xml:space="preserve"> </w:t>
      </w:r>
      <w:r w:rsidRPr="002029AF">
        <w:t>Health</w:t>
      </w:r>
      <w:r w:rsidR="000A5329" w:rsidRPr="002029AF">
        <w:t xml:space="preserve"> </w:t>
      </w:r>
      <w:r w:rsidRPr="002029AF">
        <w:t>Service</w:t>
      </w:r>
    </w:p>
    <w:p w14:paraId="274641CD" w14:textId="2CC42380" w:rsidR="00883F92" w:rsidRPr="002029AF" w:rsidRDefault="00883F92" w:rsidP="001E768A">
      <w:pPr>
        <w:pStyle w:val="ARbullet1"/>
      </w:pPr>
      <w:r w:rsidRPr="002029AF">
        <w:t>The</w:t>
      </w:r>
      <w:r w:rsidR="000A5329" w:rsidRPr="002029AF">
        <w:t xml:space="preserve"> </w:t>
      </w:r>
      <w:r w:rsidRPr="002029AF">
        <w:t>Queen</w:t>
      </w:r>
      <w:r w:rsidR="000A5329" w:rsidRPr="002029AF">
        <w:t xml:space="preserve"> </w:t>
      </w:r>
      <w:r w:rsidRPr="002029AF">
        <w:t>Elizabeth</w:t>
      </w:r>
      <w:r w:rsidR="000A5329" w:rsidRPr="002029AF">
        <w:t xml:space="preserve"> </w:t>
      </w:r>
      <w:r w:rsidRPr="002029AF">
        <w:t>Centre</w:t>
      </w:r>
    </w:p>
    <w:p w14:paraId="4D57165C" w14:textId="425CB0BA" w:rsidR="00883F92" w:rsidRPr="002029AF" w:rsidRDefault="00883F92" w:rsidP="001E768A">
      <w:pPr>
        <w:pStyle w:val="ARbullet1"/>
      </w:pPr>
      <w:r w:rsidRPr="002029AF">
        <w:t>Victorian</w:t>
      </w:r>
      <w:r w:rsidR="000A5329" w:rsidRPr="002029AF">
        <w:t xml:space="preserve"> </w:t>
      </w:r>
      <w:r w:rsidRPr="002029AF">
        <w:t>Health</w:t>
      </w:r>
      <w:r w:rsidR="000A5329" w:rsidRPr="002029AF">
        <w:t xml:space="preserve"> </w:t>
      </w:r>
      <w:r w:rsidRPr="002029AF">
        <w:t>Promotion</w:t>
      </w:r>
      <w:r w:rsidR="000A5329" w:rsidRPr="002029AF">
        <w:t xml:space="preserve"> </w:t>
      </w:r>
      <w:r w:rsidRPr="002029AF">
        <w:t>Foundation</w:t>
      </w:r>
      <w:r w:rsidR="007A2140" w:rsidRPr="002029AF">
        <w:t>.</w:t>
      </w:r>
    </w:p>
    <w:p w14:paraId="584F0518" w14:textId="7B6036E9" w:rsidR="00883F92" w:rsidRPr="002029AF" w:rsidRDefault="00883F92" w:rsidP="00B35A79">
      <w:pPr>
        <w:pStyle w:val="ARbodyafterbullets"/>
      </w:pPr>
      <w:r w:rsidRPr="002029AF">
        <w:t>The</w:t>
      </w:r>
      <w:r w:rsidR="000A5329" w:rsidRPr="002029AF">
        <w:t xml:space="preserve"> </w:t>
      </w:r>
      <w:r w:rsidRPr="002029AF">
        <w:t>portfolio</w:t>
      </w:r>
      <w:r w:rsidR="000A5329" w:rsidRPr="002029AF">
        <w:t xml:space="preserve"> </w:t>
      </w:r>
      <w:r w:rsidRPr="002029AF">
        <w:t>budget</w:t>
      </w:r>
      <w:r w:rsidR="000A5329" w:rsidRPr="002029AF">
        <w:t xml:space="preserve"> </w:t>
      </w:r>
      <w:r w:rsidRPr="002029AF">
        <w:t>outcomes</w:t>
      </w:r>
      <w:r w:rsidR="000A5329" w:rsidRPr="002029AF">
        <w:t xml:space="preserve"> </w:t>
      </w:r>
      <w:r w:rsidRPr="002029AF">
        <w:t>statements</w:t>
      </w:r>
      <w:r w:rsidR="000A5329" w:rsidRPr="002029AF">
        <w:t xml:space="preserve"> </w:t>
      </w:r>
      <w:r w:rsidRPr="002029AF">
        <w:t>include</w:t>
      </w:r>
      <w:r w:rsidR="000A5329" w:rsidRPr="002029AF">
        <w:t xml:space="preserve"> </w:t>
      </w:r>
      <w:r w:rsidRPr="002029AF">
        <w:t>funding</w:t>
      </w:r>
      <w:r w:rsidR="000A5329" w:rsidRPr="002029AF">
        <w:t xml:space="preserve"> </w:t>
      </w:r>
      <w:r w:rsidRPr="002029AF">
        <w:t>from</w:t>
      </w:r>
      <w:r w:rsidR="000A5329" w:rsidRPr="002029AF">
        <w:t xml:space="preserve"> </w:t>
      </w:r>
      <w:r w:rsidRPr="002029AF">
        <w:t>the</w:t>
      </w:r>
      <w:r w:rsidR="000A5329" w:rsidRPr="002029AF">
        <w:t xml:space="preserve"> </w:t>
      </w:r>
      <w:r w:rsidRPr="002029AF">
        <w:t>Commonwealth</w:t>
      </w:r>
      <w:r w:rsidR="000A5329" w:rsidRPr="002029AF">
        <w:t xml:space="preserve"> </w:t>
      </w:r>
      <w:r w:rsidRPr="002029AF">
        <w:t>Government</w:t>
      </w:r>
      <w:r w:rsidR="000A5329" w:rsidRPr="002029AF">
        <w:t xml:space="preserve"> </w:t>
      </w:r>
      <w:r w:rsidRPr="002029AF">
        <w:t>and</w:t>
      </w:r>
      <w:r w:rsidR="000A5329" w:rsidRPr="002029AF">
        <w:t xml:space="preserve"> </w:t>
      </w:r>
      <w:r w:rsidRPr="002029AF">
        <w:t>revenue</w:t>
      </w:r>
      <w:r w:rsidR="000A5329" w:rsidRPr="002029AF">
        <w:t xml:space="preserve"> </w:t>
      </w:r>
      <w:r w:rsidRPr="002029AF">
        <w:t>from</w:t>
      </w:r>
      <w:r w:rsidR="000A5329" w:rsidRPr="002029AF">
        <w:t xml:space="preserve"> </w:t>
      </w:r>
      <w:r w:rsidRPr="002029AF">
        <w:t>the</w:t>
      </w:r>
      <w:r w:rsidR="000A5329" w:rsidRPr="002029AF">
        <w:t xml:space="preserve"> </w:t>
      </w:r>
      <w:r w:rsidRPr="002029AF">
        <w:t>sale</w:t>
      </w:r>
      <w:r w:rsidR="000A5329" w:rsidRPr="002029AF">
        <w:t xml:space="preserve"> </w:t>
      </w:r>
      <w:r w:rsidRPr="002029AF">
        <w:t>of</w:t>
      </w:r>
      <w:r w:rsidR="000A5329" w:rsidRPr="002029AF">
        <w:t xml:space="preserve"> </w:t>
      </w:r>
      <w:r w:rsidRPr="002029AF">
        <w:t>services</w:t>
      </w:r>
      <w:r w:rsidR="000A5329" w:rsidRPr="002029AF">
        <w:t xml:space="preserve"> </w:t>
      </w:r>
      <w:r w:rsidRPr="002029AF">
        <w:t>attributed</w:t>
      </w:r>
      <w:r w:rsidR="000A5329" w:rsidRPr="002029AF">
        <w:t xml:space="preserve"> </w:t>
      </w:r>
      <w:r w:rsidRPr="002029AF">
        <w:t>to</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from</w:t>
      </w:r>
      <w:r w:rsidR="000A5329" w:rsidRPr="002029AF">
        <w:t xml:space="preserve"> </w:t>
      </w:r>
      <w:r w:rsidRPr="002029AF">
        <w:t>the</w:t>
      </w:r>
      <w:r w:rsidR="000A5329" w:rsidRPr="002029AF">
        <w:t xml:space="preserve"> </w:t>
      </w:r>
      <w:r w:rsidRPr="002029AF">
        <w:t>state</w:t>
      </w:r>
      <w:r w:rsidR="000A5329" w:rsidRPr="002029AF">
        <w:t xml:space="preserve"> </w:t>
      </w:r>
      <w:r w:rsidRPr="002029AF">
        <w:t>government.</w:t>
      </w:r>
      <w:r w:rsidR="000A5329" w:rsidRPr="002029AF">
        <w:t xml:space="preserve"> </w:t>
      </w:r>
      <w:r w:rsidRPr="002029AF">
        <w:t>They</w:t>
      </w:r>
      <w:r w:rsidR="000A5329" w:rsidRPr="002029AF">
        <w:t xml:space="preserve"> </w:t>
      </w:r>
      <w:r w:rsidRPr="002029AF">
        <w:t>also</w:t>
      </w:r>
      <w:r w:rsidR="000A5329" w:rsidRPr="002029AF">
        <w:t xml:space="preserve"> </w:t>
      </w:r>
      <w:r w:rsidRPr="002029AF">
        <w:t>include</w:t>
      </w:r>
      <w:r w:rsidR="000A5329" w:rsidRPr="002029AF">
        <w:t xml:space="preserve"> </w:t>
      </w:r>
      <w:r w:rsidRPr="002029AF">
        <w:t>income</w:t>
      </w:r>
      <w:r w:rsidR="000A5329" w:rsidRPr="002029AF">
        <w:t xml:space="preserve"> </w:t>
      </w:r>
      <w:r w:rsidRPr="002029AF">
        <w:t>and</w:t>
      </w:r>
      <w:r w:rsidR="000A5329" w:rsidRPr="002029AF">
        <w:t xml:space="preserve"> </w:t>
      </w:r>
      <w:r w:rsidRPr="002029AF">
        <w:t>expenses</w:t>
      </w:r>
      <w:r w:rsidR="000A5329" w:rsidRPr="002029AF">
        <w:t xml:space="preserve"> </w:t>
      </w:r>
      <w:r w:rsidRPr="002029AF">
        <w:t>associated</w:t>
      </w:r>
      <w:r w:rsidR="000A5329" w:rsidRPr="002029AF">
        <w:t xml:space="preserve"> </w:t>
      </w:r>
      <w:r w:rsidRPr="002029AF">
        <w:t>with</w:t>
      </w:r>
      <w:r w:rsidR="000A5329" w:rsidRPr="002029AF">
        <w:t xml:space="preserve"> </w:t>
      </w:r>
      <w:r w:rsidRPr="002029AF">
        <w:t>National</w:t>
      </w:r>
      <w:r w:rsidR="000A5329" w:rsidRPr="002029AF">
        <w:t xml:space="preserve"> </w:t>
      </w:r>
      <w:r w:rsidRPr="002029AF">
        <w:t>Health</w:t>
      </w:r>
      <w:r w:rsidR="000A5329" w:rsidRPr="002029AF">
        <w:t xml:space="preserve"> </w:t>
      </w:r>
      <w:r w:rsidRPr="002029AF">
        <w:t>Reform</w:t>
      </w:r>
      <w:r w:rsidR="000A5329" w:rsidRPr="002029AF">
        <w:t xml:space="preserve"> </w:t>
      </w:r>
      <w:r w:rsidRPr="002029AF">
        <w:t>funding</w:t>
      </w:r>
      <w:r w:rsidR="000A5329" w:rsidRPr="002029AF">
        <w:t xml:space="preserve"> </w:t>
      </w:r>
      <w:r w:rsidRPr="002029AF">
        <w:t>as</w:t>
      </w:r>
      <w:r w:rsidR="000A5329" w:rsidRPr="002029AF">
        <w:t xml:space="preserve"> </w:t>
      </w:r>
      <w:r w:rsidRPr="002029AF">
        <w:t>well</w:t>
      </w:r>
      <w:r w:rsidR="000A5329" w:rsidRPr="002029AF">
        <w:t xml:space="preserve"> </w:t>
      </w:r>
      <w:r w:rsidRPr="002029AF">
        <w:t>as</w:t>
      </w:r>
      <w:r w:rsidR="000A5329" w:rsidRPr="002029AF">
        <w:t xml:space="preserve"> </w:t>
      </w:r>
      <w:r w:rsidRPr="002029AF">
        <w:t>National</w:t>
      </w:r>
      <w:r w:rsidR="000A5329" w:rsidRPr="002029AF">
        <w:t xml:space="preserve"> </w:t>
      </w:r>
      <w:r w:rsidRPr="002029AF">
        <w:t>Disability</w:t>
      </w:r>
      <w:r w:rsidR="000A5329" w:rsidRPr="002029AF">
        <w:t xml:space="preserve"> </w:t>
      </w:r>
      <w:r w:rsidRPr="002029AF">
        <w:t>Insurance</w:t>
      </w:r>
      <w:r w:rsidR="000A5329" w:rsidRPr="002029AF">
        <w:t xml:space="preserve"> </w:t>
      </w:r>
      <w:r w:rsidRPr="002029AF">
        <w:t>Scheme</w:t>
      </w:r>
      <w:r w:rsidR="000A5329" w:rsidRPr="002029AF">
        <w:t xml:space="preserve"> </w:t>
      </w:r>
      <w:r w:rsidRPr="002029AF">
        <w:t>funding,</w:t>
      </w:r>
      <w:r w:rsidR="000A5329" w:rsidRPr="002029AF">
        <w:t xml:space="preserve"> </w:t>
      </w:r>
      <w:r w:rsidRPr="002029AF">
        <w:t>which</w:t>
      </w:r>
      <w:r w:rsidR="000A5329" w:rsidRPr="002029AF">
        <w:t xml:space="preserve"> </w:t>
      </w:r>
      <w:r w:rsidRPr="002029AF">
        <w:t>are</w:t>
      </w:r>
      <w:r w:rsidR="000A5329" w:rsidRPr="002029AF">
        <w:t xml:space="preserve"> </w:t>
      </w:r>
      <w:r w:rsidRPr="002029AF">
        <w:t>reported</w:t>
      </w:r>
      <w:r w:rsidR="000A5329" w:rsidRPr="002029AF">
        <w:t xml:space="preserve"> </w:t>
      </w:r>
      <w:r w:rsidRPr="002029AF">
        <w:t>in</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administered</w:t>
      </w:r>
      <w:r w:rsidR="000A5329" w:rsidRPr="002029AF">
        <w:t xml:space="preserve"> </w:t>
      </w:r>
      <w:r w:rsidRPr="002029AF">
        <w:t>accounts.</w:t>
      </w:r>
    </w:p>
    <w:p w14:paraId="6A8354A4" w14:textId="02BA941B" w:rsidR="00883F92" w:rsidRPr="002029AF" w:rsidRDefault="00883F92" w:rsidP="00A148CF">
      <w:pPr>
        <w:pStyle w:val="Heading3"/>
      </w:pPr>
      <w:r w:rsidRPr="002029AF">
        <w:t>Funding</w:t>
      </w:r>
      <w:r w:rsidR="000A5329" w:rsidRPr="002029AF">
        <w:t xml:space="preserve"> </w:t>
      </w:r>
      <w:r w:rsidRPr="002029AF">
        <w:t>arrangements</w:t>
      </w:r>
      <w:r w:rsidR="000A5329" w:rsidRPr="002029AF">
        <w:t xml:space="preserve"> </w:t>
      </w:r>
      <w:r w:rsidRPr="002029AF">
        <w:t>under</w:t>
      </w:r>
      <w:r w:rsidR="000A5329" w:rsidRPr="002029AF">
        <w:t xml:space="preserve"> </w:t>
      </w:r>
      <w:r w:rsidRPr="002029AF">
        <w:t>National</w:t>
      </w:r>
      <w:r w:rsidR="000A5329" w:rsidRPr="002029AF">
        <w:t xml:space="preserve"> </w:t>
      </w:r>
      <w:r w:rsidRPr="002029AF">
        <w:t>Health</w:t>
      </w:r>
      <w:r w:rsidR="000A5329" w:rsidRPr="002029AF">
        <w:t xml:space="preserve"> </w:t>
      </w:r>
      <w:r w:rsidRPr="002029AF">
        <w:t>Reform</w:t>
      </w:r>
    </w:p>
    <w:p w14:paraId="4B52F922" w14:textId="39F900AB" w:rsidR="00883F92" w:rsidRPr="002029AF" w:rsidRDefault="00883F92" w:rsidP="00B35A79">
      <w:pPr>
        <w:pStyle w:val="ARbody"/>
      </w:pPr>
      <w:r w:rsidRPr="002029AF">
        <w:t>The</w:t>
      </w:r>
      <w:r w:rsidR="000A5329" w:rsidRPr="002029AF">
        <w:t xml:space="preserve"> </w:t>
      </w:r>
      <w:r w:rsidRPr="002029AF">
        <w:t>2019–20</w:t>
      </w:r>
      <w:r w:rsidR="000A5329" w:rsidRPr="002029AF">
        <w:t xml:space="preserve"> </w:t>
      </w:r>
      <w:r w:rsidRPr="002029AF">
        <w:t>administered</w:t>
      </w:r>
      <w:r w:rsidR="000A5329" w:rsidRPr="002029AF">
        <w:t xml:space="preserve"> </w:t>
      </w:r>
      <w:r w:rsidRPr="002029AF">
        <w:t>items</w:t>
      </w:r>
      <w:r w:rsidR="000A5329" w:rsidRPr="002029AF">
        <w:t xml:space="preserve"> </w:t>
      </w:r>
      <w:r w:rsidRPr="002029AF">
        <w:t>statement</w:t>
      </w:r>
      <w:r w:rsidR="000A5329" w:rsidRPr="002029AF">
        <w:t xml:space="preserve"> </w:t>
      </w:r>
      <w:r w:rsidRPr="002029AF">
        <w:t>reflects</w:t>
      </w:r>
      <w:r w:rsidR="00B12841">
        <w:t> </w:t>
      </w:r>
      <w:r w:rsidRPr="002029AF">
        <w:t>the</w:t>
      </w:r>
      <w:r w:rsidR="000A5329" w:rsidRPr="002029AF">
        <w:t xml:space="preserve"> </w:t>
      </w:r>
      <w:r w:rsidRPr="002029AF">
        <w:t>funding</w:t>
      </w:r>
      <w:r w:rsidR="000A5329" w:rsidRPr="002029AF">
        <w:t xml:space="preserve"> </w:t>
      </w:r>
      <w:r w:rsidRPr="002029AF">
        <w:t>arrangements</w:t>
      </w:r>
      <w:r w:rsidR="000A5329" w:rsidRPr="002029AF">
        <w:t xml:space="preserve"> </w:t>
      </w:r>
      <w:r w:rsidRPr="002029AF">
        <w:t>under</w:t>
      </w:r>
      <w:r w:rsidR="000A5329" w:rsidRPr="002029AF">
        <w:t xml:space="preserve"> </w:t>
      </w:r>
      <w:r w:rsidRPr="002029AF">
        <w:t>the</w:t>
      </w:r>
      <w:r w:rsidR="000A5329" w:rsidRPr="002029AF">
        <w:t xml:space="preserve"> </w:t>
      </w:r>
      <w:r w:rsidRPr="002029AF">
        <w:t>joint</w:t>
      </w:r>
      <w:r w:rsidR="000A5329" w:rsidRPr="002029AF">
        <w:t xml:space="preserve"> </w:t>
      </w:r>
      <w:r w:rsidRPr="002029AF">
        <w:t>Commonwealth–State</w:t>
      </w:r>
      <w:r w:rsidR="000A5329" w:rsidRPr="002029AF">
        <w:t xml:space="preserve"> </w:t>
      </w:r>
      <w:r w:rsidRPr="002029AF">
        <w:t>National</w:t>
      </w:r>
      <w:r w:rsidR="000A5329" w:rsidRPr="002029AF">
        <w:t xml:space="preserve"> </w:t>
      </w:r>
      <w:r w:rsidRPr="002029AF">
        <w:t>Health</w:t>
      </w:r>
      <w:r w:rsidR="000A5329" w:rsidRPr="002029AF">
        <w:t xml:space="preserve"> </w:t>
      </w:r>
      <w:r w:rsidRPr="002029AF">
        <w:t>Reform</w:t>
      </w:r>
      <w:r w:rsidR="000A5329" w:rsidRPr="002029AF">
        <w:t xml:space="preserve"> </w:t>
      </w:r>
      <w:r w:rsidRPr="002029AF">
        <w:t>Agreement.</w:t>
      </w:r>
      <w:r w:rsidR="000A5329" w:rsidRPr="002029AF">
        <w:t xml:space="preserve"> </w:t>
      </w:r>
      <w:r w:rsidRPr="002029AF">
        <w:t>The</w:t>
      </w:r>
      <w:r w:rsidR="000A5329" w:rsidRPr="002029AF">
        <w:t xml:space="preserve"> </w:t>
      </w:r>
      <w:r w:rsidRPr="002029AF">
        <w:t>arrangement</w:t>
      </w:r>
      <w:r w:rsidR="000A5329" w:rsidRPr="002029AF">
        <w:t xml:space="preserve"> </w:t>
      </w:r>
      <w:r w:rsidRPr="002029AF">
        <w:t>provides</w:t>
      </w:r>
      <w:r w:rsidR="000A5329" w:rsidRPr="002029AF">
        <w:t xml:space="preserve"> </w:t>
      </w:r>
      <w:r w:rsidRPr="002029AF">
        <w:t>for</w:t>
      </w:r>
      <w:r w:rsidR="000A5329" w:rsidRPr="002029AF">
        <w:t xml:space="preserve"> </w:t>
      </w:r>
      <w:r w:rsidRPr="002029AF">
        <w:t>Commonwealth</w:t>
      </w:r>
      <w:r w:rsidR="000A5329" w:rsidRPr="002029AF">
        <w:t xml:space="preserve"> </w:t>
      </w:r>
      <w:r w:rsidRPr="002029AF">
        <w:t>funding</w:t>
      </w:r>
      <w:r w:rsidR="000A5329" w:rsidRPr="002029AF">
        <w:t xml:space="preserve"> </w:t>
      </w:r>
      <w:r w:rsidRPr="002029AF">
        <w:t>to</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to</w:t>
      </w:r>
      <w:r w:rsidR="000A5329" w:rsidRPr="002029AF">
        <w:t xml:space="preserve"> </w:t>
      </w:r>
      <w:r w:rsidRPr="002029AF">
        <w:t>be</w:t>
      </w:r>
      <w:r w:rsidR="000A5329" w:rsidRPr="002029AF">
        <w:t xml:space="preserve"> </w:t>
      </w:r>
      <w:r w:rsidRPr="002029AF">
        <w:t>overseen</w:t>
      </w:r>
      <w:r w:rsidR="000A5329" w:rsidRPr="002029AF">
        <w:t xml:space="preserve"> </w:t>
      </w:r>
      <w:r w:rsidRPr="002029AF">
        <w:t>by</w:t>
      </w:r>
      <w:r w:rsidR="000A5329" w:rsidRPr="002029AF">
        <w:t xml:space="preserve"> </w:t>
      </w:r>
      <w:r w:rsidRPr="002029AF">
        <w:t>the</w:t>
      </w:r>
      <w:r w:rsidR="000A5329" w:rsidRPr="002029AF">
        <w:t xml:space="preserve"> </w:t>
      </w:r>
      <w:r w:rsidRPr="002029AF">
        <w:t>Administrator</w:t>
      </w:r>
      <w:r w:rsidR="000A5329" w:rsidRPr="002029AF">
        <w:t xml:space="preserve"> </w:t>
      </w:r>
      <w:r w:rsidRPr="002029AF">
        <w:t>of</w:t>
      </w:r>
      <w:r w:rsidR="000A5329" w:rsidRPr="002029AF">
        <w:t xml:space="preserve"> </w:t>
      </w:r>
      <w:r w:rsidRPr="002029AF">
        <w:t>the</w:t>
      </w:r>
      <w:r w:rsidR="000A5329" w:rsidRPr="002029AF">
        <w:t xml:space="preserve"> </w:t>
      </w:r>
      <w:r w:rsidRPr="002029AF">
        <w:t>National</w:t>
      </w:r>
      <w:r w:rsidR="000A5329" w:rsidRPr="002029AF">
        <w:t xml:space="preserve"> </w:t>
      </w:r>
      <w:r w:rsidRPr="002029AF">
        <w:t>Health</w:t>
      </w:r>
      <w:r w:rsidR="000A5329" w:rsidRPr="002029AF">
        <w:t xml:space="preserve"> </w:t>
      </w:r>
      <w:r w:rsidRPr="002029AF">
        <w:t>Funding</w:t>
      </w:r>
      <w:r w:rsidR="000A5329" w:rsidRPr="002029AF">
        <w:t xml:space="preserve"> </w:t>
      </w:r>
      <w:r w:rsidRPr="002029AF">
        <w:t>Pool</w:t>
      </w:r>
      <w:r w:rsidR="000A5329" w:rsidRPr="002029AF">
        <w:t xml:space="preserve"> </w:t>
      </w:r>
      <w:r w:rsidRPr="002029AF">
        <w:t>via</w:t>
      </w:r>
      <w:r w:rsidR="000A5329" w:rsidRPr="002029AF">
        <w:t xml:space="preserve"> </w:t>
      </w:r>
      <w:r w:rsidRPr="002029AF">
        <w:t>Victoria’s</w:t>
      </w:r>
      <w:r w:rsidR="000A5329" w:rsidRPr="002029AF">
        <w:t xml:space="preserve"> </w:t>
      </w:r>
      <w:r w:rsidRPr="002029AF">
        <w:t>State</w:t>
      </w:r>
      <w:r w:rsidR="000A5329" w:rsidRPr="002029AF">
        <w:t xml:space="preserve"> </w:t>
      </w:r>
      <w:r w:rsidRPr="002029AF">
        <w:t>Pool</w:t>
      </w:r>
      <w:r w:rsidR="000A5329" w:rsidRPr="002029AF">
        <w:t xml:space="preserve"> </w:t>
      </w:r>
      <w:r w:rsidRPr="002029AF">
        <w:t>Account,</w:t>
      </w:r>
      <w:r w:rsidR="000A5329" w:rsidRPr="002029AF">
        <w:t xml:space="preserve"> </w:t>
      </w:r>
      <w:r w:rsidRPr="002029AF">
        <w:t>which</w:t>
      </w:r>
      <w:r w:rsidR="000A5329" w:rsidRPr="002029AF">
        <w:t xml:space="preserve"> </w:t>
      </w:r>
      <w:r w:rsidRPr="002029AF">
        <w:t>is</w:t>
      </w:r>
      <w:r w:rsidR="000A5329" w:rsidRPr="002029AF">
        <w:t xml:space="preserve"> </w:t>
      </w:r>
      <w:r w:rsidRPr="002029AF">
        <w:t>reported</w:t>
      </w:r>
      <w:r w:rsidR="000A5329" w:rsidRPr="002029AF">
        <w:t xml:space="preserve"> </w:t>
      </w:r>
      <w:r w:rsidRPr="002029AF">
        <w:t>in</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administered</w:t>
      </w:r>
      <w:r w:rsidR="000A5329" w:rsidRPr="002029AF">
        <w:t xml:space="preserve"> </w:t>
      </w:r>
      <w:r w:rsidRPr="002029AF">
        <w:t>accounts.</w:t>
      </w:r>
    </w:p>
    <w:p w14:paraId="492C7A39" w14:textId="44DE96B7" w:rsidR="00883F92" w:rsidRPr="002029AF" w:rsidRDefault="00883F92" w:rsidP="00B35A79">
      <w:pPr>
        <w:pStyle w:val="ARbody"/>
      </w:pPr>
      <w:r w:rsidRPr="002029AF">
        <w:t>The</w:t>
      </w:r>
      <w:r w:rsidR="000A5329" w:rsidRPr="002029AF">
        <w:t xml:space="preserve"> </w:t>
      </w:r>
      <w:r w:rsidRPr="002029AF">
        <w:t>administered</w:t>
      </w:r>
      <w:r w:rsidR="000A5329" w:rsidRPr="002029AF">
        <w:t xml:space="preserve"> </w:t>
      </w:r>
      <w:r w:rsidRPr="002029AF">
        <w:t>accounts</w:t>
      </w:r>
      <w:r w:rsidR="000A5329" w:rsidRPr="002029AF">
        <w:t xml:space="preserve"> </w:t>
      </w:r>
      <w:r w:rsidRPr="002029AF">
        <w:t>also</w:t>
      </w:r>
      <w:r w:rsidR="000A5329" w:rsidRPr="002029AF">
        <w:t xml:space="preserve"> </w:t>
      </w:r>
      <w:r w:rsidRPr="002029AF">
        <w:t>include</w:t>
      </w:r>
      <w:r w:rsidR="000A5329" w:rsidRPr="002029AF">
        <w:t xml:space="preserve"> </w:t>
      </w:r>
      <w:r w:rsidRPr="002029AF">
        <w:t>the</w:t>
      </w:r>
      <w:r w:rsidR="000A5329" w:rsidRPr="002029AF">
        <w:t xml:space="preserve"> </w:t>
      </w:r>
      <w:r w:rsidRPr="002029AF">
        <w:t>Victorian</w:t>
      </w:r>
      <w:r w:rsidR="000A5329" w:rsidRPr="002029AF">
        <w:t xml:space="preserve"> </w:t>
      </w:r>
      <w:r w:rsidRPr="002029AF">
        <w:t>contribution</w:t>
      </w:r>
      <w:r w:rsidR="000A5329" w:rsidRPr="002029AF">
        <w:t xml:space="preserve"> </w:t>
      </w:r>
      <w:r w:rsidRPr="002029AF">
        <w:t>to</w:t>
      </w:r>
      <w:r w:rsidR="000A5329" w:rsidRPr="002029AF">
        <w:t xml:space="preserve"> </w:t>
      </w:r>
      <w:r w:rsidRPr="002029AF">
        <w:t>activity</w:t>
      </w:r>
      <w:r w:rsidR="005C0774" w:rsidRPr="002029AF">
        <w:t>-</w:t>
      </w:r>
      <w:r w:rsidRPr="002029AF">
        <w:t>based</w:t>
      </w:r>
      <w:r w:rsidR="000A5329" w:rsidRPr="002029AF">
        <w:t xml:space="preserve"> </w:t>
      </w:r>
      <w:r w:rsidRPr="002029AF">
        <w:t>funding</w:t>
      </w:r>
      <w:r w:rsidR="000A5329" w:rsidRPr="002029AF">
        <w:t xml:space="preserve"> </w:t>
      </w:r>
      <w:r w:rsidRPr="002029AF">
        <w:t>for</w:t>
      </w:r>
      <w:r w:rsidR="007920F7" w:rsidRPr="002029AF">
        <w:t> </w:t>
      </w:r>
      <w:r w:rsidRPr="002029AF">
        <w:t>health</w:t>
      </w:r>
      <w:r w:rsidR="000A5329" w:rsidRPr="002029AF">
        <w:t xml:space="preserve"> </w:t>
      </w:r>
      <w:r w:rsidRPr="002029AF">
        <w:t>services</w:t>
      </w:r>
      <w:r w:rsidR="000A5329" w:rsidRPr="002029AF">
        <w:t xml:space="preserve"> </w:t>
      </w:r>
      <w:r w:rsidRPr="002029AF">
        <w:t>and</w:t>
      </w:r>
      <w:r w:rsidR="000A5329" w:rsidRPr="002029AF">
        <w:t xml:space="preserve"> </w:t>
      </w:r>
      <w:r w:rsidRPr="002029AF">
        <w:t>the</w:t>
      </w:r>
      <w:r w:rsidR="000A5329" w:rsidRPr="002029AF">
        <w:t xml:space="preserve"> </w:t>
      </w:r>
      <w:r w:rsidRPr="002029AF">
        <w:t>payment</w:t>
      </w:r>
      <w:r w:rsidR="000A5329" w:rsidRPr="002029AF">
        <w:t xml:space="preserve"> </w:t>
      </w:r>
      <w:r w:rsidRPr="002029AF">
        <w:t>of</w:t>
      </w:r>
      <w:r w:rsidR="000A5329" w:rsidRPr="002029AF">
        <w:t xml:space="preserve"> </w:t>
      </w:r>
      <w:r w:rsidRPr="002029AF">
        <w:t>the</w:t>
      </w:r>
      <w:r w:rsidR="000A5329" w:rsidRPr="002029AF">
        <w:t xml:space="preserve"> </w:t>
      </w:r>
      <w:r w:rsidRPr="002029AF">
        <w:t>Commonwealth</w:t>
      </w:r>
      <w:r w:rsidR="000A5329" w:rsidRPr="002029AF">
        <w:t xml:space="preserve"> </w:t>
      </w:r>
      <w:r w:rsidRPr="002029AF">
        <w:t>contribution</w:t>
      </w:r>
      <w:r w:rsidR="000A5329" w:rsidRPr="002029AF">
        <w:t xml:space="preserve"> </w:t>
      </w:r>
      <w:r w:rsidRPr="002029AF">
        <w:t>to</w:t>
      </w:r>
      <w:r w:rsidR="000A5329" w:rsidRPr="002029AF">
        <w:t xml:space="preserve"> </w:t>
      </w:r>
      <w:r w:rsidRPr="002029AF">
        <w:t>block</w:t>
      </w:r>
      <w:r w:rsidR="005C0774" w:rsidRPr="002029AF">
        <w:t>-</w:t>
      </w:r>
      <w:r w:rsidRPr="002029AF">
        <w:t>funded</w:t>
      </w:r>
      <w:r w:rsidR="000A5329" w:rsidRPr="002029AF">
        <w:t xml:space="preserve"> </w:t>
      </w:r>
      <w:r w:rsidRPr="002029AF">
        <w:t>services</w:t>
      </w:r>
      <w:r w:rsidR="000A5329" w:rsidRPr="002029AF">
        <w:t xml:space="preserve"> </w:t>
      </w:r>
      <w:r w:rsidRPr="002029AF">
        <w:t>provided</w:t>
      </w:r>
      <w:r w:rsidR="000A5329" w:rsidRPr="002029AF">
        <w:t xml:space="preserve"> </w:t>
      </w:r>
      <w:r w:rsidRPr="002029AF">
        <w:t>to</w:t>
      </w:r>
      <w:r w:rsidR="000A5329" w:rsidRPr="002029AF">
        <w:t xml:space="preserve"> </w:t>
      </w:r>
      <w:r w:rsidRPr="002029AF">
        <w:t>the</w:t>
      </w:r>
      <w:r w:rsidR="000A5329" w:rsidRPr="002029AF">
        <w:t xml:space="preserve"> </w:t>
      </w:r>
      <w:r w:rsidR="0072759D" w:rsidRPr="002029AF">
        <w:t>department’s-controlled</w:t>
      </w:r>
      <w:r w:rsidR="000A5329" w:rsidRPr="002029AF">
        <w:t xml:space="preserve"> </w:t>
      </w:r>
      <w:r w:rsidRPr="002029AF">
        <w:t>entity.</w:t>
      </w:r>
    </w:p>
    <w:p w14:paraId="4A59B3A0" w14:textId="748EAAB8" w:rsidR="00883F92" w:rsidRPr="002029AF" w:rsidRDefault="00883F92" w:rsidP="001E768A">
      <w:pPr>
        <w:pStyle w:val="Heading3"/>
        <w:rPr>
          <w:bCs w:val="0"/>
        </w:rPr>
      </w:pPr>
      <w:r w:rsidRPr="002029AF">
        <w:t>Funding</w:t>
      </w:r>
      <w:r w:rsidR="000A5329" w:rsidRPr="002029AF">
        <w:t xml:space="preserve"> </w:t>
      </w:r>
      <w:r w:rsidRPr="002029AF">
        <w:t>arrangements</w:t>
      </w:r>
      <w:r w:rsidR="000A5329" w:rsidRPr="002029AF">
        <w:t xml:space="preserve"> </w:t>
      </w:r>
      <w:r w:rsidRPr="002029AF">
        <w:t>under</w:t>
      </w:r>
      <w:r w:rsidR="000A5329" w:rsidRPr="002029AF">
        <w:t xml:space="preserve"> </w:t>
      </w:r>
      <w:r w:rsidRPr="002029AF">
        <w:t>the</w:t>
      </w:r>
      <w:r w:rsidR="000A5329" w:rsidRPr="002029AF">
        <w:t xml:space="preserve"> </w:t>
      </w:r>
      <w:r w:rsidRPr="002029AF">
        <w:t>National</w:t>
      </w:r>
      <w:r w:rsidR="000A5329" w:rsidRPr="002029AF">
        <w:t xml:space="preserve"> </w:t>
      </w:r>
      <w:r w:rsidRPr="002029AF">
        <w:t>Partnership</w:t>
      </w:r>
      <w:r w:rsidR="000A5329" w:rsidRPr="002029AF">
        <w:t xml:space="preserve"> </w:t>
      </w:r>
      <w:r w:rsidRPr="002029AF">
        <w:t>on</w:t>
      </w:r>
      <w:r w:rsidR="000A5329" w:rsidRPr="002029AF">
        <w:t xml:space="preserve"> </w:t>
      </w:r>
      <w:r w:rsidR="00C8233E" w:rsidRPr="002029AF">
        <w:t>coronavirus</w:t>
      </w:r>
      <w:r w:rsidR="000A5329" w:rsidRPr="002029AF">
        <w:t xml:space="preserve"> </w:t>
      </w:r>
      <w:r w:rsidR="00C8233E" w:rsidRPr="002029AF">
        <w:t>(</w:t>
      </w:r>
      <w:r w:rsidRPr="002029AF">
        <w:t>COVID-19</w:t>
      </w:r>
      <w:r w:rsidR="00C8233E" w:rsidRPr="002029AF">
        <w:t>)</w:t>
      </w:r>
      <w:r w:rsidR="000A5329" w:rsidRPr="002029AF">
        <w:t xml:space="preserve"> </w:t>
      </w:r>
      <w:r w:rsidRPr="002029AF">
        <w:t>Response</w:t>
      </w:r>
    </w:p>
    <w:p w14:paraId="3D454F8B" w14:textId="77C16E1E" w:rsidR="000A5329" w:rsidRPr="002029AF" w:rsidRDefault="00883F92" w:rsidP="00B35A79">
      <w:pPr>
        <w:pStyle w:val="ARbody"/>
      </w:pPr>
      <w:r w:rsidRPr="002029AF">
        <w:t>The</w:t>
      </w:r>
      <w:r w:rsidR="000A5329" w:rsidRPr="002029AF">
        <w:t xml:space="preserve"> </w:t>
      </w:r>
      <w:r w:rsidRPr="002029AF">
        <w:t>National</w:t>
      </w:r>
      <w:r w:rsidR="000A5329" w:rsidRPr="002029AF">
        <w:t xml:space="preserve"> </w:t>
      </w:r>
      <w:r w:rsidRPr="002029AF">
        <w:t>Partnership</w:t>
      </w:r>
      <w:r w:rsidR="000A5329" w:rsidRPr="002029AF">
        <w:t xml:space="preserve"> </w:t>
      </w:r>
      <w:r w:rsidRPr="002029AF">
        <w:t>on</w:t>
      </w:r>
      <w:r w:rsidR="000A5329" w:rsidRPr="002029AF">
        <w:t xml:space="preserve"> </w:t>
      </w:r>
      <w:r w:rsidR="00C8233E" w:rsidRPr="002029AF">
        <w:t>coronavirus</w:t>
      </w:r>
      <w:r w:rsidR="000A5329" w:rsidRPr="002029AF">
        <w:t xml:space="preserve"> </w:t>
      </w:r>
      <w:r w:rsidR="00B12841">
        <w:br/>
      </w:r>
      <w:r w:rsidR="00C8233E" w:rsidRPr="002029AF">
        <w:t>(</w:t>
      </w:r>
      <w:r w:rsidRPr="002029AF">
        <w:t>COVID-19</w:t>
      </w:r>
      <w:r w:rsidR="00C8233E" w:rsidRPr="002029AF">
        <w:t>)</w:t>
      </w:r>
      <w:r w:rsidR="000A5329" w:rsidRPr="002029AF">
        <w:t xml:space="preserve"> </w:t>
      </w:r>
      <w:r w:rsidRPr="002029AF">
        <w:t>Response</w:t>
      </w:r>
      <w:r w:rsidR="000A5329" w:rsidRPr="002029AF">
        <w:t xml:space="preserve"> </w:t>
      </w:r>
      <w:r w:rsidRPr="002029AF">
        <w:t>utilises</w:t>
      </w:r>
      <w:r w:rsidR="000A5329" w:rsidRPr="002029AF">
        <w:t xml:space="preserve"> </w:t>
      </w:r>
      <w:r w:rsidRPr="002029AF">
        <w:t>funding</w:t>
      </w:r>
      <w:r w:rsidR="000A5329" w:rsidRPr="002029AF">
        <w:t xml:space="preserve"> </w:t>
      </w:r>
      <w:r w:rsidRPr="002029AF">
        <w:t>mechanisms</w:t>
      </w:r>
      <w:r w:rsidR="00B12841">
        <w:t> </w:t>
      </w:r>
      <w:r w:rsidRPr="002029AF">
        <w:t>established</w:t>
      </w:r>
      <w:r w:rsidR="000A5329" w:rsidRPr="002029AF">
        <w:t xml:space="preserve"> </w:t>
      </w:r>
      <w:r w:rsidRPr="002029AF">
        <w:t>through</w:t>
      </w:r>
      <w:r w:rsidR="000A5329" w:rsidRPr="002029AF">
        <w:t xml:space="preserve"> </w:t>
      </w:r>
      <w:r w:rsidRPr="002029AF">
        <w:t>the</w:t>
      </w:r>
      <w:r w:rsidR="000A5329" w:rsidRPr="002029AF">
        <w:t xml:space="preserve"> </w:t>
      </w:r>
      <w:r w:rsidRPr="002029AF">
        <w:t>National</w:t>
      </w:r>
      <w:r w:rsidR="000A5329" w:rsidRPr="002029AF">
        <w:t xml:space="preserve"> </w:t>
      </w:r>
      <w:r w:rsidRPr="002029AF">
        <w:t>Health</w:t>
      </w:r>
      <w:r w:rsidR="000A5329" w:rsidRPr="002029AF">
        <w:t xml:space="preserve"> </w:t>
      </w:r>
      <w:r w:rsidRPr="002029AF">
        <w:t>Reform</w:t>
      </w:r>
      <w:r w:rsidR="000A5329" w:rsidRPr="002029AF">
        <w:t xml:space="preserve"> </w:t>
      </w:r>
      <w:r w:rsidRPr="002029AF">
        <w:t>Agreement</w:t>
      </w:r>
      <w:r w:rsidR="000A5329" w:rsidRPr="002029AF">
        <w:t xml:space="preserve"> </w:t>
      </w:r>
      <w:r w:rsidRPr="002029AF">
        <w:t>to</w:t>
      </w:r>
      <w:r w:rsidR="000A5329" w:rsidRPr="002029AF">
        <w:t xml:space="preserve"> </w:t>
      </w:r>
      <w:r w:rsidRPr="002029AF">
        <w:t>provide</w:t>
      </w:r>
      <w:r w:rsidR="000A5329" w:rsidRPr="002029AF">
        <w:t xml:space="preserve"> </w:t>
      </w:r>
      <w:r w:rsidRPr="002029AF">
        <w:t>a</w:t>
      </w:r>
      <w:r w:rsidR="000A5329" w:rsidRPr="002029AF">
        <w:t xml:space="preserve"> </w:t>
      </w:r>
      <w:r w:rsidRPr="002029AF">
        <w:t>Commonwealth</w:t>
      </w:r>
      <w:r w:rsidR="000A5329" w:rsidRPr="002029AF">
        <w:t xml:space="preserve"> </w:t>
      </w:r>
      <w:r w:rsidRPr="002029AF">
        <w:t>contribution</w:t>
      </w:r>
      <w:r w:rsidR="000A5329" w:rsidRPr="002029AF">
        <w:t xml:space="preserve"> </w:t>
      </w:r>
      <w:r w:rsidRPr="002029AF">
        <w:t>for</w:t>
      </w:r>
      <w:r w:rsidR="000A5329" w:rsidRPr="002029AF">
        <w:t xml:space="preserve"> </w:t>
      </w:r>
      <w:r w:rsidRPr="002029AF">
        <w:t>the</w:t>
      </w:r>
      <w:r w:rsidR="000A5329" w:rsidRPr="002029AF">
        <w:t xml:space="preserve"> </w:t>
      </w:r>
      <w:r w:rsidRPr="002029AF">
        <w:t>response</w:t>
      </w:r>
      <w:r w:rsidR="000A5329" w:rsidRPr="002029AF">
        <w:t xml:space="preserve"> </w:t>
      </w:r>
      <w:r w:rsidRPr="002029AF">
        <w:t>to</w:t>
      </w:r>
      <w:r w:rsidR="00B12841">
        <w:t> </w:t>
      </w:r>
      <w:r w:rsidRPr="002029AF">
        <w:t>the</w:t>
      </w:r>
      <w:r w:rsidR="00B12841">
        <w:t> </w:t>
      </w:r>
      <w:r w:rsidRPr="002029AF">
        <w:t>outbreak</w:t>
      </w:r>
      <w:r w:rsidR="000A5329" w:rsidRPr="002029AF">
        <w:t xml:space="preserve"> </w:t>
      </w:r>
      <w:r w:rsidRPr="002029AF">
        <w:t>of</w:t>
      </w:r>
      <w:r w:rsidR="000A5329" w:rsidRPr="002029AF">
        <w:t xml:space="preserve"> </w:t>
      </w:r>
      <w:r w:rsidR="00C249EE" w:rsidRPr="002029AF">
        <w:t>coronavirus</w:t>
      </w:r>
      <w:r w:rsidR="000A5329" w:rsidRPr="002029AF">
        <w:t xml:space="preserve"> </w:t>
      </w:r>
      <w:r w:rsidR="00C249EE" w:rsidRPr="002029AF">
        <w:t>(</w:t>
      </w:r>
      <w:r w:rsidRPr="002029AF">
        <w:t>COVID-19</w:t>
      </w:r>
      <w:r w:rsidR="00C249EE" w:rsidRPr="002029AF">
        <w:t>)</w:t>
      </w:r>
      <w:r w:rsidRPr="002029AF">
        <w:t>.</w:t>
      </w:r>
      <w:r w:rsidR="000A5329" w:rsidRPr="002029AF">
        <w:t xml:space="preserve"> </w:t>
      </w:r>
      <w:r w:rsidRPr="002029AF">
        <w:t>The</w:t>
      </w:r>
      <w:r w:rsidR="000A5329" w:rsidRPr="002029AF">
        <w:t xml:space="preserve"> </w:t>
      </w:r>
      <w:r w:rsidRPr="002029AF">
        <w:t>arrangement</w:t>
      </w:r>
      <w:r w:rsidR="000A5329" w:rsidRPr="002029AF">
        <w:t xml:space="preserve"> </w:t>
      </w:r>
      <w:r w:rsidRPr="002029AF">
        <w:t>provides</w:t>
      </w:r>
      <w:r w:rsidR="000A5329" w:rsidRPr="002029AF">
        <w:t xml:space="preserve"> </w:t>
      </w:r>
      <w:r w:rsidRPr="002029AF">
        <w:t>for</w:t>
      </w:r>
      <w:r w:rsidR="000A5329" w:rsidRPr="002029AF">
        <w:t xml:space="preserve"> </w:t>
      </w:r>
      <w:r w:rsidRPr="002029AF">
        <w:t>Commonwealth</w:t>
      </w:r>
      <w:r w:rsidR="000A5329" w:rsidRPr="002029AF">
        <w:t xml:space="preserve"> </w:t>
      </w:r>
      <w:r w:rsidRPr="002029AF">
        <w:t>funding</w:t>
      </w:r>
      <w:r w:rsidR="000A5329" w:rsidRPr="002029AF">
        <w:t xml:space="preserve"> </w:t>
      </w:r>
      <w:r w:rsidRPr="002029AF">
        <w:t>to</w:t>
      </w:r>
      <w:r w:rsidR="000A5329" w:rsidRPr="002029AF">
        <w:t xml:space="preserve"> </w:t>
      </w:r>
      <w:r w:rsidRPr="002029AF">
        <w:t>be</w:t>
      </w:r>
      <w:r w:rsidR="000A5329" w:rsidRPr="002029AF">
        <w:t xml:space="preserve"> </w:t>
      </w:r>
      <w:r w:rsidRPr="002029AF">
        <w:t>overseen</w:t>
      </w:r>
      <w:r w:rsidR="000A5329" w:rsidRPr="002029AF">
        <w:t xml:space="preserve"> </w:t>
      </w:r>
      <w:r w:rsidRPr="002029AF">
        <w:t>by</w:t>
      </w:r>
      <w:r w:rsidR="000A5329" w:rsidRPr="002029AF">
        <w:t xml:space="preserve"> </w:t>
      </w:r>
      <w:r w:rsidRPr="002029AF">
        <w:t>the</w:t>
      </w:r>
      <w:r w:rsidR="000A5329" w:rsidRPr="002029AF">
        <w:t xml:space="preserve"> </w:t>
      </w:r>
      <w:r w:rsidRPr="002029AF">
        <w:t>Administrator</w:t>
      </w:r>
      <w:r w:rsidR="000A5329" w:rsidRPr="002029AF">
        <w:t xml:space="preserve"> </w:t>
      </w:r>
      <w:r w:rsidRPr="002029AF">
        <w:t>of</w:t>
      </w:r>
      <w:r w:rsidR="000A5329" w:rsidRPr="002029AF">
        <w:t xml:space="preserve"> </w:t>
      </w:r>
      <w:r w:rsidRPr="002029AF">
        <w:t>the</w:t>
      </w:r>
      <w:r w:rsidR="000A5329" w:rsidRPr="002029AF">
        <w:t xml:space="preserve"> </w:t>
      </w:r>
      <w:r w:rsidRPr="002029AF">
        <w:t>National</w:t>
      </w:r>
      <w:r w:rsidR="000A5329" w:rsidRPr="002029AF">
        <w:t xml:space="preserve"> </w:t>
      </w:r>
      <w:r w:rsidRPr="002029AF">
        <w:t>Health</w:t>
      </w:r>
      <w:r w:rsidR="000A5329" w:rsidRPr="002029AF">
        <w:t xml:space="preserve"> </w:t>
      </w:r>
      <w:r w:rsidRPr="002029AF">
        <w:t>Funding</w:t>
      </w:r>
      <w:r w:rsidR="000A5329" w:rsidRPr="002029AF">
        <w:t xml:space="preserve"> </w:t>
      </w:r>
      <w:r w:rsidRPr="002029AF">
        <w:t>Pool</w:t>
      </w:r>
      <w:r w:rsidR="000A5329" w:rsidRPr="002029AF">
        <w:t xml:space="preserve"> </w:t>
      </w:r>
      <w:r w:rsidRPr="002029AF">
        <w:t>through</w:t>
      </w:r>
      <w:r w:rsidR="000A5329" w:rsidRPr="002029AF">
        <w:t xml:space="preserve"> </w:t>
      </w:r>
      <w:r w:rsidRPr="002029AF">
        <w:t>Victoria’s</w:t>
      </w:r>
      <w:r w:rsidR="000A5329" w:rsidRPr="002029AF">
        <w:t xml:space="preserve"> </w:t>
      </w:r>
      <w:r w:rsidRPr="002029AF">
        <w:t>State</w:t>
      </w:r>
      <w:r w:rsidR="000A5329" w:rsidRPr="002029AF">
        <w:t xml:space="preserve"> </w:t>
      </w:r>
      <w:r w:rsidRPr="002029AF">
        <w:t>Pool</w:t>
      </w:r>
      <w:r w:rsidR="000A5329" w:rsidRPr="002029AF">
        <w:t xml:space="preserve"> </w:t>
      </w:r>
      <w:r w:rsidRPr="002029AF">
        <w:t>Account,</w:t>
      </w:r>
      <w:r w:rsidR="000A5329" w:rsidRPr="002029AF">
        <w:t xml:space="preserve"> </w:t>
      </w:r>
      <w:r w:rsidRPr="002029AF">
        <w:t>which</w:t>
      </w:r>
      <w:r w:rsidR="000A5329" w:rsidRPr="002029AF">
        <w:t xml:space="preserve"> </w:t>
      </w:r>
      <w:r w:rsidRPr="002029AF">
        <w:t>is</w:t>
      </w:r>
      <w:r w:rsidR="000A5329" w:rsidRPr="002029AF">
        <w:t xml:space="preserve"> </w:t>
      </w:r>
      <w:r w:rsidRPr="002029AF">
        <w:t>reported</w:t>
      </w:r>
      <w:r w:rsidR="000A5329" w:rsidRPr="002029AF">
        <w:t xml:space="preserve"> </w:t>
      </w:r>
      <w:r w:rsidRPr="002029AF">
        <w:t>in</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administered</w:t>
      </w:r>
      <w:r w:rsidR="000A5329" w:rsidRPr="002029AF">
        <w:t xml:space="preserve"> </w:t>
      </w:r>
      <w:r w:rsidRPr="002029AF">
        <w:t>accounts.</w:t>
      </w:r>
    </w:p>
    <w:p w14:paraId="5B816AD5" w14:textId="2D70B5DC" w:rsidR="00324353" w:rsidRPr="00B12841" w:rsidRDefault="00883F92" w:rsidP="00B12841">
      <w:pPr>
        <w:pStyle w:val="ARbody"/>
      </w:pPr>
      <w:r w:rsidRPr="002029AF">
        <w:t>The</w:t>
      </w:r>
      <w:r w:rsidR="000A5329" w:rsidRPr="002029AF">
        <w:t xml:space="preserve"> </w:t>
      </w:r>
      <w:r w:rsidRPr="002029AF">
        <w:t>administered</w:t>
      </w:r>
      <w:r w:rsidR="000A5329" w:rsidRPr="002029AF">
        <w:t xml:space="preserve"> </w:t>
      </w:r>
      <w:r w:rsidRPr="002029AF">
        <w:t>accounts</w:t>
      </w:r>
      <w:r w:rsidR="000A5329" w:rsidRPr="002029AF">
        <w:t xml:space="preserve"> </w:t>
      </w:r>
      <w:r w:rsidRPr="002029AF">
        <w:t>also</w:t>
      </w:r>
      <w:r w:rsidR="000A5329" w:rsidRPr="002029AF">
        <w:t xml:space="preserve"> </w:t>
      </w:r>
      <w:r w:rsidRPr="002029AF">
        <w:t>include</w:t>
      </w:r>
      <w:r w:rsidR="000A5329" w:rsidRPr="002029AF">
        <w:t xml:space="preserve"> </w:t>
      </w:r>
      <w:r w:rsidRPr="002029AF">
        <w:t>the</w:t>
      </w:r>
      <w:r w:rsidR="000A5329" w:rsidRPr="002029AF">
        <w:t xml:space="preserve"> </w:t>
      </w:r>
      <w:r w:rsidRPr="002029AF">
        <w:t>Victorian</w:t>
      </w:r>
      <w:r w:rsidR="000A5329" w:rsidRPr="002029AF">
        <w:t xml:space="preserve"> </w:t>
      </w:r>
      <w:r w:rsidRPr="002029AF">
        <w:t>contribution</w:t>
      </w:r>
      <w:r w:rsidR="000A5329" w:rsidRPr="002029AF">
        <w:t xml:space="preserve"> </w:t>
      </w:r>
      <w:r w:rsidRPr="002029AF">
        <w:t>to</w:t>
      </w:r>
      <w:r w:rsidR="000A5329" w:rsidRPr="002029AF">
        <w:t xml:space="preserve"> </w:t>
      </w:r>
      <w:r w:rsidRPr="002029AF">
        <w:t>health</w:t>
      </w:r>
      <w:r w:rsidR="000A5329" w:rsidRPr="002029AF">
        <w:t xml:space="preserve"> </w:t>
      </w:r>
      <w:r w:rsidRPr="002029AF">
        <w:t>service</w:t>
      </w:r>
      <w:r w:rsidR="000A5329" w:rsidRPr="002029AF">
        <w:t xml:space="preserve"> </w:t>
      </w:r>
      <w:r w:rsidRPr="002029AF">
        <w:t>payments</w:t>
      </w:r>
      <w:r w:rsidR="000A5329" w:rsidRPr="002029AF">
        <w:t xml:space="preserve"> </w:t>
      </w:r>
      <w:r w:rsidRPr="002029AF">
        <w:t>for</w:t>
      </w:r>
      <w:r w:rsidR="000A5329" w:rsidRPr="002029AF">
        <w:t xml:space="preserve"> </w:t>
      </w:r>
      <w:r w:rsidRPr="002029AF">
        <w:t>activity</w:t>
      </w:r>
      <w:r w:rsidR="000A5329" w:rsidRPr="002029AF">
        <w:t xml:space="preserve"> </w:t>
      </w:r>
      <w:r w:rsidRPr="002029AF">
        <w:t>and</w:t>
      </w:r>
      <w:r w:rsidR="000A5329" w:rsidRPr="002029AF">
        <w:t xml:space="preserve"> </w:t>
      </w:r>
      <w:r w:rsidRPr="002029AF">
        <w:t>the</w:t>
      </w:r>
      <w:r w:rsidR="000A5329" w:rsidRPr="002029AF">
        <w:t xml:space="preserve"> </w:t>
      </w:r>
      <w:r w:rsidRPr="002029AF">
        <w:t>payment</w:t>
      </w:r>
      <w:r w:rsidR="000A5329" w:rsidRPr="002029AF">
        <w:t xml:space="preserve"> </w:t>
      </w:r>
      <w:r w:rsidRPr="002029AF">
        <w:t>of</w:t>
      </w:r>
      <w:r w:rsidR="000A5329" w:rsidRPr="002029AF">
        <w:t xml:space="preserve"> </w:t>
      </w:r>
      <w:r w:rsidRPr="002029AF">
        <w:t>the</w:t>
      </w:r>
      <w:r w:rsidR="000A5329" w:rsidRPr="002029AF">
        <w:t xml:space="preserve"> </w:t>
      </w:r>
      <w:r w:rsidRPr="002029AF">
        <w:t>Commonwealth</w:t>
      </w:r>
      <w:r w:rsidR="000A5329" w:rsidRPr="002029AF">
        <w:t xml:space="preserve"> </w:t>
      </w:r>
      <w:r w:rsidRPr="002029AF">
        <w:t>contribution</w:t>
      </w:r>
      <w:r w:rsidR="000A5329" w:rsidRPr="002029AF">
        <w:t xml:space="preserve"> </w:t>
      </w:r>
      <w:r w:rsidRPr="002029AF">
        <w:t>to</w:t>
      </w:r>
      <w:r w:rsidR="000A5329" w:rsidRPr="002029AF">
        <w:t xml:space="preserve"> </w:t>
      </w:r>
      <w:r w:rsidRPr="002029AF">
        <w:t>state</w:t>
      </w:r>
      <w:r w:rsidR="000A5329" w:rsidRPr="002029AF">
        <w:t xml:space="preserve"> </w:t>
      </w:r>
      <w:r w:rsidRPr="002029AF">
        <w:t>public</w:t>
      </w:r>
      <w:r w:rsidR="000A5329" w:rsidRPr="002029AF">
        <w:t xml:space="preserve"> </w:t>
      </w:r>
      <w:r w:rsidRPr="002029AF">
        <w:t>health</w:t>
      </w:r>
      <w:r w:rsidR="000A5329" w:rsidRPr="002029AF">
        <w:t xml:space="preserve"> </w:t>
      </w:r>
      <w:r w:rsidRPr="002029AF">
        <w:t>payments</w:t>
      </w:r>
      <w:r w:rsidR="000A5329" w:rsidRPr="002029AF">
        <w:t xml:space="preserve"> </w:t>
      </w:r>
      <w:r w:rsidRPr="002029AF">
        <w:t>provided</w:t>
      </w:r>
      <w:r w:rsidR="000A5329" w:rsidRPr="002029AF">
        <w:t xml:space="preserve"> </w:t>
      </w:r>
      <w:r w:rsidRPr="002029AF">
        <w:t>to</w:t>
      </w:r>
      <w:r w:rsidR="000A5329" w:rsidRPr="002029AF">
        <w:t xml:space="preserve"> </w:t>
      </w:r>
      <w:r w:rsidRPr="002029AF">
        <w:t>the</w:t>
      </w:r>
      <w:r w:rsidR="000A5329" w:rsidRPr="002029AF">
        <w:t xml:space="preserve"> </w:t>
      </w:r>
      <w:r w:rsidR="0072759D" w:rsidRPr="002029AF">
        <w:t>department’s-controlled</w:t>
      </w:r>
      <w:r w:rsidR="000A5329" w:rsidRPr="002029AF">
        <w:t xml:space="preserve"> </w:t>
      </w:r>
      <w:r w:rsidRPr="002029AF">
        <w:t>entity.</w:t>
      </w:r>
      <w:r w:rsidR="00324353" w:rsidRPr="00B12841">
        <w:br w:type="page"/>
      </w:r>
    </w:p>
    <w:p w14:paraId="3610D338" w14:textId="77777777" w:rsidR="00B12841" w:rsidRDefault="00B12841" w:rsidP="00A148CF">
      <w:pPr>
        <w:pStyle w:val="Heading3"/>
        <w:sectPr w:rsidR="00B12841" w:rsidSect="00B12841">
          <w:endnotePr>
            <w:numFmt w:val="decimal"/>
          </w:endnotePr>
          <w:type w:val="continuous"/>
          <w:pgSz w:w="11900" w:h="16840" w:code="9"/>
          <w:pgMar w:top="1985" w:right="851" w:bottom="851" w:left="1418" w:header="510" w:footer="340" w:gutter="0"/>
          <w:cols w:num="2" w:space="454"/>
          <w15:footnoteColumns w:val="1"/>
        </w:sectPr>
      </w:pPr>
    </w:p>
    <w:p w14:paraId="654EF493" w14:textId="57FD9382" w:rsidR="00883F92" w:rsidRPr="002029AF" w:rsidRDefault="00883F92" w:rsidP="00D90D85">
      <w:pPr>
        <w:pStyle w:val="Heading3"/>
        <w:spacing w:before="0"/>
      </w:pPr>
      <w:r w:rsidRPr="002029AF">
        <w:lastRenderedPageBreak/>
        <w:t>Funding</w:t>
      </w:r>
      <w:r w:rsidR="000A5329" w:rsidRPr="002029AF">
        <w:t xml:space="preserve"> </w:t>
      </w:r>
      <w:r w:rsidRPr="002029AF">
        <w:t>arrangements</w:t>
      </w:r>
      <w:r w:rsidR="000A5329" w:rsidRPr="002029AF">
        <w:t xml:space="preserve"> </w:t>
      </w:r>
      <w:r w:rsidRPr="002029AF">
        <w:t>under</w:t>
      </w:r>
      <w:r w:rsidR="000A5329" w:rsidRPr="002029AF">
        <w:t xml:space="preserve"> </w:t>
      </w:r>
      <w:r w:rsidR="00C249EE" w:rsidRPr="002029AF">
        <w:t>the</w:t>
      </w:r>
      <w:r w:rsidR="000A5329" w:rsidRPr="002029AF">
        <w:t xml:space="preserve"> </w:t>
      </w:r>
      <w:r w:rsidRPr="002029AF">
        <w:t>National</w:t>
      </w:r>
      <w:r w:rsidR="000A5329" w:rsidRPr="002029AF">
        <w:t xml:space="preserve"> </w:t>
      </w:r>
      <w:r w:rsidRPr="002029AF">
        <w:t>Disability</w:t>
      </w:r>
      <w:r w:rsidR="000A5329" w:rsidRPr="002029AF">
        <w:t xml:space="preserve"> </w:t>
      </w:r>
      <w:r w:rsidRPr="002029AF">
        <w:t>Insurance</w:t>
      </w:r>
      <w:r w:rsidR="000A5329" w:rsidRPr="002029AF">
        <w:t xml:space="preserve"> </w:t>
      </w:r>
      <w:r w:rsidRPr="002029AF">
        <w:t>Scheme</w:t>
      </w:r>
    </w:p>
    <w:p w14:paraId="21099B59" w14:textId="025AAF3A" w:rsidR="00883F92" w:rsidRPr="002029AF" w:rsidRDefault="00883F92" w:rsidP="00B35A79">
      <w:pPr>
        <w:pStyle w:val="ARbody"/>
      </w:pPr>
      <w:r w:rsidRPr="002029AF">
        <w:t>Funding</w:t>
      </w:r>
      <w:r w:rsidR="000A5329" w:rsidRPr="002029AF">
        <w:t xml:space="preserve"> </w:t>
      </w:r>
      <w:r w:rsidRPr="002029AF">
        <w:t>arrangements</w:t>
      </w:r>
      <w:r w:rsidR="000A5329" w:rsidRPr="002029AF">
        <w:t xml:space="preserve"> </w:t>
      </w:r>
      <w:r w:rsidRPr="002029AF">
        <w:t>under</w:t>
      </w:r>
      <w:r w:rsidR="000A5329" w:rsidRPr="002029AF">
        <w:t xml:space="preserve"> </w:t>
      </w:r>
      <w:r w:rsidRPr="002029AF">
        <w:t>the</w:t>
      </w:r>
      <w:r w:rsidR="000A5329" w:rsidRPr="002029AF">
        <w:t xml:space="preserve"> </w:t>
      </w:r>
      <w:r w:rsidRPr="002029AF">
        <w:t>National</w:t>
      </w:r>
      <w:r w:rsidR="000A5329" w:rsidRPr="002029AF">
        <w:t xml:space="preserve"> </w:t>
      </w:r>
      <w:r w:rsidRPr="002029AF">
        <w:t>Disability</w:t>
      </w:r>
      <w:r w:rsidR="000A5329" w:rsidRPr="002029AF">
        <w:t xml:space="preserve"> </w:t>
      </w:r>
      <w:r w:rsidRPr="002029AF">
        <w:t>Insurance</w:t>
      </w:r>
      <w:r w:rsidR="000A5329" w:rsidRPr="002029AF">
        <w:t xml:space="preserve"> </w:t>
      </w:r>
      <w:r w:rsidRPr="002029AF">
        <w:t>Scheme</w:t>
      </w:r>
      <w:r w:rsidR="000A5329" w:rsidRPr="002029AF">
        <w:t xml:space="preserve"> </w:t>
      </w:r>
      <w:r w:rsidRPr="002029AF">
        <w:t>are</w:t>
      </w:r>
      <w:r w:rsidR="000A5329" w:rsidRPr="002029AF">
        <w:t xml:space="preserve"> </w:t>
      </w:r>
      <w:r w:rsidRPr="002029AF">
        <w:t>reported</w:t>
      </w:r>
      <w:r w:rsidR="000A5329" w:rsidRPr="002029AF">
        <w:t xml:space="preserve"> </w:t>
      </w:r>
      <w:r w:rsidRPr="002029AF">
        <w:t>in</w:t>
      </w:r>
      <w:r w:rsidR="000A5329" w:rsidRPr="002029AF">
        <w:t xml:space="preserve"> </w:t>
      </w:r>
      <w:r w:rsidRPr="002029AF">
        <w:t>the</w:t>
      </w:r>
      <w:r w:rsidR="005C32D3">
        <w:t xml:space="preserve"> </w:t>
      </w:r>
      <w:r w:rsidRPr="002029AF">
        <w:t>department</w:t>
      </w:r>
      <w:r w:rsidR="005F298C">
        <w:t>’</w:t>
      </w:r>
      <w:r w:rsidRPr="002029AF">
        <w:t>s</w:t>
      </w:r>
      <w:r w:rsidR="000A5329" w:rsidRPr="002029AF">
        <w:t xml:space="preserve"> </w:t>
      </w:r>
      <w:r w:rsidRPr="002029AF">
        <w:t>administered</w:t>
      </w:r>
      <w:r w:rsidR="000A5329" w:rsidRPr="002029AF">
        <w:t xml:space="preserve"> </w:t>
      </w:r>
      <w:r w:rsidRPr="002029AF">
        <w:t>accounts.</w:t>
      </w:r>
      <w:r w:rsidR="000A5329" w:rsidRPr="002029AF">
        <w:t xml:space="preserve"> </w:t>
      </w:r>
      <w:r w:rsidRPr="002029AF">
        <w:t>The</w:t>
      </w:r>
      <w:r w:rsidR="000A5329" w:rsidRPr="002029AF">
        <w:t xml:space="preserve"> </w:t>
      </w:r>
      <w:r w:rsidRPr="002029AF">
        <w:t>arrangement</w:t>
      </w:r>
      <w:r w:rsidR="000A5329" w:rsidRPr="002029AF">
        <w:t xml:space="preserve"> </w:t>
      </w:r>
      <w:r w:rsidRPr="002029AF">
        <w:t>provides</w:t>
      </w:r>
      <w:r w:rsidR="000A5329" w:rsidRPr="002029AF">
        <w:t xml:space="preserve"> </w:t>
      </w:r>
      <w:r w:rsidRPr="002029AF">
        <w:t>for</w:t>
      </w:r>
      <w:r w:rsidR="000A5329" w:rsidRPr="002029AF">
        <w:t xml:space="preserve"> </w:t>
      </w:r>
      <w:r w:rsidRPr="002029AF">
        <w:t>contributions</w:t>
      </w:r>
      <w:r w:rsidR="000A5329" w:rsidRPr="002029AF">
        <w:t xml:space="preserve"> </w:t>
      </w:r>
      <w:r w:rsidRPr="002029AF">
        <w:t>from</w:t>
      </w:r>
      <w:r w:rsidR="000A5329" w:rsidRPr="002029AF">
        <w:t xml:space="preserve"> </w:t>
      </w:r>
      <w:r w:rsidRPr="002029AF">
        <w:t>the</w:t>
      </w:r>
      <w:r w:rsidR="000A5329" w:rsidRPr="002029AF">
        <w:t xml:space="preserve"> </w:t>
      </w:r>
      <w:r w:rsidR="009D7371" w:rsidRPr="002029AF">
        <w:t>department’s-controlled</w:t>
      </w:r>
      <w:r w:rsidR="000A5329" w:rsidRPr="002029AF">
        <w:t xml:space="preserve"> </w:t>
      </w:r>
      <w:r w:rsidRPr="002029AF">
        <w:t>entity</w:t>
      </w:r>
      <w:r w:rsidR="000A5329" w:rsidRPr="002029AF">
        <w:t xml:space="preserve"> </w:t>
      </w:r>
      <w:r w:rsidRPr="002029AF">
        <w:t>and</w:t>
      </w:r>
      <w:r w:rsidR="000A5329" w:rsidRPr="002029AF">
        <w:t xml:space="preserve"> </w:t>
      </w:r>
      <w:r w:rsidRPr="002029AF">
        <w:t>from</w:t>
      </w:r>
      <w:r w:rsidR="000A5329" w:rsidRPr="002029AF">
        <w:t xml:space="preserve"> </w:t>
      </w:r>
      <w:r w:rsidRPr="002029AF">
        <w:t>other</w:t>
      </w:r>
      <w:r w:rsidR="000A5329" w:rsidRPr="002029AF">
        <w:t xml:space="preserve"> </w:t>
      </w:r>
      <w:r w:rsidRPr="002029AF">
        <w:t>departments</w:t>
      </w:r>
      <w:r w:rsidR="000A5329" w:rsidRPr="002029AF">
        <w:t xml:space="preserve"> </w:t>
      </w:r>
      <w:r w:rsidRPr="002029AF">
        <w:t>to</w:t>
      </w:r>
      <w:r w:rsidR="000A5329" w:rsidRPr="002029AF">
        <w:t xml:space="preserve"> </w:t>
      </w:r>
      <w:r w:rsidRPr="002029AF">
        <w:t>be</w:t>
      </w:r>
      <w:r w:rsidR="000A5329" w:rsidRPr="002029AF">
        <w:t xml:space="preserve"> </w:t>
      </w:r>
      <w:r w:rsidRPr="002029AF">
        <w:t>administered</w:t>
      </w:r>
      <w:r w:rsidR="000A5329" w:rsidRPr="002029AF">
        <w:t xml:space="preserve"> </w:t>
      </w:r>
      <w:r w:rsidRPr="002029AF">
        <w:t>via</w:t>
      </w:r>
      <w:r w:rsidR="000A5329" w:rsidRPr="002029AF">
        <w:t xml:space="preserve"> </w:t>
      </w:r>
      <w:r w:rsidRPr="002029AF">
        <w:t>the</w:t>
      </w:r>
      <w:r w:rsidR="000A5329" w:rsidRPr="002029AF">
        <w:t xml:space="preserve"> </w:t>
      </w:r>
      <w:r w:rsidRPr="002029AF">
        <w:t>National</w:t>
      </w:r>
      <w:r w:rsidR="000A5329" w:rsidRPr="002029AF">
        <w:t xml:space="preserve"> </w:t>
      </w:r>
      <w:r w:rsidRPr="002029AF">
        <w:t>Disability</w:t>
      </w:r>
      <w:r w:rsidR="000A5329" w:rsidRPr="002029AF">
        <w:t xml:space="preserve"> </w:t>
      </w:r>
      <w:r w:rsidRPr="002029AF">
        <w:t>Insurance</w:t>
      </w:r>
      <w:r w:rsidR="000A5329" w:rsidRPr="002029AF">
        <w:t xml:space="preserve"> </w:t>
      </w:r>
      <w:r w:rsidRPr="002029AF">
        <w:t>Scheme</w:t>
      </w:r>
      <w:r w:rsidR="000A5329" w:rsidRPr="002029AF">
        <w:t xml:space="preserve"> </w:t>
      </w:r>
      <w:r w:rsidRPr="002029AF">
        <w:t>trust</w:t>
      </w:r>
      <w:r w:rsidR="000A5329" w:rsidRPr="002029AF">
        <w:t xml:space="preserve"> </w:t>
      </w:r>
      <w:r w:rsidRPr="002029AF">
        <w:t>fund</w:t>
      </w:r>
      <w:r w:rsidR="000A5329" w:rsidRPr="002029AF">
        <w:t xml:space="preserve"> </w:t>
      </w:r>
      <w:r w:rsidRPr="002029AF">
        <w:t>reported</w:t>
      </w:r>
      <w:r w:rsidR="000A5329" w:rsidRPr="002029AF">
        <w:t xml:space="preserve"> </w:t>
      </w:r>
      <w:r w:rsidRPr="002029AF">
        <w:t>in</w:t>
      </w:r>
      <w:r w:rsidR="007920F7" w:rsidRPr="002029AF">
        <w:t> </w:t>
      </w:r>
      <w:r w:rsidRPr="002029AF">
        <w:t>the</w:t>
      </w:r>
      <w:r w:rsidR="000A5329" w:rsidRPr="002029AF">
        <w:t xml:space="preserve"> </w:t>
      </w:r>
      <w:r w:rsidRPr="002029AF">
        <w:t>department’s</w:t>
      </w:r>
      <w:r w:rsidR="000A5329" w:rsidRPr="002029AF">
        <w:t xml:space="preserve"> </w:t>
      </w:r>
      <w:r w:rsidRPr="002029AF">
        <w:t>administered</w:t>
      </w:r>
      <w:r w:rsidR="000A5329" w:rsidRPr="002029AF">
        <w:t xml:space="preserve"> </w:t>
      </w:r>
      <w:r w:rsidRPr="002029AF">
        <w:t>account.</w:t>
      </w:r>
      <w:r w:rsidR="000A5329" w:rsidRPr="002029AF">
        <w:t xml:space="preserve"> </w:t>
      </w:r>
      <w:r w:rsidRPr="002029AF">
        <w:t>Grant</w:t>
      </w:r>
      <w:r w:rsidR="000A5329" w:rsidRPr="002029AF">
        <w:t xml:space="preserve"> </w:t>
      </w:r>
      <w:r w:rsidRPr="002029AF">
        <w:t>payments</w:t>
      </w:r>
      <w:r w:rsidR="000A5329" w:rsidRPr="002029AF">
        <w:t xml:space="preserve"> </w:t>
      </w:r>
      <w:r w:rsidRPr="002029AF">
        <w:t>are</w:t>
      </w:r>
      <w:r w:rsidR="000A5329" w:rsidRPr="002029AF">
        <w:t xml:space="preserve"> </w:t>
      </w:r>
      <w:r w:rsidRPr="002029AF">
        <w:t>made</w:t>
      </w:r>
      <w:r w:rsidR="000A5329" w:rsidRPr="002029AF">
        <w:t xml:space="preserve"> </w:t>
      </w:r>
      <w:r w:rsidRPr="002029AF">
        <w:t>to</w:t>
      </w:r>
      <w:r w:rsidR="005C32D3">
        <w:t> </w:t>
      </w:r>
      <w:r w:rsidRPr="002029AF">
        <w:t>the</w:t>
      </w:r>
      <w:r w:rsidR="000A5329" w:rsidRPr="002029AF">
        <w:t xml:space="preserve"> </w:t>
      </w:r>
      <w:r w:rsidRPr="002029AF">
        <w:t>National</w:t>
      </w:r>
      <w:r w:rsidR="000A5329" w:rsidRPr="002029AF">
        <w:t xml:space="preserve"> </w:t>
      </w:r>
      <w:r w:rsidRPr="002029AF">
        <w:t>Disability</w:t>
      </w:r>
      <w:r w:rsidR="000A5329" w:rsidRPr="002029AF">
        <w:t xml:space="preserve"> </w:t>
      </w:r>
      <w:r w:rsidRPr="002029AF">
        <w:t>Insurance</w:t>
      </w:r>
      <w:r w:rsidR="000A5329" w:rsidRPr="002029AF">
        <w:t xml:space="preserve"> </w:t>
      </w:r>
      <w:r w:rsidRPr="002029AF">
        <w:t>Authority</w:t>
      </w:r>
      <w:r w:rsidR="000A5329" w:rsidRPr="002029AF">
        <w:t xml:space="preserve"> </w:t>
      </w:r>
      <w:r w:rsidRPr="002029AF">
        <w:t>from</w:t>
      </w:r>
      <w:r w:rsidR="000A5329" w:rsidRPr="002029AF">
        <w:t xml:space="preserve"> </w:t>
      </w:r>
      <w:r w:rsidRPr="002029AF">
        <w:t>the</w:t>
      </w:r>
      <w:r w:rsidR="000A5329" w:rsidRPr="002029AF">
        <w:t xml:space="preserve"> </w:t>
      </w:r>
      <w:r w:rsidRPr="002029AF">
        <w:t>trust</w:t>
      </w:r>
      <w:r w:rsidR="000A5329" w:rsidRPr="002029AF">
        <w:t xml:space="preserve"> </w:t>
      </w:r>
      <w:r w:rsidRPr="002029AF">
        <w:t>fund.</w:t>
      </w:r>
    </w:p>
    <w:p w14:paraId="0899670C" w14:textId="6D3EFC16" w:rsidR="00883F92" w:rsidRPr="002029AF" w:rsidRDefault="00883F92" w:rsidP="00A148CF">
      <w:pPr>
        <w:pStyle w:val="Heading3"/>
      </w:pPr>
      <w:r w:rsidRPr="002029AF">
        <w:t>Financial</w:t>
      </w:r>
      <w:r w:rsidR="000A5329" w:rsidRPr="002029AF">
        <w:t xml:space="preserve"> </w:t>
      </w:r>
      <w:r w:rsidRPr="002029AF">
        <w:t>performance</w:t>
      </w:r>
      <w:r w:rsidR="000A5329" w:rsidRPr="002029AF">
        <w:t xml:space="preserve"> </w:t>
      </w:r>
      <w:r w:rsidRPr="002029AF">
        <w:t>–</w:t>
      </w:r>
      <w:r w:rsidR="000A5329" w:rsidRPr="002029AF">
        <w:t xml:space="preserve"> </w:t>
      </w:r>
      <w:r w:rsidRPr="002029AF">
        <w:t>operating</w:t>
      </w:r>
      <w:r w:rsidR="00B12841">
        <w:t> </w:t>
      </w:r>
      <w:r w:rsidRPr="002029AF">
        <w:t>statement</w:t>
      </w:r>
    </w:p>
    <w:p w14:paraId="0012F64E" w14:textId="5593D54B" w:rsidR="00883F92" w:rsidRPr="002029AF" w:rsidRDefault="00883F92" w:rsidP="00B35A79">
      <w:pPr>
        <w:pStyle w:val="ARbody"/>
      </w:pPr>
      <w:r w:rsidRPr="002029AF">
        <w:t>In</w:t>
      </w:r>
      <w:r w:rsidR="000A5329" w:rsidRPr="002029AF">
        <w:t xml:space="preserve"> </w:t>
      </w:r>
      <w:r w:rsidRPr="002029AF">
        <w:t>2019–20,</w:t>
      </w:r>
      <w:r w:rsidR="000A5329" w:rsidRPr="002029AF">
        <w:t xml:space="preserve"> </w:t>
      </w:r>
      <w:r w:rsidRPr="002029AF">
        <w:t>the</w:t>
      </w:r>
      <w:r w:rsidR="000A5329" w:rsidRPr="002029AF">
        <w:t xml:space="preserve"> </w:t>
      </w:r>
      <w:r w:rsidRPr="002029AF">
        <w:t>portfolio</w:t>
      </w:r>
      <w:r w:rsidR="000A5329" w:rsidRPr="002029AF">
        <w:t xml:space="preserve"> </w:t>
      </w:r>
      <w:r w:rsidRPr="002029AF">
        <w:t>recorded</w:t>
      </w:r>
      <w:r w:rsidR="000A5329" w:rsidRPr="002029AF">
        <w:t xml:space="preserve"> </w:t>
      </w:r>
      <w:r w:rsidRPr="002029AF">
        <w:t>an</w:t>
      </w:r>
      <w:r w:rsidR="000A5329" w:rsidRPr="002029AF">
        <w:t xml:space="preserve"> </w:t>
      </w:r>
      <w:r w:rsidRPr="002029AF">
        <w:t>actual</w:t>
      </w:r>
      <w:r w:rsidR="000A5329" w:rsidRPr="002029AF">
        <w:t xml:space="preserve"> </w:t>
      </w:r>
      <w:r w:rsidRPr="002029AF">
        <w:t>net</w:t>
      </w:r>
      <w:r w:rsidR="000A5329" w:rsidRPr="002029AF">
        <w:t xml:space="preserve"> </w:t>
      </w:r>
      <w:r w:rsidRPr="002029AF">
        <w:t>result</w:t>
      </w:r>
      <w:r w:rsidR="000A5329" w:rsidRPr="002029AF">
        <w:t xml:space="preserve"> </w:t>
      </w:r>
      <w:r w:rsidRPr="002029AF">
        <w:t>from</w:t>
      </w:r>
      <w:r w:rsidR="000A5329" w:rsidRPr="002029AF">
        <w:t xml:space="preserve"> </w:t>
      </w:r>
      <w:r w:rsidRPr="002029AF">
        <w:t>transactions</w:t>
      </w:r>
      <w:r w:rsidR="000A5329" w:rsidRPr="002029AF">
        <w:t xml:space="preserve"> </w:t>
      </w:r>
      <w:r w:rsidRPr="002029AF">
        <w:t>of</w:t>
      </w:r>
      <w:r w:rsidR="000A5329" w:rsidRPr="002029AF">
        <w:t xml:space="preserve"> </w:t>
      </w:r>
      <w:r w:rsidRPr="002029AF">
        <w:t>$788</w:t>
      </w:r>
      <w:r w:rsidR="000A5329" w:rsidRPr="002029AF">
        <w:t xml:space="preserve"> </w:t>
      </w:r>
      <w:r w:rsidRPr="002029AF">
        <w:t>million</w:t>
      </w:r>
      <w:r w:rsidR="000A5329" w:rsidRPr="002029AF">
        <w:t xml:space="preserve"> </w:t>
      </w:r>
      <w:r w:rsidRPr="002029AF">
        <w:t>surplus</w:t>
      </w:r>
      <w:r w:rsidR="000A5329" w:rsidRPr="002029AF">
        <w:t xml:space="preserve"> </w:t>
      </w:r>
      <w:r w:rsidRPr="002029AF">
        <w:t>compared</w:t>
      </w:r>
      <w:r w:rsidR="000A5329" w:rsidRPr="002029AF">
        <w:t xml:space="preserve"> </w:t>
      </w:r>
      <w:r w:rsidRPr="002029AF">
        <w:t>with</w:t>
      </w:r>
      <w:r w:rsidR="000A5329" w:rsidRPr="002029AF">
        <w:t xml:space="preserve"> </w:t>
      </w:r>
      <w:r w:rsidRPr="002029AF">
        <w:t>a</w:t>
      </w:r>
      <w:r w:rsidR="000A5329" w:rsidRPr="002029AF">
        <w:t xml:space="preserve"> </w:t>
      </w:r>
      <w:r w:rsidRPr="002029AF">
        <w:t>2019–20</w:t>
      </w:r>
      <w:r w:rsidR="000A5329" w:rsidRPr="002029AF">
        <w:t xml:space="preserve"> </w:t>
      </w:r>
      <w:r w:rsidRPr="002029AF">
        <w:t>published</w:t>
      </w:r>
      <w:r w:rsidR="000A5329" w:rsidRPr="002029AF">
        <w:t xml:space="preserve"> </w:t>
      </w:r>
      <w:r w:rsidRPr="002029AF">
        <w:t>budgeted</w:t>
      </w:r>
      <w:r w:rsidR="000A5329" w:rsidRPr="002029AF">
        <w:t xml:space="preserve"> </w:t>
      </w:r>
      <w:r w:rsidRPr="002029AF">
        <w:t>surplus</w:t>
      </w:r>
      <w:r w:rsidR="000A5329" w:rsidRPr="002029AF">
        <w:t xml:space="preserve"> </w:t>
      </w:r>
      <w:r w:rsidRPr="002029AF">
        <w:t>of</w:t>
      </w:r>
      <w:r w:rsidR="000A5329" w:rsidRPr="002029AF">
        <w:t xml:space="preserve"> </w:t>
      </w:r>
      <w:r w:rsidRPr="002029AF">
        <w:t>$216</w:t>
      </w:r>
      <w:r w:rsidR="000A5329" w:rsidRPr="002029AF">
        <w:t xml:space="preserve"> </w:t>
      </w:r>
      <w:r w:rsidRPr="002029AF">
        <w:t>million.</w:t>
      </w:r>
    </w:p>
    <w:p w14:paraId="727FB1A0" w14:textId="2EABD918" w:rsidR="00883F92" w:rsidRPr="002029AF" w:rsidRDefault="00883F92" w:rsidP="00B35A79">
      <w:pPr>
        <w:pStyle w:val="ARbody"/>
      </w:pPr>
      <w:r w:rsidRPr="002029AF">
        <w:t>The</w:t>
      </w:r>
      <w:r w:rsidR="000A5329" w:rsidRPr="002029AF">
        <w:t xml:space="preserve"> </w:t>
      </w:r>
      <w:r w:rsidRPr="002029AF">
        <w:t>variance</w:t>
      </w:r>
      <w:r w:rsidR="000A5329" w:rsidRPr="002029AF">
        <w:t xml:space="preserve"> </w:t>
      </w:r>
      <w:r w:rsidRPr="002029AF">
        <w:t>between</w:t>
      </w:r>
      <w:r w:rsidR="000A5329" w:rsidRPr="002029AF">
        <w:t xml:space="preserve"> </w:t>
      </w:r>
      <w:r w:rsidRPr="002029AF">
        <w:t>the</w:t>
      </w:r>
      <w:r w:rsidR="000A5329" w:rsidRPr="002029AF">
        <w:t xml:space="preserve"> </w:t>
      </w:r>
      <w:r w:rsidRPr="002029AF">
        <w:t>budgeted</w:t>
      </w:r>
      <w:r w:rsidR="000A5329" w:rsidRPr="002029AF">
        <w:t xml:space="preserve"> </w:t>
      </w:r>
      <w:r w:rsidRPr="002029AF">
        <w:t>and</w:t>
      </w:r>
      <w:r w:rsidR="000A5329" w:rsidRPr="002029AF">
        <w:t xml:space="preserve"> </w:t>
      </w:r>
      <w:r w:rsidRPr="002029AF">
        <w:t>actual</w:t>
      </w:r>
      <w:r w:rsidR="000A5329" w:rsidRPr="002029AF">
        <w:t xml:space="preserve"> </w:t>
      </w:r>
      <w:r w:rsidRPr="002029AF">
        <w:t>surplus</w:t>
      </w:r>
      <w:r w:rsidR="000A5329" w:rsidRPr="002029AF">
        <w:t xml:space="preserve"> </w:t>
      </w:r>
      <w:r w:rsidRPr="002029AF">
        <w:t>is</w:t>
      </w:r>
      <w:r w:rsidR="000A5329" w:rsidRPr="002029AF">
        <w:t xml:space="preserve"> </w:t>
      </w:r>
      <w:r w:rsidRPr="002029AF">
        <w:t>mainly</w:t>
      </w:r>
      <w:r w:rsidR="000A5329" w:rsidRPr="002029AF">
        <w:t xml:space="preserve"> </w:t>
      </w:r>
      <w:r w:rsidRPr="002029AF">
        <w:t>related</w:t>
      </w:r>
      <w:r w:rsidR="000A5329" w:rsidRPr="002029AF">
        <w:t xml:space="preserve"> </w:t>
      </w:r>
      <w:r w:rsidRPr="002029AF">
        <w:t>to</w:t>
      </w:r>
      <w:r w:rsidR="000A5329" w:rsidRPr="002029AF">
        <w:t xml:space="preserve"> </w:t>
      </w:r>
      <w:r w:rsidRPr="002029AF">
        <w:t>funding</w:t>
      </w:r>
      <w:r w:rsidR="000A5329" w:rsidRPr="002029AF">
        <w:t xml:space="preserve"> </w:t>
      </w:r>
      <w:r w:rsidRPr="002029AF">
        <w:t>received</w:t>
      </w:r>
      <w:r w:rsidR="000A5329" w:rsidRPr="002029AF">
        <w:t xml:space="preserve"> </w:t>
      </w:r>
      <w:r w:rsidRPr="002029AF">
        <w:t>to</w:t>
      </w:r>
      <w:r w:rsidR="000A5329" w:rsidRPr="002029AF">
        <w:t xml:space="preserve"> </w:t>
      </w:r>
      <w:r w:rsidRPr="002029AF">
        <w:t>build</w:t>
      </w:r>
      <w:r w:rsidR="000A5329" w:rsidRPr="002029AF">
        <w:t xml:space="preserve"> </w:t>
      </w:r>
      <w:r w:rsidRPr="002029AF">
        <w:t>up</w:t>
      </w:r>
      <w:r w:rsidR="000A5329" w:rsidRPr="002029AF">
        <w:t xml:space="preserve"> </w:t>
      </w:r>
      <w:r w:rsidRPr="002029AF">
        <w:t>the</w:t>
      </w:r>
      <w:r w:rsidR="000A5329" w:rsidRPr="002029AF">
        <w:t xml:space="preserve"> </w:t>
      </w:r>
      <w:r w:rsidR="00CE145F" w:rsidRPr="002029AF">
        <w:t>s</w:t>
      </w:r>
      <w:r w:rsidRPr="002029AF">
        <w:t>tate</w:t>
      </w:r>
      <w:r w:rsidR="000A5329" w:rsidRPr="002029AF">
        <w:t xml:space="preserve"> </w:t>
      </w:r>
      <w:r w:rsidR="00CE145F" w:rsidRPr="002029AF">
        <w:t>s</w:t>
      </w:r>
      <w:r w:rsidRPr="002029AF">
        <w:t>upply</w:t>
      </w:r>
      <w:r w:rsidR="000A5329" w:rsidRPr="002029AF">
        <w:t xml:space="preserve"> </w:t>
      </w:r>
      <w:r w:rsidRPr="002029AF">
        <w:t>of</w:t>
      </w:r>
      <w:r w:rsidR="000A5329" w:rsidRPr="002029AF">
        <w:t xml:space="preserve"> </w:t>
      </w:r>
      <w:r w:rsidRPr="002029AF">
        <w:t>equipment</w:t>
      </w:r>
      <w:r w:rsidR="000A5329" w:rsidRPr="002029AF">
        <w:t xml:space="preserve"> </w:t>
      </w:r>
      <w:r w:rsidRPr="002029AF">
        <w:t>in</w:t>
      </w:r>
      <w:r w:rsidR="000A5329" w:rsidRPr="002029AF">
        <w:t xml:space="preserve"> </w:t>
      </w:r>
      <w:r w:rsidRPr="002029AF">
        <w:t>response</w:t>
      </w:r>
      <w:r w:rsidR="000A5329" w:rsidRPr="002029AF">
        <w:t xml:space="preserve"> </w:t>
      </w:r>
      <w:r w:rsidRPr="002029AF">
        <w:t>to</w:t>
      </w:r>
      <w:r w:rsidR="000A5329" w:rsidRPr="002029AF">
        <w:t xml:space="preserve"> </w:t>
      </w:r>
      <w:r w:rsidRPr="002029AF">
        <w:t>the</w:t>
      </w:r>
      <w:r w:rsidR="000A5329" w:rsidRPr="002029AF">
        <w:t xml:space="preserve"> </w:t>
      </w:r>
      <w:r w:rsidR="00CE145F" w:rsidRPr="002029AF">
        <w:t>coronavirus</w:t>
      </w:r>
      <w:r w:rsidR="000A5329" w:rsidRPr="002029AF">
        <w:t xml:space="preserve"> </w:t>
      </w:r>
      <w:r w:rsidR="00CE145F" w:rsidRPr="002029AF">
        <w:t>(</w:t>
      </w:r>
      <w:r w:rsidRPr="002029AF">
        <w:t>COVID-19</w:t>
      </w:r>
      <w:r w:rsidR="00CE145F" w:rsidRPr="002029AF">
        <w:t>)</w:t>
      </w:r>
      <w:r w:rsidR="000A5329" w:rsidRPr="002029AF">
        <w:t xml:space="preserve"> </w:t>
      </w:r>
      <w:r w:rsidRPr="002029AF">
        <w:t>pandemic.</w:t>
      </w:r>
      <w:r w:rsidR="000A5329" w:rsidRPr="002029AF">
        <w:t xml:space="preserve"> </w:t>
      </w:r>
      <w:r w:rsidRPr="002029AF">
        <w:t>The</w:t>
      </w:r>
      <w:r w:rsidR="000A5329" w:rsidRPr="002029AF">
        <w:t xml:space="preserve"> </w:t>
      </w:r>
      <w:r w:rsidRPr="002029AF">
        <w:t>surplus</w:t>
      </w:r>
      <w:r w:rsidR="000A5329" w:rsidRPr="002029AF">
        <w:t xml:space="preserve"> </w:t>
      </w:r>
      <w:r w:rsidRPr="002029AF">
        <w:t>arises</w:t>
      </w:r>
      <w:r w:rsidR="000A5329" w:rsidRPr="002029AF">
        <w:t xml:space="preserve"> </w:t>
      </w:r>
      <w:r w:rsidRPr="002029AF">
        <w:t>from</w:t>
      </w:r>
      <w:r w:rsidR="000A5329" w:rsidRPr="002029AF">
        <w:t xml:space="preserve"> </w:t>
      </w:r>
      <w:r w:rsidRPr="002029AF">
        <w:t>the</w:t>
      </w:r>
      <w:r w:rsidR="000A5329" w:rsidRPr="002029AF">
        <w:t xml:space="preserve"> </w:t>
      </w:r>
      <w:r w:rsidRPr="002029AF">
        <w:t>fact</w:t>
      </w:r>
      <w:r w:rsidR="000A5329" w:rsidRPr="002029AF">
        <w:t xml:space="preserve"> </w:t>
      </w:r>
      <w:r w:rsidRPr="002029AF">
        <w:t>that</w:t>
      </w:r>
      <w:r w:rsidR="000A5329" w:rsidRPr="002029AF">
        <w:t xml:space="preserve"> </w:t>
      </w:r>
      <w:r w:rsidRPr="002029AF">
        <w:t>these</w:t>
      </w:r>
      <w:r w:rsidR="000A5329" w:rsidRPr="002029AF">
        <w:t xml:space="preserve"> </w:t>
      </w:r>
      <w:r w:rsidRPr="002029AF">
        <w:t>items</w:t>
      </w:r>
      <w:r w:rsidR="000A5329" w:rsidRPr="002029AF">
        <w:t xml:space="preserve"> </w:t>
      </w:r>
      <w:r w:rsidRPr="002029AF">
        <w:t>had</w:t>
      </w:r>
      <w:r w:rsidR="000A5329" w:rsidRPr="002029AF">
        <w:t xml:space="preserve"> </w:t>
      </w:r>
      <w:r w:rsidRPr="002029AF">
        <w:t>not</w:t>
      </w:r>
      <w:r w:rsidR="000A5329" w:rsidRPr="002029AF">
        <w:t xml:space="preserve"> </w:t>
      </w:r>
      <w:r w:rsidRPr="002029AF">
        <w:t>yet</w:t>
      </w:r>
      <w:r w:rsidR="000A5329" w:rsidRPr="002029AF">
        <w:t xml:space="preserve"> </w:t>
      </w:r>
      <w:r w:rsidRPr="002029AF">
        <w:t>been</w:t>
      </w:r>
      <w:r w:rsidR="000A5329" w:rsidRPr="002029AF">
        <w:t xml:space="preserve"> </w:t>
      </w:r>
      <w:r w:rsidRPr="002029AF">
        <w:t>utilised</w:t>
      </w:r>
      <w:r w:rsidR="000A5329" w:rsidRPr="002029AF">
        <w:t xml:space="preserve"> </w:t>
      </w:r>
      <w:r w:rsidRPr="002029AF">
        <w:t>as</w:t>
      </w:r>
      <w:r w:rsidR="000A5329" w:rsidRPr="002029AF">
        <w:t xml:space="preserve"> </w:t>
      </w:r>
      <w:r w:rsidRPr="002029AF">
        <w:t>at</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r w:rsidR="000A5329" w:rsidRPr="002029AF">
        <w:t xml:space="preserve"> </w:t>
      </w:r>
      <w:r w:rsidRPr="002029AF">
        <w:t>These</w:t>
      </w:r>
      <w:r w:rsidR="000A5329" w:rsidRPr="002029AF">
        <w:t xml:space="preserve"> </w:t>
      </w:r>
      <w:r w:rsidRPr="002029AF">
        <w:t>transactions</w:t>
      </w:r>
      <w:r w:rsidR="000A5329" w:rsidRPr="002029AF">
        <w:t xml:space="preserve"> </w:t>
      </w:r>
      <w:r w:rsidRPr="002029AF">
        <w:t>were</w:t>
      </w:r>
      <w:r w:rsidR="000A5329" w:rsidRPr="002029AF">
        <w:t xml:space="preserve"> </w:t>
      </w:r>
      <w:r w:rsidRPr="002029AF">
        <w:t>not</w:t>
      </w:r>
      <w:r w:rsidR="000A5329" w:rsidRPr="002029AF">
        <w:t xml:space="preserve"> </w:t>
      </w:r>
      <w:r w:rsidRPr="002029AF">
        <w:t>reflected</w:t>
      </w:r>
      <w:r w:rsidR="000A5329" w:rsidRPr="002029AF">
        <w:t xml:space="preserve"> </w:t>
      </w:r>
      <w:r w:rsidRPr="002029AF">
        <w:t>in</w:t>
      </w:r>
      <w:r w:rsidR="000A5329" w:rsidRPr="002029AF">
        <w:t xml:space="preserve"> </w:t>
      </w:r>
      <w:r w:rsidRPr="002029AF">
        <w:t>the</w:t>
      </w:r>
      <w:r w:rsidR="000A5329" w:rsidRPr="002029AF">
        <w:t xml:space="preserve"> </w:t>
      </w:r>
      <w:r w:rsidRPr="002029AF">
        <w:t>published</w:t>
      </w:r>
      <w:r w:rsidR="000A5329" w:rsidRPr="002029AF">
        <w:t xml:space="preserve"> </w:t>
      </w:r>
      <w:r w:rsidR="60447881" w:rsidRPr="002029AF">
        <w:t>b</w:t>
      </w:r>
      <w:r w:rsidRPr="002029AF">
        <w:t>udget.</w:t>
      </w:r>
    </w:p>
    <w:p w14:paraId="27CE362C" w14:textId="62C749C6" w:rsidR="00883F92" w:rsidRPr="002029AF" w:rsidRDefault="00324353" w:rsidP="00D90D85">
      <w:pPr>
        <w:pStyle w:val="Heading3"/>
        <w:spacing w:before="0"/>
      </w:pPr>
      <w:r w:rsidRPr="002029AF">
        <w:br w:type="column"/>
      </w:r>
      <w:r w:rsidR="00883F92" w:rsidRPr="002029AF">
        <w:t>Financial</w:t>
      </w:r>
      <w:r w:rsidR="000A5329" w:rsidRPr="002029AF">
        <w:t xml:space="preserve"> </w:t>
      </w:r>
      <w:r w:rsidR="00883F92" w:rsidRPr="002029AF">
        <w:t>position</w:t>
      </w:r>
      <w:r w:rsidR="000A5329" w:rsidRPr="002029AF">
        <w:t xml:space="preserve"> </w:t>
      </w:r>
      <w:r w:rsidR="00883F92" w:rsidRPr="002029AF">
        <w:t>–</w:t>
      </w:r>
      <w:r w:rsidR="000A5329" w:rsidRPr="002029AF">
        <w:t xml:space="preserve"> </w:t>
      </w:r>
      <w:r w:rsidR="00883F92" w:rsidRPr="002029AF">
        <w:t>balance</w:t>
      </w:r>
      <w:r w:rsidR="000A5329" w:rsidRPr="002029AF">
        <w:t xml:space="preserve"> </w:t>
      </w:r>
      <w:r w:rsidR="00883F92" w:rsidRPr="002029AF">
        <w:t>sheet</w:t>
      </w:r>
    </w:p>
    <w:p w14:paraId="2B2A9179" w14:textId="33149E49" w:rsidR="000A5329" w:rsidRPr="002029AF" w:rsidRDefault="00883F92" w:rsidP="00B35A79">
      <w:pPr>
        <w:pStyle w:val="ARbody"/>
      </w:pPr>
      <w:r w:rsidRPr="002029AF">
        <w:t>Total</w:t>
      </w:r>
      <w:r w:rsidR="000A5329" w:rsidRPr="002029AF">
        <w:t xml:space="preserve"> </w:t>
      </w:r>
      <w:r w:rsidRPr="002029AF">
        <w:t>assets</w:t>
      </w:r>
      <w:r w:rsidR="000A5329" w:rsidRPr="002029AF">
        <w:t xml:space="preserve"> </w:t>
      </w:r>
      <w:r w:rsidRPr="002029AF">
        <w:t>are</w:t>
      </w:r>
      <w:r w:rsidR="000A5329" w:rsidRPr="002029AF">
        <w:t xml:space="preserve"> </w:t>
      </w:r>
      <w:r w:rsidRPr="002029AF">
        <w:t>$4,557</w:t>
      </w:r>
      <w:r w:rsidR="000A5329" w:rsidRPr="002029AF">
        <w:t xml:space="preserve"> </w:t>
      </w:r>
      <w:r w:rsidRPr="002029AF">
        <w:t>million</w:t>
      </w:r>
      <w:r w:rsidR="000A5329" w:rsidRPr="002029AF">
        <w:t xml:space="preserve"> </w:t>
      </w:r>
      <w:r w:rsidRPr="002029AF">
        <w:t>higher</w:t>
      </w:r>
      <w:r w:rsidR="000A5329" w:rsidRPr="002029AF">
        <w:t xml:space="preserve"> </w:t>
      </w:r>
      <w:r w:rsidRPr="002029AF">
        <w:t>than</w:t>
      </w:r>
      <w:r w:rsidR="000A5329" w:rsidRPr="002029AF">
        <w:t xml:space="preserve"> </w:t>
      </w:r>
      <w:r w:rsidRPr="002029AF">
        <w:t>the</w:t>
      </w:r>
      <w:r w:rsidR="007920F7" w:rsidRPr="002029AF">
        <w:t> </w:t>
      </w:r>
      <w:r w:rsidRPr="002029AF">
        <w:t>published</w:t>
      </w:r>
      <w:r w:rsidR="000A5329" w:rsidRPr="002029AF">
        <w:t xml:space="preserve"> </w:t>
      </w:r>
      <w:r w:rsidRPr="002029AF">
        <w:t>budget.</w:t>
      </w:r>
      <w:r w:rsidR="000A5329" w:rsidRPr="002029AF">
        <w:t xml:space="preserve"> </w:t>
      </w:r>
      <w:r w:rsidRPr="002029AF">
        <w:t>This</w:t>
      </w:r>
      <w:r w:rsidR="000A5329" w:rsidRPr="002029AF">
        <w:t xml:space="preserve"> </w:t>
      </w:r>
      <w:r w:rsidRPr="002029AF">
        <w:t>is</w:t>
      </w:r>
      <w:r w:rsidR="000A5329" w:rsidRPr="002029AF">
        <w:t xml:space="preserve"> </w:t>
      </w:r>
      <w:r w:rsidRPr="002029AF">
        <w:t>mostly</w:t>
      </w:r>
      <w:r w:rsidR="000A5329" w:rsidRPr="002029AF">
        <w:t xml:space="preserve"> </w:t>
      </w:r>
      <w:r w:rsidRPr="002029AF">
        <w:t>attributed</w:t>
      </w:r>
      <w:r w:rsidR="000A5329" w:rsidRPr="002029AF">
        <w:t xml:space="preserve"> </w:t>
      </w:r>
      <w:r w:rsidRPr="002029AF">
        <w:t>to</w:t>
      </w:r>
      <w:r w:rsidR="000A5329" w:rsidRPr="002029AF">
        <w:t xml:space="preserve"> </w:t>
      </w:r>
      <w:r w:rsidRPr="002029AF">
        <w:t>land</w:t>
      </w:r>
      <w:r w:rsidR="000A5329" w:rsidRPr="002029AF">
        <w:t xml:space="preserve"> </w:t>
      </w:r>
      <w:r w:rsidRPr="002029AF">
        <w:t>and</w:t>
      </w:r>
      <w:r w:rsidR="000A5329" w:rsidRPr="002029AF">
        <w:t xml:space="preserve"> </w:t>
      </w:r>
      <w:r w:rsidRPr="002029AF">
        <w:t>buildings</w:t>
      </w:r>
      <w:r w:rsidR="000A5329" w:rsidRPr="002029AF">
        <w:t xml:space="preserve"> </w:t>
      </w:r>
      <w:r w:rsidRPr="002029AF">
        <w:t>revaluations</w:t>
      </w:r>
      <w:r w:rsidR="000A5329" w:rsidRPr="002029AF">
        <w:t xml:space="preserve"> </w:t>
      </w:r>
      <w:r w:rsidRPr="002029AF">
        <w:t>within</w:t>
      </w:r>
      <w:r w:rsidR="000A5329" w:rsidRPr="002029AF">
        <w:t xml:space="preserve"> </w:t>
      </w:r>
      <w:r w:rsidR="00AC1245" w:rsidRPr="002029AF">
        <w:t>p</w:t>
      </w:r>
      <w:r w:rsidRPr="002029AF">
        <w:t>roperty,</w:t>
      </w:r>
      <w:r w:rsidR="000A5329" w:rsidRPr="002029AF">
        <w:t xml:space="preserve"> </w:t>
      </w:r>
      <w:r w:rsidR="00AC1245" w:rsidRPr="002029AF">
        <w:t>p</w:t>
      </w:r>
      <w:r w:rsidRPr="002029AF">
        <w:t>lant</w:t>
      </w:r>
      <w:r w:rsidR="000A5329" w:rsidRPr="002029AF">
        <w:t xml:space="preserve"> </w:t>
      </w:r>
      <w:r w:rsidRPr="002029AF">
        <w:t>and</w:t>
      </w:r>
      <w:r w:rsidR="000A5329" w:rsidRPr="002029AF">
        <w:t xml:space="preserve"> </w:t>
      </w:r>
      <w:r w:rsidR="00AC1245" w:rsidRPr="002029AF">
        <w:t>e</w:t>
      </w:r>
      <w:r w:rsidRPr="002029AF">
        <w:t>quipment</w:t>
      </w:r>
      <w:r w:rsidR="000A5329" w:rsidRPr="002029AF">
        <w:t xml:space="preserve"> </w:t>
      </w:r>
      <w:r w:rsidRPr="002029AF">
        <w:t>and</w:t>
      </w:r>
      <w:r w:rsidR="000A5329" w:rsidRPr="002029AF">
        <w:t xml:space="preserve"> </w:t>
      </w:r>
      <w:r w:rsidRPr="002029AF">
        <w:t>assets</w:t>
      </w:r>
      <w:r w:rsidR="000A5329" w:rsidRPr="002029AF">
        <w:t xml:space="preserve"> </w:t>
      </w:r>
      <w:r w:rsidRPr="002029AF">
        <w:t>relating</w:t>
      </w:r>
      <w:r w:rsidR="000A5329" w:rsidRPr="002029AF">
        <w:t xml:space="preserve"> </w:t>
      </w:r>
      <w:r w:rsidRPr="002029AF">
        <w:t>to</w:t>
      </w:r>
      <w:r w:rsidR="000A5329" w:rsidRPr="002029AF">
        <w:t xml:space="preserve"> </w:t>
      </w:r>
      <w:r w:rsidRPr="002029AF">
        <w:t>the</w:t>
      </w:r>
      <w:r w:rsidR="000A5329" w:rsidRPr="002029AF">
        <w:t xml:space="preserve"> </w:t>
      </w:r>
      <w:r w:rsidR="00AC1245" w:rsidRPr="002029AF">
        <w:t>s</w:t>
      </w:r>
      <w:r w:rsidRPr="002029AF">
        <w:t>tate</w:t>
      </w:r>
      <w:r w:rsidR="000A5329" w:rsidRPr="002029AF">
        <w:t xml:space="preserve"> </w:t>
      </w:r>
      <w:r w:rsidR="00AC1245" w:rsidRPr="002029AF">
        <w:t>s</w:t>
      </w:r>
      <w:r w:rsidRPr="002029AF">
        <w:t>upply</w:t>
      </w:r>
      <w:r w:rsidR="000A5329" w:rsidRPr="002029AF">
        <w:t xml:space="preserve"> </w:t>
      </w:r>
      <w:r w:rsidRPr="002029AF">
        <w:t>of</w:t>
      </w:r>
      <w:r w:rsidR="000A5329" w:rsidRPr="002029AF">
        <w:t xml:space="preserve"> </w:t>
      </w:r>
      <w:r w:rsidRPr="002029AF">
        <w:t>equipment</w:t>
      </w:r>
      <w:r w:rsidR="000A5329" w:rsidRPr="002029AF">
        <w:t xml:space="preserve"> </w:t>
      </w:r>
      <w:r w:rsidRPr="002029AF">
        <w:t>in</w:t>
      </w:r>
      <w:r w:rsidR="000A5329" w:rsidRPr="002029AF">
        <w:t xml:space="preserve"> </w:t>
      </w:r>
      <w:r w:rsidRPr="002029AF">
        <w:t>response</w:t>
      </w:r>
      <w:r w:rsidR="000A5329" w:rsidRPr="002029AF">
        <w:t xml:space="preserve"> </w:t>
      </w:r>
      <w:r w:rsidRPr="002029AF">
        <w:t>to</w:t>
      </w:r>
      <w:r w:rsidR="000A5329" w:rsidRPr="002029AF">
        <w:t xml:space="preserve"> </w:t>
      </w:r>
      <w:r w:rsidRPr="002029AF">
        <w:t>the</w:t>
      </w:r>
      <w:r w:rsidR="000A5329" w:rsidRPr="002029AF">
        <w:t xml:space="preserve"> </w:t>
      </w:r>
      <w:r w:rsidR="00E8399D" w:rsidRPr="002029AF">
        <w:t>coronavirus</w:t>
      </w:r>
      <w:r w:rsidR="000A5329" w:rsidRPr="002029AF">
        <w:t xml:space="preserve"> </w:t>
      </w:r>
      <w:r w:rsidR="00E8399D" w:rsidRPr="002029AF">
        <w:t>(</w:t>
      </w:r>
      <w:r w:rsidRPr="002029AF">
        <w:t>COVID-19</w:t>
      </w:r>
      <w:r w:rsidR="00E8399D" w:rsidRPr="002029AF">
        <w:t>)</w:t>
      </w:r>
      <w:r w:rsidR="000A5329" w:rsidRPr="002029AF">
        <w:t xml:space="preserve"> </w:t>
      </w:r>
      <w:r w:rsidRPr="002029AF">
        <w:t>pandemic.</w:t>
      </w:r>
      <w:r w:rsidR="000A5329" w:rsidRPr="002029AF">
        <w:t xml:space="preserve"> </w:t>
      </w:r>
      <w:r w:rsidRPr="002029AF">
        <w:t>Total</w:t>
      </w:r>
      <w:r w:rsidR="000A5329" w:rsidRPr="002029AF">
        <w:t xml:space="preserve"> </w:t>
      </w:r>
      <w:r w:rsidRPr="002029AF">
        <w:t>liabilities</w:t>
      </w:r>
      <w:r w:rsidR="000A5329" w:rsidRPr="002029AF">
        <w:t xml:space="preserve"> </w:t>
      </w:r>
      <w:r w:rsidRPr="002029AF">
        <w:t>are</w:t>
      </w:r>
      <w:r w:rsidR="000A5329" w:rsidRPr="002029AF">
        <w:t xml:space="preserve"> </w:t>
      </w:r>
      <w:r w:rsidRPr="002029AF">
        <w:t>$1,286</w:t>
      </w:r>
      <w:r w:rsidR="000A5329" w:rsidRPr="002029AF">
        <w:t xml:space="preserve"> </w:t>
      </w:r>
      <w:r w:rsidRPr="002029AF">
        <w:t>million</w:t>
      </w:r>
      <w:r w:rsidR="000A5329" w:rsidRPr="002029AF">
        <w:t xml:space="preserve"> </w:t>
      </w:r>
      <w:r w:rsidRPr="002029AF">
        <w:t>higher</w:t>
      </w:r>
      <w:r w:rsidR="000A5329" w:rsidRPr="002029AF">
        <w:t xml:space="preserve"> </w:t>
      </w:r>
      <w:r w:rsidRPr="002029AF">
        <w:t>than</w:t>
      </w:r>
      <w:r w:rsidR="000A5329" w:rsidRPr="002029AF">
        <w:t xml:space="preserve"> </w:t>
      </w:r>
      <w:r w:rsidR="00E8399D" w:rsidRPr="002029AF">
        <w:t>what</w:t>
      </w:r>
      <w:r w:rsidR="000A5329" w:rsidRPr="002029AF">
        <w:t xml:space="preserve"> </w:t>
      </w:r>
      <w:r w:rsidR="00E8399D" w:rsidRPr="002029AF">
        <w:t>appeared</w:t>
      </w:r>
      <w:r w:rsidR="000A5329" w:rsidRPr="002029AF">
        <w:t xml:space="preserve"> </w:t>
      </w:r>
      <w:r w:rsidR="00E8399D" w:rsidRPr="002029AF">
        <w:t>in</w:t>
      </w:r>
      <w:r w:rsidR="000A5329" w:rsidRPr="002029AF">
        <w:t xml:space="preserve"> </w:t>
      </w:r>
      <w:r w:rsidR="00E8399D" w:rsidRPr="002029AF">
        <w:t>the</w:t>
      </w:r>
      <w:r w:rsidR="000A5329" w:rsidRPr="002029AF">
        <w:t xml:space="preserve"> </w:t>
      </w:r>
      <w:r w:rsidR="00E8399D" w:rsidRPr="002029AF">
        <w:t>published</w:t>
      </w:r>
      <w:r w:rsidR="000A5329" w:rsidRPr="002029AF">
        <w:t xml:space="preserve"> </w:t>
      </w:r>
      <w:r w:rsidR="0137F87C" w:rsidRPr="002029AF">
        <w:t>b</w:t>
      </w:r>
      <w:r w:rsidR="00E8399D" w:rsidRPr="002029AF">
        <w:t>udget</w:t>
      </w:r>
      <w:r w:rsidR="00B878F1" w:rsidRPr="002029AF">
        <w:t>.</w:t>
      </w:r>
      <w:r w:rsidR="000A5329" w:rsidRPr="002029AF">
        <w:t xml:space="preserve"> </w:t>
      </w:r>
      <w:r w:rsidRPr="002029AF">
        <w:t>This</w:t>
      </w:r>
      <w:r w:rsidR="000A5329" w:rsidRPr="002029AF">
        <w:t xml:space="preserve"> </w:t>
      </w:r>
      <w:r w:rsidRPr="002029AF">
        <w:t>is</w:t>
      </w:r>
      <w:r w:rsidR="000A5329" w:rsidRPr="002029AF">
        <w:t xml:space="preserve"> </w:t>
      </w:r>
      <w:r w:rsidRPr="002029AF">
        <w:t>primarily</w:t>
      </w:r>
      <w:r w:rsidR="000A5329" w:rsidRPr="002029AF">
        <w:t xml:space="preserve"> </w:t>
      </w:r>
      <w:r w:rsidRPr="002029AF">
        <w:t>due</w:t>
      </w:r>
      <w:r w:rsidR="000A5329" w:rsidRPr="002029AF">
        <w:t xml:space="preserve"> </w:t>
      </w:r>
      <w:r w:rsidRPr="002029AF">
        <w:t>to</w:t>
      </w:r>
      <w:r w:rsidR="000A5329" w:rsidRPr="002029AF">
        <w:t xml:space="preserve"> </w:t>
      </w:r>
      <w:r w:rsidRPr="002029AF">
        <w:t>increases</w:t>
      </w:r>
      <w:r w:rsidR="000A5329" w:rsidRPr="002029AF">
        <w:t xml:space="preserve"> </w:t>
      </w:r>
      <w:r w:rsidRPr="002029AF">
        <w:t>in</w:t>
      </w:r>
      <w:r w:rsidR="000A5329" w:rsidRPr="002029AF">
        <w:t xml:space="preserve"> </w:t>
      </w:r>
      <w:r w:rsidRPr="002029AF">
        <w:t>employee</w:t>
      </w:r>
      <w:r w:rsidR="000A5329" w:rsidRPr="002029AF">
        <w:t xml:space="preserve"> </w:t>
      </w:r>
      <w:r w:rsidRPr="002029AF">
        <w:t>leave</w:t>
      </w:r>
      <w:r w:rsidR="000A5329" w:rsidRPr="002029AF">
        <w:t xml:space="preserve"> </w:t>
      </w:r>
      <w:r w:rsidRPr="002029AF">
        <w:t>provisions</w:t>
      </w:r>
      <w:r w:rsidR="000A5329" w:rsidRPr="002029AF">
        <w:t xml:space="preserve"> </w:t>
      </w:r>
      <w:r w:rsidRPr="002029AF">
        <w:t>as</w:t>
      </w:r>
      <w:r w:rsidR="000A5329" w:rsidRPr="002029AF">
        <w:t xml:space="preserve"> </w:t>
      </w:r>
      <w:r w:rsidRPr="002029AF">
        <w:t>well</w:t>
      </w:r>
      <w:r w:rsidR="000A5329" w:rsidRPr="002029AF">
        <w:t xml:space="preserve"> </w:t>
      </w:r>
      <w:r w:rsidRPr="002029AF">
        <w:t>as</w:t>
      </w:r>
      <w:r w:rsidR="007920F7" w:rsidRPr="002029AF">
        <w:t> </w:t>
      </w:r>
      <w:r w:rsidRPr="002029AF">
        <w:t>the</w:t>
      </w:r>
      <w:r w:rsidR="000A5329" w:rsidRPr="002029AF">
        <w:t xml:space="preserve"> </w:t>
      </w:r>
      <w:r w:rsidRPr="002029AF">
        <w:t>timing</w:t>
      </w:r>
      <w:r w:rsidR="000A5329" w:rsidRPr="002029AF">
        <w:t xml:space="preserve"> </w:t>
      </w:r>
      <w:r w:rsidRPr="002029AF">
        <w:t>of</w:t>
      </w:r>
      <w:r w:rsidR="000A5329" w:rsidRPr="002029AF">
        <w:t xml:space="preserve"> </w:t>
      </w:r>
      <w:r w:rsidRPr="002029AF">
        <w:t>accounts</w:t>
      </w:r>
      <w:r w:rsidR="000A5329" w:rsidRPr="002029AF">
        <w:t xml:space="preserve"> </w:t>
      </w:r>
      <w:r w:rsidRPr="002029AF">
        <w:t>payable.</w:t>
      </w:r>
    </w:p>
    <w:p w14:paraId="1A33C112" w14:textId="058F7484" w:rsidR="00883F92" w:rsidRPr="002029AF" w:rsidRDefault="00883F92" w:rsidP="00A148CF">
      <w:pPr>
        <w:pStyle w:val="Heading3"/>
      </w:pPr>
      <w:bookmarkStart w:id="421" w:name="_Ref52454922"/>
      <w:r w:rsidRPr="002029AF">
        <w:t>Cash</w:t>
      </w:r>
      <w:r w:rsidR="000A5329" w:rsidRPr="002029AF">
        <w:t xml:space="preserve"> </w:t>
      </w:r>
      <w:r w:rsidRPr="002029AF">
        <w:t>flows</w:t>
      </w:r>
      <w:bookmarkEnd w:id="421"/>
    </w:p>
    <w:p w14:paraId="4E829DB0" w14:textId="2665E0E0" w:rsidR="00883F92" w:rsidRPr="002029AF" w:rsidRDefault="00883F92" w:rsidP="00B35A79">
      <w:pPr>
        <w:pStyle w:val="ARbody"/>
      </w:pPr>
      <w:r w:rsidRPr="002029AF">
        <w:t>The</w:t>
      </w:r>
      <w:r w:rsidR="000A5329" w:rsidRPr="002029AF">
        <w:t xml:space="preserve"> </w:t>
      </w:r>
      <w:r w:rsidRPr="002029AF">
        <w:t>overall</w:t>
      </w:r>
      <w:r w:rsidR="000A5329" w:rsidRPr="002029AF">
        <w:t xml:space="preserve"> </w:t>
      </w:r>
      <w:r w:rsidRPr="002029AF">
        <w:t>cash</w:t>
      </w:r>
      <w:r w:rsidR="000A5329" w:rsidRPr="002029AF">
        <w:t xml:space="preserve"> </w:t>
      </w:r>
      <w:r w:rsidRPr="002029AF">
        <w:t>position</w:t>
      </w:r>
      <w:r w:rsidR="000A5329" w:rsidRPr="002029AF">
        <w:t xml:space="preserve"> </w:t>
      </w:r>
      <w:r w:rsidRPr="002029AF">
        <w:t>at</w:t>
      </w:r>
      <w:r w:rsidR="000A5329" w:rsidRPr="002029AF">
        <w:t xml:space="preserve"> </w:t>
      </w:r>
      <w:r w:rsidRPr="002029AF">
        <w:t>the</w:t>
      </w:r>
      <w:r w:rsidR="000A5329" w:rsidRPr="002029AF">
        <w:t xml:space="preserve"> </w:t>
      </w:r>
      <w:r w:rsidRPr="002029AF">
        <w:t>end</w:t>
      </w:r>
      <w:r w:rsidR="000A5329" w:rsidRPr="002029AF">
        <w:t xml:space="preserve"> </w:t>
      </w:r>
      <w:r w:rsidRPr="002029AF">
        <w:t>of</w:t>
      </w:r>
      <w:r w:rsidR="000A5329" w:rsidRPr="002029AF">
        <w:t xml:space="preserve"> </w:t>
      </w:r>
      <w:r w:rsidRPr="002029AF">
        <w:t>the</w:t>
      </w:r>
      <w:r w:rsidR="000A5329" w:rsidRPr="002029AF">
        <w:t xml:space="preserve"> </w:t>
      </w:r>
      <w:r w:rsidR="007920F7" w:rsidRPr="002029AF">
        <w:br/>
      </w:r>
      <w:r w:rsidRPr="002029AF">
        <w:t>2019</w:t>
      </w:r>
      <w:r w:rsidR="00B35A79" w:rsidRPr="002029AF">
        <w:t>–</w:t>
      </w:r>
      <w:r w:rsidRPr="002029AF">
        <w:t>20</w:t>
      </w:r>
      <w:r w:rsidR="000A5329" w:rsidRPr="002029AF">
        <w:t xml:space="preserve"> </w:t>
      </w:r>
      <w:r w:rsidRPr="002029AF">
        <w:t>financial</w:t>
      </w:r>
      <w:r w:rsidR="000A5329" w:rsidRPr="002029AF">
        <w:t xml:space="preserve"> </w:t>
      </w:r>
      <w:r w:rsidRPr="002029AF">
        <w:t>year</w:t>
      </w:r>
      <w:r w:rsidR="000A5329" w:rsidRPr="002029AF">
        <w:t xml:space="preserve"> </w:t>
      </w:r>
      <w:r w:rsidRPr="002029AF">
        <w:t>is</w:t>
      </w:r>
      <w:r w:rsidR="000A5329" w:rsidRPr="002029AF">
        <w:t xml:space="preserve"> </w:t>
      </w:r>
      <w:r w:rsidRPr="002029AF">
        <w:t>$2,412</w:t>
      </w:r>
      <w:r w:rsidR="000A5329" w:rsidRPr="002029AF">
        <w:t xml:space="preserve"> </w:t>
      </w:r>
      <w:r w:rsidRPr="002029AF">
        <w:t>million,</w:t>
      </w:r>
      <w:r w:rsidR="000A5329" w:rsidRPr="002029AF">
        <w:t xml:space="preserve"> </w:t>
      </w:r>
      <w:r w:rsidRPr="002029AF">
        <w:t>which</w:t>
      </w:r>
      <w:r w:rsidR="000A5329" w:rsidRPr="002029AF">
        <w:t xml:space="preserve"> </w:t>
      </w:r>
      <w:r w:rsidRPr="002029AF">
        <w:t>is</w:t>
      </w:r>
      <w:r w:rsidR="007920F7" w:rsidRPr="002029AF">
        <w:t> </w:t>
      </w:r>
      <w:r w:rsidRPr="002029AF">
        <w:t>$236</w:t>
      </w:r>
      <w:r w:rsidR="000A5329" w:rsidRPr="002029AF">
        <w:t xml:space="preserve"> </w:t>
      </w:r>
      <w:r w:rsidRPr="002029AF">
        <w:t>million</w:t>
      </w:r>
      <w:r w:rsidR="000A5329" w:rsidRPr="002029AF">
        <w:t xml:space="preserve"> </w:t>
      </w:r>
      <w:r w:rsidRPr="002029AF">
        <w:t>higher</w:t>
      </w:r>
      <w:r w:rsidR="000A5329" w:rsidRPr="002029AF">
        <w:t xml:space="preserve"> </w:t>
      </w:r>
      <w:r w:rsidRPr="002029AF">
        <w:t>than</w:t>
      </w:r>
      <w:r w:rsidR="000A5329" w:rsidRPr="002029AF">
        <w:t xml:space="preserve"> </w:t>
      </w:r>
      <w:r w:rsidRPr="002029AF">
        <w:t>the</w:t>
      </w:r>
      <w:r w:rsidR="000A5329" w:rsidRPr="002029AF">
        <w:t xml:space="preserve"> </w:t>
      </w:r>
      <w:r w:rsidRPr="002029AF">
        <w:t>published</w:t>
      </w:r>
      <w:r w:rsidR="000A5329" w:rsidRPr="002029AF">
        <w:t xml:space="preserve"> </w:t>
      </w:r>
      <w:r w:rsidR="5D8F809D" w:rsidRPr="002029AF">
        <w:t>b</w:t>
      </w:r>
      <w:r w:rsidRPr="002029AF">
        <w:t>udget</w:t>
      </w:r>
      <w:r w:rsidR="000A5329" w:rsidRPr="002029AF">
        <w:t xml:space="preserve"> </w:t>
      </w:r>
      <w:r w:rsidRPr="002029AF">
        <w:t>for</w:t>
      </w:r>
      <w:r w:rsidR="00B12841">
        <w:t> </w:t>
      </w:r>
      <w:r w:rsidRPr="002029AF">
        <w:t>2019</w:t>
      </w:r>
      <w:r w:rsidR="003E0147" w:rsidRPr="002029AF">
        <w:t>–</w:t>
      </w:r>
      <w:r w:rsidRPr="002029AF">
        <w:t>20.</w:t>
      </w:r>
    </w:p>
    <w:p w14:paraId="03E85417" w14:textId="1EB7220D" w:rsidR="00883F92" w:rsidRPr="002029AF" w:rsidRDefault="00883F92" w:rsidP="00B35A79">
      <w:pPr>
        <w:pStyle w:val="ARbody"/>
      </w:pPr>
      <w:r w:rsidRPr="002029AF">
        <w:t>The</w:t>
      </w:r>
      <w:r w:rsidR="000A5329" w:rsidRPr="002029AF">
        <w:t xml:space="preserve"> </w:t>
      </w:r>
      <w:r w:rsidRPr="002029AF">
        <w:t>variance</w:t>
      </w:r>
      <w:r w:rsidR="000A5329" w:rsidRPr="002029AF">
        <w:t xml:space="preserve"> </w:t>
      </w:r>
      <w:r w:rsidRPr="002029AF">
        <w:t>is</w:t>
      </w:r>
      <w:r w:rsidR="000A5329" w:rsidRPr="002029AF">
        <w:t xml:space="preserve"> </w:t>
      </w:r>
      <w:r w:rsidRPr="002029AF">
        <w:t>mainly</w:t>
      </w:r>
      <w:r w:rsidR="000A5329" w:rsidRPr="002029AF">
        <w:t xml:space="preserve"> </w:t>
      </w:r>
      <w:r w:rsidRPr="002029AF">
        <w:t>driven</w:t>
      </w:r>
      <w:r w:rsidR="000A5329" w:rsidRPr="002029AF">
        <w:t xml:space="preserve"> </w:t>
      </w:r>
      <w:r w:rsidRPr="002029AF">
        <w:t>by</w:t>
      </w:r>
      <w:r w:rsidR="000A5329" w:rsidRPr="002029AF">
        <w:t xml:space="preserve"> </w:t>
      </w:r>
      <w:r w:rsidRPr="002029AF">
        <w:t>cash</w:t>
      </w:r>
      <w:r w:rsidR="000A5329" w:rsidRPr="002029AF">
        <w:t xml:space="preserve"> </w:t>
      </w:r>
      <w:r w:rsidRPr="002029AF">
        <w:t>paid</w:t>
      </w:r>
      <w:r w:rsidR="000A5329" w:rsidRPr="002029AF">
        <w:t xml:space="preserve"> </w:t>
      </w:r>
      <w:r w:rsidRPr="002029AF">
        <w:t>to</w:t>
      </w:r>
      <w:r w:rsidR="000A5329" w:rsidRPr="002029AF">
        <w:t xml:space="preserve"> </w:t>
      </w:r>
      <w:r w:rsidRPr="002029AF">
        <w:t>health</w:t>
      </w:r>
      <w:r w:rsidR="000A5329" w:rsidRPr="002029AF">
        <w:t xml:space="preserve"> </w:t>
      </w:r>
      <w:r w:rsidRPr="002029AF">
        <w:t>agencies</w:t>
      </w:r>
      <w:r w:rsidR="000A5329" w:rsidRPr="002029AF">
        <w:t xml:space="preserve"> </w:t>
      </w:r>
      <w:r w:rsidRPr="002029AF">
        <w:t>late</w:t>
      </w:r>
      <w:r w:rsidR="000A5329" w:rsidRPr="002029AF">
        <w:t xml:space="preserve"> </w:t>
      </w:r>
      <w:r w:rsidRPr="002029AF">
        <w:t>in</w:t>
      </w:r>
      <w:r w:rsidR="000A5329" w:rsidRPr="002029AF">
        <w:t xml:space="preserve"> </w:t>
      </w:r>
      <w:r w:rsidRPr="002029AF">
        <w:t>the</w:t>
      </w:r>
      <w:r w:rsidR="000A5329" w:rsidRPr="002029AF">
        <w:t xml:space="preserve"> </w:t>
      </w:r>
      <w:r w:rsidRPr="002029AF">
        <w:t>financial</w:t>
      </w:r>
      <w:r w:rsidR="000A5329" w:rsidRPr="002029AF">
        <w:t xml:space="preserve"> </w:t>
      </w:r>
      <w:r w:rsidRPr="002029AF">
        <w:t>year</w:t>
      </w:r>
      <w:r w:rsidR="000A5329" w:rsidRPr="002029AF">
        <w:t xml:space="preserve"> </w:t>
      </w:r>
      <w:r w:rsidRPr="002029AF">
        <w:t>and</w:t>
      </w:r>
      <w:r w:rsidR="000A5329" w:rsidRPr="002029AF">
        <w:t xml:space="preserve"> </w:t>
      </w:r>
      <w:r w:rsidRPr="002029AF">
        <w:t>held</w:t>
      </w:r>
      <w:r w:rsidR="000A5329" w:rsidRPr="002029AF">
        <w:t xml:space="preserve"> </w:t>
      </w:r>
      <w:r w:rsidRPr="002029AF">
        <w:t>at</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r w:rsidR="000A5329" w:rsidRPr="002029AF">
        <w:t xml:space="preserve"> </w:t>
      </w:r>
      <w:r w:rsidRPr="002029AF">
        <w:t>to</w:t>
      </w:r>
      <w:r w:rsidR="000A5329" w:rsidRPr="002029AF">
        <w:t xml:space="preserve"> </w:t>
      </w:r>
      <w:r w:rsidRPr="002029AF">
        <w:t>fund</w:t>
      </w:r>
      <w:r w:rsidR="000A5329" w:rsidRPr="002029AF">
        <w:t xml:space="preserve"> </w:t>
      </w:r>
      <w:r w:rsidRPr="002029AF">
        <w:t>payroll</w:t>
      </w:r>
      <w:r w:rsidR="000A5329" w:rsidRPr="002029AF">
        <w:t xml:space="preserve"> </w:t>
      </w:r>
      <w:r w:rsidRPr="002029AF">
        <w:t>on</w:t>
      </w:r>
      <w:r w:rsidR="000A5329" w:rsidRPr="002029AF">
        <w:t xml:space="preserve"> </w:t>
      </w:r>
      <w:r w:rsidRPr="002029AF">
        <w:t>1</w:t>
      </w:r>
      <w:r w:rsidR="000A5329" w:rsidRPr="002029AF">
        <w:t xml:space="preserve"> </w:t>
      </w:r>
      <w:r w:rsidRPr="002029AF">
        <w:t>July</w:t>
      </w:r>
      <w:r w:rsidR="000A5329" w:rsidRPr="002029AF">
        <w:t xml:space="preserve"> </w:t>
      </w:r>
      <w:r w:rsidRPr="002029AF">
        <w:t>2020</w:t>
      </w:r>
      <w:r w:rsidR="000A5329" w:rsidRPr="002029AF">
        <w:t xml:space="preserve"> </w:t>
      </w:r>
      <w:r w:rsidRPr="002029AF">
        <w:t>and</w:t>
      </w:r>
      <w:r w:rsidR="000A5329" w:rsidRPr="002029AF">
        <w:t xml:space="preserve"> </w:t>
      </w:r>
      <w:r w:rsidRPr="002029AF">
        <w:t>to</w:t>
      </w:r>
      <w:r w:rsidR="000A5329" w:rsidRPr="002029AF">
        <w:t xml:space="preserve"> </w:t>
      </w:r>
      <w:r w:rsidRPr="002029AF">
        <w:t>implement</w:t>
      </w:r>
      <w:r w:rsidR="000A5329" w:rsidRPr="002029AF">
        <w:t xml:space="preserve"> </w:t>
      </w:r>
      <w:r w:rsidRPr="002029AF">
        <w:t>government</w:t>
      </w:r>
      <w:r w:rsidR="000A5329" w:rsidRPr="002029AF">
        <w:t xml:space="preserve"> </w:t>
      </w:r>
      <w:r w:rsidRPr="002029AF">
        <w:t>initiatives</w:t>
      </w:r>
      <w:r w:rsidR="000A5329" w:rsidRPr="002029AF">
        <w:t xml:space="preserve"> </w:t>
      </w:r>
      <w:r w:rsidRPr="002029AF">
        <w:t>in</w:t>
      </w:r>
      <w:r w:rsidR="000A5329" w:rsidRPr="002029AF">
        <w:t xml:space="preserve"> </w:t>
      </w:r>
      <w:r w:rsidRPr="002029AF">
        <w:t>response</w:t>
      </w:r>
      <w:r w:rsidR="000A5329" w:rsidRPr="002029AF">
        <w:t xml:space="preserve"> </w:t>
      </w:r>
      <w:r w:rsidRPr="002029AF">
        <w:t>to</w:t>
      </w:r>
      <w:r w:rsidR="000A5329" w:rsidRPr="002029AF">
        <w:t xml:space="preserve"> </w:t>
      </w:r>
      <w:r w:rsidRPr="002029AF">
        <w:t>the</w:t>
      </w:r>
      <w:r w:rsidR="000A5329" w:rsidRPr="002029AF">
        <w:t xml:space="preserve"> </w:t>
      </w:r>
      <w:r w:rsidR="00B122C3" w:rsidRPr="002029AF">
        <w:t>coronavirus</w:t>
      </w:r>
      <w:r w:rsidR="000A5329" w:rsidRPr="002029AF">
        <w:t xml:space="preserve"> </w:t>
      </w:r>
      <w:r w:rsidR="00B122C3" w:rsidRPr="002029AF">
        <w:t>(</w:t>
      </w:r>
      <w:r w:rsidRPr="002029AF">
        <w:t>COVID-19</w:t>
      </w:r>
      <w:r w:rsidR="00B122C3" w:rsidRPr="002029AF">
        <w:t>)</w:t>
      </w:r>
      <w:r w:rsidR="000A5329" w:rsidRPr="002029AF">
        <w:t xml:space="preserve"> </w:t>
      </w:r>
      <w:r w:rsidRPr="002029AF">
        <w:t>pandemic.</w:t>
      </w:r>
    </w:p>
    <w:p w14:paraId="554727DC" w14:textId="1170017E" w:rsidR="00883F92" w:rsidRPr="002029AF" w:rsidRDefault="00883F92" w:rsidP="00B35A79">
      <w:pPr>
        <w:pStyle w:val="ARbody"/>
        <w:sectPr w:rsidR="00883F92" w:rsidRPr="002029AF" w:rsidSect="00B12841">
          <w:endnotePr>
            <w:numFmt w:val="decimal"/>
          </w:endnotePr>
          <w:type w:val="continuous"/>
          <w:pgSz w:w="11900" w:h="16840" w:code="9"/>
          <w:pgMar w:top="1985" w:right="851" w:bottom="851" w:left="1418" w:header="510" w:footer="340" w:gutter="0"/>
          <w:cols w:num="2" w:space="454"/>
          <w15:footnoteColumns w:val="1"/>
        </w:sectPr>
      </w:pPr>
      <w:r w:rsidRPr="002029AF">
        <w:t>Detailed</w:t>
      </w:r>
      <w:r w:rsidR="000A5329" w:rsidRPr="002029AF">
        <w:t xml:space="preserve"> </w:t>
      </w:r>
      <w:r w:rsidRPr="002029AF">
        <w:t>financial</w:t>
      </w:r>
      <w:r w:rsidR="000A5329" w:rsidRPr="002029AF">
        <w:t xml:space="preserve"> </w:t>
      </w:r>
      <w:r w:rsidRPr="002029AF">
        <w:t>results</w:t>
      </w:r>
      <w:r w:rsidR="000A5329" w:rsidRPr="002029AF">
        <w:t xml:space="preserve"> </w:t>
      </w:r>
      <w:r w:rsidRPr="002029AF">
        <w:t>for</w:t>
      </w:r>
      <w:r w:rsidR="000A5329" w:rsidRPr="002029AF">
        <w:t xml:space="preserve"> </w:t>
      </w:r>
      <w:r w:rsidRPr="002029AF">
        <w:t>the</w:t>
      </w:r>
      <w:r w:rsidR="000A5329" w:rsidRPr="002029AF">
        <w:t xml:space="preserve"> </w:t>
      </w:r>
      <w:r w:rsidRPr="002029AF">
        <w:t>2019–20</w:t>
      </w:r>
      <w:r w:rsidR="000A5329" w:rsidRPr="002029AF">
        <w:t xml:space="preserve"> </w:t>
      </w:r>
      <w:r w:rsidRPr="002029AF">
        <w:t>portfolio</w:t>
      </w:r>
      <w:r w:rsidR="000A5329" w:rsidRPr="002029AF">
        <w:t xml:space="preserve"> </w:t>
      </w:r>
      <w:r w:rsidRPr="002029AF">
        <w:t>budget</w:t>
      </w:r>
      <w:r w:rsidR="000A5329" w:rsidRPr="002029AF">
        <w:t xml:space="preserve"> </w:t>
      </w:r>
      <w:r w:rsidRPr="002029AF">
        <w:t>and</w:t>
      </w:r>
      <w:r w:rsidR="000A5329" w:rsidRPr="002029AF">
        <w:t xml:space="preserve"> </w:t>
      </w:r>
      <w:r w:rsidRPr="002029AF">
        <w:t>actual</w:t>
      </w:r>
      <w:r w:rsidR="000A5329" w:rsidRPr="002029AF">
        <w:t xml:space="preserve"> </w:t>
      </w:r>
      <w:r w:rsidRPr="002029AF">
        <w:t>results</w:t>
      </w:r>
      <w:r w:rsidR="000A5329" w:rsidRPr="002029AF">
        <w:t xml:space="preserve"> </w:t>
      </w:r>
      <w:r w:rsidRPr="002029AF">
        <w:t>are</w:t>
      </w:r>
      <w:r w:rsidR="000A5329" w:rsidRPr="002029AF">
        <w:t xml:space="preserve"> </w:t>
      </w:r>
      <w:r w:rsidRPr="002029AF">
        <w:t>included</w:t>
      </w:r>
      <w:r w:rsidR="000A5329" w:rsidRPr="002029AF">
        <w:t xml:space="preserve"> </w:t>
      </w:r>
      <w:r w:rsidRPr="002029AF">
        <w:t>in</w:t>
      </w:r>
      <w:r w:rsidR="000A5329" w:rsidRPr="002029AF">
        <w:t xml:space="preserve"> </w:t>
      </w:r>
      <w:r w:rsidRPr="002029AF">
        <w:t>the</w:t>
      </w:r>
      <w:r w:rsidR="000A5329" w:rsidRPr="002029AF">
        <w:t xml:space="preserve"> </w:t>
      </w:r>
      <w:r w:rsidRPr="002029AF">
        <w:t>following</w:t>
      </w:r>
      <w:r w:rsidR="000A5329" w:rsidRPr="002029AF">
        <w:t xml:space="preserve"> </w:t>
      </w:r>
      <w:r w:rsidRPr="002029AF">
        <w:t>pages.</w:t>
      </w:r>
    </w:p>
    <w:p w14:paraId="0B4C2F0A" w14:textId="58F86748" w:rsidR="00665D4A" w:rsidRPr="002029AF" w:rsidRDefault="00665D4A" w:rsidP="00DF71B8">
      <w:pPr>
        <w:pStyle w:val="Heading3"/>
        <w:spacing w:before="0"/>
      </w:pPr>
      <w:bookmarkStart w:id="422" w:name="_Toc50731951"/>
      <w:r w:rsidRPr="002029AF">
        <w:lastRenderedPageBreak/>
        <w:t>Comprehensive</w:t>
      </w:r>
      <w:r w:rsidR="000A5329" w:rsidRPr="002029AF">
        <w:t xml:space="preserve"> </w:t>
      </w:r>
      <w:r w:rsidRPr="002029AF">
        <w:t>operating</w:t>
      </w:r>
      <w:r w:rsidR="000A5329" w:rsidRPr="002029AF">
        <w:t xml:space="preserve"> </w:t>
      </w:r>
      <w:r w:rsidRPr="002029AF">
        <w:t>statement</w:t>
      </w:r>
      <w:r w:rsidR="000A5329" w:rsidRPr="002029AF">
        <w:t xml:space="preserve"> </w:t>
      </w:r>
      <w:r w:rsidRPr="002029AF">
        <w:t>for</w:t>
      </w:r>
      <w:r w:rsidR="000A5329" w:rsidRPr="002029AF">
        <w:t xml:space="preserve"> </w:t>
      </w:r>
      <w:r w:rsidRPr="002029AF">
        <w:t>the</w:t>
      </w:r>
      <w:r w:rsidR="000A5329" w:rsidRPr="002029AF">
        <w:t xml:space="preserve"> </w:t>
      </w:r>
      <w:r w:rsidRPr="002029AF">
        <w:t>financial</w:t>
      </w:r>
      <w:r w:rsidR="000A5329" w:rsidRPr="002029AF">
        <w:t xml:space="preserve"> </w:t>
      </w:r>
      <w:r w:rsidRPr="002029AF">
        <w:t>year</w:t>
      </w:r>
      <w:r w:rsidR="000A5329" w:rsidRPr="002029AF">
        <w:t xml:space="preserve"> </w:t>
      </w:r>
      <w:r w:rsidRPr="002029AF">
        <w:t>ended</w:t>
      </w:r>
      <w:r w:rsidR="00DF71B8" w:rsidRPr="002029AF">
        <w:br/>
      </w:r>
      <w:r w:rsidRPr="002029AF">
        <w:t>30</w:t>
      </w:r>
      <w:r w:rsidR="000A5329" w:rsidRPr="002029AF">
        <w:t xml:space="preserve"> </w:t>
      </w:r>
      <w:r w:rsidRPr="002029AF">
        <w:t>June</w:t>
      </w:r>
      <w:r w:rsidR="000A5329" w:rsidRPr="002029AF">
        <w:t xml:space="preserve"> </w:t>
      </w:r>
      <w:r w:rsidRPr="002029AF">
        <w:t>2020</w:t>
      </w:r>
    </w:p>
    <w:tbl>
      <w:tblPr>
        <w:tblStyle w:val="TableGrid"/>
        <w:tblW w:w="9639" w:type="dxa"/>
        <w:tblLook w:val="06A0" w:firstRow="1" w:lastRow="0" w:firstColumn="1" w:lastColumn="0" w:noHBand="1" w:noVBand="1"/>
      </w:tblPr>
      <w:tblGrid>
        <w:gridCol w:w="5218"/>
        <w:gridCol w:w="1247"/>
        <w:gridCol w:w="1247"/>
        <w:gridCol w:w="1247"/>
        <w:gridCol w:w="680"/>
      </w:tblGrid>
      <w:tr w:rsidR="00A34813" w:rsidRPr="002029AF" w14:paraId="47B18881"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5218" w:type="dxa"/>
            <w:tcBorders>
              <w:bottom w:val="single" w:sz="4" w:space="0" w:color="auto"/>
            </w:tcBorders>
            <w:hideMark/>
          </w:tcPr>
          <w:p w14:paraId="43E2C002" w14:textId="77777777" w:rsidR="00A34813" w:rsidRPr="002029AF" w:rsidRDefault="00A34813" w:rsidP="00F4358C">
            <w:pPr>
              <w:pStyle w:val="ARfintablecolhead"/>
            </w:pPr>
          </w:p>
        </w:tc>
        <w:tc>
          <w:tcPr>
            <w:tcW w:w="1247" w:type="dxa"/>
            <w:tcBorders>
              <w:bottom w:val="single" w:sz="4" w:space="0" w:color="auto"/>
            </w:tcBorders>
            <w:hideMark/>
          </w:tcPr>
          <w:p w14:paraId="6CECF21A" w14:textId="77777777" w:rsidR="00A34813" w:rsidRPr="002029AF" w:rsidRDefault="00A34813" w:rsidP="00F4358C">
            <w:pPr>
              <w:pStyle w:val="ARfintablecolheadright"/>
            </w:pPr>
            <w:r w:rsidRPr="002029AF">
              <w:t>2019–20</w:t>
            </w:r>
          </w:p>
          <w:p w14:paraId="5910C66E" w14:textId="77777777" w:rsidR="00A34813" w:rsidRPr="002029AF" w:rsidRDefault="00A34813" w:rsidP="00F4358C">
            <w:pPr>
              <w:pStyle w:val="ARfintablecolheadright"/>
            </w:pPr>
            <w:r w:rsidRPr="002029AF">
              <w:t>Actual</w:t>
            </w:r>
          </w:p>
          <w:p w14:paraId="739954E1" w14:textId="77777777" w:rsidR="00A34813" w:rsidRPr="002029AF" w:rsidRDefault="00A34813" w:rsidP="00F4358C">
            <w:pPr>
              <w:pStyle w:val="ARfintablecolheadright"/>
            </w:pPr>
            <w:r w:rsidRPr="002029AF">
              <w:t>$M</w:t>
            </w:r>
          </w:p>
        </w:tc>
        <w:tc>
          <w:tcPr>
            <w:tcW w:w="1247" w:type="dxa"/>
            <w:tcBorders>
              <w:bottom w:val="single" w:sz="4" w:space="0" w:color="auto"/>
            </w:tcBorders>
            <w:hideMark/>
          </w:tcPr>
          <w:p w14:paraId="5C5A43A8" w14:textId="77777777" w:rsidR="00A34813" w:rsidRPr="002029AF" w:rsidRDefault="00A34813" w:rsidP="00F4358C">
            <w:pPr>
              <w:pStyle w:val="ARfintablecolheadright"/>
            </w:pPr>
            <w:r w:rsidRPr="002029AF">
              <w:t>2019–20</w:t>
            </w:r>
          </w:p>
          <w:p w14:paraId="0DE2710E" w14:textId="0E81EDA1" w:rsidR="00A34813" w:rsidRPr="002029AF" w:rsidRDefault="00A34813" w:rsidP="00F4358C">
            <w:pPr>
              <w:pStyle w:val="ARfintablecolheadright"/>
            </w:pPr>
            <w:r w:rsidRPr="002029AF">
              <w:t>Published</w:t>
            </w:r>
            <w:r w:rsidR="000A5329" w:rsidRPr="002029AF">
              <w:t xml:space="preserve"> </w:t>
            </w:r>
            <w:r w:rsidRPr="002029AF">
              <w:t>budget</w:t>
            </w:r>
          </w:p>
          <w:p w14:paraId="4317E494" w14:textId="77777777" w:rsidR="00A34813" w:rsidRPr="002029AF" w:rsidRDefault="00A34813" w:rsidP="00F4358C">
            <w:pPr>
              <w:pStyle w:val="ARfintablecolheadright"/>
            </w:pPr>
            <w:r w:rsidRPr="002029AF">
              <w:t>$M</w:t>
            </w:r>
          </w:p>
        </w:tc>
        <w:tc>
          <w:tcPr>
            <w:tcW w:w="1247" w:type="dxa"/>
            <w:tcBorders>
              <w:bottom w:val="single" w:sz="4" w:space="0" w:color="auto"/>
            </w:tcBorders>
            <w:noWrap/>
            <w:hideMark/>
          </w:tcPr>
          <w:p w14:paraId="06A8C7FA" w14:textId="62033C67" w:rsidR="00A34813" w:rsidRPr="002029AF" w:rsidRDefault="00A34813" w:rsidP="00F4358C">
            <w:pPr>
              <w:pStyle w:val="ARfintablecolheadright"/>
            </w:pPr>
            <w:r w:rsidRPr="002029AF">
              <w:t>Variation</w:t>
            </w:r>
            <w:r w:rsidR="000A5329" w:rsidRPr="002029AF">
              <w:t xml:space="preserve"> </w:t>
            </w:r>
            <w:r w:rsidRPr="002029AF">
              <w:t>to</w:t>
            </w:r>
            <w:r w:rsidR="000A5329" w:rsidRPr="002029AF">
              <w:t xml:space="preserve"> </w:t>
            </w:r>
            <w:r w:rsidRPr="002029AF">
              <w:t>published</w:t>
            </w:r>
            <w:r w:rsidR="000A5329" w:rsidRPr="002029AF">
              <w:t xml:space="preserve"> </w:t>
            </w:r>
            <w:r w:rsidRPr="002029AF">
              <w:t>budget</w:t>
            </w:r>
          </w:p>
          <w:p w14:paraId="140C7CDE" w14:textId="77777777" w:rsidR="00A34813" w:rsidRPr="002029AF" w:rsidRDefault="00A34813" w:rsidP="00F4358C">
            <w:pPr>
              <w:pStyle w:val="ARfintablecolheadright"/>
            </w:pPr>
            <w:r w:rsidRPr="002029AF">
              <w:t>%</w:t>
            </w:r>
          </w:p>
        </w:tc>
        <w:tc>
          <w:tcPr>
            <w:tcW w:w="680" w:type="dxa"/>
            <w:tcBorders>
              <w:bottom w:val="single" w:sz="4" w:space="0" w:color="auto"/>
            </w:tcBorders>
            <w:noWrap/>
            <w:hideMark/>
          </w:tcPr>
          <w:p w14:paraId="3E1F0938" w14:textId="77777777" w:rsidR="00A34813" w:rsidRPr="002029AF" w:rsidRDefault="00A34813" w:rsidP="00F4358C">
            <w:pPr>
              <w:pStyle w:val="ARfintablecolheadright"/>
            </w:pPr>
            <w:r w:rsidRPr="002029AF">
              <w:t>Notes</w:t>
            </w:r>
          </w:p>
        </w:tc>
      </w:tr>
      <w:tr w:rsidR="00F4358C" w:rsidRPr="002029AF" w14:paraId="4423D10E" w14:textId="77777777" w:rsidTr="00F4358C">
        <w:tc>
          <w:tcPr>
            <w:tcW w:w="9639" w:type="dxa"/>
            <w:gridSpan w:val="5"/>
            <w:tcBorders>
              <w:top w:val="single" w:sz="4" w:space="0" w:color="auto"/>
              <w:bottom w:val="single" w:sz="4" w:space="0" w:color="A6A6A6"/>
            </w:tcBorders>
            <w:hideMark/>
          </w:tcPr>
          <w:p w14:paraId="4810B606" w14:textId="0CCAACE8" w:rsidR="00F4358C" w:rsidRPr="002029AF" w:rsidRDefault="00F4358C" w:rsidP="00F4358C">
            <w:pPr>
              <w:pStyle w:val="ARfintablebodybold"/>
            </w:pPr>
            <w:r w:rsidRPr="002029AF">
              <w:t>Net</w:t>
            </w:r>
            <w:r w:rsidR="000A5329" w:rsidRPr="002029AF">
              <w:t xml:space="preserve"> </w:t>
            </w:r>
            <w:r w:rsidRPr="002029AF">
              <w:t>result</w:t>
            </w:r>
            <w:r w:rsidR="000A5329" w:rsidRPr="002029AF">
              <w:t xml:space="preserve"> </w:t>
            </w:r>
            <w:r w:rsidRPr="002029AF">
              <w:t>from</w:t>
            </w:r>
            <w:r w:rsidR="000A5329" w:rsidRPr="002029AF">
              <w:t xml:space="preserve"> </w:t>
            </w:r>
            <w:r w:rsidRPr="002029AF">
              <w:t>continuing</w:t>
            </w:r>
            <w:r w:rsidR="000A5329" w:rsidRPr="002029AF">
              <w:t xml:space="preserve"> </w:t>
            </w:r>
            <w:r w:rsidRPr="002029AF">
              <w:t>operations</w:t>
            </w:r>
          </w:p>
        </w:tc>
      </w:tr>
      <w:tr w:rsidR="00F4358C" w:rsidRPr="002029AF" w14:paraId="1F4AEC17" w14:textId="77777777" w:rsidTr="00F4358C">
        <w:tc>
          <w:tcPr>
            <w:tcW w:w="9639" w:type="dxa"/>
            <w:gridSpan w:val="5"/>
            <w:tcBorders>
              <w:top w:val="single" w:sz="4" w:space="0" w:color="A6A6A6"/>
              <w:bottom w:val="single" w:sz="4" w:space="0" w:color="A6A6A6"/>
            </w:tcBorders>
            <w:hideMark/>
          </w:tcPr>
          <w:p w14:paraId="08E6F4D3" w14:textId="485FEED0" w:rsidR="00F4358C" w:rsidRPr="002029AF" w:rsidRDefault="00F4358C" w:rsidP="00F4358C">
            <w:pPr>
              <w:pStyle w:val="ARfintablebodybold"/>
            </w:pPr>
            <w:r w:rsidRPr="002029AF">
              <w:t>Income</w:t>
            </w:r>
            <w:r w:rsidR="000A5329" w:rsidRPr="002029AF">
              <w:t xml:space="preserve"> </w:t>
            </w:r>
            <w:r w:rsidRPr="002029AF">
              <w:t>from</w:t>
            </w:r>
            <w:r w:rsidR="000A5329" w:rsidRPr="002029AF">
              <w:t xml:space="preserve"> </w:t>
            </w:r>
            <w:r w:rsidRPr="002029AF">
              <w:t>transactions</w:t>
            </w:r>
          </w:p>
        </w:tc>
      </w:tr>
      <w:tr w:rsidR="00A34813" w:rsidRPr="002029AF" w14:paraId="60684CC5" w14:textId="77777777" w:rsidTr="00F4358C">
        <w:tc>
          <w:tcPr>
            <w:tcW w:w="5218" w:type="dxa"/>
            <w:tcBorders>
              <w:top w:val="single" w:sz="4" w:space="0" w:color="A6A6A6"/>
              <w:bottom w:val="single" w:sz="4" w:space="0" w:color="A6A6A6"/>
            </w:tcBorders>
            <w:hideMark/>
          </w:tcPr>
          <w:p w14:paraId="184FF2FE" w14:textId="3C024307" w:rsidR="00A34813" w:rsidRPr="002029AF" w:rsidRDefault="00A34813" w:rsidP="00F4358C">
            <w:pPr>
              <w:pStyle w:val="ARfintablebody"/>
            </w:pPr>
            <w:r w:rsidRPr="002029AF">
              <w:t>Output</w:t>
            </w:r>
            <w:r w:rsidR="000A5329" w:rsidRPr="002029AF">
              <w:t xml:space="preserve"> </w:t>
            </w:r>
            <w:r w:rsidRPr="002029AF">
              <w:t>appropriations</w:t>
            </w:r>
          </w:p>
        </w:tc>
        <w:tc>
          <w:tcPr>
            <w:tcW w:w="1247" w:type="dxa"/>
            <w:tcBorders>
              <w:top w:val="single" w:sz="4" w:space="0" w:color="A6A6A6"/>
              <w:bottom w:val="single" w:sz="4" w:space="0" w:color="A6A6A6"/>
            </w:tcBorders>
            <w:hideMark/>
          </w:tcPr>
          <w:p w14:paraId="4E29BC6F" w14:textId="77777777" w:rsidR="00A34813" w:rsidRPr="002029AF" w:rsidRDefault="00A34813" w:rsidP="00F4358C">
            <w:pPr>
              <w:pStyle w:val="ARfintablebodyright"/>
            </w:pPr>
            <w:r w:rsidRPr="002029AF">
              <w:t>17,600</w:t>
            </w:r>
          </w:p>
        </w:tc>
        <w:tc>
          <w:tcPr>
            <w:tcW w:w="1247" w:type="dxa"/>
            <w:tcBorders>
              <w:top w:val="single" w:sz="4" w:space="0" w:color="A6A6A6"/>
              <w:bottom w:val="single" w:sz="4" w:space="0" w:color="A6A6A6"/>
            </w:tcBorders>
            <w:hideMark/>
          </w:tcPr>
          <w:p w14:paraId="322ED713" w14:textId="77777777" w:rsidR="00A34813" w:rsidRPr="002029AF" w:rsidRDefault="00A34813" w:rsidP="00F4358C">
            <w:pPr>
              <w:pStyle w:val="ARfintablebodyright"/>
            </w:pPr>
            <w:r w:rsidRPr="002029AF">
              <w:t>16,376</w:t>
            </w:r>
          </w:p>
        </w:tc>
        <w:tc>
          <w:tcPr>
            <w:tcW w:w="1247" w:type="dxa"/>
            <w:tcBorders>
              <w:top w:val="single" w:sz="4" w:space="0" w:color="A6A6A6"/>
              <w:bottom w:val="single" w:sz="4" w:space="0" w:color="A6A6A6"/>
            </w:tcBorders>
            <w:hideMark/>
          </w:tcPr>
          <w:p w14:paraId="49FDCB32" w14:textId="77777777" w:rsidR="00A34813" w:rsidRPr="002029AF" w:rsidRDefault="00A34813" w:rsidP="00F4358C">
            <w:pPr>
              <w:pStyle w:val="ARfintablebodyright"/>
            </w:pPr>
            <w:r w:rsidRPr="002029AF">
              <w:t>7.5</w:t>
            </w:r>
          </w:p>
        </w:tc>
        <w:tc>
          <w:tcPr>
            <w:tcW w:w="680" w:type="dxa"/>
            <w:tcBorders>
              <w:top w:val="single" w:sz="4" w:space="0" w:color="A6A6A6"/>
              <w:bottom w:val="single" w:sz="4" w:space="0" w:color="A6A6A6"/>
            </w:tcBorders>
            <w:hideMark/>
          </w:tcPr>
          <w:p w14:paraId="28690818" w14:textId="77777777" w:rsidR="00A34813" w:rsidRPr="002029AF" w:rsidRDefault="00A34813" w:rsidP="00F4358C">
            <w:pPr>
              <w:pStyle w:val="ARfintablebodyrightbold"/>
            </w:pPr>
            <w:r w:rsidRPr="002029AF">
              <w:t>1</w:t>
            </w:r>
          </w:p>
        </w:tc>
      </w:tr>
      <w:tr w:rsidR="00A34813" w:rsidRPr="002029AF" w14:paraId="68F8F3CA" w14:textId="77777777" w:rsidTr="00F4358C">
        <w:tc>
          <w:tcPr>
            <w:tcW w:w="5218" w:type="dxa"/>
            <w:tcBorders>
              <w:top w:val="single" w:sz="4" w:space="0" w:color="A6A6A6"/>
              <w:bottom w:val="single" w:sz="4" w:space="0" w:color="A6A6A6"/>
            </w:tcBorders>
            <w:hideMark/>
          </w:tcPr>
          <w:p w14:paraId="1C56096B" w14:textId="4655C117" w:rsidR="00A34813" w:rsidRPr="002029AF" w:rsidRDefault="00A34813" w:rsidP="00F4358C">
            <w:pPr>
              <w:pStyle w:val="ARfintablebody"/>
            </w:pPr>
            <w:r w:rsidRPr="002029AF">
              <w:t>Special</w:t>
            </w:r>
            <w:r w:rsidR="000A5329" w:rsidRPr="002029AF">
              <w:t xml:space="preserve"> </w:t>
            </w:r>
            <w:r w:rsidRPr="002029AF">
              <w:t>appropriations</w:t>
            </w:r>
          </w:p>
        </w:tc>
        <w:tc>
          <w:tcPr>
            <w:tcW w:w="1247" w:type="dxa"/>
            <w:tcBorders>
              <w:top w:val="single" w:sz="4" w:space="0" w:color="A6A6A6"/>
              <w:bottom w:val="single" w:sz="4" w:space="0" w:color="A6A6A6"/>
            </w:tcBorders>
            <w:hideMark/>
          </w:tcPr>
          <w:p w14:paraId="2BB41E45" w14:textId="77777777" w:rsidR="00A34813" w:rsidRPr="002029AF" w:rsidRDefault="00A34813" w:rsidP="00F4358C">
            <w:pPr>
              <w:pStyle w:val="ARfintablebodyright"/>
            </w:pPr>
            <w:r w:rsidRPr="002029AF">
              <w:t>1,372</w:t>
            </w:r>
          </w:p>
        </w:tc>
        <w:tc>
          <w:tcPr>
            <w:tcW w:w="1247" w:type="dxa"/>
            <w:tcBorders>
              <w:top w:val="single" w:sz="4" w:space="0" w:color="A6A6A6"/>
              <w:bottom w:val="single" w:sz="4" w:space="0" w:color="A6A6A6"/>
            </w:tcBorders>
            <w:hideMark/>
          </w:tcPr>
          <w:p w14:paraId="37FA1316" w14:textId="77777777" w:rsidR="00A34813" w:rsidRPr="002029AF" w:rsidRDefault="00A34813" w:rsidP="00F4358C">
            <w:pPr>
              <w:pStyle w:val="ARfintablebodyright"/>
            </w:pPr>
            <w:r w:rsidRPr="002029AF">
              <w:t>1,459</w:t>
            </w:r>
          </w:p>
        </w:tc>
        <w:tc>
          <w:tcPr>
            <w:tcW w:w="1247" w:type="dxa"/>
            <w:tcBorders>
              <w:top w:val="single" w:sz="4" w:space="0" w:color="A6A6A6"/>
              <w:bottom w:val="single" w:sz="4" w:space="0" w:color="A6A6A6"/>
            </w:tcBorders>
            <w:hideMark/>
          </w:tcPr>
          <w:p w14:paraId="0FBAFA8D" w14:textId="77777777" w:rsidR="00A34813" w:rsidRPr="002029AF" w:rsidRDefault="00A34813" w:rsidP="00F4358C">
            <w:pPr>
              <w:pStyle w:val="ARfintablebodyright"/>
            </w:pPr>
            <w:r w:rsidRPr="002029AF">
              <w:t>(6.0)</w:t>
            </w:r>
          </w:p>
        </w:tc>
        <w:tc>
          <w:tcPr>
            <w:tcW w:w="680" w:type="dxa"/>
            <w:tcBorders>
              <w:top w:val="single" w:sz="4" w:space="0" w:color="A6A6A6"/>
              <w:bottom w:val="single" w:sz="4" w:space="0" w:color="A6A6A6"/>
            </w:tcBorders>
            <w:hideMark/>
          </w:tcPr>
          <w:p w14:paraId="132AB89C" w14:textId="77777777" w:rsidR="00A34813" w:rsidRPr="002029AF" w:rsidRDefault="00A34813" w:rsidP="00F4358C">
            <w:pPr>
              <w:pStyle w:val="ARfintablebodyrightbold"/>
            </w:pPr>
            <w:r w:rsidRPr="002029AF">
              <w:t>2</w:t>
            </w:r>
          </w:p>
        </w:tc>
      </w:tr>
      <w:tr w:rsidR="00A34813" w:rsidRPr="002029AF" w14:paraId="2E0387B6" w14:textId="77777777" w:rsidTr="00F4358C">
        <w:tc>
          <w:tcPr>
            <w:tcW w:w="5218" w:type="dxa"/>
            <w:tcBorders>
              <w:top w:val="single" w:sz="4" w:space="0" w:color="A6A6A6"/>
              <w:bottom w:val="single" w:sz="4" w:space="0" w:color="A6A6A6"/>
            </w:tcBorders>
            <w:hideMark/>
          </w:tcPr>
          <w:p w14:paraId="31AD7249" w14:textId="77777777" w:rsidR="00A34813" w:rsidRPr="002029AF" w:rsidRDefault="00A34813" w:rsidP="00F4358C">
            <w:pPr>
              <w:pStyle w:val="ARfintablebody"/>
            </w:pPr>
            <w:r w:rsidRPr="002029AF">
              <w:t>Interest</w:t>
            </w:r>
          </w:p>
        </w:tc>
        <w:tc>
          <w:tcPr>
            <w:tcW w:w="1247" w:type="dxa"/>
            <w:tcBorders>
              <w:top w:val="single" w:sz="4" w:space="0" w:color="A6A6A6"/>
              <w:bottom w:val="single" w:sz="4" w:space="0" w:color="A6A6A6"/>
            </w:tcBorders>
            <w:hideMark/>
          </w:tcPr>
          <w:p w14:paraId="6606358E" w14:textId="77777777" w:rsidR="00A34813" w:rsidRPr="002029AF" w:rsidRDefault="00A34813" w:rsidP="00F4358C">
            <w:pPr>
              <w:pStyle w:val="ARfintablebodyright"/>
            </w:pPr>
            <w:r w:rsidRPr="002029AF">
              <w:t>33</w:t>
            </w:r>
          </w:p>
        </w:tc>
        <w:tc>
          <w:tcPr>
            <w:tcW w:w="1247" w:type="dxa"/>
            <w:tcBorders>
              <w:top w:val="single" w:sz="4" w:space="0" w:color="A6A6A6"/>
              <w:bottom w:val="single" w:sz="4" w:space="0" w:color="A6A6A6"/>
            </w:tcBorders>
            <w:hideMark/>
          </w:tcPr>
          <w:p w14:paraId="17417D07" w14:textId="77777777" w:rsidR="00A34813" w:rsidRPr="002029AF" w:rsidRDefault="00A34813" w:rsidP="00F4358C">
            <w:pPr>
              <w:pStyle w:val="ARfintablebodyright"/>
            </w:pPr>
            <w:r w:rsidRPr="002029AF">
              <w:t>46</w:t>
            </w:r>
          </w:p>
        </w:tc>
        <w:tc>
          <w:tcPr>
            <w:tcW w:w="1247" w:type="dxa"/>
            <w:tcBorders>
              <w:top w:val="single" w:sz="4" w:space="0" w:color="A6A6A6"/>
              <w:bottom w:val="single" w:sz="4" w:space="0" w:color="A6A6A6"/>
            </w:tcBorders>
            <w:hideMark/>
          </w:tcPr>
          <w:p w14:paraId="4666335C" w14:textId="77777777" w:rsidR="00A34813" w:rsidRPr="002029AF" w:rsidRDefault="00A34813" w:rsidP="00F4358C">
            <w:pPr>
              <w:pStyle w:val="ARfintablebodyright"/>
            </w:pPr>
            <w:r w:rsidRPr="002029AF">
              <w:t>(28.2)</w:t>
            </w:r>
          </w:p>
        </w:tc>
        <w:tc>
          <w:tcPr>
            <w:tcW w:w="680" w:type="dxa"/>
            <w:tcBorders>
              <w:top w:val="single" w:sz="4" w:space="0" w:color="A6A6A6"/>
              <w:bottom w:val="single" w:sz="4" w:space="0" w:color="A6A6A6"/>
            </w:tcBorders>
            <w:hideMark/>
          </w:tcPr>
          <w:p w14:paraId="59CD24A4" w14:textId="77777777" w:rsidR="00A34813" w:rsidRPr="002029AF" w:rsidRDefault="00A34813" w:rsidP="00F4358C">
            <w:pPr>
              <w:pStyle w:val="ARfintablebodyright"/>
            </w:pPr>
          </w:p>
        </w:tc>
      </w:tr>
      <w:tr w:rsidR="00A34813" w:rsidRPr="002029AF" w14:paraId="66B7A8AB" w14:textId="77777777" w:rsidTr="00F4358C">
        <w:tc>
          <w:tcPr>
            <w:tcW w:w="5218" w:type="dxa"/>
            <w:tcBorders>
              <w:top w:val="single" w:sz="4" w:space="0" w:color="A6A6A6"/>
              <w:bottom w:val="single" w:sz="4" w:space="0" w:color="A6A6A6"/>
            </w:tcBorders>
            <w:hideMark/>
          </w:tcPr>
          <w:p w14:paraId="587A2CAE" w14:textId="22E43349" w:rsidR="00A34813" w:rsidRPr="002029AF" w:rsidRDefault="00A34813" w:rsidP="00F4358C">
            <w:pPr>
              <w:pStyle w:val="ARfintablebody"/>
            </w:pPr>
            <w:r w:rsidRPr="002029AF">
              <w:t>Sales</w:t>
            </w:r>
            <w:r w:rsidR="000A5329" w:rsidRPr="002029AF">
              <w:t xml:space="preserve"> </w:t>
            </w:r>
            <w:r w:rsidRPr="002029AF">
              <w:t>of</w:t>
            </w:r>
            <w:r w:rsidR="000A5329" w:rsidRPr="002029AF">
              <w:t xml:space="preserve"> </w:t>
            </w:r>
            <w:r w:rsidRPr="002029AF">
              <w:t>goods</w:t>
            </w:r>
            <w:r w:rsidR="000A5329" w:rsidRPr="002029AF">
              <w:t xml:space="preserve"> </w:t>
            </w:r>
            <w:r w:rsidRPr="002029AF">
              <w:t>and</w:t>
            </w:r>
            <w:r w:rsidR="000A5329" w:rsidRPr="002029AF">
              <w:t xml:space="preserve"> </w:t>
            </w:r>
            <w:r w:rsidRPr="002029AF">
              <w:t>services</w:t>
            </w:r>
          </w:p>
        </w:tc>
        <w:tc>
          <w:tcPr>
            <w:tcW w:w="1247" w:type="dxa"/>
            <w:tcBorders>
              <w:top w:val="single" w:sz="4" w:space="0" w:color="A6A6A6"/>
              <w:bottom w:val="single" w:sz="4" w:space="0" w:color="A6A6A6"/>
            </w:tcBorders>
            <w:hideMark/>
          </w:tcPr>
          <w:p w14:paraId="6210E7B3" w14:textId="77777777" w:rsidR="00A34813" w:rsidRPr="002029AF" w:rsidRDefault="00A34813" w:rsidP="00F4358C">
            <w:pPr>
              <w:pStyle w:val="ARfintablebodyright"/>
            </w:pPr>
            <w:r w:rsidRPr="002029AF">
              <w:t>1,778</w:t>
            </w:r>
          </w:p>
        </w:tc>
        <w:tc>
          <w:tcPr>
            <w:tcW w:w="1247" w:type="dxa"/>
            <w:tcBorders>
              <w:top w:val="single" w:sz="4" w:space="0" w:color="A6A6A6"/>
              <w:bottom w:val="single" w:sz="4" w:space="0" w:color="A6A6A6"/>
            </w:tcBorders>
            <w:hideMark/>
          </w:tcPr>
          <w:p w14:paraId="3D95ABB9" w14:textId="77777777" w:rsidR="00A34813" w:rsidRPr="002029AF" w:rsidRDefault="00A34813" w:rsidP="00F4358C">
            <w:pPr>
              <w:pStyle w:val="ARfintablebodyright"/>
            </w:pPr>
            <w:r w:rsidRPr="002029AF">
              <w:t>1,902</w:t>
            </w:r>
          </w:p>
        </w:tc>
        <w:tc>
          <w:tcPr>
            <w:tcW w:w="1247" w:type="dxa"/>
            <w:tcBorders>
              <w:top w:val="single" w:sz="4" w:space="0" w:color="A6A6A6"/>
              <w:bottom w:val="single" w:sz="4" w:space="0" w:color="A6A6A6"/>
            </w:tcBorders>
            <w:hideMark/>
          </w:tcPr>
          <w:p w14:paraId="31E9AF0D" w14:textId="77777777" w:rsidR="00A34813" w:rsidRPr="002029AF" w:rsidRDefault="00A34813" w:rsidP="00F4358C">
            <w:pPr>
              <w:pStyle w:val="ARfintablebodyright"/>
            </w:pPr>
            <w:r w:rsidRPr="002029AF">
              <w:t>(6.5)</w:t>
            </w:r>
          </w:p>
        </w:tc>
        <w:tc>
          <w:tcPr>
            <w:tcW w:w="680" w:type="dxa"/>
            <w:tcBorders>
              <w:top w:val="single" w:sz="4" w:space="0" w:color="A6A6A6"/>
              <w:bottom w:val="single" w:sz="4" w:space="0" w:color="A6A6A6"/>
            </w:tcBorders>
            <w:hideMark/>
          </w:tcPr>
          <w:p w14:paraId="6CED4D34" w14:textId="77777777" w:rsidR="00A34813" w:rsidRPr="002029AF" w:rsidRDefault="00A34813" w:rsidP="00F4358C">
            <w:pPr>
              <w:pStyle w:val="ARfintablebodyright"/>
            </w:pPr>
          </w:p>
        </w:tc>
      </w:tr>
      <w:tr w:rsidR="00A34813" w:rsidRPr="002029AF" w14:paraId="544C38F7" w14:textId="77777777" w:rsidTr="00F4358C">
        <w:tc>
          <w:tcPr>
            <w:tcW w:w="5218" w:type="dxa"/>
            <w:tcBorders>
              <w:top w:val="single" w:sz="4" w:space="0" w:color="A6A6A6"/>
              <w:bottom w:val="single" w:sz="4" w:space="0" w:color="A6A6A6"/>
            </w:tcBorders>
            <w:hideMark/>
          </w:tcPr>
          <w:p w14:paraId="2ECE8DCD" w14:textId="77777777" w:rsidR="00A34813" w:rsidRPr="002029AF" w:rsidRDefault="00A34813" w:rsidP="00F4358C">
            <w:pPr>
              <w:pStyle w:val="ARfintablebody"/>
            </w:pPr>
            <w:r w:rsidRPr="002029AF">
              <w:t>Grants</w:t>
            </w:r>
          </w:p>
        </w:tc>
        <w:tc>
          <w:tcPr>
            <w:tcW w:w="1247" w:type="dxa"/>
            <w:tcBorders>
              <w:top w:val="single" w:sz="4" w:space="0" w:color="A6A6A6"/>
              <w:bottom w:val="single" w:sz="4" w:space="0" w:color="A6A6A6"/>
            </w:tcBorders>
            <w:hideMark/>
          </w:tcPr>
          <w:p w14:paraId="4522B79B" w14:textId="77777777" w:rsidR="00A34813" w:rsidRPr="002029AF" w:rsidRDefault="00A34813" w:rsidP="00F4358C">
            <w:pPr>
              <w:pStyle w:val="ARfintablebodyright"/>
            </w:pPr>
            <w:r w:rsidRPr="002029AF">
              <w:t>8,735</w:t>
            </w:r>
          </w:p>
        </w:tc>
        <w:tc>
          <w:tcPr>
            <w:tcW w:w="1247" w:type="dxa"/>
            <w:tcBorders>
              <w:top w:val="single" w:sz="4" w:space="0" w:color="A6A6A6"/>
              <w:bottom w:val="single" w:sz="4" w:space="0" w:color="A6A6A6"/>
            </w:tcBorders>
            <w:hideMark/>
          </w:tcPr>
          <w:p w14:paraId="5FEA8FBF" w14:textId="77777777" w:rsidR="00A34813" w:rsidRPr="002029AF" w:rsidRDefault="00A34813" w:rsidP="00F4358C">
            <w:pPr>
              <w:pStyle w:val="ARfintablebodyright"/>
            </w:pPr>
            <w:r w:rsidRPr="002029AF">
              <w:t>7,181</w:t>
            </w:r>
          </w:p>
        </w:tc>
        <w:tc>
          <w:tcPr>
            <w:tcW w:w="1247" w:type="dxa"/>
            <w:tcBorders>
              <w:top w:val="single" w:sz="4" w:space="0" w:color="A6A6A6"/>
              <w:bottom w:val="single" w:sz="4" w:space="0" w:color="A6A6A6"/>
            </w:tcBorders>
            <w:hideMark/>
          </w:tcPr>
          <w:p w14:paraId="44997571" w14:textId="77777777" w:rsidR="00A34813" w:rsidRPr="002029AF" w:rsidRDefault="00A34813" w:rsidP="00F4358C">
            <w:pPr>
              <w:pStyle w:val="ARfintablebodyright"/>
            </w:pPr>
            <w:r w:rsidRPr="002029AF">
              <w:t>21.6</w:t>
            </w:r>
          </w:p>
        </w:tc>
        <w:tc>
          <w:tcPr>
            <w:tcW w:w="680" w:type="dxa"/>
            <w:tcBorders>
              <w:top w:val="single" w:sz="4" w:space="0" w:color="A6A6A6"/>
              <w:bottom w:val="single" w:sz="4" w:space="0" w:color="A6A6A6"/>
            </w:tcBorders>
            <w:hideMark/>
          </w:tcPr>
          <w:p w14:paraId="4E3B4ED6" w14:textId="77777777" w:rsidR="00A34813" w:rsidRPr="002029AF" w:rsidRDefault="00A34813" w:rsidP="00F4358C">
            <w:pPr>
              <w:pStyle w:val="ARfintablebodyrightbold"/>
            </w:pPr>
            <w:r w:rsidRPr="002029AF">
              <w:t>3</w:t>
            </w:r>
          </w:p>
        </w:tc>
      </w:tr>
      <w:tr w:rsidR="00A34813" w:rsidRPr="002029AF" w14:paraId="60A52E08" w14:textId="77777777" w:rsidTr="00F4358C">
        <w:tc>
          <w:tcPr>
            <w:tcW w:w="5218" w:type="dxa"/>
            <w:tcBorders>
              <w:top w:val="single" w:sz="4" w:space="0" w:color="A6A6A6"/>
              <w:bottom w:val="single" w:sz="4" w:space="0" w:color="A6A6A6"/>
            </w:tcBorders>
            <w:hideMark/>
          </w:tcPr>
          <w:p w14:paraId="0B3231AD" w14:textId="55D14663" w:rsidR="00A34813" w:rsidRPr="002029AF" w:rsidRDefault="00A34813" w:rsidP="00F4358C">
            <w:pPr>
              <w:pStyle w:val="ARfintablebody"/>
            </w:pPr>
            <w:r w:rsidRPr="002029AF">
              <w:t>Fair</w:t>
            </w:r>
            <w:r w:rsidR="000A5329" w:rsidRPr="002029AF">
              <w:t xml:space="preserve"> </w:t>
            </w:r>
            <w:r w:rsidRPr="002029AF">
              <w:t>value</w:t>
            </w:r>
            <w:r w:rsidR="000A5329" w:rsidRPr="002029AF">
              <w:t xml:space="preserve"> </w:t>
            </w:r>
            <w:r w:rsidRPr="002029AF">
              <w:t>of</w:t>
            </w:r>
            <w:r w:rsidR="000A5329" w:rsidRPr="002029AF">
              <w:t xml:space="preserve"> </w:t>
            </w:r>
            <w:r w:rsidRPr="002029AF">
              <w:t>assets</w:t>
            </w:r>
            <w:r w:rsidR="000A5329" w:rsidRPr="002029AF">
              <w:t xml:space="preserve"> </w:t>
            </w:r>
            <w:r w:rsidRPr="002029AF">
              <w:t>and</w:t>
            </w:r>
            <w:r w:rsidR="000A5329" w:rsidRPr="002029AF">
              <w:t xml:space="preserve"> </w:t>
            </w:r>
            <w:r w:rsidRPr="002029AF">
              <w:t>services</w:t>
            </w:r>
            <w:r w:rsidR="000A5329" w:rsidRPr="002029AF">
              <w:t xml:space="preserve"> </w:t>
            </w:r>
            <w:r w:rsidRPr="002029AF">
              <w:t>received</w:t>
            </w:r>
            <w:r w:rsidR="000A5329" w:rsidRPr="002029AF">
              <w:t xml:space="preserve"> </w:t>
            </w:r>
            <w:r w:rsidRPr="002029AF">
              <w:t>free</w:t>
            </w:r>
            <w:r w:rsidR="000A5329" w:rsidRPr="002029AF">
              <w:t xml:space="preserve"> </w:t>
            </w:r>
            <w:r w:rsidRPr="002029AF">
              <w:t>of</w:t>
            </w:r>
            <w:r w:rsidR="000A5329" w:rsidRPr="002029AF">
              <w:t xml:space="preserve"> </w:t>
            </w:r>
            <w:r w:rsidRPr="002029AF">
              <w:t>charge</w:t>
            </w:r>
            <w:r w:rsidR="000A5329" w:rsidRPr="002029AF">
              <w:t xml:space="preserve"> </w:t>
            </w:r>
            <w:r w:rsidRPr="002029AF">
              <w:t>or</w:t>
            </w:r>
            <w:r w:rsidR="000A5329" w:rsidRPr="002029AF">
              <w:t xml:space="preserve"> </w:t>
            </w:r>
            <w:r w:rsidRPr="002029AF">
              <w:t>for</w:t>
            </w:r>
            <w:r w:rsidR="000A5329" w:rsidRPr="002029AF">
              <w:t xml:space="preserve"> </w:t>
            </w:r>
            <w:r w:rsidRPr="002029AF">
              <w:t>nominal</w:t>
            </w:r>
            <w:r w:rsidR="000A5329" w:rsidRPr="002029AF">
              <w:t xml:space="preserve"> </w:t>
            </w:r>
            <w:r w:rsidRPr="002029AF">
              <w:t>consideration</w:t>
            </w:r>
          </w:p>
        </w:tc>
        <w:tc>
          <w:tcPr>
            <w:tcW w:w="1247" w:type="dxa"/>
            <w:tcBorders>
              <w:top w:val="single" w:sz="4" w:space="0" w:color="A6A6A6"/>
              <w:bottom w:val="single" w:sz="4" w:space="0" w:color="A6A6A6"/>
            </w:tcBorders>
            <w:hideMark/>
          </w:tcPr>
          <w:p w14:paraId="1FA87A70" w14:textId="77777777" w:rsidR="00A34813" w:rsidRPr="002029AF" w:rsidRDefault="00A34813" w:rsidP="00F4358C">
            <w:pPr>
              <w:pStyle w:val="ARfintablebodyright"/>
            </w:pPr>
            <w:r w:rsidRPr="002029AF">
              <w:t>1</w:t>
            </w:r>
          </w:p>
        </w:tc>
        <w:tc>
          <w:tcPr>
            <w:tcW w:w="1247" w:type="dxa"/>
            <w:tcBorders>
              <w:top w:val="single" w:sz="4" w:space="0" w:color="A6A6A6"/>
              <w:bottom w:val="single" w:sz="4" w:space="0" w:color="A6A6A6"/>
            </w:tcBorders>
            <w:hideMark/>
          </w:tcPr>
          <w:p w14:paraId="1D6DE432" w14:textId="77777777" w:rsidR="00A34813" w:rsidRPr="002029AF" w:rsidRDefault="00A34813" w:rsidP="00F4358C">
            <w:pPr>
              <w:pStyle w:val="ARfintablebodyright"/>
            </w:pPr>
            <w:r w:rsidRPr="002029AF">
              <w:t>–</w:t>
            </w:r>
          </w:p>
        </w:tc>
        <w:tc>
          <w:tcPr>
            <w:tcW w:w="1247" w:type="dxa"/>
            <w:tcBorders>
              <w:top w:val="single" w:sz="4" w:space="0" w:color="A6A6A6"/>
              <w:bottom w:val="single" w:sz="4" w:space="0" w:color="A6A6A6"/>
            </w:tcBorders>
            <w:hideMark/>
          </w:tcPr>
          <w:p w14:paraId="1BD80CE9" w14:textId="77777777" w:rsidR="00A34813" w:rsidRPr="002029AF" w:rsidRDefault="00A34813" w:rsidP="00F4358C">
            <w:pPr>
              <w:pStyle w:val="ARfintablebodyright"/>
            </w:pPr>
            <w:r w:rsidRPr="002029AF">
              <w:t>–</w:t>
            </w:r>
          </w:p>
        </w:tc>
        <w:tc>
          <w:tcPr>
            <w:tcW w:w="680" w:type="dxa"/>
            <w:tcBorders>
              <w:top w:val="single" w:sz="4" w:space="0" w:color="A6A6A6"/>
              <w:bottom w:val="single" w:sz="4" w:space="0" w:color="A6A6A6"/>
            </w:tcBorders>
            <w:hideMark/>
          </w:tcPr>
          <w:p w14:paraId="4A7409B4" w14:textId="77777777" w:rsidR="00A34813" w:rsidRPr="002029AF" w:rsidRDefault="00A34813" w:rsidP="00F4358C">
            <w:pPr>
              <w:pStyle w:val="ARfintablebodyright"/>
            </w:pPr>
          </w:p>
        </w:tc>
      </w:tr>
      <w:tr w:rsidR="00A34813" w:rsidRPr="002029AF" w14:paraId="42DFC2F4" w14:textId="77777777" w:rsidTr="00F4358C">
        <w:tc>
          <w:tcPr>
            <w:tcW w:w="5218" w:type="dxa"/>
            <w:tcBorders>
              <w:top w:val="single" w:sz="4" w:space="0" w:color="A6A6A6"/>
            </w:tcBorders>
            <w:hideMark/>
          </w:tcPr>
          <w:p w14:paraId="3BE3DB79" w14:textId="2C46589B" w:rsidR="00A34813" w:rsidRPr="002029AF" w:rsidRDefault="00A34813" w:rsidP="00F4358C">
            <w:pPr>
              <w:pStyle w:val="ARfintablebody"/>
            </w:pPr>
            <w:r w:rsidRPr="002029AF">
              <w:t>Other</w:t>
            </w:r>
            <w:r w:rsidR="000A5329" w:rsidRPr="002029AF">
              <w:t xml:space="preserve"> </w:t>
            </w:r>
            <w:r w:rsidRPr="002029AF">
              <w:t>income</w:t>
            </w:r>
          </w:p>
        </w:tc>
        <w:tc>
          <w:tcPr>
            <w:tcW w:w="1247" w:type="dxa"/>
            <w:tcBorders>
              <w:top w:val="single" w:sz="4" w:space="0" w:color="A6A6A6"/>
            </w:tcBorders>
            <w:hideMark/>
          </w:tcPr>
          <w:p w14:paraId="2F678062" w14:textId="77777777" w:rsidR="00A34813" w:rsidRPr="002029AF" w:rsidRDefault="00A34813" w:rsidP="00F4358C">
            <w:pPr>
              <w:pStyle w:val="ARfintablebodyright"/>
            </w:pPr>
            <w:r w:rsidRPr="002029AF">
              <w:t>688</w:t>
            </w:r>
          </w:p>
        </w:tc>
        <w:tc>
          <w:tcPr>
            <w:tcW w:w="1247" w:type="dxa"/>
            <w:tcBorders>
              <w:top w:val="single" w:sz="4" w:space="0" w:color="A6A6A6"/>
            </w:tcBorders>
            <w:hideMark/>
          </w:tcPr>
          <w:p w14:paraId="30B4F7C2" w14:textId="77777777" w:rsidR="00A34813" w:rsidRPr="002029AF" w:rsidRDefault="00A34813" w:rsidP="00F4358C">
            <w:pPr>
              <w:pStyle w:val="ARfintablebodyright"/>
            </w:pPr>
            <w:r w:rsidRPr="002029AF">
              <w:t>784</w:t>
            </w:r>
          </w:p>
        </w:tc>
        <w:tc>
          <w:tcPr>
            <w:tcW w:w="1247" w:type="dxa"/>
            <w:tcBorders>
              <w:top w:val="single" w:sz="4" w:space="0" w:color="A6A6A6"/>
            </w:tcBorders>
            <w:hideMark/>
          </w:tcPr>
          <w:p w14:paraId="2991A43F" w14:textId="77777777" w:rsidR="00A34813" w:rsidRPr="002029AF" w:rsidRDefault="00A34813" w:rsidP="00F4358C">
            <w:pPr>
              <w:pStyle w:val="ARfintablebodyright"/>
            </w:pPr>
            <w:r w:rsidRPr="002029AF">
              <w:t>(12.2)</w:t>
            </w:r>
          </w:p>
        </w:tc>
        <w:tc>
          <w:tcPr>
            <w:tcW w:w="680" w:type="dxa"/>
            <w:tcBorders>
              <w:top w:val="single" w:sz="4" w:space="0" w:color="A6A6A6"/>
            </w:tcBorders>
            <w:hideMark/>
          </w:tcPr>
          <w:p w14:paraId="5356C566" w14:textId="77777777" w:rsidR="00A34813" w:rsidRPr="002029AF" w:rsidRDefault="00A34813" w:rsidP="00F4358C">
            <w:pPr>
              <w:pStyle w:val="ARfintablebodyright"/>
            </w:pPr>
          </w:p>
        </w:tc>
      </w:tr>
      <w:tr w:rsidR="00A34813" w:rsidRPr="002029AF" w14:paraId="0B199FA9" w14:textId="77777777" w:rsidTr="00F4358C">
        <w:tc>
          <w:tcPr>
            <w:tcW w:w="5218" w:type="dxa"/>
            <w:tcBorders>
              <w:bottom w:val="single" w:sz="4" w:space="0" w:color="auto"/>
            </w:tcBorders>
            <w:hideMark/>
          </w:tcPr>
          <w:p w14:paraId="1D46EFDF" w14:textId="7293CBA2" w:rsidR="00A34813" w:rsidRPr="002029AF" w:rsidRDefault="00A34813" w:rsidP="00F4358C">
            <w:pPr>
              <w:pStyle w:val="ARfintablebodybold"/>
            </w:pPr>
            <w:r w:rsidRPr="002029AF">
              <w:t>Total</w:t>
            </w:r>
            <w:r w:rsidR="000A5329" w:rsidRPr="002029AF">
              <w:t xml:space="preserve"> </w:t>
            </w:r>
            <w:r w:rsidRPr="002029AF">
              <w:t>income</w:t>
            </w:r>
            <w:r w:rsidR="000A5329" w:rsidRPr="002029AF">
              <w:t xml:space="preserve"> </w:t>
            </w:r>
            <w:r w:rsidRPr="002029AF">
              <w:t>from</w:t>
            </w:r>
            <w:r w:rsidR="000A5329" w:rsidRPr="002029AF">
              <w:t xml:space="preserve"> </w:t>
            </w:r>
            <w:r w:rsidRPr="002029AF">
              <w:t>transactions</w:t>
            </w:r>
          </w:p>
        </w:tc>
        <w:tc>
          <w:tcPr>
            <w:tcW w:w="1247" w:type="dxa"/>
            <w:tcBorders>
              <w:bottom w:val="single" w:sz="4" w:space="0" w:color="auto"/>
            </w:tcBorders>
            <w:hideMark/>
          </w:tcPr>
          <w:p w14:paraId="456D00B3" w14:textId="77777777" w:rsidR="00A34813" w:rsidRPr="002029AF" w:rsidRDefault="00A34813" w:rsidP="00F4358C">
            <w:pPr>
              <w:pStyle w:val="ARfintablebodyrightbold"/>
            </w:pPr>
            <w:r w:rsidRPr="002029AF">
              <w:t>30,207</w:t>
            </w:r>
          </w:p>
        </w:tc>
        <w:tc>
          <w:tcPr>
            <w:tcW w:w="1247" w:type="dxa"/>
            <w:tcBorders>
              <w:bottom w:val="single" w:sz="4" w:space="0" w:color="auto"/>
            </w:tcBorders>
            <w:hideMark/>
          </w:tcPr>
          <w:p w14:paraId="01C09FD5" w14:textId="77777777" w:rsidR="00A34813" w:rsidRPr="002029AF" w:rsidRDefault="00A34813" w:rsidP="00F4358C">
            <w:pPr>
              <w:pStyle w:val="ARfintablebodyrightbold"/>
            </w:pPr>
            <w:r w:rsidRPr="002029AF">
              <w:t>27,748</w:t>
            </w:r>
          </w:p>
        </w:tc>
        <w:tc>
          <w:tcPr>
            <w:tcW w:w="1247" w:type="dxa"/>
            <w:tcBorders>
              <w:bottom w:val="single" w:sz="4" w:space="0" w:color="auto"/>
            </w:tcBorders>
            <w:hideMark/>
          </w:tcPr>
          <w:p w14:paraId="55C068D2" w14:textId="77777777" w:rsidR="00A34813" w:rsidRPr="002029AF" w:rsidRDefault="00A34813" w:rsidP="00F4358C">
            <w:pPr>
              <w:pStyle w:val="ARfintablebodyrightbold"/>
            </w:pPr>
            <w:r w:rsidRPr="002029AF">
              <w:t>8.9</w:t>
            </w:r>
          </w:p>
        </w:tc>
        <w:tc>
          <w:tcPr>
            <w:tcW w:w="680" w:type="dxa"/>
            <w:tcBorders>
              <w:bottom w:val="single" w:sz="4" w:space="0" w:color="auto"/>
            </w:tcBorders>
            <w:hideMark/>
          </w:tcPr>
          <w:p w14:paraId="51823434" w14:textId="77777777" w:rsidR="00A34813" w:rsidRPr="002029AF" w:rsidRDefault="00A34813" w:rsidP="00F4358C">
            <w:pPr>
              <w:pStyle w:val="ARfintablebodyright"/>
            </w:pPr>
          </w:p>
        </w:tc>
      </w:tr>
      <w:tr w:rsidR="00F4358C" w:rsidRPr="002029AF" w14:paraId="2FAA51FA" w14:textId="77777777" w:rsidTr="00F4358C">
        <w:tc>
          <w:tcPr>
            <w:tcW w:w="9639" w:type="dxa"/>
            <w:gridSpan w:val="5"/>
            <w:tcBorders>
              <w:top w:val="single" w:sz="4" w:space="0" w:color="auto"/>
              <w:bottom w:val="single" w:sz="4" w:space="0" w:color="A6A6A6"/>
            </w:tcBorders>
            <w:hideMark/>
          </w:tcPr>
          <w:p w14:paraId="47054163" w14:textId="6B2E3224" w:rsidR="00F4358C" w:rsidRPr="002029AF" w:rsidRDefault="00F4358C" w:rsidP="00F4358C">
            <w:pPr>
              <w:pStyle w:val="ARfintablebodybold"/>
            </w:pPr>
            <w:r w:rsidRPr="002029AF">
              <w:t>Expenses</w:t>
            </w:r>
            <w:r w:rsidR="000A5329" w:rsidRPr="002029AF">
              <w:t xml:space="preserve"> </w:t>
            </w:r>
            <w:r w:rsidRPr="002029AF">
              <w:t>from</w:t>
            </w:r>
            <w:r w:rsidR="000A5329" w:rsidRPr="002029AF">
              <w:t xml:space="preserve"> </w:t>
            </w:r>
            <w:r w:rsidRPr="002029AF">
              <w:t>transactions</w:t>
            </w:r>
          </w:p>
        </w:tc>
      </w:tr>
      <w:tr w:rsidR="00A34813" w:rsidRPr="002029AF" w14:paraId="6D79B305" w14:textId="77777777" w:rsidTr="00F4358C">
        <w:tc>
          <w:tcPr>
            <w:tcW w:w="5218" w:type="dxa"/>
            <w:tcBorders>
              <w:top w:val="single" w:sz="4" w:space="0" w:color="A6A6A6"/>
              <w:bottom w:val="single" w:sz="4" w:space="0" w:color="A6A6A6"/>
            </w:tcBorders>
            <w:hideMark/>
          </w:tcPr>
          <w:p w14:paraId="3417A396" w14:textId="385E9815" w:rsidR="00A34813" w:rsidRPr="002029AF" w:rsidRDefault="00A34813" w:rsidP="00F4358C">
            <w:pPr>
              <w:pStyle w:val="ARfintablebody"/>
            </w:pPr>
            <w:r w:rsidRPr="002029AF">
              <w:t>Employee</w:t>
            </w:r>
            <w:r w:rsidR="000A5329" w:rsidRPr="002029AF">
              <w:t xml:space="preserve"> </w:t>
            </w:r>
            <w:r w:rsidRPr="002029AF">
              <w:t>benefits</w:t>
            </w:r>
          </w:p>
        </w:tc>
        <w:tc>
          <w:tcPr>
            <w:tcW w:w="1247" w:type="dxa"/>
            <w:tcBorders>
              <w:top w:val="single" w:sz="4" w:space="0" w:color="A6A6A6"/>
              <w:bottom w:val="single" w:sz="4" w:space="0" w:color="A6A6A6"/>
            </w:tcBorders>
            <w:hideMark/>
          </w:tcPr>
          <w:p w14:paraId="09EB7B13" w14:textId="77777777" w:rsidR="00A34813" w:rsidRPr="002029AF" w:rsidRDefault="00A34813" w:rsidP="00F4358C">
            <w:pPr>
              <w:pStyle w:val="ARfintablebodyright"/>
            </w:pPr>
            <w:r w:rsidRPr="002029AF">
              <w:t>13,557</w:t>
            </w:r>
          </w:p>
        </w:tc>
        <w:tc>
          <w:tcPr>
            <w:tcW w:w="1247" w:type="dxa"/>
            <w:tcBorders>
              <w:top w:val="single" w:sz="4" w:space="0" w:color="A6A6A6"/>
              <w:bottom w:val="single" w:sz="4" w:space="0" w:color="A6A6A6"/>
            </w:tcBorders>
            <w:hideMark/>
          </w:tcPr>
          <w:p w14:paraId="29DD499E" w14:textId="77777777" w:rsidR="00A34813" w:rsidRPr="002029AF" w:rsidRDefault="00A34813" w:rsidP="00F4358C">
            <w:pPr>
              <w:pStyle w:val="ARfintablebodyright"/>
            </w:pPr>
            <w:r w:rsidRPr="002029AF">
              <w:t>13,250</w:t>
            </w:r>
          </w:p>
        </w:tc>
        <w:tc>
          <w:tcPr>
            <w:tcW w:w="1247" w:type="dxa"/>
            <w:tcBorders>
              <w:top w:val="single" w:sz="4" w:space="0" w:color="A6A6A6"/>
              <w:bottom w:val="single" w:sz="4" w:space="0" w:color="A6A6A6"/>
            </w:tcBorders>
            <w:hideMark/>
          </w:tcPr>
          <w:p w14:paraId="295DF157" w14:textId="77777777" w:rsidR="00A34813" w:rsidRPr="002029AF" w:rsidRDefault="00A34813" w:rsidP="00F4358C">
            <w:pPr>
              <w:pStyle w:val="ARfintablebodyright"/>
            </w:pPr>
            <w:r w:rsidRPr="002029AF">
              <w:t>2.3</w:t>
            </w:r>
          </w:p>
        </w:tc>
        <w:tc>
          <w:tcPr>
            <w:tcW w:w="680" w:type="dxa"/>
            <w:tcBorders>
              <w:top w:val="single" w:sz="4" w:space="0" w:color="A6A6A6"/>
              <w:bottom w:val="single" w:sz="4" w:space="0" w:color="A6A6A6"/>
            </w:tcBorders>
            <w:hideMark/>
          </w:tcPr>
          <w:p w14:paraId="14006043" w14:textId="77777777" w:rsidR="00A34813" w:rsidRPr="002029AF" w:rsidRDefault="00A34813" w:rsidP="00F4358C">
            <w:pPr>
              <w:pStyle w:val="ARfintablebodyright"/>
            </w:pPr>
          </w:p>
        </w:tc>
      </w:tr>
      <w:tr w:rsidR="00A34813" w:rsidRPr="002029AF" w14:paraId="505FE08D" w14:textId="77777777" w:rsidTr="00F4358C">
        <w:tc>
          <w:tcPr>
            <w:tcW w:w="5218" w:type="dxa"/>
            <w:tcBorders>
              <w:top w:val="single" w:sz="4" w:space="0" w:color="A6A6A6"/>
              <w:bottom w:val="single" w:sz="4" w:space="0" w:color="A6A6A6"/>
            </w:tcBorders>
            <w:hideMark/>
          </w:tcPr>
          <w:p w14:paraId="70D5A7FF" w14:textId="77777777" w:rsidR="00A34813" w:rsidRPr="002029AF" w:rsidRDefault="00A34813" w:rsidP="00F4358C">
            <w:pPr>
              <w:pStyle w:val="ARfintablebody"/>
            </w:pPr>
            <w:r w:rsidRPr="002029AF">
              <w:t>Depreciation</w:t>
            </w:r>
          </w:p>
        </w:tc>
        <w:tc>
          <w:tcPr>
            <w:tcW w:w="1247" w:type="dxa"/>
            <w:tcBorders>
              <w:top w:val="single" w:sz="4" w:space="0" w:color="A6A6A6"/>
              <w:bottom w:val="single" w:sz="4" w:space="0" w:color="A6A6A6"/>
            </w:tcBorders>
            <w:hideMark/>
          </w:tcPr>
          <w:p w14:paraId="4F9AD21A" w14:textId="77777777" w:rsidR="00A34813" w:rsidRPr="002029AF" w:rsidRDefault="00A34813" w:rsidP="00F4358C">
            <w:pPr>
              <w:pStyle w:val="ARfintablebodyright"/>
            </w:pPr>
            <w:r w:rsidRPr="002029AF">
              <w:t>1,247</w:t>
            </w:r>
          </w:p>
        </w:tc>
        <w:tc>
          <w:tcPr>
            <w:tcW w:w="1247" w:type="dxa"/>
            <w:tcBorders>
              <w:top w:val="single" w:sz="4" w:space="0" w:color="A6A6A6"/>
              <w:bottom w:val="single" w:sz="4" w:space="0" w:color="A6A6A6"/>
            </w:tcBorders>
            <w:hideMark/>
          </w:tcPr>
          <w:p w14:paraId="017B2204" w14:textId="77777777" w:rsidR="00A34813" w:rsidRPr="002029AF" w:rsidRDefault="00A34813" w:rsidP="00F4358C">
            <w:pPr>
              <w:pStyle w:val="ARfintablebodyright"/>
            </w:pPr>
            <w:r w:rsidRPr="002029AF">
              <w:t>1,168</w:t>
            </w:r>
          </w:p>
        </w:tc>
        <w:tc>
          <w:tcPr>
            <w:tcW w:w="1247" w:type="dxa"/>
            <w:tcBorders>
              <w:top w:val="single" w:sz="4" w:space="0" w:color="A6A6A6"/>
              <w:bottom w:val="single" w:sz="4" w:space="0" w:color="A6A6A6"/>
            </w:tcBorders>
            <w:hideMark/>
          </w:tcPr>
          <w:p w14:paraId="6BD49C83" w14:textId="77777777" w:rsidR="00A34813" w:rsidRPr="002029AF" w:rsidRDefault="00A34813" w:rsidP="00F4358C">
            <w:pPr>
              <w:pStyle w:val="ARfintablebodyright"/>
            </w:pPr>
            <w:r w:rsidRPr="002029AF">
              <w:t>6.7</w:t>
            </w:r>
          </w:p>
        </w:tc>
        <w:tc>
          <w:tcPr>
            <w:tcW w:w="680" w:type="dxa"/>
            <w:tcBorders>
              <w:top w:val="single" w:sz="4" w:space="0" w:color="A6A6A6"/>
              <w:bottom w:val="single" w:sz="4" w:space="0" w:color="A6A6A6"/>
            </w:tcBorders>
            <w:hideMark/>
          </w:tcPr>
          <w:p w14:paraId="56853C1C" w14:textId="77777777" w:rsidR="00A34813" w:rsidRPr="002029AF" w:rsidRDefault="00A34813" w:rsidP="00F4358C">
            <w:pPr>
              <w:pStyle w:val="ARfintablebodyright"/>
            </w:pPr>
          </w:p>
        </w:tc>
      </w:tr>
      <w:tr w:rsidR="00A34813" w:rsidRPr="002029AF" w14:paraId="51810204" w14:textId="77777777" w:rsidTr="00F4358C">
        <w:tc>
          <w:tcPr>
            <w:tcW w:w="5218" w:type="dxa"/>
            <w:tcBorders>
              <w:top w:val="single" w:sz="4" w:space="0" w:color="A6A6A6"/>
              <w:bottom w:val="single" w:sz="4" w:space="0" w:color="A6A6A6"/>
            </w:tcBorders>
            <w:hideMark/>
          </w:tcPr>
          <w:p w14:paraId="09366E06" w14:textId="51BE5753" w:rsidR="00A34813" w:rsidRPr="002029AF" w:rsidRDefault="00A34813" w:rsidP="00F4358C">
            <w:pPr>
              <w:pStyle w:val="ARfintablebody"/>
            </w:pPr>
            <w:r w:rsidRPr="002029AF">
              <w:t>Interest</w:t>
            </w:r>
            <w:r w:rsidR="000A5329" w:rsidRPr="002029AF">
              <w:t xml:space="preserve"> </w:t>
            </w:r>
            <w:r w:rsidRPr="002029AF">
              <w:t>expense</w:t>
            </w:r>
          </w:p>
        </w:tc>
        <w:tc>
          <w:tcPr>
            <w:tcW w:w="1247" w:type="dxa"/>
            <w:tcBorders>
              <w:top w:val="single" w:sz="4" w:space="0" w:color="A6A6A6"/>
              <w:bottom w:val="single" w:sz="4" w:space="0" w:color="A6A6A6"/>
            </w:tcBorders>
            <w:hideMark/>
          </w:tcPr>
          <w:p w14:paraId="082785C5" w14:textId="77777777" w:rsidR="00A34813" w:rsidRPr="002029AF" w:rsidRDefault="00A34813" w:rsidP="00F4358C">
            <w:pPr>
              <w:pStyle w:val="ARfintablebodyright"/>
            </w:pPr>
            <w:r w:rsidRPr="002029AF">
              <w:t>185</w:t>
            </w:r>
          </w:p>
        </w:tc>
        <w:tc>
          <w:tcPr>
            <w:tcW w:w="1247" w:type="dxa"/>
            <w:tcBorders>
              <w:top w:val="single" w:sz="4" w:space="0" w:color="A6A6A6"/>
              <w:bottom w:val="single" w:sz="4" w:space="0" w:color="A6A6A6"/>
            </w:tcBorders>
            <w:hideMark/>
          </w:tcPr>
          <w:p w14:paraId="6F4382C6" w14:textId="77777777" w:rsidR="00A34813" w:rsidRPr="002029AF" w:rsidRDefault="00A34813" w:rsidP="00F4358C">
            <w:pPr>
              <w:pStyle w:val="ARfintablebodyright"/>
            </w:pPr>
            <w:r w:rsidRPr="002029AF">
              <w:t>217</w:t>
            </w:r>
          </w:p>
        </w:tc>
        <w:tc>
          <w:tcPr>
            <w:tcW w:w="1247" w:type="dxa"/>
            <w:tcBorders>
              <w:top w:val="single" w:sz="4" w:space="0" w:color="A6A6A6"/>
              <w:bottom w:val="single" w:sz="4" w:space="0" w:color="A6A6A6"/>
            </w:tcBorders>
            <w:hideMark/>
          </w:tcPr>
          <w:p w14:paraId="0BFCC637" w14:textId="77777777" w:rsidR="00A34813" w:rsidRPr="002029AF" w:rsidRDefault="00A34813" w:rsidP="00F4358C">
            <w:pPr>
              <w:pStyle w:val="ARfintablebodyright"/>
            </w:pPr>
            <w:r w:rsidRPr="002029AF">
              <w:t>(14.7)</w:t>
            </w:r>
          </w:p>
        </w:tc>
        <w:tc>
          <w:tcPr>
            <w:tcW w:w="680" w:type="dxa"/>
            <w:tcBorders>
              <w:top w:val="single" w:sz="4" w:space="0" w:color="A6A6A6"/>
              <w:bottom w:val="single" w:sz="4" w:space="0" w:color="A6A6A6"/>
            </w:tcBorders>
            <w:hideMark/>
          </w:tcPr>
          <w:p w14:paraId="7B4CEF30" w14:textId="77777777" w:rsidR="00A34813" w:rsidRPr="002029AF" w:rsidRDefault="00A34813" w:rsidP="00F4358C">
            <w:pPr>
              <w:pStyle w:val="ARfintablebodyright"/>
            </w:pPr>
          </w:p>
        </w:tc>
      </w:tr>
      <w:tr w:rsidR="00A34813" w:rsidRPr="002029AF" w14:paraId="3A8F76EE" w14:textId="77777777" w:rsidTr="00F4358C">
        <w:tc>
          <w:tcPr>
            <w:tcW w:w="5218" w:type="dxa"/>
            <w:tcBorders>
              <w:top w:val="single" w:sz="4" w:space="0" w:color="A6A6A6"/>
              <w:bottom w:val="single" w:sz="4" w:space="0" w:color="A6A6A6"/>
            </w:tcBorders>
            <w:hideMark/>
          </w:tcPr>
          <w:p w14:paraId="5D373DC6" w14:textId="7ADC1F0B" w:rsidR="00A34813" w:rsidRPr="002029AF" w:rsidRDefault="00A34813" w:rsidP="00F4358C">
            <w:pPr>
              <w:pStyle w:val="ARfintablebody"/>
            </w:pPr>
            <w:r w:rsidRPr="002029AF">
              <w:t>Grants</w:t>
            </w:r>
            <w:r w:rsidR="000A5329" w:rsidRPr="002029AF">
              <w:t xml:space="preserve"> </w:t>
            </w:r>
            <w:r w:rsidRPr="002029AF">
              <w:t>and</w:t>
            </w:r>
            <w:r w:rsidR="000A5329" w:rsidRPr="002029AF">
              <w:t xml:space="preserve"> </w:t>
            </w:r>
            <w:r w:rsidRPr="002029AF">
              <w:t>other</w:t>
            </w:r>
            <w:r w:rsidR="000A5329" w:rsidRPr="002029AF">
              <w:t xml:space="preserve"> </w:t>
            </w:r>
            <w:r w:rsidRPr="002029AF">
              <w:t>transfers</w:t>
            </w:r>
          </w:p>
        </w:tc>
        <w:tc>
          <w:tcPr>
            <w:tcW w:w="1247" w:type="dxa"/>
            <w:tcBorders>
              <w:top w:val="single" w:sz="4" w:space="0" w:color="A6A6A6"/>
              <w:bottom w:val="single" w:sz="4" w:space="0" w:color="A6A6A6"/>
            </w:tcBorders>
            <w:hideMark/>
          </w:tcPr>
          <w:p w14:paraId="2B49CB78" w14:textId="77777777" w:rsidR="00A34813" w:rsidRPr="002029AF" w:rsidRDefault="00A34813" w:rsidP="00F4358C">
            <w:pPr>
              <w:pStyle w:val="ARfintablebodyright"/>
            </w:pPr>
            <w:r w:rsidRPr="002029AF">
              <w:t>4,325</w:t>
            </w:r>
          </w:p>
        </w:tc>
        <w:tc>
          <w:tcPr>
            <w:tcW w:w="1247" w:type="dxa"/>
            <w:tcBorders>
              <w:top w:val="single" w:sz="4" w:space="0" w:color="A6A6A6"/>
              <w:bottom w:val="single" w:sz="4" w:space="0" w:color="A6A6A6"/>
            </w:tcBorders>
            <w:hideMark/>
          </w:tcPr>
          <w:p w14:paraId="490F7BB5" w14:textId="77777777" w:rsidR="00A34813" w:rsidRPr="002029AF" w:rsidRDefault="00A34813" w:rsidP="00F4358C">
            <w:pPr>
              <w:pStyle w:val="ARfintablebodyright"/>
            </w:pPr>
            <w:r w:rsidRPr="002029AF">
              <w:t>3,026</w:t>
            </w:r>
          </w:p>
        </w:tc>
        <w:tc>
          <w:tcPr>
            <w:tcW w:w="1247" w:type="dxa"/>
            <w:tcBorders>
              <w:top w:val="single" w:sz="4" w:space="0" w:color="A6A6A6"/>
              <w:bottom w:val="single" w:sz="4" w:space="0" w:color="A6A6A6"/>
            </w:tcBorders>
            <w:hideMark/>
          </w:tcPr>
          <w:p w14:paraId="7209A2AC" w14:textId="77777777" w:rsidR="00A34813" w:rsidRPr="002029AF" w:rsidRDefault="00A34813" w:rsidP="00F4358C">
            <w:pPr>
              <w:pStyle w:val="ARfintablebodyright"/>
            </w:pPr>
            <w:r w:rsidRPr="002029AF">
              <w:t>42.9</w:t>
            </w:r>
          </w:p>
        </w:tc>
        <w:tc>
          <w:tcPr>
            <w:tcW w:w="680" w:type="dxa"/>
            <w:tcBorders>
              <w:top w:val="single" w:sz="4" w:space="0" w:color="A6A6A6"/>
              <w:bottom w:val="single" w:sz="4" w:space="0" w:color="A6A6A6"/>
            </w:tcBorders>
            <w:hideMark/>
          </w:tcPr>
          <w:p w14:paraId="76B28B1B" w14:textId="77777777" w:rsidR="00A34813" w:rsidRPr="002029AF" w:rsidRDefault="00A34813" w:rsidP="00F4358C">
            <w:pPr>
              <w:pStyle w:val="ARfintablebodyrightbold"/>
            </w:pPr>
            <w:r w:rsidRPr="002029AF">
              <w:t>4</w:t>
            </w:r>
          </w:p>
        </w:tc>
      </w:tr>
      <w:tr w:rsidR="00A34813" w:rsidRPr="002029AF" w14:paraId="10062521" w14:textId="77777777" w:rsidTr="00F4358C">
        <w:tc>
          <w:tcPr>
            <w:tcW w:w="5218" w:type="dxa"/>
            <w:tcBorders>
              <w:top w:val="single" w:sz="4" w:space="0" w:color="A6A6A6"/>
              <w:bottom w:val="single" w:sz="4" w:space="0" w:color="A6A6A6"/>
            </w:tcBorders>
            <w:hideMark/>
          </w:tcPr>
          <w:p w14:paraId="2CD2667F" w14:textId="3438490E" w:rsidR="00A34813" w:rsidRPr="002029AF" w:rsidRDefault="00A34813" w:rsidP="00F4358C">
            <w:pPr>
              <w:pStyle w:val="ARfintablebody"/>
            </w:pPr>
            <w:r w:rsidRPr="002029AF">
              <w:t>Capital</w:t>
            </w:r>
            <w:r w:rsidR="000A5329" w:rsidRPr="002029AF">
              <w:t xml:space="preserve"> </w:t>
            </w:r>
            <w:r w:rsidRPr="002029AF">
              <w:t>asset</w:t>
            </w:r>
            <w:r w:rsidR="000A5329" w:rsidRPr="002029AF">
              <w:t xml:space="preserve"> </w:t>
            </w:r>
            <w:r w:rsidRPr="002029AF">
              <w:t>charge</w:t>
            </w:r>
          </w:p>
        </w:tc>
        <w:tc>
          <w:tcPr>
            <w:tcW w:w="1247" w:type="dxa"/>
            <w:tcBorders>
              <w:top w:val="single" w:sz="4" w:space="0" w:color="A6A6A6"/>
              <w:bottom w:val="single" w:sz="4" w:space="0" w:color="A6A6A6"/>
            </w:tcBorders>
            <w:hideMark/>
          </w:tcPr>
          <w:p w14:paraId="1EB2EE68" w14:textId="77777777" w:rsidR="00A34813" w:rsidRPr="002029AF" w:rsidRDefault="00A34813" w:rsidP="00F4358C">
            <w:pPr>
              <w:pStyle w:val="ARfintablebodyright"/>
            </w:pPr>
            <w:r w:rsidRPr="002029AF">
              <w:t>1,320</w:t>
            </w:r>
          </w:p>
        </w:tc>
        <w:tc>
          <w:tcPr>
            <w:tcW w:w="1247" w:type="dxa"/>
            <w:tcBorders>
              <w:top w:val="single" w:sz="4" w:space="0" w:color="A6A6A6"/>
              <w:bottom w:val="single" w:sz="4" w:space="0" w:color="A6A6A6"/>
            </w:tcBorders>
            <w:hideMark/>
          </w:tcPr>
          <w:p w14:paraId="5170BE35" w14:textId="77777777" w:rsidR="00A34813" w:rsidRPr="002029AF" w:rsidRDefault="00A34813" w:rsidP="00F4358C">
            <w:pPr>
              <w:pStyle w:val="ARfintablebodyright"/>
            </w:pPr>
            <w:r w:rsidRPr="002029AF">
              <w:t>1,320</w:t>
            </w:r>
          </w:p>
        </w:tc>
        <w:tc>
          <w:tcPr>
            <w:tcW w:w="1247" w:type="dxa"/>
            <w:tcBorders>
              <w:top w:val="single" w:sz="4" w:space="0" w:color="A6A6A6"/>
              <w:bottom w:val="single" w:sz="4" w:space="0" w:color="A6A6A6"/>
            </w:tcBorders>
            <w:hideMark/>
          </w:tcPr>
          <w:p w14:paraId="6D3DDA75" w14:textId="465D3C82" w:rsidR="00A34813" w:rsidRPr="002029AF" w:rsidRDefault="00E84E2E" w:rsidP="00E84E2E">
            <w:pPr>
              <w:pStyle w:val="ARfintablebodyright"/>
            </w:pPr>
            <w:r w:rsidRPr="002029AF">
              <w:t>–</w:t>
            </w:r>
          </w:p>
        </w:tc>
        <w:tc>
          <w:tcPr>
            <w:tcW w:w="680" w:type="dxa"/>
            <w:tcBorders>
              <w:top w:val="single" w:sz="4" w:space="0" w:color="A6A6A6"/>
              <w:bottom w:val="single" w:sz="4" w:space="0" w:color="A6A6A6"/>
            </w:tcBorders>
            <w:hideMark/>
          </w:tcPr>
          <w:p w14:paraId="78F2A739" w14:textId="77777777" w:rsidR="00A34813" w:rsidRPr="002029AF" w:rsidRDefault="00A34813" w:rsidP="00F4358C">
            <w:pPr>
              <w:pStyle w:val="ARfintablebodyright"/>
            </w:pPr>
          </w:p>
        </w:tc>
      </w:tr>
      <w:tr w:rsidR="00A34813" w:rsidRPr="002029AF" w14:paraId="0C86BC63" w14:textId="77777777" w:rsidTr="00F4358C">
        <w:tc>
          <w:tcPr>
            <w:tcW w:w="5218" w:type="dxa"/>
            <w:tcBorders>
              <w:top w:val="single" w:sz="4" w:space="0" w:color="A6A6A6"/>
            </w:tcBorders>
            <w:hideMark/>
          </w:tcPr>
          <w:p w14:paraId="56CB1A5C" w14:textId="17E0908A" w:rsidR="00A34813" w:rsidRPr="002029AF" w:rsidRDefault="00A34813" w:rsidP="00F4358C">
            <w:pPr>
              <w:pStyle w:val="ARfintablebody"/>
            </w:pPr>
            <w:r w:rsidRPr="002029AF">
              <w:t>Other</w:t>
            </w:r>
            <w:r w:rsidR="000A5329" w:rsidRPr="002029AF">
              <w:t xml:space="preserve"> </w:t>
            </w:r>
            <w:r w:rsidRPr="002029AF">
              <w:t>operating</w:t>
            </w:r>
            <w:r w:rsidR="000A5329" w:rsidRPr="002029AF">
              <w:t xml:space="preserve"> </w:t>
            </w:r>
            <w:r w:rsidRPr="002029AF">
              <w:t>expenses</w:t>
            </w:r>
          </w:p>
        </w:tc>
        <w:tc>
          <w:tcPr>
            <w:tcW w:w="1247" w:type="dxa"/>
            <w:tcBorders>
              <w:top w:val="single" w:sz="4" w:space="0" w:color="A6A6A6"/>
            </w:tcBorders>
            <w:hideMark/>
          </w:tcPr>
          <w:p w14:paraId="48BF1E2D" w14:textId="77777777" w:rsidR="00A34813" w:rsidRPr="002029AF" w:rsidRDefault="00A34813" w:rsidP="00F4358C">
            <w:pPr>
              <w:pStyle w:val="ARfintablebodyright"/>
            </w:pPr>
            <w:r w:rsidRPr="002029AF">
              <w:t>8,786</w:t>
            </w:r>
          </w:p>
        </w:tc>
        <w:tc>
          <w:tcPr>
            <w:tcW w:w="1247" w:type="dxa"/>
            <w:tcBorders>
              <w:top w:val="single" w:sz="4" w:space="0" w:color="A6A6A6"/>
            </w:tcBorders>
            <w:hideMark/>
          </w:tcPr>
          <w:p w14:paraId="66F58D9F" w14:textId="77777777" w:rsidR="00A34813" w:rsidRPr="002029AF" w:rsidRDefault="00A34813" w:rsidP="00F4358C">
            <w:pPr>
              <w:pStyle w:val="ARfintablebodyright"/>
            </w:pPr>
            <w:r w:rsidRPr="002029AF">
              <w:t>8,551</w:t>
            </w:r>
          </w:p>
        </w:tc>
        <w:tc>
          <w:tcPr>
            <w:tcW w:w="1247" w:type="dxa"/>
            <w:tcBorders>
              <w:top w:val="single" w:sz="4" w:space="0" w:color="A6A6A6"/>
            </w:tcBorders>
            <w:hideMark/>
          </w:tcPr>
          <w:p w14:paraId="7546EE77" w14:textId="77777777" w:rsidR="00A34813" w:rsidRPr="002029AF" w:rsidRDefault="00A34813" w:rsidP="00F4358C">
            <w:pPr>
              <w:pStyle w:val="ARfintablebodyright"/>
            </w:pPr>
            <w:r w:rsidRPr="002029AF">
              <w:t>2.8</w:t>
            </w:r>
          </w:p>
        </w:tc>
        <w:tc>
          <w:tcPr>
            <w:tcW w:w="680" w:type="dxa"/>
            <w:tcBorders>
              <w:top w:val="single" w:sz="4" w:space="0" w:color="A6A6A6"/>
            </w:tcBorders>
            <w:hideMark/>
          </w:tcPr>
          <w:p w14:paraId="3D37460A" w14:textId="77777777" w:rsidR="00A34813" w:rsidRPr="002029AF" w:rsidRDefault="00A34813" w:rsidP="00F4358C">
            <w:pPr>
              <w:pStyle w:val="ARfintablebodyright"/>
            </w:pPr>
          </w:p>
        </w:tc>
      </w:tr>
      <w:tr w:rsidR="00A34813" w:rsidRPr="002029AF" w14:paraId="4CECBC34" w14:textId="77777777" w:rsidTr="00F4358C">
        <w:tc>
          <w:tcPr>
            <w:tcW w:w="5218" w:type="dxa"/>
            <w:hideMark/>
          </w:tcPr>
          <w:p w14:paraId="27F5D1C5" w14:textId="4D8DA60B" w:rsidR="00A34813" w:rsidRPr="002029AF" w:rsidRDefault="00A34813" w:rsidP="00F4358C">
            <w:pPr>
              <w:pStyle w:val="ARfintablebodybold"/>
            </w:pPr>
            <w:r w:rsidRPr="002029AF">
              <w:t>Total</w:t>
            </w:r>
            <w:r w:rsidR="000A5329" w:rsidRPr="002029AF">
              <w:t xml:space="preserve"> </w:t>
            </w:r>
            <w:r w:rsidRPr="002029AF">
              <w:t>expenses</w:t>
            </w:r>
            <w:r w:rsidR="000A5329" w:rsidRPr="002029AF">
              <w:t xml:space="preserve"> </w:t>
            </w:r>
            <w:r w:rsidRPr="002029AF">
              <w:t>from</w:t>
            </w:r>
            <w:r w:rsidR="000A5329" w:rsidRPr="002029AF">
              <w:t xml:space="preserve"> </w:t>
            </w:r>
            <w:r w:rsidRPr="002029AF">
              <w:t>transactions</w:t>
            </w:r>
          </w:p>
        </w:tc>
        <w:tc>
          <w:tcPr>
            <w:tcW w:w="1247" w:type="dxa"/>
            <w:hideMark/>
          </w:tcPr>
          <w:p w14:paraId="1C7D4810" w14:textId="77777777" w:rsidR="00A34813" w:rsidRPr="002029AF" w:rsidRDefault="00A34813" w:rsidP="00F4358C">
            <w:pPr>
              <w:pStyle w:val="ARfintablebodyrightbold"/>
            </w:pPr>
            <w:r w:rsidRPr="002029AF">
              <w:t>29,419</w:t>
            </w:r>
          </w:p>
        </w:tc>
        <w:tc>
          <w:tcPr>
            <w:tcW w:w="1247" w:type="dxa"/>
            <w:hideMark/>
          </w:tcPr>
          <w:p w14:paraId="0D424AF5" w14:textId="77777777" w:rsidR="00A34813" w:rsidRPr="002029AF" w:rsidRDefault="00A34813" w:rsidP="00F4358C">
            <w:pPr>
              <w:pStyle w:val="ARfintablebodyrightbold"/>
            </w:pPr>
            <w:r w:rsidRPr="002029AF">
              <w:t>27,532</w:t>
            </w:r>
          </w:p>
        </w:tc>
        <w:tc>
          <w:tcPr>
            <w:tcW w:w="1247" w:type="dxa"/>
            <w:hideMark/>
          </w:tcPr>
          <w:p w14:paraId="434254DF" w14:textId="77777777" w:rsidR="00A34813" w:rsidRPr="002029AF" w:rsidRDefault="00A34813" w:rsidP="00F4358C">
            <w:pPr>
              <w:pStyle w:val="ARfintablebodyrightbold"/>
            </w:pPr>
            <w:r w:rsidRPr="002029AF">
              <w:t>6.9</w:t>
            </w:r>
          </w:p>
        </w:tc>
        <w:tc>
          <w:tcPr>
            <w:tcW w:w="680" w:type="dxa"/>
            <w:hideMark/>
          </w:tcPr>
          <w:p w14:paraId="62BECDDF" w14:textId="77777777" w:rsidR="00A34813" w:rsidRPr="002029AF" w:rsidRDefault="00A34813" w:rsidP="00F4358C">
            <w:pPr>
              <w:pStyle w:val="ARfintablebodyright"/>
            </w:pPr>
          </w:p>
        </w:tc>
      </w:tr>
      <w:tr w:rsidR="00A34813" w:rsidRPr="002029AF" w14:paraId="2C3902EB" w14:textId="77777777" w:rsidTr="00F4358C">
        <w:tc>
          <w:tcPr>
            <w:tcW w:w="5218" w:type="dxa"/>
            <w:tcBorders>
              <w:bottom w:val="single" w:sz="4" w:space="0" w:color="auto"/>
            </w:tcBorders>
            <w:hideMark/>
          </w:tcPr>
          <w:p w14:paraId="30FCE8B7" w14:textId="403B9366" w:rsidR="00A34813" w:rsidRPr="002029AF" w:rsidRDefault="00A34813" w:rsidP="00F4358C">
            <w:pPr>
              <w:pStyle w:val="ARfintablebodybold"/>
            </w:pPr>
            <w:r w:rsidRPr="002029AF">
              <w:t>Net</w:t>
            </w:r>
            <w:r w:rsidR="000A5329" w:rsidRPr="002029AF">
              <w:t xml:space="preserve"> </w:t>
            </w:r>
            <w:r w:rsidRPr="002029AF">
              <w:t>result</w:t>
            </w:r>
            <w:r w:rsidR="000A5329" w:rsidRPr="002029AF">
              <w:t xml:space="preserve"> </w:t>
            </w:r>
            <w:r w:rsidRPr="002029AF">
              <w:t>from</w:t>
            </w:r>
            <w:r w:rsidR="000A5329" w:rsidRPr="002029AF">
              <w:t xml:space="preserve"> </w:t>
            </w:r>
            <w:r w:rsidRPr="002029AF">
              <w:t>transactions</w:t>
            </w:r>
            <w:r w:rsidR="000A5329" w:rsidRPr="002029AF">
              <w:t xml:space="preserve"> </w:t>
            </w:r>
            <w:r w:rsidRPr="002029AF">
              <w:t>(net</w:t>
            </w:r>
            <w:r w:rsidR="000A5329" w:rsidRPr="002029AF">
              <w:t xml:space="preserve"> </w:t>
            </w:r>
            <w:r w:rsidRPr="002029AF">
              <w:t>operating</w:t>
            </w:r>
            <w:r w:rsidR="000A5329" w:rsidRPr="002029AF">
              <w:t xml:space="preserve"> </w:t>
            </w:r>
            <w:r w:rsidRPr="002029AF">
              <w:t>balance)</w:t>
            </w:r>
          </w:p>
        </w:tc>
        <w:tc>
          <w:tcPr>
            <w:tcW w:w="1247" w:type="dxa"/>
            <w:tcBorders>
              <w:bottom w:val="single" w:sz="4" w:space="0" w:color="auto"/>
            </w:tcBorders>
            <w:hideMark/>
          </w:tcPr>
          <w:p w14:paraId="71787571" w14:textId="77777777" w:rsidR="00A34813" w:rsidRPr="002029AF" w:rsidRDefault="00A34813" w:rsidP="00F4358C">
            <w:pPr>
              <w:pStyle w:val="ARfintablebodyrightbold"/>
            </w:pPr>
            <w:r w:rsidRPr="002029AF">
              <w:t>788</w:t>
            </w:r>
          </w:p>
        </w:tc>
        <w:tc>
          <w:tcPr>
            <w:tcW w:w="1247" w:type="dxa"/>
            <w:tcBorders>
              <w:bottom w:val="single" w:sz="4" w:space="0" w:color="auto"/>
            </w:tcBorders>
            <w:hideMark/>
          </w:tcPr>
          <w:p w14:paraId="353E5C66" w14:textId="77777777" w:rsidR="00A34813" w:rsidRPr="002029AF" w:rsidRDefault="00A34813" w:rsidP="00F4358C">
            <w:pPr>
              <w:pStyle w:val="ARfintablebodyrightbold"/>
            </w:pPr>
            <w:r w:rsidRPr="002029AF">
              <w:t>216</w:t>
            </w:r>
          </w:p>
        </w:tc>
        <w:tc>
          <w:tcPr>
            <w:tcW w:w="1247" w:type="dxa"/>
            <w:tcBorders>
              <w:bottom w:val="single" w:sz="4" w:space="0" w:color="auto"/>
            </w:tcBorders>
            <w:hideMark/>
          </w:tcPr>
          <w:p w14:paraId="346B81B5" w14:textId="77777777" w:rsidR="00A34813" w:rsidRPr="002029AF" w:rsidRDefault="00A34813" w:rsidP="00F4358C">
            <w:pPr>
              <w:pStyle w:val="ARfintablebodyrightbold"/>
            </w:pPr>
            <w:r w:rsidRPr="002029AF">
              <w:t>264.7</w:t>
            </w:r>
          </w:p>
        </w:tc>
        <w:tc>
          <w:tcPr>
            <w:tcW w:w="680" w:type="dxa"/>
            <w:tcBorders>
              <w:bottom w:val="single" w:sz="4" w:space="0" w:color="auto"/>
            </w:tcBorders>
            <w:hideMark/>
          </w:tcPr>
          <w:p w14:paraId="1B5BCFA1" w14:textId="77777777" w:rsidR="00A34813" w:rsidRPr="002029AF" w:rsidRDefault="00A34813" w:rsidP="00F4358C">
            <w:pPr>
              <w:pStyle w:val="ARfintablebodyright"/>
            </w:pPr>
          </w:p>
        </w:tc>
      </w:tr>
      <w:tr w:rsidR="00F4358C" w:rsidRPr="002029AF" w14:paraId="2B8CB1CF" w14:textId="77777777" w:rsidTr="00F4358C">
        <w:tc>
          <w:tcPr>
            <w:tcW w:w="9639" w:type="dxa"/>
            <w:gridSpan w:val="5"/>
            <w:tcBorders>
              <w:top w:val="single" w:sz="4" w:space="0" w:color="auto"/>
              <w:bottom w:val="single" w:sz="4" w:space="0" w:color="A6A6A6"/>
            </w:tcBorders>
            <w:hideMark/>
          </w:tcPr>
          <w:p w14:paraId="5C9A6E77" w14:textId="2DE7745C" w:rsidR="00F4358C" w:rsidRPr="002029AF" w:rsidRDefault="00F4358C" w:rsidP="00F4358C">
            <w:pPr>
              <w:pStyle w:val="ARfintablebodybold"/>
            </w:pPr>
            <w:r w:rsidRPr="002029AF">
              <w:t>Other</w:t>
            </w:r>
            <w:r w:rsidR="000A5329" w:rsidRPr="002029AF">
              <w:t xml:space="preserve"> </w:t>
            </w:r>
            <w:r w:rsidRPr="002029AF">
              <w:t>economic</w:t>
            </w:r>
            <w:r w:rsidR="000A5329" w:rsidRPr="002029AF">
              <w:t xml:space="preserve"> </w:t>
            </w:r>
            <w:r w:rsidRPr="002029AF">
              <w:t>flows</w:t>
            </w:r>
            <w:r w:rsidR="000A5329" w:rsidRPr="002029AF">
              <w:t xml:space="preserve"> </w:t>
            </w:r>
            <w:r w:rsidRPr="002029AF">
              <w:t>included</w:t>
            </w:r>
            <w:r w:rsidR="000A5329" w:rsidRPr="002029AF">
              <w:t xml:space="preserve"> </w:t>
            </w:r>
            <w:r w:rsidRPr="002029AF">
              <w:t>in</w:t>
            </w:r>
            <w:r w:rsidR="000A5329" w:rsidRPr="002029AF">
              <w:t xml:space="preserve"> </w:t>
            </w:r>
            <w:r w:rsidRPr="002029AF">
              <w:t>net</w:t>
            </w:r>
            <w:r w:rsidR="000A5329" w:rsidRPr="002029AF">
              <w:t xml:space="preserve"> </w:t>
            </w:r>
            <w:r w:rsidRPr="002029AF">
              <w:t>result</w:t>
            </w:r>
          </w:p>
        </w:tc>
      </w:tr>
      <w:tr w:rsidR="00A34813" w:rsidRPr="002029AF" w14:paraId="08CF6144" w14:textId="77777777" w:rsidTr="00F4358C">
        <w:tc>
          <w:tcPr>
            <w:tcW w:w="5218" w:type="dxa"/>
            <w:tcBorders>
              <w:top w:val="single" w:sz="4" w:space="0" w:color="A6A6A6"/>
              <w:bottom w:val="single" w:sz="4" w:space="0" w:color="A6A6A6"/>
            </w:tcBorders>
            <w:hideMark/>
          </w:tcPr>
          <w:p w14:paraId="4F8E1F3A" w14:textId="533B5FC5" w:rsidR="00A34813" w:rsidRPr="002029AF" w:rsidRDefault="00A34813" w:rsidP="00F4358C">
            <w:pPr>
              <w:pStyle w:val="ARfintablebody"/>
            </w:pPr>
            <w:r w:rsidRPr="002029AF">
              <w:t>Net</w:t>
            </w:r>
            <w:r w:rsidR="000A5329" w:rsidRPr="002029AF">
              <w:t xml:space="preserve"> </w:t>
            </w:r>
            <w:r w:rsidRPr="002029AF">
              <w:t>gain/(loss)</w:t>
            </w:r>
            <w:r w:rsidR="000A5329" w:rsidRPr="002029AF">
              <w:t xml:space="preserve"> </w:t>
            </w:r>
            <w:r w:rsidRPr="002029AF">
              <w:t>on</w:t>
            </w:r>
            <w:r w:rsidR="000A5329" w:rsidRPr="002029AF">
              <w:t xml:space="preserve"> </w:t>
            </w:r>
            <w:r w:rsidRPr="002029AF">
              <w:t>non-financial</w:t>
            </w:r>
            <w:r w:rsidR="000A5329" w:rsidRPr="002029AF">
              <w:t xml:space="preserve"> </w:t>
            </w:r>
            <w:r w:rsidRPr="002029AF">
              <w:t>assets</w:t>
            </w:r>
          </w:p>
        </w:tc>
        <w:tc>
          <w:tcPr>
            <w:tcW w:w="1247" w:type="dxa"/>
            <w:tcBorders>
              <w:top w:val="single" w:sz="4" w:space="0" w:color="A6A6A6"/>
              <w:bottom w:val="single" w:sz="4" w:space="0" w:color="A6A6A6"/>
            </w:tcBorders>
            <w:hideMark/>
          </w:tcPr>
          <w:p w14:paraId="1A50C36C" w14:textId="77777777" w:rsidR="00A34813" w:rsidRPr="002029AF" w:rsidRDefault="00A34813" w:rsidP="00F4358C">
            <w:pPr>
              <w:pStyle w:val="ARfintablebodyright"/>
            </w:pPr>
            <w:r w:rsidRPr="002029AF">
              <w:t>7</w:t>
            </w:r>
          </w:p>
        </w:tc>
        <w:tc>
          <w:tcPr>
            <w:tcW w:w="1247" w:type="dxa"/>
            <w:tcBorders>
              <w:top w:val="single" w:sz="4" w:space="0" w:color="A6A6A6"/>
              <w:bottom w:val="single" w:sz="4" w:space="0" w:color="A6A6A6"/>
            </w:tcBorders>
            <w:hideMark/>
          </w:tcPr>
          <w:p w14:paraId="2765C76C" w14:textId="77777777" w:rsidR="00A34813" w:rsidRPr="002029AF" w:rsidRDefault="00A34813" w:rsidP="00F4358C">
            <w:pPr>
              <w:pStyle w:val="ARfintablebodyright"/>
            </w:pPr>
            <w:r w:rsidRPr="002029AF">
              <w:t>(3)</w:t>
            </w:r>
          </w:p>
        </w:tc>
        <w:tc>
          <w:tcPr>
            <w:tcW w:w="1247" w:type="dxa"/>
            <w:tcBorders>
              <w:top w:val="single" w:sz="4" w:space="0" w:color="A6A6A6"/>
              <w:bottom w:val="single" w:sz="4" w:space="0" w:color="A6A6A6"/>
            </w:tcBorders>
            <w:hideMark/>
          </w:tcPr>
          <w:p w14:paraId="06A05520" w14:textId="77777777" w:rsidR="00A34813" w:rsidRPr="002029AF" w:rsidRDefault="00A34813" w:rsidP="00F4358C">
            <w:pPr>
              <w:pStyle w:val="ARfintablebodyright"/>
            </w:pPr>
            <w:r w:rsidRPr="002029AF">
              <w:t>(329.0)</w:t>
            </w:r>
          </w:p>
        </w:tc>
        <w:tc>
          <w:tcPr>
            <w:tcW w:w="680" w:type="dxa"/>
            <w:tcBorders>
              <w:top w:val="single" w:sz="4" w:space="0" w:color="A6A6A6"/>
              <w:bottom w:val="single" w:sz="4" w:space="0" w:color="A6A6A6"/>
            </w:tcBorders>
            <w:hideMark/>
          </w:tcPr>
          <w:p w14:paraId="4FEE6CC3" w14:textId="77777777" w:rsidR="00A34813" w:rsidRPr="002029AF" w:rsidRDefault="00A34813" w:rsidP="00F4358C">
            <w:pPr>
              <w:pStyle w:val="ARfintablebodyright"/>
            </w:pPr>
          </w:p>
        </w:tc>
      </w:tr>
      <w:tr w:rsidR="00A34813" w:rsidRPr="002029AF" w14:paraId="3C7F3D8B" w14:textId="77777777" w:rsidTr="00F4358C">
        <w:tc>
          <w:tcPr>
            <w:tcW w:w="5218" w:type="dxa"/>
            <w:tcBorders>
              <w:top w:val="single" w:sz="4" w:space="0" w:color="A6A6A6"/>
              <w:bottom w:val="single" w:sz="4" w:space="0" w:color="A6A6A6"/>
            </w:tcBorders>
            <w:hideMark/>
          </w:tcPr>
          <w:p w14:paraId="16D31AD0" w14:textId="25CD392D" w:rsidR="00A34813" w:rsidRPr="002029AF" w:rsidRDefault="00A34813" w:rsidP="00F4358C">
            <w:pPr>
              <w:pStyle w:val="ARfintablebody"/>
            </w:pPr>
            <w:r w:rsidRPr="002029AF">
              <w:t>Net</w:t>
            </w:r>
            <w:r w:rsidR="000A5329" w:rsidRPr="002029AF">
              <w:t xml:space="preserve"> </w:t>
            </w:r>
            <w:r w:rsidRPr="002029AF">
              <w:t>gain/(loss)</w:t>
            </w:r>
            <w:r w:rsidR="000A5329" w:rsidRPr="002029AF">
              <w:t xml:space="preserve"> </w:t>
            </w:r>
            <w:r w:rsidRPr="002029AF">
              <w:t>on</w:t>
            </w:r>
            <w:r w:rsidR="000A5329" w:rsidRPr="002029AF">
              <w:t xml:space="preserve"> </w:t>
            </w:r>
            <w:r w:rsidRPr="002029AF">
              <w:t>financial</w:t>
            </w:r>
            <w:r w:rsidR="000A5329" w:rsidRPr="002029AF">
              <w:t xml:space="preserve"> </w:t>
            </w:r>
            <w:r w:rsidRPr="002029AF">
              <w:t>instruments</w:t>
            </w:r>
            <w:r w:rsidR="000A5329" w:rsidRPr="002029AF">
              <w:t xml:space="preserve"> </w:t>
            </w:r>
            <w:r w:rsidRPr="002029AF">
              <w:t>and</w:t>
            </w:r>
            <w:r w:rsidR="000A5329" w:rsidRPr="002029AF">
              <w:t xml:space="preserve"> </w:t>
            </w:r>
            <w:r w:rsidRPr="002029AF">
              <w:t>statutory</w:t>
            </w:r>
            <w:r w:rsidR="000A5329" w:rsidRPr="002029AF">
              <w:t xml:space="preserve"> </w:t>
            </w:r>
            <w:r w:rsidRPr="002029AF">
              <w:t>receivables/payables</w:t>
            </w:r>
          </w:p>
        </w:tc>
        <w:tc>
          <w:tcPr>
            <w:tcW w:w="1247" w:type="dxa"/>
            <w:tcBorders>
              <w:top w:val="single" w:sz="4" w:space="0" w:color="A6A6A6"/>
              <w:bottom w:val="single" w:sz="4" w:space="0" w:color="A6A6A6"/>
            </w:tcBorders>
            <w:hideMark/>
          </w:tcPr>
          <w:p w14:paraId="3BB85E60" w14:textId="77777777" w:rsidR="00A34813" w:rsidRPr="002029AF" w:rsidRDefault="00A34813" w:rsidP="00F4358C">
            <w:pPr>
              <w:pStyle w:val="ARfintablebodyright"/>
            </w:pPr>
            <w:r w:rsidRPr="002029AF">
              <w:t>(59)</w:t>
            </w:r>
          </w:p>
        </w:tc>
        <w:tc>
          <w:tcPr>
            <w:tcW w:w="1247" w:type="dxa"/>
            <w:tcBorders>
              <w:top w:val="single" w:sz="4" w:space="0" w:color="A6A6A6"/>
              <w:bottom w:val="single" w:sz="4" w:space="0" w:color="A6A6A6"/>
            </w:tcBorders>
            <w:hideMark/>
          </w:tcPr>
          <w:p w14:paraId="2B096749" w14:textId="77777777" w:rsidR="00A34813" w:rsidRPr="002029AF" w:rsidRDefault="00A34813" w:rsidP="00F4358C">
            <w:pPr>
              <w:pStyle w:val="ARfintablebodyright"/>
            </w:pPr>
            <w:r w:rsidRPr="002029AF">
              <w:t>(26)</w:t>
            </w:r>
          </w:p>
        </w:tc>
        <w:tc>
          <w:tcPr>
            <w:tcW w:w="1247" w:type="dxa"/>
            <w:tcBorders>
              <w:top w:val="single" w:sz="4" w:space="0" w:color="A6A6A6"/>
              <w:bottom w:val="single" w:sz="4" w:space="0" w:color="A6A6A6"/>
            </w:tcBorders>
            <w:hideMark/>
          </w:tcPr>
          <w:p w14:paraId="22CC3044" w14:textId="77777777" w:rsidR="00A34813" w:rsidRPr="002029AF" w:rsidRDefault="00A34813" w:rsidP="00F4358C">
            <w:pPr>
              <w:pStyle w:val="ARfintablebodyright"/>
            </w:pPr>
            <w:r w:rsidRPr="002029AF">
              <w:t>126.7</w:t>
            </w:r>
          </w:p>
        </w:tc>
        <w:tc>
          <w:tcPr>
            <w:tcW w:w="680" w:type="dxa"/>
            <w:tcBorders>
              <w:top w:val="single" w:sz="4" w:space="0" w:color="A6A6A6"/>
              <w:bottom w:val="single" w:sz="4" w:space="0" w:color="A6A6A6"/>
            </w:tcBorders>
            <w:hideMark/>
          </w:tcPr>
          <w:p w14:paraId="0E6464E4" w14:textId="77777777" w:rsidR="00A34813" w:rsidRPr="002029AF" w:rsidRDefault="00A34813" w:rsidP="00F4358C">
            <w:pPr>
              <w:pStyle w:val="ARfintablebodyright"/>
            </w:pPr>
          </w:p>
        </w:tc>
      </w:tr>
      <w:tr w:rsidR="00A34813" w:rsidRPr="002029AF" w14:paraId="591EF8F9" w14:textId="77777777" w:rsidTr="00F4358C">
        <w:tc>
          <w:tcPr>
            <w:tcW w:w="5218" w:type="dxa"/>
            <w:tcBorders>
              <w:top w:val="single" w:sz="4" w:space="0" w:color="A6A6A6"/>
            </w:tcBorders>
            <w:hideMark/>
          </w:tcPr>
          <w:p w14:paraId="7868D89B" w14:textId="3BBCA3D3" w:rsidR="00A34813" w:rsidRPr="002029AF" w:rsidRDefault="00A34813" w:rsidP="00F4358C">
            <w:pPr>
              <w:pStyle w:val="ARfintablebody"/>
            </w:pPr>
            <w:r w:rsidRPr="002029AF">
              <w:t>Other</w:t>
            </w:r>
            <w:r w:rsidR="000A5329" w:rsidRPr="002029AF">
              <w:t xml:space="preserve"> </w:t>
            </w:r>
            <w:r w:rsidRPr="002029AF">
              <w:t>gains/(losses)</w:t>
            </w:r>
            <w:r w:rsidR="000A5329" w:rsidRPr="002029AF">
              <w:t xml:space="preserve"> </w:t>
            </w:r>
            <w:r w:rsidRPr="002029AF">
              <w:t>from</w:t>
            </w:r>
            <w:r w:rsidR="000A5329" w:rsidRPr="002029AF">
              <w:t xml:space="preserve"> </w:t>
            </w:r>
            <w:r w:rsidRPr="002029AF">
              <w:t>other</w:t>
            </w:r>
            <w:r w:rsidR="000A5329" w:rsidRPr="002029AF">
              <w:t xml:space="preserve"> </w:t>
            </w:r>
            <w:r w:rsidRPr="002029AF">
              <w:t>economic</w:t>
            </w:r>
            <w:r w:rsidR="000A5329" w:rsidRPr="002029AF">
              <w:t xml:space="preserve"> </w:t>
            </w:r>
            <w:r w:rsidRPr="002029AF">
              <w:t>flows</w:t>
            </w:r>
          </w:p>
        </w:tc>
        <w:tc>
          <w:tcPr>
            <w:tcW w:w="1247" w:type="dxa"/>
            <w:tcBorders>
              <w:top w:val="single" w:sz="4" w:space="0" w:color="A6A6A6"/>
            </w:tcBorders>
            <w:hideMark/>
          </w:tcPr>
          <w:p w14:paraId="694AADB7" w14:textId="77777777" w:rsidR="00A34813" w:rsidRPr="002029AF" w:rsidRDefault="00A34813" w:rsidP="00F4358C">
            <w:pPr>
              <w:pStyle w:val="ARfintablebodyright"/>
            </w:pPr>
            <w:r w:rsidRPr="002029AF">
              <w:t>(123)</w:t>
            </w:r>
          </w:p>
        </w:tc>
        <w:tc>
          <w:tcPr>
            <w:tcW w:w="1247" w:type="dxa"/>
            <w:tcBorders>
              <w:top w:val="single" w:sz="4" w:space="0" w:color="A6A6A6"/>
            </w:tcBorders>
            <w:hideMark/>
          </w:tcPr>
          <w:p w14:paraId="70F7259C" w14:textId="77777777" w:rsidR="00A34813" w:rsidRPr="002029AF" w:rsidRDefault="00A34813" w:rsidP="00F4358C">
            <w:pPr>
              <w:pStyle w:val="ARfintablebodyright"/>
            </w:pPr>
            <w:r w:rsidRPr="002029AF">
              <w:t>(8)</w:t>
            </w:r>
          </w:p>
        </w:tc>
        <w:tc>
          <w:tcPr>
            <w:tcW w:w="1247" w:type="dxa"/>
            <w:tcBorders>
              <w:top w:val="single" w:sz="4" w:space="0" w:color="A6A6A6"/>
            </w:tcBorders>
            <w:hideMark/>
          </w:tcPr>
          <w:p w14:paraId="546AD399" w14:textId="77777777" w:rsidR="00A34813" w:rsidRPr="002029AF" w:rsidRDefault="00A34813" w:rsidP="00F4358C">
            <w:pPr>
              <w:pStyle w:val="ARfintablebodyright"/>
            </w:pPr>
            <w:r w:rsidRPr="002029AF">
              <w:t>1,436.1</w:t>
            </w:r>
          </w:p>
        </w:tc>
        <w:tc>
          <w:tcPr>
            <w:tcW w:w="680" w:type="dxa"/>
            <w:tcBorders>
              <w:top w:val="single" w:sz="4" w:space="0" w:color="A6A6A6"/>
            </w:tcBorders>
            <w:hideMark/>
          </w:tcPr>
          <w:p w14:paraId="21446D39" w14:textId="77777777" w:rsidR="00A34813" w:rsidRPr="002029AF" w:rsidRDefault="00A34813" w:rsidP="00F4358C">
            <w:pPr>
              <w:pStyle w:val="ARfintablebodyright"/>
            </w:pPr>
          </w:p>
        </w:tc>
      </w:tr>
      <w:tr w:rsidR="00A34813" w:rsidRPr="002029AF" w14:paraId="03A5C180" w14:textId="77777777" w:rsidTr="00F4358C">
        <w:tc>
          <w:tcPr>
            <w:tcW w:w="5218" w:type="dxa"/>
            <w:hideMark/>
          </w:tcPr>
          <w:p w14:paraId="14425D6C" w14:textId="7E53F0F8" w:rsidR="00A34813" w:rsidRPr="002029AF" w:rsidRDefault="00A34813" w:rsidP="00F4358C">
            <w:pPr>
              <w:pStyle w:val="ARfintablebodybold"/>
            </w:pPr>
            <w:r w:rsidRPr="002029AF">
              <w:t>Total</w:t>
            </w:r>
            <w:r w:rsidR="000A5329" w:rsidRPr="002029AF">
              <w:t xml:space="preserve"> </w:t>
            </w:r>
            <w:r w:rsidRPr="002029AF">
              <w:t>other</w:t>
            </w:r>
            <w:r w:rsidR="000A5329" w:rsidRPr="002029AF">
              <w:t xml:space="preserve"> </w:t>
            </w:r>
            <w:r w:rsidRPr="002029AF">
              <w:t>economic</w:t>
            </w:r>
            <w:r w:rsidR="000A5329" w:rsidRPr="002029AF">
              <w:t xml:space="preserve"> </w:t>
            </w:r>
            <w:r w:rsidRPr="002029AF">
              <w:t>flows</w:t>
            </w:r>
            <w:r w:rsidR="000A5329" w:rsidRPr="002029AF">
              <w:t xml:space="preserve"> </w:t>
            </w:r>
            <w:r w:rsidRPr="002029AF">
              <w:t>included</w:t>
            </w:r>
            <w:r w:rsidR="000A5329" w:rsidRPr="002029AF">
              <w:t xml:space="preserve"> </w:t>
            </w:r>
            <w:r w:rsidRPr="002029AF">
              <w:t>in</w:t>
            </w:r>
            <w:r w:rsidR="000A5329" w:rsidRPr="002029AF">
              <w:t xml:space="preserve"> </w:t>
            </w:r>
            <w:r w:rsidRPr="002029AF">
              <w:t>net</w:t>
            </w:r>
            <w:r w:rsidR="000A5329" w:rsidRPr="002029AF">
              <w:t xml:space="preserve"> </w:t>
            </w:r>
            <w:r w:rsidRPr="002029AF">
              <w:t>result</w:t>
            </w:r>
          </w:p>
        </w:tc>
        <w:tc>
          <w:tcPr>
            <w:tcW w:w="1247" w:type="dxa"/>
            <w:hideMark/>
          </w:tcPr>
          <w:p w14:paraId="5106C077" w14:textId="77777777" w:rsidR="00A34813" w:rsidRPr="002029AF" w:rsidRDefault="00A34813" w:rsidP="00F4358C">
            <w:pPr>
              <w:pStyle w:val="ARfintablebodyrightbold"/>
            </w:pPr>
            <w:r w:rsidRPr="002029AF">
              <w:t>(175)</w:t>
            </w:r>
          </w:p>
        </w:tc>
        <w:tc>
          <w:tcPr>
            <w:tcW w:w="1247" w:type="dxa"/>
            <w:hideMark/>
          </w:tcPr>
          <w:p w14:paraId="0B1272F8" w14:textId="77777777" w:rsidR="00A34813" w:rsidRPr="002029AF" w:rsidRDefault="00A34813" w:rsidP="00F4358C">
            <w:pPr>
              <w:pStyle w:val="ARfintablebodyrightbold"/>
            </w:pPr>
            <w:r w:rsidRPr="002029AF">
              <w:t>(36)</w:t>
            </w:r>
          </w:p>
        </w:tc>
        <w:tc>
          <w:tcPr>
            <w:tcW w:w="1247" w:type="dxa"/>
            <w:hideMark/>
          </w:tcPr>
          <w:p w14:paraId="5DD1507C" w14:textId="77777777" w:rsidR="00A34813" w:rsidRPr="002029AF" w:rsidRDefault="00A34813" w:rsidP="00F4358C">
            <w:pPr>
              <w:pStyle w:val="ARfintablebodyrightbold"/>
            </w:pPr>
            <w:r w:rsidRPr="002029AF">
              <w:t>385.9</w:t>
            </w:r>
          </w:p>
        </w:tc>
        <w:tc>
          <w:tcPr>
            <w:tcW w:w="680" w:type="dxa"/>
            <w:hideMark/>
          </w:tcPr>
          <w:p w14:paraId="42098E52" w14:textId="77777777" w:rsidR="00A34813" w:rsidRPr="002029AF" w:rsidRDefault="00A34813" w:rsidP="00F4358C">
            <w:pPr>
              <w:pStyle w:val="ARfintablebodyright"/>
            </w:pPr>
          </w:p>
        </w:tc>
      </w:tr>
      <w:tr w:rsidR="00A34813" w:rsidRPr="002029AF" w14:paraId="54433313" w14:textId="77777777" w:rsidTr="00F4358C">
        <w:tc>
          <w:tcPr>
            <w:tcW w:w="5218" w:type="dxa"/>
            <w:tcBorders>
              <w:bottom w:val="single" w:sz="4" w:space="0" w:color="auto"/>
            </w:tcBorders>
            <w:hideMark/>
          </w:tcPr>
          <w:p w14:paraId="08FCF996" w14:textId="241B4496" w:rsidR="00A34813" w:rsidRPr="002029AF" w:rsidRDefault="00A34813" w:rsidP="00F4358C">
            <w:pPr>
              <w:pStyle w:val="ARfintablebodybold"/>
            </w:pPr>
            <w:r w:rsidRPr="002029AF">
              <w:t>Net</w:t>
            </w:r>
            <w:r w:rsidR="000A5329" w:rsidRPr="002029AF">
              <w:t xml:space="preserve"> </w:t>
            </w:r>
            <w:r w:rsidRPr="002029AF">
              <w:t>result</w:t>
            </w:r>
          </w:p>
        </w:tc>
        <w:tc>
          <w:tcPr>
            <w:tcW w:w="1247" w:type="dxa"/>
            <w:tcBorders>
              <w:bottom w:val="single" w:sz="4" w:space="0" w:color="auto"/>
            </w:tcBorders>
            <w:hideMark/>
          </w:tcPr>
          <w:p w14:paraId="6BFF97CD" w14:textId="77777777" w:rsidR="00A34813" w:rsidRPr="002029AF" w:rsidRDefault="00A34813" w:rsidP="00F4358C">
            <w:pPr>
              <w:pStyle w:val="ARfintablebodyrightbold"/>
            </w:pPr>
            <w:r w:rsidRPr="002029AF">
              <w:t>613</w:t>
            </w:r>
          </w:p>
        </w:tc>
        <w:tc>
          <w:tcPr>
            <w:tcW w:w="1247" w:type="dxa"/>
            <w:tcBorders>
              <w:bottom w:val="single" w:sz="4" w:space="0" w:color="auto"/>
            </w:tcBorders>
            <w:hideMark/>
          </w:tcPr>
          <w:p w14:paraId="476F8909" w14:textId="77777777" w:rsidR="00A34813" w:rsidRPr="002029AF" w:rsidRDefault="00A34813" w:rsidP="00F4358C">
            <w:pPr>
              <w:pStyle w:val="ARfintablebodyrightbold"/>
            </w:pPr>
            <w:r w:rsidRPr="002029AF">
              <w:t>180</w:t>
            </w:r>
          </w:p>
        </w:tc>
        <w:tc>
          <w:tcPr>
            <w:tcW w:w="1247" w:type="dxa"/>
            <w:tcBorders>
              <w:bottom w:val="single" w:sz="4" w:space="0" w:color="auto"/>
            </w:tcBorders>
            <w:hideMark/>
          </w:tcPr>
          <w:p w14:paraId="1CE8F7F6" w14:textId="77777777" w:rsidR="00A34813" w:rsidRPr="002029AF" w:rsidRDefault="00A34813" w:rsidP="00F4358C">
            <w:pPr>
              <w:pStyle w:val="ARfintablebodyrightbold"/>
            </w:pPr>
            <w:r w:rsidRPr="002029AF">
              <w:t>240.5</w:t>
            </w:r>
          </w:p>
        </w:tc>
        <w:tc>
          <w:tcPr>
            <w:tcW w:w="680" w:type="dxa"/>
            <w:tcBorders>
              <w:bottom w:val="single" w:sz="4" w:space="0" w:color="auto"/>
            </w:tcBorders>
            <w:hideMark/>
          </w:tcPr>
          <w:p w14:paraId="307D5C1B" w14:textId="77777777" w:rsidR="00A34813" w:rsidRPr="002029AF" w:rsidRDefault="00A34813" w:rsidP="00F4358C">
            <w:pPr>
              <w:pStyle w:val="ARfintablebodyright"/>
            </w:pPr>
          </w:p>
        </w:tc>
      </w:tr>
      <w:tr w:rsidR="00F4358C" w:rsidRPr="002029AF" w14:paraId="22E8A271" w14:textId="77777777" w:rsidTr="00F4358C">
        <w:tc>
          <w:tcPr>
            <w:tcW w:w="9639" w:type="dxa"/>
            <w:gridSpan w:val="5"/>
            <w:tcBorders>
              <w:top w:val="single" w:sz="4" w:space="0" w:color="auto"/>
              <w:bottom w:val="single" w:sz="4" w:space="0" w:color="A6A6A6"/>
            </w:tcBorders>
            <w:hideMark/>
          </w:tcPr>
          <w:p w14:paraId="117DD1DC" w14:textId="31F25D0F" w:rsidR="00F4358C" w:rsidRPr="002029AF" w:rsidRDefault="00F4358C" w:rsidP="00F4358C">
            <w:pPr>
              <w:pStyle w:val="ARfintablebodybold"/>
            </w:pPr>
            <w:r w:rsidRPr="002029AF">
              <w:t>Other</w:t>
            </w:r>
            <w:r w:rsidR="000A5329" w:rsidRPr="002029AF">
              <w:t xml:space="preserve"> </w:t>
            </w:r>
            <w:r w:rsidRPr="002029AF">
              <w:t>economic</w:t>
            </w:r>
            <w:r w:rsidR="000A5329" w:rsidRPr="002029AF">
              <w:t xml:space="preserve"> </w:t>
            </w:r>
            <w:r w:rsidRPr="002029AF">
              <w:t>flows</w:t>
            </w:r>
            <w:r w:rsidR="000A5329" w:rsidRPr="002029AF">
              <w:t xml:space="preserve"> </w:t>
            </w:r>
            <w:r w:rsidRPr="002029AF">
              <w:t>–</w:t>
            </w:r>
            <w:r w:rsidR="000A5329" w:rsidRPr="002029AF">
              <w:t xml:space="preserve"> </w:t>
            </w:r>
            <w:r w:rsidRPr="002029AF">
              <w:t>other</w:t>
            </w:r>
            <w:r w:rsidR="000A5329" w:rsidRPr="002029AF">
              <w:t xml:space="preserve"> </w:t>
            </w:r>
            <w:r w:rsidRPr="002029AF">
              <w:t>comprehensive</w:t>
            </w:r>
            <w:r w:rsidR="000A5329" w:rsidRPr="002029AF">
              <w:t xml:space="preserve"> </w:t>
            </w:r>
            <w:r w:rsidRPr="002029AF">
              <w:t>income</w:t>
            </w:r>
          </w:p>
        </w:tc>
      </w:tr>
      <w:tr w:rsidR="00A34813" w:rsidRPr="002029AF" w14:paraId="72375EE7" w14:textId="77777777" w:rsidTr="00F4358C">
        <w:tc>
          <w:tcPr>
            <w:tcW w:w="5218" w:type="dxa"/>
            <w:tcBorders>
              <w:top w:val="single" w:sz="4" w:space="0" w:color="A6A6A6"/>
              <w:bottom w:val="single" w:sz="4" w:space="0" w:color="A6A6A6"/>
            </w:tcBorders>
            <w:hideMark/>
          </w:tcPr>
          <w:p w14:paraId="51AC8165" w14:textId="43456A65" w:rsidR="00A34813" w:rsidRPr="002029AF" w:rsidRDefault="00A34813" w:rsidP="00F4358C">
            <w:pPr>
              <w:pStyle w:val="ARfintablebody"/>
            </w:pPr>
            <w:r w:rsidRPr="002029AF">
              <w:t>Adjustment</w:t>
            </w:r>
            <w:r w:rsidR="000A5329" w:rsidRPr="002029AF">
              <w:t xml:space="preserve"> </w:t>
            </w:r>
            <w:r w:rsidRPr="002029AF">
              <w:t>to</w:t>
            </w:r>
            <w:r w:rsidR="000A5329" w:rsidRPr="002029AF">
              <w:t xml:space="preserve"> </w:t>
            </w:r>
            <w:r w:rsidRPr="002029AF">
              <w:t>accumulated</w:t>
            </w:r>
            <w:r w:rsidR="000A5329" w:rsidRPr="002029AF">
              <w:t xml:space="preserve"> </w:t>
            </w:r>
            <w:r w:rsidRPr="002029AF">
              <w:t>surplus/(deficit)</w:t>
            </w:r>
            <w:r w:rsidR="000A5329" w:rsidRPr="002029AF">
              <w:t xml:space="preserve"> </w:t>
            </w:r>
            <w:r w:rsidRPr="002029AF">
              <w:t>due</w:t>
            </w:r>
            <w:r w:rsidR="000A5329" w:rsidRPr="002029AF">
              <w:t xml:space="preserve"> </w:t>
            </w:r>
            <w:r w:rsidRPr="002029AF">
              <w:t>to</w:t>
            </w:r>
            <w:r w:rsidR="000A5329" w:rsidRPr="002029AF">
              <w:t xml:space="preserve"> </w:t>
            </w:r>
            <w:r w:rsidRPr="002029AF">
              <w:t>a</w:t>
            </w:r>
            <w:r w:rsidR="000A5329" w:rsidRPr="002029AF">
              <w:t xml:space="preserve"> </w:t>
            </w:r>
            <w:r w:rsidRPr="002029AF">
              <w:t>change</w:t>
            </w:r>
            <w:r w:rsidR="000A5329" w:rsidRPr="002029AF">
              <w:t xml:space="preserve"> </w:t>
            </w:r>
            <w:r w:rsidRPr="002029AF">
              <w:t>in</w:t>
            </w:r>
            <w:r w:rsidR="000A5329" w:rsidRPr="002029AF">
              <w:t xml:space="preserve"> </w:t>
            </w:r>
            <w:r w:rsidRPr="002029AF">
              <w:t>accounting</w:t>
            </w:r>
            <w:r w:rsidR="000A5329" w:rsidRPr="002029AF">
              <w:t xml:space="preserve"> </w:t>
            </w:r>
            <w:r w:rsidRPr="002029AF">
              <w:t>policy</w:t>
            </w:r>
          </w:p>
        </w:tc>
        <w:tc>
          <w:tcPr>
            <w:tcW w:w="1247" w:type="dxa"/>
            <w:tcBorders>
              <w:top w:val="single" w:sz="4" w:space="0" w:color="A6A6A6"/>
              <w:bottom w:val="single" w:sz="4" w:space="0" w:color="A6A6A6"/>
            </w:tcBorders>
            <w:hideMark/>
          </w:tcPr>
          <w:p w14:paraId="61ECF04F" w14:textId="77777777" w:rsidR="00A34813" w:rsidRPr="002029AF" w:rsidRDefault="00A34813" w:rsidP="00F4358C">
            <w:pPr>
              <w:pStyle w:val="ARfintablebodyright"/>
            </w:pPr>
            <w:r w:rsidRPr="002029AF">
              <w:t>22</w:t>
            </w:r>
          </w:p>
        </w:tc>
        <w:tc>
          <w:tcPr>
            <w:tcW w:w="1247" w:type="dxa"/>
            <w:tcBorders>
              <w:top w:val="single" w:sz="4" w:space="0" w:color="A6A6A6"/>
              <w:bottom w:val="single" w:sz="4" w:space="0" w:color="A6A6A6"/>
            </w:tcBorders>
            <w:hideMark/>
          </w:tcPr>
          <w:p w14:paraId="59CBE0C3" w14:textId="77777777" w:rsidR="00A34813" w:rsidRPr="002029AF" w:rsidRDefault="00A34813" w:rsidP="00F4358C">
            <w:pPr>
              <w:pStyle w:val="ARfintablebodyright"/>
            </w:pPr>
            <w:r w:rsidRPr="002029AF">
              <w:t>–</w:t>
            </w:r>
          </w:p>
        </w:tc>
        <w:tc>
          <w:tcPr>
            <w:tcW w:w="1247" w:type="dxa"/>
            <w:tcBorders>
              <w:top w:val="single" w:sz="4" w:space="0" w:color="A6A6A6"/>
              <w:bottom w:val="single" w:sz="4" w:space="0" w:color="A6A6A6"/>
            </w:tcBorders>
            <w:hideMark/>
          </w:tcPr>
          <w:p w14:paraId="7D7A7F6A" w14:textId="77777777" w:rsidR="00A34813" w:rsidRPr="002029AF" w:rsidRDefault="00A34813" w:rsidP="00F4358C">
            <w:pPr>
              <w:pStyle w:val="ARfintablebodyright"/>
            </w:pPr>
            <w:r w:rsidRPr="002029AF">
              <w:t>–</w:t>
            </w:r>
          </w:p>
        </w:tc>
        <w:tc>
          <w:tcPr>
            <w:tcW w:w="680" w:type="dxa"/>
            <w:tcBorders>
              <w:top w:val="single" w:sz="4" w:space="0" w:color="A6A6A6"/>
              <w:bottom w:val="single" w:sz="4" w:space="0" w:color="A6A6A6"/>
            </w:tcBorders>
            <w:hideMark/>
          </w:tcPr>
          <w:p w14:paraId="5F76F8E5" w14:textId="77777777" w:rsidR="00A34813" w:rsidRPr="002029AF" w:rsidRDefault="00A34813" w:rsidP="00F4358C">
            <w:pPr>
              <w:pStyle w:val="ARfintablebodyright"/>
            </w:pPr>
          </w:p>
        </w:tc>
      </w:tr>
      <w:tr w:rsidR="00A34813" w:rsidRPr="002029AF" w14:paraId="543FFC39" w14:textId="77777777" w:rsidTr="00F4358C">
        <w:tc>
          <w:tcPr>
            <w:tcW w:w="5218" w:type="dxa"/>
            <w:tcBorders>
              <w:top w:val="single" w:sz="4" w:space="0" w:color="A6A6A6"/>
              <w:bottom w:val="single" w:sz="4" w:space="0" w:color="A6A6A6"/>
            </w:tcBorders>
            <w:hideMark/>
          </w:tcPr>
          <w:p w14:paraId="5140AB78" w14:textId="055F26E6" w:rsidR="00A34813" w:rsidRPr="00AB6C0B" w:rsidRDefault="00A34813" w:rsidP="00F4358C">
            <w:pPr>
              <w:pStyle w:val="ARfintablebody"/>
              <w:rPr>
                <w:lang w:val="fr-FR"/>
              </w:rPr>
            </w:pPr>
            <w:r w:rsidRPr="00AB6C0B">
              <w:rPr>
                <w:lang w:val="fr-FR"/>
              </w:rPr>
              <w:t>Changes</w:t>
            </w:r>
            <w:r w:rsidR="000A5329" w:rsidRPr="00AB6C0B">
              <w:rPr>
                <w:lang w:val="fr-FR"/>
              </w:rPr>
              <w:t xml:space="preserve"> </w:t>
            </w:r>
            <w:r w:rsidRPr="00AB6C0B">
              <w:rPr>
                <w:lang w:val="fr-FR"/>
              </w:rPr>
              <w:t>in</w:t>
            </w:r>
            <w:r w:rsidR="000A5329" w:rsidRPr="00AB6C0B">
              <w:rPr>
                <w:lang w:val="fr-FR"/>
              </w:rPr>
              <w:t xml:space="preserve"> </w:t>
            </w:r>
            <w:r w:rsidRPr="00AB6C0B">
              <w:rPr>
                <w:lang w:val="fr-FR"/>
              </w:rPr>
              <w:t>non-</w:t>
            </w:r>
            <w:r w:rsidR="000A5329" w:rsidRPr="00AB6C0B">
              <w:rPr>
                <w:lang w:val="fr-FR"/>
              </w:rPr>
              <w:t xml:space="preserve"> </w:t>
            </w:r>
            <w:r w:rsidRPr="00AB6C0B">
              <w:rPr>
                <w:lang w:val="fr-FR"/>
              </w:rPr>
              <w:t>financial</w:t>
            </w:r>
            <w:r w:rsidR="000A5329" w:rsidRPr="00AB6C0B">
              <w:rPr>
                <w:lang w:val="fr-FR"/>
              </w:rPr>
              <w:t xml:space="preserve"> </w:t>
            </w:r>
            <w:r w:rsidRPr="00AB6C0B">
              <w:rPr>
                <w:lang w:val="fr-FR"/>
              </w:rPr>
              <w:t>asset</w:t>
            </w:r>
            <w:r w:rsidR="000A5329" w:rsidRPr="00AB6C0B">
              <w:rPr>
                <w:lang w:val="fr-FR"/>
              </w:rPr>
              <w:t xml:space="preserve"> </w:t>
            </w:r>
            <w:r w:rsidRPr="00AB6C0B">
              <w:rPr>
                <w:lang w:val="fr-FR"/>
              </w:rPr>
              <w:t>revaluation</w:t>
            </w:r>
            <w:r w:rsidR="000A5329" w:rsidRPr="00AB6C0B">
              <w:rPr>
                <w:lang w:val="fr-FR"/>
              </w:rPr>
              <w:t xml:space="preserve"> </w:t>
            </w:r>
            <w:r w:rsidRPr="00AB6C0B">
              <w:rPr>
                <w:lang w:val="fr-FR"/>
              </w:rPr>
              <w:t>surplus</w:t>
            </w:r>
          </w:p>
        </w:tc>
        <w:tc>
          <w:tcPr>
            <w:tcW w:w="1247" w:type="dxa"/>
            <w:tcBorders>
              <w:top w:val="single" w:sz="4" w:space="0" w:color="A6A6A6"/>
              <w:bottom w:val="single" w:sz="4" w:space="0" w:color="A6A6A6"/>
            </w:tcBorders>
            <w:hideMark/>
          </w:tcPr>
          <w:p w14:paraId="38FEF5A2" w14:textId="77777777" w:rsidR="00A34813" w:rsidRPr="002029AF" w:rsidRDefault="00A34813" w:rsidP="00F4358C">
            <w:pPr>
              <w:pStyle w:val="ARfintablebodyright"/>
            </w:pPr>
            <w:r w:rsidRPr="002029AF">
              <w:t>22</w:t>
            </w:r>
          </w:p>
        </w:tc>
        <w:tc>
          <w:tcPr>
            <w:tcW w:w="1247" w:type="dxa"/>
            <w:tcBorders>
              <w:top w:val="single" w:sz="4" w:space="0" w:color="A6A6A6"/>
              <w:bottom w:val="single" w:sz="4" w:space="0" w:color="A6A6A6"/>
            </w:tcBorders>
            <w:hideMark/>
          </w:tcPr>
          <w:p w14:paraId="282215EE" w14:textId="77777777" w:rsidR="00A34813" w:rsidRPr="002029AF" w:rsidRDefault="00A34813" w:rsidP="00F4358C">
            <w:pPr>
              <w:pStyle w:val="ARfintablebodyright"/>
            </w:pPr>
            <w:r w:rsidRPr="002029AF">
              <w:t>–</w:t>
            </w:r>
          </w:p>
        </w:tc>
        <w:tc>
          <w:tcPr>
            <w:tcW w:w="1247" w:type="dxa"/>
            <w:tcBorders>
              <w:top w:val="single" w:sz="4" w:space="0" w:color="A6A6A6"/>
              <w:bottom w:val="single" w:sz="4" w:space="0" w:color="A6A6A6"/>
            </w:tcBorders>
            <w:hideMark/>
          </w:tcPr>
          <w:p w14:paraId="3EB00947" w14:textId="77777777" w:rsidR="00A34813" w:rsidRPr="002029AF" w:rsidRDefault="00A34813" w:rsidP="00F4358C">
            <w:pPr>
              <w:pStyle w:val="ARfintablebodyright"/>
            </w:pPr>
            <w:r w:rsidRPr="002029AF">
              <w:t>–</w:t>
            </w:r>
          </w:p>
        </w:tc>
        <w:tc>
          <w:tcPr>
            <w:tcW w:w="680" w:type="dxa"/>
            <w:tcBorders>
              <w:top w:val="single" w:sz="4" w:space="0" w:color="A6A6A6"/>
              <w:bottom w:val="single" w:sz="4" w:space="0" w:color="A6A6A6"/>
            </w:tcBorders>
            <w:hideMark/>
          </w:tcPr>
          <w:p w14:paraId="0260BD04" w14:textId="77777777" w:rsidR="00A34813" w:rsidRPr="002029AF" w:rsidRDefault="00A34813" w:rsidP="00F4358C">
            <w:pPr>
              <w:pStyle w:val="ARfintablebodyright"/>
            </w:pPr>
          </w:p>
        </w:tc>
      </w:tr>
      <w:tr w:rsidR="00A34813" w:rsidRPr="002029AF" w14:paraId="203ABFBF" w14:textId="77777777" w:rsidTr="00F4358C">
        <w:tc>
          <w:tcPr>
            <w:tcW w:w="5218" w:type="dxa"/>
            <w:tcBorders>
              <w:top w:val="single" w:sz="4" w:space="0" w:color="A6A6A6"/>
              <w:bottom w:val="single" w:sz="4" w:space="0" w:color="A6A6A6"/>
            </w:tcBorders>
            <w:hideMark/>
          </w:tcPr>
          <w:p w14:paraId="35BBF246" w14:textId="5019697D" w:rsidR="00A34813" w:rsidRPr="002029AF" w:rsidRDefault="00A34813" w:rsidP="00F4358C">
            <w:pPr>
              <w:pStyle w:val="ARfintablebody"/>
            </w:pPr>
            <w:r w:rsidRPr="002029AF">
              <w:t>Financial</w:t>
            </w:r>
            <w:r w:rsidR="000A5329" w:rsidRPr="002029AF">
              <w:t xml:space="preserve"> </w:t>
            </w:r>
            <w:r w:rsidRPr="002029AF">
              <w:t>assets</w:t>
            </w:r>
            <w:r w:rsidR="000A5329" w:rsidRPr="002029AF">
              <w:t xml:space="preserve"> </w:t>
            </w:r>
            <w:r w:rsidRPr="002029AF">
              <w:t>available-for-sale</w:t>
            </w:r>
            <w:r w:rsidR="000A5329" w:rsidRPr="002029AF">
              <w:t xml:space="preserve"> </w:t>
            </w:r>
            <w:r w:rsidRPr="002029AF">
              <w:t>reserve</w:t>
            </w:r>
          </w:p>
        </w:tc>
        <w:tc>
          <w:tcPr>
            <w:tcW w:w="1247" w:type="dxa"/>
            <w:tcBorders>
              <w:top w:val="single" w:sz="4" w:space="0" w:color="A6A6A6"/>
              <w:bottom w:val="single" w:sz="4" w:space="0" w:color="A6A6A6"/>
            </w:tcBorders>
            <w:hideMark/>
          </w:tcPr>
          <w:p w14:paraId="064A3090" w14:textId="77777777" w:rsidR="00A34813" w:rsidRPr="002029AF" w:rsidRDefault="00A34813" w:rsidP="00F4358C">
            <w:pPr>
              <w:pStyle w:val="ARfintablebodyright"/>
            </w:pPr>
            <w:r w:rsidRPr="002029AF">
              <w:t>(28)</w:t>
            </w:r>
          </w:p>
        </w:tc>
        <w:tc>
          <w:tcPr>
            <w:tcW w:w="1247" w:type="dxa"/>
            <w:tcBorders>
              <w:top w:val="single" w:sz="4" w:space="0" w:color="A6A6A6"/>
              <w:bottom w:val="single" w:sz="4" w:space="0" w:color="A6A6A6"/>
            </w:tcBorders>
            <w:hideMark/>
          </w:tcPr>
          <w:p w14:paraId="6735C293" w14:textId="77777777" w:rsidR="00A34813" w:rsidRPr="002029AF" w:rsidRDefault="00A34813" w:rsidP="00F4358C">
            <w:pPr>
              <w:pStyle w:val="ARfintablebodyright"/>
            </w:pPr>
            <w:r w:rsidRPr="002029AF">
              <w:t>–</w:t>
            </w:r>
          </w:p>
        </w:tc>
        <w:tc>
          <w:tcPr>
            <w:tcW w:w="1247" w:type="dxa"/>
            <w:tcBorders>
              <w:top w:val="single" w:sz="4" w:space="0" w:color="A6A6A6"/>
              <w:bottom w:val="single" w:sz="4" w:space="0" w:color="A6A6A6"/>
            </w:tcBorders>
            <w:hideMark/>
          </w:tcPr>
          <w:p w14:paraId="14767F6F" w14:textId="77777777" w:rsidR="00A34813" w:rsidRPr="002029AF" w:rsidRDefault="00A34813" w:rsidP="00F4358C">
            <w:pPr>
              <w:pStyle w:val="ARfintablebodyright"/>
            </w:pPr>
            <w:r w:rsidRPr="002029AF">
              <w:t>–</w:t>
            </w:r>
          </w:p>
        </w:tc>
        <w:tc>
          <w:tcPr>
            <w:tcW w:w="680" w:type="dxa"/>
            <w:tcBorders>
              <w:top w:val="single" w:sz="4" w:space="0" w:color="A6A6A6"/>
              <w:bottom w:val="single" w:sz="4" w:space="0" w:color="A6A6A6"/>
            </w:tcBorders>
            <w:hideMark/>
          </w:tcPr>
          <w:p w14:paraId="21038CBC" w14:textId="77777777" w:rsidR="00A34813" w:rsidRPr="002029AF" w:rsidRDefault="00A34813" w:rsidP="00F4358C">
            <w:pPr>
              <w:pStyle w:val="ARfintablebodyright"/>
            </w:pPr>
          </w:p>
        </w:tc>
      </w:tr>
      <w:tr w:rsidR="00A34813" w:rsidRPr="002029AF" w14:paraId="5B4A06C4" w14:textId="77777777" w:rsidTr="00F4358C">
        <w:tc>
          <w:tcPr>
            <w:tcW w:w="5218" w:type="dxa"/>
            <w:tcBorders>
              <w:top w:val="single" w:sz="4" w:space="0" w:color="A6A6A6"/>
            </w:tcBorders>
            <w:hideMark/>
          </w:tcPr>
          <w:p w14:paraId="08DAC5C0" w14:textId="77777777" w:rsidR="00A34813" w:rsidRPr="002029AF" w:rsidRDefault="00A34813" w:rsidP="00F4358C">
            <w:pPr>
              <w:pStyle w:val="ARfintablebody"/>
            </w:pPr>
            <w:r w:rsidRPr="002029AF">
              <w:t>Other</w:t>
            </w:r>
          </w:p>
        </w:tc>
        <w:tc>
          <w:tcPr>
            <w:tcW w:w="1247" w:type="dxa"/>
            <w:tcBorders>
              <w:top w:val="single" w:sz="4" w:space="0" w:color="A6A6A6"/>
            </w:tcBorders>
            <w:hideMark/>
          </w:tcPr>
          <w:p w14:paraId="4BE1158A" w14:textId="77777777" w:rsidR="00A34813" w:rsidRPr="002029AF" w:rsidRDefault="00A34813" w:rsidP="00F4358C">
            <w:pPr>
              <w:pStyle w:val="ARfintablebodyright"/>
            </w:pPr>
            <w:r w:rsidRPr="002029AF">
              <w:t>(49)</w:t>
            </w:r>
          </w:p>
        </w:tc>
        <w:tc>
          <w:tcPr>
            <w:tcW w:w="1247" w:type="dxa"/>
            <w:tcBorders>
              <w:top w:val="single" w:sz="4" w:space="0" w:color="A6A6A6"/>
            </w:tcBorders>
            <w:hideMark/>
          </w:tcPr>
          <w:p w14:paraId="15043138" w14:textId="77777777" w:rsidR="00A34813" w:rsidRPr="002029AF" w:rsidRDefault="00A34813" w:rsidP="00F4358C">
            <w:pPr>
              <w:pStyle w:val="ARfintablebodyright"/>
            </w:pPr>
            <w:r w:rsidRPr="002029AF">
              <w:t>–</w:t>
            </w:r>
          </w:p>
        </w:tc>
        <w:tc>
          <w:tcPr>
            <w:tcW w:w="1247" w:type="dxa"/>
            <w:tcBorders>
              <w:top w:val="single" w:sz="4" w:space="0" w:color="A6A6A6"/>
            </w:tcBorders>
            <w:hideMark/>
          </w:tcPr>
          <w:p w14:paraId="5CE0DBE7" w14:textId="77777777" w:rsidR="00A34813" w:rsidRPr="002029AF" w:rsidRDefault="00A34813" w:rsidP="00F4358C">
            <w:pPr>
              <w:pStyle w:val="ARfintablebodyright"/>
            </w:pPr>
            <w:r w:rsidRPr="002029AF">
              <w:t>–</w:t>
            </w:r>
          </w:p>
        </w:tc>
        <w:tc>
          <w:tcPr>
            <w:tcW w:w="680" w:type="dxa"/>
            <w:tcBorders>
              <w:top w:val="single" w:sz="4" w:space="0" w:color="A6A6A6"/>
            </w:tcBorders>
            <w:hideMark/>
          </w:tcPr>
          <w:p w14:paraId="39610D5A" w14:textId="77777777" w:rsidR="00A34813" w:rsidRPr="002029AF" w:rsidRDefault="00A34813" w:rsidP="00F4358C">
            <w:pPr>
              <w:pStyle w:val="ARfintablebodyright"/>
            </w:pPr>
          </w:p>
        </w:tc>
      </w:tr>
      <w:tr w:rsidR="00A34813" w:rsidRPr="002029AF" w14:paraId="405F0AA1" w14:textId="77777777" w:rsidTr="00F4358C">
        <w:tc>
          <w:tcPr>
            <w:tcW w:w="5218" w:type="dxa"/>
            <w:hideMark/>
          </w:tcPr>
          <w:p w14:paraId="41F27B93" w14:textId="7D2AFC18" w:rsidR="00A34813" w:rsidRPr="002029AF" w:rsidRDefault="00A34813" w:rsidP="00F4358C">
            <w:pPr>
              <w:pStyle w:val="ARfintablebodybold"/>
            </w:pPr>
            <w:r w:rsidRPr="002029AF">
              <w:t>Total</w:t>
            </w:r>
            <w:r w:rsidR="000A5329" w:rsidRPr="002029AF">
              <w:t xml:space="preserve"> </w:t>
            </w:r>
            <w:r w:rsidRPr="002029AF">
              <w:t>other</w:t>
            </w:r>
            <w:r w:rsidR="000A5329" w:rsidRPr="002029AF">
              <w:t xml:space="preserve"> </w:t>
            </w:r>
            <w:r w:rsidRPr="002029AF">
              <w:t>economic</w:t>
            </w:r>
            <w:r w:rsidR="000A5329" w:rsidRPr="002029AF">
              <w:t xml:space="preserve"> </w:t>
            </w:r>
            <w:r w:rsidRPr="002029AF">
              <w:t>flows</w:t>
            </w:r>
            <w:r w:rsidR="000A5329" w:rsidRPr="002029AF">
              <w:t xml:space="preserve"> </w:t>
            </w:r>
            <w:r w:rsidRPr="002029AF">
              <w:t>–</w:t>
            </w:r>
            <w:r w:rsidR="000A5329" w:rsidRPr="002029AF">
              <w:t xml:space="preserve"> </w:t>
            </w:r>
            <w:r w:rsidRPr="002029AF">
              <w:t>other</w:t>
            </w:r>
            <w:r w:rsidR="000A5329" w:rsidRPr="002029AF">
              <w:t xml:space="preserve"> </w:t>
            </w:r>
            <w:r w:rsidRPr="002029AF">
              <w:t>comprehensive</w:t>
            </w:r>
            <w:r w:rsidR="000A5329" w:rsidRPr="002029AF">
              <w:t xml:space="preserve"> </w:t>
            </w:r>
            <w:r w:rsidRPr="002029AF">
              <w:t>income</w:t>
            </w:r>
          </w:p>
        </w:tc>
        <w:tc>
          <w:tcPr>
            <w:tcW w:w="1247" w:type="dxa"/>
            <w:hideMark/>
          </w:tcPr>
          <w:p w14:paraId="0E7B7F3C" w14:textId="77777777" w:rsidR="00A34813" w:rsidRPr="002029AF" w:rsidRDefault="00A34813" w:rsidP="00F4358C">
            <w:pPr>
              <w:pStyle w:val="ARfintablebodyrightbold"/>
            </w:pPr>
            <w:r w:rsidRPr="002029AF">
              <w:t>(33)</w:t>
            </w:r>
          </w:p>
        </w:tc>
        <w:tc>
          <w:tcPr>
            <w:tcW w:w="1247" w:type="dxa"/>
            <w:hideMark/>
          </w:tcPr>
          <w:p w14:paraId="32CCE98E" w14:textId="77777777" w:rsidR="00A34813" w:rsidRPr="002029AF" w:rsidRDefault="00A34813" w:rsidP="00F4358C">
            <w:pPr>
              <w:pStyle w:val="ARfintablebodyrightbold"/>
            </w:pPr>
            <w:r w:rsidRPr="002029AF">
              <w:t>–</w:t>
            </w:r>
          </w:p>
        </w:tc>
        <w:tc>
          <w:tcPr>
            <w:tcW w:w="1247" w:type="dxa"/>
            <w:hideMark/>
          </w:tcPr>
          <w:p w14:paraId="7A28AE5F" w14:textId="77777777" w:rsidR="00A34813" w:rsidRPr="002029AF" w:rsidRDefault="00A34813" w:rsidP="00F4358C">
            <w:pPr>
              <w:pStyle w:val="ARfintablebodyrightbold"/>
            </w:pPr>
            <w:r w:rsidRPr="002029AF">
              <w:t>–</w:t>
            </w:r>
          </w:p>
        </w:tc>
        <w:tc>
          <w:tcPr>
            <w:tcW w:w="680" w:type="dxa"/>
            <w:hideMark/>
          </w:tcPr>
          <w:p w14:paraId="05B65EC9" w14:textId="77777777" w:rsidR="00A34813" w:rsidRPr="002029AF" w:rsidRDefault="00A34813" w:rsidP="00F4358C">
            <w:pPr>
              <w:pStyle w:val="ARfintablebodyright"/>
            </w:pPr>
          </w:p>
        </w:tc>
      </w:tr>
      <w:tr w:rsidR="00A34813" w:rsidRPr="002029AF" w14:paraId="46992207" w14:textId="77777777" w:rsidTr="00F4358C">
        <w:tc>
          <w:tcPr>
            <w:tcW w:w="5218" w:type="dxa"/>
            <w:hideMark/>
          </w:tcPr>
          <w:p w14:paraId="19279284" w14:textId="6F98AC33" w:rsidR="00A34813" w:rsidRPr="002029AF" w:rsidRDefault="00A34813" w:rsidP="00F4358C">
            <w:pPr>
              <w:pStyle w:val="ARfintablebodybold"/>
            </w:pPr>
            <w:r w:rsidRPr="002029AF">
              <w:t>Comprehensive</w:t>
            </w:r>
            <w:r w:rsidR="000A5329" w:rsidRPr="002029AF">
              <w:t xml:space="preserve"> </w:t>
            </w:r>
            <w:r w:rsidRPr="002029AF">
              <w:t>result</w:t>
            </w:r>
          </w:p>
        </w:tc>
        <w:tc>
          <w:tcPr>
            <w:tcW w:w="1247" w:type="dxa"/>
            <w:hideMark/>
          </w:tcPr>
          <w:p w14:paraId="1E2C8522" w14:textId="77777777" w:rsidR="00A34813" w:rsidRPr="002029AF" w:rsidRDefault="00A34813" w:rsidP="00F4358C">
            <w:pPr>
              <w:pStyle w:val="ARfintablebodyrightbold"/>
            </w:pPr>
            <w:r w:rsidRPr="002029AF">
              <w:t>580</w:t>
            </w:r>
          </w:p>
        </w:tc>
        <w:tc>
          <w:tcPr>
            <w:tcW w:w="1247" w:type="dxa"/>
            <w:hideMark/>
          </w:tcPr>
          <w:p w14:paraId="2CFC1F27" w14:textId="77777777" w:rsidR="00A34813" w:rsidRPr="002029AF" w:rsidRDefault="00A34813" w:rsidP="00F4358C">
            <w:pPr>
              <w:pStyle w:val="ARfintablebodyrightbold"/>
            </w:pPr>
            <w:r w:rsidRPr="002029AF">
              <w:t>180</w:t>
            </w:r>
          </w:p>
        </w:tc>
        <w:tc>
          <w:tcPr>
            <w:tcW w:w="1247" w:type="dxa"/>
            <w:hideMark/>
          </w:tcPr>
          <w:p w14:paraId="5F43DEAD" w14:textId="77777777" w:rsidR="00A34813" w:rsidRPr="002029AF" w:rsidRDefault="00A34813" w:rsidP="00F4358C">
            <w:pPr>
              <w:pStyle w:val="ARfintablebodyrightbold"/>
            </w:pPr>
            <w:r w:rsidRPr="002029AF">
              <w:t>222.2</w:t>
            </w:r>
          </w:p>
        </w:tc>
        <w:tc>
          <w:tcPr>
            <w:tcW w:w="680" w:type="dxa"/>
            <w:hideMark/>
          </w:tcPr>
          <w:p w14:paraId="49C285F0" w14:textId="77777777" w:rsidR="00A34813" w:rsidRPr="002029AF" w:rsidRDefault="00A34813" w:rsidP="00F4358C">
            <w:pPr>
              <w:pStyle w:val="ARfintablebodyright"/>
            </w:pPr>
          </w:p>
        </w:tc>
      </w:tr>
    </w:tbl>
    <w:p w14:paraId="38EAD65F" w14:textId="10F68D5E" w:rsidR="00665D4A" w:rsidRPr="002029AF" w:rsidRDefault="00665D4A" w:rsidP="00FF3CAB">
      <w:pPr>
        <w:pStyle w:val="ARtablefootnotenumbered"/>
        <w:numPr>
          <w:ilvl w:val="0"/>
          <w:numId w:val="40"/>
        </w:numPr>
      </w:pPr>
      <w:r w:rsidRPr="002029AF">
        <w:t>The</w:t>
      </w:r>
      <w:r w:rsidR="000A5329" w:rsidRPr="002029AF">
        <w:t xml:space="preserve"> </w:t>
      </w:r>
      <w:r w:rsidRPr="002029AF">
        <w:t>increase</w:t>
      </w:r>
      <w:r w:rsidR="000A5329" w:rsidRPr="002029AF">
        <w:t xml:space="preserve"> </w:t>
      </w:r>
      <w:r w:rsidRPr="002029AF">
        <w:t>in</w:t>
      </w:r>
      <w:r w:rsidR="000A5329" w:rsidRPr="002029AF">
        <w:t xml:space="preserve"> </w:t>
      </w:r>
      <w:r w:rsidRPr="002029AF">
        <w:t>output</w:t>
      </w:r>
      <w:r w:rsidR="000A5329" w:rsidRPr="002029AF">
        <w:t xml:space="preserve"> </w:t>
      </w:r>
      <w:r w:rsidRPr="002029AF">
        <w:t>appropriation</w:t>
      </w:r>
      <w:r w:rsidR="000A5329" w:rsidRPr="002029AF">
        <w:t xml:space="preserve"> </w:t>
      </w:r>
      <w:r w:rsidRPr="002029AF">
        <w:t>reflects</w:t>
      </w:r>
      <w:r w:rsidR="000A5329" w:rsidRPr="002029AF">
        <w:t xml:space="preserve"> </w:t>
      </w:r>
      <w:r w:rsidRPr="002029AF">
        <w:t>policy</w:t>
      </w:r>
      <w:r w:rsidR="000A5329" w:rsidRPr="002029AF">
        <w:t xml:space="preserve"> </w:t>
      </w:r>
      <w:r w:rsidRPr="002029AF">
        <w:t>initiatives</w:t>
      </w:r>
      <w:r w:rsidR="000A5329" w:rsidRPr="002029AF">
        <w:t xml:space="preserve"> </w:t>
      </w:r>
      <w:r w:rsidRPr="002029AF">
        <w:t>approved</w:t>
      </w:r>
      <w:r w:rsidR="000A5329" w:rsidRPr="002029AF">
        <w:t xml:space="preserve"> </w:t>
      </w:r>
      <w:r w:rsidRPr="002029AF">
        <w:t>after</w:t>
      </w:r>
      <w:r w:rsidR="000A5329" w:rsidRPr="002029AF">
        <w:t xml:space="preserve"> </w:t>
      </w:r>
      <w:r w:rsidRPr="002029AF">
        <w:t>the</w:t>
      </w:r>
      <w:r w:rsidR="000A5329" w:rsidRPr="002029AF">
        <w:t xml:space="preserve"> </w:t>
      </w:r>
      <w:r w:rsidRPr="002029AF">
        <w:t>published</w:t>
      </w:r>
      <w:r w:rsidR="000A5329" w:rsidRPr="002029AF">
        <w:t xml:space="preserve"> </w:t>
      </w:r>
      <w:r w:rsidRPr="002029AF">
        <w:t>budget,</w:t>
      </w:r>
      <w:r w:rsidR="000A5329" w:rsidRPr="002029AF">
        <w:t xml:space="preserve"> </w:t>
      </w:r>
      <w:r w:rsidRPr="002029AF">
        <w:t>including</w:t>
      </w:r>
      <w:r w:rsidR="000A5329" w:rsidRPr="002029AF">
        <w:t xml:space="preserve"> </w:t>
      </w:r>
      <w:r w:rsidRPr="002029AF">
        <w:t>funding</w:t>
      </w:r>
      <w:r w:rsidR="000A5329" w:rsidRPr="002029AF">
        <w:t xml:space="preserve"> </w:t>
      </w:r>
      <w:r w:rsidRPr="002029AF">
        <w:t>in</w:t>
      </w:r>
      <w:r w:rsidR="000A5329" w:rsidRPr="002029AF">
        <w:t xml:space="preserve"> </w:t>
      </w:r>
      <w:r w:rsidRPr="002029AF">
        <w:t>response</w:t>
      </w:r>
      <w:r w:rsidR="000A5329" w:rsidRPr="002029AF">
        <w:t xml:space="preserve"> </w:t>
      </w:r>
      <w:r w:rsidRPr="002029AF">
        <w:t>to</w:t>
      </w:r>
      <w:r w:rsidR="000A5329" w:rsidRPr="002029AF">
        <w:t xml:space="preserve"> </w:t>
      </w:r>
      <w:r w:rsidRPr="002029AF">
        <w:t>the</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pandemic.</w:t>
      </w:r>
    </w:p>
    <w:p w14:paraId="242ECAB0" w14:textId="118B3F5B" w:rsidR="00665D4A" w:rsidRPr="002029AF" w:rsidRDefault="00665D4A" w:rsidP="00DF71B8">
      <w:pPr>
        <w:pStyle w:val="ARtablefootnotenumbered"/>
      </w:pPr>
      <w:r w:rsidRPr="002029AF">
        <w:t>The</w:t>
      </w:r>
      <w:r w:rsidR="000A5329" w:rsidRPr="002029AF">
        <w:t xml:space="preserve"> </w:t>
      </w:r>
      <w:r w:rsidRPr="002029AF">
        <w:t>reduction</w:t>
      </w:r>
      <w:r w:rsidR="000A5329" w:rsidRPr="002029AF">
        <w:t xml:space="preserve"> </w:t>
      </w:r>
      <w:r w:rsidRPr="002029AF">
        <w:t>in</w:t>
      </w:r>
      <w:r w:rsidR="000A5329" w:rsidRPr="002029AF">
        <w:t xml:space="preserve"> </w:t>
      </w:r>
      <w:r w:rsidRPr="002029AF">
        <w:t>special</w:t>
      </w:r>
      <w:r w:rsidR="000A5329" w:rsidRPr="002029AF">
        <w:t xml:space="preserve"> </w:t>
      </w:r>
      <w:r w:rsidRPr="002029AF">
        <w:t>appropriations</w:t>
      </w:r>
      <w:r w:rsidR="000A5329" w:rsidRPr="002029AF">
        <w:t xml:space="preserve"> </w:t>
      </w:r>
      <w:r w:rsidRPr="002029AF">
        <w:t>mainly</w:t>
      </w:r>
      <w:r w:rsidR="000A5329" w:rsidRPr="002029AF">
        <w:t xml:space="preserve"> </w:t>
      </w:r>
      <w:r w:rsidRPr="002029AF">
        <w:t>relates</w:t>
      </w:r>
      <w:r w:rsidR="000A5329" w:rsidRPr="002029AF">
        <w:t xml:space="preserve"> </w:t>
      </w:r>
      <w:r w:rsidRPr="002029AF">
        <w:t>to</w:t>
      </w:r>
      <w:r w:rsidR="000A5329" w:rsidRPr="002029AF">
        <w:t xml:space="preserve"> </w:t>
      </w:r>
      <w:r w:rsidRPr="002029AF">
        <w:t>a</w:t>
      </w:r>
      <w:r w:rsidR="000A5329" w:rsidRPr="002029AF">
        <w:t xml:space="preserve"> </w:t>
      </w:r>
      <w:r w:rsidRPr="002029AF">
        <w:t>reduction</w:t>
      </w:r>
      <w:r w:rsidR="000A5329" w:rsidRPr="002029AF">
        <w:t xml:space="preserve"> </w:t>
      </w:r>
      <w:r w:rsidRPr="002029AF">
        <w:t>in</w:t>
      </w:r>
      <w:r w:rsidR="000A5329" w:rsidRPr="002029AF">
        <w:t xml:space="preserve"> </w:t>
      </w:r>
      <w:r w:rsidRPr="002029AF">
        <w:t>gaming</w:t>
      </w:r>
      <w:r w:rsidR="000A5329" w:rsidRPr="002029AF">
        <w:t xml:space="preserve"> </w:t>
      </w:r>
      <w:r w:rsidRPr="002029AF">
        <w:t>revenue</w:t>
      </w:r>
      <w:r w:rsidR="000A5329" w:rsidRPr="002029AF">
        <w:t xml:space="preserve"> </w:t>
      </w:r>
      <w:r w:rsidRPr="002029AF">
        <w:t>resulting</w:t>
      </w:r>
      <w:r w:rsidR="000A5329" w:rsidRPr="002029AF">
        <w:t xml:space="preserve"> </w:t>
      </w:r>
      <w:r w:rsidRPr="002029AF">
        <w:t>from</w:t>
      </w:r>
      <w:r w:rsidR="000A5329" w:rsidRPr="002029AF">
        <w:t xml:space="preserve"> </w:t>
      </w:r>
      <w:r w:rsidRPr="002029AF">
        <w:t>the</w:t>
      </w:r>
      <w:r w:rsidR="000A5329" w:rsidRPr="002029AF">
        <w:t xml:space="preserve"> </w:t>
      </w:r>
      <w:r w:rsidRPr="002029AF">
        <w:t>impact</w:t>
      </w:r>
      <w:r w:rsidR="000A5329" w:rsidRPr="002029AF">
        <w:t xml:space="preserve"> </w:t>
      </w:r>
      <w:r w:rsidRPr="002029AF">
        <w:t>of</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on</w:t>
      </w:r>
      <w:r w:rsidR="000A5329" w:rsidRPr="002029AF">
        <w:t xml:space="preserve"> </w:t>
      </w:r>
      <w:r w:rsidRPr="002029AF">
        <w:t>gaming</w:t>
      </w:r>
      <w:r w:rsidR="000A5329" w:rsidRPr="002029AF">
        <w:t xml:space="preserve"> </w:t>
      </w:r>
      <w:r w:rsidRPr="002029AF">
        <w:t>venues.</w:t>
      </w:r>
    </w:p>
    <w:p w14:paraId="3222830D" w14:textId="48A4F948" w:rsidR="00665D4A" w:rsidRPr="002029AF" w:rsidRDefault="00665D4A" w:rsidP="00DF71B8">
      <w:pPr>
        <w:pStyle w:val="ARtablefootnotenumbered"/>
      </w:pPr>
      <w:r w:rsidRPr="002029AF">
        <w:t>The</w:t>
      </w:r>
      <w:r w:rsidR="000A5329" w:rsidRPr="002029AF">
        <w:t xml:space="preserve"> </w:t>
      </w:r>
      <w:r w:rsidRPr="002029AF">
        <w:t>increase</w:t>
      </w:r>
      <w:r w:rsidR="000A5329" w:rsidRPr="002029AF">
        <w:t xml:space="preserve"> </w:t>
      </w:r>
      <w:r w:rsidRPr="002029AF">
        <w:t>in</w:t>
      </w:r>
      <w:r w:rsidR="000A5329" w:rsidRPr="002029AF">
        <w:t xml:space="preserve"> </w:t>
      </w:r>
      <w:r w:rsidRPr="002029AF">
        <w:t>grants</w:t>
      </w:r>
      <w:r w:rsidR="000A5329" w:rsidRPr="002029AF">
        <w:t xml:space="preserve"> </w:t>
      </w:r>
      <w:r w:rsidRPr="002029AF">
        <w:t>and</w:t>
      </w:r>
      <w:r w:rsidR="000A5329" w:rsidRPr="002029AF">
        <w:t xml:space="preserve"> </w:t>
      </w:r>
      <w:r w:rsidRPr="002029AF">
        <w:t>other</w:t>
      </w:r>
      <w:r w:rsidR="000A5329" w:rsidRPr="002029AF">
        <w:t xml:space="preserve"> </w:t>
      </w:r>
      <w:r w:rsidRPr="002029AF">
        <w:t>transfers</w:t>
      </w:r>
      <w:r w:rsidR="000A5329" w:rsidRPr="002029AF">
        <w:t xml:space="preserve"> </w:t>
      </w:r>
      <w:r w:rsidRPr="002029AF">
        <w:t>is</w:t>
      </w:r>
      <w:r w:rsidR="000A5329" w:rsidRPr="002029AF">
        <w:t xml:space="preserve"> </w:t>
      </w:r>
      <w:r w:rsidRPr="002029AF">
        <w:t>primarily</w:t>
      </w:r>
      <w:r w:rsidR="000A5329" w:rsidRPr="002029AF">
        <w:t xml:space="preserve"> </w:t>
      </w:r>
      <w:r w:rsidRPr="002029AF">
        <w:t>due</w:t>
      </w:r>
      <w:r w:rsidR="000A5329" w:rsidRPr="002029AF">
        <w:t xml:space="preserve"> </w:t>
      </w:r>
      <w:r w:rsidRPr="002029AF">
        <w:t>to</w:t>
      </w:r>
      <w:r w:rsidR="000A5329" w:rsidRPr="002029AF">
        <w:t xml:space="preserve"> </w:t>
      </w:r>
      <w:r w:rsidRPr="002029AF">
        <w:t>funding</w:t>
      </w:r>
      <w:r w:rsidR="000A5329" w:rsidRPr="002029AF">
        <w:t xml:space="preserve"> </w:t>
      </w:r>
      <w:r w:rsidRPr="002029AF">
        <w:t>from</w:t>
      </w:r>
      <w:r w:rsidR="000A5329" w:rsidRPr="002029AF">
        <w:t xml:space="preserve"> </w:t>
      </w:r>
      <w:r w:rsidRPr="002029AF">
        <w:t>the</w:t>
      </w:r>
      <w:r w:rsidR="000A5329" w:rsidRPr="002029AF">
        <w:t xml:space="preserve"> </w:t>
      </w:r>
      <w:r w:rsidRPr="002029AF">
        <w:t>Commonwealth</w:t>
      </w:r>
      <w:r w:rsidR="000A5329" w:rsidRPr="002029AF">
        <w:t xml:space="preserve"> </w:t>
      </w:r>
      <w:r w:rsidRPr="002029AF">
        <w:t>in</w:t>
      </w:r>
      <w:r w:rsidR="000A5329" w:rsidRPr="002029AF">
        <w:t xml:space="preserve"> </w:t>
      </w:r>
      <w:r w:rsidRPr="002029AF">
        <w:t>response</w:t>
      </w:r>
      <w:r w:rsidR="000A5329" w:rsidRPr="002029AF">
        <w:t xml:space="preserve"> </w:t>
      </w:r>
      <w:r w:rsidRPr="002029AF">
        <w:t>to</w:t>
      </w:r>
      <w:r w:rsidR="000A5329" w:rsidRPr="002029AF">
        <w:t xml:space="preserve"> </w:t>
      </w:r>
      <w:r w:rsidRPr="002029AF">
        <w:t>the</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pandemic.</w:t>
      </w:r>
    </w:p>
    <w:p w14:paraId="710A5DA4" w14:textId="364D90BE" w:rsidR="00665D4A" w:rsidRPr="002029AF" w:rsidRDefault="00665D4A" w:rsidP="00DF71B8">
      <w:pPr>
        <w:pStyle w:val="ARtablefootnotenumbered"/>
      </w:pPr>
      <w:r w:rsidRPr="002029AF">
        <w:t>The</w:t>
      </w:r>
      <w:r w:rsidR="000A5329" w:rsidRPr="002029AF">
        <w:t xml:space="preserve"> </w:t>
      </w:r>
      <w:r w:rsidRPr="002029AF">
        <w:t>variance</w:t>
      </w:r>
      <w:r w:rsidR="000A5329" w:rsidRPr="002029AF">
        <w:t xml:space="preserve"> </w:t>
      </w:r>
      <w:r w:rsidRPr="002029AF">
        <w:t>is</w:t>
      </w:r>
      <w:r w:rsidR="000A5329" w:rsidRPr="002029AF">
        <w:t xml:space="preserve"> </w:t>
      </w:r>
      <w:r w:rsidRPr="002029AF">
        <w:t>mainly</w:t>
      </w:r>
      <w:r w:rsidR="000A5329" w:rsidRPr="002029AF">
        <w:t xml:space="preserve"> </w:t>
      </w:r>
      <w:r w:rsidRPr="002029AF">
        <w:t>driven</w:t>
      </w:r>
      <w:r w:rsidR="000A5329" w:rsidRPr="002029AF">
        <w:t xml:space="preserve"> </w:t>
      </w:r>
      <w:r w:rsidRPr="002029AF">
        <w:t>by</w:t>
      </w:r>
      <w:r w:rsidR="000A5329" w:rsidRPr="002029AF">
        <w:t xml:space="preserve"> </w:t>
      </w:r>
      <w:r w:rsidRPr="002029AF">
        <w:t>grants</w:t>
      </w:r>
      <w:r w:rsidR="000A5329" w:rsidRPr="002029AF">
        <w:t xml:space="preserve"> </w:t>
      </w:r>
      <w:r w:rsidRPr="002029AF">
        <w:t>paid</w:t>
      </w:r>
      <w:r w:rsidR="000A5329" w:rsidRPr="002029AF">
        <w:t xml:space="preserve"> </w:t>
      </w:r>
      <w:r w:rsidRPr="002029AF">
        <w:t>to</w:t>
      </w:r>
      <w:r w:rsidR="000A5329" w:rsidRPr="002029AF">
        <w:t xml:space="preserve"> </w:t>
      </w:r>
      <w:r w:rsidRPr="002029AF">
        <w:t>non-government</w:t>
      </w:r>
      <w:r w:rsidR="000A5329" w:rsidRPr="002029AF">
        <w:t xml:space="preserve"> </w:t>
      </w:r>
      <w:r w:rsidRPr="002029AF">
        <w:t>organisations</w:t>
      </w:r>
      <w:r w:rsidR="000A5329" w:rsidRPr="002029AF">
        <w:t xml:space="preserve"> </w:t>
      </w:r>
      <w:r w:rsidRPr="002029AF">
        <w:t>following</w:t>
      </w:r>
      <w:r w:rsidR="000A5329" w:rsidRPr="002029AF">
        <w:t xml:space="preserve"> </w:t>
      </w:r>
      <w:r w:rsidRPr="002029AF">
        <w:t>the</w:t>
      </w:r>
      <w:r w:rsidR="000A5329" w:rsidRPr="002029AF">
        <w:t xml:space="preserve"> </w:t>
      </w:r>
      <w:r w:rsidRPr="002029AF">
        <w:t>transfer</w:t>
      </w:r>
      <w:r w:rsidR="000A5329" w:rsidRPr="002029AF">
        <w:t xml:space="preserve"> </w:t>
      </w:r>
      <w:r w:rsidRPr="002029AF">
        <w:t>of</w:t>
      </w:r>
      <w:r w:rsidR="000A5329" w:rsidRPr="002029AF">
        <w:t xml:space="preserve"> </w:t>
      </w:r>
      <w:r w:rsidRPr="002029AF">
        <w:t>disability</w:t>
      </w:r>
      <w:r w:rsidR="000A5329" w:rsidRPr="002029AF">
        <w:t xml:space="preserve"> </w:t>
      </w:r>
      <w:r w:rsidRPr="002029AF">
        <w:t>services.</w:t>
      </w:r>
      <w:r w:rsidR="000A5329" w:rsidRPr="002029AF">
        <w:t xml:space="preserve"> </w:t>
      </w:r>
      <w:r w:rsidRPr="002029AF">
        <w:t>These</w:t>
      </w:r>
      <w:r w:rsidR="000A5329" w:rsidRPr="002029AF">
        <w:t xml:space="preserve"> </w:t>
      </w:r>
      <w:r w:rsidRPr="002029AF">
        <w:t>payments</w:t>
      </w:r>
      <w:r w:rsidR="000A5329" w:rsidRPr="002029AF">
        <w:t xml:space="preserve"> </w:t>
      </w:r>
      <w:r w:rsidRPr="002029AF">
        <w:t>were</w:t>
      </w:r>
      <w:r w:rsidR="000A5329" w:rsidRPr="002029AF">
        <w:t xml:space="preserve"> </w:t>
      </w:r>
      <w:r w:rsidRPr="002029AF">
        <w:t>still</w:t>
      </w:r>
      <w:r w:rsidR="000A5329" w:rsidRPr="002029AF">
        <w:t xml:space="preserve"> </w:t>
      </w:r>
      <w:r w:rsidRPr="002029AF">
        <w:t>treated</w:t>
      </w:r>
      <w:r w:rsidR="000A5329" w:rsidRPr="002029AF">
        <w:t xml:space="preserve"> </w:t>
      </w:r>
      <w:r w:rsidRPr="002029AF">
        <w:t>as</w:t>
      </w:r>
      <w:r w:rsidR="000A5329" w:rsidRPr="002029AF">
        <w:t xml:space="preserve"> </w:t>
      </w:r>
      <w:r w:rsidRPr="002029AF">
        <w:t>other</w:t>
      </w:r>
      <w:r w:rsidR="000A5329" w:rsidRPr="002029AF">
        <w:t xml:space="preserve"> </w:t>
      </w:r>
      <w:r w:rsidRPr="002029AF">
        <w:t>operating</w:t>
      </w:r>
      <w:r w:rsidR="000A5329" w:rsidRPr="002029AF">
        <w:t xml:space="preserve"> </w:t>
      </w:r>
      <w:r w:rsidRPr="002029AF">
        <w:t>expenses</w:t>
      </w:r>
      <w:r w:rsidR="000A5329" w:rsidRPr="002029AF">
        <w:t xml:space="preserve"> </w:t>
      </w:r>
      <w:r w:rsidRPr="002029AF">
        <w:t>at</w:t>
      </w:r>
      <w:r w:rsidR="000A5329" w:rsidRPr="002029AF">
        <w:t xml:space="preserve"> </w:t>
      </w:r>
      <w:r w:rsidRPr="002029AF">
        <w:t>published</w:t>
      </w:r>
      <w:r w:rsidR="000A5329" w:rsidRPr="002029AF">
        <w:t xml:space="preserve"> </w:t>
      </w:r>
      <w:r w:rsidRPr="002029AF">
        <w:t>budget.</w:t>
      </w:r>
    </w:p>
    <w:p w14:paraId="538EE85E" w14:textId="77777777" w:rsidR="00DF71B8" w:rsidRPr="002029AF" w:rsidRDefault="00DF71B8" w:rsidP="00DF71B8">
      <w:pPr>
        <w:pStyle w:val="ARbody"/>
      </w:pPr>
      <w:r w:rsidRPr="002029AF">
        <w:br w:type="page"/>
      </w:r>
    </w:p>
    <w:p w14:paraId="35B74734" w14:textId="29987DCE" w:rsidR="00665D4A" w:rsidRPr="002029AF" w:rsidRDefault="00665D4A" w:rsidP="00DF71B8">
      <w:pPr>
        <w:pStyle w:val="Heading3"/>
      </w:pPr>
      <w:r w:rsidRPr="002029AF">
        <w:lastRenderedPageBreak/>
        <w:t>Balance</w:t>
      </w:r>
      <w:r w:rsidR="000A5329" w:rsidRPr="002029AF">
        <w:t xml:space="preserve"> </w:t>
      </w:r>
      <w:r w:rsidRPr="002029AF">
        <w:t>sheet</w:t>
      </w:r>
      <w:r w:rsidR="000A5329" w:rsidRPr="002029AF">
        <w:t xml:space="preserve"> </w:t>
      </w:r>
      <w:r w:rsidRPr="002029AF">
        <w:t>as</w:t>
      </w:r>
      <w:r w:rsidR="000A5329" w:rsidRPr="002029AF">
        <w:t xml:space="preserve"> </w:t>
      </w:r>
      <w:r w:rsidRPr="002029AF">
        <w:t>at</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p>
    <w:tbl>
      <w:tblPr>
        <w:tblStyle w:val="TableGrid"/>
        <w:tblW w:w="9639" w:type="dxa"/>
        <w:tblLook w:val="04A0" w:firstRow="1" w:lastRow="0" w:firstColumn="1" w:lastColumn="0" w:noHBand="0" w:noVBand="1"/>
      </w:tblPr>
      <w:tblGrid>
        <w:gridCol w:w="5218"/>
        <w:gridCol w:w="1247"/>
        <w:gridCol w:w="1247"/>
        <w:gridCol w:w="1247"/>
        <w:gridCol w:w="680"/>
      </w:tblGrid>
      <w:tr w:rsidR="00667E77" w:rsidRPr="002029AF" w14:paraId="494052A8"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5218" w:type="dxa"/>
            <w:tcBorders>
              <w:bottom w:val="single" w:sz="4" w:space="0" w:color="auto"/>
            </w:tcBorders>
            <w:hideMark/>
          </w:tcPr>
          <w:p w14:paraId="185DC36B" w14:textId="77777777" w:rsidR="00667E77" w:rsidRPr="002029AF" w:rsidRDefault="00667E77" w:rsidP="005A1160">
            <w:pPr>
              <w:pStyle w:val="ARfintablecolhead"/>
            </w:pPr>
          </w:p>
        </w:tc>
        <w:tc>
          <w:tcPr>
            <w:tcW w:w="1247" w:type="dxa"/>
            <w:tcBorders>
              <w:bottom w:val="single" w:sz="4" w:space="0" w:color="auto"/>
            </w:tcBorders>
            <w:hideMark/>
          </w:tcPr>
          <w:p w14:paraId="601E9345" w14:textId="77777777" w:rsidR="00667E77" w:rsidRPr="002029AF" w:rsidRDefault="00667E77" w:rsidP="00667E77">
            <w:pPr>
              <w:pStyle w:val="ARfintablecolheadright"/>
            </w:pPr>
            <w:r w:rsidRPr="002029AF">
              <w:t>2019–20</w:t>
            </w:r>
          </w:p>
          <w:p w14:paraId="1004AF23" w14:textId="77777777" w:rsidR="00667E77" w:rsidRPr="002029AF" w:rsidRDefault="00667E77" w:rsidP="00667E77">
            <w:pPr>
              <w:pStyle w:val="ARfintablecolheadright"/>
            </w:pPr>
            <w:r w:rsidRPr="002029AF">
              <w:t>Actual</w:t>
            </w:r>
          </w:p>
          <w:p w14:paraId="1EBF88DD" w14:textId="77777777" w:rsidR="00667E77" w:rsidRPr="002029AF" w:rsidRDefault="00667E77" w:rsidP="00667E77">
            <w:pPr>
              <w:pStyle w:val="ARfintablecolheadright"/>
            </w:pPr>
            <w:r w:rsidRPr="002029AF">
              <w:t>$M</w:t>
            </w:r>
          </w:p>
        </w:tc>
        <w:tc>
          <w:tcPr>
            <w:tcW w:w="1247" w:type="dxa"/>
            <w:tcBorders>
              <w:bottom w:val="single" w:sz="4" w:space="0" w:color="auto"/>
            </w:tcBorders>
            <w:hideMark/>
          </w:tcPr>
          <w:p w14:paraId="34F25423" w14:textId="77777777" w:rsidR="00667E77" w:rsidRPr="002029AF" w:rsidRDefault="00667E77" w:rsidP="00667E77">
            <w:pPr>
              <w:pStyle w:val="ARfintablecolheadright"/>
            </w:pPr>
            <w:r w:rsidRPr="002029AF">
              <w:t>2019–20</w:t>
            </w:r>
          </w:p>
          <w:p w14:paraId="4F9291FD" w14:textId="77309D75" w:rsidR="00667E77" w:rsidRPr="002029AF" w:rsidRDefault="00667E77" w:rsidP="00667E77">
            <w:pPr>
              <w:pStyle w:val="ARfintablecolheadright"/>
            </w:pPr>
            <w:r w:rsidRPr="002029AF">
              <w:t>Published</w:t>
            </w:r>
            <w:r w:rsidR="000A5329" w:rsidRPr="002029AF">
              <w:t xml:space="preserve"> </w:t>
            </w:r>
            <w:r w:rsidRPr="002029AF">
              <w:t>budget</w:t>
            </w:r>
          </w:p>
          <w:p w14:paraId="44F7777E" w14:textId="77777777" w:rsidR="00667E77" w:rsidRPr="002029AF" w:rsidRDefault="00667E77" w:rsidP="00667E77">
            <w:pPr>
              <w:pStyle w:val="ARfintablecolheadright"/>
            </w:pPr>
            <w:r w:rsidRPr="002029AF">
              <w:t>$M</w:t>
            </w:r>
          </w:p>
        </w:tc>
        <w:tc>
          <w:tcPr>
            <w:tcW w:w="1247" w:type="dxa"/>
            <w:tcBorders>
              <w:bottom w:val="single" w:sz="4" w:space="0" w:color="auto"/>
            </w:tcBorders>
            <w:noWrap/>
            <w:hideMark/>
          </w:tcPr>
          <w:p w14:paraId="64AFFBC8" w14:textId="0CB8E07E" w:rsidR="00667E77" w:rsidRPr="002029AF" w:rsidRDefault="00667E77" w:rsidP="00667E77">
            <w:pPr>
              <w:pStyle w:val="ARfintablecolheadright"/>
            </w:pPr>
            <w:r w:rsidRPr="002029AF">
              <w:t>Variation</w:t>
            </w:r>
            <w:r w:rsidR="000A5329" w:rsidRPr="002029AF">
              <w:t xml:space="preserve"> </w:t>
            </w:r>
            <w:r w:rsidRPr="002029AF">
              <w:t>to</w:t>
            </w:r>
            <w:r w:rsidR="000A5329" w:rsidRPr="002029AF">
              <w:t xml:space="preserve"> </w:t>
            </w:r>
            <w:r w:rsidRPr="002029AF">
              <w:t>published</w:t>
            </w:r>
            <w:r w:rsidR="000A5329" w:rsidRPr="002029AF">
              <w:t xml:space="preserve"> </w:t>
            </w:r>
            <w:r w:rsidRPr="002029AF">
              <w:t>budget</w:t>
            </w:r>
          </w:p>
          <w:p w14:paraId="4E5B0DC8" w14:textId="77777777" w:rsidR="00667E77" w:rsidRPr="002029AF" w:rsidRDefault="00667E77" w:rsidP="00667E77">
            <w:pPr>
              <w:pStyle w:val="ARfintablecolheadright"/>
            </w:pPr>
            <w:r w:rsidRPr="002029AF">
              <w:t>%</w:t>
            </w:r>
          </w:p>
        </w:tc>
        <w:tc>
          <w:tcPr>
            <w:tcW w:w="680" w:type="dxa"/>
            <w:tcBorders>
              <w:bottom w:val="single" w:sz="4" w:space="0" w:color="auto"/>
            </w:tcBorders>
            <w:noWrap/>
            <w:hideMark/>
          </w:tcPr>
          <w:p w14:paraId="162CA19A" w14:textId="77777777" w:rsidR="00667E77" w:rsidRPr="002029AF" w:rsidRDefault="00667E77" w:rsidP="00667E77">
            <w:pPr>
              <w:pStyle w:val="ARfintablecolheadright"/>
              <w:rPr>
                <w:rFonts w:ascii="Times New Roman" w:hAnsi="Times New Roman" w:cs="Times New Roman"/>
                <w:sz w:val="20"/>
                <w:szCs w:val="20"/>
              </w:rPr>
            </w:pPr>
            <w:r w:rsidRPr="002029AF">
              <w:t>Notes</w:t>
            </w:r>
          </w:p>
        </w:tc>
      </w:tr>
      <w:tr w:rsidR="00667E77" w:rsidRPr="002029AF" w14:paraId="00341425" w14:textId="77777777" w:rsidTr="005A117C">
        <w:tc>
          <w:tcPr>
            <w:tcW w:w="9639" w:type="dxa"/>
            <w:gridSpan w:val="5"/>
            <w:tcBorders>
              <w:top w:val="single" w:sz="4" w:space="0" w:color="auto"/>
              <w:bottom w:val="single" w:sz="4" w:space="0" w:color="A6A6A6"/>
            </w:tcBorders>
            <w:hideMark/>
          </w:tcPr>
          <w:p w14:paraId="09684537" w14:textId="4E0A1BDA" w:rsidR="00667E77" w:rsidRPr="002029AF" w:rsidRDefault="00667E77" w:rsidP="00667E77">
            <w:pPr>
              <w:pStyle w:val="ARfintablebodybold"/>
              <w:rPr>
                <w:lang w:eastAsia="en-GB"/>
              </w:rPr>
            </w:pPr>
            <w:r w:rsidRPr="002029AF">
              <w:rPr>
                <w:lang w:eastAsia="en-GB"/>
              </w:rPr>
              <w:t>Assets</w:t>
            </w:r>
          </w:p>
        </w:tc>
      </w:tr>
      <w:tr w:rsidR="00667E77" w:rsidRPr="002029AF" w14:paraId="660CA10D" w14:textId="77777777" w:rsidTr="005A117C">
        <w:tc>
          <w:tcPr>
            <w:tcW w:w="9639" w:type="dxa"/>
            <w:gridSpan w:val="5"/>
            <w:tcBorders>
              <w:top w:val="single" w:sz="4" w:space="0" w:color="A6A6A6"/>
              <w:bottom w:val="single" w:sz="4" w:space="0" w:color="A6A6A6"/>
            </w:tcBorders>
            <w:hideMark/>
          </w:tcPr>
          <w:p w14:paraId="12EB4040" w14:textId="40CAE332" w:rsidR="00667E77" w:rsidRPr="002029AF" w:rsidRDefault="00667E77" w:rsidP="00667E77">
            <w:pPr>
              <w:pStyle w:val="ARfintablebodybold"/>
              <w:rPr>
                <w:lang w:eastAsia="en-GB"/>
              </w:rPr>
            </w:pPr>
            <w:r w:rsidRPr="002029AF">
              <w:rPr>
                <w:lang w:eastAsia="en-GB"/>
              </w:rPr>
              <w:t>Financial</w:t>
            </w:r>
            <w:r w:rsidR="000A5329" w:rsidRPr="002029AF">
              <w:rPr>
                <w:lang w:eastAsia="en-GB"/>
              </w:rPr>
              <w:t xml:space="preserve"> </w:t>
            </w:r>
            <w:r w:rsidRPr="002029AF">
              <w:rPr>
                <w:lang w:eastAsia="en-GB"/>
              </w:rPr>
              <w:t>assets</w:t>
            </w:r>
          </w:p>
        </w:tc>
      </w:tr>
      <w:tr w:rsidR="00667E77" w:rsidRPr="002029AF" w14:paraId="648D6270" w14:textId="77777777" w:rsidTr="005A117C">
        <w:tc>
          <w:tcPr>
            <w:tcW w:w="5218" w:type="dxa"/>
            <w:tcBorders>
              <w:top w:val="single" w:sz="4" w:space="0" w:color="A6A6A6"/>
              <w:bottom w:val="single" w:sz="4" w:space="0" w:color="A6A6A6"/>
            </w:tcBorders>
            <w:hideMark/>
          </w:tcPr>
          <w:p w14:paraId="0D8B6CB5" w14:textId="65879876" w:rsidR="00667E77" w:rsidRPr="002029AF" w:rsidRDefault="00667E77" w:rsidP="00667E77">
            <w:pPr>
              <w:pStyle w:val="ARfintablebody"/>
              <w:rPr>
                <w:lang w:eastAsia="en-GB"/>
              </w:rPr>
            </w:pPr>
            <w:r w:rsidRPr="002029AF">
              <w:rPr>
                <w:lang w:eastAsia="en-GB"/>
              </w:rPr>
              <w:t>Cash</w:t>
            </w:r>
            <w:r w:rsidR="000A5329" w:rsidRPr="002029AF">
              <w:rPr>
                <w:lang w:eastAsia="en-GB"/>
              </w:rPr>
              <w:t xml:space="preserve"> </w:t>
            </w:r>
            <w:r w:rsidRPr="002029AF">
              <w:rPr>
                <w:lang w:eastAsia="en-GB"/>
              </w:rPr>
              <w:t>and</w:t>
            </w:r>
            <w:r w:rsidR="000A5329" w:rsidRPr="002029AF">
              <w:rPr>
                <w:lang w:eastAsia="en-GB"/>
              </w:rPr>
              <w:t xml:space="preserve"> </w:t>
            </w:r>
            <w:r w:rsidRPr="002029AF">
              <w:rPr>
                <w:lang w:eastAsia="en-GB"/>
              </w:rPr>
              <w:t>deposits</w:t>
            </w:r>
          </w:p>
        </w:tc>
        <w:tc>
          <w:tcPr>
            <w:tcW w:w="1247" w:type="dxa"/>
            <w:tcBorders>
              <w:top w:val="single" w:sz="4" w:space="0" w:color="A6A6A6"/>
              <w:bottom w:val="single" w:sz="4" w:space="0" w:color="A6A6A6"/>
            </w:tcBorders>
            <w:hideMark/>
          </w:tcPr>
          <w:p w14:paraId="38D60E55" w14:textId="77777777" w:rsidR="00667E77" w:rsidRPr="002029AF" w:rsidRDefault="00667E77" w:rsidP="00667E77">
            <w:pPr>
              <w:pStyle w:val="ARfintablebodyright"/>
              <w:rPr>
                <w:lang w:eastAsia="en-GB"/>
              </w:rPr>
            </w:pPr>
            <w:r w:rsidRPr="002029AF">
              <w:rPr>
                <w:lang w:eastAsia="en-GB"/>
              </w:rPr>
              <w:t>2,412</w:t>
            </w:r>
          </w:p>
        </w:tc>
        <w:tc>
          <w:tcPr>
            <w:tcW w:w="1247" w:type="dxa"/>
            <w:tcBorders>
              <w:top w:val="single" w:sz="4" w:space="0" w:color="A6A6A6"/>
              <w:bottom w:val="single" w:sz="4" w:space="0" w:color="A6A6A6"/>
            </w:tcBorders>
            <w:hideMark/>
          </w:tcPr>
          <w:p w14:paraId="06F09DA9" w14:textId="77777777" w:rsidR="00667E77" w:rsidRPr="002029AF" w:rsidRDefault="00667E77" w:rsidP="00667E77">
            <w:pPr>
              <w:pStyle w:val="ARfintablebodyright"/>
              <w:rPr>
                <w:lang w:eastAsia="en-GB"/>
              </w:rPr>
            </w:pPr>
            <w:r w:rsidRPr="002029AF">
              <w:rPr>
                <w:lang w:eastAsia="en-GB"/>
              </w:rPr>
              <w:t>2,176</w:t>
            </w:r>
          </w:p>
        </w:tc>
        <w:tc>
          <w:tcPr>
            <w:tcW w:w="1247" w:type="dxa"/>
            <w:tcBorders>
              <w:top w:val="single" w:sz="4" w:space="0" w:color="A6A6A6"/>
              <w:bottom w:val="single" w:sz="4" w:space="0" w:color="A6A6A6"/>
            </w:tcBorders>
            <w:hideMark/>
          </w:tcPr>
          <w:p w14:paraId="57DD1A82" w14:textId="77777777" w:rsidR="00667E77" w:rsidRPr="002029AF" w:rsidRDefault="00667E77" w:rsidP="00667E77">
            <w:pPr>
              <w:pStyle w:val="ARfintablebodyright"/>
              <w:rPr>
                <w:lang w:eastAsia="en-GB"/>
              </w:rPr>
            </w:pPr>
            <w:r w:rsidRPr="002029AF">
              <w:rPr>
                <w:lang w:eastAsia="en-GB"/>
              </w:rPr>
              <w:t>10.9</w:t>
            </w:r>
          </w:p>
        </w:tc>
        <w:tc>
          <w:tcPr>
            <w:tcW w:w="680" w:type="dxa"/>
            <w:tcBorders>
              <w:top w:val="single" w:sz="4" w:space="0" w:color="A6A6A6"/>
              <w:bottom w:val="single" w:sz="4" w:space="0" w:color="A6A6A6"/>
            </w:tcBorders>
            <w:hideMark/>
          </w:tcPr>
          <w:p w14:paraId="584EDD51" w14:textId="77777777" w:rsidR="00667E77" w:rsidRPr="002029AF" w:rsidRDefault="00667E77" w:rsidP="00667E77">
            <w:pPr>
              <w:pStyle w:val="ARfintablebodyright"/>
              <w:rPr>
                <w:lang w:eastAsia="en-GB"/>
              </w:rPr>
            </w:pPr>
          </w:p>
        </w:tc>
      </w:tr>
      <w:tr w:rsidR="00667E77" w:rsidRPr="002029AF" w14:paraId="3E845EF6" w14:textId="77777777" w:rsidTr="005A117C">
        <w:tc>
          <w:tcPr>
            <w:tcW w:w="5218" w:type="dxa"/>
            <w:tcBorders>
              <w:top w:val="single" w:sz="4" w:space="0" w:color="A6A6A6"/>
              <w:bottom w:val="single" w:sz="4" w:space="0" w:color="A6A6A6"/>
            </w:tcBorders>
            <w:hideMark/>
          </w:tcPr>
          <w:p w14:paraId="1F063FC0" w14:textId="77777777" w:rsidR="00667E77" w:rsidRPr="002029AF" w:rsidRDefault="00667E77" w:rsidP="00667E77">
            <w:pPr>
              <w:pStyle w:val="ARfintablebody"/>
              <w:rPr>
                <w:lang w:eastAsia="en-GB"/>
              </w:rPr>
            </w:pPr>
            <w:r w:rsidRPr="002029AF">
              <w:rPr>
                <w:lang w:eastAsia="en-GB"/>
              </w:rPr>
              <w:t>Receivables</w:t>
            </w:r>
          </w:p>
        </w:tc>
        <w:tc>
          <w:tcPr>
            <w:tcW w:w="1247" w:type="dxa"/>
            <w:tcBorders>
              <w:top w:val="single" w:sz="4" w:space="0" w:color="A6A6A6"/>
              <w:bottom w:val="single" w:sz="4" w:space="0" w:color="A6A6A6"/>
            </w:tcBorders>
            <w:hideMark/>
          </w:tcPr>
          <w:p w14:paraId="4DC87327" w14:textId="77777777" w:rsidR="00667E77" w:rsidRPr="002029AF" w:rsidRDefault="00667E77" w:rsidP="00667E77">
            <w:pPr>
              <w:pStyle w:val="ARfintablebodyright"/>
              <w:rPr>
                <w:lang w:eastAsia="en-GB"/>
              </w:rPr>
            </w:pPr>
            <w:r w:rsidRPr="002029AF">
              <w:rPr>
                <w:lang w:eastAsia="en-GB"/>
              </w:rPr>
              <w:t>4,375</w:t>
            </w:r>
          </w:p>
        </w:tc>
        <w:tc>
          <w:tcPr>
            <w:tcW w:w="1247" w:type="dxa"/>
            <w:tcBorders>
              <w:top w:val="single" w:sz="4" w:space="0" w:color="A6A6A6"/>
              <w:bottom w:val="single" w:sz="4" w:space="0" w:color="A6A6A6"/>
            </w:tcBorders>
            <w:hideMark/>
          </w:tcPr>
          <w:p w14:paraId="1DF6872C" w14:textId="77777777" w:rsidR="00667E77" w:rsidRPr="002029AF" w:rsidRDefault="00667E77" w:rsidP="00667E77">
            <w:pPr>
              <w:pStyle w:val="ARfintablebodyright"/>
              <w:rPr>
                <w:lang w:eastAsia="en-GB"/>
              </w:rPr>
            </w:pPr>
            <w:r w:rsidRPr="002029AF">
              <w:rPr>
                <w:lang w:eastAsia="en-GB"/>
              </w:rPr>
              <w:t>3,897</w:t>
            </w:r>
          </w:p>
        </w:tc>
        <w:tc>
          <w:tcPr>
            <w:tcW w:w="1247" w:type="dxa"/>
            <w:tcBorders>
              <w:top w:val="single" w:sz="4" w:space="0" w:color="A6A6A6"/>
              <w:bottom w:val="single" w:sz="4" w:space="0" w:color="A6A6A6"/>
            </w:tcBorders>
            <w:hideMark/>
          </w:tcPr>
          <w:p w14:paraId="15AC5AF5" w14:textId="77777777" w:rsidR="00667E77" w:rsidRPr="002029AF" w:rsidRDefault="00667E77" w:rsidP="00667E77">
            <w:pPr>
              <w:pStyle w:val="ARfintablebodyright"/>
              <w:rPr>
                <w:lang w:eastAsia="en-GB"/>
              </w:rPr>
            </w:pPr>
            <w:r w:rsidRPr="002029AF">
              <w:rPr>
                <w:lang w:eastAsia="en-GB"/>
              </w:rPr>
              <w:t>12.3</w:t>
            </w:r>
          </w:p>
        </w:tc>
        <w:tc>
          <w:tcPr>
            <w:tcW w:w="680" w:type="dxa"/>
            <w:tcBorders>
              <w:top w:val="single" w:sz="4" w:space="0" w:color="A6A6A6"/>
              <w:bottom w:val="single" w:sz="4" w:space="0" w:color="A6A6A6"/>
            </w:tcBorders>
            <w:hideMark/>
          </w:tcPr>
          <w:p w14:paraId="102A36C8" w14:textId="77777777" w:rsidR="00667E77" w:rsidRPr="002029AF" w:rsidRDefault="00667E77" w:rsidP="00667E77">
            <w:pPr>
              <w:pStyle w:val="ARfintablebodyright"/>
              <w:rPr>
                <w:lang w:eastAsia="en-GB"/>
              </w:rPr>
            </w:pPr>
          </w:p>
        </w:tc>
      </w:tr>
      <w:tr w:rsidR="00667E77" w:rsidRPr="002029AF" w14:paraId="0A78E0B6" w14:textId="77777777" w:rsidTr="005A117C">
        <w:tc>
          <w:tcPr>
            <w:tcW w:w="5218" w:type="dxa"/>
            <w:tcBorders>
              <w:top w:val="single" w:sz="4" w:space="0" w:color="A6A6A6"/>
              <w:bottom w:val="single" w:sz="4" w:space="0" w:color="A6A6A6"/>
            </w:tcBorders>
            <w:hideMark/>
          </w:tcPr>
          <w:p w14:paraId="773BE811" w14:textId="4AA27504" w:rsidR="00667E77" w:rsidRPr="002029AF" w:rsidRDefault="00667E77" w:rsidP="00667E77">
            <w:pPr>
              <w:pStyle w:val="ARfintablebody"/>
              <w:rPr>
                <w:lang w:eastAsia="en-GB"/>
              </w:rPr>
            </w:pPr>
            <w:r w:rsidRPr="002029AF">
              <w:rPr>
                <w:lang w:eastAsia="en-GB"/>
              </w:rPr>
              <w:t>Other</w:t>
            </w:r>
            <w:r w:rsidR="000A5329" w:rsidRPr="002029AF">
              <w:rPr>
                <w:lang w:eastAsia="en-GB"/>
              </w:rPr>
              <w:t xml:space="preserve"> </w:t>
            </w:r>
            <w:r w:rsidRPr="002029AF">
              <w:rPr>
                <w:lang w:eastAsia="en-GB"/>
              </w:rPr>
              <w:t>financial</w:t>
            </w:r>
            <w:r w:rsidR="000A5329" w:rsidRPr="002029AF">
              <w:rPr>
                <w:lang w:eastAsia="en-GB"/>
              </w:rPr>
              <w:t xml:space="preserve"> </w:t>
            </w:r>
            <w:r w:rsidRPr="002029AF">
              <w:rPr>
                <w:lang w:eastAsia="en-GB"/>
              </w:rPr>
              <w:t>assets</w:t>
            </w:r>
          </w:p>
        </w:tc>
        <w:tc>
          <w:tcPr>
            <w:tcW w:w="1247" w:type="dxa"/>
            <w:tcBorders>
              <w:top w:val="single" w:sz="4" w:space="0" w:color="A6A6A6"/>
              <w:bottom w:val="single" w:sz="4" w:space="0" w:color="A6A6A6"/>
            </w:tcBorders>
            <w:hideMark/>
          </w:tcPr>
          <w:p w14:paraId="5042D92C" w14:textId="77777777" w:rsidR="00667E77" w:rsidRPr="002029AF" w:rsidRDefault="00667E77" w:rsidP="00667E77">
            <w:pPr>
              <w:pStyle w:val="ARfintablebodyright"/>
              <w:rPr>
                <w:lang w:eastAsia="en-GB"/>
              </w:rPr>
            </w:pPr>
            <w:r w:rsidRPr="002029AF">
              <w:rPr>
                <w:lang w:eastAsia="en-GB"/>
              </w:rPr>
              <w:t>440</w:t>
            </w:r>
          </w:p>
        </w:tc>
        <w:tc>
          <w:tcPr>
            <w:tcW w:w="1247" w:type="dxa"/>
            <w:tcBorders>
              <w:top w:val="single" w:sz="4" w:space="0" w:color="A6A6A6"/>
              <w:bottom w:val="single" w:sz="4" w:space="0" w:color="A6A6A6"/>
            </w:tcBorders>
            <w:hideMark/>
          </w:tcPr>
          <w:p w14:paraId="2F9256B6" w14:textId="77777777" w:rsidR="00667E77" w:rsidRPr="002029AF" w:rsidRDefault="00667E77" w:rsidP="00667E77">
            <w:pPr>
              <w:pStyle w:val="ARfintablebodyright"/>
              <w:rPr>
                <w:lang w:eastAsia="en-GB"/>
              </w:rPr>
            </w:pPr>
            <w:r w:rsidRPr="002029AF">
              <w:rPr>
                <w:lang w:eastAsia="en-GB"/>
              </w:rPr>
              <w:t>490</w:t>
            </w:r>
          </w:p>
        </w:tc>
        <w:tc>
          <w:tcPr>
            <w:tcW w:w="1247" w:type="dxa"/>
            <w:tcBorders>
              <w:top w:val="single" w:sz="4" w:space="0" w:color="A6A6A6"/>
              <w:bottom w:val="single" w:sz="4" w:space="0" w:color="A6A6A6"/>
            </w:tcBorders>
            <w:hideMark/>
          </w:tcPr>
          <w:p w14:paraId="1C1542E9" w14:textId="77777777" w:rsidR="00667E77" w:rsidRPr="002029AF" w:rsidRDefault="00667E77" w:rsidP="00667E77">
            <w:pPr>
              <w:pStyle w:val="ARfintablebodyright"/>
              <w:rPr>
                <w:lang w:eastAsia="en-GB"/>
              </w:rPr>
            </w:pPr>
            <w:r w:rsidRPr="002029AF">
              <w:rPr>
                <w:lang w:eastAsia="en-GB"/>
              </w:rPr>
              <w:t>(10.2)</w:t>
            </w:r>
          </w:p>
        </w:tc>
        <w:tc>
          <w:tcPr>
            <w:tcW w:w="680" w:type="dxa"/>
            <w:tcBorders>
              <w:top w:val="single" w:sz="4" w:space="0" w:color="A6A6A6"/>
              <w:bottom w:val="single" w:sz="4" w:space="0" w:color="A6A6A6"/>
            </w:tcBorders>
            <w:hideMark/>
          </w:tcPr>
          <w:p w14:paraId="76B4A05C" w14:textId="77777777" w:rsidR="00667E77" w:rsidRPr="002029AF" w:rsidRDefault="00667E77" w:rsidP="00667E77">
            <w:pPr>
              <w:pStyle w:val="ARfintablebodyright"/>
              <w:rPr>
                <w:lang w:eastAsia="en-GB"/>
              </w:rPr>
            </w:pPr>
          </w:p>
        </w:tc>
      </w:tr>
      <w:tr w:rsidR="00667E77" w:rsidRPr="002029AF" w14:paraId="0734F062" w14:textId="77777777" w:rsidTr="005A117C">
        <w:tc>
          <w:tcPr>
            <w:tcW w:w="5218" w:type="dxa"/>
            <w:tcBorders>
              <w:top w:val="single" w:sz="4" w:space="0" w:color="A6A6A6"/>
            </w:tcBorders>
            <w:hideMark/>
          </w:tcPr>
          <w:p w14:paraId="5A51602F" w14:textId="2BD4A927" w:rsidR="00667E77" w:rsidRPr="002029AF" w:rsidRDefault="00667E77" w:rsidP="00667E77">
            <w:pPr>
              <w:pStyle w:val="ARfintablebody"/>
              <w:rPr>
                <w:lang w:eastAsia="en-GB"/>
              </w:rPr>
            </w:pPr>
            <w:r w:rsidRPr="002029AF">
              <w:rPr>
                <w:lang w:eastAsia="en-GB"/>
              </w:rPr>
              <w:t>Investments</w:t>
            </w:r>
            <w:r w:rsidR="000A5329" w:rsidRPr="002029AF">
              <w:rPr>
                <w:lang w:eastAsia="en-GB"/>
              </w:rPr>
              <w:t xml:space="preserve"> </w:t>
            </w:r>
            <w:r w:rsidRPr="002029AF">
              <w:rPr>
                <w:lang w:eastAsia="en-GB"/>
              </w:rPr>
              <w:t>accounted</w:t>
            </w:r>
            <w:r w:rsidR="000A5329" w:rsidRPr="002029AF">
              <w:rPr>
                <w:lang w:eastAsia="en-GB"/>
              </w:rPr>
              <w:t xml:space="preserve"> </w:t>
            </w:r>
            <w:r w:rsidRPr="002029AF">
              <w:rPr>
                <w:lang w:eastAsia="en-GB"/>
              </w:rPr>
              <w:t>for</w:t>
            </w:r>
            <w:r w:rsidR="000A5329" w:rsidRPr="002029AF">
              <w:rPr>
                <w:lang w:eastAsia="en-GB"/>
              </w:rPr>
              <w:t xml:space="preserve"> </w:t>
            </w:r>
            <w:r w:rsidRPr="002029AF">
              <w:rPr>
                <w:lang w:eastAsia="en-GB"/>
              </w:rPr>
              <w:t>using</w:t>
            </w:r>
            <w:r w:rsidR="000A5329" w:rsidRPr="002029AF">
              <w:rPr>
                <w:lang w:eastAsia="en-GB"/>
              </w:rPr>
              <w:t xml:space="preserve"> </w:t>
            </w:r>
            <w:r w:rsidRPr="002029AF">
              <w:rPr>
                <w:lang w:eastAsia="en-GB"/>
              </w:rPr>
              <w:t>equity</w:t>
            </w:r>
            <w:r w:rsidR="000A5329" w:rsidRPr="002029AF">
              <w:rPr>
                <w:lang w:eastAsia="en-GB"/>
              </w:rPr>
              <w:t xml:space="preserve"> </w:t>
            </w:r>
            <w:r w:rsidRPr="002029AF">
              <w:rPr>
                <w:lang w:eastAsia="en-GB"/>
              </w:rPr>
              <w:t>method</w:t>
            </w:r>
          </w:p>
        </w:tc>
        <w:tc>
          <w:tcPr>
            <w:tcW w:w="1247" w:type="dxa"/>
            <w:tcBorders>
              <w:top w:val="single" w:sz="4" w:space="0" w:color="A6A6A6"/>
            </w:tcBorders>
            <w:hideMark/>
          </w:tcPr>
          <w:p w14:paraId="7EE3E282" w14:textId="77777777" w:rsidR="00667E77" w:rsidRPr="002029AF" w:rsidRDefault="00667E77" w:rsidP="00667E77">
            <w:pPr>
              <w:pStyle w:val="ARfintablebodyright"/>
              <w:rPr>
                <w:lang w:eastAsia="en-GB"/>
              </w:rPr>
            </w:pPr>
            <w:r w:rsidRPr="002029AF">
              <w:rPr>
                <w:lang w:eastAsia="en-GB"/>
              </w:rPr>
              <w:t>1</w:t>
            </w:r>
          </w:p>
        </w:tc>
        <w:tc>
          <w:tcPr>
            <w:tcW w:w="1247" w:type="dxa"/>
            <w:tcBorders>
              <w:top w:val="single" w:sz="4" w:space="0" w:color="A6A6A6"/>
            </w:tcBorders>
            <w:hideMark/>
          </w:tcPr>
          <w:p w14:paraId="0775839A" w14:textId="77777777" w:rsidR="00667E77" w:rsidRPr="002029AF" w:rsidRDefault="00667E77" w:rsidP="00667E77">
            <w:pPr>
              <w:pStyle w:val="ARfintablebodyright"/>
              <w:rPr>
                <w:lang w:eastAsia="en-GB"/>
              </w:rPr>
            </w:pPr>
            <w:r w:rsidRPr="002029AF">
              <w:rPr>
                <w:lang w:eastAsia="en-GB"/>
              </w:rPr>
              <w:t>37</w:t>
            </w:r>
          </w:p>
        </w:tc>
        <w:tc>
          <w:tcPr>
            <w:tcW w:w="1247" w:type="dxa"/>
            <w:tcBorders>
              <w:top w:val="single" w:sz="4" w:space="0" w:color="A6A6A6"/>
            </w:tcBorders>
            <w:hideMark/>
          </w:tcPr>
          <w:p w14:paraId="42464D7D" w14:textId="77777777" w:rsidR="00667E77" w:rsidRPr="002029AF" w:rsidRDefault="00667E77" w:rsidP="00667E77">
            <w:pPr>
              <w:pStyle w:val="ARfintablebodyright"/>
              <w:rPr>
                <w:lang w:eastAsia="en-GB"/>
              </w:rPr>
            </w:pPr>
            <w:r w:rsidRPr="002029AF">
              <w:rPr>
                <w:lang w:eastAsia="en-GB"/>
              </w:rPr>
              <w:t>(96.5)</w:t>
            </w:r>
          </w:p>
        </w:tc>
        <w:tc>
          <w:tcPr>
            <w:tcW w:w="680" w:type="dxa"/>
            <w:tcBorders>
              <w:top w:val="single" w:sz="4" w:space="0" w:color="A6A6A6"/>
            </w:tcBorders>
            <w:hideMark/>
          </w:tcPr>
          <w:p w14:paraId="1E178423" w14:textId="77777777" w:rsidR="00667E77" w:rsidRPr="002029AF" w:rsidRDefault="00667E77" w:rsidP="00667E77">
            <w:pPr>
              <w:pStyle w:val="ARfintablebodyrightbold"/>
              <w:rPr>
                <w:lang w:eastAsia="en-GB"/>
              </w:rPr>
            </w:pPr>
            <w:r w:rsidRPr="002029AF">
              <w:rPr>
                <w:lang w:eastAsia="en-GB"/>
              </w:rPr>
              <w:t>1</w:t>
            </w:r>
          </w:p>
        </w:tc>
      </w:tr>
      <w:tr w:rsidR="00667E77" w:rsidRPr="002029AF" w14:paraId="61806809" w14:textId="77777777" w:rsidTr="005A117C">
        <w:tc>
          <w:tcPr>
            <w:tcW w:w="5218" w:type="dxa"/>
            <w:tcBorders>
              <w:bottom w:val="single" w:sz="4" w:space="0" w:color="auto"/>
            </w:tcBorders>
            <w:hideMark/>
          </w:tcPr>
          <w:p w14:paraId="14F6A5E3" w14:textId="02F2FC9B" w:rsidR="00667E77" w:rsidRPr="002029AF" w:rsidRDefault="00667E77" w:rsidP="00667E77">
            <w:pPr>
              <w:pStyle w:val="ARfintablebodybold"/>
              <w:rPr>
                <w:lang w:eastAsia="en-GB"/>
              </w:rPr>
            </w:pPr>
            <w:r w:rsidRPr="002029AF">
              <w:rPr>
                <w:lang w:eastAsia="en-GB"/>
              </w:rPr>
              <w:t>Total</w:t>
            </w:r>
            <w:r w:rsidR="000A5329" w:rsidRPr="002029AF">
              <w:rPr>
                <w:lang w:eastAsia="en-GB"/>
              </w:rPr>
              <w:t xml:space="preserve"> </w:t>
            </w:r>
            <w:r w:rsidRPr="002029AF">
              <w:rPr>
                <w:lang w:eastAsia="en-GB"/>
              </w:rPr>
              <w:t>financial</w:t>
            </w:r>
            <w:r w:rsidR="000A5329" w:rsidRPr="002029AF">
              <w:rPr>
                <w:lang w:eastAsia="en-GB"/>
              </w:rPr>
              <w:t xml:space="preserve"> </w:t>
            </w:r>
            <w:r w:rsidRPr="002029AF">
              <w:rPr>
                <w:lang w:eastAsia="en-GB"/>
              </w:rPr>
              <w:t>assets</w:t>
            </w:r>
          </w:p>
        </w:tc>
        <w:tc>
          <w:tcPr>
            <w:tcW w:w="1247" w:type="dxa"/>
            <w:tcBorders>
              <w:bottom w:val="single" w:sz="4" w:space="0" w:color="auto"/>
            </w:tcBorders>
            <w:hideMark/>
          </w:tcPr>
          <w:p w14:paraId="5546B77A" w14:textId="77777777" w:rsidR="00667E77" w:rsidRPr="002029AF" w:rsidRDefault="00667E77" w:rsidP="00667E77">
            <w:pPr>
              <w:pStyle w:val="ARfintablebodyrightbold"/>
              <w:rPr>
                <w:lang w:eastAsia="en-GB"/>
              </w:rPr>
            </w:pPr>
            <w:r w:rsidRPr="002029AF">
              <w:rPr>
                <w:lang w:eastAsia="en-GB"/>
              </w:rPr>
              <w:t>7,229</w:t>
            </w:r>
          </w:p>
        </w:tc>
        <w:tc>
          <w:tcPr>
            <w:tcW w:w="1247" w:type="dxa"/>
            <w:tcBorders>
              <w:bottom w:val="single" w:sz="4" w:space="0" w:color="auto"/>
            </w:tcBorders>
            <w:hideMark/>
          </w:tcPr>
          <w:p w14:paraId="14F99E23" w14:textId="77777777" w:rsidR="00667E77" w:rsidRPr="002029AF" w:rsidRDefault="00667E77" w:rsidP="00667E77">
            <w:pPr>
              <w:pStyle w:val="ARfintablebodyrightbold"/>
              <w:rPr>
                <w:lang w:eastAsia="en-GB"/>
              </w:rPr>
            </w:pPr>
            <w:r w:rsidRPr="002029AF">
              <w:rPr>
                <w:lang w:eastAsia="en-GB"/>
              </w:rPr>
              <w:t>6,600</w:t>
            </w:r>
          </w:p>
        </w:tc>
        <w:tc>
          <w:tcPr>
            <w:tcW w:w="1247" w:type="dxa"/>
            <w:tcBorders>
              <w:bottom w:val="single" w:sz="4" w:space="0" w:color="auto"/>
            </w:tcBorders>
            <w:hideMark/>
          </w:tcPr>
          <w:p w14:paraId="47345DE3" w14:textId="77777777" w:rsidR="00667E77" w:rsidRPr="002029AF" w:rsidRDefault="00667E77" w:rsidP="00667E77">
            <w:pPr>
              <w:pStyle w:val="ARfintablebodyrightbold"/>
              <w:rPr>
                <w:lang w:eastAsia="en-GB"/>
              </w:rPr>
            </w:pPr>
            <w:r w:rsidRPr="002029AF">
              <w:rPr>
                <w:lang w:eastAsia="en-GB"/>
              </w:rPr>
              <w:t>9.5</w:t>
            </w:r>
          </w:p>
        </w:tc>
        <w:tc>
          <w:tcPr>
            <w:tcW w:w="680" w:type="dxa"/>
            <w:tcBorders>
              <w:bottom w:val="single" w:sz="4" w:space="0" w:color="auto"/>
            </w:tcBorders>
            <w:hideMark/>
          </w:tcPr>
          <w:p w14:paraId="3F0297A5" w14:textId="77777777" w:rsidR="00667E77" w:rsidRPr="002029AF" w:rsidRDefault="00667E77" w:rsidP="00667E77">
            <w:pPr>
              <w:pStyle w:val="ARfintablebodyright"/>
            </w:pPr>
          </w:p>
        </w:tc>
      </w:tr>
      <w:tr w:rsidR="00667E77" w:rsidRPr="002029AF" w14:paraId="10899FA9" w14:textId="77777777" w:rsidTr="005A117C">
        <w:tc>
          <w:tcPr>
            <w:tcW w:w="9639" w:type="dxa"/>
            <w:gridSpan w:val="5"/>
            <w:tcBorders>
              <w:top w:val="single" w:sz="4" w:space="0" w:color="auto"/>
              <w:bottom w:val="single" w:sz="4" w:space="0" w:color="A6A6A6"/>
            </w:tcBorders>
            <w:hideMark/>
          </w:tcPr>
          <w:p w14:paraId="129F9E53" w14:textId="061FDB5A" w:rsidR="00667E77" w:rsidRPr="002029AF" w:rsidRDefault="00667E77" w:rsidP="00667E77">
            <w:pPr>
              <w:pStyle w:val="ARfintablebodybold"/>
              <w:rPr>
                <w:lang w:eastAsia="en-GB"/>
              </w:rPr>
            </w:pPr>
            <w:r w:rsidRPr="002029AF">
              <w:rPr>
                <w:lang w:eastAsia="en-GB"/>
              </w:rPr>
              <w:t>Non-financial</w:t>
            </w:r>
            <w:r w:rsidR="000A5329" w:rsidRPr="002029AF">
              <w:rPr>
                <w:lang w:eastAsia="en-GB"/>
              </w:rPr>
              <w:t xml:space="preserve"> </w:t>
            </w:r>
            <w:r w:rsidRPr="002029AF">
              <w:rPr>
                <w:lang w:eastAsia="en-GB"/>
              </w:rPr>
              <w:t>assets</w:t>
            </w:r>
          </w:p>
        </w:tc>
      </w:tr>
      <w:tr w:rsidR="00667E77" w:rsidRPr="002029AF" w14:paraId="2F8DF661" w14:textId="77777777" w:rsidTr="005A117C">
        <w:tc>
          <w:tcPr>
            <w:tcW w:w="5218" w:type="dxa"/>
            <w:tcBorders>
              <w:top w:val="single" w:sz="4" w:space="0" w:color="A6A6A6"/>
              <w:bottom w:val="single" w:sz="4" w:space="0" w:color="A6A6A6"/>
            </w:tcBorders>
            <w:hideMark/>
          </w:tcPr>
          <w:p w14:paraId="0ABED124" w14:textId="77777777" w:rsidR="00667E77" w:rsidRPr="002029AF" w:rsidRDefault="00667E77" w:rsidP="00667E77">
            <w:pPr>
              <w:pStyle w:val="ARfintablebody"/>
              <w:rPr>
                <w:lang w:eastAsia="en-GB"/>
              </w:rPr>
            </w:pPr>
            <w:r w:rsidRPr="002029AF">
              <w:rPr>
                <w:lang w:eastAsia="en-GB"/>
              </w:rPr>
              <w:t>Inventories</w:t>
            </w:r>
          </w:p>
        </w:tc>
        <w:tc>
          <w:tcPr>
            <w:tcW w:w="1247" w:type="dxa"/>
            <w:tcBorders>
              <w:top w:val="single" w:sz="4" w:space="0" w:color="A6A6A6"/>
              <w:bottom w:val="single" w:sz="4" w:space="0" w:color="A6A6A6"/>
            </w:tcBorders>
            <w:hideMark/>
          </w:tcPr>
          <w:p w14:paraId="556A1523" w14:textId="77777777" w:rsidR="00667E77" w:rsidRPr="002029AF" w:rsidRDefault="00667E77" w:rsidP="00667E77">
            <w:pPr>
              <w:pStyle w:val="ARfintablebodyright"/>
              <w:rPr>
                <w:lang w:eastAsia="en-GB"/>
              </w:rPr>
            </w:pPr>
            <w:r w:rsidRPr="002029AF">
              <w:rPr>
                <w:lang w:eastAsia="en-GB"/>
              </w:rPr>
              <w:t>530</w:t>
            </w:r>
          </w:p>
        </w:tc>
        <w:tc>
          <w:tcPr>
            <w:tcW w:w="1247" w:type="dxa"/>
            <w:tcBorders>
              <w:top w:val="single" w:sz="4" w:space="0" w:color="A6A6A6"/>
              <w:bottom w:val="single" w:sz="4" w:space="0" w:color="A6A6A6"/>
            </w:tcBorders>
            <w:hideMark/>
          </w:tcPr>
          <w:p w14:paraId="61B9CF5B" w14:textId="77777777" w:rsidR="00667E77" w:rsidRPr="002029AF" w:rsidRDefault="00667E77" w:rsidP="00667E77">
            <w:pPr>
              <w:pStyle w:val="ARfintablebodyright"/>
              <w:rPr>
                <w:lang w:eastAsia="en-GB"/>
              </w:rPr>
            </w:pPr>
            <w:r w:rsidRPr="002029AF">
              <w:rPr>
                <w:lang w:eastAsia="en-GB"/>
              </w:rPr>
              <w:t>88</w:t>
            </w:r>
          </w:p>
        </w:tc>
        <w:tc>
          <w:tcPr>
            <w:tcW w:w="1247" w:type="dxa"/>
            <w:tcBorders>
              <w:top w:val="single" w:sz="4" w:space="0" w:color="A6A6A6"/>
              <w:bottom w:val="single" w:sz="4" w:space="0" w:color="A6A6A6"/>
            </w:tcBorders>
            <w:hideMark/>
          </w:tcPr>
          <w:p w14:paraId="3054C8A0" w14:textId="77777777" w:rsidR="00667E77" w:rsidRPr="002029AF" w:rsidRDefault="00667E77" w:rsidP="00667E77">
            <w:pPr>
              <w:pStyle w:val="ARfintablebodyright"/>
              <w:rPr>
                <w:lang w:eastAsia="en-GB"/>
              </w:rPr>
            </w:pPr>
            <w:r w:rsidRPr="002029AF">
              <w:rPr>
                <w:lang w:eastAsia="en-GB"/>
              </w:rPr>
              <w:t>502.7</w:t>
            </w:r>
          </w:p>
        </w:tc>
        <w:tc>
          <w:tcPr>
            <w:tcW w:w="680" w:type="dxa"/>
            <w:tcBorders>
              <w:top w:val="single" w:sz="4" w:space="0" w:color="A6A6A6"/>
              <w:bottom w:val="single" w:sz="4" w:space="0" w:color="A6A6A6"/>
            </w:tcBorders>
            <w:hideMark/>
          </w:tcPr>
          <w:p w14:paraId="3FA1718D" w14:textId="77777777" w:rsidR="00667E77" w:rsidRPr="002029AF" w:rsidRDefault="00667E77" w:rsidP="00667E77">
            <w:pPr>
              <w:pStyle w:val="ARfintablebodyrightbold"/>
              <w:rPr>
                <w:lang w:eastAsia="en-GB"/>
              </w:rPr>
            </w:pPr>
            <w:r w:rsidRPr="002029AF">
              <w:rPr>
                <w:lang w:eastAsia="en-GB"/>
              </w:rPr>
              <w:t>2</w:t>
            </w:r>
          </w:p>
        </w:tc>
      </w:tr>
      <w:tr w:rsidR="00667E77" w:rsidRPr="002029AF" w14:paraId="33B9FD8F" w14:textId="77777777" w:rsidTr="005A117C">
        <w:tc>
          <w:tcPr>
            <w:tcW w:w="5218" w:type="dxa"/>
            <w:tcBorders>
              <w:top w:val="single" w:sz="4" w:space="0" w:color="A6A6A6"/>
              <w:bottom w:val="single" w:sz="4" w:space="0" w:color="A6A6A6"/>
            </w:tcBorders>
            <w:hideMark/>
          </w:tcPr>
          <w:p w14:paraId="7431BE01" w14:textId="548BCD8E" w:rsidR="00667E77" w:rsidRPr="002029AF" w:rsidRDefault="00667E77" w:rsidP="00667E77">
            <w:pPr>
              <w:pStyle w:val="ARfintablebody"/>
              <w:rPr>
                <w:lang w:eastAsia="en-GB"/>
              </w:rPr>
            </w:pPr>
            <w:r w:rsidRPr="002029AF">
              <w:rPr>
                <w:lang w:eastAsia="en-GB"/>
              </w:rPr>
              <w:t>Non-financial</w:t>
            </w:r>
            <w:r w:rsidR="000A5329" w:rsidRPr="002029AF">
              <w:rPr>
                <w:lang w:eastAsia="en-GB"/>
              </w:rPr>
              <w:t xml:space="preserve"> </w:t>
            </w:r>
            <w:r w:rsidRPr="002029AF">
              <w:rPr>
                <w:lang w:eastAsia="en-GB"/>
              </w:rPr>
              <w:t>assets</w:t>
            </w:r>
            <w:r w:rsidR="000A5329" w:rsidRPr="002029AF">
              <w:rPr>
                <w:lang w:eastAsia="en-GB"/>
              </w:rPr>
              <w:t xml:space="preserve"> </w:t>
            </w:r>
            <w:r w:rsidRPr="002029AF">
              <w:rPr>
                <w:lang w:eastAsia="en-GB"/>
              </w:rPr>
              <w:t>classified</w:t>
            </w:r>
            <w:r w:rsidR="000A5329" w:rsidRPr="002029AF">
              <w:rPr>
                <w:lang w:eastAsia="en-GB"/>
              </w:rPr>
              <w:t xml:space="preserve"> </w:t>
            </w:r>
            <w:r w:rsidRPr="002029AF">
              <w:rPr>
                <w:lang w:eastAsia="en-GB"/>
              </w:rPr>
              <w:t>as</w:t>
            </w:r>
            <w:r w:rsidR="000A5329" w:rsidRPr="002029AF">
              <w:rPr>
                <w:lang w:eastAsia="en-GB"/>
              </w:rPr>
              <w:t xml:space="preserve"> </w:t>
            </w:r>
            <w:r w:rsidRPr="002029AF">
              <w:rPr>
                <w:lang w:eastAsia="en-GB"/>
              </w:rPr>
              <w:t>held</w:t>
            </w:r>
            <w:r w:rsidR="000A5329" w:rsidRPr="002029AF">
              <w:rPr>
                <w:lang w:eastAsia="en-GB"/>
              </w:rPr>
              <w:t xml:space="preserve"> </w:t>
            </w:r>
            <w:r w:rsidRPr="002029AF">
              <w:rPr>
                <w:lang w:eastAsia="en-GB"/>
              </w:rPr>
              <w:t>for</w:t>
            </w:r>
            <w:r w:rsidR="000A5329" w:rsidRPr="002029AF">
              <w:rPr>
                <w:lang w:eastAsia="en-GB"/>
              </w:rPr>
              <w:t xml:space="preserve"> </w:t>
            </w:r>
            <w:r w:rsidRPr="002029AF">
              <w:rPr>
                <w:lang w:eastAsia="en-GB"/>
              </w:rPr>
              <w:t>sale</w:t>
            </w:r>
            <w:r w:rsidR="000A5329" w:rsidRPr="002029AF">
              <w:rPr>
                <w:lang w:eastAsia="en-GB"/>
              </w:rPr>
              <w:t xml:space="preserve"> </w:t>
            </w:r>
            <w:r w:rsidRPr="002029AF">
              <w:rPr>
                <w:lang w:eastAsia="en-GB"/>
              </w:rPr>
              <w:t>including</w:t>
            </w:r>
            <w:r w:rsidR="000A5329" w:rsidRPr="002029AF">
              <w:rPr>
                <w:lang w:eastAsia="en-GB"/>
              </w:rPr>
              <w:t xml:space="preserve"> </w:t>
            </w:r>
            <w:r w:rsidRPr="002029AF">
              <w:rPr>
                <w:lang w:eastAsia="en-GB"/>
              </w:rPr>
              <w:t>disposal</w:t>
            </w:r>
            <w:r w:rsidR="000A5329" w:rsidRPr="002029AF">
              <w:rPr>
                <w:lang w:eastAsia="en-GB"/>
              </w:rPr>
              <w:t xml:space="preserve"> </w:t>
            </w:r>
            <w:r w:rsidRPr="002029AF">
              <w:rPr>
                <w:lang w:eastAsia="en-GB"/>
              </w:rPr>
              <w:t>group</w:t>
            </w:r>
            <w:r w:rsidR="000A5329" w:rsidRPr="002029AF">
              <w:rPr>
                <w:lang w:eastAsia="en-GB"/>
              </w:rPr>
              <w:t xml:space="preserve"> </w:t>
            </w:r>
            <w:r w:rsidRPr="002029AF">
              <w:rPr>
                <w:lang w:eastAsia="en-GB"/>
              </w:rPr>
              <w:t>assets</w:t>
            </w:r>
          </w:p>
        </w:tc>
        <w:tc>
          <w:tcPr>
            <w:tcW w:w="1247" w:type="dxa"/>
            <w:tcBorders>
              <w:top w:val="single" w:sz="4" w:space="0" w:color="A6A6A6"/>
              <w:bottom w:val="single" w:sz="4" w:space="0" w:color="A6A6A6"/>
            </w:tcBorders>
            <w:hideMark/>
          </w:tcPr>
          <w:p w14:paraId="3353133E" w14:textId="77777777" w:rsidR="00667E77" w:rsidRPr="002029AF" w:rsidRDefault="00667E77" w:rsidP="00667E77">
            <w:pPr>
              <w:pStyle w:val="ARfintablebodyright"/>
              <w:rPr>
                <w:lang w:eastAsia="en-GB"/>
              </w:rPr>
            </w:pPr>
            <w:r w:rsidRPr="002029AF">
              <w:rPr>
                <w:lang w:eastAsia="en-GB"/>
              </w:rPr>
              <w:t>3</w:t>
            </w:r>
          </w:p>
        </w:tc>
        <w:tc>
          <w:tcPr>
            <w:tcW w:w="1247" w:type="dxa"/>
            <w:tcBorders>
              <w:top w:val="single" w:sz="4" w:space="0" w:color="A6A6A6"/>
              <w:bottom w:val="single" w:sz="4" w:space="0" w:color="A6A6A6"/>
            </w:tcBorders>
            <w:hideMark/>
          </w:tcPr>
          <w:p w14:paraId="1515F423" w14:textId="77777777" w:rsidR="00667E77" w:rsidRPr="002029AF" w:rsidRDefault="00667E77" w:rsidP="00667E77">
            <w:pPr>
              <w:pStyle w:val="ARfintablebodyright"/>
              <w:rPr>
                <w:lang w:eastAsia="en-GB"/>
              </w:rPr>
            </w:pPr>
            <w:r w:rsidRPr="002029AF">
              <w:rPr>
                <w:lang w:eastAsia="en-GB"/>
              </w:rPr>
              <w:t>107</w:t>
            </w:r>
          </w:p>
        </w:tc>
        <w:tc>
          <w:tcPr>
            <w:tcW w:w="1247" w:type="dxa"/>
            <w:tcBorders>
              <w:top w:val="single" w:sz="4" w:space="0" w:color="A6A6A6"/>
              <w:bottom w:val="single" w:sz="4" w:space="0" w:color="A6A6A6"/>
            </w:tcBorders>
            <w:hideMark/>
          </w:tcPr>
          <w:p w14:paraId="0643A88D" w14:textId="77777777" w:rsidR="00667E77" w:rsidRPr="002029AF" w:rsidRDefault="00667E77" w:rsidP="00667E77">
            <w:pPr>
              <w:pStyle w:val="ARfintablebodyright"/>
              <w:rPr>
                <w:lang w:eastAsia="en-GB"/>
              </w:rPr>
            </w:pPr>
            <w:r w:rsidRPr="002029AF">
              <w:rPr>
                <w:lang w:eastAsia="en-GB"/>
              </w:rPr>
              <w:t>(97.6)</w:t>
            </w:r>
          </w:p>
        </w:tc>
        <w:tc>
          <w:tcPr>
            <w:tcW w:w="680" w:type="dxa"/>
            <w:tcBorders>
              <w:top w:val="single" w:sz="4" w:space="0" w:color="A6A6A6"/>
              <w:bottom w:val="single" w:sz="4" w:space="0" w:color="A6A6A6"/>
            </w:tcBorders>
            <w:hideMark/>
          </w:tcPr>
          <w:p w14:paraId="6CA5E7C9" w14:textId="77777777" w:rsidR="00667E77" w:rsidRPr="002029AF" w:rsidRDefault="00667E77" w:rsidP="00667E77">
            <w:pPr>
              <w:pStyle w:val="ARfintablebodyrightbold"/>
              <w:rPr>
                <w:lang w:eastAsia="en-GB"/>
              </w:rPr>
            </w:pPr>
            <w:r w:rsidRPr="002029AF">
              <w:rPr>
                <w:lang w:eastAsia="en-GB"/>
              </w:rPr>
              <w:t>3</w:t>
            </w:r>
          </w:p>
        </w:tc>
      </w:tr>
      <w:tr w:rsidR="00667E77" w:rsidRPr="002029AF" w14:paraId="551B2CAA" w14:textId="77777777" w:rsidTr="005A117C">
        <w:tc>
          <w:tcPr>
            <w:tcW w:w="5218" w:type="dxa"/>
            <w:tcBorders>
              <w:top w:val="single" w:sz="4" w:space="0" w:color="A6A6A6"/>
              <w:bottom w:val="single" w:sz="4" w:space="0" w:color="A6A6A6"/>
            </w:tcBorders>
            <w:hideMark/>
          </w:tcPr>
          <w:p w14:paraId="01413464" w14:textId="5C117DDC" w:rsidR="00667E77" w:rsidRPr="002029AF" w:rsidRDefault="00667E77" w:rsidP="00667E77">
            <w:pPr>
              <w:pStyle w:val="ARfintablebody"/>
              <w:rPr>
                <w:lang w:eastAsia="en-GB"/>
              </w:rPr>
            </w:pPr>
            <w:r w:rsidRPr="002029AF">
              <w:rPr>
                <w:lang w:eastAsia="en-GB"/>
              </w:rPr>
              <w:t>Property,</w:t>
            </w:r>
            <w:r w:rsidR="000A5329" w:rsidRPr="002029AF">
              <w:rPr>
                <w:lang w:eastAsia="en-GB"/>
              </w:rPr>
              <w:t xml:space="preserve"> </w:t>
            </w:r>
            <w:r w:rsidRPr="002029AF">
              <w:rPr>
                <w:lang w:eastAsia="en-GB"/>
              </w:rPr>
              <w:t>plant</w:t>
            </w:r>
            <w:r w:rsidR="000A5329" w:rsidRPr="002029AF">
              <w:rPr>
                <w:lang w:eastAsia="en-GB"/>
              </w:rPr>
              <w:t xml:space="preserve"> </w:t>
            </w:r>
            <w:r w:rsidRPr="002029AF">
              <w:rPr>
                <w:lang w:eastAsia="en-GB"/>
              </w:rPr>
              <w:t>and</w:t>
            </w:r>
            <w:r w:rsidR="000A5329" w:rsidRPr="002029AF">
              <w:rPr>
                <w:lang w:eastAsia="en-GB"/>
              </w:rPr>
              <w:t xml:space="preserve"> </w:t>
            </w:r>
            <w:r w:rsidRPr="002029AF">
              <w:rPr>
                <w:lang w:eastAsia="en-GB"/>
              </w:rPr>
              <w:t>equipment</w:t>
            </w:r>
          </w:p>
        </w:tc>
        <w:tc>
          <w:tcPr>
            <w:tcW w:w="1247" w:type="dxa"/>
            <w:tcBorders>
              <w:top w:val="single" w:sz="4" w:space="0" w:color="A6A6A6"/>
              <w:bottom w:val="single" w:sz="4" w:space="0" w:color="A6A6A6"/>
            </w:tcBorders>
            <w:hideMark/>
          </w:tcPr>
          <w:p w14:paraId="3D8380D9" w14:textId="77777777" w:rsidR="00667E77" w:rsidRPr="002029AF" w:rsidRDefault="00667E77" w:rsidP="00667E77">
            <w:pPr>
              <w:pStyle w:val="ARfintablebodyright"/>
              <w:rPr>
                <w:lang w:eastAsia="en-GB"/>
              </w:rPr>
            </w:pPr>
            <w:r w:rsidRPr="002029AF">
              <w:rPr>
                <w:lang w:eastAsia="en-GB"/>
              </w:rPr>
              <w:t>21,026</w:t>
            </w:r>
          </w:p>
        </w:tc>
        <w:tc>
          <w:tcPr>
            <w:tcW w:w="1247" w:type="dxa"/>
            <w:tcBorders>
              <w:top w:val="single" w:sz="4" w:space="0" w:color="A6A6A6"/>
              <w:bottom w:val="single" w:sz="4" w:space="0" w:color="A6A6A6"/>
            </w:tcBorders>
            <w:hideMark/>
          </w:tcPr>
          <w:p w14:paraId="78F2D83A" w14:textId="77777777" w:rsidR="00667E77" w:rsidRPr="002029AF" w:rsidRDefault="00667E77" w:rsidP="00667E77">
            <w:pPr>
              <w:pStyle w:val="ARfintablebodyright"/>
              <w:rPr>
                <w:lang w:eastAsia="en-GB"/>
              </w:rPr>
            </w:pPr>
            <w:r w:rsidRPr="002029AF">
              <w:rPr>
                <w:lang w:eastAsia="en-GB"/>
              </w:rPr>
              <w:t>18,030</w:t>
            </w:r>
          </w:p>
        </w:tc>
        <w:tc>
          <w:tcPr>
            <w:tcW w:w="1247" w:type="dxa"/>
            <w:tcBorders>
              <w:top w:val="single" w:sz="4" w:space="0" w:color="A6A6A6"/>
              <w:bottom w:val="single" w:sz="4" w:space="0" w:color="A6A6A6"/>
            </w:tcBorders>
            <w:hideMark/>
          </w:tcPr>
          <w:p w14:paraId="175E14BF" w14:textId="77777777" w:rsidR="00667E77" w:rsidRPr="002029AF" w:rsidRDefault="00667E77" w:rsidP="00667E77">
            <w:pPr>
              <w:pStyle w:val="ARfintablebodyright"/>
              <w:rPr>
                <w:lang w:eastAsia="en-GB"/>
              </w:rPr>
            </w:pPr>
            <w:r w:rsidRPr="002029AF">
              <w:rPr>
                <w:lang w:eastAsia="en-GB"/>
              </w:rPr>
              <w:t>16.6</w:t>
            </w:r>
          </w:p>
        </w:tc>
        <w:tc>
          <w:tcPr>
            <w:tcW w:w="680" w:type="dxa"/>
            <w:tcBorders>
              <w:top w:val="single" w:sz="4" w:space="0" w:color="A6A6A6"/>
              <w:bottom w:val="single" w:sz="4" w:space="0" w:color="A6A6A6"/>
            </w:tcBorders>
            <w:hideMark/>
          </w:tcPr>
          <w:p w14:paraId="0F4E979D" w14:textId="77777777" w:rsidR="00667E77" w:rsidRPr="002029AF" w:rsidRDefault="00667E77" w:rsidP="00667E77">
            <w:pPr>
              <w:pStyle w:val="ARfintablebodyright"/>
              <w:rPr>
                <w:lang w:eastAsia="en-GB"/>
              </w:rPr>
            </w:pPr>
          </w:p>
        </w:tc>
      </w:tr>
      <w:tr w:rsidR="00667E77" w:rsidRPr="002029AF" w14:paraId="1E0D98C5" w14:textId="77777777" w:rsidTr="005A117C">
        <w:tc>
          <w:tcPr>
            <w:tcW w:w="5218" w:type="dxa"/>
            <w:tcBorders>
              <w:top w:val="single" w:sz="4" w:space="0" w:color="A6A6A6"/>
              <w:bottom w:val="single" w:sz="4" w:space="0" w:color="A6A6A6"/>
            </w:tcBorders>
            <w:hideMark/>
          </w:tcPr>
          <w:p w14:paraId="0E8D4C4E" w14:textId="3FCD4602" w:rsidR="00667E77" w:rsidRPr="002029AF" w:rsidRDefault="00667E77" w:rsidP="00667E77">
            <w:pPr>
              <w:pStyle w:val="ARfintablebody"/>
              <w:rPr>
                <w:lang w:eastAsia="en-GB"/>
              </w:rPr>
            </w:pPr>
            <w:r w:rsidRPr="002029AF">
              <w:rPr>
                <w:lang w:eastAsia="en-GB"/>
              </w:rPr>
              <w:t>Investment</w:t>
            </w:r>
            <w:r w:rsidR="000A5329" w:rsidRPr="002029AF">
              <w:rPr>
                <w:lang w:eastAsia="en-GB"/>
              </w:rPr>
              <w:t xml:space="preserve"> </w:t>
            </w:r>
            <w:r w:rsidRPr="002029AF">
              <w:rPr>
                <w:lang w:eastAsia="en-GB"/>
              </w:rPr>
              <w:t>properties</w:t>
            </w:r>
          </w:p>
        </w:tc>
        <w:tc>
          <w:tcPr>
            <w:tcW w:w="1247" w:type="dxa"/>
            <w:tcBorders>
              <w:top w:val="single" w:sz="4" w:space="0" w:color="A6A6A6"/>
              <w:bottom w:val="single" w:sz="4" w:space="0" w:color="A6A6A6"/>
            </w:tcBorders>
            <w:hideMark/>
          </w:tcPr>
          <w:p w14:paraId="5DB4F7F1" w14:textId="77777777" w:rsidR="00667E77" w:rsidRPr="002029AF" w:rsidRDefault="00667E77" w:rsidP="00667E77">
            <w:pPr>
              <w:pStyle w:val="ARfintablebodyright"/>
              <w:rPr>
                <w:lang w:eastAsia="en-GB"/>
              </w:rPr>
            </w:pPr>
            <w:r w:rsidRPr="002029AF">
              <w:rPr>
                <w:lang w:eastAsia="en-GB"/>
              </w:rPr>
              <w:t>135</w:t>
            </w:r>
          </w:p>
        </w:tc>
        <w:tc>
          <w:tcPr>
            <w:tcW w:w="1247" w:type="dxa"/>
            <w:tcBorders>
              <w:top w:val="single" w:sz="4" w:space="0" w:color="A6A6A6"/>
              <w:bottom w:val="single" w:sz="4" w:space="0" w:color="A6A6A6"/>
            </w:tcBorders>
            <w:hideMark/>
          </w:tcPr>
          <w:p w14:paraId="0298CDD1" w14:textId="77777777" w:rsidR="00667E77" w:rsidRPr="002029AF" w:rsidRDefault="00667E77" w:rsidP="00667E77">
            <w:pPr>
              <w:pStyle w:val="ARfintablebodyright"/>
              <w:rPr>
                <w:lang w:eastAsia="en-GB"/>
              </w:rPr>
            </w:pPr>
            <w:r w:rsidRPr="002029AF">
              <w:rPr>
                <w:lang w:eastAsia="en-GB"/>
              </w:rPr>
              <w:t>42</w:t>
            </w:r>
          </w:p>
        </w:tc>
        <w:tc>
          <w:tcPr>
            <w:tcW w:w="1247" w:type="dxa"/>
            <w:tcBorders>
              <w:top w:val="single" w:sz="4" w:space="0" w:color="A6A6A6"/>
              <w:bottom w:val="single" w:sz="4" w:space="0" w:color="A6A6A6"/>
            </w:tcBorders>
            <w:hideMark/>
          </w:tcPr>
          <w:p w14:paraId="3B1C88AB" w14:textId="77777777" w:rsidR="00667E77" w:rsidRPr="002029AF" w:rsidRDefault="00667E77" w:rsidP="00667E77">
            <w:pPr>
              <w:pStyle w:val="ARfintablebodyright"/>
              <w:rPr>
                <w:lang w:eastAsia="en-GB"/>
              </w:rPr>
            </w:pPr>
            <w:r w:rsidRPr="002029AF">
              <w:rPr>
                <w:lang w:eastAsia="en-GB"/>
              </w:rPr>
              <w:t>222.2</w:t>
            </w:r>
          </w:p>
        </w:tc>
        <w:tc>
          <w:tcPr>
            <w:tcW w:w="680" w:type="dxa"/>
            <w:tcBorders>
              <w:top w:val="single" w:sz="4" w:space="0" w:color="A6A6A6"/>
              <w:bottom w:val="single" w:sz="4" w:space="0" w:color="A6A6A6"/>
            </w:tcBorders>
            <w:hideMark/>
          </w:tcPr>
          <w:p w14:paraId="50B3D560" w14:textId="77777777" w:rsidR="00667E77" w:rsidRPr="002029AF" w:rsidRDefault="00667E77" w:rsidP="00667E77">
            <w:pPr>
              <w:pStyle w:val="ARfintablebodyrightbold"/>
              <w:rPr>
                <w:lang w:eastAsia="en-GB"/>
              </w:rPr>
            </w:pPr>
            <w:r w:rsidRPr="002029AF">
              <w:rPr>
                <w:lang w:eastAsia="en-GB"/>
              </w:rPr>
              <w:t>4</w:t>
            </w:r>
          </w:p>
        </w:tc>
      </w:tr>
      <w:tr w:rsidR="00667E77" w:rsidRPr="002029AF" w14:paraId="340594EC" w14:textId="77777777" w:rsidTr="005A117C">
        <w:tc>
          <w:tcPr>
            <w:tcW w:w="5218" w:type="dxa"/>
            <w:tcBorders>
              <w:top w:val="single" w:sz="4" w:space="0" w:color="A6A6A6"/>
              <w:bottom w:val="single" w:sz="4" w:space="0" w:color="A6A6A6"/>
            </w:tcBorders>
            <w:hideMark/>
          </w:tcPr>
          <w:p w14:paraId="0AAA8FB1" w14:textId="431C3CB1" w:rsidR="00667E77" w:rsidRPr="002029AF" w:rsidRDefault="00667E77" w:rsidP="00667E77">
            <w:pPr>
              <w:pStyle w:val="ARfintablebody"/>
              <w:rPr>
                <w:lang w:eastAsia="en-GB"/>
              </w:rPr>
            </w:pPr>
            <w:r w:rsidRPr="002029AF">
              <w:rPr>
                <w:lang w:eastAsia="en-GB"/>
              </w:rPr>
              <w:t>Intangible</w:t>
            </w:r>
            <w:r w:rsidR="000A5329" w:rsidRPr="002029AF">
              <w:rPr>
                <w:lang w:eastAsia="en-GB"/>
              </w:rPr>
              <w:t xml:space="preserve"> </w:t>
            </w:r>
            <w:r w:rsidRPr="002029AF">
              <w:rPr>
                <w:lang w:eastAsia="en-GB"/>
              </w:rPr>
              <w:t>assets</w:t>
            </w:r>
          </w:p>
        </w:tc>
        <w:tc>
          <w:tcPr>
            <w:tcW w:w="1247" w:type="dxa"/>
            <w:tcBorders>
              <w:top w:val="single" w:sz="4" w:space="0" w:color="A6A6A6"/>
              <w:bottom w:val="single" w:sz="4" w:space="0" w:color="A6A6A6"/>
            </w:tcBorders>
            <w:hideMark/>
          </w:tcPr>
          <w:p w14:paraId="4C572FC6" w14:textId="77777777" w:rsidR="00667E77" w:rsidRPr="002029AF" w:rsidRDefault="00667E77" w:rsidP="00667E77">
            <w:pPr>
              <w:pStyle w:val="ARfintablebodyright"/>
              <w:rPr>
                <w:lang w:eastAsia="en-GB"/>
              </w:rPr>
            </w:pPr>
            <w:r w:rsidRPr="002029AF">
              <w:rPr>
                <w:lang w:eastAsia="en-GB"/>
              </w:rPr>
              <w:t>452</w:t>
            </w:r>
          </w:p>
        </w:tc>
        <w:tc>
          <w:tcPr>
            <w:tcW w:w="1247" w:type="dxa"/>
            <w:tcBorders>
              <w:top w:val="single" w:sz="4" w:space="0" w:color="A6A6A6"/>
              <w:bottom w:val="single" w:sz="4" w:space="0" w:color="A6A6A6"/>
            </w:tcBorders>
            <w:hideMark/>
          </w:tcPr>
          <w:p w14:paraId="47D09ACB" w14:textId="77777777" w:rsidR="00667E77" w:rsidRPr="002029AF" w:rsidRDefault="00667E77" w:rsidP="00667E77">
            <w:pPr>
              <w:pStyle w:val="ARfintablebodyright"/>
              <w:rPr>
                <w:lang w:eastAsia="en-GB"/>
              </w:rPr>
            </w:pPr>
            <w:r w:rsidRPr="002029AF">
              <w:rPr>
                <w:lang w:eastAsia="en-GB"/>
              </w:rPr>
              <w:t>198</w:t>
            </w:r>
          </w:p>
        </w:tc>
        <w:tc>
          <w:tcPr>
            <w:tcW w:w="1247" w:type="dxa"/>
            <w:tcBorders>
              <w:top w:val="single" w:sz="4" w:space="0" w:color="A6A6A6"/>
              <w:bottom w:val="single" w:sz="4" w:space="0" w:color="A6A6A6"/>
            </w:tcBorders>
            <w:hideMark/>
          </w:tcPr>
          <w:p w14:paraId="28CF2BC0" w14:textId="77777777" w:rsidR="00667E77" w:rsidRPr="002029AF" w:rsidRDefault="00667E77" w:rsidP="00667E77">
            <w:pPr>
              <w:pStyle w:val="ARfintablebodyright"/>
              <w:rPr>
                <w:lang w:eastAsia="en-GB"/>
              </w:rPr>
            </w:pPr>
            <w:r w:rsidRPr="002029AF">
              <w:rPr>
                <w:lang w:eastAsia="en-GB"/>
              </w:rPr>
              <w:t>128.5</w:t>
            </w:r>
          </w:p>
        </w:tc>
        <w:tc>
          <w:tcPr>
            <w:tcW w:w="680" w:type="dxa"/>
            <w:tcBorders>
              <w:top w:val="single" w:sz="4" w:space="0" w:color="A6A6A6"/>
              <w:bottom w:val="single" w:sz="4" w:space="0" w:color="A6A6A6"/>
            </w:tcBorders>
            <w:hideMark/>
          </w:tcPr>
          <w:p w14:paraId="2ECE1B99" w14:textId="77777777" w:rsidR="00667E77" w:rsidRPr="002029AF" w:rsidRDefault="00667E77" w:rsidP="00667E77">
            <w:pPr>
              <w:pStyle w:val="ARfintablebodyrightbold"/>
              <w:rPr>
                <w:lang w:eastAsia="en-GB"/>
              </w:rPr>
            </w:pPr>
            <w:r w:rsidRPr="002029AF">
              <w:rPr>
                <w:lang w:eastAsia="en-GB"/>
              </w:rPr>
              <w:t>5</w:t>
            </w:r>
          </w:p>
        </w:tc>
      </w:tr>
      <w:tr w:rsidR="00667E77" w:rsidRPr="002029AF" w14:paraId="6313813E" w14:textId="77777777" w:rsidTr="005A117C">
        <w:tc>
          <w:tcPr>
            <w:tcW w:w="5218" w:type="dxa"/>
            <w:tcBorders>
              <w:top w:val="single" w:sz="4" w:space="0" w:color="A6A6A6"/>
            </w:tcBorders>
            <w:hideMark/>
          </w:tcPr>
          <w:p w14:paraId="552F017E" w14:textId="77777777" w:rsidR="00667E77" w:rsidRPr="002029AF" w:rsidRDefault="00667E77" w:rsidP="00667E77">
            <w:pPr>
              <w:pStyle w:val="ARfintablebody"/>
              <w:rPr>
                <w:lang w:eastAsia="en-GB"/>
              </w:rPr>
            </w:pPr>
            <w:r w:rsidRPr="002029AF">
              <w:rPr>
                <w:lang w:eastAsia="en-GB"/>
              </w:rPr>
              <w:t>Other</w:t>
            </w:r>
          </w:p>
        </w:tc>
        <w:tc>
          <w:tcPr>
            <w:tcW w:w="1247" w:type="dxa"/>
            <w:tcBorders>
              <w:top w:val="single" w:sz="4" w:space="0" w:color="A6A6A6"/>
            </w:tcBorders>
            <w:hideMark/>
          </w:tcPr>
          <w:p w14:paraId="07591DDC" w14:textId="77777777" w:rsidR="00667E77" w:rsidRPr="002029AF" w:rsidRDefault="00667E77" w:rsidP="00667E77">
            <w:pPr>
              <w:pStyle w:val="ARfintablebodyright"/>
              <w:rPr>
                <w:lang w:eastAsia="en-GB"/>
              </w:rPr>
            </w:pPr>
            <w:r w:rsidRPr="002029AF">
              <w:rPr>
                <w:lang w:eastAsia="en-GB"/>
              </w:rPr>
              <w:t>381</w:t>
            </w:r>
          </w:p>
        </w:tc>
        <w:tc>
          <w:tcPr>
            <w:tcW w:w="1247" w:type="dxa"/>
            <w:tcBorders>
              <w:top w:val="single" w:sz="4" w:space="0" w:color="A6A6A6"/>
            </w:tcBorders>
            <w:hideMark/>
          </w:tcPr>
          <w:p w14:paraId="00DB47A9" w14:textId="77777777" w:rsidR="00667E77" w:rsidRPr="002029AF" w:rsidRDefault="00667E77" w:rsidP="00667E77">
            <w:pPr>
              <w:pStyle w:val="ARfintablebodyright"/>
              <w:rPr>
                <w:lang w:eastAsia="en-GB"/>
              </w:rPr>
            </w:pPr>
            <w:r w:rsidRPr="002029AF">
              <w:rPr>
                <w:lang w:eastAsia="en-GB"/>
              </w:rPr>
              <w:t>133</w:t>
            </w:r>
          </w:p>
        </w:tc>
        <w:tc>
          <w:tcPr>
            <w:tcW w:w="1247" w:type="dxa"/>
            <w:tcBorders>
              <w:top w:val="single" w:sz="4" w:space="0" w:color="A6A6A6"/>
            </w:tcBorders>
            <w:hideMark/>
          </w:tcPr>
          <w:p w14:paraId="7758BD7D" w14:textId="77777777" w:rsidR="00667E77" w:rsidRPr="002029AF" w:rsidRDefault="00667E77" w:rsidP="00667E77">
            <w:pPr>
              <w:pStyle w:val="ARfintablebodyright"/>
              <w:rPr>
                <w:lang w:eastAsia="en-GB"/>
              </w:rPr>
            </w:pPr>
            <w:r w:rsidRPr="002029AF">
              <w:rPr>
                <w:lang w:eastAsia="en-GB"/>
              </w:rPr>
              <w:t>186.5</w:t>
            </w:r>
          </w:p>
        </w:tc>
        <w:tc>
          <w:tcPr>
            <w:tcW w:w="680" w:type="dxa"/>
            <w:tcBorders>
              <w:top w:val="single" w:sz="4" w:space="0" w:color="A6A6A6"/>
            </w:tcBorders>
            <w:hideMark/>
          </w:tcPr>
          <w:p w14:paraId="226A4CDD" w14:textId="77777777" w:rsidR="00667E77" w:rsidRPr="002029AF" w:rsidRDefault="00667E77" w:rsidP="00667E77">
            <w:pPr>
              <w:pStyle w:val="ARfintablebodyrightbold"/>
              <w:rPr>
                <w:lang w:eastAsia="en-GB"/>
              </w:rPr>
            </w:pPr>
            <w:r w:rsidRPr="002029AF">
              <w:rPr>
                <w:lang w:eastAsia="en-GB"/>
              </w:rPr>
              <w:t>6</w:t>
            </w:r>
          </w:p>
        </w:tc>
      </w:tr>
      <w:tr w:rsidR="00667E77" w:rsidRPr="002029AF" w14:paraId="1095A8BA" w14:textId="77777777" w:rsidTr="00667E77">
        <w:tc>
          <w:tcPr>
            <w:tcW w:w="5218" w:type="dxa"/>
            <w:hideMark/>
          </w:tcPr>
          <w:p w14:paraId="7E5201E2" w14:textId="770CB505" w:rsidR="00667E77" w:rsidRPr="002029AF" w:rsidRDefault="00667E77" w:rsidP="00667E77">
            <w:pPr>
              <w:pStyle w:val="ARfintablebodybold"/>
              <w:rPr>
                <w:lang w:eastAsia="en-GB"/>
              </w:rPr>
            </w:pPr>
            <w:r w:rsidRPr="002029AF">
              <w:rPr>
                <w:lang w:eastAsia="en-GB"/>
              </w:rPr>
              <w:t>Total</w:t>
            </w:r>
            <w:r w:rsidR="000A5329" w:rsidRPr="002029AF">
              <w:rPr>
                <w:lang w:eastAsia="en-GB"/>
              </w:rPr>
              <w:t xml:space="preserve"> </w:t>
            </w:r>
            <w:r w:rsidRPr="002029AF">
              <w:rPr>
                <w:lang w:eastAsia="en-GB"/>
              </w:rPr>
              <w:t>non-financial</w:t>
            </w:r>
            <w:r w:rsidR="000A5329" w:rsidRPr="002029AF">
              <w:rPr>
                <w:lang w:eastAsia="en-GB"/>
              </w:rPr>
              <w:t xml:space="preserve"> </w:t>
            </w:r>
            <w:r w:rsidRPr="002029AF">
              <w:rPr>
                <w:lang w:eastAsia="en-GB"/>
              </w:rPr>
              <w:t>assets</w:t>
            </w:r>
          </w:p>
        </w:tc>
        <w:tc>
          <w:tcPr>
            <w:tcW w:w="1247" w:type="dxa"/>
            <w:hideMark/>
          </w:tcPr>
          <w:p w14:paraId="2B1F3D8E" w14:textId="77777777" w:rsidR="00667E77" w:rsidRPr="002029AF" w:rsidRDefault="00667E77" w:rsidP="00667E77">
            <w:pPr>
              <w:pStyle w:val="ARfintablebodyrightbold"/>
              <w:rPr>
                <w:lang w:eastAsia="en-GB"/>
              </w:rPr>
            </w:pPr>
            <w:r w:rsidRPr="002029AF">
              <w:rPr>
                <w:lang w:eastAsia="en-GB"/>
              </w:rPr>
              <w:t>22,527</w:t>
            </w:r>
          </w:p>
        </w:tc>
        <w:tc>
          <w:tcPr>
            <w:tcW w:w="1247" w:type="dxa"/>
            <w:hideMark/>
          </w:tcPr>
          <w:p w14:paraId="68892D33" w14:textId="77777777" w:rsidR="00667E77" w:rsidRPr="002029AF" w:rsidRDefault="00667E77" w:rsidP="00667E77">
            <w:pPr>
              <w:pStyle w:val="ARfintablebodyrightbold"/>
              <w:rPr>
                <w:lang w:eastAsia="en-GB"/>
              </w:rPr>
            </w:pPr>
            <w:r w:rsidRPr="002029AF">
              <w:rPr>
                <w:lang w:eastAsia="en-GB"/>
              </w:rPr>
              <w:t>18,599</w:t>
            </w:r>
          </w:p>
        </w:tc>
        <w:tc>
          <w:tcPr>
            <w:tcW w:w="1247" w:type="dxa"/>
            <w:hideMark/>
          </w:tcPr>
          <w:p w14:paraId="7197FBB4" w14:textId="77777777" w:rsidR="00667E77" w:rsidRPr="002029AF" w:rsidRDefault="00667E77" w:rsidP="00667E77">
            <w:pPr>
              <w:pStyle w:val="ARfintablebodyrightbold"/>
              <w:rPr>
                <w:lang w:eastAsia="en-GB"/>
              </w:rPr>
            </w:pPr>
            <w:r w:rsidRPr="002029AF">
              <w:rPr>
                <w:lang w:eastAsia="en-GB"/>
              </w:rPr>
              <w:t>21.1</w:t>
            </w:r>
          </w:p>
        </w:tc>
        <w:tc>
          <w:tcPr>
            <w:tcW w:w="680" w:type="dxa"/>
            <w:hideMark/>
          </w:tcPr>
          <w:p w14:paraId="6EA02418" w14:textId="77777777" w:rsidR="00667E77" w:rsidRPr="002029AF" w:rsidRDefault="00667E77" w:rsidP="00667E77">
            <w:pPr>
              <w:pStyle w:val="ARfintablebodyright"/>
              <w:rPr>
                <w:lang w:eastAsia="en-GB"/>
              </w:rPr>
            </w:pPr>
          </w:p>
        </w:tc>
      </w:tr>
      <w:tr w:rsidR="00667E77" w:rsidRPr="002029AF" w14:paraId="2968E58D" w14:textId="77777777" w:rsidTr="005A117C">
        <w:tc>
          <w:tcPr>
            <w:tcW w:w="5218" w:type="dxa"/>
            <w:tcBorders>
              <w:bottom w:val="single" w:sz="4" w:space="0" w:color="auto"/>
            </w:tcBorders>
            <w:hideMark/>
          </w:tcPr>
          <w:p w14:paraId="5876B2B9" w14:textId="5CE2C8B0" w:rsidR="00667E77" w:rsidRPr="002029AF" w:rsidRDefault="00667E77" w:rsidP="00667E77">
            <w:pPr>
              <w:pStyle w:val="ARfintablebodybold"/>
              <w:rPr>
                <w:lang w:eastAsia="en-GB"/>
              </w:rPr>
            </w:pPr>
            <w:r w:rsidRPr="002029AF">
              <w:rPr>
                <w:lang w:eastAsia="en-GB"/>
              </w:rPr>
              <w:t>Total</w:t>
            </w:r>
            <w:r w:rsidR="000A5329" w:rsidRPr="002029AF">
              <w:rPr>
                <w:lang w:eastAsia="en-GB"/>
              </w:rPr>
              <w:t xml:space="preserve"> </w:t>
            </w:r>
            <w:r w:rsidRPr="002029AF">
              <w:rPr>
                <w:lang w:eastAsia="en-GB"/>
              </w:rPr>
              <w:t>assets</w:t>
            </w:r>
          </w:p>
        </w:tc>
        <w:tc>
          <w:tcPr>
            <w:tcW w:w="1247" w:type="dxa"/>
            <w:tcBorders>
              <w:bottom w:val="single" w:sz="4" w:space="0" w:color="auto"/>
            </w:tcBorders>
            <w:hideMark/>
          </w:tcPr>
          <w:p w14:paraId="5CB3442A" w14:textId="77777777" w:rsidR="00667E77" w:rsidRPr="002029AF" w:rsidRDefault="00667E77" w:rsidP="00667E77">
            <w:pPr>
              <w:pStyle w:val="ARfintablebodyrightbold"/>
              <w:rPr>
                <w:lang w:eastAsia="en-GB"/>
              </w:rPr>
            </w:pPr>
            <w:r w:rsidRPr="002029AF">
              <w:rPr>
                <w:lang w:eastAsia="en-GB"/>
              </w:rPr>
              <w:t>29,756</w:t>
            </w:r>
          </w:p>
        </w:tc>
        <w:tc>
          <w:tcPr>
            <w:tcW w:w="1247" w:type="dxa"/>
            <w:tcBorders>
              <w:bottom w:val="single" w:sz="4" w:space="0" w:color="auto"/>
            </w:tcBorders>
            <w:hideMark/>
          </w:tcPr>
          <w:p w14:paraId="644ADABE" w14:textId="77777777" w:rsidR="00667E77" w:rsidRPr="002029AF" w:rsidRDefault="00667E77" w:rsidP="00667E77">
            <w:pPr>
              <w:pStyle w:val="ARfintablebodyrightbold"/>
              <w:rPr>
                <w:lang w:eastAsia="en-GB"/>
              </w:rPr>
            </w:pPr>
            <w:r w:rsidRPr="002029AF">
              <w:rPr>
                <w:lang w:eastAsia="en-GB"/>
              </w:rPr>
              <w:t>25,199</w:t>
            </w:r>
          </w:p>
        </w:tc>
        <w:tc>
          <w:tcPr>
            <w:tcW w:w="1247" w:type="dxa"/>
            <w:tcBorders>
              <w:bottom w:val="single" w:sz="4" w:space="0" w:color="auto"/>
            </w:tcBorders>
            <w:hideMark/>
          </w:tcPr>
          <w:p w14:paraId="26B6A2E9" w14:textId="77777777" w:rsidR="00667E77" w:rsidRPr="002029AF" w:rsidRDefault="00667E77" w:rsidP="00667E77">
            <w:pPr>
              <w:pStyle w:val="ARfintablebodyrightbold"/>
              <w:rPr>
                <w:lang w:eastAsia="en-GB"/>
              </w:rPr>
            </w:pPr>
            <w:r w:rsidRPr="002029AF">
              <w:rPr>
                <w:lang w:eastAsia="en-GB"/>
              </w:rPr>
              <w:t>18.1</w:t>
            </w:r>
          </w:p>
        </w:tc>
        <w:tc>
          <w:tcPr>
            <w:tcW w:w="680" w:type="dxa"/>
            <w:tcBorders>
              <w:bottom w:val="single" w:sz="4" w:space="0" w:color="auto"/>
            </w:tcBorders>
            <w:hideMark/>
          </w:tcPr>
          <w:p w14:paraId="47949019" w14:textId="77777777" w:rsidR="00667E77" w:rsidRPr="002029AF" w:rsidRDefault="00667E77" w:rsidP="00667E77">
            <w:pPr>
              <w:pStyle w:val="ARfintablebodyright"/>
              <w:rPr>
                <w:lang w:eastAsia="en-GB"/>
              </w:rPr>
            </w:pPr>
          </w:p>
        </w:tc>
      </w:tr>
      <w:tr w:rsidR="00667E77" w:rsidRPr="002029AF" w14:paraId="6447C057" w14:textId="77777777" w:rsidTr="005A117C">
        <w:tc>
          <w:tcPr>
            <w:tcW w:w="9639" w:type="dxa"/>
            <w:gridSpan w:val="5"/>
            <w:tcBorders>
              <w:top w:val="single" w:sz="4" w:space="0" w:color="auto"/>
              <w:bottom w:val="single" w:sz="4" w:space="0" w:color="A6A6A6"/>
            </w:tcBorders>
            <w:hideMark/>
          </w:tcPr>
          <w:p w14:paraId="40F724B3" w14:textId="4F79EFA9" w:rsidR="00667E77" w:rsidRPr="002029AF" w:rsidRDefault="00667E77" w:rsidP="00667E77">
            <w:pPr>
              <w:pStyle w:val="ARfintablebodybold"/>
              <w:rPr>
                <w:lang w:eastAsia="en-GB"/>
              </w:rPr>
            </w:pPr>
            <w:r w:rsidRPr="002029AF">
              <w:rPr>
                <w:lang w:eastAsia="en-GB"/>
              </w:rPr>
              <w:t>Liabilities</w:t>
            </w:r>
          </w:p>
        </w:tc>
      </w:tr>
      <w:tr w:rsidR="00667E77" w:rsidRPr="002029AF" w14:paraId="014DFCD9" w14:textId="77777777" w:rsidTr="005A117C">
        <w:tc>
          <w:tcPr>
            <w:tcW w:w="5218" w:type="dxa"/>
            <w:tcBorders>
              <w:top w:val="single" w:sz="4" w:space="0" w:color="A6A6A6"/>
              <w:bottom w:val="single" w:sz="4" w:space="0" w:color="A6A6A6"/>
            </w:tcBorders>
            <w:hideMark/>
          </w:tcPr>
          <w:p w14:paraId="2FAAB73A" w14:textId="77777777" w:rsidR="00667E77" w:rsidRPr="002029AF" w:rsidRDefault="00667E77" w:rsidP="00667E77">
            <w:pPr>
              <w:pStyle w:val="ARfintablebody"/>
              <w:rPr>
                <w:lang w:eastAsia="en-GB"/>
              </w:rPr>
            </w:pPr>
            <w:r w:rsidRPr="002029AF">
              <w:rPr>
                <w:lang w:eastAsia="en-GB"/>
              </w:rPr>
              <w:t>Payables</w:t>
            </w:r>
          </w:p>
        </w:tc>
        <w:tc>
          <w:tcPr>
            <w:tcW w:w="1247" w:type="dxa"/>
            <w:tcBorders>
              <w:top w:val="single" w:sz="4" w:space="0" w:color="A6A6A6"/>
              <w:bottom w:val="single" w:sz="4" w:space="0" w:color="A6A6A6"/>
            </w:tcBorders>
            <w:hideMark/>
          </w:tcPr>
          <w:p w14:paraId="4343FBF2" w14:textId="77777777" w:rsidR="00667E77" w:rsidRPr="002029AF" w:rsidRDefault="00667E77" w:rsidP="00667E77">
            <w:pPr>
              <w:pStyle w:val="ARfintablebodyright"/>
              <w:rPr>
                <w:lang w:eastAsia="en-GB"/>
              </w:rPr>
            </w:pPr>
            <w:r w:rsidRPr="002029AF">
              <w:rPr>
                <w:lang w:eastAsia="en-GB"/>
              </w:rPr>
              <w:t>3,167</w:t>
            </w:r>
          </w:p>
        </w:tc>
        <w:tc>
          <w:tcPr>
            <w:tcW w:w="1247" w:type="dxa"/>
            <w:tcBorders>
              <w:top w:val="single" w:sz="4" w:space="0" w:color="A6A6A6"/>
              <w:bottom w:val="single" w:sz="4" w:space="0" w:color="A6A6A6"/>
            </w:tcBorders>
            <w:hideMark/>
          </w:tcPr>
          <w:p w14:paraId="22253E85" w14:textId="77777777" w:rsidR="00667E77" w:rsidRPr="002029AF" w:rsidRDefault="00667E77" w:rsidP="00667E77">
            <w:pPr>
              <w:pStyle w:val="ARfintablebodyright"/>
              <w:rPr>
                <w:lang w:eastAsia="en-GB"/>
              </w:rPr>
            </w:pPr>
            <w:r w:rsidRPr="002029AF">
              <w:rPr>
                <w:lang w:eastAsia="en-GB"/>
              </w:rPr>
              <w:t>2,390</w:t>
            </w:r>
          </w:p>
        </w:tc>
        <w:tc>
          <w:tcPr>
            <w:tcW w:w="1247" w:type="dxa"/>
            <w:tcBorders>
              <w:top w:val="single" w:sz="4" w:space="0" w:color="A6A6A6"/>
              <w:bottom w:val="single" w:sz="4" w:space="0" w:color="A6A6A6"/>
            </w:tcBorders>
            <w:hideMark/>
          </w:tcPr>
          <w:p w14:paraId="09DC325C" w14:textId="77777777" w:rsidR="00667E77" w:rsidRPr="002029AF" w:rsidRDefault="00667E77" w:rsidP="00667E77">
            <w:pPr>
              <w:pStyle w:val="ARfintablebodyright"/>
              <w:rPr>
                <w:lang w:eastAsia="en-GB"/>
              </w:rPr>
            </w:pPr>
            <w:r w:rsidRPr="002029AF">
              <w:rPr>
                <w:lang w:eastAsia="en-GB"/>
              </w:rPr>
              <w:t>32.5</w:t>
            </w:r>
          </w:p>
        </w:tc>
        <w:tc>
          <w:tcPr>
            <w:tcW w:w="680" w:type="dxa"/>
            <w:tcBorders>
              <w:top w:val="single" w:sz="4" w:space="0" w:color="A6A6A6"/>
              <w:bottom w:val="single" w:sz="4" w:space="0" w:color="A6A6A6"/>
            </w:tcBorders>
            <w:hideMark/>
          </w:tcPr>
          <w:p w14:paraId="5F84B62E" w14:textId="77777777" w:rsidR="00667E77" w:rsidRPr="002029AF" w:rsidRDefault="00667E77" w:rsidP="00667E77">
            <w:pPr>
              <w:pStyle w:val="ARfintablebodyright"/>
              <w:rPr>
                <w:lang w:eastAsia="en-GB"/>
              </w:rPr>
            </w:pPr>
          </w:p>
        </w:tc>
      </w:tr>
      <w:tr w:rsidR="00667E77" w:rsidRPr="002029AF" w14:paraId="2A35F0A8" w14:textId="77777777" w:rsidTr="005A117C">
        <w:tc>
          <w:tcPr>
            <w:tcW w:w="5218" w:type="dxa"/>
            <w:tcBorders>
              <w:top w:val="single" w:sz="4" w:space="0" w:color="A6A6A6"/>
              <w:bottom w:val="single" w:sz="4" w:space="0" w:color="A6A6A6"/>
            </w:tcBorders>
            <w:hideMark/>
          </w:tcPr>
          <w:p w14:paraId="27E9C728" w14:textId="77777777" w:rsidR="00667E77" w:rsidRPr="002029AF" w:rsidRDefault="00667E77" w:rsidP="00667E77">
            <w:pPr>
              <w:pStyle w:val="ARfintablebody"/>
              <w:rPr>
                <w:lang w:eastAsia="en-GB"/>
              </w:rPr>
            </w:pPr>
            <w:r w:rsidRPr="002029AF">
              <w:rPr>
                <w:lang w:eastAsia="en-GB"/>
              </w:rPr>
              <w:t>Borrowings</w:t>
            </w:r>
          </w:p>
        </w:tc>
        <w:tc>
          <w:tcPr>
            <w:tcW w:w="1247" w:type="dxa"/>
            <w:tcBorders>
              <w:top w:val="single" w:sz="4" w:space="0" w:color="A6A6A6"/>
              <w:bottom w:val="single" w:sz="4" w:space="0" w:color="A6A6A6"/>
            </w:tcBorders>
            <w:hideMark/>
          </w:tcPr>
          <w:p w14:paraId="4E8A1775" w14:textId="77777777" w:rsidR="00667E77" w:rsidRPr="002029AF" w:rsidRDefault="00667E77" w:rsidP="00667E77">
            <w:pPr>
              <w:pStyle w:val="ARfintablebodyright"/>
              <w:rPr>
                <w:lang w:eastAsia="en-GB"/>
              </w:rPr>
            </w:pPr>
            <w:r w:rsidRPr="002029AF">
              <w:rPr>
                <w:lang w:eastAsia="en-GB"/>
              </w:rPr>
              <w:t>3,363</w:t>
            </w:r>
          </w:p>
        </w:tc>
        <w:tc>
          <w:tcPr>
            <w:tcW w:w="1247" w:type="dxa"/>
            <w:tcBorders>
              <w:top w:val="single" w:sz="4" w:space="0" w:color="A6A6A6"/>
              <w:bottom w:val="single" w:sz="4" w:space="0" w:color="A6A6A6"/>
            </w:tcBorders>
            <w:hideMark/>
          </w:tcPr>
          <w:p w14:paraId="22B2C540" w14:textId="77777777" w:rsidR="00667E77" w:rsidRPr="002029AF" w:rsidRDefault="00667E77" w:rsidP="00667E77">
            <w:pPr>
              <w:pStyle w:val="ARfintablebodyright"/>
              <w:rPr>
                <w:lang w:eastAsia="en-GB"/>
              </w:rPr>
            </w:pPr>
            <w:r w:rsidRPr="002029AF">
              <w:rPr>
                <w:lang w:eastAsia="en-GB"/>
              </w:rPr>
              <w:t>3,527</w:t>
            </w:r>
          </w:p>
        </w:tc>
        <w:tc>
          <w:tcPr>
            <w:tcW w:w="1247" w:type="dxa"/>
            <w:tcBorders>
              <w:top w:val="single" w:sz="4" w:space="0" w:color="A6A6A6"/>
              <w:bottom w:val="single" w:sz="4" w:space="0" w:color="A6A6A6"/>
            </w:tcBorders>
            <w:hideMark/>
          </w:tcPr>
          <w:p w14:paraId="3F45ED09" w14:textId="77777777" w:rsidR="00667E77" w:rsidRPr="002029AF" w:rsidRDefault="00667E77" w:rsidP="00667E77">
            <w:pPr>
              <w:pStyle w:val="ARfintablebodyright"/>
              <w:rPr>
                <w:lang w:eastAsia="en-GB"/>
              </w:rPr>
            </w:pPr>
            <w:r w:rsidRPr="002029AF">
              <w:rPr>
                <w:lang w:eastAsia="en-GB"/>
              </w:rPr>
              <w:t>(4.6)</w:t>
            </w:r>
          </w:p>
        </w:tc>
        <w:tc>
          <w:tcPr>
            <w:tcW w:w="680" w:type="dxa"/>
            <w:tcBorders>
              <w:top w:val="single" w:sz="4" w:space="0" w:color="A6A6A6"/>
              <w:bottom w:val="single" w:sz="4" w:space="0" w:color="A6A6A6"/>
            </w:tcBorders>
            <w:hideMark/>
          </w:tcPr>
          <w:p w14:paraId="78A3425D" w14:textId="77777777" w:rsidR="00667E77" w:rsidRPr="002029AF" w:rsidRDefault="00667E77" w:rsidP="00667E77">
            <w:pPr>
              <w:pStyle w:val="ARfintablebodyright"/>
              <w:rPr>
                <w:lang w:eastAsia="en-GB"/>
              </w:rPr>
            </w:pPr>
          </w:p>
        </w:tc>
      </w:tr>
      <w:tr w:rsidR="00667E77" w:rsidRPr="002029AF" w14:paraId="1674E01C" w14:textId="77777777" w:rsidTr="005A117C">
        <w:tc>
          <w:tcPr>
            <w:tcW w:w="5218" w:type="dxa"/>
            <w:tcBorders>
              <w:top w:val="single" w:sz="4" w:space="0" w:color="A6A6A6"/>
            </w:tcBorders>
            <w:hideMark/>
          </w:tcPr>
          <w:p w14:paraId="725E3512" w14:textId="77777777" w:rsidR="00667E77" w:rsidRPr="002029AF" w:rsidRDefault="00667E77" w:rsidP="00667E77">
            <w:pPr>
              <w:pStyle w:val="ARfintablebody"/>
              <w:rPr>
                <w:lang w:eastAsia="en-GB"/>
              </w:rPr>
            </w:pPr>
            <w:r w:rsidRPr="002029AF">
              <w:rPr>
                <w:lang w:eastAsia="en-GB"/>
              </w:rPr>
              <w:t>Provisions</w:t>
            </w:r>
          </w:p>
        </w:tc>
        <w:tc>
          <w:tcPr>
            <w:tcW w:w="1247" w:type="dxa"/>
            <w:tcBorders>
              <w:top w:val="single" w:sz="4" w:space="0" w:color="A6A6A6"/>
            </w:tcBorders>
            <w:hideMark/>
          </w:tcPr>
          <w:p w14:paraId="2326DDCA" w14:textId="77777777" w:rsidR="00667E77" w:rsidRPr="002029AF" w:rsidRDefault="00667E77" w:rsidP="00667E77">
            <w:pPr>
              <w:pStyle w:val="ARfintablebodyright"/>
              <w:rPr>
                <w:lang w:eastAsia="en-GB"/>
              </w:rPr>
            </w:pPr>
            <w:r w:rsidRPr="002029AF">
              <w:rPr>
                <w:lang w:eastAsia="en-GB"/>
              </w:rPr>
              <w:t>4,050</w:t>
            </w:r>
          </w:p>
        </w:tc>
        <w:tc>
          <w:tcPr>
            <w:tcW w:w="1247" w:type="dxa"/>
            <w:tcBorders>
              <w:top w:val="single" w:sz="4" w:space="0" w:color="A6A6A6"/>
            </w:tcBorders>
            <w:hideMark/>
          </w:tcPr>
          <w:p w14:paraId="251757BD" w14:textId="77777777" w:rsidR="00667E77" w:rsidRPr="002029AF" w:rsidRDefault="00667E77" w:rsidP="00667E77">
            <w:pPr>
              <w:pStyle w:val="ARfintablebodyright"/>
              <w:rPr>
                <w:lang w:eastAsia="en-GB"/>
              </w:rPr>
            </w:pPr>
            <w:r w:rsidRPr="002029AF">
              <w:rPr>
                <w:lang w:eastAsia="en-GB"/>
              </w:rPr>
              <w:t>3,376</w:t>
            </w:r>
          </w:p>
        </w:tc>
        <w:tc>
          <w:tcPr>
            <w:tcW w:w="1247" w:type="dxa"/>
            <w:tcBorders>
              <w:top w:val="single" w:sz="4" w:space="0" w:color="A6A6A6"/>
            </w:tcBorders>
            <w:hideMark/>
          </w:tcPr>
          <w:p w14:paraId="0B8DC0D6" w14:textId="77777777" w:rsidR="00667E77" w:rsidRPr="002029AF" w:rsidRDefault="00667E77" w:rsidP="00667E77">
            <w:pPr>
              <w:pStyle w:val="ARfintablebodyright"/>
              <w:rPr>
                <w:lang w:eastAsia="en-GB"/>
              </w:rPr>
            </w:pPr>
            <w:r w:rsidRPr="002029AF">
              <w:rPr>
                <w:lang w:eastAsia="en-GB"/>
              </w:rPr>
              <w:t>20.0</w:t>
            </w:r>
          </w:p>
        </w:tc>
        <w:tc>
          <w:tcPr>
            <w:tcW w:w="680" w:type="dxa"/>
            <w:tcBorders>
              <w:top w:val="single" w:sz="4" w:space="0" w:color="A6A6A6"/>
            </w:tcBorders>
            <w:hideMark/>
          </w:tcPr>
          <w:p w14:paraId="582B76AE" w14:textId="77777777" w:rsidR="00667E77" w:rsidRPr="002029AF" w:rsidRDefault="00667E77" w:rsidP="00667E77">
            <w:pPr>
              <w:pStyle w:val="ARfintablebodyright"/>
              <w:rPr>
                <w:lang w:eastAsia="en-GB"/>
              </w:rPr>
            </w:pPr>
          </w:p>
        </w:tc>
      </w:tr>
      <w:tr w:rsidR="00667E77" w:rsidRPr="002029AF" w14:paraId="2403C1CF" w14:textId="77777777" w:rsidTr="00667E77">
        <w:tc>
          <w:tcPr>
            <w:tcW w:w="5218" w:type="dxa"/>
            <w:hideMark/>
          </w:tcPr>
          <w:p w14:paraId="1CC63F0E" w14:textId="5DD6C9A1" w:rsidR="00667E77" w:rsidRPr="002029AF" w:rsidRDefault="00667E77" w:rsidP="00667E77">
            <w:pPr>
              <w:pStyle w:val="ARfintablebodybold"/>
              <w:rPr>
                <w:lang w:eastAsia="en-GB"/>
              </w:rPr>
            </w:pPr>
            <w:r w:rsidRPr="002029AF">
              <w:rPr>
                <w:lang w:eastAsia="en-GB"/>
              </w:rPr>
              <w:t>Total</w:t>
            </w:r>
            <w:r w:rsidR="000A5329" w:rsidRPr="002029AF">
              <w:rPr>
                <w:lang w:eastAsia="en-GB"/>
              </w:rPr>
              <w:t xml:space="preserve"> </w:t>
            </w:r>
            <w:r w:rsidRPr="002029AF">
              <w:rPr>
                <w:lang w:eastAsia="en-GB"/>
              </w:rPr>
              <w:t>liabilities</w:t>
            </w:r>
          </w:p>
        </w:tc>
        <w:tc>
          <w:tcPr>
            <w:tcW w:w="1247" w:type="dxa"/>
            <w:hideMark/>
          </w:tcPr>
          <w:p w14:paraId="7C6DCE5B" w14:textId="77777777" w:rsidR="00667E77" w:rsidRPr="002029AF" w:rsidRDefault="00667E77" w:rsidP="00667E77">
            <w:pPr>
              <w:pStyle w:val="ARfintablebodyrightbold"/>
              <w:rPr>
                <w:lang w:eastAsia="en-GB"/>
              </w:rPr>
            </w:pPr>
            <w:r w:rsidRPr="002029AF">
              <w:rPr>
                <w:lang w:eastAsia="en-GB"/>
              </w:rPr>
              <w:t>10,579</w:t>
            </w:r>
          </w:p>
        </w:tc>
        <w:tc>
          <w:tcPr>
            <w:tcW w:w="1247" w:type="dxa"/>
            <w:hideMark/>
          </w:tcPr>
          <w:p w14:paraId="1B9263D5" w14:textId="77777777" w:rsidR="00667E77" w:rsidRPr="002029AF" w:rsidRDefault="00667E77" w:rsidP="00667E77">
            <w:pPr>
              <w:pStyle w:val="ARfintablebodyrightbold"/>
              <w:rPr>
                <w:lang w:eastAsia="en-GB"/>
              </w:rPr>
            </w:pPr>
            <w:r w:rsidRPr="002029AF">
              <w:rPr>
                <w:lang w:eastAsia="en-GB"/>
              </w:rPr>
              <w:t>9,293</w:t>
            </w:r>
          </w:p>
        </w:tc>
        <w:tc>
          <w:tcPr>
            <w:tcW w:w="1247" w:type="dxa"/>
            <w:hideMark/>
          </w:tcPr>
          <w:p w14:paraId="5A0CB613" w14:textId="77777777" w:rsidR="00667E77" w:rsidRPr="002029AF" w:rsidRDefault="00667E77" w:rsidP="00667E77">
            <w:pPr>
              <w:pStyle w:val="ARfintablebodyrightbold"/>
              <w:rPr>
                <w:lang w:eastAsia="en-GB"/>
              </w:rPr>
            </w:pPr>
            <w:r w:rsidRPr="002029AF">
              <w:rPr>
                <w:lang w:eastAsia="en-GB"/>
              </w:rPr>
              <w:t>13.8</w:t>
            </w:r>
          </w:p>
        </w:tc>
        <w:tc>
          <w:tcPr>
            <w:tcW w:w="680" w:type="dxa"/>
            <w:hideMark/>
          </w:tcPr>
          <w:p w14:paraId="34B1CC9F" w14:textId="77777777" w:rsidR="00667E77" w:rsidRPr="002029AF" w:rsidRDefault="00667E77" w:rsidP="00667E77">
            <w:pPr>
              <w:pStyle w:val="ARfintablebodyright"/>
              <w:rPr>
                <w:lang w:eastAsia="en-GB"/>
              </w:rPr>
            </w:pPr>
          </w:p>
        </w:tc>
      </w:tr>
      <w:tr w:rsidR="00667E77" w:rsidRPr="002029AF" w14:paraId="3892C839" w14:textId="77777777" w:rsidTr="005A117C">
        <w:tc>
          <w:tcPr>
            <w:tcW w:w="5218" w:type="dxa"/>
            <w:tcBorders>
              <w:bottom w:val="single" w:sz="4" w:space="0" w:color="auto"/>
            </w:tcBorders>
            <w:hideMark/>
          </w:tcPr>
          <w:p w14:paraId="3F2EF811" w14:textId="2CBE35E8" w:rsidR="00667E77" w:rsidRPr="002029AF" w:rsidRDefault="00667E77" w:rsidP="00667E77">
            <w:pPr>
              <w:pStyle w:val="ARfintablebodybold"/>
              <w:rPr>
                <w:lang w:eastAsia="en-GB"/>
              </w:rPr>
            </w:pPr>
            <w:r w:rsidRPr="002029AF">
              <w:rPr>
                <w:lang w:eastAsia="en-GB"/>
              </w:rPr>
              <w:t>Net</w:t>
            </w:r>
            <w:r w:rsidR="000A5329" w:rsidRPr="002029AF">
              <w:rPr>
                <w:lang w:eastAsia="en-GB"/>
              </w:rPr>
              <w:t xml:space="preserve"> </w:t>
            </w:r>
            <w:r w:rsidRPr="002029AF">
              <w:rPr>
                <w:lang w:eastAsia="en-GB"/>
              </w:rPr>
              <w:t>assets</w:t>
            </w:r>
          </w:p>
        </w:tc>
        <w:tc>
          <w:tcPr>
            <w:tcW w:w="1247" w:type="dxa"/>
            <w:tcBorders>
              <w:bottom w:val="single" w:sz="4" w:space="0" w:color="auto"/>
            </w:tcBorders>
            <w:hideMark/>
          </w:tcPr>
          <w:p w14:paraId="07EF842A" w14:textId="77777777" w:rsidR="00667E77" w:rsidRPr="002029AF" w:rsidRDefault="00667E77" w:rsidP="00667E77">
            <w:pPr>
              <w:pStyle w:val="ARfintablebodyrightbold"/>
              <w:rPr>
                <w:lang w:eastAsia="en-GB"/>
              </w:rPr>
            </w:pPr>
            <w:r w:rsidRPr="002029AF">
              <w:rPr>
                <w:lang w:eastAsia="en-GB"/>
              </w:rPr>
              <w:t>19,176</w:t>
            </w:r>
          </w:p>
        </w:tc>
        <w:tc>
          <w:tcPr>
            <w:tcW w:w="1247" w:type="dxa"/>
            <w:tcBorders>
              <w:bottom w:val="single" w:sz="4" w:space="0" w:color="auto"/>
            </w:tcBorders>
            <w:hideMark/>
          </w:tcPr>
          <w:p w14:paraId="0AADE686" w14:textId="77777777" w:rsidR="00667E77" w:rsidRPr="002029AF" w:rsidRDefault="00667E77" w:rsidP="00667E77">
            <w:pPr>
              <w:pStyle w:val="ARfintablebodyrightbold"/>
              <w:rPr>
                <w:lang w:eastAsia="en-GB"/>
              </w:rPr>
            </w:pPr>
            <w:r w:rsidRPr="002029AF">
              <w:rPr>
                <w:lang w:eastAsia="en-GB"/>
              </w:rPr>
              <w:t>15,905</w:t>
            </w:r>
          </w:p>
        </w:tc>
        <w:tc>
          <w:tcPr>
            <w:tcW w:w="1247" w:type="dxa"/>
            <w:tcBorders>
              <w:bottom w:val="single" w:sz="4" w:space="0" w:color="auto"/>
            </w:tcBorders>
            <w:hideMark/>
          </w:tcPr>
          <w:p w14:paraId="4C715D0C" w14:textId="77777777" w:rsidR="00667E77" w:rsidRPr="002029AF" w:rsidRDefault="00667E77" w:rsidP="00667E77">
            <w:pPr>
              <w:pStyle w:val="ARfintablebodyrightbold"/>
              <w:rPr>
                <w:lang w:eastAsia="en-GB"/>
              </w:rPr>
            </w:pPr>
            <w:r w:rsidRPr="002029AF">
              <w:rPr>
                <w:lang w:eastAsia="en-GB"/>
              </w:rPr>
              <w:t>20.6</w:t>
            </w:r>
          </w:p>
        </w:tc>
        <w:tc>
          <w:tcPr>
            <w:tcW w:w="680" w:type="dxa"/>
            <w:tcBorders>
              <w:bottom w:val="single" w:sz="4" w:space="0" w:color="auto"/>
            </w:tcBorders>
            <w:hideMark/>
          </w:tcPr>
          <w:p w14:paraId="340B824E" w14:textId="77777777" w:rsidR="00667E77" w:rsidRPr="002029AF" w:rsidRDefault="00667E77" w:rsidP="00667E77">
            <w:pPr>
              <w:pStyle w:val="ARfintablebodyright"/>
              <w:rPr>
                <w:lang w:eastAsia="en-GB"/>
              </w:rPr>
            </w:pPr>
          </w:p>
        </w:tc>
      </w:tr>
      <w:tr w:rsidR="00667E77" w:rsidRPr="002029AF" w14:paraId="329A992F" w14:textId="77777777" w:rsidTr="005A117C">
        <w:tc>
          <w:tcPr>
            <w:tcW w:w="9639" w:type="dxa"/>
            <w:gridSpan w:val="5"/>
            <w:tcBorders>
              <w:top w:val="single" w:sz="4" w:space="0" w:color="auto"/>
              <w:bottom w:val="single" w:sz="4" w:space="0" w:color="A6A6A6"/>
            </w:tcBorders>
            <w:hideMark/>
          </w:tcPr>
          <w:p w14:paraId="7CBB2580" w14:textId="4E0E8B41" w:rsidR="00667E77" w:rsidRPr="002029AF" w:rsidRDefault="00667E77" w:rsidP="00667E77">
            <w:pPr>
              <w:pStyle w:val="ARfintablebodybold"/>
              <w:rPr>
                <w:lang w:eastAsia="en-GB"/>
              </w:rPr>
            </w:pPr>
            <w:r w:rsidRPr="002029AF">
              <w:rPr>
                <w:lang w:eastAsia="en-GB"/>
              </w:rPr>
              <w:t>Equity</w:t>
            </w:r>
          </w:p>
        </w:tc>
      </w:tr>
      <w:tr w:rsidR="00667E77" w:rsidRPr="002029AF" w14:paraId="59BE33CA" w14:textId="77777777" w:rsidTr="005A117C">
        <w:tc>
          <w:tcPr>
            <w:tcW w:w="5218" w:type="dxa"/>
            <w:tcBorders>
              <w:top w:val="single" w:sz="4" w:space="0" w:color="A6A6A6"/>
              <w:bottom w:val="single" w:sz="4" w:space="0" w:color="A6A6A6"/>
            </w:tcBorders>
            <w:hideMark/>
          </w:tcPr>
          <w:p w14:paraId="6FF37950" w14:textId="23AF97F0" w:rsidR="00667E77" w:rsidRPr="002029AF" w:rsidRDefault="00667E77" w:rsidP="00667E77">
            <w:pPr>
              <w:pStyle w:val="ARfintablebody"/>
              <w:rPr>
                <w:lang w:eastAsia="en-GB"/>
              </w:rPr>
            </w:pPr>
            <w:r w:rsidRPr="002029AF">
              <w:rPr>
                <w:lang w:eastAsia="en-GB"/>
              </w:rPr>
              <w:t>Accumulated</w:t>
            </w:r>
            <w:r w:rsidR="000A5329" w:rsidRPr="002029AF">
              <w:rPr>
                <w:lang w:eastAsia="en-GB"/>
              </w:rPr>
              <w:t xml:space="preserve"> </w:t>
            </w:r>
            <w:r w:rsidRPr="002029AF">
              <w:rPr>
                <w:lang w:eastAsia="en-GB"/>
              </w:rPr>
              <w:t>surplus/(deficit)</w:t>
            </w:r>
          </w:p>
        </w:tc>
        <w:tc>
          <w:tcPr>
            <w:tcW w:w="1247" w:type="dxa"/>
            <w:tcBorders>
              <w:top w:val="single" w:sz="4" w:space="0" w:color="A6A6A6"/>
              <w:bottom w:val="single" w:sz="4" w:space="0" w:color="A6A6A6"/>
            </w:tcBorders>
            <w:hideMark/>
          </w:tcPr>
          <w:p w14:paraId="6A81D8B6" w14:textId="77777777" w:rsidR="00667E77" w:rsidRPr="002029AF" w:rsidRDefault="00667E77" w:rsidP="00667E77">
            <w:pPr>
              <w:pStyle w:val="ARfintablebodyright"/>
              <w:rPr>
                <w:lang w:eastAsia="en-GB"/>
              </w:rPr>
            </w:pPr>
            <w:r w:rsidRPr="002029AF">
              <w:rPr>
                <w:lang w:eastAsia="en-GB"/>
              </w:rPr>
              <w:t>2,544</w:t>
            </w:r>
          </w:p>
        </w:tc>
        <w:tc>
          <w:tcPr>
            <w:tcW w:w="1247" w:type="dxa"/>
            <w:tcBorders>
              <w:top w:val="single" w:sz="4" w:space="0" w:color="A6A6A6"/>
              <w:bottom w:val="single" w:sz="4" w:space="0" w:color="A6A6A6"/>
            </w:tcBorders>
            <w:hideMark/>
          </w:tcPr>
          <w:p w14:paraId="1263B8A1" w14:textId="77777777" w:rsidR="00667E77" w:rsidRPr="002029AF" w:rsidRDefault="00667E77" w:rsidP="00667E77">
            <w:pPr>
              <w:pStyle w:val="ARfintablebodyright"/>
              <w:rPr>
                <w:lang w:eastAsia="en-GB"/>
              </w:rPr>
            </w:pPr>
            <w:r w:rsidRPr="002029AF">
              <w:rPr>
                <w:lang w:eastAsia="en-GB"/>
              </w:rPr>
              <w:t>2,161</w:t>
            </w:r>
          </w:p>
        </w:tc>
        <w:tc>
          <w:tcPr>
            <w:tcW w:w="1247" w:type="dxa"/>
            <w:tcBorders>
              <w:top w:val="single" w:sz="4" w:space="0" w:color="A6A6A6"/>
              <w:bottom w:val="single" w:sz="4" w:space="0" w:color="A6A6A6"/>
            </w:tcBorders>
            <w:hideMark/>
          </w:tcPr>
          <w:p w14:paraId="16AEAB4B" w14:textId="77777777" w:rsidR="00667E77" w:rsidRPr="002029AF" w:rsidRDefault="00667E77" w:rsidP="00667E77">
            <w:pPr>
              <w:pStyle w:val="ARfintablebodyright"/>
              <w:rPr>
                <w:lang w:eastAsia="en-GB"/>
              </w:rPr>
            </w:pPr>
            <w:r w:rsidRPr="002029AF">
              <w:rPr>
                <w:lang w:eastAsia="en-GB"/>
              </w:rPr>
              <w:t>17.7</w:t>
            </w:r>
          </w:p>
        </w:tc>
        <w:tc>
          <w:tcPr>
            <w:tcW w:w="680" w:type="dxa"/>
            <w:tcBorders>
              <w:top w:val="single" w:sz="4" w:space="0" w:color="A6A6A6"/>
              <w:bottom w:val="single" w:sz="4" w:space="0" w:color="A6A6A6"/>
            </w:tcBorders>
            <w:hideMark/>
          </w:tcPr>
          <w:p w14:paraId="45EE1591" w14:textId="77777777" w:rsidR="00667E77" w:rsidRPr="002029AF" w:rsidRDefault="00667E77" w:rsidP="00667E77">
            <w:pPr>
              <w:pStyle w:val="ARfintablebodyright"/>
              <w:rPr>
                <w:lang w:eastAsia="en-GB"/>
              </w:rPr>
            </w:pPr>
          </w:p>
        </w:tc>
      </w:tr>
      <w:tr w:rsidR="00667E77" w:rsidRPr="002029AF" w14:paraId="7030DEFD" w14:textId="77777777" w:rsidTr="005A117C">
        <w:tc>
          <w:tcPr>
            <w:tcW w:w="5218" w:type="dxa"/>
            <w:tcBorders>
              <w:top w:val="single" w:sz="4" w:space="0" w:color="A6A6A6"/>
            </w:tcBorders>
            <w:hideMark/>
          </w:tcPr>
          <w:p w14:paraId="70D5BD99" w14:textId="544655CA" w:rsidR="00667E77" w:rsidRPr="002029AF" w:rsidRDefault="00667E77" w:rsidP="00667E77">
            <w:pPr>
              <w:pStyle w:val="ARfintablebody"/>
              <w:rPr>
                <w:lang w:eastAsia="en-GB"/>
              </w:rPr>
            </w:pPr>
            <w:r w:rsidRPr="002029AF">
              <w:rPr>
                <w:lang w:eastAsia="en-GB"/>
              </w:rPr>
              <w:t>Contributed</w:t>
            </w:r>
            <w:r w:rsidR="000A5329" w:rsidRPr="002029AF">
              <w:rPr>
                <w:lang w:eastAsia="en-GB"/>
              </w:rPr>
              <w:t xml:space="preserve"> </w:t>
            </w:r>
            <w:r w:rsidRPr="002029AF">
              <w:rPr>
                <w:lang w:eastAsia="en-GB"/>
              </w:rPr>
              <w:t>capital</w:t>
            </w:r>
            <w:r w:rsidR="000A5329" w:rsidRPr="002029AF">
              <w:rPr>
                <w:lang w:eastAsia="en-GB"/>
              </w:rPr>
              <w:t xml:space="preserve"> </w:t>
            </w:r>
            <w:r w:rsidRPr="002029AF">
              <w:rPr>
                <w:lang w:eastAsia="en-GB"/>
              </w:rPr>
              <w:t>and</w:t>
            </w:r>
            <w:r w:rsidR="000A5329" w:rsidRPr="002029AF">
              <w:rPr>
                <w:lang w:eastAsia="en-GB"/>
              </w:rPr>
              <w:t xml:space="preserve"> </w:t>
            </w:r>
            <w:r w:rsidRPr="002029AF">
              <w:rPr>
                <w:lang w:eastAsia="en-GB"/>
              </w:rPr>
              <w:t>reserves</w:t>
            </w:r>
          </w:p>
        </w:tc>
        <w:tc>
          <w:tcPr>
            <w:tcW w:w="1247" w:type="dxa"/>
            <w:tcBorders>
              <w:top w:val="single" w:sz="4" w:space="0" w:color="A6A6A6"/>
            </w:tcBorders>
            <w:hideMark/>
          </w:tcPr>
          <w:p w14:paraId="52D78207" w14:textId="77777777" w:rsidR="00667E77" w:rsidRPr="002029AF" w:rsidRDefault="00667E77" w:rsidP="00667E77">
            <w:pPr>
              <w:pStyle w:val="ARfintablebodyright"/>
              <w:rPr>
                <w:lang w:eastAsia="en-GB"/>
              </w:rPr>
            </w:pPr>
            <w:r w:rsidRPr="002029AF">
              <w:rPr>
                <w:lang w:eastAsia="en-GB"/>
              </w:rPr>
              <w:t>16,632</w:t>
            </w:r>
          </w:p>
        </w:tc>
        <w:tc>
          <w:tcPr>
            <w:tcW w:w="1247" w:type="dxa"/>
            <w:tcBorders>
              <w:top w:val="single" w:sz="4" w:space="0" w:color="A6A6A6"/>
            </w:tcBorders>
            <w:hideMark/>
          </w:tcPr>
          <w:p w14:paraId="30A432AA" w14:textId="77777777" w:rsidR="00667E77" w:rsidRPr="002029AF" w:rsidRDefault="00667E77" w:rsidP="00667E77">
            <w:pPr>
              <w:pStyle w:val="ARfintablebodyright"/>
              <w:rPr>
                <w:lang w:eastAsia="en-GB"/>
              </w:rPr>
            </w:pPr>
            <w:r w:rsidRPr="002029AF">
              <w:rPr>
                <w:lang w:eastAsia="en-GB"/>
              </w:rPr>
              <w:t>13,745</w:t>
            </w:r>
          </w:p>
        </w:tc>
        <w:tc>
          <w:tcPr>
            <w:tcW w:w="1247" w:type="dxa"/>
            <w:tcBorders>
              <w:top w:val="single" w:sz="4" w:space="0" w:color="A6A6A6"/>
            </w:tcBorders>
            <w:hideMark/>
          </w:tcPr>
          <w:p w14:paraId="263881B8" w14:textId="77777777" w:rsidR="00667E77" w:rsidRPr="002029AF" w:rsidRDefault="00667E77" w:rsidP="00667E77">
            <w:pPr>
              <w:pStyle w:val="ARfintablebodyright"/>
              <w:rPr>
                <w:lang w:eastAsia="en-GB"/>
              </w:rPr>
            </w:pPr>
            <w:r w:rsidRPr="002029AF">
              <w:rPr>
                <w:lang w:eastAsia="en-GB"/>
              </w:rPr>
              <w:t>21.0</w:t>
            </w:r>
          </w:p>
        </w:tc>
        <w:tc>
          <w:tcPr>
            <w:tcW w:w="680" w:type="dxa"/>
            <w:tcBorders>
              <w:top w:val="single" w:sz="4" w:space="0" w:color="A6A6A6"/>
            </w:tcBorders>
            <w:hideMark/>
          </w:tcPr>
          <w:p w14:paraId="60D54124" w14:textId="77777777" w:rsidR="00667E77" w:rsidRPr="002029AF" w:rsidRDefault="00667E77" w:rsidP="00667E77">
            <w:pPr>
              <w:pStyle w:val="ARfintablebodyright"/>
              <w:rPr>
                <w:lang w:eastAsia="en-GB"/>
              </w:rPr>
            </w:pPr>
          </w:p>
        </w:tc>
      </w:tr>
      <w:tr w:rsidR="00667E77" w:rsidRPr="002029AF" w14:paraId="15521B5D" w14:textId="77777777" w:rsidTr="00667E77">
        <w:tc>
          <w:tcPr>
            <w:tcW w:w="5218" w:type="dxa"/>
            <w:hideMark/>
          </w:tcPr>
          <w:p w14:paraId="1DE772BE" w14:textId="62F76084" w:rsidR="00667E77" w:rsidRPr="002029AF" w:rsidRDefault="00667E77" w:rsidP="00667E77">
            <w:pPr>
              <w:pStyle w:val="ARfintablebodybold"/>
              <w:rPr>
                <w:lang w:eastAsia="en-GB"/>
              </w:rPr>
            </w:pPr>
            <w:r w:rsidRPr="002029AF">
              <w:rPr>
                <w:lang w:eastAsia="en-GB"/>
              </w:rPr>
              <w:t>Total</w:t>
            </w:r>
            <w:r w:rsidR="000A5329" w:rsidRPr="002029AF">
              <w:rPr>
                <w:lang w:eastAsia="en-GB"/>
              </w:rPr>
              <w:t xml:space="preserve"> </w:t>
            </w:r>
            <w:r w:rsidRPr="002029AF">
              <w:rPr>
                <w:lang w:eastAsia="en-GB"/>
              </w:rPr>
              <w:t>equity</w:t>
            </w:r>
          </w:p>
        </w:tc>
        <w:tc>
          <w:tcPr>
            <w:tcW w:w="1247" w:type="dxa"/>
            <w:hideMark/>
          </w:tcPr>
          <w:p w14:paraId="5329ACFA" w14:textId="77777777" w:rsidR="00667E77" w:rsidRPr="002029AF" w:rsidRDefault="00667E77" w:rsidP="00667E77">
            <w:pPr>
              <w:pStyle w:val="ARfintablebodyrightbold"/>
              <w:rPr>
                <w:lang w:eastAsia="en-GB"/>
              </w:rPr>
            </w:pPr>
            <w:r w:rsidRPr="002029AF">
              <w:rPr>
                <w:lang w:eastAsia="en-GB"/>
              </w:rPr>
              <w:t>19,176</w:t>
            </w:r>
          </w:p>
        </w:tc>
        <w:tc>
          <w:tcPr>
            <w:tcW w:w="1247" w:type="dxa"/>
            <w:hideMark/>
          </w:tcPr>
          <w:p w14:paraId="00DDD761" w14:textId="77777777" w:rsidR="00667E77" w:rsidRPr="002029AF" w:rsidRDefault="00667E77" w:rsidP="00667E77">
            <w:pPr>
              <w:pStyle w:val="ARfintablebodyrightbold"/>
              <w:rPr>
                <w:lang w:eastAsia="en-GB"/>
              </w:rPr>
            </w:pPr>
            <w:r w:rsidRPr="002029AF">
              <w:rPr>
                <w:lang w:eastAsia="en-GB"/>
              </w:rPr>
              <w:t>15,905</w:t>
            </w:r>
          </w:p>
        </w:tc>
        <w:tc>
          <w:tcPr>
            <w:tcW w:w="1247" w:type="dxa"/>
            <w:hideMark/>
          </w:tcPr>
          <w:p w14:paraId="599C4E92" w14:textId="77777777" w:rsidR="00667E77" w:rsidRPr="002029AF" w:rsidRDefault="00667E77" w:rsidP="00667E77">
            <w:pPr>
              <w:pStyle w:val="ARfintablebodyrightbold"/>
              <w:rPr>
                <w:lang w:eastAsia="en-GB"/>
              </w:rPr>
            </w:pPr>
            <w:r w:rsidRPr="002029AF">
              <w:rPr>
                <w:lang w:eastAsia="en-GB"/>
              </w:rPr>
              <w:t>20.6</w:t>
            </w:r>
          </w:p>
        </w:tc>
        <w:tc>
          <w:tcPr>
            <w:tcW w:w="680" w:type="dxa"/>
            <w:hideMark/>
          </w:tcPr>
          <w:p w14:paraId="5C7F28EE" w14:textId="77777777" w:rsidR="00667E77" w:rsidRPr="002029AF" w:rsidRDefault="00667E77" w:rsidP="00667E77">
            <w:pPr>
              <w:pStyle w:val="ARfintablebodyright"/>
              <w:rPr>
                <w:lang w:eastAsia="en-GB"/>
              </w:rPr>
            </w:pPr>
          </w:p>
        </w:tc>
      </w:tr>
    </w:tbl>
    <w:p w14:paraId="744FCD43" w14:textId="1952175E" w:rsidR="00665D4A" w:rsidRPr="002029AF" w:rsidRDefault="00665D4A" w:rsidP="00FF3CAB">
      <w:pPr>
        <w:pStyle w:val="ARtablefootnotenumbered"/>
        <w:numPr>
          <w:ilvl w:val="0"/>
          <w:numId w:val="41"/>
        </w:numPr>
      </w:pPr>
      <w:r w:rsidRPr="002029AF">
        <w:t>Reflects</w:t>
      </w:r>
      <w:r w:rsidR="000A5329" w:rsidRPr="002029AF">
        <w:t xml:space="preserve"> </w:t>
      </w:r>
      <w:r w:rsidRPr="002029AF">
        <w:t>the</w:t>
      </w:r>
      <w:r w:rsidR="000A5329" w:rsidRPr="002029AF">
        <w:t xml:space="preserve"> </w:t>
      </w:r>
      <w:r w:rsidRPr="002029AF">
        <w:t>impairment</w:t>
      </w:r>
      <w:r w:rsidR="000A5329" w:rsidRPr="002029AF">
        <w:t xml:space="preserve"> </w:t>
      </w:r>
      <w:r w:rsidRPr="002029AF">
        <w:t>of</w:t>
      </w:r>
      <w:r w:rsidR="000A5329" w:rsidRPr="002029AF">
        <w:t xml:space="preserve"> </w:t>
      </w:r>
      <w:r w:rsidRPr="002029AF">
        <w:t>Australian</w:t>
      </w:r>
      <w:r w:rsidR="000A5329" w:rsidRPr="002029AF">
        <w:t xml:space="preserve"> </w:t>
      </w:r>
      <w:r w:rsidRPr="002029AF">
        <w:t>Regenerative</w:t>
      </w:r>
      <w:r w:rsidR="000A5329" w:rsidRPr="002029AF">
        <w:t xml:space="preserve"> </w:t>
      </w:r>
      <w:r w:rsidRPr="002029AF">
        <w:t>Medicine</w:t>
      </w:r>
      <w:r w:rsidR="000A5329" w:rsidRPr="002029AF">
        <w:t xml:space="preserve"> </w:t>
      </w:r>
      <w:r w:rsidRPr="002029AF">
        <w:t>Institute</w:t>
      </w:r>
      <w:r w:rsidR="000A5329" w:rsidRPr="002029AF">
        <w:t xml:space="preserve"> </w:t>
      </w:r>
      <w:r w:rsidRPr="002029AF">
        <w:t>(ARMI)</w:t>
      </w:r>
      <w:r w:rsidR="000A5329" w:rsidRPr="002029AF">
        <w:t xml:space="preserve"> </w:t>
      </w:r>
      <w:r w:rsidRPr="002029AF">
        <w:t>Joint</w:t>
      </w:r>
      <w:r w:rsidR="000A5329" w:rsidRPr="002029AF">
        <w:t xml:space="preserve"> </w:t>
      </w:r>
      <w:r w:rsidRPr="002029AF">
        <w:t>Venture</w:t>
      </w:r>
      <w:r w:rsidR="000A5329" w:rsidRPr="002029AF">
        <w:t xml:space="preserve"> </w:t>
      </w:r>
      <w:r w:rsidRPr="002029AF">
        <w:t>between</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and</w:t>
      </w:r>
      <w:r w:rsidR="000A5329" w:rsidRPr="002029AF">
        <w:t xml:space="preserve"> </w:t>
      </w:r>
      <w:r w:rsidRPr="002029AF">
        <w:t>Monash</w:t>
      </w:r>
      <w:r w:rsidR="000A5329" w:rsidRPr="002029AF">
        <w:t xml:space="preserve"> </w:t>
      </w:r>
      <w:r w:rsidRPr="002029AF">
        <w:t>University</w:t>
      </w:r>
      <w:r w:rsidR="000A5329" w:rsidRPr="002029AF">
        <w:t xml:space="preserve"> </w:t>
      </w:r>
      <w:r w:rsidRPr="002029AF">
        <w:t>to</w:t>
      </w:r>
      <w:r w:rsidR="000A5329" w:rsidRPr="002029AF">
        <w:t xml:space="preserve"> </w:t>
      </w:r>
      <w:r w:rsidRPr="002029AF">
        <w:t>its</w:t>
      </w:r>
      <w:r w:rsidR="000A5329" w:rsidRPr="002029AF">
        <w:t xml:space="preserve"> </w:t>
      </w:r>
      <w:r w:rsidRPr="002029AF">
        <w:t>fair</w:t>
      </w:r>
      <w:r w:rsidR="000A5329" w:rsidRPr="002029AF">
        <w:t xml:space="preserve"> </w:t>
      </w:r>
      <w:r w:rsidRPr="002029AF">
        <w:t>value</w:t>
      </w:r>
      <w:r w:rsidR="000A5329" w:rsidRPr="002029AF">
        <w:t xml:space="preserve"> </w:t>
      </w:r>
      <w:r w:rsidRPr="002029AF">
        <w:t>of</w:t>
      </w:r>
      <w:r w:rsidR="000A5329" w:rsidRPr="002029AF">
        <w:t xml:space="preserve"> </w:t>
      </w:r>
      <w:r w:rsidRPr="002029AF">
        <w:t>nil</w:t>
      </w:r>
      <w:r w:rsidR="000A5329" w:rsidRPr="002029AF">
        <w:t xml:space="preserve"> </w:t>
      </w:r>
      <w:r w:rsidRPr="002029AF">
        <w:t>due</w:t>
      </w:r>
      <w:r w:rsidR="000A5329" w:rsidRPr="002029AF">
        <w:t xml:space="preserve"> </w:t>
      </w:r>
      <w:r w:rsidRPr="002029AF">
        <w:t>to</w:t>
      </w:r>
      <w:r w:rsidR="000A5329" w:rsidRPr="002029AF">
        <w:t xml:space="preserve"> </w:t>
      </w:r>
      <w:r w:rsidRPr="002029AF">
        <w:t>the</w:t>
      </w:r>
      <w:r w:rsidR="000A5329" w:rsidRPr="002029AF">
        <w:t xml:space="preserve"> </w:t>
      </w:r>
      <w:r w:rsidRPr="002029AF">
        <w:t>commencement</w:t>
      </w:r>
      <w:r w:rsidR="000A5329" w:rsidRPr="002029AF">
        <w:t xml:space="preserve"> </w:t>
      </w:r>
      <w:r w:rsidRPr="002029AF">
        <w:t>of</w:t>
      </w:r>
      <w:r w:rsidR="000A5329" w:rsidRPr="002029AF">
        <w:t xml:space="preserve"> </w:t>
      </w:r>
      <w:r w:rsidRPr="002029AF">
        <w:t>joint</w:t>
      </w:r>
      <w:r w:rsidR="000A5329" w:rsidRPr="002029AF">
        <w:t xml:space="preserve"> </w:t>
      </w:r>
      <w:r w:rsidRPr="002029AF">
        <w:t>venture</w:t>
      </w:r>
      <w:r w:rsidR="000A5329" w:rsidRPr="002029AF">
        <w:t xml:space="preserve"> </w:t>
      </w:r>
      <w:r w:rsidRPr="002029AF">
        <w:t>termination</w:t>
      </w:r>
      <w:r w:rsidR="000A5329" w:rsidRPr="002029AF">
        <w:t xml:space="preserve"> </w:t>
      </w:r>
      <w:r w:rsidRPr="002029AF">
        <w:t>proceedings</w:t>
      </w:r>
      <w:r w:rsidR="000A5329" w:rsidRPr="002029AF">
        <w:t xml:space="preserve"> </w:t>
      </w:r>
      <w:r w:rsidRPr="002029AF">
        <w:t>which</w:t>
      </w:r>
      <w:r w:rsidR="000A5329" w:rsidRPr="002029AF">
        <w:t xml:space="preserve"> </w:t>
      </w:r>
      <w:r w:rsidRPr="002029AF">
        <w:t>was</w:t>
      </w:r>
      <w:r w:rsidR="000A5329" w:rsidRPr="002029AF">
        <w:t xml:space="preserve"> </w:t>
      </w:r>
      <w:r w:rsidRPr="002029AF">
        <w:t>not</w:t>
      </w:r>
      <w:r w:rsidR="000A5329" w:rsidRPr="002029AF">
        <w:t xml:space="preserve"> </w:t>
      </w:r>
      <w:r w:rsidRPr="002029AF">
        <w:t>reflected</w:t>
      </w:r>
      <w:r w:rsidR="000A5329" w:rsidRPr="002029AF">
        <w:t xml:space="preserve"> </w:t>
      </w:r>
      <w:r w:rsidRPr="002029AF">
        <w:t>in</w:t>
      </w:r>
      <w:r w:rsidR="000A5329" w:rsidRPr="002029AF">
        <w:t xml:space="preserve"> </w:t>
      </w:r>
      <w:r w:rsidRPr="002029AF">
        <w:t>the</w:t>
      </w:r>
      <w:r w:rsidR="000A5329" w:rsidRPr="002029AF">
        <w:t xml:space="preserve"> </w:t>
      </w:r>
      <w:r w:rsidRPr="002029AF">
        <w:t>published</w:t>
      </w:r>
      <w:r w:rsidR="000A5329" w:rsidRPr="002029AF">
        <w:t xml:space="preserve"> </w:t>
      </w:r>
      <w:r w:rsidRPr="002029AF">
        <w:t>budget.</w:t>
      </w:r>
    </w:p>
    <w:p w14:paraId="34827B00" w14:textId="2A98865F" w:rsidR="00665D4A" w:rsidRPr="002029AF" w:rsidRDefault="00665D4A" w:rsidP="00DF71B8">
      <w:pPr>
        <w:pStyle w:val="ARtablefootnotenumbered"/>
      </w:pPr>
      <w:r w:rsidRPr="002029AF">
        <w:t>Reflects</w:t>
      </w:r>
      <w:r w:rsidR="000A5329" w:rsidRPr="002029AF">
        <w:t xml:space="preserve"> </w:t>
      </w:r>
      <w:r w:rsidRPr="002029AF">
        <w:t>the</w:t>
      </w:r>
      <w:r w:rsidR="000A5329" w:rsidRPr="002029AF">
        <w:t xml:space="preserve"> </w:t>
      </w:r>
      <w:r w:rsidRPr="002029AF">
        <w:t>inventory</w:t>
      </w:r>
      <w:r w:rsidR="000A5329" w:rsidRPr="002029AF">
        <w:t xml:space="preserve"> </w:t>
      </w:r>
      <w:r w:rsidRPr="002029AF">
        <w:t>being</w:t>
      </w:r>
      <w:r w:rsidR="000A5329" w:rsidRPr="002029AF">
        <w:t xml:space="preserve"> </w:t>
      </w:r>
      <w:r w:rsidRPr="002029AF">
        <w:t>held</w:t>
      </w:r>
      <w:r w:rsidR="000A5329" w:rsidRPr="002029AF">
        <w:t xml:space="preserve"> </w:t>
      </w:r>
      <w:r w:rsidRPr="002029AF">
        <w:t>in</w:t>
      </w:r>
      <w:r w:rsidR="000A5329" w:rsidRPr="002029AF">
        <w:t xml:space="preserve"> </w:t>
      </w:r>
      <w:r w:rsidRPr="002029AF">
        <w:t>relation</w:t>
      </w:r>
      <w:r w:rsidR="000A5329" w:rsidRPr="002029AF">
        <w:t xml:space="preserve"> </w:t>
      </w:r>
      <w:r w:rsidRPr="002029AF">
        <w:t>to</w:t>
      </w:r>
      <w:r w:rsidR="000A5329" w:rsidRPr="002029AF">
        <w:t xml:space="preserve"> </w:t>
      </w:r>
      <w:r w:rsidRPr="002029AF">
        <w:t>personal</w:t>
      </w:r>
      <w:r w:rsidR="000A5329" w:rsidRPr="002029AF">
        <w:t xml:space="preserve"> </w:t>
      </w:r>
      <w:r w:rsidRPr="002029AF">
        <w:t>protective</w:t>
      </w:r>
      <w:r w:rsidR="000A5329" w:rsidRPr="002029AF">
        <w:t xml:space="preserve"> </w:t>
      </w:r>
      <w:r w:rsidRPr="002029AF">
        <w:t>equipment</w:t>
      </w:r>
      <w:r w:rsidR="000A5329" w:rsidRPr="002029AF">
        <w:t xml:space="preserve"> </w:t>
      </w:r>
      <w:r w:rsidRPr="002029AF">
        <w:t>in</w:t>
      </w:r>
      <w:r w:rsidR="000A5329" w:rsidRPr="002029AF">
        <w:t xml:space="preserve"> </w:t>
      </w:r>
      <w:r w:rsidRPr="002029AF">
        <w:t>response</w:t>
      </w:r>
      <w:r w:rsidR="000A5329" w:rsidRPr="002029AF">
        <w:t xml:space="preserve"> </w:t>
      </w:r>
      <w:r w:rsidRPr="002029AF">
        <w:t>to</w:t>
      </w:r>
      <w:r w:rsidR="000A5329" w:rsidRPr="002029AF">
        <w:t xml:space="preserve"> </w:t>
      </w:r>
      <w:r w:rsidRPr="002029AF">
        <w:t>the</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pandemic</w:t>
      </w:r>
      <w:r w:rsidR="000A5329" w:rsidRPr="002029AF">
        <w:t xml:space="preserve"> </w:t>
      </w:r>
      <w:r w:rsidRPr="002029AF">
        <w:t>which</w:t>
      </w:r>
      <w:r w:rsidR="000A5329" w:rsidRPr="002029AF">
        <w:t xml:space="preserve"> </w:t>
      </w:r>
      <w:r w:rsidRPr="002029AF">
        <w:t>was</w:t>
      </w:r>
      <w:r w:rsidR="000A5329" w:rsidRPr="002029AF">
        <w:t xml:space="preserve"> </w:t>
      </w:r>
      <w:r w:rsidRPr="002029AF">
        <w:t>not</w:t>
      </w:r>
      <w:r w:rsidR="000A5329" w:rsidRPr="002029AF">
        <w:t xml:space="preserve"> </w:t>
      </w:r>
      <w:r w:rsidRPr="002029AF">
        <w:t>reflected</w:t>
      </w:r>
      <w:r w:rsidR="000A5329" w:rsidRPr="002029AF">
        <w:t xml:space="preserve"> </w:t>
      </w:r>
      <w:r w:rsidRPr="002029AF">
        <w:t>in</w:t>
      </w:r>
      <w:r w:rsidR="000A5329" w:rsidRPr="002029AF">
        <w:t xml:space="preserve"> </w:t>
      </w:r>
      <w:r w:rsidRPr="002029AF">
        <w:t>the</w:t>
      </w:r>
      <w:r w:rsidR="000A5329" w:rsidRPr="002029AF">
        <w:t xml:space="preserve"> </w:t>
      </w:r>
      <w:r w:rsidRPr="002029AF">
        <w:t>published</w:t>
      </w:r>
      <w:r w:rsidR="000A5329" w:rsidRPr="002029AF">
        <w:t xml:space="preserve"> </w:t>
      </w:r>
      <w:r w:rsidRPr="002029AF">
        <w:t>budget.</w:t>
      </w:r>
    </w:p>
    <w:p w14:paraId="0CB58BFD" w14:textId="6A106FE1" w:rsidR="00665D4A" w:rsidRPr="002029AF" w:rsidRDefault="00665D4A" w:rsidP="00DF71B8">
      <w:pPr>
        <w:pStyle w:val="ARtablefootnotenumbered"/>
      </w:pPr>
      <w:r w:rsidRPr="002029AF">
        <w:t>The</w:t>
      </w:r>
      <w:r w:rsidR="000A5329" w:rsidRPr="002029AF">
        <w:t xml:space="preserve"> </w:t>
      </w:r>
      <w:r w:rsidRPr="002029AF">
        <w:t>variance</w:t>
      </w:r>
      <w:r w:rsidR="000A5329" w:rsidRPr="002029AF">
        <w:t xml:space="preserve"> </w:t>
      </w:r>
      <w:r w:rsidRPr="002029AF">
        <w:t>to</w:t>
      </w:r>
      <w:r w:rsidR="000A5329" w:rsidRPr="002029AF">
        <w:t xml:space="preserve"> </w:t>
      </w:r>
      <w:r w:rsidRPr="002029AF">
        <w:t>published</w:t>
      </w:r>
      <w:r w:rsidR="000A5329" w:rsidRPr="002029AF">
        <w:t xml:space="preserve"> </w:t>
      </w:r>
      <w:r w:rsidRPr="002029AF">
        <w:t>budget</w:t>
      </w:r>
      <w:r w:rsidR="000A5329" w:rsidRPr="002029AF">
        <w:t xml:space="preserve"> </w:t>
      </w:r>
      <w:r w:rsidRPr="002029AF">
        <w:t>is</w:t>
      </w:r>
      <w:r w:rsidR="000A5329" w:rsidRPr="002029AF">
        <w:t xml:space="preserve"> </w:t>
      </w:r>
      <w:r w:rsidRPr="002029AF">
        <w:t>mainly</w:t>
      </w:r>
      <w:r w:rsidR="000A5329" w:rsidRPr="002029AF">
        <w:t xml:space="preserve"> </w:t>
      </w:r>
      <w:r w:rsidRPr="002029AF">
        <w:t>due</w:t>
      </w:r>
      <w:r w:rsidR="000A5329" w:rsidRPr="002029AF">
        <w:t xml:space="preserve"> </w:t>
      </w:r>
      <w:r w:rsidRPr="002029AF">
        <w:t>to</w:t>
      </w:r>
      <w:r w:rsidR="000A5329" w:rsidRPr="002029AF">
        <w:t xml:space="preserve"> </w:t>
      </w:r>
      <w:r w:rsidRPr="002029AF">
        <w:t>the</w:t>
      </w:r>
      <w:r w:rsidR="000A5329" w:rsidRPr="002029AF">
        <w:t xml:space="preserve"> </w:t>
      </w:r>
      <w:r w:rsidRPr="002029AF">
        <w:t>old</w:t>
      </w:r>
      <w:r w:rsidR="000A5329" w:rsidRPr="002029AF">
        <w:t xml:space="preserve"> </w:t>
      </w:r>
      <w:r w:rsidRPr="002029AF">
        <w:t>Peter</w:t>
      </w:r>
      <w:r w:rsidR="000A5329" w:rsidRPr="002029AF">
        <w:t xml:space="preserve"> </w:t>
      </w:r>
      <w:r w:rsidRPr="002029AF">
        <w:t>MacCallum</w:t>
      </w:r>
      <w:r w:rsidR="000A5329" w:rsidRPr="002029AF">
        <w:t xml:space="preserve"> </w:t>
      </w:r>
      <w:r w:rsidRPr="002029AF">
        <w:t>Cancer</w:t>
      </w:r>
      <w:r w:rsidR="000A5329" w:rsidRPr="002029AF">
        <w:t xml:space="preserve"> </w:t>
      </w:r>
      <w:r w:rsidRPr="002029AF">
        <w:t>Centre</w:t>
      </w:r>
      <w:r w:rsidR="000A5329" w:rsidRPr="002029AF">
        <w:t xml:space="preserve"> </w:t>
      </w:r>
      <w:r w:rsidRPr="002029AF">
        <w:t>site</w:t>
      </w:r>
      <w:r w:rsidR="000A5329" w:rsidRPr="002029AF">
        <w:t xml:space="preserve"> </w:t>
      </w:r>
      <w:r w:rsidRPr="002029AF">
        <w:t>being</w:t>
      </w:r>
      <w:r w:rsidR="000A5329" w:rsidRPr="002029AF">
        <w:t xml:space="preserve"> </w:t>
      </w:r>
      <w:r w:rsidRPr="002029AF">
        <w:t>reclassified</w:t>
      </w:r>
      <w:r w:rsidR="000A5329" w:rsidRPr="002029AF">
        <w:t xml:space="preserve"> </w:t>
      </w:r>
      <w:r w:rsidRPr="002029AF">
        <w:t>from</w:t>
      </w:r>
      <w:r w:rsidR="000A5329" w:rsidRPr="002029AF">
        <w:t xml:space="preserve"> </w:t>
      </w:r>
      <w:r w:rsidRPr="002029AF">
        <w:t>‘held</w:t>
      </w:r>
      <w:r w:rsidR="000A5329" w:rsidRPr="002029AF">
        <w:t xml:space="preserve"> </w:t>
      </w:r>
      <w:r w:rsidRPr="002029AF">
        <w:t>for</w:t>
      </w:r>
      <w:r w:rsidR="000A5329" w:rsidRPr="002029AF">
        <w:t xml:space="preserve"> </w:t>
      </w:r>
      <w:r w:rsidRPr="002029AF">
        <w:t>sale’</w:t>
      </w:r>
      <w:r w:rsidR="000A5329" w:rsidRPr="002029AF">
        <w:t xml:space="preserve"> </w:t>
      </w:r>
      <w:r w:rsidRPr="002029AF">
        <w:t>asset</w:t>
      </w:r>
      <w:r w:rsidR="000A5329" w:rsidRPr="002029AF">
        <w:t xml:space="preserve"> </w:t>
      </w:r>
      <w:r w:rsidRPr="002029AF">
        <w:t>to</w:t>
      </w:r>
      <w:r w:rsidR="000A5329" w:rsidRPr="002029AF">
        <w:t xml:space="preserve"> </w:t>
      </w:r>
      <w:r w:rsidRPr="002029AF">
        <w:t>property,</w:t>
      </w:r>
      <w:r w:rsidR="000A5329" w:rsidRPr="002029AF">
        <w:t xml:space="preserve"> </w:t>
      </w:r>
      <w:r w:rsidRPr="002029AF">
        <w:t>plant</w:t>
      </w:r>
      <w:r w:rsidR="000A5329" w:rsidRPr="002029AF">
        <w:t xml:space="preserve"> </w:t>
      </w:r>
      <w:r w:rsidRPr="002029AF">
        <w:t>and</w:t>
      </w:r>
      <w:r w:rsidR="000A5329" w:rsidRPr="002029AF">
        <w:t xml:space="preserve"> </w:t>
      </w:r>
      <w:r w:rsidRPr="002029AF">
        <w:t>equipment</w:t>
      </w:r>
      <w:r w:rsidR="000A5329" w:rsidRPr="002029AF">
        <w:t xml:space="preserve"> </w:t>
      </w:r>
      <w:r w:rsidRPr="002029AF">
        <w:t>which</w:t>
      </w:r>
      <w:r w:rsidR="000A5329" w:rsidRPr="002029AF">
        <w:t xml:space="preserve"> </w:t>
      </w:r>
      <w:r w:rsidRPr="002029AF">
        <w:t>was</w:t>
      </w:r>
      <w:r w:rsidR="000A5329" w:rsidRPr="002029AF">
        <w:t xml:space="preserve"> </w:t>
      </w:r>
      <w:r w:rsidRPr="002029AF">
        <w:t>not</w:t>
      </w:r>
      <w:r w:rsidR="000A5329" w:rsidRPr="002029AF">
        <w:t xml:space="preserve"> </w:t>
      </w:r>
      <w:r w:rsidRPr="002029AF">
        <w:t>yet</w:t>
      </w:r>
      <w:r w:rsidR="000A5329" w:rsidRPr="002029AF">
        <w:t xml:space="preserve"> </w:t>
      </w:r>
      <w:r w:rsidRPr="002029AF">
        <w:t>known</w:t>
      </w:r>
      <w:r w:rsidR="000A5329" w:rsidRPr="002029AF">
        <w:t xml:space="preserve"> </w:t>
      </w:r>
      <w:r w:rsidRPr="002029AF">
        <w:t>at</w:t>
      </w:r>
      <w:r w:rsidR="000A5329" w:rsidRPr="002029AF">
        <w:t xml:space="preserve"> </w:t>
      </w:r>
      <w:r w:rsidRPr="002029AF">
        <w:t>the</w:t>
      </w:r>
      <w:r w:rsidR="000A5329" w:rsidRPr="002029AF">
        <w:t xml:space="preserve"> </w:t>
      </w:r>
      <w:r w:rsidRPr="002029AF">
        <w:t>time</w:t>
      </w:r>
      <w:r w:rsidR="000A5329" w:rsidRPr="002029AF">
        <w:t xml:space="preserve"> </w:t>
      </w:r>
      <w:r w:rsidRPr="002029AF">
        <w:t>of</w:t>
      </w:r>
      <w:r w:rsidR="000A5329" w:rsidRPr="002029AF">
        <w:t xml:space="preserve"> </w:t>
      </w:r>
      <w:r w:rsidRPr="002029AF">
        <w:t>the</w:t>
      </w:r>
      <w:r w:rsidR="000A5329" w:rsidRPr="002029AF">
        <w:t xml:space="preserve"> </w:t>
      </w:r>
      <w:r w:rsidRPr="002029AF">
        <w:t>published</w:t>
      </w:r>
      <w:r w:rsidR="000A5329" w:rsidRPr="002029AF">
        <w:t xml:space="preserve"> </w:t>
      </w:r>
      <w:r w:rsidRPr="002029AF">
        <w:t>budget.</w:t>
      </w:r>
      <w:r w:rsidR="000A5329" w:rsidRPr="002029AF">
        <w:t xml:space="preserve"> </w:t>
      </w:r>
      <w:r w:rsidRPr="002029AF">
        <w:t>This</w:t>
      </w:r>
      <w:r w:rsidR="000A5329" w:rsidRPr="002029AF">
        <w:t xml:space="preserve"> </w:t>
      </w:r>
      <w:r w:rsidRPr="002029AF">
        <w:t>was</w:t>
      </w:r>
      <w:r w:rsidR="000A5329" w:rsidRPr="002029AF">
        <w:t xml:space="preserve"> </w:t>
      </w:r>
      <w:r w:rsidRPr="002029AF">
        <w:t>updated</w:t>
      </w:r>
      <w:r w:rsidR="000A5329" w:rsidRPr="002029AF">
        <w:t xml:space="preserve"> </w:t>
      </w:r>
      <w:r w:rsidRPr="002029AF">
        <w:t>and</w:t>
      </w:r>
      <w:r w:rsidR="000A5329" w:rsidRPr="002029AF">
        <w:t xml:space="preserve"> </w:t>
      </w:r>
      <w:r w:rsidRPr="002029AF">
        <w:t>reflected</w:t>
      </w:r>
      <w:r w:rsidR="000A5329" w:rsidRPr="002029AF">
        <w:t xml:space="preserve"> </w:t>
      </w:r>
      <w:r w:rsidRPr="002029AF">
        <w:t>in</w:t>
      </w:r>
      <w:r w:rsidR="000A5329" w:rsidRPr="002029AF">
        <w:t xml:space="preserve"> </w:t>
      </w:r>
      <w:r w:rsidRPr="002029AF">
        <w:t>the</w:t>
      </w:r>
      <w:r w:rsidR="000A5329" w:rsidRPr="002029AF">
        <w:t xml:space="preserve"> </w:t>
      </w:r>
      <w:r w:rsidRPr="002029AF">
        <w:t>actual</w:t>
      </w:r>
      <w:r w:rsidR="000A5329" w:rsidRPr="002029AF">
        <w:t xml:space="preserve"> </w:t>
      </w:r>
      <w:r w:rsidRPr="002029AF">
        <w:t>numbers</w:t>
      </w:r>
      <w:r w:rsidR="000A5329" w:rsidRPr="002029AF">
        <w:t xml:space="preserve"> </w:t>
      </w:r>
      <w:r w:rsidRPr="002029AF">
        <w:t>when</w:t>
      </w:r>
      <w:r w:rsidR="000A5329" w:rsidRPr="002029AF">
        <w:t xml:space="preserve"> </w:t>
      </w:r>
      <w:r w:rsidRPr="002029AF">
        <w:t>an</w:t>
      </w:r>
      <w:r w:rsidR="000A5329" w:rsidRPr="002029AF">
        <w:t xml:space="preserve"> </w:t>
      </w:r>
      <w:r w:rsidRPr="002029AF">
        <w:t>assessment</w:t>
      </w:r>
      <w:r w:rsidR="000A5329" w:rsidRPr="002029AF">
        <w:t xml:space="preserve"> </w:t>
      </w:r>
      <w:r w:rsidRPr="002029AF">
        <w:t>was</w:t>
      </w:r>
      <w:r w:rsidR="000A5329" w:rsidRPr="002029AF">
        <w:t xml:space="preserve"> </w:t>
      </w:r>
      <w:r w:rsidRPr="002029AF">
        <w:t>made</w:t>
      </w:r>
      <w:r w:rsidR="000A5329" w:rsidRPr="002029AF">
        <w:t xml:space="preserve"> </w:t>
      </w:r>
      <w:r w:rsidRPr="002029AF">
        <w:t>for</w:t>
      </w:r>
      <w:r w:rsidR="000A5329" w:rsidRPr="002029AF">
        <w:t xml:space="preserve"> </w:t>
      </w:r>
      <w:r w:rsidRPr="002029AF">
        <w:t>2018–19</w:t>
      </w:r>
      <w:r w:rsidR="000A5329" w:rsidRPr="002029AF">
        <w:t xml:space="preserve"> </w:t>
      </w:r>
      <w:r w:rsidRPr="002029AF">
        <w:t>year</w:t>
      </w:r>
      <w:r w:rsidR="000A5329" w:rsidRPr="002029AF">
        <w:t xml:space="preserve"> </w:t>
      </w:r>
      <w:r w:rsidRPr="002029AF">
        <w:t>end</w:t>
      </w:r>
      <w:r w:rsidR="000A5329" w:rsidRPr="002029AF">
        <w:t xml:space="preserve"> </w:t>
      </w:r>
      <w:r w:rsidRPr="002029AF">
        <w:t>reporting</w:t>
      </w:r>
      <w:r w:rsidR="000A5329" w:rsidRPr="002029AF">
        <w:t xml:space="preserve"> </w:t>
      </w:r>
      <w:r w:rsidRPr="002029AF">
        <w:t>and</w:t>
      </w:r>
      <w:r w:rsidR="000A5329" w:rsidRPr="002029AF">
        <w:t xml:space="preserve"> </w:t>
      </w:r>
      <w:r w:rsidRPr="002029AF">
        <w:t>it</w:t>
      </w:r>
      <w:r w:rsidR="000A5329" w:rsidRPr="002029AF">
        <w:t xml:space="preserve"> </w:t>
      </w:r>
      <w:r w:rsidRPr="002029AF">
        <w:t>was</w:t>
      </w:r>
      <w:r w:rsidR="000A5329" w:rsidRPr="002029AF">
        <w:t xml:space="preserve"> </w:t>
      </w:r>
      <w:r w:rsidRPr="002029AF">
        <w:t>concluded</w:t>
      </w:r>
      <w:r w:rsidR="000A5329" w:rsidRPr="002029AF">
        <w:t xml:space="preserve"> </w:t>
      </w:r>
      <w:r w:rsidRPr="002029AF">
        <w:t>that</w:t>
      </w:r>
      <w:r w:rsidR="000A5329" w:rsidRPr="002029AF">
        <w:t xml:space="preserve"> </w:t>
      </w:r>
      <w:r w:rsidRPr="002029AF">
        <w:t>the</w:t>
      </w:r>
      <w:r w:rsidR="000A5329" w:rsidRPr="002029AF">
        <w:t xml:space="preserve"> </w:t>
      </w:r>
      <w:r w:rsidRPr="002029AF">
        <w:t>assets</w:t>
      </w:r>
      <w:r w:rsidR="000A5329" w:rsidRPr="002029AF">
        <w:t xml:space="preserve"> </w:t>
      </w:r>
      <w:r w:rsidRPr="002029AF">
        <w:t>no</w:t>
      </w:r>
      <w:r w:rsidR="000A5329" w:rsidRPr="002029AF">
        <w:t xml:space="preserve"> </w:t>
      </w:r>
      <w:r w:rsidRPr="002029AF">
        <w:t>longer</w:t>
      </w:r>
      <w:r w:rsidR="000A5329" w:rsidRPr="002029AF">
        <w:t xml:space="preserve"> </w:t>
      </w:r>
      <w:r w:rsidRPr="002029AF">
        <w:t>meet</w:t>
      </w:r>
      <w:r w:rsidR="000A5329" w:rsidRPr="002029AF">
        <w:t xml:space="preserve"> </w:t>
      </w:r>
      <w:r w:rsidRPr="002029AF">
        <w:t>the</w:t>
      </w:r>
      <w:r w:rsidR="000A5329" w:rsidRPr="002029AF">
        <w:t xml:space="preserve"> </w:t>
      </w:r>
      <w:r w:rsidRPr="002029AF">
        <w:t>accounting</w:t>
      </w:r>
      <w:r w:rsidR="000A5329" w:rsidRPr="002029AF">
        <w:t xml:space="preserve"> </w:t>
      </w:r>
      <w:r w:rsidRPr="002029AF">
        <w:t>definition</w:t>
      </w:r>
      <w:r w:rsidR="000A5329" w:rsidRPr="002029AF">
        <w:t xml:space="preserve"> </w:t>
      </w:r>
      <w:r w:rsidRPr="002029AF">
        <w:t>of</w:t>
      </w:r>
      <w:r w:rsidR="000A5329" w:rsidRPr="002029AF">
        <w:t xml:space="preserve"> </w:t>
      </w:r>
      <w:r w:rsidRPr="002029AF">
        <w:t>‘held</w:t>
      </w:r>
      <w:r w:rsidR="000A5329" w:rsidRPr="002029AF">
        <w:t xml:space="preserve"> </w:t>
      </w:r>
      <w:r w:rsidRPr="002029AF">
        <w:t>for</w:t>
      </w:r>
      <w:r w:rsidR="000A5329" w:rsidRPr="002029AF">
        <w:t xml:space="preserve"> </w:t>
      </w:r>
      <w:r w:rsidRPr="002029AF">
        <w:t>sale’.</w:t>
      </w:r>
    </w:p>
    <w:p w14:paraId="2BC82C59" w14:textId="6499CF9F" w:rsidR="00665D4A" w:rsidRPr="002029AF" w:rsidRDefault="00665D4A" w:rsidP="00DF71B8">
      <w:pPr>
        <w:pStyle w:val="ARtablefootnotenumbered"/>
      </w:pPr>
      <w:r w:rsidRPr="002029AF">
        <w:t>The</w:t>
      </w:r>
      <w:r w:rsidR="000A5329" w:rsidRPr="002029AF">
        <w:t xml:space="preserve"> </w:t>
      </w:r>
      <w:r w:rsidRPr="002029AF">
        <w:t>variance</w:t>
      </w:r>
      <w:r w:rsidR="000A5329" w:rsidRPr="002029AF">
        <w:t xml:space="preserve"> </w:t>
      </w:r>
      <w:r w:rsidRPr="002029AF">
        <w:t>to</w:t>
      </w:r>
      <w:r w:rsidR="000A5329" w:rsidRPr="002029AF">
        <w:t xml:space="preserve"> </w:t>
      </w:r>
      <w:r w:rsidRPr="002029AF">
        <w:t>published</w:t>
      </w:r>
      <w:r w:rsidR="000A5329" w:rsidRPr="002029AF">
        <w:t xml:space="preserve"> </w:t>
      </w:r>
      <w:r w:rsidRPr="002029AF">
        <w:t>budget</w:t>
      </w:r>
      <w:r w:rsidR="000A5329" w:rsidRPr="002029AF">
        <w:t xml:space="preserve"> </w:t>
      </w:r>
      <w:r w:rsidRPr="002029AF">
        <w:t>is</w:t>
      </w:r>
      <w:r w:rsidR="000A5329" w:rsidRPr="002029AF">
        <w:t xml:space="preserve"> </w:t>
      </w:r>
      <w:r w:rsidRPr="002029AF">
        <w:t>mainly</w:t>
      </w:r>
      <w:r w:rsidR="000A5329" w:rsidRPr="002029AF">
        <w:t xml:space="preserve"> </w:t>
      </w:r>
      <w:r w:rsidRPr="002029AF">
        <w:t>due</w:t>
      </w:r>
      <w:r w:rsidR="000A5329" w:rsidRPr="002029AF">
        <w:t xml:space="preserve"> </w:t>
      </w:r>
      <w:r w:rsidRPr="002029AF">
        <w:t>to</w:t>
      </w:r>
      <w:r w:rsidR="000A5329" w:rsidRPr="002029AF">
        <w:t xml:space="preserve"> </w:t>
      </w:r>
      <w:r w:rsidRPr="002029AF">
        <w:t>land</w:t>
      </w:r>
      <w:r w:rsidR="000A5329" w:rsidRPr="002029AF">
        <w:t xml:space="preserve"> </w:t>
      </w:r>
      <w:r w:rsidRPr="002029AF">
        <w:t>and</w:t>
      </w:r>
      <w:r w:rsidR="000A5329" w:rsidRPr="002029AF">
        <w:t xml:space="preserve"> </w:t>
      </w:r>
      <w:r w:rsidRPr="002029AF">
        <w:t>buildings</w:t>
      </w:r>
      <w:r w:rsidR="000A5329" w:rsidRPr="002029AF">
        <w:t xml:space="preserve"> </w:t>
      </w:r>
      <w:r w:rsidRPr="002029AF">
        <w:t>held</w:t>
      </w:r>
      <w:r w:rsidR="000A5329" w:rsidRPr="002029AF">
        <w:t xml:space="preserve"> </w:t>
      </w:r>
      <w:r w:rsidRPr="002029AF">
        <w:t>by</w:t>
      </w:r>
      <w:r w:rsidR="000A5329" w:rsidRPr="002029AF">
        <w:t xml:space="preserve"> </w:t>
      </w:r>
      <w:r w:rsidRPr="002029AF">
        <w:t>The</w:t>
      </w:r>
      <w:r w:rsidR="000A5329" w:rsidRPr="002029AF">
        <w:t xml:space="preserve"> </w:t>
      </w:r>
      <w:r w:rsidRPr="002029AF">
        <w:t>Royal</w:t>
      </w:r>
      <w:r w:rsidR="000A5329" w:rsidRPr="002029AF">
        <w:t xml:space="preserve"> </w:t>
      </w:r>
      <w:r w:rsidRPr="002029AF">
        <w:t>Women’s</w:t>
      </w:r>
      <w:r w:rsidR="000A5329" w:rsidRPr="002029AF">
        <w:t xml:space="preserve"> </w:t>
      </w:r>
      <w:r w:rsidRPr="002029AF">
        <w:t>Hospital</w:t>
      </w:r>
      <w:r w:rsidR="000A5329" w:rsidRPr="002029AF">
        <w:t xml:space="preserve"> </w:t>
      </w:r>
      <w:r w:rsidRPr="002029AF">
        <w:t>being</w:t>
      </w:r>
      <w:r w:rsidR="000A5329" w:rsidRPr="002029AF">
        <w:t xml:space="preserve"> </w:t>
      </w:r>
      <w:r w:rsidRPr="002029AF">
        <w:t>reclassified</w:t>
      </w:r>
      <w:r w:rsidR="000A5329" w:rsidRPr="002029AF">
        <w:t xml:space="preserve"> </w:t>
      </w:r>
      <w:r w:rsidRPr="002029AF">
        <w:t>from</w:t>
      </w:r>
      <w:r w:rsidR="000A5329" w:rsidRPr="002029AF">
        <w:t xml:space="preserve"> </w:t>
      </w:r>
      <w:r w:rsidRPr="002029AF">
        <w:t>property,</w:t>
      </w:r>
      <w:r w:rsidR="000A5329" w:rsidRPr="002029AF">
        <w:t xml:space="preserve"> </w:t>
      </w:r>
      <w:r w:rsidRPr="002029AF">
        <w:t>plant</w:t>
      </w:r>
      <w:r w:rsidR="000A5329" w:rsidRPr="002029AF">
        <w:t xml:space="preserve"> </w:t>
      </w:r>
      <w:r w:rsidRPr="002029AF">
        <w:t>and</w:t>
      </w:r>
      <w:r w:rsidR="000A5329" w:rsidRPr="002029AF">
        <w:t xml:space="preserve"> </w:t>
      </w:r>
      <w:r w:rsidRPr="002029AF">
        <w:t>equipment</w:t>
      </w:r>
      <w:r w:rsidR="000A5329" w:rsidRPr="002029AF">
        <w:t xml:space="preserve"> </w:t>
      </w:r>
      <w:r w:rsidRPr="002029AF">
        <w:t>to</w:t>
      </w:r>
      <w:r w:rsidR="000A5329" w:rsidRPr="002029AF">
        <w:t xml:space="preserve"> </w:t>
      </w:r>
      <w:r w:rsidRPr="002029AF">
        <w:t>investment</w:t>
      </w:r>
      <w:r w:rsidR="000A5329" w:rsidRPr="002029AF">
        <w:t xml:space="preserve"> </w:t>
      </w:r>
      <w:r w:rsidRPr="002029AF">
        <w:t>properties</w:t>
      </w:r>
      <w:r w:rsidR="000A5329" w:rsidRPr="002029AF">
        <w:t xml:space="preserve"> </w:t>
      </w:r>
      <w:r w:rsidRPr="002029AF">
        <w:t>which</w:t>
      </w:r>
      <w:r w:rsidR="000A5329" w:rsidRPr="002029AF">
        <w:t xml:space="preserve"> </w:t>
      </w:r>
      <w:r w:rsidRPr="002029AF">
        <w:t>was</w:t>
      </w:r>
      <w:r w:rsidR="000A5329" w:rsidRPr="002029AF">
        <w:t xml:space="preserve"> </w:t>
      </w:r>
      <w:r w:rsidRPr="002029AF">
        <w:t>not</w:t>
      </w:r>
      <w:r w:rsidR="000A5329" w:rsidRPr="002029AF">
        <w:t xml:space="preserve"> </w:t>
      </w:r>
      <w:r w:rsidRPr="002029AF">
        <w:t>yet</w:t>
      </w:r>
      <w:r w:rsidR="000A5329" w:rsidRPr="002029AF">
        <w:t xml:space="preserve"> </w:t>
      </w:r>
      <w:r w:rsidRPr="002029AF">
        <w:t>known</w:t>
      </w:r>
      <w:r w:rsidR="000A5329" w:rsidRPr="002029AF">
        <w:t xml:space="preserve"> </w:t>
      </w:r>
      <w:r w:rsidRPr="002029AF">
        <w:t>at</w:t>
      </w:r>
      <w:r w:rsidR="000A5329" w:rsidRPr="002029AF">
        <w:t xml:space="preserve"> </w:t>
      </w:r>
      <w:r w:rsidRPr="002029AF">
        <w:t>the</w:t>
      </w:r>
      <w:r w:rsidR="000A5329" w:rsidRPr="002029AF">
        <w:t xml:space="preserve"> </w:t>
      </w:r>
      <w:r w:rsidRPr="002029AF">
        <w:t>time</w:t>
      </w:r>
      <w:r w:rsidR="000A5329" w:rsidRPr="002029AF">
        <w:t xml:space="preserve"> </w:t>
      </w:r>
      <w:r w:rsidRPr="002029AF">
        <w:t>of</w:t>
      </w:r>
      <w:r w:rsidR="000A5329" w:rsidRPr="002029AF">
        <w:t xml:space="preserve"> </w:t>
      </w:r>
      <w:r w:rsidRPr="002029AF">
        <w:t>the</w:t>
      </w:r>
      <w:r w:rsidR="000A5329" w:rsidRPr="002029AF">
        <w:t xml:space="preserve"> </w:t>
      </w:r>
      <w:r w:rsidRPr="002029AF">
        <w:t>published</w:t>
      </w:r>
      <w:r w:rsidR="000A5329" w:rsidRPr="002029AF">
        <w:t xml:space="preserve"> </w:t>
      </w:r>
      <w:r w:rsidRPr="002029AF">
        <w:t>budget.</w:t>
      </w:r>
      <w:r w:rsidR="000A5329" w:rsidRPr="002029AF">
        <w:t xml:space="preserve"> </w:t>
      </w:r>
      <w:r w:rsidRPr="002029AF">
        <w:t>These</w:t>
      </w:r>
      <w:r w:rsidR="000A5329" w:rsidRPr="002029AF">
        <w:t xml:space="preserve"> </w:t>
      </w:r>
      <w:r w:rsidRPr="002029AF">
        <w:t>were</w:t>
      </w:r>
      <w:r w:rsidR="000A5329" w:rsidRPr="002029AF">
        <w:t xml:space="preserve"> </w:t>
      </w:r>
      <w:r w:rsidRPr="002029AF">
        <w:t>reclassified</w:t>
      </w:r>
      <w:r w:rsidR="000A5329" w:rsidRPr="002029AF">
        <w:t xml:space="preserve"> </w:t>
      </w:r>
      <w:r w:rsidRPr="002029AF">
        <w:t>as</w:t>
      </w:r>
      <w:r w:rsidR="000A5329" w:rsidRPr="002029AF">
        <w:t xml:space="preserve"> </w:t>
      </w:r>
      <w:r w:rsidRPr="002029AF">
        <w:t>investment</w:t>
      </w:r>
      <w:r w:rsidR="000A5329" w:rsidRPr="002029AF">
        <w:t xml:space="preserve"> </w:t>
      </w:r>
      <w:r w:rsidRPr="002029AF">
        <w:t>properties</w:t>
      </w:r>
      <w:r w:rsidR="000A5329" w:rsidRPr="002029AF">
        <w:t xml:space="preserve"> </w:t>
      </w:r>
      <w:r w:rsidRPr="002029AF">
        <w:t>as</w:t>
      </w:r>
      <w:r w:rsidR="000A5329" w:rsidRPr="002029AF">
        <w:t xml:space="preserve"> </w:t>
      </w:r>
      <w:r w:rsidRPr="002029AF">
        <w:t>at</w:t>
      </w:r>
      <w:r w:rsidR="000A5329" w:rsidRPr="002029AF">
        <w:t xml:space="preserve"> </w:t>
      </w:r>
      <w:r w:rsidRPr="002029AF">
        <w:t>30</w:t>
      </w:r>
      <w:r w:rsidR="000A5329" w:rsidRPr="002029AF">
        <w:t xml:space="preserve"> </w:t>
      </w:r>
      <w:r w:rsidRPr="002029AF">
        <w:t>June</w:t>
      </w:r>
      <w:r w:rsidR="000A5329" w:rsidRPr="002029AF">
        <w:t xml:space="preserve"> </w:t>
      </w:r>
      <w:r w:rsidRPr="002029AF">
        <w:t>2019</w:t>
      </w:r>
      <w:r w:rsidR="000A5329" w:rsidRPr="002029AF">
        <w:t xml:space="preserve"> </w:t>
      </w:r>
      <w:r w:rsidRPr="002029AF">
        <w:t>following</w:t>
      </w:r>
      <w:r w:rsidR="000A5329" w:rsidRPr="002029AF">
        <w:t xml:space="preserve"> </w:t>
      </w:r>
      <w:r w:rsidRPr="002029AF">
        <w:t>an</w:t>
      </w:r>
      <w:r w:rsidR="000A5329" w:rsidRPr="002029AF">
        <w:t xml:space="preserve"> </w:t>
      </w:r>
      <w:r w:rsidRPr="002029AF">
        <w:t>assessment</w:t>
      </w:r>
      <w:r w:rsidR="000A5329" w:rsidRPr="002029AF">
        <w:t xml:space="preserve"> </w:t>
      </w:r>
      <w:r w:rsidRPr="002029AF">
        <w:t>made</w:t>
      </w:r>
      <w:r w:rsidR="000A5329" w:rsidRPr="002029AF">
        <w:t xml:space="preserve"> </w:t>
      </w:r>
      <w:r w:rsidRPr="002029AF">
        <w:t>for</w:t>
      </w:r>
      <w:r w:rsidR="000A5329" w:rsidRPr="002029AF">
        <w:t xml:space="preserve"> </w:t>
      </w:r>
      <w:r w:rsidRPr="002029AF">
        <w:t>2018–19</w:t>
      </w:r>
      <w:r w:rsidR="000A5329" w:rsidRPr="002029AF">
        <w:t xml:space="preserve"> </w:t>
      </w:r>
      <w:r w:rsidRPr="002029AF">
        <w:t>year-end</w:t>
      </w:r>
      <w:r w:rsidR="000A5329" w:rsidRPr="002029AF">
        <w:t xml:space="preserve"> </w:t>
      </w:r>
      <w:r w:rsidRPr="002029AF">
        <w:t>reporting</w:t>
      </w:r>
      <w:r w:rsidR="000A5329" w:rsidRPr="002029AF">
        <w:t xml:space="preserve"> </w:t>
      </w:r>
      <w:r w:rsidRPr="002029AF">
        <w:t>purposes.</w:t>
      </w:r>
    </w:p>
    <w:p w14:paraId="395A1817" w14:textId="17ABD4A7" w:rsidR="00665D4A" w:rsidRPr="002029AF" w:rsidRDefault="00665D4A" w:rsidP="00DF71B8">
      <w:pPr>
        <w:pStyle w:val="ARtablefootnotenumbered"/>
      </w:pPr>
      <w:r w:rsidRPr="002029AF">
        <w:t>The</w:t>
      </w:r>
      <w:r w:rsidR="000A5329" w:rsidRPr="002029AF">
        <w:t xml:space="preserve"> </w:t>
      </w:r>
      <w:r w:rsidRPr="002029AF">
        <w:t>variance</w:t>
      </w:r>
      <w:r w:rsidR="000A5329" w:rsidRPr="002029AF">
        <w:t xml:space="preserve"> </w:t>
      </w:r>
      <w:r w:rsidRPr="002029AF">
        <w:t>reflects</w:t>
      </w:r>
      <w:r w:rsidR="000A5329" w:rsidRPr="002029AF">
        <w:t xml:space="preserve"> </w:t>
      </w:r>
      <w:r w:rsidRPr="002029AF">
        <w:t>increases</w:t>
      </w:r>
      <w:r w:rsidR="000A5329" w:rsidRPr="002029AF">
        <w:t xml:space="preserve"> </w:t>
      </w:r>
      <w:r w:rsidRPr="002029AF">
        <w:t>in</w:t>
      </w:r>
      <w:r w:rsidR="000A5329" w:rsidRPr="002029AF">
        <w:t xml:space="preserve"> </w:t>
      </w:r>
      <w:r w:rsidRPr="002029AF">
        <w:t>the</w:t>
      </w:r>
      <w:r w:rsidR="000A5329" w:rsidRPr="002029AF">
        <w:t xml:space="preserve"> </w:t>
      </w:r>
      <w:r w:rsidRPr="002029AF">
        <w:t>actual</w:t>
      </w:r>
      <w:r w:rsidR="000A5329" w:rsidRPr="002029AF">
        <w:t xml:space="preserve"> </w:t>
      </w:r>
      <w:r w:rsidRPr="002029AF">
        <w:t>value</w:t>
      </w:r>
      <w:r w:rsidR="000A5329" w:rsidRPr="002029AF">
        <w:t xml:space="preserve"> </w:t>
      </w:r>
      <w:r w:rsidRPr="002029AF">
        <w:t>of</w:t>
      </w:r>
      <w:r w:rsidR="000A5329" w:rsidRPr="002029AF">
        <w:t xml:space="preserve"> </w:t>
      </w:r>
      <w:r w:rsidRPr="002029AF">
        <w:t>software</w:t>
      </w:r>
      <w:r w:rsidR="000A5329" w:rsidRPr="002029AF">
        <w:t xml:space="preserve"> </w:t>
      </w:r>
      <w:r w:rsidRPr="002029AF">
        <w:t>assets</w:t>
      </w:r>
      <w:r w:rsidR="000A5329" w:rsidRPr="002029AF">
        <w:t xml:space="preserve"> </w:t>
      </w:r>
      <w:r w:rsidRPr="002029AF">
        <w:t>recognised</w:t>
      </w:r>
      <w:r w:rsidR="000A5329" w:rsidRPr="002029AF">
        <w:t xml:space="preserve"> </w:t>
      </w:r>
      <w:r w:rsidRPr="002029AF">
        <w:t>during</w:t>
      </w:r>
      <w:r w:rsidR="000A5329" w:rsidRPr="002029AF">
        <w:t xml:space="preserve"> </w:t>
      </w:r>
      <w:r w:rsidRPr="002029AF">
        <w:t>the</w:t>
      </w:r>
      <w:r w:rsidR="000A5329" w:rsidRPr="002029AF">
        <w:t xml:space="preserve"> </w:t>
      </w:r>
      <w:r w:rsidRPr="002029AF">
        <w:t>year.</w:t>
      </w:r>
    </w:p>
    <w:p w14:paraId="505B0851" w14:textId="08C59546" w:rsidR="00665D4A" w:rsidRPr="002029AF" w:rsidRDefault="00665D4A" w:rsidP="00DF71B8">
      <w:pPr>
        <w:pStyle w:val="ARtablefootnotenumbered"/>
      </w:pPr>
      <w:r w:rsidRPr="002029AF">
        <w:t>The</w:t>
      </w:r>
      <w:r w:rsidR="000A5329" w:rsidRPr="002029AF">
        <w:t xml:space="preserve"> </w:t>
      </w:r>
      <w:r w:rsidRPr="002029AF">
        <w:t>increase</w:t>
      </w:r>
      <w:r w:rsidR="000A5329" w:rsidRPr="002029AF">
        <w:t xml:space="preserve"> </w:t>
      </w:r>
      <w:r w:rsidRPr="002029AF">
        <w:t>relates</w:t>
      </w:r>
      <w:r w:rsidR="000A5329" w:rsidRPr="002029AF">
        <w:t xml:space="preserve"> </w:t>
      </w:r>
      <w:r w:rsidRPr="002029AF">
        <w:t>to</w:t>
      </w:r>
      <w:r w:rsidR="000A5329" w:rsidRPr="002029AF">
        <w:t xml:space="preserve"> </w:t>
      </w:r>
      <w:r w:rsidRPr="002029AF">
        <w:t>prepayments</w:t>
      </w:r>
      <w:r w:rsidR="000A5329" w:rsidRPr="002029AF">
        <w:t xml:space="preserve"> </w:t>
      </w:r>
      <w:r w:rsidRPr="002029AF">
        <w:t>made</w:t>
      </w:r>
      <w:r w:rsidR="000A5329" w:rsidRPr="002029AF">
        <w:t xml:space="preserve"> </w:t>
      </w:r>
      <w:r w:rsidRPr="002029AF">
        <w:t>to</w:t>
      </w:r>
      <w:r w:rsidR="000A5329" w:rsidRPr="002029AF">
        <w:t xml:space="preserve"> </w:t>
      </w:r>
      <w:r w:rsidRPr="002029AF">
        <w:t>suppliers</w:t>
      </w:r>
      <w:r w:rsidR="000A5329" w:rsidRPr="002029AF">
        <w:t xml:space="preserve"> </w:t>
      </w:r>
      <w:r w:rsidRPr="002029AF">
        <w:t>for</w:t>
      </w:r>
      <w:r w:rsidR="000A5329" w:rsidRPr="002029AF">
        <w:t xml:space="preserve"> </w:t>
      </w:r>
      <w:r w:rsidRPr="002029AF">
        <w:t>the</w:t>
      </w:r>
      <w:r w:rsidR="000A5329" w:rsidRPr="002029AF">
        <w:t xml:space="preserve"> </w:t>
      </w:r>
      <w:r w:rsidRPr="002029AF">
        <w:t>acquisition</w:t>
      </w:r>
      <w:r w:rsidR="000A5329" w:rsidRPr="002029AF">
        <w:t xml:space="preserve"> </w:t>
      </w:r>
      <w:r w:rsidRPr="002029AF">
        <w:t>of</w:t>
      </w:r>
      <w:r w:rsidR="000A5329" w:rsidRPr="002029AF">
        <w:t xml:space="preserve"> </w:t>
      </w:r>
      <w:r w:rsidRPr="002029AF">
        <w:t>personal</w:t>
      </w:r>
      <w:r w:rsidR="000A5329" w:rsidRPr="002029AF">
        <w:t xml:space="preserve"> </w:t>
      </w:r>
      <w:r w:rsidRPr="002029AF">
        <w:t>protective</w:t>
      </w:r>
      <w:r w:rsidR="000A5329" w:rsidRPr="002029AF">
        <w:t xml:space="preserve"> </w:t>
      </w:r>
      <w:r w:rsidRPr="002029AF">
        <w:t>equipment</w:t>
      </w:r>
      <w:r w:rsidR="000A5329" w:rsidRPr="002029AF">
        <w:t xml:space="preserve"> </w:t>
      </w:r>
      <w:r w:rsidRPr="002029AF">
        <w:t>in</w:t>
      </w:r>
      <w:r w:rsidR="000A5329" w:rsidRPr="002029AF">
        <w:t xml:space="preserve"> </w:t>
      </w:r>
      <w:r w:rsidRPr="002029AF">
        <w:t>response</w:t>
      </w:r>
      <w:r w:rsidR="000A5329" w:rsidRPr="002029AF">
        <w:t xml:space="preserve"> </w:t>
      </w:r>
      <w:r w:rsidRPr="002029AF">
        <w:t>to</w:t>
      </w:r>
      <w:r w:rsidR="000A5329" w:rsidRPr="002029AF">
        <w:t xml:space="preserve"> </w:t>
      </w:r>
      <w:r w:rsidRPr="002029AF">
        <w:t>the</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pandemic</w:t>
      </w:r>
      <w:r w:rsidR="000A5329" w:rsidRPr="002029AF">
        <w:t xml:space="preserve"> </w:t>
      </w:r>
      <w:r w:rsidRPr="002029AF">
        <w:t>which</w:t>
      </w:r>
      <w:r w:rsidR="000A5329" w:rsidRPr="002029AF">
        <w:t xml:space="preserve"> </w:t>
      </w:r>
      <w:r w:rsidRPr="002029AF">
        <w:t>was</w:t>
      </w:r>
      <w:r w:rsidR="000A5329" w:rsidRPr="002029AF">
        <w:t xml:space="preserve"> </w:t>
      </w:r>
      <w:r w:rsidRPr="002029AF">
        <w:t>not</w:t>
      </w:r>
      <w:r w:rsidR="000A5329" w:rsidRPr="002029AF">
        <w:t xml:space="preserve"> </w:t>
      </w:r>
      <w:r w:rsidRPr="002029AF">
        <w:t>reflected</w:t>
      </w:r>
      <w:r w:rsidR="000A5329" w:rsidRPr="002029AF">
        <w:t xml:space="preserve"> </w:t>
      </w:r>
      <w:r w:rsidRPr="002029AF">
        <w:t>in</w:t>
      </w:r>
      <w:r w:rsidR="000A5329" w:rsidRPr="002029AF">
        <w:t xml:space="preserve"> </w:t>
      </w:r>
      <w:r w:rsidRPr="002029AF">
        <w:t>the</w:t>
      </w:r>
      <w:r w:rsidR="000A5329" w:rsidRPr="002029AF">
        <w:t xml:space="preserve"> </w:t>
      </w:r>
      <w:r w:rsidRPr="002029AF">
        <w:t>published</w:t>
      </w:r>
      <w:r w:rsidR="000A5329" w:rsidRPr="002029AF">
        <w:t xml:space="preserve"> </w:t>
      </w:r>
      <w:r w:rsidRPr="002029AF">
        <w:t>budget.</w:t>
      </w:r>
    </w:p>
    <w:p w14:paraId="58EE9771" w14:textId="77777777" w:rsidR="00A92A21" w:rsidRPr="002029AF" w:rsidRDefault="00A92A21" w:rsidP="00A92A21">
      <w:pPr>
        <w:pStyle w:val="ARbody"/>
      </w:pPr>
      <w:r w:rsidRPr="002029AF">
        <w:br w:type="page"/>
      </w:r>
    </w:p>
    <w:p w14:paraId="4F5ADCB9" w14:textId="2B6693EC" w:rsidR="00665D4A" w:rsidRPr="002029AF" w:rsidRDefault="00665D4A" w:rsidP="00A92A21">
      <w:pPr>
        <w:pStyle w:val="Heading3"/>
      </w:pPr>
      <w:r w:rsidRPr="002029AF">
        <w:lastRenderedPageBreak/>
        <w:t>Statement</w:t>
      </w:r>
      <w:r w:rsidR="000A5329" w:rsidRPr="002029AF">
        <w:t xml:space="preserve"> </w:t>
      </w:r>
      <w:r w:rsidRPr="002029AF">
        <w:t>of</w:t>
      </w:r>
      <w:r w:rsidR="000A5329" w:rsidRPr="002029AF">
        <w:t xml:space="preserve"> </w:t>
      </w:r>
      <w:r w:rsidRPr="002029AF">
        <w:t>cash</w:t>
      </w:r>
      <w:r w:rsidR="000A5329" w:rsidRPr="002029AF">
        <w:t xml:space="preserve"> </w:t>
      </w:r>
      <w:r w:rsidRPr="002029AF">
        <w:t>flows</w:t>
      </w:r>
      <w:r w:rsidR="000A5329" w:rsidRPr="002029AF">
        <w:t xml:space="preserve"> </w:t>
      </w:r>
      <w:r w:rsidRPr="002029AF">
        <w:t>for</w:t>
      </w:r>
      <w:r w:rsidR="000A5329" w:rsidRPr="002029AF">
        <w:t xml:space="preserve"> </w:t>
      </w:r>
      <w:r w:rsidRPr="002029AF">
        <w:t>the</w:t>
      </w:r>
      <w:r w:rsidR="000A5329" w:rsidRPr="002029AF">
        <w:t xml:space="preserve"> </w:t>
      </w:r>
      <w:r w:rsidRPr="002029AF">
        <w:t>financial</w:t>
      </w:r>
      <w:r w:rsidR="000A5329" w:rsidRPr="002029AF">
        <w:t xml:space="preserve"> </w:t>
      </w:r>
      <w:r w:rsidRPr="002029AF">
        <w:t>year</w:t>
      </w:r>
      <w:r w:rsidR="000A5329" w:rsidRPr="002029AF">
        <w:t xml:space="preserve"> </w:t>
      </w:r>
      <w:r w:rsidRPr="002029AF">
        <w:t>ended</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p>
    <w:tbl>
      <w:tblPr>
        <w:tblStyle w:val="TableGrid"/>
        <w:tblW w:w="9639" w:type="dxa"/>
        <w:tblLook w:val="04A0" w:firstRow="1" w:lastRow="0" w:firstColumn="1" w:lastColumn="0" w:noHBand="0" w:noVBand="1"/>
      </w:tblPr>
      <w:tblGrid>
        <w:gridCol w:w="5218"/>
        <w:gridCol w:w="1247"/>
        <w:gridCol w:w="1247"/>
        <w:gridCol w:w="1247"/>
        <w:gridCol w:w="680"/>
      </w:tblGrid>
      <w:tr w:rsidR="00BE78C7" w:rsidRPr="002029AF" w14:paraId="038CED97"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5218" w:type="dxa"/>
            <w:tcBorders>
              <w:bottom w:val="single" w:sz="4" w:space="0" w:color="auto"/>
            </w:tcBorders>
            <w:hideMark/>
          </w:tcPr>
          <w:p w14:paraId="3E51AA48" w14:textId="77777777" w:rsidR="00BE78C7" w:rsidRPr="002029AF" w:rsidRDefault="00BE78C7" w:rsidP="00BE78C7">
            <w:pPr>
              <w:pStyle w:val="ARfintablebody"/>
              <w:rPr>
                <w:lang w:eastAsia="en-GB"/>
              </w:rPr>
            </w:pPr>
          </w:p>
        </w:tc>
        <w:tc>
          <w:tcPr>
            <w:tcW w:w="1247" w:type="dxa"/>
            <w:tcBorders>
              <w:bottom w:val="single" w:sz="4" w:space="0" w:color="auto"/>
            </w:tcBorders>
            <w:hideMark/>
          </w:tcPr>
          <w:p w14:paraId="5DFE677E" w14:textId="77777777" w:rsidR="00BE78C7" w:rsidRPr="002029AF" w:rsidRDefault="00BE78C7" w:rsidP="00BE78C7">
            <w:pPr>
              <w:pStyle w:val="ARfintablecolheadright"/>
            </w:pPr>
            <w:r w:rsidRPr="002029AF">
              <w:t>2019–20</w:t>
            </w:r>
          </w:p>
          <w:p w14:paraId="03D536BA" w14:textId="77777777" w:rsidR="00BE78C7" w:rsidRPr="002029AF" w:rsidRDefault="00BE78C7" w:rsidP="00BE78C7">
            <w:pPr>
              <w:pStyle w:val="ARfintablecolheadright"/>
            </w:pPr>
            <w:r w:rsidRPr="002029AF">
              <w:t>Actual</w:t>
            </w:r>
          </w:p>
          <w:p w14:paraId="25A12AE7" w14:textId="77777777" w:rsidR="00BE78C7" w:rsidRPr="002029AF" w:rsidRDefault="00BE78C7" w:rsidP="00BE78C7">
            <w:pPr>
              <w:pStyle w:val="ARfintablecolheadright"/>
            </w:pPr>
            <w:r w:rsidRPr="002029AF">
              <w:t>$M</w:t>
            </w:r>
          </w:p>
        </w:tc>
        <w:tc>
          <w:tcPr>
            <w:tcW w:w="1247" w:type="dxa"/>
            <w:tcBorders>
              <w:bottom w:val="single" w:sz="4" w:space="0" w:color="auto"/>
            </w:tcBorders>
            <w:hideMark/>
          </w:tcPr>
          <w:p w14:paraId="32F7B5A3" w14:textId="77777777" w:rsidR="00BE78C7" w:rsidRPr="002029AF" w:rsidRDefault="00BE78C7" w:rsidP="00BE78C7">
            <w:pPr>
              <w:pStyle w:val="ARfintablecolheadright"/>
            </w:pPr>
            <w:r w:rsidRPr="002029AF">
              <w:t>2019–20</w:t>
            </w:r>
          </w:p>
          <w:p w14:paraId="64000042" w14:textId="1DD8CAF9" w:rsidR="00BE78C7" w:rsidRPr="002029AF" w:rsidRDefault="00BE78C7" w:rsidP="00BE78C7">
            <w:pPr>
              <w:pStyle w:val="ARfintablecolheadright"/>
            </w:pPr>
            <w:r w:rsidRPr="002029AF">
              <w:t>Published</w:t>
            </w:r>
            <w:r w:rsidR="000A5329" w:rsidRPr="002029AF">
              <w:t xml:space="preserve"> </w:t>
            </w:r>
            <w:r w:rsidRPr="002029AF">
              <w:t>budget</w:t>
            </w:r>
          </w:p>
          <w:p w14:paraId="6F16E035" w14:textId="77777777" w:rsidR="00BE78C7" w:rsidRPr="002029AF" w:rsidRDefault="00BE78C7" w:rsidP="00BE78C7">
            <w:pPr>
              <w:pStyle w:val="ARfintablecolheadright"/>
            </w:pPr>
            <w:r w:rsidRPr="002029AF">
              <w:t>$M</w:t>
            </w:r>
          </w:p>
        </w:tc>
        <w:tc>
          <w:tcPr>
            <w:tcW w:w="1247" w:type="dxa"/>
            <w:tcBorders>
              <w:bottom w:val="single" w:sz="4" w:space="0" w:color="auto"/>
            </w:tcBorders>
            <w:noWrap/>
            <w:hideMark/>
          </w:tcPr>
          <w:p w14:paraId="5BA4313C" w14:textId="4373679D" w:rsidR="00BE78C7" w:rsidRPr="002029AF" w:rsidRDefault="00BE78C7" w:rsidP="00BE78C7">
            <w:pPr>
              <w:pStyle w:val="ARfintablecolheadright"/>
            </w:pPr>
            <w:r w:rsidRPr="002029AF">
              <w:t>Variation</w:t>
            </w:r>
            <w:r w:rsidR="000A5329" w:rsidRPr="002029AF">
              <w:t xml:space="preserve"> </w:t>
            </w:r>
            <w:r w:rsidRPr="002029AF">
              <w:t>to</w:t>
            </w:r>
            <w:r w:rsidR="000A5329" w:rsidRPr="002029AF">
              <w:t xml:space="preserve"> </w:t>
            </w:r>
            <w:r w:rsidRPr="002029AF">
              <w:t>published</w:t>
            </w:r>
            <w:r w:rsidR="000A5329" w:rsidRPr="002029AF">
              <w:t xml:space="preserve"> </w:t>
            </w:r>
            <w:r w:rsidRPr="002029AF">
              <w:t>budget</w:t>
            </w:r>
          </w:p>
          <w:p w14:paraId="4501BEDC" w14:textId="77777777" w:rsidR="00BE78C7" w:rsidRPr="002029AF" w:rsidRDefault="00BE78C7" w:rsidP="00BE78C7">
            <w:pPr>
              <w:pStyle w:val="ARfintablecolheadright"/>
              <w:rPr>
                <w:rFonts w:ascii="Calibri" w:hAnsi="Calibri" w:cs="Calibri"/>
                <w:sz w:val="22"/>
                <w:szCs w:val="22"/>
              </w:rPr>
            </w:pPr>
            <w:r w:rsidRPr="002029AF">
              <w:t>%</w:t>
            </w:r>
          </w:p>
        </w:tc>
        <w:tc>
          <w:tcPr>
            <w:tcW w:w="680" w:type="dxa"/>
            <w:tcBorders>
              <w:bottom w:val="single" w:sz="4" w:space="0" w:color="auto"/>
            </w:tcBorders>
            <w:noWrap/>
            <w:hideMark/>
          </w:tcPr>
          <w:p w14:paraId="6F03E59F" w14:textId="77777777" w:rsidR="00BE78C7" w:rsidRPr="002029AF" w:rsidRDefault="00BE78C7" w:rsidP="00BE78C7">
            <w:pPr>
              <w:pStyle w:val="ARfintablecolheadright"/>
            </w:pPr>
            <w:r w:rsidRPr="002029AF">
              <w:t>Notes</w:t>
            </w:r>
          </w:p>
        </w:tc>
      </w:tr>
      <w:tr w:rsidR="00BE78C7" w:rsidRPr="002029AF" w14:paraId="48104728" w14:textId="77777777" w:rsidTr="00DB53E6">
        <w:trPr>
          <w:cantSplit w:val="0"/>
        </w:trPr>
        <w:tc>
          <w:tcPr>
            <w:tcW w:w="9639" w:type="dxa"/>
            <w:gridSpan w:val="5"/>
            <w:tcBorders>
              <w:top w:val="single" w:sz="4" w:space="0" w:color="auto"/>
              <w:bottom w:val="single" w:sz="4" w:space="0" w:color="A6A6A6"/>
            </w:tcBorders>
          </w:tcPr>
          <w:p w14:paraId="17703E3C" w14:textId="581B6CFB" w:rsidR="00BE78C7" w:rsidRPr="002029AF" w:rsidRDefault="00BE78C7" w:rsidP="00BE78C7">
            <w:pPr>
              <w:pStyle w:val="ARfintablebodybold"/>
              <w:rPr>
                <w:lang w:eastAsia="en-GB"/>
              </w:rPr>
            </w:pPr>
            <w:r w:rsidRPr="002029AF">
              <w:rPr>
                <w:lang w:eastAsia="en-GB"/>
              </w:rPr>
              <w:t>Cash</w:t>
            </w:r>
            <w:r w:rsidR="000A5329" w:rsidRPr="002029AF">
              <w:rPr>
                <w:lang w:eastAsia="en-GB"/>
              </w:rPr>
              <w:t xml:space="preserve"> </w:t>
            </w:r>
            <w:r w:rsidRPr="002029AF">
              <w:rPr>
                <w:lang w:eastAsia="en-GB"/>
              </w:rPr>
              <w:t>flows</w:t>
            </w:r>
            <w:r w:rsidR="000A5329" w:rsidRPr="002029AF">
              <w:rPr>
                <w:lang w:eastAsia="en-GB"/>
              </w:rPr>
              <w:t xml:space="preserve"> </w:t>
            </w:r>
            <w:r w:rsidRPr="002029AF">
              <w:rPr>
                <w:lang w:eastAsia="en-GB"/>
              </w:rPr>
              <w:t>from</w:t>
            </w:r>
            <w:r w:rsidR="000A5329" w:rsidRPr="002029AF">
              <w:rPr>
                <w:lang w:eastAsia="en-GB"/>
              </w:rPr>
              <w:t xml:space="preserve"> </w:t>
            </w:r>
            <w:r w:rsidRPr="002029AF">
              <w:rPr>
                <w:lang w:eastAsia="en-GB"/>
              </w:rPr>
              <w:t>operating</w:t>
            </w:r>
            <w:r w:rsidR="000A5329" w:rsidRPr="002029AF">
              <w:rPr>
                <w:lang w:eastAsia="en-GB"/>
              </w:rPr>
              <w:t xml:space="preserve"> </w:t>
            </w:r>
            <w:r w:rsidRPr="002029AF">
              <w:rPr>
                <w:lang w:eastAsia="en-GB"/>
              </w:rPr>
              <w:t>activities</w:t>
            </w:r>
          </w:p>
        </w:tc>
      </w:tr>
      <w:tr w:rsidR="00BE78C7" w:rsidRPr="002029AF" w14:paraId="4EE14EB2" w14:textId="77777777" w:rsidTr="00DB53E6">
        <w:trPr>
          <w:cantSplit w:val="0"/>
        </w:trPr>
        <w:tc>
          <w:tcPr>
            <w:tcW w:w="9639" w:type="dxa"/>
            <w:gridSpan w:val="5"/>
            <w:tcBorders>
              <w:top w:val="single" w:sz="4" w:space="0" w:color="A6A6A6"/>
              <w:bottom w:val="single" w:sz="4" w:space="0" w:color="A6A6A6"/>
            </w:tcBorders>
            <w:hideMark/>
          </w:tcPr>
          <w:p w14:paraId="4939F10D" w14:textId="62035946" w:rsidR="00BE78C7" w:rsidRPr="002029AF" w:rsidRDefault="00BE78C7" w:rsidP="00BE78C7">
            <w:pPr>
              <w:pStyle w:val="ARfintablebodybold"/>
              <w:rPr>
                <w:lang w:eastAsia="en-GB"/>
              </w:rPr>
            </w:pPr>
            <w:r w:rsidRPr="002029AF">
              <w:rPr>
                <w:lang w:eastAsia="en-GB"/>
              </w:rPr>
              <w:t>Receipts</w:t>
            </w:r>
          </w:p>
        </w:tc>
      </w:tr>
      <w:tr w:rsidR="00BE78C7" w:rsidRPr="002029AF" w14:paraId="09A8F0EA" w14:textId="77777777" w:rsidTr="00DB53E6">
        <w:trPr>
          <w:cantSplit w:val="0"/>
        </w:trPr>
        <w:tc>
          <w:tcPr>
            <w:tcW w:w="5218" w:type="dxa"/>
            <w:tcBorders>
              <w:top w:val="single" w:sz="4" w:space="0" w:color="A6A6A6"/>
              <w:bottom w:val="single" w:sz="4" w:space="0" w:color="A6A6A6"/>
            </w:tcBorders>
            <w:hideMark/>
          </w:tcPr>
          <w:p w14:paraId="3494EDBD" w14:textId="462AFCA3" w:rsidR="00BE78C7" w:rsidRPr="002029AF" w:rsidRDefault="00BE78C7" w:rsidP="00BE78C7">
            <w:pPr>
              <w:pStyle w:val="ARfintablebody"/>
              <w:rPr>
                <w:lang w:eastAsia="en-GB"/>
              </w:rPr>
            </w:pPr>
            <w:r w:rsidRPr="002029AF">
              <w:rPr>
                <w:lang w:eastAsia="en-GB"/>
              </w:rPr>
              <w:t>Receipts</w:t>
            </w:r>
            <w:r w:rsidR="000A5329" w:rsidRPr="002029AF">
              <w:rPr>
                <w:lang w:eastAsia="en-GB"/>
              </w:rPr>
              <w:t xml:space="preserve"> </w:t>
            </w:r>
            <w:r w:rsidRPr="002029AF">
              <w:rPr>
                <w:lang w:eastAsia="en-GB"/>
              </w:rPr>
              <w:t>from</w:t>
            </w:r>
            <w:r w:rsidR="000A5329" w:rsidRPr="002029AF">
              <w:rPr>
                <w:lang w:eastAsia="en-GB"/>
              </w:rPr>
              <w:t xml:space="preserve"> </w:t>
            </w:r>
            <w:r w:rsidRPr="002029AF">
              <w:rPr>
                <w:lang w:eastAsia="en-GB"/>
              </w:rPr>
              <w:t>government</w:t>
            </w:r>
          </w:p>
        </w:tc>
        <w:tc>
          <w:tcPr>
            <w:tcW w:w="1247" w:type="dxa"/>
            <w:tcBorders>
              <w:top w:val="single" w:sz="4" w:space="0" w:color="A6A6A6"/>
              <w:bottom w:val="single" w:sz="4" w:space="0" w:color="A6A6A6"/>
            </w:tcBorders>
            <w:hideMark/>
          </w:tcPr>
          <w:p w14:paraId="507134CA" w14:textId="77777777" w:rsidR="00BE78C7" w:rsidRPr="002029AF" w:rsidRDefault="00BE78C7" w:rsidP="00BE78C7">
            <w:pPr>
              <w:pStyle w:val="ARfintablebodyright"/>
              <w:rPr>
                <w:lang w:eastAsia="en-GB"/>
              </w:rPr>
            </w:pPr>
            <w:r w:rsidRPr="002029AF">
              <w:rPr>
                <w:lang w:eastAsia="en-GB"/>
              </w:rPr>
              <w:t>19,630</w:t>
            </w:r>
          </w:p>
        </w:tc>
        <w:tc>
          <w:tcPr>
            <w:tcW w:w="1247" w:type="dxa"/>
            <w:tcBorders>
              <w:top w:val="single" w:sz="4" w:space="0" w:color="A6A6A6"/>
              <w:bottom w:val="single" w:sz="4" w:space="0" w:color="A6A6A6"/>
            </w:tcBorders>
            <w:hideMark/>
          </w:tcPr>
          <w:p w14:paraId="22030E03" w14:textId="77777777" w:rsidR="00BE78C7" w:rsidRPr="002029AF" w:rsidRDefault="00BE78C7" w:rsidP="00BE78C7">
            <w:pPr>
              <w:pStyle w:val="ARfintablebodyright"/>
              <w:rPr>
                <w:lang w:eastAsia="en-GB"/>
              </w:rPr>
            </w:pPr>
            <w:r w:rsidRPr="002029AF">
              <w:rPr>
                <w:lang w:eastAsia="en-GB"/>
              </w:rPr>
              <w:t>18,981</w:t>
            </w:r>
          </w:p>
        </w:tc>
        <w:tc>
          <w:tcPr>
            <w:tcW w:w="1247" w:type="dxa"/>
            <w:tcBorders>
              <w:top w:val="single" w:sz="4" w:space="0" w:color="A6A6A6"/>
              <w:bottom w:val="single" w:sz="4" w:space="0" w:color="A6A6A6"/>
            </w:tcBorders>
            <w:hideMark/>
          </w:tcPr>
          <w:p w14:paraId="6A3D60C1" w14:textId="77777777" w:rsidR="00BE78C7" w:rsidRPr="002029AF" w:rsidRDefault="00BE78C7" w:rsidP="00BE78C7">
            <w:pPr>
              <w:pStyle w:val="ARfintablebodyright"/>
              <w:rPr>
                <w:lang w:eastAsia="en-GB"/>
              </w:rPr>
            </w:pPr>
            <w:r w:rsidRPr="002029AF">
              <w:rPr>
                <w:lang w:eastAsia="en-GB"/>
              </w:rPr>
              <w:t>3.4</w:t>
            </w:r>
          </w:p>
        </w:tc>
        <w:tc>
          <w:tcPr>
            <w:tcW w:w="680" w:type="dxa"/>
            <w:tcBorders>
              <w:top w:val="single" w:sz="4" w:space="0" w:color="A6A6A6"/>
              <w:bottom w:val="single" w:sz="4" w:space="0" w:color="A6A6A6"/>
            </w:tcBorders>
            <w:hideMark/>
          </w:tcPr>
          <w:p w14:paraId="4FB5B9E2" w14:textId="77777777" w:rsidR="00BE78C7" w:rsidRPr="002029AF" w:rsidRDefault="00BE78C7" w:rsidP="00BE78C7">
            <w:pPr>
              <w:pStyle w:val="ARfintablebodyright"/>
              <w:rPr>
                <w:lang w:eastAsia="en-GB"/>
              </w:rPr>
            </w:pPr>
          </w:p>
        </w:tc>
      </w:tr>
      <w:tr w:rsidR="00BE78C7" w:rsidRPr="002029AF" w14:paraId="6C9D2DDB" w14:textId="77777777" w:rsidTr="00DB53E6">
        <w:trPr>
          <w:cantSplit w:val="0"/>
        </w:trPr>
        <w:tc>
          <w:tcPr>
            <w:tcW w:w="5218" w:type="dxa"/>
            <w:tcBorders>
              <w:top w:val="single" w:sz="4" w:space="0" w:color="A6A6A6"/>
              <w:bottom w:val="single" w:sz="4" w:space="0" w:color="A6A6A6"/>
            </w:tcBorders>
            <w:hideMark/>
          </w:tcPr>
          <w:p w14:paraId="312F045F" w14:textId="05FC9B82" w:rsidR="00BE78C7" w:rsidRPr="002029AF" w:rsidRDefault="00BE78C7" w:rsidP="00BE78C7">
            <w:pPr>
              <w:pStyle w:val="ARfintablebody"/>
              <w:rPr>
                <w:lang w:eastAsia="en-GB"/>
              </w:rPr>
            </w:pPr>
            <w:r w:rsidRPr="002029AF">
              <w:rPr>
                <w:lang w:eastAsia="en-GB"/>
              </w:rPr>
              <w:t>Receipts</w:t>
            </w:r>
            <w:r w:rsidR="000A5329" w:rsidRPr="002029AF">
              <w:rPr>
                <w:lang w:eastAsia="en-GB"/>
              </w:rPr>
              <w:t xml:space="preserve"> </w:t>
            </w:r>
            <w:r w:rsidRPr="002029AF">
              <w:rPr>
                <w:lang w:eastAsia="en-GB"/>
              </w:rPr>
              <w:t>from</w:t>
            </w:r>
            <w:r w:rsidR="000A5329" w:rsidRPr="002029AF">
              <w:rPr>
                <w:lang w:eastAsia="en-GB"/>
              </w:rPr>
              <w:t xml:space="preserve"> </w:t>
            </w:r>
            <w:r w:rsidRPr="002029AF">
              <w:rPr>
                <w:lang w:eastAsia="en-GB"/>
              </w:rPr>
              <w:t>other</w:t>
            </w:r>
            <w:r w:rsidR="000A5329" w:rsidRPr="002029AF">
              <w:rPr>
                <w:lang w:eastAsia="en-GB"/>
              </w:rPr>
              <w:t xml:space="preserve"> </w:t>
            </w:r>
            <w:r w:rsidRPr="002029AF">
              <w:rPr>
                <w:lang w:eastAsia="en-GB"/>
              </w:rPr>
              <w:t>entities</w:t>
            </w:r>
          </w:p>
        </w:tc>
        <w:tc>
          <w:tcPr>
            <w:tcW w:w="1247" w:type="dxa"/>
            <w:tcBorders>
              <w:top w:val="single" w:sz="4" w:space="0" w:color="A6A6A6"/>
              <w:bottom w:val="single" w:sz="4" w:space="0" w:color="A6A6A6"/>
            </w:tcBorders>
            <w:hideMark/>
          </w:tcPr>
          <w:p w14:paraId="73C76F4C" w14:textId="77777777" w:rsidR="00BE78C7" w:rsidRPr="002029AF" w:rsidRDefault="00BE78C7" w:rsidP="00BE78C7">
            <w:pPr>
              <w:pStyle w:val="ARfintablebodyright"/>
              <w:rPr>
                <w:lang w:eastAsia="en-GB"/>
              </w:rPr>
            </w:pPr>
            <w:r w:rsidRPr="002029AF">
              <w:rPr>
                <w:lang w:eastAsia="en-GB"/>
              </w:rPr>
              <w:t>9,226</w:t>
            </w:r>
          </w:p>
        </w:tc>
        <w:tc>
          <w:tcPr>
            <w:tcW w:w="1247" w:type="dxa"/>
            <w:tcBorders>
              <w:top w:val="single" w:sz="4" w:space="0" w:color="A6A6A6"/>
              <w:bottom w:val="single" w:sz="4" w:space="0" w:color="A6A6A6"/>
            </w:tcBorders>
            <w:hideMark/>
          </w:tcPr>
          <w:p w14:paraId="4505BF0E" w14:textId="77777777" w:rsidR="00BE78C7" w:rsidRPr="002029AF" w:rsidRDefault="00BE78C7" w:rsidP="00BE78C7">
            <w:pPr>
              <w:pStyle w:val="ARfintablebodyright"/>
              <w:rPr>
                <w:lang w:eastAsia="en-GB"/>
              </w:rPr>
            </w:pPr>
            <w:r w:rsidRPr="002029AF">
              <w:rPr>
                <w:lang w:eastAsia="en-GB"/>
              </w:rPr>
              <w:t>7,676</w:t>
            </w:r>
          </w:p>
        </w:tc>
        <w:tc>
          <w:tcPr>
            <w:tcW w:w="1247" w:type="dxa"/>
            <w:tcBorders>
              <w:top w:val="single" w:sz="4" w:space="0" w:color="A6A6A6"/>
              <w:bottom w:val="single" w:sz="4" w:space="0" w:color="A6A6A6"/>
            </w:tcBorders>
            <w:hideMark/>
          </w:tcPr>
          <w:p w14:paraId="087F4D16" w14:textId="77777777" w:rsidR="00BE78C7" w:rsidRPr="002029AF" w:rsidRDefault="00BE78C7" w:rsidP="00BE78C7">
            <w:pPr>
              <w:pStyle w:val="ARfintablebodyright"/>
              <w:rPr>
                <w:lang w:eastAsia="en-GB"/>
              </w:rPr>
            </w:pPr>
            <w:r w:rsidRPr="002029AF">
              <w:rPr>
                <w:lang w:eastAsia="en-GB"/>
              </w:rPr>
              <w:t>20.2</w:t>
            </w:r>
          </w:p>
        </w:tc>
        <w:tc>
          <w:tcPr>
            <w:tcW w:w="680" w:type="dxa"/>
            <w:tcBorders>
              <w:top w:val="single" w:sz="4" w:space="0" w:color="A6A6A6"/>
              <w:bottom w:val="single" w:sz="4" w:space="0" w:color="A6A6A6"/>
            </w:tcBorders>
            <w:hideMark/>
          </w:tcPr>
          <w:p w14:paraId="16BD0608" w14:textId="77777777" w:rsidR="00BE78C7" w:rsidRPr="002029AF" w:rsidRDefault="00BE78C7" w:rsidP="00BE78C7">
            <w:pPr>
              <w:pStyle w:val="ARfintablebodyright"/>
              <w:rPr>
                <w:lang w:eastAsia="en-GB"/>
              </w:rPr>
            </w:pPr>
          </w:p>
        </w:tc>
      </w:tr>
      <w:tr w:rsidR="00BE78C7" w:rsidRPr="002029AF" w14:paraId="1B7768F1" w14:textId="77777777" w:rsidTr="00DB53E6">
        <w:trPr>
          <w:cantSplit w:val="0"/>
        </w:trPr>
        <w:tc>
          <w:tcPr>
            <w:tcW w:w="5218" w:type="dxa"/>
            <w:tcBorders>
              <w:top w:val="single" w:sz="4" w:space="0" w:color="A6A6A6"/>
              <w:bottom w:val="single" w:sz="4" w:space="0" w:color="A6A6A6"/>
            </w:tcBorders>
            <w:hideMark/>
          </w:tcPr>
          <w:p w14:paraId="64F5194D" w14:textId="11604BDD" w:rsidR="00BE78C7" w:rsidRPr="002029AF" w:rsidRDefault="00BE78C7" w:rsidP="00BE78C7">
            <w:pPr>
              <w:pStyle w:val="ARfintablebody"/>
              <w:rPr>
                <w:lang w:eastAsia="en-GB"/>
              </w:rPr>
            </w:pPr>
            <w:r w:rsidRPr="002029AF">
              <w:rPr>
                <w:lang w:eastAsia="en-GB"/>
              </w:rPr>
              <w:t>Interest</w:t>
            </w:r>
            <w:r w:rsidR="000A5329" w:rsidRPr="002029AF">
              <w:rPr>
                <w:lang w:eastAsia="en-GB"/>
              </w:rPr>
              <w:t xml:space="preserve"> </w:t>
            </w:r>
            <w:r w:rsidRPr="002029AF">
              <w:rPr>
                <w:lang w:eastAsia="en-GB"/>
              </w:rPr>
              <w:t>received</w:t>
            </w:r>
          </w:p>
        </w:tc>
        <w:tc>
          <w:tcPr>
            <w:tcW w:w="1247" w:type="dxa"/>
            <w:tcBorders>
              <w:top w:val="single" w:sz="4" w:space="0" w:color="A6A6A6"/>
              <w:bottom w:val="single" w:sz="4" w:space="0" w:color="A6A6A6"/>
            </w:tcBorders>
            <w:hideMark/>
          </w:tcPr>
          <w:p w14:paraId="29D88ACC" w14:textId="77777777" w:rsidR="00BE78C7" w:rsidRPr="002029AF" w:rsidRDefault="00BE78C7" w:rsidP="00BE78C7">
            <w:pPr>
              <w:pStyle w:val="ARfintablebodyright"/>
              <w:rPr>
                <w:lang w:eastAsia="en-GB"/>
              </w:rPr>
            </w:pPr>
            <w:r w:rsidRPr="002029AF">
              <w:rPr>
                <w:lang w:eastAsia="en-GB"/>
              </w:rPr>
              <w:t>33</w:t>
            </w:r>
          </w:p>
        </w:tc>
        <w:tc>
          <w:tcPr>
            <w:tcW w:w="1247" w:type="dxa"/>
            <w:tcBorders>
              <w:top w:val="single" w:sz="4" w:space="0" w:color="A6A6A6"/>
              <w:bottom w:val="single" w:sz="4" w:space="0" w:color="A6A6A6"/>
            </w:tcBorders>
            <w:hideMark/>
          </w:tcPr>
          <w:p w14:paraId="73517631" w14:textId="77777777" w:rsidR="00BE78C7" w:rsidRPr="002029AF" w:rsidRDefault="00BE78C7" w:rsidP="00BE78C7">
            <w:pPr>
              <w:pStyle w:val="ARfintablebodyright"/>
              <w:rPr>
                <w:lang w:eastAsia="en-GB"/>
              </w:rPr>
            </w:pPr>
            <w:r w:rsidRPr="002029AF">
              <w:rPr>
                <w:lang w:eastAsia="en-GB"/>
              </w:rPr>
              <w:t>46</w:t>
            </w:r>
          </w:p>
        </w:tc>
        <w:tc>
          <w:tcPr>
            <w:tcW w:w="1247" w:type="dxa"/>
            <w:tcBorders>
              <w:top w:val="single" w:sz="4" w:space="0" w:color="A6A6A6"/>
              <w:bottom w:val="single" w:sz="4" w:space="0" w:color="A6A6A6"/>
            </w:tcBorders>
            <w:hideMark/>
          </w:tcPr>
          <w:p w14:paraId="17303DF3" w14:textId="77777777" w:rsidR="00BE78C7" w:rsidRPr="002029AF" w:rsidRDefault="00BE78C7" w:rsidP="00BE78C7">
            <w:pPr>
              <w:pStyle w:val="ARfintablebodyright"/>
              <w:rPr>
                <w:lang w:eastAsia="en-GB"/>
              </w:rPr>
            </w:pPr>
            <w:r w:rsidRPr="002029AF">
              <w:rPr>
                <w:lang w:eastAsia="en-GB"/>
              </w:rPr>
              <w:t>(27.5)</w:t>
            </w:r>
          </w:p>
        </w:tc>
        <w:tc>
          <w:tcPr>
            <w:tcW w:w="680" w:type="dxa"/>
            <w:tcBorders>
              <w:top w:val="single" w:sz="4" w:space="0" w:color="A6A6A6"/>
              <w:bottom w:val="single" w:sz="4" w:space="0" w:color="A6A6A6"/>
            </w:tcBorders>
            <w:hideMark/>
          </w:tcPr>
          <w:p w14:paraId="30C54867" w14:textId="77777777" w:rsidR="00BE78C7" w:rsidRPr="002029AF" w:rsidRDefault="00BE78C7" w:rsidP="00BE78C7">
            <w:pPr>
              <w:pStyle w:val="ARfintablebodyright"/>
              <w:rPr>
                <w:lang w:eastAsia="en-GB"/>
              </w:rPr>
            </w:pPr>
          </w:p>
        </w:tc>
      </w:tr>
      <w:tr w:rsidR="00BE78C7" w:rsidRPr="002029AF" w14:paraId="77CD668B" w14:textId="77777777" w:rsidTr="00DB53E6">
        <w:trPr>
          <w:cantSplit w:val="0"/>
        </w:trPr>
        <w:tc>
          <w:tcPr>
            <w:tcW w:w="5218" w:type="dxa"/>
            <w:tcBorders>
              <w:top w:val="single" w:sz="4" w:space="0" w:color="A6A6A6"/>
              <w:bottom w:val="single" w:sz="4" w:space="0" w:color="A6A6A6"/>
            </w:tcBorders>
            <w:hideMark/>
          </w:tcPr>
          <w:p w14:paraId="4F01B101" w14:textId="7764AACE" w:rsidR="00BE78C7" w:rsidRPr="002029AF" w:rsidRDefault="00BE78C7" w:rsidP="00BE78C7">
            <w:pPr>
              <w:pStyle w:val="ARfintablebody"/>
              <w:rPr>
                <w:lang w:eastAsia="en-GB"/>
              </w:rPr>
            </w:pPr>
            <w:r w:rsidRPr="002029AF">
              <w:rPr>
                <w:lang w:eastAsia="en-GB"/>
              </w:rPr>
              <w:t>Dividends</w:t>
            </w:r>
            <w:r w:rsidR="000A5329" w:rsidRPr="002029AF">
              <w:rPr>
                <w:lang w:eastAsia="en-GB"/>
              </w:rPr>
              <w:t xml:space="preserve"> </w:t>
            </w:r>
            <w:r w:rsidRPr="002029AF">
              <w:rPr>
                <w:lang w:eastAsia="en-GB"/>
              </w:rPr>
              <w:t>received</w:t>
            </w:r>
          </w:p>
        </w:tc>
        <w:tc>
          <w:tcPr>
            <w:tcW w:w="1247" w:type="dxa"/>
            <w:tcBorders>
              <w:top w:val="single" w:sz="4" w:space="0" w:color="A6A6A6"/>
              <w:bottom w:val="single" w:sz="4" w:space="0" w:color="A6A6A6"/>
            </w:tcBorders>
            <w:hideMark/>
          </w:tcPr>
          <w:p w14:paraId="0EF049D5" w14:textId="77777777" w:rsidR="00BE78C7" w:rsidRPr="002029AF" w:rsidRDefault="00BE78C7" w:rsidP="00BE78C7">
            <w:pPr>
              <w:pStyle w:val="ARfintablebodyright"/>
              <w:rPr>
                <w:lang w:eastAsia="en-GB"/>
              </w:rPr>
            </w:pPr>
            <w:r w:rsidRPr="002029AF">
              <w:rPr>
                <w:lang w:eastAsia="en-GB"/>
              </w:rPr>
              <w:t>8</w:t>
            </w:r>
          </w:p>
        </w:tc>
        <w:tc>
          <w:tcPr>
            <w:tcW w:w="1247" w:type="dxa"/>
            <w:tcBorders>
              <w:top w:val="single" w:sz="4" w:space="0" w:color="A6A6A6"/>
              <w:bottom w:val="single" w:sz="4" w:space="0" w:color="A6A6A6"/>
            </w:tcBorders>
            <w:hideMark/>
          </w:tcPr>
          <w:p w14:paraId="334D3B62" w14:textId="77777777" w:rsidR="00BE78C7" w:rsidRPr="002029AF" w:rsidRDefault="00BE78C7" w:rsidP="00BE78C7">
            <w:pPr>
              <w:pStyle w:val="ARfintablebodyright"/>
              <w:rPr>
                <w:lang w:eastAsia="en-GB"/>
              </w:rPr>
            </w:pPr>
            <w:r w:rsidRPr="002029AF">
              <w:rPr>
                <w:lang w:eastAsia="en-GB"/>
              </w:rPr>
              <w:t>9</w:t>
            </w:r>
          </w:p>
        </w:tc>
        <w:tc>
          <w:tcPr>
            <w:tcW w:w="1247" w:type="dxa"/>
            <w:tcBorders>
              <w:top w:val="single" w:sz="4" w:space="0" w:color="A6A6A6"/>
              <w:bottom w:val="single" w:sz="4" w:space="0" w:color="A6A6A6"/>
            </w:tcBorders>
            <w:hideMark/>
          </w:tcPr>
          <w:p w14:paraId="34EBF1A0" w14:textId="77777777" w:rsidR="00BE78C7" w:rsidRPr="002029AF" w:rsidRDefault="00BE78C7" w:rsidP="00BE78C7">
            <w:pPr>
              <w:pStyle w:val="ARfintablebodyright"/>
              <w:rPr>
                <w:lang w:eastAsia="en-GB"/>
              </w:rPr>
            </w:pPr>
            <w:r w:rsidRPr="002029AF">
              <w:rPr>
                <w:lang w:eastAsia="en-GB"/>
              </w:rPr>
              <w:t>(4.7)</w:t>
            </w:r>
          </w:p>
        </w:tc>
        <w:tc>
          <w:tcPr>
            <w:tcW w:w="680" w:type="dxa"/>
            <w:tcBorders>
              <w:top w:val="single" w:sz="4" w:space="0" w:color="A6A6A6"/>
              <w:bottom w:val="single" w:sz="4" w:space="0" w:color="A6A6A6"/>
            </w:tcBorders>
            <w:hideMark/>
          </w:tcPr>
          <w:p w14:paraId="5AA1447D" w14:textId="77777777" w:rsidR="00BE78C7" w:rsidRPr="002029AF" w:rsidRDefault="00BE78C7" w:rsidP="00BE78C7">
            <w:pPr>
              <w:pStyle w:val="ARfintablebodyright"/>
              <w:rPr>
                <w:lang w:eastAsia="en-GB"/>
              </w:rPr>
            </w:pPr>
          </w:p>
        </w:tc>
      </w:tr>
      <w:tr w:rsidR="00BE78C7" w:rsidRPr="002029AF" w14:paraId="3BF86321" w14:textId="77777777" w:rsidTr="00DB53E6">
        <w:trPr>
          <w:cantSplit w:val="0"/>
        </w:trPr>
        <w:tc>
          <w:tcPr>
            <w:tcW w:w="5218" w:type="dxa"/>
            <w:tcBorders>
              <w:top w:val="single" w:sz="4" w:space="0" w:color="A6A6A6"/>
            </w:tcBorders>
            <w:hideMark/>
          </w:tcPr>
          <w:p w14:paraId="1DE3DB5C" w14:textId="5FE66DEF" w:rsidR="00BE78C7" w:rsidRPr="002029AF" w:rsidRDefault="00BE78C7" w:rsidP="00BE78C7">
            <w:pPr>
              <w:pStyle w:val="ARfintablebody"/>
              <w:rPr>
                <w:lang w:eastAsia="en-GB"/>
              </w:rPr>
            </w:pPr>
            <w:r w:rsidRPr="002029AF">
              <w:rPr>
                <w:lang w:eastAsia="en-GB"/>
              </w:rPr>
              <w:t>Other</w:t>
            </w:r>
            <w:r w:rsidR="000A5329" w:rsidRPr="002029AF">
              <w:rPr>
                <w:lang w:eastAsia="en-GB"/>
              </w:rPr>
              <w:t xml:space="preserve"> </w:t>
            </w:r>
            <w:r w:rsidRPr="002029AF">
              <w:rPr>
                <w:lang w:eastAsia="en-GB"/>
              </w:rPr>
              <w:t>receipts</w:t>
            </w:r>
          </w:p>
        </w:tc>
        <w:tc>
          <w:tcPr>
            <w:tcW w:w="1247" w:type="dxa"/>
            <w:tcBorders>
              <w:top w:val="single" w:sz="4" w:space="0" w:color="A6A6A6"/>
            </w:tcBorders>
            <w:hideMark/>
          </w:tcPr>
          <w:p w14:paraId="49630B73" w14:textId="77777777" w:rsidR="00BE78C7" w:rsidRPr="002029AF" w:rsidRDefault="00BE78C7" w:rsidP="00BE78C7">
            <w:pPr>
              <w:pStyle w:val="ARfintablebodyright"/>
              <w:rPr>
                <w:lang w:eastAsia="en-GB"/>
              </w:rPr>
            </w:pPr>
            <w:r w:rsidRPr="002029AF">
              <w:rPr>
                <w:lang w:eastAsia="en-GB"/>
              </w:rPr>
              <w:t>844</w:t>
            </w:r>
          </w:p>
        </w:tc>
        <w:tc>
          <w:tcPr>
            <w:tcW w:w="1247" w:type="dxa"/>
            <w:tcBorders>
              <w:top w:val="single" w:sz="4" w:space="0" w:color="A6A6A6"/>
            </w:tcBorders>
            <w:hideMark/>
          </w:tcPr>
          <w:p w14:paraId="77BB0900" w14:textId="77777777" w:rsidR="00BE78C7" w:rsidRPr="002029AF" w:rsidRDefault="00BE78C7" w:rsidP="00BE78C7">
            <w:pPr>
              <w:pStyle w:val="ARfintablebodyright"/>
              <w:rPr>
                <w:lang w:eastAsia="en-GB"/>
              </w:rPr>
            </w:pPr>
            <w:r w:rsidRPr="002029AF">
              <w:rPr>
                <w:lang w:eastAsia="en-GB"/>
              </w:rPr>
              <w:t>838</w:t>
            </w:r>
          </w:p>
        </w:tc>
        <w:tc>
          <w:tcPr>
            <w:tcW w:w="1247" w:type="dxa"/>
            <w:tcBorders>
              <w:top w:val="single" w:sz="4" w:space="0" w:color="A6A6A6"/>
            </w:tcBorders>
            <w:hideMark/>
          </w:tcPr>
          <w:p w14:paraId="5D55371D" w14:textId="77777777" w:rsidR="00BE78C7" w:rsidRPr="002029AF" w:rsidRDefault="00BE78C7" w:rsidP="00BE78C7">
            <w:pPr>
              <w:pStyle w:val="ARfintablebodyright"/>
              <w:rPr>
                <w:lang w:eastAsia="en-GB"/>
              </w:rPr>
            </w:pPr>
            <w:r w:rsidRPr="002029AF">
              <w:rPr>
                <w:lang w:eastAsia="en-GB"/>
              </w:rPr>
              <w:t>1</w:t>
            </w:r>
          </w:p>
        </w:tc>
        <w:tc>
          <w:tcPr>
            <w:tcW w:w="680" w:type="dxa"/>
            <w:tcBorders>
              <w:top w:val="single" w:sz="4" w:space="0" w:color="A6A6A6"/>
            </w:tcBorders>
            <w:hideMark/>
          </w:tcPr>
          <w:p w14:paraId="293045F4" w14:textId="77777777" w:rsidR="00BE78C7" w:rsidRPr="002029AF" w:rsidRDefault="00BE78C7" w:rsidP="00BE78C7">
            <w:pPr>
              <w:pStyle w:val="ARfintablebodyright"/>
              <w:rPr>
                <w:lang w:eastAsia="en-GB"/>
              </w:rPr>
            </w:pPr>
          </w:p>
        </w:tc>
      </w:tr>
      <w:tr w:rsidR="00BE78C7" w:rsidRPr="002029AF" w14:paraId="54FFD4CD" w14:textId="77777777" w:rsidTr="00DB53E6">
        <w:trPr>
          <w:cantSplit w:val="0"/>
        </w:trPr>
        <w:tc>
          <w:tcPr>
            <w:tcW w:w="5218" w:type="dxa"/>
            <w:tcBorders>
              <w:bottom w:val="single" w:sz="4" w:space="0" w:color="auto"/>
            </w:tcBorders>
            <w:hideMark/>
          </w:tcPr>
          <w:p w14:paraId="42FFB963" w14:textId="74A80914" w:rsidR="00BE78C7" w:rsidRPr="002029AF" w:rsidRDefault="00BE78C7" w:rsidP="00BE78C7">
            <w:pPr>
              <w:pStyle w:val="ARfintablebodybold"/>
              <w:rPr>
                <w:lang w:eastAsia="en-GB"/>
              </w:rPr>
            </w:pPr>
            <w:r w:rsidRPr="002029AF">
              <w:rPr>
                <w:lang w:eastAsia="en-GB"/>
              </w:rPr>
              <w:t>Total</w:t>
            </w:r>
            <w:r w:rsidR="000A5329" w:rsidRPr="002029AF">
              <w:rPr>
                <w:lang w:eastAsia="en-GB"/>
              </w:rPr>
              <w:t xml:space="preserve"> </w:t>
            </w:r>
            <w:r w:rsidRPr="002029AF">
              <w:rPr>
                <w:lang w:eastAsia="en-GB"/>
              </w:rPr>
              <w:t>receipts</w:t>
            </w:r>
          </w:p>
        </w:tc>
        <w:tc>
          <w:tcPr>
            <w:tcW w:w="1247" w:type="dxa"/>
            <w:tcBorders>
              <w:bottom w:val="single" w:sz="4" w:space="0" w:color="auto"/>
            </w:tcBorders>
            <w:hideMark/>
          </w:tcPr>
          <w:p w14:paraId="6777E0FB" w14:textId="77777777" w:rsidR="00BE78C7" w:rsidRPr="002029AF" w:rsidRDefault="00BE78C7" w:rsidP="00BE78C7">
            <w:pPr>
              <w:pStyle w:val="ARfintablebodyrightbold"/>
              <w:rPr>
                <w:lang w:eastAsia="en-GB"/>
              </w:rPr>
            </w:pPr>
            <w:r w:rsidRPr="002029AF">
              <w:rPr>
                <w:lang w:eastAsia="en-GB"/>
              </w:rPr>
              <w:t>29,741</w:t>
            </w:r>
          </w:p>
        </w:tc>
        <w:tc>
          <w:tcPr>
            <w:tcW w:w="1247" w:type="dxa"/>
            <w:tcBorders>
              <w:bottom w:val="single" w:sz="4" w:space="0" w:color="auto"/>
            </w:tcBorders>
            <w:hideMark/>
          </w:tcPr>
          <w:p w14:paraId="7CFEEB1A" w14:textId="77777777" w:rsidR="00BE78C7" w:rsidRPr="002029AF" w:rsidRDefault="00BE78C7" w:rsidP="00BE78C7">
            <w:pPr>
              <w:pStyle w:val="ARfintablebodyrightbold"/>
              <w:rPr>
                <w:lang w:eastAsia="en-GB"/>
              </w:rPr>
            </w:pPr>
            <w:r w:rsidRPr="002029AF">
              <w:rPr>
                <w:lang w:eastAsia="en-GB"/>
              </w:rPr>
              <w:t>27,549</w:t>
            </w:r>
          </w:p>
        </w:tc>
        <w:tc>
          <w:tcPr>
            <w:tcW w:w="1247" w:type="dxa"/>
            <w:tcBorders>
              <w:bottom w:val="single" w:sz="4" w:space="0" w:color="auto"/>
            </w:tcBorders>
            <w:hideMark/>
          </w:tcPr>
          <w:p w14:paraId="5A8E3031" w14:textId="77777777" w:rsidR="00BE78C7" w:rsidRPr="002029AF" w:rsidRDefault="00BE78C7" w:rsidP="00BE78C7">
            <w:pPr>
              <w:pStyle w:val="ARfintablebodyrightbold"/>
              <w:rPr>
                <w:lang w:eastAsia="en-GB"/>
              </w:rPr>
            </w:pPr>
            <w:r w:rsidRPr="002029AF">
              <w:rPr>
                <w:lang w:eastAsia="en-GB"/>
              </w:rPr>
              <w:t>8.0</w:t>
            </w:r>
          </w:p>
        </w:tc>
        <w:tc>
          <w:tcPr>
            <w:tcW w:w="680" w:type="dxa"/>
            <w:tcBorders>
              <w:bottom w:val="single" w:sz="4" w:space="0" w:color="auto"/>
            </w:tcBorders>
            <w:hideMark/>
          </w:tcPr>
          <w:p w14:paraId="1BDBA96F" w14:textId="77777777" w:rsidR="00BE78C7" w:rsidRPr="002029AF" w:rsidRDefault="00BE78C7" w:rsidP="00BE78C7">
            <w:pPr>
              <w:pStyle w:val="ARfintablebodyright"/>
              <w:rPr>
                <w:lang w:eastAsia="en-GB"/>
              </w:rPr>
            </w:pPr>
          </w:p>
        </w:tc>
      </w:tr>
      <w:tr w:rsidR="00BE78C7" w:rsidRPr="002029AF" w14:paraId="7E344BDC" w14:textId="77777777" w:rsidTr="00DB53E6">
        <w:trPr>
          <w:cantSplit w:val="0"/>
        </w:trPr>
        <w:tc>
          <w:tcPr>
            <w:tcW w:w="9639" w:type="dxa"/>
            <w:gridSpan w:val="5"/>
            <w:tcBorders>
              <w:top w:val="single" w:sz="4" w:space="0" w:color="auto"/>
              <w:bottom w:val="single" w:sz="4" w:space="0" w:color="A6A6A6"/>
            </w:tcBorders>
            <w:hideMark/>
          </w:tcPr>
          <w:p w14:paraId="023D2154" w14:textId="7BEDB345" w:rsidR="00BE78C7" w:rsidRPr="002029AF" w:rsidRDefault="00BE78C7" w:rsidP="00BE78C7">
            <w:pPr>
              <w:pStyle w:val="ARfintablebodybold"/>
              <w:rPr>
                <w:lang w:eastAsia="en-GB"/>
              </w:rPr>
            </w:pPr>
            <w:r w:rsidRPr="002029AF">
              <w:rPr>
                <w:lang w:eastAsia="en-GB"/>
              </w:rPr>
              <w:t>Payments</w:t>
            </w:r>
          </w:p>
        </w:tc>
      </w:tr>
      <w:tr w:rsidR="00BE78C7" w:rsidRPr="002029AF" w14:paraId="75B9675E" w14:textId="77777777" w:rsidTr="00DB53E6">
        <w:trPr>
          <w:cantSplit w:val="0"/>
        </w:trPr>
        <w:tc>
          <w:tcPr>
            <w:tcW w:w="5218" w:type="dxa"/>
            <w:tcBorders>
              <w:top w:val="single" w:sz="4" w:space="0" w:color="A6A6A6"/>
              <w:bottom w:val="single" w:sz="4" w:space="0" w:color="A6A6A6"/>
            </w:tcBorders>
            <w:hideMark/>
          </w:tcPr>
          <w:p w14:paraId="374F278B" w14:textId="02776DD5" w:rsidR="00BE78C7" w:rsidRPr="002029AF" w:rsidRDefault="00BE78C7" w:rsidP="00BE78C7">
            <w:pPr>
              <w:pStyle w:val="ARfintablebody"/>
              <w:rPr>
                <w:lang w:eastAsia="en-GB"/>
              </w:rPr>
            </w:pPr>
            <w:r w:rsidRPr="002029AF">
              <w:rPr>
                <w:lang w:eastAsia="en-GB"/>
              </w:rPr>
              <w:t>Payments</w:t>
            </w:r>
            <w:r w:rsidR="000A5329" w:rsidRPr="002029AF">
              <w:rPr>
                <w:lang w:eastAsia="en-GB"/>
              </w:rPr>
              <w:t xml:space="preserve"> </w:t>
            </w:r>
            <w:r w:rsidRPr="002029AF">
              <w:rPr>
                <w:lang w:eastAsia="en-GB"/>
              </w:rPr>
              <w:t>of</w:t>
            </w:r>
            <w:r w:rsidR="000A5329" w:rsidRPr="002029AF">
              <w:rPr>
                <w:lang w:eastAsia="en-GB"/>
              </w:rPr>
              <w:t xml:space="preserve"> </w:t>
            </w:r>
            <w:r w:rsidRPr="002029AF">
              <w:rPr>
                <w:lang w:eastAsia="en-GB"/>
              </w:rPr>
              <w:t>grants</w:t>
            </w:r>
            <w:r w:rsidR="000A5329" w:rsidRPr="002029AF">
              <w:rPr>
                <w:lang w:eastAsia="en-GB"/>
              </w:rPr>
              <w:t xml:space="preserve"> </w:t>
            </w:r>
            <w:r w:rsidRPr="002029AF">
              <w:rPr>
                <w:lang w:eastAsia="en-GB"/>
              </w:rPr>
              <w:t>and</w:t>
            </w:r>
            <w:r w:rsidR="000A5329" w:rsidRPr="002029AF">
              <w:rPr>
                <w:lang w:eastAsia="en-GB"/>
              </w:rPr>
              <w:t xml:space="preserve"> </w:t>
            </w:r>
            <w:r w:rsidRPr="002029AF">
              <w:rPr>
                <w:lang w:eastAsia="en-GB"/>
              </w:rPr>
              <w:t>other</w:t>
            </w:r>
            <w:r w:rsidR="000A5329" w:rsidRPr="002029AF">
              <w:rPr>
                <w:lang w:eastAsia="en-GB"/>
              </w:rPr>
              <w:t xml:space="preserve"> </w:t>
            </w:r>
            <w:r w:rsidRPr="002029AF">
              <w:rPr>
                <w:lang w:eastAsia="en-GB"/>
              </w:rPr>
              <w:t>transfers</w:t>
            </w:r>
          </w:p>
        </w:tc>
        <w:tc>
          <w:tcPr>
            <w:tcW w:w="1247" w:type="dxa"/>
            <w:tcBorders>
              <w:top w:val="single" w:sz="4" w:space="0" w:color="A6A6A6"/>
              <w:bottom w:val="single" w:sz="4" w:space="0" w:color="A6A6A6"/>
            </w:tcBorders>
            <w:hideMark/>
          </w:tcPr>
          <w:p w14:paraId="72ACCA32" w14:textId="77777777" w:rsidR="00BE78C7" w:rsidRPr="002029AF" w:rsidRDefault="00BE78C7" w:rsidP="00BE78C7">
            <w:pPr>
              <w:pStyle w:val="ARfintablebodyright"/>
              <w:rPr>
                <w:lang w:eastAsia="en-GB"/>
              </w:rPr>
            </w:pPr>
            <w:r w:rsidRPr="002029AF">
              <w:rPr>
                <w:lang w:eastAsia="en-GB"/>
              </w:rPr>
              <w:t>(4,302)</w:t>
            </w:r>
          </w:p>
        </w:tc>
        <w:tc>
          <w:tcPr>
            <w:tcW w:w="1247" w:type="dxa"/>
            <w:tcBorders>
              <w:top w:val="single" w:sz="4" w:space="0" w:color="A6A6A6"/>
              <w:bottom w:val="single" w:sz="4" w:space="0" w:color="A6A6A6"/>
            </w:tcBorders>
            <w:hideMark/>
          </w:tcPr>
          <w:p w14:paraId="69D5E409" w14:textId="77777777" w:rsidR="00BE78C7" w:rsidRPr="002029AF" w:rsidRDefault="00BE78C7" w:rsidP="00BE78C7">
            <w:pPr>
              <w:pStyle w:val="ARfintablebodyright"/>
              <w:rPr>
                <w:lang w:eastAsia="en-GB"/>
              </w:rPr>
            </w:pPr>
            <w:r w:rsidRPr="002029AF">
              <w:rPr>
                <w:lang w:eastAsia="en-GB"/>
              </w:rPr>
              <w:t>(3,026)</w:t>
            </w:r>
          </w:p>
        </w:tc>
        <w:tc>
          <w:tcPr>
            <w:tcW w:w="1247" w:type="dxa"/>
            <w:tcBorders>
              <w:top w:val="single" w:sz="4" w:space="0" w:color="A6A6A6"/>
              <w:bottom w:val="single" w:sz="4" w:space="0" w:color="A6A6A6"/>
            </w:tcBorders>
            <w:hideMark/>
          </w:tcPr>
          <w:p w14:paraId="4D9A217C" w14:textId="77777777" w:rsidR="00BE78C7" w:rsidRPr="002029AF" w:rsidRDefault="00BE78C7" w:rsidP="00BE78C7">
            <w:pPr>
              <w:pStyle w:val="ARfintablebodyright"/>
              <w:rPr>
                <w:lang w:eastAsia="en-GB"/>
              </w:rPr>
            </w:pPr>
            <w:r w:rsidRPr="002029AF">
              <w:rPr>
                <w:lang w:eastAsia="en-GB"/>
              </w:rPr>
              <w:t>42.2</w:t>
            </w:r>
          </w:p>
        </w:tc>
        <w:tc>
          <w:tcPr>
            <w:tcW w:w="680" w:type="dxa"/>
            <w:tcBorders>
              <w:top w:val="single" w:sz="4" w:space="0" w:color="A6A6A6"/>
              <w:bottom w:val="single" w:sz="4" w:space="0" w:color="A6A6A6"/>
            </w:tcBorders>
            <w:hideMark/>
          </w:tcPr>
          <w:p w14:paraId="2D036153" w14:textId="77777777" w:rsidR="00BE78C7" w:rsidRPr="002029AF" w:rsidRDefault="00BE78C7" w:rsidP="00BE78C7">
            <w:pPr>
              <w:pStyle w:val="ARfintablebodyrightbold"/>
              <w:rPr>
                <w:lang w:eastAsia="en-GB"/>
              </w:rPr>
            </w:pPr>
            <w:r w:rsidRPr="002029AF">
              <w:rPr>
                <w:lang w:eastAsia="en-GB"/>
              </w:rPr>
              <w:t>1</w:t>
            </w:r>
          </w:p>
        </w:tc>
      </w:tr>
      <w:tr w:rsidR="00BE78C7" w:rsidRPr="002029AF" w14:paraId="0E60D5DF" w14:textId="77777777" w:rsidTr="00DB53E6">
        <w:trPr>
          <w:cantSplit w:val="0"/>
        </w:trPr>
        <w:tc>
          <w:tcPr>
            <w:tcW w:w="5218" w:type="dxa"/>
            <w:tcBorders>
              <w:top w:val="single" w:sz="4" w:space="0" w:color="A6A6A6"/>
              <w:bottom w:val="single" w:sz="4" w:space="0" w:color="A6A6A6"/>
            </w:tcBorders>
            <w:hideMark/>
          </w:tcPr>
          <w:p w14:paraId="64BF8685" w14:textId="4FFB99AB" w:rsidR="00BE78C7" w:rsidRPr="002029AF" w:rsidRDefault="00BE78C7" w:rsidP="00BE78C7">
            <w:pPr>
              <w:pStyle w:val="ARfintablebody"/>
              <w:rPr>
                <w:lang w:eastAsia="en-GB"/>
              </w:rPr>
            </w:pPr>
            <w:r w:rsidRPr="002029AF">
              <w:rPr>
                <w:lang w:eastAsia="en-GB"/>
              </w:rPr>
              <w:t>Payments</w:t>
            </w:r>
            <w:r w:rsidR="000A5329" w:rsidRPr="002029AF">
              <w:rPr>
                <w:lang w:eastAsia="en-GB"/>
              </w:rPr>
              <w:t xml:space="preserve"> </w:t>
            </w:r>
            <w:r w:rsidRPr="002029AF">
              <w:rPr>
                <w:lang w:eastAsia="en-GB"/>
              </w:rPr>
              <w:t>to</w:t>
            </w:r>
            <w:r w:rsidR="000A5329" w:rsidRPr="002029AF">
              <w:rPr>
                <w:lang w:eastAsia="en-GB"/>
              </w:rPr>
              <w:t xml:space="preserve"> </w:t>
            </w:r>
            <w:r w:rsidRPr="002029AF">
              <w:rPr>
                <w:lang w:eastAsia="en-GB"/>
              </w:rPr>
              <w:t>suppliers</w:t>
            </w:r>
            <w:r w:rsidR="000A5329" w:rsidRPr="002029AF">
              <w:rPr>
                <w:lang w:eastAsia="en-GB"/>
              </w:rPr>
              <w:t xml:space="preserve"> </w:t>
            </w:r>
            <w:r w:rsidRPr="002029AF">
              <w:rPr>
                <w:lang w:eastAsia="en-GB"/>
              </w:rPr>
              <w:t>and</w:t>
            </w:r>
            <w:r w:rsidR="000A5329" w:rsidRPr="002029AF">
              <w:rPr>
                <w:lang w:eastAsia="en-GB"/>
              </w:rPr>
              <w:t xml:space="preserve"> </w:t>
            </w:r>
            <w:r w:rsidRPr="002029AF">
              <w:rPr>
                <w:lang w:eastAsia="en-GB"/>
              </w:rPr>
              <w:t>employees</w:t>
            </w:r>
          </w:p>
        </w:tc>
        <w:tc>
          <w:tcPr>
            <w:tcW w:w="1247" w:type="dxa"/>
            <w:tcBorders>
              <w:top w:val="single" w:sz="4" w:space="0" w:color="A6A6A6"/>
              <w:bottom w:val="single" w:sz="4" w:space="0" w:color="A6A6A6"/>
            </w:tcBorders>
            <w:hideMark/>
          </w:tcPr>
          <w:p w14:paraId="22988272" w14:textId="77777777" w:rsidR="00BE78C7" w:rsidRPr="002029AF" w:rsidRDefault="00BE78C7" w:rsidP="00BE78C7">
            <w:pPr>
              <w:pStyle w:val="ARfintablebodyright"/>
              <w:rPr>
                <w:lang w:eastAsia="en-GB"/>
              </w:rPr>
            </w:pPr>
            <w:r w:rsidRPr="002029AF">
              <w:rPr>
                <w:lang w:eastAsia="en-GB"/>
              </w:rPr>
              <w:t>(22,703)</w:t>
            </w:r>
          </w:p>
        </w:tc>
        <w:tc>
          <w:tcPr>
            <w:tcW w:w="1247" w:type="dxa"/>
            <w:tcBorders>
              <w:top w:val="single" w:sz="4" w:space="0" w:color="A6A6A6"/>
              <w:bottom w:val="single" w:sz="4" w:space="0" w:color="A6A6A6"/>
            </w:tcBorders>
            <w:hideMark/>
          </w:tcPr>
          <w:p w14:paraId="4FD118FE" w14:textId="77777777" w:rsidR="00BE78C7" w:rsidRPr="002029AF" w:rsidRDefault="00BE78C7" w:rsidP="00BE78C7">
            <w:pPr>
              <w:pStyle w:val="ARfintablebodyright"/>
              <w:rPr>
                <w:lang w:eastAsia="en-GB"/>
              </w:rPr>
            </w:pPr>
            <w:r w:rsidRPr="002029AF">
              <w:rPr>
                <w:lang w:eastAsia="en-GB"/>
              </w:rPr>
              <w:t>(21,673)</w:t>
            </w:r>
          </w:p>
        </w:tc>
        <w:tc>
          <w:tcPr>
            <w:tcW w:w="1247" w:type="dxa"/>
            <w:tcBorders>
              <w:top w:val="single" w:sz="4" w:space="0" w:color="A6A6A6"/>
              <w:bottom w:val="single" w:sz="4" w:space="0" w:color="A6A6A6"/>
            </w:tcBorders>
            <w:hideMark/>
          </w:tcPr>
          <w:p w14:paraId="23B8B05A" w14:textId="77777777" w:rsidR="00BE78C7" w:rsidRPr="002029AF" w:rsidRDefault="00BE78C7" w:rsidP="00BE78C7">
            <w:pPr>
              <w:pStyle w:val="ARfintablebodyright"/>
              <w:rPr>
                <w:lang w:eastAsia="en-GB"/>
              </w:rPr>
            </w:pPr>
            <w:r w:rsidRPr="002029AF">
              <w:rPr>
                <w:lang w:eastAsia="en-GB"/>
              </w:rPr>
              <w:t>4.8</w:t>
            </w:r>
          </w:p>
        </w:tc>
        <w:tc>
          <w:tcPr>
            <w:tcW w:w="680" w:type="dxa"/>
            <w:tcBorders>
              <w:top w:val="single" w:sz="4" w:space="0" w:color="A6A6A6"/>
              <w:bottom w:val="single" w:sz="4" w:space="0" w:color="A6A6A6"/>
            </w:tcBorders>
            <w:hideMark/>
          </w:tcPr>
          <w:p w14:paraId="7F522BA2" w14:textId="77777777" w:rsidR="00BE78C7" w:rsidRPr="002029AF" w:rsidRDefault="00BE78C7" w:rsidP="00BE78C7">
            <w:pPr>
              <w:pStyle w:val="ARfintablebodyright"/>
              <w:rPr>
                <w:lang w:eastAsia="en-GB"/>
              </w:rPr>
            </w:pPr>
          </w:p>
        </w:tc>
      </w:tr>
      <w:tr w:rsidR="00BE78C7" w:rsidRPr="002029AF" w14:paraId="6A5F0127" w14:textId="77777777" w:rsidTr="00DB53E6">
        <w:trPr>
          <w:cantSplit w:val="0"/>
        </w:trPr>
        <w:tc>
          <w:tcPr>
            <w:tcW w:w="5218" w:type="dxa"/>
            <w:tcBorders>
              <w:top w:val="single" w:sz="4" w:space="0" w:color="A6A6A6"/>
              <w:bottom w:val="single" w:sz="4" w:space="0" w:color="A6A6A6"/>
            </w:tcBorders>
            <w:hideMark/>
          </w:tcPr>
          <w:p w14:paraId="33F994C5" w14:textId="67FCD23C" w:rsidR="00BE78C7" w:rsidRPr="002029AF" w:rsidRDefault="00BE78C7" w:rsidP="00BE78C7">
            <w:pPr>
              <w:pStyle w:val="ARfintablebody"/>
              <w:rPr>
                <w:lang w:eastAsia="en-GB"/>
              </w:rPr>
            </w:pPr>
            <w:r w:rsidRPr="002029AF">
              <w:rPr>
                <w:lang w:eastAsia="en-GB"/>
              </w:rPr>
              <w:t>Capital</w:t>
            </w:r>
            <w:r w:rsidR="000A5329" w:rsidRPr="002029AF">
              <w:rPr>
                <w:lang w:eastAsia="en-GB"/>
              </w:rPr>
              <w:t xml:space="preserve"> </w:t>
            </w:r>
            <w:r w:rsidRPr="002029AF">
              <w:rPr>
                <w:lang w:eastAsia="en-GB"/>
              </w:rPr>
              <w:t>asset</w:t>
            </w:r>
            <w:r w:rsidR="000A5329" w:rsidRPr="002029AF">
              <w:rPr>
                <w:lang w:eastAsia="en-GB"/>
              </w:rPr>
              <w:t xml:space="preserve"> </w:t>
            </w:r>
            <w:r w:rsidRPr="002029AF">
              <w:rPr>
                <w:lang w:eastAsia="en-GB"/>
              </w:rPr>
              <w:t>charge</w:t>
            </w:r>
          </w:p>
        </w:tc>
        <w:tc>
          <w:tcPr>
            <w:tcW w:w="1247" w:type="dxa"/>
            <w:tcBorders>
              <w:top w:val="single" w:sz="4" w:space="0" w:color="A6A6A6"/>
              <w:bottom w:val="single" w:sz="4" w:space="0" w:color="A6A6A6"/>
            </w:tcBorders>
            <w:hideMark/>
          </w:tcPr>
          <w:p w14:paraId="08CD0B5B" w14:textId="77777777" w:rsidR="00BE78C7" w:rsidRPr="002029AF" w:rsidRDefault="00BE78C7" w:rsidP="00BE78C7">
            <w:pPr>
              <w:pStyle w:val="ARfintablebodyright"/>
              <w:rPr>
                <w:lang w:eastAsia="en-GB"/>
              </w:rPr>
            </w:pPr>
            <w:r w:rsidRPr="002029AF">
              <w:rPr>
                <w:lang w:eastAsia="en-GB"/>
              </w:rPr>
              <w:t>(1,320)</w:t>
            </w:r>
          </w:p>
        </w:tc>
        <w:tc>
          <w:tcPr>
            <w:tcW w:w="1247" w:type="dxa"/>
            <w:tcBorders>
              <w:top w:val="single" w:sz="4" w:space="0" w:color="A6A6A6"/>
              <w:bottom w:val="single" w:sz="4" w:space="0" w:color="A6A6A6"/>
            </w:tcBorders>
            <w:hideMark/>
          </w:tcPr>
          <w:p w14:paraId="3D3967F8" w14:textId="77777777" w:rsidR="00BE78C7" w:rsidRPr="002029AF" w:rsidRDefault="00BE78C7" w:rsidP="00BE78C7">
            <w:pPr>
              <w:pStyle w:val="ARfintablebodyright"/>
              <w:rPr>
                <w:lang w:eastAsia="en-GB"/>
              </w:rPr>
            </w:pPr>
            <w:r w:rsidRPr="002029AF">
              <w:rPr>
                <w:lang w:eastAsia="en-GB"/>
              </w:rPr>
              <w:t>(1,320)</w:t>
            </w:r>
          </w:p>
        </w:tc>
        <w:tc>
          <w:tcPr>
            <w:tcW w:w="1247" w:type="dxa"/>
            <w:tcBorders>
              <w:top w:val="single" w:sz="4" w:space="0" w:color="A6A6A6"/>
              <w:bottom w:val="single" w:sz="4" w:space="0" w:color="A6A6A6"/>
            </w:tcBorders>
            <w:hideMark/>
          </w:tcPr>
          <w:p w14:paraId="5E565AA0" w14:textId="18AA94D8" w:rsidR="00BE78C7" w:rsidRPr="002029AF" w:rsidRDefault="00E84E2E" w:rsidP="00BE78C7">
            <w:pPr>
              <w:pStyle w:val="ARfintablebodyright"/>
              <w:rPr>
                <w:lang w:eastAsia="en-GB"/>
              </w:rPr>
            </w:pPr>
            <w:r w:rsidRPr="002029AF">
              <w:t>–</w:t>
            </w:r>
          </w:p>
        </w:tc>
        <w:tc>
          <w:tcPr>
            <w:tcW w:w="680" w:type="dxa"/>
            <w:tcBorders>
              <w:top w:val="single" w:sz="4" w:space="0" w:color="A6A6A6"/>
              <w:bottom w:val="single" w:sz="4" w:space="0" w:color="A6A6A6"/>
            </w:tcBorders>
            <w:hideMark/>
          </w:tcPr>
          <w:p w14:paraId="31DF9B8B" w14:textId="77777777" w:rsidR="00BE78C7" w:rsidRPr="002029AF" w:rsidRDefault="00BE78C7" w:rsidP="00BE78C7">
            <w:pPr>
              <w:pStyle w:val="ARfintablebodyright"/>
              <w:rPr>
                <w:lang w:eastAsia="en-GB"/>
              </w:rPr>
            </w:pPr>
          </w:p>
        </w:tc>
      </w:tr>
      <w:tr w:rsidR="00BE78C7" w:rsidRPr="002029AF" w14:paraId="67BFED85" w14:textId="77777777" w:rsidTr="00DB53E6">
        <w:trPr>
          <w:cantSplit w:val="0"/>
        </w:trPr>
        <w:tc>
          <w:tcPr>
            <w:tcW w:w="5218" w:type="dxa"/>
            <w:tcBorders>
              <w:top w:val="single" w:sz="4" w:space="0" w:color="A6A6A6"/>
            </w:tcBorders>
            <w:hideMark/>
          </w:tcPr>
          <w:p w14:paraId="59BC3751" w14:textId="1D5E8228" w:rsidR="00BE78C7" w:rsidRPr="002029AF" w:rsidRDefault="00BE78C7" w:rsidP="00BE78C7">
            <w:pPr>
              <w:pStyle w:val="ARfintablebody"/>
              <w:rPr>
                <w:lang w:eastAsia="en-GB"/>
              </w:rPr>
            </w:pPr>
            <w:r w:rsidRPr="002029AF">
              <w:rPr>
                <w:lang w:eastAsia="en-GB"/>
              </w:rPr>
              <w:t>Interest</w:t>
            </w:r>
            <w:r w:rsidR="000A5329" w:rsidRPr="002029AF">
              <w:rPr>
                <w:lang w:eastAsia="en-GB"/>
              </w:rPr>
              <w:t xml:space="preserve"> </w:t>
            </w:r>
            <w:r w:rsidRPr="002029AF">
              <w:rPr>
                <w:lang w:eastAsia="en-GB"/>
              </w:rPr>
              <w:t>and</w:t>
            </w:r>
            <w:r w:rsidR="000A5329" w:rsidRPr="002029AF">
              <w:rPr>
                <w:lang w:eastAsia="en-GB"/>
              </w:rPr>
              <w:t xml:space="preserve"> </w:t>
            </w:r>
            <w:r w:rsidRPr="002029AF">
              <w:rPr>
                <w:lang w:eastAsia="en-GB"/>
              </w:rPr>
              <w:t>other</w:t>
            </w:r>
            <w:r w:rsidR="000A5329" w:rsidRPr="002029AF">
              <w:rPr>
                <w:lang w:eastAsia="en-GB"/>
              </w:rPr>
              <w:t xml:space="preserve"> </w:t>
            </w:r>
            <w:r w:rsidRPr="002029AF">
              <w:rPr>
                <w:lang w:eastAsia="en-GB"/>
              </w:rPr>
              <w:t>costs</w:t>
            </w:r>
            <w:r w:rsidR="000A5329" w:rsidRPr="002029AF">
              <w:rPr>
                <w:lang w:eastAsia="en-GB"/>
              </w:rPr>
              <w:t xml:space="preserve"> </w:t>
            </w:r>
            <w:r w:rsidRPr="002029AF">
              <w:rPr>
                <w:lang w:eastAsia="en-GB"/>
              </w:rPr>
              <w:t>of</w:t>
            </w:r>
            <w:r w:rsidR="000A5329" w:rsidRPr="002029AF">
              <w:rPr>
                <w:lang w:eastAsia="en-GB"/>
              </w:rPr>
              <w:t xml:space="preserve"> </w:t>
            </w:r>
            <w:r w:rsidRPr="002029AF">
              <w:rPr>
                <w:lang w:eastAsia="en-GB"/>
              </w:rPr>
              <w:t>finance</w:t>
            </w:r>
            <w:r w:rsidR="000A5329" w:rsidRPr="002029AF">
              <w:rPr>
                <w:lang w:eastAsia="en-GB"/>
              </w:rPr>
              <w:t xml:space="preserve"> </w:t>
            </w:r>
            <w:r w:rsidRPr="002029AF">
              <w:rPr>
                <w:lang w:eastAsia="en-GB"/>
              </w:rPr>
              <w:t>paid</w:t>
            </w:r>
          </w:p>
        </w:tc>
        <w:tc>
          <w:tcPr>
            <w:tcW w:w="1247" w:type="dxa"/>
            <w:tcBorders>
              <w:top w:val="single" w:sz="4" w:space="0" w:color="A6A6A6"/>
            </w:tcBorders>
            <w:hideMark/>
          </w:tcPr>
          <w:p w14:paraId="24A30BD3" w14:textId="77777777" w:rsidR="00BE78C7" w:rsidRPr="002029AF" w:rsidRDefault="00BE78C7" w:rsidP="00BE78C7">
            <w:pPr>
              <w:pStyle w:val="ARfintablebodyright"/>
              <w:rPr>
                <w:lang w:eastAsia="en-GB"/>
              </w:rPr>
            </w:pPr>
            <w:r w:rsidRPr="002029AF">
              <w:rPr>
                <w:lang w:eastAsia="en-GB"/>
              </w:rPr>
              <w:t>(186)</w:t>
            </w:r>
          </w:p>
        </w:tc>
        <w:tc>
          <w:tcPr>
            <w:tcW w:w="1247" w:type="dxa"/>
            <w:tcBorders>
              <w:top w:val="single" w:sz="4" w:space="0" w:color="A6A6A6"/>
            </w:tcBorders>
            <w:hideMark/>
          </w:tcPr>
          <w:p w14:paraId="1E0958A0" w14:textId="77777777" w:rsidR="00BE78C7" w:rsidRPr="002029AF" w:rsidRDefault="00BE78C7" w:rsidP="00BE78C7">
            <w:pPr>
              <w:pStyle w:val="ARfintablebodyright"/>
              <w:rPr>
                <w:lang w:eastAsia="en-GB"/>
              </w:rPr>
            </w:pPr>
            <w:r w:rsidRPr="002029AF">
              <w:rPr>
                <w:lang w:eastAsia="en-GB"/>
              </w:rPr>
              <w:t>(217)</w:t>
            </w:r>
          </w:p>
        </w:tc>
        <w:tc>
          <w:tcPr>
            <w:tcW w:w="1247" w:type="dxa"/>
            <w:tcBorders>
              <w:top w:val="single" w:sz="4" w:space="0" w:color="A6A6A6"/>
            </w:tcBorders>
            <w:hideMark/>
          </w:tcPr>
          <w:p w14:paraId="6799A3BA" w14:textId="77777777" w:rsidR="00BE78C7" w:rsidRPr="002029AF" w:rsidRDefault="00BE78C7" w:rsidP="00BE78C7">
            <w:pPr>
              <w:pStyle w:val="ARfintablebodyright"/>
              <w:rPr>
                <w:lang w:eastAsia="en-GB"/>
              </w:rPr>
            </w:pPr>
            <w:r w:rsidRPr="002029AF">
              <w:rPr>
                <w:lang w:eastAsia="en-GB"/>
              </w:rPr>
              <w:t>(14.5)</w:t>
            </w:r>
          </w:p>
        </w:tc>
        <w:tc>
          <w:tcPr>
            <w:tcW w:w="680" w:type="dxa"/>
            <w:tcBorders>
              <w:top w:val="single" w:sz="4" w:space="0" w:color="A6A6A6"/>
            </w:tcBorders>
            <w:hideMark/>
          </w:tcPr>
          <w:p w14:paraId="0C2AF9DB" w14:textId="77777777" w:rsidR="00BE78C7" w:rsidRPr="002029AF" w:rsidRDefault="00BE78C7" w:rsidP="00BE78C7">
            <w:pPr>
              <w:pStyle w:val="ARfintablebodyright"/>
              <w:rPr>
                <w:lang w:eastAsia="en-GB"/>
              </w:rPr>
            </w:pPr>
          </w:p>
        </w:tc>
      </w:tr>
      <w:tr w:rsidR="00BE78C7" w:rsidRPr="002029AF" w14:paraId="10DD6955" w14:textId="77777777" w:rsidTr="00BE78C7">
        <w:trPr>
          <w:cantSplit w:val="0"/>
        </w:trPr>
        <w:tc>
          <w:tcPr>
            <w:tcW w:w="5218" w:type="dxa"/>
            <w:hideMark/>
          </w:tcPr>
          <w:p w14:paraId="4907F28A" w14:textId="0F06A5A3" w:rsidR="00BE78C7" w:rsidRPr="002029AF" w:rsidRDefault="00BE78C7" w:rsidP="00BE78C7">
            <w:pPr>
              <w:pStyle w:val="ARfintablebodybold"/>
              <w:rPr>
                <w:lang w:eastAsia="en-GB"/>
              </w:rPr>
            </w:pPr>
            <w:r w:rsidRPr="002029AF">
              <w:rPr>
                <w:lang w:eastAsia="en-GB"/>
              </w:rPr>
              <w:t>Total</w:t>
            </w:r>
            <w:r w:rsidR="000A5329" w:rsidRPr="002029AF">
              <w:rPr>
                <w:lang w:eastAsia="en-GB"/>
              </w:rPr>
              <w:t xml:space="preserve"> </w:t>
            </w:r>
            <w:r w:rsidRPr="002029AF">
              <w:rPr>
                <w:lang w:eastAsia="en-GB"/>
              </w:rPr>
              <w:t>payments</w:t>
            </w:r>
          </w:p>
        </w:tc>
        <w:tc>
          <w:tcPr>
            <w:tcW w:w="1247" w:type="dxa"/>
            <w:hideMark/>
          </w:tcPr>
          <w:p w14:paraId="50F06F33" w14:textId="77777777" w:rsidR="00BE78C7" w:rsidRPr="002029AF" w:rsidRDefault="00BE78C7" w:rsidP="00BE78C7">
            <w:pPr>
              <w:pStyle w:val="ARfintablebodyrightbold"/>
              <w:rPr>
                <w:lang w:eastAsia="en-GB"/>
              </w:rPr>
            </w:pPr>
            <w:r w:rsidRPr="002029AF">
              <w:rPr>
                <w:lang w:eastAsia="en-GB"/>
              </w:rPr>
              <w:t>(28,511)</w:t>
            </w:r>
          </w:p>
        </w:tc>
        <w:tc>
          <w:tcPr>
            <w:tcW w:w="1247" w:type="dxa"/>
            <w:hideMark/>
          </w:tcPr>
          <w:p w14:paraId="32E6D3EA" w14:textId="77777777" w:rsidR="00BE78C7" w:rsidRPr="002029AF" w:rsidRDefault="00BE78C7" w:rsidP="00BE78C7">
            <w:pPr>
              <w:pStyle w:val="ARfintablebodyrightbold"/>
              <w:rPr>
                <w:lang w:eastAsia="en-GB"/>
              </w:rPr>
            </w:pPr>
            <w:r w:rsidRPr="002029AF">
              <w:rPr>
                <w:lang w:eastAsia="en-GB"/>
              </w:rPr>
              <w:t>(26,236)</w:t>
            </w:r>
          </w:p>
        </w:tc>
        <w:tc>
          <w:tcPr>
            <w:tcW w:w="1247" w:type="dxa"/>
            <w:hideMark/>
          </w:tcPr>
          <w:p w14:paraId="5C5C906C" w14:textId="77777777" w:rsidR="00BE78C7" w:rsidRPr="002029AF" w:rsidRDefault="00BE78C7" w:rsidP="00BE78C7">
            <w:pPr>
              <w:pStyle w:val="ARfintablebodyrightbold"/>
              <w:rPr>
                <w:lang w:eastAsia="en-GB"/>
              </w:rPr>
            </w:pPr>
            <w:r w:rsidRPr="002029AF">
              <w:rPr>
                <w:lang w:eastAsia="en-GB"/>
              </w:rPr>
              <w:t>8.7</w:t>
            </w:r>
          </w:p>
        </w:tc>
        <w:tc>
          <w:tcPr>
            <w:tcW w:w="680" w:type="dxa"/>
            <w:hideMark/>
          </w:tcPr>
          <w:p w14:paraId="661D65F6" w14:textId="77777777" w:rsidR="00BE78C7" w:rsidRPr="002029AF" w:rsidRDefault="00BE78C7" w:rsidP="00BE78C7">
            <w:pPr>
              <w:pStyle w:val="ARfintablebodyright"/>
              <w:rPr>
                <w:lang w:eastAsia="en-GB"/>
              </w:rPr>
            </w:pPr>
          </w:p>
        </w:tc>
      </w:tr>
      <w:tr w:rsidR="00BE78C7" w:rsidRPr="002029AF" w14:paraId="4BDD87D0" w14:textId="77777777" w:rsidTr="00DB53E6">
        <w:trPr>
          <w:cantSplit w:val="0"/>
        </w:trPr>
        <w:tc>
          <w:tcPr>
            <w:tcW w:w="5218" w:type="dxa"/>
            <w:tcBorders>
              <w:bottom w:val="single" w:sz="4" w:space="0" w:color="auto"/>
            </w:tcBorders>
            <w:hideMark/>
          </w:tcPr>
          <w:p w14:paraId="191EA8FD" w14:textId="0BAA63D1" w:rsidR="00BE78C7" w:rsidRPr="002029AF" w:rsidRDefault="00BE78C7" w:rsidP="00BE78C7">
            <w:pPr>
              <w:pStyle w:val="ARfintablebodybold"/>
              <w:rPr>
                <w:lang w:eastAsia="en-GB"/>
              </w:rPr>
            </w:pPr>
            <w:r w:rsidRPr="002029AF">
              <w:rPr>
                <w:lang w:eastAsia="en-GB"/>
              </w:rPr>
              <w:t>Net</w:t>
            </w:r>
            <w:r w:rsidR="000A5329" w:rsidRPr="002029AF">
              <w:rPr>
                <w:lang w:eastAsia="en-GB"/>
              </w:rPr>
              <w:t xml:space="preserve"> </w:t>
            </w:r>
            <w:r w:rsidRPr="002029AF">
              <w:rPr>
                <w:lang w:eastAsia="en-GB"/>
              </w:rPr>
              <w:t>cash</w:t>
            </w:r>
            <w:r w:rsidR="000A5329" w:rsidRPr="002029AF">
              <w:rPr>
                <w:lang w:eastAsia="en-GB"/>
              </w:rPr>
              <w:t xml:space="preserve"> </w:t>
            </w:r>
            <w:r w:rsidRPr="002029AF">
              <w:rPr>
                <w:lang w:eastAsia="en-GB"/>
              </w:rPr>
              <w:t>flows</w:t>
            </w:r>
            <w:r w:rsidR="000A5329" w:rsidRPr="002029AF">
              <w:rPr>
                <w:lang w:eastAsia="en-GB"/>
              </w:rPr>
              <w:t xml:space="preserve"> </w:t>
            </w:r>
            <w:r w:rsidRPr="002029AF">
              <w:rPr>
                <w:lang w:eastAsia="en-GB"/>
              </w:rPr>
              <w:t>from</w:t>
            </w:r>
            <w:r w:rsidR="009D7371" w:rsidRPr="002029AF">
              <w:rPr>
                <w:lang w:eastAsia="en-GB"/>
              </w:rPr>
              <w:t>/ (</w:t>
            </w:r>
            <w:r w:rsidRPr="002029AF">
              <w:rPr>
                <w:lang w:eastAsia="en-GB"/>
              </w:rPr>
              <w:t>used</w:t>
            </w:r>
            <w:r w:rsidR="000A5329" w:rsidRPr="002029AF">
              <w:rPr>
                <w:lang w:eastAsia="en-GB"/>
              </w:rPr>
              <w:t xml:space="preserve"> </w:t>
            </w:r>
            <w:r w:rsidRPr="002029AF">
              <w:rPr>
                <w:lang w:eastAsia="en-GB"/>
              </w:rPr>
              <w:t>in)</w:t>
            </w:r>
            <w:r w:rsidR="000A5329" w:rsidRPr="002029AF">
              <w:rPr>
                <w:lang w:eastAsia="en-GB"/>
              </w:rPr>
              <w:t xml:space="preserve"> </w:t>
            </w:r>
            <w:r w:rsidRPr="002029AF">
              <w:rPr>
                <w:lang w:eastAsia="en-GB"/>
              </w:rPr>
              <w:t>operating</w:t>
            </w:r>
            <w:r w:rsidR="000A5329" w:rsidRPr="002029AF">
              <w:rPr>
                <w:lang w:eastAsia="en-GB"/>
              </w:rPr>
              <w:t xml:space="preserve"> </w:t>
            </w:r>
            <w:r w:rsidRPr="002029AF">
              <w:rPr>
                <w:lang w:eastAsia="en-GB"/>
              </w:rPr>
              <w:t>activities</w:t>
            </w:r>
          </w:p>
        </w:tc>
        <w:tc>
          <w:tcPr>
            <w:tcW w:w="1247" w:type="dxa"/>
            <w:tcBorders>
              <w:bottom w:val="single" w:sz="4" w:space="0" w:color="auto"/>
            </w:tcBorders>
            <w:hideMark/>
          </w:tcPr>
          <w:p w14:paraId="4845B3D9" w14:textId="77777777" w:rsidR="00BE78C7" w:rsidRPr="002029AF" w:rsidRDefault="00BE78C7" w:rsidP="00BE78C7">
            <w:pPr>
              <w:pStyle w:val="ARfintablebodyrightbold"/>
              <w:rPr>
                <w:lang w:eastAsia="en-GB"/>
              </w:rPr>
            </w:pPr>
            <w:r w:rsidRPr="002029AF">
              <w:rPr>
                <w:lang w:eastAsia="en-GB"/>
              </w:rPr>
              <w:t>1,230</w:t>
            </w:r>
          </w:p>
        </w:tc>
        <w:tc>
          <w:tcPr>
            <w:tcW w:w="1247" w:type="dxa"/>
            <w:tcBorders>
              <w:bottom w:val="single" w:sz="4" w:space="0" w:color="auto"/>
            </w:tcBorders>
            <w:hideMark/>
          </w:tcPr>
          <w:p w14:paraId="35115FAE" w14:textId="77777777" w:rsidR="00BE78C7" w:rsidRPr="002029AF" w:rsidRDefault="00BE78C7" w:rsidP="00BE78C7">
            <w:pPr>
              <w:pStyle w:val="ARfintablebodyrightbold"/>
              <w:rPr>
                <w:lang w:eastAsia="en-GB"/>
              </w:rPr>
            </w:pPr>
            <w:r w:rsidRPr="002029AF">
              <w:rPr>
                <w:lang w:eastAsia="en-GB"/>
              </w:rPr>
              <w:t>1,313</w:t>
            </w:r>
          </w:p>
        </w:tc>
        <w:tc>
          <w:tcPr>
            <w:tcW w:w="1247" w:type="dxa"/>
            <w:tcBorders>
              <w:bottom w:val="single" w:sz="4" w:space="0" w:color="auto"/>
            </w:tcBorders>
            <w:hideMark/>
          </w:tcPr>
          <w:p w14:paraId="76905380" w14:textId="77777777" w:rsidR="00BE78C7" w:rsidRPr="002029AF" w:rsidRDefault="00BE78C7" w:rsidP="00BE78C7">
            <w:pPr>
              <w:pStyle w:val="ARfintablebodyrightbold"/>
              <w:rPr>
                <w:lang w:eastAsia="en-GB"/>
              </w:rPr>
            </w:pPr>
            <w:r w:rsidRPr="002029AF">
              <w:rPr>
                <w:lang w:eastAsia="en-GB"/>
              </w:rPr>
              <w:t>(6.3)</w:t>
            </w:r>
          </w:p>
        </w:tc>
        <w:tc>
          <w:tcPr>
            <w:tcW w:w="680" w:type="dxa"/>
            <w:tcBorders>
              <w:bottom w:val="single" w:sz="4" w:space="0" w:color="auto"/>
            </w:tcBorders>
            <w:hideMark/>
          </w:tcPr>
          <w:p w14:paraId="19E045AC" w14:textId="77777777" w:rsidR="00BE78C7" w:rsidRPr="002029AF" w:rsidRDefault="00BE78C7" w:rsidP="00BE78C7">
            <w:pPr>
              <w:pStyle w:val="ARfintablebodyright"/>
              <w:rPr>
                <w:lang w:eastAsia="en-GB"/>
              </w:rPr>
            </w:pPr>
          </w:p>
        </w:tc>
      </w:tr>
      <w:tr w:rsidR="00BE78C7" w:rsidRPr="002029AF" w14:paraId="1DC6D3A8" w14:textId="77777777" w:rsidTr="00DB53E6">
        <w:trPr>
          <w:cantSplit w:val="0"/>
        </w:trPr>
        <w:tc>
          <w:tcPr>
            <w:tcW w:w="9639" w:type="dxa"/>
            <w:gridSpan w:val="5"/>
            <w:tcBorders>
              <w:top w:val="single" w:sz="4" w:space="0" w:color="auto"/>
              <w:bottom w:val="single" w:sz="4" w:space="0" w:color="A6A6A6"/>
            </w:tcBorders>
            <w:hideMark/>
          </w:tcPr>
          <w:p w14:paraId="53EF48C0" w14:textId="38C74D3F" w:rsidR="00BE78C7" w:rsidRPr="002029AF" w:rsidRDefault="00BE78C7" w:rsidP="00BE78C7">
            <w:pPr>
              <w:pStyle w:val="ARfintablebodybold"/>
              <w:rPr>
                <w:lang w:eastAsia="en-GB"/>
              </w:rPr>
            </w:pPr>
            <w:r w:rsidRPr="002029AF">
              <w:rPr>
                <w:lang w:eastAsia="en-GB"/>
              </w:rPr>
              <w:t>Cash</w:t>
            </w:r>
            <w:r w:rsidR="000A5329" w:rsidRPr="002029AF">
              <w:rPr>
                <w:lang w:eastAsia="en-GB"/>
              </w:rPr>
              <w:t xml:space="preserve"> </w:t>
            </w:r>
            <w:r w:rsidRPr="002029AF">
              <w:rPr>
                <w:lang w:eastAsia="en-GB"/>
              </w:rPr>
              <w:t>flows</w:t>
            </w:r>
            <w:r w:rsidR="000A5329" w:rsidRPr="002029AF">
              <w:rPr>
                <w:lang w:eastAsia="en-GB"/>
              </w:rPr>
              <w:t xml:space="preserve"> </w:t>
            </w:r>
            <w:r w:rsidRPr="002029AF">
              <w:rPr>
                <w:lang w:eastAsia="en-GB"/>
              </w:rPr>
              <w:t>from</w:t>
            </w:r>
            <w:r w:rsidR="000A5329" w:rsidRPr="002029AF">
              <w:rPr>
                <w:lang w:eastAsia="en-GB"/>
              </w:rPr>
              <w:t xml:space="preserve"> </w:t>
            </w:r>
            <w:r w:rsidRPr="002029AF">
              <w:rPr>
                <w:lang w:eastAsia="en-GB"/>
              </w:rPr>
              <w:t>investing</w:t>
            </w:r>
            <w:r w:rsidR="000A5329" w:rsidRPr="002029AF">
              <w:rPr>
                <w:lang w:eastAsia="en-GB"/>
              </w:rPr>
              <w:t xml:space="preserve"> </w:t>
            </w:r>
            <w:r w:rsidRPr="002029AF">
              <w:rPr>
                <w:lang w:eastAsia="en-GB"/>
              </w:rPr>
              <w:t>activities</w:t>
            </w:r>
          </w:p>
        </w:tc>
      </w:tr>
      <w:tr w:rsidR="00BE78C7" w:rsidRPr="002029AF" w14:paraId="0A7FAF58" w14:textId="77777777" w:rsidTr="00DB53E6">
        <w:trPr>
          <w:cantSplit w:val="0"/>
        </w:trPr>
        <w:tc>
          <w:tcPr>
            <w:tcW w:w="5218" w:type="dxa"/>
            <w:tcBorders>
              <w:top w:val="single" w:sz="4" w:space="0" w:color="A6A6A6"/>
              <w:bottom w:val="single" w:sz="4" w:space="0" w:color="A6A6A6"/>
            </w:tcBorders>
            <w:hideMark/>
          </w:tcPr>
          <w:p w14:paraId="6FB288B4" w14:textId="6CC0062C" w:rsidR="00BE78C7" w:rsidRPr="002029AF" w:rsidRDefault="00BE78C7" w:rsidP="00BE78C7">
            <w:pPr>
              <w:pStyle w:val="ARfintablebody"/>
              <w:rPr>
                <w:lang w:eastAsia="en-GB"/>
              </w:rPr>
            </w:pPr>
            <w:r w:rsidRPr="002029AF">
              <w:rPr>
                <w:lang w:eastAsia="en-GB"/>
              </w:rPr>
              <w:t>Net</w:t>
            </w:r>
            <w:r w:rsidR="000A5329" w:rsidRPr="002029AF">
              <w:rPr>
                <w:lang w:eastAsia="en-GB"/>
              </w:rPr>
              <w:t xml:space="preserve"> </w:t>
            </w:r>
            <w:r w:rsidRPr="002029AF">
              <w:rPr>
                <w:lang w:eastAsia="en-GB"/>
              </w:rPr>
              <w:t>investment</w:t>
            </w:r>
          </w:p>
        </w:tc>
        <w:tc>
          <w:tcPr>
            <w:tcW w:w="1247" w:type="dxa"/>
            <w:tcBorders>
              <w:top w:val="single" w:sz="4" w:space="0" w:color="A6A6A6"/>
              <w:bottom w:val="single" w:sz="4" w:space="0" w:color="A6A6A6"/>
            </w:tcBorders>
            <w:hideMark/>
          </w:tcPr>
          <w:p w14:paraId="2F3355D5" w14:textId="77777777" w:rsidR="00BE78C7" w:rsidRPr="002029AF" w:rsidRDefault="00BE78C7" w:rsidP="00BE78C7">
            <w:pPr>
              <w:pStyle w:val="ARfintablebodyright"/>
              <w:rPr>
                <w:lang w:eastAsia="en-GB"/>
              </w:rPr>
            </w:pPr>
            <w:r w:rsidRPr="002029AF">
              <w:rPr>
                <w:lang w:eastAsia="en-GB"/>
              </w:rPr>
              <w:t>(36)</w:t>
            </w:r>
          </w:p>
        </w:tc>
        <w:tc>
          <w:tcPr>
            <w:tcW w:w="1247" w:type="dxa"/>
            <w:tcBorders>
              <w:top w:val="single" w:sz="4" w:space="0" w:color="A6A6A6"/>
              <w:bottom w:val="single" w:sz="4" w:space="0" w:color="A6A6A6"/>
            </w:tcBorders>
            <w:hideMark/>
          </w:tcPr>
          <w:p w14:paraId="5F708A58" w14:textId="77777777" w:rsidR="00BE78C7" w:rsidRPr="002029AF" w:rsidRDefault="00BE78C7" w:rsidP="00BE78C7">
            <w:pPr>
              <w:pStyle w:val="ARfintablebodyright"/>
              <w:rPr>
                <w:lang w:eastAsia="en-GB"/>
              </w:rPr>
            </w:pPr>
            <w:r w:rsidRPr="002029AF">
              <w:rPr>
                <w:lang w:eastAsia="en-GB"/>
              </w:rPr>
              <w:t>25</w:t>
            </w:r>
          </w:p>
        </w:tc>
        <w:tc>
          <w:tcPr>
            <w:tcW w:w="1247" w:type="dxa"/>
            <w:tcBorders>
              <w:top w:val="single" w:sz="4" w:space="0" w:color="A6A6A6"/>
              <w:bottom w:val="single" w:sz="4" w:space="0" w:color="A6A6A6"/>
            </w:tcBorders>
            <w:hideMark/>
          </w:tcPr>
          <w:p w14:paraId="7B78341F" w14:textId="77777777" w:rsidR="00BE78C7" w:rsidRPr="002029AF" w:rsidRDefault="00BE78C7" w:rsidP="00BE78C7">
            <w:pPr>
              <w:pStyle w:val="ARfintablebodyright"/>
              <w:rPr>
                <w:lang w:eastAsia="en-GB"/>
              </w:rPr>
            </w:pPr>
            <w:r w:rsidRPr="002029AF">
              <w:rPr>
                <w:lang w:eastAsia="en-GB"/>
              </w:rPr>
              <w:t>(242.8)</w:t>
            </w:r>
          </w:p>
        </w:tc>
        <w:tc>
          <w:tcPr>
            <w:tcW w:w="680" w:type="dxa"/>
            <w:tcBorders>
              <w:top w:val="single" w:sz="4" w:space="0" w:color="A6A6A6"/>
              <w:bottom w:val="single" w:sz="4" w:space="0" w:color="A6A6A6"/>
            </w:tcBorders>
            <w:hideMark/>
          </w:tcPr>
          <w:p w14:paraId="4D748784" w14:textId="77777777" w:rsidR="00BE78C7" w:rsidRPr="002029AF" w:rsidRDefault="00BE78C7" w:rsidP="00BE78C7">
            <w:pPr>
              <w:pStyle w:val="ARfintablebodyright"/>
              <w:rPr>
                <w:lang w:eastAsia="en-GB"/>
              </w:rPr>
            </w:pPr>
          </w:p>
        </w:tc>
      </w:tr>
      <w:tr w:rsidR="00BE78C7" w:rsidRPr="002029AF" w14:paraId="50E85D52" w14:textId="77777777" w:rsidTr="00DB53E6">
        <w:trPr>
          <w:cantSplit w:val="0"/>
        </w:trPr>
        <w:tc>
          <w:tcPr>
            <w:tcW w:w="5218" w:type="dxa"/>
            <w:tcBorders>
              <w:top w:val="single" w:sz="4" w:space="0" w:color="A6A6A6"/>
              <w:bottom w:val="single" w:sz="4" w:space="0" w:color="A6A6A6"/>
            </w:tcBorders>
            <w:hideMark/>
          </w:tcPr>
          <w:p w14:paraId="5F767505" w14:textId="75BEC7CD" w:rsidR="00BE78C7" w:rsidRPr="002029AF" w:rsidRDefault="00BE78C7" w:rsidP="00BE78C7">
            <w:pPr>
              <w:pStyle w:val="ARfintablebody"/>
              <w:rPr>
                <w:lang w:eastAsia="en-GB"/>
              </w:rPr>
            </w:pPr>
            <w:r w:rsidRPr="002029AF">
              <w:rPr>
                <w:lang w:eastAsia="en-GB"/>
              </w:rPr>
              <w:t>Payments</w:t>
            </w:r>
            <w:r w:rsidR="000A5329" w:rsidRPr="002029AF">
              <w:rPr>
                <w:lang w:eastAsia="en-GB"/>
              </w:rPr>
              <w:t xml:space="preserve"> </w:t>
            </w:r>
            <w:r w:rsidRPr="002029AF">
              <w:rPr>
                <w:lang w:eastAsia="en-GB"/>
              </w:rPr>
              <w:t>for</w:t>
            </w:r>
            <w:r w:rsidR="000A5329" w:rsidRPr="002029AF">
              <w:rPr>
                <w:lang w:eastAsia="en-GB"/>
              </w:rPr>
              <w:t xml:space="preserve"> </w:t>
            </w:r>
            <w:r w:rsidRPr="002029AF">
              <w:rPr>
                <w:lang w:eastAsia="en-GB"/>
              </w:rPr>
              <w:t>non-financial</w:t>
            </w:r>
            <w:r w:rsidR="000A5329" w:rsidRPr="002029AF">
              <w:rPr>
                <w:lang w:eastAsia="en-GB"/>
              </w:rPr>
              <w:t xml:space="preserve"> </w:t>
            </w:r>
            <w:r w:rsidRPr="002029AF">
              <w:rPr>
                <w:lang w:eastAsia="en-GB"/>
              </w:rPr>
              <w:t>assets</w:t>
            </w:r>
          </w:p>
        </w:tc>
        <w:tc>
          <w:tcPr>
            <w:tcW w:w="1247" w:type="dxa"/>
            <w:tcBorders>
              <w:top w:val="single" w:sz="4" w:space="0" w:color="A6A6A6"/>
              <w:bottom w:val="single" w:sz="4" w:space="0" w:color="A6A6A6"/>
            </w:tcBorders>
            <w:hideMark/>
          </w:tcPr>
          <w:p w14:paraId="5E74278B" w14:textId="77777777" w:rsidR="00BE78C7" w:rsidRPr="002029AF" w:rsidRDefault="00BE78C7" w:rsidP="00BE78C7">
            <w:pPr>
              <w:pStyle w:val="ARfintablebodyright"/>
              <w:rPr>
                <w:lang w:eastAsia="en-GB"/>
              </w:rPr>
            </w:pPr>
            <w:r w:rsidRPr="002029AF">
              <w:rPr>
                <w:lang w:eastAsia="en-GB"/>
              </w:rPr>
              <w:t>(912)</w:t>
            </w:r>
          </w:p>
        </w:tc>
        <w:tc>
          <w:tcPr>
            <w:tcW w:w="1247" w:type="dxa"/>
            <w:tcBorders>
              <w:top w:val="single" w:sz="4" w:space="0" w:color="A6A6A6"/>
              <w:bottom w:val="single" w:sz="4" w:space="0" w:color="A6A6A6"/>
            </w:tcBorders>
            <w:hideMark/>
          </w:tcPr>
          <w:p w14:paraId="291DDA76" w14:textId="77777777" w:rsidR="00BE78C7" w:rsidRPr="002029AF" w:rsidRDefault="00BE78C7" w:rsidP="00BE78C7">
            <w:pPr>
              <w:pStyle w:val="ARfintablebodyright"/>
              <w:rPr>
                <w:lang w:eastAsia="en-GB"/>
              </w:rPr>
            </w:pPr>
            <w:r w:rsidRPr="002029AF">
              <w:rPr>
                <w:lang w:eastAsia="en-GB"/>
              </w:rPr>
              <w:t>(1,132)</w:t>
            </w:r>
          </w:p>
        </w:tc>
        <w:tc>
          <w:tcPr>
            <w:tcW w:w="1247" w:type="dxa"/>
            <w:tcBorders>
              <w:top w:val="single" w:sz="4" w:space="0" w:color="A6A6A6"/>
              <w:bottom w:val="single" w:sz="4" w:space="0" w:color="A6A6A6"/>
            </w:tcBorders>
            <w:hideMark/>
          </w:tcPr>
          <w:p w14:paraId="7952A7F9" w14:textId="77777777" w:rsidR="00BE78C7" w:rsidRPr="002029AF" w:rsidRDefault="00BE78C7" w:rsidP="00BE78C7">
            <w:pPr>
              <w:pStyle w:val="ARfintablebodyright"/>
              <w:rPr>
                <w:lang w:eastAsia="en-GB"/>
              </w:rPr>
            </w:pPr>
            <w:r w:rsidRPr="002029AF">
              <w:rPr>
                <w:lang w:eastAsia="en-GB"/>
              </w:rPr>
              <w:t>(19.5)</w:t>
            </w:r>
          </w:p>
        </w:tc>
        <w:tc>
          <w:tcPr>
            <w:tcW w:w="680" w:type="dxa"/>
            <w:tcBorders>
              <w:top w:val="single" w:sz="4" w:space="0" w:color="A6A6A6"/>
              <w:bottom w:val="single" w:sz="4" w:space="0" w:color="A6A6A6"/>
            </w:tcBorders>
            <w:hideMark/>
          </w:tcPr>
          <w:p w14:paraId="7302E3C1" w14:textId="77777777" w:rsidR="00BE78C7" w:rsidRPr="002029AF" w:rsidRDefault="00BE78C7" w:rsidP="00BE78C7">
            <w:pPr>
              <w:pStyle w:val="ARfintablebodyright"/>
              <w:rPr>
                <w:lang w:eastAsia="en-GB"/>
              </w:rPr>
            </w:pPr>
          </w:p>
        </w:tc>
      </w:tr>
      <w:tr w:rsidR="00BE78C7" w:rsidRPr="002029AF" w14:paraId="60CE621C" w14:textId="77777777" w:rsidTr="00DB53E6">
        <w:trPr>
          <w:cantSplit w:val="0"/>
        </w:trPr>
        <w:tc>
          <w:tcPr>
            <w:tcW w:w="5218" w:type="dxa"/>
            <w:tcBorders>
              <w:top w:val="single" w:sz="4" w:space="0" w:color="A6A6A6"/>
              <w:bottom w:val="single" w:sz="4" w:space="0" w:color="A6A6A6"/>
            </w:tcBorders>
            <w:hideMark/>
          </w:tcPr>
          <w:p w14:paraId="7D50F684" w14:textId="48FD3E65" w:rsidR="00BE78C7" w:rsidRPr="002029AF" w:rsidRDefault="00BE78C7" w:rsidP="00BE78C7">
            <w:pPr>
              <w:pStyle w:val="ARfintablebody"/>
              <w:rPr>
                <w:lang w:eastAsia="en-GB"/>
              </w:rPr>
            </w:pPr>
            <w:r w:rsidRPr="002029AF">
              <w:rPr>
                <w:lang w:eastAsia="en-GB"/>
              </w:rPr>
              <w:t>Proceeds</w:t>
            </w:r>
            <w:r w:rsidR="000A5329" w:rsidRPr="002029AF">
              <w:rPr>
                <w:lang w:eastAsia="en-GB"/>
              </w:rPr>
              <w:t xml:space="preserve"> </w:t>
            </w:r>
            <w:r w:rsidRPr="002029AF">
              <w:rPr>
                <w:lang w:eastAsia="en-GB"/>
              </w:rPr>
              <w:t>from</w:t>
            </w:r>
            <w:r w:rsidR="000A5329" w:rsidRPr="002029AF">
              <w:rPr>
                <w:lang w:eastAsia="en-GB"/>
              </w:rPr>
              <w:t xml:space="preserve"> </w:t>
            </w:r>
            <w:r w:rsidRPr="002029AF">
              <w:rPr>
                <w:lang w:eastAsia="en-GB"/>
              </w:rPr>
              <w:t>sale</w:t>
            </w:r>
            <w:r w:rsidR="000A5329" w:rsidRPr="002029AF">
              <w:rPr>
                <w:lang w:eastAsia="en-GB"/>
              </w:rPr>
              <w:t xml:space="preserve"> </w:t>
            </w:r>
            <w:r w:rsidRPr="002029AF">
              <w:rPr>
                <w:lang w:eastAsia="en-GB"/>
              </w:rPr>
              <w:t>of</w:t>
            </w:r>
            <w:r w:rsidR="000A5329" w:rsidRPr="002029AF">
              <w:rPr>
                <w:lang w:eastAsia="en-GB"/>
              </w:rPr>
              <w:t xml:space="preserve"> </w:t>
            </w:r>
            <w:r w:rsidRPr="002029AF">
              <w:rPr>
                <w:lang w:eastAsia="en-GB"/>
              </w:rPr>
              <w:t>non-financial</w:t>
            </w:r>
            <w:r w:rsidR="000A5329" w:rsidRPr="002029AF">
              <w:rPr>
                <w:lang w:eastAsia="en-GB"/>
              </w:rPr>
              <w:t xml:space="preserve"> </w:t>
            </w:r>
            <w:r w:rsidRPr="002029AF">
              <w:rPr>
                <w:lang w:eastAsia="en-GB"/>
              </w:rPr>
              <w:t>assets</w:t>
            </w:r>
          </w:p>
        </w:tc>
        <w:tc>
          <w:tcPr>
            <w:tcW w:w="1247" w:type="dxa"/>
            <w:tcBorders>
              <w:top w:val="single" w:sz="4" w:space="0" w:color="A6A6A6"/>
              <w:bottom w:val="single" w:sz="4" w:space="0" w:color="A6A6A6"/>
            </w:tcBorders>
            <w:hideMark/>
          </w:tcPr>
          <w:p w14:paraId="260E1D17" w14:textId="77777777" w:rsidR="00BE78C7" w:rsidRPr="002029AF" w:rsidRDefault="00BE78C7" w:rsidP="00BE78C7">
            <w:pPr>
              <w:pStyle w:val="ARfintablebodyright"/>
              <w:rPr>
                <w:lang w:eastAsia="en-GB"/>
              </w:rPr>
            </w:pPr>
            <w:r w:rsidRPr="002029AF">
              <w:rPr>
                <w:lang w:eastAsia="en-GB"/>
              </w:rPr>
              <w:t>21</w:t>
            </w:r>
          </w:p>
        </w:tc>
        <w:tc>
          <w:tcPr>
            <w:tcW w:w="1247" w:type="dxa"/>
            <w:tcBorders>
              <w:top w:val="single" w:sz="4" w:space="0" w:color="A6A6A6"/>
              <w:bottom w:val="single" w:sz="4" w:space="0" w:color="A6A6A6"/>
            </w:tcBorders>
            <w:hideMark/>
          </w:tcPr>
          <w:p w14:paraId="067ECE01" w14:textId="77777777" w:rsidR="00BE78C7" w:rsidRPr="002029AF" w:rsidRDefault="00BE78C7" w:rsidP="00BE78C7">
            <w:pPr>
              <w:pStyle w:val="ARfintablebodyright"/>
              <w:rPr>
                <w:lang w:eastAsia="en-GB"/>
              </w:rPr>
            </w:pPr>
            <w:r w:rsidRPr="002029AF">
              <w:rPr>
                <w:lang w:eastAsia="en-GB"/>
              </w:rPr>
              <w:t>3</w:t>
            </w:r>
          </w:p>
        </w:tc>
        <w:tc>
          <w:tcPr>
            <w:tcW w:w="1247" w:type="dxa"/>
            <w:tcBorders>
              <w:top w:val="single" w:sz="4" w:space="0" w:color="A6A6A6"/>
              <w:bottom w:val="single" w:sz="4" w:space="0" w:color="A6A6A6"/>
            </w:tcBorders>
            <w:hideMark/>
          </w:tcPr>
          <w:p w14:paraId="49B1BD40" w14:textId="77777777" w:rsidR="00BE78C7" w:rsidRPr="002029AF" w:rsidRDefault="00BE78C7" w:rsidP="00BE78C7">
            <w:pPr>
              <w:pStyle w:val="ARfintablebodyright"/>
              <w:rPr>
                <w:lang w:eastAsia="en-GB"/>
              </w:rPr>
            </w:pPr>
            <w:r w:rsidRPr="002029AF">
              <w:rPr>
                <w:lang w:eastAsia="en-GB"/>
              </w:rPr>
              <w:t>591.3</w:t>
            </w:r>
          </w:p>
        </w:tc>
        <w:tc>
          <w:tcPr>
            <w:tcW w:w="680" w:type="dxa"/>
            <w:tcBorders>
              <w:top w:val="single" w:sz="4" w:space="0" w:color="A6A6A6"/>
              <w:bottom w:val="single" w:sz="4" w:space="0" w:color="A6A6A6"/>
            </w:tcBorders>
            <w:hideMark/>
          </w:tcPr>
          <w:p w14:paraId="42B625A1" w14:textId="77777777" w:rsidR="00BE78C7" w:rsidRPr="002029AF" w:rsidRDefault="00BE78C7" w:rsidP="00BE78C7">
            <w:pPr>
              <w:pStyle w:val="ARfintablebodyright"/>
              <w:rPr>
                <w:lang w:eastAsia="en-GB"/>
              </w:rPr>
            </w:pPr>
          </w:p>
        </w:tc>
      </w:tr>
      <w:tr w:rsidR="00BE78C7" w:rsidRPr="002029AF" w14:paraId="5521DA57" w14:textId="77777777" w:rsidTr="00DB53E6">
        <w:trPr>
          <w:cantSplit w:val="0"/>
        </w:trPr>
        <w:tc>
          <w:tcPr>
            <w:tcW w:w="5218" w:type="dxa"/>
            <w:tcBorders>
              <w:top w:val="single" w:sz="4" w:space="0" w:color="A6A6A6"/>
              <w:bottom w:val="single" w:sz="4" w:space="0" w:color="A6A6A6"/>
            </w:tcBorders>
            <w:hideMark/>
          </w:tcPr>
          <w:p w14:paraId="6896B718" w14:textId="05BDC155" w:rsidR="00BE78C7" w:rsidRPr="002029AF" w:rsidRDefault="00BE78C7" w:rsidP="00BE78C7">
            <w:pPr>
              <w:pStyle w:val="ARfintablebody"/>
              <w:rPr>
                <w:lang w:eastAsia="en-GB"/>
              </w:rPr>
            </w:pPr>
            <w:r w:rsidRPr="002029AF">
              <w:rPr>
                <w:lang w:eastAsia="en-GB"/>
              </w:rPr>
              <w:t>Net</w:t>
            </w:r>
            <w:r w:rsidR="000A5329" w:rsidRPr="002029AF">
              <w:rPr>
                <w:lang w:eastAsia="en-GB"/>
              </w:rPr>
              <w:t xml:space="preserve"> </w:t>
            </w:r>
            <w:r w:rsidRPr="002029AF">
              <w:rPr>
                <w:lang w:eastAsia="en-GB"/>
              </w:rPr>
              <w:t>loans</w:t>
            </w:r>
            <w:r w:rsidR="000A5329" w:rsidRPr="002029AF">
              <w:rPr>
                <w:lang w:eastAsia="en-GB"/>
              </w:rPr>
              <w:t xml:space="preserve"> </w:t>
            </w:r>
            <w:r w:rsidRPr="002029AF">
              <w:rPr>
                <w:lang w:eastAsia="en-GB"/>
              </w:rPr>
              <w:t>to</w:t>
            </w:r>
            <w:r w:rsidR="000A5329" w:rsidRPr="002029AF">
              <w:rPr>
                <w:lang w:eastAsia="en-GB"/>
              </w:rPr>
              <w:t xml:space="preserve"> </w:t>
            </w:r>
            <w:r w:rsidRPr="002029AF">
              <w:rPr>
                <w:lang w:eastAsia="en-GB"/>
              </w:rPr>
              <w:t>other</w:t>
            </w:r>
            <w:r w:rsidR="000A5329" w:rsidRPr="002029AF">
              <w:rPr>
                <w:lang w:eastAsia="en-GB"/>
              </w:rPr>
              <w:t xml:space="preserve"> </w:t>
            </w:r>
            <w:r w:rsidRPr="002029AF">
              <w:rPr>
                <w:lang w:eastAsia="en-GB"/>
              </w:rPr>
              <w:t>parties</w:t>
            </w:r>
          </w:p>
        </w:tc>
        <w:tc>
          <w:tcPr>
            <w:tcW w:w="1247" w:type="dxa"/>
            <w:tcBorders>
              <w:top w:val="single" w:sz="4" w:space="0" w:color="A6A6A6"/>
              <w:bottom w:val="single" w:sz="4" w:space="0" w:color="A6A6A6"/>
            </w:tcBorders>
            <w:hideMark/>
          </w:tcPr>
          <w:p w14:paraId="78FAF546" w14:textId="77777777" w:rsidR="00BE78C7" w:rsidRPr="002029AF" w:rsidRDefault="00BE78C7" w:rsidP="00BE78C7">
            <w:pPr>
              <w:pStyle w:val="ARfintablebodyright"/>
              <w:rPr>
                <w:lang w:eastAsia="en-GB"/>
              </w:rPr>
            </w:pPr>
            <w:r w:rsidRPr="002029AF">
              <w:rPr>
                <w:lang w:eastAsia="en-GB"/>
              </w:rPr>
              <w:t>(30)</w:t>
            </w:r>
          </w:p>
        </w:tc>
        <w:tc>
          <w:tcPr>
            <w:tcW w:w="1247" w:type="dxa"/>
            <w:tcBorders>
              <w:top w:val="single" w:sz="4" w:space="0" w:color="A6A6A6"/>
              <w:bottom w:val="single" w:sz="4" w:space="0" w:color="A6A6A6"/>
            </w:tcBorders>
            <w:hideMark/>
          </w:tcPr>
          <w:p w14:paraId="4EA06B4D" w14:textId="77777777" w:rsidR="00BE78C7" w:rsidRPr="002029AF" w:rsidRDefault="00BE78C7" w:rsidP="00BE78C7">
            <w:pPr>
              <w:pStyle w:val="ARfintablebodyright"/>
              <w:rPr>
                <w:lang w:eastAsia="en-GB"/>
              </w:rPr>
            </w:pPr>
            <w:r w:rsidRPr="002029AF">
              <w:rPr>
                <w:lang w:eastAsia="en-GB"/>
              </w:rPr>
              <w:t>2</w:t>
            </w:r>
          </w:p>
        </w:tc>
        <w:tc>
          <w:tcPr>
            <w:tcW w:w="1247" w:type="dxa"/>
            <w:tcBorders>
              <w:top w:val="single" w:sz="4" w:space="0" w:color="A6A6A6"/>
              <w:bottom w:val="single" w:sz="4" w:space="0" w:color="A6A6A6"/>
            </w:tcBorders>
            <w:hideMark/>
          </w:tcPr>
          <w:p w14:paraId="7B413FF6" w14:textId="77777777" w:rsidR="00BE78C7" w:rsidRPr="002029AF" w:rsidRDefault="00BE78C7" w:rsidP="00BE78C7">
            <w:pPr>
              <w:pStyle w:val="ARfintablebodyright"/>
              <w:rPr>
                <w:lang w:eastAsia="en-GB"/>
              </w:rPr>
            </w:pPr>
            <w:r w:rsidRPr="002029AF">
              <w:rPr>
                <w:lang w:eastAsia="en-GB"/>
              </w:rPr>
              <w:t>(1,620.0)</w:t>
            </w:r>
          </w:p>
        </w:tc>
        <w:tc>
          <w:tcPr>
            <w:tcW w:w="680" w:type="dxa"/>
            <w:tcBorders>
              <w:top w:val="single" w:sz="4" w:space="0" w:color="A6A6A6"/>
              <w:bottom w:val="single" w:sz="4" w:space="0" w:color="A6A6A6"/>
            </w:tcBorders>
            <w:hideMark/>
          </w:tcPr>
          <w:p w14:paraId="113FBC27" w14:textId="77777777" w:rsidR="00BE78C7" w:rsidRPr="002029AF" w:rsidRDefault="00BE78C7" w:rsidP="00BE78C7">
            <w:pPr>
              <w:pStyle w:val="ARfintablebodyright"/>
              <w:rPr>
                <w:lang w:eastAsia="en-GB"/>
              </w:rPr>
            </w:pPr>
          </w:p>
        </w:tc>
      </w:tr>
      <w:tr w:rsidR="00BE78C7" w:rsidRPr="002029AF" w14:paraId="4EFB2D12" w14:textId="77777777" w:rsidTr="00DB53E6">
        <w:trPr>
          <w:cantSplit w:val="0"/>
        </w:trPr>
        <w:tc>
          <w:tcPr>
            <w:tcW w:w="5218" w:type="dxa"/>
            <w:tcBorders>
              <w:top w:val="single" w:sz="4" w:space="0" w:color="A6A6A6"/>
            </w:tcBorders>
            <w:hideMark/>
          </w:tcPr>
          <w:p w14:paraId="0EC221F6" w14:textId="359E0253" w:rsidR="00BE78C7" w:rsidRPr="002029AF" w:rsidRDefault="00BE78C7" w:rsidP="00BE78C7">
            <w:pPr>
              <w:pStyle w:val="ARfintablebody"/>
              <w:rPr>
                <w:lang w:eastAsia="en-GB"/>
              </w:rPr>
            </w:pPr>
            <w:r w:rsidRPr="002029AF">
              <w:rPr>
                <w:lang w:eastAsia="en-GB"/>
              </w:rPr>
              <w:t>Net</w:t>
            </w:r>
            <w:r w:rsidR="000A5329" w:rsidRPr="002029AF">
              <w:rPr>
                <w:lang w:eastAsia="en-GB"/>
              </w:rPr>
              <w:t xml:space="preserve"> </w:t>
            </w:r>
            <w:r w:rsidRPr="002029AF">
              <w:rPr>
                <w:lang w:eastAsia="en-GB"/>
              </w:rPr>
              <w:t>(purchase)/disposal</w:t>
            </w:r>
            <w:r w:rsidR="000A5329" w:rsidRPr="002029AF">
              <w:rPr>
                <w:lang w:eastAsia="en-GB"/>
              </w:rPr>
              <w:t xml:space="preserve"> </w:t>
            </w:r>
            <w:r w:rsidRPr="002029AF">
              <w:rPr>
                <w:lang w:eastAsia="en-GB"/>
              </w:rPr>
              <w:t>of</w:t>
            </w:r>
            <w:r w:rsidR="000A5329" w:rsidRPr="002029AF">
              <w:rPr>
                <w:lang w:eastAsia="en-GB"/>
              </w:rPr>
              <w:t xml:space="preserve"> </w:t>
            </w:r>
            <w:r w:rsidRPr="002029AF">
              <w:rPr>
                <w:lang w:eastAsia="en-GB"/>
              </w:rPr>
              <w:t>investments</w:t>
            </w:r>
            <w:r w:rsidR="000A5329" w:rsidRPr="002029AF">
              <w:rPr>
                <w:lang w:eastAsia="en-GB"/>
              </w:rPr>
              <w:t xml:space="preserve"> </w:t>
            </w:r>
            <w:r w:rsidRPr="002029AF">
              <w:rPr>
                <w:lang w:eastAsia="en-GB"/>
              </w:rPr>
              <w:t>–</w:t>
            </w:r>
            <w:r w:rsidR="000A5329" w:rsidRPr="002029AF">
              <w:rPr>
                <w:lang w:eastAsia="en-GB"/>
              </w:rPr>
              <w:t xml:space="preserve"> </w:t>
            </w:r>
            <w:r w:rsidRPr="002029AF">
              <w:rPr>
                <w:lang w:eastAsia="en-GB"/>
              </w:rPr>
              <w:t>policy</w:t>
            </w:r>
            <w:r w:rsidR="000A5329" w:rsidRPr="002029AF">
              <w:rPr>
                <w:lang w:eastAsia="en-GB"/>
              </w:rPr>
              <w:t xml:space="preserve"> </w:t>
            </w:r>
            <w:r w:rsidRPr="002029AF">
              <w:rPr>
                <w:lang w:eastAsia="en-GB"/>
              </w:rPr>
              <w:t>purposes</w:t>
            </w:r>
          </w:p>
        </w:tc>
        <w:tc>
          <w:tcPr>
            <w:tcW w:w="1247" w:type="dxa"/>
            <w:tcBorders>
              <w:top w:val="single" w:sz="4" w:space="0" w:color="A6A6A6"/>
            </w:tcBorders>
            <w:hideMark/>
          </w:tcPr>
          <w:p w14:paraId="489D927D" w14:textId="19132C63" w:rsidR="00BE78C7" w:rsidRPr="002029AF" w:rsidRDefault="002F4F3A" w:rsidP="00BE78C7">
            <w:pPr>
              <w:pStyle w:val="ARfintablebodyright"/>
              <w:rPr>
                <w:lang w:eastAsia="en-GB"/>
              </w:rPr>
            </w:pPr>
            <w:r w:rsidRPr="002029AF">
              <w:t>–</w:t>
            </w:r>
          </w:p>
        </w:tc>
        <w:tc>
          <w:tcPr>
            <w:tcW w:w="1247" w:type="dxa"/>
            <w:tcBorders>
              <w:top w:val="single" w:sz="4" w:space="0" w:color="A6A6A6"/>
            </w:tcBorders>
            <w:hideMark/>
          </w:tcPr>
          <w:p w14:paraId="6009A11F" w14:textId="77777777" w:rsidR="00BE78C7" w:rsidRPr="002029AF" w:rsidRDefault="00BE78C7" w:rsidP="00BE78C7">
            <w:pPr>
              <w:pStyle w:val="ARfintablebodyright"/>
              <w:rPr>
                <w:lang w:eastAsia="en-GB"/>
              </w:rPr>
            </w:pPr>
            <w:r w:rsidRPr="002029AF">
              <w:rPr>
                <w:lang w:eastAsia="en-GB"/>
              </w:rPr>
              <w:t>–</w:t>
            </w:r>
          </w:p>
        </w:tc>
        <w:tc>
          <w:tcPr>
            <w:tcW w:w="1247" w:type="dxa"/>
            <w:tcBorders>
              <w:top w:val="single" w:sz="4" w:space="0" w:color="A6A6A6"/>
            </w:tcBorders>
            <w:hideMark/>
          </w:tcPr>
          <w:p w14:paraId="6C7708B0" w14:textId="77777777" w:rsidR="00BE78C7" w:rsidRPr="002029AF" w:rsidRDefault="00BE78C7" w:rsidP="00BE78C7">
            <w:pPr>
              <w:pStyle w:val="ARfintablebodyright"/>
              <w:rPr>
                <w:lang w:eastAsia="en-GB"/>
              </w:rPr>
            </w:pPr>
            <w:r w:rsidRPr="002029AF">
              <w:rPr>
                <w:lang w:eastAsia="en-GB"/>
              </w:rPr>
              <w:t>–</w:t>
            </w:r>
          </w:p>
        </w:tc>
        <w:tc>
          <w:tcPr>
            <w:tcW w:w="680" w:type="dxa"/>
            <w:tcBorders>
              <w:top w:val="single" w:sz="4" w:space="0" w:color="A6A6A6"/>
            </w:tcBorders>
            <w:hideMark/>
          </w:tcPr>
          <w:p w14:paraId="2D952D64" w14:textId="77777777" w:rsidR="00BE78C7" w:rsidRPr="002029AF" w:rsidRDefault="00BE78C7" w:rsidP="00BE78C7">
            <w:pPr>
              <w:pStyle w:val="ARfintablebodyright"/>
              <w:rPr>
                <w:lang w:eastAsia="en-GB"/>
              </w:rPr>
            </w:pPr>
          </w:p>
        </w:tc>
      </w:tr>
      <w:tr w:rsidR="00BE78C7" w:rsidRPr="002029AF" w14:paraId="47BF8F45" w14:textId="77777777" w:rsidTr="00DB53E6">
        <w:trPr>
          <w:cantSplit w:val="0"/>
        </w:trPr>
        <w:tc>
          <w:tcPr>
            <w:tcW w:w="5218" w:type="dxa"/>
            <w:tcBorders>
              <w:bottom w:val="single" w:sz="4" w:space="0" w:color="auto"/>
            </w:tcBorders>
            <w:hideMark/>
          </w:tcPr>
          <w:p w14:paraId="14FCD9EB" w14:textId="7DC8D4AC" w:rsidR="00BE78C7" w:rsidRPr="002029AF" w:rsidRDefault="00BE78C7" w:rsidP="00BE78C7">
            <w:pPr>
              <w:pStyle w:val="ARfintablebodybold"/>
              <w:rPr>
                <w:lang w:eastAsia="en-GB"/>
              </w:rPr>
            </w:pPr>
            <w:r w:rsidRPr="002029AF">
              <w:rPr>
                <w:lang w:eastAsia="en-GB"/>
              </w:rPr>
              <w:t>Net</w:t>
            </w:r>
            <w:r w:rsidR="000A5329" w:rsidRPr="002029AF">
              <w:rPr>
                <w:lang w:eastAsia="en-GB"/>
              </w:rPr>
              <w:t xml:space="preserve"> </w:t>
            </w:r>
            <w:r w:rsidRPr="002029AF">
              <w:rPr>
                <w:lang w:eastAsia="en-GB"/>
              </w:rPr>
              <w:t>cash</w:t>
            </w:r>
            <w:r w:rsidR="000A5329" w:rsidRPr="002029AF">
              <w:rPr>
                <w:lang w:eastAsia="en-GB"/>
              </w:rPr>
              <w:t xml:space="preserve"> </w:t>
            </w:r>
            <w:r w:rsidRPr="002029AF">
              <w:rPr>
                <w:lang w:eastAsia="en-GB"/>
              </w:rPr>
              <w:t>flows</w:t>
            </w:r>
            <w:r w:rsidR="000A5329" w:rsidRPr="002029AF">
              <w:rPr>
                <w:lang w:eastAsia="en-GB"/>
              </w:rPr>
              <w:t xml:space="preserve"> </w:t>
            </w:r>
            <w:r w:rsidRPr="002029AF">
              <w:rPr>
                <w:lang w:eastAsia="en-GB"/>
              </w:rPr>
              <w:t>from</w:t>
            </w:r>
            <w:r w:rsidR="00D5787B" w:rsidRPr="002029AF">
              <w:rPr>
                <w:lang w:eastAsia="en-GB"/>
              </w:rPr>
              <w:t>/ (</w:t>
            </w:r>
            <w:r w:rsidRPr="002029AF">
              <w:rPr>
                <w:lang w:eastAsia="en-GB"/>
              </w:rPr>
              <w:t>used</w:t>
            </w:r>
            <w:r w:rsidR="000A5329" w:rsidRPr="002029AF">
              <w:rPr>
                <w:lang w:eastAsia="en-GB"/>
              </w:rPr>
              <w:t xml:space="preserve"> </w:t>
            </w:r>
            <w:r w:rsidRPr="002029AF">
              <w:rPr>
                <w:lang w:eastAsia="en-GB"/>
              </w:rPr>
              <w:t>in)</w:t>
            </w:r>
            <w:r w:rsidR="000A5329" w:rsidRPr="002029AF">
              <w:rPr>
                <w:lang w:eastAsia="en-GB"/>
              </w:rPr>
              <w:t xml:space="preserve"> </w:t>
            </w:r>
            <w:r w:rsidRPr="002029AF">
              <w:rPr>
                <w:lang w:eastAsia="en-GB"/>
              </w:rPr>
              <w:t>investing</w:t>
            </w:r>
            <w:r w:rsidR="000A5329" w:rsidRPr="002029AF">
              <w:rPr>
                <w:lang w:eastAsia="en-GB"/>
              </w:rPr>
              <w:t xml:space="preserve"> </w:t>
            </w:r>
            <w:r w:rsidRPr="002029AF">
              <w:rPr>
                <w:lang w:eastAsia="en-GB"/>
              </w:rPr>
              <w:t>activities</w:t>
            </w:r>
          </w:p>
        </w:tc>
        <w:tc>
          <w:tcPr>
            <w:tcW w:w="1247" w:type="dxa"/>
            <w:tcBorders>
              <w:bottom w:val="single" w:sz="4" w:space="0" w:color="auto"/>
            </w:tcBorders>
            <w:hideMark/>
          </w:tcPr>
          <w:p w14:paraId="4340BFB2" w14:textId="77777777" w:rsidR="00BE78C7" w:rsidRPr="002029AF" w:rsidRDefault="00BE78C7" w:rsidP="00BE78C7">
            <w:pPr>
              <w:pStyle w:val="ARfintablebodyrightbold"/>
              <w:rPr>
                <w:lang w:eastAsia="en-GB"/>
              </w:rPr>
            </w:pPr>
            <w:r w:rsidRPr="002029AF">
              <w:rPr>
                <w:lang w:eastAsia="en-GB"/>
              </w:rPr>
              <w:t>(957)</w:t>
            </w:r>
          </w:p>
        </w:tc>
        <w:tc>
          <w:tcPr>
            <w:tcW w:w="1247" w:type="dxa"/>
            <w:tcBorders>
              <w:bottom w:val="single" w:sz="4" w:space="0" w:color="auto"/>
            </w:tcBorders>
            <w:hideMark/>
          </w:tcPr>
          <w:p w14:paraId="2606F9C4" w14:textId="77777777" w:rsidR="00BE78C7" w:rsidRPr="002029AF" w:rsidRDefault="00BE78C7" w:rsidP="00BE78C7">
            <w:pPr>
              <w:pStyle w:val="ARfintablebodyrightbold"/>
              <w:rPr>
                <w:lang w:eastAsia="en-GB"/>
              </w:rPr>
            </w:pPr>
            <w:r w:rsidRPr="002029AF">
              <w:rPr>
                <w:lang w:eastAsia="en-GB"/>
              </w:rPr>
              <w:t>(1,102)</w:t>
            </w:r>
          </w:p>
        </w:tc>
        <w:tc>
          <w:tcPr>
            <w:tcW w:w="1247" w:type="dxa"/>
            <w:tcBorders>
              <w:bottom w:val="single" w:sz="4" w:space="0" w:color="auto"/>
            </w:tcBorders>
            <w:hideMark/>
          </w:tcPr>
          <w:p w14:paraId="74A88F78" w14:textId="77777777" w:rsidR="00BE78C7" w:rsidRPr="002029AF" w:rsidRDefault="00BE78C7" w:rsidP="00BE78C7">
            <w:pPr>
              <w:pStyle w:val="ARfintablebodyrightbold"/>
              <w:rPr>
                <w:lang w:eastAsia="en-GB"/>
              </w:rPr>
            </w:pPr>
            <w:r w:rsidRPr="002029AF">
              <w:rPr>
                <w:lang w:eastAsia="en-GB"/>
              </w:rPr>
              <w:t>(13.1)</w:t>
            </w:r>
          </w:p>
        </w:tc>
        <w:tc>
          <w:tcPr>
            <w:tcW w:w="680" w:type="dxa"/>
            <w:tcBorders>
              <w:bottom w:val="single" w:sz="4" w:space="0" w:color="auto"/>
            </w:tcBorders>
            <w:hideMark/>
          </w:tcPr>
          <w:p w14:paraId="0194E270" w14:textId="77777777" w:rsidR="00BE78C7" w:rsidRPr="002029AF" w:rsidRDefault="00BE78C7" w:rsidP="00BE78C7">
            <w:pPr>
              <w:pStyle w:val="ARfintablebodyright"/>
              <w:rPr>
                <w:lang w:eastAsia="en-GB"/>
              </w:rPr>
            </w:pPr>
          </w:p>
        </w:tc>
      </w:tr>
      <w:tr w:rsidR="00BE78C7" w:rsidRPr="002029AF" w14:paraId="0E087B99" w14:textId="77777777" w:rsidTr="00DB53E6">
        <w:trPr>
          <w:cantSplit w:val="0"/>
        </w:trPr>
        <w:tc>
          <w:tcPr>
            <w:tcW w:w="9639" w:type="dxa"/>
            <w:gridSpan w:val="5"/>
            <w:tcBorders>
              <w:top w:val="single" w:sz="4" w:space="0" w:color="auto"/>
              <w:bottom w:val="single" w:sz="4" w:space="0" w:color="A6A6A6"/>
            </w:tcBorders>
            <w:hideMark/>
          </w:tcPr>
          <w:p w14:paraId="2A68B585" w14:textId="07E6E376" w:rsidR="00BE78C7" w:rsidRPr="002029AF" w:rsidRDefault="00BE78C7" w:rsidP="00BE78C7">
            <w:pPr>
              <w:pStyle w:val="ARfintablebodybold"/>
              <w:rPr>
                <w:lang w:eastAsia="en-GB"/>
              </w:rPr>
            </w:pPr>
            <w:r w:rsidRPr="002029AF">
              <w:rPr>
                <w:lang w:eastAsia="en-GB"/>
              </w:rPr>
              <w:t>Cash</w:t>
            </w:r>
            <w:r w:rsidR="000A5329" w:rsidRPr="002029AF">
              <w:rPr>
                <w:lang w:eastAsia="en-GB"/>
              </w:rPr>
              <w:t xml:space="preserve"> </w:t>
            </w:r>
            <w:r w:rsidRPr="002029AF">
              <w:rPr>
                <w:lang w:eastAsia="en-GB"/>
              </w:rPr>
              <w:t>flows</w:t>
            </w:r>
            <w:r w:rsidR="000A5329" w:rsidRPr="002029AF">
              <w:rPr>
                <w:lang w:eastAsia="en-GB"/>
              </w:rPr>
              <w:t xml:space="preserve"> </w:t>
            </w:r>
            <w:r w:rsidRPr="002029AF">
              <w:rPr>
                <w:lang w:eastAsia="en-GB"/>
              </w:rPr>
              <w:t>from</w:t>
            </w:r>
            <w:r w:rsidR="000A5329" w:rsidRPr="002029AF">
              <w:rPr>
                <w:lang w:eastAsia="en-GB"/>
              </w:rPr>
              <w:t xml:space="preserve"> </w:t>
            </w:r>
            <w:r w:rsidRPr="002029AF">
              <w:rPr>
                <w:lang w:eastAsia="en-GB"/>
              </w:rPr>
              <w:t>financing</w:t>
            </w:r>
            <w:r w:rsidR="000A5329" w:rsidRPr="002029AF">
              <w:rPr>
                <w:lang w:eastAsia="en-GB"/>
              </w:rPr>
              <w:t xml:space="preserve"> </w:t>
            </w:r>
            <w:r w:rsidRPr="002029AF">
              <w:rPr>
                <w:lang w:eastAsia="en-GB"/>
              </w:rPr>
              <w:t>activities</w:t>
            </w:r>
          </w:p>
        </w:tc>
      </w:tr>
      <w:tr w:rsidR="00BE78C7" w:rsidRPr="002029AF" w14:paraId="16351133" w14:textId="77777777" w:rsidTr="00DB53E6">
        <w:trPr>
          <w:cantSplit w:val="0"/>
        </w:trPr>
        <w:tc>
          <w:tcPr>
            <w:tcW w:w="5218" w:type="dxa"/>
            <w:tcBorders>
              <w:top w:val="single" w:sz="4" w:space="0" w:color="A6A6A6"/>
              <w:bottom w:val="single" w:sz="4" w:space="0" w:color="A6A6A6"/>
            </w:tcBorders>
            <w:hideMark/>
          </w:tcPr>
          <w:p w14:paraId="767A4C9C" w14:textId="004BACE1" w:rsidR="00BE78C7" w:rsidRPr="002029AF" w:rsidRDefault="00BE78C7" w:rsidP="00BE78C7">
            <w:pPr>
              <w:pStyle w:val="ARfintablebody"/>
              <w:rPr>
                <w:lang w:eastAsia="en-GB"/>
              </w:rPr>
            </w:pPr>
            <w:r w:rsidRPr="002029AF">
              <w:rPr>
                <w:lang w:eastAsia="en-GB"/>
              </w:rPr>
              <w:t>Owner</w:t>
            </w:r>
            <w:r w:rsidR="000A5329" w:rsidRPr="002029AF">
              <w:rPr>
                <w:lang w:eastAsia="en-GB"/>
              </w:rPr>
              <w:t xml:space="preserve"> </w:t>
            </w:r>
            <w:r w:rsidRPr="002029AF">
              <w:rPr>
                <w:lang w:eastAsia="en-GB"/>
              </w:rPr>
              <w:t>contributions</w:t>
            </w:r>
            <w:r w:rsidR="000A5329" w:rsidRPr="002029AF">
              <w:rPr>
                <w:lang w:eastAsia="en-GB"/>
              </w:rPr>
              <w:t xml:space="preserve"> </w:t>
            </w:r>
            <w:r w:rsidRPr="002029AF">
              <w:rPr>
                <w:lang w:eastAsia="en-GB"/>
              </w:rPr>
              <w:t>by</w:t>
            </w:r>
            <w:r w:rsidR="000A5329" w:rsidRPr="002029AF">
              <w:rPr>
                <w:lang w:eastAsia="en-GB"/>
              </w:rPr>
              <w:t xml:space="preserve"> </w:t>
            </w:r>
            <w:r w:rsidRPr="002029AF">
              <w:rPr>
                <w:lang w:eastAsia="en-GB"/>
              </w:rPr>
              <w:t>state</w:t>
            </w:r>
            <w:r w:rsidR="000A5329" w:rsidRPr="002029AF">
              <w:rPr>
                <w:lang w:eastAsia="en-GB"/>
              </w:rPr>
              <w:t xml:space="preserve"> </w:t>
            </w:r>
            <w:r w:rsidRPr="002029AF">
              <w:rPr>
                <w:lang w:eastAsia="en-GB"/>
              </w:rPr>
              <w:t>government</w:t>
            </w:r>
          </w:p>
        </w:tc>
        <w:tc>
          <w:tcPr>
            <w:tcW w:w="1247" w:type="dxa"/>
            <w:tcBorders>
              <w:top w:val="single" w:sz="4" w:space="0" w:color="A6A6A6"/>
              <w:bottom w:val="single" w:sz="4" w:space="0" w:color="A6A6A6"/>
            </w:tcBorders>
            <w:hideMark/>
          </w:tcPr>
          <w:p w14:paraId="4CD9E712" w14:textId="77777777" w:rsidR="00BE78C7" w:rsidRPr="002029AF" w:rsidRDefault="00BE78C7" w:rsidP="00BE78C7">
            <w:pPr>
              <w:pStyle w:val="ARfintablebodyright"/>
              <w:rPr>
                <w:lang w:eastAsia="en-GB"/>
              </w:rPr>
            </w:pPr>
            <w:r w:rsidRPr="002029AF">
              <w:rPr>
                <w:lang w:eastAsia="en-GB"/>
              </w:rPr>
              <w:t>211</w:t>
            </w:r>
          </w:p>
        </w:tc>
        <w:tc>
          <w:tcPr>
            <w:tcW w:w="1247" w:type="dxa"/>
            <w:tcBorders>
              <w:top w:val="single" w:sz="4" w:space="0" w:color="A6A6A6"/>
              <w:bottom w:val="single" w:sz="4" w:space="0" w:color="A6A6A6"/>
            </w:tcBorders>
            <w:hideMark/>
          </w:tcPr>
          <w:p w14:paraId="5E8274AE" w14:textId="77777777" w:rsidR="00BE78C7" w:rsidRPr="002029AF" w:rsidRDefault="00BE78C7" w:rsidP="00BE78C7">
            <w:pPr>
              <w:pStyle w:val="ARfintablebodyright"/>
              <w:rPr>
                <w:lang w:eastAsia="en-GB"/>
              </w:rPr>
            </w:pPr>
            <w:r w:rsidRPr="002029AF">
              <w:rPr>
                <w:lang w:eastAsia="en-GB"/>
              </w:rPr>
              <w:t>181</w:t>
            </w:r>
          </w:p>
        </w:tc>
        <w:tc>
          <w:tcPr>
            <w:tcW w:w="1247" w:type="dxa"/>
            <w:tcBorders>
              <w:top w:val="single" w:sz="4" w:space="0" w:color="A6A6A6"/>
              <w:bottom w:val="single" w:sz="4" w:space="0" w:color="A6A6A6"/>
            </w:tcBorders>
            <w:hideMark/>
          </w:tcPr>
          <w:p w14:paraId="4DC31A91" w14:textId="77777777" w:rsidR="00BE78C7" w:rsidRPr="002029AF" w:rsidRDefault="00BE78C7" w:rsidP="00BE78C7">
            <w:pPr>
              <w:pStyle w:val="ARfintablebodyright"/>
              <w:rPr>
                <w:lang w:eastAsia="en-GB"/>
              </w:rPr>
            </w:pPr>
            <w:r w:rsidRPr="002029AF">
              <w:rPr>
                <w:lang w:eastAsia="en-GB"/>
              </w:rPr>
              <w:t>16.7</w:t>
            </w:r>
          </w:p>
        </w:tc>
        <w:tc>
          <w:tcPr>
            <w:tcW w:w="680" w:type="dxa"/>
            <w:tcBorders>
              <w:top w:val="single" w:sz="4" w:space="0" w:color="A6A6A6"/>
              <w:bottom w:val="single" w:sz="4" w:space="0" w:color="A6A6A6"/>
            </w:tcBorders>
            <w:hideMark/>
          </w:tcPr>
          <w:p w14:paraId="50DF00F8" w14:textId="77777777" w:rsidR="00BE78C7" w:rsidRPr="002029AF" w:rsidRDefault="00BE78C7" w:rsidP="00BE78C7">
            <w:pPr>
              <w:pStyle w:val="ARfintablebodyright"/>
              <w:rPr>
                <w:lang w:eastAsia="en-GB"/>
              </w:rPr>
            </w:pPr>
          </w:p>
        </w:tc>
      </w:tr>
      <w:tr w:rsidR="00BE78C7" w:rsidRPr="002029AF" w14:paraId="02B675EE" w14:textId="77777777" w:rsidTr="00DB53E6">
        <w:trPr>
          <w:cantSplit w:val="0"/>
        </w:trPr>
        <w:tc>
          <w:tcPr>
            <w:tcW w:w="5218" w:type="dxa"/>
            <w:tcBorders>
              <w:top w:val="single" w:sz="4" w:space="0" w:color="A6A6A6"/>
              <w:bottom w:val="single" w:sz="4" w:space="0" w:color="A6A6A6"/>
            </w:tcBorders>
            <w:hideMark/>
          </w:tcPr>
          <w:p w14:paraId="0CE1829C" w14:textId="166CE2D5" w:rsidR="00BE78C7" w:rsidRPr="002029AF" w:rsidRDefault="00BE78C7" w:rsidP="00BE78C7">
            <w:pPr>
              <w:pStyle w:val="ARfintablebody"/>
              <w:rPr>
                <w:lang w:eastAsia="en-GB"/>
              </w:rPr>
            </w:pPr>
            <w:r w:rsidRPr="002029AF">
              <w:rPr>
                <w:lang w:eastAsia="en-GB"/>
              </w:rPr>
              <w:t>Repayment</w:t>
            </w:r>
            <w:r w:rsidR="000A5329" w:rsidRPr="002029AF">
              <w:rPr>
                <w:lang w:eastAsia="en-GB"/>
              </w:rPr>
              <w:t xml:space="preserve"> </w:t>
            </w:r>
            <w:r w:rsidRPr="002029AF">
              <w:rPr>
                <w:lang w:eastAsia="en-GB"/>
              </w:rPr>
              <w:t>of</w:t>
            </w:r>
            <w:r w:rsidR="000A5329" w:rsidRPr="002029AF">
              <w:rPr>
                <w:lang w:eastAsia="en-GB"/>
              </w:rPr>
              <w:t xml:space="preserve"> </w:t>
            </w:r>
            <w:r w:rsidRPr="002029AF">
              <w:rPr>
                <w:lang w:eastAsia="en-GB"/>
              </w:rPr>
              <w:t>leases</w:t>
            </w:r>
            <w:r w:rsidR="000A5329" w:rsidRPr="002029AF">
              <w:rPr>
                <w:lang w:eastAsia="en-GB"/>
              </w:rPr>
              <w:t xml:space="preserve"> </w:t>
            </w:r>
            <w:r w:rsidRPr="002029AF">
              <w:rPr>
                <w:lang w:eastAsia="en-GB"/>
              </w:rPr>
              <w:t>and</w:t>
            </w:r>
            <w:r w:rsidR="000A5329" w:rsidRPr="002029AF">
              <w:rPr>
                <w:lang w:eastAsia="en-GB"/>
              </w:rPr>
              <w:t xml:space="preserve"> </w:t>
            </w:r>
            <w:r w:rsidRPr="002029AF">
              <w:rPr>
                <w:lang w:eastAsia="en-GB"/>
              </w:rPr>
              <w:t>service</w:t>
            </w:r>
            <w:r w:rsidR="000A5329" w:rsidRPr="002029AF">
              <w:rPr>
                <w:lang w:eastAsia="en-GB"/>
              </w:rPr>
              <w:t xml:space="preserve"> </w:t>
            </w:r>
            <w:r w:rsidRPr="002029AF">
              <w:rPr>
                <w:lang w:eastAsia="en-GB"/>
              </w:rPr>
              <w:t>concession</w:t>
            </w:r>
            <w:r w:rsidR="000A5329" w:rsidRPr="002029AF">
              <w:rPr>
                <w:lang w:eastAsia="en-GB"/>
              </w:rPr>
              <w:t xml:space="preserve"> </w:t>
            </w:r>
            <w:r w:rsidRPr="002029AF">
              <w:rPr>
                <w:lang w:eastAsia="en-GB"/>
              </w:rPr>
              <w:t>liabilities</w:t>
            </w:r>
          </w:p>
        </w:tc>
        <w:tc>
          <w:tcPr>
            <w:tcW w:w="1247" w:type="dxa"/>
            <w:tcBorders>
              <w:top w:val="single" w:sz="4" w:space="0" w:color="A6A6A6"/>
              <w:bottom w:val="single" w:sz="4" w:space="0" w:color="A6A6A6"/>
            </w:tcBorders>
            <w:hideMark/>
          </w:tcPr>
          <w:p w14:paraId="425C4D2C" w14:textId="77777777" w:rsidR="00BE78C7" w:rsidRPr="002029AF" w:rsidRDefault="00BE78C7" w:rsidP="00BE78C7">
            <w:pPr>
              <w:pStyle w:val="ARfintablebodyright"/>
              <w:rPr>
                <w:lang w:eastAsia="en-GB"/>
              </w:rPr>
            </w:pPr>
            <w:r w:rsidRPr="002029AF">
              <w:rPr>
                <w:lang w:eastAsia="en-GB"/>
              </w:rPr>
              <w:t>(438)</w:t>
            </w:r>
          </w:p>
        </w:tc>
        <w:tc>
          <w:tcPr>
            <w:tcW w:w="1247" w:type="dxa"/>
            <w:tcBorders>
              <w:top w:val="single" w:sz="4" w:space="0" w:color="A6A6A6"/>
              <w:bottom w:val="single" w:sz="4" w:space="0" w:color="A6A6A6"/>
            </w:tcBorders>
            <w:hideMark/>
          </w:tcPr>
          <w:p w14:paraId="6A097B28" w14:textId="77777777" w:rsidR="00BE78C7" w:rsidRPr="002029AF" w:rsidRDefault="00BE78C7" w:rsidP="00BE78C7">
            <w:pPr>
              <w:pStyle w:val="ARfintablebodyright"/>
              <w:rPr>
                <w:lang w:eastAsia="en-GB"/>
              </w:rPr>
            </w:pPr>
            <w:r w:rsidRPr="002029AF">
              <w:rPr>
                <w:lang w:eastAsia="en-GB"/>
              </w:rPr>
              <w:t>(251)</w:t>
            </w:r>
          </w:p>
        </w:tc>
        <w:tc>
          <w:tcPr>
            <w:tcW w:w="1247" w:type="dxa"/>
            <w:tcBorders>
              <w:top w:val="single" w:sz="4" w:space="0" w:color="A6A6A6"/>
              <w:bottom w:val="single" w:sz="4" w:space="0" w:color="A6A6A6"/>
            </w:tcBorders>
            <w:hideMark/>
          </w:tcPr>
          <w:p w14:paraId="08C69623" w14:textId="77777777" w:rsidR="00BE78C7" w:rsidRPr="002029AF" w:rsidRDefault="00BE78C7" w:rsidP="00BE78C7">
            <w:pPr>
              <w:pStyle w:val="ARfintablebodyright"/>
              <w:rPr>
                <w:lang w:eastAsia="en-GB"/>
              </w:rPr>
            </w:pPr>
            <w:r w:rsidRPr="002029AF">
              <w:rPr>
                <w:lang w:eastAsia="en-GB"/>
              </w:rPr>
              <w:t>74.6</w:t>
            </w:r>
          </w:p>
        </w:tc>
        <w:tc>
          <w:tcPr>
            <w:tcW w:w="680" w:type="dxa"/>
            <w:tcBorders>
              <w:top w:val="single" w:sz="4" w:space="0" w:color="A6A6A6"/>
              <w:bottom w:val="single" w:sz="4" w:space="0" w:color="A6A6A6"/>
            </w:tcBorders>
            <w:hideMark/>
          </w:tcPr>
          <w:p w14:paraId="457A5FB5" w14:textId="77777777" w:rsidR="00BE78C7" w:rsidRPr="002029AF" w:rsidRDefault="00BE78C7" w:rsidP="00BE78C7">
            <w:pPr>
              <w:pStyle w:val="ARfintablebodyright"/>
              <w:rPr>
                <w:lang w:eastAsia="en-GB"/>
              </w:rPr>
            </w:pPr>
          </w:p>
        </w:tc>
      </w:tr>
      <w:tr w:rsidR="00BE78C7" w:rsidRPr="002029AF" w14:paraId="3A261398" w14:textId="77777777" w:rsidTr="00DB53E6">
        <w:trPr>
          <w:cantSplit w:val="0"/>
        </w:trPr>
        <w:tc>
          <w:tcPr>
            <w:tcW w:w="5218" w:type="dxa"/>
            <w:tcBorders>
              <w:top w:val="single" w:sz="4" w:space="0" w:color="A6A6A6"/>
            </w:tcBorders>
            <w:hideMark/>
          </w:tcPr>
          <w:p w14:paraId="2CD6D067" w14:textId="398CD46F" w:rsidR="00BE78C7" w:rsidRPr="002029AF" w:rsidRDefault="00BE78C7" w:rsidP="00BE78C7">
            <w:pPr>
              <w:pStyle w:val="ARfintablebody"/>
              <w:rPr>
                <w:lang w:eastAsia="en-GB"/>
              </w:rPr>
            </w:pPr>
            <w:r w:rsidRPr="002029AF">
              <w:rPr>
                <w:lang w:eastAsia="en-GB"/>
              </w:rPr>
              <w:t>Net</w:t>
            </w:r>
            <w:r w:rsidR="000A5329" w:rsidRPr="002029AF">
              <w:rPr>
                <w:lang w:eastAsia="en-GB"/>
              </w:rPr>
              <w:t xml:space="preserve"> </w:t>
            </w:r>
            <w:r w:rsidRPr="002029AF">
              <w:rPr>
                <w:lang w:eastAsia="en-GB"/>
              </w:rPr>
              <w:t>borrowings</w:t>
            </w:r>
          </w:p>
        </w:tc>
        <w:tc>
          <w:tcPr>
            <w:tcW w:w="1247" w:type="dxa"/>
            <w:tcBorders>
              <w:top w:val="single" w:sz="4" w:space="0" w:color="A6A6A6"/>
            </w:tcBorders>
            <w:hideMark/>
          </w:tcPr>
          <w:p w14:paraId="4805C7F3" w14:textId="77777777" w:rsidR="00BE78C7" w:rsidRPr="002029AF" w:rsidRDefault="00BE78C7" w:rsidP="00BE78C7">
            <w:pPr>
              <w:pStyle w:val="ARfintablebodyright"/>
              <w:rPr>
                <w:lang w:eastAsia="en-GB"/>
              </w:rPr>
            </w:pPr>
            <w:r w:rsidRPr="002029AF">
              <w:rPr>
                <w:lang w:eastAsia="en-GB"/>
              </w:rPr>
              <w:t>397</w:t>
            </w:r>
          </w:p>
        </w:tc>
        <w:tc>
          <w:tcPr>
            <w:tcW w:w="1247" w:type="dxa"/>
            <w:tcBorders>
              <w:top w:val="single" w:sz="4" w:space="0" w:color="A6A6A6"/>
            </w:tcBorders>
            <w:hideMark/>
          </w:tcPr>
          <w:p w14:paraId="20D49F87" w14:textId="77777777" w:rsidR="00BE78C7" w:rsidRPr="002029AF" w:rsidRDefault="00BE78C7" w:rsidP="00BE78C7">
            <w:pPr>
              <w:pStyle w:val="ARfintablebodyright"/>
              <w:rPr>
                <w:lang w:eastAsia="en-GB"/>
              </w:rPr>
            </w:pPr>
            <w:r w:rsidRPr="002029AF">
              <w:rPr>
                <w:lang w:eastAsia="en-GB"/>
              </w:rPr>
              <w:t>(11)</w:t>
            </w:r>
          </w:p>
        </w:tc>
        <w:tc>
          <w:tcPr>
            <w:tcW w:w="1247" w:type="dxa"/>
            <w:tcBorders>
              <w:top w:val="single" w:sz="4" w:space="0" w:color="A6A6A6"/>
            </w:tcBorders>
            <w:hideMark/>
          </w:tcPr>
          <w:p w14:paraId="17F8C740" w14:textId="77777777" w:rsidR="00BE78C7" w:rsidRPr="002029AF" w:rsidRDefault="00BE78C7" w:rsidP="00BE78C7">
            <w:pPr>
              <w:pStyle w:val="ARfintablebodyright"/>
              <w:rPr>
                <w:lang w:eastAsia="en-GB"/>
              </w:rPr>
            </w:pPr>
            <w:r w:rsidRPr="002029AF">
              <w:rPr>
                <w:lang w:eastAsia="en-GB"/>
              </w:rPr>
              <w:t>(3,710.0)</w:t>
            </w:r>
          </w:p>
        </w:tc>
        <w:tc>
          <w:tcPr>
            <w:tcW w:w="680" w:type="dxa"/>
            <w:tcBorders>
              <w:top w:val="single" w:sz="4" w:space="0" w:color="A6A6A6"/>
            </w:tcBorders>
            <w:hideMark/>
          </w:tcPr>
          <w:p w14:paraId="3E00A77C" w14:textId="77777777" w:rsidR="00BE78C7" w:rsidRPr="002029AF" w:rsidRDefault="00BE78C7" w:rsidP="00BE78C7">
            <w:pPr>
              <w:pStyle w:val="ARfintablebodyrightbold"/>
              <w:rPr>
                <w:lang w:eastAsia="en-GB"/>
              </w:rPr>
            </w:pPr>
            <w:r w:rsidRPr="002029AF">
              <w:rPr>
                <w:lang w:eastAsia="en-GB"/>
              </w:rPr>
              <w:t>2</w:t>
            </w:r>
          </w:p>
        </w:tc>
      </w:tr>
      <w:tr w:rsidR="00BE78C7" w:rsidRPr="002029AF" w14:paraId="42B3F270" w14:textId="77777777" w:rsidTr="00BE78C7">
        <w:trPr>
          <w:cantSplit w:val="0"/>
        </w:trPr>
        <w:tc>
          <w:tcPr>
            <w:tcW w:w="5218" w:type="dxa"/>
            <w:hideMark/>
          </w:tcPr>
          <w:p w14:paraId="61CA7600" w14:textId="1FF54F68" w:rsidR="00BE78C7" w:rsidRPr="002029AF" w:rsidRDefault="00BE78C7" w:rsidP="00BE78C7">
            <w:pPr>
              <w:pStyle w:val="ARfintablebodybold"/>
              <w:rPr>
                <w:lang w:eastAsia="en-GB"/>
              </w:rPr>
            </w:pPr>
            <w:r w:rsidRPr="002029AF">
              <w:rPr>
                <w:lang w:eastAsia="en-GB"/>
              </w:rPr>
              <w:t>Net</w:t>
            </w:r>
            <w:r w:rsidR="000A5329" w:rsidRPr="002029AF">
              <w:rPr>
                <w:lang w:eastAsia="en-GB"/>
              </w:rPr>
              <w:t xml:space="preserve"> </w:t>
            </w:r>
            <w:r w:rsidRPr="002029AF">
              <w:rPr>
                <w:lang w:eastAsia="en-GB"/>
              </w:rPr>
              <w:t>cash</w:t>
            </w:r>
            <w:r w:rsidR="000A5329" w:rsidRPr="002029AF">
              <w:rPr>
                <w:lang w:eastAsia="en-GB"/>
              </w:rPr>
              <w:t xml:space="preserve"> </w:t>
            </w:r>
            <w:r w:rsidRPr="002029AF">
              <w:rPr>
                <w:lang w:eastAsia="en-GB"/>
              </w:rPr>
              <w:t>flows</w:t>
            </w:r>
            <w:r w:rsidR="000A5329" w:rsidRPr="002029AF">
              <w:rPr>
                <w:lang w:eastAsia="en-GB"/>
              </w:rPr>
              <w:t xml:space="preserve"> </w:t>
            </w:r>
            <w:r w:rsidRPr="002029AF">
              <w:rPr>
                <w:lang w:eastAsia="en-GB"/>
              </w:rPr>
              <w:t>from</w:t>
            </w:r>
            <w:r w:rsidR="00D5787B" w:rsidRPr="002029AF">
              <w:rPr>
                <w:lang w:eastAsia="en-GB"/>
              </w:rPr>
              <w:t>/ (</w:t>
            </w:r>
            <w:r w:rsidRPr="002029AF">
              <w:rPr>
                <w:lang w:eastAsia="en-GB"/>
              </w:rPr>
              <w:t>used</w:t>
            </w:r>
            <w:r w:rsidR="000A5329" w:rsidRPr="002029AF">
              <w:rPr>
                <w:lang w:eastAsia="en-GB"/>
              </w:rPr>
              <w:t xml:space="preserve"> </w:t>
            </w:r>
            <w:r w:rsidRPr="002029AF">
              <w:rPr>
                <w:lang w:eastAsia="en-GB"/>
              </w:rPr>
              <w:t>in)</w:t>
            </w:r>
            <w:r w:rsidR="000A5329" w:rsidRPr="002029AF">
              <w:rPr>
                <w:lang w:eastAsia="en-GB"/>
              </w:rPr>
              <w:t xml:space="preserve"> </w:t>
            </w:r>
            <w:r w:rsidRPr="002029AF">
              <w:rPr>
                <w:lang w:eastAsia="en-GB"/>
              </w:rPr>
              <w:t>financing</w:t>
            </w:r>
            <w:r w:rsidR="000A5329" w:rsidRPr="002029AF">
              <w:rPr>
                <w:lang w:eastAsia="en-GB"/>
              </w:rPr>
              <w:t xml:space="preserve"> </w:t>
            </w:r>
            <w:r w:rsidRPr="002029AF">
              <w:rPr>
                <w:lang w:eastAsia="en-GB"/>
              </w:rPr>
              <w:t>activities</w:t>
            </w:r>
          </w:p>
        </w:tc>
        <w:tc>
          <w:tcPr>
            <w:tcW w:w="1247" w:type="dxa"/>
            <w:hideMark/>
          </w:tcPr>
          <w:p w14:paraId="2F1DB84A" w14:textId="77777777" w:rsidR="00BE78C7" w:rsidRPr="002029AF" w:rsidRDefault="00BE78C7" w:rsidP="00BE78C7">
            <w:pPr>
              <w:pStyle w:val="ARfintablebodyrightbold"/>
              <w:rPr>
                <w:lang w:eastAsia="en-GB"/>
              </w:rPr>
            </w:pPr>
            <w:r w:rsidRPr="002029AF">
              <w:rPr>
                <w:lang w:eastAsia="en-GB"/>
              </w:rPr>
              <w:t>170</w:t>
            </w:r>
          </w:p>
        </w:tc>
        <w:tc>
          <w:tcPr>
            <w:tcW w:w="1247" w:type="dxa"/>
            <w:hideMark/>
          </w:tcPr>
          <w:p w14:paraId="2233C401" w14:textId="77777777" w:rsidR="00BE78C7" w:rsidRPr="002029AF" w:rsidRDefault="00BE78C7" w:rsidP="00BE78C7">
            <w:pPr>
              <w:pStyle w:val="ARfintablebodyrightbold"/>
              <w:rPr>
                <w:lang w:eastAsia="en-GB"/>
              </w:rPr>
            </w:pPr>
            <w:r w:rsidRPr="002029AF">
              <w:rPr>
                <w:lang w:eastAsia="en-GB"/>
              </w:rPr>
              <w:t>(81)</w:t>
            </w:r>
          </w:p>
        </w:tc>
        <w:tc>
          <w:tcPr>
            <w:tcW w:w="1247" w:type="dxa"/>
            <w:hideMark/>
          </w:tcPr>
          <w:p w14:paraId="36F31B07" w14:textId="77777777" w:rsidR="00BE78C7" w:rsidRPr="002029AF" w:rsidRDefault="00BE78C7" w:rsidP="00BE78C7">
            <w:pPr>
              <w:pStyle w:val="ARfintablebodyrightbold"/>
              <w:rPr>
                <w:lang w:eastAsia="en-GB"/>
              </w:rPr>
            </w:pPr>
            <w:r w:rsidRPr="002029AF">
              <w:rPr>
                <w:lang w:eastAsia="en-GB"/>
              </w:rPr>
              <w:t>(310.1)</w:t>
            </w:r>
          </w:p>
        </w:tc>
        <w:tc>
          <w:tcPr>
            <w:tcW w:w="680" w:type="dxa"/>
            <w:hideMark/>
          </w:tcPr>
          <w:p w14:paraId="2760AC05" w14:textId="77777777" w:rsidR="00BE78C7" w:rsidRPr="002029AF" w:rsidRDefault="00BE78C7" w:rsidP="00BE78C7">
            <w:pPr>
              <w:pStyle w:val="ARfintablebodyright"/>
              <w:rPr>
                <w:lang w:eastAsia="en-GB"/>
              </w:rPr>
            </w:pPr>
          </w:p>
        </w:tc>
      </w:tr>
      <w:tr w:rsidR="00BE78C7" w:rsidRPr="002029AF" w14:paraId="2933BCEE" w14:textId="77777777" w:rsidTr="00BE78C7">
        <w:trPr>
          <w:cantSplit w:val="0"/>
        </w:trPr>
        <w:tc>
          <w:tcPr>
            <w:tcW w:w="5218" w:type="dxa"/>
            <w:hideMark/>
          </w:tcPr>
          <w:p w14:paraId="0C689C7D" w14:textId="61B0EC82" w:rsidR="00BE78C7" w:rsidRPr="002029AF" w:rsidRDefault="00BE78C7" w:rsidP="00BE78C7">
            <w:pPr>
              <w:pStyle w:val="ARfintablebodybold"/>
              <w:rPr>
                <w:lang w:eastAsia="en-GB"/>
              </w:rPr>
            </w:pPr>
            <w:r w:rsidRPr="002029AF">
              <w:rPr>
                <w:lang w:eastAsia="en-GB"/>
              </w:rPr>
              <w:t>Net</w:t>
            </w:r>
            <w:r w:rsidR="000A5329" w:rsidRPr="002029AF">
              <w:rPr>
                <w:lang w:eastAsia="en-GB"/>
              </w:rPr>
              <w:t xml:space="preserve"> </w:t>
            </w:r>
            <w:r w:rsidRPr="002029AF">
              <w:rPr>
                <w:lang w:eastAsia="en-GB"/>
              </w:rPr>
              <w:t>increase</w:t>
            </w:r>
            <w:r w:rsidR="000A5329" w:rsidRPr="002029AF">
              <w:rPr>
                <w:lang w:eastAsia="en-GB"/>
              </w:rPr>
              <w:t xml:space="preserve"> </w:t>
            </w:r>
            <w:r w:rsidRPr="002029AF">
              <w:rPr>
                <w:lang w:eastAsia="en-GB"/>
              </w:rPr>
              <w:t>(decrease)</w:t>
            </w:r>
            <w:r w:rsidR="000A5329" w:rsidRPr="002029AF">
              <w:rPr>
                <w:lang w:eastAsia="en-GB"/>
              </w:rPr>
              <w:t xml:space="preserve"> </w:t>
            </w:r>
            <w:r w:rsidRPr="002029AF">
              <w:rPr>
                <w:lang w:eastAsia="en-GB"/>
              </w:rPr>
              <w:t>in</w:t>
            </w:r>
            <w:r w:rsidR="000A5329" w:rsidRPr="002029AF">
              <w:rPr>
                <w:lang w:eastAsia="en-GB"/>
              </w:rPr>
              <w:t xml:space="preserve"> </w:t>
            </w:r>
            <w:r w:rsidRPr="002029AF">
              <w:rPr>
                <w:lang w:eastAsia="en-GB"/>
              </w:rPr>
              <w:t>cash</w:t>
            </w:r>
            <w:r w:rsidR="000A5329" w:rsidRPr="002029AF">
              <w:rPr>
                <w:lang w:eastAsia="en-GB"/>
              </w:rPr>
              <w:t xml:space="preserve"> </w:t>
            </w:r>
            <w:r w:rsidRPr="002029AF">
              <w:rPr>
                <w:lang w:eastAsia="en-GB"/>
              </w:rPr>
              <w:t>and</w:t>
            </w:r>
            <w:r w:rsidR="000A5329" w:rsidRPr="002029AF">
              <w:rPr>
                <w:lang w:eastAsia="en-GB"/>
              </w:rPr>
              <w:t xml:space="preserve"> </w:t>
            </w:r>
            <w:r w:rsidRPr="002029AF">
              <w:rPr>
                <w:lang w:eastAsia="en-GB"/>
              </w:rPr>
              <w:t>cash</w:t>
            </w:r>
            <w:r w:rsidR="000A5329" w:rsidRPr="002029AF">
              <w:rPr>
                <w:lang w:eastAsia="en-GB"/>
              </w:rPr>
              <w:t xml:space="preserve"> </w:t>
            </w:r>
            <w:r w:rsidRPr="002029AF">
              <w:rPr>
                <w:lang w:eastAsia="en-GB"/>
              </w:rPr>
              <w:t>equivalents</w:t>
            </w:r>
          </w:p>
        </w:tc>
        <w:tc>
          <w:tcPr>
            <w:tcW w:w="1247" w:type="dxa"/>
            <w:hideMark/>
          </w:tcPr>
          <w:p w14:paraId="24482D2C" w14:textId="77777777" w:rsidR="00BE78C7" w:rsidRPr="002029AF" w:rsidRDefault="00BE78C7" w:rsidP="00BE78C7">
            <w:pPr>
              <w:pStyle w:val="ARfintablebodyrightbold"/>
              <w:rPr>
                <w:lang w:eastAsia="en-GB"/>
              </w:rPr>
            </w:pPr>
            <w:r w:rsidRPr="002029AF">
              <w:rPr>
                <w:lang w:eastAsia="en-GB"/>
              </w:rPr>
              <w:t>443</w:t>
            </w:r>
          </w:p>
        </w:tc>
        <w:tc>
          <w:tcPr>
            <w:tcW w:w="1247" w:type="dxa"/>
            <w:hideMark/>
          </w:tcPr>
          <w:p w14:paraId="7FF9A894" w14:textId="77777777" w:rsidR="00BE78C7" w:rsidRPr="002029AF" w:rsidRDefault="00BE78C7" w:rsidP="00BE78C7">
            <w:pPr>
              <w:pStyle w:val="ARfintablebodyrightbold"/>
              <w:rPr>
                <w:lang w:eastAsia="en-GB"/>
              </w:rPr>
            </w:pPr>
            <w:r w:rsidRPr="002029AF">
              <w:rPr>
                <w:lang w:eastAsia="en-GB"/>
              </w:rPr>
              <w:t>131</w:t>
            </w:r>
          </w:p>
        </w:tc>
        <w:tc>
          <w:tcPr>
            <w:tcW w:w="1247" w:type="dxa"/>
            <w:hideMark/>
          </w:tcPr>
          <w:p w14:paraId="27C52D6E" w14:textId="77777777" w:rsidR="00BE78C7" w:rsidRPr="002029AF" w:rsidRDefault="00BE78C7" w:rsidP="00BE78C7">
            <w:pPr>
              <w:pStyle w:val="ARfintablebodyrightbold"/>
              <w:rPr>
                <w:lang w:eastAsia="en-GB"/>
              </w:rPr>
            </w:pPr>
            <w:r w:rsidRPr="002029AF">
              <w:rPr>
                <w:lang w:eastAsia="en-GB"/>
              </w:rPr>
              <w:t>238.6</w:t>
            </w:r>
          </w:p>
        </w:tc>
        <w:tc>
          <w:tcPr>
            <w:tcW w:w="680" w:type="dxa"/>
            <w:hideMark/>
          </w:tcPr>
          <w:p w14:paraId="526C8B95" w14:textId="77777777" w:rsidR="00BE78C7" w:rsidRPr="002029AF" w:rsidRDefault="00BE78C7" w:rsidP="00BE78C7">
            <w:pPr>
              <w:pStyle w:val="ARfintablebodyright"/>
              <w:rPr>
                <w:lang w:eastAsia="en-GB"/>
              </w:rPr>
            </w:pPr>
          </w:p>
        </w:tc>
      </w:tr>
      <w:tr w:rsidR="00BE78C7" w:rsidRPr="002029AF" w14:paraId="01CD9734" w14:textId="77777777" w:rsidTr="00BE78C7">
        <w:trPr>
          <w:cantSplit w:val="0"/>
        </w:trPr>
        <w:tc>
          <w:tcPr>
            <w:tcW w:w="5218" w:type="dxa"/>
            <w:hideMark/>
          </w:tcPr>
          <w:p w14:paraId="40E3BC38" w14:textId="2A1C8C2F" w:rsidR="00BE78C7" w:rsidRPr="002029AF" w:rsidRDefault="00BE78C7" w:rsidP="00BE78C7">
            <w:pPr>
              <w:pStyle w:val="ARfintablebody"/>
              <w:rPr>
                <w:lang w:eastAsia="en-GB"/>
              </w:rPr>
            </w:pPr>
            <w:r w:rsidRPr="002029AF">
              <w:rPr>
                <w:lang w:eastAsia="en-GB"/>
              </w:rPr>
              <w:t>Cash</w:t>
            </w:r>
            <w:r w:rsidR="000A5329" w:rsidRPr="002029AF">
              <w:rPr>
                <w:lang w:eastAsia="en-GB"/>
              </w:rPr>
              <w:t xml:space="preserve"> </w:t>
            </w:r>
            <w:r w:rsidRPr="002029AF">
              <w:rPr>
                <w:lang w:eastAsia="en-GB"/>
              </w:rPr>
              <w:t>and</w:t>
            </w:r>
            <w:r w:rsidR="000A5329" w:rsidRPr="002029AF">
              <w:rPr>
                <w:lang w:eastAsia="en-GB"/>
              </w:rPr>
              <w:t xml:space="preserve"> </w:t>
            </w:r>
            <w:r w:rsidRPr="002029AF">
              <w:rPr>
                <w:lang w:eastAsia="en-GB"/>
              </w:rPr>
              <w:t>cash</w:t>
            </w:r>
            <w:r w:rsidR="000A5329" w:rsidRPr="002029AF">
              <w:rPr>
                <w:lang w:eastAsia="en-GB"/>
              </w:rPr>
              <w:t xml:space="preserve"> </w:t>
            </w:r>
            <w:r w:rsidRPr="002029AF">
              <w:rPr>
                <w:lang w:eastAsia="en-GB"/>
              </w:rPr>
              <w:t>equivalents</w:t>
            </w:r>
            <w:r w:rsidR="000A5329" w:rsidRPr="002029AF">
              <w:rPr>
                <w:lang w:eastAsia="en-GB"/>
              </w:rPr>
              <w:t xml:space="preserve"> </w:t>
            </w:r>
            <w:r w:rsidRPr="002029AF">
              <w:rPr>
                <w:lang w:eastAsia="en-GB"/>
              </w:rPr>
              <w:t>at</w:t>
            </w:r>
            <w:r w:rsidR="000A5329" w:rsidRPr="002029AF">
              <w:rPr>
                <w:lang w:eastAsia="en-GB"/>
              </w:rPr>
              <w:t xml:space="preserve"> </w:t>
            </w:r>
            <w:r w:rsidRPr="002029AF">
              <w:rPr>
                <w:lang w:eastAsia="en-GB"/>
              </w:rPr>
              <w:t>the</w:t>
            </w:r>
            <w:r w:rsidR="000A5329" w:rsidRPr="002029AF">
              <w:rPr>
                <w:lang w:eastAsia="en-GB"/>
              </w:rPr>
              <w:t xml:space="preserve"> </w:t>
            </w:r>
            <w:r w:rsidRPr="002029AF">
              <w:rPr>
                <w:lang w:eastAsia="en-GB"/>
              </w:rPr>
              <w:t>beginning</w:t>
            </w:r>
            <w:r w:rsidR="000A5329" w:rsidRPr="002029AF">
              <w:rPr>
                <w:lang w:eastAsia="en-GB"/>
              </w:rPr>
              <w:t xml:space="preserve"> </w:t>
            </w:r>
            <w:r w:rsidRPr="002029AF">
              <w:rPr>
                <w:lang w:eastAsia="en-GB"/>
              </w:rPr>
              <w:t>of</w:t>
            </w:r>
            <w:r w:rsidR="000A5329" w:rsidRPr="002029AF">
              <w:rPr>
                <w:lang w:eastAsia="en-GB"/>
              </w:rPr>
              <w:t xml:space="preserve"> </w:t>
            </w:r>
            <w:r w:rsidRPr="002029AF">
              <w:rPr>
                <w:lang w:eastAsia="en-GB"/>
              </w:rPr>
              <w:t>the</w:t>
            </w:r>
            <w:r w:rsidR="000A5329" w:rsidRPr="002029AF">
              <w:rPr>
                <w:lang w:eastAsia="en-GB"/>
              </w:rPr>
              <w:t xml:space="preserve"> </w:t>
            </w:r>
            <w:r w:rsidRPr="002029AF">
              <w:rPr>
                <w:lang w:eastAsia="en-GB"/>
              </w:rPr>
              <w:t>financial</w:t>
            </w:r>
            <w:r w:rsidR="000A5329" w:rsidRPr="002029AF">
              <w:rPr>
                <w:lang w:eastAsia="en-GB"/>
              </w:rPr>
              <w:t xml:space="preserve"> </w:t>
            </w:r>
            <w:r w:rsidRPr="002029AF">
              <w:rPr>
                <w:lang w:eastAsia="en-GB"/>
              </w:rPr>
              <w:t>year</w:t>
            </w:r>
          </w:p>
        </w:tc>
        <w:tc>
          <w:tcPr>
            <w:tcW w:w="1247" w:type="dxa"/>
            <w:hideMark/>
          </w:tcPr>
          <w:p w14:paraId="7BB88E4D" w14:textId="77777777" w:rsidR="00BE78C7" w:rsidRPr="002029AF" w:rsidRDefault="00BE78C7" w:rsidP="00BE78C7">
            <w:pPr>
              <w:pStyle w:val="ARfintablebodyright"/>
              <w:rPr>
                <w:lang w:eastAsia="en-GB"/>
              </w:rPr>
            </w:pPr>
            <w:r w:rsidRPr="002029AF">
              <w:rPr>
                <w:lang w:eastAsia="en-GB"/>
              </w:rPr>
              <w:t>1,969</w:t>
            </w:r>
          </w:p>
        </w:tc>
        <w:tc>
          <w:tcPr>
            <w:tcW w:w="1247" w:type="dxa"/>
            <w:hideMark/>
          </w:tcPr>
          <w:p w14:paraId="723817A1" w14:textId="77777777" w:rsidR="00BE78C7" w:rsidRPr="002029AF" w:rsidRDefault="00BE78C7" w:rsidP="00BE78C7">
            <w:pPr>
              <w:pStyle w:val="ARfintablebodyright"/>
              <w:rPr>
                <w:lang w:eastAsia="en-GB"/>
              </w:rPr>
            </w:pPr>
            <w:r w:rsidRPr="002029AF">
              <w:rPr>
                <w:lang w:eastAsia="en-GB"/>
              </w:rPr>
              <w:t>2,045</w:t>
            </w:r>
          </w:p>
        </w:tc>
        <w:tc>
          <w:tcPr>
            <w:tcW w:w="1247" w:type="dxa"/>
            <w:hideMark/>
          </w:tcPr>
          <w:p w14:paraId="6CEF7ED6" w14:textId="77777777" w:rsidR="00BE78C7" w:rsidRPr="002029AF" w:rsidRDefault="00BE78C7" w:rsidP="00BE78C7">
            <w:pPr>
              <w:pStyle w:val="ARfintablebodyright"/>
              <w:rPr>
                <w:lang w:eastAsia="en-GB"/>
              </w:rPr>
            </w:pPr>
            <w:r w:rsidRPr="002029AF">
              <w:rPr>
                <w:lang w:eastAsia="en-GB"/>
              </w:rPr>
              <w:t>(3.7)</w:t>
            </w:r>
          </w:p>
        </w:tc>
        <w:tc>
          <w:tcPr>
            <w:tcW w:w="680" w:type="dxa"/>
            <w:hideMark/>
          </w:tcPr>
          <w:p w14:paraId="3AE1C19E" w14:textId="77777777" w:rsidR="00BE78C7" w:rsidRPr="002029AF" w:rsidRDefault="00BE78C7" w:rsidP="00BE78C7">
            <w:pPr>
              <w:pStyle w:val="ARfintablebodyright"/>
              <w:rPr>
                <w:lang w:eastAsia="en-GB"/>
              </w:rPr>
            </w:pPr>
          </w:p>
        </w:tc>
      </w:tr>
      <w:tr w:rsidR="00BE78C7" w:rsidRPr="002029AF" w14:paraId="2A743594" w14:textId="77777777" w:rsidTr="00BE78C7">
        <w:trPr>
          <w:cantSplit w:val="0"/>
        </w:trPr>
        <w:tc>
          <w:tcPr>
            <w:tcW w:w="5218" w:type="dxa"/>
            <w:hideMark/>
          </w:tcPr>
          <w:p w14:paraId="472E6056" w14:textId="27E38BE3" w:rsidR="00BE78C7" w:rsidRPr="002029AF" w:rsidRDefault="00BE78C7" w:rsidP="00BE78C7">
            <w:pPr>
              <w:pStyle w:val="ARfintablebodybold"/>
              <w:rPr>
                <w:lang w:eastAsia="en-GB"/>
              </w:rPr>
            </w:pPr>
            <w:r w:rsidRPr="002029AF">
              <w:rPr>
                <w:lang w:eastAsia="en-GB"/>
              </w:rPr>
              <w:t>Cash</w:t>
            </w:r>
            <w:r w:rsidR="000A5329" w:rsidRPr="002029AF">
              <w:rPr>
                <w:lang w:eastAsia="en-GB"/>
              </w:rPr>
              <w:t xml:space="preserve"> </w:t>
            </w:r>
            <w:r w:rsidRPr="002029AF">
              <w:rPr>
                <w:lang w:eastAsia="en-GB"/>
              </w:rPr>
              <w:t>and</w:t>
            </w:r>
            <w:r w:rsidR="000A5329" w:rsidRPr="002029AF">
              <w:rPr>
                <w:lang w:eastAsia="en-GB"/>
              </w:rPr>
              <w:t xml:space="preserve"> </w:t>
            </w:r>
            <w:r w:rsidRPr="002029AF">
              <w:rPr>
                <w:lang w:eastAsia="en-GB"/>
              </w:rPr>
              <w:t>cash</w:t>
            </w:r>
            <w:r w:rsidR="000A5329" w:rsidRPr="002029AF">
              <w:rPr>
                <w:lang w:eastAsia="en-GB"/>
              </w:rPr>
              <w:t xml:space="preserve"> </w:t>
            </w:r>
            <w:r w:rsidRPr="002029AF">
              <w:rPr>
                <w:lang w:eastAsia="en-GB"/>
              </w:rPr>
              <w:t>equivalents</w:t>
            </w:r>
            <w:r w:rsidR="000A5329" w:rsidRPr="002029AF">
              <w:rPr>
                <w:lang w:eastAsia="en-GB"/>
              </w:rPr>
              <w:t xml:space="preserve"> </w:t>
            </w:r>
            <w:r w:rsidRPr="002029AF">
              <w:rPr>
                <w:lang w:eastAsia="en-GB"/>
              </w:rPr>
              <w:t>at</w:t>
            </w:r>
            <w:r w:rsidR="000A5329" w:rsidRPr="002029AF">
              <w:rPr>
                <w:lang w:eastAsia="en-GB"/>
              </w:rPr>
              <w:t xml:space="preserve"> </w:t>
            </w:r>
            <w:r w:rsidRPr="002029AF">
              <w:rPr>
                <w:lang w:eastAsia="en-GB"/>
              </w:rPr>
              <w:t>the</w:t>
            </w:r>
            <w:r w:rsidR="000A5329" w:rsidRPr="002029AF">
              <w:rPr>
                <w:lang w:eastAsia="en-GB"/>
              </w:rPr>
              <w:t xml:space="preserve"> </w:t>
            </w:r>
            <w:r w:rsidRPr="002029AF">
              <w:rPr>
                <w:lang w:eastAsia="en-GB"/>
              </w:rPr>
              <w:t>end</w:t>
            </w:r>
            <w:r w:rsidR="000A5329" w:rsidRPr="002029AF">
              <w:rPr>
                <w:lang w:eastAsia="en-GB"/>
              </w:rPr>
              <w:t xml:space="preserve"> </w:t>
            </w:r>
            <w:r w:rsidRPr="002029AF">
              <w:rPr>
                <w:lang w:eastAsia="en-GB"/>
              </w:rPr>
              <w:t>of</w:t>
            </w:r>
            <w:r w:rsidR="000A5329" w:rsidRPr="002029AF">
              <w:rPr>
                <w:lang w:eastAsia="en-GB"/>
              </w:rPr>
              <w:t xml:space="preserve"> </w:t>
            </w:r>
            <w:r w:rsidRPr="002029AF">
              <w:rPr>
                <w:lang w:eastAsia="en-GB"/>
              </w:rPr>
              <w:t>the</w:t>
            </w:r>
            <w:r w:rsidR="000A5329" w:rsidRPr="002029AF">
              <w:rPr>
                <w:lang w:eastAsia="en-GB"/>
              </w:rPr>
              <w:t xml:space="preserve"> </w:t>
            </w:r>
            <w:r w:rsidRPr="002029AF">
              <w:rPr>
                <w:lang w:eastAsia="en-GB"/>
              </w:rPr>
              <w:t>financial</w:t>
            </w:r>
            <w:r w:rsidR="000A5329" w:rsidRPr="002029AF">
              <w:rPr>
                <w:lang w:eastAsia="en-GB"/>
              </w:rPr>
              <w:t xml:space="preserve"> </w:t>
            </w:r>
            <w:r w:rsidRPr="002029AF">
              <w:rPr>
                <w:lang w:eastAsia="en-GB"/>
              </w:rPr>
              <w:t>year</w:t>
            </w:r>
          </w:p>
        </w:tc>
        <w:tc>
          <w:tcPr>
            <w:tcW w:w="1247" w:type="dxa"/>
            <w:hideMark/>
          </w:tcPr>
          <w:p w14:paraId="593290CB" w14:textId="77777777" w:rsidR="00BE78C7" w:rsidRPr="002029AF" w:rsidRDefault="00BE78C7" w:rsidP="00BE78C7">
            <w:pPr>
              <w:pStyle w:val="ARfintablebodyrightbold"/>
              <w:rPr>
                <w:lang w:eastAsia="en-GB"/>
              </w:rPr>
            </w:pPr>
            <w:r w:rsidRPr="002029AF">
              <w:rPr>
                <w:lang w:eastAsia="en-GB"/>
              </w:rPr>
              <w:t>2,412</w:t>
            </w:r>
          </w:p>
        </w:tc>
        <w:tc>
          <w:tcPr>
            <w:tcW w:w="1247" w:type="dxa"/>
            <w:hideMark/>
          </w:tcPr>
          <w:p w14:paraId="03E9AC84" w14:textId="77777777" w:rsidR="00BE78C7" w:rsidRPr="002029AF" w:rsidRDefault="00BE78C7" w:rsidP="00BE78C7">
            <w:pPr>
              <w:pStyle w:val="ARfintablebodyrightbold"/>
              <w:rPr>
                <w:lang w:eastAsia="en-GB"/>
              </w:rPr>
            </w:pPr>
            <w:r w:rsidRPr="002029AF">
              <w:rPr>
                <w:lang w:eastAsia="en-GB"/>
              </w:rPr>
              <w:t>2,176</w:t>
            </w:r>
          </w:p>
        </w:tc>
        <w:tc>
          <w:tcPr>
            <w:tcW w:w="1247" w:type="dxa"/>
            <w:hideMark/>
          </w:tcPr>
          <w:p w14:paraId="368C0597" w14:textId="77777777" w:rsidR="00BE78C7" w:rsidRPr="002029AF" w:rsidRDefault="00BE78C7" w:rsidP="00BE78C7">
            <w:pPr>
              <w:pStyle w:val="ARfintablebodyrightbold"/>
              <w:rPr>
                <w:lang w:eastAsia="en-GB"/>
              </w:rPr>
            </w:pPr>
            <w:r w:rsidRPr="002029AF">
              <w:rPr>
                <w:lang w:eastAsia="en-GB"/>
              </w:rPr>
              <w:t>10.8</w:t>
            </w:r>
          </w:p>
        </w:tc>
        <w:tc>
          <w:tcPr>
            <w:tcW w:w="680" w:type="dxa"/>
            <w:hideMark/>
          </w:tcPr>
          <w:p w14:paraId="34BF5031" w14:textId="77777777" w:rsidR="00BE78C7" w:rsidRPr="002029AF" w:rsidRDefault="00BE78C7" w:rsidP="00BE78C7">
            <w:pPr>
              <w:pStyle w:val="ARfintablebodyright"/>
              <w:rPr>
                <w:lang w:eastAsia="en-GB"/>
              </w:rPr>
            </w:pPr>
          </w:p>
        </w:tc>
      </w:tr>
    </w:tbl>
    <w:p w14:paraId="05D69BBC" w14:textId="5C6FC247" w:rsidR="00665D4A" w:rsidRPr="002029AF" w:rsidRDefault="00665D4A" w:rsidP="00FF3CAB">
      <w:pPr>
        <w:pStyle w:val="ARtablefootnotenumbered"/>
        <w:numPr>
          <w:ilvl w:val="0"/>
          <w:numId w:val="42"/>
        </w:numPr>
      </w:pPr>
      <w:r w:rsidRPr="002029AF">
        <w:t>The</w:t>
      </w:r>
      <w:r w:rsidR="000A5329" w:rsidRPr="002029AF">
        <w:t xml:space="preserve"> </w:t>
      </w:r>
      <w:r w:rsidRPr="002029AF">
        <w:t>variance</w:t>
      </w:r>
      <w:r w:rsidR="000A5329" w:rsidRPr="002029AF">
        <w:t xml:space="preserve"> </w:t>
      </w:r>
      <w:r w:rsidRPr="002029AF">
        <w:t>is</w:t>
      </w:r>
      <w:r w:rsidR="000A5329" w:rsidRPr="002029AF">
        <w:t xml:space="preserve"> </w:t>
      </w:r>
      <w:r w:rsidRPr="002029AF">
        <w:t>mainly</w:t>
      </w:r>
      <w:r w:rsidR="000A5329" w:rsidRPr="002029AF">
        <w:t xml:space="preserve"> </w:t>
      </w:r>
      <w:r w:rsidRPr="002029AF">
        <w:t>driven</w:t>
      </w:r>
      <w:r w:rsidR="000A5329" w:rsidRPr="002029AF">
        <w:t xml:space="preserve"> </w:t>
      </w:r>
      <w:r w:rsidRPr="002029AF">
        <w:t>by</w:t>
      </w:r>
      <w:r w:rsidR="000A5329" w:rsidRPr="002029AF">
        <w:t xml:space="preserve"> </w:t>
      </w:r>
      <w:r w:rsidRPr="002029AF">
        <w:t>grants</w:t>
      </w:r>
      <w:r w:rsidR="000A5329" w:rsidRPr="002029AF">
        <w:t xml:space="preserve"> </w:t>
      </w:r>
      <w:r w:rsidRPr="002029AF">
        <w:t>paid</w:t>
      </w:r>
      <w:r w:rsidR="000A5329" w:rsidRPr="002029AF">
        <w:t xml:space="preserve"> </w:t>
      </w:r>
      <w:r w:rsidRPr="002029AF">
        <w:t>to</w:t>
      </w:r>
      <w:r w:rsidR="000A5329" w:rsidRPr="002029AF">
        <w:t xml:space="preserve"> </w:t>
      </w:r>
      <w:r w:rsidRPr="002029AF">
        <w:t>non-government</w:t>
      </w:r>
      <w:r w:rsidR="000A5329" w:rsidRPr="002029AF">
        <w:t xml:space="preserve"> </w:t>
      </w:r>
      <w:r w:rsidRPr="002029AF">
        <w:t>organisations</w:t>
      </w:r>
      <w:r w:rsidR="000A5329" w:rsidRPr="002029AF">
        <w:t xml:space="preserve"> </w:t>
      </w:r>
      <w:r w:rsidRPr="002029AF">
        <w:t>following</w:t>
      </w:r>
      <w:r w:rsidR="000A5329" w:rsidRPr="002029AF">
        <w:t xml:space="preserve"> </w:t>
      </w:r>
      <w:r w:rsidRPr="002029AF">
        <w:t>the</w:t>
      </w:r>
      <w:r w:rsidR="000A5329" w:rsidRPr="002029AF">
        <w:t xml:space="preserve"> </w:t>
      </w:r>
      <w:r w:rsidRPr="002029AF">
        <w:t>transfer</w:t>
      </w:r>
      <w:r w:rsidR="000A5329" w:rsidRPr="002029AF">
        <w:t xml:space="preserve"> </w:t>
      </w:r>
      <w:r w:rsidRPr="002029AF">
        <w:t>of</w:t>
      </w:r>
      <w:r w:rsidR="000A5329" w:rsidRPr="002029AF">
        <w:t xml:space="preserve"> </w:t>
      </w:r>
      <w:r w:rsidRPr="002029AF">
        <w:t>disability</w:t>
      </w:r>
      <w:r w:rsidR="000A5329" w:rsidRPr="002029AF">
        <w:t xml:space="preserve"> </w:t>
      </w:r>
      <w:r w:rsidRPr="002029AF">
        <w:t>services.</w:t>
      </w:r>
      <w:r w:rsidR="000A5329" w:rsidRPr="002029AF">
        <w:t xml:space="preserve"> </w:t>
      </w:r>
      <w:r w:rsidRPr="002029AF">
        <w:t>These</w:t>
      </w:r>
      <w:r w:rsidR="000A5329" w:rsidRPr="002029AF">
        <w:t xml:space="preserve"> </w:t>
      </w:r>
      <w:r w:rsidRPr="002029AF">
        <w:t>payments</w:t>
      </w:r>
      <w:r w:rsidR="000A5329" w:rsidRPr="002029AF">
        <w:t xml:space="preserve"> </w:t>
      </w:r>
      <w:r w:rsidRPr="002029AF">
        <w:t>were</w:t>
      </w:r>
      <w:r w:rsidR="000A5329" w:rsidRPr="002029AF">
        <w:t xml:space="preserve"> </w:t>
      </w:r>
      <w:r w:rsidRPr="002029AF">
        <w:t>still</w:t>
      </w:r>
      <w:r w:rsidR="000A5329" w:rsidRPr="002029AF">
        <w:t xml:space="preserve"> </w:t>
      </w:r>
      <w:r w:rsidRPr="002029AF">
        <w:t>treated</w:t>
      </w:r>
      <w:r w:rsidR="000A5329" w:rsidRPr="002029AF">
        <w:t xml:space="preserve"> </w:t>
      </w:r>
      <w:r w:rsidRPr="002029AF">
        <w:t>as</w:t>
      </w:r>
      <w:r w:rsidR="000A5329" w:rsidRPr="002029AF">
        <w:t xml:space="preserve"> </w:t>
      </w:r>
      <w:r w:rsidRPr="002029AF">
        <w:t>other</w:t>
      </w:r>
      <w:r w:rsidR="000A5329" w:rsidRPr="002029AF">
        <w:t xml:space="preserve"> </w:t>
      </w:r>
      <w:r w:rsidRPr="002029AF">
        <w:t>operating</w:t>
      </w:r>
      <w:r w:rsidR="000A5329" w:rsidRPr="002029AF">
        <w:t xml:space="preserve"> </w:t>
      </w:r>
      <w:r w:rsidRPr="002029AF">
        <w:t>expenses</w:t>
      </w:r>
      <w:r w:rsidR="000A5329" w:rsidRPr="002029AF">
        <w:t xml:space="preserve"> </w:t>
      </w:r>
      <w:r w:rsidRPr="002029AF">
        <w:t>in</w:t>
      </w:r>
      <w:r w:rsidR="000A5329" w:rsidRPr="002029AF">
        <w:t xml:space="preserve"> </w:t>
      </w:r>
      <w:r w:rsidRPr="002029AF">
        <w:t>the</w:t>
      </w:r>
      <w:r w:rsidR="000A5329" w:rsidRPr="002029AF">
        <w:t xml:space="preserve"> </w:t>
      </w:r>
      <w:r w:rsidRPr="002029AF">
        <w:t>published</w:t>
      </w:r>
      <w:r w:rsidR="000A5329" w:rsidRPr="002029AF">
        <w:t xml:space="preserve"> </w:t>
      </w:r>
      <w:r w:rsidRPr="002029AF">
        <w:t>budget.</w:t>
      </w:r>
    </w:p>
    <w:p w14:paraId="15211EE4" w14:textId="04387F14" w:rsidR="00665D4A" w:rsidRPr="002029AF" w:rsidRDefault="00665D4A" w:rsidP="00A92A21">
      <w:pPr>
        <w:pStyle w:val="ARtablefootnotenumbered"/>
      </w:pPr>
      <w:r w:rsidRPr="002029AF">
        <w:t>The</w:t>
      </w:r>
      <w:r w:rsidR="000A5329" w:rsidRPr="002029AF">
        <w:t xml:space="preserve"> </w:t>
      </w:r>
      <w:r w:rsidRPr="002029AF">
        <w:t>increase</w:t>
      </w:r>
      <w:r w:rsidR="000A5329" w:rsidRPr="002029AF">
        <w:t xml:space="preserve"> </w:t>
      </w:r>
      <w:r w:rsidRPr="002029AF">
        <w:t>in</w:t>
      </w:r>
      <w:r w:rsidR="000A5329" w:rsidRPr="002029AF">
        <w:t xml:space="preserve"> </w:t>
      </w:r>
      <w:r w:rsidRPr="002029AF">
        <w:t>net</w:t>
      </w:r>
      <w:r w:rsidR="000A5329" w:rsidRPr="002029AF">
        <w:t xml:space="preserve"> </w:t>
      </w:r>
      <w:r w:rsidRPr="002029AF">
        <w:t>borrowings</w:t>
      </w:r>
      <w:r w:rsidR="000A5329" w:rsidRPr="002029AF">
        <w:t xml:space="preserve"> </w:t>
      </w:r>
      <w:r w:rsidRPr="002029AF">
        <w:t>primarily</w:t>
      </w:r>
      <w:r w:rsidR="000A5329" w:rsidRPr="002029AF">
        <w:t xml:space="preserve"> </w:t>
      </w:r>
      <w:r w:rsidRPr="002029AF">
        <w:t>relates</w:t>
      </w:r>
      <w:r w:rsidR="000A5329" w:rsidRPr="002029AF">
        <w:t xml:space="preserve"> </w:t>
      </w:r>
      <w:r w:rsidRPr="002029AF">
        <w:t>to</w:t>
      </w:r>
      <w:r w:rsidR="000A5329" w:rsidRPr="002029AF">
        <w:t xml:space="preserve"> </w:t>
      </w:r>
      <w:r w:rsidRPr="002029AF">
        <w:t>s.37</w:t>
      </w:r>
      <w:r w:rsidR="000A5329" w:rsidRPr="002029AF">
        <w:t xml:space="preserve"> </w:t>
      </w:r>
      <w:r w:rsidRPr="002029AF">
        <w:t>advances</w:t>
      </w:r>
      <w:r w:rsidR="000A5329" w:rsidRPr="002029AF">
        <w:t xml:space="preserve"> </w:t>
      </w:r>
      <w:r w:rsidRPr="002029AF">
        <w:t>from</w:t>
      </w:r>
      <w:r w:rsidR="000A5329" w:rsidRPr="002029AF">
        <w:t xml:space="preserve"> </w:t>
      </w:r>
      <w:r w:rsidR="003E392E" w:rsidRPr="002029AF">
        <w:t xml:space="preserve">the </w:t>
      </w:r>
      <w:r w:rsidRPr="002029AF">
        <w:t>Government</w:t>
      </w:r>
      <w:r w:rsidR="000A5329" w:rsidRPr="002029AF">
        <w:t xml:space="preserve"> </w:t>
      </w:r>
      <w:r w:rsidRPr="002029AF">
        <w:t>to</w:t>
      </w:r>
      <w:r w:rsidR="000A5329" w:rsidRPr="002029AF">
        <w:t xml:space="preserve"> </w:t>
      </w:r>
      <w:r w:rsidRPr="002029AF">
        <w:t>fund</w:t>
      </w:r>
      <w:r w:rsidR="000A5329" w:rsidRPr="002029AF">
        <w:t xml:space="preserve"> </w:t>
      </w:r>
      <w:r w:rsidRPr="002029AF">
        <w:t>cash</w:t>
      </w:r>
      <w:r w:rsidR="000A5329" w:rsidRPr="002029AF">
        <w:t xml:space="preserve"> </w:t>
      </w:r>
      <w:r w:rsidRPr="002029AF">
        <w:t>advances</w:t>
      </w:r>
      <w:r w:rsidR="000A5329" w:rsidRPr="002029AF">
        <w:t xml:space="preserve"> </w:t>
      </w:r>
      <w:r w:rsidRPr="002029AF">
        <w:t>to</w:t>
      </w:r>
      <w:r w:rsidR="000A5329" w:rsidRPr="002029AF">
        <w:t xml:space="preserve"> </w:t>
      </w:r>
      <w:r w:rsidRPr="002029AF">
        <w:t>health</w:t>
      </w:r>
      <w:r w:rsidR="000A5329" w:rsidRPr="002029AF">
        <w:t xml:space="preserve"> </w:t>
      </w:r>
      <w:r w:rsidRPr="002029AF">
        <w:t>services</w:t>
      </w:r>
      <w:r w:rsidR="000A5329" w:rsidRPr="002029AF">
        <w:t xml:space="preserve"> </w:t>
      </w:r>
      <w:r w:rsidRPr="002029AF">
        <w:t>for</w:t>
      </w:r>
      <w:r w:rsidR="007920F7" w:rsidRPr="002029AF">
        <w:t> </w:t>
      </w:r>
      <w:r w:rsidRPr="002029AF">
        <w:t>the</w:t>
      </w:r>
      <w:r w:rsidR="000A5329" w:rsidRPr="002029AF">
        <w:t xml:space="preserve"> </w:t>
      </w:r>
      <w:r w:rsidRPr="002029AF">
        <w:t>purpose</w:t>
      </w:r>
      <w:r w:rsidR="000A5329" w:rsidRPr="002029AF">
        <w:t xml:space="preserve"> </w:t>
      </w:r>
      <w:r w:rsidRPr="002029AF">
        <w:t>of</w:t>
      </w:r>
      <w:r w:rsidR="000A5329" w:rsidRPr="002029AF">
        <w:t xml:space="preserve"> </w:t>
      </w:r>
      <w:r w:rsidRPr="002029AF">
        <w:t>providing</w:t>
      </w:r>
      <w:r w:rsidR="000A5329" w:rsidRPr="002029AF">
        <w:t xml:space="preserve"> </w:t>
      </w:r>
      <w:r w:rsidRPr="002029AF">
        <w:t>funding</w:t>
      </w:r>
      <w:r w:rsidR="000A5329" w:rsidRPr="002029AF">
        <w:t xml:space="preserve"> </w:t>
      </w:r>
      <w:r w:rsidRPr="002029AF">
        <w:t>to</w:t>
      </w:r>
      <w:r w:rsidR="000A5329" w:rsidRPr="002029AF">
        <w:t xml:space="preserve"> </w:t>
      </w:r>
      <w:r w:rsidRPr="002029AF">
        <w:t>meet</w:t>
      </w:r>
      <w:r w:rsidR="000A5329" w:rsidRPr="002029AF">
        <w:t xml:space="preserve"> </w:t>
      </w:r>
      <w:r w:rsidRPr="002029AF">
        <w:t>July</w:t>
      </w:r>
      <w:r w:rsidR="000A5329" w:rsidRPr="002029AF">
        <w:t xml:space="preserve"> </w:t>
      </w:r>
      <w:r w:rsidRPr="002029AF">
        <w:t>2020</w:t>
      </w:r>
      <w:r w:rsidR="000A5329" w:rsidRPr="002029AF">
        <w:t xml:space="preserve"> </w:t>
      </w:r>
      <w:r w:rsidRPr="002029AF">
        <w:t>payroll</w:t>
      </w:r>
      <w:r w:rsidR="000A5329" w:rsidRPr="002029AF">
        <w:t xml:space="preserve"> </w:t>
      </w:r>
      <w:r w:rsidRPr="002029AF">
        <w:t>and</w:t>
      </w:r>
      <w:r w:rsidR="000A5329" w:rsidRPr="002029AF">
        <w:t xml:space="preserve"> </w:t>
      </w:r>
      <w:r w:rsidRPr="002029AF">
        <w:t>supplier</w:t>
      </w:r>
      <w:r w:rsidR="000A5329" w:rsidRPr="002029AF">
        <w:t xml:space="preserve"> </w:t>
      </w:r>
      <w:r w:rsidRPr="002029AF">
        <w:t>payments.</w:t>
      </w:r>
      <w:r w:rsidR="000A5329" w:rsidRPr="002029AF">
        <w:t xml:space="preserve"> </w:t>
      </w:r>
      <w:r w:rsidRPr="002029AF">
        <w:t>These</w:t>
      </w:r>
      <w:r w:rsidR="000A5329" w:rsidRPr="002029AF">
        <w:t xml:space="preserve"> </w:t>
      </w:r>
      <w:r w:rsidRPr="002029AF">
        <w:t>advances</w:t>
      </w:r>
      <w:r w:rsidR="000A5329" w:rsidRPr="002029AF">
        <w:t xml:space="preserve"> </w:t>
      </w:r>
      <w:r w:rsidRPr="002029AF">
        <w:t>were</w:t>
      </w:r>
      <w:r w:rsidR="000A5329" w:rsidRPr="002029AF">
        <w:t xml:space="preserve"> </w:t>
      </w:r>
      <w:r w:rsidRPr="002029AF">
        <w:t>approved</w:t>
      </w:r>
      <w:r w:rsidR="000A5329" w:rsidRPr="002029AF">
        <w:t xml:space="preserve"> </w:t>
      </w:r>
      <w:r w:rsidRPr="002029AF">
        <w:t>after</w:t>
      </w:r>
      <w:r w:rsidR="000A5329" w:rsidRPr="002029AF">
        <w:t xml:space="preserve"> </w:t>
      </w:r>
      <w:r w:rsidRPr="002029AF">
        <w:t>the</w:t>
      </w:r>
      <w:r w:rsidR="000A5329" w:rsidRPr="002029AF">
        <w:t xml:space="preserve"> </w:t>
      </w:r>
      <w:r w:rsidRPr="002029AF">
        <w:t>published</w:t>
      </w:r>
      <w:r w:rsidR="000A5329" w:rsidRPr="002029AF">
        <w:t xml:space="preserve"> </w:t>
      </w:r>
      <w:r w:rsidRPr="002029AF">
        <w:t>budget.</w:t>
      </w:r>
    </w:p>
    <w:p w14:paraId="7BCB350A" w14:textId="77777777" w:rsidR="00A92A21" w:rsidRPr="002029AF" w:rsidRDefault="00A92A21" w:rsidP="00A92A21">
      <w:pPr>
        <w:pStyle w:val="ARbody"/>
      </w:pPr>
      <w:r w:rsidRPr="002029AF">
        <w:br w:type="page"/>
      </w:r>
    </w:p>
    <w:p w14:paraId="32AACF05" w14:textId="3FD01113" w:rsidR="00665D4A" w:rsidRPr="002029AF" w:rsidRDefault="00665D4A" w:rsidP="00A92A21">
      <w:pPr>
        <w:pStyle w:val="Heading3"/>
      </w:pPr>
      <w:r w:rsidRPr="002029AF">
        <w:lastRenderedPageBreak/>
        <w:t>Statement</w:t>
      </w:r>
      <w:r w:rsidR="000A5329" w:rsidRPr="002029AF">
        <w:t xml:space="preserve"> </w:t>
      </w:r>
      <w:r w:rsidRPr="002029AF">
        <w:t>of</w:t>
      </w:r>
      <w:r w:rsidR="000A5329" w:rsidRPr="002029AF">
        <w:t xml:space="preserve"> </w:t>
      </w:r>
      <w:r w:rsidRPr="002029AF">
        <w:t>changes</w:t>
      </w:r>
      <w:r w:rsidR="000A5329" w:rsidRPr="002029AF">
        <w:t xml:space="preserve"> </w:t>
      </w:r>
      <w:r w:rsidRPr="002029AF">
        <w:t>in</w:t>
      </w:r>
      <w:r w:rsidR="000A5329" w:rsidRPr="002029AF">
        <w:t xml:space="preserve"> </w:t>
      </w:r>
      <w:r w:rsidRPr="002029AF">
        <w:t>equity</w:t>
      </w:r>
      <w:r w:rsidR="000A5329" w:rsidRPr="002029AF">
        <w:t xml:space="preserve"> </w:t>
      </w:r>
      <w:r w:rsidRPr="002029AF">
        <w:t>for</w:t>
      </w:r>
      <w:r w:rsidR="000A5329" w:rsidRPr="002029AF">
        <w:t xml:space="preserve"> </w:t>
      </w:r>
      <w:r w:rsidRPr="002029AF">
        <w:t>the</w:t>
      </w:r>
      <w:r w:rsidR="000A5329" w:rsidRPr="002029AF">
        <w:t xml:space="preserve"> </w:t>
      </w:r>
      <w:r w:rsidRPr="002029AF">
        <w:t>financial</w:t>
      </w:r>
      <w:r w:rsidR="000A5329" w:rsidRPr="002029AF">
        <w:t xml:space="preserve"> </w:t>
      </w:r>
      <w:r w:rsidRPr="002029AF">
        <w:t>year</w:t>
      </w:r>
      <w:r w:rsidR="000A5329" w:rsidRPr="002029AF">
        <w:t xml:space="preserve"> </w:t>
      </w:r>
      <w:r w:rsidRPr="002029AF">
        <w:t>ended</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p>
    <w:tbl>
      <w:tblPr>
        <w:tblStyle w:val="TableGrid"/>
        <w:tblW w:w="9639" w:type="dxa"/>
        <w:tblLook w:val="06A0" w:firstRow="1" w:lastRow="0" w:firstColumn="1" w:lastColumn="0" w:noHBand="1" w:noVBand="1"/>
      </w:tblPr>
      <w:tblGrid>
        <w:gridCol w:w="5898"/>
        <w:gridCol w:w="1247"/>
        <w:gridCol w:w="1247"/>
        <w:gridCol w:w="1247"/>
      </w:tblGrid>
      <w:tr w:rsidR="003E0147" w:rsidRPr="002029AF" w14:paraId="0FBDD587"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5897" w:type="dxa"/>
            <w:tcBorders>
              <w:bottom w:val="single" w:sz="4" w:space="0" w:color="auto"/>
            </w:tcBorders>
            <w:hideMark/>
          </w:tcPr>
          <w:p w14:paraId="4C1086C7" w14:textId="77777777" w:rsidR="003E0147" w:rsidRPr="002029AF" w:rsidRDefault="003E0147" w:rsidP="003E0147">
            <w:pPr>
              <w:pStyle w:val="ARtablecolhead"/>
              <w:rPr>
                <w:lang w:eastAsia="en-GB"/>
              </w:rPr>
            </w:pPr>
          </w:p>
        </w:tc>
        <w:tc>
          <w:tcPr>
            <w:tcW w:w="1247" w:type="dxa"/>
            <w:tcBorders>
              <w:bottom w:val="single" w:sz="4" w:space="0" w:color="auto"/>
            </w:tcBorders>
            <w:hideMark/>
          </w:tcPr>
          <w:p w14:paraId="310F63E0" w14:textId="77777777" w:rsidR="003E0147" w:rsidRPr="002029AF" w:rsidRDefault="003E0147" w:rsidP="003E0147">
            <w:pPr>
              <w:pStyle w:val="ARfintablecolheadright"/>
            </w:pPr>
            <w:r w:rsidRPr="002029AF">
              <w:t>2019–20</w:t>
            </w:r>
          </w:p>
          <w:p w14:paraId="36774B36" w14:textId="77777777" w:rsidR="003E0147" w:rsidRPr="002029AF" w:rsidRDefault="003E0147" w:rsidP="003E0147">
            <w:pPr>
              <w:pStyle w:val="ARfintablecolheadright"/>
            </w:pPr>
            <w:r w:rsidRPr="002029AF">
              <w:t>Actual</w:t>
            </w:r>
          </w:p>
          <w:p w14:paraId="198D315C" w14:textId="77777777" w:rsidR="003E0147" w:rsidRPr="002029AF" w:rsidRDefault="003E0147" w:rsidP="003E0147">
            <w:pPr>
              <w:pStyle w:val="ARfintablecolheadright"/>
            </w:pPr>
            <w:r w:rsidRPr="002029AF">
              <w:t>$M</w:t>
            </w:r>
          </w:p>
        </w:tc>
        <w:tc>
          <w:tcPr>
            <w:tcW w:w="1247" w:type="dxa"/>
            <w:tcBorders>
              <w:bottom w:val="single" w:sz="4" w:space="0" w:color="auto"/>
            </w:tcBorders>
            <w:hideMark/>
          </w:tcPr>
          <w:p w14:paraId="58AB489F" w14:textId="77777777" w:rsidR="003E0147" w:rsidRPr="002029AF" w:rsidRDefault="003E0147" w:rsidP="003E0147">
            <w:pPr>
              <w:pStyle w:val="ARfintablecolheadright"/>
            </w:pPr>
            <w:r w:rsidRPr="002029AF">
              <w:t>2019–20</w:t>
            </w:r>
          </w:p>
          <w:p w14:paraId="3E0DF06D" w14:textId="2B024463" w:rsidR="003E0147" w:rsidRPr="002029AF" w:rsidRDefault="003E0147" w:rsidP="003E0147">
            <w:pPr>
              <w:pStyle w:val="ARfintablecolheadright"/>
            </w:pPr>
            <w:r w:rsidRPr="002029AF">
              <w:t>Published</w:t>
            </w:r>
            <w:r w:rsidR="000A5329" w:rsidRPr="002029AF">
              <w:t xml:space="preserve"> </w:t>
            </w:r>
            <w:r w:rsidRPr="002029AF">
              <w:t>budget</w:t>
            </w:r>
          </w:p>
          <w:p w14:paraId="37CD5852" w14:textId="77777777" w:rsidR="003E0147" w:rsidRPr="002029AF" w:rsidRDefault="003E0147" w:rsidP="003E0147">
            <w:pPr>
              <w:pStyle w:val="ARfintablecolheadright"/>
            </w:pPr>
            <w:r w:rsidRPr="002029AF">
              <w:t>$M</w:t>
            </w:r>
          </w:p>
        </w:tc>
        <w:tc>
          <w:tcPr>
            <w:tcW w:w="1247" w:type="dxa"/>
            <w:tcBorders>
              <w:bottom w:val="single" w:sz="4" w:space="0" w:color="auto"/>
            </w:tcBorders>
            <w:noWrap/>
            <w:hideMark/>
          </w:tcPr>
          <w:p w14:paraId="5BC209A5" w14:textId="6CFDCC74" w:rsidR="003E0147" w:rsidRPr="002029AF" w:rsidRDefault="003E0147" w:rsidP="003E0147">
            <w:pPr>
              <w:pStyle w:val="ARfintablecolheadright"/>
            </w:pPr>
            <w:r w:rsidRPr="002029AF">
              <w:t>Variation</w:t>
            </w:r>
            <w:r w:rsidR="000A5329" w:rsidRPr="002029AF">
              <w:t xml:space="preserve"> </w:t>
            </w:r>
            <w:r w:rsidRPr="002029AF">
              <w:t>to</w:t>
            </w:r>
            <w:r w:rsidR="000A5329" w:rsidRPr="002029AF">
              <w:t xml:space="preserve"> </w:t>
            </w:r>
            <w:r w:rsidRPr="002029AF">
              <w:t>published</w:t>
            </w:r>
            <w:r w:rsidR="000A5329" w:rsidRPr="002029AF">
              <w:t xml:space="preserve"> </w:t>
            </w:r>
            <w:r w:rsidRPr="002029AF">
              <w:t>budget</w:t>
            </w:r>
          </w:p>
          <w:p w14:paraId="3DF8E033" w14:textId="77777777" w:rsidR="003E0147" w:rsidRPr="002029AF" w:rsidRDefault="003E0147" w:rsidP="003E0147">
            <w:pPr>
              <w:pStyle w:val="ARfintablecolheadright"/>
            </w:pPr>
            <w:r w:rsidRPr="002029AF">
              <w:t>%</w:t>
            </w:r>
          </w:p>
        </w:tc>
      </w:tr>
      <w:tr w:rsidR="003E0147" w:rsidRPr="002029AF" w14:paraId="03E8CF49" w14:textId="77777777" w:rsidTr="00DB53E6">
        <w:tc>
          <w:tcPr>
            <w:tcW w:w="5897" w:type="dxa"/>
            <w:tcBorders>
              <w:top w:val="single" w:sz="4" w:space="0" w:color="auto"/>
              <w:bottom w:val="single" w:sz="4" w:space="0" w:color="A6A6A6"/>
            </w:tcBorders>
            <w:hideMark/>
          </w:tcPr>
          <w:p w14:paraId="00B55D16" w14:textId="1BDEE6C2" w:rsidR="003E0147" w:rsidRPr="002029AF" w:rsidRDefault="003E0147" w:rsidP="00D21185">
            <w:pPr>
              <w:pStyle w:val="ARfintablebody"/>
            </w:pPr>
            <w:r w:rsidRPr="002029AF">
              <w:t>Accumulated</w:t>
            </w:r>
            <w:r w:rsidR="000A5329" w:rsidRPr="002029AF">
              <w:t xml:space="preserve"> </w:t>
            </w:r>
            <w:r w:rsidRPr="002029AF">
              <w:t>funds</w:t>
            </w:r>
          </w:p>
        </w:tc>
        <w:tc>
          <w:tcPr>
            <w:tcW w:w="1247" w:type="dxa"/>
            <w:tcBorders>
              <w:top w:val="single" w:sz="4" w:space="0" w:color="auto"/>
              <w:bottom w:val="single" w:sz="4" w:space="0" w:color="A6A6A6"/>
            </w:tcBorders>
            <w:hideMark/>
          </w:tcPr>
          <w:p w14:paraId="48C0BB94" w14:textId="77777777" w:rsidR="003E0147" w:rsidRPr="002029AF" w:rsidRDefault="003E0147" w:rsidP="00D21185">
            <w:pPr>
              <w:pStyle w:val="ARfintablebodyright"/>
            </w:pPr>
            <w:r w:rsidRPr="002029AF">
              <w:t>1,933</w:t>
            </w:r>
          </w:p>
        </w:tc>
        <w:tc>
          <w:tcPr>
            <w:tcW w:w="1247" w:type="dxa"/>
            <w:tcBorders>
              <w:top w:val="single" w:sz="4" w:space="0" w:color="auto"/>
              <w:bottom w:val="single" w:sz="4" w:space="0" w:color="A6A6A6"/>
            </w:tcBorders>
            <w:hideMark/>
          </w:tcPr>
          <w:p w14:paraId="24E90B83" w14:textId="77777777" w:rsidR="003E0147" w:rsidRPr="002029AF" w:rsidRDefault="003E0147" w:rsidP="00D21185">
            <w:pPr>
              <w:pStyle w:val="ARfintablebodyright"/>
            </w:pPr>
            <w:r w:rsidRPr="002029AF">
              <w:t>1,983</w:t>
            </w:r>
          </w:p>
        </w:tc>
        <w:tc>
          <w:tcPr>
            <w:tcW w:w="1247" w:type="dxa"/>
            <w:tcBorders>
              <w:top w:val="single" w:sz="4" w:space="0" w:color="auto"/>
              <w:bottom w:val="single" w:sz="4" w:space="0" w:color="A6A6A6"/>
            </w:tcBorders>
            <w:hideMark/>
          </w:tcPr>
          <w:p w14:paraId="1B6B715D" w14:textId="77777777" w:rsidR="003E0147" w:rsidRPr="002029AF" w:rsidRDefault="003E0147" w:rsidP="00D21185">
            <w:pPr>
              <w:pStyle w:val="ARfintablebodyright"/>
            </w:pPr>
            <w:r w:rsidRPr="002029AF">
              <w:t>(2.5)</w:t>
            </w:r>
          </w:p>
        </w:tc>
      </w:tr>
      <w:tr w:rsidR="003E0147" w:rsidRPr="002029AF" w14:paraId="43228A60" w14:textId="77777777" w:rsidTr="00DB53E6">
        <w:tc>
          <w:tcPr>
            <w:tcW w:w="5897" w:type="dxa"/>
            <w:tcBorders>
              <w:top w:val="single" w:sz="4" w:space="0" w:color="A6A6A6"/>
              <w:bottom w:val="single" w:sz="4" w:space="0" w:color="A6A6A6"/>
            </w:tcBorders>
            <w:hideMark/>
          </w:tcPr>
          <w:p w14:paraId="1564D679" w14:textId="6E30BC7F" w:rsidR="003E0147" w:rsidRPr="002029AF" w:rsidRDefault="003E0147" w:rsidP="00D21185">
            <w:pPr>
              <w:pStyle w:val="ARfintablebody"/>
            </w:pPr>
            <w:r w:rsidRPr="002029AF">
              <w:t>Adjustment</w:t>
            </w:r>
            <w:r w:rsidR="000A5329" w:rsidRPr="002029AF">
              <w:t xml:space="preserve"> </w:t>
            </w:r>
            <w:r w:rsidRPr="002029AF">
              <w:t>due</w:t>
            </w:r>
            <w:r w:rsidR="000A5329" w:rsidRPr="002029AF">
              <w:t xml:space="preserve"> </w:t>
            </w:r>
            <w:r w:rsidRPr="002029AF">
              <w:t>to</w:t>
            </w:r>
            <w:r w:rsidR="000A5329" w:rsidRPr="002029AF">
              <w:t xml:space="preserve"> </w:t>
            </w:r>
            <w:r w:rsidRPr="002029AF">
              <w:t>change</w:t>
            </w:r>
            <w:r w:rsidR="000A5329" w:rsidRPr="002029AF">
              <w:t xml:space="preserve"> </w:t>
            </w:r>
            <w:r w:rsidRPr="002029AF">
              <w:t>in</w:t>
            </w:r>
            <w:r w:rsidR="000A5329" w:rsidRPr="002029AF">
              <w:t xml:space="preserve"> </w:t>
            </w:r>
            <w:r w:rsidRPr="002029AF">
              <w:t>accounting</w:t>
            </w:r>
            <w:r w:rsidR="000A5329" w:rsidRPr="002029AF">
              <w:t xml:space="preserve"> </w:t>
            </w:r>
            <w:r w:rsidRPr="002029AF">
              <w:t>policy</w:t>
            </w:r>
          </w:p>
        </w:tc>
        <w:tc>
          <w:tcPr>
            <w:tcW w:w="1247" w:type="dxa"/>
            <w:tcBorders>
              <w:top w:val="single" w:sz="4" w:space="0" w:color="A6A6A6"/>
              <w:bottom w:val="single" w:sz="4" w:space="0" w:color="A6A6A6"/>
            </w:tcBorders>
            <w:hideMark/>
          </w:tcPr>
          <w:p w14:paraId="5884A736" w14:textId="77777777" w:rsidR="003E0147" w:rsidRPr="002029AF" w:rsidRDefault="003E0147" w:rsidP="00D21185">
            <w:pPr>
              <w:pStyle w:val="ARfintablebodyright"/>
            </w:pPr>
            <w:r w:rsidRPr="002029AF">
              <w:t>(1)</w:t>
            </w:r>
          </w:p>
        </w:tc>
        <w:tc>
          <w:tcPr>
            <w:tcW w:w="1247" w:type="dxa"/>
            <w:tcBorders>
              <w:top w:val="single" w:sz="4" w:space="0" w:color="A6A6A6"/>
              <w:bottom w:val="single" w:sz="4" w:space="0" w:color="A6A6A6"/>
            </w:tcBorders>
            <w:hideMark/>
          </w:tcPr>
          <w:p w14:paraId="740FB8DA" w14:textId="77777777" w:rsidR="003E0147" w:rsidRPr="002029AF" w:rsidRDefault="003E0147" w:rsidP="00D21185">
            <w:pPr>
              <w:pStyle w:val="ARfintablebodyright"/>
            </w:pPr>
            <w:r w:rsidRPr="002029AF">
              <w:t>–</w:t>
            </w:r>
          </w:p>
        </w:tc>
        <w:tc>
          <w:tcPr>
            <w:tcW w:w="1247" w:type="dxa"/>
            <w:tcBorders>
              <w:top w:val="single" w:sz="4" w:space="0" w:color="A6A6A6"/>
              <w:bottom w:val="single" w:sz="4" w:space="0" w:color="A6A6A6"/>
            </w:tcBorders>
            <w:hideMark/>
          </w:tcPr>
          <w:p w14:paraId="1A33752A" w14:textId="77777777" w:rsidR="003E0147" w:rsidRPr="002029AF" w:rsidRDefault="003E0147" w:rsidP="00D21185">
            <w:pPr>
              <w:pStyle w:val="ARfintablebodyright"/>
            </w:pPr>
            <w:r w:rsidRPr="002029AF">
              <w:t>–</w:t>
            </w:r>
          </w:p>
        </w:tc>
      </w:tr>
      <w:tr w:rsidR="003E0147" w:rsidRPr="002029AF" w14:paraId="109B62C5" w14:textId="77777777" w:rsidTr="00DB53E6">
        <w:tc>
          <w:tcPr>
            <w:tcW w:w="5897" w:type="dxa"/>
            <w:tcBorders>
              <w:top w:val="single" w:sz="4" w:space="0" w:color="A6A6A6"/>
              <w:bottom w:val="single" w:sz="4" w:space="0" w:color="A6A6A6"/>
            </w:tcBorders>
            <w:hideMark/>
          </w:tcPr>
          <w:p w14:paraId="1F234E9B" w14:textId="2F2E1017" w:rsidR="003E0147" w:rsidRPr="002029AF" w:rsidRDefault="003E0147" w:rsidP="00D21185">
            <w:pPr>
              <w:pStyle w:val="ARfintablebody"/>
            </w:pPr>
            <w:r w:rsidRPr="002029AF">
              <w:t>Transactions</w:t>
            </w:r>
            <w:r w:rsidR="000A5329" w:rsidRPr="002029AF">
              <w:t xml:space="preserve"> </w:t>
            </w:r>
            <w:r w:rsidRPr="002029AF">
              <w:t>with</w:t>
            </w:r>
            <w:r w:rsidR="000A5329" w:rsidRPr="002029AF">
              <w:t xml:space="preserve"> </w:t>
            </w:r>
            <w:r w:rsidRPr="002029AF">
              <w:t>owners</w:t>
            </w:r>
            <w:r w:rsidR="000A5329" w:rsidRPr="002029AF">
              <w:t xml:space="preserve"> </w:t>
            </w:r>
            <w:r w:rsidRPr="002029AF">
              <w:t>in</w:t>
            </w:r>
            <w:r w:rsidR="000A5329" w:rsidRPr="002029AF">
              <w:t xml:space="preserve"> </w:t>
            </w:r>
            <w:r w:rsidRPr="002029AF">
              <w:t>their</w:t>
            </w:r>
            <w:r w:rsidR="000A5329" w:rsidRPr="002029AF">
              <w:t xml:space="preserve"> </w:t>
            </w:r>
            <w:r w:rsidRPr="002029AF">
              <w:t>capacity</w:t>
            </w:r>
            <w:r w:rsidR="000A5329" w:rsidRPr="002029AF">
              <w:t xml:space="preserve"> </w:t>
            </w:r>
            <w:r w:rsidRPr="002029AF">
              <w:t>as</w:t>
            </w:r>
            <w:r w:rsidR="000A5329" w:rsidRPr="002029AF">
              <w:t xml:space="preserve"> </w:t>
            </w:r>
            <w:r w:rsidRPr="002029AF">
              <w:t>owners</w:t>
            </w:r>
          </w:p>
        </w:tc>
        <w:tc>
          <w:tcPr>
            <w:tcW w:w="1247" w:type="dxa"/>
            <w:tcBorders>
              <w:top w:val="single" w:sz="4" w:space="0" w:color="A6A6A6"/>
              <w:bottom w:val="single" w:sz="4" w:space="0" w:color="A6A6A6"/>
            </w:tcBorders>
            <w:hideMark/>
          </w:tcPr>
          <w:p w14:paraId="288B5FF6" w14:textId="77777777" w:rsidR="003E0147" w:rsidRPr="002029AF" w:rsidRDefault="003E0147" w:rsidP="00D21185">
            <w:pPr>
              <w:pStyle w:val="ARfintablebodyright"/>
            </w:pPr>
            <w:r w:rsidRPr="002029AF">
              <w:t>–</w:t>
            </w:r>
          </w:p>
        </w:tc>
        <w:tc>
          <w:tcPr>
            <w:tcW w:w="1247" w:type="dxa"/>
            <w:tcBorders>
              <w:top w:val="single" w:sz="4" w:space="0" w:color="A6A6A6"/>
              <w:bottom w:val="single" w:sz="4" w:space="0" w:color="A6A6A6"/>
            </w:tcBorders>
            <w:hideMark/>
          </w:tcPr>
          <w:p w14:paraId="05ED1712" w14:textId="77777777" w:rsidR="003E0147" w:rsidRPr="002029AF" w:rsidRDefault="003E0147" w:rsidP="00D21185">
            <w:pPr>
              <w:pStyle w:val="ARfintablebodyright"/>
            </w:pPr>
            <w:r w:rsidRPr="002029AF">
              <w:t>(2)</w:t>
            </w:r>
          </w:p>
        </w:tc>
        <w:tc>
          <w:tcPr>
            <w:tcW w:w="1247" w:type="dxa"/>
            <w:tcBorders>
              <w:top w:val="single" w:sz="4" w:space="0" w:color="A6A6A6"/>
              <w:bottom w:val="single" w:sz="4" w:space="0" w:color="A6A6A6"/>
            </w:tcBorders>
            <w:hideMark/>
          </w:tcPr>
          <w:p w14:paraId="739AB194" w14:textId="77777777" w:rsidR="003E0147" w:rsidRPr="002029AF" w:rsidRDefault="003E0147" w:rsidP="00D21185">
            <w:pPr>
              <w:pStyle w:val="ARfintablebodyright"/>
            </w:pPr>
            <w:r w:rsidRPr="002029AF">
              <w:t>–</w:t>
            </w:r>
          </w:p>
        </w:tc>
      </w:tr>
      <w:tr w:rsidR="003E0147" w:rsidRPr="002029AF" w14:paraId="1F2481D2" w14:textId="77777777" w:rsidTr="00DB53E6">
        <w:tc>
          <w:tcPr>
            <w:tcW w:w="5897" w:type="dxa"/>
            <w:tcBorders>
              <w:top w:val="single" w:sz="4" w:space="0" w:color="A6A6A6"/>
            </w:tcBorders>
            <w:hideMark/>
          </w:tcPr>
          <w:p w14:paraId="3428D78A" w14:textId="57E3A01A" w:rsidR="003E0147" w:rsidRPr="002029AF" w:rsidRDefault="003E0147" w:rsidP="00D21185">
            <w:pPr>
              <w:pStyle w:val="ARfintablebody"/>
            </w:pPr>
            <w:r w:rsidRPr="002029AF">
              <w:t>Comprehensive</w:t>
            </w:r>
            <w:r w:rsidR="000A5329" w:rsidRPr="002029AF">
              <w:t xml:space="preserve"> </w:t>
            </w:r>
            <w:r w:rsidRPr="002029AF">
              <w:t>result</w:t>
            </w:r>
          </w:p>
        </w:tc>
        <w:tc>
          <w:tcPr>
            <w:tcW w:w="1247" w:type="dxa"/>
            <w:tcBorders>
              <w:top w:val="single" w:sz="4" w:space="0" w:color="A6A6A6"/>
            </w:tcBorders>
            <w:hideMark/>
          </w:tcPr>
          <w:p w14:paraId="1DE196E9" w14:textId="77777777" w:rsidR="003E0147" w:rsidRPr="002029AF" w:rsidRDefault="003E0147" w:rsidP="00D21185">
            <w:pPr>
              <w:pStyle w:val="ARfintablebodyright"/>
            </w:pPr>
            <w:r w:rsidRPr="002029AF">
              <w:t>613</w:t>
            </w:r>
          </w:p>
        </w:tc>
        <w:tc>
          <w:tcPr>
            <w:tcW w:w="1247" w:type="dxa"/>
            <w:tcBorders>
              <w:top w:val="single" w:sz="4" w:space="0" w:color="A6A6A6"/>
            </w:tcBorders>
            <w:hideMark/>
          </w:tcPr>
          <w:p w14:paraId="726730F3" w14:textId="77777777" w:rsidR="003E0147" w:rsidRPr="002029AF" w:rsidRDefault="003E0147" w:rsidP="00D21185">
            <w:pPr>
              <w:pStyle w:val="ARfintablebodyright"/>
            </w:pPr>
            <w:r w:rsidRPr="002029AF">
              <w:t>180</w:t>
            </w:r>
          </w:p>
        </w:tc>
        <w:tc>
          <w:tcPr>
            <w:tcW w:w="1247" w:type="dxa"/>
            <w:tcBorders>
              <w:top w:val="single" w:sz="4" w:space="0" w:color="A6A6A6"/>
            </w:tcBorders>
            <w:hideMark/>
          </w:tcPr>
          <w:p w14:paraId="7BCDBEFA" w14:textId="77777777" w:rsidR="003E0147" w:rsidRPr="002029AF" w:rsidRDefault="003E0147" w:rsidP="00D21185">
            <w:pPr>
              <w:pStyle w:val="ARfintablebodyright"/>
            </w:pPr>
            <w:r w:rsidRPr="002029AF">
              <w:t>240.5</w:t>
            </w:r>
          </w:p>
        </w:tc>
      </w:tr>
      <w:tr w:rsidR="003E0147" w:rsidRPr="002029AF" w14:paraId="1E39ACF1" w14:textId="77777777" w:rsidTr="00DB53E6">
        <w:tc>
          <w:tcPr>
            <w:tcW w:w="5897" w:type="dxa"/>
            <w:tcBorders>
              <w:bottom w:val="single" w:sz="4" w:space="0" w:color="auto"/>
            </w:tcBorders>
            <w:hideMark/>
          </w:tcPr>
          <w:p w14:paraId="569518A6" w14:textId="5E7081E2" w:rsidR="003E0147" w:rsidRPr="002029AF" w:rsidRDefault="003E0147" w:rsidP="00D21185">
            <w:pPr>
              <w:pStyle w:val="ARfintablebodybold"/>
            </w:pPr>
            <w:r w:rsidRPr="002029AF">
              <w:t>Accumulated</w:t>
            </w:r>
            <w:r w:rsidR="000A5329" w:rsidRPr="002029AF">
              <w:t xml:space="preserve"> </w:t>
            </w:r>
            <w:r w:rsidRPr="002029AF">
              <w:t>surplus/(deficit)</w:t>
            </w:r>
          </w:p>
        </w:tc>
        <w:tc>
          <w:tcPr>
            <w:tcW w:w="1247" w:type="dxa"/>
            <w:tcBorders>
              <w:bottom w:val="single" w:sz="4" w:space="0" w:color="auto"/>
            </w:tcBorders>
            <w:hideMark/>
          </w:tcPr>
          <w:p w14:paraId="30DF7D76" w14:textId="77777777" w:rsidR="003E0147" w:rsidRPr="002029AF" w:rsidRDefault="003E0147" w:rsidP="00D21185">
            <w:pPr>
              <w:pStyle w:val="ARfintablebodyrightbold"/>
            </w:pPr>
            <w:r w:rsidRPr="002029AF">
              <w:t>2,544</w:t>
            </w:r>
          </w:p>
        </w:tc>
        <w:tc>
          <w:tcPr>
            <w:tcW w:w="1247" w:type="dxa"/>
            <w:tcBorders>
              <w:bottom w:val="single" w:sz="4" w:space="0" w:color="auto"/>
            </w:tcBorders>
            <w:hideMark/>
          </w:tcPr>
          <w:p w14:paraId="08DCD397" w14:textId="77777777" w:rsidR="003E0147" w:rsidRPr="002029AF" w:rsidRDefault="003E0147" w:rsidP="00D21185">
            <w:pPr>
              <w:pStyle w:val="ARfintablebodyrightbold"/>
            </w:pPr>
            <w:r w:rsidRPr="002029AF">
              <w:t>2,161</w:t>
            </w:r>
          </w:p>
        </w:tc>
        <w:tc>
          <w:tcPr>
            <w:tcW w:w="1247" w:type="dxa"/>
            <w:tcBorders>
              <w:bottom w:val="single" w:sz="4" w:space="0" w:color="auto"/>
            </w:tcBorders>
            <w:hideMark/>
          </w:tcPr>
          <w:p w14:paraId="1AADF26B" w14:textId="77777777" w:rsidR="003E0147" w:rsidRPr="002029AF" w:rsidRDefault="003E0147" w:rsidP="00D21185">
            <w:pPr>
              <w:pStyle w:val="ARfintablebodyrightbold"/>
            </w:pPr>
            <w:r w:rsidRPr="002029AF">
              <w:t>17.7</w:t>
            </w:r>
          </w:p>
        </w:tc>
      </w:tr>
      <w:tr w:rsidR="003E0147" w:rsidRPr="002029AF" w14:paraId="3B89512B" w14:textId="77777777" w:rsidTr="00DB53E6">
        <w:tc>
          <w:tcPr>
            <w:tcW w:w="5897" w:type="dxa"/>
            <w:tcBorders>
              <w:top w:val="single" w:sz="4" w:space="0" w:color="auto"/>
              <w:bottom w:val="single" w:sz="4" w:space="0" w:color="A6A6A6"/>
            </w:tcBorders>
            <w:hideMark/>
          </w:tcPr>
          <w:p w14:paraId="25AC6AA0" w14:textId="13B66D68" w:rsidR="003E0147" w:rsidRPr="002029AF" w:rsidRDefault="003E0147" w:rsidP="00D21185">
            <w:pPr>
              <w:pStyle w:val="ARfintablebody"/>
            </w:pPr>
            <w:r w:rsidRPr="002029AF">
              <w:t>Net</w:t>
            </w:r>
            <w:r w:rsidR="000A5329" w:rsidRPr="002029AF">
              <w:t xml:space="preserve"> </w:t>
            </w:r>
            <w:r w:rsidRPr="002029AF">
              <w:t>contributions</w:t>
            </w:r>
            <w:r w:rsidR="000A5329" w:rsidRPr="002029AF">
              <w:t xml:space="preserve"> </w:t>
            </w:r>
            <w:r w:rsidRPr="002029AF">
              <w:t>by</w:t>
            </w:r>
            <w:r w:rsidR="000A5329" w:rsidRPr="002029AF">
              <w:t xml:space="preserve"> </w:t>
            </w:r>
            <w:r w:rsidRPr="002029AF">
              <w:t>owners</w:t>
            </w:r>
          </w:p>
        </w:tc>
        <w:tc>
          <w:tcPr>
            <w:tcW w:w="1247" w:type="dxa"/>
            <w:tcBorders>
              <w:top w:val="single" w:sz="4" w:space="0" w:color="auto"/>
              <w:bottom w:val="single" w:sz="4" w:space="0" w:color="A6A6A6"/>
            </w:tcBorders>
            <w:hideMark/>
          </w:tcPr>
          <w:p w14:paraId="62834421" w14:textId="77777777" w:rsidR="003E0147" w:rsidRPr="002029AF" w:rsidRDefault="003E0147" w:rsidP="00D21185">
            <w:pPr>
              <w:pStyle w:val="ARfintablebodyright"/>
            </w:pPr>
            <w:r w:rsidRPr="002029AF">
              <w:t>6,052</w:t>
            </w:r>
          </w:p>
        </w:tc>
        <w:tc>
          <w:tcPr>
            <w:tcW w:w="1247" w:type="dxa"/>
            <w:tcBorders>
              <w:top w:val="single" w:sz="4" w:space="0" w:color="auto"/>
              <w:bottom w:val="single" w:sz="4" w:space="0" w:color="A6A6A6"/>
            </w:tcBorders>
            <w:hideMark/>
          </w:tcPr>
          <w:p w14:paraId="60D9952E" w14:textId="77777777" w:rsidR="003E0147" w:rsidRPr="002029AF" w:rsidRDefault="003E0147" w:rsidP="00D21185">
            <w:pPr>
              <w:pStyle w:val="ARfintablebodyright"/>
            </w:pPr>
            <w:r w:rsidRPr="002029AF">
              <w:t>6,049</w:t>
            </w:r>
          </w:p>
        </w:tc>
        <w:tc>
          <w:tcPr>
            <w:tcW w:w="1247" w:type="dxa"/>
            <w:tcBorders>
              <w:top w:val="single" w:sz="4" w:space="0" w:color="auto"/>
              <w:bottom w:val="single" w:sz="4" w:space="0" w:color="A6A6A6"/>
            </w:tcBorders>
            <w:hideMark/>
          </w:tcPr>
          <w:p w14:paraId="163CF4D5" w14:textId="1DA60D14" w:rsidR="003E0147" w:rsidRPr="002029AF" w:rsidRDefault="002F4F3A" w:rsidP="00D21185">
            <w:pPr>
              <w:pStyle w:val="ARfintablebodyright"/>
            </w:pPr>
            <w:r w:rsidRPr="002029AF">
              <w:t>–</w:t>
            </w:r>
          </w:p>
        </w:tc>
      </w:tr>
      <w:tr w:rsidR="003E0147" w:rsidRPr="002029AF" w14:paraId="58AD98E1" w14:textId="77777777" w:rsidTr="00DB53E6">
        <w:tc>
          <w:tcPr>
            <w:tcW w:w="5897" w:type="dxa"/>
            <w:tcBorders>
              <w:top w:val="single" w:sz="4" w:space="0" w:color="A6A6A6"/>
            </w:tcBorders>
            <w:hideMark/>
          </w:tcPr>
          <w:p w14:paraId="1DFBA488" w14:textId="554CD4CA" w:rsidR="003E0147" w:rsidRPr="002029AF" w:rsidRDefault="003E0147" w:rsidP="00D21185">
            <w:pPr>
              <w:pStyle w:val="ARfintablebody"/>
            </w:pPr>
            <w:r w:rsidRPr="002029AF">
              <w:t>Transactions</w:t>
            </w:r>
            <w:r w:rsidR="000A5329" w:rsidRPr="002029AF">
              <w:t xml:space="preserve"> </w:t>
            </w:r>
            <w:r w:rsidRPr="002029AF">
              <w:t>with</w:t>
            </w:r>
            <w:r w:rsidR="000A5329" w:rsidRPr="002029AF">
              <w:t xml:space="preserve"> </w:t>
            </w:r>
            <w:r w:rsidRPr="002029AF">
              <w:t>owners</w:t>
            </w:r>
            <w:r w:rsidR="000A5329" w:rsidRPr="002029AF">
              <w:t xml:space="preserve"> </w:t>
            </w:r>
            <w:r w:rsidRPr="002029AF">
              <w:t>in</w:t>
            </w:r>
            <w:r w:rsidR="000A5329" w:rsidRPr="002029AF">
              <w:t xml:space="preserve"> </w:t>
            </w:r>
            <w:r w:rsidRPr="002029AF">
              <w:t>their</w:t>
            </w:r>
            <w:r w:rsidR="000A5329" w:rsidRPr="002029AF">
              <w:t xml:space="preserve"> </w:t>
            </w:r>
            <w:r w:rsidRPr="002029AF">
              <w:t>capacity</w:t>
            </w:r>
            <w:r w:rsidR="000A5329" w:rsidRPr="002029AF">
              <w:t xml:space="preserve"> </w:t>
            </w:r>
            <w:r w:rsidRPr="002029AF">
              <w:t>as</w:t>
            </w:r>
            <w:r w:rsidR="000A5329" w:rsidRPr="002029AF">
              <w:t xml:space="preserve"> </w:t>
            </w:r>
            <w:r w:rsidRPr="002029AF">
              <w:t>owners</w:t>
            </w:r>
          </w:p>
        </w:tc>
        <w:tc>
          <w:tcPr>
            <w:tcW w:w="1247" w:type="dxa"/>
            <w:tcBorders>
              <w:top w:val="single" w:sz="4" w:space="0" w:color="A6A6A6"/>
            </w:tcBorders>
            <w:hideMark/>
          </w:tcPr>
          <w:p w14:paraId="59E3BAF0" w14:textId="77777777" w:rsidR="003E0147" w:rsidRPr="002029AF" w:rsidRDefault="003E0147" w:rsidP="00D21185">
            <w:pPr>
              <w:pStyle w:val="ARfintablebodyright"/>
            </w:pPr>
            <w:r w:rsidRPr="002029AF">
              <w:t>176</w:t>
            </w:r>
          </w:p>
        </w:tc>
        <w:tc>
          <w:tcPr>
            <w:tcW w:w="1247" w:type="dxa"/>
            <w:tcBorders>
              <w:top w:val="single" w:sz="4" w:space="0" w:color="A6A6A6"/>
            </w:tcBorders>
            <w:hideMark/>
          </w:tcPr>
          <w:p w14:paraId="1087789C" w14:textId="77777777" w:rsidR="003E0147" w:rsidRPr="002029AF" w:rsidRDefault="003E0147" w:rsidP="00D21185">
            <w:pPr>
              <w:pStyle w:val="ARfintablebodyright"/>
            </w:pPr>
            <w:r w:rsidRPr="002029AF">
              <w:t>181</w:t>
            </w:r>
          </w:p>
        </w:tc>
        <w:tc>
          <w:tcPr>
            <w:tcW w:w="1247" w:type="dxa"/>
            <w:tcBorders>
              <w:top w:val="single" w:sz="4" w:space="0" w:color="A6A6A6"/>
            </w:tcBorders>
            <w:hideMark/>
          </w:tcPr>
          <w:p w14:paraId="382AAFF8" w14:textId="77777777" w:rsidR="003E0147" w:rsidRPr="002029AF" w:rsidRDefault="003E0147" w:rsidP="00D21185">
            <w:pPr>
              <w:pStyle w:val="ARfintablebodyright"/>
            </w:pPr>
            <w:r w:rsidRPr="002029AF">
              <w:t>(100.0)</w:t>
            </w:r>
          </w:p>
        </w:tc>
      </w:tr>
      <w:tr w:rsidR="003E0147" w:rsidRPr="002029AF" w14:paraId="10BCFFD6" w14:textId="77777777" w:rsidTr="00DB53E6">
        <w:tc>
          <w:tcPr>
            <w:tcW w:w="5897" w:type="dxa"/>
            <w:tcBorders>
              <w:bottom w:val="single" w:sz="4" w:space="0" w:color="auto"/>
            </w:tcBorders>
            <w:hideMark/>
          </w:tcPr>
          <w:p w14:paraId="16CEDD23" w14:textId="745A6B0C" w:rsidR="003E0147" w:rsidRPr="002029AF" w:rsidRDefault="003E0147" w:rsidP="00D21185">
            <w:pPr>
              <w:pStyle w:val="ARfintablebodybold"/>
            </w:pPr>
            <w:r w:rsidRPr="002029AF">
              <w:t>Contributions</w:t>
            </w:r>
            <w:r w:rsidR="000A5329" w:rsidRPr="002029AF">
              <w:t xml:space="preserve"> </w:t>
            </w:r>
            <w:r w:rsidRPr="002029AF">
              <w:t>by</w:t>
            </w:r>
            <w:r w:rsidR="000A5329" w:rsidRPr="002029AF">
              <w:t xml:space="preserve"> </w:t>
            </w:r>
            <w:r w:rsidRPr="002029AF">
              <w:t>owners</w:t>
            </w:r>
          </w:p>
        </w:tc>
        <w:tc>
          <w:tcPr>
            <w:tcW w:w="1247" w:type="dxa"/>
            <w:tcBorders>
              <w:bottom w:val="single" w:sz="4" w:space="0" w:color="auto"/>
            </w:tcBorders>
            <w:hideMark/>
          </w:tcPr>
          <w:p w14:paraId="190642B0" w14:textId="77777777" w:rsidR="003E0147" w:rsidRPr="002029AF" w:rsidRDefault="003E0147" w:rsidP="00D21185">
            <w:pPr>
              <w:pStyle w:val="ARfintablebodyrightbold"/>
            </w:pPr>
            <w:r w:rsidRPr="002029AF">
              <w:t>6,227</w:t>
            </w:r>
          </w:p>
        </w:tc>
        <w:tc>
          <w:tcPr>
            <w:tcW w:w="1247" w:type="dxa"/>
            <w:tcBorders>
              <w:bottom w:val="single" w:sz="4" w:space="0" w:color="auto"/>
            </w:tcBorders>
            <w:hideMark/>
          </w:tcPr>
          <w:p w14:paraId="20390B8B" w14:textId="77777777" w:rsidR="003E0147" w:rsidRPr="002029AF" w:rsidRDefault="003E0147" w:rsidP="00D21185">
            <w:pPr>
              <w:pStyle w:val="ARfintablebodyrightbold"/>
            </w:pPr>
            <w:r w:rsidRPr="002029AF">
              <w:t>6,230</w:t>
            </w:r>
          </w:p>
        </w:tc>
        <w:tc>
          <w:tcPr>
            <w:tcW w:w="1247" w:type="dxa"/>
            <w:tcBorders>
              <w:bottom w:val="single" w:sz="4" w:space="0" w:color="auto"/>
            </w:tcBorders>
            <w:hideMark/>
          </w:tcPr>
          <w:p w14:paraId="477C906A" w14:textId="3A539FCE" w:rsidR="003E0147" w:rsidRPr="002029AF" w:rsidRDefault="002F4F3A" w:rsidP="00D21185">
            <w:pPr>
              <w:pStyle w:val="ARfintablebodyrightbold"/>
            </w:pPr>
            <w:r w:rsidRPr="002029AF">
              <w:t>–</w:t>
            </w:r>
          </w:p>
        </w:tc>
      </w:tr>
      <w:tr w:rsidR="003E0147" w:rsidRPr="002029AF" w14:paraId="743A1A05" w14:textId="77777777" w:rsidTr="00DB53E6">
        <w:tc>
          <w:tcPr>
            <w:tcW w:w="5897" w:type="dxa"/>
            <w:tcBorders>
              <w:top w:val="single" w:sz="4" w:space="0" w:color="auto"/>
              <w:bottom w:val="single" w:sz="4" w:space="0" w:color="A6A6A6"/>
            </w:tcBorders>
            <w:hideMark/>
          </w:tcPr>
          <w:p w14:paraId="3DAF799A" w14:textId="28753E47" w:rsidR="003E0147" w:rsidRPr="002029AF" w:rsidRDefault="003E0147" w:rsidP="00D21185">
            <w:pPr>
              <w:pStyle w:val="ARfintablebody"/>
            </w:pPr>
            <w:r w:rsidRPr="002029AF">
              <w:t>Physical</w:t>
            </w:r>
            <w:r w:rsidR="000A5329" w:rsidRPr="002029AF">
              <w:t xml:space="preserve"> </w:t>
            </w:r>
            <w:r w:rsidRPr="002029AF">
              <w:t>asset</w:t>
            </w:r>
            <w:r w:rsidR="000A5329" w:rsidRPr="002029AF">
              <w:t xml:space="preserve"> </w:t>
            </w:r>
            <w:r w:rsidRPr="002029AF">
              <w:t>revaluation</w:t>
            </w:r>
            <w:r w:rsidR="000A5329" w:rsidRPr="002029AF">
              <w:t xml:space="preserve"> </w:t>
            </w:r>
            <w:r w:rsidRPr="002029AF">
              <w:t>reserve</w:t>
            </w:r>
          </w:p>
        </w:tc>
        <w:tc>
          <w:tcPr>
            <w:tcW w:w="1247" w:type="dxa"/>
            <w:tcBorders>
              <w:top w:val="single" w:sz="4" w:space="0" w:color="auto"/>
              <w:bottom w:val="single" w:sz="4" w:space="0" w:color="A6A6A6"/>
            </w:tcBorders>
            <w:hideMark/>
          </w:tcPr>
          <w:p w14:paraId="0FD8E004" w14:textId="77777777" w:rsidR="003E0147" w:rsidRPr="002029AF" w:rsidRDefault="003E0147" w:rsidP="00D21185">
            <w:pPr>
              <w:pStyle w:val="ARfintablebodyright"/>
            </w:pPr>
            <w:r w:rsidRPr="002029AF">
              <w:t>9,962</w:t>
            </w:r>
          </w:p>
        </w:tc>
        <w:tc>
          <w:tcPr>
            <w:tcW w:w="1247" w:type="dxa"/>
            <w:tcBorders>
              <w:top w:val="single" w:sz="4" w:space="0" w:color="auto"/>
              <w:bottom w:val="single" w:sz="4" w:space="0" w:color="A6A6A6"/>
            </w:tcBorders>
            <w:hideMark/>
          </w:tcPr>
          <w:p w14:paraId="0E16AF7B" w14:textId="77777777" w:rsidR="003E0147" w:rsidRPr="002029AF" w:rsidRDefault="003E0147" w:rsidP="00D21185">
            <w:pPr>
              <w:pStyle w:val="ARfintablebodyright"/>
            </w:pPr>
            <w:r w:rsidRPr="002029AF">
              <w:t>6,925</w:t>
            </w:r>
          </w:p>
        </w:tc>
        <w:tc>
          <w:tcPr>
            <w:tcW w:w="1247" w:type="dxa"/>
            <w:tcBorders>
              <w:top w:val="single" w:sz="4" w:space="0" w:color="auto"/>
              <w:bottom w:val="single" w:sz="4" w:space="0" w:color="A6A6A6"/>
            </w:tcBorders>
            <w:hideMark/>
          </w:tcPr>
          <w:p w14:paraId="1756B3BD" w14:textId="77777777" w:rsidR="003E0147" w:rsidRPr="002029AF" w:rsidRDefault="003E0147" w:rsidP="00D21185">
            <w:pPr>
              <w:pStyle w:val="ARfintablebodyright"/>
            </w:pPr>
            <w:r w:rsidRPr="002029AF">
              <w:t>43.9</w:t>
            </w:r>
          </w:p>
        </w:tc>
      </w:tr>
      <w:tr w:rsidR="003E0147" w:rsidRPr="002029AF" w14:paraId="031DD09D" w14:textId="77777777" w:rsidTr="00DB53E6">
        <w:tc>
          <w:tcPr>
            <w:tcW w:w="5897" w:type="dxa"/>
            <w:tcBorders>
              <w:top w:val="single" w:sz="4" w:space="0" w:color="A6A6A6"/>
              <w:bottom w:val="single" w:sz="4" w:space="0" w:color="A6A6A6"/>
            </w:tcBorders>
            <w:hideMark/>
          </w:tcPr>
          <w:p w14:paraId="74053324" w14:textId="5702D802" w:rsidR="003E0147" w:rsidRPr="002029AF" w:rsidRDefault="003E0147" w:rsidP="00D21185">
            <w:pPr>
              <w:pStyle w:val="ARfintablebody"/>
            </w:pPr>
            <w:r w:rsidRPr="002029AF">
              <w:t>Transactions</w:t>
            </w:r>
            <w:r w:rsidR="000A5329" w:rsidRPr="002029AF">
              <w:t xml:space="preserve"> </w:t>
            </w:r>
            <w:r w:rsidRPr="002029AF">
              <w:t>with</w:t>
            </w:r>
            <w:r w:rsidR="000A5329" w:rsidRPr="002029AF">
              <w:t xml:space="preserve"> </w:t>
            </w:r>
            <w:r w:rsidRPr="002029AF">
              <w:t>owners</w:t>
            </w:r>
            <w:r w:rsidR="000A5329" w:rsidRPr="002029AF">
              <w:t xml:space="preserve"> </w:t>
            </w:r>
            <w:r w:rsidRPr="002029AF">
              <w:t>in</w:t>
            </w:r>
            <w:r w:rsidR="000A5329" w:rsidRPr="002029AF">
              <w:t xml:space="preserve"> </w:t>
            </w:r>
            <w:r w:rsidRPr="002029AF">
              <w:t>their</w:t>
            </w:r>
            <w:r w:rsidR="000A5329" w:rsidRPr="002029AF">
              <w:t xml:space="preserve"> </w:t>
            </w:r>
            <w:r w:rsidRPr="002029AF">
              <w:t>capacity</w:t>
            </w:r>
            <w:r w:rsidR="000A5329" w:rsidRPr="002029AF">
              <w:t xml:space="preserve"> </w:t>
            </w:r>
            <w:r w:rsidRPr="002029AF">
              <w:t>as</w:t>
            </w:r>
            <w:r w:rsidR="000A5329" w:rsidRPr="002029AF">
              <w:t xml:space="preserve"> </w:t>
            </w:r>
            <w:r w:rsidRPr="002029AF">
              <w:t>owners</w:t>
            </w:r>
          </w:p>
        </w:tc>
        <w:tc>
          <w:tcPr>
            <w:tcW w:w="1247" w:type="dxa"/>
            <w:tcBorders>
              <w:top w:val="single" w:sz="4" w:space="0" w:color="A6A6A6"/>
              <w:bottom w:val="single" w:sz="4" w:space="0" w:color="A6A6A6"/>
            </w:tcBorders>
            <w:hideMark/>
          </w:tcPr>
          <w:p w14:paraId="0687D9B4" w14:textId="77777777" w:rsidR="003E0147" w:rsidRPr="002029AF" w:rsidRDefault="003E0147" w:rsidP="00D21185">
            <w:pPr>
              <w:pStyle w:val="ARfintablebodyright"/>
            </w:pPr>
            <w:r w:rsidRPr="002029AF">
              <w:t>22</w:t>
            </w:r>
          </w:p>
        </w:tc>
        <w:tc>
          <w:tcPr>
            <w:tcW w:w="1247" w:type="dxa"/>
            <w:tcBorders>
              <w:top w:val="single" w:sz="4" w:space="0" w:color="A6A6A6"/>
              <w:bottom w:val="single" w:sz="4" w:space="0" w:color="A6A6A6"/>
            </w:tcBorders>
            <w:hideMark/>
          </w:tcPr>
          <w:p w14:paraId="24B777FA" w14:textId="77777777" w:rsidR="003E0147" w:rsidRPr="002029AF" w:rsidRDefault="003E0147" w:rsidP="00D21185">
            <w:pPr>
              <w:pStyle w:val="ARfintablebodyright"/>
            </w:pPr>
            <w:r w:rsidRPr="002029AF">
              <w:t>–</w:t>
            </w:r>
          </w:p>
        </w:tc>
        <w:tc>
          <w:tcPr>
            <w:tcW w:w="1247" w:type="dxa"/>
            <w:tcBorders>
              <w:top w:val="single" w:sz="4" w:space="0" w:color="A6A6A6"/>
              <w:bottom w:val="single" w:sz="4" w:space="0" w:color="A6A6A6"/>
            </w:tcBorders>
            <w:hideMark/>
          </w:tcPr>
          <w:p w14:paraId="2D828465" w14:textId="77777777" w:rsidR="003E0147" w:rsidRPr="002029AF" w:rsidRDefault="003E0147" w:rsidP="00D21185">
            <w:pPr>
              <w:pStyle w:val="ARfintablebodyright"/>
            </w:pPr>
            <w:r w:rsidRPr="002029AF">
              <w:t>–</w:t>
            </w:r>
          </w:p>
        </w:tc>
      </w:tr>
      <w:tr w:rsidR="003E0147" w:rsidRPr="002029AF" w14:paraId="05700926" w14:textId="77777777" w:rsidTr="00DB53E6">
        <w:tc>
          <w:tcPr>
            <w:tcW w:w="5897" w:type="dxa"/>
            <w:tcBorders>
              <w:top w:val="single" w:sz="4" w:space="0" w:color="A6A6A6"/>
            </w:tcBorders>
            <w:hideMark/>
          </w:tcPr>
          <w:p w14:paraId="29D8DA2C" w14:textId="774EFAAE" w:rsidR="003E0147" w:rsidRPr="002029AF" w:rsidRDefault="003E0147" w:rsidP="00D21185">
            <w:pPr>
              <w:pStyle w:val="ARfintablebody"/>
            </w:pPr>
            <w:r w:rsidRPr="002029AF">
              <w:t>Comprehensive</w:t>
            </w:r>
            <w:r w:rsidR="000A5329" w:rsidRPr="002029AF">
              <w:t xml:space="preserve"> </w:t>
            </w:r>
            <w:r w:rsidRPr="002029AF">
              <w:t>result</w:t>
            </w:r>
          </w:p>
        </w:tc>
        <w:tc>
          <w:tcPr>
            <w:tcW w:w="1247" w:type="dxa"/>
            <w:tcBorders>
              <w:top w:val="single" w:sz="4" w:space="0" w:color="A6A6A6"/>
            </w:tcBorders>
            <w:hideMark/>
          </w:tcPr>
          <w:p w14:paraId="7F369A3B" w14:textId="77777777" w:rsidR="003E0147" w:rsidRPr="002029AF" w:rsidRDefault="003E0147" w:rsidP="00D21185">
            <w:pPr>
              <w:pStyle w:val="ARfintablebodyright"/>
            </w:pPr>
            <w:r w:rsidRPr="002029AF">
              <w:t>–</w:t>
            </w:r>
          </w:p>
        </w:tc>
        <w:tc>
          <w:tcPr>
            <w:tcW w:w="1247" w:type="dxa"/>
            <w:tcBorders>
              <w:top w:val="single" w:sz="4" w:space="0" w:color="A6A6A6"/>
            </w:tcBorders>
            <w:hideMark/>
          </w:tcPr>
          <w:p w14:paraId="6CC7CEE1" w14:textId="77777777" w:rsidR="003E0147" w:rsidRPr="002029AF" w:rsidRDefault="003E0147" w:rsidP="00D21185">
            <w:pPr>
              <w:pStyle w:val="ARfintablebodyright"/>
            </w:pPr>
            <w:r w:rsidRPr="002029AF">
              <w:t>2</w:t>
            </w:r>
          </w:p>
        </w:tc>
        <w:tc>
          <w:tcPr>
            <w:tcW w:w="1247" w:type="dxa"/>
            <w:tcBorders>
              <w:top w:val="single" w:sz="4" w:space="0" w:color="A6A6A6"/>
            </w:tcBorders>
            <w:hideMark/>
          </w:tcPr>
          <w:p w14:paraId="48587AE9" w14:textId="77777777" w:rsidR="003E0147" w:rsidRPr="002029AF" w:rsidRDefault="003E0147" w:rsidP="00D21185">
            <w:pPr>
              <w:pStyle w:val="ARfintablebodyright"/>
            </w:pPr>
            <w:r w:rsidRPr="002029AF">
              <w:t>(100.0)</w:t>
            </w:r>
          </w:p>
        </w:tc>
      </w:tr>
      <w:tr w:rsidR="003E0147" w:rsidRPr="002029AF" w14:paraId="23D15075" w14:textId="77777777" w:rsidTr="00DB53E6">
        <w:tc>
          <w:tcPr>
            <w:tcW w:w="5897" w:type="dxa"/>
            <w:tcBorders>
              <w:bottom w:val="single" w:sz="4" w:space="0" w:color="auto"/>
            </w:tcBorders>
            <w:hideMark/>
          </w:tcPr>
          <w:p w14:paraId="361BBBBD" w14:textId="01A98B3B" w:rsidR="003E0147" w:rsidRPr="002029AF" w:rsidRDefault="003E0147" w:rsidP="00D21185">
            <w:pPr>
              <w:pStyle w:val="ARfintablebodybold"/>
            </w:pPr>
            <w:r w:rsidRPr="002029AF">
              <w:t>Physical</w:t>
            </w:r>
            <w:r w:rsidR="000A5329" w:rsidRPr="002029AF">
              <w:t xml:space="preserve"> </w:t>
            </w:r>
            <w:r w:rsidRPr="002029AF">
              <w:t>asset</w:t>
            </w:r>
            <w:r w:rsidR="000A5329" w:rsidRPr="002029AF">
              <w:t xml:space="preserve"> </w:t>
            </w:r>
            <w:r w:rsidRPr="002029AF">
              <w:t>revaluation</w:t>
            </w:r>
            <w:r w:rsidR="000A5329" w:rsidRPr="002029AF">
              <w:t xml:space="preserve"> </w:t>
            </w:r>
            <w:r w:rsidRPr="002029AF">
              <w:t>reserve</w:t>
            </w:r>
          </w:p>
        </w:tc>
        <w:tc>
          <w:tcPr>
            <w:tcW w:w="1247" w:type="dxa"/>
            <w:tcBorders>
              <w:bottom w:val="single" w:sz="4" w:space="0" w:color="auto"/>
            </w:tcBorders>
            <w:hideMark/>
          </w:tcPr>
          <w:p w14:paraId="60FE1FB2" w14:textId="77777777" w:rsidR="003E0147" w:rsidRPr="002029AF" w:rsidRDefault="003E0147" w:rsidP="00D21185">
            <w:pPr>
              <w:pStyle w:val="ARfintablebodyrightbold"/>
            </w:pPr>
            <w:r w:rsidRPr="002029AF">
              <w:t>9,984</w:t>
            </w:r>
          </w:p>
        </w:tc>
        <w:tc>
          <w:tcPr>
            <w:tcW w:w="1247" w:type="dxa"/>
            <w:tcBorders>
              <w:bottom w:val="single" w:sz="4" w:space="0" w:color="auto"/>
            </w:tcBorders>
            <w:hideMark/>
          </w:tcPr>
          <w:p w14:paraId="1012C7EF" w14:textId="77777777" w:rsidR="003E0147" w:rsidRPr="002029AF" w:rsidRDefault="003E0147" w:rsidP="00D21185">
            <w:pPr>
              <w:pStyle w:val="ARfintablebodyrightbold"/>
            </w:pPr>
            <w:r w:rsidRPr="002029AF">
              <w:t>6,927</w:t>
            </w:r>
          </w:p>
        </w:tc>
        <w:tc>
          <w:tcPr>
            <w:tcW w:w="1247" w:type="dxa"/>
            <w:tcBorders>
              <w:bottom w:val="single" w:sz="4" w:space="0" w:color="auto"/>
            </w:tcBorders>
            <w:hideMark/>
          </w:tcPr>
          <w:p w14:paraId="3B8CCE40" w14:textId="77777777" w:rsidR="003E0147" w:rsidRPr="002029AF" w:rsidRDefault="003E0147" w:rsidP="00D21185">
            <w:pPr>
              <w:pStyle w:val="ARfintablebodyrightbold"/>
            </w:pPr>
            <w:r w:rsidRPr="002029AF">
              <w:t>44.1</w:t>
            </w:r>
          </w:p>
        </w:tc>
      </w:tr>
      <w:tr w:rsidR="003E0147" w:rsidRPr="002029AF" w14:paraId="38E0549A" w14:textId="77777777" w:rsidTr="00DB53E6">
        <w:tc>
          <w:tcPr>
            <w:tcW w:w="5897" w:type="dxa"/>
            <w:tcBorders>
              <w:top w:val="single" w:sz="4" w:space="0" w:color="auto"/>
              <w:bottom w:val="single" w:sz="4" w:space="0" w:color="A6A6A6"/>
            </w:tcBorders>
            <w:hideMark/>
          </w:tcPr>
          <w:p w14:paraId="30085EDD" w14:textId="00DD74F3" w:rsidR="003E0147" w:rsidRPr="002029AF" w:rsidRDefault="003E0147" w:rsidP="00D21185">
            <w:pPr>
              <w:pStyle w:val="ARfintablebody"/>
            </w:pPr>
            <w:r w:rsidRPr="002029AF">
              <w:t>Financial</w:t>
            </w:r>
            <w:r w:rsidR="000A5329" w:rsidRPr="002029AF">
              <w:t xml:space="preserve"> </w:t>
            </w:r>
            <w:r w:rsidRPr="002029AF">
              <w:t>assets</w:t>
            </w:r>
            <w:r w:rsidR="000A5329" w:rsidRPr="002029AF">
              <w:t xml:space="preserve"> </w:t>
            </w:r>
            <w:r w:rsidRPr="002029AF">
              <w:t>available-for-sale</w:t>
            </w:r>
            <w:r w:rsidR="000A5329" w:rsidRPr="002029AF">
              <w:t xml:space="preserve"> </w:t>
            </w:r>
            <w:r w:rsidRPr="002029AF">
              <w:t>reserve</w:t>
            </w:r>
          </w:p>
        </w:tc>
        <w:tc>
          <w:tcPr>
            <w:tcW w:w="1247" w:type="dxa"/>
            <w:tcBorders>
              <w:top w:val="single" w:sz="4" w:space="0" w:color="auto"/>
              <w:bottom w:val="single" w:sz="4" w:space="0" w:color="A6A6A6"/>
            </w:tcBorders>
            <w:hideMark/>
          </w:tcPr>
          <w:p w14:paraId="4C2C0D44" w14:textId="77777777" w:rsidR="003E0147" w:rsidRPr="002029AF" w:rsidRDefault="003E0147" w:rsidP="00D21185">
            <w:pPr>
              <w:pStyle w:val="ARfintablebodyright"/>
            </w:pPr>
            <w:r w:rsidRPr="002029AF">
              <w:t>475</w:t>
            </w:r>
          </w:p>
        </w:tc>
        <w:tc>
          <w:tcPr>
            <w:tcW w:w="1247" w:type="dxa"/>
            <w:tcBorders>
              <w:top w:val="single" w:sz="4" w:space="0" w:color="auto"/>
              <w:bottom w:val="single" w:sz="4" w:space="0" w:color="A6A6A6"/>
            </w:tcBorders>
            <w:hideMark/>
          </w:tcPr>
          <w:p w14:paraId="5105C065" w14:textId="77777777" w:rsidR="003E0147" w:rsidRPr="002029AF" w:rsidRDefault="003E0147" w:rsidP="00D21185">
            <w:pPr>
              <w:pStyle w:val="ARfintablebodyright"/>
            </w:pPr>
            <w:r w:rsidRPr="002029AF">
              <w:t>–</w:t>
            </w:r>
          </w:p>
        </w:tc>
        <w:tc>
          <w:tcPr>
            <w:tcW w:w="1247" w:type="dxa"/>
            <w:tcBorders>
              <w:top w:val="single" w:sz="4" w:space="0" w:color="auto"/>
              <w:bottom w:val="single" w:sz="4" w:space="0" w:color="A6A6A6"/>
            </w:tcBorders>
            <w:hideMark/>
          </w:tcPr>
          <w:p w14:paraId="64B2C299" w14:textId="77777777" w:rsidR="003E0147" w:rsidRPr="002029AF" w:rsidRDefault="003E0147" w:rsidP="00D21185">
            <w:pPr>
              <w:pStyle w:val="ARfintablebodyright"/>
            </w:pPr>
            <w:r w:rsidRPr="002029AF">
              <w:t>–</w:t>
            </w:r>
          </w:p>
        </w:tc>
      </w:tr>
      <w:tr w:rsidR="003E0147" w:rsidRPr="002029AF" w14:paraId="7EAEBE1C" w14:textId="77777777" w:rsidTr="00DB53E6">
        <w:tc>
          <w:tcPr>
            <w:tcW w:w="5897" w:type="dxa"/>
            <w:tcBorders>
              <w:top w:val="single" w:sz="4" w:space="0" w:color="A6A6A6"/>
            </w:tcBorders>
            <w:hideMark/>
          </w:tcPr>
          <w:p w14:paraId="111A7CCD" w14:textId="0006ECF4" w:rsidR="003E0147" w:rsidRPr="002029AF" w:rsidRDefault="003E0147" w:rsidP="00D21185">
            <w:pPr>
              <w:pStyle w:val="ARfintablebody"/>
            </w:pPr>
            <w:r w:rsidRPr="002029AF">
              <w:t>Other</w:t>
            </w:r>
            <w:r w:rsidR="000A5329" w:rsidRPr="002029AF">
              <w:t xml:space="preserve"> </w:t>
            </w:r>
            <w:r w:rsidRPr="002029AF">
              <w:t>reserves</w:t>
            </w:r>
          </w:p>
        </w:tc>
        <w:tc>
          <w:tcPr>
            <w:tcW w:w="1247" w:type="dxa"/>
            <w:tcBorders>
              <w:top w:val="single" w:sz="4" w:space="0" w:color="A6A6A6"/>
            </w:tcBorders>
            <w:hideMark/>
          </w:tcPr>
          <w:p w14:paraId="40328AAE" w14:textId="77777777" w:rsidR="003E0147" w:rsidRPr="002029AF" w:rsidRDefault="003E0147" w:rsidP="00D21185">
            <w:pPr>
              <w:pStyle w:val="ARfintablebodyright"/>
            </w:pPr>
            <w:r w:rsidRPr="002029AF">
              <w:t>(54)</w:t>
            </w:r>
          </w:p>
        </w:tc>
        <w:tc>
          <w:tcPr>
            <w:tcW w:w="1247" w:type="dxa"/>
            <w:tcBorders>
              <w:top w:val="single" w:sz="4" w:space="0" w:color="A6A6A6"/>
            </w:tcBorders>
            <w:hideMark/>
          </w:tcPr>
          <w:p w14:paraId="6DFF169E" w14:textId="77777777" w:rsidR="003E0147" w:rsidRPr="002029AF" w:rsidRDefault="003E0147" w:rsidP="00D21185">
            <w:pPr>
              <w:pStyle w:val="ARfintablebodyright"/>
            </w:pPr>
            <w:r w:rsidRPr="002029AF">
              <w:t>588</w:t>
            </w:r>
          </w:p>
        </w:tc>
        <w:tc>
          <w:tcPr>
            <w:tcW w:w="1247" w:type="dxa"/>
            <w:tcBorders>
              <w:top w:val="single" w:sz="4" w:space="0" w:color="A6A6A6"/>
            </w:tcBorders>
            <w:hideMark/>
          </w:tcPr>
          <w:p w14:paraId="6E138A55" w14:textId="77777777" w:rsidR="003E0147" w:rsidRPr="002029AF" w:rsidRDefault="003E0147" w:rsidP="00D21185">
            <w:pPr>
              <w:pStyle w:val="ARfintablebodyright"/>
            </w:pPr>
            <w:r w:rsidRPr="002029AF">
              <w:t>(109.1)</w:t>
            </w:r>
          </w:p>
        </w:tc>
      </w:tr>
      <w:tr w:rsidR="003E0147" w:rsidRPr="002029AF" w14:paraId="20841030" w14:textId="77777777" w:rsidTr="003E0147">
        <w:tc>
          <w:tcPr>
            <w:tcW w:w="5897" w:type="dxa"/>
            <w:hideMark/>
          </w:tcPr>
          <w:p w14:paraId="10C03348" w14:textId="00899E49" w:rsidR="003E0147" w:rsidRPr="002029AF" w:rsidRDefault="003E0147" w:rsidP="00D21185">
            <w:pPr>
              <w:pStyle w:val="ARfintablebodybold"/>
            </w:pPr>
            <w:r w:rsidRPr="002029AF">
              <w:t>Other</w:t>
            </w:r>
            <w:r w:rsidR="000A5329" w:rsidRPr="002029AF">
              <w:t xml:space="preserve"> </w:t>
            </w:r>
            <w:r w:rsidRPr="002029AF">
              <w:t>reserves</w:t>
            </w:r>
          </w:p>
        </w:tc>
        <w:tc>
          <w:tcPr>
            <w:tcW w:w="1247" w:type="dxa"/>
            <w:hideMark/>
          </w:tcPr>
          <w:p w14:paraId="387C156B" w14:textId="77777777" w:rsidR="003E0147" w:rsidRPr="002029AF" w:rsidRDefault="003E0147" w:rsidP="00D21185">
            <w:pPr>
              <w:pStyle w:val="ARfintablebodyrightbold"/>
            </w:pPr>
            <w:r w:rsidRPr="002029AF">
              <w:t>421</w:t>
            </w:r>
          </w:p>
        </w:tc>
        <w:tc>
          <w:tcPr>
            <w:tcW w:w="1247" w:type="dxa"/>
            <w:hideMark/>
          </w:tcPr>
          <w:p w14:paraId="0B4E6F8F" w14:textId="77777777" w:rsidR="003E0147" w:rsidRPr="002029AF" w:rsidRDefault="003E0147" w:rsidP="00D21185">
            <w:pPr>
              <w:pStyle w:val="ARfintablebodyrightbold"/>
            </w:pPr>
            <w:r w:rsidRPr="002029AF">
              <w:t>588</w:t>
            </w:r>
          </w:p>
        </w:tc>
        <w:tc>
          <w:tcPr>
            <w:tcW w:w="1247" w:type="dxa"/>
            <w:hideMark/>
          </w:tcPr>
          <w:p w14:paraId="5B1A7194" w14:textId="77777777" w:rsidR="003E0147" w:rsidRPr="002029AF" w:rsidRDefault="003E0147" w:rsidP="00D21185">
            <w:pPr>
              <w:pStyle w:val="ARfintablebodyrightbold"/>
            </w:pPr>
            <w:r w:rsidRPr="002029AF">
              <w:t>(28.4)</w:t>
            </w:r>
          </w:p>
        </w:tc>
      </w:tr>
      <w:tr w:rsidR="003E0147" w:rsidRPr="002029AF" w14:paraId="238D7106" w14:textId="77777777" w:rsidTr="003E0147">
        <w:tc>
          <w:tcPr>
            <w:tcW w:w="5897" w:type="dxa"/>
            <w:hideMark/>
          </w:tcPr>
          <w:p w14:paraId="056DB79D" w14:textId="3E7035D0" w:rsidR="003E0147" w:rsidRPr="002029AF" w:rsidRDefault="003E0147" w:rsidP="00D21185">
            <w:pPr>
              <w:pStyle w:val="ARfintablebodybold"/>
            </w:pPr>
            <w:r w:rsidRPr="002029AF">
              <w:t>Changes</w:t>
            </w:r>
            <w:r w:rsidR="000A5329" w:rsidRPr="002029AF">
              <w:t xml:space="preserve"> </w:t>
            </w:r>
            <w:r w:rsidRPr="002029AF">
              <w:t>in</w:t>
            </w:r>
            <w:r w:rsidR="000A5329" w:rsidRPr="002029AF">
              <w:t xml:space="preserve"> </w:t>
            </w:r>
            <w:r w:rsidRPr="002029AF">
              <w:t>equity</w:t>
            </w:r>
          </w:p>
        </w:tc>
        <w:tc>
          <w:tcPr>
            <w:tcW w:w="1247" w:type="dxa"/>
            <w:hideMark/>
          </w:tcPr>
          <w:p w14:paraId="5D29C206" w14:textId="77777777" w:rsidR="003E0147" w:rsidRPr="002029AF" w:rsidRDefault="003E0147" w:rsidP="00D21185">
            <w:pPr>
              <w:pStyle w:val="ARfintablebodyrightbold"/>
            </w:pPr>
            <w:r w:rsidRPr="002029AF">
              <w:t>19,176</w:t>
            </w:r>
          </w:p>
        </w:tc>
        <w:tc>
          <w:tcPr>
            <w:tcW w:w="1247" w:type="dxa"/>
            <w:hideMark/>
          </w:tcPr>
          <w:p w14:paraId="26053EAB" w14:textId="77777777" w:rsidR="003E0147" w:rsidRPr="002029AF" w:rsidRDefault="003E0147" w:rsidP="00D21185">
            <w:pPr>
              <w:pStyle w:val="ARfintablebodyrightbold"/>
            </w:pPr>
            <w:r w:rsidRPr="002029AF">
              <w:t>15,905</w:t>
            </w:r>
          </w:p>
        </w:tc>
        <w:tc>
          <w:tcPr>
            <w:tcW w:w="1247" w:type="dxa"/>
            <w:hideMark/>
          </w:tcPr>
          <w:p w14:paraId="3241DB79" w14:textId="77777777" w:rsidR="003E0147" w:rsidRPr="002029AF" w:rsidRDefault="003E0147" w:rsidP="00D21185">
            <w:pPr>
              <w:pStyle w:val="ARfintablebodyrightbold"/>
            </w:pPr>
            <w:r w:rsidRPr="002029AF">
              <w:t>20.6</w:t>
            </w:r>
          </w:p>
        </w:tc>
      </w:tr>
    </w:tbl>
    <w:p w14:paraId="6357814D" w14:textId="46048ED0" w:rsidR="00A92A21" w:rsidRPr="002029AF" w:rsidRDefault="00A92A21" w:rsidP="00A92A21">
      <w:pPr>
        <w:pStyle w:val="ARbody"/>
      </w:pPr>
      <w:r w:rsidRPr="002029AF">
        <w:br w:type="page"/>
      </w:r>
    </w:p>
    <w:p w14:paraId="465D6A7B" w14:textId="52821E67" w:rsidR="00665D4A" w:rsidRPr="002029AF" w:rsidRDefault="00665D4A" w:rsidP="00A92A21">
      <w:pPr>
        <w:pStyle w:val="Heading3"/>
      </w:pPr>
      <w:bookmarkStart w:id="423" w:name="_Ref52200260"/>
      <w:r w:rsidRPr="002029AF">
        <w:lastRenderedPageBreak/>
        <w:t>Administered</w:t>
      </w:r>
      <w:r w:rsidR="000A5329" w:rsidRPr="002029AF">
        <w:t xml:space="preserve"> </w:t>
      </w:r>
      <w:r w:rsidRPr="002029AF">
        <w:t>items</w:t>
      </w:r>
      <w:r w:rsidR="000A5329" w:rsidRPr="002029AF">
        <w:t xml:space="preserve"> </w:t>
      </w:r>
      <w:r w:rsidRPr="002029AF">
        <w:t>statement</w:t>
      </w:r>
      <w:r w:rsidR="000A5329" w:rsidRPr="002029AF">
        <w:t xml:space="preserve"> </w:t>
      </w:r>
      <w:r w:rsidRPr="002029AF">
        <w:t>for</w:t>
      </w:r>
      <w:r w:rsidR="000A5329" w:rsidRPr="002029AF">
        <w:t xml:space="preserve"> </w:t>
      </w:r>
      <w:r w:rsidRPr="002029AF">
        <w:t>the</w:t>
      </w:r>
      <w:r w:rsidR="000A5329" w:rsidRPr="002029AF">
        <w:t xml:space="preserve"> </w:t>
      </w:r>
      <w:r w:rsidRPr="002029AF">
        <w:t>financial</w:t>
      </w:r>
      <w:r w:rsidR="000A5329" w:rsidRPr="002029AF">
        <w:t xml:space="preserve"> </w:t>
      </w:r>
      <w:r w:rsidRPr="002029AF">
        <w:t>year</w:t>
      </w:r>
      <w:r w:rsidR="000A5329" w:rsidRPr="002029AF">
        <w:t xml:space="preserve"> </w:t>
      </w:r>
      <w:r w:rsidRPr="002029AF">
        <w:t>ended</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bookmarkEnd w:id="423"/>
    </w:p>
    <w:tbl>
      <w:tblPr>
        <w:tblStyle w:val="TableGrid"/>
        <w:tblW w:w="9639" w:type="dxa"/>
        <w:tblLook w:val="06A0" w:firstRow="1" w:lastRow="0" w:firstColumn="1" w:lastColumn="0" w:noHBand="1" w:noVBand="1"/>
      </w:tblPr>
      <w:tblGrid>
        <w:gridCol w:w="5218"/>
        <w:gridCol w:w="1247"/>
        <w:gridCol w:w="1247"/>
        <w:gridCol w:w="1247"/>
        <w:gridCol w:w="680"/>
      </w:tblGrid>
      <w:tr w:rsidR="003E0147" w:rsidRPr="002029AF" w14:paraId="616FB537"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5218" w:type="dxa"/>
            <w:tcBorders>
              <w:bottom w:val="single" w:sz="4" w:space="0" w:color="auto"/>
            </w:tcBorders>
            <w:hideMark/>
          </w:tcPr>
          <w:p w14:paraId="00FCAA44" w14:textId="77777777" w:rsidR="003E0147" w:rsidRPr="002029AF" w:rsidRDefault="003E0147" w:rsidP="003E0147">
            <w:pPr>
              <w:pStyle w:val="ARfintablecolhead"/>
            </w:pPr>
          </w:p>
        </w:tc>
        <w:tc>
          <w:tcPr>
            <w:tcW w:w="1247" w:type="dxa"/>
            <w:tcBorders>
              <w:bottom w:val="single" w:sz="4" w:space="0" w:color="auto"/>
            </w:tcBorders>
            <w:hideMark/>
          </w:tcPr>
          <w:p w14:paraId="781CACEB" w14:textId="77777777" w:rsidR="003E0147" w:rsidRPr="002029AF" w:rsidRDefault="003E0147" w:rsidP="003E0147">
            <w:pPr>
              <w:pStyle w:val="ARfintablecolheadright"/>
            </w:pPr>
            <w:r w:rsidRPr="002029AF">
              <w:t>2019–20</w:t>
            </w:r>
          </w:p>
          <w:p w14:paraId="7F22B8BE" w14:textId="77777777" w:rsidR="003E0147" w:rsidRPr="002029AF" w:rsidRDefault="003E0147" w:rsidP="003E0147">
            <w:pPr>
              <w:pStyle w:val="ARfintablecolheadright"/>
            </w:pPr>
            <w:r w:rsidRPr="002029AF">
              <w:t>Actual</w:t>
            </w:r>
          </w:p>
          <w:p w14:paraId="721642B0" w14:textId="77777777" w:rsidR="003E0147" w:rsidRPr="002029AF" w:rsidRDefault="003E0147" w:rsidP="003E0147">
            <w:pPr>
              <w:pStyle w:val="ARfintablecolheadright"/>
            </w:pPr>
            <w:r w:rsidRPr="002029AF">
              <w:t>$M</w:t>
            </w:r>
          </w:p>
        </w:tc>
        <w:tc>
          <w:tcPr>
            <w:tcW w:w="1247" w:type="dxa"/>
            <w:tcBorders>
              <w:bottom w:val="single" w:sz="4" w:space="0" w:color="auto"/>
            </w:tcBorders>
            <w:hideMark/>
          </w:tcPr>
          <w:p w14:paraId="5B0948E8" w14:textId="77777777" w:rsidR="003E0147" w:rsidRPr="002029AF" w:rsidRDefault="003E0147" w:rsidP="003E0147">
            <w:pPr>
              <w:pStyle w:val="ARfintablecolheadright"/>
            </w:pPr>
            <w:r w:rsidRPr="002029AF">
              <w:t>2019–20</w:t>
            </w:r>
          </w:p>
          <w:p w14:paraId="0E3EC693" w14:textId="6376F225" w:rsidR="003E0147" w:rsidRPr="002029AF" w:rsidRDefault="003E0147" w:rsidP="003E0147">
            <w:pPr>
              <w:pStyle w:val="ARfintablecolheadright"/>
            </w:pPr>
            <w:r w:rsidRPr="002029AF">
              <w:t>Published</w:t>
            </w:r>
            <w:r w:rsidR="000A5329" w:rsidRPr="002029AF">
              <w:t xml:space="preserve"> </w:t>
            </w:r>
            <w:r w:rsidRPr="002029AF">
              <w:t>budget</w:t>
            </w:r>
          </w:p>
          <w:p w14:paraId="1954A429" w14:textId="77777777" w:rsidR="003E0147" w:rsidRPr="002029AF" w:rsidRDefault="003E0147" w:rsidP="003E0147">
            <w:pPr>
              <w:pStyle w:val="ARfintablecolheadright"/>
            </w:pPr>
            <w:r w:rsidRPr="002029AF">
              <w:t>$M</w:t>
            </w:r>
          </w:p>
        </w:tc>
        <w:tc>
          <w:tcPr>
            <w:tcW w:w="1247" w:type="dxa"/>
            <w:tcBorders>
              <w:bottom w:val="single" w:sz="4" w:space="0" w:color="auto"/>
            </w:tcBorders>
            <w:noWrap/>
            <w:hideMark/>
          </w:tcPr>
          <w:p w14:paraId="5F2A798E" w14:textId="20A9F471" w:rsidR="003E0147" w:rsidRPr="002029AF" w:rsidRDefault="003E0147" w:rsidP="003E0147">
            <w:pPr>
              <w:pStyle w:val="ARfintablecolheadright"/>
            </w:pPr>
            <w:r w:rsidRPr="002029AF">
              <w:t>Variation</w:t>
            </w:r>
            <w:r w:rsidR="000A5329" w:rsidRPr="002029AF">
              <w:t xml:space="preserve"> </w:t>
            </w:r>
            <w:r w:rsidRPr="002029AF">
              <w:t>to</w:t>
            </w:r>
            <w:r w:rsidR="000A5329" w:rsidRPr="002029AF">
              <w:t xml:space="preserve"> </w:t>
            </w:r>
            <w:r w:rsidRPr="002029AF">
              <w:t>published</w:t>
            </w:r>
            <w:r w:rsidR="000A5329" w:rsidRPr="002029AF">
              <w:t xml:space="preserve"> </w:t>
            </w:r>
            <w:r w:rsidRPr="002029AF">
              <w:t>budget</w:t>
            </w:r>
          </w:p>
          <w:p w14:paraId="7B86336B" w14:textId="77777777" w:rsidR="003E0147" w:rsidRPr="002029AF" w:rsidRDefault="003E0147" w:rsidP="003E0147">
            <w:pPr>
              <w:pStyle w:val="ARfintablecolheadright"/>
              <w:rPr>
                <w:rFonts w:ascii="Calibri" w:hAnsi="Calibri" w:cs="Calibri"/>
                <w:sz w:val="22"/>
                <w:szCs w:val="22"/>
              </w:rPr>
            </w:pPr>
            <w:r w:rsidRPr="002029AF">
              <w:t>%</w:t>
            </w:r>
          </w:p>
        </w:tc>
        <w:tc>
          <w:tcPr>
            <w:tcW w:w="680" w:type="dxa"/>
            <w:tcBorders>
              <w:bottom w:val="single" w:sz="4" w:space="0" w:color="auto"/>
            </w:tcBorders>
            <w:noWrap/>
            <w:hideMark/>
          </w:tcPr>
          <w:p w14:paraId="666F9338" w14:textId="77777777" w:rsidR="003E0147" w:rsidRPr="002029AF" w:rsidRDefault="003E0147" w:rsidP="003E0147">
            <w:pPr>
              <w:pStyle w:val="ARfintablecolheadright"/>
              <w:rPr>
                <w:rFonts w:ascii="Calibri" w:hAnsi="Calibri" w:cs="Calibri"/>
                <w:sz w:val="22"/>
                <w:szCs w:val="22"/>
              </w:rPr>
            </w:pPr>
            <w:r w:rsidRPr="002029AF">
              <w:t>Notes</w:t>
            </w:r>
          </w:p>
        </w:tc>
      </w:tr>
      <w:tr w:rsidR="00D21185" w:rsidRPr="002029AF" w14:paraId="0EB3FAE4" w14:textId="77777777" w:rsidTr="00DB53E6">
        <w:tc>
          <w:tcPr>
            <w:tcW w:w="9639" w:type="dxa"/>
            <w:gridSpan w:val="5"/>
            <w:tcBorders>
              <w:top w:val="single" w:sz="4" w:space="0" w:color="auto"/>
              <w:bottom w:val="single" w:sz="4" w:space="0" w:color="A6A6A6"/>
            </w:tcBorders>
            <w:hideMark/>
          </w:tcPr>
          <w:p w14:paraId="4974537F" w14:textId="090092A1" w:rsidR="00D21185" w:rsidRPr="002029AF" w:rsidRDefault="00D21185" w:rsidP="003E0147">
            <w:pPr>
              <w:pStyle w:val="ARfintablebodybold"/>
              <w:rPr>
                <w:lang w:eastAsia="en-GB"/>
              </w:rPr>
            </w:pPr>
            <w:r w:rsidRPr="002029AF">
              <w:rPr>
                <w:lang w:eastAsia="en-GB"/>
              </w:rPr>
              <w:t>Administered</w:t>
            </w:r>
            <w:r w:rsidR="000A5329" w:rsidRPr="002029AF">
              <w:rPr>
                <w:lang w:eastAsia="en-GB"/>
              </w:rPr>
              <w:t xml:space="preserve"> </w:t>
            </w:r>
            <w:r w:rsidRPr="002029AF">
              <w:rPr>
                <w:lang w:eastAsia="en-GB"/>
              </w:rPr>
              <w:t>income</w:t>
            </w:r>
          </w:p>
        </w:tc>
      </w:tr>
      <w:tr w:rsidR="003E0147" w:rsidRPr="002029AF" w14:paraId="615ACB7E" w14:textId="77777777" w:rsidTr="00DB53E6">
        <w:tc>
          <w:tcPr>
            <w:tcW w:w="5218" w:type="dxa"/>
            <w:tcBorders>
              <w:top w:val="single" w:sz="4" w:space="0" w:color="A6A6A6"/>
              <w:bottom w:val="single" w:sz="4" w:space="0" w:color="A6A6A6"/>
            </w:tcBorders>
            <w:hideMark/>
          </w:tcPr>
          <w:p w14:paraId="29ACC8CF" w14:textId="20045E97" w:rsidR="003E0147" w:rsidRPr="002029AF" w:rsidRDefault="003E0147" w:rsidP="003E0147">
            <w:pPr>
              <w:pStyle w:val="ARfintablebody"/>
              <w:rPr>
                <w:lang w:eastAsia="en-GB"/>
              </w:rPr>
            </w:pPr>
            <w:r w:rsidRPr="002029AF">
              <w:rPr>
                <w:lang w:eastAsia="en-GB"/>
              </w:rPr>
              <w:t>Appropriations</w:t>
            </w:r>
            <w:r w:rsidR="000A5329" w:rsidRPr="002029AF">
              <w:rPr>
                <w:lang w:eastAsia="en-GB"/>
              </w:rPr>
              <w:t xml:space="preserve"> </w:t>
            </w:r>
            <w:r w:rsidR="00DB53E6" w:rsidRPr="002029AF">
              <w:rPr>
                <w:lang w:eastAsia="en-GB"/>
              </w:rPr>
              <w:t>–</w:t>
            </w:r>
            <w:r w:rsidR="000A5329" w:rsidRPr="002029AF">
              <w:rPr>
                <w:lang w:eastAsia="en-GB"/>
              </w:rPr>
              <w:t xml:space="preserve"> </w:t>
            </w:r>
            <w:r w:rsidRPr="002029AF">
              <w:rPr>
                <w:lang w:eastAsia="en-GB"/>
              </w:rPr>
              <w:t>Payments</w:t>
            </w:r>
            <w:r w:rsidR="000A5329" w:rsidRPr="002029AF">
              <w:rPr>
                <w:lang w:eastAsia="en-GB"/>
              </w:rPr>
              <w:t xml:space="preserve"> </w:t>
            </w:r>
            <w:r w:rsidRPr="002029AF">
              <w:rPr>
                <w:lang w:eastAsia="en-GB"/>
              </w:rPr>
              <w:t>made</w:t>
            </w:r>
            <w:r w:rsidR="000A5329" w:rsidRPr="002029AF">
              <w:rPr>
                <w:lang w:eastAsia="en-GB"/>
              </w:rPr>
              <w:t xml:space="preserve"> </w:t>
            </w:r>
            <w:r w:rsidRPr="002029AF">
              <w:rPr>
                <w:lang w:eastAsia="en-GB"/>
              </w:rPr>
              <w:t>on</w:t>
            </w:r>
            <w:r w:rsidR="000A5329" w:rsidRPr="002029AF">
              <w:rPr>
                <w:lang w:eastAsia="en-GB"/>
              </w:rPr>
              <w:t xml:space="preserve"> </w:t>
            </w:r>
            <w:r w:rsidRPr="002029AF">
              <w:rPr>
                <w:lang w:eastAsia="en-GB"/>
              </w:rPr>
              <w:t>behalf</w:t>
            </w:r>
            <w:r w:rsidR="000A5329" w:rsidRPr="002029AF">
              <w:rPr>
                <w:lang w:eastAsia="en-GB"/>
              </w:rPr>
              <w:t xml:space="preserve"> </w:t>
            </w:r>
            <w:r w:rsidRPr="002029AF">
              <w:rPr>
                <w:lang w:eastAsia="en-GB"/>
              </w:rPr>
              <w:t>of</w:t>
            </w:r>
            <w:r w:rsidR="000A5329" w:rsidRPr="002029AF">
              <w:rPr>
                <w:lang w:eastAsia="en-GB"/>
              </w:rPr>
              <w:t xml:space="preserve"> </w:t>
            </w:r>
            <w:r w:rsidRPr="002029AF">
              <w:rPr>
                <w:lang w:eastAsia="en-GB"/>
              </w:rPr>
              <w:t>the</w:t>
            </w:r>
            <w:r w:rsidR="000A5329" w:rsidRPr="002029AF">
              <w:rPr>
                <w:lang w:eastAsia="en-GB"/>
              </w:rPr>
              <w:t xml:space="preserve"> </w:t>
            </w:r>
            <w:r w:rsidRPr="002029AF">
              <w:rPr>
                <w:lang w:eastAsia="en-GB"/>
              </w:rPr>
              <w:t>state</w:t>
            </w:r>
          </w:p>
        </w:tc>
        <w:tc>
          <w:tcPr>
            <w:tcW w:w="1247" w:type="dxa"/>
            <w:tcBorders>
              <w:top w:val="single" w:sz="4" w:space="0" w:color="A6A6A6"/>
              <w:bottom w:val="single" w:sz="4" w:space="0" w:color="A6A6A6"/>
            </w:tcBorders>
            <w:hideMark/>
          </w:tcPr>
          <w:p w14:paraId="64A067B7" w14:textId="77777777" w:rsidR="003E0147" w:rsidRPr="002029AF" w:rsidRDefault="003E0147" w:rsidP="003E0147">
            <w:pPr>
              <w:pStyle w:val="ARfintablebodyright"/>
              <w:rPr>
                <w:lang w:eastAsia="en-GB"/>
              </w:rPr>
            </w:pPr>
            <w:r w:rsidRPr="002029AF">
              <w:rPr>
                <w:lang w:eastAsia="en-GB"/>
              </w:rPr>
              <w:t>64</w:t>
            </w:r>
          </w:p>
        </w:tc>
        <w:tc>
          <w:tcPr>
            <w:tcW w:w="1247" w:type="dxa"/>
            <w:tcBorders>
              <w:top w:val="single" w:sz="4" w:space="0" w:color="A6A6A6"/>
              <w:bottom w:val="single" w:sz="4" w:space="0" w:color="A6A6A6"/>
            </w:tcBorders>
            <w:hideMark/>
          </w:tcPr>
          <w:p w14:paraId="78B7D25C" w14:textId="77777777" w:rsidR="003E0147" w:rsidRPr="002029AF" w:rsidRDefault="003E0147" w:rsidP="003E0147">
            <w:pPr>
              <w:pStyle w:val="ARfintablebodyright"/>
              <w:rPr>
                <w:lang w:eastAsia="en-GB"/>
              </w:rPr>
            </w:pPr>
            <w:r w:rsidRPr="002029AF">
              <w:rPr>
                <w:lang w:eastAsia="en-GB"/>
              </w:rPr>
              <w:t>64</w:t>
            </w:r>
          </w:p>
        </w:tc>
        <w:tc>
          <w:tcPr>
            <w:tcW w:w="1247" w:type="dxa"/>
            <w:tcBorders>
              <w:top w:val="single" w:sz="4" w:space="0" w:color="A6A6A6"/>
              <w:bottom w:val="single" w:sz="4" w:space="0" w:color="A6A6A6"/>
            </w:tcBorders>
            <w:hideMark/>
          </w:tcPr>
          <w:p w14:paraId="3F0E0F6E" w14:textId="77777777" w:rsidR="003E0147" w:rsidRPr="002029AF" w:rsidRDefault="003E0147" w:rsidP="003E0147">
            <w:pPr>
              <w:pStyle w:val="ARfintablebodyright"/>
              <w:rPr>
                <w:lang w:eastAsia="en-GB"/>
              </w:rPr>
            </w:pPr>
            <w:r w:rsidRPr="002029AF">
              <w:rPr>
                <w:lang w:eastAsia="en-GB"/>
              </w:rPr>
              <w:t>–</w:t>
            </w:r>
          </w:p>
        </w:tc>
        <w:tc>
          <w:tcPr>
            <w:tcW w:w="680" w:type="dxa"/>
            <w:tcBorders>
              <w:top w:val="single" w:sz="4" w:space="0" w:color="A6A6A6"/>
              <w:bottom w:val="single" w:sz="4" w:space="0" w:color="A6A6A6"/>
            </w:tcBorders>
            <w:hideMark/>
          </w:tcPr>
          <w:p w14:paraId="1972BA1E" w14:textId="77777777" w:rsidR="003E0147" w:rsidRPr="002029AF" w:rsidRDefault="003E0147" w:rsidP="00D21185">
            <w:pPr>
              <w:pStyle w:val="ARfintablebodyright"/>
            </w:pPr>
          </w:p>
        </w:tc>
      </w:tr>
      <w:tr w:rsidR="003E0147" w:rsidRPr="002029AF" w14:paraId="1FD1844C" w14:textId="77777777" w:rsidTr="00DB53E6">
        <w:tc>
          <w:tcPr>
            <w:tcW w:w="5218" w:type="dxa"/>
            <w:tcBorders>
              <w:top w:val="single" w:sz="4" w:space="0" w:color="A6A6A6"/>
              <w:bottom w:val="single" w:sz="4" w:space="0" w:color="A6A6A6"/>
            </w:tcBorders>
            <w:hideMark/>
          </w:tcPr>
          <w:p w14:paraId="733D7C42" w14:textId="6C44AE2C" w:rsidR="003E0147" w:rsidRPr="002029AF" w:rsidRDefault="003E0147" w:rsidP="003E0147">
            <w:pPr>
              <w:pStyle w:val="ARfintablebody"/>
              <w:rPr>
                <w:lang w:eastAsia="en-GB"/>
              </w:rPr>
            </w:pPr>
            <w:r w:rsidRPr="002029AF">
              <w:rPr>
                <w:lang w:eastAsia="en-GB"/>
              </w:rPr>
              <w:t>Sales</w:t>
            </w:r>
            <w:r w:rsidR="000A5329" w:rsidRPr="002029AF">
              <w:rPr>
                <w:lang w:eastAsia="en-GB"/>
              </w:rPr>
              <w:t xml:space="preserve"> </w:t>
            </w:r>
            <w:r w:rsidRPr="002029AF">
              <w:rPr>
                <w:lang w:eastAsia="en-GB"/>
              </w:rPr>
              <w:t>of</w:t>
            </w:r>
            <w:r w:rsidR="000A5329" w:rsidRPr="002029AF">
              <w:rPr>
                <w:lang w:eastAsia="en-GB"/>
              </w:rPr>
              <w:t xml:space="preserve"> </w:t>
            </w:r>
            <w:r w:rsidRPr="002029AF">
              <w:rPr>
                <w:lang w:eastAsia="en-GB"/>
              </w:rPr>
              <w:t>goods</w:t>
            </w:r>
            <w:r w:rsidR="000A5329" w:rsidRPr="002029AF">
              <w:rPr>
                <w:lang w:eastAsia="en-GB"/>
              </w:rPr>
              <w:t xml:space="preserve"> </w:t>
            </w:r>
            <w:r w:rsidRPr="002029AF">
              <w:rPr>
                <w:lang w:eastAsia="en-GB"/>
              </w:rPr>
              <w:t>and</w:t>
            </w:r>
            <w:r w:rsidR="000A5329" w:rsidRPr="002029AF">
              <w:rPr>
                <w:lang w:eastAsia="en-GB"/>
              </w:rPr>
              <w:t xml:space="preserve"> </w:t>
            </w:r>
            <w:r w:rsidRPr="002029AF">
              <w:rPr>
                <w:lang w:eastAsia="en-GB"/>
              </w:rPr>
              <w:t>services</w:t>
            </w:r>
          </w:p>
        </w:tc>
        <w:tc>
          <w:tcPr>
            <w:tcW w:w="1247" w:type="dxa"/>
            <w:tcBorders>
              <w:top w:val="single" w:sz="4" w:space="0" w:color="A6A6A6"/>
              <w:bottom w:val="single" w:sz="4" w:space="0" w:color="A6A6A6"/>
            </w:tcBorders>
            <w:hideMark/>
          </w:tcPr>
          <w:p w14:paraId="18D4E7DD" w14:textId="77777777" w:rsidR="003E0147" w:rsidRPr="002029AF" w:rsidRDefault="003E0147" w:rsidP="003E0147">
            <w:pPr>
              <w:pStyle w:val="ARfintablebodyright"/>
              <w:rPr>
                <w:lang w:eastAsia="en-GB"/>
              </w:rPr>
            </w:pPr>
            <w:r w:rsidRPr="002029AF">
              <w:rPr>
                <w:lang w:eastAsia="en-GB"/>
              </w:rPr>
              <w:t>269</w:t>
            </w:r>
          </w:p>
        </w:tc>
        <w:tc>
          <w:tcPr>
            <w:tcW w:w="1247" w:type="dxa"/>
            <w:tcBorders>
              <w:top w:val="single" w:sz="4" w:space="0" w:color="A6A6A6"/>
              <w:bottom w:val="single" w:sz="4" w:space="0" w:color="A6A6A6"/>
            </w:tcBorders>
            <w:hideMark/>
          </w:tcPr>
          <w:p w14:paraId="3ACFD4BD" w14:textId="77777777" w:rsidR="003E0147" w:rsidRPr="002029AF" w:rsidRDefault="003E0147" w:rsidP="003E0147">
            <w:pPr>
              <w:pStyle w:val="ARfintablebodyright"/>
              <w:rPr>
                <w:lang w:eastAsia="en-GB"/>
              </w:rPr>
            </w:pPr>
            <w:r w:rsidRPr="002029AF">
              <w:rPr>
                <w:lang w:eastAsia="en-GB"/>
              </w:rPr>
              <w:t>327</w:t>
            </w:r>
          </w:p>
        </w:tc>
        <w:tc>
          <w:tcPr>
            <w:tcW w:w="1247" w:type="dxa"/>
            <w:tcBorders>
              <w:top w:val="single" w:sz="4" w:space="0" w:color="A6A6A6"/>
              <w:bottom w:val="single" w:sz="4" w:space="0" w:color="A6A6A6"/>
            </w:tcBorders>
            <w:hideMark/>
          </w:tcPr>
          <w:p w14:paraId="52212D20" w14:textId="77777777" w:rsidR="003E0147" w:rsidRPr="002029AF" w:rsidRDefault="003E0147" w:rsidP="003E0147">
            <w:pPr>
              <w:pStyle w:val="ARfintablebodyright"/>
              <w:rPr>
                <w:lang w:eastAsia="en-GB"/>
              </w:rPr>
            </w:pPr>
            <w:r w:rsidRPr="002029AF">
              <w:rPr>
                <w:lang w:eastAsia="en-GB"/>
              </w:rPr>
              <w:t>(17.7)</w:t>
            </w:r>
          </w:p>
        </w:tc>
        <w:tc>
          <w:tcPr>
            <w:tcW w:w="680" w:type="dxa"/>
            <w:tcBorders>
              <w:top w:val="single" w:sz="4" w:space="0" w:color="A6A6A6"/>
              <w:bottom w:val="single" w:sz="4" w:space="0" w:color="A6A6A6"/>
            </w:tcBorders>
            <w:hideMark/>
          </w:tcPr>
          <w:p w14:paraId="5DCD15FD" w14:textId="77777777" w:rsidR="003E0147" w:rsidRPr="002029AF" w:rsidRDefault="003E0147" w:rsidP="00D21185">
            <w:pPr>
              <w:pStyle w:val="ARfintablebodyrightbold"/>
            </w:pPr>
            <w:r w:rsidRPr="002029AF">
              <w:t>1</w:t>
            </w:r>
          </w:p>
        </w:tc>
      </w:tr>
      <w:tr w:rsidR="003E0147" w:rsidRPr="002029AF" w14:paraId="2A01F707" w14:textId="77777777" w:rsidTr="00DB53E6">
        <w:tc>
          <w:tcPr>
            <w:tcW w:w="5218" w:type="dxa"/>
            <w:tcBorders>
              <w:top w:val="single" w:sz="4" w:space="0" w:color="A6A6A6"/>
              <w:bottom w:val="single" w:sz="4" w:space="0" w:color="A6A6A6"/>
            </w:tcBorders>
            <w:hideMark/>
          </w:tcPr>
          <w:p w14:paraId="43CD14FA" w14:textId="77777777" w:rsidR="003E0147" w:rsidRPr="002029AF" w:rsidRDefault="003E0147" w:rsidP="003E0147">
            <w:pPr>
              <w:pStyle w:val="ARfintablebody"/>
              <w:rPr>
                <w:lang w:eastAsia="en-GB"/>
              </w:rPr>
            </w:pPr>
            <w:r w:rsidRPr="002029AF">
              <w:rPr>
                <w:lang w:eastAsia="en-GB"/>
              </w:rPr>
              <w:t>Grants</w:t>
            </w:r>
          </w:p>
        </w:tc>
        <w:tc>
          <w:tcPr>
            <w:tcW w:w="1247" w:type="dxa"/>
            <w:tcBorders>
              <w:top w:val="single" w:sz="4" w:space="0" w:color="A6A6A6"/>
              <w:bottom w:val="single" w:sz="4" w:space="0" w:color="A6A6A6"/>
            </w:tcBorders>
            <w:hideMark/>
          </w:tcPr>
          <w:p w14:paraId="2DAA8B98" w14:textId="77777777" w:rsidR="003E0147" w:rsidRPr="002029AF" w:rsidRDefault="003E0147" w:rsidP="003E0147">
            <w:pPr>
              <w:pStyle w:val="ARfintablebodyright"/>
              <w:rPr>
                <w:lang w:eastAsia="en-GB"/>
              </w:rPr>
            </w:pPr>
            <w:r w:rsidRPr="002029AF">
              <w:rPr>
                <w:lang w:eastAsia="en-GB"/>
              </w:rPr>
              <w:t>14,712</w:t>
            </w:r>
          </w:p>
        </w:tc>
        <w:tc>
          <w:tcPr>
            <w:tcW w:w="1247" w:type="dxa"/>
            <w:tcBorders>
              <w:top w:val="single" w:sz="4" w:space="0" w:color="A6A6A6"/>
              <w:bottom w:val="single" w:sz="4" w:space="0" w:color="A6A6A6"/>
            </w:tcBorders>
            <w:hideMark/>
          </w:tcPr>
          <w:p w14:paraId="02BA18B8" w14:textId="77777777" w:rsidR="003E0147" w:rsidRPr="002029AF" w:rsidRDefault="003E0147" w:rsidP="003E0147">
            <w:pPr>
              <w:pStyle w:val="ARfintablebodyright"/>
              <w:rPr>
                <w:lang w:eastAsia="en-GB"/>
              </w:rPr>
            </w:pPr>
            <w:r w:rsidRPr="002029AF">
              <w:rPr>
                <w:lang w:eastAsia="en-GB"/>
              </w:rPr>
              <w:t>12,425</w:t>
            </w:r>
          </w:p>
        </w:tc>
        <w:tc>
          <w:tcPr>
            <w:tcW w:w="1247" w:type="dxa"/>
            <w:tcBorders>
              <w:top w:val="single" w:sz="4" w:space="0" w:color="A6A6A6"/>
              <w:bottom w:val="single" w:sz="4" w:space="0" w:color="A6A6A6"/>
            </w:tcBorders>
            <w:hideMark/>
          </w:tcPr>
          <w:p w14:paraId="3852FDCC" w14:textId="77777777" w:rsidR="003E0147" w:rsidRPr="002029AF" w:rsidRDefault="003E0147" w:rsidP="003E0147">
            <w:pPr>
              <w:pStyle w:val="ARfintablebodyright"/>
              <w:rPr>
                <w:lang w:eastAsia="en-GB"/>
              </w:rPr>
            </w:pPr>
            <w:r w:rsidRPr="002029AF">
              <w:rPr>
                <w:lang w:eastAsia="en-GB"/>
              </w:rPr>
              <w:t>18.4</w:t>
            </w:r>
          </w:p>
        </w:tc>
        <w:tc>
          <w:tcPr>
            <w:tcW w:w="680" w:type="dxa"/>
            <w:tcBorders>
              <w:top w:val="single" w:sz="4" w:space="0" w:color="A6A6A6"/>
              <w:bottom w:val="single" w:sz="4" w:space="0" w:color="A6A6A6"/>
            </w:tcBorders>
            <w:hideMark/>
          </w:tcPr>
          <w:p w14:paraId="62DF425E" w14:textId="77777777" w:rsidR="003E0147" w:rsidRPr="002029AF" w:rsidRDefault="003E0147" w:rsidP="00D21185">
            <w:pPr>
              <w:pStyle w:val="ARfintablebodyrightbold"/>
            </w:pPr>
            <w:r w:rsidRPr="002029AF">
              <w:t>2</w:t>
            </w:r>
          </w:p>
        </w:tc>
      </w:tr>
      <w:tr w:rsidR="003E0147" w:rsidRPr="002029AF" w14:paraId="28AC0CD4" w14:textId="77777777" w:rsidTr="00DB53E6">
        <w:tc>
          <w:tcPr>
            <w:tcW w:w="5218" w:type="dxa"/>
            <w:tcBorders>
              <w:top w:val="single" w:sz="4" w:space="0" w:color="A6A6A6"/>
              <w:bottom w:val="single" w:sz="4" w:space="0" w:color="A6A6A6"/>
            </w:tcBorders>
            <w:hideMark/>
          </w:tcPr>
          <w:p w14:paraId="286E8A15" w14:textId="77777777" w:rsidR="003E0147" w:rsidRPr="002029AF" w:rsidRDefault="003E0147" w:rsidP="003E0147">
            <w:pPr>
              <w:pStyle w:val="ARfintablebody"/>
              <w:rPr>
                <w:lang w:eastAsia="en-GB"/>
              </w:rPr>
            </w:pPr>
            <w:r w:rsidRPr="002029AF">
              <w:rPr>
                <w:lang w:eastAsia="en-GB"/>
              </w:rPr>
              <w:t>Interest</w:t>
            </w:r>
          </w:p>
        </w:tc>
        <w:tc>
          <w:tcPr>
            <w:tcW w:w="1247" w:type="dxa"/>
            <w:tcBorders>
              <w:top w:val="single" w:sz="4" w:space="0" w:color="A6A6A6"/>
              <w:bottom w:val="single" w:sz="4" w:space="0" w:color="A6A6A6"/>
            </w:tcBorders>
            <w:hideMark/>
          </w:tcPr>
          <w:p w14:paraId="33B4067F" w14:textId="77777777" w:rsidR="003E0147" w:rsidRPr="002029AF" w:rsidRDefault="003E0147" w:rsidP="003E0147">
            <w:pPr>
              <w:pStyle w:val="ARfintablebodyright"/>
              <w:rPr>
                <w:lang w:eastAsia="en-GB"/>
              </w:rPr>
            </w:pPr>
            <w:r w:rsidRPr="002029AF">
              <w:rPr>
                <w:lang w:eastAsia="en-GB"/>
              </w:rPr>
              <w:t>1</w:t>
            </w:r>
          </w:p>
        </w:tc>
        <w:tc>
          <w:tcPr>
            <w:tcW w:w="1247" w:type="dxa"/>
            <w:tcBorders>
              <w:top w:val="single" w:sz="4" w:space="0" w:color="A6A6A6"/>
              <w:bottom w:val="single" w:sz="4" w:space="0" w:color="A6A6A6"/>
            </w:tcBorders>
            <w:hideMark/>
          </w:tcPr>
          <w:p w14:paraId="1C69F8D3" w14:textId="77777777" w:rsidR="003E0147" w:rsidRPr="002029AF" w:rsidRDefault="003E0147" w:rsidP="003E0147">
            <w:pPr>
              <w:pStyle w:val="ARfintablebodyright"/>
              <w:rPr>
                <w:lang w:eastAsia="en-GB"/>
              </w:rPr>
            </w:pPr>
            <w:r w:rsidRPr="002029AF">
              <w:rPr>
                <w:lang w:eastAsia="en-GB"/>
              </w:rPr>
              <w:t>3</w:t>
            </w:r>
          </w:p>
        </w:tc>
        <w:tc>
          <w:tcPr>
            <w:tcW w:w="1247" w:type="dxa"/>
            <w:tcBorders>
              <w:top w:val="single" w:sz="4" w:space="0" w:color="A6A6A6"/>
              <w:bottom w:val="single" w:sz="4" w:space="0" w:color="A6A6A6"/>
            </w:tcBorders>
            <w:hideMark/>
          </w:tcPr>
          <w:p w14:paraId="287B8375" w14:textId="77777777" w:rsidR="003E0147" w:rsidRPr="002029AF" w:rsidRDefault="003E0147" w:rsidP="003E0147">
            <w:pPr>
              <w:pStyle w:val="ARfintablebodyright"/>
              <w:rPr>
                <w:lang w:eastAsia="en-GB"/>
              </w:rPr>
            </w:pPr>
            <w:r w:rsidRPr="002029AF">
              <w:rPr>
                <w:lang w:eastAsia="en-GB"/>
              </w:rPr>
              <w:t>(81.0)</w:t>
            </w:r>
          </w:p>
        </w:tc>
        <w:tc>
          <w:tcPr>
            <w:tcW w:w="680" w:type="dxa"/>
            <w:tcBorders>
              <w:top w:val="single" w:sz="4" w:space="0" w:color="A6A6A6"/>
              <w:bottom w:val="single" w:sz="4" w:space="0" w:color="A6A6A6"/>
            </w:tcBorders>
            <w:hideMark/>
          </w:tcPr>
          <w:p w14:paraId="256ED9F3" w14:textId="77777777" w:rsidR="003E0147" w:rsidRPr="002029AF" w:rsidRDefault="003E0147" w:rsidP="00D21185">
            <w:pPr>
              <w:pStyle w:val="ARfintablebodyright"/>
            </w:pPr>
          </w:p>
        </w:tc>
      </w:tr>
      <w:tr w:rsidR="003E0147" w:rsidRPr="002029AF" w14:paraId="1B138B59" w14:textId="77777777" w:rsidTr="00DB53E6">
        <w:tc>
          <w:tcPr>
            <w:tcW w:w="5218" w:type="dxa"/>
            <w:tcBorders>
              <w:top w:val="single" w:sz="4" w:space="0" w:color="A6A6A6"/>
            </w:tcBorders>
            <w:hideMark/>
          </w:tcPr>
          <w:p w14:paraId="6B74FAC7" w14:textId="5FFCF203" w:rsidR="003E0147" w:rsidRPr="002029AF" w:rsidRDefault="003E0147" w:rsidP="003E0147">
            <w:pPr>
              <w:pStyle w:val="ARfintablebody"/>
              <w:rPr>
                <w:lang w:eastAsia="en-GB"/>
              </w:rPr>
            </w:pPr>
            <w:r w:rsidRPr="002029AF">
              <w:rPr>
                <w:lang w:eastAsia="en-GB"/>
              </w:rPr>
              <w:t>Other</w:t>
            </w:r>
            <w:r w:rsidR="000A5329" w:rsidRPr="002029AF">
              <w:rPr>
                <w:lang w:eastAsia="en-GB"/>
              </w:rPr>
              <w:t xml:space="preserve"> </w:t>
            </w:r>
            <w:r w:rsidRPr="002029AF">
              <w:rPr>
                <w:lang w:eastAsia="en-GB"/>
              </w:rPr>
              <w:t>income</w:t>
            </w:r>
          </w:p>
        </w:tc>
        <w:tc>
          <w:tcPr>
            <w:tcW w:w="1247" w:type="dxa"/>
            <w:tcBorders>
              <w:top w:val="single" w:sz="4" w:space="0" w:color="A6A6A6"/>
            </w:tcBorders>
            <w:hideMark/>
          </w:tcPr>
          <w:p w14:paraId="01C5955D" w14:textId="77777777" w:rsidR="003E0147" w:rsidRPr="002029AF" w:rsidRDefault="003E0147" w:rsidP="003E0147">
            <w:pPr>
              <w:pStyle w:val="ARfintablebodyright"/>
              <w:rPr>
                <w:lang w:eastAsia="en-GB"/>
              </w:rPr>
            </w:pPr>
            <w:r w:rsidRPr="002029AF">
              <w:rPr>
                <w:lang w:eastAsia="en-GB"/>
              </w:rPr>
              <w:t>105</w:t>
            </w:r>
          </w:p>
        </w:tc>
        <w:tc>
          <w:tcPr>
            <w:tcW w:w="1247" w:type="dxa"/>
            <w:tcBorders>
              <w:top w:val="single" w:sz="4" w:space="0" w:color="A6A6A6"/>
            </w:tcBorders>
            <w:hideMark/>
          </w:tcPr>
          <w:p w14:paraId="13FFC803" w14:textId="77777777" w:rsidR="003E0147" w:rsidRPr="002029AF" w:rsidRDefault="003E0147" w:rsidP="003E0147">
            <w:pPr>
              <w:pStyle w:val="ARfintablebodyright"/>
              <w:rPr>
                <w:lang w:eastAsia="en-GB"/>
              </w:rPr>
            </w:pPr>
            <w:r w:rsidRPr="002029AF">
              <w:rPr>
                <w:lang w:eastAsia="en-GB"/>
              </w:rPr>
              <w:t>5</w:t>
            </w:r>
          </w:p>
        </w:tc>
        <w:tc>
          <w:tcPr>
            <w:tcW w:w="1247" w:type="dxa"/>
            <w:tcBorders>
              <w:top w:val="single" w:sz="4" w:space="0" w:color="A6A6A6"/>
            </w:tcBorders>
            <w:hideMark/>
          </w:tcPr>
          <w:p w14:paraId="56A8C98C" w14:textId="77777777" w:rsidR="003E0147" w:rsidRPr="002029AF" w:rsidRDefault="003E0147" w:rsidP="003E0147">
            <w:pPr>
              <w:pStyle w:val="ARfintablebodyright"/>
              <w:rPr>
                <w:lang w:eastAsia="en-GB"/>
              </w:rPr>
            </w:pPr>
            <w:r w:rsidRPr="002029AF">
              <w:rPr>
                <w:lang w:eastAsia="en-GB"/>
              </w:rPr>
              <w:t>2,000.0</w:t>
            </w:r>
          </w:p>
        </w:tc>
        <w:tc>
          <w:tcPr>
            <w:tcW w:w="680" w:type="dxa"/>
            <w:tcBorders>
              <w:top w:val="single" w:sz="4" w:space="0" w:color="A6A6A6"/>
            </w:tcBorders>
            <w:hideMark/>
          </w:tcPr>
          <w:p w14:paraId="2448E204" w14:textId="77777777" w:rsidR="003E0147" w:rsidRPr="002029AF" w:rsidRDefault="003E0147" w:rsidP="00D21185">
            <w:pPr>
              <w:pStyle w:val="ARfintablebodyrightbold"/>
            </w:pPr>
            <w:r w:rsidRPr="002029AF">
              <w:t>3</w:t>
            </w:r>
          </w:p>
        </w:tc>
      </w:tr>
      <w:tr w:rsidR="003E0147" w:rsidRPr="002029AF" w14:paraId="5F64408D" w14:textId="77777777" w:rsidTr="00DB53E6">
        <w:tc>
          <w:tcPr>
            <w:tcW w:w="5218" w:type="dxa"/>
            <w:tcBorders>
              <w:bottom w:val="single" w:sz="4" w:space="0" w:color="auto"/>
            </w:tcBorders>
            <w:hideMark/>
          </w:tcPr>
          <w:p w14:paraId="57D58B47" w14:textId="72E6C0C6" w:rsidR="003E0147" w:rsidRPr="002029AF" w:rsidRDefault="003E0147" w:rsidP="00D21185">
            <w:pPr>
              <w:pStyle w:val="ARfintablebodybold"/>
              <w:rPr>
                <w:lang w:eastAsia="en-GB"/>
              </w:rPr>
            </w:pPr>
            <w:r w:rsidRPr="002029AF">
              <w:rPr>
                <w:lang w:eastAsia="en-GB"/>
              </w:rPr>
              <w:t>Total</w:t>
            </w:r>
            <w:r w:rsidR="000A5329" w:rsidRPr="002029AF">
              <w:rPr>
                <w:lang w:eastAsia="en-GB"/>
              </w:rPr>
              <w:t xml:space="preserve"> </w:t>
            </w:r>
            <w:r w:rsidRPr="002029AF">
              <w:rPr>
                <w:lang w:eastAsia="en-GB"/>
              </w:rPr>
              <w:t>administered</w:t>
            </w:r>
            <w:r w:rsidR="000A5329" w:rsidRPr="002029AF">
              <w:rPr>
                <w:lang w:eastAsia="en-GB"/>
              </w:rPr>
              <w:t xml:space="preserve"> </w:t>
            </w:r>
            <w:r w:rsidRPr="002029AF">
              <w:rPr>
                <w:lang w:eastAsia="en-GB"/>
              </w:rPr>
              <w:t>income</w:t>
            </w:r>
          </w:p>
        </w:tc>
        <w:tc>
          <w:tcPr>
            <w:tcW w:w="1247" w:type="dxa"/>
            <w:tcBorders>
              <w:bottom w:val="single" w:sz="4" w:space="0" w:color="auto"/>
            </w:tcBorders>
            <w:hideMark/>
          </w:tcPr>
          <w:p w14:paraId="364D1A9B" w14:textId="77777777" w:rsidR="003E0147" w:rsidRPr="002029AF" w:rsidRDefault="003E0147" w:rsidP="00D21185">
            <w:pPr>
              <w:pStyle w:val="ARfintablebodyrightbold"/>
              <w:rPr>
                <w:lang w:eastAsia="en-GB"/>
              </w:rPr>
            </w:pPr>
            <w:r w:rsidRPr="002029AF">
              <w:rPr>
                <w:lang w:eastAsia="en-GB"/>
              </w:rPr>
              <w:t>15,151</w:t>
            </w:r>
          </w:p>
        </w:tc>
        <w:tc>
          <w:tcPr>
            <w:tcW w:w="1247" w:type="dxa"/>
            <w:tcBorders>
              <w:bottom w:val="single" w:sz="4" w:space="0" w:color="auto"/>
            </w:tcBorders>
            <w:hideMark/>
          </w:tcPr>
          <w:p w14:paraId="470270CB" w14:textId="77777777" w:rsidR="003E0147" w:rsidRPr="002029AF" w:rsidRDefault="003E0147" w:rsidP="00D21185">
            <w:pPr>
              <w:pStyle w:val="ARfintablebodyrightbold"/>
              <w:rPr>
                <w:lang w:eastAsia="en-GB"/>
              </w:rPr>
            </w:pPr>
            <w:r w:rsidRPr="002029AF">
              <w:rPr>
                <w:lang w:eastAsia="en-GB"/>
              </w:rPr>
              <w:t>12,825</w:t>
            </w:r>
          </w:p>
        </w:tc>
        <w:tc>
          <w:tcPr>
            <w:tcW w:w="1247" w:type="dxa"/>
            <w:tcBorders>
              <w:bottom w:val="single" w:sz="4" w:space="0" w:color="auto"/>
            </w:tcBorders>
            <w:hideMark/>
          </w:tcPr>
          <w:p w14:paraId="43ADF656" w14:textId="77777777" w:rsidR="003E0147" w:rsidRPr="002029AF" w:rsidRDefault="003E0147" w:rsidP="00D21185">
            <w:pPr>
              <w:pStyle w:val="ARfintablebodyrightbold"/>
              <w:rPr>
                <w:lang w:eastAsia="en-GB"/>
              </w:rPr>
            </w:pPr>
            <w:r w:rsidRPr="002029AF">
              <w:rPr>
                <w:lang w:eastAsia="en-GB"/>
              </w:rPr>
              <w:t>18.1</w:t>
            </w:r>
          </w:p>
        </w:tc>
        <w:tc>
          <w:tcPr>
            <w:tcW w:w="680" w:type="dxa"/>
            <w:tcBorders>
              <w:bottom w:val="single" w:sz="4" w:space="0" w:color="auto"/>
            </w:tcBorders>
            <w:hideMark/>
          </w:tcPr>
          <w:p w14:paraId="03D00BE0" w14:textId="77777777" w:rsidR="003E0147" w:rsidRPr="002029AF" w:rsidRDefault="003E0147" w:rsidP="00D21185">
            <w:pPr>
              <w:pStyle w:val="ARfintablebodyright"/>
            </w:pPr>
          </w:p>
        </w:tc>
      </w:tr>
      <w:tr w:rsidR="00D21185" w:rsidRPr="002029AF" w14:paraId="446FC1BD" w14:textId="77777777" w:rsidTr="00DB53E6">
        <w:tc>
          <w:tcPr>
            <w:tcW w:w="9639" w:type="dxa"/>
            <w:gridSpan w:val="5"/>
            <w:tcBorders>
              <w:top w:val="single" w:sz="4" w:space="0" w:color="auto"/>
              <w:bottom w:val="single" w:sz="4" w:space="0" w:color="A6A6A6"/>
            </w:tcBorders>
            <w:hideMark/>
          </w:tcPr>
          <w:p w14:paraId="559B5DF1" w14:textId="1DD6F66A" w:rsidR="00D21185" w:rsidRPr="002029AF" w:rsidRDefault="00D21185" w:rsidP="00D21185">
            <w:pPr>
              <w:pStyle w:val="ARfintablebodybold"/>
              <w:rPr>
                <w:lang w:eastAsia="en-GB"/>
              </w:rPr>
            </w:pPr>
            <w:r w:rsidRPr="002029AF">
              <w:rPr>
                <w:lang w:eastAsia="en-GB"/>
              </w:rPr>
              <w:t>Administered</w:t>
            </w:r>
            <w:r w:rsidR="000A5329" w:rsidRPr="002029AF">
              <w:rPr>
                <w:lang w:eastAsia="en-GB"/>
              </w:rPr>
              <w:t xml:space="preserve"> </w:t>
            </w:r>
            <w:r w:rsidRPr="002029AF">
              <w:rPr>
                <w:lang w:eastAsia="en-GB"/>
              </w:rPr>
              <w:t>expenses</w:t>
            </w:r>
          </w:p>
        </w:tc>
      </w:tr>
      <w:tr w:rsidR="003E0147" w:rsidRPr="002029AF" w14:paraId="727A74A9" w14:textId="77777777" w:rsidTr="00DB53E6">
        <w:tc>
          <w:tcPr>
            <w:tcW w:w="5218" w:type="dxa"/>
            <w:tcBorders>
              <w:top w:val="single" w:sz="4" w:space="0" w:color="A6A6A6"/>
              <w:bottom w:val="single" w:sz="4" w:space="0" w:color="A6A6A6"/>
            </w:tcBorders>
            <w:hideMark/>
          </w:tcPr>
          <w:p w14:paraId="0E684BAD" w14:textId="26DD3ADA" w:rsidR="003E0147" w:rsidRPr="002029AF" w:rsidRDefault="003E0147" w:rsidP="003E0147">
            <w:pPr>
              <w:pStyle w:val="ARfintablebody"/>
              <w:rPr>
                <w:lang w:eastAsia="en-GB"/>
              </w:rPr>
            </w:pPr>
            <w:r w:rsidRPr="002029AF">
              <w:rPr>
                <w:lang w:eastAsia="en-GB"/>
              </w:rPr>
              <w:t>Expenses</w:t>
            </w:r>
            <w:r w:rsidR="000A5329" w:rsidRPr="002029AF">
              <w:rPr>
                <w:lang w:eastAsia="en-GB"/>
              </w:rPr>
              <w:t xml:space="preserve"> </w:t>
            </w:r>
            <w:r w:rsidRPr="002029AF">
              <w:rPr>
                <w:lang w:eastAsia="en-GB"/>
              </w:rPr>
              <w:t>on</w:t>
            </w:r>
            <w:r w:rsidR="000A5329" w:rsidRPr="002029AF">
              <w:rPr>
                <w:lang w:eastAsia="en-GB"/>
              </w:rPr>
              <w:t xml:space="preserve"> </w:t>
            </w:r>
            <w:r w:rsidRPr="002029AF">
              <w:rPr>
                <w:lang w:eastAsia="en-GB"/>
              </w:rPr>
              <w:t>behalf</w:t>
            </w:r>
            <w:r w:rsidR="000A5329" w:rsidRPr="002029AF">
              <w:rPr>
                <w:lang w:eastAsia="en-GB"/>
              </w:rPr>
              <w:t xml:space="preserve"> </w:t>
            </w:r>
            <w:r w:rsidRPr="002029AF">
              <w:rPr>
                <w:lang w:eastAsia="en-GB"/>
              </w:rPr>
              <w:t>of</w:t>
            </w:r>
            <w:r w:rsidR="000A5329" w:rsidRPr="002029AF">
              <w:rPr>
                <w:lang w:eastAsia="en-GB"/>
              </w:rPr>
              <w:t xml:space="preserve"> </w:t>
            </w:r>
            <w:r w:rsidRPr="002029AF">
              <w:rPr>
                <w:lang w:eastAsia="en-GB"/>
              </w:rPr>
              <w:t>the</w:t>
            </w:r>
            <w:r w:rsidR="000A5329" w:rsidRPr="002029AF">
              <w:rPr>
                <w:lang w:eastAsia="en-GB"/>
              </w:rPr>
              <w:t xml:space="preserve"> </w:t>
            </w:r>
            <w:r w:rsidRPr="002029AF">
              <w:rPr>
                <w:lang w:eastAsia="en-GB"/>
              </w:rPr>
              <w:t>state</w:t>
            </w:r>
          </w:p>
        </w:tc>
        <w:tc>
          <w:tcPr>
            <w:tcW w:w="1247" w:type="dxa"/>
            <w:tcBorders>
              <w:top w:val="single" w:sz="4" w:space="0" w:color="A6A6A6"/>
              <w:bottom w:val="single" w:sz="4" w:space="0" w:color="A6A6A6"/>
            </w:tcBorders>
            <w:hideMark/>
          </w:tcPr>
          <w:p w14:paraId="522BE16C" w14:textId="77777777" w:rsidR="003E0147" w:rsidRPr="002029AF" w:rsidRDefault="003E0147" w:rsidP="003E0147">
            <w:pPr>
              <w:pStyle w:val="ARfintablebodyright"/>
              <w:rPr>
                <w:lang w:eastAsia="en-GB"/>
              </w:rPr>
            </w:pPr>
            <w:r w:rsidRPr="002029AF">
              <w:rPr>
                <w:lang w:eastAsia="en-GB"/>
              </w:rPr>
              <w:t>973</w:t>
            </w:r>
          </w:p>
        </w:tc>
        <w:tc>
          <w:tcPr>
            <w:tcW w:w="1247" w:type="dxa"/>
            <w:tcBorders>
              <w:top w:val="single" w:sz="4" w:space="0" w:color="A6A6A6"/>
              <w:bottom w:val="single" w:sz="4" w:space="0" w:color="A6A6A6"/>
            </w:tcBorders>
            <w:hideMark/>
          </w:tcPr>
          <w:p w14:paraId="7873C133" w14:textId="77777777" w:rsidR="003E0147" w:rsidRPr="002029AF" w:rsidRDefault="003E0147" w:rsidP="003E0147">
            <w:pPr>
              <w:pStyle w:val="ARfintablebodyright"/>
              <w:rPr>
                <w:lang w:eastAsia="en-GB"/>
              </w:rPr>
            </w:pPr>
            <w:r w:rsidRPr="002029AF">
              <w:rPr>
                <w:lang w:eastAsia="en-GB"/>
              </w:rPr>
              <w:t>926</w:t>
            </w:r>
          </w:p>
        </w:tc>
        <w:tc>
          <w:tcPr>
            <w:tcW w:w="1247" w:type="dxa"/>
            <w:tcBorders>
              <w:top w:val="single" w:sz="4" w:space="0" w:color="A6A6A6"/>
              <w:bottom w:val="single" w:sz="4" w:space="0" w:color="A6A6A6"/>
            </w:tcBorders>
            <w:hideMark/>
          </w:tcPr>
          <w:p w14:paraId="0BC7C0FC" w14:textId="77777777" w:rsidR="003E0147" w:rsidRPr="002029AF" w:rsidRDefault="003E0147" w:rsidP="003E0147">
            <w:pPr>
              <w:pStyle w:val="ARfintablebodyright"/>
              <w:rPr>
                <w:lang w:eastAsia="en-GB"/>
              </w:rPr>
            </w:pPr>
            <w:r w:rsidRPr="002029AF">
              <w:rPr>
                <w:lang w:eastAsia="en-GB"/>
              </w:rPr>
              <w:t>5.1</w:t>
            </w:r>
          </w:p>
        </w:tc>
        <w:tc>
          <w:tcPr>
            <w:tcW w:w="680" w:type="dxa"/>
            <w:tcBorders>
              <w:top w:val="single" w:sz="4" w:space="0" w:color="A6A6A6"/>
              <w:bottom w:val="single" w:sz="4" w:space="0" w:color="A6A6A6"/>
            </w:tcBorders>
            <w:hideMark/>
          </w:tcPr>
          <w:p w14:paraId="094335FA" w14:textId="77777777" w:rsidR="003E0147" w:rsidRPr="002029AF" w:rsidRDefault="003E0147" w:rsidP="00D21185">
            <w:pPr>
              <w:pStyle w:val="ARfintablebodyright"/>
              <w:rPr>
                <w:lang w:eastAsia="en-GB"/>
              </w:rPr>
            </w:pPr>
          </w:p>
        </w:tc>
      </w:tr>
      <w:tr w:rsidR="003E0147" w:rsidRPr="002029AF" w14:paraId="1BC0C121" w14:textId="77777777" w:rsidTr="00DB53E6">
        <w:tc>
          <w:tcPr>
            <w:tcW w:w="5218" w:type="dxa"/>
            <w:tcBorders>
              <w:top w:val="single" w:sz="4" w:space="0" w:color="A6A6A6"/>
              <w:bottom w:val="single" w:sz="4" w:space="0" w:color="A6A6A6"/>
            </w:tcBorders>
            <w:hideMark/>
          </w:tcPr>
          <w:p w14:paraId="5EDA641D" w14:textId="2AAD5F7A" w:rsidR="003E0147" w:rsidRPr="002029AF" w:rsidRDefault="003E0147" w:rsidP="003E0147">
            <w:pPr>
              <w:pStyle w:val="ARfintablebody"/>
              <w:rPr>
                <w:lang w:eastAsia="en-GB"/>
              </w:rPr>
            </w:pPr>
            <w:r w:rsidRPr="002029AF">
              <w:rPr>
                <w:lang w:eastAsia="en-GB"/>
              </w:rPr>
              <w:t>Grants</w:t>
            </w:r>
            <w:r w:rsidR="000A5329" w:rsidRPr="002029AF">
              <w:rPr>
                <w:lang w:eastAsia="en-GB"/>
              </w:rPr>
              <w:t xml:space="preserve"> </w:t>
            </w:r>
            <w:r w:rsidRPr="002029AF">
              <w:rPr>
                <w:lang w:eastAsia="en-GB"/>
              </w:rPr>
              <w:t>and</w:t>
            </w:r>
            <w:r w:rsidR="000A5329" w:rsidRPr="002029AF">
              <w:rPr>
                <w:lang w:eastAsia="en-GB"/>
              </w:rPr>
              <w:t xml:space="preserve"> </w:t>
            </w:r>
            <w:r w:rsidRPr="002029AF">
              <w:rPr>
                <w:lang w:eastAsia="en-GB"/>
              </w:rPr>
              <w:t>other</w:t>
            </w:r>
            <w:r w:rsidR="000A5329" w:rsidRPr="002029AF">
              <w:rPr>
                <w:lang w:eastAsia="en-GB"/>
              </w:rPr>
              <w:t xml:space="preserve"> </w:t>
            </w:r>
            <w:r w:rsidRPr="002029AF">
              <w:rPr>
                <w:lang w:eastAsia="en-GB"/>
              </w:rPr>
              <w:t>transfers</w:t>
            </w:r>
          </w:p>
        </w:tc>
        <w:tc>
          <w:tcPr>
            <w:tcW w:w="1247" w:type="dxa"/>
            <w:tcBorders>
              <w:top w:val="single" w:sz="4" w:space="0" w:color="A6A6A6"/>
              <w:bottom w:val="single" w:sz="4" w:space="0" w:color="A6A6A6"/>
            </w:tcBorders>
            <w:hideMark/>
          </w:tcPr>
          <w:p w14:paraId="7B3F9BF3" w14:textId="77777777" w:rsidR="003E0147" w:rsidRPr="002029AF" w:rsidRDefault="003E0147" w:rsidP="003E0147">
            <w:pPr>
              <w:pStyle w:val="ARfintablebodyright"/>
              <w:rPr>
                <w:lang w:eastAsia="en-GB"/>
              </w:rPr>
            </w:pPr>
            <w:r w:rsidRPr="002029AF">
              <w:rPr>
                <w:lang w:eastAsia="en-GB"/>
              </w:rPr>
              <w:t>13,434</w:t>
            </w:r>
          </w:p>
        </w:tc>
        <w:tc>
          <w:tcPr>
            <w:tcW w:w="1247" w:type="dxa"/>
            <w:tcBorders>
              <w:top w:val="single" w:sz="4" w:space="0" w:color="A6A6A6"/>
              <w:bottom w:val="single" w:sz="4" w:space="0" w:color="A6A6A6"/>
            </w:tcBorders>
            <w:hideMark/>
          </w:tcPr>
          <w:p w14:paraId="524EBD4D" w14:textId="77777777" w:rsidR="003E0147" w:rsidRPr="002029AF" w:rsidRDefault="003E0147" w:rsidP="003E0147">
            <w:pPr>
              <w:pStyle w:val="ARfintablebodyright"/>
              <w:rPr>
                <w:lang w:eastAsia="en-GB"/>
              </w:rPr>
            </w:pPr>
            <w:r w:rsidRPr="002029AF">
              <w:rPr>
                <w:lang w:eastAsia="en-GB"/>
              </w:rPr>
              <w:t>11,520</w:t>
            </w:r>
          </w:p>
        </w:tc>
        <w:tc>
          <w:tcPr>
            <w:tcW w:w="1247" w:type="dxa"/>
            <w:tcBorders>
              <w:top w:val="single" w:sz="4" w:space="0" w:color="A6A6A6"/>
              <w:bottom w:val="single" w:sz="4" w:space="0" w:color="A6A6A6"/>
            </w:tcBorders>
            <w:hideMark/>
          </w:tcPr>
          <w:p w14:paraId="31C10EE9" w14:textId="77777777" w:rsidR="003E0147" w:rsidRPr="002029AF" w:rsidRDefault="003E0147" w:rsidP="003E0147">
            <w:pPr>
              <w:pStyle w:val="ARfintablebodyright"/>
              <w:rPr>
                <w:lang w:eastAsia="en-GB"/>
              </w:rPr>
            </w:pPr>
            <w:r w:rsidRPr="002029AF">
              <w:rPr>
                <w:lang w:eastAsia="en-GB"/>
              </w:rPr>
              <w:t>16.6</w:t>
            </w:r>
          </w:p>
        </w:tc>
        <w:tc>
          <w:tcPr>
            <w:tcW w:w="680" w:type="dxa"/>
            <w:tcBorders>
              <w:top w:val="single" w:sz="4" w:space="0" w:color="A6A6A6"/>
              <w:bottom w:val="single" w:sz="4" w:space="0" w:color="A6A6A6"/>
            </w:tcBorders>
            <w:hideMark/>
          </w:tcPr>
          <w:p w14:paraId="5665D59D" w14:textId="77777777" w:rsidR="003E0147" w:rsidRPr="002029AF" w:rsidRDefault="003E0147" w:rsidP="00D21185">
            <w:pPr>
              <w:pStyle w:val="ARfintablebodyrightbold"/>
              <w:rPr>
                <w:lang w:eastAsia="en-GB"/>
              </w:rPr>
            </w:pPr>
            <w:r w:rsidRPr="002029AF">
              <w:rPr>
                <w:lang w:eastAsia="en-GB"/>
              </w:rPr>
              <w:t>4</w:t>
            </w:r>
          </w:p>
        </w:tc>
      </w:tr>
      <w:tr w:rsidR="003E0147" w:rsidRPr="002029AF" w14:paraId="69BC7593" w14:textId="77777777" w:rsidTr="00DB53E6">
        <w:tc>
          <w:tcPr>
            <w:tcW w:w="5218" w:type="dxa"/>
            <w:tcBorders>
              <w:top w:val="single" w:sz="4" w:space="0" w:color="A6A6A6"/>
            </w:tcBorders>
            <w:hideMark/>
          </w:tcPr>
          <w:p w14:paraId="4CBDC157" w14:textId="374ED95C" w:rsidR="003E0147" w:rsidRPr="002029AF" w:rsidRDefault="003E0147" w:rsidP="003E0147">
            <w:pPr>
              <w:pStyle w:val="ARfintablebody"/>
              <w:rPr>
                <w:lang w:eastAsia="en-GB"/>
              </w:rPr>
            </w:pPr>
            <w:r w:rsidRPr="002029AF">
              <w:rPr>
                <w:lang w:eastAsia="en-GB"/>
              </w:rPr>
              <w:t>Payments</w:t>
            </w:r>
            <w:r w:rsidR="000A5329" w:rsidRPr="002029AF">
              <w:rPr>
                <w:lang w:eastAsia="en-GB"/>
              </w:rPr>
              <w:t xml:space="preserve"> </w:t>
            </w:r>
            <w:r w:rsidRPr="002029AF">
              <w:rPr>
                <w:lang w:eastAsia="en-GB"/>
              </w:rPr>
              <w:t>into</w:t>
            </w:r>
            <w:r w:rsidR="000A5329" w:rsidRPr="002029AF">
              <w:rPr>
                <w:lang w:eastAsia="en-GB"/>
              </w:rPr>
              <w:t xml:space="preserve"> </w:t>
            </w:r>
            <w:r w:rsidRPr="002029AF">
              <w:rPr>
                <w:lang w:eastAsia="en-GB"/>
              </w:rPr>
              <w:t>the</w:t>
            </w:r>
            <w:r w:rsidR="000A5329" w:rsidRPr="002029AF">
              <w:rPr>
                <w:lang w:eastAsia="en-GB"/>
              </w:rPr>
              <w:t xml:space="preserve"> </w:t>
            </w:r>
            <w:r w:rsidRPr="002029AF">
              <w:rPr>
                <w:lang w:eastAsia="en-GB"/>
              </w:rPr>
              <w:t>Consolidated</w:t>
            </w:r>
            <w:r w:rsidR="000A5329" w:rsidRPr="002029AF">
              <w:rPr>
                <w:lang w:eastAsia="en-GB"/>
              </w:rPr>
              <w:t xml:space="preserve"> </w:t>
            </w:r>
            <w:r w:rsidRPr="002029AF">
              <w:rPr>
                <w:lang w:eastAsia="en-GB"/>
              </w:rPr>
              <w:t>Fund</w:t>
            </w:r>
          </w:p>
        </w:tc>
        <w:tc>
          <w:tcPr>
            <w:tcW w:w="1247" w:type="dxa"/>
            <w:tcBorders>
              <w:top w:val="single" w:sz="4" w:space="0" w:color="A6A6A6"/>
            </w:tcBorders>
            <w:hideMark/>
          </w:tcPr>
          <w:p w14:paraId="26AF02D8" w14:textId="77777777" w:rsidR="003E0147" w:rsidRPr="002029AF" w:rsidRDefault="003E0147" w:rsidP="003E0147">
            <w:pPr>
              <w:pStyle w:val="ARfintablebodyright"/>
              <w:rPr>
                <w:lang w:eastAsia="en-GB"/>
              </w:rPr>
            </w:pPr>
            <w:r w:rsidRPr="002029AF">
              <w:rPr>
                <w:lang w:eastAsia="en-GB"/>
              </w:rPr>
              <w:t>405</w:t>
            </w:r>
          </w:p>
        </w:tc>
        <w:tc>
          <w:tcPr>
            <w:tcW w:w="1247" w:type="dxa"/>
            <w:tcBorders>
              <w:top w:val="single" w:sz="4" w:space="0" w:color="A6A6A6"/>
            </w:tcBorders>
            <w:hideMark/>
          </w:tcPr>
          <w:p w14:paraId="230CE2F3" w14:textId="77777777" w:rsidR="003E0147" w:rsidRPr="002029AF" w:rsidRDefault="003E0147" w:rsidP="003E0147">
            <w:pPr>
              <w:pStyle w:val="ARfintablebodyright"/>
              <w:rPr>
                <w:lang w:eastAsia="en-GB"/>
              </w:rPr>
            </w:pPr>
            <w:r w:rsidRPr="002029AF">
              <w:rPr>
                <w:lang w:eastAsia="en-GB"/>
              </w:rPr>
              <w:t>386</w:t>
            </w:r>
          </w:p>
        </w:tc>
        <w:tc>
          <w:tcPr>
            <w:tcW w:w="1247" w:type="dxa"/>
            <w:tcBorders>
              <w:top w:val="single" w:sz="4" w:space="0" w:color="A6A6A6"/>
            </w:tcBorders>
            <w:hideMark/>
          </w:tcPr>
          <w:p w14:paraId="406B4CE2" w14:textId="77777777" w:rsidR="003E0147" w:rsidRPr="002029AF" w:rsidRDefault="003E0147" w:rsidP="003E0147">
            <w:pPr>
              <w:pStyle w:val="ARfintablebodyright"/>
              <w:rPr>
                <w:lang w:eastAsia="en-GB"/>
              </w:rPr>
            </w:pPr>
            <w:r w:rsidRPr="002029AF">
              <w:rPr>
                <w:lang w:eastAsia="en-GB"/>
              </w:rPr>
              <w:t>4.9</w:t>
            </w:r>
          </w:p>
        </w:tc>
        <w:tc>
          <w:tcPr>
            <w:tcW w:w="680" w:type="dxa"/>
            <w:tcBorders>
              <w:top w:val="single" w:sz="4" w:space="0" w:color="A6A6A6"/>
            </w:tcBorders>
            <w:hideMark/>
          </w:tcPr>
          <w:p w14:paraId="6F715450" w14:textId="77777777" w:rsidR="003E0147" w:rsidRPr="002029AF" w:rsidRDefault="003E0147" w:rsidP="00D21185">
            <w:pPr>
              <w:pStyle w:val="ARfintablebodyright"/>
              <w:rPr>
                <w:lang w:eastAsia="en-GB"/>
              </w:rPr>
            </w:pPr>
          </w:p>
        </w:tc>
      </w:tr>
      <w:tr w:rsidR="003E0147" w:rsidRPr="002029AF" w14:paraId="4EF0B32D" w14:textId="77777777" w:rsidTr="00D21185">
        <w:tc>
          <w:tcPr>
            <w:tcW w:w="5218" w:type="dxa"/>
            <w:hideMark/>
          </w:tcPr>
          <w:p w14:paraId="7DF7739F" w14:textId="7D7F17C3" w:rsidR="003E0147" w:rsidRPr="002029AF" w:rsidRDefault="003E0147" w:rsidP="00D21185">
            <w:pPr>
              <w:pStyle w:val="ARfintablebodybold"/>
              <w:rPr>
                <w:lang w:eastAsia="en-GB"/>
              </w:rPr>
            </w:pPr>
            <w:r w:rsidRPr="002029AF">
              <w:rPr>
                <w:lang w:eastAsia="en-GB"/>
              </w:rPr>
              <w:t>Total</w:t>
            </w:r>
            <w:r w:rsidR="000A5329" w:rsidRPr="002029AF">
              <w:rPr>
                <w:lang w:eastAsia="en-GB"/>
              </w:rPr>
              <w:t xml:space="preserve"> </w:t>
            </w:r>
            <w:r w:rsidRPr="002029AF">
              <w:rPr>
                <w:lang w:eastAsia="en-GB"/>
              </w:rPr>
              <w:t>administered</w:t>
            </w:r>
            <w:r w:rsidR="000A5329" w:rsidRPr="002029AF">
              <w:rPr>
                <w:lang w:eastAsia="en-GB"/>
              </w:rPr>
              <w:t xml:space="preserve"> </w:t>
            </w:r>
            <w:r w:rsidRPr="002029AF">
              <w:rPr>
                <w:lang w:eastAsia="en-GB"/>
              </w:rPr>
              <w:t>expenses</w:t>
            </w:r>
          </w:p>
        </w:tc>
        <w:tc>
          <w:tcPr>
            <w:tcW w:w="1247" w:type="dxa"/>
            <w:hideMark/>
          </w:tcPr>
          <w:p w14:paraId="191B9832" w14:textId="77777777" w:rsidR="003E0147" w:rsidRPr="002029AF" w:rsidRDefault="003E0147" w:rsidP="00D21185">
            <w:pPr>
              <w:pStyle w:val="ARfintablebodyrightbold"/>
              <w:rPr>
                <w:lang w:eastAsia="en-GB"/>
              </w:rPr>
            </w:pPr>
            <w:r w:rsidRPr="002029AF">
              <w:rPr>
                <w:lang w:eastAsia="en-GB"/>
              </w:rPr>
              <w:t>14,812</w:t>
            </w:r>
          </w:p>
        </w:tc>
        <w:tc>
          <w:tcPr>
            <w:tcW w:w="1247" w:type="dxa"/>
            <w:hideMark/>
          </w:tcPr>
          <w:p w14:paraId="52AA6C56" w14:textId="77777777" w:rsidR="003E0147" w:rsidRPr="002029AF" w:rsidRDefault="003E0147" w:rsidP="00D21185">
            <w:pPr>
              <w:pStyle w:val="ARfintablebodyrightbold"/>
              <w:rPr>
                <w:lang w:eastAsia="en-GB"/>
              </w:rPr>
            </w:pPr>
            <w:r w:rsidRPr="002029AF">
              <w:rPr>
                <w:lang w:eastAsia="en-GB"/>
              </w:rPr>
              <w:t>12,832</w:t>
            </w:r>
          </w:p>
        </w:tc>
        <w:tc>
          <w:tcPr>
            <w:tcW w:w="1247" w:type="dxa"/>
            <w:hideMark/>
          </w:tcPr>
          <w:p w14:paraId="6F0B0597" w14:textId="77777777" w:rsidR="003E0147" w:rsidRPr="002029AF" w:rsidRDefault="003E0147" w:rsidP="00D21185">
            <w:pPr>
              <w:pStyle w:val="ARfintablebodyrightbold"/>
              <w:rPr>
                <w:lang w:eastAsia="en-GB"/>
              </w:rPr>
            </w:pPr>
            <w:r w:rsidRPr="002029AF">
              <w:rPr>
                <w:lang w:eastAsia="en-GB"/>
              </w:rPr>
              <w:t>15.4</w:t>
            </w:r>
          </w:p>
        </w:tc>
        <w:tc>
          <w:tcPr>
            <w:tcW w:w="680" w:type="dxa"/>
            <w:hideMark/>
          </w:tcPr>
          <w:p w14:paraId="14E276B5" w14:textId="77777777" w:rsidR="003E0147" w:rsidRPr="002029AF" w:rsidRDefault="003E0147" w:rsidP="00D21185">
            <w:pPr>
              <w:pStyle w:val="ARfintablebodyright"/>
              <w:rPr>
                <w:lang w:eastAsia="en-GB"/>
              </w:rPr>
            </w:pPr>
          </w:p>
        </w:tc>
      </w:tr>
      <w:tr w:rsidR="003E0147" w:rsidRPr="002029AF" w14:paraId="4787C775" w14:textId="77777777" w:rsidTr="00DB53E6">
        <w:tc>
          <w:tcPr>
            <w:tcW w:w="5218" w:type="dxa"/>
            <w:tcBorders>
              <w:bottom w:val="single" w:sz="4" w:space="0" w:color="auto"/>
            </w:tcBorders>
            <w:hideMark/>
          </w:tcPr>
          <w:p w14:paraId="0316B2BF" w14:textId="495B34E8" w:rsidR="003E0147" w:rsidRPr="002029AF" w:rsidRDefault="003E0147" w:rsidP="00D21185">
            <w:pPr>
              <w:pStyle w:val="ARfintablebodybold"/>
              <w:rPr>
                <w:lang w:eastAsia="en-GB"/>
              </w:rPr>
            </w:pPr>
            <w:r w:rsidRPr="002029AF">
              <w:rPr>
                <w:lang w:eastAsia="en-GB"/>
              </w:rPr>
              <w:t>Income</w:t>
            </w:r>
            <w:r w:rsidR="000A5329" w:rsidRPr="002029AF">
              <w:rPr>
                <w:lang w:eastAsia="en-GB"/>
              </w:rPr>
              <w:t xml:space="preserve"> </w:t>
            </w:r>
            <w:r w:rsidRPr="002029AF">
              <w:rPr>
                <w:lang w:eastAsia="en-GB"/>
              </w:rPr>
              <w:t>less</w:t>
            </w:r>
            <w:r w:rsidR="000A5329" w:rsidRPr="002029AF">
              <w:rPr>
                <w:lang w:eastAsia="en-GB"/>
              </w:rPr>
              <w:t xml:space="preserve"> </w:t>
            </w:r>
            <w:r w:rsidRPr="002029AF">
              <w:rPr>
                <w:lang w:eastAsia="en-GB"/>
              </w:rPr>
              <w:t>expenses</w:t>
            </w:r>
          </w:p>
        </w:tc>
        <w:tc>
          <w:tcPr>
            <w:tcW w:w="1247" w:type="dxa"/>
            <w:tcBorders>
              <w:bottom w:val="single" w:sz="4" w:space="0" w:color="auto"/>
            </w:tcBorders>
            <w:hideMark/>
          </w:tcPr>
          <w:p w14:paraId="18D4045C" w14:textId="77777777" w:rsidR="003E0147" w:rsidRPr="002029AF" w:rsidRDefault="003E0147" w:rsidP="00D21185">
            <w:pPr>
              <w:pStyle w:val="ARfintablebodyrightbold"/>
              <w:rPr>
                <w:lang w:eastAsia="en-GB"/>
              </w:rPr>
            </w:pPr>
            <w:r w:rsidRPr="002029AF">
              <w:rPr>
                <w:lang w:eastAsia="en-GB"/>
              </w:rPr>
              <w:t>338.8</w:t>
            </w:r>
          </w:p>
        </w:tc>
        <w:tc>
          <w:tcPr>
            <w:tcW w:w="1247" w:type="dxa"/>
            <w:tcBorders>
              <w:bottom w:val="single" w:sz="4" w:space="0" w:color="auto"/>
            </w:tcBorders>
            <w:hideMark/>
          </w:tcPr>
          <w:p w14:paraId="18B7EF08" w14:textId="77777777" w:rsidR="003E0147" w:rsidRPr="002029AF" w:rsidRDefault="003E0147" w:rsidP="00D21185">
            <w:pPr>
              <w:pStyle w:val="ARfintablebodyrightbold"/>
              <w:rPr>
                <w:lang w:eastAsia="en-GB"/>
              </w:rPr>
            </w:pPr>
            <w:r w:rsidRPr="002029AF">
              <w:rPr>
                <w:lang w:eastAsia="en-GB"/>
              </w:rPr>
              <w:t>(8)</w:t>
            </w:r>
          </w:p>
        </w:tc>
        <w:tc>
          <w:tcPr>
            <w:tcW w:w="1247" w:type="dxa"/>
            <w:tcBorders>
              <w:bottom w:val="single" w:sz="4" w:space="0" w:color="auto"/>
            </w:tcBorders>
            <w:hideMark/>
          </w:tcPr>
          <w:p w14:paraId="6359B376" w14:textId="77777777" w:rsidR="003E0147" w:rsidRPr="002029AF" w:rsidRDefault="003E0147" w:rsidP="00D21185">
            <w:pPr>
              <w:pStyle w:val="ARfintablebodyrightbold"/>
              <w:rPr>
                <w:lang w:eastAsia="en-GB"/>
              </w:rPr>
            </w:pPr>
            <w:r w:rsidRPr="002029AF">
              <w:rPr>
                <w:lang w:eastAsia="en-GB"/>
              </w:rPr>
              <w:t>(4,334.6)</w:t>
            </w:r>
          </w:p>
        </w:tc>
        <w:tc>
          <w:tcPr>
            <w:tcW w:w="680" w:type="dxa"/>
            <w:tcBorders>
              <w:bottom w:val="single" w:sz="4" w:space="0" w:color="auto"/>
            </w:tcBorders>
            <w:hideMark/>
          </w:tcPr>
          <w:p w14:paraId="0346A07F" w14:textId="77777777" w:rsidR="003E0147" w:rsidRPr="002029AF" w:rsidRDefault="003E0147" w:rsidP="00D21185">
            <w:pPr>
              <w:pStyle w:val="ARfintablebodyright"/>
              <w:rPr>
                <w:lang w:eastAsia="en-GB"/>
              </w:rPr>
            </w:pPr>
          </w:p>
        </w:tc>
      </w:tr>
      <w:tr w:rsidR="00DB53E6" w:rsidRPr="002029AF" w14:paraId="5D2C674F" w14:textId="77777777" w:rsidTr="00DB53E6">
        <w:tc>
          <w:tcPr>
            <w:tcW w:w="9639" w:type="dxa"/>
            <w:gridSpan w:val="5"/>
            <w:tcBorders>
              <w:top w:val="single" w:sz="4" w:space="0" w:color="auto"/>
              <w:bottom w:val="single" w:sz="4" w:space="0" w:color="A6A6A6"/>
            </w:tcBorders>
            <w:hideMark/>
          </w:tcPr>
          <w:p w14:paraId="5E2F71C4" w14:textId="26DB781E" w:rsidR="00DB53E6" w:rsidRPr="002029AF" w:rsidRDefault="00DB53E6" w:rsidP="00DB53E6">
            <w:pPr>
              <w:pStyle w:val="ARfintablebodybold"/>
              <w:rPr>
                <w:lang w:eastAsia="en-GB"/>
              </w:rPr>
            </w:pPr>
            <w:r w:rsidRPr="002029AF">
              <w:rPr>
                <w:lang w:eastAsia="en-GB"/>
              </w:rPr>
              <w:t>Other</w:t>
            </w:r>
            <w:r w:rsidR="000A5329" w:rsidRPr="002029AF">
              <w:rPr>
                <w:lang w:eastAsia="en-GB"/>
              </w:rPr>
              <w:t xml:space="preserve"> </w:t>
            </w:r>
            <w:r w:rsidRPr="002029AF">
              <w:rPr>
                <w:lang w:eastAsia="en-GB"/>
              </w:rPr>
              <w:t>economic</w:t>
            </w:r>
            <w:r w:rsidR="000A5329" w:rsidRPr="002029AF">
              <w:rPr>
                <w:lang w:eastAsia="en-GB"/>
              </w:rPr>
              <w:t xml:space="preserve"> </w:t>
            </w:r>
            <w:r w:rsidRPr="002029AF">
              <w:rPr>
                <w:lang w:eastAsia="en-GB"/>
              </w:rPr>
              <w:t>flows</w:t>
            </w:r>
            <w:r w:rsidR="000A5329" w:rsidRPr="002029AF">
              <w:rPr>
                <w:lang w:eastAsia="en-GB"/>
              </w:rPr>
              <w:t xml:space="preserve"> </w:t>
            </w:r>
            <w:r w:rsidRPr="002029AF">
              <w:rPr>
                <w:lang w:eastAsia="en-GB"/>
              </w:rPr>
              <w:t>included</w:t>
            </w:r>
            <w:r w:rsidR="000A5329" w:rsidRPr="002029AF">
              <w:rPr>
                <w:lang w:eastAsia="en-GB"/>
              </w:rPr>
              <w:t xml:space="preserve"> </w:t>
            </w:r>
            <w:r w:rsidRPr="002029AF">
              <w:rPr>
                <w:lang w:eastAsia="en-GB"/>
              </w:rPr>
              <w:t>in</w:t>
            </w:r>
            <w:r w:rsidR="000A5329" w:rsidRPr="002029AF">
              <w:rPr>
                <w:lang w:eastAsia="en-GB"/>
              </w:rPr>
              <w:t xml:space="preserve"> </w:t>
            </w:r>
            <w:r w:rsidRPr="002029AF">
              <w:rPr>
                <w:lang w:eastAsia="en-GB"/>
              </w:rPr>
              <w:t>net</w:t>
            </w:r>
            <w:r w:rsidR="000A5329" w:rsidRPr="002029AF">
              <w:rPr>
                <w:lang w:eastAsia="en-GB"/>
              </w:rPr>
              <w:t xml:space="preserve"> </w:t>
            </w:r>
            <w:r w:rsidRPr="002029AF">
              <w:rPr>
                <w:lang w:eastAsia="en-GB"/>
              </w:rPr>
              <w:t>result</w:t>
            </w:r>
          </w:p>
        </w:tc>
      </w:tr>
      <w:tr w:rsidR="003E0147" w:rsidRPr="002029AF" w14:paraId="5DC313E6" w14:textId="77777777" w:rsidTr="00DB53E6">
        <w:tc>
          <w:tcPr>
            <w:tcW w:w="5218" w:type="dxa"/>
            <w:tcBorders>
              <w:top w:val="single" w:sz="4" w:space="0" w:color="A6A6A6"/>
              <w:bottom w:val="single" w:sz="4" w:space="0" w:color="A6A6A6"/>
            </w:tcBorders>
            <w:hideMark/>
          </w:tcPr>
          <w:p w14:paraId="0B842C40" w14:textId="32398CB4" w:rsidR="003E0147" w:rsidRPr="002029AF" w:rsidRDefault="003E0147" w:rsidP="003E0147">
            <w:pPr>
              <w:pStyle w:val="ARfintablebody"/>
              <w:rPr>
                <w:lang w:eastAsia="en-GB"/>
              </w:rPr>
            </w:pPr>
            <w:r w:rsidRPr="002029AF">
              <w:rPr>
                <w:lang w:eastAsia="en-GB"/>
              </w:rPr>
              <w:t>Net</w:t>
            </w:r>
            <w:r w:rsidR="000A5329" w:rsidRPr="002029AF">
              <w:rPr>
                <w:lang w:eastAsia="en-GB"/>
              </w:rPr>
              <w:t xml:space="preserve"> </w:t>
            </w:r>
            <w:r w:rsidRPr="002029AF">
              <w:rPr>
                <w:lang w:eastAsia="en-GB"/>
              </w:rPr>
              <w:t>gain/(loss)</w:t>
            </w:r>
            <w:r w:rsidR="000A5329" w:rsidRPr="002029AF">
              <w:rPr>
                <w:lang w:eastAsia="en-GB"/>
              </w:rPr>
              <w:t xml:space="preserve"> </w:t>
            </w:r>
            <w:r w:rsidRPr="002029AF">
              <w:rPr>
                <w:lang w:eastAsia="en-GB"/>
              </w:rPr>
              <w:t>on</w:t>
            </w:r>
            <w:r w:rsidR="000A5329" w:rsidRPr="002029AF">
              <w:rPr>
                <w:lang w:eastAsia="en-GB"/>
              </w:rPr>
              <w:t xml:space="preserve"> </w:t>
            </w:r>
            <w:r w:rsidRPr="002029AF">
              <w:rPr>
                <w:lang w:eastAsia="en-GB"/>
              </w:rPr>
              <w:t>non-financial</w:t>
            </w:r>
            <w:r w:rsidR="000A5329" w:rsidRPr="002029AF">
              <w:rPr>
                <w:lang w:eastAsia="en-GB"/>
              </w:rPr>
              <w:t xml:space="preserve"> </w:t>
            </w:r>
            <w:r w:rsidRPr="002029AF">
              <w:rPr>
                <w:lang w:eastAsia="en-GB"/>
              </w:rPr>
              <w:t>assets</w:t>
            </w:r>
          </w:p>
        </w:tc>
        <w:tc>
          <w:tcPr>
            <w:tcW w:w="1247" w:type="dxa"/>
            <w:tcBorders>
              <w:top w:val="single" w:sz="4" w:space="0" w:color="A6A6A6"/>
              <w:bottom w:val="single" w:sz="4" w:space="0" w:color="A6A6A6"/>
            </w:tcBorders>
            <w:hideMark/>
          </w:tcPr>
          <w:p w14:paraId="68A251F6" w14:textId="77777777" w:rsidR="003E0147" w:rsidRPr="002029AF" w:rsidRDefault="003E0147" w:rsidP="003E0147">
            <w:pPr>
              <w:pStyle w:val="ARfintablebodyright"/>
              <w:rPr>
                <w:lang w:eastAsia="en-GB"/>
              </w:rPr>
            </w:pPr>
            <w:r w:rsidRPr="002029AF">
              <w:rPr>
                <w:lang w:eastAsia="en-GB"/>
              </w:rPr>
              <w:t>–</w:t>
            </w:r>
          </w:p>
        </w:tc>
        <w:tc>
          <w:tcPr>
            <w:tcW w:w="1247" w:type="dxa"/>
            <w:tcBorders>
              <w:top w:val="single" w:sz="4" w:space="0" w:color="A6A6A6"/>
              <w:bottom w:val="single" w:sz="4" w:space="0" w:color="A6A6A6"/>
            </w:tcBorders>
            <w:hideMark/>
          </w:tcPr>
          <w:p w14:paraId="362F4BD8" w14:textId="77777777" w:rsidR="003E0147" w:rsidRPr="002029AF" w:rsidRDefault="003E0147" w:rsidP="003E0147">
            <w:pPr>
              <w:pStyle w:val="ARfintablebodyright"/>
              <w:rPr>
                <w:lang w:eastAsia="en-GB"/>
              </w:rPr>
            </w:pPr>
            <w:r w:rsidRPr="002029AF">
              <w:rPr>
                <w:lang w:eastAsia="en-GB"/>
              </w:rPr>
              <w:t>8</w:t>
            </w:r>
          </w:p>
        </w:tc>
        <w:tc>
          <w:tcPr>
            <w:tcW w:w="1247" w:type="dxa"/>
            <w:tcBorders>
              <w:top w:val="single" w:sz="4" w:space="0" w:color="A6A6A6"/>
              <w:bottom w:val="single" w:sz="4" w:space="0" w:color="A6A6A6"/>
            </w:tcBorders>
            <w:hideMark/>
          </w:tcPr>
          <w:p w14:paraId="4F7D7283" w14:textId="77777777" w:rsidR="003E0147" w:rsidRPr="002029AF" w:rsidRDefault="003E0147" w:rsidP="003E0147">
            <w:pPr>
              <w:pStyle w:val="ARfintablebodyright"/>
              <w:rPr>
                <w:lang w:eastAsia="en-GB"/>
              </w:rPr>
            </w:pPr>
            <w:r w:rsidRPr="002029AF">
              <w:rPr>
                <w:lang w:eastAsia="en-GB"/>
              </w:rPr>
              <w:t>(101.1)</w:t>
            </w:r>
          </w:p>
        </w:tc>
        <w:tc>
          <w:tcPr>
            <w:tcW w:w="680" w:type="dxa"/>
            <w:tcBorders>
              <w:top w:val="single" w:sz="4" w:space="0" w:color="A6A6A6"/>
              <w:bottom w:val="single" w:sz="4" w:space="0" w:color="A6A6A6"/>
            </w:tcBorders>
            <w:hideMark/>
          </w:tcPr>
          <w:p w14:paraId="1A9EEBA7" w14:textId="77777777" w:rsidR="003E0147" w:rsidRPr="002029AF" w:rsidRDefault="003E0147" w:rsidP="00D21185">
            <w:pPr>
              <w:pStyle w:val="ARfintablebodyright"/>
              <w:rPr>
                <w:lang w:eastAsia="en-GB"/>
              </w:rPr>
            </w:pPr>
          </w:p>
        </w:tc>
      </w:tr>
      <w:tr w:rsidR="003E0147" w:rsidRPr="002029AF" w14:paraId="3CDB020C" w14:textId="77777777" w:rsidTr="00DB53E6">
        <w:tc>
          <w:tcPr>
            <w:tcW w:w="5218" w:type="dxa"/>
            <w:tcBorders>
              <w:top w:val="single" w:sz="4" w:space="0" w:color="A6A6A6"/>
            </w:tcBorders>
            <w:hideMark/>
          </w:tcPr>
          <w:p w14:paraId="1FDF3B2B" w14:textId="6460D4D7" w:rsidR="003E0147" w:rsidRPr="002029AF" w:rsidRDefault="003E0147" w:rsidP="003E0147">
            <w:pPr>
              <w:pStyle w:val="ARfintablebody"/>
              <w:rPr>
                <w:lang w:eastAsia="en-GB"/>
              </w:rPr>
            </w:pPr>
            <w:r w:rsidRPr="002029AF">
              <w:rPr>
                <w:lang w:eastAsia="en-GB"/>
              </w:rPr>
              <w:t>Net</w:t>
            </w:r>
            <w:r w:rsidR="000A5329" w:rsidRPr="002029AF">
              <w:rPr>
                <w:lang w:eastAsia="en-GB"/>
              </w:rPr>
              <w:t xml:space="preserve"> </w:t>
            </w:r>
            <w:r w:rsidRPr="002029AF">
              <w:rPr>
                <w:lang w:eastAsia="en-GB"/>
              </w:rPr>
              <w:t>gain/(loss)</w:t>
            </w:r>
            <w:r w:rsidR="000A5329" w:rsidRPr="002029AF">
              <w:rPr>
                <w:lang w:eastAsia="en-GB"/>
              </w:rPr>
              <w:t xml:space="preserve"> </w:t>
            </w:r>
            <w:r w:rsidRPr="002029AF">
              <w:rPr>
                <w:lang w:eastAsia="en-GB"/>
              </w:rPr>
              <w:t>on</w:t>
            </w:r>
            <w:r w:rsidR="000A5329" w:rsidRPr="002029AF">
              <w:rPr>
                <w:lang w:eastAsia="en-GB"/>
              </w:rPr>
              <w:t xml:space="preserve"> </w:t>
            </w:r>
            <w:r w:rsidRPr="002029AF">
              <w:rPr>
                <w:lang w:eastAsia="en-GB"/>
              </w:rPr>
              <w:t>financial</w:t>
            </w:r>
            <w:r w:rsidR="000A5329" w:rsidRPr="002029AF">
              <w:rPr>
                <w:lang w:eastAsia="en-GB"/>
              </w:rPr>
              <w:t xml:space="preserve"> </w:t>
            </w:r>
            <w:r w:rsidRPr="002029AF">
              <w:rPr>
                <w:lang w:eastAsia="en-GB"/>
              </w:rPr>
              <w:t>instruments</w:t>
            </w:r>
            <w:r w:rsidR="000A5329" w:rsidRPr="002029AF">
              <w:rPr>
                <w:lang w:eastAsia="en-GB"/>
              </w:rPr>
              <w:t xml:space="preserve"> </w:t>
            </w:r>
            <w:r w:rsidRPr="002029AF">
              <w:rPr>
                <w:lang w:eastAsia="en-GB"/>
              </w:rPr>
              <w:t>and</w:t>
            </w:r>
            <w:r w:rsidR="000A5329" w:rsidRPr="002029AF">
              <w:rPr>
                <w:lang w:eastAsia="en-GB"/>
              </w:rPr>
              <w:t xml:space="preserve"> </w:t>
            </w:r>
            <w:r w:rsidRPr="002029AF">
              <w:rPr>
                <w:lang w:eastAsia="en-GB"/>
              </w:rPr>
              <w:t>statutory</w:t>
            </w:r>
            <w:r w:rsidR="000A5329" w:rsidRPr="002029AF">
              <w:rPr>
                <w:lang w:eastAsia="en-GB"/>
              </w:rPr>
              <w:t xml:space="preserve"> </w:t>
            </w:r>
            <w:r w:rsidRPr="002029AF">
              <w:rPr>
                <w:lang w:eastAsia="en-GB"/>
              </w:rPr>
              <w:t>receivables/payables</w:t>
            </w:r>
          </w:p>
        </w:tc>
        <w:tc>
          <w:tcPr>
            <w:tcW w:w="1247" w:type="dxa"/>
            <w:tcBorders>
              <w:top w:val="single" w:sz="4" w:space="0" w:color="A6A6A6"/>
            </w:tcBorders>
            <w:hideMark/>
          </w:tcPr>
          <w:p w14:paraId="51EDA794" w14:textId="77777777" w:rsidR="003E0147" w:rsidRPr="002029AF" w:rsidRDefault="003E0147" w:rsidP="003E0147">
            <w:pPr>
              <w:pStyle w:val="ARfintablebodyright"/>
              <w:rPr>
                <w:lang w:eastAsia="en-GB"/>
              </w:rPr>
            </w:pPr>
            <w:r w:rsidRPr="002029AF">
              <w:rPr>
                <w:lang w:eastAsia="en-GB"/>
              </w:rPr>
              <w:t>5</w:t>
            </w:r>
          </w:p>
        </w:tc>
        <w:tc>
          <w:tcPr>
            <w:tcW w:w="1247" w:type="dxa"/>
            <w:tcBorders>
              <w:top w:val="single" w:sz="4" w:space="0" w:color="A6A6A6"/>
            </w:tcBorders>
            <w:hideMark/>
          </w:tcPr>
          <w:p w14:paraId="2542B322" w14:textId="77777777" w:rsidR="003E0147" w:rsidRPr="002029AF" w:rsidRDefault="003E0147" w:rsidP="003E0147">
            <w:pPr>
              <w:pStyle w:val="ARfintablebodyright"/>
              <w:rPr>
                <w:lang w:eastAsia="en-GB"/>
              </w:rPr>
            </w:pPr>
            <w:r w:rsidRPr="002029AF">
              <w:rPr>
                <w:lang w:eastAsia="en-GB"/>
              </w:rPr>
              <w:t>–</w:t>
            </w:r>
          </w:p>
        </w:tc>
        <w:tc>
          <w:tcPr>
            <w:tcW w:w="1247" w:type="dxa"/>
            <w:tcBorders>
              <w:top w:val="single" w:sz="4" w:space="0" w:color="A6A6A6"/>
            </w:tcBorders>
            <w:hideMark/>
          </w:tcPr>
          <w:p w14:paraId="0ADED514" w14:textId="77777777" w:rsidR="003E0147" w:rsidRPr="002029AF" w:rsidRDefault="003E0147" w:rsidP="003E0147">
            <w:pPr>
              <w:pStyle w:val="ARfintablebodyright"/>
              <w:rPr>
                <w:lang w:eastAsia="en-GB"/>
              </w:rPr>
            </w:pPr>
            <w:r w:rsidRPr="002029AF">
              <w:rPr>
                <w:lang w:eastAsia="en-GB"/>
              </w:rPr>
              <w:t>–</w:t>
            </w:r>
          </w:p>
        </w:tc>
        <w:tc>
          <w:tcPr>
            <w:tcW w:w="680" w:type="dxa"/>
            <w:tcBorders>
              <w:top w:val="single" w:sz="4" w:space="0" w:color="A6A6A6"/>
            </w:tcBorders>
            <w:hideMark/>
          </w:tcPr>
          <w:p w14:paraId="21A11CCF" w14:textId="77777777" w:rsidR="003E0147" w:rsidRPr="002029AF" w:rsidRDefault="003E0147" w:rsidP="00D21185">
            <w:pPr>
              <w:pStyle w:val="ARfintablebodyright"/>
              <w:rPr>
                <w:lang w:eastAsia="en-GB"/>
              </w:rPr>
            </w:pPr>
          </w:p>
        </w:tc>
      </w:tr>
      <w:tr w:rsidR="003E0147" w:rsidRPr="002029AF" w14:paraId="18A729B1" w14:textId="77777777" w:rsidTr="00D21185">
        <w:tc>
          <w:tcPr>
            <w:tcW w:w="5218" w:type="dxa"/>
            <w:hideMark/>
          </w:tcPr>
          <w:p w14:paraId="38EA5FD3" w14:textId="75CC78BE" w:rsidR="003E0147" w:rsidRPr="002029AF" w:rsidRDefault="003E0147" w:rsidP="00D21185">
            <w:pPr>
              <w:pStyle w:val="ARfintablebodybold"/>
              <w:rPr>
                <w:lang w:eastAsia="en-GB"/>
              </w:rPr>
            </w:pPr>
            <w:r w:rsidRPr="002029AF">
              <w:rPr>
                <w:lang w:eastAsia="en-GB"/>
              </w:rPr>
              <w:t>Total</w:t>
            </w:r>
            <w:r w:rsidR="000A5329" w:rsidRPr="002029AF">
              <w:rPr>
                <w:lang w:eastAsia="en-GB"/>
              </w:rPr>
              <w:t xml:space="preserve"> </w:t>
            </w:r>
            <w:r w:rsidRPr="002029AF">
              <w:rPr>
                <w:lang w:eastAsia="en-GB"/>
              </w:rPr>
              <w:t>other</w:t>
            </w:r>
            <w:r w:rsidR="000A5329" w:rsidRPr="002029AF">
              <w:rPr>
                <w:lang w:eastAsia="en-GB"/>
              </w:rPr>
              <w:t xml:space="preserve"> </w:t>
            </w:r>
            <w:r w:rsidRPr="002029AF">
              <w:rPr>
                <w:lang w:eastAsia="en-GB"/>
              </w:rPr>
              <w:t>economic</w:t>
            </w:r>
            <w:r w:rsidR="000A5329" w:rsidRPr="002029AF">
              <w:rPr>
                <w:lang w:eastAsia="en-GB"/>
              </w:rPr>
              <w:t xml:space="preserve"> </w:t>
            </w:r>
            <w:r w:rsidRPr="002029AF">
              <w:rPr>
                <w:lang w:eastAsia="en-GB"/>
              </w:rPr>
              <w:t>flows</w:t>
            </w:r>
            <w:r w:rsidR="000A5329" w:rsidRPr="002029AF">
              <w:rPr>
                <w:lang w:eastAsia="en-GB"/>
              </w:rPr>
              <w:t xml:space="preserve"> </w:t>
            </w:r>
            <w:r w:rsidRPr="002029AF">
              <w:rPr>
                <w:lang w:eastAsia="en-GB"/>
              </w:rPr>
              <w:t>included</w:t>
            </w:r>
            <w:r w:rsidR="000A5329" w:rsidRPr="002029AF">
              <w:rPr>
                <w:lang w:eastAsia="en-GB"/>
              </w:rPr>
              <w:t xml:space="preserve"> </w:t>
            </w:r>
            <w:r w:rsidRPr="002029AF">
              <w:rPr>
                <w:lang w:eastAsia="en-GB"/>
              </w:rPr>
              <w:t>in</w:t>
            </w:r>
            <w:r w:rsidR="000A5329" w:rsidRPr="002029AF">
              <w:rPr>
                <w:lang w:eastAsia="en-GB"/>
              </w:rPr>
              <w:t xml:space="preserve"> </w:t>
            </w:r>
            <w:r w:rsidRPr="002029AF">
              <w:rPr>
                <w:lang w:eastAsia="en-GB"/>
              </w:rPr>
              <w:t>net</w:t>
            </w:r>
            <w:r w:rsidR="000A5329" w:rsidRPr="002029AF">
              <w:rPr>
                <w:lang w:eastAsia="en-GB"/>
              </w:rPr>
              <w:t xml:space="preserve"> </w:t>
            </w:r>
            <w:r w:rsidRPr="002029AF">
              <w:rPr>
                <w:lang w:eastAsia="en-GB"/>
              </w:rPr>
              <w:t>result</w:t>
            </w:r>
          </w:p>
        </w:tc>
        <w:tc>
          <w:tcPr>
            <w:tcW w:w="1247" w:type="dxa"/>
            <w:hideMark/>
          </w:tcPr>
          <w:p w14:paraId="126AF6D9" w14:textId="77777777" w:rsidR="003E0147" w:rsidRPr="002029AF" w:rsidRDefault="003E0147" w:rsidP="00D21185">
            <w:pPr>
              <w:pStyle w:val="ARfintablebodyrightbold"/>
              <w:rPr>
                <w:lang w:eastAsia="en-GB"/>
              </w:rPr>
            </w:pPr>
            <w:r w:rsidRPr="002029AF">
              <w:rPr>
                <w:lang w:eastAsia="en-GB"/>
              </w:rPr>
              <w:t>4</w:t>
            </w:r>
          </w:p>
        </w:tc>
        <w:tc>
          <w:tcPr>
            <w:tcW w:w="1247" w:type="dxa"/>
            <w:hideMark/>
          </w:tcPr>
          <w:p w14:paraId="2C8CAA77" w14:textId="77777777" w:rsidR="003E0147" w:rsidRPr="002029AF" w:rsidRDefault="003E0147" w:rsidP="00D21185">
            <w:pPr>
              <w:pStyle w:val="ARfintablebodyrightbold"/>
              <w:rPr>
                <w:lang w:eastAsia="en-GB"/>
              </w:rPr>
            </w:pPr>
            <w:r w:rsidRPr="002029AF">
              <w:rPr>
                <w:lang w:eastAsia="en-GB"/>
              </w:rPr>
              <w:t>8</w:t>
            </w:r>
          </w:p>
        </w:tc>
        <w:tc>
          <w:tcPr>
            <w:tcW w:w="1247" w:type="dxa"/>
            <w:hideMark/>
          </w:tcPr>
          <w:p w14:paraId="2B746395" w14:textId="77777777" w:rsidR="003E0147" w:rsidRPr="002029AF" w:rsidRDefault="003E0147" w:rsidP="00D21185">
            <w:pPr>
              <w:pStyle w:val="ARfintablebodyrightbold"/>
              <w:rPr>
                <w:lang w:eastAsia="en-GB"/>
              </w:rPr>
            </w:pPr>
            <w:r w:rsidRPr="002029AF">
              <w:rPr>
                <w:lang w:eastAsia="en-GB"/>
              </w:rPr>
              <w:t>(44.9)</w:t>
            </w:r>
          </w:p>
        </w:tc>
        <w:tc>
          <w:tcPr>
            <w:tcW w:w="680" w:type="dxa"/>
            <w:hideMark/>
          </w:tcPr>
          <w:p w14:paraId="2B1D287E" w14:textId="77777777" w:rsidR="003E0147" w:rsidRPr="002029AF" w:rsidRDefault="003E0147" w:rsidP="00D21185">
            <w:pPr>
              <w:pStyle w:val="ARfintablebodyright"/>
              <w:rPr>
                <w:lang w:eastAsia="en-GB"/>
              </w:rPr>
            </w:pPr>
          </w:p>
        </w:tc>
      </w:tr>
      <w:tr w:rsidR="003E0147" w:rsidRPr="002029AF" w14:paraId="5D9D7D22" w14:textId="77777777" w:rsidTr="00D21185">
        <w:tc>
          <w:tcPr>
            <w:tcW w:w="5218" w:type="dxa"/>
            <w:hideMark/>
          </w:tcPr>
          <w:p w14:paraId="5FF71C74" w14:textId="17A6D934" w:rsidR="003E0147" w:rsidRPr="002029AF" w:rsidRDefault="003E0147" w:rsidP="00D21185">
            <w:pPr>
              <w:pStyle w:val="ARfintablebodybold"/>
              <w:rPr>
                <w:lang w:eastAsia="en-GB"/>
              </w:rPr>
            </w:pPr>
            <w:r w:rsidRPr="002029AF">
              <w:rPr>
                <w:lang w:eastAsia="en-GB"/>
              </w:rPr>
              <w:t>Net</w:t>
            </w:r>
            <w:r w:rsidR="000A5329" w:rsidRPr="002029AF">
              <w:rPr>
                <w:lang w:eastAsia="en-GB"/>
              </w:rPr>
              <w:t xml:space="preserve"> </w:t>
            </w:r>
            <w:r w:rsidRPr="002029AF">
              <w:rPr>
                <w:lang w:eastAsia="en-GB"/>
              </w:rPr>
              <w:t>result</w:t>
            </w:r>
          </w:p>
        </w:tc>
        <w:tc>
          <w:tcPr>
            <w:tcW w:w="1247" w:type="dxa"/>
            <w:hideMark/>
          </w:tcPr>
          <w:p w14:paraId="260B6DFA" w14:textId="77777777" w:rsidR="003E0147" w:rsidRPr="002029AF" w:rsidRDefault="003E0147" w:rsidP="00D21185">
            <w:pPr>
              <w:pStyle w:val="ARfintablebodyrightbold"/>
              <w:rPr>
                <w:lang w:eastAsia="en-GB"/>
              </w:rPr>
            </w:pPr>
            <w:r w:rsidRPr="002029AF">
              <w:rPr>
                <w:lang w:eastAsia="en-GB"/>
              </w:rPr>
              <w:t>343.2</w:t>
            </w:r>
          </w:p>
        </w:tc>
        <w:tc>
          <w:tcPr>
            <w:tcW w:w="1247" w:type="dxa"/>
            <w:hideMark/>
          </w:tcPr>
          <w:p w14:paraId="1F86CF83" w14:textId="77777777" w:rsidR="003E0147" w:rsidRPr="002029AF" w:rsidRDefault="003E0147" w:rsidP="00D21185">
            <w:pPr>
              <w:pStyle w:val="ARfintablebodyrightbold"/>
              <w:rPr>
                <w:lang w:eastAsia="en-GB"/>
              </w:rPr>
            </w:pPr>
            <w:r w:rsidRPr="002029AF">
              <w:rPr>
                <w:lang w:eastAsia="en-GB"/>
              </w:rPr>
              <w:t>–</w:t>
            </w:r>
          </w:p>
        </w:tc>
        <w:tc>
          <w:tcPr>
            <w:tcW w:w="1247" w:type="dxa"/>
            <w:hideMark/>
          </w:tcPr>
          <w:p w14:paraId="11D39734" w14:textId="77777777" w:rsidR="003E0147" w:rsidRPr="002029AF" w:rsidRDefault="003E0147" w:rsidP="00D21185">
            <w:pPr>
              <w:pStyle w:val="ARfintablebodyrightbold"/>
              <w:rPr>
                <w:lang w:eastAsia="en-GB"/>
              </w:rPr>
            </w:pPr>
            <w:r w:rsidRPr="002029AF">
              <w:rPr>
                <w:lang w:eastAsia="en-GB"/>
              </w:rPr>
              <w:t>–</w:t>
            </w:r>
          </w:p>
        </w:tc>
        <w:tc>
          <w:tcPr>
            <w:tcW w:w="680" w:type="dxa"/>
            <w:hideMark/>
          </w:tcPr>
          <w:p w14:paraId="7D5C6BB8" w14:textId="77777777" w:rsidR="003E0147" w:rsidRPr="002029AF" w:rsidRDefault="003E0147" w:rsidP="00D21185">
            <w:pPr>
              <w:pStyle w:val="ARfintablebodyright"/>
              <w:rPr>
                <w:lang w:eastAsia="en-GB"/>
              </w:rPr>
            </w:pPr>
          </w:p>
        </w:tc>
      </w:tr>
      <w:tr w:rsidR="003E0147" w:rsidRPr="002029AF" w14:paraId="0416E598" w14:textId="77777777" w:rsidTr="00DB53E6">
        <w:tc>
          <w:tcPr>
            <w:tcW w:w="5218" w:type="dxa"/>
            <w:tcBorders>
              <w:bottom w:val="single" w:sz="4" w:space="0" w:color="auto"/>
            </w:tcBorders>
            <w:hideMark/>
          </w:tcPr>
          <w:p w14:paraId="7DD674F6" w14:textId="26980ABE" w:rsidR="003E0147" w:rsidRPr="002029AF" w:rsidRDefault="003E0147" w:rsidP="00D21185">
            <w:pPr>
              <w:pStyle w:val="ARfintablebodybold"/>
              <w:rPr>
                <w:lang w:eastAsia="en-GB"/>
              </w:rPr>
            </w:pPr>
            <w:r w:rsidRPr="002029AF">
              <w:rPr>
                <w:lang w:eastAsia="en-GB"/>
              </w:rPr>
              <w:t>Comprehensive</w:t>
            </w:r>
            <w:r w:rsidR="000A5329" w:rsidRPr="002029AF">
              <w:rPr>
                <w:lang w:eastAsia="en-GB"/>
              </w:rPr>
              <w:t xml:space="preserve"> </w:t>
            </w:r>
            <w:r w:rsidRPr="002029AF">
              <w:rPr>
                <w:lang w:eastAsia="en-GB"/>
              </w:rPr>
              <w:t>result</w:t>
            </w:r>
          </w:p>
        </w:tc>
        <w:tc>
          <w:tcPr>
            <w:tcW w:w="1247" w:type="dxa"/>
            <w:tcBorders>
              <w:bottom w:val="single" w:sz="4" w:space="0" w:color="auto"/>
            </w:tcBorders>
            <w:hideMark/>
          </w:tcPr>
          <w:p w14:paraId="27520BFD" w14:textId="77777777" w:rsidR="003E0147" w:rsidRPr="002029AF" w:rsidRDefault="003E0147" w:rsidP="00D21185">
            <w:pPr>
              <w:pStyle w:val="ARfintablebodyrightbold"/>
              <w:rPr>
                <w:lang w:eastAsia="en-GB"/>
              </w:rPr>
            </w:pPr>
            <w:r w:rsidRPr="002029AF">
              <w:rPr>
                <w:lang w:eastAsia="en-GB"/>
              </w:rPr>
              <w:t>343.2</w:t>
            </w:r>
          </w:p>
        </w:tc>
        <w:tc>
          <w:tcPr>
            <w:tcW w:w="1247" w:type="dxa"/>
            <w:tcBorders>
              <w:bottom w:val="single" w:sz="4" w:space="0" w:color="auto"/>
            </w:tcBorders>
            <w:hideMark/>
          </w:tcPr>
          <w:p w14:paraId="11A29DE3" w14:textId="77777777" w:rsidR="003E0147" w:rsidRPr="002029AF" w:rsidRDefault="003E0147" w:rsidP="00D21185">
            <w:pPr>
              <w:pStyle w:val="ARfintablebodyrightbold"/>
              <w:rPr>
                <w:lang w:eastAsia="en-GB"/>
              </w:rPr>
            </w:pPr>
            <w:r w:rsidRPr="002029AF">
              <w:rPr>
                <w:lang w:eastAsia="en-GB"/>
              </w:rPr>
              <w:t>–</w:t>
            </w:r>
          </w:p>
        </w:tc>
        <w:tc>
          <w:tcPr>
            <w:tcW w:w="1247" w:type="dxa"/>
            <w:tcBorders>
              <w:bottom w:val="single" w:sz="4" w:space="0" w:color="auto"/>
            </w:tcBorders>
            <w:hideMark/>
          </w:tcPr>
          <w:p w14:paraId="268FD10D" w14:textId="77777777" w:rsidR="003E0147" w:rsidRPr="002029AF" w:rsidRDefault="003E0147" w:rsidP="00D21185">
            <w:pPr>
              <w:pStyle w:val="ARfintablebodyrightbold"/>
              <w:rPr>
                <w:lang w:eastAsia="en-GB"/>
              </w:rPr>
            </w:pPr>
            <w:r w:rsidRPr="002029AF">
              <w:rPr>
                <w:lang w:eastAsia="en-GB"/>
              </w:rPr>
              <w:t>–</w:t>
            </w:r>
          </w:p>
        </w:tc>
        <w:tc>
          <w:tcPr>
            <w:tcW w:w="680" w:type="dxa"/>
            <w:tcBorders>
              <w:bottom w:val="single" w:sz="4" w:space="0" w:color="auto"/>
            </w:tcBorders>
            <w:hideMark/>
          </w:tcPr>
          <w:p w14:paraId="7653B36A" w14:textId="77777777" w:rsidR="003E0147" w:rsidRPr="002029AF" w:rsidRDefault="003E0147" w:rsidP="00D21185">
            <w:pPr>
              <w:pStyle w:val="ARfintablebodyright"/>
              <w:rPr>
                <w:lang w:eastAsia="en-GB"/>
              </w:rPr>
            </w:pPr>
          </w:p>
        </w:tc>
      </w:tr>
      <w:tr w:rsidR="00D21185" w:rsidRPr="002029AF" w14:paraId="38A512EE" w14:textId="77777777" w:rsidTr="00DB53E6">
        <w:tc>
          <w:tcPr>
            <w:tcW w:w="9639" w:type="dxa"/>
            <w:gridSpan w:val="5"/>
            <w:tcBorders>
              <w:top w:val="single" w:sz="4" w:space="0" w:color="auto"/>
              <w:bottom w:val="single" w:sz="4" w:space="0" w:color="A6A6A6"/>
            </w:tcBorders>
            <w:hideMark/>
          </w:tcPr>
          <w:p w14:paraId="587C6E6C" w14:textId="187B94E2" w:rsidR="00D21185" w:rsidRPr="002029AF" w:rsidRDefault="00D21185" w:rsidP="00D21185">
            <w:pPr>
              <w:pStyle w:val="ARfintablebodybold"/>
              <w:rPr>
                <w:lang w:eastAsia="en-GB"/>
              </w:rPr>
            </w:pPr>
            <w:r w:rsidRPr="002029AF">
              <w:rPr>
                <w:lang w:eastAsia="en-GB"/>
              </w:rPr>
              <w:t>Administered</w:t>
            </w:r>
            <w:r w:rsidR="000A5329" w:rsidRPr="002029AF">
              <w:rPr>
                <w:lang w:eastAsia="en-GB"/>
              </w:rPr>
              <w:t xml:space="preserve"> </w:t>
            </w:r>
            <w:r w:rsidRPr="002029AF">
              <w:rPr>
                <w:lang w:eastAsia="en-GB"/>
              </w:rPr>
              <w:t>assets</w:t>
            </w:r>
          </w:p>
        </w:tc>
      </w:tr>
      <w:tr w:rsidR="003E0147" w:rsidRPr="002029AF" w14:paraId="42CFB3EC" w14:textId="77777777" w:rsidTr="00DB53E6">
        <w:tc>
          <w:tcPr>
            <w:tcW w:w="5218" w:type="dxa"/>
            <w:tcBorders>
              <w:top w:val="single" w:sz="4" w:space="0" w:color="A6A6A6"/>
              <w:bottom w:val="single" w:sz="4" w:space="0" w:color="A6A6A6"/>
            </w:tcBorders>
            <w:hideMark/>
          </w:tcPr>
          <w:p w14:paraId="2FD40B4E" w14:textId="511FBE91" w:rsidR="003E0147" w:rsidRPr="002029AF" w:rsidRDefault="003E0147" w:rsidP="003E0147">
            <w:pPr>
              <w:pStyle w:val="ARfintablebody"/>
              <w:rPr>
                <w:lang w:eastAsia="en-GB"/>
              </w:rPr>
            </w:pPr>
            <w:r w:rsidRPr="002029AF">
              <w:rPr>
                <w:lang w:eastAsia="en-GB"/>
              </w:rPr>
              <w:t>Cash</w:t>
            </w:r>
            <w:r w:rsidR="000A5329" w:rsidRPr="002029AF">
              <w:rPr>
                <w:lang w:eastAsia="en-GB"/>
              </w:rPr>
              <w:t xml:space="preserve"> </w:t>
            </w:r>
            <w:r w:rsidRPr="002029AF">
              <w:rPr>
                <w:lang w:eastAsia="en-GB"/>
              </w:rPr>
              <w:t>and</w:t>
            </w:r>
            <w:r w:rsidR="000A5329" w:rsidRPr="002029AF">
              <w:rPr>
                <w:lang w:eastAsia="en-GB"/>
              </w:rPr>
              <w:t xml:space="preserve"> </w:t>
            </w:r>
            <w:r w:rsidRPr="002029AF">
              <w:rPr>
                <w:lang w:eastAsia="en-GB"/>
              </w:rPr>
              <w:t>deposits</w:t>
            </w:r>
          </w:p>
        </w:tc>
        <w:tc>
          <w:tcPr>
            <w:tcW w:w="1247" w:type="dxa"/>
            <w:tcBorders>
              <w:top w:val="single" w:sz="4" w:space="0" w:color="A6A6A6"/>
              <w:bottom w:val="single" w:sz="4" w:space="0" w:color="A6A6A6"/>
            </w:tcBorders>
            <w:hideMark/>
          </w:tcPr>
          <w:p w14:paraId="74C276D1" w14:textId="77777777" w:rsidR="003E0147" w:rsidRPr="002029AF" w:rsidRDefault="003E0147" w:rsidP="003E0147">
            <w:pPr>
              <w:pStyle w:val="ARfintablebodyright"/>
              <w:rPr>
                <w:lang w:eastAsia="en-GB"/>
              </w:rPr>
            </w:pPr>
            <w:r w:rsidRPr="002029AF">
              <w:rPr>
                <w:lang w:eastAsia="en-GB"/>
              </w:rPr>
              <w:t>55</w:t>
            </w:r>
          </w:p>
        </w:tc>
        <w:tc>
          <w:tcPr>
            <w:tcW w:w="1247" w:type="dxa"/>
            <w:tcBorders>
              <w:top w:val="single" w:sz="4" w:space="0" w:color="A6A6A6"/>
              <w:bottom w:val="single" w:sz="4" w:space="0" w:color="A6A6A6"/>
            </w:tcBorders>
            <w:hideMark/>
          </w:tcPr>
          <w:p w14:paraId="635514B4" w14:textId="77777777" w:rsidR="003E0147" w:rsidRPr="002029AF" w:rsidRDefault="003E0147" w:rsidP="003E0147">
            <w:pPr>
              <w:pStyle w:val="ARfintablebodyright"/>
              <w:rPr>
                <w:lang w:eastAsia="en-GB"/>
              </w:rPr>
            </w:pPr>
            <w:r w:rsidRPr="002029AF">
              <w:rPr>
                <w:lang w:eastAsia="en-GB"/>
              </w:rPr>
              <w:t>30</w:t>
            </w:r>
          </w:p>
        </w:tc>
        <w:tc>
          <w:tcPr>
            <w:tcW w:w="1247" w:type="dxa"/>
            <w:tcBorders>
              <w:top w:val="single" w:sz="4" w:space="0" w:color="A6A6A6"/>
              <w:bottom w:val="single" w:sz="4" w:space="0" w:color="A6A6A6"/>
            </w:tcBorders>
            <w:hideMark/>
          </w:tcPr>
          <w:p w14:paraId="52082311" w14:textId="77777777" w:rsidR="003E0147" w:rsidRPr="002029AF" w:rsidRDefault="003E0147" w:rsidP="003E0147">
            <w:pPr>
              <w:pStyle w:val="ARfintablebodyright"/>
              <w:rPr>
                <w:lang w:eastAsia="en-GB"/>
              </w:rPr>
            </w:pPr>
            <w:r w:rsidRPr="002029AF">
              <w:rPr>
                <w:lang w:eastAsia="en-GB"/>
              </w:rPr>
              <w:t>82.3</w:t>
            </w:r>
          </w:p>
        </w:tc>
        <w:tc>
          <w:tcPr>
            <w:tcW w:w="680" w:type="dxa"/>
            <w:tcBorders>
              <w:top w:val="single" w:sz="4" w:space="0" w:color="A6A6A6"/>
              <w:bottom w:val="single" w:sz="4" w:space="0" w:color="A6A6A6"/>
            </w:tcBorders>
            <w:hideMark/>
          </w:tcPr>
          <w:p w14:paraId="1D362FAD" w14:textId="77777777" w:rsidR="003E0147" w:rsidRPr="002029AF" w:rsidRDefault="003E0147" w:rsidP="00D21185">
            <w:pPr>
              <w:pStyle w:val="ARfintablebodyright"/>
              <w:rPr>
                <w:lang w:eastAsia="en-GB"/>
              </w:rPr>
            </w:pPr>
          </w:p>
        </w:tc>
      </w:tr>
      <w:tr w:rsidR="003E0147" w:rsidRPr="002029AF" w14:paraId="1A93FC97" w14:textId="77777777" w:rsidTr="00DB53E6">
        <w:tc>
          <w:tcPr>
            <w:tcW w:w="5218" w:type="dxa"/>
            <w:tcBorders>
              <w:top w:val="single" w:sz="4" w:space="0" w:color="A6A6A6"/>
              <w:bottom w:val="single" w:sz="4" w:space="0" w:color="A6A6A6"/>
            </w:tcBorders>
            <w:hideMark/>
          </w:tcPr>
          <w:p w14:paraId="353647CA" w14:textId="77777777" w:rsidR="003E0147" w:rsidRPr="002029AF" w:rsidRDefault="003E0147" w:rsidP="003E0147">
            <w:pPr>
              <w:pStyle w:val="ARfintablebody"/>
              <w:rPr>
                <w:lang w:eastAsia="en-GB"/>
              </w:rPr>
            </w:pPr>
            <w:r w:rsidRPr="002029AF">
              <w:rPr>
                <w:lang w:eastAsia="en-GB"/>
              </w:rPr>
              <w:t>Receivables</w:t>
            </w:r>
          </w:p>
        </w:tc>
        <w:tc>
          <w:tcPr>
            <w:tcW w:w="1247" w:type="dxa"/>
            <w:tcBorders>
              <w:top w:val="single" w:sz="4" w:space="0" w:color="A6A6A6"/>
              <w:bottom w:val="single" w:sz="4" w:space="0" w:color="A6A6A6"/>
            </w:tcBorders>
            <w:hideMark/>
          </w:tcPr>
          <w:p w14:paraId="7E6CEF2A" w14:textId="77777777" w:rsidR="003E0147" w:rsidRPr="002029AF" w:rsidRDefault="003E0147" w:rsidP="003E0147">
            <w:pPr>
              <w:pStyle w:val="ARfintablebodyright"/>
              <w:rPr>
                <w:lang w:eastAsia="en-GB"/>
              </w:rPr>
            </w:pPr>
            <w:r w:rsidRPr="002029AF">
              <w:rPr>
                <w:lang w:eastAsia="en-GB"/>
              </w:rPr>
              <w:t>910</w:t>
            </w:r>
          </w:p>
        </w:tc>
        <w:tc>
          <w:tcPr>
            <w:tcW w:w="1247" w:type="dxa"/>
            <w:tcBorders>
              <w:top w:val="single" w:sz="4" w:space="0" w:color="A6A6A6"/>
              <w:bottom w:val="single" w:sz="4" w:space="0" w:color="A6A6A6"/>
            </w:tcBorders>
            <w:hideMark/>
          </w:tcPr>
          <w:p w14:paraId="342015D8" w14:textId="77777777" w:rsidR="003E0147" w:rsidRPr="002029AF" w:rsidRDefault="003E0147" w:rsidP="003E0147">
            <w:pPr>
              <w:pStyle w:val="ARfintablebodyright"/>
              <w:rPr>
                <w:lang w:eastAsia="en-GB"/>
              </w:rPr>
            </w:pPr>
            <w:r w:rsidRPr="002029AF">
              <w:rPr>
                <w:lang w:eastAsia="en-GB"/>
              </w:rPr>
              <w:t>76</w:t>
            </w:r>
          </w:p>
        </w:tc>
        <w:tc>
          <w:tcPr>
            <w:tcW w:w="1247" w:type="dxa"/>
            <w:tcBorders>
              <w:top w:val="single" w:sz="4" w:space="0" w:color="A6A6A6"/>
              <w:bottom w:val="single" w:sz="4" w:space="0" w:color="A6A6A6"/>
            </w:tcBorders>
            <w:hideMark/>
          </w:tcPr>
          <w:p w14:paraId="4DF2D569" w14:textId="77777777" w:rsidR="003E0147" w:rsidRPr="002029AF" w:rsidRDefault="003E0147" w:rsidP="003E0147">
            <w:pPr>
              <w:pStyle w:val="ARfintablebodyright"/>
              <w:rPr>
                <w:lang w:eastAsia="en-GB"/>
              </w:rPr>
            </w:pPr>
            <w:r w:rsidRPr="002029AF">
              <w:rPr>
                <w:lang w:eastAsia="en-GB"/>
              </w:rPr>
              <w:t>1,097.2</w:t>
            </w:r>
          </w:p>
        </w:tc>
        <w:tc>
          <w:tcPr>
            <w:tcW w:w="680" w:type="dxa"/>
            <w:tcBorders>
              <w:top w:val="single" w:sz="4" w:space="0" w:color="A6A6A6"/>
              <w:bottom w:val="single" w:sz="4" w:space="0" w:color="A6A6A6"/>
            </w:tcBorders>
            <w:hideMark/>
          </w:tcPr>
          <w:p w14:paraId="77F20418" w14:textId="77777777" w:rsidR="003E0147" w:rsidRPr="002029AF" w:rsidRDefault="003E0147" w:rsidP="00D21185">
            <w:pPr>
              <w:pStyle w:val="ARfintablebodyrightbold"/>
              <w:rPr>
                <w:lang w:eastAsia="en-GB"/>
              </w:rPr>
            </w:pPr>
            <w:r w:rsidRPr="002029AF">
              <w:rPr>
                <w:lang w:eastAsia="en-GB"/>
              </w:rPr>
              <w:t>5</w:t>
            </w:r>
          </w:p>
        </w:tc>
      </w:tr>
      <w:tr w:rsidR="003E0147" w:rsidRPr="002029AF" w14:paraId="4E1EAC9A" w14:textId="77777777" w:rsidTr="00DB53E6">
        <w:tc>
          <w:tcPr>
            <w:tcW w:w="5218" w:type="dxa"/>
            <w:tcBorders>
              <w:top w:val="single" w:sz="4" w:space="0" w:color="A6A6A6"/>
            </w:tcBorders>
            <w:hideMark/>
          </w:tcPr>
          <w:p w14:paraId="3A4DE7AD" w14:textId="29952602" w:rsidR="003E0147" w:rsidRPr="002029AF" w:rsidRDefault="003E0147" w:rsidP="003E0147">
            <w:pPr>
              <w:pStyle w:val="ARfintablebody"/>
              <w:rPr>
                <w:lang w:eastAsia="en-GB"/>
              </w:rPr>
            </w:pPr>
            <w:r w:rsidRPr="002029AF">
              <w:rPr>
                <w:lang w:eastAsia="en-GB"/>
              </w:rPr>
              <w:t>Other</w:t>
            </w:r>
            <w:r w:rsidR="000A5329" w:rsidRPr="002029AF">
              <w:rPr>
                <w:lang w:eastAsia="en-GB"/>
              </w:rPr>
              <w:t xml:space="preserve"> </w:t>
            </w:r>
            <w:r w:rsidRPr="002029AF">
              <w:rPr>
                <w:lang w:eastAsia="en-GB"/>
              </w:rPr>
              <w:t>financial</w:t>
            </w:r>
            <w:r w:rsidR="000A5329" w:rsidRPr="002029AF">
              <w:rPr>
                <w:lang w:eastAsia="en-GB"/>
              </w:rPr>
              <w:t xml:space="preserve"> </w:t>
            </w:r>
            <w:r w:rsidRPr="002029AF">
              <w:rPr>
                <w:lang w:eastAsia="en-GB"/>
              </w:rPr>
              <w:t>assets</w:t>
            </w:r>
          </w:p>
        </w:tc>
        <w:tc>
          <w:tcPr>
            <w:tcW w:w="1247" w:type="dxa"/>
            <w:tcBorders>
              <w:top w:val="single" w:sz="4" w:space="0" w:color="A6A6A6"/>
            </w:tcBorders>
            <w:hideMark/>
          </w:tcPr>
          <w:p w14:paraId="59BDA1E0" w14:textId="77777777" w:rsidR="003E0147" w:rsidRPr="002029AF" w:rsidRDefault="003E0147" w:rsidP="003E0147">
            <w:pPr>
              <w:pStyle w:val="ARfintablebodyright"/>
              <w:rPr>
                <w:lang w:eastAsia="en-GB"/>
              </w:rPr>
            </w:pPr>
            <w:r w:rsidRPr="002029AF">
              <w:rPr>
                <w:lang w:eastAsia="en-GB"/>
              </w:rPr>
              <w:t>3</w:t>
            </w:r>
          </w:p>
        </w:tc>
        <w:tc>
          <w:tcPr>
            <w:tcW w:w="1247" w:type="dxa"/>
            <w:tcBorders>
              <w:top w:val="single" w:sz="4" w:space="0" w:color="A6A6A6"/>
            </w:tcBorders>
            <w:hideMark/>
          </w:tcPr>
          <w:p w14:paraId="5AF7F9E5" w14:textId="77777777" w:rsidR="003E0147" w:rsidRPr="002029AF" w:rsidRDefault="003E0147" w:rsidP="003E0147">
            <w:pPr>
              <w:pStyle w:val="ARfintablebodyright"/>
              <w:rPr>
                <w:lang w:eastAsia="en-GB"/>
              </w:rPr>
            </w:pPr>
            <w:r w:rsidRPr="002029AF">
              <w:rPr>
                <w:lang w:eastAsia="en-GB"/>
              </w:rPr>
              <w:t>12</w:t>
            </w:r>
          </w:p>
        </w:tc>
        <w:tc>
          <w:tcPr>
            <w:tcW w:w="1247" w:type="dxa"/>
            <w:tcBorders>
              <w:top w:val="single" w:sz="4" w:space="0" w:color="A6A6A6"/>
            </w:tcBorders>
            <w:hideMark/>
          </w:tcPr>
          <w:p w14:paraId="763AB921" w14:textId="77777777" w:rsidR="003E0147" w:rsidRPr="002029AF" w:rsidRDefault="003E0147" w:rsidP="003E0147">
            <w:pPr>
              <w:pStyle w:val="ARfintablebodyright"/>
              <w:rPr>
                <w:lang w:eastAsia="en-GB"/>
              </w:rPr>
            </w:pPr>
            <w:r w:rsidRPr="002029AF">
              <w:rPr>
                <w:lang w:eastAsia="en-GB"/>
              </w:rPr>
              <w:t>(71.7)</w:t>
            </w:r>
          </w:p>
        </w:tc>
        <w:tc>
          <w:tcPr>
            <w:tcW w:w="680" w:type="dxa"/>
            <w:tcBorders>
              <w:top w:val="single" w:sz="4" w:space="0" w:color="A6A6A6"/>
            </w:tcBorders>
            <w:hideMark/>
          </w:tcPr>
          <w:p w14:paraId="45DD1941" w14:textId="77777777" w:rsidR="003E0147" w:rsidRPr="002029AF" w:rsidRDefault="003E0147" w:rsidP="00D21185">
            <w:pPr>
              <w:pStyle w:val="ARfintablebodyright"/>
              <w:rPr>
                <w:lang w:eastAsia="en-GB"/>
              </w:rPr>
            </w:pPr>
          </w:p>
        </w:tc>
      </w:tr>
      <w:tr w:rsidR="003E0147" w:rsidRPr="002029AF" w14:paraId="37607FD4" w14:textId="77777777" w:rsidTr="00DB53E6">
        <w:tc>
          <w:tcPr>
            <w:tcW w:w="5218" w:type="dxa"/>
            <w:tcBorders>
              <w:bottom w:val="single" w:sz="4" w:space="0" w:color="auto"/>
            </w:tcBorders>
            <w:hideMark/>
          </w:tcPr>
          <w:p w14:paraId="09D06F8F" w14:textId="6492CB4C" w:rsidR="003E0147" w:rsidRPr="002029AF" w:rsidRDefault="003E0147" w:rsidP="00D21185">
            <w:pPr>
              <w:pStyle w:val="ARfintablebodybold"/>
              <w:rPr>
                <w:lang w:eastAsia="en-GB"/>
              </w:rPr>
            </w:pPr>
            <w:r w:rsidRPr="002029AF">
              <w:rPr>
                <w:lang w:eastAsia="en-GB"/>
              </w:rPr>
              <w:t>Total</w:t>
            </w:r>
            <w:r w:rsidR="000A5329" w:rsidRPr="002029AF">
              <w:rPr>
                <w:lang w:eastAsia="en-GB"/>
              </w:rPr>
              <w:t xml:space="preserve"> </w:t>
            </w:r>
            <w:r w:rsidRPr="002029AF">
              <w:rPr>
                <w:lang w:eastAsia="en-GB"/>
              </w:rPr>
              <w:t>administered</w:t>
            </w:r>
            <w:r w:rsidR="000A5329" w:rsidRPr="002029AF">
              <w:rPr>
                <w:lang w:eastAsia="en-GB"/>
              </w:rPr>
              <w:t xml:space="preserve"> </w:t>
            </w:r>
            <w:r w:rsidRPr="002029AF">
              <w:rPr>
                <w:lang w:eastAsia="en-GB"/>
              </w:rPr>
              <w:t>assets</w:t>
            </w:r>
          </w:p>
        </w:tc>
        <w:tc>
          <w:tcPr>
            <w:tcW w:w="1247" w:type="dxa"/>
            <w:tcBorders>
              <w:bottom w:val="single" w:sz="4" w:space="0" w:color="auto"/>
            </w:tcBorders>
            <w:hideMark/>
          </w:tcPr>
          <w:p w14:paraId="1C546BBC" w14:textId="77777777" w:rsidR="003E0147" w:rsidRPr="002029AF" w:rsidRDefault="003E0147" w:rsidP="00D21185">
            <w:pPr>
              <w:pStyle w:val="ARfintablebodyrightbold"/>
              <w:rPr>
                <w:lang w:eastAsia="en-GB"/>
              </w:rPr>
            </w:pPr>
            <w:r w:rsidRPr="002029AF">
              <w:rPr>
                <w:lang w:eastAsia="en-GB"/>
              </w:rPr>
              <w:t>968.0</w:t>
            </w:r>
          </w:p>
        </w:tc>
        <w:tc>
          <w:tcPr>
            <w:tcW w:w="1247" w:type="dxa"/>
            <w:tcBorders>
              <w:bottom w:val="single" w:sz="4" w:space="0" w:color="auto"/>
            </w:tcBorders>
            <w:hideMark/>
          </w:tcPr>
          <w:p w14:paraId="6DB5DA45" w14:textId="77777777" w:rsidR="003E0147" w:rsidRPr="002029AF" w:rsidRDefault="003E0147" w:rsidP="00D21185">
            <w:pPr>
              <w:pStyle w:val="ARfintablebodyrightbold"/>
              <w:rPr>
                <w:lang w:eastAsia="en-GB"/>
              </w:rPr>
            </w:pPr>
            <w:r w:rsidRPr="002029AF">
              <w:rPr>
                <w:lang w:eastAsia="en-GB"/>
              </w:rPr>
              <w:t>118</w:t>
            </w:r>
          </w:p>
        </w:tc>
        <w:tc>
          <w:tcPr>
            <w:tcW w:w="1247" w:type="dxa"/>
            <w:tcBorders>
              <w:bottom w:val="single" w:sz="4" w:space="0" w:color="auto"/>
            </w:tcBorders>
            <w:hideMark/>
          </w:tcPr>
          <w:p w14:paraId="74837423" w14:textId="77777777" w:rsidR="003E0147" w:rsidRPr="002029AF" w:rsidRDefault="003E0147" w:rsidP="00D21185">
            <w:pPr>
              <w:pStyle w:val="ARfintablebodyrightbold"/>
              <w:rPr>
                <w:lang w:eastAsia="en-GB"/>
              </w:rPr>
            </w:pPr>
            <w:r w:rsidRPr="002029AF">
              <w:rPr>
                <w:lang w:eastAsia="en-GB"/>
              </w:rPr>
              <w:t>720.3</w:t>
            </w:r>
          </w:p>
        </w:tc>
        <w:tc>
          <w:tcPr>
            <w:tcW w:w="680" w:type="dxa"/>
            <w:tcBorders>
              <w:bottom w:val="single" w:sz="4" w:space="0" w:color="auto"/>
            </w:tcBorders>
            <w:hideMark/>
          </w:tcPr>
          <w:p w14:paraId="720B5248" w14:textId="77777777" w:rsidR="003E0147" w:rsidRPr="002029AF" w:rsidRDefault="003E0147" w:rsidP="00D21185">
            <w:pPr>
              <w:pStyle w:val="ARfintablebodyright"/>
              <w:rPr>
                <w:lang w:eastAsia="en-GB"/>
              </w:rPr>
            </w:pPr>
          </w:p>
        </w:tc>
      </w:tr>
      <w:tr w:rsidR="00D21185" w:rsidRPr="002029AF" w14:paraId="7CC8DDE3" w14:textId="77777777" w:rsidTr="00DB53E6">
        <w:tc>
          <w:tcPr>
            <w:tcW w:w="9639" w:type="dxa"/>
            <w:gridSpan w:val="5"/>
            <w:tcBorders>
              <w:top w:val="single" w:sz="4" w:space="0" w:color="auto"/>
              <w:bottom w:val="single" w:sz="4" w:space="0" w:color="A6A6A6"/>
            </w:tcBorders>
            <w:hideMark/>
          </w:tcPr>
          <w:p w14:paraId="4A6E192E" w14:textId="5D367E9B" w:rsidR="00D21185" w:rsidRPr="002029AF" w:rsidRDefault="00D21185" w:rsidP="00D21185">
            <w:pPr>
              <w:pStyle w:val="ARfintablebodybold"/>
              <w:rPr>
                <w:lang w:eastAsia="en-GB"/>
              </w:rPr>
            </w:pPr>
            <w:r w:rsidRPr="002029AF">
              <w:rPr>
                <w:lang w:eastAsia="en-GB"/>
              </w:rPr>
              <w:t>Administered</w:t>
            </w:r>
            <w:r w:rsidR="000A5329" w:rsidRPr="002029AF">
              <w:rPr>
                <w:lang w:eastAsia="en-GB"/>
              </w:rPr>
              <w:t xml:space="preserve"> </w:t>
            </w:r>
            <w:r w:rsidRPr="002029AF">
              <w:rPr>
                <w:lang w:eastAsia="en-GB"/>
              </w:rPr>
              <w:t>liabilities</w:t>
            </w:r>
          </w:p>
        </w:tc>
      </w:tr>
      <w:tr w:rsidR="003E0147" w:rsidRPr="002029AF" w14:paraId="24C5B634" w14:textId="77777777" w:rsidTr="00DB53E6">
        <w:tc>
          <w:tcPr>
            <w:tcW w:w="5218" w:type="dxa"/>
            <w:tcBorders>
              <w:top w:val="single" w:sz="4" w:space="0" w:color="A6A6A6"/>
              <w:bottom w:val="single" w:sz="4" w:space="0" w:color="A6A6A6"/>
            </w:tcBorders>
            <w:hideMark/>
          </w:tcPr>
          <w:p w14:paraId="40F5480C" w14:textId="77777777" w:rsidR="003E0147" w:rsidRPr="002029AF" w:rsidRDefault="003E0147" w:rsidP="003E0147">
            <w:pPr>
              <w:pStyle w:val="ARfintablebody"/>
              <w:rPr>
                <w:lang w:eastAsia="en-GB"/>
              </w:rPr>
            </w:pPr>
            <w:r w:rsidRPr="002029AF">
              <w:rPr>
                <w:lang w:eastAsia="en-GB"/>
              </w:rPr>
              <w:t>Payables</w:t>
            </w:r>
          </w:p>
        </w:tc>
        <w:tc>
          <w:tcPr>
            <w:tcW w:w="1247" w:type="dxa"/>
            <w:tcBorders>
              <w:top w:val="single" w:sz="4" w:space="0" w:color="A6A6A6"/>
              <w:bottom w:val="single" w:sz="4" w:space="0" w:color="A6A6A6"/>
            </w:tcBorders>
            <w:hideMark/>
          </w:tcPr>
          <w:p w14:paraId="1CD9D47F" w14:textId="77777777" w:rsidR="003E0147" w:rsidRPr="002029AF" w:rsidRDefault="003E0147" w:rsidP="003E0147">
            <w:pPr>
              <w:pStyle w:val="ARfintablebodyright"/>
              <w:rPr>
                <w:lang w:eastAsia="en-GB"/>
              </w:rPr>
            </w:pPr>
            <w:r w:rsidRPr="002029AF">
              <w:rPr>
                <w:lang w:eastAsia="en-GB"/>
              </w:rPr>
              <w:t>607</w:t>
            </w:r>
          </w:p>
        </w:tc>
        <w:tc>
          <w:tcPr>
            <w:tcW w:w="1247" w:type="dxa"/>
            <w:tcBorders>
              <w:top w:val="single" w:sz="4" w:space="0" w:color="A6A6A6"/>
              <w:bottom w:val="single" w:sz="4" w:space="0" w:color="A6A6A6"/>
            </w:tcBorders>
            <w:hideMark/>
          </w:tcPr>
          <w:p w14:paraId="6BB9C155" w14:textId="77777777" w:rsidR="003E0147" w:rsidRPr="002029AF" w:rsidRDefault="003E0147" w:rsidP="003E0147">
            <w:pPr>
              <w:pStyle w:val="ARfintablebodyright"/>
              <w:rPr>
                <w:lang w:eastAsia="en-GB"/>
              </w:rPr>
            </w:pPr>
            <w:r w:rsidRPr="002029AF">
              <w:rPr>
                <w:lang w:eastAsia="en-GB"/>
              </w:rPr>
              <w:t>63</w:t>
            </w:r>
          </w:p>
        </w:tc>
        <w:tc>
          <w:tcPr>
            <w:tcW w:w="1247" w:type="dxa"/>
            <w:tcBorders>
              <w:top w:val="single" w:sz="4" w:space="0" w:color="A6A6A6"/>
              <w:bottom w:val="single" w:sz="4" w:space="0" w:color="A6A6A6"/>
            </w:tcBorders>
            <w:hideMark/>
          </w:tcPr>
          <w:p w14:paraId="503AD8BB" w14:textId="77777777" w:rsidR="003E0147" w:rsidRPr="002029AF" w:rsidRDefault="003E0147" w:rsidP="003E0147">
            <w:pPr>
              <w:pStyle w:val="ARfintablebodyright"/>
              <w:rPr>
                <w:lang w:eastAsia="en-GB"/>
              </w:rPr>
            </w:pPr>
            <w:r w:rsidRPr="002029AF">
              <w:rPr>
                <w:lang w:eastAsia="en-GB"/>
              </w:rPr>
              <w:t>863.2</w:t>
            </w:r>
          </w:p>
        </w:tc>
        <w:tc>
          <w:tcPr>
            <w:tcW w:w="680" w:type="dxa"/>
            <w:tcBorders>
              <w:top w:val="single" w:sz="4" w:space="0" w:color="A6A6A6"/>
              <w:bottom w:val="single" w:sz="4" w:space="0" w:color="A6A6A6"/>
            </w:tcBorders>
            <w:hideMark/>
          </w:tcPr>
          <w:p w14:paraId="7C996BB3" w14:textId="77777777" w:rsidR="003E0147" w:rsidRPr="002029AF" w:rsidRDefault="003E0147" w:rsidP="00D21185">
            <w:pPr>
              <w:pStyle w:val="ARfintablebodyrightbold"/>
              <w:rPr>
                <w:lang w:eastAsia="en-GB"/>
              </w:rPr>
            </w:pPr>
            <w:r w:rsidRPr="002029AF">
              <w:rPr>
                <w:lang w:eastAsia="en-GB"/>
              </w:rPr>
              <w:t>6</w:t>
            </w:r>
          </w:p>
        </w:tc>
      </w:tr>
      <w:tr w:rsidR="003E0147" w:rsidRPr="002029AF" w14:paraId="7BE42844" w14:textId="77777777" w:rsidTr="00DB53E6">
        <w:tc>
          <w:tcPr>
            <w:tcW w:w="5218" w:type="dxa"/>
            <w:tcBorders>
              <w:top w:val="single" w:sz="4" w:space="0" w:color="A6A6A6"/>
            </w:tcBorders>
            <w:hideMark/>
          </w:tcPr>
          <w:p w14:paraId="4FEBAC40" w14:textId="77777777" w:rsidR="003E0147" w:rsidRPr="002029AF" w:rsidRDefault="003E0147" w:rsidP="003E0147">
            <w:pPr>
              <w:pStyle w:val="ARfintablebody"/>
              <w:rPr>
                <w:lang w:eastAsia="en-GB"/>
              </w:rPr>
            </w:pPr>
            <w:r w:rsidRPr="002029AF">
              <w:rPr>
                <w:lang w:eastAsia="en-GB"/>
              </w:rPr>
              <w:t>Provisions</w:t>
            </w:r>
          </w:p>
        </w:tc>
        <w:tc>
          <w:tcPr>
            <w:tcW w:w="1247" w:type="dxa"/>
            <w:tcBorders>
              <w:top w:val="single" w:sz="4" w:space="0" w:color="A6A6A6"/>
            </w:tcBorders>
            <w:hideMark/>
          </w:tcPr>
          <w:p w14:paraId="1F3BF868" w14:textId="77777777" w:rsidR="003E0147" w:rsidRPr="002029AF" w:rsidRDefault="003E0147" w:rsidP="003E0147">
            <w:pPr>
              <w:pStyle w:val="ARfintablebodyright"/>
              <w:rPr>
                <w:lang w:eastAsia="en-GB"/>
              </w:rPr>
            </w:pPr>
            <w:r w:rsidRPr="002029AF">
              <w:rPr>
                <w:lang w:eastAsia="en-GB"/>
              </w:rPr>
              <w:t>7</w:t>
            </w:r>
          </w:p>
        </w:tc>
        <w:tc>
          <w:tcPr>
            <w:tcW w:w="1247" w:type="dxa"/>
            <w:tcBorders>
              <w:top w:val="single" w:sz="4" w:space="0" w:color="A6A6A6"/>
            </w:tcBorders>
            <w:hideMark/>
          </w:tcPr>
          <w:p w14:paraId="5AB5697F" w14:textId="77777777" w:rsidR="003E0147" w:rsidRPr="002029AF" w:rsidRDefault="003E0147" w:rsidP="003E0147">
            <w:pPr>
              <w:pStyle w:val="ARfintablebodyright"/>
              <w:rPr>
                <w:lang w:eastAsia="en-GB"/>
              </w:rPr>
            </w:pPr>
            <w:r w:rsidRPr="002029AF">
              <w:rPr>
                <w:lang w:eastAsia="en-GB"/>
              </w:rPr>
              <w:t>15</w:t>
            </w:r>
          </w:p>
        </w:tc>
        <w:tc>
          <w:tcPr>
            <w:tcW w:w="1247" w:type="dxa"/>
            <w:tcBorders>
              <w:top w:val="single" w:sz="4" w:space="0" w:color="A6A6A6"/>
            </w:tcBorders>
            <w:hideMark/>
          </w:tcPr>
          <w:p w14:paraId="7C9D246B" w14:textId="77777777" w:rsidR="003E0147" w:rsidRPr="002029AF" w:rsidRDefault="003E0147" w:rsidP="003E0147">
            <w:pPr>
              <w:pStyle w:val="ARfintablebodyright"/>
              <w:rPr>
                <w:lang w:eastAsia="en-GB"/>
              </w:rPr>
            </w:pPr>
            <w:r w:rsidRPr="002029AF">
              <w:rPr>
                <w:lang w:eastAsia="en-GB"/>
              </w:rPr>
              <w:t>(55.2)</w:t>
            </w:r>
          </w:p>
        </w:tc>
        <w:tc>
          <w:tcPr>
            <w:tcW w:w="680" w:type="dxa"/>
            <w:tcBorders>
              <w:top w:val="single" w:sz="4" w:space="0" w:color="A6A6A6"/>
            </w:tcBorders>
            <w:hideMark/>
          </w:tcPr>
          <w:p w14:paraId="338B23AB" w14:textId="77777777" w:rsidR="003E0147" w:rsidRPr="002029AF" w:rsidRDefault="003E0147" w:rsidP="00D21185">
            <w:pPr>
              <w:pStyle w:val="ARfintablebodyright"/>
              <w:rPr>
                <w:lang w:eastAsia="en-GB"/>
              </w:rPr>
            </w:pPr>
          </w:p>
        </w:tc>
      </w:tr>
      <w:tr w:rsidR="003E0147" w:rsidRPr="002029AF" w14:paraId="5E21E70D" w14:textId="77777777" w:rsidTr="00D21185">
        <w:tc>
          <w:tcPr>
            <w:tcW w:w="5218" w:type="dxa"/>
            <w:hideMark/>
          </w:tcPr>
          <w:p w14:paraId="7AE9AE0A" w14:textId="766A5A1A" w:rsidR="003E0147" w:rsidRPr="002029AF" w:rsidRDefault="003E0147" w:rsidP="00D21185">
            <w:pPr>
              <w:pStyle w:val="ARfintablebodybold"/>
              <w:rPr>
                <w:lang w:eastAsia="en-GB"/>
              </w:rPr>
            </w:pPr>
            <w:r w:rsidRPr="002029AF">
              <w:rPr>
                <w:lang w:eastAsia="en-GB"/>
              </w:rPr>
              <w:t>Total</w:t>
            </w:r>
            <w:r w:rsidR="000A5329" w:rsidRPr="002029AF">
              <w:rPr>
                <w:lang w:eastAsia="en-GB"/>
              </w:rPr>
              <w:t xml:space="preserve"> </w:t>
            </w:r>
            <w:r w:rsidRPr="002029AF">
              <w:rPr>
                <w:lang w:eastAsia="en-GB"/>
              </w:rPr>
              <w:t>administered</w:t>
            </w:r>
            <w:r w:rsidR="000A5329" w:rsidRPr="002029AF">
              <w:rPr>
                <w:lang w:eastAsia="en-GB"/>
              </w:rPr>
              <w:t xml:space="preserve"> </w:t>
            </w:r>
            <w:r w:rsidRPr="002029AF">
              <w:rPr>
                <w:lang w:eastAsia="en-GB"/>
              </w:rPr>
              <w:t>liabilities</w:t>
            </w:r>
          </w:p>
        </w:tc>
        <w:tc>
          <w:tcPr>
            <w:tcW w:w="1247" w:type="dxa"/>
            <w:hideMark/>
          </w:tcPr>
          <w:p w14:paraId="71C6A0DA" w14:textId="77777777" w:rsidR="003E0147" w:rsidRPr="002029AF" w:rsidRDefault="003E0147" w:rsidP="00D21185">
            <w:pPr>
              <w:pStyle w:val="ARfintablebodyrightbold"/>
              <w:rPr>
                <w:lang w:eastAsia="en-GB"/>
              </w:rPr>
            </w:pPr>
            <w:r w:rsidRPr="002029AF">
              <w:rPr>
                <w:lang w:eastAsia="en-GB"/>
              </w:rPr>
              <w:t>614</w:t>
            </w:r>
          </w:p>
        </w:tc>
        <w:tc>
          <w:tcPr>
            <w:tcW w:w="1247" w:type="dxa"/>
            <w:hideMark/>
          </w:tcPr>
          <w:p w14:paraId="6C15C8B3" w14:textId="77777777" w:rsidR="003E0147" w:rsidRPr="002029AF" w:rsidRDefault="003E0147" w:rsidP="00D21185">
            <w:pPr>
              <w:pStyle w:val="ARfintablebodyrightbold"/>
              <w:rPr>
                <w:lang w:eastAsia="en-GB"/>
              </w:rPr>
            </w:pPr>
            <w:r w:rsidRPr="002029AF">
              <w:rPr>
                <w:lang w:eastAsia="en-GB"/>
              </w:rPr>
              <w:t>78</w:t>
            </w:r>
          </w:p>
        </w:tc>
        <w:tc>
          <w:tcPr>
            <w:tcW w:w="1247" w:type="dxa"/>
            <w:hideMark/>
          </w:tcPr>
          <w:p w14:paraId="1AC15E76" w14:textId="77777777" w:rsidR="003E0147" w:rsidRPr="002029AF" w:rsidRDefault="003E0147" w:rsidP="00D21185">
            <w:pPr>
              <w:pStyle w:val="ARfintablebodyrightbold"/>
              <w:rPr>
                <w:lang w:eastAsia="en-GB"/>
              </w:rPr>
            </w:pPr>
            <w:r w:rsidRPr="002029AF">
              <w:rPr>
                <w:lang w:eastAsia="en-GB"/>
              </w:rPr>
              <w:t>686.6</w:t>
            </w:r>
          </w:p>
        </w:tc>
        <w:tc>
          <w:tcPr>
            <w:tcW w:w="680" w:type="dxa"/>
            <w:hideMark/>
          </w:tcPr>
          <w:p w14:paraId="075189D8" w14:textId="77777777" w:rsidR="003E0147" w:rsidRPr="002029AF" w:rsidRDefault="003E0147" w:rsidP="00D21185">
            <w:pPr>
              <w:pStyle w:val="ARfintablebodyright"/>
              <w:rPr>
                <w:lang w:eastAsia="en-GB"/>
              </w:rPr>
            </w:pPr>
          </w:p>
        </w:tc>
      </w:tr>
      <w:tr w:rsidR="003E0147" w:rsidRPr="002029AF" w14:paraId="2C3370FB" w14:textId="77777777" w:rsidTr="00DB53E6">
        <w:tc>
          <w:tcPr>
            <w:tcW w:w="5218" w:type="dxa"/>
            <w:tcBorders>
              <w:bottom w:val="single" w:sz="4" w:space="0" w:color="auto"/>
            </w:tcBorders>
            <w:hideMark/>
          </w:tcPr>
          <w:p w14:paraId="55A9D7C8" w14:textId="123FFAD6" w:rsidR="003E0147" w:rsidRPr="002029AF" w:rsidRDefault="003E0147" w:rsidP="00D21185">
            <w:pPr>
              <w:pStyle w:val="ARfintablebodybold"/>
              <w:rPr>
                <w:lang w:eastAsia="en-GB"/>
              </w:rPr>
            </w:pPr>
            <w:r w:rsidRPr="002029AF">
              <w:rPr>
                <w:lang w:eastAsia="en-GB"/>
              </w:rPr>
              <w:t>Net</w:t>
            </w:r>
            <w:r w:rsidR="000A5329" w:rsidRPr="002029AF">
              <w:rPr>
                <w:lang w:eastAsia="en-GB"/>
              </w:rPr>
              <w:t xml:space="preserve"> </w:t>
            </w:r>
            <w:r w:rsidRPr="002029AF">
              <w:rPr>
                <w:lang w:eastAsia="en-GB"/>
              </w:rPr>
              <w:t>assets</w:t>
            </w:r>
          </w:p>
        </w:tc>
        <w:tc>
          <w:tcPr>
            <w:tcW w:w="1247" w:type="dxa"/>
            <w:tcBorders>
              <w:bottom w:val="single" w:sz="4" w:space="0" w:color="auto"/>
            </w:tcBorders>
            <w:hideMark/>
          </w:tcPr>
          <w:p w14:paraId="6FC7E95F" w14:textId="77777777" w:rsidR="003E0147" w:rsidRPr="002029AF" w:rsidRDefault="003E0147" w:rsidP="00D21185">
            <w:pPr>
              <w:pStyle w:val="ARfintablebodyrightbold"/>
              <w:rPr>
                <w:lang w:eastAsia="en-GB"/>
              </w:rPr>
            </w:pPr>
            <w:r w:rsidRPr="002029AF">
              <w:rPr>
                <w:lang w:eastAsia="en-GB"/>
              </w:rPr>
              <w:t>354</w:t>
            </w:r>
          </w:p>
        </w:tc>
        <w:tc>
          <w:tcPr>
            <w:tcW w:w="1247" w:type="dxa"/>
            <w:tcBorders>
              <w:bottom w:val="single" w:sz="4" w:space="0" w:color="auto"/>
            </w:tcBorders>
            <w:hideMark/>
          </w:tcPr>
          <w:p w14:paraId="6350D9EB" w14:textId="77777777" w:rsidR="003E0147" w:rsidRPr="002029AF" w:rsidRDefault="003E0147" w:rsidP="00D21185">
            <w:pPr>
              <w:pStyle w:val="ARfintablebodyrightbold"/>
              <w:rPr>
                <w:lang w:eastAsia="en-GB"/>
              </w:rPr>
            </w:pPr>
            <w:r w:rsidRPr="002029AF">
              <w:rPr>
                <w:lang w:eastAsia="en-GB"/>
              </w:rPr>
              <w:t>40</w:t>
            </w:r>
          </w:p>
        </w:tc>
        <w:tc>
          <w:tcPr>
            <w:tcW w:w="1247" w:type="dxa"/>
            <w:tcBorders>
              <w:bottom w:val="single" w:sz="4" w:space="0" w:color="auto"/>
            </w:tcBorders>
            <w:hideMark/>
          </w:tcPr>
          <w:p w14:paraId="2FC508AE" w14:textId="77777777" w:rsidR="003E0147" w:rsidRPr="002029AF" w:rsidRDefault="003E0147" w:rsidP="00D21185">
            <w:pPr>
              <w:pStyle w:val="ARfintablebodyrightbold"/>
              <w:rPr>
                <w:lang w:eastAsia="en-GB"/>
              </w:rPr>
            </w:pPr>
            <w:r w:rsidRPr="002029AF">
              <w:rPr>
                <w:lang w:eastAsia="en-GB"/>
              </w:rPr>
              <w:t>786.1</w:t>
            </w:r>
          </w:p>
        </w:tc>
        <w:tc>
          <w:tcPr>
            <w:tcW w:w="680" w:type="dxa"/>
            <w:tcBorders>
              <w:bottom w:val="single" w:sz="4" w:space="0" w:color="auto"/>
            </w:tcBorders>
            <w:hideMark/>
          </w:tcPr>
          <w:p w14:paraId="34EABBCD" w14:textId="77777777" w:rsidR="003E0147" w:rsidRPr="002029AF" w:rsidRDefault="003E0147" w:rsidP="00D21185">
            <w:pPr>
              <w:pStyle w:val="ARfintablebodyright"/>
              <w:rPr>
                <w:lang w:eastAsia="en-GB"/>
              </w:rPr>
            </w:pPr>
          </w:p>
        </w:tc>
      </w:tr>
      <w:tr w:rsidR="00D21185" w:rsidRPr="002029AF" w14:paraId="74D2E741" w14:textId="77777777" w:rsidTr="00DB53E6">
        <w:tc>
          <w:tcPr>
            <w:tcW w:w="9639" w:type="dxa"/>
            <w:gridSpan w:val="5"/>
            <w:tcBorders>
              <w:top w:val="single" w:sz="4" w:space="0" w:color="auto"/>
              <w:bottom w:val="single" w:sz="4" w:space="0" w:color="A6A6A6"/>
            </w:tcBorders>
            <w:hideMark/>
          </w:tcPr>
          <w:p w14:paraId="294C728A" w14:textId="5C7E24FC" w:rsidR="00D21185" w:rsidRPr="002029AF" w:rsidRDefault="00D21185" w:rsidP="00D21185">
            <w:pPr>
              <w:pStyle w:val="ARfintablebodybold"/>
              <w:rPr>
                <w:lang w:eastAsia="en-GB"/>
              </w:rPr>
            </w:pPr>
            <w:r w:rsidRPr="002029AF">
              <w:rPr>
                <w:lang w:eastAsia="en-GB"/>
              </w:rPr>
              <w:t>Equity</w:t>
            </w:r>
          </w:p>
        </w:tc>
      </w:tr>
      <w:tr w:rsidR="003E0147" w:rsidRPr="002029AF" w14:paraId="616D7AD8" w14:textId="77777777" w:rsidTr="00DB53E6">
        <w:tc>
          <w:tcPr>
            <w:tcW w:w="5218" w:type="dxa"/>
            <w:tcBorders>
              <w:top w:val="single" w:sz="4" w:space="0" w:color="A6A6A6"/>
              <w:bottom w:val="single" w:sz="4" w:space="0" w:color="A6A6A6"/>
            </w:tcBorders>
            <w:hideMark/>
          </w:tcPr>
          <w:p w14:paraId="59FEA19F" w14:textId="368663F4" w:rsidR="003E0147" w:rsidRPr="002029AF" w:rsidRDefault="003E0147" w:rsidP="003E0147">
            <w:pPr>
              <w:pStyle w:val="ARfintablebody"/>
              <w:rPr>
                <w:lang w:eastAsia="en-GB"/>
              </w:rPr>
            </w:pPr>
            <w:r w:rsidRPr="002029AF">
              <w:rPr>
                <w:lang w:eastAsia="en-GB"/>
              </w:rPr>
              <w:t>Accumulated</w:t>
            </w:r>
            <w:r w:rsidR="000A5329" w:rsidRPr="002029AF">
              <w:rPr>
                <w:lang w:eastAsia="en-GB"/>
              </w:rPr>
              <w:t xml:space="preserve"> </w:t>
            </w:r>
            <w:r w:rsidRPr="002029AF">
              <w:rPr>
                <w:lang w:eastAsia="en-GB"/>
              </w:rPr>
              <w:t>surplus/(deficit)</w:t>
            </w:r>
          </w:p>
        </w:tc>
        <w:tc>
          <w:tcPr>
            <w:tcW w:w="1247" w:type="dxa"/>
            <w:tcBorders>
              <w:top w:val="single" w:sz="4" w:space="0" w:color="A6A6A6"/>
              <w:bottom w:val="single" w:sz="4" w:space="0" w:color="A6A6A6"/>
            </w:tcBorders>
            <w:hideMark/>
          </w:tcPr>
          <w:p w14:paraId="188B3817" w14:textId="77777777" w:rsidR="003E0147" w:rsidRPr="002029AF" w:rsidRDefault="003E0147" w:rsidP="003E0147">
            <w:pPr>
              <w:pStyle w:val="ARfintablebodyright"/>
              <w:rPr>
                <w:lang w:eastAsia="en-GB"/>
              </w:rPr>
            </w:pPr>
            <w:r w:rsidRPr="002029AF">
              <w:rPr>
                <w:lang w:eastAsia="en-GB"/>
              </w:rPr>
              <w:t>(270)</w:t>
            </w:r>
          </w:p>
        </w:tc>
        <w:tc>
          <w:tcPr>
            <w:tcW w:w="1247" w:type="dxa"/>
            <w:tcBorders>
              <w:top w:val="single" w:sz="4" w:space="0" w:color="A6A6A6"/>
              <w:bottom w:val="single" w:sz="4" w:space="0" w:color="A6A6A6"/>
            </w:tcBorders>
            <w:hideMark/>
          </w:tcPr>
          <w:p w14:paraId="2FF39057" w14:textId="77777777" w:rsidR="003E0147" w:rsidRPr="002029AF" w:rsidRDefault="003E0147" w:rsidP="003E0147">
            <w:pPr>
              <w:pStyle w:val="ARfintablebodyright"/>
              <w:rPr>
                <w:lang w:eastAsia="en-GB"/>
              </w:rPr>
            </w:pPr>
            <w:r w:rsidRPr="002029AF">
              <w:rPr>
                <w:lang w:eastAsia="en-GB"/>
              </w:rPr>
              <w:t>–</w:t>
            </w:r>
          </w:p>
        </w:tc>
        <w:tc>
          <w:tcPr>
            <w:tcW w:w="1247" w:type="dxa"/>
            <w:tcBorders>
              <w:top w:val="single" w:sz="4" w:space="0" w:color="A6A6A6"/>
              <w:bottom w:val="single" w:sz="4" w:space="0" w:color="A6A6A6"/>
            </w:tcBorders>
            <w:hideMark/>
          </w:tcPr>
          <w:p w14:paraId="2DF5261C" w14:textId="77777777" w:rsidR="003E0147" w:rsidRPr="002029AF" w:rsidRDefault="003E0147" w:rsidP="003E0147">
            <w:pPr>
              <w:pStyle w:val="ARfintablebodyright"/>
              <w:rPr>
                <w:lang w:eastAsia="en-GB"/>
              </w:rPr>
            </w:pPr>
            <w:r w:rsidRPr="002029AF">
              <w:rPr>
                <w:lang w:eastAsia="en-GB"/>
              </w:rPr>
              <w:t>–</w:t>
            </w:r>
          </w:p>
        </w:tc>
        <w:tc>
          <w:tcPr>
            <w:tcW w:w="680" w:type="dxa"/>
            <w:tcBorders>
              <w:top w:val="single" w:sz="4" w:space="0" w:color="A6A6A6"/>
              <w:bottom w:val="single" w:sz="4" w:space="0" w:color="A6A6A6"/>
            </w:tcBorders>
            <w:hideMark/>
          </w:tcPr>
          <w:p w14:paraId="30C3C51B" w14:textId="77777777" w:rsidR="003E0147" w:rsidRPr="002029AF" w:rsidRDefault="003E0147" w:rsidP="00D21185">
            <w:pPr>
              <w:pStyle w:val="ARfintablebodyright"/>
              <w:rPr>
                <w:lang w:eastAsia="en-GB"/>
              </w:rPr>
            </w:pPr>
          </w:p>
        </w:tc>
      </w:tr>
      <w:tr w:rsidR="003E0147" w:rsidRPr="002029AF" w14:paraId="78B2871A" w14:textId="77777777" w:rsidTr="00DB53E6">
        <w:tc>
          <w:tcPr>
            <w:tcW w:w="5218" w:type="dxa"/>
            <w:tcBorders>
              <w:top w:val="single" w:sz="4" w:space="0" w:color="A6A6A6"/>
            </w:tcBorders>
            <w:hideMark/>
          </w:tcPr>
          <w:p w14:paraId="400E88BC" w14:textId="3635942D" w:rsidR="003E0147" w:rsidRPr="002029AF" w:rsidRDefault="003E0147" w:rsidP="003E0147">
            <w:pPr>
              <w:pStyle w:val="ARfintablebody"/>
              <w:rPr>
                <w:lang w:eastAsia="en-GB"/>
              </w:rPr>
            </w:pPr>
            <w:r w:rsidRPr="002029AF">
              <w:rPr>
                <w:lang w:eastAsia="en-GB"/>
              </w:rPr>
              <w:t>Contributed</w:t>
            </w:r>
            <w:r w:rsidR="000A5329" w:rsidRPr="002029AF">
              <w:rPr>
                <w:lang w:eastAsia="en-GB"/>
              </w:rPr>
              <w:t xml:space="preserve"> </w:t>
            </w:r>
            <w:r w:rsidRPr="002029AF">
              <w:rPr>
                <w:lang w:eastAsia="en-GB"/>
              </w:rPr>
              <w:t>capital</w:t>
            </w:r>
          </w:p>
        </w:tc>
        <w:tc>
          <w:tcPr>
            <w:tcW w:w="1247" w:type="dxa"/>
            <w:tcBorders>
              <w:top w:val="single" w:sz="4" w:space="0" w:color="A6A6A6"/>
            </w:tcBorders>
            <w:hideMark/>
          </w:tcPr>
          <w:p w14:paraId="08A06D17" w14:textId="77777777" w:rsidR="003E0147" w:rsidRPr="002029AF" w:rsidRDefault="003E0147" w:rsidP="003E0147">
            <w:pPr>
              <w:pStyle w:val="ARfintablebodyright"/>
              <w:rPr>
                <w:lang w:eastAsia="en-GB"/>
              </w:rPr>
            </w:pPr>
            <w:r w:rsidRPr="002029AF">
              <w:rPr>
                <w:lang w:eastAsia="en-GB"/>
              </w:rPr>
              <w:t>(85)</w:t>
            </w:r>
          </w:p>
        </w:tc>
        <w:tc>
          <w:tcPr>
            <w:tcW w:w="1247" w:type="dxa"/>
            <w:tcBorders>
              <w:top w:val="single" w:sz="4" w:space="0" w:color="A6A6A6"/>
            </w:tcBorders>
            <w:hideMark/>
          </w:tcPr>
          <w:p w14:paraId="0D85C833" w14:textId="77777777" w:rsidR="003E0147" w:rsidRPr="002029AF" w:rsidRDefault="003E0147" w:rsidP="003E0147">
            <w:pPr>
              <w:pStyle w:val="ARfintablebodyright"/>
              <w:rPr>
                <w:lang w:eastAsia="en-GB"/>
              </w:rPr>
            </w:pPr>
            <w:r w:rsidRPr="002029AF">
              <w:rPr>
                <w:lang w:eastAsia="en-GB"/>
              </w:rPr>
              <w:t>–</w:t>
            </w:r>
          </w:p>
        </w:tc>
        <w:tc>
          <w:tcPr>
            <w:tcW w:w="1247" w:type="dxa"/>
            <w:tcBorders>
              <w:top w:val="single" w:sz="4" w:space="0" w:color="A6A6A6"/>
            </w:tcBorders>
            <w:hideMark/>
          </w:tcPr>
          <w:p w14:paraId="605E12E2" w14:textId="77777777" w:rsidR="003E0147" w:rsidRPr="002029AF" w:rsidRDefault="003E0147" w:rsidP="003E0147">
            <w:pPr>
              <w:pStyle w:val="ARfintablebodyright"/>
              <w:rPr>
                <w:lang w:eastAsia="en-GB"/>
              </w:rPr>
            </w:pPr>
            <w:r w:rsidRPr="002029AF">
              <w:rPr>
                <w:lang w:eastAsia="en-GB"/>
              </w:rPr>
              <w:t>–</w:t>
            </w:r>
          </w:p>
        </w:tc>
        <w:tc>
          <w:tcPr>
            <w:tcW w:w="680" w:type="dxa"/>
            <w:tcBorders>
              <w:top w:val="single" w:sz="4" w:space="0" w:color="A6A6A6"/>
            </w:tcBorders>
            <w:hideMark/>
          </w:tcPr>
          <w:p w14:paraId="14075773" w14:textId="77777777" w:rsidR="003E0147" w:rsidRPr="002029AF" w:rsidRDefault="003E0147" w:rsidP="00D21185">
            <w:pPr>
              <w:pStyle w:val="ARfintablebodyright"/>
              <w:rPr>
                <w:lang w:eastAsia="en-GB"/>
              </w:rPr>
            </w:pPr>
          </w:p>
        </w:tc>
      </w:tr>
      <w:tr w:rsidR="003E0147" w:rsidRPr="002029AF" w14:paraId="7741224E" w14:textId="77777777" w:rsidTr="00D21185">
        <w:tc>
          <w:tcPr>
            <w:tcW w:w="5218" w:type="dxa"/>
            <w:noWrap/>
            <w:hideMark/>
          </w:tcPr>
          <w:p w14:paraId="73F5F6B7" w14:textId="606B7966" w:rsidR="003E0147" w:rsidRPr="002029AF" w:rsidRDefault="003E0147" w:rsidP="00D21185">
            <w:pPr>
              <w:pStyle w:val="ARfintablebodybold"/>
              <w:rPr>
                <w:lang w:eastAsia="en-GB"/>
              </w:rPr>
            </w:pPr>
            <w:r w:rsidRPr="002029AF">
              <w:rPr>
                <w:lang w:eastAsia="en-GB"/>
              </w:rPr>
              <w:t>Total</w:t>
            </w:r>
            <w:r w:rsidR="000A5329" w:rsidRPr="002029AF">
              <w:rPr>
                <w:lang w:eastAsia="en-GB"/>
              </w:rPr>
              <w:t xml:space="preserve"> </w:t>
            </w:r>
            <w:r w:rsidRPr="002029AF">
              <w:rPr>
                <w:lang w:eastAsia="en-GB"/>
              </w:rPr>
              <w:t>equity</w:t>
            </w:r>
          </w:p>
        </w:tc>
        <w:tc>
          <w:tcPr>
            <w:tcW w:w="1247" w:type="dxa"/>
            <w:noWrap/>
            <w:hideMark/>
          </w:tcPr>
          <w:p w14:paraId="3E06B780" w14:textId="77777777" w:rsidR="003E0147" w:rsidRPr="002029AF" w:rsidRDefault="003E0147" w:rsidP="00D21185">
            <w:pPr>
              <w:pStyle w:val="ARfintablebodyrightbold"/>
              <w:rPr>
                <w:lang w:eastAsia="en-GB"/>
              </w:rPr>
            </w:pPr>
            <w:r w:rsidRPr="002029AF">
              <w:rPr>
                <w:lang w:eastAsia="en-GB"/>
              </w:rPr>
              <w:t>(354)</w:t>
            </w:r>
          </w:p>
        </w:tc>
        <w:tc>
          <w:tcPr>
            <w:tcW w:w="1247" w:type="dxa"/>
            <w:hideMark/>
          </w:tcPr>
          <w:p w14:paraId="22BA8E6E" w14:textId="77777777" w:rsidR="003E0147" w:rsidRPr="002029AF" w:rsidRDefault="003E0147" w:rsidP="00D21185">
            <w:pPr>
              <w:pStyle w:val="ARfintablebodyrightbold"/>
              <w:rPr>
                <w:lang w:eastAsia="en-GB"/>
              </w:rPr>
            </w:pPr>
            <w:r w:rsidRPr="002029AF">
              <w:rPr>
                <w:lang w:eastAsia="en-GB"/>
              </w:rPr>
              <w:t>–</w:t>
            </w:r>
          </w:p>
        </w:tc>
        <w:tc>
          <w:tcPr>
            <w:tcW w:w="1247" w:type="dxa"/>
            <w:hideMark/>
          </w:tcPr>
          <w:p w14:paraId="69F6DF23" w14:textId="77777777" w:rsidR="003E0147" w:rsidRPr="002029AF" w:rsidRDefault="003E0147" w:rsidP="00D21185">
            <w:pPr>
              <w:pStyle w:val="ARfintablebodyrightbold"/>
              <w:rPr>
                <w:lang w:eastAsia="en-GB"/>
              </w:rPr>
            </w:pPr>
            <w:r w:rsidRPr="002029AF">
              <w:rPr>
                <w:lang w:eastAsia="en-GB"/>
              </w:rPr>
              <w:t>–</w:t>
            </w:r>
          </w:p>
        </w:tc>
        <w:tc>
          <w:tcPr>
            <w:tcW w:w="680" w:type="dxa"/>
            <w:hideMark/>
          </w:tcPr>
          <w:p w14:paraId="3EDB1F00" w14:textId="77777777" w:rsidR="003E0147" w:rsidRPr="002029AF" w:rsidRDefault="003E0147" w:rsidP="00D21185">
            <w:pPr>
              <w:pStyle w:val="ARfintablebodyright"/>
              <w:rPr>
                <w:lang w:eastAsia="en-GB"/>
              </w:rPr>
            </w:pPr>
          </w:p>
        </w:tc>
      </w:tr>
    </w:tbl>
    <w:p w14:paraId="67524224" w14:textId="2028E982" w:rsidR="00665D4A" w:rsidRPr="002029AF" w:rsidRDefault="00665D4A" w:rsidP="00FF3CAB">
      <w:pPr>
        <w:pStyle w:val="ARtablefootnotenumbered"/>
        <w:numPr>
          <w:ilvl w:val="0"/>
          <w:numId w:val="43"/>
        </w:numPr>
      </w:pPr>
      <w:r w:rsidRPr="002029AF">
        <w:t>The</w:t>
      </w:r>
      <w:r w:rsidR="000A5329" w:rsidRPr="002029AF">
        <w:t xml:space="preserve"> </w:t>
      </w:r>
      <w:r w:rsidRPr="002029AF">
        <w:t>reduction</w:t>
      </w:r>
      <w:r w:rsidR="000A5329" w:rsidRPr="002029AF">
        <w:t xml:space="preserve"> </w:t>
      </w:r>
      <w:r w:rsidRPr="002029AF">
        <w:t>is</w:t>
      </w:r>
      <w:r w:rsidR="000A5329" w:rsidRPr="002029AF">
        <w:t xml:space="preserve"> </w:t>
      </w:r>
      <w:r w:rsidRPr="002029AF">
        <w:t>primarily</w:t>
      </w:r>
      <w:r w:rsidR="000A5329" w:rsidRPr="002029AF">
        <w:t xml:space="preserve"> </w:t>
      </w:r>
      <w:r w:rsidRPr="002029AF">
        <w:t>due</w:t>
      </w:r>
      <w:r w:rsidR="000A5329" w:rsidRPr="002029AF">
        <w:t xml:space="preserve"> </w:t>
      </w:r>
      <w:r w:rsidRPr="002029AF">
        <w:t>to</w:t>
      </w:r>
      <w:r w:rsidR="000A5329" w:rsidRPr="002029AF">
        <w:t xml:space="preserve"> </w:t>
      </w:r>
      <w:r w:rsidRPr="002029AF">
        <w:t>less</w:t>
      </w:r>
      <w:r w:rsidR="000A5329" w:rsidRPr="002029AF">
        <w:t xml:space="preserve"> </w:t>
      </w:r>
      <w:r w:rsidRPr="002029AF">
        <w:t>revenue</w:t>
      </w:r>
      <w:r w:rsidR="000A5329" w:rsidRPr="002029AF">
        <w:t xml:space="preserve"> </w:t>
      </w:r>
      <w:r w:rsidRPr="002029AF">
        <w:t>received</w:t>
      </w:r>
      <w:r w:rsidR="000A5329" w:rsidRPr="002029AF">
        <w:t xml:space="preserve"> </w:t>
      </w:r>
      <w:r w:rsidRPr="002029AF">
        <w:t>from</w:t>
      </w:r>
      <w:r w:rsidR="000A5329" w:rsidRPr="002029AF">
        <w:t xml:space="preserve"> </w:t>
      </w:r>
      <w:r w:rsidRPr="002029AF">
        <w:t>the</w:t>
      </w:r>
      <w:r w:rsidR="000A5329" w:rsidRPr="002029AF">
        <w:t xml:space="preserve"> </w:t>
      </w:r>
      <w:r w:rsidRPr="002029AF">
        <w:t>Transport</w:t>
      </w:r>
      <w:r w:rsidR="000A5329" w:rsidRPr="002029AF">
        <w:t xml:space="preserve"> </w:t>
      </w:r>
      <w:r w:rsidRPr="002029AF">
        <w:t>Accident</w:t>
      </w:r>
      <w:r w:rsidR="000A5329" w:rsidRPr="002029AF">
        <w:t xml:space="preserve"> </w:t>
      </w:r>
      <w:r w:rsidRPr="002029AF">
        <w:t>Commission</w:t>
      </w:r>
      <w:r w:rsidR="000A5329" w:rsidRPr="002029AF">
        <w:t xml:space="preserve"> </w:t>
      </w:r>
      <w:r w:rsidRPr="002029AF">
        <w:t>for</w:t>
      </w:r>
      <w:r w:rsidR="000A5329" w:rsidRPr="002029AF">
        <w:t xml:space="preserve"> </w:t>
      </w:r>
      <w:r w:rsidRPr="002029AF">
        <w:t>compensable</w:t>
      </w:r>
      <w:r w:rsidR="000A5329" w:rsidRPr="002029AF">
        <w:t xml:space="preserve"> </w:t>
      </w:r>
      <w:r w:rsidRPr="002029AF">
        <w:t>patients.</w:t>
      </w:r>
    </w:p>
    <w:p w14:paraId="59C058D6" w14:textId="48985588" w:rsidR="00665D4A" w:rsidRPr="002029AF" w:rsidRDefault="00665D4A" w:rsidP="00A92A21">
      <w:pPr>
        <w:pStyle w:val="ARtablefootnotenumbered"/>
      </w:pPr>
      <w:r w:rsidRPr="002029AF">
        <w:t>The</w:t>
      </w:r>
      <w:r w:rsidR="000A5329" w:rsidRPr="002029AF">
        <w:t xml:space="preserve"> </w:t>
      </w:r>
      <w:r w:rsidRPr="002029AF">
        <w:t>variance</w:t>
      </w:r>
      <w:r w:rsidR="000A5329" w:rsidRPr="002029AF">
        <w:t xml:space="preserve"> </w:t>
      </w:r>
      <w:r w:rsidRPr="002029AF">
        <w:t>primarily</w:t>
      </w:r>
      <w:r w:rsidR="000A5329" w:rsidRPr="002029AF">
        <w:t xml:space="preserve"> </w:t>
      </w:r>
      <w:r w:rsidRPr="002029AF">
        <w:t>reflects</w:t>
      </w:r>
      <w:r w:rsidR="000A5329" w:rsidRPr="002029AF">
        <w:t xml:space="preserve"> </w:t>
      </w:r>
      <w:r w:rsidRPr="002029AF">
        <w:t>funding</w:t>
      </w:r>
      <w:r w:rsidR="000A5329" w:rsidRPr="002029AF">
        <w:t xml:space="preserve"> </w:t>
      </w:r>
      <w:r w:rsidRPr="002029AF">
        <w:t>from</w:t>
      </w:r>
      <w:r w:rsidR="000A5329" w:rsidRPr="002029AF">
        <w:t xml:space="preserve"> </w:t>
      </w:r>
      <w:r w:rsidRPr="002029AF">
        <w:t>the</w:t>
      </w:r>
      <w:r w:rsidR="000A5329" w:rsidRPr="002029AF">
        <w:t xml:space="preserve"> </w:t>
      </w:r>
      <w:r w:rsidRPr="002029AF">
        <w:t>State</w:t>
      </w:r>
      <w:r w:rsidR="000A5329" w:rsidRPr="002029AF">
        <w:t xml:space="preserve"> </w:t>
      </w:r>
      <w:r w:rsidRPr="002029AF">
        <w:t>and</w:t>
      </w:r>
      <w:r w:rsidR="000A5329" w:rsidRPr="002029AF">
        <w:t xml:space="preserve"> </w:t>
      </w:r>
      <w:r w:rsidRPr="002029AF">
        <w:t>Commonwealth</w:t>
      </w:r>
      <w:r w:rsidR="000A5329" w:rsidRPr="002029AF">
        <w:t xml:space="preserve"> </w:t>
      </w:r>
      <w:r w:rsidRPr="002029AF">
        <w:t>in</w:t>
      </w:r>
      <w:r w:rsidR="000A5329" w:rsidRPr="002029AF">
        <w:t xml:space="preserve"> </w:t>
      </w:r>
      <w:r w:rsidRPr="002029AF">
        <w:t>response</w:t>
      </w:r>
      <w:r w:rsidR="000A5329" w:rsidRPr="002029AF">
        <w:t xml:space="preserve"> </w:t>
      </w:r>
      <w:r w:rsidRPr="002029AF">
        <w:t>to</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pandemic</w:t>
      </w:r>
      <w:r w:rsidR="000A5329" w:rsidRPr="002029AF">
        <w:t xml:space="preserve"> </w:t>
      </w:r>
      <w:r w:rsidRPr="002029AF">
        <w:t>which</w:t>
      </w:r>
      <w:r w:rsidR="000A5329" w:rsidRPr="002029AF">
        <w:t xml:space="preserve"> </w:t>
      </w:r>
      <w:r w:rsidRPr="002029AF">
        <w:t>was</w:t>
      </w:r>
      <w:r w:rsidR="000A5329" w:rsidRPr="002029AF">
        <w:t xml:space="preserve"> </w:t>
      </w:r>
      <w:r w:rsidRPr="002029AF">
        <w:t>not</w:t>
      </w:r>
      <w:r w:rsidR="000A5329" w:rsidRPr="002029AF">
        <w:t xml:space="preserve"> </w:t>
      </w:r>
      <w:r w:rsidRPr="002029AF">
        <w:t>reflected</w:t>
      </w:r>
      <w:r w:rsidR="000A5329" w:rsidRPr="002029AF">
        <w:t xml:space="preserve"> </w:t>
      </w:r>
      <w:r w:rsidRPr="002029AF">
        <w:t>in</w:t>
      </w:r>
      <w:r w:rsidR="000A5329" w:rsidRPr="002029AF">
        <w:t xml:space="preserve"> </w:t>
      </w:r>
      <w:r w:rsidRPr="002029AF">
        <w:t>the</w:t>
      </w:r>
      <w:r w:rsidR="000A5329" w:rsidRPr="002029AF">
        <w:t xml:space="preserve"> </w:t>
      </w:r>
      <w:r w:rsidRPr="002029AF">
        <w:t>published</w:t>
      </w:r>
      <w:r w:rsidR="000A5329" w:rsidRPr="002029AF">
        <w:t xml:space="preserve"> </w:t>
      </w:r>
      <w:r w:rsidRPr="002029AF">
        <w:t>budget.</w:t>
      </w:r>
    </w:p>
    <w:p w14:paraId="431CE9F3" w14:textId="00F1E8CF" w:rsidR="00665D4A" w:rsidRPr="002029AF" w:rsidRDefault="00665D4A" w:rsidP="00A92A21">
      <w:pPr>
        <w:pStyle w:val="ARtablefootnotenumbered"/>
      </w:pPr>
      <w:r w:rsidRPr="002029AF">
        <w:t>The</w:t>
      </w:r>
      <w:r w:rsidR="000A5329" w:rsidRPr="002029AF">
        <w:t xml:space="preserve"> </w:t>
      </w:r>
      <w:r w:rsidRPr="002029AF">
        <w:t>increase</w:t>
      </w:r>
      <w:r w:rsidR="000A5329" w:rsidRPr="002029AF">
        <w:t xml:space="preserve"> </w:t>
      </w:r>
      <w:r w:rsidRPr="002029AF">
        <w:t>in</w:t>
      </w:r>
      <w:r w:rsidR="000A5329" w:rsidRPr="002029AF">
        <w:t xml:space="preserve"> </w:t>
      </w:r>
      <w:r w:rsidRPr="002029AF">
        <w:t>funding</w:t>
      </w:r>
      <w:r w:rsidR="000A5329" w:rsidRPr="002029AF">
        <w:t xml:space="preserve"> </w:t>
      </w:r>
      <w:r w:rsidRPr="002029AF">
        <w:t>reflects</w:t>
      </w:r>
      <w:r w:rsidR="000A5329" w:rsidRPr="002029AF">
        <w:t xml:space="preserve"> </w:t>
      </w:r>
      <w:r w:rsidRPr="002029AF">
        <w:t>the</w:t>
      </w:r>
      <w:r w:rsidR="000A5329" w:rsidRPr="002029AF">
        <w:t xml:space="preserve"> </w:t>
      </w:r>
      <w:r w:rsidRPr="002029AF">
        <w:t>accounting</w:t>
      </w:r>
      <w:r w:rsidR="000A5329" w:rsidRPr="002029AF">
        <w:t xml:space="preserve"> </w:t>
      </w:r>
      <w:r w:rsidRPr="002029AF">
        <w:t>treatment</w:t>
      </w:r>
      <w:r w:rsidR="000A5329" w:rsidRPr="002029AF">
        <w:t xml:space="preserve"> </w:t>
      </w:r>
      <w:r w:rsidRPr="002029AF">
        <w:t>of</w:t>
      </w:r>
      <w:r w:rsidR="000A5329" w:rsidRPr="002029AF">
        <w:t xml:space="preserve"> </w:t>
      </w:r>
      <w:r w:rsidRPr="002029AF">
        <w:t>interstate</w:t>
      </w:r>
      <w:r w:rsidR="000A5329" w:rsidRPr="002029AF">
        <w:t xml:space="preserve"> </w:t>
      </w:r>
      <w:r w:rsidRPr="002029AF">
        <w:t>patient</w:t>
      </w:r>
      <w:r w:rsidR="000A5329" w:rsidRPr="002029AF">
        <w:t xml:space="preserve"> </w:t>
      </w:r>
      <w:r w:rsidRPr="002029AF">
        <w:t>revenue</w:t>
      </w:r>
      <w:r w:rsidR="000A5329" w:rsidRPr="002029AF">
        <w:t xml:space="preserve"> </w:t>
      </w:r>
      <w:r w:rsidRPr="002029AF">
        <w:t>which</w:t>
      </w:r>
      <w:r w:rsidR="000A5329" w:rsidRPr="002029AF">
        <w:t xml:space="preserve"> </w:t>
      </w:r>
      <w:r w:rsidRPr="002029AF">
        <w:t>was</w:t>
      </w:r>
      <w:r w:rsidR="000A5329" w:rsidRPr="002029AF">
        <w:t xml:space="preserve"> </w:t>
      </w:r>
      <w:r w:rsidRPr="002029AF">
        <w:t>not</w:t>
      </w:r>
      <w:r w:rsidR="000A5329" w:rsidRPr="002029AF">
        <w:t xml:space="preserve"> </w:t>
      </w:r>
      <w:r w:rsidRPr="002029AF">
        <w:t>reflected</w:t>
      </w:r>
      <w:r w:rsidR="000A5329" w:rsidRPr="002029AF">
        <w:t xml:space="preserve"> </w:t>
      </w:r>
      <w:r w:rsidRPr="002029AF">
        <w:t>in</w:t>
      </w:r>
      <w:r w:rsidR="000A5329" w:rsidRPr="002029AF">
        <w:t xml:space="preserve"> </w:t>
      </w:r>
      <w:r w:rsidRPr="002029AF">
        <w:t>the</w:t>
      </w:r>
      <w:r w:rsidR="000A5329" w:rsidRPr="002029AF">
        <w:t xml:space="preserve"> </w:t>
      </w:r>
      <w:r w:rsidRPr="002029AF">
        <w:t>published</w:t>
      </w:r>
      <w:r w:rsidR="000A5329" w:rsidRPr="002029AF">
        <w:t xml:space="preserve"> </w:t>
      </w:r>
      <w:r w:rsidRPr="002029AF">
        <w:t>budget.</w:t>
      </w:r>
    </w:p>
    <w:p w14:paraId="4747F1CF" w14:textId="35F3179D" w:rsidR="00665D4A" w:rsidRPr="002029AF" w:rsidRDefault="00665D4A" w:rsidP="00A92A21">
      <w:pPr>
        <w:pStyle w:val="ARtablefootnotenumbered"/>
      </w:pPr>
      <w:r w:rsidRPr="002029AF">
        <w:t>The</w:t>
      </w:r>
      <w:r w:rsidR="000A5329" w:rsidRPr="002029AF">
        <w:t xml:space="preserve"> </w:t>
      </w:r>
      <w:r w:rsidRPr="002029AF">
        <w:t>increase</w:t>
      </w:r>
      <w:r w:rsidR="000A5329" w:rsidRPr="002029AF">
        <w:t xml:space="preserve"> </w:t>
      </w:r>
      <w:r w:rsidRPr="002029AF">
        <w:t>in</w:t>
      </w:r>
      <w:r w:rsidR="000A5329" w:rsidRPr="002029AF">
        <w:t xml:space="preserve"> </w:t>
      </w:r>
      <w:r w:rsidRPr="002029AF">
        <w:t>grants</w:t>
      </w:r>
      <w:r w:rsidR="000A5329" w:rsidRPr="002029AF">
        <w:t xml:space="preserve"> </w:t>
      </w:r>
      <w:r w:rsidRPr="002029AF">
        <w:t>and</w:t>
      </w:r>
      <w:r w:rsidR="000A5329" w:rsidRPr="002029AF">
        <w:t xml:space="preserve"> </w:t>
      </w:r>
      <w:r w:rsidRPr="002029AF">
        <w:t>other</w:t>
      </w:r>
      <w:r w:rsidR="000A5329" w:rsidRPr="002029AF">
        <w:t xml:space="preserve"> </w:t>
      </w:r>
      <w:r w:rsidRPr="002029AF">
        <w:t>transfer</w:t>
      </w:r>
      <w:r w:rsidR="000A5329" w:rsidRPr="002029AF">
        <w:t xml:space="preserve"> </w:t>
      </w:r>
      <w:r w:rsidRPr="002029AF">
        <w:t>is</w:t>
      </w:r>
      <w:r w:rsidR="000A5329" w:rsidRPr="002029AF">
        <w:t xml:space="preserve"> </w:t>
      </w:r>
      <w:r w:rsidRPr="002029AF">
        <w:t>primarily</w:t>
      </w:r>
      <w:r w:rsidR="000A5329" w:rsidRPr="002029AF">
        <w:t xml:space="preserve"> </w:t>
      </w:r>
      <w:r w:rsidRPr="002029AF">
        <w:t>due</w:t>
      </w:r>
      <w:r w:rsidR="000A5329" w:rsidRPr="002029AF">
        <w:t xml:space="preserve"> </w:t>
      </w:r>
      <w:r w:rsidRPr="002029AF">
        <w:t>to</w:t>
      </w:r>
      <w:r w:rsidR="000A5329" w:rsidRPr="002029AF">
        <w:t xml:space="preserve"> </w:t>
      </w:r>
      <w:r w:rsidRPr="002029AF">
        <w:t>payments</w:t>
      </w:r>
      <w:r w:rsidR="000A5329" w:rsidRPr="002029AF">
        <w:t xml:space="preserve"> </w:t>
      </w:r>
      <w:r w:rsidRPr="002029AF">
        <w:t>to</w:t>
      </w:r>
      <w:r w:rsidR="000A5329" w:rsidRPr="002029AF">
        <w:t xml:space="preserve"> </w:t>
      </w:r>
      <w:r w:rsidRPr="002029AF">
        <w:t>agencies</w:t>
      </w:r>
      <w:r w:rsidR="000A5329" w:rsidRPr="002029AF">
        <w:t xml:space="preserve"> </w:t>
      </w:r>
      <w:r w:rsidRPr="002029AF">
        <w:t>in</w:t>
      </w:r>
      <w:r w:rsidR="000A5329" w:rsidRPr="002029AF">
        <w:t xml:space="preserve"> </w:t>
      </w:r>
      <w:r w:rsidRPr="002029AF">
        <w:t>response</w:t>
      </w:r>
      <w:r w:rsidR="000A5329" w:rsidRPr="002029AF">
        <w:t xml:space="preserve"> </w:t>
      </w:r>
      <w:r w:rsidRPr="002029AF">
        <w:t>to</w:t>
      </w:r>
      <w:r w:rsidR="000A5329" w:rsidRPr="002029AF">
        <w:t xml:space="preserve"> </w:t>
      </w:r>
      <w:r w:rsidRPr="002029AF">
        <w:t>the</w:t>
      </w:r>
      <w:r w:rsidR="000A5329" w:rsidRPr="002029AF">
        <w:t xml:space="preserve"> </w:t>
      </w:r>
      <w:r w:rsidRPr="002029AF">
        <w:t>coronavirus</w:t>
      </w:r>
      <w:r w:rsidR="000A5329" w:rsidRPr="002029AF">
        <w:t xml:space="preserve"> </w:t>
      </w:r>
      <w:r w:rsidRPr="002029AF">
        <w:t>(COVID-19)</w:t>
      </w:r>
      <w:r w:rsidR="000A5329" w:rsidRPr="002029AF">
        <w:t xml:space="preserve"> </w:t>
      </w:r>
      <w:r w:rsidRPr="002029AF">
        <w:t>pandemic</w:t>
      </w:r>
      <w:r w:rsidR="000A5329" w:rsidRPr="002029AF">
        <w:t xml:space="preserve"> </w:t>
      </w:r>
      <w:r w:rsidRPr="002029AF">
        <w:t>which</w:t>
      </w:r>
      <w:r w:rsidR="000A5329" w:rsidRPr="002029AF">
        <w:t xml:space="preserve"> </w:t>
      </w:r>
      <w:r w:rsidRPr="002029AF">
        <w:t>was</w:t>
      </w:r>
      <w:r w:rsidR="000A5329" w:rsidRPr="002029AF">
        <w:t xml:space="preserve"> </w:t>
      </w:r>
      <w:r w:rsidRPr="002029AF">
        <w:t>not</w:t>
      </w:r>
      <w:r w:rsidR="000A5329" w:rsidRPr="002029AF">
        <w:t xml:space="preserve"> </w:t>
      </w:r>
      <w:r w:rsidRPr="002029AF">
        <w:t>reflected</w:t>
      </w:r>
      <w:r w:rsidR="000A5329" w:rsidRPr="002029AF">
        <w:t xml:space="preserve"> </w:t>
      </w:r>
      <w:r w:rsidRPr="002029AF">
        <w:t>in</w:t>
      </w:r>
      <w:r w:rsidR="000A5329" w:rsidRPr="002029AF">
        <w:t xml:space="preserve"> </w:t>
      </w:r>
      <w:r w:rsidRPr="002029AF">
        <w:t>the</w:t>
      </w:r>
      <w:r w:rsidR="000A5329" w:rsidRPr="002029AF">
        <w:t xml:space="preserve"> </w:t>
      </w:r>
      <w:r w:rsidRPr="002029AF">
        <w:t>published</w:t>
      </w:r>
      <w:r w:rsidR="000A5329" w:rsidRPr="002029AF">
        <w:t xml:space="preserve"> </w:t>
      </w:r>
      <w:r w:rsidRPr="002029AF">
        <w:t>budget.</w:t>
      </w:r>
    </w:p>
    <w:p w14:paraId="2E146692" w14:textId="7BF0767D" w:rsidR="00665D4A" w:rsidRPr="002029AF" w:rsidRDefault="00665D4A" w:rsidP="00A92A21">
      <w:pPr>
        <w:pStyle w:val="ARtablefootnotenumbered"/>
      </w:pPr>
      <w:r w:rsidRPr="002029AF">
        <w:t>The</w:t>
      </w:r>
      <w:r w:rsidR="000A5329" w:rsidRPr="002029AF">
        <w:t xml:space="preserve"> </w:t>
      </w:r>
      <w:r w:rsidRPr="002029AF">
        <w:t>increase</w:t>
      </w:r>
      <w:r w:rsidR="000A5329" w:rsidRPr="002029AF">
        <w:t xml:space="preserve"> </w:t>
      </w:r>
      <w:r w:rsidRPr="002029AF">
        <w:t>in</w:t>
      </w:r>
      <w:r w:rsidR="000A5329" w:rsidRPr="002029AF">
        <w:t xml:space="preserve"> </w:t>
      </w:r>
      <w:r w:rsidRPr="002029AF">
        <w:t>receivables</w:t>
      </w:r>
      <w:r w:rsidR="000A5329" w:rsidRPr="002029AF">
        <w:t xml:space="preserve"> </w:t>
      </w:r>
      <w:r w:rsidRPr="002029AF">
        <w:t>is</w:t>
      </w:r>
      <w:r w:rsidR="000A5329" w:rsidRPr="002029AF">
        <w:t xml:space="preserve"> </w:t>
      </w:r>
      <w:r w:rsidRPr="002029AF">
        <w:t>predominately</w:t>
      </w:r>
      <w:r w:rsidR="000A5329" w:rsidRPr="002029AF">
        <w:t xml:space="preserve"> </w:t>
      </w:r>
      <w:r w:rsidRPr="002029AF">
        <w:t>due</w:t>
      </w:r>
      <w:r w:rsidR="000A5329" w:rsidRPr="002029AF">
        <w:t xml:space="preserve"> </w:t>
      </w:r>
      <w:r w:rsidRPr="002029AF">
        <w:t>to</w:t>
      </w:r>
      <w:r w:rsidR="000A5329" w:rsidRPr="002029AF">
        <w:t xml:space="preserve"> </w:t>
      </w:r>
      <w:r w:rsidRPr="002029AF">
        <w:t>the</w:t>
      </w:r>
      <w:r w:rsidR="000A5329" w:rsidRPr="002029AF">
        <w:t xml:space="preserve"> </w:t>
      </w:r>
      <w:r w:rsidR="00D5787B" w:rsidRPr="002029AF">
        <w:t>first-time</w:t>
      </w:r>
      <w:r w:rsidR="000A5329" w:rsidRPr="002029AF">
        <w:t xml:space="preserve"> </w:t>
      </w:r>
      <w:r w:rsidRPr="002029AF">
        <w:t>recognition</w:t>
      </w:r>
      <w:r w:rsidR="000A5329" w:rsidRPr="002029AF">
        <w:t xml:space="preserve"> </w:t>
      </w:r>
      <w:r w:rsidRPr="002029AF">
        <w:t>of</w:t>
      </w:r>
      <w:r w:rsidR="000A5329" w:rsidRPr="002029AF">
        <w:t xml:space="preserve"> </w:t>
      </w:r>
      <w:r w:rsidRPr="002029AF">
        <w:t>receivables</w:t>
      </w:r>
      <w:r w:rsidR="000A5329" w:rsidRPr="002029AF">
        <w:t xml:space="preserve"> </w:t>
      </w:r>
      <w:r w:rsidRPr="002029AF">
        <w:t>relating</w:t>
      </w:r>
      <w:r w:rsidR="000A5329" w:rsidRPr="002029AF">
        <w:t xml:space="preserve"> </w:t>
      </w:r>
      <w:r w:rsidRPr="002029AF">
        <w:t>to</w:t>
      </w:r>
      <w:r w:rsidR="000A5329" w:rsidRPr="002029AF">
        <w:t xml:space="preserve"> </w:t>
      </w:r>
      <w:r w:rsidRPr="002029AF">
        <w:t>interstate</w:t>
      </w:r>
      <w:r w:rsidR="000A5329" w:rsidRPr="002029AF">
        <w:t xml:space="preserve"> </w:t>
      </w:r>
      <w:r w:rsidRPr="002029AF">
        <w:t>patients</w:t>
      </w:r>
      <w:r w:rsidR="000A5329" w:rsidRPr="002029AF">
        <w:t xml:space="preserve"> </w:t>
      </w:r>
      <w:r w:rsidRPr="002029AF">
        <w:t>of</w:t>
      </w:r>
      <w:r w:rsidR="000A5329" w:rsidRPr="002029AF">
        <w:t xml:space="preserve"> </w:t>
      </w:r>
      <w:r w:rsidRPr="002029AF">
        <w:t>$436</w:t>
      </w:r>
      <w:r w:rsidR="000A5329" w:rsidRPr="002029AF">
        <w:t xml:space="preserve"> </w:t>
      </w:r>
      <w:r w:rsidRPr="002029AF">
        <w:t>million</w:t>
      </w:r>
      <w:r w:rsidR="000A5329" w:rsidRPr="002029AF">
        <w:t xml:space="preserve"> </w:t>
      </w:r>
      <w:r w:rsidRPr="002029AF">
        <w:t>and</w:t>
      </w:r>
      <w:r w:rsidR="000A5329" w:rsidRPr="002029AF">
        <w:t xml:space="preserve"> </w:t>
      </w:r>
      <w:r w:rsidRPr="002029AF">
        <w:t>increase</w:t>
      </w:r>
      <w:r w:rsidR="000A5329" w:rsidRPr="002029AF">
        <w:t xml:space="preserve"> </w:t>
      </w:r>
      <w:r w:rsidRPr="002029AF">
        <w:t>in</w:t>
      </w:r>
      <w:r w:rsidR="000A5329" w:rsidRPr="002029AF">
        <w:t xml:space="preserve"> </w:t>
      </w:r>
      <w:r w:rsidRPr="002029AF">
        <w:t>receivables</w:t>
      </w:r>
      <w:r w:rsidR="000A5329" w:rsidRPr="002029AF">
        <w:t xml:space="preserve"> </w:t>
      </w:r>
      <w:r w:rsidRPr="002029AF">
        <w:t>for</w:t>
      </w:r>
      <w:r w:rsidR="000A5329" w:rsidRPr="002029AF">
        <w:t xml:space="preserve"> </w:t>
      </w:r>
      <w:r w:rsidRPr="002029AF">
        <w:t>the</w:t>
      </w:r>
      <w:r w:rsidR="000A5329" w:rsidRPr="002029AF">
        <w:t xml:space="preserve"> </w:t>
      </w:r>
      <w:r w:rsidRPr="002029AF">
        <w:t>National</w:t>
      </w:r>
      <w:r w:rsidR="000A5329" w:rsidRPr="002029AF">
        <w:t xml:space="preserve"> </w:t>
      </w:r>
      <w:r w:rsidRPr="002029AF">
        <w:t>Disability</w:t>
      </w:r>
      <w:r w:rsidR="000A5329" w:rsidRPr="002029AF">
        <w:t xml:space="preserve"> </w:t>
      </w:r>
      <w:r w:rsidRPr="002029AF">
        <w:t>Insurance</w:t>
      </w:r>
      <w:r w:rsidR="000A5329" w:rsidRPr="002029AF">
        <w:t xml:space="preserve"> </w:t>
      </w:r>
      <w:r w:rsidRPr="002029AF">
        <w:t>Scheme</w:t>
      </w:r>
      <w:r w:rsidR="000A5329" w:rsidRPr="002029AF">
        <w:t xml:space="preserve"> </w:t>
      </w:r>
      <w:r w:rsidRPr="002029AF">
        <w:t>trust</w:t>
      </w:r>
      <w:r w:rsidR="000A5329" w:rsidRPr="002029AF">
        <w:t xml:space="preserve"> </w:t>
      </w:r>
      <w:r w:rsidRPr="002029AF">
        <w:t>fund</w:t>
      </w:r>
      <w:r w:rsidR="000A5329" w:rsidRPr="002029AF">
        <w:t xml:space="preserve"> </w:t>
      </w:r>
      <w:r w:rsidRPr="002029AF">
        <w:t>of</w:t>
      </w:r>
      <w:r w:rsidR="000A5329" w:rsidRPr="002029AF">
        <w:t xml:space="preserve"> </w:t>
      </w:r>
      <w:r w:rsidRPr="002029AF">
        <w:t>$335</w:t>
      </w:r>
      <w:r w:rsidR="000A5329" w:rsidRPr="002029AF">
        <w:t xml:space="preserve"> </w:t>
      </w:r>
      <w:r w:rsidRPr="002029AF">
        <w:t>million</w:t>
      </w:r>
      <w:r w:rsidR="000A5329" w:rsidRPr="002029AF">
        <w:t xml:space="preserve"> </w:t>
      </w:r>
      <w:r w:rsidRPr="002029AF">
        <w:t>from</w:t>
      </w:r>
      <w:r w:rsidR="000A5329" w:rsidRPr="002029AF">
        <w:t xml:space="preserve"> </w:t>
      </w:r>
      <w:r w:rsidRPr="002029AF">
        <w:t>the</w:t>
      </w:r>
      <w:r w:rsidR="000A5329" w:rsidRPr="002029AF">
        <w:t xml:space="preserve"> </w:t>
      </w:r>
      <w:r w:rsidRPr="002029AF">
        <w:t>Commonwealth</w:t>
      </w:r>
      <w:r w:rsidR="000A5329" w:rsidRPr="002029AF">
        <w:t xml:space="preserve"> </w:t>
      </w:r>
      <w:r w:rsidRPr="002029AF">
        <w:t>as</w:t>
      </w:r>
      <w:r w:rsidR="000A5329" w:rsidRPr="002029AF">
        <w:t xml:space="preserve"> </w:t>
      </w:r>
      <w:r w:rsidRPr="002029AF">
        <w:t>contributions</w:t>
      </w:r>
      <w:r w:rsidR="000A5329" w:rsidRPr="002029AF">
        <w:t xml:space="preserve"> </w:t>
      </w:r>
      <w:r w:rsidRPr="002029AF">
        <w:t>are</w:t>
      </w:r>
      <w:r w:rsidR="000A5329" w:rsidRPr="002029AF">
        <w:t xml:space="preserve"> </w:t>
      </w:r>
      <w:r w:rsidRPr="002029AF">
        <w:t>now</w:t>
      </w:r>
      <w:r w:rsidR="000A5329" w:rsidRPr="002029AF">
        <w:t xml:space="preserve"> </w:t>
      </w:r>
      <w:r w:rsidRPr="002029AF">
        <w:t>paid</w:t>
      </w:r>
      <w:r w:rsidR="000A5329" w:rsidRPr="002029AF">
        <w:t xml:space="preserve"> </w:t>
      </w:r>
      <w:r w:rsidRPr="002029AF">
        <w:t>quarterly</w:t>
      </w:r>
      <w:r w:rsidR="000A5329" w:rsidRPr="002029AF">
        <w:t xml:space="preserve"> </w:t>
      </w:r>
      <w:r w:rsidRPr="002029AF">
        <w:t>in</w:t>
      </w:r>
      <w:r w:rsidR="000A5329" w:rsidRPr="002029AF">
        <w:t xml:space="preserve"> </w:t>
      </w:r>
      <w:r w:rsidRPr="002029AF">
        <w:t>advance.</w:t>
      </w:r>
    </w:p>
    <w:p w14:paraId="62BDE60E" w14:textId="4903457C" w:rsidR="00665D4A" w:rsidRPr="002029AF" w:rsidRDefault="00665D4A" w:rsidP="00A92A21">
      <w:pPr>
        <w:pStyle w:val="ARtablefootnotenumbered"/>
      </w:pPr>
      <w:r w:rsidRPr="002029AF">
        <w:t>The</w:t>
      </w:r>
      <w:r w:rsidR="000A5329" w:rsidRPr="002029AF">
        <w:t xml:space="preserve"> </w:t>
      </w:r>
      <w:r w:rsidRPr="002029AF">
        <w:t>increase</w:t>
      </w:r>
      <w:r w:rsidR="000A5329" w:rsidRPr="002029AF">
        <w:t xml:space="preserve"> </w:t>
      </w:r>
      <w:r w:rsidRPr="002029AF">
        <w:t>in</w:t>
      </w:r>
      <w:r w:rsidR="000A5329" w:rsidRPr="002029AF">
        <w:t xml:space="preserve"> </w:t>
      </w:r>
      <w:r w:rsidRPr="002029AF">
        <w:t>payables</w:t>
      </w:r>
      <w:r w:rsidR="000A5329" w:rsidRPr="002029AF">
        <w:t xml:space="preserve"> </w:t>
      </w:r>
      <w:r w:rsidRPr="002029AF">
        <w:t>is</w:t>
      </w:r>
      <w:r w:rsidR="000A5329" w:rsidRPr="002029AF">
        <w:t xml:space="preserve"> </w:t>
      </w:r>
      <w:r w:rsidRPr="002029AF">
        <w:t>predominately</w:t>
      </w:r>
      <w:r w:rsidR="000A5329" w:rsidRPr="002029AF">
        <w:t xml:space="preserve"> </w:t>
      </w:r>
      <w:r w:rsidRPr="002029AF">
        <w:t>due</w:t>
      </w:r>
      <w:r w:rsidR="000A5329" w:rsidRPr="002029AF">
        <w:t xml:space="preserve"> </w:t>
      </w:r>
      <w:r w:rsidRPr="002029AF">
        <w:t>to</w:t>
      </w:r>
      <w:r w:rsidR="000A5329" w:rsidRPr="002029AF">
        <w:t xml:space="preserve"> </w:t>
      </w:r>
      <w:r w:rsidRPr="002029AF">
        <w:t>the</w:t>
      </w:r>
      <w:r w:rsidR="000A5329" w:rsidRPr="002029AF">
        <w:t xml:space="preserve"> </w:t>
      </w:r>
      <w:r w:rsidR="00D5787B" w:rsidRPr="002029AF">
        <w:t>first-time</w:t>
      </w:r>
      <w:r w:rsidR="000A5329" w:rsidRPr="002029AF">
        <w:t xml:space="preserve"> </w:t>
      </w:r>
      <w:r w:rsidRPr="002029AF">
        <w:t>recognition</w:t>
      </w:r>
      <w:r w:rsidR="000A5329" w:rsidRPr="002029AF">
        <w:t xml:space="preserve"> </w:t>
      </w:r>
      <w:r w:rsidRPr="002029AF">
        <w:t>of</w:t>
      </w:r>
      <w:r w:rsidR="000A5329" w:rsidRPr="002029AF">
        <w:t xml:space="preserve"> </w:t>
      </w:r>
      <w:r w:rsidRPr="002029AF">
        <w:t>accruals</w:t>
      </w:r>
      <w:r w:rsidR="000A5329" w:rsidRPr="002029AF">
        <w:t xml:space="preserve"> </w:t>
      </w:r>
      <w:r w:rsidRPr="002029AF">
        <w:t>relating</w:t>
      </w:r>
      <w:r w:rsidR="000A5329" w:rsidRPr="002029AF">
        <w:t xml:space="preserve"> </w:t>
      </w:r>
      <w:r w:rsidRPr="002029AF">
        <w:t>to</w:t>
      </w:r>
      <w:r w:rsidR="000A5329" w:rsidRPr="002029AF">
        <w:t xml:space="preserve"> </w:t>
      </w:r>
      <w:r w:rsidRPr="002029AF">
        <w:t>interstate</w:t>
      </w:r>
      <w:r w:rsidR="000A5329" w:rsidRPr="002029AF">
        <w:t xml:space="preserve"> </w:t>
      </w:r>
      <w:r w:rsidRPr="002029AF">
        <w:t>patients</w:t>
      </w:r>
      <w:r w:rsidR="000A5329" w:rsidRPr="002029AF">
        <w:t xml:space="preserve"> </w:t>
      </w:r>
      <w:r w:rsidRPr="002029AF">
        <w:t>of</w:t>
      </w:r>
      <w:r w:rsidR="000A5329" w:rsidRPr="002029AF">
        <w:t xml:space="preserve"> </w:t>
      </w:r>
      <w:r w:rsidRPr="002029AF">
        <w:t>$436</w:t>
      </w:r>
      <w:r w:rsidR="000A5329" w:rsidRPr="002029AF">
        <w:t xml:space="preserve"> </w:t>
      </w:r>
      <w:r w:rsidRPr="002029AF">
        <w:t>million</w:t>
      </w:r>
      <w:r w:rsidR="000A5329" w:rsidRPr="002029AF">
        <w:t xml:space="preserve"> </w:t>
      </w:r>
      <w:r w:rsidRPr="002029AF">
        <w:t>and</w:t>
      </w:r>
      <w:r w:rsidR="000A5329" w:rsidRPr="002029AF">
        <w:t xml:space="preserve"> </w:t>
      </w:r>
      <w:r w:rsidRPr="002029AF">
        <w:t>an</w:t>
      </w:r>
      <w:r w:rsidR="000A5329" w:rsidRPr="002029AF">
        <w:t xml:space="preserve"> </w:t>
      </w:r>
      <w:r w:rsidRPr="002029AF">
        <w:t>increase</w:t>
      </w:r>
      <w:r w:rsidR="000A5329" w:rsidRPr="002029AF">
        <w:t xml:space="preserve"> </w:t>
      </w:r>
      <w:r w:rsidRPr="002029AF">
        <w:t>of</w:t>
      </w:r>
      <w:r w:rsidR="000A5329" w:rsidRPr="002029AF">
        <w:t xml:space="preserve"> </w:t>
      </w:r>
      <w:r w:rsidRPr="002029AF">
        <w:t>$128</w:t>
      </w:r>
      <w:r w:rsidR="000A5329" w:rsidRPr="002029AF">
        <w:t xml:space="preserve"> </w:t>
      </w:r>
      <w:r w:rsidRPr="002029AF">
        <w:t>million</w:t>
      </w:r>
      <w:r w:rsidR="000A5329" w:rsidRPr="002029AF">
        <w:t xml:space="preserve"> </w:t>
      </w:r>
      <w:r w:rsidRPr="002029AF">
        <w:t>in</w:t>
      </w:r>
      <w:r w:rsidR="000A5329" w:rsidRPr="002029AF">
        <w:t xml:space="preserve"> </w:t>
      </w:r>
      <w:r w:rsidRPr="002029AF">
        <w:t>respect</w:t>
      </w:r>
      <w:r w:rsidR="000A5329" w:rsidRPr="002029AF">
        <w:t xml:space="preserve"> </w:t>
      </w:r>
      <w:r w:rsidRPr="002029AF">
        <w:t>of</w:t>
      </w:r>
      <w:r w:rsidR="000A5329" w:rsidRPr="002029AF">
        <w:t xml:space="preserve"> </w:t>
      </w:r>
      <w:r w:rsidRPr="002029AF">
        <w:t>revenue</w:t>
      </w:r>
      <w:r w:rsidR="000A5329" w:rsidRPr="002029AF">
        <w:t xml:space="preserve"> </w:t>
      </w:r>
      <w:r w:rsidRPr="002029AF">
        <w:t>from</w:t>
      </w:r>
      <w:r w:rsidR="000A5329" w:rsidRPr="002029AF">
        <w:t xml:space="preserve"> </w:t>
      </w:r>
      <w:r w:rsidRPr="002029AF">
        <w:t>the</w:t>
      </w:r>
      <w:r w:rsidR="000A5329" w:rsidRPr="002029AF">
        <w:t xml:space="preserve"> </w:t>
      </w:r>
      <w:r w:rsidRPr="002029AF">
        <w:t>Commonwealth</w:t>
      </w:r>
      <w:r w:rsidR="000A5329" w:rsidRPr="002029AF">
        <w:t xml:space="preserve"> </w:t>
      </w:r>
      <w:r w:rsidRPr="002029AF">
        <w:t>received</w:t>
      </w:r>
      <w:r w:rsidR="000A5329" w:rsidRPr="002029AF">
        <w:t xml:space="preserve"> </w:t>
      </w:r>
      <w:r w:rsidRPr="002029AF">
        <w:t>but</w:t>
      </w:r>
      <w:r w:rsidR="000A5329" w:rsidRPr="002029AF">
        <w:t xml:space="preserve"> </w:t>
      </w:r>
      <w:r w:rsidRPr="002029AF">
        <w:t>not</w:t>
      </w:r>
      <w:r w:rsidR="000A5329" w:rsidRPr="002029AF">
        <w:t xml:space="preserve"> </w:t>
      </w:r>
      <w:r w:rsidRPr="002029AF">
        <w:t>earned</w:t>
      </w:r>
      <w:r w:rsidR="000A5329" w:rsidRPr="002029AF">
        <w:t xml:space="preserve"> </w:t>
      </w:r>
      <w:r w:rsidRPr="002029AF">
        <w:t>at</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p>
    <w:p w14:paraId="5AB16728" w14:textId="77777777" w:rsidR="00DF71B8" w:rsidRPr="002029AF" w:rsidRDefault="00DF71B8" w:rsidP="00DF71B8">
      <w:pPr>
        <w:pStyle w:val="ARbody"/>
      </w:pPr>
      <w:r w:rsidRPr="002029AF">
        <w:br w:type="page"/>
      </w:r>
    </w:p>
    <w:p w14:paraId="18302D08" w14:textId="047F977D" w:rsidR="00FB3E23" w:rsidRPr="002029AF" w:rsidRDefault="00FB3E23" w:rsidP="00637705">
      <w:pPr>
        <w:pStyle w:val="Heading2"/>
        <w:spacing w:before="0"/>
      </w:pPr>
      <w:bookmarkStart w:id="424" w:name="_Toc54690822"/>
      <w:r w:rsidRPr="002029AF">
        <w:lastRenderedPageBreak/>
        <w:t>Director</w:t>
      </w:r>
      <w:r w:rsidR="000A5329" w:rsidRPr="002029AF">
        <w:t xml:space="preserve"> </w:t>
      </w:r>
      <w:r w:rsidRPr="002029AF">
        <w:t>of</w:t>
      </w:r>
      <w:r w:rsidR="000A5329" w:rsidRPr="002029AF">
        <w:t xml:space="preserve"> </w:t>
      </w:r>
      <w:r w:rsidRPr="002029AF">
        <w:t>Housing</w:t>
      </w:r>
      <w:bookmarkEnd w:id="422"/>
      <w:bookmarkEnd w:id="424"/>
    </w:p>
    <w:p w14:paraId="587D5C4B" w14:textId="4E4F5185" w:rsidR="0065586C" w:rsidRPr="002029AF" w:rsidRDefault="0065586C" w:rsidP="0065586C">
      <w:pPr>
        <w:pStyle w:val="Heading3"/>
        <w:spacing w:after="240"/>
      </w:pPr>
      <w:bookmarkStart w:id="425" w:name="_Toc51235522"/>
      <w:r w:rsidRPr="002029AF">
        <w:t>Comprehensive</w:t>
      </w:r>
      <w:r w:rsidR="000A5329" w:rsidRPr="002029AF">
        <w:t xml:space="preserve"> </w:t>
      </w:r>
      <w:r w:rsidRPr="002029AF">
        <w:t>operating</w:t>
      </w:r>
      <w:r w:rsidR="000A5329" w:rsidRPr="002029AF">
        <w:t xml:space="preserve"> </w:t>
      </w:r>
      <w:r w:rsidRPr="002029AF">
        <w:t>statement</w:t>
      </w:r>
      <w:r w:rsidRPr="002029AF">
        <w:br/>
        <w:t>for</w:t>
      </w:r>
      <w:r w:rsidR="000A5329" w:rsidRPr="002029AF">
        <w:t xml:space="preserve"> </w:t>
      </w:r>
      <w:r w:rsidRPr="002029AF">
        <w:t>the</w:t>
      </w:r>
      <w:r w:rsidR="000A5329" w:rsidRPr="002029AF">
        <w:t xml:space="preserve"> </w:t>
      </w:r>
      <w:r w:rsidRPr="002029AF">
        <w:t>financial</w:t>
      </w:r>
      <w:r w:rsidR="000A5329" w:rsidRPr="002029AF">
        <w:t xml:space="preserve"> </w:t>
      </w:r>
      <w:r w:rsidRPr="002029AF">
        <w:t>year</w:t>
      </w:r>
      <w:r w:rsidR="000A5329" w:rsidRPr="002029AF">
        <w:t xml:space="preserve"> </w:t>
      </w:r>
      <w:r w:rsidRPr="002029AF">
        <w:t>ended</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bookmarkEnd w:id="425"/>
    </w:p>
    <w:tbl>
      <w:tblPr>
        <w:tblStyle w:val="TableGrid"/>
        <w:tblW w:w="9637" w:type="dxa"/>
        <w:tblLayout w:type="fixed"/>
        <w:tblLook w:val="06A0" w:firstRow="1" w:lastRow="0" w:firstColumn="1" w:lastColumn="0" w:noHBand="1" w:noVBand="1"/>
      </w:tblPr>
      <w:tblGrid>
        <w:gridCol w:w="7369"/>
        <w:gridCol w:w="1134"/>
        <w:gridCol w:w="1134"/>
      </w:tblGrid>
      <w:tr w:rsidR="0065586C" w:rsidRPr="002029AF" w14:paraId="0645CF38"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7369" w:type="dxa"/>
            <w:tcBorders>
              <w:bottom w:val="single" w:sz="4" w:space="0" w:color="auto"/>
            </w:tcBorders>
            <w:noWrap/>
            <w:hideMark/>
          </w:tcPr>
          <w:p w14:paraId="5C4A8F39" w14:textId="77777777" w:rsidR="0065586C" w:rsidRPr="002029AF" w:rsidRDefault="0065586C" w:rsidP="003566F1">
            <w:pPr>
              <w:pStyle w:val="ARfintablecolhead"/>
            </w:pPr>
          </w:p>
        </w:tc>
        <w:tc>
          <w:tcPr>
            <w:tcW w:w="1134" w:type="dxa"/>
            <w:tcBorders>
              <w:bottom w:val="single" w:sz="4" w:space="0" w:color="auto"/>
            </w:tcBorders>
            <w:shd w:val="clear" w:color="auto" w:fill="E7E6E6"/>
            <w:hideMark/>
          </w:tcPr>
          <w:p w14:paraId="33655FB7" w14:textId="77777777" w:rsidR="0065586C" w:rsidRPr="002029AF" w:rsidRDefault="0065586C" w:rsidP="003566F1">
            <w:pPr>
              <w:pStyle w:val="ARfintablecolheadright"/>
            </w:pPr>
            <w:r w:rsidRPr="002029AF">
              <w:t>2020</w:t>
            </w:r>
          </w:p>
          <w:p w14:paraId="5315B96F" w14:textId="77777777" w:rsidR="0065586C" w:rsidRPr="002029AF" w:rsidRDefault="0065586C" w:rsidP="003566F1">
            <w:pPr>
              <w:pStyle w:val="ARfintablecolheadright"/>
            </w:pPr>
            <w:r w:rsidRPr="002029AF">
              <w:t>$M</w:t>
            </w:r>
          </w:p>
        </w:tc>
        <w:tc>
          <w:tcPr>
            <w:tcW w:w="1134" w:type="dxa"/>
            <w:tcBorders>
              <w:bottom w:val="single" w:sz="4" w:space="0" w:color="auto"/>
            </w:tcBorders>
            <w:hideMark/>
          </w:tcPr>
          <w:p w14:paraId="0377BBE2" w14:textId="77777777" w:rsidR="0065586C" w:rsidRPr="002029AF" w:rsidRDefault="0065586C" w:rsidP="003566F1">
            <w:pPr>
              <w:pStyle w:val="ARfintablecolheadright"/>
            </w:pPr>
            <w:r w:rsidRPr="002029AF">
              <w:t>2019</w:t>
            </w:r>
          </w:p>
          <w:p w14:paraId="236F7770" w14:textId="77777777" w:rsidR="0065586C" w:rsidRPr="002029AF" w:rsidRDefault="0065586C" w:rsidP="003566F1">
            <w:pPr>
              <w:pStyle w:val="ARfintablecolheadright"/>
            </w:pPr>
            <w:r w:rsidRPr="002029AF">
              <w:t>$M</w:t>
            </w:r>
          </w:p>
        </w:tc>
      </w:tr>
      <w:tr w:rsidR="0065586C" w:rsidRPr="002029AF" w14:paraId="7B6C25C0" w14:textId="77777777" w:rsidTr="003566F1">
        <w:tc>
          <w:tcPr>
            <w:tcW w:w="9637" w:type="dxa"/>
            <w:gridSpan w:val="3"/>
            <w:tcBorders>
              <w:top w:val="single" w:sz="4" w:space="0" w:color="auto"/>
              <w:bottom w:val="single" w:sz="4" w:space="0" w:color="A6A6A6"/>
            </w:tcBorders>
            <w:hideMark/>
          </w:tcPr>
          <w:p w14:paraId="3F2B4E6B" w14:textId="22AC5322" w:rsidR="0065586C" w:rsidRPr="002029AF" w:rsidRDefault="0065586C" w:rsidP="003566F1">
            <w:pPr>
              <w:pStyle w:val="ARfintablebodybold"/>
            </w:pPr>
            <w:r w:rsidRPr="002029AF">
              <w:t>Income</w:t>
            </w:r>
            <w:r w:rsidR="000A5329" w:rsidRPr="002029AF">
              <w:t xml:space="preserve"> </w:t>
            </w:r>
            <w:r w:rsidRPr="002029AF">
              <w:t>from</w:t>
            </w:r>
            <w:r w:rsidR="000A5329" w:rsidRPr="002029AF">
              <w:t xml:space="preserve"> </w:t>
            </w:r>
            <w:r w:rsidRPr="002029AF">
              <w:t>transactions</w:t>
            </w:r>
          </w:p>
        </w:tc>
      </w:tr>
      <w:tr w:rsidR="0065586C" w:rsidRPr="002029AF" w14:paraId="519446B0" w14:textId="77777777" w:rsidTr="003566F1">
        <w:tc>
          <w:tcPr>
            <w:tcW w:w="7369" w:type="dxa"/>
            <w:tcBorders>
              <w:top w:val="single" w:sz="4" w:space="0" w:color="A6A6A6"/>
              <w:bottom w:val="single" w:sz="4" w:space="0" w:color="A6A6A6"/>
            </w:tcBorders>
            <w:hideMark/>
          </w:tcPr>
          <w:p w14:paraId="7EF13081" w14:textId="44754D81" w:rsidR="0065586C" w:rsidRPr="002029AF" w:rsidRDefault="0065586C" w:rsidP="003566F1">
            <w:pPr>
              <w:pStyle w:val="ARfintablebody"/>
            </w:pPr>
            <w:r w:rsidRPr="002029AF">
              <w:t>Grants</w:t>
            </w:r>
            <w:r w:rsidR="000A5329" w:rsidRPr="002029AF">
              <w:t xml:space="preserve"> </w:t>
            </w:r>
            <w:r w:rsidRPr="002029AF">
              <w:t>from</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of</w:t>
            </w:r>
            <w:r w:rsidR="000A5329" w:rsidRPr="002029AF">
              <w:t xml:space="preserve"> </w:t>
            </w:r>
            <w:r w:rsidRPr="002029AF">
              <w:t>Health</w:t>
            </w:r>
            <w:r w:rsidR="000A5329" w:rsidRPr="002029AF">
              <w:t xml:space="preserve"> </w:t>
            </w:r>
            <w:r w:rsidRPr="002029AF">
              <w:t>and</w:t>
            </w:r>
            <w:r w:rsidR="000A5329" w:rsidRPr="002029AF">
              <w:t xml:space="preserve"> </w:t>
            </w:r>
            <w:r w:rsidRPr="002029AF">
              <w:t>Human</w:t>
            </w:r>
            <w:r w:rsidR="000A5329" w:rsidRPr="002029AF">
              <w:t xml:space="preserve"> </w:t>
            </w:r>
            <w:r w:rsidRPr="002029AF">
              <w:t>Services</w:t>
            </w:r>
          </w:p>
        </w:tc>
        <w:tc>
          <w:tcPr>
            <w:tcW w:w="1134" w:type="dxa"/>
            <w:tcBorders>
              <w:top w:val="single" w:sz="4" w:space="0" w:color="A6A6A6"/>
              <w:bottom w:val="single" w:sz="4" w:space="0" w:color="A6A6A6"/>
            </w:tcBorders>
            <w:shd w:val="clear" w:color="auto" w:fill="E7E6E6"/>
            <w:noWrap/>
            <w:hideMark/>
          </w:tcPr>
          <w:p w14:paraId="05DECB83" w14:textId="77777777" w:rsidR="0065586C" w:rsidRPr="002029AF" w:rsidRDefault="0065586C" w:rsidP="003566F1">
            <w:pPr>
              <w:pStyle w:val="ARfintablebodyright"/>
            </w:pPr>
            <w:r w:rsidRPr="002029AF">
              <w:t>646.1</w:t>
            </w:r>
          </w:p>
        </w:tc>
        <w:tc>
          <w:tcPr>
            <w:tcW w:w="1134" w:type="dxa"/>
            <w:tcBorders>
              <w:top w:val="single" w:sz="4" w:space="0" w:color="A6A6A6"/>
              <w:bottom w:val="single" w:sz="4" w:space="0" w:color="A6A6A6"/>
            </w:tcBorders>
            <w:noWrap/>
            <w:hideMark/>
          </w:tcPr>
          <w:p w14:paraId="4F3223CD" w14:textId="77777777" w:rsidR="0065586C" w:rsidRPr="002029AF" w:rsidRDefault="0065586C" w:rsidP="003566F1">
            <w:pPr>
              <w:pStyle w:val="ARfintablebodyright"/>
            </w:pPr>
            <w:r w:rsidRPr="002029AF">
              <w:t>618.8</w:t>
            </w:r>
          </w:p>
        </w:tc>
      </w:tr>
      <w:tr w:rsidR="0065586C" w:rsidRPr="002029AF" w14:paraId="4DE5E718" w14:textId="77777777" w:rsidTr="003566F1">
        <w:tc>
          <w:tcPr>
            <w:tcW w:w="7369" w:type="dxa"/>
            <w:tcBorders>
              <w:top w:val="single" w:sz="4" w:space="0" w:color="A6A6A6"/>
              <w:bottom w:val="single" w:sz="4" w:space="0" w:color="A6A6A6"/>
            </w:tcBorders>
            <w:hideMark/>
          </w:tcPr>
          <w:p w14:paraId="4068B843" w14:textId="0A2EAF9A" w:rsidR="0065586C" w:rsidRPr="002029AF" w:rsidRDefault="0065586C" w:rsidP="003566F1">
            <w:pPr>
              <w:pStyle w:val="ARfintablebody"/>
            </w:pPr>
            <w:r w:rsidRPr="002029AF">
              <w:t>Interest</w:t>
            </w:r>
            <w:r w:rsidR="000A5329" w:rsidRPr="002029AF">
              <w:t xml:space="preserve"> </w:t>
            </w:r>
            <w:r w:rsidRPr="002029AF">
              <w:t>Income</w:t>
            </w:r>
          </w:p>
        </w:tc>
        <w:tc>
          <w:tcPr>
            <w:tcW w:w="1134" w:type="dxa"/>
            <w:tcBorders>
              <w:top w:val="single" w:sz="4" w:space="0" w:color="A6A6A6"/>
              <w:bottom w:val="single" w:sz="4" w:space="0" w:color="A6A6A6"/>
            </w:tcBorders>
            <w:shd w:val="clear" w:color="auto" w:fill="E7E6E6"/>
            <w:noWrap/>
            <w:hideMark/>
          </w:tcPr>
          <w:p w14:paraId="0C71B284" w14:textId="77777777" w:rsidR="0065586C" w:rsidRPr="002029AF" w:rsidRDefault="0065586C" w:rsidP="003566F1">
            <w:pPr>
              <w:pStyle w:val="ARfintablebodyright"/>
            </w:pPr>
            <w:r w:rsidRPr="002029AF">
              <w:t>6.9</w:t>
            </w:r>
          </w:p>
        </w:tc>
        <w:tc>
          <w:tcPr>
            <w:tcW w:w="1134" w:type="dxa"/>
            <w:tcBorders>
              <w:top w:val="single" w:sz="4" w:space="0" w:color="A6A6A6"/>
              <w:bottom w:val="single" w:sz="4" w:space="0" w:color="A6A6A6"/>
            </w:tcBorders>
            <w:noWrap/>
            <w:hideMark/>
          </w:tcPr>
          <w:p w14:paraId="00DA3312" w14:textId="77777777" w:rsidR="0065586C" w:rsidRPr="002029AF" w:rsidRDefault="0065586C" w:rsidP="003566F1">
            <w:pPr>
              <w:pStyle w:val="ARfintablebodyright"/>
            </w:pPr>
            <w:r w:rsidRPr="002029AF">
              <w:t>13.2</w:t>
            </w:r>
          </w:p>
        </w:tc>
      </w:tr>
      <w:tr w:rsidR="0065586C" w:rsidRPr="002029AF" w14:paraId="1A5A3E16" w14:textId="77777777" w:rsidTr="003566F1">
        <w:tc>
          <w:tcPr>
            <w:tcW w:w="7369" w:type="dxa"/>
            <w:tcBorders>
              <w:top w:val="single" w:sz="4" w:space="0" w:color="A6A6A6"/>
              <w:bottom w:val="single" w:sz="4" w:space="0" w:color="A6A6A6"/>
            </w:tcBorders>
            <w:hideMark/>
          </w:tcPr>
          <w:p w14:paraId="07DF6E59" w14:textId="4C9D0E3B" w:rsidR="0065586C" w:rsidRPr="002029AF" w:rsidRDefault="0065586C" w:rsidP="003566F1">
            <w:pPr>
              <w:pStyle w:val="ARfintablebody"/>
            </w:pPr>
            <w:r w:rsidRPr="002029AF">
              <w:t>Rental</w:t>
            </w:r>
            <w:r w:rsidR="000A5329" w:rsidRPr="002029AF">
              <w:t xml:space="preserve"> </w:t>
            </w:r>
            <w:r w:rsidRPr="002029AF">
              <w:t>income</w:t>
            </w:r>
            <w:r w:rsidR="000A5329" w:rsidRPr="002029AF">
              <w:t xml:space="preserve"> </w:t>
            </w:r>
            <w:r w:rsidRPr="002029AF">
              <w:t>and</w:t>
            </w:r>
            <w:r w:rsidR="000A5329" w:rsidRPr="002029AF">
              <w:t xml:space="preserve"> </w:t>
            </w:r>
            <w:r w:rsidRPr="002029AF">
              <w:t>income</w:t>
            </w:r>
            <w:r w:rsidR="000A5329" w:rsidRPr="002029AF">
              <w:t xml:space="preserve"> </w:t>
            </w:r>
            <w:r w:rsidRPr="002029AF">
              <w:t>from</w:t>
            </w:r>
            <w:r w:rsidR="000A5329" w:rsidRPr="002029AF">
              <w:t xml:space="preserve"> </w:t>
            </w:r>
            <w:r w:rsidRPr="002029AF">
              <w:t>services</w:t>
            </w:r>
          </w:p>
        </w:tc>
        <w:tc>
          <w:tcPr>
            <w:tcW w:w="1134" w:type="dxa"/>
            <w:tcBorders>
              <w:top w:val="single" w:sz="4" w:space="0" w:color="A6A6A6"/>
              <w:bottom w:val="single" w:sz="4" w:space="0" w:color="A6A6A6"/>
            </w:tcBorders>
            <w:shd w:val="clear" w:color="auto" w:fill="E7E6E6"/>
            <w:noWrap/>
            <w:hideMark/>
          </w:tcPr>
          <w:p w14:paraId="2198F71E" w14:textId="77777777" w:rsidR="0065586C" w:rsidRPr="002029AF" w:rsidRDefault="0065586C" w:rsidP="003566F1">
            <w:pPr>
              <w:pStyle w:val="ARfintablebodyright"/>
            </w:pPr>
            <w:r w:rsidRPr="002029AF">
              <w:t>501.2</w:t>
            </w:r>
          </w:p>
        </w:tc>
        <w:tc>
          <w:tcPr>
            <w:tcW w:w="1134" w:type="dxa"/>
            <w:tcBorders>
              <w:top w:val="single" w:sz="4" w:space="0" w:color="A6A6A6"/>
              <w:bottom w:val="single" w:sz="4" w:space="0" w:color="A6A6A6"/>
            </w:tcBorders>
            <w:noWrap/>
            <w:hideMark/>
          </w:tcPr>
          <w:p w14:paraId="044D08E0" w14:textId="77777777" w:rsidR="0065586C" w:rsidRPr="002029AF" w:rsidRDefault="0065586C" w:rsidP="003566F1">
            <w:pPr>
              <w:pStyle w:val="ARfintablebodyright"/>
            </w:pPr>
            <w:r w:rsidRPr="002029AF">
              <w:t>491.1</w:t>
            </w:r>
          </w:p>
        </w:tc>
      </w:tr>
      <w:tr w:rsidR="0065586C" w:rsidRPr="002029AF" w14:paraId="58C0218B" w14:textId="77777777" w:rsidTr="003566F1">
        <w:tc>
          <w:tcPr>
            <w:tcW w:w="7369" w:type="dxa"/>
            <w:tcBorders>
              <w:top w:val="single" w:sz="4" w:space="0" w:color="A6A6A6"/>
              <w:bottom w:val="single" w:sz="4" w:space="0" w:color="A6A6A6"/>
            </w:tcBorders>
            <w:hideMark/>
          </w:tcPr>
          <w:p w14:paraId="130C9B20" w14:textId="60485793" w:rsidR="0065586C" w:rsidRPr="002029AF" w:rsidRDefault="0065586C" w:rsidP="003566F1">
            <w:pPr>
              <w:pStyle w:val="ARfintablebody"/>
            </w:pPr>
            <w:r w:rsidRPr="002029AF">
              <w:t>Grants</w:t>
            </w:r>
            <w:r w:rsidR="000A5329" w:rsidRPr="002029AF">
              <w:t xml:space="preserve"> </w:t>
            </w:r>
            <w:r w:rsidRPr="002029AF">
              <w:t>and</w:t>
            </w:r>
            <w:r w:rsidR="000A5329" w:rsidRPr="002029AF">
              <w:t xml:space="preserve"> </w:t>
            </w:r>
            <w:r w:rsidRPr="002029AF">
              <w:t>other</w:t>
            </w:r>
            <w:r w:rsidR="000A5329" w:rsidRPr="002029AF">
              <w:t xml:space="preserve"> </w:t>
            </w:r>
            <w:r w:rsidRPr="002029AF">
              <w:t>income</w:t>
            </w:r>
            <w:r w:rsidR="000A5329" w:rsidRPr="002029AF">
              <w:t xml:space="preserve"> </w:t>
            </w:r>
            <w:r w:rsidRPr="002029AF">
              <w:t>transfers</w:t>
            </w:r>
          </w:p>
        </w:tc>
        <w:tc>
          <w:tcPr>
            <w:tcW w:w="1134" w:type="dxa"/>
            <w:tcBorders>
              <w:top w:val="single" w:sz="4" w:space="0" w:color="A6A6A6"/>
              <w:bottom w:val="single" w:sz="4" w:space="0" w:color="A6A6A6"/>
            </w:tcBorders>
            <w:shd w:val="clear" w:color="auto" w:fill="E7E6E6"/>
            <w:noWrap/>
            <w:hideMark/>
          </w:tcPr>
          <w:p w14:paraId="65A7D8E3" w14:textId="77777777" w:rsidR="0065586C" w:rsidRPr="002029AF" w:rsidRDefault="0065586C" w:rsidP="003566F1">
            <w:pPr>
              <w:pStyle w:val="ARfintablebodyright"/>
            </w:pPr>
            <w:r w:rsidRPr="002029AF">
              <w:t>49.8</w:t>
            </w:r>
          </w:p>
        </w:tc>
        <w:tc>
          <w:tcPr>
            <w:tcW w:w="1134" w:type="dxa"/>
            <w:tcBorders>
              <w:top w:val="single" w:sz="4" w:space="0" w:color="A6A6A6"/>
              <w:bottom w:val="single" w:sz="4" w:space="0" w:color="A6A6A6"/>
            </w:tcBorders>
            <w:noWrap/>
            <w:hideMark/>
          </w:tcPr>
          <w:p w14:paraId="73387A7E" w14:textId="77777777" w:rsidR="0065586C" w:rsidRPr="002029AF" w:rsidRDefault="0065586C" w:rsidP="003566F1">
            <w:pPr>
              <w:pStyle w:val="ARfintablebodyright"/>
            </w:pPr>
            <w:r w:rsidRPr="002029AF">
              <w:t>11.4</w:t>
            </w:r>
          </w:p>
        </w:tc>
      </w:tr>
      <w:tr w:rsidR="0065586C" w:rsidRPr="002029AF" w14:paraId="7B25AF3A" w14:textId="77777777" w:rsidTr="003566F1">
        <w:tc>
          <w:tcPr>
            <w:tcW w:w="7369" w:type="dxa"/>
            <w:tcBorders>
              <w:top w:val="single" w:sz="4" w:space="0" w:color="A6A6A6"/>
              <w:bottom w:val="single" w:sz="4" w:space="0" w:color="A6A6A6"/>
            </w:tcBorders>
            <w:hideMark/>
          </w:tcPr>
          <w:p w14:paraId="5DD3AF61" w14:textId="2B1E76CD" w:rsidR="0065586C" w:rsidRPr="002029AF" w:rsidRDefault="0065586C" w:rsidP="003566F1">
            <w:pPr>
              <w:pStyle w:val="ARfintablebody"/>
            </w:pPr>
            <w:r w:rsidRPr="002029AF">
              <w:t>Fair</w:t>
            </w:r>
            <w:r w:rsidR="000A5329" w:rsidRPr="002029AF">
              <w:t xml:space="preserve"> </w:t>
            </w:r>
            <w:r w:rsidRPr="002029AF">
              <w:t>value</w:t>
            </w:r>
            <w:r w:rsidR="000A5329" w:rsidRPr="002029AF">
              <w:t xml:space="preserve"> </w:t>
            </w:r>
            <w:r w:rsidRPr="002029AF">
              <w:t>of</w:t>
            </w:r>
            <w:r w:rsidR="000A5329" w:rsidRPr="002029AF">
              <w:t xml:space="preserve"> </w:t>
            </w:r>
            <w:r w:rsidRPr="002029AF">
              <w:t>assets</w:t>
            </w:r>
            <w:r w:rsidR="000A5329" w:rsidRPr="002029AF">
              <w:t xml:space="preserve"> </w:t>
            </w:r>
            <w:r w:rsidRPr="002029AF">
              <w:t>and</w:t>
            </w:r>
            <w:r w:rsidR="000A5329" w:rsidRPr="002029AF">
              <w:t xml:space="preserve"> </w:t>
            </w:r>
            <w:r w:rsidRPr="002029AF">
              <w:t>services</w:t>
            </w:r>
            <w:r w:rsidR="000A5329" w:rsidRPr="002029AF">
              <w:t xml:space="preserve"> </w:t>
            </w:r>
            <w:r w:rsidRPr="002029AF">
              <w:t>received</w:t>
            </w:r>
            <w:r w:rsidR="000A5329" w:rsidRPr="002029AF">
              <w:t xml:space="preserve"> </w:t>
            </w:r>
            <w:r w:rsidRPr="002029AF">
              <w:t>free</w:t>
            </w:r>
            <w:r w:rsidR="000A5329" w:rsidRPr="002029AF">
              <w:t xml:space="preserve"> </w:t>
            </w:r>
            <w:r w:rsidRPr="002029AF">
              <w:t>of</w:t>
            </w:r>
            <w:r w:rsidR="000A5329" w:rsidRPr="002029AF">
              <w:t xml:space="preserve"> </w:t>
            </w:r>
            <w:r w:rsidRPr="002029AF">
              <w:t>charge</w:t>
            </w:r>
            <w:r w:rsidR="000A5329" w:rsidRPr="002029AF">
              <w:t xml:space="preserve"> </w:t>
            </w:r>
            <w:r w:rsidRPr="002029AF">
              <w:t>or</w:t>
            </w:r>
            <w:r w:rsidR="000A5329" w:rsidRPr="002029AF">
              <w:t xml:space="preserve"> </w:t>
            </w:r>
            <w:r w:rsidRPr="002029AF">
              <w:t>for</w:t>
            </w:r>
            <w:r w:rsidR="000A5329" w:rsidRPr="002029AF">
              <w:t xml:space="preserve"> </w:t>
            </w:r>
            <w:r w:rsidRPr="002029AF">
              <w:t>nominal</w:t>
            </w:r>
            <w:r w:rsidR="000A5329" w:rsidRPr="002029AF">
              <w:t xml:space="preserve"> </w:t>
            </w:r>
            <w:r w:rsidRPr="002029AF">
              <w:t>consideration</w:t>
            </w:r>
          </w:p>
        </w:tc>
        <w:tc>
          <w:tcPr>
            <w:tcW w:w="1134" w:type="dxa"/>
            <w:tcBorders>
              <w:top w:val="single" w:sz="4" w:space="0" w:color="A6A6A6"/>
              <w:bottom w:val="single" w:sz="4" w:space="0" w:color="A6A6A6"/>
            </w:tcBorders>
            <w:shd w:val="clear" w:color="auto" w:fill="E7E6E6"/>
            <w:noWrap/>
            <w:hideMark/>
          </w:tcPr>
          <w:p w14:paraId="1CFC0CEF" w14:textId="77777777" w:rsidR="0065586C" w:rsidRPr="002029AF" w:rsidRDefault="0065586C" w:rsidP="003566F1">
            <w:pPr>
              <w:pStyle w:val="ARfintablebodyright"/>
            </w:pPr>
            <w:r w:rsidRPr="002029AF">
              <w:t>3.1</w:t>
            </w:r>
          </w:p>
        </w:tc>
        <w:tc>
          <w:tcPr>
            <w:tcW w:w="1134" w:type="dxa"/>
            <w:tcBorders>
              <w:top w:val="single" w:sz="4" w:space="0" w:color="A6A6A6"/>
              <w:bottom w:val="single" w:sz="4" w:space="0" w:color="A6A6A6"/>
            </w:tcBorders>
            <w:noWrap/>
            <w:hideMark/>
          </w:tcPr>
          <w:p w14:paraId="0C88E77F" w14:textId="77777777" w:rsidR="0065586C" w:rsidRPr="002029AF" w:rsidRDefault="0065586C" w:rsidP="003566F1">
            <w:pPr>
              <w:pStyle w:val="ARfintablebodyright"/>
            </w:pPr>
            <w:r w:rsidRPr="002029AF">
              <w:t>7.5</w:t>
            </w:r>
          </w:p>
        </w:tc>
      </w:tr>
      <w:tr w:rsidR="0065586C" w:rsidRPr="002029AF" w14:paraId="12C48913" w14:textId="77777777" w:rsidTr="003566F1">
        <w:tc>
          <w:tcPr>
            <w:tcW w:w="7369" w:type="dxa"/>
            <w:tcBorders>
              <w:top w:val="single" w:sz="4" w:space="0" w:color="A6A6A6"/>
            </w:tcBorders>
            <w:hideMark/>
          </w:tcPr>
          <w:p w14:paraId="6FC037D5" w14:textId="50E41E4A" w:rsidR="0065586C" w:rsidRPr="002029AF" w:rsidRDefault="0065586C" w:rsidP="003566F1">
            <w:pPr>
              <w:pStyle w:val="ARfintablebody"/>
            </w:pPr>
            <w:r w:rsidRPr="002029AF">
              <w:t>Other</w:t>
            </w:r>
            <w:r w:rsidR="000A5329" w:rsidRPr="002029AF">
              <w:t xml:space="preserve"> </w:t>
            </w:r>
            <w:r w:rsidRPr="002029AF">
              <w:t>income</w:t>
            </w:r>
          </w:p>
        </w:tc>
        <w:tc>
          <w:tcPr>
            <w:tcW w:w="1134" w:type="dxa"/>
            <w:tcBorders>
              <w:top w:val="single" w:sz="4" w:space="0" w:color="A6A6A6"/>
            </w:tcBorders>
            <w:shd w:val="clear" w:color="auto" w:fill="E7E6E6"/>
            <w:noWrap/>
            <w:hideMark/>
          </w:tcPr>
          <w:p w14:paraId="3C2AD8A5" w14:textId="77777777" w:rsidR="0065586C" w:rsidRPr="002029AF" w:rsidRDefault="0065586C" w:rsidP="003566F1">
            <w:pPr>
              <w:pStyle w:val="ARfintablebodyright"/>
            </w:pPr>
            <w:r w:rsidRPr="002029AF">
              <w:t>0.4</w:t>
            </w:r>
          </w:p>
        </w:tc>
        <w:tc>
          <w:tcPr>
            <w:tcW w:w="1134" w:type="dxa"/>
            <w:tcBorders>
              <w:top w:val="single" w:sz="4" w:space="0" w:color="A6A6A6"/>
            </w:tcBorders>
            <w:noWrap/>
            <w:hideMark/>
          </w:tcPr>
          <w:p w14:paraId="52C60BEE" w14:textId="77777777" w:rsidR="0065586C" w:rsidRPr="002029AF" w:rsidRDefault="0065586C" w:rsidP="003566F1">
            <w:pPr>
              <w:pStyle w:val="ARfintablebodyright"/>
            </w:pPr>
            <w:r w:rsidRPr="002029AF">
              <w:t>3.5</w:t>
            </w:r>
          </w:p>
        </w:tc>
      </w:tr>
      <w:tr w:rsidR="0065586C" w:rsidRPr="002029AF" w14:paraId="4A1842F9" w14:textId="77777777" w:rsidTr="003566F1">
        <w:tc>
          <w:tcPr>
            <w:tcW w:w="7369" w:type="dxa"/>
            <w:tcBorders>
              <w:bottom w:val="single" w:sz="4" w:space="0" w:color="auto"/>
            </w:tcBorders>
            <w:hideMark/>
          </w:tcPr>
          <w:p w14:paraId="18CB48B0" w14:textId="4B770279" w:rsidR="0065586C" w:rsidRPr="002029AF" w:rsidRDefault="0065586C" w:rsidP="003566F1">
            <w:pPr>
              <w:pStyle w:val="ARfintablebodybold"/>
            </w:pPr>
            <w:r w:rsidRPr="002029AF">
              <w:t>Total</w:t>
            </w:r>
            <w:r w:rsidR="000A5329" w:rsidRPr="002029AF">
              <w:t xml:space="preserve"> </w:t>
            </w:r>
            <w:r w:rsidRPr="002029AF">
              <w:t>income</w:t>
            </w:r>
            <w:r w:rsidR="000A5329" w:rsidRPr="002029AF">
              <w:t xml:space="preserve"> </w:t>
            </w:r>
            <w:r w:rsidRPr="002029AF">
              <w:t>from</w:t>
            </w:r>
            <w:r w:rsidR="000A5329" w:rsidRPr="002029AF">
              <w:t xml:space="preserve"> </w:t>
            </w:r>
            <w:r w:rsidRPr="002029AF">
              <w:t>transactions</w:t>
            </w:r>
          </w:p>
        </w:tc>
        <w:tc>
          <w:tcPr>
            <w:tcW w:w="1134" w:type="dxa"/>
            <w:tcBorders>
              <w:bottom w:val="single" w:sz="4" w:space="0" w:color="auto"/>
            </w:tcBorders>
            <w:shd w:val="clear" w:color="auto" w:fill="E7E6E6"/>
            <w:noWrap/>
            <w:hideMark/>
          </w:tcPr>
          <w:p w14:paraId="49B056E9" w14:textId="77777777" w:rsidR="0065586C" w:rsidRPr="002029AF" w:rsidRDefault="0065586C" w:rsidP="003566F1">
            <w:pPr>
              <w:pStyle w:val="ARfintablebodyrightbold"/>
            </w:pPr>
            <w:r w:rsidRPr="002029AF">
              <w:t>1,207.5</w:t>
            </w:r>
          </w:p>
        </w:tc>
        <w:tc>
          <w:tcPr>
            <w:tcW w:w="1134" w:type="dxa"/>
            <w:tcBorders>
              <w:bottom w:val="single" w:sz="4" w:space="0" w:color="auto"/>
            </w:tcBorders>
            <w:noWrap/>
            <w:hideMark/>
          </w:tcPr>
          <w:p w14:paraId="0D0313B8" w14:textId="77777777" w:rsidR="0065586C" w:rsidRPr="002029AF" w:rsidRDefault="0065586C" w:rsidP="003566F1">
            <w:pPr>
              <w:pStyle w:val="ARfintablebodyrightbold"/>
            </w:pPr>
            <w:r w:rsidRPr="002029AF">
              <w:t>1,145.5</w:t>
            </w:r>
          </w:p>
        </w:tc>
      </w:tr>
      <w:tr w:rsidR="0065586C" w:rsidRPr="002029AF" w14:paraId="43F136A9" w14:textId="77777777" w:rsidTr="003566F1">
        <w:tc>
          <w:tcPr>
            <w:tcW w:w="9637" w:type="dxa"/>
            <w:gridSpan w:val="3"/>
            <w:tcBorders>
              <w:top w:val="single" w:sz="4" w:space="0" w:color="auto"/>
              <w:bottom w:val="single" w:sz="4" w:space="0" w:color="A6A6A6"/>
            </w:tcBorders>
            <w:hideMark/>
          </w:tcPr>
          <w:p w14:paraId="1FCE2F17" w14:textId="13DA0351" w:rsidR="0065586C" w:rsidRPr="002029AF" w:rsidRDefault="0065586C" w:rsidP="003566F1">
            <w:pPr>
              <w:pStyle w:val="ARfintablebodybold"/>
            </w:pPr>
            <w:r w:rsidRPr="002029AF">
              <w:t>Expenses</w:t>
            </w:r>
            <w:r w:rsidR="000A5329" w:rsidRPr="002029AF">
              <w:t xml:space="preserve"> </w:t>
            </w:r>
            <w:r w:rsidRPr="002029AF">
              <w:t>from</w:t>
            </w:r>
            <w:r w:rsidR="000A5329" w:rsidRPr="002029AF">
              <w:t xml:space="preserve"> </w:t>
            </w:r>
            <w:r w:rsidRPr="002029AF">
              <w:t>transactions</w:t>
            </w:r>
          </w:p>
        </w:tc>
      </w:tr>
      <w:tr w:rsidR="0065586C" w:rsidRPr="002029AF" w14:paraId="630901E4" w14:textId="77777777" w:rsidTr="003566F1">
        <w:tc>
          <w:tcPr>
            <w:tcW w:w="7369" w:type="dxa"/>
            <w:tcBorders>
              <w:top w:val="single" w:sz="4" w:space="0" w:color="A6A6A6"/>
              <w:bottom w:val="single" w:sz="4" w:space="0" w:color="A6A6A6"/>
            </w:tcBorders>
            <w:hideMark/>
          </w:tcPr>
          <w:p w14:paraId="17CAB8CE" w14:textId="6A79474B" w:rsidR="0065586C" w:rsidRPr="002029AF" w:rsidRDefault="0065586C" w:rsidP="003566F1">
            <w:pPr>
              <w:pStyle w:val="ARfintablebody"/>
            </w:pPr>
            <w:r w:rsidRPr="002029AF">
              <w:t>Employee</w:t>
            </w:r>
            <w:r w:rsidR="000A5329" w:rsidRPr="002029AF">
              <w:t xml:space="preserve"> </w:t>
            </w:r>
            <w:r w:rsidRPr="002029AF">
              <w:t>benefits</w:t>
            </w:r>
          </w:p>
        </w:tc>
        <w:tc>
          <w:tcPr>
            <w:tcW w:w="1134" w:type="dxa"/>
            <w:tcBorders>
              <w:top w:val="single" w:sz="4" w:space="0" w:color="A6A6A6"/>
              <w:bottom w:val="single" w:sz="4" w:space="0" w:color="A6A6A6"/>
            </w:tcBorders>
            <w:shd w:val="clear" w:color="auto" w:fill="E7E6E6"/>
            <w:noWrap/>
            <w:hideMark/>
          </w:tcPr>
          <w:p w14:paraId="57206E48" w14:textId="77777777" w:rsidR="0065586C" w:rsidRPr="002029AF" w:rsidRDefault="0065586C" w:rsidP="003566F1">
            <w:pPr>
              <w:pStyle w:val="ARfintablebodyright"/>
            </w:pPr>
            <w:r w:rsidRPr="002029AF">
              <w:t>118.4</w:t>
            </w:r>
          </w:p>
        </w:tc>
        <w:tc>
          <w:tcPr>
            <w:tcW w:w="1134" w:type="dxa"/>
            <w:tcBorders>
              <w:top w:val="single" w:sz="4" w:space="0" w:color="A6A6A6"/>
              <w:bottom w:val="single" w:sz="4" w:space="0" w:color="A6A6A6"/>
            </w:tcBorders>
            <w:noWrap/>
            <w:hideMark/>
          </w:tcPr>
          <w:p w14:paraId="1233A9E2" w14:textId="77777777" w:rsidR="0065586C" w:rsidRPr="002029AF" w:rsidRDefault="0065586C" w:rsidP="003566F1">
            <w:pPr>
              <w:pStyle w:val="ARfintablebodyright"/>
            </w:pPr>
            <w:r w:rsidRPr="002029AF">
              <w:t>114.6</w:t>
            </w:r>
          </w:p>
        </w:tc>
      </w:tr>
      <w:tr w:rsidR="0065586C" w:rsidRPr="002029AF" w14:paraId="7B3A323E" w14:textId="77777777" w:rsidTr="003566F1">
        <w:tc>
          <w:tcPr>
            <w:tcW w:w="7369" w:type="dxa"/>
            <w:tcBorders>
              <w:top w:val="single" w:sz="4" w:space="0" w:color="A6A6A6"/>
              <w:bottom w:val="single" w:sz="4" w:space="0" w:color="A6A6A6"/>
            </w:tcBorders>
            <w:hideMark/>
          </w:tcPr>
          <w:p w14:paraId="6B9A69E8" w14:textId="5EE774EC" w:rsidR="0065586C" w:rsidRPr="002029AF" w:rsidRDefault="0065586C" w:rsidP="003566F1">
            <w:pPr>
              <w:pStyle w:val="ARfintablebody"/>
            </w:pPr>
            <w:r w:rsidRPr="002029AF">
              <w:t>Depreciation</w:t>
            </w:r>
            <w:r w:rsidR="000A5329" w:rsidRPr="002029AF">
              <w:t xml:space="preserve"> </w:t>
            </w:r>
            <w:r w:rsidRPr="002029AF">
              <w:t>and</w:t>
            </w:r>
            <w:r w:rsidR="000A5329" w:rsidRPr="002029AF">
              <w:t xml:space="preserve"> </w:t>
            </w:r>
            <w:r w:rsidRPr="002029AF">
              <w:t>amortisation</w:t>
            </w:r>
          </w:p>
        </w:tc>
        <w:tc>
          <w:tcPr>
            <w:tcW w:w="1134" w:type="dxa"/>
            <w:tcBorders>
              <w:top w:val="single" w:sz="4" w:space="0" w:color="A6A6A6"/>
              <w:bottom w:val="single" w:sz="4" w:space="0" w:color="A6A6A6"/>
            </w:tcBorders>
            <w:shd w:val="clear" w:color="auto" w:fill="E7E6E6"/>
            <w:noWrap/>
            <w:hideMark/>
          </w:tcPr>
          <w:p w14:paraId="1DDDE092" w14:textId="77777777" w:rsidR="0065586C" w:rsidRPr="002029AF" w:rsidRDefault="0065586C" w:rsidP="003566F1">
            <w:pPr>
              <w:pStyle w:val="ARfintablebodyright"/>
            </w:pPr>
            <w:r w:rsidRPr="002029AF">
              <w:t>334.4</w:t>
            </w:r>
          </w:p>
        </w:tc>
        <w:tc>
          <w:tcPr>
            <w:tcW w:w="1134" w:type="dxa"/>
            <w:tcBorders>
              <w:top w:val="single" w:sz="4" w:space="0" w:color="A6A6A6"/>
              <w:bottom w:val="single" w:sz="4" w:space="0" w:color="A6A6A6"/>
            </w:tcBorders>
            <w:noWrap/>
            <w:hideMark/>
          </w:tcPr>
          <w:p w14:paraId="63FCFB1B" w14:textId="77777777" w:rsidR="0065586C" w:rsidRPr="002029AF" w:rsidRDefault="0065586C" w:rsidP="003566F1">
            <w:pPr>
              <w:pStyle w:val="ARfintablebodyright"/>
            </w:pPr>
            <w:r w:rsidRPr="002029AF">
              <w:t>280.6</w:t>
            </w:r>
          </w:p>
        </w:tc>
      </w:tr>
      <w:tr w:rsidR="0065586C" w:rsidRPr="002029AF" w14:paraId="3940C3DE" w14:textId="77777777" w:rsidTr="003566F1">
        <w:tc>
          <w:tcPr>
            <w:tcW w:w="7369" w:type="dxa"/>
            <w:tcBorders>
              <w:top w:val="single" w:sz="4" w:space="0" w:color="A6A6A6"/>
              <w:bottom w:val="single" w:sz="4" w:space="0" w:color="A6A6A6"/>
            </w:tcBorders>
            <w:hideMark/>
          </w:tcPr>
          <w:p w14:paraId="02A662E6" w14:textId="180BBB97" w:rsidR="0065586C" w:rsidRPr="002029AF" w:rsidRDefault="0065586C" w:rsidP="003566F1">
            <w:pPr>
              <w:pStyle w:val="ARfintablebody"/>
            </w:pPr>
            <w:r w:rsidRPr="002029AF">
              <w:t>Interest</w:t>
            </w:r>
            <w:r w:rsidR="000A5329" w:rsidRPr="002029AF">
              <w:t xml:space="preserve"> </w:t>
            </w:r>
            <w:r w:rsidRPr="002029AF">
              <w:t>expense</w:t>
            </w:r>
          </w:p>
        </w:tc>
        <w:tc>
          <w:tcPr>
            <w:tcW w:w="1134" w:type="dxa"/>
            <w:tcBorders>
              <w:top w:val="single" w:sz="4" w:space="0" w:color="A6A6A6"/>
              <w:bottom w:val="single" w:sz="4" w:space="0" w:color="A6A6A6"/>
            </w:tcBorders>
            <w:shd w:val="clear" w:color="auto" w:fill="E7E6E6"/>
            <w:noWrap/>
            <w:hideMark/>
          </w:tcPr>
          <w:p w14:paraId="442CB419" w14:textId="77777777" w:rsidR="0065586C" w:rsidRPr="002029AF" w:rsidRDefault="0065586C" w:rsidP="003566F1">
            <w:pPr>
              <w:pStyle w:val="ARfintablebodyright"/>
            </w:pPr>
            <w:r w:rsidRPr="002029AF">
              <w:t>1.1</w:t>
            </w:r>
          </w:p>
        </w:tc>
        <w:tc>
          <w:tcPr>
            <w:tcW w:w="1134" w:type="dxa"/>
            <w:tcBorders>
              <w:top w:val="single" w:sz="4" w:space="0" w:color="A6A6A6"/>
              <w:bottom w:val="single" w:sz="4" w:space="0" w:color="A6A6A6"/>
            </w:tcBorders>
            <w:noWrap/>
            <w:hideMark/>
          </w:tcPr>
          <w:p w14:paraId="0205F2D0" w14:textId="77777777" w:rsidR="0065586C" w:rsidRPr="002029AF" w:rsidRDefault="0065586C" w:rsidP="003566F1">
            <w:pPr>
              <w:pStyle w:val="ARfintablebodyright"/>
            </w:pPr>
            <w:r w:rsidRPr="002029AF">
              <w:t>-</w:t>
            </w:r>
          </w:p>
        </w:tc>
      </w:tr>
      <w:tr w:rsidR="0065586C" w:rsidRPr="002029AF" w14:paraId="7A7265D5" w14:textId="77777777" w:rsidTr="003566F1">
        <w:tc>
          <w:tcPr>
            <w:tcW w:w="7369" w:type="dxa"/>
            <w:tcBorders>
              <w:top w:val="single" w:sz="4" w:space="0" w:color="A6A6A6"/>
              <w:bottom w:val="single" w:sz="4" w:space="0" w:color="A6A6A6"/>
            </w:tcBorders>
            <w:hideMark/>
          </w:tcPr>
          <w:p w14:paraId="04A6FF3C" w14:textId="77777777" w:rsidR="0065586C" w:rsidRPr="002029AF" w:rsidRDefault="0065586C" w:rsidP="003566F1">
            <w:pPr>
              <w:pStyle w:val="ARfintablebody"/>
            </w:pPr>
            <w:r w:rsidRPr="002029AF">
              <w:t>Maintenance</w:t>
            </w:r>
          </w:p>
        </w:tc>
        <w:tc>
          <w:tcPr>
            <w:tcW w:w="1134" w:type="dxa"/>
            <w:tcBorders>
              <w:top w:val="single" w:sz="4" w:space="0" w:color="A6A6A6"/>
              <w:bottom w:val="single" w:sz="4" w:space="0" w:color="A6A6A6"/>
            </w:tcBorders>
            <w:shd w:val="clear" w:color="auto" w:fill="E7E6E6"/>
            <w:noWrap/>
            <w:hideMark/>
          </w:tcPr>
          <w:p w14:paraId="159A5447" w14:textId="77777777" w:rsidR="0065586C" w:rsidRPr="002029AF" w:rsidRDefault="0065586C" w:rsidP="003566F1">
            <w:pPr>
              <w:pStyle w:val="ARfintablebodyright"/>
            </w:pPr>
            <w:r w:rsidRPr="002029AF">
              <w:t>218.2</w:t>
            </w:r>
          </w:p>
        </w:tc>
        <w:tc>
          <w:tcPr>
            <w:tcW w:w="1134" w:type="dxa"/>
            <w:tcBorders>
              <w:top w:val="single" w:sz="4" w:space="0" w:color="A6A6A6"/>
              <w:bottom w:val="single" w:sz="4" w:space="0" w:color="A6A6A6"/>
            </w:tcBorders>
            <w:noWrap/>
            <w:hideMark/>
          </w:tcPr>
          <w:p w14:paraId="5C9FD31A" w14:textId="77777777" w:rsidR="0065586C" w:rsidRPr="002029AF" w:rsidRDefault="0065586C" w:rsidP="003566F1">
            <w:pPr>
              <w:pStyle w:val="ARfintablebodyright"/>
            </w:pPr>
            <w:r w:rsidRPr="002029AF">
              <w:t>212.7</w:t>
            </w:r>
          </w:p>
        </w:tc>
      </w:tr>
      <w:tr w:rsidR="0065586C" w:rsidRPr="002029AF" w14:paraId="3CBC2315" w14:textId="77777777" w:rsidTr="003566F1">
        <w:tc>
          <w:tcPr>
            <w:tcW w:w="7369" w:type="dxa"/>
            <w:tcBorders>
              <w:top w:val="single" w:sz="4" w:space="0" w:color="A6A6A6"/>
              <w:bottom w:val="single" w:sz="4" w:space="0" w:color="A6A6A6"/>
            </w:tcBorders>
            <w:hideMark/>
          </w:tcPr>
          <w:p w14:paraId="11B990F8" w14:textId="1604DABC" w:rsidR="0065586C" w:rsidRPr="002029AF" w:rsidRDefault="0065586C" w:rsidP="003566F1">
            <w:pPr>
              <w:pStyle w:val="ARfintablebody"/>
            </w:pPr>
            <w:r w:rsidRPr="002029AF">
              <w:t>Grant</w:t>
            </w:r>
            <w:r w:rsidR="000A5329" w:rsidRPr="002029AF">
              <w:t xml:space="preserve"> </w:t>
            </w:r>
            <w:r w:rsidRPr="002029AF">
              <w:t>and</w:t>
            </w:r>
            <w:r w:rsidR="000A5329" w:rsidRPr="002029AF">
              <w:t xml:space="preserve"> </w:t>
            </w:r>
            <w:r w:rsidRPr="002029AF">
              <w:t>other</w:t>
            </w:r>
            <w:r w:rsidR="000A5329" w:rsidRPr="002029AF">
              <w:t xml:space="preserve"> </w:t>
            </w:r>
            <w:r w:rsidRPr="002029AF">
              <w:t>expense</w:t>
            </w:r>
            <w:r w:rsidR="000A5329" w:rsidRPr="002029AF">
              <w:t xml:space="preserve"> </w:t>
            </w:r>
            <w:r w:rsidRPr="002029AF">
              <w:t>transfers</w:t>
            </w:r>
          </w:p>
        </w:tc>
        <w:tc>
          <w:tcPr>
            <w:tcW w:w="1134" w:type="dxa"/>
            <w:tcBorders>
              <w:top w:val="single" w:sz="4" w:space="0" w:color="A6A6A6"/>
              <w:bottom w:val="single" w:sz="4" w:space="0" w:color="A6A6A6"/>
            </w:tcBorders>
            <w:shd w:val="clear" w:color="auto" w:fill="E7E6E6"/>
            <w:noWrap/>
            <w:hideMark/>
          </w:tcPr>
          <w:p w14:paraId="16FB45D9" w14:textId="77777777" w:rsidR="0065586C" w:rsidRPr="002029AF" w:rsidRDefault="0065586C" w:rsidP="003566F1">
            <w:pPr>
              <w:pStyle w:val="ARfintablebodyright"/>
            </w:pPr>
            <w:r w:rsidRPr="002029AF">
              <w:t>474.4</w:t>
            </w:r>
          </w:p>
        </w:tc>
        <w:tc>
          <w:tcPr>
            <w:tcW w:w="1134" w:type="dxa"/>
            <w:tcBorders>
              <w:top w:val="single" w:sz="4" w:space="0" w:color="A6A6A6"/>
              <w:bottom w:val="single" w:sz="4" w:space="0" w:color="A6A6A6"/>
            </w:tcBorders>
            <w:noWrap/>
            <w:hideMark/>
          </w:tcPr>
          <w:p w14:paraId="40B361CF" w14:textId="77777777" w:rsidR="0065586C" w:rsidRPr="002029AF" w:rsidRDefault="0065586C" w:rsidP="003566F1">
            <w:pPr>
              <w:pStyle w:val="ARfintablebodyright"/>
            </w:pPr>
            <w:r w:rsidRPr="002029AF">
              <w:t>426.3</w:t>
            </w:r>
          </w:p>
        </w:tc>
      </w:tr>
      <w:tr w:rsidR="0065586C" w:rsidRPr="002029AF" w14:paraId="4A7E4D8C" w14:textId="77777777" w:rsidTr="003566F1">
        <w:tc>
          <w:tcPr>
            <w:tcW w:w="7369" w:type="dxa"/>
            <w:tcBorders>
              <w:top w:val="single" w:sz="4" w:space="0" w:color="A6A6A6"/>
              <w:bottom w:val="single" w:sz="4" w:space="0" w:color="A6A6A6"/>
            </w:tcBorders>
            <w:hideMark/>
          </w:tcPr>
          <w:p w14:paraId="189AB127" w14:textId="604C5C64" w:rsidR="0065586C" w:rsidRPr="002029AF" w:rsidRDefault="0065586C" w:rsidP="003566F1">
            <w:pPr>
              <w:pStyle w:val="ARfintablebody"/>
            </w:pPr>
            <w:r w:rsidRPr="002029AF">
              <w:t>Fair</w:t>
            </w:r>
            <w:r w:rsidR="000A5329" w:rsidRPr="002029AF">
              <w:t xml:space="preserve"> </w:t>
            </w:r>
            <w:r w:rsidRPr="002029AF">
              <w:t>value</w:t>
            </w:r>
            <w:r w:rsidR="000A5329" w:rsidRPr="002029AF">
              <w:t xml:space="preserve"> </w:t>
            </w:r>
            <w:r w:rsidRPr="002029AF">
              <w:t>of</w:t>
            </w:r>
            <w:r w:rsidR="000A5329" w:rsidRPr="002029AF">
              <w:t xml:space="preserve"> </w:t>
            </w:r>
            <w:r w:rsidRPr="002029AF">
              <w:t>assets</w:t>
            </w:r>
            <w:r w:rsidR="000A5329" w:rsidRPr="002029AF">
              <w:t xml:space="preserve"> </w:t>
            </w:r>
            <w:r w:rsidRPr="002029AF">
              <w:t>and</w:t>
            </w:r>
            <w:r w:rsidR="000A5329" w:rsidRPr="002029AF">
              <w:t xml:space="preserve"> </w:t>
            </w:r>
            <w:r w:rsidRPr="002029AF">
              <w:t>services</w:t>
            </w:r>
            <w:r w:rsidR="000A5329" w:rsidRPr="002029AF">
              <w:t xml:space="preserve"> </w:t>
            </w:r>
            <w:r w:rsidRPr="002029AF">
              <w:t>received</w:t>
            </w:r>
            <w:r w:rsidR="000A5329" w:rsidRPr="002029AF">
              <w:t xml:space="preserve"> </w:t>
            </w:r>
            <w:r w:rsidRPr="002029AF">
              <w:t>free</w:t>
            </w:r>
            <w:r w:rsidR="000A5329" w:rsidRPr="002029AF">
              <w:t xml:space="preserve"> </w:t>
            </w:r>
            <w:r w:rsidRPr="002029AF">
              <w:t>of</w:t>
            </w:r>
            <w:r w:rsidR="000A5329" w:rsidRPr="002029AF">
              <w:t xml:space="preserve"> </w:t>
            </w:r>
            <w:r w:rsidRPr="002029AF">
              <w:t>charge</w:t>
            </w:r>
            <w:r w:rsidR="000A5329" w:rsidRPr="002029AF">
              <w:t xml:space="preserve"> </w:t>
            </w:r>
            <w:r w:rsidRPr="002029AF">
              <w:t>or</w:t>
            </w:r>
            <w:r w:rsidR="000A5329" w:rsidRPr="002029AF">
              <w:t xml:space="preserve"> </w:t>
            </w:r>
            <w:r w:rsidRPr="002029AF">
              <w:t>for</w:t>
            </w:r>
            <w:r w:rsidR="000A5329" w:rsidRPr="002029AF">
              <w:t xml:space="preserve"> </w:t>
            </w:r>
            <w:r w:rsidRPr="002029AF">
              <w:t>nominal</w:t>
            </w:r>
            <w:r w:rsidR="000A5329" w:rsidRPr="002029AF">
              <w:t xml:space="preserve"> </w:t>
            </w:r>
            <w:r w:rsidRPr="002029AF">
              <w:t>consideration</w:t>
            </w:r>
          </w:p>
        </w:tc>
        <w:tc>
          <w:tcPr>
            <w:tcW w:w="1134" w:type="dxa"/>
            <w:tcBorders>
              <w:top w:val="single" w:sz="4" w:space="0" w:color="A6A6A6"/>
              <w:bottom w:val="single" w:sz="4" w:space="0" w:color="A6A6A6"/>
            </w:tcBorders>
            <w:shd w:val="clear" w:color="auto" w:fill="E7E6E6"/>
            <w:noWrap/>
            <w:hideMark/>
          </w:tcPr>
          <w:p w14:paraId="018AD474" w14:textId="77777777" w:rsidR="0065586C" w:rsidRPr="002029AF" w:rsidRDefault="0065586C" w:rsidP="003566F1">
            <w:pPr>
              <w:pStyle w:val="ARfintablebodyright"/>
            </w:pPr>
            <w:r w:rsidRPr="002029AF">
              <w:t>–</w:t>
            </w:r>
          </w:p>
        </w:tc>
        <w:tc>
          <w:tcPr>
            <w:tcW w:w="1134" w:type="dxa"/>
            <w:tcBorders>
              <w:top w:val="single" w:sz="4" w:space="0" w:color="A6A6A6"/>
              <w:bottom w:val="single" w:sz="4" w:space="0" w:color="A6A6A6"/>
            </w:tcBorders>
            <w:noWrap/>
            <w:hideMark/>
          </w:tcPr>
          <w:p w14:paraId="46050ADB" w14:textId="77777777" w:rsidR="0065586C" w:rsidRPr="002029AF" w:rsidRDefault="0065586C" w:rsidP="003566F1">
            <w:pPr>
              <w:pStyle w:val="ARfintablebodyright"/>
            </w:pPr>
            <w:r w:rsidRPr="002029AF">
              <w:t>116.2</w:t>
            </w:r>
          </w:p>
        </w:tc>
      </w:tr>
      <w:tr w:rsidR="0065586C" w:rsidRPr="002029AF" w14:paraId="383326BC" w14:textId="77777777" w:rsidTr="003566F1">
        <w:tc>
          <w:tcPr>
            <w:tcW w:w="7369" w:type="dxa"/>
            <w:tcBorders>
              <w:top w:val="single" w:sz="4" w:space="0" w:color="A6A6A6"/>
              <w:bottom w:val="single" w:sz="4" w:space="0" w:color="A6A6A6"/>
            </w:tcBorders>
            <w:hideMark/>
          </w:tcPr>
          <w:p w14:paraId="6A71DEEE" w14:textId="6C29F327" w:rsidR="0065586C" w:rsidRPr="002029AF" w:rsidRDefault="0065586C" w:rsidP="003566F1">
            <w:pPr>
              <w:pStyle w:val="ARfintablebody"/>
            </w:pPr>
            <w:r w:rsidRPr="002029AF">
              <w:t>Other</w:t>
            </w:r>
            <w:r w:rsidR="000A5329" w:rsidRPr="002029AF">
              <w:t xml:space="preserve"> </w:t>
            </w:r>
            <w:r w:rsidRPr="002029AF">
              <w:t>operating</w:t>
            </w:r>
            <w:r w:rsidR="000A5329" w:rsidRPr="002029AF">
              <w:t xml:space="preserve"> </w:t>
            </w:r>
            <w:r w:rsidRPr="002029AF">
              <w:t>expenses</w:t>
            </w:r>
            <w:r w:rsidR="000A5329" w:rsidRPr="002029AF">
              <w:t xml:space="preserve"> </w:t>
            </w:r>
          </w:p>
        </w:tc>
        <w:tc>
          <w:tcPr>
            <w:tcW w:w="1134" w:type="dxa"/>
            <w:tcBorders>
              <w:top w:val="single" w:sz="4" w:space="0" w:color="A6A6A6"/>
              <w:bottom w:val="single" w:sz="4" w:space="0" w:color="A6A6A6"/>
            </w:tcBorders>
            <w:shd w:val="clear" w:color="auto" w:fill="E7E6E6"/>
            <w:noWrap/>
            <w:hideMark/>
          </w:tcPr>
          <w:p w14:paraId="2D823FF5" w14:textId="77777777" w:rsidR="0065586C" w:rsidRPr="002029AF" w:rsidRDefault="0065586C" w:rsidP="003566F1">
            <w:pPr>
              <w:pStyle w:val="ARfintablebodyright"/>
            </w:pPr>
            <w:r w:rsidRPr="002029AF">
              <w:t>51.9</w:t>
            </w:r>
          </w:p>
        </w:tc>
        <w:tc>
          <w:tcPr>
            <w:tcW w:w="1134" w:type="dxa"/>
            <w:tcBorders>
              <w:top w:val="single" w:sz="4" w:space="0" w:color="A6A6A6"/>
              <w:bottom w:val="single" w:sz="4" w:space="0" w:color="A6A6A6"/>
            </w:tcBorders>
            <w:noWrap/>
            <w:hideMark/>
          </w:tcPr>
          <w:p w14:paraId="78DC5844" w14:textId="77777777" w:rsidR="0065586C" w:rsidRPr="002029AF" w:rsidRDefault="0065586C" w:rsidP="003566F1">
            <w:pPr>
              <w:pStyle w:val="ARfintablebodyright"/>
            </w:pPr>
            <w:r w:rsidRPr="002029AF">
              <w:t>45.8</w:t>
            </w:r>
          </w:p>
        </w:tc>
      </w:tr>
      <w:tr w:rsidR="0065586C" w:rsidRPr="002029AF" w14:paraId="2EEE46CF" w14:textId="77777777" w:rsidTr="003566F1">
        <w:tc>
          <w:tcPr>
            <w:tcW w:w="7369" w:type="dxa"/>
            <w:tcBorders>
              <w:top w:val="single" w:sz="4" w:space="0" w:color="A6A6A6"/>
            </w:tcBorders>
            <w:hideMark/>
          </w:tcPr>
          <w:p w14:paraId="1D61C1DB" w14:textId="2F60700A" w:rsidR="0065586C" w:rsidRPr="002029AF" w:rsidRDefault="0065586C" w:rsidP="003566F1">
            <w:pPr>
              <w:pStyle w:val="ARfintablebody"/>
            </w:pPr>
            <w:r w:rsidRPr="002029AF">
              <w:t>Other</w:t>
            </w:r>
            <w:r w:rsidR="000A5329" w:rsidRPr="002029AF">
              <w:t xml:space="preserve"> </w:t>
            </w:r>
            <w:r w:rsidRPr="002029AF">
              <w:t>property</w:t>
            </w:r>
            <w:r w:rsidR="000A5329" w:rsidRPr="002029AF">
              <w:t xml:space="preserve"> </w:t>
            </w:r>
            <w:r w:rsidRPr="002029AF">
              <w:t>management</w:t>
            </w:r>
            <w:r w:rsidR="000A5329" w:rsidRPr="002029AF">
              <w:t xml:space="preserve"> </w:t>
            </w:r>
            <w:r w:rsidRPr="002029AF">
              <w:t>expenses</w:t>
            </w:r>
          </w:p>
        </w:tc>
        <w:tc>
          <w:tcPr>
            <w:tcW w:w="1134" w:type="dxa"/>
            <w:tcBorders>
              <w:top w:val="single" w:sz="4" w:space="0" w:color="A6A6A6"/>
            </w:tcBorders>
            <w:shd w:val="clear" w:color="auto" w:fill="E7E6E6"/>
            <w:noWrap/>
            <w:hideMark/>
          </w:tcPr>
          <w:p w14:paraId="4A56B3F1" w14:textId="77777777" w:rsidR="0065586C" w:rsidRPr="002029AF" w:rsidRDefault="0065586C" w:rsidP="003566F1">
            <w:pPr>
              <w:pStyle w:val="ARfintablebodyright"/>
            </w:pPr>
            <w:r w:rsidRPr="002029AF">
              <w:t>198.3</w:t>
            </w:r>
          </w:p>
        </w:tc>
        <w:tc>
          <w:tcPr>
            <w:tcW w:w="1134" w:type="dxa"/>
            <w:tcBorders>
              <w:top w:val="single" w:sz="4" w:space="0" w:color="A6A6A6"/>
            </w:tcBorders>
            <w:noWrap/>
            <w:hideMark/>
          </w:tcPr>
          <w:p w14:paraId="7B420607" w14:textId="77777777" w:rsidR="0065586C" w:rsidRPr="002029AF" w:rsidRDefault="0065586C" w:rsidP="003566F1">
            <w:pPr>
              <w:pStyle w:val="ARfintablebodyright"/>
            </w:pPr>
            <w:r w:rsidRPr="002029AF">
              <w:t>208.9</w:t>
            </w:r>
          </w:p>
        </w:tc>
      </w:tr>
      <w:tr w:rsidR="0065586C" w:rsidRPr="002029AF" w14:paraId="14FC901E" w14:textId="77777777" w:rsidTr="003566F1">
        <w:tc>
          <w:tcPr>
            <w:tcW w:w="7369" w:type="dxa"/>
            <w:hideMark/>
          </w:tcPr>
          <w:p w14:paraId="061F4E3E" w14:textId="71338935" w:rsidR="0065586C" w:rsidRPr="002029AF" w:rsidRDefault="0065586C" w:rsidP="003566F1">
            <w:pPr>
              <w:pStyle w:val="ARfintablebodybold"/>
            </w:pPr>
            <w:r w:rsidRPr="002029AF">
              <w:t>Total</w:t>
            </w:r>
            <w:r w:rsidR="000A5329" w:rsidRPr="002029AF">
              <w:t xml:space="preserve"> </w:t>
            </w:r>
            <w:r w:rsidRPr="002029AF">
              <w:t>expenses</w:t>
            </w:r>
            <w:r w:rsidR="000A5329" w:rsidRPr="002029AF">
              <w:t xml:space="preserve"> </w:t>
            </w:r>
            <w:r w:rsidRPr="002029AF">
              <w:t>from</w:t>
            </w:r>
            <w:r w:rsidR="000A5329" w:rsidRPr="002029AF">
              <w:t xml:space="preserve"> </w:t>
            </w:r>
            <w:r w:rsidRPr="002029AF">
              <w:t>transactions</w:t>
            </w:r>
          </w:p>
        </w:tc>
        <w:tc>
          <w:tcPr>
            <w:tcW w:w="1134" w:type="dxa"/>
            <w:shd w:val="clear" w:color="auto" w:fill="E7E6E6"/>
            <w:noWrap/>
            <w:hideMark/>
          </w:tcPr>
          <w:p w14:paraId="7A09483B" w14:textId="77777777" w:rsidR="0065586C" w:rsidRPr="002029AF" w:rsidRDefault="0065586C" w:rsidP="003566F1">
            <w:pPr>
              <w:pStyle w:val="ARfintablebodyrightbold"/>
            </w:pPr>
            <w:r w:rsidRPr="002029AF">
              <w:t>1,396.7</w:t>
            </w:r>
          </w:p>
        </w:tc>
        <w:tc>
          <w:tcPr>
            <w:tcW w:w="1134" w:type="dxa"/>
            <w:noWrap/>
            <w:hideMark/>
          </w:tcPr>
          <w:p w14:paraId="512509FA" w14:textId="77777777" w:rsidR="0065586C" w:rsidRPr="002029AF" w:rsidRDefault="0065586C" w:rsidP="003566F1">
            <w:pPr>
              <w:pStyle w:val="ARfintablebodyrightbold"/>
            </w:pPr>
            <w:r w:rsidRPr="002029AF">
              <w:t>1,405.0</w:t>
            </w:r>
          </w:p>
        </w:tc>
      </w:tr>
      <w:tr w:rsidR="0065586C" w:rsidRPr="002029AF" w14:paraId="59E33B5D" w14:textId="77777777" w:rsidTr="003566F1">
        <w:tc>
          <w:tcPr>
            <w:tcW w:w="7369" w:type="dxa"/>
            <w:tcBorders>
              <w:bottom w:val="single" w:sz="4" w:space="0" w:color="auto"/>
            </w:tcBorders>
            <w:hideMark/>
          </w:tcPr>
          <w:p w14:paraId="38318FA3" w14:textId="07913664" w:rsidR="0065586C" w:rsidRPr="002029AF" w:rsidRDefault="0065586C" w:rsidP="003566F1">
            <w:pPr>
              <w:pStyle w:val="ARfintablebodybold"/>
            </w:pPr>
            <w:r w:rsidRPr="002029AF">
              <w:t>Net</w:t>
            </w:r>
            <w:r w:rsidR="000A5329" w:rsidRPr="002029AF">
              <w:t xml:space="preserve"> </w:t>
            </w:r>
            <w:r w:rsidRPr="002029AF">
              <w:t>result</w:t>
            </w:r>
            <w:r w:rsidR="000A5329" w:rsidRPr="002029AF">
              <w:t xml:space="preserve"> </w:t>
            </w:r>
            <w:r w:rsidRPr="002029AF">
              <w:t>from</w:t>
            </w:r>
            <w:r w:rsidR="000A5329" w:rsidRPr="002029AF">
              <w:t xml:space="preserve"> </w:t>
            </w:r>
            <w:r w:rsidRPr="002029AF">
              <w:t>transactions</w:t>
            </w:r>
            <w:r w:rsidR="000A5329" w:rsidRPr="002029AF">
              <w:t xml:space="preserve"> </w:t>
            </w:r>
            <w:r w:rsidRPr="002029AF">
              <w:t>(net</w:t>
            </w:r>
            <w:r w:rsidR="000A5329" w:rsidRPr="002029AF">
              <w:t xml:space="preserve"> </w:t>
            </w:r>
            <w:r w:rsidRPr="002029AF">
              <w:t>operating</w:t>
            </w:r>
            <w:r w:rsidR="000A5329" w:rsidRPr="002029AF">
              <w:t xml:space="preserve"> </w:t>
            </w:r>
            <w:r w:rsidRPr="002029AF">
              <w:t>balance)</w:t>
            </w:r>
            <w:r w:rsidR="000A5329" w:rsidRPr="002029AF">
              <w:t xml:space="preserve"> </w:t>
            </w:r>
            <w:r w:rsidRPr="002029AF">
              <w:rPr>
                <w:rStyle w:val="Superscript"/>
              </w:rPr>
              <w:t>(i)</w:t>
            </w:r>
          </w:p>
        </w:tc>
        <w:tc>
          <w:tcPr>
            <w:tcW w:w="1134" w:type="dxa"/>
            <w:tcBorders>
              <w:bottom w:val="single" w:sz="4" w:space="0" w:color="auto"/>
            </w:tcBorders>
            <w:shd w:val="clear" w:color="auto" w:fill="E7E6E6"/>
            <w:noWrap/>
            <w:hideMark/>
          </w:tcPr>
          <w:p w14:paraId="606037A8" w14:textId="77777777" w:rsidR="0065586C" w:rsidRPr="002029AF" w:rsidRDefault="0065586C" w:rsidP="003566F1">
            <w:pPr>
              <w:pStyle w:val="ARfintablebodyrightbold"/>
            </w:pPr>
            <w:r w:rsidRPr="002029AF">
              <w:t>(189.2)</w:t>
            </w:r>
          </w:p>
        </w:tc>
        <w:tc>
          <w:tcPr>
            <w:tcW w:w="1134" w:type="dxa"/>
            <w:tcBorders>
              <w:bottom w:val="single" w:sz="4" w:space="0" w:color="auto"/>
            </w:tcBorders>
            <w:noWrap/>
            <w:hideMark/>
          </w:tcPr>
          <w:p w14:paraId="664400E5" w14:textId="77777777" w:rsidR="0065586C" w:rsidRPr="002029AF" w:rsidRDefault="0065586C" w:rsidP="003566F1">
            <w:pPr>
              <w:pStyle w:val="ARfintablebodyrightbold"/>
            </w:pPr>
            <w:r w:rsidRPr="002029AF">
              <w:t>(259.5)</w:t>
            </w:r>
          </w:p>
        </w:tc>
      </w:tr>
      <w:tr w:rsidR="0065586C" w:rsidRPr="002029AF" w14:paraId="4AE46A52" w14:textId="77777777" w:rsidTr="003566F1">
        <w:tc>
          <w:tcPr>
            <w:tcW w:w="9637" w:type="dxa"/>
            <w:gridSpan w:val="3"/>
            <w:tcBorders>
              <w:top w:val="single" w:sz="4" w:space="0" w:color="auto"/>
              <w:bottom w:val="single" w:sz="4" w:space="0" w:color="A6A6A6"/>
            </w:tcBorders>
            <w:hideMark/>
          </w:tcPr>
          <w:p w14:paraId="7D694762" w14:textId="432086E9" w:rsidR="0065586C" w:rsidRPr="002029AF" w:rsidRDefault="0065586C" w:rsidP="003566F1">
            <w:pPr>
              <w:pStyle w:val="ARfintablebodybold"/>
            </w:pPr>
            <w:r w:rsidRPr="002029AF">
              <w:t>Other</w:t>
            </w:r>
            <w:r w:rsidR="000A5329" w:rsidRPr="002029AF">
              <w:t xml:space="preserve"> </w:t>
            </w:r>
            <w:r w:rsidRPr="002029AF">
              <w:t>economic</w:t>
            </w:r>
            <w:r w:rsidR="000A5329" w:rsidRPr="002029AF">
              <w:t xml:space="preserve"> </w:t>
            </w:r>
            <w:r w:rsidRPr="002029AF">
              <w:t>flows</w:t>
            </w:r>
            <w:r w:rsidR="000A5329" w:rsidRPr="002029AF">
              <w:t xml:space="preserve"> </w:t>
            </w:r>
            <w:r w:rsidRPr="002029AF">
              <w:t>included</w:t>
            </w:r>
            <w:r w:rsidR="000A5329" w:rsidRPr="002029AF">
              <w:t xml:space="preserve"> </w:t>
            </w:r>
            <w:r w:rsidRPr="002029AF">
              <w:t>in</w:t>
            </w:r>
            <w:r w:rsidR="000A5329" w:rsidRPr="002029AF">
              <w:t xml:space="preserve"> </w:t>
            </w:r>
            <w:r w:rsidRPr="002029AF">
              <w:t>net</w:t>
            </w:r>
            <w:r w:rsidR="000A5329" w:rsidRPr="002029AF">
              <w:t xml:space="preserve"> </w:t>
            </w:r>
            <w:r w:rsidRPr="002029AF">
              <w:t>result</w:t>
            </w:r>
          </w:p>
        </w:tc>
      </w:tr>
      <w:tr w:rsidR="0065586C" w:rsidRPr="002029AF" w14:paraId="1418ADE7" w14:textId="77777777" w:rsidTr="003566F1">
        <w:tc>
          <w:tcPr>
            <w:tcW w:w="7369" w:type="dxa"/>
            <w:tcBorders>
              <w:top w:val="single" w:sz="4" w:space="0" w:color="A6A6A6"/>
              <w:bottom w:val="single" w:sz="4" w:space="0" w:color="A6A6A6"/>
            </w:tcBorders>
            <w:hideMark/>
          </w:tcPr>
          <w:p w14:paraId="37CF9F09" w14:textId="522DF8D8" w:rsidR="0065586C" w:rsidRPr="002029AF" w:rsidRDefault="0065586C" w:rsidP="003566F1">
            <w:pPr>
              <w:pStyle w:val="ARfintablebody"/>
            </w:pPr>
            <w:r w:rsidRPr="002029AF">
              <w:t>Net</w:t>
            </w:r>
            <w:r w:rsidR="000A5329" w:rsidRPr="002029AF">
              <w:t xml:space="preserve"> </w:t>
            </w:r>
            <w:r w:rsidRPr="002029AF">
              <w:t>gain/(loss)</w:t>
            </w:r>
            <w:r w:rsidR="000A5329" w:rsidRPr="002029AF">
              <w:t xml:space="preserve"> </w:t>
            </w:r>
            <w:r w:rsidRPr="002029AF">
              <w:t>on</w:t>
            </w:r>
            <w:r w:rsidR="000A5329" w:rsidRPr="002029AF">
              <w:t xml:space="preserve"> </w:t>
            </w:r>
            <w:r w:rsidRPr="002029AF">
              <w:t>non-financial</w:t>
            </w:r>
            <w:r w:rsidR="000A5329" w:rsidRPr="002029AF">
              <w:t xml:space="preserve"> </w:t>
            </w:r>
            <w:r w:rsidRPr="002029AF">
              <w:t>assets</w:t>
            </w:r>
            <w:r w:rsidR="000A5329" w:rsidRPr="002029AF">
              <w:t xml:space="preserve"> </w:t>
            </w:r>
            <w:r w:rsidRPr="002029AF">
              <w:rPr>
                <w:rStyle w:val="Superscript"/>
              </w:rPr>
              <w:t>(ii)</w:t>
            </w:r>
          </w:p>
        </w:tc>
        <w:tc>
          <w:tcPr>
            <w:tcW w:w="1134" w:type="dxa"/>
            <w:tcBorders>
              <w:top w:val="single" w:sz="4" w:space="0" w:color="A6A6A6"/>
              <w:bottom w:val="single" w:sz="4" w:space="0" w:color="A6A6A6"/>
            </w:tcBorders>
            <w:shd w:val="clear" w:color="auto" w:fill="E7E6E6"/>
            <w:noWrap/>
            <w:hideMark/>
          </w:tcPr>
          <w:p w14:paraId="3314EE8B" w14:textId="77777777" w:rsidR="0065586C" w:rsidRPr="002029AF" w:rsidRDefault="0065586C" w:rsidP="003566F1">
            <w:pPr>
              <w:pStyle w:val="ARfintablebodyright"/>
            </w:pPr>
            <w:r w:rsidRPr="002029AF">
              <w:t>(5.5)</w:t>
            </w:r>
          </w:p>
        </w:tc>
        <w:tc>
          <w:tcPr>
            <w:tcW w:w="1134" w:type="dxa"/>
            <w:tcBorders>
              <w:top w:val="single" w:sz="4" w:space="0" w:color="A6A6A6"/>
              <w:bottom w:val="single" w:sz="4" w:space="0" w:color="A6A6A6"/>
            </w:tcBorders>
            <w:noWrap/>
            <w:hideMark/>
          </w:tcPr>
          <w:p w14:paraId="45100EE8" w14:textId="77777777" w:rsidR="0065586C" w:rsidRPr="002029AF" w:rsidRDefault="0065586C" w:rsidP="003566F1">
            <w:pPr>
              <w:pStyle w:val="ARfintablebodyright"/>
            </w:pPr>
            <w:r w:rsidRPr="002029AF">
              <w:t>(8.6)</w:t>
            </w:r>
          </w:p>
        </w:tc>
      </w:tr>
      <w:tr w:rsidR="0065586C" w:rsidRPr="002029AF" w14:paraId="4E320161" w14:textId="77777777" w:rsidTr="003566F1">
        <w:tc>
          <w:tcPr>
            <w:tcW w:w="7369" w:type="dxa"/>
            <w:tcBorders>
              <w:top w:val="single" w:sz="4" w:space="0" w:color="A6A6A6"/>
            </w:tcBorders>
            <w:hideMark/>
          </w:tcPr>
          <w:p w14:paraId="11D445AC" w14:textId="6E1E6D1F" w:rsidR="0065586C" w:rsidRPr="002029AF" w:rsidRDefault="0065586C" w:rsidP="003566F1">
            <w:pPr>
              <w:pStyle w:val="ARfintablebody"/>
            </w:pPr>
            <w:r w:rsidRPr="002029AF">
              <w:t>Other</w:t>
            </w:r>
            <w:r w:rsidR="000A5329" w:rsidRPr="002029AF">
              <w:t xml:space="preserve"> </w:t>
            </w:r>
            <w:r w:rsidRPr="002029AF">
              <w:t>gains/(losses)</w:t>
            </w:r>
            <w:r w:rsidR="000A5329" w:rsidRPr="002029AF">
              <w:t xml:space="preserve"> </w:t>
            </w:r>
            <w:r w:rsidRPr="002029AF">
              <w:t>from</w:t>
            </w:r>
            <w:r w:rsidR="000A5329" w:rsidRPr="002029AF">
              <w:t xml:space="preserve"> </w:t>
            </w:r>
            <w:r w:rsidRPr="002029AF">
              <w:t>other</w:t>
            </w:r>
            <w:r w:rsidR="000A5329" w:rsidRPr="002029AF">
              <w:t xml:space="preserve"> </w:t>
            </w:r>
            <w:r w:rsidRPr="002029AF">
              <w:t>economic</w:t>
            </w:r>
            <w:r w:rsidR="000A5329" w:rsidRPr="002029AF">
              <w:t xml:space="preserve"> </w:t>
            </w:r>
            <w:r w:rsidRPr="002029AF">
              <w:t>flows</w:t>
            </w:r>
          </w:p>
        </w:tc>
        <w:tc>
          <w:tcPr>
            <w:tcW w:w="1134" w:type="dxa"/>
            <w:tcBorders>
              <w:top w:val="single" w:sz="4" w:space="0" w:color="A6A6A6"/>
            </w:tcBorders>
            <w:shd w:val="clear" w:color="auto" w:fill="E7E6E6"/>
            <w:noWrap/>
            <w:hideMark/>
          </w:tcPr>
          <w:p w14:paraId="1781874B" w14:textId="77777777" w:rsidR="0065586C" w:rsidRPr="002029AF" w:rsidRDefault="0065586C" w:rsidP="003566F1">
            <w:pPr>
              <w:pStyle w:val="ARfintablebodyright"/>
            </w:pPr>
            <w:r w:rsidRPr="002029AF">
              <w:t>(4.3)</w:t>
            </w:r>
          </w:p>
        </w:tc>
        <w:tc>
          <w:tcPr>
            <w:tcW w:w="1134" w:type="dxa"/>
            <w:tcBorders>
              <w:top w:val="single" w:sz="4" w:space="0" w:color="A6A6A6"/>
            </w:tcBorders>
            <w:noWrap/>
            <w:hideMark/>
          </w:tcPr>
          <w:p w14:paraId="5F2FF760" w14:textId="77777777" w:rsidR="0065586C" w:rsidRPr="002029AF" w:rsidRDefault="0065586C" w:rsidP="003566F1">
            <w:pPr>
              <w:pStyle w:val="ARfintablebodyright"/>
            </w:pPr>
            <w:r w:rsidRPr="002029AF">
              <w:t>(5.6)</w:t>
            </w:r>
          </w:p>
        </w:tc>
      </w:tr>
      <w:tr w:rsidR="0065586C" w:rsidRPr="002029AF" w14:paraId="633C7271" w14:textId="77777777" w:rsidTr="003566F1">
        <w:tc>
          <w:tcPr>
            <w:tcW w:w="7369" w:type="dxa"/>
            <w:hideMark/>
          </w:tcPr>
          <w:p w14:paraId="6F6BC877" w14:textId="3C069060" w:rsidR="0065586C" w:rsidRPr="002029AF" w:rsidRDefault="0065586C" w:rsidP="003566F1">
            <w:pPr>
              <w:pStyle w:val="ARfintablebodybold"/>
            </w:pPr>
            <w:r w:rsidRPr="002029AF">
              <w:t>Total</w:t>
            </w:r>
            <w:r w:rsidR="000A5329" w:rsidRPr="002029AF">
              <w:t xml:space="preserve"> </w:t>
            </w:r>
            <w:r w:rsidRPr="002029AF">
              <w:t>other</w:t>
            </w:r>
            <w:r w:rsidR="000A5329" w:rsidRPr="002029AF">
              <w:t xml:space="preserve"> </w:t>
            </w:r>
            <w:r w:rsidRPr="002029AF">
              <w:t>economic</w:t>
            </w:r>
            <w:r w:rsidR="000A5329" w:rsidRPr="002029AF">
              <w:t xml:space="preserve"> </w:t>
            </w:r>
            <w:r w:rsidRPr="002029AF">
              <w:t>flows</w:t>
            </w:r>
            <w:r w:rsidR="000A5329" w:rsidRPr="002029AF">
              <w:t xml:space="preserve"> </w:t>
            </w:r>
            <w:r w:rsidRPr="002029AF">
              <w:t>included</w:t>
            </w:r>
            <w:r w:rsidR="000A5329" w:rsidRPr="002029AF">
              <w:t xml:space="preserve"> </w:t>
            </w:r>
            <w:r w:rsidRPr="002029AF">
              <w:t>in</w:t>
            </w:r>
            <w:r w:rsidR="000A5329" w:rsidRPr="002029AF">
              <w:t xml:space="preserve"> </w:t>
            </w:r>
            <w:r w:rsidRPr="002029AF">
              <w:t>net</w:t>
            </w:r>
            <w:r w:rsidR="000A5329" w:rsidRPr="002029AF">
              <w:t xml:space="preserve"> </w:t>
            </w:r>
            <w:r w:rsidRPr="002029AF">
              <w:t>result</w:t>
            </w:r>
          </w:p>
        </w:tc>
        <w:tc>
          <w:tcPr>
            <w:tcW w:w="1134" w:type="dxa"/>
            <w:shd w:val="clear" w:color="auto" w:fill="E7E6E6"/>
            <w:noWrap/>
            <w:hideMark/>
          </w:tcPr>
          <w:p w14:paraId="14F68275" w14:textId="77777777" w:rsidR="0065586C" w:rsidRPr="002029AF" w:rsidRDefault="0065586C" w:rsidP="003566F1">
            <w:pPr>
              <w:pStyle w:val="ARfintablebodyrightbold"/>
            </w:pPr>
            <w:r w:rsidRPr="002029AF">
              <w:t>(9.8)</w:t>
            </w:r>
          </w:p>
        </w:tc>
        <w:tc>
          <w:tcPr>
            <w:tcW w:w="1134" w:type="dxa"/>
            <w:noWrap/>
            <w:hideMark/>
          </w:tcPr>
          <w:p w14:paraId="4FF7747B" w14:textId="77777777" w:rsidR="0065586C" w:rsidRPr="002029AF" w:rsidRDefault="0065586C" w:rsidP="003566F1">
            <w:pPr>
              <w:pStyle w:val="ARfintablebodyrightbold"/>
            </w:pPr>
            <w:r w:rsidRPr="002029AF">
              <w:t>(14.2)</w:t>
            </w:r>
          </w:p>
        </w:tc>
      </w:tr>
      <w:tr w:rsidR="0065586C" w:rsidRPr="002029AF" w14:paraId="63B54852" w14:textId="77777777" w:rsidTr="003566F1">
        <w:tc>
          <w:tcPr>
            <w:tcW w:w="7369" w:type="dxa"/>
            <w:tcBorders>
              <w:bottom w:val="single" w:sz="4" w:space="0" w:color="auto"/>
            </w:tcBorders>
            <w:hideMark/>
          </w:tcPr>
          <w:p w14:paraId="20FF3823" w14:textId="6A380575" w:rsidR="0065586C" w:rsidRPr="002029AF" w:rsidRDefault="0065586C" w:rsidP="003566F1">
            <w:pPr>
              <w:pStyle w:val="ARfintablebodybold"/>
            </w:pPr>
            <w:r w:rsidRPr="002029AF">
              <w:t>Net</w:t>
            </w:r>
            <w:r w:rsidR="000A5329" w:rsidRPr="002029AF">
              <w:t xml:space="preserve"> </w:t>
            </w:r>
            <w:r w:rsidRPr="002029AF">
              <w:t>result</w:t>
            </w:r>
          </w:p>
        </w:tc>
        <w:tc>
          <w:tcPr>
            <w:tcW w:w="1134" w:type="dxa"/>
            <w:tcBorders>
              <w:bottom w:val="single" w:sz="4" w:space="0" w:color="auto"/>
            </w:tcBorders>
            <w:shd w:val="clear" w:color="auto" w:fill="E7E6E6"/>
            <w:noWrap/>
            <w:hideMark/>
          </w:tcPr>
          <w:p w14:paraId="7A195D72" w14:textId="77777777" w:rsidR="0065586C" w:rsidRPr="002029AF" w:rsidRDefault="0065586C" w:rsidP="003566F1">
            <w:pPr>
              <w:pStyle w:val="ARfintablebodyrightbold"/>
            </w:pPr>
            <w:r w:rsidRPr="002029AF">
              <w:t>(199.0)</w:t>
            </w:r>
          </w:p>
        </w:tc>
        <w:tc>
          <w:tcPr>
            <w:tcW w:w="1134" w:type="dxa"/>
            <w:tcBorders>
              <w:bottom w:val="single" w:sz="4" w:space="0" w:color="auto"/>
            </w:tcBorders>
            <w:noWrap/>
            <w:hideMark/>
          </w:tcPr>
          <w:p w14:paraId="3A22CA3D" w14:textId="77777777" w:rsidR="0065586C" w:rsidRPr="002029AF" w:rsidRDefault="0065586C" w:rsidP="003566F1">
            <w:pPr>
              <w:pStyle w:val="ARfintablebodyrightbold"/>
            </w:pPr>
            <w:r w:rsidRPr="002029AF">
              <w:t>(273.7)</w:t>
            </w:r>
          </w:p>
        </w:tc>
      </w:tr>
      <w:tr w:rsidR="0065586C" w:rsidRPr="002029AF" w14:paraId="0832376E" w14:textId="77777777" w:rsidTr="003566F1">
        <w:tc>
          <w:tcPr>
            <w:tcW w:w="9637" w:type="dxa"/>
            <w:gridSpan w:val="3"/>
            <w:tcBorders>
              <w:top w:val="single" w:sz="4" w:space="0" w:color="auto"/>
              <w:bottom w:val="single" w:sz="4" w:space="0" w:color="A6A6A6"/>
            </w:tcBorders>
            <w:hideMark/>
          </w:tcPr>
          <w:p w14:paraId="3CA45A8A" w14:textId="73A42476" w:rsidR="0065586C" w:rsidRPr="002029AF" w:rsidRDefault="0065586C" w:rsidP="003566F1">
            <w:pPr>
              <w:pStyle w:val="ARfintablebodybold"/>
            </w:pPr>
            <w:r w:rsidRPr="002029AF">
              <w:t>Other</w:t>
            </w:r>
            <w:r w:rsidR="000A5329" w:rsidRPr="002029AF">
              <w:t xml:space="preserve"> </w:t>
            </w:r>
            <w:r w:rsidRPr="002029AF">
              <w:t>economic</w:t>
            </w:r>
            <w:r w:rsidR="000A5329" w:rsidRPr="002029AF">
              <w:t xml:space="preserve"> </w:t>
            </w:r>
            <w:r w:rsidRPr="002029AF">
              <w:t>flows</w:t>
            </w:r>
            <w:r w:rsidR="000A5329" w:rsidRPr="002029AF">
              <w:t xml:space="preserve"> </w:t>
            </w:r>
            <w:r w:rsidRPr="002029AF">
              <w:t>–</w:t>
            </w:r>
            <w:r w:rsidR="000A5329" w:rsidRPr="002029AF">
              <w:t xml:space="preserve"> </w:t>
            </w:r>
            <w:r w:rsidRPr="002029AF">
              <w:t>other</w:t>
            </w:r>
            <w:r w:rsidR="000A5329" w:rsidRPr="002029AF">
              <w:t xml:space="preserve"> </w:t>
            </w:r>
            <w:r w:rsidRPr="002029AF">
              <w:t>comprehensive</w:t>
            </w:r>
            <w:r w:rsidR="000A5329" w:rsidRPr="002029AF">
              <w:t xml:space="preserve"> </w:t>
            </w:r>
            <w:r w:rsidRPr="002029AF">
              <w:t>income:</w:t>
            </w:r>
            <w:r w:rsidR="000A5329" w:rsidRPr="002029AF">
              <w:t xml:space="preserve"> </w:t>
            </w:r>
            <w:r w:rsidRPr="002029AF">
              <w:br/>
              <w:t>Items</w:t>
            </w:r>
            <w:r w:rsidR="000A5329" w:rsidRPr="002029AF">
              <w:t xml:space="preserve"> </w:t>
            </w:r>
            <w:r w:rsidRPr="002029AF">
              <w:t>that</w:t>
            </w:r>
            <w:r w:rsidR="000A5329" w:rsidRPr="002029AF">
              <w:t xml:space="preserve"> </w:t>
            </w:r>
            <w:r w:rsidRPr="002029AF">
              <w:t>will</w:t>
            </w:r>
            <w:r w:rsidR="000A5329" w:rsidRPr="002029AF">
              <w:t xml:space="preserve"> </w:t>
            </w:r>
            <w:r w:rsidRPr="002029AF">
              <w:t>not</w:t>
            </w:r>
            <w:r w:rsidR="000A5329" w:rsidRPr="002029AF">
              <w:t xml:space="preserve"> </w:t>
            </w:r>
            <w:r w:rsidRPr="002029AF">
              <w:t>be</w:t>
            </w:r>
            <w:r w:rsidR="000A5329" w:rsidRPr="002029AF">
              <w:t xml:space="preserve"> </w:t>
            </w:r>
            <w:r w:rsidRPr="002029AF">
              <w:t>reclassified</w:t>
            </w:r>
            <w:r w:rsidR="000A5329" w:rsidRPr="002029AF">
              <w:t xml:space="preserve"> </w:t>
            </w:r>
            <w:r w:rsidRPr="002029AF">
              <w:t>to</w:t>
            </w:r>
            <w:r w:rsidR="000A5329" w:rsidRPr="002029AF">
              <w:t xml:space="preserve"> </w:t>
            </w:r>
            <w:r w:rsidRPr="002029AF">
              <w:t>net</w:t>
            </w:r>
            <w:r w:rsidR="000A5329" w:rsidRPr="002029AF">
              <w:t xml:space="preserve"> </w:t>
            </w:r>
            <w:r w:rsidRPr="002029AF">
              <w:t>result</w:t>
            </w:r>
          </w:p>
        </w:tc>
      </w:tr>
      <w:tr w:rsidR="0065586C" w:rsidRPr="002029AF" w14:paraId="38EC3770" w14:textId="77777777" w:rsidTr="003566F1">
        <w:tc>
          <w:tcPr>
            <w:tcW w:w="7369" w:type="dxa"/>
            <w:tcBorders>
              <w:top w:val="single" w:sz="4" w:space="0" w:color="A6A6A6"/>
              <w:bottom w:val="single" w:sz="4" w:space="0" w:color="A6A6A6"/>
            </w:tcBorders>
            <w:hideMark/>
          </w:tcPr>
          <w:p w14:paraId="09851B88" w14:textId="73C976A0" w:rsidR="0065586C" w:rsidRPr="002029AF" w:rsidRDefault="0065586C" w:rsidP="003566F1">
            <w:pPr>
              <w:pStyle w:val="ARfintablebody"/>
            </w:pPr>
            <w:r w:rsidRPr="002029AF">
              <w:t>Changes</w:t>
            </w:r>
            <w:r w:rsidR="000A5329" w:rsidRPr="002029AF">
              <w:t xml:space="preserve"> </w:t>
            </w:r>
            <w:r w:rsidRPr="002029AF">
              <w:t>in</w:t>
            </w:r>
            <w:r w:rsidR="000A5329" w:rsidRPr="002029AF">
              <w:t xml:space="preserve"> </w:t>
            </w:r>
            <w:r w:rsidRPr="002029AF">
              <w:t>physical</w:t>
            </w:r>
            <w:r w:rsidR="000A5329" w:rsidRPr="002029AF">
              <w:t xml:space="preserve"> </w:t>
            </w:r>
            <w:r w:rsidRPr="002029AF">
              <w:t>asset</w:t>
            </w:r>
            <w:r w:rsidR="000A5329" w:rsidRPr="002029AF">
              <w:t xml:space="preserve"> </w:t>
            </w:r>
            <w:r w:rsidRPr="002029AF">
              <w:t>revaluation</w:t>
            </w:r>
            <w:r w:rsidR="000A5329" w:rsidRPr="002029AF">
              <w:t xml:space="preserve"> </w:t>
            </w:r>
            <w:r w:rsidRPr="002029AF">
              <w:t>surplus</w:t>
            </w:r>
          </w:p>
        </w:tc>
        <w:tc>
          <w:tcPr>
            <w:tcW w:w="1134" w:type="dxa"/>
            <w:tcBorders>
              <w:top w:val="single" w:sz="4" w:space="0" w:color="A6A6A6"/>
              <w:bottom w:val="single" w:sz="4" w:space="0" w:color="A6A6A6"/>
            </w:tcBorders>
            <w:shd w:val="clear" w:color="auto" w:fill="E7E6E6"/>
            <w:noWrap/>
            <w:hideMark/>
          </w:tcPr>
          <w:p w14:paraId="527DD618" w14:textId="77777777" w:rsidR="0065586C" w:rsidRPr="002029AF" w:rsidRDefault="0065586C" w:rsidP="003566F1">
            <w:pPr>
              <w:pStyle w:val="ARfintablebodyright"/>
            </w:pPr>
            <w:r w:rsidRPr="002029AF">
              <w:t>(17.4)</w:t>
            </w:r>
          </w:p>
        </w:tc>
        <w:tc>
          <w:tcPr>
            <w:tcW w:w="1134" w:type="dxa"/>
            <w:tcBorders>
              <w:top w:val="single" w:sz="4" w:space="0" w:color="A6A6A6"/>
              <w:bottom w:val="single" w:sz="4" w:space="0" w:color="A6A6A6"/>
            </w:tcBorders>
            <w:noWrap/>
            <w:hideMark/>
          </w:tcPr>
          <w:p w14:paraId="408B3E92" w14:textId="77777777" w:rsidR="0065586C" w:rsidRPr="002029AF" w:rsidRDefault="0065586C" w:rsidP="003566F1">
            <w:pPr>
              <w:pStyle w:val="ARfintablebodyright"/>
            </w:pPr>
            <w:r w:rsidRPr="002029AF">
              <w:t>(1,286.2)</w:t>
            </w:r>
          </w:p>
        </w:tc>
      </w:tr>
      <w:tr w:rsidR="0065586C" w:rsidRPr="002029AF" w14:paraId="08C5CD0D" w14:textId="77777777" w:rsidTr="003566F1">
        <w:tc>
          <w:tcPr>
            <w:tcW w:w="7369" w:type="dxa"/>
            <w:tcBorders>
              <w:top w:val="single" w:sz="4" w:space="0" w:color="A6A6A6"/>
            </w:tcBorders>
            <w:hideMark/>
          </w:tcPr>
          <w:p w14:paraId="591799B4" w14:textId="02779D11" w:rsidR="0065586C" w:rsidRPr="002029AF" w:rsidRDefault="0065586C" w:rsidP="003566F1">
            <w:pPr>
              <w:pStyle w:val="ARfintablebody"/>
            </w:pPr>
            <w:r w:rsidRPr="002029AF">
              <w:t>Remeasurement</w:t>
            </w:r>
            <w:r w:rsidR="000A5329" w:rsidRPr="002029AF">
              <w:t xml:space="preserve"> </w:t>
            </w:r>
            <w:r w:rsidRPr="002029AF">
              <w:t>of</w:t>
            </w:r>
            <w:r w:rsidR="000A5329" w:rsidRPr="002029AF">
              <w:t xml:space="preserve"> </w:t>
            </w:r>
            <w:r w:rsidRPr="002029AF">
              <w:t>superannuation</w:t>
            </w:r>
            <w:r w:rsidR="000A5329" w:rsidRPr="002029AF">
              <w:t xml:space="preserve"> </w:t>
            </w:r>
            <w:r w:rsidRPr="002029AF">
              <w:t>defined</w:t>
            </w:r>
            <w:r w:rsidR="000A5329" w:rsidRPr="002029AF">
              <w:t xml:space="preserve"> </w:t>
            </w:r>
            <w:r w:rsidRPr="002029AF">
              <w:t>benefit</w:t>
            </w:r>
            <w:r w:rsidR="000A5329" w:rsidRPr="002029AF">
              <w:t xml:space="preserve"> </w:t>
            </w:r>
            <w:r w:rsidRPr="002029AF">
              <w:t>plans</w:t>
            </w:r>
          </w:p>
        </w:tc>
        <w:tc>
          <w:tcPr>
            <w:tcW w:w="1134" w:type="dxa"/>
            <w:tcBorders>
              <w:top w:val="single" w:sz="4" w:space="0" w:color="A6A6A6"/>
            </w:tcBorders>
            <w:shd w:val="clear" w:color="auto" w:fill="E7E6E6"/>
            <w:noWrap/>
            <w:hideMark/>
          </w:tcPr>
          <w:p w14:paraId="79707C4F" w14:textId="77777777" w:rsidR="0065586C" w:rsidRPr="002029AF" w:rsidRDefault="0065586C" w:rsidP="003566F1">
            <w:pPr>
              <w:pStyle w:val="ARfintablebodyright"/>
            </w:pPr>
            <w:r w:rsidRPr="002029AF">
              <w:t>0.3</w:t>
            </w:r>
          </w:p>
        </w:tc>
        <w:tc>
          <w:tcPr>
            <w:tcW w:w="1134" w:type="dxa"/>
            <w:tcBorders>
              <w:top w:val="single" w:sz="4" w:space="0" w:color="A6A6A6"/>
            </w:tcBorders>
            <w:noWrap/>
            <w:hideMark/>
          </w:tcPr>
          <w:p w14:paraId="6B5DCE72" w14:textId="77777777" w:rsidR="0065586C" w:rsidRPr="002029AF" w:rsidRDefault="0065586C" w:rsidP="003566F1">
            <w:pPr>
              <w:pStyle w:val="ARfintablebodyright"/>
            </w:pPr>
            <w:r w:rsidRPr="002029AF">
              <w:t>(2.5)</w:t>
            </w:r>
          </w:p>
        </w:tc>
      </w:tr>
      <w:tr w:rsidR="0065586C" w:rsidRPr="002029AF" w14:paraId="716B4E6A" w14:textId="77777777" w:rsidTr="003566F1">
        <w:tc>
          <w:tcPr>
            <w:tcW w:w="7369" w:type="dxa"/>
            <w:hideMark/>
          </w:tcPr>
          <w:p w14:paraId="275812E9" w14:textId="14C94D1F" w:rsidR="0065586C" w:rsidRPr="002029AF" w:rsidRDefault="0065586C" w:rsidP="003566F1">
            <w:pPr>
              <w:pStyle w:val="ARfintablebodybold"/>
            </w:pPr>
            <w:r w:rsidRPr="002029AF">
              <w:t>Total</w:t>
            </w:r>
            <w:r w:rsidR="000A5329" w:rsidRPr="002029AF">
              <w:t xml:space="preserve"> </w:t>
            </w:r>
            <w:r w:rsidRPr="002029AF">
              <w:t>other</w:t>
            </w:r>
            <w:r w:rsidR="000A5329" w:rsidRPr="002029AF">
              <w:t xml:space="preserve"> </w:t>
            </w:r>
            <w:r w:rsidRPr="002029AF">
              <w:t>economic</w:t>
            </w:r>
            <w:r w:rsidR="000A5329" w:rsidRPr="002029AF">
              <w:t xml:space="preserve"> </w:t>
            </w:r>
            <w:r w:rsidRPr="002029AF">
              <w:t>flows</w:t>
            </w:r>
            <w:r w:rsidR="000A5329" w:rsidRPr="002029AF">
              <w:t xml:space="preserve"> </w:t>
            </w:r>
            <w:r w:rsidRPr="002029AF">
              <w:t>–</w:t>
            </w:r>
            <w:r w:rsidR="000A5329" w:rsidRPr="002029AF">
              <w:t xml:space="preserve"> </w:t>
            </w:r>
            <w:r w:rsidRPr="002029AF">
              <w:t>other</w:t>
            </w:r>
            <w:r w:rsidR="000A5329" w:rsidRPr="002029AF">
              <w:t xml:space="preserve"> </w:t>
            </w:r>
            <w:r w:rsidRPr="002029AF">
              <w:t>comprehensive</w:t>
            </w:r>
            <w:r w:rsidR="000A5329" w:rsidRPr="002029AF">
              <w:t xml:space="preserve"> </w:t>
            </w:r>
            <w:r w:rsidRPr="002029AF">
              <w:t>income</w:t>
            </w:r>
          </w:p>
        </w:tc>
        <w:tc>
          <w:tcPr>
            <w:tcW w:w="1134" w:type="dxa"/>
            <w:shd w:val="clear" w:color="auto" w:fill="E7E6E6"/>
            <w:noWrap/>
            <w:hideMark/>
          </w:tcPr>
          <w:p w14:paraId="78DA4E68" w14:textId="77777777" w:rsidR="0065586C" w:rsidRPr="002029AF" w:rsidRDefault="0065586C" w:rsidP="003566F1">
            <w:pPr>
              <w:pStyle w:val="ARfintablebodyrightbold"/>
            </w:pPr>
            <w:r w:rsidRPr="002029AF">
              <w:t>(17.1)</w:t>
            </w:r>
          </w:p>
        </w:tc>
        <w:tc>
          <w:tcPr>
            <w:tcW w:w="1134" w:type="dxa"/>
            <w:noWrap/>
            <w:hideMark/>
          </w:tcPr>
          <w:p w14:paraId="69FEDCD9" w14:textId="77777777" w:rsidR="0065586C" w:rsidRPr="002029AF" w:rsidRDefault="0065586C" w:rsidP="003566F1">
            <w:pPr>
              <w:pStyle w:val="ARfintablebodyrightbold"/>
            </w:pPr>
            <w:r w:rsidRPr="002029AF">
              <w:t>(1,288.7)</w:t>
            </w:r>
          </w:p>
        </w:tc>
      </w:tr>
      <w:tr w:rsidR="0065586C" w:rsidRPr="002029AF" w14:paraId="7AE18991" w14:textId="77777777" w:rsidTr="003566F1">
        <w:tc>
          <w:tcPr>
            <w:tcW w:w="7369" w:type="dxa"/>
            <w:hideMark/>
          </w:tcPr>
          <w:p w14:paraId="3CAC33B1" w14:textId="663E9366" w:rsidR="0065586C" w:rsidRPr="002029AF" w:rsidRDefault="0065586C" w:rsidP="003566F1">
            <w:pPr>
              <w:pStyle w:val="ARfintablebodybold"/>
            </w:pPr>
            <w:r w:rsidRPr="002029AF">
              <w:t>Comprehensive</w:t>
            </w:r>
            <w:r w:rsidR="000A5329" w:rsidRPr="002029AF">
              <w:t xml:space="preserve"> </w:t>
            </w:r>
            <w:r w:rsidRPr="002029AF">
              <w:t>result</w:t>
            </w:r>
          </w:p>
        </w:tc>
        <w:tc>
          <w:tcPr>
            <w:tcW w:w="1134" w:type="dxa"/>
            <w:shd w:val="clear" w:color="auto" w:fill="E7E6E6"/>
            <w:noWrap/>
            <w:hideMark/>
          </w:tcPr>
          <w:p w14:paraId="3547D874" w14:textId="77777777" w:rsidR="0065586C" w:rsidRPr="002029AF" w:rsidRDefault="0065586C" w:rsidP="003566F1">
            <w:pPr>
              <w:pStyle w:val="ARfintablebodyrightbold"/>
            </w:pPr>
            <w:r w:rsidRPr="002029AF">
              <w:t>(216.1)</w:t>
            </w:r>
          </w:p>
        </w:tc>
        <w:tc>
          <w:tcPr>
            <w:tcW w:w="1134" w:type="dxa"/>
            <w:noWrap/>
            <w:hideMark/>
          </w:tcPr>
          <w:p w14:paraId="2047BB1A" w14:textId="77777777" w:rsidR="0065586C" w:rsidRPr="002029AF" w:rsidRDefault="0065586C" w:rsidP="003566F1">
            <w:pPr>
              <w:pStyle w:val="ARfintablebodyrightbold"/>
            </w:pPr>
            <w:r w:rsidRPr="002029AF">
              <w:t>(1,562.4)</w:t>
            </w:r>
          </w:p>
        </w:tc>
      </w:tr>
    </w:tbl>
    <w:p w14:paraId="39677790" w14:textId="4BC0976F" w:rsidR="0065586C" w:rsidRPr="002029AF" w:rsidRDefault="0065586C" w:rsidP="0065586C">
      <w:pPr>
        <w:pStyle w:val="ARfintablefootnote"/>
        <w:rPr>
          <w:lang w:eastAsia="en-AU"/>
        </w:rPr>
      </w:pPr>
      <w:r w:rsidRPr="002029AF">
        <w:rPr>
          <w:lang w:eastAsia="en-AU"/>
        </w:rPr>
        <w:t>Note</w:t>
      </w:r>
      <w:r w:rsidR="007920F7" w:rsidRPr="002029AF">
        <w:rPr>
          <w:lang w:eastAsia="en-AU"/>
        </w:rPr>
        <w:t>s</w:t>
      </w:r>
      <w:r w:rsidRPr="002029AF">
        <w:rPr>
          <w:lang w:eastAsia="en-AU"/>
        </w:rPr>
        <w:t>:</w:t>
      </w:r>
    </w:p>
    <w:p w14:paraId="51629AC4" w14:textId="08A3CB5B" w:rsidR="0065586C" w:rsidRPr="002029AF" w:rsidRDefault="0065586C" w:rsidP="0065586C">
      <w:pPr>
        <w:pStyle w:val="ARfintablefootnoteindent"/>
      </w:pPr>
      <w:r w:rsidRPr="002029AF">
        <w:t>(i)</w:t>
      </w:r>
      <w:r w:rsidRPr="002029AF">
        <w:tab/>
        <w:t>The</w:t>
      </w:r>
      <w:r w:rsidR="000A5329" w:rsidRPr="002029AF">
        <w:t xml:space="preserve"> </w:t>
      </w:r>
      <w:r w:rsidRPr="002029AF">
        <w:t>net</w:t>
      </w:r>
      <w:r w:rsidR="000A5329" w:rsidRPr="002029AF">
        <w:t xml:space="preserve"> </w:t>
      </w:r>
      <w:r w:rsidRPr="002029AF">
        <w:t>result</w:t>
      </w:r>
      <w:r w:rsidR="000A5329" w:rsidRPr="002029AF">
        <w:t xml:space="preserve"> </w:t>
      </w:r>
      <w:r w:rsidRPr="002029AF">
        <w:t>from</w:t>
      </w:r>
      <w:r w:rsidR="000A5329" w:rsidRPr="002029AF">
        <w:t xml:space="preserve"> </w:t>
      </w:r>
      <w:r w:rsidRPr="002029AF">
        <w:t>transactions</w:t>
      </w:r>
      <w:r w:rsidR="000A5329" w:rsidRPr="002029AF">
        <w:t xml:space="preserve"> </w:t>
      </w:r>
      <w:r w:rsidRPr="002029AF">
        <w:t>for</w:t>
      </w:r>
      <w:r w:rsidR="000A5329" w:rsidRPr="002029AF">
        <w:t xml:space="preserve"> </w:t>
      </w:r>
      <w:r w:rsidRPr="002029AF">
        <w:t>2019–20</w:t>
      </w:r>
      <w:r w:rsidR="000A5329" w:rsidRPr="002029AF">
        <w:t xml:space="preserve"> </w:t>
      </w:r>
      <w:r w:rsidRPr="002029AF">
        <w:t>of</w:t>
      </w:r>
      <w:r w:rsidR="000A5329" w:rsidRPr="002029AF">
        <w:t xml:space="preserve"> </w:t>
      </w:r>
      <w:r w:rsidRPr="002029AF">
        <w:t>$189.2</w:t>
      </w:r>
      <w:r w:rsidR="000A5329" w:rsidRPr="002029AF">
        <w:t xml:space="preserve"> </w:t>
      </w:r>
      <w:r w:rsidRPr="002029AF">
        <w:t>million</w:t>
      </w:r>
      <w:r w:rsidR="000A5329" w:rsidRPr="002029AF">
        <w:t xml:space="preserve"> </w:t>
      </w:r>
      <w:r w:rsidRPr="002029AF">
        <w:t>deficit</w:t>
      </w:r>
      <w:r w:rsidR="000A5329" w:rsidRPr="002029AF">
        <w:t xml:space="preserve"> </w:t>
      </w:r>
      <w:r w:rsidRPr="002029AF">
        <w:t>largely</w:t>
      </w:r>
      <w:r w:rsidR="000A5329" w:rsidRPr="002029AF">
        <w:t xml:space="preserve"> </w:t>
      </w:r>
      <w:r w:rsidRPr="002029AF">
        <w:t>resulted</w:t>
      </w:r>
      <w:r w:rsidR="000A5329" w:rsidRPr="002029AF">
        <w:t xml:space="preserve"> </w:t>
      </w:r>
      <w:r w:rsidRPr="002029AF">
        <w:t>from</w:t>
      </w:r>
      <w:r w:rsidR="000A5329" w:rsidRPr="002029AF">
        <w:t xml:space="preserve"> </w:t>
      </w:r>
      <w:r w:rsidRPr="002029AF">
        <w:t>2</w:t>
      </w:r>
      <w:r w:rsidR="000A5329" w:rsidRPr="002029AF">
        <w:t xml:space="preserve"> </w:t>
      </w:r>
      <w:r w:rsidRPr="002029AF">
        <w:t>key</w:t>
      </w:r>
      <w:r w:rsidR="000A5329" w:rsidRPr="002029AF">
        <w:t xml:space="preserve"> </w:t>
      </w:r>
      <w:r w:rsidRPr="002029AF">
        <w:t>drivers:</w:t>
      </w:r>
      <w:r w:rsidR="000A5329" w:rsidRPr="002029AF">
        <w:t xml:space="preserve"> </w:t>
      </w:r>
      <w:r w:rsidRPr="002029AF">
        <w:t>An</w:t>
      </w:r>
      <w:r w:rsidR="000A5329" w:rsidRPr="002029AF">
        <w:t xml:space="preserve"> </w:t>
      </w:r>
      <w:r w:rsidRPr="002029AF">
        <w:t>increase</w:t>
      </w:r>
      <w:r w:rsidR="000A5329" w:rsidRPr="002029AF">
        <w:t xml:space="preserve"> </w:t>
      </w:r>
      <w:r w:rsidRPr="002029AF">
        <w:t>in</w:t>
      </w:r>
      <w:r w:rsidR="000A5329" w:rsidRPr="002029AF">
        <w:t xml:space="preserve"> </w:t>
      </w:r>
      <w:r w:rsidRPr="002029AF">
        <w:t>depreciation</w:t>
      </w:r>
      <w:r w:rsidR="000A5329" w:rsidRPr="002029AF">
        <w:t xml:space="preserve"> </w:t>
      </w:r>
      <w:r w:rsidRPr="002029AF">
        <w:t>expense</w:t>
      </w:r>
      <w:r w:rsidR="000A5329" w:rsidRPr="002029AF">
        <w:t xml:space="preserve"> </w:t>
      </w:r>
      <w:r w:rsidRPr="002029AF">
        <w:t>mainly</w:t>
      </w:r>
      <w:r w:rsidR="000A5329" w:rsidRPr="002029AF">
        <w:t xml:space="preserve"> </w:t>
      </w:r>
      <w:r w:rsidRPr="002029AF">
        <w:t>due</w:t>
      </w:r>
      <w:r w:rsidR="000A5329" w:rsidRPr="002029AF">
        <w:t xml:space="preserve"> </w:t>
      </w:r>
      <w:r w:rsidRPr="002029AF">
        <w:t>to</w:t>
      </w:r>
      <w:r w:rsidR="000A5329" w:rsidRPr="002029AF">
        <w:t xml:space="preserve"> </w:t>
      </w:r>
      <w:r w:rsidRPr="002029AF">
        <w:t>accelerated</w:t>
      </w:r>
      <w:r w:rsidR="000A5329" w:rsidRPr="002029AF">
        <w:t xml:space="preserve"> </w:t>
      </w:r>
      <w:r w:rsidRPr="002029AF">
        <w:t>depreciation</w:t>
      </w:r>
      <w:r w:rsidR="000A5329" w:rsidRPr="002029AF">
        <w:t xml:space="preserve"> </w:t>
      </w:r>
      <w:r w:rsidRPr="002029AF">
        <w:t>resulting</w:t>
      </w:r>
      <w:r w:rsidR="000A5329" w:rsidRPr="002029AF">
        <w:t xml:space="preserve"> </w:t>
      </w:r>
      <w:r w:rsidRPr="002029AF">
        <w:t>from</w:t>
      </w:r>
      <w:r w:rsidR="000A5329" w:rsidRPr="002029AF">
        <w:t xml:space="preserve"> </w:t>
      </w:r>
      <w:r w:rsidRPr="002029AF">
        <w:t>the</w:t>
      </w:r>
      <w:r w:rsidR="000A5329" w:rsidRPr="002029AF">
        <w:t xml:space="preserve"> </w:t>
      </w:r>
      <w:r w:rsidRPr="002029AF">
        <w:t>Public</w:t>
      </w:r>
      <w:r w:rsidR="000A5329" w:rsidRPr="002029AF">
        <w:t xml:space="preserve"> </w:t>
      </w:r>
      <w:r w:rsidRPr="002029AF">
        <w:t>Housing</w:t>
      </w:r>
      <w:r w:rsidR="000A5329" w:rsidRPr="002029AF">
        <w:t xml:space="preserve"> </w:t>
      </w:r>
      <w:r w:rsidRPr="002029AF">
        <w:t>Renewal</w:t>
      </w:r>
      <w:r w:rsidR="000A5329" w:rsidRPr="002029AF">
        <w:t xml:space="preserve"> </w:t>
      </w:r>
      <w:r w:rsidRPr="002029AF">
        <w:t>Program</w:t>
      </w:r>
      <w:r w:rsidR="000A5329" w:rsidRPr="002029AF">
        <w:t xml:space="preserve"> </w:t>
      </w:r>
      <w:r w:rsidRPr="002029AF">
        <w:t>demolitions,</w:t>
      </w:r>
      <w:r w:rsidR="000A5329" w:rsidRPr="002029AF">
        <w:t xml:space="preserve"> </w:t>
      </w:r>
      <w:r w:rsidRPr="002029AF">
        <w:t>and</w:t>
      </w:r>
      <w:r w:rsidR="000A5329" w:rsidRPr="002029AF">
        <w:t xml:space="preserve"> </w:t>
      </w:r>
      <w:r w:rsidRPr="002029AF">
        <w:t>an</w:t>
      </w:r>
      <w:r w:rsidR="000A5329" w:rsidRPr="002029AF">
        <w:t xml:space="preserve"> </w:t>
      </w:r>
      <w:r w:rsidRPr="002029AF">
        <w:t>increase</w:t>
      </w:r>
      <w:r w:rsidR="000A5329" w:rsidRPr="002029AF">
        <w:t xml:space="preserve"> </w:t>
      </w:r>
      <w:r w:rsidRPr="002029AF">
        <w:t>in</w:t>
      </w:r>
      <w:r w:rsidR="000A5329" w:rsidRPr="002029AF">
        <w:t xml:space="preserve"> </w:t>
      </w:r>
      <w:r w:rsidRPr="002029AF">
        <w:t>maintenance</w:t>
      </w:r>
      <w:r w:rsidR="000A5329" w:rsidRPr="002029AF">
        <w:t xml:space="preserve"> </w:t>
      </w:r>
      <w:r w:rsidRPr="002029AF">
        <w:t>expenditure</w:t>
      </w:r>
      <w:r w:rsidR="000A5329" w:rsidRPr="002029AF">
        <w:t xml:space="preserve"> </w:t>
      </w:r>
      <w:r w:rsidRPr="002029AF">
        <w:t>largely</w:t>
      </w:r>
      <w:r w:rsidR="000A5329" w:rsidRPr="002029AF">
        <w:t xml:space="preserve"> </w:t>
      </w:r>
      <w:r w:rsidRPr="002029AF">
        <w:t>due</w:t>
      </w:r>
      <w:r w:rsidR="000A5329" w:rsidRPr="002029AF">
        <w:t xml:space="preserve"> </w:t>
      </w:r>
      <w:r w:rsidRPr="002029AF">
        <w:t>to</w:t>
      </w:r>
      <w:r w:rsidR="000A5329" w:rsidRPr="002029AF">
        <w:t xml:space="preserve"> </w:t>
      </w:r>
      <w:r w:rsidRPr="002029AF">
        <w:t>gas</w:t>
      </w:r>
      <w:r w:rsidR="000A5329" w:rsidRPr="002029AF">
        <w:t xml:space="preserve"> </w:t>
      </w:r>
      <w:r w:rsidRPr="002029AF">
        <w:t>heater</w:t>
      </w:r>
      <w:r w:rsidR="000A5329" w:rsidRPr="002029AF">
        <w:t xml:space="preserve"> </w:t>
      </w:r>
      <w:r w:rsidRPr="002029AF">
        <w:t>replacements.</w:t>
      </w:r>
    </w:p>
    <w:p w14:paraId="4ED827AB" w14:textId="4CC468F7" w:rsidR="0065586C" w:rsidRPr="002029AF" w:rsidRDefault="0065586C" w:rsidP="0065586C">
      <w:pPr>
        <w:pStyle w:val="ARfintablefootnoteindent"/>
      </w:pPr>
      <w:r w:rsidRPr="002029AF">
        <w:t>(ii)</w:t>
      </w:r>
      <w:r w:rsidRPr="002029AF">
        <w:tab/>
        <w:t>Net</w:t>
      </w:r>
      <w:r w:rsidR="000A5329" w:rsidRPr="002029AF">
        <w:t xml:space="preserve"> </w:t>
      </w:r>
      <w:r w:rsidRPr="002029AF">
        <w:t>gain/(loss)</w:t>
      </w:r>
      <w:r w:rsidR="000A5329" w:rsidRPr="002029AF">
        <w:t xml:space="preserve"> </w:t>
      </w:r>
      <w:r w:rsidRPr="002029AF">
        <w:t>on</w:t>
      </w:r>
      <w:r w:rsidR="000A5329" w:rsidRPr="002029AF">
        <w:t xml:space="preserve"> </w:t>
      </w:r>
      <w:r w:rsidRPr="002029AF">
        <w:t>non-financial</w:t>
      </w:r>
      <w:r w:rsidR="000A5329" w:rsidRPr="002029AF">
        <w:t xml:space="preserve"> </w:t>
      </w:r>
      <w:r w:rsidRPr="002029AF">
        <w:t>assets</w:t>
      </w:r>
      <w:r w:rsidR="000A5329" w:rsidRPr="002029AF">
        <w:t xml:space="preserve"> </w:t>
      </w:r>
      <w:r w:rsidRPr="002029AF">
        <w:t>includes</w:t>
      </w:r>
      <w:r w:rsidR="000A5329" w:rsidRPr="002029AF">
        <w:t xml:space="preserve"> </w:t>
      </w:r>
      <w:r w:rsidRPr="002029AF">
        <w:t>unrealised</w:t>
      </w:r>
      <w:r w:rsidR="000A5329" w:rsidRPr="002029AF">
        <w:t xml:space="preserve"> </w:t>
      </w:r>
      <w:r w:rsidRPr="002029AF">
        <w:t>and</w:t>
      </w:r>
      <w:r w:rsidR="000A5329" w:rsidRPr="002029AF">
        <w:t xml:space="preserve"> </w:t>
      </w:r>
      <w:r w:rsidRPr="002029AF">
        <w:t>realised</w:t>
      </w:r>
      <w:r w:rsidR="000A5329" w:rsidRPr="002029AF">
        <w:t xml:space="preserve"> </w:t>
      </w:r>
      <w:r w:rsidRPr="002029AF">
        <w:t>gains/(losses)</w:t>
      </w:r>
      <w:r w:rsidR="000A5329" w:rsidRPr="002029AF">
        <w:t xml:space="preserve"> </w:t>
      </w:r>
      <w:r w:rsidRPr="002029AF">
        <w:t>from</w:t>
      </w:r>
      <w:r w:rsidR="000A5329" w:rsidRPr="002029AF">
        <w:t xml:space="preserve"> </w:t>
      </w:r>
      <w:r w:rsidRPr="002029AF">
        <w:t>revaluations,</w:t>
      </w:r>
      <w:r w:rsidR="000A5329" w:rsidRPr="002029AF">
        <w:t xml:space="preserve"> </w:t>
      </w:r>
      <w:r w:rsidRPr="002029AF">
        <w:t>impairments</w:t>
      </w:r>
      <w:r w:rsidR="000A5329" w:rsidRPr="002029AF">
        <w:t xml:space="preserve"> </w:t>
      </w:r>
      <w:r w:rsidRPr="002029AF">
        <w:t>and</w:t>
      </w:r>
      <w:r w:rsidR="000A5329" w:rsidRPr="002029AF">
        <w:t xml:space="preserve"> </w:t>
      </w:r>
      <w:r w:rsidRPr="002029AF">
        <w:t>disposals</w:t>
      </w:r>
      <w:r w:rsidR="000A5329" w:rsidRPr="002029AF">
        <w:t xml:space="preserve"> </w:t>
      </w:r>
      <w:r w:rsidRPr="002029AF">
        <w:t>of</w:t>
      </w:r>
      <w:r w:rsidR="000A5329" w:rsidRPr="002029AF">
        <w:t xml:space="preserve"> </w:t>
      </w:r>
      <w:r w:rsidRPr="002029AF">
        <w:t>all</w:t>
      </w:r>
      <w:r w:rsidR="000A5329" w:rsidRPr="002029AF">
        <w:t xml:space="preserve"> </w:t>
      </w:r>
      <w:r w:rsidRPr="002029AF">
        <w:t>physical</w:t>
      </w:r>
      <w:r w:rsidR="000A5329" w:rsidRPr="002029AF">
        <w:t xml:space="preserve"> </w:t>
      </w:r>
      <w:r w:rsidRPr="002029AF">
        <w:t>assets</w:t>
      </w:r>
      <w:r w:rsidR="000A5329" w:rsidRPr="002029AF">
        <w:t xml:space="preserve"> </w:t>
      </w:r>
      <w:r w:rsidRPr="002029AF">
        <w:t>and</w:t>
      </w:r>
      <w:r w:rsidR="000A5329" w:rsidRPr="002029AF">
        <w:t xml:space="preserve"> </w:t>
      </w:r>
      <w:r w:rsidRPr="002029AF">
        <w:t>intangible</w:t>
      </w:r>
      <w:r w:rsidR="000A5329" w:rsidRPr="002029AF">
        <w:t xml:space="preserve"> </w:t>
      </w:r>
      <w:r w:rsidRPr="002029AF">
        <w:t>assets,</w:t>
      </w:r>
      <w:r w:rsidR="000A5329" w:rsidRPr="002029AF">
        <w:t xml:space="preserve"> </w:t>
      </w:r>
      <w:r w:rsidRPr="002029AF">
        <w:t>except</w:t>
      </w:r>
      <w:r w:rsidR="000A5329" w:rsidRPr="002029AF">
        <w:t xml:space="preserve"> </w:t>
      </w:r>
      <w:r w:rsidRPr="002029AF">
        <w:t>when</w:t>
      </w:r>
      <w:r w:rsidR="000A5329" w:rsidRPr="002029AF">
        <w:t xml:space="preserve"> </w:t>
      </w:r>
      <w:r w:rsidRPr="002029AF">
        <w:t>these</w:t>
      </w:r>
      <w:r w:rsidR="000A5329" w:rsidRPr="002029AF">
        <w:t xml:space="preserve"> </w:t>
      </w:r>
      <w:r w:rsidRPr="002029AF">
        <w:t>are</w:t>
      </w:r>
      <w:r w:rsidR="000A5329" w:rsidRPr="002029AF">
        <w:t xml:space="preserve"> </w:t>
      </w:r>
      <w:r w:rsidRPr="002029AF">
        <w:t>taken</w:t>
      </w:r>
      <w:r w:rsidR="000A5329" w:rsidRPr="002029AF">
        <w:t xml:space="preserve"> </w:t>
      </w:r>
      <w:r w:rsidRPr="002029AF">
        <w:t>through</w:t>
      </w:r>
      <w:r w:rsidR="000A5329" w:rsidRPr="002029AF">
        <w:t xml:space="preserve"> </w:t>
      </w:r>
      <w:r w:rsidRPr="002029AF">
        <w:t>the</w:t>
      </w:r>
      <w:r w:rsidR="000A5329" w:rsidRPr="002029AF">
        <w:t xml:space="preserve"> </w:t>
      </w:r>
      <w:r w:rsidRPr="002029AF">
        <w:t>asset</w:t>
      </w:r>
      <w:r w:rsidR="000A5329" w:rsidRPr="002029AF">
        <w:t xml:space="preserve"> </w:t>
      </w:r>
      <w:r w:rsidRPr="002029AF">
        <w:t>revaluation</w:t>
      </w:r>
      <w:r w:rsidR="000A5329" w:rsidRPr="002029AF">
        <w:t xml:space="preserve"> </w:t>
      </w:r>
      <w:r w:rsidRPr="002029AF">
        <w:t>surplus.</w:t>
      </w:r>
    </w:p>
    <w:p w14:paraId="5576BC7D" w14:textId="77777777" w:rsidR="0065586C" w:rsidRPr="002029AF" w:rsidRDefault="0065586C" w:rsidP="0065586C">
      <w:pPr>
        <w:pStyle w:val="ARfinbody"/>
      </w:pPr>
      <w:r w:rsidRPr="002029AF">
        <w:br w:type="page"/>
      </w:r>
    </w:p>
    <w:p w14:paraId="4729DA6E" w14:textId="0E7949DC" w:rsidR="0065586C" w:rsidRPr="002029AF" w:rsidRDefault="0065586C" w:rsidP="0065586C">
      <w:pPr>
        <w:pStyle w:val="Heading3"/>
        <w:spacing w:after="240"/>
      </w:pPr>
      <w:bookmarkStart w:id="426" w:name="_Toc51235523"/>
      <w:r w:rsidRPr="002029AF">
        <w:lastRenderedPageBreak/>
        <w:t>Balance</w:t>
      </w:r>
      <w:r w:rsidR="000A5329" w:rsidRPr="002029AF">
        <w:t xml:space="preserve"> </w:t>
      </w:r>
      <w:r w:rsidRPr="002029AF">
        <w:t>sheet</w:t>
      </w:r>
      <w:r w:rsidR="000A5329" w:rsidRPr="002029AF">
        <w:t xml:space="preserve"> </w:t>
      </w:r>
      <w:r w:rsidRPr="002029AF">
        <w:t>as</w:t>
      </w:r>
      <w:r w:rsidR="000A5329" w:rsidRPr="002029AF">
        <w:t xml:space="preserve"> </w:t>
      </w:r>
      <w:r w:rsidRPr="002029AF">
        <w:t>at</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bookmarkEnd w:id="426"/>
    </w:p>
    <w:tbl>
      <w:tblPr>
        <w:tblStyle w:val="TableGrid"/>
        <w:tblW w:w="9637" w:type="dxa"/>
        <w:tblLayout w:type="fixed"/>
        <w:tblLook w:val="06A0" w:firstRow="1" w:lastRow="0" w:firstColumn="1" w:lastColumn="0" w:noHBand="1" w:noVBand="1"/>
      </w:tblPr>
      <w:tblGrid>
        <w:gridCol w:w="7369"/>
        <w:gridCol w:w="1134"/>
        <w:gridCol w:w="1134"/>
      </w:tblGrid>
      <w:tr w:rsidR="0065586C" w:rsidRPr="002029AF" w14:paraId="6BCDB983"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7369" w:type="dxa"/>
            <w:tcBorders>
              <w:bottom w:val="single" w:sz="4" w:space="0" w:color="auto"/>
            </w:tcBorders>
            <w:noWrap/>
            <w:hideMark/>
          </w:tcPr>
          <w:p w14:paraId="2BAD91B1" w14:textId="77777777" w:rsidR="0065586C" w:rsidRPr="002029AF" w:rsidRDefault="0065586C" w:rsidP="003566F1">
            <w:pPr>
              <w:pStyle w:val="ARfintablecolhead"/>
            </w:pPr>
          </w:p>
        </w:tc>
        <w:tc>
          <w:tcPr>
            <w:tcW w:w="1134" w:type="dxa"/>
            <w:tcBorders>
              <w:bottom w:val="single" w:sz="4" w:space="0" w:color="auto"/>
            </w:tcBorders>
            <w:shd w:val="clear" w:color="auto" w:fill="E7E6E6"/>
            <w:hideMark/>
          </w:tcPr>
          <w:p w14:paraId="3CBB0413" w14:textId="77777777" w:rsidR="0065586C" w:rsidRPr="002029AF" w:rsidRDefault="0065586C" w:rsidP="003566F1">
            <w:pPr>
              <w:pStyle w:val="ARfintablecolheadright"/>
            </w:pPr>
            <w:r w:rsidRPr="002029AF">
              <w:t>2020</w:t>
            </w:r>
          </w:p>
          <w:p w14:paraId="6D981F65" w14:textId="77777777" w:rsidR="0065586C" w:rsidRPr="002029AF" w:rsidRDefault="0065586C" w:rsidP="003566F1">
            <w:pPr>
              <w:pStyle w:val="ARfintablecolheadright"/>
            </w:pPr>
            <w:r w:rsidRPr="002029AF">
              <w:t>$M</w:t>
            </w:r>
          </w:p>
        </w:tc>
        <w:tc>
          <w:tcPr>
            <w:tcW w:w="1134" w:type="dxa"/>
            <w:tcBorders>
              <w:bottom w:val="single" w:sz="4" w:space="0" w:color="auto"/>
            </w:tcBorders>
            <w:hideMark/>
          </w:tcPr>
          <w:p w14:paraId="7FF9655E" w14:textId="77777777" w:rsidR="0065586C" w:rsidRPr="002029AF" w:rsidRDefault="0065586C" w:rsidP="003566F1">
            <w:pPr>
              <w:pStyle w:val="ARfintablecolheadright"/>
            </w:pPr>
            <w:r w:rsidRPr="002029AF">
              <w:t>2019</w:t>
            </w:r>
          </w:p>
          <w:p w14:paraId="1DB2B4C5" w14:textId="77777777" w:rsidR="0065586C" w:rsidRPr="002029AF" w:rsidRDefault="0065586C" w:rsidP="003566F1">
            <w:pPr>
              <w:pStyle w:val="ARfintablecolheadright"/>
            </w:pPr>
            <w:r w:rsidRPr="002029AF">
              <w:t>$M</w:t>
            </w:r>
          </w:p>
        </w:tc>
      </w:tr>
      <w:tr w:rsidR="0065586C" w:rsidRPr="002029AF" w14:paraId="59F0281C" w14:textId="77777777" w:rsidTr="003566F1">
        <w:tc>
          <w:tcPr>
            <w:tcW w:w="9637" w:type="dxa"/>
            <w:gridSpan w:val="3"/>
            <w:tcBorders>
              <w:top w:val="single" w:sz="4" w:space="0" w:color="auto"/>
              <w:bottom w:val="single" w:sz="4" w:space="0" w:color="A6A6A6"/>
            </w:tcBorders>
            <w:hideMark/>
          </w:tcPr>
          <w:p w14:paraId="4E52CF86" w14:textId="77777777" w:rsidR="0065586C" w:rsidRPr="002029AF" w:rsidRDefault="0065586C" w:rsidP="003566F1">
            <w:pPr>
              <w:pStyle w:val="ARfintablebodybold"/>
            </w:pPr>
            <w:r w:rsidRPr="002029AF">
              <w:t>Assets</w:t>
            </w:r>
          </w:p>
        </w:tc>
      </w:tr>
      <w:tr w:rsidR="0065586C" w:rsidRPr="002029AF" w14:paraId="3F8D75AE" w14:textId="77777777" w:rsidTr="003566F1">
        <w:tc>
          <w:tcPr>
            <w:tcW w:w="9637" w:type="dxa"/>
            <w:gridSpan w:val="3"/>
            <w:tcBorders>
              <w:top w:val="single" w:sz="4" w:space="0" w:color="A6A6A6"/>
              <w:bottom w:val="single" w:sz="4" w:space="0" w:color="A6A6A6"/>
            </w:tcBorders>
            <w:hideMark/>
          </w:tcPr>
          <w:p w14:paraId="6D3FB19B" w14:textId="22C138E2" w:rsidR="0065586C" w:rsidRPr="002029AF" w:rsidRDefault="0065586C" w:rsidP="003566F1">
            <w:pPr>
              <w:pStyle w:val="ARfintablebodybold"/>
            </w:pPr>
            <w:r w:rsidRPr="002029AF">
              <w:t>Financial</w:t>
            </w:r>
            <w:r w:rsidR="000A5329" w:rsidRPr="002029AF">
              <w:t xml:space="preserve"> </w:t>
            </w:r>
            <w:r w:rsidRPr="002029AF">
              <w:t>assets</w:t>
            </w:r>
          </w:p>
        </w:tc>
      </w:tr>
      <w:tr w:rsidR="0065586C" w:rsidRPr="002029AF" w14:paraId="4809BC07" w14:textId="77777777" w:rsidTr="003566F1">
        <w:tc>
          <w:tcPr>
            <w:tcW w:w="7369" w:type="dxa"/>
            <w:tcBorders>
              <w:top w:val="single" w:sz="4" w:space="0" w:color="A6A6A6"/>
              <w:bottom w:val="single" w:sz="4" w:space="0" w:color="A6A6A6"/>
            </w:tcBorders>
            <w:hideMark/>
          </w:tcPr>
          <w:p w14:paraId="30E85D1E" w14:textId="7CE5D728" w:rsidR="0065586C" w:rsidRPr="002029AF" w:rsidRDefault="0065586C" w:rsidP="003566F1">
            <w:pPr>
              <w:pStyle w:val="ARfintablebody"/>
            </w:pPr>
            <w:r w:rsidRPr="002029AF">
              <w:t>Cash</w:t>
            </w:r>
            <w:r w:rsidR="000A5329" w:rsidRPr="002029AF">
              <w:t xml:space="preserve"> </w:t>
            </w:r>
            <w:r w:rsidRPr="002029AF">
              <w:t>and</w:t>
            </w:r>
            <w:r w:rsidR="000A5329" w:rsidRPr="002029AF">
              <w:t xml:space="preserve"> </w:t>
            </w:r>
            <w:r w:rsidRPr="002029AF">
              <w:t>deposits</w:t>
            </w:r>
            <w:r w:rsidR="000A5329" w:rsidRPr="002029AF">
              <w:t xml:space="preserve"> </w:t>
            </w:r>
            <w:r w:rsidRPr="002029AF">
              <w:rPr>
                <w:rStyle w:val="Superscript"/>
              </w:rPr>
              <w:t>(i)</w:t>
            </w:r>
          </w:p>
        </w:tc>
        <w:tc>
          <w:tcPr>
            <w:tcW w:w="1134" w:type="dxa"/>
            <w:tcBorders>
              <w:top w:val="single" w:sz="4" w:space="0" w:color="A6A6A6"/>
              <w:bottom w:val="single" w:sz="4" w:space="0" w:color="A6A6A6"/>
            </w:tcBorders>
            <w:shd w:val="clear" w:color="auto" w:fill="E7E6E6"/>
            <w:noWrap/>
            <w:hideMark/>
          </w:tcPr>
          <w:p w14:paraId="5D49179F" w14:textId="77777777" w:rsidR="0065586C" w:rsidRPr="002029AF" w:rsidRDefault="0065586C" w:rsidP="003566F1">
            <w:pPr>
              <w:pStyle w:val="ARfintablebodyright"/>
            </w:pPr>
            <w:r w:rsidRPr="002029AF">
              <w:t>486.7</w:t>
            </w:r>
          </w:p>
        </w:tc>
        <w:tc>
          <w:tcPr>
            <w:tcW w:w="1134" w:type="dxa"/>
            <w:tcBorders>
              <w:top w:val="single" w:sz="4" w:space="0" w:color="A6A6A6"/>
              <w:bottom w:val="single" w:sz="4" w:space="0" w:color="A6A6A6"/>
            </w:tcBorders>
            <w:noWrap/>
            <w:hideMark/>
          </w:tcPr>
          <w:p w14:paraId="581C12CA" w14:textId="77777777" w:rsidR="0065586C" w:rsidRPr="002029AF" w:rsidRDefault="0065586C" w:rsidP="003566F1">
            <w:pPr>
              <w:pStyle w:val="ARfintablebodyright"/>
            </w:pPr>
            <w:r w:rsidRPr="002029AF">
              <w:t>457.4</w:t>
            </w:r>
          </w:p>
        </w:tc>
      </w:tr>
      <w:tr w:rsidR="0065586C" w:rsidRPr="002029AF" w14:paraId="6EA08ED9" w14:textId="77777777" w:rsidTr="003566F1">
        <w:tc>
          <w:tcPr>
            <w:tcW w:w="7369" w:type="dxa"/>
            <w:tcBorders>
              <w:top w:val="single" w:sz="4" w:space="0" w:color="A6A6A6"/>
              <w:bottom w:val="single" w:sz="4" w:space="0" w:color="A6A6A6"/>
            </w:tcBorders>
            <w:hideMark/>
          </w:tcPr>
          <w:p w14:paraId="387F40EB" w14:textId="77777777" w:rsidR="0065586C" w:rsidRPr="002029AF" w:rsidRDefault="0065586C" w:rsidP="003566F1">
            <w:pPr>
              <w:pStyle w:val="ARfintablebody"/>
            </w:pPr>
            <w:r w:rsidRPr="002029AF">
              <w:t>Receivables</w:t>
            </w:r>
          </w:p>
        </w:tc>
        <w:tc>
          <w:tcPr>
            <w:tcW w:w="1134" w:type="dxa"/>
            <w:tcBorders>
              <w:top w:val="single" w:sz="4" w:space="0" w:color="A6A6A6"/>
              <w:bottom w:val="single" w:sz="4" w:space="0" w:color="A6A6A6"/>
            </w:tcBorders>
            <w:shd w:val="clear" w:color="auto" w:fill="E7E6E6"/>
            <w:noWrap/>
            <w:hideMark/>
          </w:tcPr>
          <w:p w14:paraId="04EA5230" w14:textId="77777777" w:rsidR="0065586C" w:rsidRPr="002029AF" w:rsidRDefault="0065586C" w:rsidP="003566F1">
            <w:pPr>
              <w:pStyle w:val="ARfintablebodyright"/>
            </w:pPr>
            <w:r w:rsidRPr="002029AF">
              <w:t>43.4</w:t>
            </w:r>
          </w:p>
        </w:tc>
        <w:tc>
          <w:tcPr>
            <w:tcW w:w="1134" w:type="dxa"/>
            <w:tcBorders>
              <w:top w:val="single" w:sz="4" w:space="0" w:color="A6A6A6"/>
              <w:bottom w:val="single" w:sz="4" w:space="0" w:color="A6A6A6"/>
            </w:tcBorders>
            <w:noWrap/>
            <w:hideMark/>
          </w:tcPr>
          <w:p w14:paraId="2C5FB49C" w14:textId="77777777" w:rsidR="0065586C" w:rsidRPr="002029AF" w:rsidRDefault="0065586C" w:rsidP="003566F1">
            <w:pPr>
              <w:pStyle w:val="ARfintablebodyright"/>
            </w:pPr>
            <w:r w:rsidRPr="002029AF">
              <w:t>16.3</w:t>
            </w:r>
          </w:p>
        </w:tc>
      </w:tr>
      <w:tr w:rsidR="0065586C" w:rsidRPr="002029AF" w14:paraId="7013026A" w14:textId="77777777" w:rsidTr="003566F1">
        <w:tc>
          <w:tcPr>
            <w:tcW w:w="7369" w:type="dxa"/>
            <w:tcBorders>
              <w:top w:val="single" w:sz="4" w:space="0" w:color="A6A6A6"/>
              <w:bottom w:val="single" w:sz="4" w:space="0" w:color="A6A6A6"/>
            </w:tcBorders>
            <w:hideMark/>
          </w:tcPr>
          <w:p w14:paraId="2095144B" w14:textId="77777777" w:rsidR="0065586C" w:rsidRPr="002029AF" w:rsidRDefault="0065586C" w:rsidP="003566F1">
            <w:pPr>
              <w:pStyle w:val="ARfintablebody"/>
            </w:pPr>
            <w:r w:rsidRPr="002029AF">
              <w:t>Loans</w:t>
            </w:r>
          </w:p>
        </w:tc>
        <w:tc>
          <w:tcPr>
            <w:tcW w:w="1134" w:type="dxa"/>
            <w:tcBorders>
              <w:top w:val="single" w:sz="4" w:space="0" w:color="A6A6A6"/>
              <w:bottom w:val="single" w:sz="4" w:space="0" w:color="A6A6A6"/>
            </w:tcBorders>
            <w:shd w:val="clear" w:color="auto" w:fill="E7E6E6"/>
            <w:noWrap/>
            <w:hideMark/>
          </w:tcPr>
          <w:p w14:paraId="123845A9" w14:textId="77777777" w:rsidR="0065586C" w:rsidRPr="002029AF" w:rsidRDefault="0065586C" w:rsidP="003566F1">
            <w:pPr>
              <w:pStyle w:val="ARfintablebodyright"/>
            </w:pPr>
            <w:r w:rsidRPr="002029AF">
              <w:t>32.8</w:t>
            </w:r>
          </w:p>
        </w:tc>
        <w:tc>
          <w:tcPr>
            <w:tcW w:w="1134" w:type="dxa"/>
            <w:tcBorders>
              <w:top w:val="single" w:sz="4" w:space="0" w:color="A6A6A6"/>
              <w:bottom w:val="single" w:sz="4" w:space="0" w:color="A6A6A6"/>
            </w:tcBorders>
            <w:noWrap/>
            <w:hideMark/>
          </w:tcPr>
          <w:p w14:paraId="13D511A7" w14:textId="77777777" w:rsidR="0065586C" w:rsidRPr="002029AF" w:rsidRDefault="0065586C" w:rsidP="003566F1">
            <w:pPr>
              <w:pStyle w:val="ARfintablebodyright"/>
            </w:pPr>
            <w:r w:rsidRPr="002029AF">
              <w:t>34.2</w:t>
            </w:r>
          </w:p>
        </w:tc>
      </w:tr>
      <w:tr w:rsidR="0065586C" w:rsidRPr="002029AF" w14:paraId="7321F4FF" w14:textId="77777777" w:rsidTr="003566F1">
        <w:tc>
          <w:tcPr>
            <w:tcW w:w="7369" w:type="dxa"/>
            <w:tcBorders>
              <w:top w:val="single" w:sz="4" w:space="0" w:color="A6A6A6"/>
            </w:tcBorders>
            <w:hideMark/>
          </w:tcPr>
          <w:p w14:paraId="2450990A" w14:textId="6A304BA9" w:rsidR="0065586C" w:rsidRPr="002029AF" w:rsidRDefault="0065586C" w:rsidP="003566F1">
            <w:pPr>
              <w:pStyle w:val="ARfintablebody"/>
            </w:pPr>
            <w:r w:rsidRPr="002029AF">
              <w:t>Short-term</w:t>
            </w:r>
            <w:r w:rsidR="000A5329" w:rsidRPr="002029AF">
              <w:t xml:space="preserve"> </w:t>
            </w:r>
            <w:r w:rsidRPr="002029AF">
              <w:t>investments</w:t>
            </w:r>
            <w:r w:rsidR="000A5329" w:rsidRPr="002029AF">
              <w:t xml:space="preserve"> </w:t>
            </w:r>
            <w:r w:rsidRPr="002029AF">
              <w:t>–</w:t>
            </w:r>
            <w:r w:rsidR="000A5329" w:rsidRPr="002029AF">
              <w:t xml:space="preserve"> </w:t>
            </w:r>
            <w:r w:rsidRPr="002029AF">
              <w:t>term</w:t>
            </w:r>
            <w:r w:rsidR="000A5329" w:rsidRPr="002029AF">
              <w:t xml:space="preserve"> </w:t>
            </w:r>
            <w:r w:rsidRPr="002029AF">
              <w:t>deposits</w:t>
            </w:r>
            <w:r w:rsidR="000A5329" w:rsidRPr="002029AF">
              <w:t xml:space="preserve"> </w:t>
            </w:r>
            <w:r w:rsidRPr="002029AF">
              <w:rPr>
                <w:rStyle w:val="Superscript"/>
              </w:rPr>
              <w:t>(i)</w:t>
            </w:r>
          </w:p>
        </w:tc>
        <w:tc>
          <w:tcPr>
            <w:tcW w:w="1134" w:type="dxa"/>
            <w:tcBorders>
              <w:top w:val="single" w:sz="4" w:space="0" w:color="A6A6A6"/>
            </w:tcBorders>
            <w:shd w:val="clear" w:color="auto" w:fill="E7E6E6"/>
            <w:noWrap/>
            <w:hideMark/>
          </w:tcPr>
          <w:p w14:paraId="430BEA47" w14:textId="77777777" w:rsidR="0065586C" w:rsidRPr="002029AF" w:rsidRDefault="0065586C" w:rsidP="003566F1">
            <w:pPr>
              <w:pStyle w:val="ARfintablebodyright"/>
            </w:pPr>
            <w:r w:rsidRPr="002029AF">
              <w:t>–</w:t>
            </w:r>
          </w:p>
        </w:tc>
        <w:tc>
          <w:tcPr>
            <w:tcW w:w="1134" w:type="dxa"/>
            <w:tcBorders>
              <w:top w:val="single" w:sz="4" w:space="0" w:color="A6A6A6"/>
            </w:tcBorders>
            <w:noWrap/>
            <w:hideMark/>
          </w:tcPr>
          <w:p w14:paraId="3B2770DF" w14:textId="77777777" w:rsidR="0065586C" w:rsidRPr="002029AF" w:rsidRDefault="0065586C" w:rsidP="003566F1">
            <w:pPr>
              <w:pStyle w:val="ARfintablebodyright"/>
            </w:pPr>
            <w:r w:rsidRPr="002029AF">
              <w:t>100.0</w:t>
            </w:r>
          </w:p>
        </w:tc>
      </w:tr>
      <w:tr w:rsidR="0065586C" w:rsidRPr="002029AF" w14:paraId="4E157948" w14:textId="77777777" w:rsidTr="003566F1">
        <w:tc>
          <w:tcPr>
            <w:tcW w:w="7369" w:type="dxa"/>
            <w:tcBorders>
              <w:bottom w:val="single" w:sz="4" w:space="0" w:color="auto"/>
            </w:tcBorders>
            <w:hideMark/>
          </w:tcPr>
          <w:p w14:paraId="78C0E09B" w14:textId="11B4E493" w:rsidR="0065586C" w:rsidRPr="002029AF" w:rsidRDefault="0065586C" w:rsidP="003566F1">
            <w:pPr>
              <w:pStyle w:val="ARfintablebodybold"/>
            </w:pPr>
            <w:r w:rsidRPr="002029AF">
              <w:t>Total</w:t>
            </w:r>
            <w:r w:rsidR="000A5329" w:rsidRPr="002029AF">
              <w:t xml:space="preserve"> </w:t>
            </w:r>
            <w:r w:rsidRPr="002029AF">
              <w:t>financial</w:t>
            </w:r>
            <w:r w:rsidR="000A5329" w:rsidRPr="002029AF">
              <w:t xml:space="preserve"> </w:t>
            </w:r>
            <w:r w:rsidRPr="002029AF">
              <w:t>assets</w:t>
            </w:r>
          </w:p>
        </w:tc>
        <w:tc>
          <w:tcPr>
            <w:tcW w:w="1134" w:type="dxa"/>
            <w:tcBorders>
              <w:bottom w:val="single" w:sz="4" w:space="0" w:color="auto"/>
            </w:tcBorders>
            <w:shd w:val="clear" w:color="auto" w:fill="E7E6E6"/>
            <w:noWrap/>
            <w:hideMark/>
          </w:tcPr>
          <w:p w14:paraId="1A7591D2" w14:textId="77777777" w:rsidR="0065586C" w:rsidRPr="002029AF" w:rsidRDefault="0065586C" w:rsidP="003566F1">
            <w:pPr>
              <w:pStyle w:val="ARfintablebodyrightbold"/>
            </w:pPr>
            <w:r w:rsidRPr="002029AF">
              <w:t>562.9</w:t>
            </w:r>
          </w:p>
        </w:tc>
        <w:tc>
          <w:tcPr>
            <w:tcW w:w="1134" w:type="dxa"/>
            <w:tcBorders>
              <w:bottom w:val="single" w:sz="4" w:space="0" w:color="auto"/>
            </w:tcBorders>
            <w:noWrap/>
            <w:hideMark/>
          </w:tcPr>
          <w:p w14:paraId="2B67F457" w14:textId="77777777" w:rsidR="0065586C" w:rsidRPr="002029AF" w:rsidRDefault="0065586C" w:rsidP="003566F1">
            <w:pPr>
              <w:pStyle w:val="ARfintablebodyrightbold"/>
            </w:pPr>
            <w:r w:rsidRPr="002029AF">
              <w:t>607.9</w:t>
            </w:r>
          </w:p>
        </w:tc>
      </w:tr>
      <w:tr w:rsidR="0065586C" w:rsidRPr="002029AF" w14:paraId="67CCE20B" w14:textId="77777777" w:rsidTr="003566F1">
        <w:tc>
          <w:tcPr>
            <w:tcW w:w="9637" w:type="dxa"/>
            <w:gridSpan w:val="3"/>
            <w:tcBorders>
              <w:top w:val="single" w:sz="4" w:space="0" w:color="auto"/>
              <w:bottom w:val="single" w:sz="4" w:space="0" w:color="A6A6A6"/>
            </w:tcBorders>
            <w:hideMark/>
          </w:tcPr>
          <w:p w14:paraId="28DAAA88" w14:textId="2CA3AC58" w:rsidR="0065586C" w:rsidRPr="002029AF" w:rsidRDefault="0065586C" w:rsidP="003566F1">
            <w:pPr>
              <w:pStyle w:val="ARfintablebodybold"/>
            </w:pPr>
            <w:r w:rsidRPr="002029AF">
              <w:t>Non-financial</w:t>
            </w:r>
            <w:r w:rsidR="000A5329" w:rsidRPr="002029AF">
              <w:t xml:space="preserve"> </w:t>
            </w:r>
            <w:r w:rsidRPr="002029AF">
              <w:t>assets</w:t>
            </w:r>
          </w:p>
        </w:tc>
      </w:tr>
      <w:tr w:rsidR="0065586C" w:rsidRPr="002029AF" w14:paraId="21E20543" w14:textId="77777777" w:rsidTr="003566F1">
        <w:tc>
          <w:tcPr>
            <w:tcW w:w="7369" w:type="dxa"/>
            <w:tcBorders>
              <w:top w:val="single" w:sz="4" w:space="0" w:color="A6A6A6"/>
              <w:bottom w:val="single" w:sz="4" w:space="0" w:color="A6A6A6"/>
            </w:tcBorders>
            <w:hideMark/>
          </w:tcPr>
          <w:p w14:paraId="3A08BA81" w14:textId="23744058" w:rsidR="0065586C" w:rsidRPr="002029AF" w:rsidRDefault="0065586C" w:rsidP="003566F1">
            <w:pPr>
              <w:pStyle w:val="ARfintablebody"/>
            </w:pPr>
            <w:r w:rsidRPr="002029AF">
              <w:t>Non-financial</w:t>
            </w:r>
            <w:r w:rsidR="000A5329" w:rsidRPr="002029AF">
              <w:t xml:space="preserve"> </w:t>
            </w:r>
            <w:r w:rsidRPr="002029AF">
              <w:t>physical</w:t>
            </w:r>
            <w:r w:rsidR="000A5329" w:rsidRPr="002029AF">
              <w:t xml:space="preserve"> </w:t>
            </w:r>
            <w:r w:rsidRPr="002029AF">
              <w:t>assets</w:t>
            </w:r>
            <w:r w:rsidR="000A5329" w:rsidRPr="002029AF">
              <w:t xml:space="preserve"> </w:t>
            </w:r>
            <w:r w:rsidRPr="002029AF">
              <w:t>classified</w:t>
            </w:r>
            <w:r w:rsidR="000A5329" w:rsidRPr="002029AF">
              <w:t xml:space="preserve"> </w:t>
            </w:r>
            <w:r w:rsidRPr="002029AF">
              <w:t>as</w:t>
            </w:r>
            <w:r w:rsidR="000A5329" w:rsidRPr="002029AF">
              <w:t xml:space="preserve"> </w:t>
            </w:r>
            <w:r w:rsidRPr="002029AF">
              <w:t>held</w:t>
            </w:r>
            <w:r w:rsidR="000A5329" w:rsidRPr="002029AF">
              <w:t xml:space="preserve"> </w:t>
            </w:r>
            <w:r w:rsidRPr="002029AF">
              <w:t>for</w:t>
            </w:r>
            <w:r w:rsidR="000A5329" w:rsidRPr="002029AF">
              <w:t xml:space="preserve"> </w:t>
            </w:r>
            <w:r w:rsidRPr="002029AF">
              <w:t>sale</w:t>
            </w:r>
          </w:p>
        </w:tc>
        <w:tc>
          <w:tcPr>
            <w:tcW w:w="1134" w:type="dxa"/>
            <w:tcBorders>
              <w:top w:val="single" w:sz="4" w:space="0" w:color="A6A6A6"/>
              <w:bottom w:val="single" w:sz="4" w:space="0" w:color="A6A6A6"/>
            </w:tcBorders>
            <w:shd w:val="clear" w:color="auto" w:fill="E7E6E6"/>
            <w:noWrap/>
            <w:hideMark/>
          </w:tcPr>
          <w:p w14:paraId="7BE7C006" w14:textId="77777777" w:rsidR="0065586C" w:rsidRPr="002029AF" w:rsidRDefault="0065586C" w:rsidP="003566F1">
            <w:pPr>
              <w:pStyle w:val="ARfintablebodyright"/>
            </w:pPr>
            <w:r w:rsidRPr="002029AF">
              <w:t>7.2</w:t>
            </w:r>
          </w:p>
        </w:tc>
        <w:tc>
          <w:tcPr>
            <w:tcW w:w="1134" w:type="dxa"/>
            <w:tcBorders>
              <w:top w:val="single" w:sz="4" w:space="0" w:color="A6A6A6"/>
              <w:bottom w:val="single" w:sz="4" w:space="0" w:color="A6A6A6"/>
            </w:tcBorders>
            <w:noWrap/>
            <w:hideMark/>
          </w:tcPr>
          <w:p w14:paraId="04BEAC3B" w14:textId="77777777" w:rsidR="0065586C" w:rsidRPr="002029AF" w:rsidRDefault="0065586C" w:rsidP="003566F1">
            <w:pPr>
              <w:pStyle w:val="ARfintablebodyright"/>
            </w:pPr>
            <w:r w:rsidRPr="002029AF">
              <w:t>25.8</w:t>
            </w:r>
          </w:p>
        </w:tc>
      </w:tr>
      <w:tr w:rsidR="0065586C" w:rsidRPr="002029AF" w14:paraId="52740FAC" w14:textId="77777777" w:rsidTr="003566F1">
        <w:tc>
          <w:tcPr>
            <w:tcW w:w="7369" w:type="dxa"/>
            <w:tcBorders>
              <w:top w:val="single" w:sz="4" w:space="0" w:color="A6A6A6"/>
              <w:bottom w:val="single" w:sz="4" w:space="0" w:color="A6A6A6"/>
            </w:tcBorders>
            <w:hideMark/>
          </w:tcPr>
          <w:p w14:paraId="76F0AD29" w14:textId="0D287A77" w:rsidR="0065586C" w:rsidRPr="002029AF" w:rsidRDefault="0065586C" w:rsidP="003566F1">
            <w:pPr>
              <w:pStyle w:val="ARfintablebody"/>
            </w:pPr>
            <w:r w:rsidRPr="002029AF">
              <w:t>Property,</w:t>
            </w:r>
            <w:r w:rsidR="000A5329" w:rsidRPr="002029AF">
              <w:t xml:space="preserve"> </w:t>
            </w:r>
            <w:r w:rsidRPr="002029AF">
              <w:t>plant</w:t>
            </w:r>
            <w:r w:rsidR="000A5329" w:rsidRPr="002029AF">
              <w:t xml:space="preserve"> </w:t>
            </w:r>
            <w:r w:rsidRPr="002029AF">
              <w:t>and</w:t>
            </w:r>
            <w:r w:rsidR="000A5329" w:rsidRPr="002029AF">
              <w:t xml:space="preserve"> </w:t>
            </w:r>
            <w:r w:rsidRPr="002029AF">
              <w:t>equipment</w:t>
            </w:r>
          </w:p>
        </w:tc>
        <w:tc>
          <w:tcPr>
            <w:tcW w:w="1134" w:type="dxa"/>
            <w:tcBorders>
              <w:top w:val="single" w:sz="4" w:space="0" w:color="A6A6A6"/>
              <w:bottom w:val="single" w:sz="4" w:space="0" w:color="A6A6A6"/>
            </w:tcBorders>
            <w:shd w:val="clear" w:color="auto" w:fill="E7E6E6"/>
            <w:noWrap/>
            <w:hideMark/>
          </w:tcPr>
          <w:p w14:paraId="0A2FE539" w14:textId="77777777" w:rsidR="0065586C" w:rsidRPr="002029AF" w:rsidRDefault="0065586C" w:rsidP="003566F1">
            <w:pPr>
              <w:pStyle w:val="ARfintablebodyright"/>
            </w:pPr>
            <w:r w:rsidRPr="002029AF">
              <w:t>26,428.1</w:t>
            </w:r>
          </w:p>
        </w:tc>
        <w:tc>
          <w:tcPr>
            <w:tcW w:w="1134" w:type="dxa"/>
            <w:tcBorders>
              <w:top w:val="single" w:sz="4" w:space="0" w:color="A6A6A6"/>
              <w:bottom w:val="single" w:sz="4" w:space="0" w:color="A6A6A6"/>
            </w:tcBorders>
            <w:noWrap/>
            <w:hideMark/>
          </w:tcPr>
          <w:p w14:paraId="6A7981C3" w14:textId="77777777" w:rsidR="0065586C" w:rsidRPr="002029AF" w:rsidRDefault="0065586C" w:rsidP="003566F1">
            <w:pPr>
              <w:pStyle w:val="ARfintablebodyright"/>
            </w:pPr>
            <w:r w:rsidRPr="002029AF">
              <w:t>26,488.8</w:t>
            </w:r>
          </w:p>
        </w:tc>
      </w:tr>
      <w:tr w:rsidR="0065586C" w:rsidRPr="002029AF" w14:paraId="41713850" w14:textId="77777777" w:rsidTr="003566F1">
        <w:tc>
          <w:tcPr>
            <w:tcW w:w="7369" w:type="dxa"/>
            <w:tcBorders>
              <w:top w:val="single" w:sz="4" w:space="0" w:color="A6A6A6"/>
              <w:bottom w:val="single" w:sz="4" w:space="0" w:color="A6A6A6"/>
            </w:tcBorders>
            <w:hideMark/>
          </w:tcPr>
          <w:p w14:paraId="498A20A9" w14:textId="3C572BC2" w:rsidR="0065586C" w:rsidRPr="002029AF" w:rsidRDefault="0065586C" w:rsidP="003566F1">
            <w:pPr>
              <w:pStyle w:val="ARfintablebody"/>
            </w:pPr>
            <w:r w:rsidRPr="002029AF">
              <w:t>Intangible</w:t>
            </w:r>
            <w:r w:rsidR="000A5329" w:rsidRPr="002029AF">
              <w:t xml:space="preserve"> </w:t>
            </w:r>
            <w:r w:rsidRPr="002029AF">
              <w:t>assets</w:t>
            </w:r>
          </w:p>
        </w:tc>
        <w:tc>
          <w:tcPr>
            <w:tcW w:w="1134" w:type="dxa"/>
            <w:tcBorders>
              <w:top w:val="single" w:sz="4" w:space="0" w:color="A6A6A6"/>
              <w:bottom w:val="single" w:sz="4" w:space="0" w:color="A6A6A6"/>
            </w:tcBorders>
            <w:shd w:val="clear" w:color="auto" w:fill="E7E6E6"/>
            <w:noWrap/>
            <w:hideMark/>
          </w:tcPr>
          <w:p w14:paraId="5313D1CE" w14:textId="77777777" w:rsidR="0065586C" w:rsidRPr="002029AF" w:rsidRDefault="0065586C" w:rsidP="003566F1">
            <w:pPr>
              <w:pStyle w:val="ARfintablebodyright"/>
            </w:pPr>
            <w:r w:rsidRPr="002029AF">
              <w:t>32.9</w:t>
            </w:r>
          </w:p>
        </w:tc>
        <w:tc>
          <w:tcPr>
            <w:tcW w:w="1134" w:type="dxa"/>
            <w:tcBorders>
              <w:top w:val="single" w:sz="4" w:space="0" w:color="A6A6A6"/>
              <w:bottom w:val="single" w:sz="4" w:space="0" w:color="A6A6A6"/>
            </w:tcBorders>
            <w:noWrap/>
            <w:hideMark/>
          </w:tcPr>
          <w:p w14:paraId="3A64A095" w14:textId="77777777" w:rsidR="0065586C" w:rsidRPr="002029AF" w:rsidRDefault="0065586C" w:rsidP="003566F1">
            <w:pPr>
              <w:pStyle w:val="ARfintablebodyright"/>
            </w:pPr>
            <w:r w:rsidRPr="002029AF">
              <w:t>27.7</w:t>
            </w:r>
          </w:p>
        </w:tc>
      </w:tr>
      <w:tr w:rsidR="0065586C" w:rsidRPr="002029AF" w14:paraId="23A09C87" w14:textId="77777777" w:rsidTr="003566F1">
        <w:tc>
          <w:tcPr>
            <w:tcW w:w="7369" w:type="dxa"/>
            <w:tcBorders>
              <w:top w:val="single" w:sz="4" w:space="0" w:color="A6A6A6"/>
            </w:tcBorders>
            <w:hideMark/>
          </w:tcPr>
          <w:p w14:paraId="2F8A3A24" w14:textId="143C0E53" w:rsidR="0065586C" w:rsidRPr="002029AF" w:rsidRDefault="0065586C" w:rsidP="003566F1">
            <w:pPr>
              <w:pStyle w:val="ARfintablebody"/>
            </w:pPr>
            <w:r w:rsidRPr="002029AF">
              <w:t>Other</w:t>
            </w:r>
            <w:r w:rsidR="000A5329" w:rsidRPr="002029AF">
              <w:t xml:space="preserve"> </w:t>
            </w:r>
            <w:r w:rsidRPr="002029AF">
              <w:t>non-financial</w:t>
            </w:r>
            <w:r w:rsidR="000A5329" w:rsidRPr="002029AF">
              <w:t xml:space="preserve"> </w:t>
            </w:r>
            <w:r w:rsidRPr="002029AF">
              <w:t>assets</w:t>
            </w:r>
          </w:p>
        </w:tc>
        <w:tc>
          <w:tcPr>
            <w:tcW w:w="1134" w:type="dxa"/>
            <w:tcBorders>
              <w:top w:val="single" w:sz="4" w:space="0" w:color="A6A6A6"/>
            </w:tcBorders>
            <w:shd w:val="clear" w:color="auto" w:fill="E7E6E6"/>
            <w:noWrap/>
            <w:hideMark/>
          </w:tcPr>
          <w:p w14:paraId="64E55230" w14:textId="77777777" w:rsidR="0065586C" w:rsidRPr="002029AF" w:rsidRDefault="0065586C" w:rsidP="003566F1">
            <w:pPr>
              <w:pStyle w:val="ARfintablebodyright"/>
            </w:pPr>
            <w:r w:rsidRPr="002029AF">
              <w:t>–</w:t>
            </w:r>
          </w:p>
        </w:tc>
        <w:tc>
          <w:tcPr>
            <w:tcW w:w="1134" w:type="dxa"/>
            <w:tcBorders>
              <w:top w:val="single" w:sz="4" w:space="0" w:color="A6A6A6"/>
            </w:tcBorders>
            <w:noWrap/>
            <w:hideMark/>
          </w:tcPr>
          <w:p w14:paraId="4C8EF6D8" w14:textId="77777777" w:rsidR="0065586C" w:rsidRPr="002029AF" w:rsidRDefault="0065586C" w:rsidP="003566F1">
            <w:pPr>
              <w:pStyle w:val="ARfintablebodyright"/>
            </w:pPr>
            <w:r w:rsidRPr="002029AF">
              <w:t>1.5</w:t>
            </w:r>
          </w:p>
        </w:tc>
      </w:tr>
      <w:tr w:rsidR="0065586C" w:rsidRPr="002029AF" w14:paraId="526EA1D2" w14:textId="77777777" w:rsidTr="003566F1">
        <w:tc>
          <w:tcPr>
            <w:tcW w:w="7369" w:type="dxa"/>
            <w:hideMark/>
          </w:tcPr>
          <w:p w14:paraId="63A1BBA3" w14:textId="6DA704F5" w:rsidR="0065586C" w:rsidRPr="002029AF" w:rsidRDefault="0065586C" w:rsidP="003566F1">
            <w:pPr>
              <w:pStyle w:val="ARfintablebodybold"/>
            </w:pPr>
            <w:r w:rsidRPr="002029AF">
              <w:t>Total</w:t>
            </w:r>
            <w:r w:rsidR="000A5329" w:rsidRPr="002029AF">
              <w:t xml:space="preserve"> </w:t>
            </w:r>
            <w:r w:rsidRPr="002029AF">
              <w:t>non-financial</w:t>
            </w:r>
            <w:r w:rsidR="000A5329" w:rsidRPr="002029AF">
              <w:t xml:space="preserve"> </w:t>
            </w:r>
            <w:r w:rsidRPr="002029AF">
              <w:t>assets</w:t>
            </w:r>
          </w:p>
        </w:tc>
        <w:tc>
          <w:tcPr>
            <w:tcW w:w="1134" w:type="dxa"/>
            <w:shd w:val="clear" w:color="auto" w:fill="E7E6E6"/>
            <w:noWrap/>
            <w:hideMark/>
          </w:tcPr>
          <w:p w14:paraId="4EA838D3" w14:textId="77777777" w:rsidR="0065586C" w:rsidRPr="002029AF" w:rsidRDefault="0065586C" w:rsidP="003566F1">
            <w:pPr>
              <w:pStyle w:val="ARfintablebodyrightbold"/>
            </w:pPr>
            <w:r w:rsidRPr="002029AF">
              <w:t>26,468.2</w:t>
            </w:r>
          </w:p>
        </w:tc>
        <w:tc>
          <w:tcPr>
            <w:tcW w:w="1134" w:type="dxa"/>
            <w:noWrap/>
            <w:hideMark/>
          </w:tcPr>
          <w:p w14:paraId="2698E3F9" w14:textId="77777777" w:rsidR="0065586C" w:rsidRPr="002029AF" w:rsidRDefault="0065586C" w:rsidP="003566F1">
            <w:pPr>
              <w:pStyle w:val="ARfintablebodyrightbold"/>
            </w:pPr>
            <w:r w:rsidRPr="002029AF">
              <w:t>26,543.8</w:t>
            </w:r>
          </w:p>
        </w:tc>
      </w:tr>
      <w:tr w:rsidR="0065586C" w:rsidRPr="002029AF" w14:paraId="0D717555" w14:textId="77777777" w:rsidTr="003566F1">
        <w:tc>
          <w:tcPr>
            <w:tcW w:w="7369" w:type="dxa"/>
            <w:tcBorders>
              <w:bottom w:val="single" w:sz="4" w:space="0" w:color="auto"/>
            </w:tcBorders>
            <w:hideMark/>
          </w:tcPr>
          <w:p w14:paraId="7942D15F" w14:textId="3FDD1C92" w:rsidR="0065586C" w:rsidRPr="002029AF" w:rsidRDefault="0065586C" w:rsidP="003566F1">
            <w:pPr>
              <w:pStyle w:val="ARfintablebodybold"/>
            </w:pPr>
            <w:r w:rsidRPr="002029AF">
              <w:t>Total</w:t>
            </w:r>
            <w:r w:rsidR="000A5329" w:rsidRPr="002029AF">
              <w:t xml:space="preserve"> </w:t>
            </w:r>
            <w:r w:rsidRPr="002029AF">
              <w:t>assets</w:t>
            </w:r>
          </w:p>
        </w:tc>
        <w:tc>
          <w:tcPr>
            <w:tcW w:w="1134" w:type="dxa"/>
            <w:tcBorders>
              <w:bottom w:val="single" w:sz="4" w:space="0" w:color="auto"/>
            </w:tcBorders>
            <w:shd w:val="clear" w:color="auto" w:fill="E7E6E6"/>
            <w:noWrap/>
            <w:hideMark/>
          </w:tcPr>
          <w:p w14:paraId="136732C9" w14:textId="77777777" w:rsidR="0065586C" w:rsidRPr="002029AF" w:rsidRDefault="0065586C" w:rsidP="003566F1">
            <w:pPr>
              <w:pStyle w:val="ARfintablebodyrightbold"/>
            </w:pPr>
            <w:r w:rsidRPr="002029AF">
              <w:t>27,031.1</w:t>
            </w:r>
          </w:p>
        </w:tc>
        <w:tc>
          <w:tcPr>
            <w:tcW w:w="1134" w:type="dxa"/>
            <w:tcBorders>
              <w:bottom w:val="single" w:sz="4" w:space="0" w:color="auto"/>
            </w:tcBorders>
            <w:noWrap/>
            <w:hideMark/>
          </w:tcPr>
          <w:p w14:paraId="7913F380" w14:textId="77777777" w:rsidR="0065586C" w:rsidRPr="002029AF" w:rsidRDefault="0065586C" w:rsidP="003566F1">
            <w:pPr>
              <w:pStyle w:val="ARfintablebodyrightbold"/>
            </w:pPr>
            <w:r w:rsidRPr="002029AF">
              <w:t>27,151.7</w:t>
            </w:r>
          </w:p>
        </w:tc>
      </w:tr>
      <w:tr w:rsidR="0065586C" w:rsidRPr="002029AF" w14:paraId="55C1897D" w14:textId="77777777" w:rsidTr="003566F1">
        <w:tc>
          <w:tcPr>
            <w:tcW w:w="9637" w:type="dxa"/>
            <w:gridSpan w:val="3"/>
            <w:tcBorders>
              <w:top w:val="single" w:sz="4" w:space="0" w:color="auto"/>
              <w:bottom w:val="single" w:sz="4" w:space="0" w:color="A6A6A6"/>
            </w:tcBorders>
            <w:hideMark/>
          </w:tcPr>
          <w:p w14:paraId="54AEECDC" w14:textId="77777777" w:rsidR="0065586C" w:rsidRPr="002029AF" w:rsidRDefault="0065586C" w:rsidP="003566F1">
            <w:pPr>
              <w:pStyle w:val="ARfintablebodybold"/>
            </w:pPr>
            <w:r w:rsidRPr="002029AF">
              <w:t>Liabilities</w:t>
            </w:r>
          </w:p>
        </w:tc>
      </w:tr>
      <w:tr w:rsidR="0065586C" w:rsidRPr="002029AF" w14:paraId="6B728BDD" w14:textId="77777777" w:rsidTr="003566F1">
        <w:tc>
          <w:tcPr>
            <w:tcW w:w="7369" w:type="dxa"/>
            <w:tcBorders>
              <w:top w:val="single" w:sz="4" w:space="0" w:color="A6A6A6"/>
              <w:bottom w:val="single" w:sz="4" w:space="0" w:color="A6A6A6"/>
            </w:tcBorders>
            <w:hideMark/>
          </w:tcPr>
          <w:p w14:paraId="7CC46AE1" w14:textId="77777777" w:rsidR="0065586C" w:rsidRPr="002029AF" w:rsidRDefault="0065586C" w:rsidP="003566F1">
            <w:pPr>
              <w:pStyle w:val="ARfintablebody"/>
            </w:pPr>
            <w:r w:rsidRPr="002029AF">
              <w:t>Payables</w:t>
            </w:r>
          </w:p>
        </w:tc>
        <w:tc>
          <w:tcPr>
            <w:tcW w:w="1134" w:type="dxa"/>
            <w:tcBorders>
              <w:top w:val="single" w:sz="4" w:space="0" w:color="A6A6A6"/>
              <w:bottom w:val="single" w:sz="4" w:space="0" w:color="A6A6A6"/>
            </w:tcBorders>
            <w:shd w:val="clear" w:color="auto" w:fill="E7E6E6"/>
            <w:noWrap/>
            <w:hideMark/>
          </w:tcPr>
          <w:p w14:paraId="16453E37" w14:textId="77777777" w:rsidR="0065586C" w:rsidRPr="002029AF" w:rsidRDefault="0065586C" w:rsidP="003566F1">
            <w:pPr>
              <w:pStyle w:val="ARfintablebodyright"/>
            </w:pPr>
            <w:r w:rsidRPr="002029AF">
              <w:t>30.0</w:t>
            </w:r>
          </w:p>
        </w:tc>
        <w:tc>
          <w:tcPr>
            <w:tcW w:w="1134" w:type="dxa"/>
            <w:tcBorders>
              <w:top w:val="single" w:sz="4" w:space="0" w:color="A6A6A6"/>
              <w:bottom w:val="single" w:sz="4" w:space="0" w:color="A6A6A6"/>
            </w:tcBorders>
            <w:noWrap/>
            <w:hideMark/>
          </w:tcPr>
          <w:p w14:paraId="79707CD9" w14:textId="77777777" w:rsidR="0065586C" w:rsidRPr="002029AF" w:rsidRDefault="0065586C" w:rsidP="003566F1">
            <w:pPr>
              <w:pStyle w:val="ARfintablebodyright"/>
            </w:pPr>
            <w:r w:rsidRPr="002029AF">
              <w:t>67.7</w:t>
            </w:r>
          </w:p>
        </w:tc>
      </w:tr>
      <w:tr w:rsidR="0065586C" w:rsidRPr="002029AF" w14:paraId="1A5C5409" w14:textId="77777777" w:rsidTr="003566F1">
        <w:tc>
          <w:tcPr>
            <w:tcW w:w="7369" w:type="dxa"/>
            <w:tcBorders>
              <w:top w:val="single" w:sz="4" w:space="0" w:color="A6A6A6"/>
              <w:bottom w:val="single" w:sz="4" w:space="0" w:color="A6A6A6"/>
            </w:tcBorders>
            <w:hideMark/>
          </w:tcPr>
          <w:p w14:paraId="246C8104" w14:textId="77777777" w:rsidR="0065586C" w:rsidRPr="002029AF" w:rsidRDefault="0065586C" w:rsidP="003566F1">
            <w:pPr>
              <w:pStyle w:val="ARfintablebody"/>
            </w:pPr>
            <w:r w:rsidRPr="002029AF">
              <w:t>Borrowings</w:t>
            </w:r>
          </w:p>
        </w:tc>
        <w:tc>
          <w:tcPr>
            <w:tcW w:w="1134" w:type="dxa"/>
            <w:tcBorders>
              <w:top w:val="single" w:sz="4" w:space="0" w:color="A6A6A6"/>
              <w:bottom w:val="single" w:sz="4" w:space="0" w:color="A6A6A6"/>
            </w:tcBorders>
            <w:shd w:val="clear" w:color="auto" w:fill="E7E6E6"/>
            <w:noWrap/>
            <w:hideMark/>
          </w:tcPr>
          <w:p w14:paraId="719E474C" w14:textId="77777777" w:rsidR="0065586C" w:rsidRPr="002029AF" w:rsidRDefault="0065586C" w:rsidP="003566F1">
            <w:pPr>
              <w:pStyle w:val="ARfintablebodyright"/>
            </w:pPr>
            <w:r w:rsidRPr="002029AF">
              <w:t>59.1</w:t>
            </w:r>
          </w:p>
        </w:tc>
        <w:tc>
          <w:tcPr>
            <w:tcW w:w="1134" w:type="dxa"/>
            <w:tcBorders>
              <w:top w:val="single" w:sz="4" w:space="0" w:color="A6A6A6"/>
              <w:bottom w:val="single" w:sz="4" w:space="0" w:color="A6A6A6"/>
            </w:tcBorders>
            <w:noWrap/>
            <w:hideMark/>
          </w:tcPr>
          <w:p w14:paraId="60222E6F" w14:textId="77777777" w:rsidR="0065586C" w:rsidRPr="002029AF" w:rsidRDefault="0065586C" w:rsidP="003566F1">
            <w:pPr>
              <w:pStyle w:val="ARfintablebodyright"/>
            </w:pPr>
            <w:r w:rsidRPr="002029AF">
              <w:t>13.4</w:t>
            </w:r>
          </w:p>
        </w:tc>
      </w:tr>
      <w:tr w:rsidR="0065586C" w:rsidRPr="002029AF" w14:paraId="3C046BC6" w14:textId="77777777" w:rsidTr="003566F1">
        <w:tc>
          <w:tcPr>
            <w:tcW w:w="7369" w:type="dxa"/>
            <w:tcBorders>
              <w:top w:val="single" w:sz="4" w:space="0" w:color="A6A6A6"/>
            </w:tcBorders>
            <w:hideMark/>
          </w:tcPr>
          <w:p w14:paraId="63108C79" w14:textId="6BEAB282" w:rsidR="0065586C" w:rsidRPr="002029AF" w:rsidRDefault="0065586C" w:rsidP="003566F1">
            <w:pPr>
              <w:pStyle w:val="ARfintablebody"/>
            </w:pPr>
            <w:r w:rsidRPr="002029AF">
              <w:t>Employee</w:t>
            </w:r>
            <w:r w:rsidR="000A5329" w:rsidRPr="002029AF">
              <w:t xml:space="preserve"> </w:t>
            </w:r>
            <w:r w:rsidRPr="002029AF">
              <w:t>related</w:t>
            </w:r>
            <w:r w:rsidR="000A5329" w:rsidRPr="002029AF">
              <w:t xml:space="preserve"> </w:t>
            </w:r>
            <w:r w:rsidRPr="002029AF">
              <w:t>provisions</w:t>
            </w:r>
          </w:p>
        </w:tc>
        <w:tc>
          <w:tcPr>
            <w:tcW w:w="1134" w:type="dxa"/>
            <w:tcBorders>
              <w:top w:val="single" w:sz="4" w:space="0" w:color="A6A6A6"/>
            </w:tcBorders>
            <w:shd w:val="clear" w:color="auto" w:fill="E7E6E6"/>
            <w:noWrap/>
            <w:hideMark/>
          </w:tcPr>
          <w:p w14:paraId="0CE9E86F" w14:textId="77777777" w:rsidR="0065586C" w:rsidRPr="002029AF" w:rsidRDefault="0065586C" w:rsidP="003566F1">
            <w:pPr>
              <w:pStyle w:val="ARfintablebodyright"/>
            </w:pPr>
            <w:r w:rsidRPr="002029AF">
              <w:t>84.3</w:t>
            </w:r>
          </w:p>
        </w:tc>
        <w:tc>
          <w:tcPr>
            <w:tcW w:w="1134" w:type="dxa"/>
            <w:tcBorders>
              <w:top w:val="single" w:sz="4" w:space="0" w:color="A6A6A6"/>
            </w:tcBorders>
            <w:noWrap/>
            <w:hideMark/>
          </w:tcPr>
          <w:p w14:paraId="0486A213" w14:textId="77777777" w:rsidR="0065586C" w:rsidRPr="002029AF" w:rsidRDefault="0065586C" w:rsidP="003566F1">
            <w:pPr>
              <w:pStyle w:val="ARfintablebodyright"/>
            </w:pPr>
            <w:r w:rsidRPr="002029AF">
              <w:t>85.4</w:t>
            </w:r>
          </w:p>
        </w:tc>
      </w:tr>
      <w:tr w:rsidR="0065586C" w:rsidRPr="002029AF" w14:paraId="56F97D75" w14:textId="77777777" w:rsidTr="003566F1">
        <w:tc>
          <w:tcPr>
            <w:tcW w:w="7369" w:type="dxa"/>
            <w:hideMark/>
          </w:tcPr>
          <w:p w14:paraId="10A75F9A" w14:textId="151E32AE" w:rsidR="0065586C" w:rsidRPr="002029AF" w:rsidRDefault="0065586C" w:rsidP="003566F1">
            <w:pPr>
              <w:pStyle w:val="ARfintablebodybold"/>
            </w:pPr>
            <w:r w:rsidRPr="002029AF">
              <w:t>Total</w:t>
            </w:r>
            <w:r w:rsidR="000A5329" w:rsidRPr="002029AF">
              <w:t xml:space="preserve"> </w:t>
            </w:r>
            <w:r w:rsidRPr="002029AF">
              <w:t>liabilities</w:t>
            </w:r>
          </w:p>
        </w:tc>
        <w:tc>
          <w:tcPr>
            <w:tcW w:w="1134" w:type="dxa"/>
            <w:shd w:val="clear" w:color="auto" w:fill="E7E6E6"/>
            <w:noWrap/>
            <w:hideMark/>
          </w:tcPr>
          <w:p w14:paraId="000B542A" w14:textId="77777777" w:rsidR="0065586C" w:rsidRPr="002029AF" w:rsidRDefault="0065586C" w:rsidP="003566F1">
            <w:pPr>
              <w:pStyle w:val="ARfintablebodyrightbold"/>
            </w:pPr>
            <w:r w:rsidRPr="002029AF">
              <w:t>173.4</w:t>
            </w:r>
          </w:p>
        </w:tc>
        <w:tc>
          <w:tcPr>
            <w:tcW w:w="1134" w:type="dxa"/>
            <w:noWrap/>
            <w:hideMark/>
          </w:tcPr>
          <w:p w14:paraId="4DA89218" w14:textId="77777777" w:rsidR="0065586C" w:rsidRPr="002029AF" w:rsidRDefault="0065586C" w:rsidP="003566F1">
            <w:pPr>
              <w:pStyle w:val="ARfintablebodyrightbold"/>
            </w:pPr>
            <w:r w:rsidRPr="002029AF">
              <w:t>166.5</w:t>
            </w:r>
          </w:p>
        </w:tc>
      </w:tr>
      <w:tr w:rsidR="0065586C" w:rsidRPr="002029AF" w14:paraId="6C4BA5C6" w14:textId="77777777" w:rsidTr="003566F1">
        <w:tc>
          <w:tcPr>
            <w:tcW w:w="7369" w:type="dxa"/>
            <w:tcBorders>
              <w:bottom w:val="single" w:sz="4" w:space="0" w:color="auto"/>
            </w:tcBorders>
            <w:hideMark/>
          </w:tcPr>
          <w:p w14:paraId="3C4ED7B5" w14:textId="6AEC5751" w:rsidR="0065586C" w:rsidRPr="002029AF" w:rsidRDefault="0065586C" w:rsidP="003566F1">
            <w:pPr>
              <w:pStyle w:val="ARfintablebodybold"/>
            </w:pPr>
            <w:r w:rsidRPr="002029AF">
              <w:t>Net</w:t>
            </w:r>
            <w:r w:rsidR="000A5329" w:rsidRPr="002029AF">
              <w:t xml:space="preserve"> </w:t>
            </w:r>
            <w:r w:rsidRPr="002029AF">
              <w:t>assets</w:t>
            </w:r>
          </w:p>
        </w:tc>
        <w:tc>
          <w:tcPr>
            <w:tcW w:w="1134" w:type="dxa"/>
            <w:tcBorders>
              <w:bottom w:val="single" w:sz="4" w:space="0" w:color="auto"/>
            </w:tcBorders>
            <w:shd w:val="clear" w:color="auto" w:fill="E7E6E6"/>
            <w:noWrap/>
            <w:hideMark/>
          </w:tcPr>
          <w:p w14:paraId="37B60B4D" w14:textId="77777777" w:rsidR="0065586C" w:rsidRPr="002029AF" w:rsidRDefault="0065586C" w:rsidP="003566F1">
            <w:pPr>
              <w:pStyle w:val="ARfintablebodyrightbold"/>
            </w:pPr>
            <w:r w:rsidRPr="002029AF">
              <w:t>26,857.7</w:t>
            </w:r>
          </w:p>
        </w:tc>
        <w:tc>
          <w:tcPr>
            <w:tcW w:w="1134" w:type="dxa"/>
            <w:tcBorders>
              <w:bottom w:val="single" w:sz="4" w:space="0" w:color="auto"/>
            </w:tcBorders>
            <w:noWrap/>
            <w:hideMark/>
          </w:tcPr>
          <w:p w14:paraId="5DDC6CED" w14:textId="77777777" w:rsidR="0065586C" w:rsidRPr="002029AF" w:rsidRDefault="0065586C" w:rsidP="003566F1">
            <w:pPr>
              <w:pStyle w:val="ARfintablebodyrightbold"/>
            </w:pPr>
            <w:r w:rsidRPr="002029AF">
              <w:t>26,985.3</w:t>
            </w:r>
          </w:p>
        </w:tc>
      </w:tr>
      <w:tr w:rsidR="0065586C" w:rsidRPr="002029AF" w14:paraId="475BF509" w14:textId="77777777" w:rsidTr="003566F1">
        <w:tc>
          <w:tcPr>
            <w:tcW w:w="9637" w:type="dxa"/>
            <w:gridSpan w:val="3"/>
            <w:tcBorders>
              <w:top w:val="single" w:sz="4" w:space="0" w:color="auto"/>
              <w:bottom w:val="single" w:sz="4" w:space="0" w:color="A6A6A6"/>
            </w:tcBorders>
            <w:hideMark/>
          </w:tcPr>
          <w:p w14:paraId="2D23896D" w14:textId="77777777" w:rsidR="0065586C" w:rsidRPr="002029AF" w:rsidRDefault="0065586C" w:rsidP="003566F1">
            <w:pPr>
              <w:pStyle w:val="ARfintablebodybold"/>
            </w:pPr>
            <w:r w:rsidRPr="002029AF">
              <w:t>Equity</w:t>
            </w:r>
          </w:p>
        </w:tc>
      </w:tr>
      <w:tr w:rsidR="0065586C" w:rsidRPr="002029AF" w14:paraId="5CC6A916" w14:textId="77777777" w:rsidTr="003566F1">
        <w:tc>
          <w:tcPr>
            <w:tcW w:w="7369" w:type="dxa"/>
            <w:tcBorders>
              <w:top w:val="single" w:sz="4" w:space="0" w:color="A6A6A6"/>
              <w:bottom w:val="single" w:sz="4" w:space="0" w:color="A6A6A6"/>
            </w:tcBorders>
            <w:hideMark/>
          </w:tcPr>
          <w:p w14:paraId="2DD43D53" w14:textId="0677E159" w:rsidR="0065586C" w:rsidRPr="002029AF" w:rsidRDefault="0065586C" w:rsidP="003566F1">
            <w:pPr>
              <w:pStyle w:val="ARfintablebody"/>
            </w:pPr>
            <w:r w:rsidRPr="002029AF">
              <w:t>Accumulated</w:t>
            </w:r>
            <w:r w:rsidR="000A5329" w:rsidRPr="002029AF">
              <w:t xml:space="preserve"> </w:t>
            </w:r>
            <w:r w:rsidRPr="002029AF">
              <w:t>surplus/(deficit)</w:t>
            </w:r>
          </w:p>
        </w:tc>
        <w:tc>
          <w:tcPr>
            <w:tcW w:w="1134" w:type="dxa"/>
            <w:tcBorders>
              <w:top w:val="single" w:sz="4" w:space="0" w:color="A6A6A6"/>
              <w:bottom w:val="single" w:sz="4" w:space="0" w:color="A6A6A6"/>
            </w:tcBorders>
            <w:shd w:val="clear" w:color="auto" w:fill="E7E6E6"/>
            <w:noWrap/>
            <w:hideMark/>
          </w:tcPr>
          <w:p w14:paraId="424177F0" w14:textId="77777777" w:rsidR="0065586C" w:rsidRPr="002029AF" w:rsidRDefault="0065586C" w:rsidP="003566F1">
            <w:pPr>
              <w:pStyle w:val="ARfintablebodyright"/>
            </w:pPr>
            <w:r w:rsidRPr="002029AF">
              <w:t>(783.8)</w:t>
            </w:r>
          </w:p>
        </w:tc>
        <w:tc>
          <w:tcPr>
            <w:tcW w:w="1134" w:type="dxa"/>
            <w:tcBorders>
              <w:top w:val="single" w:sz="4" w:space="0" w:color="A6A6A6"/>
              <w:bottom w:val="single" w:sz="4" w:space="0" w:color="A6A6A6"/>
            </w:tcBorders>
            <w:noWrap/>
            <w:hideMark/>
          </w:tcPr>
          <w:p w14:paraId="64A30368" w14:textId="77777777" w:rsidR="0065586C" w:rsidRPr="002029AF" w:rsidRDefault="0065586C" w:rsidP="003566F1">
            <w:pPr>
              <w:pStyle w:val="ARfintablebodyright"/>
            </w:pPr>
            <w:r w:rsidRPr="002029AF">
              <w:t>(585.1)</w:t>
            </w:r>
          </w:p>
        </w:tc>
      </w:tr>
      <w:tr w:rsidR="0065586C" w:rsidRPr="002029AF" w14:paraId="32F52D3F" w14:textId="77777777" w:rsidTr="003566F1">
        <w:tc>
          <w:tcPr>
            <w:tcW w:w="7369" w:type="dxa"/>
            <w:tcBorders>
              <w:top w:val="single" w:sz="4" w:space="0" w:color="A6A6A6"/>
              <w:bottom w:val="single" w:sz="4" w:space="0" w:color="A6A6A6"/>
            </w:tcBorders>
            <w:hideMark/>
          </w:tcPr>
          <w:p w14:paraId="4C5197F1" w14:textId="04308A14" w:rsidR="0065586C" w:rsidRPr="002029AF" w:rsidRDefault="0065586C" w:rsidP="003566F1">
            <w:pPr>
              <w:pStyle w:val="ARfintablebody"/>
            </w:pPr>
            <w:r w:rsidRPr="002029AF">
              <w:t>Physical</w:t>
            </w:r>
            <w:r w:rsidR="000A5329" w:rsidRPr="002029AF">
              <w:t xml:space="preserve"> </w:t>
            </w:r>
            <w:r w:rsidRPr="002029AF">
              <w:t>asset</w:t>
            </w:r>
            <w:r w:rsidR="000A5329" w:rsidRPr="002029AF">
              <w:t xml:space="preserve"> </w:t>
            </w:r>
            <w:r w:rsidRPr="002029AF">
              <w:t>revaluations</w:t>
            </w:r>
            <w:r w:rsidR="000A5329" w:rsidRPr="002029AF">
              <w:t xml:space="preserve"> </w:t>
            </w:r>
            <w:r w:rsidRPr="002029AF">
              <w:t>surplus</w:t>
            </w:r>
          </w:p>
        </w:tc>
        <w:tc>
          <w:tcPr>
            <w:tcW w:w="1134" w:type="dxa"/>
            <w:tcBorders>
              <w:top w:val="single" w:sz="4" w:space="0" w:color="A6A6A6"/>
              <w:bottom w:val="single" w:sz="4" w:space="0" w:color="A6A6A6"/>
            </w:tcBorders>
            <w:shd w:val="clear" w:color="auto" w:fill="E7E6E6"/>
            <w:noWrap/>
            <w:hideMark/>
          </w:tcPr>
          <w:p w14:paraId="713EE86B" w14:textId="77777777" w:rsidR="0065586C" w:rsidRPr="002029AF" w:rsidRDefault="0065586C" w:rsidP="003566F1">
            <w:pPr>
              <w:pStyle w:val="ARfintablebodyright"/>
            </w:pPr>
            <w:r w:rsidRPr="002029AF">
              <w:t>6,697.9</w:t>
            </w:r>
          </w:p>
        </w:tc>
        <w:tc>
          <w:tcPr>
            <w:tcW w:w="1134" w:type="dxa"/>
            <w:tcBorders>
              <w:top w:val="single" w:sz="4" w:space="0" w:color="A6A6A6"/>
              <w:bottom w:val="single" w:sz="4" w:space="0" w:color="A6A6A6"/>
            </w:tcBorders>
            <w:noWrap/>
            <w:hideMark/>
          </w:tcPr>
          <w:p w14:paraId="156731FB" w14:textId="77777777" w:rsidR="0065586C" w:rsidRPr="002029AF" w:rsidRDefault="0065586C" w:rsidP="003566F1">
            <w:pPr>
              <w:pStyle w:val="ARfintablebodyright"/>
            </w:pPr>
            <w:r w:rsidRPr="002029AF">
              <w:t>6,715.3</w:t>
            </w:r>
          </w:p>
        </w:tc>
      </w:tr>
      <w:tr w:rsidR="0065586C" w:rsidRPr="002029AF" w14:paraId="1DAF986D" w14:textId="77777777" w:rsidTr="003566F1">
        <w:tc>
          <w:tcPr>
            <w:tcW w:w="7369" w:type="dxa"/>
            <w:tcBorders>
              <w:top w:val="single" w:sz="4" w:space="0" w:color="A6A6A6"/>
            </w:tcBorders>
            <w:hideMark/>
          </w:tcPr>
          <w:p w14:paraId="02D5932C" w14:textId="57C64B89" w:rsidR="0065586C" w:rsidRPr="002029AF" w:rsidRDefault="0065586C" w:rsidP="003566F1">
            <w:pPr>
              <w:pStyle w:val="ARfintablebody"/>
            </w:pPr>
            <w:r w:rsidRPr="002029AF">
              <w:t>Contributed</w:t>
            </w:r>
            <w:r w:rsidR="000A5329" w:rsidRPr="002029AF">
              <w:t xml:space="preserve"> </w:t>
            </w:r>
            <w:r w:rsidRPr="002029AF">
              <w:t>capital</w:t>
            </w:r>
          </w:p>
        </w:tc>
        <w:tc>
          <w:tcPr>
            <w:tcW w:w="1134" w:type="dxa"/>
            <w:tcBorders>
              <w:top w:val="single" w:sz="4" w:space="0" w:color="A6A6A6"/>
            </w:tcBorders>
            <w:shd w:val="clear" w:color="auto" w:fill="E7E6E6"/>
            <w:noWrap/>
            <w:hideMark/>
          </w:tcPr>
          <w:p w14:paraId="567BA4D2" w14:textId="77777777" w:rsidR="0065586C" w:rsidRPr="002029AF" w:rsidRDefault="0065586C" w:rsidP="003566F1">
            <w:pPr>
              <w:pStyle w:val="ARfintablebodyright"/>
            </w:pPr>
            <w:r w:rsidRPr="002029AF">
              <w:t>20,943.6</w:t>
            </w:r>
          </w:p>
        </w:tc>
        <w:tc>
          <w:tcPr>
            <w:tcW w:w="1134" w:type="dxa"/>
            <w:tcBorders>
              <w:top w:val="single" w:sz="4" w:space="0" w:color="A6A6A6"/>
            </w:tcBorders>
            <w:noWrap/>
            <w:hideMark/>
          </w:tcPr>
          <w:p w14:paraId="606F0214" w14:textId="77777777" w:rsidR="0065586C" w:rsidRPr="002029AF" w:rsidRDefault="0065586C" w:rsidP="003566F1">
            <w:pPr>
              <w:pStyle w:val="ARfintablebodyright"/>
            </w:pPr>
            <w:r w:rsidRPr="002029AF">
              <w:t>20,855.1</w:t>
            </w:r>
          </w:p>
        </w:tc>
      </w:tr>
      <w:tr w:rsidR="0065586C" w:rsidRPr="002029AF" w14:paraId="5056FFF0" w14:textId="77777777" w:rsidTr="003566F1">
        <w:tc>
          <w:tcPr>
            <w:tcW w:w="7369" w:type="dxa"/>
            <w:hideMark/>
          </w:tcPr>
          <w:p w14:paraId="74775B4C" w14:textId="2F66F618" w:rsidR="0065586C" w:rsidRPr="002029AF" w:rsidRDefault="0065586C" w:rsidP="003566F1">
            <w:pPr>
              <w:pStyle w:val="ARfintablebodybold"/>
            </w:pPr>
            <w:r w:rsidRPr="002029AF">
              <w:t>Net</w:t>
            </w:r>
            <w:r w:rsidR="000A5329" w:rsidRPr="002029AF">
              <w:t xml:space="preserve"> </w:t>
            </w:r>
            <w:r w:rsidRPr="002029AF">
              <w:t>worth</w:t>
            </w:r>
          </w:p>
        </w:tc>
        <w:tc>
          <w:tcPr>
            <w:tcW w:w="1134" w:type="dxa"/>
            <w:shd w:val="clear" w:color="auto" w:fill="E7E6E6"/>
            <w:noWrap/>
            <w:hideMark/>
          </w:tcPr>
          <w:p w14:paraId="21F65A50" w14:textId="77777777" w:rsidR="0065586C" w:rsidRPr="002029AF" w:rsidRDefault="0065586C" w:rsidP="003566F1">
            <w:pPr>
              <w:pStyle w:val="ARfintablebodyrightbold"/>
            </w:pPr>
            <w:r w:rsidRPr="002029AF">
              <w:t>26,857.7</w:t>
            </w:r>
          </w:p>
        </w:tc>
        <w:tc>
          <w:tcPr>
            <w:tcW w:w="1134" w:type="dxa"/>
            <w:noWrap/>
            <w:hideMark/>
          </w:tcPr>
          <w:p w14:paraId="02F37187" w14:textId="77777777" w:rsidR="0065586C" w:rsidRPr="002029AF" w:rsidRDefault="0065586C" w:rsidP="003566F1">
            <w:pPr>
              <w:pStyle w:val="ARfintablebodyrightbold"/>
            </w:pPr>
            <w:r w:rsidRPr="002029AF">
              <w:t>26,985.3</w:t>
            </w:r>
          </w:p>
        </w:tc>
      </w:tr>
    </w:tbl>
    <w:p w14:paraId="34A5875D" w14:textId="77777777" w:rsidR="0065586C" w:rsidRPr="002029AF" w:rsidRDefault="0065586C" w:rsidP="0065586C">
      <w:pPr>
        <w:pStyle w:val="ARfintablefootnote"/>
        <w:rPr>
          <w:lang w:eastAsia="en-AU"/>
        </w:rPr>
      </w:pPr>
      <w:r w:rsidRPr="002029AF">
        <w:rPr>
          <w:lang w:eastAsia="en-AU"/>
        </w:rPr>
        <w:t>Note:</w:t>
      </w:r>
    </w:p>
    <w:p w14:paraId="4D46B7DA" w14:textId="5C055CD5" w:rsidR="0065586C" w:rsidRPr="002029AF" w:rsidRDefault="0065586C" w:rsidP="0065586C">
      <w:pPr>
        <w:pStyle w:val="ARfintablefootnoteindent"/>
      </w:pPr>
      <w:r w:rsidRPr="002029AF">
        <w:t>(i)</w:t>
      </w:r>
      <w:r w:rsidRPr="002029AF">
        <w:tab/>
        <w:t>In</w:t>
      </w:r>
      <w:r w:rsidR="000A5329" w:rsidRPr="002029AF">
        <w:t xml:space="preserve"> </w:t>
      </w:r>
      <w:r w:rsidRPr="002029AF">
        <w:t>2019–20,</w:t>
      </w:r>
      <w:r w:rsidR="000A5329" w:rsidRPr="002029AF">
        <w:t xml:space="preserve"> </w:t>
      </w:r>
      <w:r w:rsidRPr="002029AF">
        <w:t>the</w:t>
      </w:r>
      <w:r w:rsidR="000A5329" w:rsidRPr="002029AF">
        <w:t xml:space="preserve"> </w:t>
      </w:r>
      <w:r w:rsidRPr="002029AF">
        <w:t>Director</w:t>
      </w:r>
      <w:r w:rsidR="000A5329" w:rsidRPr="002029AF">
        <w:t xml:space="preserve"> </w:t>
      </w:r>
      <w:r w:rsidRPr="002029AF">
        <w:t>of</w:t>
      </w:r>
      <w:r w:rsidR="000A5329" w:rsidRPr="002029AF">
        <w:t xml:space="preserve"> </w:t>
      </w:r>
      <w:r w:rsidRPr="002029AF">
        <w:t>Housing</w:t>
      </w:r>
      <w:r w:rsidR="000A5329" w:rsidRPr="002029AF">
        <w:t xml:space="preserve"> </w:t>
      </w:r>
      <w:r w:rsidRPr="002029AF">
        <w:t>transitioned</w:t>
      </w:r>
      <w:r w:rsidR="000A5329" w:rsidRPr="002029AF">
        <w:t xml:space="preserve"> </w:t>
      </w:r>
      <w:r w:rsidRPr="002029AF">
        <w:t>to</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of</w:t>
      </w:r>
      <w:r w:rsidR="000A5329" w:rsidRPr="002029AF">
        <w:t xml:space="preserve"> </w:t>
      </w:r>
      <w:r w:rsidRPr="002029AF">
        <w:t>Treasury</w:t>
      </w:r>
      <w:r w:rsidR="000A5329" w:rsidRPr="002029AF">
        <w:t xml:space="preserve"> </w:t>
      </w:r>
      <w:r w:rsidRPr="002029AF">
        <w:t>and</w:t>
      </w:r>
      <w:r w:rsidR="000A5329" w:rsidRPr="002029AF">
        <w:t xml:space="preserve"> </w:t>
      </w:r>
      <w:r w:rsidRPr="002029AF">
        <w:t>Finance</w:t>
      </w:r>
      <w:r w:rsidR="000A5329" w:rsidRPr="002029AF">
        <w:t xml:space="preserve"> </w:t>
      </w:r>
      <w:r w:rsidRPr="002029AF">
        <w:t>Central</w:t>
      </w:r>
      <w:r w:rsidR="000A5329" w:rsidRPr="002029AF">
        <w:t xml:space="preserve"> </w:t>
      </w:r>
      <w:r w:rsidRPr="002029AF">
        <w:t>Banking</w:t>
      </w:r>
      <w:r w:rsidR="000A5329" w:rsidRPr="002029AF">
        <w:t xml:space="preserve"> </w:t>
      </w:r>
      <w:r w:rsidRPr="002029AF">
        <w:t>System.</w:t>
      </w:r>
      <w:r w:rsidR="000A5329" w:rsidRPr="002029AF">
        <w:t xml:space="preserve"> </w:t>
      </w:r>
      <w:r w:rsidRPr="002029AF">
        <w:t>This</w:t>
      </w:r>
      <w:r w:rsidR="000A5329" w:rsidRPr="002029AF">
        <w:t xml:space="preserve"> </w:t>
      </w:r>
      <w:r w:rsidRPr="002029AF">
        <w:t>transition</w:t>
      </w:r>
      <w:r w:rsidR="000A5329" w:rsidRPr="002029AF">
        <w:t xml:space="preserve"> </w:t>
      </w:r>
      <w:r w:rsidRPr="002029AF">
        <w:t>required</w:t>
      </w:r>
      <w:r w:rsidR="000A5329" w:rsidRPr="002029AF">
        <w:t xml:space="preserve"> </w:t>
      </w:r>
      <w:r w:rsidRPr="002029AF">
        <w:t>all</w:t>
      </w:r>
      <w:r w:rsidR="000A5329" w:rsidRPr="002029AF">
        <w:t xml:space="preserve"> </w:t>
      </w:r>
      <w:r w:rsidR="00160B3A" w:rsidRPr="002029AF">
        <w:t>term deposit</w:t>
      </w:r>
      <w:r w:rsidR="00A06D66" w:rsidRPr="002029AF">
        <w:t xml:space="preserve">s with </w:t>
      </w:r>
      <w:r w:rsidRPr="002029AF">
        <w:t>Treasury</w:t>
      </w:r>
      <w:r w:rsidR="000A5329" w:rsidRPr="002029AF">
        <w:t xml:space="preserve"> </w:t>
      </w:r>
      <w:r w:rsidRPr="002029AF">
        <w:t>Corporat</w:t>
      </w:r>
      <w:r w:rsidR="00A06D66" w:rsidRPr="002029AF">
        <w:t>ion</w:t>
      </w:r>
      <w:r w:rsidR="000A5329" w:rsidRPr="002029AF">
        <w:t xml:space="preserve"> </w:t>
      </w:r>
      <w:r w:rsidR="00A06D66" w:rsidRPr="002029AF">
        <w:t xml:space="preserve">of </w:t>
      </w:r>
      <w:r w:rsidRPr="002029AF">
        <w:t>Victoria</w:t>
      </w:r>
      <w:r w:rsidR="000A5329" w:rsidRPr="002029AF">
        <w:t xml:space="preserve"> </w:t>
      </w:r>
      <w:r w:rsidRPr="002029AF">
        <w:t>maturing</w:t>
      </w:r>
      <w:r w:rsidR="000A5329" w:rsidRPr="002029AF">
        <w:t xml:space="preserve"> </w:t>
      </w:r>
      <w:r w:rsidRPr="002029AF">
        <w:t>in</w:t>
      </w:r>
      <w:r w:rsidR="000A5329" w:rsidRPr="002029AF">
        <w:t xml:space="preserve"> </w:t>
      </w:r>
      <w:r w:rsidRPr="002029AF">
        <w:t>2019–20</w:t>
      </w:r>
      <w:r w:rsidR="000A5329" w:rsidRPr="002029AF">
        <w:t xml:space="preserve"> </w:t>
      </w:r>
      <w:r w:rsidRPr="002029AF">
        <w:t>to</w:t>
      </w:r>
      <w:r w:rsidR="000A5329" w:rsidRPr="002029AF">
        <w:t xml:space="preserve"> </w:t>
      </w:r>
      <w:r w:rsidRPr="002029AF">
        <w:t>be</w:t>
      </w:r>
      <w:r w:rsidR="000A5329" w:rsidRPr="002029AF">
        <w:t xml:space="preserve"> </w:t>
      </w:r>
      <w:r w:rsidRPr="002029AF">
        <w:t>transferred</w:t>
      </w:r>
      <w:r w:rsidR="000A5329" w:rsidRPr="002029AF">
        <w:t xml:space="preserve"> </w:t>
      </w:r>
      <w:r w:rsidRPr="002029AF">
        <w:t>into</w:t>
      </w:r>
      <w:r w:rsidR="000A5329" w:rsidRPr="002029AF">
        <w:t xml:space="preserve"> </w:t>
      </w:r>
      <w:r w:rsidRPr="002029AF">
        <w:t>a</w:t>
      </w:r>
      <w:r w:rsidR="000A5329" w:rsidRPr="002029AF">
        <w:t xml:space="preserve"> </w:t>
      </w:r>
      <w:r w:rsidRPr="002029AF">
        <w:t>Central</w:t>
      </w:r>
      <w:r w:rsidR="000A5329" w:rsidRPr="002029AF">
        <w:t xml:space="preserve"> </w:t>
      </w:r>
      <w:r w:rsidRPr="002029AF">
        <w:t>Banking</w:t>
      </w:r>
      <w:r w:rsidR="000A5329" w:rsidRPr="002029AF">
        <w:t xml:space="preserve"> </w:t>
      </w:r>
      <w:r w:rsidRPr="002029AF">
        <w:t>System</w:t>
      </w:r>
      <w:r w:rsidR="000A5329" w:rsidRPr="002029AF">
        <w:t xml:space="preserve"> </w:t>
      </w:r>
      <w:r w:rsidRPr="002029AF">
        <w:t>at-call</w:t>
      </w:r>
      <w:r w:rsidR="000A5329" w:rsidRPr="002029AF">
        <w:t xml:space="preserve"> </w:t>
      </w:r>
      <w:r w:rsidRPr="002029AF">
        <w:t>account,</w:t>
      </w:r>
      <w:r w:rsidR="000A5329" w:rsidRPr="002029AF">
        <w:t xml:space="preserve"> </w:t>
      </w:r>
      <w:r w:rsidRPr="002029AF">
        <w:t>resulting</w:t>
      </w:r>
      <w:r w:rsidR="000A5329" w:rsidRPr="002029AF">
        <w:t xml:space="preserve"> </w:t>
      </w:r>
      <w:r w:rsidRPr="002029AF">
        <w:t>in</w:t>
      </w:r>
      <w:r w:rsidR="000A5329" w:rsidRPr="002029AF">
        <w:t xml:space="preserve"> </w:t>
      </w:r>
      <w:r w:rsidRPr="002029AF">
        <w:t>a</w:t>
      </w:r>
      <w:r w:rsidR="000A5329" w:rsidRPr="002029AF">
        <w:t xml:space="preserve"> </w:t>
      </w:r>
      <w:r w:rsidRPr="002029AF">
        <w:t>reallocation</w:t>
      </w:r>
      <w:r w:rsidR="000A5329" w:rsidRPr="002029AF">
        <w:t xml:space="preserve"> </w:t>
      </w:r>
      <w:r w:rsidRPr="002029AF">
        <w:t>of</w:t>
      </w:r>
      <w:r w:rsidR="000A5329" w:rsidRPr="002029AF">
        <w:t xml:space="preserve"> </w:t>
      </w:r>
      <w:r w:rsidRPr="002029AF">
        <w:t>funds</w:t>
      </w:r>
      <w:r w:rsidR="000A5329" w:rsidRPr="002029AF">
        <w:t xml:space="preserve"> </w:t>
      </w:r>
      <w:r w:rsidRPr="002029AF">
        <w:t>from</w:t>
      </w:r>
      <w:r w:rsidR="000A5329" w:rsidRPr="002029AF">
        <w:t xml:space="preserve"> </w:t>
      </w:r>
      <w:r w:rsidRPr="002029AF">
        <w:t>the</w:t>
      </w:r>
      <w:r w:rsidR="000A5329" w:rsidRPr="002029AF">
        <w:t xml:space="preserve"> </w:t>
      </w:r>
      <w:r w:rsidRPr="002029AF">
        <w:t>‘Short-term</w:t>
      </w:r>
      <w:r w:rsidR="000A5329" w:rsidRPr="002029AF">
        <w:t xml:space="preserve"> </w:t>
      </w:r>
      <w:r w:rsidRPr="002029AF">
        <w:t>investments’</w:t>
      </w:r>
      <w:r w:rsidR="000A5329" w:rsidRPr="002029AF">
        <w:t xml:space="preserve"> </w:t>
      </w:r>
      <w:r w:rsidRPr="002029AF">
        <w:t>line</w:t>
      </w:r>
      <w:r w:rsidR="000A5329" w:rsidRPr="002029AF">
        <w:t xml:space="preserve"> </w:t>
      </w:r>
      <w:r w:rsidRPr="002029AF">
        <w:t>to</w:t>
      </w:r>
      <w:r w:rsidR="000A5329" w:rsidRPr="002029AF">
        <w:t xml:space="preserve"> </w:t>
      </w:r>
      <w:r w:rsidRPr="002029AF">
        <w:t>the</w:t>
      </w:r>
      <w:r w:rsidR="000A5329" w:rsidRPr="002029AF">
        <w:t xml:space="preserve"> </w:t>
      </w:r>
      <w:r w:rsidRPr="002029AF">
        <w:t>‘Cash</w:t>
      </w:r>
      <w:r w:rsidR="000A5329" w:rsidRPr="002029AF">
        <w:t xml:space="preserve"> </w:t>
      </w:r>
      <w:r w:rsidRPr="002029AF">
        <w:t>and</w:t>
      </w:r>
      <w:r w:rsidR="000A5329" w:rsidRPr="002029AF">
        <w:t xml:space="preserve"> </w:t>
      </w:r>
      <w:r w:rsidRPr="002029AF">
        <w:t>deposits’</w:t>
      </w:r>
      <w:r w:rsidR="000A5329" w:rsidRPr="002029AF">
        <w:t xml:space="preserve"> </w:t>
      </w:r>
      <w:r w:rsidRPr="002029AF">
        <w:t>line.</w:t>
      </w:r>
    </w:p>
    <w:p w14:paraId="2D080176" w14:textId="77777777" w:rsidR="0065586C" w:rsidRPr="002029AF" w:rsidRDefault="0065586C" w:rsidP="0065586C">
      <w:pPr>
        <w:pStyle w:val="ARbody"/>
      </w:pPr>
      <w:r w:rsidRPr="002029AF">
        <w:br w:type="page"/>
      </w:r>
    </w:p>
    <w:p w14:paraId="272CC87C" w14:textId="3A6C73FF" w:rsidR="0065586C" w:rsidRPr="002029AF" w:rsidRDefault="0065586C" w:rsidP="0065586C">
      <w:pPr>
        <w:pStyle w:val="Heading3"/>
        <w:spacing w:after="240"/>
      </w:pPr>
      <w:bookmarkStart w:id="427" w:name="_Toc51235524"/>
      <w:r w:rsidRPr="002029AF">
        <w:lastRenderedPageBreak/>
        <w:t>Statement</w:t>
      </w:r>
      <w:r w:rsidR="000A5329" w:rsidRPr="002029AF">
        <w:t xml:space="preserve"> </w:t>
      </w:r>
      <w:r w:rsidRPr="002029AF">
        <w:t>of</w:t>
      </w:r>
      <w:r w:rsidR="000A5329" w:rsidRPr="002029AF">
        <w:t xml:space="preserve"> </w:t>
      </w:r>
      <w:r w:rsidRPr="002029AF">
        <w:t>changes</w:t>
      </w:r>
      <w:r w:rsidR="000A5329" w:rsidRPr="002029AF">
        <w:t xml:space="preserve"> </w:t>
      </w:r>
      <w:r w:rsidRPr="002029AF">
        <w:t>in</w:t>
      </w:r>
      <w:r w:rsidR="000A5329" w:rsidRPr="002029AF">
        <w:t xml:space="preserve"> </w:t>
      </w:r>
      <w:r w:rsidRPr="002029AF">
        <w:t>equity</w:t>
      </w:r>
      <w:r w:rsidR="000A5329" w:rsidRPr="002029AF">
        <w:t xml:space="preserve"> </w:t>
      </w:r>
      <w:r w:rsidRPr="002029AF">
        <w:t>for</w:t>
      </w:r>
      <w:r w:rsidR="000A5329" w:rsidRPr="002029AF">
        <w:t xml:space="preserve"> </w:t>
      </w:r>
      <w:r w:rsidRPr="002029AF">
        <w:t>the</w:t>
      </w:r>
      <w:r w:rsidR="000A5329" w:rsidRPr="002029AF">
        <w:t xml:space="preserve"> </w:t>
      </w:r>
      <w:r w:rsidRPr="002029AF">
        <w:t>financial</w:t>
      </w:r>
      <w:r w:rsidR="000A5329" w:rsidRPr="002029AF">
        <w:t xml:space="preserve"> </w:t>
      </w:r>
      <w:r w:rsidRPr="002029AF">
        <w:t>year</w:t>
      </w:r>
      <w:r w:rsidR="000A5329" w:rsidRPr="002029AF">
        <w:t xml:space="preserve"> </w:t>
      </w:r>
      <w:r w:rsidRPr="002029AF">
        <w:t>ended</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bookmarkEnd w:id="427"/>
    </w:p>
    <w:tbl>
      <w:tblPr>
        <w:tblStyle w:val="TableGrid"/>
        <w:tblW w:w="9637" w:type="dxa"/>
        <w:tblLayout w:type="fixed"/>
        <w:tblLook w:val="06A0" w:firstRow="1" w:lastRow="0" w:firstColumn="1" w:lastColumn="0" w:noHBand="1" w:noVBand="1"/>
      </w:tblPr>
      <w:tblGrid>
        <w:gridCol w:w="3965"/>
        <w:gridCol w:w="1418"/>
        <w:gridCol w:w="1418"/>
        <w:gridCol w:w="1418"/>
        <w:gridCol w:w="1418"/>
      </w:tblGrid>
      <w:tr w:rsidR="0065586C" w:rsidRPr="002029AF" w14:paraId="7632EB7D"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3963" w:type="dxa"/>
            <w:tcBorders>
              <w:bottom w:val="single" w:sz="4" w:space="0" w:color="auto"/>
            </w:tcBorders>
            <w:hideMark/>
          </w:tcPr>
          <w:p w14:paraId="7C1414DC" w14:textId="77777777" w:rsidR="0065586C" w:rsidRPr="002029AF" w:rsidRDefault="0065586C" w:rsidP="003566F1">
            <w:pPr>
              <w:pStyle w:val="ARfintablecolhead"/>
            </w:pPr>
          </w:p>
        </w:tc>
        <w:tc>
          <w:tcPr>
            <w:tcW w:w="1418" w:type="dxa"/>
            <w:tcBorders>
              <w:bottom w:val="single" w:sz="4" w:space="0" w:color="auto"/>
            </w:tcBorders>
            <w:hideMark/>
          </w:tcPr>
          <w:p w14:paraId="297137A1" w14:textId="77777777" w:rsidR="0065586C" w:rsidRPr="002029AF" w:rsidRDefault="0065586C" w:rsidP="003566F1">
            <w:pPr>
              <w:pStyle w:val="ARfintablecolheadright"/>
            </w:pPr>
            <w:r w:rsidRPr="002029AF">
              <w:t>Physical</w:t>
            </w:r>
            <w:r w:rsidRPr="002029AF">
              <w:br/>
              <w:t>asset</w:t>
            </w:r>
            <w:r w:rsidRPr="002029AF">
              <w:br/>
              <w:t>revaluation</w:t>
            </w:r>
            <w:r w:rsidRPr="002029AF">
              <w:br/>
              <w:t>surplus</w:t>
            </w:r>
          </w:p>
          <w:p w14:paraId="776FF121" w14:textId="77777777" w:rsidR="0065586C" w:rsidRPr="002029AF" w:rsidRDefault="0065586C" w:rsidP="003566F1">
            <w:pPr>
              <w:pStyle w:val="ARfintablecolheadright"/>
            </w:pPr>
            <w:r w:rsidRPr="002029AF">
              <w:t>$M</w:t>
            </w:r>
          </w:p>
        </w:tc>
        <w:tc>
          <w:tcPr>
            <w:tcW w:w="1418" w:type="dxa"/>
            <w:tcBorders>
              <w:bottom w:val="single" w:sz="4" w:space="0" w:color="auto"/>
            </w:tcBorders>
            <w:hideMark/>
          </w:tcPr>
          <w:p w14:paraId="1C82706F" w14:textId="4B58F4AD" w:rsidR="0065586C" w:rsidRPr="002029AF" w:rsidRDefault="0065586C" w:rsidP="003566F1">
            <w:pPr>
              <w:pStyle w:val="ARfintablecolheadright"/>
            </w:pPr>
            <w:r w:rsidRPr="002029AF">
              <w:t>Accumulated</w:t>
            </w:r>
            <w:r w:rsidR="000A5329" w:rsidRPr="002029AF">
              <w:t xml:space="preserve"> </w:t>
            </w:r>
            <w:r w:rsidRPr="002029AF">
              <w:br/>
              <w:t>surplus/</w:t>
            </w:r>
            <w:r w:rsidRPr="002029AF">
              <w:br/>
              <w:t>(deficit)</w:t>
            </w:r>
          </w:p>
          <w:p w14:paraId="53200619" w14:textId="77777777" w:rsidR="0065586C" w:rsidRPr="002029AF" w:rsidRDefault="0065586C" w:rsidP="003566F1">
            <w:pPr>
              <w:pStyle w:val="ARfintablecolheadright"/>
            </w:pPr>
            <w:r w:rsidRPr="002029AF">
              <w:t>$M</w:t>
            </w:r>
          </w:p>
        </w:tc>
        <w:tc>
          <w:tcPr>
            <w:tcW w:w="1418" w:type="dxa"/>
            <w:tcBorders>
              <w:bottom w:val="single" w:sz="4" w:space="0" w:color="auto"/>
            </w:tcBorders>
            <w:hideMark/>
          </w:tcPr>
          <w:p w14:paraId="0E96DAA1" w14:textId="1C62DF2E" w:rsidR="0065586C" w:rsidRPr="002029AF" w:rsidRDefault="0065586C" w:rsidP="003566F1">
            <w:pPr>
              <w:pStyle w:val="ARfintablecolheadright"/>
            </w:pPr>
            <w:r w:rsidRPr="002029AF">
              <w:t>Contributed</w:t>
            </w:r>
            <w:r w:rsidR="000A5329" w:rsidRPr="002029AF">
              <w:t xml:space="preserve"> </w:t>
            </w:r>
            <w:r w:rsidRPr="002029AF">
              <w:t>capital</w:t>
            </w:r>
          </w:p>
          <w:p w14:paraId="4C4E1B65" w14:textId="77777777" w:rsidR="0065586C" w:rsidRPr="002029AF" w:rsidRDefault="0065586C" w:rsidP="003566F1">
            <w:pPr>
              <w:pStyle w:val="ARfintablecolheadright"/>
            </w:pPr>
            <w:r w:rsidRPr="002029AF">
              <w:t>$M</w:t>
            </w:r>
          </w:p>
        </w:tc>
        <w:tc>
          <w:tcPr>
            <w:tcW w:w="1418" w:type="dxa"/>
            <w:tcBorders>
              <w:bottom w:val="single" w:sz="4" w:space="0" w:color="auto"/>
            </w:tcBorders>
            <w:hideMark/>
          </w:tcPr>
          <w:p w14:paraId="6B7DC16A" w14:textId="77777777" w:rsidR="0065586C" w:rsidRPr="002029AF" w:rsidRDefault="0065586C" w:rsidP="003566F1">
            <w:pPr>
              <w:pStyle w:val="ARfintablecolheadright"/>
            </w:pPr>
            <w:r w:rsidRPr="002029AF">
              <w:t>Total</w:t>
            </w:r>
          </w:p>
          <w:p w14:paraId="5271E389" w14:textId="77777777" w:rsidR="0065586C" w:rsidRPr="002029AF" w:rsidRDefault="0065586C" w:rsidP="003566F1">
            <w:pPr>
              <w:pStyle w:val="ARfintablecolheadright"/>
            </w:pPr>
            <w:r w:rsidRPr="002029AF">
              <w:t>$M</w:t>
            </w:r>
          </w:p>
        </w:tc>
      </w:tr>
      <w:tr w:rsidR="0065586C" w:rsidRPr="002029AF" w14:paraId="1586A517" w14:textId="77777777" w:rsidTr="003566F1">
        <w:tc>
          <w:tcPr>
            <w:tcW w:w="3963" w:type="dxa"/>
            <w:tcBorders>
              <w:top w:val="single" w:sz="4" w:space="0" w:color="auto"/>
              <w:bottom w:val="single" w:sz="4" w:space="0" w:color="A6A6A6"/>
            </w:tcBorders>
            <w:hideMark/>
          </w:tcPr>
          <w:p w14:paraId="1A8109C2" w14:textId="00DA4DFB" w:rsidR="0065586C" w:rsidRPr="002029AF" w:rsidRDefault="0065586C" w:rsidP="003566F1">
            <w:pPr>
              <w:pStyle w:val="ARfintablebodybold"/>
            </w:pPr>
            <w:r w:rsidRPr="002029AF">
              <w:t>Balance</w:t>
            </w:r>
            <w:r w:rsidR="000A5329" w:rsidRPr="002029AF">
              <w:t xml:space="preserve"> </w:t>
            </w:r>
            <w:r w:rsidRPr="002029AF">
              <w:t>at</w:t>
            </w:r>
            <w:r w:rsidR="000A5329" w:rsidRPr="002029AF">
              <w:t xml:space="preserve"> </w:t>
            </w:r>
            <w:r w:rsidRPr="002029AF">
              <w:t>1</w:t>
            </w:r>
            <w:r w:rsidR="000A5329" w:rsidRPr="002029AF">
              <w:t xml:space="preserve"> </w:t>
            </w:r>
            <w:r w:rsidRPr="002029AF">
              <w:t>July</w:t>
            </w:r>
            <w:r w:rsidR="000A5329" w:rsidRPr="002029AF">
              <w:t xml:space="preserve"> </w:t>
            </w:r>
            <w:r w:rsidRPr="002029AF">
              <w:t>2018</w:t>
            </w:r>
          </w:p>
        </w:tc>
        <w:tc>
          <w:tcPr>
            <w:tcW w:w="1418" w:type="dxa"/>
            <w:tcBorders>
              <w:top w:val="single" w:sz="4" w:space="0" w:color="auto"/>
              <w:bottom w:val="single" w:sz="4" w:space="0" w:color="A6A6A6"/>
            </w:tcBorders>
            <w:noWrap/>
            <w:hideMark/>
          </w:tcPr>
          <w:p w14:paraId="636007F4" w14:textId="77777777" w:rsidR="0065586C" w:rsidRPr="002029AF" w:rsidRDefault="0065586C" w:rsidP="003566F1">
            <w:pPr>
              <w:pStyle w:val="ARfintablebodyrightbold"/>
            </w:pPr>
            <w:r w:rsidRPr="002029AF">
              <w:t>8,001.5</w:t>
            </w:r>
          </w:p>
        </w:tc>
        <w:tc>
          <w:tcPr>
            <w:tcW w:w="1418" w:type="dxa"/>
            <w:tcBorders>
              <w:top w:val="single" w:sz="4" w:space="0" w:color="auto"/>
              <w:bottom w:val="single" w:sz="4" w:space="0" w:color="A6A6A6"/>
            </w:tcBorders>
            <w:noWrap/>
            <w:hideMark/>
          </w:tcPr>
          <w:p w14:paraId="761E097C" w14:textId="77777777" w:rsidR="0065586C" w:rsidRPr="002029AF" w:rsidRDefault="0065586C" w:rsidP="003566F1">
            <w:pPr>
              <w:pStyle w:val="ARfintablebodyrightbold"/>
            </w:pPr>
            <w:r w:rsidRPr="002029AF">
              <w:t>(308.9)</w:t>
            </w:r>
          </w:p>
        </w:tc>
        <w:tc>
          <w:tcPr>
            <w:tcW w:w="1418" w:type="dxa"/>
            <w:tcBorders>
              <w:top w:val="single" w:sz="4" w:space="0" w:color="auto"/>
              <w:bottom w:val="single" w:sz="4" w:space="0" w:color="A6A6A6"/>
            </w:tcBorders>
            <w:noWrap/>
            <w:hideMark/>
          </w:tcPr>
          <w:p w14:paraId="795EBED2" w14:textId="77777777" w:rsidR="0065586C" w:rsidRPr="002029AF" w:rsidRDefault="0065586C" w:rsidP="003566F1">
            <w:pPr>
              <w:pStyle w:val="ARfintablebodyrightbold"/>
            </w:pPr>
            <w:r w:rsidRPr="002029AF">
              <w:t>20,991.5</w:t>
            </w:r>
          </w:p>
        </w:tc>
        <w:tc>
          <w:tcPr>
            <w:tcW w:w="1418" w:type="dxa"/>
            <w:tcBorders>
              <w:top w:val="single" w:sz="4" w:space="0" w:color="auto"/>
              <w:bottom w:val="single" w:sz="4" w:space="0" w:color="A6A6A6"/>
            </w:tcBorders>
            <w:noWrap/>
            <w:hideMark/>
          </w:tcPr>
          <w:p w14:paraId="42CB8A55" w14:textId="77777777" w:rsidR="0065586C" w:rsidRPr="002029AF" w:rsidRDefault="0065586C" w:rsidP="003566F1">
            <w:pPr>
              <w:pStyle w:val="ARfintablebodyrightbold"/>
            </w:pPr>
            <w:r w:rsidRPr="002029AF">
              <w:t>28,684.1</w:t>
            </w:r>
          </w:p>
        </w:tc>
      </w:tr>
      <w:tr w:rsidR="0065586C" w:rsidRPr="002029AF" w14:paraId="5C6C00C0" w14:textId="77777777" w:rsidTr="003566F1">
        <w:tc>
          <w:tcPr>
            <w:tcW w:w="3963" w:type="dxa"/>
            <w:tcBorders>
              <w:top w:val="single" w:sz="4" w:space="0" w:color="A6A6A6"/>
              <w:bottom w:val="single" w:sz="4" w:space="0" w:color="A6A6A6"/>
            </w:tcBorders>
            <w:hideMark/>
          </w:tcPr>
          <w:p w14:paraId="69781E66" w14:textId="48EFB72F" w:rsidR="0065586C" w:rsidRPr="002029AF" w:rsidRDefault="0065586C" w:rsidP="003566F1">
            <w:pPr>
              <w:pStyle w:val="ARfintablebody"/>
            </w:pPr>
            <w:r w:rsidRPr="002029AF">
              <w:t>Net</w:t>
            </w:r>
            <w:r w:rsidR="000A5329" w:rsidRPr="002029AF">
              <w:t xml:space="preserve"> </w:t>
            </w:r>
            <w:r w:rsidRPr="002029AF">
              <w:t>result</w:t>
            </w:r>
            <w:r w:rsidR="000A5329" w:rsidRPr="002029AF">
              <w:t xml:space="preserve"> </w:t>
            </w:r>
            <w:r w:rsidRPr="002029AF">
              <w:t>for</w:t>
            </w:r>
            <w:r w:rsidR="000A5329" w:rsidRPr="002029AF">
              <w:t xml:space="preserve"> </w:t>
            </w:r>
            <w:r w:rsidRPr="002029AF">
              <w:t>the</w:t>
            </w:r>
            <w:r w:rsidR="000A5329" w:rsidRPr="002029AF">
              <w:t xml:space="preserve"> </w:t>
            </w:r>
            <w:r w:rsidRPr="002029AF">
              <w:t>year</w:t>
            </w:r>
          </w:p>
        </w:tc>
        <w:tc>
          <w:tcPr>
            <w:tcW w:w="1418" w:type="dxa"/>
            <w:tcBorders>
              <w:top w:val="single" w:sz="4" w:space="0" w:color="A6A6A6"/>
              <w:bottom w:val="single" w:sz="4" w:space="0" w:color="A6A6A6"/>
            </w:tcBorders>
            <w:noWrap/>
            <w:hideMark/>
          </w:tcPr>
          <w:p w14:paraId="40330DFD" w14:textId="77777777" w:rsidR="0065586C" w:rsidRPr="002029AF" w:rsidRDefault="0065586C" w:rsidP="003566F1">
            <w:pPr>
              <w:pStyle w:val="ARfintablebodyright"/>
            </w:pPr>
            <w:r w:rsidRPr="002029AF">
              <w:t>–</w:t>
            </w:r>
          </w:p>
        </w:tc>
        <w:tc>
          <w:tcPr>
            <w:tcW w:w="1418" w:type="dxa"/>
            <w:tcBorders>
              <w:top w:val="single" w:sz="4" w:space="0" w:color="A6A6A6"/>
              <w:bottom w:val="single" w:sz="4" w:space="0" w:color="A6A6A6"/>
            </w:tcBorders>
            <w:noWrap/>
            <w:hideMark/>
          </w:tcPr>
          <w:p w14:paraId="01AC8213" w14:textId="77777777" w:rsidR="0065586C" w:rsidRPr="002029AF" w:rsidRDefault="0065586C" w:rsidP="003566F1">
            <w:pPr>
              <w:pStyle w:val="ARfintablebodyright"/>
            </w:pPr>
            <w:r w:rsidRPr="002029AF">
              <w:t>(273.7)</w:t>
            </w:r>
          </w:p>
        </w:tc>
        <w:tc>
          <w:tcPr>
            <w:tcW w:w="1418" w:type="dxa"/>
            <w:tcBorders>
              <w:top w:val="single" w:sz="4" w:space="0" w:color="A6A6A6"/>
              <w:bottom w:val="single" w:sz="4" w:space="0" w:color="A6A6A6"/>
            </w:tcBorders>
            <w:noWrap/>
            <w:hideMark/>
          </w:tcPr>
          <w:p w14:paraId="5206BA3D" w14:textId="77777777" w:rsidR="0065586C" w:rsidRPr="002029AF" w:rsidRDefault="0065586C" w:rsidP="003566F1">
            <w:pPr>
              <w:pStyle w:val="ARfintablebodyright"/>
            </w:pPr>
            <w:r w:rsidRPr="002029AF">
              <w:t>–</w:t>
            </w:r>
          </w:p>
        </w:tc>
        <w:tc>
          <w:tcPr>
            <w:tcW w:w="1418" w:type="dxa"/>
            <w:tcBorders>
              <w:top w:val="single" w:sz="4" w:space="0" w:color="A6A6A6"/>
              <w:bottom w:val="single" w:sz="4" w:space="0" w:color="A6A6A6"/>
            </w:tcBorders>
            <w:noWrap/>
            <w:hideMark/>
          </w:tcPr>
          <w:p w14:paraId="67239DDC" w14:textId="77777777" w:rsidR="0065586C" w:rsidRPr="002029AF" w:rsidRDefault="0065586C" w:rsidP="003566F1">
            <w:pPr>
              <w:pStyle w:val="ARfintablebodyright"/>
            </w:pPr>
            <w:r w:rsidRPr="002029AF">
              <w:t>(273.7)</w:t>
            </w:r>
          </w:p>
        </w:tc>
      </w:tr>
      <w:tr w:rsidR="0065586C" w:rsidRPr="002029AF" w14:paraId="0FC7CD7E" w14:textId="77777777" w:rsidTr="003566F1">
        <w:tc>
          <w:tcPr>
            <w:tcW w:w="3963" w:type="dxa"/>
            <w:tcBorders>
              <w:top w:val="single" w:sz="4" w:space="0" w:color="A6A6A6"/>
              <w:bottom w:val="single" w:sz="4" w:space="0" w:color="A6A6A6"/>
            </w:tcBorders>
            <w:hideMark/>
          </w:tcPr>
          <w:p w14:paraId="36659AF2" w14:textId="72E69544" w:rsidR="0065586C" w:rsidRPr="002029AF" w:rsidRDefault="0065586C" w:rsidP="003566F1">
            <w:pPr>
              <w:pStyle w:val="ARfintablebody"/>
            </w:pPr>
            <w:r w:rsidRPr="002029AF">
              <w:t>Remeasurement</w:t>
            </w:r>
            <w:r w:rsidR="000A5329" w:rsidRPr="002029AF">
              <w:t xml:space="preserve"> </w:t>
            </w:r>
            <w:r w:rsidRPr="002029AF">
              <w:t>of</w:t>
            </w:r>
            <w:r w:rsidR="000A5329" w:rsidRPr="002029AF">
              <w:t xml:space="preserve"> </w:t>
            </w:r>
            <w:r w:rsidRPr="002029AF">
              <w:t>superannuation</w:t>
            </w:r>
            <w:r w:rsidR="000A5329" w:rsidRPr="002029AF">
              <w:t xml:space="preserve"> </w:t>
            </w:r>
            <w:r w:rsidRPr="002029AF">
              <w:t>defined</w:t>
            </w:r>
            <w:r w:rsidR="000A5329" w:rsidRPr="002029AF">
              <w:t xml:space="preserve"> </w:t>
            </w:r>
            <w:r w:rsidRPr="002029AF">
              <w:t>benefit</w:t>
            </w:r>
            <w:r w:rsidR="000A5329" w:rsidRPr="002029AF">
              <w:t xml:space="preserve"> </w:t>
            </w:r>
            <w:r w:rsidRPr="002029AF">
              <w:t>plans</w:t>
            </w:r>
          </w:p>
        </w:tc>
        <w:tc>
          <w:tcPr>
            <w:tcW w:w="1418" w:type="dxa"/>
            <w:tcBorders>
              <w:top w:val="single" w:sz="4" w:space="0" w:color="A6A6A6"/>
              <w:bottom w:val="single" w:sz="4" w:space="0" w:color="A6A6A6"/>
            </w:tcBorders>
            <w:noWrap/>
            <w:hideMark/>
          </w:tcPr>
          <w:p w14:paraId="72F5FD8B" w14:textId="77777777" w:rsidR="0065586C" w:rsidRPr="002029AF" w:rsidRDefault="0065586C" w:rsidP="003566F1">
            <w:pPr>
              <w:pStyle w:val="ARfintablebodyright"/>
            </w:pPr>
            <w:r w:rsidRPr="002029AF">
              <w:t>–</w:t>
            </w:r>
          </w:p>
        </w:tc>
        <w:tc>
          <w:tcPr>
            <w:tcW w:w="1418" w:type="dxa"/>
            <w:tcBorders>
              <w:top w:val="single" w:sz="4" w:space="0" w:color="A6A6A6"/>
              <w:bottom w:val="single" w:sz="4" w:space="0" w:color="A6A6A6"/>
            </w:tcBorders>
            <w:noWrap/>
            <w:hideMark/>
          </w:tcPr>
          <w:p w14:paraId="620CB036" w14:textId="77777777" w:rsidR="0065586C" w:rsidRPr="002029AF" w:rsidRDefault="0065586C" w:rsidP="003566F1">
            <w:pPr>
              <w:pStyle w:val="ARfintablebodyright"/>
            </w:pPr>
            <w:r w:rsidRPr="002029AF">
              <w:t>(2.5)</w:t>
            </w:r>
          </w:p>
        </w:tc>
        <w:tc>
          <w:tcPr>
            <w:tcW w:w="1418" w:type="dxa"/>
            <w:tcBorders>
              <w:top w:val="single" w:sz="4" w:space="0" w:color="A6A6A6"/>
              <w:bottom w:val="single" w:sz="4" w:space="0" w:color="A6A6A6"/>
            </w:tcBorders>
            <w:noWrap/>
            <w:hideMark/>
          </w:tcPr>
          <w:p w14:paraId="1BD0E50E" w14:textId="77777777" w:rsidR="0065586C" w:rsidRPr="002029AF" w:rsidRDefault="0065586C" w:rsidP="003566F1">
            <w:pPr>
              <w:pStyle w:val="ARfintablebodyright"/>
            </w:pPr>
            <w:r w:rsidRPr="002029AF">
              <w:t>–</w:t>
            </w:r>
          </w:p>
        </w:tc>
        <w:tc>
          <w:tcPr>
            <w:tcW w:w="1418" w:type="dxa"/>
            <w:tcBorders>
              <w:top w:val="single" w:sz="4" w:space="0" w:color="A6A6A6"/>
              <w:bottom w:val="single" w:sz="4" w:space="0" w:color="A6A6A6"/>
            </w:tcBorders>
            <w:noWrap/>
            <w:hideMark/>
          </w:tcPr>
          <w:p w14:paraId="37F010F8" w14:textId="77777777" w:rsidR="0065586C" w:rsidRPr="002029AF" w:rsidRDefault="0065586C" w:rsidP="003566F1">
            <w:pPr>
              <w:pStyle w:val="ARfintablebodyright"/>
            </w:pPr>
            <w:r w:rsidRPr="002029AF">
              <w:t>(2.5)</w:t>
            </w:r>
          </w:p>
        </w:tc>
      </w:tr>
      <w:tr w:rsidR="0065586C" w:rsidRPr="002029AF" w14:paraId="3A4E1765" w14:textId="77777777" w:rsidTr="003566F1">
        <w:tc>
          <w:tcPr>
            <w:tcW w:w="3963" w:type="dxa"/>
            <w:tcBorders>
              <w:top w:val="single" w:sz="4" w:space="0" w:color="A6A6A6"/>
              <w:bottom w:val="single" w:sz="4" w:space="0" w:color="A6A6A6"/>
            </w:tcBorders>
            <w:hideMark/>
          </w:tcPr>
          <w:p w14:paraId="7F23149D" w14:textId="080032A7" w:rsidR="0065586C" w:rsidRPr="002029AF" w:rsidRDefault="0065586C" w:rsidP="003566F1">
            <w:pPr>
              <w:pStyle w:val="ARfintablebody"/>
            </w:pPr>
            <w:r w:rsidRPr="002029AF">
              <w:t>Changes</w:t>
            </w:r>
            <w:r w:rsidR="000A5329" w:rsidRPr="002029AF">
              <w:t xml:space="preserve"> </w:t>
            </w:r>
            <w:r w:rsidRPr="002029AF">
              <w:t>in</w:t>
            </w:r>
            <w:r w:rsidR="000A5329" w:rsidRPr="002029AF">
              <w:t xml:space="preserve"> </w:t>
            </w:r>
            <w:r w:rsidRPr="002029AF">
              <w:t>physical</w:t>
            </w:r>
            <w:r w:rsidR="000A5329" w:rsidRPr="002029AF">
              <w:t xml:space="preserve"> </w:t>
            </w:r>
            <w:r w:rsidRPr="002029AF">
              <w:t>asset</w:t>
            </w:r>
            <w:r w:rsidR="000A5329" w:rsidRPr="002029AF">
              <w:t xml:space="preserve"> </w:t>
            </w:r>
            <w:r w:rsidRPr="002029AF">
              <w:t>revaluation</w:t>
            </w:r>
            <w:r w:rsidR="000A5329" w:rsidRPr="002029AF">
              <w:t xml:space="preserve"> </w:t>
            </w:r>
            <w:r w:rsidRPr="002029AF">
              <w:t>surplus</w:t>
            </w:r>
          </w:p>
        </w:tc>
        <w:tc>
          <w:tcPr>
            <w:tcW w:w="1418" w:type="dxa"/>
            <w:tcBorders>
              <w:top w:val="single" w:sz="4" w:space="0" w:color="A6A6A6"/>
              <w:bottom w:val="single" w:sz="4" w:space="0" w:color="A6A6A6"/>
            </w:tcBorders>
            <w:noWrap/>
            <w:hideMark/>
          </w:tcPr>
          <w:p w14:paraId="7FDAD3ED" w14:textId="77777777" w:rsidR="0065586C" w:rsidRPr="002029AF" w:rsidRDefault="0065586C" w:rsidP="003566F1">
            <w:pPr>
              <w:pStyle w:val="ARfintablebodyright"/>
            </w:pPr>
            <w:r w:rsidRPr="002029AF">
              <w:t>(1,286.2)</w:t>
            </w:r>
          </w:p>
        </w:tc>
        <w:tc>
          <w:tcPr>
            <w:tcW w:w="1418" w:type="dxa"/>
            <w:tcBorders>
              <w:top w:val="single" w:sz="4" w:space="0" w:color="A6A6A6"/>
              <w:bottom w:val="single" w:sz="4" w:space="0" w:color="A6A6A6"/>
            </w:tcBorders>
            <w:noWrap/>
            <w:hideMark/>
          </w:tcPr>
          <w:p w14:paraId="090125E9" w14:textId="77777777" w:rsidR="0065586C" w:rsidRPr="002029AF" w:rsidRDefault="0065586C" w:rsidP="003566F1">
            <w:pPr>
              <w:pStyle w:val="ARfintablebodyright"/>
            </w:pPr>
            <w:r w:rsidRPr="002029AF">
              <w:t>–</w:t>
            </w:r>
          </w:p>
        </w:tc>
        <w:tc>
          <w:tcPr>
            <w:tcW w:w="1418" w:type="dxa"/>
            <w:tcBorders>
              <w:top w:val="single" w:sz="4" w:space="0" w:color="A6A6A6"/>
              <w:bottom w:val="single" w:sz="4" w:space="0" w:color="A6A6A6"/>
            </w:tcBorders>
            <w:noWrap/>
            <w:hideMark/>
          </w:tcPr>
          <w:p w14:paraId="0C180409" w14:textId="77777777" w:rsidR="0065586C" w:rsidRPr="002029AF" w:rsidRDefault="0065586C" w:rsidP="003566F1">
            <w:pPr>
              <w:pStyle w:val="ARfintablebodyright"/>
            </w:pPr>
            <w:r w:rsidRPr="002029AF">
              <w:t>–</w:t>
            </w:r>
          </w:p>
        </w:tc>
        <w:tc>
          <w:tcPr>
            <w:tcW w:w="1418" w:type="dxa"/>
            <w:tcBorders>
              <w:top w:val="single" w:sz="4" w:space="0" w:color="A6A6A6"/>
              <w:bottom w:val="single" w:sz="4" w:space="0" w:color="A6A6A6"/>
            </w:tcBorders>
            <w:noWrap/>
            <w:hideMark/>
          </w:tcPr>
          <w:p w14:paraId="105F7D14" w14:textId="77777777" w:rsidR="0065586C" w:rsidRPr="002029AF" w:rsidRDefault="0065586C" w:rsidP="003566F1">
            <w:pPr>
              <w:pStyle w:val="ARfintablebodyright"/>
            </w:pPr>
            <w:r w:rsidRPr="002029AF">
              <w:t>(1,286.2)</w:t>
            </w:r>
          </w:p>
        </w:tc>
      </w:tr>
      <w:tr w:rsidR="0065586C" w:rsidRPr="002029AF" w14:paraId="430094D8" w14:textId="77777777" w:rsidTr="003566F1">
        <w:tc>
          <w:tcPr>
            <w:tcW w:w="3963" w:type="dxa"/>
            <w:tcBorders>
              <w:top w:val="single" w:sz="4" w:space="0" w:color="A6A6A6"/>
              <w:bottom w:val="single" w:sz="4" w:space="0" w:color="A6A6A6"/>
            </w:tcBorders>
            <w:hideMark/>
          </w:tcPr>
          <w:p w14:paraId="60E46132" w14:textId="7507C89D" w:rsidR="0065586C" w:rsidRPr="002029AF" w:rsidRDefault="0065586C" w:rsidP="003566F1">
            <w:pPr>
              <w:pStyle w:val="ARfintablebody"/>
            </w:pPr>
            <w:r w:rsidRPr="002029AF">
              <w:t>Capital</w:t>
            </w:r>
            <w:r w:rsidR="000A5329" w:rsidRPr="002029AF">
              <w:t xml:space="preserve"> </w:t>
            </w:r>
            <w:r w:rsidRPr="002029AF">
              <w:t>contribution</w:t>
            </w:r>
            <w:r w:rsidR="000A5329" w:rsidRPr="002029AF">
              <w:t xml:space="preserve"> </w:t>
            </w:r>
            <w:r w:rsidRPr="002029AF">
              <w:t>by</w:t>
            </w:r>
            <w:r w:rsidR="000A5329" w:rsidRPr="002029AF">
              <w:t xml:space="preserve"> </w:t>
            </w:r>
            <w:r w:rsidRPr="002029AF">
              <w:t>Victorian</w:t>
            </w:r>
            <w:r w:rsidR="000A5329" w:rsidRPr="002029AF">
              <w:t xml:space="preserve"> </w:t>
            </w:r>
            <w:r w:rsidRPr="002029AF">
              <w:t>State</w:t>
            </w:r>
            <w:r w:rsidR="000A5329" w:rsidRPr="002029AF">
              <w:t xml:space="preserve"> </w:t>
            </w:r>
            <w:r w:rsidRPr="002029AF">
              <w:t>Government</w:t>
            </w:r>
          </w:p>
        </w:tc>
        <w:tc>
          <w:tcPr>
            <w:tcW w:w="1418" w:type="dxa"/>
            <w:tcBorders>
              <w:top w:val="single" w:sz="4" w:space="0" w:color="A6A6A6"/>
              <w:bottom w:val="single" w:sz="4" w:space="0" w:color="A6A6A6"/>
            </w:tcBorders>
            <w:noWrap/>
            <w:hideMark/>
          </w:tcPr>
          <w:p w14:paraId="34719D65" w14:textId="77777777" w:rsidR="0065586C" w:rsidRPr="002029AF" w:rsidRDefault="0065586C" w:rsidP="003566F1">
            <w:pPr>
              <w:pStyle w:val="ARfintablebodyright"/>
            </w:pPr>
            <w:r w:rsidRPr="002029AF">
              <w:t>–</w:t>
            </w:r>
          </w:p>
        </w:tc>
        <w:tc>
          <w:tcPr>
            <w:tcW w:w="1418" w:type="dxa"/>
            <w:tcBorders>
              <w:top w:val="single" w:sz="4" w:space="0" w:color="A6A6A6"/>
              <w:bottom w:val="single" w:sz="4" w:space="0" w:color="A6A6A6"/>
            </w:tcBorders>
            <w:noWrap/>
            <w:hideMark/>
          </w:tcPr>
          <w:p w14:paraId="05B00A8E" w14:textId="77777777" w:rsidR="0065586C" w:rsidRPr="002029AF" w:rsidRDefault="0065586C" w:rsidP="003566F1">
            <w:pPr>
              <w:pStyle w:val="ARfintablebodyright"/>
            </w:pPr>
            <w:r w:rsidRPr="002029AF">
              <w:t>–</w:t>
            </w:r>
          </w:p>
        </w:tc>
        <w:tc>
          <w:tcPr>
            <w:tcW w:w="1418" w:type="dxa"/>
            <w:tcBorders>
              <w:top w:val="single" w:sz="4" w:space="0" w:color="A6A6A6"/>
              <w:bottom w:val="single" w:sz="4" w:space="0" w:color="A6A6A6"/>
            </w:tcBorders>
            <w:noWrap/>
            <w:hideMark/>
          </w:tcPr>
          <w:p w14:paraId="4D919B6A" w14:textId="77777777" w:rsidR="0065586C" w:rsidRPr="002029AF" w:rsidRDefault="0065586C" w:rsidP="003566F1">
            <w:pPr>
              <w:pStyle w:val="ARfintablebodyright"/>
            </w:pPr>
            <w:r w:rsidRPr="002029AF">
              <w:t>53.7</w:t>
            </w:r>
          </w:p>
        </w:tc>
        <w:tc>
          <w:tcPr>
            <w:tcW w:w="1418" w:type="dxa"/>
            <w:tcBorders>
              <w:top w:val="single" w:sz="4" w:space="0" w:color="A6A6A6"/>
              <w:bottom w:val="single" w:sz="4" w:space="0" w:color="A6A6A6"/>
            </w:tcBorders>
            <w:noWrap/>
            <w:hideMark/>
          </w:tcPr>
          <w:p w14:paraId="66040354" w14:textId="77777777" w:rsidR="0065586C" w:rsidRPr="002029AF" w:rsidRDefault="0065586C" w:rsidP="003566F1">
            <w:pPr>
              <w:pStyle w:val="ARfintablebodyright"/>
            </w:pPr>
            <w:r w:rsidRPr="002029AF">
              <w:t>53.7</w:t>
            </w:r>
          </w:p>
        </w:tc>
      </w:tr>
      <w:tr w:rsidR="0065586C" w:rsidRPr="002029AF" w14:paraId="05B84BF0" w14:textId="77777777" w:rsidTr="003566F1">
        <w:tc>
          <w:tcPr>
            <w:tcW w:w="3963" w:type="dxa"/>
            <w:tcBorders>
              <w:top w:val="single" w:sz="4" w:space="0" w:color="A6A6A6"/>
            </w:tcBorders>
            <w:hideMark/>
          </w:tcPr>
          <w:p w14:paraId="085AE875" w14:textId="501DBE19" w:rsidR="0065586C" w:rsidRPr="002029AF" w:rsidRDefault="0065586C" w:rsidP="003566F1">
            <w:pPr>
              <w:pStyle w:val="ARfintablebody"/>
            </w:pPr>
            <w:r w:rsidRPr="002029AF">
              <w:t>Capital</w:t>
            </w:r>
            <w:r w:rsidR="000A5329" w:rsidRPr="002029AF">
              <w:t xml:space="preserve"> </w:t>
            </w:r>
            <w:r w:rsidRPr="002029AF">
              <w:t>contributed</w:t>
            </w:r>
            <w:r w:rsidR="000A5329" w:rsidRPr="002029AF">
              <w:t xml:space="preserve"> </w:t>
            </w:r>
            <w:r w:rsidRPr="002029AF">
              <w:t>from</w:t>
            </w:r>
            <w:r w:rsidR="000A5329" w:rsidRPr="002029AF">
              <w:t xml:space="preserve"> </w:t>
            </w:r>
            <w:r w:rsidRPr="002029AF">
              <w:t>asset</w:t>
            </w:r>
            <w:r w:rsidR="000A5329" w:rsidRPr="002029AF">
              <w:t xml:space="preserve"> </w:t>
            </w:r>
            <w:r w:rsidRPr="002029AF">
              <w:t>transfers</w:t>
            </w:r>
          </w:p>
        </w:tc>
        <w:tc>
          <w:tcPr>
            <w:tcW w:w="1418" w:type="dxa"/>
            <w:tcBorders>
              <w:top w:val="single" w:sz="4" w:space="0" w:color="A6A6A6"/>
            </w:tcBorders>
            <w:noWrap/>
            <w:hideMark/>
          </w:tcPr>
          <w:p w14:paraId="229476A5" w14:textId="77777777" w:rsidR="0065586C" w:rsidRPr="002029AF" w:rsidRDefault="0065586C" w:rsidP="003566F1">
            <w:pPr>
              <w:pStyle w:val="ARfintablebodyright"/>
            </w:pPr>
            <w:r w:rsidRPr="002029AF">
              <w:t>–</w:t>
            </w:r>
          </w:p>
        </w:tc>
        <w:tc>
          <w:tcPr>
            <w:tcW w:w="1418" w:type="dxa"/>
            <w:tcBorders>
              <w:top w:val="single" w:sz="4" w:space="0" w:color="A6A6A6"/>
            </w:tcBorders>
            <w:noWrap/>
            <w:hideMark/>
          </w:tcPr>
          <w:p w14:paraId="34985CE0" w14:textId="77777777" w:rsidR="0065586C" w:rsidRPr="002029AF" w:rsidRDefault="0065586C" w:rsidP="003566F1">
            <w:pPr>
              <w:pStyle w:val="ARfintablebodyright"/>
            </w:pPr>
            <w:r w:rsidRPr="002029AF">
              <w:t>–</w:t>
            </w:r>
          </w:p>
        </w:tc>
        <w:tc>
          <w:tcPr>
            <w:tcW w:w="1418" w:type="dxa"/>
            <w:tcBorders>
              <w:top w:val="single" w:sz="4" w:space="0" w:color="A6A6A6"/>
            </w:tcBorders>
            <w:noWrap/>
            <w:hideMark/>
          </w:tcPr>
          <w:p w14:paraId="542FDB69" w14:textId="77777777" w:rsidR="0065586C" w:rsidRPr="002029AF" w:rsidRDefault="0065586C" w:rsidP="003566F1">
            <w:pPr>
              <w:pStyle w:val="ARfintablebodyright"/>
            </w:pPr>
            <w:r w:rsidRPr="002029AF">
              <w:t>(190.1)</w:t>
            </w:r>
          </w:p>
        </w:tc>
        <w:tc>
          <w:tcPr>
            <w:tcW w:w="1418" w:type="dxa"/>
            <w:tcBorders>
              <w:top w:val="single" w:sz="4" w:space="0" w:color="A6A6A6"/>
            </w:tcBorders>
            <w:noWrap/>
            <w:hideMark/>
          </w:tcPr>
          <w:p w14:paraId="4B012369" w14:textId="77777777" w:rsidR="0065586C" w:rsidRPr="002029AF" w:rsidRDefault="0065586C" w:rsidP="003566F1">
            <w:pPr>
              <w:pStyle w:val="ARfintablebodyright"/>
            </w:pPr>
            <w:r w:rsidRPr="002029AF">
              <w:t>(190.1)</w:t>
            </w:r>
          </w:p>
        </w:tc>
      </w:tr>
      <w:tr w:rsidR="0065586C" w:rsidRPr="002029AF" w14:paraId="0D28CAB2" w14:textId="77777777" w:rsidTr="003566F1">
        <w:tc>
          <w:tcPr>
            <w:tcW w:w="3963" w:type="dxa"/>
            <w:hideMark/>
          </w:tcPr>
          <w:p w14:paraId="0A45F308" w14:textId="2E46502D" w:rsidR="0065586C" w:rsidRPr="002029AF" w:rsidRDefault="0065586C" w:rsidP="003566F1">
            <w:pPr>
              <w:pStyle w:val="ARfintablebodybold"/>
            </w:pPr>
            <w:r w:rsidRPr="002029AF">
              <w:t>Balance</w:t>
            </w:r>
            <w:r w:rsidR="000A5329" w:rsidRPr="002029AF">
              <w:t xml:space="preserve"> </w:t>
            </w:r>
            <w:r w:rsidRPr="002029AF">
              <w:t>at</w:t>
            </w:r>
            <w:r w:rsidR="000A5329" w:rsidRPr="002029AF">
              <w:t xml:space="preserve"> </w:t>
            </w:r>
            <w:r w:rsidRPr="002029AF">
              <w:t>30</w:t>
            </w:r>
            <w:r w:rsidR="000A5329" w:rsidRPr="002029AF">
              <w:t xml:space="preserve"> </w:t>
            </w:r>
            <w:r w:rsidRPr="002029AF">
              <w:t>June</w:t>
            </w:r>
            <w:r w:rsidR="000A5329" w:rsidRPr="002029AF">
              <w:t xml:space="preserve"> </w:t>
            </w:r>
            <w:r w:rsidRPr="002029AF">
              <w:t>2019</w:t>
            </w:r>
          </w:p>
        </w:tc>
        <w:tc>
          <w:tcPr>
            <w:tcW w:w="1418" w:type="dxa"/>
            <w:noWrap/>
            <w:hideMark/>
          </w:tcPr>
          <w:p w14:paraId="38894044" w14:textId="77777777" w:rsidR="0065586C" w:rsidRPr="002029AF" w:rsidRDefault="0065586C" w:rsidP="003566F1">
            <w:pPr>
              <w:pStyle w:val="ARfintablebodyrightbold"/>
            </w:pPr>
            <w:r w:rsidRPr="002029AF">
              <w:t>6,715.3</w:t>
            </w:r>
          </w:p>
        </w:tc>
        <w:tc>
          <w:tcPr>
            <w:tcW w:w="1418" w:type="dxa"/>
            <w:noWrap/>
            <w:hideMark/>
          </w:tcPr>
          <w:p w14:paraId="047339B0" w14:textId="77777777" w:rsidR="0065586C" w:rsidRPr="002029AF" w:rsidRDefault="0065586C" w:rsidP="003566F1">
            <w:pPr>
              <w:pStyle w:val="ARfintablebodyrightbold"/>
            </w:pPr>
            <w:r w:rsidRPr="002029AF">
              <w:t>(585.1)</w:t>
            </w:r>
          </w:p>
        </w:tc>
        <w:tc>
          <w:tcPr>
            <w:tcW w:w="1418" w:type="dxa"/>
            <w:noWrap/>
            <w:hideMark/>
          </w:tcPr>
          <w:p w14:paraId="5378C544" w14:textId="77777777" w:rsidR="0065586C" w:rsidRPr="002029AF" w:rsidRDefault="0065586C" w:rsidP="003566F1">
            <w:pPr>
              <w:pStyle w:val="ARfintablebodyrightbold"/>
            </w:pPr>
            <w:r w:rsidRPr="002029AF">
              <w:t>20,855.1</w:t>
            </w:r>
          </w:p>
        </w:tc>
        <w:tc>
          <w:tcPr>
            <w:tcW w:w="1418" w:type="dxa"/>
            <w:noWrap/>
            <w:hideMark/>
          </w:tcPr>
          <w:p w14:paraId="5B34A19C" w14:textId="77777777" w:rsidR="0065586C" w:rsidRPr="002029AF" w:rsidRDefault="0065586C" w:rsidP="003566F1">
            <w:pPr>
              <w:pStyle w:val="ARfintablebodyrightbold"/>
            </w:pPr>
            <w:r w:rsidRPr="002029AF">
              <w:t>26,985.3</w:t>
            </w:r>
          </w:p>
        </w:tc>
      </w:tr>
      <w:tr w:rsidR="0065586C" w:rsidRPr="002029AF" w14:paraId="4B4945AC" w14:textId="77777777" w:rsidTr="003566F1">
        <w:tc>
          <w:tcPr>
            <w:tcW w:w="3963" w:type="dxa"/>
            <w:hideMark/>
          </w:tcPr>
          <w:p w14:paraId="70F4CD27" w14:textId="4B0D8419" w:rsidR="0065586C" w:rsidRPr="002029AF" w:rsidRDefault="0065586C" w:rsidP="003566F1">
            <w:pPr>
              <w:pStyle w:val="ARfintablebody"/>
            </w:pPr>
            <w:r w:rsidRPr="002029AF">
              <w:t>Change</w:t>
            </w:r>
            <w:r w:rsidR="000A5329" w:rsidRPr="002029AF">
              <w:t xml:space="preserve"> </w:t>
            </w:r>
            <w:r w:rsidRPr="002029AF">
              <w:t>in</w:t>
            </w:r>
            <w:r w:rsidR="000A5329" w:rsidRPr="002029AF">
              <w:t xml:space="preserve"> </w:t>
            </w:r>
            <w:r w:rsidRPr="002029AF">
              <w:t>accounting</w:t>
            </w:r>
            <w:r w:rsidR="000A5329" w:rsidRPr="002029AF">
              <w:t xml:space="preserve"> </w:t>
            </w:r>
            <w:r w:rsidRPr="002029AF">
              <w:t>policy</w:t>
            </w:r>
            <w:r w:rsidR="000A5329" w:rsidRPr="002029AF">
              <w:t xml:space="preserve"> </w:t>
            </w:r>
            <w:r w:rsidRPr="002029AF">
              <w:t>(due</w:t>
            </w:r>
            <w:r w:rsidR="000A5329" w:rsidRPr="002029AF">
              <w:t xml:space="preserve"> </w:t>
            </w:r>
            <w:r w:rsidRPr="002029AF">
              <w:t>to</w:t>
            </w:r>
            <w:r w:rsidR="000A5329" w:rsidRPr="002029AF">
              <w:t xml:space="preserve"> </w:t>
            </w:r>
            <w:r w:rsidRPr="002029AF">
              <w:t>AASB</w:t>
            </w:r>
            <w:r w:rsidR="000A5329" w:rsidRPr="002029AF">
              <w:t xml:space="preserve"> </w:t>
            </w:r>
            <w:r w:rsidRPr="002029AF">
              <w:t>1059)</w:t>
            </w:r>
          </w:p>
        </w:tc>
        <w:tc>
          <w:tcPr>
            <w:tcW w:w="1418" w:type="dxa"/>
            <w:noWrap/>
            <w:hideMark/>
          </w:tcPr>
          <w:p w14:paraId="7A6F3DBC" w14:textId="77777777" w:rsidR="0065586C" w:rsidRPr="002029AF" w:rsidRDefault="0065586C" w:rsidP="003566F1">
            <w:pPr>
              <w:pStyle w:val="ARfintablebodyright"/>
            </w:pPr>
            <w:r w:rsidRPr="002029AF">
              <w:t>–</w:t>
            </w:r>
          </w:p>
        </w:tc>
        <w:tc>
          <w:tcPr>
            <w:tcW w:w="1418" w:type="dxa"/>
            <w:noWrap/>
            <w:hideMark/>
          </w:tcPr>
          <w:p w14:paraId="18A05D25" w14:textId="77777777" w:rsidR="0065586C" w:rsidRPr="002029AF" w:rsidRDefault="0065586C" w:rsidP="003566F1">
            <w:pPr>
              <w:pStyle w:val="ARfintablebodyright"/>
            </w:pPr>
            <w:r w:rsidRPr="002029AF">
              <w:t>–</w:t>
            </w:r>
          </w:p>
        </w:tc>
        <w:tc>
          <w:tcPr>
            <w:tcW w:w="1418" w:type="dxa"/>
            <w:noWrap/>
            <w:hideMark/>
          </w:tcPr>
          <w:p w14:paraId="5B22140E" w14:textId="77777777" w:rsidR="0065586C" w:rsidRPr="002029AF" w:rsidRDefault="0065586C" w:rsidP="003566F1">
            <w:pPr>
              <w:pStyle w:val="ARfintablebodyright"/>
            </w:pPr>
            <w:r w:rsidRPr="002029AF">
              <w:t>–</w:t>
            </w:r>
          </w:p>
        </w:tc>
        <w:tc>
          <w:tcPr>
            <w:tcW w:w="1418" w:type="dxa"/>
            <w:noWrap/>
            <w:hideMark/>
          </w:tcPr>
          <w:p w14:paraId="45683F18" w14:textId="77777777" w:rsidR="0065586C" w:rsidRPr="002029AF" w:rsidRDefault="0065586C" w:rsidP="003566F1">
            <w:pPr>
              <w:pStyle w:val="ARfintablebodyright"/>
            </w:pPr>
            <w:r w:rsidRPr="002029AF">
              <w:t>–</w:t>
            </w:r>
          </w:p>
        </w:tc>
      </w:tr>
      <w:tr w:rsidR="0065586C" w:rsidRPr="002029AF" w14:paraId="159C729E" w14:textId="77777777" w:rsidTr="003566F1">
        <w:tc>
          <w:tcPr>
            <w:tcW w:w="3963" w:type="dxa"/>
            <w:hideMark/>
          </w:tcPr>
          <w:p w14:paraId="5502BC0A" w14:textId="7733AA8B" w:rsidR="0065586C" w:rsidRPr="002029AF" w:rsidRDefault="0065586C" w:rsidP="003566F1">
            <w:pPr>
              <w:pStyle w:val="ARfintablebodybold"/>
            </w:pPr>
            <w:r w:rsidRPr="002029AF">
              <w:t>Restated</w:t>
            </w:r>
            <w:r w:rsidR="000A5329" w:rsidRPr="002029AF">
              <w:t xml:space="preserve"> </w:t>
            </w:r>
            <w:r w:rsidRPr="002029AF">
              <w:t>balance</w:t>
            </w:r>
            <w:r w:rsidR="000A5329" w:rsidRPr="002029AF">
              <w:t xml:space="preserve"> </w:t>
            </w:r>
            <w:r w:rsidRPr="002029AF">
              <w:t>at</w:t>
            </w:r>
            <w:r w:rsidR="000A5329" w:rsidRPr="002029AF">
              <w:t xml:space="preserve"> </w:t>
            </w:r>
            <w:r w:rsidRPr="002029AF">
              <w:t>1</w:t>
            </w:r>
            <w:r w:rsidR="000A5329" w:rsidRPr="002029AF">
              <w:t xml:space="preserve"> </w:t>
            </w:r>
            <w:r w:rsidRPr="002029AF">
              <w:t>July</w:t>
            </w:r>
            <w:r w:rsidR="000A5329" w:rsidRPr="002029AF">
              <w:t xml:space="preserve"> </w:t>
            </w:r>
            <w:r w:rsidRPr="002029AF">
              <w:t>2019</w:t>
            </w:r>
            <w:r w:rsidR="000A5329" w:rsidRPr="002029AF">
              <w:t xml:space="preserve"> </w:t>
            </w:r>
            <w:r w:rsidRPr="002029AF">
              <w:t>(after</w:t>
            </w:r>
            <w:r w:rsidR="000A5329" w:rsidRPr="002029AF">
              <w:t xml:space="preserve"> </w:t>
            </w:r>
            <w:r w:rsidRPr="002029AF">
              <w:t>new</w:t>
            </w:r>
            <w:r w:rsidR="000A5329" w:rsidRPr="002029AF">
              <w:t xml:space="preserve"> </w:t>
            </w:r>
            <w:r w:rsidRPr="002029AF">
              <w:t>accounting</w:t>
            </w:r>
            <w:r w:rsidR="000A5329" w:rsidRPr="002029AF">
              <w:t xml:space="preserve"> </w:t>
            </w:r>
            <w:r w:rsidRPr="002029AF">
              <w:t>standards)</w:t>
            </w:r>
          </w:p>
        </w:tc>
        <w:tc>
          <w:tcPr>
            <w:tcW w:w="1418" w:type="dxa"/>
            <w:noWrap/>
            <w:hideMark/>
          </w:tcPr>
          <w:p w14:paraId="64F49C54" w14:textId="77777777" w:rsidR="0065586C" w:rsidRPr="002029AF" w:rsidRDefault="0065586C" w:rsidP="003566F1">
            <w:pPr>
              <w:pStyle w:val="ARfintablebodyrightbold"/>
            </w:pPr>
            <w:r w:rsidRPr="002029AF">
              <w:t>6,715.3</w:t>
            </w:r>
          </w:p>
        </w:tc>
        <w:tc>
          <w:tcPr>
            <w:tcW w:w="1418" w:type="dxa"/>
            <w:noWrap/>
            <w:hideMark/>
          </w:tcPr>
          <w:p w14:paraId="171E3469" w14:textId="77777777" w:rsidR="0065586C" w:rsidRPr="002029AF" w:rsidRDefault="0065586C" w:rsidP="003566F1">
            <w:pPr>
              <w:pStyle w:val="ARfintablebodyrightbold"/>
            </w:pPr>
            <w:r w:rsidRPr="002029AF">
              <w:t>(585.1)</w:t>
            </w:r>
          </w:p>
        </w:tc>
        <w:tc>
          <w:tcPr>
            <w:tcW w:w="1418" w:type="dxa"/>
            <w:noWrap/>
            <w:hideMark/>
          </w:tcPr>
          <w:p w14:paraId="7CCD5737" w14:textId="77777777" w:rsidR="0065586C" w:rsidRPr="002029AF" w:rsidRDefault="0065586C" w:rsidP="003566F1">
            <w:pPr>
              <w:pStyle w:val="ARfintablebodyrightbold"/>
            </w:pPr>
            <w:r w:rsidRPr="002029AF">
              <w:t>20,855.1</w:t>
            </w:r>
          </w:p>
        </w:tc>
        <w:tc>
          <w:tcPr>
            <w:tcW w:w="1418" w:type="dxa"/>
            <w:noWrap/>
            <w:hideMark/>
          </w:tcPr>
          <w:p w14:paraId="6C97C639" w14:textId="77777777" w:rsidR="0065586C" w:rsidRPr="002029AF" w:rsidRDefault="0065586C" w:rsidP="003566F1">
            <w:pPr>
              <w:pStyle w:val="ARfintablebodyrightbold"/>
            </w:pPr>
            <w:r w:rsidRPr="002029AF">
              <w:t>26,985.3</w:t>
            </w:r>
          </w:p>
        </w:tc>
      </w:tr>
      <w:tr w:rsidR="0065586C" w:rsidRPr="002029AF" w14:paraId="4CFC5D02" w14:textId="77777777" w:rsidTr="003566F1">
        <w:tc>
          <w:tcPr>
            <w:tcW w:w="3963" w:type="dxa"/>
            <w:hideMark/>
          </w:tcPr>
          <w:p w14:paraId="2DE5DF42" w14:textId="2F9B8EA5" w:rsidR="0065586C" w:rsidRPr="002029AF" w:rsidRDefault="0065586C" w:rsidP="003566F1">
            <w:pPr>
              <w:pStyle w:val="ARfintablebody"/>
            </w:pPr>
            <w:r w:rsidRPr="002029AF">
              <w:t>Change</w:t>
            </w:r>
            <w:r w:rsidR="000A5329" w:rsidRPr="002029AF">
              <w:t xml:space="preserve"> </w:t>
            </w:r>
            <w:r w:rsidRPr="002029AF">
              <w:t>in</w:t>
            </w:r>
            <w:r w:rsidR="000A5329" w:rsidRPr="002029AF">
              <w:t xml:space="preserve"> </w:t>
            </w:r>
            <w:r w:rsidRPr="002029AF">
              <w:t>accounting</w:t>
            </w:r>
            <w:r w:rsidR="000A5329" w:rsidRPr="002029AF">
              <w:t xml:space="preserve"> </w:t>
            </w:r>
            <w:r w:rsidRPr="002029AF">
              <w:t>policy</w:t>
            </w:r>
            <w:r w:rsidR="000A5329" w:rsidRPr="002029AF">
              <w:t xml:space="preserve"> </w:t>
            </w:r>
            <w:r w:rsidRPr="002029AF">
              <w:t>(due</w:t>
            </w:r>
            <w:r w:rsidR="000A5329" w:rsidRPr="002029AF">
              <w:t xml:space="preserve"> </w:t>
            </w:r>
            <w:r w:rsidRPr="002029AF">
              <w:t>to</w:t>
            </w:r>
            <w:r w:rsidR="000A5329" w:rsidRPr="002029AF">
              <w:t xml:space="preserve"> </w:t>
            </w:r>
            <w:r w:rsidRPr="002029AF">
              <w:t>AASB</w:t>
            </w:r>
            <w:r w:rsidR="000A5329" w:rsidRPr="002029AF">
              <w:t xml:space="preserve"> </w:t>
            </w:r>
            <w:r w:rsidRPr="002029AF">
              <w:t>15)</w:t>
            </w:r>
          </w:p>
        </w:tc>
        <w:tc>
          <w:tcPr>
            <w:tcW w:w="1418" w:type="dxa"/>
            <w:noWrap/>
            <w:hideMark/>
          </w:tcPr>
          <w:p w14:paraId="66B2A1DE" w14:textId="77777777" w:rsidR="0065586C" w:rsidRPr="002029AF" w:rsidRDefault="0065586C" w:rsidP="003566F1">
            <w:pPr>
              <w:pStyle w:val="ARfintablebodyright"/>
            </w:pPr>
            <w:r w:rsidRPr="002029AF">
              <w:t>–</w:t>
            </w:r>
          </w:p>
        </w:tc>
        <w:tc>
          <w:tcPr>
            <w:tcW w:w="1418" w:type="dxa"/>
            <w:noWrap/>
            <w:hideMark/>
          </w:tcPr>
          <w:p w14:paraId="6DF8B902" w14:textId="77777777" w:rsidR="0065586C" w:rsidRPr="002029AF" w:rsidRDefault="0065586C" w:rsidP="003566F1">
            <w:pPr>
              <w:pStyle w:val="ARfintablebodyright"/>
            </w:pPr>
            <w:r w:rsidRPr="002029AF">
              <w:t>–</w:t>
            </w:r>
          </w:p>
        </w:tc>
        <w:tc>
          <w:tcPr>
            <w:tcW w:w="1418" w:type="dxa"/>
            <w:noWrap/>
            <w:hideMark/>
          </w:tcPr>
          <w:p w14:paraId="79DE6920" w14:textId="77777777" w:rsidR="0065586C" w:rsidRPr="002029AF" w:rsidRDefault="0065586C" w:rsidP="003566F1">
            <w:pPr>
              <w:pStyle w:val="ARfintablebodyright"/>
            </w:pPr>
            <w:r w:rsidRPr="002029AF">
              <w:t>–</w:t>
            </w:r>
          </w:p>
        </w:tc>
        <w:tc>
          <w:tcPr>
            <w:tcW w:w="1418" w:type="dxa"/>
            <w:noWrap/>
            <w:hideMark/>
          </w:tcPr>
          <w:p w14:paraId="6473E3F0" w14:textId="77777777" w:rsidR="0065586C" w:rsidRPr="002029AF" w:rsidRDefault="0065586C" w:rsidP="003566F1">
            <w:pPr>
              <w:pStyle w:val="ARfintablebodyright"/>
            </w:pPr>
            <w:r w:rsidRPr="002029AF">
              <w:t>–</w:t>
            </w:r>
          </w:p>
        </w:tc>
      </w:tr>
      <w:tr w:rsidR="0065586C" w:rsidRPr="002029AF" w14:paraId="4950EC2D" w14:textId="77777777" w:rsidTr="003566F1">
        <w:tc>
          <w:tcPr>
            <w:tcW w:w="3963" w:type="dxa"/>
            <w:tcBorders>
              <w:bottom w:val="single" w:sz="4" w:space="0" w:color="auto"/>
            </w:tcBorders>
            <w:hideMark/>
          </w:tcPr>
          <w:p w14:paraId="0888E202" w14:textId="768204A7" w:rsidR="0065586C" w:rsidRPr="002029AF" w:rsidRDefault="0065586C" w:rsidP="003566F1">
            <w:pPr>
              <w:pStyle w:val="ARfintablebodybold"/>
            </w:pPr>
            <w:r w:rsidRPr="002029AF">
              <w:t>Restated</w:t>
            </w:r>
            <w:r w:rsidR="000A5329" w:rsidRPr="002029AF">
              <w:t xml:space="preserve"> </w:t>
            </w:r>
            <w:r w:rsidRPr="002029AF">
              <w:t>balance</w:t>
            </w:r>
            <w:r w:rsidR="000A5329" w:rsidRPr="002029AF">
              <w:t xml:space="preserve"> </w:t>
            </w:r>
            <w:r w:rsidRPr="002029AF">
              <w:t>at</w:t>
            </w:r>
            <w:r w:rsidR="000A5329" w:rsidRPr="002029AF">
              <w:t xml:space="preserve"> </w:t>
            </w:r>
            <w:r w:rsidRPr="002029AF">
              <w:t>1</w:t>
            </w:r>
            <w:r w:rsidR="000A5329" w:rsidRPr="002029AF">
              <w:t xml:space="preserve"> </w:t>
            </w:r>
            <w:r w:rsidRPr="002029AF">
              <w:t>July</w:t>
            </w:r>
            <w:r w:rsidR="000A5329" w:rsidRPr="002029AF">
              <w:t xml:space="preserve"> </w:t>
            </w:r>
            <w:r w:rsidRPr="002029AF">
              <w:t>2019</w:t>
            </w:r>
          </w:p>
        </w:tc>
        <w:tc>
          <w:tcPr>
            <w:tcW w:w="1418" w:type="dxa"/>
            <w:tcBorders>
              <w:bottom w:val="single" w:sz="4" w:space="0" w:color="auto"/>
            </w:tcBorders>
            <w:noWrap/>
            <w:hideMark/>
          </w:tcPr>
          <w:p w14:paraId="065316C2" w14:textId="77777777" w:rsidR="0065586C" w:rsidRPr="002029AF" w:rsidRDefault="0065586C" w:rsidP="003566F1">
            <w:pPr>
              <w:pStyle w:val="ARfintablebodyrightbold"/>
            </w:pPr>
            <w:r w:rsidRPr="002029AF">
              <w:t>6,715.3</w:t>
            </w:r>
          </w:p>
        </w:tc>
        <w:tc>
          <w:tcPr>
            <w:tcW w:w="1418" w:type="dxa"/>
            <w:tcBorders>
              <w:bottom w:val="single" w:sz="4" w:space="0" w:color="auto"/>
            </w:tcBorders>
            <w:noWrap/>
            <w:hideMark/>
          </w:tcPr>
          <w:p w14:paraId="3C9CD483" w14:textId="77777777" w:rsidR="0065586C" w:rsidRPr="002029AF" w:rsidRDefault="0065586C" w:rsidP="003566F1">
            <w:pPr>
              <w:pStyle w:val="ARfintablebodyrightbold"/>
            </w:pPr>
            <w:r w:rsidRPr="002029AF">
              <w:t>(585.1)</w:t>
            </w:r>
          </w:p>
        </w:tc>
        <w:tc>
          <w:tcPr>
            <w:tcW w:w="1418" w:type="dxa"/>
            <w:tcBorders>
              <w:bottom w:val="single" w:sz="4" w:space="0" w:color="auto"/>
            </w:tcBorders>
            <w:noWrap/>
            <w:hideMark/>
          </w:tcPr>
          <w:p w14:paraId="67917CBB" w14:textId="77777777" w:rsidR="0065586C" w:rsidRPr="002029AF" w:rsidRDefault="0065586C" w:rsidP="003566F1">
            <w:pPr>
              <w:pStyle w:val="ARfintablebodyrightbold"/>
            </w:pPr>
            <w:r w:rsidRPr="002029AF">
              <w:t>20,855.1</w:t>
            </w:r>
          </w:p>
        </w:tc>
        <w:tc>
          <w:tcPr>
            <w:tcW w:w="1418" w:type="dxa"/>
            <w:tcBorders>
              <w:bottom w:val="single" w:sz="4" w:space="0" w:color="auto"/>
            </w:tcBorders>
            <w:noWrap/>
            <w:hideMark/>
          </w:tcPr>
          <w:p w14:paraId="536AF54A" w14:textId="77777777" w:rsidR="0065586C" w:rsidRPr="002029AF" w:rsidRDefault="0065586C" w:rsidP="003566F1">
            <w:pPr>
              <w:pStyle w:val="ARfintablebodyrightbold"/>
            </w:pPr>
            <w:r w:rsidRPr="002029AF">
              <w:t>26,985.3</w:t>
            </w:r>
          </w:p>
        </w:tc>
      </w:tr>
      <w:tr w:rsidR="0065586C" w:rsidRPr="002029AF" w14:paraId="064147C2" w14:textId="77777777" w:rsidTr="003566F1">
        <w:tc>
          <w:tcPr>
            <w:tcW w:w="3963" w:type="dxa"/>
            <w:tcBorders>
              <w:top w:val="single" w:sz="4" w:space="0" w:color="auto"/>
              <w:bottom w:val="single" w:sz="4" w:space="0" w:color="A6A6A6"/>
            </w:tcBorders>
            <w:hideMark/>
          </w:tcPr>
          <w:p w14:paraId="40816173" w14:textId="0D499FA5" w:rsidR="0065586C" w:rsidRPr="002029AF" w:rsidRDefault="0065586C" w:rsidP="003566F1">
            <w:pPr>
              <w:pStyle w:val="ARfintablebody"/>
            </w:pPr>
            <w:r w:rsidRPr="002029AF">
              <w:t>Net</w:t>
            </w:r>
            <w:r w:rsidR="000A5329" w:rsidRPr="002029AF">
              <w:t xml:space="preserve"> </w:t>
            </w:r>
            <w:r w:rsidRPr="002029AF">
              <w:t>result</w:t>
            </w:r>
            <w:r w:rsidR="000A5329" w:rsidRPr="002029AF">
              <w:t xml:space="preserve"> </w:t>
            </w:r>
            <w:r w:rsidRPr="002029AF">
              <w:t>for</w:t>
            </w:r>
            <w:r w:rsidR="000A5329" w:rsidRPr="002029AF">
              <w:t xml:space="preserve"> </w:t>
            </w:r>
            <w:r w:rsidRPr="002029AF">
              <w:t>the</w:t>
            </w:r>
            <w:r w:rsidR="000A5329" w:rsidRPr="002029AF">
              <w:t xml:space="preserve"> </w:t>
            </w:r>
            <w:r w:rsidRPr="002029AF">
              <w:t>year</w:t>
            </w:r>
          </w:p>
        </w:tc>
        <w:tc>
          <w:tcPr>
            <w:tcW w:w="1418" w:type="dxa"/>
            <w:tcBorders>
              <w:top w:val="single" w:sz="4" w:space="0" w:color="auto"/>
              <w:bottom w:val="single" w:sz="4" w:space="0" w:color="A6A6A6"/>
            </w:tcBorders>
            <w:noWrap/>
            <w:hideMark/>
          </w:tcPr>
          <w:p w14:paraId="3E845038" w14:textId="77777777" w:rsidR="0065586C" w:rsidRPr="002029AF" w:rsidRDefault="0065586C" w:rsidP="003566F1">
            <w:pPr>
              <w:pStyle w:val="ARfintablebodyright"/>
            </w:pPr>
            <w:r w:rsidRPr="002029AF">
              <w:t>–</w:t>
            </w:r>
          </w:p>
        </w:tc>
        <w:tc>
          <w:tcPr>
            <w:tcW w:w="1418" w:type="dxa"/>
            <w:tcBorders>
              <w:top w:val="single" w:sz="4" w:space="0" w:color="auto"/>
              <w:bottom w:val="single" w:sz="4" w:space="0" w:color="A6A6A6"/>
            </w:tcBorders>
            <w:noWrap/>
            <w:hideMark/>
          </w:tcPr>
          <w:p w14:paraId="75064D35" w14:textId="77777777" w:rsidR="0065586C" w:rsidRPr="002029AF" w:rsidRDefault="0065586C" w:rsidP="003566F1">
            <w:pPr>
              <w:pStyle w:val="ARfintablebodyright"/>
            </w:pPr>
            <w:r w:rsidRPr="002029AF">
              <w:t>(199.0)</w:t>
            </w:r>
          </w:p>
        </w:tc>
        <w:tc>
          <w:tcPr>
            <w:tcW w:w="1418" w:type="dxa"/>
            <w:tcBorders>
              <w:top w:val="single" w:sz="4" w:space="0" w:color="auto"/>
              <w:bottom w:val="single" w:sz="4" w:space="0" w:color="A6A6A6"/>
            </w:tcBorders>
            <w:noWrap/>
            <w:hideMark/>
          </w:tcPr>
          <w:p w14:paraId="0DCCD46E" w14:textId="77777777" w:rsidR="0065586C" w:rsidRPr="002029AF" w:rsidRDefault="0065586C" w:rsidP="003566F1">
            <w:pPr>
              <w:pStyle w:val="ARfintablebodyright"/>
            </w:pPr>
            <w:r w:rsidRPr="002029AF">
              <w:t>–</w:t>
            </w:r>
          </w:p>
        </w:tc>
        <w:tc>
          <w:tcPr>
            <w:tcW w:w="1418" w:type="dxa"/>
            <w:tcBorders>
              <w:top w:val="single" w:sz="4" w:space="0" w:color="auto"/>
              <w:bottom w:val="single" w:sz="4" w:space="0" w:color="A6A6A6"/>
            </w:tcBorders>
            <w:noWrap/>
            <w:hideMark/>
          </w:tcPr>
          <w:p w14:paraId="05FE4247" w14:textId="77777777" w:rsidR="0065586C" w:rsidRPr="002029AF" w:rsidRDefault="0065586C" w:rsidP="003566F1">
            <w:pPr>
              <w:pStyle w:val="ARfintablebodyright"/>
            </w:pPr>
            <w:r w:rsidRPr="002029AF">
              <w:t>(199.0)</w:t>
            </w:r>
          </w:p>
        </w:tc>
      </w:tr>
      <w:tr w:rsidR="0065586C" w:rsidRPr="002029AF" w14:paraId="7FC9B470" w14:textId="77777777" w:rsidTr="003566F1">
        <w:tc>
          <w:tcPr>
            <w:tcW w:w="3963" w:type="dxa"/>
            <w:tcBorders>
              <w:top w:val="single" w:sz="4" w:space="0" w:color="A6A6A6"/>
              <w:bottom w:val="single" w:sz="4" w:space="0" w:color="A6A6A6"/>
            </w:tcBorders>
            <w:hideMark/>
          </w:tcPr>
          <w:p w14:paraId="116A862A" w14:textId="16357C0E" w:rsidR="0065586C" w:rsidRPr="002029AF" w:rsidRDefault="0065586C" w:rsidP="003566F1">
            <w:pPr>
              <w:pStyle w:val="ARfintablebody"/>
            </w:pPr>
            <w:r w:rsidRPr="002029AF">
              <w:t>Remeasurement</w:t>
            </w:r>
            <w:r w:rsidR="000A5329" w:rsidRPr="002029AF">
              <w:t xml:space="preserve"> </w:t>
            </w:r>
            <w:r w:rsidRPr="002029AF">
              <w:t>of</w:t>
            </w:r>
            <w:r w:rsidR="000A5329" w:rsidRPr="002029AF">
              <w:t xml:space="preserve"> </w:t>
            </w:r>
            <w:r w:rsidRPr="002029AF">
              <w:t>superannuation</w:t>
            </w:r>
            <w:r w:rsidR="000A5329" w:rsidRPr="002029AF">
              <w:t xml:space="preserve"> </w:t>
            </w:r>
            <w:r w:rsidRPr="002029AF">
              <w:t>defined</w:t>
            </w:r>
            <w:r w:rsidR="000A5329" w:rsidRPr="002029AF">
              <w:t xml:space="preserve"> </w:t>
            </w:r>
            <w:r w:rsidRPr="002029AF">
              <w:t>benefit</w:t>
            </w:r>
            <w:r w:rsidR="000A5329" w:rsidRPr="002029AF">
              <w:t xml:space="preserve"> </w:t>
            </w:r>
            <w:r w:rsidRPr="002029AF">
              <w:t>plans</w:t>
            </w:r>
          </w:p>
        </w:tc>
        <w:tc>
          <w:tcPr>
            <w:tcW w:w="1418" w:type="dxa"/>
            <w:tcBorders>
              <w:top w:val="single" w:sz="4" w:space="0" w:color="A6A6A6"/>
              <w:bottom w:val="single" w:sz="4" w:space="0" w:color="A6A6A6"/>
            </w:tcBorders>
            <w:noWrap/>
            <w:hideMark/>
          </w:tcPr>
          <w:p w14:paraId="3EA9C4F0" w14:textId="77777777" w:rsidR="0065586C" w:rsidRPr="002029AF" w:rsidRDefault="0065586C" w:rsidP="003566F1">
            <w:pPr>
              <w:pStyle w:val="ARfintablebodyright"/>
            </w:pPr>
            <w:r w:rsidRPr="002029AF">
              <w:t>–</w:t>
            </w:r>
          </w:p>
        </w:tc>
        <w:tc>
          <w:tcPr>
            <w:tcW w:w="1418" w:type="dxa"/>
            <w:tcBorders>
              <w:top w:val="single" w:sz="4" w:space="0" w:color="A6A6A6"/>
              <w:bottom w:val="single" w:sz="4" w:space="0" w:color="A6A6A6"/>
            </w:tcBorders>
            <w:noWrap/>
            <w:hideMark/>
          </w:tcPr>
          <w:p w14:paraId="11F4F033" w14:textId="77777777" w:rsidR="0065586C" w:rsidRPr="002029AF" w:rsidRDefault="0065586C" w:rsidP="003566F1">
            <w:pPr>
              <w:pStyle w:val="ARfintablebodyright"/>
            </w:pPr>
            <w:r w:rsidRPr="002029AF">
              <w:t>0.3</w:t>
            </w:r>
          </w:p>
        </w:tc>
        <w:tc>
          <w:tcPr>
            <w:tcW w:w="1418" w:type="dxa"/>
            <w:tcBorders>
              <w:top w:val="single" w:sz="4" w:space="0" w:color="A6A6A6"/>
              <w:bottom w:val="single" w:sz="4" w:space="0" w:color="A6A6A6"/>
            </w:tcBorders>
            <w:noWrap/>
            <w:hideMark/>
          </w:tcPr>
          <w:p w14:paraId="7CAF932A" w14:textId="77777777" w:rsidR="0065586C" w:rsidRPr="002029AF" w:rsidRDefault="0065586C" w:rsidP="003566F1">
            <w:pPr>
              <w:pStyle w:val="ARfintablebodyright"/>
            </w:pPr>
            <w:r w:rsidRPr="002029AF">
              <w:t>–</w:t>
            </w:r>
          </w:p>
        </w:tc>
        <w:tc>
          <w:tcPr>
            <w:tcW w:w="1418" w:type="dxa"/>
            <w:tcBorders>
              <w:top w:val="single" w:sz="4" w:space="0" w:color="A6A6A6"/>
              <w:bottom w:val="single" w:sz="4" w:space="0" w:color="A6A6A6"/>
            </w:tcBorders>
            <w:noWrap/>
            <w:hideMark/>
          </w:tcPr>
          <w:p w14:paraId="76ADACC3" w14:textId="77777777" w:rsidR="0065586C" w:rsidRPr="002029AF" w:rsidRDefault="0065586C" w:rsidP="003566F1">
            <w:pPr>
              <w:pStyle w:val="ARfintablebodyright"/>
            </w:pPr>
            <w:r w:rsidRPr="002029AF">
              <w:t>0.3</w:t>
            </w:r>
          </w:p>
        </w:tc>
      </w:tr>
      <w:tr w:rsidR="0065586C" w:rsidRPr="002029AF" w14:paraId="444C5953" w14:textId="77777777" w:rsidTr="003566F1">
        <w:tc>
          <w:tcPr>
            <w:tcW w:w="3963" w:type="dxa"/>
            <w:tcBorders>
              <w:top w:val="single" w:sz="4" w:space="0" w:color="A6A6A6"/>
              <w:bottom w:val="single" w:sz="4" w:space="0" w:color="A6A6A6"/>
            </w:tcBorders>
            <w:hideMark/>
          </w:tcPr>
          <w:p w14:paraId="781C39C6" w14:textId="6B317FD6" w:rsidR="0065586C" w:rsidRPr="002029AF" w:rsidRDefault="0065586C" w:rsidP="003566F1">
            <w:pPr>
              <w:pStyle w:val="ARfintablebody"/>
            </w:pPr>
            <w:r w:rsidRPr="002029AF">
              <w:t>Changes</w:t>
            </w:r>
            <w:r w:rsidR="000A5329" w:rsidRPr="002029AF">
              <w:t xml:space="preserve"> </w:t>
            </w:r>
            <w:r w:rsidRPr="002029AF">
              <w:t>in</w:t>
            </w:r>
            <w:r w:rsidR="000A5329" w:rsidRPr="002029AF">
              <w:t xml:space="preserve"> </w:t>
            </w:r>
            <w:r w:rsidRPr="002029AF">
              <w:t>physical</w:t>
            </w:r>
            <w:r w:rsidR="000A5329" w:rsidRPr="002029AF">
              <w:t xml:space="preserve"> </w:t>
            </w:r>
            <w:r w:rsidRPr="002029AF">
              <w:t>asset</w:t>
            </w:r>
            <w:r w:rsidR="000A5329" w:rsidRPr="002029AF">
              <w:t xml:space="preserve"> </w:t>
            </w:r>
            <w:r w:rsidRPr="002029AF">
              <w:t>revaluation</w:t>
            </w:r>
            <w:r w:rsidR="000A5329" w:rsidRPr="002029AF">
              <w:t xml:space="preserve"> </w:t>
            </w:r>
            <w:r w:rsidRPr="002029AF">
              <w:t>surplus</w:t>
            </w:r>
          </w:p>
        </w:tc>
        <w:tc>
          <w:tcPr>
            <w:tcW w:w="1418" w:type="dxa"/>
            <w:tcBorders>
              <w:top w:val="single" w:sz="4" w:space="0" w:color="A6A6A6"/>
              <w:bottom w:val="single" w:sz="4" w:space="0" w:color="A6A6A6"/>
            </w:tcBorders>
            <w:noWrap/>
            <w:hideMark/>
          </w:tcPr>
          <w:p w14:paraId="6DE16254" w14:textId="77777777" w:rsidR="0065586C" w:rsidRPr="002029AF" w:rsidRDefault="0065586C" w:rsidP="003566F1">
            <w:pPr>
              <w:pStyle w:val="ARfintablebodyright"/>
            </w:pPr>
            <w:r w:rsidRPr="002029AF">
              <w:t>(17.4)</w:t>
            </w:r>
          </w:p>
        </w:tc>
        <w:tc>
          <w:tcPr>
            <w:tcW w:w="1418" w:type="dxa"/>
            <w:tcBorders>
              <w:top w:val="single" w:sz="4" w:space="0" w:color="A6A6A6"/>
              <w:bottom w:val="single" w:sz="4" w:space="0" w:color="A6A6A6"/>
            </w:tcBorders>
            <w:noWrap/>
            <w:hideMark/>
          </w:tcPr>
          <w:p w14:paraId="7A862507" w14:textId="77777777" w:rsidR="0065586C" w:rsidRPr="002029AF" w:rsidRDefault="0065586C" w:rsidP="003566F1">
            <w:pPr>
              <w:pStyle w:val="ARfintablebodyright"/>
            </w:pPr>
            <w:r w:rsidRPr="002029AF">
              <w:t>–</w:t>
            </w:r>
          </w:p>
        </w:tc>
        <w:tc>
          <w:tcPr>
            <w:tcW w:w="1418" w:type="dxa"/>
            <w:tcBorders>
              <w:top w:val="single" w:sz="4" w:space="0" w:color="A6A6A6"/>
              <w:bottom w:val="single" w:sz="4" w:space="0" w:color="A6A6A6"/>
            </w:tcBorders>
            <w:noWrap/>
            <w:hideMark/>
          </w:tcPr>
          <w:p w14:paraId="074768C5" w14:textId="77777777" w:rsidR="0065586C" w:rsidRPr="002029AF" w:rsidRDefault="0065586C" w:rsidP="003566F1">
            <w:pPr>
              <w:pStyle w:val="ARfintablebodyright"/>
            </w:pPr>
            <w:r w:rsidRPr="002029AF">
              <w:t>–</w:t>
            </w:r>
          </w:p>
        </w:tc>
        <w:tc>
          <w:tcPr>
            <w:tcW w:w="1418" w:type="dxa"/>
            <w:tcBorders>
              <w:top w:val="single" w:sz="4" w:space="0" w:color="A6A6A6"/>
              <w:bottom w:val="single" w:sz="4" w:space="0" w:color="A6A6A6"/>
            </w:tcBorders>
            <w:noWrap/>
            <w:hideMark/>
          </w:tcPr>
          <w:p w14:paraId="598AFE58" w14:textId="77777777" w:rsidR="0065586C" w:rsidRPr="002029AF" w:rsidRDefault="0065586C" w:rsidP="003566F1">
            <w:pPr>
              <w:pStyle w:val="ARfintablebodyright"/>
            </w:pPr>
            <w:r w:rsidRPr="002029AF">
              <w:t>(17.4)</w:t>
            </w:r>
          </w:p>
        </w:tc>
      </w:tr>
      <w:tr w:rsidR="0065586C" w:rsidRPr="002029AF" w14:paraId="51F55713" w14:textId="77777777" w:rsidTr="003566F1">
        <w:tc>
          <w:tcPr>
            <w:tcW w:w="3963" w:type="dxa"/>
            <w:tcBorders>
              <w:top w:val="single" w:sz="4" w:space="0" w:color="A6A6A6"/>
              <w:bottom w:val="single" w:sz="4" w:space="0" w:color="A6A6A6"/>
            </w:tcBorders>
            <w:hideMark/>
          </w:tcPr>
          <w:p w14:paraId="400B9972" w14:textId="1DD9826C" w:rsidR="0065586C" w:rsidRPr="002029AF" w:rsidRDefault="0065586C" w:rsidP="003566F1">
            <w:pPr>
              <w:pStyle w:val="ARfintablebody"/>
            </w:pPr>
            <w:r w:rsidRPr="002029AF">
              <w:t>Capital</w:t>
            </w:r>
            <w:r w:rsidR="000A5329" w:rsidRPr="002029AF">
              <w:t xml:space="preserve"> </w:t>
            </w:r>
            <w:r w:rsidRPr="002029AF">
              <w:t>contribution</w:t>
            </w:r>
            <w:r w:rsidR="000A5329" w:rsidRPr="002029AF">
              <w:t xml:space="preserve"> </w:t>
            </w:r>
            <w:r w:rsidRPr="002029AF">
              <w:t>by</w:t>
            </w:r>
            <w:r w:rsidR="000A5329" w:rsidRPr="002029AF">
              <w:t xml:space="preserve"> </w:t>
            </w:r>
            <w:r w:rsidRPr="002029AF">
              <w:t>Victorian</w:t>
            </w:r>
            <w:r w:rsidR="000A5329" w:rsidRPr="002029AF">
              <w:t xml:space="preserve"> </w:t>
            </w:r>
            <w:r w:rsidRPr="002029AF">
              <w:t>State</w:t>
            </w:r>
            <w:r w:rsidR="000A5329" w:rsidRPr="002029AF">
              <w:t xml:space="preserve"> </w:t>
            </w:r>
            <w:r w:rsidRPr="002029AF">
              <w:t>Government</w:t>
            </w:r>
          </w:p>
        </w:tc>
        <w:tc>
          <w:tcPr>
            <w:tcW w:w="1418" w:type="dxa"/>
            <w:tcBorders>
              <w:top w:val="single" w:sz="4" w:space="0" w:color="A6A6A6"/>
              <w:bottom w:val="single" w:sz="4" w:space="0" w:color="A6A6A6"/>
            </w:tcBorders>
            <w:noWrap/>
            <w:hideMark/>
          </w:tcPr>
          <w:p w14:paraId="180A9185" w14:textId="77777777" w:rsidR="0065586C" w:rsidRPr="002029AF" w:rsidRDefault="0065586C" w:rsidP="003566F1">
            <w:pPr>
              <w:pStyle w:val="ARfintablebodyright"/>
            </w:pPr>
            <w:r w:rsidRPr="002029AF">
              <w:t>–</w:t>
            </w:r>
          </w:p>
        </w:tc>
        <w:tc>
          <w:tcPr>
            <w:tcW w:w="1418" w:type="dxa"/>
            <w:tcBorders>
              <w:top w:val="single" w:sz="4" w:space="0" w:color="A6A6A6"/>
              <w:bottom w:val="single" w:sz="4" w:space="0" w:color="A6A6A6"/>
            </w:tcBorders>
            <w:noWrap/>
            <w:hideMark/>
          </w:tcPr>
          <w:p w14:paraId="687D4C64" w14:textId="77777777" w:rsidR="0065586C" w:rsidRPr="002029AF" w:rsidRDefault="0065586C" w:rsidP="003566F1">
            <w:pPr>
              <w:pStyle w:val="ARfintablebodyright"/>
            </w:pPr>
            <w:r w:rsidRPr="002029AF">
              <w:t>–</w:t>
            </w:r>
          </w:p>
        </w:tc>
        <w:tc>
          <w:tcPr>
            <w:tcW w:w="1418" w:type="dxa"/>
            <w:tcBorders>
              <w:top w:val="single" w:sz="4" w:space="0" w:color="A6A6A6"/>
              <w:bottom w:val="single" w:sz="4" w:space="0" w:color="A6A6A6"/>
            </w:tcBorders>
            <w:noWrap/>
            <w:hideMark/>
          </w:tcPr>
          <w:p w14:paraId="29E8978F" w14:textId="77777777" w:rsidR="0065586C" w:rsidRPr="002029AF" w:rsidRDefault="0065586C" w:rsidP="003566F1">
            <w:pPr>
              <w:pStyle w:val="ARfintablebodyright"/>
            </w:pPr>
            <w:r w:rsidRPr="002029AF">
              <w:t>90.1</w:t>
            </w:r>
          </w:p>
        </w:tc>
        <w:tc>
          <w:tcPr>
            <w:tcW w:w="1418" w:type="dxa"/>
            <w:tcBorders>
              <w:top w:val="single" w:sz="4" w:space="0" w:color="A6A6A6"/>
              <w:bottom w:val="single" w:sz="4" w:space="0" w:color="A6A6A6"/>
            </w:tcBorders>
            <w:noWrap/>
            <w:hideMark/>
          </w:tcPr>
          <w:p w14:paraId="5B0B0CC2" w14:textId="77777777" w:rsidR="0065586C" w:rsidRPr="002029AF" w:rsidRDefault="0065586C" w:rsidP="003566F1">
            <w:pPr>
              <w:pStyle w:val="ARfintablebodyright"/>
            </w:pPr>
            <w:r w:rsidRPr="002029AF">
              <w:t>90.1</w:t>
            </w:r>
          </w:p>
        </w:tc>
      </w:tr>
      <w:tr w:rsidR="0065586C" w:rsidRPr="002029AF" w14:paraId="4C95D216" w14:textId="77777777" w:rsidTr="003566F1">
        <w:tc>
          <w:tcPr>
            <w:tcW w:w="3963" w:type="dxa"/>
            <w:tcBorders>
              <w:top w:val="single" w:sz="4" w:space="0" w:color="A6A6A6"/>
            </w:tcBorders>
            <w:hideMark/>
          </w:tcPr>
          <w:p w14:paraId="4C1A639F" w14:textId="48F9FEA7" w:rsidR="0065586C" w:rsidRPr="002029AF" w:rsidRDefault="0065586C" w:rsidP="003566F1">
            <w:pPr>
              <w:pStyle w:val="ARfintablebody"/>
            </w:pPr>
            <w:r w:rsidRPr="002029AF">
              <w:t>Capital</w:t>
            </w:r>
            <w:r w:rsidR="000A5329" w:rsidRPr="002029AF">
              <w:t xml:space="preserve"> </w:t>
            </w:r>
            <w:r w:rsidRPr="002029AF">
              <w:t>contributed</w:t>
            </w:r>
            <w:r w:rsidR="000A5329" w:rsidRPr="002029AF">
              <w:t xml:space="preserve"> </w:t>
            </w:r>
            <w:r w:rsidRPr="002029AF">
              <w:t>from</w:t>
            </w:r>
            <w:r w:rsidR="000A5329" w:rsidRPr="002029AF">
              <w:t xml:space="preserve"> </w:t>
            </w:r>
            <w:r w:rsidRPr="002029AF">
              <w:t>asset</w:t>
            </w:r>
            <w:r w:rsidR="000A5329" w:rsidRPr="002029AF">
              <w:t xml:space="preserve"> </w:t>
            </w:r>
            <w:r w:rsidRPr="002029AF">
              <w:t>transfers</w:t>
            </w:r>
          </w:p>
        </w:tc>
        <w:tc>
          <w:tcPr>
            <w:tcW w:w="1418" w:type="dxa"/>
            <w:tcBorders>
              <w:top w:val="single" w:sz="4" w:space="0" w:color="A6A6A6"/>
            </w:tcBorders>
            <w:noWrap/>
            <w:hideMark/>
          </w:tcPr>
          <w:p w14:paraId="2B6C9DEF" w14:textId="77777777" w:rsidR="0065586C" w:rsidRPr="002029AF" w:rsidRDefault="0065586C" w:rsidP="003566F1">
            <w:pPr>
              <w:pStyle w:val="ARfintablebodyright"/>
            </w:pPr>
            <w:r w:rsidRPr="002029AF">
              <w:t>–</w:t>
            </w:r>
          </w:p>
        </w:tc>
        <w:tc>
          <w:tcPr>
            <w:tcW w:w="1418" w:type="dxa"/>
            <w:tcBorders>
              <w:top w:val="single" w:sz="4" w:space="0" w:color="A6A6A6"/>
            </w:tcBorders>
            <w:noWrap/>
            <w:hideMark/>
          </w:tcPr>
          <w:p w14:paraId="00F3A522" w14:textId="77777777" w:rsidR="0065586C" w:rsidRPr="002029AF" w:rsidRDefault="0065586C" w:rsidP="003566F1">
            <w:pPr>
              <w:pStyle w:val="ARfintablebodyright"/>
            </w:pPr>
            <w:r w:rsidRPr="002029AF">
              <w:t>–</w:t>
            </w:r>
          </w:p>
        </w:tc>
        <w:tc>
          <w:tcPr>
            <w:tcW w:w="1418" w:type="dxa"/>
            <w:tcBorders>
              <w:top w:val="single" w:sz="4" w:space="0" w:color="A6A6A6"/>
            </w:tcBorders>
            <w:noWrap/>
            <w:hideMark/>
          </w:tcPr>
          <w:p w14:paraId="1E12AB85" w14:textId="77777777" w:rsidR="0065586C" w:rsidRPr="002029AF" w:rsidRDefault="0065586C" w:rsidP="003566F1">
            <w:pPr>
              <w:pStyle w:val="ARfintablebodyright"/>
            </w:pPr>
            <w:r w:rsidRPr="002029AF">
              <w:t>(1.6)</w:t>
            </w:r>
          </w:p>
        </w:tc>
        <w:tc>
          <w:tcPr>
            <w:tcW w:w="1418" w:type="dxa"/>
            <w:tcBorders>
              <w:top w:val="single" w:sz="4" w:space="0" w:color="A6A6A6"/>
            </w:tcBorders>
            <w:noWrap/>
            <w:hideMark/>
          </w:tcPr>
          <w:p w14:paraId="4D4AE090" w14:textId="77777777" w:rsidR="0065586C" w:rsidRPr="002029AF" w:rsidRDefault="0065586C" w:rsidP="003566F1">
            <w:pPr>
              <w:pStyle w:val="ARfintablebodyright"/>
            </w:pPr>
            <w:r w:rsidRPr="002029AF">
              <w:t>(1.6)</w:t>
            </w:r>
          </w:p>
        </w:tc>
      </w:tr>
      <w:tr w:rsidR="0065586C" w:rsidRPr="002029AF" w14:paraId="25C520B6" w14:textId="77777777" w:rsidTr="003566F1">
        <w:tc>
          <w:tcPr>
            <w:tcW w:w="3963" w:type="dxa"/>
            <w:hideMark/>
          </w:tcPr>
          <w:p w14:paraId="2AA96904" w14:textId="4B060800" w:rsidR="0065586C" w:rsidRPr="002029AF" w:rsidRDefault="0065586C" w:rsidP="003566F1">
            <w:pPr>
              <w:pStyle w:val="ARfintablebodybold"/>
            </w:pPr>
            <w:r w:rsidRPr="002029AF">
              <w:t>Balance</w:t>
            </w:r>
            <w:r w:rsidR="000A5329" w:rsidRPr="002029AF">
              <w:t xml:space="preserve"> </w:t>
            </w:r>
            <w:r w:rsidRPr="002029AF">
              <w:t>at</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p>
        </w:tc>
        <w:tc>
          <w:tcPr>
            <w:tcW w:w="1418" w:type="dxa"/>
            <w:noWrap/>
            <w:hideMark/>
          </w:tcPr>
          <w:p w14:paraId="402E7BD2" w14:textId="77777777" w:rsidR="0065586C" w:rsidRPr="002029AF" w:rsidRDefault="0065586C" w:rsidP="003566F1">
            <w:pPr>
              <w:pStyle w:val="ARfintablebodyrightbold"/>
            </w:pPr>
            <w:r w:rsidRPr="002029AF">
              <w:t>6,697.9</w:t>
            </w:r>
          </w:p>
        </w:tc>
        <w:tc>
          <w:tcPr>
            <w:tcW w:w="1418" w:type="dxa"/>
            <w:noWrap/>
            <w:hideMark/>
          </w:tcPr>
          <w:p w14:paraId="5250F810" w14:textId="77777777" w:rsidR="0065586C" w:rsidRPr="002029AF" w:rsidRDefault="0065586C" w:rsidP="003566F1">
            <w:pPr>
              <w:pStyle w:val="ARfintablebodyrightbold"/>
            </w:pPr>
            <w:r w:rsidRPr="002029AF">
              <w:t>(783.8)</w:t>
            </w:r>
          </w:p>
        </w:tc>
        <w:tc>
          <w:tcPr>
            <w:tcW w:w="1418" w:type="dxa"/>
            <w:noWrap/>
            <w:hideMark/>
          </w:tcPr>
          <w:p w14:paraId="07495050" w14:textId="77777777" w:rsidR="0065586C" w:rsidRPr="002029AF" w:rsidRDefault="0065586C" w:rsidP="003566F1">
            <w:pPr>
              <w:pStyle w:val="ARfintablebodyrightbold"/>
            </w:pPr>
            <w:r w:rsidRPr="002029AF">
              <w:t>20,943.6</w:t>
            </w:r>
          </w:p>
        </w:tc>
        <w:tc>
          <w:tcPr>
            <w:tcW w:w="1418" w:type="dxa"/>
            <w:noWrap/>
            <w:hideMark/>
          </w:tcPr>
          <w:p w14:paraId="229AC004" w14:textId="77777777" w:rsidR="0065586C" w:rsidRPr="002029AF" w:rsidRDefault="0065586C" w:rsidP="003566F1">
            <w:pPr>
              <w:pStyle w:val="ARfintablebodyrightbold"/>
            </w:pPr>
            <w:r w:rsidRPr="002029AF">
              <w:t>26,857.7</w:t>
            </w:r>
          </w:p>
        </w:tc>
      </w:tr>
    </w:tbl>
    <w:p w14:paraId="1684B5FE" w14:textId="77777777" w:rsidR="0065586C" w:rsidRPr="002029AF" w:rsidRDefault="0065586C" w:rsidP="0065586C">
      <w:pPr>
        <w:pStyle w:val="ARfinbody"/>
      </w:pPr>
      <w:r w:rsidRPr="002029AF">
        <w:br w:type="page"/>
      </w:r>
    </w:p>
    <w:p w14:paraId="7C469CDF" w14:textId="6FCB16E2" w:rsidR="0065586C" w:rsidRPr="002029AF" w:rsidRDefault="0065586C" w:rsidP="0065586C">
      <w:pPr>
        <w:pStyle w:val="Heading3"/>
        <w:spacing w:after="240"/>
      </w:pPr>
      <w:bookmarkStart w:id="428" w:name="_Toc51235525"/>
      <w:r w:rsidRPr="002029AF">
        <w:lastRenderedPageBreak/>
        <w:t>Cash</w:t>
      </w:r>
      <w:r w:rsidR="000A5329" w:rsidRPr="002029AF">
        <w:t xml:space="preserve"> </w:t>
      </w:r>
      <w:r w:rsidRPr="002029AF">
        <w:t>flow</w:t>
      </w:r>
      <w:r w:rsidR="000A5329" w:rsidRPr="002029AF">
        <w:t xml:space="preserve"> </w:t>
      </w:r>
      <w:r w:rsidRPr="002029AF">
        <w:t>statement</w:t>
      </w:r>
      <w:r w:rsidR="000A5329" w:rsidRPr="002029AF">
        <w:t xml:space="preserve"> </w:t>
      </w:r>
      <w:r w:rsidRPr="002029AF">
        <w:t>for</w:t>
      </w:r>
      <w:r w:rsidR="000A5329" w:rsidRPr="002029AF">
        <w:t xml:space="preserve"> </w:t>
      </w:r>
      <w:r w:rsidRPr="002029AF">
        <w:t>the</w:t>
      </w:r>
      <w:r w:rsidR="000A5329" w:rsidRPr="002029AF">
        <w:t xml:space="preserve"> </w:t>
      </w:r>
      <w:r w:rsidRPr="002029AF">
        <w:t>financial</w:t>
      </w:r>
      <w:r w:rsidR="000A5329" w:rsidRPr="002029AF">
        <w:t xml:space="preserve"> </w:t>
      </w:r>
      <w:r w:rsidRPr="002029AF">
        <w:t>year</w:t>
      </w:r>
      <w:r w:rsidR="000A5329" w:rsidRPr="002029AF">
        <w:t xml:space="preserve"> </w:t>
      </w:r>
      <w:r w:rsidRPr="002029AF">
        <w:t>ended</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bookmarkEnd w:id="428"/>
    </w:p>
    <w:tbl>
      <w:tblPr>
        <w:tblStyle w:val="TableGrid"/>
        <w:tblW w:w="9637" w:type="dxa"/>
        <w:tblLayout w:type="fixed"/>
        <w:tblLook w:val="06A0" w:firstRow="1" w:lastRow="0" w:firstColumn="1" w:lastColumn="0" w:noHBand="1" w:noVBand="1"/>
      </w:tblPr>
      <w:tblGrid>
        <w:gridCol w:w="7369"/>
        <w:gridCol w:w="1134"/>
        <w:gridCol w:w="1134"/>
      </w:tblGrid>
      <w:tr w:rsidR="0065586C" w:rsidRPr="002029AF" w14:paraId="3EFB6462"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7369" w:type="dxa"/>
            <w:tcBorders>
              <w:bottom w:val="single" w:sz="4" w:space="0" w:color="auto"/>
            </w:tcBorders>
            <w:noWrap/>
            <w:hideMark/>
          </w:tcPr>
          <w:p w14:paraId="3BFD21C8" w14:textId="77777777" w:rsidR="0065586C" w:rsidRPr="002029AF" w:rsidRDefault="0065586C" w:rsidP="003566F1">
            <w:pPr>
              <w:pStyle w:val="ARfintablecolhead"/>
            </w:pPr>
          </w:p>
        </w:tc>
        <w:tc>
          <w:tcPr>
            <w:tcW w:w="1134" w:type="dxa"/>
            <w:tcBorders>
              <w:bottom w:val="single" w:sz="4" w:space="0" w:color="auto"/>
            </w:tcBorders>
            <w:shd w:val="clear" w:color="auto" w:fill="E7E6E6"/>
            <w:hideMark/>
          </w:tcPr>
          <w:p w14:paraId="7905B86A" w14:textId="77777777" w:rsidR="0065586C" w:rsidRPr="002029AF" w:rsidRDefault="0065586C" w:rsidP="003566F1">
            <w:pPr>
              <w:pStyle w:val="ARfintablecolheadright"/>
            </w:pPr>
            <w:r w:rsidRPr="002029AF">
              <w:t>2020</w:t>
            </w:r>
          </w:p>
          <w:p w14:paraId="6B80B4A3" w14:textId="77777777" w:rsidR="0065586C" w:rsidRPr="002029AF" w:rsidRDefault="0065586C" w:rsidP="003566F1">
            <w:pPr>
              <w:pStyle w:val="ARfintablecolheadright"/>
            </w:pPr>
            <w:r w:rsidRPr="002029AF">
              <w:t>$M</w:t>
            </w:r>
          </w:p>
        </w:tc>
        <w:tc>
          <w:tcPr>
            <w:tcW w:w="1134" w:type="dxa"/>
            <w:tcBorders>
              <w:bottom w:val="single" w:sz="4" w:space="0" w:color="auto"/>
            </w:tcBorders>
            <w:hideMark/>
          </w:tcPr>
          <w:p w14:paraId="439ED46A" w14:textId="77777777" w:rsidR="0065586C" w:rsidRPr="002029AF" w:rsidRDefault="0065586C" w:rsidP="003566F1">
            <w:pPr>
              <w:pStyle w:val="ARfintablecolheadright"/>
            </w:pPr>
            <w:r w:rsidRPr="002029AF">
              <w:t>2019</w:t>
            </w:r>
          </w:p>
          <w:p w14:paraId="3F47C272" w14:textId="77777777" w:rsidR="0065586C" w:rsidRPr="002029AF" w:rsidRDefault="0065586C" w:rsidP="003566F1">
            <w:pPr>
              <w:pStyle w:val="ARfintablecolheadright"/>
            </w:pPr>
            <w:r w:rsidRPr="002029AF">
              <w:t>$M</w:t>
            </w:r>
          </w:p>
        </w:tc>
      </w:tr>
      <w:tr w:rsidR="0065586C" w:rsidRPr="002029AF" w14:paraId="328D4B04" w14:textId="77777777" w:rsidTr="003566F1">
        <w:tc>
          <w:tcPr>
            <w:tcW w:w="9637" w:type="dxa"/>
            <w:gridSpan w:val="3"/>
            <w:tcBorders>
              <w:top w:val="single" w:sz="4" w:space="0" w:color="auto"/>
              <w:bottom w:val="single" w:sz="4" w:space="0" w:color="A6A6A6"/>
            </w:tcBorders>
            <w:hideMark/>
          </w:tcPr>
          <w:p w14:paraId="4D46DCB1" w14:textId="0088B0AF" w:rsidR="0065586C" w:rsidRPr="002029AF" w:rsidRDefault="0065586C" w:rsidP="003566F1">
            <w:pPr>
              <w:pStyle w:val="ARfintablebodybold"/>
            </w:pPr>
            <w:r w:rsidRPr="002029AF">
              <w:t>Cash</w:t>
            </w:r>
            <w:r w:rsidR="000A5329" w:rsidRPr="002029AF">
              <w:t xml:space="preserve"> </w:t>
            </w:r>
            <w:r w:rsidRPr="002029AF">
              <w:t>flows</w:t>
            </w:r>
            <w:r w:rsidR="000A5329" w:rsidRPr="002029AF">
              <w:t xml:space="preserve"> </w:t>
            </w:r>
            <w:r w:rsidRPr="002029AF">
              <w:t>from</w:t>
            </w:r>
            <w:r w:rsidR="000A5329" w:rsidRPr="002029AF">
              <w:t xml:space="preserve"> </w:t>
            </w:r>
            <w:r w:rsidRPr="002029AF">
              <w:t>operating</w:t>
            </w:r>
            <w:r w:rsidR="000A5329" w:rsidRPr="002029AF">
              <w:t xml:space="preserve"> </w:t>
            </w:r>
            <w:r w:rsidRPr="002029AF">
              <w:t>activities</w:t>
            </w:r>
          </w:p>
        </w:tc>
      </w:tr>
      <w:tr w:rsidR="0065586C" w:rsidRPr="002029AF" w14:paraId="64B7B4C7" w14:textId="77777777" w:rsidTr="003566F1">
        <w:tc>
          <w:tcPr>
            <w:tcW w:w="9637" w:type="dxa"/>
            <w:gridSpan w:val="3"/>
            <w:tcBorders>
              <w:top w:val="single" w:sz="4" w:space="0" w:color="A6A6A6"/>
              <w:bottom w:val="single" w:sz="4" w:space="0" w:color="A6A6A6"/>
            </w:tcBorders>
            <w:hideMark/>
          </w:tcPr>
          <w:p w14:paraId="7183B4B0" w14:textId="77777777" w:rsidR="0065586C" w:rsidRPr="002029AF" w:rsidRDefault="0065586C" w:rsidP="003566F1">
            <w:pPr>
              <w:pStyle w:val="ARfintablebodybold"/>
            </w:pPr>
            <w:r w:rsidRPr="002029AF">
              <w:t>Receipts</w:t>
            </w:r>
          </w:p>
        </w:tc>
      </w:tr>
      <w:tr w:rsidR="0065586C" w:rsidRPr="002029AF" w14:paraId="7897D597" w14:textId="77777777" w:rsidTr="003566F1">
        <w:tc>
          <w:tcPr>
            <w:tcW w:w="7369" w:type="dxa"/>
            <w:tcBorders>
              <w:top w:val="single" w:sz="4" w:space="0" w:color="A6A6A6"/>
              <w:bottom w:val="single" w:sz="4" w:space="0" w:color="A6A6A6"/>
            </w:tcBorders>
            <w:hideMark/>
          </w:tcPr>
          <w:p w14:paraId="769F2569" w14:textId="26688934" w:rsidR="0065586C" w:rsidRPr="002029AF" w:rsidRDefault="0065586C" w:rsidP="003566F1">
            <w:pPr>
              <w:pStyle w:val="ARfintablebody"/>
            </w:pPr>
            <w:r w:rsidRPr="002029AF">
              <w:t>Receipts</w:t>
            </w:r>
            <w:r w:rsidR="000A5329" w:rsidRPr="002029AF">
              <w:t xml:space="preserve"> </w:t>
            </w:r>
            <w:r w:rsidRPr="002029AF">
              <w:t>of</w:t>
            </w:r>
            <w:r w:rsidR="000A5329" w:rsidRPr="002029AF">
              <w:t xml:space="preserve"> </w:t>
            </w:r>
            <w:r w:rsidRPr="002029AF">
              <w:t>output</w:t>
            </w:r>
            <w:r w:rsidR="000A5329" w:rsidRPr="002029AF">
              <w:t xml:space="preserve"> </w:t>
            </w:r>
            <w:r w:rsidRPr="002029AF">
              <w:t>appropriations</w:t>
            </w:r>
          </w:p>
        </w:tc>
        <w:tc>
          <w:tcPr>
            <w:tcW w:w="1134" w:type="dxa"/>
            <w:tcBorders>
              <w:top w:val="single" w:sz="4" w:space="0" w:color="A6A6A6"/>
              <w:bottom w:val="single" w:sz="4" w:space="0" w:color="A6A6A6"/>
            </w:tcBorders>
            <w:shd w:val="clear" w:color="auto" w:fill="E7E6E6"/>
            <w:noWrap/>
            <w:hideMark/>
          </w:tcPr>
          <w:p w14:paraId="526B154B" w14:textId="77777777" w:rsidR="0065586C" w:rsidRPr="002029AF" w:rsidRDefault="0065586C" w:rsidP="003566F1">
            <w:pPr>
              <w:pStyle w:val="ARfintablebodyright"/>
            </w:pPr>
            <w:r w:rsidRPr="002029AF">
              <w:t>646.1</w:t>
            </w:r>
          </w:p>
        </w:tc>
        <w:tc>
          <w:tcPr>
            <w:tcW w:w="1134" w:type="dxa"/>
            <w:tcBorders>
              <w:top w:val="single" w:sz="4" w:space="0" w:color="A6A6A6"/>
              <w:bottom w:val="single" w:sz="4" w:space="0" w:color="A6A6A6"/>
            </w:tcBorders>
            <w:noWrap/>
            <w:hideMark/>
          </w:tcPr>
          <w:p w14:paraId="711CCAAA" w14:textId="77777777" w:rsidR="0065586C" w:rsidRPr="002029AF" w:rsidRDefault="0065586C" w:rsidP="003566F1">
            <w:pPr>
              <w:pStyle w:val="ARfintablebodyright"/>
            </w:pPr>
            <w:r w:rsidRPr="002029AF">
              <w:t>618.8</w:t>
            </w:r>
          </w:p>
        </w:tc>
      </w:tr>
      <w:tr w:rsidR="0065586C" w:rsidRPr="002029AF" w14:paraId="79094468" w14:textId="77777777" w:rsidTr="003566F1">
        <w:tc>
          <w:tcPr>
            <w:tcW w:w="7369" w:type="dxa"/>
            <w:tcBorders>
              <w:top w:val="single" w:sz="4" w:space="0" w:color="A6A6A6"/>
              <w:bottom w:val="single" w:sz="4" w:space="0" w:color="A6A6A6"/>
            </w:tcBorders>
            <w:hideMark/>
          </w:tcPr>
          <w:p w14:paraId="73E9E92E" w14:textId="01793562" w:rsidR="0065586C" w:rsidRPr="002029AF" w:rsidRDefault="0065586C" w:rsidP="003566F1">
            <w:pPr>
              <w:pStyle w:val="ARfintablebody"/>
            </w:pPr>
            <w:r w:rsidRPr="002029AF">
              <w:t>Receipts</w:t>
            </w:r>
            <w:r w:rsidR="000A5329" w:rsidRPr="002029AF">
              <w:t xml:space="preserve"> </w:t>
            </w:r>
            <w:r w:rsidRPr="002029AF">
              <w:t>of</w:t>
            </w:r>
            <w:r w:rsidR="000A5329" w:rsidRPr="002029AF">
              <w:t xml:space="preserve"> </w:t>
            </w:r>
            <w:r w:rsidRPr="002029AF">
              <w:t>funds</w:t>
            </w:r>
            <w:r w:rsidR="000A5329" w:rsidRPr="002029AF">
              <w:t xml:space="preserve"> </w:t>
            </w:r>
            <w:r w:rsidRPr="002029AF">
              <w:t>from</w:t>
            </w:r>
            <w:r w:rsidR="000A5329" w:rsidRPr="002029AF">
              <w:t xml:space="preserve"> </w:t>
            </w:r>
            <w:r w:rsidRPr="002029AF">
              <w:t>other</w:t>
            </w:r>
            <w:r w:rsidR="000A5329" w:rsidRPr="002029AF">
              <w:t xml:space="preserve"> </w:t>
            </w:r>
            <w:r w:rsidRPr="002029AF">
              <w:t>authorities</w:t>
            </w:r>
          </w:p>
        </w:tc>
        <w:tc>
          <w:tcPr>
            <w:tcW w:w="1134" w:type="dxa"/>
            <w:tcBorders>
              <w:top w:val="single" w:sz="4" w:space="0" w:color="A6A6A6"/>
              <w:bottom w:val="single" w:sz="4" w:space="0" w:color="A6A6A6"/>
            </w:tcBorders>
            <w:shd w:val="clear" w:color="auto" w:fill="E7E6E6"/>
            <w:noWrap/>
            <w:hideMark/>
          </w:tcPr>
          <w:p w14:paraId="6FA37621" w14:textId="77777777" w:rsidR="0065586C" w:rsidRPr="002029AF" w:rsidRDefault="0065586C" w:rsidP="003566F1">
            <w:pPr>
              <w:pStyle w:val="ARfintablebodyright"/>
            </w:pPr>
            <w:r w:rsidRPr="002029AF">
              <w:t>28.5</w:t>
            </w:r>
          </w:p>
        </w:tc>
        <w:tc>
          <w:tcPr>
            <w:tcW w:w="1134" w:type="dxa"/>
            <w:tcBorders>
              <w:top w:val="single" w:sz="4" w:space="0" w:color="A6A6A6"/>
              <w:bottom w:val="single" w:sz="4" w:space="0" w:color="A6A6A6"/>
            </w:tcBorders>
            <w:noWrap/>
            <w:hideMark/>
          </w:tcPr>
          <w:p w14:paraId="6CF7C9E5" w14:textId="77777777" w:rsidR="0065586C" w:rsidRPr="002029AF" w:rsidRDefault="0065586C" w:rsidP="003566F1">
            <w:pPr>
              <w:pStyle w:val="ARfintablebodyright"/>
            </w:pPr>
            <w:r w:rsidRPr="002029AF">
              <w:t>11.9</w:t>
            </w:r>
          </w:p>
        </w:tc>
      </w:tr>
      <w:tr w:rsidR="0065586C" w:rsidRPr="002029AF" w14:paraId="64A22B8F" w14:textId="77777777" w:rsidTr="003566F1">
        <w:tc>
          <w:tcPr>
            <w:tcW w:w="7369" w:type="dxa"/>
            <w:tcBorders>
              <w:top w:val="single" w:sz="4" w:space="0" w:color="A6A6A6"/>
              <w:bottom w:val="single" w:sz="4" w:space="0" w:color="A6A6A6"/>
            </w:tcBorders>
            <w:hideMark/>
          </w:tcPr>
          <w:p w14:paraId="73925179" w14:textId="3268374E" w:rsidR="0065586C" w:rsidRPr="002029AF" w:rsidRDefault="0065586C" w:rsidP="003566F1">
            <w:pPr>
              <w:pStyle w:val="ARfintablebody"/>
            </w:pPr>
            <w:r w:rsidRPr="002029AF">
              <w:t>Rent</w:t>
            </w:r>
            <w:r w:rsidR="000A5329" w:rsidRPr="002029AF">
              <w:t xml:space="preserve"> </w:t>
            </w:r>
            <w:r w:rsidRPr="002029AF">
              <w:t>received</w:t>
            </w:r>
          </w:p>
        </w:tc>
        <w:tc>
          <w:tcPr>
            <w:tcW w:w="1134" w:type="dxa"/>
            <w:tcBorders>
              <w:top w:val="single" w:sz="4" w:space="0" w:color="A6A6A6"/>
              <w:bottom w:val="single" w:sz="4" w:space="0" w:color="A6A6A6"/>
            </w:tcBorders>
            <w:shd w:val="clear" w:color="auto" w:fill="E7E6E6"/>
            <w:noWrap/>
            <w:hideMark/>
          </w:tcPr>
          <w:p w14:paraId="4F4C8D5C" w14:textId="77777777" w:rsidR="0065586C" w:rsidRPr="002029AF" w:rsidRDefault="0065586C" w:rsidP="003566F1">
            <w:pPr>
              <w:pStyle w:val="ARfintablebodyright"/>
            </w:pPr>
            <w:r w:rsidRPr="002029AF">
              <w:t>491.4</w:t>
            </w:r>
          </w:p>
        </w:tc>
        <w:tc>
          <w:tcPr>
            <w:tcW w:w="1134" w:type="dxa"/>
            <w:tcBorders>
              <w:top w:val="single" w:sz="4" w:space="0" w:color="A6A6A6"/>
              <w:bottom w:val="single" w:sz="4" w:space="0" w:color="A6A6A6"/>
            </w:tcBorders>
            <w:noWrap/>
            <w:hideMark/>
          </w:tcPr>
          <w:p w14:paraId="46D7ECBF" w14:textId="77777777" w:rsidR="0065586C" w:rsidRPr="002029AF" w:rsidRDefault="0065586C" w:rsidP="003566F1">
            <w:pPr>
              <w:pStyle w:val="ARfintablebodyright"/>
            </w:pPr>
            <w:r w:rsidRPr="002029AF">
              <w:t>479.3</w:t>
            </w:r>
          </w:p>
        </w:tc>
      </w:tr>
      <w:tr w:rsidR="0065586C" w:rsidRPr="002029AF" w14:paraId="695F9272" w14:textId="77777777" w:rsidTr="003566F1">
        <w:tc>
          <w:tcPr>
            <w:tcW w:w="7369" w:type="dxa"/>
            <w:tcBorders>
              <w:top w:val="single" w:sz="4" w:space="0" w:color="A6A6A6"/>
              <w:bottom w:val="single" w:sz="4" w:space="0" w:color="A6A6A6"/>
            </w:tcBorders>
            <w:hideMark/>
          </w:tcPr>
          <w:p w14:paraId="3C6DF46D" w14:textId="1CCEB29D" w:rsidR="0065586C" w:rsidRPr="002029AF" w:rsidRDefault="0065586C" w:rsidP="003566F1">
            <w:pPr>
              <w:pStyle w:val="ARfintablebody"/>
            </w:pPr>
            <w:r w:rsidRPr="002029AF">
              <w:t>User</w:t>
            </w:r>
            <w:r w:rsidR="000A5329" w:rsidRPr="002029AF">
              <w:t xml:space="preserve"> </w:t>
            </w:r>
            <w:r w:rsidRPr="002029AF">
              <w:t>charges</w:t>
            </w:r>
            <w:r w:rsidR="000A5329" w:rsidRPr="002029AF">
              <w:t xml:space="preserve"> </w:t>
            </w:r>
            <w:r w:rsidRPr="002029AF">
              <w:t>received</w:t>
            </w:r>
            <w:r w:rsidR="000A5329" w:rsidRPr="002029AF">
              <w:t xml:space="preserve"> </w:t>
            </w:r>
            <w:r w:rsidRPr="002029AF">
              <w:t>–</w:t>
            </w:r>
            <w:r w:rsidR="000A5329" w:rsidRPr="002029AF">
              <w:t xml:space="preserve"> </w:t>
            </w:r>
            <w:r w:rsidRPr="002029AF">
              <w:t>rental</w:t>
            </w:r>
            <w:r w:rsidR="000A5329" w:rsidRPr="002029AF">
              <w:t xml:space="preserve"> </w:t>
            </w:r>
            <w:r w:rsidRPr="002029AF">
              <w:t>properties</w:t>
            </w:r>
          </w:p>
        </w:tc>
        <w:tc>
          <w:tcPr>
            <w:tcW w:w="1134" w:type="dxa"/>
            <w:tcBorders>
              <w:top w:val="single" w:sz="4" w:space="0" w:color="A6A6A6"/>
              <w:bottom w:val="single" w:sz="4" w:space="0" w:color="A6A6A6"/>
            </w:tcBorders>
            <w:shd w:val="clear" w:color="auto" w:fill="E7E6E6"/>
            <w:noWrap/>
            <w:hideMark/>
          </w:tcPr>
          <w:p w14:paraId="6146CD84" w14:textId="77777777" w:rsidR="0065586C" w:rsidRPr="002029AF" w:rsidRDefault="0065586C" w:rsidP="003566F1">
            <w:pPr>
              <w:pStyle w:val="ARfintablebodyright"/>
            </w:pPr>
            <w:r w:rsidRPr="002029AF">
              <w:t>4.8</w:t>
            </w:r>
          </w:p>
        </w:tc>
        <w:tc>
          <w:tcPr>
            <w:tcW w:w="1134" w:type="dxa"/>
            <w:tcBorders>
              <w:top w:val="single" w:sz="4" w:space="0" w:color="A6A6A6"/>
              <w:bottom w:val="single" w:sz="4" w:space="0" w:color="A6A6A6"/>
            </w:tcBorders>
            <w:noWrap/>
            <w:hideMark/>
          </w:tcPr>
          <w:p w14:paraId="74472B93" w14:textId="77777777" w:rsidR="0065586C" w:rsidRPr="002029AF" w:rsidRDefault="0065586C" w:rsidP="003566F1">
            <w:pPr>
              <w:pStyle w:val="ARfintablebodyright"/>
            </w:pPr>
            <w:r w:rsidRPr="002029AF">
              <w:t>4.8</w:t>
            </w:r>
          </w:p>
        </w:tc>
      </w:tr>
      <w:tr w:rsidR="0065586C" w:rsidRPr="002029AF" w14:paraId="5BEA0263" w14:textId="77777777" w:rsidTr="003566F1">
        <w:tc>
          <w:tcPr>
            <w:tcW w:w="7369" w:type="dxa"/>
            <w:tcBorders>
              <w:top w:val="single" w:sz="4" w:space="0" w:color="A6A6A6"/>
              <w:bottom w:val="single" w:sz="4" w:space="0" w:color="A6A6A6"/>
            </w:tcBorders>
            <w:hideMark/>
          </w:tcPr>
          <w:p w14:paraId="12821CEC" w14:textId="5DE9C3A4" w:rsidR="0065586C" w:rsidRPr="002029AF" w:rsidRDefault="0065586C" w:rsidP="003566F1">
            <w:pPr>
              <w:pStyle w:val="ARfintablebody"/>
            </w:pPr>
            <w:r w:rsidRPr="002029AF">
              <w:t>Interest</w:t>
            </w:r>
            <w:r w:rsidR="000A5329" w:rsidRPr="002029AF">
              <w:t xml:space="preserve"> </w:t>
            </w:r>
            <w:r w:rsidRPr="002029AF">
              <w:t>received</w:t>
            </w:r>
          </w:p>
        </w:tc>
        <w:tc>
          <w:tcPr>
            <w:tcW w:w="1134" w:type="dxa"/>
            <w:tcBorders>
              <w:top w:val="single" w:sz="4" w:space="0" w:color="A6A6A6"/>
              <w:bottom w:val="single" w:sz="4" w:space="0" w:color="A6A6A6"/>
            </w:tcBorders>
            <w:shd w:val="clear" w:color="auto" w:fill="E7E6E6"/>
            <w:noWrap/>
            <w:hideMark/>
          </w:tcPr>
          <w:p w14:paraId="249C46BA" w14:textId="77777777" w:rsidR="0065586C" w:rsidRPr="002029AF" w:rsidRDefault="0065586C" w:rsidP="003566F1">
            <w:pPr>
              <w:pStyle w:val="ARfintablebodyright"/>
            </w:pPr>
            <w:r w:rsidRPr="002029AF">
              <w:t>7.1</w:t>
            </w:r>
          </w:p>
        </w:tc>
        <w:tc>
          <w:tcPr>
            <w:tcW w:w="1134" w:type="dxa"/>
            <w:tcBorders>
              <w:top w:val="single" w:sz="4" w:space="0" w:color="A6A6A6"/>
              <w:bottom w:val="single" w:sz="4" w:space="0" w:color="A6A6A6"/>
            </w:tcBorders>
            <w:noWrap/>
            <w:hideMark/>
          </w:tcPr>
          <w:p w14:paraId="1A5221DE" w14:textId="77777777" w:rsidR="0065586C" w:rsidRPr="002029AF" w:rsidRDefault="0065586C" w:rsidP="003566F1">
            <w:pPr>
              <w:pStyle w:val="ARfintablebodyright"/>
            </w:pPr>
            <w:r w:rsidRPr="002029AF">
              <w:t>13.8</w:t>
            </w:r>
          </w:p>
        </w:tc>
      </w:tr>
      <w:tr w:rsidR="0065586C" w:rsidRPr="002029AF" w14:paraId="152A3637" w14:textId="77777777" w:rsidTr="003566F1">
        <w:tc>
          <w:tcPr>
            <w:tcW w:w="7369" w:type="dxa"/>
            <w:tcBorders>
              <w:top w:val="single" w:sz="4" w:space="0" w:color="A6A6A6"/>
              <w:bottom w:val="single" w:sz="4" w:space="0" w:color="A6A6A6"/>
            </w:tcBorders>
            <w:hideMark/>
          </w:tcPr>
          <w:p w14:paraId="3B6A6768" w14:textId="5447CFD6" w:rsidR="0065586C" w:rsidRPr="002029AF" w:rsidRDefault="0065586C" w:rsidP="003566F1">
            <w:pPr>
              <w:pStyle w:val="ARfintablebody"/>
            </w:pPr>
            <w:r w:rsidRPr="002029AF">
              <w:t>Other</w:t>
            </w:r>
            <w:r w:rsidR="000A5329" w:rsidRPr="002029AF">
              <w:t xml:space="preserve"> </w:t>
            </w:r>
            <w:r w:rsidRPr="002029AF">
              <w:t>receipts</w:t>
            </w:r>
          </w:p>
        </w:tc>
        <w:tc>
          <w:tcPr>
            <w:tcW w:w="1134" w:type="dxa"/>
            <w:tcBorders>
              <w:top w:val="single" w:sz="4" w:space="0" w:color="A6A6A6"/>
              <w:bottom w:val="single" w:sz="4" w:space="0" w:color="A6A6A6"/>
            </w:tcBorders>
            <w:shd w:val="clear" w:color="auto" w:fill="E7E6E6"/>
            <w:noWrap/>
            <w:hideMark/>
          </w:tcPr>
          <w:p w14:paraId="7C0DD9A5" w14:textId="77777777" w:rsidR="0065586C" w:rsidRPr="002029AF" w:rsidRDefault="0065586C" w:rsidP="003566F1">
            <w:pPr>
              <w:pStyle w:val="ARfintablebodyright"/>
            </w:pPr>
            <w:r w:rsidRPr="002029AF">
              <w:t>0.2</w:t>
            </w:r>
          </w:p>
        </w:tc>
        <w:tc>
          <w:tcPr>
            <w:tcW w:w="1134" w:type="dxa"/>
            <w:tcBorders>
              <w:top w:val="single" w:sz="4" w:space="0" w:color="A6A6A6"/>
              <w:bottom w:val="single" w:sz="4" w:space="0" w:color="A6A6A6"/>
            </w:tcBorders>
            <w:noWrap/>
            <w:hideMark/>
          </w:tcPr>
          <w:p w14:paraId="3A63791E" w14:textId="77777777" w:rsidR="0065586C" w:rsidRPr="002029AF" w:rsidRDefault="0065586C" w:rsidP="003566F1">
            <w:pPr>
              <w:pStyle w:val="ARfintablebodyright"/>
            </w:pPr>
            <w:r w:rsidRPr="002029AF">
              <w:t>3.2</w:t>
            </w:r>
          </w:p>
        </w:tc>
      </w:tr>
      <w:tr w:rsidR="0065586C" w:rsidRPr="002029AF" w14:paraId="19FCA723" w14:textId="77777777" w:rsidTr="003566F1">
        <w:tc>
          <w:tcPr>
            <w:tcW w:w="7369" w:type="dxa"/>
            <w:tcBorders>
              <w:top w:val="single" w:sz="4" w:space="0" w:color="A6A6A6"/>
            </w:tcBorders>
            <w:hideMark/>
          </w:tcPr>
          <w:p w14:paraId="0F6E85F2" w14:textId="5DB82809" w:rsidR="0065586C" w:rsidRPr="002029AF" w:rsidRDefault="0065586C" w:rsidP="003566F1">
            <w:pPr>
              <w:pStyle w:val="ARfintablebody"/>
            </w:pPr>
            <w:r w:rsidRPr="002029AF">
              <w:t>GST</w:t>
            </w:r>
            <w:r w:rsidR="000A5329" w:rsidRPr="002029AF">
              <w:t xml:space="preserve"> </w:t>
            </w:r>
            <w:r w:rsidRPr="002029AF">
              <w:t>recovered</w:t>
            </w:r>
            <w:r w:rsidR="000A5329" w:rsidRPr="002029AF">
              <w:t xml:space="preserve"> </w:t>
            </w:r>
            <w:r w:rsidRPr="002029AF">
              <w:t>from</w:t>
            </w:r>
            <w:r w:rsidR="000A5329" w:rsidRPr="002029AF">
              <w:t xml:space="preserve"> </w:t>
            </w:r>
            <w:r w:rsidRPr="002029AF">
              <w:t>Australian</w:t>
            </w:r>
            <w:r w:rsidR="000A5329" w:rsidRPr="002029AF">
              <w:t xml:space="preserve"> </w:t>
            </w:r>
            <w:r w:rsidRPr="002029AF">
              <w:t>Taxation</w:t>
            </w:r>
            <w:r w:rsidR="000A5329" w:rsidRPr="002029AF">
              <w:t xml:space="preserve"> </w:t>
            </w:r>
            <w:r w:rsidRPr="002029AF">
              <w:t>Office</w:t>
            </w:r>
            <w:r w:rsidR="000A5329" w:rsidRPr="002029AF">
              <w:t xml:space="preserve"> </w:t>
            </w:r>
            <w:r w:rsidRPr="002029AF">
              <w:rPr>
                <w:rStyle w:val="Superscript"/>
              </w:rPr>
              <w:t>(i)</w:t>
            </w:r>
          </w:p>
        </w:tc>
        <w:tc>
          <w:tcPr>
            <w:tcW w:w="1134" w:type="dxa"/>
            <w:tcBorders>
              <w:top w:val="single" w:sz="4" w:space="0" w:color="A6A6A6"/>
            </w:tcBorders>
            <w:shd w:val="clear" w:color="auto" w:fill="E7E6E6"/>
            <w:noWrap/>
            <w:hideMark/>
          </w:tcPr>
          <w:p w14:paraId="1E153D9A" w14:textId="77777777" w:rsidR="0065586C" w:rsidRPr="002029AF" w:rsidRDefault="0065586C" w:rsidP="003566F1">
            <w:pPr>
              <w:pStyle w:val="ARfintablebodyright"/>
            </w:pPr>
            <w:r w:rsidRPr="002029AF">
              <w:t>44.4</w:t>
            </w:r>
          </w:p>
        </w:tc>
        <w:tc>
          <w:tcPr>
            <w:tcW w:w="1134" w:type="dxa"/>
            <w:tcBorders>
              <w:top w:val="single" w:sz="4" w:space="0" w:color="A6A6A6"/>
            </w:tcBorders>
            <w:noWrap/>
            <w:hideMark/>
          </w:tcPr>
          <w:p w14:paraId="2FE908A0" w14:textId="77777777" w:rsidR="0065586C" w:rsidRPr="002029AF" w:rsidRDefault="0065586C" w:rsidP="003566F1">
            <w:pPr>
              <w:pStyle w:val="ARfintablebodyright"/>
            </w:pPr>
            <w:r w:rsidRPr="002029AF">
              <w:t>41.8</w:t>
            </w:r>
          </w:p>
        </w:tc>
      </w:tr>
      <w:tr w:rsidR="0065586C" w:rsidRPr="002029AF" w14:paraId="770043C4" w14:textId="77777777" w:rsidTr="003566F1">
        <w:tc>
          <w:tcPr>
            <w:tcW w:w="7369" w:type="dxa"/>
            <w:tcBorders>
              <w:bottom w:val="single" w:sz="4" w:space="0" w:color="auto"/>
            </w:tcBorders>
            <w:hideMark/>
          </w:tcPr>
          <w:p w14:paraId="0CA4A85C" w14:textId="72B93B7D" w:rsidR="0065586C" w:rsidRPr="002029AF" w:rsidRDefault="0065586C" w:rsidP="003566F1">
            <w:pPr>
              <w:pStyle w:val="ARfintablebodybold"/>
            </w:pPr>
            <w:r w:rsidRPr="002029AF">
              <w:t>Total</w:t>
            </w:r>
            <w:r w:rsidR="000A5329" w:rsidRPr="002029AF">
              <w:t xml:space="preserve"> </w:t>
            </w:r>
            <w:r w:rsidRPr="002029AF">
              <w:t>receipts</w:t>
            </w:r>
          </w:p>
        </w:tc>
        <w:tc>
          <w:tcPr>
            <w:tcW w:w="1134" w:type="dxa"/>
            <w:tcBorders>
              <w:bottom w:val="single" w:sz="4" w:space="0" w:color="auto"/>
            </w:tcBorders>
            <w:shd w:val="clear" w:color="auto" w:fill="E7E6E6"/>
            <w:noWrap/>
            <w:hideMark/>
          </w:tcPr>
          <w:p w14:paraId="23DB7F35" w14:textId="77777777" w:rsidR="0065586C" w:rsidRPr="002029AF" w:rsidRDefault="0065586C" w:rsidP="003566F1">
            <w:pPr>
              <w:pStyle w:val="ARfintablebodyrightbold"/>
            </w:pPr>
            <w:r w:rsidRPr="002029AF">
              <w:t>1,222.5</w:t>
            </w:r>
          </w:p>
        </w:tc>
        <w:tc>
          <w:tcPr>
            <w:tcW w:w="1134" w:type="dxa"/>
            <w:tcBorders>
              <w:bottom w:val="single" w:sz="4" w:space="0" w:color="auto"/>
            </w:tcBorders>
            <w:noWrap/>
            <w:hideMark/>
          </w:tcPr>
          <w:p w14:paraId="36ABC70E" w14:textId="77777777" w:rsidR="0065586C" w:rsidRPr="002029AF" w:rsidRDefault="0065586C" w:rsidP="003566F1">
            <w:pPr>
              <w:pStyle w:val="ARfintablebodyrightbold"/>
            </w:pPr>
            <w:r w:rsidRPr="002029AF">
              <w:t>1,173.6</w:t>
            </w:r>
          </w:p>
        </w:tc>
      </w:tr>
      <w:tr w:rsidR="0065586C" w:rsidRPr="002029AF" w14:paraId="6104686D" w14:textId="77777777" w:rsidTr="003566F1">
        <w:tc>
          <w:tcPr>
            <w:tcW w:w="9637" w:type="dxa"/>
            <w:gridSpan w:val="3"/>
            <w:tcBorders>
              <w:top w:val="single" w:sz="4" w:space="0" w:color="auto"/>
              <w:bottom w:val="single" w:sz="4" w:space="0" w:color="A6A6A6"/>
            </w:tcBorders>
            <w:hideMark/>
          </w:tcPr>
          <w:p w14:paraId="6034B4AE" w14:textId="77777777" w:rsidR="0065586C" w:rsidRPr="002029AF" w:rsidRDefault="0065586C" w:rsidP="003566F1">
            <w:pPr>
              <w:pStyle w:val="ARfintablebodybold"/>
            </w:pPr>
            <w:r w:rsidRPr="002029AF">
              <w:t>Payments</w:t>
            </w:r>
          </w:p>
        </w:tc>
      </w:tr>
      <w:tr w:rsidR="0065586C" w:rsidRPr="002029AF" w14:paraId="059D3BE8" w14:textId="77777777" w:rsidTr="003566F1">
        <w:tc>
          <w:tcPr>
            <w:tcW w:w="7369" w:type="dxa"/>
            <w:tcBorders>
              <w:top w:val="single" w:sz="4" w:space="0" w:color="A6A6A6"/>
              <w:bottom w:val="single" w:sz="4" w:space="0" w:color="A6A6A6"/>
            </w:tcBorders>
            <w:hideMark/>
          </w:tcPr>
          <w:p w14:paraId="0127090D" w14:textId="0AA6B697" w:rsidR="0065586C" w:rsidRPr="002029AF" w:rsidRDefault="0065586C" w:rsidP="003566F1">
            <w:pPr>
              <w:pStyle w:val="ARfintablebody"/>
            </w:pPr>
            <w:r w:rsidRPr="002029AF">
              <w:t>Payments</w:t>
            </w:r>
            <w:r w:rsidR="000A5329" w:rsidRPr="002029AF">
              <w:t xml:space="preserve"> </w:t>
            </w:r>
            <w:r w:rsidRPr="002029AF">
              <w:t>of</w:t>
            </w:r>
            <w:r w:rsidR="000A5329" w:rsidRPr="002029AF">
              <w:t xml:space="preserve"> </w:t>
            </w:r>
            <w:r w:rsidRPr="002029AF">
              <w:t>grants</w:t>
            </w:r>
            <w:r w:rsidR="000A5329" w:rsidRPr="002029AF">
              <w:t xml:space="preserve"> </w:t>
            </w:r>
            <w:r w:rsidRPr="002029AF">
              <w:t>and</w:t>
            </w:r>
            <w:r w:rsidR="000A5329" w:rsidRPr="002029AF">
              <w:t xml:space="preserve"> </w:t>
            </w:r>
            <w:r w:rsidRPr="002029AF">
              <w:t>other</w:t>
            </w:r>
            <w:r w:rsidR="000A5329" w:rsidRPr="002029AF">
              <w:t xml:space="preserve"> </w:t>
            </w:r>
            <w:r w:rsidRPr="002029AF">
              <w:t>expense</w:t>
            </w:r>
            <w:r w:rsidR="000A5329" w:rsidRPr="002029AF">
              <w:t xml:space="preserve"> </w:t>
            </w:r>
            <w:r w:rsidRPr="002029AF">
              <w:t>transfers</w:t>
            </w:r>
          </w:p>
        </w:tc>
        <w:tc>
          <w:tcPr>
            <w:tcW w:w="1134" w:type="dxa"/>
            <w:tcBorders>
              <w:top w:val="single" w:sz="4" w:space="0" w:color="A6A6A6"/>
              <w:bottom w:val="single" w:sz="4" w:space="0" w:color="A6A6A6"/>
            </w:tcBorders>
            <w:shd w:val="clear" w:color="auto" w:fill="E7E6E6"/>
            <w:noWrap/>
            <w:hideMark/>
          </w:tcPr>
          <w:p w14:paraId="5192D6F8" w14:textId="77777777" w:rsidR="0065586C" w:rsidRPr="002029AF" w:rsidRDefault="0065586C" w:rsidP="003566F1">
            <w:pPr>
              <w:pStyle w:val="ARfintablebodyright"/>
            </w:pPr>
            <w:r w:rsidRPr="002029AF">
              <w:t>(520.3)</w:t>
            </w:r>
          </w:p>
        </w:tc>
        <w:tc>
          <w:tcPr>
            <w:tcW w:w="1134" w:type="dxa"/>
            <w:tcBorders>
              <w:top w:val="single" w:sz="4" w:space="0" w:color="A6A6A6"/>
              <w:bottom w:val="single" w:sz="4" w:space="0" w:color="A6A6A6"/>
            </w:tcBorders>
            <w:noWrap/>
            <w:hideMark/>
          </w:tcPr>
          <w:p w14:paraId="094DB81F" w14:textId="77777777" w:rsidR="0065586C" w:rsidRPr="002029AF" w:rsidRDefault="0065586C" w:rsidP="003566F1">
            <w:pPr>
              <w:pStyle w:val="ARfintablebodyright"/>
            </w:pPr>
            <w:r w:rsidRPr="002029AF">
              <w:t>(468.7)</w:t>
            </w:r>
          </w:p>
        </w:tc>
      </w:tr>
      <w:tr w:rsidR="0065586C" w:rsidRPr="002029AF" w14:paraId="7E083DB8" w14:textId="77777777" w:rsidTr="003566F1">
        <w:tc>
          <w:tcPr>
            <w:tcW w:w="7369" w:type="dxa"/>
            <w:tcBorders>
              <w:top w:val="single" w:sz="4" w:space="0" w:color="A6A6A6"/>
              <w:bottom w:val="single" w:sz="4" w:space="0" w:color="A6A6A6"/>
            </w:tcBorders>
            <w:hideMark/>
          </w:tcPr>
          <w:p w14:paraId="7C0FE10F" w14:textId="5D3EF325" w:rsidR="0065586C" w:rsidRPr="002029AF" w:rsidRDefault="0065586C" w:rsidP="003566F1">
            <w:pPr>
              <w:pStyle w:val="ARfintablebody"/>
            </w:pPr>
            <w:r w:rsidRPr="002029AF">
              <w:t>Payments</w:t>
            </w:r>
            <w:r w:rsidR="000A5329" w:rsidRPr="002029AF">
              <w:t xml:space="preserve"> </w:t>
            </w:r>
            <w:r w:rsidRPr="002029AF">
              <w:t>for</w:t>
            </w:r>
            <w:r w:rsidR="000A5329" w:rsidRPr="002029AF">
              <w:t xml:space="preserve"> </w:t>
            </w:r>
            <w:r w:rsidRPr="002029AF">
              <w:t>employee</w:t>
            </w:r>
            <w:r w:rsidR="000A5329" w:rsidRPr="002029AF">
              <w:t xml:space="preserve"> </w:t>
            </w:r>
            <w:r w:rsidRPr="002029AF">
              <w:t>benefits</w:t>
            </w:r>
          </w:p>
        </w:tc>
        <w:tc>
          <w:tcPr>
            <w:tcW w:w="1134" w:type="dxa"/>
            <w:tcBorders>
              <w:top w:val="single" w:sz="4" w:space="0" w:color="A6A6A6"/>
              <w:bottom w:val="single" w:sz="4" w:space="0" w:color="A6A6A6"/>
            </w:tcBorders>
            <w:shd w:val="clear" w:color="auto" w:fill="E7E6E6"/>
            <w:noWrap/>
            <w:hideMark/>
          </w:tcPr>
          <w:p w14:paraId="0839FBFB" w14:textId="77777777" w:rsidR="0065586C" w:rsidRPr="002029AF" w:rsidRDefault="0065586C" w:rsidP="003566F1">
            <w:pPr>
              <w:pStyle w:val="ARfintablebodyright"/>
            </w:pPr>
            <w:r w:rsidRPr="002029AF">
              <w:t>(118.9)</w:t>
            </w:r>
          </w:p>
        </w:tc>
        <w:tc>
          <w:tcPr>
            <w:tcW w:w="1134" w:type="dxa"/>
            <w:tcBorders>
              <w:top w:val="single" w:sz="4" w:space="0" w:color="A6A6A6"/>
              <w:bottom w:val="single" w:sz="4" w:space="0" w:color="A6A6A6"/>
            </w:tcBorders>
            <w:noWrap/>
            <w:hideMark/>
          </w:tcPr>
          <w:p w14:paraId="338485A8" w14:textId="77777777" w:rsidR="0065586C" w:rsidRPr="002029AF" w:rsidRDefault="0065586C" w:rsidP="003566F1">
            <w:pPr>
              <w:pStyle w:val="ARfintablebodyright"/>
            </w:pPr>
            <w:r w:rsidRPr="002029AF">
              <w:t>(112.3)</w:t>
            </w:r>
          </w:p>
        </w:tc>
      </w:tr>
      <w:tr w:rsidR="0065586C" w:rsidRPr="002029AF" w14:paraId="18DF92DF" w14:textId="77777777" w:rsidTr="003566F1">
        <w:tc>
          <w:tcPr>
            <w:tcW w:w="7369" w:type="dxa"/>
            <w:tcBorders>
              <w:top w:val="single" w:sz="4" w:space="0" w:color="A6A6A6"/>
              <w:bottom w:val="single" w:sz="4" w:space="0" w:color="A6A6A6"/>
            </w:tcBorders>
            <w:hideMark/>
          </w:tcPr>
          <w:p w14:paraId="1D34A4D2" w14:textId="1AE4CCDA" w:rsidR="0065586C" w:rsidRPr="002029AF" w:rsidRDefault="0065586C" w:rsidP="003566F1">
            <w:pPr>
              <w:pStyle w:val="ARfintablebody"/>
            </w:pPr>
            <w:r w:rsidRPr="002029AF">
              <w:t>Payments</w:t>
            </w:r>
            <w:r w:rsidR="000A5329" w:rsidRPr="002029AF">
              <w:t xml:space="preserve"> </w:t>
            </w:r>
            <w:r w:rsidRPr="002029AF">
              <w:t>for</w:t>
            </w:r>
            <w:r w:rsidR="000A5329" w:rsidRPr="002029AF">
              <w:t xml:space="preserve"> </w:t>
            </w:r>
            <w:r w:rsidRPr="002029AF">
              <w:t>supplies</w:t>
            </w:r>
            <w:r w:rsidR="000A5329" w:rsidRPr="002029AF">
              <w:t xml:space="preserve"> </w:t>
            </w:r>
            <w:r w:rsidRPr="002029AF">
              <w:t>and</w:t>
            </w:r>
            <w:r w:rsidR="000A5329" w:rsidRPr="002029AF">
              <w:t xml:space="preserve"> </w:t>
            </w:r>
            <w:r w:rsidRPr="002029AF">
              <w:t>services</w:t>
            </w:r>
          </w:p>
        </w:tc>
        <w:tc>
          <w:tcPr>
            <w:tcW w:w="1134" w:type="dxa"/>
            <w:tcBorders>
              <w:top w:val="single" w:sz="4" w:space="0" w:color="A6A6A6"/>
              <w:bottom w:val="single" w:sz="4" w:space="0" w:color="A6A6A6"/>
            </w:tcBorders>
            <w:shd w:val="clear" w:color="auto" w:fill="E7E6E6"/>
            <w:noWrap/>
            <w:hideMark/>
          </w:tcPr>
          <w:p w14:paraId="07A3D233" w14:textId="77777777" w:rsidR="0065586C" w:rsidRPr="002029AF" w:rsidRDefault="0065586C" w:rsidP="003566F1">
            <w:pPr>
              <w:pStyle w:val="ARfintablebodyright"/>
            </w:pPr>
            <w:r w:rsidRPr="002029AF">
              <w:t>(56.5)</w:t>
            </w:r>
          </w:p>
        </w:tc>
        <w:tc>
          <w:tcPr>
            <w:tcW w:w="1134" w:type="dxa"/>
            <w:tcBorders>
              <w:top w:val="single" w:sz="4" w:space="0" w:color="A6A6A6"/>
              <w:bottom w:val="single" w:sz="4" w:space="0" w:color="A6A6A6"/>
            </w:tcBorders>
            <w:noWrap/>
            <w:hideMark/>
          </w:tcPr>
          <w:p w14:paraId="32C3B410" w14:textId="77777777" w:rsidR="0065586C" w:rsidRPr="002029AF" w:rsidRDefault="0065586C" w:rsidP="003566F1">
            <w:pPr>
              <w:pStyle w:val="ARfintablebodyright"/>
            </w:pPr>
            <w:r w:rsidRPr="002029AF">
              <w:t>(38.9)</w:t>
            </w:r>
          </w:p>
        </w:tc>
      </w:tr>
      <w:tr w:rsidR="0065586C" w:rsidRPr="002029AF" w14:paraId="0D64A863" w14:textId="77777777" w:rsidTr="003566F1">
        <w:tc>
          <w:tcPr>
            <w:tcW w:w="7369" w:type="dxa"/>
            <w:tcBorders>
              <w:top w:val="single" w:sz="4" w:space="0" w:color="A6A6A6"/>
              <w:bottom w:val="single" w:sz="4" w:space="0" w:color="A6A6A6"/>
            </w:tcBorders>
            <w:hideMark/>
          </w:tcPr>
          <w:p w14:paraId="54122C4F" w14:textId="0D093AD6" w:rsidR="0065586C" w:rsidRPr="002029AF" w:rsidRDefault="0065586C" w:rsidP="003566F1">
            <w:pPr>
              <w:pStyle w:val="ARfintablebody"/>
            </w:pPr>
            <w:r w:rsidRPr="002029AF">
              <w:t>Interest</w:t>
            </w:r>
            <w:r w:rsidR="000A5329" w:rsidRPr="002029AF">
              <w:t xml:space="preserve"> </w:t>
            </w:r>
            <w:r w:rsidRPr="002029AF">
              <w:t>and</w:t>
            </w:r>
            <w:r w:rsidR="000A5329" w:rsidRPr="002029AF">
              <w:t xml:space="preserve"> </w:t>
            </w:r>
            <w:r w:rsidRPr="002029AF">
              <w:t>other</w:t>
            </w:r>
            <w:r w:rsidR="000A5329" w:rsidRPr="002029AF">
              <w:t xml:space="preserve"> </w:t>
            </w:r>
            <w:r w:rsidRPr="002029AF">
              <w:t>costs</w:t>
            </w:r>
            <w:r w:rsidR="000A5329" w:rsidRPr="002029AF">
              <w:t xml:space="preserve"> </w:t>
            </w:r>
            <w:r w:rsidRPr="002029AF">
              <w:t>of</w:t>
            </w:r>
            <w:r w:rsidR="000A5329" w:rsidRPr="002029AF">
              <w:t xml:space="preserve"> </w:t>
            </w:r>
            <w:r w:rsidRPr="002029AF">
              <w:t>finance</w:t>
            </w:r>
            <w:r w:rsidR="000A5329" w:rsidRPr="002029AF">
              <w:t xml:space="preserve"> </w:t>
            </w:r>
            <w:r w:rsidRPr="002029AF">
              <w:t>paid</w:t>
            </w:r>
          </w:p>
        </w:tc>
        <w:tc>
          <w:tcPr>
            <w:tcW w:w="1134" w:type="dxa"/>
            <w:tcBorders>
              <w:top w:val="single" w:sz="4" w:space="0" w:color="A6A6A6"/>
              <w:bottom w:val="single" w:sz="4" w:space="0" w:color="A6A6A6"/>
            </w:tcBorders>
            <w:shd w:val="clear" w:color="auto" w:fill="E7E6E6"/>
            <w:noWrap/>
            <w:hideMark/>
          </w:tcPr>
          <w:p w14:paraId="583AAE7C" w14:textId="77777777" w:rsidR="0065586C" w:rsidRPr="002029AF" w:rsidRDefault="0065586C" w:rsidP="003566F1">
            <w:pPr>
              <w:pStyle w:val="ARfintablebodyright"/>
            </w:pPr>
            <w:r w:rsidRPr="002029AF">
              <w:t>(3.3)</w:t>
            </w:r>
          </w:p>
        </w:tc>
        <w:tc>
          <w:tcPr>
            <w:tcW w:w="1134" w:type="dxa"/>
            <w:tcBorders>
              <w:top w:val="single" w:sz="4" w:space="0" w:color="A6A6A6"/>
              <w:bottom w:val="single" w:sz="4" w:space="0" w:color="A6A6A6"/>
            </w:tcBorders>
            <w:noWrap/>
            <w:hideMark/>
          </w:tcPr>
          <w:p w14:paraId="5E44B871" w14:textId="77777777" w:rsidR="0065586C" w:rsidRPr="002029AF" w:rsidRDefault="0065586C" w:rsidP="003566F1">
            <w:pPr>
              <w:pStyle w:val="ARfintablebodyright"/>
            </w:pPr>
            <w:r w:rsidRPr="002029AF">
              <w:t>(4.1)</w:t>
            </w:r>
          </w:p>
        </w:tc>
      </w:tr>
      <w:tr w:rsidR="0065586C" w:rsidRPr="002029AF" w14:paraId="118B85BE" w14:textId="77777777" w:rsidTr="003566F1">
        <w:tc>
          <w:tcPr>
            <w:tcW w:w="7369" w:type="dxa"/>
            <w:tcBorders>
              <w:top w:val="single" w:sz="4" w:space="0" w:color="A6A6A6"/>
              <w:bottom w:val="single" w:sz="4" w:space="0" w:color="A6A6A6"/>
            </w:tcBorders>
            <w:hideMark/>
          </w:tcPr>
          <w:p w14:paraId="699C8F91" w14:textId="77777777" w:rsidR="0065586C" w:rsidRPr="002029AF" w:rsidRDefault="0065586C" w:rsidP="003566F1">
            <w:pPr>
              <w:pStyle w:val="ARfintablebody"/>
            </w:pPr>
            <w:r w:rsidRPr="002029AF">
              <w:t>Maintenance</w:t>
            </w:r>
          </w:p>
        </w:tc>
        <w:tc>
          <w:tcPr>
            <w:tcW w:w="1134" w:type="dxa"/>
            <w:tcBorders>
              <w:top w:val="single" w:sz="4" w:space="0" w:color="A6A6A6"/>
              <w:bottom w:val="single" w:sz="4" w:space="0" w:color="A6A6A6"/>
            </w:tcBorders>
            <w:shd w:val="clear" w:color="auto" w:fill="E7E6E6"/>
            <w:noWrap/>
            <w:hideMark/>
          </w:tcPr>
          <w:p w14:paraId="363C90F5" w14:textId="77777777" w:rsidR="0065586C" w:rsidRPr="002029AF" w:rsidRDefault="0065586C" w:rsidP="003566F1">
            <w:pPr>
              <w:pStyle w:val="ARfintablebodyright"/>
            </w:pPr>
            <w:r w:rsidRPr="002029AF">
              <w:t>(223.0)</w:t>
            </w:r>
          </w:p>
        </w:tc>
        <w:tc>
          <w:tcPr>
            <w:tcW w:w="1134" w:type="dxa"/>
            <w:tcBorders>
              <w:top w:val="single" w:sz="4" w:space="0" w:color="A6A6A6"/>
              <w:bottom w:val="single" w:sz="4" w:space="0" w:color="A6A6A6"/>
            </w:tcBorders>
            <w:noWrap/>
            <w:hideMark/>
          </w:tcPr>
          <w:p w14:paraId="4C91D454" w14:textId="77777777" w:rsidR="0065586C" w:rsidRPr="002029AF" w:rsidRDefault="0065586C" w:rsidP="003566F1">
            <w:pPr>
              <w:pStyle w:val="ARfintablebodyright"/>
            </w:pPr>
            <w:r w:rsidRPr="002029AF">
              <w:t>(218.1)</w:t>
            </w:r>
          </w:p>
        </w:tc>
      </w:tr>
      <w:tr w:rsidR="0065586C" w:rsidRPr="002029AF" w14:paraId="51A21799" w14:textId="77777777" w:rsidTr="003566F1">
        <w:tc>
          <w:tcPr>
            <w:tcW w:w="7369" w:type="dxa"/>
            <w:tcBorders>
              <w:top w:val="single" w:sz="4" w:space="0" w:color="A6A6A6"/>
            </w:tcBorders>
            <w:hideMark/>
          </w:tcPr>
          <w:p w14:paraId="30967ABA" w14:textId="4BF70931" w:rsidR="0065586C" w:rsidRPr="002029AF" w:rsidRDefault="0065586C" w:rsidP="003566F1">
            <w:pPr>
              <w:pStyle w:val="ARfintablebody"/>
            </w:pPr>
            <w:r w:rsidRPr="002029AF">
              <w:t>Other</w:t>
            </w:r>
            <w:r w:rsidR="000A5329" w:rsidRPr="002029AF">
              <w:t xml:space="preserve"> </w:t>
            </w:r>
            <w:r w:rsidRPr="002029AF">
              <w:t>property</w:t>
            </w:r>
            <w:r w:rsidR="000A5329" w:rsidRPr="002029AF">
              <w:t xml:space="preserve"> </w:t>
            </w:r>
            <w:r w:rsidRPr="002029AF">
              <w:t>management</w:t>
            </w:r>
            <w:r w:rsidR="000A5329" w:rsidRPr="002029AF">
              <w:t xml:space="preserve"> </w:t>
            </w:r>
            <w:r w:rsidRPr="002029AF">
              <w:t>expenses</w:t>
            </w:r>
          </w:p>
        </w:tc>
        <w:tc>
          <w:tcPr>
            <w:tcW w:w="1134" w:type="dxa"/>
            <w:tcBorders>
              <w:top w:val="single" w:sz="4" w:space="0" w:color="A6A6A6"/>
            </w:tcBorders>
            <w:shd w:val="clear" w:color="auto" w:fill="E7E6E6"/>
            <w:noWrap/>
            <w:hideMark/>
          </w:tcPr>
          <w:p w14:paraId="17EF0DF6" w14:textId="77777777" w:rsidR="0065586C" w:rsidRPr="002029AF" w:rsidRDefault="0065586C" w:rsidP="003566F1">
            <w:pPr>
              <w:pStyle w:val="ARfintablebodyright"/>
            </w:pPr>
            <w:r w:rsidRPr="002029AF">
              <w:t>(203.1)</w:t>
            </w:r>
          </w:p>
        </w:tc>
        <w:tc>
          <w:tcPr>
            <w:tcW w:w="1134" w:type="dxa"/>
            <w:tcBorders>
              <w:top w:val="single" w:sz="4" w:space="0" w:color="A6A6A6"/>
            </w:tcBorders>
            <w:noWrap/>
            <w:hideMark/>
          </w:tcPr>
          <w:p w14:paraId="48F7486B" w14:textId="77777777" w:rsidR="0065586C" w:rsidRPr="002029AF" w:rsidRDefault="0065586C" w:rsidP="003566F1">
            <w:pPr>
              <w:pStyle w:val="ARfintablebodyright"/>
            </w:pPr>
            <w:r w:rsidRPr="002029AF">
              <w:t>(214.3)</w:t>
            </w:r>
          </w:p>
        </w:tc>
      </w:tr>
      <w:tr w:rsidR="0065586C" w:rsidRPr="002029AF" w14:paraId="2DBEFAC1" w14:textId="77777777" w:rsidTr="003566F1">
        <w:tc>
          <w:tcPr>
            <w:tcW w:w="7369" w:type="dxa"/>
            <w:hideMark/>
          </w:tcPr>
          <w:p w14:paraId="5270238B" w14:textId="2C203CFD" w:rsidR="0065586C" w:rsidRPr="002029AF" w:rsidRDefault="0065586C" w:rsidP="003566F1">
            <w:pPr>
              <w:pStyle w:val="ARfintablebodybold"/>
            </w:pPr>
            <w:r w:rsidRPr="002029AF">
              <w:t>Total</w:t>
            </w:r>
            <w:r w:rsidR="000A5329" w:rsidRPr="002029AF">
              <w:t xml:space="preserve"> </w:t>
            </w:r>
            <w:r w:rsidRPr="002029AF">
              <w:t>payments</w:t>
            </w:r>
          </w:p>
        </w:tc>
        <w:tc>
          <w:tcPr>
            <w:tcW w:w="1134" w:type="dxa"/>
            <w:shd w:val="clear" w:color="auto" w:fill="E7E6E6"/>
            <w:noWrap/>
            <w:hideMark/>
          </w:tcPr>
          <w:p w14:paraId="331078F8" w14:textId="77777777" w:rsidR="0065586C" w:rsidRPr="002029AF" w:rsidRDefault="0065586C" w:rsidP="003566F1">
            <w:pPr>
              <w:pStyle w:val="ARfintablebodyrightbold"/>
            </w:pPr>
            <w:r w:rsidRPr="002029AF">
              <w:t>(1,125.1)</w:t>
            </w:r>
          </w:p>
        </w:tc>
        <w:tc>
          <w:tcPr>
            <w:tcW w:w="1134" w:type="dxa"/>
            <w:noWrap/>
            <w:hideMark/>
          </w:tcPr>
          <w:p w14:paraId="19FD8409" w14:textId="77777777" w:rsidR="0065586C" w:rsidRPr="002029AF" w:rsidRDefault="0065586C" w:rsidP="003566F1">
            <w:pPr>
              <w:pStyle w:val="ARfintablebodyrightbold"/>
            </w:pPr>
            <w:r w:rsidRPr="002029AF">
              <w:t>(1,056.4)</w:t>
            </w:r>
          </w:p>
        </w:tc>
      </w:tr>
      <w:tr w:rsidR="0065586C" w:rsidRPr="002029AF" w14:paraId="1FAD761D" w14:textId="77777777" w:rsidTr="003566F1">
        <w:tc>
          <w:tcPr>
            <w:tcW w:w="7369" w:type="dxa"/>
            <w:tcBorders>
              <w:bottom w:val="single" w:sz="4" w:space="0" w:color="auto"/>
            </w:tcBorders>
            <w:hideMark/>
          </w:tcPr>
          <w:p w14:paraId="12A67B68" w14:textId="004DD79B" w:rsidR="0065586C" w:rsidRPr="002029AF" w:rsidRDefault="0065586C" w:rsidP="003566F1">
            <w:pPr>
              <w:pStyle w:val="ARfintablebodybold"/>
            </w:pPr>
            <w:r w:rsidRPr="002029AF">
              <w:t>Net</w:t>
            </w:r>
            <w:r w:rsidR="000A5329" w:rsidRPr="002029AF">
              <w:t xml:space="preserve"> </w:t>
            </w:r>
            <w:r w:rsidRPr="002029AF">
              <w:t>cash</w:t>
            </w:r>
            <w:r w:rsidR="000A5329" w:rsidRPr="002029AF">
              <w:t xml:space="preserve"> </w:t>
            </w:r>
            <w:r w:rsidRPr="002029AF">
              <w:t>flows</w:t>
            </w:r>
            <w:r w:rsidR="000A5329" w:rsidRPr="002029AF">
              <w:t xml:space="preserve"> </w:t>
            </w:r>
            <w:r w:rsidRPr="002029AF">
              <w:t>from</w:t>
            </w:r>
            <w:r w:rsidR="00D5787B" w:rsidRPr="002029AF">
              <w:t>/ (</w:t>
            </w:r>
            <w:r w:rsidRPr="002029AF">
              <w:t>used</w:t>
            </w:r>
            <w:r w:rsidR="000A5329" w:rsidRPr="002029AF">
              <w:t xml:space="preserve"> </w:t>
            </w:r>
            <w:r w:rsidRPr="002029AF">
              <w:t>in)</w:t>
            </w:r>
            <w:r w:rsidR="000A5329" w:rsidRPr="002029AF">
              <w:t xml:space="preserve"> </w:t>
            </w:r>
            <w:r w:rsidRPr="002029AF">
              <w:t>operating</w:t>
            </w:r>
            <w:r w:rsidR="000A5329" w:rsidRPr="002029AF">
              <w:t xml:space="preserve"> </w:t>
            </w:r>
            <w:r w:rsidRPr="002029AF">
              <w:t>activities</w:t>
            </w:r>
          </w:p>
        </w:tc>
        <w:tc>
          <w:tcPr>
            <w:tcW w:w="1134" w:type="dxa"/>
            <w:tcBorders>
              <w:bottom w:val="single" w:sz="4" w:space="0" w:color="auto"/>
            </w:tcBorders>
            <w:shd w:val="clear" w:color="auto" w:fill="E7E6E6"/>
            <w:noWrap/>
            <w:hideMark/>
          </w:tcPr>
          <w:p w14:paraId="17D90E97" w14:textId="77777777" w:rsidR="0065586C" w:rsidRPr="002029AF" w:rsidRDefault="0065586C" w:rsidP="003566F1">
            <w:pPr>
              <w:pStyle w:val="ARfintablebodyrightbold"/>
            </w:pPr>
            <w:r w:rsidRPr="002029AF">
              <w:t>97.4</w:t>
            </w:r>
          </w:p>
        </w:tc>
        <w:tc>
          <w:tcPr>
            <w:tcW w:w="1134" w:type="dxa"/>
            <w:tcBorders>
              <w:bottom w:val="single" w:sz="4" w:space="0" w:color="auto"/>
            </w:tcBorders>
            <w:noWrap/>
            <w:hideMark/>
          </w:tcPr>
          <w:p w14:paraId="7D11671B" w14:textId="77777777" w:rsidR="0065586C" w:rsidRPr="002029AF" w:rsidRDefault="0065586C" w:rsidP="003566F1">
            <w:pPr>
              <w:pStyle w:val="ARfintablebodyrightbold"/>
            </w:pPr>
            <w:r w:rsidRPr="002029AF">
              <w:t>117.2</w:t>
            </w:r>
          </w:p>
        </w:tc>
      </w:tr>
      <w:tr w:rsidR="0065586C" w:rsidRPr="002029AF" w14:paraId="74D71E69" w14:textId="77777777" w:rsidTr="003566F1">
        <w:tc>
          <w:tcPr>
            <w:tcW w:w="9637" w:type="dxa"/>
            <w:gridSpan w:val="3"/>
            <w:tcBorders>
              <w:top w:val="single" w:sz="4" w:space="0" w:color="auto"/>
              <w:bottom w:val="single" w:sz="4" w:space="0" w:color="A6A6A6"/>
            </w:tcBorders>
            <w:hideMark/>
          </w:tcPr>
          <w:p w14:paraId="5C990163" w14:textId="714B0B27" w:rsidR="0065586C" w:rsidRPr="002029AF" w:rsidRDefault="0065586C" w:rsidP="003566F1">
            <w:pPr>
              <w:pStyle w:val="ARfintablebodybold"/>
            </w:pPr>
            <w:r w:rsidRPr="002029AF">
              <w:t>Cash</w:t>
            </w:r>
            <w:r w:rsidR="000A5329" w:rsidRPr="002029AF">
              <w:t xml:space="preserve"> </w:t>
            </w:r>
            <w:r w:rsidRPr="002029AF">
              <w:t>flows</w:t>
            </w:r>
            <w:r w:rsidR="000A5329" w:rsidRPr="002029AF">
              <w:t xml:space="preserve"> </w:t>
            </w:r>
            <w:r w:rsidRPr="002029AF">
              <w:t>from</w:t>
            </w:r>
            <w:r w:rsidR="000A5329" w:rsidRPr="002029AF">
              <w:t xml:space="preserve"> </w:t>
            </w:r>
            <w:r w:rsidRPr="002029AF">
              <w:t>investing</w:t>
            </w:r>
            <w:r w:rsidR="000A5329" w:rsidRPr="002029AF">
              <w:t xml:space="preserve"> </w:t>
            </w:r>
            <w:r w:rsidRPr="002029AF">
              <w:t>activities</w:t>
            </w:r>
          </w:p>
        </w:tc>
      </w:tr>
      <w:tr w:rsidR="0065586C" w:rsidRPr="002029AF" w14:paraId="5EBBA25A" w14:textId="77777777" w:rsidTr="003566F1">
        <w:tc>
          <w:tcPr>
            <w:tcW w:w="7369" w:type="dxa"/>
            <w:tcBorders>
              <w:top w:val="single" w:sz="4" w:space="0" w:color="A6A6A6"/>
              <w:bottom w:val="single" w:sz="4" w:space="0" w:color="A6A6A6"/>
            </w:tcBorders>
            <w:hideMark/>
          </w:tcPr>
          <w:p w14:paraId="7BB68E1D" w14:textId="5D7FB484" w:rsidR="0065586C" w:rsidRPr="002029AF" w:rsidRDefault="0065586C" w:rsidP="003566F1">
            <w:pPr>
              <w:pStyle w:val="ARfintablebody"/>
            </w:pPr>
            <w:r w:rsidRPr="002029AF">
              <w:t>Proceeds</w:t>
            </w:r>
            <w:r w:rsidR="000A5329" w:rsidRPr="002029AF">
              <w:t xml:space="preserve"> </w:t>
            </w:r>
            <w:r w:rsidRPr="002029AF">
              <w:t>from</w:t>
            </w:r>
            <w:r w:rsidR="000A5329" w:rsidRPr="002029AF">
              <w:t xml:space="preserve"> </w:t>
            </w:r>
            <w:r w:rsidRPr="002029AF">
              <w:t>the</w:t>
            </w:r>
            <w:r w:rsidR="000A5329" w:rsidRPr="002029AF">
              <w:t xml:space="preserve"> </w:t>
            </w:r>
            <w:r w:rsidRPr="002029AF">
              <w:t>sale</w:t>
            </w:r>
            <w:r w:rsidR="000A5329" w:rsidRPr="002029AF">
              <w:t xml:space="preserve"> </w:t>
            </w:r>
            <w:r w:rsidRPr="002029AF">
              <w:t>of</w:t>
            </w:r>
            <w:r w:rsidR="000A5329" w:rsidRPr="002029AF">
              <w:t xml:space="preserve"> </w:t>
            </w:r>
            <w:r w:rsidRPr="002029AF">
              <w:t>non-financial</w:t>
            </w:r>
            <w:r w:rsidR="000A5329" w:rsidRPr="002029AF">
              <w:t xml:space="preserve"> </w:t>
            </w:r>
            <w:r w:rsidRPr="002029AF">
              <w:t>assets</w:t>
            </w:r>
          </w:p>
        </w:tc>
        <w:tc>
          <w:tcPr>
            <w:tcW w:w="1134" w:type="dxa"/>
            <w:tcBorders>
              <w:top w:val="single" w:sz="4" w:space="0" w:color="A6A6A6"/>
              <w:bottom w:val="single" w:sz="4" w:space="0" w:color="A6A6A6"/>
            </w:tcBorders>
            <w:shd w:val="clear" w:color="auto" w:fill="E7E6E6"/>
            <w:noWrap/>
            <w:hideMark/>
          </w:tcPr>
          <w:p w14:paraId="2576E500" w14:textId="77777777" w:rsidR="0065586C" w:rsidRPr="002029AF" w:rsidRDefault="0065586C" w:rsidP="003566F1">
            <w:pPr>
              <w:pStyle w:val="ARfintablebodyright"/>
            </w:pPr>
            <w:r w:rsidRPr="002029AF">
              <w:t>95.5</w:t>
            </w:r>
          </w:p>
        </w:tc>
        <w:tc>
          <w:tcPr>
            <w:tcW w:w="1134" w:type="dxa"/>
            <w:tcBorders>
              <w:top w:val="single" w:sz="4" w:space="0" w:color="A6A6A6"/>
              <w:bottom w:val="single" w:sz="4" w:space="0" w:color="A6A6A6"/>
            </w:tcBorders>
            <w:noWrap/>
            <w:hideMark/>
          </w:tcPr>
          <w:p w14:paraId="5D3BEB38" w14:textId="77777777" w:rsidR="0065586C" w:rsidRPr="002029AF" w:rsidRDefault="0065586C" w:rsidP="003566F1">
            <w:pPr>
              <w:pStyle w:val="ARfintablebodyright"/>
            </w:pPr>
            <w:r w:rsidRPr="002029AF">
              <w:t>57.0</w:t>
            </w:r>
          </w:p>
        </w:tc>
      </w:tr>
      <w:tr w:rsidR="0065586C" w:rsidRPr="002029AF" w14:paraId="62779787" w14:textId="77777777" w:rsidTr="003566F1">
        <w:tc>
          <w:tcPr>
            <w:tcW w:w="7369" w:type="dxa"/>
            <w:tcBorders>
              <w:top w:val="single" w:sz="4" w:space="0" w:color="A6A6A6"/>
              <w:bottom w:val="single" w:sz="4" w:space="0" w:color="A6A6A6"/>
            </w:tcBorders>
            <w:hideMark/>
          </w:tcPr>
          <w:p w14:paraId="5F503CD2" w14:textId="25335F9C" w:rsidR="0065586C" w:rsidRPr="002029AF" w:rsidRDefault="0065586C" w:rsidP="003566F1">
            <w:pPr>
              <w:pStyle w:val="ARfintablebody"/>
            </w:pPr>
            <w:r w:rsidRPr="002029AF">
              <w:t>(Purchase)/redemption</w:t>
            </w:r>
            <w:r w:rsidR="000A5329" w:rsidRPr="002029AF">
              <w:t xml:space="preserve"> </w:t>
            </w:r>
            <w:r w:rsidRPr="002029AF">
              <w:t>of</w:t>
            </w:r>
            <w:r w:rsidR="000A5329" w:rsidRPr="002029AF">
              <w:t xml:space="preserve"> </w:t>
            </w:r>
            <w:r w:rsidRPr="002029AF">
              <w:t>short-term</w:t>
            </w:r>
            <w:r w:rsidR="000A5329" w:rsidRPr="002029AF">
              <w:t xml:space="preserve"> </w:t>
            </w:r>
            <w:r w:rsidRPr="002029AF">
              <w:t>investments</w:t>
            </w:r>
            <w:r w:rsidR="000A5329" w:rsidRPr="002029AF">
              <w:t xml:space="preserve"> </w:t>
            </w:r>
            <w:r w:rsidRPr="002029AF">
              <w:t>–</w:t>
            </w:r>
            <w:r w:rsidR="000A5329" w:rsidRPr="002029AF">
              <w:t xml:space="preserve"> </w:t>
            </w:r>
            <w:r w:rsidRPr="002029AF">
              <w:t>term</w:t>
            </w:r>
            <w:r w:rsidR="000A5329" w:rsidRPr="002029AF">
              <w:t xml:space="preserve"> </w:t>
            </w:r>
            <w:r w:rsidRPr="002029AF">
              <w:t>deposits</w:t>
            </w:r>
          </w:p>
        </w:tc>
        <w:tc>
          <w:tcPr>
            <w:tcW w:w="1134" w:type="dxa"/>
            <w:tcBorders>
              <w:top w:val="single" w:sz="4" w:space="0" w:color="A6A6A6"/>
              <w:bottom w:val="single" w:sz="4" w:space="0" w:color="A6A6A6"/>
            </w:tcBorders>
            <w:shd w:val="clear" w:color="auto" w:fill="E7E6E6"/>
            <w:noWrap/>
            <w:hideMark/>
          </w:tcPr>
          <w:p w14:paraId="243A343C" w14:textId="77777777" w:rsidR="0065586C" w:rsidRPr="002029AF" w:rsidRDefault="0065586C" w:rsidP="003566F1">
            <w:pPr>
              <w:pStyle w:val="ARfintablebodyright"/>
            </w:pPr>
            <w:r w:rsidRPr="002029AF">
              <w:t>100.0</w:t>
            </w:r>
          </w:p>
        </w:tc>
        <w:tc>
          <w:tcPr>
            <w:tcW w:w="1134" w:type="dxa"/>
            <w:tcBorders>
              <w:top w:val="single" w:sz="4" w:space="0" w:color="A6A6A6"/>
              <w:bottom w:val="single" w:sz="4" w:space="0" w:color="A6A6A6"/>
            </w:tcBorders>
            <w:noWrap/>
            <w:hideMark/>
          </w:tcPr>
          <w:p w14:paraId="67F2A382" w14:textId="77777777" w:rsidR="0065586C" w:rsidRPr="002029AF" w:rsidRDefault="0065586C" w:rsidP="003566F1">
            <w:pPr>
              <w:pStyle w:val="ARfintablebodyright"/>
            </w:pPr>
            <w:r w:rsidRPr="002029AF">
              <w:t>434.8</w:t>
            </w:r>
          </w:p>
        </w:tc>
      </w:tr>
      <w:tr w:rsidR="0065586C" w:rsidRPr="002029AF" w14:paraId="36093709" w14:textId="77777777" w:rsidTr="003566F1">
        <w:tc>
          <w:tcPr>
            <w:tcW w:w="7369" w:type="dxa"/>
            <w:tcBorders>
              <w:top w:val="single" w:sz="4" w:space="0" w:color="A6A6A6"/>
              <w:bottom w:val="single" w:sz="4" w:space="0" w:color="A6A6A6"/>
            </w:tcBorders>
            <w:hideMark/>
          </w:tcPr>
          <w:p w14:paraId="20FD0610" w14:textId="7E6BA856" w:rsidR="0065586C" w:rsidRPr="002029AF" w:rsidRDefault="0065586C" w:rsidP="003566F1">
            <w:pPr>
              <w:pStyle w:val="ARfintablebody"/>
            </w:pPr>
            <w:r w:rsidRPr="002029AF">
              <w:t>Client</w:t>
            </w:r>
            <w:r w:rsidR="000A5329" w:rsidRPr="002029AF">
              <w:t xml:space="preserve"> </w:t>
            </w:r>
            <w:r w:rsidRPr="002029AF">
              <w:t>loans</w:t>
            </w:r>
            <w:r w:rsidR="000A5329" w:rsidRPr="002029AF">
              <w:t xml:space="preserve"> </w:t>
            </w:r>
            <w:r w:rsidRPr="002029AF">
              <w:t>repaid</w:t>
            </w:r>
          </w:p>
        </w:tc>
        <w:tc>
          <w:tcPr>
            <w:tcW w:w="1134" w:type="dxa"/>
            <w:tcBorders>
              <w:top w:val="single" w:sz="4" w:space="0" w:color="A6A6A6"/>
              <w:bottom w:val="single" w:sz="4" w:space="0" w:color="A6A6A6"/>
            </w:tcBorders>
            <w:shd w:val="clear" w:color="auto" w:fill="E7E6E6"/>
            <w:noWrap/>
            <w:hideMark/>
          </w:tcPr>
          <w:p w14:paraId="25DE5C7F" w14:textId="77777777" w:rsidR="0065586C" w:rsidRPr="002029AF" w:rsidRDefault="0065586C" w:rsidP="003566F1">
            <w:pPr>
              <w:pStyle w:val="ARfintablebodyright"/>
            </w:pPr>
            <w:r w:rsidRPr="002029AF">
              <w:t>1.4</w:t>
            </w:r>
          </w:p>
        </w:tc>
        <w:tc>
          <w:tcPr>
            <w:tcW w:w="1134" w:type="dxa"/>
            <w:tcBorders>
              <w:top w:val="single" w:sz="4" w:space="0" w:color="A6A6A6"/>
              <w:bottom w:val="single" w:sz="4" w:space="0" w:color="A6A6A6"/>
            </w:tcBorders>
            <w:noWrap/>
            <w:hideMark/>
          </w:tcPr>
          <w:p w14:paraId="5E8F2EF4" w14:textId="77777777" w:rsidR="0065586C" w:rsidRPr="002029AF" w:rsidRDefault="0065586C" w:rsidP="003566F1">
            <w:pPr>
              <w:pStyle w:val="ARfintablebodyright"/>
            </w:pPr>
            <w:r w:rsidRPr="002029AF">
              <w:t>1.6</w:t>
            </w:r>
          </w:p>
        </w:tc>
      </w:tr>
      <w:tr w:rsidR="0065586C" w:rsidRPr="002029AF" w14:paraId="09D68A30" w14:textId="77777777" w:rsidTr="003566F1">
        <w:tc>
          <w:tcPr>
            <w:tcW w:w="7369" w:type="dxa"/>
            <w:tcBorders>
              <w:top w:val="single" w:sz="4" w:space="0" w:color="A6A6A6"/>
            </w:tcBorders>
            <w:hideMark/>
          </w:tcPr>
          <w:p w14:paraId="1A91196E" w14:textId="6A3D112E" w:rsidR="0065586C" w:rsidRPr="002029AF" w:rsidRDefault="0065586C" w:rsidP="003566F1">
            <w:pPr>
              <w:pStyle w:val="ARfintablebody"/>
            </w:pPr>
            <w:r w:rsidRPr="002029AF">
              <w:t>Payment</w:t>
            </w:r>
            <w:r w:rsidR="000A5329" w:rsidRPr="002029AF">
              <w:t xml:space="preserve"> </w:t>
            </w:r>
            <w:r w:rsidRPr="002029AF">
              <w:t>for</w:t>
            </w:r>
            <w:r w:rsidR="000A5329" w:rsidRPr="002029AF">
              <w:t xml:space="preserve"> </w:t>
            </w:r>
            <w:r w:rsidRPr="002029AF">
              <w:t>non-financial</w:t>
            </w:r>
            <w:r w:rsidR="000A5329" w:rsidRPr="002029AF">
              <w:t xml:space="preserve"> </w:t>
            </w:r>
            <w:r w:rsidRPr="002029AF">
              <w:t>assets</w:t>
            </w:r>
          </w:p>
        </w:tc>
        <w:tc>
          <w:tcPr>
            <w:tcW w:w="1134" w:type="dxa"/>
            <w:tcBorders>
              <w:top w:val="single" w:sz="4" w:space="0" w:color="A6A6A6"/>
            </w:tcBorders>
            <w:shd w:val="clear" w:color="auto" w:fill="E7E6E6"/>
            <w:noWrap/>
            <w:hideMark/>
          </w:tcPr>
          <w:p w14:paraId="4B895D8A" w14:textId="77777777" w:rsidR="0065586C" w:rsidRPr="002029AF" w:rsidRDefault="0065586C" w:rsidP="003566F1">
            <w:pPr>
              <w:pStyle w:val="ARfintablebodyright"/>
            </w:pPr>
            <w:r w:rsidRPr="002029AF">
              <w:t>(400.9)</w:t>
            </w:r>
          </w:p>
        </w:tc>
        <w:tc>
          <w:tcPr>
            <w:tcW w:w="1134" w:type="dxa"/>
            <w:tcBorders>
              <w:top w:val="single" w:sz="4" w:space="0" w:color="A6A6A6"/>
            </w:tcBorders>
            <w:noWrap/>
            <w:hideMark/>
          </w:tcPr>
          <w:p w14:paraId="6FD64308" w14:textId="77777777" w:rsidR="0065586C" w:rsidRPr="002029AF" w:rsidRDefault="0065586C" w:rsidP="003566F1">
            <w:pPr>
              <w:pStyle w:val="ARfintablebodyright"/>
            </w:pPr>
            <w:r w:rsidRPr="002029AF">
              <w:t>(292.3)</w:t>
            </w:r>
          </w:p>
        </w:tc>
      </w:tr>
      <w:tr w:rsidR="0065586C" w:rsidRPr="002029AF" w14:paraId="722D2B00" w14:textId="77777777" w:rsidTr="003566F1">
        <w:tc>
          <w:tcPr>
            <w:tcW w:w="7369" w:type="dxa"/>
            <w:tcBorders>
              <w:bottom w:val="single" w:sz="4" w:space="0" w:color="auto"/>
            </w:tcBorders>
            <w:hideMark/>
          </w:tcPr>
          <w:p w14:paraId="068005B8" w14:textId="0C370587" w:rsidR="0065586C" w:rsidRPr="002029AF" w:rsidRDefault="0065586C" w:rsidP="003566F1">
            <w:pPr>
              <w:pStyle w:val="ARfintablebodybold"/>
            </w:pPr>
            <w:r w:rsidRPr="002029AF">
              <w:t>Net</w:t>
            </w:r>
            <w:r w:rsidR="000A5329" w:rsidRPr="002029AF">
              <w:t xml:space="preserve"> </w:t>
            </w:r>
            <w:r w:rsidRPr="002029AF">
              <w:t>cash</w:t>
            </w:r>
            <w:r w:rsidR="000A5329" w:rsidRPr="002029AF">
              <w:t xml:space="preserve"> </w:t>
            </w:r>
            <w:r w:rsidRPr="002029AF">
              <w:t>flows</w:t>
            </w:r>
            <w:r w:rsidR="000A5329" w:rsidRPr="002029AF">
              <w:t xml:space="preserve"> </w:t>
            </w:r>
            <w:r w:rsidRPr="002029AF">
              <w:t>from</w:t>
            </w:r>
            <w:r w:rsidR="00D5787B" w:rsidRPr="002029AF">
              <w:t>/ (</w:t>
            </w:r>
            <w:r w:rsidRPr="002029AF">
              <w:t>used</w:t>
            </w:r>
            <w:r w:rsidR="000A5329" w:rsidRPr="002029AF">
              <w:t xml:space="preserve"> </w:t>
            </w:r>
            <w:r w:rsidRPr="002029AF">
              <w:t>in)</w:t>
            </w:r>
            <w:r w:rsidR="000A5329" w:rsidRPr="002029AF">
              <w:t xml:space="preserve"> </w:t>
            </w:r>
            <w:r w:rsidRPr="002029AF">
              <w:t>investing</w:t>
            </w:r>
            <w:r w:rsidR="000A5329" w:rsidRPr="002029AF">
              <w:t xml:space="preserve"> </w:t>
            </w:r>
            <w:r w:rsidRPr="002029AF">
              <w:t>activities</w:t>
            </w:r>
          </w:p>
        </w:tc>
        <w:tc>
          <w:tcPr>
            <w:tcW w:w="1134" w:type="dxa"/>
            <w:tcBorders>
              <w:bottom w:val="single" w:sz="4" w:space="0" w:color="auto"/>
            </w:tcBorders>
            <w:shd w:val="clear" w:color="auto" w:fill="E7E6E6"/>
            <w:noWrap/>
            <w:hideMark/>
          </w:tcPr>
          <w:p w14:paraId="786812BF" w14:textId="77777777" w:rsidR="0065586C" w:rsidRPr="002029AF" w:rsidRDefault="0065586C" w:rsidP="003566F1">
            <w:pPr>
              <w:pStyle w:val="ARfintablebodyrightbold"/>
            </w:pPr>
            <w:r w:rsidRPr="002029AF">
              <w:t>(204.0)</w:t>
            </w:r>
          </w:p>
        </w:tc>
        <w:tc>
          <w:tcPr>
            <w:tcW w:w="1134" w:type="dxa"/>
            <w:tcBorders>
              <w:bottom w:val="single" w:sz="4" w:space="0" w:color="auto"/>
            </w:tcBorders>
            <w:noWrap/>
            <w:hideMark/>
          </w:tcPr>
          <w:p w14:paraId="4BA41E59" w14:textId="77777777" w:rsidR="0065586C" w:rsidRPr="002029AF" w:rsidRDefault="0065586C" w:rsidP="003566F1">
            <w:pPr>
              <w:pStyle w:val="ARfintablebodyrightbold"/>
            </w:pPr>
            <w:r w:rsidRPr="002029AF">
              <w:t>201.1</w:t>
            </w:r>
          </w:p>
        </w:tc>
      </w:tr>
      <w:tr w:rsidR="0065586C" w:rsidRPr="002029AF" w14:paraId="6BE46F06" w14:textId="77777777" w:rsidTr="003566F1">
        <w:tc>
          <w:tcPr>
            <w:tcW w:w="9637" w:type="dxa"/>
            <w:gridSpan w:val="3"/>
            <w:tcBorders>
              <w:top w:val="single" w:sz="4" w:space="0" w:color="auto"/>
              <w:bottom w:val="single" w:sz="4" w:space="0" w:color="A6A6A6"/>
            </w:tcBorders>
            <w:hideMark/>
          </w:tcPr>
          <w:p w14:paraId="49D783B4" w14:textId="53F2F0FA" w:rsidR="0065586C" w:rsidRPr="002029AF" w:rsidRDefault="0065586C" w:rsidP="003566F1">
            <w:pPr>
              <w:pStyle w:val="ARfintablebodybold"/>
            </w:pPr>
            <w:r w:rsidRPr="002029AF">
              <w:t>Cash</w:t>
            </w:r>
            <w:r w:rsidR="000A5329" w:rsidRPr="002029AF">
              <w:t xml:space="preserve"> </w:t>
            </w:r>
            <w:r w:rsidRPr="002029AF">
              <w:t>flows</w:t>
            </w:r>
            <w:r w:rsidR="000A5329" w:rsidRPr="002029AF">
              <w:t xml:space="preserve"> </w:t>
            </w:r>
            <w:r w:rsidRPr="002029AF">
              <w:t>from</w:t>
            </w:r>
            <w:r w:rsidR="000A5329" w:rsidRPr="002029AF">
              <w:t xml:space="preserve"> </w:t>
            </w:r>
            <w:r w:rsidRPr="002029AF">
              <w:t>financing</w:t>
            </w:r>
            <w:r w:rsidR="000A5329" w:rsidRPr="002029AF">
              <w:t xml:space="preserve"> </w:t>
            </w:r>
            <w:r w:rsidRPr="002029AF">
              <w:t>activities</w:t>
            </w:r>
          </w:p>
        </w:tc>
      </w:tr>
      <w:tr w:rsidR="0065586C" w:rsidRPr="002029AF" w14:paraId="0E2F7144" w14:textId="77777777" w:rsidTr="003566F1">
        <w:tc>
          <w:tcPr>
            <w:tcW w:w="7369" w:type="dxa"/>
            <w:tcBorders>
              <w:top w:val="single" w:sz="4" w:space="0" w:color="A6A6A6"/>
              <w:bottom w:val="single" w:sz="4" w:space="0" w:color="A6A6A6"/>
            </w:tcBorders>
            <w:hideMark/>
          </w:tcPr>
          <w:p w14:paraId="358422D4" w14:textId="1954E77A" w:rsidR="0065586C" w:rsidRPr="002029AF" w:rsidRDefault="0065586C" w:rsidP="003566F1">
            <w:pPr>
              <w:pStyle w:val="ARfintablebody"/>
            </w:pPr>
            <w:r w:rsidRPr="002029AF">
              <w:t>Net</w:t>
            </w:r>
            <w:r w:rsidR="000A5329" w:rsidRPr="002029AF">
              <w:t xml:space="preserve"> </w:t>
            </w:r>
            <w:r w:rsidRPr="002029AF">
              <w:t>receipts/(payments)</w:t>
            </w:r>
            <w:r w:rsidR="000A5329" w:rsidRPr="002029AF">
              <w:t xml:space="preserve"> </w:t>
            </w:r>
            <w:r w:rsidRPr="002029AF">
              <w:t>for</w:t>
            </w:r>
            <w:r w:rsidR="000A5329" w:rsidRPr="002029AF">
              <w:t xml:space="preserve"> </w:t>
            </w:r>
            <w:r w:rsidRPr="002029AF">
              <w:t>advances</w:t>
            </w:r>
          </w:p>
        </w:tc>
        <w:tc>
          <w:tcPr>
            <w:tcW w:w="1134" w:type="dxa"/>
            <w:tcBorders>
              <w:top w:val="single" w:sz="4" w:space="0" w:color="A6A6A6"/>
              <w:bottom w:val="single" w:sz="4" w:space="0" w:color="A6A6A6"/>
            </w:tcBorders>
            <w:shd w:val="clear" w:color="auto" w:fill="E7E6E6"/>
            <w:noWrap/>
            <w:hideMark/>
          </w:tcPr>
          <w:p w14:paraId="2938FD5A" w14:textId="77777777" w:rsidR="0065586C" w:rsidRPr="002029AF" w:rsidRDefault="0065586C" w:rsidP="003566F1">
            <w:pPr>
              <w:pStyle w:val="ARfintablebodyright"/>
            </w:pPr>
            <w:r w:rsidRPr="002029AF">
              <w:t>(4.7)</w:t>
            </w:r>
          </w:p>
        </w:tc>
        <w:tc>
          <w:tcPr>
            <w:tcW w:w="1134" w:type="dxa"/>
            <w:tcBorders>
              <w:top w:val="single" w:sz="4" w:space="0" w:color="A6A6A6"/>
              <w:bottom w:val="single" w:sz="4" w:space="0" w:color="A6A6A6"/>
            </w:tcBorders>
            <w:noWrap/>
            <w:hideMark/>
          </w:tcPr>
          <w:p w14:paraId="0A5C3379" w14:textId="77777777" w:rsidR="0065586C" w:rsidRPr="002029AF" w:rsidRDefault="0065586C" w:rsidP="003566F1">
            <w:pPr>
              <w:pStyle w:val="ARfintablebodyright"/>
            </w:pPr>
            <w:r w:rsidRPr="002029AF">
              <w:t>–</w:t>
            </w:r>
          </w:p>
        </w:tc>
      </w:tr>
      <w:tr w:rsidR="0065586C" w:rsidRPr="002029AF" w14:paraId="23394EE7" w14:textId="77777777" w:rsidTr="003566F1">
        <w:tc>
          <w:tcPr>
            <w:tcW w:w="7369" w:type="dxa"/>
            <w:tcBorders>
              <w:top w:val="single" w:sz="4" w:space="0" w:color="A6A6A6"/>
              <w:bottom w:val="single" w:sz="4" w:space="0" w:color="A6A6A6"/>
            </w:tcBorders>
            <w:hideMark/>
          </w:tcPr>
          <w:p w14:paraId="4D18FC0B" w14:textId="77623058" w:rsidR="0065586C" w:rsidRPr="002029AF" w:rsidRDefault="0065586C" w:rsidP="003566F1">
            <w:pPr>
              <w:pStyle w:val="ARfintablebody"/>
            </w:pPr>
            <w:r w:rsidRPr="002029AF">
              <w:t>Owner</w:t>
            </w:r>
            <w:r w:rsidR="000A5329" w:rsidRPr="002029AF">
              <w:t xml:space="preserve"> </w:t>
            </w:r>
            <w:r w:rsidRPr="002029AF">
              <w:t>contributions</w:t>
            </w:r>
            <w:r w:rsidR="000A5329" w:rsidRPr="002029AF">
              <w:t xml:space="preserve"> </w:t>
            </w:r>
            <w:r w:rsidRPr="002029AF">
              <w:t>by</w:t>
            </w:r>
            <w:r w:rsidR="000A5329" w:rsidRPr="002029AF">
              <w:t xml:space="preserve"> </w:t>
            </w:r>
            <w:r w:rsidRPr="002029AF">
              <w:t>Victorian</w:t>
            </w:r>
            <w:r w:rsidR="000A5329" w:rsidRPr="002029AF">
              <w:t xml:space="preserve"> </w:t>
            </w:r>
            <w:r w:rsidRPr="002029AF">
              <w:t>Government</w:t>
            </w:r>
            <w:r w:rsidR="000A5329" w:rsidRPr="002029AF">
              <w:t xml:space="preserve"> </w:t>
            </w:r>
            <w:r w:rsidRPr="002029AF">
              <w:t>–</w:t>
            </w:r>
            <w:r w:rsidR="000A5329" w:rsidRPr="002029AF">
              <w:t xml:space="preserve"> </w:t>
            </w:r>
            <w:r w:rsidRPr="002029AF">
              <w:t>appropriation</w:t>
            </w:r>
            <w:r w:rsidR="000A5329" w:rsidRPr="002029AF">
              <w:t xml:space="preserve"> </w:t>
            </w:r>
            <w:r w:rsidRPr="002029AF">
              <w:t>for</w:t>
            </w:r>
            <w:r w:rsidR="000A5329" w:rsidRPr="002029AF">
              <w:t xml:space="preserve"> </w:t>
            </w:r>
            <w:r w:rsidRPr="002029AF">
              <w:t>capital</w:t>
            </w:r>
            <w:r w:rsidR="000A5329" w:rsidRPr="002029AF">
              <w:t xml:space="preserve"> </w:t>
            </w:r>
            <w:r w:rsidRPr="002029AF">
              <w:t>expenditure</w:t>
            </w:r>
            <w:r w:rsidR="000A5329" w:rsidRPr="002029AF">
              <w:t xml:space="preserve"> </w:t>
            </w:r>
            <w:r w:rsidRPr="002029AF">
              <w:t>purposes</w:t>
            </w:r>
          </w:p>
        </w:tc>
        <w:tc>
          <w:tcPr>
            <w:tcW w:w="1134" w:type="dxa"/>
            <w:tcBorders>
              <w:top w:val="single" w:sz="4" w:space="0" w:color="A6A6A6"/>
              <w:bottom w:val="single" w:sz="4" w:space="0" w:color="A6A6A6"/>
            </w:tcBorders>
            <w:shd w:val="clear" w:color="auto" w:fill="E7E6E6"/>
            <w:noWrap/>
            <w:hideMark/>
          </w:tcPr>
          <w:p w14:paraId="528A10A1" w14:textId="77777777" w:rsidR="0065586C" w:rsidRPr="002029AF" w:rsidRDefault="0065586C" w:rsidP="003566F1">
            <w:pPr>
              <w:pStyle w:val="ARfintablebodyright"/>
            </w:pPr>
            <w:r w:rsidRPr="002029AF">
              <w:t>90.1</w:t>
            </w:r>
          </w:p>
        </w:tc>
        <w:tc>
          <w:tcPr>
            <w:tcW w:w="1134" w:type="dxa"/>
            <w:tcBorders>
              <w:top w:val="single" w:sz="4" w:space="0" w:color="A6A6A6"/>
              <w:bottom w:val="single" w:sz="4" w:space="0" w:color="A6A6A6"/>
            </w:tcBorders>
            <w:noWrap/>
            <w:hideMark/>
          </w:tcPr>
          <w:p w14:paraId="15ACDA24" w14:textId="77777777" w:rsidR="0065586C" w:rsidRPr="002029AF" w:rsidRDefault="0065586C" w:rsidP="003566F1">
            <w:pPr>
              <w:pStyle w:val="ARfintablebodyright"/>
            </w:pPr>
            <w:r w:rsidRPr="002029AF">
              <w:t>53.7</w:t>
            </w:r>
          </w:p>
        </w:tc>
      </w:tr>
      <w:tr w:rsidR="0065586C" w:rsidRPr="002029AF" w14:paraId="584A1A07" w14:textId="77777777" w:rsidTr="003566F1">
        <w:tc>
          <w:tcPr>
            <w:tcW w:w="7369" w:type="dxa"/>
            <w:tcBorders>
              <w:top w:val="single" w:sz="4" w:space="0" w:color="A6A6A6"/>
            </w:tcBorders>
            <w:hideMark/>
          </w:tcPr>
          <w:p w14:paraId="6894B3C1" w14:textId="0B90F64E" w:rsidR="0065586C" w:rsidRPr="002029AF" w:rsidRDefault="0065586C" w:rsidP="003566F1">
            <w:pPr>
              <w:pStyle w:val="ARfintablebody"/>
            </w:pPr>
            <w:r w:rsidRPr="002029AF">
              <w:t>Repayment</w:t>
            </w:r>
            <w:r w:rsidR="000A5329" w:rsidRPr="002029AF">
              <w:t xml:space="preserve"> </w:t>
            </w:r>
            <w:r w:rsidRPr="002029AF">
              <w:t>of</w:t>
            </w:r>
            <w:r w:rsidR="000A5329" w:rsidRPr="002029AF">
              <w:t xml:space="preserve"> </w:t>
            </w:r>
            <w:r w:rsidRPr="002029AF">
              <w:t>borrowings</w:t>
            </w:r>
            <w:r w:rsidR="000A5329" w:rsidRPr="002029AF">
              <w:t xml:space="preserve"> </w:t>
            </w:r>
            <w:r w:rsidRPr="002029AF">
              <w:t>and</w:t>
            </w:r>
            <w:r w:rsidR="000A5329" w:rsidRPr="002029AF">
              <w:t xml:space="preserve"> </w:t>
            </w:r>
            <w:r w:rsidRPr="002029AF">
              <w:t>principal</w:t>
            </w:r>
            <w:r w:rsidR="000A5329" w:rsidRPr="002029AF">
              <w:t xml:space="preserve"> </w:t>
            </w:r>
            <w:r w:rsidRPr="002029AF">
              <w:t>portion</w:t>
            </w:r>
            <w:r w:rsidR="000A5329" w:rsidRPr="002029AF">
              <w:t xml:space="preserve"> </w:t>
            </w:r>
            <w:r w:rsidRPr="002029AF">
              <w:t>of</w:t>
            </w:r>
            <w:r w:rsidR="000A5329" w:rsidRPr="002029AF">
              <w:t xml:space="preserve"> </w:t>
            </w:r>
            <w:r w:rsidRPr="002029AF">
              <w:t>lease</w:t>
            </w:r>
            <w:r w:rsidR="000A5329" w:rsidRPr="002029AF">
              <w:t xml:space="preserve"> </w:t>
            </w:r>
            <w:r w:rsidRPr="002029AF">
              <w:t>liability</w:t>
            </w:r>
            <w:r w:rsidR="000A5329" w:rsidRPr="002029AF">
              <w:t xml:space="preserve"> </w:t>
            </w:r>
            <w:r w:rsidRPr="002029AF">
              <w:t>(2019:</w:t>
            </w:r>
            <w:r w:rsidR="000A5329" w:rsidRPr="002029AF">
              <w:t xml:space="preserve"> </w:t>
            </w:r>
            <w:r w:rsidRPr="002029AF">
              <w:t>finance</w:t>
            </w:r>
            <w:r w:rsidR="000A5329" w:rsidRPr="002029AF">
              <w:t xml:space="preserve"> </w:t>
            </w:r>
            <w:r w:rsidRPr="002029AF">
              <w:t>leases)</w:t>
            </w:r>
          </w:p>
        </w:tc>
        <w:tc>
          <w:tcPr>
            <w:tcW w:w="1134" w:type="dxa"/>
            <w:tcBorders>
              <w:top w:val="single" w:sz="4" w:space="0" w:color="A6A6A6"/>
            </w:tcBorders>
            <w:shd w:val="clear" w:color="auto" w:fill="E7E6E6"/>
            <w:noWrap/>
            <w:hideMark/>
          </w:tcPr>
          <w:p w14:paraId="2BC0EA07" w14:textId="77777777" w:rsidR="0065586C" w:rsidRPr="002029AF" w:rsidRDefault="0065586C" w:rsidP="003566F1">
            <w:pPr>
              <w:pStyle w:val="ARfintablebodyright"/>
            </w:pPr>
            <w:r w:rsidRPr="002029AF">
              <w:t>50.5</w:t>
            </w:r>
          </w:p>
        </w:tc>
        <w:tc>
          <w:tcPr>
            <w:tcW w:w="1134" w:type="dxa"/>
            <w:tcBorders>
              <w:top w:val="single" w:sz="4" w:space="0" w:color="A6A6A6"/>
            </w:tcBorders>
            <w:noWrap/>
            <w:hideMark/>
          </w:tcPr>
          <w:p w14:paraId="22DECC23" w14:textId="77777777" w:rsidR="0065586C" w:rsidRPr="002029AF" w:rsidRDefault="0065586C" w:rsidP="003566F1">
            <w:pPr>
              <w:pStyle w:val="ARfintablebodyright"/>
            </w:pPr>
            <w:r w:rsidRPr="002029AF">
              <w:t>–</w:t>
            </w:r>
          </w:p>
        </w:tc>
      </w:tr>
      <w:tr w:rsidR="0065586C" w:rsidRPr="002029AF" w14:paraId="0E648828" w14:textId="77777777" w:rsidTr="003566F1">
        <w:tc>
          <w:tcPr>
            <w:tcW w:w="7369" w:type="dxa"/>
            <w:hideMark/>
          </w:tcPr>
          <w:p w14:paraId="2DD56B0A" w14:textId="3140B487" w:rsidR="0065586C" w:rsidRPr="002029AF" w:rsidRDefault="0065586C" w:rsidP="003566F1">
            <w:pPr>
              <w:pStyle w:val="ARfintablebodybold"/>
            </w:pPr>
            <w:r w:rsidRPr="002029AF">
              <w:t>Net</w:t>
            </w:r>
            <w:r w:rsidR="000A5329" w:rsidRPr="002029AF">
              <w:t xml:space="preserve"> </w:t>
            </w:r>
            <w:r w:rsidRPr="002029AF">
              <w:t>cash</w:t>
            </w:r>
            <w:r w:rsidR="000A5329" w:rsidRPr="002029AF">
              <w:t xml:space="preserve"> </w:t>
            </w:r>
            <w:r w:rsidRPr="002029AF">
              <w:t>flows</w:t>
            </w:r>
            <w:r w:rsidR="000A5329" w:rsidRPr="002029AF">
              <w:t xml:space="preserve"> </w:t>
            </w:r>
            <w:r w:rsidRPr="002029AF">
              <w:t>from</w:t>
            </w:r>
            <w:r w:rsidR="00D5787B" w:rsidRPr="002029AF">
              <w:t>/ (</w:t>
            </w:r>
            <w:r w:rsidRPr="002029AF">
              <w:t>used</w:t>
            </w:r>
            <w:r w:rsidR="000A5329" w:rsidRPr="002029AF">
              <w:t xml:space="preserve"> </w:t>
            </w:r>
            <w:r w:rsidRPr="002029AF">
              <w:t>in)</w:t>
            </w:r>
            <w:r w:rsidR="000A5329" w:rsidRPr="002029AF">
              <w:t xml:space="preserve"> </w:t>
            </w:r>
            <w:r w:rsidRPr="002029AF">
              <w:t>financing</w:t>
            </w:r>
            <w:r w:rsidR="000A5329" w:rsidRPr="002029AF">
              <w:t xml:space="preserve"> </w:t>
            </w:r>
            <w:r w:rsidRPr="002029AF">
              <w:t>activities</w:t>
            </w:r>
          </w:p>
        </w:tc>
        <w:tc>
          <w:tcPr>
            <w:tcW w:w="1134" w:type="dxa"/>
            <w:shd w:val="clear" w:color="auto" w:fill="E7E6E6"/>
            <w:noWrap/>
            <w:hideMark/>
          </w:tcPr>
          <w:p w14:paraId="6F783912" w14:textId="77777777" w:rsidR="0065586C" w:rsidRPr="002029AF" w:rsidRDefault="0065586C" w:rsidP="003566F1">
            <w:pPr>
              <w:pStyle w:val="ARfintablebodyrightbold"/>
            </w:pPr>
            <w:r w:rsidRPr="002029AF">
              <w:t>135.9</w:t>
            </w:r>
          </w:p>
        </w:tc>
        <w:tc>
          <w:tcPr>
            <w:tcW w:w="1134" w:type="dxa"/>
            <w:noWrap/>
            <w:hideMark/>
          </w:tcPr>
          <w:p w14:paraId="72324A97" w14:textId="77777777" w:rsidR="0065586C" w:rsidRPr="002029AF" w:rsidRDefault="0065586C" w:rsidP="003566F1">
            <w:pPr>
              <w:pStyle w:val="ARfintablebodyrightbold"/>
            </w:pPr>
            <w:r w:rsidRPr="002029AF">
              <w:t>53.7</w:t>
            </w:r>
          </w:p>
        </w:tc>
      </w:tr>
      <w:tr w:rsidR="0065586C" w:rsidRPr="002029AF" w14:paraId="6883DC3C" w14:textId="77777777" w:rsidTr="003566F1">
        <w:tc>
          <w:tcPr>
            <w:tcW w:w="7369" w:type="dxa"/>
            <w:hideMark/>
          </w:tcPr>
          <w:p w14:paraId="41C81F67" w14:textId="7CC49C69" w:rsidR="0065586C" w:rsidRPr="002029AF" w:rsidRDefault="0065586C" w:rsidP="003566F1">
            <w:pPr>
              <w:pStyle w:val="ARfintablebodybold"/>
            </w:pPr>
            <w:r w:rsidRPr="002029AF">
              <w:t>Net</w:t>
            </w:r>
            <w:r w:rsidR="000A5329" w:rsidRPr="002029AF">
              <w:t xml:space="preserve"> </w:t>
            </w:r>
            <w:r w:rsidRPr="002029AF">
              <w:t>increase/(decrease)</w:t>
            </w:r>
            <w:r w:rsidR="000A5329" w:rsidRPr="002029AF">
              <w:t xml:space="preserve"> </w:t>
            </w:r>
            <w:r w:rsidRPr="002029AF">
              <w:t>in</w:t>
            </w:r>
            <w:r w:rsidR="000A5329" w:rsidRPr="002029AF">
              <w:t xml:space="preserve"> </w:t>
            </w:r>
            <w:r w:rsidRPr="002029AF">
              <w:t>cash</w:t>
            </w:r>
            <w:r w:rsidR="000A5329" w:rsidRPr="002029AF">
              <w:t xml:space="preserve"> </w:t>
            </w:r>
            <w:r w:rsidRPr="002029AF">
              <w:t>and</w:t>
            </w:r>
            <w:r w:rsidR="000A5329" w:rsidRPr="002029AF">
              <w:t xml:space="preserve"> </w:t>
            </w:r>
            <w:r w:rsidRPr="002029AF">
              <w:t>deposits</w:t>
            </w:r>
          </w:p>
        </w:tc>
        <w:tc>
          <w:tcPr>
            <w:tcW w:w="1134" w:type="dxa"/>
            <w:shd w:val="clear" w:color="auto" w:fill="E7E6E6"/>
            <w:noWrap/>
            <w:hideMark/>
          </w:tcPr>
          <w:p w14:paraId="35698717" w14:textId="77777777" w:rsidR="0065586C" w:rsidRPr="002029AF" w:rsidRDefault="0065586C" w:rsidP="003566F1">
            <w:pPr>
              <w:pStyle w:val="ARfintablebodyrightbold"/>
            </w:pPr>
            <w:r w:rsidRPr="002029AF">
              <w:t>29.3</w:t>
            </w:r>
          </w:p>
        </w:tc>
        <w:tc>
          <w:tcPr>
            <w:tcW w:w="1134" w:type="dxa"/>
            <w:noWrap/>
            <w:hideMark/>
          </w:tcPr>
          <w:p w14:paraId="2C703A93" w14:textId="77777777" w:rsidR="0065586C" w:rsidRPr="002029AF" w:rsidRDefault="0065586C" w:rsidP="003566F1">
            <w:pPr>
              <w:pStyle w:val="ARfintablebodyrightbold"/>
            </w:pPr>
            <w:r w:rsidRPr="002029AF">
              <w:t>371.9</w:t>
            </w:r>
          </w:p>
        </w:tc>
      </w:tr>
      <w:tr w:rsidR="0065586C" w:rsidRPr="002029AF" w14:paraId="6EC99008" w14:textId="77777777" w:rsidTr="003566F1">
        <w:tc>
          <w:tcPr>
            <w:tcW w:w="7369" w:type="dxa"/>
            <w:hideMark/>
          </w:tcPr>
          <w:p w14:paraId="25A4EAE6" w14:textId="5D016C89" w:rsidR="0065586C" w:rsidRPr="002029AF" w:rsidRDefault="0065586C" w:rsidP="003566F1">
            <w:pPr>
              <w:pStyle w:val="ARfintablebody"/>
            </w:pPr>
            <w:r w:rsidRPr="002029AF">
              <w:t>Cash</w:t>
            </w:r>
            <w:r w:rsidR="000A5329" w:rsidRPr="002029AF">
              <w:t xml:space="preserve"> </w:t>
            </w:r>
            <w:r w:rsidRPr="002029AF">
              <w:t>and</w:t>
            </w:r>
            <w:r w:rsidR="000A5329" w:rsidRPr="002029AF">
              <w:t xml:space="preserve"> </w:t>
            </w:r>
            <w:r w:rsidRPr="002029AF">
              <w:t>deposits</w:t>
            </w:r>
            <w:r w:rsidR="000A5329" w:rsidRPr="002029AF">
              <w:t xml:space="preserve"> </w:t>
            </w:r>
            <w:r w:rsidRPr="002029AF">
              <w:t>at</w:t>
            </w:r>
            <w:r w:rsidR="000A5329" w:rsidRPr="002029AF">
              <w:t xml:space="preserve"> </w:t>
            </w:r>
            <w:r w:rsidRPr="002029AF">
              <w:t>the</w:t>
            </w:r>
            <w:r w:rsidR="000A5329" w:rsidRPr="002029AF">
              <w:t xml:space="preserve"> </w:t>
            </w:r>
            <w:r w:rsidRPr="002029AF">
              <w:t>beginning</w:t>
            </w:r>
            <w:r w:rsidR="000A5329" w:rsidRPr="002029AF">
              <w:t xml:space="preserve"> </w:t>
            </w:r>
            <w:r w:rsidRPr="002029AF">
              <w:t>of</w:t>
            </w:r>
            <w:r w:rsidR="000A5329" w:rsidRPr="002029AF">
              <w:t xml:space="preserve"> </w:t>
            </w:r>
            <w:r w:rsidRPr="002029AF">
              <w:t>the</w:t>
            </w:r>
            <w:r w:rsidR="000A5329" w:rsidRPr="002029AF">
              <w:t xml:space="preserve"> </w:t>
            </w:r>
            <w:r w:rsidRPr="002029AF">
              <w:t>financial</w:t>
            </w:r>
            <w:r w:rsidR="000A5329" w:rsidRPr="002029AF">
              <w:t xml:space="preserve"> </w:t>
            </w:r>
            <w:r w:rsidRPr="002029AF">
              <w:t>year</w:t>
            </w:r>
          </w:p>
        </w:tc>
        <w:tc>
          <w:tcPr>
            <w:tcW w:w="1134" w:type="dxa"/>
            <w:shd w:val="clear" w:color="auto" w:fill="E7E6E6"/>
            <w:noWrap/>
            <w:hideMark/>
          </w:tcPr>
          <w:p w14:paraId="42D4521F" w14:textId="77777777" w:rsidR="0065586C" w:rsidRPr="002029AF" w:rsidRDefault="0065586C" w:rsidP="003566F1">
            <w:pPr>
              <w:pStyle w:val="ARfintablebodyright"/>
            </w:pPr>
            <w:r w:rsidRPr="002029AF">
              <w:t>457.4</w:t>
            </w:r>
          </w:p>
        </w:tc>
        <w:tc>
          <w:tcPr>
            <w:tcW w:w="1134" w:type="dxa"/>
            <w:noWrap/>
            <w:hideMark/>
          </w:tcPr>
          <w:p w14:paraId="665F3D8F" w14:textId="77777777" w:rsidR="0065586C" w:rsidRPr="002029AF" w:rsidRDefault="0065586C" w:rsidP="003566F1">
            <w:pPr>
              <w:pStyle w:val="ARfintablebodyright"/>
            </w:pPr>
            <w:r w:rsidRPr="002029AF">
              <w:t>85.5</w:t>
            </w:r>
          </w:p>
        </w:tc>
      </w:tr>
      <w:tr w:rsidR="0065586C" w:rsidRPr="002029AF" w14:paraId="47AFE460" w14:textId="77777777" w:rsidTr="003566F1">
        <w:tc>
          <w:tcPr>
            <w:tcW w:w="7369" w:type="dxa"/>
            <w:hideMark/>
          </w:tcPr>
          <w:p w14:paraId="45A77120" w14:textId="166D12AD" w:rsidR="0065586C" w:rsidRPr="002029AF" w:rsidRDefault="0065586C" w:rsidP="003566F1">
            <w:pPr>
              <w:pStyle w:val="ARfintablebodybold"/>
            </w:pPr>
            <w:r w:rsidRPr="002029AF">
              <w:t>Cash</w:t>
            </w:r>
            <w:r w:rsidR="000A5329" w:rsidRPr="002029AF">
              <w:t xml:space="preserve"> </w:t>
            </w:r>
            <w:r w:rsidRPr="002029AF">
              <w:t>and</w:t>
            </w:r>
            <w:r w:rsidR="000A5329" w:rsidRPr="002029AF">
              <w:t xml:space="preserve"> </w:t>
            </w:r>
            <w:r w:rsidRPr="002029AF">
              <w:t>deposits</w:t>
            </w:r>
            <w:r w:rsidR="000A5329" w:rsidRPr="002029AF">
              <w:t xml:space="preserve"> </w:t>
            </w:r>
            <w:r w:rsidRPr="002029AF">
              <w:t>at</w:t>
            </w:r>
            <w:r w:rsidR="000A5329" w:rsidRPr="002029AF">
              <w:t xml:space="preserve"> </w:t>
            </w:r>
            <w:r w:rsidRPr="002029AF">
              <w:t>the</w:t>
            </w:r>
            <w:r w:rsidR="000A5329" w:rsidRPr="002029AF">
              <w:t xml:space="preserve"> </w:t>
            </w:r>
            <w:r w:rsidRPr="002029AF">
              <w:t>end</w:t>
            </w:r>
            <w:r w:rsidR="000A5329" w:rsidRPr="002029AF">
              <w:t xml:space="preserve"> </w:t>
            </w:r>
            <w:r w:rsidRPr="002029AF">
              <w:t>of</w:t>
            </w:r>
            <w:r w:rsidR="000A5329" w:rsidRPr="002029AF">
              <w:t xml:space="preserve"> </w:t>
            </w:r>
            <w:r w:rsidRPr="002029AF">
              <w:t>the</w:t>
            </w:r>
            <w:r w:rsidR="000A5329" w:rsidRPr="002029AF">
              <w:t xml:space="preserve"> </w:t>
            </w:r>
            <w:r w:rsidRPr="002029AF">
              <w:t>financial</w:t>
            </w:r>
            <w:r w:rsidR="000A5329" w:rsidRPr="002029AF">
              <w:t xml:space="preserve"> </w:t>
            </w:r>
            <w:r w:rsidRPr="002029AF">
              <w:t>year</w:t>
            </w:r>
          </w:p>
        </w:tc>
        <w:tc>
          <w:tcPr>
            <w:tcW w:w="1134" w:type="dxa"/>
            <w:shd w:val="clear" w:color="auto" w:fill="E7E6E6"/>
            <w:noWrap/>
            <w:hideMark/>
          </w:tcPr>
          <w:p w14:paraId="43ABB9F5" w14:textId="77777777" w:rsidR="0065586C" w:rsidRPr="002029AF" w:rsidRDefault="0065586C" w:rsidP="003566F1">
            <w:pPr>
              <w:pStyle w:val="ARfintablebodyrightbold"/>
            </w:pPr>
            <w:r w:rsidRPr="002029AF">
              <w:t>486.7</w:t>
            </w:r>
          </w:p>
        </w:tc>
        <w:tc>
          <w:tcPr>
            <w:tcW w:w="1134" w:type="dxa"/>
            <w:noWrap/>
            <w:hideMark/>
          </w:tcPr>
          <w:p w14:paraId="2E09C3F9" w14:textId="77777777" w:rsidR="0065586C" w:rsidRPr="002029AF" w:rsidRDefault="0065586C" w:rsidP="003566F1">
            <w:pPr>
              <w:pStyle w:val="ARfintablebodyrightbold"/>
            </w:pPr>
            <w:r w:rsidRPr="002029AF">
              <w:t>457.4</w:t>
            </w:r>
          </w:p>
        </w:tc>
      </w:tr>
    </w:tbl>
    <w:p w14:paraId="41D90434" w14:textId="77777777" w:rsidR="0065586C" w:rsidRPr="002029AF" w:rsidRDefault="0065586C" w:rsidP="0065586C">
      <w:pPr>
        <w:pStyle w:val="ARfintablefootnote"/>
        <w:rPr>
          <w:lang w:eastAsia="en-AU"/>
        </w:rPr>
      </w:pPr>
      <w:r w:rsidRPr="002029AF">
        <w:rPr>
          <w:lang w:eastAsia="en-AU"/>
        </w:rPr>
        <w:t>Note:</w:t>
      </w:r>
    </w:p>
    <w:p w14:paraId="3D8303C0" w14:textId="45FE17CD" w:rsidR="0065586C" w:rsidRPr="002029AF" w:rsidRDefault="0065586C" w:rsidP="0065586C">
      <w:pPr>
        <w:pStyle w:val="ARfintablefootnoteindent"/>
      </w:pPr>
      <w:r w:rsidRPr="002029AF">
        <w:t>(i)</w:t>
      </w:r>
      <w:r w:rsidRPr="002029AF">
        <w:tab/>
        <w:t>Goods</w:t>
      </w:r>
      <w:r w:rsidR="000A5329" w:rsidRPr="002029AF">
        <w:t xml:space="preserve"> </w:t>
      </w:r>
      <w:r w:rsidRPr="002029AF">
        <w:t>and</w:t>
      </w:r>
      <w:r w:rsidR="000A5329" w:rsidRPr="002029AF">
        <w:t xml:space="preserve"> </w:t>
      </w:r>
      <w:r w:rsidRPr="002029AF">
        <w:t>services</w:t>
      </w:r>
      <w:r w:rsidR="000A5329" w:rsidRPr="002029AF">
        <w:t xml:space="preserve"> </w:t>
      </w:r>
      <w:r w:rsidRPr="002029AF">
        <w:t>tax</w:t>
      </w:r>
      <w:r w:rsidR="000A5329" w:rsidRPr="002029AF">
        <w:t xml:space="preserve"> </w:t>
      </w:r>
      <w:r w:rsidRPr="002029AF">
        <w:t>(GST)</w:t>
      </w:r>
      <w:r w:rsidR="000A5329" w:rsidRPr="002029AF">
        <w:t xml:space="preserve"> </w:t>
      </w:r>
      <w:r w:rsidRPr="002029AF">
        <w:t>recovered/paid</w:t>
      </w:r>
      <w:r w:rsidR="000A5329" w:rsidRPr="002029AF">
        <w:t xml:space="preserve"> </w:t>
      </w:r>
      <w:r w:rsidRPr="002029AF">
        <w:t>from</w:t>
      </w:r>
      <w:r w:rsidR="000A5329" w:rsidRPr="002029AF">
        <w:t xml:space="preserve"> </w:t>
      </w:r>
      <w:r w:rsidRPr="002029AF">
        <w:t>the</w:t>
      </w:r>
      <w:r w:rsidR="000A5329" w:rsidRPr="002029AF">
        <w:t xml:space="preserve"> </w:t>
      </w:r>
      <w:r w:rsidRPr="002029AF">
        <w:t>Australian</w:t>
      </w:r>
      <w:r w:rsidR="000A5329" w:rsidRPr="002029AF">
        <w:t xml:space="preserve"> </w:t>
      </w:r>
      <w:r w:rsidRPr="002029AF">
        <w:t>Taxation</w:t>
      </w:r>
      <w:r w:rsidR="000A5329" w:rsidRPr="002029AF">
        <w:t xml:space="preserve"> </w:t>
      </w:r>
      <w:r w:rsidRPr="002029AF">
        <w:t>Office</w:t>
      </w:r>
      <w:r w:rsidR="000A5329" w:rsidRPr="002029AF">
        <w:t xml:space="preserve"> </w:t>
      </w:r>
      <w:r w:rsidRPr="002029AF">
        <w:t>is</w:t>
      </w:r>
      <w:r w:rsidR="000A5329" w:rsidRPr="002029AF">
        <w:t xml:space="preserve"> </w:t>
      </w:r>
      <w:r w:rsidRPr="002029AF">
        <w:t>presented</w:t>
      </w:r>
      <w:r w:rsidR="000A5329" w:rsidRPr="002029AF">
        <w:t xml:space="preserve"> </w:t>
      </w:r>
      <w:r w:rsidRPr="002029AF">
        <w:t>on</w:t>
      </w:r>
      <w:r w:rsidR="000A5329" w:rsidRPr="002029AF">
        <w:t xml:space="preserve"> </w:t>
      </w:r>
      <w:r w:rsidRPr="002029AF">
        <w:t>a</w:t>
      </w:r>
      <w:r w:rsidR="000A5329" w:rsidRPr="002029AF">
        <w:t xml:space="preserve"> </w:t>
      </w:r>
      <w:r w:rsidRPr="002029AF">
        <w:t>net</w:t>
      </w:r>
      <w:r w:rsidR="000A5329" w:rsidRPr="002029AF">
        <w:t xml:space="preserve"> </w:t>
      </w:r>
      <w:r w:rsidRPr="002029AF">
        <w:t>basis.</w:t>
      </w:r>
    </w:p>
    <w:p w14:paraId="2FECC267" w14:textId="353AFA57" w:rsidR="009B0A5C" w:rsidRPr="002029AF" w:rsidRDefault="009B0A5C" w:rsidP="0065586C">
      <w:pPr>
        <w:pStyle w:val="ARfinbody"/>
      </w:pPr>
    </w:p>
    <w:p w14:paraId="2A5173A5" w14:textId="55DF3265" w:rsidR="009B0A5C" w:rsidRPr="002029AF" w:rsidRDefault="009B0A5C" w:rsidP="009B0A5C">
      <w:pPr>
        <w:pStyle w:val="ARbody"/>
        <w:sectPr w:rsidR="009B0A5C" w:rsidRPr="002029AF" w:rsidSect="001E768A">
          <w:endnotePr>
            <w:numFmt w:val="decimal"/>
          </w:endnotePr>
          <w:pgSz w:w="11900" w:h="16840" w:code="9"/>
          <w:pgMar w:top="1985" w:right="851" w:bottom="851" w:left="1418" w:header="510" w:footer="340" w:gutter="0"/>
          <w:cols w:space="708"/>
          <w15:footnoteColumns w:val="1"/>
        </w:sectPr>
      </w:pPr>
    </w:p>
    <w:p w14:paraId="49374BF4" w14:textId="0AFAE6A8" w:rsidR="00CF72D5" w:rsidRPr="002029AF" w:rsidRDefault="00CF72D5" w:rsidP="00897193">
      <w:pPr>
        <w:pStyle w:val="Heading2"/>
        <w:spacing w:before="0"/>
      </w:pPr>
      <w:bookmarkStart w:id="429" w:name="_Toc50996879"/>
      <w:bookmarkStart w:id="430" w:name="_Toc50998469"/>
      <w:bookmarkStart w:id="431" w:name="_Toc54690823"/>
      <w:bookmarkEnd w:id="416"/>
      <w:bookmarkEnd w:id="417"/>
      <w:r w:rsidRPr="002029AF">
        <w:lastRenderedPageBreak/>
        <w:t>Capital</w:t>
      </w:r>
      <w:r w:rsidR="000A5329" w:rsidRPr="002029AF">
        <w:t xml:space="preserve"> </w:t>
      </w:r>
      <w:r w:rsidRPr="002029AF">
        <w:t>projects</w:t>
      </w:r>
      <w:r w:rsidR="000A5329" w:rsidRPr="002029AF">
        <w:t xml:space="preserve"> </w:t>
      </w:r>
      <w:r w:rsidRPr="002029AF">
        <w:t>reaching</w:t>
      </w:r>
      <w:r w:rsidR="000A5329" w:rsidRPr="002029AF">
        <w:t xml:space="preserve"> </w:t>
      </w:r>
      <w:r w:rsidRPr="002029AF">
        <w:t>practical</w:t>
      </w:r>
      <w:r w:rsidR="000A5329" w:rsidRPr="002029AF">
        <w:t xml:space="preserve"> </w:t>
      </w:r>
      <w:r w:rsidRPr="002029AF">
        <w:t>completion</w:t>
      </w:r>
      <w:r w:rsidR="000A5329" w:rsidRPr="002029AF">
        <w:t xml:space="preserve"> </w:t>
      </w:r>
      <w:r w:rsidRPr="002029AF">
        <w:t>during</w:t>
      </w:r>
      <w:r w:rsidR="000A5329" w:rsidRPr="002029AF">
        <w:t xml:space="preserve"> </w:t>
      </w:r>
      <w:r w:rsidRPr="002029AF">
        <w:t>the</w:t>
      </w:r>
      <w:r w:rsidR="000A5329" w:rsidRPr="002029AF">
        <w:t xml:space="preserve"> </w:t>
      </w:r>
      <w:r w:rsidRPr="002029AF">
        <w:t>financial</w:t>
      </w:r>
      <w:r w:rsidR="000A5329" w:rsidRPr="002029AF">
        <w:t xml:space="preserve"> </w:t>
      </w:r>
      <w:r w:rsidRPr="002029AF">
        <w:t>year</w:t>
      </w:r>
      <w:r w:rsidR="000A5329" w:rsidRPr="002029AF">
        <w:t xml:space="preserve"> </w:t>
      </w:r>
      <w:r w:rsidRPr="002029AF">
        <w:t>ended</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bookmarkEnd w:id="429"/>
      <w:bookmarkEnd w:id="430"/>
      <w:bookmarkEnd w:id="431"/>
    </w:p>
    <w:tbl>
      <w:tblPr>
        <w:tblW w:w="14010" w:type="dxa"/>
        <w:tblBorders>
          <w:insideH w:val="single" w:sz="4" w:space="0" w:color="auto"/>
        </w:tblBorders>
        <w:tblLayout w:type="fixed"/>
        <w:tblLook w:val="06A0" w:firstRow="1" w:lastRow="0" w:firstColumn="1" w:lastColumn="0" w:noHBand="1" w:noVBand="1"/>
      </w:tblPr>
      <w:tblGrid>
        <w:gridCol w:w="1977"/>
        <w:gridCol w:w="1073"/>
        <w:gridCol w:w="1072"/>
        <w:gridCol w:w="1072"/>
        <w:gridCol w:w="1246"/>
        <w:gridCol w:w="1072"/>
        <w:gridCol w:w="1072"/>
        <w:gridCol w:w="1072"/>
        <w:gridCol w:w="1861"/>
        <w:gridCol w:w="2493"/>
      </w:tblGrid>
      <w:tr w:rsidR="00CF72D5" w:rsidRPr="002029AF" w14:paraId="2DAD5010" w14:textId="77777777" w:rsidTr="0072293A">
        <w:trPr>
          <w:cantSplit/>
          <w:tblHeader/>
        </w:trPr>
        <w:tc>
          <w:tcPr>
            <w:tcW w:w="1977" w:type="dxa"/>
            <w:tcBorders>
              <w:top w:val="nil"/>
              <w:left w:val="nil"/>
              <w:bottom w:val="single" w:sz="4" w:space="0" w:color="auto"/>
              <w:right w:val="nil"/>
            </w:tcBorders>
            <w:vAlign w:val="bottom"/>
            <w:hideMark/>
          </w:tcPr>
          <w:p w14:paraId="6969ACED" w14:textId="0E1FC9AF" w:rsidR="00CF72D5" w:rsidRPr="002029AF" w:rsidRDefault="00CF72D5">
            <w:pPr>
              <w:pStyle w:val="ARtablecolhead"/>
            </w:pPr>
            <w:r w:rsidRPr="002029AF">
              <w:t>Project</w:t>
            </w:r>
            <w:r w:rsidR="000A5329" w:rsidRPr="002029AF">
              <w:t xml:space="preserve"> </w:t>
            </w:r>
            <w:r w:rsidRPr="002029AF">
              <w:t>name</w:t>
            </w:r>
          </w:p>
        </w:tc>
        <w:tc>
          <w:tcPr>
            <w:tcW w:w="1073" w:type="dxa"/>
            <w:tcBorders>
              <w:top w:val="nil"/>
              <w:left w:val="nil"/>
              <w:bottom w:val="single" w:sz="4" w:space="0" w:color="auto"/>
              <w:right w:val="nil"/>
            </w:tcBorders>
            <w:vAlign w:val="bottom"/>
            <w:hideMark/>
          </w:tcPr>
          <w:p w14:paraId="161BDF69" w14:textId="7BF091FB" w:rsidR="00CF72D5" w:rsidRPr="002029AF" w:rsidRDefault="00CF72D5">
            <w:pPr>
              <w:pStyle w:val="ARtablecolhead"/>
            </w:pPr>
            <w:r w:rsidRPr="002029AF">
              <w:t>Original</w:t>
            </w:r>
            <w:r w:rsidR="000A5329" w:rsidRPr="002029AF">
              <w:t xml:space="preserve"> </w:t>
            </w:r>
            <w:r w:rsidRPr="002029AF">
              <w:t>comple-tion</w:t>
            </w:r>
            <w:r w:rsidR="000A5329" w:rsidRPr="002029AF">
              <w:t xml:space="preserve"> </w:t>
            </w:r>
            <w:r w:rsidRPr="002029AF">
              <w:t>date</w:t>
            </w:r>
          </w:p>
        </w:tc>
        <w:tc>
          <w:tcPr>
            <w:tcW w:w="1072" w:type="dxa"/>
            <w:tcBorders>
              <w:top w:val="nil"/>
              <w:left w:val="nil"/>
              <w:bottom w:val="single" w:sz="4" w:space="0" w:color="auto"/>
              <w:right w:val="nil"/>
            </w:tcBorders>
            <w:vAlign w:val="bottom"/>
            <w:hideMark/>
          </w:tcPr>
          <w:p w14:paraId="4656746B" w14:textId="7CBB874C" w:rsidR="00CF72D5" w:rsidRPr="002029AF" w:rsidRDefault="00CF72D5">
            <w:pPr>
              <w:pStyle w:val="ARtablecolhead"/>
            </w:pPr>
            <w:r w:rsidRPr="002029AF">
              <w:t>Latest</w:t>
            </w:r>
            <w:r w:rsidR="000A5329" w:rsidRPr="002029AF">
              <w:t xml:space="preserve"> </w:t>
            </w:r>
            <w:r w:rsidRPr="002029AF">
              <w:t>approved</w:t>
            </w:r>
            <w:r w:rsidR="000A5329" w:rsidRPr="002029AF">
              <w:t xml:space="preserve"> </w:t>
            </w:r>
            <w:r w:rsidRPr="002029AF">
              <w:t>comple-tion</w:t>
            </w:r>
            <w:r w:rsidR="000A5329" w:rsidRPr="002029AF">
              <w:t xml:space="preserve"> </w:t>
            </w:r>
            <w:r w:rsidRPr="002029AF">
              <w:t>date</w:t>
            </w:r>
          </w:p>
        </w:tc>
        <w:tc>
          <w:tcPr>
            <w:tcW w:w="1072" w:type="dxa"/>
            <w:tcBorders>
              <w:top w:val="nil"/>
              <w:left w:val="nil"/>
              <w:bottom w:val="single" w:sz="4" w:space="0" w:color="auto"/>
              <w:right w:val="nil"/>
            </w:tcBorders>
            <w:vAlign w:val="bottom"/>
            <w:hideMark/>
          </w:tcPr>
          <w:p w14:paraId="7DBD0C54" w14:textId="522884F9" w:rsidR="00CF72D5" w:rsidRPr="002029AF" w:rsidRDefault="00CF72D5">
            <w:pPr>
              <w:pStyle w:val="ARtablecolhead"/>
            </w:pPr>
            <w:r w:rsidRPr="002029AF">
              <w:t>Practical</w:t>
            </w:r>
            <w:r w:rsidR="000A5329" w:rsidRPr="002029AF">
              <w:t xml:space="preserve"> </w:t>
            </w:r>
            <w:r w:rsidRPr="002029AF">
              <w:t>comple-tion</w:t>
            </w:r>
            <w:r w:rsidR="000A5329" w:rsidRPr="002029AF">
              <w:t xml:space="preserve"> </w:t>
            </w:r>
            <w:r w:rsidRPr="002029AF">
              <w:t>date</w:t>
            </w:r>
          </w:p>
        </w:tc>
        <w:tc>
          <w:tcPr>
            <w:tcW w:w="1246" w:type="dxa"/>
            <w:tcBorders>
              <w:top w:val="nil"/>
              <w:left w:val="nil"/>
              <w:bottom w:val="single" w:sz="4" w:space="0" w:color="auto"/>
              <w:right w:val="nil"/>
            </w:tcBorders>
            <w:vAlign w:val="bottom"/>
            <w:hideMark/>
          </w:tcPr>
          <w:p w14:paraId="588EDC17" w14:textId="505CCD9F" w:rsidR="00CF72D5" w:rsidRPr="002029AF" w:rsidRDefault="00CF72D5">
            <w:pPr>
              <w:pStyle w:val="ARtablecolhead"/>
            </w:pPr>
            <w:r w:rsidRPr="002029AF">
              <w:t>Reason</w:t>
            </w:r>
            <w:r w:rsidR="000A5329" w:rsidRPr="002029AF">
              <w:t xml:space="preserve"> </w:t>
            </w:r>
            <w:r w:rsidRPr="002029AF">
              <w:t>for</w:t>
            </w:r>
            <w:r w:rsidR="000A5329" w:rsidRPr="002029AF">
              <w:t xml:space="preserve"> </w:t>
            </w:r>
            <w:r w:rsidRPr="002029AF">
              <w:t>variance</w:t>
            </w:r>
            <w:r w:rsidR="000A5329" w:rsidRPr="002029AF">
              <w:t xml:space="preserve"> </w:t>
            </w:r>
            <w:r w:rsidRPr="002029AF">
              <w:t>in</w:t>
            </w:r>
            <w:r w:rsidR="000A5329" w:rsidRPr="002029AF">
              <w:t xml:space="preserve"> </w:t>
            </w:r>
            <w:r w:rsidRPr="002029AF">
              <w:t>completion</w:t>
            </w:r>
            <w:r w:rsidR="000A5329" w:rsidRPr="002029AF">
              <w:t xml:space="preserve"> </w:t>
            </w:r>
            <w:r w:rsidRPr="002029AF">
              <w:t>dates</w:t>
            </w:r>
          </w:p>
        </w:tc>
        <w:tc>
          <w:tcPr>
            <w:tcW w:w="1072" w:type="dxa"/>
            <w:tcBorders>
              <w:top w:val="nil"/>
              <w:left w:val="nil"/>
              <w:bottom w:val="single" w:sz="4" w:space="0" w:color="auto"/>
              <w:right w:val="nil"/>
            </w:tcBorders>
            <w:vAlign w:val="bottom"/>
            <w:hideMark/>
          </w:tcPr>
          <w:p w14:paraId="7B9E35A5" w14:textId="03B6849E" w:rsidR="00CF72D5" w:rsidRPr="002029AF" w:rsidRDefault="00CF72D5">
            <w:pPr>
              <w:pStyle w:val="ARtablecolheadright"/>
            </w:pPr>
            <w:r w:rsidRPr="002029AF">
              <w:t>Original</w:t>
            </w:r>
            <w:r w:rsidR="000A5329" w:rsidRPr="002029AF">
              <w:t xml:space="preserve"> </w:t>
            </w:r>
            <w:r w:rsidRPr="002029AF">
              <w:t>approved</w:t>
            </w:r>
            <w:r w:rsidR="000A5329" w:rsidRPr="002029AF">
              <w:t xml:space="preserve"> </w:t>
            </w:r>
            <w:r w:rsidRPr="002029AF">
              <w:br/>
              <w:t>TEI</w:t>
            </w:r>
            <w:r w:rsidR="000A5329" w:rsidRPr="002029AF">
              <w:t xml:space="preserve"> </w:t>
            </w:r>
            <w:r w:rsidRPr="002029AF">
              <w:t>budget</w:t>
            </w:r>
          </w:p>
          <w:p w14:paraId="7F7CEC3B" w14:textId="77777777" w:rsidR="00CF72D5" w:rsidRPr="002029AF" w:rsidRDefault="00CF72D5">
            <w:pPr>
              <w:pStyle w:val="ARtablecolheadright"/>
            </w:pPr>
            <w:r w:rsidRPr="002029AF">
              <w:t>($M)</w:t>
            </w:r>
          </w:p>
        </w:tc>
        <w:tc>
          <w:tcPr>
            <w:tcW w:w="1072" w:type="dxa"/>
            <w:tcBorders>
              <w:top w:val="nil"/>
              <w:left w:val="nil"/>
              <w:bottom w:val="single" w:sz="4" w:space="0" w:color="auto"/>
              <w:right w:val="nil"/>
            </w:tcBorders>
            <w:vAlign w:val="bottom"/>
            <w:hideMark/>
          </w:tcPr>
          <w:p w14:paraId="767F85D9" w14:textId="07CA6C83" w:rsidR="00CF72D5" w:rsidRPr="002029AF" w:rsidRDefault="00CF72D5">
            <w:pPr>
              <w:pStyle w:val="ARtablecolheadright"/>
            </w:pPr>
            <w:r w:rsidRPr="002029AF">
              <w:t>Latest</w:t>
            </w:r>
            <w:r w:rsidR="000A5329" w:rsidRPr="002029AF">
              <w:t xml:space="preserve"> </w:t>
            </w:r>
            <w:r w:rsidRPr="002029AF">
              <w:t>approved</w:t>
            </w:r>
            <w:r w:rsidR="000A5329" w:rsidRPr="002029AF">
              <w:t xml:space="preserve"> </w:t>
            </w:r>
            <w:r w:rsidRPr="002029AF">
              <w:t>TEI</w:t>
            </w:r>
            <w:r w:rsidR="000A5329" w:rsidRPr="002029AF">
              <w:t xml:space="preserve"> </w:t>
            </w:r>
            <w:r w:rsidRPr="002029AF">
              <w:t>budget</w:t>
            </w:r>
          </w:p>
          <w:p w14:paraId="153EBDC3" w14:textId="77777777" w:rsidR="00CF72D5" w:rsidRPr="002029AF" w:rsidRDefault="00CF72D5">
            <w:pPr>
              <w:pStyle w:val="ARtablecolheadright"/>
            </w:pPr>
            <w:r w:rsidRPr="002029AF">
              <w:t>($M)</w:t>
            </w:r>
          </w:p>
        </w:tc>
        <w:tc>
          <w:tcPr>
            <w:tcW w:w="1072" w:type="dxa"/>
            <w:tcBorders>
              <w:top w:val="nil"/>
              <w:left w:val="nil"/>
              <w:bottom w:val="single" w:sz="4" w:space="0" w:color="auto"/>
              <w:right w:val="nil"/>
            </w:tcBorders>
            <w:vAlign w:val="bottom"/>
            <w:hideMark/>
          </w:tcPr>
          <w:p w14:paraId="230292EC" w14:textId="7829735D" w:rsidR="00CF72D5" w:rsidRPr="002029AF" w:rsidRDefault="00CF72D5">
            <w:pPr>
              <w:pStyle w:val="ARtablecolheadright"/>
            </w:pPr>
            <w:r w:rsidRPr="002029AF">
              <w:t>Actual</w:t>
            </w:r>
            <w:r w:rsidR="000A5329" w:rsidRPr="002029AF">
              <w:t xml:space="preserve"> </w:t>
            </w:r>
            <w:r w:rsidRPr="002029AF">
              <w:t>TEI</w:t>
            </w:r>
            <w:r w:rsidR="000A5329" w:rsidRPr="002029AF">
              <w:t xml:space="preserve"> </w:t>
            </w:r>
            <w:r w:rsidRPr="002029AF">
              <w:t>cost</w:t>
            </w:r>
          </w:p>
          <w:p w14:paraId="34CB1A3D" w14:textId="77777777" w:rsidR="00CF72D5" w:rsidRPr="002029AF" w:rsidRDefault="00CF72D5">
            <w:pPr>
              <w:pStyle w:val="ARtablecolheadright"/>
            </w:pPr>
            <w:r w:rsidRPr="002029AF">
              <w:t>($M)</w:t>
            </w:r>
          </w:p>
        </w:tc>
        <w:tc>
          <w:tcPr>
            <w:tcW w:w="1861" w:type="dxa"/>
            <w:tcBorders>
              <w:top w:val="nil"/>
              <w:left w:val="nil"/>
              <w:bottom w:val="single" w:sz="4" w:space="0" w:color="auto"/>
              <w:right w:val="nil"/>
            </w:tcBorders>
            <w:vAlign w:val="bottom"/>
            <w:hideMark/>
          </w:tcPr>
          <w:p w14:paraId="6EBA59F8" w14:textId="1C2A4C84" w:rsidR="00CF72D5" w:rsidRPr="002029AF" w:rsidRDefault="00CF72D5">
            <w:pPr>
              <w:pStyle w:val="ARtablecolheadright"/>
            </w:pPr>
            <w:r w:rsidRPr="002029AF">
              <w:t>Variation</w:t>
            </w:r>
            <w:r w:rsidR="000A5329" w:rsidRPr="002029AF">
              <w:t xml:space="preserve"> </w:t>
            </w:r>
            <w:r w:rsidRPr="002029AF">
              <w:t>between</w:t>
            </w:r>
            <w:r w:rsidR="000A5329" w:rsidRPr="002029AF">
              <w:t xml:space="preserve"> </w:t>
            </w:r>
            <w:r w:rsidRPr="002029AF">
              <w:t>actual</w:t>
            </w:r>
            <w:r w:rsidR="000A5329" w:rsidRPr="002029AF">
              <w:t xml:space="preserve"> </w:t>
            </w:r>
            <w:r w:rsidRPr="002029AF">
              <w:t>cost</w:t>
            </w:r>
            <w:r w:rsidR="000A5329" w:rsidRPr="002029AF">
              <w:t xml:space="preserve"> </w:t>
            </w:r>
            <w:r w:rsidRPr="002029AF">
              <w:t>and</w:t>
            </w:r>
            <w:r w:rsidR="000A5329" w:rsidRPr="002029AF">
              <w:t xml:space="preserve"> </w:t>
            </w:r>
            <w:r w:rsidRPr="002029AF">
              <w:t>latest</w:t>
            </w:r>
            <w:r w:rsidR="000A5329" w:rsidRPr="002029AF">
              <w:t xml:space="preserve"> </w:t>
            </w:r>
            <w:r w:rsidRPr="002029AF">
              <w:t>approved</w:t>
            </w:r>
            <w:r w:rsidR="000A5329" w:rsidRPr="002029AF">
              <w:t xml:space="preserve"> </w:t>
            </w:r>
            <w:r w:rsidRPr="002029AF">
              <w:t>TEI</w:t>
            </w:r>
            <w:r w:rsidR="000A5329" w:rsidRPr="002029AF">
              <w:t xml:space="preserve"> </w:t>
            </w:r>
            <w:r w:rsidRPr="002029AF">
              <w:t>budget</w:t>
            </w:r>
          </w:p>
          <w:p w14:paraId="7E1A67B1" w14:textId="77777777" w:rsidR="00CF72D5" w:rsidRPr="002029AF" w:rsidRDefault="00CF72D5">
            <w:pPr>
              <w:pStyle w:val="ARtablecolheadright"/>
            </w:pPr>
            <w:r w:rsidRPr="002029AF">
              <w:t>($M)</w:t>
            </w:r>
          </w:p>
        </w:tc>
        <w:tc>
          <w:tcPr>
            <w:tcW w:w="2493" w:type="dxa"/>
            <w:tcBorders>
              <w:top w:val="nil"/>
              <w:left w:val="nil"/>
              <w:bottom w:val="single" w:sz="4" w:space="0" w:color="auto"/>
              <w:right w:val="nil"/>
            </w:tcBorders>
            <w:vAlign w:val="bottom"/>
            <w:hideMark/>
          </w:tcPr>
          <w:p w14:paraId="5608E105" w14:textId="14AB9CEE" w:rsidR="00CF72D5" w:rsidRPr="002029AF" w:rsidRDefault="00CF72D5">
            <w:pPr>
              <w:pStyle w:val="ARtablecolhead"/>
            </w:pPr>
            <w:r w:rsidRPr="002029AF">
              <w:t>Reason</w:t>
            </w:r>
            <w:r w:rsidR="000A5329" w:rsidRPr="002029AF">
              <w:t xml:space="preserve"> </w:t>
            </w:r>
            <w:r w:rsidRPr="002029AF">
              <w:t>for</w:t>
            </w:r>
            <w:r w:rsidR="000A5329" w:rsidRPr="002029AF">
              <w:t xml:space="preserve"> </w:t>
            </w:r>
            <w:r w:rsidRPr="002029AF">
              <w:t>variance</w:t>
            </w:r>
            <w:r w:rsidR="000A5329" w:rsidRPr="002029AF">
              <w:t xml:space="preserve"> </w:t>
            </w:r>
            <w:r w:rsidRPr="002029AF">
              <w:t>from</w:t>
            </w:r>
            <w:r w:rsidR="000A5329" w:rsidRPr="002029AF">
              <w:t xml:space="preserve"> </w:t>
            </w:r>
            <w:r w:rsidRPr="002029AF">
              <w:t>latest</w:t>
            </w:r>
            <w:r w:rsidR="000A5329" w:rsidRPr="002029AF">
              <w:t xml:space="preserve"> </w:t>
            </w:r>
            <w:r w:rsidRPr="002029AF">
              <w:t>approved</w:t>
            </w:r>
            <w:r w:rsidR="000A5329" w:rsidRPr="002029AF">
              <w:t xml:space="preserve"> </w:t>
            </w:r>
            <w:r w:rsidRPr="002029AF">
              <w:t>TEI</w:t>
            </w:r>
            <w:r w:rsidR="000A5329" w:rsidRPr="002029AF">
              <w:t xml:space="preserve"> </w:t>
            </w:r>
            <w:r w:rsidRPr="002029AF">
              <w:t>budget</w:t>
            </w:r>
          </w:p>
        </w:tc>
      </w:tr>
      <w:tr w:rsidR="00CF72D5" w:rsidRPr="002029AF" w14:paraId="7E8F4382" w14:textId="77777777" w:rsidTr="0072293A">
        <w:trPr>
          <w:cantSplit/>
        </w:trPr>
        <w:tc>
          <w:tcPr>
            <w:tcW w:w="1977" w:type="dxa"/>
            <w:tcBorders>
              <w:top w:val="single" w:sz="4" w:space="0" w:color="auto"/>
              <w:left w:val="nil"/>
              <w:bottom w:val="single" w:sz="4" w:space="0" w:color="auto"/>
              <w:right w:val="nil"/>
            </w:tcBorders>
            <w:shd w:val="clear" w:color="auto" w:fill="auto"/>
          </w:tcPr>
          <w:p w14:paraId="6CE54815" w14:textId="175CBB1E" w:rsidR="00CF72D5" w:rsidRPr="002029AF" w:rsidRDefault="00CF72D5" w:rsidP="00897193">
            <w:pPr>
              <w:pStyle w:val="ARtabletext"/>
            </w:pPr>
            <w:r w:rsidRPr="002029AF">
              <w:t>Casey</w:t>
            </w:r>
            <w:r w:rsidR="000A5329" w:rsidRPr="002029AF">
              <w:t xml:space="preserve"> </w:t>
            </w:r>
            <w:r w:rsidRPr="002029AF">
              <w:t>Hospital</w:t>
            </w:r>
            <w:r w:rsidR="000A5329" w:rsidRPr="002029AF">
              <w:t xml:space="preserve"> </w:t>
            </w:r>
            <w:r w:rsidRPr="002029AF">
              <w:t>Expansion</w:t>
            </w:r>
          </w:p>
        </w:tc>
        <w:tc>
          <w:tcPr>
            <w:tcW w:w="1073" w:type="dxa"/>
            <w:tcBorders>
              <w:top w:val="single" w:sz="4" w:space="0" w:color="auto"/>
              <w:left w:val="nil"/>
              <w:bottom w:val="single" w:sz="4" w:space="0" w:color="auto"/>
              <w:right w:val="nil"/>
            </w:tcBorders>
            <w:shd w:val="clear" w:color="auto" w:fill="auto"/>
          </w:tcPr>
          <w:p w14:paraId="330B3867" w14:textId="77777777" w:rsidR="00CF72D5" w:rsidRPr="002029AF" w:rsidRDefault="00CF72D5" w:rsidP="00897193">
            <w:pPr>
              <w:pStyle w:val="ARtabletext"/>
            </w:pPr>
            <w:r w:rsidRPr="002029AF">
              <w:t>Jun-20</w:t>
            </w:r>
          </w:p>
        </w:tc>
        <w:tc>
          <w:tcPr>
            <w:tcW w:w="1072" w:type="dxa"/>
            <w:tcBorders>
              <w:top w:val="single" w:sz="4" w:space="0" w:color="auto"/>
              <w:left w:val="nil"/>
              <w:bottom w:val="single" w:sz="4" w:space="0" w:color="auto"/>
              <w:right w:val="nil"/>
            </w:tcBorders>
            <w:shd w:val="clear" w:color="auto" w:fill="auto"/>
          </w:tcPr>
          <w:p w14:paraId="507F9B1D" w14:textId="77777777" w:rsidR="00CF72D5" w:rsidRPr="002029AF" w:rsidRDefault="00CF72D5" w:rsidP="00897193">
            <w:pPr>
              <w:pStyle w:val="ARtabletext"/>
            </w:pPr>
            <w:r w:rsidRPr="002029AF">
              <w:t>Jun-20</w:t>
            </w:r>
          </w:p>
        </w:tc>
        <w:tc>
          <w:tcPr>
            <w:tcW w:w="1072" w:type="dxa"/>
            <w:tcBorders>
              <w:top w:val="single" w:sz="4" w:space="0" w:color="auto"/>
              <w:left w:val="nil"/>
              <w:bottom w:val="single" w:sz="4" w:space="0" w:color="auto"/>
              <w:right w:val="nil"/>
            </w:tcBorders>
            <w:shd w:val="clear" w:color="auto" w:fill="auto"/>
          </w:tcPr>
          <w:p w14:paraId="4A6E7D41" w14:textId="77777777" w:rsidR="00CF72D5" w:rsidRPr="002029AF" w:rsidRDefault="00CF72D5" w:rsidP="00897193">
            <w:pPr>
              <w:pStyle w:val="ARtabletext"/>
            </w:pPr>
            <w:r w:rsidRPr="002029AF">
              <w:t>Apr-20</w:t>
            </w:r>
          </w:p>
        </w:tc>
        <w:tc>
          <w:tcPr>
            <w:tcW w:w="1246" w:type="dxa"/>
            <w:tcBorders>
              <w:top w:val="single" w:sz="4" w:space="0" w:color="auto"/>
              <w:left w:val="nil"/>
              <w:bottom w:val="single" w:sz="4" w:space="0" w:color="auto"/>
              <w:right w:val="nil"/>
            </w:tcBorders>
            <w:shd w:val="clear" w:color="auto" w:fill="auto"/>
          </w:tcPr>
          <w:p w14:paraId="0BC7F8AA" w14:textId="77777777" w:rsidR="00CF72D5" w:rsidRPr="002029AF" w:rsidRDefault="00CF72D5" w:rsidP="00897193">
            <w:pPr>
              <w:pStyle w:val="ARtabletext"/>
            </w:pPr>
          </w:p>
        </w:tc>
        <w:tc>
          <w:tcPr>
            <w:tcW w:w="1072" w:type="dxa"/>
            <w:tcBorders>
              <w:top w:val="single" w:sz="4" w:space="0" w:color="auto"/>
              <w:left w:val="nil"/>
              <w:bottom w:val="single" w:sz="4" w:space="0" w:color="auto"/>
              <w:right w:val="nil"/>
            </w:tcBorders>
            <w:shd w:val="clear" w:color="auto" w:fill="auto"/>
          </w:tcPr>
          <w:p w14:paraId="119B4144" w14:textId="77777777" w:rsidR="00CF72D5" w:rsidRPr="002029AF" w:rsidRDefault="00CF72D5" w:rsidP="00897193">
            <w:pPr>
              <w:pStyle w:val="ARtabletextright"/>
            </w:pPr>
            <w:r w:rsidRPr="002029AF">
              <w:t>2.400</w:t>
            </w:r>
          </w:p>
        </w:tc>
        <w:tc>
          <w:tcPr>
            <w:tcW w:w="1072" w:type="dxa"/>
            <w:tcBorders>
              <w:top w:val="single" w:sz="4" w:space="0" w:color="auto"/>
              <w:left w:val="nil"/>
              <w:bottom w:val="single" w:sz="4" w:space="0" w:color="auto"/>
              <w:right w:val="nil"/>
            </w:tcBorders>
            <w:shd w:val="clear" w:color="auto" w:fill="auto"/>
          </w:tcPr>
          <w:p w14:paraId="0C238754" w14:textId="77777777" w:rsidR="00CF72D5" w:rsidRPr="002029AF" w:rsidRDefault="00CF72D5" w:rsidP="00897193">
            <w:pPr>
              <w:pStyle w:val="ARtabletextright"/>
            </w:pPr>
            <w:r w:rsidRPr="002029AF">
              <w:t>139.780</w:t>
            </w:r>
          </w:p>
        </w:tc>
        <w:tc>
          <w:tcPr>
            <w:tcW w:w="1072" w:type="dxa"/>
            <w:tcBorders>
              <w:top w:val="single" w:sz="4" w:space="0" w:color="auto"/>
              <w:left w:val="nil"/>
              <w:bottom w:val="single" w:sz="4" w:space="0" w:color="auto"/>
              <w:right w:val="nil"/>
            </w:tcBorders>
            <w:shd w:val="clear" w:color="auto" w:fill="auto"/>
          </w:tcPr>
          <w:p w14:paraId="4A0B48C7" w14:textId="77777777" w:rsidR="00CF72D5" w:rsidRPr="002029AF" w:rsidRDefault="00CF72D5" w:rsidP="00897193">
            <w:pPr>
              <w:pStyle w:val="ARtabletextright"/>
            </w:pPr>
            <w:r w:rsidRPr="002029AF">
              <w:t>143.633</w:t>
            </w:r>
          </w:p>
        </w:tc>
        <w:tc>
          <w:tcPr>
            <w:tcW w:w="1861" w:type="dxa"/>
            <w:tcBorders>
              <w:top w:val="single" w:sz="4" w:space="0" w:color="auto"/>
              <w:left w:val="nil"/>
              <w:bottom w:val="single" w:sz="4" w:space="0" w:color="auto"/>
              <w:right w:val="nil"/>
            </w:tcBorders>
            <w:shd w:val="clear" w:color="auto" w:fill="auto"/>
          </w:tcPr>
          <w:p w14:paraId="2DF3DB07" w14:textId="77777777" w:rsidR="00CF72D5" w:rsidRPr="002029AF" w:rsidRDefault="00CF72D5" w:rsidP="00897193">
            <w:pPr>
              <w:pStyle w:val="ARtabletextright"/>
            </w:pPr>
            <w:r w:rsidRPr="002029AF">
              <w:t>3.853</w:t>
            </w:r>
          </w:p>
        </w:tc>
        <w:tc>
          <w:tcPr>
            <w:tcW w:w="2493" w:type="dxa"/>
            <w:tcBorders>
              <w:top w:val="single" w:sz="4" w:space="0" w:color="auto"/>
              <w:left w:val="nil"/>
              <w:bottom w:val="single" w:sz="4" w:space="0" w:color="auto"/>
              <w:right w:val="nil"/>
            </w:tcBorders>
            <w:shd w:val="clear" w:color="auto" w:fill="auto"/>
          </w:tcPr>
          <w:p w14:paraId="7F26621F" w14:textId="3918DE7F" w:rsidR="00CF72D5" w:rsidRPr="002029AF" w:rsidRDefault="00CF72D5" w:rsidP="00897193">
            <w:pPr>
              <w:pStyle w:val="ARtabletext"/>
            </w:pPr>
            <w:r w:rsidRPr="002029AF">
              <w:t>Original</w:t>
            </w:r>
            <w:r w:rsidR="000A5329" w:rsidRPr="002029AF">
              <w:t xml:space="preserve"> </w:t>
            </w:r>
            <w:r w:rsidRPr="002029AF">
              <w:t>TEI</w:t>
            </w:r>
            <w:r w:rsidR="000A5329" w:rsidRPr="002029AF">
              <w:t xml:space="preserve"> </w:t>
            </w:r>
            <w:r w:rsidRPr="002029AF">
              <w:t>was</w:t>
            </w:r>
            <w:r w:rsidR="000A5329" w:rsidRPr="002029AF">
              <w:t xml:space="preserve"> </w:t>
            </w:r>
            <w:r w:rsidRPr="002029AF">
              <w:t>for</w:t>
            </w:r>
            <w:r w:rsidR="000A5329" w:rsidRPr="002029AF">
              <w:t xml:space="preserve"> </w:t>
            </w:r>
            <w:r w:rsidRPr="002029AF">
              <w:t>planning</w:t>
            </w:r>
            <w:r w:rsidR="000A5329" w:rsidRPr="002029AF">
              <w:t xml:space="preserve"> </w:t>
            </w:r>
            <w:r w:rsidRPr="002029AF">
              <w:t>only.</w:t>
            </w:r>
            <w:r w:rsidR="000A5329" w:rsidRPr="002029AF">
              <w:t xml:space="preserve"> </w:t>
            </w:r>
            <w:r w:rsidRPr="002029AF">
              <w:t>Latest</w:t>
            </w:r>
            <w:r w:rsidR="000A5329" w:rsidRPr="002029AF">
              <w:t xml:space="preserve"> </w:t>
            </w:r>
            <w:r w:rsidRPr="002029AF">
              <w:t>approved</w:t>
            </w:r>
            <w:r w:rsidR="000A5329" w:rsidRPr="002029AF">
              <w:t xml:space="preserve"> </w:t>
            </w:r>
            <w:r w:rsidRPr="002029AF">
              <w:t>TEI</w:t>
            </w:r>
            <w:r w:rsidR="000A5329" w:rsidRPr="002029AF">
              <w:t xml:space="preserve"> </w:t>
            </w:r>
            <w:r w:rsidRPr="002029AF">
              <w:t>includes</w:t>
            </w:r>
            <w:r w:rsidR="000A5329" w:rsidRPr="002029AF">
              <w:t xml:space="preserve"> </w:t>
            </w:r>
            <w:r w:rsidRPr="002029AF">
              <w:t>$5</w:t>
            </w:r>
            <w:r w:rsidR="000A5329" w:rsidRPr="002029AF">
              <w:t xml:space="preserve"> </w:t>
            </w:r>
            <w:r w:rsidRPr="002029AF">
              <w:t>million</w:t>
            </w:r>
            <w:r w:rsidR="000A5329" w:rsidRPr="002029AF">
              <w:t xml:space="preserve"> </w:t>
            </w:r>
            <w:r w:rsidRPr="002029AF">
              <w:t>contribution</w:t>
            </w:r>
            <w:r w:rsidR="000A5329" w:rsidRPr="002029AF">
              <w:t xml:space="preserve"> </w:t>
            </w:r>
            <w:r w:rsidRPr="002029AF">
              <w:t>from</w:t>
            </w:r>
            <w:r w:rsidR="000A5329" w:rsidRPr="002029AF">
              <w:t xml:space="preserve"> </w:t>
            </w:r>
            <w:r w:rsidRPr="002029AF">
              <w:t>Monash</w:t>
            </w:r>
            <w:r w:rsidR="000A5329" w:rsidRPr="002029AF">
              <w:t xml:space="preserve"> </w:t>
            </w:r>
            <w:r w:rsidRPr="002029AF">
              <w:t>University</w:t>
            </w:r>
            <w:r w:rsidR="000A5329" w:rsidRPr="002029AF">
              <w:t xml:space="preserve"> </w:t>
            </w:r>
            <w:r w:rsidRPr="002029AF">
              <w:t>for</w:t>
            </w:r>
            <w:r w:rsidR="000A5329" w:rsidRPr="002029AF">
              <w:t xml:space="preserve"> </w:t>
            </w:r>
            <w:r w:rsidRPr="002029AF">
              <w:t>accommodation</w:t>
            </w:r>
            <w:r w:rsidR="000A5329" w:rsidRPr="002029AF">
              <w:t xml:space="preserve"> </w:t>
            </w:r>
            <w:r w:rsidRPr="002029AF">
              <w:t>space.</w:t>
            </w:r>
          </w:p>
        </w:tc>
      </w:tr>
      <w:tr w:rsidR="00CF72D5" w:rsidRPr="002029AF" w14:paraId="64773129" w14:textId="77777777" w:rsidTr="0072293A">
        <w:trPr>
          <w:cantSplit/>
        </w:trPr>
        <w:tc>
          <w:tcPr>
            <w:tcW w:w="1977" w:type="dxa"/>
            <w:tcBorders>
              <w:top w:val="single" w:sz="4" w:space="0" w:color="auto"/>
              <w:left w:val="nil"/>
              <w:bottom w:val="single" w:sz="4" w:space="0" w:color="auto"/>
              <w:right w:val="nil"/>
            </w:tcBorders>
            <w:shd w:val="clear" w:color="auto" w:fill="auto"/>
          </w:tcPr>
          <w:p w14:paraId="591DC2FE" w14:textId="75DAFC61" w:rsidR="00CF72D5" w:rsidRPr="002029AF" w:rsidRDefault="00CF72D5" w:rsidP="00897193">
            <w:pPr>
              <w:pStyle w:val="ARtabletext"/>
            </w:pPr>
            <w:r w:rsidRPr="002029AF">
              <w:t>Austin</w:t>
            </w:r>
            <w:r w:rsidR="000A5329" w:rsidRPr="002029AF">
              <w:t xml:space="preserve"> </w:t>
            </w:r>
            <w:r w:rsidRPr="002029AF">
              <w:t>Health</w:t>
            </w:r>
            <w:r w:rsidR="000A5329" w:rsidRPr="002029AF">
              <w:t xml:space="preserve"> </w:t>
            </w:r>
            <w:r w:rsidRPr="002029AF">
              <w:t>Critical</w:t>
            </w:r>
            <w:r w:rsidR="000A5329" w:rsidRPr="002029AF">
              <w:t xml:space="preserve"> </w:t>
            </w:r>
            <w:r w:rsidRPr="002029AF">
              <w:t>infrastructure</w:t>
            </w:r>
          </w:p>
        </w:tc>
        <w:tc>
          <w:tcPr>
            <w:tcW w:w="1073" w:type="dxa"/>
            <w:tcBorders>
              <w:top w:val="single" w:sz="4" w:space="0" w:color="auto"/>
              <w:left w:val="nil"/>
              <w:bottom w:val="single" w:sz="4" w:space="0" w:color="auto"/>
              <w:right w:val="nil"/>
            </w:tcBorders>
            <w:shd w:val="clear" w:color="auto" w:fill="auto"/>
          </w:tcPr>
          <w:p w14:paraId="65CE7259" w14:textId="77777777" w:rsidR="00CF72D5" w:rsidRPr="002029AF" w:rsidRDefault="00CF72D5" w:rsidP="00897193">
            <w:pPr>
              <w:pStyle w:val="ARtabletext"/>
            </w:pPr>
            <w:r w:rsidRPr="002029AF">
              <w:t>Jun-18</w:t>
            </w:r>
          </w:p>
        </w:tc>
        <w:tc>
          <w:tcPr>
            <w:tcW w:w="1072" w:type="dxa"/>
            <w:tcBorders>
              <w:top w:val="single" w:sz="4" w:space="0" w:color="auto"/>
              <w:left w:val="nil"/>
              <w:bottom w:val="single" w:sz="4" w:space="0" w:color="auto"/>
              <w:right w:val="nil"/>
            </w:tcBorders>
            <w:shd w:val="clear" w:color="auto" w:fill="auto"/>
          </w:tcPr>
          <w:p w14:paraId="3C05A5A3" w14:textId="77777777" w:rsidR="00CF72D5" w:rsidRPr="002029AF" w:rsidRDefault="00CF72D5" w:rsidP="00897193">
            <w:pPr>
              <w:pStyle w:val="ARtabletext"/>
            </w:pPr>
            <w:r w:rsidRPr="002029AF">
              <w:t>Jun-20</w:t>
            </w:r>
          </w:p>
        </w:tc>
        <w:tc>
          <w:tcPr>
            <w:tcW w:w="1072" w:type="dxa"/>
            <w:tcBorders>
              <w:top w:val="single" w:sz="4" w:space="0" w:color="auto"/>
              <w:left w:val="nil"/>
              <w:bottom w:val="single" w:sz="4" w:space="0" w:color="auto"/>
              <w:right w:val="nil"/>
            </w:tcBorders>
            <w:shd w:val="clear" w:color="auto" w:fill="auto"/>
          </w:tcPr>
          <w:p w14:paraId="3FB027DF" w14:textId="77777777" w:rsidR="00CF72D5" w:rsidRPr="002029AF" w:rsidRDefault="00CF72D5" w:rsidP="00897193">
            <w:pPr>
              <w:pStyle w:val="ARtabletext"/>
            </w:pPr>
            <w:r w:rsidRPr="002029AF">
              <w:t>Jun-19</w:t>
            </w:r>
          </w:p>
        </w:tc>
        <w:tc>
          <w:tcPr>
            <w:tcW w:w="1246" w:type="dxa"/>
            <w:tcBorders>
              <w:top w:val="single" w:sz="4" w:space="0" w:color="auto"/>
              <w:left w:val="nil"/>
              <w:bottom w:val="single" w:sz="4" w:space="0" w:color="auto"/>
              <w:right w:val="nil"/>
            </w:tcBorders>
            <w:shd w:val="clear" w:color="auto" w:fill="auto"/>
          </w:tcPr>
          <w:p w14:paraId="63F65EB1" w14:textId="2BC5EE06" w:rsidR="00CF72D5" w:rsidRPr="002029AF" w:rsidRDefault="00CF72D5" w:rsidP="00897193">
            <w:pPr>
              <w:pStyle w:val="ARtabletext"/>
            </w:pPr>
            <w:r w:rsidRPr="002029AF">
              <w:t>Scope</w:t>
            </w:r>
            <w:r w:rsidR="000A5329" w:rsidRPr="002029AF">
              <w:t xml:space="preserve"> </w:t>
            </w:r>
            <w:r w:rsidRPr="002029AF">
              <w:t>revised</w:t>
            </w:r>
            <w:r w:rsidR="000A5329" w:rsidRPr="002029AF">
              <w:t xml:space="preserve"> </w:t>
            </w:r>
            <w:r w:rsidRPr="002029AF">
              <w:t>to</w:t>
            </w:r>
            <w:r w:rsidR="000A5329" w:rsidRPr="002029AF">
              <w:t xml:space="preserve"> </w:t>
            </w:r>
            <w:r w:rsidRPr="002029AF">
              <w:t>include</w:t>
            </w:r>
            <w:r w:rsidR="000A5329" w:rsidRPr="002029AF">
              <w:t xml:space="preserve"> </w:t>
            </w:r>
            <w:r w:rsidRPr="002029AF">
              <w:t>hydraulics</w:t>
            </w:r>
            <w:r w:rsidR="000A5329" w:rsidRPr="002029AF">
              <w:t xml:space="preserve"> </w:t>
            </w:r>
            <w:r w:rsidRPr="002029AF">
              <w:t>works.</w:t>
            </w:r>
          </w:p>
        </w:tc>
        <w:tc>
          <w:tcPr>
            <w:tcW w:w="1072" w:type="dxa"/>
            <w:tcBorders>
              <w:top w:val="single" w:sz="4" w:space="0" w:color="auto"/>
              <w:left w:val="nil"/>
              <w:bottom w:val="single" w:sz="4" w:space="0" w:color="auto"/>
              <w:right w:val="nil"/>
            </w:tcBorders>
            <w:shd w:val="clear" w:color="auto" w:fill="auto"/>
          </w:tcPr>
          <w:p w14:paraId="7D9B8D7B" w14:textId="77777777" w:rsidR="00CF72D5" w:rsidRPr="002029AF" w:rsidRDefault="00CF72D5" w:rsidP="00897193">
            <w:pPr>
              <w:pStyle w:val="ARtabletextright"/>
            </w:pPr>
            <w:r w:rsidRPr="002029AF">
              <w:t>40.800</w:t>
            </w:r>
          </w:p>
        </w:tc>
        <w:tc>
          <w:tcPr>
            <w:tcW w:w="1072" w:type="dxa"/>
            <w:tcBorders>
              <w:top w:val="single" w:sz="4" w:space="0" w:color="auto"/>
              <w:left w:val="nil"/>
              <w:bottom w:val="single" w:sz="4" w:space="0" w:color="auto"/>
              <w:right w:val="nil"/>
            </w:tcBorders>
            <w:shd w:val="clear" w:color="auto" w:fill="auto"/>
          </w:tcPr>
          <w:p w14:paraId="538F9813" w14:textId="77777777" w:rsidR="00CF72D5" w:rsidRPr="002029AF" w:rsidRDefault="00CF72D5" w:rsidP="00897193">
            <w:pPr>
              <w:pStyle w:val="ARtabletextright"/>
            </w:pPr>
            <w:r w:rsidRPr="002029AF">
              <w:t>70.616</w:t>
            </w:r>
          </w:p>
        </w:tc>
        <w:tc>
          <w:tcPr>
            <w:tcW w:w="1072" w:type="dxa"/>
            <w:tcBorders>
              <w:top w:val="single" w:sz="4" w:space="0" w:color="auto"/>
              <w:left w:val="nil"/>
              <w:bottom w:val="single" w:sz="4" w:space="0" w:color="auto"/>
              <w:right w:val="nil"/>
            </w:tcBorders>
            <w:shd w:val="clear" w:color="auto" w:fill="auto"/>
          </w:tcPr>
          <w:p w14:paraId="46C9FC6D" w14:textId="77777777" w:rsidR="00CF72D5" w:rsidRPr="002029AF" w:rsidRDefault="00CF72D5" w:rsidP="00897193">
            <w:pPr>
              <w:pStyle w:val="ARtabletextright"/>
            </w:pPr>
            <w:r w:rsidRPr="002029AF">
              <w:t>62.685</w:t>
            </w:r>
          </w:p>
        </w:tc>
        <w:tc>
          <w:tcPr>
            <w:tcW w:w="1861" w:type="dxa"/>
            <w:tcBorders>
              <w:top w:val="single" w:sz="4" w:space="0" w:color="auto"/>
              <w:left w:val="nil"/>
              <w:bottom w:val="single" w:sz="4" w:space="0" w:color="auto"/>
              <w:right w:val="nil"/>
            </w:tcBorders>
            <w:shd w:val="clear" w:color="auto" w:fill="auto"/>
          </w:tcPr>
          <w:p w14:paraId="4DE5AE2D" w14:textId="77777777" w:rsidR="00CF72D5" w:rsidRPr="002029AF" w:rsidRDefault="00CF72D5" w:rsidP="00897193">
            <w:pPr>
              <w:pStyle w:val="ARtabletextright"/>
            </w:pPr>
            <w:r w:rsidRPr="002029AF">
              <w:t>(7.931)</w:t>
            </w:r>
          </w:p>
        </w:tc>
        <w:tc>
          <w:tcPr>
            <w:tcW w:w="2493" w:type="dxa"/>
            <w:tcBorders>
              <w:top w:val="single" w:sz="4" w:space="0" w:color="auto"/>
              <w:left w:val="nil"/>
              <w:bottom w:val="single" w:sz="4" w:space="0" w:color="auto"/>
              <w:right w:val="nil"/>
            </w:tcBorders>
            <w:shd w:val="clear" w:color="auto" w:fill="auto"/>
          </w:tcPr>
          <w:p w14:paraId="7F57C03F" w14:textId="17E0A6AF" w:rsidR="00CF72D5" w:rsidRPr="002029AF" w:rsidRDefault="00CF72D5" w:rsidP="00897193">
            <w:pPr>
              <w:pStyle w:val="ARtabletext"/>
            </w:pPr>
            <w:r w:rsidRPr="002029AF">
              <w:t>TEI</w:t>
            </w:r>
            <w:r w:rsidR="000A5329" w:rsidRPr="002029AF">
              <w:t xml:space="preserve"> </w:t>
            </w:r>
            <w:r w:rsidRPr="002029AF">
              <w:t>increase</w:t>
            </w:r>
            <w:r w:rsidR="000A5329" w:rsidRPr="002029AF">
              <w:t xml:space="preserve"> </w:t>
            </w:r>
            <w:r w:rsidRPr="002029AF">
              <w:t>to</w:t>
            </w:r>
            <w:r w:rsidR="000A5329" w:rsidRPr="002029AF">
              <w:t xml:space="preserve"> </w:t>
            </w:r>
            <w:r w:rsidRPr="002029AF">
              <w:t>reflects</w:t>
            </w:r>
            <w:r w:rsidR="000A5329" w:rsidRPr="002029AF">
              <w:t xml:space="preserve"> </w:t>
            </w:r>
            <w:r w:rsidRPr="002029AF">
              <w:t>additional</w:t>
            </w:r>
            <w:r w:rsidR="000A5329" w:rsidRPr="002029AF">
              <w:t xml:space="preserve"> </w:t>
            </w:r>
            <w:r w:rsidRPr="002029AF">
              <w:t>project</w:t>
            </w:r>
            <w:r w:rsidR="000A5329" w:rsidRPr="002029AF">
              <w:t xml:space="preserve"> </w:t>
            </w:r>
            <w:r w:rsidRPr="002029AF">
              <w:t>scope</w:t>
            </w:r>
            <w:r w:rsidR="000A5329" w:rsidRPr="002029AF">
              <w:t xml:space="preserve"> </w:t>
            </w:r>
            <w:r w:rsidRPr="002029AF">
              <w:t>to</w:t>
            </w:r>
            <w:r w:rsidR="000A5329" w:rsidRPr="002029AF">
              <w:t xml:space="preserve"> </w:t>
            </w:r>
            <w:r w:rsidRPr="002029AF">
              <w:t>include</w:t>
            </w:r>
            <w:r w:rsidR="000A5329" w:rsidRPr="002029AF">
              <w:t xml:space="preserve"> </w:t>
            </w:r>
            <w:r w:rsidRPr="002029AF">
              <w:t>hydraulics</w:t>
            </w:r>
            <w:r w:rsidR="000A5329" w:rsidRPr="002029AF">
              <w:t xml:space="preserve"> </w:t>
            </w:r>
            <w:r w:rsidRPr="002029AF">
              <w:t>works.</w:t>
            </w:r>
            <w:r w:rsidR="000A5329" w:rsidRPr="002029AF">
              <w:t xml:space="preserve"> </w:t>
            </w:r>
            <w:r w:rsidRPr="002029AF">
              <w:t>Project</w:t>
            </w:r>
            <w:r w:rsidR="000A5329" w:rsidRPr="002029AF">
              <w:t xml:space="preserve"> </w:t>
            </w:r>
            <w:r w:rsidRPr="002029AF">
              <w:t>in</w:t>
            </w:r>
            <w:r w:rsidR="000A5329" w:rsidRPr="002029AF">
              <w:t xml:space="preserve"> </w:t>
            </w:r>
            <w:r w:rsidRPr="002029AF">
              <w:t>Defects</w:t>
            </w:r>
            <w:r w:rsidR="000A5329" w:rsidRPr="002029AF">
              <w:t xml:space="preserve"> </w:t>
            </w:r>
            <w:r w:rsidRPr="002029AF">
              <w:t>Liability</w:t>
            </w:r>
            <w:r w:rsidR="000A5329" w:rsidRPr="002029AF">
              <w:t xml:space="preserve"> </w:t>
            </w:r>
            <w:r w:rsidRPr="002029AF">
              <w:t>Period</w:t>
            </w:r>
          </w:p>
        </w:tc>
      </w:tr>
      <w:tr w:rsidR="00CF72D5" w:rsidRPr="002029AF" w14:paraId="5B8A04E6" w14:textId="77777777" w:rsidTr="0072293A">
        <w:trPr>
          <w:cantSplit/>
        </w:trPr>
        <w:tc>
          <w:tcPr>
            <w:tcW w:w="1977" w:type="dxa"/>
            <w:tcBorders>
              <w:top w:val="single" w:sz="4" w:space="0" w:color="auto"/>
              <w:left w:val="nil"/>
              <w:bottom w:val="single" w:sz="4" w:space="0" w:color="auto"/>
              <w:right w:val="nil"/>
            </w:tcBorders>
            <w:shd w:val="clear" w:color="auto" w:fill="auto"/>
          </w:tcPr>
          <w:p w14:paraId="4BA5F0E6" w14:textId="6FC1BE6E" w:rsidR="00CF72D5" w:rsidRPr="002029AF" w:rsidRDefault="00CF72D5" w:rsidP="00897193">
            <w:pPr>
              <w:pStyle w:val="ARtabletext"/>
            </w:pPr>
            <w:r w:rsidRPr="002029AF">
              <w:t>Barwon</w:t>
            </w:r>
            <w:r w:rsidR="000A5329" w:rsidRPr="002029AF">
              <w:t xml:space="preserve"> </w:t>
            </w:r>
            <w:r w:rsidRPr="002029AF">
              <w:t>Health</w:t>
            </w:r>
            <w:r w:rsidR="0072293A" w:rsidRPr="002029AF">
              <w:t xml:space="preserve"> – </w:t>
            </w:r>
            <w:r w:rsidRPr="002029AF">
              <w:t>North</w:t>
            </w:r>
          </w:p>
        </w:tc>
        <w:tc>
          <w:tcPr>
            <w:tcW w:w="1073" w:type="dxa"/>
            <w:tcBorders>
              <w:top w:val="single" w:sz="4" w:space="0" w:color="auto"/>
              <w:left w:val="nil"/>
              <w:bottom w:val="single" w:sz="4" w:space="0" w:color="auto"/>
              <w:right w:val="nil"/>
            </w:tcBorders>
            <w:shd w:val="clear" w:color="auto" w:fill="auto"/>
          </w:tcPr>
          <w:p w14:paraId="38177CD3" w14:textId="77777777" w:rsidR="00CF72D5" w:rsidRPr="002029AF" w:rsidRDefault="00CF72D5" w:rsidP="00897193">
            <w:pPr>
              <w:pStyle w:val="ARtabletext"/>
            </w:pPr>
            <w:r w:rsidRPr="002029AF">
              <w:t>Jun-19</w:t>
            </w:r>
          </w:p>
        </w:tc>
        <w:tc>
          <w:tcPr>
            <w:tcW w:w="1072" w:type="dxa"/>
            <w:tcBorders>
              <w:top w:val="single" w:sz="4" w:space="0" w:color="auto"/>
              <w:left w:val="nil"/>
              <w:bottom w:val="single" w:sz="4" w:space="0" w:color="auto"/>
              <w:right w:val="nil"/>
            </w:tcBorders>
            <w:shd w:val="clear" w:color="auto" w:fill="auto"/>
          </w:tcPr>
          <w:p w14:paraId="781C7940" w14:textId="77777777" w:rsidR="00CF72D5" w:rsidRPr="002029AF" w:rsidRDefault="00CF72D5" w:rsidP="00897193">
            <w:pPr>
              <w:pStyle w:val="ARtabletext"/>
            </w:pPr>
            <w:r w:rsidRPr="002029AF">
              <w:t>Aug-19</w:t>
            </w:r>
          </w:p>
        </w:tc>
        <w:tc>
          <w:tcPr>
            <w:tcW w:w="1072" w:type="dxa"/>
            <w:tcBorders>
              <w:top w:val="single" w:sz="4" w:space="0" w:color="auto"/>
              <w:left w:val="nil"/>
              <w:bottom w:val="single" w:sz="4" w:space="0" w:color="auto"/>
              <w:right w:val="nil"/>
            </w:tcBorders>
            <w:shd w:val="clear" w:color="auto" w:fill="auto"/>
          </w:tcPr>
          <w:p w14:paraId="77647AD7" w14:textId="77777777" w:rsidR="00CF72D5" w:rsidRPr="002029AF" w:rsidRDefault="00CF72D5" w:rsidP="00897193">
            <w:pPr>
              <w:pStyle w:val="ARtabletext"/>
            </w:pPr>
            <w:r w:rsidRPr="002029AF">
              <w:t>Jul-19</w:t>
            </w:r>
          </w:p>
        </w:tc>
        <w:tc>
          <w:tcPr>
            <w:tcW w:w="1246" w:type="dxa"/>
            <w:tcBorders>
              <w:top w:val="single" w:sz="4" w:space="0" w:color="auto"/>
              <w:left w:val="nil"/>
              <w:bottom w:val="single" w:sz="4" w:space="0" w:color="auto"/>
              <w:right w:val="nil"/>
            </w:tcBorders>
            <w:shd w:val="clear" w:color="auto" w:fill="auto"/>
          </w:tcPr>
          <w:p w14:paraId="64C98E34" w14:textId="74A9A904" w:rsidR="00CF72D5" w:rsidRPr="002029AF" w:rsidRDefault="00CF72D5" w:rsidP="00897193">
            <w:pPr>
              <w:pStyle w:val="ARtabletext"/>
            </w:pPr>
            <w:r w:rsidRPr="002029AF">
              <w:t>Project</w:t>
            </w:r>
            <w:r w:rsidR="000A5329" w:rsidRPr="002029AF">
              <w:t xml:space="preserve"> </w:t>
            </w:r>
            <w:r w:rsidRPr="002029AF">
              <w:t>achieved</w:t>
            </w:r>
            <w:r w:rsidR="000A5329" w:rsidRPr="002029AF">
              <w:t xml:space="preserve"> </w:t>
            </w:r>
            <w:r w:rsidRPr="002029AF">
              <w:t>Practical</w:t>
            </w:r>
            <w:r w:rsidR="000A5329" w:rsidRPr="002029AF">
              <w:t xml:space="preserve"> </w:t>
            </w:r>
            <w:r w:rsidRPr="002029AF">
              <w:t>Completion</w:t>
            </w:r>
            <w:r w:rsidR="000A5329" w:rsidRPr="002029AF">
              <w:t xml:space="preserve"> </w:t>
            </w:r>
            <w:r w:rsidRPr="002029AF">
              <w:t>July</w:t>
            </w:r>
            <w:r w:rsidR="000A5329" w:rsidRPr="002029AF">
              <w:t xml:space="preserve"> </w:t>
            </w:r>
            <w:r w:rsidRPr="002029AF">
              <w:t>2019.</w:t>
            </w:r>
          </w:p>
        </w:tc>
        <w:tc>
          <w:tcPr>
            <w:tcW w:w="1072" w:type="dxa"/>
            <w:tcBorders>
              <w:top w:val="single" w:sz="4" w:space="0" w:color="auto"/>
              <w:left w:val="nil"/>
              <w:bottom w:val="single" w:sz="4" w:space="0" w:color="auto"/>
              <w:right w:val="nil"/>
            </w:tcBorders>
            <w:shd w:val="clear" w:color="auto" w:fill="auto"/>
          </w:tcPr>
          <w:p w14:paraId="236143B9" w14:textId="77777777" w:rsidR="00CF72D5" w:rsidRPr="002029AF" w:rsidRDefault="00CF72D5" w:rsidP="00897193">
            <w:pPr>
              <w:pStyle w:val="ARtabletextright"/>
            </w:pPr>
            <w:r w:rsidRPr="002029AF">
              <w:t>28.080</w:t>
            </w:r>
          </w:p>
        </w:tc>
        <w:tc>
          <w:tcPr>
            <w:tcW w:w="1072" w:type="dxa"/>
            <w:tcBorders>
              <w:top w:val="single" w:sz="4" w:space="0" w:color="auto"/>
              <w:left w:val="nil"/>
              <w:bottom w:val="single" w:sz="4" w:space="0" w:color="auto"/>
              <w:right w:val="nil"/>
            </w:tcBorders>
            <w:shd w:val="clear" w:color="auto" w:fill="auto"/>
          </w:tcPr>
          <w:p w14:paraId="656FDA16" w14:textId="77777777" w:rsidR="00CF72D5" w:rsidRPr="002029AF" w:rsidRDefault="00CF72D5" w:rsidP="00897193">
            <w:pPr>
              <w:pStyle w:val="ARtabletextright"/>
            </w:pPr>
            <w:r w:rsidRPr="002029AF">
              <w:t>33.080</w:t>
            </w:r>
          </w:p>
        </w:tc>
        <w:tc>
          <w:tcPr>
            <w:tcW w:w="1072" w:type="dxa"/>
            <w:tcBorders>
              <w:top w:val="single" w:sz="4" w:space="0" w:color="auto"/>
              <w:left w:val="nil"/>
              <w:bottom w:val="single" w:sz="4" w:space="0" w:color="auto"/>
              <w:right w:val="nil"/>
            </w:tcBorders>
            <w:shd w:val="clear" w:color="auto" w:fill="auto"/>
          </w:tcPr>
          <w:p w14:paraId="0F0E5B95" w14:textId="77777777" w:rsidR="00CF72D5" w:rsidRPr="002029AF" w:rsidRDefault="00CF72D5" w:rsidP="00897193">
            <w:pPr>
              <w:pStyle w:val="ARtabletextright"/>
            </w:pPr>
            <w:r w:rsidRPr="002029AF">
              <w:t>30.180</w:t>
            </w:r>
          </w:p>
        </w:tc>
        <w:tc>
          <w:tcPr>
            <w:tcW w:w="1861" w:type="dxa"/>
            <w:tcBorders>
              <w:top w:val="single" w:sz="4" w:space="0" w:color="auto"/>
              <w:left w:val="nil"/>
              <w:bottom w:val="single" w:sz="4" w:space="0" w:color="auto"/>
              <w:right w:val="nil"/>
            </w:tcBorders>
            <w:shd w:val="clear" w:color="auto" w:fill="auto"/>
          </w:tcPr>
          <w:p w14:paraId="34DC1196" w14:textId="77777777" w:rsidR="00CF72D5" w:rsidRPr="002029AF" w:rsidRDefault="00CF72D5" w:rsidP="00897193">
            <w:pPr>
              <w:pStyle w:val="ARtabletextright"/>
            </w:pPr>
            <w:r w:rsidRPr="002029AF">
              <w:t>(2.900)</w:t>
            </w:r>
          </w:p>
        </w:tc>
        <w:tc>
          <w:tcPr>
            <w:tcW w:w="2493" w:type="dxa"/>
            <w:tcBorders>
              <w:top w:val="single" w:sz="4" w:space="0" w:color="auto"/>
              <w:left w:val="nil"/>
              <w:bottom w:val="single" w:sz="4" w:space="0" w:color="auto"/>
              <w:right w:val="nil"/>
            </w:tcBorders>
            <w:shd w:val="clear" w:color="auto" w:fill="auto"/>
          </w:tcPr>
          <w:p w14:paraId="079692ED" w14:textId="77777777" w:rsidR="0072293A" w:rsidRPr="002029AF" w:rsidRDefault="00CF72D5" w:rsidP="00897193">
            <w:pPr>
              <w:pStyle w:val="ARtabletext"/>
            </w:pPr>
            <w:r w:rsidRPr="002029AF">
              <w:t>TEI</w:t>
            </w:r>
            <w:r w:rsidR="000A5329" w:rsidRPr="002029AF">
              <w:t xml:space="preserve"> </w:t>
            </w:r>
            <w:r w:rsidRPr="002029AF">
              <w:t>increase</w:t>
            </w:r>
            <w:r w:rsidR="000A5329" w:rsidRPr="002029AF">
              <w:t xml:space="preserve"> </w:t>
            </w:r>
            <w:r w:rsidRPr="002029AF">
              <w:t>to</w:t>
            </w:r>
            <w:r w:rsidR="000A5329" w:rsidRPr="002029AF">
              <w:t xml:space="preserve"> </w:t>
            </w:r>
            <w:r w:rsidRPr="002029AF">
              <w:t>reflect</w:t>
            </w:r>
            <w:r w:rsidR="000A5329" w:rsidRPr="002029AF">
              <w:t xml:space="preserve"> </w:t>
            </w:r>
            <w:r w:rsidRPr="002029AF">
              <w:t>additional</w:t>
            </w:r>
            <w:r w:rsidR="000A5329" w:rsidRPr="002029AF">
              <w:t xml:space="preserve"> </w:t>
            </w:r>
            <w:r w:rsidRPr="002029AF">
              <w:t>funding</w:t>
            </w:r>
            <w:r w:rsidR="000A5329" w:rsidRPr="002029AF">
              <w:t xml:space="preserve"> </w:t>
            </w:r>
            <w:r w:rsidRPr="002029AF">
              <w:t>for</w:t>
            </w:r>
            <w:r w:rsidR="000A5329" w:rsidRPr="002029AF">
              <w:t xml:space="preserve"> </w:t>
            </w:r>
            <w:r w:rsidRPr="002029AF">
              <w:t>site</w:t>
            </w:r>
            <w:r w:rsidR="000A5329" w:rsidRPr="002029AF">
              <w:t xml:space="preserve"> </w:t>
            </w:r>
            <w:r w:rsidRPr="002029AF">
              <w:t>location.</w:t>
            </w:r>
          </w:p>
          <w:p w14:paraId="799B72A4" w14:textId="368F51C2" w:rsidR="00CF72D5" w:rsidRPr="002029AF" w:rsidRDefault="00CF72D5" w:rsidP="00897193">
            <w:pPr>
              <w:pStyle w:val="ARtabletext"/>
            </w:pPr>
            <w:r w:rsidRPr="002029AF">
              <w:t>Defects</w:t>
            </w:r>
            <w:r w:rsidR="000A5329" w:rsidRPr="002029AF">
              <w:t xml:space="preserve"> </w:t>
            </w:r>
            <w:r w:rsidRPr="002029AF">
              <w:t>and</w:t>
            </w:r>
            <w:r w:rsidR="000A5329" w:rsidRPr="002029AF">
              <w:t xml:space="preserve"> </w:t>
            </w:r>
            <w:r w:rsidRPr="002029AF">
              <w:t>Liability</w:t>
            </w:r>
            <w:r w:rsidR="000A5329" w:rsidRPr="002029AF">
              <w:t xml:space="preserve"> </w:t>
            </w:r>
            <w:r w:rsidRPr="002029AF">
              <w:t>period</w:t>
            </w:r>
            <w:r w:rsidR="000A5329" w:rsidRPr="002029AF">
              <w:t xml:space="preserve"> </w:t>
            </w:r>
            <w:r w:rsidRPr="002029AF">
              <w:t>will</w:t>
            </w:r>
            <w:r w:rsidR="000A5329" w:rsidRPr="002029AF">
              <w:t xml:space="preserve"> </w:t>
            </w:r>
            <w:r w:rsidRPr="002029AF">
              <w:t>conclude</w:t>
            </w:r>
            <w:r w:rsidR="000A5329" w:rsidRPr="002029AF">
              <w:t xml:space="preserve"> </w:t>
            </w:r>
            <w:r w:rsidRPr="002029AF">
              <w:t>July</w:t>
            </w:r>
            <w:r w:rsidR="000A5329" w:rsidRPr="002029AF">
              <w:t xml:space="preserve"> </w:t>
            </w:r>
            <w:r w:rsidRPr="002029AF">
              <w:t>2020.</w:t>
            </w:r>
          </w:p>
        </w:tc>
      </w:tr>
      <w:tr w:rsidR="00CF72D5" w:rsidRPr="002029AF" w14:paraId="421583E9" w14:textId="77777777" w:rsidTr="0072293A">
        <w:trPr>
          <w:cantSplit/>
        </w:trPr>
        <w:tc>
          <w:tcPr>
            <w:tcW w:w="1977" w:type="dxa"/>
            <w:tcBorders>
              <w:top w:val="single" w:sz="4" w:space="0" w:color="auto"/>
              <w:left w:val="nil"/>
              <w:bottom w:val="single" w:sz="4" w:space="0" w:color="auto"/>
              <w:right w:val="nil"/>
            </w:tcBorders>
            <w:shd w:val="clear" w:color="auto" w:fill="auto"/>
          </w:tcPr>
          <w:p w14:paraId="58EAC731" w14:textId="143D3358" w:rsidR="00CF72D5" w:rsidRPr="002029AF" w:rsidRDefault="00CF72D5" w:rsidP="00897193">
            <w:pPr>
              <w:pStyle w:val="ARtabletext"/>
            </w:pPr>
            <w:r w:rsidRPr="002029AF">
              <w:t>Clinical</w:t>
            </w:r>
            <w:r w:rsidR="000A5329" w:rsidRPr="002029AF">
              <w:t xml:space="preserve"> </w:t>
            </w:r>
            <w:r w:rsidRPr="002029AF">
              <w:t>Technology</w:t>
            </w:r>
            <w:r w:rsidR="000A5329" w:rsidRPr="002029AF">
              <w:t xml:space="preserve"> </w:t>
            </w:r>
            <w:r w:rsidRPr="002029AF">
              <w:t>Refresh</w:t>
            </w:r>
            <w:r w:rsidR="000A5329" w:rsidRPr="002029AF">
              <w:t xml:space="preserve"> </w:t>
            </w:r>
            <w:r w:rsidRPr="002029AF">
              <w:t>201</w:t>
            </w:r>
            <w:r w:rsidR="00DB53E6" w:rsidRPr="002029AF">
              <w:t>9–</w:t>
            </w:r>
            <w:r w:rsidRPr="002029AF">
              <w:t>20</w:t>
            </w:r>
            <w:r w:rsidR="000A5329" w:rsidRPr="002029AF">
              <w:t xml:space="preserve"> </w:t>
            </w:r>
            <w:r w:rsidRPr="002029AF">
              <w:t>(statewide)</w:t>
            </w:r>
          </w:p>
        </w:tc>
        <w:tc>
          <w:tcPr>
            <w:tcW w:w="1073" w:type="dxa"/>
            <w:tcBorders>
              <w:top w:val="single" w:sz="4" w:space="0" w:color="auto"/>
              <w:left w:val="nil"/>
              <w:bottom w:val="single" w:sz="4" w:space="0" w:color="auto"/>
              <w:right w:val="nil"/>
            </w:tcBorders>
            <w:shd w:val="clear" w:color="auto" w:fill="auto"/>
          </w:tcPr>
          <w:p w14:paraId="41E88242" w14:textId="77777777" w:rsidR="00CF72D5" w:rsidRPr="002029AF" w:rsidRDefault="00CF72D5" w:rsidP="00897193">
            <w:pPr>
              <w:pStyle w:val="ARtabletext"/>
            </w:pPr>
            <w:r w:rsidRPr="002029AF">
              <w:t>Jun-20</w:t>
            </w:r>
          </w:p>
        </w:tc>
        <w:tc>
          <w:tcPr>
            <w:tcW w:w="1072" w:type="dxa"/>
            <w:tcBorders>
              <w:top w:val="single" w:sz="4" w:space="0" w:color="auto"/>
              <w:left w:val="nil"/>
              <w:bottom w:val="single" w:sz="4" w:space="0" w:color="auto"/>
              <w:right w:val="nil"/>
            </w:tcBorders>
            <w:shd w:val="clear" w:color="auto" w:fill="auto"/>
          </w:tcPr>
          <w:p w14:paraId="0FDA078E" w14:textId="77777777" w:rsidR="00CF72D5" w:rsidRPr="002029AF" w:rsidRDefault="00CF72D5" w:rsidP="00897193">
            <w:pPr>
              <w:pStyle w:val="ARtabletext"/>
            </w:pPr>
            <w:r w:rsidRPr="002029AF">
              <w:t>Jun-20</w:t>
            </w:r>
          </w:p>
        </w:tc>
        <w:tc>
          <w:tcPr>
            <w:tcW w:w="1072" w:type="dxa"/>
            <w:tcBorders>
              <w:top w:val="single" w:sz="4" w:space="0" w:color="auto"/>
              <w:left w:val="nil"/>
              <w:bottom w:val="single" w:sz="4" w:space="0" w:color="auto"/>
              <w:right w:val="nil"/>
            </w:tcBorders>
            <w:shd w:val="clear" w:color="auto" w:fill="auto"/>
          </w:tcPr>
          <w:p w14:paraId="3A608371" w14:textId="77777777" w:rsidR="00CF72D5" w:rsidRPr="002029AF" w:rsidRDefault="00CF72D5" w:rsidP="00897193">
            <w:pPr>
              <w:pStyle w:val="ARtabletext"/>
            </w:pPr>
            <w:r w:rsidRPr="002029AF">
              <w:t>Jun-20</w:t>
            </w:r>
          </w:p>
        </w:tc>
        <w:tc>
          <w:tcPr>
            <w:tcW w:w="1246" w:type="dxa"/>
            <w:tcBorders>
              <w:top w:val="single" w:sz="4" w:space="0" w:color="auto"/>
              <w:left w:val="nil"/>
              <w:bottom w:val="single" w:sz="4" w:space="0" w:color="auto"/>
              <w:right w:val="nil"/>
            </w:tcBorders>
            <w:shd w:val="clear" w:color="auto" w:fill="auto"/>
          </w:tcPr>
          <w:p w14:paraId="239F4A03" w14:textId="77777777" w:rsidR="00CF72D5" w:rsidRPr="002029AF" w:rsidRDefault="00CF72D5" w:rsidP="00897193">
            <w:pPr>
              <w:pStyle w:val="ARtabletext"/>
            </w:pPr>
          </w:p>
        </w:tc>
        <w:tc>
          <w:tcPr>
            <w:tcW w:w="1072" w:type="dxa"/>
            <w:tcBorders>
              <w:top w:val="single" w:sz="4" w:space="0" w:color="auto"/>
              <w:left w:val="nil"/>
              <w:bottom w:val="single" w:sz="4" w:space="0" w:color="auto"/>
              <w:right w:val="nil"/>
            </w:tcBorders>
            <w:shd w:val="clear" w:color="auto" w:fill="auto"/>
          </w:tcPr>
          <w:p w14:paraId="30E72544" w14:textId="77777777" w:rsidR="00CF72D5" w:rsidRPr="002029AF" w:rsidRDefault="00CF72D5" w:rsidP="00897193">
            <w:pPr>
              <w:pStyle w:val="ARtabletextright"/>
            </w:pPr>
            <w:r w:rsidRPr="002029AF">
              <w:t>13.000</w:t>
            </w:r>
          </w:p>
        </w:tc>
        <w:tc>
          <w:tcPr>
            <w:tcW w:w="1072" w:type="dxa"/>
            <w:tcBorders>
              <w:top w:val="single" w:sz="4" w:space="0" w:color="auto"/>
              <w:left w:val="nil"/>
              <w:bottom w:val="single" w:sz="4" w:space="0" w:color="auto"/>
              <w:right w:val="nil"/>
            </w:tcBorders>
            <w:shd w:val="clear" w:color="auto" w:fill="auto"/>
          </w:tcPr>
          <w:p w14:paraId="2E8D62D1" w14:textId="77777777" w:rsidR="00CF72D5" w:rsidRPr="002029AF" w:rsidRDefault="00CF72D5" w:rsidP="00897193">
            <w:pPr>
              <w:pStyle w:val="ARtabletextright"/>
            </w:pPr>
            <w:r w:rsidRPr="002029AF">
              <w:t>13.000</w:t>
            </w:r>
          </w:p>
        </w:tc>
        <w:tc>
          <w:tcPr>
            <w:tcW w:w="1072" w:type="dxa"/>
            <w:tcBorders>
              <w:top w:val="single" w:sz="4" w:space="0" w:color="auto"/>
              <w:left w:val="nil"/>
              <w:bottom w:val="single" w:sz="4" w:space="0" w:color="auto"/>
              <w:right w:val="nil"/>
            </w:tcBorders>
            <w:shd w:val="clear" w:color="auto" w:fill="auto"/>
          </w:tcPr>
          <w:p w14:paraId="0114BFDA" w14:textId="77777777" w:rsidR="00CF72D5" w:rsidRPr="002029AF" w:rsidRDefault="00CF72D5" w:rsidP="00897193">
            <w:pPr>
              <w:pStyle w:val="ARtabletextright"/>
            </w:pPr>
            <w:r w:rsidRPr="002029AF">
              <w:t>13.000</w:t>
            </w:r>
          </w:p>
        </w:tc>
        <w:tc>
          <w:tcPr>
            <w:tcW w:w="1861" w:type="dxa"/>
            <w:tcBorders>
              <w:top w:val="single" w:sz="4" w:space="0" w:color="auto"/>
              <w:left w:val="nil"/>
              <w:bottom w:val="single" w:sz="4" w:space="0" w:color="auto"/>
              <w:right w:val="nil"/>
            </w:tcBorders>
            <w:shd w:val="clear" w:color="auto" w:fill="auto"/>
          </w:tcPr>
          <w:p w14:paraId="1410AC18" w14:textId="77777777" w:rsidR="00CF72D5" w:rsidRPr="002029AF" w:rsidRDefault="00CF72D5" w:rsidP="00897193">
            <w:pPr>
              <w:pStyle w:val="ARtabletextright"/>
            </w:pPr>
          </w:p>
        </w:tc>
        <w:tc>
          <w:tcPr>
            <w:tcW w:w="2493" w:type="dxa"/>
            <w:tcBorders>
              <w:top w:val="single" w:sz="4" w:space="0" w:color="auto"/>
              <w:left w:val="nil"/>
              <w:bottom w:val="single" w:sz="4" w:space="0" w:color="auto"/>
              <w:right w:val="nil"/>
            </w:tcBorders>
            <w:shd w:val="clear" w:color="auto" w:fill="auto"/>
          </w:tcPr>
          <w:p w14:paraId="5EA6DA67" w14:textId="77777777" w:rsidR="00CF72D5" w:rsidRPr="002029AF" w:rsidRDefault="00CF72D5" w:rsidP="00897193">
            <w:pPr>
              <w:pStyle w:val="ARtabletext"/>
            </w:pPr>
          </w:p>
        </w:tc>
      </w:tr>
      <w:tr w:rsidR="00CF72D5" w:rsidRPr="002029AF" w14:paraId="74C2906D" w14:textId="77777777" w:rsidTr="0072293A">
        <w:trPr>
          <w:cantSplit/>
        </w:trPr>
        <w:tc>
          <w:tcPr>
            <w:tcW w:w="1977" w:type="dxa"/>
            <w:tcBorders>
              <w:top w:val="single" w:sz="4" w:space="0" w:color="auto"/>
              <w:left w:val="nil"/>
              <w:bottom w:val="single" w:sz="4" w:space="0" w:color="auto"/>
              <w:right w:val="nil"/>
            </w:tcBorders>
            <w:shd w:val="clear" w:color="auto" w:fill="auto"/>
          </w:tcPr>
          <w:p w14:paraId="4E7265C0" w14:textId="5D7BCF1D" w:rsidR="00CF72D5" w:rsidRPr="002029AF" w:rsidRDefault="00CF72D5" w:rsidP="00897193">
            <w:pPr>
              <w:pStyle w:val="ARtabletext"/>
            </w:pPr>
            <w:r w:rsidRPr="002029AF">
              <w:t>Communal</w:t>
            </w:r>
            <w:r w:rsidR="000A5329" w:rsidRPr="002029AF">
              <w:t xml:space="preserve"> </w:t>
            </w:r>
            <w:r w:rsidRPr="002029AF">
              <w:t>Family</w:t>
            </w:r>
            <w:r w:rsidR="000A5329" w:rsidRPr="002029AF">
              <w:t xml:space="preserve"> </w:t>
            </w:r>
            <w:r w:rsidRPr="002029AF">
              <w:t>Violence</w:t>
            </w:r>
            <w:r w:rsidR="000A5329" w:rsidRPr="002029AF">
              <w:t xml:space="preserve"> </w:t>
            </w:r>
            <w:r w:rsidRPr="002029AF">
              <w:t>Refuges</w:t>
            </w:r>
            <w:r w:rsidR="0072293A" w:rsidRPr="002029AF">
              <w:t xml:space="preserve"> – </w:t>
            </w:r>
            <w:r w:rsidRPr="002029AF">
              <w:t>replacement</w:t>
            </w:r>
            <w:r w:rsidR="000A5329" w:rsidRPr="002029AF">
              <w:t xml:space="preserve"> </w:t>
            </w:r>
            <w:r w:rsidRPr="002029AF">
              <w:t>and</w:t>
            </w:r>
            <w:r w:rsidR="000A5329" w:rsidRPr="002029AF">
              <w:t xml:space="preserve"> </w:t>
            </w:r>
            <w:r w:rsidRPr="002029AF">
              <w:t>growth</w:t>
            </w:r>
            <w:r w:rsidR="000A5329" w:rsidRPr="002029AF">
              <w:t xml:space="preserve"> </w:t>
            </w:r>
            <w:r w:rsidRPr="002029AF">
              <w:t>program</w:t>
            </w:r>
            <w:r w:rsidR="000A5329" w:rsidRPr="002029AF">
              <w:t xml:space="preserve"> </w:t>
            </w:r>
            <w:r w:rsidRPr="002029AF">
              <w:t>(statewide)</w:t>
            </w:r>
          </w:p>
        </w:tc>
        <w:tc>
          <w:tcPr>
            <w:tcW w:w="1073" w:type="dxa"/>
            <w:tcBorders>
              <w:top w:val="single" w:sz="4" w:space="0" w:color="auto"/>
              <w:left w:val="nil"/>
              <w:bottom w:val="single" w:sz="4" w:space="0" w:color="auto"/>
              <w:right w:val="nil"/>
            </w:tcBorders>
            <w:shd w:val="clear" w:color="auto" w:fill="auto"/>
          </w:tcPr>
          <w:p w14:paraId="15B64401" w14:textId="77777777" w:rsidR="00CF72D5" w:rsidRPr="002029AF" w:rsidRDefault="00CF72D5" w:rsidP="00897193">
            <w:pPr>
              <w:pStyle w:val="ARtabletext"/>
            </w:pPr>
            <w:r w:rsidRPr="002029AF">
              <w:t>Jun-18</w:t>
            </w:r>
          </w:p>
        </w:tc>
        <w:tc>
          <w:tcPr>
            <w:tcW w:w="1072" w:type="dxa"/>
            <w:tcBorders>
              <w:top w:val="single" w:sz="4" w:space="0" w:color="auto"/>
              <w:left w:val="nil"/>
              <w:bottom w:val="single" w:sz="4" w:space="0" w:color="auto"/>
              <w:right w:val="nil"/>
            </w:tcBorders>
            <w:shd w:val="clear" w:color="auto" w:fill="auto"/>
          </w:tcPr>
          <w:p w14:paraId="0C5B9842" w14:textId="77777777" w:rsidR="00CF72D5" w:rsidRPr="002029AF" w:rsidRDefault="00CF72D5" w:rsidP="00897193">
            <w:pPr>
              <w:pStyle w:val="ARtabletext"/>
            </w:pPr>
            <w:r w:rsidRPr="002029AF">
              <w:t>Sept-19</w:t>
            </w:r>
          </w:p>
        </w:tc>
        <w:tc>
          <w:tcPr>
            <w:tcW w:w="1072" w:type="dxa"/>
            <w:tcBorders>
              <w:top w:val="single" w:sz="4" w:space="0" w:color="auto"/>
              <w:left w:val="nil"/>
              <w:bottom w:val="single" w:sz="4" w:space="0" w:color="auto"/>
              <w:right w:val="nil"/>
            </w:tcBorders>
            <w:shd w:val="clear" w:color="auto" w:fill="auto"/>
          </w:tcPr>
          <w:p w14:paraId="30ECD0CD" w14:textId="77777777" w:rsidR="00CF72D5" w:rsidRPr="002029AF" w:rsidRDefault="00CF72D5" w:rsidP="00897193">
            <w:pPr>
              <w:pStyle w:val="ARtabletext"/>
            </w:pPr>
            <w:r w:rsidRPr="002029AF">
              <w:t>Dec-19</w:t>
            </w:r>
          </w:p>
        </w:tc>
        <w:tc>
          <w:tcPr>
            <w:tcW w:w="1246" w:type="dxa"/>
            <w:tcBorders>
              <w:top w:val="single" w:sz="4" w:space="0" w:color="auto"/>
              <w:left w:val="nil"/>
              <w:bottom w:val="single" w:sz="4" w:space="0" w:color="auto"/>
              <w:right w:val="nil"/>
            </w:tcBorders>
            <w:shd w:val="clear" w:color="auto" w:fill="auto"/>
          </w:tcPr>
          <w:p w14:paraId="0813247D" w14:textId="79910481" w:rsidR="00CF72D5" w:rsidRPr="002029AF" w:rsidRDefault="00CF72D5" w:rsidP="00897193">
            <w:pPr>
              <w:pStyle w:val="ARtabletext"/>
            </w:pPr>
            <w:r w:rsidRPr="002029AF">
              <w:t>Difficulty</w:t>
            </w:r>
            <w:r w:rsidR="000A5329" w:rsidRPr="002029AF">
              <w:t xml:space="preserve"> </w:t>
            </w:r>
            <w:r w:rsidRPr="002029AF">
              <w:t>locating</w:t>
            </w:r>
            <w:r w:rsidR="000A5329" w:rsidRPr="002029AF">
              <w:t xml:space="preserve"> </w:t>
            </w:r>
            <w:r w:rsidRPr="002029AF">
              <w:t>suitable</w:t>
            </w:r>
            <w:r w:rsidR="000A5329" w:rsidRPr="002029AF">
              <w:t xml:space="preserve"> </w:t>
            </w:r>
            <w:r w:rsidRPr="002029AF">
              <w:t>sites</w:t>
            </w:r>
            <w:r w:rsidRPr="002029AF">
              <w:rPr>
                <w:rFonts w:ascii="Calibri-Italic" w:hAnsi="Calibri-Italic" w:cs="Calibri-Italic"/>
                <w:i/>
                <w:iCs/>
                <w:sz w:val="14"/>
                <w:szCs w:val="14"/>
              </w:rPr>
              <w:t>.</w:t>
            </w:r>
          </w:p>
        </w:tc>
        <w:tc>
          <w:tcPr>
            <w:tcW w:w="1072" w:type="dxa"/>
            <w:tcBorders>
              <w:top w:val="single" w:sz="4" w:space="0" w:color="auto"/>
              <w:left w:val="nil"/>
              <w:bottom w:val="single" w:sz="4" w:space="0" w:color="auto"/>
              <w:right w:val="nil"/>
            </w:tcBorders>
            <w:shd w:val="clear" w:color="auto" w:fill="auto"/>
          </w:tcPr>
          <w:p w14:paraId="616B84FB" w14:textId="77777777" w:rsidR="00CF72D5" w:rsidRPr="002029AF" w:rsidRDefault="00CF72D5" w:rsidP="00897193">
            <w:pPr>
              <w:pStyle w:val="ARtabletextright"/>
            </w:pPr>
            <w:r w:rsidRPr="002029AF">
              <w:t>15.000</w:t>
            </w:r>
          </w:p>
        </w:tc>
        <w:tc>
          <w:tcPr>
            <w:tcW w:w="1072" w:type="dxa"/>
            <w:tcBorders>
              <w:top w:val="single" w:sz="4" w:space="0" w:color="auto"/>
              <w:left w:val="nil"/>
              <w:bottom w:val="single" w:sz="4" w:space="0" w:color="auto"/>
              <w:right w:val="nil"/>
            </w:tcBorders>
            <w:shd w:val="clear" w:color="auto" w:fill="auto"/>
          </w:tcPr>
          <w:p w14:paraId="74D98C83" w14:textId="77777777" w:rsidR="00CF72D5" w:rsidRPr="002029AF" w:rsidRDefault="00CF72D5" w:rsidP="00897193">
            <w:pPr>
              <w:pStyle w:val="ARtabletextright"/>
            </w:pPr>
            <w:r w:rsidRPr="002029AF">
              <w:t>15.000</w:t>
            </w:r>
          </w:p>
        </w:tc>
        <w:tc>
          <w:tcPr>
            <w:tcW w:w="1072" w:type="dxa"/>
            <w:tcBorders>
              <w:top w:val="single" w:sz="4" w:space="0" w:color="auto"/>
              <w:left w:val="nil"/>
              <w:bottom w:val="single" w:sz="4" w:space="0" w:color="auto"/>
              <w:right w:val="nil"/>
            </w:tcBorders>
            <w:shd w:val="clear" w:color="auto" w:fill="auto"/>
          </w:tcPr>
          <w:p w14:paraId="58F07D0B" w14:textId="77777777" w:rsidR="00CF72D5" w:rsidRPr="002029AF" w:rsidRDefault="00CF72D5" w:rsidP="00897193">
            <w:pPr>
              <w:pStyle w:val="ARtabletextright"/>
            </w:pPr>
            <w:r w:rsidRPr="002029AF">
              <w:t>15.000</w:t>
            </w:r>
          </w:p>
        </w:tc>
        <w:tc>
          <w:tcPr>
            <w:tcW w:w="1861" w:type="dxa"/>
            <w:tcBorders>
              <w:top w:val="single" w:sz="4" w:space="0" w:color="auto"/>
              <w:left w:val="nil"/>
              <w:bottom w:val="single" w:sz="4" w:space="0" w:color="auto"/>
              <w:right w:val="nil"/>
            </w:tcBorders>
            <w:shd w:val="clear" w:color="auto" w:fill="auto"/>
          </w:tcPr>
          <w:p w14:paraId="1CF9E7CA" w14:textId="77777777" w:rsidR="00CF72D5" w:rsidRPr="002029AF" w:rsidRDefault="00CF72D5" w:rsidP="00897193">
            <w:pPr>
              <w:pStyle w:val="ARtabletextright"/>
            </w:pPr>
          </w:p>
        </w:tc>
        <w:tc>
          <w:tcPr>
            <w:tcW w:w="2493" w:type="dxa"/>
            <w:tcBorders>
              <w:top w:val="single" w:sz="4" w:space="0" w:color="auto"/>
              <w:left w:val="nil"/>
              <w:bottom w:val="single" w:sz="4" w:space="0" w:color="auto"/>
              <w:right w:val="nil"/>
            </w:tcBorders>
            <w:shd w:val="clear" w:color="auto" w:fill="auto"/>
          </w:tcPr>
          <w:p w14:paraId="3A3DED3A" w14:textId="77777777" w:rsidR="00CF72D5" w:rsidRPr="002029AF" w:rsidRDefault="00CF72D5" w:rsidP="00897193">
            <w:pPr>
              <w:pStyle w:val="ARtabletext"/>
            </w:pPr>
          </w:p>
        </w:tc>
      </w:tr>
      <w:tr w:rsidR="00CF72D5" w:rsidRPr="002029AF" w14:paraId="72DB2451" w14:textId="77777777" w:rsidTr="0072293A">
        <w:trPr>
          <w:cantSplit/>
        </w:trPr>
        <w:tc>
          <w:tcPr>
            <w:tcW w:w="1977" w:type="dxa"/>
            <w:tcBorders>
              <w:top w:val="single" w:sz="4" w:space="0" w:color="auto"/>
              <w:left w:val="nil"/>
              <w:bottom w:val="single" w:sz="4" w:space="0" w:color="auto"/>
              <w:right w:val="nil"/>
            </w:tcBorders>
            <w:shd w:val="clear" w:color="auto" w:fill="auto"/>
          </w:tcPr>
          <w:p w14:paraId="672B94F0" w14:textId="207F7971" w:rsidR="00CF72D5" w:rsidRPr="002029AF" w:rsidRDefault="00CF72D5" w:rsidP="00897193">
            <w:pPr>
              <w:pStyle w:val="ARtabletext"/>
            </w:pPr>
            <w:r w:rsidRPr="002029AF">
              <w:t>Efficient</w:t>
            </w:r>
            <w:r w:rsidR="000A5329" w:rsidRPr="002029AF">
              <w:t xml:space="preserve"> </w:t>
            </w:r>
            <w:r w:rsidRPr="002029AF">
              <w:t>Government</w:t>
            </w:r>
            <w:r w:rsidR="000A5329" w:rsidRPr="002029AF">
              <w:t xml:space="preserve"> </w:t>
            </w:r>
            <w:r w:rsidRPr="002029AF">
              <w:t>Building</w:t>
            </w:r>
            <w:r w:rsidR="000A5329" w:rsidRPr="002029AF">
              <w:t xml:space="preserve"> </w:t>
            </w:r>
            <w:r w:rsidRPr="002029AF">
              <w:t>(statewide)</w:t>
            </w:r>
          </w:p>
        </w:tc>
        <w:tc>
          <w:tcPr>
            <w:tcW w:w="1073" w:type="dxa"/>
            <w:tcBorders>
              <w:top w:val="single" w:sz="4" w:space="0" w:color="auto"/>
              <w:left w:val="nil"/>
              <w:bottom w:val="single" w:sz="4" w:space="0" w:color="auto"/>
              <w:right w:val="nil"/>
            </w:tcBorders>
            <w:shd w:val="clear" w:color="auto" w:fill="auto"/>
          </w:tcPr>
          <w:p w14:paraId="0DFDB865" w14:textId="77777777" w:rsidR="00CF72D5" w:rsidRPr="002029AF" w:rsidRDefault="00CF72D5" w:rsidP="00897193">
            <w:pPr>
              <w:pStyle w:val="ARtabletext"/>
            </w:pPr>
            <w:r w:rsidRPr="002029AF">
              <w:t>Jun-16</w:t>
            </w:r>
          </w:p>
        </w:tc>
        <w:tc>
          <w:tcPr>
            <w:tcW w:w="1072" w:type="dxa"/>
            <w:tcBorders>
              <w:top w:val="single" w:sz="4" w:space="0" w:color="auto"/>
              <w:left w:val="nil"/>
              <w:bottom w:val="single" w:sz="4" w:space="0" w:color="auto"/>
              <w:right w:val="nil"/>
            </w:tcBorders>
            <w:shd w:val="clear" w:color="auto" w:fill="auto"/>
          </w:tcPr>
          <w:p w14:paraId="5997C22C" w14:textId="77777777" w:rsidR="00CF72D5" w:rsidRPr="002029AF" w:rsidRDefault="00CF72D5" w:rsidP="00897193">
            <w:pPr>
              <w:pStyle w:val="ARtabletext"/>
            </w:pPr>
            <w:r w:rsidRPr="002029AF">
              <w:t>Sept-19</w:t>
            </w:r>
          </w:p>
        </w:tc>
        <w:tc>
          <w:tcPr>
            <w:tcW w:w="1072" w:type="dxa"/>
            <w:tcBorders>
              <w:top w:val="single" w:sz="4" w:space="0" w:color="auto"/>
              <w:left w:val="nil"/>
              <w:bottom w:val="single" w:sz="4" w:space="0" w:color="auto"/>
              <w:right w:val="nil"/>
            </w:tcBorders>
            <w:shd w:val="clear" w:color="auto" w:fill="auto"/>
          </w:tcPr>
          <w:p w14:paraId="2E00F6C4" w14:textId="77777777" w:rsidR="00CF72D5" w:rsidRPr="002029AF" w:rsidRDefault="00CF72D5" w:rsidP="00897193">
            <w:pPr>
              <w:pStyle w:val="ARtabletext"/>
            </w:pPr>
            <w:r w:rsidRPr="002029AF">
              <w:t>Sept-19</w:t>
            </w:r>
          </w:p>
        </w:tc>
        <w:tc>
          <w:tcPr>
            <w:tcW w:w="1246" w:type="dxa"/>
            <w:tcBorders>
              <w:top w:val="single" w:sz="4" w:space="0" w:color="auto"/>
              <w:left w:val="nil"/>
              <w:bottom w:val="single" w:sz="4" w:space="0" w:color="auto"/>
              <w:right w:val="nil"/>
            </w:tcBorders>
            <w:shd w:val="clear" w:color="auto" w:fill="auto"/>
          </w:tcPr>
          <w:p w14:paraId="76077C71" w14:textId="42140AF3" w:rsidR="00CF72D5" w:rsidRPr="002029AF" w:rsidRDefault="00CF72D5" w:rsidP="00897193">
            <w:pPr>
              <w:pStyle w:val="ARtabletext"/>
            </w:pPr>
            <w:r w:rsidRPr="002029AF">
              <w:t>Planning</w:t>
            </w:r>
            <w:r w:rsidR="000A5329" w:rsidRPr="002029AF">
              <w:t xml:space="preserve"> </w:t>
            </w:r>
            <w:r w:rsidRPr="002029AF">
              <w:t>delays</w:t>
            </w:r>
          </w:p>
        </w:tc>
        <w:tc>
          <w:tcPr>
            <w:tcW w:w="1072" w:type="dxa"/>
            <w:tcBorders>
              <w:top w:val="single" w:sz="4" w:space="0" w:color="auto"/>
              <w:left w:val="nil"/>
              <w:bottom w:val="single" w:sz="4" w:space="0" w:color="auto"/>
              <w:right w:val="nil"/>
            </w:tcBorders>
            <w:shd w:val="clear" w:color="auto" w:fill="auto"/>
          </w:tcPr>
          <w:p w14:paraId="183DE095" w14:textId="77777777" w:rsidR="00CF72D5" w:rsidRPr="002029AF" w:rsidRDefault="00CF72D5" w:rsidP="00897193">
            <w:pPr>
              <w:pStyle w:val="ARtabletextright"/>
            </w:pPr>
            <w:r w:rsidRPr="002029AF">
              <w:t>13.385</w:t>
            </w:r>
          </w:p>
        </w:tc>
        <w:tc>
          <w:tcPr>
            <w:tcW w:w="1072" w:type="dxa"/>
            <w:tcBorders>
              <w:top w:val="single" w:sz="4" w:space="0" w:color="auto"/>
              <w:left w:val="nil"/>
              <w:bottom w:val="single" w:sz="4" w:space="0" w:color="auto"/>
              <w:right w:val="nil"/>
            </w:tcBorders>
            <w:shd w:val="clear" w:color="auto" w:fill="auto"/>
          </w:tcPr>
          <w:p w14:paraId="18DD6C67" w14:textId="77777777" w:rsidR="00CF72D5" w:rsidRPr="002029AF" w:rsidRDefault="00CF72D5" w:rsidP="00897193">
            <w:pPr>
              <w:pStyle w:val="ARtabletextright"/>
            </w:pPr>
            <w:r w:rsidRPr="002029AF">
              <w:t>13.385</w:t>
            </w:r>
          </w:p>
        </w:tc>
        <w:tc>
          <w:tcPr>
            <w:tcW w:w="1072" w:type="dxa"/>
            <w:tcBorders>
              <w:top w:val="single" w:sz="4" w:space="0" w:color="auto"/>
              <w:left w:val="nil"/>
              <w:bottom w:val="single" w:sz="4" w:space="0" w:color="auto"/>
              <w:right w:val="nil"/>
            </w:tcBorders>
            <w:shd w:val="clear" w:color="auto" w:fill="auto"/>
          </w:tcPr>
          <w:p w14:paraId="01946EB5" w14:textId="77777777" w:rsidR="00CF72D5" w:rsidRPr="002029AF" w:rsidRDefault="00CF72D5" w:rsidP="00897193">
            <w:pPr>
              <w:pStyle w:val="ARtabletextright"/>
            </w:pPr>
            <w:r w:rsidRPr="002029AF">
              <w:t>13.385</w:t>
            </w:r>
          </w:p>
        </w:tc>
        <w:tc>
          <w:tcPr>
            <w:tcW w:w="1861" w:type="dxa"/>
            <w:tcBorders>
              <w:top w:val="single" w:sz="4" w:space="0" w:color="auto"/>
              <w:left w:val="nil"/>
              <w:bottom w:val="single" w:sz="4" w:space="0" w:color="auto"/>
              <w:right w:val="nil"/>
            </w:tcBorders>
            <w:shd w:val="clear" w:color="auto" w:fill="auto"/>
          </w:tcPr>
          <w:p w14:paraId="3667CD94" w14:textId="77777777" w:rsidR="00CF72D5" w:rsidRPr="002029AF" w:rsidRDefault="00CF72D5" w:rsidP="00897193">
            <w:pPr>
              <w:pStyle w:val="ARtabletextright"/>
            </w:pPr>
          </w:p>
        </w:tc>
        <w:tc>
          <w:tcPr>
            <w:tcW w:w="2493" w:type="dxa"/>
            <w:tcBorders>
              <w:top w:val="single" w:sz="4" w:space="0" w:color="auto"/>
              <w:left w:val="nil"/>
              <w:bottom w:val="single" w:sz="4" w:space="0" w:color="auto"/>
              <w:right w:val="nil"/>
            </w:tcBorders>
            <w:shd w:val="clear" w:color="auto" w:fill="auto"/>
          </w:tcPr>
          <w:p w14:paraId="4746669B" w14:textId="77777777" w:rsidR="00CF72D5" w:rsidRPr="002029AF" w:rsidRDefault="00CF72D5" w:rsidP="00897193">
            <w:pPr>
              <w:pStyle w:val="ARtabletext"/>
            </w:pPr>
          </w:p>
        </w:tc>
      </w:tr>
      <w:tr w:rsidR="00CF72D5" w:rsidRPr="002029AF" w14:paraId="531D3724" w14:textId="77777777" w:rsidTr="0072293A">
        <w:trPr>
          <w:cantSplit/>
        </w:trPr>
        <w:tc>
          <w:tcPr>
            <w:tcW w:w="1977" w:type="dxa"/>
            <w:tcBorders>
              <w:top w:val="single" w:sz="4" w:space="0" w:color="auto"/>
              <w:left w:val="nil"/>
              <w:bottom w:val="single" w:sz="4" w:space="0" w:color="auto"/>
              <w:right w:val="nil"/>
            </w:tcBorders>
            <w:shd w:val="clear" w:color="auto" w:fill="auto"/>
          </w:tcPr>
          <w:p w14:paraId="5C0D39BA" w14:textId="3D41E060" w:rsidR="00CF72D5" w:rsidRPr="002029AF" w:rsidRDefault="00CF72D5" w:rsidP="00897193">
            <w:pPr>
              <w:pStyle w:val="ARtabletext"/>
            </w:pPr>
            <w:r w:rsidRPr="002029AF">
              <w:lastRenderedPageBreak/>
              <w:t>Forensic</w:t>
            </w:r>
            <w:r w:rsidR="000A5329" w:rsidRPr="002029AF">
              <w:t xml:space="preserve"> </w:t>
            </w:r>
            <w:r w:rsidRPr="002029AF">
              <w:t>mental</w:t>
            </w:r>
            <w:r w:rsidR="000A5329" w:rsidRPr="002029AF">
              <w:t xml:space="preserve"> </w:t>
            </w:r>
            <w:r w:rsidRPr="002029AF">
              <w:t>health</w:t>
            </w:r>
            <w:r w:rsidR="000A5329" w:rsidRPr="002029AF">
              <w:t xml:space="preserve"> </w:t>
            </w:r>
            <w:r w:rsidRPr="002029AF">
              <w:t>implementation</w:t>
            </w:r>
            <w:r w:rsidR="000A5329" w:rsidRPr="002029AF">
              <w:t xml:space="preserve"> </w:t>
            </w:r>
            <w:r w:rsidRPr="002029AF">
              <w:t>plan</w:t>
            </w:r>
            <w:r w:rsidR="0072293A" w:rsidRPr="002029AF">
              <w:t xml:space="preserve"> – </w:t>
            </w:r>
            <w:r w:rsidRPr="002029AF">
              <w:t>priority</w:t>
            </w:r>
            <w:r w:rsidR="000A5329" w:rsidRPr="002029AF">
              <w:t xml:space="preserve"> </w:t>
            </w:r>
            <w:r w:rsidRPr="002029AF">
              <w:t>service</w:t>
            </w:r>
            <w:r w:rsidR="000A5329" w:rsidRPr="002029AF">
              <w:t xml:space="preserve"> </w:t>
            </w:r>
            <w:r w:rsidRPr="002029AF">
              <w:t>reforms</w:t>
            </w:r>
            <w:r w:rsidR="000A5329" w:rsidRPr="002029AF">
              <w:t xml:space="preserve"> </w:t>
            </w:r>
            <w:r w:rsidRPr="002029AF">
              <w:t>(Footscray)</w:t>
            </w:r>
          </w:p>
        </w:tc>
        <w:tc>
          <w:tcPr>
            <w:tcW w:w="1073" w:type="dxa"/>
            <w:tcBorders>
              <w:top w:val="single" w:sz="4" w:space="0" w:color="auto"/>
              <w:left w:val="nil"/>
              <w:bottom w:val="single" w:sz="4" w:space="0" w:color="auto"/>
              <w:right w:val="nil"/>
            </w:tcBorders>
            <w:shd w:val="clear" w:color="auto" w:fill="auto"/>
          </w:tcPr>
          <w:p w14:paraId="026C699E" w14:textId="77777777" w:rsidR="00CF72D5" w:rsidRPr="002029AF" w:rsidRDefault="00CF72D5" w:rsidP="00897193">
            <w:pPr>
              <w:pStyle w:val="ARtabletext"/>
            </w:pPr>
            <w:r w:rsidRPr="002029AF">
              <w:t>Jun-18</w:t>
            </w:r>
          </w:p>
        </w:tc>
        <w:tc>
          <w:tcPr>
            <w:tcW w:w="1072" w:type="dxa"/>
            <w:tcBorders>
              <w:top w:val="single" w:sz="4" w:space="0" w:color="auto"/>
              <w:left w:val="nil"/>
              <w:bottom w:val="single" w:sz="4" w:space="0" w:color="auto"/>
              <w:right w:val="nil"/>
            </w:tcBorders>
            <w:shd w:val="clear" w:color="auto" w:fill="auto"/>
          </w:tcPr>
          <w:p w14:paraId="141C8C19" w14:textId="77777777" w:rsidR="00CF72D5" w:rsidRPr="002029AF" w:rsidRDefault="00CF72D5" w:rsidP="00897193">
            <w:pPr>
              <w:pStyle w:val="ARtabletext"/>
            </w:pPr>
            <w:r w:rsidRPr="002029AF">
              <w:t>Jun-20</w:t>
            </w:r>
          </w:p>
        </w:tc>
        <w:tc>
          <w:tcPr>
            <w:tcW w:w="1072" w:type="dxa"/>
            <w:tcBorders>
              <w:top w:val="single" w:sz="4" w:space="0" w:color="auto"/>
              <w:left w:val="nil"/>
              <w:bottom w:val="single" w:sz="4" w:space="0" w:color="auto"/>
              <w:right w:val="nil"/>
            </w:tcBorders>
            <w:shd w:val="clear" w:color="auto" w:fill="auto"/>
          </w:tcPr>
          <w:p w14:paraId="26374951" w14:textId="77777777" w:rsidR="00CF72D5" w:rsidRPr="002029AF" w:rsidRDefault="00CF72D5" w:rsidP="00897193">
            <w:pPr>
              <w:pStyle w:val="ARtabletext"/>
            </w:pPr>
            <w:r w:rsidRPr="002029AF">
              <w:t>Jun-20</w:t>
            </w:r>
          </w:p>
        </w:tc>
        <w:tc>
          <w:tcPr>
            <w:tcW w:w="1246" w:type="dxa"/>
            <w:tcBorders>
              <w:top w:val="single" w:sz="4" w:space="0" w:color="auto"/>
              <w:left w:val="nil"/>
              <w:bottom w:val="single" w:sz="4" w:space="0" w:color="auto"/>
              <w:right w:val="nil"/>
            </w:tcBorders>
            <w:shd w:val="clear" w:color="auto" w:fill="auto"/>
          </w:tcPr>
          <w:p w14:paraId="320475AE" w14:textId="1DD7A38A" w:rsidR="00CF72D5" w:rsidRPr="002029AF" w:rsidRDefault="00CF72D5" w:rsidP="00897193">
            <w:pPr>
              <w:pStyle w:val="ARtabletext"/>
            </w:pPr>
            <w:r w:rsidRPr="002029AF">
              <w:t>Project</w:t>
            </w:r>
            <w:r w:rsidR="000A5329" w:rsidRPr="002029AF">
              <w:t xml:space="preserve"> </w:t>
            </w:r>
            <w:r w:rsidRPr="002029AF">
              <w:t>scope</w:t>
            </w:r>
            <w:r w:rsidR="000A5329" w:rsidRPr="002029AF">
              <w:t xml:space="preserve"> </w:t>
            </w:r>
            <w:r w:rsidRPr="002029AF">
              <w:t>was</w:t>
            </w:r>
            <w:r w:rsidR="000A5329" w:rsidRPr="002029AF">
              <w:t xml:space="preserve"> </w:t>
            </w:r>
            <w:r w:rsidRPr="002029AF">
              <w:t>revised</w:t>
            </w:r>
            <w:r w:rsidR="000A5329" w:rsidRPr="002029AF">
              <w:t xml:space="preserve"> </w:t>
            </w:r>
            <w:r w:rsidRPr="002029AF">
              <w:t>to</w:t>
            </w:r>
            <w:r w:rsidR="000A5329" w:rsidRPr="002029AF">
              <w:t xml:space="preserve"> </w:t>
            </w:r>
            <w:r w:rsidRPr="002029AF">
              <w:t>include</w:t>
            </w:r>
            <w:r w:rsidR="000A5329" w:rsidRPr="002029AF">
              <w:t xml:space="preserve"> </w:t>
            </w:r>
            <w:r w:rsidRPr="002029AF">
              <w:t>more</w:t>
            </w:r>
            <w:r w:rsidR="000A5329" w:rsidRPr="002029AF">
              <w:t xml:space="preserve"> </w:t>
            </w:r>
            <w:r w:rsidRPr="002029AF">
              <w:t>works.</w:t>
            </w:r>
          </w:p>
        </w:tc>
        <w:tc>
          <w:tcPr>
            <w:tcW w:w="1072" w:type="dxa"/>
            <w:tcBorders>
              <w:top w:val="single" w:sz="4" w:space="0" w:color="auto"/>
              <w:left w:val="nil"/>
              <w:bottom w:val="single" w:sz="4" w:space="0" w:color="auto"/>
              <w:right w:val="nil"/>
            </w:tcBorders>
            <w:shd w:val="clear" w:color="auto" w:fill="auto"/>
          </w:tcPr>
          <w:p w14:paraId="70235219" w14:textId="77777777" w:rsidR="00CF72D5" w:rsidRPr="002029AF" w:rsidRDefault="00CF72D5" w:rsidP="00897193">
            <w:pPr>
              <w:pStyle w:val="ARtabletextright"/>
            </w:pPr>
            <w:r w:rsidRPr="002029AF">
              <w:t>3.900</w:t>
            </w:r>
          </w:p>
        </w:tc>
        <w:tc>
          <w:tcPr>
            <w:tcW w:w="1072" w:type="dxa"/>
            <w:tcBorders>
              <w:top w:val="single" w:sz="4" w:space="0" w:color="auto"/>
              <w:left w:val="nil"/>
              <w:bottom w:val="single" w:sz="4" w:space="0" w:color="auto"/>
              <w:right w:val="nil"/>
            </w:tcBorders>
            <w:shd w:val="clear" w:color="auto" w:fill="auto"/>
          </w:tcPr>
          <w:p w14:paraId="16118AA3" w14:textId="77777777" w:rsidR="00CF72D5" w:rsidRPr="002029AF" w:rsidRDefault="00CF72D5" w:rsidP="00897193">
            <w:pPr>
              <w:pStyle w:val="ARtabletextright"/>
            </w:pPr>
            <w:r w:rsidRPr="002029AF">
              <w:t>5.942</w:t>
            </w:r>
          </w:p>
        </w:tc>
        <w:tc>
          <w:tcPr>
            <w:tcW w:w="1072" w:type="dxa"/>
            <w:tcBorders>
              <w:top w:val="single" w:sz="4" w:space="0" w:color="auto"/>
              <w:left w:val="nil"/>
              <w:bottom w:val="single" w:sz="4" w:space="0" w:color="auto"/>
              <w:right w:val="nil"/>
            </w:tcBorders>
            <w:shd w:val="clear" w:color="auto" w:fill="auto"/>
          </w:tcPr>
          <w:p w14:paraId="3A0044F0" w14:textId="77777777" w:rsidR="00CF72D5" w:rsidRPr="002029AF" w:rsidRDefault="00CF72D5" w:rsidP="00897193">
            <w:pPr>
              <w:pStyle w:val="ARtabletextright"/>
            </w:pPr>
            <w:r w:rsidRPr="002029AF">
              <w:t>4.645</w:t>
            </w:r>
          </w:p>
        </w:tc>
        <w:tc>
          <w:tcPr>
            <w:tcW w:w="1861" w:type="dxa"/>
            <w:tcBorders>
              <w:top w:val="single" w:sz="4" w:space="0" w:color="auto"/>
              <w:left w:val="nil"/>
              <w:bottom w:val="single" w:sz="4" w:space="0" w:color="auto"/>
              <w:right w:val="nil"/>
            </w:tcBorders>
            <w:shd w:val="clear" w:color="auto" w:fill="auto"/>
          </w:tcPr>
          <w:p w14:paraId="37618E18" w14:textId="77777777" w:rsidR="00CF72D5" w:rsidRPr="002029AF" w:rsidRDefault="00CF72D5" w:rsidP="00897193">
            <w:pPr>
              <w:pStyle w:val="ARtabletextright"/>
            </w:pPr>
            <w:r w:rsidRPr="002029AF">
              <w:t>(1.297)</w:t>
            </w:r>
          </w:p>
        </w:tc>
        <w:tc>
          <w:tcPr>
            <w:tcW w:w="2493" w:type="dxa"/>
            <w:tcBorders>
              <w:top w:val="single" w:sz="4" w:space="0" w:color="auto"/>
              <w:left w:val="nil"/>
              <w:bottom w:val="single" w:sz="4" w:space="0" w:color="auto"/>
              <w:right w:val="nil"/>
            </w:tcBorders>
            <w:shd w:val="clear" w:color="auto" w:fill="auto"/>
          </w:tcPr>
          <w:p w14:paraId="3494FF91" w14:textId="46C5B00B" w:rsidR="00CF72D5" w:rsidRPr="002029AF" w:rsidRDefault="00CF72D5" w:rsidP="00897193">
            <w:pPr>
              <w:pStyle w:val="ARtabletext"/>
            </w:pPr>
            <w:r w:rsidRPr="002029AF">
              <w:t>TEI</w:t>
            </w:r>
            <w:r w:rsidR="000A5329" w:rsidRPr="002029AF">
              <w:t xml:space="preserve"> </w:t>
            </w:r>
            <w:r w:rsidRPr="002029AF">
              <w:t>was</w:t>
            </w:r>
            <w:r w:rsidR="000A5329" w:rsidRPr="002029AF">
              <w:t xml:space="preserve"> </w:t>
            </w:r>
            <w:r w:rsidRPr="002029AF">
              <w:t>increased</w:t>
            </w:r>
            <w:r w:rsidR="000A5329" w:rsidRPr="002029AF">
              <w:t xml:space="preserve"> </w:t>
            </w:r>
            <w:r w:rsidRPr="002029AF">
              <w:t>to</w:t>
            </w:r>
            <w:r w:rsidR="000A5329" w:rsidRPr="002029AF">
              <w:t xml:space="preserve"> </w:t>
            </w:r>
            <w:r w:rsidRPr="002029AF">
              <w:t>include</w:t>
            </w:r>
            <w:r w:rsidR="000A5329" w:rsidRPr="002029AF">
              <w:t xml:space="preserve"> </w:t>
            </w:r>
            <w:r w:rsidRPr="002029AF">
              <w:t>revised</w:t>
            </w:r>
            <w:r w:rsidR="000A5329" w:rsidRPr="002029AF">
              <w:t xml:space="preserve"> </w:t>
            </w:r>
            <w:r w:rsidRPr="002029AF">
              <w:t>project</w:t>
            </w:r>
            <w:r w:rsidR="000A5329" w:rsidRPr="002029AF">
              <w:t xml:space="preserve"> </w:t>
            </w:r>
            <w:r w:rsidRPr="002029AF">
              <w:t>scope.</w:t>
            </w:r>
            <w:r w:rsidR="000A5329" w:rsidRPr="002029AF">
              <w:t xml:space="preserve"> </w:t>
            </w:r>
          </w:p>
        </w:tc>
      </w:tr>
      <w:tr w:rsidR="00CF72D5" w:rsidRPr="002029AF" w14:paraId="0217210B" w14:textId="77777777" w:rsidTr="0072293A">
        <w:trPr>
          <w:cantSplit/>
        </w:trPr>
        <w:tc>
          <w:tcPr>
            <w:tcW w:w="1977" w:type="dxa"/>
            <w:tcBorders>
              <w:top w:val="single" w:sz="4" w:space="0" w:color="auto"/>
              <w:left w:val="nil"/>
              <w:bottom w:val="single" w:sz="4" w:space="0" w:color="auto"/>
              <w:right w:val="nil"/>
            </w:tcBorders>
            <w:shd w:val="clear" w:color="auto" w:fill="auto"/>
          </w:tcPr>
          <w:p w14:paraId="01DD8611" w14:textId="2FF42C9E" w:rsidR="00CF72D5" w:rsidRPr="002029AF" w:rsidRDefault="00CF72D5" w:rsidP="00897193">
            <w:pPr>
              <w:pStyle w:val="ARtabletext"/>
            </w:pPr>
            <w:r w:rsidRPr="002029AF">
              <w:t>Grampians</w:t>
            </w:r>
            <w:r w:rsidR="000A5329" w:rsidRPr="002029AF">
              <w:t xml:space="preserve"> </w:t>
            </w:r>
            <w:r w:rsidRPr="002029AF">
              <w:t>Prevention</w:t>
            </w:r>
            <w:r w:rsidR="000A5329" w:rsidRPr="002029AF">
              <w:t xml:space="preserve"> </w:t>
            </w:r>
            <w:r w:rsidRPr="002029AF">
              <w:t>and</w:t>
            </w:r>
            <w:r w:rsidR="000A5329" w:rsidRPr="002029AF">
              <w:t xml:space="preserve"> </w:t>
            </w:r>
            <w:r w:rsidRPr="002029AF">
              <w:t>Recover</w:t>
            </w:r>
            <w:r w:rsidR="000A5329" w:rsidRPr="002029AF">
              <w:t xml:space="preserve"> </w:t>
            </w:r>
            <w:r w:rsidRPr="002029AF">
              <w:t>Care</w:t>
            </w:r>
            <w:r w:rsidR="000A5329" w:rsidRPr="002029AF">
              <w:t xml:space="preserve"> </w:t>
            </w:r>
            <w:r w:rsidRPr="002029AF">
              <w:t>(PARC)</w:t>
            </w:r>
            <w:r w:rsidR="000A5329" w:rsidRPr="002029AF">
              <w:t xml:space="preserve"> </w:t>
            </w:r>
            <w:r w:rsidRPr="002029AF">
              <w:t>Services</w:t>
            </w:r>
            <w:r w:rsidR="000A5329" w:rsidRPr="002029AF">
              <w:t xml:space="preserve"> </w:t>
            </w:r>
            <w:r w:rsidRPr="002029AF">
              <w:t>(Ballarat)</w:t>
            </w:r>
          </w:p>
        </w:tc>
        <w:tc>
          <w:tcPr>
            <w:tcW w:w="1073" w:type="dxa"/>
            <w:tcBorders>
              <w:top w:val="single" w:sz="4" w:space="0" w:color="auto"/>
              <w:left w:val="nil"/>
              <w:bottom w:val="single" w:sz="4" w:space="0" w:color="auto"/>
              <w:right w:val="nil"/>
            </w:tcBorders>
            <w:shd w:val="clear" w:color="auto" w:fill="auto"/>
          </w:tcPr>
          <w:p w14:paraId="2A6CE02B" w14:textId="77777777" w:rsidR="00CF72D5" w:rsidRPr="002029AF" w:rsidRDefault="00CF72D5" w:rsidP="00897193">
            <w:pPr>
              <w:pStyle w:val="ARtabletext"/>
            </w:pPr>
            <w:r w:rsidRPr="002029AF">
              <w:t>Jun-21</w:t>
            </w:r>
          </w:p>
        </w:tc>
        <w:tc>
          <w:tcPr>
            <w:tcW w:w="1072" w:type="dxa"/>
            <w:tcBorders>
              <w:top w:val="single" w:sz="4" w:space="0" w:color="auto"/>
              <w:left w:val="nil"/>
              <w:bottom w:val="single" w:sz="4" w:space="0" w:color="auto"/>
              <w:right w:val="nil"/>
            </w:tcBorders>
            <w:shd w:val="clear" w:color="auto" w:fill="auto"/>
          </w:tcPr>
          <w:p w14:paraId="2DE0889F" w14:textId="242EDB21" w:rsidR="00CF72D5" w:rsidRPr="002029AF" w:rsidRDefault="00CF72D5" w:rsidP="00897193">
            <w:pPr>
              <w:pStyle w:val="ARtabletext"/>
            </w:pPr>
            <w:r w:rsidRPr="002029AF">
              <w:t>Jun-21</w:t>
            </w:r>
            <w:r w:rsidR="000A5329" w:rsidRPr="002029AF">
              <w:t xml:space="preserve"> </w:t>
            </w:r>
          </w:p>
        </w:tc>
        <w:tc>
          <w:tcPr>
            <w:tcW w:w="1072" w:type="dxa"/>
            <w:tcBorders>
              <w:top w:val="single" w:sz="4" w:space="0" w:color="auto"/>
              <w:left w:val="nil"/>
              <w:bottom w:val="single" w:sz="4" w:space="0" w:color="auto"/>
              <w:right w:val="nil"/>
            </w:tcBorders>
            <w:shd w:val="clear" w:color="auto" w:fill="auto"/>
          </w:tcPr>
          <w:p w14:paraId="19E612AE" w14:textId="77777777" w:rsidR="00CF72D5" w:rsidRPr="002029AF" w:rsidRDefault="00CF72D5" w:rsidP="00897193">
            <w:pPr>
              <w:pStyle w:val="ARtabletext"/>
            </w:pPr>
            <w:r w:rsidRPr="002029AF">
              <w:t>Apr-20</w:t>
            </w:r>
          </w:p>
        </w:tc>
        <w:tc>
          <w:tcPr>
            <w:tcW w:w="1246" w:type="dxa"/>
            <w:tcBorders>
              <w:top w:val="single" w:sz="4" w:space="0" w:color="auto"/>
              <w:left w:val="nil"/>
              <w:bottom w:val="single" w:sz="4" w:space="0" w:color="auto"/>
              <w:right w:val="nil"/>
            </w:tcBorders>
            <w:shd w:val="clear" w:color="auto" w:fill="auto"/>
          </w:tcPr>
          <w:p w14:paraId="2A676BAA" w14:textId="4560638B" w:rsidR="00CF72D5" w:rsidRPr="002029AF" w:rsidRDefault="00CF72D5" w:rsidP="00897193">
            <w:pPr>
              <w:pStyle w:val="ARtabletext"/>
            </w:pPr>
            <w:r w:rsidRPr="002029AF">
              <w:t>The</w:t>
            </w:r>
            <w:r w:rsidR="000A5329" w:rsidRPr="002029AF">
              <w:t xml:space="preserve"> </w:t>
            </w:r>
            <w:r w:rsidRPr="002029AF">
              <w:t>project</w:t>
            </w:r>
            <w:r w:rsidR="000A5329" w:rsidRPr="002029AF">
              <w:t xml:space="preserve"> </w:t>
            </w:r>
            <w:r w:rsidRPr="002029AF">
              <w:t>reached</w:t>
            </w:r>
            <w:r w:rsidR="000A5329" w:rsidRPr="002029AF">
              <w:t xml:space="preserve"> </w:t>
            </w:r>
            <w:r w:rsidRPr="002029AF">
              <w:t>practical</w:t>
            </w:r>
            <w:r w:rsidR="000A5329" w:rsidRPr="002029AF">
              <w:t xml:space="preserve"> </w:t>
            </w:r>
            <w:r w:rsidRPr="002029AF">
              <w:t>completion</w:t>
            </w:r>
            <w:r w:rsidR="000A5329" w:rsidRPr="002029AF">
              <w:t xml:space="preserve"> </w:t>
            </w:r>
            <w:r w:rsidRPr="002029AF">
              <w:t>in</w:t>
            </w:r>
            <w:r w:rsidR="000A5329" w:rsidRPr="002029AF">
              <w:t xml:space="preserve"> </w:t>
            </w:r>
            <w:r w:rsidRPr="002029AF">
              <w:t>April</w:t>
            </w:r>
            <w:r w:rsidR="000A5329" w:rsidRPr="002029AF">
              <w:t xml:space="preserve"> </w:t>
            </w:r>
            <w:r w:rsidRPr="002029AF">
              <w:t>2020.</w:t>
            </w:r>
          </w:p>
        </w:tc>
        <w:tc>
          <w:tcPr>
            <w:tcW w:w="1072" w:type="dxa"/>
            <w:tcBorders>
              <w:top w:val="single" w:sz="4" w:space="0" w:color="auto"/>
              <w:left w:val="nil"/>
              <w:bottom w:val="single" w:sz="4" w:space="0" w:color="auto"/>
              <w:right w:val="nil"/>
            </w:tcBorders>
            <w:shd w:val="clear" w:color="auto" w:fill="auto"/>
          </w:tcPr>
          <w:p w14:paraId="5C9A130D" w14:textId="77777777" w:rsidR="00CF72D5" w:rsidRPr="002029AF" w:rsidRDefault="00CF72D5" w:rsidP="00897193">
            <w:pPr>
              <w:pStyle w:val="ARtabletextright"/>
            </w:pPr>
            <w:r w:rsidRPr="002029AF">
              <w:t>6.000</w:t>
            </w:r>
          </w:p>
        </w:tc>
        <w:tc>
          <w:tcPr>
            <w:tcW w:w="1072" w:type="dxa"/>
            <w:tcBorders>
              <w:top w:val="single" w:sz="4" w:space="0" w:color="auto"/>
              <w:left w:val="nil"/>
              <w:bottom w:val="single" w:sz="4" w:space="0" w:color="auto"/>
              <w:right w:val="nil"/>
            </w:tcBorders>
            <w:shd w:val="clear" w:color="auto" w:fill="auto"/>
          </w:tcPr>
          <w:p w14:paraId="1DD9BFB4" w14:textId="77777777" w:rsidR="00CF72D5" w:rsidRPr="002029AF" w:rsidRDefault="00CF72D5" w:rsidP="00897193">
            <w:pPr>
              <w:pStyle w:val="ARtabletextright"/>
            </w:pPr>
            <w:r w:rsidRPr="002029AF">
              <w:t>6.000</w:t>
            </w:r>
          </w:p>
        </w:tc>
        <w:tc>
          <w:tcPr>
            <w:tcW w:w="1072" w:type="dxa"/>
            <w:tcBorders>
              <w:top w:val="single" w:sz="4" w:space="0" w:color="auto"/>
              <w:left w:val="nil"/>
              <w:bottom w:val="single" w:sz="4" w:space="0" w:color="auto"/>
              <w:right w:val="nil"/>
            </w:tcBorders>
            <w:shd w:val="clear" w:color="auto" w:fill="auto"/>
          </w:tcPr>
          <w:p w14:paraId="459C1809" w14:textId="77777777" w:rsidR="00CF72D5" w:rsidRPr="002029AF" w:rsidRDefault="00CF72D5" w:rsidP="00897193">
            <w:pPr>
              <w:pStyle w:val="ARtabletextright"/>
            </w:pPr>
            <w:r w:rsidRPr="002029AF">
              <w:t>5.711</w:t>
            </w:r>
          </w:p>
        </w:tc>
        <w:tc>
          <w:tcPr>
            <w:tcW w:w="1861" w:type="dxa"/>
            <w:tcBorders>
              <w:top w:val="single" w:sz="4" w:space="0" w:color="auto"/>
              <w:left w:val="nil"/>
              <w:bottom w:val="single" w:sz="4" w:space="0" w:color="auto"/>
              <w:right w:val="nil"/>
            </w:tcBorders>
            <w:shd w:val="clear" w:color="auto" w:fill="auto"/>
          </w:tcPr>
          <w:p w14:paraId="1052DB3A" w14:textId="77777777" w:rsidR="00CF72D5" w:rsidRPr="002029AF" w:rsidRDefault="00CF72D5" w:rsidP="00897193">
            <w:pPr>
              <w:pStyle w:val="ARtabletextright"/>
            </w:pPr>
            <w:r w:rsidRPr="002029AF">
              <w:t>(0.289)</w:t>
            </w:r>
          </w:p>
        </w:tc>
        <w:tc>
          <w:tcPr>
            <w:tcW w:w="2493" w:type="dxa"/>
            <w:tcBorders>
              <w:top w:val="single" w:sz="4" w:space="0" w:color="auto"/>
              <w:left w:val="nil"/>
              <w:bottom w:val="single" w:sz="4" w:space="0" w:color="auto"/>
              <w:right w:val="nil"/>
            </w:tcBorders>
            <w:shd w:val="clear" w:color="auto" w:fill="auto"/>
          </w:tcPr>
          <w:p w14:paraId="55B0FE43" w14:textId="4EA1F5A1" w:rsidR="00CF72D5" w:rsidRPr="002029AF" w:rsidRDefault="00CF72D5" w:rsidP="00897193">
            <w:pPr>
              <w:pStyle w:val="ARtabletext"/>
            </w:pPr>
            <w:r w:rsidRPr="002029AF">
              <w:t>Project</w:t>
            </w:r>
            <w:r w:rsidR="000A5329" w:rsidRPr="002029AF">
              <w:t xml:space="preserve"> </w:t>
            </w:r>
            <w:r w:rsidRPr="002029AF">
              <w:t>in</w:t>
            </w:r>
            <w:r w:rsidR="000A5329" w:rsidRPr="002029AF">
              <w:t xml:space="preserve"> </w:t>
            </w:r>
            <w:r w:rsidRPr="002029AF">
              <w:t>Defects</w:t>
            </w:r>
            <w:r w:rsidR="000A5329" w:rsidRPr="002029AF">
              <w:t xml:space="preserve"> </w:t>
            </w:r>
            <w:r w:rsidRPr="002029AF">
              <w:t>Liability</w:t>
            </w:r>
            <w:r w:rsidR="000A5329" w:rsidRPr="002029AF">
              <w:t xml:space="preserve"> </w:t>
            </w:r>
            <w:r w:rsidRPr="002029AF">
              <w:t>Period.</w:t>
            </w:r>
          </w:p>
        </w:tc>
      </w:tr>
      <w:tr w:rsidR="00CF72D5" w:rsidRPr="002029AF" w14:paraId="301EC93A" w14:textId="77777777" w:rsidTr="0072293A">
        <w:trPr>
          <w:cantSplit/>
        </w:trPr>
        <w:tc>
          <w:tcPr>
            <w:tcW w:w="1977" w:type="dxa"/>
            <w:tcBorders>
              <w:top w:val="single" w:sz="4" w:space="0" w:color="auto"/>
              <w:left w:val="nil"/>
              <w:bottom w:val="single" w:sz="4" w:space="0" w:color="auto"/>
              <w:right w:val="nil"/>
            </w:tcBorders>
            <w:shd w:val="clear" w:color="auto" w:fill="auto"/>
          </w:tcPr>
          <w:p w14:paraId="4C5B4829" w14:textId="29E18141" w:rsidR="00CF72D5" w:rsidRPr="002029AF" w:rsidRDefault="00CF72D5" w:rsidP="00897193">
            <w:pPr>
              <w:pStyle w:val="ARtabletext"/>
            </w:pPr>
            <w:r w:rsidRPr="002029AF">
              <w:t>High</w:t>
            </w:r>
            <w:r w:rsidR="000A5329" w:rsidRPr="002029AF">
              <w:t xml:space="preserve"> </w:t>
            </w:r>
            <w:r w:rsidRPr="002029AF">
              <w:t>rise</w:t>
            </w:r>
            <w:r w:rsidR="000A5329" w:rsidRPr="002029AF">
              <w:t xml:space="preserve"> </w:t>
            </w:r>
            <w:r w:rsidRPr="002029AF">
              <w:t>Upgrades</w:t>
            </w:r>
            <w:r w:rsidR="000A5329" w:rsidRPr="002029AF">
              <w:t xml:space="preserve"> </w:t>
            </w:r>
            <w:r w:rsidRPr="002029AF">
              <w:t>in</w:t>
            </w:r>
            <w:r w:rsidR="000A5329" w:rsidRPr="002029AF">
              <w:t xml:space="preserve"> </w:t>
            </w:r>
            <w:r w:rsidRPr="002029AF">
              <w:t>201</w:t>
            </w:r>
            <w:r w:rsidR="00DB53E6" w:rsidRPr="002029AF">
              <w:t>9–</w:t>
            </w:r>
            <w:r w:rsidRPr="002029AF">
              <w:t>20</w:t>
            </w:r>
            <w:r w:rsidR="000A5329" w:rsidRPr="002029AF">
              <w:t xml:space="preserve"> </w:t>
            </w:r>
            <w:r w:rsidRPr="002029AF">
              <w:t>(metropolitan</w:t>
            </w:r>
            <w:r w:rsidR="000A5329" w:rsidRPr="002029AF">
              <w:t xml:space="preserve"> </w:t>
            </w:r>
            <w:r w:rsidRPr="002029AF">
              <w:t>various)</w:t>
            </w:r>
          </w:p>
        </w:tc>
        <w:tc>
          <w:tcPr>
            <w:tcW w:w="1073" w:type="dxa"/>
            <w:tcBorders>
              <w:top w:val="single" w:sz="4" w:space="0" w:color="auto"/>
              <w:left w:val="nil"/>
              <w:bottom w:val="single" w:sz="4" w:space="0" w:color="auto"/>
              <w:right w:val="nil"/>
            </w:tcBorders>
            <w:shd w:val="clear" w:color="auto" w:fill="auto"/>
          </w:tcPr>
          <w:p w14:paraId="64EC2A55" w14:textId="77777777" w:rsidR="00CF72D5" w:rsidRPr="002029AF" w:rsidRDefault="00CF72D5" w:rsidP="00897193">
            <w:pPr>
              <w:pStyle w:val="ARtabletext"/>
            </w:pPr>
            <w:r w:rsidRPr="002029AF">
              <w:t>Jun-20</w:t>
            </w:r>
          </w:p>
        </w:tc>
        <w:tc>
          <w:tcPr>
            <w:tcW w:w="1072" w:type="dxa"/>
            <w:tcBorders>
              <w:top w:val="single" w:sz="4" w:space="0" w:color="auto"/>
              <w:left w:val="nil"/>
              <w:bottom w:val="single" w:sz="4" w:space="0" w:color="auto"/>
              <w:right w:val="nil"/>
            </w:tcBorders>
            <w:shd w:val="clear" w:color="auto" w:fill="auto"/>
          </w:tcPr>
          <w:p w14:paraId="5320DCC3" w14:textId="77777777" w:rsidR="00CF72D5" w:rsidRPr="002029AF" w:rsidRDefault="00CF72D5" w:rsidP="00897193">
            <w:pPr>
              <w:pStyle w:val="ARtabletext"/>
            </w:pPr>
            <w:r w:rsidRPr="002029AF">
              <w:t>Jun-20</w:t>
            </w:r>
          </w:p>
        </w:tc>
        <w:tc>
          <w:tcPr>
            <w:tcW w:w="1072" w:type="dxa"/>
            <w:tcBorders>
              <w:top w:val="single" w:sz="4" w:space="0" w:color="auto"/>
              <w:left w:val="nil"/>
              <w:bottom w:val="single" w:sz="4" w:space="0" w:color="auto"/>
              <w:right w:val="nil"/>
            </w:tcBorders>
            <w:shd w:val="clear" w:color="auto" w:fill="auto"/>
          </w:tcPr>
          <w:p w14:paraId="2EC21589" w14:textId="77777777" w:rsidR="00CF72D5" w:rsidRPr="002029AF" w:rsidRDefault="00CF72D5" w:rsidP="00897193">
            <w:pPr>
              <w:pStyle w:val="ARtabletext"/>
            </w:pPr>
            <w:r w:rsidRPr="002029AF">
              <w:t>Jun-20</w:t>
            </w:r>
          </w:p>
        </w:tc>
        <w:tc>
          <w:tcPr>
            <w:tcW w:w="1246" w:type="dxa"/>
            <w:tcBorders>
              <w:top w:val="single" w:sz="4" w:space="0" w:color="auto"/>
              <w:left w:val="nil"/>
              <w:bottom w:val="single" w:sz="4" w:space="0" w:color="auto"/>
              <w:right w:val="nil"/>
            </w:tcBorders>
            <w:shd w:val="clear" w:color="auto" w:fill="auto"/>
          </w:tcPr>
          <w:p w14:paraId="66C0E370" w14:textId="77777777" w:rsidR="00CF72D5" w:rsidRPr="002029AF" w:rsidRDefault="00CF72D5" w:rsidP="00897193">
            <w:pPr>
              <w:pStyle w:val="ARtabletext"/>
            </w:pPr>
          </w:p>
        </w:tc>
        <w:tc>
          <w:tcPr>
            <w:tcW w:w="1072" w:type="dxa"/>
            <w:tcBorders>
              <w:top w:val="single" w:sz="4" w:space="0" w:color="auto"/>
              <w:left w:val="nil"/>
              <w:bottom w:val="single" w:sz="4" w:space="0" w:color="auto"/>
              <w:right w:val="nil"/>
            </w:tcBorders>
            <w:shd w:val="clear" w:color="auto" w:fill="auto"/>
          </w:tcPr>
          <w:p w14:paraId="10E22225" w14:textId="77777777" w:rsidR="00CF72D5" w:rsidRPr="002029AF" w:rsidRDefault="00CF72D5" w:rsidP="00897193">
            <w:pPr>
              <w:pStyle w:val="ARtabletextright"/>
            </w:pPr>
            <w:r w:rsidRPr="002029AF">
              <w:t>19.270</w:t>
            </w:r>
          </w:p>
        </w:tc>
        <w:tc>
          <w:tcPr>
            <w:tcW w:w="1072" w:type="dxa"/>
            <w:tcBorders>
              <w:top w:val="single" w:sz="4" w:space="0" w:color="auto"/>
              <w:left w:val="nil"/>
              <w:bottom w:val="single" w:sz="4" w:space="0" w:color="auto"/>
              <w:right w:val="nil"/>
            </w:tcBorders>
            <w:shd w:val="clear" w:color="auto" w:fill="auto"/>
          </w:tcPr>
          <w:p w14:paraId="4E44B2D7" w14:textId="77777777" w:rsidR="00CF72D5" w:rsidRPr="002029AF" w:rsidRDefault="00CF72D5" w:rsidP="00897193">
            <w:pPr>
              <w:pStyle w:val="ARtabletextright"/>
            </w:pPr>
            <w:r w:rsidRPr="002029AF">
              <w:t>19.270</w:t>
            </w:r>
          </w:p>
        </w:tc>
        <w:tc>
          <w:tcPr>
            <w:tcW w:w="1072" w:type="dxa"/>
            <w:tcBorders>
              <w:top w:val="single" w:sz="4" w:space="0" w:color="auto"/>
              <w:left w:val="nil"/>
              <w:bottom w:val="single" w:sz="4" w:space="0" w:color="auto"/>
              <w:right w:val="nil"/>
            </w:tcBorders>
            <w:shd w:val="clear" w:color="auto" w:fill="auto"/>
          </w:tcPr>
          <w:p w14:paraId="3C8DD44C" w14:textId="77777777" w:rsidR="00CF72D5" w:rsidRPr="002029AF" w:rsidRDefault="00CF72D5" w:rsidP="00897193">
            <w:pPr>
              <w:pStyle w:val="ARtabletextright"/>
            </w:pPr>
            <w:r w:rsidRPr="002029AF">
              <w:t>19.270</w:t>
            </w:r>
          </w:p>
        </w:tc>
        <w:tc>
          <w:tcPr>
            <w:tcW w:w="1861" w:type="dxa"/>
            <w:tcBorders>
              <w:top w:val="single" w:sz="4" w:space="0" w:color="auto"/>
              <w:left w:val="nil"/>
              <w:bottom w:val="single" w:sz="4" w:space="0" w:color="auto"/>
              <w:right w:val="nil"/>
            </w:tcBorders>
            <w:shd w:val="clear" w:color="auto" w:fill="auto"/>
          </w:tcPr>
          <w:p w14:paraId="28163A8F" w14:textId="77777777" w:rsidR="00CF72D5" w:rsidRPr="002029AF" w:rsidRDefault="00CF72D5" w:rsidP="00897193">
            <w:pPr>
              <w:pStyle w:val="ARtabletextright"/>
            </w:pPr>
          </w:p>
        </w:tc>
        <w:tc>
          <w:tcPr>
            <w:tcW w:w="2493" w:type="dxa"/>
            <w:tcBorders>
              <w:top w:val="single" w:sz="4" w:space="0" w:color="auto"/>
              <w:left w:val="nil"/>
              <w:bottom w:val="single" w:sz="4" w:space="0" w:color="auto"/>
              <w:right w:val="nil"/>
            </w:tcBorders>
            <w:shd w:val="clear" w:color="auto" w:fill="auto"/>
          </w:tcPr>
          <w:p w14:paraId="77D13658" w14:textId="77777777" w:rsidR="00CF72D5" w:rsidRPr="002029AF" w:rsidRDefault="00CF72D5" w:rsidP="00897193">
            <w:pPr>
              <w:pStyle w:val="ARtabletext"/>
            </w:pPr>
          </w:p>
        </w:tc>
      </w:tr>
      <w:tr w:rsidR="00CF72D5" w:rsidRPr="002029AF" w14:paraId="690505C6" w14:textId="77777777" w:rsidTr="0072293A">
        <w:trPr>
          <w:cantSplit/>
        </w:trPr>
        <w:tc>
          <w:tcPr>
            <w:tcW w:w="1977" w:type="dxa"/>
            <w:tcBorders>
              <w:top w:val="single" w:sz="4" w:space="0" w:color="auto"/>
              <w:left w:val="nil"/>
              <w:bottom w:val="single" w:sz="4" w:space="0" w:color="auto"/>
              <w:right w:val="nil"/>
            </w:tcBorders>
            <w:shd w:val="clear" w:color="auto" w:fill="auto"/>
          </w:tcPr>
          <w:p w14:paraId="281A8845" w14:textId="57DBCABA" w:rsidR="00CF72D5" w:rsidRPr="002029AF" w:rsidRDefault="00CF72D5" w:rsidP="00897193">
            <w:pPr>
              <w:pStyle w:val="ARtabletext"/>
            </w:pPr>
            <w:r w:rsidRPr="002029AF">
              <w:t>Low</w:t>
            </w:r>
            <w:r w:rsidR="000A5329" w:rsidRPr="002029AF">
              <w:t xml:space="preserve"> </w:t>
            </w:r>
            <w:r w:rsidRPr="002029AF">
              <w:t>rise</w:t>
            </w:r>
            <w:r w:rsidR="000A5329" w:rsidRPr="002029AF">
              <w:t xml:space="preserve"> </w:t>
            </w:r>
            <w:r w:rsidRPr="002029AF">
              <w:t>Upgrade</w:t>
            </w:r>
            <w:r w:rsidR="000A5329" w:rsidRPr="002029AF">
              <w:t xml:space="preserve"> </w:t>
            </w:r>
            <w:r w:rsidRPr="002029AF">
              <w:t>in</w:t>
            </w:r>
            <w:r w:rsidR="000A5329" w:rsidRPr="002029AF">
              <w:t xml:space="preserve"> </w:t>
            </w:r>
            <w:r w:rsidRPr="002029AF">
              <w:t>201</w:t>
            </w:r>
            <w:r w:rsidR="00DB53E6" w:rsidRPr="002029AF">
              <w:t>9–</w:t>
            </w:r>
            <w:r w:rsidRPr="002029AF">
              <w:t>20</w:t>
            </w:r>
            <w:r w:rsidR="000A5329" w:rsidRPr="002029AF">
              <w:t xml:space="preserve"> </w:t>
            </w:r>
            <w:r w:rsidRPr="002029AF">
              <w:t>(statewide)</w:t>
            </w:r>
          </w:p>
        </w:tc>
        <w:tc>
          <w:tcPr>
            <w:tcW w:w="1073" w:type="dxa"/>
            <w:tcBorders>
              <w:top w:val="single" w:sz="4" w:space="0" w:color="auto"/>
              <w:left w:val="nil"/>
              <w:bottom w:val="single" w:sz="4" w:space="0" w:color="auto"/>
              <w:right w:val="nil"/>
            </w:tcBorders>
            <w:shd w:val="clear" w:color="auto" w:fill="auto"/>
          </w:tcPr>
          <w:p w14:paraId="1CEA7C83" w14:textId="77777777" w:rsidR="00CF72D5" w:rsidRPr="002029AF" w:rsidRDefault="00CF72D5" w:rsidP="00897193">
            <w:pPr>
              <w:pStyle w:val="ARtabletext"/>
            </w:pPr>
            <w:r w:rsidRPr="002029AF">
              <w:t>Jun-20</w:t>
            </w:r>
          </w:p>
        </w:tc>
        <w:tc>
          <w:tcPr>
            <w:tcW w:w="1072" w:type="dxa"/>
            <w:tcBorders>
              <w:top w:val="single" w:sz="4" w:space="0" w:color="auto"/>
              <w:left w:val="nil"/>
              <w:bottom w:val="single" w:sz="4" w:space="0" w:color="auto"/>
              <w:right w:val="nil"/>
            </w:tcBorders>
            <w:shd w:val="clear" w:color="auto" w:fill="auto"/>
          </w:tcPr>
          <w:p w14:paraId="6AB75EF7" w14:textId="77777777" w:rsidR="00CF72D5" w:rsidRPr="002029AF" w:rsidRDefault="00CF72D5" w:rsidP="00897193">
            <w:pPr>
              <w:pStyle w:val="ARtabletext"/>
            </w:pPr>
            <w:r w:rsidRPr="002029AF">
              <w:t>Jun-20</w:t>
            </w:r>
          </w:p>
        </w:tc>
        <w:tc>
          <w:tcPr>
            <w:tcW w:w="1072" w:type="dxa"/>
            <w:tcBorders>
              <w:top w:val="single" w:sz="4" w:space="0" w:color="auto"/>
              <w:left w:val="nil"/>
              <w:bottom w:val="single" w:sz="4" w:space="0" w:color="auto"/>
              <w:right w:val="nil"/>
            </w:tcBorders>
            <w:shd w:val="clear" w:color="auto" w:fill="auto"/>
          </w:tcPr>
          <w:p w14:paraId="17C31E79" w14:textId="77777777" w:rsidR="00CF72D5" w:rsidRPr="002029AF" w:rsidRDefault="00CF72D5" w:rsidP="00897193">
            <w:pPr>
              <w:pStyle w:val="ARtabletext"/>
            </w:pPr>
            <w:r w:rsidRPr="002029AF">
              <w:t>Jun-20</w:t>
            </w:r>
          </w:p>
        </w:tc>
        <w:tc>
          <w:tcPr>
            <w:tcW w:w="1246" w:type="dxa"/>
            <w:tcBorders>
              <w:top w:val="single" w:sz="4" w:space="0" w:color="auto"/>
              <w:left w:val="nil"/>
              <w:bottom w:val="single" w:sz="4" w:space="0" w:color="auto"/>
              <w:right w:val="nil"/>
            </w:tcBorders>
            <w:shd w:val="clear" w:color="auto" w:fill="auto"/>
          </w:tcPr>
          <w:p w14:paraId="3374BB49" w14:textId="77777777" w:rsidR="00CF72D5" w:rsidRPr="002029AF" w:rsidRDefault="00CF72D5" w:rsidP="00897193">
            <w:pPr>
              <w:pStyle w:val="ARtabletext"/>
            </w:pPr>
          </w:p>
        </w:tc>
        <w:tc>
          <w:tcPr>
            <w:tcW w:w="1072" w:type="dxa"/>
            <w:tcBorders>
              <w:top w:val="single" w:sz="4" w:space="0" w:color="auto"/>
              <w:left w:val="nil"/>
              <w:bottom w:val="single" w:sz="4" w:space="0" w:color="auto"/>
              <w:right w:val="nil"/>
            </w:tcBorders>
            <w:shd w:val="clear" w:color="auto" w:fill="auto"/>
          </w:tcPr>
          <w:p w14:paraId="2041A342" w14:textId="77777777" w:rsidR="00CF72D5" w:rsidRPr="002029AF" w:rsidRDefault="00CF72D5" w:rsidP="00897193">
            <w:pPr>
              <w:pStyle w:val="ARtabletextright"/>
            </w:pPr>
            <w:r w:rsidRPr="002029AF">
              <w:t>59.027</w:t>
            </w:r>
          </w:p>
        </w:tc>
        <w:tc>
          <w:tcPr>
            <w:tcW w:w="1072" w:type="dxa"/>
            <w:tcBorders>
              <w:top w:val="single" w:sz="4" w:space="0" w:color="auto"/>
              <w:left w:val="nil"/>
              <w:bottom w:val="single" w:sz="4" w:space="0" w:color="auto"/>
              <w:right w:val="nil"/>
            </w:tcBorders>
            <w:shd w:val="clear" w:color="auto" w:fill="auto"/>
          </w:tcPr>
          <w:p w14:paraId="1120D63F" w14:textId="77777777" w:rsidR="00CF72D5" w:rsidRPr="002029AF" w:rsidRDefault="00CF72D5" w:rsidP="00897193">
            <w:pPr>
              <w:pStyle w:val="ARtabletextright"/>
            </w:pPr>
            <w:r w:rsidRPr="002029AF">
              <w:t>59.027</w:t>
            </w:r>
          </w:p>
        </w:tc>
        <w:tc>
          <w:tcPr>
            <w:tcW w:w="1072" w:type="dxa"/>
            <w:tcBorders>
              <w:top w:val="single" w:sz="4" w:space="0" w:color="auto"/>
              <w:left w:val="nil"/>
              <w:bottom w:val="single" w:sz="4" w:space="0" w:color="auto"/>
              <w:right w:val="nil"/>
            </w:tcBorders>
            <w:shd w:val="clear" w:color="auto" w:fill="auto"/>
          </w:tcPr>
          <w:p w14:paraId="33C7FC5D" w14:textId="77777777" w:rsidR="00CF72D5" w:rsidRPr="002029AF" w:rsidRDefault="00CF72D5" w:rsidP="00897193">
            <w:pPr>
              <w:pStyle w:val="ARtabletextright"/>
            </w:pPr>
            <w:r w:rsidRPr="002029AF">
              <w:t>59.027</w:t>
            </w:r>
          </w:p>
        </w:tc>
        <w:tc>
          <w:tcPr>
            <w:tcW w:w="1861" w:type="dxa"/>
            <w:tcBorders>
              <w:top w:val="single" w:sz="4" w:space="0" w:color="auto"/>
              <w:left w:val="nil"/>
              <w:bottom w:val="single" w:sz="4" w:space="0" w:color="auto"/>
              <w:right w:val="nil"/>
            </w:tcBorders>
            <w:shd w:val="clear" w:color="auto" w:fill="auto"/>
          </w:tcPr>
          <w:p w14:paraId="1A294E95" w14:textId="77777777" w:rsidR="00CF72D5" w:rsidRPr="002029AF" w:rsidRDefault="00CF72D5" w:rsidP="00897193">
            <w:pPr>
              <w:pStyle w:val="ARtabletextright"/>
            </w:pPr>
          </w:p>
        </w:tc>
        <w:tc>
          <w:tcPr>
            <w:tcW w:w="2493" w:type="dxa"/>
            <w:tcBorders>
              <w:top w:val="single" w:sz="4" w:space="0" w:color="auto"/>
              <w:left w:val="nil"/>
              <w:bottom w:val="single" w:sz="4" w:space="0" w:color="auto"/>
              <w:right w:val="nil"/>
            </w:tcBorders>
            <w:shd w:val="clear" w:color="auto" w:fill="auto"/>
          </w:tcPr>
          <w:p w14:paraId="3DB878F4" w14:textId="77777777" w:rsidR="00CF72D5" w:rsidRPr="002029AF" w:rsidRDefault="00CF72D5" w:rsidP="00897193">
            <w:pPr>
              <w:pStyle w:val="ARtabletext"/>
            </w:pPr>
          </w:p>
        </w:tc>
      </w:tr>
      <w:tr w:rsidR="00CF72D5" w:rsidRPr="002029AF" w14:paraId="2FBCC9D3" w14:textId="77777777" w:rsidTr="0072293A">
        <w:trPr>
          <w:cantSplit/>
        </w:trPr>
        <w:tc>
          <w:tcPr>
            <w:tcW w:w="1977" w:type="dxa"/>
            <w:tcBorders>
              <w:top w:val="single" w:sz="4" w:space="0" w:color="auto"/>
              <w:left w:val="nil"/>
              <w:bottom w:val="single" w:sz="4" w:space="0" w:color="auto"/>
              <w:right w:val="nil"/>
            </w:tcBorders>
            <w:shd w:val="clear" w:color="auto" w:fill="auto"/>
          </w:tcPr>
          <w:p w14:paraId="00BB74AB" w14:textId="584D7E53" w:rsidR="00CF72D5" w:rsidRPr="002029AF" w:rsidRDefault="00CF72D5" w:rsidP="00897193">
            <w:pPr>
              <w:pStyle w:val="ARtabletext"/>
            </w:pPr>
            <w:r w:rsidRPr="002029AF">
              <w:t>Royal</w:t>
            </w:r>
            <w:r w:rsidR="000A5329" w:rsidRPr="002029AF">
              <w:t xml:space="preserve"> </w:t>
            </w:r>
            <w:r w:rsidRPr="002029AF">
              <w:t>Melbourne</w:t>
            </w:r>
            <w:r w:rsidR="000A5329" w:rsidRPr="002029AF">
              <w:t xml:space="preserve"> </w:t>
            </w:r>
            <w:r w:rsidRPr="002029AF">
              <w:t>Hospital</w:t>
            </w:r>
            <w:r w:rsidR="0072293A" w:rsidRPr="002029AF">
              <w:t xml:space="preserve"> – </w:t>
            </w:r>
            <w:r w:rsidRPr="002029AF">
              <w:t>critical</w:t>
            </w:r>
            <w:r w:rsidR="000A5329" w:rsidRPr="002029AF">
              <w:t xml:space="preserve"> </w:t>
            </w:r>
            <w:r w:rsidRPr="002029AF">
              <w:t>infrastructure</w:t>
            </w:r>
            <w:r w:rsidR="000A5329" w:rsidRPr="002029AF">
              <w:t xml:space="preserve"> </w:t>
            </w:r>
            <w:r w:rsidRPr="002029AF">
              <w:t>works</w:t>
            </w:r>
          </w:p>
        </w:tc>
        <w:tc>
          <w:tcPr>
            <w:tcW w:w="1073" w:type="dxa"/>
            <w:tcBorders>
              <w:top w:val="single" w:sz="4" w:space="0" w:color="auto"/>
              <w:left w:val="nil"/>
              <w:bottom w:val="single" w:sz="4" w:space="0" w:color="auto"/>
              <w:right w:val="nil"/>
            </w:tcBorders>
            <w:shd w:val="clear" w:color="auto" w:fill="auto"/>
          </w:tcPr>
          <w:p w14:paraId="327781A3" w14:textId="77777777" w:rsidR="00CF72D5" w:rsidRPr="002029AF" w:rsidRDefault="00CF72D5" w:rsidP="00897193">
            <w:pPr>
              <w:pStyle w:val="ARtabletext"/>
            </w:pPr>
            <w:r w:rsidRPr="002029AF">
              <w:t>Jun-19</w:t>
            </w:r>
          </w:p>
        </w:tc>
        <w:tc>
          <w:tcPr>
            <w:tcW w:w="1072" w:type="dxa"/>
            <w:tcBorders>
              <w:top w:val="single" w:sz="4" w:space="0" w:color="auto"/>
              <w:left w:val="nil"/>
              <w:bottom w:val="single" w:sz="4" w:space="0" w:color="auto"/>
              <w:right w:val="nil"/>
            </w:tcBorders>
            <w:shd w:val="clear" w:color="auto" w:fill="auto"/>
          </w:tcPr>
          <w:p w14:paraId="2DB528ED" w14:textId="77777777" w:rsidR="00CF72D5" w:rsidRPr="002029AF" w:rsidRDefault="00CF72D5" w:rsidP="00897193">
            <w:pPr>
              <w:pStyle w:val="ARtabletext"/>
            </w:pPr>
            <w:r w:rsidRPr="002029AF">
              <w:t>Jun-19</w:t>
            </w:r>
          </w:p>
        </w:tc>
        <w:tc>
          <w:tcPr>
            <w:tcW w:w="1072" w:type="dxa"/>
            <w:tcBorders>
              <w:top w:val="single" w:sz="4" w:space="0" w:color="auto"/>
              <w:left w:val="nil"/>
              <w:bottom w:val="single" w:sz="4" w:space="0" w:color="auto"/>
              <w:right w:val="nil"/>
            </w:tcBorders>
            <w:shd w:val="clear" w:color="auto" w:fill="auto"/>
          </w:tcPr>
          <w:p w14:paraId="19EFE1DB" w14:textId="77777777" w:rsidR="00CF72D5" w:rsidRPr="002029AF" w:rsidRDefault="00CF72D5" w:rsidP="00897193">
            <w:pPr>
              <w:pStyle w:val="ARtabletext"/>
            </w:pPr>
            <w:r w:rsidRPr="002029AF">
              <w:t>Dec-19</w:t>
            </w:r>
          </w:p>
        </w:tc>
        <w:tc>
          <w:tcPr>
            <w:tcW w:w="1246" w:type="dxa"/>
            <w:tcBorders>
              <w:top w:val="single" w:sz="4" w:space="0" w:color="auto"/>
              <w:left w:val="nil"/>
              <w:bottom w:val="single" w:sz="4" w:space="0" w:color="auto"/>
              <w:right w:val="nil"/>
            </w:tcBorders>
            <w:shd w:val="clear" w:color="auto" w:fill="auto"/>
          </w:tcPr>
          <w:p w14:paraId="22B850E9" w14:textId="77777777" w:rsidR="00CF72D5" w:rsidRPr="002029AF" w:rsidRDefault="00CF72D5" w:rsidP="00897193">
            <w:pPr>
              <w:pStyle w:val="ARtabletext"/>
            </w:pPr>
          </w:p>
        </w:tc>
        <w:tc>
          <w:tcPr>
            <w:tcW w:w="1072" w:type="dxa"/>
            <w:tcBorders>
              <w:top w:val="single" w:sz="4" w:space="0" w:color="auto"/>
              <w:left w:val="nil"/>
              <w:bottom w:val="single" w:sz="4" w:space="0" w:color="auto"/>
              <w:right w:val="nil"/>
            </w:tcBorders>
            <w:shd w:val="clear" w:color="auto" w:fill="auto"/>
          </w:tcPr>
          <w:p w14:paraId="1404BB46" w14:textId="77777777" w:rsidR="00CF72D5" w:rsidRPr="002029AF" w:rsidRDefault="00CF72D5" w:rsidP="00897193">
            <w:pPr>
              <w:pStyle w:val="ARtabletextright"/>
            </w:pPr>
            <w:r w:rsidRPr="002029AF">
              <w:t>40.000</w:t>
            </w:r>
          </w:p>
        </w:tc>
        <w:tc>
          <w:tcPr>
            <w:tcW w:w="1072" w:type="dxa"/>
            <w:tcBorders>
              <w:top w:val="single" w:sz="4" w:space="0" w:color="auto"/>
              <w:left w:val="nil"/>
              <w:bottom w:val="single" w:sz="4" w:space="0" w:color="auto"/>
              <w:right w:val="nil"/>
            </w:tcBorders>
            <w:shd w:val="clear" w:color="auto" w:fill="auto"/>
          </w:tcPr>
          <w:p w14:paraId="1491263D" w14:textId="77777777" w:rsidR="00CF72D5" w:rsidRPr="002029AF" w:rsidRDefault="00CF72D5" w:rsidP="00897193">
            <w:pPr>
              <w:pStyle w:val="ARtabletextright"/>
            </w:pPr>
            <w:r w:rsidRPr="002029AF">
              <w:t>40.000</w:t>
            </w:r>
          </w:p>
        </w:tc>
        <w:tc>
          <w:tcPr>
            <w:tcW w:w="1072" w:type="dxa"/>
            <w:tcBorders>
              <w:top w:val="single" w:sz="4" w:space="0" w:color="auto"/>
              <w:left w:val="nil"/>
              <w:bottom w:val="single" w:sz="4" w:space="0" w:color="auto"/>
              <w:right w:val="nil"/>
            </w:tcBorders>
            <w:shd w:val="clear" w:color="auto" w:fill="auto"/>
          </w:tcPr>
          <w:p w14:paraId="1F74BE07" w14:textId="77777777" w:rsidR="00CF72D5" w:rsidRPr="002029AF" w:rsidRDefault="00CF72D5" w:rsidP="00897193">
            <w:pPr>
              <w:pStyle w:val="ARtabletextright"/>
            </w:pPr>
            <w:r w:rsidRPr="002029AF">
              <w:t>37.875</w:t>
            </w:r>
          </w:p>
        </w:tc>
        <w:tc>
          <w:tcPr>
            <w:tcW w:w="1861" w:type="dxa"/>
            <w:tcBorders>
              <w:top w:val="single" w:sz="4" w:space="0" w:color="auto"/>
              <w:left w:val="nil"/>
              <w:bottom w:val="single" w:sz="4" w:space="0" w:color="auto"/>
              <w:right w:val="nil"/>
            </w:tcBorders>
            <w:shd w:val="clear" w:color="auto" w:fill="auto"/>
          </w:tcPr>
          <w:p w14:paraId="5CAAD5CA" w14:textId="77777777" w:rsidR="00CF72D5" w:rsidRPr="002029AF" w:rsidRDefault="00CF72D5" w:rsidP="00897193">
            <w:pPr>
              <w:pStyle w:val="ARtabletextright"/>
            </w:pPr>
            <w:r w:rsidRPr="002029AF">
              <w:t>(2.125)</w:t>
            </w:r>
          </w:p>
        </w:tc>
        <w:tc>
          <w:tcPr>
            <w:tcW w:w="2493" w:type="dxa"/>
            <w:tcBorders>
              <w:top w:val="single" w:sz="4" w:space="0" w:color="auto"/>
              <w:left w:val="nil"/>
              <w:bottom w:val="single" w:sz="4" w:space="0" w:color="auto"/>
              <w:right w:val="nil"/>
            </w:tcBorders>
            <w:shd w:val="clear" w:color="auto" w:fill="auto"/>
          </w:tcPr>
          <w:p w14:paraId="20D89444" w14:textId="1CBC6A73" w:rsidR="00CF72D5" w:rsidRPr="002029AF" w:rsidRDefault="00CF72D5" w:rsidP="00897193">
            <w:pPr>
              <w:pStyle w:val="ARtabletext"/>
            </w:pPr>
            <w:r w:rsidRPr="002029AF">
              <w:t>Balance</w:t>
            </w:r>
            <w:r w:rsidR="000A5329" w:rsidRPr="002029AF">
              <w:t xml:space="preserve"> </w:t>
            </w:r>
            <w:r w:rsidRPr="002029AF">
              <w:t>of</w:t>
            </w:r>
            <w:r w:rsidR="000A5329" w:rsidRPr="002029AF">
              <w:t xml:space="preserve"> </w:t>
            </w:r>
            <w:r w:rsidRPr="002029AF">
              <w:t>funding</w:t>
            </w:r>
            <w:r w:rsidR="000A5329" w:rsidRPr="002029AF">
              <w:t xml:space="preserve"> </w:t>
            </w:r>
            <w:r w:rsidRPr="002029AF">
              <w:t>is</w:t>
            </w:r>
            <w:r w:rsidR="000A5329" w:rsidRPr="002029AF">
              <w:t xml:space="preserve"> </w:t>
            </w:r>
            <w:r w:rsidRPr="002029AF">
              <w:t>required</w:t>
            </w:r>
            <w:r w:rsidR="000A5329" w:rsidRPr="002029AF">
              <w:t xml:space="preserve"> </w:t>
            </w:r>
            <w:r w:rsidRPr="002029AF">
              <w:t>for</w:t>
            </w:r>
            <w:r w:rsidR="000A5329" w:rsidRPr="002029AF">
              <w:t xml:space="preserve"> </w:t>
            </w:r>
            <w:r w:rsidRPr="002029AF">
              <w:t>financial</w:t>
            </w:r>
            <w:r w:rsidR="000A5329" w:rsidRPr="002029AF">
              <w:t xml:space="preserve"> </w:t>
            </w:r>
            <w:r w:rsidRPr="002029AF">
              <w:t>closeout</w:t>
            </w:r>
            <w:r w:rsidR="000A5329" w:rsidRPr="002029AF">
              <w:t xml:space="preserve"> </w:t>
            </w:r>
            <w:r w:rsidRPr="002029AF">
              <w:t>of</w:t>
            </w:r>
            <w:r w:rsidR="000A5329" w:rsidRPr="002029AF">
              <w:t xml:space="preserve"> </w:t>
            </w:r>
            <w:r w:rsidRPr="002029AF">
              <w:t>the</w:t>
            </w:r>
            <w:r w:rsidR="000A5329" w:rsidRPr="002029AF">
              <w:t xml:space="preserve"> </w:t>
            </w:r>
            <w:r w:rsidRPr="002029AF">
              <w:t>project,</w:t>
            </w:r>
            <w:r w:rsidR="000A5329" w:rsidRPr="002029AF">
              <w:t xml:space="preserve"> </w:t>
            </w:r>
            <w:r w:rsidRPr="002029AF">
              <w:t>noting</w:t>
            </w:r>
            <w:r w:rsidR="000A5329" w:rsidRPr="002029AF">
              <w:t xml:space="preserve"> </w:t>
            </w:r>
            <w:r w:rsidRPr="002029AF">
              <w:t>the</w:t>
            </w:r>
            <w:r w:rsidR="000A5329" w:rsidRPr="002029AF">
              <w:t xml:space="preserve"> </w:t>
            </w:r>
            <w:r w:rsidRPr="002029AF">
              <w:t>project</w:t>
            </w:r>
            <w:r w:rsidR="000A5329" w:rsidRPr="002029AF">
              <w:t xml:space="preserve"> </w:t>
            </w:r>
            <w:r w:rsidRPr="002029AF">
              <w:t>has</w:t>
            </w:r>
            <w:r w:rsidR="000A5329" w:rsidRPr="002029AF">
              <w:t xml:space="preserve"> </w:t>
            </w:r>
            <w:r w:rsidRPr="002029AF">
              <w:t>entered</w:t>
            </w:r>
            <w:r w:rsidR="000A5329" w:rsidRPr="002029AF">
              <w:t xml:space="preserve"> </w:t>
            </w:r>
            <w:r w:rsidRPr="002029AF">
              <w:t>Defects</w:t>
            </w:r>
            <w:r w:rsidR="000A5329" w:rsidRPr="002029AF">
              <w:t xml:space="preserve"> </w:t>
            </w:r>
            <w:r w:rsidRPr="002029AF">
              <w:t>Liability</w:t>
            </w:r>
            <w:r w:rsidR="000A5329" w:rsidRPr="002029AF">
              <w:t xml:space="preserve"> </w:t>
            </w:r>
            <w:r w:rsidRPr="002029AF">
              <w:t>Period</w:t>
            </w:r>
            <w:r w:rsidR="000A5329" w:rsidRPr="002029AF">
              <w:t xml:space="preserve"> </w:t>
            </w:r>
            <w:r w:rsidRPr="002029AF">
              <w:t>(DLP)</w:t>
            </w:r>
            <w:r w:rsidR="000A5329" w:rsidRPr="002029AF">
              <w:t xml:space="preserve"> </w:t>
            </w:r>
            <w:r w:rsidRPr="002029AF">
              <w:t>which</w:t>
            </w:r>
            <w:r w:rsidR="000A5329" w:rsidRPr="002029AF">
              <w:t xml:space="preserve"> </w:t>
            </w:r>
            <w:r w:rsidRPr="002029AF">
              <w:t>is</w:t>
            </w:r>
            <w:r w:rsidR="000A5329" w:rsidRPr="002029AF">
              <w:t xml:space="preserve"> </w:t>
            </w:r>
            <w:r w:rsidRPr="002029AF">
              <w:t>expected</w:t>
            </w:r>
            <w:r w:rsidR="000A5329" w:rsidRPr="002029AF">
              <w:t xml:space="preserve"> </w:t>
            </w:r>
            <w:r w:rsidRPr="002029AF">
              <w:t>to</w:t>
            </w:r>
            <w:r w:rsidR="000A5329" w:rsidRPr="002029AF">
              <w:t xml:space="preserve"> </w:t>
            </w:r>
            <w:r w:rsidRPr="002029AF">
              <w:t>end</w:t>
            </w:r>
            <w:r w:rsidR="000A5329" w:rsidRPr="002029AF">
              <w:t xml:space="preserve"> </w:t>
            </w:r>
            <w:r w:rsidRPr="002029AF">
              <w:t>December</w:t>
            </w:r>
            <w:r w:rsidR="000A5329" w:rsidRPr="002029AF">
              <w:t xml:space="preserve"> </w:t>
            </w:r>
            <w:r w:rsidRPr="002029AF">
              <w:t>2020.</w:t>
            </w:r>
          </w:p>
        </w:tc>
      </w:tr>
      <w:tr w:rsidR="00CF72D5" w:rsidRPr="002029AF" w14:paraId="710C36FE" w14:textId="77777777" w:rsidTr="0072293A">
        <w:trPr>
          <w:cantSplit/>
        </w:trPr>
        <w:tc>
          <w:tcPr>
            <w:tcW w:w="1977" w:type="dxa"/>
            <w:tcBorders>
              <w:top w:val="single" w:sz="4" w:space="0" w:color="auto"/>
              <w:left w:val="nil"/>
              <w:bottom w:val="single" w:sz="4" w:space="0" w:color="auto"/>
              <w:right w:val="nil"/>
            </w:tcBorders>
            <w:shd w:val="clear" w:color="auto" w:fill="auto"/>
          </w:tcPr>
          <w:p w14:paraId="78976450" w14:textId="31AFA3CB" w:rsidR="00CF72D5" w:rsidRPr="002029AF" w:rsidRDefault="00CF72D5" w:rsidP="00897193">
            <w:pPr>
              <w:pStyle w:val="ARtabletext"/>
            </w:pPr>
            <w:r w:rsidRPr="002029AF">
              <w:t>Supporting</w:t>
            </w:r>
            <w:r w:rsidR="000A5329" w:rsidRPr="002029AF">
              <w:t xml:space="preserve"> </w:t>
            </w:r>
            <w:r w:rsidRPr="002029AF">
              <w:t>Demand</w:t>
            </w:r>
            <w:r w:rsidR="000A5329" w:rsidRPr="002029AF">
              <w:t xml:space="preserve"> </w:t>
            </w:r>
            <w:r w:rsidRPr="002029AF">
              <w:t>for</w:t>
            </w:r>
            <w:r w:rsidR="000A5329" w:rsidRPr="002029AF">
              <w:t xml:space="preserve"> </w:t>
            </w:r>
            <w:r w:rsidRPr="002029AF">
              <w:t>Ambulance</w:t>
            </w:r>
            <w:r w:rsidR="000A5329" w:rsidRPr="002029AF">
              <w:t xml:space="preserve"> </w:t>
            </w:r>
            <w:r w:rsidRPr="002029AF">
              <w:t>Services</w:t>
            </w:r>
          </w:p>
        </w:tc>
        <w:tc>
          <w:tcPr>
            <w:tcW w:w="1073" w:type="dxa"/>
            <w:tcBorders>
              <w:top w:val="single" w:sz="4" w:space="0" w:color="auto"/>
              <w:left w:val="nil"/>
              <w:bottom w:val="single" w:sz="4" w:space="0" w:color="auto"/>
              <w:right w:val="nil"/>
            </w:tcBorders>
            <w:shd w:val="clear" w:color="auto" w:fill="auto"/>
          </w:tcPr>
          <w:p w14:paraId="62F047E6" w14:textId="77777777" w:rsidR="00CF72D5" w:rsidRPr="002029AF" w:rsidRDefault="00CF72D5" w:rsidP="00897193">
            <w:pPr>
              <w:pStyle w:val="ARtabletext"/>
            </w:pPr>
            <w:r w:rsidRPr="002029AF">
              <w:t>Jun-19</w:t>
            </w:r>
          </w:p>
        </w:tc>
        <w:tc>
          <w:tcPr>
            <w:tcW w:w="1072" w:type="dxa"/>
            <w:tcBorders>
              <w:top w:val="single" w:sz="4" w:space="0" w:color="auto"/>
              <w:left w:val="nil"/>
              <w:bottom w:val="single" w:sz="4" w:space="0" w:color="auto"/>
              <w:right w:val="nil"/>
            </w:tcBorders>
            <w:shd w:val="clear" w:color="auto" w:fill="auto"/>
          </w:tcPr>
          <w:p w14:paraId="37031FB1" w14:textId="77777777" w:rsidR="00CF72D5" w:rsidRPr="002029AF" w:rsidRDefault="00CF72D5" w:rsidP="00897193">
            <w:pPr>
              <w:pStyle w:val="ARtabletext"/>
            </w:pPr>
            <w:r w:rsidRPr="002029AF">
              <w:t>Jun-19</w:t>
            </w:r>
          </w:p>
        </w:tc>
        <w:tc>
          <w:tcPr>
            <w:tcW w:w="1072" w:type="dxa"/>
            <w:tcBorders>
              <w:top w:val="single" w:sz="4" w:space="0" w:color="auto"/>
              <w:left w:val="nil"/>
              <w:bottom w:val="single" w:sz="4" w:space="0" w:color="auto"/>
              <w:right w:val="nil"/>
            </w:tcBorders>
            <w:shd w:val="clear" w:color="auto" w:fill="auto"/>
          </w:tcPr>
          <w:p w14:paraId="0DE39AAD" w14:textId="77777777" w:rsidR="00CF72D5" w:rsidRPr="002029AF" w:rsidRDefault="00CF72D5" w:rsidP="00897193">
            <w:pPr>
              <w:pStyle w:val="ARtabletext"/>
            </w:pPr>
            <w:r w:rsidRPr="002029AF">
              <w:t>Jun-19</w:t>
            </w:r>
          </w:p>
        </w:tc>
        <w:tc>
          <w:tcPr>
            <w:tcW w:w="1246" w:type="dxa"/>
            <w:tcBorders>
              <w:top w:val="single" w:sz="4" w:space="0" w:color="auto"/>
              <w:left w:val="nil"/>
              <w:bottom w:val="single" w:sz="4" w:space="0" w:color="auto"/>
              <w:right w:val="nil"/>
            </w:tcBorders>
            <w:shd w:val="clear" w:color="auto" w:fill="auto"/>
          </w:tcPr>
          <w:p w14:paraId="6FB19C5C" w14:textId="77777777" w:rsidR="00CF72D5" w:rsidRPr="002029AF" w:rsidRDefault="00CF72D5" w:rsidP="00897193">
            <w:pPr>
              <w:pStyle w:val="ARtabletext"/>
            </w:pPr>
          </w:p>
        </w:tc>
        <w:tc>
          <w:tcPr>
            <w:tcW w:w="1072" w:type="dxa"/>
            <w:tcBorders>
              <w:top w:val="single" w:sz="4" w:space="0" w:color="auto"/>
              <w:left w:val="nil"/>
              <w:bottom w:val="single" w:sz="4" w:space="0" w:color="auto"/>
              <w:right w:val="nil"/>
            </w:tcBorders>
            <w:shd w:val="clear" w:color="auto" w:fill="auto"/>
          </w:tcPr>
          <w:p w14:paraId="0BC87A7F" w14:textId="77777777" w:rsidR="00CF72D5" w:rsidRPr="002029AF" w:rsidRDefault="00CF72D5" w:rsidP="00897193">
            <w:pPr>
              <w:pStyle w:val="ARtabletextright"/>
            </w:pPr>
            <w:r w:rsidRPr="002029AF">
              <w:t>3.345</w:t>
            </w:r>
          </w:p>
        </w:tc>
        <w:tc>
          <w:tcPr>
            <w:tcW w:w="1072" w:type="dxa"/>
            <w:tcBorders>
              <w:top w:val="single" w:sz="4" w:space="0" w:color="auto"/>
              <w:left w:val="nil"/>
              <w:bottom w:val="single" w:sz="4" w:space="0" w:color="auto"/>
              <w:right w:val="nil"/>
            </w:tcBorders>
            <w:shd w:val="clear" w:color="auto" w:fill="auto"/>
          </w:tcPr>
          <w:p w14:paraId="25102465" w14:textId="77777777" w:rsidR="00CF72D5" w:rsidRPr="002029AF" w:rsidRDefault="00CF72D5" w:rsidP="00897193">
            <w:pPr>
              <w:pStyle w:val="ARtabletextright"/>
            </w:pPr>
            <w:r w:rsidRPr="002029AF">
              <w:t>3.345</w:t>
            </w:r>
          </w:p>
        </w:tc>
        <w:tc>
          <w:tcPr>
            <w:tcW w:w="1072" w:type="dxa"/>
            <w:tcBorders>
              <w:top w:val="single" w:sz="4" w:space="0" w:color="auto"/>
              <w:left w:val="nil"/>
              <w:bottom w:val="single" w:sz="4" w:space="0" w:color="auto"/>
              <w:right w:val="nil"/>
            </w:tcBorders>
            <w:shd w:val="clear" w:color="auto" w:fill="auto"/>
          </w:tcPr>
          <w:p w14:paraId="7750EA64" w14:textId="77777777" w:rsidR="00CF72D5" w:rsidRPr="002029AF" w:rsidRDefault="00CF72D5" w:rsidP="00897193">
            <w:pPr>
              <w:pStyle w:val="ARtabletextright"/>
            </w:pPr>
            <w:r w:rsidRPr="002029AF">
              <w:t>3.349</w:t>
            </w:r>
          </w:p>
        </w:tc>
        <w:tc>
          <w:tcPr>
            <w:tcW w:w="1861" w:type="dxa"/>
            <w:tcBorders>
              <w:top w:val="single" w:sz="4" w:space="0" w:color="auto"/>
              <w:left w:val="nil"/>
              <w:bottom w:val="single" w:sz="4" w:space="0" w:color="auto"/>
              <w:right w:val="nil"/>
            </w:tcBorders>
            <w:shd w:val="clear" w:color="auto" w:fill="auto"/>
          </w:tcPr>
          <w:p w14:paraId="763CE4E7" w14:textId="77777777" w:rsidR="00CF72D5" w:rsidRPr="002029AF" w:rsidRDefault="00CF72D5" w:rsidP="00897193">
            <w:pPr>
              <w:pStyle w:val="ARtabletextright"/>
            </w:pPr>
            <w:r w:rsidRPr="002029AF">
              <w:t>0.004</w:t>
            </w:r>
          </w:p>
        </w:tc>
        <w:tc>
          <w:tcPr>
            <w:tcW w:w="2493" w:type="dxa"/>
            <w:tcBorders>
              <w:top w:val="single" w:sz="4" w:space="0" w:color="auto"/>
              <w:left w:val="nil"/>
              <w:bottom w:val="single" w:sz="4" w:space="0" w:color="auto"/>
              <w:right w:val="nil"/>
            </w:tcBorders>
            <w:shd w:val="clear" w:color="auto" w:fill="auto"/>
          </w:tcPr>
          <w:p w14:paraId="19266563" w14:textId="77777777" w:rsidR="00CF72D5" w:rsidRPr="002029AF" w:rsidRDefault="00CF72D5" w:rsidP="00897193">
            <w:pPr>
              <w:pStyle w:val="ARtabletext"/>
            </w:pPr>
          </w:p>
        </w:tc>
      </w:tr>
      <w:tr w:rsidR="00CF72D5" w:rsidRPr="002029AF" w14:paraId="1531475A" w14:textId="77777777" w:rsidTr="0072293A">
        <w:trPr>
          <w:cantSplit/>
        </w:trPr>
        <w:tc>
          <w:tcPr>
            <w:tcW w:w="1977" w:type="dxa"/>
            <w:tcBorders>
              <w:top w:val="single" w:sz="4" w:space="0" w:color="auto"/>
              <w:left w:val="nil"/>
              <w:bottom w:val="single" w:sz="4" w:space="0" w:color="auto"/>
              <w:right w:val="nil"/>
            </w:tcBorders>
            <w:shd w:val="clear" w:color="auto" w:fill="auto"/>
          </w:tcPr>
          <w:p w14:paraId="7CA698AB" w14:textId="423F88C4" w:rsidR="00CF72D5" w:rsidRPr="002029AF" w:rsidRDefault="00CF72D5" w:rsidP="00897193">
            <w:pPr>
              <w:pStyle w:val="ARtabletext"/>
            </w:pPr>
            <w:r w:rsidRPr="002029AF">
              <w:t>The</w:t>
            </w:r>
            <w:r w:rsidR="000A5329" w:rsidRPr="002029AF">
              <w:t xml:space="preserve"> </w:t>
            </w:r>
            <w:r w:rsidRPr="002029AF">
              <w:t>Joan</w:t>
            </w:r>
            <w:r w:rsidR="000A5329" w:rsidRPr="002029AF">
              <w:t xml:space="preserve"> </w:t>
            </w:r>
            <w:r w:rsidRPr="002029AF">
              <w:t>Kirner</w:t>
            </w:r>
            <w:r w:rsidR="000A5329" w:rsidRPr="002029AF">
              <w:t xml:space="preserve"> </w:t>
            </w:r>
            <w:r w:rsidRPr="002029AF">
              <w:t>Women</w:t>
            </w:r>
            <w:r w:rsidR="005F298C">
              <w:t>’</w:t>
            </w:r>
            <w:r w:rsidRPr="002029AF">
              <w:t>s</w:t>
            </w:r>
            <w:r w:rsidR="000A5329" w:rsidRPr="002029AF">
              <w:t xml:space="preserve"> </w:t>
            </w:r>
            <w:r w:rsidRPr="002029AF">
              <w:t>and</w:t>
            </w:r>
            <w:r w:rsidR="000A5329" w:rsidRPr="002029AF">
              <w:t xml:space="preserve"> </w:t>
            </w:r>
            <w:r w:rsidRPr="002029AF">
              <w:t>Children</w:t>
            </w:r>
            <w:r w:rsidR="005F298C">
              <w:t>’</w:t>
            </w:r>
            <w:r w:rsidRPr="002029AF">
              <w:t>s</w:t>
            </w:r>
            <w:r w:rsidR="000A5329" w:rsidRPr="002029AF">
              <w:t xml:space="preserve"> </w:t>
            </w:r>
            <w:r w:rsidRPr="002029AF">
              <w:t>Hospital</w:t>
            </w:r>
          </w:p>
        </w:tc>
        <w:tc>
          <w:tcPr>
            <w:tcW w:w="1073" w:type="dxa"/>
            <w:tcBorders>
              <w:top w:val="single" w:sz="4" w:space="0" w:color="auto"/>
              <w:left w:val="nil"/>
              <w:bottom w:val="single" w:sz="4" w:space="0" w:color="auto"/>
              <w:right w:val="nil"/>
            </w:tcBorders>
            <w:shd w:val="clear" w:color="auto" w:fill="auto"/>
          </w:tcPr>
          <w:p w14:paraId="1E3BD5A1" w14:textId="77777777" w:rsidR="00CF72D5" w:rsidRPr="002029AF" w:rsidRDefault="00CF72D5" w:rsidP="00897193">
            <w:pPr>
              <w:pStyle w:val="ARtabletext"/>
            </w:pPr>
            <w:r w:rsidRPr="002029AF">
              <w:t>Jun-19</w:t>
            </w:r>
          </w:p>
        </w:tc>
        <w:tc>
          <w:tcPr>
            <w:tcW w:w="1072" w:type="dxa"/>
            <w:tcBorders>
              <w:top w:val="single" w:sz="4" w:space="0" w:color="auto"/>
              <w:left w:val="nil"/>
              <w:bottom w:val="single" w:sz="4" w:space="0" w:color="auto"/>
              <w:right w:val="nil"/>
            </w:tcBorders>
            <w:shd w:val="clear" w:color="auto" w:fill="auto"/>
          </w:tcPr>
          <w:p w14:paraId="787F3E8D" w14:textId="77777777" w:rsidR="00CF72D5" w:rsidRPr="002029AF" w:rsidRDefault="00CF72D5" w:rsidP="00897193">
            <w:pPr>
              <w:pStyle w:val="ARtabletext"/>
            </w:pPr>
            <w:r w:rsidRPr="002029AF">
              <w:t>Jun-20</w:t>
            </w:r>
          </w:p>
        </w:tc>
        <w:tc>
          <w:tcPr>
            <w:tcW w:w="1072" w:type="dxa"/>
            <w:tcBorders>
              <w:top w:val="single" w:sz="4" w:space="0" w:color="auto"/>
              <w:left w:val="nil"/>
              <w:bottom w:val="single" w:sz="4" w:space="0" w:color="auto"/>
              <w:right w:val="nil"/>
            </w:tcBorders>
            <w:shd w:val="clear" w:color="auto" w:fill="auto"/>
          </w:tcPr>
          <w:p w14:paraId="448FA8D9" w14:textId="77777777" w:rsidR="00CF72D5" w:rsidRPr="002029AF" w:rsidRDefault="00CF72D5" w:rsidP="00897193">
            <w:pPr>
              <w:pStyle w:val="ARtabletext"/>
            </w:pPr>
            <w:r w:rsidRPr="002029AF">
              <w:t>Jun-20</w:t>
            </w:r>
          </w:p>
        </w:tc>
        <w:tc>
          <w:tcPr>
            <w:tcW w:w="1246" w:type="dxa"/>
            <w:tcBorders>
              <w:top w:val="single" w:sz="4" w:space="0" w:color="auto"/>
              <w:left w:val="nil"/>
              <w:bottom w:val="single" w:sz="4" w:space="0" w:color="auto"/>
              <w:right w:val="nil"/>
            </w:tcBorders>
            <w:shd w:val="clear" w:color="auto" w:fill="auto"/>
          </w:tcPr>
          <w:p w14:paraId="564D6FF6" w14:textId="77777777" w:rsidR="00CF72D5" w:rsidRPr="002029AF" w:rsidRDefault="00CF72D5" w:rsidP="00897193">
            <w:pPr>
              <w:pStyle w:val="ARtabletext"/>
            </w:pPr>
          </w:p>
        </w:tc>
        <w:tc>
          <w:tcPr>
            <w:tcW w:w="1072" w:type="dxa"/>
            <w:tcBorders>
              <w:top w:val="single" w:sz="4" w:space="0" w:color="auto"/>
              <w:left w:val="nil"/>
              <w:bottom w:val="single" w:sz="4" w:space="0" w:color="auto"/>
              <w:right w:val="nil"/>
            </w:tcBorders>
            <w:shd w:val="clear" w:color="auto" w:fill="auto"/>
          </w:tcPr>
          <w:p w14:paraId="73CD161E" w14:textId="77777777" w:rsidR="00CF72D5" w:rsidRPr="002029AF" w:rsidRDefault="00CF72D5" w:rsidP="00897193">
            <w:pPr>
              <w:pStyle w:val="ARtabletextright"/>
            </w:pPr>
            <w:r w:rsidRPr="002029AF">
              <w:t>200.000</w:t>
            </w:r>
          </w:p>
        </w:tc>
        <w:tc>
          <w:tcPr>
            <w:tcW w:w="1072" w:type="dxa"/>
            <w:tcBorders>
              <w:top w:val="single" w:sz="4" w:space="0" w:color="auto"/>
              <w:left w:val="nil"/>
              <w:bottom w:val="single" w:sz="4" w:space="0" w:color="auto"/>
              <w:right w:val="nil"/>
            </w:tcBorders>
            <w:shd w:val="clear" w:color="auto" w:fill="auto"/>
          </w:tcPr>
          <w:p w14:paraId="1DD6705E" w14:textId="77777777" w:rsidR="00CF72D5" w:rsidRPr="002029AF" w:rsidRDefault="00CF72D5" w:rsidP="00897193">
            <w:pPr>
              <w:pStyle w:val="ARtabletextright"/>
            </w:pPr>
            <w:r w:rsidRPr="002029AF">
              <w:t>200.000</w:t>
            </w:r>
          </w:p>
        </w:tc>
        <w:tc>
          <w:tcPr>
            <w:tcW w:w="1072" w:type="dxa"/>
            <w:tcBorders>
              <w:top w:val="single" w:sz="4" w:space="0" w:color="auto"/>
              <w:left w:val="nil"/>
              <w:bottom w:val="single" w:sz="4" w:space="0" w:color="auto"/>
              <w:right w:val="nil"/>
            </w:tcBorders>
            <w:shd w:val="clear" w:color="auto" w:fill="auto"/>
          </w:tcPr>
          <w:p w14:paraId="46A1762D" w14:textId="77777777" w:rsidR="00CF72D5" w:rsidRPr="002029AF" w:rsidRDefault="00CF72D5" w:rsidP="00897193">
            <w:pPr>
              <w:pStyle w:val="ARtabletextright"/>
            </w:pPr>
            <w:r w:rsidRPr="002029AF">
              <w:t>200.112</w:t>
            </w:r>
          </w:p>
        </w:tc>
        <w:tc>
          <w:tcPr>
            <w:tcW w:w="1861" w:type="dxa"/>
            <w:tcBorders>
              <w:top w:val="single" w:sz="4" w:space="0" w:color="auto"/>
              <w:left w:val="nil"/>
              <w:bottom w:val="single" w:sz="4" w:space="0" w:color="auto"/>
              <w:right w:val="nil"/>
            </w:tcBorders>
            <w:shd w:val="clear" w:color="auto" w:fill="auto"/>
          </w:tcPr>
          <w:p w14:paraId="3B3F86BF" w14:textId="77777777" w:rsidR="00CF72D5" w:rsidRPr="002029AF" w:rsidRDefault="00CF72D5" w:rsidP="00897193">
            <w:pPr>
              <w:pStyle w:val="ARtabletextright"/>
            </w:pPr>
            <w:r w:rsidRPr="002029AF">
              <w:t>0.112</w:t>
            </w:r>
          </w:p>
        </w:tc>
        <w:tc>
          <w:tcPr>
            <w:tcW w:w="2493" w:type="dxa"/>
            <w:tcBorders>
              <w:top w:val="single" w:sz="4" w:space="0" w:color="auto"/>
              <w:left w:val="nil"/>
              <w:bottom w:val="single" w:sz="4" w:space="0" w:color="auto"/>
              <w:right w:val="nil"/>
            </w:tcBorders>
            <w:shd w:val="clear" w:color="auto" w:fill="auto"/>
          </w:tcPr>
          <w:p w14:paraId="05833267" w14:textId="77777777" w:rsidR="00CF72D5" w:rsidRPr="002029AF" w:rsidRDefault="00CF72D5" w:rsidP="00897193">
            <w:pPr>
              <w:pStyle w:val="ARtabletext"/>
            </w:pPr>
          </w:p>
        </w:tc>
      </w:tr>
    </w:tbl>
    <w:p w14:paraId="1E8B0870" w14:textId="77777777" w:rsidR="00CF72D5" w:rsidRPr="002029AF" w:rsidRDefault="00CF72D5" w:rsidP="00897193">
      <w:pPr>
        <w:pStyle w:val="ARbody"/>
      </w:pPr>
      <w:r w:rsidRPr="002029AF">
        <w:br w:type="page"/>
      </w:r>
    </w:p>
    <w:p w14:paraId="349A5BCE" w14:textId="44C1EE8C" w:rsidR="00EE58AF" w:rsidRPr="002029AF" w:rsidRDefault="00CF72D5" w:rsidP="00FC2F9E">
      <w:pPr>
        <w:pStyle w:val="Heading2"/>
        <w:spacing w:before="0"/>
      </w:pPr>
      <w:bookmarkStart w:id="432" w:name="_Toc50996880"/>
      <w:bookmarkStart w:id="433" w:name="_Toc50998470"/>
      <w:bookmarkStart w:id="434" w:name="_Toc54690824"/>
      <w:r w:rsidRPr="002029AF">
        <w:lastRenderedPageBreak/>
        <w:t>Capital</w:t>
      </w:r>
      <w:r w:rsidR="000A5329" w:rsidRPr="002029AF">
        <w:t xml:space="preserve"> </w:t>
      </w:r>
      <w:r w:rsidRPr="002029AF">
        <w:t>projects</w:t>
      </w:r>
      <w:r w:rsidR="000A5329" w:rsidRPr="002029AF">
        <w:t xml:space="preserve"> </w:t>
      </w:r>
      <w:r w:rsidRPr="002029AF">
        <w:t>reaching</w:t>
      </w:r>
      <w:r w:rsidR="000A5329" w:rsidRPr="002029AF">
        <w:t xml:space="preserve"> </w:t>
      </w:r>
      <w:r w:rsidRPr="002029AF">
        <w:t>financial</w:t>
      </w:r>
      <w:r w:rsidR="000A5329" w:rsidRPr="002029AF">
        <w:t xml:space="preserve"> </w:t>
      </w:r>
      <w:r w:rsidRPr="002029AF">
        <w:t>completion</w:t>
      </w:r>
      <w:r w:rsidR="000A5329" w:rsidRPr="002029AF">
        <w:t xml:space="preserve"> </w:t>
      </w:r>
      <w:r w:rsidRPr="002029AF">
        <w:t>during</w:t>
      </w:r>
      <w:r w:rsidR="000A5329" w:rsidRPr="002029AF">
        <w:t xml:space="preserve"> </w:t>
      </w:r>
      <w:r w:rsidRPr="002029AF">
        <w:t>the</w:t>
      </w:r>
      <w:r w:rsidR="000A5329" w:rsidRPr="002029AF">
        <w:t xml:space="preserve"> </w:t>
      </w:r>
      <w:r w:rsidRPr="002029AF">
        <w:t>financial</w:t>
      </w:r>
      <w:r w:rsidR="000A5329" w:rsidRPr="002029AF">
        <w:t xml:space="preserve"> </w:t>
      </w:r>
      <w:r w:rsidRPr="002029AF">
        <w:t>year</w:t>
      </w:r>
      <w:r w:rsidR="000A5329" w:rsidRPr="002029AF">
        <w:t xml:space="preserve"> </w:t>
      </w:r>
      <w:r w:rsidRPr="002029AF">
        <w:t>ended</w:t>
      </w:r>
      <w:r w:rsidR="000A5329" w:rsidRPr="002029AF">
        <w:t xml:space="preserve"> </w:t>
      </w:r>
      <w:r w:rsidRPr="002029AF">
        <w:t>30</w:t>
      </w:r>
      <w:r w:rsidR="000A5329" w:rsidRPr="002029AF">
        <w:t xml:space="preserve"> </w:t>
      </w:r>
      <w:r w:rsidRPr="002029AF">
        <w:t>June</w:t>
      </w:r>
      <w:r w:rsidR="000A5329" w:rsidRPr="002029AF">
        <w:t xml:space="preserve"> </w:t>
      </w:r>
      <w:r w:rsidRPr="002029AF">
        <w:t>2020</w:t>
      </w:r>
      <w:bookmarkEnd w:id="432"/>
      <w:bookmarkEnd w:id="433"/>
      <w:bookmarkEnd w:id="434"/>
    </w:p>
    <w:tbl>
      <w:tblPr>
        <w:tblStyle w:val="TableGrid"/>
        <w:tblW w:w="14010" w:type="dxa"/>
        <w:tblLayout w:type="fixed"/>
        <w:tblLook w:val="06A0" w:firstRow="1" w:lastRow="0" w:firstColumn="1" w:lastColumn="0" w:noHBand="1" w:noVBand="1"/>
      </w:tblPr>
      <w:tblGrid>
        <w:gridCol w:w="2527"/>
        <w:gridCol w:w="1321"/>
        <w:gridCol w:w="1148"/>
        <w:gridCol w:w="1320"/>
        <w:gridCol w:w="1197"/>
        <w:gridCol w:w="992"/>
        <w:gridCol w:w="1418"/>
        <w:gridCol w:w="4087"/>
      </w:tblGrid>
      <w:tr w:rsidR="00CF72D5" w:rsidRPr="002029AF" w14:paraId="27E02EE2"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2527" w:type="dxa"/>
            <w:hideMark/>
          </w:tcPr>
          <w:p w14:paraId="6CE67511" w14:textId="36E386B3" w:rsidR="00CF72D5" w:rsidRPr="002029AF" w:rsidRDefault="00CF72D5" w:rsidP="00897193">
            <w:pPr>
              <w:pStyle w:val="ARtablecolhead"/>
              <w:spacing w:before="70" w:after="50"/>
              <w:ind w:left="3" w:hanging="3"/>
            </w:pPr>
            <w:r w:rsidRPr="002029AF">
              <w:t>Project</w:t>
            </w:r>
            <w:r w:rsidR="000A5329" w:rsidRPr="002029AF">
              <w:t xml:space="preserve"> </w:t>
            </w:r>
            <w:r w:rsidRPr="002029AF">
              <w:t>name</w:t>
            </w:r>
          </w:p>
        </w:tc>
        <w:tc>
          <w:tcPr>
            <w:tcW w:w="1321" w:type="dxa"/>
            <w:hideMark/>
          </w:tcPr>
          <w:p w14:paraId="6025F759" w14:textId="46DB90B8" w:rsidR="00CF72D5" w:rsidRPr="002029AF" w:rsidRDefault="00CF72D5">
            <w:pPr>
              <w:pStyle w:val="ARtablecolhead"/>
              <w:spacing w:before="70" w:after="50"/>
            </w:pPr>
            <w:r w:rsidRPr="002029AF">
              <w:t>Practical</w:t>
            </w:r>
            <w:r w:rsidR="000A5329" w:rsidRPr="002029AF">
              <w:t xml:space="preserve"> </w:t>
            </w:r>
            <w:r w:rsidRPr="002029AF">
              <w:t>completion</w:t>
            </w:r>
            <w:r w:rsidR="000A5329" w:rsidRPr="002029AF">
              <w:t xml:space="preserve"> </w:t>
            </w:r>
            <w:r w:rsidRPr="002029AF">
              <w:t>date</w:t>
            </w:r>
          </w:p>
        </w:tc>
        <w:tc>
          <w:tcPr>
            <w:tcW w:w="1148" w:type="dxa"/>
            <w:hideMark/>
          </w:tcPr>
          <w:p w14:paraId="2B8EFA02" w14:textId="27F1763A" w:rsidR="00CF72D5" w:rsidRPr="002029AF" w:rsidRDefault="00CF72D5">
            <w:pPr>
              <w:pStyle w:val="ARtablecolhead"/>
              <w:spacing w:before="70" w:after="50"/>
            </w:pPr>
            <w:r w:rsidRPr="002029AF">
              <w:t>Financial</w:t>
            </w:r>
            <w:r w:rsidR="000A5329" w:rsidRPr="002029AF">
              <w:t xml:space="preserve"> </w:t>
            </w:r>
            <w:r w:rsidRPr="002029AF">
              <w:t>completion</w:t>
            </w:r>
            <w:r w:rsidR="000A5329" w:rsidRPr="002029AF">
              <w:t xml:space="preserve"> </w:t>
            </w:r>
            <w:r w:rsidRPr="002029AF">
              <w:t>date</w:t>
            </w:r>
          </w:p>
        </w:tc>
        <w:tc>
          <w:tcPr>
            <w:tcW w:w="1320" w:type="dxa"/>
            <w:hideMark/>
          </w:tcPr>
          <w:p w14:paraId="2719EF0D" w14:textId="30D78BD5" w:rsidR="00CF72D5" w:rsidRPr="002029AF" w:rsidRDefault="00CF72D5">
            <w:pPr>
              <w:pStyle w:val="ARtablecolheadright"/>
              <w:spacing w:before="70" w:after="50"/>
            </w:pPr>
            <w:r w:rsidRPr="002029AF">
              <w:t>Original</w:t>
            </w:r>
            <w:r w:rsidR="000A5329" w:rsidRPr="002029AF">
              <w:t xml:space="preserve"> </w:t>
            </w:r>
            <w:r w:rsidRPr="002029AF">
              <w:t>approved</w:t>
            </w:r>
            <w:r w:rsidR="000A5329" w:rsidRPr="002029AF">
              <w:t xml:space="preserve"> </w:t>
            </w:r>
            <w:r w:rsidRPr="002029AF">
              <w:br/>
              <w:t>TEI</w:t>
            </w:r>
            <w:r w:rsidR="000A5329" w:rsidRPr="002029AF">
              <w:t xml:space="preserve"> </w:t>
            </w:r>
            <w:r w:rsidRPr="002029AF">
              <w:t>budget</w:t>
            </w:r>
          </w:p>
          <w:p w14:paraId="28F494C6" w14:textId="77777777" w:rsidR="00CF72D5" w:rsidRPr="002029AF" w:rsidRDefault="00CF72D5">
            <w:pPr>
              <w:pStyle w:val="ARtablecolheadright"/>
              <w:spacing w:before="70" w:after="50"/>
            </w:pPr>
            <w:r w:rsidRPr="002029AF">
              <w:t>($M)</w:t>
            </w:r>
          </w:p>
        </w:tc>
        <w:tc>
          <w:tcPr>
            <w:tcW w:w="1197" w:type="dxa"/>
            <w:hideMark/>
          </w:tcPr>
          <w:p w14:paraId="49FC3B9B" w14:textId="6B19C999" w:rsidR="00CF72D5" w:rsidRPr="002029AF" w:rsidRDefault="00CF72D5">
            <w:pPr>
              <w:pStyle w:val="ARtablecolheadright"/>
              <w:spacing w:before="70" w:after="50"/>
            </w:pPr>
            <w:r w:rsidRPr="002029AF">
              <w:t>Latest</w:t>
            </w:r>
            <w:r w:rsidR="000A5329" w:rsidRPr="002029AF">
              <w:t xml:space="preserve"> </w:t>
            </w:r>
            <w:r w:rsidRPr="002029AF">
              <w:t>approved</w:t>
            </w:r>
            <w:r w:rsidR="000A5329" w:rsidRPr="002029AF">
              <w:t xml:space="preserve"> </w:t>
            </w:r>
            <w:r w:rsidRPr="002029AF">
              <w:t>TEI</w:t>
            </w:r>
            <w:r w:rsidR="000A5329" w:rsidRPr="002029AF">
              <w:t xml:space="preserve"> </w:t>
            </w:r>
            <w:r w:rsidRPr="002029AF">
              <w:t>budget</w:t>
            </w:r>
          </w:p>
          <w:p w14:paraId="6C8794AE" w14:textId="77777777" w:rsidR="00CF72D5" w:rsidRPr="002029AF" w:rsidRDefault="00CF72D5">
            <w:pPr>
              <w:pStyle w:val="ARtablecolheadright"/>
              <w:spacing w:before="70" w:after="50"/>
            </w:pPr>
            <w:r w:rsidRPr="002029AF">
              <w:t>($M)</w:t>
            </w:r>
          </w:p>
        </w:tc>
        <w:tc>
          <w:tcPr>
            <w:tcW w:w="992" w:type="dxa"/>
            <w:hideMark/>
          </w:tcPr>
          <w:p w14:paraId="285FBC37" w14:textId="077174D0" w:rsidR="00CF72D5" w:rsidRPr="002029AF" w:rsidRDefault="00CF72D5">
            <w:pPr>
              <w:pStyle w:val="ARtablecolheadright"/>
              <w:spacing w:before="70" w:after="50"/>
            </w:pPr>
            <w:r w:rsidRPr="002029AF">
              <w:t>Actual</w:t>
            </w:r>
            <w:r w:rsidR="000A5329" w:rsidRPr="002029AF">
              <w:t xml:space="preserve"> </w:t>
            </w:r>
            <w:r w:rsidRPr="002029AF">
              <w:t>TEI</w:t>
            </w:r>
            <w:r w:rsidR="000A5329" w:rsidRPr="002029AF">
              <w:t xml:space="preserve"> </w:t>
            </w:r>
            <w:r w:rsidRPr="002029AF">
              <w:t>cost</w:t>
            </w:r>
          </w:p>
          <w:p w14:paraId="7BC45E1F" w14:textId="77777777" w:rsidR="00CF72D5" w:rsidRPr="002029AF" w:rsidRDefault="00CF72D5">
            <w:pPr>
              <w:pStyle w:val="ARtablecolheadright"/>
              <w:spacing w:before="70" w:after="50"/>
            </w:pPr>
            <w:r w:rsidRPr="002029AF">
              <w:t>($M)</w:t>
            </w:r>
          </w:p>
        </w:tc>
        <w:tc>
          <w:tcPr>
            <w:tcW w:w="1418" w:type="dxa"/>
            <w:hideMark/>
          </w:tcPr>
          <w:p w14:paraId="375BCACA" w14:textId="1D2E88C9" w:rsidR="00CF72D5" w:rsidRPr="002029AF" w:rsidRDefault="00CF72D5">
            <w:pPr>
              <w:pStyle w:val="ARtablecolheadright"/>
              <w:spacing w:before="70" w:after="50"/>
              <w:ind w:right="227"/>
            </w:pPr>
            <w:r w:rsidRPr="002029AF">
              <w:t>Variation</w:t>
            </w:r>
            <w:r w:rsidR="000A5329" w:rsidRPr="002029AF">
              <w:t xml:space="preserve"> </w:t>
            </w:r>
            <w:r w:rsidRPr="002029AF">
              <w:t>between</w:t>
            </w:r>
            <w:r w:rsidR="000A5329" w:rsidRPr="002029AF">
              <w:t xml:space="preserve"> </w:t>
            </w:r>
            <w:r w:rsidRPr="002029AF">
              <w:br/>
              <w:t>actual</w:t>
            </w:r>
            <w:r w:rsidR="000A5329" w:rsidRPr="002029AF">
              <w:t xml:space="preserve"> </w:t>
            </w:r>
            <w:r w:rsidRPr="002029AF">
              <w:t>cost</w:t>
            </w:r>
            <w:r w:rsidR="000A5329" w:rsidRPr="002029AF">
              <w:t xml:space="preserve"> </w:t>
            </w:r>
            <w:r w:rsidRPr="002029AF">
              <w:t>and</w:t>
            </w:r>
            <w:r w:rsidR="000A5329" w:rsidRPr="002029AF">
              <w:t xml:space="preserve"> </w:t>
            </w:r>
            <w:r w:rsidRPr="002029AF">
              <w:t>latest</w:t>
            </w:r>
            <w:r w:rsidR="000A5329" w:rsidRPr="002029AF">
              <w:t xml:space="preserve"> </w:t>
            </w:r>
            <w:r w:rsidRPr="002029AF">
              <w:t>approved</w:t>
            </w:r>
            <w:r w:rsidR="000A5329" w:rsidRPr="002029AF">
              <w:t xml:space="preserve"> </w:t>
            </w:r>
            <w:r w:rsidRPr="002029AF">
              <w:t>TEI</w:t>
            </w:r>
            <w:r w:rsidR="000A5329" w:rsidRPr="002029AF">
              <w:t xml:space="preserve"> </w:t>
            </w:r>
            <w:r w:rsidRPr="002029AF">
              <w:t>budget</w:t>
            </w:r>
          </w:p>
          <w:p w14:paraId="577F8737" w14:textId="77777777" w:rsidR="00CF72D5" w:rsidRPr="002029AF" w:rsidRDefault="00CF72D5">
            <w:pPr>
              <w:pStyle w:val="ARtablecolheadright"/>
              <w:spacing w:before="70" w:after="50"/>
              <w:ind w:right="227"/>
            </w:pPr>
            <w:r w:rsidRPr="002029AF">
              <w:t>($M)</w:t>
            </w:r>
          </w:p>
        </w:tc>
        <w:tc>
          <w:tcPr>
            <w:tcW w:w="4087" w:type="dxa"/>
            <w:hideMark/>
          </w:tcPr>
          <w:p w14:paraId="52732F08" w14:textId="54B34C46" w:rsidR="00CF72D5" w:rsidRPr="002029AF" w:rsidRDefault="00CF72D5">
            <w:pPr>
              <w:pStyle w:val="ARtablecolhead"/>
              <w:spacing w:before="70" w:after="50"/>
            </w:pPr>
            <w:r w:rsidRPr="002029AF">
              <w:t>Reason</w:t>
            </w:r>
            <w:r w:rsidR="000A5329" w:rsidRPr="002029AF">
              <w:t xml:space="preserve"> </w:t>
            </w:r>
            <w:r w:rsidRPr="002029AF">
              <w:t>for</w:t>
            </w:r>
            <w:r w:rsidR="000A5329" w:rsidRPr="002029AF">
              <w:t xml:space="preserve"> </w:t>
            </w:r>
            <w:r w:rsidRPr="002029AF">
              <w:t>variance</w:t>
            </w:r>
            <w:r w:rsidR="000A5329" w:rsidRPr="002029AF">
              <w:t xml:space="preserve"> </w:t>
            </w:r>
            <w:r w:rsidRPr="002029AF">
              <w:t>from</w:t>
            </w:r>
            <w:r w:rsidR="000A5329" w:rsidRPr="002029AF">
              <w:t xml:space="preserve"> </w:t>
            </w:r>
            <w:r w:rsidRPr="002029AF">
              <w:t>latest</w:t>
            </w:r>
            <w:r w:rsidR="000A5329" w:rsidRPr="002029AF">
              <w:t xml:space="preserve"> </w:t>
            </w:r>
            <w:r w:rsidRPr="002029AF">
              <w:t>approved</w:t>
            </w:r>
            <w:r w:rsidR="000A5329" w:rsidRPr="002029AF">
              <w:t xml:space="preserve"> </w:t>
            </w:r>
            <w:r w:rsidRPr="002029AF">
              <w:t>TEI</w:t>
            </w:r>
            <w:r w:rsidR="000A5329" w:rsidRPr="002029AF">
              <w:t xml:space="preserve"> </w:t>
            </w:r>
            <w:r w:rsidRPr="002029AF">
              <w:t>budget</w:t>
            </w:r>
          </w:p>
        </w:tc>
      </w:tr>
      <w:tr w:rsidR="00CF72D5" w:rsidRPr="002029AF" w14:paraId="3EEF4C36" w14:textId="77777777" w:rsidTr="00637705">
        <w:tc>
          <w:tcPr>
            <w:tcW w:w="2527" w:type="dxa"/>
          </w:tcPr>
          <w:p w14:paraId="5E7359EF" w14:textId="63517A4D" w:rsidR="00CF72D5" w:rsidRPr="002029AF" w:rsidRDefault="00CF72D5" w:rsidP="00897193">
            <w:pPr>
              <w:pStyle w:val="ARtabletext"/>
              <w:spacing w:before="60" w:after="40"/>
            </w:pPr>
            <w:r w:rsidRPr="002029AF">
              <w:t>Geelong</w:t>
            </w:r>
            <w:r w:rsidR="000A5329" w:rsidRPr="002029AF">
              <w:t xml:space="preserve"> </w:t>
            </w:r>
            <w:r w:rsidRPr="002029AF">
              <w:t>Hospital</w:t>
            </w:r>
            <w:r w:rsidR="000A5329" w:rsidRPr="002029AF">
              <w:t xml:space="preserve"> </w:t>
            </w:r>
            <w:r w:rsidRPr="002029AF">
              <w:t>–</w:t>
            </w:r>
            <w:r w:rsidR="000A5329" w:rsidRPr="002029AF">
              <w:t xml:space="preserve"> </w:t>
            </w:r>
            <w:r w:rsidRPr="002029AF">
              <w:t>major</w:t>
            </w:r>
            <w:r w:rsidR="000A5329" w:rsidRPr="002029AF">
              <w:t xml:space="preserve"> </w:t>
            </w:r>
            <w:r w:rsidRPr="002029AF">
              <w:t>upgrade</w:t>
            </w:r>
            <w:r w:rsidR="000A5329" w:rsidRPr="002029AF">
              <w:t xml:space="preserve"> </w:t>
            </w:r>
            <w:r w:rsidRPr="002029AF">
              <w:t>(Geelong)</w:t>
            </w:r>
          </w:p>
        </w:tc>
        <w:tc>
          <w:tcPr>
            <w:tcW w:w="1321" w:type="dxa"/>
          </w:tcPr>
          <w:p w14:paraId="0A4E0AC2" w14:textId="77777777" w:rsidR="00CF72D5" w:rsidRPr="002029AF" w:rsidRDefault="00CF72D5" w:rsidP="00897193">
            <w:pPr>
              <w:pStyle w:val="ARtabletext"/>
              <w:spacing w:before="60" w:after="40"/>
            </w:pPr>
            <w:r w:rsidRPr="002029AF">
              <w:t>Aug-18</w:t>
            </w:r>
          </w:p>
        </w:tc>
        <w:tc>
          <w:tcPr>
            <w:tcW w:w="1148" w:type="dxa"/>
          </w:tcPr>
          <w:p w14:paraId="6EFF5B49" w14:textId="77777777" w:rsidR="00CF72D5" w:rsidRPr="002029AF" w:rsidRDefault="00CF72D5" w:rsidP="00897193">
            <w:pPr>
              <w:pStyle w:val="ARtabletext"/>
              <w:spacing w:before="60" w:after="40"/>
            </w:pPr>
            <w:r w:rsidRPr="002029AF">
              <w:t>Aug-19</w:t>
            </w:r>
          </w:p>
        </w:tc>
        <w:tc>
          <w:tcPr>
            <w:tcW w:w="1320" w:type="dxa"/>
          </w:tcPr>
          <w:p w14:paraId="555E032B" w14:textId="77777777" w:rsidR="00CF72D5" w:rsidRPr="002029AF" w:rsidRDefault="00CF72D5" w:rsidP="00897193">
            <w:pPr>
              <w:pStyle w:val="ARtabletextright"/>
              <w:spacing w:before="60" w:after="40"/>
            </w:pPr>
            <w:r w:rsidRPr="002029AF">
              <w:t>93.270</w:t>
            </w:r>
          </w:p>
        </w:tc>
        <w:tc>
          <w:tcPr>
            <w:tcW w:w="1197" w:type="dxa"/>
          </w:tcPr>
          <w:p w14:paraId="12AC6802" w14:textId="77777777" w:rsidR="00CF72D5" w:rsidRPr="002029AF" w:rsidRDefault="00CF72D5" w:rsidP="00897193">
            <w:pPr>
              <w:pStyle w:val="ARtabletextright"/>
              <w:spacing w:before="60" w:after="40"/>
            </w:pPr>
            <w:r w:rsidRPr="002029AF">
              <w:t>118.170</w:t>
            </w:r>
          </w:p>
        </w:tc>
        <w:tc>
          <w:tcPr>
            <w:tcW w:w="992" w:type="dxa"/>
          </w:tcPr>
          <w:p w14:paraId="7B1ED0F7" w14:textId="77777777" w:rsidR="00CF72D5" w:rsidRPr="002029AF" w:rsidRDefault="00CF72D5" w:rsidP="00897193">
            <w:pPr>
              <w:pStyle w:val="ARtabletextright"/>
              <w:spacing w:before="60" w:after="40"/>
            </w:pPr>
            <w:r w:rsidRPr="002029AF">
              <w:t>115.323</w:t>
            </w:r>
          </w:p>
        </w:tc>
        <w:tc>
          <w:tcPr>
            <w:tcW w:w="1418" w:type="dxa"/>
          </w:tcPr>
          <w:p w14:paraId="6843956E" w14:textId="77777777" w:rsidR="00CF72D5" w:rsidRPr="002029AF" w:rsidRDefault="00CF72D5" w:rsidP="00897193">
            <w:pPr>
              <w:pStyle w:val="ARtabletextright"/>
            </w:pPr>
            <w:r w:rsidRPr="002029AF">
              <w:t>(2.847)</w:t>
            </w:r>
          </w:p>
        </w:tc>
        <w:tc>
          <w:tcPr>
            <w:tcW w:w="4087" w:type="dxa"/>
          </w:tcPr>
          <w:p w14:paraId="03C886FD" w14:textId="6037186E" w:rsidR="00CF72D5" w:rsidRPr="002029AF" w:rsidRDefault="00CF72D5" w:rsidP="00897193">
            <w:pPr>
              <w:pStyle w:val="ARtabletext"/>
              <w:spacing w:before="60" w:after="40"/>
            </w:pPr>
            <w:r w:rsidRPr="002029AF">
              <w:t>TEI</w:t>
            </w:r>
            <w:r w:rsidR="000A5329" w:rsidRPr="002029AF">
              <w:t xml:space="preserve"> </w:t>
            </w:r>
            <w:r w:rsidRPr="002029AF">
              <w:t>has</w:t>
            </w:r>
            <w:r w:rsidR="000A5329" w:rsidRPr="002029AF">
              <w:t xml:space="preserve"> </w:t>
            </w:r>
            <w:r w:rsidRPr="002029AF">
              <w:t>increased</w:t>
            </w:r>
            <w:r w:rsidR="000A5329" w:rsidRPr="002029AF">
              <w:t xml:space="preserve"> </w:t>
            </w:r>
            <w:r w:rsidRPr="002029AF">
              <w:t>to</w:t>
            </w:r>
            <w:r w:rsidR="000A5329" w:rsidRPr="002029AF">
              <w:t xml:space="preserve"> </w:t>
            </w:r>
            <w:r w:rsidRPr="002029AF">
              <w:t>reflect</w:t>
            </w:r>
            <w:r w:rsidR="000A5329" w:rsidRPr="002029AF">
              <w:t xml:space="preserve"> </w:t>
            </w:r>
            <w:r w:rsidRPr="002029AF">
              <w:t>additional</w:t>
            </w:r>
            <w:r w:rsidR="000A5329" w:rsidRPr="002029AF">
              <w:t xml:space="preserve"> </w:t>
            </w:r>
            <w:r w:rsidRPr="002029AF">
              <w:t>improvements</w:t>
            </w:r>
            <w:r w:rsidR="000A5329" w:rsidRPr="002029AF">
              <w:t xml:space="preserve"> </w:t>
            </w:r>
            <w:r w:rsidRPr="002029AF">
              <w:t>at</w:t>
            </w:r>
            <w:r w:rsidR="000A5329" w:rsidRPr="002029AF">
              <w:t xml:space="preserve"> </w:t>
            </w:r>
            <w:r w:rsidRPr="002029AF">
              <w:t>Geelong</w:t>
            </w:r>
            <w:r w:rsidR="000A5329" w:rsidRPr="002029AF">
              <w:t xml:space="preserve"> </w:t>
            </w:r>
            <w:r w:rsidRPr="002029AF">
              <w:t>Hospital</w:t>
            </w:r>
            <w:r w:rsidR="000A5329" w:rsidRPr="002029AF">
              <w:t xml:space="preserve"> </w:t>
            </w:r>
            <w:r w:rsidRPr="002029AF">
              <w:t>including</w:t>
            </w:r>
            <w:r w:rsidR="000A5329" w:rsidRPr="002029AF">
              <w:t xml:space="preserve"> </w:t>
            </w:r>
            <w:r w:rsidRPr="002029AF">
              <w:t>relocation</w:t>
            </w:r>
            <w:r w:rsidR="000A5329" w:rsidRPr="002029AF">
              <w:t xml:space="preserve"> </w:t>
            </w:r>
            <w:r w:rsidRPr="002029AF">
              <w:t>of</w:t>
            </w:r>
            <w:r w:rsidR="000A5329" w:rsidRPr="002029AF">
              <w:t xml:space="preserve"> </w:t>
            </w:r>
            <w:r w:rsidRPr="002029AF">
              <w:t>the</w:t>
            </w:r>
            <w:r w:rsidR="000A5329" w:rsidRPr="002029AF">
              <w:t xml:space="preserve"> </w:t>
            </w:r>
            <w:r w:rsidRPr="002029AF">
              <w:t>current</w:t>
            </w:r>
            <w:r w:rsidR="000A5329" w:rsidRPr="002029AF">
              <w:t xml:space="preserve"> </w:t>
            </w:r>
            <w:r w:rsidRPr="002029AF">
              <w:t>helipad</w:t>
            </w:r>
            <w:r w:rsidR="000A5329" w:rsidRPr="002029AF">
              <w:t xml:space="preserve"> </w:t>
            </w:r>
            <w:r w:rsidRPr="002029AF">
              <w:t>to</w:t>
            </w:r>
            <w:r w:rsidR="000A5329" w:rsidRPr="002029AF">
              <w:t xml:space="preserve"> </w:t>
            </w:r>
            <w:r w:rsidRPr="002029AF">
              <w:t>the</w:t>
            </w:r>
            <w:r w:rsidR="000A5329" w:rsidRPr="002029AF">
              <w:t xml:space="preserve"> </w:t>
            </w:r>
            <w:r w:rsidRPr="002029AF">
              <w:t>rooftop</w:t>
            </w:r>
            <w:r w:rsidR="000A5329" w:rsidRPr="002029AF">
              <w:t xml:space="preserve"> </w:t>
            </w:r>
            <w:r w:rsidRPr="002029AF">
              <w:t>of</w:t>
            </w:r>
            <w:r w:rsidR="000A5329" w:rsidRPr="002029AF">
              <w:t xml:space="preserve"> </w:t>
            </w:r>
            <w:r w:rsidRPr="002029AF">
              <w:t>the</w:t>
            </w:r>
            <w:r w:rsidR="000A5329" w:rsidRPr="002029AF">
              <w:t xml:space="preserve"> </w:t>
            </w:r>
            <w:r w:rsidRPr="002029AF">
              <w:t>Acute</w:t>
            </w:r>
            <w:r w:rsidR="000A5329" w:rsidRPr="002029AF">
              <w:t xml:space="preserve"> </w:t>
            </w:r>
            <w:r w:rsidRPr="002029AF">
              <w:t>Services</w:t>
            </w:r>
            <w:r w:rsidR="000A5329" w:rsidRPr="002029AF">
              <w:t xml:space="preserve"> </w:t>
            </w:r>
            <w:r w:rsidRPr="002029AF">
              <w:t>tower</w:t>
            </w:r>
            <w:r w:rsidR="000A5329" w:rsidRPr="002029AF">
              <w:t xml:space="preserve"> </w:t>
            </w:r>
            <w:r w:rsidRPr="002029AF">
              <w:t>block.</w:t>
            </w:r>
          </w:p>
        </w:tc>
      </w:tr>
      <w:tr w:rsidR="00CF72D5" w:rsidRPr="002029AF" w14:paraId="6B39B442" w14:textId="77777777" w:rsidTr="00637705">
        <w:tc>
          <w:tcPr>
            <w:tcW w:w="2527" w:type="dxa"/>
          </w:tcPr>
          <w:p w14:paraId="7D4B8536" w14:textId="3A1F4CB2" w:rsidR="00CF72D5" w:rsidRPr="002029AF" w:rsidRDefault="00CF72D5" w:rsidP="00897193">
            <w:pPr>
              <w:pStyle w:val="ARtabletext"/>
              <w:spacing w:before="60" w:after="40"/>
            </w:pPr>
            <w:r w:rsidRPr="002029AF">
              <w:t>Orygen</w:t>
            </w:r>
            <w:r w:rsidR="000A5329" w:rsidRPr="002029AF">
              <w:t xml:space="preserve"> </w:t>
            </w:r>
            <w:r w:rsidRPr="002029AF">
              <w:t>Youth</w:t>
            </w:r>
            <w:r w:rsidR="000A5329" w:rsidRPr="002029AF">
              <w:t xml:space="preserve"> </w:t>
            </w:r>
            <w:r w:rsidRPr="002029AF">
              <w:t>Mental</w:t>
            </w:r>
            <w:r w:rsidR="000A5329" w:rsidRPr="002029AF">
              <w:t xml:space="preserve"> </w:t>
            </w:r>
            <w:r w:rsidRPr="002029AF">
              <w:t>Health</w:t>
            </w:r>
            <w:r w:rsidR="000A5329" w:rsidRPr="002029AF">
              <w:t xml:space="preserve"> </w:t>
            </w:r>
            <w:r w:rsidRPr="002029AF">
              <w:t>(Parkville)</w:t>
            </w:r>
          </w:p>
        </w:tc>
        <w:tc>
          <w:tcPr>
            <w:tcW w:w="1321" w:type="dxa"/>
          </w:tcPr>
          <w:p w14:paraId="55426167" w14:textId="77777777" w:rsidR="00CF72D5" w:rsidRPr="002029AF" w:rsidRDefault="00CF72D5" w:rsidP="00897193">
            <w:pPr>
              <w:pStyle w:val="ARtabletext"/>
              <w:spacing w:before="60" w:after="40"/>
            </w:pPr>
            <w:r w:rsidRPr="002029AF">
              <w:t>Dec-18</w:t>
            </w:r>
          </w:p>
        </w:tc>
        <w:tc>
          <w:tcPr>
            <w:tcW w:w="1148" w:type="dxa"/>
          </w:tcPr>
          <w:p w14:paraId="6E9F7EC3" w14:textId="77777777" w:rsidR="00CF72D5" w:rsidRPr="002029AF" w:rsidRDefault="00CF72D5" w:rsidP="00897193">
            <w:pPr>
              <w:pStyle w:val="ARtabletext"/>
              <w:spacing w:before="60" w:after="40"/>
            </w:pPr>
            <w:r w:rsidRPr="002029AF">
              <w:t>Dec-19</w:t>
            </w:r>
          </w:p>
        </w:tc>
        <w:tc>
          <w:tcPr>
            <w:tcW w:w="1320" w:type="dxa"/>
          </w:tcPr>
          <w:p w14:paraId="77CEF094" w14:textId="77777777" w:rsidR="00CF72D5" w:rsidRPr="002029AF" w:rsidRDefault="00CF72D5" w:rsidP="00897193">
            <w:pPr>
              <w:pStyle w:val="ARtabletextright"/>
              <w:spacing w:before="60" w:after="40"/>
            </w:pPr>
            <w:r w:rsidRPr="002029AF">
              <w:t>60.000</w:t>
            </w:r>
          </w:p>
        </w:tc>
        <w:tc>
          <w:tcPr>
            <w:tcW w:w="1197" w:type="dxa"/>
          </w:tcPr>
          <w:p w14:paraId="58F053C7" w14:textId="77777777" w:rsidR="00CF72D5" w:rsidRPr="002029AF" w:rsidRDefault="00CF72D5" w:rsidP="00897193">
            <w:pPr>
              <w:pStyle w:val="ARtabletextright"/>
              <w:spacing w:before="60" w:after="40"/>
            </w:pPr>
            <w:r w:rsidRPr="002029AF">
              <w:t>65.000</w:t>
            </w:r>
          </w:p>
        </w:tc>
        <w:tc>
          <w:tcPr>
            <w:tcW w:w="992" w:type="dxa"/>
          </w:tcPr>
          <w:p w14:paraId="16CAD66F" w14:textId="77777777" w:rsidR="00CF72D5" w:rsidRPr="002029AF" w:rsidRDefault="00CF72D5" w:rsidP="00897193">
            <w:pPr>
              <w:pStyle w:val="ARtabletextright"/>
              <w:spacing w:before="60" w:after="40"/>
            </w:pPr>
            <w:r w:rsidRPr="002029AF">
              <w:t>62.716</w:t>
            </w:r>
          </w:p>
        </w:tc>
        <w:tc>
          <w:tcPr>
            <w:tcW w:w="1418" w:type="dxa"/>
          </w:tcPr>
          <w:p w14:paraId="7E910B54" w14:textId="77777777" w:rsidR="00CF72D5" w:rsidRPr="002029AF" w:rsidRDefault="00CF72D5" w:rsidP="00897193">
            <w:pPr>
              <w:pStyle w:val="ARtabletextright"/>
            </w:pPr>
            <w:r w:rsidRPr="002029AF">
              <w:t>(2.284)</w:t>
            </w:r>
          </w:p>
        </w:tc>
        <w:tc>
          <w:tcPr>
            <w:tcW w:w="4087" w:type="dxa"/>
          </w:tcPr>
          <w:p w14:paraId="1D6C9FC3" w14:textId="53E5E4A3" w:rsidR="00CF72D5" w:rsidRPr="002029AF" w:rsidRDefault="00CF72D5" w:rsidP="00897193">
            <w:pPr>
              <w:pStyle w:val="ARtabletext"/>
              <w:spacing w:before="60" w:after="40"/>
            </w:pPr>
            <w:r w:rsidRPr="002029AF">
              <w:t>TEI</w:t>
            </w:r>
            <w:r w:rsidR="000A5329" w:rsidRPr="002029AF">
              <w:t xml:space="preserve"> </w:t>
            </w:r>
            <w:r w:rsidRPr="002029AF">
              <w:t>has</w:t>
            </w:r>
            <w:r w:rsidR="000A5329" w:rsidRPr="002029AF">
              <w:t xml:space="preserve"> </w:t>
            </w:r>
            <w:r w:rsidRPr="002029AF">
              <w:t>increased</w:t>
            </w:r>
            <w:r w:rsidR="000A5329" w:rsidRPr="002029AF">
              <w:t xml:space="preserve"> </w:t>
            </w:r>
            <w:r w:rsidRPr="002029AF">
              <w:t>to</w:t>
            </w:r>
            <w:r w:rsidR="000A5329" w:rsidRPr="002029AF">
              <w:t xml:space="preserve"> </w:t>
            </w:r>
            <w:r w:rsidRPr="002029AF">
              <w:t>include</w:t>
            </w:r>
            <w:r w:rsidR="000A5329" w:rsidRPr="002029AF">
              <w:t xml:space="preserve"> </w:t>
            </w:r>
            <w:r w:rsidRPr="002029AF">
              <w:t>funding</w:t>
            </w:r>
            <w:r w:rsidR="000A5329" w:rsidRPr="002029AF">
              <w:t xml:space="preserve"> </w:t>
            </w:r>
            <w:r w:rsidRPr="002029AF">
              <w:t>contribution</w:t>
            </w:r>
            <w:r w:rsidR="000A5329" w:rsidRPr="002029AF">
              <w:t xml:space="preserve"> </w:t>
            </w:r>
            <w:r w:rsidRPr="002029AF">
              <w:t>of</w:t>
            </w:r>
            <w:r w:rsidR="000A5329" w:rsidRPr="002029AF">
              <w:t xml:space="preserve"> </w:t>
            </w:r>
            <w:r w:rsidRPr="002029AF">
              <w:t>$5m</w:t>
            </w:r>
            <w:r w:rsidR="000A5329" w:rsidRPr="002029AF">
              <w:t xml:space="preserve"> </w:t>
            </w:r>
            <w:r w:rsidRPr="002029AF">
              <w:t>from</w:t>
            </w:r>
            <w:r w:rsidR="000A5329" w:rsidRPr="002029AF">
              <w:t xml:space="preserve"> </w:t>
            </w:r>
            <w:r w:rsidRPr="002029AF">
              <w:t>University</w:t>
            </w:r>
            <w:r w:rsidR="000A5329" w:rsidRPr="002029AF">
              <w:t xml:space="preserve"> </w:t>
            </w:r>
            <w:r w:rsidRPr="002029AF">
              <w:t>of</w:t>
            </w:r>
            <w:r w:rsidR="000A5329" w:rsidRPr="002029AF">
              <w:t xml:space="preserve"> </w:t>
            </w:r>
            <w:r w:rsidRPr="002029AF">
              <w:t>Melbourne.</w:t>
            </w:r>
          </w:p>
        </w:tc>
      </w:tr>
      <w:tr w:rsidR="00CF72D5" w:rsidRPr="002029AF" w14:paraId="293768A5" w14:textId="77777777" w:rsidTr="00637705">
        <w:tc>
          <w:tcPr>
            <w:tcW w:w="2527" w:type="dxa"/>
          </w:tcPr>
          <w:p w14:paraId="1FC53F90" w14:textId="233A1206" w:rsidR="00CF72D5" w:rsidRPr="002029AF" w:rsidRDefault="00CF72D5" w:rsidP="00897193">
            <w:pPr>
              <w:pStyle w:val="ARtabletext"/>
              <w:spacing w:before="60" w:after="40"/>
            </w:pPr>
            <w:r w:rsidRPr="002029AF">
              <w:t>Thomas</w:t>
            </w:r>
            <w:r w:rsidR="000A5329" w:rsidRPr="002029AF">
              <w:t xml:space="preserve"> </w:t>
            </w:r>
            <w:r w:rsidRPr="002029AF">
              <w:t>Embling</w:t>
            </w:r>
            <w:r w:rsidR="000A5329" w:rsidRPr="002029AF">
              <w:t xml:space="preserve"> </w:t>
            </w:r>
            <w:r w:rsidRPr="002029AF">
              <w:t>Hospital</w:t>
            </w:r>
            <w:r w:rsidR="000A5329" w:rsidRPr="002029AF">
              <w:t xml:space="preserve"> </w:t>
            </w:r>
            <w:r w:rsidRPr="002029AF">
              <w:t>expansion</w:t>
            </w:r>
            <w:r w:rsidR="000A5329" w:rsidRPr="002029AF">
              <w:t xml:space="preserve"> </w:t>
            </w:r>
            <w:r w:rsidRPr="002029AF">
              <w:t>(Fairfield)</w:t>
            </w:r>
          </w:p>
        </w:tc>
        <w:tc>
          <w:tcPr>
            <w:tcW w:w="1321" w:type="dxa"/>
          </w:tcPr>
          <w:p w14:paraId="6D244D41" w14:textId="77777777" w:rsidR="00CF72D5" w:rsidRPr="002029AF" w:rsidRDefault="00CF72D5" w:rsidP="00897193">
            <w:pPr>
              <w:pStyle w:val="ARtabletext"/>
              <w:spacing w:before="60" w:after="40"/>
            </w:pPr>
            <w:r w:rsidRPr="002029AF">
              <w:t>Jun-19</w:t>
            </w:r>
          </w:p>
        </w:tc>
        <w:tc>
          <w:tcPr>
            <w:tcW w:w="1148" w:type="dxa"/>
          </w:tcPr>
          <w:p w14:paraId="24B49D91" w14:textId="77777777" w:rsidR="00CF72D5" w:rsidRPr="002029AF" w:rsidRDefault="00CF72D5" w:rsidP="00897193">
            <w:pPr>
              <w:pStyle w:val="ARtabletext"/>
              <w:spacing w:before="60" w:after="40"/>
            </w:pPr>
            <w:r w:rsidRPr="002029AF">
              <w:t>Jun-20</w:t>
            </w:r>
          </w:p>
        </w:tc>
        <w:tc>
          <w:tcPr>
            <w:tcW w:w="1320" w:type="dxa"/>
          </w:tcPr>
          <w:p w14:paraId="400D8D55" w14:textId="77777777" w:rsidR="00CF72D5" w:rsidRPr="002029AF" w:rsidRDefault="00CF72D5" w:rsidP="00897193">
            <w:pPr>
              <w:pStyle w:val="ARtabletextright"/>
              <w:spacing w:before="60" w:after="40"/>
            </w:pPr>
            <w:r w:rsidRPr="002029AF">
              <w:t>19.343</w:t>
            </w:r>
          </w:p>
        </w:tc>
        <w:tc>
          <w:tcPr>
            <w:tcW w:w="1197" w:type="dxa"/>
          </w:tcPr>
          <w:p w14:paraId="62F3BE8F" w14:textId="77777777" w:rsidR="00CF72D5" w:rsidRPr="002029AF" w:rsidRDefault="00CF72D5" w:rsidP="00897193">
            <w:pPr>
              <w:pStyle w:val="ARtabletextright"/>
              <w:spacing w:before="60" w:after="40"/>
            </w:pPr>
            <w:r w:rsidRPr="002029AF">
              <w:t>23.343</w:t>
            </w:r>
          </w:p>
        </w:tc>
        <w:tc>
          <w:tcPr>
            <w:tcW w:w="992" w:type="dxa"/>
          </w:tcPr>
          <w:p w14:paraId="3BE25522" w14:textId="77777777" w:rsidR="00CF72D5" w:rsidRPr="002029AF" w:rsidRDefault="00CF72D5" w:rsidP="00897193">
            <w:pPr>
              <w:pStyle w:val="ARtabletextright"/>
              <w:spacing w:before="60" w:after="40"/>
            </w:pPr>
            <w:r w:rsidRPr="002029AF">
              <w:t>21.074</w:t>
            </w:r>
          </w:p>
        </w:tc>
        <w:tc>
          <w:tcPr>
            <w:tcW w:w="1418" w:type="dxa"/>
          </w:tcPr>
          <w:p w14:paraId="74E8C361" w14:textId="77777777" w:rsidR="00CF72D5" w:rsidRPr="002029AF" w:rsidRDefault="00CF72D5" w:rsidP="00897193">
            <w:pPr>
              <w:pStyle w:val="ARtabletextright"/>
            </w:pPr>
            <w:r w:rsidRPr="002029AF">
              <w:t>(2.269)</w:t>
            </w:r>
          </w:p>
        </w:tc>
        <w:tc>
          <w:tcPr>
            <w:tcW w:w="4087" w:type="dxa"/>
          </w:tcPr>
          <w:p w14:paraId="209C4BC3" w14:textId="1B4DDE4F" w:rsidR="00CF72D5" w:rsidRPr="002029AF" w:rsidRDefault="00CF72D5" w:rsidP="00897193">
            <w:pPr>
              <w:pStyle w:val="ARtabletext"/>
              <w:spacing w:before="60" w:after="40"/>
            </w:pPr>
            <w:r w:rsidRPr="002029AF">
              <w:t>The</w:t>
            </w:r>
            <w:r w:rsidR="000A5329" w:rsidRPr="002029AF">
              <w:t xml:space="preserve"> </w:t>
            </w:r>
            <w:r w:rsidRPr="002029AF">
              <w:t>current</w:t>
            </w:r>
            <w:r w:rsidR="000A5329" w:rsidRPr="002029AF">
              <w:t xml:space="preserve"> </w:t>
            </w:r>
            <w:r w:rsidRPr="002029AF">
              <w:t>approved</w:t>
            </w:r>
            <w:r w:rsidR="000A5329" w:rsidRPr="002029AF">
              <w:t xml:space="preserve"> </w:t>
            </w:r>
            <w:r w:rsidRPr="002029AF">
              <w:t>TEI</w:t>
            </w:r>
            <w:r w:rsidR="000A5329" w:rsidRPr="002029AF">
              <w:t xml:space="preserve"> </w:t>
            </w:r>
            <w:r w:rsidRPr="002029AF">
              <w:t>of</w:t>
            </w:r>
            <w:r w:rsidR="000A5329" w:rsidRPr="002029AF">
              <w:t xml:space="preserve"> </w:t>
            </w:r>
            <w:r w:rsidRPr="002029AF">
              <w:t>$23.343m</w:t>
            </w:r>
            <w:r w:rsidR="000A5329" w:rsidRPr="002029AF">
              <w:t xml:space="preserve"> </w:t>
            </w:r>
            <w:r w:rsidRPr="002029AF">
              <w:t>includes</w:t>
            </w:r>
            <w:r w:rsidR="000A5329" w:rsidRPr="002029AF">
              <w:t xml:space="preserve"> </w:t>
            </w:r>
            <w:r w:rsidRPr="002029AF">
              <w:t>$4m</w:t>
            </w:r>
            <w:r w:rsidR="000A5329" w:rsidRPr="002029AF">
              <w:t xml:space="preserve"> </w:t>
            </w:r>
            <w:r w:rsidRPr="002029AF">
              <w:t>for</w:t>
            </w:r>
            <w:r w:rsidR="000A5329" w:rsidRPr="002029AF">
              <w:t xml:space="preserve"> </w:t>
            </w:r>
            <w:r w:rsidRPr="002029AF">
              <w:t>two</w:t>
            </w:r>
            <w:r w:rsidR="000A5329" w:rsidRPr="002029AF">
              <w:t xml:space="preserve"> </w:t>
            </w:r>
            <w:r w:rsidRPr="002029AF">
              <w:t>new</w:t>
            </w:r>
            <w:r w:rsidR="000A5329" w:rsidRPr="002029AF">
              <w:t xml:space="preserve"> </w:t>
            </w:r>
            <w:r w:rsidRPr="002029AF">
              <w:t>additional</w:t>
            </w:r>
            <w:r w:rsidR="000A5329" w:rsidRPr="002029AF">
              <w:t xml:space="preserve"> </w:t>
            </w:r>
            <w:r w:rsidRPr="002029AF">
              <w:t>female</w:t>
            </w:r>
            <w:r w:rsidR="000A5329" w:rsidRPr="002029AF">
              <w:t xml:space="preserve"> </w:t>
            </w:r>
            <w:r w:rsidRPr="002029AF">
              <w:t>bedrooms.</w:t>
            </w:r>
          </w:p>
          <w:p w14:paraId="2713447E" w14:textId="79287027" w:rsidR="00CF72D5" w:rsidRPr="002029AF" w:rsidRDefault="00CF72D5" w:rsidP="00897193">
            <w:pPr>
              <w:pStyle w:val="ARtabletext"/>
              <w:spacing w:before="60" w:after="40"/>
            </w:pPr>
            <w:r w:rsidRPr="002029AF">
              <w:t>Project</w:t>
            </w:r>
            <w:r w:rsidR="000A5329" w:rsidRPr="002029AF">
              <w:t xml:space="preserve"> </w:t>
            </w:r>
            <w:r w:rsidRPr="002029AF">
              <w:t>is</w:t>
            </w:r>
            <w:r w:rsidR="000A5329" w:rsidRPr="002029AF">
              <w:t xml:space="preserve"> </w:t>
            </w:r>
            <w:r w:rsidRPr="002029AF">
              <w:t>in</w:t>
            </w:r>
            <w:r w:rsidR="000A5329" w:rsidRPr="002029AF">
              <w:t xml:space="preserve"> </w:t>
            </w:r>
            <w:r w:rsidRPr="002029AF">
              <w:t>Defects</w:t>
            </w:r>
            <w:r w:rsidR="000A5329" w:rsidRPr="002029AF">
              <w:t xml:space="preserve"> </w:t>
            </w:r>
            <w:r w:rsidRPr="002029AF">
              <w:t>Liability</w:t>
            </w:r>
            <w:r w:rsidR="000A5329" w:rsidRPr="002029AF">
              <w:t xml:space="preserve"> </w:t>
            </w:r>
            <w:r w:rsidRPr="002029AF">
              <w:t>Period.</w:t>
            </w:r>
          </w:p>
        </w:tc>
      </w:tr>
    </w:tbl>
    <w:p w14:paraId="26305B8F" w14:textId="77777777" w:rsidR="00CF72D5" w:rsidRPr="002029AF" w:rsidRDefault="00CF72D5" w:rsidP="00897193"/>
    <w:p w14:paraId="2835470E" w14:textId="77777777" w:rsidR="00CF72D5" w:rsidRPr="002029AF" w:rsidRDefault="00CF72D5" w:rsidP="00897193">
      <w:pPr>
        <w:sectPr w:rsidR="00CF72D5" w:rsidRPr="002029AF" w:rsidSect="00FC2F9E">
          <w:headerReference w:type="even" r:id="rId220"/>
          <w:headerReference w:type="default" r:id="rId221"/>
          <w:footerReference w:type="even" r:id="rId222"/>
          <w:headerReference w:type="first" r:id="rId223"/>
          <w:footerReference w:type="first" r:id="rId224"/>
          <w:endnotePr>
            <w:numFmt w:val="decimal"/>
          </w:endnotePr>
          <w:pgSz w:w="16840" w:h="11900" w:orient="landscape" w:code="9"/>
          <w:pgMar w:top="1418" w:right="1985" w:bottom="851" w:left="851" w:header="851" w:footer="851" w:gutter="0"/>
          <w:cols w:space="708"/>
          <w:docGrid w:linePitch="299"/>
          <w15:footnoteColumns w:val="1"/>
        </w:sectPr>
      </w:pPr>
    </w:p>
    <w:p w14:paraId="1EF3B037" w14:textId="29B1F5D6" w:rsidR="00CF72D5" w:rsidRPr="002029AF" w:rsidRDefault="00CF72D5" w:rsidP="00897193">
      <w:pPr>
        <w:pStyle w:val="Heading2"/>
        <w:spacing w:before="0"/>
      </w:pPr>
      <w:bookmarkStart w:id="435" w:name="_Toc520974733"/>
      <w:bookmarkStart w:id="436" w:name="_Toc524788314"/>
      <w:bookmarkStart w:id="437" w:name="_Ref525047369"/>
      <w:bookmarkStart w:id="438" w:name="_Ref21862080"/>
      <w:bookmarkStart w:id="439" w:name="_Toc50996881"/>
      <w:bookmarkStart w:id="440" w:name="_Toc50998471"/>
      <w:bookmarkStart w:id="441" w:name="_Toc54690825"/>
      <w:bookmarkStart w:id="442" w:name="_Toc431639278"/>
      <w:bookmarkStart w:id="443" w:name="_Toc462577213"/>
      <w:bookmarkStart w:id="444" w:name="_Toc463776641"/>
      <w:bookmarkStart w:id="445" w:name="_Ref492895417"/>
      <w:bookmarkStart w:id="446" w:name="_Toc520974737"/>
      <w:r w:rsidRPr="002029AF">
        <w:lastRenderedPageBreak/>
        <w:t>Disclosure</w:t>
      </w:r>
      <w:r w:rsidR="000A5329" w:rsidRPr="002029AF">
        <w:t xml:space="preserve"> </w:t>
      </w:r>
      <w:r w:rsidRPr="002029AF">
        <w:t>index</w:t>
      </w:r>
      <w:bookmarkEnd w:id="435"/>
      <w:bookmarkEnd w:id="436"/>
      <w:bookmarkEnd w:id="437"/>
      <w:bookmarkEnd w:id="438"/>
      <w:bookmarkEnd w:id="439"/>
      <w:bookmarkEnd w:id="440"/>
      <w:bookmarkEnd w:id="441"/>
    </w:p>
    <w:p w14:paraId="05BBF671" w14:textId="79BCE58F" w:rsidR="00CF72D5" w:rsidRPr="002029AF" w:rsidRDefault="00CF72D5" w:rsidP="00897193">
      <w:pPr>
        <w:pStyle w:val="ARbody"/>
      </w:pPr>
      <w:r w:rsidRPr="002029AF">
        <w:t>The</w:t>
      </w:r>
      <w:r w:rsidR="000A5329" w:rsidRPr="002029AF">
        <w:t xml:space="preserve"> </w:t>
      </w:r>
      <w:r w:rsidRPr="002029AF">
        <w:t>annual</w:t>
      </w:r>
      <w:r w:rsidR="000A5329" w:rsidRPr="002029AF">
        <w:t xml:space="preserve"> </w:t>
      </w:r>
      <w:r w:rsidRPr="002029AF">
        <w:t>report</w:t>
      </w:r>
      <w:r w:rsidR="000A5329" w:rsidRPr="002029AF">
        <w:t xml:space="preserve"> </w:t>
      </w:r>
      <w:r w:rsidRPr="002029AF">
        <w:t>of</w:t>
      </w:r>
      <w:r w:rsidR="000A5329" w:rsidRPr="002029AF">
        <w:t xml:space="preserve"> </w:t>
      </w:r>
      <w:r w:rsidRPr="002029AF">
        <w:t>the</w:t>
      </w:r>
      <w:r w:rsidR="000A5329" w:rsidRPr="002029AF">
        <w:t xml:space="preserve"> </w:t>
      </w:r>
      <w:r w:rsidRPr="002029AF">
        <w:t>Department</w:t>
      </w:r>
      <w:r w:rsidR="000A5329" w:rsidRPr="002029AF">
        <w:t xml:space="preserve"> </w:t>
      </w:r>
      <w:r w:rsidRPr="002029AF">
        <w:t>of</w:t>
      </w:r>
      <w:r w:rsidR="000A5329" w:rsidRPr="002029AF">
        <w:t xml:space="preserve"> </w:t>
      </w:r>
      <w:r w:rsidRPr="002029AF">
        <w:t>Health</w:t>
      </w:r>
      <w:r w:rsidR="000A5329" w:rsidRPr="002029AF">
        <w:t xml:space="preserve"> </w:t>
      </w:r>
      <w:r w:rsidRPr="002029AF">
        <w:t>and</w:t>
      </w:r>
      <w:r w:rsidR="000A5329" w:rsidRPr="002029AF">
        <w:t xml:space="preserve"> </w:t>
      </w:r>
      <w:r w:rsidRPr="002029AF">
        <w:t>Human</w:t>
      </w:r>
      <w:r w:rsidR="000A5329" w:rsidRPr="002029AF">
        <w:t xml:space="preserve"> </w:t>
      </w:r>
      <w:r w:rsidRPr="002029AF">
        <w:t>Services</w:t>
      </w:r>
      <w:r w:rsidR="000A5329" w:rsidRPr="002029AF">
        <w:t xml:space="preserve"> </w:t>
      </w:r>
      <w:r w:rsidRPr="002029AF">
        <w:t>is</w:t>
      </w:r>
      <w:r w:rsidR="000A5329" w:rsidRPr="002029AF">
        <w:t xml:space="preserve"> </w:t>
      </w:r>
      <w:r w:rsidRPr="002029AF">
        <w:t>prepared</w:t>
      </w:r>
      <w:r w:rsidR="000A5329" w:rsidRPr="002029AF">
        <w:t xml:space="preserve"> </w:t>
      </w:r>
      <w:r w:rsidRPr="002029AF">
        <w:t>in</w:t>
      </w:r>
      <w:r w:rsidR="000A5329" w:rsidRPr="002029AF">
        <w:t xml:space="preserve"> </w:t>
      </w:r>
      <w:r w:rsidRPr="002029AF">
        <w:t>accordance</w:t>
      </w:r>
      <w:r w:rsidR="000A5329" w:rsidRPr="002029AF">
        <w:t xml:space="preserve"> </w:t>
      </w:r>
      <w:r w:rsidRPr="002029AF">
        <w:t>with</w:t>
      </w:r>
      <w:r w:rsidR="000A5329" w:rsidRPr="002029AF">
        <w:t xml:space="preserve"> </w:t>
      </w:r>
      <w:r w:rsidRPr="002029AF">
        <w:t>all</w:t>
      </w:r>
      <w:r w:rsidR="000A5329" w:rsidRPr="002029AF">
        <w:t xml:space="preserve"> </w:t>
      </w:r>
      <w:r w:rsidRPr="002029AF">
        <w:t>relevant</w:t>
      </w:r>
      <w:r w:rsidR="000A5329" w:rsidRPr="002029AF">
        <w:t xml:space="preserve"> </w:t>
      </w:r>
      <w:r w:rsidRPr="002029AF">
        <w:t>Victorian</w:t>
      </w:r>
      <w:r w:rsidR="000A5329" w:rsidRPr="002029AF">
        <w:t xml:space="preserve"> </w:t>
      </w:r>
      <w:r w:rsidRPr="002029AF">
        <w:t>legislation.</w:t>
      </w:r>
      <w:r w:rsidR="000A5329" w:rsidRPr="002029AF">
        <w:t xml:space="preserve"> </w:t>
      </w:r>
      <w:r w:rsidRPr="002029AF">
        <w:t>This</w:t>
      </w:r>
      <w:r w:rsidR="000A5329" w:rsidRPr="002029AF">
        <w:t xml:space="preserve"> </w:t>
      </w:r>
      <w:r w:rsidRPr="002029AF">
        <w:t>index</w:t>
      </w:r>
      <w:r w:rsidR="000A5329" w:rsidRPr="002029AF">
        <w:t xml:space="preserve"> </w:t>
      </w:r>
      <w:r w:rsidRPr="002029AF">
        <w:t>has</w:t>
      </w:r>
      <w:r w:rsidR="000A5329" w:rsidRPr="002029AF">
        <w:t xml:space="preserve"> </w:t>
      </w:r>
      <w:r w:rsidRPr="002029AF">
        <w:t>been</w:t>
      </w:r>
      <w:r w:rsidR="000A5329" w:rsidRPr="002029AF">
        <w:t xml:space="preserve"> </w:t>
      </w:r>
      <w:r w:rsidRPr="002029AF">
        <w:t>prepared</w:t>
      </w:r>
      <w:r w:rsidR="000A5329" w:rsidRPr="002029AF">
        <w:t xml:space="preserve"> </w:t>
      </w:r>
      <w:r w:rsidRPr="002029AF">
        <w:t>to</w:t>
      </w:r>
      <w:r w:rsidR="000A5329" w:rsidRPr="002029AF">
        <w:t xml:space="preserve"> </w:t>
      </w:r>
      <w:r w:rsidRPr="002029AF">
        <w:t>facilitate</w:t>
      </w:r>
      <w:r w:rsidR="000A5329" w:rsidRPr="002029AF">
        <w:t xml:space="preserve"> </w:t>
      </w:r>
      <w:r w:rsidRPr="002029AF">
        <w:t>identification</w:t>
      </w:r>
      <w:r w:rsidR="000A5329" w:rsidRPr="002029AF">
        <w:t xml:space="preserve"> </w:t>
      </w:r>
      <w:r w:rsidRPr="002029AF">
        <w:t>of</w:t>
      </w:r>
      <w:r w:rsidR="000A5329" w:rsidRPr="002029AF">
        <w:t xml:space="preserve"> </w:t>
      </w:r>
      <w:r w:rsidRPr="002029AF">
        <w:t>the</w:t>
      </w:r>
      <w:r w:rsidR="000A5329" w:rsidRPr="002029AF">
        <w:t xml:space="preserve"> </w:t>
      </w:r>
      <w:r w:rsidRPr="002029AF">
        <w:t>department’s</w:t>
      </w:r>
      <w:r w:rsidR="000A5329" w:rsidRPr="002029AF">
        <w:t xml:space="preserve"> </w:t>
      </w:r>
      <w:r w:rsidRPr="002029AF">
        <w:t>compliance</w:t>
      </w:r>
      <w:r w:rsidR="000A5329" w:rsidRPr="002029AF">
        <w:t xml:space="preserve"> </w:t>
      </w:r>
      <w:r w:rsidRPr="002029AF">
        <w:t>with</w:t>
      </w:r>
      <w:r w:rsidR="000A5329" w:rsidRPr="002029AF">
        <w:t xml:space="preserve"> </w:t>
      </w:r>
      <w:r w:rsidRPr="002029AF">
        <w:t>statutory</w:t>
      </w:r>
      <w:r w:rsidR="000A5329" w:rsidRPr="002029AF">
        <w:t xml:space="preserve"> </w:t>
      </w:r>
      <w:r w:rsidRPr="002029AF">
        <w:t>disclosure</w:t>
      </w:r>
      <w:r w:rsidR="000A5329" w:rsidRPr="002029AF">
        <w:t xml:space="preserve"> </w:t>
      </w:r>
      <w:r w:rsidRPr="002029AF">
        <w:t>requirements.</w:t>
      </w:r>
    </w:p>
    <w:p w14:paraId="16E9F2F8" w14:textId="31466EBF" w:rsidR="00CF72D5" w:rsidRPr="002029AF" w:rsidRDefault="00CF72D5" w:rsidP="00897193">
      <w:pPr>
        <w:pStyle w:val="Heading3"/>
        <w:spacing w:after="200"/>
      </w:pPr>
      <w:bookmarkStart w:id="447" w:name="_Toc462577210"/>
      <w:bookmarkStart w:id="448" w:name="_Toc520974734"/>
      <w:bookmarkStart w:id="449" w:name="_Toc50998472"/>
      <w:r w:rsidRPr="002029AF">
        <w:t>Report</w:t>
      </w:r>
      <w:r w:rsidR="000A5329" w:rsidRPr="002029AF">
        <w:t xml:space="preserve"> </w:t>
      </w:r>
      <w:r w:rsidRPr="002029AF">
        <w:t>of</w:t>
      </w:r>
      <w:r w:rsidR="000A5329" w:rsidRPr="002029AF">
        <w:t xml:space="preserve"> </w:t>
      </w:r>
      <w:r w:rsidRPr="002029AF">
        <w:t>operations</w:t>
      </w:r>
      <w:bookmarkEnd w:id="447"/>
      <w:bookmarkEnd w:id="448"/>
      <w:bookmarkEnd w:id="449"/>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Layout w:type="fixed"/>
        <w:tblCellMar>
          <w:left w:w="0" w:type="dxa"/>
        </w:tblCellMar>
        <w:tblLook w:val="04A0" w:firstRow="1" w:lastRow="0" w:firstColumn="1" w:lastColumn="0" w:noHBand="0" w:noVBand="1"/>
      </w:tblPr>
      <w:tblGrid>
        <w:gridCol w:w="2014"/>
        <w:gridCol w:w="6618"/>
        <w:gridCol w:w="1007"/>
      </w:tblGrid>
      <w:tr w:rsidR="00CF72D5" w:rsidRPr="002029AF" w14:paraId="483CC820" w14:textId="77777777" w:rsidTr="5A449E24">
        <w:trPr>
          <w:cantSplit/>
          <w:tblHeader/>
        </w:trPr>
        <w:tc>
          <w:tcPr>
            <w:tcW w:w="2014" w:type="dxa"/>
            <w:tcBorders>
              <w:top w:val="nil"/>
            </w:tcBorders>
            <w:shd w:val="clear" w:color="auto" w:fill="auto"/>
            <w:vAlign w:val="bottom"/>
          </w:tcPr>
          <w:p w14:paraId="281AC420" w14:textId="621D7B8F" w:rsidR="00CF72D5" w:rsidRPr="002029AF" w:rsidRDefault="00CF72D5" w:rsidP="00897193">
            <w:pPr>
              <w:pStyle w:val="ARtablecolhead"/>
              <w:spacing w:before="70" w:after="50"/>
            </w:pPr>
            <w:r w:rsidRPr="002029AF">
              <w:t>Ministerial</w:t>
            </w:r>
            <w:r w:rsidR="000A5329" w:rsidRPr="002029AF">
              <w:t xml:space="preserve"> </w:t>
            </w:r>
            <w:r w:rsidRPr="002029AF">
              <w:t>directions</w:t>
            </w:r>
          </w:p>
        </w:tc>
        <w:tc>
          <w:tcPr>
            <w:tcW w:w="6618" w:type="dxa"/>
            <w:tcBorders>
              <w:top w:val="nil"/>
            </w:tcBorders>
            <w:shd w:val="clear" w:color="auto" w:fill="auto"/>
            <w:vAlign w:val="bottom"/>
          </w:tcPr>
          <w:p w14:paraId="25E2C3A9" w14:textId="77777777" w:rsidR="00CF72D5" w:rsidRPr="002029AF" w:rsidRDefault="00CF72D5" w:rsidP="00897193">
            <w:pPr>
              <w:pStyle w:val="ARtablecolhead"/>
              <w:spacing w:before="70" w:after="50"/>
            </w:pPr>
            <w:r w:rsidRPr="002029AF">
              <w:t>Requirement</w:t>
            </w:r>
          </w:p>
        </w:tc>
        <w:tc>
          <w:tcPr>
            <w:tcW w:w="1007" w:type="dxa"/>
            <w:tcBorders>
              <w:top w:val="nil"/>
            </w:tcBorders>
            <w:shd w:val="clear" w:color="auto" w:fill="auto"/>
            <w:vAlign w:val="bottom"/>
          </w:tcPr>
          <w:p w14:paraId="0779018A" w14:textId="77777777" w:rsidR="00CF72D5" w:rsidRPr="002029AF" w:rsidRDefault="00CF72D5" w:rsidP="00897193">
            <w:pPr>
              <w:pStyle w:val="ARtablecolhead"/>
              <w:spacing w:before="70" w:after="50"/>
              <w:jc w:val="right"/>
            </w:pPr>
            <w:r w:rsidRPr="002029AF">
              <w:t>Page</w:t>
            </w:r>
          </w:p>
        </w:tc>
      </w:tr>
      <w:tr w:rsidR="00CF72D5" w:rsidRPr="002029AF" w14:paraId="41B69E66" w14:textId="77777777" w:rsidTr="5A449E24">
        <w:trPr>
          <w:cantSplit/>
        </w:trPr>
        <w:tc>
          <w:tcPr>
            <w:tcW w:w="8632" w:type="dxa"/>
            <w:gridSpan w:val="2"/>
            <w:tcBorders>
              <w:bottom w:val="nil"/>
            </w:tcBorders>
            <w:shd w:val="clear" w:color="auto" w:fill="auto"/>
          </w:tcPr>
          <w:p w14:paraId="5ED647EB" w14:textId="0FC7131E" w:rsidR="00CF72D5" w:rsidRPr="002029AF" w:rsidRDefault="00CF72D5" w:rsidP="00897193">
            <w:pPr>
              <w:pStyle w:val="ARtabletext"/>
              <w:spacing w:before="70" w:after="50"/>
              <w:rPr>
                <w:b/>
              </w:rPr>
            </w:pPr>
            <w:r w:rsidRPr="002029AF">
              <w:rPr>
                <w:b/>
              </w:rPr>
              <w:t>Chapter</w:t>
            </w:r>
            <w:r w:rsidR="000A5329" w:rsidRPr="002029AF">
              <w:rPr>
                <w:b/>
              </w:rPr>
              <w:t xml:space="preserve"> </w:t>
            </w:r>
            <w:r w:rsidRPr="002029AF">
              <w:rPr>
                <w:b/>
              </w:rPr>
              <w:t>and</w:t>
            </w:r>
            <w:r w:rsidR="000A5329" w:rsidRPr="002029AF">
              <w:rPr>
                <w:b/>
              </w:rPr>
              <w:t xml:space="preserve"> </w:t>
            </w:r>
            <w:r w:rsidRPr="002029AF">
              <w:rPr>
                <w:b/>
              </w:rPr>
              <w:t>purpose</w:t>
            </w:r>
          </w:p>
        </w:tc>
        <w:tc>
          <w:tcPr>
            <w:tcW w:w="1007" w:type="dxa"/>
            <w:tcBorders>
              <w:bottom w:val="nil"/>
            </w:tcBorders>
            <w:shd w:val="clear" w:color="auto" w:fill="auto"/>
          </w:tcPr>
          <w:p w14:paraId="5D91E979" w14:textId="77777777" w:rsidR="00CF72D5" w:rsidRPr="002029AF" w:rsidRDefault="00CF72D5" w:rsidP="00897193">
            <w:pPr>
              <w:pStyle w:val="ARtabletextright"/>
            </w:pPr>
          </w:p>
        </w:tc>
      </w:tr>
      <w:tr w:rsidR="00CF72D5" w:rsidRPr="002029AF" w14:paraId="5B6444EE" w14:textId="77777777" w:rsidTr="5A449E24">
        <w:trPr>
          <w:cantSplit/>
        </w:trPr>
        <w:tc>
          <w:tcPr>
            <w:tcW w:w="2014" w:type="dxa"/>
            <w:tcBorders>
              <w:top w:val="nil"/>
            </w:tcBorders>
            <w:shd w:val="clear" w:color="auto" w:fill="auto"/>
          </w:tcPr>
          <w:p w14:paraId="15E787EC" w14:textId="06801089" w:rsidR="00CF72D5" w:rsidRPr="002029AF" w:rsidRDefault="00CF72D5" w:rsidP="00897193">
            <w:pPr>
              <w:pStyle w:val="ARtabletext"/>
              <w:spacing w:before="70" w:after="50"/>
            </w:pPr>
            <w:r w:rsidRPr="002029AF">
              <w:t>FRD</w:t>
            </w:r>
            <w:r w:rsidR="000A5329" w:rsidRPr="002029AF">
              <w:t xml:space="preserve"> </w:t>
            </w:r>
            <w:r w:rsidRPr="002029AF">
              <w:t>22H</w:t>
            </w:r>
          </w:p>
        </w:tc>
        <w:tc>
          <w:tcPr>
            <w:tcW w:w="6618" w:type="dxa"/>
            <w:tcBorders>
              <w:top w:val="nil"/>
            </w:tcBorders>
            <w:shd w:val="clear" w:color="auto" w:fill="auto"/>
          </w:tcPr>
          <w:p w14:paraId="6E562C8B" w14:textId="211A0DDD" w:rsidR="00CF72D5" w:rsidRPr="002029AF" w:rsidRDefault="00CF72D5" w:rsidP="00897193">
            <w:pPr>
              <w:pStyle w:val="ARtabletext"/>
              <w:spacing w:before="70" w:after="50"/>
            </w:pPr>
            <w:r w:rsidRPr="002029AF">
              <w:t>Manner</w:t>
            </w:r>
            <w:r w:rsidR="000A5329" w:rsidRPr="002029AF">
              <w:t xml:space="preserve"> </w:t>
            </w:r>
            <w:r w:rsidRPr="002029AF">
              <w:t>of</w:t>
            </w:r>
            <w:r w:rsidR="000A5329" w:rsidRPr="002029AF">
              <w:t xml:space="preserve"> </w:t>
            </w:r>
            <w:r w:rsidRPr="002029AF">
              <w:t>establishment</w:t>
            </w:r>
            <w:r w:rsidR="000A5329" w:rsidRPr="002029AF">
              <w:t xml:space="preserve"> </w:t>
            </w:r>
            <w:r w:rsidRPr="002029AF">
              <w:t>and</w:t>
            </w:r>
            <w:r w:rsidR="000A5329" w:rsidRPr="002029AF">
              <w:t xml:space="preserve"> </w:t>
            </w:r>
            <w:r w:rsidRPr="002029AF">
              <w:t>the</w:t>
            </w:r>
            <w:r w:rsidR="000A5329" w:rsidRPr="002029AF">
              <w:t xml:space="preserve"> </w:t>
            </w:r>
            <w:r w:rsidRPr="002029AF">
              <w:t>relevant</w:t>
            </w:r>
            <w:r w:rsidR="000A5329" w:rsidRPr="002029AF">
              <w:t xml:space="preserve"> </w:t>
            </w:r>
            <w:r w:rsidRPr="002029AF">
              <w:t>ministers</w:t>
            </w:r>
          </w:p>
        </w:tc>
        <w:tc>
          <w:tcPr>
            <w:tcW w:w="1007" w:type="dxa"/>
            <w:tcBorders>
              <w:top w:val="nil"/>
            </w:tcBorders>
            <w:shd w:val="clear" w:color="auto" w:fill="auto"/>
          </w:tcPr>
          <w:p w14:paraId="7AF7B918" w14:textId="53A916E3" w:rsidR="00CF72D5" w:rsidRPr="002029AF" w:rsidRDefault="00CF72D5" w:rsidP="00897193">
            <w:pPr>
              <w:pStyle w:val="ARtabletextright"/>
            </w:pPr>
            <w:r w:rsidRPr="002029AF">
              <w:fldChar w:fldCharType="begin"/>
            </w:r>
            <w:r w:rsidRPr="002029AF">
              <w:instrText xml:space="preserve"> PAGEREF _Ref492893888 \h </w:instrText>
            </w:r>
            <w:r w:rsidRPr="002029AF">
              <w:fldChar w:fldCharType="separate"/>
            </w:r>
            <w:r w:rsidR="00F3275D">
              <w:rPr>
                <w:noProof/>
              </w:rPr>
              <w:t>19</w:t>
            </w:r>
            <w:r w:rsidRPr="002029AF">
              <w:fldChar w:fldCharType="end"/>
            </w:r>
            <w:r w:rsidRPr="002029AF">
              <w:t>–</w:t>
            </w:r>
            <w:r w:rsidRPr="002029AF">
              <w:fldChar w:fldCharType="begin"/>
            </w:r>
            <w:r w:rsidRPr="002029AF">
              <w:instrText xml:space="preserve"> PAGEREF _Ref21861477 \h </w:instrText>
            </w:r>
            <w:r w:rsidRPr="002029AF">
              <w:fldChar w:fldCharType="separate"/>
            </w:r>
            <w:r w:rsidR="00F3275D">
              <w:rPr>
                <w:noProof/>
              </w:rPr>
              <w:t>19</w:t>
            </w:r>
            <w:r w:rsidRPr="002029AF">
              <w:fldChar w:fldCharType="end"/>
            </w:r>
          </w:p>
          <w:p w14:paraId="0C84BD71" w14:textId="2A0E2356" w:rsidR="00CF72D5" w:rsidRPr="002029AF" w:rsidRDefault="00CF72D5" w:rsidP="00897193">
            <w:pPr>
              <w:pStyle w:val="ARtabletextright"/>
            </w:pPr>
            <w:r w:rsidRPr="002029AF">
              <w:fldChar w:fldCharType="begin"/>
            </w:r>
            <w:r w:rsidRPr="002029AF">
              <w:instrText xml:space="preserve"> PAGEREF _Ref21861531 \h </w:instrText>
            </w:r>
            <w:r w:rsidRPr="002029AF">
              <w:fldChar w:fldCharType="separate"/>
            </w:r>
            <w:r w:rsidR="00F3275D">
              <w:rPr>
                <w:noProof/>
              </w:rPr>
              <w:t>109</w:t>
            </w:r>
            <w:r w:rsidRPr="002029AF">
              <w:fldChar w:fldCharType="end"/>
            </w:r>
            <w:r w:rsidRPr="002029AF">
              <w:t>–</w:t>
            </w:r>
            <w:r w:rsidRPr="002029AF">
              <w:fldChar w:fldCharType="begin"/>
            </w:r>
            <w:r w:rsidRPr="002029AF">
              <w:instrText xml:space="preserve"> PAGEREF _Ref21861577 \h </w:instrText>
            </w:r>
            <w:r w:rsidRPr="002029AF">
              <w:fldChar w:fldCharType="separate"/>
            </w:r>
            <w:r w:rsidR="00F3275D">
              <w:rPr>
                <w:noProof/>
              </w:rPr>
              <w:t>111</w:t>
            </w:r>
            <w:r w:rsidRPr="002029AF">
              <w:fldChar w:fldCharType="end"/>
            </w:r>
          </w:p>
        </w:tc>
      </w:tr>
      <w:tr w:rsidR="00CF72D5" w:rsidRPr="002029AF" w14:paraId="2CAF4071" w14:textId="77777777" w:rsidTr="5A449E24">
        <w:trPr>
          <w:cantSplit/>
        </w:trPr>
        <w:tc>
          <w:tcPr>
            <w:tcW w:w="2014" w:type="dxa"/>
            <w:shd w:val="clear" w:color="auto" w:fill="auto"/>
          </w:tcPr>
          <w:p w14:paraId="30B55719" w14:textId="29698487" w:rsidR="00CF72D5" w:rsidRPr="002029AF" w:rsidRDefault="00CF72D5" w:rsidP="00897193">
            <w:pPr>
              <w:pStyle w:val="ARtabletext"/>
              <w:spacing w:before="70" w:after="50"/>
            </w:pPr>
            <w:r w:rsidRPr="002029AF">
              <w:t>FRD</w:t>
            </w:r>
            <w:r w:rsidR="000A5329" w:rsidRPr="002029AF">
              <w:t xml:space="preserve"> </w:t>
            </w:r>
            <w:r w:rsidRPr="002029AF">
              <w:t>8D,</w:t>
            </w:r>
            <w:r w:rsidR="000A5329" w:rsidRPr="002029AF">
              <w:t xml:space="preserve"> </w:t>
            </w:r>
            <w:r w:rsidRPr="002029AF">
              <w:t>FRD</w:t>
            </w:r>
            <w:r w:rsidR="000A5329" w:rsidRPr="002029AF">
              <w:t xml:space="preserve"> </w:t>
            </w:r>
            <w:r w:rsidRPr="002029AF">
              <w:t>22H</w:t>
            </w:r>
          </w:p>
        </w:tc>
        <w:tc>
          <w:tcPr>
            <w:tcW w:w="6618" w:type="dxa"/>
            <w:shd w:val="clear" w:color="auto" w:fill="auto"/>
          </w:tcPr>
          <w:p w14:paraId="37DB1E7E" w14:textId="4B803BC6" w:rsidR="00CF72D5" w:rsidRPr="002029AF" w:rsidRDefault="00CF72D5" w:rsidP="00897193">
            <w:pPr>
              <w:pStyle w:val="ARtabletext"/>
              <w:spacing w:before="70" w:after="50"/>
            </w:pPr>
            <w:r w:rsidRPr="002029AF">
              <w:t>Objectives,</w:t>
            </w:r>
            <w:r w:rsidR="000A5329" w:rsidRPr="002029AF">
              <w:t xml:space="preserve"> </w:t>
            </w:r>
            <w:r w:rsidRPr="002029AF">
              <w:t>functions,</w:t>
            </w:r>
            <w:r w:rsidR="000A5329" w:rsidRPr="002029AF">
              <w:t xml:space="preserve"> </w:t>
            </w:r>
            <w:r w:rsidRPr="002029AF">
              <w:t>powers</w:t>
            </w:r>
            <w:r w:rsidR="000A5329" w:rsidRPr="002029AF">
              <w:t xml:space="preserve"> </w:t>
            </w:r>
            <w:r w:rsidRPr="002029AF">
              <w:t>and</w:t>
            </w:r>
            <w:r w:rsidR="000A5329" w:rsidRPr="002029AF">
              <w:t xml:space="preserve"> </w:t>
            </w:r>
            <w:r w:rsidRPr="002029AF">
              <w:t>duties</w:t>
            </w:r>
          </w:p>
        </w:tc>
        <w:tc>
          <w:tcPr>
            <w:tcW w:w="1007" w:type="dxa"/>
            <w:shd w:val="clear" w:color="auto" w:fill="auto"/>
          </w:tcPr>
          <w:p w14:paraId="6C2D9B64" w14:textId="6EB28BA8" w:rsidR="00CF72D5" w:rsidRPr="002029AF" w:rsidRDefault="00D21846" w:rsidP="00897193">
            <w:pPr>
              <w:pStyle w:val="ARtabletextright"/>
            </w:pPr>
            <w:r w:rsidRPr="002029AF">
              <w:fldChar w:fldCharType="begin"/>
            </w:r>
            <w:r w:rsidRPr="002029AF">
              <w:instrText xml:space="preserve"> PAGEREF _Ref51850623 \h </w:instrText>
            </w:r>
            <w:r w:rsidRPr="002029AF">
              <w:fldChar w:fldCharType="separate"/>
            </w:r>
            <w:r w:rsidR="00F3275D">
              <w:rPr>
                <w:noProof/>
              </w:rPr>
              <w:t>16</w:t>
            </w:r>
            <w:r w:rsidRPr="002029AF">
              <w:fldChar w:fldCharType="end"/>
            </w:r>
            <w:r w:rsidRPr="002029AF">
              <w:t>–</w:t>
            </w:r>
            <w:r w:rsidRPr="002029AF">
              <w:fldChar w:fldCharType="begin"/>
            </w:r>
            <w:r w:rsidRPr="002029AF">
              <w:instrText xml:space="preserve"> PAGEREF chg2dept \h </w:instrText>
            </w:r>
            <w:r w:rsidRPr="002029AF">
              <w:fldChar w:fldCharType="separate"/>
            </w:r>
            <w:r w:rsidR="00F3275D">
              <w:rPr>
                <w:noProof/>
              </w:rPr>
              <w:t>18</w:t>
            </w:r>
            <w:r w:rsidRPr="002029AF">
              <w:fldChar w:fldCharType="end"/>
            </w:r>
          </w:p>
        </w:tc>
      </w:tr>
      <w:tr w:rsidR="00CF72D5" w:rsidRPr="002029AF" w14:paraId="46247E52" w14:textId="77777777" w:rsidTr="5A449E24">
        <w:trPr>
          <w:cantSplit/>
        </w:trPr>
        <w:tc>
          <w:tcPr>
            <w:tcW w:w="2014" w:type="dxa"/>
            <w:tcBorders>
              <w:top w:val="nil"/>
            </w:tcBorders>
            <w:shd w:val="clear" w:color="auto" w:fill="auto"/>
          </w:tcPr>
          <w:p w14:paraId="5A48054B" w14:textId="44DF557A" w:rsidR="00CF72D5" w:rsidRPr="002029AF" w:rsidRDefault="00CF72D5" w:rsidP="00897193">
            <w:pPr>
              <w:pStyle w:val="ARtabletext"/>
              <w:spacing w:before="70" w:after="50"/>
            </w:pPr>
            <w:r w:rsidRPr="002029AF">
              <w:t>FRD</w:t>
            </w:r>
            <w:r w:rsidR="000A5329" w:rsidRPr="002029AF">
              <w:t xml:space="preserve"> </w:t>
            </w:r>
            <w:r w:rsidRPr="002029AF">
              <w:t>22H</w:t>
            </w:r>
          </w:p>
        </w:tc>
        <w:tc>
          <w:tcPr>
            <w:tcW w:w="6618" w:type="dxa"/>
            <w:tcBorders>
              <w:top w:val="nil"/>
            </w:tcBorders>
            <w:shd w:val="clear" w:color="auto" w:fill="auto"/>
          </w:tcPr>
          <w:p w14:paraId="17FFEAB6" w14:textId="6F9CAECA" w:rsidR="00CF72D5" w:rsidRPr="002029AF" w:rsidRDefault="00CF72D5" w:rsidP="00897193">
            <w:pPr>
              <w:pStyle w:val="ARtabletext"/>
              <w:spacing w:before="70" w:after="50"/>
            </w:pPr>
            <w:r w:rsidRPr="002029AF">
              <w:t>Nature</w:t>
            </w:r>
            <w:r w:rsidR="000A5329" w:rsidRPr="002029AF">
              <w:t xml:space="preserve"> </w:t>
            </w:r>
            <w:r w:rsidRPr="002029AF">
              <w:t>and</w:t>
            </w:r>
            <w:r w:rsidR="000A5329" w:rsidRPr="002029AF">
              <w:t xml:space="preserve"> </w:t>
            </w:r>
            <w:r w:rsidRPr="002029AF">
              <w:t>range</w:t>
            </w:r>
            <w:r w:rsidR="000A5329" w:rsidRPr="002029AF">
              <w:t xml:space="preserve"> </w:t>
            </w:r>
            <w:r w:rsidRPr="002029AF">
              <w:t>of</w:t>
            </w:r>
            <w:r w:rsidR="000A5329" w:rsidRPr="002029AF">
              <w:t xml:space="preserve"> </w:t>
            </w:r>
            <w:r w:rsidRPr="002029AF">
              <w:t>services</w:t>
            </w:r>
            <w:r w:rsidR="000A5329" w:rsidRPr="002029AF">
              <w:t xml:space="preserve"> </w:t>
            </w:r>
            <w:r w:rsidRPr="002029AF">
              <w:t>provided</w:t>
            </w:r>
          </w:p>
        </w:tc>
        <w:tc>
          <w:tcPr>
            <w:tcW w:w="1007" w:type="dxa"/>
            <w:tcBorders>
              <w:top w:val="nil"/>
            </w:tcBorders>
            <w:shd w:val="clear" w:color="auto" w:fill="auto"/>
          </w:tcPr>
          <w:p w14:paraId="4FDC0123" w14:textId="2CB2C0A3" w:rsidR="00CF72D5" w:rsidRPr="002029AF" w:rsidRDefault="000A07B0" w:rsidP="00897193">
            <w:pPr>
              <w:pStyle w:val="ARtabletextright"/>
            </w:pPr>
            <w:r w:rsidRPr="002029AF">
              <w:fldChar w:fldCharType="begin"/>
            </w:r>
            <w:r w:rsidRPr="002029AF">
              <w:instrText xml:space="preserve"> PAGEREF _Ref51850623 \h </w:instrText>
            </w:r>
            <w:r w:rsidRPr="002029AF">
              <w:fldChar w:fldCharType="separate"/>
            </w:r>
            <w:r w:rsidR="00F3275D">
              <w:rPr>
                <w:noProof/>
              </w:rPr>
              <w:t>16</w:t>
            </w:r>
            <w:r w:rsidRPr="002029AF">
              <w:fldChar w:fldCharType="end"/>
            </w:r>
            <w:r w:rsidR="00CF72D5" w:rsidRPr="002029AF">
              <w:t>–</w:t>
            </w:r>
            <w:r w:rsidR="00E141C9" w:rsidRPr="002029AF">
              <w:fldChar w:fldCharType="begin"/>
            </w:r>
            <w:r w:rsidR="00E141C9" w:rsidRPr="002029AF">
              <w:instrText xml:space="preserve"> PAGEREF chg2dept \h </w:instrText>
            </w:r>
            <w:r w:rsidR="00E141C9" w:rsidRPr="002029AF">
              <w:fldChar w:fldCharType="separate"/>
            </w:r>
            <w:r w:rsidR="00F3275D">
              <w:rPr>
                <w:noProof/>
              </w:rPr>
              <w:t>18</w:t>
            </w:r>
            <w:r w:rsidR="00E141C9" w:rsidRPr="002029AF">
              <w:fldChar w:fldCharType="end"/>
            </w:r>
          </w:p>
        </w:tc>
      </w:tr>
      <w:tr w:rsidR="00CF72D5" w:rsidRPr="002029AF" w14:paraId="5FA6E34D" w14:textId="77777777" w:rsidTr="5A449E24">
        <w:trPr>
          <w:cantSplit/>
        </w:trPr>
        <w:tc>
          <w:tcPr>
            <w:tcW w:w="2014" w:type="dxa"/>
            <w:tcBorders>
              <w:top w:val="nil"/>
            </w:tcBorders>
            <w:shd w:val="clear" w:color="auto" w:fill="auto"/>
          </w:tcPr>
          <w:p w14:paraId="010EEB21" w14:textId="04C25032" w:rsidR="00CF72D5" w:rsidRPr="002029AF" w:rsidRDefault="00CF72D5" w:rsidP="00897193">
            <w:pPr>
              <w:pStyle w:val="ARtabletext"/>
              <w:spacing w:before="70" w:after="50"/>
            </w:pPr>
            <w:r w:rsidRPr="002029AF">
              <w:t>FRD</w:t>
            </w:r>
            <w:r w:rsidR="000A5329" w:rsidRPr="002029AF">
              <w:t xml:space="preserve"> </w:t>
            </w:r>
            <w:r w:rsidRPr="002029AF">
              <w:t>22H</w:t>
            </w:r>
          </w:p>
        </w:tc>
        <w:tc>
          <w:tcPr>
            <w:tcW w:w="6618" w:type="dxa"/>
            <w:tcBorders>
              <w:top w:val="nil"/>
            </w:tcBorders>
            <w:shd w:val="clear" w:color="auto" w:fill="auto"/>
          </w:tcPr>
          <w:p w14:paraId="345F1493" w14:textId="1D78ED53" w:rsidR="00CF72D5" w:rsidRPr="002029AF" w:rsidRDefault="00CF72D5" w:rsidP="00897193">
            <w:pPr>
              <w:pStyle w:val="ARtabletext"/>
              <w:spacing w:before="70" w:after="50"/>
            </w:pPr>
            <w:r w:rsidRPr="002029AF">
              <w:t>Key</w:t>
            </w:r>
            <w:r w:rsidR="000A5329" w:rsidRPr="002029AF">
              <w:t xml:space="preserve"> </w:t>
            </w:r>
            <w:r w:rsidRPr="002029AF">
              <w:t>initiatives</w:t>
            </w:r>
            <w:r w:rsidR="000A5329" w:rsidRPr="002029AF">
              <w:t xml:space="preserve"> </w:t>
            </w:r>
            <w:r w:rsidRPr="002029AF">
              <w:t>and</w:t>
            </w:r>
            <w:r w:rsidR="000A5329" w:rsidRPr="002029AF">
              <w:t xml:space="preserve"> </w:t>
            </w:r>
            <w:r w:rsidRPr="002029AF">
              <w:t>projects</w:t>
            </w:r>
          </w:p>
        </w:tc>
        <w:tc>
          <w:tcPr>
            <w:tcW w:w="1007" w:type="dxa"/>
            <w:tcBorders>
              <w:top w:val="nil"/>
            </w:tcBorders>
            <w:shd w:val="clear" w:color="auto" w:fill="auto"/>
          </w:tcPr>
          <w:p w14:paraId="3EA51F19" w14:textId="3910D140" w:rsidR="00CF72D5" w:rsidRPr="002029AF" w:rsidRDefault="00896817" w:rsidP="00897193">
            <w:pPr>
              <w:pStyle w:val="ARtabletextright"/>
            </w:pPr>
            <w:r w:rsidRPr="00896817">
              <w:fldChar w:fldCharType="begin"/>
            </w:r>
            <w:r w:rsidRPr="00896817">
              <w:instrText xml:space="preserve"> PAGEREF _Ref52806637 \h </w:instrText>
            </w:r>
            <w:r w:rsidRPr="00896817">
              <w:fldChar w:fldCharType="separate"/>
            </w:r>
            <w:r w:rsidR="00F3275D">
              <w:rPr>
                <w:noProof/>
              </w:rPr>
              <w:t>21</w:t>
            </w:r>
            <w:r w:rsidRPr="00896817">
              <w:fldChar w:fldCharType="end"/>
            </w:r>
            <w:r w:rsidR="00CF72D5" w:rsidRPr="00896817">
              <w:t>–</w:t>
            </w:r>
            <w:r w:rsidRPr="00896817">
              <w:fldChar w:fldCharType="begin"/>
            </w:r>
            <w:r w:rsidRPr="00896817">
              <w:instrText xml:space="preserve"> PAGEREF _Ref52806676 \h </w:instrText>
            </w:r>
            <w:r w:rsidRPr="00896817">
              <w:fldChar w:fldCharType="separate"/>
            </w:r>
            <w:r w:rsidR="00F3275D">
              <w:rPr>
                <w:noProof/>
              </w:rPr>
              <w:t>80</w:t>
            </w:r>
            <w:r w:rsidRPr="00896817">
              <w:fldChar w:fldCharType="end"/>
            </w:r>
          </w:p>
        </w:tc>
      </w:tr>
      <w:tr w:rsidR="00CF72D5" w:rsidRPr="002029AF" w14:paraId="3F5EC377" w14:textId="77777777" w:rsidTr="5A449E24">
        <w:trPr>
          <w:cantSplit/>
        </w:trPr>
        <w:tc>
          <w:tcPr>
            <w:tcW w:w="9639" w:type="dxa"/>
            <w:gridSpan w:val="3"/>
            <w:tcBorders>
              <w:bottom w:val="nil"/>
            </w:tcBorders>
            <w:shd w:val="clear" w:color="auto" w:fill="auto"/>
          </w:tcPr>
          <w:p w14:paraId="206AE1A2" w14:textId="7E1AD5A3" w:rsidR="00CF72D5" w:rsidRPr="002029AF" w:rsidRDefault="00CF72D5" w:rsidP="00897193">
            <w:pPr>
              <w:pStyle w:val="ARtabletext"/>
              <w:spacing w:before="70" w:after="50"/>
              <w:rPr>
                <w:b/>
              </w:rPr>
            </w:pPr>
            <w:r w:rsidRPr="002029AF">
              <w:rPr>
                <w:b/>
              </w:rPr>
              <w:t>Management</w:t>
            </w:r>
            <w:r w:rsidR="000A5329" w:rsidRPr="002029AF">
              <w:rPr>
                <w:b/>
              </w:rPr>
              <w:t xml:space="preserve"> </w:t>
            </w:r>
            <w:r w:rsidRPr="002029AF">
              <w:rPr>
                <w:b/>
              </w:rPr>
              <w:t>and</w:t>
            </w:r>
            <w:r w:rsidR="000A5329" w:rsidRPr="002029AF">
              <w:rPr>
                <w:b/>
              </w:rPr>
              <w:t xml:space="preserve"> </w:t>
            </w:r>
            <w:r w:rsidRPr="002029AF">
              <w:rPr>
                <w:b/>
              </w:rPr>
              <w:t>structure</w:t>
            </w:r>
          </w:p>
        </w:tc>
      </w:tr>
      <w:tr w:rsidR="00CF72D5" w:rsidRPr="002029AF" w14:paraId="1EB3100E" w14:textId="77777777" w:rsidTr="5A449E24">
        <w:trPr>
          <w:cantSplit/>
        </w:trPr>
        <w:tc>
          <w:tcPr>
            <w:tcW w:w="2014" w:type="dxa"/>
            <w:tcBorders>
              <w:top w:val="nil"/>
            </w:tcBorders>
            <w:shd w:val="clear" w:color="auto" w:fill="auto"/>
          </w:tcPr>
          <w:p w14:paraId="317D8E3D" w14:textId="40DCEBB9" w:rsidR="00CF72D5" w:rsidRPr="002029AF" w:rsidRDefault="00CF72D5" w:rsidP="00897193">
            <w:pPr>
              <w:pStyle w:val="ARtabletext"/>
              <w:spacing w:before="70" w:after="50"/>
            </w:pPr>
            <w:r w:rsidRPr="002029AF">
              <w:t>FRD</w:t>
            </w:r>
            <w:r w:rsidR="000A5329" w:rsidRPr="002029AF">
              <w:t xml:space="preserve"> </w:t>
            </w:r>
            <w:r w:rsidRPr="002029AF">
              <w:t>22H</w:t>
            </w:r>
          </w:p>
        </w:tc>
        <w:tc>
          <w:tcPr>
            <w:tcW w:w="6618" w:type="dxa"/>
            <w:tcBorders>
              <w:top w:val="nil"/>
            </w:tcBorders>
            <w:shd w:val="clear" w:color="auto" w:fill="auto"/>
          </w:tcPr>
          <w:p w14:paraId="38C6841D" w14:textId="596F3518" w:rsidR="00CF72D5" w:rsidRPr="002029AF" w:rsidRDefault="00CF72D5" w:rsidP="00897193">
            <w:pPr>
              <w:pStyle w:val="ARtabletext"/>
              <w:spacing w:before="70" w:after="50"/>
            </w:pPr>
            <w:r w:rsidRPr="002029AF">
              <w:t>Organisational</w:t>
            </w:r>
            <w:r w:rsidR="000A5329" w:rsidRPr="002029AF">
              <w:t xml:space="preserve"> </w:t>
            </w:r>
            <w:r w:rsidRPr="002029AF">
              <w:t>structure</w:t>
            </w:r>
          </w:p>
        </w:tc>
        <w:tc>
          <w:tcPr>
            <w:tcW w:w="1007" w:type="dxa"/>
            <w:tcBorders>
              <w:top w:val="nil"/>
            </w:tcBorders>
            <w:shd w:val="clear" w:color="auto" w:fill="auto"/>
          </w:tcPr>
          <w:p w14:paraId="32C73117" w14:textId="7024F704" w:rsidR="00CF72D5" w:rsidRPr="002029AF" w:rsidRDefault="00F96EDC" w:rsidP="00897193">
            <w:pPr>
              <w:pStyle w:val="ARtabletextright"/>
            </w:pPr>
            <w:r w:rsidRPr="002029AF">
              <w:fldChar w:fldCharType="begin"/>
            </w:r>
            <w:r w:rsidRPr="002029AF">
              <w:instrText xml:space="preserve"> PAGEREF _Ref52199172 \h </w:instrText>
            </w:r>
            <w:r w:rsidRPr="002029AF">
              <w:fldChar w:fldCharType="separate"/>
            </w:r>
            <w:r w:rsidR="00F3275D">
              <w:rPr>
                <w:noProof/>
              </w:rPr>
              <w:t>112</w:t>
            </w:r>
            <w:r w:rsidRPr="002029AF">
              <w:fldChar w:fldCharType="end"/>
            </w:r>
          </w:p>
        </w:tc>
      </w:tr>
      <w:tr w:rsidR="00CF72D5" w:rsidRPr="002029AF" w14:paraId="62CCC878" w14:textId="77777777" w:rsidTr="5A449E24">
        <w:trPr>
          <w:cantSplit/>
          <w:trHeight w:val="70"/>
        </w:trPr>
        <w:tc>
          <w:tcPr>
            <w:tcW w:w="9639" w:type="dxa"/>
            <w:gridSpan w:val="3"/>
            <w:tcBorders>
              <w:bottom w:val="nil"/>
            </w:tcBorders>
            <w:shd w:val="clear" w:color="auto" w:fill="auto"/>
          </w:tcPr>
          <w:p w14:paraId="567BB49D" w14:textId="1B1985CF" w:rsidR="00CF72D5" w:rsidRPr="002029AF" w:rsidRDefault="00CF72D5" w:rsidP="00897193">
            <w:pPr>
              <w:pStyle w:val="ARtabletext"/>
              <w:spacing w:before="70" w:after="50"/>
              <w:rPr>
                <w:b/>
              </w:rPr>
            </w:pPr>
            <w:r w:rsidRPr="002029AF">
              <w:rPr>
                <w:b/>
              </w:rPr>
              <w:t>Financial</w:t>
            </w:r>
            <w:r w:rsidR="000A5329" w:rsidRPr="002029AF">
              <w:rPr>
                <w:b/>
              </w:rPr>
              <w:t xml:space="preserve"> </w:t>
            </w:r>
            <w:r w:rsidRPr="002029AF">
              <w:rPr>
                <w:b/>
              </w:rPr>
              <w:t>and</w:t>
            </w:r>
            <w:r w:rsidR="000A5329" w:rsidRPr="002029AF">
              <w:rPr>
                <w:b/>
              </w:rPr>
              <w:t xml:space="preserve"> </w:t>
            </w:r>
            <w:r w:rsidRPr="002029AF">
              <w:rPr>
                <w:b/>
              </w:rPr>
              <w:t>other</w:t>
            </w:r>
            <w:r w:rsidR="000A5329" w:rsidRPr="002029AF">
              <w:rPr>
                <w:b/>
              </w:rPr>
              <w:t xml:space="preserve"> </w:t>
            </w:r>
            <w:r w:rsidRPr="002029AF">
              <w:rPr>
                <w:b/>
              </w:rPr>
              <w:t>information</w:t>
            </w:r>
          </w:p>
        </w:tc>
      </w:tr>
      <w:tr w:rsidR="00CF72D5" w:rsidRPr="002029AF" w14:paraId="76DF8B48" w14:textId="77777777" w:rsidTr="5A449E24">
        <w:trPr>
          <w:cantSplit/>
        </w:trPr>
        <w:tc>
          <w:tcPr>
            <w:tcW w:w="2014" w:type="dxa"/>
            <w:tcBorders>
              <w:top w:val="nil"/>
            </w:tcBorders>
            <w:shd w:val="clear" w:color="auto" w:fill="auto"/>
          </w:tcPr>
          <w:p w14:paraId="653390D6" w14:textId="505F45D9" w:rsidR="00CF72D5" w:rsidRPr="002029AF" w:rsidRDefault="00CF72D5" w:rsidP="00897193">
            <w:pPr>
              <w:pStyle w:val="ARtabletext"/>
              <w:spacing w:before="70" w:after="50"/>
            </w:pPr>
            <w:r w:rsidRPr="002029AF">
              <w:t>FRD</w:t>
            </w:r>
            <w:r w:rsidR="000A5329" w:rsidRPr="002029AF">
              <w:t xml:space="preserve"> </w:t>
            </w:r>
            <w:r w:rsidRPr="002029AF">
              <w:t>8D</w:t>
            </w:r>
          </w:p>
        </w:tc>
        <w:tc>
          <w:tcPr>
            <w:tcW w:w="6618" w:type="dxa"/>
            <w:tcBorders>
              <w:top w:val="nil"/>
            </w:tcBorders>
            <w:shd w:val="clear" w:color="auto" w:fill="auto"/>
          </w:tcPr>
          <w:p w14:paraId="06485B81" w14:textId="26A5352B" w:rsidR="00CF72D5" w:rsidRPr="002029AF" w:rsidRDefault="00CF72D5" w:rsidP="00897193">
            <w:pPr>
              <w:pStyle w:val="ARtabletext"/>
              <w:spacing w:before="70" w:after="50"/>
            </w:pPr>
            <w:r w:rsidRPr="002029AF">
              <w:t>Performance</w:t>
            </w:r>
            <w:r w:rsidR="000A5329" w:rsidRPr="002029AF">
              <w:t xml:space="preserve"> </w:t>
            </w:r>
            <w:r w:rsidRPr="002029AF">
              <w:t>against</w:t>
            </w:r>
            <w:r w:rsidR="000A5329" w:rsidRPr="002029AF">
              <w:t xml:space="preserve"> </w:t>
            </w:r>
            <w:r w:rsidRPr="002029AF">
              <w:t>output</w:t>
            </w:r>
            <w:r w:rsidR="000A5329" w:rsidRPr="002029AF">
              <w:t xml:space="preserve"> </w:t>
            </w:r>
            <w:r w:rsidRPr="002029AF">
              <w:t>performance</w:t>
            </w:r>
            <w:r w:rsidR="000A5329" w:rsidRPr="002029AF">
              <w:t xml:space="preserve"> </w:t>
            </w:r>
            <w:r w:rsidRPr="002029AF">
              <w:t>measures</w:t>
            </w:r>
          </w:p>
        </w:tc>
        <w:tc>
          <w:tcPr>
            <w:tcW w:w="1007" w:type="dxa"/>
            <w:tcBorders>
              <w:top w:val="nil"/>
            </w:tcBorders>
            <w:shd w:val="clear" w:color="auto" w:fill="auto"/>
          </w:tcPr>
          <w:p w14:paraId="20EB1DB6" w14:textId="04FE5F8C" w:rsidR="00CF72D5" w:rsidRPr="002029AF" w:rsidRDefault="000366A8" w:rsidP="00897193">
            <w:pPr>
              <w:pStyle w:val="ARtabletextright"/>
            </w:pPr>
            <w:r w:rsidRPr="002029AF">
              <w:fldChar w:fldCharType="begin"/>
            </w:r>
            <w:r w:rsidRPr="002029AF">
              <w:instrText xml:space="preserve"> PAGEREF _Ref52199959 \h </w:instrText>
            </w:r>
            <w:r w:rsidRPr="002029AF">
              <w:fldChar w:fldCharType="separate"/>
            </w:r>
            <w:r w:rsidR="00F3275D">
              <w:rPr>
                <w:noProof/>
              </w:rPr>
              <w:t>81</w:t>
            </w:r>
            <w:r w:rsidRPr="002029AF">
              <w:fldChar w:fldCharType="end"/>
            </w:r>
            <w:r w:rsidR="00CF72D5" w:rsidRPr="002029AF">
              <w:t>–</w:t>
            </w:r>
            <w:r w:rsidR="00DF3520" w:rsidRPr="002029AF">
              <w:fldChar w:fldCharType="begin"/>
            </w:r>
            <w:r w:rsidR="00DF3520" w:rsidRPr="002029AF">
              <w:instrText xml:space="preserve"> PAGEREF _Ref52200011 \h </w:instrText>
            </w:r>
            <w:r w:rsidR="00DF3520" w:rsidRPr="002029AF">
              <w:fldChar w:fldCharType="separate"/>
            </w:r>
            <w:r w:rsidR="00F3275D">
              <w:rPr>
                <w:noProof/>
              </w:rPr>
              <w:t>105</w:t>
            </w:r>
            <w:r w:rsidR="00DF3520" w:rsidRPr="002029AF">
              <w:fldChar w:fldCharType="end"/>
            </w:r>
          </w:p>
        </w:tc>
      </w:tr>
      <w:tr w:rsidR="00CF72D5" w:rsidRPr="002029AF" w14:paraId="56CA5F3F" w14:textId="77777777" w:rsidTr="5A449E24">
        <w:trPr>
          <w:cantSplit/>
        </w:trPr>
        <w:tc>
          <w:tcPr>
            <w:tcW w:w="2014" w:type="dxa"/>
            <w:tcBorders>
              <w:top w:val="nil"/>
            </w:tcBorders>
            <w:shd w:val="clear" w:color="auto" w:fill="auto"/>
          </w:tcPr>
          <w:p w14:paraId="78EF43E3" w14:textId="25268A10" w:rsidR="00CF72D5" w:rsidRPr="002029AF" w:rsidRDefault="00CF72D5" w:rsidP="00897193">
            <w:pPr>
              <w:pStyle w:val="ARtabletext"/>
              <w:spacing w:before="70" w:after="50"/>
            </w:pPr>
            <w:r w:rsidRPr="002029AF">
              <w:t>FRD</w:t>
            </w:r>
            <w:r w:rsidR="000A5329" w:rsidRPr="002029AF">
              <w:t xml:space="preserve"> </w:t>
            </w:r>
            <w:r w:rsidRPr="002029AF">
              <w:t>8D</w:t>
            </w:r>
          </w:p>
        </w:tc>
        <w:tc>
          <w:tcPr>
            <w:tcW w:w="6618" w:type="dxa"/>
            <w:tcBorders>
              <w:top w:val="nil"/>
            </w:tcBorders>
            <w:shd w:val="clear" w:color="auto" w:fill="auto"/>
          </w:tcPr>
          <w:p w14:paraId="0E0C49B0" w14:textId="576DA72E" w:rsidR="00CF72D5" w:rsidRPr="002029AF" w:rsidRDefault="00CF72D5" w:rsidP="00897193">
            <w:pPr>
              <w:pStyle w:val="ARtabletext"/>
              <w:spacing w:before="70" w:after="50"/>
            </w:pPr>
            <w:r w:rsidRPr="002029AF">
              <w:t>Budget</w:t>
            </w:r>
            <w:r w:rsidR="000A5329" w:rsidRPr="002029AF">
              <w:t xml:space="preserve"> </w:t>
            </w:r>
            <w:r w:rsidRPr="002029AF">
              <w:t>portfolio</w:t>
            </w:r>
            <w:r w:rsidR="000A5329" w:rsidRPr="002029AF">
              <w:t xml:space="preserve"> </w:t>
            </w:r>
            <w:r w:rsidRPr="002029AF">
              <w:t>outcomes</w:t>
            </w:r>
          </w:p>
        </w:tc>
        <w:tc>
          <w:tcPr>
            <w:tcW w:w="1007" w:type="dxa"/>
            <w:tcBorders>
              <w:top w:val="nil"/>
            </w:tcBorders>
            <w:shd w:val="clear" w:color="auto" w:fill="auto"/>
          </w:tcPr>
          <w:p w14:paraId="08739FE9" w14:textId="14F557CB" w:rsidR="00CF72D5" w:rsidRPr="002029AF" w:rsidRDefault="00E26072" w:rsidP="00897193">
            <w:pPr>
              <w:pStyle w:val="ARtabletextright"/>
            </w:pPr>
            <w:r w:rsidRPr="002029AF">
              <w:fldChar w:fldCharType="begin"/>
            </w:r>
            <w:r w:rsidRPr="002029AF">
              <w:instrText xml:space="preserve"> PAGEREF _Ref52200217 \h </w:instrText>
            </w:r>
            <w:r w:rsidRPr="002029AF">
              <w:fldChar w:fldCharType="separate"/>
            </w:r>
            <w:r w:rsidR="00F3275D">
              <w:rPr>
                <w:noProof/>
              </w:rPr>
              <w:t>280</w:t>
            </w:r>
            <w:r w:rsidRPr="002029AF">
              <w:fldChar w:fldCharType="end"/>
            </w:r>
            <w:r w:rsidR="004A3300" w:rsidRPr="002029AF">
              <w:t>–</w:t>
            </w:r>
            <w:r w:rsidR="00760330" w:rsidRPr="002029AF">
              <w:fldChar w:fldCharType="begin"/>
            </w:r>
            <w:r w:rsidR="00760330" w:rsidRPr="002029AF">
              <w:instrText xml:space="preserve"> PAGEREF _Ref52200260 \h </w:instrText>
            </w:r>
            <w:r w:rsidR="00760330" w:rsidRPr="002029AF">
              <w:fldChar w:fldCharType="separate"/>
            </w:r>
            <w:r w:rsidR="00F3275D">
              <w:rPr>
                <w:noProof/>
              </w:rPr>
              <w:t>286</w:t>
            </w:r>
            <w:r w:rsidR="00760330" w:rsidRPr="002029AF">
              <w:fldChar w:fldCharType="end"/>
            </w:r>
          </w:p>
        </w:tc>
      </w:tr>
      <w:tr w:rsidR="00CF72D5" w:rsidRPr="002029AF" w14:paraId="5E4C09C8" w14:textId="77777777" w:rsidTr="5A449E24">
        <w:trPr>
          <w:cantSplit/>
        </w:trPr>
        <w:tc>
          <w:tcPr>
            <w:tcW w:w="2014" w:type="dxa"/>
            <w:shd w:val="clear" w:color="auto" w:fill="auto"/>
          </w:tcPr>
          <w:p w14:paraId="2CB4D72B" w14:textId="11DF5828" w:rsidR="00CF72D5" w:rsidRPr="002029AF" w:rsidRDefault="00CF72D5" w:rsidP="00897193">
            <w:pPr>
              <w:pStyle w:val="ARtabletext"/>
              <w:spacing w:before="70" w:after="50"/>
            </w:pPr>
            <w:r w:rsidRPr="002029AF">
              <w:t>FRD</w:t>
            </w:r>
            <w:r w:rsidR="000A5329" w:rsidRPr="002029AF">
              <w:t xml:space="preserve"> </w:t>
            </w:r>
            <w:r w:rsidRPr="002029AF">
              <w:t>10A</w:t>
            </w:r>
          </w:p>
        </w:tc>
        <w:tc>
          <w:tcPr>
            <w:tcW w:w="6618" w:type="dxa"/>
            <w:shd w:val="clear" w:color="auto" w:fill="auto"/>
          </w:tcPr>
          <w:p w14:paraId="30AF59F3" w14:textId="4CC2D2F3" w:rsidR="00CF72D5" w:rsidRPr="002029AF" w:rsidRDefault="00CF72D5" w:rsidP="00897193">
            <w:pPr>
              <w:pStyle w:val="ARtabletext"/>
              <w:spacing w:before="70" w:after="50"/>
            </w:pPr>
            <w:r w:rsidRPr="002029AF">
              <w:t>Disclosure</w:t>
            </w:r>
            <w:r w:rsidR="000A5329" w:rsidRPr="002029AF">
              <w:t xml:space="preserve"> </w:t>
            </w:r>
            <w:r w:rsidRPr="002029AF">
              <w:t>index</w:t>
            </w:r>
          </w:p>
        </w:tc>
        <w:tc>
          <w:tcPr>
            <w:tcW w:w="1007" w:type="dxa"/>
            <w:shd w:val="clear" w:color="auto" w:fill="auto"/>
          </w:tcPr>
          <w:p w14:paraId="521A8423" w14:textId="72F5BA3B" w:rsidR="00CF72D5" w:rsidRPr="002029AF" w:rsidRDefault="00CF72D5" w:rsidP="00897193">
            <w:pPr>
              <w:pStyle w:val="ARtabletextright"/>
            </w:pPr>
            <w:r w:rsidRPr="002029AF">
              <w:fldChar w:fldCharType="begin"/>
            </w:r>
            <w:r w:rsidRPr="002029AF">
              <w:instrText xml:space="preserve"> PAGEREF _Ref21862080 \h </w:instrText>
            </w:r>
            <w:r w:rsidRPr="002029AF">
              <w:fldChar w:fldCharType="separate"/>
            </w:r>
            <w:r w:rsidR="00F3275D">
              <w:rPr>
                <w:noProof/>
              </w:rPr>
              <w:t>294</w:t>
            </w:r>
            <w:r w:rsidRPr="002029AF">
              <w:fldChar w:fldCharType="end"/>
            </w:r>
            <w:r w:rsidRPr="002029AF">
              <w:t>–</w:t>
            </w:r>
            <w:r w:rsidRPr="002029AF">
              <w:fldChar w:fldCharType="begin"/>
            </w:r>
            <w:r w:rsidRPr="002029AF">
              <w:instrText xml:space="preserve"> PAGEREF _Ref21862086 \h </w:instrText>
            </w:r>
            <w:r w:rsidRPr="002029AF">
              <w:fldChar w:fldCharType="separate"/>
            </w:r>
            <w:r w:rsidR="00F3275D">
              <w:rPr>
                <w:noProof/>
              </w:rPr>
              <w:t>296</w:t>
            </w:r>
            <w:r w:rsidRPr="002029AF">
              <w:fldChar w:fldCharType="end"/>
            </w:r>
          </w:p>
        </w:tc>
      </w:tr>
      <w:tr w:rsidR="00CF72D5" w:rsidRPr="002029AF" w14:paraId="68F88FF9" w14:textId="77777777" w:rsidTr="5A449E24">
        <w:trPr>
          <w:cantSplit/>
        </w:trPr>
        <w:tc>
          <w:tcPr>
            <w:tcW w:w="2014" w:type="dxa"/>
            <w:shd w:val="clear" w:color="auto" w:fill="auto"/>
          </w:tcPr>
          <w:p w14:paraId="26201A0B" w14:textId="1301B2BB" w:rsidR="00CF72D5" w:rsidRPr="002029AF" w:rsidRDefault="00CF72D5" w:rsidP="00897193">
            <w:pPr>
              <w:pStyle w:val="ARtabletext"/>
              <w:spacing w:before="70" w:after="50"/>
            </w:pPr>
            <w:r w:rsidRPr="002029AF">
              <w:t>FRD</w:t>
            </w:r>
            <w:r w:rsidR="000A5329" w:rsidRPr="002029AF">
              <w:t xml:space="preserve"> </w:t>
            </w:r>
            <w:r w:rsidRPr="002029AF">
              <w:t>12B</w:t>
            </w:r>
          </w:p>
        </w:tc>
        <w:tc>
          <w:tcPr>
            <w:tcW w:w="6618" w:type="dxa"/>
            <w:shd w:val="clear" w:color="auto" w:fill="auto"/>
          </w:tcPr>
          <w:p w14:paraId="3893F06A" w14:textId="2E3DE2EF" w:rsidR="00CF72D5" w:rsidRPr="002029AF" w:rsidRDefault="00CF72D5" w:rsidP="00897193">
            <w:pPr>
              <w:pStyle w:val="ARtabletext"/>
              <w:spacing w:before="70" w:after="50"/>
            </w:pPr>
            <w:r w:rsidRPr="002029AF">
              <w:t>Disclosure</w:t>
            </w:r>
            <w:r w:rsidR="000A5329" w:rsidRPr="002029AF">
              <w:t xml:space="preserve"> </w:t>
            </w:r>
            <w:r w:rsidRPr="002029AF">
              <w:t>of</w:t>
            </w:r>
            <w:r w:rsidR="000A5329" w:rsidRPr="002029AF">
              <w:t xml:space="preserve"> </w:t>
            </w:r>
            <w:r w:rsidRPr="002029AF">
              <w:t>major</w:t>
            </w:r>
            <w:r w:rsidR="000A5329" w:rsidRPr="002029AF">
              <w:t xml:space="preserve"> </w:t>
            </w:r>
            <w:r w:rsidRPr="002029AF">
              <w:t>contracts</w:t>
            </w:r>
          </w:p>
        </w:tc>
        <w:tc>
          <w:tcPr>
            <w:tcW w:w="1007" w:type="dxa"/>
            <w:shd w:val="clear" w:color="auto" w:fill="auto"/>
          </w:tcPr>
          <w:p w14:paraId="1E7AD2E0" w14:textId="239E3F9F" w:rsidR="00CF72D5" w:rsidRPr="002029AF" w:rsidRDefault="00CF72D5" w:rsidP="00897193">
            <w:pPr>
              <w:pStyle w:val="ARtabletextright"/>
            </w:pPr>
            <w:r w:rsidRPr="002029AF">
              <w:fldChar w:fldCharType="begin"/>
            </w:r>
            <w:r w:rsidRPr="002029AF">
              <w:instrText xml:space="preserve"> PAGEREF _Ref21862226 \h </w:instrText>
            </w:r>
            <w:r w:rsidRPr="002029AF">
              <w:fldChar w:fldCharType="separate"/>
            </w:r>
            <w:r w:rsidR="00F3275D">
              <w:rPr>
                <w:noProof/>
              </w:rPr>
              <w:t>155</w:t>
            </w:r>
            <w:r w:rsidRPr="002029AF">
              <w:fldChar w:fldCharType="end"/>
            </w:r>
          </w:p>
        </w:tc>
      </w:tr>
      <w:tr w:rsidR="00CF72D5" w:rsidRPr="002029AF" w14:paraId="70674335" w14:textId="77777777" w:rsidTr="5A449E24">
        <w:trPr>
          <w:cantSplit/>
        </w:trPr>
        <w:tc>
          <w:tcPr>
            <w:tcW w:w="2014" w:type="dxa"/>
            <w:shd w:val="clear" w:color="auto" w:fill="auto"/>
          </w:tcPr>
          <w:p w14:paraId="22B830EE" w14:textId="4E250619" w:rsidR="00CF72D5" w:rsidRPr="002029AF" w:rsidRDefault="00CF72D5" w:rsidP="00897193">
            <w:pPr>
              <w:pStyle w:val="ARtabletext"/>
              <w:spacing w:before="70" w:after="50"/>
            </w:pPr>
            <w:r w:rsidRPr="002029AF">
              <w:t>FRD</w:t>
            </w:r>
            <w:r w:rsidR="000A5329" w:rsidRPr="002029AF">
              <w:t xml:space="preserve"> </w:t>
            </w:r>
            <w:r w:rsidRPr="002029AF">
              <w:t>15D</w:t>
            </w:r>
          </w:p>
        </w:tc>
        <w:tc>
          <w:tcPr>
            <w:tcW w:w="6618" w:type="dxa"/>
            <w:shd w:val="clear" w:color="auto" w:fill="auto"/>
          </w:tcPr>
          <w:p w14:paraId="0F39DC67" w14:textId="3BEDD5DF" w:rsidR="00CF72D5" w:rsidRPr="002029AF" w:rsidRDefault="00CF72D5" w:rsidP="00897193">
            <w:pPr>
              <w:pStyle w:val="ARtabletext"/>
              <w:spacing w:before="70" w:after="50"/>
            </w:pPr>
            <w:r w:rsidRPr="002029AF">
              <w:t>Executive</w:t>
            </w:r>
            <w:r w:rsidR="000A5329" w:rsidRPr="002029AF">
              <w:t xml:space="preserve"> </w:t>
            </w:r>
            <w:r w:rsidRPr="002029AF">
              <w:t>officer</w:t>
            </w:r>
            <w:r w:rsidR="000A5329" w:rsidRPr="002029AF">
              <w:t xml:space="preserve"> </w:t>
            </w:r>
            <w:r w:rsidRPr="002029AF">
              <w:t>disclosures</w:t>
            </w:r>
          </w:p>
        </w:tc>
        <w:tc>
          <w:tcPr>
            <w:tcW w:w="1007" w:type="dxa"/>
            <w:shd w:val="clear" w:color="auto" w:fill="auto"/>
          </w:tcPr>
          <w:p w14:paraId="39C908E6" w14:textId="470814D2" w:rsidR="00CF72D5" w:rsidRPr="002029AF" w:rsidRDefault="00CF72D5" w:rsidP="00897193">
            <w:pPr>
              <w:pStyle w:val="ARtabletextright"/>
            </w:pPr>
            <w:r w:rsidRPr="002029AF">
              <w:fldChar w:fldCharType="begin"/>
            </w:r>
            <w:r w:rsidRPr="002029AF">
              <w:instrText xml:space="preserve"> PAGEREF Executive_officer_disclosures_start \h </w:instrText>
            </w:r>
            <w:r w:rsidRPr="002029AF">
              <w:fldChar w:fldCharType="separate"/>
            </w:r>
            <w:r w:rsidR="00F3275D">
              <w:rPr>
                <w:noProof/>
              </w:rPr>
              <w:t>140</w:t>
            </w:r>
            <w:r w:rsidRPr="002029AF">
              <w:fldChar w:fldCharType="end"/>
            </w:r>
            <w:r w:rsidRPr="002029AF">
              <w:t>–</w:t>
            </w:r>
            <w:r w:rsidR="005A4114" w:rsidRPr="002029AF">
              <w:fldChar w:fldCharType="begin"/>
            </w:r>
            <w:r w:rsidR="005A4114" w:rsidRPr="002029AF">
              <w:instrText xml:space="preserve"> PAGEREF Executive_officer_disclosures_end \h </w:instrText>
            </w:r>
            <w:r w:rsidR="005A4114" w:rsidRPr="002029AF">
              <w:fldChar w:fldCharType="separate"/>
            </w:r>
            <w:r w:rsidR="00F3275D">
              <w:rPr>
                <w:noProof/>
              </w:rPr>
              <w:t>144</w:t>
            </w:r>
            <w:r w:rsidR="005A4114" w:rsidRPr="002029AF">
              <w:fldChar w:fldCharType="end"/>
            </w:r>
          </w:p>
        </w:tc>
      </w:tr>
      <w:tr w:rsidR="00CF72D5" w:rsidRPr="002029AF" w14:paraId="16666C63" w14:textId="77777777" w:rsidTr="5A449E24">
        <w:trPr>
          <w:cantSplit/>
        </w:trPr>
        <w:tc>
          <w:tcPr>
            <w:tcW w:w="2014" w:type="dxa"/>
            <w:shd w:val="clear" w:color="auto" w:fill="auto"/>
          </w:tcPr>
          <w:p w14:paraId="448A386C" w14:textId="5E311D8B" w:rsidR="00CF72D5" w:rsidRPr="002029AF" w:rsidRDefault="00CF72D5" w:rsidP="00897193">
            <w:pPr>
              <w:pStyle w:val="ARtabletext"/>
              <w:spacing w:before="70" w:after="50"/>
            </w:pPr>
            <w:r w:rsidRPr="002029AF">
              <w:t>FRD</w:t>
            </w:r>
            <w:r w:rsidR="000A5329" w:rsidRPr="002029AF">
              <w:t xml:space="preserve"> </w:t>
            </w:r>
            <w:r w:rsidRPr="002029AF">
              <w:t>22H</w:t>
            </w:r>
          </w:p>
        </w:tc>
        <w:tc>
          <w:tcPr>
            <w:tcW w:w="6618" w:type="dxa"/>
            <w:shd w:val="clear" w:color="auto" w:fill="auto"/>
          </w:tcPr>
          <w:p w14:paraId="05A35DEE" w14:textId="465D5C63" w:rsidR="00CF72D5" w:rsidRPr="002029AF" w:rsidRDefault="00CF72D5" w:rsidP="00897193">
            <w:pPr>
              <w:pStyle w:val="ARtabletext"/>
              <w:spacing w:before="70" w:after="50"/>
            </w:pPr>
            <w:r w:rsidRPr="002029AF">
              <w:t>Employment</w:t>
            </w:r>
            <w:r w:rsidR="000A5329" w:rsidRPr="002029AF">
              <w:t xml:space="preserve"> </w:t>
            </w:r>
            <w:r w:rsidRPr="002029AF">
              <w:t>and</w:t>
            </w:r>
            <w:r w:rsidR="000A5329" w:rsidRPr="002029AF">
              <w:t xml:space="preserve"> </w:t>
            </w:r>
            <w:r w:rsidRPr="002029AF">
              <w:t>conduct</w:t>
            </w:r>
            <w:r w:rsidR="000A5329" w:rsidRPr="002029AF">
              <w:t xml:space="preserve"> </w:t>
            </w:r>
            <w:r w:rsidRPr="002029AF">
              <w:t>principles</w:t>
            </w:r>
          </w:p>
        </w:tc>
        <w:tc>
          <w:tcPr>
            <w:tcW w:w="1007" w:type="dxa"/>
            <w:shd w:val="clear" w:color="auto" w:fill="auto"/>
          </w:tcPr>
          <w:p w14:paraId="67572D01" w14:textId="35456F3E" w:rsidR="00CF72D5" w:rsidRPr="002029AF" w:rsidRDefault="00CF72D5" w:rsidP="00897193">
            <w:pPr>
              <w:pStyle w:val="ARtabletextright"/>
            </w:pPr>
            <w:r w:rsidRPr="002029AF">
              <w:fldChar w:fldCharType="begin"/>
            </w:r>
            <w:r w:rsidRPr="002029AF">
              <w:instrText xml:space="preserve"> PAGEREF _Ref21862448 \h </w:instrText>
            </w:r>
            <w:r w:rsidRPr="002029AF">
              <w:fldChar w:fldCharType="separate"/>
            </w:r>
            <w:r w:rsidR="00F3275D">
              <w:rPr>
                <w:noProof/>
              </w:rPr>
              <w:t>116</w:t>
            </w:r>
            <w:r w:rsidRPr="002029AF">
              <w:fldChar w:fldCharType="end"/>
            </w:r>
          </w:p>
        </w:tc>
      </w:tr>
      <w:tr w:rsidR="00CF72D5" w:rsidRPr="002029AF" w14:paraId="59214C7C" w14:textId="77777777" w:rsidTr="5A449E24">
        <w:trPr>
          <w:cantSplit/>
        </w:trPr>
        <w:tc>
          <w:tcPr>
            <w:tcW w:w="2014" w:type="dxa"/>
            <w:shd w:val="clear" w:color="auto" w:fill="auto"/>
          </w:tcPr>
          <w:p w14:paraId="7258D074" w14:textId="5E3A18DB" w:rsidR="00CF72D5" w:rsidRPr="002029AF" w:rsidRDefault="00CF72D5" w:rsidP="00897193">
            <w:pPr>
              <w:pStyle w:val="ARtabletext"/>
              <w:spacing w:before="70" w:after="50"/>
            </w:pPr>
            <w:r w:rsidRPr="002029AF">
              <w:t>FRD</w:t>
            </w:r>
            <w:r w:rsidR="000A5329" w:rsidRPr="002029AF">
              <w:t xml:space="preserve"> </w:t>
            </w:r>
            <w:r w:rsidRPr="002029AF">
              <w:t>22H</w:t>
            </w:r>
          </w:p>
        </w:tc>
        <w:tc>
          <w:tcPr>
            <w:tcW w:w="6618" w:type="dxa"/>
            <w:shd w:val="clear" w:color="auto" w:fill="auto"/>
          </w:tcPr>
          <w:p w14:paraId="5441DEB6" w14:textId="5096BFAE" w:rsidR="00CF72D5" w:rsidRPr="002029AF" w:rsidRDefault="00CF72D5" w:rsidP="00897193">
            <w:pPr>
              <w:pStyle w:val="ARtabletext"/>
              <w:spacing w:before="70" w:after="50"/>
            </w:pPr>
            <w:r w:rsidRPr="002029AF">
              <w:t>Occupational</w:t>
            </w:r>
            <w:r w:rsidR="000A5329" w:rsidRPr="002029AF">
              <w:t xml:space="preserve"> </w:t>
            </w:r>
            <w:r w:rsidRPr="002029AF">
              <w:t>health</w:t>
            </w:r>
            <w:r w:rsidR="000A5329" w:rsidRPr="002029AF">
              <w:t xml:space="preserve"> </w:t>
            </w:r>
            <w:r w:rsidRPr="002029AF">
              <w:t>and</w:t>
            </w:r>
            <w:r w:rsidR="000A5329" w:rsidRPr="002029AF">
              <w:t xml:space="preserve"> </w:t>
            </w:r>
            <w:r w:rsidRPr="002029AF">
              <w:t>safety</w:t>
            </w:r>
            <w:r w:rsidR="000A5329" w:rsidRPr="002029AF">
              <w:t xml:space="preserve"> </w:t>
            </w:r>
            <w:r w:rsidRPr="002029AF">
              <w:t>management</w:t>
            </w:r>
            <w:r w:rsidR="000A5329" w:rsidRPr="002029AF">
              <w:t xml:space="preserve"> </w:t>
            </w:r>
            <w:r w:rsidRPr="002029AF">
              <w:t>measures</w:t>
            </w:r>
          </w:p>
        </w:tc>
        <w:tc>
          <w:tcPr>
            <w:tcW w:w="1007" w:type="dxa"/>
            <w:shd w:val="clear" w:color="auto" w:fill="auto"/>
          </w:tcPr>
          <w:p w14:paraId="7E09CD98" w14:textId="773ABC60" w:rsidR="00CF72D5" w:rsidRPr="002029AF" w:rsidRDefault="00CF72D5" w:rsidP="00897193">
            <w:pPr>
              <w:pStyle w:val="ARtabletextright"/>
            </w:pPr>
            <w:r w:rsidRPr="002029AF">
              <w:fldChar w:fldCharType="begin"/>
            </w:r>
            <w:r w:rsidRPr="002029AF">
              <w:instrText xml:space="preserve"> PAGEREF _Ref21955871 \h </w:instrText>
            </w:r>
            <w:r w:rsidRPr="002029AF">
              <w:fldChar w:fldCharType="separate"/>
            </w:r>
            <w:r w:rsidR="00F3275D">
              <w:rPr>
                <w:noProof/>
              </w:rPr>
              <w:t>146</w:t>
            </w:r>
            <w:r w:rsidRPr="002029AF">
              <w:fldChar w:fldCharType="end"/>
            </w:r>
            <w:r w:rsidRPr="002029AF">
              <w:t>–</w:t>
            </w:r>
            <w:r w:rsidRPr="002029AF">
              <w:fldChar w:fldCharType="begin"/>
            </w:r>
            <w:r w:rsidRPr="002029AF">
              <w:instrText xml:space="preserve"> PAGEREF Environmental_performance_end \h </w:instrText>
            </w:r>
            <w:r w:rsidRPr="002029AF">
              <w:fldChar w:fldCharType="separate"/>
            </w:r>
            <w:r w:rsidR="00F3275D">
              <w:rPr>
                <w:noProof/>
              </w:rPr>
              <w:t>148</w:t>
            </w:r>
            <w:r w:rsidRPr="002029AF">
              <w:fldChar w:fldCharType="end"/>
            </w:r>
          </w:p>
        </w:tc>
      </w:tr>
      <w:tr w:rsidR="00CF72D5" w:rsidRPr="002029AF" w14:paraId="54128D05" w14:textId="77777777" w:rsidTr="5A449E24">
        <w:trPr>
          <w:cantSplit/>
        </w:trPr>
        <w:tc>
          <w:tcPr>
            <w:tcW w:w="2014" w:type="dxa"/>
            <w:shd w:val="clear" w:color="auto" w:fill="auto"/>
          </w:tcPr>
          <w:p w14:paraId="6D800C15" w14:textId="537A807A" w:rsidR="00CF72D5" w:rsidRPr="002029AF" w:rsidRDefault="00CF72D5" w:rsidP="00897193">
            <w:pPr>
              <w:pStyle w:val="ARtabletext"/>
              <w:spacing w:before="70" w:after="50"/>
            </w:pPr>
            <w:r w:rsidRPr="002029AF">
              <w:t>FRD</w:t>
            </w:r>
            <w:r w:rsidR="000A5329" w:rsidRPr="002029AF">
              <w:t xml:space="preserve"> </w:t>
            </w:r>
            <w:r w:rsidRPr="002029AF">
              <w:t>22H</w:t>
            </w:r>
          </w:p>
        </w:tc>
        <w:tc>
          <w:tcPr>
            <w:tcW w:w="6618" w:type="dxa"/>
            <w:shd w:val="clear" w:color="auto" w:fill="auto"/>
          </w:tcPr>
          <w:p w14:paraId="645C7611" w14:textId="6F3536E9" w:rsidR="00CF72D5" w:rsidRPr="002029AF" w:rsidRDefault="00CF72D5" w:rsidP="00897193">
            <w:pPr>
              <w:pStyle w:val="ARtabletext"/>
              <w:spacing w:before="70" w:after="50"/>
            </w:pPr>
            <w:r w:rsidRPr="002029AF">
              <w:t>Summary</w:t>
            </w:r>
            <w:r w:rsidR="000A5329" w:rsidRPr="002029AF">
              <w:t xml:space="preserve"> </w:t>
            </w:r>
            <w:r w:rsidRPr="002029AF">
              <w:t>of</w:t>
            </w:r>
            <w:r w:rsidR="000A5329" w:rsidRPr="002029AF">
              <w:t xml:space="preserve"> </w:t>
            </w:r>
            <w:r w:rsidRPr="002029AF">
              <w:t>the</w:t>
            </w:r>
            <w:r w:rsidR="000A5329" w:rsidRPr="002029AF">
              <w:t xml:space="preserve"> </w:t>
            </w:r>
            <w:r w:rsidRPr="002029AF">
              <w:t>financial</w:t>
            </w:r>
            <w:r w:rsidR="000A5329" w:rsidRPr="002029AF">
              <w:t xml:space="preserve"> </w:t>
            </w:r>
            <w:r w:rsidRPr="002029AF">
              <w:t>results</w:t>
            </w:r>
            <w:r w:rsidR="000A5329" w:rsidRPr="002029AF">
              <w:t xml:space="preserve"> </w:t>
            </w:r>
            <w:r w:rsidRPr="002029AF">
              <w:t>for</w:t>
            </w:r>
            <w:r w:rsidR="000A5329" w:rsidRPr="002029AF">
              <w:t xml:space="preserve"> </w:t>
            </w:r>
            <w:r w:rsidRPr="002029AF">
              <w:t>the</w:t>
            </w:r>
            <w:r w:rsidR="000A5329" w:rsidRPr="002029AF">
              <w:t xml:space="preserve"> </w:t>
            </w:r>
            <w:r w:rsidRPr="002029AF">
              <w:t>year</w:t>
            </w:r>
          </w:p>
        </w:tc>
        <w:tc>
          <w:tcPr>
            <w:tcW w:w="1007" w:type="dxa"/>
            <w:shd w:val="clear" w:color="auto" w:fill="auto"/>
          </w:tcPr>
          <w:p w14:paraId="4A2A4E81" w14:textId="34D65CDF" w:rsidR="00CF72D5" w:rsidRPr="002029AF" w:rsidRDefault="00AF10CC" w:rsidP="00AF10CC">
            <w:pPr>
              <w:pStyle w:val="ARtabletextright"/>
            </w:pPr>
            <w:r w:rsidRPr="002029AF">
              <w:fldChar w:fldCharType="begin"/>
            </w:r>
            <w:r w:rsidRPr="002029AF">
              <w:instrText xml:space="preserve"> PAGEREF _Ref52453812 \h </w:instrText>
            </w:r>
            <w:r w:rsidRPr="002029AF">
              <w:fldChar w:fldCharType="separate"/>
            </w:r>
            <w:r w:rsidR="00F3275D">
              <w:rPr>
                <w:noProof/>
              </w:rPr>
              <w:t>107</w:t>
            </w:r>
            <w:r w:rsidRPr="002029AF">
              <w:fldChar w:fldCharType="end"/>
            </w:r>
            <w:r w:rsidR="00FC2F9E" w:rsidRPr="002029AF">
              <w:t>–</w:t>
            </w:r>
            <w:r w:rsidRPr="002029AF">
              <w:fldChar w:fldCharType="begin"/>
            </w:r>
            <w:r w:rsidRPr="002029AF">
              <w:instrText xml:space="preserve"> PAGEREF _Ref52263715 \h </w:instrText>
            </w:r>
            <w:r w:rsidRPr="002029AF">
              <w:fldChar w:fldCharType="separate"/>
            </w:r>
            <w:r w:rsidR="00F3275D">
              <w:rPr>
                <w:noProof/>
              </w:rPr>
              <w:t>108</w:t>
            </w:r>
            <w:r w:rsidRPr="002029AF">
              <w:fldChar w:fldCharType="end"/>
            </w:r>
          </w:p>
        </w:tc>
      </w:tr>
      <w:tr w:rsidR="00CF72D5" w:rsidRPr="002029AF" w14:paraId="6714739B" w14:textId="77777777" w:rsidTr="5A449E24">
        <w:trPr>
          <w:cantSplit/>
        </w:trPr>
        <w:tc>
          <w:tcPr>
            <w:tcW w:w="2014" w:type="dxa"/>
            <w:shd w:val="clear" w:color="auto" w:fill="auto"/>
          </w:tcPr>
          <w:p w14:paraId="66B8D0B5" w14:textId="7C0ADDBF" w:rsidR="00CF72D5" w:rsidRPr="002029AF" w:rsidRDefault="00CF72D5" w:rsidP="00897193">
            <w:pPr>
              <w:pStyle w:val="ARtabletext"/>
              <w:spacing w:before="70" w:after="50"/>
            </w:pPr>
            <w:r w:rsidRPr="002029AF">
              <w:t>FRD</w:t>
            </w:r>
            <w:r w:rsidR="000A5329" w:rsidRPr="002029AF">
              <w:t xml:space="preserve"> </w:t>
            </w:r>
            <w:r w:rsidRPr="002029AF">
              <w:t>22H</w:t>
            </w:r>
          </w:p>
        </w:tc>
        <w:tc>
          <w:tcPr>
            <w:tcW w:w="6618" w:type="dxa"/>
            <w:shd w:val="clear" w:color="auto" w:fill="auto"/>
          </w:tcPr>
          <w:p w14:paraId="5B2B8C10" w14:textId="06C31ABB" w:rsidR="00CF72D5" w:rsidRPr="002029AF" w:rsidRDefault="00CF72D5" w:rsidP="00897193">
            <w:pPr>
              <w:pStyle w:val="ARtabletext"/>
              <w:spacing w:before="70" w:after="50"/>
            </w:pPr>
            <w:r w:rsidRPr="002029AF">
              <w:t>Significant</w:t>
            </w:r>
            <w:r w:rsidR="000A5329" w:rsidRPr="002029AF">
              <w:t xml:space="preserve"> </w:t>
            </w:r>
            <w:r w:rsidRPr="002029AF">
              <w:t>changes</w:t>
            </w:r>
            <w:r w:rsidR="000A5329" w:rsidRPr="002029AF">
              <w:t xml:space="preserve"> </w:t>
            </w:r>
            <w:r w:rsidRPr="002029AF">
              <w:t>in</w:t>
            </w:r>
            <w:r w:rsidR="000A5329" w:rsidRPr="002029AF">
              <w:t xml:space="preserve"> </w:t>
            </w:r>
            <w:r w:rsidRPr="002029AF">
              <w:t>financial</w:t>
            </w:r>
            <w:r w:rsidR="000A5329" w:rsidRPr="002029AF">
              <w:t xml:space="preserve"> </w:t>
            </w:r>
            <w:r w:rsidRPr="002029AF">
              <w:t>position</w:t>
            </w:r>
            <w:r w:rsidR="000A5329" w:rsidRPr="002029AF">
              <w:t xml:space="preserve"> </w:t>
            </w:r>
            <w:r w:rsidRPr="002029AF">
              <w:t>during</w:t>
            </w:r>
            <w:r w:rsidR="000A5329" w:rsidRPr="002029AF">
              <w:t xml:space="preserve"> </w:t>
            </w:r>
            <w:r w:rsidRPr="002029AF">
              <w:t>the</w:t>
            </w:r>
            <w:r w:rsidR="000A5329" w:rsidRPr="002029AF">
              <w:t xml:space="preserve"> </w:t>
            </w:r>
            <w:r w:rsidRPr="002029AF">
              <w:t>year</w:t>
            </w:r>
          </w:p>
        </w:tc>
        <w:tc>
          <w:tcPr>
            <w:tcW w:w="1007" w:type="dxa"/>
            <w:shd w:val="clear" w:color="auto" w:fill="auto"/>
          </w:tcPr>
          <w:p w14:paraId="30A939A0" w14:textId="2C194CD1" w:rsidR="00CF72D5" w:rsidRPr="002029AF" w:rsidRDefault="002707A8" w:rsidP="002707A8">
            <w:pPr>
              <w:pStyle w:val="ARtabletextright"/>
            </w:pPr>
            <w:r w:rsidRPr="002029AF">
              <w:fldChar w:fldCharType="begin"/>
            </w:r>
            <w:r w:rsidRPr="002029AF">
              <w:instrText xml:space="preserve"> PAGEREF _Ref52453812 \h </w:instrText>
            </w:r>
            <w:r w:rsidRPr="002029AF">
              <w:fldChar w:fldCharType="separate"/>
            </w:r>
            <w:r w:rsidR="00F3275D">
              <w:rPr>
                <w:noProof/>
              </w:rPr>
              <w:t>107</w:t>
            </w:r>
            <w:r w:rsidRPr="002029AF">
              <w:fldChar w:fldCharType="end"/>
            </w:r>
            <w:r w:rsidR="00FC2F9E" w:rsidRPr="002029AF">
              <w:t>–</w:t>
            </w:r>
            <w:r w:rsidRPr="002029AF">
              <w:fldChar w:fldCharType="begin"/>
            </w:r>
            <w:r w:rsidRPr="002029AF">
              <w:instrText xml:space="preserve"> PAGEREF _Ref52263715 \h </w:instrText>
            </w:r>
            <w:r w:rsidRPr="002029AF">
              <w:fldChar w:fldCharType="separate"/>
            </w:r>
            <w:r w:rsidR="00F3275D">
              <w:rPr>
                <w:noProof/>
              </w:rPr>
              <w:t>108</w:t>
            </w:r>
            <w:r w:rsidRPr="002029AF">
              <w:fldChar w:fldCharType="end"/>
            </w:r>
          </w:p>
        </w:tc>
      </w:tr>
      <w:tr w:rsidR="00CF72D5" w:rsidRPr="002029AF" w14:paraId="6C83BD2F" w14:textId="77777777" w:rsidTr="5A449E24">
        <w:trPr>
          <w:cantSplit/>
        </w:trPr>
        <w:tc>
          <w:tcPr>
            <w:tcW w:w="2014" w:type="dxa"/>
            <w:shd w:val="clear" w:color="auto" w:fill="auto"/>
          </w:tcPr>
          <w:p w14:paraId="16A40243" w14:textId="418046AF" w:rsidR="00CF72D5" w:rsidRPr="002029AF" w:rsidRDefault="00CF72D5" w:rsidP="00897193">
            <w:pPr>
              <w:pStyle w:val="ARtabletext"/>
              <w:spacing w:before="70" w:after="50"/>
            </w:pPr>
            <w:r w:rsidRPr="002029AF">
              <w:t>FRD</w:t>
            </w:r>
            <w:r w:rsidR="000A5329" w:rsidRPr="002029AF">
              <w:t xml:space="preserve"> </w:t>
            </w:r>
            <w:r w:rsidRPr="002029AF">
              <w:t>22H</w:t>
            </w:r>
          </w:p>
        </w:tc>
        <w:tc>
          <w:tcPr>
            <w:tcW w:w="6618" w:type="dxa"/>
            <w:shd w:val="clear" w:color="auto" w:fill="auto"/>
          </w:tcPr>
          <w:p w14:paraId="2CF78EF8" w14:textId="0017BCC8" w:rsidR="00CF72D5" w:rsidRPr="002029AF" w:rsidRDefault="00CF72D5" w:rsidP="00897193">
            <w:pPr>
              <w:pStyle w:val="ARtabletext"/>
              <w:spacing w:before="70" w:after="50"/>
            </w:pPr>
            <w:r w:rsidRPr="002029AF">
              <w:t>Major</w:t>
            </w:r>
            <w:r w:rsidR="000A5329" w:rsidRPr="002029AF">
              <w:t xml:space="preserve"> </w:t>
            </w:r>
            <w:r w:rsidRPr="002029AF">
              <w:t>changes</w:t>
            </w:r>
            <w:r w:rsidR="000A5329" w:rsidRPr="002029AF">
              <w:t xml:space="preserve"> </w:t>
            </w:r>
            <w:r w:rsidRPr="002029AF">
              <w:t>or</w:t>
            </w:r>
            <w:r w:rsidR="000A5329" w:rsidRPr="002029AF">
              <w:t xml:space="preserve"> </w:t>
            </w:r>
            <w:r w:rsidRPr="002029AF">
              <w:t>factors</w:t>
            </w:r>
            <w:r w:rsidR="000A5329" w:rsidRPr="002029AF">
              <w:t xml:space="preserve"> </w:t>
            </w:r>
            <w:r w:rsidRPr="002029AF">
              <w:t>affecting</w:t>
            </w:r>
            <w:r w:rsidR="000A5329" w:rsidRPr="002029AF">
              <w:t xml:space="preserve"> </w:t>
            </w:r>
            <w:r w:rsidRPr="002029AF">
              <w:t>performance</w:t>
            </w:r>
          </w:p>
        </w:tc>
        <w:tc>
          <w:tcPr>
            <w:tcW w:w="1007" w:type="dxa"/>
            <w:shd w:val="clear" w:color="auto" w:fill="auto"/>
          </w:tcPr>
          <w:p w14:paraId="303496A3" w14:textId="617FD371" w:rsidR="00CF72D5" w:rsidRPr="002029AF" w:rsidRDefault="002707A8" w:rsidP="002707A8">
            <w:pPr>
              <w:pStyle w:val="ARtabletextright"/>
            </w:pPr>
            <w:r w:rsidRPr="002029AF">
              <w:fldChar w:fldCharType="begin"/>
            </w:r>
            <w:r w:rsidRPr="002029AF">
              <w:instrText xml:space="preserve"> PAGEREF _Ref52453812 \h </w:instrText>
            </w:r>
            <w:r w:rsidRPr="002029AF">
              <w:fldChar w:fldCharType="separate"/>
            </w:r>
            <w:r w:rsidR="00F3275D">
              <w:rPr>
                <w:noProof/>
              </w:rPr>
              <w:t>107</w:t>
            </w:r>
            <w:r w:rsidRPr="002029AF">
              <w:fldChar w:fldCharType="end"/>
            </w:r>
            <w:r w:rsidR="00FC2F9E" w:rsidRPr="002029AF">
              <w:t>–</w:t>
            </w:r>
            <w:r w:rsidRPr="002029AF">
              <w:fldChar w:fldCharType="begin"/>
            </w:r>
            <w:r w:rsidRPr="002029AF">
              <w:instrText xml:space="preserve"> PAGEREF _Ref52263715 \h </w:instrText>
            </w:r>
            <w:r w:rsidRPr="002029AF">
              <w:fldChar w:fldCharType="separate"/>
            </w:r>
            <w:r w:rsidR="00F3275D">
              <w:rPr>
                <w:noProof/>
              </w:rPr>
              <w:t>108</w:t>
            </w:r>
            <w:r w:rsidRPr="002029AF">
              <w:fldChar w:fldCharType="end"/>
            </w:r>
          </w:p>
        </w:tc>
      </w:tr>
      <w:tr w:rsidR="00CF72D5" w:rsidRPr="002029AF" w14:paraId="6B3EE545" w14:textId="77777777" w:rsidTr="5A449E24">
        <w:trPr>
          <w:cantSplit/>
        </w:trPr>
        <w:tc>
          <w:tcPr>
            <w:tcW w:w="2014" w:type="dxa"/>
            <w:shd w:val="clear" w:color="auto" w:fill="auto"/>
          </w:tcPr>
          <w:p w14:paraId="14FDA957" w14:textId="2A0AB33A" w:rsidR="00CF72D5" w:rsidRPr="002029AF" w:rsidRDefault="00CF72D5" w:rsidP="00897193">
            <w:pPr>
              <w:pStyle w:val="ARtabletext"/>
              <w:spacing w:before="70" w:after="50"/>
            </w:pPr>
            <w:r w:rsidRPr="002029AF">
              <w:t>FRD</w:t>
            </w:r>
            <w:r w:rsidR="000A5329" w:rsidRPr="002029AF">
              <w:t xml:space="preserve"> </w:t>
            </w:r>
            <w:r w:rsidRPr="002029AF">
              <w:t>22H</w:t>
            </w:r>
          </w:p>
        </w:tc>
        <w:tc>
          <w:tcPr>
            <w:tcW w:w="6618" w:type="dxa"/>
            <w:shd w:val="clear" w:color="auto" w:fill="auto"/>
          </w:tcPr>
          <w:p w14:paraId="62562C6B" w14:textId="17ED21C3" w:rsidR="00CF72D5" w:rsidRPr="002029AF" w:rsidRDefault="00CF72D5" w:rsidP="00897193">
            <w:pPr>
              <w:pStyle w:val="ARtabletext"/>
              <w:spacing w:before="70" w:after="50"/>
            </w:pPr>
            <w:r w:rsidRPr="002029AF">
              <w:t>Subsequent</w:t>
            </w:r>
            <w:r w:rsidR="000A5329" w:rsidRPr="002029AF">
              <w:t xml:space="preserve"> </w:t>
            </w:r>
            <w:r w:rsidRPr="002029AF">
              <w:t>events</w:t>
            </w:r>
          </w:p>
        </w:tc>
        <w:tc>
          <w:tcPr>
            <w:tcW w:w="1007" w:type="dxa"/>
            <w:shd w:val="clear" w:color="auto" w:fill="auto"/>
          </w:tcPr>
          <w:p w14:paraId="1EF2FF75" w14:textId="736B4CF8" w:rsidR="00CF72D5" w:rsidRPr="002029AF" w:rsidRDefault="00F63092" w:rsidP="00897193">
            <w:pPr>
              <w:pStyle w:val="ARtabletextright"/>
            </w:pPr>
            <w:r w:rsidRPr="002029AF">
              <w:fldChar w:fldCharType="begin"/>
            </w:r>
            <w:r w:rsidRPr="002029AF">
              <w:instrText xml:space="preserve"> PAGEREF _Ref52452790 \h </w:instrText>
            </w:r>
            <w:r w:rsidRPr="002029AF">
              <w:fldChar w:fldCharType="separate"/>
            </w:r>
            <w:r w:rsidR="00F3275D">
              <w:rPr>
                <w:noProof/>
              </w:rPr>
              <w:t>18</w:t>
            </w:r>
            <w:r w:rsidRPr="002029AF">
              <w:fldChar w:fldCharType="end"/>
            </w:r>
            <w:r w:rsidR="002707A8" w:rsidRPr="002029AF">
              <w:t xml:space="preserve">, </w:t>
            </w:r>
            <w:r w:rsidR="002707A8" w:rsidRPr="002029AF">
              <w:fldChar w:fldCharType="begin"/>
            </w:r>
            <w:r w:rsidR="002707A8" w:rsidRPr="002029AF">
              <w:instrText xml:space="preserve"> PAGEREF _Ref52455593 \h </w:instrText>
            </w:r>
            <w:r w:rsidR="002707A8" w:rsidRPr="002029AF">
              <w:fldChar w:fldCharType="separate"/>
            </w:r>
            <w:r w:rsidR="00F3275D">
              <w:rPr>
                <w:noProof/>
              </w:rPr>
              <w:t>271</w:t>
            </w:r>
            <w:r w:rsidR="002707A8" w:rsidRPr="002029AF">
              <w:fldChar w:fldCharType="end"/>
            </w:r>
          </w:p>
        </w:tc>
      </w:tr>
      <w:tr w:rsidR="00CF72D5" w:rsidRPr="002029AF" w14:paraId="6892D564" w14:textId="77777777" w:rsidTr="5A449E24">
        <w:trPr>
          <w:cantSplit/>
        </w:trPr>
        <w:tc>
          <w:tcPr>
            <w:tcW w:w="2014" w:type="dxa"/>
            <w:shd w:val="clear" w:color="auto" w:fill="auto"/>
          </w:tcPr>
          <w:p w14:paraId="66EE89FD" w14:textId="2D96C6B3" w:rsidR="00CF72D5" w:rsidRPr="002029AF" w:rsidRDefault="00CF72D5" w:rsidP="00897193">
            <w:pPr>
              <w:pStyle w:val="ARtabletext"/>
              <w:spacing w:before="70" w:after="50"/>
            </w:pPr>
            <w:r w:rsidRPr="002029AF">
              <w:t>FRD</w:t>
            </w:r>
            <w:r w:rsidR="000A5329" w:rsidRPr="002029AF">
              <w:t xml:space="preserve"> </w:t>
            </w:r>
            <w:r w:rsidRPr="002029AF">
              <w:t>22H</w:t>
            </w:r>
          </w:p>
        </w:tc>
        <w:tc>
          <w:tcPr>
            <w:tcW w:w="6618" w:type="dxa"/>
            <w:shd w:val="clear" w:color="auto" w:fill="auto"/>
          </w:tcPr>
          <w:p w14:paraId="6830ADE9" w14:textId="601FB561" w:rsidR="00CF72D5" w:rsidRPr="002029AF" w:rsidRDefault="00CF72D5" w:rsidP="00897193">
            <w:pPr>
              <w:pStyle w:val="ARtabletext"/>
              <w:spacing w:before="70" w:after="50"/>
            </w:pPr>
            <w:r w:rsidRPr="002029AF">
              <w:t>Application</w:t>
            </w:r>
            <w:r w:rsidR="000A5329" w:rsidRPr="002029AF">
              <w:t xml:space="preserve"> </w:t>
            </w:r>
            <w:r w:rsidRPr="002029AF">
              <w:t>and</w:t>
            </w:r>
            <w:r w:rsidR="000A5329" w:rsidRPr="002029AF">
              <w:t xml:space="preserve"> </w:t>
            </w:r>
            <w:r w:rsidRPr="002029AF">
              <w:t>operation</w:t>
            </w:r>
            <w:r w:rsidR="000A5329" w:rsidRPr="002029AF">
              <w:t xml:space="preserve"> </w:t>
            </w:r>
            <w:r w:rsidRPr="002029AF">
              <w:t>of</w:t>
            </w:r>
            <w:r w:rsidR="000A5329" w:rsidRPr="002029AF">
              <w:t xml:space="preserve"> </w:t>
            </w:r>
            <w:r w:rsidRPr="002029AF">
              <w:rPr>
                <w:i/>
              </w:rPr>
              <w:t>Freedom</w:t>
            </w:r>
            <w:r w:rsidR="000A5329" w:rsidRPr="002029AF">
              <w:rPr>
                <w:i/>
              </w:rPr>
              <w:t xml:space="preserve"> </w:t>
            </w:r>
            <w:r w:rsidRPr="002029AF">
              <w:rPr>
                <w:i/>
              </w:rPr>
              <w:t>of</w:t>
            </w:r>
            <w:r w:rsidR="000A5329" w:rsidRPr="002029AF">
              <w:rPr>
                <w:i/>
              </w:rPr>
              <w:t xml:space="preserve"> </w:t>
            </w:r>
            <w:r w:rsidRPr="002029AF">
              <w:rPr>
                <w:i/>
              </w:rPr>
              <w:t>Information</w:t>
            </w:r>
            <w:r w:rsidR="000A5329" w:rsidRPr="002029AF">
              <w:rPr>
                <w:i/>
              </w:rPr>
              <w:t xml:space="preserve"> </w:t>
            </w:r>
            <w:r w:rsidRPr="002029AF">
              <w:rPr>
                <w:i/>
              </w:rPr>
              <w:t>Act</w:t>
            </w:r>
            <w:r w:rsidR="000A5329" w:rsidRPr="002029AF">
              <w:rPr>
                <w:i/>
              </w:rPr>
              <w:t xml:space="preserve"> </w:t>
            </w:r>
            <w:r w:rsidRPr="002029AF">
              <w:rPr>
                <w:i/>
              </w:rPr>
              <w:t>1982</w:t>
            </w:r>
          </w:p>
        </w:tc>
        <w:tc>
          <w:tcPr>
            <w:tcW w:w="1007" w:type="dxa"/>
            <w:shd w:val="clear" w:color="auto" w:fill="auto"/>
          </w:tcPr>
          <w:p w14:paraId="2E8CBF47" w14:textId="75394DC6" w:rsidR="00CF72D5" w:rsidRPr="002029AF" w:rsidRDefault="00CF72D5" w:rsidP="00897193">
            <w:pPr>
              <w:pStyle w:val="ARtabletextright"/>
            </w:pPr>
            <w:r w:rsidRPr="002029AF">
              <w:fldChar w:fldCharType="begin"/>
            </w:r>
            <w:r w:rsidRPr="002029AF">
              <w:instrText xml:space="preserve"> PAGEREF _Ref492895142 \h </w:instrText>
            </w:r>
            <w:r w:rsidRPr="002029AF">
              <w:fldChar w:fldCharType="separate"/>
            </w:r>
            <w:r w:rsidR="00F3275D">
              <w:rPr>
                <w:noProof/>
              </w:rPr>
              <w:t>167</w:t>
            </w:r>
            <w:r w:rsidRPr="002029AF">
              <w:fldChar w:fldCharType="end"/>
            </w:r>
          </w:p>
        </w:tc>
      </w:tr>
      <w:tr w:rsidR="00CF72D5" w:rsidRPr="002029AF" w14:paraId="4BA0AF9B" w14:textId="77777777" w:rsidTr="5A449E24">
        <w:trPr>
          <w:cantSplit/>
        </w:trPr>
        <w:tc>
          <w:tcPr>
            <w:tcW w:w="2014" w:type="dxa"/>
            <w:shd w:val="clear" w:color="auto" w:fill="auto"/>
          </w:tcPr>
          <w:p w14:paraId="64114BEC" w14:textId="716602FF" w:rsidR="00CF72D5" w:rsidRPr="002029AF" w:rsidRDefault="00CF72D5" w:rsidP="00897193">
            <w:pPr>
              <w:pStyle w:val="ARtabletext"/>
              <w:spacing w:before="70" w:after="50"/>
            </w:pPr>
            <w:r w:rsidRPr="002029AF">
              <w:t>FRD</w:t>
            </w:r>
            <w:r w:rsidR="000A5329" w:rsidRPr="002029AF">
              <w:t xml:space="preserve"> </w:t>
            </w:r>
            <w:r w:rsidRPr="002029AF">
              <w:t>22H</w:t>
            </w:r>
          </w:p>
        </w:tc>
        <w:tc>
          <w:tcPr>
            <w:tcW w:w="6618" w:type="dxa"/>
            <w:shd w:val="clear" w:color="auto" w:fill="auto"/>
          </w:tcPr>
          <w:p w14:paraId="069A7A79" w14:textId="4CB61506" w:rsidR="00CF72D5" w:rsidRPr="002029AF" w:rsidRDefault="00CF72D5" w:rsidP="00897193">
            <w:pPr>
              <w:pStyle w:val="ARtabletext"/>
              <w:spacing w:before="70" w:after="50"/>
            </w:pPr>
            <w:r w:rsidRPr="002029AF">
              <w:t>Compliance</w:t>
            </w:r>
            <w:r w:rsidR="000A5329" w:rsidRPr="002029AF">
              <w:t xml:space="preserve"> </w:t>
            </w:r>
            <w:r w:rsidRPr="002029AF">
              <w:t>with</w:t>
            </w:r>
            <w:r w:rsidR="000A5329" w:rsidRPr="002029AF">
              <w:t xml:space="preserve"> </w:t>
            </w:r>
            <w:r w:rsidRPr="002029AF">
              <w:t>building</w:t>
            </w:r>
            <w:r w:rsidR="000A5329" w:rsidRPr="002029AF">
              <w:t xml:space="preserve"> </w:t>
            </w:r>
            <w:r w:rsidRPr="002029AF">
              <w:t>and</w:t>
            </w:r>
            <w:r w:rsidR="000A5329" w:rsidRPr="002029AF">
              <w:t xml:space="preserve"> </w:t>
            </w:r>
            <w:r w:rsidRPr="002029AF">
              <w:t>maintenance</w:t>
            </w:r>
            <w:r w:rsidR="000A5329" w:rsidRPr="002029AF">
              <w:t xml:space="preserve"> </w:t>
            </w:r>
            <w:r w:rsidRPr="002029AF">
              <w:t>provisions</w:t>
            </w:r>
            <w:r w:rsidR="000A5329" w:rsidRPr="002029AF">
              <w:t xml:space="preserve"> </w:t>
            </w:r>
            <w:r w:rsidRPr="002029AF">
              <w:t>of</w:t>
            </w:r>
            <w:r w:rsidR="000A5329" w:rsidRPr="002029AF">
              <w:t xml:space="preserve"> </w:t>
            </w:r>
            <w:r w:rsidRPr="002029AF">
              <w:rPr>
                <w:i/>
              </w:rPr>
              <w:t>Building</w:t>
            </w:r>
            <w:r w:rsidR="000A5329" w:rsidRPr="002029AF">
              <w:rPr>
                <w:i/>
              </w:rPr>
              <w:t xml:space="preserve"> </w:t>
            </w:r>
            <w:r w:rsidRPr="002029AF">
              <w:rPr>
                <w:i/>
              </w:rPr>
              <w:t>Act</w:t>
            </w:r>
            <w:r w:rsidR="000A5329" w:rsidRPr="002029AF">
              <w:rPr>
                <w:i/>
              </w:rPr>
              <w:t xml:space="preserve"> </w:t>
            </w:r>
            <w:r w:rsidRPr="002029AF">
              <w:rPr>
                <w:i/>
              </w:rPr>
              <w:t>1993</w:t>
            </w:r>
          </w:p>
        </w:tc>
        <w:tc>
          <w:tcPr>
            <w:tcW w:w="1007" w:type="dxa"/>
            <w:shd w:val="clear" w:color="auto" w:fill="auto"/>
          </w:tcPr>
          <w:p w14:paraId="6F593059" w14:textId="1687026B" w:rsidR="00CF72D5" w:rsidRPr="002029AF" w:rsidRDefault="00CF72D5" w:rsidP="00897193">
            <w:pPr>
              <w:pStyle w:val="ARtabletextright"/>
            </w:pPr>
            <w:r w:rsidRPr="002029AF">
              <w:fldChar w:fldCharType="begin"/>
            </w:r>
            <w:r w:rsidRPr="002029AF">
              <w:instrText xml:space="preserve"> PAGEREF _Ref21956605 \h </w:instrText>
            </w:r>
            <w:r w:rsidRPr="002029AF">
              <w:fldChar w:fldCharType="separate"/>
            </w:r>
            <w:r w:rsidR="00F3275D">
              <w:rPr>
                <w:noProof/>
              </w:rPr>
              <w:t>153</w:t>
            </w:r>
            <w:r w:rsidRPr="002029AF">
              <w:fldChar w:fldCharType="end"/>
            </w:r>
          </w:p>
        </w:tc>
      </w:tr>
      <w:tr w:rsidR="00CF72D5" w:rsidRPr="002029AF" w14:paraId="132264D7" w14:textId="77777777" w:rsidTr="5A449E24">
        <w:trPr>
          <w:cantSplit/>
        </w:trPr>
        <w:tc>
          <w:tcPr>
            <w:tcW w:w="2014" w:type="dxa"/>
            <w:shd w:val="clear" w:color="auto" w:fill="auto"/>
          </w:tcPr>
          <w:p w14:paraId="6E7DAF16" w14:textId="4FF4EC9B" w:rsidR="00CF72D5" w:rsidRPr="002029AF" w:rsidRDefault="00CF72D5" w:rsidP="00897193">
            <w:pPr>
              <w:pStyle w:val="ARtabletext"/>
              <w:spacing w:before="70" w:after="50"/>
            </w:pPr>
            <w:r w:rsidRPr="002029AF">
              <w:t>FRD</w:t>
            </w:r>
            <w:r w:rsidR="000A5329" w:rsidRPr="002029AF">
              <w:t xml:space="preserve"> </w:t>
            </w:r>
            <w:r w:rsidRPr="002029AF">
              <w:t>22H</w:t>
            </w:r>
          </w:p>
        </w:tc>
        <w:tc>
          <w:tcPr>
            <w:tcW w:w="6618" w:type="dxa"/>
            <w:shd w:val="clear" w:color="auto" w:fill="auto"/>
          </w:tcPr>
          <w:p w14:paraId="66B2E0C4" w14:textId="055F2866" w:rsidR="00CF72D5" w:rsidRPr="002029AF" w:rsidRDefault="00CF72D5" w:rsidP="00897193">
            <w:pPr>
              <w:pStyle w:val="ARtabletext"/>
              <w:spacing w:before="70" w:after="50"/>
            </w:pPr>
            <w:r w:rsidRPr="002029AF">
              <w:t>Statement</w:t>
            </w:r>
            <w:r w:rsidR="000A5329" w:rsidRPr="002029AF">
              <w:t xml:space="preserve"> </w:t>
            </w:r>
            <w:r w:rsidRPr="002029AF">
              <w:t>on</w:t>
            </w:r>
            <w:r w:rsidR="000A5329" w:rsidRPr="002029AF">
              <w:t xml:space="preserve"> </w:t>
            </w:r>
            <w:r w:rsidRPr="002029AF">
              <w:t>National</w:t>
            </w:r>
            <w:r w:rsidR="000A5329" w:rsidRPr="002029AF">
              <w:t xml:space="preserve"> </w:t>
            </w:r>
            <w:r w:rsidRPr="002029AF">
              <w:t>Competition</w:t>
            </w:r>
            <w:r w:rsidR="000A5329" w:rsidRPr="002029AF">
              <w:t xml:space="preserve"> </w:t>
            </w:r>
            <w:r w:rsidRPr="002029AF">
              <w:t>Policy</w:t>
            </w:r>
          </w:p>
        </w:tc>
        <w:tc>
          <w:tcPr>
            <w:tcW w:w="1007" w:type="dxa"/>
            <w:shd w:val="clear" w:color="auto" w:fill="auto"/>
          </w:tcPr>
          <w:p w14:paraId="7765B01E" w14:textId="11ED3184" w:rsidR="00CF72D5" w:rsidRPr="002029AF" w:rsidRDefault="00CF72D5" w:rsidP="00897193">
            <w:pPr>
              <w:pStyle w:val="ARtabletextright"/>
            </w:pPr>
            <w:r w:rsidRPr="002029AF">
              <w:fldChar w:fldCharType="begin"/>
            </w:r>
            <w:r w:rsidRPr="002029AF">
              <w:instrText xml:space="preserve"> PAGEREF _Ref21956612 \h </w:instrText>
            </w:r>
            <w:r w:rsidRPr="002029AF">
              <w:fldChar w:fldCharType="separate"/>
            </w:r>
            <w:r w:rsidR="00F3275D">
              <w:rPr>
                <w:noProof/>
              </w:rPr>
              <w:t>154</w:t>
            </w:r>
            <w:r w:rsidRPr="002029AF">
              <w:fldChar w:fldCharType="end"/>
            </w:r>
          </w:p>
        </w:tc>
      </w:tr>
      <w:tr w:rsidR="00CF72D5" w:rsidRPr="002029AF" w14:paraId="74E9D7C6" w14:textId="77777777" w:rsidTr="5A449E24">
        <w:trPr>
          <w:cantSplit/>
        </w:trPr>
        <w:tc>
          <w:tcPr>
            <w:tcW w:w="2014" w:type="dxa"/>
            <w:shd w:val="clear" w:color="auto" w:fill="auto"/>
          </w:tcPr>
          <w:p w14:paraId="29833BFD" w14:textId="6A6E1889" w:rsidR="00CF72D5" w:rsidRPr="002029AF" w:rsidRDefault="00CF72D5" w:rsidP="00897193">
            <w:pPr>
              <w:pStyle w:val="ARtabletext"/>
              <w:spacing w:before="70" w:after="50"/>
            </w:pPr>
            <w:r w:rsidRPr="002029AF">
              <w:t>FRD</w:t>
            </w:r>
            <w:r w:rsidR="000A5329" w:rsidRPr="002029AF">
              <w:t xml:space="preserve"> </w:t>
            </w:r>
            <w:r w:rsidRPr="002029AF">
              <w:t>22H</w:t>
            </w:r>
          </w:p>
        </w:tc>
        <w:tc>
          <w:tcPr>
            <w:tcW w:w="6618" w:type="dxa"/>
            <w:shd w:val="clear" w:color="auto" w:fill="auto"/>
          </w:tcPr>
          <w:p w14:paraId="2AA10F03" w14:textId="450141B9" w:rsidR="00CF72D5" w:rsidRPr="002029AF" w:rsidRDefault="00CF72D5" w:rsidP="00897193">
            <w:pPr>
              <w:pStyle w:val="ARtabletext"/>
              <w:spacing w:before="70" w:after="50"/>
            </w:pPr>
            <w:r w:rsidRPr="002029AF">
              <w:t>Application</w:t>
            </w:r>
            <w:r w:rsidR="000A5329" w:rsidRPr="002029AF">
              <w:t xml:space="preserve"> </w:t>
            </w:r>
            <w:r w:rsidRPr="002029AF">
              <w:t>and</w:t>
            </w:r>
            <w:r w:rsidR="000A5329" w:rsidRPr="002029AF">
              <w:t xml:space="preserve"> </w:t>
            </w:r>
            <w:r w:rsidRPr="002029AF">
              <w:t>operation</w:t>
            </w:r>
            <w:r w:rsidR="000A5329" w:rsidRPr="002029AF">
              <w:t xml:space="preserve"> </w:t>
            </w:r>
            <w:r w:rsidRPr="002029AF">
              <w:t>of</w:t>
            </w:r>
            <w:r w:rsidR="000A5329" w:rsidRPr="002029AF">
              <w:t xml:space="preserve"> </w:t>
            </w:r>
            <w:r w:rsidRPr="002029AF">
              <w:t>the</w:t>
            </w:r>
            <w:r w:rsidR="000A5329" w:rsidRPr="002029AF">
              <w:t xml:space="preserve"> </w:t>
            </w:r>
            <w:r w:rsidRPr="002029AF">
              <w:rPr>
                <w:i/>
              </w:rPr>
              <w:t>Protected</w:t>
            </w:r>
            <w:r w:rsidR="000A5329" w:rsidRPr="002029AF">
              <w:rPr>
                <w:i/>
              </w:rPr>
              <w:t xml:space="preserve"> </w:t>
            </w:r>
            <w:r w:rsidRPr="002029AF">
              <w:rPr>
                <w:i/>
              </w:rPr>
              <w:t>Disclosures</w:t>
            </w:r>
            <w:r w:rsidR="000A5329" w:rsidRPr="002029AF">
              <w:rPr>
                <w:i/>
              </w:rPr>
              <w:t xml:space="preserve"> </w:t>
            </w:r>
            <w:r w:rsidRPr="002029AF">
              <w:rPr>
                <w:i/>
              </w:rPr>
              <w:t>Act</w:t>
            </w:r>
            <w:r w:rsidR="000A5329" w:rsidRPr="002029AF">
              <w:rPr>
                <w:i/>
              </w:rPr>
              <w:t xml:space="preserve"> </w:t>
            </w:r>
            <w:r w:rsidRPr="002029AF">
              <w:rPr>
                <w:i/>
              </w:rPr>
              <w:t>2012</w:t>
            </w:r>
          </w:p>
        </w:tc>
        <w:tc>
          <w:tcPr>
            <w:tcW w:w="1007" w:type="dxa"/>
            <w:shd w:val="clear" w:color="auto" w:fill="auto"/>
          </w:tcPr>
          <w:p w14:paraId="7FC99F1B" w14:textId="0ABC314C" w:rsidR="00CF72D5" w:rsidRPr="002029AF" w:rsidRDefault="00CF72D5" w:rsidP="00897193">
            <w:pPr>
              <w:pStyle w:val="ARtabletextright"/>
            </w:pPr>
            <w:r w:rsidRPr="002029AF">
              <w:fldChar w:fldCharType="begin"/>
            </w:r>
            <w:r w:rsidRPr="002029AF">
              <w:instrText xml:space="preserve"> PAGEREF _Ref21956761 \h </w:instrText>
            </w:r>
            <w:r w:rsidRPr="002029AF">
              <w:fldChar w:fldCharType="separate"/>
            </w:r>
            <w:r w:rsidR="00F3275D">
              <w:rPr>
                <w:noProof/>
              </w:rPr>
              <w:t>152</w:t>
            </w:r>
            <w:r w:rsidRPr="002029AF">
              <w:fldChar w:fldCharType="end"/>
            </w:r>
          </w:p>
        </w:tc>
      </w:tr>
      <w:tr w:rsidR="00CF72D5" w:rsidRPr="002029AF" w14:paraId="45295D36" w14:textId="77777777" w:rsidTr="5A449E24">
        <w:trPr>
          <w:cantSplit/>
        </w:trPr>
        <w:tc>
          <w:tcPr>
            <w:tcW w:w="2014" w:type="dxa"/>
            <w:shd w:val="clear" w:color="auto" w:fill="auto"/>
          </w:tcPr>
          <w:p w14:paraId="4A07C8A1" w14:textId="16132B01" w:rsidR="00CF72D5" w:rsidRPr="002029AF" w:rsidRDefault="00CF72D5" w:rsidP="00897193">
            <w:pPr>
              <w:pStyle w:val="ARtabletext"/>
              <w:spacing w:before="70" w:after="50"/>
            </w:pPr>
            <w:r w:rsidRPr="002029AF">
              <w:t>FRD</w:t>
            </w:r>
            <w:r w:rsidR="000A5329" w:rsidRPr="002029AF">
              <w:t xml:space="preserve"> </w:t>
            </w:r>
            <w:r w:rsidRPr="002029AF">
              <w:t>22H</w:t>
            </w:r>
          </w:p>
        </w:tc>
        <w:tc>
          <w:tcPr>
            <w:tcW w:w="6618" w:type="dxa"/>
            <w:shd w:val="clear" w:color="auto" w:fill="auto"/>
          </w:tcPr>
          <w:p w14:paraId="27A8B283" w14:textId="45C5716E" w:rsidR="00CF72D5" w:rsidRPr="002029AF" w:rsidRDefault="00CF72D5" w:rsidP="00897193">
            <w:pPr>
              <w:pStyle w:val="ARtabletext"/>
              <w:spacing w:before="70" w:after="50"/>
            </w:pPr>
            <w:r w:rsidRPr="002029AF">
              <w:t>Application</w:t>
            </w:r>
            <w:r w:rsidR="000A5329" w:rsidRPr="002029AF">
              <w:t xml:space="preserve"> </w:t>
            </w:r>
            <w:r w:rsidRPr="002029AF">
              <w:t>and</w:t>
            </w:r>
            <w:r w:rsidR="000A5329" w:rsidRPr="002029AF">
              <w:t xml:space="preserve"> </w:t>
            </w:r>
            <w:r w:rsidRPr="002029AF">
              <w:t>operation</w:t>
            </w:r>
            <w:r w:rsidR="000A5329" w:rsidRPr="002029AF">
              <w:t xml:space="preserve"> </w:t>
            </w:r>
            <w:r w:rsidRPr="002029AF">
              <w:t>of</w:t>
            </w:r>
            <w:r w:rsidR="000A5329" w:rsidRPr="002029AF">
              <w:t xml:space="preserve"> </w:t>
            </w:r>
            <w:r w:rsidRPr="002029AF">
              <w:t>the</w:t>
            </w:r>
            <w:r w:rsidR="000A5329" w:rsidRPr="002029AF">
              <w:t xml:space="preserve"> </w:t>
            </w:r>
            <w:r w:rsidRPr="002029AF">
              <w:rPr>
                <w:i/>
              </w:rPr>
              <w:t>Carers</w:t>
            </w:r>
            <w:r w:rsidR="000A5329" w:rsidRPr="002029AF">
              <w:rPr>
                <w:i/>
              </w:rPr>
              <w:t xml:space="preserve"> </w:t>
            </w:r>
            <w:r w:rsidRPr="002029AF">
              <w:rPr>
                <w:i/>
              </w:rPr>
              <w:t>Recognition</w:t>
            </w:r>
            <w:r w:rsidR="000A5329" w:rsidRPr="002029AF">
              <w:rPr>
                <w:i/>
              </w:rPr>
              <w:t xml:space="preserve"> </w:t>
            </w:r>
            <w:r w:rsidRPr="002029AF">
              <w:rPr>
                <w:i/>
              </w:rPr>
              <w:t>Act</w:t>
            </w:r>
            <w:r w:rsidR="000A5329" w:rsidRPr="002029AF">
              <w:rPr>
                <w:i/>
              </w:rPr>
              <w:t xml:space="preserve"> </w:t>
            </w:r>
            <w:r w:rsidRPr="002029AF">
              <w:rPr>
                <w:i/>
              </w:rPr>
              <w:t>2012</w:t>
            </w:r>
          </w:p>
        </w:tc>
        <w:tc>
          <w:tcPr>
            <w:tcW w:w="1007" w:type="dxa"/>
            <w:shd w:val="clear" w:color="auto" w:fill="auto"/>
          </w:tcPr>
          <w:p w14:paraId="0DD52642" w14:textId="72079EB9" w:rsidR="00CF72D5" w:rsidRPr="002029AF" w:rsidRDefault="00CF72D5" w:rsidP="00897193">
            <w:pPr>
              <w:pStyle w:val="ARtabletextright"/>
            </w:pPr>
            <w:r w:rsidRPr="002029AF">
              <w:fldChar w:fldCharType="begin"/>
            </w:r>
            <w:r w:rsidRPr="002029AF">
              <w:instrText xml:space="preserve"> PAGEREF _Ref21956652 \h </w:instrText>
            </w:r>
            <w:r w:rsidRPr="002029AF">
              <w:fldChar w:fldCharType="separate"/>
            </w:r>
            <w:r w:rsidR="00F3275D">
              <w:rPr>
                <w:noProof/>
              </w:rPr>
              <w:t>154</w:t>
            </w:r>
            <w:r w:rsidRPr="002029AF">
              <w:fldChar w:fldCharType="end"/>
            </w:r>
          </w:p>
        </w:tc>
      </w:tr>
      <w:tr w:rsidR="00CF72D5" w:rsidRPr="002029AF" w14:paraId="2E5543D0" w14:textId="77777777" w:rsidTr="5A449E24">
        <w:trPr>
          <w:cantSplit/>
        </w:trPr>
        <w:tc>
          <w:tcPr>
            <w:tcW w:w="2014" w:type="dxa"/>
            <w:shd w:val="clear" w:color="auto" w:fill="auto"/>
          </w:tcPr>
          <w:p w14:paraId="5EE9B309" w14:textId="2AF28380" w:rsidR="00CF72D5" w:rsidRPr="002029AF" w:rsidRDefault="00CF72D5" w:rsidP="00897193">
            <w:pPr>
              <w:pStyle w:val="ARtabletext"/>
              <w:spacing w:before="70" w:after="50"/>
            </w:pPr>
            <w:r w:rsidRPr="002029AF">
              <w:t>FRD</w:t>
            </w:r>
            <w:r w:rsidR="000A5329" w:rsidRPr="002029AF">
              <w:t xml:space="preserve"> </w:t>
            </w:r>
            <w:r w:rsidRPr="002029AF">
              <w:t>22H</w:t>
            </w:r>
          </w:p>
        </w:tc>
        <w:tc>
          <w:tcPr>
            <w:tcW w:w="6618" w:type="dxa"/>
            <w:shd w:val="clear" w:color="auto" w:fill="auto"/>
          </w:tcPr>
          <w:p w14:paraId="468658FB" w14:textId="5BC7995A" w:rsidR="00CF72D5" w:rsidRPr="002029AF" w:rsidRDefault="00CF72D5" w:rsidP="00897193">
            <w:pPr>
              <w:pStyle w:val="ARtabletext"/>
              <w:spacing w:before="70" w:after="50"/>
            </w:pPr>
            <w:r w:rsidRPr="002029AF">
              <w:t>Details</w:t>
            </w:r>
            <w:r w:rsidR="000A5329" w:rsidRPr="002029AF">
              <w:t xml:space="preserve"> </w:t>
            </w:r>
            <w:r w:rsidRPr="002029AF">
              <w:t>of</w:t>
            </w:r>
            <w:r w:rsidR="000A5329" w:rsidRPr="002029AF">
              <w:t xml:space="preserve"> </w:t>
            </w:r>
            <w:r w:rsidRPr="002029AF">
              <w:t>consultancies</w:t>
            </w:r>
            <w:r w:rsidR="000A5329" w:rsidRPr="002029AF">
              <w:t xml:space="preserve"> </w:t>
            </w:r>
            <w:r w:rsidRPr="002029AF">
              <w:t>over</w:t>
            </w:r>
            <w:r w:rsidR="000A5329" w:rsidRPr="002029AF">
              <w:t xml:space="preserve"> </w:t>
            </w:r>
            <w:r w:rsidRPr="002029AF">
              <w:t>$10,000</w:t>
            </w:r>
          </w:p>
        </w:tc>
        <w:tc>
          <w:tcPr>
            <w:tcW w:w="1007" w:type="dxa"/>
            <w:shd w:val="clear" w:color="auto" w:fill="auto"/>
          </w:tcPr>
          <w:p w14:paraId="2B106090" w14:textId="34FC99EA" w:rsidR="00CF72D5" w:rsidRPr="002029AF" w:rsidRDefault="0027056F" w:rsidP="00897193">
            <w:pPr>
              <w:pStyle w:val="ARtabletextright"/>
            </w:pPr>
            <w:r w:rsidRPr="002029AF">
              <w:fldChar w:fldCharType="begin"/>
            </w:r>
            <w:r w:rsidRPr="002029AF">
              <w:instrText xml:space="preserve"> PAGEREF _Ref52270507 \h </w:instrText>
            </w:r>
            <w:r w:rsidRPr="002029AF">
              <w:fldChar w:fldCharType="separate"/>
            </w:r>
            <w:r w:rsidR="00F3275D">
              <w:rPr>
                <w:noProof/>
              </w:rPr>
              <w:t>156</w:t>
            </w:r>
            <w:r w:rsidRPr="002029AF">
              <w:fldChar w:fldCharType="end"/>
            </w:r>
            <w:r w:rsidR="004A3300" w:rsidRPr="002029AF">
              <w:t>–</w:t>
            </w:r>
            <w:r w:rsidR="004320C4" w:rsidRPr="002029AF">
              <w:fldChar w:fldCharType="begin"/>
            </w:r>
            <w:r w:rsidR="004320C4" w:rsidRPr="002029AF">
              <w:instrText xml:space="preserve"> PAGEREF Consultancies_lessthan10k_end \h </w:instrText>
            </w:r>
            <w:r w:rsidR="004320C4" w:rsidRPr="002029AF">
              <w:fldChar w:fldCharType="separate"/>
            </w:r>
            <w:r w:rsidR="00F3275D">
              <w:rPr>
                <w:noProof/>
              </w:rPr>
              <w:t>164</w:t>
            </w:r>
            <w:r w:rsidR="004320C4" w:rsidRPr="002029AF">
              <w:fldChar w:fldCharType="end"/>
            </w:r>
          </w:p>
        </w:tc>
      </w:tr>
      <w:tr w:rsidR="00CF72D5" w:rsidRPr="002029AF" w14:paraId="3416B49E" w14:textId="77777777" w:rsidTr="5A449E24">
        <w:trPr>
          <w:cantSplit/>
        </w:trPr>
        <w:tc>
          <w:tcPr>
            <w:tcW w:w="2014" w:type="dxa"/>
            <w:shd w:val="clear" w:color="auto" w:fill="auto"/>
          </w:tcPr>
          <w:p w14:paraId="181751B1" w14:textId="71A69B78" w:rsidR="00CF72D5" w:rsidRPr="002029AF" w:rsidRDefault="00CF72D5" w:rsidP="00897193">
            <w:pPr>
              <w:pStyle w:val="ARtabletext"/>
              <w:spacing w:before="70" w:after="50"/>
            </w:pPr>
            <w:r w:rsidRPr="002029AF">
              <w:t>FRD</w:t>
            </w:r>
            <w:r w:rsidR="000A5329" w:rsidRPr="002029AF">
              <w:t xml:space="preserve"> </w:t>
            </w:r>
            <w:r w:rsidRPr="002029AF">
              <w:t>22H</w:t>
            </w:r>
          </w:p>
        </w:tc>
        <w:tc>
          <w:tcPr>
            <w:tcW w:w="6618" w:type="dxa"/>
            <w:shd w:val="clear" w:color="auto" w:fill="auto"/>
          </w:tcPr>
          <w:p w14:paraId="51A59F95" w14:textId="7B7F5937" w:rsidR="00CF72D5" w:rsidRPr="002029AF" w:rsidRDefault="00CF72D5" w:rsidP="00897193">
            <w:pPr>
              <w:pStyle w:val="ARtabletext"/>
              <w:spacing w:before="70" w:after="50"/>
            </w:pPr>
            <w:r w:rsidRPr="002029AF">
              <w:t>Details</w:t>
            </w:r>
            <w:r w:rsidR="000A5329" w:rsidRPr="002029AF">
              <w:t xml:space="preserve"> </w:t>
            </w:r>
            <w:r w:rsidRPr="002029AF">
              <w:t>of</w:t>
            </w:r>
            <w:r w:rsidR="000A5329" w:rsidRPr="002029AF">
              <w:t xml:space="preserve"> </w:t>
            </w:r>
            <w:r w:rsidRPr="002029AF">
              <w:t>consultancies</w:t>
            </w:r>
            <w:r w:rsidR="000A5329" w:rsidRPr="002029AF">
              <w:t xml:space="preserve"> </w:t>
            </w:r>
            <w:r w:rsidRPr="002029AF">
              <w:t>under</w:t>
            </w:r>
            <w:r w:rsidR="000A5329" w:rsidRPr="002029AF">
              <w:t xml:space="preserve"> </w:t>
            </w:r>
            <w:r w:rsidRPr="002029AF">
              <w:t>$10,000</w:t>
            </w:r>
          </w:p>
        </w:tc>
        <w:tc>
          <w:tcPr>
            <w:tcW w:w="1007" w:type="dxa"/>
            <w:shd w:val="clear" w:color="auto" w:fill="auto"/>
          </w:tcPr>
          <w:p w14:paraId="59E7FE61" w14:textId="57948E40" w:rsidR="00CF72D5" w:rsidRPr="002029AF" w:rsidRDefault="00A32E2D" w:rsidP="00897193">
            <w:pPr>
              <w:pStyle w:val="ARtabletextright"/>
            </w:pPr>
            <w:r w:rsidRPr="002029AF">
              <w:fldChar w:fldCharType="begin"/>
            </w:r>
            <w:r w:rsidRPr="002029AF">
              <w:instrText xml:space="preserve"> PAGEREF _Ref52285882 \h </w:instrText>
            </w:r>
            <w:r w:rsidRPr="002029AF">
              <w:fldChar w:fldCharType="separate"/>
            </w:r>
            <w:r w:rsidR="00F3275D">
              <w:rPr>
                <w:noProof/>
              </w:rPr>
              <w:t>155</w:t>
            </w:r>
            <w:r w:rsidRPr="002029AF">
              <w:fldChar w:fldCharType="end"/>
            </w:r>
          </w:p>
        </w:tc>
      </w:tr>
      <w:tr w:rsidR="00CF72D5" w:rsidRPr="002029AF" w14:paraId="4E1CF2DA" w14:textId="77777777" w:rsidTr="5A449E24">
        <w:trPr>
          <w:cantSplit/>
        </w:trPr>
        <w:tc>
          <w:tcPr>
            <w:tcW w:w="2014" w:type="dxa"/>
            <w:shd w:val="clear" w:color="auto" w:fill="auto"/>
          </w:tcPr>
          <w:p w14:paraId="661BE205" w14:textId="78B7862A" w:rsidR="00CF72D5" w:rsidRPr="002029AF" w:rsidRDefault="00CF72D5" w:rsidP="00897193">
            <w:pPr>
              <w:pStyle w:val="ARtabletext"/>
              <w:spacing w:before="70" w:after="50"/>
            </w:pPr>
            <w:r w:rsidRPr="002029AF">
              <w:t>FRD</w:t>
            </w:r>
            <w:r w:rsidR="000A5329" w:rsidRPr="002029AF">
              <w:t xml:space="preserve"> </w:t>
            </w:r>
            <w:r w:rsidRPr="002029AF">
              <w:t>22H</w:t>
            </w:r>
          </w:p>
        </w:tc>
        <w:tc>
          <w:tcPr>
            <w:tcW w:w="6618" w:type="dxa"/>
            <w:shd w:val="clear" w:color="auto" w:fill="auto"/>
          </w:tcPr>
          <w:p w14:paraId="56BAC4BD" w14:textId="33C49C6B" w:rsidR="00CF72D5" w:rsidRPr="002029AF" w:rsidRDefault="00CF72D5" w:rsidP="00897193">
            <w:pPr>
              <w:pStyle w:val="ARtabletext"/>
              <w:spacing w:before="70" w:after="50"/>
            </w:pPr>
            <w:r w:rsidRPr="002029AF">
              <w:t>Disclosure</w:t>
            </w:r>
            <w:r w:rsidR="000A5329" w:rsidRPr="002029AF">
              <w:t xml:space="preserve"> </w:t>
            </w:r>
            <w:r w:rsidRPr="002029AF">
              <w:t>of</w:t>
            </w:r>
            <w:r w:rsidR="000A5329" w:rsidRPr="002029AF">
              <w:t xml:space="preserve"> </w:t>
            </w:r>
            <w:r w:rsidRPr="002029AF">
              <w:t>government</w:t>
            </w:r>
            <w:r w:rsidR="000A5329" w:rsidRPr="002029AF">
              <w:t xml:space="preserve"> </w:t>
            </w:r>
            <w:r w:rsidRPr="002029AF">
              <w:t>advertising</w:t>
            </w:r>
            <w:r w:rsidR="000A5329" w:rsidRPr="002029AF">
              <w:t xml:space="preserve"> </w:t>
            </w:r>
            <w:r w:rsidRPr="002029AF">
              <w:t>expenditure</w:t>
            </w:r>
          </w:p>
        </w:tc>
        <w:tc>
          <w:tcPr>
            <w:tcW w:w="1007" w:type="dxa"/>
            <w:shd w:val="clear" w:color="auto" w:fill="auto"/>
          </w:tcPr>
          <w:p w14:paraId="561A6837" w14:textId="726C49A1" w:rsidR="00CF72D5" w:rsidRPr="002029AF" w:rsidRDefault="00CF72D5" w:rsidP="00897193">
            <w:pPr>
              <w:pStyle w:val="ARtabletextright"/>
            </w:pPr>
            <w:r w:rsidRPr="002029AF">
              <w:fldChar w:fldCharType="begin"/>
            </w:r>
            <w:r w:rsidRPr="002029AF">
              <w:instrText xml:space="preserve"> PAGEREF _Ref525048256 \h </w:instrText>
            </w:r>
            <w:r w:rsidRPr="002029AF">
              <w:fldChar w:fldCharType="separate"/>
            </w:r>
            <w:r w:rsidR="00F3275D">
              <w:rPr>
                <w:noProof/>
              </w:rPr>
              <w:t>165</w:t>
            </w:r>
            <w:r w:rsidRPr="002029AF">
              <w:fldChar w:fldCharType="end"/>
            </w:r>
            <w:r w:rsidRPr="002029AF">
              <w:t>–</w:t>
            </w:r>
            <w:r w:rsidRPr="002029AF">
              <w:fldChar w:fldCharType="begin"/>
            </w:r>
            <w:r w:rsidRPr="002029AF">
              <w:instrText xml:space="preserve"> PAGEREF Government_advertising_expenditure_end \h </w:instrText>
            </w:r>
            <w:r w:rsidRPr="002029AF">
              <w:fldChar w:fldCharType="separate"/>
            </w:r>
            <w:r w:rsidR="00F3275D">
              <w:rPr>
                <w:noProof/>
              </w:rPr>
              <w:t>154</w:t>
            </w:r>
            <w:r w:rsidRPr="002029AF">
              <w:fldChar w:fldCharType="end"/>
            </w:r>
          </w:p>
        </w:tc>
      </w:tr>
      <w:tr w:rsidR="00CF72D5" w:rsidRPr="002029AF" w14:paraId="2ACA3705" w14:textId="77777777" w:rsidTr="5A449E24">
        <w:trPr>
          <w:cantSplit/>
        </w:trPr>
        <w:tc>
          <w:tcPr>
            <w:tcW w:w="2014" w:type="dxa"/>
            <w:shd w:val="clear" w:color="auto" w:fill="auto"/>
          </w:tcPr>
          <w:p w14:paraId="479D6C1D" w14:textId="6C8F06E0" w:rsidR="00CF72D5" w:rsidRPr="002029AF" w:rsidRDefault="00CF72D5" w:rsidP="00897193">
            <w:pPr>
              <w:pStyle w:val="ARtabletext"/>
              <w:spacing w:before="70" w:after="50"/>
            </w:pPr>
            <w:r w:rsidRPr="002029AF">
              <w:t>FRD</w:t>
            </w:r>
            <w:r w:rsidR="000A5329" w:rsidRPr="002029AF">
              <w:t xml:space="preserve"> </w:t>
            </w:r>
            <w:r w:rsidRPr="002029AF">
              <w:t>22H</w:t>
            </w:r>
          </w:p>
        </w:tc>
        <w:tc>
          <w:tcPr>
            <w:tcW w:w="6618" w:type="dxa"/>
            <w:shd w:val="clear" w:color="auto" w:fill="auto"/>
          </w:tcPr>
          <w:p w14:paraId="7D4962FB" w14:textId="514DB87E" w:rsidR="00CF72D5" w:rsidRPr="002029AF" w:rsidRDefault="00CF72D5" w:rsidP="00897193">
            <w:pPr>
              <w:pStyle w:val="ARtabletext"/>
              <w:spacing w:before="70" w:after="50"/>
            </w:pPr>
            <w:r w:rsidRPr="002029AF">
              <w:t>Disclosure</w:t>
            </w:r>
            <w:r w:rsidR="000A5329" w:rsidRPr="002029AF">
              <w:t xml:space="preserve"> </w:t>
            </w:r>
            <w:r w:rsidRPr="002029AF">
              <w:t>of</w:t>
            </w:r>
            <w:r w:rsidR="000A5329" w:rsidRPr="002029AF">
              <w:t xml:space="preserve"> </w:t>
            </w:r>
            <w:r w:rsidRPr="002029AF">
              <w:t>ICT</w:t>
            </w:r>
            <w:r w:rsidR="000A5329" w:rsidRPr="002029AF">
              <w:t xml:space="preserve"> </w:t>
            </w:r>
            <w:r w:rsidRPr="002029AF">
              <w:t>expenditure</w:t>
            </w:r>
          </w:p>
        </w:tc>
        <w:tc>
          <w:tcPr>
            <w:tcW w:w="1007" w:type="dxa"/>
            <w:shd w:val="clear" w:color="auto" w:fill="auto"/>
          </w:tcPr>
          <w:p w14:paraId="03673E35" w14:textId="366BB5CC" w:rsidR="00CF72D5" w:rsidRPr="002029AF" w:rsidRDefault="00CF72D5" w:rsidP="00897193">
            <w:pPr>
              <w:pStyle w:val="ARtabletextright"/>
            </w:pPr>
            <w:r w:rsidRPr="002029AF">
              <w:fldChar w:fldCharType="begin"/>
            </w:r>
            <w:r w:rsidRPr="002029AF">
              <w:instrText xml:space="preserve"> PAGEREF _Ref21956847 \h </w:instrText>
            </w:r>
            <w:r w:rsidRPr="002029AF">
              <w:fldChar w:fldCharType="separate"/>
            </w:r>
            <w:r w:rsidR="00F3275D">
              <w:rPr>
                <w:noProof/>
              </w:rPr>
              <w:t>167</w:t>
            </w:r>
            <w:r w:rsidRPr="002029AF">
              <w:fldChar w:fldCharType="end"/>
            </w:r>
          </w:p>
        </w:tc>
      </w:tr>
      <w:tr w:rsidR="00CF72D5" w:rsidRPr="002029AF" w14:paraId="627C66E1" w14:textId="77777777" w:rsidTr="5A449E24">
        <w:trPr>
          <w:cantSplit/>
        </w:trPr>
        <w:tc>
          <w:tcPr>
            <w:tcW w:w="2014" w:type="dxa"/>
            <w:shd w:val="clear" w:color="auto" w:fill="auto"/>
          </w:tcPr>
          <w:p w14:paraId="2AAD8466" w14:textId="2BAF2FAC" w:rsidR="00CF72D5" w:rsidRPr="002029AF" w:rsidRDefault="00CF72D5" w:rsidP="00897193">
            <w:pPr>
              <w:pStyle w:val="ARtabletext"/>
              <w:spacing w:before="70" w:after="50"/>
            </w:pPr>
            <w:r w:rsidRPr="002029AF">
              <w:t>FRD</w:t>
            </w:r>
            <w:r w:rsidR="000A5329" w:rsidRPr="002029AF">
              <w:t xml:space="preserve"> </w:t>
            </w:r>
            <w:r w:rsidRPr="002029AF">
              <w:t>22H</w:t>
            </w:r>
          </w:p>
        </w:tc>
        <w:tc>
          <w:tcPr>
            <w:tcW w:w="6618" w:type="dxa"/>
            <w:shd w:val="clear" w:color="auto" w:fill="auto"/>
          </w:tcPr>
          <w:p w14:paraId="5DBCFEC4" w14:textId="4BB49468" w:rsidR="00CF72D5" w:rsidRPr="002029AF" w:rsidRDefault="00CF72D5" w:rsidP="00897193">
            <w:pPr>
              <w:pStyle w:val="ARtabletext"/>
              <w:spacing w:before="70" w:after="50"/>
            </w:pPr>
            <w:r w:rsidRPr="002029AF">
              <w:t>Statement</w:t>
            </w:r>
            <w:r w:rsidR="000A5329" w:rsidRPr="002029AF">
              <w:t xml:space="preserve"> </w:t>
            </w:r>
            <w:r w:rsidRPr="002029AF">
              <w:t>of</w:t>
            </w:r>
            <w:r w:rsidR="000A5329" w:rsidRPr="002029AF">
              <w:t xml:space="preserve"> </w:t>
            </w:r>
            <w:r w:rsidRPr="002029AF">
              <w:t>availability</w:t>
            </w:r>
            <w:r w:rsidR="000A5329" w:rsidRPr="002029AF">
              <w:t xml:space="preserve"> </w:t>
            </w:r>
            <w:r w:rsidRPr="002029AF">
              <w:t>of</w:t>
            </w:r>
            <w:r w:rsidR="000A5329" w:rsidRPr="002029AF">
              <w:t xml:space="preserve"> </w:t>
            </w:r>
            <w:r w:rsidRPr="002029AF">
              <w:t>other</w:t>
            </w:r>
            <w:r w:rsidR="000A5329" w:rsidRPr="002029AF">
              <w:t xml:space="preserve"> </w:t>
            </w:r>
            <w:r w:rsidRPr="002029AF">
              <w:t>information</w:t>
            </w:r>
            <w:r w:rsidR="000A5329" w:rsidRPr="002029AF">
              <w:t xml:space="preserve"> </w:t>
            </w:r>
            <w:r w:rsidRPr="002029AF">
              <w:t>on</w:t>
            </w:r>
            <w:r w:rsidR="000A5329" w:rsidRPr="002029AF">
              <w:t xml:space="preserve"> </w:t>
            </w:r>
            <w:r w:rsidRPr="002029AF">
              <w:t>request</w:t>
            </w:r>
          </w:p>
        </w:tc>
        <w:tc>
          <w:tcPr>
            <w:tcW w:w="1007" w:type="dxa"/>
            <w:shd w:val="clear" w:color="auto" w:fill="auto"/>
          </w:tcPr>
          <w:p w14:paraId="36868A82" w14:textId="323CC3CB" w:rsidR="00CF72D5" w:rsidRPr="002029AF" w:rsidRDefault="006E7983" w:rsidP="00897193">
            <w:pPr>
              <w:pStyle w:val="ARtabletextright"/>
            </w:pPr>
            <w:r w:rsidRPr="002029AF">
              <w:fldChar w:fldCharType="begin"/>
            </w:r>
            <w:r w:rsidRPr="002029AF">
              <w:instrText xml:space="preserve"> PAGEREF _Ref52455467 \h </w:instrText>
            </w:r>
            <w:r w:rsidRPr="002029AF">
              <w:fldChar w:fldCharType="separate"/>
            </w:r>
            <w:r w:rsidR="00F3275D">
              <w:rPr>
                <w:noProof/>
              </w:rPr>
              <w:t>297</w:t>
            </w:r>
            <w:r w:rsidRPr="002029AF">
              <w:fldChar w:fldCharType="end"/>
            </w:r>
          </w:p>
        </w:tc>
      </w:tr>
      <w:tr w:rsidR="00CF72D5" w:rsidRPr="002029AF" w14:paraId="06C3A2E1" w14:textId="77777777" w:rsidTr="5A449E24">
        <w:trPr>
          <w:cantSplit/>
        </w:trPr>
        <w:tc>
          <w:tcPr>
            <w:tcW w:w="2014" w:type="dxa"/>
            <w:shd w:val="clear" w:color="auto" w:fill="auto"/>
          </w:tcPr>
          <w:p w14:paraId="5983B4C8" w14:textId="5B21AAE1" w:rsidR="00CF72D5" w:rsidRPr="002029AF" w:rsidRDefault="00CF72D5" w:rsidP="00897193">
            <w:pPr>
              <w:pStyle w:val="ARtabletext"/>
              <w:spacing w:before="70" w:after="50"/>
            </w:pPr>
            <w:r w:rsidRPr="002029AF">
              <w:t>FRD</w:t>
            </w:r>
            <w:r w:rsidR="000A5329" w:rsidRPr="002029AF">
              <w:t xml:space="preserve"> </w:t>
            </w:r>
            <w:r w:rsidRPr="002029AF">
              <w:t>24C</w:t>
            </w:r>
          </w:p>
        </w:tc>
        <w:tc>
          <w:tcPr>
            <w:tcW w:w="6618" w:type="dxa"/>
            <w:shd w:val="clear" w:color="auto" w:fill="auto"/>
          </w:tcPr>
          <w:p w14:paraId="2CBB3DD7" w14:textId="30159151" w:rsidR="00CF72D5" w:rsidRPr="002029AF" w:rsidRDefault="00CF72D5" w:rsidP="00897193">
            <w:pPr>
              <w:pStyle w:val="ARtabletext"/>
              <w:spacing w:before="70" w:after="50"/>
            </w:pPr>
            <w:r w:rsidRPr="002029AF">
              <w:t>Reporting</w:t>
            </w:r>
            <w:r w:rsidR="000A5329" w:rsidRPr="002029AF">
              <w:t xml:space="preserve"> </w:t>
            </w:r>
            <w:r w:rsidRPr="002029AF">
              <w:t>of</w:t>
            </w:r>
            <w:r w:rsidR="000A5329" w:rsidRPr="002029AF">
              <w:t xml:space="preserve"> </w:t>
            </w:r>
            <w:r w:rsidRPr="002029AF">
              <w:t>office-based</w:t>
            </w:r>
            <w:r w:rsidR="000A5329" w:rsidRPr="002029AF">
              <w:t xml:space="preserve"> </w:t>
            </w:r>
            <w:r w:rsidRPr="002029AF">
              <w:t>environmental</w:t>
            </w:r>
            <w:r w:rsidR="000A5329" w:rsidRPr="002029AF">
              <w:t xml:space="preserve"> </w:t>
            </w:r>
            <w:r w:rsidRPr="002029AF">
              <w:t>impacts</w:t>
            </w:r>
          </w:p>
        </w:tc>
        <w:tc>
          <w:tcPr>
            <w:tcW w:w="1007" w:type="dxa"/>
            <w:shd w:val="clear" w:color="auto" w:fill="auto"/>
          </w:tcPr>
          <w:p w14:paraId="26402B23" w14:textId="77296CAF" w:rsidR="00CF72D5" w:rsidRPr="002029AF" w:rsidRDefault="00CF72D5" w:rsidP="00897193">
            <w:pPr>
              <w:pStyle w:val="ARtabletextright"/>
            </w:pPr>
            <w:r w:rsidRPr="002029AF">
              <w:fldChar w:fldCharType="begin"/>
            </w:r>
            <w:r w:rsidRPr="002029AF">
              <w:instrText xml:space="preserve"> PAGEREF _Ref492895460 \h </w:instrText>
            </w:r>
            <w:r w:rsidRPr="002029AF">
              <w:fldChar w:fldCharType="separate"/>
            </w:r>
            <w:r w:rsidR="00F3275D">
              <w:rPr>
                <w:noProof/>
              </w:rPr>
              <w:t>176</w:t>
            </w:r>
            <w:r w:rsidRPr="002029AF">
              <w:fldChar w:fldCharType="end"/>
            </w:r>
            <w:r w:rsidRPr="002029AF">
              <w:t>–</w:t>
            </w:r>
            <w:r w:rsidRPr="002029AF">
              <w:fldChar w:fldCharType="begin"/>
            </w:r>
            <w:r w:rsidRPr="002029AF">
              <w:instrText xml:space="preserve"> PAGEREF _Ref21957068 \h </w:instrText>
            </w:r>
            <w:r w:rsidRPr="002029AF">
              <w:fldChar w:fldCharType="separate"/>
            </w:r>
            <w:r w:rsidR="00F3275D">
              <w:rPr>
                <w:noProof/>
              </w:rPr>
              <w:t>191</w:t>
            </w:r>
            <w:r w:rsidRPr="002029AF">
              <w:fldChar w:fldCharType="end"/>
            </w:r>
          </w:p>
        </w:tc>
      </w:tr>
      <w:tr w:rsidR="00CF72D5" w:rsidRPr="002029AF" w14:paraId="484F19C9" w14:textId="77777777" w:rsidTr="5A449E24">
        <w:trPr>
          <w:cantSplit/>
        </w:trPr>
        <w:tc>
          <w:tcPr>
            <w:tcW w:w="2014" w:type="dxa"/>
            <w:shd w:val="clear" w:color="auto" w:fill="auto"/>
          </w:tcPr>
          <w:p w14:paraId="1A4C37F4" w14:textId="344FF554" w:rsidR="00CF72D5" w:rsidRPr="002029AF" w:rsidRDefault="00CF72D5" w:rsidP="00897193">
            <w:pPr>
              <w:pStyle w:val="ARtabletext"/>
              <w:spacing w:before="70" w:after="50"/>
            </w:pPr>
            <w:r w:rsidRPr="002029AF">
              <w:lastRenderedPageBreak/>
              <w:t>FRD</w:t>
            </w:r>
            <w:r w:rsidR="000A5329" w:rsidRPr="002029AF">
              <w:t xml:space="preserve"> </w:t>
            </w:r>
            <w:r w:rsidRPr="002029AF">
              <w:t>25</w:t>
            </w:r>
            <w:r w:rsidR="42CE4B78" w:rsidRPr="002029AF">
              <w:t>D</w:t>
            </w:r>
            <w:r w:rsidR="000A5329" w:rsidRPr="002029AF">
              <w:t xml:space="preserve"> </w:t>
            </w:r>
          </w:p>
        </w:tc>
        <w:tc>
          <w:tcPr>
            <w:tcW w:w="6618" w:type="dxa"/>
            <w:shd w:val="clear" w:color="auto" w:fill="auto"/>
          </w:tcPr>
          <w:p w14:paraId="790B578A" w14:textId="316EDCEC" w:rsidR="00CF72D5" w:rsidRPr="002029AF" w:rsidRDefault="683B7237">
            <w:pPr>
              <w:pStyle w:val="ARtabletext"/>
              <w:spacing w:before="70" w:after="50"/>
            </w:pPr>
            <w:r w:rsidRPr="002029AF">
              <w:t>Local</w:t>
            </w:r>
            <w:r w:rsidR="000A5329" w:rsidRPr="002029AF">
              <w:t xml:space="preserve"> </w:t>
            </w:r>
            <w:r w:rsidRPr="002029AF">
              <w:t>Jobs</w:t>
            </w:r>
            <w:r w:rsidR="000A5329" w:rsidRPr="002029AF">
              <w:t xml:space="preserve"> </w:t>
            </w:r>
            <w:r w:rsidRPr="002029AF">
              <w:t>Disclosures</w:t>
            </w:r>
          </w:p>
        </w:tc>
        <w:tc>
          <w:tcPr>
            <w:tcW w:w="1007" w:type="dxa"/>
            <w:shd w:val="clear" w:color="auto" w:fill="auto"/>
          </w:tcPr>
          <w:p w14:paraId="432A4969" w14:textId="0102DD90" w:rsidR="00CF72D5" w:rsidRPr="002029AF" w:rsidRDefault="003B5685" w:rsidP="00897193">
            <w:pPr>
              <w:pStyle w:val="ARtabletextright"/>
            </w:pPr>
            <w:r w:rsidRPr="002029AF">
              <w:fldChar w:fldCharType="begin"/>
            </w:r>
            <w:r w:rsidRPr="002029AF">
              <w:instrText xml:space="preserve"> PAGEREF _Ref52285412 \h </w:instrText>
            </w:r>
            <w:r w:rsidRPr="002029AF">
              <w:fldChar w:fldCharType="separate"/>
            </w:r>
            <w:r w:rsidR="00F3275D">
              <w:rPr>
                <w:noProof/>
              </w:rPr>
              <w:t>150</w:t>
            </w:r>
            <w:r w:rsidRPr="002029AF">
              <w:fldChar w:fldCharType="end"/>
            </w:r>
          </w:p>
        </w:tc>
      </w:tr>
      <w:tr w:rsidR="00CF72D5" w:rsidRPr="002029AF" w14:paraId="10374488" w14:textId="77777777" w:rsidTr="5A449E24">
        <w:trPr>
          <w:cantSplit/>
        </w:trPr>
        <w:tc>
          <w:tcPr>
            <w:tcW w:w="2014" w:type="dxa"/>
            <w:shd w:val="clear" w:color="auto" w:fill="auto"/>
          </w:tcPr>
          <w:p w14:paraId="1D9D094A" w14:textId="6E8CE3FD" w:rsidR="00CF72D5" w:rsidRPr="002029AF" w:rsidRDefault="00CF72D5" w:rsidP="00897193">
            <w:pPr>
              <w:pStyle w:val="ARtabletext"/>
              <w:spacing w:before="70" w:after="50"/>
            </w:pPr>
            <w:r w:rsidRPr="002029AF">
              <w:t>FRD</w:t>
            </w:r>
            <w:r w:rsidR="000A5329" w:rsidRPr="002029AF">
              <w:t xml:space="preserve"> </w:t>
            </w:r>
            <w:r w:rsidRPr="002029AF">
              <w:t>29B</w:t>
            </w:r>
          </w:p>
        </w:tc>
        <w:tc>
          <w:tcPr>
            <w:tcW w:w="6618" w:type="dxa"/>
            <w:shd w:val="clear" w:color="auto" w:fill="auto"/>
          </w:tcPr>
          <w:p w14:paraId="2C7A2A7C" w14:textId="1E0F0265" w:rsidR="00CF72D5" w:rsidRPr="002029AF" w:rsidRDefault="00CF72D5" w:rsidP="00897193">
            <w:pPr>
              <w:pStyle w:val="ARtabletext"/>
              <w:spacing w:before="70" w:after="50"/>
            </w:pPr>
            <w:r w:rsidRPr="002029AF">
              <w:t>Workforce</w:t>
            </w:r>
            <w:r w:rsidR="000A5329" w:rsidRPr="002029AF">
              <w:t xml:space="preserve"> </w:t>
            </w:r>
            <w:r w:rsidRPr="002029AF">
              <w:t>data</w:t>
            </w:r>
            <w:r w:rsidR="000A5329" w:rsidRPr="002029AF">
              <w:t xml:space="preserve"> </w:t>
            </w:r>
            <w:r w:rsidRPr="002029AF">
              <w:t>disclosures</w:t>
            </w:r>
          </w:p>
        </w:tc>
        <w:tc>
          <w:tcPr>
            <w:tcW w:w="1007" w:type="dxa"/>
            <w:shd w:val="clear" w:color="auto" w:fill="auto"/>
          </w:tcPr>
          <w:p w14:paraId="65BC9F47" w14:textId="1DA237DF" w:rsidR="00CF72D5" w:rsidRPr="002029AF" w:rsidRDefault="00CF72D5" w:rsidP="00897193">
            <w:pPr>
              <w:pStyle w:val="ARtabletextright"/>
            </w:pPr>
            <w:r w:rsidRPr="002029AF">
              <w:fldChar w:fldCharType="begin"/>
            </w:r>
            <w:r w:rsidRPr="002029AF">
              <w:instrText xml:space="preserve"> PAGEREF _Ref492905526 \h </w:instrText>
            </w:r>
            <w:r w:rsidRPr="002029AF">
              <w:fldChar w:fldCharType="separate"/>
            </w:r>
            <w:r w:rsidR="00F3275D">
              <w:rPr>
                <w:noProof/>
              </w:rPr>
              <w:t>122</w:t>
            </w:r>
            <w:r w:rsidRPr="002029AF">
              <w:fldChar w:fldCharType="end"/>
            </w:r>
            <w:r w:rsidRPr="002029AF">
              <w:t>–</w:t>
            </w:r>
            <w:r w:rsidRPr="002029AF">
              <w:fldChar w:fldCharType="begin"/>
            </w:r>
            <w:r w:rsidRPr="002029AF">
              <w:instrText xml:space="preserve"> PAGEREF _Ref21957203 \h </w:instrText>
            </w:r>
            <w:r w:rsidRPr="002029AF">
              <w:fldChar w:fldCharType="separate"/>
            </w:r>
            <w:r w:rsidR="00F3275D">
              <w:rPr>
                <w:noProof/>
              </w:rPr>
              <w:t>125</w:t>
            </w:r>
            <w:r w:rsidRPr="002029AF">
              <w:fldChar w:fldCharType="end"/>
            </w:r>
          </w:p>
        </w:tc>
      </w:tr>
      <w:tr w:rsidR="00CF72D5" w:rsidRPr="002029AF" w14:paraId="521D0019" w14:textId="77777777" w:rsidTr="5A449E24">
        <w:trPr>
          <w:cantSplit/>
        </w:trPr>
        <w:tc>
          <w:tcPr>
            <w:tcW w:w="2014" w:type="dxa"/>
            <w:shd w:val="clear" w:color="auto" w:fill="auto"/>
          </w:tcPr>
          <w:p w14:paraId="334CD1CD" w14:textId="4619268C" w:rsidR="00CF72D5" w:rsidRPr="002029AF" w:rsidRDefault="00CF72D5" w:rsidP="00897193">
            <w:pPr>
              <w:pStyle w:val="ARtabletext"/>
              <w:spacing w:before="70" w:after="50"/>
            </w:pPr>
            <w:r w:rsidRPr="002029AF">
              <w:t>SD</w:t>
            </w:r>
            <w:r w:rsidR="000A5329" w:rsidRPr="002029AF">
              <w:t xml:space="preserve"> </w:t>
            </w:r>
            <w:r w:rsidRPr="002029AF">
              <w:t>3.2.1</w:t>
            </w:r>
          </w:p>
        </w:tc>
        <w:tc>
          <w:tcPr>
            <w:tcW w:w="6618" w:type="dxa"/>
            <w:shd w:val="clear" w:color="auto" w:fill="auto"/>
          </w:tcPr>
          <w:p w14:paraId="25196863" w14:textId="0932307A" w:rsidR="00CF72D5" w:rsidRPr="002029AF" w:rsidRDefault="00CF72D5" w:rsidP="00897193">
            <w:pPr>
              <w:pStyle w:val="ARtabletext"/>
              <w:spacing w:before="70" w:after="50"/>
            </w:pPr>
            <w:r w:rsidRPr="002029AF">
              <w:t>Specific</w:t>
            </w:r>
            <w:r w:rsidR="000A5329" w:rsidRPr="002029AF">
              <w:t xml:space="preserve"> </w:t>
            </w:r>
            <w:r w:rsidRPr="002029AF">
              <w:t>requirements</w:t>
            </w:r>
            <w:r w:rsidR="000A5329" w:rsidRPr="002029AF">
              <w:t xml:space="preserve"> </w:t>
            </w:r>
            <w:r w:rsidRPr="002029AF">
              <w:t>for</w:t>
            </w:r>
            <w:r w:rsidR="000A5329" w:rsidRPr="002029AF">
              <w:t xml:space="preserve"> </w:t>
            </w:r>
            <w:r w:rsidRPr="002029AF">
              <w:t>the</w:t>
            </w:r>
            <w:r w:rsidR="000A5329" w:rsidRPr="002029AF">
              <w:t xml:space="preserve"> </w:t>
            </w:r>
            <w:r w:rsidRPr="002029AF">
              <w:t>audit</w:t>
            </w:r>
            <w:r w:rsidR="000A5329" w:rsidRPr="002029AF">
              <w:t xml:space="preserve"> </w:t>
            </w:r>
            <w:r w:rsidRPr="002029AF">
              <w:t>committee</w:t>
            </w:r>
            <w:r w:rsidR="000A5329" w:rsidRPr="002029AF">
              <w:t xml:space="preserve"> </w:t>
            </w:r>
            <w:r w:rsidRPr="002029AF">
              <w:t>to</w:t>
            </w:r>
            <w:r w:rsidR="000A5329" w:rsidRPr="002029AF">
              <w:t xml:space="preserve"> </w:t>
            </w:r>
            <w:r w:rsidRPr="002029AF">
              <w:t>review</w:t>
            </w:r>
            <w:r w:rsidR="000A5329" w:rsidRPr="002029AF">
              <w:t xml:space="preserve"> </w:t>
            </w:r>
            <w:r w:rsidRPr="002029AF">
              <w:t>specific</w:t>
            </w:r>
            <w:r w:rsidR="000A5329" w:rsidRPr="002029AF">
              <w:t xml:space="preserve"> </w:t>
            </w:r>
            <w:r w:rsidRPr="002029AF">
              <w:t>information</w:t>
            </w:r>
            <w:r w:rsidR="000A5329" w:rsidRPr="002029AF">
              <w:t xml:space="preserve"> </w:t>
            </w:r>
            <w:r w:rsidRPr="002029AF">
              <w:t>in</w:t>
            </w:r>
            <w:r w:rsidR="000A5329" w:rsidRPr="002029AF">
              <w:t xml:space="preserve"> </w:t>
            </w:r>
            <w:r w:rsidRPr="002029AF">
              <w:t>report</w:t>
            </w:r>
            <w:r w:rsidR="000A5329" w:rsidRPr="002029AF">
              <w:t xml:space="preserve"> </w:t>
            </w:r>
            <w:r w:rsidRPr="002029AF">
              <w:t>of</w:t>
            </w:r>
            <w:r w:rsidR="000A5329" w:rsidRPr="002029AF">
              <w:t xml:space="preserve"> </w:t>
            </w:r>
            <w:r w:rsidRPr="002029AF">
              <w:t>operations</w:t>
            </w:r>
          </w:p>
        </w:tc>
        <w:tc>
          <w:tcPr>
            <w:tcW w:w="1007" w:type="dxa"/>
            <w:shd w:val="clear" w:color="auto" w:fill="auto"/>
          </w:tcPr>
          <w:p w14:paraId="5AC6594F" w14:textId="28799104" w:rsidR="00CF72D5" w:rsidRPr="002029AF" w:rsidRDefault="00DA4D17" w:rsidP="00897193">
            <w:pPr>
              <w:pStyle w:val="ARtabletextright"/>
            </w:pPr>
            <w:r w:rsidRPr="002029AF">
              <w:fldChar w:fldCharType="begin"/>
            </w:r>
            <w:r w:rsidRPr="002029AF">
              <w:instrText xml:space="preserve"> PAGEREF _Ref52199959 \h </w:instrText>
            </w:r>
            <w:r w:rsidRPr="002029AF">
              <w:fldChar w:fldCharType="separate"/>
            </w:r>
            <w:r w:rsidR="00F3275D">
              <w:rPr>
                <w:noProof/>
              </w:rPr>
              <w:t>81</w:t>
            </w:r>
            <w:r w:rsidRPr="002029AF">
              <w:fldChar w:fldCharType="end"/>
            </w:r>
            <w:r w:rsidRPr="002029AF">
              <w:t>–</w:t>
            </w:r>
            <w:r w:rsidRPr="002029AF">
              <w:fldChar w:fldCharType="begin"/>
            </w:r>
            <w:r w:rsidRPr="002029AF">
              <w:instrText xml:space="preserve"> PAGEREF _Ref52200011 \h </w:instrText>
            </w:r>
            <w:r w:rsidRPr="002029AF">
              <w:fldChar w:fldCharType="separate"/>
            </w:r>
            <w:r w:rsidR="00F3275D">
              <w:rPr>
                <w:noProof/>
              </w:rPr>
              <w:t>105</w:t>
            </w:r>
            <w:r w:rsidRPr="002029AF">
              <w:fldChar w:fldCharType="end"/>
            </w:r>
          </w:p>
          <w:p w14:paraId="122533D1" w14:textId="1ED05FF1" w:rsidR="00C61E47" w:rsidRPr="002029AF" w:rsidRDefault="000F5522" w:rsidP="00897193">
            <w:pPr>
              <w:pStyle w:val="ARtabletextright"/>
            </w:pPr>
            <w:r w:rsidRPr="002029AF">
              <w:fldChar w:fldCharType="begin"/>
            </w:r>
            <w:r w:rsidRPr="002029AF">
              <w:instrText xml:space="preserve"> PAGEREF _Ref52453812 \h </w:instrText>
            </w:r>
            <w:r w:rsidRPr="002029AF">
              <w:fldChar w:fldCharType="separate"/>
            </w:r>
            <w:r w:rsidR="00F3275D">
              <w:rPr>
                <w:noProof/>
              </w:rPr>
              <w:t>107</w:t>
            </w:r>
            <w:r w:rsidRPr="002029AF">
              <w:fldChar w:fldCharType="end"/>
            </w:r>
            <w:r w:rsidR="00FC2F9E" w:rsidRPr="002029AF">
              <w:t>–</w:t>
            </w:r>
            <w:r w:rsidRPr="002029AF">
              <w:fldChar w:fldCharType="begin"/>
            </w:r>
            <w:r w:rsidRPr="002029AF">
              <w:instrText xml:space="preserve"> PAGEREF _Ref52263715 \h </w:instrText>
            </w:r>
            <w:r w:rsidRPr="002029AF">
              <w:fldChar w:fldCharType="separate"/>
            </w:r>
            <w:r w:rsidR="00F3275D">
              <w:rPr>
                <w:noProof/>
              </w:rPr>
              <w:t>108</w:t>
            </w:r>
            <w:r w:rsidRPr="002029AF">
              <w:fldChar w:fldCharType="end"/>
            </w:r>
          </w:p>
          <w:p w14:paraId="38DB5A1E" w14:textId="7EDFFEB4" w:rsidR="00CF72D5" w:rsidRPr="002029AF" w:rsidRDefault="00CB09C4" w:rsidP="00897193">
            <w:pPr>
              <w:pStyle w:val="ARtabletextright"/>
            </w:pPr>
            <w:r w:rsidRPr="002029AF">
              <w:fldChar w:fldCharType="begin"/>
            </w:r>
            <w:r w:rsidRPr="002029AF">
              <w:instrText xml:space="preserve"> PAGEREF _Ref52200217 \h </w:instrText>
            </w:r>
            <w:r w:rsidRPr="002029AF">
              <w:fldChar w:fldCharType="separate"/>
            </w:r>
            <w:r w:rsidR="00F3275D">
              <w:rPr>
                <w:noProof/>
              </w:rPr>
              <w:t>280</w:t>
            </w:r>
            <w:r w:rsidRPr="002029AF">
              <w:fldChar w:fldCharType="end"/>
            </w:r>
            <w:r w:rsidRPr="002029AF">
              <w:t>–</w:t>
            </w:r>
            <w:r w:rsidRPr="002029AF">
              <w:fldChar w:fldCharType="begin"/>
            </w:r>
            <w:r w:rsidRPr="002029AF">
              <w:instrText xml:space="preserve"> PAGEREF _Ref52200260 \h </w:instrText>
            </w:r>
            <w:r w:rsidRPr="002029AF">
              <w:fldChar w:fldCharType="separate"/>
            </w:r>
            <w:r w:rsidR="00F3275D">
              <w:rPr>
                <w:noProof/>
              </w:rPr>
              <w:t>286</w:t>
            </w:r>
            <w:r w:rsidRPr="002029AF">
              <w:fldChar w:fldCharType="end"/>
            </w:r>
          </w:p>
        </w:tc>
      </w:tr>
      <w:tr w:rsidR="00CF72D5" w:rsidRPr="002029AF" w14:paraId="1A44A79B" w14:textId="77777777" w:rsidTr="5A449E24">
        <w:trPr>
          <w:cantSplit/>
        </w:trPr>
        <w:tc>
          <w:tcPr>
            <w:tcW w:w="2014" w:type="dxa"/>
            <w:shd w:val="clear" w:color="auto" w:fill="auto"/>
          </w:tcPr>
          <w:p w14:paraId="3D9998B2" w14:textId="257D77A9" w:rsidR="00CF72D5" w:rsidRPr="002029AF" w:rsidRDefault="00CF72D5" w:rsidP="00897193">
            <w:pPr>
              <w:pStyle w:val="ARtabletext"/>
              <w:spacing w:before="70" w:after="50"/>
            </w:pPr>
            <w:r w:rsidRPr="002029AF">
              <w:t>SD</w:t>
            </w:r>
            <w:r w:rsidR="000A5329" w:rsidRPr="002029AF">
              <w:t xml:space="preserve"> </w:t>
            </w:r>
            <w:r w:rsidRPr="002029AF">
              <w:t>5.2</w:t>
            </w:r>
          </w:p>
        </w:tc>
        <w:tc>
          <w:tcPr>
            <w:tcW w:w="6618" w:type="dxa"/>
            <w:shd w:val="clear" w:color="auto" w:fill="auto"/>
          </w:tcPr>
          <w:p w14:paraId="4883C7CB" w14:textId="4B31A02E" w:rsidR="00CF72D5" w:rsidRPr="002029AF" w:rsidRDefault="00CF72D5" w:rsidP="00897193">
            <w:pPr>
              <w:pStyle w:val="ARtabletext"/>
              <w:spacing w:before="70" w:after="50"/>
            </w:pPr>
            <w:r w:rsidRPr="002029AF">
              <w:t>Specific</w:t>
            </w:r>
            <w:r w:rsidR="000A5329" w:rsidRPr="002029AF">
              <w:t xml:space="preserve"> </w:t>
            </w:r>
            <w:r w:rsidRPr="002029AF">
              <w:t>requirements</w:t>
            </w:r>
            <w:r w:rsidR="000A5329" w:rsidRPr="002029AF">
              <w:t xml:space="preserve"> </w:t>
            </w:r>
            <w:r w:rsidRPr="002029AF">
              <w:t>under</w:t>
            </w:r>
            <w:r w:rsidR="000A5329" w:rsidRPr="002029AF">
              <w:t xml:space="preserve"> </w:t>
            </w:r>
            <w:r w:rsidRPr="002029AF">
              <w:t>Standing</w:t>
            </w:r>
            <w:r w:rsidR="000A5329" w:rsidRPr="002029AF">
              <w:t xml:space="preserve"> </w:t>
            </w:r>
            <w:r w:rsidRPr="002029AF">
              <w:t>Direction</w:t>
            </w:r>
            <w:r w:rsidR="000A5329" w:rsidRPr="002029AF">
              <w:t xml:space="preserve"> </w:t>
            </w:r>
            <w:r w:rsidRPr="002029AF">
              <w:t>5.2</w:t>
            </w:r>
          </w:p>
        </w:tc>
        <w:tc>
          <w:tcPr>
            <w:tcW w:w="1007" w:type="dxa"/>
            <w:shd w:val="clear" w:color="auto" w:fill="auto"/>
          </w:tcPr>
          <w:p w14:paraId="02949C81" w14:textId="63295CD0" w:rsidR="00CF72D5" w:rsidRPr="002029AF" w:rsidRDefault="00B8502C" w:rsidP="00897193">
            <w:pPr>
              <w:pStyle w:val="ARtabletextright"/>
            </w:pPr>
            <w:r w:rsidRPr="002029AF">
              <w:fldChar w:fldCharType="begin"/>
            </w:r>
            <w:r w:rsidRPr="002029AF">
              <w:instrText xml:space="preserve"> PAGEREF _Ref52453991 \h </w:instrText>
            </w:r>
            <w:r w:rsidRPr="002029AF">
              <w:fldChar w:fldCharType="separate"/>
            </w:r>
            <w:r w:rsidR="00F3275D">
              <w:rPr>
                <w:noProof/>
              </w:rPr>
              <w:t>193</w:t>
            </w:r>
            <w:r w:rsidRPr="002029AF">
              <w:fldChar w:fldCharType="end"/>
            </w:r>
          </w:p>
        </w:tc>
      </w:tr>
      <w:tr w:rsidR="00637705" w:rsidRPr="002029AF" w14:paraId="10E2EF21" w14:textId="77777777" w:rsidTr="00637705">
        <w:trPr>
          <w:cantSplit/>
        </w:trPr>
        <w:tc>
          <w:tcPr>
            <w:tcW w:w="9639" w:type="dxa"/>
            <w:gridSpan w:val="3"/>
            <w:tcBorders>
              <w:bottom w:val="nil"/>
            </w:tcBorders>
            <w:shd w:val="clear" w:color="auto" w:fill="auto"/>
          </w:tcPr>
          <w:p w14:paraId="341125C6" w14:textId="3DD5F2F7" w:rsidR="00637705" w:rsidRPr="002029AF" w:rsidRDefault="00637705" w:rsidP="00637705">
            <w:pPr>
              <w:pStyle w:val="ARtabletextbold"/>
            </w:pPr>
            <w:r w:rsidRPr="002029AF">
              <w:t>Compliance</w:t>
            </w:r>
            <w:r w:rsidR="000A5329" w:rsidRPr="002029AF">
              <w:t xml:space="preserve"> </w:t>
            </w:r>
            <w:r w:rsidRPr="002029AF">
              <w:t>attestation</w:t>
            </w:r>
            <w:r w:rsidR="000A5329" w:rsidRPr="002029AF">
              <w:t xml:space="preserve"> </w:t>
            </w:r>
            <w:r w:rsidRPr="002029AF">
              <w:t>and</w:t>
            </w:r>
            <w:r w:rsidR="000A5329" w:rsidRPr="002029AF">
              <w:t xml:space="preserve"> </w:t>
            </w:r>
            <w:r w:rsidRPr="002029AF">
              <w:t>declaration</w:t>
            </w:r>
          </w:p>
        </w:tc>
      </w:tr>
      <w:tr w:rsidR="00CF72D5" w:rsidRPr="002029AF" w14:paraId="49F618C3" w14:textId="77777777" w:rsidTr="5A449E24">
        <w:trPr>
          <w:cantSplit/>
        </w:trPr>
        <w:tc>
          <w:tcPr>
            <w:tcW w:w="2014" w:type="dxa"/>
            <w:tcBorders>
              <w:top w:val="nil"/>
            </w:tcBorders>
            <w:shd w:val="clear" w:color="auto" w:fill="auto"/>
          </w:tcPr>
          <w:p w14:paraId="6CFC826D" w14:textId="7079ABCE" w:rsidR="00CF72D5" w:rsidRPr="002029AF" w:rsidRDefault="00CF72D5" w:rsidP="00897193">
            <w:pPr>
              <w:pStyle w:val="ARtabletext"/>
              <w:spacing w:before="70" w:after="50"/>
            </w:pPr>
            <w:r w:rsidRPr="002029AF">
              <w:t>SD</w:t>
            </w:r>
            <w:r w:rsidR="000A5329" w:rsidRPr="002029AF">
              <w:t xml:space="preserve"> </w:t>
            </w:r>
            <w:r w:rsidRPr="002029AF">
              <w:t>5.1.4</w:t>
            </w:r>
          </w:p>
        </w:tc>
        <w:tc>
          <w:tcPr>
            <w:tcW w:w="6618" w:type="dxa"/>
            <w:tcBorders>
              <w:top w:val="nil"/>
            </w:tcBorders>
            <w:shd w:val="clear" w:color="auto" w:fill="auto"/>
          </w:tcPr>
          <w:p w14:paraId="2E248DB4" w14:textId="698CEF86" w:rsidR="00CF72D5" w:rsidRPr="002029AF" w:rsidRDefault="00CF72D5" w:rsidP="00897193">
            <w:pPr>
              <w:pStyle w:val="ARtabletext"/>
              <w:spacing w:before="70" w:after="50"/>
            </w:pPr>
            <w:r w:rsidRPr="002029AF">
              <w:t>Attestation</w:t>
            </w:r>
            <w:r w:rsidR="000A5329" w:rsidRPr="002029AF">
              <w:t xml:space="preserve"> </w:t>
            </w:r>
            <w:r w:rsidRPr="002029AF">
              <w:t>for</w:t>
            </w:r>
            <w:r w:rsidR="000A5329" w:rsidRPr="002029AF">
              <w:t xml:space="preserve"> </w:t>
            </w:r>
            <w:r w:rsidRPr="002029AF">
              <w:t>compliance</w:t>
            </w:r>
            <w:r w:rsidR="000A5329" w:rsidRPr="002029AF">
              <w:t xml:space="preserve"> </w:t>
            </w:r>
            <w:r w:rsidRPr="002029AF">
              <w:t>with</w:t>
            </w:r>
            <w:r w:rsidR="000A5329" w:rsidRPr="002029AF">
              <w:t xml:space="preserve"> </w:t>
            </w:r>
            <w:r w:rsidRPr="002029AF">
              <w:t>Ministerial</w:t>
            </w:r>
            <w:r w:rsidR="000A5329" w:rsidRPr="002029AF">
              <w:t xml:space="preserve"> </w:t>
            </w:r>
            <w:r w:rsidRPr="002029AF">
              <w:t>Standing</w:t>
            </w:r>
            <w:r w:rsidR="000A5329" w:rsidRPr="002029AF">
              <w:t xml:space="preserve"> </w:t>
            </w:r>
            <w:r w:rsidRPr="002029AF">
              <w:t>Direction</w:t>
            </w:r>
          </w:p>
        </w:tc>
        <w:tc>
          <w:tcPr>
            <w:tcW w:w="1007" w:type="dxa"/>
            <w:tcBorders>
              <w:top w:val="nil"/>
            </w:tcBorders>
            <w:shd w:val="clear" w:color="auto" w:fill="auto"/>
          </w:tcPr>
          <w:p w14:paraId="4B5D00D7" w14:textId="0DDDEFD5" w:rsidR="00CF72D5" w:rsidRPr="002029AF" w:rsidRDefault="005A3482" w:rsidP="00897193">
            <w:pPr>
              <w:pStyle w:val="ARtabletextright"/>
            </w:pPr>
            <w:r>
              <w:rPr>
                <w:highlight w:val="yellow"/>
              </w:rPr>
              <w:fldChar w:fldCharType="begin"/>
            </w:r>
            <w:r>
              <w:instrText xml:space="preserve"> PAGEREF _Ref52454275 \h </w:instrText>
            </w:r>
            <w:r>
              <w:rPr>
                <w:highlight w:val="yellow"/>
              </w:rPr>
            </w:r>
            <w:r>
              <w:rPr>
                <w:highlight w:val="yellow"/>
              </w:rPr>
              <w:fldChar w:fldCharType="separate"/>
            </w:r>
            <w:r w:rsidR="00F3275D">
              <w:rPr>
                <w:noProof/>
              </w:rPr>
              <w:t>194</w:t>
            </w:r>
            <w:r>
              <w:rPr>
                <w:highlight w:val="yellow"/>
              </w:rPr>
              <w:fldChar w:fldCharType="end"/>
            </w:r>
          </w:p>
        </w:tc>
      </w:tr>
      <w:tr w:rsidR="00CF72D5" w:rsidRPr="002029AF" w14:paraId="45DDED50" w14:textId="77777777" w:rsidTr="5A449E24">
        <w:trPr>
          <w:cantSplit/>
        </w:trPr>
        <w:tc>
          <w:tcPr>
            <w:tcW w:w="2014" w:type="dxa"/>
            <w:shd w:val="clear" w:color="auto" w:fill="auto"/>
          </w:tcPr>
          <w:p w14:paraId="0120D6D2" w14:textId="1A0C7462" w:rsidR="00CF72D5" w:rsidRPr="002029AF" w:rsidRDefault="00CF72D5" w:rsidP="00897193">
            <w:pPr>
              <w:pStyle w:val="ARtabletext"/>
              <w:spacing w:before="70" w:after="50"/>
            </w:pPr>
            <w:r w:rsidRPr="002029AF">
              <w:t>SD</w:t>
            </w:r>
            <w:r w:rsidR="000A5329" w:rsidRPr="002029AF">
              <w:t xml:space="preserve"> </w:t>
            </w:r>
            <w:r w:rsidRPr="002029AF">
              <w:t>5.2.3</w:t>
            </w:r>
          </w:p>
        </w:tc>
        <w:tc>
          <w:tcPr>
            <w:tcW w:w="6618" w:type="dxa"/>
            <w:shd w:val="clear" w:color="auto" w:fill="auto"/>
          </w:tcPr>
          <w:p w14:paraId="63DDF1EE" w14:textId="41591DB6" w:rsidR="00CF72D5" w:rsidRPr="002029AF" w:rsidRDefault="00CF72D5" w:rsidP="00897193">
            <w:pPr>
              <w:pStyle w:val="ARtabletext"/>
              <w:spacing w:before="70" w:after="50"/>
            </w:pPr>
            <w:r w:rsidRPr="002029AF">
              <w:t>Declaration</w:t>
            </w:r>
            <w:r w:rsidR="000A5329" w:rsidRPr="002029AF">
              <w:t xml:space="preserve"> </w:t>
            </w:r>
            <w:r w:rsidRPr="002029AF">
              <w:t>in</w:t>
            </w:r>
            <w:r w:rsidR="000A5329" w:rsidRPr="002029AF">
              <w:t xml:space="preserve"> </w:t>
            </w:r>
            <w:r w:rsidRPr="002029AF">
              <w:t>report</w:t>
            </w:r>
            <w:r w:rsidR="000A5329" w:rsidRPr="002029AF">
              <w:t xml:space="preserve"> </w:t>
            </w:r>
            <w:r w:rsidRPr="002029AF">
              <w:t>of</w:t>
            </w:r>
            <w:r w:rsidR="000A5329" w:rsidRPr="002029AF">
              <w:t xml:space="preserve"> </w:t>
            </w:r>
            <w:r w:rsidRPr="002029AF">
              <w:t>operations</w:t>
            </w:r>
          </w:p>
        </w:tc>
        <w:tc>
          <w:tcPr>
            <w:tcW w:w="1007" w:type="dxa"/>
            <w:shd w:val="clear" w:color="auto" w:fill="auto"/>
          </w:tcPr>
          <w:p w14:paraId="549727C7" w14:textId="26B03A10" w:rsidR="00CF72D5" w:rsidRPr="002029AF" w:rsidRDefault="00CF72D5" w:rsidP="00897193">
            <w:pPr>
              <w:pStyle w:val="ARtabletextright"/>
            </w:pPr>
            <w:r w:rsidRPr="002029AF">
              <w:fldChar w:fldCharType="begin"/>
            </w:r>
            <w:r w:rsidRPr="002029AF">
              <w:instrText xml:space="preserve"> PAGEREF _Ref21957502 \h </w:instrText>
            </w:r>
            <w:r w:rsidRPr="002029AF">
              <w:fldChar w:fldCharType="separate"/>
            </w:r>
            <w:r w:rsidR="00F3275D">
              <w:rPr>
                <w:noProof/>
              </w:rPr>
              <w:t>3</w:t>
            </w:r>
            <w:r w:rsidRPr="002029AF">
              <w:fldChar w:fldCharType="end"/>
            </w:r>
          </w:p>
        </w:tc>
      </w:tr>
    </w:tbl>
    <w:p w14:paraId="6DE5DEBE" w14:textId="26DFB1C9" w:rsidR="00CF72D5" w:rsidRPr="002029AF" w:rsidRDefault="00CF72D5" w:rsidP="00897193">
      <w:pPr>
        <w:pStyle w:val="Heading3"/>
        <w:spacing w:after="200"/>
      </w:pPr>
      <w:bookmarkStart w:id="450" w:name="_Toc462577211"/>
      <w:bookmarkStart w:id="451" w:name="_Toc520974735"/>
      <w:bookmarkStart w:id="452" w:name="_Toc50998473"/>
      <w:bookmarkStart w:id="453" w:name="_Ref52282887"/>
      <w:r w:rsidRPr="002029AF">
        <w:t>Financial</w:t>
      </w:r>
      <w:r w:rsidR="000A5329" w:rsidRPr="002029AF">
        <w:t xml:space="preserve"> </w:t>
      </w:r>
      <w:r w:rsidRPr="002029AF">
        <w:t>report</w:t>
      </w:r>
      <w:bookmarkEnd w:id="450"/>
      <w:bookmarkEnd w:id="451"/>
      <w:bookmarkEnd w:id="452"/>
      <w:bookmarkEnd w:id="453"/>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4A0" w:firstRow="1" w:lastRow="0" w:firstColumn="1" w:lastColumn="0" w:noHBand="0" w:noVBand="1"/>
      </w:tblPr>
      <w:tblGrid>
        <w:gridCol w:w="2059"/>
        <w:gridCol w:w="6588"/>
        <w:gridCol w:w="992"/>
      </w:tblGrid>
      <w:tr w:rsidR="00CF72D5" w:rsidRPr="002029AF" w14:paraId="7558DDAD" w14:textId="77777777" w:rsidTr="00897193">
        <w:trPr>
          <w:cantSplit/>
          <w:tblHeader/>
        </w:trPr>
        <w:tc>
          <w:tcPr>
            <w:tcW w:w="2059" w:type="dxa"/>
            <w:tcBorders>
              <w:top w:val="nil"/>
            </w:tcBorders>
            <w:shd w:val="clear" w:color="auto" w:fill="auto"/>
            <w:vAlign w:val="bottom"/>
          </w:tcPr>
          <w:p w14:paraId="269F0035" w14:textId="11F7BC7B" w:rsidR="00CF72D5" w:rsidRPr="002029AF" w:rsidRDefault="00CF72D5" w:rsidP="00897193">
            <w:pPr>
              <w:pStyle w:val="ARtablecolhead"/>
            </w:pPr>
            <w:r w:rsidRPr="002029AF">
              <w:t>Ministerial</w:t>
            </w:r>
            <w:r w:rsidR="000A5329" w:rsidRPr="002029AF">
              <w:t xml:space="preserve"> </w:t>
            </w:r>
            <w:r w:rsidRPr="002029AF">
              <w:t>directions</w:t>
            </w:r>
          </w:p>
        </w:tc>
        <w:tc>
          <w:tcPr>
            <w:tcW w:w="6588" w:type="dxa"/>
            <w:tcBorders>
              <w:top w:val="nil"/>
            </w:tcBorders>
            <w:shd w:val="clear" w:color="auto" w:fill="auto"/>
            <w:vAlign w:val="bottom"/>
          </w:tcPr>
          <w:p w14:paraId="3CD7BB5C" w14:textId="77777777" w:rsidR="00CF72D5" w:rsidRPr="002029AF" w:rsidRDefault="00CF72D5" w:rsidP="00897193">
            <w:pPr>
              <w:pStyle w:val="ARtablecolhead"/>
            </w:pPr>
            <w:r w:rsidRPr="002029AF">
              <w:t>Requirement</w:t>
            </w:r>
          </w:p>
        </w:tc>
        <w:tc>
          <w:tcPr>
            <w:tcW w:w="992" w:type="dxa"/>
            <w:tcBorders>
              <w:top w:val="nil"/>
            </w:tcBorders>
            <w:shd w:val="clear" w:color="auto" w:fill="auto"/>
            <w:vAlign w:val="bottom"/>
          </w:tcPr>
          <w:p w14:paraId="3B3B848D" w14:textId="77777777" w:rsidR="00CF72D5" w:rsidRPr="002029AF" w:rsidRDefault="00CF72D5" w:rsidP="00897193">
            <w:pPr>
              <w:pStyle w:val="ARtablecolhead"/>
              <w:jc w:val="right"/>
            </w:pPr>
            <w:r w:rsidRPr="002029AF">
              <w:t>Page</w:t>
            </w:r>
          </w:p>
        </w:tc>
      </w:tr>
      <w:tr w:rsidR="00CF72D5" w:rsidRPr="002029AF" w14:paraId="5E4719F3" w14:textId="77777777" w:rsidTr="00897193">
        <w:tc>
          <w:tcPr>
            <w:tcW w:w="9639" w:type="dxa"/>
            <w:gridSpan w:val="3"/>
            <w:tcBorders>
              <w:bottom w:val="nil"/>
            </w:tcBorders>
            <w:shd w:val="clear" w:color="auto" w:fill="auto"/>
          </w:tcPr>
          <w:p w14:paraId="6D3D287C" w14:textId="4CFCAC74" w:rsidR="00CF72D5" w:rsidRPr="002029AF" w:rsidRDefault="00CF72D5" w:rsidP="00897193">
            <w:pPr>
              <w:pStyle w:val="ARtabletext"/>
              <w:rPr>
                <w:b/>
              </w:rPr>
            </w:pPr>
            <w:r w:rsidRPr="002029AF">
              <w:rPr>
                <w:b/>
              </w:rPr>
              <w:t>Financial</w:t>
            </w:r>
            <w:r w:rsidR="000A5329" w:rsidRPr="002029AF">
              <w:rPr>
                <w:b/>
              </w:rPr>
              <w:t xml:space="preserve"> </w:t>
            </w:r>
            <w:r w:rsidRPr="002029AF">
              <w:rPr>
                <w:b/>
              </w:rPr>
              <w:t>statements</w:t>
            </w:r>
            <w:r w:rsidR="000A5329" w:rsidRPr="002029AF">
              <w:rPr>
                <w:b/>
              </w:rPr>
              <w:t xml:space="preserve"> </w:t>
            </w:r>
            <w:r w:rsidRPr="002029AF">
              <w:rPr>
                <w:b/>
              </w:rPr>
              <w:t>required</w:t>
            </w:r>
            <w:r w:rsidR="000A5329" w:rsidRPr="002029AF">
              <w:rPr>
                <w:b/>
              </w:rPr>
              <w:t xml:space="preserve"> </w:t>
            </w:r>
            <w:r w:rsidRPr="002029AF">
              <w:rPr>
                <w:b/>
              </w:rPr>
              <w:t>under</w:t>
            </w:r>
            <w:r w:rsidR="000A5329" w:rsidRPr="002029AF">
              <w:rPr>
                <w:b/>
              </w:rPr>
              <w:t xml:space="preserve"> </w:t>
            </w:r>
            <w:r w:rsidRPr="002029AF">
              <w:rPr>
                <w:b/>
              </w:rPr>
              <w:t>Part</w:t>
            </w:r>
            <w:r w:rsidR="000A5329" w:rsidRPr="002029AF">
              <w:rPr>
                <w:b/>
              </w:rPr>
              <w:t xml:space="preserve"> </w:t>
            </w:r>
            <w:r w:rsidRPr="002029AF">
              <w:rPr>
                <w:b/>
              </w:rPr>
              <w:t>7</w:t>
            </w:r>
            <w:r w:rsidR="000A5329" w:rsidRPr="002029AF">
              <w:rPr>
                <w:b/>
              </w:rPr>
              <w:t xml:space="preserve"> </w:t>
            </w:r>
            <w:r w:rsidRPr="002029AF">
              <w:rPr>
                <w:b/>
              </w:rPr>
              <w:t>of</w:t>
            </w:r>
            <w:r w:rsidR="000A5329" w:rsidRPr="002029AF">
              <w:rPr>
                <w:b/>
              </w:rPr>
              <w:t xml:space="preserve"> </w:t>
            </w:r>
            <w:r w:rsidRPr="002029AF">
              <w:rPr>
                <w:b/>
              </w:rPr>
              <w:t>the</w:t>
            </w:r>
            <w:r w:rsidR="000A5329" w:rsidRPr="002029AF">
              <w:rPr>
                <w:b/>
              </w:rPr>
              <w:t xml:space="preserve"> </w:t>
            </w:r>
            <w:r w:rsidRPr="002029AF">
              <w:rPr>
                <w:b/>
                <w:i/>
              </w:rPr>
              <w:t>Financial</w:t>
            </w:r>
            <w:r w:rsidR="000A5329" w:rsidRPr="002029AF">
              <w:rPr>
                <w:b/>
                <w:i/>
              </w:rPr>
              <w:t xml:space="preserve"> </w:t>
            </w:r>
            <w:r w:rsidRPr="002029AF">
              <w:rPr>
                <w:b/>
                <w:i/>
              </w:rPr>
              <w:t>Management</w:t>
            </w:r>
            <w:r w:rsidR="000A5329" w:rsidRPr="002029AF">
              <w:rPr>
                <w:b/>
                <w:i/>
              </w:rPr>
              <w:t xml:space="preserve"> </w:t>
            </w:r>
            <w:r w:rsidRPr="002029AF">
              <w:rPr>
                <w:b/>
                <w:i/>
              </w:rPr>
              <w:t>Act</w:t>
            </w:r>
            <w:r w:rsidR="000A5329" w:rsidRPr="002029AF">
              <w:rPr>
                <w:b/>
                <w:i/>
              </w:rPr>
              <w:t xml:space="preserve"> </w:t>
            </w:r>
            <w:r w:rsidRPr="002029AF">
              <w:rPr>
                <w:b/>
                <w:i/>
              </w:rPr>
              <w:t>1994</w:t>
            </w:r>
          </w:p>
        </w:tc>
      </w:tr>
      <w:tr w:rsidR="00CF72D5" w:rsidRPr="002029AF" w14:paraId="5CCF3BFD" w14:textId="77777777" w:rsidTr="00897193">
        <w:tc>
          <w:tcPr>
            <w:tcW w:w="2059" w:type="dxa"/>
            <w:tcBorders>
              <w:top w:val="nil"/>
            </w:tcBorders>
            <w:shd w:val="clear" w:color="auto" w:fill="auto"/>
          </w:tcPr>
          <w:p w14:paraId="68BB77AF" w14:textId="45B32E4F" w:rsidR="00CF72D5" w:rsidRPr="002029AF" w:rsidRDefault="00CF72D5" w:rsidP="00897193">
            <w:pPr>
              <w:pStyle w:val="ARtabletext"/>
            </w:pPr>
            <w:r w:rsidRPr="002029AF">
              <w:t>SD</w:t>
            </w:r>
            <w:r w:rsidR="000A5329" w:rsidRPr="002029AF">
              <w:t xml:space="preserve"> </w:t>
            </w:r>
            <w:r w:rsidRPr="002029AF">
              <w:t>5.2.1(a)</w:t>
            </w:r>
          </w:p>
        </w:tc>
        <w:tc>
          <w:tcPr>
            <w:tcW w:w="6588" w:type="dxa"/>
            <w:tcBorders>
              <w:top w:val="nil"/>
            </w:tcBorders>
            <w:shd w:val="clear" w:color="auto" w:fill="auto"/>
          </w:tcPr>
          <w:p w14:paraId="7AEB70CD" w14:textId="5D528BCF" w:rsidR="00CF72D5" w:rsidRPr="002029AF" w:rsidRDefault="00CF72D5" w:rsidP="00897193">
            <w:pPr>
              <w:pStyle w:val="ARtabletext"/>
            </w:pPr>
            <w:r w:rsidRPr="002029AF">
              <w:t>Compliance</w:t>
            </w:r>
            <w:r w:rsidR="000A5329" w:rsidRPr="002029AF">
              <w:t xml:space="preserve"> </w:t>
            </w:r>
            <w:r w:rsidRPr="002029AF">
              <w:t>with</w:t>
            </w:r>
            <w:r w:rsidR="000A5329" w:rsidRPr="002029AF">
              <w:t xml:space="preserve"> </w:t>
            </w:r>
            <w:r w:rsidRPr="002029AF">
              <w:t>Australian</w:t>
            </w:r>
            <w:r w:rsidR="000A5329" w:rsidRPr="002029AF">
              <w:t xml:space="preserve"> </w:t>
            </w:r>
            <w:r w:rsidRPr="002029AF">
              <w:t>accounting</w:t>
            </w:r>
            <w:r w:rsidR="000A5329" w:rsidRPr="002029AF">
              <w:t xml:space="preserve"> </w:t>
            </w:r>
            <w:r w:rsidRPr="002029AF">
              <w:t>standards</w:t>
            </w:r>
            <w:r w:rsidR="000A5329" w:rsidRPr="002029AF">
              <w:t xml:space="preserve"> </w:t>
            </w:r>
            <w:r w:rsidRPr="002029AF">
              <w:t>and</w:t>
            </w:r>
            <w:r w:rsidR="000A5329" w:rsidRPr="002029AF">
              <w:t xml:space="preserve"> </w:t>
            </w:r>
            <w:r w:rsidRPr="002029AF">
              <w:t>other</w:t>
            </w:r>
            <w:r w:rsidR="000A5329" w:rsidRPr="002029AF">
              <w:t xml:space="preserve"> </w:t>
            </w:r>
            <w:r w:rsidRPr="002029AF">
              <w:t>authoritative</w:t>
            </w:r>
            <w:r w:rsidR="000A5329" w:rsidRPr="002029AF">
              <w:t xml:space="preserve"> </w:t>
            </w:r>
            <w:r w:rsidRPr="002029AF">
              <w:t>pronouncements</w:t>
            </w:r>
          </w:p>
        </w:tc>
        <w:tc>
          <w:tcPr>
            <w:tcW w:w="992" w:type="dxa"/>
            <w:tcBorders>
              <w:top w:val="nil"/>
            </w:tcBorders>
            <w:shd w:val="clear" w:color="auto" w:fill="auto"/>
          </w:tcPr>
          <w:p w14:paraId="35536ED2" w14:textId="37AE53F0" w:rsidR="00CF72D5" w:rsidRPr="002029AF" w:rsidRDefault="00EA0BF3" w:rsidP="00897193">
            <w:pPr>
              <w:pStyle w:val="ARtabletextright"/>
            </w:pPr>
            <w:r w:rsidRPr="002029AF">
              <w:fldChar w:fldCharType="begin"/>
            </w:r>
            <w:r w:rsidRPr="002029AF">
              <w:instrText xml:space="preserve"> PAGEREF _Ref52454239 \h </w:instrText>
            </w:r>
            <w:r w:rsidRPr="002029AF">
              <w:fldChar w:fldCharType="separate"/>
            </w:r>
            <w:r w:rsidR="00F3275D">
              <w:rPr>
                <w:noProof/>
              </w:rPr>
              <w:t>195</w:t>
            </w:r>
            <w:r w:rsidRPr="002029AF">
              <w:fldChar w:fldCharType="end"/>
            </w:r>
            <w:r w:rsidR="00FC2F9E" w:rsidRPr="002029AF">
              <w:t>–</w:t>
            </w:r>
            <w:r w:rsidR="000D3421" w:rsidRPr="002029AF">
              <w:fldChar w:fldCharType="begin"/>
            </w:r>
            <w:r w:rsidR="000D3421" w:rsidRPr="002029AF">
              <w:instrText xml:space="preserve"> PAGEREF Auditor_report_end \h </w:instrText>
            </w:r>
            <w:r w:rsidR="000D3421" w:rsidRPr="002029AF">
              <w:fldChar w:fldCharType="separate"/>
            </w:r>
            <w:r w:rsidR="00F3275D">
              <w:rPr>
                <w:noProof/>
              </w:rPr>
              <w:t>196</w:t>
            </w:r>
            <w:r w:rsidR="000D3421" w:rsidRPr="002029AF">
              <w:fldChar w:fldCharType="end"/>
            </w:r>
          </w:p>
        </w:tc>
      </w:tr>
      <w:tr w:rsidR="00CF72D5" w:rsidRPr="002029AF" w14:paraId="466B2EDD" w14:textId="77777777" w:rsidTr="00897193">
        <w:tc>
          <w:tcPr>
            <w:tcW w:w="2059" w:type="dxa"/>
            <w:shd w:val="clear" w:color="auto" w:fill="auto"/>
          </w:tcPr>
          <w:p w14:paraId="153D409D" w14:textId="6C634AD0" w:rsidR="00CF72D5" w:rsidRPr="002029AF" w:rsidRDefault="00CF72D5" w:rsidP="00897193">
            <w:pPr>
              <w:pStyle w:val="ARtabletext"/>
            </w:pPr>
            <w:r w:rsidRPr="002029AF">
              <w:t>SD</w:t>
            </w:r>
            <w:r w:rsidR="000A5329" w:rsidRPr="002029AF">
              <w:t xml:space="preserve"> </w:t>
            </w:r>
            <w:r w:rsidRPr="002029AF">
              <w:t>5.2.1(a)</w:t>
            </w:r>
          </w:p>
        </w:tc>
        <w:tc>
          <w:tcPr>
            <w:tcW w:w="6588" w:type="dxa"/>
            <w:shd w:val="clear" w:color="auto" w:fill="auto"/>
          </w:tcPr>
          <w:p w14:paraId="69E4897F" w14:textId="4A402F4B" w:rsidR="00CF72D5" w:rsidRPr="002029AF" w:rsidRDefault="00CF72D5" w:rsidP="00897193">
            <w:pPr>
              <w:pStyle w:val="ARtabletext"/>
            </w:pPr>
            <w:r w:rsidRPr="002029AF">
              <w:t>Compliance</w:t>
            </w:r>
            <w:r w:rsidR="000A5329" w:rsidRPr="002029AF">
              <w:t xml:space="preserve"> </w:t>
            </w:r>
            <w:r w:rsidRPr="002029AF">
              <w:t>with</w:t>
            </w:r>
            <w:r w:rsidR="000A5329" w:rsidRPr="002029AF">
              <w:t xml:space="preserve"> </w:t>
            </w:r>
            <w:r w:rsidRPr="002029AF">
              <w:t>ministerial</w:t>
            </w:r>
            <w:r w:rsidR="000A5329" w:rsidRPr="002029AF">
              <w:t xml:space="preserve"> </w:t>
            </w:r>
            <w:r w:rsidRPr="002029AF">
              <w:t>directions</w:t>
            </w:r>
          </w:p>
        </w:tc>
        <w:tc>
          <w:tcPr>
            <w:tcW w:w="992" w:type="dxa"/>
            <w:shd w:val="clear" w:color="auto" w:fill="auto"/>
          </w:tcPr>
          <w:p w14:paraId="7F7BAB65" w14:textId="4F2717D9" w:rsidR="00CF72D5" w:rsidRPr="002029AF" w:rsidRDefault="0011633B" w:rsidP="00897193">
            <w:pPr>
              <w:pStyle w:val="ARtabletextright"/>
            </w:pPr>
            <w:r w:rsidRPr="002029AF">
              <w:fldChar w:fldCharType="begin"/>
            </w:r>
            <w:r w:rsidRPr="002029AF">
              <w:instrText xml:space="preserve"> PAGEREF _Ref52454239 \h </w:instrText>
            </w:r>
            <w:r w:rsidRPr="002029AF">
              <w:fldChar w:fldCharType="separate"/>
            </w:r>
            <w:r w:rsidR="00F3275D">
              <w:rPr>
                <w:noProof/>
              </w:rPr>
              <w:t>195</w:t>
            </w:r>
            <w:r w:rsidRPr="002029AF">
              <w:fldChar w:fldCharType="end"/>
            </w:r>
            <w:r w:rsidR="00FC2F9E" w:rsidRPr="002029AF">
              <w:t>–</w:t>
            </w:r>
            <w:r w:rsidRPr="002029AF">
              <w:fldChar w:fldCharType="begin"/>
            </w:r>
            <w:r w:rsidRPr="002029AF">
              <w:instrText xml:space="preserve"> PAGEREF Auditor_report_end \h </w:instrText>
            </w:r>
            <w:r w:rsidRPr="002029AF">
              <w:fldChar w:fldCharType="separate"/>
            </w:r>
            <w:r w:rsidR="00F3275D">
              <w:rPr>
                <w:noProof/>
              </w:rPr>
              <w:t>196</w:t>
            </w:r>
            <w:r w:rsidRPr="002029AF">
              <w:fldChar w:fldCharType="end"/>
            </w:r>
          </w:p>
        </w:tc>
      </w:tr>
      <w:tr w:rsidR="00CF72D5" w:rsidRPr="002029AF" w14:paraId="5C3EDE22" w14:textId="77777777" w:rsidTr="00897193">
        <w:tc>
          <w:tcPr>
            <w:tcW w:w="2059" w:type="dxa"/>
            <w:shd w:val="clear" w:color="auto" w:fill="auto"/>
          </w:tcPr>
          <w:p w14:paraId="18F1A0CA" w14:textId="45AE8709" w:rsidR="00CF72D5" w:rsidRPr="002029AF" w:rsidRDefault="00CF72D5" w:rsidP="00897193">
            <w:pPr>
              <w:pStyle w:val="ARtabletext"/>
            </w:pPr>
            <w:r w:rsidRPr="002029AF">
              <w:t>SD</w:t>
            </w:r>
            <w:r w:rsidR="000A5329" w:rsidRPr="002029AF">
              <w:t xml:space="preserve"> </w:t>
            </w:r>
            <w:r w:rsidRPr="002029AF">
              <w:t>5.2.1(b)</w:t>
            </w:r>
          </w:p>
        </w:tc>
        <w:tc>
          <w:tcPr>
            <w:tcW w:w="6588" w:type="dxa"/>
            <w:shd w:val="clear" w:color="auto" w:fill="auto"/>
          </w:tcPr>
          <w:p w14:paraId="08B22A52" w14:textId="38086A52" w:rsidR="00CF72D5" w:rsidRPr="002029AF" w:rsidRDefault="00CF72D5" w:rsidP="00897193">
            <w:pPr>
              <w:pStyle w:val="ARtabletext"/>
            </w:pPr>
            <w:r w:rsidRPr="002029AF">
              <w:t>Compliance</w:t>
            </w:r>
            <w:r w:rsidR="000A5329" w:rsidRPr="002029AF">
              <w:t xml:space="preserve"> </w:t>
            </w:r>
            <w:r w:rsidRPr="002029AF">
              <w:t>with</w:t>
            </w:r>
            <w:r w:rsidR="000A5329" w:rsidRPr="002029AF">
              <w:t xml:space="preserve"> </w:t>
            </w:r>
            <w:r w:rsidRPr="002029AF">
              <w:t>model</w:t>
            </w:r>
            <w:r w:rsidR="000A5329" w:rsidRPr="002029AF">
              <w:t xml:space="preserve"> </w:t>
            </w:r>
            <w:r w:rsidRPr="002029AF">
              <w:t>financial</w:t>
            </w:r>
            <w:r w:rsidR="000A5329" w:rsidRPr="002029AF">
              <w:t xml:space="preserve"> </w:t>
            </w:r>
            <w:r w:rsidRPr="002029AF">
              <w:t>report</w:t>
            </w:r>
          </w:p>
        </w:tc>
        <w:tc>
          <w:tcPr>
            <w:tcW w:w="992" w:type="dxa"/>
            <w:shd w:val="clear" w:color="auto" w:fill="auto"/>
          </w:tcPr>
          <w:p w14:paraId="360E4376" w14:textId="57C61F97" w:rsidR="00CF72D5" w:rsidRPr="002029AF" w:rsidRDefault="00E9656C" w:rsidP="00897193">
            <w:pPr>
              <w:pStyle w:val="ARtabletextright"/>
            </w:pPr>
            <w:r w:rsidRPr="002029AF">
              <w:fldChar w:fldCharType="begin"/>
            </w:r>
            <w:r w:rsidRPr="002029AF">
              <w:instrText xml:space="preserve"> PAGEREF _Ref52454369 \h </w:instrText>
            </w:r>
            <w:r w:rsidRPr="002029AF">
              <w:fldChar w:fldCharType="separate"/>
            </w:r>
            <w:r w:rsidR="00F3275D">
              <w:rPr>
                <w:noProof/>
              </w:rPr>
              <w:t>201</w:t>
            </w:r>
            <w:r w:rsidRPr="002029AF">
              <w:fldChar w:fldCharType="end"/>
            </w:r>
            <w:r w:rsidR="00FC2F9E" w:rsidRPr="002029AF">
              <w:t>–</w:t>
            </w:r>
            <w:r w:rsidR="00B92F7C" w:rsidRPr="002029AF">
              <w:fldChar w:fldCharType="begin"/>
            </w:r>
            <w:r w:rsidR="00B92F7C" w:rsidRPr="002029AF">
              <w:instrText xml:space="preserve"> PAGEREF _Ref52454438 \h </w:instrText>
            </w:r>
            <w:r w:rsidR="00B92F7C" w:rsidRPr="002029AF">
              <w:fldChar w:fldCharType="separate"/>
            </w:r>
            <w:r w:rsidR="00F3275D">
              <w:rPr>
                <w:noProof/>
              </w:rPr>
              <w:t>278</w:t>
            </w:r>
            <w:r w:rsidR="00B92F7C" w:rsidRPr="002029AF">
              <w:fldChar w:fldCharType="end"/>
            </w:r>
          </w:p>
        </w:tc>
      </w:tr>
      <w:tr w:rsidR="00CF72D5" w:rsidRPr="002029AF" w14:paraId="799919B7" w14:textId="77777777" w:rsidTr="00897193">
        <w:tc>
          <w:tcPr>
            <w:tcW w:w="2059" w:type="dxa"/>
            <w:tcBorders>
              <w:bottom w:val="single" w:sz="4" w:space="0" w:color="auto"/>
            </w:tcBorders>
            <w:shd w:val="clear" w:color="auto" w:fill="auto"/>
          </w:tcPr>
          <w:p w14:paraId="72DC9724" w14:textId="7844CF71" w:rsidR="00CF72D5" w:rsidRPr="002029AF" w:rsidRDefault="00CF72D5" w:rsidP="00897193">
            <w:pPr>
              <w:pStyle w:val="ARtabletext"/>
            </w:pPr>
            <w:r w:rsidRPr="002029AF">
              <w:t>SD</w:t>
            </w:r>
            <w:r w:rsidR="000A5329" w:rsidRPr="002029AF">
              <w:t xml:space="preserve"> </w:t>
            </w:r>
            <w:r w:rsidRPr="002029AF">
              <w:t>5.2.2</w:t>
            </w:r>
          </w:p>
        </w:tc>
        <w:tc>
          <w:tcPr>
            <w:tcW w:w="6588" w:type="dxa"/>
            <w:tcBorders>
              <w:bottom w:val="single" w:sz="4" w:space="0" w:color="auto"/>
            </w:tcBorders>
            <w:shd w:val="clear" w:color="auto" w:fill="auto"/>
          </w:tcPr>
          <w:p w14:paraId="139F2349" w14:textId="61C69DBA" w:rsidR="00CF72D5" w:rsidRPr="002029AF" w:rsidRDefault="00CF72D5" w:rsidP="00897193">
            <w:pPr>
              <w:pStyle w:val="ARtabletext"/>
            </w:pPr>
            <w:r w:rsidRPr="002029AF">
              <w:t>Responsible</w:t>
            </w:r>
            <w:r w:rsidR="000A5329" w:rsidRPr="002029AF">
              <w:t xml:space="preserve"> </w:t>
            </w:r>
            <w:r w:rsidRPr="002029AF">
              <w:t>body’s</w:t>
            </w:r>
            <w:r w:rsidR="000A5329" w:rsidRPr="002029AF">
              <w:t xml:space="preserve"> </w:t>
            </w:r>
            <w:r w:rsidRPr="002029AF">
              <w:t>declaration</w:t>
            </w:r>
          </w:p>
        </w:tc>
        <w:tc>
          <w:tcPr>
            <w:tcW w:w="992" w:type="dxa"/>
            <w:tcBorders>
              <w:bottom w:val="single" w:sz="4" w:space="0" w:color="auto"/>
            </w:tcBorders>
            <w:shd w:val="clear" w:color="auto" w:fill="auto"/>
          </w:tcPr>
          <w:p w14:paraId="5B196DE0" w14:textId="0CF117D2" w:rsidR="00CF72D5" w:rsidRPr="002029AF" w:rsidRDefault="00B16CD6" w:rsidP="00897193">
            <w:pPr>
              <w:pStyle w:val="ARtabletextright"/>
            </w:pPr>
            <w:r w:rsidRPr="002029AF">
              <w:fldChar w:fldCharType="begin"/>
            </w:r>
            <w:r w:rsidRPr="002029AF">
              <w:instrText xml:space="preserve"> PAGEREF _Ref52454275 \h </w:instrText>
            </w:r>
            <w:r w:rsidRPr="002029AF">
              <w:fldChar w:fldCharType="separate"/>
            </w:r>
            <w:r w:rsidR="00F3275D">
              <w:rPr>
                <w:noProof/>
              </w:rPr>
              <w:t>194</w:t>
            </w:r>
            <w:r w:rsidRPr="002029AF">
              <w:fldChar w:fldCharType="end"/>
            </w:r>
          </w:p>
        </w:tc>
      </w:tr>
      <w:tr w:rsidR="00CF72D5" w:rsidRPr="002029AF" w14:paraId="200F2DC1" w14:textId="77777777" w:rsidTr="00897193">
        <w:tc>
          <w:tcPr>
            <w:tcW w:w="9639" w:type="dxa"/>
            <w:gridSpan w:val="3"/>
            <w:tcBorders>
              <w:top w:val="single" w:sz="4" w:space="0" w:color="auto"/>
              <w:bottom w:val="nil"/>
            </w:tcBorders>
            <w:shd w:val="clear" w:color="auto" w:fill="auto"/>
          </w:tcPr>
          <w:p w14:paraId="017C7E8A" w14:textId="1D6461CC" w:rsidR="00CF72D5" w:rsidRPr="002029AF" w:rsidRDefault="00CF72D5" w:rsidP="00897193">
            <w:pPr>
              <w:pStyle w:val="ARtabletext"/>
              <w:rPr>
                <w:b/>
              </w:rPr>
            </w:pPr>
            <w:r w:rsidRPr="002029AF">
              <w:rPr>
                <w:b/>
              </w:rPr>
              <w:t>Other</w:t>
            </w:r>
            <w:r w:rsidR="000A5329" w:rsidRPr="002029AF">
              <w:rPr>
                <w:b/>
              </w:rPr>
              <w:t xml:space="preserve"> </w:t>
            </w:r>
            <w:r w:rsidRPr="002029AF">
              <w:rPr>
                <w:b/>
              </w:rPr>
              <w:t>disclosures</w:t>
            </w:r>
            <w:r w:rsidR="000A5329" w:rsidRPr="002029AF">
              <w:rPr>
                <w:b/>
              </w:rPr>
              <w:t xml:space="preserve"> </w:t>
            </w:r>
            <w:r w:rsidRPr="002029AF">
              <w:rPr>
                <w:b/>
              </w:rPr>
              <w:t>in</w:t>
            </w:r>
            <w:r w:rsidR="000A5329" w:rsidRPr="002029AF">
              <w:rPr>
                <w:b/>
              </w:rPr>
              <w:t xml:space="preserve"> </w:t>
            </w:r>
            <w:r w:rsidRPr="002029AF">
              <w:rPr>
                <w:b/>
              </w:rPr>
              <w:t>notes</w:t>
            </w:r>
            <w:r w:rsidR="000A5329" w:rsidRPr="002029AF">
              <w:rPr>
                <w:b/>
              </w:rPr>
              <w:t xml:space="preserve"> </w:t>
            </w:r>
            <w:r w:rsidRPr="002029AF">
              <w:rPr>
                <w:b/>
              </w:rPr>
              <w:t>to</w:t>
            </w:r>
            <w:r w:rsidR="000A5329" w:rsidRPr="002029AF">
              <w:rPr>
                <w:b/>
              </w:rPr>
              <w:t xml:space="preserve"> </w:t>
            </w:r>
            <w:r w:rsidRPr="002029AF">
              <w:rPr>
                <w:b/>
              </w:rPr>
              <w:t>the</w:t>
            </w:r>
            <w:r w:rsidR="000A5329" w:rsidRPr="002029AF">
              <w:rPr>
                <w:b/>
              </w:rPr>
              <w:t xml:space="preserve"> </w:t>
            </w:r>
            <w:r w:rsidRPr="002029AF">
              <w:rPr>
                <w:b/>
              </w:rPr>
              <w:t>financial</w:t>
            </w:r>
            <w:r w:rsidR="000A5329" w:rsidRPr="002029AF">
              <w:rPr>
                <w:b/>
              </w:rPr>
              <w:t xml:space="preserve"> </w:t>
            </w:r>
            <w:r w:rsidRPr="002029AF">
              <w:rPr>
                <w:b/>
              </w:rPr>
              <w:t>statements</w:t>
            </w:r>
          </w:p>
        </w:tc>
      </w:tr>
      <w:tr w:rsidR="00CF72D5" w:rsidRPr="002029AF" w14:paraId="05E0EF09" w14:textId="77777777" w:rsidTr="00897193">
        <w:tc>
          <w:tcPr>
            <w:tcW w:w="2059" w:type="dxa"/>
            <w:tcBorders>
              <w:top w:val="nil"/>
            </w:tcBorders>
            <w:shd w:val="clear" w:color="auto" w:fill="auto"/>
          </w:tcPr>
          <w:p w14:paraId="015B12BF" w14:textId="76275369" w:rsidR="00CF72D5" w:rsidRPr="002029AF" w:rsidRDefault="00CF72D5" w:rsidP="00897193">
            <w:pPr>
              <w:pStyle w:val="ARtabletext"/>
            </w:pPr>
            <w:r w:rsidRPr="002029AF">
              <w:t>FRD</w:t>
            </w:r>
            <w:r w:rsidR="000A5329" w:rsidRPr="002029AF">
              <w:t xml:space="preserve"> </w:t>
            </w:r>
            <w:r w:rsidRPr="002029AF">
              <w:t>9A</w:t>
            </w:r>
          </w:p>
        </w:tc>
        <w:tc>
          <w:tcPr>
            <w:tcW w:w="6588" w:type="dxa"/>
            <w:tcBorders>
              <w:top w:val="nil"/>
            </w:tcBorders>
            <w:shd w:val="clear" w:color="auto" w:fill="auto"/>
          </w:tcPr>
          <w:p w14:paraId="1DEAC8E5" w14:textId="1CEEB61B" w:rsidR="00CF72D5" w:rsidRPr="002029AF" w:rsidRDefault="00CF72D5" w:rsidP="00897193">
            <w:pPr>
              <w:pStyle w:val="ARtabletext"/>
            </w:pPr>
            <w:r w:rsidRPr="002029AF">
              <w:t>Departmental</w:t>
            </w:r>
            <w:r w:rsidR="000A5329" w:rsidRPr="002029AF">
              <w:t xml:space="preserve"> </w:t>
            </w:r>
            <w:r w:rsidRPr="002029AF">
              <w:t>disclosure</w:t>
            </w:r>
            <w:r w:rsidR="000A5329" w:rsidRPr="002029AF">
              <w:t xml:space="preserve"> </w:t>
            </w:r>
            <w:r w:rsidRPr="002029AF">
              <w:t>of</w:t>
            </w:r>
            <w:r w:rsidR="000A5329" w:rsidRPr="002029AF">
              <w:t xml:space="preserve"> </w:t>
            </w:r>
            <w:r w:rsidRPr="002029AF">
              <w:t>administered</w:t>
            </w:r>
            <w:r w:rsidR="000A5329" w:rsidRPr="002029AF">
              <w:t xml:space="preserve"> </w:t>
            </w:r>
            <w:r w:rsidRPr="002029AF">
              <w:t>assets</w:t>
            </w:r>
            <w:r w:rsidR="000A5329" w:rsidRPr="002029AF">
              <w:t xml:space="preserve"> </w:t>
            </w:r>
            <w:r w:rsidRPr="002029AF">
              <w:t>and</w:t>
            </w:r>
            <w:r w:rsidR="000A5329" w:rsidRPr="002029AF">
              <w:t xml:space="preserve"> </w:t>
            </w:r>
            <w:r w:rsidRPr="002029AF">
              <w:t>liabilities</w:t>
            </w:r>
            <w:r w:rsidR="000A5329" w:rsidRPr="002029AF">
              <w:t xml:space="preserve"> </w:t>
            </w:r>
            <w:r w:rsidRPr="002029AF">
              <w:t>by</w:t>
            </w:r>
            <w:r w:rsidR="000A5329" w:rsidRPr="002029AF">
              <w:t xml:space="preserve"> </w:t>
            </w:r>
            <w:r w:rsidRPr="002029AF">
              <w:t>activity</w:t>
            </w:r>
          </w:p>
        </w:tc>
        <w:tc>
          <w:tcPr>
            <w:tcW w:w="992" w:type="dxa"/>
            <w:tcBorders>
              <w:top w:val="nil"/>
            </w:tcBorders>
            <w:shd w:val="clear" w:color="auto" w:fill="auto"/>
          </w:tcPr>
          <w:p w14:paraId="5329CE6C" w14:textId="596D9868" w:rsidR="00CF72D5" w:rsidRPr="002029AF" w:rsidRDefault="0057252D" w:rsidP="00897193">
            <w:pPr>
              <w:pStyle w:val="ARtabletextright"/>
            </w:pPr>
            <w:r w:rsidRPr="002029AF">
              <w:fldChar w:fldCharType="begin"/>
            </w:r>
            <w:r w:rsidRPr="002029AF">
              <w:instrText xml:space="preserve"> PAGEREF _Ref51926651 \h </w:instrText>
            </w:r>
            <w:r w:rsidRPr="002029AF">
              <w:fldChar w:fldCharType="separate"/>
            </w:r>
            <w:r w:rsidR="00F3275D">
              <w:rPr>
                <w:noProof/>
              </w:rPr>
              <w:t>225</w:t>
            </w:r>
            <w:r w:rsidRPr="002029AF">
              <w:fldChar w:fldCharType="end"/>
            </w:r>
          </w:p>
        </w:tc>
      </w:tr>
      <w:tr w:rsidR="00CF72D5" w:rsidRPr="002029AF" w14:paraId="1E5E43CF" w14:textId="77777777" w:rsidTr="00961519">
        <w:trPr>
          <w:trHeight w:val="239"/>
        </w:trPr>
        <w:tc>
          <w:tcPr>
            <w:tcW w:w="2059" w:type="dxa"/>
            <w:shd w:val="clear" w:color="auto" w:fill="auto"/>
          </w:tcPr>
          <w:p w14:paraId="213EF208" w14:textId="2EEC962B" w:rsidR="00CF72D5" w:rsidRPr="002029AF" w:rsidRDefault="00CF72D5" w:rsidP="00897193">
            <w:pPr>
              <w:pStyle w:val="ARtabletext"/>
            </w:pPr>
            <w:r w:rsidRPr="002029AF">
              <w:t>FRD</w:t>
            </w:r>
            <w:r w:rsidR="000A5329" w:rsidRPr="002029AF">
              <w:t xml:space="preserve"> </w:t>
            </w:r>
            <w:r w:rsidRPr="002029AF">
              <w:t>11A</w:t>
            </w:r>
          </w:p>
        </w:tc>
        <w:tc>
          <w:tcPr>
            <w:tcW w:w="6588" w:type="dxa"/>
            <w:shd w:val="clear" w:color="auto" w:fill="auto"/>
          </w:tcPr>
          <w:p w14:paraId="06D7D482" w14:textId="2BA2CDDE" w:rsidR="00CF72D5" w:rsidRPr="002029AF" w:rsidRDefault="00CF72D5" w:rsidP="00897193">
            <w:pPr>
              <w:pStyle w:val="ARtabletext"/>
            </w:pPr>
            <w:r w:rsidRPr="002029AF">
              <w:t>Disclosure</w:t>
            </w:r>
            <w:r w:rsidR="000A5329" w:rsidRPr="002029AF">
              <w:t xml:space="preserve"> </w:t>
            </w:r>
            <w:r w:rsidRPr="002029AF">
              <w:t>of</w:t>
            </w:r>
            <w:r w:rsidR="000A5329" w:rsidRPr="002029AF">
              <w:t xml:space="preserve"> </w:t>
            </w:r>
            <w:r w:rsidRPr="002029AF">
              <w:t>ex-gratia</w:t>
            </w:r>
            <w:r w:rsidR="000A5329" w:rsidRPr="002029AF">
              <w:t xml:space="preserve"> </w:t>
            </w:r>
            <w:r w:rsidRPr="002029AF">
              <w:t>payments</w:t>
            </w:r>
          </w:p>
        </w:tc>
        <w:tc>
          <w:tcPr>
            <w:tcW w:w="992" w:type="dxa"/>
            <w:shd w:val="clear" w:color="auto" w:fill="auto"/>
          </w:tcPr>
          <w:p w14:paraId="21002A2A" w14:textId="38C3A791" w:rsidR="00CF72D5" w:rsidRPr="002029AF" w:rsidRDefault="008563F4" w:rsidP="00897193">
            <w:pPr>
              <w:pStyle w:val="ARtabletextright"/>
            </w:pPr>
            <w:r w:rsidRPr="002029AF">
              <w:fldChar w:fldCharType="begin"/>
            </w:r>
            <w:r w:rsidRPr="002029AF">
              <w:instrText xml:space="preserve"> PAGEREF _Ref52454616 \h </w:instrText>
            </w:r>
            <w:r w:rsidRPr="002029AF">
              <w:fldChar w:fldCharType="separate"/>
            </w:r>
            <w:r w:rsidR="00F3275D">
              <w:rPr>
                <w:noProof/>
              </w:rPr>
              <w:t>265</w:t>
            </w:r>
            <w:r w:rsidRPr="002029AF">
              <w:fldChar w:fldCharType="end"/>
            </w:r>
          </w:p>
        </w:tc>
      </w:tr>
      <w:tr w:rsidR="00CF72D5" w:rsidRPr="002029AF" w14:paraId="7C954A4F" w14:textId="77777777" w:rsidTr="00897193">
        <w:tc>
          <w:tcPr>
            <w:tcW w:w="2059" w:type="dxa"/>
            <w:shd w:val="clear" w:color="auto" w:fill="auto"/>
          </w:tcPr>
          <w:p w14:paraId="215C18AB" w14:textId="3972343D" w:rsidR="00CF72D5" w:rsidRPr="002029AF" w:rsidRDefault="00CF72D5" w:rsidP="00897193">
            <w:pPr>
              <w:pStyle w:val="ARtabletext"/>
            </w:pPr>
            <w:r w:rsidRPr="002029AF">
              <w:t>FRD</w:t>
            </w:r>
            <w:r w:rsidR="000A5329" w:rsidRPr="002029AF">
              <w:t xml:space="preserve"> </w:t>
            </w:r>
            <w:r w:rsidRPr="002029AF">
              <w:t>13</w:t>
            </w:r>
          </w:p>
        </w:tc>
        <w:tc>
          <w:tcPr>
            <w:tcW w:w="6588" w:type="dxa"/>
            <w:shd w:val="clear" w:color="auto" w:fill="auto"/>
          </w:tcPr>
          <w:p w14:paraId="652B2200" w14:textId="0C19C4A7" w:rsidR="00CF72D5" w:rsidRPr="002029AF" w:rsidRDefault="00CF72D5" w:rsidP="00897193">
            <w:pPr>
              <w:pStyle w:val="ARtabletext"/>
            </w:pPr>
            <w:r w:rsidRPr="002029AF">
              <w:t>Disclosure</w:t>
            </w:r>
            <w:r w:rsidR="000A5329" w:rsidRPr="002029AF">
              <w:t xml:space="preserve"> </w:t>
            </w:r>
            <w:r w:rsidRPr="002029AF">
              <w:t>of</w:t>
            </w:r>
            <w:r w:rsidR="000A5329" w:rsidRPr="002029AF">
              <w:t xml:space="preserve"> </w:t>
            </w:r>
            <w:r w:rsidRPr="002029AF">
              <w:t>parliamentary</w:t>
            </w:r>
            <w:r w:rsidR="000A5329" w:rsidRPr="002029AF">
              <w:t xml:space="preserve"> </w:t>
            </w:r>
            <w:r w:rsidRPr="002029AF">
              <w:t>appropriations</w:t>
            </w:r>
          </w:p>
        </w:tc>
        <w:tc>
          <w:tcPr>
            <w:tcW w:w="992" w:type="dxa"/>
            <w:shd w:val="clear" w:color="auto" w:fill="auto"/>
          </w:tcPr>
          <w:p w14:paraId="42C43796" w14:textId="33287DA4" w:rsidR="00CF72D5" w:rsidRPr="002029AF" w:rsidRDefault="00E855A2" w:rsidP="00897193">
            <w:pPr>
              <w:pStyle w:val="ARtabletextright"/>
            </w:pPr>
            <w:r w:rsidRPr="002029AF">
              <w:fldChar w:fldCharType="begin"/>
            </w:r>
            <w:r w:rsidRPr="002029AF">
              <w:instrText xml:space="preserve"> PAGEREF _Ref52454661 \h </w:instrText>
            </w:r>
            <w:r w:rsidRPr="002029AF">
              <w:fldChar w:fldCharType="separate"/>
            </w:r>
            <w:r w:rsidR="00F3275D">
              <w:rPr>
                <w:noProof/>
              </w:rPr>
              <w:t>204</w:t>
            </w:r>
            <w:r w:rsidRPr="002029AF">
              <w:fldChar w:fldCharType="end"/>
            </w:r>
            <w:r w:rsidR="004A3300" w:rsidRPr="002029AF">
              <w:t>–</w:t>
            </w:r>
            <w:r w:rsidR="00324052" w:rsidRPr="002029AF">
              <w:fldChar w:fldCharType="begin"/>
            </w:r>
            <w:r w:rsidR="00324052" w:rsidRPr="002029AF">
              <w:instrText xml:space="preserve"> PAGEREF _Ref52454736 \h </w:instrText>
            </w:r>
            <w:r w:rsidR="00324052" w:rsidRPr="002029AF">
              <w:fldChar w:fldCharType="separate"/>
            </w:r>
            <w:r w:rsidR="00F3275D">
              <w:rPr>
                <w:noProof/>
              </w:rPr>
              <w:t>205</w:t>
            </w:r>
            <w:r w:rsidR="00324052" w:rsidRPr="002029AF">
              <w:fldChar w:fldCharType="end"/>
            </w:r>
          </w:p>
        </w:tc>
      </w:tr>
      <w:tr w:rsidR="00CF72D5" w:rsidRPr="002029AF" w14:paraId="28735243" w14:textId="77777777" w:rsidTr="00897193">
        <w:tc>
          <w:tcPr>
            <w:tcW w:w="2059" w:type="dxa"/>
            <w:shd w:val="clear" w:color="auto" w:fill="auto"/>
          </w:tcPr>
          <w:p w14:paraId="0650AA38" w14:textId="5307167A" w:rsidR="00CF72D5" w:rsidRPr="002029AF" w:rsidRDefault="00CF72D5" w:rsidP="00897193">
            <w:pPr>
              <w:pStyle w:val="ARtabletext"/>
            </w:pPr>
            <w:r w:rsidRPr="002029AF">
              <w:t>FRD</w:t>
            </w:r>
            <w:r w:rsidR="000A5329" w:rsidRPr="002029AF">
              <w:t xml:space="preserve"> </w:t>
            </w:r>
            <w:r w:rsidRPr="002029AF">
              <w:t>21C</w:t>
            </w:r>
          </w:p>
        </w:tc>
        <w:tc>
          <w:tcPr>
            <w:tcW w:w="6588" w:type="dxa"/>
            <w:shd w:val="clear" w:color="auto" w:fill="auto"/>
          </w:tcPr>
          <w:p w14:paraId="5F9EE103" w14:textId="603FC200" w:rsidR="00CF72D5" w:rsidRPr="002029AF" w:rsidRDefault="00CF72D5" w:rsidP="00897193">
            <w:pPr>
              <w:pStyle w:val="ARtabletext"/>
            </w:pPr>
            <w:r w:rsidRPr="002029AF">
              <w:t>Disclosures</w:t>
            </w:r>
            <w:r w:rsidR="000A5329" w:rsidRPr="002029AF">
              <w:t xml:space="preserve"> </w:t>
            </w:r>
            <w:r w:rsidRPr="002029AF">
              <w:t>of</w:t>
            </w:r>
            <w:r w:rsidR="000A5329" w:rsidRPr="002029AF">
              <w:t xml:space="preserve"> </w:t>
            </w:r>
            <w:r w:rsidRPr="002029AF">
              <w:t>responsible</w:t>
            </w:r>
            <w:r w:rsidR="000A5329" w:rsidRPr="002029AF">
              <w:t xml:space="preserve"> </w:t>
            </w:r>
            <w:r w:rsidRPr="002029AF">
              <w:t>persons,</w:t>
            </w:r>
            <w:r w:rsidR="000A5329" w:rsidRPr="002029AF">
              <w:t xml:space="preserve"> </w:t>
            </w:r>
            <w:r w:rsidRPr="002029AF">
              <w:t>executive</w:t>
            </w:r>
            <w:r w:rsidR="000A5329" w:rsidRPr="002029AF">
              <w:t xml:space="preserve"> </w:t>
            </w:r>
            <w:r w:rsidRPr="002029AF">
              <w:t>officers</w:t>
            </w:r>
            <w:r w:rsidR="000A5329" w:rsidRPr="002029AF">
              <w:t xml:space="preserve"> </w:t>
            </w:r>
            <w:r w:rsidRPr="002029AF">
              <w:t>and</w:t>
            </w:r>
            <w:r w:rsidR="000A5329" w:rsidRPr="002029AF">
              <w:t xml:space="preserve"> </w:t>
            </w:r>
            <w:r w:rsidRPr="002029AF">
              <w:t>other</w:t>
            </w:r>
            <w:r w:rsidR="000A5329" w:rsidRPr="002029AF">
              <w:t xml:space="preserve"> </w:t>
            </w:r>
            <w:r w:rsidRPr="002029AF">
              <w:t>personnel</w:t>
            </w:r>
            <w:r w:rsidR="000A5329" w:rsidRPr="002029AF">
              <w:t xml:space="preserve"> </w:t>
            </w:r>
            <w:r w:rsidRPr="002029AF">
              <w:t>(contactors</w:t>
            </w:r>
            <w:r w:rsidR="000A5329" w:rsidRPr="002029AF">
              <w:t xml:space="preserve"> </w:t>
            </w:r>
            <w:r w:rsidRPr="002029AF">
              <w:t>with</w:t>
            </w:r>
            <w:r w:rsidR="000A5329" w:rsidRPr="002029AF">
              <w:t xml:space="preserve"> </w:t>
            </w:r>
            <w:r w:rsidRPr="002029AF">
              <w:t>significant</w:t>
            </w:r>
            <w:r w:rsidR="000A5329" w:rsidRPr="002029AF">
              <w:t xml:space="preserve"> </w:t>
            </w:r>
            <w:r w:rsidRPr="002029AF">
              <w:t>management</w:t>
            </w:r>
            <w:r w:rsidR="000A5329" w:rsidRPr="002029AF">
              <w:t xml:space="preserve"> </w:t>
            </w:r>
            <w:r w:rsidRPr="002029AF">
              <w:t>responsibilities)</w:t>
            </w:r>
            <w:r w:rsidR="000A5329" w:rsidRPr="002029AF">
              <w:t xml:space="preserve"> </w:t>
            </w:r>
            <w:r w:rsidRPr="002029AF">
              <w:t>in</w:t>
            </w:r>
            <w:r w:rsidR="000A5329" w:rsidRPr="002029AF">
              <w:t xml:space="preserve"> </w:t>
            </w:r>
            <w:r w:rsidRPr="002029AF">
              <w:t>the</w:t>
            </w:r>
            <w:r w:rsidR="000A5329" w:rsidRPr="002029AF">
              <w:t xml:space="preserve"> </w:t>
            </w:r>
            <w:r w:rsidRPr="002029AF">
              <w:t>financial</w:t>
            </w:r>
            <w:r w:rsidR="000A5329" w:rsidRPr="002029AF">
              <w:t xml:space="preserve"> </w:t>
            </w:r>
            <w:r w:rsidRPr="002029AF">
              <w:t>report</w:t>
            </w:r>
          </w:p>
        </w:tc>
        <w:tc>
          <w:tcPr>
            <w:tcW w:w="992" w:type="dxa"/>
            <w:shd w:val="clear" w:color="auto" w:fill="auto"/>
          </w:tcPr>
          <w:p w14:paraId="6D2B128B" w14:textId="55BD7226" w:rsidR="00CF72D5" w:rsidRPr="002029AF" w:rsidRDefault="002F28FA" w:rsidP="00897193">
            <w:pPr>
              <w:pStyle w:val="ARtabletextright"/>
            </w:pPr>
            <w:r w:rsidRPr="002029AF">
              <w:fldChar w:fldCharType="begin"/>
            </w:r>
            <w:r w:rsidRPr="002029AF">
              <w:instrText xml:space="preserve"> PAGEREF _Ref52454774 \h </w:instrText>
            </w:r>
            <w:r w:rsidRPr="002029AF">
              <w:fldChar w:fldCharType="separate"/>
            </w:r>
            <w:r w:rsidR="00F3275D">
              <w:rPr>
                <w:noProof/>
              </w:rPr>
              <w:t>268</w:t>
            </w:r>
            <w:r w:rsidRPr="002029AF">
              <w:fldChar w:fldCharType="end"/>
            </w:r>
          </w:p>
        </w:tc>
      </w:tr>
      <w:tr w:rsidR="00CF72D5" w:rsidRPr="002029AF" w14:paraId="407F4CC9" w14:textId="77777777" w:rsidTr="00897193">
        <w:tc>
          <w:tcPr>
            <w:tcW w:w="2059" w:type="dxa"/>
            <w:shd w:val="clear" w:color="auto" w:fill="auto"/>
          </w:tcPr>
          <w:p w14:paraId="6B27A03D" w14:textId="39EF89EC" w:rsidR="00CF72D5" w:rsidRPr="002029AF" w:rsidRDefault="00CF72D5" w:rsidP="00897193">
            <w:pPr>
              <w:pStyle w:val="ARtabletext"/>
            </w:pPr>
            <w:r w:rsidRPr="002029AF">
              <w:t>FRD</w:t>
            </w:r>
            <w:r w:rsidR="000A5329" w:rsidRPr="002029AF">
              <w:t xml:space="preserve"> </w:t>
            </w:r>
            <w:r w:rsidRPr="002029AF">
              <w:t>103F</w:t>
            </w:r>
          </w:p>
        </w:tc>
        <w:tc>
          <w:tcPr>
            <w:tcW w:w="6588" w:type="dxa"/>
            <w:shd w:val="clear" w:color="auto" w:fill="auto"/>
          </w:tcPr>
          <w:p w14:paraId="6A3B446F" w14:textId="7A635116" w:rsidR="00CF72D5" w:rsidRPr="002029AF" w:rsidRDefault="00CF72D5" w:rsidP="00897193">
            <w:pPr>
              <w:pStyle w:val="ARtabletext"/>
            </w:pPr>
            <w:r w:rsidRPr="002029AF">
              <w:t>Non-financial</w:t>
            </w:r>
            <w:r w:rsidR="000A5329" w:rsidRPr="002029AF">
              <w:t xml:space="preserve"> </w:t>
            </w:r>
            <w:r w:rsidRPr="002029AF">
              <w:t>physical</w:t>
            </w:r>
            <w:r w:rsidR="000A5329" w:rsidRPr="002029AF">
              <w:t xml:space="preserve"> </w:t>
            </w:r>
            <w:r w:rsidRPr="002029AF">
              <w:t>assets</w:t>
            </w:r>
          </w:p>
        </w:tc>
        <w:tc>
          <w:tcPr>
            <w:tcW w:w="992" w:type="dxa"/>
            <w:shd w:val="clear" w:color="auto" w:fill="auto"/>
          </w:tcPr>
          <w:p w14:paraId="7EBD5553" w14:textId="6FE7FB8A" w:rsidR="00CF72D5" w:rsidRPr="002029AF" w:rsidRDefault="009A4B03" w:rsidP="00897193">
            <w:pPr>
              <w:pStyle w:val="ARtabletextright"/>
            </w:pPr>
            <w:r w:rsidRPr="002029AF">
              <w:fldChar w:fldCharType="begin"/>
            </w:r>
            <w:r w:rsidRPr="002029AF">
              <w:instrText xml:space="preserve"> PAGEREF _Ref52454810 \h </w:instrText>
            </w:r>
            <w:r w:rsidRPr="002029AF">
              <w:fldChar w:fldCharType="separate"/>
            </w:r>
            <w:r w:rsidR="00F3275D">
              <w:rPr>
                <w:noProof/>
              </w:rPr>
              <w:t>266</w:t>
            </w:r>
            <w:r w:rsidRPr="002029AF">
              <w:fldChar w:fldCharType="end"/>
            </w:r>
          </w:p>
        </w:tc>
      </w:tr>
      <w:tr w:rsidR="00CF72D5" w:rsidRPr="002029AF" w14:paraId="552C65A1" w14:textId="77777777" w:rsidTr="00897193">
        <w:tc>
          <w:tcPr>
            <w:tcW w:w="2059" w:type="dxa"/>
            <w:shd w:val="clear" w:color="auto" w:fill="auto"/>
          </w:tcPr>
          <w:p w14:paraId="6EB189C4" w14:textId="33BF341E" w:rsidR="00CF72D5" w:rsidRPr="002029AF" w:rsidRDefault="00CF72D5" w:rsidP="00897193">
            <w:pPr>
              <w:pStyle w:val="ARtabletext"/>
            </w:pPr>
            <w:r w:rsidRPr="002029AF">
              <w:t>FRD</w:t>
            </w:r>
            <w:r w:rsidR="000A5329" w:rsidRPr="002029AF">
              <w:t xml:space="preserve"> </w:t>
            </w:r>
            <w:r w:rsidRPr="002029AF">
              <w:t>109A</w:t>
            </w:r>
          </w:p>
        </w:tc>
        <w:tc>
          <w:tcPr>
            <w:tcW w:w="6588" w:type="dxa"/>
            <w:shd w:val="clear" w:color="auto" w:fill="auto"/>
          </w:tcPr>
          <w:p w14:paraId="2BFF20BC" w14:textId="199415A3" w:rsidR="00CF72D5" w:rsidRPr="002029AF" w:rsidRDefault="00CF72D5" w:rsidP="00897193">
            <w:pPr>
              <w:pStyle w:val="ARtabletext"/>
            </w:pPr>
            <w:r w:rsidRPr="002029AF">
              <w:t>Intangible</w:t>
            </w:r>
            <w:r w:rsidR="000A5329" w:rsidRPr="002029AF">
              <w:t xml:space="preserve"> </w:t>
            </w:r>
            <w:r w:rsidRPr="002029AF">
              <w:t>assets</w:t>
            </w:r>
          </w:p>
        </w:tc>
        <w:tc>
          <w:tcPr>
            <w:tcW w:w="992" w:type="dxa"/>
            <w:shd w:val="clear" w:color="auto" w:fill="auto"/>
          </w:tcPr>
          <w:p w14:paraId="7597A1F0" w14:textId="5B834AA9" w:rsidR="00CF72D5" w:rsidRPr="002029AF" w:rsidRDefault="00F30A44" w:rsidP="00897193">
            <w:pPr>
              <w:pStyle w:val="ARtabletextright"/>
            </w:pPr>
            <w:r w:rsidRPr="002029AF">
              <w:fldChar w:fldCharType="begin"/>
            </w:r>
            <w:r w:rsidRPr="002029AF">
              <w:instrText xml:space="preserve"> PAGEREF _Ref52454856 \h </w:instrText>
            </w:r>
            <w:r w:rsidRPr="002029AF">
              <w:fldChar w:fldCharType="separate"/>
            </w:r>
            <w:r w:rsidR="00F3275D">
              <w:rPr>
                <w:noProof/>
              </w:rPr>
              <w:t>233</w:t>
            </w:r>
            <w:r w:rsidRPr="002029AF">
              <w:fldChar w:fldCharType="end"/>
            </w:r>
          </w:p>
        </w:tc>
      </w:tr>
      <w:tr w:rsidR="00CF72D5" w:rsidRPr="002029AF" w14:paraId="17C67521" w14:textId="77777777" w:rsidTr="00897193">
        <w:tc>
          <w:tcPr>
            <w:tcW w:w="2059" w:type="dxa"/>
            <w:shd w:val="clear" w:color="auto" w:fill="auto"/>
          </w:tcPr>
          <w:p w14:paraId="2343ABA1" w14:textId="251173E8" w:rsidR="00CF72D5" w:rsidRPr="002029AF" w:rsidRDefault="00CF72D5" w:rsidP="00897193">
            <w:pPr>
              <w:pStyle w:val="ARtabletext"/>
            </w:pPr>
            <w:r w:rsidRPr="002029AF">
              <w:t>FRD</w:t>
            </w:r>
            <w:r w:rsidR="000A5329" w:rsidRPr="002029AF">
              <w:t xml:space="preserve"> </w:t>
            </w:r>
            <w:r w:rsidRPr="002029AF">
              <w:t>110A</w:t>
            </w:r>
          </w:p>
        </w:tc>
        <w:tc>
          <w:tcPr>
            <w:tcW w:w="6588" w:type="dxa"/>
            <w:shd w:val="clear" w:color="auto" w:fill="auto"/>
          </w:tcPr>
          <w:p w14:paraId="761C06AB" w14:textId="7DDEA9EE" w:rsidR="00CF72D5" w:rsidRPr="002029AF" w:rsidRDefault="00CF72D5" w:rsidP="00897193">
            <w:pPr>
              <w:pStyle w:val="ARtabletext"/>
            </w:pPr>
            <w:r w:rsidRPr="002029AF">
              <w:t>Cash</w:t>
            </w:r>
            <w:r w:rsidR="000A5329" w:rsidRPr="002029AF">
              <w:t xml:space="preserve"> </w:t>
            </w:r>
            <w:r w:rsidRPr="002029AF">
              <w:t>flow</w:t>
            </w:r>
            <w:r w:rsidR="000A5329" w:rsidRPr="002029AF">
              <w:t xml:space="preserve"> </w:t>
            </w:r>
            <w:r w:rsidRPr="002029AF">
              <w:t>statements</w:t>
            </w:r>
          </w:p>
        </w:tc>
        <w:tc>
          <w:tcPr>
            <w:tcW w:w="992" w:type="dxa"/>
            <w:shd w:val="clear" w:color="auto" w:fill="auto"/>
          </w:tcPr>
          <w:p w14:paraId="2C38BD64" w14:textId="245B744D" w:rsidR="00CF72D5" w:rsidRPr="002029AF" w:rsidRDefault="00732F0E" w:rsidP="00897193">
            <w:pPr>
              <w:pStyle w:val="ARtabletextright"/>
            </w:pPr>
            <w:r w:rsidRPr="002029AF">
              <w:fldChar w:fldCharType="begin"/>
            </w:r>
            <w:r w:rsidRPr="002029AF">
              <w:instrText xml:space="preserve"> PAGEREF _Ref52455011 \h </w:instrText>
            </w:r>
            <w:r w:rsidRPr="002029AF">
              <w:fldChar w:fldCharType="separate"/>
            </w:r>
            <w:r w:rsidR="00F3275D">
              <w:rPr>
                <w:noProof/>
              </w:rPr>
              <w:t>199</w:t>
            </w:r>
            <w:r w:rsidRPr="002029AF">
              <w:fldChar w:fldCharType="end"/>
            </w:r>
          </w:p>
        </w:tc>
      </w:tr>
      <w:tr w:rsidR="00CF72D5" w:rsidRPr="002029AF" w14:paraId="713BB25B" w14:textId="77777777" w:rsidTr="00897193">
        <w:tc>
          <w:tcPr>
            <w:tcW w:w="2059" w:type="dxa"/>
            <w:shd w:val="clear" w:color="auto" w:fill="auto"/>
          </w:tcPr>
          <w:p w14:paraId="338837A0" w14:textId="0206C5C0" w:rsidR="00CF72D5" w:rsidRPr="002029AF" w:rsidRDefault="00CF72D5" w:rsidP="00897193">
            <w:pPr>
              <w:pStyle w:val="ARtabletext"/>
            </w:pPr>
            <w:r w:rsidRPr="002029AF">
              <w:t>FRD</w:t>
            </w:r>
            <w:r w:rsidR="000A5329" w:rsidRPr="002029AF">
              <w:t xml:space="preserve"> </w:t>
            </w:r>
            <w:r w:rsidRPr="002029AF">
              <w:t>112D</w:t>
            </w:r>
          </w:p>
        </w:tc>
        <w:tc>
          <w:tcPr>
            <w:tcW w:w="6588" w:type="dxa"/>
            <w:shd w:val="clear" w:color="auto" w:fill="auto"/>
          </w:tcPr>
          <w:p w14:paraId="0BCAB74A" w14:textId="7569C6CD" w:rsidR="00CF72D5" w:rsidRPr="002029AF" w:rsidRDefault="00CF72D5" w:rsidP="00897193">
            <w:pPr>
              <w:pStyle w:val="ARtabletext"/>
            </w:pPr>
            <w:r w:rsidRPr="002029AF">
              <w:t>Defined</w:t>
            </w:r>
            <w:r w:rsidR="000A5329" w:rsidRPr="002029AF">
              <w:t xml:space="preserve"> </w:t>
            </w:r>
            <w:r w:rsidRPr="002029AF">
              <w:t>benefit</w:t>
            </w:r>
            <w:r w:rsidR="000A5329" w:rsidRPr="002029AF">
              <w:t xml:space="preserve"> </w:t>
            </w:r>
            <w:r w:rsidRPr="002029AF">
              <w:t>superannuation</w:t>
            </w:r>
            <w:r w:rsidR="000A5329" w:rsidRPr="002029AF">
              <w:t xml:space="preserve"> </w:t>
            </w:r>
            <w:r w:rsidRPr="002029AF">
              <w:t>obligations</w:t>
            </w:r>
          </w:p>
        </w:tc>
        <w:tc>
          <w:tcPr>
            <w:tcW w:w="992" w:type="dxa"/>
            <w:shd w:val="clear" w:color="auto" w:fill="auto"/>
          </w:tcPr>
          <w:p w14:paraId="7AE65444" w14:textId="2C184029" w:rsidR="00CF72D5" w:rsidRPr="002029AF" w:rsidRDefault="00BC6A62" w:rsidP="00897193">
            <w:pPr>
              <w:pStyle w:val="ARtabletextright"/>
            </w:pPr>
            <w:r w:rsidRPr="002029AF">
              <w:fldChar w:fldCharType="begin"/>
            </w:r>
            <w:r w:rsidRPr="002029AF">
              <w:instrText xml:space="preserve"> PAGEREF _Ref52455262 \h </w:instrText>
            </w:r>
            <w:r w:rsidRPr="002029AF">
              <w:fldChar w:fldCharType="separate"/>
            </w:r>
            <w:r w:rsidR="00F3275D">
              <w:rPr>
                <w:noProof/>
              </w:rPr>
              <w:t>209</w:t>
            </w:r>
            <w:r w:rsidRPr="002029AF">
              <w:fldChar w:fldCharType="end"/>
            </w:r>
          </w:p>
        </w:tc>
      </w:tr>
      <w:tr w:rsidR="00CF72D5" w:rsidRPr="002029AF" w14:paraId="791277A6" w14:textId="77777777" w:rsidTr="00897193">
        <w:tc>
          <w:tcPr>
            <w:tcW w:w="2059" w:type="dxa"/>
            <w:shd w:val="clear" w:color="auto" w:fill="auto"/>
          </w:tcPr>
          <w:p w14:paraId="1A363E6E" w14:textId="7545F29D" w:rsidR="00CF72D5" w:rsidRPr="002029AF" w:rsidRDefault="00CF72D5" w:rsidP="00897193">
            <w:pPr>
              <w:pStyle w:val="ARtabletext"/>
            </w:pPr>
            <w:r w:rsidRPr="002029AF">
              <w:t>FRD</w:t>
            </w:r>
            <w:r w:rsidR="000A5329" w:rsidRPr="002029AF">
              <w:t xml:space="preserve"> </w:t>
            </w:r>
            <w:r w:rsidRPr="002029AF">
              <w:t>114B</w:t>
            </w:r>
          </w:p>
        </w:tc>
        <w:tc>
          <w:tcPr>
            <w:tcW w:w="6588" w:type="dxa"/>
            <w:shd w:val="clear" w:color="auto" w:fill="auto"/>
          </w:tcPr>
          <w:p w14:paraId="2E05AEB2" w14:textId="1FFED8DF" w:rsidR="00CF72D5" w:rsidRPr="002029AF" w:rsidRDefault="00CF72D5" w:rsidP="00897193">
            <w:pPr>
              <w:pStyle w:val="ARtabletext"/>
            </w:pPr>
            <w:r w:rsidRPr="002029AF">
              <w:t>Financial</w:t>
            </w:r>
            <w:r w:rsidR="000A5329" w:rsidRPr="002029AF">
              <w:t xml:space="preserve"> </w:t>
            </w:r>
            <w:r w:rsidRPr="002029AF">
              <w:t>instruments</w:t>
            </w:r>
            <w:r w:rsidR="000A5329" w:rsidRPr="002029AF">
              <w:t xml:space="preserve"> </w:t>
            </w:r>
            <w:r w:rsidRPr="002029AF">
              <w:t>–</w:t>
            </w:r>
            <w:r w:rsidR="000A5329" w:rsidRPr="002029AF">
              <w:t xml:space="preserve"> </w:t>
            </w:r>
            <w:r w:rsidRPr="002029AF">
              <w:t>general</w:t>
            </w:r>
            <w:r w:rsidR="000A5329" w:rsidRPr="002029AF">
              <w:t xml:space="preserve"> </w:t>
            </w:r>
            <w:r w:rsidRPr="002029AF">
              <w:t>government</w:t>
            </w:r>
            <w:r w:rsidR="000A5329" w:rsidRPr="002029AF">
              <w:t xml:space="preserve"> </w:t>
            </w:r>
            <w:r w:rsidRPr="002029AF">
              <w:t>entities</w:t>
            </w:r>
            <w:r w:rsidR="000A5329" w:rsidRPr="002029AF">
              <w:t xml:space="preserve"> </w:t>
            </w:r>
            <w:r w:rsidRPr="002029AF">
              <w:t>and</w:t>
            </w:r>
            <w:r w:rsidR="000A5329" w:rsidRPr="002029AF">
              <w:t xml:space="preserve"> </w:t>
            </w:r>
            <w:r w:rsidRPr="002029AF">
              <w:t>public</w:t>
            </w:r>
            <w:r w:rsidR="000A5329" w:rsidRPr="002029AF">
              <w:t xml:space="preserve"> </w:t>
            </w:r>
            <w:r w:rsidRPr="002029AF">
              <w:t>non-financial</w:t>
            </w:r>
            <w:r w:rsidR="000A5329" w:rsidRPr="002029AF">
              <w:t xml:space="preserve"> </w:t>
            </w:r>
            <w:r w:rsidRPr="002029AF">
              <w:t>corporations</w:t>
            </w:r>
          </w:p>
        </w:tc>
        <w:tc>
          <w:tcPr>
            <w:tcW w:w="992" w:type="dxa"/>
            <w:shd w:val="clear" w:color="auto" w:fill="auto"/>
          </w:tcPr>
          <w:p w14:paraId="2B0BA700" w14:textId="50E516E0" w:rsidR="00CF72D5" w:rsidRPr="002029AF" w:rsidRDefault="00CD7731" w:rsidP="00897193">
            <w:pPr>
              <w:pStyle w:val="ARtabletextright"/>
            </w:pPr>
            <w:r w:rsidRPr="002029AF">
              <w:fldChar w:fldCharType="begin"/>
            </w:r>
            <w:r w:rsidRPr="002029AF">
              <w:instrText xml:space="preserve"> PAGEREF _Ref52455344 \h </w:instrText>
            </w:r>
            <w:r w:rsidRPr="002029AF">
              <w:fldChar w:fldCharType="separate"/>
            </w:r>
            <w:r w:rsidR="00F3275D">
              <w:rPr>
                <w:noProof/>
              </w:rPr>
              <w:t>251</w:t>
            </w:r>
            <w:r w:rsidRPr="002029AF">
              <w:fldChar w:fldCharType="end"/>
            </w:r>
            <w:r w:rsidR="004A3300" w:rsidRPr="002029AF">
              <w:t>–</w:t>
            </w:r>
            <w:r w:rsidR="00A60481" w:rsidRPr="002029AF">
              <w:fldChar w:fldCharType="begin"/>
            </w:r>
            <w:r w:rsidR="00A60481" w:rsidRPr="002029AF">
              <w:instrText xml:space="preserve"> PAGEREF _Ref52555390 \h </w:instrText>
            </w:r>
            <w:r w:rsidR="00A60481" w:rsidRPr="002029AF">
              <w:fldChar w:fldCharType="separate"/>
            </w:r>
            <w:r w:rsidR="00F3275D">
              <w:rPr>
                <w:noProof/>
              </w:rPr>
              <w:t>256</w:t>
            </w:r>
            <w:r w:rsidR="00A60481" w:rsidRPr="002029AF">
              <w:fldChar w:fldCharType="end"/>
            </w:r>
          </w:p>
        </w:tc>
      </w:tr>
      <w:tr w:rsidR="00CF72D5" w:rsidRPr="002029AF" w14:paraId="683E0610" w14:textId="77777777" w:rsidTr="00897193">
        <w:tc>
          <w:tcPr>
            <w:tcW w:w="2059" w:type="dxa"/>
            <w:shd w:val="clear" w:color="auto" w:fill="auto"/>
          </w:tcPr>
          <w:p w14:paraId="5485148A" w14:textId="431FE5D6" w:rsidR="00CF72D5" w:rsidRPr="002029AF" w:rsidRDefault="00CF72D5" w:rsidP="00897193">
            <w:pPr>
              <w:pStyle w:val="ARtabletext"/>
            </w:pPr>
            <w:r w:rsidRPr="002029AF">
              <w:t>FRD</w:t>
            </w:r>
            <w:r w:rsidR="000A5329" w:rsidRPr="002029AF">
              <w:t xml:space="preserve"> </w:t>
            </w:r>
            <w:r w:rsidRPr="002029AF">
              <w:t>119A</w:t>
            </w:r>
          </w:p>
        </w:tc>
        <w:tc>
          <w:tcPr>
            <w:tcW w:w="6588" w:type="dxa"/>
            <w:shd w:val="clear" w:color="auto" w:fill="auto"/>
          </w:tcPr>
          <w:p w14:paraId="1071C814" w14:textId="42C9A283" w:rsidR="00CF72D5" w:rsidRPr="002029AF" w:rsidRDefault="00CF72D5" w:rsidP="00897193">
            <w:pPr>
              <w:pStyle w:val="ARtabletext"/>
            </w:pPr>
            <w:r w:rsidRPr="002029AF">
              <w:t>Transfers</w:t>
            </w:r>
            <w:r w:rsidR="000A5329" w:rsidRPr="002029AF">
              <w:t xml:space="preserve"> </w:t>
            </w:r>
            <w:r w:rsidRPr="002029AF">
              <w:t>through</w:t>
            </w:r>
            <w:r w:rsidR="000A5329" w:rsidRPr="002029AF">
              <w:t xml:space="preserve"> </w:t>
            </w:r>
            <w:r w:rsidRPr="002029AF">
              <w:t>contributed</w:t>
            </w:r>
            <w:r w:rsidR="000A5329" w:rsidRPr="002029AF">
              <w:t xml:space="preserve"> </w:t>
            </w:r>
            <w:r w:rsidRPr="002029AF">
              <w:t>capital</w:t>
            </w:r>
          </w:p>
        </w:tc>
        <w:tc>
          <w:tcPr>
            <w:tcW w:w="992" w:type="dxa"/>
            <w:shd w:val="clear" w:color="auto" w:fill="auto"/>
          </w:tcPr>
          <w:p w14:paraId="781567DA" w14:textId="6ECD8AB1" w:rsidR="00CF72D5" w:rsidRPr="002029AF" w:rsidRDefault="00C95ABB" w:rsidP="00897193">
            <w:pPr>
              <w:pStyle w:val="ARtabletextright"/>
            </w:pPr>
            <w:r w:rsidRPr="002029AF">
              <w:fldChar w:fldCharType="begin"/>
            </w:r>
            <w:r w:rsidRPr="002029AF">
              <w:instrText xml:space="preserve"> PAGEREF _Ref52455416 \h </w:instrText>
            </w:r>
            <w:r w:rsidRPr="002029AF">
              <w:fldChar w:fldCharType="separate"/>
            </w:r>
            <w:r w:rsidR="00F3275D">
              <w:rPr>
                <w:noProof/>
              </w:rPr>
              <w:t>201</w:t>
            </w:r>
            <w:r w:rsidRPr="002029AF">
              <w:fldChar w:fldCharType="end"/>
            </w:r>
          </w:p>
        </w:tc>
      </w:tr>
    </w:tbl>
    <w:p w14:paraId="2E7B74FF" w14:textId="6E71E690" w:rsidR="00CF72D5" w:rsidRPr="002029AF" w:rsidRDefault="00CF72D5" w:rsidP="00897193">
      <w:pPr>
        <w:pStyle w:val="ARtablefootnote"/>
      </w:pPr>
      <w:r w:rsidRPr="002029AF">
        <w:t>Note:</w:t>
      </w:r>
      <w:r w:rsidR="000A5329" w:rsidRPr="002029AF">
        <w:t xml:space="preserve"> </w:t>
      </w:r>
      <w:r w:rsidRPr="002029AF">
        <w:t>FRD</w:t>
      </w:r>
      <w:r w:rsidR="000A5329" w:rsidRPr="002029AF">
        <w:t xml:space="preserve"> </w:t>
      </w:r>
      <w:r w:rsidRPr="002029AF">
        <w:t>=</w:t>
      </w:r>
      <w:r w:rsidR="000A5329" w:rsidRPr="002029AF">
        <w:t xml:space="preserve"> </w:t>
      </w:r>
      <w:r w:rsidRPr="002029AF">
        <w:t>Financial</w:t>
      </w:r>
      <w:r w:rsidR="000A5329" w:rsidRPr="002029AF">
        <w:t xml:space="preserve"> </w:t>
      </w:r>
      <w:r w:rsidRPr="002029AF">
        <w:t>Reporting</w:t>
      </w:r>
      <w:r w:rsidR="000A5329" w:rsidRPr="002029AF">
        <w:t xml:space="preserve"> </w:t>
      </w:r>
      <w:r w:rsidRPr="002029AF">
        <w:t>Direction;</w:t>
      </w:r>
      <w:r w:rsidR="000A5329" w:rsidRPr="002029AF">
        <w:t xml:space="preserve"> </w:t>
      </w:r>
      <w:r w:rsidRPr="002029AF">
        <w:t>SD</w:t>
      </w:r>
      <w:r w:rsidR="000A5329" w:rsidRPr="002029AF">
        <w:t xml:space="preserve"> </w:t>
      </w:r>
      <w:r w:rsidRPr="002029AF">
        <w:t>=</w:t>
      </w:r>
      <w:r w:rsidR="000A5329" w:rsidRPr="002029AF">
        <w:t xml:space="preserve"> </w:t>
      </w:r>
      <w:r w:rsidRPr="002029AF">
        <w:t>Standing</w:t>
      </w:r>
      <w:r w:rsidR="000A5329" w:rsidRPr="002029AF">
        <w:t xml:space="preserve"> </w:t>
      </w:r>
      <w:r w:rsidRPr="002029AF">
        <w:t>Direction</w:t>
      </w:r>
    </w:p>
    <w:p w14:paraId="6A027E51" w14:textId="77777777" w:rsidR="005A1160" w:rsidRPr="002029AF" w:rsidRDefault="005A1160" w:rsidP="005A1160">
      <w:pPr>
        <w:pStyle w:val="ARbody"/>
      </w:pPr>
      <w:bookmarkStart w:id="454" w:name="_Toc462577212"/>
      <w:bookmarkStart w:id="455" w:name="_Ref492894563"/>
      <w:bookmarkStart w:id="456" w:name="_Toc520974736"/>
      <w:bookmarkStart w:id="457" w:name="_Ref525048716"/>
      <w:bookmarkStart w:id="458" w:name="_Ref21862086"/>
      <w:bookmarkStart w:id="459" w:name="_Toc50998474"/>
      <w:r w:rsidRPr="002029AF">
        <w:br w:type="page"/>
      </w:r>
    </w:p>
    <w:p w14:paraId="514424AA" w14:textId="4ADBB6D9" w:rsidR="00CF72D5" w:rsidRPr="002029AF" w:rsidRDefault="00CF72D5" w:rsidP="00897193">
      <w:pPr>
        <w:pStyle w:val="Heading3"/>
        <w:spacing w:before="0" w:after="200"/>
      </w:pPr>
      <w:r w:rsidRPr="002029AF">
        <w:lastRenderedPageBreak/>
        <w:t>Full</w:t>
      </w:r>
      <w:r w:rsidR="000A5329" w:rsidRPr="002029AF">
        <w:t xml:space="preserve"> </w:t>
      </w:r>
      <w:r w:rsidRPr="002029AF">
        <w:t>report</w:t>
      </w:r>
      <w:bookmarkEnd w:id="454"/>
      <w:bookmarkEnd w:id="455"/>
      <w:bookmarkEnd w:id="456"/>
      <w:bookmarkEnd w:id="457"/>
      <w:bookmarkEnd w:id="458"/>
      <w:bookmarkEnd w:id="459"/>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Layout w:type="fixed"/>
        <w:tblCellMar>
          <w:left w:w="0" w:type="dxa"/>
        </w:tblCellMar>
        <w:tblLook w:val="04A0" w:firstRow="1" w:lastRow="0" w:firstColumn="1" w:lastColumn="0" w:noHBand="0" w:noVBand="1"/>
      </w:tblPr>
      <w:tblGrid>
        <w:gridCol w:w="5949"/>
        <w:gridCol w:w="2834"/>
        <w:gridCol w:w="856"/>
      </w:tblGrid>
      <w:tr w:rsidR="00CF72D5" w:rsidRPr="002029AF" w14:paraId="76297732" w14:textId="77777777" w:rsidTr="005A1160">
        <w:trPr>
          <w:cantSplit/>
          <w:tblHeader/>
        </w:trPr>
        <w:tc>
          <w:tcPr>
            <w:tcW w:w="8783" w:type="dxa"/>
            <w:gridSpan w:val="2"/>
            <w:tcBorders>
              <w:top w:val="nil"/>
            </w:tcBorders>
            <w:shd w:val="clear" w:color="auto" w:fill="auto"/>
          </w:tcPr>
          <w:p w14:paraId="3E3F7948" w14:textId="77777777" w:rsidR="00CF72D5" w:rsidRPr="002029AF" w:rsidRDefault="00CF72D5" w:rsidP="00897193">
            <w:pPr>
              <w:pStyle w:val="ARtablecolhead"/>
            </w:pPr>
            <w:r w:rsidRPr="002029AF">
              <w:t>Legislation</w:t>
            </w:r>
          </w:p>
        </w:tc>
        <w:tc>
          <w:tcPr>
            <w:tcW w:w="856" w:type="dxa"/>
            <w:tcBorders>
              <w:top w:val="nil"/>
            </w:tcBorders>
            <w:shd w:val="clear" w:color="auto" w:fill="auto"/>
          </w:tcPr>
          <w:p w14:paraId="241C8BBC" w14:textId="77777777" w:rsidR="00CF72D5" w:rsidRPr="002029AF" w:rsidRDefault="00CF72D5" w:rsidP="00897193">
            <w:pPr>
              <w:pStyle w:val="ARtablecolhead"/>
              <w:jc w:val="right"/>
            </w:pPr>
            <w:r w:rsidRPr="002029AF">
              <w:t>Page</w:t>
            </w:r>
          </w:p>
        </w:tc>
      </w:tr>
      <w:tr w:rsidR="00CF72D5" w:rsidRPr="002029AF" w14:paraId="0F66E793" w14:textId="77777777" w:rsidTr="00FC2F9E">
        <w:trPr>
          <w:cantSplit/>
        </w:trPr>
        <w:tc>
          <w:tcPr>
            <w:tcW w:w="5949" w:type="dxa"/>
            <w:shd w:val="clear" w:color="auto" w:fill="auto"/>
          </w:tcPr>
          <w:p w14:paraId="2FCEB971" w14:textId="14954D5F" w:rsidR="00CF72D5" w:rsidRPr="002029AF" w:rsidRDefault="00CF72D5" w:rsidP="00897193">
            <w:pPr>
              <w:pStyle w:val="ARtabletext"/>
              <w:rPr>
                <w:i/>
              </w:rPr>
            </w:pPr>
            <w:r w:rsidRPr="002029AF">
              <w:rPr>
                <w:i/>
              </w:rPr>
              <w:t>Building</w:t>
            </w:r>
            <w:r w:rsidR="000A5329" w:rsidRPr="002029AF">
              <w:rPr>
                <w:i/>
              </w:rPr>
              <w:t xml:space="preserve"> </w:t>
            </w:r>
            <w:r w:rsidRPr="002029AF">
              <w:rPr>
                <w:i/>
              </w:rPr>
              <w:t>Act</w:t>
            </w:r>
            <w:r w:rsidR="000A5329" w:rsidRPr="002029AF">
              <w:rPr>
                <w:i/>
              </w:rPr>
              <w:t xml:space="preserve"> </w:t>
            </w:r>
            <w:r w:rsidRPr="002029AF">
              <w:rPr>
                <w:i/>
              </w:rPr>
              <w:t>1993</w:t>
            </w:r>
          </w:p>
        </w:tc>
        <w:tc>
          <w:tcPr>
            <w:tcW w:w="3690" w:type="dxa"/>
            <w:gridSpan w:val="2"/>
            <w:shd w:val="clear" w:color="auto" w:fill="auto"/>
          </w:tcPr>
          <w:p w14:paraId="28ACFCB1" w14:textId="23079AD0" w:rsidR="00CF72D5" w:rsidRPr="002029AF" w:rsidRDefault="00CF72D5" w:rsidP="00897193">
            <w:pPr>
              <w:pStyle w:val="ARtabletextright"/>
            </w:pPr>
            <w:r w:rsidRPr="002029AF">
              <w:fldChar w:fldCharType="begin"/>
            </w:r>
            <w:r w:rsidRPr="002029AF">
              <w:instrText xml:space="preserve"> PAGEREF _Ref21956605 \h </w:instrText>
            </w:r>
            <w:r w:rsidRPr="002029AF">
              <w:fldChar w:fldCharType="separate"/>
            </w:r>
            <w:r w:rsidR="00F3275D">
              <w:rPr>
                <w:noProof/>
              </w:rPr>
              <w:t>153</w:t>
            </w:r>
            <w:r w:rsidRPr="002029AF">
              <w:fldChar w:fldCharType="end"/>
            </w:r>
            <w:r w:rsidRPr="002029AF">
              <w:t>–</w:t>
            </w:r>
            <w:r w:rsidRPr="002029AF">
              <w:fldChar w:fldCharType="begin"/>
            </w:r>
            <w:r w:rsidRPr="002029AF">
              <w:instrText xml:space="preserve"> PAGEREF _Ref21956652 \h </w:instrText>
            </w:r>
            <w:r w:rsidRPr="002029AF">
              <w:fldChar w:fldCharType="separate"/>
            </w:r>
            <w:r w:rsidR="00F3275D">
              <w:rPr>
                <w:noProof/>
              </w:rPr>
              <w:t>154</w:t>
            </w:r>
            <w:r w:rsidRPr="002029AF">
              <w:fldChar w:fldCharType="end"/>
            </w:r>
          </w:p>
        </w:tc>
      </w:tr>
      <w:tr w:rsidR="00CF72D5" w:rsidRPr="002029AF" w14:paraId="1428DBF0" w14:textId="77777777" w:rsidTr="00FC2F9E">
        <w:trPr>
          <w:cantSplit/>
        </w:trPr>
        <w:tc>
          <w:tcPr>
            <w:tcW w:w="5949" w:type="dxa"/>
            <w:shd w:val="clear" w:color="auto" w:fill="auto"/>
          </w:tcPr>
          <w:p w14:paraId="79CE9AA3" w14:textId="5FC7FBA7" w:rsidR="00CF72D5" w:rsidRPr="002029AF" w:rsidRDefault="00CF72D5" w:rsidP="00897193">
            <w:pPr>
              <w:pStyle w:val="ARtabletext"/>
              <w:rPr>
                <w:i/>
              </w:rPr>
            </w:pPr>
            <w:r w:rsidRPr="002029AF">
              <w:rPr>
                <w:i/>
              </w:rPr>
              <w:t>Carers</w:t>
            </w:r>
            <w:r w:rsidR="000A5329" w:rsidRPr="002029AF">
              <w:rPr>
                <w:i/>
              </w:rPr>
              <w:t xml:space="preserve"> </w:t>
            </w:r>
            <w:r w:rsidRPr="002029AF">
              <w:rPr>
                <w:i/>
              </w:rPr>
              <w:t>Recognition</w:t>
            </w:r>
            <w:r w:rsidR="000A5329" w:rsidRPr="002029AF">
              <w:rPr>
                <w:i/>
              </w:rPr>
              <w:t xml:space="preserve"> </w:t>
            </w:r>
            <w:r w:rsidRPr="002029AF">
              <w:rPr>
                <w:i/>
              </w:rPr>
              <w:t>Act</w:t>
            </w:r>
            <w:r w:rsidR="000A5329" w:rsidRPr="002029AF">
              <w:rPr>
                <w:i/>
              </w:rPr>
              <w:t xml:space="preserve"> </w:t>
            </w:r>
            <w:r w:rsidRPr="002029AF">
              <w:rPr>
                <w:i/>
              </w:rPr>
              <w:t>2012</w:t>
            </w:r>
          </w:p>
        </w:tc>
        <w:tc>
          <w:tcPr>
            <w:tcW w:w="3690" w:type="dxa"/>
            <w:gridSpan w:val="2"/>
            <w:shd w:val="clear" w:color="auto" w:fill="auto"/>
          </w:tcPr>
          <w:p w14:paraId="060F4DD0" w14:textId="05B5E547" w:rsidR="00CF72D5" w:rsidRPr="002029AF" w:rsidRDefault="00CF72D5" w:rsidP="00897193">
            <w:pPr>
              <w:pStyle w:val="ARtabletextright"/>
            </w:pPr>
            <w:r w:rsidRPr="002029AF">
              <w:fldChar w:fldCharType="begin"/>
            </w:r>
            <w:r w:rsidRPr="002029AF">
              <w:instrText xml:space="preserve"> PAGEREF _Ref21956652 \h </w:instrText>
            </w:r>
            <w:r w:rsidRPr="002029AF">
              <w:fldChar w:fldCharType="separate"/>
            </w:r>
            <w:r w:rsidR="00F3275D">
              <w:rPr>
                <w:noProof/>
              </w:rPr>
              <w:t>154</w:t>
            </w:r>
            <w:r w:rsidRPr="002029AF">
              <w:fldChar w:fldCharType="end"/>
            </w:r>
          </w:p>
        </w:tc>
      </w:tr>
      <w:tr w:rsidR="00CF72D5" w:rsidRPr="002029AF" w14:paraId="577F8E6A" w14:textId="77777777" w:rsidTr="00FC2F9E">
        <w:trPr>
          <w:cantSplit/>
        </w:trPr>
        <w:tc>
          <w:tcPr>
            <w:tcW w:w="5949" w:type="dxa"/>
            <w:shd w:val="clear" w:color="auto" w:fill="auto"/>
          </w:tcPr>
          <w:p w14:paraId="7E8A4294" w14:textId="56CF317E" w:rsidR="00CF72D5" w:rsidRPr="002029AF" w:rsidRDefault="00CF72D5" w:rsidP="00897193">
            <w:pPr>
              <w:pStyle w:val="ARtabletext"/>
              <w:rPr>
                <w:i/>
              </w:rPr>
            </w:pPr>
            <w:r w:rsidRPr="002029AF">
              <w:rPr>
                <w:i/>
              </w:rPr>
              <w:t>Children,</w:t>
            </w:r>
            <w:r w:rsidR="000A5329" w:rsidRPr="002029AF">
              <w:rPr>
                <w:i/>
              </w:rPr>
              <w:t xml:space="preserve"> </w:t>
            </w:r>
            <w:r w:rsidRPr="002029AF">
              <w:rPr>
                <w:i/>
              </w:rPr>
              <w:t>Youth</w:t>
            </w:r>
            <w:r w:rsidR="000A5329" w:rsidRPr="002029AF">
              <w:rPr>
                <w:i/>
              </w:rPr>
              <w:t xml:space="preserve"> </w:t>
            </w:r>
            <w:r w:rsidRPr="002029AF">
              <w:rPr>
                <w:i/>
              </w:rPr>
              <w:t>and</w:t>
            </w:r>
            <w:r w:rsidR="000A5329" w:rsidRPr="002029AF">
              <w:rPr>
                <w:i/>
              </w:rPr>
              <w:t xml:space="preserve"> </w:t>
            </w:r>
            <w:r w:rsidRPr="002029AF">
              <w:rPr>
                <w:i/>
              </w:rPr>
              <w:t>Families</w:t>
            </w:r>
            <w:r w:rsidR="000A5329" w:rsidRPr="002029AF">
              <w:rPr>
                <w:i/>
              </w:rPr>
              <w:t xml:space="preserve"> </w:t>
            </w:r>
            <w:r w:rsidRPr="002029AF">
              <w:rPr>
                <w:i/>
              </w:rPr>
              <w:t>Act</w:t>
            </w:r>
            <w:r w:rsidR="000A5329" w:rsidRPr="002029AF">
              <w:rPr>
                <w:i/>
              </w:rPr>
              <w:t xml:space="preserve"> </w:t>
            </w:r>
            <w:r w:rsidRPr="002029AF">
              <w:rPr>
                <w:i/>
              </w:rPr>
              <w:t>2005</w:t>
            </w:r>
          </w:p>
        </w:tc>
        <w:tc>
          <w:tcPr>
            <w:tcW w:w="3690" w:type="dxa"/>
            <w:gridSpan w:val="2"/>
            <w:shd w:val="clear" w:color="auto" w:fill="auto"/>
          </w:tcPr>
          <w:p w14:paraId="1929110B" w14:textId="35E46535" w:rsidR="00CF72D5" w:rsidRPr="002029AF" w:rsidRDefault="00883FC1" w:rsidP="00897193">
            <w:pPr>
              <w:pStyle w:val="ARtabletextright"/>
            </w:pPr>
            <w:r w:rsidRPr="002029AF">
              <w:fldChar w:fldCharType="begin"/>
            </w:r>
            <w:r w:rsidRPr="002029AF">
              <w:instrText xml:space="preserve"> PAGEREF _Ref52279543 \h </w:instrText>
            </w:r>
            <w:r w:rsidRPr="002029AF">
              <w:fldChar w:fldCharType="separate"/>
            </w:r>
            <w:r w:rsidR="00F3275D">
              <w:rPr>
                <w:noProof/>
              </w:rPr>
              <w:t>170</w:t>
            </w:r>
            <w:r w:rsidRPr="002029AF">
              <w:fldChar w:fldCharType="end"/>
            </w:r>
            <w:r w:rsidR="00CF72D5" w:rsidRPr="002029AF">
              <w:t>–</w:t>
            </w:r>
            <w:r w:rsidR="00CF72D5" w:rsidRPr="002029AF">
              <w:fldChar w:fldCharType="begin"/>
            </w:r>
            <w:r w:rsidR="00CF72D5" w:rsidRPr="002029AF">
              <w:instrText xml:space="preserve"> PAGEREF _Ref525207621 \h </w:instrText>
            </w:r>
            <w:r w:rsidR="00CF72D5" w:rsidRPr="002029AF">
              <w:fldChar w:fldCharType="separate"/>
            </w:r>
            <w:r w:rsidR="00F3275D">
              <w:rPr>
                <w:noProof/>
              </w:rPr>
              <w:t>172</w:t>
            </w:r>
            <w:r w:rsidR="00CF72D5" w:rsidRPr="002029AF">
              <w:fldChar w:fldCharType="end"/>
            </w:r>
          </w:p>
        </w:tc>
      </w:tr>
      <w:tr w:rsidR="00CF72D5" w:rsidRPr="002029AF" w14:paraId="0C0D9976" w14:textId="77777777" w:rsidTr="00FC2F9E">
        <w:trPr>
          <w:cantSplit/>
        </w:trPr>
        <w:tc>
          <w:tcPr>
            <w:tcW w:w="5949" w:type="dxa"/>
            <w:shd w:val="clear" w:color="auto" w:fill="auto"/>
          </w:tcPr>
          <w:p w14:paraId="538753EB" w14:textId="65980AE5" w:rsidR="00CF72D5" w:rsidRPr="002029AF" w:rsidRDefault="00CF72D5" w:rsidP="00897193">
            <w:pPr>
              <w:pStyle w:val="ARtabletext"/>
              <w:rPr>
                <w:i/>
              </w:rPr>
            </w:pPr>
            <w:r w:rsidRPr="002029AF">
              <w:rPr>
                <w:i/>
              </w:rPr>
              <w:t>Cemeteries</w:t>
            </w:r>
            <w:r w:rsidR="000A5329" w:rsidRPr="002029AF">
              <w:rPr>
                <w:i/>
              </w:rPr>
              <w:t xml:space="preserve"> </w:t>
            </w:r>
            <w:r w:rsidRPr="002029AF">
              <w:rPr>
                <w:i/>
              </w:rPr>
              <w:t>and</w:t>
            </w:r>
            <w:r w:rsidR="000A5329" w:rsidRPr="002029AF">
              <w:rPr>
                <w:i/>
              </w:rPr>
              <w:t xml:space="preserve"> </w:t>
            </w:r>
            <w:r w:rsidRPr="002029AF">
              <w:rPr>
                <w:i/>
              </w:rPr>
              <w:t>Crematoria</w:t>
            </w:r>
            <w:r w:rsidR="000A5329" w:rsidRPr="002029AF">
              <w:rPr>
                <w:i/>
              </w:rPr>
              <w:t xml:space="preserve"> </w:t>
            </w:r>
            <w:r w:rsidRPr="002029AF">
              <w:rPr>
                <w:i/>
              </w:rPr>
              <w:t>Amendment</w:t>
            </w:r>
            <w:r w:rsidR="000A5329" w:rsidRPr="002029AF">
              <w:rPr>
                <w:i/>
              </w:rPr>
              <w:t xml:space="preserve"> </w:t>
            </w:r>
            <w:r w:rsidRPr="002029AF">
              <w:rPr>
                <w:i/>
              </w:rPr>
              <w:t>Act</w:t>
            </w:r>
            <w:r w:rsidR="000A5329" w:rsidRPr="002029AF">
              <w:rPr>
                <w:i/>
              </w:rPr>
              <w:t xml:space="preserve"> </w:t>
            </w:r>
            <w:r w:rsidRPr="002029AF">
              <w:rPr>
                <w:i/>
              </w:rPr>
              <w:t>2003</w:t>
            </w:r>
          </w:p>
        </w:tc>
        <w:tc>
          <w:tcPr>
            <w:tcW w:w="3690" w:type="dxa"/>
            <w:gridSpan w:val="2"/>
            <w:shd w:val="clear" w:color="auto" w:fill="auto"/>
          </w:tcPr>
          <w:p w14:paraId="09AB4F4B" w14:textId="4F7C8F38" w:rsidR="00CF72D5" w:rsidRPr="002029AF" w:rsidRDefault="00CF72D5" w:rsidP="00897193">
            <w:pPr>
              <w:pStyle w:val="ARtabletextright"/>
            </w:pPr>
            <w:r w:rsidRPr="002029AF">
              <w:fldChar w:fldCharType="begin"/>
            </w:r>
            <w:r w:rsidRPr="002029AF">
              <w:instrText xml:space="preserve"> PAGEREF _Ref21960028 \h </w:instrText>
            </w:r>
            <w:r w:rsidRPr="002029AF">
              <w:fldChar w:fldCharType="separate"/>
            </w:r>
            <w:r w:rsidR="00F3275D">
              <w:rPr>
                <w:noProof/>
              </w:rPr>
              <w:t>168</w:t>
            </w:r>
            <w:r w:rsidRPr="002029AF">
              <w:fldChar w:fldCharType="end"/>
            </w:r>
          </w:p>
        </w:tc>
      </w:tr>
      <w:tr w:rsidR="00CF72D5" w:rsidRPr="002029AF" w14:paraId="13FE0A70" w14:textId="77777777" w:rsidTr="00FC2F9E">
        <w:trPr>
          <w:cantSplit/>
        </w:trPr>
        <w:tc>
          <w:tcPr>
            <w:tcW w:w="5949" w:type="dxa"/>
            <w:shd w:val="clear" w:color="auto" w:fill="auto"/>
          </w:tcPr>
          <w:p w14:paraId="00C4F39A" w14:textId="6084ABD6" w:rsidR="00CF72D5" w:rsidRPr="002029AF" w:rsidRDefault="00CF72D5" w:rsidP="00897193">
            <w:pPr>
              <w:pStyle w:val="ARtabletext"/>
              <w:rPr>
                <w:i/>
              </w:rPr>
            </w:pPr>
            <w:r w:rsidRPr="002029AF">
              <w:rPr>
                <w:i/>
              </w:rPr>
              <w:t>Disability</w:t>
            </w:r>
            <w:r w:rsidR="000A5329" w:rsidRPr="002029AF">
              <w:rPr>
                <w:i/>
              </w:rPr>
              <w:t xml:space="preserve"> </w:t>
            </w:r>
            <w:r w:rsidRPr="002029AF">
              <w:rPr>
                <w:i/>
              </w:rPr>
              <w:t>Act</w:t>
            </w:r>
            <w:r w:rsidR="000A5329" w:rsidRPr="002029AF">
              <w:rPr>
                <w:i/>
              </w:rPr>
              <w:t xml:space="preserve"> </w:t>
            </w:r>
            <w:r w:rsidRPr="002029AF">
              <w:rPr>
                <w:i/>
              </w:rPr>
              <w:t>2006</w:t>
            </w:r>
          </w:p>
        </w:tc>
        <w:tc>
          <w:tcPr>
            <w:tcW w:w="3690" w:type="dxa"/>
            <w:gridSpan w:val="2"/>
            <w:shd w:val="clear" w:color="auto" w:fill="auto"/>
          </w:tcPr>
          <w:p w14:paraId="1EC2031C" w14:textId="58BD4930" w:rsidR="00CF72D5" w:rsidRPr="002029AF" w:rsidRDefault="00844F8D" w:rsidP="00897193">
            <w:pPr>
              <w:pStyle w:val="ARtabletextright"/>
            </w:pPr>
            <w:r w:rsidRPr="002029AF">
              <w:fldChar w:fldCharType="begin"/>
            </w:r>
            <w:r w:rsidRPr="002029AF">
              <w:instrText xml:space="preserve"> PAGEREF _Ref52279687 \h </w:instrText>
            </w:r>
            <w:r w:rsidRPr="002029AF">
              <w:fldChar w:fldCharType="separate"/>
            </w:r>
            <w:r w:rsidR="00F3275D">
              <w:rPr>
                <w:noProof/>
              </w:rPr>
              <w:t>170</w:t>
            </w:r>
            <w:r w:rsidRPr="002029AF">
              <w:fldChar w:fldCharType="end"/>
            </w:r>
            <w:r w:rsidR="00FC2F9E" w:rsidRPr="002029AF">
              <w:t>–</w:t>
            </w:r>
            <w:r w:rsidR="004A6670" w:rsidRPr="002029AF">
              <w:fldChar w:fldCharType="begin"/>
            </w:r>
            <w:r w:rsidR="004A6670" w:rsidRPr="002029AF">
              <w:instrText xml:space="preserve"> PAGEREF _Ref525207621 \h </w:instrText>
            </w:r>
            <w:r w:rsidR="004A6670" w:rsidRPr="002029AF">
              <w:fldChar w:fldCharType="separate"/>
            </w:r>
            <w:r w:rsidR="00F3275D">
              <w:rPr>
                <w:noProof/>
              </w:rPr>
              <w:t>172</w:t>
            </w:r>
            <w:r w:rsidR="004A6670" w:rsidRPr="002029AF">
              <w:fldChar w:fldCharType="end"/>
            </w:r>
          </w:p>
        </w:tc>
      </w:tr>
      <w:tr w:rsidR="00CF72D5" w:rsidRPr="002029AF" w14:paraId="2A68FE5F" w14:textId="77777777" w:rsidTr="00FC2F9E">
        <w:trPr>
          <w:cantSplit/>
        </w:trPr>
        <w:tc>
          <w:tcPr>
            <w:tcW w:w="5949" w:type="dxa"/>
            <w:shd w:val="clear" w:color="auto" w:fill="auto"/>
          </w:tcPr>
          <w:p w14:paraId="13E331AF" w14:textId="61A05860" w:rsidR="00CF72D5" w:rsidRPr="002029AF" w:rsidRDefault="00CF72D5" w:rsidP="00897193">
            <w:pPr>
              <w:pStyle w:val="ARtabletext"/>
              <w:rPr>
                <w:i/>
              </w:rPr>
            </w:pPr>
            <w:r w:rsidRPr="002029AF">
              <w:rPr>
                <w:i/>
              </w:rPr>
              <w:t>Drugs,</w:t>
            </w:r>
            <w:r w:rsidR="000A5329" w:rsidRPr="002029AF">
              <w:rPr>
                <w:i/>
              </w:rPr>
              <w:t xml:space="preserve"> </w:t>
            </w:r>
            <w:r w:rsidRPr="002029AF">
              <w:rPr>
                <w:i/>
              </w:rPr>
              <w:t>Poisons</w:t>
            </w:r>
            <w:r w:rsidR="000A5329" w:rsidRPr="002029AF">
              <w:rPr>
                <w:i/>
              </w:rPr>
              <w:t xml:space="preserve"> </w:t>
            </w:r>
            <w:r w:rsidRPr="002029AF">
              <w:rPr>
                <w:i/>
              </w:rPr>
              <w:t>and</w:t>
            </w:r>
            <w:r w:rsidR="000A5329" w:rsidRPr="002029AF">
              <w:rPr>
                <w:i/>
              </w:rPr>
              <w:t xml:space="preserve"> </w:t>
            </w:r>
            <w:r w:rsidRPr="002029AF">
              <w:rPr>
                <w:i/>
              </w:rPr>
              <w:t>Controlled</w:t>
            </w:r>
            <w:r w:rsidR="000A5329" w:rsidRPr="002029AF">
              <w:rPr>
                <w:i/>
              </w:rPr>
              <w:t xml:space="preserve"> </w:t>
            </w:r>
            <w:r w:rsidRPr="002029AF">
              <w:rPr>
                <w:i/>
              </w:rPr>
              <w:t>Substances</w:t>
            </w:r>
            <w:r w:rsidR="000A5329" w:rsidRPr="002029AF">
              <w:rPr>
                <w:i/>
              </w:rPr>
              <w:t xml:space="preserve"> </w:t>
            </w:r>
            <w:r w:rsidRPr="002029AF">
              <w:rPr>
                <w:i/>
              </w:rPr>
              <w:t>Act</w:t>
            </w:r>
            <w:r w:rsidR="000A5329" w:rsidRPr="002029AF">
              <w:rPr>
                <w:i/>
              </w:rPr>
              <w:t xml:space="preserve"> </w:t>
            </w:r>
            <w:r w:rsidRPr="002029AF">
              <w:rPr>
                <w:i/>
              </w:rPr>
              <w:t>1981</w:t>
            </w:r>
          </w:p>
        </w:tc>
        <w:tc>
          <w:tcPr>
            <w:tcW w:w="3690" w:type="dxa"/>
            <w:gridSpan w:val="2"/>
            <w:shd w:val="clear" w:color="auto" w:fill="auto"/>
          </w:tcPr>
          <w:p w14:paraId="0DF5D13E" w14:textId="4C6B1223" w:rsidR="00CF72D5" w:rsidRPr="002029AF" w:rsidRDefault="00CF72D5" w:rsidP="00897193">
            <w:pPr>
              <w:pStyle w:val="ARtabletextright"/>
            </w:pPr>
            <w:r w:rsidRPr="002029AF">
              <w:fldChar w:fldCharType="begin"/>
            </w:r>
            <w:r w:rsidRPr="002029AF">
              <w:instrText xml:space="preserve"> PAGEREF _Ref21960028 \h </w:instrText>
            </w:r>
            <w:r w:rsidRPr="002029AF">
              <w:fldChar w:fldCharType="separate"/>
            </w:r>
            <w:r w:rsidR="00F3275D">
              <w:rPr>
                <w:noProof/>
              </w:rPr>
              <w:t>168</w:t>
            </w:r>
            <w:r w:rsidRPr="002029AF">
              <w:fldChar w:fldCharType="end"/>
            </w:r>
          </w:p>
        </w:tc>
      </w:tr>
      <w:tr w:rsidR="00CF72D5" w:rsidRPr="002029AF" w14:paraId="6760CF03" w14:textId="77777777" w:rsidTr="00FC2F9E">
        <w:trPr>
          <w:cantSplit/>
        </w:trPr>
        <w:tc>
          <w:tcPr>
            <w:tcW w:w="5949" w:type="dxa"/>
            <w:shd w:val="clear" w:color="auto" w:fill="auto"/>
          </w:tcPr>
          <w:p w14:paraId="18F33F3E" w14:textId="5AD911C9" w:rsidR="00CF72D5" w:rsidRPr="002029AF" w:rsidRDefault="00CF72D5" w:rsidP="00897193">
            <w:pPr>
              <w:pStyle w:val="ARtabletext"/>
              <w:rPr>
                <w:i/>
              </w:rPr>
            </w:pPr>
            <w:r w:rsidRPr="002029AF">
              <w:rPr>
                <w:i/>
              </w:rPr>
              <w:t>Financial</w:t>
            </w:r>
            <w:r w:rsidR="000A5329" w:rsidRPr="002029AF">
              <w:rPr>
                <w:i/>
              </w:rPr>
              <w:t xml:space="preserve"> </w:t>
            </w:r>
            <w:r w:rsidRPr="002029AF">
              <w:rPr>
                <w:i/>
              </w:rPr>
              <w:t>Management</w:t>
            </w:r>
            <w:r w:rsidR="000A5329" w:rsidRPr="002029AF">
              <w:rPr>
                <w:i/>
              </w:rPr>
              <w:t xml:space="preserve"> </w:t>
            </w:r>
            <w:r w:rsidRPr="002029AF">
              <w:rPr>
                <w:i/>
              </w:rPr>
              <w:t>Act</w:t>
            </w:r>
            <w:r w:rsidR="000A5329" w:rsidRPr="002029AF">
              <w:rPr>
                <w:i/>
              </w:rPr>
              <w:t xml:space="preserve"> </w:t>
            </w:r>
            <w:r w:rsidRPr="002029AF">
              <w:rPr>
                <w:i/>
              </w:rPr>
              <w:t>1994</w:t>
            </w:r>
          </w:p>
        </w:tc>
        <w:tc>
          <w:tcPr>
            <w:tcW w:w="3690" w:type="dxa"/>
            <w:gridSpan w:val="2"/>
            <w:shd w:val="clear" w:color="auto" w:fill="auto"/>
          </w:tcPr>
          <w:p w14:paraId="46CDFC9C" w14:textId="0579E148" w:rsidR="00CF72D5" w:rsidRPr="002029AF" w:rsidRDefault="00BE73E8" w:rsidP="00897193">
            <w:pPr>
              <w:pStyle w:val="ARtabletextright"/>
            </w:pPr>
            <w:r w:rsidRPr="002029AF">
              <w:fldChar w:fldCharType="begin"/>
            </w:r>
            <w:r w:rsidRPr="002029AF">
              <w:instrText xml:space="preserve"> PAGEREF _Ref21957502 \h </w:instrText>
            </w:r>
            <w:r w:rsidRPr="002029AF">
              <w:fldChar w:fldCharType="separate"/>
            </w:r>
            <w:r w:rsidR="00F3275D">
              <w:rPr>
                <w:noProof/>
              </w:rPr>
              <w:t>3</w:t>
            </w:r>
            <w:r w:rsidRPr="002029AF">
              <w:fldChar w:fldCharType="end"/>
            </w:r>
            <w:r w:rsidR="005F298C">
              <w:t>,</w:t>
            </w:r>
            <w:r w:rsidR="000A5329" w:rsidRPr="002029AF">
              <w:t xml:space="preserve"> </w:t>
            </w:r>
            <w:r w:rsidR="001A3F62" w:rsidRPr="002029AF">
              <w:fldChar w:fldCharType="begin"/>
            </w:r>
            <w:r w:rsidR="001A3F62" w:rsidRPr="002029AF">
              <w:instrText xml:space="preserve"> PAGEREF _Ref52274666 \h </w:instrText>
            </w:r>
            <w:r w:rsidR="001A3F62" w:rsidRPr="002029AF">
              <w:fldChar w:fldCharType="separate"/>
            </w:r>
            <w:r w:rsidR="00F3275D">
              <w:rPr>
                <w:noProof/>
              </w:rPr>
              <w:t>107</w:t>
            </w:r>
            <w:r w:rsidR="001A3F62" w:rsidRPr="002029AF">
              <w:fldChar w:fldCharType="end"/>
            </w:r>
            <w:r w:rsidR="00CF72D5" w:rsidRPr="002029AF">
              <w:t>,</w:t>
            </w:r>
            <w:r w:rsidR="000A5329" w:rsidRPr="002029AF">
              <w:t xml:space="preserve"> </w:t>
            </w:r>
            <w:r w:rsidR="00AE7585" w:rsidRPr="002029AF">
              <w:fldChar w:fldCharType="begin"/>
            </w:r>
            <w:r w:rsidR="00AE7585" w:rsidRPr="002029AF">
              <w:instrText xml:space="preserve"> PAGEREF _Ref52274716 \h </w:instrText>
            </w:r>
            <w:r w:rsidR="00AE7585" w:rsidRPr="002029AF">
              <w:fldChar w:fldCharType="separate"/>
            </w:r>
            <w:r w:rsidR="00F3275D">
              <w:rPr>
                <w:noProof/>
              </w:rPr>
              <w:t>115</w:t>
            </w:r>
            <w:r w:rsidR="00AE7585" w:rsidRPr="002029AF">
              <w:fldChar w:fldCharType="end"/>
            </w:r>
            <w:r w:rsidR="00CF72D5" w:rsidRPr="002029AF">
              <w:t>,</w:t>
            </w:r>
            <w:r w:rsidR="000A5329" w:rsidRPr="002029AF">
              <w:t xml:space="preserve"> </w:t>
            </w:r>
            <w:r w:rsidR="00624EA0" w:rsidRPr="002029AF">
              <w:fldChar w:fldCharType="begin"/>
            </w:r>
            <w:r w:rsidR="00624EA0" w:rsidRPr="002029AF">
              <w:instrText xml:space="preserve"> PAGEREF _Ref52274885 \h </w:instrText>
            </w:r>
            <w:r w:rsidR="00624EA0" w:rsidRPr="002029AF">
              <w:fldChar w:fldCharType="separate"/>
            </w:r>
            <w:r w:rsidR="00F3275D">
              <w:rPr>
                <w:noProof/>
              </w:rPr>
              <w:t>193</w:t>
            </w:r>
            <w:r w:rsidR="00624EA0" w:rsidRPr="002029AF">
              <w:fldChar w:fldCharType="end"/>
            </w:r>
            <w:r w:rsidR="00CF72D5" w:rsidRPr="002029AF">
              <w:t>,</w:t>
            </w:r>
            <w:r w:rsidR="000A5329" w:rsidRPr="002029AF">
              <w:t xml:space="preserve"> </w:t>
            </w:r>
            <w:r w:rsidR="00423345" w:rsidRPr="002029AF">
              <w:fldChar w:fldCharType="begin"/>
            </w:r>
            <w:r w:rsidR="00423345" w:rsidRPr="002029AF">
              <w:instrText xml:space="preserve"> PAGEREF _Ref52274922 \h </w:instrText>
            </w:r>
            <w:r w:rsidR="00423345" w:rsidRPr="002029AF">
              <w:fldChar w:fldCharType="separate"/>
            </w:r>
            <w:r w:rsidR="00F3275D">
              <w:rPr>
                <w:noProof/>
              </w:rPr>
              <w:t>194</w:t>
            </w:r>
            <w:r w:rsidR="00423345" w:rsidRPr="002029AF">
              <w:fldChar w:fldCharType="end"/>
            </w:r>
            <w:r w:rsidR="00423345" w:rsidRPr="002029AF">
              <w:t xml:space="preserve">, </w:t>
            </w:r>
            <w:r w:rsidR="004D0C4A" w:rsidRPr="002029AF">
              <w:fldChar w:fldCharType="begin"/>
            </w:r>
            <w:r w:rsidR="004D0C4A" w:rsidRPr="002029AF">
              <w:instrText xml:space="preserve"> PAGEREF _Ref52274950 \h </w:instrText>
            </w:r>
            <w:r w:rsidR="004D0C4A" w:rsidRPr="002029AF">
              <w:fldChar w:fldCharType="separate"/>
            </w:r>
            <w:r w:rsidR="00F3275D">
              <w:rPr>
                <w:noProof/>
              </w:rPr>
              <w:t>201</w:t>
            </w:r>
            <w:r w:rsidR="004D0C4A" w:rsidRPr="002029AF">
              <w:fldChar w:fldCharType="end"/>
            </w:r>
            <w:r w:rsidR="004D0C4A" w:rsidRPr="002029AF">
              <w:t xml:space="preserve">, </w:t>
            </w:r>
            <w:r w:rsidR="004D0C4A" w:rsidRPr="002029AF">
              <w:fldChar w:fldCharType="begin"/>
            </w:r>
            <w:r w:rsidR="004D0C4A" w:rsidRPr="002029AF">
              <w:instrText xml:space="preserve"> PAGEREF _Ref52274978 \h </w:instrText>
            </w:r>
            <w:r w:rsidR="004D0C4A" w:rsidRPr="002029AF">
              <w:fldChar w:fldCharType="separate"/>
            </w:r>
            <w:r w:rsidR="00F3275D">
              <w:rPr>
                <w:noProof/>
              </w:rPr>
              <w:t>203</w:t>
            </w:r>
            <w:r w:rsidR="004D0C4A" w:rsidRPr="002029AF">
              <w:fldChar w:fldCharType="end"/>
            </w:r>
            <w:r w:rsidR="004D0C4A" w:rsidRPr="002029AF">
              <w:t xml:space="preserve">, </w:t>
            </w:r>
            <w:r w:rsidR="00CA7336" w:rsidRPr="002029AF">
              <w:fldChar w:fldCharType="begin"/>
            </w:r>
            <w:r w:rsidR="00CA7336" w:rsidRPr="002029AF">
              <w:instrText xml:space="preserve"> PAGEREF _Ref52275091 \h </w:instrText>
            </w:r>
            <w:r w:rsidR="00CA7336" w:rsidRPr="002029AF">
              <w:fldChar w:fldCharType="separate"/>
            </w:r>
            <w:r w:rsidR="00F3275D">
              <w:rPr>
                <w:noProof/>
              </w:rPr>
              <w:t>239</w:t>
            </w:r>
            <w:r w:rsidR="00CA7336" w:rsidRPr="002029AF">
              <w:fldChar w:fldCharType="end"/>
            </w:r>
            <w:r w:rsidR="00766E1D" w:rsidRPr="002029AF">
              <w:t xml:space="preserve">, </w:t>
            </w:r>
            <w:r w:rsidR="009C4E4A" w:rsidRPr="002029AF">
              <w:fldChar w:fldCharType="begin"/>
            </w:r>
            <w:r w:rsidR="009C4E4A" w:rsidRPr="002029AF">
              <w:instrText xml:space="preserve"> PAGEREF _Ref52275184 \h </w:instrText>
            </w:r>
            <w:r w:rsidR="009C4E4A" w:rsidRPr="002029AF">
              <w:fldChar w:fldCharType="separate"/>
            </w:r>
            <w:r w:rsidR="00F3275D">
              <w:rPr>
                <w:noProof/>
              </w:rPr>
              <w:t>265</w:t>
            </w:r>
            <w:r w:rsidR="009C4E4A" w:rsidRPr="002029AF">
              <w:fldChar w:fldCharType="end"/>
            </w:r>
          </w:p>
        </w:tc>
      </w:tr>
      <w:tr w:rsidR="00CF72D5" w:rsidRPr="002029AF" w14:paraId="2599381F" w14:textId="77777777" w:rsidTr="00FC2F9E">
        <w:trPr>
          <w:cantSplit/>
        </w:trPr>
        <w:tc>
          <w:tcPr>
            <w:tcW w:w="5949" w:type="dxa"/>
            <w:shd w:val="clear" w:color="auto" w:fill="auto"/>
          </w:tcPr>
          <w:p w14:paraId="07F2A2A0" w14:textId="5E7F5905" w:rsidR="00CF72D5" w:rsidRPr="002029AF" w:rsidRDefault="00CF72D5" w:rsidP="00897193">
            <w:pPr>
              <w:pStyle w:val="ARtabletext"/>
              <w:rPr>
                <w:i/>
              </w:rPr>
            </w:pPr>
            <w:r w:rsidRPr="002029AF">
              <w:rPr>
                <w:i/>
              </w:rPr>
              <w:t>Freedom</w:t>
            </w:r>
            <w:r w:rsidR="000A5329" w:rsidRPr="002029AF">
              <w:rPr>
                <w:i/>
              </w:rPr>
              <w:t xml:space="preserve"> </w:t>
            </w:r>
            <w:r w:rsidRPr="002029AF">
              <w:rPr>
                <w:i/>
              </w:rPr>
              <w:t>of</w:t>
            </w:r>
            <w:r w:rsidR="000A5329" w:rsidRPr="002029AF">
              <w:rPr>
                <w:i/>
              </w:rPr>
              <w:t xml:space="preserve"> </w:t>
            </w:r>
            <w:r w:rsidRPr="002029AF">
              <w:rPr>
                <w:i/>
              </w:rPr>
              <w:t>Information</w:t>
            </w:r>
            <w:r w:rsidR="000A5329" w:rsidRPr="002029AF">
              <w:rPr>
                <w:i/>
              </w:rPr>
              <w:t xml:space="preserve"> </w:t>
            </w:r>
            <w:r w:rsidRPr="002029AF">
              <w:rPr>
                <w:i/>
              </w:rPr>
              <w:t>Act</w:t>
            </w:r>
            <w:r w:rsidR="000A5329" w:rsidRPr="002029AF">
              <w:rPr>
                <w:i/>
              </w:rPr>
              <w:t xml:space="preserve"> </w:t>
            </w:r>
            <w:r w:rsidRPr="002029AF">
              <w:rPr>
                <w:i/>
              </w:rPr>
              <w:t>1982</w:t>
            </w:r>
          </w:p>
        </w:tc>
        <w:tc>
          <w:tcPr>
            <w:tcW w:w="3690" w:type="dxa"/>
            <w:gridSpan w:val="2"/>
            <w:shd w:val="clear" w:color="auto" w:fill="auto"/>
          </w:tcPr>
          <w:p w14:paraId="02558342" w14:textId="4F862331" w:rsidR="00CF72D5" w:rsidRPr="002029AF" w:rsidRDefault="009C5EFA" w:rsidP="00897193">
            <w:pPr>
              <w:pStyle w:val="ARtabletextright"/>
            </w:pPr>
            <w:r w:rsidRPr="002029AF">
              <w:fldChar w:fldCharType="begin"/>
            </w:r>
            <w:r w:rsidRPr="002029AF">
              <w:instrText xml:space="preserve"> PAGEREF _Ref492895142 \h </w:instrText>
            </w:r>
            <w:r w:rsidRPr="002029AF">
              <w:fldChar w:fldCharType="separate"/>
            </w:r>
            <w:r w:rsidR="00F3275D">
              <w:rPr>
                <w:noProof/>
              </w:rPr>
              <w:t>167</w:t>
            </w:r>
            <w:r w:rsidRPr="002029AF">
              <w:fldChar w:fldCharType="end"/>
            </w:r>
            <w:r w:rsidR="00CF72D5" w:rsidRPr="002029AF">
              <w:t>,</w:t>
            </w:r>
            <w:r w:rsidR="000A5329" w:rsidRPr="002029AF">
              <w:t xml:space="preserve"> </w:t>
            </w:r>
            <w:r w:rsidR="00CF72D5" w:rsidRPr="002029AF">
              <w:fldChar w:fldCharType="begin"/>
            </w:r>
            <w:r w:rsidR="00CF72D5" w:rsidRPr="002029AF">
              <w:instrText xml:space="preserve"> PAGEREF _Ref492895142 \h </w:instrText>
            </w:r>
            <w:r w:rsidR="00CF72D5" w:rsidRPr="002029AF">
              <w:fldChar w:fldCharType="separate"/>
            </w:r>
            <w:r w:rsidR="00F3275D">
              <w:rPr>
                <w:noProof/>
              </w:rPr>
              <w:t>167</w:t>
            </w:r>
            <w:r w:rsidR="00CF72D5" w:rsidRPr="002029AF">
              <w:fldChar w:fldCharType="end"/>
            </w:r>
            <w:r w:rsidR="00A82E7A" w:rsidRPr="002029AF">
              <w:t xml:space="preserve">, </w:t>
            </w:r>
            <w:r w:rsidR="0058436F" w:rsidRPr="002029AF">
              <w:fldChar w:fldCharType="begin"/>
            </w:r>
            <w:r w:rsidR="0058436F" w:rsidRPr="002029AF">
              <w:instrText xml:space="preserve"> PAGEREF _Ref52282040 \h </w:instrText>
            </w:r>
            <w:r w:rsidR="0058436F" w:rsidRPr="002029AF">
              <w:fldChar w:fldCharType="separate"/>
            </w:r>
            <w:r w:rsidR="00F3275D">
              <w:rPr>
                <w:noProof/>
              </w:rPr>
              <w:t>168</w:t>
            </w:r>
            <w:r w:rsidR="0058436F" w:rsidRPr="002029AF">
              <w:fldChar w:fldCharType="end"/>
            </w:r>
          </w:p>
        </w:tc>
      </w:tr>
      <w:tr w:rsidR="00CF72D5" w:rsidRPr="002029AF" w14:paraId="24F8A653" w14:textId="77777777" w:rsidTr="00FC2F9E">
        <w:trPr>
          <w:cantSplit/>
        </w:trPr>
        <w:tc>
          <w:tcPr>
            <w:tcW w:w="5949" w:type="dxa"/>
            <w:shd w:val="clear" w:color="auto" w:fill="auto"/>
          </w:tcPr>
          <w:p w14:paraId="020AB923" w14:textId="7C54D132" w:rsidR="00CF72D5" w:rsidRPr="002029AF" w:rsidRDefault="00CF72D5" w:rsidP="00897193">
            <w:pPr>
              <w:pStyle w:val="ARtabletext"/>
              <w:rPr>
                <w:i/>
              </w:rPr>
            </w:pPr>
            <w:r w:rsidRPr="002029AF">
              <w:rPr>
                <w:i/>
              </w:rPr>
              <w:t>Protected</w:t>
            </w:r>
            <w:r w:rsidR="000A5329" w:rsidRPr="002029AF">
              <w:rPr>
                <w:i/>
              </w:rPr>
              <w:t xml:space="preserve"> </w:t>
            </w:r>
            <w:r w:rsidRPr="002029AF">
              <w:rPr>
                <w:i/>
              </w:rPr>
              <w:t>Disclosure</w:t>
            </w:r>
            <w:r w:rsidR="000A5329" w:rsidRPr="002029AF">
              <w:rPr>
                <w:i/>
              </w:rPr>
              <w:t xml:space="preserve"> </w:t>
            </w:r>
            <w:r w:rsidRPr="002029AF">
              <w:rPr>
                <w:i/>
              </w:rPr>
              <w:t>Act</w:t>
            </w:r>
            <w:r w:rsidR="000A5329" w:rsidRPr="002029AF">
              <w:rPr>
                <w:i/>
              </w:rPr>
              <w:t xml:space="preserve"> </w:t>
            </w:r>
            <w:r w:rsidRPr="002029AF">
              <w:rPr>
                <w:i/>
              </w:rPr>
              <w:t>2012</w:t>
            </w:r>
          </w:p>
        </w:tc>
        <w:tc>
          <w:tcPr>
            <w:tcW w:w="3690" w:type="dxa"/>
            <w:gridSpan w:val="2"/>
            <w:shd w:val="clear" w:color="auto" w:fill="auto"/>
          </w:tcPr>
          <w:p w14:paraId="706D1CD9" w14:textId="07D81702" w:rsidR="00CF72D5" w:rsidRPr="002029AF" w:rsidRDefault="00CF72D5" w:rsidP="00897193">
            <w:pPr>
              <w:pStyle w:val="ARtabletextright"/>
            </w:pPr>
            <w:r w:rsidRPr="002029AF">
              <w:fldChar w:fldCharType="begin"/>
            </w:r>
            <w:r w:rsidRPr="002029AF">
              <w:instrText xml:space="preserve"> PAGEREF _Ref21956761 \h </w:instrText>
            </w:r>
            <w:r w:rsidRPr="002029AF">
              <w:fldChar w:fldCharType="separate"/>
            </w:r>
            <w:r w:rsidR="00F3275D">
              <w:rPr>
                <w:noProof/>
              </w:rPr>
              <w:t>152</w:t>
            </w:r>
            <w:r w:rsidRPr="002029AF">
              <w:fldChar w:fldCharType="end"/>
            </w:r>
          </w:p>
        </w:tc>
      </w:tr>
      <w:tr w:rsidR="00CF72D5" w:rsidRPr="002029AF" w14:paraId="04D95242" w14:textId="77777777" w:rsidTr="00FC2F9E">
        <w:trPr>
          <w:cantSplit/>
        </w:trPr>
        <w:tc>
          <w:tcPr>
            <w:tcW w:w="5949" w:type="dxa"/>
            <w:shd w:val="clear" w:color="auto" w:fill="auto"/>
          </w:tcPr>
          <w:p w14:paraId="72118183" w14:textId="37B17512" w:rsidR="00CF72D5" w:rsidRPr="002029AF" w:rsidRDefault="00CF72D5" w:rsidP="00897193">
            <w:pPr>
              <w:pStyle w:val="ARtabletext"/>
              <w:rPr>
                <w:i/>
              </w:rPr>
            </w:pPr>
            <w:r w:rsidRPr="002029AF">
              <w:rPr>
                <w:i/>
              </w:rPr>
              <w:t>Public</w:t>
            </w:r>
            <w:r w:rsidR="000A5329" w:rsidRPr="002029AF">
              <w:rPr>
                <w:i/>
              </w:rPr>
              <w:t xml:space="preserve"> </w:t>
            </w:r>
            <w:r w:rsidRPr="002029AF">
              <w:rPr>
                <w:i/>
              </w:rPr>
              <w:t>Administration</w:t>
            </w:r>
            <w:r w:rsidR="000A5329" w:rsidRPr="002029AF">
              <w:rPr>
                <w:i/>
              </w:rPr>
              <w:t xml:space="preserve"> </w:t>
            </w:r>
            <w:r w:rsidRPr="002029AF">
              <w:rPr>
                <w:i/>
              </w:rPr>
              <w:t>Act</w:t>
            </w:r>
            <w:r w:rsidR="000A5329" w:rsidRPr="002029AF">
              <w:rPr>
                <w:i/>
              </w:rPr>
              <w:t xml:space="preserve"> </w:t>
            </w:r>
            <w:r w:rsidRPr="002029AF">
              <w:rPr>
                <w:i/>
              </w:rPr>
              <w:t>2004</w:t>
            </w:r>
          </w:p>
        </w:tc>
        <w:tc>
          <w:tcPr>
            <w:tcW w:w="3690" w:type="dxa"/>
            <w:gridSpan w:val="2"/>
            <w:shd w:val="clear" w:color="auto" w:fill="auto"/>
          </w:tcPr>
          <w:p w14:paraId="24A263BF" w14:textId="166AAE87" w:rsidR="00CF72D5" w:rsidRPr="002029AF" w:rsidRDefault="00CF72D5" w:rsidP="00897193">
            <w:pPr>
              <w:pStyle w:val="ARtabletextright"/>
            </w:pPr>
            <w:r w:rsidRPr="002029AF">
              <w:fldChar w:fldCharType="begin"/>
            </w:r>
            <w:r w:rsidRPr="002029AF">
              <w:instrText xml:space="preserve"> PAGEREF _Ref21862448 \h </w:instrText>
            </w:r>
            <w:r w:rsidRPr="002029AF">
              <w:fldChar w:fldCharType="separate"/>
            </w:r>
            <w:r w:rsidR="00F3275D">
              <w:rPr>
                <w:noProof/>
              </w:rPr>
              <w:t>116</w:t>
            </w:r>
            <w:r w:rsidRPr="002029AF">
              <w:fldChar w:fldCharType="end"/>
            </w:r>
            <w:r w:rsidRPr="002029AF">
              <w:t>,</w:t>
            </w:r>
            <w:r w:rsidR="000A5329" w:rsidRPr="002029AF">
              <w:t xml:space="preserve"> </w:t>
            </w:r>
            <w:r w:rsidRPr="002029AF">
              <w:fldChar w:fldCharType="begin"/>
            </w:r>
            <w:r w:rsidRPr="002029AF">
              <w:instrText xml:space="preserve"> PAGEREF _Ref492905526 \h </w:instrText>
            </w:r>
            <w:r w:rsidRPr="002029AF">
              <w:fldChar w:fldCharType="separate"/>
            </w:r>
            <w:r w:rsidR="00F3275D">
              <w:rPr>
                <w:noProof/>
              </w:rPr>
              <w:t>122</w:t>
            </w:r>
            <w:r w:rsidRPr="002029AF">
              <w:fldChar w:fldCharType="end"/>
            </w:r>
            <w:r w:rsidRPr="002029AF">
              <w:t>,</w:t>
            </w:r>
            <w:r w:rsidR="000A5329" w:rsidRPr="002029AF">
              <w:t xml:space="preserve"> </w:t>
            </w:r>
            <w:r w:rsidRPr="002029AF">
              <w:fldChar w:fldCharType="begin"/>
            </w:r>
            <w:r w:rsidRPr="002029AF">
              <w:instrText xml:space="preserve"> PAGEREF _Ref21960664 \h </w:instrText>
            </w:r>
            <w:r w:rsidRPr="002029AF">
              <w:fldChar w:fldCharType="separate"/>
            </w:r>
            <w:r w:rsidR="00F3275D">
              <w:rPr>
                <w:noProof/>
              </w:rPr>
              <w:t>136</w:t>
            </w:r>
            <w:r w:rsidRPr="002029AF">
              <w:fldChar w:fldCharType="end"/>
            </w:r>
            <w:r w:rsidRPr="002029AF">
              <w:t>,</w:t>
            </w:r>
            <w:r w:rsidR="000A5329" w:rsidRPr="002029AF">
              <w:t xml:space="preserve"> </w:t>
            </w:r>
            <w:r w:rsidR="008E08E0" w:rsidRPr="002029AF">
              <w:fldChar w:fldCharType="begin"/>
            </w:r>
            <w:r w:rsidR="008E08E0" w:rsidRPr="002029AF">
              <w:instrText xml:space="preserve"> PAGEREF _Ref52273161 \h </w:instrText>
            </w:r>
            <w:r w:rsidR="008E08E0" w:rsidRPr="002029AF">
              <w:fldChar w:fldCharType="separate"/>
            </w:r>
            <w:r w:rsidR="00F3275D">
              <w:rPr>
                <w:noProof/>
              </w:rPr>
              <w:t>265</w:t>
            </w:r>
            <w:r w:rsidR="008E08E0" w:rsidRPr="002029AF">
              <w:fldChar w:fldCharType="end"/>
            </w:r>
          </w:p>
        </w:tc>
      </w:tr>
      <w:tr w:rsidR="00CF72D5" w:rsidRPr="002029AF" w14:paraId="5EAA6BA0" w14:textId="77777777" w:rsidTr="00FC2F9E">
        <w:trPr>
          <w:cantSplit/>
        </w:trPr>
        <w:tc>
          <w:tcPr>
            <w:tcW w:w="5949" w:type="dxa"/>
            <w:shd w:val="clear" w:color="auto" w:fill="auto"/>
          </w:tcPr>
          <w:p w14:paraId="2035667A" w14:textId="1F5F5D6A" w:rsidR="00CF72D5" w:rsidRPr="002029AF" w:rsidRDefault="00CF72D5" w:rsidP="00897193">
            <w:pPr>
              <w:pStyle w:val="ARtabletext"/>
              <w:rPr>
                <w:i/>
              </w:rPr>
            </w:pPr>
            <w:r w:rsidRPr="002029AF">
              <w:rPr>
                <w:i/>
              </w:rPr>
              <w:t>Public</w:t>
            </w:r>
            <w:r w:rsidR="000A5329" w:rsidRPr="002029AF">
              <w:rPr>
                <w:i/>
              </w:rPr>
              <w:t xml:space="preserve"> </w:t>
            </w:r>
            <w:r w:rsidRPr="002029AF">
              <w:rPr>
                <w:i/>
              </w:rPr>
              <w:t>Interest</w:t>
            </w:r>
            <w:r w:rsidR="000A5329" w:rsidRPr="002029AF">
              <w:rPr>
                <w:i/>
              </w:rPr>
              <w:t xml:space="preserve"> </w:t>
            </w:r>
            <w:r w:rsidRPr="002029AF">
              <w:rPr>
                <w:i/>
              </w:rPr>
              <w:t>Disclosure</w:t>
            </w:r>
            <w:r w:rsidR="000A5329" w:rsidRPr="002029AF">
              <w:rPr>
                <w:i/>
              </w:rPr>
              <w:t xml:space="preserve"> </w:t>
            </w:r>
            <w:r w:rsidRPr="002029AF">
              <w:rPr>
                <w:i/>
              </w:rPr>
              <w:t>Act</w:t>
            </w:r>
            <w:r w:rsidR="000A5329" w:rsidRPr="002029AF">
              <w:rPr>
                <w:i/>
              </w:rPr>
              <w:t xml:space="preserve"> </w:t>
            </w:r>
            <w:r w:rsidRPr="002029AF">
              <w:rPr>
                <w:i/>
              </w:rPr>
              <w:t>2012</w:t>
            </w:r>
          </w:p>
        </w:tc>
        <w:tc>
          <w:tcPr>
            <w:tcW w:w="3690" w:type="dxa"/>
            <w:gridSpan w:val="2"/>
            <w:shd w:val="clear" w:color="auto" w:fill="auto"/>
          </w:tcPr>
          <w:p w14:paraId="3BA90826" w14:textId="093C01A1" w:rsidR="00CF72D5" w:rsidRPr="002029AF" w:rsidRDefault="002C3073" w:rsidP="00897193">
            <w:pPr>
              <w:pStyle w:val="ARtabletextright"/>
            </w:pPr>
            <w:r w:rsidRPr="002029AF">
              <w:fldChar w:fldCharType="begin"/>
            </w:r>
            <w:r w:rsidRPr="002029AF">
              <w:instrText xml:space="preserve"> PAGEREF _Ref21956761 \h </w:instrText>
            </w:r>
            <w:r w:rsidRPr="002029AF">
              <w:fldChar w:fldCharType="separate"/>
            </w:r>
            <w:r w:rsidR="00F3275D">
              <w:rPr>
                <w:noProof/>
              </w:rPr>
              <w:t>152</w:t>
            </w:r>
            <w:r w:rsidRPr="002029AF">
              <w:fldChar w:fldCharType="end"/>
            </w:r>
          </w:p>
        </w:tc>
      </w:tr>
      <w:tr w:rsidR="00CF72D5" w:rsidRPr="002029AF" w14:paraId="05F3E021" w14:textId="77777777" w:rsidTr="00FC2F9E">
        <w:trPr>
          <w:cantSplit/>
        </w:trPr>
        <w:tc>
          <w:tcPr>
            <w:tcW w:w="5949" w:type="dxa"/>
            <w:shd w:val="clear" w:color="auto" w:fill="auto"/>
          </w:tcPr>
          <w:p w14:paraId="4AEFC073" w14:textId="03D285DF" w:rsidR="00CF72D5" w:rsidRPr="002029AF" w:rsidRDefault="00CF72D5" w:rsidP="00897193">
            <w:pPr>
              <w:pStyle w:val="ARtabletext"/>
              <w:rPr>
                <w:i/>
              </w:rPr>
            </w:pPr>
            <w:r w:rsidRPr="002029AF">
              <w:rPr>
                <w:i/>
              </w:rPr>
              <w:t>Public</w:t>
            </w:r>
            <w:r w:rsidR="000A5329" w:rsidRPr="002029AF">
              <w:rPr>
                <w:i/>
              </w:rPr>
              <w:t xml:space="preserve"> </w:t>
            </w:r>
            <w:r w:rsidRPr="002029AF">
              <w:rPr>
                <w:i/>
              </w:rPr>
              <w:t>Health</w:t>
            </w:r>
            <w:r w:rsidR="000A5329" w:rsidRPr="002029AF">
              <w:rPr>
                <w:i/>
              </w:rPr>
              <w:t xml:space="preserve"> </w:t>
            </w:r>
            <w:r w:rsidRPr="002029AF">
              <w:rPr>
                <w:i/>
              </w:rPr>
              <w:t>and</w:t>
            </w:r>
            <w:r w:rsidR="000A5329" w:rsidRPr="002029AF">
              <w:rPr>
                <w:i/>
              </w:rPr>
              <w:t xml:space="preserve"> </w:t>
            </w:r>
            <w:r w:rsidRPr="002029AF">
              <w:rPr>
                <w:i/>
              </w:rPr>
              <w:t>Wellbeing</w:t>
            </w:r>
            <w:r w:rsidR="000A5329" w:rsidRPr="002029AF">
              <w:rPr>
                <w:i/>
              </w:rPr>
              <w:t xml:space="preserve"> </w:t>
            </w:r>
            <w:r w:rsidRPr="002029AF">
              <w:rPr>
                <w:i/>
              </w:rPr>
              <w:t>Act</w:t>
            </w:r>
            <w:r w:rsidR="000A5329" w:rsidRPr="002029AF">
              <w:rPr>
                <w:i/>
              </w:rPr>
              <w:t xml:space="preserve"> </w:t>
            </w:r>
            <w:r w:rsidRPr="002029AF">
              <w:rPr>
                <w:i/>
              </w:rPr>
              <w:t>2008</w:t>
            </w:r>
          </w:p>
        </w:tc>
        <w:tc>
          <w:tcPr>
            <w:tcW w:w="3690" w:type="dxa"/>
            <w:gridSpan w:val="2"/>
            <w:shd w:val="clear" w:color="auto" w:fill="auto"/>
          </w:tcPr>
          <w:p w14:paraId="6AB6E81F" w14:textId="79EC8CD8" w:rsidR="00CF72D5" w:rsidRPr="002029AF" w:rsidRDefault="00CF72D5" w:rsidP="00897193">
            <w:pPr>
              <w:pStyle w:val="ARtabletextright"/>
            </w:pPr>
            <w:r w:rsidRPr="002029AF">
              <w:fldChar w:fldCharType="begin"/>
            </w:r>
            <w:r w:rsidRPr="002029AF">
              <w:instrText xml:space="preserve"> PAGEREF Public_health_and_wellbeing_act \h </w:instrText>
            </w:r>
            <w:r w:rsidRPr="002029AF">
              <w:fldChar w:fldCharType="separate"/>
            </w:r>
            <w:r w:rsidR="00F3275D">
              <w:rPr>
                <w:noProof/>
              </w:rPr>
              <w:t>152</w:t>
            </w:r>
            <w:r w:rsidRPr="002029AF">
              <w:fldChar w:fldCharType="end"/>
            </w:r>
            <w:r w:rsidRPr="002029AF">
              <w:t>,</w:t>
            </w:r>
            <w:r w:rsidR="000A5329" w:rsidRPr="002029AF">
              <w:t xml:space="preserve"> </w:t>
            </w:r>
            <w:r w:rsidRPr="002029AF">
              <w:fldChar w:fldCharType="begin"/>
            </w:r>
            <w:r w:rsidRPr="002029AF">
              <w:instrText xml:space="preserve"> PAGEREF _Ref21960989 \h </w:instrText>
            </w:r>
            <w:r w:rsidRPr="002029AF">
              <w:fldChar w:fldCharType="separate"/>
            </w:r>
            <w:r w:rsidR="00F3275D">
              <w:rPr>
                <w:noProof/>
              </w:rPr>
              <w:t>169</w:t>
            </w:r>
            <w:r w:rsidRPr="002029AF">
              <w:fldChar w:fldCharType="end"/>
            </w:r>
          </w:p>
        </w:tc>
      </w:tr>
      <w:tr w:rsidR="00CF72D5" w:rsidRPr="002029AF" w14:paraId="077B12E9" w14:textId="77777777" w:rsidTr="00FC2F9E">
        <w:trPr>
          <w:cantSplit/>
        </w:trPr>
        <w:tc>
          <w:tcPr>
            <w:tcW w:w="5949" w:type="dxa"/>
            <w:shd w:val="clear" w:color="auto" w:fill="auto"/>
          </w:tcPr>
          <w:p w14:paraId="77EA16EB" w14:textId="0ED6AC18" w:rsidR="00CF72D5" w:rsidRPr="002029AF" w:rsidRDefault="00CF72D5" w:rsidP="00897193">
            <w:pPr>
              <w:pStyle w:val="ARtabletext"/>
              <w:rPr>
                <w:i/>
              </w:rPr>
            </w:pPr>
            <w:r w:rsidRPr="002029AF">
              <w:rPr>
                <w:i/>
              </w:rPr>
              <w:t>Public</w:t>
            </w:r>
            <w:r w:rsidR="000A5329" w:rsidRPr="002029AF">
              <w:rPr>
                <w:i/>
              </w:rPr>
              <w:t xml:space="preserve"> </w:t>
            </w:r>
            <w:r w:rsidRPr="002029AF">
              <w:rPr>
                <w:i/>
              </w:rPr>
              <w:t>Health</w:t>
            </w:r>
            <w:r w:rsidR="000A5329" w:rsidRPr="002029AF">
              <w:rPr>
                <w:i/>
              </w:rPr>
              <w:t xml:space="preserve"> </w:t>
            </w:r>
            <w:r w:rsidRPr="002029AF">
              <w:rPr>
                <w:i/>
              </w:rPr>
              <w:t>and</w:t>
            </w:r>
            <w:r w:rsidR="000A5329" w:rsidRPr="002029AF">
              <w:rPr>
                <w:i/>
              </w:rPr>
              <w:t xml:space="preserve"> </w:t>
            </w:r>
            <w:r w:rsidRPr="002029AF">
              <w:rPr>
                <w:i/>
              </w:rPr>
              <w:t>Wellbeing</w:t>
            </w:r>
            <w:r w:rsidR="000A5329" w:rsidRPr="002029AF">
              <w:rPr>
                <w:i/>
              </w:rPr>
              <w:t xml:space="preserve"> </w:t>
            </w:r>
            <w:r w:rsidRPr="002029AF">
              <w:rPr>
                <w:i/>
              </w:rPr>
              <w:t>Regulations</w:t>
            </w:r>
            <w:r w:rsidR="000A5329" w:rsidRPr="002029AF">
              <w:rPr>
                <w:i/>
              </w:rPr>
              <w:t xml:space="preserve"> </w:t>
            </w:r>
            <w:r w:rsidRPr="002029AF">
              <w:rPr>
                <w:i/>
              </w:rPr>
              <w:t>2009</w:t>
            </w:r>
          </w:p>
        </w:tc>
        <w:tc>
          <w:tcPr>
            <w:tcW w:w="3690" w:type="dxa"/>
            <w:gridSpan w:val="2"/>
            <w:shd w:val="clear" w:color="auto" w:fill="auto"/>
          </w:tcPr>
          <w:p w14:paraId="6A7E39C4" w14:textId="0958227A" w:rsidR="00CF72D5" w:rsidRPr="002029AF" w:rsidRDefault="00CF72D5" w:rsidP="00897193">
            <w:pPr>
              <w:pStyle w:val="ARtabletextright"/>
            </w:pPr>
            <w:r w:rsidRPr="002029AF">
              <w:fldChar w:fldCharType="begin"/>
            </w:r>
            <w:r w:rsidRPr="002029AF">
              <w:instrText xml:space="preserve"> PAGEREF _Ref21960989 \h </w:instrText>
            </w:r>
            <w:r w:rsidRPr="002029AF">
              <w:fldChar w:fldCharType="separate"/>
            </w:r>
            <w:r w:rsidR="00F3275D">
              <w:rPr>
                <w:noProof/>
              </w:rPr>
              <w:t>169</w:t>
            </w:r>
            <w:r w:rsidRPr="002029AF">
              <w:fldChar w:fldCharType="end"/>
            </w:r>
          </w:p>
        </w:tc>
      </w:tr>
      <w:tr w:rsidR="00CF72D5" w:rsidRPr="002029AF" w14:paraId="13479D94" w14:textId="77777777" w:rsidTr="00FC2F9E">
        <w:trPr>
          <w:cantSplit/>
        </w:trPr>
        <w:tc>
          <w:tcPr>
            <w:tcW w:w="5949" w:type="dxa"/>
            <w:shd w:val="clear" w:color="auto" w:fill="auto"/>
          </w:tcPr>
          <w:p w14:paraId="17912E0B" w14:textId="44B73030" w:rsidR="00CF72D5" w:rsidRPr="002029AF" w:rsidRDefault="00CF72D5" w:rsidP="00897193">
            <w:pPr>
              <w:pStyle w:val="ARtabletext"/>
              <w:rPr>
                <w:i/>
              </w:rPr>
            </w:pPr>
            <w:r w:rsidRPr="002029AF">
              <w:rPr>
                <w:i/>
              </w:rPr>
              <w:t>Victorian</w:t>
            </w:r>
            <w:r w:rsidR="000A5329" w:rsidRPr="002029AF">
              <w:rPr>
                <w:i/>
              </w:rPr>
              <w:t xml:space="preserve"> </w:t>
            </w:r>
            <w:r w:rsidRPr="002029AF">
              <w:rPr>
                <w:i/>
              </w:rPr>
              <w:t>Industry</w:t>
            </w:r>
            <w:r w:rsidR="000A5329" w:rsidRPr="002029AF">
              <w:rPr>
                <w:i/>
              </w:rPr>
              <w:t xml:space="preserve"> </w:t>
            </w:r>
            <w:r w:rsidRPr="002029AF">
              <w:rPr>
                <w:i/>
              </w:rPr>
              <w:t>Participation</w:t>
            </w:r>
            <w:r w:rsidR="000A5329" w:rsidRPr="002029AF">
              <w:rPr>
                <w:i/>
              </w:rPr>
              <w:t xml:space="preserve"> </w:t>
            </w:r>
            <w:r w:rsidRPr="002029AF">
              <w:rPr>
                <w:i/>
              </w:rPr>
              <w:t>Policy</w:t>
            </w:r>
            <w:r w:rsidR="000A5329" w:rsidRPr="002029AF">
              <w:rPr>
                <w:i/>
              </w:rPr>
              <w:t xml:space="preserve"> </w:t>
            </w:r>
            <w:r w:rsidRPr="002029AF">
              <w:rPr>
                <w:i/>
              </w:rPr>
              <w:t>Act</w:t>
            </w:r>
            <w:r w:rsidR="000A5329" w:rsidRPr="002029AF">
              <w:rPr>
                <w:i/>
              </w:rPr>
              <w:t xml:space="preserve"> </w:t>
            </w:r>
            <w:r w:rsidRPr="002029AF">
              <w:rPr>
                <w:i/>
              </w:rPr>
              <w:t>2003</w:t>
            </w:r>
          </w:p>
        </w:tc>
        <w:tc>
          <w:tcPr>
            <w:tcW w:w="3690" w:type="dxa"/>
            <w:gridSpan w:val="2"/>
            <w:shd w:val="clear" w:color="auto" w:fill="auto"/>
          </w:tcPr>
          <w:p w14:paraId="37A014B8" w14:textId="52660E02" w:rsidR="00CF72D5" w:rsidRPr="002029AF" w:rsidRDefault="003C64EE" w:rsidP="00897193">
            <w:pPr>
              <w:pStyle w:val="ARtabletextright"/>
            </w:pPr>
            <w:r w:rsidRPr="002029AF">
              <w:fldChar w:fldCharType="begin"/>
            </w:r>
            <w:r w:rsidRPr="002029AF">
              <w:instrText xml:space="preserve"> PAGEREF _Ref52266120 \h </w:instrText>
            </w:r>
            <w:r w:rsidRPr="002029AF">
              <w:fldChar w:fldCharType="separate"/>
            </w:r>
            <w:r w:rsidR="00F3275D">
              <w:rPr>
                <w:noProof/>
              </w:rPr>
              <w:t>150</w:t>
            </w:r>
            <w:r w:rsidRPr="002029AF">
              <w:fldChar w:fldCharType="end"/>
            </w:r>
          </w:p>
        </w:tc>
      </w:tr>
    </w:tbl>
    <w:p w14:paraId="6F1CB164" w14:textId="77777777" w:rsidR="00A4459B" w:rsidRPr="002029AF" w:rsidRDefault="00A4459B" w:rsidP="00A4459B">
      <w:pPr>
        <w:pStyle w:val="ARbody"/>
      </w:pPr>
      <w:bookmarkStart w:id="460" w:name="_Toc50996882"/>
      <w:bookmarkStart w:id="461" w:name="_Toc50998475"/>
      <w:bookmarkEnd w:id="442"/>
      <w:bookmarkEnd w:id="443"/>
      <w:bookmarkEnd w:id="444"/>
      <w:bookmarkEnd w:id="445"/>
      <w:bookmarkEnd w:id="446"/>
      <w:r w:rsidRPr="002029AF">
        <w:br w:type="page"/>
      </w:r>
    </w:p>
    <w:p w14:paraId="23D9F8AB" w14:textId="69B6478C" w:rsidR="00CF72D5" w:rsidRPr="002029AF" w:rsidRDefault="00CF72D5" w:rsidP="00A4459B">
      <w:pPr>
        <w:pStyle w:val="Heading2"/>
      </w:pPr>
      <w:bookmarkStart w:id="462" w:name="_Ref52455467"/>
      <w:bookmarkStart w:id="463" w:name="_Toc54690826"/>
      <w:r w:rsidRPr="002029AF">
        <w:lastRenderedPageBreak/>
        <w:t>Additional</w:t>
      </w:r>
      <w:r w:rsidR="000A5329" w:rsidRPr="002029AF">
        <w:t xml:space="preserve"> </w:t>
      </w:r>
      <w:r w:rsidRPr="002029AF">
        <w:t>departmental</w:t>
      </w:r>
      <w:r w:rsidR="000A5329" w:rsidRPr="002029AF">
        <w:t xml:space="preserve"> </w:t>
      </w:r>
      <w:r w:rsidRPr="002029AF">
        <w:t>information</w:t>
      </w:r>
      <w:r w:rsidR="000A5329" w:rsidRPr="002029AF">
        <w:t xml:space="preserve"> </w:t>
      </w:r>
      <w:r w:rsidRPr="002029AF">
        <w:t>available</w:t>
      </w:r>
      <w:r w:rsidR="000A5329" w:rsidRPr="002029AF">
        <w:t xml:space="preserve"> </w:t>
      </w:r>
      <w:r w:rsidRPr="002029AF">
        <w:t>on</w:t>
      </w:r>
      <w:r w:rsidR="000A5329" w:rsidRPr="002029AF">
        <w:t xml:space="preserve"> </w:t>
      </w:r>
      <w:r w:rsidRPr="002029AF">
        <w:t>request</w:t>
      </w:r>
      <w:bookmarkEnd w:id="460"/>
      <w:bookmarkEnd w:id="461"/>
      <w:bookmarkEnd w:id="462"/>
      <w:bookmarkEnd w:id="463"/>
    </w:p>
    <w:p w14:paraId="7C25861E" w14:textId="0684207C" w:rsidR="00CF72D5" w:rsidRPr="002029AF" w:rsidRDefault="00CF72D5" w:rsidP="00897193">
      <w:pPr>
        <w:pStyle w:val="ARbody"/>
      </w:pPr>
      <w:r w:rsidRPr="002029AF">
        <w:t>Subject</w:t>
      </w:r>
      <w:r w:rsidR="000A5329" w:rsidRPr="002029AF">
        <w:t xml:space="preserve"> </w:t>
      </w:r>
      <w:r w:rsidRPr="002029AF">
        <w:t>to</w:t>
      </w:r>
      <w:r w:rsidR="000A5329" w:rsidRPr="002029AF">
        <w:t xml:space="preserve"> </w:t>
      </w:r>
      <w:r w:rsidRPr="002029AF">
        <w:t>the</w:t>
      </w:r>
      <w:r w:rsidR="000A5329" w:rsidRPr="002029AF">
        <w:t xml:space="preserve"> </w:t>
      </w:r>
      <w:r w:rsidRPr="002029AF">
        <w:t>provisions</w:t>
      </w:r>
      <w:r w:rsidR="000A5329" w:rsidRPr="002029AF">
        <w:t xml:space="preserve"> </w:t>
      </w:r>
      <w:r w:rsidRPr="002029AF">
        <w:t>of</w:t>
      </w:r>
      <w:r w:rsidR="000A5329" w:rsidRPr="002029AF">
        <w:t xml:space="preserve"> </w:t>
      </w:r>
      <w:r w:rsidRPr="002029AF">
        <w:t>the</w:t>
      </w:r>
      <w:r w:rsidR="000A5329" w:rsidRPr="002029AF">
        <w:t xml:space="preserve"> </w:t>
      </w:r>
      <w:r w:rsidRPr="002029AF">
        <w:t>FOI</w:t>
      </w:r>
      <w:r w:rsidR="000A5329" w:rsidRPr="002029AF">
        <w:t xml:space="preserve"> </w:t>
      </w:r>
      <w:r w:rsidRPr="002029AF">
        <w:t>Act,</w:t>
      </w:r>
      <w:r w:rsidR="000A5329" w:rsidRPr="002029AF">
        <w:t xml:space="preserve"> </w:t>
      </w:r>
      <w:r w:rsidRPr="002029AF">
        <w:t>information</w:t>
      </w:r>
      <w:r w:rsidR="000A5329" w:rsidRPr="002029AF">
        <w:t xml:space="preserve"> </w:t>
      </w:r>
      <w:r w:rsidRPr="002029AF">
        <w:t>that</w:t>
      </w:r>
      <w:r w:rsidR="000A5329" w:rsidRPr="002029AF">
        <w:t xml:space="preserve"> </w:t>
      </w:r>
      <w:r w:rsidRPr="002029AF">
        <w:t>shall</w:t>
      </w:r>
      <w:r w:rsidR="000A5329" w:rsidRPr="002029AF">
        <w:t xml:space="preserve"> </w:t>
      </w:r>
      <w:r w:rsidRPr="002029AF">
        <w:t>be</w:t>
      </w:r>
      <w:r w:rsidR="000A5329" w:rsidRPr="002029AF">
        <w:t xml:space="preserve"> </w:t>
      </w:r>
      <w:r w:rsidRPr="002029AF">
        <w:t>retained</w:t>
      </w:r>
      <w:r w:rsidR="000A5329" w:rsidRPr="002029AF">
        <w:t xml:space="preserve"> </w:t>
      </w:r>
      <w:r w:rsidRPr="002029AF">
        <w:t>by</w:t>
      </w:r>
      <w:r w:rsidR="000A5329" w:rsidRPr="002029AF">
        <w:t xml:space="preserve"> </w:t>
      </w:r>
      <w:r w:rsidRPr="002029AF">
        <w:t>the</w:t>
      </w:r>
      <w:r w:rsidR="000A5329" w:rsidRPr="002029AF">
        <w:t xml:space="preserve"> </w:t>
      </w:r>
      <w:r w:rsidRPr="002029AF">
        <w:t>Accountable</w:t>
      </w:r>
      <w:r w:rsidR="000A5329" w:rsidRPr="002029AF">
        <w:t xml:space="preserve"> </w:t>
      </w:r>
      <w:r w:rsidRPr="002029AF">
        <w:t>Officer</w:t>
      </w:r>
      <w:r w:rsidR="000A5329" w:rsidRPr="002029AF">
        <w:t xml:space="preserve"> </w:t>
      </w:r>
      <w:r w:rsidRPr="002029AF">
        <w:t>shall</w:t>
      </w:r>
      <w:r w:rsidR="005E1789">
        <w:t> </w:t>
      </w:r>
      <w:r w:rsidRPr="002029AF">
        <w:t>include:</w:t>
      </w:r>
    </w:p>
    <w:p w14:paraId="46973079" w14:textId="38B4D181" w:rsidR="00CF72D5" w:rsidRPr="002029AF" w:rsidRDefault="00CF72D5" w:rsidP="00897193">
      <w:pPr>
        <w:pStyle w:val="ARbullet1"/>
      </w:pPr>
      <w:r w:rsidRPr="002029AF">
        <w:t>a</w:t>
      </w:r>
      <w:r w:rsidR="000A5329" w:rsidRPr="002029AF">
        <w:t xml:space="preserve"> </w:t>
      </w:r>
      <w:r w:rsidRPr="002029AF">
        <w:t>statement</w:t>
      </w:r>
      <w:r w:rsidR="000A5329" w:rsidRPr="002029AF">
        <w:t xml:space="preserve"> </w:t>
      </w:r>
      <w:r w:rsidRPr="002029AF">
        <w:t>that</w:t>
      </w:r>
      <w:r w:rsidR="000A5329" w:rsidRPr="002029AF">
        <w:t xml:space="preserve"> </w:t>
      </w:r>
      <w:r w:rsidRPr="002029AF">
        <w:t>declarations</w:t>
      </w:r>
      <w:r w:rsidR="000A5329" w:rsidRPr="002029AF">
        <w:t xml:space="preserve"> </w:t>
      </w:r>
      <w:r w:rsidRPr="002029AF">
        <w:t>of</w:t>
      </w:r>
      <w:r w:rsidR="000A5329" w:rsidRPr="002029AF">
        <w:t xml:space="preserve"> </w:t>
      </w:r>
      <w:r w:rsidRPr="002029AF">
        <w:t>pecuniary</w:t>
      </w:r>
      <w:r w:rsidR="000A5329" w:rsidRPr="002029AF">
        <w:t xml:space="preserve"> </w:t>
      </w:r>
      <w:r w:rsidRPr="002029AF">
        <w:t>interests</w:t>
      </w:r>
      <w:r w:rsidR="000A5329" w:rsidRPr="002029AF">
        <w:t xml:space="preserve"> </w:t>
      </w:r>
      <w:r w:rsidRPr="002029AF">
        <w:t>have</w:t>
      </w:r>
      <w:r w:rsidR="000A5329" w:rsidRPr="002029AF">
        <w:t xml:space="preserve"> </w:t>
      </w:r>
      <w:r w:rsidRPr="002029AF">
        <w:t>been</w:t>
      </w:r>
      <w:r w:rsidR="000A5329" w:rsidRPr="002029AF">
        <w:t xml:space="preserve"> </w:t>
      </w:r>
      <w:r w:rsidRPr="002029AF">
        <w:t>duly</w:t>
      </w:r>
      <w:r w:rsidR="000A5329" w:rsidRPr="002029AF">
        <w:t xml:space="preserve"> </w:t>
      </w:r>
      <w:r w:rsidRPr="002029AF">
        <w:t>completed</w:t>
      </w:r>
      <w:r w:rsidR="000A5329" w:rsidRPr="002029AF">
        <w:t xml:space="preserve"> </w:t>
      </w:r>
      <w:r w:rsidRPr="002029AF">
        <w:t>by</w:t>
      </w:r>
      <w:r w:rsidR="000A5329" w:rsidRPr="002029AF">
        <w:t xml:space="preserve"> </w:t>
      </w:r>
      <w:r w:rsidRPr="002029AF">
        <w:t>all</w:t>
      </w:r>
      <w:r w:rsidR="000A5329" w:rsidRPr="002029AF">
        <w:t xml:space="preserve"> </w:t>
      </w:r>
      <w:r w:rsidRPr="002029AF">
        <w:t>relevant</w:t>
      </w:r>
      <w:r w:rsidR="000A5329" w:rsidRPr="002029AF">
        <w:t xml:space="preserve"> </w:t>
      </w:r>
      <w:r w:rsidRPr="002029AF">
        <w:t>officers</w:t>
      </w:r>
    </w:p>
    <w:p w14:paraId="312B6A4C" w14:textId="1B2665C1" w:rsidR="00CF72D5" w:rsidRPr="002029AF" w:rsidRDefault="00CF72D5" w:rsidP="00897193">
      <w:pPr>
        <w:pStyle w:val="ARbullet1"/>
      </w:pPr>
      <w:r w:rsidRPr="002029AF">
        <w:t>details</w:t>
      </w:r>
      <w:r w:rsidR="000A5329" w:rsidRPr="002029AF">
        <w:t xml:space="preserve"> </w:t>
      </w:r>
      <w:r w:rsidRPr="002029AF">
        <w:t>of</w:t>
      </w:r>
      <w:r w:rsidR="000A5329" w:rsidRPr="002029AF">
        <w:t xml:space="preserve"> </w:t>
      </w:r>
      <w:r w:rsidRPr="002029AF">
        <w:t>shares</w:t>
      </w:r>
      <w:r w:rsidR="000A5329" w:rsidRPr="002029AF">
        <w:t xml:space="preserve"> </w:t>
      </w:r>
      <w:r w:rsidRPr="002029AF">
        <w:t>held</w:t>
      </w:r>
      <w:r w:rsidR="000A5329" w:rsidRPr="002029AF">
        <w:t xml:space="preserve"> </w:t>
      </w:r>
      <w:r w:rsidRPr="002029AF">
        <w:t>by</w:t>
      </w:r>
      <w:r w:rsidR="000A5329" w:rsidRPr="002029AF">
        <w:t xml:space="preserve"> </w:t>
      </w:r>
      <w:r w:rsidRPr="002029AF">
        <w:t>a</w:t>
      </w:r>
      <w:r w:rsidR="000A5329" w:rsidRPr="002029AF">
        <w:t xml:space="preserve"> </w:t>
      </w:r>
      <w:r w:rsidRPr="002029AF">
        <w:t>senior</w:t>
      </w:r>
      <w:r w:rsidR="000A5329" w:rsidRPr="002029AF">
        <w:t xml:space="preserve"> </w:t>
      </w:r>
      <w:r w:rsidRPr="002029AF">
        <w:t>officer</w:t>
      </w:r>
      <w:r w:rsidR="000A5329" w:rsidRPr="002029AF">
        <w:t xml:space="preserve"> </w:t>
      </w:r>
      <w:r w:rsidRPr="002029AF">
        <w:t>as</w:t>
      </w:r>
      <w:r w:rsidR="000A5329" w:rsidRPr="002029AF">
        <w:t xml:space="preserve"> </w:t>
      </w:r>
      <w:r w:rsidRPr="002029AF">
        <w:t>nominee</w:t>
      </w:r>
      <w:r w:rsidR="000A5329" w:rsidRPr="002029AF">
        <w:t xml:space="preserve"> </w:t>
      </w:r>
      <w:r w:rsidRPr="002029AF">
        <w:t>or</w:t>
      </w:r>
      <w:r w:rsidR="000A5329" w:rsidRPr="002029AF">
        <w:t xml:space="preserve"> </w:t>
      </w:r>
      <w:r w:rsidRPr="002029AF">
        <w:t>held</w:t>
      </w:r>
      <w:r w:rsidR="000A5329" w:rsidRPr="002029AF">
        <w:t xml:space="preserve"> </w:t>
      </w:r>
      <w:r w:rsidRPr="002029AF">
        <w:t>beneficially</w:t>
      </w:r>
      <w:r w:rsidR="000A5329" w:rsidRPr="002029AF">
        <w:t xml:space="preserve"> </w:t>
      </w:r>
      <w:r w:rsidRPr="002029AF">
        <w:t>in</w:t>
      </w:r>
      <w:r w:rsidR="000A5329" w:rsidRPr="002029AF">
        <w:t xml:space="preserve"> </w:t>
      </w:r>
      <w:r w:rsidRPr="002029AF">
        <w:t>a</w:t>
      </w:r>
      <w:r w:rsidR="000A5329" w:rsidRPr="002029AF">
        <w:t xml:space="preserve"> </w:t>
      </w:r>
      <w:r w:rsidRPr="002029AF">
        <w:t>statutory</w:t>
      </w:r>
      <w:r w:rsidR="000A5329" w:rsidRPr="002029AF">
        <w:t xml:space="preserve"> </w:t>
      </w:r>
      <w:r w:rsidRPr="002029AF">
        <w:t>authority</w:t>
      </w:r>
      <w:r w:rsidR="000A5329" w:rsidRPr="002029AF">
        <w:t xml:space="preserve"> </w:t>
      </w:r>
      <w:r w:rsidRPr="002029AF">
        <w:t>or</w:t>
      </w:r>
      <w:r w:rsidR="000A5329" w:rsidRPr="002029AF">
        <w:t xml:space="preserve"> </w:t>
      </w:r>
      <w:r w:rsidRPr="002029AF">
        <w:t>subsidiary</w:t>
      </w:r>
    </w:p>
    <w:p w14:paraId="6999C55E" w14:textId="35D212AB" w:rsidR="00CF72D5" w:rsidRPr="002029AF" w:rsidRDefault="00CF72D5" w:rsidP="00897193">
      <w:pPr>
        <w:pStyle w:val="ARbullet1"/>
      </w:pPr>
      <w:r w:rsidRPr="002029AF">
        <w:t>details</w:t>
      </w:r>
      <w:r w:rsidR="000A5329" w:rsidRPr="002029AF">
        <w:t xml:space="preserve"> </w:t>
      </w:r>
      <w:r w:rsidRPr="002029AF">
        <w:t>of</w:t>
      </w:r>
      <w:r w:rsidR="000A5329" w:rsidRPr="002029AF">
        <w:t xml:space="preserve"> </w:t>
      </w:r>
      <w:r w:rsidRPr="002029AF">
        <w:t>publications</w:t>
      </w:r>
      <w:r w:rsidR="000A5329" w:rsidRPr="002029AF">
        <w:t xml:space="preserve"> </w:t>
      </w:r>
      <w:r w:rsidRPr="002029AF">
        <w:t>produced</w:t>
      </w:r>
      <w:r w:rsidR="000A5329" w:rsidRPr="002029AF">
        <w:t xml:space="preserve"> </w:t>
      </w:r>
      <w:r w:rsidRPr="002029AF">
        <w:t>by</w:t>
      </w:r>
      <w:r w:rsidR="000A5329" w:rsidRPr="002029AF">
        <w:t xml:space="preserve"> </w:t>
      </w:r>
      <w:r w:rsidRPr="002029AF">
        <w:t>the</w:t>
      </w:r>
      <w:r w:rsidR="000A5329" w:rsidRPr="002029AF">
        <w:t xml:space="preserve"> </w:t>
      </w:r>
      <w:r w:rsidRPr="002029AF">
        <w:t>entity</w:t>
      </w:r>
      <w:r w:rsidR="000A5329" w:rsidRPr="002029AF">
        <w:t xml:space="preserve"> </w:t>
      </w:r>
      <w:r w:rsidRPr="002029AF">
        <w:t>about</w:t>
      </w:r>
      <w:r w:rsidR="000A5329" w:rsidRPr="002029AF">
        <w:t xml:space="preserve"> </w:t>
      </w:r>
      <w:r w:rsidRPr="002029AF">
        <w:t>itself,</w:t>
      </w:r>
      <w:r w:rsidR="000A5329" w:rsidRPr="002029AF">
        <w:t xml:space="preserve"> </w:t>
      </w:r>
      <w:r w:rsidRPr="002029AF">
        <w:t>and</w:t>
      </w:r>
      <w:r w:rsidR="000A5329" w:rsidRPr="002029AF">
        <w:t xml:space="preserve"> </w:t>
      </w:r>
      <w:r w:rsidRPr="002029AF">
        <w:t>how</w:t>
      </w:r>
      <w:r w:rsidR="000A5329" w:rsidRPr="002029AF">
        <w:t xml:space="preserve"> </w:t>
      </w:r>
      <w:r w:rsidRPr="002029AF">
        <w:t>these</w:t>
      </w:r>
      <w:r w:rsidR="000A5329" w:rsidRPr="002029AF">
        <w:t xml:space="preserve"> </w:t>
      </w:r>
      <w:r w:rsidRPr="002029AF">
        <w:t>can</w:t>
      </w:r>
      <w:r w:rsidR="000A5329" w:rsidRPr="002029AF">
        <w:t xml:space="preserve"> </w:t>
      </w:r>
      <w:r w:rsidRPr="002029AF">
        <w:t>be</w:t>
      </w:r>
      <w:r w:rsidR="000A5329" w:rsidRPr="002029AF">
        <w:t xml:space="preserve"> </w:t>
      </w:r>
      <w:r w:rsidRPr="002029AF">
        <w:t>obtained</w:t>
      </w:r>
    </w:p>
    <w:p w14:paraId="4B35863B" w14:textId="0FB32E16" w:rsidR="00CF72D5" w:rsidRPr="002029AF" w:rsidRDefault="00CF72D5" w:rsidP="00897193">
      <w:pPr>
        <w:pStyle w:val="ARbullet1"/>
      </w:pPr>
      <w:r w:rsidRPr="002029AF">
        <w:t>details</w:t>
      </w:r>
      <w:r w:rsidR="000A5329" w:rsidRPr="002029AF">
        <w:t xml:space="preserve"> </w:t>
      </w:r>
      <w:r w:rsidRPr="002029AF">
        <w:t>of</w:t>
      </w:r>
      <w:r w:rsidR="000A5329" w:rsidRPr="002029AF">
        <w:t xml:space="preserve"> </w:t>
      </w:r>
      <w:r w:rsidRPr="002029AF">
        <w:t>changes</w:t>
      </w:r>
      <w:r w:rsidR="000A5329" w:rsidRPr="002029AF">
        <w:t xml:space="preserve"> </w:t>
      </w:r>
      <w:r w:rsidRPr="002029AF">
        <w:t>in</w:t>
      </w:r>
      <w:r w:rsidR="000A5329" w:rsidRPr="002029AF">
        <w:t xml:space="preserve"> </w:t>
      </w:r>
      <w:r w:rsidRPr="002029AF">
        <w:t>prices,</w:t>
      </w:r>
      <w:r w:rsidR="000A5329" w:rsidRPr="002029AF">
        <w:t xml:space="preserve"> </w:t>
      </w:r>
      <w:r w:rsidRPr="002029AF">
        <w:t>fees,</w:t>
      </w:r>
      <w:r w:rsidR="000A5329" w:rsidRPr="002029AF">
        <w:t xml:space="preserve"> </w:t>
      </w:r>
      <w:r w:rsidRPr="002029AF">
        <w:t>charges,</w:t>
      </w:r>
      <w:r w:rsidR="000A5329" w:rsidRPr="002029AF">
        <w:t xml:space="preserve"> </w:t>
      </w:r>
      <w:r w:rsidRPr="002029AF">
        <w:t>rates</w:t>
      </w:r>
      <w:r w:rsidR="000A5329" w:rsidRPr="002029AF">
        <w:t xml:space="preserve"> </w:t>
      </w:r>
      <w:r w:rsidRPr="002029AF">
        <w:t>and</w:t>
      </w:r>
      <w:r w:rsidR="000A5329" w:rsidRPr="002029AF">
        <w:t xml:space="preserve"> </w:t>
      </w:r>
      <w:r w:rsidRPr="002029AF">
        <w:t>levies</w:t>
      </w:r>
      <w:r w:rsidR="000A5329" w:rsidRPr="002029AF">
        <w:t xml:space="preserve"> </w:t>
      </w:r>
      <w:r w:rsidRPr="002029AF">
        <w:t>charged</w:t>
      </w:r>
      <w:r w:rsidR="000A5329" w:rsidRPr="002029AF">
        <w:t xml:space="preserve"> </w:t>
      </w:r>
      <w:r w:rsidRPr="002029AF">
        <w:t>by</w:t>
      </w:r>
      <w:r w:rsidR="000A5329" w:rsidRPr="002029AF">
        <w:t xml:space="preserve"> </w:t>
      </w:r>
      <w:r w:rsidRPr="002029AF">
        <w:t>the</w:t>
      </w:r>
      <w:r w:rsidR="000A5329" w:rsidRPr="002029AF">
        <w:t xml:space="preserve"> </w:t>
      </w:r>
      <w:r w:rsidRPr="002029AF">
        <w:t>entity</w:t>
      </w:r>
    </w:p>
    <w:p w14:paraId="5F6B7287" w14:textId="57F012D9" w:rsidR="00CF72D5" w:rsidRPr="002029AF" w:rsidRDefault="00CF72D5" w:rsidP="00897193">
      <w:pPr>
        <w:pStyle w:val="ARbullet1"/>
      </w:pPr>
      <w:r w:rsidRPr="002029AF">
        <w:t>details</w:t>
      </w:r>
      <w:r w:rsidR="000A5329" w:rsidRPr="002029AF">
        <w:t xml:space="preserve"> </w:t>
      </w:r>
      <w:r w:rsidRPr="002029AF">
        <w:t>of</w:t>
      </w:r>
      <w:r w:rsidR="000A5329" w:rsidRPr="002029AF">
        <w:t xml:space="preserve"> </w:t>
      </w:r>
      <w:r w:rsidRPr="002029AF">
        <w:t>any</w:t>
      </w:r>
      <w:r w:rsidR="000A5329" w:rsidRPr="002029AF">
        <w:t xml:space="preserve"> </w:t>
      </w:r>
      <w:r w:rsidRPr="002029AF">
        <w:t>major</w:t>
      </w:r>
      <w:r w:rsidR="000A5329" w:rsidRPr="002029AF">
        <w:t xml:space="preserve"> </w:t>
      </w:r>
      <w:r w:rsidRPr="002029AF">
        <w:t>external</w:t>
      </w:r>
      <w:r w:rsidR="000A5329" w:rsidRPr="002029AF">
        <w:t xml:space="preserve"> </w:t>
      </w:r>
      <w:r w:rsidRPr="002029AF">
        <w:t>reviews</w:t>
      </w:r>
      <w:r w:rsidR="000A5329" w:rsidRPr="002029AF">
        <w:t xml:space="preserve"> </w:t>
      </w:r>
      <w:r w:rsidRPr="002029AF">
        <w:t>carried</w:t>
      </w:r>
      <w:r w:rsidR="000A5329" w:rsidRPr="002029AF">
        <w:t xml:space="preserve"> </w:t>
      </w:r>
      <w:r w:rsidRPr="002029AF">
        <w:t>out</w:t>
      </w:r>
      <w:r w:rsidR="000A5329" w:rsidRPr="002029AF">
        <w:t xml:space="preserve"> </w:t>
      </w:r>
      <w:r w:rsidRPr="002029AF">
        <w:t>on</w:t>
      </w:r>
      <w:r w:rsidR="000A5329" w:rsidRPr="002029AF">
        <w:t xml:space="preserve"> </w:t>
      </w:r>
      <w:r w:rsidRPr="002029AF">
        <w:t>the</w:t>
      </w:r>
      <w:r w:rsidR="000A5329" w:rsidRPr="002029AF">
        <w:t xml:space="preserve"> </w:t>
      </w:r>
      <w:r w:rsidRPr="002029AF">
        <w:t>entity</w:t>
      </w:r>
    </w:p>
    <w:p w14:paraId="381590DE" w14:textId="23951577" w:rsidR="00CF72D5" w:rsidRPr="002029AF" w:rsidRDefault="00CF72D5" w:rsidP="00897193">
      <w:pPr>
        <w:pStyle w:val="ARbullet1"/>
      </w:pPr>
      <w:r w:rsidRPr="002029AF">
        <w:t>details</w:t>
      </w:r>
      <w:r w:rsidR="000A5329" w:rsidRPr="002029AF">
        <w:t xml:space="preserve"> </w:t>
      </w:r>
      <w:r w:rsidRPr="002029AF">
        <w:t>of</w:t>
      </w:r>
      <w:r w:rsidR="000A5329" w:rsidRPr="002029AF">
        <w:t xml:space="preserve"> </w:t>
      </w:r>
      <w:r w:rsidRPr="002029AF">
        <w:t>major</w:t>
      </w:r>
      <w:r w:rsidR="000A5329" w:rsidRPr="002029AF">
        <w:t xml:space="preserve"> </w:t>
      </w:r>
      <w:r w:rsidRPr="002029AF">
        <w:t>research</w:t>
      </w:r>
      <w:r w:rsidR="000A5329" w:rsidRPr="002029AF">
        <w:t xml:space="preserve"> </w:t>
      </w:r>
      <w:r w:rsidRPr="002029AF">
        <w:t>and</w:t>
      </w:r>
      <w:r w:rsidR="000A5329" w:rsidRPr="002029AF">
        <w:t xml:space="preserve"> </w:t>
      </w:r>
      <w:r w:rsidRPr="002029AF">
        <w:t>development</w:t>
      </w:r>
      <w:r w:rsidR="000A5329" w:rsidRPr="002029AF">
        <w:t xml:space="preserve"> </w:t>
      </w:r>
      <w:r w:rsidRPr="002029AF">
        <w:t>activities</w:t>
      </w:r>
      <w:r w:rsidR="000A5329" w:rsidRPr="002029AF">
        <w:t xml:space="preserve"> </w:t>
      </w:r>
      <w:r w:rsidRPr="002029AF">
        <w:t>undertaken</w:t>
      </w:r>
      <w:r w:rsidR="000A5329" w:rsidRPr="002029AF">
        <w:t xml:space="preserve"> </w:t>
      </w:r>
      <w:r w:rsidRPr="002029AF">
        <w:t>by</w:t>
      </w:r>
      <w:r w:rsidR="000A5329" w:rsidRPr="002029AF">
        <w:t xml:space="preserve"> </w:t>
      </w:r>
      <w:r w:rsidRPr="002029AF">
        <w:t>the</w:t>
      </w:r>
      <w:r w:rsidR="000A5329" w:rsidRPr="002029AF">
        <w:t xml:space="preserve"> </w:t>
      </w:r>
      <w:r w:rsidRPr="002029AF">
        <w:t>entity</w:t>
      </w:r>
    </w:p>
    <w:p w14:paraId="2E6356BD" w14:textId="1B780CCA" w:rsidR="00CF72D5" w:rsidRPr="002029AF" w:rsidRDefault="00CF72D5" w:rsidP="00897193">
      <w:pPr>
        <w:pStyle w:val="ARbullet1"/>
      </w:pPr>
      <w:r w:rsidRPr="002029AF">
        <w:t>details</w:t>
      </w:r>
      <w:r w:rsidR="000A5329" w:rsidRPr="002029AF">
        <w:t xml:space="preserve"> </w:t>
      </w:r>
      <w:r w:rsidRPr="002029AF">
        <w:t>of</w:t>
      </w:r>
      <w:r w:rsidR="000A5329" w:rsidRPr="002029AF">
        <w:t xml:space="preserve"> </w:t>
      </w:r>
      <w:r w:rsidRPr="002029AF">
        <w:t>overseas</w:t>
      </w:r>
      <w:r w:rsidR="000A5329" w:rsidRPr="002029AF">
        <w:t xml:space="preserve"> </w:t>
      </w:r>
      <w:r w:rsidRPr="002029AF">
        <w:t>visits</w:t>
      </w:r>
      <w:r w:rsidR="000A5329" w:rsidRPr="002029AF">
        <w:t xml:space="preserve"> </w:t>
      </w:r>
      <w:r w:rsidRPr="002029AF">
        <w:t>undertaken</w:t>
      </w:r>
      <w:r w:rsidR="000A5329" w:rsidRPr="002029AF">
        <w:t xml:space="preserve"> </w:t>
      </w:r>
      <w:r w:rsidRPr="002029AF">
        <w:t>including</w:t>
      </w:r>
      <w:r w:rsidR="000A5329" w:rsidRPr="002029AF">
        <w:t xml:space="preserve"> </w:t>
      </w:r>
      <w:r w:rsidRPr="002029AF">
        <w:t>a</w:t>
      </w:r>
      <w:r w:rsidR="000A5329" w:rsidRPr="002029AF">
        <w:t xml:space="preserve"> </w:t>
      </w:r>
      <w:r w:rsidRPr="002029AF">
        <w:t>summary</w:t>
      </w:r>
      <w:r w:rsidR="000A5329" w:rsidRPr="002029AF">
        <w:t xml:space="preserve"> </w:t>
      </w:r>
      <w:r w:rsidRPr="002029AF">
        <w:t>of</w:t>
      </w:r>
      <w:r w:rsidR="000A5329" w:rsidRPr="002029AF">
        <w:t xml:space="preserve"> </w:t>
      </w:r>
      <w:r w:rsidRPr="002029AF">
        <w:t>the</w:t>
      </w:r>
      <w:r w:rsidR="000A5329" w:rsidRPr="002029AF">
        <w:t xml:space="preserve"> </w:t>
      </w:r>
      <w:r w:rsidRPr="002029AF">
        <w:t>objectives</w:t>
      </w:r>
      <w:r w:rsidR="000A5329" w:rsidRPr="002029AF">
        <w:t xml:space="preserve"> </w:t>
      </w:r>
      <w:r w:rsidRPr="002029AF">
        <w:t>and</w:t>
      </w:r>
      <w:r w:rsidR="000A5329" w:rsidRPr="002029AF">
        <w:t xml:space="preserve"> </w:t>
      </w:r>
      <w:r w:rsidRPr="002029AF">
        <w:t>outcomes</w:t>
      </w:r>
      <w:r w:rsidR="000A5329" w:rsidRPr="002029AF">
        <w:t xml:space="preserve"> </w:t>
      </w:r>
      <w:r w:rsidRPr="002029AF">
        <w:t>of</w:t>
      </w:r>
      <w:r w:rsidR="000A5329" w:rsidRPr="002029AF">
        <w:t xml:space="preserve"> </w:t>
      </w:r>
      <w:r w:rsidRPr="002029AF">
        <w:t>each</w:t>
      </w:r>
      <w:r w:rsidR="000A5329" w:rsidRPr="002029AF">
        <w:t xml:space="preserve"> </w:t>
      </w:r>
      <w:r w:rsidRPr="002029AF">
        <w:t>visit</w:t>
      </w:r>
    </w:p>
    <w:p w14:paraId="34034C14" w14:textId="74C94064" w:rsidR="00CF72D5" w:rsidRPr="002029AF" w:rsidRDefault="00CF72D5" w:rsidP="00897193">
      <w:pPr>
        <w:pStyle w:val="ARbullet1"/>
      </w:pPr>
      <w:r w:rsidRPr="002029AF">
        <w:t>details</w:t>
      </w:r>
      <w:r w:rsidR="000A5329" w:rsidRPr="002029AF">
        <w:t xml:space="preserve"> </w:t>
      </w:r>
      <w:r w:rsidRPr="002029AF">
        <w:t>of</w:t>
      </w:r>
      <w:r w:rsidR="000A5329" w:rsidRPr="002029AF">
        <w:t xml:space="preserve"> </w:t>
      </w:r>
      <w:r w:rsidRPr="002029AF">
        <w:t>major</w:t>
      </w:r>
      <w:r w:rsidR="000A5329" w:rsidRPr="002029AF">
        <w:t xml:space="preserve"> </w:t>
      </w:r>
      <w:r w:rsidRPr="002029AF">
        <w:t>promotional,</w:t>
      </w:r>
      <w:r w:rsidR="000A5329" w:rsidRPr="002029AF">
        <w:t xml:space="preserve"> </w:t>
      </w:r>
      <w:r w:rsidRPr="002029AF">
        <w:t>public</w:t>
      </w:r>
      <w:r w:rsidR="000A5329" w:rsidRPr="002029AF">
        <w:t xml:space="preserve"> </w:t>
      </w:r>
      <w:r w:rsidRPr="002029AF">
        <w:t>relations</w:t>
      </w:r>
      <w:r w:rsidR="000A5329" w:rsidRPr="002029AF">
        <w:t xml:space="preserve"> </w:t>
      </w:r>
      <w:r w:rsidRPr="002029AF">
        <w:t>and</w:t>
      </w:r>
      <w:r w:rsidR="000A5329" w:rsidRPr="002029AF">
        <w:t xml:space="preserve"> </w:t>
      </w:r>
      <w:r w:rsidRPr="002029AF">
        <w:t>marketing</w:t>
      </w:r>
      <w:r w:rsidR="000A5329" w:rsidRPr="002029AF">
        <w:t xml:space="preserve"> </w:t>
      </w:r>
      <w:r w:rsidRPr="002029AF">
        <w:t>activities</w:t>
      </w:r>
      <w:r w:rsidR="000A5329" w:rsidRPr="002029AF">
        <w:t xml:space="preserve"> </w:t>
      </w:r>
      <w:r w:rsidRPr="002029AF">
        <w:t>undertaken</w:t>
      </w:r>
      <w:r w:rsidR="000A5329" w:rsidRPr="002029AF">
        <w:t xml:space="preserve"> </w:t>
      </w:r>
      <w:r w:rsidRPr="002029AF">
        <w:t>by</w:t>
      </w:r>
      <w:r w:rsidR="000A5329" w:rsidRPr="002029AF">
        <w:t xml:space="preserve"> </w:t>
      </w:r>
      <w:r w:rsidRPr="002029AF">
        <w:t>the</w:t>
      </w:r>
      <w:r w:rsidR="000A5329" w:rsidRPr="002029AF">
        <w:t xml:space="preserve"> </w:t>
      </w:r>
      <w:r w:rsidRPr="002029AF">
        <w:t>entity</w:t>
      </w:r>
      <w:r w:rsidR="000A5329" w:rsidRPr="002029AF">
        <w:t xml:space="preserve"> </w:t>
      </w:r>
      <w:r w:rsidRPr="002029AF">
        <w:t>to</w:t>
      </w:r>
      <w:r w:rsidR="000A5329" w:rsidRPr="002029AF">
        <w:t xml:space="preserve"> </w:t>
      </w:r>
      <w:r w:rsidRPr="002029AF">
        <w:t>develop</w:t>
      </w:r>
      <w:r w:rsidR="000A5329" w:rsidRPr="002029AF">
        <w:t xml:space="preserve"> </w:t>
      </w:r>
      <w:r w:rsidRPr="002029AF">
        <w:t>community</w:t>
      </w:r>
      <w:r w:rsidR="000A5329" w:rsidRPr="002029AF">
        <w:t xml:space="preserve"> </w:t>
      </w:r>
      <w:r w:rsidRPr="002029AF">
        <w:t>awareness</w:t>
      </w:r>
      <w:r w:rsidR="000A5329" w:rsidRPr="002029AF">
        <w:t xml:space="preserve"> </w:t>
      </w:r>
      <w:r w:rsidRPr="002029AF">
        <w:t>of</w:t>
      </w:r>
      <w:r w:rsidR="000A5329" w:rsidRPr="002029AF">
        <w:t xml:space="preserve"> </w:t>
      </w:r>
      <w:r w:rsidRPr="002029AF">
        <w:t>the</w:t>
      </w:r>
      <w:r w:rsidR="000A5329" w:rsidRPr="002029AF">
        <w:t xml:space="preserve"> </w:t>
      </w:r>
      <w:r w:rsidRPr="002029AF">
        <w:t>entity</w:t>
      </w:r>
      <w:r w:rsidR="000A5329" w:rsidRPr="002029AF">
        <w:t xml:space="preserve"> </w:t>
      </w:r>
      <w:r w:rsidRPr="002029AF">
        <w:t>and</w:t>
      </w:r>
      <w:r w:rsidR="000A5329" w:rsidRPr="002029AF">
        <w:t xml:space="preserve"> </w:t>
      </w:r>
      <w:r w:rsidRPr="002029AF">
        <w:t>its</w:t>
      </w:r>
      <w:r w:rsidR="000A5329" w:rsidRPr="002029AF">
        <w:t xml:space="preserve"> </w:t>
      </w:r>
      <w:r w:rsidRPr="002029AF">
        <w:t>services</w:t>
      </w:r>
    </w:p>
    <w:p w14:paraId="7D8A76AD" w14:textId="36CA5BDF" w:rsidR="00CF72D5" w:rsidRPr="002029AF" w:rsidRDefault="00CF72D5" w:rsidP="00897193">
      <w:pPr>
        <w:pStyle w:val="ARbullet1"/>
      </w:pPr>
      <w:r w:rsidRPr="002029AF">
        <w:t>details</w:t>
      </w:r>
      <w:r w:rsidR="000A5329" w:rsidRPr="002029AF">
        <w:t xml:space="preserve"> </w:t>
      </w:r>
      <w:r w:rsidRPr="002029AF">
        <w:t>of</w:t>
      </w:r>
      <w:r w:rsidR="000A5329" w:rsidRPr="002029AF">
        <w:t xml:space="preserve"> </w:t>
      </w:r>
      <w:r w:rsidRPr="002029AF">
        <w:t>assessments</w:t>
      </w:r>
      <w:r w:rsidR="000A5329" w:rsidRPr="002029AF">
        <w:t xml:space="preserve"> </w:t>
      </w:r>
      <w:r w:rsidRPr="002029AF">
        <w:t>and</w:t>
      </w:r>
      <w:r w:rsidR="000A5329" w:rsidRPr="002029AF">
        <w:t xml:space="preserve"> </w:t>
      </w:r>
      <w:r w:rsidRPr="002029AF">
        <w:t>measures</w:t>
      </w:r>
      <w:r w:rsidR="000A5329" w:rsidRPr="002029AF">
        <w:t xml:space="preserve"> </w:t>
      </w:r>
      <w:r w:rsidRPr="002029AF">
        <w:t>undertaken</w:t>
      </w:r>
      <w:r w:rsidR="000A5329" w:rsidRPr="002029AF">
        <w:t xml:space="preserve"> </w:t>
      </w:r>
      <w:r w:rsidRPr="002029AF">
        <w:t>to</w:t>
      </w:r>
      <w:r w:rsidR="000A5329" w:rsidRPr="002029AF">
        <w:t xml:space="preserve"> </w:t>
      </w:r>
      <w:r w:rsidRPr="002029AF">
        <w:t>improve</w:t>
      </w:r>
      <w:r w:rsidR="000A5329" w:rsidRPr="002029AF">
        <w:t xml:space="preserve"> </w:t>
      </w:r>
      <w:r w:rsidRPr="002029AF">
        <w:t>the</w:t>
      </w:r>
      <w:r w:rsidR="000A5329" w:rsidRPr="002029AF">
        <w:t xml:space="preserve"> </w:t>
      </w:r>
      <w:r w:rsidRPr="002029AF">
        <w:t>occupational</w:t>
      </w:r>
      <w:r w:rsidR="000A5329" w:rsidRPr="002029AF">
        <w:t xml:space="preserve"> </w:t>
      </w:r>
      <w:r w:rsidRPr="002029AF">
        <w:t>health</w:t>
      </w:r>
      <w:r w:rsidR="000A5329" w:rsidRPr="002029AF">
        <w:t xml:space="preserve"> </w:t>
      </w:r>
      <w:r w:rsidRPr="002029AF">
        <w:t>and</w:t>
      </w:r>
      <w:r w:rsidR="000A5329" w:rsidRPr="002029AF">
        <w:t xml:space="preserve"> </w:t>
      </w:r>
      <w:r w:rsidRPr="002029AF">
        <w:t>safety</w:t>
      </w:r>
      <w:r w:rsidR="000A5329" w:rsidRPr="002029AF">
        <w:t xml:space="preserve"> </w:t>
      </w:r>
      <w:r w:rsidRPr="002029AF">
        <w:t>of</w:t>
      </w:r>
      <w:r w:rsidR="000A5329" w:rsidRPr="002029AF">
        <w:t xml:space="preserve"> </w:t>
      </w:r>
      <w:r w:rsidRPr="002029AF">
        <w:t>employees</w:t>
      </w:r>
    </w:p>
    <w:p w14:paraId="43F7BBC4" w14:textId="19CFC744" w:rsidR="00CF72D5" w:rsidRPr="002029AF" w:rsidRDefault="00CF72D5" w:rsidP="00897193">
      <w:pPr>
        <w:pStyle w:val="ARbullet1"/>
      </w:pPr>
      <w:r w:rsidRPr="002029AF">
        <w:t>a</w:t>
      </w:r>
      <w:r w:rsidR="000A5329" w:rsidRPr="002029AF">
        <w:t xml:space="preserve"> </w:t>
      </w:r>
      <w:r w:rsidRPr="002029AF">
        <w:t>general</w:t>
      </w:r>
      <w:r w:rsidR="000A5329" w:rsidRPr="002029AF">
        <w:t xml:space="preserve"> </w:t>
      </w:r>
      <w:r w:rsidRPr="002029AF">
        <w:t>statement</w:t>
      </w:r>
      <w:r w:rsidR="000A5329" w:rsidRPr="002029AF">
        <w:t xml:space="preserve"> </w:t>
      </w:r>
      <w:r w:rsidRPr="002029AF">
        <w:t>on</w:t>
      </w:r>
      <w:r w:rsidR="000A5329" w:rsidRPr="002029AF">
        <w:t xml:space="preserve"> </w:t>
      </w:r>
      <w:r w:rsidRPr="002029AF">
        <w:t>industrial</w:t>
      </w:r>
      <w:r w:rsidR="000A5329" w:rsidRPr="002029AF">
        <w:t xml:space="preserve"> </w:t>
      </w:r>
      <w:r w:rsidRPr="002029AF">
        <w:t>relations</w:t>
      </w:r>
      <w:r w:rsidR="000A5329" w:rsidRPr="002029AF">
        <w:t xml:space="preserve"> </w:t>
      </w:r>
      <w:r w:rsidRPr="002029AF">
        <w:t>within</w:t>
      </w:r>
      <w:r w:rsidR="000A5329" w:rsidRPr="002029AF">
        <w:t xml:space="preserve"> </w:t>
      </w:r>
      <w:r w:rsidRPr="002029AF">
        <w:t>the</w:t>
      </w:r>
      <w:r w:rsidR="000A5329" w:rsidRPr="002029AF">
        <w:t xml:space="preserve"> </w:t>
      </w:r>
      <w:r w:rsidRPr="002029AF">
        <w:t>entity</w:t>
      </w:r>
      <w:r w:rsidR="000A5329" w:rsidRPr="002029AF">
        <w:t xml:space="preserve"> </w:t>
      </w:r>
      <w:r w:rsidRPr="002029AF">
        <w:t>and</w:t>
      </w:r>
      <w:r w:rsidR="000A5329" w:rsidRPr="002029AF">
        <w:t xml:space="preserve"> </w:t>
      </w:r>
      <w:r w:rsidRPr="002029AF">
        <w:t>details</w:t>
      </w:r>
      <w:r w:rsidR="000A5329" w:rsidRPr="002029AF">
        <w:t xml:space="preserve"> </w:t>
      </w:r>
      <w:r w:rsidRPr="002029AF">
        <w:t>of</w:t>
      </w:r>
      <w:r w:rsidR="000A5329" w:rsidRPr="002029AF">
        <w:t xml:space="preserve"> </w:t>
      </w:r>
      <w:r w:rsidRPr="002029AF">
        <w:t>time</w:t>
      </w:r>
      <w:r w:rsidR="000A5329" w:rsidRPr="002029AF">
        <w:t xml:space="preserve"> </w:t>
      </w:r>
      <w:r w:rsidRPr="002029AF">
        <w:t>lost</w:t>
      </w:r>
      <w:r w:rsidR="000A5329" w:rsidRPr="002029AF">
        <w:t xml:space="preserve"> </w:t>
      </w:r>
      <w:r w:rsidRPr="002029AF">
        <w:t>through</w:t>
      </w:r>
      <w:r w:rsidR="000A5329" w:rsidRPr="002029AF">
        <w:t xml:space="preserve"> </w:t>
      </w:r>
      <w:r w:rsidRPr="002029AF">
        <w:t>industrial</w:t>
      </w:r>
      <w:r w:rsidR="000A5329" w:rsidRPr="002029AF">
        <w:t xml:space="preserve"> </w:t>
      </w:r>
      <w:r w:rsidRPr="002029AF">
        <w:t>accidents</w:t>
      </w:r>
      <w:r w:rsidR="000A5329" w:rsidRPr="002029AF">
        <w:t xml:space="preserve"> </w:t>
      </w:r>
      <w:r w:rsidRPr="002029AF">
        <w:t>and</w:t>
      </w:r>
      <w:r w:rsidR="000A5329" w:rsidRPr="002029AF">
        <w:t xml:space="preserve"> </w:t>
      </w:r>
      <w:r w:rsidRPr="002029AF">
        <w:t>disputes</w:t>
      </w:r>
    </w:p>
    <w:p w14:paraId="11EB1DDB" w14:textId="3D19B152" w:rsidR="00CF72D5" w:rsidRPr="002029AF" w:rsidRDefault="00CF72D5" w:rsidP="00897193">
      <w:pPr>
        <w:pStyle w:val="ARbullet1"/>
      </w:pPr>
      <w:r w:rsidRPr="002029AF">
        <w:t>a</w:t>
      </w:r>
      <w:r w:rsidR="000A5329" w:rsidRPr="002029AF">
        <w:t xml:space="preserve"> </w:t>
      </w:r>
      <w:r w:rsidRPr="002029AF">
        <w:t>list</w:t>
      </w:r>
      <w:r w:rsidR="000A5329" w:rsidRPr="002029AF">
        <w:t xml:space="preserve"> </w:t>
      </w:r>
      <w:r w:rsidRPr="002029AF">
        <w:t>of</w:t>
      </w:r>
      <w:r w:rsidR="000A5329" w:rsidRPr="002029AF">
        <w:t xml:space="preserve"> </w:t>
      </w:r>
      <w:r w:rsidRPr="002029AF">
        <w:t>major</w:t>
      </w:r>
      <w:r w:rsidR="000A5329" w:rsidRPr="002029AF">
        <w:t xml:space="preserve"> </w:t>
      </w:r>
      <w:r w:rsidRPr="002029AF">
        <w:t>committees</w:t>
      </w:r>
      <w:r w:rsidR="000A5329" w:rsidRPr="002029AF">
        <w:t xml:space="preserve"> </w:t>
      </w:r>
      <w:r w:rsidRPr="002029AF">
        <w:t>sponsored</w:t>
      </w:r>
      <w:r w:rsidR="000A5329" w:rsidRPr="002029AF">
        <w:t xml:space="preserve"> </w:t>
      </w:r>
      <w:r w:rsidRPr="002029AF">
        <w:t>by</w:t>
      </w:r>
      <w:r w:rsidR="000A5329" w:rsidRPr="002029AF">
        <w:t xml:space="preserve"> </w:t>
      </w:r>
      <w:r w:rsidRPr="002029AF">
        <w:t>the</w:t>
      </w:r>
      <w:r w:rsidR="000A5329" w:rsidRPr="002029AF">
        <w:t xml:space="preserve"> </w:t>
      </w:r>
      <w:r w:rsidRPr="002029AF">
        <w:t>entity,</w:t>
      </w:r>
      <w:r w:rsidR="000A5329" w:rsidRPr="002029AF">
        <w:t xml:space="preserve"> </w:t>
      </w:r>
      <w:r w:rsidRPr="002029AF">
        <w:t>the</w:t>
      </w:r>
      <w:r w:rsidR="000A5329" w:rsidRPr="002029AF">
        <w:t xml:space="preserve"> </w:t>
      </w:r>
      <w:r w:rsidRPr="002029AF">
        <w:t>purposes</w:t>
      </w:r>
      <w:r w:rsidR="000A5329" w:rsidRPr="002029AF">
        <w:t xml:space="preserve"> </w:t>
      </w:r>
      <w:r w:rsidRPr="002029AF">
        <w:t>of</w:t>
      </w:r>
      <w:r w:rsidR="000A5329" w:rsidRPr="002029AF">
        <w:t xml:space="preserve"> </w:t>
      </w:r>
      <w:r w:rsidRPr="002029AF">
        <w:t>each</w:t>
      </w:r>
      <w:r w:rsidR="000A5329" w:rsidRPr="002029AF">
        <w:t xml:space="preserve"> </w:t>
      </w:r>
      <w:r w:rsidRPr="002029AF">
        <w:t>committee</w:t>
      </w:r>
      <w:r w:rsidR="000A5329" w:rsidRPr="002029AF">
        <w:t xml:space="preserve"> </w:t>
      </w:r>
      <w:r w:rsidRPr="002029AF">
        <w:t>and</w:t>
      </w:r>
      <w:r w:rsidR="000A5329" w:rsidRPr="002029AF">
        <w:t xml:space="preserve"> </w:t>
      </w:r>
      <w:r w:rsidRPr="002029AF">
        <w:t>the</w:t>
      </w:r>
      <w:r w:rsidR="000A5329" w:rsidRPr="002029AF">
        <w:t xml:space="preserve"> </w:t>
      </w:r>
      <w:r w:rsidRPr="002029AF">
        <w:t>extent</w:t>
      </w:r>
      <w:r w:rsidR="000A5329" w:rsidRPr="002029AF">
        <w:t xml:space="preserve"> </w:t>
      </w:r>
      <w:r w:rsidRPr="002029AF">
        <w:t>to</w:t>
      </w:r>
      <w:r w:rsidR="000A5329" w:rsidRPr="002029AF">
        <w:t xml:space="preserve"> </w:t>
      </w:r>
      <w:r w:rsidRPr="002029AF">
        <w:t>which</w:t>
      </w:r>
      <w:r w:rsidR="000A5329" w:rsidRPr="002029AF">
        <w:t xml:space="preserve"> </w:t>
      </w:r>
      <w:r w:rsidRPr="002029AF">
        <w:t>the</w:t>
      </w:r>
      <w:r w:rsidR="000A5329" w:rsidRPr="002029AF">
        <w:t xml:space="preserve"> </w:t>
      </w:r>
      <w:r w:rsidRPr="002029AF">
        <w:t>purposes</w:t>
      </w:r>
      <w:r w:rsidR="000A5329" w:rsidRPr="002029AF">
        <w:t xml:space="preserve"> </w:t>
      </w:r>
      <w:r w:rsidRPr="002029AF">
        <w:t>have</w:t>
      </w:r>
      <w:r w:rsidR="000A5329" w:rsidRPr="002029AF">
        <w:t xml:space="preserve"> </w:t>
      </w:r>
      <w:r w:rsidRPr="002029AF">
        <w:t>been</w:t>
      </w:r>
      <w:r w:rsidR="000A5329" w:rsidRPr="002029AF">
        <w:t xml:space="preserve"> </w:t>
      </w:r>
      <w:r w:rsidRPr="002029AF">
        <w:t>achieved</w:t>
      </w:r>
    </w:p>
    <w:p w14:paraId="03E51143" w14:textId="0538AAE6" w:rsidR="00CF72D5" w:rsidRPr="002029AF" w:rsidRDefault="00CF72D5" w:rsidP="00897193">
      <w:pPr>
        <w:pStyle w:val="ARbullet1"/>
      </w:pPr>
      <w:r w:rsidRPr="002029AF">
        <w:t>details</w:t>
      </w:r>
      <w:r w:rsidR="000A5329" w:rsidRPr="002029AF">
        <w:t xml:space="preserve"> </w:t>
      </w:r>
      <w:r w:rsidRPr="002029AF">
        <w:t>of</w:t>
      </w:r>
      <w:r w:rsidR="000A5329" w:rsidRPr="002029AF">
        <w:t xml:space="preserve"> </w:t>
      </w:r>
      <w:r w:rsidRPr="002029AF">
        <w:t>all</w:t>
      </w:r>
      <w:r w:rsidR="000A5329" w:rsidRPr="002029AF">
        <w:t xml:space="preserve"> </w:t>
      </w:r>
      <w:r w:rsidRPr="002029AF">
        <w:t>consultancies</w:t>
      </w:r>
      <w:r w:rsidR="000A5329" w:rsidRPr="002029AF">
        <w:t xml:space="preserve"> </w:t>
      </w:r>
      <w:r w:rsidRPr="002029AF">
        <w:t>and</w:t>
      </w:r>
      <w:r w:rsidR="000A5329" w:rsidRPr="002029AF">
        <w:t xml:space="preserve"> </w:t>
      </w:r>
      <w:r w:rsidRPr="002029AF">
        <w:t>contractors</w:t>
      </w:r>
      <w:r w:rsidR="000A5329" w:rsidRPr="002029AF">
        <w:t xml:space="preserve"> </w:t>
      </w:r>
      <w:r w:rsidR="007535FF" w:rsidRPr="002029AF">
        <w:t>including</w:t>
      </w:r>
      <w:r w:rsidR="000A5329" w:rsidRPr="002029AF">
        <w:t xml:space="preserve"> </w:t>
      </w:r>
      <w:r w:rsidRPr="002029AF">
        <w:t>consultants/contractors</w:t>
      </w:r>
      <w:r w:rsidR="000A5329" w:rsidRPr="002029AF">
        <w:t xml:space="preserve"> </w:t>
      </w:r>
      <w:r w:rsidRPr="002029AF">
        <w:t>engaged;</w:t>
      </w:r>
      <w:r w:rsidR="000A5329" w:rsidRPr="002029AF">
        <w:t xml:space="preserve"> </w:t>
      </w:r>
      <w:r w:rsidRPr="002029AF">
        <w:t>services</w:t>
      </w:r>
      <w:r w:rsidR="000A5329" w:rsidRPr="002029AF">
        <w:t xml:space="preserve"> </w:t>
      </w:r>
      <w:r w:rsidRPr="002029AF">
        <w:t>provided;</w:t>
      </w:r>
      <w:r w:rsidR="000A5329" w:rsidRPr="002029AF">
        <w:t xml:space="preserve"> </w:t>
      </w:r>
      <w:r w:rsidRPr="002029AF">
        <w:t>and,</w:t>
      </w:r>
      <w:r w:rsidR="000A5329" w:rsidRPr="002029AF">
        <w:t xml:space="preserve"> </w:t>
      </w:r>
      <w:r w:rsidRPr="002029AF">
        <w:t>expenditure</w:t>
      </w:r>
      <w:r w:rsidR="000A5329" w:rsidRPr="002029AF">
        <w:t xml:space="preserve"> </w:t>
      </w:r>
      <w:r w:rsidRPr="002029AF">
        <w:t>committed</w:t>
      </w:r>
      <w:r w:rsidR="000A5329" w:rsidRPr="002029AF">
        <w:t xml:space="preserve"> </w:t>
      </w:r>
      <w:r w:rsidRPr="002029AF">
        <w:t>to</w:t>
      </w:r>
      <w:r w:rsidR="000A5329" w:rsidRPr="002029AF">
        <w:t xml:space="preserve"> </w:t>
      </w:r>
      <w:r w:rsidRPr="002029AF">
        <w:t>for</w:t>
      </w:r>
      <w:r w:rsidR="000A5329" w:rsidRPr="002029AF">
        <w:t xml:space="preserve"> </w:t>
      </w:r>
      <w:r w:rsidRPr="002029AF">
        <w:t>each</w:t>
      </w:r>
      <w:r w:rsidR="000A5329" w:rsidRPr="002029AF">
        <w:t xml:space="preserve"> </w:t>
      </w:r>
      <w:r w:rsidRPr="002029AF">
        <w:t>engagement.</w:t>
      </w:r>
    </w:p>
    <w:p w14:paraId="05D3DB62" w14:textId="567E3702" w:rsidR="00CF72D5" w:rsidRPr="002029AF" w:rsidRDefault="00CF72D5" w:rsidP="00897193">
      <w:pPr>
        <w:pStyle w:val="ARbodyafterbullets"/>
      </w:pPr>
      <w:r w:rsidRPr="002029AF">
        <w:t>Requests</w:t>
      </w:r>
      <w:r w:rsidR="000A5329" w:rsidRPr="002029AF">
        <w:t xml:space="preserve"> </w:t>
      </w:r>
      <w:r w:rsidRPr="002029AF">
        <w:t>for</w:t>
      </w:r>
      <w:r w:rsidR="000A5329" w:rsidRPr="002029AF">
        <w:t xml:space="preserve"> </w:t>
      </w:r>
      <w:r w:rsidRPr="002029AF">
        <w:t>additional</w:t>
      </w:r>
      <w:r w:rsidR="000A5329" w:rsidRPr="002029AF">
        <w:t xml:space="preserve"> </w:t>
      </w:r>
      <w:r w:rsidRPr="002029AF">
        <w:t>information</w:t>
      </w:r>
      <w:r w:rsidR="000A5329" w:rsidRPr="002029AF">
        <w:t xml:space="preserve"> </w:t>
      </w:r>
      <w:r w:rsidRPr="002029AF">
        <w:t>may</w:t>
      </w:r>
      <w:r w:rsidR="000A5329" w:rsidRPr="002029AF">
        <w:t xml:space="preserve"> </w:t>
      </w:r>
      <w:r w:rsidRPr="002029AF">
        <w:t>be</w:t>
      </w:r>
      <w:r w:rsidR="000A5329" w:rsidRPr="002029AF">
        <w:t xml:space="preserve"> </w:t>
      </w:r>
      <w:r w:rsidRPr="002029AF">
        <w:t>made</w:t>
      </w:r>
      <w:r w:rsidR="000A5329" w:rsidRPr="002029AF">
        <w:t xml:space="preserve"> </w:t>
      </w:r>
      <w:r w:rsidRPr="002029AF">
        <w:t>in</w:t>
      </w:r>
      <w:r w:rsidR="000A5329" w:rsidRPr="002029AF">
        <w:t xml:space="preserve"> </w:t>
      </w:r>
      <w:r w:rsidRPr="002029AF">
        <w:t>writing</w:t>
      </w:r>
      <w:r w:rsidR="000A5329" w:rsidRPr="002029AF">
        <w:t xml:space="preserve"> </w:t>
      </w:r>
      <w:r w:rsidRPr="002029AF">
        <w:t>to</w:t>
      </w:r>
      <w:r w:rsidR="000A5329" w:rsidRPr="002029AF">
        <w:t xml:space="preserve"> </w:t>
      </w:r>
      <w:r w:rsidRPr="002029AF">
        <w:t>the</w:t>
      </w:r>
      <w:r w:rsidR="000A5329" w:rsidRPr="002029AF">
        <w:t xml:space="preserve"> </w:t>
      </w:r>
      <w:r w:rsidRPr="002029AF">
        <w:t>following:</w:t>
      </w:r>
    </w:p>
    <w:p w14:paraId="70F59A46" w14:textId="77777777" w:rsidR="001568D2" w:rsidRDefault="001568D2" w:rsidP="001568D2">
      <w:pPr>
        <w:pStyle w:val="ARbodynospace"/>
      </w:pPr>
      <w:r>
        <w:t>Chief Communications Officer</w:t>
      </w:r>
    </w:p>
    <w:p w14:paraId="550636BD" w14:textId="77777777" w:rsidR="001568D2" w:rsidRDefault="001568D2" w:rsidP="001568D2">
      <w:pPr>
        <w:pStyle w:val="ARbodynospace"/>
      </w:pPr>
      <w:r>
        <w:t>GPO Box 4057</w:t>
      </w:r>
    </w:p>
    <w:p w14:paraId="38107A06" w14:textId="77777777" w:rsidR="001568D2" w:rsidRDefault="001568D2" w:rsidP="001568D2">
      <w:pPr>
        <w:pStyle w:val="ARbodynospace"/>
      </w:pPr>
      <w:r>
        <w:t>Melbourne VIC 3001</w:t>
      </w:r>
    </w:p>
    <w:p w14:paraId="22839A59" w14:textId="29AF95B7" w:rsidR="00492FE4" w:rsidRPr="002029AF" w:rsidRDefault="001568D2" w:rsidP="003D776F">
      <w:pPr>
        <w:pStyle w:val="ARbodynospace"/>
      </w:pPr>
      <w:r>
        <w:t xml:space="preserve">Email </w:t>
      </w:r>
      <w:hyperlink r:id="rId225" w:history="1">
        <w:r w:rsidR="00C31A1E" w:rsidRPr="00C31A1E">
          <w:rPr>
            <w:rStyle w:val="Hyperlink"/>
          </w:rPr>
          <w:t xml:space="preserve">Senior Executive Director, Communications &amp; Community Engagement </w:t>
        </w:r>
      </w:hyperlink>
      <w:r w:rsidR="000A5329" w:rsidRPr="002029AF">
        <w:t xml:space="preserve"> </w:t>
      </w:r>
      <w:r w:rsidR="00CF72D5" w:rsidRPr="002029AF">
        <w:t>&lt;DHHSCommunications@dhhs.vic.gov.au&gt;.</w:t>
      </w:r>
      <w:bookmarkEnd w:id="420"/>
    </w:p>
    <w:sectPr w:rsidR="00492FE4" w:rsidRPr="002029AF" w:rsidSect="001E768A">
      <w:headerReference w:type="even" r:id="rId226"/>
      <w:headerReference w:type="default" r:id="rId227"/>
      <w:footerReference w:type="even" r:id="rId228"/>
      <w:headerReference w:type="first" r:id="rId229"/>
      <w:footerReference w:type="first" r:id="rId230"/>
      <w:endnotePr>
        <w:numFmt w:val="decimal"/>
      </w:endnotePr>
      <w:pgSz w:w="11900" w:h="16840" w:code="9"/>
      <w:pgMar w:top="1985" w:right="851" w:bottom="851" w:left="1418" w:header="510" w:footer="340" w:gutter="0"/>
      <w:cols w:space="708"/>
      <w:docGrid w:linePitch="326"/>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239D0C" w14:textId="77777777" w:rsidR="00061938" w:rsidRDefault="00061938" w:rsidP="00CF72D5">
      <w:pPr>
        <w:spacing w:after="0" w:line="240" w:lineRule="auto"/>
      </w:pPr>
      <w:r>
        <w:separator/>
      </w:r>
    </w:p>
  </w:endnote>
  <w:endnote w:type="continuationSeparator" w:id="0">
    <w:p w14:paraId="66AD2962" w14:textId="77777777" w:rsidR="00061938" w:rsidRDefault="00061938" w:rsidP="00CF72D5">
      <w:pPr>
        <w:spacing w:after="0" w:line="240" w:lineRule="auto"/>
      </w:pPr>
      <w:r>
        <w:continuationSeparator/>
      </w:r>
    </w:p>
  </w:endnote>
  <w:endnote w:type="continuationNotice" w:id="1">
    <w:p w14:paraId="19EA917B" w14:textId="77777777" w:rsidR="00061938" w:rsidRDefault="000619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583">
    <w:altName w:val="Calibri"/>
    <w:panose1 w:val="00000000000000000000"/>
    <w:charset w:val="00"/>
    <w:family w:val="auto"/>
    <w:notTrueType/>
    <w:pitch w:val="default"/>
  </w:font>
  <w:font w:name="Wingdings 3">
    <w:panose1 w:val="05040102010807070707"/>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Grande">
    <w:altName w:val="Courier New"/>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AvantGarde Bk BT">
    <w:altName w:val="Arial"/>
    <w:panose1 w:val="00000000000000000000"/>
    <w:charset w:val="00"/>
    <w:family w:val="auto"/>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BoldMT">
    <w:altName w:val="Calibri"/>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Calibri-Italic">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8AD68C" w14:textId="6211924D" w:rsidR="00061938" w:rsidRDefault="0006193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1B61A" w14:textId="3DBDCB70" w:rsidR="00061938" w:rsidRPr="009F1A22" w:rsidRDefault="00061938" w:rsidP="00897193">
    <w:pPr>
      <w:pStyle w:val="ARfooter"/>
    </w:pPr>
    <w:r w:rsidRPr="009F1A22">
      <w:t>Department</w:t>
    </w:r>
    <w:r>
      <w:t xml:space="preserve"> </w:t>
    </w:r>
    <w:r w:rsidRPr="009F1A22">
      <w:t>of</w:t>
    </w:r>
    <w:r>
      <w:t xml:space="preserve"> </w:t>
    </w:r>
    <w:r w:rsidRPr="009F1A22">
      <w:t>Health</w:t>
    </w:r>
    <w:r>
      <w:t xml:space="preserve"> </w:t>
    </w:r>
    <w:r w:rsidRPr="009F1A22">
      <w:t>and</w:t>
    </w:r>
    <w:r>
      <w:t xml:space="preserve"> </w:t>
    </w:r>
    <w:r w:rsidRPr="009F1A22">
      <w:t>Human</w:t>
    </w:r>
    <w:r>
      <w:t xml:space="preserve"> </w:t>
    </w:r>
    <w:r w:rsidRPr="009F1A22">
      <w:t>Services</w:t>
    </w:r>
    <w:r>
      <w:t xml:space="preserve"> </w:t>
    </w:r>
    <w:r w:rsidRPr="009F1A22">
      <w:t>annual</w:t>
    </w:r>
    <w:r>
      <w:t xml:space="preserve"> </w:t>
    </w:r>
    <w:r w:rsidRPr="009F1A22">
      <w:t>report</w:t>
    </w:r>
    <w:r>
      <w:t xml:space="preserve"> </w:t>
    </w:r>
    <w:r w:rsidRPr="009F1A22">
      <w:t>2019</w:t>
    </w:r>
    <w:r>
      <w:t>–20</w:t>
    </w:r>
    <w:r w:rsidRPr="009F1A22">
      <w:rPr>
        <w:b/>
        <w:bCs/>
      </w:rPr>
      <w:ptab w:relativeTo="margin" w:alignment="right" w:leader="none"/>
    </w:r>
    <w:r w:rsidRPr="009F1A22">
      <w:rPr>
        <w:rStyle w:val="ARpagenumber"/>
      </w:rPr>
      <w:fldChar w:fldCharType="begin"/>
    </w:r>
    <w:r w:rsidRPr="00707E56">
      <w:rPr>
        <w:rStyle w:val="ARpagenumber"/>
      </w:rPr>
      <w:instrText xml:space="preserve"> PAGE </w:instrText>
    </w:r>
    <w:r w:rsidRPr="009F1A22">
      <w:rPr>
        <w:rStyle w:val="ARpagenumber"/>
      </w:rPr>
      <w:fldChar w:fldCharType="separate"/>
    </w:r>
    <w:r>
      <w:rPr>
        <w:rStyle w:val="ARpagenumber"/>
        <w:noProof/>
      </w:rPr>
      <w:t>21</w:t>
    </w:r>
    <w:r w:rsidRPr="009F1A22">
      <w:rPr>
        <w:rStyle w:val="AR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6A5477" w14:textId="77777777" w:rsidR="00061938" w:rsidRDefault="00061938">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C5880C" w14:textId="77777777" w:rsidR="00061938" w:rsidRDefault="00061938" w:rsidP="00B45A1D">
    <w:pPr>
      <w:pStyle w:val="ARfooter"/>
    </w:pPr>
    <w:r w:rsidRPr="00A575C6">
      <w:rPr>
        <w:rStyle w:val="ARpagenumber"/>
      </w:rPr>
      <w:fldChar w:fldCharType="begin"/>
    </w:r>
    <w:r w:rsidRPr="00A575C6">
      <w:rPr>
        <w:rStyle w:val="ARpagenumber"/>
      </w:rPr>
      <w:instrText xml:space="preserve"> PAGE </w:instrText>
    </w:r>
    <w:r w:rsidRPr="00A575C6">
      <w:rPr>
        <w:rStyle w:val="ARpagenumber"/>
      </w:rPr>
      <w:fldChar w:fldCharType="separate"/>
    </w:r>
    <w:r>
      <w:rPr>
        <w:rStyle w:val="ARpagenumber"/>
        <w:noProof/>
      </w:rPr>
      <w:t>22</w:t>
    </w:r>
    <w:r w:rsidRPr="00A575C6">
      <w:rPr>
        <w:rStyle w:val="ARpagenumber"/>
      </w:rPr>
      <w:fldChar w:fldCharType="end"/>
    </w:r>
    <w:r>
      <w:ptab w:relativeTo="margin" w:alignment="right" w:leader="none"/>
    </w:r>
    <w:r>
      <w:t>Department of Health and Human Services annual report 2019–20</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CBFEE" w14:textId="77777777" w:rsidR="00061938" w:rsidRPr="004F3177" w:rsidRDefault="00061938" w:rsidP="00B45A1D">
    <w:pPr>
      <w:pStyle w:val="ARfooter"/>
    </w:pPr>
    <w:r w:rsidRPr="004F3177">
      <w:t>Department of Health and Human Services annual report 2019–20</w:t>
    </w:r>
    <w:r w:rsidRPr="004F3177">
      <w:ptab w:relativeTo="margin" w:alignment="right" w:leader="none"/>
    </w:r>
    <w:r w:rsidRPr="00AA6424">
      <w:rPr>
        <w:rStyle w:val="ARpagenumber"/>
      </w:rPr>
      <w:fldChar w:fldCharType="begin"/>
    </w:r>
    <w:r w:rsidRPr="00AA6424">
      <w:rPr>
        <w:rStyle w:val="ARpagenumber"/>
      </w:rPr>
      <w:instrText xml:space="preserve"> PAGE </w:instrText>
    </w:r>
    <w:r w:rsidRPr="00AA6424">
      <w:rPr>
        <w:rStyle w:val="ARpagenumber"/>
      </w:rPr>
      <w:fldChar w:fldCharType="separate"/>
    </w:r>
    <w:r>
      <w:rPr>
        <w:rStyle w:val="ARpagenumber"/>
        <w:noProof/>
      </w:rPr>
      <w:t>23</w:t>
    </w:r>
    <w:r w:rsidRPr="00AA6424">
      <w:rPr>
        <w:rStyle w:val="ARpagenumber"/>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503A5" w14:textId="797DFA55" w:rsidR="00061938" w:rsidRPr="005739F7" w:rsidRDefault="00061938" w:rsidP="00B45A1D">
    <w:pPr>
      <w:pStyle w:val="ARfooter"/>
    </w:pPr>
    <w:r>
      <w:t>Department of Health and Human Services annual report 2019–20</w:t>
    </w:r>
    <w:r>
      <w:ptab w:relativeTo="margin" w:alignment="right" w:leader="none"/>
    </w:r>
    <w:r w:rsidRPr="00A575C6">
      <w:rPr>
        <w:rStyle w:val="ARpagenumber"/>
      </w:rPr>
      <w:fldChar w:fldCharType="begin"/>
    </w:r>
    <w:r w:rsidRPr="00A575C6">
      <w:rPr>
        <w:rStyle w:val="ARpagenumber"/>
      </w:rPr>
      <w:instrText xml:space="preserve"> PAGE </w:instrText>
    </w:r>
    <w:r w:rsidRPr="00A575C6">
      <w:rPr>
        <w:rStyle w:val="ARpagenumber"/>
      </w:rPr>
      <w:fldChar w:fldCharType="separate"/>
    </w:r>
    <w:r>
      <w:rPr>
        <w:rStyle w:val="ARpagenumber"/>
      </w:rPr>
      <w:t>29</w:t>
    </w:r>
    <w:r w:rsidRPr="00A575C6">
      <w:rPr>
        <w:rStyle w:val="ARpagenumber"/>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69E359" w14:textId="77777777" w:rsidR="00061938" w:rsidRPr="004F3177" w:rsidRDefault="00061938" w:rsidP="00B45A1D">
    <w:pPr>
      <w:pStyle w:val="ARfooter"/>
    </w:pPr>
    <w:r w:rsidRPr="004F3177">
      <w:t>Department of Health and Human Services annual report 2019–20</w:t>
    </w:r>
    <w:r>
      <w:ptab w:relativeTo="margin" w:alignment="right" w:leader="none"/>
    </w:r>
    <w:r w:rsidRPr="00AA6424">
      <w:rPr>
        <w:rStyle w:val="ARpagenumber"/>
      </w:rPr>
      <w:fldChar w:fldCharType="begin"/>
    </w:r>
    <w:r w:rsidRPr="00AA6424">
      <w:rPr>
        <w:rStyle w:val="ARpagenumber"/>
      </w:rPr>
      <w:instrText xml:space="preserve"> PAGE </w:instrText>
    </w:r>
    <w:r w:rsidRPr="00AA6424">
      <w:rPr>
        <w:rStyle w:val="ARpagenumber"/>
      </w:rPr>
      <w:fldChar w:fldCharType="separate"/>
    </w:r>
    <w:r w:rsidRPr="00AA6424">
      <w:rPr>
        <w:rStyle w:val="ARpagenumber"/>
      </w:rPr>
      <w:t>5</w:t>
    </w:r>
    <w:r w:rsidRPr="00AA6424">
      <w:rPr>
        <w:rStyle w:val="ARpagenumber"/>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EC0049" w14:textId="77777777" w:rsidR="00061938" w:rsidRPr="005739F7" w:rsidRDefault="00061938" w:rsidP="00B45A1D">
    <w:pPr>
      <w:pStyle w:val="ARfooter"/>
    </w:pPr>
    <w:r w:rsidRPr="00A575C6">
      <w:rPr>
        <w:rStyle w:val="ARpagenumber"/>
      </w:rPr>
      <w:fldChar w:fldCharType="begin"/>
    </w:r>
    <w:r w:rsidRPr="00A575C6">
      <w:rPr>
        <w:rStyle w:val="ARpagenumber"/>
      </w:rPr>
      <w:instrText xml:space="preserve"> PAGE </w:instrText>
    </w:r>
    <w:r w:rsidRPr="00A575C6">
      <w:rPr>
        <w:rStyle w:val="ARpagenumber"/>
      </w:rPr>
      <w:fldChar w:fldCharType="separate"/>
    </w:r>
    <w:r>
      <w:rPr>
        <w:rStyle w:val="ARpagenumber"/>
        <w:noProof/>
      </w:rPr>
      <w:t>78</w:t>
    </w:r>
    <w:r w:rsidRPr="00A575C6">
      <w:rPr>
        <w:rStyle w:val="ARpagenumber"/>
      </w:rPr>
      <w:fldChar w:fldCharType="end"/>
    </w:r>
    <w:r>
      <w:ptab w:relativeTo="margin" w:alignment="right" w:leader="none"/>
    </w:r>
    <w:r>
      <w:t>Department of Health and Human Services annual report 2019–20</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120D6B" w14:textId="77777777" w:rsidR="00061938" w:rsidRPr="004F3177" w:rsidRDefault="00061938" w:rsidP="00B45A1D">
    <w:pPr>
      <w:pStyle w:val="ARfooter"/>
    </w:pPr>
    <w:r w:rsidRPr="004F3177">
      <w:t>Department of Health and Human Services annual report 2019–20</w:t>
    </w:r>
    <w:r w:rsidRPr="004F3177">
      <w:ptab w:relativeTo="margin" w:alignment="right" w:leader="none"/>
    </w:r>
    <w:r w:rsidRPr="00AA6424">
      <w:rPr>
        <w:rStyle w:val="ARpagenumber"/>
      </w:rPr>
      <w:fldChar w:fldCharType="begin"/>
    </w:r>
    <w:r w:rsidRPr="00AA6424">
      <w:rPr>
        <w:rStyle w:val="ARpagenumber"/>
      </w:rPr>
      <w:instrText xml:space="preserve"> PAGE </w:instrText>
    </w:r>
    <w:r w:rsidRPr="00AA6424">
      <w:rPr>
        <w:rStyle w:val="ARpagenumber"/>
      </w:rPr>
      <w:fldChar w:fldCharType="separate"/>
    </w:r>
    <w:r>
      <w:rPr>
        <w:rStyle w:val="ARpagenumber"/>
        <w:noProof/>
      </w:rPr>
      <w:t>25</w:t>
    </w:r>
    <w:r w:rsidRPr="00AA6424">
      <w:rPr>
        <w:rStyle w:val="ARpagenumber"/>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814BB5" w14:textId="77777777" w:rsidR="00061938" w:rsidRDefault="00061938" w:rsidP="00B45A1D">
    <w:pPr>
      <w:pStyle w:val="ARfooter"/>
    </w:pPr>
    <w:r>
      <w:t>Department of Health and Human Services annual report 2019–20</w:t>
    </w:r>
    <w:r>
      <w:ptab w:relativeTo="margin" w:alignment="right" w:leader="none"/>
    </w:r>
    <w:r w:rsidRPr="00A575C6">
      <w:rPr>
        <w:rStyle w:val="ARpagenumber"/>
      </w:rPr>
      <w:fldChar w:fldCharType="begin"/>
    </w:r>
    <w:r w:rsidRPr="00A575C6">
      <w:rPr>
        <w:rStyle w:val="ARpagenumber"/>
      </w:rPr>
      <w:instrText xml:space="preserve"> PAGE </w:instrText>
    </w:r>
    <w:r w:rsidRPr="00A575C6">
      <w:rPr>
        <w:rStyle w:val="ARpagenumber"/>
      </w:rPr>
      <w:fldChar w:fldCharType="separate"/>
    </w:r>
    <w:r>
      <w:rPr>
        <w:rStyle w:val="ARpagenumber"/>
        <w:noProof/>
      </w:rPr>
      <w:t>77</w:t>
    </w:r>
    <w:r w:rsidRPr="00A575C6">
      <w:rPr>
        <w:rStyle w:val="ARpagenumber"/>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3A7BBB" w14:textId="77777777" w:rsidR="00061938" w:rsidRDefault="000619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F607BB" w14:textId="318D4086" w:rsidR="00061938" w:rsidRPr="00753B93" w:rsidRDefault="00061938" w:rsidP="00897193">
    <w:pPr>
      <w:pStyle w:val="ARfooter"/>
      <w:rPr>
        <w:color w:val="53565A"/>
      </w:rPr>
    </w:pPr>
    <w:r w:rsidRPr="009F1A22">
      <w:t>Department</w:t>
    </w:r>
    <w:r>
      <w:t xml:space="preserve"> </w:t>
    </w:r>
    <w:r w:rsidRPr="009F1A22">
      <w:t>of</w:t>
    </w:r>
    <w:r>
      <w:t xml:space="preserve"> </w:t>
    </w:r>
    <w:r w:rsidRPr="009F1A22">
      <w:t>Health</w:t>
    </w:r>
    <w:r>
      <w:t xml:space="preserve"> </w:t>
    </w:r>
    <w:r w:rsidRPr="009F1A22">
      <w:t>and</w:t>
    </w:r>
    <w:r>
      <w:t xml:space="preserve"> </w:t>
    </w:r>
    <w:r w:rsidRPr="009F1A22">
      <w:t>Human</w:t>
    </w:r>
    <w:r>
      <w:t xml:space="preserve"> </w:t>
    </w:r>
    <w:r w:rsidRPr="009F1A22">
      <w:t>Services</w:t>
    </w:r>
    <w:r>
      <w:t xml:space="preserve"> </w:t>
    </w:r>
    <w:r w:rsidRPr="009F1A22">
      <w:t>annual</w:t>
    </w:r>
    <w:r>
      <w:t xml:space="preserve"> </w:t>
    </w:r>
    <w:r w:rsidRPr="009F1A22">
      <w:t>report</w:t>
    </w:r>
    <w:r>
      <w:t xml:space="preserve"> </w:t>
    </w:r>
    <w:r w:rsidRPr="009F1A22">
      <w:t>2019–20</w:t>
    </w:r>
    <w:r>
      <w:ptab w:relativeTo="margin" w:alignment="right" w:leader="none"/>
    </w:r>
    <w:r w:rsidRPr="003C35CF">
      <w:rPr>
        <w:rStyle w:val="ARpagenumber"/>
      </w:rPr>
      <w:fldChar w:fldCharType="begin"/>
    </w:r>
    <w:r w:rsidRPr="003C35CF">
      <w:rPr>
        <w:rStyle w:val="ARpagenumber"/>
      </w:rPr>
      <w:instrText xml:space="preserve"> PAGE </w:instrText>
    </w:r>
    <w:r w:rsidRPr="003C35CF">
      <w:rPr>
        <w:rStyle w:val="ARpagenumber"/>
      </w:rPr>
      <w:fldChar w:fldCharType="separate"/>
    </w:r>
    <w:r>
      <w:rPr>
        <w:rStyle w:val="ARpagenumber"/>
        <w:noProof/>
      </w:rPr>
      <w:t>3</w:t>
    </w:r>
    <w:r w:rsidRPr="003C35CF">
      <w:rPr>
        <w:rStyle w:val="ARpagenumber"/>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B09FDD" w14:textId="77777777" w:rsidR="00061938" w:rsidRDefault="00061938">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24044E" w14:textId="77777777" w:rsidR="00061938" w:rsidRDefault="00061938">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2B375B" w14:textId="77777777" w:rsidR="00061938" w:rsidRDefault="00061938">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FD8FBD" w14:textId="77777777" w:rsidR="00061938" w:rsidRDefault="00061938">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D1C3" w14:textId="77777777" w:rsidR="00061938" w:rsidRDefault="00061938">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A784F1" w14:textId="77777777" w:rsidR="00061938" w:rsidRDefault="00061938">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79974D" w14:textId="7FAF4A87" w:rsidR="00061938" w:rsidRPr="00D015AF" w:rsidRDefault="00061938" w:rsidP="00D015AF">
    <w:pPr>
      <w:pStyle w:val="ARfooter"/>
    </w:pPr>
    <w:r w:rsidRPr="009F1A22">
      <w:t>Department</w:t>
    </w:r>
    <w:r>
      <w:t xml:space="preserve"> </w:t>
    </w:r>
    <w:r w:rsidRPr="009F1A22">
      <w:t>of</w:t>
    </w:r>
    <w:r>
      <w:t xml:space="preserve"> </w:t>
    </w:r>
    <w:r w:rsidRPr="009F1A22">
      <w:t>Health</w:t>
    </w:r>
    <w:r>
      <w:t xml:space="preserve"> </w:t>
    </w:r>
    <w:r w:rsidRPr="009F1A22">
      <w:t>and</w:t>
    </w:r>
    <w:r>
      <w:t xml:space="preserve"> </w:t>
    </w:r>
    <w:r w:rsidRPr="009F1A22">
      <w:t>Human</w:t>
    </w:r>
    <w:r>
      <w:t xml:space="preserve"> </w:t>
    </w:r>
    <w:r w:rsidRPr="009F1A22">
      <w:t>Services</w:t>
    </w:r>
    <w:r>
      <w:t xml:space="preserve"> </w:t>
    </w:r>
    <w:r w:rsidRPr="009F1A22">
      <w:t>annual</w:t>
    </w:r>
    <w:r>
      <w:t xml:space="preserve"> </w:t>
    </w:r>
    <w:r w:rsidRPr="009F1A22">
      <w:t>report</w:t>
    </w:r>
    <w:r>
      <w:t xml:space="preserve"> </w:t>
    </w:r>
    <w:r w:rsidRPr="009F1A22">
      <w:t>2019</w:t>
    </w:r>
    <w:r>
      <w:t>–20</w:t>
    </w:r>
    <w:r w:rsidRPr="009F1A22">
      <w:rPr>
        <w:b/>
        <w:bCs/>
      </w:rPr>
      <w:ptab w:relativeTo="margin" w:alignment="right" w:leader="none"/>
    </w:r>
    <w:r w:rsidRPr="009F1A22">
      <w:rPr>
        <w:rStyle w:val="ARpagenumber"/>
      </w:rPr>
      <w:fldChar w:fldCharType="begin"/>
    </w:r>
    <w:r w:rsidRPr="00707E56">
      <w:rPr>
        <w:rStyle w:val="ARpagenumber"/>
      </w:rPr>
      <w:instrText xml:space="preserve"> PAGE </w:instrText>
    </w:r>
    <w:r w:rsidRPr="009F1A22">
      <w:rPr>
        <w:rStyle w:val="ARpagenumber"/>
      </w:rPr>
      <w:fldChar w:fldCharType="separate"/>
    </w:r>
    <w:r>
      <w:rPr>
        <w:rStyle w:val="ARpagenumber"/>
        <w:noProof/>
      </w:rPr>
      <w:t>126</w:t>
    </w:r>
    <w:r w:rsidRPr="009F1A22">
      <w:rPr>
        <w:rStyle w:val="ARpagenumber"/>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CD5B8F" w14:textId="77777777" w:rsidR="00061938" w:rsidRDefault="00061938" w:rsidP="009F1A22">
    <w:pPr>
      <w:pStyle w:val="ARfooter"/>
    </w:pPr>
    <w:r w:rsidRPr="00A575C6">
      <w:rPr>
        <w:rStyle w:val="ARpagenumber"/>
      </w:rPr>
      <w:fldChar w:fldCharType="begin"/>
    </w:r>
    <w:r w:rsidRPr="00A575C6">
      <w:rPr>
        <w:rStyle w:val="ARpagenumber"/>
      </w:rPr>
      <w:instrText xml:space="preserve"> PAGE </w:instrText>
    </w:r>
    <w:r w:rsidRPr="00A575C6">
      <w:rPr>
        <w:rStyle w:val="ARpagenumber"/>
      </w:rPr>
      <w:fldChar w:fldCharType="separate"/>
    </w:r>
    <w:r>
      <w:rPr>
        <w:rStyle w:val="ARpagenumber"/>
        <w:noProof/>
      </w:rPr>
      <w:t>130</w:t>
    </w:r>
    <w:r w:rsidRPr="00A575C6">
      <w:rPr>
        <w:rStyle w:val="ARpagenumber"/>
      </w:rPr>
      <w:fldChar w:fldCharType="end"/>
    </w:r>
    <w:r>
      <w:ptab w:relativeTo="margin" w:alignment="right" w:leader="none"/>
    </w:r>
    <w:r w:rsidRPr="00021589">
      <w:t>Department</w:t>
    </w:r>
    <w:r>
      <w:t xml:space="preserve"> </w:t>
    </w:r>
    <w:r w:rsidRPr="00021589">
      <w:t>of</w:t>
    </w:r>
    <w:r>
      <w:t xml:space="preserve"> </w:t>
    </w:r>
    <w:r w:rsidRPr="00021589">
      <w:t>Health</w:t>
    </w:r>
    <w:r>
      <w:t xml:space="preserve"> </w:t>
    </w:r>
    <w:r w:rsidRPr="00021589">
      <w:t>and</w:t>
    </w:r>
    <w:r>
      <w:t xml:space="preserve"> </w:t>
    </w:r>
    <w:r w:rsidRPr="00021589">
      <w:t>Human</w:t>
    </w:r>
    <w:r>
      <w:t xml:space="preserve"> </w:t>
    </w:r>
    <w:r w:rsidRPr="00021589">
      <w:t>Services</w:t>
    </w:r>
    <w:r>
      <w:t xml:space="preserve"> </w:t>
    </w:r>
    <w:r w:rsidRPr="00021589">
      <w:t>annual</w:t>
    </w:r>
    <w:r>
      <w:t xml:space="preserve"> </w:t>
    </w:r>
    <w:r w:rsidRPr="00021589">
      <w:t>report</w:t>
    </w:r>
    <w:r>
      <w:t xml:space="preserve"> </w:t>
    </w:r>
    <w:r w:rsidRPr="00021589">
      <w:t>2019–20</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6914C6" w14:textId="3E1D593D" w:rsidR="00061938" w:rsidRPr="00D015AF" w:rsidRDefault="00061938" w:rsidP="00D015AF">
    <w:pPr>
      <w:pStyle w:val="ARfooter"/>
    </w:pPr>
    <w:r w:rsidRPr="009F1A22">
      <w:t>Department</w:t>
    </w:r>
    <w:r>
      <w:t xml:space="preserve"> </w:t>
    </w:r>
    <w:r w:rsidRPr="009F1A22">
      <w:t>of</w:t>
    </w:r>
    <w:r>
      <w:t xml:space="preserve"> </w:t>
    </w:r>
    <w:r w:rsidRPr="009F1A22">
      <w:t>Health</w:t>
    </w:r>
    <w:r>
      <w:t xml:space="preserve"> </w:t>
    </w:r>
    <w:r w:rsidRPr="009F1A22">
      <w:t>and</w:t>
    </w:r>
    <w:r>
      <w:t xml:space="preserve"> </w:t>
    </w:r>
    <w:r w:rsidRPr="009F1A22">
      <w:t>Human</w:t>
    </w:r>
    <w:r>
      <w:t xml:space="preserve"> </w:t>
    </w:r>
    <w:r w:rsidRPr="009F1A22">
      <w:t>Services</w:t>
    </w:r>
    <w:r>
      <w:t xml:space="preserve"> </w:t>
    </w:r>
    <w:r w:rsidRPr="009F1A22">
      <w:t>annual</w:t>
    </w:r>
    <w:r>
      <w:t xml:space="preserve"> </w:t>
    </w:r>
    <w:r w:rsidRPr="009F1A22">
      <w:t>report</w:t>
    </w:r>
    <w:r>
      <w:t xml:space="preserve"> </w:t>
    </w:r>
    <w:r w:rsidRPr="009F1A22">
      <w:t>2019</w:t>
    </w:r>
    <w:r>
      <w:t>–20</w:t>
    </w:r>
    <w:r w:rsidRPr="009F1A22">
      <w:rPr>
        <w:b/>
        <w:bCs/>
      </w:rPr>
      <w:ptab w:relativeTo="margin" w:alignment="right" w:leader="none"/>
    </w:r>
    <w:r w:rsidRPr="009F1A22">
      <w:rPr>
        <w:rStyle w:val="ARpagenumber"/>
      </w:rPr>
      <w:fldChar w:fldCharType="begin"/>
    </w:r>
    <w:r w:rsidRPr="00707E56">
      <w:rPr>
        <w:rStyle w:val="ARpagenumber"/>
      </w:rPr>
      <w:instrText xml:space="preserve"> PAGE </w:instrText>
    </w:r>
    <w:r w:rsidRPr="009F1A22">
      <w:rPr>
        <w:rStyle w:val="ARpagenumber"/>
      </w:rPr>
      <w:fldChar w:fldCharType="separate"/>
    </w:r>
    <w:r>
      <w:rPr>
        <w:rStyle w:val="ARpagenumber"/>
        <w:noProof/>
      </w:rPr>
      <w:t>128</w:t>
    </w:r>
    <w:r w:rsidRPr="009F1A22">
      <w:rPr>
        <w:rStyle w:val="ARpagenumber"/>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89D0C1" w14:textId="77777777" w:rsidR="00061938" w:rsidRDefault="00061938" w:rsidP="009F1A22">
    <w:pPr>
      <w:pStyle w:val="ARfooter"/>
    </w:pPr>
    <w:r w:rsidRPr="00A575C6">
      <w:rPr>
        <w:rStyle w:val="ARpagenumber"/>
      </w:rPr>
      <w:fldChar w:fldCharType="begin"/>
    </w:r>
    <w:r w:rsidRPr="00A575C6">
      <w:rPr>
        <w:rStyle w:val="ARpagenumber"/>
      </w:rPr>
      <w:instrText xml:space="preserve"> PAGE </w:instrText>
    </w:r>
    <w:r w:rsidRPr="00A575C6">
      <w:rPr>
        <w:rStyle w:val="ARpagenumber"/>
      </w:rPr>
      <w:fldChar w:fldCharType="separate"/>
    </w:r>
    <w:r>
      <w:rPr>
        <w:rStyle w:val="ARpagenumber"/>
        <w:noProof/>
      </w:rPr>
      <w:t>130</w:t>
    </w:r>
    <w:r w:rsidRPr="00A575C6">
      <w:rPr>
        <w:rStyle w:val="ARpagenumber"/>
      </w:rPr>
      <w:fldChar w:fldCharType="end"/>
    </w:r>
    <w:r>
      <w:ptab w:relativeTo="margin" w:alignment="right" w:leader="none"/>
    </w:r>
    <w:r w:rsidRPr="00021589">
      <w:t>Department</w:t>
    </w:r>
    <w:r>
      <w:t xml:space="preserve"> </w:t>
    </w:r>
    <w:r w:rsidRPr="00021589">
      <w:t>of</w:t>
    </w:r>
    <w:r>
      <w:t xml:space="preserve"> </w:t>
    </w:r>
    <w:r w:rsidRPr="00021589">
      <w:t>Health</w:t>
    </w:r>
    <w:r>
      <w:t xml:space="preserve"> </w:t>
    </w:r>
    <w:r w:rsidRPr="00021589">
      <w:t>and</w:t>
    </w:r>
    <w:r>
      <w:t xml:space="preserve"> </w:t>
    </w:r>
    <w:r w:rsidRPr="00021589">
      <w:t>Human</w:t>
    </w:r>
    <w:r>
      <w:t xml:space="preserve"> </w:t>
    </w:r>
    <w:r w:rsidRPr="00021589">
      <w:t>Services</w:t>
    </w:r>
    <w:r>
      <w:t xml:space="preserve"> </w:t>
    </w:r>
    <w:r w:rsidRPr="00021589">
      <w:t>annual</w:t>
    </w:r>
    <w:r>
      <w:t xml:space="preserve"> </w:t>
    </w:r>
    <w:r w:rsidRPr="00021589">
      <w:t>report</w:t>
    </w:r>
    <w:r>
      <w:t xml:space="preserve"> </w:t>
    </w:r>
    <w:r w:rsidRPr="00021589">
      <w:t>2019–20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D3D6EC" w14:textId="77777777" w:rsidR="00061938" w:rsidRDefault="00061938">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4A1791" w14:textId="43CDB0B2" w:rsidR="00061938" w:rsidRPr="008974B8" w:rsidRDefault="00061938" w:rsidP="008974B8">
    <w:pPr>
      <w:pStyle w:val="ARfooter"/>
    </w:pPr>
    <w:r w:rsidRPr="009F1A22">
      <w:t>Department</w:t>
    </w:r>
    <w:r>
      <w:t xml:space="preserve"> </w:t>
    </w:r>
    <w:r w:rsidRPr="009F1A22">
      <w:t>of</w:t>
    </w:r>
    <w:r>
      <w:t xml:space="preserve"> </w:t>
    </w:r>
    <w:r w:rsidRPr="009F1A22">
      <w:t>Health</w:t>
    </w:r>
    <w:r>
      <w:t xml:space="preserve"> </w:t>
    </w:r>
    <w:r w:rsidRPr="009F1A22">
      <w:t>and</w:t>
    </w:r>
    <w:r>
      <w:t xml:space="preserve"> </w:t>
    </w:r>
    <w:r w:rsidRPr="009F1A22">
      <w:t>Human</w:t>
    </w:r>
    <w:r>
      <w:t xml:space="preserve"> </w:t>
    </w:r>
    <w:r w:rsidRPr="009F1A22">
      <w:t>Services</w:t>
    </w:r>
    <w:r>
      <w:t xml:space="preserve"> </w:t>
    </w:r>
    <w:r w:rsidRPr="009F1A22">
      <w:t>annual</w:t>
    </w:r>
    <w:r>
      <w:t xml:space="preserve"> </w:t>
    </w:r>
    <w:r w:rsidRPr="009F1A22">
      <w:t>report</w:t>
    </w:r>
    <w:r>
      <w:t xml:space="preserve"> </w:t>
    </w:r>
    <w:r w:rsidRPr="009F1A22">
      <w:t>2019</w:t>
    </w:r>
    <w:r>
      <w:t>–20</w:t>
    </w:r>
    <w:r w:rsidRPr="009F1A22">
      <w:rPr>
        <w:b/>
        <w:bCs/>
      </w:rPr>
      <w:ptab w:relativeTo="margin" w:alignment="right" w:leader="none"/>
    </w:r>
    <w:r w:rsidRPr="009F1A22">
      <w:rPr>
        <w:rStyle w:val="ARpagenumber"/>
      </w:rPr>
      <w:fldChar w:fldCharType="begin"/>
    </w:r>
    <w:r w:rsidRPr="00707E56">
      <w:rPr>
        <w:rStyle w:val="ARpagenumber"/>
      </w:rPr>
      <w:instrText xml:space="preserve"> PAGE </w:instrText>
    </w:r>
    <w:r w:rsidRPr="009F1A22">
      <w:rPr>
        <w:rStyle w:val="ARpagenumber"/>
      </w:rPr>
      <w:fldChar w:fldCharType="separate"/>
    </w:r>
    <w:r>
      <w:rPr>
        <w:rStyle w:val="ARpagenumber"/>
        <w:noProof/>
      </w:rPr>
      <w:t>134</w:t>
    </w:r>
    <w:r w:rsidRPr="009F1A22">
      <w:rPr>
        <w:rStyle w:val="ARpagenumber"/>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6F093A" w14:textId="77777777" w:rsidR="00061938" w:rsidRDefault="00061938" w:rsidP="009F1A22">
    <w:pPr>
      <w:pStyle w:val="ARfooter"/>
    </w:pPr>
    <w:r w:rsidRPr="00A575C6">
      <w:rPr>
        <w:rStyle w:val="ARpagenumber"/>
      </w:rPr>
      <w:fldChar w:fldCharType="begin"/>
    </w:r>
    <w:r w:rsidRPr="00A575C6">
      <w:rPr>
        <w:rStyle w:val="ARpagenumber"/>
      </w:rPr>
      <w:instrText xml:space="preserve"> PAGE </w:instrText>
    </w:r>
    <w:r w:rsidRPr="00A575C6">
      <w:rPr>
        <w:rStyle w:val="ARpagenumber"/>
      </w:rPr>
      <w:fldChar w:fldCharType="separate"/>
    </w:r>
    <w:r>
      <w:rPr>
        <w:rStyle w:val="ARpagenumber"/>
        <w:noProof/>
      </w:rPr>
      <w:t>132</w:t>
    </w:r>
    <w:r w:rsidRPr="00A575C6">
      <w:rPr>
        <w:rStyle w:val="ARpagenumber"/>
      </w:rPr>
      <w:fldChar w:fldCharType="end"/>
    </w:r>
    <w:r>
      <w:ptab w:relativeTo="margin" w:alignment="right" w:leader="none"/>
    </w:r>
    <w:r w:rsidRPr="00021589">
      <w:t>Department</w:t>
    </w:r>
    <w:r>
      <w:t xml:space="preserve"> </w:t>
    </w:r>
    <w:r w:rsidRPr="00021589">
      <w:t>of</w:t>
    </w:r>
    <w:r>
      <w:t xml:space="preserve"> </w:t>
    </w:r>
    <w:r w:rsidRPr="00021589">
      <w:t>Health</w:t>
    </w:r>
    <w:r>
      <w:t xml:space="preserve"> </w:t>
    </w:r>
    <w:r w:rsidRPr="00021589">
      <w:t>and</w:t>
    </w:r>
    <w:r>
      <w:t xml:space="preserve"> </w:t>
    </w:r>
    <w:r w:rsidRPr="00021589">
      <w:t>Human</w:t>
    </w:r>
    <w:r>
      <w:t xml:space="preserve"> </w:t>
    </w:r>
    <w:r w:rsidRPr="00021589">
      <w:t>Services</w:t>
    </w:r>
    <w:r>
      <w:t xml:space="preserve"> </w:t>
    </w:r>
    <w:r w:rsidRPr="00021589">
      <w:t>annual</w:t>
    </w:r>
    <w:r>
      <w:t xml:space="preserve"> </w:t>
    </w:r>
    <w:r w:rsidRPr="00021589">
      <w:t>report</w:t>
    </w:r>
    <w:r>
      <w:t xml:space="preserve"> </w:t>
    </w:r>
    <w:r w:rsidRPr="00021589">
      <w:t>2019–20</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3A18D4" w14:textId="11D47763" w:rsidR="00061938" w:rsidRPr="0037374F" w:rsidRDefault="00061938" w:rsidP="0037374F">
    <w:pPr>
      <w:pStyle w:val="ARfooter"/>
    </w:pPr>
    <w:r w:rsidRPr="009F1A22">
      <w:t>Department</w:t>
    </w:r>
    <w:r>
      <w:t xml:space="preserve"> </w:t>
    </w:r>
    <w:r w:rsidRPr="009F1A22">
      <w:t>of</w:t>
    </w:r>
    <w:r>
      <w:t xml:space="preserve"> </w:t>
    </w:r>
    <w:r w:rsidRPr="009F1A22">
      <w:t>Health</w:t>
    </w:r>
    <w:r>
      <w:t xml:space="preserve"> </w:t>
    </w:r>
    <w:r w:rsidRPr="009F1A22">
      <w:t>and</w:t>
    </w:r>
    <w:r>
      <w:t xml:space="preserve"> </w:t>
    </w:r>
    <w:r w:rsidRPr="009F1A22">
      <w:t>Human</w:t>
    </w:r>
    <w:r>
      <w:t xml:space="preserve"> </w:t>
    </w:r>
    <w:r w:rsidRPr="009F1A22">
      <w:t>Services</w:t>
    </w:r>
    <w:r>
      <w:t xml:space="preserve"> </w:t>
    </w:r>
    <w:r w:rsidRPr="009F1A22">
      <w:t>annual</w:t>
    </w:r>
    <w:r>
      <w:t xml:space="preserve"> </w:t>
    </w:r>
    <w:r w:rsidRPr="009F1A22">
      <w:t>report</w:t>
    </w:r>
    <w:r>
      <w:t xml:space="preserve"> </w:t>
    </w:r>
    <w:r w:rsidRPr="009F1A22">
      <w:t>2019</w:t>
    </w:r>
    <w:r>
      <w:t>–20</w:t>
    </w:r>
    <w:r w:rsidRPr="009F1A22">
      <w:rPr>
        <w:b/>
        <w:bCs/>
      </w:rPr>
      <w:ptab w:relativeTo="margin" w:alignment="right" w:leader="none"/>
    </w:r>
    <w:r w:rsidRPr="009F1A22">
      <w:rPr>
        <w:rStyle w:val="ARpagenumber"/>
      </w:rPr>
      <w:fldChar w:fldCharType="begin"/>
    </w:r>
    <w:r w:rsidRPr="00707E56">
      <w:rPr>
        <w:rStyle w:val="ARpagenumber"/>
      </w:rPr>
      <w:instrText xml:space="preserve"> PAGE </w:instrText>
    </w:r>
    <w:r w:rsidRPr="009F1A22">
      <w:rPr>
        <w:rStyle w:val="ARpagenumber"/>
      </w:rPr>
      <w:fldChar w:fldCharType="separate"/>
    </w:r>
    <w:r>
      <w:rPr>
        <w:rStyle w:val="ARpagenumber"/>
        <w:noProof/>
      </w:rPr>
      <w:t>134</w:t>
    </w:r>
    <w:r w:rsidRPr="009F1A22">
      <w:rPr>
        <w:rStyle w:val="ARpagenumber"/>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6FA651" w14:textId="3BE55F25" w:rsidR="00061938" w:rsidRPr="0037374F" w:rsidRDefault="00061938" w:rsidP="0037374F">
    <w:pPr>
      <w:pStyle w:val="ARfooter"/>
    </w:pPr>
    <w:r w:rsidRPr="00A575C6">
      <w:rPr>
        <w:rStyle w:val="ARpagenumber"/>
      </w:rPr>
      <w:fldChar w:fldCharType="begin"/>
    </w:r>
    <w:r w:rsidRPr="00A575C6">
      <w:rPr>
        <w:rStyle w:val="ARpagenumber"/>
      </w:rPr>
      <w:instrText xml:space="preserve"> PAGE </w:instrText>
    </w:r>
    <w:r w:rsidRPr="00A575C6">
      <w:rPr>
        <w:rStyle w:val="ARpagenumber"/>
      </w:rPr>
      <w:fldChar w:fldCharType="separate"/>
    </w:r>
    <w:r>
      <w:rPr>
        <w:rStyle w:val="ARpagenumber"/>
        <w:noProof/>
      </w:rPr>
      <w:t>138</w:t>
    </w:r>
    <w:r w:rsidRPr="00A575C6">
      <w:rPr>
        <w:rStyle w:val="ARpagenumber"/>
      </w:rPr>
      <w:fldChar w:fldCharType="end"/>
    </w:r>
    <w:r>
      <w:ptab w:relativeTo="margin" w:alignment="right" w:leader="none"/>
    </w:r>
    <w:r w:rsidRPr="00021589">
      <w:t>Department</w:t>
    </w:r>
    <w:r>
      <w:t xml:space="preserve"> </w:t>
    </w:r>
    <w:r w:rsidRPr="00021589">
      <w:t>of</w:t>
    </w:r>
    <w:r>
      <w:t xml:space="preserve"> </w:t>
    </w:r>
    <w:r w:rsidRPr="00021589">
      <w:t>Health</w:t>
    </w:r>
    <w:r>
      <w:t xml:space="preserve"> </w:t>
    </w:r>
    <w:r w:rsidRPr="00021589">
      <w:t>and</w:t>
    </w:r>
    <w:r>
      <w:t xml:space="preserve"> </w:t>
    </w:r>
    <w:r w:rsidRPr="00021589">
      <w:t>Human</w:t>
    </w:r>
    <w:r>
      <w:t xml:space="preserve"> </w:t>
    </w:r>
    <w:r w:rsidRPr="00021589">
      <w:t>Services</w:t>
    </w:r>
    <w:r>
      <w:t xml:space="preserve"> </w:t>
    </w:r>
    <w:r w:rsidRPr="00021589">
      <w:t>annual</w:t>
    </w:r>
    <w:r>
      <w:t xml:space="preserve"> </w:t>
    </w:r>
    <w:r w:rsidRPr="00021589">
      <w:t>report</w:t>
    </w:r>
    <w:r>
      <w:t xml:space="preserve"> </w:t>
    </w:r>
    <w:r w:rsidRPr="00021589">
      <w:t>2019–20</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DA63AC" w14:textId="77777777" w:rsidR="00061938" w:rsidRPr="0037374F" w:rsidRDefault="00061938" w:rsidP="0037374F">
    <w:pPr>
      <w:pStyle w:val="ARfooter"/>
    </w:pPr>
    <w:r w:rsidRPr="009F1A22">
      <w:t>Department</w:t>
    </w:r>
    <w:r>
      <w:t xml:space="preserve"> </w:t>
    </w:r>
    <w:r w:rsidRPr="009F1A22">
      <w:t>of</w:t>
    </w:r>
    <w:r>
      <w:t xml:space="preserve"> </w:t>
    </w:r>
    <w:r w:rsidRPr="009F1A22">
      <w:t>Health</w:t>
    </w:r>
    <w:r>
      <w:t xml:space="preserve"> </w:t>
    </w:r>
    <w:r w:rsidRPr="009F1A22">
      <w:t>and</w:t>
    </w:r>
    <w:r>
      <w:t xml:space="preserve"> </w:t>
    </w:r>
    <w:r w:rsidRPr="009F1A22">
      <w:t>Human</w:t>
    </w:r>
    <w:r>
      <w:t xml:space="preserve"> </w:t>
    </w:r>
    <w:r w:rsidRPr="009F1A22">
      <w:t>Services</w:t>
    </w:r>
    <w:r>
      <w:t xml:space="preserve"> </w:t>
    </w:r>
    <w:r w:rsidRPr="009F1A22">
      <w:t>annual</w:t>
    </w:r>
    <w:r>
      <w:t xml:space="preserve"> </w:t>
    </w:r>
    <w:r w:rsidRPr="009F1A22">
      <w:t>report</w:t>
    </w:r>
    <w:r>
      <w:t xml:space="preserve"> </w:t>
    </w:r>
    <w:r w:rsidRPr="009F1A22">
      <w:t>2019</w:t>
    </w:r>
    <w:r>
      <w:t>–20</w:t>
    </w:r>
    <w:r w:rsidRPr="009F1A22">
      <w:rPr>
        <w:b/>
        <w:bCs/>
      </w:rPr>
      <w:ptab w:relativeTo="margin" w:alignment="right" w:leader="none"/>
    </w:r>
    <w:r w:rsidRPr="009F1A22">
      <w:rPr>
        <w:rStyle w:val="ARpagenumber"/>
      </w:rPr>
      <w:fldChar w:fldCharType="begin"/>
    </w:r>
    <w:r w:rsidRPr="00707E56">
      <w:rPr>
        <w:rStyle w:val="ARpagenumber"/>
      </w:rPr>
      <w:instrText xml:space="preserve"> PAGE </w:instrText>
    </w:r>
    <w:r w:rsidRPr="009F1A22">
      <w:rPr>
        <w:rStyle w:val="ARpagenumber"/>
      </w:rPr>
      <w:fldChar w:fldCharType="separate"/>
    </w:r>
    <w:r>
      <w:rPr>
        <w:rStyle w:val="ARpagenumber"/>
        <w:noProof/>
      </w:rPr>
      <w:t>136</w:t>
    </w:r>
    <w:r w:rsidRPr="009F1A22">
      <w:rPr>
        <w:rStyle w:val="ARpagenumber"/>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25A9F" w14:textId="1CD96D78" w:rsidR="00061938" w:rsidRPr="0037374F" w:rsidRDefault="00061938" w:rsidP="0037374F">
    <w:pPr>
      <w:pStyle w:val="ARfooter"/>
    </w:pPr>
    <w:r w:rsidRPr="00A575C6">
      <w:rPr>
        <w:rStyle w:val="ARpagenumber"/>
      </w:rPr>
      <w:fldChar w:fldCharType="begin"/>
    </w:r>
    <w:r w:rsidRPr="00A575C6">
      <w:rPr>
        <w:rStyle w:val="ARpagenumber"/>
      </w:rPr>
      <w:instrText xml:space="preserve"> PAGE </w:instrText>
    </w:r>
    <w:r w:rsidRPr="00A575C6">
      <w:rPr>
        <w:rStyle w:val="ARpagenumber"/>
      </w:rPr>
      <w:fldChar w:fldCharType="separate"/>
    </w:r>
    <w:r>
      <w:rPr>
        <w:rStyle w:val="ARpagenumber"/>
        <w:noProof/>
      </w:rPr>
      <w:t>140</w:t>
    </w:r>
    <w:r w:rsidRPr="00A575C6">
      <w:rPr>
        <w:rStyle w:val="ARpagenumber"/>
      </w:rPr>
      <w:fldChar w:fldCharType="end"/>
    </w:r>
    <w:r>
      <w:ptab w:relativeTo="margin" w:alignment="right" w:leader="none"/>
    </w:r>
    <w:r w:rsidRPr="00021589">
      <w:t>Department</w:t>
    </w:r>
    <w:r>
      <w:t xml:space="preserve"> </w:t>
    </w:r>
    <w:r w:rsidRPr="00021589">
      <w:t>of</w:t>
    </w:r>
    <w:r>
      <w:t xml:space="preserve"> </w:t>
    </w:r>
    <w:r w:rsidRPr="00021589">
      <w:t>Health</w:t>
    </w:r>
    <w:r>
      <w:t xml:space="preserve"> </w:t>
    </w:r>
    <w:r w:rsidRPr="00021589">
      <w:t>and</w:t>
    </w:r>
    <w:r>
      <w:t xml:space="preserve"> </w:t>
    </w:r>
    <w:r w:rsidRPr="00021589">
      <w:t>Human</w:t>
    </w:r>
    <w:r>
      <w:t xml:space="preserve"> </w:t>
    </w:r>
    <w:r w:rsidRPr="00021589">
      <w:t>Services</w:t>
    </w:r>
    <w:r>
      <w:t xml:space="preserve"> </w:t>
    </w:r>
    <w:r w:rsidRPr="00021589">
      <w:t>annual</w:t>
    </w:r>
    <w:r>
      <w:t xml:space="preserve"> </w:t>
    </w:r>
    <w:r w:rsidRPr="00021589">
      <w:t>report</w:t>
    </w:r>
    <w:r>
      <w:t xml:space="preserve"> </w:t>
    </w:r>
    <w:r w:rsidRPr="00021589">
      <w:t>2019–20</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CAD6D8" w14:textId="3C5D11A6" w:rsidR="00061938" w:rsidRPr="0037374F" w:rsidRDefault="00061938" w:rsidP="0037374F">
    <w:pPr>
      <w:pStyle w:val="ARfooter"/>
    </w:pPr>
    <w:r w:rsidRPr="009F1A22">
      <w:t>Department</w:t>
    </w:r>
    <w:r>
      <w:t xml:space="preserve"> </w:t>
    </w:r>
    <w:r w:rsidRPr="009F1A22">
      <w:t>of</w:t>
    </w:r>
    <w:r>
      <w:t xml:space="preserve"> </w:t>
    </w:r>
    <w:r w:rsidRPr="009F1A22">
      <w:t>Health</w:t>
    </w:r>
    <w:r>
      <w:t xml:space="preserve"> </w:t>
    </w:r>
    <w:r w:rsidRPr="009F1A22">
      <w:t>and</w:t>
    </w:r>
    <w:r>
      <w:t xml:space="preserve"> </w:t>
    </w:r>
    <w:r w:rsidRPr="009F1A22">
      <w:t>Human</w:t>
    </w:r>
    <w:r>
      <w:t xml:space="preserve"> </w:t>
    </w:r>
    <w:r w:rsidRPr="009F1A22">
      <w:t>Services</w:t>
    </w:r>
    <w:r>
      <w:t xml:space="preserve"> </w:t>
    </w:r>
    <w:r w:rsidRPr="009F1A22">
      <w:t>annual</w:t>
    </w:r>
    <w:r>
      <w:t xml:space="preserve"> </w:t>
    </w:r>
    <w:r w:rsidRPr="009F1A22">
      <w:t>report</w:t>
    </w:r>
    <w:r>
      <w:t xml:space="preserve"> </w:t>
    </w:r>
    <w:r w:rsidRPr="009F1A22">
      <w:t>2019</w:t>
    </w:r>
    <w:r>
      <w:t>–20</w:t>
    </w:r>
    <w:r w:rsidRPr="009F1A22">
      <w:rPr>
        <w:b/>
        <w:bCs/>
      </w:rPr>
      <w:ptab w:relativeTo="margin" w:alignment="right" w:leader="none"/>
    </w:r>
    <w:r w:rsidRPr="009F1A22">
      <w:rPr>
        <w:rStyle w:val="ARpagenumber"/>
      </w:rPr>
      <w:fldChar w:fldCharType="begin"/>
    </w:r>
    <w:r w:rsidRPr="00707E56">
      <w:rPr>
        <w:rStyle w:val="ARpagenumber"/>
      </w:rPr>
      <w:instrText xml:space="preserve"> PAGE </w:instrText>
    </w:r>
    <w:r w:rsidRPr="009F1A22">
      <w:rPr>
        <w:rStyle w:val="ARpagenumber"/>
      </w:rPr>
      <w:fldChar w:fldCharType="separate"/>
    </w:r>
    <w:r>
      <w:rPr>
        <w:rStyle w:val="ARpagenumber"/>
        <w:noProof/>
      </w:rPr>
      <w:t>148</w:t>
    </w:r>
    <w:r w:rsidRPr="009F1A22">
      <w:rPr>
        <w:rStyle w:val="ARpagenumber"/>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D67887" w14:textId="736FD2AE" w:rsidR="00061938" w:rsidRDefault="00061938" w:rsidP="009F1A22">
    <w:pPr>
      <w:pStyle w:val="ARfooter"/>
    </w:pPr>
    <w:r w:rsidRPr="009F1A22">
      <w:t>Department</w:t>
    </w:r>
    <w:r>
      <w:t xml:space="preserve"> </w:t>
    </w:r>
    <w:r w:rsidRPr="009F1A22">
      <w:t>of</w:t>
    </w:r>
    <w:r>
      <w:t xml:space="preserve"> </w:t>
    </w:r>
    <w:r w:rsidRPr="009F1A22">
      <w:t>Health</w:t>
    </w:r>
    <w:r>
      <w:t xml:space="preserve"> </w:t>
    </w:r>
    <w:r w:rsidRPr="009F1A22">
      <w:t>and</w:t>
    </w:r>
    <w:r>
      <w:t xml:space="preserve"> </w:t>
    </w:r>
    <w:r w:rsidRPr="009F1A22">
      <w:t>Human</w:t>
    </w:r>
    <w:r>
      <w:t xml:space="preserve"> </w:t>
    </w:r>
    <w:r w:rsidRPr="009F1A22">
      <w:t>Services</w:t>
    </w:r>
    <w:r>
      <w:t xml:space="preserve"> </w:t>
    </w:r>
    <w:r w:rsidRPr="009F1A22">
      <w:t>annual</w:t>
    </w:r>
    <w:r>
      <w:t xml:space="preserve"> </w:t>
    </w:r>
    <w:r w:rsidRPr="009F1A22">
      <w:t>report</w:t>
    </w:r>
    <w:r>
      <w:t xml:space="preserve"> </w:t>
    </w:r>
    <w:r w:rsidRPr="009F1A22">
      <w:t>201</w:t>
    </w:r>
    <w:r>
      <w:t>9–</w:t>
    </w:r>
    <w:r w:rsidRPr="009F1A22">
      <w:t>20</w:t>
    </w:r>
    <w:r>
      <w:ptab w:relativeTo="margin" w:alignment="right" w:leader="none"/>
    </w:r>
    <w:r w:rsidRPr="00A575C6">
      <w:rPr>
        <w:rStyle w:val="ARpagenumber"/>
      </w:rPr>
      <w:fldChar w:fldCharType="begin"/>
    </w:r>
    <w:r w:rsidRPr="00A575C6">
      <w:rPr>
        <w:rStyle w:val="ARpagenumber"/>
      </w:rPr>
      <w:instrText xml:space="preserve"> PAGE </w:instrText>
    </w:r>
    <w:r w:rsidRPr="00A575C6">
      <w:rPr>
        <w:rStyle w:val="ARpagenumber"/>
      </w:rPr>
      <w:fldChar w:fldCharType="separate"/>
    </w:r>
    <w:r>
      <w:rPr>
        <w:rStyle w:val="ARpagenumber"/>
        <w:noProof/>
      </w:rPr>
      <w:t>169</w:t>
    </w:r>
    <w:r w:rsidRPr="00A575C6">
      <w:rPr>
        <w:rStyle w:val="ARpagenumber"/>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4AD601" w14:textId="77777777" w:rsidR="00061938" w:rsidRDefault="00061938">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7F822E" w14:textId="1675A4ED" w:rsidR="00061938" w:rsidRPr="0037374F" w:rsidRDefault="00061938" w:rsidP="0037374F">
    <w:pPr>
      <w:pStyle w:val="ARfooter"/>
    </w:pPr>
    <w:r w:rsidRPr="009F1A22">
      <w:t>Department</w:t>
    </w:r>
    <w:r>
      <w:t xml:space="preserve"> </w:t>
    </w:r>
    <w:r w:rsidRPr="009F1A22">
      <w:t>of</w:t>
    </w:r>
    <w:r>
      <w:t xml:space="preserve"> </w:t>
    </w:r>
    <w:r w:rsidRPr="009F1A22">
      <w:t>Health</w:t>
    </w:r>
    <w:r>
      <w:t xml:space="preserve"> </w:t>
    </w:r>
    <w:r w:rsidRPr="009F1A22">
      <w:t>and</w:t>
    </w:r>
    <w:r>
      <w:t xml:space="preserve"> </w:t>
    </w:r>
    <w:r w:rsidRPr="009F1A22">
      <w:t>Human</w:t>
    </w:r>
    <w:r>
      <w:t xml:space="preserve"> </w:t>
    </w:r>
    <w:r w:rsidRPr="009F1A22">
      <w:t>Services</w:t>
    </w:r>
    <w:r>
      <w:t xml:space="preserve"> </w:t>
    </w:r>
    <w:r w:rsidRPr="009F1A22">
      <w:t>annual</w:t>
    </w:r>
    <w:r>
      <w:t xml:space="preserve"> </w:t>
    </w:r>
    <w:r w:rsidRPr="009F1A22">
      <w:t>report</w:t>
    </w:r>
    <w:r>
      <w:t xml:space="preserve"> </w:t>
    </w:r>
    <w:r w:rsidRPr="009F1A22">
      <w:t>201</w:t>
    </w:r>
    <w:r>
      <w:t>9–</w:t>
    </w:r>
    <w:r w:rsidRPr="009F1A22">
      <w:t>20</w:t>
    </w:r>
    <w:r>
      <w:ptab w:relativeTo="margin" w:alignment="right" w:leader="none"/>
    </w:r>
    <w:r w:rsidRPr="00A575C6">
      <w:rPr>
        <w:rStyle w:val="ARpagenumber"/>
      </w:rPr>
      <w:fldChar w:fldCharType="begin"/>
    </w:r>
    <w:r w:rsidRPr="00A575C6">
      <w:rPr>
        <w:rStyle w:val="ARpagenumber"/>
      </w:rPr>
      <w:instrText xml:space="preserve"> PAGE </w:instrText>
    </w:r>
    <w:r w:rsidRPr="00A575C6">
      <w:rPr>
        <w:rStyle w:val="ARpagenumber"/>
      </w:rPr>
      <w:fldChar w:fldCharType="separate"/>
    </w:r>
    <w:r>
      <w:rPr>
        <w:rStyle w:val="ARpagenumber"/>
        <w:noProof/>
      </w:rPr>
      <w:t>168</w:t>
    </w:r>
    <w:r w:rsidRPr="00A575C6">
      <w:rPr>
        <w:rStyle w:val="AR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C0C6FF" w14:textId="01CE926C" w:rsidR="00061938" w:rsidRDefault="00061938" w:rsidP="009F6CFE">
    <w:pPr>
      <w:pStyle w:val="ARfooter"/>
    </w:pPr>
    <w:r w:rsidRPr="00A575C6">
      <w:rPr>
        <w:rStyle w:val="ARpagenumber"/>
      </w:rPr>
      <w:fldChar w:fldCharType="begin"/>
    </w:r>
    <w:r w:rsidRPr="00A575C6">
      <w:rPr>
        <w:rStyle w:val="ARpagenumber"/>
      </w:rPr>
      <w:instrText xml:space="preserve"> PAGE </w:instrText>
    </w:r>
    <w:r w:rsidRPr="00A575C6">
      <w:rPr>
        <w:rStyle w:val="ARpagenumber"/>
      </w:rPr>
      <w:fldChar w:fldCharType="separate"/>
    </w:r>
    <w:r>
      <w:rPr>
        <w:rStyle w:val="ARpagenumber"/>
        <w:noProof/>
      </w:rPr>
      <w:t>4</w:t>
    </w:r>
    <w:r w:rsidRPr="00A575C6">
      <w:rPr>
        <w:rStyle w:val="ARpagenumber"/>
      </w:rPr>
      <w:fldChar w:fldCharType="end"/>
    </w:r>
    <w:r>
      <w:ptab w:relativeTo="margin" w:alignment="right" w:leader="none"/>
    </w:r>
    <w:r w:rsidRPr="009F1A22">
      <w:t>Department</w:t>
    </w:r>
    <w:r>
      <w:t xml:space="preserve"> </w:t>
    </w:r>
    <w:r w:rsidRPr="009F1A22">
      <w:t>of</w:t>
    </w:r>
    <w:r>
      <w:t xml:space="preserve"> </w:t>
    </w:r>
    <w:r w:rsidRPr="009F1A22">
      <w:t>Health</w:t>
    </w:r>
    <w:r>
      <w:t xml:space="preserve"> </w:t>
    </w:r>
    <w:r w:rsidRPr="009F1A22">
      <w:t>and</w:t>
    </w:r>
    <w:r>
      <w:t xml:space="preserve"> </w:t>
    </w:r>
    <w:r w:rsidRPr="009F1A22">
      <w:t>Human</w:t>
    </w:r>
    <w:r>
      <w:t xml:space="preserve"> </w:t>
    </w:r>
    <w:r w:rsidRPr="009F1A22">
      <w:t>Services</w:t>
    </w:r>
    <w:r>
      <w:t xml:space="preserve"> </w:t>
    </w:r>
    <w:r w:rsidRPr="009F1A22">
      <w:t>annual</w:t>
    </w:r>
    <w:r>
      <w:t xml:space="preserve"> </w:t>
    </w:r>
    <w:r w:rsidRPr="009F1A22">
      <w:t>report</w:t>
    </w:r>
    <w:r>
      <w:t xml:space="preserve"> </w:t>
    </w:r>
    <w:r w:rsidRPr="009F1A22">
      <w:t>2019–20</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62278" w14:textId="77777777" w:rsidR="00061938" w:rsidRDefault="00061938">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2AB1ED" w14:textId="77777777" w:rsidR="00061938" w:rsidRPr="0037374F" w:rsidRDefault="00061938" w:rsidP="0037374F">
    <w:pPr>
      <w:pStyle w:val="ARfooter"/>
    </w:pPr>
    <w:r w:rsidRPr="00A575C6">
      <w:rPr>
        <w:rStyle w:val="ARpagenumber"/>
      </w:rPr>
      <w:fldChar w:fldCharType="begin"/>
    </w:r>
    <w:r w:rsidRPr="00A575C6">
      <w:rPr>
        <w:rStyle w:val="ARpagenumber"/>
      </w:rPr>
      <w:instrText xml:space="preserve"> PAGE </w:instrText>
    </w:r>
    <w:r w:rsidRPr="00A575C6">
      <w:rPr>
        <w:rStyle w:val="ARpagenumber"/>
      </w:rPr>
      <w:fldChar w:fldCharType="separate"/>
    </w:r>
    <w:r>
      <w:rPr>
        <w:rStyle w:val="ARpagenumber"/>
        <w:noProof/>
      </w:rPr>
      <w:t>194</w:t>
    </w:r>
    <w:r w:rsidRPr="00A575C6">
      <w:rPr>
        <w:rStyle w:val="ARpagenumber"/>
      </w:rPr>
      <w:fldChar w:fldCharType="end"/>
    </w:r>
    <w:r>
      <w:ptab w:relativeTo="margin" w:alignment="right" w:leader="none"/>
    </w:r>
    <w:r w:rsidRPr="00021589">
      <w:t>Department</w:t>
    </w:r>
    <w:r>
      <w:t xml:space="preserve"> </w:t>
    </w:r>
    <w:r w:rsidRPr="00021589">
      <w:t>of</w:t>
    </w:r>
    <w:r>
      <w:t xml:space="preserve"> </w:t>
    </w:r>
    <w:r w:rsidRPr="00021589">
      <w:t>Health</w:t>
    </w:r>
    <w:r>
      <w:t xml:space="preserve"> </w:t>
    </w:r>
    <w:r w:rsidRPr="00021589">
      <w:t>and</w:t>
    </w:r>
    <w:r>
      <w:t xml:space="preserve"> </w:t>
    </w:r>
    <w:r w:rsidRPr="00021589">
      <w:t>Human</w:t>
    </w:r>
    <w:r>
      <w:t xml:space="preserve"> </w:t>
    </w:r>
    <w:r w:rsidRPr="00021589">
      <w:t>Services</w:t>
    </w:r>
    <w:r>
      <w:t xml:space="preserve"> </w:t>
    </w:r>
    <w:r w:rsidRPr="00021589">
      <w:t>annual</w:t>
    </w:r>
    <w:r>
      <w:t xml:space="preserve"> </w:t>
    </w:r>
    <w:r w:rsidRPr="00021589">
      <w:t>report</w:t>
    </w:r>
    <w:r>
      <w:t xml:space="preserve"> </w:t>
    </w:r>
    <w:r w:rsidRPr="00021589">
      <w:t>2019–20</w: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FBB792" w14:textId="77777777" w:rsidR="00061938" w:rsidRDefault="00061938">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36E01D" w14:textId="7CE531A0" w:rsidR="00061938" w:rsidRPr="00753B93" w:rsidRDefault="00061938" w:rsidP="00897193">
    <w:pPr>
      <w:pStyle w:val="ARfooter"/>
      <w:rPr>
        <w:color w:val="53565A"/>
      </w:rPr>
    </w:pPr>
    <w:r w:rsidRPr="009F1A22">
      <w:t>Department</w:t>
    </w:r>
    <w:r>
      <w:t xml:space="preserve"> </w:t>
    </w:r>
    <w:r w:rsidRPr="009F1A22">
      <w:t>of</w:t>
    </w:r>
    <w:r>
      <w:t xml:space="preserve"> </w:t>
    </w:r>
    <w:r w:rsidRPr="009F1A22">
      <w:t>Health</w:t>
    </w:r>
    <w:r>
      <w:t xml:space="preserve"> </w:t>
    </w:r>
    <w:r w:rsidRPr="009F1A22">
      <w:t>and</w:t>
    </w:r>
    <w:r>
      <w:t xml:space="preserve"> </w:t>
    </w:r>
    <w:r w:rsidRPr="009F1A22">
      <w:t>Human</w:t>
    </w:r>
    <w:r>
      <w:t xml:space="preserve"> </w:t>
    </w:r>
    <w:r w:rsidRPr="009F1A22">
      <w:t>Services</w:t>
    </w:r>
    <w:r>
      <w:t xml:space="preserve"> </w:t>
    </w:r>
    <w:r w:rsidRPr="009F1A22">
      <w:t>annual</w:t>
    </w:r>
    <w:r>
      <w:t xml:space="preserve"> </w:t>
    </w:r>
    <w:r w:rsidRPr="009F1A22">
      <w:t>report</w:t>
    </w:r>
    <w:r>
      <w:t xml:space="preserve"> </w:t>
    </w:r>
    <w:r w:rsidRPr="009F1A22">
      <w:t>2019–20</w:t>
    </w:r>
    <w:r>
      <w:ptab w:relativeTo="margin" w:alignment="right" w:leader="none"/>
    </w:r>
    <w:r w:rsidRPr="003C35CF">
      <w:rPr>
        <w:rStyle w:val="ARpagenumber"/>
      </w:rPr>
      <w:fldChar w:fldCharType="begin"/>
    </w:r>
    <w:r w:rsidRPr="003C35CF">
      <w:rPr>
        <w:rStyle w:val="ARpagenumber"/>
      </w:rPr>
      <w:instrText xml:space="preserve"> PAGE </w:instrText>
    </w:r>
    <w:r w:rsidRPr="003C35CF">
      <w:rPr>
        <w:rStyle w:val="ARpagenumber"/>
      </w:rPr>
      <w:fldChar w:fldCharType="separate"/>
    </w:r>
    <w:r>
      <w:rPr>
        <w:rStyle w:val="ARpagenumber"/>
        <w:noProof/>
      </w:rPr>
      <w:t>177</w:t>
    </w:r>
    <w:r w:rsidRPr="003C35CF">
      <w:rPr>
        <w:rStyle w:val="ARpagenumber"/>
      </w:rPr>
      <w:fldChar w:fldCharType="end"/>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119882" w14:textId="77777777" w:rsidR="00061938" w:rsidRDefault="00061938">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06D93F" w14:textId="77777777" w:rsidR="00061938" w:rsidRDefault="00061938">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198678" w14:textId="1A1A7B43" w:rsidR="00061938" w:rsidRPr="009F1A22" w:rsidRDefault="00061938" w:rsidP="009F1A22">
    <w:pPr>
      <w:pStyle w:val="ARfooter"/>
      <w:rPr>
        <w:color w:val="53565A"/>
      </w:rPr>
    </w:pPr>
    <w:r w:rsidRPr="00240F10">
      <w:t>Department</w:t>
    </w:r>
    <w:r>
      <w:t xml:space="preserve"> </w:t>
    </w:r>
    <w:r w:rsidRPr="00240F10">
      <w:t>of</w:t>
    </w:r>
    <w:r>
      <w:t xml:space="preserve"> </w:t>
    </w:r>
    <w:r w:rsidRPr="00240F10">
      <w:t>Health</w:t>
    </w:r>
    <w:r>
      <w:t xml:space="preserve"> </w:t>
    </w:r>
    <w:r w:rsidRPr="00240F10">
      <w:t>and</w:t>
    </w:r>
    <w:r>
      <w:t xml:space="preserve"> </w:t>
    </w:r>
    <w:r w:rsidRPr="00240F10">
      <w:t>Human</w:t>
    </w:r>
    <w:r>
      <w:t xml:space="preserve"> </w:t>
    </w:r>
    <w:r w:rsidRPr="00240F10">
      <w:t>Services</w:t>
    </w:r>
    <w:r>
      <w:t xml:space="preserve"> </w:t>
    </w:r>
    <w:r w:rsidRPr="00240F10">
      <w:t>annual</w:t>
    </w:r>
    <w:r>
      <w:t xml:space="preserve"> </w:t>
    </w:r>
    <w:r w:rsidRPr="00240F10">
      <w:t>report</w:t>
    </w:r>
    <w:r>
      <w:t xml:space="preserve"> </w:t>
    </w:r>
    <w:r w:rsidRPr="00240F10">
      <w:t>2019</w:t>
    </w:r>
    <w:r>
      <w:t>–</w:t>
    </w:r>
    <w:r w:rsidRPr="00240F10">
      <w:t>20</w:t>
    </w:r>
    <w:r>
      <w:ptab w:relativeTo="margin" w:alignment="right" w:leader="none"/>
    </w:r>
    <w:r w:rsidRPr="003C35CF">
      <w:rPr>
        <w:rStyle w:val="ARpagenumber"/>
      </w:rPr>
      <w:fldChar w:fldCharType="begin"/>
    </w:r>
    <w:r w:rsidRPr="003C35CF">
      <w:rPr>
        <w:rStyle w:val="ARpagenumber"/>
      </w:rPr>
      <w:instrText xml:space="preserve"> PAGE </w:instrText>
    </w:r>
    <w:r w:rsidRPr="003C35CF">
      <w:rPr>
        <w:rStyle w:val="ARpagenumber"/>
      </w:rPr>
      <w:fldChar w:fldCharType="separate"/>
    </w:r>
    <w:r>
      <w:rPr>
        <w:rStyle w:val="ARpagenumber"/>
        <w:noProof/>
      </w:rPr>
      <w:t>193</w:t>
    </w:r>
    <w:r w:rsidRPr="003C35CF">
      <w:rPr>
        <w:rStyle w:val="ARpagenumber"/>
      </w:rPr>
      <w:fldChar w:fldCharType="end"/>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89439C" w14:textId="79E547FD" w:rsidR="00061938" w:rsidRPr="00DA017A" w:rsidRDefault="00061938" w:rsidP="00860E95">
    <w:pPr>
      <w:pStyle w:val="ARfooter"/>
      <w:rPr>
        <w:rFonts w:cs="Arial"/>
        <w:b/>
        <w:color w:val="53565A"/>
      </w:rPr>
    </w:pPr>
    <w:r w:rsidRPr="00A575C6">
      <w:rPr>
        <w:rStyle w:val="ARpagenumber"/>
      </w:rPr>
      <w:fldChar w:fldCharType="begin"/>
    </w:r>
    <w:r w:rsidRPr="00A575C6">
      <w:rPr>
        <w:rStyle w:val="ARpagenumber"/>
      </w:rPr>
      <w:instrText xml:space="preserve"> PAGE </w:instrText>
    </w:r>
    <w:r w:rsidRPr="00A575C6">
      <w:rPr>
        <w:rStyle w:val="ARpagenumber"/>
      </w:rPr>
      <w:fldChar w:fldCharType="separate"/>
    </w:r>
    <w:r>
      <w:rPr>
        <w:rStyle w:val="ARpagenumber"/>
        <w:noProof/>
      </w:rPr>
      <w:t>206</w:t>
    </w:r>
    <w:r w:rsidRPr="00A575C6">
      <w:rPr>
        <w:rStyle w:val="ARpagenumber"/>
      </w:rPr>
      <w:fldChar w:fldCharType="end"/>
    </w:r>
    <w:r>
      <w:rPr>
        <w:rStyle w:val="ARpagenumber"/>
      </w:rPr>
      <w:ptab w:relativeTo="margin" w:alignment="right" w:leader="none"/>
    </w:r>
    <w:r>
      <w:t xml:space="preserve">Department of Health and Human Services annual report </w:t>
    </w:r>
    <w:r w:rsidRPr="003C35CF">
      <w:t>201</w:t>
    </w:r>
    <w:r>
      <w:t>9</w:t>
    </w:r>
    <w:r w:rsidRPr="003C35CF">
      <w:t>–</w:t>
    </w:r>
    <w:r>
      <w:t>20</w: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B1D9DF" w14:textId="539D0D4C" w:rsidR="00061938" w:rsidRPr="00DA017A" w:rsidRDefault="00061938" w:rsidP="00860E95">
    <w:pPr>
      <w:pStyle w:val="ARfooter"/>
      <w:rPr>
        <w:rFonts w:cs="Arial"/>
        <w:b/>
        <w:color w:val="53565A"/>
      </w:rPr>
    </w:pPr>
    <w:r>
      <w:t xml:space="preserve">Department of Health and Human Services annual report </w:t>
    </w:r>
    <w:r w:rsidRPr="003C35CF">
      <w:t>201</w:t>
    </w:r>
    <w:r>
      <w:t>9</w:t>
    </w:r>
    <w:r w:rsidRPr="003C35CF">
      <w:t>–</w:t>
    </w:r>
    <w:r>
      <w:t>20</w:t>
    </w:r>
    <w:r>
      <w:ptab w:relativeTo="margin" w:alignment="right" w:leader="none"/>
    </w:r>
    <w:r w:rsidRPr="00A575C6">
      <w:rPr>
        <w:rStyle w:val="ARpagenumber"/>
      </w:rPr>
      <w:fldChar w:fldCharType="begin"/>
    </w:r>
    <w:r w:rsidRPr="00A575C6">
      <w:rPr>
        <w:rStyle w:val="ARpagenumber"/>
      </w:rPr>
      <w:instrText xml:space="preserve"> PAGE </w:instrText>
    </w:r>
    <w:r w:rsidRPr="00A575C6">
      <w:rPr>
        <w:rStyle w:val="ARpagenumber"/>
      </w:rPr>
      <w:fldChar w:fldCharType="separate"/>
    </w:r>
    <w:r>
      <w:rPr>
        <w:rStyle w:val="ARpagenumber"/>
        <w:noProof/>
      </w:rPr>
      <w:t>299</w:t>
    </w:r>
    <w:r w:rsidRPr="00A575C6">
      <w:rPr>
        <w:rStyle w:val="ARpagenumber"/>
      </w:rPr>
      <w:fldChar w:fldCharType="end"/>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59C7FA" w14:textId="77777777" w:rsidR="00061938" w:rsidRDefault="0006193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821A72" w14:textId="25864BD1" w:rsidR="00061938" w:rsidRPr="009F1A22" w:rsidRDefault="00061938" w:rsidP="009F1A22">
    <w:pPr>
      <w:pStyle w:val="ARfooter"/>
      <w:rPr>
        <w:rFonts w:cs="Arial"/>
        <w:b/>
        <w:color w:val="53565A"/>
      </w:rPr>
    </w:pPr>
    <w:r w:rsidRPr="009F1A22">
      <w:t>Department</w:t>
    </w:r>
    <w:r>
      <w:t xml:space="preserve"> </w:t>
    </w:r>
    <w:r w:rsidRPr="009F1A22">
      <w:t>of</w:t>
    </w:r>
    <w:r>
      <w:t xml:space="preserve"> </w:t>
    </w:r>
    <w:r w:rsidRPr="009F1A22">
      <w:t>Health</w:t>
    </w:r>
    <w:r>
      <w:t xml:space="preserve"> </w:t>
    </w:r>
    <w:r w:rsidRPr="009F1A22">
      <w:t>and</w:t>
    </w:r>
    <w:r>
      <w:t xml:space="preserve"> </w:t>
    </w:r>
    <w:r w:rsidRPr="009F1A22">
      <w:t>Human</w:t>
    </w:r>
    <w:r>
      <w:t xml:space="preserve"> </w:t>
    </w:r>
    <w:r w:rsidRPr="009F1A22">
      <w:t>Services</w:t>
    </w:r>
    <w:r>
      <w:t xml:space="preserve"> </w:t>
    </w:r>
    <w:r w:rsidRPr="009F1A22">
      <w:t>annual</w:t>
    </w:r>
    <w:r>
      <w:t xml:space="preserve"> </w:t>
    </w:r>
    <w:r w:rsidRPr="009F1A22">
      <w:t>report</w:t>
    </w:r>
    <w:r>
      <w:t xml:space="preserve"> </w:t>
    </w:r>
    <w:r w:rsidRPr="009F1A22">
      <w:t>2019</w:t>
    </w:r>
    <w:r>
      <w:t>–</w:t>
    </w:r>
    <w:r w:rsidRPr="009F1A22">
      <w:t>20</w:t>
    </w:r>
    <w:r>
      <w:ptab w:relativeTo="margin" w:alignment="right" w:leader="none"/>
    </w:r>
    <w:r w:rsidRPr="00A575C6">
      <w:rPr>
        <w:rStyle w:val="ARpagenumber"/>
      </w:rPr>
      <w:fldChar w:fldCharType="begin"/>
    </w:r>
    <w:r w:rsidRPr="00A575C6">
      <w:rPr>
        <w:rStyle w:val="ARpagenumber"/>
      </w:rPr>
      <w:instrText xml:space="preserve"> PAGE </w:instrText>
    </w:r>
    <w:r w:rsidRPr="00A575C6">
      <w:rPr>
        <w:rStyle w:val="ARpagenumber"/>
      </w:rPr>
      <w:fldChar w:fldCharType="separate"/>
    </w:r>
    <w:r>
      <w:rPr>
        <w:rStyle w:val="ARpagenumber"/>
        <w:noProof/>
      </w:rPr>
      <w:t>5</w:t>
    </w:r>
    <w:r w:rsidRPr="00A575C6">
      <w:rPr>
        <w:rStyle w:val="ARpagenumber"/>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E988C2" w14:textId="4B3D9598" w:rsidR="00061938" w:rsidRPr="00DA017A" w:rsidRDefault="00061938" w:rsidP="00860E95">
    <w:pPr>
      <w:pStyle w:val="ARfooter"/>
      <w:rPr>
        <w:rFonts w:cs="Arial"/>
        <w:b/>
        <w:color w:val="53565A"/>
      </w:rPr>
    </w:pPr>
    <w:r>
      <w:t xml:space="preserve">Department of Health and Human Services annual report </w:t>
    </w:r>
    <w:r w:rsidRPr="003C35CF">
      <w:t>201</w:t>
    </w:r>
    <w:r>
      <w:t>9</w:t>
    </w:r>
    <w:r w:rsidRPr="003C35CF">
      <w:t>–</w:t>
    </w:r>
    <w:r>
      <w:t>20</w:t>
    </w:r>
    <w:r>
      <w:ptab w:relativeTo="margin" w:alignment="right" w:leader="none"/>
    </w:r>
    <w:r w:rsidRPr="00A575C6">
      <w:rPr>
        <w:rStyle w:val="ARpagenumber"/>
      </w:rPr>
      <w:fldChar w:fldCharType="begin"/>
    </w:r>
    <w:r w:rsidRPr="00A575C6">
      <w:rPr>
        <w:rStyle w:val="ARpagenumber"/>
      </w:rPr>
      <w:instrText xml:space="preserve"> PAGE </w:instrText>
    </w:r>
    <w:r w:rsidRPr="00A575C6">
      <w:rPr>
        <w:rStyle w:val="ARpagenumber"/>
      </w:rPr>
      <w:fldChar w:fldCharType="separate"/>
    </w:r>
    <w:r>
      <w:rPr>
        <w:rStyle w:val="ARpagenumber"/>
      </w:rPr>
      <w:t>8</w:t>
    </w:r>
    <w:r w:rsidRPr="00A575C6">
      <w:rPr>
        <w:rStyle w:val="ARpagenumber"/>
      </w:rPr>
      <w:fldChar w:fldCharType="end"/>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955B6F" w14:textId="77ED0BED" w:rsidR="00061938" w:rsidRPr="00DA017A" w:rsidRDefault="00061938" w:rsidP="00860E95">
    <w:pPr>
      <w:pStyle w:val="ARfooter"/>
      <w:rPr>
        <w:rFonts w:cs="Arial"/>
        <w:b/>
        <w:color w:val="53565A"/>
      </w:rPr>
    </w:pPr>
    <w:r w:rsidRPr="00A575C6">
      <w:rPr>
        <w:rStyle w:val="ARpagenumber"/>
      </w:rPr>
      <w:fldChar w:fldCharType="begin"/>
    </w:r>
    <w:r w:rsidRPr="00A575C6">
      <w:rPr>
        <w:rStyle w:val="ARpagenumber"/>
      </w:rPr>
      <w:instrText xml:space="preserve"> PAGE </w:instrText>
    </w:r>
    <w:r w:rsidRPr="00A575C6">
      <w:rPr>
        <w:rStyle w:val="ARpagenumber"/>
      </w:rPr>
      <w:fldChar w:fldCharType="separate"/>
    </w:r>
    <w:r>
      <w:rPr>
        <w:rStyle w:val="ARpagenumber"/>
        <w:noProof/>
      </w:rPr>
      <w:t>220</w:t>
    </w:r>
    <w:r w:rsidRPr="00A575C6">
      <w:rPr>
        <w:rStyle w:val="ARpagenumber"/>
      </w:rPr>
      <w:fldChar w:fldCharType="end"/>
    </w:r>
    <w:r>
      <w:rPr>
        <w:rStyle w:val="ARpagenumber"/>
      </w:rPr>
      <w:ptab w:relativeTo="margin" w:alignment="right" w:leader="none"/>
    </w:r>
    <w:r>
      <w:t xml:space="preserve">Department of Health and Human Services annual report </w:t>
    </w:r>
    <w:r w:rsidRPr="003C35CF">
      <w:t>201</w:t>
    </w:r>
    <w:r>
      <w:t>9</w:t>
    </w:r>
    <w:r w:rsidRPr="003C35CF">
      <w:t>–</w:t>
    </w:r>
    <w:r>
      <w:t>20</w: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70594" w14:textId="1DAAC309" w:rsidR="00061938" w:rsidRPr="00DA017A" w:rsidRDefault="00061938" w:rsidP="00860E95">
    <w:pPr>
      <w:pStyle w:val="ARfooter"/>
      <w:rPr>
        <w:rFonts w:cs="Arial"/>
        <w:b/>
        <w:color w:val="53565A"/>
      </w:rPr>
    </w:pPr>
    <w:r>
      <w:t xml:space="preserve">Department of Health and Human Services annual report </w:t>
    </w:r>
    <w:r w:rsidRPr="003C35CF">
      <w:t>201</w:t>
    </w:r>
    <w:r>
      <w:t>9</w:t>
    </w:r>
    <w:r w:rsidRPr="003C35CF">
      <w:t>–</w:t>
    </w:r>
    <w:r>
      <w:t>20</w:t>
    </w:r>
    <w:r>
      <w:ptab w:relativeTo="margin" w:alignment="right" w:leader="none"/>
    </w:r>
    <w:r w:rsidRPr="00A575C6">
      <w:rPr>
        <w:rStyle w:val="ARpagenumber"/>
      </w:rPr>
      <w:fldChar w:fldCharType="begin"/>
    </w:r>
    <w:r w:rsidRPr="00A575C6">
      <w:rPr>
        <w:rStyle w:val="ARpagenumber"/>
      </w:rPr>
      <w:instrText xml:space="preserve"> PAGE </w:instrText>
    </w:r>
    <w:r w:rsidRPr="00A575C6">
      <w:rPr>
        <w:rStyle w:val="ARpagenumber"/>
      </w:rPr>
      <w:fldChar w:fldCharType="separate"/>
    </w:r>
    <w:r>
      <w:rPr>
        <w:rStyle w:val="ARpagenumber"/>
        <w:noProof/>
      </w:rPr>
      <w:t>226</w:t>
    </w:r>
    <w:r w:rsidRPr="00A575C6">
      <w:rPr>
        <w:rStyle w:val="ARpagenumber"/>
      </w:rPr>
      <w:fldChar w:fldCharType="end"/>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EEE222" w14:textId="473CA2D6" w:rsidR="00061938" w:rsidRPr="00DA017A" w:rsidRDefault="00061938" w:rsidP="00860E95">
    <w:pPr>
      <w:pStyle w:val="ARfooter"/>
      <w:rPr>
        <w:rFonts w:cs="Arial"/>
        <w:b/>
        <w:color w:val="53565A"/>
      </w:rPr>
    </w:pPr>
    <w:r w:rsidRPr="00A575C6">
      <w:rPr>
        <w:rStyle w:val="ARpagenumber"/>
      </w:rPr>
      <w:fldChar w:fldCharType="begin"/>
    </w:r>
    <w:r w:rsidRPr="00A575C6">
      <w:rPr>
        <w:rStyle w:val="ARpagenumber"/>
      </w:rPr>
      <w:instrText xml:space="preserve"> PAGE </w:instrText>
    </w:r>
    <w:r w:rsidRPr="00A575C6">
      <w:rPr>
        <w:rStyle w:val="ARpagenumber"/>
      </w:rPr>
      <w:fldChar w:fldCharType="separate"/>
    </w:r>
    <w:r>
      <w:rPr>
        <w:rStyle w:val="ARpagenumber"/>
        <w:noProof/>
      </w:rPr>
      <w:t>232</w:t>
    </w:r>
    <w:r w:rsidRPr="00A575C6">
      <w:rPr>
        <w:rStyle w:val="ARpagenumber"/>
      </w:rPr>
      <w:fldChar w:fldCharType="end"/>
    </w:r>
    <w:r>
      <w:rPr>
        <w:rStyle w:val="ARpagenumber"/>
      </w:rPr>
      <w:ptab w:relativeTo="margin" w:alignment="right" w:leader="none"/>
    </w:r>
    <w:r>
      <w:t xml:space="preserve">Department of Health and Human Services annual report </w:t>
    </w:r>
    <w:r w:rsidRPr="003C35CF">
      <w:t>201</w:t>
    </w:r>
    <w:r>
      <w:t>9</w:t>
    </w:r>
    <w:r w:rsidRPr="003C35CF">
      <w:t>–</w:t>
    </w:r>
    <w:r>
      <w:t>20</w: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53A37A" w14:textId="188CE4BB" w:rsidR="00061938" w:rsidRPr="009142DB" w:rsidRDefault="00061938" w:rsidP="00860E95">
    <w:pPr>
      <w:pStyle w:val="ARfooter"/>
      <w:rPr>
        <w:rFonts w:cs="Arial"/>
        <w:b/>
        <w:color w:val="53565A"/>
      </w:rPr>
    </w:pPr>
    <w:r>
      <w:t xml:space="preserve">Department of Health and Human Services annual report </w:t>
    </w:r>
    <w:r w:rsidRPr="003C35CF">
      <w:t>201</w:t>
    </w:r>
    <w:r>
      <w:t>9</w:t>
    </w:r>
    <w:r w:rsidRPr="003C35CF">
      <w:t>–</w:t>
    </w:r>
    <w:r>
      <w:t>20</w:t>
    </w:r>
    <w:r>
      <w:ptab w:relativeTo="margin" w:alignment="right" w:leader="none"/>
    </w:r>
    <w:r w:rsidRPr="00A575C6">
      <w:rPr>
        <w:rStyle w:val="ARpagenumber"/>
      </w:rPr>
      <w:fldChar w:fldCharType="begin"/>
    </w:r>
    <w:r w:rsidRPr="00A575C6">
      <w:rPr>
        <w:rStyle w:val="ARpagenumber"/>
      </w:rPr>
      <w:instrText xml:space="preserve"> PAGE </w:instrText>
    </w:r>
    <w:r w:rsidRPr="00A575C6">
      <w:rPr>
        <w:rStyle w:val="ARpagenumber"/>
      </w:rPr>
      <w:fldChar w:fldCharType="separate"/>
    </w:r>
    <w:r>
      <w:rPr>
        <w:rStyle w:val="ARpagenumber"/>
        <w:noProof/>
      </w:rPr>
      <w:t>234</w:t>
    </w:r>
    <w:r w:rsidRPr="00A575C6">
      <w:rPr>
        <w:rStyle w:val="ARpagenumber"/>
      </w:rPr>
      <w:fldChar w:fldCharType="end"/>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EC1183" w14:textId="0358E1FB" w:rsidR="00061938" w:rsidRPr="005A66F9" w:rsidRDefault="00061938" w:rsidP="005A66F9">
    <w:pPr>
      <w:pStyle w:val="ARfooter"/>
      <w:rPr>
        <w:rFonts w:cs="Arial"/>
        <w:b/>
        <w:color w:val="53565A"/>
      </w:rPr>
    </w:pPr>
    <w:r w:rsidRPr="00A575C6">
      <w:rPr>
        <w:rStyle w:val="ARpagenumber"/>
      </w:rPr>
      <w:fldChar w:fldCharType="begin"/>
    </w:r>
    <w:r w:rsidRPr="00A575C6">
      <w:rPr>
        <w:rStyle w:val="ARpagenumber"/>
      </w:rPr>
      <w:instrText xml:space="preserve"> PAGE </w:instrText>
    </w:r>
    <w:r w:rsidRPr="00A575C6">
      <w:rPr>
        <w:rStyle w:val="ARpagenumber"/>
      </w:rPr>
      <w:fldChar w:fldCharType="separate"/>
    </w:r>
    <w:r>
      <w:rPr>
        <w:rStyle w:val="ARpagenumber"/>
        <w:noProof/>
      </w:rPr>
      <w:t>246</w:t>
    </w:r>
    <w:r w:rsidRPr="00A575C6">
      <w:rPr>
        <w:rStyle w:val="ARpagenumber"/>
      </w:rPr>
      <w:fldChar w:fldCharType="end"/>
    </w:r>
    <w:r>
      <w:rPr>
        <w:rStyle w:val="ARpagenumber"/>
      </w:rPr>
      <w:ptab w:relativeTo="margin" w:alignment="right" w:leader="none"/>
    </w:r>
    <w:r>
      <w:t xml:space="preserve">Department of Health and Human Services annual report </w:t>
    </w:r>
    <w:r w:rsidRPr="003C35CF">
      <w:t>201</w:t>
    </w:r>
    <w:r>
      <w:t>9</w:t>
    </w:r>
    <w:r w:rsidRPr="003C35CF">
      <w:t>–</w:t>
    </w:r>
    <w:r>
      <w:t>20</w: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85C28" w14:textId="363BDFA8" w:rsidR="00061938" w:rsidRPr="005A66F9" w:rsidRDefault="00061938" w:rsidP="005A66F9">
    <w:pPr>
      <w:pStyle w:val="ARfooter"/>
      <w:rPr>
        <w:rFonts w:cs="Arial"/>
        <w:b/>
        <w:color w:val="53565A"/>
      </w:rPr>
    </w:pPr>
    <w:r>
      <w:t xml:space="preserve">Department of Health and Human Services annual report </w:t>
    </w:r>
    <w:r w:rsidRPr="003C35CF">
      <w:t>201</w:t>
    </w:r>
    <w:r>
      <w:t>9</w:t>
    </w:r>
    <w:r w:rsidRPr="003C35CF">
      <w:t>–</w:t>
    </w:r>
    <w:r>
      <w:t>20</w:t>
    </w:r>
    <w:r>
      <w:ptab w:relativeTo="margin" w:alignment="right" w:leader="none"/>
    </w:r>
    <w:r w:rsidRPr="00A575C6">
      <w:rPr>
        <w:rStyle w:val="ARpagenumber"/>
      </w:rPr>
      <w:fldChar w:fldCharType="begin"/>
    </w:r>
    <w:r w:rsidRPr="00A575C6">
      <w:rPr>
        <w:rStyle w:val="ARpagenumber"/>
      </w:rPr>
      <w:instrText xml:space="preserve"> PAGE </w:instrText>
    </w:r>
    <w:r w:rsidRPr="00A575C6">
      <w:rPr>
        <w:rStyle w:val="ARpagenumber"/>
      </w:rPr>
      <w:fldChar w:fldCharType="separate"/>
    </w:r>
    <w:r>
      <w:rPr>
        <w:rStyle w:val="ARpagenumber"/>
        <w:noProof/>
      </w:rPr>
      <w:t>248</w:t>
    </w:r>
    <w:r w:rsidRPr="00A575C6">
      <w:rPr>
        <w:rStyle w:val="ARpagenumber"/>
      </w:rPr>
      <w:fldChar w:fldCharType="end"/>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6A9826" w14:textId="5DAC3BDA" w:rsidR="00061938" w:rsidRPr="00DA017A" w:rsidRDefault="00061938" w:rsidP="00860E95">
    <w:pPr>
      <w:pStyle w:val="ARfooter"/>
      <w:rPr>
        <w:rFonts w:cs="Arial"/>
        <w:b/>
        <w:color w:val="53565A"/>
      </w:rPr>
    </w:pPr>
    <w:r w:rsidRPr="00A575C6">
      <w:rPr>
        <w:rStyle w:val="ARpagenumber"/>
      </w:rPr>
      <w:fldChar w:fldCharType="begin"/>
    </w:r>
    <w:r w:rsidRPr="00A575C6">
      <w:rPr>
        <w:rStyle w:val="ARpagenumber"/>
      </w:rPr>
      <w:instrText xml:space="preserve"> PAGE </w:instrText>
    </w:r>
    <w:r w:rsidRPr="00A575C6">
      <w:rPr>
        <w:rStyle w:val="ARpagenumber"/>
      </w:rPr>
      <w:fldChar w:fldCharType="separate"/>
    </w:r>
    <w:r>
      <w:rPr>
        <w:rStyle w:val="ARpagenumber"/>
        <w:noProof/>
      </w:rPr>
      <w:t>264</w:t>
    </w:r>
    <w:r w:rsidRPr="00A575C6">
      <w:rPr>
        <w:rStyle w:val="ARpagenumber"/>
      </w:rPr>
      <w:fldChar w:fldCharType="end"/>
    </w:r>
    <w:r>
      <w:rPr>
        <w:rStyle w:val="ARpagenumber"/>
      </w:rPr>
      <w:ptab w:relativeTo="margin" w:alignment="right" w:leader="none"/>
    </w:r>
    <w:r>
      <w:t xml:space="preserve">Department of Health and Human Services annual report </w:t>
    </w:r>
    <w:r w:rsidRPr="003C35CF">
      <w:t>201</w:t>
    </w:r>
    <w:r>
      <w:t>9</w:t>
    </w:r>
    <w:r w:rsidRPr="003C35CF">
      <w:t>–</w:t>
    </w:r>
    <w:r>
      <w:t>20</w: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A40028" w14:textId="1BF97752" w:rsidR="00061938" w:rsidRPr="009142DB" w:rsidRDefault="00061938" w:rsidP="00860E95">
    <w:pPr>
      <w:pStyle w:val="ARfooter"/>
      <w:rPr>
        <w:rFonts w:cs="Arial"/>
        <w:b/>
        <w:color w:val="53565A"/>
      </w:rPr>
    </w:pPr>
    <w:r>
      <w:t xml:space="preserve">Department of Health and Human Services annual report </w:t>
    </w:r>
    <w:r w:rsidRPr="003C35CF">
      <w:t>201</w:t>
    </w:r>
    <w:r>
      <w:t>9</w:t>
    </w:r>
    <w:r w:rsidRPr="003C35CF">
      <w:t>–</w:t>
    </w:r>
    <w:r>
      <w:t>20</w:t>
    </w:r>
    <w:r>
      <w:ptab w:relativeTo="margin" w:alignment="right" w:leader="none"/>
    </w:r>
    <w:r w:rsidRPr="00A575C6">
      <w:rPr>
        <w:rStyle w:val="ARpagenumber"/>
      </w:rPr>
      <w:fldChar w:fldCharType="begin"/>
    </w:r>
    <w:r w:rsidRPr="00A575C6">
      <w:rPr>
        <w:rStyle w:val="ARpagenumber"/>
      </w:rPr>
      <w:instrText xml:space="preserve"> PAGE </w:instrText>
    </w:r>
    <w:r w:rsidRPr="00A575C6">
      <w:rPr>
        <w:rStyle w:val="ARpagenumber"/>
      </w:rPr>
      <w:fldChar w:fldCharType="separate"/>
    </w:r>
    <w:r>
      <w:rPr>
        <w:rStyle w:val="ARpagenumber"/>
        <w:noProof/>
      </w:rPr>
      <w:t>266</w:t>
    </w:r>
    <w:r w:rsidRPr="00A575C6">
      <w:rPr>
        <w:rStyle w:val="ARpagenumber"/>
      </w:rPr>
      <w:fldChar w:fldCharType="end"/>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B27B2F" w14:textId="069F330E" w:rsidR="00061938" w:rsidRPr="009142DB" w:rsidRDefault="00061938" w:rsidP="009B0A5C">
    <w:pPr>
      <w:pStyle w:val="ARfooter"/>
      <w:rPr>
        <w:rFonts w:cs="Arial"/>
        <w:b/>
        <w:color w:val="53565A"/>
      </w:rPr>
    </w:pPr>
    <w:r w:rsidRPr="00A575C6">
      <w:rPr>
        <w:rStyle w:val="ARpagenumber"/>
      </w:rPr>
      <w:fldChar w:fldCharType="begin"/>
    </w:r>
    <w:r w:rsidRPr="00A575C6">
      <w:rPr>
        <w:rStyle w:val="ARpagenumber"/>
      </w:rPr>
      <w:instrText xml:space="preserve"> PAGE </w:instrText>
    </w:r>
    <w:r w:rsidRPr="00A575C6">
      <w:rPr>
        <w:rStyle w:val="ARpagenumber"/>
      </w:rPr>
      <w:fldChar w:fldCharType="separate"/>
    </w:r>
    <w:r>
      <w:rPr>
        <w:rStyle w:val="ARpagenumber"/>
        <w:noProof/>
      </w:rPr>
      <w:t>292</w:t>
    </w:r>
    <w:r w:rsidRPr="00A575C6">
      <w:rPr>
        <w:rStyle w:val="ARpagenumber"/>
      </w:rPr>
      <w:fldChar w:fldCharType="end"/>
    </w:r>
    <w:r>
      <w:rPr>
        <w:rStyle w:val="ARpagenumber"/>
      </w:rPr>
      <w:ptab w:relativeTo="margin" w:alignment="right" w:leader="none"/>
    </w:r>
    <w:r>
      <w:t xml:space="preserve">Department of Health and Human Services annual report </w:t>
    </w:r>
    <w:r w:rsidRPr="003C35CF">
      <w:t>201</w:t>
    </w:r>
    <w:r>
      <w:t>9</w:t>
    </w:r>
    <w:r w:rsidRPr="003C35CF">
      <w:t>–</w:t>
    </w:r>
    <w:r>
      <w:t>20</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CD0250" w14:textId="77777777" w:rsidR="00061938" w:rsidRDefault="00061938">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38CF73" w14:textId="77777777" w:rsidR="00061938" w:rsidRDefault="00061938">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610434" w14:textId="7DCA5A79" w:rsidR="00061938" w:rsidRPr="0037374F" w:rsidRDefault="00061938" w:rsidP="0037374F">
    <w:pPr>
      <w:pStyle w:val="ARfooter"/>
      <w:rPr>
        <w:rFonts w:cs="Arial"/>
        <w:b/>
        <w:color w:val="53565A"/>
      </w:rPr>
    </w:pPr>
    <w:r>
      <w:t xml:space="preserve">Department of Health and Human Services annual report </w:t>
    </w:r>
    <w:r w:rsidRPr="003C35CF">
      <w:t>201</w:t>
    </w:r>
    <w:r>
      <w:t>9</w:t>
    </w:r>
    <w:r w:rsidRPr="003C35CF">
      <w:t>–</w:t>
    </w:r>
    <w:r>
      <w:t>20</w:t>
    </w:r>
    <w:r>
      <w:ptab w:relativeTo="margin" w:alignment="right" w:leader="none"/>
    </w:r>
    <w:r w:rsidRPr="00A575C6">
      <w:rPr>
        <w:rStyle w:val="ARpagenumber"/>
      </w:rPr>
      <w:fldChar w:fldCharType="begin"/>
    </w:r>
    <w:r w:rsidRPr="00A575C6">
      <w:rPr>
        <w:rStyle w:val="ARpagenumber"/>
      </w:rPr>
      <w:instrText xml:space="preserve"> PAGE </w:instrText>
    </w:r>
    <w:r w:rsidRPr="00A575C6">
      <w:rPr>
        <w:rStyle w:val="ARpagenumber"/>
      </w:rPr>
      <w:fldChar w:fldCharType="separate"/>
    </w:r>
    <w:r>
      <w:rPr>
        <w:rStyle w:val="ARpagenumber"/>
        <w:noProof/>
      </w:rPr>
      <w:t>296</w:t>
    </w:r>
    <w:r w:rsidRPr="00A575C6">
      <w:rPr>
        <w:rStyle w:val="ARpagenumber"/>
      </w:rPr>
      <w:fldChar w:fldCharType="end"/>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3A41C2" w14:textId="77777777" w:rsidR="00061938" w:rsidRDefault="00061938">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24ED1B" w14:textId="77777777" w:rsidR="00061938" w:rsidRPr="009142DB" w:rsidRDefault="00061938" w:rsidP="009B0A5C">
    <w:pPr>
      <w:pStyle w:val="ARfooter"/>
      <w:rPr>
        <w:rFonts w:cs="Arial"/>
        <w:b/>
        <w:color w:val="53565A"/>
      </w:rPr>
    </w:pPr>
    <w:r w:rsidRPr="00A575C6">
      <w:rPr>
        <w:rStyle w:val="ARpagenumber"/>
      </w:rPr>
      <w:fldChar w:fldCharType="begin"/>
    </w:r>
    <w:r w:rsidRPr="00A575C6">
      <w:rPr>
        <w:rStyle w:val="ARpagenumber"/>
      </w:rPr>
      <w:instrText xml:space="preserve"> PAGE </w:instrText>
    </w:r>
    <w:r w:rsidRPr="00A575C6">
      <w:rPr>
        <w:rStyle w:val="ARpagenumber"/>
      </w:rPr>
      <w:fldChar w:fldCharType="separate"/>
    </w:r>
    <w:r>
      <w:rPr>
        <w:rStyle w:val="ARpagenumber"/>
        <w:noProof/>
      </w:rPr>
      <w:t>300</w:t>
    </w:r>
    <w:r w:rsidRPr="00A575C6">
      <w:rPr>
        <w:rStyle w:val="ARpagenumber"/>
      </w:rPr>
      <w:fldChar w:fldCharType="end"/>
    </w:r>
    <w:r>
      <w:rPr>
        <w:rStyle w:val="ARpagenumber"/>
      </w:rPr>
      <w:ptab w:relativeTo="margin" w:alignment="right" w:leader="none"/>
    </w:r>
    <w:r>
      <w:t xml:space="preserve">Department of Health and Human Services annual report </w:t>
    </w:r>
    <w:r w:rsidRPr="003C35CF">
      <w:t>201</w:t>
    </w:r>
    <w:r>
      <w:t>9</w:t>
    </w:r>
    <w:r w:rsidRPr="003C35CF">
      <w:t>–</w:t>
    </w:r>
    <w:r>
      <w:t>20</w: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25E178" w14:textId="77777777" w:rsidR="00061938" w:rsidRDefault="0006193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2535BC" w14:textId="48EA28B8" w:rsidR="00061938" w:rsidRDefault="00061938" w:rsidP="00897193">
    <w:pPr>
      <w:pStyle w:val="ARfooter"/>
    </w:pPr>
    <w:r w:rsidRPr="003C35CF">
      <w:rPr>
        <w:rStyle w:val="ARpagenumber"/>
      </w:rPr>
      <w:fldChar w:fldCharType="begin"/>
    </w:r>
    <w:r w:rsidRPr="003C35CF">
      <w:rPr>
        <w:rStyle w:val="ARpagenumber"/>
      </w:rPr>
      <w:instrText xml:space="preserve"> PAGE </w:instrText>
    </w:r>
    <w:r w:rsidRPr="003C35CF">
      <w:rPr>
        <w:rStyle w:val="ARpagenumber"/>
      </w:rPr>
      <w:fldChar w:fldCharType="separate"/>
    </w:r>
    <w:r>
      <w:rPr>
        <w:rStyle w:val="ARpagenumber"/>
        <w:noProof/>
      </w:rPr>
      <w:t>112</w:t>
    </w:r>
    <w:r w:rsidRPr="003C35CF">
      <w:rPr>
        <w:rStyle w:val="ARpagenumber"/>
      </w:rPr>
      <w:fldChar w:fldCharType="end"/>
    </w:r>
    <w:r>
      <w:ptab w:relativeTo="margin" w:alignment="right" w:leader="none"/>
    </w:r>
    <w:r w:rsidRPr="003C35CF">
      <w:t>Department</w:t>
    </w:r>
    <w:r>
      <w:t xml:space="preserve"> </w:t>
    </w:r>
    <w:r w:rsidRPr="003C35CF">
      <w:t>of</w:t>
    </w:r>
    <w:r>
      <w:t xml:space="preserve"> </w:t>
    </w:r>
    <w:r w:rsidRPr="003C35CF">
      <w:t>Health</w:t>
    </w:r>
    <w:r>
      <w:t xml:space="preserve"> </w:t>
    </w:r>
    <w:r w:rsidRPr="003C35CF">
      <w:t>and</w:t>
    </w:r>
    <w:r>
      <w:t xml:space="preserve"> </w:t>
    </w:r>
    <w:r w:rsidRPr="003C35CF">
      <w:t>Human</w:t>
    </w:r>
    <w:r>
      <w:t xml:space="preserve"> </w:t>
    </w:r>
    <w:r w:rsidRPr="003C35CF">
      <w:t>Services</w:t>
    </w:r>
    <w:r>
      <w:t xml:space="preserve"> </w:t>
    </w:r>
    <w:r w:rsidRPr="003C35CF">
      <w:t>annual</w:t>
    </w:r>
    <w:r>
      <w:t xml:space="preserve"> </w:t>
    </w:r>
    <w:r w:rsidRPr="003C35CF">
      <w:t>report</w:t>
    </w:r>
    <w:r>
      <w:t xml:space="preserve"> </w:t>
    </w:r>
    <w:r w:rsidRPr="003C35CF">
      <w:t>201</w:t>
    </w:r>
    <w:r>
      <w:t>8</w:t>
    </w:r>
    <w:r w:rsidRPr="003C35CF">
      <w:t>–1</w:t>
    </w:r>
    <w:r>
      <w:t>9</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C7E81B" w14:textId="77777777" w:rsidR="00061938" w:rsidRDefault="0006193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B0CDF9" w14:textId="77EBD15F" w:rsidR="00061938" w:rsidRDefault="00061938" w:rsidP="009F1A22">
    <w:pPr>
      <w:pStyle w:val="ARfooter"/>
    </w:pPr>
    <w:r w:rsidRPr="00A575C6">
      <w:rPr>
        <w:rStyle w:val="ARpagenumber"/>
      </w:rPr>
      <w:fldChar w:fldCharType="begin"/>
    </w:r>
    <w:r w:rsidRPr="00A575C6">
      <w:rPr>
        <w:rStyle w:val="ARpagenumber"/>
      </w:rPr>
      <w:instrText xml:space="preserve"> PAGE </w:instrText>
    </w:r>
    <w:r w:rsidRPr="00A575C6">
      <w:rPr>
        <w:rStyle w:val="ARpagenumber"/>
      </w:rPr>
      <w:fldChar w:fldCharType="separate"/>
    </w:r>
    <w:r>
      <w:rPr>
        <w:rStyle w:val="ARpagenumber"/>
        <w:noProof/>
      </w:rPr>
      <w:t>6</w:t>
    </w:r>
    <w:r w:rsidRPr="00A575C6">
      <w:rPr>
        <w:rStyle w:val="ARpagenumber"/>
      </w:rPr>
      <w:fldChar w:fldCharType="end"/>
    </w:r>
    <w:r>
      <w:ptab w:relativeTo="margin" w:alignment="right" w:leader="none"/>
    </w:r>
    <w:r w:rsidRPr="00021589">
      <w:t>Department</w:t>
    </w:r>
    <w:r>
      <w:t xml:space="preserve"> </w:t>
    </w:r>
    <w:r w:rsidRPr="00021589">
      <w:t>of</w:t>
    </w:r>
    <w:r>
      <w:t xml:space="preserve"> </w:t>
    </w:r>
    <w:r w:rsidRPr="00021589">
      <w:t>Health</w:t>
    </w:r>
    <w:r>
      <w:t xml:space="preserve"> </w:t>
    </w:r>
    <w:r w:rsidRPr="00021589">
      <w:t>and</w:t>
    </w:r>
    <w:r>
      <w:t xml:space="preserve"> </w:t>
    </w:r>
    <w:r w:rsidRPr="00021589">
      <w:t>Human</w:t>
    </w:r>
    <w:r>
      <w:t xml:space="preserve"> </w:t>
    </w:r>
    <w:r w:rsidRPr="00021589">
      <w:t>Services</w:t>
    </w:r>
    <w:r>
      <w:t xml:space="preserve"> </w:t>
    </w:r>
    <w:r w:rsidRPr="00021589">
      <w:t>annual</w:t>
    </w:r>
    <w:r>
      <w:t xml:space="preserve"> </w:t>
    </w:r>
    <w:r w:rsidRPr="00021589">
      <w:t>report</w:t>
    </w:r>
    <w:r>
      <w:t xml:space="preserve"> </w:t>
    </w:r>
    <w:r w:rsidRPr="00021589">
      <w:t>2019–20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3BFF56" w14:textId="77777777" w:rsidR="00061938" w:rsidRPr="009E5882" w:rsidRDefault="00061938" w:rsidP="004326A1">
      <w:pPr>
        <w:spacing w:before="160" w:after="120" w:line="240" w:lineRule="auto"/>
        <w:rPr>
          <w:rFonts w:ascii="Arial" w:hAnsi="Arial" w:cs="Arial"/>
          <w:sz w:val="12"/>
          <w:szCs w:val="12"/>
        </w:rPr>
      </w:pPr>
      <w:r w:rsidRPr="009E5882">
        <w:rPr>
          <w:rFonts w:ascii="Arial" w:hAnsi="Arial" w:cs="Arial"/>
          <w:sz w:val="12"/>
          <w:szCs w:val="12"/>
        </w:rPr>
        <w:separator/>
      </w:r>
    </w:p>
  </w:footnote>
  <w:footnote w:type="continuationSeparator" w:id="0">
    <w:p w14:paraId="605CF139" w14:textId="77777777" w:rsidR="00061938" w:rsidRDefault="00061938" w:rsidP="00CF72D5">
      <w:pPr>
        <w:spacing w:after="0" w:line="240" w:lineRule="auto"/>
      </w:pPr>
      <w:r>
        <w:continuationSeparator/>
      </w:r>
    </w:p>
  </w:footnote>
  <w:footnote w:type="continuationNotice" w:id="1">
    <w:p w14:paraId="344C3D8B" w14:textId="77777777" w:rsidR="00061938" w:rsidRDefault="00061938">
      <w:pPr>
        <w:spacing w:after="0" w:line="240" w:lineRule="auto"/>
      </w:pPr>
    </w:p>
  </w:footnote>
  <w:footnote w:id="2">
    <w:p w14:paraId="34229FEF" w14:textId="500F6106" w:rsidR="00061938" w:rsidRPr="008C09FB" w:rsidRDefault="00061938" w:rsidP="004326A1">
      <w:pPr>
        <w:pStyle w:val="FootnoteText"/>
      </w:pPr>
      <w:r w:rsidRPr="009E5882">
        <w:footnoteRef/>
      </w:r>
      <w:r>
        <w:tab/>
      </w:r>
      <w:r w:rsidRPr="0053697C">
        <w:t>Source:</w:t>
      </w:r>
      <w:r>
        <w:t xml:space="preserve"> </w:t>
      </w:r>
      <w:hyperlink r:id="rId1" w:history="1">
        <w:r w:rsidRPr="004326A1">
          <w:rPr>
            <w:rStyle w:val="Hyperlink"/>
            <w:lang w:val="en-US"/>
          </w:rPr>
          <w:t>Premier of Victoria website – VAD</w:t>
        </w:r>
        <w:r w:rsidRPr="004326A1">
          <w:rPr>
            <w:rStyle w:val="Hyperlink"/>
          </w:rPr>
          <w:t xml:space="preserve"> laws giving more </w:t>
        </w:r>
        <w:r w:rsidRPr="004326A1">
          <w:rPr>
            <w:rStyle w:val="Hyperlink"/>
            <w:lang w:val="en-US"/>
          </w:rPr>
          <w:t>V</w:t>
        </w:r>
        <w:r w:rsidRPr="004326A1">
          <w:rPr>
            <w:rStyle w:val="Hyperlink"/>
          </w:rPr>
          <w:t>ictorians choice over their death</w:t>
        </w:r>
      </w:hyperlink>
      <w:r>
        <w:rPr>
          <w:lang w:val="en-US"/>
        </w:rPr>
        <w:t xml:space="preserve"> – &lt;</w:t>
      </w:r>
      <w:r w:rsidRPr="0053697C">
        <w:t>https://www.premier.vic.gov.au/vad-laws-giving-more-victorians-choice-over-their-death</w:t>
      </w:r>
      <w:r>
        <w:rPr>
          <w:lang w:val="en-US"/>
        </w:rPr>
        <w:t>&gt;</w:t>
      </w:r>
      <w:r>
        <w:t xml:space="preserve"> </w:t>
      </w:r>
      <w:r w:rsidRPr="0053697C">
        <w:t>(</w:t>
      </w:r>
      <w:r>
        <w:rPr>
          <w:lang w:val="en-AU"/>
        </w:rPr>
        <w:t>for period</w:t>
      </w:r>
      <w:r>
        <w:t xml:space="preserve"> </w:t>
      </w:r>
      <w:r w:rsidRPr="0053697C">
        <w:t>June</w:t>
      </w:r>
      <w:r>
        <w:t xml:space="preserve"> </w:t>
      </w:r>
      <w:r w:rsidRPr="0053697C">
        <w:t>2019</w:t>
      </w:r>
      <w:r>
        <w:t xml:space="preserve"> </w:t>
      </w:r>
      <w:r>
        <w:rPr>
          <w:lang w:val="en-US"/>
        </w:rPr>
        <w:t>–</w:t>
      </w:r>
      <w:r>
        <w:t xml:space="preserve"> </w:t>
      </w:r>
      <w:r w:rsidRPr="0053697C">
        <w:t>June</w:t>
      </w:r>
      <w:r>
        <w:t xml:space="preserve"> </w:t>
      </w:r>
      <w:r w:rsidRPr="0053697C">
        <w:t>2020)</w:t>
      </w:r>
    </w:p>
  </w:footnote>
  <w:footnote w:id="3">
    <w:p w14:paraId="101928F1" w14:textId="790A1152" w:rsidR="00061938" w:rsidRPr="00FA3A47" w:rsidRDefault="00061938" w:rsidP="00F860FA">
      <w:pPr>
        <w:pStyle w:val="FootnoteText"/>
      </w:pPr>
      <w:r w:rsidRPr="009E5882">
        <w:footnoteRef/>
      </w:r>
      <w:r>
        <w:tab/>
        <w:t xml:space="preserve">Arriagada, N, Palmer, A, Bowman D et al, 2020, Medical Journal of Australia, </w:t>
      </w:r>
      <w:hyperlink r:id="rId2" w:history="1">
        <w:r w:rsidRPr="00AC4407">
          <w:rPr>
            <w:rStyle w:val="Hyperlink"/>
            <w:lang w:val="en-AU"/>
          </w:rPr>
          <w:t>Unprecedented smoke-related health burden associated with the 2019–20 bushfires in eastern Australia</w:t>
        </w:r>
      </w:hyperlink>
      <w:r>
        <w:t>, &lt;</w:t>
      </w:r>
      <w:r w:rsidRPr="00AC4407">
        <w:t>https://doi.org/10.5694/mja2.50545</w:t>
      </w:r>
      <w:r>
        <w:t>&gt;</w:t>
      </w:r>
    </w:p>
  </w:footnote>
  <w:footnote w:id="4">
    <w:p w14:paraId="5A454A47" w14:textId="12477772" w:rsidR="00061938" w:rsidRPr="00DC3881" w:rsidRDefault="00061938" w:rsidP="00F860FA">
      <w:pPr>
        <w:pStyle w:val="FootnoteText"/>
        <w:rPr>
          <w:lang w:val="en-AU"/>
        </w:rPr>
      </w:pPr>
      <w:r w:rsidRPr="009E5882">
        <w:footnoteRef/>
      </w:r>
      <w:r>
        <w:tab/>
      </w:r>
      <w:r>
        <w:rPr>
          <w:lang w:val="en-AU"/>
        </w:rPr>
        <w:t xml:space="preserve">Burnet Institute research published in the Medical Journal of Australia, </w:t>
      </w:r>
      <w:hyperlink r:id="rId3" w:history="1">
        <w:r w:rsidRPr="00B10554">
          <w:rPr>
            <w:rStyle w:val="Hyperlink"/>
            <w:lang w:val="en-AU"/>
          </w:rPr>
          <w:t>Victoria’s response to a resurgence of COVID-19 has averted 9,000–37,000 cases in July 2020</w:t>
        </w:r>
      </w:hyperlink>
      <w:r>
        <w:rPr>
          <w:lang w:val="en-AU"/>
        </w:rPr>
        <w:t xml:space="preserve"> &lt;</w:t>
      </w:r>
      <w:r w:rsidRPr="00AC4407">
        <w:rPr>
          <w:lang w:val="en-AU"/>
        </w:rPr>
        <w:t>https://www.mja.com.au/journal/2020/victorias-response-resurgence-covid-19-has-averted-9000-37000-cases-july-2020</w:t>
      </w:r>
      <w:r>
        <w:rPr>
          <w:lang w:val="en-AU"/>
        </w:rPr>
        <w:t>&gt;</w:t>
      </w:r>
    </w:p>
  </w:footnote>
  <w:footnote w:id="5">
    <w:p w14:paraId="4690DBD7" w14:textId="09427C00" w:rsidR="00061938" w:rsidRPr="00961519" w:rsidRDefault="00061938" w:rsidP="00F860FA">
      <w:pPr>
        <w:pStyle w:val="FootnoteText"/>
      </w:pPr>
      <w:r w:rsidRPr="00F42F20">
        <w:t>*</w:t>
      </w:r>
      <w:r>
        <w:tab/>
      </w:r>
      <w:r w:rsidRPr="00961519">
        <w:rPr>
          <w:rStyle w:val="Superscript"/>
        </w:rPr>
        <w:t>E</w:t>
      </w:r>
      <w:r>
        <w:t xml:space="preserve"> Measures have not been finalised and are estimated results.</w:t>
      </w:r>
    </w:p>
  </w:footnote>
  <w:footnote w:id="6">
    <w:p w14:paraId="62850382" w14:textId="77777777" w:rsidR="00061938" w:rsidRPr="00FA7E9F" w:rsidRDefault="00061938" w:rsidP="00F70C03">
      <w:pPr>
        <w:pStyle w:val="FootnoteText"/>
        <w:rPr>
          <w:lang w:val="en-GB"/>
        </w:rPr>
      </w:pPr>
      <w:r w:rsidRPr="003B64C9">
        <w:t>*</w:t>
      </w:r>
      <w:r>
        <w:tab/>
      </w:r>
      <w:r w:rsidRPr="003B64C9">
        <w:rPr>
          <w:rStyle w:val="Superscript"/>
        </w:rPr>
        <w:t>E</w:t>
      </w:r>
      <w:r>
        <w:t xml:space="preserve"> </w:t>
      </w:r>
      <w:r w:rsidRPr="003B64C9">
        <w:t>Measures</w:t>
      </w:r>
      <w:r>
        <w:t xml:space="preserve"> </w:t>
      </w:r>
      <w:r w:rsidRPr="003B64C9">
        <w:t>have</w:t>
      </w:r>
      <w:r>
        <w:t xml:space="preserve"> </w:t>
      </w:r>
      <w:r w:rsidRPr="003B64C9">
        <w:t>not</w:t>
      </w:r>
      <w:r>
        <w:t xml:space="preserve"> </w:t>
      </w:r>
      <w:r w:rsidRPr="003B64C9">
        <w:t>been</w:t>
      </w:r>
      <w:r>
        <w:t xml:space="preserve"> </w:t>
      </w:r>
      <w:r w:rsidRPr="003B64C9">
        <w:t>finalised</w:t>
      </w:r>
      <w:r>
        <w:t xml:space="preserve"> </w:t>
      </w:r>
      <w:r w:rsidRPr="003B64C9">
        <w:t>and</w:t>
      </w:r>
      <w:r>
        <w:t xml:space="preserve"> </w:t>
      </w:r>
      <w:r w:rsidRPr="003B64C9">
        <w:t>are</w:t>
      </w:r>
      <w:r>
        <w:t xml:space="preserve"> </w:t>
      </w:r>
      <w:r w:rsidRPr="003B64C9">
        <w:t>estimated</w:t>
      </w:r>
      <w:r>
        <w:t xml:space="preserve"> </w:t>
      </w:r>
      <w:r w:rsidRPr="003B64C9">
        <w:t>results.</w:t>
      </w:r>
    </w:p>
  </w:footnote>
  <w:footnote w:id="7">
    <w:p w14:paraId="494E46AE" w14:textId="1F8A5C7A" w:rsidR="00061938" w:rsidRPr="00961519" w:rsidRDefault="00061938" w:rsidP="00F860FA">
      <w:pPr>
        <w:pStyle w:val="FootnoteText"/>
        <w:rPr>
          <w:lang w:val="en-US"/>
        </w:rPr>
      </w:pPr>
      <w:r w:rsidRPr="00927164">
        <w:footnoteRef/>
      </w:r>
      <w:r>
        <w:tab/>
      </w:r>
      <w:r w:rsidRPr="00927164">
        <w:t>T</w:t>
      </w:r>
      <w:r w:rsidRPr="004244AA">
        <w:t>he</w:t>
      </w:r>
      <w:r>
        <w:t xml:space="preserve"> </w:t>
      </w:r>
      <w:r w:rsidRPr="004244AA">
        <w:t>reduction</w:t>
      </w:r>
      <w:r>
        <w:t xml:space="preserve"> </w:t>
      </w:r>
      <w:r w:rsidRPr="004244AA">
        <w:t>in</w:t>
      </w:r>
      <w:r>
        <w:t xml:space="preserve"> </w:t>
      </w:r>
      <w:r w:rsidRPr="004244AA">
        <w:t>Child</w:t>
      </w:r>
      <w:r>
        <w:t xml:space="preserve"> </w:t>
      </w:r>
      <w:r w:rsidRPr="004244AA">
        <w:t>FIRST</w:t>
      </w:r>
      <w:r>
        <w:t xml:space="preserve"> </w:t>
      </w:r>
      <w:r w:rsidRPr="004244AA">
        <w:t>assessments</w:t>
      </w:r>
      <w:r>
        <w:t xml:space="preserve"> </w:t>
      </w:r>
      <w:r w:rsidRPr="004244AA">
        <w:t>and</w:t>
      </w:r>
      <w:r>
        <w:t xml:space="preserve"> </w:t>
      </w:r>
      <w:r w:rsidRPr="004244AA">
        <w:t>interventions</w:t>
      </w:r>
      <w:r>
        <w:t xml:space="preserve"> </w:t>
      </w:r>
      <w:r w:rsidRPr="004244AA">
        <w:t>in</w:t>
      </w:r>
      <w:r>
        <w:t xml:space="preserve"> </w:t>
      </w:r>
      <w:r w:rsidRPr="004244AA">
        <w:t>2018</w:t>
      </w:r>
      <w:r w:rsidRPr="004244AA">
        <w:rPr>
          <w:lang w:val="en-AU"/>
        </w:rPr>
        <w:t>–</w:t>
      </w:r>
      <w:r w:rsidRPr="004244AA">
        <w:t>19</w:t>
      </w:r>
      <w:r>
        <w:t xml:space="preserve"> </w:t>
      </w:r>
      <w:r w:rsidRPr="004244AA">
        <w:t>reflects</w:t>
      </w:r>
      <w:r>
        <w:t xml:space="preserve"> </w:t>
      </w:r>
      <w:r w:rsidRPr="004244AA">
        <w:t>clients</w:t>
      </w:r>
      <w:r>
        <w:t xml:space="preserve"> </w:t>
      </w:r>
      <w:r w:rsidRPr="004244AA">
        <w:t>transferring</w:t>
      </w:r>
      <w:r>
        <w:t xml:space="preserve"> </w:t>
      </w:r>
      <w:r w:rsidRPr="004244AA">
        <w:t>into</w:t>
      </w:r>
      <w:r>
        <w:t xml:space="preserve"> </w:t>
      </w:r>
      <w:r w:rsidRPr="004244AA">
        <w:rPr>
          <w:lang w:val="en-AU"/>
        </w:rPr>
        <w:t>T</w:t>
      </w:r>
      <w:r w:rsidRPr="004244AA">
        <w:t>he</w:t>
      </w:r>
      <w:r>
        <w:t xml:space="preserve"> </w:t>
      </w:r>
      <w:r w:rsidRPr="004244AA">
        <w:t>Orange</w:t>
      </w:r>
      <w:r>
        <w:t xml:space="preserve"> </w:t>
      </w:r>
      <w:r w:rsidRPr="004244AA">
        <w:t>Door</w:t>
      </w:r>
      <w:r>
        <w:t xml:space="preserve"> </w:t>
      </w:r>
      <w:r w:rsidRPr="004244AA">
        <w:rPr>
          <w:lang w:val="en-AU"/>
        </w:rPr>
        <w:t>support</w:t>
      </w:r>
      <w:r>
        <w:t xml:space="preserve"> </w:t>
      </w:r>
      <w:r w:rsidRPr="004244AA">
        <w:t>and</w:t>
      </w:r>
      <w:r>
        <w:t xml:space="preserve"> </w:t>
      </w:r>
      <w:r w:rsidRPr="004244AA">
        <w:rPr>
          <w:lang w:val="en-AU"/>
        </w:rPr>
        <w:t>safety</w:t>
      </w:r>
      <w:r>
        <w:t xml:space="preserve"> </w:t>
      </w:r>
      <w:r w:rsidRPr="004244AA">
        <w:t>hubs,</w:t>
      </w:r>
      <w:r>
        <w:t xml:space="preserve"> </w:t>
      </w:r>
      <w:r w:rsidRPr="004244AA">
        <w:t>where</w:t>
      </w:r>
      <w:r>
        <w:t xml:space="preserve"> </w:t>
      </w:r>
      <w:r w:rsidRPr="004244AA">
        <w:t>Child</w:t>
      </w:r>
      <w:r>
        <w:t xml:space="preserve"> </w:t>
      </w:r>
      <w:r w:rsidRPr="004244AA">
        <w:t>FIRST</w:t>
      </w:r>
      <w:r>
        <w:t xml:space="preserve"> </w:t>
      </w:r>
      <w:r w:rsidRPr="004244AA">
        <w:t>assessments</w:t>
      </w:r>
      <w:r>
        <w:t xml:space="preserve"> </w:t>
      </w:r>
      <w:r w:rsidRPr="004244AA">
        <w:t>continue.</w:t>
      </w:r>
    </w:p>
  </w:footnote>
  <w:footnote w:id="8">
    <w:p w14:paraId="51D49F34" w14:textId="4F22F547" w:rsidR="00061938" w:rsidRPr="00F44D29" w:rsidRDefault="00061938" w:rsidP="00F860FA">
      <w:pPr>
        <w:pStyle w:val="FootnoteText"/>
        <w:rPr>
          <w:lang w:val="en-US"/>
        </w:rPr>
      </w:pPr>
      <w:r w:rsidRPr="009E5882">
        <w:footnoteRef/>
      </w:r>
      <w:r>
        <w:tab/>
      </w:r>
      <w:r w:rsidRPr="00F44D29">
        <w:rPr>
          <w:rStyle w:val="Superscript"/>
        </w:rPr>
        <w:t>E</w:t>
      </w:r>
      <w:r>
        <w:t xml:space="preserve"> </w:t>
      </w:r>
      <w:r w:rsidRPr="00F44D29">
        <w:t>Measures</w:t>
      </w:r>
      <w:r>
        <w:t xml:space="preserve"> </w:t>
      </w:r>
      <w:r w:rsidRPr="00F44D29">
        <w:t>have</w:t>
      </w:r>
      <w:r>
        <w:t xml:space="preserve"> </w:t>
      </w:r>
      <w:r w:rsidRPr="00F44D29">
        <w:t>not</w:t>
      </w:r>
      <w:r>
        <w:t xml:space="preserve"> </w:t>
      </w:r>
      <w:r w:rsidRPr="00F44D29">
        <w:t>been</w:t>
      </w:r>
      <w:r>
        <w:t xml:space="preserve"> </w:t>
      </w:r>
      <w:r w:rsidRPr="00F44D29">
        <w:t>finalised</w:t>
      </w:r>
      <w:r>
        <w:t xml:space="preserve"> </w:t>
      </w:r>
      <w:r w:rsidRPr="00F44D29">
        <w:t>and</w:t>
      </w:r>
      <w:r>
        <w:t xml:space="preserve"> </w:t>
      </w:r>
      <w:r w:rsidRPr="00F44D29">
        <w:t>are</w:t>
      </w:r>
      <w:r>
        <w:t xml:space="preserve"> </w:t>
      </w:r>
      <w:r w:rsidRPr="00F44D29">
        <w:t>estimated</w:t>
      </w:r>
      <w:r>
        <w:t xml:space="preserve"> </w:t>
      </w:r>
      <w:r w:rsidRPr="00F44D29">
        <w:t>results.</w:t>
      </w:r>
    </w:p>
  </w:footnote>
  <w:footnote w:id="9">
    <w:p w14:paraId="7275B29A" w14:textId="29BD337A" w:rsidR="00061938" w:rsidRPr="00DC3D02" w:rsidRDefault="00061938" w:rsidP="00F860FA">
      <w:pPr>
        <w:pStyle w:val="FootnoteText"/>
        <w:rPr>
          <w:lang w:val="en-US"/>
        </w:rPr>
      </w:pPr>
      <w:r w:rsidRPr="00DC3D02">
        <w:footnoteRef/>
      </w:r>
      <w:r>
        <w:tab/>
      </w:r>
      <w:r w:rsidRPr="00DC3D02">
        <w:rPr>
          <w:rStyle w:val="Superscript"/>
        </w:rPr>
        <w:t>E</w:t>
      </w:r>
      <w:r>
        <w:t xml:space="preserve"> </w:t>
      </w:r>
      <w:r w:rsidRPr="00DC3D02">
        <w:t>Measures</w:t>
      </w:r>
      <w:r>
        <w:t xml:space="preserve"> </w:t>
      </w:r>
      <w:r w:rsidRPr="00DC3D02">
        <w:t>have</w:t>
      </w:r>
      <w:r>
        <w:t xml:space="preserve"> </w:t>
      </w:r>
      <w:r w:rsidRPr="00DC3D02">
        <w:t>not</w:t>
      </w:r>
      <w:r>
        <w:t xml:space="preserve"> </w:t>
      </w:r>
      <w:r w:rsidRPr="00DC3D02">
        <w:t>been</w:t>
      </w:r>
      <w:r>
        <w:t xml:space="preserve"> </w:t>
      </w:r>
      <w:r w:rsidRPr="00DC3D02">
        <w:t>finalised</w:t>
      </w:r>
      <w:r>
        <w:t xml:space="preserve"> </w:t>
      </w:r>
      <w:r w:rsidRPr="00DC3D02">
        <w:t>and</w:t>
      </w:r>
      <w:r>
        <w:t xml:space="preserve"> </w:t>
      </w:r>
      <w:r w:rsidRPr="00DC3D02">
        <w:t>are</w:t>
      </w:r>
      <w:r>
        <w:t xml:space="preserve"> </w:t>
      </w:r>
      <w:r w:rsidRPr="00DC3D02">
        <w:t>estimated</w:t>
      </w:r>
      <w:r>
        <w:t xml:space="preserve"> </w:t>
      </w:r>
      <w:r w:rsidRPr="00DC3D02">
        <w:t>results.</w:t>
      </w:r>
    </w:p>
  </w:footnote>
  <w:footnote w:id="10">
    <w:p w14:paraId="63A86FCC" w14:textId="141F971E" w:rsidR="00061938" w:rsidRPr="00F860FA" w:rsidRDefault="00061938" w:rsidP="00F860FA">
      <w:pPr>
        <w:pStyle w:val="FootnoteText"/>
      </w:pPr>
      <w:r w:rsidRPr="004326A1">
        <w:footnoteRef/>
      </w:r>
      <w:r w:rsidRPr="004326A1">
        <w:tab/>
      </w:r>
      <w:r w:rsidRPr="00F860FA">
        <w:t>Figures for 2017–18 and 2018–19 are total number of recorded hazards and incidents as at June 2020 and figures for incidents include incidents and hazards combined.</w:t>
      </w:r>
    </w:p>
  </w:footnote>
  <w:footnote w:id="11">
    <w:p w14:paraId="1B9B09A5" w14:textId="2536FCD5" w:rsidR="00061938" w:rsidRPr="00F860FA" w:rsidRDefault="00061938" w:rsidP="00F860FA">
      <w:pPr>
        <w:pStyle w:val="FootnoteText"/>
      </w:pPr>
      <w:r w:rsidRPr="00F860FA">
        <w:rPr>
          <w:rStyle w:val="FootnoteReference"/>
          <w:vertAlign w:val="baseline"/>
        </w:rPr>
        <w:footnoteRef/>
      </w:r>
      <w:r w:rsidRPr="00F860FA">
        <w:tab/>
        <w:t>Figures for number of incidents requiring first aid and/or further medical treatment derived from eDINMAR where available.</w:t>
      </w:r>
    </w:p>
  </w:footnote>
  <w:footnote w:id="12">
    <w:p w14:paraId="12E2E2FC" w14:textId="475074D6" w:rsidR="00061938" w:rsidRPr="00F860FA" w:rsidRDefault="00061938" w:rsidP="00F860FA">
      <w:pPr>
        <w:pStyle w:val="FootnoteText"/>
      </w:pPr>
      <w:r w:rsidRPr="00F860FA">
        <w:rPr>
          <w:rStyle w:val="FootnoteReference"/>
          <w:vertAlign w:val="baseline"/>
        </w:rPr>
        <w:footnoteRef/>
      </w:r>
      <w:r w:rsidRPr="00F860FA">
        <w:tab/>
        <w:t>Includes accepted, pending and rejected claims that met the standard claims threshold.</w:t>
      </w:r>
    </w:p>
  </w:footnote>
  <w:footnote w:id="13">
    <w:p w14:paraId="4B1A366D" w14:textId="009516E5" w:rsidR="00061938" w:rsidRPr="00F860FA" w:rsidRDefault="00061938" w:rsidP="00F860FA">
      <w:pPr>
        <w:pStyle w:val="FootnoteText"/>
      </w:pPr>
      <w:r w:rsidRPr="00F860FA">
        <w:rPr>
          <w:rStyle w:val="FootnoteReference"/>
          <w:vertAlign w:val="baseline"/>
        </w:rPr>
        <w:footnoteRef/>
      </w:r>
      <w:r w:rsidRPr="00F860FA">
        <w:tab/>
        <w:t>Number and rate per 100 FTE for 2017–18 exclude Youth Justice claims which were transferred to Department of Justice and Community Safety.</w:t>
      </w:r>
    </w:p>
  </w:footnote>
  <w:footnote w:id="14">
    <w:p w14:paraId="77120B01" w14:textId="15FC61C7" w:rsidR="00061938" w:rsidRPr="00F860FA" w:rsidRDefault="00061938" w:rsidP="00F860FA">
      <w:pPr>
        <w:pStyle w:val="FootnoteText"/>
      </w:pPr>
      <w:r w:rsidRPr="00F860FA">
        <w:rPr>
          <w:rStyle w:val="FootnoteReference"/>
          <w:vertAlign w:val="baseline"/>
        </w:rPr>
        <w:footnoteRef/>
      </w:r>
      <w:r w:rsidRPr="00F860FA">
        <w:tab/>
        <w:t>Data extracted with a six-month lag to allow for claims to reach 13 weeks compensation.</w:t>
      </w:r>
    </w:p>
  </w:footnote>
  <w:footnote w:id="15">
    <w:p w14:paraId="32F7559D" w14:textId="621209A1" w:rsidR="00061938" w:rsidRPr="00F860FA" w:rsidRDefault="00061938" w:rsidP="00F860FA">
      <w:pPr>
        <w:pStyle w:val="FootnoteText"/>
      </w:pPr>
      <w:r w:rsidRPr="00F860FA">
        <w:rPr>
          <w:rStyle w:val="FootnoteReference"/>
          <w:vertAlign w:val="baseline"/>
        </w:rPr>
        <w:footnoteRef/>
      </w:r>
      <w:r w:rsidRPr="00F860FA">
        <w:tab/>
        <w:t>Refers to all health safety and wellbeing prosecutions.</w:t>
      </w:r>
    </w:p>
  </w:footnote>
  <w:footnote w:id="16">
    <w:p w14:paraId="06A9C70B" w14:textId="1441709D" w:rsidR="00061938" w:rsidRPr="00F860FA" w:rsidRDefault="00061938" w:rsidP="00F860FA">
      <w:pPr>
        <w:pStyle w:val="FootnoteText"/>
      </w:pPr>
      <w:r w:rsidRPr="00F860FA">
        <w:rPr>
          <w:rStyle w:val="FootnoteReference"/>
          <w:vertAlign w:val="baseline"/>
        </w:rPr>
        <w:footnoteRef/>
      </w:r>
      <w:r w:rsidRPr="00F860FA">
        <w:tab/>
        <w:t>Includes payments and estimated future costs.</w:t>
      </w:r>
    </w:p>
  </w:footnote>
  <w:footnote w:id="17">
    <w:p w14:paraId="655FDE6C" w14:textId="46E10B55" w:rsidR="00061938" w:rsidRPr="00F860FA" w:rsidRDefault="00061938" w:rsidP="00F860FA">
      <w:pPr>
        <w:pStyle w:val="FootnoteText"/>
      </w:pPr>
      <w:r w:rsidRPr="00F860FA">
        <w:rPr>
          <w:rStyle w:val="FootnoteReference"/>
          <w:vertAlign w:val="baseline"/>
        </w:rPr>
        <w:footnoteRef/>
      </w:r>
      <w:r w:rsidRPr="00F860FA">
        <w:tab/>
        <w:t>Data extracted with a three-month lag to allow for the claims estimate to develop to give an accurate picture of associated costs. Figures for 2017–18 and 2018–19 are recorded incidents as at June 2020.</w:t>
      </w:r>
    </w:p>
  </w:footnote>
  <w:footnote w:id="18">
    <w:p w14:paraId="21F67832" w14:textId="122183EB" w:rsidR="00061938" w:rsidRPr="009E5882" w:rsidRDefault="00061938" w:rsidP="00F860FA">
      <w:pPr>
        <w:pStyle w:val="FootnoteText"/>
        <w:rPr>
          <w:lang w:val="en-US"/>
        </w:rPr>
      </w:pPr>
      <w:r w:rsidRPr="009E5882">
        <w:footnoteRef/>
      </w:r>
      <w:r>
        <w:tab/>
      </w:r>
      <w:r w:rsidRPr="002029AF">
        <w:t>Strategic Alliance totals represent whole of life status as at 30 June 2020</w:t>
      </w:r>
    </w:p>
  </w:footnote>
  <w:footnote w:id="19">
    <w:p w14:paraId="48827DA1" w14:textId="523DD223" w:rsidR="00061938" w:rsidRPr="009E5882" w:rsidRDefault="00061938" w:rsidP="00F860FA">
      <w:pPr>
        <w:pStyle w:val="FootnoteText"/>
        <w:rPr>
          <w:lang w:val="en-US"/>
        </w:rPr>
      </w:pPr>
      <w:r w:rsidRPr="009E5882">
        <w:footnoteRef/>
      </w:r>
      <w:r>
        <w:tab/>
      </w:r>
      <w:r w:rsidRPr="002029AF">
        <w:t>Strategic Alliance totals represent whole of life status as at 30 June 2020</w:t>
      </w:r>
    </w:p>
  </w:footnote>
  <w:footnote w:id="20">
    <w:p w14:paraId="2908B3A5" w14:textId="066B2128" w:rsidR="00061938" w:rsidRPr="009E5882" w:rsidRDefault="00061938" w:rsidP="00F860FA">
      <w:pPr>
        <w:pStyle w:val="FootnoteText"/>
        <w:rPr>
          <w:lang w:val="en-US"/>
        </w:rPr>
      </w:pPr>
      <w:r w:rsidRPr="009E5882">
        <w:footnoteRef/>
      </w:r>
      <w:r>
        <w:tab/>
      </w:r>
      <w:r w:rsidRPr="002029AF">
        <w:t>Strategic Alliance totals represent whole of life status as at 30 June 2020</w:t>
      </w:r>
    </w:p>
  </w:footnote>
  <w:footnote w:id="21">
    <w:p w14:paraId="2F5B78A5" w14:textId="14DE3FFA" w:rsidR="00061938" w:rsidRPr="004326A1" w:rsidRDefault="00061938">
      <w:pPr>
        <w:pStyle w:val="FootnoteText"/>
        <w:rPr>
          <w:lang w:val="en-US"/>
        </w:rPr>
      </w:pPr>
      <w:r w:rsidRPr="004326A1">
        <w:footnoteRef/>
      </w:r>
      <w:r w:rsidRPr="004326A1">
        <w:tab/>
        <w:t>A Victorian Aboriginal business must be at least 50 per cent Aboriginal and/or Torres Strait Islander owned, undertaking commercial activity, and operates and has business premises in Victoria.</w:t>
      </w:r>
    </w:p>
  </w:footnote>
  <w:footnote w:id="22">
    <w:p w14:paraId="64AD6215" w14:textId="253CBE40" w:rsidR="00061938" w:rsidRPr="004326A1" w:rsidRDefault="00061938" w:rsidP="00C66321">
      <w:pPr>
        <w:pStyle w:val="FootnoteText"/>
        <w:rPr>
          <w:lang w:val="en-US"/>
        </w:rPr>
      </w:pPr>
      <w:r w:rsidRPr="004326A1">
        <w:footnoteRef/>
      </w:r>
      <w:r w:rsidRPr="004326A1">
        <w:tab/>
        <w:t>Victorian social enterprises led by a mission for at least one of five disadvantaged cohorts (long-term unemployed people, disengaged youth, single parents, migrants, refugees and asylum seekers, and workers in transition).</w:t>
      </w:r>
    </w:p>
  </w:footnote>
  <w:footnote w:id="23">
    <w:p w14:paraId="1F7CCBAF" w14:textId="66E06AA8" w:rsidR="00061938" w:rsidRPr="00C66321" w:rsidRDefault="00061938">
      <w:pPr>
        <w:pStyle w:val="FootnoteText"/>
        <w:rPr>
          <w:lang w:val="en-US"/>
        </w:rPr>
      </w:pPr>
      <w:r w:rsidRPr="004326A1">
        <w:footnoteRef/>
      </w:r>
      <w:r w:rsidRPr="004326A1">
        <w:tab/>
        <w:t>All types of Victorian social enterprises verified by Social Traders or listed on the Map for Impact, excluding social enterprises that a</w:t>
      </w:r>
      <w:r w:rsidRPr="002029AF">
        <w:t>re also Victorian Aboriginal businesses.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1C8B7" w14:textId="3CE6679C" w:rsidR="00061938" w:rsidRDefault="0006193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1BCC0F" w14:textId="7E2693C0" w:rsidR="00061938" w:rsidRDefault="0006193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22D6BC" w14:textId="28FF2C94" w:rsidR="00061938" w:rsidRDefault="0006193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BC2287" w14:textId="1AD1D008" w:rsidR="00061938" w:rsidRDefault="0006193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80B08D" w14:textId="2171E60C" w:rsidR="00061938" w:rsidRDefault="0006193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D24274" w14:textId="567D4ED7" w:rsidR="00061938" w:rsidRDefault="0006193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C6C61A" w14:textId="094C256C" w:rsidR="00061938" w:rsidRDefault="0006193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A0484E" w14:textId="1110AABE" w:rsidR="00061938" w:rsidRPr="00112AA8" w:rsidRDefault="00061938" w:rsidP="00897193">
    <w:pPr>
      <w:pStyle w:val="Header"/>
      <w:rPr>
        <w:rStyle w:val="PageNumber"/>
        <w:b w:val="0"/>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550735" w14:textId="4772FF22" w:rsidR="00061938" w:rsidRPr="00753B93" w:rsidRDefault="00061938" w:rsidP="00897193">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069F4F" w14:textId="605DFF1B" w:rsidR="00061938" w:rsidRDefault="0006193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DF5220" w14:textId="77777777" w:rsidR="00061938" w:rsidRDefault="000619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5927E" w14:textId="62293636" w:rsidR="00061938" w:rsidRDefault="00061938">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AE560A" w14:textId="77777777" w:rsidR="00061938" w:rsidRPr="00753B93" w:rsidRDefault="00061938" w:rsidP="00897193">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1B2A4" w14:textId="77777777" w:rsidR="00061938" w:rsidRDefault="00061938">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EF3E72" w14:textId="77777777" w:rsidR="00061938" w:rsidRDefault="00061938">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4E5A4" w14:textId="77777777" w:rsidR="00061938" w:rsidRDefault="00061938">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16097E" w14:textId="77777777" w:rsidR="00061938" w:rsidRDefault="00061938">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0F6AD0" w14:textId="77777777" w:rsidR="00061938" w:rsidRDefault="00061938">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08AB80" w14:textId="458C17F7" w:rsidR="00061938" w:rsidRDefault="00061938" w:rsidP="00B45A1D">
    <w:pPr>
      <w:pStyle w:val="Header"/>
      <w:tabs>
        <w:tab w:val="right" w:pos="9631"/>
      </w:tabs>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61CFC9" w14:textId="77777777" w:rsidR="00061938" w:rsidRDefault="00061938">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CCE1C5" w14:textId="77777777" w:rsidR="00061938" w:rsidRDefault="00061938">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3BE274" w14:textId="77777777" w:rsidR="00061938" w:rsidRDefault="000619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E67D0B" w14:textId="26AFAF57" w:rsidR="00061938" w:rsidRDefault="00061938">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0E6690" w14:textId="77777777" w:rsidR="00061938" w:rsidRDefault="00061938">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8054F4" w14:textId="77777777" w:rsidR="00061938" w:rsidRDefault="00061938">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E2D564" w14:textId="77777777" w:rsidR="00061938" w:rsidRDefault="00061938">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BACB6A" w14:textId="77777777" w:rsidR="00061938" w:rsidRDefault="00061938">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29BC86" w14:textId="77777777" w:rsidR="00061938" w:rsidRDefault="00061938">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D0DF70" w14:textId="77777777" w:rsidR="00061938" w:rsidRDefault="00061938">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EB31D" w14:textId="77777777" w:rsidR="00061938" w:rsidRDefault="00061938">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AE9BF1" w14:textId="77777777" w:rsidR="00061938" w:rsidRDefault="00061938">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FDB940" w14:textId="77777777" w:rsidR="00061938" w:rsidRDefault="00061938">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F10A1" w14:textId="77777777" w:rsidR="00061938" w:rsidRDefault="000619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7500F1" w14:textId="77777777" w:rsidR="00061938" w:rsidRDefault="00061938">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DC904D" w14:textId="77777777" w:rsidR="00061938" w:rsidRDefault="00061938">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90773F" w14:textId="77777777" w:rsidR="00061938" w:rsidRDefault="00061938">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F3D1C5" w14:textId="77777777" w:rsidR="00061938" w:rsidRDefault="00061938">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E9F94" w14:textId="1130C314" w:rsidR="00061938" w:rsidRPr="00822530" w:rsidRDefault="00061938" w:rsidP="00C22356">
    <w:pPr>
      <w:rPr>
        <w:rStyle w:val="PageNumber"/>
        <w:rFonts w:ascii="Calibri" w:hAnsi="Calibri"/>
        <w:sz w:val="20"/>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A4753A" w14:textId="77777777" w:rsidR="00061938" w:rsidRDefault="00061938">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4CD6E" w14:textId="77777777" w:rsidR="00061938" w:rsidRDefault="00061938">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743B81" w14:textId="77777777" w:rsidR="00061938" w:rsidRDefault="00061938">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6D518" w14:textId="77777777" w:rsidR="00061938" w:rsidRDefault="00061938">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6141CA" w14:textId="77777777" w:rsidR="00061938" w:rsidRDefault="00061938">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DFD63A" w14:textId="79722232" w:rsidR="00061938" w:rsidRDefault="0006193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35834" w14:textId="77777777" w:rsidR="00061938" w:rsidRDefault="00061938">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87A604" w14:textId="77777777" w:rsidR="00061938" w:rsidRDefault="00061938">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CEA96" w14:textId="77777777" w:rsidR="00061938" w:rsidRDefault="00061938">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D65D03" w14:textId="77777777" w:rsidR="00061938" w:rsidRDefault="00061938">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BF8714" w14:textId="77777777" w:rsidR="00061938" w:rsidRPr="00753B93" w:rsidRDefault="00061938" w:rsidP="00897193">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626949" w14:textId="77777777" w:rsidR="00061938" w:rsidRPr="00112AA8" w:rsidRDefault="00061938" w:rsidP="00897193">
    <w:pPr>
      <w:pStyle w:val="Header"/>
      <w:rPr>
        <w:rStyle w:val="PageNumber"/>
        <w:b w:val="0"/>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EAA1A" w14:textId="77777777" w:rsidR="00061938" w:rsidRPr="00753B93" w:rsidRDefault="00061938" w:rsidP="00897193">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538EF7" w14:textId="77777777" w:rsidR="00061938" w:rsidRPr="00112AA8" w:rsidRDefault="00061938" w:rsidP="00897193">
    <w:pPr>
      <w:pStyle w:val="Header"/>
      <w:rPr>
        <w:rStyle w:val="PageNumber"/>
        <w:b w:val="0"/>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8BFF98" w14:textId="77777777" w:rsidR="00061938" w:rsidRPr="00753B93" w:rsidRDefault="00061938" w:rsidP="00897193">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E8AF6C" w14:textId="77777777" w:rsidR="00061938" w:rsidRDefault="00061938">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6129EB" w14:textId="77777777" w:rsidR="00061938" w:rsidRPr="00BD5ABC" w:rsidRDefault="00061938" w:rsidP="00897193">
    <w:pPr>
      <w:pStyle w:val="Header"/>
      <w:jc w:val="center"/>
      <w:rPr>
        <w:b/>
        <w:bC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7C7AC" w14:textId="77777777" w:rsidR="00061938" w:rsidRDefault="00061938">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9E370C" w14:textId="77777777" w:rsidR="00061938" w:rsidRDefault="00061938">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A85465" w14:textId="77777777" w:rsidR="00061938" w:rsidRDefault="00061938">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512026" w14:textId="77777777" w:rsidR="00061938" w:rsidRDefault="00061938">
    <w:pPr>
      <w:pStyle w:val="Heade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40017F" w14:textId="77777777" w:rsidR="00061938" w:rsidRDefault="00061938">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C9C935" w14:textId="77777777" w:rsidR="00061938" w:rsidRDefault="00061938">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4838C5" w14:textId="77777777" w:rsidR="00061938" w:rsidRDefault="00061938">
    <w:pPr>
      <w:pStyle w:val="Heade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008C78" w14:textId="77777777" w:rsidR="00061938" w:rsidRDefault="00061938">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3AE6C" w14:textId="77777777" w:rsidR="00061938" w:rsidRDefault="00061938">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E6932" w14:textId="77777777" w:rsidR="00061938" w:rsidRDefault="00061938">
    <w:pPr>
      <w:pStyle w:val="Heade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A43C6C" w14:textId="77777777" w:rsidR="00061938" w:rsidRDefault="0006193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4C4A3F" w14:textId="77777777" w:rsidR="00061938" w:rsidRDefault="00061938">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7BAD9" w14:textId="77777777" w:rsidR="00061938" w:rsidRPr="00112AA8" w:rsidRDefault="00061938" w:rsidP="00897193">
    <w:pPr>
      <w:pStyle w:val="Header"/>
      <w:rPr>
        <w:rStyle w:val="PageNumber"/>
        <w:b w:val="0"/>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A1767F" w14:textId="77777777" w:rsidR="00061938" w:rsidRPr="00753B93" w:rsidRDefault="00061938" w:rsidP="00897193">
    <w:pPr>
      <w:pStyle w:val="Heade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31704A" w14:textId="77777777" w:rsidR="00061938" w:rsidRDefault="00061938">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54F262" w14:textId="187A1303" w:rsidR="00061938" w:rsidRDefault="00061938">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52E673" w14:textId="77777777" w:rsidR="00061938" w:rsidRDefault="00061938">
    <w:pPr>
      <w:pStyle w:val="Heade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03A689" w14:textId="77777777" w:rsidR="00061938" w:rsidRPr="00112AA8" w:rsidRDefault="00061938" w:rsidP="00897193">
    <w:pPr>
      <w:pStyle w:val="Header"/>
      <w:rPr>
        <w:rStyle w:val="PageNumber"/>
        <w:rFonts w:cs="Times New Roman"/>
        <w:b w:val="0"/>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CB5FBB" w14:textId="77777777" w:rsidR="00061938" w:rsidRPr="00753B93" w:rsidRDefault="00061938" w:rsidP="00897193">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529F5E" w14:textId="77777777" w:rsidR="00061938" w:rsidRDefault="00061938">
    <w:pPr>
      <w:pStyle w:val="Heade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FF68B" w14:textId="77777777" w:rsidR="00061938" w:rsidRDefault="00061938">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C47F31" w14:textId="77777777" w:rsidR="00061938" w:rsidRDefault="0006193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E2EE7A" w14:textId="77777777" w:rsidR="00061938" w:rsidRDefault="00061938">
    <w:pPr>
      <w:pStyle w:val="Heade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222D75" w14:textId="77777777" w:rsidR="00061938" w:rsidRPr="00F02C4F" w:rsidRDefault="00061938" w:rsidP="007920F7">
    <w:pPr>
      <w:pStyle w:val="Heade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535168" w14:textId="77777777" w:rsidR="00061938" w:rsidRDefault="00061938">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509DCB" w14:textId="046DABCF" w:rsidR="00061938" w:rsidRPr="000B1DD5" w:rsidRDefault="00061938" w:rsidP="00A148CF">
    <w:pPr>
      <w:pStyle w:val="Header"/>
      <w:jc w:val="right"/>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F786B2" w14:textId="77777777" w:rsidR="00061938" w:rsidRDefault="00061938">
    <w:pPr>
      <w:pStyle w:val="Heade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94F455" w14:textId="77777777" w:rsidR="00061938" w:rsidRDefault="00061938">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CDC738" w14:textId="77777777" w:rsidR="00061938" w:rsidRDefault="00061938">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E4468F" w14:textId="77777777" w:rsidR="00061938" w:rsidRDefault="00061938">
    <w:pPr>
      <w:pStyle w:val="Heade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1AF35" w14:textId="77777777" w:rsidR="00061938" w:rsidRDefault="00061938">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FF616" w14:textId="77777777" w:rsidR="00061938" w:rsidRDefault="00061938">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8786A4" w14:textId="77777777" w:rsidR="00061938" w:rsidRDefault="0006193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E7E855" w14:textId="77777777" w:rsidR="00061938" w:rsidRDefault="000619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F4F85"/>
    <w:multiLevelType w:val="multilevel"/>
    <w:tmpl w:val="2B5CD2EA"/>
    <w:styleLink w:val="CurrentList2"/>
    <w:lvl w:ilvl="0">
      <w:start w:val="2"/>
      <w:numFmt w:val="decimal"/>
      <w:lvlText w:val="Note %1: "/>
      <w:lvlJc w:val="left"/>
      <w:pPr>
        <w:tabs>
          <w:tab w:val="num" w:pos="1352"/>
        </w:tabs>
        <w:ind w:left="1352" w:hanging="99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lvlText w:val="Note %1%2: "/>
      <w:lvlJc w:val="left"/>
      <w:pPr>
        <w:tabs>
          <w:tab w:val="num" w:pos="1532"/>
        </w:tabs>
        <w:ind w:left="1532" w:hanging="992"/>
      </w:pPr>
      <w:rPr>
        <w:rFonts w:ascii="Times New Roman" w:hAnsi="Times New Roman" w:cs="Times New Roman" w:hint="default"/>
        <w:b/>
        <w:i w:val="0"/>
        <w:color w:val="auto"/>
        <w:sz w:val="20"/>
        <w:szCs w:val="20"/>
        <w:u w:val="none"/>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 w15:restartNumberingAfterBreak="0">
    <w:nsid w:val="01E01F0D"/>
    <w:multiLevelType w:val="hybridMultilevel"/>
    <w:tmpl w:val="1D80310E"/>
    <w:styleLink w:val="LowerRomanat7mm"/>
    <w:lvl w:ilvl="0" w:tplc="95AC8800">
      <w:start w:val="1"/>
      <w:numFmt w:val="lowerRoman"/>
      <w:lvlText w:val="(%1)"/>
      <w:lvlJc w:val="left"/>
      <w:pPr>
        <w:ind w:left="794" w:hanging="397"/>
      </w:pPr>
      <w:rPr>
        <w:rFonts w:hint="default"/>
      </w:rPr>
    </w:lvl>
    <w:lvl w:ilvl="1" w:tplc="084EF04E">
      <w:start w:val="1"/>
      <w:numFmt w:val="lowerLetter"/>
      <w:lvlText w:val="%2)"/>
      <w:lvlJc w:val="left"/>
      <w:pPr>
        <w:ind w:left="720" w:hanging="360"/>
      </w:pPr>
      <w:rPr>
        <w:rFonts w:hint="default"/>
      </w:rPr>
    </w:lvl>
    <w:lvl w:ilvl="2" w:tplc="79D43806">
      <w:start w:val="1"/>
      <w:numFmt w:val="lowerRoman"/>
      <w:lvlText w:val="%3)"/>
      <w:lvlJc w:val="left"/>
      <w:pPr>
        <w:ind w:left="1080" w:hanging="360"/>
      </w:pPr>
      <w:rPr>
        <w:rFonts w:hint="default"/>
      </w:rPr>
    </w:lvl>
    <w:lvl w:ilvl="3" w:tplc="8810327A">
      <w:start w:val="1"/>
      <w:numFmt w:val="decimal"/>
      <w:lvlText w:val="(%4)"/>
      <w:lvlJc w:val="left"/>
      <w:pPr>
        <w:ind w:left="1440" w:hanging="360"/>
      </w:pPr>
      <w:rPr>
        <w:rFonts w:hint="default"/>
      </w:rPr>
    </w:lvl>
    <w:lvl w:ilvl="4" w:tplc="CC7E89BE">
      <w:start w:val="1"/>
      <w:numFmt w:val="lowerLetter"/>
      <w:lvlText w:val="(%5)"/>
      <w:lvlJc w:val="left"/>
      <w:pPr>
        <w:ind w:left="1800" w:hanging="360"/>
      </w:pPr>
      <w:rPr>
        <w:rFonts w:hint="default"/>
      </w:rPr>
    </w:lvl>
    <w:lvl w:ilvl="5" w:tplc="A4E69620">
      <w:start w:val="1"/>
      <w:numFmt w:val="lowerRoman"/>
      <w:lvlText w:val="(%6)"/>
      <w:lvlJc w:val="left"/>
      <w:pPr>
        <w:ind w:left="2160" w:hanging="360"/>
      </w:pPr>
      <w:rPr>
        <w:rFonts w:hint="default"/>
      </w:rPr>
    </w:lvl>
    <w:lvl w:ilvl="6" w:tplc="C8840706">
      <w:start w:val="1"/>
      <w:numFmt w:val="decimal"/>
      <w:lvlText w:val="%7."/>
      <w:lvlJc w:val="left"/>
      <w:pPr>
        <w:ind w:left="2520" w:hanging="360"/>
      </w:pPr>
      <w:rPr>
        <w:rFonts w:hint="default"/>
      </w:rPr>
    </w:lvl>
    <w:lvl w:ilvl="7" w:tplc="DD98D340">
      <w:start w:val="1"/>
      <w:numFmt w:val="lowerLetter"/>
      <w:lvlText w:val="%8."/>
      <w:lvlJc w:val="left"/>
      <w:pPr>
        <w:ind w:left="2880" w:hanging="360"/>
      </w:pPr>
      <w:rPr>
        <w:rFonts w:hint="default"/>
      </w:rPr>
    </w:lvl>
    <w:lvl w:ilvl="8" w:tplc="E370CCD4">
      <w:start w:val="1"/>
      <w:numFmt w:val="lowerRoman"/>
      <w:lvlText w:val="%9."/>
      <w:lvlJc w:val="left"/>
      <w:pPr>
        <w:ind w:left="3240" w:hanging="360"/>
      </w:pPr>
      <w:rPr>
        <w:rFonts w:hint="default"/>
      </w:rPr>
    </w:lvl>
  </w:abstractNum>
  <w:abstractNum w:abstractNumId="2" w15:restartNumberingAfterBreak="0">
    <w:nsid w:val="02F2323C"/>
    <w:multiLevelType w:val="hybridMultilevel"/>
    <w:tmpl w:val="A61C06F4"/>
    <w:lvl w:ilvl="0" w:tplc="24BCA682">
      <w:start w:val="1"/>
      <w:numFmt w:val="bullet"/>
      <w:pStyle w:val="ListBullet"/>
      <w:lvlText w:val=""/>
      <w:lvlJc w:val="left"/>
      <w:pPr>
        <w:ind w:left="284" w:hanging="284"/>
      </w:pPr>
      <w:rPr>
        <w:rFonts w:ascii="Symbol" w:hAnsi="Symbol" w:hint="default"/>
      </w:rPr>
    </w:lvl>
    <w:lvl w:ilvl="1" w:tplc="62942078">
      <w:start w:val="1"/>
      <w:numFmt w:val="bullet"/>
      <w:pStyle w:val="ListBullet2"/>
      <w:lvlText w:val="–"/>
      <w:lvlJc w:val="left"/>
      <w:pPr>
        <w:ind w:left="568" w:hanging="284"/>
      </w:pPr>
      <w:rPr>
        <w:rFonts w:ascii="Arial" w:hAnsi="Arial" w:hint="default"/>
      </w:rPr>
    </w:lvl>
    <w:lvl w:ilvl="2" w:tplc="DE587716">
      <w:start w:val="1"/>
      <w:numFmt w:val="bullet"/>
      <w:pStyle w:val="ListBullet3"/>
      <w:lvlText w:val=""/>
      <w:lvlJc w:val="left"/>
      <w:pPr>
        <w:ind w:left="852" w:hanging="284"/>
      </w:pPr>
      <w:rPr>
        <w:rFonts w:ascii="Symbol" w:hAnsi="Symbol" w:hint="default"/>
      </w:rPr>
    </w:lvl>
    <w:lvl w:ilvl="3" w:tplc="0584F940">
      <w:start w:val="1"/>
      <w:numFmt w:val="decimal"/>
      <w:lvlText w:val="(%4)"/>
      <w:lvlJc w:val="left"/>
      <w:pPr>
        <w:ind w:left="1136" w:hanging="284"/>
      </w:pPr>
      <w:rPr>
        <w:rFonts w:hint="default"/>
      </w:rPr>
    </w:lvl>
    <w:lvl w:ilvl="4" w:tplc="B0960C8E">
      <w:start w:val="1"/>
      <w:numFmt w:val="lowerLetter"/>
      <w:lvlText w:val="(%5)"/>
      <w:lvlJc w:val="left"/>
      <w:pPr>
        <w:ind w:left="1420" w:hanging="284"/>
      </w:pPr>
      <w:rPr>
        <w:rFonts w:hint="default"/>
      </w:rPr>
    </w:lvl>
    <w:lvl w:ilvl="5" w:tplc="24E03318">
      <w:start w:val="1"/>
      <w:numFmt w:val="lowerRoman"/>
      <w:lvlText w:val="(%6)"/>
      <w:lvlJc w:val="left"/>
      <w:pPr>
        <w:ind w:left="1704" w:hanging="284"/>
      </w:pPr>
      <w:rPr>
        <w:rFonts w:hint="default"/>
      </w:rPr>
    </w:lvl>
    <w:lvl w:ilvl="6" w:tplc="A5705250">
      <w:start w:val="1"/>
      <w:numFmt w:val="decimal"/>
      <w:lvlText w:val="%7."/>
      <w:lvlJc w:val="left"/>
      <w:pPr>
        <w:ind w:left="1988" w:hanging="284"/>
      </w:pPr>
      <w:rPr>
        <w:rFonts w:hint="default"/>
      </w:rPr>
    </w:lvl>
    <w:lvl w:ilvl="7" w:tplc="4274CDDC">
      <w:start w:val="1"/>
      <w:numFmt w:val="lowerLetter"/>
      <w:lvlText w:val="%8."/>
      <w:lvlJc w:val="left"/>
      <w:pPr>
        <w:ind w:left="2272" w:hanging="284"/>
      </w:pPr>
      <w:rPr>
        <w:rFonts w:hint="default"/>
      </w:rPr>
    </w:lvl>
    <w:lvl w:ilvl="8" w:tplc="0A50ECDE">
      <w:start w:val="1"/>
      <w:numFmt w:val="lowerRoman"/>
      <w:lvlText w:val="%9."/>
      <w:lvlJc w:val="left"/>
      <w:pPr>
        <w:ind w:left="2556" w:hanging="284"/>
      </w:pPr>
      <w:rPr>
        <w:rFonts w:hint="default"/>
      </w:rPr>
    </w:lvl>
  </w:abstractNum>
  <w:abstractNum w:abstractNumId="3" w15:restartNumberingAfterBreak="0">
    <w:nsid w:val="0DB21187"/>
    <w:multiLevelType w:val="hybridMultilevel"/>
    <w:tmpl w:val="1CB47BE6"/>
    <w:lvl w:ilvl="0" w:tplc="3142242E">
      <w:start w:val="1"/>
      <w:numFmt w:val="bullet"/>
      <w:lvlText w:val="•"/>
      <w:lvlJc w:val="left"/>
      <w:pPr>
        <w:ind w:left="284" w:hanging="284"/>
      </w:pPr>
      <w:rPr>
        <w:rFonts w:ascii="Calibri" w:hAnsi="Calibri" w:hint="default"/>
      </w:rPr>
    </w:lvl>
    <w:lvl w:ilvl="1" w:tplc="60ECA7CE">
      <w:start w:val="1"/>
      <w:numFmt w:val="lowerRoman"/>
      <w:lvlText w:val="(%2)"/>
      <w:lvlJc w:val="left"/>
      <w:pPr>
        <w:tabs>
          <w:tab w:val="num" w:pos="284"/>
        </w:tabs>
        <w:ind w:left="567" w:hanging="283"/>
      </w:pPr>
      <w:rPr>
        <w:rFonts w:ascii="Arial" w:eastAsia="Times New Roman" w:hAnsi="Arial" w:cs="ArialMT" w:hint="default"/>
      </w:rPr>
    </w:lvl>
    <w:lvl w:ilvl="2" w:tplc="F03851E6">
      <w:start w:val="1"/>
      <w:numFmt w:val="none"/>
      <w:lvlRestart w:val="0"/>
      <w:lvlText w:val=""/>
      <w:lvlJc w:val="left"/>
      <w:pPr>
        <w:ind w:left="0" w:firstLine="0"/>
      </w:pPr>
      <w:rPr>
        <w:rFonts w:hint="default"/>
      </w:rPr>
    </w:lvl>
    <w:lvl w:ilvl="3" w:tplc="59E89CC4">
      <w:start w:val="1"/>
      <w:numFmt w:val="none"/>
      <w:lvlRestart w:val="0"/>
      <w:lvlText w:val=""/>
      <w:lvlJc w:val="left"/>
      <w:pPr>
        <w:ind w:left="0" w:firstLine="0"/>
      </w:pPr>
      <w:rPr>
        <w:rFonts w:hint="default"/>
      </w:rPr>
    </w:lvl>
    <w:lvl w:ilvl="4" w:tplc="9E6E7100">
      <w:start w:val="1"/>
      <w:numFmt w:val="none"/>
      <w:lvlRestart w:val="0"/>
      <w:lvlText w:val=""/>
      <w:lvlJc w:val="left"/>
      <w:pPr>
        <w:ind w:left="0" w:firstLine="0"/>
      </w:pPr>
      <w:rPr>
        <w:rFonts w:hint="default"/>
      </w:rPr>
    </w:lvl>
    <w:lvl w:ilvl="5" w:tplc="694C29F4">
      <w:start w:val="1"/>
      <w:numFmt w:val="none"/>
      <w:lvlRestart w:val="0"/>
      <w:lvlText w:val=""/>
      <w:lvlJc w:val="left"/>
      <w:pPr>
        <w:ind w:left="0" w:firstLine="0"/>
      </w:pPr>
      <w:rPr>
        <w:rFonts w:hint="default"/>
      </w:rPr>
    </w:lvl>
    <w:lvl w:ilvl="6" w:tplc="C3762C7A">
      <w:start w:val="1"/>
      <w:numFmt w:val="none"/>
      <w:lvlRestart w:val="0"/>
      <w:lvlText w:val=""/>
      <w:lvlJc w:val="left"/>
      <w:pPr>
        <w:ind w:left="0" w:firstLine="0"/>
      </w:pPr>
      <w:rPr>
        <w:rFonts w:hint="default"/>
      </w:rPr>
    </w:lvl>
    <w:lvl w:ilvl="7" w:tplc="8A8A5810">
      <w:start w:val="1"/>
      <w:numFmt w:val="none"/>
      <w:lvlRestart w:val="0"/>
      <w:lvlText w:val=""/>
      <w:lvlJc w:val="left"/>
      <w:pPr>
        <w:ind w:left="0" w:firstLine="0"/>
      </w:pPr>
      <w:rPr>
        <w:rFonts w:hint="default"/>
      </w:rPr>
    </w:lvl>
    <w:lvl w:ilvl="8" w:tplc="E3FA8C64">
      <w:start w:val="1"/>
      <w:numFmt w:val="none"/>
      <w:lvlRestart w:val="0"/>
      <w:lvlText w:val=""/>
      <w:lvlJc w:val="left"/>
      <w:pPr>
        <w:ind w:left="0" w:firstLine="0"/>
      </w:pPr>
      <w:rPr>
        <w:rFonts w:hint="default"/>
      </w:rPr>
    </w:lvl>
  </w:abstractNum>
  <w:abstractNum w:abstractNumId="4" w15:restartNumberingAfterBreak="0">
    <w:nsid w:val="10193262"/>
    <w:multiLevelType w:val="hybridMultilevel"/>
    <w:tmpl w:val="B07065AA"/>
    <w:styleLink w:val="ZZFinbullets"/>
    <w:lvl w:ilvl="0" w:tplc="3142242E">
      <w:start w:val="1"/>
      <w:numFmt w:val="bullet"/>
      <w:pStyle w:val="ARfinbullet1"/>
      <w:lvlText w:val="•"/>
      <w:lvlJc w:val="left"/>
      <w:pPr>
        <w:ind w:left="284" w:hanging="284"/>
      </w:pPr>
      <w:rPr>
        <w:rFonts w:ascii="Calibri" w:hAnsi="Calibri" w:hint="default"/>
      </w:rPr>
    </w:lvl>
    <w:lvl w:ilvl="1" w:tplc="6E8C63EC">
      <w:start w:val="1"/>
      <w:numFmt w:val="bullet"/>
      <w:lvlRestart w:val="0"/>
      <w:pStyle w:val="ARfinbullet2"/>
      <w:lvlText w:val="–"/>
      <w:lvlJc w:val="left"/>
      <w:pPr>
        <w:tabs>
          <w:tab w:val="num" w:pos="284"/>
        </w:tabs>
        <w:ind w:left="567" w:hanging="283"/>
      </w:pPr>
      <w:rPr>
        <w:rFonts w:ascii="Calibri" w:hAnsi="Calibri" w:hint="default"/>
      </w:rPr>
    </w:lvl>
    <w:lvl w:ilvl="2" w:tplc="F03851E6">
      <w:start w:val="1"/>
      <w:numFmt w:val="none"/>
      <w:lvlRestart w:val="0"/>
      <w:lvlText w:val=""/>
      <w:lvlJc w:val="left"/>
      <w:pPr>
        <w:ind w:left="0" w:firstLine="0"/>
      </w:pPr>
      <w:rPr>
        <w:rFonts w:hint="default"/>
      </w:rPr>
    </w:lvl>
    <w:lvl w:ilvl="3" w:tplc="59E89CC4">
      <w:start w:val="1"/>
      <w:numFmt w:val="none"/>
      <w:lvlRestart w:val="0"/>
      <w:lvlText w:val=""/>
      <w:lvlJc w:val="left"/>
      <w:pPr>
        <w:ind w:left="0" w:firstLine="0"/>
      </w:pPr>
      <w:rPr>
        <w:rFonts w:hint="default"/>
      </w:rPr>
    </w:lvl>
    <w:lvl w:ilvl="4" w:tplc="9E6E7100">
      <w:start w:val="1"/>
      <w:numFmt w:val="none"/>
      <w:lvlRestart w:val="0"/>
      <w:lvlText w:val=""/>
      <w:lvlJc w:val="left"/>
      <w:pPr>
        <w:ind w:left="0" w:firstLine="0"/>
      </w:pPr>
      <w:rPr>
        <w:rFonts w:hint="default"/>
      </w:rPr>
    </w:lvl>
    <w:lvl w:ilvl="5" w:tplc="694C29F4">
      <w:start w:val="1"/>
      <w:numFmt w:val="none"/>
      <w:lvlRestart w:val="0"/>
      <w:lvlText w:val=""/>
      <w:lvlJc w:val="left"/>
      <w:pPr>
        <w:ind w:left="0" w:firstLine="0"/>
      </w:pPr>
      <w:rPr>
        <w:rFonts w:hint="default"/>
      </w:rPr>
    </w:lvl>
    <w:lvl w:ilvl="6" w:tplc="C3762C7A">
      <w:start w:val="1"/>
      <w:numFmt w:val="none"/>
      <w:lvlRestart w:val="0"/>
      <w:lvlText w:val=""/>
      <w:lvlJc w:val="left"/>
      <w:pPr>
        <w:ind w:left="0" w:firstLine="0"/>
      </w:pPr>
      <w:rPr>
        <w:rFonts w:hint="default"/>
      </w:rPr>
    </w:lvl>
    <w:lvl w:ilvl="7" w:tplc="8A8A5810">
      <w:start w:val="1"/>
      <w:numFmt w:val="none"/>
      <w:lvlRestart w:val="0"/>
      <w:lvlText w:val=""/>
      <w:lvlJc w:val="left"/>
      <w:pPr>
        <w:ind w:left="0" w:firstLine="0"/>
      </w:pPr>
      <w:rPr>
        <w:rFonts w:hint="default"/>
      </w:rPr>
    </w:lvl>
    <w:lvl w:ilvl="8" w:tplc="E3FA8C64">
      <w:start w:val="1"/>
      <w:numFmt w:val="none"/>
      <w:lvlRestart w:val="0"/>
      <w:lvlText w:val=""/>
      <w:lvlJc w:val="left"/>
      <w:pPr>
        <w:ind w:left="0" w:firstLine="0"/>
      </w:pPr>
      <w:rPr>
        <w:rFonts w:hint="default"/>
      </w:rPr>
    </w:lvl>
  </w:abstractNum>
  <w:abstractNum w:abstractNumId="5" w15:restartNumberingAfterBreak="0">
    <w:nsid w:val="1CD95887"/>
    <w:multiLevelType w:val="multilevel"/>
    <w:tmpl w:val="DC88D7AC"/>
    <w:styleLink w:val="Style2"/>
    <w:lvl w:ilvl="0">
      <w:start w:val="1"/>
      <w:numFmt w:val="decimal"/>
      <w:lvlText w:val="Note %1: "/>
      <w:lvlJc w:val="left"/>
      <w:pPr>
        <w:tabs>
          <w:tab w:val="num" w:pos="992"/>
        </w:tabs>
        <w:ind w:left="992" w:hanging="99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lvlText w:val="Note %1%2: "/>
      <w:lvlJc w:val="left"/>
      <w:pPr>
        <w:tabs>
          <w:tab w:val="num" w:pos="1532"/>
        </w:tabs>
        <w:ind w:left="1532" w:hanging="992"/>
      </w:pPr>
      <w:rPr>
        <w:rFonts w:ascii="Times New Roman" w:hAnsi="Times New Roman" w:cs="Times New Roman" w:hint="default"/>
        <w:b/>
        <w:i w:val="0"/>
        <w:color w:val="auto"/>
        <w:sz w:val="20"/>
        <w:szCs w:val="20"/>
        <w:u w:val="none"/>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 w15:restartNumberingAfterBreak="0">
    <w:nsid w:val="21FD1567"/>
    <w:multiLevelType w:val="hybridMultilevel"/>
    <w:tmpl w:val="76B68A5C"/>
    <w:lvl w:ilvl="0" w:tplc="0FB88C0A">
      <w:start w:val="1"/>
      <w:numFmt w:val="lowerRoman"/>
      <w:pStyle w:val="ARtablefootnoteroman"/>
      <w:lvlText w:val="(%1)"/>
      <w:lvlJc w:val="left"/>
      <w:pPr>
        <w:tabs>
          <w:tab w:val="num" w:pos="284"/>
        </w:tabs>
        <w:ind w:left="284" w:hanging="284"/>
      </w:pPr>
      <w:rPr>
        <w:rFonts w:hint="default"/>
      </w:rPr>
    </w:lvl>
    <w:lvl w:ilvl="1" w:tplc="BEDCA2C6">
      <w:start w:val="1"/>
      <w:numFmt w:val="none"/>
      <w:lvlRestart w:val="0"/>
      <w:lvlText w:val=""/>
      <w:lvlJc w:val="left"/>
      <w:pPr>
        <w:ind w:left="0" w:firstLine="0"/>
      </w:pPr>
      <w:rPr>
        <w:rFonts w:hint="default"/>
      </w:rPr>
    </w:lvl>
    <w:lvl w:ilvl="2" w:tplc="1410005C">
      <w:start w:val="1"/>
      <w:numFmt w:val="none"/>
      <w:lvlRestart w:val="0"/>
      <w:lvlText w:val=""/>
      <w:lvlJc w:val="left"/>
      <w:pPr>
        <w:ind w:left="0" w:firstLine="0"/>
      </w:pPr>
      <w:rPr>
        <w:rFonts w:hint="default"/>
      </w:rPr>
    </w:lvl>
    <w:lvl w:ilvl="3" w:tplc="25523A14">
      <w:start w:val="1"/>
      <w:numFmt w:val="none"/>
      <w:lvlRestart w:val="0"/>
      <w:lvlText w:val=""/>
      <w:lvlJc w:val="left"/>
      <w:pPr>
        <w:ind w:left="0" w:firstLine="0"/>
      </w:pPr>
      <w:rPr>
        <w:rFonts w:hint="default"/>
      </w:rPr>
    </w:lvl>
    <w:lvl w:ilvl="4" w:tplc="6BE47768">
      <w:start w:val="1"/>
      <w:numFmt w:val="none"/>
      <w:lvlRestart w:val="0"/>
      <w:lvlText w:val=""/>
      <w:lvlJc w:val="left"/>
      <w:pPr>
        <w:ind w:left="0" w:firstLine="0"/>
      </w:pPr>
      <w:rPr>
        <w:rFonts w:hint="default"/>
      </w:rPr>
    </w:lvl>
    <w:lvl w:ilvl="5" w:tplc="663ECBFC">
      <w:start w:val="1"/>
      <w:numFmt w:val="none"/>
      <w:lvlRestart w:val="0"/>
      <w:lvlText w:val=""/>
      <w:lvlJc w:val="left"/>
      <w:pPr>
        <w:ind w:left="0" w:firstLine="0"/>
      </w:pPr>
      <w:rPr>
        <w:rFonts w:hint="default"/>
      </w:rPr>
    </w:lvl>
    <w:lvl w:ilvl="6" w:tplc="2A7896FE">
      <w:start w:val="1"/>
      <w:numFmt w:val="none"/>
      <w:lvlRestart w:val="0"/>
      <w:lvlText w:val=""/>
      <w:lvlJc w:val="left"/>
      <w:pPr>
        <w:ind w:left="0" w:firstLine="0"/>
      </w:pPr>
      <w:rPr>
        <w:rFonts w:hint="default"/>
      </w:rPr>
    </w:lvl>
    <w:lvl w:ilvl="7" w:tplc="27926564">
      <w:start w:val="1"/>
      <w:numFmt w:val="none"/>
      <w:lvlRestart w:val="0"/>
      <w:lvlText w:val=""/>
      <w:lvlJc w:val="left"/>
      <w:pPr>
        <w:ind w:left="0" w:firstLine="0"/>
      </w:pPr>
      <w:rPr>
        <w:rFonts w:hint="default"/>
      </w:rPr>
    </w:lvl>
    <w:lvl w:ilvl="8" w:tplc="386034F4">
      <w:start w:val="1"/>
      <w:numFmt w:val="none"/>
      <w:lvlRestart w:val="0"/>
      <w:lvlText w:val=""/>
      <w:lvlJc w:val="left"/>
      <w:pPr>
        <w:ind w:left="0" w:firstLine="0"/>
      </w:pPr>
      <w:rPr>
        <w:rFonts w:hint="default"/>
      </w:rPr>
    </w:lvl>
  </w:abstractNum>
  <w:abstractNum w:abstractNumId="7" w15:restartNumberingAfterBreak="0">
    <w:nsid w:val="24702521"/>
    <w:multiLevelType w:val="hybridMultilevel"/>
    <w:tmpl w:val="564299E6"/>
    <w:styleLink w:val="Tablefootnotes"/>
    <w:lvl w:ilvl="0" w:tplc="915E6960">
      <w:start w:val="1"/>
      <w:numFmt w:val="none"/>
      <w:suff w:val="nothing"/>
      <w:lvlText w:val=""/>
      <w:lvlJc w:val="left"/>
      <w:pPr>
        <w:ind w:left="0" w:firstLine="0"/>
      </w:pPr>
      <w:rPr>
        <w:rFonts w:hint="default"/>
      </w:rPr>
    </w:lvl>
    <w:lvl w:ilvl="1" w:tplc="1F32490C">
      <w:start w:val="1"/>
      <w:numFmt w:val="lowerRoman"/>
      <w:lvlText w:val="(%2)"/>
      <w:lvlJc w:val="left"/>
      <w:pPr>
        <w:tabs>
          <w:tab w:val="num" w:pos="284"/>
        </w:tabs>
        <w:ind w:left="284" w:hanging="284"/>
      </w:pPr>
      <w:rPr>
        <w:rFonts w:hint="default"/>
      </w:rPr>
    </w:lvl>
    <w:lvl w:ilvl="2" w:tplc="C0064F14">
      <w:start w:val="1"/>
      <w:numFmt w:val="bullet"/>
      <w:lvlRestart w:val="0"/>
      <w:lvlText w:val="•"/>
      <w:lvlJc w:val="left"/>
      <w:pPr>
        <w:ind w:left="510" w:hanging="226"/>
      </w:pPr>
      <w:rPr>
        <w:rFonts w:ascii="Calibri" w:hAnsi="Calibri" w:hint="default"/>
        <w:color w:val="auto"/>
      </w:rPr>
    </w:lvl>
    <w:lvl w:ilvl="3" w:tplc="279AC4D6">
      <w:start w:val="1"/>
      <w:numFmt w:val="decimal"/>
      <w:lvlText w:val="(%4)"/>
      <w:lvlJc w:val="left"/>
      <w:pPr>
        <w:ind w:left="1440" w:hanging="360"/>
      </w:pPr>
      <w:rPr>
        <w:rFonts w:hint="default"/>
      </w:rPr>
    </w:lvl>
    <w:lvl w:ilvl="4" w:tplc="E4505786">
      <w:start w:val="1"/>
      <w:numFmt w:val="lowerLetter"/>
      <w:lvlText w:val="(%5)"/>
      <w:lvlJc w:val="left"/>
      <w:pPr>
        <w:ind w:left="1800" w:hanging="360"/>
      </w:pPr>
      <w:rPr>
        <w:rFonts w:hint="default"/>
      </w:rPr>
    </w:lvl>
    <w:lvl w:ilvl="5" w:tplc="492EE5F8">
      <w:start w:val="1"/>
      <w:numFmt w:val="lowerRoman"/>
      <w:lvlText w:val="(%6)"/>
      <w:lvlJc w:val="left"/>
      <w:pPr>
        <w:ind w:left="2160" w:hanging="360"/>
      </w:pPr>
      <w:rPr>
        <w:rFonts w:hint="default"/>
      </w:rPr>
    </w:lvl>
    <w:lvl w:ilvl="6" w:tplc="ECF407E6">
      <w:start w:val="1"/>
      <w:numFmt w:val="decimal"/>
      <w:lvlText w:val="%7."/>
      <w:lvlJc w:val="left"/>
      <w:pPr>
        <w:ind w:left="2520" w:hanging="360"/>
      </w:pPr>
      <w:rPr>
        <w:rFonts w:hint="default"/>
      </w:rPr>
    </w:lvl>
    <w:lvl w:ilvl="7" w:tplc="630E965C">
      <w:start w:val="1"/>
      <w:numFmt w:val="lowerLetter"/>
      <w:lvlText w:val="%8."/>
      <w:lvlJc w:val="left"/>
      <w:pPr>
        <w:ind w:left="2880" w:hanging="360"/>
      </w:pPr>
      <w:rPr>
        <w:rFonts w:hint="default"/>
      </w:rPr>
    </w:lvl>
    <w:lvl w:ilvl="8" w:tplc="F6F0DF1A">
      <w:start w:val="1"/>
      <w:numFmt w:val="lowerRoman"/>
      <w:lvlText w:val="%9."/>
      <w:lvlJc w:val="left"/>
      <w:pPr>
        <w:ind w:left="3240" w:hanging="360"/>
      </w:pPr>
      <w:rPr>
        <w:rFonts w:hint="default"/>
      </w:rPr>
    </w:lvl>
  </w:abstractNum>
  <w:abstractNum w:abstractNumId="8" w15:restartNumberingAfterBreak="0">
    <w:nsid w:val="261C3521"/>
    <w:multiLevelType w:val="hybridMultilevel"/>
    <w:tmpl w:val="FBCEAFFC"/>
    <w:styleLink w:val="ZZTablefootnoteroman"/>
    <w:lvl w:ilvl="0" w:tplc="846CAC4E">
      <w:start w:val="1"/>
      <w:numFmt w:val="bullet"/>
      <w:lvlText w:val=""/>
      <w:lvlJc w:val="left"/>
      <w:pPr>
        <w:tabs>
          <w:tab w:val="num" w:pos="720"/>
        </w:tabs>
        <w:ind w:left="720" w:hanging="360"/>
      </w:pPr>
      <w:rPr>
        <w:rFonts w:ascii="Symbol" w:hAnsi="Symbol" w:hint="default"/>
        <w:sz w:val="20"/>
      </w:rPr>
    </w:lvl>
    <w:lvl w:ilvl="1" w:tplc="B4A49C66" w:tentative="1">
      <w:start w:val="1"/>
      <w:numFmt w:val="bullet"/>
      <w:lvlText w:val=""/>
      <w:lvlJc w:val="left"/>
      <w:pPr>
        <w:tabs>
          <w:tab w:val="num" w:pos="1440"/>
        </w:tabs>
        <w:ind w:left="1440" w:hanging="360"/>
      </w:pPr>
      <w:rPr>
        <w:rFonts w:ascii="Symbol" w:hAnsi="Symbol" w:hint="default"/>
        <w:sz w:val="20"/>
      </w:rPr>
    </w:lvl>
    <w:lvl w:ilvl="2" w:tplc="A3EE9190" w:tentative="1">
      <w:start w:val="1"/>
      <w:numFmt w:val="bullet"/>
      <w:lvlText w:val=""/>
      <w:lvlJc w:val="left"/>
      <w:pPr>
        <w:tabs>
          <w:tab w:val="num" w:pos="2160"/>
        </w:tabs>
        <w:ind w:left="2160" w:hanging="360"/>
      </w:pPr>
      <w:rPr>
        <w:rFonts w:ascii="Symbol" w:hAnsi="Symbol" w:hint="default"/>
        <w:sz w:val="20"/>
      </w:rPr>
    </w:lvl>
    <w:lvl w:ilvl="3" w:tplc="B73877FE" w:tentative="1">
      <w:start w:val="1"/>
      <w:numFmt w:val="bullet"/>
      <w:lvlText w:val=""/>
      <w:lvlJc w:val="left"/>
      <w:pPr>
        <w:tabs>
          <w:tab w:val="num" w:pos="2880"/>
        </w:tabs>
        <w:ind w:left="2880" w:hanging="360"/>
      </w:pPr>
      <w:rPr>
        <w:rFonts w:ascii="Symbol" w:hAnsi="Symbol" w:hint="default"/>
        <w:sz w:val="20"/>
      </w:rPr>
    </w:lvl>
    <w:lvl w:ilvl="4" w:tplc="D33E796C" w:tentative="1">
      <w:start w:val="1"/>
      <w:numFmt w:val="bullet"/>
      <w:lvlText w:val=""/>
      <w:lvlJc w:val="left"/>
      <w:pPr>
        <w:tabs>
          <w:tab w:val="num" w:pos="3600"/>
        </w:tabs>
        <w:ind w:left="3600" w:hanging="360"/>
      </w:pPr>
      <w:rPr>
        <w:rFonts w:ascii="Symbol" w:hAnsi="Symbol" w:hint="default"/>
        <w:sz w:val="20"/>
      </w:rPr>
    </w:lvl>
    <w:lvl w:ilvl="5" w:tplc="8F7C0A94" w:tentative="1">
      <w:start w:val="1"/>
      <w:numFmt w:val="bullet"/>
      <w:lvlText w:val=""/>
      <w:lvlJc w:val="left"/>
      <w:pPr>
        <w:tabs>
          <w:tab w:val="num" w:pos="4320"/>
        </w:tabs>
        <w:ind w:left="4320" w:hanging="360"/>
      </w:pPr>
      <w:rPr>
        <w:rFonts w:ascii="Symbol" w:hAnsi="Symbol" w:hint="default"/>
        <w:sz w:val="20"/>
      </w:rPr>
    </w:lvl>
    <w:lvl w:ilvl="6" w:tplc="1E9A3B1C" w:tentative="1">
      <w:start w:val="1"/>
      <w:numFmt w:val="bullet"/>
      <w:lvlText w:val=""/>
      <w:lvlJc w:val="left"/>
      <w:pPr>
        <w:tabs>
          <w:tab w:val="num" w:pos="5040"/>
        </w:tabs>
        <w:ind w:left="5040" w:hanging="360"/>
      </w:pPr>
      <w:rPr>
        <w:rFonts w:ascii="Symbol" w:hAnsi="Symbol" w:hint="default"/>
        <w:sz w:val="20"/>
      </w:rPr>
    </w:lvl>
    <w:lvl w:ilvl="7" w:tplc="230E119A" w:tentative="1">
      <w:start w:val="1"/>
      <w:numFmt w:val="bullet"/>
      <w:lvlText w:val=""/>
      <w:lvlJc w:val="left"/>
      <w:pPr>
        <w:tabs>
          <w:tab w:val="num" w:pos="5760"/>
        </w:tabs>
        <w:ind w:left="5760" w:hanging="360"/>
      </w:pPr>
      <w:rPr>
        <w:rFonts w:ascii="Symbol" w:hAnsi="Symbol" w:hint="default"/>
        <w:sz w:val="20"/>
      </w:rPr>
    </w:lvl>
    <w:lvl w:ilvl="8" w:tplc="7CEA909C"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6A67E4"/>
    <w:multiLevelType w:val="hybridMultilevel"/>
    <w:tmpl w:val="2A905340"/>
    <w:styleLink w:val="ZZFinnumbersalpha1roman2"/>
    <w:lvl w:ilvl="0" w:tplc="AD76FC2E">
      <w:start w:val="1"/>
      <w:numFmt w:val="lowerLetter"/>
      <w:pStyle w:val="ARfinnumberalpha1"/>
      <w:lvlText w:val="(%1)"/>
      <w:lvlJc w:val="left"/>
      <w:pPr>
        <w:ind w:left="284" w:hanging="284"/>
      </w:pPr>
      <w:rPr>
        <w:rFonts w:hint="default"/>
      </w:rPr>
    </w:lvl>
    <w:lvl w:ilvl="1" w:tplc="7A2C78D0">
      <w:start w:val="1"/>
      <w:numFmt w:val="lowerRoman"/>
      <w:pStyle w:val="ARfinnumberroman2"/>
      <w:lvlText w:val="(%2)"/>
      <w:lvlJc w:val="left"/>
      <w:pPr>
        <w:tabs>
          <w:tab w:val="num" w:pos="284"/>
        </w:tabs>
        <w:ind w:left="567" w:hanging="283"/>
      </w:pPr>
      <w:rPr>
        <w:rFonts w:hint="default"/>
      </w:rPr>
    </w:lvl>
    <w:lvl w:ilvl="2" w:tplc="5C8CE0D2">
      <w:start w:val="1"/>
      <w:numFmt w:val="none"/>
      <w:lvlRestart w:val="0"/>
      <w:lvlText w:val=""/>
      <w:lvlJc w:val="left"/>
      <w:pPr>
        <w:ind w:left="0" w:firstLine="0"/>
      </w:pPr>
      <w:rPr>
        <w:rFonts w:hint="default"/>
      </w:rPr>
    </w:lvl>
    <w:lvl w:ilvl="3" w:tplc="547A2254">
      <w:start w:val="1"/>
      <w:numFmt w:val="none"/>
      <w:lvlRestart w:val="0"/>
      <w:lvlText w:val=""/>
      <w:lvlJc w:val="left"/>
      <w:pPr>
        <w:ind w:left="0" w:firstLine="0"/>
      </w:pPr>
      <w:rPr>
        <w:rFonts w:hint="default"/>
      </w:rPr>
    </w:lvl>
    <w:lvl w:ilvl="4" w:tplc="4C500C88">
      <w:start w:val="1"/>
      <w:numFmt w:val="none"/>
      <w:lvlRestart w:val="0"/>
      <w:lvlText w:val=""/>
      <w:lvlJc w:val="left"/>
      <w:pPr>
        <w:ind w:left="0" w:firstLine="0"/>
      </w:pPr>
      <w:rPr>
        <w:rFonts w:hint="default"/>
      </w:rPr>
    </w:lvl>
    <w:lvl w:ilvl="5" w:tplc="3AD8F842">
      <w:start w:val="1"/>
      <w:numFmt w:val="none"/>
      <w:lvlRestart w:val="0"/>
      <w:lvlText w:val=""/>
      <w:lvlJc w:val="left"/>
      <w:pPr>
        <w:ind w:left="0" w:firstLine="0"/>
      </w:pPr>
      <w:rPr>
        <w:rFonts w:hint="default"/>
      </w:rPr>
    </w:lvl>
    <w:lvl w:ilvl="6" w:tplc="85769454">
      <w:start w:val="1"/>
      <w:numFmt w:val="none"/>
      <w:lvlRestart w:val="0"/>
      <w:lvlText w:val=""/>
      <w:lvlJc w:val="left"/>
      <w:pPr>
        <w:ind w:left="0" w:firstLine="0"/>
      </w:pPr>
      <w:rPr>
        <w:rFonts w:hint="default"/>
      </w:rPr>
    </w:lvl>
    <w:lvl w:ilvl="7" w:tplc="E286C0C0">
      <w:start w:val="1"/>
      <w:numFmt w:val="none"/>
      <w:lvlRestart w:val="0"/>
      <w:lvlText w:val=""/>
      <w:lvlJc w:val="left"/>
      <w:pPr>
        <w:ind w:left="0" w:firstLine="0"/>
      </w:pPr>
      <w:rPr>
        <w:rFonts w:hint="default"/>
      </w:rPr>
    </w:lvl>
    <w:lvl w:ilvl="8" w:tplc="FBD49DBA">
      <w:start w:val="1"/>
      <w:numFmt w:val="none"/>
      <w:lvlRestart w:val="0"/>
      <w:lvlText w:val=""/>
      <w:lvlJc w:val="left"/>
      <w:pPr>
        <w:ind w:left="0" w:firstLine="0"/>
      </w:pPr>
      <w:rPr>
        <w:rFonts w:hint="default"/>
      </w:rPr>
    </w:lvl>
  </w:abstractNum>
  <w:abstractNum w:abstractNumId="10" w15:restartNumberingAfterBreak="0">
    <w:nsid w:val="2B8D71AB"/>
    <w:multiLevelType w:val="multilevel"/>
    <w:tmpl w:val="66ECE93E"/>
    <w:styleLink w:val="LowerAlphaat5mm"/>
    <w:lvl w:ilvl="0">
      <w:start w:val="1"/>
      <w:numFmt w:val="lowerLetter"/>
      <w:lvlText w:val="%1)"/>
      <w:lvlJc w:val="left"/>
      <w:pPr>
        <w:ind w:left="567" w:hanging="283"/>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1" w15:restartNumberingAfterBreak="0">
    <w:nsid w:val="2D9F777F"/>
    <w:multiLevelType w:val="hybridMultilevel"/>
    <w:tmpl w:val="088668C0"/>
    <w:lvl w:ilvl="0" w:tplc="A30C7346">
      <w:start w:val="1"/>
      <w:numFmt w:val="lowerLetter"/>
      <w:lvlText w:val="(%1)"/>
      <w:lvlJc w:val="left"/>
      <w:pPr>
        <w:tabs>
          <w:tab w:val="num" w:pos="397"/>
        </w:tabs>
        <w:ind w:left="397" w:hanging="397"/>
      </w:pPr>
      <w:rPr>
        <w:rFonts w:cs="Times New Roman" w:hint="default"/>
      </w:rPr>
    </w:lvl>
    <w:lvl w:ilvl="1" w:tplc="A6B8771A">
      <w:start w:val="1"/>
      <w:numFmt w:val="lowerLetter"/>
      <w:lvlRestart w:val="0"/>
      <w:lvlText w:val="(%2)"/>
      <w:lvlJc w:val="left"/>
      <w:pPr>
        <w:tabs>
          <w:tab w:val="num" w:pos="680"/>
        </w:tabs>
        <w:ind w:left="680" w:hanging="396"/>
      </w:pPr>
      <w:rPr>
        <w:rFonts w:cs="Times New Roman" w:hint="default"/>
      </w:rPr>
    </w:lvl>
    <w:lvl w:ilvl="2" w:tplc="97622892">
      <w:start w:val="1"/>
      <w:numFmt w:val="lowerRoman"/>
      <w:lvlRestart w:val="0"/>
      <w:pStyle w:val="ARnumberroman2"/>
      <w:lvlText w:val="(%3)"/>
      <w:lvlJc w:val="left"/>
      <w:pPr>
        <w:tabs>
          <w:tab w:val="num" w:pos="794"/>
        </w:tabs>
        <w:ind w:left="794" w:hanging="397"/>
      </w:pPr>
      <w:rPr>
        <w:rFonts w:cs="Times New Roman" w:hint="default"/>
      </w:rPr>
    </w:lvl>
    <w:lvl w:ilvl="3" w:tplc="CE68EA20">
      <w:start w:val="1"/>
      <w:numFmt w:val="bullet"/>
      <w:lvlText w:val=""/>
      <w:lvlJc w:val="left"/>
      <w:pPr>
        <w:tabs>
          <w:tab w:val="num" w:pos="2880"/>
        </w:tabs>
        <w:ind w:left="2880" w:hanging="360"/>
      </w:pPr>
      <w:rPr>
        <w:rFonts w:ascii="Symbol" w:hAnsi="Symbol" w:hint="default"/>
      </w:rPr>
    </w:lvl>
    <w:lvl w:ilvl="4" w:tplc="90F482B0">
      <w:start w:val="1"/>
      <w:numFmt w:val="bullet"/>
      <w:lvlText w:val="o"/>
      <w:lvlJc w:val="left"/>
      <w:pPr>
        <w:tabs>
          <w:tab w:val="num" w:pos="3600"/>
        </w:tabs>
        <w:ind w:left="3600" w:hanging="360"/>
      </w:pPr>
      <w:rPr>
        <w:rFonts w:ascii="Courier New" w:hAnsi="Courier New" w:hint="default"/>
      </w:rPr>
    </w:lvl>
    <w:lvl w:ilvl="5" w:tplc="2F564A66">
      <w:start w:val="1"/>
      <w:numFmt w:val="bullet"/>
      <w:lvlText w:val=""/>
      <w:lvlJc w:val="left"/>
      <w:pPr>
        <w:tabs>
          <w:tab w:val="num" w:pos="4320"/>
        </w:tabs>
        <w:ind w:left="4320" w:hanging="360"/>
      </w:pPr>
      <w:rPr>
        <w:rFonts w:ascii="Wingdings" w:hAnsi="Wingdings" w:hint="default"/>
      </w:rPr>
    </w:lvl>
    <w:lvl w:ilvl="6" w:tplc="A3F693CE">
      <w:start w:val="1"/>
      <w:numFmt w:val="bullet"/>
      <w:lvlText w:val=""/>
      <w:lvlJc w:val="left"/>
      <w:pPr>
        <w:tabs>
          <w:tab w:val="num" w:pos="5040"/>
        </w:tabs>
        <w:ind w:left="5040" w:hanging="360"/>
      </w:pPr>
      <w:rPr>
        <w:rFonts w:ascii="Symbol" w:hAnsi="Symbol" w:hint="default"/>
      </w:rPr>
    </w:lvl>
    <w:lvl w:ilvl="7" w:tplc="E3A868F0">
      <w:start w:val="1"/>
      <w:numFmt w:val="bullet"/>
      <w:lvlText w:val="o"/>
      <w:lvlJc w:val="left"/>
      <w:pPr>
        <w:tabs>
          <w:tab w:val="num" w:pos="5760"/>
        </w:tabs>
        <w:ind w:left="5760" w:hanging="360"/>
      </w:pPr>
      <w:rPr>
        <w:rFonts w:ascii="Courier New" w:hAnsi="Courier New" w:hint="default"/>
      </w:rPr>
    </w:lvl>
    <w:lvl w:ilvl="8" w:tplc="523A1536">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9C4B35"/>
    <w:multiLevelType w:val="hybridMultilevel"/>
    <w:tmpl w:val="413033FA"/>
    <w:lvl w:ilvl="0" w:tplc="2A1E4A8C">
      <w:start w:val="1"/>
      <w:numFmt w:val="bullet"/>
      <w:pStyle w:val="ARtablefootnot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2940CD5"/>
    <w:multiLevelType w:val="hybridMultilevel"/>
    <w:tmpl w:val="A61C06F4"/>
    <w:styleLink w:val="Bullet"/>
    <w:lvl w:ilvl="0" w:tplc="A4C6D510">
      <w:start w:val="1"/>
      <w:numFmt w:val="bullet"/>
      <w:lvlText w:val=""/>
      <w:lvlJc w:val="left"/>
      <w:pPr>
        <w:ind w:left="284" w:hanging="284"/>
      </w:pPr>
      <w:rPr>
        <w:rFonts w:ascii="Symbol" w:hAnsi="Symbol" w:hint="default"/>
      </w:rPr>
    </w:lvl>
    <w:lvl w:ilvl="1" w:tplc="5352000A">
      <w:start w:val="1"/>
      <w:numFmt w:val="bullet"/>
      <w:lvlText w:val="–"/>
      <w:lvlJc w:val="left"/>
      <w:pPr>
        <w:ind w:left="568" w:hanging="284"/>
      </w:pPr>
      <w:rPr>
        <w:rFonts w:ascii="Arial" w:hAnsi="Arial" w:hint="default"/>
      </w:rPr>
    </w:lvl>
    <w:lvl w:ilvl="2" w:tplc="C6EE2648">
      <w:start w:val="1"/>
      <w:numFmt w:val="bullet"/>
      <w:lvlText w:val=""/>
      <w:lvlJc w:val="left"/>
      <w:pPr>
        <w:ind w:left="852" w:hanging="284"/>
      </w:pPr>
      <w:rPr>
        <w:rFonts w:ascii="Symbol" w:hAnsi="Symbol" w:hint="default"/>
      </w:rPr>
    </w:lvl>
    <w:lvl w:ilvl="3" w:tplc="FC32991C">
      <w:start w:val="1"/>
      <w:numFmt w:val="decimal"/>
      <w:lvlText w:val="(%4)"/>
      <w:lvlJc w:val="left"/>
      <w:pPr>
        <w:ind w:left="1136" w:hanging="284"/>
      </w:pPr>
      <w:rPr>
        <w:rFonts w:hint="default"/>
      </w:rPr>
    </w:lvl>
    <w:lvl w:ilvl="4" w:tplc="5E12383C">
      <w:start w:val="1"/>
      <w:numFmt w:val="lowerLetter"/>
      <w:lvlText w:val="(%5)"/>
      <w:lvlJc w:val="left"/>
      <w:pPr>
        <w:ind w:left="1420" w:hanging="284"/>
      </w:pPr>
      <w:rPr>
        <w:rFonts w:hint="default"/>
      </w:rPr>
    </w:lvl>
    <w:lvl w:ilvl="5" w:tplc="B98E004C">
      <w:start w:val="1"/>
      <w:numFmt w:val="lowerRoman"/>
      <w:lvlText w:val="(%6)"/>
      <w:lvlJc w:val="left"/>
      <w:pPr>
        <w:ind w:left="1704" w:hanging="284"/>
      </w:pPr>
      <w:rPr>
        <w:rFonts w:hint="default"/>
      </w:rPr>
    </w:lvl>
    <w:lvl w:ilvl="6" w:tplc="DEC6F32C">
      <w:start w:val="1"/>
      <w:numFmt w:val="decimal"/>
      <w:lvlText w:val="%7."/>
      <w:lvlJc w:val="left"/>
      <w:pPr>
        <w:ind w:left="1988" w:hanging="284"/>
      </w:pPr>
      <w:rPr>
        <w:rFonts w:hint="default"/>
      </w:rPr>
    </w:lvl>
    <w:lvl w:ilvl="7" w:tplc="A726EF9C">
      <w:start w:val="1"/>
      <w:numFmt w:val="lowerLetter"/>
      <w:lvlText w:val="%8."/>
      <w:lvlJc w:val="left"/>
      <w:pPr>
        <w:ind w:left="2272" w:hanging="284"/>
      </w:pPr>
      <w:rPr>
        <w:rFonts w:hint="default"/>
      </w:rPr>
    </w:lvl>
    <w:lvl w:ilvl="8" w:tplc="E2289AE8">
      <w:start w:val="1"/>
      <w:numFmt w:val="lowerRoman"/>
      <w:lvlText w:val="%9."/>
      <w:lvlJc w:val="left"/>
      <w:pPr>
        <w:ind w:left="2556" w:hanging="284"/>
      </w:pPr>
      <w:rPr>
        <w:rFonts w:hint="default"/>
      </w:rPr>
    </w:lvl>
  </w:abstractNum>
  <w:abstractNum w:abstractNumId="14" w15:restartNumberingAfterBreak="0">
    <w:nsid w:val="34432F2B"/>
    <w:multiLevelType w:val="hybridMultilevel"/>
    <w:tmpl w:val="85BE5314"/>
    <w:styleLink w:val="Bullets2and3"/>
    <w:lvl w:ilvl="0" w:tplc="C61EE6BC">
      <w:start w:val="1"/>
      <w:numFmt w:val="bullet"/>
      <w:lvlText w:val="–"/>
      <w:lvlJc w:val="left"/>
      <w:pPr>
        <w:tabs>
          <w:tab w:val="num" w:pos="567"/>
        </w:tabs>
        <w:ind w:left="567" w:hanging="283"/>
      </w:pPr>
      <w:rPr>
        <w:rFonts w:ascii="font583" w:hAnsi="font583" w:hint="default"/>
      </w:rPr>
    </w:lvl>
    <w:lvl w:ilvl="1" w:tplc="362EFEE6">
      <w:start w:val="1"/>
      <w:numFmt w:val="bullet"/>
      <w:lvlRestart w:val="0"/>
      <w:lvlText w:val="–"/>
      <w:lvlJc w:val="left"/>
      <w:pPr>
        <w:ind w:left="567" w:hanging="283"/>
      </w:pPr>
      <w:rPr>
        <w:rFonts w:hint="default"/>
      </w:rPr>
    </w:lvl>
    <w:lvl w:ilvl="2" w:tplc="5900AC04">
      <w:start w:val="1"/>
      <w:numFmt w:val="bullet"/>
      <w:lvlRestart w:val="0"/>
      <w:lvlText w:val="&gt;"/>
      <w:lvlJc w:val="left"/>
      <w:pPr>
        <w:tabs>
          <w:tab w:val="num" w:pos="851"/>
        </w:tabs>
        <w:ind w:left="851" w:hanging="284"/>
      </w:pPr>
      <w:rPr>
        <w:rFonts w:ascii="Times New Roman" w:hAnsi="Times New Roman" w:cs="Times New Roman" w:hint="default"/>
      </w:rPr>
    </w:lvl>
    <w:lvl w:ilvl="3" w:tplc="8F94A0D8">
      <w:start w:val="1"/>
      <w:numFmt w:val="bullet"/>
      <w:lvlRestart w:val="0"/>
      <w:lvlText w:val="&gt;"/>
      <w:lvlJc w:val="left"/>
      <w:pPr>
        <w:tabs>
          <w:tab w:val="num" w:pos="851"/>
        </w:tabs>
        <w:ind w:left="851" w:hanging="284"/>
      </w:pPr>
      <w:rPr>
        <w:rFonts w:ascii="Times New Roman" w:hAnsi="Times New Roman" w:cs="Times New Roman" w:hint="default"/>
      </w:rPr>
    </w:lvl>
    <w:lvl w:ilvl="4" w:tplc="F46EA0FA">
      <w:start w:val="1"/>
      <w:numFmt w:val="none"/>
      <w:lvlRestart w:val="0"/>
      <w:lvlText w:val=""/>
      <w:lvlJc w:val="left"/>
      <w:pPr>
        <w:ind w:left="1800" w:hanging="360"/>
      </w:pPr>
      <w:rPr>
        <w:rFonts w:hint="default"/>
      </w:rPr>
    </w:lvl>
    <w:lvl w:ilvl="5" w:tplc="414A0AB0">
      <w:start w:val="1"/>
      <w:numFmt w:val="none"/>
      <w:lvlText w:val=""/>
      <w:lvlJc w:val="left"/>
      <w:pPr>
        <w:ind w:left="2160" w:hanging="360"/>
      </w:pPr>
      <w:rPr>
        <w:rFonts w:hint="default"/>
      </w:rPr>
    </w:lvl>
    <w:lvl w:ilvl="6" w:tplc="6BF869A2">
      <w:start w:val="1"/>
      <w:numFmt w:val="none"/>
      <w:lvlText w:val=""/>
      <w:lvlJc w:val="left"/>
      <w:pPr>
        <w:ind w:left="2520" w:hanging="360"/>
      </w:pPr>
      <w:rPr>
        <w:rFonts w:hint="default"/>
      </w:rPr>
    </w:lvl>
    <w:lvl w:ilvl="7" w:tplc="FF54F838">
      <w:start w:val="1"/>
      <w:numFmt w:val="none"/>
      <w:lvlText w:val=""/>
      <w:lvlJc w:val="left"/>
      <w:pPr>
        <w:ind w:left="2880" w:hanging="360"/>
      </w:pPr>
      <w:rPr>
        <w:rFonts w:hint="default"/>
      </w:rPr>
    </w:lvl>
    <w:lvl w:ilvl="8" w:tplc="213681D8">
      <w:start w:val="1"/>
      <w:numFmt w:val="none"/>
      <w:lvlText w:val=""/>
      <w:lvlJc w:val="left"/>
      <w:pPr>
        <w:ind w:left="3240" w:hanging="360"/>
      </w:pPr>
      <w:rPr>
        <w:rFonts w:hint="default"/>
      </w:rPr>
    </w:lvl>
  </w:abstractNum>
  <w:abstractNum w:abstractNumId="15" w15:restartNumberingAfterBreak="0">
    <w:nsid w:val="3CE84DF4"/>
    <w:multiLevelType w:val="hybridMultilevel"/>
    <w:tmpl w:val="088668C0"/>
    <w:styleLink w:val="ARnumberedparas"/>
    <w:lvl w:ilvl="0" w:tplc="BEF8B0D6">
      <w:start w:val="1"/>
      <w:numFmt w:val="lowerLetter"/>
      <w:lvlText w:val="(%1)"/>
      <w:lvlJc w:val="left"/>
      <w:pPr>
        <w:tabs>
          <w:tab w:val="num" w:pos="397"/>
        </w:tabs>
        <w:ind w:left="397" w:hanging="397"/>
      </w:pPr>
      <w:rPr>
        <w:rFonts w:cs="Times New Roman" w:hint="default"/>
      </w:rPr>
    </w:lvl>
    <w:lvl w:ilvl="1" w:tplc="95649E28">
      <w:start w:val="1"/>
      <w:numFmt w:val="lowerLetter"/>
      <w:lvlRestart w:val="0"/>
      <w:lvlText w:val="(%2)"/>
      <w:lvlJc w:val="left"/>
      <w:pPr>
        <w:tabs>
          <w:tab w:val="num" w:pos="680"/>
        </w:tabs>
        <w:ind w:left="680" w:hanging="396"/>
      </w:pPr>
      <w:rPr>
        <w:rFonts w:cs="Times New Roman" w:hint="default"/>
      </w:rPr>
    </w:lvl>
    <w:lvl w:ilvl="2" w:tplc="16704DEC">
      <w:start w:val="1"/>
      <w:numFmt w:val="lowerRoman"/>
      <w:lvlRestart w:val="0"/>
      <w:lvlText w:val="(%3)"/>
      <w:lvlJc w:val="left"/>
      <w:pPr>
        <w:tabs>
          <w:tab w:val="num" w:pos="794"/>
        </w:tabs>
        <w:ind w:left="794" w:hanging="397"/>
      </w:pPr>
      <w:rPr>
        <w:rFonts w:cs="Times New Roman" w:hint="default"/>
      </w:rPr>
    </w:lvl>
    <w:lvl w:ilvl="3" w:tplc="AE940E46">
      <w:start w:val="1"/>
      <w:numFmt w:val="bullet"/>
      <w:lvlText w:val=""/>
      <w:lvlJc w:val="left"/>
      <w:pPr>
        <w:tabs>
          <w:tab w:val="num" w:pos="2880"/>
        </w:tabs>
        <w:ind w:left="2880" w:hanging="360"/>
      </w:pPr>
      <w:rPr>
        <w:rFonts w:ascii="Symbol" w:hAnsi="Symbol" w:hint="default"/>
      </w:rPr>
    </w:lvl>
    <w:lvl w:ilvl="4" w:tplc="FCF6EC3A">
      <w:start w:val="1"/>
      <w:numFmt w:val="bullet"/>
      <w:lvlText w:val="o"/>
      <w:lvlJc w:val="left"/>
      <w:pPr>
        <w:tabs>
          <w:tab w:val="num" w:pos="3600"/>
        </w:tabs>
        <w:ind w:left="3600" w:hanging="360"/>
      </w:pPr>
      <w:rPr>
        <w:rFonts w:ascii="Courier New" w:hAnsi="Courier New" w:hint="default"/>
      </w:rPr>
    </w:lvl>
    <w:lvl w:ilvl="5" w:tplc="22707CF6">
      <w:start w:val="1"/>
      <w:numFmt w:val="bullet"/>
      <w:lvlText w:val=""/>
      <w:lvlJc w:val="left"/>
      <w:pPr>
        <w:tabs>
          <w:tab w:val="num" w:pos="4320"/>
        </w:tabs>
        <w:ind w:left="4320" w:hanging="360"/>
      </w:pPr>
      <w:rPr>
        <w:rFonts w:ascii="Wingdings" w:hAnsi="Wingdings" w:hint="default"/>
      </w:rPr>
    </w:lvl>
    <w:lvl w:ilvl="6" w:tplc="5F942530">
      <w:start w:val="1"/>
      <w:numFmt w:val="bullet"/>
      <w:lvlText w:val=""/>
      <w:lvlJc w:val="left"/>
      <w:pPr>
        <w:tabs>
          <w:tab w:val="num" w:pos="5040"/>
        </w:tabs>
        <w:ind w:left="5040" w:hanging="360"/>
      </w:pPr>
      <w:rPr>
        <w:rFonts w:ascii="Symbol" w:hAnsi="Symbol" w:hint="default"/>
      </w:rPr>
    </w:lvl>
    <w:lvl w:ilvl="7" w:tplc="F0F46D92">
      <w:start w:val="1"/>
      <w:numFmt w:val="bullet"/>
      <w:lvlText w:val="o"/>
      <w:lvlJc w:val="left"/>
      <w:pPr>
        <w:tabs>
          <w:tab w:val="num" w:pos="5760"/>
        </w:tabs>
        <w:ind w:left="5760" w:hanging="360"/>
      </w:pPr>
      <w:rPr>
        <w:rFonts w:ascii="Courier New" w:hAnsi="Courier New" w:hint="default"/>
      </w:rPr>
    </w:lvl>
    <w:lvl w:ilvl="8" w:tplc="DC94D42C">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6C68D4"/>
    <w:multiLevelType w:val="hybridMultilevel"/>
    <w:tmpl w:val="12A486C0"/>
    <w:styleLink w:val="ZZNumbersdigit"/>
    <w:lvl w:ilvl="0" w:tplc="F946B160">
      <w:start w:val="1"/>
      <w:numFmt w:val="decimal"/>
      <w:pStyle w:val="ARnumberdigit"/>
      <w:lvlText w:val="%1."/>
      <w:lvlJc w:val="left"/>
      <w:pPr>
        <w:tabs>
          <w:tab w:val="num" w:pos="397"/>
        </w:tabs>
        <w:ind w:left="397" w:hanging="397"/>
      </w:pPr>
      <w:rPr>
        <w:rFonts w:hint="default"/>
      </w:rPr>
    </w:lvl>
    <w:lvl w:ilvl="1" w:tplc="46CEBE70">
      <w:start w:val="1"/>
      <w:numFmt w:val="decimal"/>
      <w:pStyle w:val="ARnumberdigitindent"/>
      <w:lvlText w:val="%2."/>
      <w:lvlJc w:val="left"/>
      <w:pPr>
        <w:tabs>
          <w:tab w:val="num" w:pos="794"/>
        </w:tabs>
        <w:ind w:left="794" w:hanging="397"/>
      </w:pPr>
      <w:rPr>
        <w:rFonts w:hint="default"/>
      </w:rPr>
    </w:lvl>
    <w:lvl w:ilvl="2" w:tplc="67A0DB36">
      <w:start w:val="1"/>
      <w:numFmt w:val="bullet"/>
      <w:lvlRestart w:val="0"/>
      <w:pStyle w:val="ARbulletafternumbers1"/>
      <w:lvlText w:val="•"/>
      <w:lvlJc w:val="left"/>
      <w:pPr>
        <w:ind w:left="794" w:hanging="397"/>
      </w:pPr>
      <w:rPr>
        <w:rFonts w:ascii="Calibri" w:hAnsi="Calibri" w:hint="default"/>
        <w:color w:val="auto"/>
      </w:rPr>
    </w:lvl>
    <w:lvl w:ilvl="3" w:tplc="44CCB55A">
      <w:start w:val="1"/>
      <w:numFmt w:val="bullet"/>
      <w:lvlRestart w:val="0"/>
      <w:pStyle w:val="ARbulletafternumbers2"/>
      <w:lvlText w:val="–"/>
      <w:lvlJc w:val="left"/>
      <w:pPr>
        <w:ind w:left="1191" w:hanging="397"/>
      </w:pPr>
      <w:rPr>
        <w:rFonts w:ascii="Calibri" w:hAnsi="Calibri" w:hint="default"/>
      </w:rPr>
    </w:lvl>
    <w:lvl w:ilvl="4" w:tplc="C99055F2">
      <w:start w:val="1"/>
      <w:numFmt w:val="none"/>
      <w:lvlRestart w:val="0"/>
      <w:lvlText w:val=""/>
      <w:lvlJc w:val="left"/>
      <w:pPr>
        <w:ind w:left="0" w:firstLine="0"/>
      </w:pPr>
      <w:rPr>
        <w:rFonts w:hint="default"/>
      </w:rPr>
    </w:lvl>
    <w:lvl w:ilvl="5" w:tplc="B9BE5E4C">
      <w:start w:val="1"/>
      <w:numFmt w:val="none"/>
      <w:lvlRestart w:val="0"/>
      <w:lvlText w:val=""/>
      <w:lvlJc w:val="left"/>
      <w:pPr>
        <w:tabs>
          <w:tab w:val="num" w:pos="0"/>
        </w:tabs>
        <w:ind w:left="0" w:firstLine="0"/>
      </w:pPr>
      <w:rPr>
        <w:rFonts w:hint="default"/>
      </w:rPr>
    </w:lvl>
    <w:lvl w:ilvl="6" w:tplc="E99ED974">
      <w:start w:val="1"/>
      <w:numFmt w:val="none"/>
      <w:lvlRestart w:val="0"/>
      <w:lvlText w:val=""/>
      <w:lvlJc w:val="left"/>
      <w:pPr>
        <w:ind w:left="0" w:firstLine="0"/>
      </w:pPr>
      <w:rPr>
        <w:rFonts w:hint="default"/>
      </w:rPr>
    </w:lvl>
    <w:lvl w:ilvl="7" w:tplc="EDF43C20">
      <w:start w:val="1"/>
      <w:numFmt w:val="none"/>
      <w:lvlRestart w:val="0"/>
      <w:lvlText w:val=""/>
      <w:lvlJc w:val="left"/>
      <w:pPr>
        <w:ind w:left="0" w:firstLine="0"/>
      </w:pPr>
      <w:rPr>
        <w:rFonts w:hint="default"/>
      </w:rPr>
    </w:lvl>
    <w:lvl w:ilvl="8" w:tplc="F502D70C">
      <w:start w:val="1"/>
      <w:numFmt w:val="none"/>
      <w:lvlRestart w:val="0"/>
      <w:lvlText w:val=""/>
      <w:lvlJc w:val="right"/>
      <w:pPr>
        <w:ind w:left="0" w:firstLine="0"/>
      </w:pPr>
      <w:rPr>
        <w:rFonts w:hint="default"/>
      </w:rPr>
    </w:lvl>
  </w:abstractNum>
  <w:abstractNum w:abstractNumId="17" w15:restartNumberingAfterBreak="0">
    <w:nsid w:val="40D323B9"/>
    <w:multiLevelType w:val="hybridMultilevel"/>
    <w:tmpl w:val="40208304"/>
    <w:lvl w:ilvl="0" w:tplc="A91C2FB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2340BA2"/>
    <w:multiLevelType w:val="hybridMultilevel"/>
    <w:tmpl w:val="F4FA9BEE"/>
    <w:styleLink w:val="Numbersinfintables"/>
    <w:lvl w:ilvl="0" w:tplc="46140342">
      <w:start w:val="1"/>
      <w:numFmt w:val="lowerLetter"/>
      <w:lvlText w:val="(%1)"/>
      <w:lvlJc w:val="left"/>
      <w:pPr>
        <w:ind w:left="340" w:hanging="340"/>
      </w:pPr>
      <w:rPr>
        <w:rFonts w:hint="default"/>
      </w:rPr>
    </w:lvl>
    <w:lvl w:ilvl="1" w:tplc="7740452A">
      <w:start w:val="1"/>
      <w:numFmt w:val="bullet"/>
      <w:lvlRestart w:val="0"/>
      <w:lvlText w:val="–"/>
      <w:lvlJc w:val="left"/>
      <w:pPr>
        <w:ind w:left="567" w:hanging="227"/>
      </w:pPr>
      <w:rPr>
        <w:rFonts w:ascii="Calibri" w:hAnsi="Calibri" w:hint="default"/>
        <w:color w:val="412F5A"/>
      </w:rPr>
    </w:lvl>
    <w:lvl w:ilvl="2" w:tplc="E71EEB0E">
      <w:start w:val="1"/>
      <w:numFmt w:val="lowerRoman"/>
      <w:lvlText w:val="%3)"/>
      <w:lvlJc w:val="left"/>
      <w:pPr>
        <w:ind w:left="1080" w:hanging="360"/>
      </w:pPr>
      <w:rPr>
        <w:rFonts w:hint="default"/>
      </w:rPr>
    </w:lvl>
    <w:lvl w:ilvl="3" w:tplc="F912E712">
      <w:start w:val="1"/>
      <w:numFmt w:val="decimal"/>
      <w:lvlText w:val="(%4)"/>
      <w:lvlJc w:val="left"/>
      <w:pPr>
        <w:ind w:left="1440" w:hanging="360"/>
      </w:pPr>
      <w:rPr>
        <w:rFonts w:hint="default"/>
      </w:rPr>
    </w:lvl>
    <w:lvl w:ilvl="4" w:tplc="620E3036">
      <w:start w:val="1"/>
      <w:numFmt w:val="lowerLetter"/>
      <w:lvlText w:val="(%5)"/>
      <w:lvlJc w:val="left"/>
      <w:pPr>
        <w:ind w:left="1800" w:hanging="360"/>
      </w:pPr>
      <w:rPr>
        <w:rFonts w:hint="default"/>
      </w:rPr>
    </w:lvl>
    <w:lvl w:ilvl="5" w:tplc="FEACBF7E">
      <w:start w:val="1"/>
      <w:numFmt w:val="lowerRoman"/>
      <w:lvlText w:val="(%6)"/>
      <w:lvlJc w:val="left"/>
      <w:pPr>
        <w:ind w:left="2160" w:hanging="360"/>
      </w:pPr>
      <w:rPr>
        <w:rFonts w:hint="default"/>
      </w:rPr>
    </w:lvl>
    <w:lvl w:ilvl="6" w:tplc="C7D0F32E">
      <w:start w:val="1"/>
      <w:numFmt w:val="decimal"/>
      <w:lvlText w:val="%7."/>
      <w:lvlJc w:val="left"/>
      <w:pPr>
        <w:ind w:left="2520" w:hanging="360"/>
      </w:pPr>
      <w:rPr>
        <w:rFonts w:hint="default"/>
      </w:rPr>
    </w:lvl>
    <w:lvl w:ilvl="7" w:tplc="BBECD94A">
      <w:start w:val="1"/>
      <w:numFmt w:val="lowerLetter"/>
      <w:lvlText w:val="%8."/>
      <w:lvlJc w:val="left"/>
      <w:pPr>
        <w:ind w:left="2880" w:hanging="360"/>
      </w:pPr>
      <w:rPr>
        <w:rFonts w:hint="default"/>
      </w:rPr>
    </w:lvl>
    <w:lvl w:ilvl="8" w:tplc="97FE754C">
      <w:start w:val="1"/>
      <w:numFmt w:val="lowerRoman"/>
      <w:lvlText w:val="%9."/>
      <w:lvlJc w:val="left"/>
      <w:pPr>
        <w:ind w:left="3240" w:hanging="360"/>
      </w:pPr>
      <w:rPr>
        <w:rFonts w:hint="default"/>
      </w:rPr>
    </w:lvl>
  </w:abstractNum>
  <w:abstractNum w:abstractNumId="19" w15:restartNumberingAfterBreak="0">
    <w:nsid w:val="46FC7040"/>
    <w:multiLevelType w:val="hybridMultilevel"/>
    <w:tmpl w:val="AF54DC8C"/>
    <w:lvl w:ilvl="0" w:tplc="1B5A8BB0">
      <w:start w:val="1"/>
      <w:numFmt w:val="bullet"/>
      <w:lvlText w:val="&gt;"/>
      <w:lvlJc w:val="left"/>
      <w:pPr>
        <w:ind w:left="284" w:hanging="284"/>
      </w:pPr>
      <w:rPr>
        <w:rFonts w:ascii="Arial" w:hAnsi="Arial" w:hint="default"/>
        <w:color w:val="7C239D"/>
      </w:rPr>
    </w:lvl>
    <w:lvl w:ilvl="1" w:tplc="47423B3C">
      <w:start w:val="1"/>
      <w:numFmt w:val="bullet"/>
      <w:lvlRestart w:val="0"/>
      <w:lvlText w:val="–"/>
      <w:lvlJc w:val="left"/>
      <w:pPr>
        <w:ind w:left="567" w:hanging="283"/>
      </w:pPr>
      <w:rPr>
        <w:rFonts w:ascii="Calibri" w:hAnsi="Calibri" w:hint="default"/>
        <w:color w:val="auto"/>
      </w:rPr>
    </w:lvl>
    <w:lvl w:ilvl="2" w:tplc="BDE21B84">
      <w:start w:val="1"/>
      <w:numFmt w:val="bullet"/>
      <w:lvlRestart w:val="0"/>
      <w:lvlText w:val="▪"/>
      <w:lvlJc w:val="left"/>
      <w:pPr>
        <w:ind w:left="851" w:hanging="284"/>
      </w:pPr>
      <w:rPr>
        <w:rFonts w:ascii="Calibri" w:hAnsi="Calibri" w:hint="default"/>
        <w:color w:val="auto"/>
      </w:rPr>
    </w:lvl>
    <w:lvl w:ilvl="3" w:tplc="1BF28BF6">
      <w:start w:val="1"/>
      <w:numFmt w:val="none"/>
      <w:lvlRestart w:val="0"/>
      <w:lvlText w:val=""/>
      <w:lvlJc w:val="left"/>
      <w:pPr>
        <w:ind w:left="0" w:firstLine="0"/>
      </w:pPr>
      <w:rPr>
        <w:rFonts w:hint="default"/>
      </w:rPr>
    </w:lvl>
    <w:lvl w:ilvl="4" w:tplc="D610A992">
      <w:start w:val="1"/>
      <w:numFmt w:val="none"/>
      <w:lvlRestart w:val="0"/>
      <w:lvlText w:val=""/>
      <w:lvlJc w:val="left"/>
      <w:pPr>
        <w:ind w:left="0" w:firstLine="0"/>
      </w:pPr>
      <w:rPr>
        <w:rFonts w:hint="default"/>
      </w:rPr>
    </w:lvl>
    <w:lvl w:ilvl="5" w:tplc="D32A8122">
      <w:start w:val="1"/>
      <w:numFmt w:val="none"/>
      <w:lvlRestart w:val="0"/>
      <w:lvlText w:val=""/>
      <w:lvlJc w:val="left"/>
      <w:pPr>
        <w:ind w:left="0" w:firstLine="0"/>
      </w:pPr>
      <w:rPr>
        <w:rFonts w:hint="default"/>
      </w:rPr>
    </w:lvl>
    <w:lvl w:ilvl="6" w:tplc="78782B2A">
      <w:start w:val="1"/>
      <w:numFmt w:val="none"/>
      <w:lvlRestart w:val="0"/>
      <w:lvlText w:val=""/>
      <w:lvlJc w:val="left"/>
      <w:pPr>
        <w:ind w:left="0" w:firstLine="0"/>
      </w:pPr>
      <w:rPr>
        <w:rFonts w:hint="default"/>
      </w:rPr>
    </w:lvl>
    <w:lvl w:ilvl="7" w:tplc="4B322D50">
      <w:start w:val="1"/>
      <w:numFmt w:val="none"/>
      <w:lvlRestart w:val="0"/>
      <w:lvlText w:val=""/>
      <w:lvlJc w:val="left"/>
      <w:pPr>
        <w:ind w:left="0" w:firstLine="0"/>
      </w:pPr>
      <w:rPr>
        <w:rFonts w:hint="default"/>
      </w:rPr>
    </w:lvl>
    <w:lvl w:ilvl="8" w:tplc="ACBE8042">
      <w:start w:val="1"/>
      <w:numFmt w:val="none"/>
      <w:lvlRestart w:val="0"/>
      <w:lvlText w:val=""/>
      <w:lvlJc w:val="left"/>
      <w:pPr>
        <w:ind w:left="0" w:firstLine="0"/>
      </w:pPr>
      <w:rPr>
        <w:rFonts w:hint="default"/>
      </w:rPr>
    </w:lvl>
  </w:abstractNum>
  <w:abstractNum w:abstractNumId="20" w15:restartNumberingAfterBreak="0">
    <w:nsid w:val="49297D16"/>
    <w:multiLevelType w:val="hybridMultilevel"/>
    <w:tmpl w:val="CD34BCF8"/>
    <w:styleLink w:val="ZZIntrobullets"/>
    <w:lvl w:ilvl="0" w:tplc="AC7461CE">
      <w:start w:val="1"/>
      <w:numFmt w:val="bullet"/>
      <w:pStyle w:val="ARintrobullet"/>
      <w:lvlText w:val="&gt;"/>
      <w:lvlJc w:val="left"/>
      <w:pPr>
        <w:ind w:left="284" w:hanging="284"/>
      </w:pPr>
      <w:rPr>
        <w:rFonts w:ascii="Calibri" w:hAnsi="Calibri" w:hint="default"/>
        <w:color w:val="87189D"/>
      </w:rPr>
    </w:lvl>
    <w:lvl w:ilvl="1" w:tplc="A7ECBB44">
      <w:start w:val="1"/>
      <w:numFmt w:val="none"/>
      <w:lvlRestart w:val="0"/>
      <w:lvlText w:val=""/>
      <w:lvlJc w:val="left"/>
      <w:pPr>
        <w:ind w:left="0" w:firstLine="0"/>
      </w:pPr>
      <w:rPr>
        <w:rFonts w:hint="default"/>
      </w:rPr>
    </w:lvl>
    <w:lvl w:ilvl="2" w:tplc="B6682DF4">
      <w:start w:val="1"/>
      <w:numFmt w:val="none"/>
      <w:lvlRestart w:val="0"/>
      <w:lvlText w:val=""/>
      <w:lvlJc w:val="left"/>
      <w:pPr>
        <w:ind w:left="0" w:firstLine="0"/>
      </w:pPr>
      <w:rPr>
        <w:rFonts w:hint="default"/>
      </w:rPr>
    </w:lvl>
    <w:lvl w:ilvl="3" w:tplc="519085A6">
      <w:start w:val="1"/>
      <w:numFmt w:val="none"/>
      <w:lvlRestart w:val="0"/>
      <w:lvlText w:val=""/>
      <w:lvlJc w:val="left"/>
      <w:pPr>
        <w:ind w:left="0" w:firstLine="0"/>
      </w:pPr>
      <w:rPr>
        <w:rFonts w:hint="default"/>
      </w:rPr>
    </w:lvl>
    <w:lvl w:ilvl="4" w:tplc="D52A2788">
      <w:start w:val="1"/>
      <w:numFmt w:val="none"/>
      <w:lvlRestart w:val="0"/>
      <w:lvlText w:val=""/>
      <w:lvlJc w:val="left"/>
      <w:pPr>
        <w:ind w:left="0" w:firstLine="0"/>
      </w:pPr>
      <w:rPr>
        <w:rFonts w:hint="default"/>
      </w:rPr>
    </w:lvl>
    <w:lvl w:ilvl="5" w:tplc="EC96D286">
      <w:start w:val="1"/>
      <w:numFmt w:val="none"/>
      <w:lvlRestart w:val="0"/>
      <w:lvlText w:val=""/>
      <w:lvlJc w:val="left"/>
      <w:pPr>
        <w:ind w:left="0" w:firstLine="0"/>
      </w:pPr>
      <w:rPr>
        <w:rFonts w:hint="default"/>
      </w:rPr>
    </w:lvl>
    <w:lvl w:ilvl="6" w:tplc="D6AE7620">
      <w:start w:val="1"/>
      <w:numFmt w:val="none"/>
      <w:lvlRestart w:val="0"/>
      <w:lvlText w:val=""/>
      <w:lvlJc w:val="left"/>
      <w:pPr>
        <w:ind w:left="0" w:firstLine="0"/>
      </w:pPr>
      <w:rPr>
        <w:rFonts w:hint="default"/>
      </w:rPr>
    </w:lvl>
    <w:lvl w:ilvl="7" w:tplc="20E6878E">
      <w:start w:val="1"/>
      <w:numFmt w:val="none"/>
      <w:lvlRestart w:val="0"/>
      <w:lvlText w:val=""/>
      <w:lvlJc w:val="left"/>
      <w:pPr>
        <w:ind w:left="0" w:firstLine="0"/>
      </w:pPr>
      <w:rPr>
        <w:rFonts w:hint="default"/>
      </w:rPr>
    </w:lvl>
    <w:lvl w:ilvl="8" w:tplc="D9CE3B64">
      <w:start w:val="1"/>
      <w:numFmt w:val="none"/>
      <w:lvlRestart w:val="0"/>
      <w:lvlText w:val=""/>
      <w:lvlJc w:val="left"/>
      <w:pPr>
        <w:ind w:left="0" w:firstLine="0"/>
      </w:pPr>
      <w:rPr>
        <w:rFonts w:hint="default"/>
      </w:rPr>
    </w:lvl>
  </w:abstractNum>
  <w:abstractNum w:abstractNumId="21" w15:restartNumberingAfterBreak="0">
    <w:nsid w:val="4ABD071E"/>
    <w:multiLevelType w:val="hybridMultilevel"/>
    <w:tmpl w:val="E1D2CA48"/>
    <w:styleLink w:val="LowerAlphaat0mm"/>
    <w:lvl w:ilvl="0" w:tplc="104ED7A4">
      <w:start w:val="1"/>
      <w:numFmt w:val="lowerLetter"/>
      <w:lvlText w:val="(%1)"/>
      <w:lvlJc w:val="left"/>
      <w:pPr>
        <w:ind w:left="397" w:hanging="397"/>
      </w:pPr>
      <w:rPr>
        <w:rFonts w:hint="default"/>
      </w:rPr>
    </w:lvl>
    <w:lvl w:ilvl="1" w:tplc="46A23BD4">
      <w:start w:val="1"/>
      <w:numFmt w:val="lowerLetter"/>
      <w:lvlText w:val="%2)"/>
      <w:lvlJc w:val="left"/>
      <w:pPr>
        <w:ind w:left="720" w:hanging="360"/>
      </w:pPr>
      <w:rPr>
        <w:rFonts w:hint="default"/>
      </w:rPr>
    </w:lvl>
    <w:lvl w:ilvl="2" w:tplc="9196A81C">
      <w:start w:val="1"/>
      <w:numFmt w:val="lowerRoman"/>
      <w:lvlText w:val="%3)"/>
      <w:lvlJc w:val="left"/>
      <w:pPr>
        <w:ind w:left="1080" w:hanging="360"/>
      </w:pPr>
      <w:rPr>
        <w:rFonts w:hint="default"/>
      </w:rPr>
    </w:lvl>
    <w:lvl w:ilvl="3" w:tplc="E9B8FAE6">
      <w:start w:val="1"/>
      <w:numFmt w:val="decimal"/>
      <w:lvlText w:val="(%4)"/>
      <w:lvlJc w:val="left"/>
      <w:pPr>
        <w:ind w:left="1440" w:hanging="360"/>
      </w:pPr>
      <w:rPr>
        <w:rFonts w:hint="default"/>
      </w:rPr>
    </w:lvl>
    <w:lvl w:ilvl="4" w:tplc="16C4E456">
      <w:start w:val="1"/>
      <w:numFmt w:val="lowerLetter"/>
      <w:lvlText w:val="(%5)"/>
      <w:lvlJc w:val="left"/>
      <w:pPr>
        <w:ind w:left="1800" w:hanging="360"/>
      </w:pPr>
      <w:rPr>
        <w:rFonts w:hint="default"/>
      </w:rPr>
    </w:lvl>
    <w:lvl w:ilvl="5" w:tplc="540EFBC0">
      <w:start w:val="1"/>
      <w:numFmt w:val="lowerRoman"/>
      <w:lvlText w:val="(%6)"/>
      <w:lvlJc w:val="left"/>
      <w:pPr>
        <w:ind w:left="2160" w:hanging="360"/>
      </w:pPr>
      <w:rPr>
        <w:rFonts w:hint="default"/>
      </w:rPr>
    </w:lvl>
    <w:lvl w:ilvl="6" w:tplc="BDC0ED00">
      <w:start w:val="1"/>
      <w:numFmt w:val="decimal"/>
      <w:lvlText w:val="%7."/>
      <w:lvlJc w:val="left"/>
      <w:pPr>
        <w:ind w:left="2520" w:hanging="360"/>
      </w:pPr>
      <w:rPr>
        <w:rFonts w:hint="default"/>
      </w:rPr>
    </w:lvl>
    <w:lvl w:ilvl="7" w:tplc="D376044E">
      <w:start w:val="1"/>
      <w:numFmt w:val="lowerLetter"/>
      <w:lvlText w:val="%8."/>
      <w:lvlJc w:val="left"/>
      <w:pPr>
        <w:ind w:left="2880" w:hanging="360"/>
      </w:pPr>
      <w:rPr>
        <w:rFonts w:hint="default"/>
      </w:rPr>
    </w:lvl>
    <w:lvl w:ilvl="8" w:tplc="6B38B166">
      <w:start w:val="1"/>
      <w:numFmt w:val="lowerRoman"/>
      <w:lvlText w:val="%9."/>
      <w:lvlJc w:val="left"/>
      <w:pPr>
        <w:ind w:left="3240" w:hanging="360"/>
      </w:pPr>
      <w:rPr>
        <w:rFonts w:hint="default"/>
      </w:rPr>
    </w:lvl>
  </w:abstractNum>
  <w:abstractNum w:abstractNumId="22" w15:restartNumberingAfterBreak="0">
    <w:nsid w:val="4C411B0B"/>
    <w:multiLevelType w:val="hybridMultilevel"/>
    <w:tmpl w:val="5D9A5BF0"/>
    <w:lvl w:ilvl="0" w:tplc="3142242E">
      <w:start w:val="1"/>
      <w:numFmt w:val="bullet"/>
      <w:lvlText w:val="•"/>
      <w:lvlJc w:val="left"/>
      <w:pPr>
        <w:ind w:left="284" w:hanging="284"/>
      </w:pPr>
      <w:rPr>
        <w:rFonts w:ascii="Calibri" w:hAnsi="Calibri" w:hint="default"/>
      </w:rPr>
    </w:lvl>
    <w:lvl w:ilvl="1" w:tplc="60ECA7CE">
      <w:start w:val="1"/>
      <w:numFmt w:val="lowerRoman"/>
      <w:lvlText w:val="(%2)"/>
      <w:lvlJc w:val="left"/>
      <w:pPr>
        <w:tabs>
          <w:tab w:val="num" w:pos="284"/>
        </w:tabs>
        <w:ind w:left="567" w:hanging="283"/>
      </w:pPr>
      <w:rPr>
        <w:rFonts w:ascii="Arial" w:eastAsia="Times New Roman" w:hAnsi="Arial" w:cs="ArialMT" w:hint="default"/>
      </w:rPr>
    </w:lvl>
    <w:lvl w:ilvl="2" w:tplc="F03851E6">
      <w:start w:val="1"/>
      <w:numFmt w:val="none"/>
      <w:lvlRestart w:val="0"/>
      <w:lvlText w:val=""/>
      <w:lvlJc w:val="left"/>
      <w:pPr>
        <w:ind w:left="0" w:firstLine="0"/>
      </w:pPr>
      <w:rPr>
        <w:rFonts w:hint="default"/>
      </w:rPr>
    </w:lvl>
    <w:lvl w:ilvl="3" w:tplc="59E89CC4">
      <w:start w:val="1"/>
      <w:numFmt w:val="none"/>
      <w:lvlRestart w:val="0"/>
      <w:lvlText w:val=""/>
      <w:lvlJc w:val="left"/>
      <w:pPr>
        <w:ind w:left="0" w:firstLine="0"/>
      </w:pPr>
      <w:rPr>
        <w:rFonts w:hint="default"/>
      </w:rPr>
    </w:lvl>
    <w:lvl w:ilvl="4" w:tplc="9E6E7100">
      <w:start w:val="1"/>
      <w:numFmt w:val="none"/>
      <w:lvlRestart w:val="0"/>
      <w:lvlText w:val=""/>
      <w:lvlJc w:val="left"/>
      <w:pPr>
        <w:ind w:left="0" w:firstLine="0"/>
      </w:pPr>
      <w:rPr>
        <w:rFonts w:hint="default"/>
      </w:rPr>
    </w:lvl>
    <w:lvl w:ilvl="5" w:tplc="694C29F4">
      <w:start w:val="1"/>
      <w:numFmt w:val="none"/>
      <w:lvlRestart w:val="0"/>
      <w:lvlText w:val=""/>
      <w:lvlJc w:val="left"/>
      <w:pPr>
        <w:ind w:left="0" w:firstLine="0"/>
      </w:pPr>
      <w:rPr>
        <w:rFonts w:hint="default"/>
      </w:rPr>
    </w:lvl>
    <w:lvl w:ilvl="6" w:tplc="C3762C7A">
      <w:start w:val="1"/>
      <w:numFmt w:val="none"/>
      <w:lvlRestart w:val="0"/>
      <w:lvlText w:val=""/>
      <w:lvlJc w:val="left"/>
      <w:pPr>
        <w:ind w:left="0" w:firstLine="0"/>
      </w:pPr>
      <w:rPr>
        <w:rFonts w:hint="default"/>
      </w:rPr>
    </w:lvl>
    <w:lvl w:ilvl="7" w:tplc="8A8A5810">
      <w:start w:val="1"/>
      <w:numFmt w:val="none"/>
      <w:lvlRestart w:val="0"/>
      <w:lvlText w:val=""/>
      <w:lvlJc w:val="left"/>
      <w:pPr>
        <w:ind w:left="0" w:firstLine="0"/>
      </w:pPr>
      <w:rPr>
        <w:rFonts w:hint="default"/>
      </w:rPr>
    </w:lvl>
    <w:lvl w:ilvl="8" w:tplc="E3FA8C64">
      <w:start w:val="1"/>
      <w:numFmt w:val="none"/>
      <w:lvlRestart w:val="0"/>
      <w:lvlText w:val=""/>
      <w:lvlJc w:val="left"/>
      <w:pPr>
        <w:ind w:left="0" w:firstLine="0"/>
      </w:pPr>
      <w:rPr>
        <w:rFonts w:hint="default"/>
      </w:rPr>
    </w:lvl>
  </w:abstractNum>
  <w:abstractNum w:abstractNumId="23" w15:restartNumberingAfterBreak="0">
    <w:nsid w:val="4F2C0A9D"/>
    <w:multiLevelType w:val="hybridMultilevel"/>
    <w:tmpl w:val="59103A1A"/>
    <w:styleLink w:val="ZZBullets"/>
    <w:lvl w:ilvl="0" w:tplc="1E6A4282">
      <w:start w:val="1"/>
      <w:numFmt w:val="bullet"/>
      <w:pStyle w:val="ARbullet1"/>
      <w:lvlText w:val="&gt;"/>
      <w:lvlJc w:val="left"/>
      <w:pPr>
        <w:ind w:left="284" w:hanging="284"/>
      </w:pPr>
      <w:rPr>
        <w:rFonts w:ascii="Arial" w:hAnsi="Arial" w:hint="default"/>
        <w:color w:val="7C239D"/>
      </w:rPr>
    </w:lvl>
    <w:lvl w:ilvl="1" w:tplc="FD44A796">
      <w:start w:val="1"/>
      <w:numFmt w:val="bullet"/>
      <w:lvlRestart w:val="0"/>
      <w:pStyle w:val="ARbullet2"/>
      <w:lvlText w:val="–"/>
      <w:lvlJc w:val="left"/>
      <w:pPr>
        <w:ind w:left="567" w:hanging="283"/>
      </w:pPr>
      <w:rPr>
        <w:rFonts w:ascii="Calibri" w:hAnsi="Calibri" w:hint="default"/>
        <w:color w:val="auto"/>
      </w:rPr>
    </w:lvl>
    <w:lvl w:ilvl="2" w:tplc="AA2AA806">
      <w:start w:val="1"/>
      <w:numFmt w:val="bullet"/>
      <w:lvlRestart w:val="0"/>
      <w:pStyle w:val="ARbullet3"/>
      <w:lvlText w:val="▪"/>
      <w:lvlJc w:val="left"/>
      <w:pPr>
        <w:ind w:left="851" w:hanging="284"/>
      </w:pPr>
      <w:rPr>
        <w:rFonts w:ascii="Calibri" w:hAnsi="Calibri" w:hint="default"/>
        <w:color w:val="auto"/>
      </w:rPr>
    </w:lvl>
    <w:lvl w:ilvl="3" w:tplc="853493CC">
      <w:start w:val="1"/>
      <w:numFmt w:val="none"/>
      <w:lvlRestart w:val="0"/>
      <w:lvlText w:val=""/>
      <w:lvlJc w:val="left"/>
      <w:pPr>
        <w:ind w:left="0" w:firstLine="0"/>
      </w:pPr>
      <w:rPr>
        <w:rFonts w:hint="default"/>
      </w:rPr>
    </w:lvl>
    <w:lvl w:ilvl="4" w:tplc="9D44A5C6">
      <w:start w:val="1"/>
      <w:numFmt w:val="none"/>
      <w:lvlRestart w:val="0"/>
      <w:lvlText w:val=""/>
      <w:lvlJc w:val="left"/>
      <w:pPr>
        <w:ind w:left="0" w:firstLine="0"/>
      </w:pPr>
      <w:rPr>
        <w:rFonts w:hint="default"/>
      </w:rPr>
    </w:lvl>
    <w:lvl w:ilvl="5" w:tplc="23CA7EDA">
      <w:start w:val="1"/>
      <w:numFmt w:val="none"/>
      <w:lvlRestart w:val="0"/>
      <w:lvlText w:val=""/>
      <w:lvlJc w:val="left"/>
      <w:pPr>
        <w:ind w:left="0" w:firstLine="0"/>
      </w:pPr>
      <w:rPr>
        <w:rFonts w:hint="default"/>
      </w:rPr>
    </w:lvl>
    <w:lvl w:ilvl="6" w:tplc="E33AE722">
      <w:start w:val="1"/>
      <w:numFmt w:val="none"/>
      <w:lvlRestart w:val="0"/>
      <w:lvlText w:val=""/>
      <w:lvlJc w:val="left"/>
      <w:pPr>
        <w:ind w:left="0" w:firstLine="0"/>
      </w:pPr>
      <w:rPr>
        <w:rFonts w:hint="default"/>
      </w:rPr>
    </w:lvl>
    <w:lvl w:ilvl="7" w:tplc="B9B27236">
      <w:start w:val="1"/>
      <w:numFmt w:val="none"/>
      <w:lvlRestart w:val="0"/>
      <w:lvlText w:val=""/>
      <w:lvlJc w:val="left"/>
      <w:pPr>
        <w:ind w:left="0" w:firstLine="0"/>
      </w:pPr>
      <w:rPr>
        <w:rFonts w:hint="default"/>
      </w:rPr>
    </w:lvl>
    <w:lvl w:ilvl="8" w:tplc="2076CAAE">
      <w:start w:val="1"/>
      <w:numFmt w:val="none"/>
      <w:lvlRestart w:val="0"/>
      <w:lvlText w:val=""/>
      <w:lvlJc w:val="left"/>
      <w:pPr>
        <w:ind w:left="0" w:firstLine="0"/>
      </w:pPr>
      <w:rPr>
        <w:rFonts w:hint="default"/>
      </w:rPr>
    </w:lvl>
  </w:abstractNum>
  <w:abstractNum w:abstractNumId="24" w15:restartNumberingAfterBreak="0">
    <w:nsid w:val="51364E9D"/>
    <w:multiLevelType w:val="hybridMultilevel"/>
    <w:tmpl w:val="0D40AC72"/>
    <w:styleLink w:val="ZZTablefootnotenumbers"/>
    <w:lvl w:ilvl="0" w:tplc="6EE8479E">
      <w:start w:val="1"/>
      <w:numFmt w:val="decimal"/>
      <w:pStyle w:val="ARtablefootnotenumbered"/>
      <w:lvlText w:val="%1."/>
      <w:lvlJc w:val="left"/>
      <w:pPr>
        <w:tabs>
          <w:tab w:val="num" w:pos="284"/>
        </w:tabs>
        <w:ind w:left="284" w:hanging="284"/>
      </w:pPr>
      <w:rPr>
        <w:rFonts w:hint="default"/>
      </w:rPr>
    </w:lvl>
    <w:lvl w:ilvl="1" w:tplc="D8F00A82">
      <w:start w:val="1"/>
      <w:numFmt w:val="none"/>
      <w:lvlRestart w:val="0"/>
      <w:lvlText w:val=""/>
      <w:lvlJc w:val="left"/>
      <w:pPr>
        <w:ind w:left="0" w:firstLine="0"/>
      </w:pPr>
      <w:rPr>
        <w:rFonts w:hint="default"/>
      </w:rPr>
    </w:lvl>
    <w:lvl w:ilvl="2" w:tplc="9E743BCE">
      <w:start w:val="1"/>
      <w:numFmt w:val="none"/>
      <w:lvlRestart w:val="0"/>
      <w:lvlText w:val=""/>
      <w:lvlJc w:val="left"/>
      <w:pPr>
        <w:ind w:left="0" w:firstLine="0"/>
      </w:pPr>
      <w:rPr>
        <w:rFonts w:hint="default"/>
      </w:rPr>
    </w:lvl>
    <w:lvl w:ilvl="3" w:tplc="D504A90E">
      <w:start w:val="1"/>
      <w:numFmt w:val="none"/>
      <w:lvlRestart w:val="0"/>
      <w:lvlText w:val=""/>
      <w:lvlJc w:val="left"/>
      <w:pPr>
        <w:ind w:left="0" w:firstLine="0"/>
      </w:pPr>
      <w:rPr>
        <w:rFonts w:hint="default"/>
      </w:rPr>
    </w:lvl>
    <w:lvl w:ilvl="4" w:tplc="15D29F26">
      <w:start w:val="1"/>
      <w:numFmt w:val="none"/>
      <w:lvlRestart w:val="0"/>
      <w:lvlText w:val=""/>
      <w:lvlJc w:val="left"/>
      <w:pPr>
        <w:ind w:left="0" w:firstLine="0"/>
      </w:pPr>
      <w:rPr>
        <w:rFonts w:hint="default"/>
      </w:rPr>
    </w:lvl>
    <w:lvl w:ilvl="5" w:tplc="2236C3EE">
      <w:start w:val="1"/>
      <w:numFmt w:val="none"/>
      <w:lvlRestart w:val="0"/>
      <w:lvlText w:val=""/>
      <w:lvlJc w:val="left"/>
      <w:pPr>
        <w:ind w:left="0" w:firstLine="0"/>
      </w:pPr>
      <w:rPr>
        <w:rFonts w:hint="default"/>
      </w:rPr>
    </w:lvl>
    <w:lvl w:ilvl="6" w:tplc="2EC210CA">
      <w:start w:val="1"/>
      <w:numFmt w:val="none"/>
      <w:lvlRestart w:val="0"/>
      <w:lvlText w:val=""/>
      <w:lvlJc w:val="left"/>
      <w:pPr>
        <w:ind w:left="0" w:firstLine="0"/>
      </w:pPr>
      <w:rPr>
        <w:rFonts w:hint="default"/>
      </w:rPr>
    </w:lvl>
    <w:lvl w:ilvl="7" w:tplc="809E9CD6">
      <w:start w:val="1"/>
      <w:numFmt w:val="none"/>
      <w:lvlRestart w:val="0"/>
      <w:lvlText w:val=""/>
      <w:lvlJc w:val="left"/>
      <w:pPr>
        <w:ind w:left="0" w:firstLine="0"/>
      </w:pPr>
      <w:rPr>
        <w:rFonts w:hint="default"/>
      </w:rPr>
    </w:lvl>
    <w:lvl w:ilvl="8" w:tplc="6CF6AA44">
      <w:start w:val="1"/>
      <w:numFmt w:val="none"/>
      <w:lvlRestart w:val="0"/>
      <w:lvlText w:val=""/>
      <w:lvlJc w:val="left"/>
      <w:pPr>
        <w:ind w:left="0" w:firstLine="0"/>
      </w:pPr>
      <w:rPr>
        <w:rFonts w:hint="default"/>
      </w:rPr>
    </w:lvl>
  </w:abstractNum>
  <w:abstractNum w:abstractNumId="25" w15:restartNumberingAfterBreak="0">
    <w:nsid w:val="57CC003D"/>
    <w:multiLevelType w:val="hybridMultilevel"/>
    <w:tmpl w:val="972A8B88"/>
    <w:styleLink w:val="ZZFintablebullets"/>
    <w:lvl w:ilvl="0" w:tplc="EA881236">
      <w:start w:val="1"/>
      <w:numFmt w:val="bullet"/>
      <w:lvlText w:val="•"/>
      <w:lvlJc w:val="left"/>
      <w:pPr>
        <w:ind w:left="170" w:hanging="170"/>
      </w:pPr>
      <w:rPr>
        <w:rFonts w:ascii="Calibri" w:hAnsi="Calibri" w:hint="default"/>
      </w:rPr>
    </w:lvl>
    <w:lvl w:ilvl="1" w:tplc="016CFF80">
      <w:start w:val="1"/>
      <w:numFmt w:val="none"/>
      <w:lvlRestart w:val="0"/>
      <w:lvlText w:val=""/>
      <w:lvlJc w:val="left"/>
      <w:pPr>
        <w:ind w:left="0" w:firstLine="0"/>
      </w:pPr>
      <w:rPr>
        <w:rFonts w:hint="default"/>
      </w:rPr>
    </w:lvl>
    <w:lvl w:ilvl="2" w:tplc="5DD2AF76">
      <w:start w:val="1"/>
      <w:numFmt w:val="none"/>
      <w:lvlRestart w:val="0"/>
      <w:lvlText w:val=""/>
      <w:lvlJc w:val="left"/>
      <w:pPr>
        <w:ind w:left="0" w:firstLine="0"/>
      </w:pPr>
      <w:rPr>
        <w:rFonts w:hint="default"/>
      </w:rPr>
    </w:lvl>
    <w:lvl w:ilvl="3" w:tplc="DCA8A5C6">
      <w:start w:val="1"/>
      <w:numFmt w:val="none"/>
      <w:lvlRestart w:val="0"/>
      <w:lvlText w:val=""/>
      <w:lvlJc w:val="left"/>
      <w:pPr>
        <w:ind w:left="0" w:firstLine="0"/>
      </w:pPr>
      <w:rPr>
        <w:rFonts w:hint="default"/>
      </w:rPr>
    </w:lvl>
    <w:lvl w:ilvl="4" w:tplc="18EED24C">
      <w:start w:val="1"/>
      <w:numFmt w:val="none"/>
      <w:lvlRestart w:val="0"/>
      <w:lvlText w:val=""/>
      <w:lvlJc w:val="left"/>
      <w:pPr>
        <w:ind w:left="0" w:firstLine="0"/>
      </w:pPr>
      <w:rPr>
        <w:rFonts w:hint="default"/>
      </w:rPr>
    </w:lvl>
    <w:lvl w:ilvl="5" w:tplc="4A0CFDCC">
      <w:start w:val="1"/>
      <w:numFmt w:val="none"/>
      <w:lvlRestart w:val="0"/>
      <w:lvlText w:val=""/>
      <w:lvlJc w:val="left"/>
      <w:pPr>
        <w:ind w:left="0" w:firstLine="0"/>
      </w:pPr>
      <w:rPr>
        <w:rFonts w:hint="default"/>
      </w:rPr>
    </w:lvl>
    <w:lvl w:ilvl="6" w:tplc="22C41802">
      <w:start w:val="1"/>
      <w:numFmt w:val="none"/>
      <w:lvlRestart w:val="0"/>
      <w:lvlText w:val=""/>
      <w:lvlJc w:val="left"/>
      <w:pPr>
        <w:ind w:left="0" w:firstLine="0"/>
      </w:pPr>
      <w:rPr>
        <w:rFonts w:hint="default"/>
      </w:rPr>
    </w:lvl>
    <w:lvl w:ilvl="7" w:tplc="561AAB24">
      <w:start w:val="1"/>
      <w:numFmt w:val="none"/>
      <w:lvlRestart w:val="0"/>
      <w:lvlText w:val=""/>
      <w:lvlJc w:val="left"/>
      <w:pPr>
        <w:ind w:left="0" w:firstLine="0"/>
      </w:pPr>
      <w:rPr>
        <w:rFonts w:hint="default"/>
      </w:rPr>
    </w:lvl>
    <w:lvl w:ilvl="8" w:tplc="299E19E2">
      <w:start w:val="1"/>
      <w:numFmt w:val="none"/>
      <w:lvlText w:val=""/>
      <w:lvlJc w:val="left"/>
      <w:pPr>
        <w:ind w:left="0" w:firstLine="0"/>
      </w:pPr>
      <w:rPr>
        <w:rFonts w:hint="default"/>
      </w:rPr>
    </w:lvl>
  </w:abstractNum>
  <w:abstractNum w:abstractNumId="26" w15:restartNumberingAfterBreak="0">
    <w:nsid w:val="585F6A5F"/>
    <w:multiLevelType w:val="multilevel"/>
    <w:tmpl w:val="87624286"/>
    <w:styleLink w:val="CurrentList1"/>
    <w:lvl w:ilvl="0">
      <w:start w:val="1"/>
      <w:numFmt w:val="decimal"/>
      <w:lvlText w:val="Note %1: "/>
      <w:lvlJc w:val="left"/>
      <w:pPr>
        <w:tabs>
          <w:tab w:val="num" w:pos="992"/>
        </w:tabs>
        <w:ind w:left="992" w:hanging="99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lvlText w:val="Note %1%2: "/>
      <w:lvlJc w:val="left"/>
      <w:pPr>
        <w:tabs>
          <w:tab w:val="num" w:pos="1532"/>
        </w:tabs>
        <w:ind w:left="1532" w:hanging="992"/>
      </w:pPr>
      <w:rPr>
        <w:rFonts w:ascii="Times New Roman" w:hAnsi="Times New Roman" w:cs="Times New Roman" w:hint="default"/>
        <w:b/>
        <w:i w:val="0"/>
        <w:color w:val="auto"/>
        <w:sz w:val="20"/>
        <w:szCs w:val="20"/>
        <w:u w:val="none"/>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7" w15:restartNumberingAfterBreak="0">
    <w:nsid w:val="60D64042"/>
    <w:multiLevelType w:val="hybridMultilevel"/>
    <w:tmpl w:val="690C6F7E"/>
    <w:styleLink w:val="Bullets"/>
    <w:lvl w:ilvl="0" w:tplc="E8EADD5E">
      <w:start w:val="1"/>
      <w:numFmt w:val="bullet"/>
      <w:lvlText w:val="&gt;"/>
      <w:lvlJc w:val="left"/>
      <w:pPr>
        <w:ind w:left="284" w:hanging="284"/>
      </w:pPr>
      <w:rPr>
        <w:rFonts w:ascii="Calibri" w:hAnsi="Calibri" w:hint="default"/>
        <w:b/>
        <w:i w:val="0"/>
        <w:color w:val="87189D"/>
      </w:rPr>
    </w:lvl>
    <w:lvl w:ilvl="1" w:tplc="F0AA2D78">
      <w:start w:val="1"/>
      <w:numFmt w:val="bullet"/>
      <w:lvlText w:val="&gt;"/>
      <w:lvlJc w:val="left"/>
      <w:pPr>
        <w:ind w:left="284" w:hanging="284"/>
      </w:pPr>
      <w:rPr>
        <w:rFonts w:ascii="Calibri" w:hAnsi="Calibri" w:hint="default"/>
        <w:b/>
        <w:i w:val="0"/>
        <w:color w:val="87189D"/>
      </w:rPr>
    </w:lvl>
    <w:lvl w:ilvl="2" w:tplc="9D926542">
      <w:start w:val="1"/>
      <w:numFmt w:val="bullet"/>
      <w:lvlText w:val="–"/>
      <w:lvlJc w:val="left"/>
      <w:pPr>
        <w:ind w:left="567" w:hanging="283"/>
      </w:pPr>
      <w:rPr>
        <w:rFonts w:ascii="Calibri" w:hAnsi="Calibri" w:hint="default"/>
      </w:rPr>
    </w:lvl>
    <w:lvl w:ilvl="3" w:tplc="2F10CA60">
      <w:start w:val="1"/>
      <w:numFmt w:val="bullet"/>
      <w:lvlText w:val="–"/>
      <w:lvlJc w:val="left"/>
      <w:pPr>
        <w:ind w:left="567" w:hanging="283"/>
      </w:pPr>
      <w:rPr>
        <w:rFonts w:ascii="Calibri" w:hAnsi="Calibri" w:hint="default"/>
      </w:rPr>
    </w:lvl>
    <w:lvl w:ilvl="4" w:tplc="7DEC69AA">
      <w:start w:val="1"/>
      <w:numFmt w:val="bullet"/>
      <w:lvlText w:val="•"/>
      <w:lvlJc w:val="left"/>
      <w:pPr>
        <w:ind w:left="227" w:hanging="227"/>
      </w:pPr>
      <w:rPr>
        <w:rFonts w:ascii="Calibri" w:hAnsi="Calibri" w:hint="default"/>
      </w:rPr>
    </w:lvl>
    <w:lvl w:ilvl="5" w:tplc="FBC410DA">
      <w:start w:val="1"/>
      <w:numFmt w:val="bullet"/>
      <w:lvlText w:val="–"/>
      <w:lvlJc w:val="left"/>
      <w:pPr>
        <w:ind w:left="454" w:hanging="227"/>
      </w:pPr>
      <w:rPr>
        <w:rFonts w:ascii="Calibri" w:hAnsi="Calibri" w:hint="default"/>
        <w:color w:val="auto"/>
      </w:rPr>
    </w:lvl>
    <w:lvl w:ilvl="6" w:tplc="F8F46AB2">
      <w:start w:val="1"/>
      <w:numFmt w:val="none"/>
      <w:lvlText w:val=""/>
      <w:lvlJc w:val="left"/>
      <w:pPr>
        <w:ind w:left="0" w:firstLine="0"/>
      </w:pPr>
      <w:rPr>
        <w:rFonts w:hint="default"/>
      </w:rPr>
    </w:lvl>
    <w:lvl w:ilvl="7" w:tplc="958451D0">
      <w:start w:val="1"/>
      <w:numFmt w:val="none"/>
      <w:lvlText w:val=""/>
      <w:lvlJc w:val="left"/>
      <w:pPr>
        <w:ind w:left="0" w:firstLine="0"/>
      </w:pPr>
      <w:rPr>
        <w:rFonts w:hint="default"/>
      </w:rPr>
    </w:lvl>
    <w:lvl w:ilvl="8" w:tplc="08FC1250">
      <w:start w:val="1"/>
      <w:numFmt w:val="none"/>
      <w:lvlText w:val=""/>
      <w:lvlJc w:val="left"/>
      <w:pPr>
        <w:ind w:left="0" w:firstLine="0"/>
      </w:pPr>
      <w:rPr>
        <w:rFonts w:hint="default"/>
      </w:rPr>
    </w:lvl>
  </w:abstractNum>
  <w:abstractNum w:abstractNumId="28" w15:restartNumberingAfterBreak="0">
    <w:nsid w:val="60FF734C"/>
    <w:multiLevelType w:val="hybridMultilevel"/>
    <w:tmpl w:val="AA0043C4"/>
    <w:styleLink w:val="ZZBulletstimeline"/>
    <w:lvl w:ilvl="0" w:tplc="38742D2E">
      <w:start w:val="1"/>
      <w:numFmt w:val="bullet"/>
      <w:pStyle w:val="ARbullettimeline"/>
      <w:lvlText w:val=""/>
      <w:lvlJc w:val="left"/>
      <w:pPr>
        <w:ind w:left="284" w:hanging="284"/>
      </w:pPr>
      <w:rPr>
        <w:rFonts w:ascii="Wingdings 3" w:hAnsi="Wingdings 3" w:hint="default"/>
        <w:b w:val="0"/>
        <w:i w:val="0"/>
        <w:color w:val="87189D"/>
        <w:sz w:val="20"/>
        <w:szCs w:val="6"/>
      </w:rPr>
    </w:lvl>
    <w:lvl w:ilvl="1" w:tplc="C29A336E">
      <w:start w:val="1"/>
      <w:numFmt w:val="none"/>
      <w:lvlRestart w:val="0"/>
      <w:lvlText w:val=""/>
      <w:lvlJc w:val="left"/>
      <w:pPr>
        <w:ind w:left="0" w:firstLine="0"/>
      </w:pPr>
      <w:rPr>
        <w:rFonts w:hint="default"/>
      </w:rPr>
    </w:lvl>
    <w:lvl w:ilvl="2" w:tplc="81840886">
      <w:start w:val="1"/>
      <w:numFmt w:val="none"/>
      <w:lvlRestart w:val="0"/>
      <w:lvlText w:val=""/>
      <w:lvlJc w:val="left"/>
      <w:pPr>
        <w:ind w:left="0" w:firstLine="0"/>
      </w:pPr>
      <w:rPr>
        <w:rFonts w:hint="default"/>
      </w:rPr>
    </w:lvl>
    <w:lvl w:ilvl="3" w:tplc="7C621B14">
      <w:start w:val="1"/>
      <w:numFmt w:val="none"/>
      <w:lvlRestart w:val="0"/>
      <w:lvlText w:val=""/>
      <w:lvlJc w:val="left"/>
      <w:pPr>
        <w:ind w:left="0" w:firstLine="0"/>
      </w:pPr>
      <w:rPr>
        <w:rFonts w:hint="default"/>
      </w:rPr>
    </w:lvl>
    <w:lvl w:ilvl="4" w:tplc="573CF570">
      <w:start w:val="1"/>
      <w:numFmt w:val="none"/>
      <w:lvlRestart w:val="0"/>
      <w:lvlText w:val=""/>
      <w:lvlJc w:val="left"/>
      <w:pPr>
        <w:ind w:left="0" w:firstLine="0"/>
      </w:pPr>
      <w:rPr>
        <w:rFonts w:hint="default"/>
      </w:rPr>
    </w:lvl>
    <w:lvl w:ilvl="5" w:tplc="8EBEB35E">
      <w:start w:val="1"/>
      <w:numFmt w:val="none"/>
      <w:lvlRestart w:val="0"/>
      <w:lvlText w:val=""/>
      <w:lvlJc w:val="left"/>
      <w:pPr>
        <w:ind w:left="0" w:firstLine="0"/>
      </w:pPr>
      <w:rPr>
        <w:rFonts w:hint="default"/>
      </w:rPr>
    </w:lvl>
    <w:lvl w:ilvl="6" w:tplc="BC689C64">
      <w:start w:val="1"/>
      <w:numFmt w:val="none"/>
      <w:lvlRestart w:val="0"/>
      <w:lvlText w:val=""/>
      <w:lvlJc w:val="left"/>
      <w:pPr>
        <w:ind w:left="0" w:firstLine="0"/>
      </w:pPr>
      <w:rPr>
        <w:rFonts w:hint="default"/>
      </w:rPr>
    </w:lvl>
    <w:lvl w:ilvl="7" w:tplc="46C422B2">
      <w:start w:val="1"/>
      <w:numFmt w:val="none"/>
      <w:lvlRestart w:val="0"/>
      <w:lvlText w:val=""/>
      <w:lvlJc w:val="left"/>
      <w:pPr>
        <w:ind w:left="0" w:firstLine="0"/>
      </w:pPr>
      <w:rPr>
        <w:rFonts w:hint="default"/>
      </w:rPr>
    </w:lvl>
    <w:lvl w:ilvl="8" w:tplc="6BE24034">
      <w:start w:val="1"/>
      <w:numFmt w:val="none"/>
      <w:lvlRestart w:val="0"/>
      <w:lvlText w:val=""/>
      <w:lvlJc w:val="left"/>
      <w:pPr>
        <w:ind w:left="0" w:firstLine="0"/>
      </w:pPr>
      <w:rPr>
        <w:rFonts w:hint="default"/>
      </w:rPr>
    </w:lvl>
  </w:abstractNum>
  <w:abstractNum w:abstractNumId="29" w15:restartNumberingAfterBreak="0">
    <w:nsid w:val="6398127E"/>
    <w:multiLevelType w:val="hybridMultilevel"/>
    <w:tmpl w:val="37D682C8"/>
    <w:styleLink w:val="ZZLoweralphainfintables"/>
    <w:lvl w:ilvl="0" w:tplc="215C36F4">
      <w:start w:val="1"/>
      <w:numFmt w:val="lowerLetter"/>
      <w:lvlText w:val="(%1)"/>
      <w:lvlJc w:val="left"/>
      <w:pPr>
        <w:ind w:left="340" w:hanging="340"/>
      </w:pPr>
      <w:rPr>
        <w:rFonts w:hint="default"/>
      </w:rPr>
    </w:lvl>
    <w:lvl w:ilvl="1" w:tplc="BCBC07BA">
      <w:start w:val="1"/>
      <w:numFmt w:val="none"/>
      <w:lvlRestart w:val="0"/>
      <w:lvlText w:val=""/>
      <w:lvlJc w:val="left"/>
      <w:pPr>
        <w:tabs>
          <w:tab w:val="num" w:pos="0"/>
        </w:tabs>
        <w:ind w:left="0" w:firstLine="0"/>
      </w:pPr>
      <w:rPr>
        <w:rFonts w:hint="default"/>
        <w:color w:val="412F5A"/>
      </w:rPr>
    </w:lvl>
    <w:lvl w:ilvl="2" w:tplc="CE2ACEF4">
      <w:start w:val="1"/>
      <w:numFmt w:val="none"/>
      <w:lvlRestart w:val="0"/>
      <w:lvlText w:val=""/>
      <w:lvlJc w:val="left"/>
      <w:pPr>
        <w:ind w:left="0" w:firstLine="0"/>
      </w:pPr>
      <w:rPr>
        <w:rFonts w:hint="default"/>
      </w:rPr>
    </w:lvl>
    <w:lvl w:ilvl="3" w:tplc="EF58835A">
      <w:start w:val="1"/>
      <w:numFmt w:val="none"/>
      <w:lvlRestart w:val="0"/>
      <w:lvlText w:val=""/>
      <w:lvlJc w:val="left"/>
      <w:pPr>
        <w:ind w:left="0" w:firstLine="0"/>
      </w:pPr>
      <w:rPr>
        <w:rFonts w:hint="default"/>
      </w:rPr>
    </w:lvl>
    <w:lvl w:ilvl="4" w:tplc="B2C48B1E">
      <w:start w:val="1"/>
      <w:numFmt w:val="none"/>
      <w:lvlRestart w:val="0"/>
      <w:lvlText w:val=""/>
      <w:lvlJc w:val="left"/>
      <w:pPr>
        <w:ind w:left="0" w:firstLine="0"/>
      </w:pPr>
      <w:rPr>
        <w:rFonts w:hint="default"/>
      </w:rPr>
    </w:lvl>
    <w:lvl w:ilvl="5" w:tplc="A2087904">
      <w:start w:val="1"/>
      <w:numFmt w:val="none"/>
      <w:lvlRestart w:val="0"/>
      <w:lvlText w:val=""/>
      <w:lvlJc w:val="left"/>
      <w:pPr>
        <w:ind w:left="0" w:firstLine="0"/>
      </w:pPr>
      <w:rPr>
        <w:rFonts w:hint="default"/>
      </w:rPr>
    </w:lvl>
    <w:lvl w:ilvl="6" w:tplc="22E658F6">
      <w:start w:val="1"/>
      <w:numFmt w:val="none"/>
      <w:lvlRestart w:val="0"/>
      <w:lvlText w:val=""/>
      <w:lvlJc w:val="left"/>
      <w:pPr>
        <w:ind w:left="0" w:firstLine="0"/>
      </w:pPr>
      <w:rPr>
        <w:rFonts w:hint="default"/>
      </w:rPr>
    </w:lvl>
    <w:lvl w:ilvl="7" w:tplc="64CA32DA">
      <w:start w:val="1"/>
      <w:numFmt w:val="none"/>
      <w:lvlRestart w:val="0"/>
      <w:lvlText w:val=""/>
      <w:lvlJc w:val="left"/>
      <w:pPr>
        <w:ind w:left="0" w:firstLine="0"/>
      </w:pPr>
      <w:rPr>
        <w:rFonts w:hint="default"/>
      </w:rPr>
    </w:lvl>
    <w:lvl w:ilvl="8" w:tplc="241495C4">
      <w:start w:val="1"/>
      <w:numFmt w:val="none"/>
      <w:lvlRestart w:val="0"/>
      <w:lvlText w:val=""/>
      <w:lvlJc w:val="left"/>
      <w:pPr>
        <w:ind w:left="0" w:firstLine="0"/>
      </w:pPr>
      <w:rPr>
        <w:rFonts w:hint="default"/>
      </w:rPr>
    </w:lvl>
  </w:abstractNum>
  <w:abstractNum w:abstractNumId="30" w15:restartNumberingAfterBreak="0">
    <w:nsid w:val="69BC3258"/>
    <w:multiLevelType w:val="hybridMultilevel"/>
    <w:tmpl w:val="87881798"/>
    <w:lvl w:ilvl="0" w:tplc="5DE23D82">
      <w:start w:val="1"/>
      <w:numFmt w:val="lowerLetter"/>
      <w:lvlText w:val="(%1)"/>
      <w:lvlJc w:val="left"/>
      <w:pPr>
        <w:ind w:left="720" w:hanging="360"/>
      </w:pPr>
      <w:rPr>
        <w:rFonts w:hint="default"/>
      </w:rPr>
    </w:lvl>
    <w:lvl w:ilvl="1" w:tplc="60ECA7CE">
      <w:start w:val="1"/>
      <w:numFmt w:val="lowerRoman"/>
      <w:lvlText w:val="(%2)"/>
      <w:lvlJc w:val="left"/>
      <w:pPr>
        <w:ind w:left="1440" w:hanging="360"/>
      </w:pPr>
      <w:rPr>
        <w:rFonts w:ascii="Arial" w:eastAsia="Times New Roman" w:hAnsi="Arial" w:cs="ArialM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9D30C50"/>
    <w:multiLevelType w:val="hybridMultilevel"/>
    <w:tmpl w:val="5A7834C0"/>
    <w:styleLink w:val="ZZTablenumbersalpha"/>
    <w:lvl w:ilvl="0" w:tplc="CB4A4D9C">
      <w:start w:val="1"/>
      <w:numFmt w:val="lowerLetter"/>
      <w:pStyle w:val="ARtablenumberalpha"/>
      <w:lvlText w:val="(%1)"/>
      <w:lvlJc w:val="left"/>
      <w:pPr>
        <w:tabs>
          <w:tab w:val="num" w:pos="0"/>
        </w:tabs>
        <w:ind w:left="340" w:hanging="340"/>
      </w:pPr>
      <w:rPr>
        <w:rFonts w:hint="default"/>
      </w:rPr>
    </w:lvl>
    <w:lvl w:ilvl="1" w:tplc="ED84785A">
      <w:start w:val="1"/>
      <w:numFmt w:val="none"/>
      <w:lvlRestart w:val="0"/>
      <w:lvlText w:val=""/>
      <w:lvlJc w:val="left"/>
      <w:pPr>
        <w:ind w:left="0" w:firstLine="0"/>
      </w:pPr>
      <w:rPr>
        <w:rFonts w:hint="default"/>
      </w:rPr>
    </w:lvl>
    <w:lvl w:ilvl="2" w:tplc="BA82B0F6">
      <w:start w:val="1"/>
      <w:numFmt w:val="none"/>
      <w:lvlRestart w:val="0"/>
      <w:lvlText w:val=""/>
      <w:lvlJc w:val="left"/>
      <w:pPr>
        <w:ind w:left="0" w:firstLine="0"/>
      </w:pPr>
      <w:rPr>
        <w:rFonts w:hint="default"/>
      </w:rPr>
    </w:lvl>
    <w:lvl w:ilvl="3" w:tplc="5AE43000">
      <w:start w:val="1"/>
      <w:numFmt w:val="none"/>
      <w:lvlRestart w:val="0"/>
      <w:lvlText w:val=""/>
      <w:lvlJc w:val="left"/>
      <w:pPr>
        <w:ind w:left="-32767" w:firstLine="32767"/>
      </w:pPr>
      <w:rPr>
        <w:rFonts w:hint="default"/>
      </w:rPr>
    </w:lvl>
    <w:lvl w:ilvl="4" w:tplc="E51AA428">
      <w:start w:val="1"/>
      <w:numFmt w:val="none"/>
      <w:lvlRestart w:val="0"/>
      <w:lvlText w:val=""/>
      <w:lvlJc w:val="left"/>
      <w:pPr>
        <w:ind w:left="0" w:firstLine="0"/>
      </w:pPr>
      <w:rPr>
        <w:rFonts w:hint="default"/>
      </w:rPr>
    </w:lvl>
    <w:lvl w:ilvl="5" w:tplc="FF8AE2A8">
      <w:start w:val="1"/>
      <w:numFmt w:val="none"/>
      <w:lvlRestart w:val="0"/>
      <w:lvlText w:val=""/>
      <w:lvlJc w:val="left"/>
      <w:pPr>
        <w:ind w:left="0" w:firstLine="0"/>
      </w:pPr>
      <w:rPr>
        <w:rFonts w:hint="default"/>
      </w:rPr>
    </w:lvl>
    <w:lvl w:ilvl="6" w:tplc="DDE080DC">
      <w:start w:val="1"/>
      <w:numFmt w:val="none"/>
      <w:lvlRestart w:val="0"/>
      <w:lvlText w:val=""/>
      <w:lvlJc w:val="left"/>
      <w:pPr>
        <w:ind w:left="0" w:firstLine="0"/>
      </w:pPr>
      <w:rPr>
        <w:rFonts w:hint="default"/>
      </w:rPr>
    </w:lvl>
    <w:lvl w:ilvl="7" w:tplc="DAE638B8">
      <w:start w:val="1"/>
      <w:numFmt w:val="none"/>
      <w:lvlRestart w:val="0"/>
      <w:lvlText w:val=""/>
      <w:lvlJc w:val="left"/>
      <w:pPr>
        <w:ind w:left="0" w:firstLine="0"/>
      </w:pPr>
      <w:rPr>
        <w:rFonts w:hint="default"/>
      </w:rPr>
    </w:lvl>
    <w:lvl w:ilvl="8" w:tplc="6D10690A">
      <w:start w:val="1"/>
      <w:numFmt w:val="none"/>
      <w:lvlRestart w:val="0"/>
      <w:lvlText w:val=""/>
      <w:lvlJc w:val="left"/>
      <w:pPr>
        <w:ind w:left="0" w:firstLine="0"/>
      </w:pPr>
      <w:rPr>
        <w:rFonts w:hint="default"/>
      </w:rPr>
    </w:lvl>
  </w:abstractNum>
  <w:abstractNum w:abstractNumId="32" w15:restartNumberingAfterBreak="0">
    <w:nsid w:val="7A753B81"/>
    <w:multiLevelType w:val="hybridMultilevel"/>
    <w:tmpl w:val="6F9067C6"/>
    <w:styleLink w:val="ZZTablebullets"/>
    <w:lvl w:ilvl="0" w:tplc="EC8EA568">
      <w:start w:val="1"/>
      <w:numFmt w:val="bullet"/>
      <w:pStyle w:val="ARtablebullet1"/>
      <w:lvlText w:val="•"/>
      <w:lvlJc w:val="left"/>
      <w:pPr>
        <w:ind w:left="227" w:hanging="227"/>
      </w:pPr>
      <w:rPr>
        <w:rFonts w:ascii="Calibri" w:hAnsi="Calibri" w:hint="default"/>
      </w:rPr>
    </w:lvl>
    <w:lvl w:ilvl="1" w:tplc="1BB2CB32">
      <w:start w:val="1"/>
      <w:numFmt w:val="bullet"/>
      <w:lvlRestart w:val="0"/>
      <w:pStyle w:val="ARtablebullet2"/>
      <w:lvlText w:val="–"/>
      <w:lvlJc w:val="left"/>
      <w:pPr>
        <w:ind w:left="454" w:hanging="227"/>
      </w:pPr>
      <w:rPr>
        <w:rFonts w:ascii="Calibri" w:hAnsi="Calibri" w:hint="default"/>
      </w:rPr>
    </w:lvl>
    <w:lvl w:ilvl="2" w:tplc="DBB69344">
      <w:start w:val="1"/>
      <w:numFmt w:val="none"/>
      <w:lvlRestart w:val="0"/>
      <w:lvlText w:val=""/>
      <w:lvlJc w:val="left"/>
      <w:pPr>
        <w:ind w:left="0" w:firstLine="0"/>
      </w:pPr>
      <w:rPr>
        <w:rFonts w:hint="default"/>
      </w:rPr>
    </w:lvl>
    <w:lvl w:ilvl="3" w:tplc="3EA6E694">
      <w:start w:val="1"/>
      <w:numFmt w:val="none"/>
      <w:lvlRestart w:val="0"/>
      <w:lvlText w:val=""/>
      <w:lvlJc w:val="left"/>
      <w:pPr>
        <w:ind w:left="0" w:firstLine="0"/>
      </w:pPr>
      <w:rPr>
        <w:rFonts w:hint="default"/>
      </w:rPr>
    </w:lvl>
    <w:lvl w:ilvl="4" w:tplc="4B767A1A">
      <w:start w:val="1"/>
      <w:numFmt w:val="none"/>
      <w:lvlRestart w:val="0"/>
      <w:lvlText w:val=""/>
      <w:lvlJc w:val="left"/>
      <w:pPr>
        <w:ind w:left="0" w:firstLine="0"/>
      </w:pPr>
      <w:rPr>
        <w:rFonts w:hint="default"/>
      </w:rPr>
    </w:lvl>
    <w:lvl w:ilvl="5" w:tplc="CA76A10E">
      <w:start w:val="1"/>
      <w:numFmt w:val="none"/>
      <w:lvlRestart w:val="0"/>
      <w:lvlText w:val=""/>
      <w:lvlJc w:val="left"/>
      <w:pPr>
        <w:ind w:left="0" w:firstLine="0"/>
      </w:pPr>
      <w:rPr>
        <w:rFonts w:hint="default"/>
      </w:rPr>
    </w:lvl>
    <w:lvl w:ilvl="6" w:tplc="01D0E186">
      <w:start w:val="1"/>
      <w:numFmt w:val="none"/>
      <w:lvlRestart w:val="0"/>
      <w:lvlText w:val=""/>
      <w:lvlJc w:val="left"/>
      <w:pPr>
        <w:ind w:left="0" w:firstLine="0"/>
      </w:pPr>
      <w:rPr>
        <w:rFonts w:hint="default"/>
      </w:rPr>
    </w:lvl>
    <w:lvl w:ilvl="7" w:tplc="8BDC2024">
      <w:start w:val="1"/>
      <w:numFmt w:val="none"/>
      <w:lvlRestart w:val="0"/>
      <w:lvlText w:val=""/>
      <w:lvlJc w:val="left"/>
      <w:pPr>
        <w:ind w:left="0" w:firstLine="0"/>
      </w:pPr>
      <w:rPr>
        <w:rFonts w:hint="default"/>
      </w:rPr>
    </w:lvl>
    <w:lvl w:ilvl="8" w:tplc="4FA0FEFC">
      <w:start w:val="1"/>
      <w:numFmt w:val="none"/>
      <w:lvlRestart w:val="0"/>
      <w:lvlText w:val=""/>
      <w:lvlJc w:val="left"/>
      <w:pPr>
        <w:ind w:left="0" w:firstLine="0"/>
      </w:pPr>
      <w:rPr>
        <w:rFonts w:hint="default"/>
      </w:rPr>
    </w:lvl>
  </w:abstractNum>
  <w:num w:numId="1">
    <w:abstractNumId w:val="16"/>
  </w:num>
  <w:num w:numId="2">
    <w:abstractNumId w:val="2"/>
  </w:num>
  <w:num w:numId="3">
    <w:abstractNumId w:val="4"/>
  </w:num>
  <w:num w:numId="4">
    <w:abstractNumId w:val="11"/>
  </w:num>
  <w:num w:numId="5">
    <w:abstractNumId w:val="25"/>
  </w:num>
  <w:num w:numId="6">
    <w:abstractNumId w:val="12"/>
  </w:num>
  <w:num w:numId="7">
    <w:abstractNumId w:val="24"/>
  </w:num>
  <w:num w:numId="8">
    <w:abstractNumId w:val="18"/>
  </w:num>
  <w:num w:numId="9">
    <w:abstractNumId w:val="32"/>
  </w:num>
  <w:num w:numId="10">
    <w:abstractNumId w:val="9"/>
  </w:num>
  <w:num w:numId="11">
    <w:abstractNumId w:val="8"/>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num>
  <w:num w:numId="15">
    <w:abstractNumId w:val="30"/>
  </w:num>
  <w:num w:numId="16">
    <w:abstractNumId w:val="17"/>
  </w:num>
  <w:num w:numId="17">
    <w:abstractNumId w:val="24"/>
  </w:num>
  <w:num w:numId="18">
    <w:abstractNumId w:val="23"/>
  </w:num>
  <w:num w:numId="19">
    <w:abstractNumId w:val="6"/>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5"/>
  </w:num>
  <w:num w:numId="23">
    <w:abstractNumId w:val="0"/>
  </w:num>
  <w:num w:numId="24">
    <w:abstractNumId w:val="15"/>
  </w:num>
  <w:num w:numId="25">
    <w:abstractNumId w:val="13"/>
  </w:num>
  <w:num w:numId="26">
    <w:abstractNumId w:val="27"/>
  </w:num>
  <w:num w:numId="27">
    <w:abstractNumId w:val="14"/>
  </w:num>
  <w:num w:numId="28">
    <w:abstractNumId w:val="21"/>
  </w:num>
  <w:num w:numId="29">
    <w:abstractNumId w:val="10"/>
  </w:num>
  <w:num w:numId="30">
    <w:abstractNumId w:val="1"/>
  </w:num>
  <w:num w:numId="31">
    <w:abstractNumId w:val="7"/>
  </w:num>
  <w:num w:numId="32">
    <w:abstractNumId w:val="28"/>
  </w:num>
  <w:num w:numId="33">
    <w:abstractNumId w:val="29"/>
  </w:num>
  <w:num w:numId="34">
    <w:abstractNumId w:val="31"/>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lvlOverride w:ilvl="0">
      <w:startOverride w:val="1"/>
    </w:lvlOverride>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2"/>
  </w:num>
  <w:num w:numId="48">
    <w:abstractNumId w:val="3"/>
  </w:num>
  <w:num w:numId="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0"/>
  </w:num>
  <w:num w:numId="51">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fullPage" w:percent="100"/>
  <w:mirrorMargins/>
  <w:stylePaneSortMethod w:val="0000"/>
  <w:defaultTabStop w:val="720"/>
  <w:evenAndOddHeaders/>
  <w:characterSpacingControl w:val="doNotCompress"/>
  <w:hdrShapeDefaults>
    <o:shapedefaults v:ext="edit" spidmax="20481"/>
  </w:hdrShapeDefaults>
  <w:footnotePr>
    <w:numFmt w:val="chicago"/>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329"/>
    <w:rsid w:val="000012A8"/>
    <w:rsid w:val="0000179E"/>
    <w:rsid w:val="00001D81"/>
    <w:rsid w:val="00001DE0"/>
    <w:rsid w:val="000024F3"/>
    <w:rsid w:val="00002932"/>
    <w:rsid w:val="00002CC4"/>
    <w:rsid w:val="00002D3A"/>
    <w:rsid w:val="000033AF"/>
    <w:rsid w:val="00004508"/>
    <w:rsid w:val="00004CC4"/>
    <w:rsid w:val="00005C49"/>
    <w:rsid w:val="000061D8"/>
    <w:rsid w:val="00006601"/>
    <w:rsid w:val="00007583"/>
    <w:rsid w:val="00007785"/>
    <w:rsid w:val="00007A36"/>
    <w:rsid w:val="00010839"/>
    <w:rsid w:val="00010F1B"/>
    <w:rsid w:val="000110E4"/>
    <w:rsid w:val="00011487"/>
    <w:rsid w:val="00012976"/>
    <w:rsid w:val="0001342C"/>
    <w:rsid w:val="00014625"/>
    <w:rsid w:val="00014F39"/>
    <w:rsid w:val="000155B3"/>
    <w:rsid w:val="000162E5"/>
    <w:rsid w:val="00016394"/>
    <w:rsid w:val="00016EA1"/>
    <w:rsid w:val="00017335"/>
    <w:rsid w:val="00020010"/>
    <w:rsid w:val="000201E6"/>
    <w:rsid w:val="000209A1"/>
    <w:rsid w:val="00020E65"/>
    <w:rsid w:val="00020FE5"/>
    <w:rsid w:val="00021D86"/>
    <w:rsid w:val="0002208F"/>
    <w:rsid w:val="00022D96"/>
    <w:rsid w:val="00023BB0"/>
    <w:rsid w:val="000245AB"/>
    <w:rsid w:val="00024815"/>
    <w:rsid w:val="00025D7E"/>
    <w:rsid w:val="000272A9"/>
    <w:rsid w:val="00027FD9"/>
    <w:rsid w:val="0003082E"/>
    <w:rsid w:val="00031428"/>
    <w:rsid w:val="000323C2"/>
    <w:rsid w:val="00032604"/>
    <w:rsid w:val="000333EA"/>
    <w:rsid w:val="00033607"/>
    <w:rsid w:val="00033C3E"/>
    <w:rsid w:val="00033F28"/>
    <w:rsid w:val="000343EC"/>
    <w:rsid w:val="00035909"/>
    <w:rsid w:val="00035BCC"/>
    <w:rsid w:val="000366A8"/>
    <w:rsid w:val="0003683D"/>
    <w:rsid w:val="00036C02"/>
    <w:rsid w:val="00036F13"/>
    <w:rsid w:val="0003723B"/>
    <w:rsid w:val="00040479"/>
    <w:rsid w:val="00040618"/>
    <w:rsid w:val="00040C33"/>
    <w:rsid w:val="00041E17"/>
    <w:rsid w:val="00042989"/>
    <w:rsid w:val="000435F1"/>
    <w:rsid w:val="00043F18"/>
    <w:rsid w:val="00044B30"/>
    <w:rsid w:val="00044D7C"/>
    <w:rsid w:val="00044E21"/>
    <w:rsid w:val="00045C37"/>
    <w:rsid w:val="00046067"/>
    <w:rsid w:val="00046372"/>
    <w:rsid w:val="000467AD"/>
    <w:rsid w:val="000468F5"/>
    <w:rsid w:val="00047012"/>
    <w:rsid w:val="00047C1D"/>
    <w:rsid w:val="00051169"/>
    <w:rsid w:val="00052FD4"/>
    <w:rsid w:val="00053770"/>
    <w:rsid w:val="00053E78"/>
    <w:rsid w:val="00053E89"/>
    <w:rsid w:val="00053FEA"/>
    <w:rsid w:val="000544BB"/>
    <w:rsid w:val="00054631"/>
    <w:rsid w:val="00055BA0"/>
    <w:rsid w:val="00055C05"/>
    <w:rsid w:val="00055D46"/>
    <w:rsid w:val="000573B9"/>
    <w:rsid w:val="00057EDE"/>
    <w:rsid w:val="00060D62"/>
    <w:rsid w:val="000617EE"/>
    <w:rsid w:val="00061938"/>
    <w:rsid w:val="00062252"/>
    <w:rsid w:val="00062316"/>
    <w:rsid w:val="00062A90"/>
    <w:rsid w:val="00063410"/>
    <w:rsid w:val="0006497B"/>
    <w:rsid w:val="00064E46"/>
    <w:rsid w:val="00064EA3"/>
    <w:rsid w:val="00065182"/>
    <w:rsid w:val="00065E9E"/>
    <w:rsid w:val="00066367"/>
    <w:rsid w:val="00066781"/>
    <w:rsid w:val="00066FA3"/>
    <w:rsid w:val="0006746D"/>
    <w:rsid w:val="00067C9B"/>
    <w:rsid w:val="00071BBF"/>
    <w:rsid w:val="0007308C"/>
    <w:rsid w:val="000730D8"/>
    <w:rsid w:val="00073D31"/>
    <w:rsid w:val="0007438E"/>
    <w:rsid w:val="000753A9"/>
    <w:rsid w:val="0007603D"/>
    <w:rsid w:val="00077794"/>
    <w:rsid w:val="00077F24"/>
    <w:rsid w:val="00080A09"/>
    <w:rsid w:val="000811E5"/>
    <w:rsid w:val="00082ADA"/>
    <w:rsid w:val="0008364D"/>
    <w:rsid w:val="00084467"/>
    <w:rsid w:val="000850BB"/>
    <w:rsid w:val="000851FB"/>
    <w:rsid w:val="0008662A"/>
    <w:rsid w:val="0008719B"/>
    <w:rsid w:val="00087B91"/>
    <w:rsid w:val="00087E6D"/>
    <w:rsid w:val="00087EAB"/>
    <w:rsid w:val="0009035A"/>
    <w:rsid w:val="0009182F"/>
    <w:rsid w:val="000918DB"/>
    <w:rsid w:val="00092B3C"/>
    <w:rsid w:val="00092D31"/>
    <w:rsid w:val="000935FE"/>
    <w:rsid w:val="00093C09"/>
    <w:rsid w:val="00094793"/>
    <w:rsid w:val="000950E5"/>
    <w:rsid w:val="00095F67"/>
    <w:rsid w:val="0009601F"/>
    <w:rsid w:val="00096890"/>
    <w:rsid w:val="00096DD8"/>
    <w:rsid w:val="000975F6"/>
    <w:rsid w:val="00097778"/>
    <w:rsid w:val="000A046D"/>
    <w:rsid w:val="000A051B"/>
    <w:rsid w:val="000A07B0"/>
    <w:rsid w:val="000A1192"/>
    <w:rsid w:val="000A175F"/>
    <w:rsid w:val="000A18C8"/>
    <w:rsid w:val="000A264C"/>
    <w:rsid w:val="000A3187"/>
    <w:rsid w:val="000A3772"/>
    <w:rsid w:val="000A3B4E"/>
    <w:rsid w:val="000A5329"/>
    <w:rsid w:val="000A5541"/>
    <w:rsid w:val="000A66A5"/>
    <w:rsid w:val="000A7DE8"/>
    <w:rsid w:val="000A7FFB"/>
    <w:rsid w:val="000B0037"/>
    <w:rsid w:val="000B15E3"/>
    <w:rsid w:val="000B2105"/>
    <w:rsid w:val="000B24A0"/>
    <w:rsid w:val="000B39B4"/>
    <w:rsid w:val="000B4F84"/>
    <w:rsid w:val="000B56E2"/>
    <w:rsid w:val="000B66BD"/>
    <w:rsid w:val="000C03AD"/>
    <w:rsid w:val="000C08CC"/>
    <w:rsid w:val="000C1CEB"/>
    <w:rsid w:val="000C28B8"/>
    <w:rsid w:val="000C34F0"/>
    <w:rsid w:val="000C419E"/>
    <w:rsid w:val="000C654E"/>
    <w:rsid w:val="000C6D20"/>
    <w:rsid w:val="000D069C"/>
    <w:rsid w:val="000D148B"/>
    <w:rsid w:val="000D167C"/>
    <w:rsid w:val="000D217A"/>
    <w:rsid w:val="000D315F"/>
    <w:rsid w:val="000D320E"/>
    <w:rsid w:val="000D3421"/>
    <w:rsid w:val="000D349B"/>
    <w:rsid w:val="000D39ED"/>
    <w:rsid w:val="000D3AB4"/>
    <w:rsid w:val="000D3C19"/>
    <w:rsid w:val="000D3C3F"/>
    <w:rsid w:val="000D3FF2"/>
    <w:rsid w:val="000D4E35"/>
    <w:rsid w:val="000D6492"/>
    <w:rsid w:val="000D69C4"/>
    <w:rsid w:val="000D6EDE"/>
    <w:rsid w:val="000E0051"/>
    <w:rsid w:val="000E07A5"/>
    <w:rsid w:val="000E0E8D"/>
    <w:rsid w:val="000E14F1"/>
    <w:rsid w:val="000E1E27"/>
    <w:rsid w:val="000E29FE"/>
    <w:rsid w:val="000E36C1"/>
    <w:rsid w:val="000E395A"/>
    <w:rsid w:val="000E4549"/>
    <w:rsid w:val="000E4668"/>
    <w:rsid w:val="000E4A2A"/>
    <w:rsid w:val="000E52E8"/>
    <w:rsid w:val="000F019E"/>
    <w:rsid w:val="000F0E37"/>
    <w:rsid w:val="000F13EA"/>
    <w:rsid w:val="000F1D6C"/>
    <w:rsid w:val="000F29DD"/>
    <w:rsid w:val="000F38EE"/>
    <w:rsid w:val="000F5522"/>
    <w:rsid w:val="000F64C7"/>
    <w:rsid w:val="000F6867"/>
    <w:rsid w:val="000F6FCB"/>
    <w:rsid w:val="000F7F3A"/>
    <w:rsid w:val="00100125"/>
    <w:rsid w:val="00100B2D"/>
    <w:rsid w:val="00101AAC"/>
    <w:rsid w:val="0010203A"/>
    <w:rsid w:val="00103438"/>
    <w:rsid w:val="00104381"/>
    <w:rsid w:val="001044EF"/>
    <w:rsid w:val="0010557C"/>
    <w:rsid w:val="00105603"/>
    <w:rsid w:val="00105D21"/>
    <w:rsid w:val="0010773F"/>
    <w:rsid w:val="0010780D"/>
    <w:rsid w:val="00107A8C"/>
    <w:rsid w:val="001102F9"/>
    <w:rsid w:val="0011054F"/>
    <w:rsid w:val="00110D73"/>
    <w:rsid w:val="001112DA"/>
    <w:rsid w:val="001113BC"/>
    <w:rsid w:val="001115A5"/>
    <w:rsid w:val="00111CB0"/>
    <w:rsid w:val="00111D76"/>
    <w:rsid w:val="00113040"/>
    <w:rsid w:val="00113A3C"/>
    <w:rsid w:val="00113AA5"/>
    <w:rsid w:val="00113F45"/>
    <w:rsid w:val="00114350"/>
    <w:rsid w:val="00114C5D"/>
    <w:rsid w:val="0011572C"/>
    <w:rsid w:val="001162B8"/>
    <w:rsid w:val="0011633B"/>
    <w:rsid w:val="00116893"/>
    <w:rsid w:val="001174A1"/>
    <w:rsid w:val="00120006"/>
    <w:rsid w:val="00120A35"/>
    <w:rsid w:val="00121533"/>
    <w:rsid w:val="001219A1"/>
    <w:rsid w:val="001219BE"/>
    <w:rsid w:val="00121B53"/>
    <w:rsid w:val="00122412"/>
    <w:rsid w:val="00122F2F"/>
    <w:rsid w:val="001230C6"/>
    <w:rsid w:val="0012524D"/>
    <w:rsid w:val="00125E54"/>
    <w:rsid w:val="00126082"/>
    <w:rsid w:val="00126E63"/>
    <w:rsid w:val="001273E6"/>
    <w:rsid w:val="00127C64"/>
    <w:rsid w:val="00127E70"/>
    <w:rsid w:val="001315E6"/>
    <w:rsid w:val="00131F73"/>
    <w:rsid w:val="001338BF"/>
    <w:rsid w:val="00134500"/>
    <w:rsid w:val="001351B7"/>
    <w:rsid w:val="00135510"/>
    <w:rsid w:val="00135A07"/>
    <w:rsid w:val="0013768B"/>
    <w:rsid w:val="00137DEA"/>
    <w:rsid w:val="00142520"/>
    <w:rsid w:val="00142CDC"/>
    <w:rsid w:val="0014376C"/>
    <w:rsid w:val="00143D68"/>
    <w:rsid w:val="0014403C"/>
    <w:rsid w:val="00144BA7"/>
    <w:rsid w:val="00146DA7"/>
    <w:rsid w:val="001477ED"/>
    <w:rsid w:val="0015096A"/>
    <w:rsid w:val="00151355"/>
    <w:rsid w:val="00151969"/>
    <w:rsid w:val="00152DF0"/>
    <w:rsid w:val="001541F2"/>
    <w:rsid w:val="001556B8"/>
    <w:rsid w:val="00155A12"/>
    <w:rsid w:val="001563F0"/>
    <w:rsid w:val="001568D2"/>
    <w:rsid w:val="00160B3A"/>
    <w:rsid w:val="00161033"/>
    <w:rsid w:val="00163613"/>
    <w:rsid w:val="001647DD"/>
    <w:rsid w:val="00165263"/>
    <w:rsid w:val="00166054"/>
    <w:rsid w:val="001670B7"/>
    <w:rsid w:val="001670CA"/>
    <w:rsid w:val="00167D0D"/>
    <w:rsid w:val="00170602"/>
    <w:rsid w:val="001708C9"/>
    <w:rsid w:val="00170C22"/>
    <w:rsid w:val="0017227A"/>
    <w:rsid w:val="00172E03"/>
    <w:rsid w:val="00177947"/>
    <w:rsid w:val="00181000"/>
    <w:rsid w:val="001837BB"/>
    <w:rsid w:val="00183BAA"/>
    <w:rsid w:val="00185B9D"/>
    <w:rsid w:val="00186636"/>
    <w:rsid w:val="00190926"/>
    <w:rsid w:val="001919DF"/>
    <w:rsid w:val="00191CBC"/>
    <w:rsid w:val="00192080"/>
    <w:rsid w:val="00192491"/>
    <w:rsid w:val="001926BF"/>
    <w:rsid w:val="001927BE"/>
    <w:rsid w:val="00192D16"/>
    <w:rsid w:val="00192EEE"/>
    <w:rsid w:val="00192F18"/>
    <w:rsid w:val="00194359"/>
    <w:rsid w:val="0019560E"/>
    <w:rsid w:val="001963D4"/>
    <w:rsid w:val="001A0074"/>
    <w:rsid w:val="001A0C14"/>
    <w:rsid w:val="001A2A15"/>
    <w:rsid w:val="001A3E9A"/>
    <w:rsid w:val="001A3F62"/>
    <w:rsid w:val="001A40EF"/>
    <w:rsid w:val="001A4611"/>
    <w:rsid w:val="001A4BE0"/>
    <w:rsid w:val="001A54CF"/>
    <w:rsid w:val="001A6190"/>
    <w:rsid w:val="001A7571"/>
    <w:rsid w:val="001A7A30"/>
    <w:rsid w:val="001A7A32"/>
    <w:rsid w:val="001A7E13"/>
    <w:rsid w:val="001B01CC"/>
    <w:rsid w:val="001B02E1"/>
    <w:rsid w:val="001B0574"/>
    <w:rsid w:val="001B05A9"/>
    <w:rsid w:val="001B0B19"/>
    <w:rsid w:val="001B27BE"/>
    <w:rsid w:val="001B2963"/>
    <w:rsid w:val="001B34E9"/>
    <w:rsid w:val="001B3934"/>
    <w:rsid w:val="001B39F2"/>
    <w:rsid w:val="001B41BE"/>
    <w:rsid w:val="001B449D"/>
    <w:rsid w:val="001B5A15"/>
    <w:rsid w:val="001B6DB7"/>
    <w:rsid w:val="001B7CEF"/>
    <w:rsid w:val="001C14AF"/>
    <w:rsid w:val="001C163C"/>
    <w:rsid w:val="001C1FDF"/>
    <w:rsid w:val="001C38CE"/>
    <w:rsid w:val="001C3C55"/>
    <w:rsid w:val="001D0556"/>
    <w:rsid w:val="001D1B8B"/>
    <w:rsid w:val="001D3623"/>
    <w:rsid w:val="001D39DD"/>
    <w:rsid w:val="001D4B6B"/>
    <w:rsid w:val="001D5379"/>
    <w:rsid w:val="001D75D0"/>
    <w:rsid w:val="001D7D72"/>
    <w:rsid w:val="001D7F9D"/>
    <w:rsid w:val="001E0EDA"/>
    <w:rsid w:val="001E1569"/>
    <w:rsid w:val="001E1C05"/>
    <w:rsid w:val="001E1F1E"/>
    <w:rsid w:val="001E28D5"/>
    <w:rsid w:val="001E35D5"/>
    <w:rsid w:val="001E3B55"/>
    <w:rsid w:val="001E6C10"/>
    <w:rsid w:val="001E760F"/>
    <w:rsid w:val="001E768A"/>
    <w:rsid w:val="001E76DE"/>
    <w:rsid w:val="001E7CD0"/>
    <w:rsid w:val="001F0498"/>
    <w:rsid w:val="001F1B70"/>
    <w:rsid w:val="001F2102"/>
    <w:rsid w:val="001F3C12"/>
    <w:rsid w:val="001F44F8"/>
    <w:rsid w:val="001F5258"/>
    <w:rsid w:val="001F5A5D"/>
    <w:rsid w:val="001F6E53"/>
    <w:rsid w:val="001F72E3"/>
    <w:rsid w:val="002005AC"/>
    <w:rsid w:val="002008D4"/>
    <w:rsid w:val="002013CF"/>
    <w:rsid w:val="00201705"/>
    <w:rsid w:val="00201B19"/>
    <w:rsid w:val="00201B69"/>
    <w:rsid w:val="00201F08"/>
    <w:rsid w:val="002029AF"/>
    <w:rsid w:val="002036C1"/>
    <w:rsid w:val="002038E5"/>
    <w:rsid w:val="00203A61"/>
    <w:rsid w:val="00203E00"/>
    <w:rsid w:val="00205391"/>
    <w:rsid w:val="00205B86"/>
    <w:rsid w:val="00205D6E"/>
    <w:rsid w:val="0020648D"/>
    <w:rsid w:val="002070B1"/>
    <w:rsid w:val="002074FF"/>
    <w:rsid w:val="002101B3"/>
    <w:rsid w:val="00211951"/>
    <w:rsid w:val="00211AA0"/>
    <w:rsid w:val="00211BE3"/>
    <w:rsid w:val="00211DE7"/>
    <w:rsid w:val="00211E6E"/>
    <w:rsid w:val="002128C4"/>
    <w:rsid w:val="00212997"/>
    <w:rsid w:val="0021307D"/>
    <w:rsid w:val="0021411E"/>
    <w:rsid w:val="00214405"/>
    <w:rsid w:val="00214739"/>
    <w:rsid w:val="00214C48"/>
    <w:rsid w:val="002157AA"/>
    <w:rsid w:val="00215F71"/>
    <w:rsid w:val="00215FAC"/>
    <w:rsid w:val="0021789C"/>
    <w:rsid w:val="00220971"/>
    <w:rsid w:val="002209B0"/>
    <w:rsid w:val="00220F6F"/>
    <w:rsid w:val="002210F5"/>
    <w:rsid w:val="00221BC1"/>
    <w:rsid w:val="00221D17"/>
    <w:rsid w:val="00222655"/>
    <w:rsid w:val="00222DB1"/>
    <w:rsid w:val="00223240"/>
    <w:rsid w:val="00223A18"/>
    <w:rsid w:val="00223E33"/>
    <w:rsid w:val="00224B55"/>
    <w:rsid w:val="00225719"/>
    <w:rsid w:val="00227D05"/>
    <w:rsid w:val="00227F2D"/>
    <w:rsid w:val="0023066D"/>
    <w:rsid w:val="00230695"/>
    <w:rsid w:val="00230D99"/>
    <w:rsid w:val="00230E70"/>
    <w:rsid w:val="00231FC5"/>
    <w:rsid w:val="00233C48"/>
    <w:rsid w:val="00235D42"/>
    <w:rsid w:val="0023651A"/>
    <w:rsid w:val="00236535"/>
    <w:rsid w:val="002372AC"/>
    <w:rsid w:val="00240F10"/>
    <w:rsid w:val="00243171"/>
    <w:rsid w:val="00243473"/>
    <w:rsid w:val="002451BA"/>
    <w:rsid w:val="0024605A"/>
    <w:rsid w:val="0024649F"/>
    <w:rsid w:val="002519DB"/>
    <w:rsid w:val="00251E7B"/>
    <w:rsid w:val="002523DC"/>
    <w:rsid w:val="002539AC"/>
    <w:rsid w:val="00255AB4"/>
    <w:rsid w:val="00256B41"/>
    <w:rsid w:val="00257550"/>
    <w:rsid w:val="00257A71"/>
    <w:rsid w:val="0026092A"/>
    <w:rsid w:val="00260CDE"/>
    <w:rsid w:val="00262575"/>
    <w:rsid w:val="00262CBF"/>
    <w:rsid w:val="00262DEB"/>
    <w:rsid w:val="002633C7"/>
    <w:rsid w:val="00264381"/>
    <w:rsid w:val="00264E4E"/>
    <w:rsid w:val="0026518E"/>
    <w:rsid w:val="002657E8"/>
    <w:rsid w:val="0026600A"/>
    <w:rsid w:val="00267891"/>
    <w:rsid w:val="0027056F"/>
    <w:rsid w:val="002707A8"/>
    <w:rsid w:val="00270B40"/>
    <w:rsid w:val="00272448"/>
    <w:rsid w:val="002726BE"/>
    <w:rsid w:val="00272C72"/>
    <w:rsid w:val="002732C9"/>
    <w:rsid w:val="002733C4"/>
    <w:rsid w:val="00273E3B"/>
    <w:rsid w:val="0027595A"/>
    <w:rsid w:val="00276667"/>
    <w:rsid w:val="002766A3"/>
    <w:rsid w:val="0027690E"/>
    <w:rsid w:val="00276DD1"/>
    <w:rsid w:val="002773E1"/>
    <w:rsid w:val="0027759D"/>
    <w:rsid w:val="0028020C"/>
    <w:rsid w:val="0028134C"/>
    <w:rsid w:val="00282A10"/>
    <w:rsid w:val="0028495F"/>
    <w:rsid w:val="00285A6C"/>
    <w:rsid w:val="00286264"/>
    <w:rsid w:val="0028683D"/>
    <w:rsid w:val="002904D1"/>
    <w:rsid w:val="00290574"/>
    <w:rsid w:val="002907D7"/>
    <w:rsid w:val="00290C94"/>
    <w:rsid w:val="0029117A"/>
    <w:rsid w:val="00291C88"/>
    <w:rsid w:val="0029232E"/>
    <w:rsid w:val="002924C2"/>
    <w:rsid w:val="00293415"/>
    <w:rsid w:val="00294808"/>
    <w:rsid w:val="002959F9"/>
    <w:rsid w:val="002976AB"/>
    <w:rsid w:val="0029774F"/>
    <w:rsid w:val="00297775"/>
    <w:rsid w:val="00297941"/>
    <w:rsid w:val="00297AAE"/>
    <w:rsid w:val="002A113F"/>
    <w:rsid w:val="002A1ADF"/>
    <w:rsid w:val="002A1CF8"/>
    <w:rsid w:val="002A3743"/>
    <w:rsid w:val="002A432B"/>
    <w:rsid w:val="002A45C1"/>
    <w:rsid w:val="002A4789"/>
    <w:rsid w:val="002A517D"/>
    <w:rsid w:val="002A5CF0"/>
    <w:rsid w:val="002A5F13"/>
    <w:rsid w:val="002A77D5"/>
    <w:rsid w:val="002A798C"/>
    <w:rsid w:val="002B095E"/>
    <w:rsid w:val="002B11DA"/>
    <w:rsid w:val="002B1695"/>
    <w:rsid w:val="002B19FE"/>
    <w:rsid w:val="002B1F4C"/>
    <w:rsid w:val="002B2CCB"/>
    <w:rsid w:val="002B388E"/>
    <w:rsid w:val="002B3C13"/>
    <w:rsid w:val="002B41FC"/>
    <w:rsid w:val="002B48E7"/>
    <w:rsid w:val="002B4A38"/>
    <w:rsid w:val="002B5560"/>
    <w:rsid w:val="002B5E28"/>
    <w:rsid w:val="002B67FD"/>
    <w:rsid w:val="002B6AE3"/>
    <w:rsid w:val="002B6F8C"/>
    <w:rsid w:val="002B6FF8"/>
    <w:rsid w:val="002B7F00"/>
    <w:rsid w:val="002C0B53"/>
    <w:rsid w:val="002C0C09"/>
    <w:rsid w:val="002C13AE"/>
    <w:rsid w:val="002C2297"/>
    <w:rsid w:val="002C2982"/>
    <w:rsid w:val="002C3073"/>
    <w:rsid w:val="002C4517"/>
    <w:rsid w:val="002C45C7"/>
    <w:rsid w:val="002C5190"/>
    <w:rsid w:val="002C61C8"/>
    <w:rsid w:val="002C6854"/>
    <w:rsid w:val="002D1FEC"/>
    <w:rsid w:val="002D26AF"/>
    <w:rsid w:val="002D28CF"/>
    <w:rsid w:val="002D2F60"/>
    <w:rsid w:val="002D3BED"/>
    <w:rsid w:val="002D4C9E"/>
    <w:rsid w:val="002D560E"/>
    <w:rsid w:val="002D5B3A"/>
    <w:rsid w:val="002E0E3B"/>
    <w:rsid w:val="002E1333"/>
    <w:rsid w:val="002E18D2"/>
    <w:rsid w:val="002E3B52"/>
    <w:rsid w:val="002E4274"/>
    <w:rsid w:val="002E438F"/>
    <w:rsid w:val="002E4F71"/>
    <w:rsid w:val="002E5C32"/>
    <w:rsid w:val="002E6A29"/>
    <w:rsid w:val="002F02E8"/>
    <w:rsid w:val="002F075B"/>
    <w:rsid w:val="002F10CC"/>
    <w:rsid w:val="002F170E"/>
    <w:rsid w:val="002F275C"/>
    <w:rsid w:val="002F28FA"/>
    <w:rsid w:val="002F2DA8"/>
    <w:rsid w:val="002F3409"/>
    <w:rsid w:val="002F3663"/>
    <w:rsid w:val="002F487C"/>
    <w:rsid w:val="002F4ED2"/>
    <w:rsid w:val="002F4F3A"/>
    <w:rsid w:val="002F585A"/>
    <w:rsid w:val="002F6B55"/>
    <w:rsid w:val="002F6FC6"/>
    <w:rsid w:val="00301132"/>
    <w:rsid w:val="00301C38"/>
    <w:rsid w:val="00303E59"/>
    <w:rsid w:val="00303E6A"/>
    <w:rsid w:val="003048F1"/>
    <w:rsid w:val="00304CAF"/>
    <w:rsid w:val="0030530A"/>
    <w:rsid w:val="003060F4"/>
    <w:rsid w:val="003061D9"/>
    <w:rsid w:val="00306E71"/>
    <w:rsid w:val="00307B3E"/>
    <w:rsid w:val="003100A2"/>
    <w:rsid w:val="00310650"/>
    <w:rsid w:val="00311489"/>
    <w:rsid w:val="00311F07"/>
    <w:rsid w:val="00312252"/>
    <w:rsid w:val="00312801"/>
    <w:rsid w:val="0031402E"/>
    <w:rsid w:val="00314A18"/>
    <w:rsid w:val="00314F89"/>
    <w:rsid w:val="003161EF"/>
    <w:rsid w:val="00316371"/>
    <w:rsid w:val="0031666C"/>
    <w:rsid w:val="00316714"/>
    <w:rsid w:val="00317103"/>
    <w:rsid w:val="00317370"/>
    <w:rsid w:val="00317D5B"/>
    <w:rsid w:val="00317FE8"/>
    <w:rsid w:val="0032051A"/>
    <w:rsid w:val="00320767"/>
    <w:rsid w:val="00320828"/>
    <w:rsid w:val="003219F4"/>
    <w:rsid w:val="00321A1A"/>
    <w:rsid w:val="003221A3"/>
    <w:rsid w:val="00322209"/>
    <w:rsid w:val="003223F8"/>
    <w:rsid w:val="003233F1"/>
    <w:rsid w:val="0032389C"/>
    <w:rsid w:val="00324052"/>
    <w:rsid w:val="00324353"/>
    <w:rsid w:val="00324C22"/>
    <w:rsid w:val="00324F9A"/>
    <w:rsid w:val="00325283"/>
    <w:rsid w:val="00331401"/>
    <w:rsid w:val="003315EC"/>
    <w:rsid w:val="00331633"/>
    <w:rsid w:val="0033174B"/>
    <w:rsid w:val="00331B2D"/>
    <w:rsid w:val="00331BF6"/>
    <w:rsid w:val="003323C6"/>
    <w:rsid w:val="00332C7F"/>
    <w:rsid w:val="00333AD8"/>
    <w:rsid w:val="00334403"/>
    <w:rsid w:val="00335489"/>
    <w:rsid w:val="00335D46"/>
    <w:rsid w:val="00335F6D"/>
    <w:rsid w:val="00336286"/>
    <w:rsid w:val="003370A8"/>
    <w:rsid w:val="003372C4"/>
    <w:rsid w:val="003372D2"/>
    <w:rsid w:val="003374B4"/>
    <w:rsid w:val="003379FE"/>
    <w:rsid w:val="00340145"/>
    <w:rsid w:val="003402EA"/>
    <w:rsid w:val="003403B3"/>
    <w:rsid w:val="003409EA"/>
    <w:rsid w:val="00340CF4"/>
    <w:rsid w:val="00340F12"/>
    <w:rsid w:val="00341902"/>
    <w:rsid w:val="0034349B"/>
    <w:rsid w:val="00344FD9"/>
    <w:rsid w:val="003452EC"/>
    <w:rsid w:val="00345CB7"/>
    <w:rsid w:val="003463C0"/>
    <w:rsid w:val="00346BCA"/>
    <w:rsid w:val="00346D95"/>
    <w:rsid w:val="00347505"/>
    <w:rsid w:val="00347937"/>
    <w:rsid w:val="0035061A"/>
    <w:rsid w:val="00350D44"/>
    <w:rsid w:val="003510E6"/>
    <w:rsid w:val="00351751"/>
    <w:rsid w:val="00351AE9"/>
    <w:rsid w:val="00351CC1"/>
    <w:rsid w:val="0035201C"/>
    <w:rsid w:val="0035314A"/>
    <w:rsid w:val="003532AC"/>
    <w:rsid w:val="003546A9"/>
    <w:rsid w:val="00355478"/>
    <w:rsid w:val="003556DC"/>
    <w:rsid w:val="003566F1"/>
    <w:rsid w:val="00357145"/>
    <w:rsid w:val="00360679"/>
    <w:rsid w:val="00361177"/>
    <w:rsid w:val="003612CB"/>
    <w:rsid w:val="00363518"/>
    <w:rsid w:val="00363698"/>
    <w:rsid w:val="003637BC"/>
    <w:rsid w:val="003638CF"/>
    <w:rsid w:val="00363FD3"/>
    <w:rsid w:val="00364DFD"/>
    <w:rsid w:val="00365BBC"/>
    <w:rsid w:val="00367BF8"/>
    <w:rsid w:val="00367E80"/>
    <w:rsid w:val="00370BD5"/>
    <w:rsid w:val="00371798"/>
    <w:rsid w:val="00372CC9"/>
    <w:rsid w:val="003730FE"/>
    <w:rsid w:val="003735FD"/>
    <w:rsid w:val="0037374F"/>
    <w:rsid w:val="00373BE0"/>
    <w:rsid w:val="003741CB"/>
    <w:rsid w:val="00374B0B"/>
    <w:rsid w:val="00374E64"/>
    <w:rsid w:val="00375457"/>
    <w:rsid w:val="003758E6"/>
    <w:rsid w:val="0037611B"/>
    <w:rsid w:val="003771C7"/>
    <w:rsid w:val="0037761F"/>
    <w:rsid w:val="00377F7C"/>
    <w:rsid w:val="003804EB"/>
    <w:rsid w:val="00380905"/>
    <w:rsid w:val="00380DF7"/>
    <w:rsid w:val="00381012"/>
    <w:rsid w:val="0038133A"/>
    <w:rsid w:val="0038218F"/>
    <w:rsid w:val="0038272A"/>
    <w:rsid w:val="0038354E"/>
    <w:rsid w:val="00383F68"/>
    <w:rsid w:val="00386558"/>
    <w:rsid w:val="003869BB"/>
    <w:rsid w:val="00386BC8"/>
    <w:rsid w:val="00390BC1"/>
    <w:rsid w:val="003910E7"/>
    <w:rsid w:val="00393421"/>
    <w:rsid w:val="00393B5E"/>
    <w:rsid w:val="00394060"/>
    <w:rsid w:val="003944A8"/>
    <w:rsid w:val="00394928"/>
    <w:rsid w:val="00395206"/>
    <w:rsid w:val="00397080"/>
    <w:rsid w:val="00397C91"/>
    <w:rsid w:val="00397EAA"/>
    <w:rsid w:val="00397FEB"/>
    <w:rsid w:val="003A0644"/>
    <w:rsid w:val="003A0A5B"/>
    <w:rsid w:val="003A0BB3"/>
    <w:rsid w:val="003A1598"/>
    <w:rsid w:val="003A3026"/>
    <w:rsid w:val="003A3C59"/>
    <w:rsid w:val="003A4A50"/>
    <w:rsid w:val="003A6618"/>
    <w:rsid w:val="003A6C3B"/>
    <w:rsid w:val="003B12D7"/>
    <w:rsid w:val="003B238B"/>
    <w:rsid w:val="003B2AB1"/>
    <w:rsid w:val="003B36CF"/>
    <w:rsid w:val="003B38A8"/>
    <w:rsid w:val="003B43A2"/>
    <w:rsid w:val="003B5685"/>
    <w:rsid w:val="003B64C9"/>
    <w:rsid w:val="003B68F4"/>
    <w:rsid w:val="003B759C"/>
    <w:rsid w:val="003C145E"/>
    <w:rsid w:val="003C2118"/>
    <w:rsid w:val="003C335C"/>
    <w:rsid w:val="003C3E88"/>
    <w:rsid w:val="003C44F4"/>
    <w:rsid w:val="003C4D4A"/>
    <w:rsid w:val="003C571B"/>
    <w:rsid w:val="003C58C4"/>
    <w:rsid w:val="003C6062"/>
    <w:rsid w:val="003C64EE"/>
    <w:rsid w:val="003C6F75"/>
    <w:rsid w:val="003C6F78"/>
    <w:rsid w:val="003C7A5C"/>
    <w:rsid w:val="003C7AC0"/>
    <w:rsid w:val="003D05EE"/>
    <w:rsid w:val="003D0A1C"/>
    <w:rsid w:val="003D2337"/>
    <w:rsid w:val="003D3BA5"/>
    <w:rsid w:val="003D499D"/>
    <w:rsid w:val="003D4CF0"/>
    <w:rsid w:val="003D555A"/>
    <w:rsid w:val="003D594D"/>
    <w:rsid w:val="003D6500"/>
    <w:rsid w:val="003D68B4"/>
    <w:rsid w:val="003D6A3E"/>
    <w:rsid w:val="003D6A81"/>
    <w:rsid w:val="003D776F"/>
    <w:rsid w:val="003E0147"/>
    <w:rsid w:val="003E02E7"/>
    <w:rsid w:val="003E0E29"/>
    <w:rsid w:val="003E2921"/>
    <w:rsid w:val="003E2E89"/>
    <w:rsid w:val="003E31AD"/>
    <w:rsid w:val="003E392E"/>
    <w:rsid w:val="003E432F"/>
    <w:rsid w:val="003E713A"/>
    <w:rsid w:val="003E7A69"/>
    <w:rsid w:val="003E7B39"/>
    <w:rsid w:val="003E7B76"/>
    <w:rsid w:val="003E7F46"/>
    <w:rsid w:val="003F0635"/>
    <w:rsid w:val="003F0D78"/>
    <w:rsid w:val="003F1149"/>
    <w:rsid w:val="003F21E6"/>
    <w:rsid w:val="003F275E"/>
    <w:rsid w:val="003F3363"/>
    <w:rsid w:val="003F58E2"/>
    <w:rsid w:val="003F5996"/>
    <w:rsid w:val="003F5EE2"/>
    <w:rsid w:val="003F6E36"/>
    <w:rsid w:val="00401308"/>
    <w:rsid w:val="0040150E"/>
    <w:rsid w:val="00402386"/>
    <w:rsid w:val="004026AD"/>
    <w:rsid w:val="00404735"/>
    <w:rsid w:val="0040498E"/>
    <w:rsid w:val="00404EDD"/>
    <w:rsid w:val="004066E8"/>
    <w:rsid w:val="00406B74"/>
    <w:rsid w:val="0041078F"/>
    <w:rsid w:val="00410D8E"/>
    <w:rsid w:val="0041526D"/>
    <w:rsid w:val="0041590D"/>
    <w:rsid w:val="00415E48"/>
    <w:rsid w:val="004166CD"/>
    <w:rsid w:val="00420810"/>
    <w:rsid w:val="00420BCD"/>
    <w:rsid w:val="00421015"/>
    <w:rsid w:val="004220FF"/>
    <w:rsid w:val="004227B9"/>
    <w:rsid w:val="0042296F"/>
    <w:rsid w:val="0042317C"/>
    <w:rsid w:val="004231E6"/>
    <w:rsid w:val="00423345"/>
    <w:rsid w:val="00423588"/>
    <w:rsid w:val="00424633"/>
    <w:rsid w:val="00424A47"/>
    <w:rsid w:val="00424C2D"/>
    <w:rsid w:val="004252C6"/>
    <w:rsid w:val="00426A28"/>
    <w:rsid w:val="00426A3D"/>
    <w:rsid w:val="00426A56"/>
    <w:rsid w:val="00426F0B"/>
    <w:rsid w:val="00427191"/>
    <w:rsid w:val="00427C2F"/>
    <w:rsid w:val="0043044C"/>
    <w:rsid w:val="00430524"/>
    <w:rsid w:val="004315D7"/>
    <w:rsid w:val="00431C1F"/>
    <w:rsid w:val="00431D47"/>
    <w:rsid w:val="004320C4"/>
    <w:rsid w:val="00432319"/>
    <w:rsid w:val="004326A1"/>
    <w:rsid w:val="00432A68"/>
    <w:rsid w:val="0043427D"/>
    <w:rsid w:val="004349EF"/>
    <w:rsid w:val="004362F3"/>
    <w:rsid w:val="004364F0"/>
    <w:rsid w:val="00437135"/>
    <w:rsid w:val="00437B61"/>
    <w:rsid w:val="00437C83"/>
    <w:rsid w:val="004409B7"/>
    <w:rsid w:val="00440F8D"/>
    <w:rsid w:val="0044119C"/>
    <w:rsid w:val="00441AF3"/>
    <w:rsid w:val="00441BCF"/>
    <w:rsid w:val="004420E6"/>
    <w:rsid w:val="0044224C"/>
    <w:rsid w:val="0044254A"/>
    <w:rsid w:val="0044308C"/>
    <w:rsid w:val="00444705"/>
    <w:rsid w:val="004453F6"/>
    <w:rsid w:val="0044580E"/>
    <w:rsid w:val="00445950"/>
    <w:rsid w:val="00447703"/>
    <w:rsid w:val="00450033"/>
    <w:rsid w:val="00451816"/>
    <w:rsid w:val="00452173"/>
    <w:rsid w:val="0045271B"/>
    <w:rsid w:val="00452A19"/>
    <w:rsid w:val="00453630"/>
    <w:rsid w:val="004538D0"/>
    <w:rsid w:val="00454695"/>
    <w:rsid w:val="00454A99"/>
    <w:rsid w:val="00455659"/>
    <w:rsid w:val="0045686F"/>
    <w:rsid w:val="00457506"/>
    <w:rsid w:val="004608FB"/>
    <w:rsid w:val="00460CCB"/>
    <w:rsid w:val="00462DC8"/>
    <w:rsid w:val="0046320F"/>
    <w:rsid w:val="004651E8"/>
    <w:rsid w:val="00465CF7"/>
    <w:rsid w:val="00465D41"/>
    <w:rsid w:val="00466E9E"/>
    <w:rsid w:val="004674E1"/>
    <w:rsid w:val="00467861"/>
    <w:rsid w:val="0046787A"/>
    <w:rsid w:val="00470487"/>
    <w:rsid w:val="004706EC"/>
    <w:rsid w:val="004719F8"/>
    <w:rsid w:val="00471BB1"/>
    <w:rsid w:val="00472A1B"/>
    <w:rsid w:val="00473FE5"/>
    <w:rsid w:val="0047490E"/>
    <w:rsid w:val="00474A93"/>
    <w:rsid w:val="0047530B"/>
    <w:rsid w:val="00476013"/>
    <w:rsid w:val="004810AB"/>
    <w:rsid w:val="00482F03"/>
    <w:rsid w:val="0048355E"/>
    <w:rsid w:val="004835B8"/>
    <w:rsid w:val="00483D42"/>
    <w:rsid w:val="0048470B"/>
    <w:rsid w:val="00484D46"/>
    <w:rsid w:val="00485CFC"/>
    <w:rsid w:val="00486723"/>
    <w:rsid w:val="00486A1D"/>
    <w:rsid w:val="004871EE"/>
    <w:rsid w:val="00490225"/>
    <w:rsid w:val="00490980"/>
    <w:rsid w:val="00491FC0"/>
    <w:rsid w:val="00491FC2"/>
    <w:rsid w:val="00492711"/>
    <w:rsid w:val="00492FD1"/>
    <w:rsid w:val="00492FE4"/>
    <w:rsid w:val="0049341A"/>
    <w:rsid w:val="00493B7D"/>
    <w:rsid w:val="00493C7A"/>
    <w:rsid w:val="004940F8"/>
    <w:rsid w:val="0049413C"/>
    <w:rsid w:val="00494773"/>
    <w:rsid w:val="00494890"/>
    <w:rsid w:val="00494AA1"/>
    <w:rsid w:val="00495DFB"/>
    <w:rsid w:val="0049630C"/>
    <w:rsid w:val="00496673"/>
    <w:rsid w:val="00496A3C"/>
    <w:rsid w:val="00496C63"/>
    <w:rsid w:val="00496C81"/>
    <w:rsid w:val="004A0BA2"/>
    <w:rsid w:val="004A0C83"/>
    <w:rsid w:val="004A0F7D"/>
    <w:rsid w:val="004A1485"/>
    <w:rsid w:val="004A171B"/>
    <w:rsid w:val="004A1816"/>
    <w:rsid w:val="004A2259"/>
    <w:rsid w:val="004A287B"/>
    <w:rsid w:val="004A2C50"/>
    <w:rsid w:val="004A3300"/>
    <w:rsid w:val="004A3C72"/>
    <w:rsid w:val="004A5512"/>
    <w:rsid w:val="004A6215"/>
    <w:rsid w:val="004A6670"/>
    <w:rsid w:val="004A75D5"/>
    <w:rsid w:val="004B071B"/>
    <w:rsid w:val="004B17C0"/>
    <w:rsid w:val="004B1BF7"/>
    <w:rsid w:val="004B34A2"/>
    <w:rsid w:val="004B40ED"/>
    <w:rsid w:val="004B4573"/>
    <w:rsid w:val="004B509E"/>
    <w:rsid w:val="004B5357"/>
    <w:rsid w:val="004B5437"/>
    <w:rsid w:val="004B5B8C"/>
    <w:rsid w:val="004B605A"/>
    <w:rsid w:val="004B75E7"/>
    <w:rsid w:val="004B78F4"/>
    <w:rsid w:val="004C0BF1"/>
    <w:rsid w:val="004C134C"/>
    <w:rsid w:val="004C1AB9"/>
    <w:rsid w:val="004C1AF6"/>
    <w:rsid w:val="004C201D"/>
    <w:rsid w:val="004C225A"/>
    <w:rsid w:val="004C279C"/>
    <w:rsid w:val="004C3C2C"/>
    <w:rsid w:val="004C5585"/>
    <w:rsid w:val="004C5B5C"/>
    <w:rsid w:val="004C65C8"/>
    <w:rsid w:val="004C75FD"/>
    <w:rsid w:val="004C7709"/>
    <w:rsid w:val="004D01ED"/>
    <w:rsid w:val="004D03F2"/>
    <w:rsid w:val="004D0718"/>
    <w:rsid w:val="004D0C4A"/>
    <w:rsid w:val="004D126D"/>
    <w:rsid w:val="004D154E"/>
    <w:rsid w:val="004D1F5F"/>
    <w:rsid w:val="004D2356"/>
    <w:rsid w:val="004D2872"/>
    <w:rsid w:val="004D336C"/>
    <w:rsid w:val="004D3DB4"/>
    <w:rsid w:val="004D3EEE"/>
    <w:rsid w:val="004D3F8E"/>
    <w:rsid w:val="004D548D"/>
    <w:rsid w:val="004D641D"/>
    <w:rsid w:val="004D704C"/>
    <w:rsid w:val="004D7AA0"/>
    <w:rsid w:val="004D7C23"/>
    <w:rsid w:val="004D7DBD"/>
    <w:rsid w:val="004E0AAE"/>
    <w:rsid w:val="004E0D58"/>
    <w:rsid w:val="004E0E1B"/>
    <w:rsid w:val="004E1B34"/>
    <w:rsid w:val="004E24D2"/>
    <w:rsid w:val="004E370E"/>
    <w:rsid w:val="004E38B3"/>
    <w:rsid w:val="004E6007"/>
    <w:rsid w:val="004E6977"/>
    <w:rsid w:val="004E7842"/>
    <w:rsid w:val="004F0220"/>
    <w:rsid w:val="004F07CE"/>
    <w:rsid w:val="004F117B"/>
    <w:rsid w:val="004F127E"/>
    <w:rsid w:val="004F1E0C"/>
    <w:rsid w:val="004F1E65"/>
    <w:rsid w:val="004F261F"/>
    <w:rsid w:val="004F4D8C"/>
    <w:rsid w:val="004F4DF0"/>
    <w:rsid w:val="004F5290"/>
    <w:rsid w:val="004F604A"/>
    <w:rsid w:val="004F632C"/>
    <w:rsid w:val="0050072D"/>
    <w:rsid w:val="00503B94"/>
    <w:rsid w:val="00504A8B"/>
    <w:rsid w:val="00506392"/>
    <w:rsid w:val="00506827"/>
    <w:rsid w:val="005068E0"/>
    <w:rsid w:val="00510866"/>
    <w:rsid w:val="005117CE"/>
    <w:rsid w:val="0051210F"/>
    <w:rsid w:val="0051216B"/>
    <w:rsid w:val="005124DF"/>
    <w:rsid w:val="005124EC"/>
    <w:rsid w:val="00512A76"/>
    <w:rsid w:val="005147DC"/>
    <w:rsid w:val="005159C1"/>
    <w:rsid w:val="00515A9A"/>
    <w:rsid w:val="005163F8"/>
    <w:rsid w:val="005175D6"/>
    <w:rsid w:val="00517701"/>
    <w:rsid w:val="00517890"/>
    <w:rsid w:val="00521A3B"/>
    <w:rsid w:val="005227CE"/>
    <w:rsid w:val="00523186"/>
    <w:rsid w:val="005231C4"/>
    <w:rsid w:val="00523674"/>
    <w:rsid w:val="0052456F"/>
    <w:rsid w:val="00524E26"/>
    <w:rsid w:val="005258C9"/>
    <w:rsid w:val="00526CA8"/>
    <w:rsid w:val="00526F58"/>
    <w:rsid w:val="005278C2"/>
    <w:rsid w:val="00527A93"/>
    <w:rsid w:val="00527F2D"/>
    <w:rsid w:val="00530AA5"/>
    <w:rsid w:val="00530E1A"/>
    <w:rsid w:val="00531331"/>
    <w:rsid w:val="005313C0"/>
    <w:rsid w:val="00531CF6"/>
    <w:rsid w:val="005348BD"/>
    <w:rsid w:val="00534CAA"/>
    <w:rsid w:val="00534FA3"/>
    <w:rsid w:val="005351D3"/>
    <w:rsid w:val="0053540E"/>
    <w:rsid w:val="00535844"/>
    <w:rsid w:val="00535AB4"/>
    <w:rsid w:val="00535DB3"/>
    <w:rsid w:val="00535FE9"/>
    <w:rsid w:val="0053697C"/>
    <w:rsid w:val="00536A27"/>
    <w:rsid w:val="00542296"/>
    <w:rsid w:val="005427C1"/>
    <w:rsid w:val="00542DFD"/>
    <w:rsid w:val="005431B4"/>
    <w:rsid w:val="005432DB"/>
    <w:rsid w:val="00543458"/>
    <w:rsid w:val="005436BD"/>
    <w:rsid w:val="0054384A"/>
    <w:rsid w:val="0054421B"/>
    <w:rsid w:val="00544F39"/>
    <w:rsid w:val="00546143"/>
    <w:rsid w:val="0054723B"/>
    <w:rsid w:val="00547475"/>
    <w:rsid w:val="005474E5"/>
    <w:rsid w:val="00547D6E"/>
    <w:rsid w:val="00551341"/>
    <w:rsid w:val="0055156D"/>
    <w:rsid w:val="00552FF8"/>
    <w:rsid w:val="005532CE"/>
    <w:rsid w:val="00554B08"/>
    <w:rsid w:val="00556301"/>
    <w:rsid w:val="00556825"/>
    <w:rsid w:val="00556CC8"/>
    <w:rsid w:val="0055725C"/>
    <w:rsid w:val="005572B2"/>
    <w:rsid w:val="00557B2D"/>
    <w:rsid w:val="005600CA"/>
    <w:rsid w:val="005607F6"/>
    <w:rsid w:val="0056115E"/>
    <w:rsid w:val="0056147D"/>
    <w:rsid w:val="0056159F"/>
    <w:rsid w:val="00561876"/>
    <w:rsid w:val="005621AD"/>
    <w:rsid w:val="005625C2"/>
    <w:rsid w:val="00564802"/>
    <w:rsid w:val="00564EB8"/>
    <w:rsid w:val="00565748"/>
    <w:rsid w:val="0056688C"/>
    <w:rsid w:val="00566D73"/>
    <w:rsid w:val="00570436"/>
    <w:rsid w:val="00570456"/>
    <w:rsid w:val="00571026"/>
    <w:rsid w:val="005715AA"/>
    <w:rsid w:val="00571BE5"/>
    <w:rsid w:val="0057252D"/>
    <w:rsid w:val="005725FD"/>
    <w:rsid w:val="0057260A"/>
    <w:rsid w:val="00572AF1"/>
    <w:rsid w:val="00572D42"/>
    <w:rsid w:val="005732FF"/>
    <w:rsid w:val="00573ABC"/>
    <w:rsid w:val="005749F8"/>
    <w:rsid w:val="00574F95"/>
    <w:rsid w:val="0057689B"/>
    <w:rsid w:val="005769C9"/>
    <w:rsid w:val="0058436F"/>
    <w:rsid w:val="0058536F"/>
    <w:rsid w:val="00586502"/>
    <w:rsid w:val="00586AD5"/>
    <w:rsid w:val="00586CA5"/>
    <w:rsid w:val="00590355"/>
    <w:rsid w:val="0059089D"/>
    <w:rsid w:val="00590EBF"/>
    <w:rsid w:val="0059101A"/>
    <w:rsid w:val="005912D8"/>
    <w:rsid w:val="00592213"/>
    <w:rsid w:val="00593421"/>
    <w:rsid w:val="00593E18"/>
    <w:rsid w:val="00594704"/>
    <w:rsid w:val="005951C3"/>
    <w:rsid w:val="00595FA8"/>
    <w:rsid w:val="005963A1"/>
    <w:rsid w:val="00597CAF"/>
    <w:rsid w:val="005A035F"/>
    <w:rsid w:val="005A0A75"/>
    <w:rsid w:val="005A1160"/>
    <w:rsid w:val="005A117C"/>
    <w:rsid w:val="005A3467"/>
    <w:rsid w:val="005A3482"/>
    <w:rsid w:val="005A3495"/>
    <w:rsid w:val="005A409C"/>
    <w:rsid w:val="005A4114"/>
    <w:rsid w:val="005A4BEE"/>
    <w:rsid w:val="005A4C19"/>
    <w:rsid w:val="005A51F3"/>
    <w:rsid w:val="005A5372"/>
    <w:rsid w:val="005A66CD"/>
    <w:rsid w:val="005A66F9"/>
    <w:rsid w:val="005A6B8E"/>
    <w:rsid w:val="005B0466"/>
    <w:rsid w:val="005B0C5A"/>
    <w:rsid w:val="005B1919"/>
    <w:rsid w:val="005B1AD8"/>
    <w:rsid w:val="005B28D9"/>
    <w:rsid w:val="005B3144"/>
    <w:rsid w:val="005B31FB"/>
    <w:rsid w:val="005B3946"/>
    <w:rsid w:val="005B3A6D"/>
    <w:rsid w:val="005B430D"/>
    <w:rsid w:val="005B44C1"/>
    <w:rsid w:val="005B4614"/>
    <w:rsid w:val="005B4B59"/>
    <w:rsid w:val="005B4BF5"/>
    <w:rsid w:val="005B4E1E"/>
    <w:rsid w:val="005B506A"/>
    <w:rsid w:val="005B58F0"/>
    <w:rsid w:val="005B598A"/>
    <w:rsid w:val="005B61FF"/>
    <w:rsid w:val="005B6F24"/>
    <w:rsid w:val="005B7986"/>
    <w:rsid w:val="005B7992"/>
    <w:rsid w:val="005B7A12"/>
    <w:rsid w:val="005B7B21"/>
    <w:rsid w:val="005C01ED"/>
    <w:rsid w:val="005C0774"/>
    <w:rsid w:val="005C1BC9"/>
    <w:rsid w:val="005C1D36"/>
    <w:rsid w:val="005C2703"/>
    <w:rsid w:val="005C2AE3"/>
    <w:rsid w:val="005C32D3"/>
    <w:rsid w:val="005C33B6"/>
    <w:rsid w:val="005C391E"/>
    <w:rsid w:val="005C413F"/>
    <w:rsid w:val="005C4A4E"/>
    <w:rsid w:val="005C4D18"/>
    <w:rsid w:val="005C634A"/>
    <w:rsid w:val="005C6D11"/>
    <w:rsid w:val="005C779D"/>
    <w:rsid w:val="005C7F98"/>
    <w:rsid w:val="005D043F"/>
    <w:rsid w:val="005D064D"/>
    <w:rsid w:val="005D0E84"/>
    <w:rsid w:val="005D1271"/>
    <w:rsid w:val="005D156A"/>
    <w:rsid w:val="005D16B6"/>
    <w:rsid w:val="005D254D"/>
    <w:rsid w:val="005D3A15"/>
    <w:rsid w:val="005D3F23"/>
    <w:rsid w:val="005D4BD2"/>
    <w:rsid w:val="005D5460"/>
    <w:rsid w:val="005D5B0A"/>
    <w:rsid w:val="005D6CAC"/>
    <w:rsid w:val="005E08E1"/>
    <w:rsid w:val="005E11EA"/>
    <w:rsid w:val="005E11FB"/>
    <w:rsid w:val="005E1789"/>
    <w:rsid w:val="005E2BA2"/>
    <w:rsid w:val="005E30DD"/>
    <w:rsid w:val="005E3647"/>
    <w:rsid w:val="005E37EB"/>
    <w:rsid w:val="005E41EB"/>
    <w:rsid w:val="005E4B66"/>
    <w:rsid w:val="005E4D65"/>
    <w:rsid w:val="005E5335"/>
    <w:rsid w:val="005E5555"/>
    <w:rsid w:val="005E5CC1"/>
    <w:rsid w:val="005E6692"/>
    <w:rsid w:val="005F18C0"/>
    <w:rsid w:val="005F21AF"/>
    <w:rsid w:val="005F298C"/>
    <w:rsid w:val="005F4E0A"/>
    <w:rsid w:val="005F54DC"/>
    <w:rsid w:val="005F5AEF"/>
    <w:rsid w:val="005F608E"/>
    <w:rsid w:val="005F78A2"/>
    <w:rsid w:val="006032AD"/>
    <w:rsid w:val="00603E4B"/>
    <w:rsid w:val="0060414F"/>
    <w:rsid w:val="00604275"/>
    <w:rsid w:val="00604604"/>
    <w:rsid w:val="006052B1"/>
    <w:rsid w:val="006057C8"/>
    <w:rsid w:val="006076AC"/>
    <w:rsid w:val="006101EC"/>
    <w:rsid w:val="0061026B"/>
    <w:rsid w:val="00610289"/>
    <w:rsid w:val="0061163D"/>
    <w:rsid w:val="00612017"/>
    <w:rsid w:val="00613104"/>
    <w:rsid w:val="00613339"/>
    <w:rsid w:val="00613638"/>
    <w:rsid w:val="0061451C"/>
    <w:rsid w:val="00614901"/>
    <w:rsid w:val="00615153"/>
    <w:rsid w:val="0061544E"/>
    <w:rsid w:val="00615F62"/>
    <w:rsid w:val="00616672"/>
    <w:rsid w:val="00616A34"/>
    <w:rsid w:val="00616CCC"/>
    <w:rsid w:val="00616D9E"/>
    <w:rsid w:val="00617633"/>
    <w:rsid w:val="00617B1F"/>
    <w:rsid w:val="00617B2E"/>
    <w:rsid w:val="00620762"/>
    <w:rsid w:val="0062202B"/>
    <w:rsid w:val="00622343"/>
    <w:rsid w:val="006231A7"/>
    <w:rsid w:val="006231E2"/>
    <w:rsid w:val="006233B1"/>
    <w:rsid w:val="00624314"/>
    <w:rsid w:val="00624874"/>
    <w:rsid w:val="00624891"/>
    <w:rsid w:val="00624EA0"/>
    <w:rsid w:val="006250F0"/>
    <w:rsid w:val="00625130"/>
    <w:rsid w:val="00627CBC"/>
    <w:rsid w:val="00630369"/>
    <w:rsid w:val="00630FB8"/>
    <w:rsid w:val="00631226"/>
    <w:rsid w:val="00631FF3"/>
    <w:rsid w:val="006326CC"/>
    <w:rsid w:val="00634652"/>
    <w:rsid w:val="006357B6"/>
    <w:rsid w:val="00636121"/>
    <w:rsid w:val="006365BC"/>
    <w:rsid w:val="00637084"/>
    <w:rsid w:val="00637300"/>
    <w:rsid w:val="00637705"/>
    <w:rsid w:val="00640B57"/>
    <w:rsid w:val="006411AD"/>
    <w:rsid w:val="00641E26"/>
    <w:rsid w:val="00643785"/>
    <w:rsid w:val="006442D5"/>
    <w:rsid w:val="00644DD3"/>
    <w:rsid w:val="00645515"/>
    <w:rsid w:val="00645553"/>
    <w:rsid w:val="006455A3"/>
    <w:rsid w:val="00646216"/>
    <w:rsid w:val="00646558"/>
    <w:rsid w:val="00646F3B"/>
    <w:rsid w:val="00647532"/>
    <w:rsid w:val="006477EC"/>
    <w:rsid w:val="00647C99"/>
    <w:rsid w:val="00650274"/>
    <w:rsid w:val="00650DAB"/>
    <w:rsid w:val="00650F90"/>
    <w:rsid w:val="00651220"/>
    <w:rsid w:val="0065150D"/>
    <w:rsid w:val="0065162A"/>
    <w:rsid w:val="00652000"/>
    <w:rsid w:val="006520ED"/>
    <w:rsid w:val="00653C9F"/>
    <w:rsid w:val="0065440E"/>
    <w:rsid w:val="00654905"/>
    <w:rsid w:val="0065504E"/>
    <w:rsid w:val="0065586C"/>
    <w:rsid w:val="00655CB8"/>
    <w:rsid w:val="00655F73"/>
    <w:rsid w:val="00660C3E"/>
    <w:rsid w:val="0066123A"/>
    <w:rsid w:val="00661366"/>
    <w:rsid w:val="0066158B"/>
    <w:rsid w:val="00661FF9"/>
    <w:rsid w:val="00662401"/>
    <w:rsid w:val="00662727"/>
    <w:rsid w:val="00662A9B"/>
    <w:rsid w:val="0066423F"/>
    <w:rsid w:val="00664693"/>
    <w:rsid w:val="00665771"/>
    <w:rsid w:val="00665B55"/>
    <w:rsid w:val="00665D4A"/>
    <w:rsid w:val="00666D93"/>
    <w:rsid w:val="006676ED"/>
    <w:rsid w:val="00667B2B"/>
    <w:rsid w:val="00667D22"/>
    <w:rsid w:val="00667E77"/>
    <w:rsid w:val="00667FC4"/>
    <w:rsid w:val="0067012D"/>
    <w:rsid w:val="00670391"/>
    <w:rsid w:val="00670C60"/>
    <w:rsid w:val="00671515"/>
    <w:rsid w:val="00671A29"/>
    <w:rsid w:val="0067456C"/>
    <w:rsid w:val="00674747"/>
    <w:rsid w:val="0067502E"/>
    <w:rsid w:val="0067555D"/>
    <w:rsid w:val="00675C40"/>
    <w:rsid w:val="006763D5"/>
    <w:rsid w:val="006766A2"/>
    <w:rsid w:val="006767C0"/>
    <w:rsid w:val="00677936"/>
    <w:rsid w:val="00677A1D"/>
    <w:rsid w:val="00677E7A"/>
    <w:rsid w:val="0068002D"/>
    <w:rsid w:val="0068112D"/>
    <w:rsid w:val="0068191A"/>
    <w:rsid w:val="00682853"/>
    <w:rsid w:val="00682A6B"/>
    <w:rsid w:val="00683320"/>
    <w:rsid w:val="00683601"/>
    <w:rsid w:val="00683823"/>
    <w:rsid w:val="00684291"/>
    <w:rsid w:val="00684A08"/>
    <w:rsid w:val="00685A2C"/>
    <w:rsid w:val="0068615A"/>
    <w:rsid w:val="00687845"/>
    <w:rsid w:val="00687B23"/>
    <w:rsid w:val="0069126D"/>
    <w:rsid w:val="00693967"/>
    <w:rsid w:val="00693FBF"/>
    <w:rsid w:val="00694B94"/>
    <w:rsid w:val="006950DD"/>
    <w:rsid w:val="0069630A"/>
    <w:rsid w:val="00696823"/>
    <w:rsid w:val="006A0435"/>
    <w:rsid w:val="006A155A"/>
    <w:rsid w:val="006A187B"/>
    <w:rsid w:val="006A215F"/>
    <w:rsid w:val="006A29BC"/>
    <w:rsid w:val="006A2F52"/>
    <w:rsid w:val="006A3638"/>
    <w:rsid w:val="006A3B77"/>
    <w:rsid w:val="006A3E49"/>
    <w:rsid w:val="006A4476"/>
    <w:rsid w:val="006A5401"/>
    <w:rsid w:val="006A68CE"/>
    <w:rsid w:val="006A703E"/>
    <w:rsid w:val="006B019F"/>
    <w:rsid w:val="006B04B7"/>
    <w:rsid w:val="006B0603"/>
    <w:rsid w:val="006B0627"/>
    <w:rsid w:val="006B152E"/>
    <w:rsid w:val="006B28F2"/>
    <w:rsid w:val="006B3306"/>
    <w:rsid w:val="006B417C"/>
    <w:rsid w:val="006B65C8"/>
    <w:rsid w:val="006B682B"/>
    <w:rsid w:val="006B6867"/>
    <w:rsid w:val="006B7139"/>
    <w:rsid w:val="006B781C"/>
    <w:rsid w:val="006B7AB7"/>
    <w:rsid w:val="006B7B40"/>
    <w:rsid w:val="006B7B91"/>
    <w:rsid w:val="006C0091"/>
    <w:rsid w:val="006C0388"/>
    <w:rsid w:val="006C0D60"/>
    <w:rsid w:val="006C0F10"/>
    <w:rsid w:val="006C1301"/>
    <w:rsid w:val="006C13B7"/>
    <w:rsid w:val="006C2F48"/>
    <w:rsid w:val="006C3258"/>
    <w:rsid w:val="006C3A86"/>
    <w:rsid w:val="006C57DC"/>
    <w:rsid w:val="006C5AF4"/>
    <w:rsid w:val="006C5B8E"/>
    <w:rsid w:val="006C637C"/>
    <w:rsid w:val="006C6C15"/>
    <w:rsid w:val="006C7588"/>
    <w:rsid w:val="006C7826"/>
    <w:rsid w:val="006D00BA"/>
    <w:rsid w:val="006D0B04"/>
    <w:rsid w:val="006D0CAA"/>
    <w:rsid w:val="006D0E7D"/>
    <w:rsid w:val="006D38CE"/>
    <w:rsid w:val="006D4665"/>
    <w:rsid w:val="006D4AA4"/>
    <w:rsid w:val="006D5287"/>
    <w:rsid w:val="006D6602"/>
    <w:rsid w:val="006D6A5D"/>
    <w:rsid w:val="006D6CB4"/>
    <w:rsid w:val="006D7519"/>
    <w:rsid w:val="006D7822"/>
    <w:rsid w:val="006D79AE"/>
    <w:rsid w:val="006E06F0"/>
    <w:rsid w:val="006E0A46"/>
    <w:rsid w:val="006E2BC8"/>
    <w:rsid w:val="006E33A2"/>
    <w:rsid w:val="006E3F95"/>
    <w:rsid w:val="006E40E2"/>
    <w:rsid w:val="006E4DBF"/>
    <w:rsid w:val="006E6050"/>
    <w:rsid w:val="006E643B"/>
    <w:rsid w:val="006E7983"/>
    <w:rsid w:val="006E7CA8"/>
    <w:rsid w:val="006F19F5"/>
    <w:rsid w:val="006F1F74"/>
    <w:rsid w:val="006F28F3"/>
    <w:rsid w:val="006F2C99"/>
    <w:rsid w:val="006F34A2"/>
    <w:rsid w:val="006F4164"/>
    <w:rsid w:val="006F4233"/>
    <w:rsid w:val="006F463D"/>
    <w:rsid w:val="006F4889"/>
    <w:rsid w:val="006F4EE3"/>
    <w:rsid w:val="006F5072"/>
    <w:rsid w:val="006F6229"/>
    <w:rsid w:val="006F7279"/>
    <w:rsid w:val="006F76E0"/>
    <w:rsid w:val="006F7B1A"/>
    <w:rsid w:val="006F7E03"/>
    <w:rsid w:val="0070074C"/>
    <w:rsid w:val="00701B6B"/>
    <w:rsid w:val="007022FF"/>
    <w:rsid w:val="00702980"/>
    <w:rsid w:val="007036EB"/>
    <w:rsid w:val="00703B7D"/>
    <w:rsid w:val="0070490B"/>
    <w:rsid w:val="0070594A"/>
    <w:rsid w:val="00705C44"/>
    <w:rsid w:val="00705DE1"/>
    <w:rsid w:val="007077F6"/>
    <w:rsid w:val="00707946"/>
    <w:rsid w:val="00707947"/>
    <w:rsid w:val="00707E56"/>
    <w:rsid w:val="00707EB0"/>
    <w:rsid w:val="0071047F"/>
    <w:rsid w:val="00710C13"/>
    <w:rsid w:val="00711D96"/>
    <w:rsid w:val="00711F34"/>
    <w:rsid w:val="0071213D"/>
    <w:rsid w:val="00712543"/>
    <w:rsid w:val="007126B2"/>
    <w:rsid w:val="00712855"/>
    <w:rsid w:val="00712C27"/>
    <w:rsid w:val="007130E8"/>
    <w:rsid w:val="00714034"/>
    <w:rsid w:val="00715A75"/>
    <w:rsid w:val="0071682A"/>
    <w:rsid w:val="007170E2"/>
    <w:rsid w:val="007172B1"/>
    <w:rsid w:val="007201AC"/>
    <w:rsid w:val="0072103E"/>
    <w:rsid w:val="00721A2C"/>
    <w:rsid w:val="00721F1C"/>
    <w:rsid w:val="0072293A"/>
    <w:rsid w:val="007236B3"/>
    <w:rsid w:val="007242E4"/>
    <w:rsid w:val="00724C97"/>
    <w:rsid w:val="00724F02"/>
    <w:rsid w:val="007260D7"/>
    <w:rsid w:val="007262FE"/>
    <w:rsid w:val="007267E7"/>
    <w:rsid w:val="00726A47"/>
    <w:rsid w:val="0072720C"/>
    <w:rsid w:val="0072741A"/>
    <w:rsid w:val="0072759D"/>
    <w:rsid w:val="007300E6"/>
    <w:rsid w:val="0073138D"/>
    <w:rsid w:val="007314EB"/>
    <w:rsid w:val="00731ABB"/>
    <w:rsid w:val="00731AC4"/>
    <w:rsid w:val="00731CC3"/>
    <w:rsid w:val="00731CCB"/>
    <w:rsid w:val="00732F0E"/>
    <w:rsid w:val="00733A8C"/>
    <w:rsid w:val="00735026"/>
    <w:rsid w:val="00735AFA"/>
    <w:rsid w:val="00736BAB"/>
    <w:rsid w:val="00736C1E"/>
    <w:rsid w:val="007371AE"/>
    <w:rsid w:val="0073783A"/>
    <w:rsid w:val="0074086D"/>
    <w:rsid w:val="007417B6"/>
    <w:rsid w:val="00742627"/>
    <w:rsid w:val="0074349F"/>
    <w:rsid w:val="0074472F"/>
    <w:rsid w:val="00745229"/>
    <w:rsid w:val="00745BD0"/>
    <w:rsid w:val="00747001"/>
    <w:rsid w:val="00747E97"/>
    <w:rsid w:val="00751345"/>
    <w:rsid w:val="00751C78"/>
    <w:rsid w:val="00751CF4"/>
    <w:rsid w:val="00752237"/>
    <w:rsid w:val="0075246A"/>
    <w:rsid w:val="00752AF9"/>
    <w:rsid w:val="00752BD4"/>
    <w:rsid w:val="00753363"/>
    <w:rsid w:val="007535FF"/>
    <w:rsid w:val="00753EC3"/>
    <w:rsid w:val="0075437E"/>
    <w:rsid w:val="0075481C"/>
    <w:rsid w:val="00755784"/>
    <w:rsid w:val="0075581A"/>
    <w:rsid w:val="00756414"/>
    <w:rsid w:val="00756B27"/>
    <w:rsid w:val="007570A1"/>
    <w:rsid w:val="00757247"/>
    <w:rsid w:val="00757348"/>
    <w:rsid w:val="007574EB"/>
    <w:rsid w:val="00757640"/>
    <w:rsid w:val="00757ADD"/>
    <w:rsid w:val="00760330"/>
    <w:rsid w:val="00760361"/>
    <w:rsid w:val="00760882"/>
    <w:rsid w:val="00760D99"/>
    <w:rsid w:val="00761409"/>
    <w:rsid w:val="00761DF2"/>
    <w:rsid w:val="007620D2"/>
    <w:rsid w:val="00762CD6"/>
    <w:rsid w:val="00764629"/>
    <w:rsid w:val="00765A30"/>
    <w:rsid w:val="007666A5"/>
    <w:rsid w:val="00766E1D"/>
    <w:rsid w:val="0076763C"/>
    <w:rsid w:val="00770DE1"/>
    <w:rsid w:val="00770DF1"/>
    <w:rsid w:val="00771D77"/>
    <w:rsid w:val="007722EB"/>
    <w:rsid w:val="007733DA"/>
    <w:rsid w:val="007742C4"/>
    <w:rsid w:val="007749F5"/>
    <w:rsid w:val="00774E52"/>
    <w:rsid w:val="007764A0"/>
    <w:rsid w:val="00776D7C"/>
    <w:rsid w:val="0077780E"/>
    <w:rsid w:val="00777A75"/>
    <w:rsid w:val="007802CF"/>
    <w:rsid w:val="00780D6F"/>
    <w:rsid w:val="007811E1"/>
    <w:rsid w:val="007813D7"/>
    <w:rsid w:val="00781602"/>
    <w:rsid w:val="0078174D"/>
    <w:rsid w:val="00781D07"/>
    <w:rsid w:val="00782729"/>
    <w:rsid w:val="00782BA6"/>
    <w:rsid w:val="007831C0"/>
    <w:rsid w:val="007838FD"/>
    <w:rsid w:val="007842A2"/>
    <w:rsid w:val="00784A55"/>
    <w:rsid w:val="00784C58"/>
    <w:rsid w:val="007852B8"/>
    <w:rsid w:val="00785DE6"/>
    <w:rsid w:val="00786555"/>
    <w:rsid w:val="00786B1B"/>
    <w:rsid w:val="007873C5"/>
    <w:rsid w:val="0078772C"/>
    <w:rsid w:val="007905E6"/>
    <w:rsid w:val="00791FED"/>
    <w:rsid w:val="007920F7"/>
    <w:rsid w:val="00792959"/>
    <w:rsid w:val="0079317A"/>
    <w:rsid w:val="007946EE"/>
    <w:rsid w:val="00794CC9"/>
    <w:rsid w:val="00795958"/>
    <w:rsid w:val="00795DB6"/>
    <w:rsid w:val="007974F5"/>
    <w:rsid w:val="00797CFC"/>
    <w:rsid w:val="00797D49"/>
    <w:rsid w:val="007A087C"/>
    <w:rsid w:val="007A12C9"/>
    <w:rsid w:val="007A1F3F"/>
    <w:rsid w:val="007A2140"/>
    <w:rsid w:val="007A2150"/>
    <w:rsid w:val="007A25EE"/>
    <w:rsid w:val="007A3245"/>
    <w:rsid w:val="007A3311"/>
    <w:rsid w:val="007A4537"/>
    <w:rsid w:val="007A4E6E"/>
    <w:rsid w:val="007A60C1"/>
    <w:rsid w:val="007A70A0"/>
    <w:rsid w:val="007A7CF5"/>
    <w:rsid w:val="007A7D4F"/>
    <w:rsid w:val="007B0ACF"/>
    <w:rsid w:val="007B1948"/>
    <w:rsid w:val="007B25D9"/>
    <w:rsid w:val="007B30CC"/>
    <w:rsid w:val="007B35F6"/>
    <w:rsid w:val="007B36DC"/>
    <w:rsid w:val="007B4210"/>
    <w:rsid w:val="007B4737"/>
    <w:rsid w:val="007B48B4"/>
    <w:rsid w:val="007B5188"/>
    <w:rsid w:val="007B6247"/>
    <w:rsid w:val="007B6798"/>
    <w:rsid w:val="007B7884"/>
    <w:rsid w:val="007C0B35"/>
    <w:rsid w:val="007C0DC8"/>
    <w:rsid w:val="007C1048"/>
    <w:rsid w:val="007C1239"/>
    <w:rsid w:val="007C3984"/>
    <w:rsid w:val="007C39D5"/>
    <w:rsid w:val="007C3AD0"/>
    <w:rsid w:val="007C3CCB"/>
    <w:rsid w:val="007C3DEB"/>
    <w:rsid w:val="007C42C2"/>
    <w:rsid w:val="007C4ED3"/>
    <w:rsid w:val="007C5584"/>
    <w:rsid w:val="007C67BD"/>
    <w:rsid w:val="007C6E1D"/>
    <w:rsid w:val="007C7537"/>
    <w:rsid w:val="007D0465"/>
    <w:rsid w:val="007D120D"/>
    <w:rsid w:val="007D1772"/>
    <w:rsid w:val="007D2943"/>
    <w:rsid w:val="007D3810"/>
    <w:rsid w:val="007D4288"/>
    <w:rsid w:val="007D45A9"/>
    <w:rsid w:val="007D49F1"/>
    <w:rsid w:val="007D526C"/>
    <w:rsid w:val="007D5292"/>
    <w:rsid w:val="007D54A8"/>
    <w:rsid w:val="007D6340"/>
    <w:rsid w:val="007D6895"/>
    <w:rsid w:val="007D7444"/>
    <w:rsid w:val="007E0D58"/>
    <w:rsid w:val="007E1A41"/>
    <w:rsid w:val="007E1A80"/>
    <w:rsid w:val="007E3B59"/>
    <w:rsid w:val="007E3F7B"/>
    <w:rsid w:val="007E5A7E"/>
    <w:rsid w:val="007E6294"/>
    <w:rsid w:val="007E6A60"/>
    <w:rsid w:val="007E76C5"/>
    <w:rsid w:val="007E7F6F"/>
    <w:rsid w:val="007F0688"/>
    <w:rsid w:val="007F0E08"/>
    <w:rsid w:val="007F139A"/>
    <w:rsid w:val="007F1A4D"/>
    <w:rsid w:val="007F1A50"/>
    <w:rsid w:val="007F238A"/>
    <w:rsid w:val="007F24C8"/>
    <w:rsid w:val="007F2F89"/>
    <w:rsid w:val="007F32E0"/>
    <w:rsid w:val="007F35CC"/>
    <w:rsid w:val="007F3A9A"/>
    <w:rsid w:val="007F5525"/>
    <w:rsid w:val="007F5C48"/>
    <w:rsid w:val="007F62E7"/>
    <w:rsid w:val="007F6854"/>
    <w:rsid w:val="008005C8"/>
    <w:rsid w:val="00801B22"/>
    <w:rsid w:val="00802140"/>
    <w:rsid w:val="008022CC"/>
    <w:rsid w:val="008041C6"/>
    <w:rsid w:val="00804371"/>
    <w:rsid w:val="00804908"/>
    <w:rsid w:val="00806587"/>
    <w:rsid w:val="0080661B"/>
    <w:rsid w:val="00807334"/>
    <w:rsid w:val="00811159"/>
    <w:rsid w:val="0081195B"/>
    <w:rsid w:val="00811E30"/>
    <w:rsid w:val="00812641"/>
    <w:rsid w:val="00812B3F"/>
    <w:rsid w:val="00814145"/>
    <w:rsid w:val="00814696"/>
    <w:rsid w:val="008147D3"/>
    <w:rsid w:val="00814C87"/>
    <w:rsid w:val="00815B1C"/>
    <w:rsid w:val="00816004"/>
    <w:rsid w:val="00816C8D"/>
    <w:rsid w:val="00817C75"/>
    <w:rsid w:val="00820471"/>
    <w:rsid w:val="008211AB"/>
    <w:rsid w:val="008227BD"/>
    <w:rsid w:val="00823D48"/>
    <w:rsid w:val="008242F8"/>
    <w:rsid w:val="0083017D"/>
    <w:rsid w:val="00831154"/>
    <w:rsid w:val="008313CA"/>
    <w:rsid w:val="00832868"/>
    <w:rsid w:val="00832C52"/>
    <w:rsid w:val="00833BF0"/>
    <w:rsid w:val="00835014"/>
    <w:rsid w:val="0083790E"/>
    <w:rsid w:val="00840294"/>
    <w:rsid w:val="0084078A"/>
    <w:rsid w:val="00840963"/>
    <w:rsid w:val="00840E17"/>
    <w:rsid w:val="00840E6B"/>
    <w:rsid w:val="0084151D"/>
    <w:rsid w:val="008419F7"/>
    <w:rsid w:val="00842E8F"/>
    <w:rsid w:val="008431A6"/>
    <w:rsid w:val="00843308"/>
    <w:rsid w:val="0084413A"/>
    <w:rsid w:val="00844264"/>
    <w:rsid w:val="008443E4"/>
    <w:rsid w:val="00844F8D"/>
    <w:rsid w:val="00846044"/>
    <w:rsid w:val="00847333"/>
    <w:rsid w:val="00847FCB"/>
    <w:rsid w:val="008523CC"/>
    <w:rsid w:val="0085285A"/>
    <w:rsid w:val="008530B4"/>
    <w:rsid w:val="008535C1"/>
    <w:rsid w:val="008535CD"/>
    <w:rsid w:val="008538D8"/>
    <w:rsid w:val="00853C77"/>
    <w:rsid w:val="00855323"/>
    <w:rsid w:val="0085557C"/>
    <w:rsid w:val="008563F4"/>
    <w:rsid w:val="008572FB"/>
    <w:rsid w:val="00857767"/>
    <w:rsid w:val="00857E7D"/>
    <w:rsid w:val="00860292"/>
    <w:rsid w:val="00860E95"/>
    <w:rsid w:val="00861655"/>
    <w:rsid w:val="00861866"/>
    <w:rsid w:val="00861C86"/>
    <w:rsid w:val="008622AC"/>
    <w:rsid w:val="00863F73"/>
    <w:rsid w:val="0086448C"/>
    <w:rsid w:val="008654BD"/>
    <w:rsid w:val="00865E5B"/>
    <w:rsid w:val="008660D7"/>
    <w:rsid w:val="008667C8"/>
    <w:rsid w:val="00866845"/>
    <w:rsid w:val="00866C75"/>
    <w:rsid w:val="0086753E"/>
    <w:rsid w:val="00867F7D"/>
    <w:rsid w:val="00870EB5"/>
    <w:rsid w:val="00871000"/>
    <w:rsid w:val="00871146"/>
    <w:rsid w:val="008713D3"/>
    <w:rsid w:val="00871DEF"/>
    <w:rsid w:val="008728EC"/>
    <w:rsid w:val="008730E5"/>
    <w:rsid w:val="00873954"/>
    <w:rsid w:val="00875102"/>
    <w:rsid w:val="00875799"/>
    <w:rsid w:val="00875B95"/>
    <w:rsid w:val="00875E4D"/>
    <w:rsid w:val="0087654B"/>
    <w:rsid w:val="00880A7F"/>
    <w:rsid w:val="00880AB4"/>
    <w:rsid w:val="00880EA4"/>
    <w:rsid w:val="00881428"/>
    <w:rsid w:val="00881592"/>
    <w:rsid w:val="00881650"/>
    <w:rsid w:val="00881777"/>
    <w:rsid w:val="008839A6"/>
    <w:rsid w:val="00883CDE"/>
    <w:rsid w:val="00883F92"/>
    <w:rsid w:val="00883FC1"/>
    <w:rsid w:val="00884583"/>
    <w:rsid w:val="00884BDE"/>
    <w:rsid w:val="008852E1"/>
    <w:rsid w:val="00885F5A"/>
    <w:rsid w:val="0088665B"/>
    <w:rsid w:val="00892CFF"/>
    <w:rsid w:val="00894590"/>
    <w:rsid w:val="00895D91"/>
    <w:rsid w:val="008963FF"/>
    <w:rsid w:val="00896817"/>
    <w:rsid w:val="008968CF"/>
    <w:rsid w:val="00896C99"/>
    <w:rsid w:val="00896CE1"/>
    <w:rsid w:val="00897193"/>
    <w:rsid w:val="008974B8"/>
    <w:rsid w:val="008A292F"/>
    <w:rsid w:val="008A2B75"/>
    <w:rsid w:val="008A2CB8"/>
    <w:rsid w:val="008A3118"/>
    <w:rsid w:val="008A34B2"/>
    <w:rsid w:val="008A3F58"/>
    <w:rsid w:val="008A5BD1"/>
    <w:rsid w:val="008A7925"/>
    <w:rsid w:val="008A7CFD"/>
    <w:rsid w:val="008B0035"/>
    <w:rsid w:val="008B1084"/>
    <w:rsid w:val="008B1663"/>
    <w:rsid w:val="008B1F30"/>
    <w:rsid w:val="008B219E"/>
    <w:rsid w:val="008B304E"/>
    <w:rsid w:val="008B3449"/>
    <w:rsid w:val="008B4182"/>
    <w:rsid w:val="008B42AE"/>
    <w:rsid w:val="008B537B"/>
    <w:rsid w:val="008B56BE"/>
    <w:rsid w:val="008B5B02"/>
    <w:rsid w:val="008B7182"/>
    <w:rsid w:val="008B7D5E"/>
    <w:rsid w:val="008C0517"/>
    <w:rsid w:val="008C060B"/>
    <w:rsid w:val="008C084E"/>
    <w:rsid w:val="008C09BA"/>
    <w:rsid w:val="008C09D5"/>
    <w:rsid w:val="008C09FB"/>
    <w:rsid w:val="008C116B"/>
    <w:rsid w:val="008C1281"/>
    <w:rsid w:val="008C1FC7"/>
    <w:rsid w:val="008C220A"/>
    <w:rsid w:val="008C29C2"/>
    <w:rsid w:val="008C3E77"/>
    <w:rsid w:val="008C420D"/>
    <w:rsid w:val="008C535E"/>
    <w:rsid w:val="008C5BA6"/>
    <w:rsid w:val="008C6E3E"/>
    <w:rsid w:val="008D0577"/>
    <w:rsid w:val="008D0664"/>
    <w:rsid w:val="008D12A4"/>
    <w:rsid w:val="008D13C6"/>
    <w:rsid w:val="008D1D6F"/>
    <w:rsid w:val="008D2DB4"/>
    <w:rsid w:val="008D2E1F"/>
    <w:rsid w:val="008D310B"/>
    <w:rsid w:val="008D34BC"/>
    <w:rsid w:val="008D39A4"/>
    <w:rsid w:val="008D3C88"/>
    <w:rsid w:val="008D3F5C"/>
    <w:rsid w:val="008D69E8"/>
    <w:rsid w:val="008D74F1"/>
    <w:rsid w:val="008E0145"/>
    <w:rsid w:val="008E06F1"/>
    <w:rsid w:val="008E08E0"/>
    <w:rsid w:val="008E08EE"/>
    <w:rsid w:val="008E2A63"/>
    <w:rsid w:val="008E3304"/>
    <w:rsid w:val="008E5619"/>
    <w:rsid w:val="008E5DA1"/>
    <w:rsid w:val="008E6304"/>
    <w:rsid w:val="008E6539"/>
    <w:rsid w:val="008E679A"/>
    <w:rsid w:val="008E701E"/>
    <w:rsid w:val="008E74B6"/>
    <w:rsid w:val="008E7978"/>
    <w:rsid w:val="008F0760"/>
    <w:rsid w:val="008F1844"/>
    <w:rsid w:val="008F1B3D"/>
    <w:rsid w:val="008F26EB"/>
    <w:rsid w:val="008F2847"/>
    <w:rsid w:val="008F2BF7"/>
    <w:rsid w:val="008F3764"/>
    <w:rsid w:val="008F467A"/>
    <w:rsid w:val="008F571C"/>
    <w:rsid w:val="008F6DD3"/>
    <w:rsid w:val="009000E0"/>
    <w:rsid w:val="00902713"/>
    <w:rsid w:val="00903E09"/>
    <w:rsid w:val="009041C1"/>
    <w:rsid w:val="0090466F"/>
    <w:rsid w:val="009046CC"/>
    <w:rsid w:val="009049B1"/>
    <w:rsid w:val="00904C43"/>
    <w:rsid w:val="009050A9"/>
    <w:rsid w:val="00905960"/>
    <w:rsid w:val="009064C8"/>
    <w:rsid w:val="009070CA"/>
    <w:rsid w:val="0090786B"/>
    <w:rsid w:val="00907AD7"/>
    <w:rsid w:val="00907CCE"/>
    <w:rsid w:val="009100B0"/>
    <w:rsid w:val="00910647"/>
    <w:rsid w:val="00910CE0"/>
    <w:rsid w:val="00911842"/>
    <w:rsid w:val="00912638"/>
    <w:rsid w:val="0091436C"/>
    <w:rsid w:val="00915094"/>
    <w:rsid w:val="00915171"/>
    <w:rsid w:val="0091655D"/>
    <w:rsid w:val="00916900"/>
    <w:rsid w:val="00917233"/>
    <w:rsid w:val="00920216"/>
    <w:rsid w:val="00920C21"/>
    <w:rsid w:val="00924DCA"/>
    <w:rsid w:val="00925837"/>
    <w:rsid w:val="00926C0B"/>
    <w:rsid w:val="00926C8C"/>
    <w:rsid w:val="00927164"/>
    <w:rsid w:val="0093044E"/>
    <w:rsid w:val="0093095B"/>
    <w:rsid w:val="00930EF8"/>
    <w:rsid w:val="00931B65"/>
    <w:rsid w:val="00931EB2"/>
    <w:rsid w:val="00931F19"/>
    <w:rsid w:val="0093270D"/>
    <w:rsid w:val="00932FEB"/>
    <w:rsid w:val="0093466D"/>
    <w:rsid w:val="00934926"/>
    <w:rsid w:val="00934B5A"/>
    <w:rsid w:val="00935056"/>
    <w:rsid w:val="0093531F"/>
    <w:rsid w:val="009359CB"/>
    <w:rsid w:val="0093627A"/>
    <w:rsid w:val="009368ED"/>
    <w:rsid w:val="00936BAB"/>
    <w:rsid w:val="00937077"/>
    <w:rsid w:val="00937256"/>
    <w:rsid w:val="0093726A"/>
    <w:rsid w:val="009373F7"/>
    <w:rsid w:val="009376C9"/>
    <w:rsid w:val="00940272"/>
    <w:rsid w:val="00940BA6"/>
    <w:rsid w:val="00941F09"/>
    <w:rsid w:val="0094283A"/>
    <w:rsid w:val="00942BC8"/>
    <w:rsid w:val="00944A3A"/>
    <w:rsid w:val="009451B7"/>
    <w:rsid w:val="00946E3D"/>
    <w:rsid w:val="0094743F"/>
    <w:rsid w:val="00947962"/>
    <w:rsid w:val="00947E8A"/>
    <w:rsid w:val="0095007D"/>
    <w:rsid w:val="00950886"/>
    <w:rsid w:val="00951259"/>
    <w:rsid w:val="00952266"/>
    <w:rsid w:val="009530D9"/>
    <w:rsid w:val="00953329"/>
    <w:rsid w:val="00953FB2"/>
    <w:rsid w:val="009542A1"/>
    <w:rsid w:val="009548A8"/>
    <w:rsid w:val="0095511F"/>
    <w:rsid w:val="00955C85"/>
    <w:rsid w:val="00956621"/>
    <w:rsid w:val="009612ED"/>
    <w:rsid w:val="00961519"/>
    <w:rsid w:val="00961680"/>
    <w:rsid w:val="00961A3A"/>
    <w:rsid w:val="00961D18"/>
    <w:rsid w:val="00961F6C"/>
    <w:rsid w:val="00962371"/>
    <w:rsid w:val="009628B5"/>
    <w:rsid w:val="0096312F"/>
    <w:rsid w:val="0096336A"/>
    <w:rsid w:val="009636DB"/>
    <w:rsid w:val="0096448B"/>
    <w:rsid w:val="0096489F"/>
    <w:rsid w:val="00965476"/>
    <w:rsid w:val="00967768"/>
    <w:rsid w:val="00967C15"/>
    <w:rsid w:val="00967EC1"/>
    <w:rsid w:val="00970063"/>
    <w:rsid w:val="0097083E"/>
    <w:rsid w:val="00970DCD"/>
    <w:rsid w:val="00972B6D"/>
    <w:rsid w:val="0097339F"/>
    <w:rsid w:val="0097410F"/>
    <w:rsid w:val="00975E07"/>
    <w:rsid w:val="00975FC5"/>
    <w:rsid w:val="00977750"/>
    <w:rsid w:val="0097789F"/>
    <w:rsid w:val="00977E94"/>
    <w:rsid w:val="0098113F"/>
    <w:rsid w:val="00982B7B"/>
    <w:rsid w:val="00982B80"/>
    <w:rsid w:val="00983E98"/>
    <w:rsid w:val="009840D8"/>
    <w:rsid w:val="009845F7"/>
    <w:rsid w:val="009848A7"/>
    <w:rsid w:val="009852FB"/>
    <w:rsid w:val="0098533C"/>
    <w:rsid w:val="00985622"/>
    <w:rsid w:val="00985F0D"/>
    <w:rsid w:val="00986126"/>
    <w:rsid w:val="00986660"/>
    <w:rsid w:val="00986C23"/>
    <w:rsid w:val="00987264"/>
    <w:rsid w:val="00990009"/>
    <w:rsid w:val="0099002E"/>
    <w:rsid w:val="00991290"/>
    <w:rsid w:val="009918BD"/>
    <w:rsid w:val="00993BFC"/>
    <w:rsid w:val="009950F3"/>
    <w:rsid w:val="00995257"/>
    <w:rsid w:val="00996E89"/>
    <w:rsid w:val="009975D9"/>
    <w:rsid w:val="0099771B"/>
    <w:rsid w:val="009A0843"/>
    <w:rsid w:val="009A114E"/>
    <w:rsid w:val="009A13D5"/>
    <w:rsid w:val="009A32F5"/>
    <w:rsid w:val="009A3738"/>
    <w:rsid w:val="009A4B03"/>
    <w:rsid w:val="009A62BC"/>
    <w:rsid w:val="009A64B0"/>
    <w:rsid w:val="009A73FA"/>
    <w:rsid w:val="009A7505"/>
    <w:rsid w:val="009A76B8"/>
    <w:rsid w:val="009A7F79"/>
    <w:rsid w:val="009B0A5C"/>
    <w:rsid w:val="009B0C47"/>
    <w:rsid w:val="009B0F53"/>
    <w:rsid w:val="009B1F74"/>
    <w:rsid w:val="009B235C"/>
    <w:rsid w:val="009B4B38"/>
    <w:rsid w:val="009B658B"/>
    <w:rsid w:val="009B7907"/>
    <w:rsid w:val="009B7D54"/>
    <w:rsid w:val="009C0707"/>
    <w:rsid w:val="009C0A6C"/>
    <w:rsid w:val="009C0C36"/>
    <w:rsid w:val="009C0FB4"/>
    <w:rsid w:val="009C16CB"/>
    <w:rsid w:val="009C18FC"/>
    <w:rsid w:val="009C1A1D"/>
    <w:rsid w:val="009C30CC"/>
    <w:rsid w:val="009C38B9"/>
    <w:rsid w:val="009C4B45"/>
    <w:rsid w:val="009C4D1D"/>
    <w:rsid w:val="009C4E4A"/>
    <w:rsid w:val="009C52D9"/>
    <w:rsid w:val="009C5719"/>
    <w:rsid w:val="009C5EFA"/>
    <w:rsid w:val="009C610D"/>
    <w:rsid w:val="009C7B7D"/>
    <w:rsid w:val="009D04B1"/>
    <w:rsid w:val="009D06FE"/>
    <w:rsid w:val="009D17CC"/>
    <w:rsid w:val="009D1BDA"/>
    <w:rsid w:val="009D345B"/>
    <w:rsid w:val="009D4DAC"/>
    <w:rsid w:val="009D54BA"/>
    <w:rsid w:val="009D58AC"/>
    <w:rsid w:val="009D66A3"/>
    <w:rsid w:val="009D68CF"/>
    <w:rsid w:val="009D6AEA"/>
    <w:rsid w:val="009D7371"/>
    <w:rsid w:val="009D74B1"/>
    <w:rsid w:val="009D7CD8"/>
    <w:rsid w:val="009E028C"/>
    <w:rsid w:val="009E0C8E"/>
    <w:rsid w:val="009E12E5"/>
    <w:rsid w:val="009E1CC3"/>
    <w:rsid w:val="009E23D6"/>
    <w:rsid w:val="009E23DD"/>
    <w:rsid w:val="009E2C2D"/>
    <w:rsid w:val="009E375B"/>
    <w:rsid w:val="009E4459"/>
    <w:rsid w:val="009E48C2"/>
    <w:rsid w:val="009E53C9"/>
    <w:rsid w:val="009E5882"/>
    <w:rsid w:val="009E5A31"/>
    <w:rsid w:val="009E706E"/>
    <w:rsid w:val="009E7B6F"/>
    <w:rsid w:val="009F0742"/>
    <w:rsid w:val="009F09E7"/>
    <w:rsid w:val="009F1A22"/>
    <w:rsid w:val="009F1C81"/>
    <w:rsid w:val="009F2E54"/>
    <w:rsid w:val="009F3319"/>
    <w:rsid w:val="009F38F3"/>
    <w:rsid w:val="009F4090"/>
    <w:rsid w:val="009F440A"/>
    <w:rsid w:val="009F4ACC"/>
    <w:rsid w:val="009F4B59"/>
    <w:rsid w:val="009F4F40"/>
    <w:rsid w:val="009F655F"/>
    <w:rsid w:val="009F687E"/>
    <w:rsid w:val="009F6CFE"/>
    <w:rsid w:val="009F6E9C"/>
    <w:rsid w:val="009F7048"/>
    <w:rsid w:val="009F766A"/>
    <w:rsid w:val="00A002E4"/>
    <w:rsid w:val="00A006AC"/>
    <w:rsid w:val="00A02740"/>
    <w:rsid w:val="00A03B35"/>
    <w:rsid w:val="00A04309"/>
    <w:rsid w:val="00A04A2F"/>
    <w:rsid w:val="00A04BF0"/>
    <w:rsid w:val="00A05663"/>
    <w:rsid w:val="00A057C0"/>
    <w:rsid w:val="00A06355"/>
    <w:rsid w:val="00A068E9"/>
    <w:rsid w:val="00A06904"/>
    <w:rsid w:val="00A06D66"/>
    <w:rsid w:val="00A07578"/>
    <w:rsid w:val="00A07966"/>
    <w:rsid w:val="00A07D23"/>
    <w:rsid w:val="00A11C72"/>
    <w:rsid w:val="00A12A8B"/>
    <w:rsid w:val="00A12EAE"/>
    <w:rsid w:val="00A131DD"/>
    <w:rsid w:val="00A14396"/>
    <w:rsid w:val="00A148CF"/>
    <w:rsid w:val="00A1560D"/>
    <w:rsid w:val="00A15C84"/>
    <w:rsid w:val="00A15DE5"/>
    <w:rsid w:val="00A17780"/>
    <w:rsid w:val="00A179B8"/>
    <w:rsid w:val="00A2054F"/>
    <w:rsid w:val="00A207C8"/>
    <w:rsid w:val="00A20E3E"/>
    <w:rsid w:val="00A213F1"/>
    <w:rsid w:val="00A2259A"/>
    <w:rsid w:val="00A22F5C"/>
    <w:rsid w:val="00A23652"/>
    <w:rsid w:val="00A23EF9"/>
    <w:rsid w:val="00A2410D"/>
    <w:rsid w:val="00A250C1"/>
    <w:rsid w:val="00A25ACC"/>
    <w:rsid w:val="00A26360"/>
    <w:rsid w:val="00A26E29"/>
    <w:rsid w:val="00A30375"/>
    <w:rsid w:val="00A32E2D"/>
    <w:rsid w:val="00A33156"/>
    <w:rsid w:val="00A33895"/>
    <w:rsid w:val="00A33DA9"/>
    <w:rsid w:val="00A34272"/>
    <w:rsid w:val="00A34813"/>
    <w:rsid w:val="00A358A1"/>
    <w:rsid w:val="00A35DBF"/>
    <w:rsid w:val="00A35DCE"/>
    <w:rsid w:val="00A36498"/>
    <w:rsid w:val="00A373D6"/>
    <w:rsid w:val="00A40196"/>
    <w:rsid w:val="00A40E44"/>
    <w:rsid w:val="00A41E30"/>
    <w:rsid w:val="00A41F05"/>
    <w:rsid w:val="00A4246E"/>
    <w:rsid w:val="00A4252B"/>
    <w:rsid w:val="00A43091"/>
    <w:rsid w:val="00A4459B"/>
    <w:rsid w:val="00A44E2B"/>
    <w:rsid w:val="00A45741"/>
    <w:rsid w:val="00A465EF"/>
    <w:rsid w:val="00A46E18"/>
    <w:rsid w:val="00A46E91"/>
    <w:rsid w:val="00A47693"/>
    <w:rsid w:val="00A5089A"/>
    <w:rsid w:val="00A50EC6"/>
    <w:rsid w:val="00A514AB"/>
    <w:rsid w:val="00A518E2"/>
    <w:rsid w:val="00A5206F"/>
    <w:rsid w:val="00A5245A"/>
    <w:rsid w:val="00A52A91"/>
    <w:rsid w:val="00A5317A"/>
    <w:rsid w:val="00A53721"/>
    <w:rsid w:val="00A53848"/>
    <w:rsid w:val="00A53CA7"/>
    <w:rsid w:val="00A54711"/>
    <w:rsid w:val="00A555BC"/>
    <w:rsid w:val="00A572CB"/>
    <w:rsid w:val="00A57FDC"/>
    <w:rsid w:val="00A60481"/>
    <w:rsid w:val="00A60938"/>
    <w:rsid w:val="00A610BD"/>
    <w:rsid w:val="00A61280"/>
    <w:rsid w:val="00A6130E"/>
    <w:rsid w:val="00A638D1"/>
    <w:rsid w:val="00A63EEC"/>
    <w:rsid w:val="00A6430F"/>
    <w:rsid w:val="00A64FD7"/>
    <w:rsid w:val="00A6513D"/>
    <w:rsid w:val="00A65986"/>
    <w:rsid w:val="00A66144"/>
    <w:rsid w:val="00A66610"/>
    <w:rsid w:val="00A67056"/>
    <w:rsid w:val="00A674ED"/>
    <w:rsid w:val="00A67866"/>
    <w:rsid w:val="00A70354"/>
    <w:rsid w:val="00A706D4"/>
    <w:rsid w:val="00A70D20"/>
    <w:rsid w:val="00A70EE1"/>
    <w:rsid w:val="00A714DB"/>
    <w:rsid w:val="00A71C64"/>
    <w:rsid w:val="00A72359"/>
    <w:rsid w:val="00A72C77"/>
    <w:rsid w:val="00A737EC"/>
    <w:rsid w:val="00A73A2B"/>
    <w:rsid w:val="00A7441F"/>
    <w:rsid w:val="00A75513"/>
    <w:rsid w:val="00A75DDE"/>
    <w:rsid w:val="00A76360"/>
    <w:rsid w:val="00A763C6"/>
    <w:rsid w:val="00A77946"/>
    <w:rsid w:val="00A818B3"/>
    <w:rsid w:val="00A81D1A"/>
    <w:rsid w:val="00A82D57"/>
    <w:rsid w:val="00A82E7A"/>
    <w:rsid w:val="00A84468"/>
    <w:rsid w:val="00A8525E"/>
    <w:rsid w:val="00A855EE"/>
    <w:rsid w:val="00A864F7"/>
    <w:rsid w:val="00A86AF2"/>
    <w:rsid w:val="00A87E1A"/>
    <w:rsid w:val="00A90525"/>
    <w:rsid w:val="00A90779"/>
    <w:rsid w:val="00A917E7"/>
    <w:rsid w:val="00A92102"/>
    <w:rsid w:val="00A925EF"/>
    <w:rsid w:val="00A92A21"/>
    <w:rsid w:val="00A92A60"/>
    <w:rsid w:val="00A93CA7"/>
    <w:rsid w:val="00A93E25"/>
    <w:rsid w:val="00A94B52"/>
    <w:rsid w:val="00A952A7"/>
    <w:rsid w:val="00A96142"/>
    <w:rsid w:val="00A96571"/>
    <w:rsid w:val="00A97613"/>
    <w:rsid w:val="00AA0781"/>
    <w:rsid w:val="00AA0E65"/>
    <w:rsid w:val="00AA1220"/>
    <w:rsid w:val="00AA155A"/>
    <w:rsid w:val="00AA1F7A"/>
    <w:rsid w:val="00AA21FA"/>
    <w:rsid w:val="00AA2AB2"/>
    <w:rsid w:val="00AA2B4C"/>
    <w:rsid w:val="00AA2F8F"/>
    <w:rsid w:val="00AA40EE"/>
    <w:rsid w:val="00AA42B2"/>
    <w:rsid w:val="00AA48ED"/>
    <w:rsid w:val="00AA4C6D"/>
    <w:rsid w:val="00AA71EF"/>
    <w:rsid w:val="00AA7669"/>
    <w:rsid w:val="00AA7BB3"/>
    <w:rsid w:val="00AA7E02"/>
    <w:rsid w:val="00AB0C69"/>
    <w:rsid w:val="00AB0CF3"/>
    <w:rsid w:val="00AB1305"/>
    <w:rsid w:val="00AB27A9"/>
    <w:rsid w:val="00AB39B0"/>
    <w:rsid w:val="00AB3B42"/>
    <w:rsid w:val="00AB3F4A"/>
    <w:rsid w:val="00AB4940"/>
    <w:rsid w:val="00AB569D"/>
    <w:rsid w:val="00AB5D70"/>
    <w:rsid w:val="00AB6C0B"/>
    <w:rsid w:val="00AB6EEB"/>
    <w:rsid w:val="00AB7630"/>
    <w:rsid w:val="00AB7728"/>
    <w:rsid w:val="00AC0152"/>
    <w:rsid w:val="00AC06C6"/>
    <w:rsid w:val="00AC1245"/>
    <w:rsid w:val="00AC192F"/>
    <w:rsid w:val="00AC28BE"/>
    <w:rsid w:val="00AC4407"/>
    <w:rsid w:val="00AC4F97"/>
    <w:rsid w:val="00AC5234"/>
    <w:rsid w:val="00AC53A8"/>
    <w:rsid w:val="00AC57DE"/>
    <w:rsid w:val="00AC6591"/>
    <w:rsid w:val="00AC7E15"/>
    <w:rsid w:val="00AD00D1"/>
    <w:rsid w:val="00AD03B3"/>
    <w:rsid w:val="00AD0DB2"/>
    <w:rsid w:val="00AD2123"/>
    <w:rsid w:val="00AD3894"/>
    <w:rsid w:val="00AD39A8"/>
    <w:rsid w:val="00AD5727"/>
    <w:rsid w:val="00AD58AE"/>
    <w:rsid w:val="00AD68A3"/>
    <w:rsid w:val="00AD7637"/>
    <w:rsid w:val="00AD78D6"/>
    <w:rsid w:val="00AE0771"/>
    <w:rsid w:val="00AE157B"/>
    <w:rsid w:val="00AE1C7D"/>
    <w:rsid w:val="00AE20EC"/>
    <w:rsid w:val="00AE20FE"/>
    <w:rsid w:val="00AE369D"/>
    <w:rsid w:val="00AE379A"/>
    <w:rsid w:val="00AE3EA3"/>
    <w:rsid w:val="00AE448B"/>
    <w:rsid w:val="00AE4558"/>
    <w:rsid w:val="00AE4971"/>
    <w:rsid w:val="00AE49BD"/>
    <w:rsid w:val="00AE5B9F"/>
    <w:rsid w:val="00AE647A"/>
    <w:rsid w:val="00AE6CCA"/>
    <w:rsid w:val="00AE7585"/>
    <w:rsid w:val="00AE7CA8"/>
    <w:rsid w:val="00AE7EC9"/>
    <w:rsid w:val="00AF0526"/>
    <w:rsid w:val="00AF0B75"/>
    <w:rsid w:val="00AF10CC"/>
    <w:rsid w:val="00AF1598"/>
    <w:rsid w:val="00AF15F3"/>
    <w:rsid w:val="00AF1922"/>
    <w:rsid w:val="00AF269C"/>
    <w:rsid w:val="00AF2CBA"/>
    <w:rsid w:val="00AF396D"/>
    <w:rsid w:val="00AF57DC"/>
    <w:rsid w:val="00AF6EAD"/>
    <w:rsid w:val="00B01B75"/>
    <w:rsid w:val="00B02FE7"/>
    <w:rsid w:val="00B035B2"/>
    <w:rsid w:val="00B03D65"/>
    <w:rsid w:val="00B04954"/>
    <w:rsid w:val="00B04D19"/>
    <w:rsid w:val="00B05BDD"/>
    <w:rsid w:val="00B0650E"/>
    <w:rsid w:val="00B06662"/>
    <w:rsid w:val="00B071D0"/>
    <w:rsid w:val="00B10554"/>
    <w:rsid w:val="00B122C3"/>
    <w:rsid w:val="00B12841"/>
    <w:rsid w:val="00B12882"/>
    <w:rsid w:val="00B12CE8"/>
    <w:rsid w:val="00B132A7"/>
    <w:rsid w:val="00B146EA"/>
    <w:rsid w:val="00B1507A"/>
    <w:rsid w:val="00B15E1A"/>
    <w:rsid w:val="00B16CD6"/>
    <w:rsid w:val="00B17216"/>
    <w:rsid w:val="00B207A9"/>
    <w:rsid w:val="00B20818"/>
    <w:rsid w:val="00B219FA"/>
    <w:rsid w:val="00B21D0A"/>
    <w:rsid w:val="00B225BC"/>
    <w:rsid w:val="00B2455B"/>
    <w:rsid w:val="00B24DD7"/>
    <w:rsid w:val="00B25EED"/>
    <w:rsid w:val="00B26137"/>
    <w:rsid w:val="00B2707A"/>
    <w:rsid w:val="00B270D6"/>
    <w:rsid w:val="00B27393"/>
    <w:rsid w:val="00B3042E"/>
    <w:rsid w:val="00B3057B"/>
    <w:rsid w:val="00B3072A"/>
    <w:rsid w:val="00B31D7D"/>
    <w:rsid w:val="00B32282"/>
    <w:rsid w:val="00B32EE7"/>
    <w:rsid w:val="00B3338D"/>
    <w:rsid w:val="00B3454A"/>
    <w:rsid w:val="00B3569E"/>
    <w:rsid w:val="00B35A79"/>
    <w:rsid w:val="00B3644B"/>
    <w:rsid w:val="00B369E7"/>
    <w:rsid w:val="00B37927"/>
    <w:rsid w:val="00B41446"/>
    <w:rsid w:val="00B4159F"/>
    <w:rsid w:val="00B42CA5"/>
    <w:rsid w:val="00B442E2"/>
    <w:rsid w:val="00B45378"/>
    <w:rsid w:val="00B45A1D"/>
    <w:rsid w:val="00B51453"/>
    <w:rsid w:val="00B518D9"/>
    <w:rsid w:val="00B51A07"/>
    <w:rsid w:val="00B528A7"/>
    <w:rsid w:val="00B5424D"/>
    <w:rsid w:val="00B54742"/>
    <w:rsid w:val="00B54B88"/>
    <w:rsid w:val="00B553EC"/>
    <w:rsid w:val="00B56780"/>
    <w:rsid w:val="00B57F5F"/>
    <w:rsid w:val="00B6032E"/>
    <w:rsid w:val="00B6213B"/>
    <w:rsid w:val="00B62544"/>
    <w:rsid w:val="00B631CD"/>
    <w:rsid w:val="00B6430C"/>
    <w:rsid w:val="00B6466A"/>
    <w:rsid w:val="00B64EA5"/>
    <w:rsid w:val="00B65EA8"/>
    <w:rsid w:val="00B666E9"/>
    <w:rsid w:val="00B66B9B"/>
    <w:rsid w:val="00B676A9"/>
    <w:rsid w:val="00B67818"/>
    <w:rsid w:val="00B72028"/>
    <w:rsid w:val="00B72CB8"/>
    <w:rsid w:val="00B73309"/>
    <w:rsid w:val="00B74647"/>
    <w:rsid w:val="00B7653E"/>
    <w:rsid w:val="00B770D5"/>
    <w:rsid w:val="00B77FA0"/>
    <w:rsid w:val="00B80524"/>
    <w:rsid w:val="00B805B0"/>
    <w:rsid w:val="00B811FB"/>
    <w:rsid w:val="00B81A59"/>
    <w:rsid w:val="00B81D58"/>
    <w:rsid w:val="00B8202E"/>
    <w:rsid w:val="00B82A89"/>
    <w:rsid w:val="00B84AAF"/>
    <w:rsid w:val="00B84D0F"/>
    <w:rsid w:val="00B8502C"/>
    <w:rsid w:val="00B8592B"/>
    <w:rsid w:val="00B869EA"/>
    <w:rsid w:val="00B87283"/>
    <w:rsid w:val="00B878C2"/>
    <w:rsid w:val="00B878F1"/>
    <w:rsid w:val="00B90371"/>
    <w:rsid w:val="00B91207"/>
    <w:rsid w:val="00B91FF3"/>
    <w:rsid w:val="00B92658"/>
    <w:rsid w:val="00B92F0F"/>
    <w:rsid w:val="00B92F7C"/>
    <w:rsid w:val="00B94250"/>
    <w:rsid w:val="00B95AE3"/>
    <w:rsid w:val="00B95C6A"/>
    <w:rsid w:val="00B95D52"/>
    <w:rsid w:val="00B96FE9"/>
    <w:rsid w:val="00B978E7"/>
    <w:rsid w:val="00B97ABC"/>
    <w:rsid w:val="00BA07B9"/>
    <w:rsid w:val="00BA105D"/>
    <w:rsid w:val="00BA2A81"/>
    <w:rsid w:val="00BA3034"/>
    <w:rsid w:val="00BA5AC7"/>
    <w:rsid w:val="00BA6497"/>
    <w:rsid w:val="00BA7421"/>
    <w:rsid w:val="00BA7608"/>
    <w:rsid w:val="00BA7BFA"/>
    <w:rsid w:val="00BA7DC3"/>
    <w:rsid w:val="00BB072E"/>
    <w:rsid w:val="00BB0730"/>
    <w:rsid w:val="00BB1192"/>
    <w:rsid w:val="00BB13CF"/>
    <w:rsid w:val="00BB21E1"/>
    <w:rsid w:val="00BB2844"/>
    <w:rsid w:val="00BB2C56"/>
    <w:rsid w:val="00BB3326"/>
    <w:rsid w:val="00BB3921"/>
    <w:rsid w:val="00BB3A6D"/>
    <w:rsid w:val="00BB4A7D"/>
    <w:rsid w:val="00BB5D42"/>
    <w:rsid w:val="00BB5F17"/>
    <w:rsid w:val="00BB6C7B"/>
    <w:rsid w:val="00BC13F7"/>
    <w:rsid w:val="00BC2504"/>
    <w:rsid w:val="00BC2920"/>
    <w:rsid w:val="00BC3429"/>
    <w:rsid w:val="00BC37A4"/>
    <w:rsid w:val="00BC3969"/>
    <w:rsid w:val="00BC4C16"/>
    <w:rsid w:val="00BC59DD"/>
    <w:rsid w:val="00BC5B5B"/>
    <w:rsid w:val="00BC60D5"/>
    <w:rsid w:val="00BC6A62"/>
    <w:rsid w:val="00BD060B"/>
    <w:rsid w:val="00BD082D"/>
    <w:rsid w:val="00BD0935"/>
    <w:rsid w:val="00BD0A71"/>
    <w:rsid w:val="00BD0AF1"/>
    <w:rsid w:val="00BD0DEF"/>
    <w:rsid w:val="00BD2570"/>
    <w:rsid w:val="00BD2E67"/>
    <w:rsid w:val="00BD35BB"/>
    <w:rsid w:val="00BD38C6"/>
    <w:rsid w:val="00BD3B2D"/>
    <w:rsid w:val="00BD4031"/>
    <w:rsid w:val="00BD4773"/>
    <w:rsid w:val="00BD4FFC"/>
    <w:rsid w:val="00BD5F9E"/>
    <w:rsid w:val="00BD6DA4"/>
    <w:rsid w:val="00BD704C"/>
    <w:rsid w:val="00BD74E4"/>
    <w:rsid w:val="00BD7784"/>
    <w:rsid w:val="00BE0052"/>
    <w:rsid w:val="00BE0C29"/>
    <w:rsid w:val="00BE0D10"/>
    <w:rsid w:val="00BE1141"/>
    <w:rsid w:val="00BE1618"/>
    <w:rsid w:val="00BE22D9"/>
    <w:rsid w:val="00BE283F"/>
    <w:rsid w:val="00BE2951"/>
    <w:rsid w:val="00BE4012"/>
    <w:rsid w:val="00BE4875"/>
    <w:rsid w:val="00BE5025"/>
    <w:rsid w:val="00BE56CE"/>
    <w:rsid w:val="00BE5D6A"/>
    <w:rsid w:val="00BE68A0"/>
    <w:rsid w:val="00BE6F51"/>
    <w:rsid w:val="00BE73E8"/>
    <w:rsid w:val="00BE78C7"/>
    <w:rsid w:val="00BE7B1E"/>
    <w:rsid w:val="00BE7D24"/>
    <w:rsid w:val="00BF0F58"/>
    <w:rsid w:val="00BF14BE"/>
    <w:rsid w:val="00BF1893"/>
    <w:rsid w:val="00BF3638"/>
    <w:rsid w:val="00BF36D6"/>
    <w:rsid w:val="00BF3C13"/>
    <w:rsid w:val="00BF3F21"/>
    <w:rsid w:val="00BF4985"/>
    <w:rsid w:val="00BF55C3"/>
    <w:rsid w:val="00BF6151"/>
    <w:rsid w:val="00BF65D4"/>
    <w:rsid w:val="00BF67F1"/>
    <w:rsid w:val="00BF7E45"/>
    <w:rsid w:val="00C021DD"/>
    <w:rsid w:val="00C02406"/>
    <w:rsid w:val="00C02D9D"/>
    <w:rsid w:val="00C047E4"/>
    <w:rsid w:val="00C04C3A"/>
    <w:rsid w:val="00C0574D"/>
    <w:rsid w:val="00C06198"/>
    <w:rsid w:val="00C0650E"/>
    <w:rsid w:val="00C068A5"/>
    <w:rsid w:val="00C070FA"/>
    <w:rsid w:val="00C079E6"/>
    <w:rsid w:val="00C07AEC"/>
    <w:rsid w:val="00C1085D"/>
    <w:rsid w:val="00C10A62"/>
    <w:rsid w:val="00C1102C"/>
    <w:rsid w:val="00C111B5"/>
    <w:rsid w:val="00C12021"/>
    <w:rsid w:val="00C12AAE"/>
    <w:rsid w:val="00C143C1"/>
    <w:rsid w:val="00C1546D"/>
    <w:rsid w:val="00C15C65"/>
    <w:rsid w:val="00C15E23"/>
    <w:rsid w:val="00C16347"/>
    <w:rsid w:val="00C167DE"/>
    <w:rsid w:val="00C168F3"/>
    <w:rsid w:val="00C17759"/>
    <w:rsid w:val="00C17B23"/>
    <w:rsid w:val="00C17F5C"/>
    <w:rsid w:val="00C17FC7"/>
    <w:rsid w:val="00C20000"/>
    <w:rsid w:val="00C204CF"/>
    <w:rsid w:val="00C2080D"/>
    <w:rsid w:val="00C209FC"/>
    <w:rsid w:val="00C21513"/>
    <w:rsid w:val="00C215C7"/>
    <w:rsid w:val="00C21850"/>
    <w:rsid w:val="00C21882"/>
    <w:rsid w:val="00C21E9B"/>
    <w:rsid w:val="00C220B6"/>
    <w:rsid w:val="00C22356"/>
    <w:rsid w:val="00C22BFA"/>
    <w:rsid w:val="00C23936"/>
    <w:rsid w:val="00C249EE"/>
    <w:rsid w:val="00C25F96"/>
    <w:rsid w:val="00C26F90"/>
    <w:rsid w:val="00C300AF"/>
    <w:rsid w:val="00C306B8"/>
    <w:rsid w:val="00C31934"/>
    <w:rsid w:val="00C3196F"/>
    <w:rsid w:val="00C31A1E"/>
    <w:rsid w:val="00C323DD"/>
    <w:rsid w:val="00C32638"/>
    <w:rsid w:val="00C32834"/>
    <w:rsid w:val="00C3327F"/>
    <w:rsid w:val="00C33B7B"/>
    <w:rsid w:val="00C353B3"/>
    <w:rsid w:val="00C357E5"/>
    <w:rsid w:val="00C36149"/>
    <w:rsid w:val="00C36BD9"/>
    <w:rsid w:val="00C36FCB"/>
    <w:rsid w:val="00C371DC"/>
    <w:rsid w:val="00C378DA"/>
    <w:rsid w:val="00C37C8F"/>
    <w:rsid w:val="00C40D56"/>
    <w:rsid w:val="00C40F5D"/>
    <w:rsid w:val="00C414F7"/>
    <w:rsid w:val="00C417C0"/>
    <w:rsid w:val="00C41B7B"/>
    <w:rsid w:val="00C42454"/>
    <w:rsid w:val="00C42A2C"/>
    <w:rsid w:val="00C43C69"/>
    <w:rsid w:val="00C44041"/>
    <w:rsid w:val="00C4451C"/>
    <w:rsid w:val="00C455DC"/>
    <w:rsid w:val="00C459FC"/>
    <w:rsid w:val="00C46988"/>
    <w:rsid w:val="00C46F5C"/>
    <w:rsid w:val="00C473D1"/>
    <w:rsid w:val="00C47CE6"/>
    <w:rsid w:val="00C50A68"/>
    <w:rsid w:val="00C50F5B"/>
    <w:rsid w:val="00C51680"/>
    <w:rsid w:val="00C517C7"/>
    <w:rsid w:val="00C5181C"/>
    <w:rsid w:val="00C5182E"/>
    <w:rsid w:val="00C5196D"/>
    <w:rsid w:val="00C51A26"/>
    <w:rsid w:val="00C52649"/>
    <w:rsid w:val="00C5550C"/>
    <w:rsid w:val="00C57D77"/>
    <w:rsid w:val="00C6070B"/>
    <w:rsid w:val="00C61E47"/>
    <w:rsid w:val="00C62F1A"/>
    <w:rsid w:val="00C6389C"/>
    <w:rsid w:val="00C647A8"/>
    <w:rsid w:val="00C66321"/>
    <w:rsid w:val="00C67D33"/>
    <w:rsid w:val="00C7052C"/>
    <w:rsid w:val="00C705DE"/>
    <w:rsid w:val="00C70C66"/>
    <w:rsid w:val="00C71415"/>
    <w:rsid w:val="00C7228E"/>
    <w:rsid w:val="00C723BE"/>
    <w:rsid w:val="00C72BA7"/>
    <w:rsid w:val="00C74578"/>
    <w:rsid w:val="00C750BA"/>
    <w:rsid w:val="00C77E48"/>
    <w:rsid w:val="00C77EDB"/>
    <w:rsid w:val="00C800C6"/>
    <w:rsid w:val="00C81A0B"/>
    <w:rsid w:val="00C821A0"/>
    <w:rsid w:val="00C8233E"/>
    <w:rsid w:val="00C823B9"/>
    <w:rsid w:val="00C82886"/>
    <w:rsid w:val="00C82A73"/>
    <w:rsid w:val="00C82BF1"/>
    <w:rsid w:val="00C82C86"/>
    <w:rsid w:val="00C83719"/>
    <w:rsid w:val="00C84CFE"/>
    <w:rsid w:val="00C85668"/>
    <w:rsid w:val="00C8638F"/>
    <w:rsid w:val="00C86E9A"/>
    <w:rsid w:val="00C87BA4"/>
    <w:rsid w:val="00C904E7"/>
    <w:rsid w:val="00C90717"/>
    <w:rsid w:val="00C90D56"/>
    <w:rsid w:val="00C90E5D"/>
    <w:rsid w:val="00C91074"/>
    <w:rsid w:val="00C918E9"/>
    <w:rsid w:val="00C91EB3"/>
    <w:rsid w:val="00C92354"/>
    <w:rsid w:val="00C929E0"/>
    <w:rsid w:val="00C92F45"/>
    <w:rsid w:val="00C930E0"/>
    <w:rsid w:val="00C936B0"/>
    <w:rsid w:val="00C93A5B"/>
    <w:rsid w:val="00C940FC"/>
    <w:rsid w:val="00C94476"/>
    <w:rsid w:val="00C9455C"/>
    <w:rsid w:val="00C9493F"/>
    <w:rsid w:val="00C95ABB"/>
    <w:rsid w:val="00C95E7B"/>
    <w:rsid w:val="00C96D78"/>
    <w:rsid w:val="00C9755D"/>
    <w:rsid w:val="00C97894"/>
    <w:rsid w:val="00C9793A"/>
    <w:rsid w:val="00CA03B3"/>
    <w:rsid w:val="00CA1160"/>
    <w:rsid w:val="00CA1614"/>
    <w:rsid w:val="00CA2DE6"/>
    <w:rsid w:val="00CA3123"/>
    <w:rsid w:val="00CA3F48"/>
    <w:rsid w:val="00CA3F82"/>
    <w:rsid w:val="00CA534E"/>
    <w:rsid w:val="00CA555A"/>
    <w:rsid w:val="00CA55C2"/>
    <w:rsid w:val="00CA5FCD"/>
    <w:rsid w:val="00CA6D04"/>
    <w:rsid w:val="00CA7336"/>
    <w:rsid w:val="00CA7AFB"/>
    <w:rsid w:val="00CA7E87"/>
    <w:rsid w:val="00CB0173"/>
    <w:rsid w:val="00CB032B"/>
    <w:rsid w:val="00CB09C4"/>
    <w:rsid w:val="00CB1D1C"/>
    <w:rsid w:val="00CB27AD"/>
    <w:rsid w:val="00CB3B6B"/>
    <w:rsid w:val="00CB4D7B"/>
    <w:rsid w:val="00CB4DD6"/>
    <w:rsid w:val="00CB598E"/>
    <w:rsid w:val="00CB5F60"/>
    <w:rsid w:val="00CB6444"/>
    <w:rsid w:val="00CB656B"/>
    <w:rsid w:val="00CB7672"/>
    <w:rsid w:val="00CC06B0"/>
    <w:rsid w:val="00CC1CB3"/>
    <w:rsid w:val="00CC3A3E"/>
    <w:rsid w:val="00CC3DC9"/>
    <w:rsid w:val="00CC3DEB"/>
    <w:rsid w:val="00CC42A6"/>
    <w:rsid w:val="00CC53D7"/>
    <w:rsid w:val="00CC59DC"/>
    <w:rsid w:val="00CC7E80"/>
    <w:rsid w:val="00CD0D26"/>
    <w:rsid w:val="00CD13B8"/>
    <w:rsid w:val="00CD1B03"/>
    <w:rsid w:val="00CD1C72"/>
    <w:rsid w:val="00CD1E47"/>
    <w:rsid w:val="00CD2116"/>
    <w:rsid w:val="00CD2FCC"/>
    <w:rsid w:val="00CD3FCB"/>
    <w:rsid w:val="00CD4B47"/>
    <w:rsid w:val="00CD5341"/>
    <w:rsid w:val="00CD5894"/>
    <w:rsid w:val="00CD6723"/>
    <w:rsid w:val="00CD7731"/>
    <w:rsid w:val="00CE0139"/>
    <w:rsid w:val="00CE0213"/>
    <w:rsid w:val="00CE1347"/>
    <w:rsid w:val="00CE145F"/>
    <w:rsid w:val="00CE2BCE"/>
    <w:rsid w:val="00CE3C4B"/>
    <w:rsid w:val="00CE4D8A"/>
    <w:rsid w:val="00CE548D"/>
    <w:rsid w:val="00CE56EA"/>
    <w:rsid w:val="00CE58AA"/>
    <w:rsid w:val="00CE5D4C"/>
    <w:rsid w:val="00CE7269"/>
    <w:rsid w:val="00CE727E"/>
    <w:rsid w:val="00CE7674"/>
    <w:rsid w:val="00CF1127"/>
    <w:rsid w:val="00CF15F5"/>
    <w:rsid w:val="00CF3144"/>
    <w:rsid w:val="00CF3431"/>
    <w:rsid w:val="00CF3A4E"/>
    <w:rsid w:val="00CF3C9A"/>
    <w:rsid w:val="00CF4C95"/>
    <w:rsid w:val="00CF5C31"/>
    <w:rsid w:val="00CF6F1F"/>
    <w:rsid w:val="00CF6F5A"/>
    <w:rsid w:val="00CF72D5"/>
    <w:rsid w:val="00CF73C5"/>
    <w:rsid w:val="00CF7C9A"/>
    <w:rsid w:val="00CF7EAF"/>
    <w:rsid w:val="00D00DCC"/>
    <w:rsid w:val="00D0127F"/>
    <w:rsid w:val="00D01578"/>
    <w:rsid w:val="00D015AF"/>
    <w:rsid w:val="00D0276F"/>
    <w:rsid w:val="00D02E19"/>
    <w:rsid w:val="00D031C2"/>
    <w:rsid w:val="00D066A8"/>
    <w:rsid w:val="00D06874"/>
    <w:rsid w:val="00D06D1E"/>
    <w:rsid w:val="00D07731"/>
    <w:rsid w:val="00D10D51"/>
    <w:rsid w:val="00D114AD"/>
    <w:rsid w:val="00D11BEF"/>
    <w:rsid w:val="00D1334A"/>
    <w:rsid w:val="00D134B8"/>
    <w:rsid w:val="00D140B5"/>
    <w:rsid w:val="00D144BF"/>
    <w:rsid w:val="00D14D47"/>
    <w:rsid w:val="00D1568B"/>
    <w:rsid w:val="00D15A15"/>
    <w:rsid w:val="00D15B64"/>
    <w:rsid w:val="00D16A16"/>
    <w:rsid w:val="00D174CB"/>
    <w:rsid w:val="00D17D93"/>
    <w:rsid w:val="00D17DF4"/>
    <w:rsid w:val="00D20058"/>
    <w:rsid w:val="00D21185"/>
    <w:rsid w:val="00D213A9"/>
    <w:rsid w:val="00D21846"/>
    <w:rsid w:val="00D2197E"/>
    <w:rsid w:val="00D231D6"/>
    <w:rsid w:val="00D233AE"/>
    <w:rsid w:val="00D24479"/>
    <w:rsid w:val="00D247FD"/>
    <w:rsid w:val="00D25E8C"/>
    <w:rsid w:val="00D26068"/>
    <w:rsid w:val="00D260CE"/>
    <w:rsid w:val="00D26AD5"/>
    <w:rsid w:val="00D26B39"/>
    <w:rsid w:val="00D271C2"/>
    <w:rsid w:val="00D271CB"/>
    <w:rsid w:val="00D301B7"/>
    <w:rsid w:val="00D30CC2"/>
    <w:rsid w:val="00D3187C"/>
    <w:rsid w:val="00D32C64"/>
    <w:rsid w:val="00D32E78"/>
    <w:rsid w:val="00D33543"/>
    <w:rsid w:val="00D33943"/>
    <w:rsid w:val="00D33C12"/>
    <w:rsid w:val="00D33C71"/>
    <w:rsid w:val="00D34FFD"/>
    <w:rsid w:val="00D35274"/>
    <w:rsid w:val="00D4061F"/>
    <w:rsid w:val="00D40FE6"/>
    <w:rsid w:val="00D428E8"/>
    <w:rsid w:val="00D44FA5"/>
    <w:rsid w:val="00D4511C"/>
    <w:rsid w:val="00D45205"/>
    <w:rsid w:val="00D45E34"/>
    <w:rsid w:val="00D45E8A"/>
    <w:rsid w:val="00D46D0B"/>
    <w:rsid w:val="00D46F2A"/>
    <w:rsid w:val="00D527E4"/>
    <w:rsid w:val="00D52E96"/>
    <w:rsid w:val="00D531CA"/>
    <w:rsid w:val="00D539FA"/>
    <w:rsid w:val="00D54BA2"/>
    <w:rsid w:val="00D55BCF"/>
    <w:rsid w:val="00D56B06"/>
    <w:rsid w:val="00D56ECF"/>
    <w:rsid w:val="00D5787B"/>
    <w:rsid w:val="00D60A91"/>
    <w:rsid w:val="00D60F04"/>
    <w:rsid w:val="00D61015"/>
    <w:rsid w:val="00D614A4"/>
    <w:rsid w:val="00D622BC"/>
    <w:rsid w:val="00D62EBF"/>
    <w:rsid w:val="00D631C2"/>
    <w:rsid w:val="00D64933"/>
    <w:rsid w:val="00D6546D"/>
    <w:rsid w:val="00D668E0"/>
    <w:rsid w:val="00D6720C"/>
    <w:rsid w:val="00D67943"/>
    <w:rsid w:val="00D67B45"/>
    <w:rsid w:val="00D67E78"/>
    <w:rsid w:val="00D707D5"/>
    <w:rsid w:val="00D71E9D"/>
    <w:rsid w:val="00D726A8"/>
    <w:rsid w:val="00D727E1"/>
    <w:rsid w:val="00D7289D"/>
    <w:rsid w:val="00D7331F"/>
    <w:rsid w:val="00D73648"/>
    <w:rsid w:val="00D73CD3"/>
    <w:rsid w:val="00D750FA"/>
    <w:rsid w:val="00D75120"/>
    <w:rsid w:val="00D75644"/>
    <w:rsid w:val="00D757C5"/>
    <w:rsid w:val="00D75B93"/>
    <w:rsid w:val="00D765AE"/>
    <w:rsid w:val="00D771B6"/>
    <w:rsid w:val="00D814EF"/>
    <w:rsid w:val="00D818A2"/>
    <w:rsid w:val="00D8303B"/>
    <w:rsid w:val="00D841BE"/>
    <w:rsid w:val="00D8504D"/>
    <w:rsid w:val="00D85527"/>
    <w:rsid w:val="00D855EE"/>
    <w:rsid w:val="00D85B97"/>
    <w:rsid w:val="00D86A8E"/>
    <w:rsid w:val="00D86D65"/>
    <w:rsid w:val="00D877D3"/>
    <w:rsid w:val="00D909B1"/>
    <w:rsid w:val="00D90D85"/>
    <w:rsid w:val="00D9127F"/>
    <w:rsid w:val="00D91BB0"/>
    <w:rsid w:val="00D92082"/>
    <w:rsid w:val="00D92136"/>
    <w:rsid w:val="00D9283F"/>
    <w:rsid w:val="00D932B0"/>
    <w:rsid w:val="00D94820"/>
    <w:rsid w:val="00D94F91"/>
    <w:rsid w:val="00D95DFA"/>
    <w:rsid w:val="00D96AFD"/>
    <w:rsid w:val="00D9794A"/>
    <w:rsid w:val="00D97C07"/>
    <w:rsid w:val="00D97F71"/>
    <w:rsid w:val="00DA055D"/>
    <w:rsid w:val="00DA1030"/>
    <w:rsid w:val="00DA19D1"/>
    <w:rsid w:val="00DA22E8"/>
    <w:rsid w:val="00DA2F4F"/>
    <w:rsid w:val="00DA3B2E"/>
    <w:rsid w:val="00DA4865"/>
    <w:rsid w:val="00DA4D17"/>
    <w:rsid w:val="00DA51D0"/>
    <w:rsid w:val="00DA5389"/>
    <w:rsid w:val="00DA5BCF"/>
    <w:rsid w:val="00DA6066"/>
    <w:rsid w:val="00DA69D2"/>
    <w:rsid w:val="00DB15AB"/>
    <w:rsid w:val="00DB167A"/>
    <w:rsid w:val="00DB1B25"/>
    <w:rsid w:val="00DB3872"/>
    <w:rsid w:val="00DB3A46"/>
    <w:rsid w:val="00DB4713"/>
    <w:rsid w:val="00DB53E6"/>
    <w:rsid w:val="00DB58F8"/>
    <w:rsid w:val="00DB5BF2"/>
    <w:rsid w:val="00DB6EB1"/>
    <w:rsid w:val="00DB792E"/>
    <w:rsid w:val="00DB7988"/>
    <w:rsid w:val="00DB7A25"/>
    <w:rsid w:val="00DB7B35"/>
    <w:rsid w:val="00DB7C2C"/>
    <w:rsid w:val="00DB7CCC"/>
    <w:rsid w:val="00DC00D9"/>
    <w:rsid w:val="00DC08A0"/>
    <w:rsid w:val="00DC0919"/>
    <w:rsid w:val="00DC09CB"/>
    <w:rsid w:val="00DC2FC7"/>
    <w:rsid w:val="00DC3661"/>
    <w:rsid w:val="00DC3800"/>
    <w:rsid w:val="00DC3B6F"/>
    <w:rsid w:val="00DC3D02"/>
    <w:rsid w:val="00DC4185"/>
    <w:rsid w:val="00DC58F8"/>
    <w:rsid w:val="00DC5AE1"/>
    <w:rsid w:val="00DC644B"/>
    <w:rsid w:val="00DC66D5"/>
    <w:rsid w:val="00DC6F5C"/>
    <w:rsid w:val="00DD1222"/>
    <w:rsid w:val="00DD1905"/>
    <w:rsid w:val="00DD1EA8"/>
    <w:rsid w:val="00DD2ECA"/>
    <w:rsid w:val="00DD3CBB"/>
    <w:rsid w:val="00DD3ECA"/>
    <w:rsid w:val="00DD4043"/>
    <w:rsid w:val="00DD432B"/>
    <w:rsid w:val="00DD46FA"/>
    <w:rsid w:val="00DD556A"/>
    <w:rsid w:val="00DD57CE"/>
    <w:rsid w:val="00DD5B72"/>
    <w:rsid w:val="00DD626D"/>
    <w:rsid w:val="00DD74B0"/>
    <w:rsid w:val="00DD7BAB"/>
    <w:rsid w:val="00DE020F"/>
    <w:rsid w:val="00DE0AC3"/>
    <w:rsid w:val="00DE0C18"/>
    <w:rsid w:val="00DE1C42"/>
    <w:rsid w:val="00DE2BDC"/>
    <w:rsid w:val="00DE34E4"/>
    <w:rsid w:val="00DE376A"/>
    <w:rsid w:val="00DE38B2"/>
    <w:rsid w:val="00DE3AD8"/>
    <w:rsid w:val="00DE42E7"/>
    <w:rsid w:val="00DE4491"/>
    <w:rsid w:val="00DE501A"/>
    <w:rsid w:val="00DE5076"/>
    <w:rsid w:val="00DE5B98"/>
    <w:rsid w:val="00DE5C21"/>
    <w:rsid w:val="00DE6157"/>
    <w:rsid w:val="00DE66A1"/>
    <w:rsid w:val="00DE690B"/>
    <w:rsid w:val="00DE6F17"/>
    <w:rsid w:val="00DE759E"/>
    <w:rsid w:val="00DE782B"/>
    <w:rsid w:val="00DE7852"/>
    <w:rsid w:val="00DE78BA"/>
    <w:rsid w:val="00DF0076"/>
    <w:rsid w:val="00DF00CA"/>
    <w:rsid w:val="00DF06DF"/>
    <w:rsid w:val="00DF083F"/>
    <w:rsid w:val="00DF0A0D"/>
    <w:rsid w:val="00DF0FC6"/>
    <w:rsid w:val="00DF1208"/>
    <w:rsid w:val="00DF190E"/>
    <w:rsid w:val="00DF1AD0"/>
    <w:rsid w:val="00DF3520"/>
    <w:rsid w:val="00DF42A6"/>
    <w:rsid w:val="00DF45C4"/>
    <w:rsid w:val="00DF4DCC"/>
    <w:rsid w:val="00DF5032"/>
    <w:rsid w:val="00DF607E"/>
    <w:rsid w:val="00DF71B8"/>
    <w:rsid w:val="00E01134"/>
    <w:rsid w:val="00E01B06"/>
    <w:rsid w:val="00E01B90"/>
    <w:rsid w:val="00E02342"/>
    <w:rsid w:val="00E0271D"/>
    <w:rsid w:val="00E033B2"/>
    <w:rsid w:val="00E03E13"/>
    <w:rsid w:val="00E04BC8"/>
    <w:rsid w:val="00E0545C"/>
    <w:rsid w:val="00E05623"/>
    <w:rsid w:val="00E05C72"/>
    <w:rsid w:val="00E060DB"/>
    <w:rsid w:val="00E064D7"/>
    <w:rsid w:val="00E06D48"/>
    <w:rsid w:val="00E07815"/>
    <w:rsid w:val="00E0796B"/>
    <w:rsid w:val="00E07F32"/>
    <w:rsid w:val="00E103E7"/>
    <w:rsid w:val="00E11131"/>
    <w:rsid w:val="00E140B4"/>
    <w:rsid w:val="00E141C9"/>
    <w:rsid w:val="00E14231"/>
    <w:rsid w:val="00E15719"/>
    <w:rsid w:val="00E15B35"/>
    <w:rsid w:val="00E15FAB"/>
    <w:rsid w:val="00E16564"/>
    <w:rsid w:val="00E200F0"/>
    <w:rsid w:val="00E20B4E"/>
    <w:rsid w:val="00E21E63"/>
    <w:rsid w:val="00E21F5B"/>
    <w:rsid w:val="00E228CC"/>
    <w:rsid w:val="00E23052"/>
    <w:rsid w:val="00E23244"/>
    <w:rsid w:val="00E258AB"/>
    <w:rsid w:val="00E25B23"/>
    <w:rsid w:val="00E26072"/>
    <w:rsid w:val="00E261E5"/>
    <w:rsid w:val="00E27127"/>
    <w:rsid w:val="00E27461"/>
    <w:rsid w:val="00E27470"/>
    <w:rsid w:val="00E2781D"/>
    <w:rsid w:val="00E30033"/>
    <w:rsid w:val="00E30CCE"/>
    <w:rsid w:val="00E30F62"/>
    <w:rsid w:val="00E30FDF"/>
    <w:rsid w:val="00E313CB"/>
    <w:rsid w:val="00E318DB"/>
    <w:rsid w:val="00E31CAF"/>
    <w:rsid w:val="00E321BC"/>
    <w:rsid w:val="00E32E68"/>
    <w:rsid w:val="00E339A3"/>
    <w:rsid w:val="00E33F25"/>
    <w:rsid w:val="00E3403B"/>
    <w:rsid w:val="00E34BC6"/>
    <w:rsid w:val="00E34FF6"/>
    <w:rsid w:val="00E353EF"/>
    <w:rsid w:val="00E35609"/>
    <w:rsid w:val="00E3577B"/>
    <w:rsid w:val="00E36856"/>
    <w:rsid w:val="00E36BF0"/>
    <w:rsid w:val="00E37245"/>
    <w:rsid w:val="00E37255"/>
    <w:rsid w:val="00E37783"/>
    <w:rsid w:val="00E40471"/>
    <w:rsid w:val="00E40AFC"/>
    <w:rsid w:val="00E40EBE"/>
    <w:rsid w:val="00E40EC0"/>
    <w:rsid w:val="00E41118"/>
    <w:rsid w:val="00E419C9"/>
    <w:rsid w:val="00E41B2F"/>
    <w:rsid w:val="00E42627"/>
    <w:rsid w:val="00E426FA"/>
    <w:rsid w:val="00E43638"/>
    <w:rsid w:val="00E43BFF"/>
    <w:rsid w:val="00E441B4"/>
    <w:rsid w:val="00E45454"/>
    <w:rsid w:val="00E45752"/>
    <w:rsid w:val="00E464E9"/>
    <w:rsid w:val="00E46E6C"/>
    <w:rsid w:val="00E5044C"/>
    <w:rsid w:val="00E50671"/>
    <w:rsid w:val="00E50755"/>
    <w:rsid w:val="00E517CD"/>
    <w:rsid w:val="00E519B0"/>
    <w:rsid w:val="00E51E97"/>
    <w:rsid w:val="00E52EC9"/>
    <w:rsid w:val="00E533D1"/>
    <w:rsid w:val="00E5399A"/>
    <w:rsid w:val="00E54C67"/>
    <w:rsid w:val="00E54FBE"/>
    <w:rsid w:val="00E55907"/>
    <w:rsid w:val="00E55E55"/>
    <w:rsid w:val="00E55FCF"/>
    <w:rsid w:val="00E5618A"/>
    <w:rsid w:val="00E56F7C"/>
    <w:rsid w:val="00E60314"/>
    <w:rsid w:val="00E61018"/>
    <w:rsid w:val="00E610B2"/>
    <w:rsid w:val="00E61A02"/>
    <w:rsid w:val="00E61BD5"/>
    <w:rsid w:val="00E62667"/>
    <w:rsid w:val="00E6335E"/>
    <w:rsid w:val="00E644F7"/>
    <w:rsid w:val="00E64696"/>
    <w:rsid w:val="00E64B15"/>
    <w:rsid w:val="00E64F18"/>
    <w:rsid w:val="00E6532E"/>
    <w:rsid w:val="00E65A2D"/>
    <w:rsid w:val="00E65F9E"/>
    <w:rsid w:val="00E664F5"/>
    <w:rsid w:val="00E66DC4"/>
    <w:rsid w:val="00E6759A"/>
    <w:rsid w:val="00E675F6"/>
    <w:rsid w:val="00E67640"/>
    <w:rsid w:val="00E67D66"/>
    <w:rsid w:val="00E7095A"/>
    <w:rsid w:val="00E70A5D"/>
    <w:rsid w:val="00E70CC8"/>
    <w:rsid w:val="00E71771"/>
    <w:rsid w:val="00E71E55"/>
    <w:rsid w:val="00E73438"/>
    <w:rsid w:val="00E7447A"/>
    <w:rsid w:val="00E74C16"/>
    <w:rsid w:val="00E75420"/>
    <w:rsid w:val="00E75883"/>
    <w:rsid w:val="00E76F36"/>
    <w:rsid w:val="00E77802"/>
    <w:rsid w:val="00E77EE9"/>
    <w:rsid w:val="00E81CAE"/>
    <w:rsid w:val="00E829B3"/>
    <w:rsid w:val="00E8344A"/>
    <w:rsid w:val="00E837DC"/>
    <w:rsid w:val="00E8399D"/>
    <w:rsid w:val="00E83C5A"/>
    <w:rsid w:val="00E84E2E"/>
    <w:rsid w:val="00E85084"/>
    <w:rsid w:val="00E855A2"/>
    <w:rsid w:val="00E85F51"/>
    <w:rsid w:val="00E86A21"/>
    <w:rsid w:val="00E86E07"/>
    <w:rsid w:val="00E871C5"/>
    <w:rsid w:val="00E874FB"/>
    <w:rsid w:val="00E8767A"/>
    <w:rsid w:val="00E87821"/>
    <w:rsid w:val="00E87C3F"/>
    <w:rsid w:val="00E9238E"/>
    <w:rsid w:val="00E93247"/>
    <w:rsid w:val="00E93AA3"/>
    <w:rsid w:val="00E944C3"/>
    <w:rsid w:val="00E94689"/>
    <w:rsid w:val="00E94FC4"/>
    <w:rsid w:val="00E95806"/>
    <w:rsid w:val="00E95D3E"/>
    <w:rsid w:val="00E95D66"/>
    <w:rsid w:val="00E96397"/>
    <w:rsid w:val="00E9656C"/>
    <w:rsid w:val="00E966F7"/>
    <w:rsid w:val="00E96764"/>
    <w:rsid w:val="00E969F5"/>
    <w:rsid w:val="00E97568"/>
    <w:rsid w:val="00E97F46"/>
    <w:rsid w:val="00EA091D"/>
    <w:rsid w:val="00EA0BF3"/>
    <w:rsid w:val="00EA0CF8"/>
    <w:rsid w:val="00EA0D82"/>
    <w:rsid w:val="00EA0F55"/>
    <w:rsid w:val="00EA1D82"/>
    <w:rsid w:val="00EA4321"/>
    <w:rsid w:val="00EA52C4"/>
    <w:rsid w:val="00EA5689"/>
    <w:rsid w:val="00EA59E1"/>
    <w:rsid w:val="00EA6589"/>
    <w:rsid w:val="00EB03EA"/>
    <w:rsid w:val="00EB0D4A"/>
    <w:rsid w:val="00EB2BD4"/>
    <w:rsid w:val="00EB3A7D"/>
    <w:rsid w:val="00EB3DE9"/>
    <w:rsid w:val="00EB46E1"/>
    <w:rsid w:val="00EB4D1D"/>
    <w:rsid w:val="00EB5622"/>
    <w:rsid w:val="00EB66E9"/>
    <w:rsid w:val="00EB685A"/>
    <w:rsid w:val="00EB7C97"/>
    <w:rsid w:val="00EC0E3A"/>
    <w:rsid w:val="00EC112F"/>
    <w:rsid w:val="00EC1307"/>
    <w:rsid w:val="00EC1A51"/>
    <w:rsid w:val="00EC1BC1"/>
    <w:rsid w:val="00EC1D6D"/>
    <w:rsid w:val="00EC227C"/>
    <w:rsid w:val="00EC2597"/>
    <w:rsid w:val="00EC28AB"/>
    <w:rsid w:val="00EC308A"/>
    <w:rsid w:val="00EC3823"/>
    <w:rsid w:val="00EC3A11"/>
    <w:rsid w:val="00EC3DD0"/>
    <w:rsid w:val="00EC3EA0"/>
    <w:rsid w:val="00EC45F1"/>
    <w:rsid w:val="00EC4DA6"/>
    <w:rsid w:val="00EC4F39"/>
    <w:rsid w:val="00EC68A3"/>
    <w:rsid w:val="00EC6ABD"/>
    <w:rsid w:val="00ED0F35"/>
    <w:rsid w:val="00ED11E1"/>
    <w:rsid w:val="00ED163A"/>
    <w:rsid w:val="00ED16F2"/>
    <w:rsid w:val="00ED2AD5"/>
    <w:rsid w:val="00ED34CC"/>
    <w:rsid w:val="00ED3756"/>
    <w:rsid w:val="00ED39C7"/>
    <w:rsid w:val="00ED3BCA"/>
    <w:rsid w:val="00ED444C"/>
    <w:rsid w:val="00ED4D4F"/>
    <w:rsid w:val="00ED7E44"/>
    <w:rsid w:val="00EE1BA9"/>
    <w:rsid w:val="00EE1D0D"/>
    <w:rsid w:val="00EE3077"/>
    <w:rsid w:val="00EE3554"/>
    <w:rsid w:val="00EE3CC1"/>
    <w:rsid w:val="00EE3CD8"/>
    <w:rsid w:val="00EE58AF"/>
    <w:rsid w:val="00EE5D46"/>
    <w:rsid w:val="00EE667A"/>
    <w:rsid w:val="00EE69C8"/>
    <w:rsid w:val="00EF1215"/>
    <w:rsid w:val="00EF146E"/>
    <w:rsid w:val="00EF1CEB"/>
    <w:rsid w:val="00EF21D6"/>
    <w:rsid w:val="00EF3FCC"/>
    <w:rsid w:val="00EF559F"/>
    <w:rsid w:val="00EF65BF"/>
    <w:rsid w:val="00EF694A"/>
    <w:rsid w:val="00EF779B"/>
    <w:rsid w:val="00EF7B3A"/>
    <w:rsid w:val="00EF7E54"/>
    <w:rsid w:val="00EF7EAD"/>
    <w:rsid w:val="00F010B4"/>
    <w:rsid w:val="00F010CE"/>
    <w:rsid w:val="00F01439"/>
    <w:rsid w:val="00F04A10"/>
    <w:rsid w:val="00F04F8A"/>
    <w:rsid w:val="00F05898"/>
    <w:rsid w:val="00F06284"/>
    <w:rsid w:val="00F06373"/>
    <w:rsid w:val="00F06F4D"/>
    <w:rsid w:val="00F10271"/>
    <w:rsid w:val="00F11C7B"/>
    <w:rsid w:val="00F11FDA"/>
    <w:rsid w:val="00F14617"/>
    <w:rsid w:val="00F14DC5"/>
    <w:rsid w:val="00F150EB"/>
    <w:rsid w:val="00F15218"/>
    <w:rsid w:val="00F15CCB"/>
    <w:rsid w:val="00F16765"/>
    <w:rsid w:val="00F167BE"/>
    <w:rsid w:val="00F16FAC"/>
    <w:rsid w:val="00F16FF5"/>
    <w:rsid w:val="00F178E1"/>
    <w:rsid w:val="00F17ED1"/>
    <w:rsid w:val="00F2021A"/>
    <w:rsid w:val="00F20C46"/>
    <w:rsid w:val="00F21504"/>
    <w:rsid w:val="00F2268C"/>
    <w:rsid w:val="00F22D4B"/>
    <w:rsid w:val="00F22E98"/>
    <w:rsid w:val="00F22FA8"/>
    <w:rsid w:val="00F23146"/>
    <w:rsid w:val="00F23D0E"/>
    <w:rsid w:val="00F23E2E"/>
    <w:rsid w:val="00F24505"/>
    <w:rsid w:val="00F24E46"/>
    <w:rsid w:val="00F25BFE"/>
    <w:rsid w:val="00F265C7"/>
    <w:rsid w:val="00F265D4"/>
    <w:rsid w:val="00F27A74"/>
    <w:rsid w:val="00F305BC"/>
    <w:rsid w:val="00F30A44"/>
    <w:rsid w:val="00F30D23"/>
    <w:rsid w:val="00F31E53"/>
    <w:rsid w:val="00F3275D"/>
    <w:rsid w:val="00F32BAA"/>
    <w:rsid w:val="00F32D61"/>
    <w:rsid w:val="00F3317C"/>
    <w:rsid w:val="00F3363D"/>
    <w:rsid w:val="00F346AB"/>
    <w:rsid w:val="00F34ECC"/>
    <w:rsid w:val="00F35693"/>
    <w:rsid w:val="00F356E7"/>
    <w:rsid w:val="00F36BDA"/>
    <w:rsid w:val="00F370EB"/>
    <w:rsid w:val="00F407D5"/>
    <w:rsid w:val="00F40FA7"/>
    <w:rsid w:val="00F412CC"/>
    <w:rsid w:val="00F41F5B"/>
    <w:rsid w:val="00F42D9C"/>
    <w:rsid w:val="00F42F20"/>
    <w:rsid w:val="00F4358C"/>
    <w:rsid w:val="00F437CC"/>
    <w:rsid w:val="00F439D7"/>
    <w:rsid w:val="00F44044"/>
    <w:rsid w:val="00F4479F"/>
    <w:rsid w:val="00F447A0"/>
    <w:rsid w:val="00F44D29"/>
    <w:rsid w:val="00F4536C"/>
    <w:rsid w:val="00F456C9"/>
    <w:rsid w:val="00F507CB"/>
    <w:rsid w:val="00F51F6E"/>
    <w:rsid w:val="00F53147"/>
    <w:rsid w:val="00F53246"/>
    <w:rsid w:val="00F5379A"/>
    <w:rsid w:val="00F54F80"/>
    <w:rsid w:val="00F563A7"/>
    <w:rsid w:val="00F56623"/>
    <w:rsid w:val="00F56E79"/>
    <w:rsid w:val="00F5770E"/>
    <w:rsid w:val="00F57B5D"/>
    <w:rsid w:val="00F57C82"/>
    <w:rsid w:val="00F61545"/>
    <w:rsid w:val="00F61F86"/>
    <w:rsid w:val="00F620B5"/>
    <w:rsid w:val="00F628AF"/>
    <w:rsid w:val="00F63092"/>
    <w:rsid w:val="00F63CF3"/>
    <w:rsid w:val="00F649C8"/>
    <w:rsid w:val="00F64E03"/>
    <w:rsid w:val="00F65935"/>
    <w:rsid w:val="00F65D42"/>
    <w:rsid w:val="00F66B66"/>
    <w:rsid w:val="00F66D35"/>
    <w:rsid w:val="00F6739F"/>
    <w:rsid w:val="00F67960"/>
    <w:rsid w:val="00F708BA"/>
    <w:rsid w:val="00F70C03"/>
    <w:rsid w:val="00F71D1A"/>
    <w:rsid w:val="00F73DAA"/>
    <w:rsid w:val="00F74122"/>
    <w:rsid w:val="00F74347"/>
    <w:rsid w:val="00F75D83"/>
    <w:rsid w:val="00F76363"/>
    <w:rsid w:val="00F768BF"/>
    <w:rsid w:val="00F8149E"/>
    <w:rsid w:val="00F84AF7"/>
    <w:rsid w:val="00F84BBE"/>
    <w:rsid w:val="00F84FC8"/>
    <w:rsid w:val="00F85052"/>
    <w:rsid w:val="00F85922"/>
    <w:rsid w:val="00F85EBA"/>
    <w:rsid w:val="00F860A8"/>
    <w:rsid w:val="00F860FA"/>
    <w:rsid w:val="00F873E0"/>
    <w:rsid w:val="00F87F38"/>
    <w:rsid w:val="00F90ABA"/>
    <w:rsid w:val="00F90D85"/>
    <w:rsid w:val="00F91494"/>
    <w:rsid w:val="00F91750"/>
    <w:rsid w:val="00F919DA"/>
    <w:rsid w:val="00F91F62"/>
    <w:rsid w:val="00F92055"/>
    <w:rsid w:val="00F934BB"/>
    <w:rsid w:val="00F93E42"/>
    <w:rsid w:val="00F942CC"/>
    <w:rsid w:val="00F9435D"/>
    <w:rsid w:val="00F947C9"/>
    <w:rsid w:val="00F96238"/>
    <w:rsid w:val="00F96579"/>
    <w:rsid w:val="00F96EDC"/>
    <w:rsid w:val="00F971C7"/>
    <w:rsid w:val="00F97F3A"/>
    <w:rsid w:val="00FA09AF"/>
    <w:rsid w:val="00FA1C32"/>
    <w:rsid w:val="00FA231A"/>
    <w:rsid w:val="00FA2FBA"/>
    <w:rsid w:val="00FA352A"/>
    <w:rsid w:val="00FA4445"/>
    <w:rsid w:val="00FA479F"/>
    <w:rsid w:val="00FA52CD"/>
    <w:rsid w:val="00FA5B6F"/>
    <w:rsid w:val="00FA600F"/>
    <w:rsid w:val="00FA6D2A"/>
    <w:rsid w:val="00FA7266"/>
    <w:rsid w:val="00FA7311"/>
    <w:rsid w:val="00FA7D3D"/>
    <w:rsid w:val="00FA7E9F"/>
    <w:rsid w:val="00FB02D7"/>
    <w:rsid w:val="00FB1389"/>
    <w:rsid w:val="00FB1957"/>
    <w:rsid w:val="00FB2E8A"/>
    <w:rsid w:val="00FB3E23"/>
    <w:rsid w:val="00FB4B7A"/>
    <w:rsid w:val="00FB51AA"/>
    <w:rsid w:val="00FB7493"/>
    <w:rsid w:val="00FB7952"/>
    <w:rsid w:val="00FC001B"/>
    <w:rsid w:val="00FC0B0F"/>
    <w:rsid w:val="00FC1195"/>
    <w:rsid w:val="00FC1357"/>
    <w:rsid w:val="00FC1EFD"/>
    <w:rsid w:val="00FC2F9E"/>
    <w:rsid w:val="00FC3ED4"/>
    <w:rsid w:val="00FC4411"/>
    <w:rsid w:val="00FC526F"/>
    <w:rsid w:val="00FC5597"/>
    <w:rsid w:val="00FC6347"/>
    <w:rsid w:val="00FC661E"/>
    <w:rsid w:val="00FC7306"/>
    <w:rsid w:val="00FC75C0"/>
    <w:rsid w:val="00FD03DD"/>
    <w:rsid w:val="00FD195F"/>
    <w:rsid w:val="00FD2EFF"/>
    <w:rsid w:val="00FD335F"/>
    <w:rsid w:val="00FD3833"/>
    <w:rsid w:val="00FD3E4A"/>
    <w:rsid w:val="00FD40B5"/>
    <w:rsid w:val="00FD4767"/>
    <w:rsid w:val="00FD4A6E"/>
    <w:rsid w:val="00FD654E"/>
    <w:rsid w:val="00FD73AF"/>
    <w:rsid w:val="00FD77AA"/>
    <w:rsid w:val="00FD7EAE"/>
    <w:rsid w:val="00FD7F4D"/>
    <w:rsid w:val="00FE1034"/>
    <w:rsid w:val="00FE16CE"/>
    <w:rsid w:val="00FE16FF"/>
    <w:rsid w:val="00FE1708"/>
    <w:rsid w:val="00FE1BE0"/>
    <w:rsid w:val="00FE1CA2"/>
    <w:rsid w:val="00FE24E5"/>
    <w:rsid w:val="00FE27E0"/>
    <w:rsid w:val="00FE45BE"/>
    <w:rsid w:val="00FE526F"/>
    <w:rsid w:val="00FE555C"/>
    <w:rsid w:val="00FE67B7"/>
    <w:rsid w:val="00FE7EEC"/>
    <w:rsid w:val="00FF18FB"/>
    <w:rsid w:val="00FF214F"/>
    <w:rsid w:val="00FF2926"/>
    <w:rsid w:val="00FF319C"/>
    <w:rsid w:val="00FF344E"/>
    <w:rsid w:val="00FF3827"/>
    <w:rsid w:val="00FF3B1A"/>
    <w:rsid w:val="00FF3CAB"/>
    <w:rsid w:val="00FF453D"/>
    <w:rsid w:val="00FF49C4"/>
    <w:rsid w:val="00FF4E84"/>
    <w:rsid w:val="00FF6822"/>
    <w:rsid w:val="0137F87C"/>
    <w:rsid w:val="01409E32"/>
    <w:rsid w:val="017B9CB0"/>
    <w:rsid w:val="022A67EF"/>
    <w:rsid w:val="02832C17"/>
    <w:rsid w:val="028480A0"/>
    <w:rsid w:val="0480C631"/>
    <w:rsid w:val="04BB5140"/>
    <w:rsid w:val="04C045C0"/>
    <w:rsid w:val="054DA138"/>
    <w:rsid w:val="06749459"/>
    <w:rsid w:val="0694134A"/>
    <w:rsid w:val="06B2DF3D"/>
    <w:rsid w:val="070F6A19"/>
    <w:rsid w:val="07BA7808"/>
    <w:rsid w:val="0827DA4D"/>
    <w:rsid w:val="087A0660"/>
    <w:rsid w:val="08AC206F"/>
    <w:rsid w:val="08FB2244"/>
    <w:rsid w:val="09F12C90"/>
    <w:rsid w:val="0AD2E15A"/>
    <w:rsid w:val="0B017270"/>
    <w:rsid w:val="0B323BC7"/>
    <w:rsid w:val="0BEFA34F"/>
    <w:rsid w:val="0C329BAF"/>
    <w:rsid w:val="0C93891C"/>
    <w:rsid w:val="0CDA49B8"/>
    <w:rsid w:val="0EC036C5"/>
    <w:rsid w:val="0EF9490B"/>
    <w:rsid w:val="0F4F4A60"/>
    <w:rsid w:val="0FA8BBEE"/>
    <w:rsid w:val="10CBEE67"/>
    <w:rsid w:val="129E656E"/>
    <w:rsid w:val="129F9A2C"/>
    <w:rsid w:val="13A22670"/>
    <w:rsid w:val="13E66D04"/>
    <w:rsid w:val="14278144"/>
    <w:rsid w:val="150279E5"/>
    <w:rsid w:val="153C3098"/>
    <w:rsid w:val="161742AF"/>
    <w:rsid w:val="165ACB43"/>
    <w:rsid w:val="16623002"/>
    <w:rsid w:val="16D72EFA"/>
    <w:rsid w:val="16F3E576"/>
    <w:rsid w:val="17462C0A"/>
    <w:rsid w:val="174677A2"/>
    <w:rsid w:val="182A0B5A"/>
    <w:rsid w:val="19461A38"/>
    <w:rsid w:val="1999A93C"/>
    <w:rsid w:val="1A8FE68E"/>
    <w:rsid w:val="1AA47C1C"/>
    <w:rsid w:val="1AFBB3E1"/>
    <w:rsid w:val="1D554AC8"/>
    <w:rsid w:val="1DC033FB"/>
    <w:rsid w:val="1DD02162"/>
    <w:rsid w:val="1ED99A64"/>
    <w:rsid w:val="200C3045"/>
    <w:rsid w:val="2072CD9F"/>
    <w:rsid w:val="21253A7C"/>
    <w:rsid w:val="23064F71"/>
    <w:rsid w:val="2329C4F1"/>
    <w:rsid w:val="247B5BB4"/>
    <w:rsid w:val="251C0101"/>
    <w:rsid w:val="2527789C"/>
    <w:rsid w:val="26EFC070"/>
    <w:rsid w:val="276052A5"/>
    <w:rsid w:val="276731D1"/>
    <w:rsid w:val="27724792"/>
    <w:rsid w:val="2779951A"/>
    <w:rsid w:val="296396EC"/>
    <w:rsid w:val="296AC03A"/>
    <w:rsid w:val="2A23CB9A"/>
    <w:rsid w:val="2B0AB152"/>
    <w:rsid w:val="2B634061"/>
    <w:rsid w:val="2C378E65"/>
    <w:rsid w:val="2D215915"/>
    <w:rsid w:val="2E6C2FA1"/>
    <w:rsid w:val="2FA551F6"/>
    <w:rsid w:val="312140FF"/>
    <w:rsid w:val="3153EAB4"/>
    <w:rsid w:val="31D804EF"/>
    <w:rsid w:val="32B48F1C"/>
    <w:rsid w:val="34957527"/>
    <w:rsid w:val="34FFEAF1"/>
    <w:rsid w:val="35434B2E"/>
    <w:rsid w:val="3569D5F2"/>
    <w:rsid w:val="35ACE128"/>
    <w:rsid w:val="3620295C"/>
    <w:rsid w:val="36B5A054"/>
    <w:rsid w:val="3732A80B"/>
    <w:rsid w:val="37BDB386"/>
    <w:rsid w:val="383C977A"/>
    <w:rsid w:val="3840C12D"/>
    <w:rsid w:val="38F03EAD"/>
    <w:rsid w:val="397BBBA6"/>
    <w:rsid w:val="39A0EE66"/>
    <w:rsid w:val="39C1B466"/>
    <w:rsid w:val="3A34A12F"/>
    <w:rsid w:val="3A840CCB"/>
    <w:rsid w:val="3A925C7C"/>
    <w:rsid w:val="3AE32405"/>
    <w:rsid w:val="3B487648"/>
    <w:rsid w:val="3BE99C62"/>
    <w:rsid w:val="3DCB8510"/>
    <w:rsid w:val="3DFC5747"/>
    <w:rsid w:val="3E0B18BA"/>
    <w:rsid w:val="3E4294D4"/>
    <w:rsid w:val="40420523"/>
    <w:rsid w:val="4054F9D9"/>
    <w:rsid w:val="40AA64B6"/>
    <w:rsid w:val="40C4BF48"/>
    <w:rsid w:val="40E77A3F"/>
    <w:rsid w:val="41817110"/>
    <w:rsid w:val="41DDD1E7"/>
    <w:rsid w:val="42CE4B78"/>
    <w:rsid w:val="43A99B47"/>
    <w:rsid w:val="43C8E0A0"/>
    <w:rsid w:val="43CD30ED"/>
    <w:rsid w:val="4442DE94"/>
    <w:rsid w:val="44BCC745"/>
    <w:rsid w:val="457A3E91"/>
    <w:rsid w:val="45C40DE4"/>
    <w:rsid w:val="46767BE8"/>
    <w:rsid w:val="498C6400"/>
    <w:rsid w:val="4B235912"/>
    <w:rsid w:val="4B2BDB9E"/>
    <w:rsid w:val="4B9F066D"/>
    <w:rsid w:val="4C5096C2"/>
    <w:rsid w:val="4CC11843"/>
    <w:rsid w:val="4CD29D71"/>
    <w:rsid w:val="4D19F8F5"/>
    <w:rsid w:val="4D96ED78"/>
    <w:rsid w:val="4F236ADE"/>
    <w:rsid w:val="4F83C5BC"/>
    <w:rsid w:val="4F97D1B9"/>
    <w:rsid w:val="4FAE4778"/>
    <w:rsid w:val="4FEE89A9"/>
    <w:rsid w:val="4FFE8A66"/>
    <w:rsid w:val="5034DFED"/>
    <w:rsid w:val="51B95354"/>
    <w:rsid w:val="51FA0720"/>
    <w:rsid w:val="54241AE5"/>
    <w:rsid w:val="54413ECB"/>
    <w:rsid w:val="54CB9237"/>
    <w:rsid w:val="567B38E1"/>
    <w:rsid w:val="568147E5"/>
    <w:rsid w:val="56A24177"/>
    <w:rsid w:val="5712252A"/>
    <w:rsid w:val="5767D7F8"/>
    <w:rsid w:val="58C61DE6"/>
    <w:rsid w:val="590B3431"/>
    <w:rsid w:val="5A25EFE5"/>
    <w:rsid w:val="5A3EB600"/>
    <w:rsid w:val="5A449E24"/>
    <w:rsid w:val="5AF483A2"/>
    <w:rsid w:val="5CAD6AEE"/>
    <w:rsid w:val="5CFD48F4"/>
    <w:rsid w:val="5D8F809D"/>
    <w:rsid w:val="5E6E6C6B"/>
    <w:rsid w:val="5F5A4A65"/>
    <w:rsid w:val="5F944E0A"/>
    <w:rsid w:val="5FE2D1FD"/>
    <w:rsid w:val="60447881"/>
    <w:rsid w:val="60741A9C"/>
    <w:rsid w:val="60FEB01B"/>
    <w:rsid w:val="61D897B3"/>
    <w:rsid w:val="61E630E6"/>
    <w:rsid w:val="625BFC9E"/>
    <w:rsid w:val="626A7239"/>
    <w:rsid w:val="632F6CD2"/>
    <w:rsid w:val="63F85D88"/>
    <w:rsid w:val="6720B6B2"/>
    <w:rsid w:val="67989BDA"/>
    <w:rsid w:val="67C0D990"/>
    <w:rsid w:val="68243B7F"/>
    <w:rsid w:val="682DAC30"/>
    <w:rsid w:val="683B7237"/>
    <w:rsid w:val="6871DC34"/>
    <w:rsid w:val="691A42D4"/>
    <w:rsid w:val="6A147A2C"/>
    <w:rsid w:val="6A1E81FF"/>
    <w:rsid w:val="6A31E03F"/>
    <w:rsid w:val="6B6C3820"/>
    <w:rsid w:val="6BF03C24"/>
    <w:rsid w:val="6C7DA4D9"/>
    <w:rsid w:val="6CD83122"/>
    <w:rsid w:val="6D02E854"/>
    <w:rsid w:val="6D3B63E7"/>
    <w:rsid w:val="6E83A35B"/>
    <w:rsid w:val="6EEDD80F"/>
    <w:rsid w:val="70B77437"/>
    <w:rsid w:val="7103A655"/>
    <w:rsid w:val="7143A55F"/>
    <w:rsid w:val="716F6F8D"/>
    <w:rsid w:val="718FBA62"/>
    <w:rsid w:val="71C8CACB"/>
    <w:rsid w:val="73088D76"/>
    <w:rsid w:val="732032DB"/>
    <w:rsid w:val="740175DC"/>
    <w:rsid w:val="749A6AC2"/>
    <w:rsid w:val="751CA6AB"/>
    <w:rsid w:val="754DD53A"/>
    <w:rsid w:val="7551B5EC"/>
    <w:rsid w:val="75DE5AA0"/>
    <w:rsid w:val="763AD76A"/>
    <w:rsid w:val="76A52751"/>
    <w:rsid w:val="76B5869C"/>
    <w:rsid w:val="773FACFD"/>
    <w:rsid w:val="7802A288"/>
    <w:rsid w:val="78B07A02"/>
    <w:rsid w:val="79771555"/>
    <w:rsid w:val="7A1655DD"/>
    <w:rsid w:val="7A21F264"/>
    <w:rsid w:val="7A6D0A6F"/>
    <w:rsid w:val="7A7E790B"/>
    <w:rsid w:val="7ABF1350"/>
    <w:rsid w:val="7B603FE8"/>
    <w:rsid w:val="7CAB3DC6"/>
    <w:rsid w:val="7E28C60B"/>
    <w:rsid w:val="7F3E9EBF"/>
    <w:rsid w:val="7F9EAD07"/>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1B164A2"/>
  <w15:docId w15:val="{4A878EDC-C30A-4FBC-B5DE-E7DD9351C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2"/>
    <w:lsdException w:name="heading 2" w:semiHidden="1" w:uiPriority="2" w:unhideWhenUsed="1" w:qFormat="1"/>
    <w:lsdException w:name="heading 3" w:semiHidden="1" w:uiPriority="2" w:unhideWhenUsed="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lsdException w:name="heading 9" w:semiHidden="1" w:uiPriority="1" w:unhideWhenUsed="1"/>
    <w:lsdException w:name="index 1" w:semiHidden="1" w:uiPriority="98"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4" w:unhideWhenUsed="1" w:qFormat="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8" w:unhideWhenUsed="1" w:qFormat="1"/>
    <w:lsdException w:name="table of figures" w:semiHidden="1" w:uiPriority="98" w:unhideWhenUsed="1"/>
    <w:lsdException w:name="envelope address" w:semiHidden="1" w:unhideWhenUsed="1"/>
    <w:lsdException w:name="envelope return" w:semiHidden="1" w:unhideWhenUsed="1"/>
    <w:lsdException w:name="footnote reference" w:semiHidden="1" w:uiPriority="11" w:unhideWhenUsed="1"/>
    <w:lsdException w:name="annotation reference" w:semiHidden="1" w:unhideWhenUsed="1"/>
    <w:lsdException w:name="line number" w:semiHidden="1" w:unhideWhenUsed="1"/>
    <w:lsdException w:name="page number" w:semiHidden="1" w:uiPriority="14" w:unhideWhenUsed="1"/>
    <w:lsdException w:name="endnote reference" w:semiHidden="1" w:unhideWhenUsed="1"/>
    <w:lsdException w:name="endnote text" w:semiHidden="1" w:uiPriority="98"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98" w:unhideWhenUsed="1" w:qFormat="1"/>
    <w:lsdException w:name="List Number" w:semiHidden="1" w:uiPriority="9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8" w:unhideWhenUsed="1"/>
    <w:lsdException w:name="List Bullet 3" w:semiHidden="1" w:uiPriority="1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8"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98" w:unhideWhenUsed="1"/>
    <w:lsdException w:name="Plain Text" w:semiHidden="1" w:uiPriority="98"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8"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8" w:unhideWhenUsed="1"/>
    <w:lsdException w:name="Table Grid" w:uiPriority="0"/>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98"/>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2"/>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98"/>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12B3F"/>
  </w:style>
  <w:style w:type="paragraph" w:styleId="Heading1">
    <w:name w:val="heading 1"/>
    <w:next w:val="ARbody"/>
    <w:link w:val="Heading1Char"/>
    <w:uiPriority w:val="2"/>
    <w:rsid w:val="00B27393"/>
    <w:pPr>
      <w:keepNext/>
      <w:keepLines/>
      <w:spacing w:after="800" w:line="480" w:lineRule="atLeast"/>
      <w:outlineLvl w:val="0"/>
    </w:pPr>
    <w:rPr>
      <w:rFonts w:ascii="Arial" w:eastAsia="MS Gothic" w:hAnsi="Arial" w:cs="Times New Roman"/>
      <w:bCs/>
      <w:color w:val="87189D"/>
      <w:kern w:val="32"/>
      <w:sz w:val="48"/>
      <w:szCs w:val="64"/>
    </w:rPr>
  </w:style>
  <w:style w:type="paragraph" w:styleId="Heading2">
    <w:name w:val="heading 2"/>
    <w:next w:val="ARbody"/>
    <w:link w:val="Heading2Char"/>
    <w:uiPriority w:val="2"/>
    <w:qFormat/>
    <w:rsid w:val="00D271CB"/>
    <w:pPr>
      <w:keepNext/>
      <w:keepLines/>
      <w:spacing w:before="300" w:after="80" w:line="340" w:lineRule="atLeast"/>
      <w:outlineLvl w:val="1"/>
    </w:pPr>
    <w:rPr>
      <w:rFonts w:ascii="Arial" w:eastAsia="MS Gothic" w:hAnsi="Arial" w:cs="Times New Roman"/>
      <w:bCs/>
      <w:iCs/>
      <w:color w:val="53565A"/>
      <w:sz w:val="32"/>
      <w:szCs w:val="30"/>
    </w:rPr>
  </w:style>
  <w:style w:type="paragraph" w:styleId="Heading3">
    <w:name w:val="heading 3"/>
    <w:next w:val="ARbody"/>
    <w:link w:val="Heading3Char"/>
    <w:uiPriority w:val="2"/>
    <w:rsid w:val="000E4A2A"/>
    <w:pPr>
      <w:keepNext/>
      <w:keepLines/>
      <w:spacing w:before="280" w:after="80" w:line="280" w:lineRule="atLeast"/>
      <w:outlineLvl w:val="2"/>
    </w:pPr>
    <w:rPr>
      <w:rFonts w:ascii="Arial" w:eastAsia="MS Gothic" w:hAnsi="Arial" w:cs="Times New Roman"/>
      <w:bCs/>
      <w:color w:val="87189D"/>
      <w:sz w:val="28"/>
      <w:szCs w:val="24"/>
      <w:lang w:eastAsia="en-AU"/>
    </w:rPr>
  </w:style>
  <w:style w:type="paragraph" w:styleId="Heading4">
    <w:name w:val="heading 4"/>
    <w:next w:val="ARbody"/>
    <w:link w:val="Heading4Char"/>
    <w:uiPriority w:val="2"/>
    <w:qFormat/>
    <w:rsid w:val="00965476"/>
    <w:pPr>
      <w:keepNext/>
      <w:keepLines/>
      <w:spacing w:before="200" w:after="80" w:line="240" w:lineRule="atLeast"/>
      <w:outlineLvl w:val="3"/>
    </w:pPr>
    <w:rPr>
      <w:rFonts w:ascii="Arial" w:eastAsia="MS Mincho" w:hAnsi="Arial" w:cs="Arial"/>
      <w:b/>
      <w:bCs/>
      <w:color w:val="53565A"/>
      <w:sz w:val="24"/>
      <w:szCs w:val="24"/>
    </w:rPr>
  </w:style>
  <w:style w:type="paragraph" w:styleId="Heading5">
    <w:name w:val="heading 5"/>
    <w:next w:val="ARbody"/>
    <w:link w:val="Heading5Char"/>
    <w:uiPriority w:val="2"/>
    <w:qFormat/>
    <w:rsid w:val="006F463D"/>
    <w:pPr>
      <w:keepNext/>
      <w:keepLines/>
      <w:spacing w:before="240" w:after="80" w:line="260" w:lineRule="atLeast"/>
      <w:outlineLvl w:val="4"/>
    </w:pPr>
    <w:rPr>
      <w:rFonts w:ascii="Arial" w:eastAsia="Times New Roman" w:hAnsi="Arial" w:cs="Times New Roman"/>
      <w:b/>
      <w:color w:val="87189D"/>
      <w:szCs w:val="24"/>
    </w:rPr>
  </w:style>
  <w:style w:type="paragraph" w:styleId="Heading6">
    <w:name w:val="heading 6"/>
    <w:basedOn w:val="Normal"/>
    <w:next w:val="Normal"/>
    <w:link w:val="Heading6Char"/>
    <w:uiPriority w:val="2"/>
    <w:qFormat/>
    <w:rsid w:val="00965476"/>
    <w:pPr>
      <w:keepNext/>
      <w:keepLines/>
      <w:overflowPunct w:val="0"/>
      <w:autoSpaceDE w:val="0"/>
      <w:autoSpaceDN w:val="0"/>
      <w:adjustRightInd w:val="0"/>
      <w:spacing w:before="240" w:after="80" w:line="240" w:lineRule="auto"/>
      <w:textAlignment w:val="baseline"/>
      <w:outlineLvl w:val="5"/>
    </w:pPr>
    <w:rPr>
      <w:rFonts w:ascii="Arial" w:eastAsia="Times New Roman" w:hAnsi="Arial" w:cs="Times New Roman"/>
      <w:b/>
      <w:bCs/>
      <w:sz w:val="20"/>
      <w:szCs w:val="24"/>
      <w:lang w:val="x-none"/>
    </w:rPr>
  </w:style>
  <w:style w:type="paragraph" w:styleId="Heading7">
    <w:name w:val="heading 7"/>
    <w:basedOn w:val="Normal"/>
    <w:next w:val="Normal"/>
    <w:link w:val="Heading7Char"/>
    <w:uiPriority w:val="2"/>
    <w:qFormat/>
    <w:rsid w:val="00965476"/>
    <w:pPr>
      <w:keepNext/>
      <w:keepLines/>
      <w:spacing w:before="180" w:after="60" w:line="240" w:lineRule="auto"/>
      <w:outlineLvl w:val="6"/>
    </w:pPr>
    <w:rPr>
      <w:rFonts w:ascii="Arial" w:eastAsiaTheme="majorEastAsia" w:hAnsi="Arial" w:cstheme="majorBidi"/>
      <w:b/>
      <w:iCs/>
      <w:color w:val="53565A"/>
      <w:sz w:val="20"/>
      <w:szCs w:val="21"/>
      <w:lang w:eastAsia="en-AU"/>
    </w:rPr>
  </w:style>
  <w:style w:type="paragraph" w:styleId="Heading8">
    <w:name w:val="heading 8"/>
    <w:basedOn w:val="Normal"/>
    <w:next w:val="Normal"/>
    <w:link w:val="Heading8Char"/>
    <w:uiPriority w:val="2"/>
    <w:semiHidden/>
    <w:rsid w:val="00965476"/>
    <w:pPr>
      <w:keepNext/>
      <w:keepLines/>
      <w:spacing w:before="40" w:after="0" w:line="264" w:lineRule="auto"/>
      <w:outlineLvl w:val="7"/>
    </w:pPr>
    <w:rPr>
      <w:rFonts w:asciiTheme="majorHAnsi" w:eastAsiaTheme="majorEastAsia" w:hAnsiTheme="majorHAnsi" w:cstheme="majorBidi"/>
      <w:b/>
      <w:bCs/>
      <w:color w:val="44546A" w:themeColor="text2"/>
      <w:sz w:val="20"/>
      <w:szCs w:val="20"/>
      <w:lang w:eastAsia="en-AU"/>
    </w:rPr>
  </w:style>
  <w:style w:type="paragraph" w:styleId="Heading9">
    <w:name w:val="heading 9"/>
    <w:basedOn w:val="Normal"/>
    <w:next w:val="Normal"/>
    <w:link w:val="Heading9Char"/>
    <w:uiPriority w:val="1"/>
    <w:semiHidden/>
    <w:rsid w:val="00965476"/>
    <w:pPr>
      <w:keepNext/>
      <w:keepLines/>
      <w:spacing w:before="40" w:after="0" w:line="264" w:lineRule="auto"/>
      <w:outlineLvl w:val="8"/>
    </w:pPr>
    <w:rPr>
      <w:rFonts w:asciiTheme="majorHAnsi" w:eastAsiaTheme="majorEastAsia" w:hAnsiTheme="majorHAnsi" w:cstheme="majorBidi"/>
      <w:b/>
      <w:bCs/>
      <w:i/>
      <w:iCs/>
      <w:color w:val="44546A" w:themeColor="text2"/>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rsid w:val="005B7992"/>
    <w:pPr>
      <w:widowControl w:val="0"/>
      <w:overflowPunct w:val="0"/>
      <w:autoSpaceDE w:val="0"/>
      <w:autoSpaceDN w:val="0"/>
      <w:adjustRightInd w:val="0"/>
      <w:spacing w:after="120" w:line="264" w:lineRule="auto"/>
      <w:textAlignment w:val="baseline"/>
    </w:pPr>
    <w:rPr>
      <w:rFonts w:ascii="Arial" w:eastAsiaTheme="minorEastAsia" w:hAnsi="Arial"/>
      <w:sz w:val="24"/>
      <w:szCs w:val="24"/>
    </w:rPr>
  </w:style>
  <w:style w:type="character" w:customStyle="1" w:styleId="HeaderChar">
    <w:name w:val="Header Char"/>
    <w:basedOn w:val="DefaultParagraphFont"/>
    <w:link w:val="Header"/>
    <w:uiPriority w:val="99"/>
    <w:rsid w:val="005B7992"/>
    <w:rPr>
      <w:rFonts w:ascii="Arial" w:eastAsiaTheme="minorEastAsia" w:hAnsi="Arial"/>
      <w:sz w:val="24"/>
      <w:szCs w:val="24"/>
    </w:rPr>
  </w:style>
  <w:style w:type="character" w:styleId="Hyperlink">
    <w:name w:val="Hyperlink"/>
    <w:uiPriority w:val="99"/>
    <w:rsid w:val="005B7992"/>
    <w:rPr>
      <w:color w:val="0072CE"/>
      <w:u w:val="dotted"/>
    </w:rPr>
  </w:style>
  <w:style w:type="paragraph" w:customStyle="1" w:styleId="ARaccessibilitypara">
    <w:name w:val="AR accessibility para"/>
    <w:uiPriority w:val="99"/>
    <w:rsid w:val="005B7992"/>
    <w:pPr>
      <w:spacing w:after="200" w:line="300" w:lineRule="atLeast"/>
    </w:pPr>
    <w:rPr>
      <w:rFonts w:ascii="Arial" w:eastAsia="Times" w:hAnsi="Arial"/>
      <w:sz w:val="24"/>
      <w:szCs w:val="19"/>
    </w:rPr>
  </w:style>
  <w:style w:type="paragraph" w:customStyle="1" w:styleId="ARbody">
    <w:name w:val="AR body"/>
    <w:uiPriority w:val="99"/>
    <w:qFormat/>
    <w:rsid w:val="005B7992"/>
    <w:pPr>
      <w:spacing w:after="120" w:line="260" w:lineRule="atLeast"/>
    </w:pPr>
    <w:rPr>
      <w:rFonts w:ascii="Arial" w:eastAsia="Times" w:hAnsi="Arial" w:cs="Arial"/>
      <w:sz w:val="20"/>
      <w:szCs w:val="24"/>
    </w:rPr>
  </w:style>
  <w:style w:type="character" w:styleId="Strong">
    <w:name w:val="Strong"/>
    <w:basedOn w:val="DefaultParagraphFont"/>
    <w:uiPriority w:val="22"/>
    <w:qFormat/>
    <w:rsid w:val="005B7992"/>
    <w:rPr>
      <w:b/>
      <w:bCs/>
    </w:rPr>
  </w:style>
  <w:style w:type="paragraph" w:styleId="Footer">
    <w:name w:val="footer"/>
    <w:basedOn w:val="Normal"/>
    <w:link w:val="FooterChar"/>
    <w:uiPriority w:val="99"/>
    <w:unhideWhenUsed/>
    <w:rsid w:val="005B7992"/>
    <w:pPr>
      <w:tabs>
        <w:tab w:val="center" w:pos="4513"/>
        <w:tab w:val="right" w:pos="9026"/>
      </w:tabs>
      <w:spacing w:after="0" w:line="240" w:lineRule="auto"/>
    </w:pPr>
    <w:rPr>
      <w:rFonts w:eastAsiaTheme="minorEastAsia"/>
      <w:sz w:val="20"/>
      <w:szCs w:val="20"/>
      <w:lang w:eastAsia="en-AU"/>
    </w:rPr>
  </w:style>
  <w:style w:type="character" w:customStyle="1" w:styleId="FooterChar">
    <w:name w:val="Footer Char"/>
    <w:basedOn w:val="DefaultParagraphFont"/>
    <w:link w:val="Footer"/>
    <w:uiPriority w:val="99"/>
    <w:rsid w:val="005B7992"/>
    <w:rPr>
      <w:rFonts w:eastAsiaTheme="minorEastAsia"/>
      <w:sz w:val="20"/>
      <w:szCs w:val="20"/>
      <w:lang w:eastAsia="en-AU"/>
    </w:rPr>
  </w:style>
  <w:style w:type="paragraph" w:styleId="BalloonText">
    <w:name w:val="Balloon Text"/>
    <w:basedOn w:val="Normal"/>
    <w:link w:val="BalloonTextChar"/>
    <w:uiPriority w:val="98"/>
    <w:semiHidden/>
    <w:unhideWhenUsed/>
    <w:rsid w:val="005B79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8"/>
    <w:semiHidden/>
    <w:rsid w:val="005B7992"/>
    <w:rPr>
      <w:rFonts w:ascii="Segoe UI" w:hAnsi="Segoe UI" w:cs="Segoe UI"/>
      <w:sz w:val="18"/>
      <w:szCs w:val="18"/>
    </w:rPr>
  </w:style>
  <w:style w:type="character" w:customStyle="1" w:styleId="Heading1Char">
    <w:name w:val="Heading 1 Char"/>
    <w:basedOn w:val="DefaultParagraphFont"/>
    <w:link w:val="Heading1"/>
    <w:uiPriority w:val="2"/>
    <w:rsid w:val="00B27393"/>
    <w:rPr>
      <w:rFonts w:ascii="Arial" w:eastAsia="MS Gothic" w:hAnsi="Arial" w:cs="Times New Roman"/>
      <w:bCs/>
      <w:color w:val="87189D"/>
      <w:kern w:val="32"/>
      <w:sz w:val="48"/>
      <w:szCs w:val="64"/>
    </w:rPr>
  </w:style>
  <w:style w:type="paragraph" w:customStyle="1" w:styleId="ARbodynospace">
    <w:name w:val="AR body no space"/>
    <w:basedOn w:val="ARbody"/>
    <w:uiPriority w:val="3"/>
    <w:rsid w:val="005B7992"/>
    <w:pPr>
      <w:spacing w:after="0"/>
    </w:pPr>
  </w:style>
  <w:style w:type="character" w:customStyle="1" w:styleId="ARpagenumber">
    <w:name w:val="AR page number"/>
    <w:uiPriority w:val="11"/>
    <w:rsid w:val="005B7992"/>
    <w:rPr>
      <w:rFonts w:cs="Arial"/>
      <w:b/>
      <w:color w:val="53565A"/>
    </w:rPr>
  </w:style>
  <w:style w:type="paragraph" w:customStyle="1" w:styleId="ARbodyaftertable">
    <w:name w:val="AR body after table"/>
    <w:basedOn w:val="ARbody"/>
    <w:uiPriority w:val="99"/>
    <w:qFormat/>
    <w:rsid w:val="005B7992"/>
    <w:pPr>
      <w:spacing w:before="240"/>
    </w:pPr>
  </w:style>
  <w:style w:type="paragraph" w:customStyle="1" w:styleId="ARfooter">
    <w:name w:val="AR footer"/>
    <w:uiPriority w:val="98"/>
    <w:rsid w:val="00AF269C"/>
    <w:pPr>
      <w:spacing w:after="0" w:line="264" w:lineRule="auto"/>
    </w:pPr>
    <w:rPr>
      <w:rFonts w:ascii="Arial" w:eastAsiaTheme="minorEastAsia" w:hAnsi="Arial"/>
      <w:color w:val="87189D"/>
      <w:sz w:val="18"/>
      <w:szCs w:val="24"/>
    </w:rPr>
  </w:style>
  <w:style w:type="paragraph" w:styleId="TOC1">
    <w:name w:val="toc 1"/>
    <w:uiPriority w:val="39"/>
    <w:qFormat/>
    <w:rsid w:val="00637705"/>
    <w:pPr>
      <w:pBdr>
        <w:bottom w:val="single" w:sz="4" w:space="3" w:color="87189D"/>
        <w:between w:val="single" w:sz="4" w:space="1" w:color="87189D"/>
      </w:pBdr>
      <w:tabs>
        <w:tab w:val="right" w:pos="9639"/>
      </w:tabs>
      <w:spacing w:before="120" w:after="40" w:line="264" w:lineRule="auto"/>
    </w:pPr>
    <w:rPr>
      <w:rFonts w:ascii="Arial" w:eastAsiaTheme="minorEastAsia" w:hAnsi="Arial"/>
      <w:noProof/>
      <w:sz w:val="20"/>
      <w:szCs w:val="20"/>
      <w:u w:color="D50032"/>
    </w:rPr>
  </w:style>
  <w:style w:type="paragraph" w:customStyle="1" w:styleId="ARTOCheading">
    <w:name w:val="AR TOC heading"/>
    <w:basedOn w:val="Heading1"/>
    <w:next w:val="ARbody"/>
    <w:link w:val="ARTOCheadingChar"/>
    <w:uiPriority w:val="99"/>
    <w:rsid w:val="005B7992"/>
    <w:pPr>
      <w:outlineLvl w:val="9"/>
    </w:pPr>
    <w:rPr>
      <w:lang w:val="x-none" w:eastAsia="x-none"/>
    </w:rPr>
  </w:style>
  <w:style w:type="character" w:customStyle="1" w:styleId="ARTOCheadingChar">
    <w:name w:val="AR TOC heading Char"/>
    <w:link w:val="ARTOCheading"/>
    <w:uiPriority w:val="99"/>
    <w:rsid w:val="005B7992"/>
    <w:rPr>
      <w:rFonts w:ascii="Arial" w:eastAsia="MS Gothic" w:hAnsi="Arial" w:cs="Times New Roman"/>
      <w:bCs/>
      <w:color w:val="87189D" w:themeColor="accent1"/>
      <w:kern w:val="32"/>
      <w:sz w:val="48"/>
      <w:szCs w:val="64"/>
      <w:lang w:val="x-none" w:eastAsia="x-none"/>
    </w:rPr>
  </w:style>
  <w:style w:type="paragraph" w:customStyle="1" w:styleId="ARbodyafterbullets">
    <w:name w:val="AR body after bullets"/>
    <w:basedOn w:val="ARbody"/>
    <w:uiPriority w:val="98"/>
    <w:qFormat/>
    <w:rsid w:val="005B7992"/>
    <w:pPr>
      <w:spacing w:before="120"/>
    </w:pPr>
  </w:style>
  <w:style w:type="character" w:styleId="PageNumber">
    <w:name w:val="page number"/>
    <w:basedOn w:val="ARpagenumber"/>
    <w:uiPriority w:val="14"/>
    <w:rsid w:val="005B7992"/>
    <w:rPr>
      <w:rFonts w:cs="Arial"/>
      <w:b/>
      <w:color w:val="53565A"/>
    </w:rPr>
  </w:style>
  <w:style w:type="paragraph" w:customStyle="1" w:styleId="ARbullet1">
    <w:name w:val="AR bullet 1"/>
    <w:basedOn w:val="ARbody"/>
    <w:uiPriority w:val="99"/>
    <w:qFormat/>
    <w:rsid w:val="00D271CB"/>
    <w:pPr>
      <w:numPr>
        <w:numId w:val="18"/>
      </w:numPr>
      <w:spacing w:after="40"/>
    </w:pPr>
  </w:style>
  <w:style w:type="paragraph" w:customStyle="1" w:styleId="ARbullet2">
    <w:name w:val="AR bullet 2"/>
    <w:basedOn w:val="ARbody"/>
    <w:uiPriority w:val="99"/>
    <w:qFormat/>
    <w:rsid w:val="00D271CB"/>
    <w:pPr>
      <w:numPr>
        <w:ilvl w:val="1"/>
        <w:numId w:val="18"/>
      </w:numPr>
      <w:spacing w:after="40"/>
    </w:pPr>
  </w:style>
  <w:style w:type="numbering" w:customStyle="1" w:styleId="ZZBullets">
    <w:name w:val="ZZ Bullets"/>
    <w:rsid w:val="00D271CB"/>
    <w:pPr>
      <w:numPr>
        <w:numId w:val="18"/>
      </w:numPr>
    </w:pPr>
  </w:style>
  <w:style w:type="character" w:customStyle="1" w:styleId="Heading2Char">
    <w:name w:val="Heading 2 Char"/>
    <w:basedOn w:val="DefaultParagraphFont"/>
    <w:link w:val="Heading2"/>
    <w:uiPriority w:val="2"/>
    <w:rsid w:val="00D271CB"/>
    <w:rPr>
      <w:rFonts w:ascii="Arial" w:eastAsia="MS Gothic" w:hAnsi="Arial" w:cs="Times New Roman"/>
      <w:bCs/>
      <w:iCs/>
      <w:color w:val="53565A"/>
      <w:sz w:val="32"/>
      <w:szCs w:val="30"/>
    </w:rPr>
  </w:style>
  <w:style w:type="character" w:customStyle="1" w:styleId="Heading3Char">
    <w:name w:val="Heading 3 Char"/>
    <w:basedOn w:val="DefaultParagraphFont"/>
    <w:link w:val="Heading3"/>
    <w:uiPriority w:val="2"/>
    <w:rsid w:val="000E4A2A"/>
    <w:rPr>
      <w:rFonts w:ascii="Arial" w:eastAsia="MS Gothic" w:hAnsi="Arial" w:cs="Times New Roman"/>
      <w:bCs/>
      <w:color w:val="87189D"/>
      <w:sz w:val="28"/>
      <w:szCs w:val="24"/>
      <w:lang w:eastAsia="en-AU"/>
    </w:rPr>
  </w:style>
  <w:style w:type="character" w:customStyle="1" w:styleId="Heading4Char">
    <w:name w:val="Heading 4 Char"/>
    <w:basedOn w:val="DefaultParagraphFont"/>
    <w:link w:val="Heading4"/>
    <w:uiPriority w:val="1"/>
    <w:rsid w:val="00965476"/>
    <w:rPr>
      <w:rFonts w:ascii="Arial" w:eastAsia="MS Mincho" w:hAnsi="Arial" w:cs="Arial"/>
      <w:b/>
      <w:bCs/>
      <w:color w:val="53565A"/>
      <w:sz w:val="24"/>
      <w:szCs w:val="24"/>
    </w:rPr>
  </w:style>
  <w:style w:type="table" w:styleId="TableGrid">
    <w:name w:val="Table Grid"/>
    <w:basedOn w:val="TableNormal"/>
    <w:rsid w:val="001E1569"/>
    <w:pPr>
      <w:spacing w:after="120" w:line="264" w:lineRule="auto"/>
    </w:pPr>
    <w:rPr>
      <w:rFonts w:eastAsiaTheme="minorEastAsia"/>
      <w:sz w:val="20"/>
      <w:szCs w:val="20"/>
      <w:lang w:eastAsia="en-AU"/>
    </w:rPr>
    <w:tblPr>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Pr>
    <w:trPr>
      <w:cantSplit/>
    </w:trPr>
    <w:tblStylePr w:type="firstRow">
      <w:tblPr/>
      <w:trPr>
        <w:cantSplit w:val="0"/>
      </w:trPr>
      <w:tcPr>
        <w:vAlign w:val="bottom"/>
      </w:tcPr>
    </w:tblStylePr>
  </w:style>
  <w:style w:type="character" w:styleId="CommentReference">
    <w:name w:val="annotation reference"/>
    <w:uiPriority w:val="99"/>
    <w:semiHidden/>
    <w:unhideWhenUsed/>
    <w:rsid w:val="00965476"/>
    <w:rPr>
      <w:sz w:val="16"/>
      <w:szCs w:val="16"/>
    </w:rPr>
  </w:style>
  <w:style w:type="paragraph" w:styleId="CommentText">
    <w:name w:val="annotation text"/>
    <w:basedOn w:val="Normal"/>
    <w:link w:val="CommentTextChar"/>
    <w:uiPriority w:val="99"/>
    <w:rsid w:val="00965476"/>
    <w:pPr>
      <w:spacing w:after="120" w:line="264" w:lineRule="auto"/>
    </w:pPr>
    <w:rPr>
      <w:rFonts w:eastAsiaTheme="minorEastAsia"/>
      <w:sz w:val="20"/>
      <w:szCs w:val="20"/>
      <w:lang w:val="x-none" w:eastAsia="en-AU"/>
    </w:rPr>
  </w:style>
  <w:style w:type="character" w:customStyle="1" w:styleId="CommentTextChar">
    <w:name w:val="Comment Text Char"/>
    <w:basedOn w:val="DefaultParagraphFont"/>
    <w:link w:val="CommentText"/>
    <w:uiPriority w:val="99"/>
    <w:rsid w:val="00965476"/>
    <w:rPr>
      <w:rFonts w:eastAsiaTheme="minorEastAsia"/>
      <w:sz w:val="20"/>
      <w:szCs w:val="20"/>
      <w:lang w:val="x-none" w:eastAsia="en-AU"/>
    </w:rPr>
  </w:style>
  <w:style w:type="character" w:customStyle="1" w:styleId="Heading5Char">
    <w:name w:val="Heading 5 Char"/>
    <w:basedOn w:val="DefaultParagraphFont"/>
    <w:link w:val="Heading5"/>
    <w:uiPriority w:val="2"/>
    <w:rsid w:val="006F463D"/>
    <w:rPr>
      <w:rFonts w:ascii="Arial" w:eastAsia="Times New Roman" w:hAnsi="Arial" w:cs="Times New Roman"/>
      <w:b/>
      <w:color w:val="87189D"/>
      <w:szCs w:val="24"/>
    </w:rPr>
  </w:style>
  <w:style w:type="character" w:customStyle="1" w:styleId="Heading6Char">
    <w:name w:val="Heading 6 Char"/>
    <w:basedOn w:val="DefaultParagraphFont"/>
    <w:link w:val="Heading6"/>
    <w:uiPriority w:val="2"/>
    <w:rsid w:val="00965476"/>
    <w:rPr>
      <w:rFonts w:ascii="Arial" w:eastAsia="Times New Roman" w:hAnsi="Arial" w:cs="Times New Roman"/>
      <w:b/>
      <w:bCs/>
      <w:sz w:val="20"/>
      <w:szCs w:val="24"/>
      <w:lang w:val="x-none"/>
    </w:rPr>
  </w:style>
  <w:style w:type="character" w:customStyle="1" w:styleId="Heading7Char">
    <w:name w:val="Heading 7 Char"/>
    <w:basedOn w:val="DefaultParagraphFont"/>
    <w:link w:val="Heading7"/>
    <w:uiPriority w:val="2"/>
    <w:rsid w:val="00965476"/>
    <w:rPr>
      <w:rFonts w:ascii="Arial" w:eastAsiaTheme="majorEastAsia" w:hAnsi="Arial" w:cstheme="majorBidi"/>
      <w:b/>
      <w:iCs/>
      <w:color w:val="53565A"/>
      <w:sz w:val="20"/>
      <w:szCs w:val="21"/>
      <w:lang w:eastAsia="en-AU"/>
    </w:rPr>
  </w:style>
  <w:style w:type="character" w:customStyle="1" w:styleId="Heading8Char">
    <w:name w:val="Heading 8 Char"/>
    <w:basedOn w:val="DefaultParagraphFont"/>
    <w:link w:val="Heading8"/>
    <w:uiPriority w:val="2"/>
    <w:semiHidden/>
    <w:rsid w:val="00782BA6"/>
    <w:rPr>
      <w:rFonts w:asciiTheme="majorHAnsi" w:eastAsiaTheme="majorEastAsia" w:hAnsiTheme="majorHAnsi" w:cstheme="majorBidi"/>
      <w:b/>
      <w:bCs/>
      <w:color w:val="44546A" w:themeColor="text2"/>
      <w:sz w:val="20"/>
      <w:szCs w:val="20"/>
      <w:lang w:eastAsia="en-AU"/>
    </w:rPr>
  </w:style>
  <w:style w:type="character" w:customStyle="1" w:styleId="Heading9Char">
    <w:name w:val="Heading 9 Char"/>
    <w:basedOn w:val="DefaultParagraphFont"/>
    <w:link w:val="Heading9"/>
    <w:uiPriority w:val="1"/>
    <w:semiHidden/>
    <w:rsid w:val="00782BA6"/>
    <w:rPr>
      <w:rFonts w:asciiTheme="majorHAnsi" w:eastAsiaTheme="majorEastAsia" w:hAnsiTheme="majorHAnsi" w:cstheme="majorBidi"/>
      <w:b/>
      <w:bCs/>
      <w:i/>
      <w:iCs/>
      <w:color w:val="44546A" w:themeColor="text2"/>
      <w:sz w:val="20"/>
      <w:szCs w:val="20"/>
      <w:lang w:eastAsia="en-AU"/>
    </w:rPr>
  </w:style>
  <w:style w:type="paragraph" w:customStyle="1" w:styleId="ARnumberdigit">
    <w:name w:val="AR number digit"/>
    <w:basedOn w:val="Normal"/>
    <w:uiPriority w:val="2"/>
    <w:rsid w:val="00AB0C69"/>
    <w:pPr>
      <w:numPr>
        <w:numId w:val="1"/>
      </w:numPr>
      <w:spacing w:after="60" w:line="270" w:lineRule="atLeast"/>
    </w:pPr>
    <w:rPr>
      <w:rFonts w:ascii="Arial" w:eastAsia="Times" w:hAnsi="Arial"/>
      <w:sz w:val="20"/>
      <w:szCs w:val="20"/>
      <w:lang w:eastAsia="en-AU"/>
    </w:rPr>
  </w:style>
  <w:style w:type="numbering" w:customStyle="1" w:styleId="ZZNumbersdigit">
    <w:name w:val="ZZ Numbers digit"/>
    <w:rsid w:val="008E679A"/>
    <w:pPr>
      <w:numPr>
        <w:numId w:val="1"/>
      </w:numPr>
    </w:pPr>
  </w:style>
  <w:style w:type="paragraph" w:customStyle="1" w:styleId="ARintro">
    <w:name w:val="AR intro"/>
    <w:basedOn w:val="ARbody"/>
    <w:next w:val="ARbody"/>
    <w:uiPriority w:val="98"/>
    <w:rsid w:val="00603E4B"/>
    <w:rPr>
      <w:color w:val="53565A"/>
      <w:sz w:val="22"/>
    </w:rPr>
  </w:style>
  <w:style w:type="table" w:styleId="TableGrid1">
    <w:name w:val="Table Grid 1"/>
    <w:basedOn w:val="TableNormal"/>
    <w:rsid w:val="00965476"/>
    <w:pPr>
      <w:spacing w:after="120" w:line="264" w:lineRule="auto"/>
    </w:pPr>
    <w:rPr>
      <w:rFonts w:eastAsiaTheme="minorEastAsia"/>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Rfinbullet2">
    <w:name w:val="AR fin bullet 2"/>
    <w:basedOn w:val="ARfinbody"/>
    <w:uiPriority w:val="98"/>
    <w:rsid w:val="000F7F3A"/>
    <w:pPr>
      <w:numPr>
        <w:ilvl w:val="1"/>
        <w:numId w:val="3"/>
      </w:numPr>
    </w:pPr>
  </w:style>
  <w:style w:type="paragraph" w:customStyle="1" w:styleId="ARtabletext">
    <w:name w:val="AR table text"/>
    <w:uiPriority w:val="99"/>
    <w:qFormat/>
    <w:rsid w:val="00965476"/>
    <w:pPr>
      <w:spacing w:before="80" w:after="60" w:line="264" w:lineRule="auto"/>
    </w:pPr>
    <w:rPr>
      <w:rFonts w:ascii="Arial" w:eastAsia="Times" w:hAnsi="Arial" w:cs="Arial"/>
      <w:sz w:val="18"/>
      <w:szCs w:val="18"/>
      <w:lang w:eastAsia="en-AU"/>
    </w:rPr>
  </w:style>
  <w:style w:type="paragraph" w:customStyle="1" w:styleId="ARtablecolhead">
    <w:name w:val="AR table col head"/>
    <w:uiPriority w:val="99"/>
    <w:qFormat/>
    <w:rsid w:val="00965476"/>
    <w:pPr>
      <w:spacing w:before="80" w:after="60" w:line="216" w:lineRule="auto"/>
    </w:pPr>
    <w:rPr>
      <w:rFonts w:ascii="Arial" w:eastAsia="Times" w:hAnsi="Arial" w:cs="Arial"/>
      <w:b/>
      <w:sz w:val="18"/>
      <w:szCs w:val="18"/>
    </w:rPr>
  </w:style>
  <w:style w:type="paragraph" w:customStyle="1" w:styleId="ARtablefootnote">
    <w:name w:val="AR table footnote"/>
    <w:uiPriority w:val="99"/>
    <w:qFormat/>
    <w:rsid w:val="00965476"/>
    <w:pPr>
      <w:spacing w:before="80" w:after="60" w:line="264" w:lineRule="auto"/>
    </w:pPr>
    <w:rPr>
      <w:rFonts w:ascii="Arial" w:eastAsiaTheme="minorEastAsia" w:hAnsi="Arial"/>
      <w:sz w:val="16"/>
      <w:szCs w:val="16"/>
    </w:rPr>
  </w:style>
  <w:style w:type="paragraph" w:customStyle="1" w:styleId="ARbullet3">
    <w:name w:val="AR bullet 3"/>
    <w:basedOn w:val="ARbody"/>
    <w:rsid w:val="00D271CB"/>
    <w:pPr>
      <w:numPr>
        <w:ilvl w:val="2"/>
        <w:numId w:val="18"/>
      </w:numPr>
      <w:spacing w:after="40"/>
    </w:pPr>
  </w:style>
  <w:style w:type="paragraph" w:styleId="ListBullet2">
    <w:name w:val="List Bullet 2"/>
    <w:basedOn w:val="ListBullet"/>
    <w:uiPriority w:val="98"/>
    <w:semiHidden/>
    <w:rsid w:val="00965476"/>
    <w:pPr>
      <w:numPr>
        <w:ilvl w:val="1"/>
      </w:numPr>
      <w:tabs>
        <w:tab w:val="num" w:pos="284"/>
        <w:tab w:val="num" w:pos="360"/>
        <w:tab w:val="num" w:pos="680"/>
      </w:tabs>
      <w:ind w:left="680" w:hanging="396"/>
    </w:pPr>
  </w:style>
  <w:style w:type="paragraph" w:styleId="ListBullet">
    <w:name w:val="List Bullet"/>
    <w:basedOn w:val="Normal"/>
    <w:link w:val="ListBulletChar"/>
    <w:uiPriority w:val="98"/>
    <w:semiHidden/>
    <w:qFormat/>
    <w:rsid w:val="00965476"/>
    <w:pPr>
      <w:keepLines/>
      <w:numPr>
        <w:numId w:val="2"/>
      </w:numPr>
      <w:tabs>
        <w:tab w:val="num" w:pos="397"/>
      </w:tabs>
      <w:spacing w:before="60" w:after="120" w:line="264" w:lineRule="auto"/>
      <w:ind w:left="397" w:hanging="397"/>
      <w:contextualSpacing/>
    </w:pPr>
    <w:rPr>
      <w:spacing w:val="2"/>
      <w:sz w:val="18"/>
      <w:szCs w:val="18"/>
      <w:lang w:eastAsia="en-AU"/>
    </w:rPr>
  </w:style>
  <w:style w:type="paragraph" w:styleId="ListBullet3">
    <w:name w:val="List Bullet 3"/>
    <w:basedOn w:val="ListBullet2"/>
    <w:uiPriority w:val="19"/>
    <w:semiHidden/>
    <w:rsid w:val="00965476"/>
    <w:pPr>
      <w:numPr>
        <w:ilvl w:val="2"/>
      </w:numPr>
      <w:tabs>
        <w:tab w:val="num" w:pos="360"/>
        <w:tab w:val="num" w:pos="794"/>
      </w:tabs>
      <w:ind w:left="794" w:hanging="397"/>
    </w:pPr>
  </w:style>
  <w:style w:type="paragraph" w:styleId="FootnoteText">
    <w:name w:val="footnote text"/>
    <w:basedOn w:val="ARbody"/>
    <w:link w:val="FootnoteTextChar"/>
    <w:uiPriority w:val="9"/>
    <w:qFormat/>
    <w:rsid w:val="00F860FA"/>
    <w:pPr>
      <w:spacing w:before="80" w:after="80" w:line="240" w:lineRule="auto"/>
      <w:ind w:left="284" w:hanging="284"/>
    </w:pPr>
    <w:rPr>
      <w:rFonts w:cs="Times New Roman"/>
      <w:sz w:val="16"/>
      <w:szCs w:val="18"/>
      <w:lang w:val="x-none"/>
    </w:rPr>
  </w:style>
  <w:style w:type="character" w:customStyle="1" w:styleId="FootnoteTextChar">
    <w:name w:val="Footnote Text Char"/>
    <w:basedOn w:val="DefaultParagraphFont"/>
    <w:link w:val="FootnoteText"/>
    <w:uiPriority w:val="9"/>
    <w:rsid w:val="00F860FA"/>
    <w:rPr>
      <w:rFonts w:ascii="Arial" w:eastAsia="Times" w:hAnsi="Arial" w:cs="Times New Roman"/>
      <w:sz w:val="16"/>
      <w:szCs w:val="18"/>
      <w:lang w:val="x-none"/>
    </w:rPr>
  </w:style>
  <w:style w:type="character" w:styleId="FootnoteReference">
    <w:name w:val="footnote reference"/>
    <w:uiPriority w:val="11"/>
    <w:rsid w:val="00965476"/>
    <w:rPr>
      <w:vertAlign w:val="superscript"/>
    </w:rPr>
  </w:style>
  <w:style w:type="paragraph" w:customStyle="1" w:styleId="ARtabletextright">
    <w:name w:val="AR table text right"/>
    <w:basedOn w:val="ARtabletext"/>
    <w:uiPriority w:val="99"/>
    <w:qFormat/>
    <w:rsid w:val="00965476"/>
    <w:pPr>
      <w:jc w:val="right"/>
    </w:pPr>
  </w:style>
  <w:style w:type="paragraph" w:customStyle="1" w:styleId="Heading5smaller">
    <w:name w:val="Heading 5 smaller"/>
    <w:basedOn w:val="Heading6"/>
    <w:uiPriority w:val="2"/>
    <w:qFormat/>
    <w:rsid w:val="00965476"/>
    <w:pPr>
      <w:outlineLvl w:val="4"/>
    </w:pPr>
  </w:style>
  <w:style w:type="paragraph" w:customStyle="1" w:styleId="ARbodybeforetable">
    <w:name w:val="AR body before table"/>
    <w:basedOn w:val="ARbody"/>
    <w:uiPriority w:val="3"/>
    <w:rsid w:val="00965476"/>
    <w:pPr>
      <w:spacing w:after="240"/>
    </w:pPr>
    <w:rPr>
      <w:lang w:eastAsia="en-AU"/>
    </w:rPr>
  </w:style>
  <w:style w:type="paragraph" w:customStyle="1" w:styleId="LightList-Accent31">
    <w:name w:val="Light List - Accent 31"/>
    <w:hidden/>
    <w:uiPriority w:val="99"/>
    <w:semiHidden/>
    <w:rsid w:val="00965476"/>
    <w:pPr>
      <w:spacing w:after="120" w:line="264" w:lineRule="auto"/>
    </w:pPr>
    <w:rPr>
      <w:rFonts w:ascii="Arial" w:eastAsiaTheme="minorEastAsia" w:hAnsi="Arial"/>
      <w:sz w:val="24"/>
      <w:szCs w:val="24"/>
    </w:rPr>
  </w:style>
  <w:style w:type="paragraph" w:styleId="TOC5">
    <w:name w:val="toc 5"/>
    <w:basedOn w:val="Normal"/>
    <w:next w:val="Normal"/>
    <w:autoRedefine/>
    <w:uiPriority w:val="39"/>
    <w:semiHidden/>
    <w:rsid w:val="00965476"/>
    <w:pPr>
      <w:spacing w:after="120" w:line="264" w:lineRule="auto"/>
      <w:ind w:left="800"/>
    </w:pPr>
    <w:rPr>
      <w:rFonts w:eastAsiaTheme="minorEastAsia"/>
      <w:sz w:val="20"/>
      <w:szCs w:val="20"/>
      <w:lang w:eastAsia="en-AU"/>
    </w:rPr>
  </w:style>
  <w:style w:type="paragraph" w:customStyle="1" w:styleId="ARtablesource">
    <w:name w:val="AR table source"/>
    <w:basedOn w:val="ARtabletext"/>
    <w:uiPriority w:val="99"/>
    <w:rsid w:val="00965476"/>
    <w:rPr>
      <w:i/>
      <w:sz w:val="16"/>
    </w:rPr>
  </w:style>
  <w:style w:type="paragraph" w:customStyle="1" w:styleId="ARtablecolheadcentre">
    <w:name w:val="AR table col head centre"/>
    <w:basedOn w:val="ARtablecolheadright"/>
    <w:uiPriority w:val="98"/>
    <w:rsid w:val="00A46E91"/>
    <w:pPr>
      <w:jc w:val="center"/>
    </w:pPr>
  </w:style>
  <w:style w:type="paragraph" w:customStyle="1" w:styleId="ARtablecaption">
    <w:name w:val="AR table caption"/>
    <w:uiPriority w:val="99"/>
    <w:rsid w:val="00E64F18"/>
    <w:pPr>
      <w:keepNext/>
      <w:keepLines/>
      <w:spacing w:before="240" w:after="120" w:line="264" w:lineRule="auto"/>
    </w:pPr>
    <w:rPr>
      <w:rFonts w:ascii="Arial" w:eastAsiaTheme="minorEastAsia" w:hAnsi="Arial"/>
      <w:color w:val="87189D"/>
      <w:sz w:val="20"/>
      <w:szCs w:val="24"/>
    </w:rPr>
  </w:style>
  <w:style w:type="paragraph" w:styleId="TOC2">
    <w:name w:val="toc 2"/>
    <w:basedOn w:val="TOC1"/>
    <w:uiPriority w:val="39"/>
    <w:qFormat/>
    <w:rsid w:val="00637705"/>
    <w:pPr>
      <w:ind w:left="284"/>
    </w:pPr>
    <w:rPr>
      <w:szCs w:val="24"/>
    </w:rPr>
  </w:style>
  <w:style w:type="paragraph" w:styleId="DocumentMap">
    <w:name w:val="Document Map"/>
    <w:basedOn w:val="Normal"/>
    <w:link w:val="DocumentMapChar"/>
    <w:uiPriority w:val="98"/>
    <w:semiHidden/>
    <w:rsid w:val="00965476"/>
    <w:pPr>
      <w:spacing w:after="120" w:line="264" w:lineRule="auto"/>
    </w:pPr>
    <w:rPr>
      <w:rFonts w:ascii="Lucida Grande" w:eastAsiaTheme="minorEastAsia" w:hAnsi="Lucida Grande"/>
      <w:sz w:val="20"/>
      <w:szCs w:val="20"/>
      <w:lang w:val="x-none" w:eastAsia="en-AU"/>
    </w:rPr>
  </w:style>
  <w:style w:type="character" w:customStyle="1" w:styleId="DocumentMapChar">
    <w:name w:val="Document Map Char"/>
    <w:basedOn w:val="DefaultParagraphFont"/>
    <w:link w:val="DocumentMap"/>
    <w:uiPriority w:val="98"/>
    <w:semiHidden/>
    <w:rsid w:val="00965476"/>
    <w:rPr>
      <w:rFonts w:ascii="Lucida Grande" w:eastAsiaTheme="minorEastAsia" w:hAnsi="Lucida Grande"/>
      <w:sz w:val="20"/>
      <w:szCs w:val="20"/>
      <w:lang w:val="x-none" w:eastAsia="en-AU"/>
    </w:rPr>
  </w:style>
  <w:style w:type="paragraph" w:styleId="TOC3">
    <w:name w:val="toc 3"/>
    <w:basedOn w:val="TOC2"/>
    <w:uiPriority w:val="39"/>
    <w:qFormat/>
    <w:rsid w:val="00965476"/>
  </w:style>
  <w:style w:type="paragraph" w:styleId="TOC4">
    <w:name w:val="toc 4"/>
    <w:basedOn w:val="TOC3"/>
    <w:uiPriority w:val="39"/>
    <w:rsid w:val="00965476"/>
    <w:pPr>
      <w:ind w:left="567"/>
    </w:pPr>
  </w:style>
  <w:style w:type="paragraph" w:styleId="TOC6">
    <w:name w:val="toc 6"/>
    <w:basedOn w:val="Normal"/>
    <w:next w:val="Normal"/>
    <w:autoRedefine/>
    <w:uiPriority w:val="39"/>
    <w:semiHidden/>
    <w:rsid w:val="00965476"/>
    <w:pPr>
      <w:spacing w:after="120" w:line="264" w:lineRule="auto"/>
      <w:ind w:left="1000"/>
    </w:pPr>
    <w:rPr>
      <w:rFonts w:eastAsiaTheme="minorEastAsia"/>
      <w:sz w:val="20"/>
      <w:szCs w:val="20"/>
      <w:lang w:eastAsia="en-AU"/>
    </w:rPr>
  </w:style>
  <w:style w:type="paragraph" w:styleId="TOC7">
    <w:name w:val="toc 7"/>
    <w:basedOn w:val="Normal"/>
    <w:next w:val="Normal"/>
    <w:autoRedefine/>
    <w:uiPriority w:val="39"/>
    <w:semiHidden/>
    <w:rsid w:val="00965476"/>
    <w:pPr>
      <w:spacing w:after="120" w:line="264" w:lineRule="auto"/>
      <w:ind w:left="1200"/>
    </w:pPr>
    <w:rPr>
      <w:rFonts w:eastAsiaTheme="minorEastAsia"/>
      <w:sz w:val="20"/>
      <w:szCs w:val="20"/>
      <w:lang w:eastAsia="en-AU"/>
    </w:rPr>
  </w:style>
  <w:style w:type="paragraph" w:styleId="TOC8">
    <w:name w:val="toc 8"/>
    <w:basedOn w:val="Normal"/>
    <w:next w:val="Normal"/>
    <w:autoRedefine/>
    <w:uiPriority w:val="39"/>
    <w:semiHidden/>
    <w:rsid w:val="00965476"/>
    <w:pPr>
      <w:spacing w:after="120" w:line="264" w:lineRule="auto"/>
      <w:ind w:left="1400"/>
    </w:pPr>
    <w:rPr>
      <w:rFonts w:eastAsiaTheme="minorEastAsia"/>
      <w:sz w:val="20"/>
      <w:szCs w:val="20"/>
      <w:lang w:eastAsia="en-AU"/>
    </w:rPr>
  </w:style>
  <w:style w:type="paragraph" w:styleId="TOC9">
    <w:name w:val="toc 9"/>
    <w:basedOn w:val="Normal"/>
    <w:next w:val="Normal"/>
    <w:autoRedefine/>
    <w:uiPriority w:val="39"/>
    <w:semiHidden/>
    <w:rsid w:val="00965476"/>
    <w:pPr>
      <w:spacing w:after="120" w:line="264" w:lineRule="auto"/>
      <w:ind w:left="1600"/>
    </w:pPr>
    <w:rPr>
      <w:rFonts w:eastAsiaTheme="minorEastAsia"/>
      <w:sz w:val="20"/>
      <w:szCs w:val="20"/>
      <w:lang w:eastAsia="en-AU"/>
    </w:rPr>
  </w:style>
  <w:style w:type="paragraph" w:customStyle="1" w:styleId="ARtablefootnotebullet">
    <w:name w:val="AR table footnote bullet"/>
    <w:basedOn w:val="ARtablefootnote"/>
    <w:link w:val="ARtablefootnotebulletChar"/>
    <w:uiPriority w:val="99"/>
    <w:rsid w:val="00965476"/>
    <w:pPr>
      <w:numPr>
        <w:numId w:val="6"/>
      </w:numPr>
      <w:tabs>
        <w:tab w:val="num" w:pos="567"/>
      </w:tabs>
    </w:pPr>
  </w:style>
  <w:style w:type="character" w:styleId="EndnoteReference">
    <w:name w:val="endnote reference"/>
    <w:uiPriority w:val="99"/>
    <w:semiHidden/>
    <w:rsid w:val="00965476"/>
    <w:rPr>
      <w:vertAlign w:val="superscript"/>
    </w:rPr>
  </w:style>
  <w:style w:type="paragraph" w:customStyle="1" w:styleId="ARpublicationtitle">
    <w:name w:val="AR publication title"/>
    <w:link w:val="ARpublicationtitleChar"/>
    <w:uiPriority w:val="99"/>
    <w:rsid w:val="00BE283F"/>
    <w:pPr>
      <w:spacing w:before="240" w:after="200" w:line="264" w:lineRule="auto"/>
    </w:pPr>
    <w:rPr>
      <w:rFonts w:ascii="Arial" w:eastAsia="MS Mincho" w:hAnsi="Arial"/>
      <w:color w:val="FFFFFF" w:themeColor="background1"/>
      <w:sz w:val="50"/>
      <w:szCs w:val="50"/>
    </w:rPr>
  </w:style>
  <w:style w:type="character" w:customStyle="1" w:styleId="ARpublicationtitleChar">
    <w:name w:val="AR publication title Char"/>
    <w:link w:val="ARpublicationtitle"/>
    <w:uiPriority w:val="99"/>
    <w:rsid w:val="00BE283F"/>
    <w:rPr>
      <w:rFonts w:ascii="Arial" w:eastAsia="MS Mincho" w:hAnsi="Arial"/>
      <w:color w:val="FFFFFF" w:themeColor="background1"/>
      <w:sz w:val="50"/>
      <w:szCs w:val="50"/>
    </w:rPr>
  </w:style>
  <w:style w:type="paragraph" w:styleId="NormalWeb">
    <w:name w:val="Normal (Web)"/>
    <w:basedOn w:val="Normal"/>
    <w:uiPriority w:val="99"/>
    <w:semiHidden/>
    <w:rsid w:val="00965476"/>
    <w:pPr>
      <w:spacing w:before="100" w:beforeAutospacing="1" w:after="100" w:afterAutospacing="1" w:line="264" w:lineRule="auto"/>
    </w:pPr>
    <w:rPr>
      <w:rFonts w:ascii="Times New Roman" w:eastAsiaTheme="minorEastAsia" w:hAnsi="Times New Roman"/>
      <w:sz w:val="20"/>
      <w:szCs w:val="20"/>
      <w:lang w:eastAsia="en-AU"/>
    </w:rPr>
  </w:style>
  <w:style w:type="paragraph" w:styleId="Caption">
    <w:name w:val="caption"/>
    <w:basedOn w:val="Normal"/>
    <w:next w:val="Normal"/>
    <w:uiPriority w:val="98"/>
    <w:semiHidden/>
    <w:unhideWhenUsed/>
    <w:qFormat/>
    <w:rsid w:val="00965476"/>
    <w:pPr>
      <w:spacing w:after="120" w:line="240" w:lineRule="auto"/>
    </w:pPr>
    <w:rPr>
      <w:rFonts w:eastAsiaTheme="minorEastAsia"/>
      <w:b/>
      <w:bCs/>
      <w:smallCaps/>
      <w:color w:val="595959" w:themeColor="text1" w:themeTint="A6"/>
      <w:spacing w:val="6"/>
      <w:sz w:val="20"/>
      <w:szCs w:val="20"/>
      <w:lang w:eastAsia="en-AU"/>
    </w:rPr>
  </w:style>
  <w:style w:type="table" w:customStyle="1" w:styleId="Casestudy">
    <w:name w:val="Case study"/>
    <w:basedOn w:val="TableNormal"/>
    <w:rsid w:val="00603E4B"/>
    <w:pPr>
      <w:spacing w:after="120" w:line="264" w:lineRule="auto"/>
    </w:pPr>
    <w:rPr>
      <w:rFonts w:eastAsiaTheme="minorEastAsia"/>
      <w:sz w:val="20"/>
      <w:szCs w:val="20"/>
      <w:lang w:eastAsia="en-AU"/>
    </w:rPr>
    <w:tblPr>
      <w:tblCellMar>
        <w:top w:w="170" w:type="dxa"/>
        <w:left w:w="170" w:type="dxa"/>
        <w:bottom w:w="57" w:type="dxa"/>
        <w:right w:w="170" w:type="dxa"/>
      </w:tblCellMar>
    </w:tblPr>
    <w:tcPr>
      <w:shd w:val="clear" w:color="auto" w:fill="F1E3F3"/>
    </w:tcPr>
  </w:style>
  <w:style w:type="paragraph" w:customStyle="1" w:styleId="ARtablenoteindent">
    <w:name w:val="AR table note indent"/>
    <w:link w:val="ARtablenoteindentChar"/>
    <w:uiPriority w:val="3"/>
    <w:rsid w:val="00965476"/>
    <w:pPr>
      <w:spacing w:after="80" w:line="264" w:lineRule="auto"/>
      <w:ind w:left="454"/>
    </w:pPr>
    <w:rPr>
      <w:rFonts w:ascii="Arial" w:eastAsia="Times" w:hAnsi="Arial"/>
      <w:iCs/>
      <w:sz w:val="16"/>
      <w:szCs w:val="18"/>
      <w:lang w:eastAsia="en-AU"/>
    </w:rPr>
  </w:style>
  <w:style w:type="character" w:customStyle="1" w:styleId="ARtablenoteindentChar">
    <w:name w:val="AR table note indent Char"/>
    <w:link w:val="ARtablenoteindent"/>
    <w:uiPriority w:val="3"/>
    <w:rsid w:val="00965476"/>
    <w:rPr>
      <w:rFonts w:ascii="Arial" w:eastAsia="Times" w:hAnsi="Arial"/>
      <w:iCs/>
      <w:sz w:val="16"/>
      <w:szCs w:val="18"/>
      <w:lang w:eastAsia="en-AU"/>
    </w:rPr>
  </w:style>
  <w:style w:type="paragraph" w:customStyle="1" w:styleId="ARtabletextrightbold">
    <w:name w:val="AR table text right bold"/>
    <w:basedOn w:val="ARtabletextright"/>
    <w:uiPriority w:val="98"/>
    <w:qFormat/>
    <w:rsid w:val="00965476"/>
    <w:rPr>
      <w:b/>
    </w:rPr>
  </w:style>
  <w:style w:type="paragraph" w:customStyle="1" w:styleId="ARtablefootnotenumbered">
    <w:name w:val="AR table footnote numbered"/>
    <w:basedOn w:val="ARtablefootnote"/>
    <w:link w:val="ARtablefootnotenumberedChar"/>
    <w:uiPriority w:val="99"/>
    <w:qFormat/>
    <w:rsid w:val="0073138D"/>
    <w:pPr>
      <w:numPr>
        <w:numId w:val="17"/>
      </w:numPr>
    </w:pPr>
  </w:style>
  <w:style w:type="paragraph" w:customStyle="1" w:styleId="LightList-Accent311">
    <w:name w:val="Light List - Accent 311"/>
    <w:hidden/>
    <w:uiPriority w:val="99"/>
    <w:semiHidden/>
    <w:rsid w:val="00965476"/>
    <w:pPr>
      <w:spacing w:after="120" w:line="264" w:lineRule="auto"/>
    </w:pPr>
    <w:rPr>
      <w:rFonts w:ascii="Arial" w:eastAsiaTheme="minorEastAsia" w:hAnsi="Arial"/>
      <w:sz w:val="24"/>
      <w:szCs w:val="24"/>
    </w:rPr>
  </w:style>
  <w:style w:type="character" w:styleId="FollowedHyperlink">
    <w:name w:val="FollowedHyperlink"/>
    <w:uiPriority w:val="99"/>
    <w:rsid w:val="00965476"/>
    <w:rPr>
      <w:color w:val="500778"/>
      <w:u w:val="dotted"/>
    </w:rPr>
  </w:style>
  <w:style w:type="paragraph" w:styleId="CommentSubject">
    <w:name w:val="annotation subject"/>
    <w:basedOn w:val="CommentText"/>
    <w:next w:val="CommentText"/>
    <w:link w:val="CommentSubjectChar"/>
    <w:uiPriority w:val="98"/>
    <w:semiHidden/>
    <w:unhideWhenUsed/>
    <w:rsid w:val="00965476"/>
    <w:rPr>
      <w:b/>
      <w:bCs/>
    </w:rPr>
  </w:style>
  <w:style w:type="character" w:customStyle="1" w:styleId="CommentSubjectChar">
    <w:name w:val="Comment Subject Char"/>
    <w:basedOn w:val="CommentTextChar"/>
    <w:link w:val="CommentSubject"/>
    <w:uiPriority w:val="98"/>
    <w:semiHidden/>
    <w:rsid w:val="00965476"/>
    <w:rPr>
      <w:rFonts w:eastAsiaTheme="minorEastAsia"/>
      <w:b/>
      <w:bCs/>
      <w:sz w:val="20"/>
      <w:szCs w:val="20"/>
      <w:lang w:val="x-none" w:eastAsia="en-AU"/>
    </w:rPr>
  </w:style>
  <w:style w:type="paragraph" w:styleId="EndnoteText">
    <w:name w:val="endnote text"/>
    <w:basedOn w:val="Normal"/>
    <w:link w:val="EndnoteTextChar"/>
    <w:uiPriority w:val="98"/>
    <w:semiHidden/>
    <w:unhideWhenUsed/>
    <w:rsid w:val="00965476"/>
    <w:pPr>
      <w:spacing w:after="120" w:line="264" w:lineRule="auto"/>
    </w:pPr>
    <w:rPr>
      <w:rFonts w:eastAsiaTheme="minorEastAsia"/>
      <w:sz w:val="20"/>
      <w:szCs w:val="20"/>
      <w:lang w:val="x-none" w:eastAsia="en-AU"/>
    </w:rPr>
  </w:style>
  <w:style w:type="character" w:customStyle="1" w:styleId="EndnoteTextChar">
    <w:name w:val="Endnote Text Char"/>
    <w:basedOn w:val="DefaultParagraphFont"/>
    <w:link w:val="EndnoteText"/>
    <w:uiPriority w:val="98"/>
    <w:semiHidden/>
    <w:rsid w:val="00965476"/>
    <w:rPr>
      <w:rFonts w:eastAsiaTheme="minorEastAsia"/>
      <w:sz w:val="20"/>
      <w:szCs w:val="20"/>
      <w:lang w:val="x-none" w:eastAsia="en-AU"/>
    </w:rPr>
  </w:style>
  <w:style w:type="paragraph" w:customStyle="1" w:styleId="ARtablecolheadright">
    <w:name w:val="AR table col head right"/>
    <w:basedOn w:val="ARtablecolhead"/>
    <w:uiPriority w:val="99"/>
    <w:qFormat/>
    <w:rsid w:val="006C7588"/>
    <w:pPr>
      <w:jc w:val="right"/>
    </w:pPr>
  </w:style>
  <w:style w:type="paragraph" w:customStyle="1" w:styleId="ARtabletextbold">
    <w:name w:val="AR table text bold"/>
    <w:basedOn w:val="ARtabletext"/>
    <w:uiPriority w:val="3"/>
    <w:qFormat/>
    <w:rsid w:val="00965476"/>
    <w:rPr>
      <w:b/>
    </w:rPr>
  </w:style>
  <w:style w:type="paragraph" w:customStyle="1" w:styleId="ARtableperformancesymbol">
    <w:name w:val="AR table performance symbol"/>
    <w:basedOn w:val="Normal"/>
    <w:link w:val="ARtableperformancesymbolChar"/>
    <w:uiPriority w:val="99"/>
    <w:rsid w:val="00965476"/>
    <w:pPr>
      <w:spacing w:before="80" w:after="120" w:line="264" w:lineRule="auto"/>
      <w:jc w:val="center"/>
    </w:pPr>
    <w:rPr>
      <w:rFonts w:ascii="Wingdings" w:eastAsiaTheme="minorEastAsia" w:hAnsi="Wingdings"/>
      <w:sz w:val="18"/>
      <w:szCs w:val="18"/>
      <w:lang w:val="x-none" w:eastAsia="x-none"/>
    </w:rPr>
  </w:style>
  <w:style w:type="character" w:customStyle="1" w:styleId="ARtableperformancesymbolChar">
    <w:name w:val="AR table performance symbol Char"/>
    <w:link w:val="ARtableperformancesymbol"/>
    <w:uiPriority w:val="99"/>
    <w:rsid w:val="00965476"/>
    <w:rPr>
      <w:rFonts w:ascii="Wingdings" w:eastAsiaTheme="minorEastAsia" w:hAnsi="Wingdings"/>
      <w:sz w:val="18"/>
      <w:szCs w:val="18"/>
      <w:lang w:val="x-none" w:eastAsia="x-none"/>
    </w:rPr>
  </w:style>
  <w:style w:type="paragraph" w:customStyle="1" w:styleId="MediumList2-Accent21">
    <w:name w:val="Medium List 2 - Accent 21"/>
    <w:hidden/>
    <w:uiPriority w:val="99"/>
    <w:semiHidden/>
    <w:rsid w:val="00965476"/>
    <w:pPr>
      <w:spacing w:after="120" w:line="264" w:lineRule="auto"/>
    </w:pPr>
    <w:rPr>
      <w:rFonts w:ascii="Arial" w:eastAsiaTheme="minorEastAsia" w:hAnsi="Arial"/>
      <w:sz w:val="24"/>
      <w:szCs w:val="24"/>
    </w:rPr>
  </w:style>
  <w:style w:type="character" w:styleId="Emphasis">
    <w:name w:val="Emphasis"/>
    <w:basedOn w:val="DefaultParagraphFont"/>
    <w:uiPriority w:val="20"/>
    <w:qFormat/>
    <w:rsid w:val="00965476"/>
    <w:rPr>
      <w:i/>
      <w:iCs/>
    </w:rPr>
  </w:style>
  <w:style w:type="paragraph" w:styleId="ListNumber">
    <w:name w:val="List Number"/>
    <w:basedOn w:val="Normal"/>
    <w:uiPriority w:val="98"/>
    <w:semiHidden/>
    <w:rsid w:val="00965476"/>
    <w:pPr>
      <w:spacing w:after="120" w:line="264" w:lineRule="auto"/>
      <w:ind w:left="720" w:hanging="720"/>
    </w:pPr>
    <w:rPr>
      <w:rFonts w:ascii="Verdana" w:eastAsiaTheme="minorEastAsia" w:hAnsi="Verdana"/>
      <w:sz w:val="20"/>
      <w:szCs w:val="20"/>
      <w:lang w:eastAsia="en-AU"/>
    </w:rPr>
  </w:style>
  <w:style w:type="paragraph" w:customStyle="1" w:styleId="MediumList2-Accent22">
    <w:name w:val="Medium List 2 - Accent 22"/>
    <w:hidden/>
    <w:uiPriority w:val="71"/>
    <w:unhideWhenUsed/>
    <w:rsid w:val="00965476"/>
    <w:pPr>
      <w:spacing w:after="120" w:line="264" w:lineRule="auto"/>
    </w:pPr>
    <w:rPr>
      <w:rFonts w:ascii="Arial" w:eastAsiaTheme="minorEastAsia" w:hAnsi="Arial"/>
      <w:sz w:val="24"/>
      <w:szCs w:val="24"/>
    </w:rPr>
  </w:style>
  <w:style w:type="paragraph" w:customStyle="1" w:styleId="ColorfulShading-Accent11">
    <w:name w:val="Colorful Shading - Accent 11"/>
    <w:hidden/>
    <w:uiPriority w:val="99"/>
    <w:unhideWhenUsed/>
    <w:rsid w:val="00965476"/>
    <w:pPr>
      <w:spacing w:after="120" w:line="264" w:lineRule="auto"/>
    </w:pPr>
    <w:rPr>
      <w:rFonts w:ascii="Arial" w:eastAsiaTheme="minorEastAsia" w:hAnsi="Arial"/>
      <w:sz w:val="24"/>
      <w:szCs w:val="24"/>
    </w:rPr>
  </w:style>
  <w:style w:type="paragraph" w:styleId="Revision">
    <w:name w:val="Revision"/>
    <w:hidden/>
    <w:uiPriority w:val="62"/>
    <w:rsid w:val="00965476"/>
    <w:pPr>
      <w:spacing w:after="120" w:line="264" w:lineRule="auto"/>
    </w:pPr>
    <w:rPr>
      <w:rFonts w:ascii="Arial" w:eastAsiaTheme="minorEastAsia" w:hAnsi="Arial"/>
      <w:sz w:val="20"/>
      <w:szCs w:val="20"/>
    </w:rPr>
  </w:style>
  <w:style w:type="character" w:customStyle="1" w:styleId="ListBulletChar">
    <w:name w:val="List Bullet Char"/>
    <w:basedOn w:val="DefaultParagraphFont"/>
    <w:link w:val="ListBullet"/>
    <w:uiPriority w:val="98"/>
    <w:semiHidden/>
    <w:rsid w:val="00965476"/>
    <w:rPr>
      <w:spacing w:val="2"/>
      <w:sz w:val="18"/>
      <w:szCs w:val="18"/>
      <w:lang w:eastAsia="en-AU"/>
    </w:rPr>
  </w:style>
  <w:style w:type="paragraph" w:styleId="NoSpacing">
    <w:name w:val="No Spacing"/>
    <w:uiPriority w:val="98"/>
    <w:semiHidden/>
    <w:qFormat/>
    <w:rsid w:val="00965476"/>
    <w:pPr>
      <w:spacing w:after="0" w:line="240" w:lineRule="auto"/>
    </w:pPr>
    <w:rPr>
      <w:rFonts w:eastAsiaTheme="minorEastAsia"/>
      <w:sz w:val="20"/>
      <w:szCs w:val="20"/>
      <w:lang w:eastAsia="en-AU"/>
    </w:rPr>
  </w:style>
  <w:style w:type="table" w:styleId="LightList">
    <w:name w:val="Light List"/>
    <w:basedOn w:val="TableNormal"/>
    <w:uiPriority w:val="61"/>
    <w:rsid w:val="00965476"/>
    <w:pPr>
      <w:spacing w:after="120" w:line="264" w:lineRule="auto"/>
    </w:pPr>
    <w:rPr>
      <w:rFonts w:eastAsiaTheme="minorEastAsia"/>
      <w:sz w:val="20"/>
      <w:szCs w:val="20"/>
      <w:lang w:eastAsia="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Rfootnotebullet">
    <w:name w:val="AR footnote bullet"/>
    <w:basedOn w:val="Normal"/>
    <w:link w:val="ARfootnotebulletChar"/>
    <w:rsid w:val="00965476"/>
    <w:pPr>
      <w:spacing w:after="60" w:line="200" w:lineRule="atLeast"/>
      <w:ind w:left="720" w:hanging="360"/>
    </w:pPr>
    <w:rPr>
      <w:rFonts w:eastAsiaTheme="minorEastAsia"/>
      <w:color w:val="000000"/>
      <w:sz w:val="16"/>
      <w:szCs w:val="20"/>
      <w:lang w:eastAsia="en-AU"/>
    </w:rPr>
  </w:style>
  <w:style w:type="paragraph" w:styleId="TableofFigures">
    <w:name w:val="table of figures"/>
    <w:basedOn w:val="Normal"/>
    <w:next w:val="Normal"/>
    <w:uiPriority w:val="98"/>
    <w:semiHidden/>
    <w:rsid w:val="00965476"/>
    <w:pPr>
      <w:spacing w:after="120" w:line="264" w:lineRule="auto"/>
      <w:jc w:val="right"/>
    </w:pPr>
    <w:rPr>
      <w:rFonts w:ascii="AvantGarde Bk BT" w:eastAsiaTheme="minorEastAsia" w:hAnsi="AvantGarde Bk BT"/>
      <w:sz w:val="18"/>
      <w:szCs w:val="18"/>
      <w:lang w:eastAsia="en-AU"/>
    </w:rPr>
  </w:style>
  <w:style w:type="paragraph" w:styleId="PlainText">
    <w:name w:val="Plain Text"/>
    <w:basedOn w:val="Normal"/>
    <w:link w:val="PlainTextChar"/>
    <w:uiPriority w:val="98"/>
    <w:semiHidden/>
    <w:rsid w:val="00965476"/>
    <w:pPr>
      <w:spacing w:after="120" w:line="264" w:lineRule="auto"/>
    </w:pPr>
    <w:rPr>
      <w:rFonts w:ascii="Consolas" w:eastAsia="Calibri" w:hAnsi="Consolas"/>
      <w:sz w:val="21"/>
      <w:szCs w:val="21"/>
      <w:lang w:val="x-none" w:eastAsia="x-none"/>
    </w:rPr>
  </w:style>
  <w:style w:type="character" w:customStyle="1" w:styleId="PlainTextChar">
    <w:name w:val="Plain Text Char"/>
    <w:basedOn w:val="DefaultParagraphFont"/>
    <w:link w:val="PlainText"/>
    <w:uiPriority w:val="98"/>
    <w:semiHidden/>
    <w:rsid w:val="00965476"/>
    <w:rPr>
      <w:rFonts w:ascii="Consolas" w:eastAsia="Calibri" w:hAnsi="Consolas"/>
      <w:sz w:val="21"/>
      <w:szCs w:val="21"/>
      <w:lang w:val="x-none" w:eastAsia="x-none"/>
    </w:rPr>
  </w:style>
  <w:style w:type="paragraph" w:customStyle="1" w:styleId="ColorfulShading-Accent12">
    <w:name w:val="Colorful Shading - Accent 12"/>
    <w:hidden/>
    <w:uiPriority w:val="99"/>
    <w:semiHidden/>
    <w:rsid w:val="00965476"/>
    <w:pPr>
      <w:spacing w:after="120" w:line="264" w:lineRule="auto"/>
    </w:pPr>
    <w:rPr>
      <w:rFonts w:ascii="Verdana" w:eastAsiaTheme="minorEastAsia" w:hAnsi="Verdana"/>
      <w:sz w:val="20"/>
      <w:szCs w:val="20"/>
    </w:rPr>
  </w:style>
  <w:style w:type="character" w:customStyle="1" w:styleId="ARfootnotebulletChar">
    <w:name w:val="AR footnote bullet Char"/>
    <w:link w:val="ARfootnotebullet"/>
    <w:rsid w:val="00965476"/>
    <w:rPr>
      <w:rFonts w:eastAsiaTheme="minorEastAsia"/>
      <w:color w:val="000000"/>
      <w:sz w:val="16"/>
      <w:szCs w:val="20"/>
      <w:lang w:eastAsia="en-AU"/>
    </w:rPr>
  </w:style>
  <w:style w:type="character" w:customStyle="1" w:styleId="ARtablefootnotebulletChar">
    <w:name w:val="AR table footnote bullet Char"/>
    <w:link w:val="ARtablefootnotebullet"/>
    <w:uiPriority w:val="99"/>
    <w:rsid w:val="00965476"/>
    <w:rPr>
      <w:rFonts w:ascii="Arial" w:eastAsiaTheme="minorEastAsia" w:hAnsi="Arial"/>
      <w:sz w:val="16"/>
      <w:szCs w:val="16"/>
    </w:rPr>
  </w:style>
  <w:style w:type="character" w:customStyle="1" w:styleId="Superscript">
    <w:name w:val="Superscript"/>
    <w:uiPriority w:val="99"/>
    <w:rsid w:val="00965476"/>
    <w:rPr>
      <w:vertAlign w:val="superscript"/>
    </w:rPr>
  </w:style>
  <w:style w:type="numbering" w:customStyle="1" w:styleId="ZZFinbullets">
    <w:name w:val="ZZ Fin bullets"/>
    <w:basedOn w:val="NoList"/>
    <w:rsid w:val="000F7F3A"/>
    <w:pPr>
      <w:numPr>
        <w:numId w:val="3"/>
      </w:numPr>
    </w:pPr>
  </w:style>
  <w:style w:type="paragraph" w:customStyle="1" w:styleId="ARnumberroman2">
    <w:name w:val="AR number roman 2"/>
    <w:basedOn w:val="ARbody"/>
    <w:uiPriority w:val="98"/>
    <w:rsid w:val="00965476"/>
    <w:pPr>
      <w:numPr>
        <w:ilvl w:val="2"/>
        <w:numId w:val="4"/>
      </w:numPr>
      <w:tabs>
        <w:tab w:val="clear" w:pos="794"/>
      </w:tabs>
      <w:spacing w:after="40" w:line="270" w:lineRule="atLeast"/>
    </w:pPr>
    <w:rPr>
      <w:rFonts w:eastAsia="Times New Roman"/>
      <w:szCs w:val="20"/>
    </w:rPr>
  </w:style>
  <w:style w:type="numbering" w:customStyle="1" w:styleId="ARnumberedparas">
    <w:name w:val="AR numbered paras"/>
    <w:rsid w:val="00965476"/>
    <w:pPr>
      <w:numPr>
        <w:numId w:val="24"/>
      </w:numPr>
    </w:pPr>
  </w:style>
  <w:style w:type="numbering" w:customStyle="1" w:styleId="ZZFintablebullets">
    <w:name w:val="ZZ Fin table bullets"/>
    <w:basedOn w:val="NoList"/>
    <w:uiPriority w:val="99"/>
    <w:rsid w:val="0073138D"/>
    <w:pPr>
      <w:numPr>
        <w:numId w:val="5"/>
      </w:numPr>
    </w:pPr>
  </w:style>
  <w:style w:type="paragraph" w:customStyle="1" w:styleId="ARtablebullet2">
    <w:name w:val="AR table bullet 2"/>
    <w:basedOn w:val="ARtablebullet1"/>
    <w:uiPriority w:val="3"/>
    <w:rsid w:val="0073138D"/>
    <w:pPr>
      <w:numPr>
        <w:ilvl w:val="1"/>
      </w:numPr>
    </w:pPr>
  </w:style>
  <w:style w:type="paragraph" w:customStyle="1" w:styleId="ARtablebullet1">
    <w:name w:val="AR table bullet 1"/>
    <w:basedOn w:val="ARtabletext"/>
    <w:uiPriority w:val="3"/>
    <w:qFormat/>
    <w:rsid w:val="0073138D"/>
    <w:pPr>
      <w:numPr>
        <w:numId w:val="9"/>
      </w:numPr>
      <w:spacing w:line="240" w:lineRule="auto"/>
    </w:pPr>
  </w:style>
  <w:style w:type="character" w:customStyle="1" w:styleId="ARtablefootnotenumberedChar">
    <w:name w:val="AR table footnote numbered Char"/>
    <w:link w:val="ARtablefootnotenumbered"/>
    <w:uiPriority w:val="99"/>
    <w:rsid w:val="0073138D"/>
    <w:rPr>
      <w:rFonts w:ascii="Arial" w:eastAsiaTheme="minorEastAsia" w:hAnsi="Arial"/>
      <w:sz w:val="16"/>
      <w:szCs w:val="16"/>
    </w:rPr>
  </w:style>
  <w:style w:type="numbering" w:customStyle="1" w:styleId="ZZTablefootnotenumbers">
    <w:name w:val="ZZ Table footnote numbers"/>
    <w:basedOn w:val="NoList"/>
    <w:uiPriority w:val="99"/>
    <w:rsid w:val="0073138D"/>
    <w:pPr>
      <w:numPr>
        <w:numId w:val="7"/>
      </w:numPr>
    </w:pPr>
  </w:style>
  <w:style w:type="paragraph" w:customStyle="1" w:styleId="ARfintablecolheadcentre">
    <w:name w:val="AR fin table col head centre"/>
    <w:basedOn w:val="Normal"/>
    <w:uiPriority w:val="99"/>
    <w:rsid w:val="00965476"/>
    <w:pPr>
      <w:spacing w:before="40" w:after="40" w:line="264" w:lineRule="auto"/>
      <w:jc w:val="center"/>
    </w:pPr>
    <w:rPr>
      <w:rFonts w:ascii="Arial" w:eastAsiaTheme="minorEastAsia" w:hAnsi="Arial"/>
      <w:b/>
      <w:sz w:val="16"/>
      <w:szCs w:val="16"/>
      <w:lang w:eastAsia="en-AU"/>
    </w:rPr>
  </w:style>
  <w:style w:type="table" w:styleId="TableElegant">
    <w:name w:val="Table Elegant"/>
    <w:basedOn w:val="TableNormal"/>
    <w:uiPriority w:val="99"/>
    <w:rsid w:val="00965476"/>
    <w:pPr>
      <w:spacing w:after="120" w:line="264" w:lineRule="auto"/>
    </w:pPr>
    <w:rPr>
      <w:rFonts w:eastAsiaTheme="minorEastAsia"/>
      <w:sz w:val="20"/>
      <w:szCs w:val="20"/>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ARtablefootnoteroman">
    <w:name w:val="AR table footnote roman"/>
    <w:basedOn w:val="ARtablefootnote"/>
    <w:uiPriority w:val="98"/>
    <w:rsid w:val="0073138D"/>
    <w:pPr>
      <w:numPr>
        <w:numId w:val="19"/>
      </w:numPr>
    </w:pPr>
    <w:rPr>
      <w:lang w:eastAsia="en-AU"/>
    </w:rPr>
  </w:style>
  <w:style w:type="numbering" w:customStyle="1" w:styleId="ZZTablefootnoteroman">
    <w:name w:val="ZZ Table footnote roman"/>
    <w:basedOn w:val="NoList"/>
    <w:uiPriority w:val="99"/>
    <w:rsid w:val="0073138D"/>
    <w:pPr>
      <w:numPr>
        <w:numId w:val="11"/>
      </w:numPr>
    </w:pPr>
  </w:style>
  <w:style w:type="paragraph" w:customStyle="1" w:styleId="ARfintablebodyindent">
    <w:name w:val="AR fin table body indent"/>
    <w:basedOn w:val="ARfintablebody"/>
    <w:uiPriority w:val="8"/>
    <w:rsid w:val="00965476"/>
    <w:pPr>
      <w:ind w:left="227"/>
    </w:pPr>
    <w:rPr>
      <w:lang w:eastAsia="en-AU"/>
    </w:rPr>
  </w:style>
  <w:style w:type="paragraph" w:customStyle="1" w:styleId="ARfintablecolhead">
    <w:name w:val="AR fin table col head"/>
    <w:basedOn w:val="ARfintablecolheadright"/>
    <w:uiPriority w:val="1"/>
    <w:qFormat/>
    <w:rsid w:val="00637705"/>
    <w:pPr>
      <w:jc w:val="left"/>
    </w:pPr>
  </w:style>
  <w:style w:type="paragraph" w:customStyle="1" w:styleId="ARfintablebody">
    <w:name w:val="AR fin table body"/>
    <w:uiPriority w:val="99"/>
    <w:rsid w:val="00965476"/>
    <w:pPr>
      <w:suppressAutoHyphens/>
      <w:spacing w:before="40" w:after="20" w:line="264" w:lineRule="auto"/>
      <w:ind w:right="113"/>
    </w:pPr>
    <w:rPr>
      <w:rFonts w:ascii="Arial" w:eastAsia="MS Mincho" w:hAnsi="Arial" w:cs="Arial"/>
      <w:color w:val="000000"/>
      <w:sz w:val="16"/>
      <w:szCs w:val="16"/>
    </w:rPr>
  </w:style>
  <w:style w:type="paragraph" w:customStyle="1" w:styleId="ARfintablebodybold">
    <w:name w:val="AR fin table body bold"/>
    <w:basedOn w:val="ARfintablebody"/>
    <w:uiPriority w:val="99"/>
    <w:rsid w:val="00965476"/>
    <w:rPr>
      <w:rFonts w:cs="Arial-BoldMT"/>
      <w:b/>
      <w:bCs/>
    </w:rPr>
  </w:style>
  <w:style w:type="paragraph" w:customStyle="1" w:styleId="ARfintableboldsubhead">
    <w:name w:val="AR fin table bold subhead"/>
    <w:basedOn w:val="ARfintablebody"/>
    <w:uiPriority w:val="99"/>
    <w:rsid w:val="00965476"/>
    <w:pPr>
      <w:spacing w:before="160"/>
    </w:pPr>
    <w:rPr>
      <w:b/>
      <w:szCs w:val="18"/>
    </w:rPr>
  </w:style>
  <w:style w:type="paragraph" w:customStyle="1" w:styleId="ARfintablefootnote">
    <w:name w:val="AR fin table footnote"/>
    <w:basedOn w:val="Normal"/>
    <w:qFormat/>
    <w:rsid w:val="00965476"/>
    <w:pPr>
      <w:spacing w:before="60" w:after="60" w:line="180" w:lineRule="atLeast"/>
    </w:pPr>
    <w:rPr>
      <w:rFonts w:ascii="Arial" w:eastAsia="Times New Roman" w:hAnsi="Arial" w:cs="Times New Roman"/>
      <w:color w:val="000000"/>
      <w:sz w:val="14"/>
      <w:szCs w:val="14"/>
    </w:rPr>
  </w:style>
  <w:style w:type="paragraph" w:customStyle="1" w:styleId="ARfintablebodyright">
    <w:name w:val="AR fin table body right"/>
    <w:basedOn w:val="ARfintablebody"/>
    <w:uiPriority w:val="99"/>
    <w:rsid w:val="00965476"/>
    <w:pPr>
      <w:jc w:val="right"/>
    </w:pPr>
  </w:style>
  <w:style w:type="paragraph" w:customStyle="1" w:styleId="ARfintablecolheadright">
    <w:name w:val="AR fin table col head right"/>
    <w:basedOn w:val="Normal"/>
    <w:uiPriority w:val="1"/>
    <w:qFormat/>
    <w:rsid w:val="00965476"/>
    <w:pPr>
      <w:spacing w:before="40" w:after="40" w:line="264" w:lineRule="auto"/>
      <w:ind w:right="113"/>
      <w:jc w:val="right"/>
    </w:pPr>
    <w:rPr>
      <w:rFonts w:ascii="Arial" w:eastAsiaTheme="minorEastAsia" w:hAnsi="Arial"/>
      <w:b/>
      <w:sz w:val="16"/>
      <w:szCs w:val="16"/>
      <w:lang w:eastAsia="en-AU"/>
    </w:rPr>
  </w:style>
  <w:style w:type="paragraph" w:customStyle="1" w:styleId="ARfintablefootnoteindent">
    <w:name w:val="AR fin table footnote indent"/>
    <w:link w:val="ARfintablefootnoteindentChar"/>
    <w:qFormat/>
    <w:rsid w:val="00965476"/>
    <w:pPr>
      <w:spacing w:before="40" w:after="40" w:line="180" w:lineRule="atLeast"/>
      <w:ind w:left="284" w:hanging="284"/>
    </w:pPr>
    <w:rPr>
      <w:rFonts w:ascii="Arial" w:eastAsiaTheme="minorEastAsia" w:hAnsi="Arial"/>
      <w:color w:val="000000"/>
      <w:sz w:val="14"/>
      <w:szCs w:val="14"/>
      <w:lang w:eastAsia="en-AU"/>
    </w:rPr>
  </w:style>
  <w:style w:type="character" w:customStyle="1" w:styleId="ARfintablefootnoteindentChar">
    <w:name w:val="AR fin table footnote indent Char"/>
    <w:link w:val="ARfintablefootnoteindent"/>
    <w:rsid w:val="00965476"/>
    <w:rPr>
      <w:rFonts w:ascii="Arial" w:eastAsiaTheme="minorEastAsia" w:hAnsi="Arial"/>
      <w:color w:val="000000"/>
      <w:sz w:val="14"/>
      <w:szCs w:val="14"/>
      <w:lang w:eastAsia="en-AU"/>
    </w:rPr>
  </w:style>
  <w:style w:type="paragraph" w:customStyle="1" w:styleId="ARfinbody">
    <w:name w:val="AR fin body"/>
    <w:basedOn w:val="Normal"/>
    <w:qFormat/>
    <w:rsid w:val="00965476"/>
    <w:pPr>
      <w:suppressAutoHyphens/>
      <w:autoSpaceDE w:val="0"/>
      <w:autoSpaceDN w:val="0"/>
      <w:adjustRightInd w:val="0"/>
      <w:spacing w:after="60" w:line="190" w:lineRule="atLeast"/>
      <w:textAlignment w:val="center"/>
    </w:pPr>
    <w:rPr>
      <w:rFonts w:ascii="Arial" w:eastAsiaTheme="minorEastAsia" w:hAnsi="Arial" w:cs="ArialMT"/>
      <w:color w:val="000000"/>
      <w:sz w:val="16"/>
      <w:szCs w:val="16"/>
      <w:lang w:eastAsia="en-AU"/>
    </w:rPr>
  </w:style>
  <w:style w:type="paragraph" w:customStyle="1" w:styleId="ARfinbullet1">
    <w:name w:val="AR fin bullet 1"/>
    <w:basedOn w:val="ARfinbody"/>
    <w:uiPriority w:val="99"/>
    <w:qFormat/>
    <w:rsid w:val="000F7F3A"/>
    <w:pPr>
      <w:numPr>
        <w:numId w:val="3"/>
      </w:numPr>
    </w:pPr>
    <w:rPr>
      <w:rFonts w:eastAsia="Verdana"/>
    </w:rPr>
  </w:style>
  <w:style w:type="paragraph" w:customStyle="1" w:styleId="ARfinbodyaftertable">
    <w:name w:val="AR fin body after table"/>
    <w:basedOn w:val="ARfintablebody"/>
    <w:uiPriority w:val="98"/>
    <w:qFormat/>
    <w:rsid w:val="00965476"/>
    <w:pPr>
      <w:spacing w:before="160" w:after="60"/>
    </w:pPr>
    <w:rPr>
      <w:lang w:eastAsia="en-AU"/>
    </w:rPr>
  </w:style>
  <w:style w:type="paragraph" w:customStyle="1" w:styleId="ARfinnumberalpha1">
    <w:name w:val="AR fin number alpha 1"/>
    <w:basedOn w:val="ARfinbody"/>
    <w:uiPriority w:val="98"/>
    <w:rsid w:val="008E679A"/>
    <w:pPr>
      <w:numPr>
        <w:numId w:val="10"/>
      </w:numPr>
    </w:pPr>
  </w:style>
  <w:style w:type="paragraph" w:customStyle="1" w:styleId="ARfinstructure1">
    <w:name w:val="AR fin structure 1"/>
    <w:basedOn w:val="ARfinbody"/>
    <w:uiPriority w:val="98"/>
    <w:rsid w:val="00965476"/>
  </w:style>
  <w:style w:type="paragraph" w:customStyle="1" w:styleId="ARfinstructure2">
    <w:name w:val="AR fin structure 2"/>
    <w:basedOn w:val="ARfinbody"/>
    <w:uiPriority w:val="98"/>
    <w:rsid w:val="00965476"/>
  </w:style>
  <w:style w:type="paragraph" w:customStyle="1" w:styleId="ARfintablebullet1">
    <w:name w:val="AR fin table bullet 1"/>
    <w:basedOn w:val="ARfintablebody"/>
    <w:uiPriority w:val="98"/>
    <w:rsid w:val="00965476"/>
    <w:pPr>
      <w:ind w:left="170" w:hanging="170"/>
    </w:pPr>
    <w:rPr>
      <w:lang w:eastAsia="en-AU"/>
    </w:rPr>
  </w:style>
  <w:style w:type="numbering" w:customStyle="1" w:styleId="Numbersinfintables">
    <w:name w:val="Numbers in fin tables"/>
    <w:uiPriority w:val="99"/>
    <w:rsid w:val="00965476"/>
    <w:pPr>
      <w:numPr>
        <w:numId w:val="8"/>
      </w:numPr>
    </w:pPr>
  </w:style>
  <w:style w:type="numbering" w:customStyle="1" w:styleId="Tablefootnotes">
    <w:name w:val="Table footnotes"/>
    <w:uiPriority w:val="99"/>
    <w:rsid w:val="00965476"/>
    <w:pPr>
      <w:numPr>
        <w:numId w:val="31"/>
      </w:numPr>
    </w:pPr>
  </w:style>
  <w:style w:type="table" w:styleId="TableGrid5">
    <w:name w:val="Table Grid 5"/>
    <w:basedOn w:val="TableNormal"/>
    <w:rsid w:val="00965476"/>
    <w:pPr>
      <w:spacing w:after="120" w:line="264" w:lineRule="auto"/>
    </w:pPr>
    <w:rPr>
      <w:rFonts w:eastAsiaTheme="minorEastAsia"/>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Rfintablebullet2">
    <w:name w:val="AR fin table bullet 2"/>
    <w:basedOn w:val="Normal"/>
    <w:uiPriority w:val="98"/>
    <w:rsid w:val="00965476"/>
    <w:pPr>
      <w:tabs>
        <w:tab w:val="num" w:pos="170"/>
      </w:tabs>
      <w:suppressAutoHyphens/>
      <w:spacing w:before="40" w:after="20" w:line="264" w:lineRule="auto"/>
      <w:ind w:left="340" w:right="113" w:hanging="170"/>
    </w:pPr>
    <w:rPr>
      <w:rFonts w:eastAsia="MS Mincho" w:cs="Arial"/>
      <w:color w:val="000000"/>
      <w:sz w:val="16"/>
      <w:szCs w:val="16"/>
      <w:lang w:eastAsia="en-AU"/>
    </w:rPr>
  </w:style>
  <w:style w:type="paragraph" w:styleId="Subtitle">
    <w:name w:val="Subtitle"/>
    <w:basedOn w:val="Normal"/>
    <w:next w:val="Normal"/>
    <w:link w:val="SubtitleChar"/>
    <w:uiPriority w:val="11"/>
    <w:semiHidden/>
    <w:qFormat/>
    <w:rsid w:val="00965476"/>
    <w:pPr>
      <w:numPr>
        <w:ilvl w:val="1"/>
      </w:numPr>
      <w:spacing w:after="120" w:line="240" w:lineRule="auto"/>
    </w:pPr>
    <w:rPr>
      <w:rFonts w:asciiTheme="majorHAnsi" w:eastAsiaTheme="majorEastAsia" w:hAnsiTheme="majorHAnsi" w:cstheme="majorBidi"/>
      <w:sz w:val="24"/>
      <w:szCs w:val="24"/>
      <w:lang w:eastAsia="en-AU"/>
    </w:rPr>
  </w:style>
  <w:style w:type="character" w:customStyle="1" w:styleId="SubtitleChar">
    <w:name w:val="Subtitle Char"/>
    <w:basedOn w:val="DefaultParagraphFont"/>
    <w:link w:val="Subtitle"/>
    <w:uiPriority w:val="11"/>
    <w:semiHidden/>
    <w:rsid w:val="00916900"/>
    <w:rPr>
      <w:rFonts w:asciiTheme="majorHAnsi" w:eastAsiaTheme="majorEastAsia" w:hAnsiTheme="majorHAnsi" w:cstheme="majorBidi"/>
      <w:sz w:val="24"/>
      <w:szCs w:val="24"/>
      <w:lang w:eastAsia="en-AU"/>
    </w:rPr>
  </w:style>
  <w:style w:type="paragraph" w:styleId="IntenseQuote">
    <w:name w:val="Intense Quote"/>
    <w:basedOn w:val="Normal"/>
    <w:next w:val="Normal"/>
    <w:link w:val="IntenseQuoteChar"/>
    <w:uiPriority w:val="30"/>
    <w:semiHidden/>
    <w:qFormat/>
    <w:rsid w:val="00965476"/>
    <w:pPr>
      <w:pBdr>
        <w:left w:val="single" w:sz="18" w:space="12" w:color="87189D" w:themeColor="accent1"/>
      </w:pBdr>
      <w:spacing w:before="100" w:beforeAutospacing="1" w:after="120" w:line="300" w:lineRule="auto"/>
      <w:ind w:left="1224" w:right="1224"/>
    </w:pPr>
    <w:rPr>
      <w:rFonts w:asciiTheme="majorHAnsi" w:eastAsiaTheme="majorEastAsia" w:hAnsiTheme="majorHAnsi" w:cstheme="majorBidi"/>
      <w:color w:val="87189D" w:themeColor="accent1"/>
      <w:sz w:val="28"/>
      <w:szCs w:val="28"/>
      <w:lang w:eastAsia="en-AU"/>
    </w:rPr>
  </w:style>
  <w:style w:type="character" w:customStyle="1" w:styleId="IntenseQuoteChar">
    <w:name w:val="Intense Quote Char"/>
    <w:basedOn w:val="DefaultParagraphFont"/>
    <w:link w:val="IntenseQuote"/>
    <w:uiPriority w:val="30"/>
    <w:semiHidden/>
    <w:rsid w:val="00916900"/>
    <w:rPr>
      <w:rFonts w:asciiTheme="majorHAnsi" w:eastAsiaTheme="majorEastAsia" w:hAnsiTheme="majorHAnsi" w:cstheme="majorBidi"/>
      <w:color w:val="87189D" w:themeColor="accent1"/>
      <w:sz w:val="28"/>
      <w:szCs w:val="28"/>
      <w:lang w:eastAsia="en-AU"/>
    </w:rPr>
  </w:style>
  <w:style w:type="character" w:styleId="SubtleEmphasis">
    <w:name w:val="Subtle Emphasis"/>
    <w:basedOn w:val="DefaultParagraphFont"/>
    <w:uiPriority w:val="19"/>
    <w:semiHidden/>
    <w:qFormat/>
    <w:rsid w:val="00965476"/>
    <w:rPr>
      <w:i/>
      <w:iCs/>
      <w:color w:val="404040" w:themeColor="text1" w:themeTint="BF"/>
    </w:rPr>
  </w:style>
  <w:style w:type="character" w:styleId="IntenseEmphasis">
    <w:name w:val="Intense Emphasis"/>
    <w:basedOn w:val="DefaultParagraphFont"/>
    <w:uiPriority w:val="21"/>
    <w:semiHidden/>
    <w:qFormat/>
    <w:rsid w:val="00965476"/>
    <w:rPr>
      <w:b/>
      <w:bCs/>
      <w:i/>
      <w:iCs/>
    </w:rPr>
  </w:style>
  <w:style w:type="character" w:styleId="SubtleReference">
    <w:name w:val="Subtle Reference"/>
    <w:basedOn w:val="DefaultParagraphFont"/>
    <w:uiPriority w:val="31"/>
    <w:semiHidden/>
    <w:qFormat/>
    <w:rsid w:val="00965476"/>
    <w:rPr>
      <w:smallCaps/>
      <w:color w:val="404040" w:themeColor="text1" w:themeTint="BF"/>
      <w:u w:val="single" w:color="7F7F7F" w:themeColor="text1" w:themeTint="80"/>
    </w:rPr>
  </w:style>
  <w:style w:type="character" w:styleId="IntenseReference">
    <w:name w:val="Intense Reference"/>
    <w:basedOn w:val="DefaultParagraphFont"/>
    <w:uiPriority w:val="32"/>
    <w:semiHidden/>
    <w:qFormat/>
    <w:rsid w:val="00965476"/>
    <w:rPr>
      <w:b/>
      <w:bCs/>
      <w:smallCaps/>
      <w:spacing w:val="5"/>
      <w:u w:val="single"/>
    </w:rPr>
  </w:style>
  <w:style w:type="numbering" w:customStyle="1" w:styleId="ZZTablebullets">
    <w:name w:val="ZZ Table bullets"/>
    <w:basedOn w:val="NoList"/>
    <w:uiPriority w:val="99"/>
    <w:rsid w:val="0073138D"/>
    <w:pPr>
      <w:numPr>
        <w:numId w:val="9"/>
      </w:numPr>
    </w:pPr>
  </w:style>
  <w:style w:type="paragraph" w:customStyle="1" w:styleId="ARheaderright">
    <w:name w:val="AR header right"/>
    <w:basedOn w:val="Normal"/>
    <w:uiPriority w:val="99"/>
    <w:rsid w:val="00965476"/>
    <w:pPr>
      <w:pBdr>
        <w:bottom w:val="single" w:sz="4" w:space="4" w:color="87189D"/>
      </w:pBdr>
      <w:tabs>
        <w:tab w:val="right" w:pos="8959"/>
        <w:tab w:val="right" w:pos="9639"/>
      </w:tabs>
      <w:spacing w:after="0" w:line="240" w:lineRule="auto"/>
    </w:pPr>
    <w:rPr>
      <w:rFonts w:ascii="Arial" w:eastAsia="Times New Roman" w:hAnsi="Arial" w:cs="Times New Roman"/>
      <w:sz w:val="18"/>
      <w:szCs w:val="20"/>
    </w:rPr>
  </w:style>
  <w:style w:type="paragraph" w:customStyle="1" w:styleId="ARfinnumberroman2">
    <w:name w:val="AR fin number roman 2"/>
    <w:basedOn w:val="ARfinbody"/>
    <w:uiPriority w:val="98"/>
    <w:rsid w:val="00965476"/>
    <w:pPr>
      <w:numPr>
        <w:ilvl w:val="1"/>
        <w:numId w:val="12"/>
      </w:numPr>
    </w:pPr>
  </w:style>
  <w:style w:type="paragraph" w:customStyle="1" w:styleId="ARfintablebodyrightbold">
    <w:name w:val="AR fin table body right bold"/>
    <w:basedOn w:val="ARfintablebodyright"/>
    <w:uiPriority w:val="98"/>
    <w:rsid w:val="000E4668"/>
    <w:rPr>
      <w:b/>
    </w:rPr>
  </w:style>
  <w:style w:type="numbering" w:customStyle="1" w:styleId="ZZFinnumbersalpha1roman2">
    <w:name w:val="ZZ Fin numbers alpha 1 roman 2"/>
    <w:basedOn w:val="NoList"/>
    <w:uiPriority w:val="99"/>
    <w:rsid w:val="008E679A"/>
    <w:pPr>
      <w:numPr>
        <w:numId w:val="10"/>
      </w:numPr>
    </w:pPr>
  </w:style>
  <w:style w:type="character" w:customStyle="1" w:styleId="ARfigurecaptionChar">
    <w:name w:val="AR figure caption Char"/>
    <w:link w:val="ARfigurecaption"/>
    <w:uiPriority w:val="99"/>
    <w:locked/>
    <w:rsid w:val="00965476"/>
    <w:rPr>
      <w:rFonts w:ascii="Arial" w:eastAsia="Times New Roman" w:hAnsi="Arial" w:cs="Times New Roman"/>
      <w:b/>
      <w:color w:val="7C239D"/>
      <w:sz w:val="26"/>
      <w:szCs w:val="24"/>
    </w:rPr>
  </w:style>
  <w:style w:type="paragraph" w:customStyle="1" w:styleId="ARfigurecaption">
    <w:name w:val="AR figure caption"/>
    <w:next w:val="ARbody"/>
    <w:link w:val="ARfigurecaptionChar"/>
    <w:uiPriority w:val="99"/>
    <w:rsid w:val="00965476"/>
    <w:pPr>
      <w:keepNext/>
      <w:keepLines/>
      <w:spacing w:before="240" w:after="120" w:line="240" w:lineRule="auto"/>
    </w:pPr>
    <w:rPr>
      <w:rFonts w:ascii="Arial" w:eastAsia="Times New Roman" w:hAnsi="Arial" w:cs="Times New Roman"/>
      <w:b/>
      <w:color w:val="7C239D"/>
      <w:sz w:val="26"/>
      <w:szCs w:val="24"/>
    </w:rPr>
  </w:style>
  <w:style w:type="paragraph" w:customStyle="1" w:styleId="ARfootnotetables">
    <w:name w:val="AR footnote tables"/>
    <w:basedOn w:val="Normal"/>
    <w:uiPriority w:val="99"/>
    <w:qFormat/>
    <w:rsid w:val="00965476"/>
    <w:pPr>
      <w:spacing w:before="60" w:after="60" w:line="200" w:lineRule="atLeast"/>
      <w:ind w:left="284" w:hanging="284"/>
    </w:pPr>
    <w:rPr>
      <w:rFonts w:ascii="Arial" w:eastAsia="Times New Roman" w:hAnsi="Arial" w:cs="Times New Roman"/>
      <w:color w:val="000000"/>
      <w:sz w:val="16"/>
      <w:szCs w:val="24"/>
    </w:rPr>
  </w:style>
  <w:style w:type="paragraph" w:customStyle="1" w:styleId="ARtablegreybold">
    <w:name w:val="AR table grey bold"/>
    <w:basedOn w:val="ARtabletext"/>
    <w:uiPriority w:val="3"/>
    <w:rsid w:val="00965476"/>
    <w:pPr>
      <w:spacing w:line="240" w:lineRule="auto"/>
    </w:pPr>
    <w:rPr>
      <w:rFonts w:eastAsia="Calibri"/>
      <w:b/>
      <w:color w:val="53565A"/>
    </w:rPr>
  </w:style>
  <w:style w:type="paragraph" w:customStyle="1" w:styleId="ARheaderleft">
    <w:name w:val="AR header left"/>
    <w:uiPriority w:val="11"/>
    <w:rsid w:val="00965476"/>
    <w:pPr>
      <w:pBdr>
        <w:bottom w:val="single" w:sz="4" w:space="4" w:color="D50032"/>
      </w:pBdr>
      <w:tabs>
        <w:tab w:val="left" w:pos="680"/>
      </w:tabs>
      <w:spacing w:after="0" w:line="240" w:lineRule="auto"/>
    </w:pPr>
    <w:rPr>
      <w:rFonts w:ascii="Arial" w:eastAsia="Times New Roman" w:hAnsi="Arial" w:cs="Times New Roman"/>
      <w:sz w:val="18"/>
      <w:szCs w:val="24"/>
    </w:rPr>
  </w:style>
  <w:style w:type="table" w:styleId="LightShading-Accent2">
    <w:name w:val="Light Shading Accent 2"/>
    <w:basedOn w:val="TableNormal"/>
    <w:uiPriority w:val="60"/>
    <w:rsid w:val="00965476"/>
    <w:pPr>
      <w:spacing w:before="120"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LightList-Accent312">
    <w:name w:val="Light List - Accent 312"/>
    <w:hidden/>
    <w:uiPriority w:val="99"/>
    <w:semiHidden/>
    <w:rsid w:val="00965476"/>
    <w:pPr>
      <w:spacing w:after="120" w:line="264" w:lineRule="auto"/>
    </w:pPr>
    <w:rPr>
      <w:rFonts w:ascii="Arial" w:eastAsiaTheme="minorEastAsia" w:hAnsi="Arial"/>
      <w:sz w:val="24"/>
      <w:szCs w:val="24"/>
    </w:rPr>
  </w:style>
  <w:style w:type="paragraph" w:customStyle="1" w:styleId="LightList-Accent3111">
    <w:name w:val="Light List - Accent 3111"/>
    <w:hidden/>
    <w:uiPriority w:val="99"/>
    <w:semiHidden/>
    <w:rsid w:val="00965476"/>
    <w:pPr>
      <w:spacing w:after="120" w:line="264" w:lineRule="auto"/>
    </w:pPr>
    <w:rPr>
      <w:rFonts w:ascii="Arial" w:eastAsiaTheme="minorEastAsia" w:hAnsi="Arial"/>
      <w:sz w:val="24"/>
      <w:szCs w:val="24"/>
    </w:rPr>
  </w:style>
  <w:style w:type="paragraph" w:customStyle="1" w:styleId="MediumList2-Accent211">
    <w:name w:val="Medium List 2 - Accent 211"/>
    <w:hidden/>
    <w:uiPriority w:val="99"/>
    <w:semiHidden/>
    <w:rsid w:val="00965476"/>
    <w:pPr>
      <w:spacing w:after="120" w:line="264" w:lineRule="auto"/>
    </w:pPr>
    <w:rPr>
      <w:rFonts w:ascii="Arial" w:eastAsiaTheme="minorEastAsia" w:hAnsi="Arial"/>
      <w:sz w:val="24"/>
      <w:szCs w:val="24"/>
    </w:rPr>
  </w:style>
  <w:style w:type="paragraph" w:customStyle="1" w:styleId="MediumList2-Accent221">
    <w:name w:val="Medium List 2 - Accent 221"/>
    <w:hidden/>
    <w:uiPriority w:val="71"/>
    <w:unhideWhenUsed/>
    <w:rsid w:val="00965476"/>
    <w:pPr>
      <w:spacing w:after="120" w:line="264" w:lineRule="auto"/>
    </w:pPr>
    <w:rPr>
      <w:rFonts w:ascii="Arial" w:eastAsiaTheme="minorEastAsia" w:hAnsi="Arial"/>
      <w:sz w:val="24"/>
      <w:szCs w:val="24"/>
    </w:rPr>
  </w:style>
  <w:style w:type="paragraph" w:customStyle="1" w:styleId="ColorfulShading-Accent111">
    <w:name w:val="Colorful Shading - Accent 111"/>
    <w:hidden/>
    <w:uiPriority w:val="99"/>
    <w:unhideWhenUsed/>
    <w:rsid w:val="00965476"/>
    <w:pPr>
      <w:spacing w:after="120" w:line="264" w:lineRule="auto"/>
    </w:pPr>
    <w:rPr>
      <w:rFonts w:ascii="Arial" w:eastAsiaTheme="minorEastAsia" w:hAnsi="Arial"/>
      <w:sz w:val="24"/>
      <w:szCs w:val="24"/>
    </w:rPr>
  </w:style>
  <w:style w:type="paragraph" w:customStyle="1" w:styleId="ColorfulShading-Accent121">
    <w:name w:val="Colorful Shading - Accent 121"/>
    <w:hidden/>
    <w:uiPriority w:val="99"/>
    <w:semiHidden/>
    <w:rsid w:val="00965476"/>
    <w:pPr>
      <w:spacing w:after="120" w:line="264" w:lineRule="auto"/>
    </w:pPr>
    <w:rPr>
      <w:rFonts w:ascii="Verdana" w:eastAsiaTheme="minorEastAsia" w:hAnsi="Verdana"/>
      <w:sz w:val="20"/>
      <w:szCs w:val="20"/>
    </w:rPr>
  </w:style>
  <w:style w:type="paragraph" w:customStyle="1" w:styleId="LightList-Accent313">
    <w:name w:val="Light List - Accent 313"/>
    <w:hidden/>
    <w:uiPriority w:val="99"/>
    <w:semiHidden/>
    <w:rsid w:val="00092D31"/>
    <w:pPr>
      <w:spacing w:after="120" w:line="264" w:lineRule="auto"/>
    </w:pPr>
    <w:rPr>
      <w:rFonts w:ascii="Arial" w:eastAsiaTheme="minorEastAsia" w:hAnsi="Arial"/>
      <w:sz w:val="24"/>
      <w:szCs w:val="24"/>
    </w:rPr>
  </w:style>
  <w:style w:type="paragraph" w:customStyle="1" w:styleId="LightList-Accent3112">
    <w:name w:val="Light List - Accent 3112"/>
    <w:hidden/>
    <w:uiPriority w:val="99"/>
    <w:semiHidden/>
    <w:rsid w:val="00092D31"/>
    <w:pPr>
      <w:spacing w:after="120" w:line="264" w:lineRule="auto"/>
    </w:pPr>
    <w:rPr>
      <w:rFonts w:ascii="Arial" w:eastAsiaTheme="minorEastAsia" w:hAnsi="Arial"/>
      <w:sz w:val="24"/>
      <w:szCs w:val="24"/>
    </w:rPr>
  </w:style>
  <w:style w:type="paragraph" w:customStyle="1" w:styleId="MediumList2-Accent212">
    <w:name w:val="Medium List 2 - Accent 212"/>
    <w:hidden/>
    <w:uiPriority w:val="99"/>
    <w:semiHidden/>
    <w:rsid w:val="00092D31"/>
    <w:pPr>
      <w:spacing w:after="120" w:line="264" w:lineRule="auto"/>
    </w:pPr>
    <w:rPr>
      <w:rFonts w:ascii="Arial" w:eastAsiaTheme="minorEastAsia" w:hAnsi="Arial"/>
      <w:sz w:val="24"/>
      <w:szCs w:val="24"/>
    </w:rPr>
  </w:style>
  <w:style w:type="paragraph" w:customStyle="1" w:styleId="MediumList2-Accent222">
    <w:name w:val="Medium List 2 - Accent 222"/>
    <w:hidden/>
    <w:uiPriority w:val="71"/>
    <w:unhideWhenUsed/>
    <w:rsid w:val="00092D31"/>
    <w:pPr>
      <w:spacing w:after="120" w:line="264" w:lineRule="auto"/>
    </w:pPr>
    <w:rPr>
      <w:rFonts w:ascii="Arial" w:eastAsiaTheme="minorEastAsia" w:hAnsi="Arial"/>
      <w:sz w:val="24"/>
      <w:szCs w:val="24"/>
    </w:rPr>
  </w:style>
  <w:style w:type="paragraph" w:customStyle="1" w:styleId="ColorfulShading-Accent112">
    <w:name w:val="Colorful Shading - Accent 112"/>
    <w:hidden/>
    <w:uiPriority w:val="99"/>
    <w:unhideWhenUsed/>
    <w:rsid w:val="00092D31"/>
    <w:pPr>
      <w:spacing w:after="120" w:line="264" w:lineRule="auto"/>
    </w:pPr>
    <w:rPr>
      <w:rFonts w:ascii="Arial" w:eastAsiaTheme="minorEastAsia" w:hAnsi="Arial"/>
      <w:sz w:val="24"/>
      <w:szCs w:val="24"/>
    </w:rPr>
  </w:style>
  <w:style w:type="paragraph" w:customStyle="1" w:styleId="ColorfulShading-Accent122">
    <w:name w:val="Colorful Shading - Accent 122"/>
    <w:hidden/>
    <w:uiPriority w:val="99"/>
    <w:semiHidden/>
    <w:rsid w:val="00092D31"/>
    <w:pPr>
      <w:spacing w:after="120" w:line="264" w:lineRule="auto"/>
    </w:pPr>
    <w:rPr>
      <w:rFonts w:ascii="Verdana" w:eastAsiaTheme="minorEastAsia" w:hAnsi="Verdana"/>
      <w:sz w:val="20"/>
      <w:szCs w:val="20"/>
    </w:rPr>
  </w:style>
  <w:style w:type="paragraph" w:styleId="ListParagraph">
    <w:name w:val="List Paragraph"/>
    <w:basedOn w:val="Normal"/>
    <w:link w:val="ListParagraphChar"/>
    <w:uiPriority w:val="34"/>
    <w:semiHidden/>
    <w:qFormat/>
    <w:rsid w:val="00255AB4"/>
    <w:pPr>
      <w:keepLines/>
      <w:spacing w:before="80" w:after="0" w:line="240" w:lineRule="auto"/>
    </w:pPr>
    <w:rPr>
      <w:rFonts w:ascii="Arial" w:hAnsi="Arial"/>
      <w:color w:val="87189D"/>
      <w:sz w:val="18"/>
      <w:szCs w:val="18"/>
    </w:rPr>
  </w:style>
  <w:style w:type="paragraph" w:customStyle="1" w:styleId="LightList-Accent3121">
    <w:name w:val="Light List - Accent 3121"/>
    <w:hidden/>
    <w:uiPriority w:val="99"/>
    <w:semiHidden/>
    <w:rsid w:val="00092D31"/>
    <w:pPr>
      <w:spacing w:after="120" w:line="264" w:lineRule="auto"/>
    </w:pPr>
    <w:rPr>
      <w:rFonts w:ascii="Arial" w:eastAsiaTheme="minorEastAsia" w:hAnsi="Arial"/>
      <w:sz w:val="24"/>
      <w:szCs w:val="24"/>
    </w:rPr>
  </w:style>
  <w:style w:type="paragraph" w:customStyle="1" w:styleId="LightList-Accent31111">
    <w:name w:val="Light List - Accent 31111"/>
    <w:hidden/>
    <w:uiPriority w:val="99"/>
    <w:semiHidden/>
    <w:rsid w:val="00092D31"/>
    <w:pPr>
      <w:spacing w:after="120" w:line="264" w:lineRule="auto"/>
    </w:pPr>
    <w:rPr>
      <w:rFonts w:ascii="Arial" w:eastAsiaTheme="minorEastAsia" w:hAnsi="Arial"/>
      <w:sz w:val="24"/>
      <w:szCs w:val="24"/>
    </w:rPr>
  </w:style>
  <w:style w:type="paragraph" w:customStyle="1" w:styleId="MediumList2-Accent2111">
    <w:name w:val="Medium List 2 - Accent 2111"/>
    <w:hidden/>
    <w:uiPriority w:val="99"/>
    <w:semiHidden/>
    <w:rsid w:val="00092D31"/>
    <w:pPr>
      <w:spacing w:after="120" w:line="264" w:lineRule="auto"/>
    </w:pPr>
    <w:rPr>
      <w:rFonts w:ascii="Arial" w:eastAsiaTheme="minorEastAsia" w:hAnsi="Arial"/>
      <w:sz w:val="24"/>
      <w:szCs w:val="24"/>
    </w:rPr>
  </w:style>
  <w:style w:type="paragraph" w:customStyle="1" w:styleId="MediumList2-Accent2211">
    <w:name w:val="Medium List 2 - Accent 2211"/>
    <w:hidden/>
    <w:uiPriority w:val="71"/>
    <w:unhideWhenUsed/>
    <w:rsid w:val="00092D31"/>
    <w:pPr>
      <w:spacing w:after="120" w:line="264" w:lineRule="auto"/>
    </w:pPr>
    <w:rPr>
      <w:rFonts w:ascii="Arial" w:eastAsiaTheme="minorEastAsia" w:hAnsi="Arial"/>
      <w:sz w:val="24"/>
      <w:szCs w:val="24"/>
    </w:rPr>
  </w:style>
  <w:style w:type="paragraph" w:customStyle="1" w:styleId="ColorfulShading-Accent1111">
    <w:name w:val="Colorful Shading - Accent 1111"/>
    <w:hidden/>
    <w:uiPriority w:val="99"/>
    <w:unhideWhenUsed/>
    <w:rsid w:val="00092D31"/>
    <w:pPr>
      <w:spacing w:after="120" w:line="264" w:lineRule="auto"/>
    </w:pPr>
    <w:rPr>
      <w:rFonts w:ascii="Arial" w:eastAsiaTheme="minorEastAsia" w:hAnsi="Arial"/>
      <w:sz w:val="24"/>
      <w:szCs w:val="24"/>
    </w:rPr>
  </w:style>
  <w:style w:type="paragraph" w:customStyle="1" w:styleId="ColorfulShading-Accent1211">
    <w:name w:val="Colorful Shading - Accent 1211"/>
    <w:hidden/>
    <w:uiPriority w:val="99"/>
    <w:semiHidden/>
    <w:rsid w:val="00092D31"/>
    <w:pPr>
      <w:spacing w:after="120" w:line="264" w:lineRule="auto"/>
    </w:pPr>
    <w:rPr>
      <w:rFonts w:ascii="Verdana" w:eastAsiaTheme="minorEastAsia" w:hAnsi="Verdana"/>
      <w:sz w:val="20"/>
      <w:szCs w:val="20"/>
    </w:rPr>
  </w:style>
  <w:style w:type="paragraph" w:customStyle="1" w:styleId="LightList-Accent3131">
    <w:name w:val="Light List - Accent 3131"/>
    <w:hidden/>
    <w:uiPriority w:val="99"/>
    <w:semiHidden/>
    <w:rsid w:val="00092D31"/>
    <w:pPr>
      <w:spacing w:after="120" w:line="264" w:lineRule="auto"/>
    </w:pPr>
    <w:rPr>
      <w:rFonts w:ascii="Arial" w:eastAsiaTheme="minorEastAsia" w:hAnsi="Arial"/>
      <w:sz w:val="24"/>
      <w:szCs w:val="24"/>
    </w:rPr>
  </w:style>
  <w:style w:type="paragraph" w:customStyle="1" w:styleId="LightList-Accent31121">
    <w:name w:val="Light List - Accent 31121"/>
    <w:hidden/>
    <w:uiPriority w:val="99"/>
    <w:semiHidden/>
    <w:rsid w:val="00092D31"/>
    <w:pPr>
      <w:spacing w:after="120" w:line="264" w:lineRule="auto"/>
    </w:pPr>
    <w:rPr>
      <w:rFonts w:ascii="Arial" w:eastAsiaTheme="minorEastAsia" w:hAnsi="Arial"/>
      <w:sz w:val="24"/>
      <w:szCs w:val="24"/>
    </w:rPr>
  </w:style>
  <w:style w:type="paragraph" w:customStyle="1" w:styleId="MediumList2-Accent2121">
    <w:name w:val="Medium List 2 - Accent 2121"/>
    <w:hidden/>
    <w:uiPriority w:val="99"/>
    <w:semiHidden/>
    <w:rsid w:val="00092D31"/>
    <w:pPr>
      <w:spacing w:after="120" w:line="264" w:lineRule="auto"/>
    </w:pPr>
    <w:rPr>
      <w:rFonts w:ascii="Arial" w:eastAsiaTheme="minorEastAsia" w:hAnsi="Arial"/>
      <w:sz w:val="24"/>
      <w:szCs w:val="24"/>
    </w:rPr>
  </w:style>
  <w:style w:type="paragraph" w:customStyle="1" w:styleId="MediumList2-Accent2221">
    <w:name w:val="Medium List 2 - Accent 2221"/>
    <w:hidden/>
    <w:uiPriority w:val="71"/>
    <w:unhideWhenUsed/>
    <w:rsid w:val="00092D31"/>
    <w:pPr>
      <w:spacing w:after="120" w:line="264" w:lineRule="auto"/>
    </w:pPr>
    <w:rPr>
      <w:rFonts w:ascii="Arial" w:eastAsiaTheme="minorEastAsia" w:hAnsi="Arial"/>
      <w:sz w:val="24"/>
      <w:szCs w:val="24"/>
    </w:rPr>
  </w:style>
  <w:style w:type="paragraph" w:customStyle="1" w:styleId="ColorfulShading-Accent1121">
    <w:name w:val="Colorful Shading - Accent 1121"/>
    <w:hidden/>
    <w:uiPriority w:val="99"/>
    <w:unhideWhenUsed/>
    <w:rsid w:val="00092D31"/>
    <w:pPr>
      <w:spacing w:after="120" w:line="264" w:lineRule="auto"/>
    </w:pPr>
    <w:rPr>
      <w:rFonts w:ascii="Arial" w:eastAsiaTheme="minorEastAsia" w:hAnsi="Arial"/>
      <w:sz w:val="24"/>
      <w:szCs w:val="24"/>
    </w:rPr>
  </w:style>
  <w:style w:type="paragraph" w:customStyle="1" w:styleId="ColorfulShading-Accent1221">
    <w:name w:val="Colorful Shading - Accent 1221"/>
    <w:hidden/>
    <w:uiPriority w:val="99"/>
    <w:semiHidden/>
    <w:rsid w:val="00092D31"/>
    <w:pPr>
      <w:spacing w:after="120" w:line="264" w:lineRule="auto"/>
    </w:pPr>
    <w:rPr>
      <w:rFonts w:ascii="Verdana" w:eastAsiaTheme="minorEastAsia" w:hAnsi="Verdana"/>
      <w:sz w:val="20"/>
      <w:szCs w:val="20"/>
    </w:rPr>
  </w:style>
  <w:style w:type="paragraph" w:styleId="MacroText">
    <w:name w:val="macro"/>
    <w:link w:val="MacroTextChar"/>
    <w:semiHidden/>
    <w:rsid w:val="00E71771"/>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urier New" w:eastAsia="Times New Roman" w:hAnsi="Courier New" w:cs="Courier New"/>
      <w:sz w:val="18"/>
      <w:szCs w:val="20"/>
      <w:lang w:val="en-GB"/>
    </w:rPr>
  </w:style>
  <w:style w:type="character" w:customStyle="1" w:styleId="MacroTextChar">
    <w:name w:val="Macro Text Char"/>
    <w:basedOn w:val="DefaultParagraphFont"/>
    <w:link w:val="MacroText"/>
    <w:semiHidden/>
    <w:rsid w:val="00E71771"/>
    <w:rPr>
      <w:rFonts w:ascii="Courier New" w:eastAsia="Times New Roman" w:hAnsi="Courier New" w:cs="Courier New"/>
      <w:sz w:val="18"/>
      <w:szCs w:val="20"/>
      <w:lang w:val="en-GB"/>
    </w:rPr>
  </w:style>
  <w:style w:type="paragraph" w:styleId="z-BottomofForm">
    <w:name w:val="HTML Bottom of Form"/>
    <w:basedOn w:val="Normal"/>
    <w:next w:val="Normal"/>
    <w:link w:val="z-BottomofFormChar"/>
    <w:hidden/>
    <w:rsid w:val="00E71771"/>
    <w:pPr>
      <w:pBdr>
        <w:top w:val="single" w:sz="6" w:space="1" w:color="auto"/>
      </w:pBdr>
      <w:spacing w:after="0" w:line="260" w:lineRule="atLeast"/>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rsid w:val="00E71771"/>
    <w:rPr>
      <w:rFonts w:ascii="Arial" w:eastAsia="Times New Roman" w:hAnsi="Arial" w:cs="Arial"/>
      <w:vanish/>
      <w:sz w:val="16"/>
      <w:szCs w:val="16"/>
    </w:rPr>
  </w:style>
  <w:style w:type="paragraph" w:styleId="z-TopofForm">
    <w:name w:val="HTML Top of Form"/>
    <w:basedOn w:val="Normal"/>
    <w:next w:val="Normal"/>
    <w:link w:val="z-TopofFormChar"/>
    <w:hidden/>
    <w:rsid w:val="00E71771"/>
    <w:pPr>
      <w:pBdr>
        <w:bottom w:val="single" w:sz="6" w:space="1" w:color="auto"/>
      </w:pBdr>
      <w:spacing w:after="0" w:line="260" w:lineRule="atLeast"/>
      <w:jc w:val="center"/>
    </w:pPr>
    <w:rPr>
      <w:rFonts w:ascii="Arial" w:eastAsia="Times New Roman" w:hAnsi="Arial" w:cs="Arial"/>
      <w:vanish/>
      <w:sz w:val="16"/>
      <w:szCs w:val="16"/>
    </w:rPr>
  </w:style>
  <w:style w:type="character" w:customStyle="1" w:styleId="z-TopofFormChar">
    <w:name w:val="z-Top of Form Char"/>
    <w:basedOn w:val="DefaultParagraphFont"/>
    <w:link w:val="z-TopofForm"/>
    <w:rsid w:val="00E71771"/>
    <w:rPr>
      <w:rFonts w:ascii="Arial" w:eastAsia="Times New Roman" w:hAnsi="Arial" w:cs="Arial"/>
      <w:vanish/>
      <w:sz w:val="16"/>
      <w:szCs w:val="16"/>
    </w:rPr>
  </w:style>
  <w:style w:type="paragraph" w:customStyle="1" w:styleId="Default">
    <w:name w:val="Default"/>
    <w:semiHidden/>
    <w:rsid w:val="00E7177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link w:val="ListParagraph"/>
    <w:uiPriority w:val="34"/>
    <w:semiHidden/>
    <w:locked/>
    <w:rsid w:val="00782BA6"/>
    <w:rPr>
      <w:rFonts w:ascii="Arial" w:hAnsi="Arial"/>
      <w:color w:val="87189D"/>
      <w:sz w:val="18"/>
      <w:szCs w:val="18"/>
    </w:rPr>
  </w:style>
  <w:style w:type="paragraph" w:customStyle="1" w:styleId="LightList-Accent314">
    <w:name w:val="Light List - Accent 314"/>
    <w:hidden/>
    <w:uiPriority w:val="99"/>
    <w:semiHidden/>
    <w:rsid w:val="00EB6B1C"/>
    <w:pPr>
      <w:spacing w:after="120" w:line="264" w:lineRule="auto"/>
    </w:pPr>
    <w:rPr>
      <w:rFonts w:ascii="Arial" w:eastAsiaTheme="minorEastAsia" w:hAnsi="Arial"/>
      <w:sz w:val="24"/>
      <w:szCs w:val="24"/>
    </w:rPr>
  </w:style>
  <w:style w:type="paragraph" w:customStyle="1" w:styleId="LightList-Accent3113">
    <w:name w:val="Light List - Accent 3113"/>
    <w:hidden/>
    <w:uiPriority w:val="99"/>
    <w:semiHidden/>
    <w:rsid w:val="00EB6B1C"/>
    <w:pPr>
      <w:spacing w:after="120" w:line="264" w:lineRule="auto"/>
    </w:pPr>
    <w:rPr>
      <w:rFonts w:ascii="Arial" w:eastAsiaTheme="minorEastAsia" w:hAnsi="Arial"/>
      <w:sz w:val="24"/>
      <w:szCs w:val="24"/>
    </w:rPr>
  </w:style>
  <w:style w:type="paragraph" w:customStyle="1" w:styleId="MediumList2-Accent213">
    <w:name w:val="Medium List 2 - Accent 213"/>
    <w:hidden/>
    <w:uiPriority w:val="99"/>
    <w:semiHidden/>
    <w:rsid w:val="00EB6B1C"/>
    <w:pPr>
      <w:spacing w:after="120" w:line="264" w:lineRule="auto"/>
    </w:pPr>
    <w:rPr>
      <w:rFonts w:ascii="Arial" w:eastAsiaTheme="minorEastAsia" w:hAnsi="Arial"/>
      <w:sz w:val="24"/>
      <w:szCs w:val="24"/>
    </w:rPr>
  </w:style>
  <w:style w:type="paragraph" w:customStyle="1" w:styleId="MediumList2-Accent223">
    <w:name w:val="Medium List 2 - Accent 223"/>
    <w:hidden/>
    <w:uiPriority w:val="71"/>
    <w:unhideWhenUsed/>
    <w:rsid w:val="00EB6B1C"/>
    <w:pPr>
      <w:spacing w:after="120" w:line="264" w:lineRule="auto"/>
    </w:pPr>
    <w:rPr>
      <w:rFonts w:ascii="Arial" w:eastAsiaTheme="minorEastAsia" w:hAnsi="Arial"/>
      <w:sz w:val="24"/>
      <w:szCs w:val="24"/>
    </w:rPr>
  </w:style>
  <w:style w:type="paragraph" w:customStyle="1" w:styleId="ColorfulShading-Accent113">
    <w:name w:val="Colorful Shading - Accent 113"/>
    <w:hidden/>
    <w:uiPriority w:val="99"/>
    <w:unhideWhenUsed/>
    <w:rsid w:val="00EB6B1C"/>
    <w:pPr>
      <w:spacing w:after="120" w:line="264" w:lineRule="auto"/>
    </w:pPr>
    <w:rPr>
      <w:rFonts w:ascii="Arial" w:eastAsiaTheme="minorEastAsia" w:hAnsi="Arial"/>
      <w:sz w:val="24"/>
      <w:szCs w:val="24"/>
    </w:rPr>
  </w:style>
  <w:style w:type="paragraph" w:customStyle="1" w:styleId="ColorfulShading-Accent123">
    <w:name w:val="Colorful Shading - Accent 123"/>
    <w:hidden/>
    <w:uiPriority w:val="99"/>
    <w:semiHidden/>
    <w:rsid w:val="00EB6B1C"/>
    <w:pPr>
      <w:spacing w:after="120" w:line="264" w:lineRule="auto"/>
    </w:pPr>
    <w:rPr>
      <w:rFonts w:ascii="Verdana" w:eastAsiaTheme="minorEastAsia" w:hAnsi="Verdana"/>
      <w:sz w:val="20"/>
      <w:szCs w:val="20"/>
    </w:rPr>
  </w:style>
  <w:style w:type="paragraph" w:customStyle="1" w:styleId="LightList-Accent315">
    <w:name w:val="Light List - Accent 315"/>
    <w:hidden/>
    <w:uiPriority w:val="99"/>
    <w:semiHidden/>
    <w:rsid w:val="00C15C65"/>
    <w:pPr>
      <w:spacing w:after="120" w:line="264" w:lineRule="auto"/>
    </w:pPr>
    <w:rPr>
      <w:rFonts w:ascii="Arial" w:eastAsiaTheme="minorEastAsia" w:hAnsi="Arial"/>
      <w:sz w:val="24"/>
      <w:szCs w:val="24"/>
    </w:rPr>
  </w:style>
  <w:style w:type="paragraph" w:customStyle="1" w:styleId="LightList-Accent3114">
    <w:name w:val="Light List - Accent 3114"/>
    <w:hidden/>
    <w:uiPriority w:val="99"/>
    <w:semiHidden/>
    <w:rsid w:val="00C15C65"/>
    <w:pPr>
      <w:spacing w:after="120" w:line="264" w:lineRule="auto"/>
    </w:pPr>
    <w:rPr>
      <w:rFonts w:ascii="Arial" w:eastAsiaTheme="minorEastAsia" w:hAnsi="Arial"/>
      <w:sz w:val="24"/>
      <w:szCs w:val="24"/>
    </w:rPr>
  </w:style>
  <w:style w:type="paragraph" w:customStyle="1" w:styleId="MediumList2-Accent214">
    <w:name w:val="Medium List 2 - Accent 214"/>
    <w:hidden/>
    <w:uiPriority w:val="99"/>
    <w:semiHidden/>
    <w:rsid w:val="00C15C65"/>
    <w:pPr>
      <w:spacing w:after="120" w:line="264" w:lineRule="auto"/>
    </w:pPr>
    <w:rPr>
      <w:rFonts w:ascii="Arial" w:eastAsiaTheme="minorEastAsia" w:hAnsi="Arial"/>
      <w:sz w:val="24"/>
      <w:szCs w:val="24"/>
    </w:rPr>
  </w:style>
  <w:style w:type="paragraph" w:customStyle="1" w:styleId="MediumList2-Accent224">
    <w:name w:val="Medium List 2 - Accent 224"/>
    <w:hidden/>
    <w:uiPriority w:val="71"/>
    <w:unhideWhenUsed/>
    <w:rsid w:val="00C15C65"/>
    <w:pPr>
      <w:spacing w:after="120" w:line="264" w:lineRule="auto"/>
    </w:pPr>
    <w:rPr>
      <w:rFonts w:ascii="Arial" w:eastAsiaTheme="minorEastAsia" w:hAnsi="Arial"/>
      <w:sz w:val="24"/>
      <w:szCs w:val="24"/>
    </w:rPr>
  </w:style>
  <w:style w:type="paragraph" w:customStyle="1" w:styleId="ColorfulShading-Accent114">
    <w:name w:val="Colorful Shading - Accent 114"/>
    <w:hidden/>
    <w:uiPriority w:val="99"/>
    <w:unhideWhenUsed/>
    <w:rsid w:val="00C15C65"/>
    <w:pPr>
      <w:spacing w:after="120" w:line="264" w:lineRule="auto"/>
    </w:pPr>
    <w:rPr>
      <w:rFonts w:ascii="Arial" w:eastAsiaTheme="minorEastAsia" w:hAnsi="Arial"/>
      <w:sz w:val="24"/>
      <w:szCs w:val="24"/>
    </w:rPr>
  </w:style>
  <w:style w:type="paragraph" w:customStyle="1" w:styleId="ColorfulShading-Accent124">
    <w:name w:val="Colorful Shading - Accent 124"/>
    <w:hidden/>
    <w:uiPriority w:val="99"/>
    <w:semiHidden/>
    <w:rsid w:val="00C15C65"/>
    <w:pPr>
      <w:spacing w:after="120" w:line="264" w:lineRule="auto"/>
    </w:pPr>
    <w:rPr>
      <w:rFonts w:ascii="Verdana" w:eastAsiaTheme="minorEastAsia" w:hAnsi="Verdana"/>
      <w:sz w:val="20"/>
      <w:szCs w:val="20"/>
    </w:rPr>
  </w:style>
  <w:style w:type="paragraph" w:customStyle="1" w:styleId="ARtablesubhead">
    <w:name w:val="AR table subhead"/>
    <w:basedOn w:val="ARtabletext"/>
    <w:uiPriority w:val="3"/>
    <w:qFormat/>
    <w:rsid w:val="00E50755"/>
    <w:rPr>
      <w:b/>
      <w:color w:val="87189D"/>
    </w:rPr>
  </w:style>
  <w:style w:type="paragraph" w:customStyle="1" w:styleId="ARbulletafternumbers1">
    <w:name w:val="AR bullet after numbers 1"/>
    <w:basedOn w:val="Normal"/>
    <w:uiPriority w:val="4"/>
    <w:rsid w:val="008E679A"/>
    <w:pPr>
      <w:numPr>
        <w:ilvl w:val="2"/>
        <w:numId w:val="1"/>
      </w:numPr>
      <w:spacing w:after="40" w:line="270" w:lineRule="atLeast"/>
    </w:pPr>
    <w:rPr>
      <w:rFonts w:eastAsia="Times"/>
      <w:sz w:val="20"/>
      <w:szCs w:val="20"/>
      <w:lang w:eastAsia="en-AU"/>
    </w:rPr>
  </w:style>
  <w:style w:type="paragraph" w:customStyle="1" w:styleId="ARbulletafternumbers2">
    <w:name w:val="AR bullet after numbers 2"/>
    <w:basedOn w:val="Normal"/>
    <w:uiPriority w:val="99"/>
    <w:rsid w:val="008E679A"/>
    <w:pPr>
      <w:numPr>
        <w:ilvl w:val="3"/>
        <w:numId w:val="1"/>
      </w:numPr>
      <w:spacing w:after="40" w:line="270" w:lineRule="atLeast"/>
    </w:pPr>
    <w:rPr>
      <w:rFonts w:eastAsia="Times"/>
      <w:sz w:val="20"/>
      <w:szCs w:val="20"/>
      <w:lang w:eastAsia="en-AU"/>
    </w:rPr>
  </w:style>
  <w:style w:type="paragraph" w:customStyle="1" w:styleId="ARnumberdigitindent">
    <w:name w:val="AR number digit indent"/>
    <w:basedOn w:val="Normal"/>
    <w:uiPriority w:val="3"/>
    <w:rsid w:val="008E679A"/>
    <w:pPr>
      <w:numPr>
        <w:ilvl w:val="1"/>
        <w:numId w:val="1"/>
      </w:numPr>
      <w:spacing w:after="120" w:line="270" w:lineRule="atLeast"/>
    </w:pPr>
    <w:rPr>
      <w:rFonts w:eastAsia="Times"/>
      <w:sz w:val="20"/>
      <w:szCs w:val="20"/>
      <w:lang w:eastAsia="en-AU"/>
    </w:rPr>
  </w:style>
  <w:style w:type="paragraph" w:styleId="NormalIndent">
    <w:name w:val="Normal Indent"/>
    <w:basedOn w:val="Normal"/>
    <w:uiPriority w:val="4"/>
    <w:semiHidden/>
    <w:unhideWhenUsed/>
    <w:rsid w:val="009B0A5C"/>
    <w:pPr>
      <w:spacing w:after="120" w:line="264" w:lineRule="auto"/>
      <w:ind w:left="720"/>
    </w:pPr>
    <w:rPr>
      <w:rFonts w:eastAsiaTheme="minorEastAsia"/>
      <w:sz w:val="20"/>
      <w:szCs w:val="20"/>
      <w:lang w:eastAsia="en-AU"/>
    </w:rPr>
  </w:style>
  <w:style w:type="paragraph" w:customStyle="1" w:styleId="TableHeaderLevel1">
    <w:name w:val="Table Header Level 1"/>
    <w:basedOn w:val="Normal"/>
    <w:semiHidden/>
    <w:rsid w:val="009B0A5C"/>
    <w:pPr>
      <w:spacing w:after="120" w:line="264" w:lineRule="auto"/>
      <w:jc w:val="center"/>
    </w:pPr>
    <w:rPr>
      <w:rFonts w:ascii="Arial" w:eastAsiaTheme="minorEastAsia" w:hAnsi="Arial"/>
      <w:b/>
      <w:sz w:val="18"/>
      <w:szCs w:val="18"/>
      <w:lang w:eastAsia="en-AU"/>
    </w:rPr>
  </w:style>
  <w:style w:type="paragraph" w:customStyle="1" w:styleId="zcontents">
    <w:name w:val="zcontents"/>
    <w:basedOn w:val="Normal"/>
    <w:semiHidden/>
    <w:rsid w:val="009B0A5C"/>
    <w:pPr>
      <w:spacing w:after="260" w:line="240" w:lineRule="auto"/>
    </w:pPr>
    <w:rPr>
      <w:rFonts w:eastAsiaTheme="minorEastAsia"/>
      <w:b/>
      <w:sz w:val="32"/>
      <w:szCs w:val="20"/>
      <w:lang w:eastAsia="en-AU"/>
    </w:rPr>
  </w:style>
  <w:style w:type="numbering" w:customStyle="1" w:styleId="NoList1">
    <w:name w:val="No List1"/>
    <w:next w:val="NoList"/>
    <w:uiPriority w:val="99"/>
    <w:semiHidden/>
    <w:unhideWhenUsed/>
    <w:rsid w:val="009B0A5C"/>
  </w:style>
  <w:style w:type="numbering" w:customStyle="1" w:styleId="CurrentList1">
    <w:name w:val="Current List1"/>
    <w:rsid w:val="009B0A5C"/>
    <w:pPr>
      <w:numPr>
        <w:numId w:val="21"/>
      </w:numPr>
    </w:pPr>
  </w:style>
  <w:style w:type="numbering" w:customStyle="1" w:styleId="Style2">
    <w:name w:val="Style2"/>
    <w:rsid w:val="009B0A5C"/>
    <w:pPr>
      <w:numPr>
        <w:numId w:val="22"/>
      </w:numPr>
    </w:pPr>
  </w:style>
  <w:style w:type="numbering" w:customStyle="1" w:styleId="CurrentList2">
    <w:name w:val="Current List2"/>
    <w:rsid w:val="009B0A5C"/>
    <w:pPr>
      <w:numPr>
        <w:numId w:val="23"/>
      </w:numPr>
    </w:pPr>
  </w:style>
  <w:style w:type="table" w:customStyle="1" w:styleId="TableGrid10">
    <w:name w:val="Table Grid1"/>
    <w:basedOn w:val="TableNormal"/>
    <w:next w:val="TableGrid"/>
    <w:uiPriority w:val="99"/>
    <w:rsid w:val="009B0A5C"/>
    <w:pPr>
      <w:spacing w:after="120" w:line="264"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9B0A5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2">
    <w:name w:val="Table Grid2"/>
    <w:basedOn w:val="TableNormal"/>
    <w:next w:val="TableGrid"/>
    <w:uiPriority w:val="59"/>
    <w:rsid w:val="009B0A5C"/>
    <w:pPr>
      <w:spacing w:after="12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finbodylargespace">
    <w:name w:val="AR fin body large space"/>
    <w:basedOn w:val="ARfinbody"/>
    <w:uiPriority w:val="98"/>
    <w:qFormat/>
    <w:rsid w:val="009B0A5C"/>
    <w:pPr>
      <w:spacing w:after="160"/>
    </w:pPr>
    <w:rPr>
      <w:rFonts w:cs="Arial"/>
    </w:rPr>
  </w:style>
  <w:style w:type="paragraph" w:customStyle="1" w:styleId="ARbullettimeline">
    <w:name w:val="AR bullet timeline"/>
    <w:basedOn w:val="ARbullet1"/>
    <w:uiPriority w:val="98"/>
    <w:rsid w:val="009B0A5C"/>
    <w:pPr>
      <w:numPr>
        <w:numId w:val="32"/>
      </w:numPr>
      <w:spacing w:after="100" w:line="320" w:lineRule="atLeast"/>
    </w:pPr>
  </w:style>
  <w:style w:type="paragraph" w:customStyle="1" w:styleId="ARfintabledashindent">
    <w:name w:val="AR fin table dash indent"/>
    <w:basedOn w:val="ARfintablebody"/>
    <w:uiPriority w:val="98"/>
    <w:rsid w:val="009B0A5C"/>
    <w:pPr>
      <w:ind w:left="567" w:hanging="227"/>
    </w:pPr>
  </w:style>
  <w:style w:type="paragraph" w:customStyle="1" w:styleId="ARnumberalpha1">
    <w:name w:val="AR number alpha 1"/>
    <w:basedOn w:val="ARbody"/>
    <w:uiPriority w:val="3"/>
    <w:rsid w:val="009B0A5C"/>
    <w:pPr>
      <w:tabs>
        <w:tab w:val="num" w:pos="397"/>
      </w:tabs>
      <w:spacing w:after="40"/>
      <w:ind w:left="397" w:hanging="397"/>
    </w:pPr>
    <w:rPr>
      <w:rFonts w:eastAsia="Times New Roman"/>
      <w:szCs w:val="20"/>
    </w:rPr>
  </w:style>
  <w:style w:type="paragraph" w:customStyle="1" w:styleId="ARnumberalpha2">
    <w:name w:val="AR number alpha 2"/>
    <w:basedOn w:val="ARbody"/>
    <w:uiPriority w:val="98"/>
    <w:rsid w:val="009B0A5C"/>
    <w:pPr>
      <w:tabs>
        <w:tab w:val="num" w:pos="680"/>
      </w:tabs>
      <w:spacing w:after="40"/>
      <w:ind w:left="680" w:hanging="396"/>
    </w:pPr>
    <w:rPr>
      <w:rFonts w:eastAsia="Times New Roman"/>
      <w:szCs w:val="20"/>
    </w:rPr>
  </w:style>
  <w:style w:type="paragraph" w:customStyle="1" w:styleId="ARpublicationsubtitle">
    <w:name w:val="AR publication subtitle"/>
    <w:link w:val="ARpublicationsubtitleChar"/>
    <w:uiPriority w:val="99"/>
    <w:qFormat/>
    <w:rsid w:val="009B0A5C"/>
    <w:pPr>
      <w:spacing w:after="120" w:line="264" w:lineRule="auto"/>
    </w:pPr>
    <w:rPr>
      <w:rFonts w:ascii="Arial" w:eastAsiaTheme="minorEastAsia" w:hAnsi="Arial"/>
      <w:bCs/>
      <w:color w:val="FFFFFF" w:themeColor="background1"/>
      <w:sz w:val="40"/>
      <w:szCs w:val="40"/>
    </w:rPr>
  </w:style>
  <w:style w:type="character" w:customStyle="1" w:styleId="ARpublicationsubtitleChar">
    <w:name w:val="AR publication subtitle Char"/>
    <w:link w:val="ARpublicationsubtitle"/>
    <w:uiPriority w:val="99"/>
    <w:rsid w:val="009B0A5C"/>
    <w:rPr>
      <w:rFonts w:ascii="Arial" w:eastAsiaTheme="minorEastAsia" w:hAnsi="Arial"/>
      <w:bCs/>
      <w:color w:val="FFFFFF" w:themeColor="background1"/>
      <w:sz w:val="40"/>
      <w:szCs w:val="40"/>
    </w:rPr>
  </w:style>
  <w:style w:type="paragraph" w:customStyle="1" w:styleId="ARpublicationsubtitletitlepage">
    <w:name w:val="AR publication subtitle (title page)"/>
    <w:basedOn w:val="ARpublicationsubtitle"/>
    <w:uiPriority w:val="98"/>
    <w:rsid w:val="009B0A5C"/>
    <w:pPr>
      <w:spacing w:after="0" w:line="240" w:lineRule="auto"/>
      <w:ind w:left="1701"/>
    </w:pPr>
    <w:rPr>
      <w:rFonts w:eastAsia="Times New Roman" w:cs="Times New Roman"/>
      <w:color w:val="53565A"/>
      <w:sz w:val="34"/>
    </w:rPr>
  </w:style>
  <w:style w:type="paragraph" w:customStyle="1" w:styleId="ARpublicationtitletitlepage">
    <w:name w:val="AR publication title (title page)"/>
    <w:basedOn w:val="ARpublicationtitle"/>
    <w:uiPriority w:val="98"/>
    <w:rsid w:val="009B0A5C"/>
    <w:pPr>
      <w:spacing w:before="3000" w:line="240" w:lineRule="auto"/>
      <w:ind w:left="1701"/>
    </w:pPr>
    <w:rPr>
      <w:rFonts w:cs="Times New Roman"/>
      <w:b/>
      <w:noProof/>
      <w:color w:val="D50032"/>
    </w:rPr>
  </w:style>
  <w:style w:type="numbering" w:customStyle="1" w:styleId="Bullet">
    <w:name w:val="Bullet"/>
    <w:uiPriority w:val="99"/>
    <w:rsid w:val="009B0A5C"/>
    <w:pPr>
      <w:numPr>
        <w:numId w:val="25"/>
      </w:numPr>
    </w:pPr>
  </w:style>
  <w:style w:type="numbering" w:customStyle="1" w:styleId="Bullet1">
    <w:name w:val="Bullet1"/>
    <w:uiPriority w:val="99"/>
    <w:rsid w:val="009B0A5C"/>
  </w:style>
  <w:style w:type="numbering" w:customStyle="1" w:styleId="Bullets">
    <w:name w:val="Bullets"/>
    <w:rsid w:val="009B0A5C"/>
    <w:pPr>
      <w:numPr>
        <w:numId w:val="26"/>
      </w:numPr>
    </w:pPr>
  </w:style>
  <w:style w:type="numbering" w:customStyle="1" w:styleId="Bullets2and3">
    <w:name w:val="Bullets 2 and 3"/>
    <w:uiPriority w:val="99"/>
    <w:rsid w:val="009B0A5C"/>
    <w:pPr>
      <w:numPr>
        <w:numId w:val="27"/>
      </w:numPr>
    </w:pPr>
  </w:style>
  <w:style w:type="table" w:customStyle="1" w:styleId="Casestudy1">
    <w:name w:val="Case study1"/>
    <w:basedOn w:val="TableNormal"/>
    <w:rsid w:val="009B0A5C"/>
    <w:pPr>
      <w:spacing w:after="120" w:line="264" w:lineRule="auto"/>
    </w:pPr>
    <w:rPr>
      <w:rFonts w:eastAsiaTheme="minorEastAsia"/>
      <w:sz w:val="20"/>
      <w:szCs w:val="20"/>
      <w:lang w:eastAsia="en-AU"/>
    </w:rPr>
    <w:tblPr>
      <w:tblInd w:w="170" w:type="dxa"/>
      <w:tblBorders>
        <w:top w:val="single" w:sz="4" w:space="0" w:color="00866F"/>
        <w:left w:val="single" w:sz="4" w:space="0" w:color="00866F"/>
        <w:bottom w:val="single" w:sz="4" w:space="0" w:color="00866F"/>
        <w:right w:val="single" w:sz="4" w:space="0" w:color="00866F"/>
      </w:tblBorders>
      <w:tblCellMar>
        <w:top w:w="170" w:type="dxa"/>
        <w:left w:w="170" w:type="dxa"/>
        <w:bottom w:w="57" w:type="dxa"/>
        <w:right w:w="170" w:type="dxa"/>
      </w:tblCellMar>
    </w:tblPr>
    <w:tcPr>
      <w:shd w:val="clear" w:color="auto" w:fill="auto"/>
    </w:tcPr>
  </w:style>
  <w:style w:type="table" w:customStyle="1" w:styleId="DTFTable">
    <w:name w:val="DTF Table"/>
    <w:basedOn w:val="TableNormal"/>
    <w:uiPriority w:val="99"/>
    <w:rsid w:val="009B0A5C"/>
    <w:pPr>
      <w:spacing w:before="20" w:after="20" w:line="264" w:lineRule="auto"/>
      <w:jc w:val="right"/>
    </w:pPr>
    <w:rPr>
      <w:rFonts w:asciiTheme="majorHAnsi" w:hAnsiTheme="majorHAnsi"/>
      <w:sz w:val="17"/>
    </w:rPr>
    <w:tblPr>
      <w:tblStyleRowBandSize w:val="1"/>
      <w:tblStyleColBandSize w:val="1"/>
      <w:tblInd w:w="28" w:type="dxa"/>
      <w:tblBorders>
        <w:bottom w:val="single" w:sz="12" w:space="0" w:color="auto"/>
      </w:tblBorders>
      <w:tblCellMar>
        <w:left w:w="57" w:type="dxa"/>
        <w:right w:w="57" w:type="dxa"/>
      </w:tblCellMar>
    </w:tblPr>
    <w:trPr>
      <w:cantSplit/>
    </w:trPr>
    <w:tblStylePr w:type="firstRow">
      <w:rPr>
        <w:i/>
      </w:rPr>
      <w:tblPr/>
      <w:trPr>
        <w:cantSplit w:val="0"/>
      </w:trPr>
      <w:tcPr>
        <w:shd w:val="clear" w:color="auto" w:fill="000000" w:themeFill="text1"/>
        <w:vAlign w:val="bottom"/>
      </w:tcPr>
    </w:tblStylePr>
    <w:tblStylePr w:type="lastRow">
      <w:rPr>
        <w:b/>
      </w:rPr>
      <w:tblPr/>
      <w:tcPr>
        <w:tcBorders>
          <w:top w:val="single" w:sz="6" w:space="0" w:color="000000" w:themeColor="text1"/>
          <w:left w:val="nil"/>
          <w:bottom w:val="single" w:sz="12" w:space="0" w:color="000000" w:themeColor="text1"/>
          <w:right w:val="nil"/>
          <w:insideH w:val="nil"/>
          <w:insideV w:val="nil"/>
          <w:tl2br w:val="nil"/>
          <w:tr2bl w:val="nil"/>
        </w:tcBorders>
      </w:tcPr>
    </w:tblStylePr>
    <w:tblStylePr w:type="firstCol">
      <w:pPr>
        <w:wordWrap/>
        <w:spacing w:line="240" w:lineRule="auto"/>
        <w:ind w:leftChars="0" w:left="170" w:rightChars="0" w:right="0" w:firstLineChars="0" w:hanging="170"/>
        <w:jc w:val="left"/>
      </w:pPr>
    </w:tblStylePr>
    <w:tblStylePr w:type="lastCol">
      <w:rPr>
        <w:b/>
      </w:rPr>
      <w:tblPr/>
      <w:tcPr>
        <w:shd w:val="clear" w:color="auto" w:fill="F2F2F2" w:themeFill="background1" w:themeFillShade="F2"/>
      </w:tcPr>
    </w:tblStylePr>
    <w:tblStylePr w:type="band1Vert">
      <w:tblPr/>
      <w:tcPr>
        <w:shd w:val="clear" w:color="auto" w:fill="E7E6E6" w:themeFill="background2"/>
      </w:tcPr>
    </w:tblStylePr>
    <w:tblStylePr w:type="band1Horz">
      <w:tblPr/>
      <w:tcPr>
        <w:shd w:val="clear" w:color="auto" w:fill="E7E6E6" w:themeFill="background2"/>
      </w:tcPr>
    </w:tblStylePr>
    <w:tblStylePr w:type="band2Horz">
      <w:tblPr/>
      <w:tcPr>
        <w:shd w:val="clear" w:color="auto" w:fill="FFFFFF" w:themeFill="background1"/>
      </w:tcPr>
    </w:tblStylePr>
  </w:style>
  <w:style w:type="table" w:customStyle="1" w:styleId="GridTable1Light1">
    <w:name w:val="Grid Table 1 Light1"/>
    <w:basedOn w:val="TableNormal"/>
    <w:uiPriority w:val="46"/>
    <w:rsid w:val="009B0A5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41">
    <w:name w:val="Grid Table 41"/>
    <w:basedOn w:val="TableNormal"/>
    <w:uiPriority w:val="49"/>
    <w:rsid w:val="009B0A5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Healthtablenoverticals">
    <w:name w:val="Health table no verticals"/>
    <w:basedOn w:val="TableNormal"/>
    <w:uiPriority w:val="99"/>
    <w:rsid w:val="009B0A5C"/>
    <w:pPr>
      <w:spacing w:after="120" w:line="264" w:lineRule="auto"/>
    </w:pPr>
    <w:rPr>
      <w:rFonts w:eastAsiaTheme="minorEastAsia"/>
      <w:sz w:val="20"/>
      <w:szCs w:val="20"/>
      <w:lang w:eastAsia="en-AU"/>
    </w:rPr>
    <w:tblPr>
      <w:tblInd w:w="57" w:type="dxa"/>
      <w:tblBorders>
        <w:top w:val="single" w:sz="6" w:space="0" w:color="FFFFFF"/>
        <w:bottom w:val="single" w:sz="6" w:space="0" w:color="FFFFFF"/>
        <w:insideH w:val="single" w:sz="6" w:space="0" w:color="FFFFFF"/>
      </w:tblBorders>
      <w:tblCellMar>
        <w:left w:w="57" w:type="dxa"/>
        <w:right w:w="57" w:type="dxa"/>
      </w:tblCellMar>
    </w:tblPr>
    <w:trPr>
      <w:cantSplit/>
    </w:trPr>
    <w:tcPr>
      <w:shd w:val="clear" w:color="auto" w:fill="E6E6E6"/>
    </w:tcPr>
    <w:tblStylePr w:type="firstRow">
      <w:rPr>
        <w:rFonts w:cs="Times New Roman"/>
      </w:rPr>
      <w:tblPr/>
      <w:trPr>
        <w:cantSplit/>
        <w:tblHeader/>
      </w:trPr>
      <w:tcPr>
        <w:tcBorders>
          <w:right w:val="nil"/>
        </w:tcBorders>
        <w:shd w:val="clear" w:color="auto" w:fill="0073CF"/>
      </w:tcPr>
    </w:tblStylePr>
  </w:style>
  <w:style w:type="paragraph" w:styleId="Index1">
    <w:name w:val="index 1"/>
    <w:basedOn w:val="Normal"/>
    <w:next w:val="Normal"/>
    <w:autoRedefine/>
    <w:uiPriority w:val="98"/>
    <w:semiHidden/>
    <w:rsid w:val="009B0A5C"/>
    <w:pPr>
      <w:spacing w:after="120" w:line="264" w:lineRule="auto"/>
      <w:ind w:left="180" w:hanging="180"/>
    </w:pPr>
    <w:rPr>
      <w:rFonts w:ascii="Times New Roman" w:eastAsiaTheme="minorEastAsia" w:hAnsi="Times New Roman"/>
      <w:b/>
      <w:sz w:val="18"/>
      <w:szCs w:val="18"/>
      <w:lang w:eastAsia="en-AU"/>
    </w:rPr>
  </w:style>
  <w:style w:type="numbering" w:customStyle="1" w:styleId="LowerAlphaat0mm">
    <w:name w:val="LowerAlpha at 0mm"/>
    <w:rsid w:val="009B0A5C"/>
    <w:pPr>
      <w:numPr>
        <w:numId w:val="28"/>
      </w:numPr>
    </w:pPr>
  </w:style>
  <w:style w:type="numbering" w:customStyle="1" w:styleId="LowerAlphaat5mm">
    <w:name w:val="LowerAlpha at 5mm"/>
    <w:rsid w:val="009B0A5C"/>
    <w:pPr>
      <w:numPr>
        <w:numId w:val="29"/>
      </w:numPr>
    </w:pPr>
  </w:style>
  <w:style w:type="numbering" w:customStyle="1" w:styleId="LowerRomanat7mm">
    <w:name w:val="LowerRoman at 7mm"/>
    <w:rsid w:val="009B0A5C"/>
    <w:pPr>
      <w:numPr>
        <w:numId w:val="30"/>
      </w:numPr>
    </w:pPr>
  </w:style>
  <w:style w:type="numbering" w:customStyle="1" w:styleId="NoList11">
    <w:name w:val="No List11"/>
    <w:next w:val="NoList"/>
    <w:uiPriority w:val="99"/>
    <w:semiHidden/>
    <w:unhideWhenUsed/>
    <w:rsid w:val="009B0A5C"/>
  </w:style>
  <w:style w:type="numbering" w:customStyle="1" w:styleId="NoList2">
    <w:name w:val="No List2"/>
    <w:next w:val="NoList"/>
    <w:uiPriority w:val="99"/>
    <w:semiHidden/>
    <w:unhideWhenUsed/>
    <w:rsid w:val="009B0A5C"/>
  </w:style>
  <w:style w:type="numbering" w:customStyle="1" w:styleId="NoList3">
    <w:name w:val="No List3"/>
    <w:next w:val="NoList"/>
    <w:uiPriority w:val="99"/>
    <w:semiHidden/>
    <w:unhideWhenUsed/>
    <w:rsid w:val="009B0A5C"/>
  </w:style>
  <w:style w:type="numbering" w:customStyle="1" w:styleId="NoList4">
    <w:name w:val="No List4"/>
    <w:next w:val="NoList"/>
    <w:uiPriority w:val="99"/>
    <w:semiHidden/>
    <w:unhideWhenUsed/>
    <w:rsid w:val="009B0A5C"/>
  </w:style>
  <w:style w:type="numbering" w:customStyle="1" w:styleId="NoList5">
    <w:name w:val="No List5"/>
    <w:next w:val="NoList"/>
    <w:uiPriority w:val="99"/>
    <w:semiHidden/>
    <w:unhideWhenUsed/>
    <w:rsid w:val="009B0A5C"/>
  </w:style>
  <w:style w:type="paragraph" w:styleId="Quote">
    <w:name w:val="Quote"/>
    <w:basedOn w:val="Normal"/>
    <w:next w:val="Normal"/>
    <w:link w:val="QuoteChar"/>
    <w:uiPriority w:val="29"/>
    <w:semiHidden/>
    <w:qFormat/>
    <w:rsid w:val="009B0A5C"/>
    <w:pPr>
      <w:spacing w:before="160" w:after="120" w:line="264" w:lineRule="auto"/>
      <w:ind w:left="720" w:right="720"/>
    </w:pPr>
    <w:rPr>
      <w:rFonts w:eastAsiaTheme="minorEastAsia"/>
      <w:i/>
      <w:iCs/>
      <w:color w:val="404040" w:themeColor="text1" w:themeTint="BF"/>
      <w:sz w:val="20"/>
      <w:szCs w:val="20"/>
      <w:lang w:eastAsia="en-AU"/>
    </w:rPr>
  </w:style>
  <w:style w:type="character" w:customStyle="1" w:styleId="QuoteChar">
    <w:name w:val="Quote Char"/>
    <w:basedOn w:val="DefaultParagraphFont"/>
    <w:link w:val="Quote"/>
    <w:uiPriority w:val="29"/>
    <w:semiHidden/>
    <w:rsid w:val="00782BA6"/>
    <w:rPr>
      <w:rFonts w:eastAsiaTheme="minorEastAsia"/>
      <w:i/>
      <w:iCs/>
      <w:color w:val="404040" w:themeColor="text1" w:themeTint="BF"/>
      <w:sz w:val="20"/>
      <w:szCs w:val="20"/>
      <w:lang w:eastAsia="en-AU"/>
    </w:rPr>
  </w:style>
  <w:style w:type="table" w:customStyle="1" w:styleId="TableGrid3">
    <w:name w:val="Table Grid3"/>
    <w:basedOn w:val="TableNormal"/>
    <w:next w:val="TableGrid"/>
    <w:uiPriority w:val="59"/>
    <w:rsid w:val="009B0A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inline">
    <w:name w:val="Table inline"/>
    <w:basedOn w:val="Normal"/>
    <w:uiPriority w:val="99"/>
    <w:semiHidden/>
    <w:rsid w:val="009B0A5C"/>
    <w:pPr>
      <w:spacing w:after="120" w:line="270" w:lineRule="atLeast"/>
    </w:pPr>
    <w:rPr>
      <w:rFonts w:eastAsia="Times" w:cs="Arial"/>
      <w:sz w:val="20"/>
      <w:szCs w:val="20"/>
      <w:lang w:eastAsia="en-AU"/>
    </w:rPr>
  </w:style>
  <w:style w:type="paragraph" w:styleId="Title">
    <w:name w:val="Title"/>
    <w:basedOn w:val="Normal"/>
    <w:next w:val="Normal"/>
    <w:link w:val="TitleChar"/>
    <w:uiPriority w:val="98"/>
    <w:semiHidden/>
    <w:qFormat/>
    <w:rsid w:val="009B0A5C"/>
    <w:pPr>
      <w:spacing w:after="0" w:line="240" w:lineRule="auto"/>
      <w:contextualSpacing/>
    </w:pPr>
    <w:rPr>
      <w:rFonts w:asciiTheme="majorHAnsi" w:eastAsiaTheme="majorEastAsia" w:hAnsiTheme="majorHAnsi" w:cstheme="majorBidi"/>
      <w:color w:val="87189D" w:themeColor="accent1"/>
      <w:spacing w:val="-10"/>
      <w:sz w:val="56"/>
      <w:szCs w:val="56"/>
      <w:lang w:eastAsia="en-AU"/>
    </w:rPr>
  </w:style>
  <w:style w:type="character" w:customStyle="1" w:styleId="TitleChar">
    <w:name w:val="Title Char"/>
    <w:basedOn w:val="DefaultParagraphFont"/>
    <w:link w:val="Title"/>
    <w:uiPriority w:val="98"/>
    <w:semiHidden/>
    <w:rsid w:val="00782BA6"/>
    <w:rPr>
      <w:rFonts w:asciiTheme="majorHAnsi" w:eastAsiaTheme="majorEastAsia" w:hAnsiTheme="majorHAnsi" w:cstheme="majorBidi"/>
      <w:color w:val="87189D" w:themeColor="accent1"/>
      <w:spacing w:val="-10"/>
      <w:sz w:val="56"/>
      <w:szCs w:val="56"/>
      <w:lang w:eastAsia="en-AU"/>
    </w:rPr>
  </w:style>
  <w:style w:type="character" w:customStyle="1" w:styleId="UnresolvedMention1">
    <w:name w:val="Unresolved Mention1"/>
    <w:basedOn w:val="DefaultParagraphFont"/>
    <w:uiPriority w:val="99"/>
    <w:semiHidden/>
    <w:unhideWhenUsed/>
    <w:rsid w:val="009B0A5C"/>
    <w:rPr>
      <w:color w:val="808080"/>
      <w:shd w:val="clear" w:color="auto" w:fill="E6E6E6"/>
    </w:rPr>
  </w:style>
  <w:style w:type="character" w:customStyle="1" w:styleId="UnresolvedMention2">
    <w:name w:val="Unresolved Mention2"/>
    <w:basedOn w:val="DefaultParagraphFont"/>
    <w:uiPriority w:val="99"/>
    <w:semiHidden/>
    <w:unhideWhenUsed/>
    <w:rsid w:val="009B0A5C"/>
    <w:rPr>
      <w:color w:val="808080"/>
      <w:shd w:val="clear" w:color="auto" w:fill="E6E6E6"/>
    </w:rPr>
  </w:style>
  <w:style w:type="character" w:customStyle="1" w:styleId="UnresolvedMention3">
    <w:name w:val="Unresolved Mention3"/>
    <w:basedOn w:val="DefaultParagraphFont"/>
    <w:uiPriority w:val="99"/>
    <w:semiHidden/>
    <w:unhideWhenUsed/>
    <w:rsid w:val="009B0A5C"/>
    <w:rPr>
      <w:color w:val="605E5C"/>
      <w:shd w:val="clear" w:color="auto" w:fill="E1DFDD"/>
    </w:rPr>
  </w:style>
  <w:style w:type="character" w:customStyle="1" w:styleId="UnresolvedMention4">
    <w:name w:val="Unresolved Mention4"/>
    <w:basedOn w:val="DefaultParagraphFont"/>
    <w:uiPriority w:val="99"/>
    <w:semiHidden/>
    <w:unhideWhenUsed/>
    <w:rsid w:val="009B0A5C"/>
    <w:rPr>
      <w:color w:val="605E5C"/>
      <w:shd w:val="clear" w:color="auto" w:fill="E1DFDD"/>
    </w:rPr>
  </w:style>
  <w:style w:type="character" w:customStyle="1" w:styleId="UnresolvedMention5">
    <w:name w:val="Unresolved Mention5"/>
    <w:basedOn w:val="DefaultParagraphFont"/>
    <w:uiPriority w:val="99"/>
    <w:semiHidden/>
    <w:unhideWhenUsed/>
    <w:rsid w:val="009B0A5C"/>
    <w:rPr>
      <w:color w:val="605E5C"/>
      <w:shd w:val="clear" w:color="auto" w:fill="E1DFDD"/>
    </w:rPr>
  </w:style>
  <w:style w:type="numbering" w:customStyle="1" w:styleId="ZZBulletstimeline">
    <w:name w:val="ZZ Bullets timeline"/>
    <w:basedOn w:val="NoList"/>
    <w:uiPriority w:val="99"/>
    <w:rsid w:val="009B0A5C"/>
    <w:pPr>
      <w:numPr>
        <w:numId w:val="32"/>
      </w:numPr>
    </w:pPr>
  </w:style>
  <w:style w:type="numbering" w:customStyle="1" w:styleId="ZZLoweralphainfintables">
    <w:name w:val="ZZ Lower alpha in fin tables"/>
    <w:rsid w:val="009B0A5C"/>
    <w:pPr>
      <w:numPr>
        <w:numId w:val="33"/>
      </w:numPr>
    </w:pPr>
  </w:style>
  <w:style w:type="paragraph" w:customStyle="1" w:styleId="ARtablenumberalpha">
    <w:name w:val="AR table number alpha"/>
    <w:basedOn w:val="ARtablebullet1"/>
    <w:rsid w:val="00CA2DE6"/>
    <w:pPr>
      <w:numPr>
        <w:numId w:val="35"/>
      </w:numPr>
    </w:pPr>
    <w:rPr>
      <w:lang w:val="en-US"/>
    </w:rPr>
  </w:style>
  <w:style w:type="numbering" w:customStyle="1" w:styleId="ZZTablenumbersalpha">
    <w:name w:val="ZZ Table numbers alpha"/>
    <w:basedOn w:val="NoList"/>
    <w:uiPriority w:val="99"/>
    <w:rsid w:val="00CA2DE6"/>
    <w:pPr>
      <w:numPr>
        <w:numId w:val="34"/>
      </w:numPr>
    </w:pPr>
  </w:style>
  <w:style w:type="paragraph" w:customStyle="1" w:styleId="ARtablebluebold">
    <w:name w:val="AR table blue bold"/>
    <w:basedOn w:val="ARtabletext"/>
    <w:uiPriority w:val="3"/>
    <w:rsid w:val="00087B91"/>
    <w:rPr>
      <w:b/>
      <w:color w:val="87189D" w:themeColor="accent1"/>
    </w:rPr>
  </w:style>
  <w:style w:type="paragraph" w:styleId="TOCHeading">
    <w:name w:val="TOC Heading"/>
    <w:basedOn w:val="Heading1"/>
    <w:next w:val="Normal"/>
    <w:uiPriority w:val="39"/>
    <w:semiHidden/>
    <w:unhideWhenUsed/>
    <w:qFormat/>
    <w:rsid w:val="00603E4B"/>
    <w:pPr>
      <w:outlineLvl w:val="9"/>
    </w:pPr>
  </w:style>
  <w:style w:type="paragraph" w:customStyle="1" w:styleId="ARfinnumberalpha2">
    <w:name w:val="AR fin number alpha 2"/>
    <w:basedOn w:val="ARfinbody"/>
    <w:uiPriority w:val="98"/>
    <w:qFormat/>
    <w:rsid w:val="00603E4B"/>
    <w:pPr>
      <w:tabs>
        <w:tab w:val="num" w:pos="567"/>
      </w:tabs>
      <w:ind w:left="567" w:hanging="283"/>
    </w:pPr>
  </w:style>
  <w:style w:type="paragraph" w:customStyle="1" w:styleId="ARtablepinkbold">
    <w:name w:val="AR table pink bold"/>
    <w:basedOn w:val="ARtabletext"/>
    <w:uiPriority w:val="3"/>
    <w:qFormat/>
    <w:rsid w:val="00603E4B"/>
    <w:pPr>
      <w:spacing w:line="240" w:lineRule="auto"/>
    </w:pPr>
    <w:rPr>
      <w:b/>
      <w:color w:val="D50032"/>
    </w:rPr>
  </w:style>
  <w:style w:type="table" w:styleId="ColorfulList">
    <w:name w:val="Colorful List"/>
    <w:basedOn w:val="TableNormal"/>
    <w:uiPriority w:val="98"/>
    <w:rsid w:val="00603E4B"/>
    <w:pPr>
      <w:spacing w:after="0" w:line="240" w:lineRule="auto"/>
    </w:pPr>
    <w:rPr>
      <w:rFonts w:ascii="Times New Roman" w:eastAsia="MS Mincho" w:hAnsi="Times New Roman" w:cs="Times New Roman"/>
      <w:color w:val="000000" w:themeColor="text1"/>
      <w:sz w:val="20"/>
      <w:szCs w:val="20"/>
      <w:lang w:val="en-GB" w:eastAsia="en-GB"/>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MediumShading2-Accent3">
    <w:name w:val="Medium Shading 2 Accent 3"/>
    <w:basedOn w:val="TableNormal"/>
    <w:uiPriority w:val="98"/>
    <w:rsid w:val="00603E4B"/>
    <w:pPr>
      <w:spacing w:after="0" w:line="240" w:lineRule="auto"/>
    </w:pPr>
    <w:rPr>
      <w:rFonts w:ascii="Times New Roman" w:eastAsia="MS Mincho" w:hAnsi="Times New Roman" w:cs="Times New Roman"/>
      <w:sz w:val="20"/>
      <w:szCs w:val="20"/>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ARintrobullet">
    <w:name w:val="AR intro bullet"/>
    <w:basedOn w:val="ARintro"/>
    <w:qFormat/>
    <w:rsid w:val="00603E4B"/>
    <w:pPr>
      <w:numPr>
        <w:numId w:val="50"/>
      </w:numPr>
    </w:pPr>
  </w:style>
  <w:style w:type="numbering" w:customStyle="1" w:styleId="ZZIntrobullets">
    <w:name w:val="ZZ Intro bullets"/>
    <w:basedOn w:val="NoList"/>
    <w:uiPriority w:val="99"/>
    <w:rsid w:val="00603E4B"/>
    <w:pPr>
      <w:numPr>
        <w:numId w:val="50"/>
      </w:numPr>
    </w:pPr>
  </w:style>
  <w:style w:type="paragraph" w:customStyle="1" w:styleId="Heading2foreword">
    <w:name w:val="Heading 2 foreword"/>
    <w:basedOn w:val="Heading4"/>
    <w:rsid w:val="00D814EF"/>
    <w:pPr>
      <w:outlineLvl w:val="1"/>
    </w:pPr>
    <w:rPr>
      <w:lang w:eastAsia="en-AU"/>
    </w:rPr>
  </w:style>
  <w:style w:type="paragraph" w:customStyle="1" w:styleId="Heading3larger">
    <w:name w:val="Heading 3 larger"/>
    <w:basedOn w:val="Heading2"/>
    <w:rsid w:val="000A18C8"/>
    <w:pPr>
      <w:spacing w:before="0"/>
      <w:outlineLvl w:val="2"/>
    </w:pPr>
  </w:style>
  <w:style w:type="paragraph" w:customStyle="1" w:styleId="Heading4larger">
    <w:name w:val="Heading 4 larger"/>
    <w:basedOn w:val="Heading3"/>
    <w:rsid w:val="002C0C09"/>
    <w:pPr>
      <w:spacing w:before="0"/>
      <w:outlineLvl w:val="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058315">
      <w:bodyDiv w:val="1"/>
      <w:marLeft w:val="0"/>
      <w:marRight w:val="0"/>
      <w:marTop w:val="0"/>
      <w:marBottom w:val="0"/>
      <w:divBdr>
        <w:top w:val="none" w:sz="0" w:space="0" w:color="auto"/>
        <w:left w:val="none" w:sz="0" w:space="0" w:color="auto"/>
        <w:bottom w:val="none" w:sz="0" w:space="0" w:color="auto"/>
        <w:right w:val="none" w:sz="0" w:space="0" w:color="auto"/>
      </w:divBdr>
    </w:div>
    <w:div w:id="149755048">
      <w:bodyDiv w:val="1"/>
      <w:marLeft w:val="0"/>
      <w:marRight w:val="0"/>
      <w:marTop w:val="0"/>
      <w:marBottom w:val="0"/>
      <w:divBdr>
        <w:top w:val="none" w:sz="0" w:space="0" w:color="auto"/>
        <w:left w:val="none" w:sz="0" w:space="0" w:color="auto"/>
        <w:bottom w:val="none" w:sz="0" w:space="0" w:color="auto"/>
        <w:right w:val="none" w:sz="0" w:space="0" w:color="auto"/>
      </w:divBdr>
    </w:div>
    <w:div w:id="218631223">
      <w:bodyDiv w:val="1"/>
      <w:marLeft w:val="0"/>
      <w:marRight w:val="0"/>
      <w:marTop w:val="0"/>
      <w:marBottom w:val="0"/>
      <w:divBdr>
        <w:top w:val="none" w:sz="0" w:space="0" w:color="auto"/>
        <w:left w:val="none" w:sz="0" w:space="0" w:color="auto"/>
        <w:bottom w:val="none" w:sz="0" w:space="0" w:color="auto"/>
        <w:right w:val="none" w:sz="0" w:space="0" w:color="auto"/>
      </w:divBdr>
    </w:div>
    <w:div w:id="235361282">
      <w:bodyDiv w:val="1"/>
      <w:marLeft w:val="0"/>
      <w:marRight w:val="0"/>
      <w:marTop w:val="0"/>
      <w:marBottom w:val="0"/>
      <w:divBdr>
        <w:top w:val="none" w:sz="0" w:space="0" w:color="auto"/>
        <w:left w:val="none" w:sz="0" w:space="0" w:color="auto"/>
        <w:bottom w:val="none" w:sz="0" w:space="0" w:color="auto"/>
        <w:right w:val="none" w:sz="0" w:space="0" w:color="auto"/>
      </w:divBdr>
    </w:div>
    <w:div w:id="284315332">
      <w:bodyDiv w:val="1"/>
      <w:marLeft w:val="0"/>
      <w:marRight w:val="0"/>
      <w:marTop w:val="0"/>
      <w:marBottom w:val="0"/>
      <w:divBdr>
        <w:top w:val="none" w:sz="0" w:space="0" w:color="auto"/>
        <w:left w:val="none" w:sz="0" w:space="0" w:color="auto"/>
        <w:bottom w:val="none" w:sz="0" w:space="0" w:color="auto"/>
        <w:right w:val="none" w:sz="0" w:space="0" w:color="auto"/>
      </w:divBdr>
    </w:div>
    <w:div w:id="295572381">
      <w:bodyDiv w:val="1"/>
      <w:marLeft w:val="0"/>
      <w:marRight w:val="0"/>
      <w:marTop w:val="0"/>
      <w:marBottom w:val="0"/>
      <w:divBdr>
        <w:top w:val="none" w:sz="0" w:space="0" w:color="auto"/>
        <w:left w:val="none" w:sz="0" w:space="0" w:color="auto"/>
        <w:bottom w:val="none" w:sz="0" w:space="0" w:color="auto"/>
        <w:right w:val="none" w:sz="0" w:space="0" w:color="auto"/>
      </w:divBdr>
    </w:div>
    <w:div w:id="333267015">
      <w:bodyDiv w:val="1"/>
      <w:marLeft w:val="0"/>
      <w:marRight w:val="0"/>
      <w:marTop w:val="0"/>
      <w:marBottom w:val="0"/>
      <w:divBdr>
        <w:top w:val="none" w:sz="0" w:space="0" w:color="auto"/>
        <w:left w:val="none" w:sz="0" w:space="0" w:color="auto"/>
        <w:bottom w:val="none" w:sz="0" w:space="0" w:color="auto"/>
        <w:right w:val="none" w:sz="0" w:space="0" w:color="auto"/>
      </w:divBdr>
    </w:div>
    <w:div w:id="350759742">
      <w:bodyDiv w:val="1"/>
      <w:marLeft w:val="0"/>
      <w:marRight w:val="0"/>
      <w:marTop w:val="0"/>
      <w:marBottom w:val="0"/>
      <w:divBdr>
        <w:top w:val="none" w:sz="0" w:space="0" w:color="auto"/>
        <w:left w:val="none" w:sz="0" w:space="0" w:color="auto"/>
        <w:bottom w:val="none" w:sz="0" w:space="0" w:color="auto"/>
        <w:right w:val="none" w:sz="0" w:space="0" w:color="auto"/>
      </w:divBdr>
    </w:div>
    <w:div w:id="506017872">
      <w:bodyDiv w:val="1"/>
      <w:marLeft w:val="0"/>
      <w:marRight w:val="0"/>
      <w:marTop w:val="0"/>
      <w:marBottom w:val="0"/>
      <w:divBdr>
        <w:top w:val="none" w:sz="0" w:space="0" w:color="auto"/>
        <w:left w:val="none" w:sz="0" w:space="0" w:color="auto"/>
        <w:bottom w:val="none" w:sz="0" w:space="0" w:color="auto"/>
        <w:right w:val="none" w:sz="0" w:space="0" w:color="auto"/>
      </w:divBdr>
    </w:div>
    <w:div w:id="513030515">
      <w:bodyDiv w:val="1"/>
      <w:marLeft w:val="0"/>
      <w:marRight w:val="0"/>
      <w:marTop w:val="0"/>
      <w:marBottom w:val="0"/>
      <w:divBdr>
        <w:top w:val="none" w:sz="0" w:space="0" w:color="auto"/>
        <w:left w:val="none" w:sz="0" w:space="0" w:color="auto"/>
        <w:bottom w:val="none" w:sz="0" w:space="0" w:color="auto"/>
        <w:right w:val="none" w:sz="0" w:space="0" w:color="auto"/>
      </w:divBdr>
    </w:div>
    <w:div w:id="561019855">
      <w:bodyDiv w:val="1"/>
      <w:marLeft w:val="0"/>
      <w:marRight w:val="0"/>
      <w:marTop w:val="0"/>
      <w:marBottom w:val="0"/>
      <w:divBdr>
        <w:top w:val="none" w:sz="0" w:space="0" w:color="auto"/>
        <w:left w:val="none" w:sz="0" w:space="0" w:color="auto"/>
        <w:bottom w:val="none" w:sz="0" w:space="0" w:color="auto"/>
        <w:right w:val="none" w:sz="0" w:space="0" w:color="auto"/>
      </w:divBdr>
    </w:div>
    <w:div w:id="587664711">
      <w:bodyDiv w:val="1"/>
      <w:marLeft w:val="0"/>
      <w:marRight w:val="0"/>
      <w:marTop w:val="0"/>
      <w:marBottom w:val="0"/>
      <w:divBdr>
        <w:top w:val="none" w:sz="0" w:space="0" w:color="auto"/>
        <w:left w:val="none" w:sz="0" w:space="0" w:color="auto"/>
        <w:bottom w:val="none" w:sz="0" w:space="0" w:color="auto"/>
        <w:right w:val="none" w:sz="0" w:space="0" w:color="auto"/>
      </w:divBdr>
    </w:div>
    <w:div w:id="597369066">
      <w:bodyDiv w:val="1"/>
      <w:marLeft w:val="0"/>
      <w:marRight w:val="0"/>
      <w:marTop w:val="0"/>
      <w:marBottom w:val="0"/>
      <w:divBdr>
        <w:top w:val="none" w:sz="0" w:space="0" w:color="auto"/>
        <w:left w:val="none" w:sz="0" w:space="0" w:color="auto"/>
        <w:bottom w:val="none" w:sz="0" w:space="0" w:color="auto"/>
        <w:right w:val="none" w:sz="0" w:space="0" w:color="auto"/>
      </w:divBdr>
    </w:div>
    <w:div w:id="600337143">
      <w:bodyDiv w:val="1"/>
      <w:marLeft w:val="0"/>
      <w:marRight w:val="0"/>
      <w:marTop w:val="0"/>
      <w:marBottom w:val="0"/>
      <w:divBdr>
        <w:top w:val="none" w:sz="0" w:space="0" w:color="auto"/>
        <w:left w:val="none" w:sz="0" w:space="0" w:color="auto"/>
        <w:bottom w:val="none" w:sz="0" w:space="0" w:color="auto"/>
        <w:right w:val="none" w:sz="0" w:space="0" w:color="auto"/>
      </w:divBdr>
    </w:div>
    <w:div w:id="629626246">
      <w:bodyDiv w:val="1"/>
      <w:marLeft w:val="0"/>
      <w:marRight w:val="0"/>
      <w:marTop w:val="0"/>
      <w:marBottom w:val="0"/>
      <w:divBdr>
        <w:top w:val="none" w:sz="0" w:space="0" w:color="auto"/>
        <w:left w:val="none" w:sz="0" w:space="0" w:color="auto"/>
        <w:bottom w:val="none" w:sz="0" w:space="0" w:color="auto"/>
        <w:right w:val="none" w:sz="0" w:space="0" w:color="auto"/>
      </w:divBdr>
    </w:div>
    <w:div w:id="656029902">
      <w:bodyDiv w:val="1"/>
      <w:marLeft w:val="0"/>
      <w:marRight w:val="0"/>
      <w:marTop w:val="0"/>
      <w:marBottom w:val="0"/>
      <w:divBdr>
        <w:top w:val="none" w:sz="0" w:space="0" w:color="auto"/>
        <w:left w:val="none" w:sz="0" w:space="0" w:color="auto"/>
        <w:bottom w:val="none" w:sz="0" w:space="0" w:color="auto"/>
        <w:right w:val="none" w:sz="0" w:space="0" w:color="auto"/>
      </w:divBdr>
    </w:div>
    <w:div w:id="766003289">
      <w:bodyDiv w:val="1"/>
      <w:marLeft w:val="0"/>
      <w:marRight w:val="0"/>
      <w:marTop w:val="0"/>
      <w:marBottom w:val="0"/>
      <w:divBdr>
        <w:top w:val="none" w:sz="0" w:space="0" w:color="auto"/>
        <w:left w:val="none" w:sz="0" w:space="0" w:color="auto"/>
        <w:bottom w:val="none" w:sz="0" w:space="0" w:color="auto"/>
        <w:right w:val="none" w:sz="0" w:space="0" w:color="auto"/>
      </w:divBdr>
    </w:div>
    <w:div w:id="769007976">
      <w:bodyDiv w:val="1"/>
      <w:marLeft w:val="0"/>
      <w:marRight w:val="0"/>
      <w:marTop w:val="0"/>
      <w:marBottom w:val="0"/>
      <w:divBdr>
        <w:top w:val="none" w:sz="0" w:space="0" w:color="auto"/>
        <w:left w:val="none" w:sz="0" w:space="0" w:color="auto"/>
        <w:bottom w:val="none" w:sz="0" w:space="0" w:color="auto"/>
        <w:right w:val="none" w:sz="0" w:space="0" w:color="auto"/>
      </w:divBdr>
    </w:div>
    <w:div w:id="834492492">
      <w:bodyDiv w:val="1"/>
      <w:marLeft w:val="0"/>
      <w:marRight w:val="0"/>
      <w:marTop w:val="0"/>
      <w:marBottom w:val="0"/>
      <w:divBdr>
        <w:top w:val="none" w:sz="0" w:space="0" w:color="auto"/>
        <w:left w:val="none" w:sz="0" w:space="0" w:color="auto"/>
        <w:bottom w:val="none" w:sz="0" w:space="0" w:color="auto"/>
        <w:right w:val="none" w:sz="0" w:space="0" w:color="auto"/>
      </w:divBdr>
    </w:div>
    <w:div w:id="867445885">
      <w:bodyDiv w:val="1"/>
      <w:marLeft w:val="0"/>
      <w:marRight w:val="0"/>
      <w:marTop w:val="0"/>
      <w:marBottom w:val="0"/>
      <w:divBdr>
        <w:top w:val="none" w:sz="0" w:space="0" w:color="auto"/>
        <w:left w:val="none" w:sz="0" w:space="0" w:color="auto"/>
        <w:bottom w:val="none" w:sz="0" w:space="0" w:color="auto"/>
        <w:right w:val="none" w:sz="0" w:space="0" w:color="auto"/>
      </w:divBdr>
    </w:div>
    <w:div w:id="896431554">
      <w:bodyDiv w:val="1"/>
      <w:marLeft w:val="0"/>
      <w:marRight w:val="0"/>
      <w:marTop w:val="0"/>
      <w:marBottom w:val="0"/>
      <w:divBdr>
        <w:top w:val="none" w:sz="0" w:space="0" w:color="auto"/>
        <w:left w:val="none" w:sz="0" w:space="0" w:color="auto"/>
        <w:bottom w:val="none" w:sz="0" w:space="0" w:color="auto"/>
        <w:right w:val="none" w:sz="0" w:space="0" w:color="auto"/>
      </w:divBdr>
    </w:div>
    <w:div w:id="934166736">
      <w:bodyDiv w:val="1"/>
      <w:marLeft w:val="0"/>
      <w:marRight w:val="0"/>
      <w:marTop w:val="0"/>
      <w:marBottom w:val="0"/>
      <w:divBdr>
        <w:top w:val="none" w:sz="0" w:space="0" w:color="auto"/>
        <w:left w:val="none" w:sz="0" w:space="0" w:color="auto"/>
        <w:bottom w:val="none" w:sz="0" w:space="0" w:color="auto"/>
        <w:right w:val="none" w:sz="0" w:space="0" w:color="auto"/>
      </w:divBdr>
      <w:divsChild>
        <w:div w:id="1867522956">
          <w:marLeft w:val="0"/>
          <w:marRight w:val="0"/>
          <w:marTop w:val="0"/>
          <w:marBottom w:val="0"/>
          <w:divBdr>
            <w:top w:val="none" w:sz="0" w:space="0" w:color="auto"/>
            <w:left w:val="none" w:sz="0" w:space="0" w:color="auto"/>
            <w:bottom w:val="none" w:sz="0" w:space="0" w:color="auto"/>
            <w:right w:val="none" w:sz="0" w:space="0" w:color="auto"/>
          </w:divBdr>
        </w:div>
      </w:divsChild>
    </w:div>
    <w:div w:id="1095857173">
      <w:bodyDiv w:val="1"/>
      <w:marLeft w:val="0"/>
      <w:marRight w:val="0"/>
      <w:marTop w:val="0"/>
      <w:marBottom w:val="0"/>
      <w:divBdr>
        <w:top w:val="none" w:sz="0" w:space="0" w:color="auto"/>
        <w:left w:val="none" w:sz="0" w:space="0" w:color="auto"/>
        <w:bottom w:val="none" w:sz="0" w:space="0" w:color="auto"/>
        <w:right w:val="none" w:sz="0" w:space="0" w:color="auto"/>
      </w:divBdr>
    </w:div>
    <w:div w:id="1132559007">
      <w:bodyDiv w:val="1"/>
      <w:marLeft w:val="0"/>
      <w:marRight w:val="0"/>
      <w:marTop w:val="0"/>
      <w:marBottom w:val="0"/>
      <w:divBdr>
        <w:top w:val="none" w:sz="0" w:space="0" w:color="auto"/>
        <w:left w:val="none" w:sz="0" w:space="0" w:color="auto"/>
        <w:bottom w:val="none" w:sz="0" w:space="0" w:color="auto"/>
        <w:right w:val="none" w:sz="0" w:space="0" w:color="auto"/>
      </w:divBdr>
    </w:div>
    <w:div w:id="1160342538">
      <w:bodyDiv w:val="1"/>
      <w:marLeft w:val="0"/>
      <w:marRight w:val="0"/>
      <w:marTop w:val="0"/>
      <w:marBottom w:val="0"/>
      <w:divBdr>
        <w:top w:val="none" w:sz="0" w:space="0" w:color="auto"/>
        <w:left w:val="none" w:sz="0" w:space="0" w:color="auto"/>
        <w:bottom w:val="none" w:sz="0" w:space="0" w:color="auto"/>
        <w:right w:val="none" w:sz="0" w:space="0" w:color="auto"/>
      </w:divBdr>
    </w:div>
    <w:div w:id="1215386890">
      <w:bodyDiv w:val="1"/>
      <w:marLeft w:val="0"/>
      <w:marRight w:val="0"/>
      <w:marTop w:val="0"/>
      <w:marBottom w:val="0"/>
      <w:divBdr>
        <w:top w:val="none" w:sz="0" w:space="0" w:color="auto"/>
        <w:left w:val="none" w:sz="0" w:space="0" w:color="auto"/>
        <w:bottom w:val="none" w:sz="0" w:space="0" w:color="auto"/>
        <w:right w:val="none" w:sz="0" w:space="0" w:color="auto"/>
      </w:divBdr>
    </w:div>
    <w:div w:id="1226453978">
      <w:bodyDiv w:val="1"/>
      <w:marLeft w:val="0"/>
      <w:marRight w:val="0"/>
      <w:marTop w:val="0"/>
      <w:marBottom w:val="0"/>
      <w:divBdr>
        <w:top w:val="none" w:sz="0" w:space="0" w:color="auto"/>
        <w:left w:val="none" w:sz="0" w:space="0" w:color="auto"/>
        <w:bottom w:val="none" w:sz="0" w:space="0" w:color="auto"/>
        <w:right w:val="none" w:sz="0" w:space="0" w:color="auto"/>
      </w:divBdr>
    </w:div>
    <w:div w:id="1272468602">
      <w:bodyDiv w:val="1"/>
      <w:marLeft w:val="0"/>
      <w:marRight w:val="0"/>
      <w:marTop w:val="0"/>
      <w:marBottom w:val="0"/>
      <w:divBdr>
        <w:top w:val="none" w:sz="0" w:space="0" w:color="auto"/>
        <w:left w:val="none" w:sz="0" w:space="0" w:color="auto"/>
        <w:bottom w:val="none" w:sz="0" w:space="0" w:color="auto"/>
        <w:right w:val="none" w:sz="0" w:space="0" w:color="auto"/>
      </w:divBdr>
    </w:div>
    <w:div w:id="1297561319">
      <w:bodyDiv w:val="1"/>
      <w:marLeft w:val="0"/>
      <w:marRight w:val="0"/>
      <w:marTop w:val="0"/>
      <w:marBottom w:val="0"/>
      <w:divBdr>
        <w:top w:val="none" w:sz="0" w:space="0" w:color="auto"/>
        <w:left w:val="none" w:sz="0" w:space="0" w:color="auto"/>
        <w:bottom w:val="none" w:sz="0" w:space="0" w:color="auto"/>
        <w:right w:val="none" w:sz="0" w:space="0" w:color="auto"/>
      </w:divBdr>
    </w:div>
    <w:div w:id="1357926367">
      <w:bodyDiv w:val="1"/>
      <w:marLeft w:val="0"/>
      <w:marRight w:val="0"/>
      <w:marTop w:val="0"/>
      <w:marBottom w:val="0"/>
      <w:divBdr>
        <w:top w:val="none" w:sz="0" w:space="0" w:color="auto"/>
        <w:left w:val="none" w:sz="0" w:space="0" w:color="auto"/>
        <w:bottom w:val="none" w:sz="0" w:space="0" w:color="auto"/>
        <w:right w:val="none" w:sz="0" w:space="0" w:color="auto"/>
      </w:divBdr>
    </w:div>
    <w:div w:id="1420830326">
      <w:bodyDiv w:val="1"/>
      <w:marLeft w:val="0"/>
      <w:marRight w:val="0"/>
      <w:marTop w:val="0"/>
      <w:marBottom w:val="0"/>
      <w:divBdr>
        <w:top w:val="none" w:sz="0" w:space="0" w:color="auto"/>
        <w:left w:val="none" w:sz="0" w:space="0" w:color="auto"/>
        <w:bottom w:val="none" w:sz="0" w:space="0" w:color="auto"/>
        <w:right w:val="none" w:sz="0" w:space="0" w:color="auto"/>
      </w:divBdr>
    </w:div>
    <w:div w:id="1529249520">
      <w:bodyDiv w:val="1"/>
      <w:marLeft w:val="0"/>
      <w:marRight w:val="0"/>
      <w:marTop w:val="0"/>
      <w:marBottom w:val="0"/>
      <w:divBdr>
        <w:top w:val="none" w:sz="0" w:space="0" w:color="auto"/>
        <w:left w:val="none" w:sz="0" w:space="0" w:color="auto"/>
        <w:bottom w:val="none" w:sz="0" w:space="0" w:color="auto"/>
        <w:right w:val="none" w:sz="0" w:space="0" w:color="auto"/>
      </w:divBdr>
    </w:div>
    <w:div w:id="1623415709">
      <w:bodyDiv w:val="1"/>
      <w:marLeft w:val="0"/>
      <w:marRight w:val="0"/>
      <w:marTop w:val="0"/>
      <w:marBottom w:val="0"/>
      <w:divBdr>
        <w:top w:val="none" w:sz="0" w:space="0" w:color="auto"/>
        <w:left w:val="none" w:sz="0" w:space="0" w:color="auto"/>
        <w:bottom w:val="none" w:sz="0" w:space="0" w:color="auto"/>
        <w:right w:val="none" w:sz="0" w:space="0" w:color="auto"/>
      </w:divBdr>
    </w:div>
    <w:div w:id="1687709283">
      <w:bodyDiv w:val="1"/>
      <w:marLeft w:val="0"/>
      <w:marRight w:val="0"/>
      <w:marTop w:val="0"/>
      <w:marBottom w:val="0"/>
      <w:divBdr>
        <w:top w:val="none" w:sz="0" w:space="0" w:color="auto"/>
        <w:left w:val="none" w:sz="0" w:space="0" w:color="auto"/>
        <w:bottom w:val="none" w:sz="0" w:space="0" w:color="auto"/>
        <w:right w:val="none" w:sz="0" w:space="0" w:color="auto"/>
      </w:divBdr>
    </w:div>
    <w:div w:id="1688289503">
      <w:bodyDiv w:val="1"/>
      <w:marLeft w:val="0"/>
      <w:marRight w:val="0"/>
      <w:marTop w:val="0"/>
      <w:marBottom w:val="0"/>
      <w:divBdr>
        <w:top w:val="none" w:sz="0" w:space="0" w:color="auto"/>
        <w:left w:val="none" w:sz="0" w:space="0" w:color="auto"/>
        <w:bottom w:val="none" w:sz="0" w:space="0" w:color="auto"/>
        <w:right w:val="none" w:sz="0" w:space="0" w:color="auto"/>
      </w:divBdr>
    </w:div>
    <w:div w:id="1688367985">
      <w:bodyDiv w:val="1"/>
      <w:marLeft w:val="0"/>
      <w:marRight w:val="0"/>
      <w:marTop w:val="0"/>
      <w:marBottom w:val="0"/>
      <w:divBdr>
        <w:top w:val="none" w:sz="0" w:space="0" w:color="auto"/>
        <w:left w:val="none" w:sz="0" w:space="0" w:color="auto"/>
        <w:bottom w:val="none" w:sz="0" w:space="0" w:color="auto"/>
        <w:right w:val="none" w:sz="0" w:space="0" w:color="auto"/>
      </w:divBdr>
    </w:div>
    <w:div w:id="1696536695">
      <w:bodyDiv w:val="1"/>
      <w:marLeft w:val="0"/>
      <w:marRight w:val="0"/>
      <w:marTop w:val="0"/>
      <w:marBottom w:val="0"/>
      <w:divBdr>
        <w:top w:val="none" w:sz="0" w:space="0" w:color="auto"/>
        <w:left w:val="none" w:sz="0" w:space="0" w:color="auto"/>
        <w:bottom w:val="none" w:sz="0" w:space="0" w:color="auto"/>
        <w:right w:val="none" w:sz="0" w:space="0" w:color="auto"/>
      </w:divBdr>
    </w:div>
    <w:div w:id="1701395805">
      <w:bodyDiv w:val="1"/>
      <w:marLeft w:val="0"/>
      <w:marRight w:val="0"/>
      <w:marTop w:val="0"/>
      <w:marBottom w:val="0"/>
      <w:divBdr>
        <w:top w:val="none" w:sz="0" w:space="0" w:color="auto"/>
        <w:left w:val="none" w:sz="0" w:space="0" w:color="auto"/>
        <w:bottom w:val="none" w:sz="0" w:space="0" w:color="auto"/>
        <w:right w:val="none" w:sz="0" w:space="0" w:color="auto"/>
      </w:divBdr>
    </w:div>
    <w:div w:id="1851677795">
      <w:bodyDiv w:val="1"/>
      <w:marLeft w:val="0"/>
      <w:marRight w:val="0"/>
      <w:marTop w:val="0"/>
      <w:marBottom w:val="0"/>
      <w:divBdr>
        <w:top w:val="none" w:sz="0" w:space="0" w:color="auto"/>
        <w:left w:val="none" w:sz="0" w:space="0" w:color="auto"/>
        <w:bottom w:val="none" w:sz="0" w:space="0" w:color="auto"/>
        <w:right w:val="none" w:sz="0" w:space="0" w:color="auto"/>
      </w:divBdr>
    </w:div>
    <w:div w:id="1904027532">
      <w:bodyDiv w:val="1"/>
      <w:marLeft w:val="0"/>
      <w:marRight w:val="0"/>
      <w:marTop w:val="0"/>
      <w:marBottom w:val="0"/>
      <w:divBdr>
        <w:top w:val="none" w:sz="0" w:space="0" w:color="auto"/>
        <w:left w:val="none" w:sz="0" w:space="0" w:color="auto"/>
        <w:bottom w:val="none" w:sz="0" w:space="0" w:color="auto"/>
        <w:right w:val="none" w:sz="0" w:space="0" w:color="auto"/>
      </w:divBdr>
    </w:div>
    <w:div w:id="1928659239">
      <w:bodyDiv w:val="1"/>
      <w:marLeft w:val="0"/>
      <w:marRight w:val="0"/>
      <w:marTop w:val="0"/>
      <w:marBottom w:val="0"/>
      <w:divBdr>
        <w:top w:val="none" w:sz="0" w:space="0" w:color="auto"/>
        <w:left w:val="none" w:sz="0" w:space="0" w:color="auto"/>
        <w:bottom w:val="none" w:sz="0" w:space="0" w:color="auto"/>
        <w:right w:val="none" w:sz="0" w:space="0" w:color="auto"/>
      </w:divBdr>
    </w:div>
    <w:div w:id="1970548407">
      <w:bodyDiv w:val="1"/>
      <w:marLeft w:val="0"/>
      <w:marRight w:val="0"/>
      <w:marTop w:val="0"/>
      <w:marBottom w:val="0"/>
      <w:divBdr>
        <w:top w:val="none" w:sz="0" w:space="0" w:color="auto"/>
        <w:left w:val="none" w:sz="0" w:space="0" w:color="auto"/>
        <w:bottom w:val="none" w:sz="0" w:space="0" w:color="auto"/>
        <w:right w:val="none" w:sz="0" w:space="0" w:color="auto"/>
      </w:divBdr>
    </w:div>
    <w:div w:id="2009626239">
      <w:bodyDiv w:val="1"/>
      <w:marLeft w:val="0"/>
      <w:marRight w:val="0"/>
      <w:marTop w:val="0"/>
      <w:marBottom w:val="0"/>
      <w:divBdr>
        <w:top w:val="none" w:sz="0" w:space="0" w:color="auto"/>
        <w:left w:val="none" w:sz="0" w:space="0" w:color="auto"/>
        <w:bottom w:val="none" w:sz="0" w:space="0" w:color="auto"/>
        <w:right w:val="none" w:sz="0" w:space="0" w:color="auto"/>
      </w:divBdr>
    </w:div>
    <w:div w:id="201176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1.png"/><Relationship Id="rId21" Type="http://schemas.openxmlformats.org/officeDocument/2006/relationships/header" Target="header5.xml"/><Relationship Id="rId42" Type="http://schemas.openxmlformats.org/officeDocument/2006/relationships/header" Target="header15.xml"/><Relationship Id="rId63" Type="http://schemas.openxmlformats.org/officeDocument/2006/relationships/header" Target="header20.xml"/><Relationship Id="rId84" Type="http://schemas.openxmlformats.org/officeDocument/2006/relationships/header" Target="header30.xml"/><Relationship Id="rId138" Type="http://schemas.openxmlformats.org/officeDocument/2006/relationships/hyperlink" Target="http://performance.health.vic.gov.au" TargetMode="External"/><Relationship Id="rId159" Type="http://schemas.openxmlformats.org/officeDocument/2006/relationships/footer" Target="footer37.xml"/><Relationship Id="rId170" Type="http://schemas.openxmlformats.org/officeDocument/2006/relationships/header" Target="header66.xml"/><Relationship Id="rId191" Type="http://schemas.openxmlformats.org/officeDocument/2006/relationships/footer" Target="footer46.xml"/><Relationship Id="rId205" Type="http://schemas.openxmlformats.org/officeDocument/2006/relationships/header" Target="header80.xml"/><Relationship Id="rId226" Type="http://schemas.openxmlformats.org/officeDocument/2006/relationships/header" Target="header87.xml"/><Relationship Id="rId107" Type="http://schemas.openxmlformats.org/officeDocument/2006/relationships/header" Target="header46.xml"/><Relationship Id="rId11" Type="http://schemas.openxmlformats.org/officeDocument/2006/relationships/image" Target="media/image1.jpeg"/><Relationship Id="rId32" Type="http://schemas.openxmlformats.org/officeDocument/2006/relationships/header" Target="header10.xml"/><Relationship Id="rId53" Type="http://schemas.openxmlformats.org/officeDocument/2006/relationships/header" Target="header17.xml"/><Relationship Id="rId74" Type="http://schemas.openxmlformats.org/officeDocument/2006/relationships/hyperlink" Target="https://www.dhhs.vic.gov.au/sites/default/files/documents/201907/Department%20of%20Health%20and%20Human%20Services%20outcomes%20framework.pdf" TargetMode="External"/><Relationship Id="rId128" Type="http://schemas.openxmlformats.org/officeDocument/2006/relationships/footer" Target="footer35.xml"/><Relationship Id="rId149" Type="http://schemas.openxmlformats.org/officeDocument/2006/relationships/hyperlink" Target="mailto:submit@ibac.vic.gov.au" TargetMode="External"/><Relationship Id="rId5" Type="http://schemas.openxmlformats.org/officeDocument/2006/relationships/numbering" Target="numbering.xml"/><Relationship Id="rId95" Type="http://schemas.openxmlformats.org/officeDocument/2006/relationships/header" Target="header37.xml"/><Relationship Id="rId160" Type="http://schemas.openxmlformats.org/officeDocument/2006/relationships/header" Target="header60.xml"/><Relationship Id="rId181" Type="http://schemas.openxmlformats.org/officeDocument/2006/relationships/footer" Target="footer43.xml"/><Relationship Id="rId216" Type="http://schemas.openxmlformats.org/officeDocument/2006/relationships/header" Target="header81.xml"/><Relationship Id="rId22" Type="http://schemas.openxmlformats.org/officeDocument/2006/relationships/footer" Target="footer1.xml"/><Relationship Id="rId27" Type="http://schemas.openxmlformats.org/officeDocument/2006/relationships/header" Target="header8.xml"/><Relationship Id="rId43" Type="http://schemas.openxmlformats.org/officeDocument/2006/relationships/image" Target="media/image6.png"/><Relationship Id="rId48" Type="http://schemas.openxmlformats.org/officeDocument/2006/relationships/image" Target="media/image11.png"/><Relationship Id="rId64" Type="http://schemas.openxmlformats.org/officeDocument/2006/relationships/header" Target="header21.xml"/><Relationship Id="rId69" Type="http://schemas.openxmlformats.org/officeDocument/2006/relationships/header" Target="header24.xml"/><Relationship Id="rId113" Type="http://schemas.openxmlformats.org/officeDocument/2006/relationships/header" Target="header49.xml"/><Relationship Id="rId118" Type="http://schemas.openxmlformats.org/officeDocument/2006/relationships/image" Target="media/image22.svg"/><Relationship Id="rId134" Type="http://schemas.openxmlformats.org/officeDocument/2006/relationships/header" Target="header56.xml"/><Relationship Id="rId139" Type="http://schemas.openxmlformats.org/officeDocument/2006/relationships/hyperlink" Target="https://www2.health.vic.gov.au/about/reporting-planning-data" TargetMode="External"/><Relationship Id="rId80" Type="http://schemas.openxmlformats.org/officeDocument/2006/relationships/header" Target="header27.xml"/><Relationship Id="rId85" Type="http://schemas.openxmlformats.org/officeDocument/2006/relationships/footer" Target="footer19.xml"/><Relationship Id="rId150" Type="http://schemas.openxmlformats.org/officeDocument/2006/relationships/hyperlink" Target="https://providers.dhhs.vic.gov.au/public-interest-disclosure" TargetMode="External"/><Relationship Id="rId155" Type="http://schemas.openxmlformats.org/officeDocument/2006/relationships/hyperlink" Target="mailto:fsv.protected.disclosures@familysafety.vic.gov.au" TargetMode="External"/><Relationship Id="rId171" Type="http://schemas.openxmlformats.org/officeDocument/2006/relationships/footer" Target="footer42.xml"/><Relationship Id="rId176" Type="http://schemas.openxmlformats.org/officeDocument/2006/relationships/hyperlink" Target="https://dhhs.vic.gov.au/ministerial-statements-expectations-regulators" TargetMode="External"/><Relationship Id="rId192" Type="http://schemas.openxmlformats.org/officeDocument/2006/relationships/header" Target="header75.xml"/><Relationship Id="rId197" Type="http://schemas.openxmlformats.org/officeDocument/2006/relationships/image" Target="media/image26.png"/><Relationship Id="rId206" Type="http://schemas.openxmlformats.org/officeDocument/2006/relationships/footer" Target="footer51.xml"/><Relationship Id="rId227" Type="http://schemas.openxmlformats.org/officeDocument/2006/relationships/header" Target="header88.xml"/><Relationship Id="rId201" Type="http://schemas.openxmlformats.org/officeDocument/2006/relationships/footer" Target="footer48.xml"/><Relationship Id="rId222" Type="http://schemas.openxmlformats.org/officeDocument/2006/relationships/footer" Target="footer61.xml"/><Relationship Id="rId12" Type="http://schemas.openxmlformats.org/officeDocument/2006/relationships/hyperlink" Target="mailto:corporate.reporting@dhhs.vic.gov.au" TargetMode="External"/><Relationship Id="rId17" Type="http://schemas.openxmlformats.org/officeDocument/2006/relationships/header" Target="header2.xml"/><Relationship Id="rId33" Type="http://schemas.openxmlformats.org/officeDocument/2006/relationships/header" Target="header11.xml"/><Relationship Id="rId38" Type="http://schemas.openxmlformats.org/officeDocument/2006/relationships/image" Target="media/image5.jpg"/><Relationship Id="rId59" Type="http://schemas.openxmlformats.org/officeDocument/2006/relationships/image" Target="media/image14.jpeg"/><Relationship Id="rId103" Type="http://schemas.openxmlformats.org/officeDocument/2006/relationships/header" Target="header43.xml"/><Relationship Id="rId108" Type="http://schemas.openxmlformats.org/officeDocument/2006/relationships/header" Target="header47.xml"/><Relationship Id="rId124" Type="http://schemas.openxmlformats.org/officeDocument/2006/relationships/footer" Target="footer31.xml"/><Relationship Id="rId129" Type="http://schemas.openxmlformats.org/officeDocument/2006/relationships/header" Target="header52.xml"/><Relationship Id="rId54" Type="http://schemas.openxmlformats.org/officeDocument/2006/relationships/footer" Target="footer10.xml"/><Relationship Id="rId70" Type="http://schemas.openxmlformats.org/officeDocument/2006/relationships/image" Target="media/image17.png"/><Relationship Id="rId75" Type="http://schemas.openxmlformats.org/officeDocument/2006/relationships/footer" Target="footer16.xml"/><Relationship Id="rId91" Type="http://schemas.openxmlformats.org/officeDocument/2006/relationships/header" Target="header36.xml"/><Relationship Id="rId96" Type="http://schemas.openxmlformats.org/officeDocument/2006/relationships/header" Target="header38.xml"/><Relationship Id="rId140" Type="http://schemas.openxmlformats.org/officeDocument/2006/relationships/hyperlink" Target="https://www2.health.vic.gov.au/public-health" TargetMode="External"/><Relationship Id="rId145" Type="http://schemas.openxmlformats.org/officeDocument/2006/relationships/hyperlink" Target="http://www.cancervic.org.au/research/registry-statistics/statistics-data" TargetMode="External"/><Relationship Id="rId161" Type="http://schemas.openxmlformats.org/officeDocument/2006/relationships/footer" Target="footer38.xml"/><Relationship Id="rId166" Type="http://schemas.openxmlformats.org/officeDocument/2006/relationships/footer" Target="footer40.xml"/><Relationship Id="rId182" Type="http://schemas.openxmlformats.org/officeDocument/2006/relationships/header" Target="header69.xml"/><Relationship Id="rId187" Type="http://schemas.openxmlformats.org/officeDocument/2006/relationships/header" Target="header72.xml"/><Relationship Id="rId217" Type="http://schemas.openxmlformats.org/officeDocument/2006/relationships/header" Target="header82.xml"/><Relationship Id="rId1" Type="http://schemas.openxmlformats.org/officeDocument/2006/relationships/customXml" Target="../customXml/item1.xml"/><Relationship Id="rId6" Type="http://schemas.openxmlformats.org/officeDocument/2006/relationships/styles" Target="styles.xml"/><Relationship Id="rId212" Type="http://schemas.openxmlformats.org/officeDocument/2006/relationships/image" Target="media/image27.png"/><Relationship Id="rId23" Type="http://schemas.openxmlformats.org/officeDocument/2006/relationships/footer" Target="footer2.xml"/><Relationship Id="rId28" Type="http://schemas.openxmlformats.org/officeDocument/2006/relationships/footer" Target="footer4.xml"/><Relationship Id="rId49" Type="http://schemas.openxmlformats.org/officeDocument/2006/relationships/hyperlink" Target="https://www.dhhs.vic.gov.au/our-values" TargetMode="External"/><Relationship Id="rId114" Type="http://schemas.openxmlformats.org/officeDocument/2006/relationships/header" Target="header50.xml"/><Relationship Id="rId119" Type="http://schemas.openxmlformats.org/officeDocument/2006/relationships/footer" Target="footer26.xml"/><Relationship Id="rId44" Type="http://schemas.openxmlformats.org/officeDocument/2006/relationships/image" Target="media/image7.png"/><Relationship Id="rId60" Type="http://schemas.openxmlformats.org/officeDocument/2006/relationships/image" Target="media/image15.png"/><Relationship Id="rId65" Type="http://schemas.openxmlformats.org/officeDocument/2006/relationships/header" Target="header22.xml"/><Relationship Id="rId81" Type="http://schemas.openxmlformats.org/officeDocument/2006/relationships/hyperlink" Target="https://www.mja.com.au/journal/2020/victorias-response-resurgence-covid-19-has-averted-9000-37000-cases-july-2020?utm_source=carousel&amp;utm_medium=web&amp;utm_campaign=homepage" TargetMode="External"/><Relationship Id="rId86" Type="http://schemas.openxmlformats.org/officeDocument/2006/relationships/header" Target="header31.xml"/><Relationship Id="rId130" Type="http://schemas.openxmlformats.org/officeDocument/2006/relationships/header" Target="header53.xml"/><Relationship Id="rId135" Type="http://schemas.openxmlformats.org/officeDocument/2006/relationships/header" Target="header57.xml"/><Relationship Id="rId151" Type="http://schemas.openxmlformats.org/officeDocument/2006/relationships/hyperlink" Target="mailto:protected.disclosure@dhhs.vic.gov.au" TargetMode="External"/><Relationship Id="rId156" Type="http://schemas.openxmlformats.org/officeDocument/2006/relationships/hyperlink" Target="http://www.procurement.vic.gov.au/" TargetMode="External"/><Relationship Id="rId177" Type="http://schemas.openxmlformats.org/officeDocument/2006/relationships/hyperlink" Target="https://www.dhhs.vic.gov.au/publications/disability-action-plan-2018-2020" TargetMode="External"/><Relationship Id="rId198" Type="http://schemas.openxmlformats.org/officeDocument/2006/relationships/header" Target="header77.xml"/><Relationship Id="rId172" Type="http://schemas.openxmlformats.org/officeDocument/2006/relationships/hyperlink" Target="https://ovic.vic.gov.au/" TargetMode="External"/><Relationship Id="rId193" Type="http://schemas.openxmlformats.org/officeDocument/2006/relationships/header" Target="header76.xml"/><Relationship Id="rId202" Type="http://schemas.openxmlformats.org/officeDocument/2006/relationships/header" Target="header79.xml"/><Relationship Id="rId207" Type="http://schemas.openxmlformats.org/officeDocument/2006/relationships/footer" Target="footer52.xml"/><Relationship Id="rId223" Type="http://schemas.openxmlformats.org/officeDocument/2006/relationships/header" Target="header86.xml"/><Relationship Id="rId228" Type="http://schemas.openxmlformats.org/officeDocument/2006/relationships/footer" Target="footer63.xml"/><Relationship Id="rId13" Type="http://schemas.openxmlformats.org/officeDocument/2006/relationships/image" Target="media/image2.png"/><Relationship Id="rId18" Type="http://schemas.openxmlformats.org/officeDocument/2006/relationships/header" Target="header3.xml"/><Relationship Id="rId39" Type="http://schemas.openxmlformats.org/officeDocument/2006/relationships/header" Target="header13.xml"/><Relationship Id="rId109" Type="http://schemas.openxmlformats.org/officeDocument/2006/relationships/header" Target="header48.xml"/><Relationship Id="rId34" Type="http://schemas.openxmlformats.org/officeDocument/2006/relationships/footer" Target="footer7.xml"/><Relationship Id="rId50" Type="http://schemas.openxmlformats.org/officeDocument/2006/relationships/hyperlink" Target="https://dhhs.vic.gov.au/publications/department-health-and-human-services-strategic-plan" TargetMode="External"/><Relationship Id="rId55" Type="http://schemas.openxmlformats.org/officeDocument/2006/relationships/header" Target="header18.xml"/><Relationship Id="rId76" Type="http://schemas.openxmlformats.org/officeDocument/2006/relationships/footer" Target="footer17.xml"/><Relationship Id="rId97" Type="http://schemas.openxmlformats.org/officeDocument/2006/relationships/header" Target="header39.xml"/><Relationship Id="rId104" Type="http://schemas.openxmlformats.org/officeDocument/2006/relationships/header" Target="header44.xml"/><Relationship Id="rId120" Type="http://schemas.openxmlformats.org/officeDocument/2006/relationships/footer" Target="footer27.xml"/><Relationship Id="rId125" Type="http://schemas.openxmlformats.org/officeDocument/2006/relationships/footer" Target="footer32.xml"/><Relationship Id="rId141" Type="http://schemas.openxmlformats.org/officeDocument/2006/relationships/hyperlink" Target="https://dhhs.vic.gov.au/publications/reports-reviews-data" TargetMode="External"/><Relationship Id="rId146" Type="http://schemas.openxmlformats.org/officeDocument/2006/relationships/hyperlink" Target="http://www.aihw.gov.au/data" TargetMode="External"/><Relationship Id="rId167" Type="http://schemas.openxmlformats.org/officeDocument/2006/relationships/header" Target="header64.xml"/><Relationship Id="rId188" Type="http://schemas.openxmlformats.org/officeDocument/2006/relationships/header" Target="header73.xml"/><Relationship Id="rId7" Type="http://schemas.openxmlformats.org/officeDocument/2006/relationships/settings" Target="settings.xml"/><Relationship Id="rId71" Type="http://schemas.openxmlformats.org/officeDocument/2006/relationships/image" Target="media/image18.svg"/><Relationship Id="rId92" Type="http://schemas.openxmlformats.org/officeDocument/2006/relationships/footer" Target="footer20.xml"/><Relationship Id="rId162" Type="http://schemas.openxmlformats.org/officeDocument/2006/relationships/header" Target="header61.xml"/><Relationship Id="rId183" Type="http://schemas.openxmlformats.org/officeDocument/2006/relationships/footer" Target="footer44.xml"/><Relationship Id="rId213" Type="http://schemas.openxmlformats.org/officeDocument/2006/relationships/footer" Target="footer57.xml"/><Relationship Id="rId218" Type="http://schemas.openxmlformats.org/officeDocument/2006/relationships/header" Target="header83.xml"/><Relationship Id="rId2" Type="http://schemas.openxmlformats.org/officeDocument/2006/relationships/customXml" Target="../customXml/item2.xml"/><Relationship Id="rId29" Type="http://schemas.openxmlformats.org/officeDocument/2006/relationships/footer" Target="footer5.xml"/><Relationship Id="rId24" Type="http://schemas.openxmlformats.org/officeDocument/2006/relationships/header" Target="header6.xml"/><Relationship Id="rId40" Type="http://schemas.openxmlformats.org/officeDocument/2006/relationships/header" Target="header14.xml"/><Relationship Id="rId45" Type="http://schemas.openxmlformats.org/officeDocument/2006/relationships/image" Target="media/image8.png"/><Relationship Id="rId66" Type="http://schemas.openxmlformats.org/officeDocument/2006/relationships/header" Target="header23.xml"/><Relationship Id="rId87" Type="http://schemas.openxmlformats.org/officeDocument/2006/relationships/header" Target="header32.xml"/><Relationship Id="rId110" Type="http://schemas.openxmlformats.org/officeDocument/2006/relationships/footer" Target="footer24.xml"/><Relationship Id="rId115" Type="http://schemas.openxmlformats.org/officeDocument/2006/relationships/header" Target="header51.xml"/><Relationship Id="rId131" Type="http://schemas.openxmlformats.org/officeDocument/2006/relationships/footer" Target="footer36.xml"/><Relationship Id="rId136" Type="http://schemas.openxmlformats.org/officeDocument/2006/relationships/hyperlink" Target="http://www.data.vic.gov.au" TargetMode="External"/><Relationship Id="rId157" Type="http://schemas.openxmlformats.org/officeDocument/2006/relationships/header" Target="header58.xml"/><Relationship Id="rId178" Type="http://schemas.openxmlformats.org/officeDocument/2006/relationships/hyperlink" Target="https://providers.dhhs.vic.gov.au/registration-requirements-disability-service-providers" TargetMode="External"/><Relationship Id="rId61" Type="http://schemas.openxmlformats.org/officeDocument/2006/relationships/image" Target="media/image16.png"/><Relationship Id="rId82" Type="http://schemas.openxmlformats.org/officeDocument/2006/relationships/header" Target="header28.xml"/><Relationship Id="rId152" Type="http://schemas.openxmlformats.org/officeDocument/2006/relationships/hyperlink" Target="https://www.vic.gov.au/family-safety-victoria-public-interest-disclosure-procedure" TargetMode="External"/><Relationship Id="rId173" Type="http://schemas.openxmlformats.org/officeDocument/2006/relationships/hyperlink" Target="mailto:foi@familysafety.vic.gov.au" TargetMode="External"/><Relationship Id="rId194" Type="http://schemas.openxmlformats.org/officeDocument/2006/relationships/image" Target="media/image23.jpg"/><Relationship Id="rId199" Type="http://schemas.openxmlformats.org/officeDocument/2006/relationships/header" Target="header78.xml"/><Relationship Id="rId203" Type="http://schemas.openxmlformats.org/officeDocument/2006/relationships/footer" Target="footer49.xml"/><Relationship Id="rId208" Type="http://schemas.openxmlformats.org/officeDocument/2006/relationships/footer" Target="footer53.xml"/><Relationship Id="rId229" Type="http://schemas.openxmlformats.org/officeDocument/2006/relationships/header" Target="header89.xml"/><Relationship Id="rId19" Type="http://schemas.openxmlformats.org/officeDocument/2006/relationships/image" Target="media/image3.png"/><Relationship Id="rId224" Type="http://schemas.openxmlformats.org/officeDocument/2006/relationships/footer" Target="footer62.xml"/><Relationship Id="rId14" Type="http://schemas.openxmlformats.org/officeDocument/2006/relationships/hyperlink" Target="https://creativecommons.org/licenses/by/4.0/legalcode" TargetMode="External"/><Relationship Id="rId30" Type="http://schemas.openxmlformats.org/officeDocument/2006/relationships/header" Target="header9.xml"/><Relationship Id="rId35" Type="http://schemas.openxmlformats.org/officeDocument/2006/relationships/header" Target="header12.xml"/><Relationship Id="rId56" Type="http://schemas.openxmlformats.org/officeDocument/2006/relationships/footer" Target="footer11.xml"/><Relationship Id="rId77" Type="http://schemas.openxmlformats.org/officeDocument/2006/relationships/header" Target="header25.xml"/><Relationship Id="rId100" Type="http://schemas.openxmlformats.org/officeDocument/2006/relationships/header" Target="header41.xml"/><Relationship Id="rId105" Type="http://schemas.openxmlformats.org/officeDocument/2006/relationships/header" Target="header45.xml"/><Relationship Id="rId126" Type="http://schemas.openxmlformats.org/officeDocument/2006/relationships/footer" Target="footer33.xml"/><Relationship Id="rId147" Type="http://schemas.openxmlformats.org/officeDocument/2006/relationships/hyperlink" Target="http://www.myhospitals.gov.au" TargetMode="External"/><Relationship Id="rId168" Type="http://schemas.openxmlformats.org/officeDocument/2006/relationships/header" Target="header65.xml"/><Relationship Id="rId8" Type="http://schemas.openxmlformats.org/officeDocument/2006/relationships/webSettings" Target="webSettings.xml"/><Relationship Id="rId51" Type="http://schemas.openxmlformats.org/officeDocument/2006/relationships/hyperlink" Target="http://dhhs.vic.gov.au/leadership-charter" TargetMode="External"/><Relationship Id="rId72" Type="http://schemas.openxmlformats.org/officeDocument/2006/relationships/footer" Target="footer14.xml"/><Relationship Id="rId93" Type="http://schemas.openxmlformats.org/officeDocument/2006/relationships/hyperlink" Target="https://dhhs.vic.gov.au/victorian-social-housing-growth-fund" TargetMode="External"/><Relationship Id="rId98" Type="http://schemas.openxmlformats.org/officeDocument/2006/relationships/footer" Target="footer21.xml"/><Relationship Id="rId121" Type="http://schemas.openxmlformats.org/officeDocument/2006/relationships/footer" Target="footer28.xml"/><Relationship Id="rId142" Type="http://schemas.openxmlformats.org/officeDocument/2006/relationships/hyperlink" Target="https://vahi.freshdesk.com/support/home" TargetMode="External"/><Relationship Id="rId163" Type="http://schemas.openxmlformats.org/officeDocument/2006/relationships/header" Target="header62.xml"/><Relationship Id="rId184" Type="http://schemas.openxmlformats.org/officeDocument/2006/relationships/hyperlink" Target="https://providers.dhhs.vic.gov.au/register-community-services" TargetMode="External"/><Relationship Id="rId189" Type="http://schemas.openxmlformats.org/officeDocument/2006/relationships/header" Target="header74.xml"/><Relationship Id="rId219" Type="http://schemas.openxmlformats.org/officeDocument/2006/relationships/footer" Target="footer60.xml"/><Relationship Id="rId3" Type="http://schemas.openxmlformats.org/officeDocument/2006/relationships/customXml" Target="../customXml/item3.xml"/><Relationship Id="rId214" Type="http://schemas.openxmlformats.org/officeDocument/2006/relationships/footer" Target="footer58.xml"/><Relationship Id="rId230" Type="http://schemas.openxmlformats.org/officeDocument/2006/relationships/footer" Target="footer64.xml"/><Relationship Id="rId25" Type="http://schemas.openxmlformats.org/officeDocument/2006/relationships/footer" Target="footer3.xml"/><Relationship Id="rId46" Type="http://schemas.openxmlformats.org/officeDocument/2006/relationships/image" Target="media/image9.png"/><Relationship Id="rId67" Type="http://schemas.openxmlformats.org/officeDocument/2006/relationships/footer" Target="footer12.xml"/><Relationship Id="rId116" Type="http://schemas.openxmlformats.org/officeDocument/2006/relationships/footer" Target="footer25.xml"/><Relationship Id="rId137" Type="http://schemas.openxmlformats.org/officeDocument/2006/relationships/hyperlink" Target="https://www.dhhs.vic.gov.au/department-health-and-human-services-information-asset-register-public" TargetMode="External"/><Relationship Id="rId158" Type="http://schemas.openxmlformats.org/officeDocument/2006/relationships/header" Target="header59.xml"/><Relationship Id="rId20" Type="http://schemas.openxmlformats.org/officeDocument/2006/relationships/header" Target="header4.xml"/><Relationship Id="rId41" Type="http://schemas.openxmlformats.org/officeDocument/2006/relationships/footer" Target="footer9.xml"/><Relationship Id="rId62" Type="http://schemas.openxmlformats.org/officeDocument/2006/relationships/header" Target="header19.xml"/><Relationship Id="rId83" Type="http://schemas.openxmlformats.org/officeDocument/2006/relationships/header" Target="header29.xml"/><Relationship Id="rId88" Type="http://schemas.openxmlformats.org/officeDocument/2006/relationships/header" Target="header33.xml"/><Relationship Id="rId111" Type="http://schemas.openxmlformats.org/officeDocument/2006/relationships/image" Target="media/image19.png"/><Relationship Id="rId132" Type="http://schemas.openxmlformats.org/officeDocument/2006/relationships/header" Target="header54.xml"/><Relationship Id="rId153" Type="http://schemas.openxmlformats.org/officeDocument/2006/relationships/hyperlink" Target="https://www.vic.gov.au/family-safety-victoria-public-interest-disclosure-procedure" TargetMode="External"/><Relationship Id="rId174" Type="http://schemas.openxmlformats.org/officeDocument/2006/relationships/hyperlink" Target="https://www.vic.gov.au/family-safety-victoria-public-interest-disclosure-procedure" TargetMode="External"/><Relationship Id="rId179" Type="http://schemas.openxmlformats.org/officeDocument/2006/relationships/header" Target="header67.xml"/><Relationship Id="rId195" Type="http://schemas.openxmlformats.org/officeDocument/2006/relationships/image" Target="media/image24.jpg"/><Relationship Id="rId209" Type="http://schemas.openxmlformats.org/officeDocument/2006/relationships/footer" Target="footer54.xml"/><Relationship Id="rId190" Type="http://schemas.openxmlformats.org/officeDocument/2006/relationships/footer" Target="footer45.xml"/><Relationship Id="rId204" Type="http://schemas.openxmlformats.org/officeDocument/2006/relationships/footer" Target="footer50.xml"/><Relationship Id="rId220" Type="http://schemas.openxmlformats.org/officeDocument/2006/relationships/header" Target="header84.xml"/><Relationship Id="rId225" Type="http://schemas.openxmlformats.org/officeDocument/2006/relationships/hyperlink" Target="mailto:DHHSCommunications@dhhs.vic.gov.au" TargetMode="External"/><Relationship Id="rId15" Type="http://schemas.openxmlformats.org/officeDocument/2006/relationships/hyperlink" Target="https://www.dhhs.vic.gov.au/publications/annual-reports" TargetMode="External"/><Relationship Id="rId36" Type="http://schemas.openxmlformats.org/officeDocument/2006/relationships/footer" Target="footer8.xml"/><Relationship Id="rId57" Type="http://schemas.openxmlformats.org/officeDocument/2006/relationships/image" Target="media/image12.jpg"/><Relationship Id="rId106" Type="http://schemas.openxmlformats.org/officeDocument/2006/relationships/footer" Target="footer23.xml"/><Relationship Id="rId127" Type="http://schemas.openxmlformats.org/officeDocument/2006/relationships/footer" Target="footer34.xml"/><Relationship Id="rId10" Type="http://schemas.openxmlformats.org/officeDocument/2006/relationships/endnotes" Target="endnotes.xml"/><Relationship Id="rId31" Type="http://schemas.openxmlformats.org/officeDocument/2006/relationships/footer" Target="footer6.xml"/><Relationship Id="rId52" Type="http://schemas.openxmlformats.org/officeDocument/2006/relationships/header" Target="header16.xml"/><Relationship Id="rId73" Type="http://schemas.openxmlformats.org/officeDocument/2006/relationships/footer" Target="footer15.xml"/><Relationship Id="rId78" Type="http://schemas.openxmlformats.org/officeDocument/2006/relationships/header" Target="header26.xml"/><Relationship Id="rId94" Type="http://schemas.openxmlformats.org/officeDocument/2006/relationships/hyperlink" Target="https://www.vic.gov.au/affordablehousing/housing-services/stable-housing.html" TargetMode="External"/><Relationship Id="rId99" Type="http://schemas.openxmlformats.org/officeDocument/2006/relationships/header" Target="header40.xml"/><Relationship Id="rId101" Type="http://schemas.openxmlformats.org/officeDocument/2006/relationships/header" Target="header42.xml"/><Relationship Id="rId122" Type="http://schemas.openxmlformats.org/officeDocument/2006/relationships/footer" Target="footer29.xml"/><Relationship Id="rId143" Type="http://schemas.openxmlformats.org/officeDocument/2006/relationships/hyperlink" Target="https://www2.health.vic.gov.au/about/reporting-planning-data/the-centre-for-victorian-data-linkage/for-researchers" TargetMode="External"/><Relationship Id="rId148" Type="http://schemas.openxmlformats.org/officeDocument/2006/relationships/hyperlink" Target="https://www.ibac.vic.gov.au/" TargetMode="External"/><Relationship Id="rId164" Type="http://schemas.openxmlformats.org/officeDocument/2006/relationships/footer" Target="footer39.xml"/><Relationship Id="rId169" Type="http://schemas.openxmlformats.org/officeDocument/2006/relationships/footer" Target="footer41.xml"/><Relationship Id="rId185" Type="http://schemas.openxmlformats.org/officeDocument/2006/relationships/header" Target="header70.xm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eader" Target="header68.xml"/><Relationship Id="rId210" Type="http://schemas.openxmlformats.org/officeDocument/2006/relationships/footer" Target="footer55.xml"/><Relationship Id="rId215" Type="http://schemas.openxmlformats.org/officeDocument/2006/relationships/footer" Target="footer59.xml"/><Relationship Id="rId26" Type="http://schemas.openxmlformats.org/officeDocument/2006/relationships/header" Target="header7.xml"/><Relationship Id="rId231" Type="http://schemas.openxmlformats.org/officeDocument/2006/relationships/fontTable" Target="fontTable.xml"/><Relationship Id="rId47" Type="http://schemas.openxmlformats.org/officeDocument/2006/relationships/image" Target="media/image10.png"/><Relationship Id="rId68" Type="http://schemas.openxmlformats.org/officeDocument/2006/relationships/footer" Target="footer13.xml"/><Relationship Id="rId89" Type="http://schemas.openxmlformats.org/officeDocument/2006/relationships/header" Target="header34.xml"/><Relationship Id="rId112" Type="http://schemas.openxmlformats.org/officeDocument/2006/relationships/image" Target="media/image20.svg"/><Relationship Id="rId133" Type="http://schemas.openxmlformats.org/officeDocument/2006/relationships/header" Target="header55.xml"/><Relationship Id="rId154" Type="http://schemas.openxmlformats.org/officeDocument/2006/relationships/hyperlink" Target="mailto:fsv.protected.disclosures@familysafety.vic.gov.au" TargetMode="External"/><Relationship Id="rId175" Type="http://schemas.openxmlformats.org/officeDocument/2006/relationships/hyperlink" Target="mailto:fsv.protected.disclosures@familysafety.vic.gov.au" TargetMode="External"/><Relationship Id="rId196" Type="http://schemas.openxmlformats.org/officeDocument/2006/relationships/image" Target="media/image25.png"/><Relationship Id="rId200" Type="http://schemas.openxmlformats.org/officeDocument/2006/relationships/footer" Target="footer47.xml"/><Relationship Id="rId16" Type="http://schemas.openxmlformats.org/officeDocument/2006/relationships/header" Target="header1.xml"/><Relationship Id="rId221" Type="http://schemas.openxmlformats.org/officeDocument/2006/relationships/header" Target="header85.xml"/><Relationship Id="rId37" Type="http://schemas.openxmlformats.org/officeDocument/2006/relationships/image" Target="media/image4.png"/><Relationship Id="rId58" Type="http://schemas.openxmlformats.org/officeDocument/2006/relationships/image" Target="media/image13.jpg"/><Relationship Id="rId79" Type="http://schemas.openxmlformats.org/officeDocument/2006/relationships/footer" Target="footer18.xml"/><Relationship Id="rId102" Type="http://schemas.openxmlformats.org/officeDocument/2006/relationships/footer" Target="footer22.xml"/><Relationship Id="rId123" Type="http://schemas.openxmlformats.org/officeDocument/2006/relationships/footer" Target="footer30.xml"/><Relationship Id="rId144" Type="http://schemas.openxmlformats.org/officeDocument/2006/relationships/hyperlink" Target="https://www.dhhs.vic.gov.au/research-applications-external-organisations-and-individuals" TargetMode="External"/><Relationship Id="rId90" Type="http://schemas.openxmlformats.org/officeDocument/2006/relationships/header" Target="header35.xml"/><Relationship Id="rId165" Type="http://schemas.openxmlformats.org/officeDocument/2006/relationships/header" Target="header63.xml"/><Relationship Id="rId186" Type="http://schemas.openxmlformats.org/officeDocument/2006/relationships/header" Target="header71.xml"/><Relationship Id="rId211" Type="http://schemas.openxmlformats.org/officeDocument/2006/relationships/footer" Target="footer56.xml"/><Relationship Id="rId23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mja.com.au/journal/2020/victorias-response-resurgence-covid-19-has-averted-9000-37000-cases-july-2020" TargetMode="External"/><Relationship Id="rId2" Type="http://schemas.openxmlformats.org/officeDocument/2006/relationships/hyperlink" Target="https://doi.org/10.5694/mja2.50545" TargetMode="External"/><Relationship Id="rId1" Type="http://schemas.openxmlformats.org/officeDocument/2006/relationships/hyperlink" Target="https://www.premier.vic.gov.au/vad-laws-giving-more-victorians-choice-over-their-death" TargetMode="External"/></Relationships>
</file>

<file path=word/theme/theme1.xml><?xml version="1.0" encoding="utf-8"?>
<a:theme xmlns:a="http://schemas.openxmlformats.org/drawingml/2006/main" name="Office Theme">
  <a:themeElements>
    <a:clrScheme name="Custom 16">
      <a:dk1>
        <a:sysClr val="windowText" lastClr="000000"/>
      </a:dk1>
      <a:lt1>
        <a:sysClr val="window" lastClr="FFFFFF"/>
      </a:lt1>
      <a:dk2>
        <a:srgbClr val="44546A"/>
      </a:dk2>
      <a:lt2>
        <a:srgbClr val="E7E6E6"/>
      </a:lt2>
      <a:accent1>
        <a:srgbClr val="87189D"/>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Relevant Document" ma:contentTypeID="0x010100F35962552CBAA04E98DC94B72C0FE7EF007024A57D5114CF49B19E59421DDFCAF5" ma:contentTypeVersion="11" ma:contentTypeDescription="" ma:contentTypeScope="" ma:versionID="4f677913dcbb7b83362caf93c0fef7e6">
  <xsd:schema xmlns:xsd="http://www.w3.org/2001/XMLSchema" xmlns:xs="http://www.w3.org/2001/XMLSchema" xmlns:p="http://schemas.microsoft.com/office/2006/metadata/properties" xmlns:ns1="http://schemas.microsoft.com/sharepoint/v3" xmlns:ns2="59098f23-3ca6-4eec-8c4e-6f77ceae2d9e" targetNamespace="http://schemas.microsoft.com/office/2006/metadata/properties" ma:root="true" ma:fieldsID="01986c9c8565eda41a4a9f81e70b40cc" ns1:_="" ns2:_="">
    <xsd:import namespace="http://schemas.microsoft.com/sharepoint/v3"/>
    <xsd:import namespace="59098f23-3ca6-4eec-8c4e-6f77ceae2d9e"/>
    <xsd:element name="properties">
      <xsd:complexType>
        <xsd:sequence>
          <xsd:element name="documentManagement">
            <xsd:complexType>
              <xsd:all>
                <xsd:element ref="ns2:CBSFileName" minOccurs="0"/>
                <xsd:element ref="ns2:CBSStatus" minOccurs="0"/>
                <xsd:element ref="ns2:CBSDocComments" minOccurs="0"/>
                <xsd:element ref="ns2:CBSDueBy" minOccurs="0"/>
                <xsd:element ref="ns2:CBSReviewersContributors" minOccurs="0"/>
                <xsd:element ref="ns2:SendEmailToAuthors" minOccurs="0"/>
                <xsd:element ref="ns1:DocumentSetDescription" minOccurs="0"/>
                <xsd:element ref="ns2:CBS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9" nillable="true" ma:displayName="Description" ma:description="A description of the Document Set" ma:hidden="true"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098f23-3ca6-4eec-8c4e-6f77ceae2d9e" elementFormDefault="qualified">
    <xsd:import namespace="http://schemas.microsoft.com/office/2006/documentManagement/types"/>
    <xsd:import namespace="http://schemas.microsoft.com/office/infopath/2007/PartnerControls"/>
    <xsd:element name="CBSFileName" ma:index="1" nillable="true" ma:displayName="File Name" ma:internalName="CBSFileName">
      <xsd:simpleType>
        <xsd:restriction base="dms:Text">
          <xsd:maxLength value="255"/>
        </xsd:restriction>
      </xsd:simpleType>
    </xsd:element>
    <xsd:element name="CBSStatus" ma:index="2" nillable="true" ma:displayName="Doc Status" ma:default="Draft" ma:format="Dropdown" ma:internalName="CBSStatus">
      <xsd:simpleType>
        <xsd:restriction base="dms:Choice">
          <xsd:enumeration value="Draft"/>
          <xsd:enumeration value="Finalised"/>
          <xsd:enumeration value="Not required"/>
        </xsd:restriction>
      </xsd:simpleType>
    </xsd:element>
    <xsd:element name="CBSDocComments" ma:index="3" nillable="true" ma:displayName="Document Comments" ma:internalName="CBSDocComments">
      <xsd:simpleType>
        <xsd:restriction base="dms:Note">
          <xsd:maxLength value="255"/>
        </xsd:restriction>
      </xsd:simpleType>
    </xsd:element>
    <xsd:element name="CBSDueBy" ma:index="4" nillable="true" ma:displayName="Document DueBy" ma:format="DateOnly" ma:internalName="CBSDueBy">
      <xsd:simpleType>
        <xsd:restriction base="dms:DateTime"/>
      </xsd:simpleType>
    </xsd:element>
    <xsd:element name="CBSReviewersContributors" ma:index="5" nillable="true" ma:displayName="Reviewers Contributors" ma:list="UserInfo" ma:SharePointGroup="0" ma:internalName="CBSReviewersContributo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ndEmailToAuthors" ma:index="8" nillable="true" ma:displayName="Send Email To Contributors" ma:default="Send Email" ma:hidden="true" ma:internalName="SendEmailToAuthors" ma:readOnly="false">
      <xsd:simpleType>
        <xsd:restriction base="dms:Text">
          <xsd:maxLength value="255"/>
        </xsd:restriction>
      </xsd:simpleType>
    </xsd:element>
    <xsd:element name="CBSDocType" ma:index="15" nillable="true" ma:displayName="Document Type" ma:hidden="true" ma:internalName="CBSDocTyp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BSFileName xmlns="59098f23-3ca6-4eec-8c4e-6f77ceae2d9e">Att 1 - DHHS Annual Report 2019-20</CBSFileName>
    <CBSDocType xmlns="59098f23-3ca6-4eec-8c4e-6f77ceae2d9e" xsi:nil="true"/>
    <DocumentSetDescription xmlns="http://schemas.microsoft.com/sharepoint/v3" xsi:nil="true"/>
    <CBSStatus xmlns="59098f23-3ca6-4eec-8c4e-6f77ceae2d9e">Finalised</CBSStatus>
    <CBSReviewersContributors xmlns="59098f23-3ca6-4eec-8c4e-6f77ceae2d9e">
      <UserInfo>
        <DisplayName/>
        <AccountId xsi:nil="true"/>
        <AccountType/>
      </UserInfo>
    </CBSReviewersContributors>
    <CBSDocComments xmlns="59098f23-3ca6-4eec-8c4e-6f77ceae2d9e" xsi:nil="true"/>
    <CBSDueBy xmlns="59098f23-3ca6-4eec-8c4e-6f77ceae2d9e" xsi:nil="true"/>
    <SendEmailToAuthors xmlns="59098f23-3ca6-4eec-8c4e-6f77ceae2d9e">Send Email</SendEmailToAutho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555A42-4CF6-4479-9DF5-78125B12D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098f23-3ca6-4eec-8c4e-6f77ceae2d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7AB248-21B6-4211-BB90-8A0265C2AEBB}">
  <ds:schemaRefs>
    <ds:schemaRef ds:uri="http://schemas.microsoft.com/sharepoint/v3/contenttype/forms"/>
  </ds:schemaRefs>
</ds:datastoreItem>
</file>

<file path=customXml/itemProps3.xml><?xml version="1.0" encoding="utf-8"?>
<ds:datastoreItem xmlns:ds="http://schemas.openxmlformats.org/officeDocument/2006/customXml" ds:itemID="{E6A716D3-F1AE-4800-A37F-F38946272407}">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purl.org/dc/dcmitype/"/>
    <ds:schemaRef ds:uri="59098f23-3ca6-4eec-8c4e-6f77ceae2d9e"/>
    <ds:schemaRef ds:uri="http://schemas.microsoft.com/office/2006/documentManagement/typ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7D60B7E6-B545-41DE-83B4-CD13E8BCF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1069</TotalTime>
  <Pages>297</Pages>
  <Words>116601</Words>
  <Characters>664630</Characters>
  <Application>Microsoft Office Word</Application>
  <DocSecurity>0</DocSecurity>
  <Lines>5538</Lines>
  <Paragraphs>1559</Paragraphs>
  <ScaleCrop>false</ScaleCrop>
  <HeadingPairs>
    <vt:vector size="2" baseType="variant">
      <vt:variant>
        <vt:lpstr>Title</vt:lpstr>
      </vt:variant>
      <vt:variant>
        <vt:i4>1</vt:i4>
      </vt:variant>
    </vt:vector>
  </HeadingPairs>
  <TitlesOfParts>
    <vt:vector size="1" baseType="lpstr">
      <vt:lpstr>Department of Health and Human Services annual report 2019-20</vt:lpstr>
    </vt:vector>
  </TitlesOfParts>
  <Company>Department of Health and Human Services</Company>
  <LinksUpToDate>false</LinksUpToDate>
  <CharactersWithSpaces>779672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Health and Human Services annual report 2019-20</dc:title>
  <dc:subject>Annual report</dc:subject>
  <dc:creator>Department of Health and Human Services</dc:creator>
  <cp:keywords>annual report 2019-20, financial statements, year in review, performance reporting, finance and budgetary performance, governance, people, disclosures, environmental sustainability report, audit opinion</cp:keywords>
  <cp:lastModifiedBy>Robert Di Renzo</cp:lastModifiedBy>
  <cp:revision>38</cp:revision>
  <cp:lastPrinted>2020-10-27T23:02:00Z</cp:lastPrinted>
  <dcterms:created xsi:type="dcterms:W3CDTF">2020-10-23T01:15:00Z</dcterms:created>
  <dcterms:modified xsi:type="dcterms:W3CDTF">2020-10-27T23:02:00Z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0x010100F35962552CBAA04E98DC94B72C0FE7EF007024A57D5114CF49B19E59421DDFCAF5</vt:lpwstr>
  </property>
  <property fmtid="{D5CDD505-2E9C-101B-9397-08002B2CF9AE}" pid="3" name="MSIP_Label_efdf5488-3066-4b6c-8fea-9472b8a1f34c_Enabled">
    <vt:lpwstr>True</vt:lpwstr>
  </property>
  <property fmtid="{D5CDD505-2E9C-101B-9397-08002B2CF9AE}" pid="4" name="MSIP_Label_efdf5488-3066-4b6c-8fea-9472b8a1f34c_SiteId">
    <vt:lpwstr>c0e0601f-0fac-449c-9c88-a104c4eb9f28</vt:lpwstr>
  </property>
  <property fmtid="{D5CDD505-2E9C-101B-9397-08002B2CF9AE}" pid="5" name="MSIP_Label_efdf5488-3066-4b6c-8fea-9472b8a1f34c_Owner">
    <vt:lpwstr>Judy.Carr@dhhs.vic.gov.au</vt:lpwstr>
  </property>
  <property fmtid="{D5CDD505-2E9C-101B-9397-08002B2CF9AE}" pid="6" name="MSIP_Label_efdf5488-3066-4b6c-8fea-9472b8a1f34c_Name">
    <vt:lpwstr>DO NOT MARK</vt:lpwstr>
  </property>
  <property fmtid="{D5CDD505-2E9C-101B-9397-08002B2CF9AE}" pid="7" name="MSIP_Label_efdf5488-3066-4b6c-8fea-9472b8a1f34c_Application">
    <vt:lpwstr>Microsoft Azure Information Protection</vt:lpwstr>
  </property>
  <property fmtid="{D5CDD505-2E9C-101B-9397-08002B2CF9AE}" pid="8" name="MSIP_Label_efdf5488-3066-4b6c-8fea-9472b8a1f34c_Extended_MSFT_Method">
    <vt:lpwstr>Manual</vt:lpwstr>
  </property>
  <property fmtid="{D5CDD505-2E9C-101B-9397-08002B2CF9AE}" pid="9" name="Sensitivity">
    <vt:lpwstr>DO NOT MARK</vt:lpwstr>
  </property>
  <property fmtid="{D5CDD505-2E9C-101B-9397-08002B2CF9AE}" pid="10" name="MSIP_Label_efdf5488-3066-4b6c-8fea-9472b8a1f34c_SetDate">
    <vt:lpwstr>2020-09-15T06:14:09.3017878Z</vt:lpwstr>
  </property>
  <property fmtid="{D5CDD505-2E9C-101B-9397-08002B2CF9AE}" pid="11" name="MSIP_Label_efdf5488-3066-4b6c-8fea-9472b8a1f34c_ActionId">
    <vt:lpwstr>cc07eaf2-62f1-4a1b-bc68-1aaf446ddac2</vt:lpwstr>
  </property>
  <property fmtid="{D5CDD505-2E9C-101B-9397-08002B2CF9AE}" pid="12" name="Language">
    <vt:lpwstr>English</vt:lpwstr>
  </property>
</Properties>
</file>